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4"/>
        <w:rPr>
          <w:sz w:val="20"/>
        </w:rPr>
      </w:pPr>
      <w:r>
        <w:rPr/>
        <mc:AlternateContent>
          <mc:Choice Requires="wps">
            <w:drawing>
              <wp:anchor distT="0" distB="0" distL="0" distR="0" allowOverlap="1" layoutInCell="1" locked="0" behindDoc="0" simplePos="0" relativeHeight="15730176">
                <wp:simplePos x="0" y="0"/>
                <wp:positionH relativeFrom="page">
                  <wp:posOffset>5917641</wp:posOffset>
                </wp:positionH>
                <wp:positionV relativeFrom="page">
                  <wp:posOffset>719048</wp:posOffset>
                </wp:positionV>
                <wp:extent cx="1854835" cy="122491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1854835" cy="1224915"/>
                          <a:chExt cx="1854835" cy="1224915"/>
                        </a:xfrm>
                      </wpg:grpSpPr>
                      <wps:wsp>
                        <wps:cNvPr id="2" name="Graphic 2"/>
                        <wps:cNvSpPr/>
                        <wps:spPr>
                          <a:xfrm>
                            <a:off x="0" y="0"/>
                            <a:ext cx="1854835" cy="1224915"/>
                          </a:xfrm>
                          <a:custGeom>
                            <a:avLst/>
                            <a:gdLst/>
                            <a:ahLst/>
                            <a:cxnLst/>
                            <a:rect l="l" t="t" r="r" b="b"/>
                            <a:pathLst>
                              <a:path w="1854835" h="1224915">
                                <a:moveTo>
                                  <a:pt x="1854758" y="0"/>
                                </a:moveTo>
                                <a:lnTo>
                                  <a:pt x="296989" y="0"/>
                                </a:lnTo>
                                <a:lnTo>
                                  <a:pt x="248819" y="3886"/>
                                </a:lnTo>
                                <a:lnTo>
                                  <a:pt x="203123" y="15139"/>
                                </a:lnTo>
                                <a:lnTo>
                                  <a:pt x="160512" y="33147"/>
                                </a:lnTo>
                                <a:lnTo>
                                  <a:pt x="121597" y="57298"/>
                                </a:lnTo>
                                <a:lnTo>
                                  <a:pt x="86991" y="86982"/>
                                </a:lnTo>
                                <a:lnTo>
                                  <a:pt x="57306" y="121586"/>
                                </a:lnTo>
                                <a:lnTo>
                                  <a:pt x="33152" y="160501"/>
                                </a:lnTo>
                                <a:lnTo>
                                  <a:pt x="15142" y="203113"/>
                                </a:lnTo>
                                <a:lnTo>
                                  <a:pt x="3887" y="248813"/>
                                </a:lnTo>
                                <a:lnTo>
                                  <a:pt x="0" y="296989"/>
                                </a:lnTo>
                                <a:lnTo>
                                  <a:pt x="0" y="927798"/>
                                </a:lnTo>
                                <a:lnTo>
                                  <a:pt x="3887" y="975971"/>
                                </a:lnTo>
                                <a:lnTo>
                                  <a:pt x="15142" y="1021669"/>
                                </a:lnTo>
                                <a:lnTo>
                                  <a:pt x="33152" y="1064281"/>
                                </a:lnTo>
                                <a:lnTo>
                                  <a:pt x="57306" y="1103195"/>
                                </a:lnTo>
                                <a:lnTo>
                                  <a:pt x="86991" y="1137800"/>
                                </a:lnTo>
                                <a:lnTo>
                                  <a:pt x="121597" y="1167485"/>
                                </a:lnTo>
                                <a:lnTo>
                                  <a:pt x="160512" y="1191638"/>
                                </a:lnTo>
                                <a:lnTo>
                                  <a:pt x="203123" y="1209647"/>
                                </a:lnTo>
                                <a:lnTo>
                                  <a:pt x="248819" y="1220900"/>
                                </a:lnTo>
                                <a:lnTo>
                                  <a:pt x="296989" y="1224788"/>
                                </a:lnTo>
                                <a:lnTo>
                                  <a:pt x="1854758" y="1224788"/>
                                </a:lnTo>
                                <a:lnTo>
                                  <a:pt x="1854758" y="0"/>
                                </a:lnTo>
                                <a:close/>
                              </a:path>
                            </a:pathLst>
                          </a:custGeom>
                          <a:solidFill>
                            <a:srgbClr val="A0C5EE"/>
                          </a:solidFill>
                        </wps:spPr>
                        <wps:bodyPr wrap="square" lIns="0" tIns="0" rIns="0" bIns="0" rtlCol="0">
                          <a:prstTxWarp prst="textNoShape">
                            <a:avLst/>
                          </a:prstTxWarp>
                          <a:noAutofit/>
                        </wps:bodyPr>
                      </wps:wsp>
                      <wps:wsp>
                        <wps:cNvPr id="3" name="Textbox 3"/>
                        <wps:cNvSpPr txBox="1"/>
                        <wps:spPr>
                          <a:xfrm>
                            <a:off x="0" y="0"/>
                            <a:ext cx="1854835" cy="1224915"/>
                          </a:xfrm>
                          <a:prstGeom prst="rect">
                            <a:avLst/>
                          </a:prstGeom>
                        </wps:spPr>
                        <wps:txbx>
                          <w:txbxContent>
                            <w:p>
                              <w:pPr>
                                <w:spacing w:line="240" w:lineRule="auto" w:before="135"/>
                                <w:rPr>
                                  <w:rFonts w:ascii="Arial"/>
                                  <w:sz w:val="48"/>
                                </w:rPr>
                              </w:pPr>
                            </w:p>
                            <w:p>
                              <w:pPr>
                                <w:spacing w:before="0"/>
                                <w:ind w:left="971" w:right="0" w:firstLine="0"/>
                                <w:jc w:val="left"/>
                                <w:rPr>
                                  <w:rFonts w:ascii="Arial"/>
                                  <w:b/>
                                  <w:sz w:val="48"/>
                                </w:rPr>
                              </w:pPr>
                              <w:r>
                                <w:rPr>
                                  <w:rFonts w:ascii="Arial"/>
                                  <w:b/>
                                  <w:color w:val="FFFFFF"/>
                                  <w:spacing w:val="-4"/>
                                  <w:w w:val="130"/>
                                  <w:sz w:val="48"/>
                                </w:rPr>
                                <w:t>2023</w:t>
                              </w:r>
                            </w:p>
                          </w:txbxContent>
                        </wps:txbx>
                        <wps:bodyPr wrap="square" lIns="0" tIns="0" rIns="0" bIns="0" rtlCol="0">
                          <a:noAutofit/>
                        </wps:bodyPr>
                      </wps:wsp>
                    </wpg:wgp>
                  </a:graphicData>
                </a:graphic>
              </wp:anchor>
            </w:drawing>
          </mc:Choice>
          <mc:Fallback>
            <w:pict>
              <v:group style="position:absolute;margin-left:465.955994pt;margin-top:56.618015pt;width:146.050pt;height:96.45pt;mso-position-horizontal-relative:page;mso-position-vertical-relative:page;z-index:15730176" id="docshapegroup1" coordorigin="9319,1132" coordsize="2921,1929">
                <v:shape style="position:absolute;left:9319;top:1132;width:2921;height:1929" id="docshape2" coordorigin="9319,1132" coordsize="2921,1929" path="m12240,1132l9787,1132,9711,1138,9639,1156,9572,1185,9511,1223,9456,1269,9409,1324,9371,1385,9343,1452,9325,1524,9319,1600,9319,2593,9325,2669,9343,2741,9371,2808,9409,2870,9456,2924,9511,2971,9572,3009,9639,3037,9711,3055,9787,3061,12240,3061,12240,1132xe" filled="true" fillcolor="#a0c5ee" stroked="false">
                  <v:path arrowok="t"/>
                  <v:fill type="solid"/>
                </v:shape>
                <v:shapetype id="_x0000_t202" o:spt="202" coordsize="21600,21600" path="m,l,21600r21600,l21600,xe">
                  <v:stroke joinstyle="miter"/>
                  <v:path gradientshapeok="t" o:connecttype="rect"/>
                </v:shapetype>
                <v:shape style="position:absolute;left:9319;top:1132;width:2921;height:1929" type="#_x0000_t202" id="docshape3" filled="false" stroked="false">
                  <v:textbox inset="0,0,0,0">
                    <w:txbxContent>
                      <w:p>
                        <w:pPr>
                          <w:spacing w:line="240" w:lineRule="auto" w:before="135"/>
                          <w:rPr>
                            <w:rFonts w:ascii="Arial"/>
                            <w:sz w:val="48"/>
                          </w:rPr>
                        </w:pPr>
                      </w:p>
                      <w:p>
                        <w:pPr>
                          <w:spacing w:before="0"/>
                          <w:ind w:left="971" w:right="0" w:firstLine="0"/>
                          <w:jc w:val="left"/>
                          <w:rPr>
                            <w:rFonts w:ascii="Arial"/>
                            <w:b/>
                            <w:sz w:val="48"/>
                          </w:rPr>
                        </w:pPr>
                        <w:r>
                          <w:rPr>
                            <w:rFonts w:ascii="Arial"/>
                            <w:b/>
                            <w:color w:val="FFFFFF"/>
                            <w:spacing w:val="-4"/>
                            <w:w w:val="130"/>
                            <w:sz w:val="48"/>
                          </w:rPr>
                          <w:t>2023</w:t>
                        </w:r>
                      </w:p>
                    </w:txbxContent>
                  </v:textbox>
                  <w10:wrap type="none"/>
                </v:shape>
                <w10:wrap type="none"/>
              </v:group>
            </w:pict>
          </mc:Fallback>
        </mc:AlternateContent>
      </w:r>
      <w:r>
        <w:rPr>
          <w:sz w:val="20"/>
        </w:rPr>
        <mc:AlternateContent>
          <mc:Choice Requires="wps">
            <w:drawing>
              <wp:inline distT="0" distB="0" distL="0" distR="0">
                <wp:extent cx="4822190" cy="2892425"/>
                <wp:effectExtent l="0" t="0" r="0" b="3175"/>
                <wp:docPr id="4" name="Group 4"/>
                <wp:cNvGraphicFramePr>
                  <a:graphicFrameLocks/>
                </wp:cNvGraphicFramePr>
                <a:graphic>
                  <a:graphicData uri="http://schemas.microsoft.com/office/word/2010/wordprocessingGroup">
                    <wpg:wgp>
                      <wpg:cNvPr id="4" name="Group 4"/>
                      <wpg:cNvGrpSpPr/>
                      <wpg:grpSpPr>
                        <a:xfrm>
                          <a:off x="0" y="0"/>
                          <a:ext cx="4822190" cy="2892425"/>
                          <a:chExt cx="4822190" cy="2892425"/>
                        </a:xfrm>
                      </wpg:grpSpPr>
                      <wps:wsp>
                        <wps:cNvPr id="5" name="Graphic 5"/>
                        <wps:cNvSpPr/>
                        <wps:spPr>
                          <a:xfrm>
                            <a:off x="0" y="0"/>
                            <a:ext cx="4822190" cy="2892425"/>
                          </a:xfrm>
                          <a:custGeom>
                            <a:avLst/>
                            <a:gdLst/>
                            <a:ahLst/>
                            <a:cxnLst/>
                            <a:rect l="l" t="t" r="r" b="b"/>
                            <a:pathLst>
                              <a:path w="4822190" h="2892425">
                                <a:moveTo>
                                  <a:pt x="4524895" y="0"/>
                                </a:moveTo>
                                <a:lnTo>
                                  <a:pt x="0" y="0"/>
                                </a:lnTo>
                                <a:lnTo>
                                  <a:pt x="0" y="2892259"/>
                                </a:lnTo>
                                <a:lnTo>
                                  <a:pt x="4524895" y="2892259"/>
                                </a:lnTo>
                                <a:lnTo>
                                  <a:pt x="4573065" y="2888372"/>
                                </a:lnTo>
                                <a:lnTo>
                                  <a:pt x="4618761" y="2877118"/>
                                </a:lnTo>
                                <a:lnTo>
                                  <a:pt x="4661372" y="2859110"/>
                                </a:lnTo>
                                <a:lnTo>
                                  <a:pt x="4700287" y="2834957"/>
                                </a:lnTo>
                                <a:lnTo>
                                  <a:pt x="4734893" y="2805272"/>
                                </a:lnTo>
                                <a:lnTo>
                                  <a:pt x="4764579" y="2770667"/>
                                </a:lnTo>
                                <a:lnTo>
                                  <a:pt x="4788732" y="2731753"/>
                                </a:lnTo>
                                <a:lnTo>
                                  <a:pt x="4806743" y="2689141"/>
                                </a:lnTo>
                                <a:lnTo>
                                  <a:pt x="4817997" y="2643443"/>
                                </a:lnTo>
                                <a:lnTo>
                                  <a:pt x="4821885" y="2595270"/>
                                </a:lnTo>
                                <a:lnTo>
                                  <a:pt x="4821885" y="296989"/>
                                </a:lnTo>
                                <a:lnTo>
                                  <a:pt x="4817997" y="248813"/>
                                </a:lnTo>
                                <a:lnTo>
                                  <a:pt x="4806743" y="203113"/>
                                </a:lnTo>
                                <a:lnTo>
                                  <a:pt x="4788732" y="160501"/>
                                </a:lnTo>
                                <a:lnTo>
                                  <a:pt x="4764579" y="121586"/>
                                </a:lnTo>
                                <a:lnTo>
                                  <a:pt x="4734893" y="86982"/>
                                </a:lnTo>
                                <a:lnTo>
                                  <a:pt x="4700287" y="57298"/>
                                </a:lnTo>
                                <a:lnTo>
                                  <a:pt x="4661372" y="33147"/>
                                </a:lnTo>
                                <a:lnTo>
                                  <a:pt x="4618761" y="15139"/>
                                </a:lnTo>
                                <a:lnTo>
                                  <a:pt x="4573065" y="3886"/>
                                </a:lnTo>
                                <a:lnTo>
                                  <a:pt x="4524895" y="0"/>
                                </a:lnTo>
                                <a:close/>
                              </a:path>
                            </a:pathLst>
                          </a:custGeom>
                          <a:solidFill>
                            <a:srgbClr val="008FDD"/>
                          </a:solidFill>
                        </wps:spPr>
                        <wps:bodyPr wrap="square" lIns="0" tIns="0" rIns="0" bIns="0" rtlCol="0">
                          <a:prstTxWarp prst="textNoShape">
                            <a:avLst/>
                          </a:prstTxWarp>
                          <a:noAutofit/>
                        </wps:bodyPr>
                      </wps:wsp>
                      <wps:wsp>
                        <wps:cNvPr id="6" name="Graphic 6"/>
                        <wps:cNvSpPr/>
                        <wps:spPr>
                          <a:xfrm>
                            <a:off x="511770" y="2332932"/>
                            <a:ext cx="3240405" cy="1270"/>
                          </a:xfrm>
                          <a:custGeom>
                            <a:avLst/>
                            <a:gdLst/>
                            <a:ahLst/>
                            <a:cxnLst/>
                            <a:rect l="l" t="t" r="r" b="b"/>
                            <a:pathLst>
                              <a:path w="3240405" h="0">
                                <a:moveTo>
                                  <a:pt x="0" y="0"/>
                                </a:moveTo>
                                <a:lnTo>
                                  <a:pt x="3239998" y="0"/>
                                </a:lnTo>
                              </a:path>
                            </a:pathLst>
                          </a:custGeom>
                          <a:ln w="101600">
                            <a:solidFill>
                              <a:srgbClr val="A0C5EE"/>
                            </a:solidFill>
                            <a:prstDash val="solid"/>
                          </a:ln>
                        </wps:spPr>
                        <wps:bodyPr wrap="square" lIns="0" tIns="0" rIns="0" bIns="0" rtlCol="0">
                          <a:prstTxWarp prst="textNoShape">
                            <a:avLst/>
                          </a:prstTxWarp>
                          <a:noAutofit/>
                        </wps:bodyPr>
                      </wps:wsp>
                      <wps:wsp>
                        <wps:cNvPr id="7" name="Textbox 7"/>
                        <wps:cNvSpPr txBox="1"/>
                        <wps:spPr>
                          <a:xfrm>
                            <a:off x="0" y="0"/>
                            <a:ext cx="4822190" cy="2892425"/>
                          </a:xfrm>
                          <a:prstGeom prst="rect">
                            <a:avLst/>
                          </a:prstGeom>
                        </wps:spPr>
                        <wps:txbx>
                          <w:txbxContent>
                            <w:p>
                              <w:pPr>
                                <w:spacing w:line="242" w:lineRule="auto" w:before="462"/>
                                <w:ind w:left="805" w:right="2203" w:firstLine="0"/>
                                <w:jc w:val="left"/>
                                <w:rPr>
                                  <w:rFonts w:ascii="Arial"/>
                                  <w:sz w:val="72"/>
                                </w:rPr>
                              </w:pPr>
                              <w:r>
                                <w:rPr>
                                  <w:rFonts w:ascii="Arial"/>
                                  <w:color w:val="FFFFFF"/>
                                  <w:spacing w:val="26"/>
                                  <w:sz w:val="72"/>
                                </w:rPr>
                                <w:t>Connecting </w:t>
                              </w:r>
                              <w:r>
                                <w:rPr>
                                  <w:rFonts w:ascii="Arial"/>
                                  <w:color w:val="FFFFFF"/>
                                  <w:spacing w:val="36"/>
                                  <w:w w:val="105"/>
                                  <w:sz w:val="72"/>
                                </w:rPr>
                                <w:t>to</w:t>
                              </w:r>
                            </w:p>
                            <w:p>
                              <w:pPr>
                                <w:spacing w:before="8"/>
                                <w:ind w:left="805" w:right="0" w:firstLine="0"/>
                                <w:jc w:val="left"/>
                                <w:rPr>
                                  <w:rFonts w:ascii="Arial"/>
                                  <w:sz w:val="72"/>
                                </w:rPr>
                              </w:pPr>
                              <w:r>
                                <w:rPr>
                                  <w:rFonts w:ascii="Arial"/>
                                  <w:color w:val="FFFFFF"/>
                                  <w:spacing w:val="26"/>
                                  <w:w w:val="105"/>
                                  <w:sz w:val="72"/>
                                </w:rPr>
                                <w:t>Compete</w:t>
                              </w:r>
                            </w:p>
                          </w:txbxContent>
                        </wps:txbx>
                        <wps:bodyPr wrap="square" lIns="0" tIns="0" rIns="0" bIns="0" rtlCol="0">
                          <a:noAutofit/>
                        </wps:bodyPr>
                      </wps:wsp>
                    </wpg:wgp>
                  </a:graphicData>
                </a:graphic>
              </wp:inline>
            </w:drawing>
          </mc:Choice>
          <mc:Fallback>
            <w:pict>
              <v:group style="width:379.7pt;height:227.75pt;mso-position-horizontal-relative:char;mso-position-vertical-relative:line" id="docshapegroup4" coordorigin="0,0" coordsize="7594,4555">
                <v:shape style="position:absolute;left:0;top:0;width:7594;height:4555" id="docshape5" coordorigin="0,0" coordsize="7594,4555" path="m7126,0l0,0,0,4555,7126,4555,7202,4549,7274,4531,7341,4503,7402,4465,7457,4418,7503,4363,7541,4302,7570,4235,7587,4163,7594,4087,7594,468,7587,392,7570,320,7541,253,7503,191,7457,137,7402,90,7341,52,7274,24,7202,6,7126,0xe" filled="true" fillcolor="#008fdd" stroked="false">
                  <v:path arrowok="t"/>
                  <v:fill type="solid"/>
                </v:shape>
                <v:line style="position:absolute" from="806,3674" to="5908,3674" stroked="true" strokeweight="8pt" strokecolor="#a0c5ee">
                  <v:stroke dashstyle="solid"/>
                </v:line>
                <v:shape style="position:absolute;left:0;top:0;width:7594;height:4555" type="#_x0000_t202" id="docshape6" filled="false" stroked="false">
                  <v:textbox inset="0,0,0,0">
                    <w:txbxContent>
                      <w:p>
                        <w:pPr>
                          <w:spacing w:line="242" w:lineRule="auto" w:before="462"/>
                          <w:ind w:left="805" w:right="2203" w:firstLine="0"/>
                          <w:jc w:val="left"/>
                          <w:rPr>
                            <w:rFonts w:ascii="Arial"/>
                            <w:sz w:val="72"/>
                          </w:rPr>
                        </w:pPr>
                        <w:r>
                          <w:rPr>
                            <w:rFonts w:ascii="Arial"/>
                            <w:color w:val="FFFFFF"/>
                            <w:spacing w:val="26"/>
                            <w:sz w:val="72"/>
                          </w:rPr>
                          <w:t>Connecting </w:t>
                        </w:r>
                        <w:r>
                          <w:rPr>
                            <w:rFonts w:ascii="Arial"/>
                            <w:color w:val="FFFFFF"/>
                            <w:spacing w:val="36"/>
                            <w:w w:val="105"/>
                            <w:sz w:val="72"/>
                          </w:rPr>
                          <w:t>to</w:t>
                        </w:r>
                      </w:p>
                      <w:p>
                        <w:pPr>
                          <w:spacing w:before="8"/>
                          <w:ind w:left="805" w:right="0" w:firstLine="0"/>
                          <w:jc w:val="left"/>
                          <w:rPr>
                            <w:rFonts w:ascii="Arial"/>
                            <w:sz w:val="72"/>
                          </w:rPr>
                        </w:pPr>
                        <w:r>
                          <w:rPr>
                            <w:rFonts w:ascii="Arial"/>
                            <w:color w:val="FFFFFF"/>
                            <w:spacing w:val="26"/>
                            <w:w w:val="105"/>
                            <w:sz w:val="72"/>
                          </w:rPr>
                          <w:t>Compete</w:t>
                        </w:r>
                      </w:p>
                    </w:txbxContent>
                  </v:textbox>
                  <w10:wrap type="none"/>
                </v:shape>
              </v:group>
            </w:pict>
          </mc:Fallback>
        </mc:AlternateContent>
      </w:r>
      <w:r>
        <w:rPr>
          <w:sz w:val="20"/>
        </w:rPr>
      </w:r>
    </w:p>
    <w:p>
      <w:pPr>
        <w:spacing w:line="300" w:lineRule="auto" w:before="286"/>
        <w:ind w:left="810" w:right="4832" w:firstLine="0"/>
        <w:jc w:val="left"/>
        <w:rPr>
          <w:rFonts w:ascii="Arial"/>
          <w:sz w:val="50"/>
        </w:rPr>
      </w:pPr>
      <w:r>
        <w:rPr/>
        <mc:AlternateContent>
          <mc:Choice Requires="wps">
            <w:drawing>
              <wp:anchor distT="0" distB="0" distL="0" distR="0" allowOverlap="1" layoutInCell="1" locked="0" behindDoc="0" simplePos="0" relativeHeight="15729664">
                <wp:simplePos x="0" y="0"/>
                <wp:positionH relativeFrom="page">
                  <wp:posOffset>0</wp:posOffset>
                </wp:positionH>
                <wp:positionV relativeFrom="paragraph">
                  <wp:posOffset>663530</wp:posOffset>
                </wp:positionV>
                <wp:extent cx="2540" cy="420116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2540" cy="4201160"/>
                        </a:xfrm>
                        <a:custGeom>
                          <a:avLst/>
                          <a:gdLst/>
                          <a:ahLst/>
                          <a:cxnLst/>
                          <a:rect l="l" t="t" r="r" b="b"/>
                          <a:pathLst>
                            <a:path w="2540" h="4201160">
                              <a:moveTo>
                                <a:pt x="2269" y="0"/>
                              </a:moveTo>
                              <a:lnTo>
                                <a:pt x="0" y="0"/>
                              </a:lnTo>
                              <a:lnTo>
                                <a:pt x="0" y="4200994"/>
                              </a:lnTo>
                              <a:lnTo>
                                <a:pt x="2269" y="4200994"/>
                              </a:lnTo>
                              <a:lnTo>
                                <a:pt x="2269"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52.246498pt;width:.1787pt;height:330.787pt;mso-position-horizontal-relative:page;mso-position-vertical-relative:paragraph;z-index:15729664" id="docshape7" filled="true" fillcolor="#e6e7e8" stroked="false">
                <v:fill type="solid"/>
                <w10:wrap type="none"/>
              </v:rect>
            </w:pict>
          </mc:Fallback>
        </mc:AlternateContent>
      </w:r>
      <w:r>
        <w:rPr>
          <w:rFonts w:ascii="Arial"/>
          <w:color w:val="008FDD"/>
          <w:w w:val="105"/>
          <w:sz w:val="50"/>
        </w:rPr>
        <w:t>Trade </w:t>
      </w:r>
      <w:r>
        <w:rPr>
          <w:rFonts w:ascii="Arial"/>
          <w:color w:val="008FDD"/>
          <w:spacing w:val="11"/>
          <w:w w:val="105"/>
          <w:sz w:val="50"/>
        </w:rPr>
        <w:t>Logistics </w:t>
      </w:r>
      <w:r>
        <w:rPr>
          <w:rFonts w:ascii="Arial"/>
          <w:color w:val="008FDD"/>
          <w:w w:val="105"/>
          <w:sz w:val="50"/>
        </w:rPr>
        <w:t>in the Global </w:t>
      </w:r>
      <w:r>
        <w:rPr>
          <w:rFonts w:ascii="Arial"/>
          <w:color w:val="008FDD"/>
          <w:spacing w:val="9"/>
          <w:w w:val="105"/>
          <w:sz w:val="50"/>
        </w:rPr>
        <w:t>Economy</w:t>
      </w:r>
    </w:p>
    <w:p>
      <w:pPr>
        <w:pStyle w:val="BodyText"/>
        <w:spacing w:before="5"/>
        <w:rPr>
          <w:rFonts w:ascii="Arial"/>
          <w:sz w:val="16"/>
        </w:rPr>
      </w:pPr>
      <w:r>
        <w:rPr/>
        <mc:AlternateContent>
          <mc:Choice Requires="wps">
            <w:drawing>
              <wp:anchor distT="0" distB="0" distL="0" distR="0" allowOverlap="1" layoutInCell="1" locked="0" behindDoc="1" simplePos="0" relativeHeight="487588352">
                <wp:simplePos x="0" y="0"/>
                <wp:positionH relativeFrom="page">
                  <wp:posOffset>711542</wp:posOffset>
                </wp:positionH>
                <wp:positionV relativeFrom="paragraph">
                  <wp:posOffset>135251</wp:posOffset>
                </wp:positionV>
                <wp:extent cx="5900420" cy="3622040"/>
                <wp:effectExtent l="0" t="0" r="0" b="0"/>
                <wp:wrapTopAndBottom/>
                <wp:docPr id="9" name="Group 9"/>
                <wp:cNvGraphicFramePr>
                  <a:graphicFrameLocks/>
                </wp:cNvGraphicFramePr>
                <a:graphic>
                  <a:graphicData uri="http://schemas.microsoft.com/office/word/2010/wordprocessingGroup">
                    <wpg:wgp>
                      <wpg:cNvPr id="9" name="Group 9"/>
                      <wpg:cNvGrpSpPr/>
                      <wpg:grpSpPr>
                        <a:xfrm>
                          <a:off x="0" y="0"/>
                          <a:ext cx="5900420" cy="3622040"/>
                          <a:chExt cx="5900420" cy="3622040"/>
                        </a:xfrm>
                      </wpg:grpSpPr>
                      <wps:wsp>
                        <wps:cNvPr id="10" name="Graphic 10"/>
                        <wps:cNvSpPr/>
                        <wps:spPr>
                          <a:xfrm>
                            <a:off x="2093067" y="491610"/>
                            <a:ext cx="1780539" cy="892175"/>
                          </a:xfrm>
                          <a:custGeom>
                            <a:avLst/>
                            <a:gdLst/>
                            <a:ahLst/>
                            <a:cxnLst/>
                            <a:rect l="l" t="t" r="r" b="b"/>
                            <a:pathLst>
                              <a:path w="1780539" h="892175">
                                <a:moveTo>
                                  <a:pt x="1780374" y="812"/>
                                </a:moveTo>
                                <a:lnTo>
                                  <a:pt x="1779056" y="49700"/>
                                </a:lnTo>
                                <a:lnTo>
                                  <a:pt x="1775146" y="97899"/>
                                </a:lnTo>
                                <a:lnTo>
                                  <a:pt x="1768712" y="145341"/>
                                </a:lnTo>
                                <a:lnTo>
                                  <a:pt x="1759823" y="191957"/>
                                </a:lnTo>
                                <a:lnTo>
                                  <a:pt x="1748546" y="237681"/>
                                </a:lnTo>
                                <a:lnTo>
                                  <a:pt x="1734949" y="282443"/>
                                </a:lnTo>
                                <a:lnTo>
                                  <a:pt x="1719100" y="326177"/>
                                </a:lnTo>
                                <a:lnTo>
                                  <a:pt x="1701068" y="368814"/>
                                </a:lnTo>
                                <a:lnTo>
                                  <a:pt x="1680919" y="410286"/>
                                </a:lnTo>
                                <a:lnTo>
                                  <a:pt x="1658723" y="450525"/>
                                </a:lnTo>
                                <a:lnTo>
                                  <a:pt x="1634546" y="489464"/>
                                </a:lnTo>
                                <a:lnTo>
                                  <a:pt x="1608457" y="527034"/>
                                </a:lnTo>
                                <a:lnTo>
                                  <a:pt x="1580525" y="563167"/>
                                </a:lnTo>
                                <a:lnTo>
                                  <a:pt x="1550816" y="597796"/>
                                </a:lnTo>
                                <a:lnTo>
                                  <a:pt x="1519399" y="630853"/>
                                </a:lnTo>
                                <a:lnTo>
                                  <a:pt x="1486342" y="662269"/>
                                </a:lnTo>
                                <a:lnTo>
                                  <a:pt x="1451712" y="691977"/>
                                </a:lnTo>
                                <a:lnTo>
                                  <a:pt x="1415578" y="719909"/>
                                </a:lnTo>
                                <a:lnTo>
                                  <a:pt x="1378008" y="745997"/>
                                </a:lnTo>
                                <a:lnTo>
                                  <a:pt x="1339069" y="770173"/>
                                </a:lnTo>
                                <a:lnTo>
                                  <a:pt x="1298830" y="792368"/>
                                </a:lnTo>
                                <a:lnTo>
                                  <a:pt x="1257358" y="812516"/>
                                </a:lnTo>
                                <a:lnTo>
                                  <a:pt x="1214722" y="830548"/>
                                </a:lnTo>
                                <a:lnTo>
                                  <a:pt x="1170989" y="846396"/>
                                </a:lnTo>
                                <a:lnTo>
                                  <a:pt x="1126227" y="859992"/>
                                </a:lnTo>
                                <a:lnTo>
                                  <a:pt x="1080505" y="871269"/>
                                </a:lnTo>
                                <a:lnTo>
                                  <a:pt x="1033890" y="880157"/>
                                </a:lnTo>
                                <a:lnTo>
                                  <a:pt x="986450" y="886591"/>
                                </a:lnTo>
                                <a:lnTo>
                                  <a:pt x="938253" y="890501"/>
                                </a:lnTo>
                                <a:lnTo>
                                  <a:pt x="889368" y="891819"/>
                                </a:lnTo>
                                <a:lnTo>
                                  <a:pt x="840484" y="890498"/>
                                </a:lnTo>
                                <a:lnTo>
                                  <a:pt x="792300" y="886580"/>
                                </a:lnTo>
                                <a:lnTo>
                                  <a:pt x="744882" y="880135"/>
                                </a:lnTo>
                                <a:lnTo>
                                  <a:pt x="698299" y="871229"/>
                                </a:lnTo>
                                <a:lnTo>
                                  <a:pt x="652616" y="859932"/>
                                </a:lnTo>
                                <a:lnTo>
                                  <a:pt x="607902" y="846311"/>
                                </a:lnTo>
                                <a:lnTo>
                                  <a:pt x="564224" y="830436"/>
                                </a:lnTo>
                                <a:lnTo>
                                  <a:pt x="521648" y="812373"/>
                                </a:lnTo>
                                <a:lnTo>
                                  <a:pt x="480243" y="792193"/>
                                </a:lnTo>
                                <a:lnTo>
                                  <a:pt x="440074" y="769962"/>
                                </a:lnTo>
                                <a:lnTo>
                                  <a:pt x="401210" y="745749"/>
                                </a:lnTo>
                                <a:lnTo>
                                  <a:pt x="363718" y="719623"/>
                                </a:lnTo>
                                <a:lnTo>
                                  <a:pt x="327664" y="691652"/>
                                </a:lnTo>
                                <a:lnTo>
                                  <a:pt x="293116" y="661903"/>
                                </a:lnTo>
                                <a:lnTo>
                                  <a:pt x="260142" y="630447"/>
                                </a:lnTo>
                                <a:lnTo>
                                  <a:pt x="228807" y="597349"/>
                                </a:lnTo>
                                <a:lnTo>
                                  <a:pt x="199181" y="562680"/>
                                </a:lnTo>
                                <a:lnTo>
                                  <a:pt x="171329" y="526507"/>
                                </a:lnTo>
                                <a:lnTo>
                                  <a:pt x="145319" y="488898"/>
                                </a:lnTo>
                                <a:lnTo>
                                  <a:pt x="121218" y="449923"/>
                                </a:lnTo>
                                <a:lnTo>
                                  <a:pt x="99094" y="409648"/>
                                </a:lnTo>
                                <a:lnTo>
                                  <a:pt x="79013" y="368143"/>
                                </a:lnTo>
                                <a:lnTo>
                                  <a:pt x="61043" y="325476"/>
                                </a:lnTo>
                                <a:lnTo>
                                  <a:pt x="45251" y="281715"/>
                                </a:lnTo>
                                <a:lnTo>
                                  <a:pt x="31704" y="236928"/>
                                </a:lnTo>
                                <a:lnTo>
                                  <a:pt x="20470" y="191184"/>
                                </a:lnTo>
                                <a:lnTo>
                                  <a:pt x="11615" y="144551"/>
                                </a:lnTo>
                                <a:lnTo>
                                  <a:pt x="5207" y="97097"/>
                                </a:lnTo>
                                <a:lnTo>
                                  <a:pt x="1312" y="48890"/>
                                </a:lnTo>
                                <a:lnTo>
                                  <a:pt x="0" y="0"/>
                                </a:lnTo>
                              </a:path>
                            </a:pathLst>
                          </a:custGeom>
                          <a:ln w="317500">
                            <a:solidFill>
                              <a:srgbClr val="6A1C31"/>
                            </a:solidFill>
                            <a:prstDash val="solid"/>
                          </a:ln>
                        </wps:spPr>
                        <wps:bodyPr wrap="square" lIns="0" tIns="0" rIns="0" bIns="0" rtlCol="0">
                          <a:prstTxWarp prst="textNoShape">
                            <a:avLst/>
                          </a:prstTxWarp>
                          <a:noAutofit/>
                        </wps:bodyPr>
                      </wps:wsp>
                      <wps:wsp>
                        <wps:cNvPr id="11" name="Graphic 11"/>
                        <wps:cNvSpPr/>
                        <wps:spPr>
                          <a:xfrm>
                            <a:off x="1496823" y="492692"/>
                            <a:ext cx="2970530" cy="2970530"/>
                          </a:xfrm>
                          <a:custGeom>
                            <a:avLst/>
                            <a:gdLst/>
                            <a:ahLst/>
                            <a:cxnLst/>
                            <a:rect l="l" t="t" r="r" b="b"/>
                            <a:pathLst>
                              <a:path w="2970530" h="2970530">
                                <a:moveTo>
                                  <a:pt x="2969996" y="2672981"/>
                                </a:moveTo>
                                <a:lnTo>
                                  <a:pt x="2966109" y="2721157"/>
                                </a:lnTo>
                                <a:lnTo>
                                  <a:pt x="2954854" y="2766857"/>
                                </a:lnTo>
                                <a:lnTo>
                                  <a:pt x="2936843" y="2809470"/>
                                </a:lnTo>
                                <a:lnTo>
                                  <a:pt x="2912689" y="2848384"/>
                                </a:lnTo>
                                <a:lnTo>
                                  <a:pt x="2883003" y="2882988"/>
                                </a:lnTo>
                                <a:lnTo>
                                  <a:pt x="2848396" y="2912672"/>
                                </a:lnTo>
                                <a:lnTo>
                                  <a:pt x="2809479" y="2936823"/>
                                </a:lnTo>
                                <a:lnTo>
                                  <a:pt x="2766866" y="2954831"/>
                                </a:lnTo>
                                <a:lnTo>
                                  <a:pt x="2721167" y="2966084"/>
                                </a:lnTo>
                                <a:lnTo>
                                  <a:pt x="2672994" y="2969971"/>
                                </a:lnTo>
                                <a:lnTo>
                                  <a:pt x="297014" y="2969971"/>
                                </a:lnTo>
                                <a:lnTo>
                                  <a:pt x="248832" y="2966084"/>
                                </a:lnTo>
                                <a:lnTo>
                                  <a:pt x="203126" y="2954831"/>
                                </a:lnTo>
                                <a:lnTo>
                                  <a:pt x="160509" y="2936823"/>
                                </a:lnTo>
                                <a:lnTo>
                                  <a:pt x="121592" y="2912672"/>
                                </a:lnTo>
                                <a:lnTo>
                                  <a:pt x="86985" y="2882988"/>
                                </a:lnTo>
                                <a:lnTo>
                                  <a:pt x="57300" y="2848384"/>
                                </a:lnTo>
                                <a:lnTo>
                                  <a:pt x="33148" y="2809470"/>
                                </a:lnTo>
                                <a:lnTo>
                                  <a:pt x="15139" y="2766857"/>
                                </a:lnTo>
                                <a:lnTo>
                                  <a:pt x="3886" y="2721157"/>
                                </a:lnTo>
                                <a:lnTo>
                                  <a:pt x="0" y="2672981"/>
                                </a:lnTo>
                                <a:lnTo>
                                  <a:pt x="0" y="296964"/>
                                </a:lnTo>
                                <a:lnTo>
                                  <a:pt x="3886" y="248789"/>
                                </a:lnTo>
                                <a:lnTo>
                                  <a:pt x="15139" y="203091"/>
                                </a:lnTo>
                                <a:lnTo>
                                  <a:pt x="33148" y="160481"/>
                                </a:lnTo>
                                <a:lnTo>
                                  <a:pt x="57300" y="121570"/>
                                </a:lnTo>
                                <a:lnTo>
                                  <a:pt x="86985" y="86969"/>
                                </a:lnTo>
                                <a:lnTo>
                                  <a:pt x="121592" y="57289"/>
                                </a:lnTo>
                                <a:lnTo>
                                  <a:pt x="160509" y="33141"/>
                                </a:lnTo>
                                <a:lnTo>
                                  <a:pt x="203126" y="15137"/>
                                </a:lnTo>
                                <a:lnTo>
                                  <a:pt x="248832" y="3886"/>
                                </a:lnTo>
                                <a:lnTo>
                                  <a:pt x="297014" y="0"/>
                                </a:lnTo>
                                <a:lnTo>
                                  <a:pt x="2672994" y="0"/>
                                </a:lnTo>
                                <a:lnTo>
                                  <a:pt x="2721167" y="3886"/>
                                </a:lnTo>
                                <a:lnTo>
                                  <a:pt x="2766866" y="15137"/>
                                </a:lnTo>
                                <a:lnTo>
                                  <a:pt x="2809479" y="33141"/>
                                </a:lnTo>
                                <a:lnTo>
                                  <a:pt x="2848396" y="57289"/>
                                </a:lnTo>
                                <a:lnTo>
                                  <a:pt x="2883003" y="86969"/>
                                </a:lnTo>
                                <a:lnTo>
                                  <a:pt x="2912689" y="121570"/>
                                </a:lnTo>
                                <a:lnTo>
                                  <a:pt x="2936843" y="160481"/>
                                </a:lnTo>
                                <a:lnTo>
                                  <a:pt x="2954854" y="203091"/>
                                </a:lnTo>
                                <a:lnTo>
                                  <a:pt x="2966109" y="248789"/>
                                </a:lnTo>
                                <a:lnTo>
                                  <a:pt x="2969996" y="296964"/>
                                </a:lnTo>
                                <a:lnTo>
                                  <a:pt x="2969996" y="2672981"/>
                                </a:lnTo>
                                <a:close/>
                              </a:path>
                            </a:pathLst>
                          </a:custGeom>
                          <a:ln w="317500">
                            <a:solidFill>
                              <a:srgbClr val="008FDD"/>
                            </a:solidFill>
                            <a:prstDash val="solid"/>
                          </a:ln>
                        </wps:spPr>
                        <wps:bodyPr wrap="square" lIns="0" tIns="0" rIns="0" bIns="0" rtlCol="0">
                          <a:prstTxWarp prst="textNoShape">
                            <a:avLst/>
                          </a:prstTxWarp>
                          <a:noAutofit/>
                        </wps:bodyPr>
                      </wps:wsp>
                      <wps:wsp>
                        <wps:cNvPr id="12" name="Graphic 12"/>
                        <wps:cNvSpPr/>
                        <wps:spPr>
                          <a:xfrm>
                            <a:off x="2982866" y="492300"/>
                            <a:ext cx="854075" cy="2970530"/>
                          </a:xfrm>
                          <a:custGeom>
                            <a:avLst/>
                            <a:gdLst/>
                            <a:ahLst/>
                            <a:cxnLst/>
                            <a:rect l="l" t="t" r="r" b="b"/>
                            <a:pathLst>
                              <a:path w="854075" h="2970530">
                                <a:moveTo>
                                  <a:pt x="0" y="0"/>
                                </a:moveTo>
                                <a:lnTo>
                                  <a:pt x="41032" y="24717"/>
                                </a:lnTo>
                                <a:lnTo>
                                  <a:pt x="81310" y="50535"/>
                                </a:lnTo>
                                <a:lnTo>
                                  <a:pt x="120812" y="77431"/>
                                </a:lnTo>
                                <a:lnTo>
                                  <a:pt x="159517" y="105387"/>
                                </a:lnTo>
                                <a:lnTo>
                                  <a:pt x="197405" y="134379"/>
                                </a:lnTo>
                                <a:lnTo>
                                  <a:pt x="234454" y="164389"/>
                                </a:lnTo>
                                <a:lnTo>
                                  <a:pt x="270644" y="195395"/>
                                </a:lnTo>
                                <a:lnTo>
                                  <a:pt x="305955" y="227376"/>
                                </a:lnTo>
                                <a:lnTo>
                                  <a:pt x="340365" y="260311"/>
                                </a:lnTo>
                                <a:lnTo>
                                  <a:pt x="373853" y="294180"/>
                                </a:lnTo>
                                <a:lnTo>
                                  <a:pt x="406399" y="328962"/>
                                </a:lnTo>
                                <a:lnTo>
                                  <a:pt x="437982" y="364636"/>
                                </a:lnTo>
                                <a:lnTo>
                                  <a:pt x="468582" y="401181"/>
                                </a:lnTo>
                                <a:lnTo>
                                  <a:pt x="498176" y="438576"/>
                                </a:lnTo>
                                <a:lnTo>
                                  <a:pt x="526746" y="476801"/>
                                </a:lnTo>
                                <a:lnTo>
                                  <a:pt x="554269" y="515835"/>
                                </a:lnTo>
                                <a:lnTo>
                                  <a:pt x="580725" y="555656"/>
                                </a:lnTo>
                                <a:lnTo>
                                  <a:pt x="606093" y="596245"/>
                                </a:lnTo>
                                <a:lnTo>
                                  <a:pt x="630352" y="637581"/>
                                </a:lnTo>
                                <a:lnTo>
                                  <a:pt x="653483" y="679642"/>
                                </a:lnTo>
                                <a:lnTo>
                                  <a:pt x="675463" y="722407"/>
                                </a:lnTo>
                                <a:lnTo>
                                  <a:pt x="696271" y="765857"/>
                                </a:lnTo>
                                <a:lnTo>
                                  <a:pt x="715889" y="809970"/>
                                </a:lnTo>
                                <a:lnTo>
                                  <a:pt x="734293" y="854725"/>
                                </a:lnTo>
                                <a:lnTo>
                                  <a:pt x="751464" y="900102"/>
                                </a:lnTo>
                                <a:lnTo>
                                  <a:pt x="767381" y="946079"/>
                                </a:lnTo>
                                <a:lnTo>
                                  <a:pt x="782023" y="992636"/>
                                </a:lnTo>
                                <a:lnTo>
                                  <a:pt x="795370" y="1039753"/>
                                </a:lnTo>
                                <a:lnTo>
                                  <a:pt x="807399" y="1087408"/>
                                </a:lnTo>
                                <a:lnTo>
                                  <a:pt x="818092" y="1135580"/>
                                </a:lnTo>
                                <a:lnTo>
                                  <a:pt x="827426" y="1184250"/>
                                </a:lnTo>
                                <a:lnTo>
                                  <a:pt x="835381" y="1233395"/>
                                </a:lnTo>
                                <a:lnTo>
                                  <a:pt x="841936" y="1282995"/>
                                </a:lnTo>
                                <a:lnTo>
                                  <a:pt x="847071" y="1333030"/>
                                </a:lnTo>
                                <a:lnTo>
                                  <a:pt x="850765" y="1383478"/>
                                </a:lnTo>
                                <a:lnTo>
                                  <a:pt x="852996" y="1434318"/>
                                </a:lnTo>
                                <a:lnTo>
                                  <a:pt x="853744" y="1485531"/>
                                </a:lnTo>
                                <a:lnTo>
                                  <a:pt x="852997" y="1536712"/>
                                </a:lnTo>
                                <a:lnTo>
                                  <a:pt x="850769" y="1587522"/>
                                </a:lnTo>
                                <a:lnTo>
                                  <a:pt x="847080" y="1637939"/>
                                </a:lnTo>
                                <a:lnTo>
                                  <a:pt x="841952" y="1687943"/>
                                </a:lnTo>
                                <a:lnTo>
                                  <a:pt x="835406" y="1737514"/>
                                </a:lnTo>
                                <a:lnTo>
                                  <a:pt x="827461" y="1786630"/>
                                </a:lnTo>
                                <a:lnTo>
                                  <a:pt x="818140" y="1835270"/>
                                </a:lnTo>
                                <a:lnTo>
                                  <a:pt x="807462" y="1883415"/>
                                </a:lnTo>
                                <a:lnTo>
                                  <a:pt x="795449" y="1931043"/>
                                </a:lnTo>
                                <a:lnTo>
                                  <a:pt x="782120" y="1978133"/>
                                </a:lnTo>
                                <a:lnTo>
                                  <a:pt x="767498" y="2024665"/>
                                </a:lnTo>
                                <a:lnTo>
                                  <a:pt x="751602" y="2070618"/>
                                </a:lnTo>
                                <a:lnTo>
                                  <a:pt x="734454" y="2115971"/>
                                </a:lnTo>
                                <a:lnTo>
                                  <a:pt x="716074" y="2160703"/>
                                </a:lnTo>
                                <a:lnTo>
                                  <a:pt x="696483" y="2204794"/>
                                </a:lnTo>
                                <a:lnTo>
                                  <a:pt x="675701" y="2248223"/>
                                </a:lnTo>
                                <a:lnTo>
                                  <a:pt x="653751" y="2290969"/>
                                </a:lnTo>
                                <a:lnTo>
                                  <a:pt x="630651" y="2333011"/>
                                </a:lnTo>
                                <a:lnTo>
                                  <a:pt x="606423" y="2374329"/>
                                </a:lnTo>
                                <a:lnTo>
                                  <a:pt x="581088" y="2414902"/>
                                </a:lnTo>
                                <a:lnTo>
                                  <a:pt x="554667" y="2454708"/>
                                </a:lnTo>
                                <a:lnTo>
                                  <a:pt x="527180" y="2493728"/>
                                </a:lnTo>
                                <a:lnTo>
                                  <a:pt x="498648" y="2531941"/>
                                </a:lnTo>
                                <a:lnTo>
                                  <a:pt x="469092" y="2569325"/>
                                </a:lnTo>
                                <a:lnTo>
                                  <a:pt x="438532" y="2605860"/>
                                </a:lnTo>
                                <a:lnTo>
                                  <a:pt x="406990" y="2641526"/>
                                </a:lnTo>
                                <a:lnTo>
                                  <a:pt x="374485" y="2676301"/>
                                </a:lnTo>
                                <a:lnTo>
                                  <a:pt x="341040" y="2710164"/>
                                </a:lnTo>
                                <a:lnTo>
                                  <a:pt x="306674" y="2743096"/>
                                </a:lnTo>
                                <a:lnTo>
                                  <a:pt x="271409" y="2775075"/>
                                </a:lnTo>
                                <a:lnTo>
                                  <a:pt x="235264" y="2806080"/>
                                </a:lnTo>
                                <a:lnTo>
                                  <a:pt x="198262" y="2836091"/>
                                </a:lnTo>
                                <a:lnTo>
                                  <a:pt x="160422" y="2865087"/>
                                </a:lnTo>
                                <a:lnTo>
                                  <a:pt x="121766" y="2893047"/>
                                </a:lnTo>
                                <a:lnTo>
                                  <a:pt x="82313" y="2919950"/>
                                </a:lnTo>
                                <a:lnTo>
                                  <a:pt x="42086" y="2945776"/>
                                </a:lnTo>
                                <a:lnTo>
                                  <a:pt x="1104" y="2970504"/>
                                </a:lnTo>
                              </a:path>
                            </a:pathLst>
                          </a:custGeom>
                          <a:ln w="317500">
                            <a:solidFill>
                              <a:srgbClr val="008FDD"/>
                            </a:solidFill>
                            <a:prstDash val="solid"/>
                          </a:ln>
                        </wps:spPr>
                        <wps:bodyPr wrap="square" lIns="0" tIns="0" rIns="0" bIns="0" rtlCol="0">
                          <a:prstTxWarp prst="textNoShape">
                            <a:avLst/>
                          </a:prstTxWarp>
                          <a:noAutofit/>
                        </wps:bodyPr>
                      </wps:wsp>
                      <wps:wsp>
                        <wps:cNvPr id="13" name="Graphic 13"/>
                        <wps:cNvSpPr/>
                        <wps:spPr>
                          <a:xfrm>
                            <a:off x="2093067" y="2563543"/>
                            <a:ext cx="1780539" cy="892175"/>
                          </a:xfrm>
                          <a:custGeom>
                            <a:avLst/>
                            <a:gdLst/>
                            <a:ahLst/>
                            <a:cxnLst/>
                            <a:rect l="l" t="t" r="r" b="b"/>
                            <a:pathLst>
                              <a:path w="1780539" h="892175">
                                <a:moveTo>
                                  <a:pt x="1780374" y="891006"/>
                                </a:moveTo>
                                <a:lnTo>
                                  <a:pt x="1779056" y="842118"/>
                                </a:lnTo>
                                <a:lnTo>
                                  <a:pt x="1775146" y="793919"/>
                                </a:lnTo>
                                <a:lnTo>
                                  <a:pt x="1768712" y="746478"/>
                                </a:lnTo>
                                <a:lnTo>
                                  <a:pt x="1759823" y="699861"/>
                                </a:lnTo>
                                <a:lnTo>
                                  <a:pt x="1748546" y="654138"/>
                                </a:lnTo>
                                <a:lnTo>
                                  <a:pt x="1734949" y="609375"/>
                                </a:lnTo>
                                <a:lnTo>
                                  <a:pt x="1719100" y="565642"/>
                                </a:lnTo>
                                <a:lnTo>
                                  <a:pt x="1701068" y="523005"/>
                                </a:lnTo>
                                <a:lnTo>
                                  <a:pt x="1680919" y="481533"/>
                                </a:lnTo>
                                <a:lnTo>
                                  <a:pt x="1658723" y="441293"/>
                                </a:lnTo>
                                <a:lnTo>
                                  <a:pt x="1634546" y="402355"/>
                                </a:lnTo>
                                <a:lnTo>
                                  <a:pt x="1608457" y="364785"/>
                                </a:lnTo>
                                <a:lnTo>
                                  <a:pt x="1580525" y="328651"/>
                                </a:lnTo>
                                <a:lnTo>
                                  <a:pt x="1550816" y="294022"/>
                                </a:lnTo>
                                <a:lnTo>
                                  <a:pt x="1519399" y="260965"/>
                                </a:lnTo>
                                <a:lnTo>
                                  <a:pt x="1486342" y="229549"/>
                                </a:lnTo>
                                <a:lnTo>
                                  <a:pt x="1451712" y="199841"/>
                                </a:lnTo>
                                <a:lnTo>
                                  <a:pt x="1415578" y="171909"/>
                                </a:lnTo>
                                <a:lnTo>
                                  <a:pt x="1378008" y="145821"/>
                                </a:lnTo>
                                <a:lnTo>
                                  <a:pt x="1339069" y="121646"/>
                                </a:lnTo>
                                <a:lnTo>
                                  <a:pt x="1298830" y="99450"/>
                                </a:lnTo>
                                <a:lnTo>
                                  <a:pt x="1257358" y="79302"/>
                                </a:lnTo>
                                <a:lnTo>
                                  <a:pt x="1214722" y="61271"/>
                                </a:lnTo>
                                <a:lnTo>
                                  <a:pt x="1170989" y="45423"/>
                                </a:lnTo>
                                <a:lnTo>
                                  <a:pt x="1126227" y="31826"/>
                                </a:lnTo>
                                <a:lnTo>
                                  <a:pt x="1080505" y="20550"/>
                                </a:lnTo>
                                <a:lnTo>
                                  <a:pt x="1033890" y="11661"/>
                                </a:lnTo>
                                <a:lnTo>
                                  <a:pt x="986450" y="5228"/>
                                </a:lnTo>
                                <a:lnTo>
                                  <a:pt x="938253" y="1318"/>
                                </a:lnTo>
                                <a:lnTo>
                                  <a:pt x="889368" y="0"/>
                                </a:lnTo>
                                <a:lnTo>
                                  <a:pt x="840484" y="1321"/>
                                </a:lnTo>
                                <a:lnTo>
                                  <a:pt x="792300" y="5238"/>
                                </a:lnTo>
                                <a:lnTo>
                                  <a:pt x="744882" y="11684"/>
                                </a:lnTo>
                                <a:lnTo>
                                  <a:pt x="698299" y="20589"/>
                                </a:lnTo>
                                <a:lnTo>
                                  <a:pt x="652616" y="31887"/>
                                </a:lnTo>
                                <a:lnTo>
                                  <a:pt x="607902" y="45507"/>
                                </a:lnTo>
                                <a:lnTo>
                                  <a:pt x="564224" y="61383"/>
                                </a:lnTo>
                                <a:lnTo>
                                  <a:pt x="521648" y="79445"/>
                                </a:lnTo>
                                <a:lnTo>
                                  <a:pt x="480243" y="99626"/>
                                </a:lnTo>
                                <a:lnTo>
                                  <a:pt x="440074" y="121856"/>
                                </a:lnTo>
                                <a:lnTo>
                                  <a:pt x="401210" y="146069"/>
                                </a:lnTo>
                                <a:lnTo>
                                  <a:pt x="363718" y="172195"/>
                                </a:lnTo>
                                <a:lnTo>
                                  <a:pt x="327664" y="200167"/>
                                </a:lnTo>
                                <a:lnTo>
                                  <a:pt x="293116" y="229915"/>
                                </a:lnTo>
                                <a:lnTo>
                                  <a:pt x="260142" y="261372"/>
                                </a:lnTo>
                                <a:lnTo>
                                  <a:pt x="228807" y="294469"/>
                                </a:lnTo>
                                <a:lnTo>
                                  <a:pt x="199181" y="329138"/>
                                </a:lnTo>
                                <a:lnTo>
                                  <a:pt x="171329" y="365311"/>
                                </a:lnTo>
                                <a:lnTo>
                                  <a:pt x="145319" y="402920"/>
                                </a:lnTo>
                                <a:lnTo>
                                  <a:pt x="121218" y="441896"/>
                                </a:lnTo>
                                <a:lnTo>
                                  <a:pt x="99094" y="482170"/>
                                </a:lnTo>
                                <a:lnTo>
                                  <a:pt x="79013" y="523675"/>
                                </a:lnTo>
                                <a:lnTo>
                                  <a:pt x="61043" y="566342"/>
                                </a:lnTo>
                                <a:lnTo>
                                  <a:pt x="45251" y="610103"/>
                                </a:lnTo>
                                <a:lnTo>
                                  <a:pt x="31704" y="654890"/>
                                </a:lnTo>
                                <a:lnTo>
                                  <a:pt x="20470" y="700634"/>
                                </a:lnTo>
                                <a:lnTo>
                                  <a:pt x="11615" y="747268"/>
                                </a:lnTo>
                                <a:lnTo>
                                  <a:pt x="5207" y="794722"/>
                                </a:lnTo>
                                <a:lnTo>
                                  <a:pt x="1312" y="842928"/>
                                </a:lnTo>
                                <a:lnTo>
                                  <a:pt x="0" y="891819"/>
                                </a:lnTo>
                              </a:path>
                            </a:pathLst>
                          </a:custGeom>
                          <a:ln w="317500">
                            <a:solidFill>
                              <a:srgbClr val="008FDD"/>
                            </a:solidFill>
                            <a:prstDash val="solid"/>
                          </a:ln>
                        </wps:spPr>
                        <wps:bodyPr wrap="square" lIns="0" tIns="0" rIns="0" bIns="0" rtlCol="0">
                          <a:prstTxWarp prst="textNoShape">
                            <a:avLst/>
                          </a:prstTxWarp>
                          <a:noAutofit/>
                        </wps:bodyPr>
                      </wps:wsp>
                      <pic:pic>
                        <pic:nvPicPr>
                          <pic:cNvPr id="14" name="Image 14"/>
                          <pic:cNvPicPr/>
                        </pic:nvPicPr>
                        <pic:blipFill>
                          <a:blip r:embed="rId6" cstate="print"/>
                          <a:stretch>
                            <a:fillRect/>
                          </a:stretch>
                        </pic:blipFill>
                        <pic:spPr>
                          <a:xfrm>
                            <a:off x="3916724" y="2459831"/>
                            <a:ext cx="144005" cy="143992"/>
                          </a:xfrm>
                          <a:prstGeom prst="rect">
                            <a:avLst/>
                          </a:prstGeom>
                        </pic:spPr>
                      </pic:pic>
                      <wps:wsp>
                        <wps:cNvPr id="15" name="Graphic 15"/>
                        <wps:cNvSpPr/>
                        <wps:spPr>
                          <a:xfrm>
                            <a:off x="2718412" y="1818755"/>
                            <a:ext cx="1270" cy="318135"/>
                          </a:xfrm>
                          <a:custGeom>
                            <a:avLst/>
                            <a:gdLst/>
                            <a:ahLst/>
                            <a:cxnLst/>
                            <a:rect l="l" t="t" r="r" b="b"/>
                            <a:pathLst>
                              <a:path w="0" h="318135">
                                <a:moveTo>
                                  <a:pt x="0" y="0"/>
                                </a:moveTo>
                                <a:lnTo>
                                  <a:pt x="0" y="317652"/>
                                </a:lnTo>
                              </a:path>
                            </a:pathLst>
                          </a:custGeom>
                          <a:ln w="198561">
                            <a:solidFill>
                              <a:srgbClr val="A06973"/>
                            </a:solidFill>
                            <a:prstDash val="solid"/>
                          </a:ln>
                        </wps:spPr>
                        <wps:bodyPr wrap="square" lIns="0" tIns="0" rIns="0" bIns="0" rtlCol="0">
                          <a:prstTxWarp prst="textNoShape">
                            <a:avLst/>
                          </a:prstTxWarp>
                          <a:noAutofit/>
                        </wps:bodyPr>
                      </wps:wsp>
                      <wps:wsp>
                        <wps:cNvPr id="16" name="Graphic 16"/>
                        <wps:cNvSpPr/>
                        <wps:spPr>
                          <a:xfrm>
                            <a:off x="3154243" y="1977581"/>
                            <a:ext cx="1311910" cy="1270"/>
                          </a:xfrm>
                          <a:custGeom>
                            <a:avLst/>
                            <a:gdLst/>
                            <a:ahLst/>
                            <a:cxnLst/>
                            <a:rect l="l" t="t" r="r" b="b"/>
                            <a:pathLst>
                              <a:path w="1311910" h="0">
                                <a:moveTo>
                                  <a:pt x="0" y="0"/>
                                </a:moveTo>
                                <a:lnTo>
                                  <a:pt x="1311700" y="0"/>
                                </a:lnTo>
                              </a:path>
                            </a:pathLst>
                          </a:custGeom>
                          <a:ln w="317652">
                            <a:solidFill>
                              <a:srgbClr val="A06973"/>
                            </a:solidFill>
                            <a:prstDash val="solid"/>
                          </a:ln>
                        </wps:spPr>
                        <wps:bodyPr wrap="square" lIns="0" tIns="0" rIns="0" bIns="0" rtlCol="0">
                          <a:prstTxWarp prst="textNoShape">
                            <a:avLst/>
                          </a:prstTxWarp>
                          <a:noAutofit/>
                        </wps:bodyPr>
                      </wps:wsp>
                      <wps:wsp>
                        <wps:cNvPr id="17" name="Graphic 17"/>
                        <wps:cNvSpPr/>
                        <wps:spPr>
                          <a:xfrm>
                            <a:off x="2088145" y="492300"/>
                            <a:ext cx="854075" cy="2970530"/>
                          </a:xfrm>
                          <a:custGeom>
                            <a:avLst/>
                            <a:gdLst/>
                            <a:ahLst/>
                            <a:cxnLst/>
                            <a:rect l="l" t="t" r="r" b="b"/>
                            <a:pathLst>
                              <a:path w="854075" h="2970530">
                                <a:moveTo>
                                  <a:pt x="853732" y="0"/>
                                </a:moveTo>
                                <a:lnTo>
                                  <a:pt x="812700" y="24717"/>
                                </a:lnTo>
                                <a:lnTo>
                                  <a:pt x="772423" y="50535"/>
                                </a:lnTo>
                                <a:lnTo>
                                  <a:pt x="732922" y="77431"/>
                                </a:lnTo>
                                <a:lnTo>
                                  <a:pt x="694218" y="105387"/>
                                </a:lnTo>
                                <a:lnTo>
                                  <a:pt x="656331" y="134379"/>
                                </a:lnTo>
                                <a:lnTo>
                                  <a:pt x="619282" y="164389"/>
                                </a:lnTo>
                                <a:lnTo>
                                  <a:pt x="583093" y="195395"/>
                                </a:lnTo>
                                <a:lnTo>
                                  <a:pt x="547783" y="227376"/>
                                </a:lnTo>
                                <a:lnTo>
                                  <a:pt x="513374" y="260311"/>
                                </a:lnTo>
                                <a:lnTo>
                                  <a:pt x="479886" y="294180"/>
                                </a:lnTo>
                                <a:lnTo>
                                  <a:pt x="447340" y="328962"/>
                                </a:lnTo>
                                <a:lnTo>
                                  <a:pt x="415757" y="364636"/>
                                </a:lnTo>
                                <a:lnTo>
                                  <a:pt x="385159" y="401181"/>
                                </a:lnTo>
                                <a:lnTo>
                                  <a:pt x="355564" y="438576"/>
                                </a:lnTo>
                                <a:lnTo>
                                  <a:pt x="326995" y="476801"/>
                                </a:lnTo>
                                <a:lnTo>
                                  <a:pt x="299473" y="515835"/>
                                </a:lnTo>
                                <a:lnTo>
                                  <a:pt x="273017" y="555656"/>
                                </a:lnTo>
                                <a:lnTo>
                                  <a:pt x="247649" y="596245"/>
                                </a:lnTo>
                                <a:lnTo>
                                  <a:pt x="223390" y="637581"/>
                                </a:lnTo>
                                <a:lnTo>
                                  <a:pt x="200260" y="679642"/>
                                </a:lnTo>
                                <a:lnTo>
                                  <a:pt x="178280" y="722407"/>
                                </a:lnTo>
                                <a:lnTo>
                                  <a:pt x="157471" y="765857"/>
                                </a:lnTo>
                                <a:lnTo>
                                  <a:pt x="137854" y="809970"/>
                                </a:lnTo>
                                <a:lnTo>
                                  <a:pt x="119450" y="854725"/>
                                </a:lnTo>
                                <a:lnTo>
                                  <a:pt x="102279" y="900102"/>
                                </a:lnTo>
                                <a:lnTo>
                                  <a:pt x="86362" y="946079"/>
                                </a:lnTo>
                                <a:lnTo>
                                  <a:pt x="71720" y="992636"/>
                                </a:lnTo>
                                <a:lnTo>
                                  <a:pt x="58374" y="1039753"/>
                                </a:lnTo>
                                <a:lnTo>
                                  <a:pt x="46344" y="1087408"/>
                                </a:lnTo>
                                <a:lnTo>
                                  <a:pt x="35652" y="1135580"/>
                                </a:lnTo>
                                <a:lnTo>
                                  <a:pt x="26318" y="1184250"/>
                                </a:lnTo>
                                <a:lnTo>
                                  <a:pt x="18363" y="1233395"/>
                                </a:lnTo>
                                <a:lnTo>
                                  <a:pt x="11808" y="1282995"/>
                                </a:lnTo>
                                <a:lnTo>
                                  <a:pt x="6673" y="1333030"/>
                                </a:lnTo>
                                <a:lnTo>
                                  <a:pt x="2979" y="1383478"/>
                                </a:lnTo>
                                <a:lnTo>
                                  <a:pt x="748" y="1434318"/>
                                </a:lnTo>
                                <a:lnTo>
                                  <a:pt x="0" y="1485531"/>
                                </a:lnTo>
                                <a:lnTo>
                                  <a:pt x="747" y="1536712"/>
                                </a:lnTo>
                                <a:lnTo>
                                  <a:pt x="2975" y="1587522"/>
                                </a:lnTo>
                                <a:lnTo>
                                  <a:pt x="6664" y="1637939"/>
                                </a:lnTo>
                                <a:lnTo>
                                  <a:pt x="11791" y="1687943"/>
                                </a:lnTo>
                                <a:lnTo>
                                  <a:pt x="18338" y="1737514"/>
                                </a:lnTo>
                                <a:lnTo>
                                  <a:pt x="26282" y="1786630"/>
                                </a:lnTo>
                                <a:lnTo>
                                  <a:pt x="35604" y="1835270"/>
                                </a:lnTo>
                                <a:lnTo>
                                  <a:pt x="46282" y="1883415"/>
                                </a:lnTo>
                                <a:lnTo>
                                  <a:pt x="58295" y="1931043"/>
                                </a:lnTo>
                                <a:lnTo>
                                  <a:pt x="71623" y="1978133"/>
                                </a:lnTo>
                                <a:lnTo>
                                  <a:pt x="86246" y="2024665"/>
                                </a:lnTo>
                                <a:lnTo>
                                  <a:pt x="102142" y="2070618"/>
                                </a:lnTo>
                                <a:lnTo>
                                  <a:pt x="119290" y="2115971"/>
                                </a:lnTo>
                                <a:lnTo>
                                  <a:pt x="137670" y="2160703"/>
                                </a:lnTo>
                                <a:lnTo>
                                  <a:pt x="157261" y="2204794"/>
                                </a:lnTo>
                                <a:lnTo>
                                  <a:pt x="178042" y="2248223"/>
                                </a:lnTo>
                                <a:lnTo>
                                  <a:pt x="199993" y="2290969"/>
                                </a:lnTo>
                                <a:lnTo>
                                  <a:pt x="223093" y="2333011"/>
                                </a:lnTo>
                                <a:lnTo>
                                  <a:pt x="247321" y="2374329"/>
                                </a:lnTo>
                                <a:lnTo>
                                  <a:pt x="272655" y="2414902"/>
                                </a:lnTo>
                                <a:lnTo>
                                  <a:pt x="299077" y="2454708"/>
                                </a:lnTo>
                                <a:lnTo>
                                  <a:pt x="326564" y="2493728"/>
                                </a:lnTo>
                                <a:lnTo>
                                  <a:pt x="355096" y="2531941"/>
                                </a:lnTo>
                                <a:lnTo>
                                  <a:pt x="384652" y="2569325"/>
                                </a:lnTo>
                                <a:lnTo>
                                  <a:pt x="415212" y="2605860"/>
                                </a:lnTo>
                                <a:lnTo>
                                  <a:pt x="446754" y="2641526"/>
                                </a:lnTo>
                                <a:lnTo>
                                  <a:pt x="479258" y="2676301"/>
                                </a:lnTo>
                                <a:lnTo>
                                  <a:pt x="512704" y="2710164"/>
                                </a:lnTo>
                                <a:lnTo>
                                  <a:pt x="547070" y="2743096"/>
                                </a:lnTo>
                                <a:lnTo>
                                  <a:pt x="582335" y="2775075"/>
                                </a:lnTo>
                                <a:lnTo>
                                  <a:pt x="618479" y="2806080"/>
                                </a:lnTo>
                                <a:lnTo>
                                  <a:pt x="655482" y="2836091"/>
                                </a:lnTo>
                                <a:lnTo>
                                  <a:pt x="693322" y="2865087"/>
                                </a:lnTo>
                                <a:lnTo>
                                  <a:pt x="731978" y="2893047"/>
                                </a:lnTo>
                                <a:lnTo>
                                  <a:pt x="771430" y="2919950"/>
                                </a:lnTo>
                                <a:lnTo>
                                  <a:pt x="811658" y="2945776"/>
                                </a:lnTo>
                                <a:lnTo>
                                  <a:pt x="852639" y="2970504"/>
                                </a:lnTo>
                              </a:path>
                            </a:pathLst>
                          </a:custGeom>
                          <a:ln w="317499">
                            <a:solidFill>
                              <a:srgbClr val="008FDD"/>
                            </a:solidFill>
                            <a:prstDash val="solid"/>
                          </a:ln>
                        </wps:spPr>
                        <wps:bodyPr wrap="square" lIns="0" tIns="0" rIns="0" bIns="0" rtlCol="0">
                          <a:prstTxWarp prst="textNoShape">
                            <a:avLst/>
                          </a:prstTxWarp>
                          <a:noAutofit/>
                        </wps:bodyPr>
                      </wps:wsp>
                      <wps:wsp>
                        <wps:cNvPr id="18" name="Graphic 18"/>
                        <wps:cNvSpPr/>
                        <wps:spPr>
                          <a:xfrm>
                            <a:off x="1341193" y="1977505"/>
                            <a:ext cx="1119505" cy="1270"/>
                          </a:xfrm>
                          <a:custGeom>
                            <a:avLst/>
                            <a:gdLst/>
                            <a:ahLst/>
                            <a:cxnLst/>
                            <a:rect l="l" t="t" r="r" b="b"/>
                            <a:pathLst>
                              <a:path w="1119505" h="635">
                                <a:moveTo>
                                  <a:pt x="0" y="0"/>
                                </a:moveTo>
                                <a:lnTo>
                                  <a:pt x="1119187" y="152"/>
                                </a:lnTo>
                              </a:path>
                            </a:pathLst>
                          </a:custGeom>
                          <a:ln w="317500">
                            <a:solidFill>
                              <a:srgbClr val="BE959B"/>
                            </a:solidFill>
                            <a:prstDash val="solid"/>
                          </a:ln>
                        </wps:spPr>
                        <wps:bodyPr wrap="square" lIns="0" tIns="0" rIns="0" bIns="0" rtlCol="0">
                          <a:prstTxWarp prst="textNoShape">
                            <a:avLst/>
                          </a:prstTxWarp>
                          <a:noAutofit/>
                        </wps:bodyPr>
                      </wps:wsp>
                      <wps:wsp>
                        <wps:cNvPr id="19" name="Graphic 19"/>
                        <wps:cNvSpPr/>
                        <wps:spPr>
                          <a:xfrm>
                            <a:off x="2817693" y="1818800"/>
                            <a:ext cx="336550" cy="1469390"/>
                          </a:xfrm>
                          <a:custGeom>
                            <a:avLst/>
                            <a:gdLst/>
                            <a:ahLst/>
                            <a:cxnLst/>
                            <a:rect l="l" t="t" r="r" b="b"/>
                            <a:pathLst>
                              <a:path w="336550" h="1469390">
                                <a:moveTo>
                                  <a:pt x="0" y="1469161"/>
                                </a:moveTo>
                                <a:lnTo>
                                  <a:pt x="336550" y="1469161"/>
                                </a:lnTo>
                                <a:lnTo>
                                  <a:pt x="336550" y="0"/>
                                </a:lnTo>
                                <a:lnTo>
                                  <a:pt x="0" y="0"/>
                                </a:lnTo>
                                <a:lnTo>
                                  <a:pt x="0" y="1469161"/>
                                </a:lnTo>
                                <a:close/>
                              </a:path>
                            </a:pathLst>
                          </a:custGeom>
                          <a:solidFill>
                            <a:srgbClr val="231F20">
                              <a:alpha val="39999"/>
                            </a:srgbClr>
                          </a:solidFill>
                        </wps:spPr>
                        <wps:bodyPr wrap="square" lIns="0" tIns="0" rIns="0" bIns="0" rtlCol="0">
                          <a:prstTxWarp prst="textNoShape">
                            <a:avLst/>
                          </a:prstTxWarp>
                          <a:noAutofit/>
                        </wps:bodyPr>
                      </wps:wsp>
                      <wps:wsp>
                        <wps:cNvPr id="20" name="Graphic 20"/>
                        <wps:cNvSpPr/>
                        <wps:spPr>
                          <a:xfrm>
                            <a:off x="2981130" y="1836764"/>
                            <a:ext cx="1270" cy="1315085"/>
                          </a:xfrm>
                          <a:custGeom>
                            <a:avLst/>
                            <a:gdLst/>
                            <a:ahLst/>
                            <a:cxnLst/>
                            <a:rect l="l" t="t" r="r" b="b"/>
                            <a:pathLst>
                              <a:path w="0" h="1315085">
                                <a:moveTo>
                                  <a:pt x="0" y="1314945"/>
                                </a:moveTo>
                                <a:lnTo>
                                  <a:pt x="0" y="0"/>
                                </a:lnTo>
                              </a:path>
                            </a:pathLst>
                          </a:custGeom>
                          <a:ln w="31750">
                            <a:solidFill>
                              <a:srgbClr val="FFFFFF"/>
                            </a:solidFill>
                            <a:prstDash val="sysDot"/>
                          </a:ln>
                        </wps:spPr>
                        <wps:bodyPr wrap="square" lIns="0" tIns="0" rIns="0" bIns="0" rtlCol="0">
                          <a:prstTxWarp prst="textNoShape">
                            <a:avLst/>
                          </a:prstTxWarp>
                          <a:noAutofit/>
                        </wps:bodyPr>
                      </wps:wsp>
                      <pic:pic>
                        <pic:nvPicPr>
                          <pic:cNvPr id="21" name="Image 21"/>
                          <pic:cNvPicPr/>
                        </pic:nvPicPr>
                        <pic:blipFill>
                          <a:blip r:embed="rId7" cstate="print"/>
                          <a:stretch>
                            <a:fillRect/>
                          </a:stretch>
                        </pic:blipFill>
                        <pic:spPr>
                          <a:xfrm>
                            <a:off x="4635500" y="1818746"/>
                            <a:ext cx="918438" cy="317652"/>
                          </a:xfrm>
                          <a:prstGeom prst="rect">
                            <a:avLst/>
                          </a:prstGeom>
                        </pic:spPr>
                      </pic:pic>
                      <wps:wsp>
                        <wps:cNvPr id="22" name="Graphic 22"/>
                        <wps:cNvSpPr/>
                        <wps:spPr>
                          <a:xfrm>
                            <a:off x="5232367" y="1472233"/>
                            <a:ext cx="509270" cy="1018540"/>
                          </a:xfrm>
                          <a:custGeom>
                            <a:avLst/>
                            <a:gdLst/>
                            <a:ahLst/>
                            <a:cxnLst/>
                            <a:rect l="l" t="t" r="r" b="b"/>
                            <a:pathLst>
                              <a:path w="509270" h="1018540">
                                <a:moveTo>
                                  <a:pt x="0" y="0"/>
                                </a:moveTo>
                                <a:lnTo>
                                  <a:pt x="509117" y="509117"/>
                                </a:lnTo>
                                <a:lnTo>
                                  <a:pt x="0" y="1018235"/>
                                </a:lnTo>
                              </a:path>
                            </a:pathLst>
                          </a:custGeom>
                          <a:ln w="317500">
                            <a:solidFill>
                              <a:srgbClr val="008FDD"/>
                            </a:solidFill>
                            <a:prstDash val="solid"/>
                          </a:ln>
                        </wps:spPr>
                        <wps:bodyPr wrap="square" lIns="0" tIns="0" rIns="0" bIns="0" rtlCol="0">
                          <a:prstTxWarp prst="textNoShape">
                            <a:avLst/>
                          </a:prstTxWarp>
                          <a:noAutofit/>
                        </wps:bodyPr>
                      </wps:wsp>
                      <pic:pic>
                        <pic:nvPicPr>
                          <pic:cNvPr id="23" name="Image 23"/>
                          <pic:cNvPicPr/>
                        </pic:nvPicPr>
                        <pic:blipFill>
                          <a:blip r:embed="rId8" cstate="print"/>
                          <a:stretch>
                            <a:fillRect/>
                          </a:stretch>
                        </pic:blipFill>
                        <pic:spPr>
                          <a:xfrm>
                            <a:off x="0" y="1818746"/>
                            <a:ext cx="908672" cy="317652"/>
                          </a:xfrm>
                          <a:prstGeom prst="rect">
                            <a:avLst/>
                          </a:prstGeom>
                        </pic:spPr>
                      </pic:pic>
                      <wps:wsp>
                        <wps:cNvPr id="24" name="Graphic 24"/>
                        <wps:cNvSpPr/>
                        <wps:spPr>
                          <a:xfrm>
                            <a:off x="596867" y="1472233"/>
                            <a:ext cx="509270" cy="1018540"/>
                          </a:xfrm>
                          <a:custGeom>
                            <a:avLst/>
                            <a:gdLst/>
                            <a:ahLst/>
                            <a:cxnLst/>
                            <a:rect l="l" t="t" r="r" b="b"/>
                            <a:pathLst>
                              <a:path w="509270" h="1018540">
                                <a:moveTo>
                                  <a:pt x="0" y="0"/>
                                </a:moveTo>
                                <a:lnTo>
                                  <a:pt x="509117" y="509117"/>
                                </a:lnTo>
                                <a:lnTo>
                                  <a:pt x="0" y="1018235"/>
                                </a:lnTo>
                              </a:path>
                            </a:pathLst>
                          </a:custGeom>
                          <a:ln w="317500">
                            <a:solidFill>
                              <a:srgbClr val="6A1C31"/>
                            </a:solidFill>
                            <a:prstDash val="solid"/>
                          </a:ln>
                        </wps:spPr>
                        <wps:bodyPr wrap="square" lIns="0" tIns="0" rIns="0" bIns="0" rtlCol="0">
                          <a:prstTxWarp prst="textNoShape">
                            <a:avLst/>
                          </a:prstTxWarp>
                          <a:noAutofit/>
                        </wps:bodyPr>
                      </wps:wsp>
                      <wps:wsp>
                        <wps:cNvPr id="25" name="Graphic 25"/>
                        <wps:cNvSpPr/>
                        <wps:spPr>
                          <a:xfrm>
                            <a:off x="2933903" y="3185380"/>
                            <a:ext cx="102870" cy="102870"/>
                          </a:xfrm>
                          <a:custGeom>
                            <a:avLst/>
                            <a:gdLst/>
                            <a:ahLst/>
                            <a:cxnLst/>
                            <a:rect l="l" t="t" r="r" b="b"/>
                            <a:pathLst>
                              <a:path w="102870" h="102870">
                                <a:moveTo>
                                  <a:pt x="102603" y="0"/>
                                </a:moveTo>
                                <a:lnTo>
                                  <a:pt x="0" y="0"/>
                                </a:lnTo>
                                <a:lnTo>
                                  <a:pt x="0" y="102590"/>
                                </a:lnTo>
                                <a:lnTo>
                                  <a:pt x="102603" y="102590"/>
                                </a:lnTo>
                                <a:lnTo>
                                  <a:pt x="102603" y="0"/>
                                </a:lnTo>
                                <a:close/>
                              </a:path>
                            </a:pathLst>
                          </a:custGeom>
                          <a:solidFill>
                            <a:srgbClr val="FFFFFF"/>
                          </a:solidFill>
                        </wps:spPr>
                        <wps:bodyPr wrap="square" lIns="0" tIns="0" rIns="0" bIns="0" rtlCol="0">
                          <a:prstTxWarp prst="textNoShape">
                            <a:avLst/>
                          </a:prstTxWarp>
                          <a:noAutofit/>
                        </wps:bodyPr>
                      </wps:wsp>
                      <wps:wsp>
                        <wps:cNvPr id="26" name="Graphic 26"/>
                        <wps:cNvSpPr/>
                        <wps:spPr>
                          <a:xfrm>
                            <a:off x="2933903" y="3185374"/>
                            <a:ext cx="102870" cy="102870"/>
                          </a:xfrm>
                          <a:custGeom>
                            <a:avLst/>
                            <a:gdLst/>
                            <a:ahLst/>
                            <a:cxnLst/>
                            <a:rect l="l" t="t" r="r" b="b"/>
                            <a:pathLst>
                              <a:path w="102870" h="102870">
                                <a:moveTo>
                                  <a:pt x="102603" y="102590"/>
                                </a:moveTo>
                                <a:lnTo>
                                  <a:pt x="0" y="102590"/>
                                </a:lnTo>
                                <a:lnTo>
                                  <a:pt x="0" y="0"/>
                                </a:lnTo>
                                <a:lnTo>
                                  <a:pt x="102603" y="0"/>
                                </a:lnTo>
                                <a:lnTo>
                                  <a:pt x="102603" y="102590"/>
                                </a:lnTo>
                                <a:close/>
                              </a:path>
                            </a:pathLst>
                          </a:custGeom>
                          <a:ln w="31750">
                            <a:solidFill>
                              <a:srgbClr val="231F20"/>
                            </a:solidFill>
                            <a:prstDash val="solid"/>
                          </a:ln>
                        </wps:spPr>
                        <wps:bodyPr wrap="square" lIns="0" tIns="0" rIns="0" bIns="0" rtlCol="0">
                          <a:prstTxWarp prst="textNoShape">
                            <a:avLst/>
                          </a:prstTxWarp>
                          <a:noAutofit/>
                        </wps:bodyPr>
                      </wps:wsp>
                      <wps:wsp>
                        <wps:cNvPr id="27" name="Graphic 27"/>
                        <wps:cNvSpPr/>
                        <wps:spPr>
                          <a:xfrm>
                            <a:off x="2933792" y="3236687"/>
                            <a:ext cx="102870" cy="1270"/>
                          </a:xfrm>
                          <a:custGeom>
                            <a:avLst/>
                            <a:gdLst/>
                            <a:ahLst/>
                            <a:cxnLst/>
                            <a:rect l="l" t="t" r="r" b="b"/>
                            <a:pathLst>
                              <a:path w="102870" h="0">
                                <a:moveTo>
                                  <a:pt x="102704" y="0"/>
                                </a:moveTo>
                                <a:lnTo>
                                  <a:pt x="0" y="0"/>
                                </a:lnTo>
                              </a:path>
                            </a:pathLst>
                          </a:custGeom>
                          <a:solidFill>
                            <a:srgbClr val="FFFFFF"/>
                          </a:solidFill>
                        </wps:spPr>
                        <wps:bodyPr wrap="square" lIns="0" tIns="0" rIns="0" bIns="0" rtlCol="0">
                          <a:prstTxWarp prst="textNoShape">
                            <a:avLst/>
                          </a:prstTxWarp>
                          <a:noAutofit/>
                        </wps:bodyPr>
                      </wps:wsp>
                      <wps:wsp>
                        <wps:cNvPr id="28" name="Graphic 28"/>
                        <wps:cNvSpPr/>
                        <wps:spPr>
                          <a:xfrm>
                            <a:off x="2933791" y="3220815"/>
                            <a:ext cx="102870" cy="31750"/>
                          </a:xfrm>
                          <a:custGeom>
                            <a:avLst/>
                            <a:gdLst/>
                            <a:ahLst/>
                            <a:cxnLst/>
                            <a:rect l="l" t="t" r="r" b="b"/>
                            <a:pathLst>
                              <a:path w="102870" h="31750">
                                <a:moveTo>
                                  <a:pt x="0" y="31749"/>
                                </a:moveTo>
                                <a:lnTo>
                                  <a:pt x="102717" y="31749"/>
                                </a:lnTo>
                                <a:lnTo>
                                  <a:pt x="102717" y="0"/>
                                </a:lnTo>
                                <a:lnTo>
                                  <a:pt x="0" y="0"/>
                                </a:lnTo>
                                <a:lnTo>
                                  <a:pt x="0" y="31749"/>
                                </a:lnTo>
                                <a:close/>
                              </a:path>
                            </a:pathLst>
                          </a:custGeom>
                          <a:solidFill>
                            <a:srgbClr val="231F20"/>
                          </a:solidFill>
                        </wps:spPr>
                        <wps:bodyPr wrap="square" lIns="0" tIns="0" rIns="0" bIns="0" rtlCol="0">
                          <a:prstTxWarp prst="textNoShape">
                            <a:avLst/>
                          </a:prstTxWarp>
                          <a:noAutofit/>
                        </wps:bodyPr>
                      </wps:wsp>
                      <wps:wsp>
                        <wps:cNvPr id="29" name="Graphic 29"/>
                        <wps:cNvSpPr/>
                        <wps:spPr>
                          <a:xfrm>
                            <a:off x="2985170" y="3185326"/>
                            <a:ext cx="1270" cy="102870"/>
                          </a:xfrm>
                          <a:custGeom>
                            <a:avLst/>
                            <a:gdLst/>
                            <a:ahLst/>
                            <a:cxnLst/>
                            <a:rect l="l" t="t" r="r" b="b"/>
                            <a:pathLst>
                              <a:path w="0" h="102870">
                                <a:moveTo>
                                  <a:pt x="0" y="0"/>
                                </a:moveTo>
                                <a:lnTo>
                                  <a:pt x="0" y="102704"/>
                                </a:lnTo>
                              </a:path>
                            </a:pathLst>
                          </a:custGeom>
                          <a:solidFill>
                            <a:srgbClr val="FFFFFF"/>
                          </a:solidFill>
                        </wps:spPr>
                        <wps:bodyPr wrap="square" lIns="0" tIns="0" rIns="0" bIns="0" rtlCol="0">
                          <a:prstTxWarp prst="textNoShape">
                            <a:avLst/>
                          </a:prstTxWarp>
                          <a:noAutofit/>
                        </wps:bodyPr>
                      </wps:wsp>
                      <wps:wsp>
                        <wps:cNvPr id="30" name="Graphic 30"/>
                        <wps:cNvSpPr/>
                        <wps:spPr>
                          <a:xfrm>
                            <a:off x="2985174" y="3185320"/>
                            <a:ext cx="1270" cy="102870"/>
                          </a:xfrm>
                          <a:custGeom>
                            <a:avLst/>
                            <a:gdLst/>
                            <a:ahLst/>
                            <a:cxnLst/>
                            <a:rect l="l" t="t" r="r" b="b"/>
                            <a:pathLst>
                              <a:path w="0" h="102870">
                                <a:moveTo>
                                  <a:pt x="0" y="0"/>
                                </a:moveTo>
                                <a:lnTo>
                                  <a:pt x="0" y="102717"/>
                                </a:lnTo>
                              </a:path>
                            </a:pathLst>
                          </a:custGeom>
                          <a:ln w="31750">
                            <a:solidFill>
                              <a:srgbClr val="231F20"/>
                            </a:solidFill>
                            <a:prstDash val="solid"/>
                          </a:ln>
                        </wps:spPr>
                        <wps:bodyPr wrap="square" lIns="0" tIns="0" rIns="0" bIns="0" rtlCol="0">
                          <a:prstTxWarp prst="textNoShape">
                            <a:avLst/>
                          </a:prstTxWarp>
                          <a:noAutofit/>
                        </wps:bodyPr>
                      </wps:wsp>
                      <wps:wsp>
                        <wps:cNvPr id="31" name="Graphic 31"/>
                        <wps:cNvSpPr/>
                        <wps:spPr>
                          <a:xfrm>
                            <a:off x="2831312" y="3185380"/>
                            <a:ext cx="102870" cy="102870"/>
                          </a:xfrm>
                          <a:custGeom>
                            <a:avLst/>
                            <a:gdLst/>
                            <a:ahLst/>
                            <a:cxnLst/>
                            <a:rect l="l" t="t" r="r" b="b"/>
                            <a:pathLst>
                              <a:path w="102870" h="102870">
                                <a:moveTo>
                                  <a:pt x="102590" y="0"/>
                                </a:moveTo>
                                <a:lnTo>
                                  <a:pt x="0" y="0"/>
                                </a:lnTo>
                                <a:lnTo>
                                  <a:pt x="0" y="102590"/>
                                </a:lnTo>
                                <a:lnTo>
                                  <a:pt x="102590" y="102590"/>
                                </a:lnTo>
                                <a:lnTo>
                                  <a:pt x="102590"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2831312" y="3185374"/>
                            <a:ext cx="102870" cy="102870"/>
                          </a:xfrm>
                          <a:custGeom>
                            <a:avLst/>
                            <a:gdLst/>
                            <a:ahLst/>
                            <a:cxnLst/>
                            <a:rect l="l" t="t" r="r" b="b"/>
                            <a:pathLst>
                              <a:path w="102870" h="102870">
                                <a:moveTo>
                                  <a:pt x="102590" y="102590"/>
                                </a:moveTo>
                                <a:lnTo>
                                  <a:pt x="0" y="102590"/>
                                </a:lnTo>
                                <a:lnTo>
                                  <a:pt x="0" y="0"/>
                                </a:lnTo>
                                <a:lnTo>
                                  <a:pt x="102590" y="0"/>
                                </a:lnTo>
                                <a:lnTo>
                                  <a:pt x="102590" y="102590"/>
                                </a:lnTo>
                                <a:close/>
                              </a:path>
                            </a:pathLst>
                          </a:custGeom>
                          <a:ln w="31750">
                            <a:solidFill>
                              <a:srgbClr val="231F20"/>
                            </a:solidFill>
                            <a:prstDash val="solid"/>
                          </a:ln>
                        </wps:spPr>
                        <wps:bodyPr wrap="square" lIns="0" tIns="0" rIns="0" bIns="0" rtlCol="0">
                          <a:prstTxWarp prst="textNoShape">
                            <a:avLst/>
                          </a:prstTxWarp>
                          <a:noAutofit/>
                        </wps:bodyPr>
                      </wps:wsp>
                      <wps:wsp>
                        <wps:cNvPr id="33" name="Graphic 33"/>
                        <wps:cNvSpPr/>
                        <wps:spPr>
                          <a:xfrm>
                            <a:off x="2831208" y="3236687"/>
                            <a:ext cx="102870" cy="1270"/>
                          </a:xfrm>
                          <a:custGeom>
                            <a:avLst/>
                            <a:gdLst/>
                            <a:ahLst/>
                            <a:cxnLst/>
                            <a:rect l="l" t="t" r="r" b="b"/>
                            <a:pathLst>
                              <a:path w="102870" h="0">
                                <a:moveTo>
                                  <a:pt x="102717" y="0"/>
                                </a:moveTo>
                                <a:lnTo>
                                  <a:pt x="0" y="0"/>
                                </a:lnTo>
                              </a:path>
                            </a:pathLst>
                          </a:custGeom>
                          <a:solidFill>
                            <a:srgbClr val="FFFFFF"/>
                          </a:solidFill>
                        </wps:spPr>
                        <wps:bodyPr wrap="square" lIns="0" tIns="0" rIns="0" bIns="0" rtlCol="0">
                          <a:prstTxWarp prst="textNoShape">
                            <a:avLst/>
                          </a:prstTxWarp>
                          <a:noAutofit/>
                        </wps:bodyPr>
                      </wps:wsp>
                      <wps:wsp>
                        <wps:cNvPr id="34" name="Graphic 34"/>
                        <wps:cNvSpPr/>
                        <wps:spPr>
                          <a:xfrm>
                            <a:off x="2831211" y="3220815"/>
                            <a:ext cx="102870" cy="31750"/>
                          </a:xfrm>
                          <a:custGeom>
                            <a:avLst/>
                            <a:gdLst/>
                            <a:ahLst/>
                            <a:cxnLst/>
                            <a:rect l="l" t="t" r="r" b="b"/>
                            <a:pathLst>
                              <a:path w="102870" h="31750">
                                <a:moveTo>
                                  <a:pt x="0" y="31749"/>
                                </a:moveTo>
                                <a:lnTo>
                                  <a:pt x="102717" y="31749"/>
                                </a:lnTo>
                                <a:lnTo>
                                  <a:pt x="102717" y="0"/>
                                </a:lnTo>
                                <a:lnTo>
                                  <a:pt x="0" y="0"/>
                                </a:lnTo>
                                <a:lnTo>
                                  <a:pt x="0" y="31749"/>
                                </a:lnTo>
                                <a:close/>
                              </a:path>
                            </a:pathLst>
                          </a:custGeom>
                          <a:solidFill>
                            <a:srgbClr val="231F20"/>
                          </a:solidFill>
                        </wps:spPr>
                        <wps:bodyPr wrap="square" lIns="0" tIns="0" rIns="0" bIns="0" rtlCol="0">
                          <a:prstTxWarp prst="textNoShape">
                            <a:avLst/>
                          </a:prstTxWarp>
                          <a:noAutofit/>
                        </wps:bodyPr>
                      </wps:wsp>
                      <wps:wsp>
                        <wps:cNvPr id="35" name="Graphic 35"/>
                        <wps:cNvSpPr/>
                        <wps:spPr>
                          <a:xfrm>
                            <a:off x="2882586" y="3185326"/>
                            <a:ext cx="1270" cy="102870"/>
                          </a:xfrm>
                          <a:custGeom>
                            <a:avLst/>
                            <a:gdLst/>
                            <a:ahLst/>
                            <a:cxnLst/>
                            <a:rect l="l" t="t" r="r" b="b"/>
                            <a:pathLst>
                              <a:path w="0" h="102870">
                                <a:moveTo>
                                  <a:pt x="0" y="0"/>
                                </a:moveTo>
                                <a:lnTo>
                                  <a:pt x="0" y="102704"/>
                                </a:lnTo>
                              </a:path>
                            </a:pathLst>
                          </a:custGeom>
                          <a:solidFill>
                            <a:srgbClr val="FFFFFF"/>
                          </a:solidFill>
                        </wps:spPr>
                        <wps:bodyPr wrap="square" lIns="0" tIns="0" rIns="0" bIns="0" rtlCol="0">
                          <a:prstTxWarp prst="textNoShape">
                            <a:avLst/>
                          </a:prstTxWarp>
                          <a:noAutofit/>
                        </wps:bodyPr>
                      </wps:wsp>
                      <wps:wsp>
                        <wps:cNvPr id="36" name="Graphic 36"/>
                        <wps:cNvSpPr/>
                        <wps:spPr>
                          <a:xfrm>
                            <a:off x="2882582" y="3185320"/>
                            <a:ext cx="1270" cy="102870"/>
                          </a:xfrm>
                          <a:custGeom>
                            <a:avLst/>
                            <a:gdLst/>
                            <a:ahLst/>
                            <a:cxnLst/>
                            <a:rect l="l" t="t" r="r" b="b"/>
                            <a:pathLst>
                              <a:path w="0" h="102870">
                                <a:moveTo>
                                  <a:pt x="0" y="0"/>
                                </a:moveTo>
                                <a:lnTo>
                                  <a:pt x="0" y="102717"/>
                                </a:lnTo>
                              </a:path>
                            </a:pathLst>
                          </a:custGeom>
                          <a:ln w="31750">
                            <a:solidFill>
                              <a:srgbClr val="231F20"/>
                            </a:solidFill>
                            <a:prstDash val="solid"/>
                          </a:ln>
                        </wps:spPr>
                        <wps:bodyPr wrap="square" lIns="0" tIns="0" rIns="0" bIns="0" rtlCol="0">
                          <a:prstTxWarp prst="textNoShape">
                            <a:avLst/>
                          </a:prstTxWarp>
                          <a:noAutofit/>
                        </wps:bodyPr>
                      </wps:wsp>
                      <wps:wsp>
                        <wps:cNvPr id="37" name="Graphic 37"/>
                        <wps:cNvSpPr/>
                        <wps:spPr>
                          <a:xfrm>
                            <a:off x="3036506" y="3185380"/>
                            <a:ext cx="102870" cy="102870"/>
                          </a:xfrm>
                          <a:custGeom>
                            <a:avLst/>
                            <a:gdLst/>
                            <a:ahLst/>
                            <a:cxnLst/>
                            <a:rect l="l" t="t" r="r" b="b"/>
                            <a:pathLst>
                              <a:path w="102870" h="102870">
                                <a:moveTo>
                                  <a:pt x="102628" y="0"/>
                                </a:moveTo>
                                <a:lnTo>
                                  <a:pt x="0" y="0"/>
                                </a:lnTo>
                                <a:lnTo>
                                  <a:pt x="0" y="102590"/>
                                </a:lnTo>
                                <a:lnTo>
                                  <a:pt x="102628" y="102590"/>
                                </a:lnTo>
                                <a:lnTo>
                                  <a:pt x="102628" y="0"/>
                                </a:lnTo>
                                <a:close/>
                              </a:path>
                            </a:pathLst>
                          </a:custGeom>
                          <a:solidFill>
                            <a:srgbClr val="FFFFFF"/>
                          </a:solidFill>
                        </wps:spPr>
                        <wps:bodyPr wrap="square" lIns="0" tIns="0" rIns="0" bIns="0" rtlCol="0">
                          <a:prstTxWarp prst="textNoShape">
                            <a:avLst/>
                          </a:prstTxWarp>
                          <a:noAutofit/>
                        </wps:bodyPr>
                      </wps:wsp>
                      <wps:wsp>
                        <wps:cNvPr id="38" name="Graphic 38"/>
                        <wps:cNvSpPr/>
                        <wps:spPr>
                          <a:xfrm>
                            <a:off x="3036506" y="3185374"/>
                            <a:ext cx="102870" cy="102870"/>
                          </a:xfrm>
                          <a:custGeom>
                            <a:avLst/>
                            <a:gdLst/>
                            <a:ahLst/>
                            <a:cxnLst/>
                            <a:rect l="l" t="t" r="r" b="b"/>
                            <a:pathLst>
                              <a:path w="102870" h="102870">
                                <a:moveTo>
                                  <a:pt x="102628" y="102590"/>
                                </a:moveTo>
                                <a:lnTo>
                                  <a:pt x="0" y="102590"/>
                                </a:lnTo>
                                <a:lnTo>
                                  <a:pt x="0" y="0"/>
                                </a:lnTo>
                                <a:lnTo>
                                  <a:pt x="102628" y="0"/>
                                </a:lnTo>
                                <a:lnTo>
                                  <a:pt x="102628" y="102590"/>
                                </a:lnTo>
                                <a:close/>
                              </a:path>
                            </a:pathLst>
                          </a:custGeom>
                          <a:ln w="31750">
                            <a:solidFill>
                              <a:srgbClr val="231F20"/>
                            </a:solidFill>
                            <a:prstDash val="solid"/>
                          </a:ln>
                        </wps:spPr>
                        <wps:bodyPr wrap="square" lIns="0" tIns="0" rIns="0" bIns="0" rtlCol="0">
                          <a:prstTxWarp prst="textNoShape">
                            <a:avLst/>
                          </a:prstTxWarp>
                          <a:noAutofit/>
                        </wps:bodyPr>
                      </wps:wsp>
                      <wps:wsp>
                        <wps:cNvPr id="39" name="Graphic 39"/>
                        <wps:cNvSpPr/>
                        <wps:spPr>
                          <a:xfrm>
                            <a:off x="3036399" y="3236687"/>
                            <a:ext cx="102870" cy="1270"/>
                          </a:xfrm>
                          <a:custGeom>
                            <a:avLst/>
                            <a:gdLst/>
                            <a:ahLst/>
                            <a:cxnLst/>
                            <a:rect l="l" t="t" r="r" b="b"/>
                            <a:pathLst>
                              <a:path w="102870" h="0">
                                <a:moveTo>
                                  <a:pt x="102730" y="0"/>
                                </a:moveTo>
                                <a:lnTo>
                                  <a:pt x="0" y="0"/>
                                </a:lnTo>
                              </a:path>
                            </a:pathLst>
                          </a:custGeom>
                          <a:solidFill>
                            <a:srgbClr val="FFFFFF"/>
                          </a:solidFill>
                        </wps:spPr>
                        <wps:bodyPr wrap="square" lIns="0" tIns="0" rIns="0" bIns="0" rtlCol="0">
                          <a:prstTxWarp prst="textNoShape">
                            <a:avLst/>
                          </a:prstTxWarp>
                          <a:noAutofit/>
                        </wps:bodyPr>
                      </wps:wsp>
                      <wps:wsp>
                        <wps:cNvPr id="40" name="Graphic 40"/>
                        <wps:cNvSpPr/>
                        <wps:spPr>
                          <a:xfrm>
                            <a:off x="3036396" y="3220815"/>
                            <a:ext cx="102870" cy="31750"/>
                          </a:xfrm>
                          <a:custGeom>
                            <a:avLst/>
                            <a:gdLst/>
                            <a:ahLst/>
                            <a:cxnLst/>
                            <a:rect l="l" t="t" r="r" b="b"/>
                            <a:pathLst>
                              <a:path w="102870" h="31750">
                                <a:moveTo>
                                  <a:pt x="0" y="31749"/>
                                </a:moveTo>
                                <a:lnTo>
                                  <a:pt x="102743" y="31749"/>
                                </a:lnTo>
                                <a:lnTo>
                                  <a:pt x="102743" y="0"/>
                                </a:lnTo>
                                <a:lnTo>
                                  <a:pt x="0" y="0"/>
                                </a:lnTo>
                                <a:lnTo>
                                  <a:pt x="0" y="31749"/>
                                </a:lnTo>
                                <a:close/>
                              </a:path>
                            </a:pathLst>
                          </a:custGeom>
                          <a:solidFill>
                            <a:srgbClr val="231F20"/>
                          </a:solidFill>
                        </wps:spPr>
                        <wps:bodyPr wrap="square" lIns="0" tIns="0" rIns="0" bIns="0" rtlCol="0">
                          <a:prstTxWarp prst="textNoShape">
                            <a:avLst/>
                          </a:prstTxWarp>
                          <a:noAutofit/>
                        </wps:bodyPr>
                      </wps:wsp>
                      <wps:wsp>
                        <wps:cNvPr id="41" name="Graphic 41"/>
                        <wps:cNvSpPr/>
                        <wps:spPr>
                          <a:xfrm>
                            <a:off x="3087766" y="3185326"/>
                            <a:ext cx="1270" cy="102870"/>
                          </a:xfrm>
                          <a:custGeom>
                            <a:avLst/>
                            <a:gdLst/>
                            <a:ahLst/>
                            <a:cxnLst/>
                            <a:rect l="l" t="t" r="r" b="b"/>
                            <a:pathLst>
                              <a:path w="0" h="102870">
                                <a:moveTo>
                                  <a:pt x="0" y="0"/>
                                </a:moveTo>
                                <a:lnTo>
                                  <a:pt x="0" y="102704"/>
                                </a:lnTo>
                              </a:path>
                            </a:pathLst>
                          </a:custGeom>
                          <a:solidFill>
                            <a:srgbClr val="FFFFFF"/>
                          </a:solidFill>
                        </wps:spPr>
                        <wps:bodyPr wrap="square" lIns="0" tIns="0" rIns="0" bIns="0" rtlCol="0">
                          <a:prstTxWarp prst="textNoShape">
                            <a:avLst/>
                          </a:prstTxWarp>
                          <a:noAutofit/>
                        </wps:bodyPr>
                      </wps:wsp>
                      <wps:wsp>
                        <wps:cNvPr id="42" name="Graphic 42"/>
                        <wps:cNvSpPr/>
                        <wps:spPr>
                          <a:xfrm>
                            <a:off x="3087766" y="3185320"/>
                            <a:ext cx="1270" cy="102870"/>
                          </a:xfrm>
                          <a:custGeom>
                            <a:avLst/>
                            <a:gdLst/>
                            <a:ahLst/>
                            <a:cxnLst/>
                            <a:rect l="l" t="t" r="r" b="b"/>
                            <a:pathLst>
                              <a:path w="0" h="102870">
                                <a:moveTo>
                                  <a:pt x="0" y="0"/>
                                </a:moveTo>
                                <a:lnTo>
                                  <a:pt x="0" y="102717"/>
                                </a:lnTo>
                              </a:path>
                            </a:pathLst>
                          </a:custGeom>
                          <a:ln w="31750">
                            <a:solidFill>
                              <a:srgbClr val="231F20"/>
                            </a:solidFill>
                            <a:prstDash val="solid"/>
                          </a:ln>
                        </wps:spPr>
                        <wps:bodyPr wrap="square" lIns="0" tIns="0" rIns="0" bIns="0" rtlCol="0">
                          <a:prstTxWarp prst="textNoShape">
                            <a:avLst/>
                          </a:prstTxWarp>
                          <a:noAutofit/>
                        </wps:bodyPr>
                      </wps:wsp>
                      <wps:wsp>
                        <wps:cNvPr id="43" name="Graphic 43"/>
                        <wps:cNvSpPr/>
                        <wps:spPr>
                          <a:xfrm>
                            <a:off x="2933903" y="3082764"/>
                            <a:ext cx="102870" cy="102870"/>
                          </a:xfrm>
                          <a:custGeom>
                            <a:avLst/>
                            <a:gdLst/>
                            <a:ahLst/>
                            <a:cxnLst/>
                            <a:rect l="l" t="t" r="r" b="b"/>
                            <a:pathLst>
                              <a:path w="102870" h="102870">
                                <a:moveTo>
                                  <a:pt x="102603" y="0"/>
                                </a:moveTo>
                                <a:lnTo>
                                  <a:pt x="0" y="0"/>
                                </a:lnTo>
                                <a:lnTo>
                                  <a:pt x="0" y="102615"/>
                                </a:lnTo>
                                <a:lnTo>
                                  <a:pt x="102603" y="102615"/>
                                </a:lnTo>
                                <a:lnTo>
                                  <a:pt x="102603" y="0"/>
                                </a:lnTo>
                                <a:close/>
                              </a:path>
                            </a:pathLst>
                          </a:custGeom>
                          <a:solidFill>
                            <a:srgbClr val="FFFFFF"/>
                          </a:solidFill>
                        </wps:spPr>
                        <wps:bodyPr wrap="square" lIns="0" tIns="0" rIns="0" bIns="0" rtlCol="0">
                          <a:prstTxWarp prst="textNoShape">
                            <a:avLst/>
                          </a:prstTxWarp>
                          <a:noAutofit/>
                        </wps:bodyPr>
                      </wps:wsp>
                      <wps:wsp>
                        <wps:cNvPr id="44" name="Graphic 44"/>
                        <wps:cNvSpPr/>
                        <wps:spPr>
                          <a:xfrm>
                            <a:off x="2933903" y="3082758"/>
                            <a:ext cx="102870" cy="102870"/>
                          </a:xfrm>
                          <a:custGeom>
                            <a:avLst/>
                            <a:gdLst/>
                            <a:ahLst/>
                            <a:cxnLst/>
                            <a:rect l="l" t="t" r="r" b="b"/>
                            <a:pathLst>
                              <a:path w="102870" h="102870">
                                <a:moveTo>
                                  <a:pt x="102603" y="102616"/>
                                </a:moveTo>
                                <a:lnTo>
                                  <a:pt x="0" y="102616"/>
                                </a:lnTo>
                                <a:lnTo>
                                  <a:pt x="0" y="0"/>
                                </a:lnTo>
                                <a:lnTo>
                                  <a:pt x="102603" y="0"/>
                                </a:lnTo>
                                <a:lnTo>
                                  <a:pt x="102603" y="102616"/>
                                </a:lnTo>
                                <a:close/>
                              </a:path>
                            </a:pathLst>
                          </a:custGeom>
                          <a:ln w="31750">
                            <a:solidFill>
                              <a:srgbClr val="231F20"/>
                            </a:solidFill>
                            <a:prstDash val="solid"/>
                          </a:ln>
                        </wps:spPr>
                        <wps:bodyPr wrap="square" lIns="0" tIns="0" rIns="0" bIns="0" rtlCol="0">
                          <a:prstTxWarp prst="textNoShape">
                            <a:avLst/>
                          </a:prstTxWarp>
                          <a:noAutofit/>
                        </wps:bodyPr>
                      </wps:wsp>
                      <wps:wsp>
                        <wps:cNvPr id="45" name="Graphic 45"/>
                        <wps:cNvSpPr/>
                        <wps:spPr>
                          <a:xfrm>
                            <a:off x="2933792" y="3134069"/>
                            <a:ext cx="102870" cy="1270"/>
                          </a:xfrm>
                          <a:custGeom>
                            <a:avLst/>
                            <a:gdLst/>
                            <a:ahLst/>
                            <a:cxnLst/>
                            <a:rect l="l" t="t" r="r" b="b"/>
                            <a:pathLst>
                              <a:path w="102870" h="0">
                                <a:moveTo>
                                  <a:pt x="102704" y="0"/>
                                </a:moveTo>
                                <a:lnTo>
                                  <a:pt x="0" y="0"/>
                                </a:lnTo>
                              </a:path>
                            </a:pathLst>
                          </a:custGeom>
                          <a:solidFill>
                            <a:srgbClr val="FFFFFF"/>
                          </a:solidFill>
                        </wps:spPr>
                        <wps:bodyPr wrap="square" lIns="0" tIns="0" rIns="0" bIns="0" rtlCol="0">
                          <a:prstTxWarp prst="textNoShape">
                            <a:avLst/>
                          </a:prstTxWarp>
                          <a:noAutofit/>
                        </wps:bodyPr>
                      </wps:wsp>
                      <wps:wsp>
                        <wps:cNvPr id="46" name="Graphic 46"/>
                        <wps:cNvSpPr/>
                        <wps:spPr>
                          <a:xfrm>
                            <a:off x="2933791" y="3118198"/>
                            <a:ext cx="102870" cy="31750"/>
                          </a:xfrm>
                          <a:custGeom>
                            <a:avLst/>
                            <a:gdLst/>
                            <a:ahLst/>
                            <a:cxnLst/>
                            <a:rect l="l" t="t" r="r" b="b"/>
                            <a:pathLst>
                              <a:path w="102870" h="31750">
                                <a:moveTo>
                                  <a:pt x="0" y="31750"/>
                                </a:moveTo>
                                <a:lnTo>
                                  <a:pt x="102717" y="31750"/>
                                </a:lnTo>
                                <a:lnTo>
                                  <a:pt x="102717" y="0"/>
                                </a:lnTo>
                                <a:lnTo>
                                  <a:pt x="0" y="0"/>
                                </a:lnTo>
                                <a:lnTo>
                                  <a:pt x="0" y="31750"/>
                                </a:lnTo>
                                <a:close/>
                              </a:path>
                            </a:pathLst>
                          </a:custGeom>
                          <a:solidFill>
                            <a:srgbClr val="231F20"/>
                          </a:solidFill>
                        </wps:spPr>
                        <wps:bodyPr wrap="square" lIns="0" tIns="0" rIns="0" bIns="0" rtlCol="0">
                          <a:prstTxWarp prst="textNoShape">
                            <a:avLst/>
                          </a:prstTxWarp>
                          <a:noAutofit/>
                        </wps:bodyPr>
                      </wps:wsp>
                      <wps:wsp>
                        <wps:cNvPr id="47" name="Graphic 47"/>
                        <wps:cNvSpPr/>
                        <wps:spPr>
                          <a:xfrm>
                            <a:off x="2985170" y="3082718"/>
                            <a:ext cx="1270" cy="102870"/>
                          </a:xfrm>
                          <a:custGeom>
                            <a:avLst/>
                            <a:gdLst/>
                            <a:ahLst/>
                            <a:cxnLst/>
                            <a:rect l="l" t="t" r="r" b="b"/>
                            <a:pathLst>
                              <a:path w="0" h="102870">
                                <a:moveTo>
                                  <a:pt x="0" y="0"/>
                                </a:moveTo>
                                <a:lnTo>
                                  <a:pt x="0" y="102717"/>
                                </a:lnTo>
                              </a:path>
                            </a:pathLst>
                          </a:custGeom>
                          <a:solidFill>
                            <a:srgbClr val="FFFFFF"/>
                          </a:solidFill>
                        </wps:spPr>
                        <wps:bodyPr wrap="square" lIns="0" tIns="0" rIns="0" bIns="0" rtlCol="0">
                          <a:prstTxWarp prst="textNoShape">
                            <a:avLst/>
                          </a:prstTxWarp>
                          <a:noAutofit/>
                        </wps:bodyPr>
                      </wps:wsp>
                      <wps:wsp>
                        <wps:cNvPr id="48" name="Graphic 48"/>
                        <wps:cNvSpPr/>
                        <wps:spPr>
                          <a:xfrm>
                            <a:off x="2985174" y="3082702"/>
                            <a:ext cx="1270" cy="102870"/>
                          </a:xfrm>
                          <a:custGeom>
                            <a:avLst/>
                            <a:gdLst/>
                            <a:ahLst/>
                            <a:cxnLst/>
                            <a:rect l="l" t="t" r="r" b="b"/>
                            <a:pathLst>
                              <a:path w="0" h="102870">
                                <a:moveTo>
                                  <a:pt x="0" y="0"/>
                                </a:moveTo>
                                <a:lnTo>
                                  <a:pt x="0" y="102742"/>
                                </a:lnTo>
                              </a:path>
                            </a:pathLst>
                          </a:custGeom>
                          <a:ln w="31750">
                            <a:solidFill>
                              <a:srgbClr val="231F20"/>
                            </a:solidFill>
                            <a:prstDash val="solid"/>
                          </a:ln>
                        </wps:spPr>
                        <wps:bodyPr wrap="square" lIns="0" tIns="0" rIns="0" bIns="0" rtlCol="0">
                          <a:prstTxWarp prst="textNoShape">
                            <a:avLst/>
                          </a:prstTxWarp>
                          <a:noAutofit/>
                        </wps:bodyPr>
                      </wps:wsp>
                      <wps:wsp>
                        <wps:cNvPr id="49" name="Graphic 49"/>
                        <wps:cNvSpPr/>
                        <wps:spPr>
                          <a:xfrm>
                            <a:off x="2831312" y="3082764"/>
                            <a:ext cx="102870" cy="102870"/>
                          </a:xfrm>
                          <a:custGeom>
                            <a:avLst/>
                            <a:gdLst/>
                            <a:ahLst/>
                            <a:cxnLst/>
                            <a:rect l="l" t="t" r="r" b="b"/>
                            <a:pathLst>
                              <a:path w="102870" h="102870">
                                <a:moveTo>
                                  <a:pt x="102590" y="0"/>
                                </a:moveTo>
                                <a:lnTo>
                                  <a:pt x="0" y="0"/>
                                </a:lnTo>
                                <a:lnTo>
                                  <a:pt x="0" y="102615"/>
                                </a:lnTo>
                                <a:lnTo>
                                  <a:pt x="102590" y="102615"/>
                                </a:lnTo>
                                <a:lnTo>
                                  <a:pt x="102590"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2831312" y="3082758"/>
                            <a:ext cx="102870" cy="102870"/>
                          </a:xfrm>
                          <a:custGeom>
                            <a:avLst/>
                            <a:gdLst/>
                            <a:ahLst/>
                            <a:cxnLst/>
                            <a:rect l="l" t="t" r="r" b="b"/>
                            <a:pathLst>
                              <a:path w="102870" h="102870">
                                <a:moveTo>
                                  <a:pt x="102590" y="102616"/>
                                </a:moveTo>
                                <a:lnTo>
                                  <a:pt x="0" y="102616"/>
                                </a:lnTo>
                                <a:lnTo>
                                  <a:pt x="0" y="0"/>
                                </a:lnTo>
                                <a:lnTo>
                                  <a:pt x="102590" y="0"/>
                                </a:lnTo>
                                <a:lnTo>
                                  <a:pt x="102590" y="102616"/>
                                </a:lnTo>
                                <a:close/>
                              </a:path>
                            </a:pathLst>
                          </a:custGeom>
                          <a:ln w="31750">
                            <a:solidFill>
                              <a:srgbClr val="231F20"/>
                            </a:solidFill>
                            <a:prstDash val="solid"/>
                          </a:ln>
                        </wps:spPr>
                        <wps:bodyPr wrap="square" lIns="0" tIns="0" rIns="0" bIns="0" rtlCol="0">
                          <a:prstTxWarp prst="textNoShape">
                            <a:avLst/>
                          </a:prstTxWarp>
                          <a:noAutofit/>
                        </wps:bodyPr>
                      </wps:wsp>
                      <wps:wsp>
                        <wps:cNvPr id="51" name="Graphic 51"/>
                        <wps:cNvSpPr/>
                        <wps:spPr>
                          <a:xfrm>
                            <a:off x="2831208" y="3134069"/>
                            <a:ext cx="102870" cy="1270"/>
                          </a:xfrm>
                          <a:custGeom>
                            <a:avLst/>
                            <a:gdLst/>
                            <a:ahLst/>
                            <a:cxnLst/>
                            <a:rect l="l" t="t" r="r" b="b"/>
                            <a:pathLst>
                              <a:path w="102870" h="0">
                                <a:moveTo>
                                  <a:pt x="102717" y="0"/>
                                </a:moveTo>
                                <a:lnTo>
                                  <a:pt x="0" y="0"/>
                                </a:lnTo>
                              </a:path>
                            </a:pathLst>
                          </a:custGeom>
                          <a:solidFill>
                            <a:srgbClr val="FFFFFF"/>
                          </a:solidFill>
                        </wps:spPr>
                        <wps:bodyPr wrap="square" lIns="0" tIns="0" rIns="0" bIns="0" rtlCol="0">
                          <a:prstTxWarp prst="textNoShape">
                            <a:avLst/>
                          </a:prstTxWarp>
                          <a:noAutofit/>
                        </wps:bodyPr>
                      </wps:wsp>
                      <wps:wsp>
                        <wps:cNvPr id="52" name="Graphic 52"/>
                        <wps:cNvSpPr/>
                        <wps:spPr>
                          <a:xfrm>
                            <a:off x="2831211" y="3118198"/>
                            <a:ext cx="102870" cy="31750"/>
                          </a:xfrm>
                          <a:custGeom>
                            <a:avLst/>
                            <a:gdLst/>
                            <a:ahLst/>
                            <a:cxnLst/>
                            <a:rect l="l" t="t" r="r" b="b"/>
                            <a:pathLst>
                              <a:path w="102870" h="31750">
                                <a:moveTo>
                                  <a:pt x="0" y="31750"/>
                                </a:moveTo>
                                <a:lnTo>
                                  <a:pt x="102717" y="31750"/>
                                </a:lnTo>
                                <a:lnTo>
                                  <a:pt x="102717" y="0"/>
                                </a:lnTo>
                                <a:lnTo>
                                  <a:pt x="0" y="0"/>
                                </a:lnTo>
                                <a:lnTo>
                                  <a:pt x="0" y="31750"/>
                                </a:lnTo>
                                <a:close/>
                              </a:path>
                            </a:pathLst>
                          </a:custGeom>
                          <a:solidFill>
                            <a:srgbClr val="231F20"/>
                          </a:solidFill>
                        </wps:spPr>
                        <wps:bodyPr wrap="square" lIns="0" tIns="0" rIns="0" bIns="0" rtlCol="0">
                          <a:prstTxWarp prst="textNoShape">
                            <a:avLst/>
                          </a:prstTxWarp>
                          <a:noAutofit/>
                        </wps:bodyPr>
                      </wps:wsp>
                      <wps:wsp>
                        <wps:cNvPr id="53" name="Graphic 53"/>
                        <wps:cNvSpPr/>
                        <wps:spPr>
                          <a:xfrm>
                            <a:off x="2882586" y="3082718"/>
                            <a:ext cx="1270" cy="102870"/>
                          </a:xfrm>
                          <a:custGeom>
                            <a:avLst/>
                            <a:gdLst/>
                            <a:ahLst/>
                            <a:cxnLst/>
                            <a:rect l="l" t="t" r="r" b="b"/>
                            <a:pathLst>
                              <a:path w="0" h="102870">
                                <a:moveTo>
                                  <a:pt x="0" y="0"/>
                                </a:moveTo>
                                <a:lnTo>
                                  <a:pt x="0" y="102717"/>
                                </a:lnTo>
                              </a:path>
                            </a:pathLst>
                          </a:custGeom>
                          <a:solidFill>
                            <a:srgbClr val="FFFFFF"/>
                          </a:solidFill>
                        </wps:spPr>
                        <wps:bodyPr wrap="square" lIns="0" tIns="0" rIns="0" bIns="0" rtlCol="0">
                          <a:prstTxWarp prst="textNoShape">
                            <a:avLst/>
                          </a:prstTxWarp>
                          <a:noAutofit/>
                        </wps:bodyPr>
                      </wps:wsp>
                      <wps:wsp>
                        <wps:cNvPr id="54" name="Graphic 54"/>
                        <wps:cNvSpPr/>
                        <wps:spPr>
                          <a:xfrm>
                            <a:off x="2882582" y="3082702"/>
                            <a:ext cx="1270" cy="102870"/>
                          </a:xfrm>
                          <a:custGeom>
                            <a:avLst/>
                            <a:gdLst/>
                            <a:ahLst/>
                            <a:cxnLst/>
                            <a:rect l="l" t="t" r="r" b="b"/>
                            <a:pathLst>
                              <a:path w="0" h="102870">
                                <a:moveTo>
                                  <a:pt x="0" y="0"/>
                                </a:moveTo>
                                <a:lnTo>
                                  <a:pt x="0" y="102742"/>
                                </a:lnTo>
                              </a:path>
                            </a:pathLst>
                          </a:custGeom>
                          <a:ln w="31750">
                            <a:solidFill>
                              <a:srgbClr val="231F20"/>
                            </a:solidFill>
                            <a:prstDash val="solid"/>
                          </a:ln>
                        </wps:spPr>
                        <wps:bodyPr wrap="square" lIns="0" tIns="0" rIns="0" bIns="0" rtlCol="0">
                          <a:prstTxWarp prst="textNoShape">
                            <a:avLst/>
                          </a:prstTxWarp>
                          <a:noAutofit/>
                        </wps:bodyPr>
                      </wps:wsp>
                      <wps:wsp>
                        <wps:cNvPr id="55" name="Graphic 55"/>
                        <wps:cNvSpPr/>
                        <wps:spPr>
                          <a:xfrm>
                            <a:off x="3036506" y="3082764"/>
                            <a:ext cx="102870" cy="102870"/>
                          </a:xfrm>
                          <a:custGeom>
                            <a:avLst/>
                            <a:gdLst/>
                            <a:ahLst/>
                            <a:cxnLst/>
                            <a:rect l="l" t="t" r="r" b="b"/>
                            <a:pathLst>
                              <a:path w="102870" h="102870">
                                <a:moveTo>
                                  <a:pt x="102628" y="0"/>
                                </a:moveTo>
                                <a:lnTo>
                                  <a:pt x="0" y="0"/>
                                </a:lnTo>
                                <a:lnTo>
                                  <a:pt x="0" y="102615"/>
                                </a:lnTo>
                                <a:lnTo>
                                  <a:pt x="102628" y="102615"/>
                                </a:lnTo>
                                <a:lnTo>
                                  <a:pt x="102628" y="0"/>
                                </a:lnTo>
                                <a:close/>
                              </a:path>
                            </a:pathLst>
                          </a:custGeom>
                          <a:solidFill>
                            <a:srgbClr val="FFFFFF"/>
                          </a:solidFill>
                        </wps:spPr>
                        <wps:bodyPr wrap="square" lIns="0" tIns="0" rIns="0" bIns="0" rtlCol="0">
                          <a:prstTxWarp prst="textNoShape">
                            <a:avLst/>
                          </a:prstTxWarp>
                          <a:noAutofit/>
                        </wps:bodyPr>
                      </wps:wsp>
                      <wps:wsp>
                        <wps:cNvPr id="56" name="Graphic 56"/>
                        <wps:cNvSpPr/>
                        <wps:spPr>
                          <a:xfrm>
                            <a:off x="3036506" y="3082758"/>
                            <a:ext cx="102870" cy="102870"/>
                          </a:xfrm>
                          <a:custGeom>
                            <a:avLst/>
                            <a:gdLst/>
                            <a:ahLst/>
                            <a:cxnLst/>
                            <a:rect l="l" t="t" r="r" b="b"/>
                            <a:pathLst>
                              <a:path w="102870" h="102870">
                                <a:moveTo>
                                  <a:pt x="102628" y="102616"/>
                                </a:moveTo>
                                <a:lnTo>
                                  <a:pt x="0" y="102616"/>
                                </a:lnTo>
                                <a:lnTo>
                                  <a:pt x="0" y="0"/>
                                </a:lnTo>
                                <a:lnTo>
                                  <a:pt x="102628" y="0"/>
                                </a:lnTo>
                                <a:lnTo>
                                  <a:pt x="102628" y="102616"/>
                                </a:lnTo>
                                <a:close/>
                              </a:path>
                            </a:pathLst>
                          </a:custGeom>
                          <a:ln w="31750">
                            <a:solidFill>
                              <a:srgbClr val="231F20"/>
                            </a:solidFill>
                            <a:prstDash val="solid"/>
                          </a:ln>
                        </wps:spPr>
                        <wps:bodyPr wrap="square" lIns="0" tIns="0" rIns="0" bIns="0" rtlCol="0">
                          <a:prstTxWarp prst="textNoShape">
                            <a:avLst/>
                          </a:prstTxWarp>
                          <a:noAutofit/>
                        </wps:bodyPr>
                      </wps:wsp>
                      <wps:wsp>
                        <wps:cNvPr id="57" name="Graphic 57"/>
                        <wps:cNvSpPr/>
                        <wps:spPr>
                          <a:xfrm>
                            <a:off x="3036399" y="3134069"/>
                            <a:ext cx="102870" cy="1270"/>
                          </a:xfrm>
                          <a:custGeom>
                            <a:avLst/>
                            <a:gdLst/>
                            <a:ahLst/>
                            <a:cxnLst/>
                            <a:rect l="l" t="t" r="r" b="b"/>
                            <a:pathLst>
                              <a:path w="102870" h="0">
                                <a:moveTo>
                                  <a:pt x="102730" y="0"/>
                                </a:moveTo>
                                <a:lnTo>
                                  <a:pt x="0" y="0"/>
                                </a:lnTo>
                              </a:path>
                            </a:pathLst>
                          </a:custGeom>
                          <a:solidFill>
                            <a:srgbClr val="FFFFFF"/>
                          </a:solidFill>
                        </wps:spPr>
                        <wps:bodyPr wrap="square" lIns="0" tIns="0" rIns="0" bIns="0" rtlCol="0">
                          <a:prstTxWarp prst="textNoShape">
                            <a:avLst/>
                          </a:prstTxWarp>
                          <a:noAutofit/>
                        </wps:bodyPr>
                      </wps:wsp>
                      <wps:wsp>
                        <wps:cNvPr id="58" name="Graphic 58"/>
                        <wps:cNvSpPr/>
                        <wps:spPr>
                          <a:xfrm>
                            <a:off x="3036396" y="3118198"/>
                            <a:ext cx="102870" cy="31750"/>
                          </a:xfrm>
                          <a:custGeom>
                            <a:avLst/>
                            <a:gdLst/>
                            <a:ahLst/>
                            <a:cxnLst/>
                            <a:rect l="l" t="t" r="r" b="b"/>
                            <a:pathLst>
                              <a:path w="102870" h="31750">
                                <a:moveTo>
                                  <a:pt x="0" y="31750"/>
                                </a:moveTo>
                                <a:lnTo>
                                  <a:pt x="102743" y="31750"/>
                                </a:lnTo>
                                <a:lnTo>
                                  <a:pt x="102743" y="0"/>
                                </a:lnTo>
                                <a:lnTo>
                                  <a:pt x="0" y="0"/>
                                </a:lnTo>
                                <a:lnTo>
                                  <a:pt x="0" y="31750"/>
                                </a:lnTo>
                                <a:close/>
                              </a:path>
                            </a:pathLst>
                          </a:custGeom>
                          <a:solidFill>
                            <a:srgbClr val="231F20"/>
                          </a:solidFill>
                        </wps:spPr>
                        <wps:bodyPr wrap="square" lIns="0" tIns="0" rIns="0" bIns="0" rtlCol="0">
                          <a:prstTxWarp prst="textNoShape">
                            <a:avLst/>
                          </a:prstTxWarp>
                          <a:noAutofit/>
                        </wps:bodyPr>
                      </wps:wsp>
                      <wps:wsp>
                        <wps:cNvPr id="59" name="Graphic 59"/>
                        <wps:cNvSpPr/>
                        <wps:spPr>
                          <a:xfrm>
                            <a:off x="3087766" y="3082718"/>
                            <a:ext cx="1270" cy="102870"/>
                          </a:xfrm>
                          <a:custGeom>
                            <a:avLst/>
                            <a:gdLst/>
                            <a:ahLst/>
                            <a:cxnLst/>
                            <a:rect l="l" t="t" r="r" b="b"/>
                            <a:pathLst>
                              <a:path w="0" h="102870">
                                <a:moveTo>
                                  <a:pt x="0" y="0"/>
                                </a:moveTo>
                                <a:lnTo>
                                  <a:pt x="0" y="102717"/>
                                </a:lnTo>
                              </a:path>
                            </a:pathLst>
                          </a:custGeom>
                          <a:solidFill>
                            <a:srgbClr val="FFFFFF"/>
                          </a:solidFill>
                        </wps:spPr>
                        <wps:bodyPr wrap="square" lIns="0" tIns="0" rIns="0" bIns="0" rtlCol="0">
                          <a:prstTxWarp prst="textNoShape">
                            <a:avLst/>
                          </a:prstTxWarp>
                          <a:noAutofit/>
                        </wps:bodyPr>
                      </wps:wsp>
                      <wps:wsp>
                        <wps:cNvPr id="60" name="Graphic 60"/>
                        <wps:cNvSpPr/>
                        <wps:spPr>
                          <a:xfrm>
                            <a:off x="3087766" y="3082702"/>
                            <a:ext cx="1270" cy="102870"/>
                          </a:xfrm>
                          <a:custGeom>
                            <a:avLst/>
                            <a:gdLst/>
                            <a:ahLst/>
                            <a:cxnLst/>
                            <a:rect l="l" t="t" r="r" b="b"/>
                            <a:pathLst>
                              <a:path w="0" h="102870">
                                <a:moveTo>
                                  <a:pt x="0" y="0"/>
                                </a:moveTo>
                                <a:lnTo>
                                  <a:pt x="0" y="102742"/>
                                </a:lnTo>
                              </a:path>
                            </a:pathLst>
                          </a:custGeom>
                          <a:ln w="31750">
                            <a:solidFill>
                              <a:srgbClr val="231F20"/>
                            </a:solidFill>
                            <a:prstDash val="solid"/>
                          </a:ln>
                        </wps:spPr>
                        <wps:bodyPr wrap="square" lIns="0" tIns="0" rIns="0" bIns="0" rtlCol="0">
                          <a:prstTxWarp prst="textNoShape">
                            <a:avLst/>
                          </a:prstTxWarp>
                          <a:noAutofit/>
                        </wps:bodyPr>
                      </wps:wsp>
                      <wps:wsp>
                        <wps:cNvPr id="61" name="Graphic 61"/>
                        <wps:cNvSpPr/>
                        <wps:spPr>
                          <a:xfrm>
                            <a:off x="2933903" y="2980174"/>
                            <a:ext cx="102870" cy="102870"/>
                          </a:xfrm>
                          <a:custGeom>
                            <a:avLst/>
                            <a:gdLst/>
                            <a:ahLst/>
                            <a:cxnLst/>
                            <a:rect l="l" t="t" r="r" b="b"/>
                            <a:pathLst>
                              <a:path w="102870" h="102870">
                                <a:moveTo>
                                  <a:pt x="102603" y="0"/>
                                </a:moveTo>
                                <a:lnTo>
                                  <a:pt x="0" y="0"/>
                                </a:lnTo>
                                <a:lnTo>
                                  <a:pt x="0" y="102590"/>
                                </a:lnTo>
                                <a:lnTo>
                                  <a:pt x="102603" y="102590"/>
                                </a:lnTo>
                                <a:lnTo>
                                  <a:pt x="102603" y="0"/>
                                </a:lnTo>
                                <a:close/>
                              </a:path>
                            </a:pathLst>
                          </a:custGeom>
                          <a:solidFill>
                            <a:srgbClr val="FFFFFF"/>
                          </a:solidFill>
                        </wps:spPr>
                        <wps:bodyPr wrap="square" lIns="0" tIns="0" rIns="0" bIns="0" rtlCol="0">
                          <a:prstTxWarp prst="textNoShape">
                            <a:avLst/>
                          </a:prstTxWarp>
                          <a:noAutofit/>
                        </wps:bodyPr>
                      </wps:wsp>
                      <wps:wsp>
                        <wps:cNvPr id="62" name="Graphic 62"/>
                        <wps:cNvSpPr/>
                        <wps:spPr>
                          <a:xfrm>
                            <a:off x="2933903" y="2980168"/>
                            <a:ext cx="102870" cy="102870"/>
                          </a:xfrm>
                          <a:custGeom>
                            <a:avLst/>
                            <a:gdLst/>
                            <a:ahLst/>
                            <a:cxnLst/>
                            <a:rect l="l" t="t" r="r" b="b"/>
                            <a:pathLst>
                              <a:path w="102870" h="102870">
                                <a:moveTo>
                                  <a:pt x="102603" y="102590"/>
                                </a:moveTo>
                                <a:lnTo>
                                  <a:pt x="0" y="102590"/>
                                </a:lnTo>
                                <a:lnTo>
                                  <a:pt x="0" y="0"/>
                                </a:lnTo>
                                <a:lnTo>
                                  <a:pt x="102603" y="0"/>
                                </a:lnTo>
                                <a:lnTo>
                                  <a:pt x="102603" y="102590"/>
                                </a:lnTo>
                                <a:close/>
                              </a:path>
                            </a:pathLst>
                          </a:custGeom>
                          <a:ln w="31750">
                            <a:solidFill>
                              <a:srgbClr val="231F20"/>
                            </a:solidFill>
                            <a:prstDash val="solid"/>
                          </a:ln>
                        </wps:spPr>
                        <wps:bodyPr wrap="square" lIns="0" tIns="0" rIns="0" bIns="0" rtlCol="0">
                          <a:prstTxWarp prst="textNoShape">
                            <a:avLst/>
                          </a:prstTxWarp>
                          <a:noAutofit/>
                        </wps:bodyPr>
                      </wps:wsp>
                      <wps:wsp>
                        <wps:cNvPr id="63" name="Graphic 63"/>
                        <wps:cNvSpPr/>
                        <wps:spPr>
                          <a:xfrm>
                            <a:off x="2933792" y="3031473"/>
                            <a:ext cx="102870" cy="1270"/>
                          </a:xfrm>
                          <a:custGeom>
                            <a:avLst/>
                            <a:gdLst/>
                            <a:ahLst/>
                            <a:cxnLst/>
                            <a:rect l="l" t="t" r="r" b="b"/>
                            <a:pathLst>
                              <a:path w="102870" h="0">
                                <a:moveTo>
                                  <a:pt x="102704" y="0"/>
                                </a:moveTo>
                                <a:lnTo>
                                  <a:pt x="0" y="0"/>
                                </a:lnTo>
                              </a:path>
                            </a:pathLst>
                          </a:custGeom>
                          <a:solidFill>
                            <a:srgbClr val="FFFFFF"/>
                          </a:solidFill>
                        </wps:spPr>
                        <wps:bodyPr wrap="square" lIns="0" tIns="0" rIns="0" bIns="0" rtlCol="0">
                          <a:prstTxWarp prst="textNoShape">
                            <a:avLst/>
                          </a:prstTxWarp>
                          <a:noAutofit/>
                        </wps:bodyPr>
                      </wps:wsp>
                      <wps:wsp>
                        <wps:cNvPr id="64" name="Graphic 64"/>
                        <wps:cNvSpPr/>
                        <wps:spPr>
                          <a:xfrm>
                            <a:off x="2933791" y="3015606"/>
                            <a:ext cx="102870" cy="31750"/>
                          </a:xfrm>
                          <a:custGeom>
                            <a:avLst/>
                            <a:gdLst/>
                            <a:ahLst/>
                            <a:cxnLst/>
                            <a:rect l="l" t="t" r="r" b="b"/>
                            <a:pathLst>
                              <a:path w="102870" h="31750">
                                <a:moveTo>
                                  <a:pt x="0" y="31749"/>
                                </a:moveTo>
                                <a:lnTo>
                                  <a:pt x="102717" y="31749"/>
                                </a:lnTo>
                                <a:lnTo>
                                  <a:pt x="102717" y="0"/>
                                </a:lnTo>
                                <a:lnTo>
                                  <a:pt x="0" y="0"/>
                                </a:lnTo>
                                <a:lnTo>
                                  <a:pt x="0" y="31749"/>
                                </a:lnTo>
                                <a:close/>
                              </a:path>
                            </a:pathLst>
                          </a:custGeom>
                          <a:solidFill>
                            <a:srgbClr val="231F20"/>
                          </a:solidFill>
                        </wps:spPr>
                        <wps:bodyPr wrap="square" lIns="0" tIns="0" rIns="0" bIns="0" rtlCol="0">
                          <a:prstTxWarp prst="textNoShape">
                            <a:avLst/>
                          </a:prstTxWarp>
                          <a:noAutofit/>
                        </wps:bodyPr>
                      </wps:wsp>
                      <wps:wsp>
                        <wps:cNvPr id="65" name="Graphic 65"/>
                        <wps:cNvSpPr/>
                        <wps:spPr>
                          <a:xfrm>
                            <a:off x="2985170" y="2980121"/>
                            <a:ext cx="1270" cy="102870"/>
                          </a:xfrm>
                          <a:custGeom>
                            <a:avLst/>
                            <a:gdLst/>
                            <a:ahLst/>
                            <a:cxnLst/>
                            <a:rect l="l" t="t" r="r" b="b"/>
                            <a:pathLst>
                              <a:path w="0" h="102870">
                                <a:moveTo>
                                  <a:pt x="0" y="0"/>
                                </a:moveTo>
                                <a:lnTo>
                                  <a:pt x="0" y="102730"/>
                                </a:lnTo>
                              </a:path>
                            </a:pathLst>
                          </a:custGeom>
                          <a:solidFill>
                            <a:srgbClr val="FFFFFF"/>
                          </a:solidFill>
                        </wps:spPr>
                        <wps:bodyPr wrap="square" lIns="0" tIns="0" rIns="0" bIns="0" rtlCol="0">
                          <a:prstTxWarp prst="textNoShape">
                            <a:avLst/>
                          </a:prstTxWarp>
                          <a:noAutofit/>
                        </wps:bodyPr>
                      </wps:wsp>
                      <wps:wsp>
                        <wps:cNvPr id="66" name="Graphic 66"/>
                        <wps:cNvSpPr/>
                        <wps:spPr>
                          <a:xfrm>
                            <a:off x="2985174" y="2980110"/>
                            <a:ext cx="1270" cy="102870"/>
                          </a:xfrm>
                          <a:custGeom>
                            <a:avLst/>
                            <a:gdLst/>
                            <a:ahLst/>
                            <a:cxnLst/>
                            <a:rect l="l" t="t" r="r" b="b"/>
                            <a:pathLst>
                              <a:path w="0" h="102870">
                                <a:moveTo>
                                  <a:pt x="0" y="0"/>
                                </a:moveTo>
                                <a:lnTo>
                                  <a:pt x="0" y="102743"/>
                                </a:lnTo>
                              </a:path>
                            </a:pathLst>
                          </a:custGeom>
                          <a:ln w="31750">
                            <a:solidFill>
                              <a:srgbClr val="231F20"/>
                            </a:solidFill>
                            <a:prstDash val="solid"/>
                          </a:ln>
                        </wps:spPr>
                        <wps:bodyPr wrap="square" lIns="0" tIns="0" rIns="0" bIns="0" rtlCol="0">
                          <a:prstTxWarp prst="textNoShape">
                            <a:avLst/>
                          </a:prstTxWarp>
                          <a:noAutofit/>
                        </wps:bodyPr>
                      </wps:wsp>
                      <wps:wsp>
                        <wps:cNvPr id="67" name="Graphic 67"/>
                        <wps:cNvSpPr/>
                        <wps:spPr>
                          <a:xfrm>
                            <a:off x="3036506" y="2980174"/>
                            <a:ext cx="102870" cy="102870"/>
                          </a:xfrm>
                          <a:custGeom>
                            <a:avLst/>
                            <a:gdLst/>
                            <a:ahLst/>
                            <a:cxnLst/>
                            <a:rect l="l" t="t" r="r" b="b"/>
                            <a:pathLst>
                              <a:path w="102870" h="102870">
                                <a:moveTo>
                                  <a:pt x="102628" y="0"/>
                                </a:moveTo>
                                <a:lnTo>
                                  <a:pt x="0" y="0"/>
                                </a:lnTo>
                                <a:lnTo>
                                  <a:pt x="0" y="102590"/>
                                </a:lnTo>
                                <a:lnTo>
                                  <a:pt x="102628" y="102590"/>
                                </a:lnTo>
                                <a:lnTo>
                                  <a:pt x="102628" y="0"/>
                                </a:lnTo>
                                <a:close/>
                              </a:path>
                            </a:pathLst>
                          </a:custGeom>
                          <a:solidFill>
                            <a:srgbClr val="FFFFFF"/>
                          </a:solidFill>
                        </wps:spPr>
                        <wps:bodyPr wrap="square" lIns="0" tIns="0" rIns="0" bIns="0" rtlCol="0">
                          <a:prstTxWarp prst="textNoShape">
                            <a:avLst/>
                          </a:prstTxWarp>
                          <a:noAutofit/>
                        </wps:bodyPr>
                      </wps:wsp>
                      <wps:wsp>
                        <wps:cNvPr id="68" name="Graphic 68"/>
                        <wps:cNvSpPr/>
                        <wps:spPr>
                          <a:xfrm>
                            <a:off x="3036506" y="2980168"/>
                            <a:ext cx="102870" cy="102870"/>
                          </a:xfrm>
                          <a:custGeom>
                            <a:avLst/>
                            <a:gdLst/>
                            <a:ahLst/>
                            <a:cxnLst/>
                            <a:rect l="l" t="t" r="r" b="b"/>
                            <a:pathLst>
                              <a:path w="102870" h="102870">
                                <a:moveTo>
                                  <a:pt x="102628" y="102590"/>
                                </a:moveTo>
                                <a:lnTo>
                                  <a:pt x="0" y="102590"/>
                                </a:lnTo>
                                <a:lnTo>
                                  <a:pt x="0" y="0"/>
                                </a:lnTo>
                                <a:lnTo>
                                  <a:pt x="102628" y="0"/>
                                </a:lnTo>
                                <a:lnTo>
                                  <a:pt x="102628" y="102590"/>
                                </a:lnTo>
                                <a:close/>
                              </a:path>
                            </a:pathLst>
                          </a:custGeom>
                          <a:ln w="31750">
                            <a:solidFill>
                              <a:srgbClr val="231F20"/>
                            </a:solidFill>
                            <a:prstDash val="solid"/>
                          </a:ln>
                        </wps:spPr>
                        <wps:bodyPr wrap="square" lIns="0" tIns="0" rIns="0" bIns="0" rtlCol="0">
                          <a:prstTxWarp prst="textNoShape">
                            <a:avLst/>
                          </a:prstTxWarp>
                          <a:noAutofit/>
                        </wps:bodyPr>
                      </wps:wsp>
                      <wps:wsp>
                        <wps:cNvPr id="69" name="Graphic 69"/>
                        <wps:cNvSpPr/>
                        <wps:spPr>
                          <a:xfrm>
                            <a:off x="3036399" y="3031473"/>
                            <a:ext cx="102870" cy="1270"/>
                          </a:xfrm>
                          <a:custGeom>
                            <a:avLst/>
                            <a:gdLst/>
                            <a:ahLst/>
                            <a:cxnLst/>
                            <a:rect l="l" t="t" r="r" b="b"/>
                            <a:pathLst>
                              <a:path w="102870" h="0">
                                <a:moveTo>
                                  <a:pt x="102730" y="0"/>
                                </a:moveTo>
                                <a:lnTo>
                                  <a:pt x="0" y="0"/>
                                </a:lnTo>
                              </a:path>
                            </a:pathLst>
                          </a:custGeom>
                          <a:solidFill>
                            <a:srgbClr val="FFFFFF"/>
                          </a:solidFill>
                        </wps:spPr>
                        <wps:bodyPr wrap="square" lIns="0" tIns="0" rIns="0" bIns="0" rtlCol="0">
                          <a:prstTxWarp prst="textNoShape">
                            <a:avLst/>
                          </a:prstTxWarp>
                          <a:noAutofit/>
                        </wps:bodyPr>
                      </wps:wsp>
                      <wps:wsp>
                        <wps:cNvPr id="70" name="Graphic 70"/>
                        <wps:cNvSpPr/>
                        <wps:spPr>
                          <a:xfrm>
                            <a:off x="3036396" y="3015606"/>
                            <a:ext cx="102870" cy="31750"/>
                          </a:xfrm>
                          <a:custGeom>
                            <a:avLst/>
                            <a:gdLst/>
                            <a:ahLst/>
                            <a:cxnLst/>
                            <a:rect l="l" t="t" r="r" b="b"/>
                            <a:pathLst>
                              <a:path w="102870" h="31750">
                                <a:moveTo>
                                  <a:pt x="0" y="31749"/>
                                </a:moveTo>
                                <a:lnTo>
                                  <a:pt x="102743" y="31749"/>
                                </a:lnTo>
                                <a:lnTo>
                                  <a:pt x="102743" y="0"/>
                                </a:lnTo>
                                <a:lnTo>
                                  <a:pt x="0" y="0"/>
                                </a:lnTo>
                                <a:lnTo>
                                  <a:pt x="0" y="31749"/>
                                </a:lnTo>
                                <a:close/>
                              </a:path>
                            </a:pathLst>
                          </a:custGeom>
                          <a:solidFill>
                            <a:srgbClr val="231F20"/>
                          </a:solidFill>
                        </wps:spPr>
                        <wps:bodyPr wrap="square" lIns="0" tIns="0" rIns="0" bIns="0" rtlCol="0">
                          <a:prstTxWarp prst="textNoShape">
                            <a:avLst/>
                          </a:prstTxWarp>
                          <a:noAutofit/>
                        </wps:bodyPr>
                      </wps:wsp>
                      <wps:wsp>
                        <wps:cNvPr id="71" name="Graphic 71"/>
                        <wps:cNvSpPr/>
                        <wps:spPr>
                          <a:xfrm>
                            <a:off x="3087766" y="2980121"/>
                            <a:ext cx="1270" cy="102870"/>
                          </a:xfrm>
                          <a:custGeom>
                            <a:avLst/>
                            <a:gdLst/>
                            <a:ahLst/>
                            <a:cxnLst/>
                            <a:rect l="l" t="t" r="r" b="b"/>
                            <a:pathLst>
                              <a:path w="0" h="102870">
                                <a:moveTo>
                                  <a:pt x="0" y="0"/>
                                </a:moveTo>
                                <a:lnTo>
                                  <a:pt x="0" y="102730"/>
                                </a:lnTo>
                              </a:path>
                            </a:pathLst>
                          </a:custGeom>
                          <a:solidFill>
                            <a:srgbClr val="FFFFFF"/>
                          </a:solidFill>
                        </wps:spPr>
                        <wps:bodyPr wrap="square" lIns="0" tIns="0" rIns="0" bIns="0" rtlCol="0">
                          <a:prstTxWarp prst="textNoShape">
                            <a:avLst/>
                          </a:prstTxWarp>
                          <a:noAutofit/>
                        </wps:bodyPr>
                      </wps:wsp>
                      <wps:wsp>
                        <wps:cNvPr id="72" name="Graphic 72"/>
                        <wps:cNvSpPr/>
                        <wps:spPr>
                          <a:xfrm>
                            <a:off x="3087766" y="2980110"/>
                            <a:ext cx="1270" cy="102870"/>
                          </a:xfrm>
                          <a:custGeom>
                            <a:avLst/>
                            <a:gdLst/>
                            <a:ahLst/>
                            <a:cxnLst/>
                            <a:rect l="l" t="t" r="r" b="b"/>
                            <a:pathLst>
                              <a:path w="0" h="102870">
                                <a:moveTo>
                                  <a:pt x="0" y="0"/>
                                </a:moveTo>
                                <a:lnTo>
                                  <a:pt x="0" y="102743"/>
                                </a:lnTo>
                              </a:path>
                            </a:pathLst>
                          </a:custGeom>
                          <a:ln w="31750">
                            <a:solidFill>
                              <a:srgbClr val="231F20"/>
                            </a:solidFill>
                            <a:prstDash val="solid"/>
                          </a:ln>
                        </wps:spPr>
                        <wps:bodyPr wrap="square" lIns="0" tIns="0" rIns="0" bIns="0" rtlCol="0">
                          <a:prstTxWarp prst="textNoShape">
                            <a:avLst/>
                          </a:prstTxWarp>
                          <a:noAutofit/>
                        </wps:bodyPr>
                      </wps:wsp>
                      <wps:wsp>
                        <wps:cNvPr id="73" name="Graphic 73"/>
                        <wps:cNvSpPr/>
                        <wps:spPr>
                          <a:xfrm>
                            <a:off x="2933903" y="2877571"/>
                            <a:ext cx="102870" cy="102870"/>
                          </a:xfrm>
                          <a:custGeom>
                            <a:avLst/>
                            <a:gdLst/>
                            <a:ahLst/>
                            <a:cxnLst/>
                            <a:rect l="l" t="t" r="r" b="b"/>
                            <a:pathLst>
                              <a:path w="102870" h="102870">
                                <a:moveTo>
                                  <a:pt x="102603" y="0"/>
                                </a:moveTo>
                                <a:lnTo>
                                  <a:pt x="0" y="0"/>
                                </a:lnTo>
                                <a:lnTo>
                                  <a:pt x="0" y="102590"/>
                                </a:lnTo>
                                <a:lnTo>
                                  <a:pt x="102603" y="102590"/>
                                </a:lnTo>
                                <a:lnTo>
                                  <a:pt x="102603" y="0"/>
                                </a:lnTo>
                                <a:close/>
                              </a:path>
                            </a:pathLst>
                          </a:custGeom>
                          <a:solidFill>
                            <a:srgbClr val="FFFFFF"/>
                          </a:solidFill>
                        </wps:spPr>
                        <wps:bodyPr wrap="square" lIns="0" tIns="0" rIns="0" bIns="0" rtlCol="0">
                          <a:prstTxWarp prst="textNoShape">
                            <a:avLst/>
                          </a:prstTxWarp>
                          <a:noAutofit/>
                        </wps:bodyPr>
                      </wps:wsp>
                      <wps:wsp>
                        <wps:cNvPr id="74" name="Graphic 74"/>
                        <wps:cNvSpPr/>
                        <wps:spPr>
                          <a:xfrm>
                            <a:off x="2933903" y="2877564"/>
                            <a:ext cx="102870" cy="102870"/>
                          </a:xfrm>
                          <a:custGeom>
                            <a:avLst/>
                            <a:gdLst/>
                            <a:ahLst/>
                            <a:cxnLst/>
                            <a:rect l="l" t="t" r="r" b="b"/>
                            <a:pathLst>
                              <a:path w="102870" h="102870">
                                <a:moveTo>
                                  <a:pt x="102603" y="102590"/>
                                </a:moveTo>
                                <a:lnTo>
                                  <a:pt x="0" y="102590"/>
                                </a:lnTo>
                                <a:lnTo>
                                  <a:pt x="0" y="0"/>
                                </a:lnTo>
                                <a:lnTo>
                                  <a:pt x="102603" y="0"/>
                                </a:lnTo>
                                <a:lnTo>
                                  <a:pt x="102603" y="102590"/>
                                </a:lnTo>
                                <a:close/>
                              </a:path>
                            </a:pathLst>
                          </a:custGeom>
                          <a:ln w="31750">
                            <a:solidFill>
                              <a:srgbClr val="231F20"/>
                            </a:solidFill>
                            <a:prstDash val="solid"/>
                          </a:ln>
                        </wps:spPr>
                        <wps:bodyPr wrap="square" lIns="0" tIns="0" rIns="0" bIns="0" rtlCol="0">
                          <a:prstTxWarp prst="textNoShape">
                            <a:avLst/>
                          </a:prstTxWarp>
                          <a:noAutofit/>
                        </wps:bodyPr>
                      </wps:wsp>
                      <wps:wsp>
                        <wps:cNvPr id="75" name="Graphic 75"/>
                        <wps:cNvSpPr/>
                        <wps:spPr>
                          <a:xfrm>
                            <a:off x="2933792" y="2928889"/>
                            <a:ext cx="102870" cy="1270"/>
                          </a:xfrm>
                          <a:custGeom>
                            <a:avLst/>
                            <a:gdLst/>
                            <a:ahLst/>
                            <a:cxnLst/>
                            <a:rect l="l" t="t" r="r" b="b"/>
                            <a:pathLst>
                              <a:path w="102870" h="0">
                                <a:moveTo>
                                  <a:pt x="102704" y="0"/>
                                </a:moveTo>
                                <a:lnTo>
                                  <a:pt x="0" y="0"/>
                                </a:lnTo>
                              </a:path>
                            </a:pathLst>
                          </a:custGeom>
                          <a:solidFill>
                            <a:srgbClr val="FFFFFF"/>
                          </a:solidFill>
                        </wps:spPr>
                        <wps:bodyPr wrap="square" lIns="0" tIns="0" rIns="0" bIns="0" rtlCol="0">
                          <a:prstTxWarp prst="textNoShape">
                            <a:avLst/>
                          </a:prstTxWarp>
                          <a:noAutofit/>
                        </wps:bodyPr>
                      </wps:wsp>
                      <wps:wsp>
                        <wps:cNvPr id="76" name="Graphic 76"/>
                        <wps:cNvSpPr/>
                        <wps:spPr>
                          <a:xfrm>
                            <a:off x="2933791" y="2913014"/>
                            <a:ext cx="102870" cy="31750"/>
                          </a:xfrm>
                          <a:custGeom>
                            <a:avLst/>
                            <a:gdLst/>
                            <a:ahLst/>
                            <a:cxnLst/>
                            <a:rect l="l" t="t" r="r" b="b"/>
                            <a:pathLst>
                              <a:path w="102870" h="31750">
                                <a:moveTo>
                                  <a:pt x="0" y="31750"/>
                                </a:moveTo>
                                <a:lnTo>
                                  <a:pt x="102717" y="31750"/>
                                </a:lnTo>
                                <a:lnTo>
                                  <a:pt x="102717" y="0"/>
                                </a:lnTo>
                                <a:lnTo>
                                  <a:pt x="0" y="0"/>
                                </a:lnTo>
                                <a:lnTo>
                                  <a:pt x="0" y="31750"/>
                                </a:lnTo>
                                <a:close/>
                              </a:path>
                            </a:pathLst>
                          </a:custGeom>
                          <a:solidFill>
                            <a:srgbClr val="231F20"/>
                          </a:solidFill>
                        </wps:spPr>
                        <wps:bodyPr wrap="square" lIns="0" tIns="0" rIns="0" bIns="0" rtlCol="0">
                          <a:prstTxWarp prst="textNoShape">
                            <a:avLst/>
                          </a:prstTxWarp>
                          <a:noAutofit/>
                        </wps:bodyPr>
                      </wps:wsp>
                      <wps:wsp>
                        <wps:cNvPr id="77" name="Graphic 77"/>
                        <wps:cNvSpPr/>
                        <wps:spPr>
                          <a:xfrm>
                            <a:off x="2985170" y="2877527"/>
                            <a:ext cx="1270" cy="102870"/>
                          </a:xfrm>
                          <a:custGeom>
                            <a:avLst/>
                            <a:gdLst/>
                            <a:ahLst/>
                            <a:cxnLst/>
                            <a:rect l="l" t="t" r="r" b="b"/>
                            <a:pathLst>
                              <a:path w="0" h="102870">
                                <a:moveTo>
                                  <a:pt x="0" y="0"/>
                                </a:moveTo>
                                <a:lnTo>
                                  <a:pt x="0" y="102704"/>
                                </a:lnTo>
                              </a:path>
                            </a:pathLst>
                          </a:custGeom>
                          <a:solidFill>
                            <a:srgbClr val="FFFFFF"/>
                          </a:solidFill>
                        </wps:spPr>
                        <wps:bodyPr wrap="square" lIns="0" tIns="0" rIns="0" bIns="0" rtlCol="0">
                          <a:prstTxWarp prst="textNoShape">
                            <a:avLst/>
                          </a:prstTxWarp>
                          <a:noAutofit/>
                        </wps:bodyPr>
                      </wps:wsp>
                      <wps:wsp>
                        <wps:cNvPr id="78" name="Graphic 78"/>
                        <wps:cNvSpPr/>
                        <wps:spPr>
                          <a:xfrm>
                            <a:off x="2985174" y="2877518"/>
                            <a:ext cx="1270" cy="102870"/>
                          </a:xfrm>
                          <a:custGeom>
                            <a:avLst/>
                            <a:gdLst/>
                            <a:ahLst/>
                            <a:cxnLst/>
                            <a:rect l="l" t="t" r="r" b="b"/>
                            <a:pathLst>
                              <a:path w="0" h="102870">
                                <a:moveTo>
                                  <a:pt x="0" y="0"/>
                                </a:moveTo>
                                <a:lnTo>
                                  <a:pt x="0" y="102717"/>
                                </a:lnTo>
                              </a:path>
                            </a:pathLst>
                          </a:custGeom>
                          <a:ln w="31750">
                            <a:solidFill>
                              <a:srgbClr val="231F20"/>
                            </a:solidFill>
                            <a:prstDash val="solid"/>
                          </a:ln>
                        </wps:spPr>
                        <wps:bodyPr wrap="square" lIns="0" tIns="0" rIns="0" bIns="0" rtlCol="0">
                          <a:prstTxWarp prst="textNoShape">
                            <a:avLst/>
                          </a:prstTxWarp>
                          <a:noAutofit/>
                        </wps:bodyPr>
                      </wps:wsp>
                      <wps:wsp>
                        <wps:cNvPr id="79" name="Graphic 79"/>
                        <wps:cNvSpPr/>
                        <wps:spPr>
                          <a:xfrm>
                            <a:off x="3036506" y="2877571"/>
                            <a:ext cx="102870" cy="102870"/>
                          </a:xfrm>
                          <a:custGeom>
                            <a:avLst/>
                            <a:gdLst/>
                            <a:ahLst/>
                            <a:cxnLst/>
                            <a:rect l="l" t="t" r="r" b="b"/>
                            <a:pathLst>
                              <a:path w="102870" h="102870">
                                <a:moveTo>
                                  <a:pt x="102628" y="0"/>
                                </a:moveTo>
                                <a:lnTo>
                                  <a:pt x="0" y="0"/>
                                </a:lnTo>
                                <a:lnTo>
                                  <a:pt x="0" y="102590"/>
                                </a:lnTo>
                                <a:lnTo>
                                  <a:pt x="102628" y="102590"/>
                                </a:lnTo>
                                <a:lnTo>
                                  <a:pt x="102628" y="0"/>
                                </a:lnTo>
                                <a:close/>
                              </a:path>
                            </a:pathLst>
                          </a:custGeom>
                          <a:solidFill>
                            <a:srgbClr val="FFFFFF"/>
                          </a:solidFill>
                        </wps:spPr>
                        <wps:bodyPr wrap="square" lIns="0" tIns="0" rIns="0" bIns="0" rtlCol="0">
                          <a:prstTxWarp prst="textNoShape">
                            <a:avLst/>
                          </a:prstTxWarp>
                          <a:noAutofit/>
                        </wps:bodyPr>
                      </wps:wsp>
                      <wps:wsp>
                        <wps:cNvPr id="80" name="Graphic 80"/>
                        <wps:cNvSpPr/>
                        <wps:spPr>
                          <a:xfrm>
                            <a:off x="3036506" y="2877564"/>
                            <a:ext cx="102870" cy="102870"/>
                          </a:xfrm>
                          <a:custGeom>
                            <a:avLst/>
                            <a:gdLst/>
                            <a:ahLst/>
                            <a:cxnLst/>
                            <a:rect l="l" t="t" r="r" b="b"/>
                            <a:pathLst>
                              <a:path w="102870" h="102870">
                                <a:moveTo>
                                  <a:pt x="102628" y="102590"/>
                                </a:moveTo>
                                <a:lnTo>
                                  <a:pt x="0" y="102590"/>
                                </a:lnTo>
                                <a:lnTo>
                                  <a:pt x="0" y="0"/>
                                </a:lnTo>
                                <a:lnTo>
                                  <a:pt x="102628" y="0"/>
                                </a:lnTo>
                                <a:lnTo>
                                  <a:pt x="102628" y="102590"/>
                                </a:lnTo>
                                <a:close/>
                              </a:path>
                            </a:pathLst>
                          </a:custGeom>
                          <a:ln w="31750">
                            <a:solidFill>
                              <a:srgbClr val="231F20"/>
                            </a:solidFill>
                            <a:prstDash val="solid"/>
                          </a:ln>
                        </wps:spPr>
                        <wps:bodyPr wrap="square" lIns="0" tIns="0" rIns="0" bIns="0" rtlCol="0">
                          <a:prstTxWarp prst="textNoShape">
                            <a:avLst/>
                          </a:prstTxWarp>
                          <a:noAutofit/>
                        </wps:bodyPr>
                      </wps:wsp>
                      <wps:wsp>
                        <wps:cNvPr id="81" name="Graphic 81"/>
                        <wps:cNvSpPr/>
                        <wps:spPr>
                          <a:xfrm>
                            <a:off x="3036399" y="2928889"/>
                            <a:ext cx="102870" cy="1270"/>
                          </a:xfrm>
                          <a:custGeom>
                            <a:avLst/>
                            <a:gdLst/>
                            <a:ahLst/>
                            <a:cxnLst/>
                            <a:rect l="l" t="t" r="r" b="b"/>
                            <a:pathLst>
                              <a:path w="102870" h="0">
                                <a:moveTo>
                                  <a:pt x="102730" y="0"/>
                                </a:moveTo>
                                <a:lnTo>
                                  <a:pt x="0" y="0"/>
                                </a:lnTo>
                              </a:path>
                            </a:pathLst>
                          </a:custGeom>
                          <a:solidFill>
                            <a:srgbClr val="FFFFFF"/>
                          </a:solidFill>
                        </wps:spPr>
                        <wps:bodyPr wrap="square" lIns="0" tIns="0" rIns="0" bIns="0" rtlCol="0">
                          <a:prstTxWarp prst="textNoShape">
                            <a:avLst/>
                          </a:prstTxWarp>
                          <a:noAutofit/>
                        </wps:bodyPr>
                      </wps:wsp>
                      <wps:wsp>
                        <wps:cNvPr id="82" name="Graphic 82"/>
                        <wps:cNvSpPr/>
                        <wps:spPr>
                          <a:xfrm>
                            <a:off x="3036396" y="2913014"/>
                            <a:ext cx="102870" cy="31750"/>
                          </a:xfrm>
                          <a:custGeom>
                            <a:avLst/>
                            <a:gdLst/>
                            <a:ahLst/>
                            <a:cxnLst/>
                            <a:rect l="l" t="t" r="r" b="b"/>
                            <a:pathLst>
                              <a:path w="102870" h="31750">
                                <a:moveTo>
                                  <a:pt x="0" y="31750"/>
                                </a:moveTo>
                                <a:lnTo>
                                  <a:pt x="102743" y="31750"/>
                                </a:lnTo>
                                <a:lnTo>
                                  <a:pt x="102743" y="0"/>
                                </a:lnTo>
                                <a:lnTo>
                                  <a:pt x="0" y="0"/>
                                </a:lnTo>
                                <a:lnTo>
                                  <a:pt x="0" y="31750"/>
                                </a:lnTo>
                                <a:close/>
                              </a:path>
                            </a:pathLst>
                          </a:custGeom>
                          <a:solidFill>
                            <a:srgbClr val="231F20"/>
                          </a:solidFill>
                        </wps:spPr>
                        <wps:bodyPr wrap="square" lIns="0" tIns="0" rIns="0" bIns="0" rtlCol="0">
                          <a:prstTxWarp prst="textNoShape">
                            <a:avLst/>
                          </a:prstTxWarp>
                          <a:noAutofit/>
                        </wps:bodyPr>
                      </wps:wsp>
                      <wps:wsp>
                        <wps:cNvPr id="83" name="Graphic 83"/>
                        <wps:cNvSpPr/>
                        <wps:spPr>
                          <a:xfrm>
                            <a:off x="3087766" y="2877527"/>
                            <a:ext cx="1270" cy="102870"/>
                          </a:xfrm>
                          <a:custGeom>
                            <a:avLst/>
                            <a:gdLst/>
                            <a:ahLst/>
                            <a:cxnLst/>
                            <a:rect l="l" t="t" r="r" b="b"/>
                            <a:pathLst>
                              <a:path w="0" h="102870">
                                <a:moveTo>
                                  <a:pt x="0" y="0"/>
                                </a:moveTo>
                                <a:lnTo>
                                  <a:pt x="0" y="102704"/>
                                </a:lnTo>
                              </a:path>
                            </a:pathLst>
                          </a:custGeom>
                          <a:solidFill>
                            <a:srgbClr val="FFFFFF"/>
                          </a:solidFill>
                        </wps:spPr>
                        <wps:bodyPr wrap="square" lIns="0" tIns="0" rIns="0" bIns="0" rtlCol="0">
                          <a:prstTxWarp prst="textNoShape">
                            <a:avLst/>
                          </a:prstTxWarp>
                          <a:noAutofit/>
                        </wps:bodyPr>
                      </wps:wsp>
                      <wps:wsp>
                        <wps:cNvPr id="84" name="Graphic 84"/>
                        <wps:cNvSpPr/>
                        <wps:spPr>
                          <a:xfrm>
                            <a:off x="3087766" y="2877518"/>
                            <a:ext cx="1270" cy="102870"/>
                          </a:xfrm>
                          <a:custGeom>
                            <a:avLst/>
                            <a:gdLst/>
                            <a:ahLst/>
                            <a:cxnLst/>
                            <a:rect l="l" t="t" r="r" b="b"/>
                            <a:pathLst>
                              <a:path w="0" h="102870">
                                <a:moveTo>
                                  <a:pt x="0" y="0"/>
                                </a:moveTo>
                                <a:lnTo>
                                  <a:pt x="0" y="102717"/>
                                </a:lnTo>
                              </a:path>
                            </a:pathLst>
                          </a:custGeom>
                          <a:ln w="31750">
                            <a:solidFill>
                              <a:srgbClr val="231F20"/>
                            </a:solidFill>
                            <a:prstDash val="solid"/>
                          </a:ln>
                        </wps:spPr>
                        <wps:bodyPr wrap="square" lIns="0" tIns="0" rIns="0" bIns="0" rtlCol="0">
                          <a:prstTxWarp prst="textNoShape">
                            <a:avLst/>
                          </a:prstTxWarp>
                          <a:noAutofit/>
                        </wps:bodyPr>
                      </wps:wsp>
                      <wps:wsp>
                        <wps:cNvPr id="85" name="Graphic 85"/>
                        <wps:cNvSpPr/>
                        <wps:spPr>
                          <a:xfrm>
                            <a:off x="2933903" y="2774955"/>
                            <a:ext cx="102870" cy="102870"/>
                          </a:xfrm>
                          <a:custGeom>
                            <a:avLst/>
                            <a:gdLst/>
                            <a:ahLst/>
                            <a:cxnLst/>
                            <a:rect l="l" t="t" r="r" b="b"/>
                            <a:pathLst>
                              <a:path w="102870" h="102870">
                                <a:moveTo>
                                  <a:pt x="102603" y="0"/>
                                </a:moveTo>
                                <a:lnTo>
                                  <a:pt x="0" y="0"/>
                                </a:lnTo>
                                <a:lnTo>
                                  <a:pt x="0" y="102616"/>
                                </a:lnTo>
                                <a:lnTo>
                                  <a:pt x="102603" y="102616"/>
                                </a:lnTo>
                                <a:lnTo>
                                  <a:pt x="102603" y="0"/>
                                </a:lnTo>
                                <a:close/>
                              </a:path>
                            </a:pathLst>
                          </a:custGeom>
                          <a:solidFill>
                            <a:srgbClr val="FFFFFF"/>
                          </a:solidFill>
                        </wps:spPr>
                        <wps:bodyPr wrap="square" lIns="0" tIns="0" rIns="0" bIns="0" rtlCol="0">
                          <a:prstTxWarp prst="textNoShape">
                            <a:avLst/>
                          </a:prstTxWarp>
                          <a:noAutofit/>
                        </wps:bodyPr>
                      </wps:wsp>
                      <wps:wsp>
                        <wps:cNvPr id="86" name="Graphic 86"/>
                        <wps:cNvSpPr/>
                        <wps:spPr>
                          <a:xfrm>
                            <a:off x="2933903" y="2774948"/>
                            <a:ext cx="102870" cy="102870"/>
                          </a:xfrm>
                          <a:custGeom>
                            <a:avLst/>
                            <a:gdLst/>
                            <a:ahLst/>
                            <a:cxnLst/>
                            <a:rect l="l" t="t" r="r" b="b"/>
                            <a:pathLst>
                              <a:path w="102870" h="102870">
                                <a:moveTo>
                                  <a:pt x="102603" y="102616"/>
                                </a:moveTo>
                                <a:lnTo>
                                  <a:pt x="0" y="102616"/>
                                </a:lnTo>
                                <a:lnTo>
                                  <a:pt x="0" y="0"/>
                                </a:lnTo>
                                <a:lnTo>
                                  <a:pt x="102603" y="0"/>
                                </a:lnTo>
                                <a:lnTo>
                                  <a:pt x="102603" y="102616"/>
                                </a:lnTo>
                                <a:close/>
                              </a:path>
                            </a:pathLst>
                          </a:custGeom>
                          <a:ln w="31750">
                            <a:solidFill>
                              <a:srgbClr val="231F20"/>
                            </a:solidFill>
                            <a:prstDash val="solid"/>
                          </a:ln>
                        </wps:spPr>
                        <wps:bodyPr wrap="square" lIns="0" tIns="0" rIns="0" bIns="0" rtlCol="0">
                          <a:prstTxWarp prst="textNoShape">
                            <a:avLst/>
                          </a:prstTxWarp>
                          <a:noAutofit/>
                        </wps:bodyPr>
                      </wps:wsp>
                      <wps:wsp>
                        <wps:cNvPr id="87" name="Graphic 87"/>
                        <wps:cNvSpPr/>
                        <wps:spPr>
                          <a:xfrm>
                            <a:off x="2985170" y="2774932"/>
                            <a:ext cx="1270" cy="102870"/>
                          </a:xfrm>
                          <a:custGeom>
                            <a:avLst/>
                            <a:gdLst/>
                            <a:ahLst/>
                            <a:cxnLst/>
                            <a:rect l="l" t="t" r="r" b="b"/>
                            <a:pathLst>
                              <a:path w="0" h="102870">
                                <a:moveTo>
                                  <a:pt x="0" y="0"/>
                                </a:moveTo>
                                <a:lnTo>
                                  <a:pt x="0" y="102704"/>
                                </a:lnTo>
                              </a:path>
                            </a:pathLst>
                          </a:custGeom>
                          <a:solidFill>
                            <a:srgbClr val="FFFFFF"/>
                          </a:solidFill>
                        </wps:spPr>
                        <wps:bodyPr wrap="square" lIns="0" tIns="0" rIns="0" bIns="0" rtlCol="0">
                          <a:prstTxWarp prst="textNoShape">
                            <a:avLst/>
                          </a:prstTxWarp>
                          <a:noAutofit/>
                        </wps:bodyPr>
                      </wps:wsp>
                      <wps:wsp>
                        <wps:cNvPr id="88" name="Graphic 88"/>
                        <wps:cNvSpPr/>
                        <wps:spPr>
                          <a:xfrm>
                            <a:off x="2985174" y="2774925"/>
                            <a:ext cx="1270" cy="102870"/>
                          </a:xfrm>
                          <a:custGeom>
                            <a:avLst/>
                            <a:gdLst/>
                            <a:ahLst/>
                            <a:cxnLst/>
                            <a:rect l="l" t="t" r="r" b="b"/>
                            <a:pathLst>
                              <a:path w="0" h="102870">
                                <a:moveTo>
                                  <a:pt x="0" y="0"/>
                                </a:moveTo>
                                <a:lnTo>
                                  <a:pt x="0" y="102717"/>
                                </a:lnTo>
                              </a:path>
                            </a:pathLst>
                          </a:custGeom>
                          <a:ln w="31750">
                            <a:solidFill>
                              <a:srgbClr val="231F20"/>
                            </a:solidFill>
                            <a:prstDash val="solid"/>
                          </a:ln>
                        </wps:spPr>
                        <wps:bodyPr wrap="square" lIns="0" tIns="0" rIns="0" bIns="0" rtlCol="0">
                          <a:prstTxWarp prst="textNoShape">
                            <a:avLst/>
                          </a:prstTxWarp>
                          <a:noAutofit/>
                        </wps:bodyPr>
                      </wps:wsp>
                      <wps:wsp>
                        <wps:cNvPr id="89" name="Graphic 89"/>
                        <wps:cNvSpPr/>
                        <wps:spPr>
                          <a:xfrm>
                            <a:off x="2980884" y="2540840"/>
                            <a:ext cx="1270" cy="236854"/>
                          </a:xfrm>
                          <a:custGeom>
                            <a:avLst/>
                            <a:gdLst/>
                            <a:ahLst/>
                            <a:cxnLst/>
                            <a:rect l="l" t="t" r="r" b="b"/>
                            <a:pathLst>
                              <a:path w="0" h="236854">
                                <a:moveTo>
                                  <a:pt x="0" y="0"/>
                                </a:moveTo>
                                <a:lnTo>
                                  <a:pt x="0" y="236715"/>
                                </a:lnTo>
                              </a:path>
                            </a:pathLst>
                          </a:custGeom>
                          <a:solidFill>
                            <a:srgbClr val="FFFFFF"/>
                          </a:solidFill>
                        </wps:spPr>
                        <wps:bodyPr wrap="square" lIns="0" tIns="0" rIns="0" bIns="0" rtlCol="0">
                          <a:prstTxWarp prst="textNoShape">
                            <a:avLst/>
                          </a:prstTxWarp>
                          <a:noAutofit/>
                        </wps:bodyPr>
                      </wps:wsp>
                      <wps:wsp>
                        <wps:cNvPr id="90" name="Graphic 90"/>
                        <wps:cNvSpPr/>
                        <wps:spPr>
                          <a:xfrm>
                            <a:off x="2980882" y="2540844"/>
                            <a:ext cx="1270" cy="236854"/>
                          </a:xfrm>
                          <a:custGeom>
                            <a:avLst/>
                            <a:gdLst/>
                            <a:ahLst/>
                            <a:cxnLst/>
                            <a:rect l="l" t="t" r="r" b="b"/>
                            <a:pathLst>
                              <a:path w="0" h="236854">
                                <a:moveTo>
                                  <a:pt x="0" y="0"/>
                                </a:moveTo>
                                <a:lnTo>
                                  <a:pt x="0" y="236715"/>
                                </a:lnTo>
                              </a:path>
                            </a:pathLst>
                          </a:custGeom>
                          <a:ln w="31750">
                            <a:solidFill>
                              <a:srgbClr val="231F20"/>
                            </a:solidFill>
                            <a:prstDash val="solid"/>
                          </a:ln>
                        </wps:spPr>
                        <wps:bodyPr wrap="square" lIns="0" tIns="0" rIns="0" bIns="0" rtlCol="0">
                          <a:prstTxWarp prst="textNoShape">
                            <a:avLst/>
                          </a:prstTxWarp>
                          <a:noAutofit/>
                        </wps:bodyPr>
                      </wps:wsp>
                      <wps:wsp>
                        <wps:cNvPr id="91" name="Graphic 91"/>
                        <wps:cNvSpPr/>
                        <wps:spPr>
                          <a:xfrm>
                            <a:off x="1676260" y="2941795"/>
                            <a:ext cx="172085" cy="172085"/>
                          </a:xfrm>
                          <a:custGeom>
                            <a:avLst/>
                            <a:gdLst/>
                            <a:ahLst/>
                            <a:cxnLst/>
                            <a:rect l="l" t="t" r="r" b="b"/>
                            <a:pathLst>
                              <a:path w="172085" h="172085">
                                <a:moveTo>
                                  <a:pt x="171869" y="0"/>
                                </a:moveTo>
                                <a:lnTo>
                                  <a:pt x="0" y="0"/>
                                </a:lnTo>
                                <a:lnTo>
                                  <a:pt x="0" y="171869"/>
                                </a:lnTo>
                                <a:lnTo>
                                  <a:pt x="171869" y="171869"/>
                                </a:lnTo>
                                <a:lnTo>
                                  <a:pt x="171869" y="0"/>
                                </a:lnTo>
                                <a:close/>
                              </a:path>
                            </a:pathLst>
                          </a:custGeom>
                          <a:solidFill>
                            <a:srgbClr val="231F20"/>
                          </a:solidFill>
                        </wps:spPr>
                        <wps:bodyPr wrap="square" lIns="0" tIns="0" rIns="0" bIns="0" rtlCol="0">
                          <a:prstTxWarp prst="textNoShape">
                            <a:avLst/>
                          </a:prstTxWarp>
                          <a:noAutofit/>
                        </wps:bodyPr>
                      </wps:wsp>
                      <wps:wsp>
                        <wps:cNvPr id="92" name="Graphic 92"/>
                        <wps:cNvSpPr/>
                        <wps:spPr>
                          <a:xfrm>
                            <a:off x="1676260" y="2941788"/>
                            <a:ext cx="172085" cy="172085"/>
                          </a:xfrm>
                          <a:custGeom>
                            <a:avLst/>
                            <a:gdLst/>
                            <a:ahLst/>
                            <a:cxnLst/>
                            <a:rect l="l" t="t" r="r" b="b"/>
                            <a:pathLst>
                              <a:path w="172085" h="172085">
                                <a:moveTo>
                                  <a:pt x="0" y="171869"/>
                                </a:moveTo>
                                <a:lnTo>
                                  <a:pt x="171869" y="171869"/>
                                </a:lnTo>
                                <a:lnTo>
                                  <a:pt x="171869" y="0"/>
                                </a:lnTo>
                                <a:lnTo>
                                  <a:pt x="0" y="0"/>
                                </a:lnTo>
                                <a:lnTo>
                                  <a:pt x="0" y="171869"/>
                                </a:lnTo>
                                <a:close/>
                              </a:path>
                            </a:pathLst>
                          </a:custGeom>
                          <a:ln w="42595">
                            <a:solidFill>
                              <a:srgbClr val="231F20"/>
                            </a:solidFill>
                            <a:prstDash val="solid"/>
                          </a:ln>
                        </wps:spPr>
                        <wps:bodyPr wrap="square" lIns="0" tIns="0" rIns="0" bIns="0" rtlCol="0">
                          <a:prstTxWarp prst="textNoShape">
                            <a:avLst/>
                          </a:prstTxWarp>
                          <a:noAutofit/>
                        </wps:bodyPr>
                      </wps:wsp>
                      <wps:wsp>
                        <wps:cNvPr id="93" name="Graphic 93"/>
                        <wps:cNvSpPr/>
                        <wps:spPr>
                          <a:xfrm>
                            <a:off x="1676260" y="2855752"/>
                            <a:ext cx="172085" cy="86360"/>
                          </a:xfrm>
                          <a:custGeom>
                            <a:avLst/>
                            <a:gdLst/>
                            <a:ahLst/>
                            <a:cxnLst/>
                            <a:rect l="l" t="t" r="r" b="b"/>
                            <a:pathLst>
                              <a:path w="172085" h="86360">
                                <a:moveTo>
                                  <a:pt x="171869" y="0"/>
                                </a:moveTo>
                                <a:lnTo>
                                  <a:pt x="0" y="0"/>
                                </a:lnTo>
                                <a:lnTo>
                                  <a:pt x="0" y="86042"/>
                                </a:lnTo>
                                <a:lnTo>
                                  <a:pt x="171869" y="86042"/>
                                </a:lnTo>
                                <a:lnTo>
                                  <a:pt x="171869" y="0"/>
                                </a:lnTo>
                                <a:close/>
                              </a:path>
                            </a:pathLst>
                          </a:custGeom>
                          <a:solidFill>
                            <a:srgbClr val="231F20"/>
                          </a:solidFill>
                        </wps:spPr>
                        <wps:bodyPr wrap="square" lIns="0" tIns="0" rIns="0" bIns="0" rtlCol="0">
                          <a:prstTxWarp prst="textNoShape">
                            <a:avLst/>
                          </a:prstTxWarp>
                          <a:noAutofit/>
                        </wps:bodyPr>
                      </wps:wsp>
                      <wps:wsp>
                        <wps:cNvPr id="94" name="Graphic 94"/>
                        <wps:cNvSpPr/>
                        <wps:spPr>
                          <a:xfrm>
                            <a:off x="1676260" y="2855746"/>
                            <a:ext cx="172085" cy="86360"/>
                          </a:xfrm>
                          <a:custGeom>
                            <a:avLst/>
                            <a:gdLst/>
                            <a:ahLst/>
                            <a:cxnLst/>
                            <a:rect l="l" t="t" r="r" b="b"/>
                            <a:pathLst>
                              <a:path w="172085" h="86360">
                                <a:moveTo>
                                  <a:pt x="0" y="86042"/>
                                </a:moveTo>
                                <a:lnTo>
                                  <a:pt x="171869" y="86042"/>
                                </a:lnTo>
                                <a:lnTo>
                                  <a:pt x="171869" y="0"/>
                                </a:lnTo>
                                <a:lnTo>
                                  <a:pt x="0" y="0"/>
                                </a:lnTo>
                                <a:lnTo>
                                  <a:pt x="0" y="86042"/>
                                </a:lnTo>
                                <a:close/>
                              </a:path>
                            </a:pathLst>
                          </a:custGeom>
                          <a:ln w="42595">
                            <a:solidFill>
                              <a:srgbClr val="231F20"/>
                            </a:solidFill>
                            <a:prstDash val="solid"/>
                          </a:ln>
                        </wps:spPr>
                        <wps:bodyPr wrap="square" lIns="0" tIns="0" rIns="0" bIns="0" rtlCol="0">
                          <a:prstTxWarp prst="textNoShape">
                            <a:avLst/>
                          </a:prstTxWarp>
                          <a:noAutofit/>
                        </wps:bodyPr>
                      </wps:wsp>
                      <wps:wsp>
                        <wps:cNvPr id="95" name="Graphic 95"/>
                        <wps:cNvSpPr/>
                        <wps:spPr>
                          <a:xfrm>
                            <a:off x="1848126" y="2769342"/>
                            <a:ext cx="222885" cy="344170"/>
                          </a:xfrm>
                          <a:custGeom>
                            <a:avLst/>
                            <a:gdLst/>
                            <a:ahLst/>
                            <a:cxnLst/>
                            <a:rect l="l" t="t" r="r" b="b"/>
                            <a:pathLst>
                              <a:path w="222885" h="344170">
                                <a:moveTo>
                                  <a:pt x="222618" y="0"/>
                                </a:moveTo>
                                <a:lnTo>
                                  <a:pt x="0" y="0"/>
                                </a:lnTo>
                                <a:lnTo>
                                  <a:pt x="0" y="344068"/>
                                </a:lnTo>
                                <a:lnTo>
                                  <a:pt x="115341" y="344068"/>
                                </a:lnTo>
                                <a:lnTo>
                                  <a:pt x="222618" y="0"/>
                                </a:lnTo>
                                <a:close/>
                              </a:path>
                            </a:pathLst>
                          </a:custGeom>
                          <a:solidFill>
                            <a:srgbClr val="231F20"/>
                          </a:solidFill>
                        </wps:spPr>
                        <wps:bodyPr wrap="square" lIns="0" tIns="0" rIns="0" bIns="0" rtlCol="0">
                          <a:prstTxWarp prst="textNoShape">
                            <a:avLst/>
                          </a:prstTxWarp>
                          <a:noAutofit/>
                        </wps:bodyPr>
                      </wps:wsp>
                      <wps:wsp>
                        <wps:cNvPr id="96" name="Graphic 96"/>
                        <wps:cNvSpPr/>
                        <wps:spPr>
                          <a:xfrm>
                            <a:off x="1848126" y="2769342"/>
                            <a:ext cx="222885" cy="344170"/>
                          </a:xfrm>
                          <a:custGeom>
                            <a:avLst/>
                            <a:gdLst/>
                            <a:ahLst/>
                            <a:cxnLst/>
                            <a:rect l="l" t="t" r="r" b="b"/>
                            <a:pathLst>
                              <a:path w="222885" h="344170">
                                <a:moveTo>
                                  <a:pt x="0" y="344068"/>
                                </a:moveTo>
                                <a:lnTo>
                                  <a:pt x="115341" y="344068"/>
                                </a:lnTo>
                                <a:lnTo>
                                  <a:pt x="222618" y="0"/>
                                </a:lnTo>
                                <a:lnTo>
                                  <a:pt x="0" y="0"/>
                                </a:lnTo>
                                <a:lnTo>
                                  <a:pt x="0" y="344068"/>
                                </a:lnTo>
                                <a:close/>
                              </a:path>
                            </a:pathLst>
                          </a:custGeom>
                          <a:ln w="42595">
                            <a:solidFill>
                              <a:srgbClr val="231F20"/>
                            </a:solidFill>
                            <a:prstDash val="solid"/>
                          </a:ln>
                        </wps:spPr>
                        <wps:bodyPr wrap="square" lIns="0" tIns="0" rIns="0" bIns="0" rtlCol="0">
                          <a:prstTxWarp prst="textNoShape">
                            <a:avLst/>
                          </a:prstTxWarp>
                          <a:noAutofit/>
                        </wps:bodyPr>
                      </wps:wsp>
                      <wps:wsp>
                        <wps:cNvPr id="97" name="Graphic 97"/>
                        <wps:cNvSpPr/>
                        <wps:spPr>
                          <a:xfrm>
                            <a:off x="1655102" y="2978980"/>
                            <a:ext cx="759460" cy="323850"/>
                          </a:xfrm>
                          <a:custGeom>
                            <a:avLst/>
                            <a:gdLst/>
                            <a:ahLst/>
                            <a:cxnLst/>
                            <a:rect l="l" t="t" r="r" b="b"/>
                            <a:pathLst>
                              <a:path w="759460" h="323850">
                                <a:moveTo>
                                  <a:pt x="505929" y="0"/>
                                </a:moveTo>
                                <a:lnTo>
                                  <a:pt x="502615" y="16408"/>
                                </a:lnTo>
                                <a:lnTo>
                                  <a:pt x="493572" y="29819"/>
                                </a:lnTo>
                                <a:lnTo>
                                  <a:pt x="480161" y="38874"/>
                                </a:lnTo>
                                <a:lnTo>
                                  <a:pt x="463740" y="42189"/>
                                </a:lnTo>
                                <a:lnTo>
                                  <a:pt x="447344" y="38874"/>
                                </a:lnTo>
                                <a:lnTo>
                                  <a:pt x="433946" y="29819"/>
                                </a:lnTo>
                                <a:lnTo>
                                  <a:pt x="424916" y="16408"/>
                                </a:lnTo>
                                <a:lnTo>
                                  <a:pt x="421601" y="0"/>
                                </a:lnTo>
                                <a:lnTo>
                                  <a:pt x="421601" y="40284"/>
                                </a:lnTo>
                                <a:lnTo>
                                  <a:pt x="424916" y="56692"/>
                                </a:lnTo>
                                <a:lnTo>
                                  <a:pt x="433946" y="70078"/>
                                </a:lnTo>
                                <a:lnTo>
                                  <a:pt x="447344" y="79108"/>
                                </a:lnTo>
                                <a:lnTo>
                                  <a:pt x="463740" y="82423"/>
                                </a:lnTo>
                                <a:lnTo>
                                  <a:pt x="480161" y="79108"/>
                                </a:lnTo>
                                <a:lnTo>
                                  <a:pt x="493572" y="70078"/>
                                </a:lnTo>
                                <a:lnTo>
                                  <a:pt x="502615" y="56692"/>
                                </a:lnTo>
                                <a:lnTo>
                                  <a:pt x="505929" y="40284"/>
                                </a:lnTo>
                                <a:lnTo>
                                  <a:pt x="505929" y="0"/>
                                </a:lnTo>
                                <a:close/>
                              </a:path>
                              <a:path w="759460" h="323850">
                                <a:moveTo>
                                  <a:pt x="590245" y="81026"/>
                                </a:moveTo>
                                <a:lnTo>
                                  <a:pt x="586930" y="97447"/>
                                </a:lnTo>
                                <a:lnTo>
                                  <a:pt x="577900" y="110858"/>
                                </a:lnTo>
                                <a:lnTo>
                                  <a:pt x="564515" y="119900"/>
                                </a:lnTo>
                                <a:lnTo>
                                  <a:pt x="548106" y="123215"/>
                                </a:lnTo>
                                <a:lnTo>
                                  <a:pt x="531685" y="119900"/>
                                </a:lnTo>
                                <a:lnTo>
                                  <a:pt x="518274" y="110858"/>
                                </a:lnTo>
                                <a:lnTo>
                                  <a:pt x="509244" y="97447"/>
                                </a:lnTo>
                                <a:lnTo>
                                  <a:pt x="505929" y="81026"/>
                                </a:lnTo>
                                <a:lnTo>
                                  <a:pt x="502615" y="97447"/>
                                </a:lnTo>
                                <a:lnTo>
                                  <a:pt x="493572" y="110858"/>
                                </a:lnTo>
                                <a:lnTo>
                                  <a:pt x="480161" y="119900"/>
                                </a:lnTo>
                                <a:lnTo>
                                  <a:pt x="463740" y="123215"/>
                                </a:lnTo>
                                <a:lnTo>
                                  <a:pt x="447344" y="119900"/>
                                </a:lnTo>
                                <a:lnTo>
                                  <a:pt x="433946" y="110858"/>
                                </a:lnTo>
                                <a:lnTo>
                                  <a:pt x="424916" y="97447"/>
                                </a:lnTo>
                                <a:lnTo>
                                  <a:pt x="421601" y="81026"/>
                                </a:lnTo>
                                <a:lnTo>
                                  <a:pt x="421601" y="121310"/>
                                </a:lnTo>
                                <a:lnTo>
                                  <a:pt x="424916" y="137731"/>
                                </a:lnTo>
                                <a:lnTo>
                                  <a:pt x="433946" y="151117"/>
                                </a:lnTo>
                                <a:lnTo>
                                  <a:pt x="447344" y="160147"/>
                                </a:lnTo>
                                <a:lnTo>
                                  <a:pt x="463740" y="163449"/>
                                </a:lnTo>
                                <a:lnTo>
                                  <a:pt x="480161" y="160147"/>
                                </a:lnTo>
                                <a:lnTo>
                                  <a:pt x="493572" y="151117"/>
                                </a:lnTo>
                                <a:lnTo>
                                  <a:pt x="502615" y="137731"/>
                                </a:lnTo>
                                <a:lnTo>
                                  <a:pt x="505929" y="121310"/>
                                </a:lnTo>
                                <a:lnTo>
                                  <a:pt x="509244" y="137731"/>
                                </a:lnTo>
                                <a:lnTo>
                                  <a:pt x="518274" y="151117"/>
                                </a:lnTo>
                                <a:lnTo>
                                  <a:pt x="531685" y="160147"/>
                                </a:lnTo>
                                <a:lnTo>
                                  <a:pt x="548106" y="163449"/>
                                </a:lnTo>
                                <a:lnTo>
                                  <a:pt x="564515" y="160147"/>
                                </a:lnTo>
                                <a:lnTo>
                                  <a:pt x="577900" y="151117"/>
                                </a:lnTo>
                                <a:lnTo>
                                  <a:pt x="586930" y="137731"/>
                                </a:lnTo>
                                <a:lnTo>
                                  <a:pt x="590245" y="121310"/>
                                </a:lnTo>
                                <a:lnTo>
                                  <a:pt x="590245" y="81026"/>
                                </a:lnTo>
                                <a:close/>
                              </a:path>
                              <a:path w="759460" h="323850">
                                <a:moveTo>
                                  <a:pt x="674547" y="161150"/>
                                </a:moveTo>
                                <a:lnTo>
                                  <a:pt x="671245" y="177571"/>
                                </a:lnTo>
                                <a:lnTo>
                                  <a:pt x="662216" y="190982"/>
                                </a:lnTo>
                                <a:lnTo>
                                  <a:pt x="648817" y="200025"/>
                                </a:lnTo>
                                <a:lnTo>
                                  <a:pt x="632383" y="203339"/>
                                </a:lnTo>
                                <a:lnTo>
                                  <a:pt x="615975" y="200025"/>
                                </a:lnTo>
                                <a:lnTo>
                                  <a:pt x="602576" y="190982"/>
                                </a:lnTo>
                                <a:lnTo>
                                  <a:pt x="593547" y="177571"/>
                                </a:lnTo>
                                <a:lnTo>
                                  <a:pt x="590245" y="161213"/>
                                </a:lnTo>
                                <a:lnTo>
                                  <a:pt x="586930" y="177571"/>
                                </a:lnTo>
                                <a:lnTo>
                                  <a:pt x="577900" y="190982"/>
                                </a:lnTo>
                                <a:lnTo>
                                  <a:pt x="564515" y="200025"/>
                                </a:lnTo>
                                <a:lnTo>
                                  <a:pt x="548106" y="203339"/>
                                </a:lnTo>
                                <a:lnTo>
                                  <a:pt x="531685" y="200025"/>
                                </a:lnTo>
                                <a:lnTo>
                                  <a:pt x="518274" y="190982"/>
                                </a:lnTo>
                                <a:lnTo>
                                  <a:pt x="509244" y="177571"/>
                                </a:lnTo>
                                <a:lnTo>
                                  <a:pt x="505929" y="161150"/>
                                </a:lnTo>
                                <a:lnTo>
                                  <a:pt x="502615" y="177571"/>
                                </a:lnTo>
                                <a:lnTo>
                                  <a:pt x="493572" y="190982"/>
                                </a:lnTo>
                                <a:lnTo>
                                  <a:pt x="480161" y="200025"/>
                                </a:lnTo>
                                <a:lnTo>
                                  <a:pt x="463740" y="203339"/>
                                </a:lnTo>
                                <a:lnTo>
                                  <a:pt x="447344" y="200025"/>
                                </a:lnTo>
                                <a:lnTo>
                                  <a:pt x="433946" y="190982"/>
                                </a:lnTo>
                                <a:lnTo>
                                  <a:pt x="424916" y="177571"/>
                                </a:lnTo>
                                <a:lnTo>
                                  <a:pt x="421614" y="161213"/>
                                </a:lnTo>
                                <a:lnTo>
                                  <a:pt x="418312" y="177571"/>
                                </a:lnTo>
                                <a:lnTo>
                                  <a:pt x="409270" y="190982"/>
                                </a:lnTo>
                                <a:lnTo>
                                  <a:pt x="395871" y="200025"/>
                                </a:lnTo>
                                <a:lnTo>
                                  <a:pt x="379437" y="203339"/>
                                </a:lnTo>
                                <a:lnTo>
                                  <a:pt x="363042" y="200025"/>
                                </a:lnTo>
                                <a:lnTo>
                                  <a:pt x="349631" y="190982"/>
                                </a:lnTo>
                                <a:lnTo>
                                  <a:pt x="340575" y="177571"/>
                                </a:lnTo>
                                <a:lnTo>
                                  <a:pt x="337261" y="161213"/>
                                </a:lnTo>
                                <a:lnTo>
                                  <a:pt x="333946" y="177571"/>
                                </a:lnTo>
                                <a:lnTo>
                                  <a:pt x="324929" y="190982"/>
                                </a:lnTo>
                                <a:lnTo>
                                  <a:pt x="311531" y="200025"/>
                                </a:lnTo>
                                <a:lnTo>
                                  <a:pt x="295135" y="203339"/>
                                </a:lnTo>
                                <a:lnTo>
                                  <a:pt x="278714" y="200025"/>
                                </a:lnTo>
                                <a:lnTo>
                                  <a:pt x="265303" y="190982"/>
                                </a:lnTo>
                                <a:lnTo>
                                  <a:pt x="256260" y="177571"/>
                                </a:lnTo>
                                <a:lnTo>
                                  <a:pt x="252945" y="161150"/>
                                </a:lnTo>
                                <a:lnTo>
                                  <a:pt x="249643" y="177571"/>
                                </a:lnTo>
                                <a:lnTo>
                                  <a:pt x="240614" y="190982"/>
                                </a:lnTo>
                                <a:lnTo>
                                  <a:pt x="227215" y="200025"/>
                                </a:lnTo>
                                <a:lnTo>
                                  <a:pt x="210781" y="203339"/>
                                </a:lnTo>
                                <a:lnTo>
                                  <a:pt x="194373" y="200025"/>
                                </a:lnTo>
                                <a:lnTo>
                                  <a:pt x="180975" y="190982"/>
                                </a:lnTo>
                                <a:lnTo>
                                  <a:pt x="171945" y="177571"/>
                                </a:lnTo>
                                <a:lnTo>
                                  <a:pt x="168630" y="161150"/>
                                </a:lnTo>
                                <a:lnTo>
                                  <a:pt x="165328" y="177571"/>
                                </a:lnTo>
                                <a:lnTo>
                                  <a:pt x="156298" y="190982"/>
                                </a:lnTo>
                                <a:lnTo>
                                  <a:pt x="142913" y="200025"/>
                                </a:lnTo>
                                <a:lnTo>
                                  <a:pt x="126492" y="203339"/>
                                </a:lnTo>
                                <a:lnTo>
                                  <a:pt x="110083" y="200025"/>
                                </a:lnTo>
                                <a:lnTo>
                                  <a:pt x="96672" y="190982"/>
                                </a:lnTo>
                                <a:lnTo>
                                  <a:pt x="87630" y="177571"/>
                                </a:lnTo>
                                <a:lnTo>
                                  <a:pt x="84328" y="161213"/>
                                </a:lnTo>
                                <a:lnTo>
                                  <a:pt x="81013" y="177571"/>
                                </a:lnTo>
                                <a:lnTo>
                                  <a:pt x="71958" y="190982"/>
                                </a:lnTo>
                                <a:lnTo>
                                  <a:pt x="58547" y="200025"/>
                                </a:lnTo>
                                <a:lnTo>
                                  <a:pt x="42138" y="203339"/>
                                </a:lnTo>
                                <a:lnTo>
                                  <a:pt x="25730" y="200025"/>
                                </a:lnTo>
                                <a:lnTo>
                                  <a:pt x="12344" y="190982"/>
                                </a:lnTo>
                                <a:lnTo>
                                  <a:pt x="3314" y="177571"/>
                                </a:lnTo>
                                <a:lnTo>
                                  <a:pt x="0" y="161150"/>
                                </a:lnTo>
                                <a:lnTo>
                                  <a:pt x="0" y="201434"/>
                                </a:lnTo>
                                <a:lnTo>
                                  <a:pt x="3314" y="217843"/>
                                </a:lnTo>
                                <a:lnTo>
                                  <a:pt x="12344" y="231241"/>
                                </a:lnTo>
                                <a:lnTo>
                                  <a:pt x="25730" y="240271"/>
                                </a:lnTo>
                                <a:lnTo>
                                  <a:pt x="42138" y="243573"/>
                                </a:lnTo>
                                <a:lnTo>
                                  <a:pt x="58547" y="240271"/>
                                </a:lnTo>
                                <a:lnTo>
                                  <a:pt x="71958" y="231241"/>
                                </a:lnTo>
                                <a:lnTo>
                                  <a:pt x="81013" y="217843"/>
                                </a:lnTo>
                                <a:lnTo>
                                  <a:pt x="84315" y="201472"/>
                                </a:lnTo>
                                <a:lnTo>
                                  <a:pt x="87630" y="217843"/>
                                </a:lnTo>
                                <a:lnTo>
                                  <a:pt x="96672" y="231241"/>
                                </a:lnTo>
                                <a:lnTo>
                                  <a:pt x="110083" y="240271"/>
                                </a:lnTo>
                                <a:lnTo>
                                  <a:pt x="126492" y="243573"/>
                                </a:lnTo>
                                <a:lnTo>
                                  <a:pt x="142913" y="240271"/>
                                </a:lnTo>
                                <a:lnTo>
                                  <a:pt x="156298" y="231241"/>
                                </a:lnTo>
                                <a:lnTo>
                                  <a:pt x="165328" y="217843"/>
                                </a:lnTo>
                                <a:lnTo>
                                  <a:pt x="168630" y="201434"/>
                                </a:lnTo>
                                <a:lnTo>
                                  <a:pt x="171945" y="217843"/>
                                </a:lnTo>
                                <a:lnTo>
                                  <a:pt x="180975" y="231241"/>
                                </a:lnTo>
                                <a:lnTo>
                                  <a:pt x="194373" y="240271"/>
                                </a:lnTo>
                                <a:lnTo>
                                  <a:pt x="210781" y="243573"/>
                                </a:lnTo>
                                <a:lnTo>
                                  <a:pt x="227215" y="240271"/>
                                </a:lnTo>
                                <a:lnTo>
                                  <a:pt x="240614" y="231241"/>
                                </a:lnTo>
                                <a:lnTo>
                                  <a:pt x="249643" y="217843"/>
                                </a:lnTo>
                                <a:lnTo>
                                  <a:pt x="252945" y="201434"/>
                                </a:lnTo>
                                <a:lnTo>
                                  <a:pt x="256260" y="217843"/>
                                </a:lnTo>
                                <a:lnTo>
                                  <a:pt x="265303" y="231241"/>
                                </a:lnTo>
                                <a:lnTo>
                                  <a:pt x="278714" y="240271"/>
                                </a:lnTo>
                                <a:lnTo>
                                  <a:pt x="295135" y="243573"/>
                                </a:lnTo>
                                <a:lnTo>
                                  <a:pt x="311531" y="240271"/>
                                </a:lnTo>
                                <a:lnTo>
                                  <a:pt x="324929" y="231241"/>
                                </a:lnTo>
                                <a:lnTo>
                                  <a:pt x="333946" y="217843"/>
                                </a:lnTo>
                                <a:lnTo>
                                  <a:pt x="337248" y="201472"/>
                                </a:lnTo>
                                <a:lnTo>
                                  <a:pt x="340575" y="217843"/>
                                </a:lnTo>
                                <a:lnTo>
                                  <a:pt x="349631" y="231241"/>
                                </a:lnTo>
                                <a:lnTo>
                                  <a:pt x="363042" y="240271"/>
                                </a:lnTo>
                                <a:lnTo>
                                  <a:pt x="379437" y="243573"/>
                                </a:lnTo>
                                <a:lnTo>
                                  <a:pt x="395871" y="240271"/>
                                </a:lnTo>
                                <a:lnTo>
                                  <a:pt x="409270" y="231241"/>
                                </a:lnTo>
                                <a:lnTo>
                                  <a:pt x="418312" y="217843"/>
                                </a:lnTo>
                                <a:lnTo>
                                  <a:pt x="421601" y="201472"/>
                                </a:lnTo>
                                <a:lnTo>
                                  <a:pt x="424916" y="217843"/>
                                </a:lnTo>
                                <a:lnTo>
                                  <a:pt x="433946" y="231241"/>
                                </a:lnTo>
                                <a:lnTo>
                                  <a:pt x="447344" y="240271"/>
                                </a:lnTo>
                                <a:lnTo>
                                  <a:pt x="463740" y="243573"/>
                                </a:lnTo>
                                <a:lnTo>
                                  <a:pt x="480161" y="240271"/>
                                </a:lnTo>
                                <a:lnTo>
                                  <a:pt x="493572" y="231241"/>
                                </a:lnTo>
                                <a:lnTo>
                                  <a:pt x="502615" y="217843"/>
                                </a:lnTo>
                                <a:lnTo>
                                  <a:pt x="505929" y="201434"/>
                                </a:lnTo>
                                <a:lnTo>
                                  <a:pt x="509244" y="217843"/>
                                </a:lnTo>
                                <a:lnTo>
                                  <a:pt x="518274" y="231241"/>
                                </a:lnTo>
                                <a:lnTo>
                                  <a:pt x="531685" y="240271"/>
                                </a:lnTo>
                                <a:lnTo>
                                  <a:pt x="548106" y="243573"/>
                                </a:lnTo>
                                <a:lnTo>
                                  <a:pt x="564515" y="240271"/>
                                </a:lnTo>
                                <a:lnTo>
                                  <a:pt x="577900" y="231241"/>
                                </a:lnTo>
                                <a:lnTo>
                                  <a:pt x="586930" y="217843"/>
                                </a:lnTo>
                                <a:lnTo>
                                  <a:pt x="590232" y="201472"/>
                                </a:lnTo>
                                <a:lnTo>
                                  <a:pt x="593547" y="217843"/>
                                </a:lnTo>
                                <a:lnTo>
                                  <a:pt x="602576" y="231241"/>
                                </a:lnTo>
                                <a:lnTo>
                                  <a:pt x="615975" y="240271"/>
                                </a:lnTo>
                                <a:lnTo>
                                  <a:pt x="632383" y="243573"/>
                                </a:lnTo>
                                <a:lnTo>
                                  <a:pt x="648817" y="240271"/>
                                </a:lnTo>
                                <a:lnTo>
                                  <a:pt x="662216" y="231241"/>
                                </a:lnTo>
                                <a:lnTo>
                                  <a:pt x="671245" y="217843"/>
                                </a:lnTo>
                                <a:lnTo>
                                  <a:pt x="674547" y="201434"/>
                                </a:lnTo>
                                <a:lnTo>
                                  <a:pt x="674547" y="161150"/>
                                </a:lnTo>
                                <a:close/>
                              </a:path>
                              <a:path w="759460" h="323850">
                                <a:moveTo>
                                  <a:pt x="758863" y="241198"/>
                                </a:moveTo>
                                <a:lnTo>
                                  <a:pt x="755548" y="257619"/>
                                </a:lnTo>
                                <a:lnTo>
                                  <a:pt x="746531" y="271030"/>
                                </a:lnTo>
                                <a:lnTo>
                                  <a:pt x="733145" y="280073"/>
                                </a:lnTo>
                                <a:lnTo>
                                  <a:pt x="716737" y="283387"/>
                                </a:lnTo>
                                <a:lnTo>
                                  <a:pt x="700328" y="280073"/>
                                </a:lnTo>
                                <a:lnTo>
                                  <a:pt x="686917" y="271030"/>
                                </a:lnTo>
                                <a:lnTo>
                                  <a:pt x="677862" y="257619"/>
                                </a:lnTo>
                                <a:lnTo>
                                  <a:pt x="674547" y="241198"/>
                                </a:lnTo>
                                <a:lnTo>
                                  <a:pt x="671245" y="257619"/>
                                </a:lnTo>
                                <a:lnTo>
                                  <a:pt x="662216" y="271030"/>
                                </a:lnTo>
                                <a:lnTo>
                                  <a:pt x="648817" y="280073"/>
                                </a:lnTo>
                                <a:lnTo>
                                  <a:pt x="632383" y="283387"/>
                                </a:lnTo>
                                <a:lnTo>
                                  <a:pt x="615975" y="280073"/>
                                </a:lnTo>
                                <a:lnTo>
                                  <a:pt x="602576" y="271030"/>
                                </a:lnTo>
                                <a:lnTo>
                                  <a:pt x="593547" y="257619"/>
                                </a:lnTo>
                                <a:lnTo>
                                  <a:pt x="590245" y="241261"/>
                                </a:lnTo>
                                <a:lnTo>
                                  <a:pt x="586930" y="257619"/>
                                </a:lnTo>
                                <a:lnTo>
                                  <a:pt x="577900" y="271030"/>
                                </a:lnTo>
                                <a:lnTo>
                                  <a:pt x="564515" y="280073"/>
                                </a:lnTo>
                                <a:lnTo>
                                  <a:pt x="548106" y="283387"/>
                                </a:lnTo>
                                <a:lnTo>
                                  <a:pt x="531685" y="280073"/>
                                </a:lnTo>
                                <a:lnTo>
                                  <a:pt x="518274" y="271030"/>
                                </a:lnTo>
                                <a:lnTo>
                                  <a:pt x="509244" y="257619"/>
                                </a:lnTo>
                                <a:lnTo>
                                  <a:pt x="505929" y="241198"/>
                                </a:lnTo>
                                <a:lnTo>
                                  <a:pt x="502615" y="257619"/>
                                </a:lnTo>
                                <a:lnTo>
                                  <a:pt x="493572" y="271030"/>
                                </a:lnTo>
                                <a:lnTo>
                                  <a:pt x="480161" y="280073"/>
                                </a:lnTo>
                                <a:lnTo>
                                  <a:pt x="463740" y="283387"/>
                                </a:lnTo>
                                <a:lnTo>
                                  <a:pt x="447344" y="280073"/>
                                </a:lnTo>
                                <a:lnTo>
                                  <a:pt x="433946" y="271030"/>
                                </a:lnTo>
                                <a:lnTo>
                                  <a:pt x="424916" y="257619"/>
                                </a:lnTo>
                                <a:lnTo>
                                  <a:pt x="421614" y="241261"/>
                                </a:lnTo>
                                <a:lnTo>
                                  <a:pt x="418312" y="257619"/>
                                </a:lnTo>
                                <a:lnTo>
                                  <a:pt x="409270" y="271030"/>
                                </a:lnTo>
                                <a:lnTo>
                                  <a:pt x="395871" y="280073"/>
                                </a:lnTo>
                                <a:lnTo>
                                  <a:pt x="379437" y="283387"/>
                                </a:lnTo>
                                <a:lnTo>
                                  <a:pt x="363042" y="280073"/>
                                </a:lnTo>
                                <a:lnTo>
                                  <a:pt x="349631" y="271030"/>
                                </a:lnTo>
                                <a:lnTo>
                                  <a:pt x="340575" y="257619"/>
                                </a:lnTo>
                                <a:lnTo>
                                  <a:pt x="337261" y="241261"/>
                                </a:lnTo>
                                <a:lnTo>
                                  <a:pt x="333946" y="257619"/>
                                </a:lnTo>
                                <a:lnTo>
                                  <a:pt x="324929" y="271030"/>
                                </a:lnTo>
                                <a:lnTo>
                                  <a:pt x="311531" y="280073"/>
                                </a:lnTo>
                                <a:lnTo>
                                  <a:pt x="295135" y="283387"/>
                                </a:lnTo>
                                <a:lnTo>
                                  <a:pt x="278714" y="280073"/>
                                </a:lnTo>
                                <a:lnTo>
                                  <a:pt x="265303" y="271030"/>
                                </a:lnTo>
                                <a:lnTo>
                                  <a:pt x="256260" y="257619"/>
                                </a:lnTo>
                                <a:lnTo>
                                  <a:pt x="252945" y="241198"/>
                                </a:lnTo>
                                <a:lnTo>
                                  <a:pt x="249643" y="257619"/>
                                </a:lnTo>
                                <a:lnTo>
                                  <a:pt x="240614" y="271030"/>
                                </a:lnTo>
                                <a:lnTo>
                                  <a:pt x="227215" y="280073"/>
                                </a:lnTo>
                                <a:lnTo>
                                  <a:pt x="210781" y="283387"/>
                                </a:lnTo>
                                <a:lnTo>
                                  <a:pt x="194373" y="280073"/>
                                </a:lnTo>
                                <a:lnTo>
                                  <a:pt x="180975" y="271030"/>
                                </a:lnTo>
                                <a:lnTo>
                                  <a:pt x="171945" y="257619"/>
                                </a:lnTo>
                                <a:lnTo>
                                  <a:pt x="168630" y="241198"/>
                                </a:lnTo>
                                <a:lnTo>
                                  <a:pt x="165328" y="257619"/>
                                </a:lnTo>
                                <a:lnTo>
                                  <a:pt x="156298" y="271030"/>
                                </a:lnTo>
                                <a:lnTo>
                                  <a:pt x="142913" y="280073"/>
                                </a:lnTo>
                                <a:lnTo>
                                  <a:pt x="126492" y="283387"/>
                                </a:lnTo>
                                <a:lnTo>
                                  <a:pt x="110083" y="280073"/>
                                </a:lnTo>
                                <a:lnTo>
                                  <a:pt x="96672" y="271030"/>
                                </a:lnTo>
                                <a:lnTo>
                                  <a:pt x="87630" y="257619"/>
                                </a:lnTo>
                                <a:lnTo>
                                  <a:pt x="84315" y="241198"/>
                                </a:lnTo>
                                <a:lnTo>
                                  <a:pt x="84315" y="281482"/>
                                </a:lnTo>
                                <a:lnTo>
                                  <a:pt x="87630" y="297891"/>
                                </a:lnTo>
                                <a:lnTo>
                                  <a:pt x="96672" y="311289"/>
                                </a:lnTo>
                                <a:lnTo>
                                  <a:pt x="110083" y="320306"/>
                                </a:lnTo>
                                <a:lnTo>
                                  <a:pt x="126492" y="323621"/>
                                </a:lnTo>
                                <a:lnTo>
                                  <a:pt x="142913" y="320306"/>
                                </a:lnTo>
                                <a:lnTo>
                                  <a:pt x="156298" y="311289"/>
                                </a:lnTo>
                                <a:lnTo>
                                  <a:pt x="165328" y="297891"/>
                                </a:lnTo>
                                <a:lnTo>
                                  <a:pt x="168630" y="281482"/>
                                </a:lnTo>
                                <a:lnTo>
                                  <a:pt x="171945" y="297891"/>
                                </a:lnTo>
                                <a:lnTo>
                                  <a:pt x="180975" y="311289"/>
                                </a:lnTo>
                                <a:lnTo>
                                  <a:pt x="194373" y="320306"/>
                                </a:lnTo>
                                <a:lnTo>
                                  <a:pt x="210781" y="323621"/>
                                </a:lnTo>
                                <a:lnTo>
                                  <a:pt x="227215" y="320306"/>
                                </a:lnTo>
                                <a:lnTo>
                                  <a:pt x="240614" y="311289"/>
                                </a:lnTo>
                                <a:lnTo>
                                  <a:pt x="249643" y="297891"/>
                                </a:lnTo>
                                <a:lnTo>
                                  <a:pt x="252945" y="281482"/>
                                </a:lnTo>
                                <a:lnTo>
                                  <a:pt x="256260" y="297891"/>
                                </a:lnTo>
                                <a:lnTo>
                                  <a:pt x="265303" y="311289"/>
                                </a:lnTo>
                                <a:lnTo>
                                  <a:pt x="278714" y="320306"/>
                                </a:lnTo>
                                <a:lnTo>
                                  <a:pt x="295135" y="323621"/>
                                </a:lnTo>
                                <a:lnTo>
                                  <a:pt x="311531" y="320306"/>
                                </a:lnTo>
                                <a:lnTo>
                                  <a:pt x="324929" y="311289"/>
                                </a:lnTo>
                                <a:lnTo>
                                  <a:pt x="333946" y="297891"/>
                                </a:lnTo>
                                <a:lnTo>
                                  <a:pt x="337248" y="281520"/>
                                </a:lnTo>
                                <a:lnTo>
                                  <a:pt x="340575" y="297891"/>
                                </a:lnTo>
                                <a:lnTo>
                                  <a:pt x="349631" y="311289"/>
                                </a:lnTo>
                                <a:lnTo>
                                  <a:pt x="363042" y="320306"/>
                                </a:lnTo>
                                <a:lnTo>
                                  <a:pt x="379437" y="323621"/>
                                </a:lnTo>
                                <a:lnTo>
                                  <a:pt x="395871" y="320306"/>
                                </a:lnTo>
                                <a:lnTo>
                                  <a:pt x="409270" y="311289"/>
                                </a:lnTo>
                                <a:lnTo>
                                  <a:pt x="418312" y="297891"/>
                                </a:lnTo>
                                <a:lnTo>
                                  <a:pt x="421601" y="281520"/>
                                </a:lnTo>
                                <a:lnTo>
                                  <a:pt x="424916" y="297891"/>
                                </a:lnTo>
                                <a:lnTo>
                                  <a:pt x="433946" y="311289"/>
                                </a:lnTo>
                                <a:lnTo>
                                  <a:pt x="447344" y="320306"/>
                                </a:lnTo>
                                <a:lnTo>
                                  <a:pt x="463740" y="323621"/>
                                </a:lnTo>
                                <a:lnTo>
                                  <a:pt x="480161" y="320306"/>
                                </a:lnTo>
                                <a:lnTo>
                                  <a:pt x="493572" y="311289"/>
                                </a:lnTo>
                                <a:lnTo>
                                  <a:pt x="502615" y="297891"/>
                                </a:lnTo>
                                <a:lnTo>
                                  <a:pt x="505929" y="281482"/>
                                </a:lnTo>
                                <a:lnTo>
                                  <a:pt x="509244" y="297891"/>
                                </a:lnTo>
                                <a:lnTo>
                                  <a:pt x="518274" y="311289"/>
                                </a:lnTo>
                                <a:lnTo>
                                  <a:pt x="531685" y="320306"/>
                                </a:lnTo>
                                <a:lnTo>
                                  <a:pt x="548106" y="323621"/>
                                </a:lnTo>
                                <a:lnTo>
                                  <a:pt x="564515" y="320306"/>
                                </a:lnTo>
                                <a:lnTo>
                                  <a:pt x="577900" y="311289"/>
                                </a:lnTo>
                                <a:lnTo>
                                  <a:pt x="586930" y="297891"/>
                                </a:lnTo>
                                <a:lnTo>
                                  <a:pt x="590232" y="281520"/>
                                </a:lnTo>
                                <a:lnTo>
                                  <a:pt x="593547" y="297891"/>
                                </a:lnTo>
                                <a:lnTo>
                                  <a:pt x="602576" y="311289"/>
                                </a:lnTo>
                                <a:lnTo>
                                  <a:pt x="615975" y="320306"/>
                                </a:lnTo>
                                <a:lnTo>
                                  <a:pt x="632383" y="323621"/>
                                </a:lnTo>
                                <a:lnTo>
                                  <a:pt x="648817" y="320306"/>
                                </a:lnTo>
                                <a:lnTo>
                                  <a:pt x="662216" y="311289"/>
                                </a:lnTo>
                                <a:lnTo>
                                  <a:pt x="671245" y="297891"/>
                                </a:lnTo>
                                <a:lnTo>
                                  <a:pt x="674547" y="281482"/>
                                </a:lnTo>
                                <a:lnTo>
                                  <a:pt x="677862" y="297891"/>
                                </a:lnTo>
                                <a:lnTo>
                                  <a:pt x="686917" y="311289"/>
                                </a:lnTo>
                                <a:lnTo>
                                  <a:pt x="700328" y="320306"/>
                                </a:lnTo>
                                <a:lnTo>
                                  <a:pt x="716737" y="323621"/>
                                </a:lnTo>
                                <a:lnTo>
                                  <a:pt x="733145" y="320306"/>
                                </a:lnTo>
                                <a:lnTo>
                                  <a:pt x="746531" y="311289"/>
                                </a:lnTo>
                                <a:lnTo>
                                  <a:pt x="755548" y="297891"/>
                                </a:lnTo>
                                <a:lnTo>
                                  <a:pt x="758863" y="281482"/>
                                </a:lnTo>
                                <a:lnTo>
                                  <a:pt x="758863" y="241198"/>
                                </a:lnTo>
                                <a:close/>
                              </a:path>
                            </a:pathLst>
                          </a:custGeom>
                          <a:solidFill>
                            <a:srgbClr val="6A1C31"/>
                          </a:solidFill>
                        </wps:spPr>
                        <wps:bodyPr wrap="square" lIns="0" tIns="0" rIns="0" bIns="0" rtlCol="0">
                          <a:prstTxWarp prst="textNoShape">
                            <a:avLst/>
                          </a:prstTxWarp>
                          <a:noAutofit/>
                        </wps:bodyPr>
                      </wps:wsp>
                      <wps:wsp>
                        <wps:cNvPr id="98" name="Graphic 98"/>
                        <wps:cNvSpPr/>
                        <wps:spPr>
                          <a:xfrm>
                            <a:off x="1698434" y="2919595"/>
                            <a:ext cx="130175" cy="43180"/>
                          </a:xfrm>
                          <a:custGeom>
                            <a:avLst/>
                            <a:gdLst/>
                            <a:ahLst/>
                            <a:cxnLst/>
                            <a:rect l="l" t="t" r="r" b="b"/>
                            <a:pathLst>
                              <a:path w="130175" h="43180">
                                <a:moveTo>
                                  <a:pt x="43014" y="21501"/>
                                </a:moveTo>
                                <a:lnTo>
                                  <a:pt x="41325" y="13144"/>
                                </a:lnTo>
                                <a:lnTo>
                                  <a:pt x="36715" y="6299"/>
                                </a:lnTo>
                                <a:lnTo>
                                  <a:pt x="29870" y="1689"/>
                                </a:lnTo>
                                <a:lnTo>
                                  <a:pt x="21513" y="0"/>
                                </a:lnTo>
                                <a:lnTo>
                                  <a:pt x="13131" y="1689"/>
                                </a:lnTo>
                                <a:lnTo>
                                  <a:pt x="6299" y="6299"/>
                                </a:lnTo>
                                <a:lnTo>
                                  <a:pt x="1689" y="13144"/>
                                </a:lnTo>
                                <a:lnTo>
                                  <a:pt x="0" y="21501"/>
                                </a:lnTo>
                                <a:lnTo>
                                  <a:pt x="1689" y="29883"/>
                                </a:lnTo>
                                <a:lnTo>
                                  <a:pt x="6299" y="36715"/>
                                </a:lnTo>
                                <a:lnTo>
                                  <a:pt x="13131" y="41313"/>
                                </a:lnTo>
                                <a:lnTo>
                                  <a:pt x="21513" y="43002"/>
                                </a:lnTo>
                                <a:lnTo>
                                  <a:pt x="29870" y="41313"/>
                                </a:lnTo>
                                <a:lnTo>
                                  <a:pt x="36715" y="36715"/>
                                </a:lnTo>
                                <a:lnTo>
                                  <a:pt x="41325" y="29883"/>
                                </a:lnTo>
                                <a:lnTo>
                                  <a:pt x="43014" y="21501"/>
                                </a:lnTo>
                                <a:close/>
                              </a:path>
                              <a:path w="130175" h="43180">
                                <a:moveTo>
                                  <a:pt x="129628" y="21501"/>
                                </a:moveTo>
                                <a:lnTo>
                                  <a:pt x="127939" y="13144"/>
                                </a:lnTo>
                                <a:lnTo>
                                  <a:pt x="123329" y="6299"/>
                                </a:lnTo>
                                <a:lnTo>
                                  <a:pt x="116497" y="1689"/>
                                </a:lnTo>
                                <a:lnTo>
                                  <a:pt x="108140" y="0"/>
                                </a:lnTo>
                                <a:lnTo>
                                  <a:pt x="99771" y="1689"/>
                                </a:lnTo>
                                <a:lnTo>
                                  <a:pt x="92925" y="6299"/>
                                </a:lnTo>
                                <a:lnTo>
                                  <a:pt x="88315" y="13144"/>
                                </a:lnTo>
                                <a:lnTo>
                                  <a:pt x="86626" y="21501"/>
                                </a:lnTo>
                                <a:lnTo>
                                  <a:pt x="88315" y="29883"/>
                                </a:lnTo>
                                <a:lnTo>
                                  <a:pt x="92925" y="36715"/>
                                </a:lnTo>
                                <a:lnTo>
                                  <a:pt x="99771" y="41313"/>
                                </a:lnTo>
                                <a:lnTo>
                                  <a:pt x="108140" y="43002"/>
                                </a:lnTo>
                                <a:lnTo>
                                  <a:pt x="116497" y="41313"/>
                                </a:lnTo>
                                <a:lnTo>
                                  <a:pt x="123329" y="36715"/>
                                </a:lnTo>
                                <a:lnTo>
                                  <a:pt x="127939" y="29883"/>
                                </a:lnTo>
                                <a:lnTo>
                                  <a:pt x="129628" y="21501"/>
                                </a:lnTo>
                                <a:close/>
                              </a:path>
                            </a:pathLst>
                          </a:custGeom>
                          <a:solidFill>
                            <a:srgbClr val="FFFFFF"/>
                          </a:solidFill>
                        </wps:spPr>
                        <wps:bodyPr wrap="square" lIns="0" tIns="0" rIns="0" bIns="0" rtlCol="0">
                          <a:prstTxWarp prst="textNoShape">
                            <a:avLst/>
                          </a:prstTxWarp>
                          <a:noAutofit/>
                        </wps:bodyPr>
                      </wps:wsp>
                      <wps:wsp>
                        <wps:cNvPr id="99" name="Graphic 99"/>
                        <wps:cNvSpPr/>
                        <wps:spPr>
                          <a:xfrm>
                            <a:off x="1925518" y="2517404"/>
                            <a:ext cx="1270" cy="264160"/>
                          </a:xfrm>
                          <a:custGeom>
                            <a:avLst/>
                            <a:gdLst/>
                            <a:ahLst/>
                            <a:cxnLst/>
                            <a:rect l="l" t="t" r="r" b="b"/>
                            <a:pathLst>
                              <a:path w="0" h="264160">
                                <a:moveTo>
                                  <a:pt x="0" y="0"/>
                                </a:moveTo>
                                <a:lnTo>
                                  <a:pt x="0" y="263918"/>
                                </a:lnTo>
                              </a:path>
                            </a:pathLst>
                          </a:custGeom>
                          <a:ln w="31750">
                            <a:solidFill>
                              <a:srgbClr val="231F20"/>
                            </a:solidFill>
                            <a:prstDash val="solid"/>
                          </a:ln>
                        </wps:spPr>
                        <wps:bodyPr wrap="square" lIns="0" tIns="0" rIns="0" bIns="0" rtlCol="0">
                          <a:prstTxWarp prst="textNoShape">
                            <a:avLst/>
                          </a:prstTxWarp>
                          <a:noAutofit/>
                        </wps:bodyPr>
                      </wps:wsp>
                      <wps:wsp>
                        <wps:cNvPr id="100" name="Graphic 100"/>
                        <wps:cNvSpPr/>
                        <wps:spPr>
                          <a:xfrm>
                            <a:off x="4074969" y="1621138"/>
                            <a:ext cx="60325" cy="60325"/>
                          </a:xfrm>
                          <a:custGeom>
                            <a:avLst/>
                            <a:gdLst/>
                            <a:ahLst/>
                            <a:cxnLst/>
                            <a:rect l="l" t="t" r="r" b="b"/>
                            <a:pathLst>
                              <a:path w="60325" h="60325">
                                <a:moveTo>
                                  <a:pt x="59740" y="59728"/>
                                </a:moveTo>
                                <a:lnTo>
                                  <a:pt x="0" y="0"/>
                                </a:lnTo>
                              </a:path>
                            </a:pathLst>
                          </a:custGeom>
                          <a:ln w="14287">
                            <a:solidFill>
                              <a:srgbClr val="9D9FA2"/>
                            </a:solidFill>
                            <a:prstDash val="solid"/>
                          </a:ln>
                        </wps:spPr>
                        <wps:bodyPr wrap="square" lIns="0" tIns="0" rIns="0" bIns="0" rtlCol="0">
                          <a:prstTxWarp prst="textNoShape">
                            <a:avLst/>
                          </a:prstTxWarp>
                          <a:noAutofit/>
                        </wps:bodyPr>
                      </wps:wsp>
                      <wps:wsp>
                        <wps:cNvPr id="101" name="Graphic 101"/>
                        <wps:cNvSpPr/>
                        <wps:spPr>
                          <a:xfrm>
                            <a:off x="4074707" y="1371749"/>
                            <a:ext cx="1270" cy="111125"/>
                          </a:xfrm>
                          <a:custGeom>
                            <a:avLst/>
                            <a:gdLst/>
                            <a:ahLst/>
                            <a:cxnLst/>
                            <a:rect l="l" t="t" r="r" b="b"/>
                            <a:pathLst>
                              <a:path w="0" h="111125">
                                <a:moveTo>
                                  <a:pt x="0" y="0"/>
                                </a:moveTo>
                                <a:lnTo>
                                  <a:pt x="0" y="110832"/>
                                </a:lnTo>
                              </a:path>
                            </a:pathLst>
                          </a:custGeom>
                          <a:ln w="12700">
                            <a:solidFill>
                              <a:srgbClr val="231F20"/>
                            </a:solidFill>
                            <a:prstDash val="solid"/>
                          </a:ln>
                        </wps:spPr>
                        <wps:bodyPr wrap="square" lIns="0" tIns="0" rIns="0" bIns="0" rtlCol="0">
                          <a:prstTxWarp prst="textNoShape">
                            <a:avLst/>
                          </a:prstTxWarp>
                          <a:noAutofit/>
                        </wps:bodyPr>
                      </wps:wsp>
                      <wps:wsp>
                        <wps:cNvPr id="102" name="Graphic 102"/>
                        <wps:cNvSpPr/>
                        <wps:spPr>
                          <a:xfrm>
                            <a:off x="4049731" y="1548090"/>
                            <a:ext cx="50800" cy="85725"/>
                          </a:xfrm>
                          <a:custGeom>
                            <a:avLst/>
                            <a:gdLst/>
                            <a:ahLst/>
                            <a:cxnLst/>
                            <a:rect l="l" t="t" r="r" b="b"/>
                            <a:pathLst>
                              <a:path w="50800" h="85725">
                                <a:moveTo>
                                  <a:pt x="50177" y="60147"/>
                                </a:moveTo>
                                <a:lnTo>
                                  <a:pt x="48205" y="69921"/>
                                </a:lnTo>
                                <a:lnTo>
                                  <a:pt x="42825" y="77901"/>
                                </a:lnTo>
                                <a:lnTo>
                                  <a:pt x="34848" y="83282"/>
                                </a:lnTo>
                                <a:lnTo>
                                  <a:pt x="25082" y="85255"/>
                                </a:lnTo>
                                <a:lnTo>
                                  <a:pt x="15323" y="83282"/>
                                </a:lnTo>
                                <a:lnTo>
                                  <a:pt x="7350" y="77901"/>
                                </a:lnTo>
                                <a:lnTo>
                                  <a:pt x="1972" y="69921"/>
                                </a:lnTo>
                                <a:lnTo>
                                  <a:pt x="0" y="60147"/>
                                </a:lnTo>
                                <a:lnTo>
                                  <a:pt x="1972" y="50388"/>
                                </a:lnTo>
                                <a:lnTo>
                                  <a:pt x="7350" y="42414"/>
                                </a:lnTo>
                                <a:lnTo>
                                  <a:pt x="15323" y="37037"/>
                                </a:lnTo>
                                <a:lnTo>
                                  <a:pt x="25082" y="35064"/>
                                </a:lnTo>
                                <a:lnTo>
                                  <a:pt x="25082" y="0"/>
                                </a:lnTo>
                              </a:path>
                            </a:pathLst>
                          </a:custGeom>
                          <a:ln w="12700">
                            <a:solidFill>
                              <a:srgbClr val="231F20"/>
                            </a:solidFill>
                            <a:prstDash val="solid"/>
                          </a:ln>
                        </wps:spPr>
                        <wps:bodyPr wrap="square" lIns="0" tIns="0" rIns="0" bIns="0" rtlCol="0">
                          <a:prstTxWarp prst="textNoShape">
                            <a:avLst/>
                          </a:prstTxWarp>
                          <a:noAutofit/>
                        </wps:bodyPr>
                      </wps:wsp>
                      <wps:wsp>
                        <wps:cNvPr id="103" name="Graphic 103"/>
                        <wps:cNvSpPr/>
                        <wps:spPr>
                          <a:xfrm>
                            <a:off x="4172368" y="1719083"/>
                            <a:ext cx="86995" cy="86995"/>
                          </a:xfrm>
                          <a:custGeom>
                            <a:avLst/>
                            <a:gdLst/>
                            <a:ahLst/>
                            <a:cxnLst/>
                            <a:rect l="l" t="t" r="r" b="b"/>
                            <a:pathLst>
                              <a:path w="86995" h="86995">
                                <a:moveTo>
                                  <a:pt x="86499" y="86499"/>
                                </a:moveTo>
                                <a:lnTo>
                                  <a:pt x="0" y="86499"/>
                                </a:lnTo>
                                <a:lnTo>
                                  <a:pt x="0" y="0"/>
                                </a:lnTo>
                                <a:lnTo>
                                  <a:pt x="86499" y="0"/>
                                </a:lnTo>
                                <a:lnTo>
                                  <a:pt x="86499" y="86499"/>
                                </a:lnTo>
                                <a:close/>
                              </a:path>
                            </a:pathLst>
                          </a:custGeom>
                          <a:ln w="31750">
                            <a:solidFill>
                              <a:srgbClr val="231F20"/>
                            </a:solidFill>
                            <a:prstDash val="solid"/>
                          </a:ln>
                        </wps:spPr>
                        <wps:bodyPr wrap="square" lIns="0" tIns="0" rIns="0" bIns="0" rtlCol="0">
                          <a:prstTxWarp prst="textNoShape">
                            <a:avLst/>
                          </a:prstTxWarp>
                          <a:noAutofit/>
                        </wps:bodyPr>
                      </wps:wsp>
                      <wps:wsp>
                        <wps:cNvPr id="104" name="Graphic 104"/>
                        <wps:cNvSpPr/>
                        <wps:spPr>
                          <a:xfrm>
                            <a:off x="4172004" y="1719183"/>
                            <a:ext cx="86995" cy="87630"/>
                          </a:xfrm>
                          <a:custGeom>
                            <a:avLst/>
                            <a:gdLst/>
                            <a:ahLst/>
                            <a:cxnLst/>
                            <a:rect l="l" t="t" r="r" b="b"/>
                            <a:pathLst>
                              <a:path w="86995" h="87630">
                                <a:moveTo>
                                  <a:pt x="0" y="87020"/>
                                </a:moveTo>
                                <a:lnTo>
                                  <a:pt x="86956" y="0"/>
                                </a:lnTo>
                              </a:path>
                            </a:pathLst>
                          </a:custGeom>
                          <a:ln w="31750">
                            <a:solidFill>
                              <a:srgbClr val="231F20"/>
                            </a:solidFill>
                            <a:prstDash val="solid"/>
                          </a:ln>
                        </wps:spPr>
                        <wps:bodyPr wrap="square" lIns="0" tIns="0" rIns="0" bIns="0" rtlCol="0">
                          <a:prstTxWarp prst="textNoShape">
                            <a:avLst/>
                          </a:prstTxWarp>
                          <a:noAutofit/>
                        </wps:bodyPr>
                      </wps:wsp>
                      <wps:wsp>
                        <wps:cNvPr id="105" name="Graphic 105"/>
                        <wps:cNvSpPr/>
                        <wps:spPr>
                          <a:xfrm>
                            <a:off x="4172368" y="1631999"/>
                            <a:ext cx="86995" cy="86995"/>
                          </a:xfrm>
                          <a:custGeom>
                            <a:avLst/>
                            <a:gdLst/>
                            <a:ahLst/>
                            <a:cxnLst/>
                            <a:rect l="l" t="t" r="r" b="b"/>
                            <a:pathLst>
                              <a:path w="86995" h="86995">
                                <a:moveTo>
                                  <a:pt x="86499" y="86499"/>
                                </a:moveTo>
                                <a:lnTo>
                                  <a:pt x="0" y="86499"/>
                                </a:lnTo>
                                <a:lnTo>
                                  <a:pt x="0" y="0"/>
                                </a:lnTo>
                                <a:lnTo>
                                  <a:pt x="86499" y="0"/>
                                </a:lnTo>
                                <a:lnTo>
                                  <a:pt x="86499" y="86499"/>
                                </a:lnTo>
                                <a:close/>
                              </a:path>
                            </a:pathLst>
                          </a:custGeom>
                          <a:ln w="31750">
                            <a:solidFill>
                              <a:srgbClr val="231F20"/>
                            </a:solidFill>
                            <a:prstDash val="solid"/>
                          </a:ln>
                        </wps:spPr>
                        <wps:bodyPr wrap="square" lIns="0" tIns="0" rIns="0" bIns="0" rtlCol="0">
                          <a:prstTxWarp prst="textNoShape">
                            <a:avLst/>
                          </a:prstTxWarp>
                          <a:noAutofit/>
                        </wps:bodyPr>
                      </wps:wsp>
                      <wps:wsp>
                        <wps:cNvPr id="106" name="Graphic 106"/>
                        <wps:cNvSpPr/>
                        <wps:spPr>
                          <a:xfrm>
                            <a:off x="4172004" y="1632120"/>
                            <a:ext cx="86995" cy="86995"/>
                          </a:xfrm>
                          <a:custGeom>
                            <a:avLst/>
                            <a:gdLst/>
                            <a:ahLst/>
                            <a:cxnLst/>
                            <a:rect l="l" t="t" r="r" b="b"/>
                            <a:pathLst>
                              <a:path w="86995" h="86995">
                                <a:moveTo>
                                  <a:pt x="0" y="86995"/>
                                </a:moveTo>
                                <a:lnTo>
                                  <a:pt x="86956" y="0"/>
                                </a:lnTo>
                              </a:path>
                            </a:pathLst>
                          </a:custGeom>
                          <a:ln w="31750">
                            <a:solidFill>
                              <a:srgbClr val="231F20"/>
                            </a:solidFill>
                            <a:prstDash val="solid"/>
                          </a:ln>
                        </wps:spPr>
                        <wps:bodyPr wrap="square" lIns="0" tIns="0" rIns="0" bIns="0" rtlCol="0">
                          <a:prstTxWarp prst="textNoShape">
                            <a:avLst/>
                          </a:prstTxWarp>
                          <a:noAutofit/>
                        </wps:bodyPr>
                      </wps:wsp>
                      <wps:wsp>
                        <wps:cNvPr id="107" name="Graphic 107"/>
                        <wps:cNvSpPr/>
                        <wps:spPr>
                          <a:xfrm>
                            <a:off x="4172368" y="1544928"/>
                            <a:ext cx="86995" cy="86995"/>
                          </a:xfrm>
                          <a:custGeom>
                            <a:avLst/>
                            <a:gdLst/>
                            <a:ahLst/>
                            <a:cxnLst/>
                            <a:rect l="l" t="t" r="r" b="b"/>
                            <a:pathLst>
                              <a:path w="86995" h="86995">
                                <a:moveTo>
                                  <a:pt x="86499" y="86474"/>
                                </a:moveTo>
                                <a:lnTo>
                                  <a:pt x="0" y="86474"/>
                                </a:lnTo>
                                <a:lnTo>
                                  <a:pt x="0" y="0"/>
                                </a:lnTo>
                                <a:lnTo>
                                  <a:pt x="86499" y="0"/>
                                </a:lnTo>
                                <a:lnTo>
                                  <a:pt x="86499" y="86474"/>
                                </a:lnTo>
                                <a:close/>
                              </a:path>
                            </a:pathLst>
                          </a:custGeom>
                          <a:ln w="31750">
                            <a:solidFill>
                              <a:srgbClr val="231F20"/>
                            </a:solidFill>
                            <a:prstDash val="solid"/>
                          </a:ln>
                        </wps:spPr>
                        <wps:bodyPr wrap="square" lIns="0" tIns="0" rIns="0" bIns="0" rtlCol="0">
                          <a:prstTxWarp prst="textNoShape">
                            <a:avLst/>
                          </a:prstTxWarp>
                          <a:noAutofit/>
                        </wps:bodyPr>
                      </wps:wsp>
                      <wps:wsp>
                        <wps:cNvPr id="108" name="Graphic 108"/>
                        <wps:cNvSpPr/>
                        <wps:spPr>
                          <a:xfrm>
                            <a:off x="4172004" y="1545055"/>
                            <a:ext cx="86995" cy="86995"/>
                          </a:xfrm>
                          <a:custGeom>
                            <a:avLst/>
                            <a:gdLst/>
                            <a:ahLst/>
                            <a:cxnLst/>
                            <a:rect l="l" t="t" r="r" b="b"/>
                            <a:pathLst>
                              <a:path w="86995" h="86995">
                                <a:moveTo>
                                  <a:pt x="0" y="86995"/>
                                </a:moveTo>
                                <a:lnTo>
                                  <a:pt x="86956" y="0"/>
                                </a:lnTo>
                              </a:path>
                            </a:pathLst>
                          </a:custGeom>
                          <a:ln w="31750">
                            <a:solidFill>
                              <a:srgbClr val="231F20"/>
                            </a:solidFill>
                            <a:prstDash val="solid"/>
                          </a:ln>
                        </wps:spPr>
                        <wps:bodyPr wrap="square" lIns="0" tIns="0" rIns="0" bIns="0" rtlCol="0">
                          <a:prstTxWarp prst="textNoShape">
                            <a:avLst/>
                          </a:prstTxWarp>
                          <a:noAutofit/>
                        </wps:bodyPr>
                      </wps:wsp>
                      <wps:wsp>
                        <wps:cNvPr id="109" name="Graphic 109"/>
                        <wps:cNvSpPr/>
                        <wps:spPr>
                          <a:xfrm>
                            <a:off x="4172368" y="1457844"/>
                            <a:ext cx="86995" cy="86995"/>
                          </a:xfrm>
                          <a:custGeom>
                            <a:avLst/>
                            <a:gdLst/>
                            <a:ahLst/>
                            <a:cxnLst/>
                            <a:rect l="l" t="t" r="r" b="b"/>
                            <a:pathLst>
                              <a:path w="86995" h="86995">
                                <a:moveTo>
                                  <a:pt x="86499" y="86499"/>
                                </a:moveTo>
                                <a:lnTo>
                                  <a:pt x="0" y="86499"/>
                                </a:lnTo>
                                <a:lnTo>
                                  <a:pt x="0" y="0"/>
                                </a:lnTo>
                                <a:lnTo>
                                  <a:pt x="86499" y="0"/>
                                </a:lnTo>
                                <a:lnTo>
                                  <a:pt x="86499" y="86499"/>
                                </a:lnTo>
                                <a:close/>
                              </a:path>
                            </a:pathLst>
                          </a:custGeom>
                          <a:ln w="31750">
                            <a:solidFill>
                              <a:srgbClr val="231F20"/>
                            </a:solidFill>
                            <a:prstDash val="solid"/>
                          </a:ln>
                        </wps:spPr>
                        <wps:bodyPr wrap="square" lIns="0" tIns="0" rIns="0" bIns="0" rtlCol="0">
                          <a:prstTxWarp prst="textNoShape">
                            <a:avLst/>
                          </a:prstTxWarp>
                          <a:noAutofit/>
                        </wps:bodyPr>
                      </wps:wsp>
                      <wps:wsp>
                        <wps:cNvPr id="110" name="Graphic 110"/>
                        <wps:cNvSpPr/>
                        <wps:spPr>
                          <a:xfrm>
                            <a:off x="4172004" y="1457990"/>
                            <a:ext cx="86995" cy="86995"/>
                          </a:xfrm>
                          <a:custGeom>
                            <a:avLst/>
                            <a:gdLst/>
                            <a:ahLst/>
                            <a:cxnLst/>
                            <a:rect l="l" t="t" r="r" b="b"/>
                            <a:pathLst>
                              <a:path w="86995" h="86995">
                                <a:moveTo>
                                  <a:pt x="0" y="86995"/>
                                </a:moveTo>
                                <a:lnTo>
                                  <a:pt x="86956" y="0"/>
                                </a:lnTo>
                              </a:path>
                            </a:pathLst>
                          </a:custGeom>
                          <a:ln w="31750">
                            <a:solidFill>
                              <a:srgbClr val="231F20"/>
                            </a:solidFill>
                            <a:prstDash val="solid"/>
                          </a:ln>
                        </wps:spPr>
                        <wps:bodyPr wrap="square" lIns="0" tIns="0" rIns="0" bIns="0" rtlCol="0">
                          <a:prstTxWarp prst="textNoShape">
                            <a:avLst/>
                          </a:prstTxWarp>
                          <a:noAutofit/>
                        </wps:bodyPr>
                      </wps:wsp>
                      <wps:wsp>
                        <wps:cNvPr id="111" name="Graphic 111"/>
                        <wps:cNvSpPr/>
                        <wps:spPr>
                          <a:xfrm>
                            <a:off x="4172368" y="1370773"/>
                            <a:ext cx="86995" cy="86995"/>
                          </a:xfrm>
                          <a:custGeom>
                            <a:avLst/>
                            <a:gdLst/>
                            <a:ahLst/>
                            <a:cxnLst/>
                            <a:rect l="l" t="t" r="r" b="b"/>
                            <a:pathLst>
                              <a:path w="86995" h="86995">
                                <a:moveTo>
                                  <a:pt x="86499" y="86499"/>
                                </a:moveTo>
                                <a:lnTo>
                                  <a:pt x="0" y="86499"/>
                                </a:lnTo>
                                <a:lnTo>
                                  <a:pt x="0" y="0"/>
                                </a:lnTo>
                                <a:lnTo>
                                  <a:pt x="86499" y="0"/>
                                </a:lnTo>
                                <a:lnTo>
                                  <a:pt x="86499" y="86499"/>
                                </a:lnTo>
                                <a:close/>
                              </a:path>
                            </a:pathLst>
                          </a:custGeom>
                          <a:ln w="31750">
                            <a:solidFill>
                              <a:srgbClr val="231F20"/>
                            </a:solidFill>
                            <a:prstDash val="solid"/>
                          </a:ln>
                        </wps:spPr>
                        <wps:bodyPr wrap="square" lIns="0" tIns="0" rIns="0" bIns="0" rtlCol="0">
                          <a:prstTxWarp prst="textNoShape">
                            <a:avLst/>
                          </a:prstTxWarp>
                          <a:noAutofit/>
                        </wps:bodyPr>
                      </wps:wsp>
                      <wps:wsp>
                        <wps:cNvPr id="112" name="Graphic 112"/>
                        <wps:cNvSpPr/>
                        <wps:spPr>
                          <a:xfrm>
                            <a:off x="4172004" y="1370901"/>
                            <a:ext cx="86995" cy="87630"/>
                          </a:xfrm>
                          <a:custGeom>
                            <a:avLst/>
                            <a:gdLst/>
                            <a:ahLst/>
                            <a:cxnLst/>
                            <a:rect l="l" t="t" r="r" b="b"/>
                            <a:pathLst>
                              <a:path w="86995" h="87630">
                                <a:moveTo>
                                  <a:pt x="0" y="87020"/>
                                </a:moveTo>
                                <a:lnTo>
                                  <a:pt x="86956" y="0"/>
                                </a:lnTo>
                              </a:path>
                            </a:pathLst>
                          </a:custGeom>
                          <a:ln w="31750">
                            <a:solidFill>
                              <a:srgbClr val="231F20"/>
                            </a:solidFill>
                            <a:prstDash val="solid"/>
                          </a:ln>
                        </wps:spPr>
                        <wps:bodyPr wrap="square" lIns="0" tIns="0" rIns="0" bIns="0" rtlCol="0">
                          <a:prstTxWarp prst="textNoShape">
                            <a:avLst/>
                          </a:prstTxWarp>
                          <a:noAutofit/>
                        </wps:bodyPr>
                      </wps:wsp>
                      <wps:wsp>
                        <wps:cNvPr id="113" name="Graphic 113"/>
                        <wps:cNvSpPr/>
                        <wps:spPr>
                          <a:xfrm>
                            <a:off x="4172368" y="1283714"/>
                            <a:ext cx="86995" cy="86995"/>
                          </a:xfrm>
                          <a:custGeom>
                            <a:avLst/>
                            <a:gdLst/>
                            <a:ahLst/>
                            <a:cxnLst/>
                            <a:rect l="l" t="t" r="r" b="b"/>
                            <a:pathLst>
                              <a:path w="86995" h="86995">
                                <a:moveTo>
                                  <a:pt x="86499" y="86474"/>
                                </a:moveTo>
                                <a:lnTo>
                                  <a:pt x="0" y="86474"/>
                                </a:lnTo>
                                <a:lnTo>
                                  <a:pt x="0" y="0"/>
                                </a:lnTo>
                                <a:lnTo>
                                  <a:pt x="86499" y="0"/>
                                </a:lnTo>
                                <a:lnTo>
                                  <a:pt x="86499" y="86474"/>
                                </a:lnTo>
                                <a:close/>
                              </a:path>
                            </a:pathLst>
                          </a:custGeom>
                          <a:ln w="31750">
                            <a:solidFill>
                              <a:srgbClr val="231F20"/>
                            </a:solidFill>
                            <a:prstDash val="solid"/>
                          </a:ln>
                        </wps:spPr>
                        <wps:bodyPr wrap="square" lIns="0" tIns="0" rIns="0" bIns="0" rtlCol="0">
                          <a:prstTxWarp prst="textNoShape">
                            <a:avLst/>
                          </a:prstTxWarp>
                          <a:noAutofit/>
                        </wps:bodyPr>
                      </wps:wsp>
                      <wps:wsp>
                        <wps:cNvPr id="114" name="Graphic 114"/>
                        <wps:cNvSpPr/>
                        <wps:spPr>
                          <a:xfrm>
                            <a:off x="4172004" y="1283837"/>
                            <a:ext cx="86995" cy="86995"/>
                          </a:xfrm>
                          <a:custGeom>
                            <a:avLst/>
                            <a:gdLst/>
                            <a:ahLst/>
                            <a:cxnLst/>
                            <a:rect l="l" t="t" r="r" b="b"/>
                            <a:pathLst>
                              <a:path w="86995" h="86995">
                                <a:moveTo>
                                  <a:pt x="0" y="86995"/>
                                </a:moveTo>
                                <a:lnTo>
                                  <a:pt x="86956" y="0"/>
                                </a:lnTo>
                              </a:path>
                            </a:pathLst>
                          </a:custGeom>
                          <a:ln w="31750">
                            <a:solidFill>
                              <a:srgbClr val="231F20"/>
                            </a:solidFill>
                            <a:prstDash val="solid"/>
                          </a:ln>
                        </wps:spPr>
                        <wps:bodyPr wrap="square" lIns="0" tIns="0" rIns="0" bIns="0" rtlCol="0">
                          <a:prstTxWarp prst="textNoShape">
                            <a:avLst/>
                          </a:prstTxWarp>
                          <a:noAutofit/>
                        </wps:bodyPr>
                      </wps:wsp>
                      <wps:wsp>
                        <wps:cNvPr id="115" name="Graphic 115"/>
                        <wps:cNvSpPr/>
                        <wps:spPr>
                          <a:xfrm>
                            <a:off x="4085310" y="1283714"/>
                            <a:ext cx="86995" cy="86995"/>
                          </a:xfrm>
                          <a:custGeom>
                            <a:avLst/>
                            <a:gdLst/>
                            <a:ahLst/>
                            <a:cxnLst/>
                            <a:rect l="l" t="t" r="r" b="b"/>
                            <a:pathLst>
                              <a:path w="86995" h="86995">
                                <a:moveTo>
                                  <a:pt x="86474" y="86474"/>
                                </a:moveTo>
                                <a:lnTo>
                                  <a:pt x="0" y="86474"/>
                                </a:lnTo>
                                <a:lnTo>
                                  <a:pt x="0" y="0"/>
                                </a:lnTo>
                                <a:lnTo>
                                  <a:pt x="86474" y="0"/>
                                </a:lnTo>
                                <a:lnTo>
                                  <a:pt x="86474" y="86474"/>
                                </a:lnTo>
                                <a:close/>
                              </a:path>
                            </a:pathLst>
                          </a:custGeom>
                          <a:ln w="31750">
                            <a:solidFill>
                              <a:srgbClr val="231F20"/>
                            </a:solidFill>
                            <a:prstDash val="solid"/>
                          </a:ln>
                        </wps:spPr>
                        <wps:bodyPr wrap="square" lIns="0" tIns="0" rIns="0" bIns="0" rtlCol="0">
                          <a:prstTxWarp prst="textNoShape">
                            <a:avLst/>
                          </a:prstTxWarp>
                          <a:noAutofit/>
                        </wps:bodyPr>
                      </wps:wsp>
                      <wps:wsp>
                        <wps:cNvPr id="116" name="Graphic 116"/>
                        <wps:cNvSpPr/>
                        <wps:spPr>
                          <a:xfrm>
                            <a:off x="4084939" y="1283837"/>
                            <a:ext cx="86995" cy="86995"/>
                          </a:xfrm>
                          <a:custGeom>
                            <a:avLst/>
                            <a:gdLst/>
                            <a:ahLst/>
                            <a:cxnLst/>
                            <a:rect l="l" t="t" r="r" b="b"/>
                            <a:pathLst>
                              <a:path w="86995" h="86995">
                                <a:moveTo>
                                  <a:pt x="0" y="86995"/>
                                </a:moveTo>
                                <a:lnTo>
                                  <a:pt x="86944" y="0"/>
                                </a:lnTo>
                              </a:path>
                            </a:pathLst>
                          </a:custGeom>
                          <a:ln w="31750">
                            <a:solidFill>
                              <a:srgbClr val="231F20"/>
                            </a:solidFill>
                            <a:prstDash val="solid"/>
                          </a:ln>
                        </wps:spPr>
                        <wps:bodyPr wrap="square" lIns="0" tIns="0" rIns="0" bIns="0" rtlCol="0">
                          <a:prstTxWarp prst="textNoShape">
                            <a:avLst/>
                          </a:prstTxWarp>
                          <a:noAutofit/>
                        </wps:bodyPr>
                      </wps:wsp>
                      <wps:wsp>
                        <wps:cNvPr id="117" name="Graphic 117"/>
                        <wps:cNvSpPr/>
                        <wps:spPr>
                          <a:xfrm>
                            <a:off x="3998239" y="1283714"/>
                            <a:ext cx="86995" cy="86995"/>
                          </a:xfrm>
                          <a:custGeom>
                            <a:avLst/>
                            <a:gdLst/>
                            <a:ahLst/>
                            <a:cxnLst/>
                            <a:rect l="l" t="t" r="r" b="b"/>
                            <a:pathLst>
                              <a:path w="86995" h="86995">
                                <a:moveTo>
                                  <a:pt x="86474" y="86474"/>
                                </a:moveTo>
                                <a:lnTo>
                                  <a:pt x="0" y="86474"/>
                                </a:lnTo>
                                <a:lnTo>
                                  <a:pt x="0" y="0"/>
                                </a:lnTo>
                                <a:lnTo>
                                  <a:pt x="86474" y="0"/>
                                </a:lnTo>
                                <a:lnTo>
                                  <a:pt x="86474" y="86474"/>
                                </a:lnTo>
                                <a:close/>
                              </a:path>
                            </a:pathLst>
                          </a:custGeom>
                          <a:ln w="31750">
                            <a:solidFill>
                              <a:srgbClr val="231F20"/>
                            </a:solidFill>
                            <a:prstDash val="solid"/>
                          </a:ln>
                        </wps:spPr>
                        <wps:bodyPr wrap="square" lIns="0" tIns="0" rIns="0" bIns="0" rtlCol="0">
                          <a:prstTxWarp prst="textNoShape">
                            <a:avLst/>
                          </a:prstTxWarp>
                          <a:noAutofit/>
                        </wps:bodyPr>
                      </wps:wsp>
                      <wps:wsp>
                        <wps:cNvPr id="118" name="Graphic 118"/>
                        <wps:cNvSpPr/>
                        <wps:spPr>
                          <a:xfrm>
                            <a:off x="3997874" y="1283837"/>
                            <a:ext cx="86995" cy="86995"/>
                          </a:xfrm>
                          <a:custGeom>
                            <a:avLst/>
                            <a:gdLst/>
                            <a:ahLst/>
                            <a:cxnLst/>
                            <a:rect l="l" t="t" r="r" b="b"/>
                            <a:pathLst>
                              <a:path w="86995" h="86995">
                                <a:moveTo>
                                  <a:pt x="0" y="86995"/>
                                </a:moveTo>
                                <a:lnTo>
                                  <a:pt x="86918" y="0"/>
                                </a:lnTo>
                              </a:path>
                            </a:pathLst>
                          </a:custGeom>
                          <a:ln w="31750">
                            <a:solidFill>
                              <a:srgbClr val="231F20"/>
                            </a:solidFill>
                            <a:prstDash val="solid"/>
                          </a:ln>
                        </wps:spPr>
                        <wps:bodyPr wrap="square" lIns="0" tIns="0" rIns="0" bIns="0" rtlCol="0">
                          <a:prstTxWarp prst="textNoShape">
                            <a:avLst/>
                          </a:prstTxWarp>
                          <a:noAutofit/>
                        </wps:bodyPr>
                      </wps:wsp>
                      <wps:wsp>
                        <wps:cNvPr id="119" name="Graphic 119"/>
                        <wps:cNvSpPr/>
                        <wps:spPr>
                          <a:xfrm>
                            <a:off x="3911168" y="1283714"/>
                            <a:ext cx="86995" cy="86995"/>
                          </a:xfrm>
                          <a:custGeom>
                            <a:avLst/>
                            <a:gdLst/>
                            <a:ahLst/>
                            <a:cxnLst/>
                            <a:rect l="l" t="t" r="r" b="b"/>
                            <a:pathLst>
                              <a:path w="86995" h="86995">
                                <a:moveTo>
                                  <a:pt x="86487" y="86474"/>
                                </a:moveTo>
                                <a:lnTo>
                                  <a:pt x="0" y="86474"/>
                                </a:lnTo>
                                <a:lnTo>
                                  <a:pt x="0" y="0"/>
                                </a:lnTo>
                                <a:lnTo>
                                  <a:pt x="86487" y="0"/>
                                </a:lnTo>
                                <a:lnTo>
                                  <a:pt x="86487" y="86474"/>
                                </a:lnTo>
                                <a:close/>
                              </a:path>
                            </a:pathLst>
                          </a:custGeom>
                          <a:ln w="31750">
                            <a:solidFill>
                              <a:srgbClr val="231F20"/>
                            </a:solidFill>
                            <a:prstDash val="solid"/>
                          </a:ln>
                        </wps:spPr>
                        <wps:bodyPr wrap="square" lIns="0" tIns="0" rIns="0" bIns="0" rtlCol="0">
                          <a:prstTxWarp prst="textNoShape">
                            <a:avLst/>
                          </a:prstTxWarp>
                          <a:noAutofit/>
                        </wps:bodyPr>
                      </wps:wsp>
                      <wps:wsp>
                        <wps:cNvPr id="120" name="Graphic 120"/>
                        <wps:cNvSpPr/>
                        <wps:spPr>
                          <a:xfrm>
                            <a:off x="3910786" y="1283837"/>
                            <a:ext cx="86995" cy="86995"/>
                          </a:xfrm>
                          <a:custGeom>
                            <a:avLst/>
                            <a:gdLst/>
                            <a:ahLst/>
                            <a:cxnLst/>
                            <a:rect l="l" t="t" r="r" b="b"/>
                            <a:pathLst>
                              <a:path w="86995" h="86995">
                                <a:moveTo>
                                  <a:pt x="0" y="86995"/>
                                </a:moveTo>
                                <a:lnTo>
                                  <a:pt x="86944" y="0"/>
                                </a:lnTo>
                              </a:path>
                            </a:pathLst>
                          </a:custGeom>
                          <a:ln w="31750">
                            <a:solidFill>
                              <a:srgbClr val="231F20"/>
                            </a:solidFill>
                            <a:prstDash val="solid"/>
                          </a:ln>
                        </wps:spPr>
                        <wps:bodyPr wrap="square" lIns="0" tIns="0" rIns="0" bIns="0" rtlCol="0">
                          <a:prstTxWarp prst="textNoShape">
                            <a:avLst/>
                          </a:prstTxWarp>
                          <a:noAutofit/>
                        </wps:bodyPr>
                      </wps:wsp>
                      <wps:wsp>
                        <wps:cNvPr id="121" name="Graphic 121"/>
                        <wps:cNvSpPr/>
                        <wps:spPr>
                          <a:xfrm>
                            <a:off x="3824075" y="1283718"/>
                            <a:ext cx="86995" cy="86995"/>
                          </a:xfrm>
                          <a:custGeom>
                            <a:avLst/>
                            <a:gdLst/>
                            <a:ahLst/>
                            <a:cxnLst/>
                            <a:rect l="l" t="t" r="r" b="b"/>
                            <a:pathLst>
                              <a:path w="86995" h="86995">
                                <a:moveTo>
                                  <a:pt x="86487" y="0"/>
                                </a:moveTo>
                                <a:lnTo>
                                  <a:pt x="86487" y="86474"/>
                                </a:lnTo>
                                <a:lnTo>
                                  <a:pt x="0" y="86474"/>
                                </a:lnTo>
                                <a:lnTo>
                                  <a:pt x="86487" y="0"/>
                                </a:lnTo>
                                <a:close/>
                              </a:path>
                            </a:pathLst>
                          </a:custGeom>
                          <a:ln w="31750">
                            <a:solidFill>
                              <a:srgbClr val="231F20"/>
                            </a:solidFill>
                            <a:prstDash val="solid"/>
                          </a:ln>
                        </wps:spPr>
                        <wps:bodyPr wrap="square" lIns="0" tIns="0" rIns="0" bIns="0" rtlCol="0">
                          <a:prstTxWarp prst="textNoShape">
                            <a:avLst/>
                          </a:prstTxWarp>
                          <a:noAutofit/>
                        </wps:bodyPr>
                      </wps:wsp>
                      <wps:wsp>
                        <wps:cNvPr id="122" name="Graphic 122"/>
                        <wps:cNvSpPr/>
                        <wps:spPr>
                          <a:xfrm>
                            <a:off x="4172368" y="1196643"/>
                            <a:ext cx="86995" cy="86995"/>
                          </a:xfrm>
                          <a:custGeom>
                            <a:avLst/>
                            <a:gdLst/>
                            <a:ahLst/>
                            <a:cxnLst/>
                            <a:rect l="l" t="t" r="r" b="b"/>
                            <a:pathLst>
                              <a:path w="86995" h="86995">
                                <a:moveTo>
                                  <a:pt x="86499" y="86474"/>
                                </a:moveTo>
                                <a:lnTo>
                                  <a:pt x="0" y="86474"/>
                                </a:lnTo>
                                <a:lnTo>
                                  <a:pt x="0" y="0"/>
                                </a:lnTo>
                                <a:lnTo>
                                  <a:pt x="86499" y="0"/>
                                </a:lnTo>
                                <a:lnTo>
                                  <a:pt x="86499" y="86474"/>
                                </a:lnTo>
                                <a:close/>
                              </a:path>
                            </a:pathLst>
                          </a:custGeom>
                          <a:ln w="31750">
                            <a:solidFill>
                              <a:srgbClr val="231F20"/>
                            </a:solidFill>
                            <a:prstDash val="solid"/>
                          </a:ln>
                        </wps:spPr>
                        <wps:bodyPr wrap="square" lIns="0" tIns="0" rIns="0" bIns="0" rtlCol="0">
                          <a:prstTxWarp prst="textNoShape">
                            <a:avLst/>
                          </a:prstTxWarp>
                          <a:noAutofit/>
                        </wps:bodyPr>
                      </wps:wsp>
                      <wps:wsp>
                        <wps:cNvPr id="123" name="Graphic 123"/>
                        <wps:cNvSpPr/>
                        <wps:spPr>
                          <a:xfrm>
                            <a:off x="4172004" y="1196747"/>
                            <a:ext cx="86995" cy="86995"/>
                          </a:xfrm>
                          <a:custGeom>
                            <a:avLst/>
                            <a:gdLst/>
                            <a:ahLst/>
                            <a:cxnLst/>
                            <a:rect l="l" t="t" r="r" b="b"/>
                            <a:pathLst>
                              <a:path w="86995" h="86995">
                                <a:moveTo>
                                  <a:pt x="0" y="86995"/>
                                </a:moveTo>
                                <a:lnTo>
                                  <a:pt x="86956" y="0"/>
                                </a:lnTo>
                              </a:path>
                            </a:pathLst>
                          </a:custGeom>
                          <a:ln w="31750">
                            <a:solidFill>
                              <a:srgbClr val="231F20"/>
                            </a:solidFill>
                            <a:prstDash val="solid"/>
                          </a:ln>
                        </wps:spPr>
                        <wps:bodyPr wrap="square" lIns="0" tIns="0" rIns="0" bIns="0" rtlCol="0">
                          <a:prstTxWarp prst="textNoShape">
                            <a:avLst/>
                          </a:prstTxWarp>
                          <a:noAutofit/>
                        </wps:bodyPr>
                      </wps:wsp>
                      <wps:wsp>
                        <wps:cNvPr id="124" name="Graphic 124"/>
                        <wps:cNvSpPr/>
                        <wps:spPr>
                          <a:xfrm>
                            <a:off x="4172368" y="1109572"/>
                            <a:ext cx="86995" cy="86995"/>
                          </a:xfrm>
                          <a:custGeom>
                            <a:avLst/>
                            <a:gdLst/>
                            <a:ahLst/>
                            <a:cxnLst/>
                            <a:rect l="l" t="t" r="r" b="b"/>
                            <a:pathLst>
                              <a:path w="86995" h="86995">
                                <a:moveTo>
                                  <a:pt x="86499" y="86487"/>
                                </a:moveTo>
                                <a:lnTo>
                                  <a:pt x="0" y="86487"/>
                                </a:lnTo>
                                <a:lnTo>
                                  <a:pt x="0" y="0"/>
                                </a:lnTo>
                                <a:lnTo>
                                  <a:pt x="86499" y="0"/>
                                </a:lnTo>
                                <a:lnTo>
                                  <a:pt x="86499" y="86487"/>
                                </a:lnTo>
                                <a:close/>
                              </a:path>
                            </a:pathLst>
                          </a:custGeom>
                          <a:ln w="31749">
                            <a:solidFill>
                              <a:srgbClr val="231F20"/>
                            </a:solidFill>
                            <a:prstDash val="solid"/>
                          </a:ln>
                        </wps:spPr>
                        <wps:bodyPr wrap="square" lIns="0" tIns="0" rIns="0" bIns="0" rtlCol="0">
                          <a:prstTxWarp prst="textNoShape">
                            <a:avLst/>
                          </a:prstTxWarp>
                          <a:noAutofit/>
                        </wps:bodyPr>
                      </wps:wsp>
                      <wps:wsp>
                        <wps:cNvPr id="125" name="Graphic 125"/>
                        <wps:cNvSpPr/>
                        <wps:spPr>
                          <a:xfrm>
                            <a:off x="4172004" y="1109684"/>
                            <a:ext cx="86995" cy="86995"/>
                          </a:xfrm>
                          <a:custGeom>
                            <a:avLst/>
                            <a:gdLst/>
                            <a:ahLst/>
                            <a:cxnLst/>
                            <a:rect l="l" t="t" r="r" b="b"/>
                            <a:pathLst>
                              <a:path w="86995" h="86995">
                                <a:moveTo>
                                  <a:pt x="0" y="86995"/>
                                </a:moveTo>
                                <a:lnTo>
                                  <a:pt x="86956" y="0"/>
                                </a:lnTo>
                              </a:path>
                            </a:pathLst>
                          </a:custGeom>
                          <a:ln w="31750">
                            <a:solidFill>
                              <a:srgbClr val="231F20"/>
                            </a:solidFill>
                            <a:prstDash val="solid"/>
                          </a:ln>
                        </wps:spPr>
                        <wps:bodyPr wrap="square" lIns="0" tIns="0" rIns="0" bIns="0" rtlCol="0">
                          <a:prstTxWarp prst="textNoShape">
                            <a:avLst/>
                          </a:prstTxWarp>
                          <a:noAutofit/>
                        </wps:bodyPr>
                      </wps:wsp>
                      <wps:wsp>
                        <wps:cNvPr id="126" name="Graphic 126"/>
                        <wps:cNvSpPr/>
                        <wps:spPr>
                          <a:xfrm>
                            <a:off x="4024854" y="1457700"/>
                            <a:ext cx="100965" cy="100965"/>
                          </a:xfrm>
                          <a:custGeom>
                            <a:avLst/>
                            <a:gdLst/>
                            <a:ahLst/>
                            <a:cxnLst/>
                            <a:rect l="l" t="t" r="r" b="b"/>
                            <a:pathLst>
                              <a:path w="100965" h="100965">
                                <a:moveTo>
                                  <a:pt x="50177" y="0"/>
                                </a:moveTo>
                                <a:lnTo>
                                  <a:pt x="30646" y="3943"/>
                                </a:lnTo>
                                <a:lnTo>
                                  <a:pt x="14697" y="14697"/>
                                </a:lnTo>
                                <a:lnTo>
                                  <a:pt x="3943" y="30646"/>
                                </a:lnTo>
                                <a:lnTo>
                                  <a:pt x="0" y="50177"/>
                                </a:lnTo>
                                <a:lnTo>
                                  <a:pt x="3943" y="69723"/>
                                </a:lnTo>
                                <a:lnTo>
                                  <a:pt x="14697" y="85680"/>
                                </a:lnTo>
                                <a:lnTo>
                                  <a:pt x="30646" y="96437"/>
                                </a:lnTo>
                                <a:lnTo>
                                  <a:pt x="50177" y="100380"/>
                                </a:lnTo>
                                <a:lnTo>
                                  <a:pt x="69703" y="96437"/>
                                </a:lnTo>
                                <a:lnTo>
                                  <a:pt x="85653" y="85680"/>
                                </a:lnTo>
                                <a:lnTo>
                                  <a:pt x="96410" y="69723"/>
                                </a:lnTo>
                                <a:lnTo>
                                  <a:pt x="100355" y="50177"/>
                                </a:lnTo>
                                <a:lnTo>
                                  <a:pt x="96410" y="30646"/>
                                </a:lnTo>
                                <a:lnTo>
                                  <a:pt x="85653" y="14697"/>
                                </a:lnTo>
                                <a:lnTo>
                                  <a:pt x="69703" y="3943"/>
                                </a:lnTo>
                                <a:lnTo>
                                  <a:pt x="50177" y="0"/>
                                </a:lnTo>
                                <a:close/>
                              </a:path>
                            </a:pathLst>
                          </a:custGeom>
                          <a:solidFill>
                            <a:srgbClr val="231F20"/>
                          </a:solidFill>
                        </wps:spPr>
                        <wps:bodyPr wrap="square" lIns="0" tIns="0" rIns="0" bIns="0" rtlCol="0">
                          <a:prstTxWarp prst="textNoShape">
                            <a:avLst/>
                          </a:prstTxWarp>
                          <a:noAutofit/>
                        </wps:bodyPr>
                      </wps:wsp>
                      <wps:wsp>
                        <wps:cNvPr id="127" name="Graphic 127"/>
                        <wps:cNvSpPr/>
                        <wps:spPr>
                          <a:xfrm>
                            <a:off x="4007916" y="1682564"/>
                            <a:ext cx="135255" cy="123825"/>
                          </a:xfrm>
                          <a:custGeom>
                            <a:avLst/>
                            <a:gdLst/>
                            <a:ahLst/>
                            <a:cxnLst/>
                            <a:rect l="l" t="t" r="r" b="b"/>
                            <a:pathLst>
                              <a:path w="135255" h="123825">
                                <a:moveTo>
                                  <a:pt x="135077" y="0"/>
                                </a:moveTo>
                                <a:lnTo>
                                  <a:pt x="0" y="0"/>
                                </a:lnTo>
                                <a:lnTo>
                                  <a:pt x="0" y="123799"/>
                                </a:lnTo>
                                <a:lnTo>
                                  <a:pt x="135077" y="123799"/>
                                </a:lnTo>
                                <a:lnTo>
                                  <a:pt x="135077" y="0"/>
                                </a:lnTo>
                                <a:close/>
                              </a:path>
                            </a:pathLst>
                          </a:custGeom>
                          <a:solidFill>
                            <a:srgbClr val="6A1C31"/>
                          </a:solidFill>
                        </wps:spPr>
                        <wps:bodyPr wrap="square" lIns="0" tIns="0" rIns="0" bIns="0" rtlCol="0">
                          <a:prstTxWarp prst="textNoShape">
                            <a:avLst/>
                          </a:prstTxWarp>
                          <a:noAutofit/>
                        </wps:bodyPr>
                      </wps:wsp>
                      <wps:wsp>
                        <wps:cNvPr id="128" name="Graphic 128"/>
                        <wps:cNvSpPr/>
                        <wps:spPr>
                          <a:xfrm>
                            <a:off x="4014878" y="1621138"/>
                            <a:ext cx="60325" cy="60325"/>
                          </a:xfrm>
                          <a:custGeom>
                            <a:avLst/>
                            <a:gdLst/>
                            <a:ahLst/>
                            <a:cxnLst/>
                            <a:rect l="l" t="t" r="r" b="b"/>
                            <a:pathLst>
                              <a:path w="60325" h="60325">
                                <a:moveTo>
                                  <a:pt x="0" y="59728"/>
                                </a:moveTo>
                                <a:lnTo>
                                  <a:pt x="59715" y="0"/>
                                </a:lnTo>
                              </a:path>
                            </a:pathLst>
                          </a:custGeom>
                          <a:ln w="14287">
                            <a:solidFill>
                              <a:srgbClr val="9D9FA2"/>
                            </a:solidFill>
                            <a:prstDash val="solid"/>
                          </a:ln>
                        </wps:spPr>
                        <wps:bodyPr wrap="square" lIns="0" tIns="0" rIns="0" bIns="0" rtlCol="0">
                          <a:prstTxWarp prst="textNoShape">
                            <a:avLst/>
                          </a:prstTxWarp>
                          <a:noAutofit/>
                        </wps:bodyPr>
                      </wps:wsp>
                      <wps:wsp>
                        <wps:cNvPr id="129" name="Graphic 129"/>
                        <wps:cNvSpPr/>
                        <wps:spPr>
                          <a:xfrm>
                            <a:off x="1340751" y="1818428"/>
                            <a:ext cx="969010" cy="317500"/>
                          </a:xfrm>
                          <a:custGeom>
                            <a:avLst/>
                            <a:gdLst/>
                            <a:ahLst/>
                            <a:cxnLst/>
                            <a:rect l="l" t="t" r="r" b="b"/>
                            <a:pathLst>
                              <a:path w="969010" h="317500">
                                <a:moveTo>
                                  <a:pt x="95135" y="0"/>
                                </a:moveTo>
                                <a:lnTo>
                                  <a:pt x="0" y="0"/>
                                </a:lnTo>
                                <a:lnTo>
                                  <a:pt x="0" y="317119"/>
                                </a:lnTo>
                                <a:lnTo>
                                  <a:pt x="95135" y="317119"/>
                                </a:lnTo>
                                <a:lnTo>
                                  <a:pt x="95135" y="0"/>
                                </a:lnTo>
                                <a:close/>
                              </a:path>
                              <a:path w="969010" h="317500">
                                <a:moveTo>
                                  <a:pt x="313486" y="0"/>
                                </a:moveTo>
                                <a:lnTo>
                                  <a:pt x="218351" y="0"/>
                                </a:lnTo>
                                <a:lnTo>
                                  <a:pt x="218351" y="317119"/>
                                </a:lnTo>
                                <a:lnTo>
                                  <a:pt x="313486" y="317119"/>
                                </a:lnTo>
                                <a:lnTo>
                                  <a:pt x="313486" y="0"/>
                                </a:lnTo>
                                <a:close/>
                              </a:path>
                              <a:path w="969010" h="317500">
                                <a:moveTo>
                                  <a:pt x="531850" y="0"/>
                                </a:moveTo>
                                <a:lnTo>
                                  <a:pt x="436714" y="0"/>
                                </a:lnTo>
                                <a:lnTo>
                                  <a:pt x="436714" y="317119"/>
                                </a:lnTo>
                                <a:lnTo>
                                  <a:pt x="531850" y="317119"/>
                                </a:lnTo>
                                <a:lnTo>
                                  <a:pt x="531850" y="0"/>
                                </a:lnTo>
                                <a:close/>
                              </a:path>
                              <a:path w="969010" h="317500">
                                <a:moveTo>
                                  <a:pt x="750201" y="0"/>
                                </a:moveTo>
                                <a:lnTo>
                                  <a:pt x="655066" y="0"/>
                                </a:lnTo>
                                <a:lnTo>
                                  <a:pt x="655066" y="317119"/>
                                </a:lnTo>
                                <a:lnTo>
                                  <a:pt x="750201" y="317119"/>
                                </a:lnTo>
                                <a:lnTo>
                                  <a:pt x="750201" y="0"/>
                                </a:lnTo>
                                <a:close/>
                              </a:path>
                              <a:path w="969010" h="317500">
                                <a:moveTo>
                                  <a:pt x="968552" y="0"/>
                                </a:moveTo>
                                <a:lnTo>
                                  <a:pt x="873404" y="0"/>
                                </a:lnTo>
                                <a:lnTo>
                                  <a:pt x="873404" y="317119"/>
                                </a:lnTo>
                                <a:lnTo>
                                  <a:pt x="968552" y="317119"/>
                                </a:lnTo>
                                <a:lnTo>
                                  <a:pt x="968552" y="0"/>
                                </a:lnTo>
                                <a:close/>
                              </a:path>
                            </a:pathLst>
                          </a:custGeom>
                          <a:solidFill>
                            <a:srgbClr val="231F20">
                              <a:alpha val="25000"/>
                            </a:srgbClr>
                          </a:solidFill>
                        </wps:spPr>
                        <wps:bodyPr wrap="square" lIns="0" tIns="0" rIns="0" bIns="0" rtlCol="0">
                          <a:prstTxWarp prst="textNoShape">
                            <a:avLst/>
                          </a:prstTxWarp>
                          <a:noAutofit/>
                        </wps:bodyPr>
                      </wps:wsp>
                      <wps:wsp>
                        <wps:cNvPr id="130" name="Graphic 130"/>
                        <wps:cNvSpPr/>
                        <wps:spPr>
                          <a:xfrm>
                            <a:off x="1338143" y="1885008"/>
                            <a:ext cx="1480820" cy="1270"/>
                          </a:xfrm>
                          <a:custGeom>
                            <a:avLst/>
                            <a:gdLst/>
                            <a:ahLst/>
                            <a:cxnLst/>
                            <a:rect l="l" t="t" r="r" b="b"/>
                            <a:pathLst>
                              <a:path w="1480820" h="0">
                                <a:moveTo>
                                  <a:pt x="0" y="0"/>
                                </a:moveTo>
                                <a:lnTo>
                                  <a:pt x="1480654" y="0"/>
                                </a:lnTo>
                              </a:path>
                            </a:pathLst>
                          </a:custGeom>
                          <a:ln w="25400">
                            <a:solidFill>
                              <a:srgbClr val="FFFFFF"/>
                            </a:solidFill>
                            <a:prstDash val="solid"/>
                          </a:ln>
                        </wps:spPr>
                        <wps:bodyPr wrap="square" lIns="0" tIns="0" rIns="0" bIns="0" rtlCol="0">
                          <a:prstTxWarp prst="textNoShape">
                            <a:avLst/>
                          </a:prstTxWarp>
                          <a:noAutofit/>
                        </wps:bodyPr>
                      </wps:wsp>
                      <pic:pic>
                        <pic:nvPicPr>
                          <pic:cNvPr id="131" name="Image 131"/>
                          <pic:cNvPicPr/>
                        </pic:nvPicPr>
                        <pic:blipFill>
                          <a:blip r:embed="rId9" cstate="print"/>
                          <a:stretch>
                            <a:fillRect/>
                          </a:stretch>
                        </pic:blipFill>
                        <pic:spPr>
                          <a:xfrm>
                            <a:off x="1807616" y="470374"/>
                            <a:ext cx="824826" cy="50812"/>
                          </a:xfrm>
                          <a:prstGeom prst="rect">
                            <a:avLst/>
                          </a:prstGeom>
                        </pic:spPr>
                      </pic:pic>
                      <wps:wsp>
                        <wps:cNvPr id="132" name="Graphic 132"/>
                        <wps:cNvSpPr/>
                        <wps:spPr>
                          <a:xfrm>
                            <a:off x="2616174" y="4"/>
                            <a:ext cx="998855" cy="999490"/>
                          </a:xfrm>
                          <a:custGeom>
                            <a:avLst/>
                            <a:gdLst/>
                            <a:ahLst/>
                            <a:cxnLst/>
                            <a:rect l="l" t="t" r="r" b="b"/>
                            <a:pathLst>
                              <a:path w="998855" h="999490">
                                <a:moveTo>
                                  <a:pt x="631609" y="596874"/>
                                </a:moveTo>
                                <a:lnTo>
                                  <a:pt x="364566" y="597027"/>
                                </a:lnTo>
                                <a:lnTo>
                                  <a:pt x="363842" y="998956"/>
                                </a:lnTo>
                                <a:lnTo>
                                  <a:pt x="504964" y="998791"/>
                                </a:lnTo>
                                <a:lnTo>
                                  <a:pt x="631609" y="596874"/>
                                </a:lnTo>
                                <a:close/>
                              </a:path>
                              <a:path w="998855" h="999490">
                                <a:moveTo>
                                  <a:pt x="998283" y="499364"/>
                                </a:moveTo>
                                <a:lnTo>
                                  <a:pt x="990739" y="461365"/>
                                </a:lnTo>
                                <a:lnTo>
                                  <a:pt x="969924" y="430339"/>
                                </a:lnTo>
                                <a:lnTo>
                                  <a:pt x="938987" y="409409"/>
                                </a:lnTo>
                                <a:lnTo>
                                  <a:pt x="901065" y="401726"/>
                                </a:lnTo>
                                <a:lnTo>
                                  <a:pt x="631532" y="401828"/>
                                </a:lnTo>
                                <a:lnTo>
                                  <a:pt x="504964" y="177"/>
                                </a:lnTo>
                                <a:lnTo>
                                  <a:pt x="363842" y="0"/>
                                </a:lnTo>
                                <a:lnTo>
                                  <a:pt x="364566" y="401688"/>
                                </a:lnTo>
                                <a:lnTo>
                                  <a:pt x="495452" y="401878"/>
                                </a:lnTo>
                                <a:lnTo>
                                  <a:pt x="105410" y="402005"/>
                                </a:lnTo>
                                <a:lnTo>
                                  <a:pt x="39814" y="254431"/>
                                </a:lnTo>
                                <a:lnTo>
                                  <a:pt x="38" y="254279"/>
                                </a:lnTo>
                                <a:lnTo>
                                  <a:pt x="63" y="402031"/>
                                </a:lnTo>
                                <a:lnTo>
                                  <a:pt x="0" y="597014"/>
                                </a:lnTo>
                                <a:lnTo>
                                  <a:pt x="38" y="744956"/>
                                </a:lnTo>
                                <a:lnTo>
                                  <a:pt x="39814" y="744778"/>
                                </a:lnTo>
                                <a:lnTo>
                                  <a:pt x="105524" y="596976"/>
                                </a:lnTo>
                                <a:lnTo>
                                  <a:pt x="900772" y="596620"/>
                                </a:lnTo>
                                <a:lnTo>
                                  <a:pt x="938695" y="589038"/>
                                </a:lnTo>
                                <a:lnTo>
                                  <a:pt x="969708" y="568210"/>
                                </a:lnTo>
                                <a:lnTo>
                                  <a:pt x="990625" y="537273"/>
                                </a:lnTo>
                                <a:lnTo>
                                  <a:pt x="998283" y="499364"/>
                                </a:lnTo>
                                <a:close/>
                              </a:path>
                            </a:pathLst>
                          </a:custGeom>
                          <a:solidFill>
                            <a:srgbClr val="231F20"/>
                          </a:solidFill>
                        </wps:spPr>
                        <wps:bodyPr wrap="square" lIns="0" tIns="0" rIns="0" bIns="0" rtlCol="0">
                          <a:prstTxWarp prst="textNoShape">
                            <a:avLst/>
                          </a:prstTxWarp>
                          <a:noAutofit/>
                        </wps:bodyPr>
                      </wps:wsp>
                      <wps:wsp>
                        <wps:cNvPr id="133" name="Graphic 133"/>
                        <wps:cNvSpPr/>
                        <wps:spPr>
                          <a:xfrm>
                            <a:off x="3402050" y="474743"/>
                            <a:ext cx="130175" cy="43180"/>
                          </a:xfrm>
                          <a:custGeom>
                            <a:avLst/>
                            <a:gdLst/>
                            <a:ahLst/>
                            <a:cxnLst/>
                            <a:rect l="l" t="t" r="r" b="b"/>
                            <a:pathLst>
                              <a:path w="130175" h="43180">
                                <a:moveTo>
                                  <a:pt x="43014" y="21501"/>
                                </a:moveTo>
                                <a:lnTo>
                                  <a:pt x="41313" y="13131"/>
                                </a:lnTo>
                                <a:lnTo>
                                  <a:pt x="36703" y="6299"/>
                                </a:lnTo>
                                <a:lnTo>
                                  <a:pt x="29870" y="1689"/>
                                </a:lnTo>
                                <a:lnTo>
                                  <a:pt x="21513" y="0"/>
                                </a:lnTo>
                                <a:lnTo>
                                  <a:pt x="13131" y="1689"/>
                                </a:lnTo>
                                <a:lnTo>
                                  <a:pt x="6299" y="6299"/>
                                </a:lnTo>
                                <a:lnTo>
                                  <a:pt x="1689" y="13131"/>
                                </a:lnTo>
                                <a:lnTo>
                                  <a:pt x="0" y="21501"/>
                                </a:lnTo>
                                <a:lnTo>
                                  <a:pt x="1689" y="29870"/>
                                </a:lnTo>
                                <a:lnTo>
                                  <a:pt x="6299" y="36703"/>
                                </a:lnTo>
                                <a:lnTo>
                                  <a:pt x="13131" y="41300"/>
                                </a:lnTo>
                                <a:lnTo>
                                  <a:pt x="21513" y="42976"/>
                                </a:lnTo>
                                <a:lnTo>
                                  <a:pt x="29870" y="41300"/>
                                </a:lnTo>
                                <a:lnTo>
                                  <a:pt x="36703" y="36703"/>
                                </a:lnTo>
                                <a:lnTo>
                                  <a:pt x="41313" y="29870"/>
                                </a:lnTo>
                                <a:lnTo>
                                  <a:pt x="43014" y="21501"/>
                                </a:lnTo>
                                <a:close/>
                              </a:path>
                              <a:path w="130175" h="43180">
                                <a:moveTo>
                                  <a:pt x="129628" y="21501"/>
                                </a:moveTo>
                                <a:lnTo>
                                  <a:pt x="127939" y="13131"/>
                                </a:lnTo>
                                <a:lnTo>
                                  <a:pt x="123329" y="6299"/>
                                </a:lnTo>
                                <a:lnTo>
                                  <a:pt x="116497" y="1689"/>
                                </a:lnTo>
                                <a:lnTo>
                                  <a:pt x="108140" y="0"/>
                                </a:lnTo>
                                <a:lnTo>
                                  <a:pt x="99758" y="1689"/>
                                </a:lnTo>
                                <a:lnTo>
                                  <a:pt x="92925" y="6299"/>
                                </a:lnTo>
                                <a:lnTo>
                                  <a:pt x="88315" y="13131"/>
                                </a:lnTo>
                                <a:lnTo>
                                  <a:pt x="86626" y="21501"/>
                                </a:lnTo>
                                <a:lnTo>
                                  <a:pt x="88315" y="29870"/>
                                </a:lnTo>
                                <a:lnTo>
                                  <a:pt x="92925" y="36703"/>
                                </a:lnTo>
                                <a:lnTo>
                                  <a:pt x="99758" y="41300"/>
                                </a:lnTo>
                                <a:lnTo>
                                  <a:pt x="108140" y="42976"/>
                                </a:lnTo>
                                <a:lnTo>
                                  <a:pt x="116497" y="41300"/>
                                </a:lnTo>
                                <a:lnTo>
                                  <a:pt x="123329" y="36703"/>
                                </a:lnTo>
                                <a:lnTo>
                                  <a:pt x="127939" y="29870"/>
                                </a:lnTo>
                                <a:lnTo>
                                  <a:pt x="129628" y="21501"/>
                                </a:lnTo>
                                <a:close/>
                              </a:path>
                            </a:pathLst>
                          </a:custGeom>
                          <a:solidFill>
                            <a:srgbClr val="FFFFFF"/>
                          </a:solidFill>
                        </wps:spPr>
                        <wps:bodyPr wrap="square" lIns="0" tIns="0" rIns="0" bIns="0" rtlCol="0">
                          <a:prstTxWarp prst="textNoShape">
                            <a:avLst/>
                          </a:prstTxWarp>
                          <a:noAutofit/>
                        </wps:bodyPr>
                      </wps:wsp>
                      <wps:wsp>
                        <wps:cNvPr id="134" name="Graphic 134"/>
                        <wps:cNvSpPr/>
                        <wps:spPr>
                          <a:xfrm>
                            <a:off x="1338821" y="2834556"/>
                            <a:ext cx="317500" cy="300990"/>
                          </a:xfrm>
                          <a:custGeom>
                            <a:avLst/>
                            <a:gdLst/>
                            <a:ahLst/>
                            <a:cxnLst/>
                            <a:rect l="l" t="t" r="r" b="b"/>
                            <a:pathLst>
                              <a:path w="317500" h="300990">
                                <a:moveTo>
                                  <a:pt x="316903" y="0"/>
                                </a:moveTo>
                                <a:lnTo>
                                  <a:pt x="0" y="0"/>
                                </a:lnTo>
                                <a:lnTo>
                                  <a:pt x="0" y="300609"/>
                                </a:lnTo>
                                <a:lnTo>
                                  <a:pt x="316903" y="300609"/>
                                </a:lnTo>
                                <a:lnTo>
                                  <a:pt x="316903" y="0"/>
                                </a:lnTo>
                                <a:close/>
                              </a:path>
                            </a:pathLst>
                          </a:custGeom>
                          <a:solidFill>
                            <a:srgbClr val="231F20">
                              <a:alpha val="19999"/>
                            </a:srgbClr>
                          </a:solidFill>
                        </wps:spPr>
                        <wps:bodyPr wrap="square" lIns="0" tIns="0" rIns="0" bIns="0" rtlCol="0">
                          <a:prstTxWarp prst="textNoShape">
                            <a:avLst/>
                          </a:prstTxWarp>
                          <a:noAutofit/>
                        </wps:bodyPr>
                      </wps:wsp>
                      <wps:wsp>
                        <wps:cNvPr id="135" name="Graphic 135"/>
                        <wps:cNvSpPr/>
                        <wps:spPr>
                          <a:xfrm>
                            <a:off x="2818562" y="1291912"/>
                            <a:ext cx="494665" cy="527685"/>
                          </a:xfrm>
                          <a:custGeom>
                            <a:avLst/>
                            <a:gdLst/>
                            <a:ahLst/>
                            <a:cxnLst/>
                            <a:rect l="l" t="t" r="r" b="b"/>
                            <a:pathLst>
                              <a:path w="494665" h="527685">
                                <a:moveTo>
                                  <a:pt x="494626" y="257670"/>
                                </a:moveTo>
                                <a:lnTo>
                                  <a:pt x="135001" y="257670"/>
                                </a:lnTo>
                                <a:lnTo>
                                  <a:pt x="135001" y="0"/>
                                </a:lnTo>
                                <a:lnTo>
                                  <a:pt x="0" y="0"/>
                                </a:lnTo>
                                <a:lnTo>
                                  <a:pt x="0" y="527227"/>
                                </a:lnTo>
                                <a:lnTo>
                                  <a:pt x="134620" y="527227"/>
                                </a:lnTo>
                                <a:lnTo>
                                  <a:pt x="134620" y="527672"/>
                                </a:lnTo>
                                <a:lnTo>
                                  <a:pt x="494626" y="527672"/>
                                </a:lnTo>
                                <a:lnTo>
                                  <a:pt x="494626" y="257670"/>
                                </a:lnTo>
                                <a:close/>
                              </a:path>
                            </a:pathLst>
                          </a:custGeom>
                          <a:solidFill>
                            <a:srgbClr val="231F20"/>
                          </a:solidFill>
                        </wps:spPr>
                        <wps:bodyPr wrap="square" lIns="0" tIns="0" rIns="0" bIns="0" rtlCol="0">
                          <a:prstTxWarp prst="textNoShape">
                            <a:avLst/>
                          </a:prstTxWarp>
                          <a:noAutofit/>
                        </wps:bodyPr>
                      </wps:wsp>
                      <pic:pic>
                        <pic:nvPicPr>
                          <pic:cNvPr id="136" name="Image 136"/>
                          <pic:cNvPicPr/>
                        </pic:nvPicPr>
                        <pic:blipFill>
                          <a:blip r:embed="rId10" cstate="print"/>
                          <a:stretch>
                            <a:fillRect/>
                          </a:stretch>
                        </pic:blipFill>
                        <pic:spPr>
                          <a:xfrm>
                            <a:off x="2953175" y="1459508"/>
                            <a:ext cx="360005" cy="89992"/>
                          </a:xfrm>
                          <a:prstGeom prst="rect">
                            <a:avLst/>
                          </a:prstGeom>
                        </pic:spPr>
                      </pic:pic>
                      <wps:wsp>
                        <wps:cNvPr id="137" name="Graphic 137"/>
                        <wps:cNvSpPr/>
                        <wps:spPr>
                          <a:xfrm>
                            <a:off x="2967723" y="1663082"/>
                            <a:ext cx="163195" cy="54610"/>
                          </a:xfrm>
                          <a:custGeom>
                            <a:avLst/>
                            <a:gdLst/>
                            <a:ahLst/>
                            <a:cxnLst/>
                            <a:rect l="l" t="t" r="r" b="b"/>
                            <a:pathLst>
                              <a:path w="163195" h="54610">
                                <a:moveTo>
                                  <a:pt x="54000" y="0"/>
                                </a:moveTo>
                                <a:lnTo>
                                  <a:pt x="0" y="0"/>
                                </a:lnTo>
                                <a:lnTo>
                                  <a:pt x="0" y="54000"/>
                                </a:lnTo>
                                <a:lnTo>
                                  <a:pt x="54000" y="54000"/>
                                </a:lnTo>
                                <a:lnTo>
                                  <a:pt x="54000" y="0"/>
                                </a:lnTo>
                                <a:close/>
                              </a:path>
                              <a:path w="163195" h="54610">
                                <a:moveTo>
                                  <a:pt x="163144" y="0"/>
                                </a:moveTo>
                                <a:lnTo>
                                  <a:pt x="109143" y="0"/>
                                </a:lnTo>
                                <a:lnTo>
                                  <a:pt x="109143" y="54000"/>
                                </a:lnTo>
                                <a:lnTo>
                                  <a:pt x="163144" y="54000"/>
                                </a:lnTo>
                                <a:lnTo>
                                  <a:pt x="163144" y="0"/>
                                </a:lnTo>
                                <a:close/>
                              </a:path>
                            </a:pathLst>
                          </a:custGeom>
                          <a:solidFill>
                            <a:srgbClr val="FFFFFF"/>
                          </a:solidFill>
                        </wps:spPr>
                        <wps:bodyPr wrap="square" lIns="0" tIns="0" rIns="0" bIns="0" rtlCol="0">
                          <a:prstTxWarp prst="textNoShape">
                            <a:avLst/>
                          </a:prstTxWarp>
                          <a:noAutofit/>
                        </wps:bodyPr>
                      </wps:wsp>
                      <wps:wsp>
                        <wps:cNvPr id="138" name="Graphic 138"/>
                        <wps:cNvSpPr/>
                        <wps:spPr>
                          <a:xfrm>
                            <a:off x="3862026" y="2678286"/>
                            <a:ext cx="230504" cy="288290"/>
                          </a:xfrm>
                          <a:custGeom>
                            <a:avLst/>
                            <a:gdLst/>
                            <a:ahLst/>
                            <a:cxnLst/>
                            <a:rect l="l" t="t" r="r" b="b"/>
                            <a:pathLst>
                              <a:path w="230504" h="288290">
                                <a:moveTo>
                                  <a:pt x="223964" y="0"/>
                                </a:moveTo>
                                <a:lnTo>
                                  <a:pt x="6451" y="0"/>
                                </a:lnTo>
                                <a:lnTo>
                                  <a:pt x="0" y="6426"/>
                                </a:lnTo>
                                <a:lnTo>
                                  <a:pt x="0" y="281533"/>
                                </a:lnTo>
                                <a:lnTo>
                                  <a:pt x="6451" y="287985"/>
                                </a:lnTo>
                                <a:lnTo>
                                  <a:pt x="223964" y="287985"/>
                                </a:lnTo>
                                <a:lnTo>
                                  <a:pt x="230390" y="281533"/>
                                </a:lnTo>
                                <a:lnTo>
                                  <a:pt x="230390" y="273596"/>
                                </a:lnTo>
                                <a:lnTo>
                                  <a:pt x="230390" y="6426"/>
                                </a:lnTo>
                                <a:lnTo>
                                  <a:pt x="223964" y="0"/>
                                </a:lnTo>
                                <a:close/>
                              </a:path>
                            </a:pathLst>
                          </a:custGeom>
                          <a:solidFill>
                            <a:srgbClr val="231F20"/>
                          </a:solidFill>
                        </wps:spPr>
                        <wps:bodyPr wrap="square" lIns="0" tIns="0" rIns="0" bIns="0" rtlCol="0">
                          <a:prstTxWarp prst="textNoShape">
                            <a:avLst/>
                          </a:prstTxWarp>
                          <a:noAutofit/>
                        </wps:bodyPr>
                      </wps:wsp>
                      <wps:wsp>
                        <wps:cNvPr id="139" name="Graphic 139"/>
                        <wps:cNvSpPr/>
                        <wps:spPr>
                          <a:xfrm>
                            <a:off x="3862026" y="2678286"/>
                            <a:ext cx="230504" cy="288290"/>
                          </a:xfrm>
                          <a:custGeom>
                            <a:avLst/>
                            <a:gdLst/>
                            <a:ahLst/>
                            <a:cxnLst/>
                            <a:rect l="l" t="t" r="r" b="b"/>
                            <a:pathLst>
                              <a:path w="230504" h="288290">
                                <a:moveTo>
                                  <a:pt x="230390" y="273596"/>
                                </a:moveTo>
                                <a:lnTo>
                                  <a:pt x="230390" y="281533"/>
                                </a:lnTo>
                                <a:lnTo>
                                  <a:pt x="223964" y="287985"/>
                                </a:lnTo>
                                <a:lnTo>
                                  <a:pt x="216001" y="287985"/>
                                </a:lnTo>
                                <a:lnTo>
                                  <a:pt x="14389" y="287985"/>
                                </a:lnTo>
                                <a:lnTo>
                                  <a:pt x="6451" y="287985"/>
                                </a:lnTo>
                                <a:lnTo>
                                  <a:pt x="0" y="281533"/>
                                </a:lnTo>
                                <a:lnTo>
                                  <a:pt x="0" y="273596"/>
                                </a:lnTo>
                                <a:lnTo>
                                  <a:pt x="0" y="14389"/>
                                </a:lnTo>
                                <a:lnTo>
                                  <a:pt x="0" y="6426"/>
                                </a:lnTo>
                                <a:lnTo>
                                  <a:pt x="6451" y="0"/>
                                </a:lnTo>
                                <a:lnTo>
                                  <a:pt x="14389" y="0"/>
                                </a:lnTo>
                                <a:lnTo>
                                  <a:pt x="216001" y="0"/>
                                </a:lnTo>
                                <a:lnTo>
                                  <a:pt x="223964" y="0"/>
                                </a:lnTo>
                                <a:lnTo>
                                  <a:pt x="230390" y="6426"/>
                                </a:lnTo>
                                <a:lnTo>
                                  <a:pt x="230390" y="14389"/>
                                </a:lnTo>
                                <a:lnTo>
                                  <a:pt x="230390" y="273596"/>
                                </a:lnTo>
                                <a:close/>
                              </a:path>
                            </a:pathLst>
                          </a:custGeom>
                          <a:ln w="91440">
                            <a:solidFill>
                              <a:srgbClr val="231F20"/>
                            </a:solidFill>
                            <a:prstDash val="solid"/>
                          </a:ln>
                        </wps:spPr>
                        <wps:bodyPr wrap="square" lIns="0" tIns="0" rIns="0" bIns="0" rtlCol="0">
                          <a:prstTxWarp prst="textNoShape">
                            <a:avLst/>
                          </a:prstTxWarp>
                          <a:noAutofit/>
                        </wps:bodyPr>
                      </wps:wsp>
                      <wps:wsp>
                        <wps:cNvPr id="140" name="Graphic 140"/>
                        <wps:cNvSpPr/>
                        <wps:spPr>
                          <a:xfrm>
                            <a:off x="3861610" y="2966691"/>
                            <a:ext cx="1270" cy="288290"/>
                          </a:xfrm>
                          <a:custGeom>
                            <a:avLst/>
                            <a:gdLst/>
                            <a:ahLst/>
                            <a:cxnLst/>
                            <a:rect l="l" t="t" r="r" b="b"/>
                            <a:pathLst>
                              <a:path w="0" h="288290">
                                <a:moveTo>
                                  <a:pt x="0" y="0"/>
                                </a:moveTo>
                                <a:lnTo>
                                  <a:pt x="0" y="288010"/>
                                </a:lnTo>
                              </a:path>
                            </a:pathLst>
                          </a:custGeom>
                          <a:ln w="91440">
                            <a:solidFill>
                              <a:srgbClr val="231F20"/>
                            </a:solidFill>
                            <a:prstDash val="solid"/>
                          </a:ln>
                        </wps:spPr>
                        <wps:bodyPr wrap="square" lIns="0" tIns="0" rIns="0" bIns="0" rtlCol="0">
                          <a:prstTxWarp prst="textNoShape">
                            <a:avLst/>
                          </a:prstTxWarp>
                          <a:noAutofit/>
                        </wps:bodyPr>
                      </wps:wsp>
                      <wps:wsp>
                        <wps:cNvPr id="141" name="Graphic 141"/>
                        <wps:cNvSpPr/>
                        <wps:spPr>
                          <a:xfrm>
                            <a:off x="4092616" y="2966691"/>
                            <a:ext cx="1270" cy="288290"/>
                          </a:xfrm>
                          <a:custGeom>
                            <a:avLst/>
                            <a:gdLst/>
                            <a:ahLst/>
                            <a:cxnLst/>
                            <a:rect l="l" t="t" r="r" b="b"/>
                            <a:pathLst>
                              <a:path w="0" h="288290">
                                <a:moveTo>
                                  <a:pt x="0" y="0"/>
                                </a:moveTo>
                                <a:lnTo>
                                  <a:pt x="0" y="288010"/>
                                </a:lnTo>
                              </a:path>
                            </a:pathLst>
                          </a:custGeom>
                          <a:ln w="91440">
                            <a:solidFill>
                              <a:srgbClr val="231F20"/>
                            </a:solidFill>
                            <a:prstDash val="solid"/>
                          </a:ln>
                        </wps:spPr>
                        <wps:bodyPr wrap="square" lIns="0" tIns="0" rIns="0" bIns="0" rtlCol="0">
                          <a:prstTxWarp prst="textNoShape">
                            <a:avLst/>
                          </a:prstTxWarp>
                          <a:noAutofit/>
                        </wps:bodyPr>
                      </wps:wsp>
                      <wps:wsp>
                        <wps:cNvPr id="142" name="Graphic 142"/>
                        <wps:cNvSpPr/>
                        <wps:spPr>
                          <a:xfrm>
                            <a:off x="4091171" y="2678888"/>
                            <a:ext cx="173355" cy="173355"/>
                          </a:xfrm>
                          <a:custGeom>
                            <a:avLst/>
                            <a:gdLst/>
                            <a:ahLst/>
                            <a:cxnLst/>
                            <a:rect l="l" t="t" r="r" b="b"/>
                            <a:pathLst>
                              <a:path w="173355" h="173355">
                                <a:moveTo>
                                  <a:pt x="172796" y="172783"/>
                                </a:moveTo>
                                <a:lnTo>
                                  <a:pt x="166625" y="126850"/>
                                </a:lnTo>
                                <a:lnTo>
                                  <a:pt x="149209" y="85575"/>
                                </a:lnTo>
                                <a:lnTo>
                                  <a:pt x="122193" y="50606"/>
                                </a:lnTo>
                                <a:lnTo>
                                  <a:pt x="87222" y="23589"/>
                                </a:lnTo>
                                <a:lnTo>
                                  <a:pt x="45943" y="6171"/>
                                </a:lnTo>
                                <a:lnTo>
                                  <a:pt x="0" y="0"/>
                                </a:lnTo>
                              </a:path>
                            </a:pathLst>
                          </a:custGeom>
                          <a:ln w="91440">
                            <a:solidFill>
                              <a:srgbClr val="231F20"/>
                            </a:solidFill>
                            <a:prstDash val="solid"/>
                          </a:ln>
                        </wps:spPr>
                        <wps:bodyPr wrap="square" lIns="0" tIns="0" rIns="0" bIns="0" rtlCol="0">
                          <a:prstTxWarp prst="textNoShape">
                            <a:avLst/>
                          </a:prstTxWarp>
                          <a:noAutofit/>
                        </wps:bodyPr>
                      </wps:wsp>
                      <wps:wsp>
                        <wps:cNvPr id="143" name="Graphic 143"/>
                        <wps:cNvSpPr/>
                        <wps:spPr>
                          <a:xfrm>
                            <a:off x="3633673" y="2632270"/>
                            <a:ext cx="229870" cy="92075"/>
                          </a:xfrm>
                          <a:custGeom>
                            <a:avLst/>
                            <a:gdLst/>
                            <a:ahLst/>
                            <a:cxnLst/>
                            <a:rect l="l" t="t" r="r" b="b"/>
                            <a:pathLst>
                              <a:path w="229870" h="92075">
                                <a:moveTo>
                                  <a:pt x="229743" y="152"/>
                                </a:moveTo>
                                <a:lnTo>
                                  <a:pt x="57581" y="152"/>
                                </a:lnTo>
                                <a:lnTo>
                                  <a:pt x="57581" y="0"/>
                                </a:lnTo>
                                <a:lnTo>
                                  <a:pt x="0" y="0"/>
                                </a:lnTo>
                                <a:lnTo>
                                  <a:pt x="0" y="30480"/>
                                </a:lnTo>
                                <a:lnTo>
                                  <a:pt x="56959" y="30480"/>
                                </a:lnTo>
                                <a:lnTo>
                                  <a:pt x="56959" y="91592"/>
                                </a:lnTo>
                                <a:lnTo>
                                  <a:pt x="229743" y="91592"/>
                                </a:lnTo>
                                <a:lnTo>
                                  <a:pt x="229743" y="152"/>
                                </a:lnTo>
                                <a:close/>
                              </a:path>
                            </a:pathLst>
                          </a:custGeom>
                          <a:solidFill>
                            <a:srgbClr val="231F20"/>
                          </a:solidFill>
                        </wps:spPr>
                        <wps:bodyPr wrap="square" lIns="0" tIns="0" rIns="0" bIns="0" rtlCol="0">
                          <a:prstTxWarp prst="textNoShape">
                            <a:avLst/>
                          </a:prstTxWarp>
                          <a:noAutofit/>
                        </wps:bodyPr>
                      </wps:wsp>
                      <wps:wsp>
                        <wps:cNvPr id="144" name="Graphic 144"/>
                        <wps:cNvSpPr/>
                        <wps:spPr>
                          <a:xfrm>
                            <a:off x="4000144" y="2727330"/>
                            <a:ext cx="309880" cy="356235"/>
                          </a:xfrm>
                          <a:custGeom>
                            <a:avLst/>
                            <a:gdLst/>
                            <a:ahLst/>
                            <a:cxnLst/>
                            <a:rect l="l" t="t" r="r" b="b"/>
                            <a:pathLst>
                              <a:path w="309880" h="356235">
                                <a:moveTo>
                                  <a:pt x="71996" y="0"/>
                                </a:moveTo>
                                <a:lnTo>
                                  <a:pt x="0" y="0"/>
                                </a:lnTo>
                                <a:lnTo>
                                  <a:pt x="0" y="63525"/>
                                </a:lnTo>
                                <a:lnTo>
                                  <a:pt x="35001" y="76796"/>
                                </a:lnTo>
                                <a:lnTo>
                                  <a:pt x="71996" y="63525"/>
                                </a:lnTo>
                                <a:lnTo>
                                  <a:pt x="71996" y="0"/>
                                </a:lnTo>
                                <a:close/>
                              </a:path>
                              <a:path w="309880" h="356235">
                                <a:moveTo>
                                  <a:pt x="309816" y="126238"/>
                                </a:moveTo>
                                <a:lnTo>
                                  <a:pt x="138341" y="126238"/>
                                </a:lnTo>
                                <a:lnTo>
                                  <a:pt x="138341" y="355727"/>
                                </a:lnTo>
                                <a:lnTo>
                                  <a:pt x="309816" y="355727"/>
                                </a:lnTo>
                                <a:lnTo>
                                  <a:pt x="309816" y="126238"/>
                                </a:lnTo>
                                <a:close/>
                              </a:path>
                            </a:pathLst>
                          </a:custGeom>
                          <a:solidFill>
                            <a:srgbClr val="6A1C31"/>
                          </a:solidFill>
                        </wps:spPr>
                        <wps:bodyPr wrap="square" lIns="0" tIns="0" rIns="0" bIns="0" rtlCol="0">
                          <a:prstTxWarp prst="textNoShape">
                            <a:avLst/>
                          </a:prstTxWarp>
                          <a:noAutofit/>
                        </wps:bodyPr>
                      </wps:wsp>
                      <wps:wsp>
                        <wps:cNvPr id="145" name="Graphic 145"/>
                        <wps:cNvSpPr/>
                        <wps:spPr>
                          <a:xfrm>
                            <a:off x="4173033" y="2924944"/>
                            <a:ext cx="90805" cy="1270"/>
                          </a:xfrm>
                          <a:custGeom>
                            <a:avLst/>
                            <a:gdLst/>
                            <a:ahLst/>
                            <a:cxnLst/>
                            <a:rect l="l" t="t" r="r" b="b"/>
                            <a:pathLst>
                              <a:path w="90805" h="0">
                                <a:moveTo>
                                  <a:pt x="0" y="0"/>
                                </a:moveTo>
                                <a:lnTo>
                                  <a:pt x="90436" y="0"/>
                                </a:lnTo>
                              </a:path>
                            </a:pathLst>
                          </a:custGeom>
                          <a:ln w="12700">
                            <a:solidFill>
                              <a:srgbClr val="231F20"/>
                            </a:solidFill>
                            <a:prstDash val="solid"/>
                          </a:ln>
                        </wps:spPr>
                        <wps:bodyPr wrap="square" lIns="0" tIns="0" rIns="0" bIns="0" rtlCol="0">
                          <a:prstTxWarp prst="textNoShape">
                            <a:avLst/>
                          </a:prstTxWarp>
                          <a:noAutofit/>
                        </wps:bodyPr>
                      </wps:wsp>
                      <wps:wsp>
                        <wps:cNvPr id="146" name="Graphic 146"/>
                        <wps:cNvSpPr/>
                        <wps:spPr>
                          <a:xfrm>
                            <a:off x="4173033" y="2959126"/>
                            <a:ext cx="90805" cy="1270"/>
                          </a:xfrm>
                          <a:custGeom>
                            <a:avLst/>
                            <a:gdLst/>
                            <a:ahLst/>
                            <a:cxnLst/>
                            <a:rect l="l" t="t" r="r" b="b"/>
                            <a:pathLst>
                              <a:path w="90805" h="0">
                                <a:moveTo>
                                  <a:pt x="0" y="0"/>
                                </a:moveTo>
                                <a:lnTo>
                                  <a:pt x="90436" y="0"/>
                                </a:lnTo>
                              </a:path>
                            </a:pathLst>
                          </a:custGeom>
                          <a:ln w="12700">
                            <a:solidFill>
                              <a:srgbClr val="231F20"/>
                            </a:solidFill>
                            <a:prstDash val="solid"/>
                          </a:ln>
                        </wps:spPr>
                        <wps:bodyPr wrap="square" lIns="0" tIns="0" rIns="0" bIns="0" rtlCol="0">
                          <a:prstTxWarp prst="textNoShape">
                            <a:avLst/>
                          </a:prstTxWarp>
                          <a:noAutofit/>
                        </wps:bodyPr>
                      </wps:wsp>
                      <wps:wsp>
                        <wps:cNvPr id="147" name="Graphic 147"/>
                        <wps:cNvSpPr/>
                        <wps:spPr>
                          <a:xfrm>
                            <a:off x="4173033" y="2993307"/>
                            <a:ext cx="90805" cy="1270"/>
                          </a:xfrm>
                          <a:custGeom>
                            <a:avLst/>
                            <a:gdLst/>
                            <a:ahLst/>
                            <a:cxnLst/>
                            <a:rect l="l" t="t" r="r" b="b"/>
                            <a:pathLst>
                              <a:path w="90805" h="0">
                                <a:moveTo>
                                  <a:pt x="0" y="0"/>
                                </a:moveTo>
                                <a:lnTo>
                                  <a:pt x="90436" y="0"/>
                                </a:lnTo>
                              </a:path>
                            </a:pathLst>
                          </a:custGeom>
                          <a:ln w="12700">
                            <a:solidFill>
                              <a:srgbClr val="231F20"/>
                            </a:solidFill>
                            <a:prstDash val="solid"/>
                          </a:ln>
                        </wps:spPr>
                        <wps:bodyPr wrap="square" lIns="0" tIns="0" rIns="0" bIns="0" rtlCol="0">
                          <a:prstTxWarp prst="textNoShape">
                            <a:avLst/>
                          </a:prstTxWarp>
                          <a:noAutofit/>
                        </wps:bodyPr>
                      </wps:wsp>
                      <wps:wsp>
                        <wps:cNvPr id="148" name="Graphic 148"/>
                        <wps:cNvSpPr/>
                        <wps:spPr>
                          <a:xfrm>
                            <a:off x="4173033" y="3027488"/>
                            <a:ext cx="44450" cy="1270"/>
                          </a:xfrm>
                          <a:custGeom>
                            <a:avLst/>
                            <a:gdLst/>
                            <a:ahLst/>
                            <a:cxnLst/>
                            <a:rect l="l" t="t" r="r" b="b"/>
                            <a:pathLst>
                              <a:path w="44450" h="0">
                                <a:moveTo>
                                  <a:pt x="0" y="0"/>
                                </a:moveTo>
                                <a:lnTo>
                                  <a:pt x="44132" y="0"/>
                                </a:lnTo>
                              </a:path>
                            </a:pathLst>
                          </a:custGeom>
                          <a:ln w="12700">
                            <a:solidFill>
                              <a:srgbClr val="231F20"/>
                            </a:solidFill>
                            <a:prstDash val="solid"/>
                          </a:ln>
                        </wps:spPr>
                        <wps:bodyPr wrap="square" lIns="0" tIns="0" rIns="0" bIns="0" rtlCol="0">
                          <a:prstTxWarp prst="textNoShape">
                            <a:avLst/>
                          </a:prstTxWarp>
                          <a:noAutofit/>
                        </wps:bodyPr>
                      </wps:wsp>
                      <wps:wsp>
                        <wps:cNvPr id="149" name="Graphic 149"/>
                        <wps:cNvSpPr/>
                        <wps:spPr>
                          <a:xfrm>
                            <a:off x="2073588" y="1388150"/>
                            <a:ext cx="222885" cy="347980"/>
                          </a:xfrm>
                          <a:custGeom>
                            <a:avLst/>
                            <a:gdLst/>
                            <a:ahLst/>
                            <a:cxnLst/>
                            <a:rect l="l" t="t" r="r" b="b"/>
                            <a:pathLst>
                              <a:path w="222885" h="347980">
                                <a:moveTo>
                                  <a:pt x="120281" y="0"/>
                                </a:moveTo>
                                <a:lnTo>
                                  <a:pt x="0" y="0"/>
                                </a:lnTo>
                                <a:lnTo>
                                  <a:pt x="0" y="347852"/>
                                </a:lnTo>
                                <a:lnTo>
                                  <a:pt x="222770" y="347903"/>
                                </a:lnTo>
                                <a:lnTo>
                                  <a:pt x="222808" y="176555"/>
                                </a:lnTo>
                                <a:lnTo>
                                  <a:pt x="200139" y="142338"/>
                                </a:lnTo>
                                <a:lnTo>
                                  <a:pt x="148501" y="139420"/>
                                </a:lnTo>
                                <a:lnTo>
                                  <a:pt x="120281" y="0"/>
                                </a:lnTo>
                                <a:close/>
                              </a:path>
                            </a:pathLst>
                          </a:custGeom>
                          <a:solidFill>
                            <a:srgbClr val="231F20"/>
                          </a:solidFill>
                        </wps:spPr>
                        <wps:bodyPr wrap="square" lIns="0" tIns="0" rIns="0" bIns="0" rtlCol="0">
                          <a:prstTxWarp prst="textNoShape">
                            <a:avLst/>
                          </a:prstTxWarp>
                          <a:noAutofit/>
                        </wps:bodyPr>
                      </wps:wsp>
                      <pic:pic>
                        <pic:nvPicPr>
                          <pic:cNvPr id="150" name="Image 150"/>
                          <pic:cNvPicPr/>
                        </pic:nvPicPr>
                        <pic:blipFill>
                          <a:blip r:embed="rId11" cstate="print"/>
                          <a:stretch>
                            <a:fillRect/>
                          </a:stretch>
                        </pic:blipFill>
                        <pic:spPr>
                          <a:xfrm>
                            <a:off x="2106795" y="1427039"/>
                            <a:ext cx="80276" cy="98602"/>
                          </a:xfrm>
                          <a:prstGeom prst="rect">
                            <a:avLst/>
                          </a:prstGeom>
                        </pic:spPr>
                      </pic:pic>
                      <wps:wsp>
                        <wps:cNvPr id="151" name="Graphic 151"/>
                        <wps:cNvSpPr/>
                        <wps:spPr>
                          <a:xfrm>
                            <a:off x="1654975" y="1646344"/>
                            <a:ext cx="446405" cy="90170"/>
                          </a:xfrm>
                          <a:custGeom>
                            <a:avLst/>
                            <a:gdLst/>
                            <a:ahLst/>
                            <a:cxnLst/>
                            <a:rect l="l" t="t" r="r" b="b"/>
                            <a:pathLst>
                              <a:path w="446405" h="90170">
                                <a:moveTo>
                                  <a:pt x="446366" y="0"/>
                                </a:moveTo>
                                <a:lnTo>
                                  <a:pt x="0" y="0"/>
                                </a:lnTo>
                                <a:lnTo>
                                  <a:pt x="0" y="89649"/>
                                </a:lnTo>
                                <a:lnTo>
                                  <a:pt x="446366" y="89649"/>
                                </a:lnTo>
                                <a:lnTo>
                                  <a:pt x="446366" y="0"/>
                                </a:lnTo>
                                <a:close/>
                              </a:path>
                            </a:pathLst>
                          </a:custGeom>
                          <a:solidFill>
                            <a:srgbClr val="231F20"/>
                          </a:solidFill>
                        </wps:spPr>
                        <wps:bodyPr wrap="square" lIns="0" tIns="0" rIns="0" bIns="0" rtlCol="0">
                          <a:prstTxWarp prst="textNoShape">
                            <a:avLst/>
                          </a:prstTxWarp>
                          <a:noAutofit/>
                        </wps:bodyPr>
                      </wps:wsp>
                      <pic:pic>
                        <pic:nvPicPr>
                          <pic:cNvPr id="152" name="Image 152"/>
                          <pic:cNvPicPr/>
                        </pic:nvPicPr>
                        <pic:blipFill>
                          <a:blip r:embed="rId12" cstate="print"/>
                          <a:stretch>
                            <a:fillRect/>
                          </a:stretch>
                        </pic:blipFill>
                        <pic:spPr>
                          <a:xfrm>
                            <a:off x="2084073" y="1661118"/>
                            <a:ext cx="148513" cy="148488"/>
                          </a:xfrm>
                          <a:prstGeom prst="rect">
                            <a:avLst/>
                          </a:prstGeom>
                        </pic:spPr>
                      </pic:pic>
                      <pic:pic>
                        <pic:nvPicPr>
                          <pic:cNvPr id="153" name="Image 153"/>
                          <pic:cNvPicPr/>
                        </pic:nvPicPr>
                        <pic:blipFill>
                          <a:blip r:embed="rId13" cstate="print"/>
                          <a:stretch>
                            <a:fillRect/>
                          </a:stretch>
                        </pic:blipFill>
                        <pic:spPr>
                          <a:xfrm>
                            <a:off x="1731463" y="1661118"/>
                            <a:ext cx="148488" cy="148488"/>
                          </a:xfrm>
                          <a:prstGeom prst="rect">
                            <a:avLst/>
                          </a:prstGeom>
                        </pic:spPr>
                      </pic:pic>
                      <wps:wsp>
                        <wps:cNvPr id="154" name="Graphic 154"/>
                        <wps:cNvSpPr/>
                        <wps:spPr>
                          <a:xfrm>
                            <a:off x="1687766" y="1310962"/>
                            <a:ext cx="385445" cy="335280"/>
                          </a:xfrm>
                          <a:custGeom>
                            <a:avLst/>
                            <a:gdLst/>
                            <a:ahLst/>
                            <a:cxnLst/>
                            <a:rect l="l" t="t" r="r" b="b"/>
                            <a:pathLst>
                              <a:path w="385445" h="335280">
                                <a:moveTo>
                                  <a:pt x="385444" y="0"/>
                                </a:moveTo>
                                <a:lnTo>
                                  <a:pt x="0" y="0"/>
                                </a:lnTo>
                                <a:lnTo>
                                  <a:pt x="0" y="334987"/>
                                </a:lnTo>
                                <a:lnTo>
                                  <a:pt x="385444" y="334987"/>
                                </a:lnTo>
                                <a:lnTo>
                                  <a:pt x="385444" y="0"/>
                                </a:lnTo>
                                <a:close/>
                              </a:path>
                            </a:pathLst>
                          </a:custGeom>
                          <a:solidFill>
                            <a:srgbClr val="231F20"/>
                          </a:solidFill>
                        </wps:spPr>
                        <wps:bodyPr wrap="square" lIns="0" tIns="0" rIns="0" bIns="0" rtlCol="0">
                          <a:prstTxWarp prst="textNoShape">
                            <a:avLst/>
                          </a:prstTxWarp>
                          <a:noAutofit/>
                        </wps:bodyPr>
                      </wps:wsp>
                      <wps:wsp>
                        <wps:cNvPr id="155" name="Graphic 155"/>
                        <wps:cNvSpPr/>
                        <wps:spPr>
                          <a:xfrm>
                            <a:off x="1687766" y="1310956"/>
                            <a:ext cx="385445" cy="335280"/>
                          </a:xfrm>
                          <a:custGeom>
                            <a:avLst/>
                            <a:gdLst/>
                            <a:ahLst/>
                            <a:cxnLst/>
                            <a:rect l="l" t="t" r="r" b="b"/>
                            <a:pathLst>
                              <a:path w="385445" h="335280">
                                <a:moveTo>
                                  <a:pt x="385444" y="0"/>
                                </a:moveTo>
                                <a:lnTo>
                                  <a:pt x="0" y="0"/>
                                </a:lnTo>
                                <a:lnTo>
                                  <a:pt x="0" y="334987"/>
                                </a:lnTo>
                                <a:lnTo>
                                  <a:pt x="385444" y="334987"/>
                                </a:lnTo>
                                <a:lnTo>
                                  <a:pt x="385444" y="0"/>
                                </a:lnTo>
                                <a:close/>
                              </a:path>
                            </a:pathLst>
                          </a:custGeom>
                          <a:ln w="25400">
                            <a:solidFill>
                              <a:srgbClr val="231F20"/>
                            </a:solidFill>
                            <a:prstDash val="solid"/>
                          </a:ln>
                        </wps:spPr>
                        <wps:bodyPr wrap="square" lIns="0" tIns="0" rIns="0" bIns="0" rtlCol="0">
                          <a:prstTxWarp prst="textNoShape">
                            <a:avLst/>
                          </a:prstTxWarp>
                          <a:noAutofit/>
                        </wps:bodyPr>
                      </wps:wsp>
                      <wps:wsp>
                        <wps:cNvPr id="156" name="Graphic 156"/>
                        <wps:cNvSpPr/>
                        <wps:spPr>
                          <a:xfrm>
                            <a:off x="4154043" y="2869138"/>
                            <a:ext cx="137160" cy="18415"/>
                          </a:xfrm>
                          <a:custGeom>
                            <a:avLst/>
                            <a:gdLst/>
                            <a:ahLst/>
                            <a:cxnLst/>
                            <a:rect l="l" t="t" r="r" b="b"/>
                            <a:pathLst>
                              <a:path w="137160" h="18415">
                                <a:moveTo>
                                  <a:pt x="18008" y="4038"/>
                                </a:moveTo>
                                <a:lnTo>
                                  <a:pt x="13970" y="0"/>
                                </a:lnTo>
                                <a:lnTo>
                                  <a:pt x="4025" y="0"/>
                                </a:lnTo>
                                <a:lnTo>
                                  <a:pt x="0" y="4038"/>
                                </a:lnTo>
                                <a:lnTo>
                                  <a:pt x="0" y="13995"/>
                                </a:lnTo>
                                <a:lnTo>
                                  <a:pt x="4025" y="18008"/>
                                </a:lnTo>
                                <a:lnTo>
                                  <a:pt x="13970" y="18008"/>
                                </a:lnTo>
                                <a:lnTo>
                                  <a:pt x="18008" y="13995"/>
                                </a:lnTo>
                                <a:lnTo>
                                  <a:pt x="18008" y="9004"/>
                                </a:lnTo>
                                <a:lnTo>
                                  <a:pt x="18008" y="4038"/>
                                </a:lnTo>
                                <a:close/>
                              </a:path>
                              <a:path w="137160" h="18415">
                                <a:moveTo>
                                  <a:pt x="57518" y="4038"/>
                                </a:moveTo>
                                <a:lnTo>
                                  <a:pt x="53479" y="0"/>
                                </a:lnTo>
                                <a:lnTo>
                                  <a:pt x="43535" y="0"/>
                                </a:lnTo>
                                <a:lnTo>
                                  <a:pt x="39509" y="4038"/>
                                </a:lnTo>
                                <a:lnTo>
                                  <a:pt x="39509" y="13995"/>
                                </a:lnTo>
                                <a:lnTo>
                                  <a:pt x="43535" y="18008"/>
                                </a:lnTo>
                                <a:lnTo>
                                  <a:pt x="53479" y="18008"/>
                                </a:lnTo>
                                <a:lnTo>
                                  <a:pt x="57518" y="13995"/>
                                </a:lnTo>
                                <a:lnTo>
                                  <a:pt x="57518" y="9004"/>
                                </a:lnTo>
                                <a:lnTo>
                                  <a:pt x="57518" y="4038"/>
                                </a:lnTo>
                                <a:close/>
                              </a:path>
                              <a:path w="137160" h="18415">
                                <a:moveTo>
                                  <a:pt x="97028" y="4038"/>
                                </a:moveTo>
                                <a:lnTo>
                                  <a:pt x="92989" y="0"/>
                                </a:lnTo>
                                <a:lnTo>
                                  <a:pt x="83045" y="0"/>
                                </a:lnTo>
                                <a:lnTo>
                                  <a:pt x="79019" y="4038"/>
                                </a:lnTo>
                                <a:lnTo>
                                  <a:pt x="79019" y="13995"/>
                                </a:lnTo>
                                <a:lnTo>
                                  <a:pt x="83045" y="18008"/>
                                </a:lnTo>
                                <a:lnTo>
                                  <a:pt x="92989" y="18008"/>
                                </a:lnTo>
                                <a:lnTo>
                                  <a:pt x="97028" y="13995"/>
                                </a:lnTo>
                                <a:lnTo>
                                  <a:pt x="97028" y="9004"/>
                                </a:lnTo>
                                <a:lnTo>
                                  <a:pt x="97028" y="4038"/>
                                </a:lnTo>
                                <a:close/>
                              </a:path>
                              <a:path w="137160" h="18415">
                                <a:moveTo>
                                  <a:pt x="136550" y="4038"/>
                                </a:moveTo>
                                <a:lnTo>
                                  <a:pt x="132511" y="0"/>
                                </a:lnTo>
                                <a:lnTo>
                                  <a:pt x="122580" y="0"/>
                                </a:lnTo>
                                <a:lnTo>
                                  <a:pt x="118541" y="4038"/>
                                </a:lnTo>
                                <a:lnTo>
                                  <a:pt x="118541" y="13995"/>
                                </a:lnTo>
                                <a:lnTo>
                                  <a:pt x="122580" y="18008"/>
                                </a:lnTo>
                                <a:lnTo>
                                  <a:pt x="132511" y="18008"/>
                                </a:lnTo>
                                <a:lnTo>
                                  <a:pt x="136550" y="13995"/>
                                </a:lnTo>
                                <a:lnTo>
                                  <a:pt x="136550" y="9004"/>
                                </a:lnTo>
                                <a:lnTo>
                                  <a:pt x="136550" y="4038"/>
                                </a:lnTo>
                                <a:close/>
                              </a:path>
                            </a:pathLst>
                          </a:custGeom>
                          <a:solidFill>
                            <a:srgbClr val="FFFFFF"/>
                          </a:solidFill>
                        </wps:spPr>
                        <wps:bodyPr wrap="square" lIns="0" tIns="0" rIns="0" bIns="0" rtlCol="0">
                          <a:prstTxWarp prst="textNoShape">
                            <a:avLst/>
                          </a:prstTxWarp>
                          <a:noAutofit/>
                        </wps:bodyPr>
                      </wps:wsp>
                      <wps:wsp>
                        <wps:cNvPr id="157" name="Graphic 157"/>
                        <wps:cNvSpPr/>
                        <wps:spPr>
                          <a:xfrm>
                            <a:off x="2432532" y="1818428"/>
                            <a:ext cx="313690" cy="317500"/>
                          </a:xfrm>
                          <a:custGeom>
                            <a:avLst/>
                            <a:gdLst/>
                            <a:ahLst/>
                            <a:cxnLst/>
                            <a:rect l="l" t="t" r="r" b="b"/>
                            <a:pathLst>
                              <a:path w="313690" h="317500">
                                <a:moveTo>
                                  <a:pt x="95148" y="0"/>
                                </a:moveTo>
                                <a:lnTo>
                                  <a:pt x="0" y="0"/>
                                </a:lnTo>
                                <a:lnTo>
                                  <a:pt x="0" y="317119"/>
                                </a:lnTo>
                                <a:lnTo>
                                  <a:pt x="95148" y="317119"/>
                                </a:lnTo>
                                <a:lnTo>
                                  <a:pt x="95148" y="0"/>
                                </a:lnTo>
                                <a:close/>
                              </a:path>
                              <a:path w="313690" h="317500">
                                <a:moveTo>
                                  <a:pt x="313474" y="0"/>
                                </a:moveTo>
                                <a:lnTo>
                                  <a:pt x="218351" y="0"/>
                                </a:lnTo>
                                <a:lnTo>
                                  <a:pt x="218351" y="317119"/>
                                </a:lnTo>
                                <a:lnTo>
                                  <a:pt x="313474" y="317119"/>
                                </a:lnTo>
                                <a:lnTo>
                                  <a:pt x="313474" y="0"/>
                                </a:lnTo>
                                <a:close/>
                              </a:path>
                            </a:pathLst>
                          </a:custGeom>
                          <a:solidFill>
                            <a:srgbClr val="231F20">
                              <a:alpha val="25000"/>
                            </a:srgbClr>
                          </a:solidFill>
                        </wps:spPr>
                        <wps:bodyPr wrap="square" lIns="0" tIns="0" rIns="0" bIns="0" rtlCol="0">
                          <a:prstTxWarp prst="textNoShape">
                            <a:avLst/>
                          </a:prstTxWarp>
                          <a:noAutofit/>
                        </wps:bodyPr>
                      </wps:wsp>
                      <wps:wsp>
                        <wps:cNvPr id="158" name="Graphic 158"/>
                        <wps:cNvSpPr/>
                        <wps:spPr>
                          <a:xfrm>
                            <a:off x="1338143" y="2072779"/>
                            <a:ext cx="1480820" cy="1270"/>
                          </a:xfrm>
                          <a:custGeom>
                            <a:avLst/>
                            <a:gdLst/>
                            <a:ahLst/>
                            <a:cxnLst/>
                            <a:rect l="l" t="t" r="r" b="b"/>
                            <a:pathLst>
                              <a:path w="1480820" h="0">
                                <a:moveTo>
                                  <a:pt x="0" y="0"/>
                                </a:moveTo>
                                <a:lnTo>
                                  <a:pt x="1480654" y="0"/>
                                </a:lnTo>
                              </a:path>
                            </a:pathLst>
                          </a:custGeom>
                          <a:ln w="254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6.027pt;margin-top:10.649704pt;width:464.6pt;height:285.2pt;mso-position-horizontal-relative:page;mso-position-vertical-relative:paragraph;z-index:-15728128;mso-wrap-distance-left:0;mso-wrap-distance-right:0" id="docshapegroup8" coordorigin="1121,213" coordsize="9292,5704">
                <v:shape style="position:absolute;left:4416;top:987;width:2804;height:1405" id="docshape9" coordorigin="4417,987" coordsize="2804,1405" path="m7220,988l7218,1065,7212,1141,7202,1216,7188,1289,7170,1361,7149,1432,7124,1501,7096,1568,7064,1633,7029,1697,6991,1758,6950,1817,6906,1874,6859,1929,6809,1981,6757,2030,6703,2077,6646,2121,6587,2162,6525,2200,6462,2235,6397,2267,6330,2295,6261,2320,6190,2342,6118,2359,6045,2373,5970,2383,5894,2390,5817,2392,5740,2390,5664,2383,5590,2373,5516,2359,5444,2341,5374,2320,5305,2295,5238,2267,5173,2235,5110,2200,5049,2162,4989,2120,4933,2076,4878,2030,4826,1980,4777,1928,4730,1873,4687,1816,4646,1757,4608,1696,4573,1632,4541,1567,4513,1500,4488,1431,4467,1360,4449,1288,4435,1215,4425,1140,4419,1064,4417,987e" filled="false" stroked="true" strokeweight="25pt" strokecolor="#6a1c31">
                  <v:path arrowok="t"/>
                  <v:stroke dashstyle="solid"/>
                </v:shape>
                <v:shape style="position:absolute;left:3477;top:988;width:4678;height:4678" id="docshape10" coordorigin="3478,989" coordsize="4678,4678" path="m8155,5198l8149,5274,8131,5346,8103,5413,8065,5475,8018,5529,7963,5576,7902,5614,7835,5642,7763,5660,7687,5666,3945,5666,3870,5660,3798,5642,3731,5614,3669,5576,3615,5529,3568,5475,3530,5413,3502,5346,3484,5274,3478,5198,3478,1457,3484,1381,3502,1309,3530,1242,3568,1180,3615,1126,3669,1079,3731,1041,3798,1013,3870,995,3945,989,7687,989,7763,995,7835,1013,7902,1041,7963,1079,8018,1126,8065,1180,8103,1242,8131,1309,8149,1381,8155,1457,8155,5198xe" filled="false" stroked="true" strokeweight="25pt" strokecolor="#008fdd">
                  <v:path arrowok="t"/>
                  <v:stroke dashstyle="solid"/>
                </v:shape>
                <v:shape style="position:absolute;left:5817;top:988;width:1345;height:4678" id="docshape11" coordorigin="5818,988" coordsize="1345,4678" path="m5818,988l5883,1027,5946,1068,6008,1110,6069,1154,6129,1200,6187,1247,6244,1296,6300,1346,6354,1398,6407,1452,6458,1506,6508,1563,6556,1620,6602,1679,6647,1739,6691,1801,6732,1863,6772,1927,6811,1992,6847,2059,6882,2126,6914,2194,6945,2264,6974,2334,7001,2406,7026,2478,7050,2551,7071,2626,7089,2701,7106,2777,7121,2853,7134,2931,7144,3009,7152,3088,7158,3167,7161,3247,7162,3328,7161,3408,7158,3488,7152,3568,7144,3646,7134,3725,7121,3802,7106,3878,7090,3954,7071,4029,7050,4103,7027,4177,7002,4249,6975,4321,6946,4391,6915,4460,6882,4529,6847,4596,6811,4662,6773,4727,6733,4791,6691,4854,6648,4915,6603,4976,6557,5034,6509,5092,6459,5148,6408,5203,6355,5256,6301,5308,6245,5358,6188,5407,6130,5455,6071,5500,6010,5544,5948,5587,5884,5627,5820,5666e" filled="false" stroked="true" strokeweight="25pt" strokecolor="#008fdd">
                  <v:path arrowok="t"/>
                  <v:stroke dashstyle="solid"/>
                </v:shape>
                <v:shape style="position:absolute;left:4416;top:4250;width:2804;height:1405" id="docshape12" coordorigin="4417,4250" coordsize="2804,1405" path="m7220,5653l7218,5576,7212,5500,7202,5426,7188,5352,7170,5280,7149,5210,7124,5141,7096,5074,7064,5008,7029,4945,6991,4884,6950,4825,6906,4768,6859,4713,6809,4661,6757,4612,6703,4565,6646,4521,6587,4480,6525,4442,6462,4407,6397,4375,6330,4347,6261,4322,6190,4300,6118,4282,6045,4268,5970,4258,5894,4252,5817,4250,5740,4252,5664,4258,5590,4268,5516,4282,5444,4300,5374,4322,5305,4347,5238,4375,5173,4407,5110,4442,5049,4480,4989,4521,4933,4565,4878,4612,4826,4662,4777,4714,4730,4768,4687,4825,4646,4885,4608,4946,4573,5009,4541,5075,4513,5142,4488,5211,4467,5281,4449,5353,4435,5427,4425,5502,4419,5578,4417,5655e" filled="false" stroked="true" strokeweight="25pt" strokecolor="#008fdd">
                  <v:path arrowok="t"/>
                  <v:stroke dashstyle="solid"/>
                </v:shape>
                <v:shape style="position:absolute;left:7288;top:4086;width:227;height:227" type="#_x0000_t75" id="docshape13" stroked="false">
                  <v:imagedata r:id="rId6" o:title=""/>
                </v:shape>
                <v:line style="position:absolute" from="5402,3077" to="5402,3577" stroked="true" strokeweight="15.6348pt" strokecolor="#a06973">
                  <v:stroke dashstyle="solid"/>
                </v:line>
                <v:line style="position:absolute" from="6088,3327" to="8154,3327" stroked="true" strokeweight="25.012pt" strokecolor="#a06973">
                  <v:stroke dashstyle="solid"/>
                </v:line>
                <v:shape style="position:absolute;left:4408;top:988;width:1345;height:4678" id="docshape14" coordorigin="4409,988" coordsize="1345,4678" path="m5753,988l5689,1027,5625,1068,5563,1110,5502,1154,5443,1200,5384,1247,5327,1296,5272,1346,5217,1398,5165,1452,5113,1506,5064,1563,5016,1620,4969,1679,4924,1739,4881,1801,4839,1863,4799,1927,4761,1992,4724,2059,4690,2126,4657,2194,4626,2264,4597,2334,4570,2406,4545,2478,4522,2551,4501,2626,4482,2701,4465,2777,4450,2853,4438,2931,4428,3009,4419,3088,4414,3167,4410,3247,4409,3328,4410,3408,4414,3488,4419,3568,4428,3646,4438,3725,4450,3802,4465,3878,4482,3954,4501,4029,4522,4103,4545,4177,4570,4249,4597,4321,4626,4391,4657,4460,4689,4529,4724,4596,4760,4662,4798,4727,4838,4791,4880,4854,4923,4915,4968,4976,5015,5034,5063,5092,5113,5148,5164,5203,5216,5256,5270,5308,5326,5358,5383,5407,5441,5455,5501,5500,5562,5544,5624,5587,5687,5627,5752,5666e" filled="false" stroked="true" strokeweight="25.0pt" strokecolor="#008fdd">
                  <v:path arrowok="t"/>
                  <v:stroke dashstyle="solid"/>
                </v:shape>
                <v:line style="position:absolute" from="3233,3327" to="4995,3327" stroked="true" strokeweight="25pt" strokecolor="#be959b">
                  <v:stroke dashstyle="solid"/>
                </v:line>
                <v:rect style="position:absolute;left:5557;top:3077;width:530;height:2314" id="docshape15" filled="true" fillcolor="#231f20" stroked="false">
                  <v:fill opacity="26214f" type="solid"/>
                </v:rect>
                <v:line style="position:absolute" from="5815,5176" to="5815,3106" stroked="true" strokeweight="2.5pt" strokecolor="#ffffff">
                  <v:stroke dashstyle="shortdot"/>
                </v:line>
                <v:shape style="position:absolute;left:8420;top:3077;width:1447;height:501" type="#_x0000_t75" id="docshape16" stroked="false">
                  <v:imagedata r:id="rId7" o:title=""/>
                </v:shape>
                <v:shape style="position:absolute;left:9360;top:2531;width:802;height:1604" id="docshape17" coordorigin="9360,2531" coordsize="802,1604" path="m9360,2531l10162,3333,9360,4135e" filled="false" stroked="true" strokeweight="25pt" strokecolor="#008fdd">
                  <v:path arrowok="t"/>
                  <v:stroke dashstyle="solid"/>
                </v:shape>
                <v:shape style="position:absolute;left:1120;top:3077;width:1431;height:501" type="#_x0000_t75" id="docshape18" stroked="false">
                  <v:imagedata r:id="rId8" o:title=""/>
                </v:shape>
                <v:shape style="position:absolute;left:2060;top:2531;width:802;height:1604" id="docshape19" coordorigin="2060,2531" coordsize="802,1604" path="m2060,2531l2862,3333,2060,4135e" filled="false" stroked="true" strokeweight="25pt" strokecolor="#6a1c31">
                  <v:path arrowok="t"/>
                  <v:stroke dashstyle="solid"/>
                </v:shape>
                <v:rect style="position:absolute;left:5740;top:5229;width:162;height:162" id="docshape20" filled="true" fillcolor="#ffffff" stroked="false">
                  <v:fill type="solid"/>
                </v:rect>
                <v:rect style="position:absolute;left:5740;top:5229;width:162;height:162" id="docshape21" filled="false" stroked="true" strokeweight="2.5pt" strokecolor="#231f20">
                  <v:stroke dashstyle="solid"/>
                </v:rect>
                <v:shape style="position:absolute;left:5740;top:5310;width:162;height:2" id="docshape22" coordorigin="5741,5310" coordsize="162,0" path="m5902,5310l5741,5310e" filled="true" fillcolor="#ffffff" stroked="false">
                  <v:path arrowok="t"/>
                  <v:fill type="solid"/>
                </v:shape>
                <v:rect style="position:absolute;left:5740;top:5285;width:162;height:50" id="docshape23" filled="true" fillcolor="#231f20" stroked="false">
                  <v:fill type="solid"/>
                </v:rect>
                <v:shape style="position:absolute;left:5821;top:5229;width:2;height:162" id="docshape24" coordorigin="5822,5229" coordsize="0,162" path="m5822,5229l5822,5391e" filled="true" fillcolor="#ffffff" stroked="false">
                  <v:path arrowok="t"/>
                  <v:fill type="solid"/>
                </v:shape>
                <v:line style="position:absolute" from="5822,5229" to="5822,5391" stroked="true" strokeweight="2.5pt" strokecolor="#231f20">
                  <v:stroke dashstyle="solid"/>
                </v:line>
                <v:rect style="position:absolute;left:5579;top:5229;width:162;height:162" id="docshape25" filled="true" fillcolor="#ffffff" stroked="false">
                  <v:fill type="solid"/>
                </v:rect>
                <v:rect style="position:absolute;left:5579;top:5229;width:162;height:162" id="docshape26" filled="false" stroked="true" strokeweight="2.5pt" strokecolor="#231f20">
                  <v:stroke dashstyle="solid"/>
                </v:rect>
                <v:shape style="position:absolute;left:5579;top:5310;width:162;height:2" id="docshape27" coordorigin="5579,5310" coordsize="162,0" path="m5741,5310l5579,5310e" filled="true" fillcolor="#ffffff" stroked="false">
                  <v:path arrowok="t"/>
                  <v:fill type="solid"/>
                </v:shape>
                <v:rect style="position:absolute;left:5579;top:5285;width:162;height:50" id="docshape28" filled="true" fillcolor="#231f20" stroked="false">
                  <v:fill type="solid"/>
                </v:rect>
                <v:shape style="position:absolute;left:5660;top:5229;width:2;height:162" id="docshape29" coordorigin="5660,5229" coordsize="0,162" path="m5660,5229l5660,5391e" filled="true" fillcolor="#ffffff" stroked="false">
                  <v:path arrowok="t"/>
                  <v:fill type="solid"/>
                </v:shape>
                <v:line style="position:absolute" from="5660,5229" to="5660,5391" stroked="true" strokeweight="2.5pt" strokecolor="#231f20">
                  <v:stroke dashstyle="solid"/>
                </v:line>
                <v:rect style="position:absolute;left:5902;top:5229;width:162;height:162" id="docshape30" filled="true" fillcolor="#ffffff" stroked="false">
                  <v:fill type="solid"/>
                </v:rect>
                <v:rect style="position:absolute;left:5902;top:5229;width:162;height:162" id="docshape31" filled="false" stroked="true" strokeweight="2.5pt" strokecolor="#231f20">
                  <v:stroke dashstyle="solid"/>
                </v:rect>
                <v:shape style="position:absolute;left:5902;top:5310;width:162;height:2" id="docshape32" coordorigin="5902,5310" coordsize="162,0" path="m6064,5310l5902,5310e" filled="true" fillcolor="#ffffff" stroked="false">
                  <v:path arrowok="t"/>
                  <v:fill type="solid"/>
                </v:shape>
                <v:rect style="position:absolute;left:5902;top:5285;width:162;height:50" id="docshape33" filled="true" fillcolor="#231f20" stroked="false">
                  <v:fill type="solid"/>
                </v:rect>
                <v:shape style="position:absolute;left:5983;top:5229;width:2;height:162" id="docshape34" coordorigin="5983,5229" coordsize="0,162" path="m5983,5229l5983,5391e" filled="true" fillcolor="#ffffff" stroked="false">
                  <v:path arrowok="t"/>
                  <v:fill type="solid"/>
                </v:shape>
                <v:line style="position:absolute" from="5983,5229" to="5983,5391" stroked="true" strokeweight="2.5pt" strokecolor="#231f20">
                  <v:stroke dashstyle="solid"/>
                </v:line>
                <v:rect style="position:absolute;left:5740;top:5067;width:162;height:162" id="docshape35" filled="true" fillcolor="#ffffff" stroked="false">
                  <v:fill type="solid"/>
                </v:rect>
                <v:rect style="position:absolute;left:5740;top:5067;width:162;height:162" id="docshape36" filled="false" stroked="true" strokeweight="2.5pt" strokecolor="#231f20">
                  <v:stroke dashstyle="solid"/>
                </v:rect>
                <v:shape style="position:absolute;left:5740;top:5148;width:162;height:2" id="docshape37" coordorigin="5741,5149" coordsize="162,0" path="m5902,5149l5741,5149e" filled="true" fillcolor="#ffffff" stroked="false">
                  <v:path arrowok="t"/>
                  <v:fill type="solid"/>
                </v:shape>
                <v:rect style="position:absolute;left:5740;top:5123;width:162;height:50" id="docshape38" filled="true" fillcolor="#231f20" stroked="false">
                  <v:fill type="solid"/>
                </v:rect>
                <v:shape style="position:absolute;left:5821;top:5067;width:2;height:162" id="docshape39" coordorigin="5822,5068" coordsize="0,162" path="m5822,5068l5822,5229e" filled="true" fillcolor="#ffffff" stroked="false">
                  <v:path arrowok="t"/>
                  <v:fill type="solid"/>
                </v:shape>
                <v:line style="position:absolute" from="5822,5068" to="5822,5229" stroked="true" strokeweight="2.5pt" strokecolor="#231f20">
                  <v:stroke dashstyle="solid"/>
                </v:line>
                <v:rect style="position:absolute;left:5579;top:5067;width:162;height:162" id="docshape40" filled="true" fillcolor="#ffffff" stroked="false">
                  <v:fill type="solid"/>
                </v:rect>
                <v:rect style="position:absolute;left:5579;top:5067;width:162;height:162" id="docshape41" filled="false" stroked="true" strokeweight="2.5pt" strokecolor="#231f20">
                  <v:stroke dashstyle="solid"/>
                </v:rect>
                <v:shape style="position:absolute;left:5579;top:5148;width:162;height:2" id="docshape42" coordorigin="5579,5149" coordsize="162,0" path="m5741,5149l5579,5149e" filled="true" fillcolor="#ffffff" stroked="false">
                  <v:path arrowok="t"/>
                  <v:fill type="solid"/>
                </v:shape>
                <v:rect style="position:absolute;left:5579;top:5123;width:162;height:50" id="docshape43" filled="true" fillcolor="#231f20" stroked="false">
                  <v:fill type="solid"/>
                </v:rect>
                <v:shape style="position:absolute;left:5660;top:5067;width:2;height:162" id="docshape44" coordorigin="5660,5068" coordsize="0,162" path="m5660,5068l5660,5229e" filled="true" fillcolor="#ffffff" stroked="false">
                  <v:path arrowok="t"/>
                  <v:fill type="solid"/>
                </v:shape>
                <v:line style="position:absolute" from="5660,5068" to="5660,5229" stroked="true" strokeweight="2.5pt" strokecolor="#231f20">
                  <v:stroke dashstyle="solid"/>
                </v:line>
                <v:rect style="position:absolute;left:5902;top:5067;width:162;height:162" id="docshape45" filled="true" fillcolor="#ffffff" stroked="false">
                  <v:fill type="solid"/>
                </v:rect>
                <v:rect style="position:absolute;left:5902;top:5067;width:162;height:162" id="docshape46" filled="false" stroked="true" strokeweight="2.5pt" strokecolor="#231f20">
                  <v:stroke dashstyle="solid"/>
                </v:rect>
                <v:shape style="position:absolute;left:5902;top:5148;width:162;height:2" id="docshape47" coordorigin="5902,5149" coordsize="162,0" path="m6064,5149l5902,5149e" filled="true" fillcolor="#ffffff" stroked="false">
                  <v:path arrowok="t"/>
                  <v:fill type="solid"/>
                </v:shape>
                <v:rect style="position:absolute;left:5902;top:5123;width:162;height:50" id="docshape48" filled="true" fillcolor="#231f20" stroked="false">
                  <v:fill type="solid"/>
                </v:rect>
                <v:shape style="position:absolute;left:5983;top:5067;width:2;height:162" id="docshape49" coordorigin="5983,5068" coordsize="0,162" path="m5983,5068l5983,5229e" filled="true" fillcolor="#ffffff" stroked="false">
                  <v:path arrowok="t"/>
                  <v:fill type="solid"/>
                </v:shape>
                <v:line style="position:absolute" from="5983,5068" to="5983,5229" stroked="true" strokeweight="2.5pt" strokecolor="#231f20">
                  <v:stroke dashstyle="solid"/>
                </v:line>
                <v:rect style="position:absolute;left:5740;top:4906;width:162;height:162" id="docshape50" filled="true" fillcolor="#ffffff" stroked="false">
                  <v:fill type="solid"/>
                </v:rect>
                <v:rect style="position:absolute;left:5740;top:4906;width:162;height:162" id="docshape51" filled="false" stroked="true" strokeweight="2.5pt" strokecolor="#231f20">
                  <v:stroke dashstyle="solid"/>
                </v:rect>
                <v:shape style="position:absolute;left:5740;top:4986;width:162;height:2" id="docshape52" coordorigin="5741,4987" coordsize="162,0" path="m5902,4987l5741,4987e" filled="true" fillcolor="#ffffff" stroked="false">
                  <v:path arrowok="t"/>
                  <v:fill type="solid"/>
                </v:shape>
                <v:rect style="position:absolute;left:5740;top:4961;width:162;height:50" id="docshape53" filled="true" fillcolor="#231f20" stroked="false">
                  <v:fill type="solid"/>
                </v:rect>
                <v:shape style="position:absolute;left:5821;top:4906;width:2;height:162" id="docshape54" coordorigin="5822,4906" coordsize="0,162" path="m5822,4906l5822,5068e" filled="true" fillcolor="#ffffff" stroked="false">
                  <v:path arrowok="t"/>
                  <v:fill type="solid"/>
                </v:shape>
                <v:line style="position:absolute" from="5822,4906" to="5822,5068" stroked="true" strokeweight="2.5pt" strokecolor="#231f20">
                  <v:stroke dashstyle="solid"/>
                </v:line>
                <v:rect style="position:absolute;left:5902;top:4906;width:162;height:162" id="docshape55" filled="true" fillcolor="#ffffff" stroked="false">
                  <v:fill type="solid"/>
                </v:rect>
                <v:rect style="position:absolute;left:5902;top:4906;width:162;height:162" id="docshape56" filled="false" stroked="true" strokeweight="2.5pt" strokecolor="#231f20">
                  <v:stroke dashstyle="solid"/>
                </v:rect>
                <v:shape style="position:absolute;left:5902;top:4986;width:162;height:2" id="docshape57" coordorigin="5902,4987" coordsize="162,0" path="m6064,4987l5902,4987e" filled="true" fillcolor="#ffffff" stroked="false">
                  <v:path arrowok="t"/>
                  <v:fill type="solid"/>
                </v:shape>
                <v:rect style="position:absolute;left:5902;top:4961;width:162;height:50" id="docshape58" filled="true" fillcolor="#231f20" stroked="false">
                  <v:fill type="solid"/>
                </v:rect>
                <v:shape style="position:absolute;left:5983;top:4906;width:2;height:162" id="docshape59" coordorigin="5983,4906" coordsize="0,162" path="m5983,4906l5983,5068e" filled="true" fillcolor="#ffffff" stroked="false">
                  <v:path arrowok="t"/>
                  <v:fill type="solid"/>
                </v:shape>
                <v:line style="position:absolute" from="5983,4906" to="5983,5068" stroked="true" strokeweight="2.5pt" strokecolor="#231f20">
                  <v:stroke dashstyle="solid"/>
                </v:line>
                <v:rect style="position:absolute;left:5740;top:4744;width:162;height:162" id="docshape60" filled="true" fillcolor="#ffffff" stroked="false">
                  <v:fill type="solid"/>
                </v:rect>
                <v:rect style="position:absolute;left:5740;top:4744;width:162;height:162" id="docshape61" filled="false" stroked="true" strokeweight="2.5pt" strokecolor="#231f20">
                  <v:stroke dashstyle="solid"/>
                </v:rect>
                <v:shape style="position:absolute;left:5740;top:4825;width:162;height:2" id="docshape62" coordorigin="5741,4825" coordsize="162,0" path="m5902,4825l5741,4825e" filled="true" fillcolor="#ffffff" stroked="false">
                  <v:path arrowok="t"/>
                  <v:fill type="solid"/>
                </v:shape>
                <v:rect style="position:absolute;left:5740;top:4800;width:162;height:50" id="docshape63" filled="true" fillcolor="#231f20" stroked="false">
                  <v:fill type="solid"/>
                </v:rect>
                <v:shape style="position:absolute;left:5821;top:4744;width:2;height:162" id="docshape64" coordorigin="5822,4745" coordsize="0,162" path="m5822,4745l5822,4906e" filled="true" fillcolor="#ffffff" stroked="false">
                  <v:path arrowok="t"/>
                  <v:fill type="solid"/>
                </v:shape>
                <v:line style="position:absolute" from="5822,4745" to="5822,4906" stroked="true" strokeweight="2.5pt" strokecolor="#231f20">
                  <v:stroke dashstyle="solid"/>
                </v:line>
                <v:rect style="position:absolute;left:5902;top:4744;width:162;height:162" id="docshape65" filled="true" fillcolor="#ffffff" stroked="false">
                  <v:fill type="solid"/>
                </v:rect>
                <v:rect style="position:absolute;left:5902;top:4744;width:162;height:162" id="docshape66" filled="false" stroked="true" strokeweight="2.5pt" strokecolor="#231f20">
                  <v:stroke dashstyle="solid"/>
                </v:rect>
                <v:shape style="position:absolute;left:5902;top:4825;width:162;height:2" id="docshape67" coordorigin="5902,4825" coordsize="162,0" path="m6064,4825l5902,4825e" filled="true" fillcolor="#ffffff" stroked="false">
                  <v:path arrowok="t"/>
                  <v:fill type="solid"/>
                </v:shape>
                <v:rect style="position:absolute;left:5902;top:4800;width:162;height:50" id="docshape68" filled="true" fillcolor="#231f20" stroked="false">
                  <v:fill type="solid"/>
                </v:rect>
                <v:shape style="position:absolute;left:5983;top:4744;width:2;height:162" id="docshape69" coordorigin="5983,4745" coordsize="0,162" path="m5983,4745l5983,4906e" filled="true" fillcolor="#ffffff" stroked="false">
                  <v:path arrowok="t"/>
                  <v:fill type="solid"/>
                </v:shape>
                <v:line style="position:absolute" from="5983,4745" to="5983,4906" stroked="true" strokeweight="2.5pt" strokecolor="#231f20">
                  <v:stroke dashstyle="solid"/>
                </v:line>
                <v:rect style="position:absolute;left:5740;top:4583;width:162;height:162" id="docshape70" filled="true" fillcolor="#ffffff" stroked="false">
                  <v:fill type="solid"/>
                </v:rect>
                <v:rect style="position:absolute;left:5740;top:4583;width:162;height:162" id="docshape71" filled="false" stroked="true" strokeweight="2.5pt" strokecolor="#231f20">
                  <v:stroke dashstyle="solid"/>
                </v:rect>
                <v:shape style="position:absolute;left:5821;top:4582;width:2;height:162" id="docshape72" coordorigin="5822,4583" coordsize="0,162" path="m5822,4583l5822,4745e" filled="true" fillcolor="#ffffff" stroked="false">
                  <v:path arrowok="t"/>
                  <v:fill type="solid"/>
                </v:shape>
                <v:line style="position:absolute" from="5822,4583" to="5822,4745" stroked="true" strokeweight="2.5pt" strokecolor="#231f20">
                  <v:stroke dashstyle="solid"/>
                </v:line>
                <v:shape style="position:absolute;left:5814;top:4214;width:2;height:373" id="docshape73" coordorigin="5815,4214" coordsize="0,373" path="m5815,4214l5815,4587e" filled="true" fillcolor="#ffffff" stroked="false">
                  <v:path arrowok="t"/>
                  <v:fill type="solid"/>
                </v:shape>
                <v:line style="position:absolute" from="5815,4214" to="5815,4587" stroked="true" strokeweight="2.5pt" strokecolor="#231f20">
                  <v:stroke dashstyle="solid"/>
                </v:line>
                <v:rect style="position:absolute;left:3760;top:4845;width:271;height:271" id="docshape74" filled="true" fillcolor="#231f20" stroked="false">
                  <v:fill type="solid"/>
                </v:rect>
                <v:rect style="position:absolute;left:3760;top:4845;width:271;height:271" id="docshape75" filled="false" stroked="true" strokeweight="3.354pt" strokecolor="#231f20">
                  <v:stroke dashstyle="solid"/>
                </v:rect>
                <v:rect style="position:absolute;left:3760;top:4710;width:271;height:136" id="docshape76" filled="true" fillcolor="#231f20" stroked="false">
                  <v:fill type="solid"/>
                </v:rect>
                <v:rect style="position:absolute;left:3760;top:4710;width:271;height:136" id="docshape77" filled="false" stroked="true" strokeweight="3.354pt" strokecolor="#231f20">
                  <v:stroke dashstyle="solid"/>
                </v:rect>
                <v:shape style="position:absolute;left:4030;top:4574;width:351;height:542" id="docshape78" coordorigin="4031,4574" coordsize="351,542" path="m4382,4574l4031,4574,4031,5116,4213,5116,4382,4574xe" filled="true" fillcolor="#231f20" stroked="false">
                  <v:path arrowok="t"/>
                  <v:fill type="solid"/>
                </v:shape>
                <v:shape style="position:absolute;left:4030;top:4574;width:351;height:542" id="docshape79" coordorigin="4031,4574" coordsize="351,542" path="m4031,5116l4213,5116,4382,4574,4031,4574,4031,5116xe" filled="false" stroked="true" strokeweight="3.354pt" strokecolor="#231f20">
                  <v:path arrowok="t"/>
                  <v:stroke dashstyle="solid"/>
                </v:shape>
                <v:shape style="position:absolute;left:3727;top:4904;width:1196;height:510" id="docshape80" coordorigin="3727,4904" coordsize="1196,510" path="m4524,4904l4519,4930,4504,4951,4483,4966,4457,4971,4431,4966,4410,4951,4396,4930,4391,4904,4391,4968,4396,4994,4410,5015,4431,5029,4457,5034,4483,5029,4504,5015,4519,4994,4524,4968,4524,4904xm4657,5032l4651,5058,4637,5079,4616,5093,4590,5098,4564,5093,4543,5079,4529,5058,4524,5032,4519,5058,4504,5079,4483,5093,4457,5098,4431,5093,4410,5079,4396,5058,4391,5032,4391,5095,4396,5121,4410,5142,4431,5157,4457,5162,4483,5157,4504,5142,4519,5121,4524,5095,4529,5121,4543,5142,4564,5157,4590,5162,4616,5157,4637,5142,4651,5121,4657,5095,4657,5032xm4789,5158l4784,5184,4770,5205,4749,5219,4723,5225,4697,5219,4676,5205,4662,5184,4657,5158,4657,5158,4657,5158,4657,5158,4651,5184,4637,5205,4616,5219,4590,5225,4564,5219,4543,5205,4529,5184,4524,5158,4519,5184,4504,5205,4483,5219,4457,5225,4431,5219,4410,5205,4396,5184,4391,5158,4391,5158,4391,5158,4391,5158,4386,5184,4372,5205,4350,5219,4325,5225,4299,5219,4278,5205,4263,5184,4258,5158,4258,5158,4258,5158,4258,5158,4253,5184,4239,5205,4218,5219,4192,5225,4166,5219,4145,5205,4131,5184,4125,5158,4120,5184,4106,5205,4085,5219,4059,5225,4033,5219,4012,5205,3998,5184,3993,5158,3987,5184,3973,5205,3952,5219,3926,5225,3900,5219,3879,5205,3865,5184,3860,5158,3860,5158,3860,5158,3860,5158,3855,5184,3840,5205,3819,5219,3793,5225,3768,5219,3746,5205,3732,5184,3727,5158,3727,5222,3732,5247,3746,5268,3768,5283,3793,5288,3819,5283,3840,5268,3855,5247,3860,5222,3865,5247,3879,5268,3900,5283,3926,5288,3952,5283,3973,5268,3987,5247,3993,5222,3998,5247,4012,5268,4033,5283,4059,5288,4085,5283,4106,5268,4120,5247,4125,5222,4131,5247,4145,5268,4166,5283,4192,5288,4218,5283,4239,5268,4253,5247,4258,5222,4263,5247,4278,5268,4299,5283,4325,5288,4350,5283,4372,5268,4386,5247,4391,5222,4396,5247,4410,5268,4431,5283,4457,5288,4483,5283,4504,5268,4519,5247,4524,5222,4529,5247,4543,5268,4564,5283,4590,5288,4616,5283,4637,5268,4651,5247,4657,5222,4662,5247,4676,5268,4697,5283,4723,5288,4749,5283,4770,5268,4784,5247,4789,5222,4789,5158xm4922,5284l4917,5310,4903,5331,4882,5345,4856,5351,4830,5345,4809,5331,4795,5310,4789,5284,4784,5310,4770,5331,4749,5345,4723,5351,4697,5345,4676,5331,4662,5310,4657,5284,4657,5284,4657,5284,4657,5284,4651,5310,4637,5331,4616,5345,4590,5351,4564,5345,4543,5331,4529,5310,4524,5284,4519,5310,4504,5331,4483,5345,4457,5351,4431,5345,4410,5331,4396,5310,4391,5284,4391,5284,4391,5284,4391,5284,4386,5310,4372,5331,4350,5345,4325,5351,4299,5345,4278,5331,4263,5310,4258,5284,4258,5284,4258,5284,4258,5284,4253,5310,4239,5331,4218,5345,4192,5351,4166,5345,4145,5331,4131,5310,4125,5284,4120,5310,4106,5331,4085,5345,4059,5351,4033,5345,4012,5331,3998,5310,3993,5284,3987,5310,3973,5331,3952,5345,3926,5351,3900,5345,3879,5331,3865,5310,3860,5284,3860,5348,3865,5373,3879,5395,3900,5409,3926,5414,3952,5409,3973,5395,3987,5373,3993,5348,3998,5373,4012,5395,4033,5409,4059,5414,4085,5409,4106,5395,4120,5373,4125,5348,4131,5373,4145,5395,4166,5409,4192,5414,4218,5409,4239,5395,4253,5373,4258,5348,4263,5373,4278,5395,4299,5409,4325,5414,4350,5409,4372,5395,4386,5373,4391,5348,4396,5373,4410,5395,4431,5409,4457,5414,4483,5409,4504,5395,4519,5373,4524,5348,4529,5373,4543,5395,4564,5409,4590,5414,4616,5409,4637,5395,4651,5373,4657,5348,4662,5373,4676,5395,4697,5409,4723,5414,4749,5409,4770,5395,4784,5373,4789,5348,4795,5373,4809,5395,4830,5409,4856,5414,4882,5409,4903,5395,4917,5373,4922,5348,4922,5284xe" filled="true" fillcolor="#6a1c31" stroked="false">
                  <v:path arrowok="t"/>
                  <v:fill type="solid"/>
                </v:shape>
                <v:shape style="position:absolute;left:3795;top:4810;width:205;height:68" id="docshape81" coordorigin="3795,4811" coordsize="205,68" path="m3863,4845l3860,4831,3853,4821,3842,4813,3829,4811,3816,4813,3805,4821,3798,4831,3795,4845,3798,4858,3805,4869,3816,4876,3829,4879,3842,4876,3853,4869,3860,4858,3863,4845xm3999,4845l3997,4831,3989,4821,3979,4813,3966,4811,3952,4813,3942,4821,3934,4831,3932,4845,3934,4858,3942,4869,3952,4876,3966,4879,3979,4876,3989,4869,3997,4858,3999,4845xe" filled="true" fillcolor="#ffffff" stroked="false">
                  <v:path arrowok="t"/>
                  <v:fill type="solid"/>
                </v:shape>
                <v:line style="position:absolute" from="4153,4177" to="4153,4593" stroked="true" strokeweight="2.5pt" strokecolor="#231f20">
                  <v:stroke dashstyle="solid"/>
                </v:line>
                <v:line style="position:absolute" from="7632,2860" to="7538,2766" stroked="true" strokeweight="1.125pt" strokecolor="#9d9fa2">
                  <v:stroke dashstyle="solid"/>
                </v:line>
                <v:line style="position:absolute" from="7537,2373" to="7537,2548" stroked="true" strokeweight="1pt" strokecolor="#231f20">
                  <v:stroke dashstyle="solid"/>
                </v:line>
                <v:shape style="position:absolute;left:7498;top:2650;width:80;height:135" id="docshape82" coordorigin="7498,2651" coordsize="80,135" path="m7577,2746l7574,2761,7566,2774,7553,2782,7538,2785,7522,2782,7510,2774,7501,2761,7498,2746,7501,2730,7510,2718,7522,2709,7538,2706,7538,2651e" filled="false" stroked="true" strokeweight="1pt" strokecolor="#231f20">
                  <v:path arrowok="t"/>
                  <v:stroke dashstyle="solid"/>
                </v:shape>
                <v:rect style="position:absolute;left:7691;top:2920;width:137;height:137" id="docshape83" filled="false" stroked="true" strokeweight="2.5pt" strokecolor="#231f20">
                  <v:stroke dashstyle="solid"/>
                </v:rect>
                <v:line style="position:absolute" from="7691,3057" to="7828,2920" stroked="true" strokeweight="2.5pt" strokecolor="#231f20">
                  <v:stroke dashstyle="solid"/>
                </v:line>
                <v:rect style="position:absolute;left:7691;top:2783;width:137;height:137" id="docshape84" filled="false" stroked="true" strokeweight="2.5pt" strokecolor="#231f20">
                  <v:stroke dashstyle="solid"/>
                </v:rect>
                <v:line style="position:absolute" from="7691,2920" to="7828,2783" stroked="true" strokeweight="2.5pt" strokecolor="#231f20">
                  <v:stroke dashstyle="solid"/>
                </v:line>
                <v:rect style="position:absolute;left:7691;top:2645;width:137;height:137" id="docshape85" filled="false" stroked="true" strokeweight="2.5pt" strokecolor="#231f20">
                  <v:stroke dashstyle="solid"/>
                </v:rect>
                <v:line style="position:absolute" from="7691,2783" to="7828,2646" stroked="true" strokeweight="2.5pt" strokecolor="#231f20">
                  <v:stroke dashstyle="solid"/>
                </v:line>
                <v:rect style="position:absolute;left:7691;top:2508;width:137;height:137" id="docshape86" filled="false" stroked="true" strokeweight="2.5pt" strokecolor="#231f20">
                  <v:stroke dashstyle="solid"/>
                </v:rect>
                <v:line style="position:absolute" from="7691,2646" to="7828,2509" stroked="true" strokeweight="2.5pt" strokecolor="#231f20">
                  <v:stroke dashstyle="solid"/>
                </v:line>
                <v:rect style="position:absolute;left:7691;top:2371;width:137;height:137" id="docshape87" filled="false" stroked="true" strokeweight="2.5pt" strokecolor="#231f20">
                  <v:stroke dashstyle="solid"/>
                </v:rect>
                <v:line style="position:absolute" from="7691,2509" to="7828,2372" stroked="true" strokeweight="2.5pt" strokecolor="#231f20">
                  <v:stroke dashstyle="solid"/>
                </v:line>
                <v:rect style="position:absolute;left:7691;top:2234;width:137;height:137" id="docshape88" filled="false" stroked="true" strokeweight="2.5pt" strokecolor="#231f20">
                  <v:stroke dashstyle="solid"/>
                </v:rect>
                <v:line style="position:absolute" from="7691,2372" to="7828,2235" stroked="true" strokeweight="2.5pt" strokecolor="#231f20">
                  <v:stroke dashstyle="solid"/>
                </v:line>
                <v:rect style="position:absolute;left:7554;top:2234;width:137;height:137" id="docshape89" filled="false" stroked="true" strokeweight="2.5pt" strokecolor="#231f20">
                  <v:stroke dashstyle="solid"/>
                </v:rect>
                <v:line style="position:absolute" from="7554,2372" to="7690,2235" stroked="true" strokeweight="2.5pt" strokecolor="#231f20">
                  <v:stroke dashstyle="solid"/>
                </v:line>
                <v:rect style="position:absolute;left:7416;top:2234;width:137;height:137" id="docshape90" filled="false" stroked="true" strokeweight="2.5pt" strokecolor="#231f20">
                  <v:stroke dashstyle="solid"/>
                </v:rect>
                <v:line style="position:absolute" from="7416,2372" to="7553,2235" stroked="true" strokeweight="2.5pt" strokecolor="#231f20">
                  <v:stroke dashstyle="solid"/>
                </v:line>
                <v:rect style="position:absolute;left:7279;top:2234;width:137;height:137" id="docshape91" filled="false" stroked="true" strokeweight="2.5pt" strokecolor="#231f20">
                  <v:stroke dashstyle="solid"/>
                </v:rect>
                <v:line style="position:absolute" from="7279,2372" to="7416,2235" stroked="true" strokeweight="2.5pt" strokecolor="#231f20">
                  <v:stroke dashstyle="solid"/>
                </v:line>
                <v:shape style="position:absolute;left:7142;top:2234;width:137;height:137" id="docshape92" coordorigin="7143,2235" coordsize="137,137" path="m7279,2235l7279,2371,7143,2371,7279,2235xe" filled="false" stroked="true" strokeweight="2.5pt" strokecolor="#231f20">
                  <v:path arrowok="t"/>
                  <v:stroke dashstyle="solid"/>
                </v:shape>
                <v:rect style="position:absolute;left:7691;top:2097;width:137;height:137" id="docshape93" filled="false" stroked="true" strokeweight="2.5pt" strokecolor="#231f20">
                  <v:stroke dashstyle="solid"/>
                </v:rect>
                <v:line style="position:absolute" from="7691,2235" to="7828,2098" stroked="true" strokeweight="2.5pt" strokecolor="#231f20">
                  <v:stroke dashstyle="solid"/>
                </v:line>
                <v:rect style="position:absolute;left:7691;top:1960;width:137;height:137" id="docshape94" filled="false" stroked="true" strokeweight="2.5pt" strokecolor="#231f20">
                  <v:stroke dashstyle="solid"/>
                </v:rect>
                <v:line style="position:absolute" from="7691,2098" to="7828,1961" stroked="true" strokeweight="2.5pt" strokecolor="#231f20">
                  <v:stroke dashstyle="solid"/>
                </v:line>
                <v:shape style="position:absolute;left:7458;top:2508;width:159;height:159" id="docshape95" coordorigin="7459,2509" coordsize="159,159" path="m7538,2509l7507,2515,7482,2532,7465,2557,7459,2588,7465,2618,7482,2644,7507,2660,7538,2667,7569,2660,7594,2644,7611,2618,7617,2588,7611,2557,7594,2532,7569,2515,7538,2509xe" filled="true" fillcolor="#231f20" stroked="false">
                  <v:path arrowok="t"/>
                  <v:fill type="solid"/>
                </v:shape>
                <v:rect style="position:absolute;left:7432;top:2862;width:213;height:195" id="docshape96" filled="true" fillcolor="#6a1c31" stroked="false">
                  <v:fill type="solid"/>
                </v:rect>
                <v:line style="position:absolute" from="7443,2860" to="7537,2766" stroked="true" strokeweight="1.125pt" strokecolor="#9d9fa2">
                  <v:stroke dashstyle="solid"/>
                </v:line>
                <v:shape style="position:absolute;left:3231;top:3076;width:1526;height:500" id="docshape97" coordorigin="3232,3077" coordsize="1526,500" path="m3382,3077l3232,3077,3232,3576,3382,3576,3382,3077xm3726,3077l3576,3077,3576,3576,3726,3576,3726,3077xm4070,3077l3920,3077,3920,3576,4070,3576,4070,3077xm4413,3077l4264,3077,4264,3576,4413,3576,4413,3077xm4757,3077l4607,3077,4607,3576,4757,3576,4757,3077xe" filled="true" fillcolor="#231f20" stroked="false">
                  <v:path arrowok="t"/>
                  <v:fill opacity="16384f" type="solid"/>
                </v:shape>
                <v:line style="position:absolute" from="3228,3182" to="5560,3182" stroked="true" strokeweight="2pt" strokecolor="#ffffff">
                  <v:stroke dashstyle="solid"/>
                </v:line>
                <v:shape style="position:absolute;left:3967;top:953;width:1299;height:81" type="#_x0000_t75" id="docshape98" stroked="false">
                  <v:imagedata r:id="rId9" o:title=""/>
                </v:shape>
                <v:shape style="position:absolute;left:5240;top:213;width:1573;height:1574" id="docshape99" coordorigin="5241,213" coordsize="1573,1574" path="m6235,1153l5815,1153,5813,1786,6036,1786,6235,1153xm6813,999l6801,940,6768,891,6719,858,6660,846,6235,846,6036,213,5813,213,5815,846,6021,846,5407,846,5303,614,5241,613,5241,846,5241,1153,5241,1153,5241,1386,5303,1386,5407,1153,6659,1153,6719,1141,6768,1108,6801,1059,6813,999xe" filled="true" fillcolor="#231f20" stroked="false">
                  <v:path arrowok="t"/>
                  <v:fill type="solid"/>
                </v:shape>
                <v:shape style="position:absolute;left:6478;top:960;width:205;height:68" id="docshape100" coordorigin="6478,961" coordsize="205,68" path="m6546,994l6543,981,6536,971,6525,963,6512,961,6499,963,6488,971,6481,981,6478,994,6481,1008,6488,1018,6499,1026,6512,1028,6525,1026,6536,1018,6543,1008,6546,994xm6682,994l6680,981,6672,971,6662,963,6648,961,6635,963,6624,971,6617,981,6615,994,6617,1008,6624,1018,6635,1026,6648,1028,6662,1026,6672,1018,6680,1008,6682,994xe" filled="true" fillcolor="#ffffff" stroked="false">
                  <v:path arrowok="t"/>
                  <v:fill type="solid"/>
                </v:shape>
                <v:rect style="position:absolute;left:3228;top:4676;width:500;height:474" id="docshape101" filled="true" fillcolor="#231f20" stroked="false">
                  <v:fill opacity="13107f" type="solid"/>
                </v:rect>
                <v:shape style="position:absolute;left:5559;top:2247;width:779;height:831" id="docshape102" coordorigin="5559,2248" coordsize="779,831" path="m6338,2653l5772,2653,5772,2248,5559,2248,5559,3078,5771,3078,5771,3078,6338,3078,6338,2653xe" filled="true" fillcolor="#231f20" stroked="false">
                  <v:path arrowok="t"/>
                  <v:fill type="solid"/>
                </v:shape>
                <v:shape style="position:absolute;left:5771;top:2511;width:567;height:142" type="#_x0000_t75" id="docshape103" stroked="false">
                  <v:imagedata r:id="rId10" o:title=""/>
                </v:shape>
                <v:shape style="position:absolute;left:5794;top:2832;width:257;height:86" id="docshape104" coordorigin="5794,2832" coordsize="257,86" path="m5879,2832l5794,2832,5794,2917,5879,2917,5879,2832xm6051,2832l5966,2832,5966,2917,6051,2917,6051,2832xe" filled="true" fillcolor="#ffffff" stroked="false">
                  <v:path arrowok="t"/>
                  <v:fill type="solid"/>
                </v:shape>
                <v:shape style="position:absolute;left:7202;top:4430;width:363;height:454" id="docshape105" coordorigin="7202,4431" coordsize="363,454" path="m7555,4431l7213,4431,7202,4441,7202,4874,7213,4884,7555,4884,7565,4874,7565,4862,7565,4441,7555,4431xe" filled="true" fillcolor="#231f20" stroked="false">
                  <v:path arrowok="t"/>
                  <v:fill type="solid"/>
                </v:shape>
                <v:shape style="position:absolute;left:7202;top:4430;width:363;height:454" id="docshape106" coordorigin="7202,4431" coordsize="363,454" path="m7565,4862l7565,4874,7555,4884,7543,4884,7225,4884,7213,4884,7202,4874,7202,4862,7202,4453,7202,4441,7213,4431,7225,4431,7543,4431,7555,4431,7565,4441,7565,4453,7565,4862xe" filled="false" stroked="true" strokeweight="7.2pt" strokecolor="#231f20">
                  <v:path arrowok="t"/>
                  <v:stroke dashstyle="solid"/>
                </v:shape>
                <v:line style="position:absolute" from="7202,4885" to="7202,5339" stroked="true" strokeweight="7.2pt" strokecolor="#231f20">
                  <v:stroke dashstyle="solid"/>
                </v:line>
                <v:line style="position:absolute" from="7566,4885" to="7566,5339" stroked="true" strokeweight="7.2pt" strokecolor="#231f20">
                  <v:stroke dashstyle="solid"/>
                </v:line>
                <v:shape style="position:absolute;left:7563;top:4431;width:273;height:273" id="docshape107" coordorigin="7563,4432" coordsize="273,273" path="m7835,4704l7826,4631,7798,4566,7756,4511,7701,4469,7636,4441,7563,4432e" filled="false" stroked="true" strokeweight="7.2pt" strokecolor="#231f20">
                  <v:path arrowok="t"/>
                  <v:stroke dashstyle="solid"/>
                </v:shape>
                <v:shape style="position:absolute;left:6842;top:4358;width:362;height:145" id="docshape108" coordorigin="6843,4358" coordsize="362,145" path="m7205,4359l6934,4359,6934,4358,6843,4358,6843,4406,6933,4406,6933,4503,7205,4503,7205,4359xe" filled="true" fillcolor="#231f20" stroked="false">
                  <v:path arrowok="t"/>
                  <v:fill type="solid"/>
                </v:shape>
                <v:shape style="position:absolute;left:7419;top:4508;width:488;height:561" id="docshape109" coordorigin="7420,4508" coordsize="488,561" path="m7533,4508l7420,4508,7420,4608,7475,4629,7533,4608,7533,4508xm7908,4707l7638,4707,7638,5068,7908,5068,7908,4707xe" filled="true" fillcolor="#6a1c31" stroked="false">
                  <v:path arrowok="t"/>
                  <v:fill type="solid"/>
                </v:shape>
                <v:line style="position:absolute" from="7692,4819" to="7835,4819" stroked="true" strokeweight="1pt" strokecolor="#231f20">
                  <v:stroke dashstyle="solid"/>
                </v:line>
                <v:line style="position:absolute" from="7692,4873" to="7835,4873" stroked="true" strokeweight="1pt" strokecolor="#231f20">
                  <v:stroke dashstyle="solid"/>
                </v:line>
                <v:line style="position:absolute" from="7692,4927" to="7835,4927" stroked="true" strokeweight="1pt" strokecolor="#231f20">
                  <v:stroke dashstyle="solid"/>
                </v:line>
                <v:line style="position:absolute" from="7692,4981" to="7762,4981" stroked="true" strokeweight="1pt" strokecolor="#231f20">
                  <v:stroke dashstyle="solid"/>
                </v:line>
                <v:shape style="position:absolute;left:4386;top:2399;width:351;height:548" id="docshape110" coordorigin="4386,2399" coordsize="351,548" path="m4575,2399l4386,2399,4386,2947,4737,2947,4737,2677,4701,2623,4620,2619,4575,2399xe" filled="true" fillcolor="#231f20" stroked="false">
                  <v:path arrowok="t"/>
                  <v:fill type="solid"/>
                </v:shape>
                <v:shape style="position:absolute;left:4438;top:2460;width:127;height:156" type="#_x0000_t75" id="docshape111" stroked="false">
                  <v:imagedata r:id="rId11" o:title=""/>
                </v:shape>
                <v:rect style="position:absolute;left:3726;top:2805;width:703;height:142" id="docshape112" filled="true" fillcolor="#231f20" stroked="false">
                  <v:fill type="solid"/>
                </v:rect>
                <v:shape style="position:absolute;left:4402;top:2828;width:234;height:234" type="#_x0000_t75" id="docshape113" stroked="false">
                  <v:imagedata r:id="rId12" o:title=""/>
                </v:shape>
                <v:shape style="position:absolute;left:3847;top:2828;width:234;height:234" type="#_x0000_t75" id="docshape114" stroked="false">
                  <v:imagedata r:id="rId13" o:title=""/>
                </v:shape>
                <v:rect style="position:absolute;left:3778;top:2277;width:607;height:528" id="docshape115" filled="true" fillcolor="#231f20" stroked="false">
                  <v:fill type="solid"/>
                </v:rect>
                <v:rect style="position:absolute;left:3778;top:2277;width:607;height:528" id="docshape116" filled="false" stroked="true" strokeweight="2pt" strokecolor="#231f20">
                  <v:stroke dashstyle="solid"/>
                </v:rect>
                <v:shape style="position:absolute;left:7662;top:4731;width:216;height:29" id="docshape117" coordorigin="7662,4731" coordsize="216,29" path="m7691,4738l7684,4731,7669,4731,7662,4738,7662,4753,7669,4760,7684,4760,7691,4753,7691,4746,7691,4738xm7753,4738l7747,4731,7731,4731,7725,4738,7725,4753,7731,4760,7747,4760,7753,4753,7753,4746,7753,4738xm7815,4738l7809,4731,7793,4731,7787,4738,7787,4753,7793,4760,7809,4760,7815,4753,7815,4746,7815,4738xm7877,4738l7871,4731,7855,4731,7849,4738,7849,4753,7855,4760,7871,4760,7877,4753,7877,4746,7877,4738xe" filled="true" fillcolor="#ffffff" stroked="false">
                  <v:path arrowok="t"/>
                  <v:fill type="solid"/>
                </v:shape>
                <v:shape style="position:absolute;left:4951;top:3076;width:494;height:500" id="docshape118" coordorigin="4951,3077" coordsize="494,500" path="m5101,3077l4951,3077,4951,3576,5101,3576,5101,3077xm5445,3077l5295,3077,5295,3576,5445,3576,5445,3077xe" filled="true" fillcolor="#231f20" stroked="false">
                  <v:path arrowok="t"/>
                  <v:fill opacity="16384f" type="solid"/>
                </v:shape>
                <v:line style="position:absolute" from="3228,3477" to="5560,3477" stroked="true" strokeweight="2pt" strokecolor="#ffffff">
                  <v:stroke dashstyle="solid"/>
                </v:line>
                <w10:wrap type="topAndBottom"/>
              </v:group>
            </w:pict>
          </mc:Fallback>
        </mc:AlternateContent>
      </w:r>
    </w:p>
    <w:p>
      <w:pPr>
        <w:pStyle w:val="BodyText"/>
        <w:spacing w:before="101"/>
        <w:rPr>
          <w:rFonts w:ascii="Arial"/>
          <w:sz w:val="50"/>
        </w:rPr>
      </w:pPr>
    </w:p>
    <w:p>
      <w:pPr>
        <w:spacing w:before="0"/>
        <w:ind w:left="810" w:right="0" w:firstLine="0"/>
        <w:jc w:val="left"/>
        <w:rPr>
          <w:rFonts w:ascii="Arial"/>
          <w:sz w:val="42"/>
        </w:rPr>
      </w:pPr>
      <w:r>
        <w:rPr>
          <w:rFonts w:ascii="Arial"/>
          <w:color w:val="008FDD"/>
          <w:w w:val="105"/>
          <w:sz w:val="42"/>
        </w:rPr>
        <w:t>The</w:t>
      </w:r>
      <w:r>
        <w:rPr>
          <w:rFonts w:ascii="Arial"/>
          <w:color w:val="008FDD"/>
          <w:spacing w:val="44"/>
          <w:w w:val="105"/>
          <w:sz w:val="42"/>
        </w:rPr>
        <w:t> </w:t>
      </w:r>
      <w:r>
        <w:rPr>
          <w:rFonts w:ascii="Arial"/>
          <w:color w:val="008FDD"/>
          <w:spacing w:val="10"/>
          <w:w w:val="105"/>
          <w:sz w:val="42"/>
        </w:rPr>
        <w:t>Logistics</w:t>
      </w:r>
      <w:r>
        <w:rPr>
          <w:rFonts w:ascii="Arial"/>
          <w:color w:val="008FDD"/>
          <w:spacing w:val="44"/>
          <w:w w:val="105"/>
          <w:sz w:val="42"/>
        </w:rPr>
        <w:t> </w:t>
      </w:r>
      <w:r>
        <w:rPr>
          <w:rFonts w:ascii="Arial"/>
          <w:color w:val="008FDD"/>
          <w:spacing w:val="9"/>
          <w:w w:val="105"/>
          <w:sz w:val="42"/>
        </w:rPr>
        <w:t>Performance</w:t>
      </w:r>
      <w:r>
        <w:rPr>
          <w:rFonts w:ascii="Arial"/>
          <w:color w:val="008FDD"/>
          <w:spacing w:val="44"/>
          <w:w w:val="105"/>
          <w:sz w:val="42"/>
        </w:rPr>
        <w:t> </w:t>
      </w:r>
      <w:r>
        <w:rPr>
          <w:rFonts w:ascii="Arial"/>
          <w:color w:val="008FDD"/>
          <w:w w:val="105"/>
          <w:sz w:val="42"/>
        </w:rPr>
        <w:t>Index</w:t>
      </w:r>
      <w:r>
        <w:rPr>
          <w:rFonts w:ascii="Arial"/>
          <w:color w:val="008FDD"/>
          <w:spacing w:val="44"/>
          <w:w w:val="105"/>
          <w:sz w:val="42"/>
        </w:rPr>
        <w:t> </w:t>
      </w:r>
      <w:r>
        <w:rPr>
          <w:rFonts w:ascii="Arial"/>
          <w:color w:val="008FDD"/>
          <w:w w:val="105"/>
          <w:sz w:val="42"/>
        </w:rPr>
        <w:t>and</w:t>
      </w:r>
      <w:r>
        <w:rPr>
          <w:rFonts w:ascii="Arial"/>
          <w:color w:val="008FDD"/>
          <w:spacing w:val="45"/>
          <w:w w:val="105"/>
          <w:sz w:val="42"/>
        </w:rPr>
        <w:t> </w:t>
      </w:r>
      <w:r>
        <w:rPr>
          <w:rFonts w:ascii="Arial"/>
          <w:color w:val="008FDD"/>
          <w:spacing w:val="11"/>
          <w:w w:val="105"/>
          <w:sz w:val="42"/>
        </w:rPr>
        <w:t>Its</w:t>
      </w:r>
      <w:r>
        <w:rPr>
          <w:rFonts w:ascii="Arial"/>
          <w:color w:val="008FDD"/>
          <w:spacing w:val="44"/>
          <w:w w:val="105"/>
          <w:sz w:val="42"/>
        </w:rPr>
        <w:t> </w:t>
      </w:r>
      <w:r>
        <w:rPr>
          <w:rFonts w:ascii="Arial"/>
          <w:color w:val="008FDD"/>
          <w:spacing w:val="7"/>
          <w:w w:val="105"/>
          <w:sz w:val="42"/>
        </w:rPr>
        <w:t>Indicators</w:t>
      </w:r>
    </w:p>
    <w:p>
      <w:pPr>
        <w:spacing w:after="0"/>
        <w:jc w:val="left"/>
        <w:rPr>
          <w:rFonts w:ascii="Arial"/>
          <w:sz w:val="42"/>
        </w:rPr>
        <w:sectPr>
          <w:footerReference w:type="default" r:id="rId5"/>
          <w:type w:val="continuous"/>
          <w:pgSz w:w="12240" w:h="15840"/>
          <w:pgMar w:header="0" w:footer="0" w:top="1140" w:bottom="280" w:left="0" w:right="0"/>
          <w:pgNumType w:start="1"/>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77"/>
        <w:rPr>
          <w:rFonts w:ascii="Arial"/>
          <w:sz w:val="20"/>
        </w:rPr>
      </w:pPr>
    </w:p>
    <w:p>
      <w:pPr>
        <w:spacing w:after="0"/>
        <w:rPr>
          <w:rFonts w:ascii="Arial"/>
          <w:sz w:val="20"/>
        </w:rPr>
        <w:sectPr>
          <w:pgSz w:w="15840" w:h="12240" w:orient="landscape"/>
          <w:pgMar w:header="0" w:footer="0" w:top="1380" w:bottom="280" w:left="700" w:right="1120"/>
        </w:sectPr>
      </w:pPr>
    </w:p>
    <w:p>
      <w:pPr>
        <w:spacing w:before="312"/>
        <w:ind w:left="0" w:right="0" w:firstLine="0"/>
        <w:jc w:val="right"/>
        <w:rPr>
          <w:b/>
          <w:i/>
          <w:sz w:val="34"/>
        </w:rPr>
      </w:pPr>
      <w:r>
        <w:rPr>
          <w:color w:val="1179B8"/>
          <w:w w:val="55"/>
          <w:position w:val="-2"/>
          <w:sz w:val="16"/>
        </w:rPr>
        <w:t>,</w:t>
      </w:r>
      <w:r>
        <w:rPr>
          <w:color w:val="1179B8"/>
          <w:spacing w:val="52"/>
          <w:position w:val="-2"/>
          <w:sz w:val="16"/>
        </w:rPr>
        <w:t> </w:t>
      </w:r>
      <w:r>
        <w:rPr>
          <w:b/>
          <w:i/>
          <w:color w:val="A8CFEB"/>
          <w:w w:val="55"/>
          <w:sz w:val="34"/>
        </w:rPr>
        <w:t>11-</w:t>
      </w:r>
      <w:r>
        <w:rPr>
          <w:b/>
          <w:i/>
          <w:color w:val="A8CFEB"/>
          <w:spacing w:val="-10"/>
          <w:w w:val="55"/>
          <w:sz w:val="34"/>
        </w:rPr>
        <w:t>.</w:t>
      </w:r>
    </w:p>
    <w:p>
      <w:pPr>
        <w:spacing w:before="228"/>
        <w:ind w:left="0" w:right="244" w:firstLine="0"/>
        <w:jc w:val="right"/>
        <w:rPr>
          <w:rFonts w:ascii="Arial"/>
          <w:sz w:val="15"/>
        </w:rPr>
      </w:pPr>
      <w:r>
        <w:rPr>
          <w:rFonts w:ascii="Arial"/>
          <w:color w:val="87BFE4"/>
          <w:spacing w:val="-10"/>
          <w:w w:val="90"/>
          <w:sz w:val="15"/>
        </w:rPr>
        <w:t>-</w:t>
      </w:r>
    </w:p>
    <w:p>
      <w:pPr>
        <w:spacing w:before="142"/>
        <w:ind w:left="1680" w:right="0" w:firstLine="0"/>
        <w:jc w:val="left"/>
        <w:rPr>
          <w:b/>
          <w:sz w:val="28"/>
        </w:rPr>
      </w:pPr>
      <w:r>
        <w:rPr/>
        <w:br w:type="column"/>
      </w:r>
      <w:r>
        <w:rPr>
          <w:b/>
          <w:color w:val="1179B8"/>
          <w:spacing w:val="-1"/>
          <w:w w:val="29"/>
          <w:sz w:val="28"/>
        </w:rPr>
        <w:t>.</w:t>
      </w:r>
      <w:r>
        <w:rPr>
          <w:b/>
          <w:color w:val="1179B8"/>
          <w:spacing w:val="-49"/>
          <w:w w:val="29"/>
          <w:sz w:val="28"/>
        </w:rPr>
        <w:t>,</w:t>
      </w:r>
      <w:r>
        <w:rPr>
          <w:b/>
          <w:color w:val="1179B8"/>
          <w:spacing w:val="-234"/>
          <w:w w:val="407"/>
          <w:sz w:val="28"/>
          <w:vertAlign w:val="superscript"/>
        </w:rPr>
        <w:t>-</w:t>
      </w:r>
      <w:r>
        <w:rPr>
          <w:b/>
          <w:color w:val="1179B8"/>
          <w:spacing w:val="1"/>
          <w:w w:val="96"/>
          <w:sz w:val="28"/>
          <w:vertAlign w:val="baseline"/>
        </w:rPr>
        <w:t>,,.</w:t>
      </w:r>
      <w:r>
        <w:rPr>
          <w:b/>
          <w:color w:val="1179B8"/>
          <w:spacing w:val="-22"/>
          <w:w w:val="96"/>
          <w:sz w:val="28"/>
          <w:vertAlign w:val="baseline"/>
        </w:rPr>
        <w:t>,</w:t>
      </w:r>
      <w:r>
        <w:rPr>
          <w:b/>
          <w:color w:val="1179B8"/>
          <w:spacing w:val="-187"/>
          <w:w w:val="474"/>
          <w:sz w:val="28"/>
          <w:vertAlign w:val="superscript"/>
        </w:rPr>
        <w:t>.</w:t>
      </w:r>
      <w:r>
        <w:rPr>
          <w:b/>
          <w:color w:val="1179B8"/>
          <w:spacing w:val="1"/>
          <w:w w:val="96"/>
          <w:sz w:val="28"/>
          <w:vertAlign w:val="baseline"/>
        </w:rPr>
        <w:t>_if:</w:t>
      </w:r>
      <w:r>
        <w:rPr>
          <w:b/>
          <w:color w:val="1179B8"/>
          <w:spacing w:val="-56"/>
          <w:w w:val="96"/>
          <w:sz w:val="28"/>
          <w:vertAlign w:val="baseline"/>
        </w:rPr>
        <w:t>!</w:t>
      </w:r>
      <w:r>
        <w:rPr>
          <w:b/>
          <w:color w:val="1179B8"/>
          <w:spacing w:val="-317"/>
          <w:w w:val="474"/>
          <w:sz w:val="28"/>
          <w:vertAlign w:val="superscript"/>
        </w:rPr>
        <w:t>e</w:t>
      </w:r>
      <w:r>
        <w:rPr>
          <w:b/>
          <w:color w:val="1179B8"/>
          <w:spacing w:val="1"/>
          <w:w w:val="96"/>
          <w:sz w:val="28"/>
          <w:vertAlign w:val="baseline"/>
        </w:rPr>
        <w:t>"</w:t>
      </w:r>
      <w:r>
        <w:rPr>
          <w:b/>
          <w:color w:val="1179B8"/>
          <w:spacing w:val="2"/>
          <w:w w:val="96"/>
          <w:sz w:val="28"/>
          <w:vertAlign w:val="baseline"/>
        </w:rPr>
        <w:t>'</w:t>
      </w:r>
      <w:r>
        <w:rPr>
          <w:b/>
          <w:color w:val="1179B8"/>
          <w:spacing w:val="57"/>
          <w:w w:val="155"/>
          <w:sz w:val="28"/>
          <w:vertAlign w:val="baseline"/>
        </w:rPr>
        <w:t> </w:t>
      </w:r>
      <w:r>
        <w:rPr>
          <w:b/>
          <w:color w:val="1179B8"/>
          <w:spacing w:val="-44"/>
          <w:w w:val="155"/>
          <w:sz w:val="28"/>
          <w:vertAlign w:val="superscript"/>
        </w:rPr>
        <w:t>;</w:t>
      </w:r>
    </w:p>
    <w:p>
      <w:pPr>
        <w:spacing w:before="194"/>
        <w:ind w:left="3486" w:right="0" w:firstLine="0"/>
        <w:jc w:val="left"/>
        <w:rPr>
          <w:b/>
          <w:sz w:val="32"/>
        </w:rPr>
      </w:pPr>
      <w:r>
        <w:rPr/>
        <mc:AlternateContent>
          <mc:Choice Requires="wps">
            <w:drawing>
              <wp:anchor distT="0" distB="0" distL="0" distR="0" allowOverlap="1" layoutInCell="1" locked="0" behindDoc="1" simplePos="0" relativeHeight="466731520">
                <wp:simplePos x="0" y="0"/>
                <wp:positionH relativeFrom="page">
                  <wp:posOffset>2173579</wp:posOffset>
                </wp:positionH>
                <wp:positionV relativeFrom="paragraph">
                  <wp:posOffset>-129492</wp:posOffset>
                </wp:positionV>
                <wp:extent cx="1945005" cy="4253230"/>
                <wp:effectExtent l="0" t="0" r="0" b="0"/>
                <wp:wrapNone/>
                <wp:docPr id="159" name="Group 159"/>
                <wp:cNvGraphicFramePr>
                  <a:graphicFrameLocks/>
                </wp:cNvGraphicFramePr>
                <a:graphic>
                  <a:graphicData uri="http://schemas.microsoft.com/office/word/2010/wordprocessingGroup">
                    <wpg:wgp>
                      <wpg:cNvPr id="159" name="Group 159"/>
                      <wpg:cNvGrpSpPr/>
                      <wpg:grpSpPr>
                        <a:xfrm>
                          <a:off x="0" y="0"/>
                          <a:ext cx="1945005" cy="4253230"/>
                          <a:chExt cx="1945005" cy="4253230"/>
                        </a:xfrm>
                      </wpg:grpSpPr>
                      <pic:pic>
                        <pic:nvPicPr>
                          <pic:cNvPr id="160" name="Image 160"/>
                          <pic:cNvPicPr/>
                        </pic:nvPicPr>
                        <pic:blipFill>
                          <a:blip r:embed="rId14" cstate="print"/>
                          <a:stretch>
                            <a:fillRect/>
                          </a:stretch>
                        </pic:blipFill>
                        <pic:spPr>
                          <a:xfrm>
                            <a:off x="0" y="0"/>
                            <a:ext cx="1749244" cy="1824361"/>
                          </a:xfrm>
                          <a:prstGeom prst="rect">
                            <a:avLst/>
                          </a:prstGeom>
                        </pic:spPr>
                      </pic:pic>
                      <pic:pic>
                        <pic:nvPicPr>
                          <pic:cNvPr id="161" name="Image 161"/>
                          <pic:cNvPicPr/>
                        </pic:nvPicPr>
                        <pic:blipFill>
                          <a:blip r:embed="rId15" cstate="print"/>
                          <a:stretch>
                            <a:fillRect/>
                          </a:stretch>
                        </pic:blipFill>
                        <pic:spPr>
                          <a:xfrm>
                            <a:off x="36633" y="1839614"/>
                            <a:ext cx="1907987" cy="2413159"/>
                          </a:xfrm>
                          <a:prstGeom prst="rect">
                            <a:avLst/>
                          </a:prstGeom>
                        </pic:spPr>
                      </pic:pic>
                    </wpg:wgp>
                  </a:graphicData>
                </a:graphic>
              </wp:anchor>
            </w:drawing>
          </mc:Choice>
          <mc:Fallback>
            <w:pict>
              <v:group style="position:absolute;margin-left:171.147995pt;margin-top:-10.196244pt;width:153.15pt;height:334.9pt;mso-position-horizontal-relative:page;mso-position-vertical-relative:paragraph;z-index:-36584960" id="docshapegroup119" coordorigin="3423,-204" coordsize="3063,6698">
                <v:shape style="position:absolute;left:3422;top:-204;width:2755;height:2874" type="#_x0000_t75" id="docshape120" stroked="false">
                  <v:imagedata r:id="rId14" o:title=""/>
                </v:shape>
                <v:shape style="position:absolute;left:3480;top:2693;width:3005;height:3801" type="#_x0000_t75" id="docshape121" stroked="false">
                  <v:imagedata r:id="rId15" o:title=""/>
                </v:shape>
                <w10:wrap type="none"/>
              </v:group>
            </w:pict>
          </mc:Fallback>
        </mc:AlternateContent>
      </w:r>
      <w:r>
        <w:rPr/>
        <mc:AlternateContent>
          <mc:Choice Requires="wps">
            <w:drawing>
              <wp:anchor distT="0" distB="0" distL="0" distR="0" allowOverlap="1" layoutInCell="1" locked="0" behindDoc="0" simplePos="0" relativeHeight="15731200">
                <wp:simplePos x="0" y="0"/>
                <wp:positionH relativeFrom="page">
                  <wp:posOffset>4565841</wp:posOffset>
                </wp:positionH>
                <wp:positionV relativeFrom="paragraph">
                  <wp:posOffset>-293915</wp:posOffset>
                </wp:positionV>
                <wp:extent cx="4632960" cy="4392930"/>
                <wp:effectExtent l="0" t="0" r="0" b="0"/>
                <wp:wrapNone/>
                <wp:docPr id="162" name="Group 162"/>
                <wp:cNvGraphicFramePr>
                  <a:graphicFrameLocks/>
                </wp:cNvGraphicFramePr>
                <a:graphic>
                  <a:graphicData uri="http://schemas.microsoft.com/office/word/2010/wordprocessingGroup">
                    <wpg:wgp>
                      <wpg:cNvPr id="162" name="Group 162"/>
                      <wpg:cNvGrpSpPr/>
                      <wpg:grpSpPr>
                        <a:xfrm>
                          <a:off x="0" y="0"/>
                          <a:ext cx="4632960" cy="4392930"/>
                          <a:chExt cx="4632960" cy="4392930"/>
                        </a:xfrm>
                      </wpg:grpSpPr>
                      <pic:pic>
                        <pic:nvPicPr>
                          <pic:cNvPr id="163" name="Image 163"/>
                          <pic:cNvPicPr/>
                        </pic:nvPicPr>
                        <pic:blipFill>
                          <a:blip r:embed="rId16" cstate="print"/>
                          <a:stretch>
                            <a:fillRect/>
                          </a:stretch>
                        </pic:blipFill>
                        <pic:spPr>
                          <a:xfrm>
                            <a:off x="25540" y="54595"/>
                            <a:ext cx="3977773" cy="2995857"/>
                          </a:xfrm>
                          <a:prstGeom prst="rect">
                            <a:avLst/>
                          </a:prstGeom>
                        </pic:spPr>
                      </pic:pic>
                      <pic:pic>
                        <pic:nvPicPr>
                          <pic:cNvPr id="164" name="Image 164"/>
                          <pic:cNvPicPr/>
                        </pic:nvPicPr>
                        <pic:blipFill>
                          <a:blip r:embed="rId17" cstate="print"/>
                          <a:stretch>
                            <a:fillRect/>
                          </a:stretch>
                        </pic:blipFill>
                        <pic:spPr>
                          <a:xfrm>
                            <a:off x="3163799" y="2525719"/>
                            <a:ext cx="1343223" cy="1867071"/>
                          </a:xfrm>
                          <a:prstGeom prst="rect">
                            <a:avLst/>
                          </a:prstGeom>
                        </pic:spPr>
                      </pic:pic>
                      <wps:wsp>
                        <wps:cNvPr id="165" name="Textbox 165"/>
                        <wps:cNvSpPr txBox="1"/>
                        <wps:spPr>
                          <a:xfrm>
                            <a:off x="632536" y="0"/>
                            <a:ext cx="723900" cy="650875"/>
                          </a:xfrm>
                          <a:prstGeom prst="rect">
                            <a:avLst/>
                          </a:prstGeom>
                        </wps:spPr>
                        <wps:txbx>
                          <w:txbxContent>
                            <w:p>
                              <w:pPr>
                                <w:tabs>
                                  <w:tab w:pos="681" w:val="left" w:leader="none"/>
                                </w:tabs>
                                <w:spacing w:line="402" w:lineRule="exact" w:before="0"/>
                                <w:ind w:left="0" w:right="0" w:firstLine="0"/>
                                <w:jc w:val="left"/>
                                <w:rPr>
                                  <w:rFonts w:ascii="Arial"/>
                                  <w:sz w:val="36"/>
                                </w:rPr>
                              </w:pPr>
                              <w:r>
                                <w:rPr>
                                  <w:rFonts w:ascii="Arial"/>
                                  <w:color w:val="64B3DF"/>
                                  <w:w w:val="415"/>
                                  <w:sz w:val="16"/>
                                </w:rPr>
                                <w:t>-</w:t>
                              </w:r>
                              <w:r>
                                <w:rPr>
                                  <w:rFonts w:ascii="Arial"/>
                                  <w:color w:val="64B3DF"/>
                                  <w:spacing w:val="-10"/>
                                  <w:w w:val="415"/>
                                  <w:sz w:val="16"/>
                                </w:rPr>
                                <w:t>-</w:t>
                              </w:r>
                              <w:r>
                                <w:rPr>
                                  <w:rFonts w:ascii="Arial"/>
                                  <w:color w:val="64B3DF"/>
                                  <w:sz w:val="16"/>
                                </w:rPr>
                                <w:tab/>
                              </w:r>
                              <w:r>
                                <w:rPr>
                                  <w:rFonts w:ascii="Arial"/>
                                  <w:color w:val="A8CFEB"/>
                                  <w:w w:val="70"/>
                                  <w:sz w:val="36"/>
                                </w:rPr>
                                <w:t>--</w:t>
                              </w:r>
                              <w:r>
                                <w:rPr>
                                  <w:rFonts w:ascii="Arial"/>
                                  <w:color w:val="A8CFEB"/>
                                  <w:spacing w:val="-5"/>
                                  <w:w w:val="70"/>
                                  <w:sz w:val="36"/>
                                </w:rPr>
                                <w:t>""-</w:t>
                              </w:r>
                            </w:p>
                            <w:p>
                              <w:pPr>
                                <w:spacing w:before="254"/>
                                <w:ind w:left="59" w:right="0" w:firstLine="0"/>
                                <w:jc w:val="left"/>
                                <w:rPr>
                                  <w:sz w:val="32"/>
                                </w:rPr>
                              </w:pPr>
                              <w:r>
                                <w:rPr>
                                  <w:color w:val="0E97D3"/>
                                  <w:spacing w:val="-5"/>
                                  <w:w w:val="90"/>
                                  <w:sz w:val="32"/>
                                </w:rPr>
                                <w:t>..</w:t>
                              </w:r>
                            </w:p>
                          </w:txbxContent>
                        </wps:txbx>
                        <wps:bodyPr wrap="square" lIns="0" tIns="0" rIns="0" bIns="0" rtlCol="0">
                          <a:noAutofit/>
                        </wps:bodyPr>
                      </wps:wsp>
                      <wps:wsp>
                        <wps:cNvPr id="166" name="Textbox 166"/>
                        <wps:cNvSpPr txBox="1"/>
                        <wps:spPr>
                          <a:xfrm>
                            <a:off x="213363" y="696669"/>
                            <a:ext cx="205740" cy="366395"/>
                          </a:xfrm>
                          <a:prstGeom prst="rect">
                            <a:avLst/>
                          </a:prstGeom>
                        </wps:spPr>
                        <wps:txbx>
                          <w:txbxContent>
                            <w:p>
                              <w:pPr>
                                <w:spacing w:line="576" w:lineRule="exact" w:before="0"/>
                                <w:ind w:left="0" w:right="0" w:firstLine="0"/>
                                <w:jc w:val="left"/>
                                <w:rPr>
                                  <w:sz w:val="8"/>
                                </w:rPr>
                              </w:pPr>
                              <w:r>
                                <w:rPr>
                                  <w:color w:val="0E97D3"/>
                                  <w:spacing w:val="38"/>
                                  <w:w w:val="90"/>
                                  <w:position w:val="-23"/>
                                  <w:sz w:val="52"/>
                                </w:rPr>
                                <w:t>;</w:t>
                              </w:r>
                              <w:r>
                                <w:rPr>
                                  <w:i/>
                                  <w:color w:val="64B3DF"/>
                                  <w:w w:val="90"/>
                                  <w:sz w:val="8"/>
                                </w:rPr>
                                <w:t>f,</w:t>
                              </w:r>
                              <w:r>
                                <w:rPr>
                                  <w:i/>
                                  <w:color w:val="64B3DF"/>
                                  <w:spacing w:val="48"/>
                                  <w:sz w:val="8"/>
                                </w:rPr>
                                <w:t> </w:t>
                              </w:r>
                              <w:r>
                                <w:rPr>
                                  <w:color w:val="64B3DF"/>
                                  <w:spacing w:val="-5"/>
                                  <w:w w:val="90"/>
                                  <w:sz w:val="8"/>
                                </w:rPr>
                                <w:t>.'</w:t>
                              </w:r>
                            </w:p>
                          </w:txbxContent>
                        </wps:txbx>
                        <wps:bodyPr wrap="square" lIns="0" tIns="0" rIns="0" bIns="0" rtlCol="0">
                          <a:noAutofit/>
                        </wps:bodyPr>
                      </wps:wsp>
                      <wps:wsp>
                        <wps:cNvPr id="167" name="Textbox 167"/>
                        <wps:cNvSpPr txBox="1"/>
                        <wps:spPr>
                          <a:xfrm>
                            <a:off x="0" y="1651066"/>
                            <a:ext cx="125730" cy="161925"/>
                          </a:xfrm>
                          <a:prstGeom prst="rect">
                            <a:avLst/>
                          </a:prstGeom>
                        </wps:spPr>
                        <wps:txbx>
                          <w:txbxContent>
                            <w:p>
                              <w:pPr>
                                <w:tabs>
                                  <w:tab w:pos="143" w:val="left" w:leader="dot"/>
                                </w:tabs>
                                <w:spacing w:line="255" w:lineRule="exact" w:before="0"/>
                                <w:ind w:left="0" w:right="0" w:firstLine="0"/>
                                <w:jc w:val="left"/>
                                <w:rPr>
                                  <w:sz w:val="23"/>
                                </w:rPr>
                              </w:pPr>
                              <w:r>
                                <w:rPr>
                                  <w:color w:val="64B3DF"/>
                                  <w:spacing w:val="-10"/>
                                  <w:w w:val="70"/>
                                  <w:sz w:val="16"/>
                                </w:rPr>
                                <w:t>.</w:t>
                              </w:r>
                              <w:r>
                                <w:rPr>
                                  <w:color w:val="64B3DF"/>
                                  <w:sz w:val="16"/>
                                </w:rPr>
                                <w:tab/>
                              </w:r>
                              <w:r>
                                <w:rPr>
                                  <w:color w:val="64B3DF"/>
                                  <w:spacing w:val="-10"/>
                                  <w:w w:val="70"/>
                                  <w:sz w:val="23"/>
                                </w:rPr>
                                <w:t>,</w:t>
                              </w:r>
                            </w:p>
                          </w:txbxContent>
                        </wps:txbx>
                        <wps:bodyPr wrap="square" lIns="0" tIns="0" rIns="0" bIns="0" rtlCol="0">
                          <a:noAutofit/>
                        </wps:bodyPr>
                      </wps:wsp>
                      <wps:wsp>
                        <wps:cNvPr id="168" name="Textbox 168"/>
                        <wps:cNvSpPr txBox="1"/>
                        <wps:spPr>
                          <a:xfrm>
                            <a:off x="3423998" y="1808252"/>
                            <a:ext cx="132080" cy="113664"/>
                          </a:xfrm>
                          <a:prstGeom prst="rect">
                            <a:avLst/>
                          </a:prstGeom>
                        </wps:spPr>
                        <wps:txbx>
                          <w:txbxContent>
                            <w:p>
                              <w:pPr>
                                <w:spacing w:line="179" w:lineRule="exact" w:before="0"/>
                                <w:ind w:left="0" w:right="0" w:firstLine="0"/>
                                <w:jc w:val="left"/>
                                <w:rPr>
                                  <w:rFonts w:ascii="Arial" w:hAnsi="Arial"/>
                                  <w:sz w:val="16"/>
                                </w:rPr>
                              </w:pPr>
                              <w:r>
                                <w:rPr>
                                  <w:rFonts w:ascii="Arial" w:hAnsi="Arial"/>
                                  <w:color w:val="0E97D3"/>
                                  <w:spacing w:val="-5"/>
                                  <w:w w:val="165"/>
                                  <w:sz w:val="16"/>
                                </w:rPr>
                                <w:t>•</w:t>
                              </w:r>
                              <w:r>
                                <w:rPr>
                                  <w:rFonts w:ascii="Arial" w:hAnsi="Arial"/>
                                  <w:color w:val="64B3DF"/>
                                  <w:spacing w:val="-5"/>
                                  <w:w w:val="165"/>
                                  <w:sz w:val="16"/>
                                </w:rPr>
                                <w:t>•</w:t>
                              </w:r>
                            </w:p>
                          </w:txbxContent>
                        </wps:txbx>
                        <wps:bodyPr wrap="square" lIns="0" tIns="0" rIns="0" bIns="0" rtlCol="0">
                          <a:noAutofit/>
                        </wps:bodyPr>
                      </wps:wsp>
                      <wps:wsp>
                        <wps:cNvPr id="169" name="Textbox 169"/>
                        <wps:cNvSpPr txBox="1"/>
                        <wps:spPr>
                          <a:xfrm>
                            <a:off x="2802765" y="2165767"/>
                            <a:ext cx="1000125" cy="377825"/>
                          </a:xfrm>
                          <a:prstGeom prst="rect">
                            <a:avLst/>
                          </a:prstGeom>
                        </wps:spPr>
                        <wps:txbx>
                          <w:txbxContent>
                            <w:p>
                              <w:pPr>
                                <w:tabs>
                                  <w:tab w:pos="944" w:val="left" w:leader="none"/>
                                </w:tabs>
                                <w:spacing w:line="574" w:lineRule="exact" w:before="0"/>
                                <w:ind w:left="20" w:right="0" w:firstLine="0"/>
                                <w:jc w:val="left"/>
                                <w:rPr>
                                  <w:i/>
                                  <w:sz w:val="26"/>
                                </w:rPr>
                              </w:pPr>
                              <w:r>
                                <w:rPr>
                                  <w:color w:val="64B3DF"/>
                                  <w:w w:val="90"/>
                                  <w:sz w:val="50"/>
                                </w:rPr>
                                <w:t>\</w:t>
                              </w:r>
                              <w:r>
                                <w:rPr>
                                  <w:color w:val="64B3DF"/>
                                  <w:spacing w:val="-14"/>
                                  <w:w w:val="90"/>
                                  <w:sz w:val="50"/>
                                </w:rPr>
                                <w:t> </w:t>
                              </w:r>
                              <w:r>
                                <w:rPr>
                                  <w:rFonts w:ascii="Arial"/>
                                  <w:color w:val="0E97D3"/>
                                  <w:spacing w:val="-5"/>
                                  <w:w w:val="115"/>
                                  <w:sz w:val="43"/>
                                </w:rPr>
                                <w:t>(</w:t>
                              </w:r>
                              <w:r>
                                <w:rPr>
                                  <w:rFonts w:ascii="Arial"/>
                                  <w:color w:val="A8CFEB"/>
                                  <w:spacing w:val="-5"/>
                                  <w:w w:val="115"/>
                                  <w:sz w:val="43"/>
                                </w:rPr>
                                <w:t>'</w:t>
                              </w:r>
                              <w:r>
                                <w:rPr>
                                  <w:rFonts w:ascii="Arial"/>
                                  <w:color w:val="0E97D3"/>
                                  <w:spacing w:val="-5"/>
                                  <w:w w:val="115"/>
                                  <w:sz w:val="43"/>
                                </w:rPr>
                                <w:t>'</w:t>
                              </w:r>
                              <w:r>
                                <w:rPr>
                                  <w:rFonts w:ascii="Arial"/>
                                  <w:color w:val="0E97D3"/>
                                  <w:sz w:val="43"/>
                                </w:rPr>
                                <w:tab/>
                              </w:r>
                              <w:r>
                                <w:rPr>
                                  <w:i/>
                                  <w:color w:val="3AA7DB"/>
                                  <w:spacing w:val="-4"/>
                                  <w:w w:val="115"/>
                                  <w:sz w:val="26"/>
                                </w:rPr>
                                <w:t>)</w:t>
                              </w:r>
                              <w:r>
                                <w:rPr>
                                  <w:i/>
                                  <w:color w:val="64B3DF"/>
                                  <w:spacing w:val="-4"/>
                                  <w:w w:val="115"/>
                                  <w:sz w:val="26"/>
                                </w:rPr>
                                <w:t>_</w:t>
                              </w:r>
                              <w:r>
                                <w:rPr>
                                  <w:i/>
                                  <w:color w:val="0E97D3"/>
                                  <w:spacing w:val="-4"/>
                                  <w:w w:val="115"/>
                                  <w:sz w:val="26"/>
                                </w:rPr>
                                <w:t>,.</w:t>
                              </w:r>
                              <w:r>
                                <w:rPr>
                                  <w:i/>
                                  <w:color w:val="87BFE4"/>
                                  <w:spacing w:val="-4"/>
                                  <w:w w:val="115"/>
                                  <w:sz w:val="26"/>
                                </w:rPr>
                                <w:t>,</w:t>
                              </w:r>
                            </w:p>
                          </w:txbxContent>
                        </wps:txbx>
                        <wps:bodyPr wrap="square" lIns="0" tIns="0" rIns="0" bIns="0" rtlCol="0">
                          <a:noAutofit/>
                        </wps:bodyPr>
                      </wps:wsp>
                      <wps:wsp>
                        <wps:cNvPr id="170" name="Textbox 170"/>
                        <wps:cNvSpPr txBox="1"/>
                        <wps:spPr>
                          <a:xfrm>
                            <a:off x="2892677" y="2389350"/>
                            <a:ext cx="1115695" cy="615315"/>
                          </a:xfrm>
                          <a:prstGeom prst="rect">
                            <a:avLst/>
                          </a:prstGeom>
                        </wps:spPr>
                        <wps:txbx>
                          <w:txbxContent>
                            <w:p>
                              <w:pPr>
                                <w:spacing w:line="948" w:lineRule="exact" w:before="0"/>
                                <w:ind w:left="20" w:right="0" w:firstLine="0"/>
                                <w:jc w:val="left"/>
                                <w:rPr>
                                  <w:rFonts w:ascii="Arial" w:hAnsi="Arial"/>
                                  <w:b/>
                                  <w:sz w:val="83"/>
                                </w:rPr>
                              </w:pPr>
                              <w:r>
                                <w:rPr>
                                  <w:rFonts w:ascii="Arial" w:hAnsi="Arial"/>
                                  <w:b/>
                                  <w:color w:val="64B3DF"/>
                                  <w:spacing w:val="-2"/>
                                  <w:w w:val="105"/>
                                  <w:sz w:val="83"/>
                                </w:rPr>
                                <w:t>\:'r</w:t>
                              </w:r>
                              <w:r>
                                <w:rPr>
                                  <w:rFonts w:ascii="Arial" w:hAnsi="Arial"/>
                                  <w:b/>
                                  <w:color w:val="87BFE4"/>
                                  <w:spacing w:val="-2"/>
                                  <w:w w:val="105"/>
                                  <w:sz w:val="83"/>
                                </w:rPr>
                                <w:t>•</w:t>
                              </w:r>
                              <w:r>
                                <w:rPr>
                                  <w:rFonts w:ascii="Arial" w:hAnsi="Arial"/>
                                  <w:b/>
                                  <w:color w:val="64B3DF"/>
                                  <w:spacing w:val="-2"/>
                                  <w:w w:val="105"/>
                                  <w:sz w:val="83"/>
                                </w:rPr>
                                <w:t>-</w:t>
                              </w:r>
                            </w:p>
                          </w:txbxContent>
                        </wps:txbx>
                        <wps:bodyPr wrap="square" lIns="0" tIns="0" rIns="0" bIns="0" rtlCol="0">
                          <a:noAutofit/>
                        </wps:bodyPr>
                      </wps:wsp>
                      <wps:wsp>
                        <wps:cNvPr id="171" name="Textbox 171"/>
                        <wps:cNvSpPr txBox="1"/>
                        <wps:spPr>
                          <a:xfrm>
                            <a:off x="3107503" y="2888075"/>
                            <a:ext cx="517525" cy="146685"/>
                          </a:xfrm>
                          <a:prstGeom prst="rect">
                            <a:avLst/>
                          </a:prstGeom>
                        </wps:spPr>
                        <wps:txbx>
                          <w:txbxContent>
                            <w:p>
                              <w:pPr>
                                <w:spacing w:before="14"/>
                                <w:ind w:left="20" w:right="0" w:firstLine="0"/>
                                <w:jc w:val="left"/>
                                <w:rPr>
                                  <w:rFonts w:ascii="Arial"/>
                                  <w:sz w:val="17"/>
                                </w:rPr>
                              </w:pPr>
                              <w:r>
                                <w:rPr>
                                  <w:rFonts w:ascii="Arial"/>
                                  <w:color w:val="64B3DF"/>
                                  <w:w w:val="245"/>
                                  <w:sz w:val="17"/>
                                </w:rPr>
                                <w:t>-</w:t>
                              </w:r>
                              <w:r>
                                <w:rPr>
                                  <w:rFonts w:ascii="Arial"/>
                                  <w:color w:val="87BFE4"/>
                                  <w:w w:val="245"/>
                                  <w:sz w:val="17"/>
                                </w:rPr>
                                <w:t>-</w:t>
                              </w:r>
                              <w:r>
                                <w:rPr>
                                  <w:rFonts w:ascii="Arial"/>
                                  <w:color w:val="64B3DF"/>
                                  <w:spacing w:val="8"/>
                                  <w:w w:val="245"/>
                                  <w:sz w:val="17"/>
                                </w:rPr>
                                <w:t>.;.</w:t>
                              </w:r>
                              <w:r>
                                <w:rPr>
                                  <w:rFonts w:ascii="Arial"/>
                                  <w:color w:val="64B3DF"/>
                                  <w:spacing w:val="-104"/>
                                  <w:w w:val="245"/>
                                  <w:sz w:val="17"/>
                                </w:rPr>
                                <w:t>_</w:t>
                              </w:r>
                            </w:p>
                          </w:txbxContent>
                        </wps:txbx>
                        <wps:bodyPr wrap="square" lIns="0" tIns="0" rIns="0" bIns="0" rtlCol="0">
                          <a:noAutofit/>
                        </wps:bodyPr>
                      </wps:wsp>
                      <wps:wsp>
                        <wps:cNvPr id="172" name="Textbox 172"/>
                        <wps:cNvSpPr txBox="1"/>
                        <wps:spPr>
                          <a:xfrm>
                            <a:off x="3432413" y="2966294"/>
                            <a:ext cx="238125" cy="177165"/>
                          </a:xfrm>
                          <a:prstGeom prst="rect">
                            <a:avLst/>
                          </a:prstGeom>
                        </wps:spPr>
                        <wps:txbx>
                          <w:txbxContent>
                            <w:p>
                              <w:pPr>
                                <w:spacing w:before="20"/>
                                <w:ind w:left="20" w:right="0" w:firstLine="0"/>
                                <w:jc w:val="left"/>
                                <w:rPr>
                                  <w:rFonts w:ascii="Courier New" w:hAnsi="Courier New"/>
                                  <w:sz w:val="21"/>
                                </w:rPr>
                              </w:pPr>
                              <w:r>
                                <w:rPr>
                                  <w:rFonts w:ascii="Courier New" w:hAnsi="Courier New"/>
                                  <w:color w:val="64B3DF"/>
                                  <w:spacing w:val="-5"/>
                                  <w:w w:val="125"/>
                                  <w:sz w:val="21"/>
                                </w:rPr>
                                <w:t>'</w:t>
                              </w:r>
                              <w:r>
                                <w:rPr>
                                  <w:rFonts w:ascii="Courier New" w:hAnsi="Courier New"/>
                                  <w:color w:val="87BFE4"/>
                                  <w:spacing w:val="-5"/>
                                  <w:w w:val="125"/>
                                  <w:sz w:val="21"/>
                                </w:rPr>
                                <w:t>·</w:t>
                              </w:r>
                            </w:p>
                          </w:txbxContent>
                        </wps:txbx>
                        <wps:bodyPr wrap="square" lIns="0" tIns="0" rIns="0" bIns="0" rtlCol="0">
                          <a:noAutofit/>
                        </wps:bodyPr>
                      </wps:wsp>
                      <wps:wsp>
                        <wps:cNvPr id="173" name="Textbox 173"/>
                        <wps:cNvSpPr txBox="1"/>
                        <wps:spPr>
                          <a:xfrm>
                            <a:off x="4403223" y="2763770"/>
                            <a:ext cx="229870" cy="327025"/>
                          </a:xfrm>
                          <a:prstGeom prst="rect">
                            <a:avLst/>
                          </a:prstGeom>
                        </wps:spPr>
                        <wps:txbx>
                          <w:txbxContent>
                            <w:p>
                              <w:pPr>
                                <w:spacing w:before="11"/>
                                <w:ind w:left="20" w:right="0" w:firstLine="0"/>
                                <w:jc w:val="left"/>
                                <w:rPr>
                                  <w:rFonts w:ascii="Arial"/>
                                  <w:sz w:val="28"/>
                                </w:rPr>
                              </w:pPr>
                              <w:r>
                                <w:rPr>
                                  <w:rFonts w:ascii="Arial"/>
                                  <w:color w:val="A8CFEB"/>
                                  <w:spacing w:val="-5"/>
                                  <w:w w:val="105"/>
                                  <w:sz w:val="28"/>
                                </w:rPr>
                                <w:t>,</w:t>
                              </w:r>
                              <w:r>
                                <w:rPr>
                                  <w:rFonts w:ascii="Arial"/>
                                  <w:color w:val="64B3DF"/>
                                  <w:spacing w:val="-5"/>
                                  <w:w w:val="105"/>
                                  <w:sz w:val="28"/>
                                </w:rPr>
                                <w:t>,</w:t>
                              </w:r>
                            </w:p>
                            <w:p>
                              <w:pPr>
                                <w:spacing w:before="34"/>
                                <w:ind w:left="96" w:right="0" w:firstLine="0"/>
                                <w:jc w:val="left"/>
                                <w:rPr>
                                  <w:rFonts w:ascii="Arial"/>
                                  <w:b/>
                                  <w:sz w:val="11"/>
                                </w:rPr>
                              </w:pPr>
                              <w:r>
                                <w:rPr>
                                  <w:rFonts w:ascii="Arial"/>
                                  <w:b/>
                                  <w:color w:val="64B3DF"/>
                                  <w:w w:val="180"/>
                                  <w:sz w:val="11"/>
                                </w:rPr>
                                <w:t>'\</w:t>
                              </w:r>
                              <w:r>
                                <w:rPr>
                                  <w:rFonts w:ascii="Arial"/>
                                  <w:b/>
                                  <w:color w:val="64B3DF"/>
                                  <w:spacing w:val="-1"/>
                                  <w:w w:val="180"/>
                                  <w:sz w:val="11"/>
                                </w:rPr>
                                <w:t> </w:t>
                              </w:r>
                              <w:r>
                                <w:rPr>
                                  <w:rFonts w:ascii="Arial"/>
                                  <w:b/>
                                  <w:color w:val="64B3DF"/>
                                  <w:spacing w:val="-10"/>
                                  <w:w w:val="180"/>
                                  <w:sz w:val="11"/>
                                </w:rPr>
                                <w:t>t</w:t>
                              </w:r>
                            </w:p>
                          </w:txbxContent>
                        </wps:txbx>
                        <wps:bodyPr wrap="square" lIns="0" tIns="0" rIns="0" bIns="0" rtlCol="0">
                          <a:noAutofit/>
                        </wps:bodyPr>
                      </wps:wsp>
                      <wps:wsp>
                        <wps:cNvPr id="174" name="Textbox 174"/>
                        <wps:cNvSpPr txBox="1"/>
                        <wps:spPr>
                          <a:xfrm>
                            <a:off x="682925" y="3155713"/>
                            <a:ext cx="275590" cy="1039494"/>
                          </a:xfrm>
                          <a:prstGeom prst="rect">
                            <a:avLst/>
                          </a:prstGeom>
                        </wps:spPr>
                        <wps:txbx>
                          <w:txbxContent>
                            <w:p>
                              <w:pPr>
                                <w:spacing w:line="1616" w:lineRule="exact" w:before="0"/>
                                <w:ind w:left="20" w:right="0" w:firstLine="0"/>
                                <w:jc w:val="left"/>
                                <w:rPr>
                                  <w:sz w:val="144"/>
                                </w:rPr>
                              </w:pPr>
                              <w:r>
                                <w:rPr>
                                  <w:color w:val="3AA7DB"/>
                                  <w:spacing w:val="-10"/>
                                  <w:w w:val="80"/>
                                  <w:sz w:val="144"/>
                                </w:rPr>
                                <w:t>•</w:t>
                              </w:r>
                            </w:p>
                          </w:txbxContent>
                        </wps:txbx>
                        <wps:bodyPr wrap="square" lIns="0" tIns="0" rIns="0" bIns="0" rtlCol="0">
                          <a:noAutofit/>
                        </wps:bodyPr>
                      </wps:wsp>
                      <wps:wsp>
                        <wps:cNvPr id="175" name="Textbox 175"/>
                        <wps:cNvSpPr txBox="1"/>
                        <wps:spPr>
                          <a:xfrm>
                            <a:off x="1889653" y="4032387"/>
                            <a:ext cx="107950" cy="321310"/>
                          </a:xfrm>
                          <a:prstGeom prst="rect">
                            <a:avLst/>
                          </a:prstGeom>
                        </wps:spPr>
                        <wps:txbx>
                          <w:txbxContent>
                            <w:p>
                              <w:pPr>
                                <w:spacing w:before="2"/>
                                <w:ind w:left="20" w:right="0" w:firstLine="0"/>
                                <w:jc w:val="left"/>
                                <w:rPr>
                                  <w:sz w:val="42"/>
                                </w:rPr>
                              </w:pPr>
                              <w:r>
                                <w:rPr>
                                  <w:color w:val="C1DBEB"/>
                                  <w:spacing w:val="-5"/>
                                  <w:w w:val="60"/>
                                  <w:sz w:val="42"/>
                                </w:rPr>
                                <w:t>..</w:t>
                              </w:r>
                            </w:p>
                          </w:txbxContent>
                        </wps:txbx>
                        <wps:bodyPr wrap="square" lIns="0" tIns="0" rIns="0" bIns="0" rtlCol="0">
                          <a:noAutofit/>
                        </wps:bodyPr>
                      </wps:wsp>
                      <wps:wsp>
                        <wps:cNvPr id="176" name="Textbox 176"/>
                        <wps:cNvSpPr txBox="1"/>
                        <wps:spPr>
                          <a:xfrm>
                            <a:off x="3624236" y="3987476"/>
                            <a:ext cx="222885" cy="231775"/>
                          </a:xfrm>
                          <a:prstGeom prst="rect">
                            <a:avLst/>
                          </a:prstGeom>
                        </wps:spPr>
                        <wps:txbx>
                          <w:txbxContent>
                            <w:p>
                              <w:pPr>
                                <w:spacing w:before="10"/>
                                <w:ind w:left="20" w:right="0" w:firstLine="0"/>
                                <w:jc w:val="left"/>
                                <w:rPr>
                                  <w:rFonts w:ascii="Arial"/>
                                  <w:sz w:val="29"/>
                                </w:rPr>
                              </w:pPr>
                              <w:r>
                                <w:rPr>
                                  <w:rFonts w:ascii="Arial"/>
                                  <w:color w:val="0E97D3"/>
                                  <w:spacing w:val="-5"/>
                                  <w:w w:val="120"/>
                                  <w:sz w:val="29"/>
                                </w:rPr>
                                <w:t>,,</w:t>
                              </w:r>
                              <w:r>
                                <w:rPr>
                                  <w:rFonts w:ascii="Arial"/>
                                  <w:color w:val="3AA7DB"/>
                                  <w:spacing w:val="-5"/>
                                  <w:w w:val="120"/>
                                  <w:sz w:val="29"/>
                                </w:rPr>
                                <w:t>,</w:t>
                              </w:r>
                            </w:p>
                          </w:txbxContent>
                        </wps:txbx>
                        <wps:bodyPr wrap="square" lIns="0" tIns="0" rIns="0" bIns="0" rtlCol="0">
                          <a:noAutofit/>
                        </wps:bodyPr>
                      </wps:wsp>
                    </wpg:wgp>
                  </a:graphicData>
                </a:graphic>
              </wp:anchor>
            </w:drawing>
          </mc:Choice>
          <mc:Fallback>
            <w:pict>
              <v:group style="position:absolute;margin-left:359.515106pt;margin-top:-23.14296pt;width:364.8pt;height:345.9pt;mso-position-horizontal-relative:page;mso-position-vertical-relative:paragraph;z-index:15731200" id="docshapegroup122" coordorigin="7190,-463" coordsize="7296,6918">
                <v:shape style="position:absolute;left:7230;top:-377;width:6265;height:4718" type="#_x0000_t75" id="docshape123" stroked="false">
                  <v:imagedata r:id="rId16" o:title=""/>
                </v:shape>
                <v:shape style="position:absolute;left:12172;top:3514;width:2116;height:2941" type="#_x0000_t75" id="docshape124" stroked="false">
                  <v:imagedata r:id="rId17" o:title=""/>
                </v:shape>
                <v:shape style="position:absolute;left:8186;top:-463;width:1140;height:1025" type="#_x0000_t202" id="docshape125" filled="false" stroked="false">
                  <v:textbox inset="0,0,0,0">
                    <w:txbxContent>
                      <w:p>
                        <w:pPr>
                          <w:tabs>
                            <w:tab w:pos="681" w:val="left" w:leader="none"/>
                          </w:tabs>
                          <w:spacing w:line="402" w:lineRule="exact" w:before="0"/>
                          <w:ind w:left="0" w:right="0" w:firstLine="0"/>
                          <w:jc w:val="left"/>
                          <w:rPr>
                            <w:rFonts w:ascii="Arial"/>
                            <w:sz w:val="36"/>
                          </w:rPr>
                        </w:pPr>
                        <w:r>
                          <w:rPr>
                            <w:rFonts w:ascii="Arial"/>
                            <w:color w:val="64B3DF"/>
                            <w:w w:val="415"/>
                            <w:sz w:val="16"/>
                          </w:rPr>
                          <w:t>-</w:t>
                        </w:r>
                        <w:r>
                          <w:rPr>
                            <w:rFonts w:ascii="Arial"/>
                            <w:color w:val="64B3DF"/>
                            <w:spacing w:val="-10"/>
                            <w:w w:val="415"/>
                            <w:sz w:val="16"/>
                          </w:rPr>
                          <w:t>-</w:t>
                        </w:r>
                        <w:r>
                          <w:rPr>
                            <w:rFonts w:ascii="Arial"/>
                            <w:color w:val="64B3DF"/>
                            <w:sz w:val="16"/>
                          </w:rPr>
                          <w:tab/>
                        </w:r>
                        <w:r>
                          <w:rPr>
                            <w:rFonts w:ascii="Arial"/>
                            <w:color w:val="A8CFEB"/>
                            <w:w w:val="70"/>
                            <w:sz w:val="36"/>
                          </w:rPr>
                          <w:t>--</w:t>
                        </w:r>
                        <w:r>
                          <w:rPr>
                            <w:rFonts w:ascii="Arial"/>
                            <w:color w:val="A8CFEB"/>
                            <w:spacing w:val="-5"/>
                            <w:w w:val="70"/>
                            <w:sz w:val="36"/>
                          </w:rPr>
                          <w:t>""-</w:t>
                        </w:r>
                      </w:p>
                      <w:p>
                        <w:pPr>
                          <w:spacing w:before="254"/>
                          <w:ind w:left="59" w:right="0" w:firstLine="0"/>
                          <w:jc w:val="left"/>
                          <w:rPr>
                            <w:sz w:val="32"/>
                          </w:rPr>
                        </w:pPr>
                        <w:r>
                          <w:rPr>
                            <w:color w:val="0E97D3"/>
                            <w:spacing w:val="-5"/>
                            <w:w w:val="90"/>
                            <w:sz w:val="32"/>
                          </w:rPr>
                          <w:t>..</w:t>
                        </w:r>
                      </w:p>
                    </w:txbxContent>
                  </v:textbox>
                  <w10:wrap type="none"/>
                </v:shape>
                <v:shape style="position:absolute;left:7526;top:634;width:324;height:577" type="#_x0000_t202" id="docshape126" filled="false" stroked="false">
                  <v:textbox inset="0,0,0,0">
                    <w:txbxContent>
                      <w:p>
                        <w:pPr>
                          <w:spacing w:line="576" w:lineRule="exact" w:before="0"/>
                          <w:ind w:left="0" w:right="0" w:firstLine="0"/>
                          <w:jc w:val="left"/>
                          <w:rPr>
                            <w:sz w:val="8"/>
                          </w:rPr>
                        </w:pPr>
                        <w:r>
                          <w:rPr>
                            <w:color w:val="0E97D3"/>
                            <w:spacing w:val="38"/>
                            <w:w w:val="90"/>
                            <w:position w:val="-23"/>
                            <w:sz w:val="52"/>
                          </w:rPr>
                          <w:t>;</w:t>
                        </w:r>
                        <w:r>
                          <w:rPr>
                            <w:i/>
                            <w:color w:val="64B3DF"/>
                            <w:w w:val="90"/>
                            <w:sz w:val="8"/>
                          </w:rPr>
                          <w:t>f,</w:t>
                        </w:r>
                        <w:r>
                          <w:rPr>
                            <w:i/>
                            <w:color w:val="64B3DF"/>
                            <w:spacing w:val="48"/>
                            <w:sz w:val="8"/>
                          </w:rPr>
                          <w:t> </w:t>
                        </w:r>
                        <w:r>
                          <w:rPr>
                            <w:color w:val="64B3DF"/>
                            <w:spacing w:val="-5"/>
                            <w:w w:val="90"/>
                            <w:sz w:val="8"/>
                          </w:rPr>
                          <w:t>.'</w:t>
                        </w:r>
                      </w:p>
                    </w:txbxContent>
                  </v:textbox>
                  <w10:wrap type="none"/>
                </v:shape>
                <v:shape style="position:absolute;left:7190;top:2137;width:198;height:255" type="#_x0000_t202" id="docshape127" filled="false" stroked="false">
                  <v:textbox inset="0,0,0,0">
                    <w:txbxContent>
                      <w:p>
                        <w:pPr>
                          <w:tabs>
                            <w:tab w:pos="143" w:val="left" w:leader="dot"/>
                          </w:tabs>
                          <w:spacing w:line="255" w:lineRule="exact" w:before="0"/>
                          <w:ind w:left="0" w:right="0" w:firstLine="0"/>
                          <w:jc w:val="left"/>
                          <w:rPr>
                            <w:sz w:val="23"/>
                          </w:rPr>
                        </w:pPr>
                        <w:r>
                          <w:rPr>
                            <w:color w:val="64B3DF"/>
                            <w:spacing w:val="-10"/>
                            <w:w w:val="70"/>
                            <w:sz w:val="16"/>
                          </w:rPr>
                          <w:t>.</w:t>
                        </w:r>
                        <w:r>
                          <w:rPr>
                            <w:color w:val="64B3DF"/>
                            <w:sz w:val="16"/>
                          </w:rPr>
                          <w:tab/>
                        </w:r>
                        <w:r>
                          <w:rPr>
                            <w:color w:val="64B3DF"/>
                            <w:spacing w:val="-10"/>
                            <w:w w:val="70"/>
                            <w:sz w:val="23"/>
                          </w:rPr>
                          <w:t>,</w:t>
                        </w:r>
                      </w:p>
                    </w:txbxContent>
                  </v:textbox>
                  <w10:wrap type="none"/>
                </v:shape>
                <v:shape style="position:absolute;left:12582;top:2384;width:208;height:179" type="#_x0000_t202" id="docshape128" filled="false" stroked="false">
                  <v:textbox inset="0,0,0,0">
                    <w:txbxContent>
                      <w:p>
                        <w:pPr>
                          <w:spacing w:line="179" w:lineRule="exact" w:before="0"/>
                          <w:ind w:left="0" w:right="0" w:firstLine="0"/>
                          <w:jc w:val="left"/>
                          <w:rPr>
                            <w:rFonts w:ascii="Arial" w:hAnsi="Arial"/>
                            <w:sz w:val="16"/>
                          </w:rPr>
                        </w:pPr>
                        <w:r>
                          <w:rPr>
                            <w:rFonts w:ascii="Arial" w:hAnsi="Arial"/>
                            <w:color w:val="0E97D3"/>
                            <w:spacing w:val="-5"/>
                            <w:w w:val="165"/>
                            <w:sz w:val="16"/>
                          </w:rPr>
                          <w:t>•</w:t>
                        </w:r>
                        <w:r>
                          <w:rPr>
                            <w:rFonts w:ascii="Arial" w:hAnsi="Arial"/>
                            <w:color w:val="64B3DF"/>
                            <w:spacing w:val="-5"/>
                            <w:w w:val="165"/>
                            <w:sz w:val="16"/>
                          </w:rPr>
                          <w:t>•</w:t>
                        </w:r>
                      </w:p>
                    </w:txbxContent>
                  </v:textbox>
                  <w10:wrap type="none"/>
                </v:shape>
                <v:shape style="position:absolute;left:11604;top:2947;width:1575;height:595" type="#_x0000_t202" id="docshape129" filled="false" stroked="false">
                  <v:textbox inset="0,0,0,0">
                    <w:txbxContent>
                      <w:p>
                        <w:pPr>
                          <w:tabs>
                            <w:tab w:pos="944" w:val="left" w:leader="none"/>
                          </w:tabs>
                          <w:spacing w:line="574" w:lineRule="exact" w:before="0"/>
                          <w:ind w:left="20" w:right="0" w:firstLine="0"/>
                          <w:jc w:val="left"/>
                          <w:rPr>
                            <w:i/>
                            <w:sz w:val="26"/>
                          </w:rPr>
                        </w:pPr>
                        <w:r>
                          <w:rPr>
                            <w:color w:val="64B3DF"/>
                            <w:w w:val="90"/>
                            <w:sz w:val="50"/>
                          </w:rPr>
                          <w:t>\</w:t>
                        </w:r>
                        <w:r>
                          <w:rPr>
                            <w:color w:val="64B3DF"/>
                            <w:spacing w:val="-14"/>
                            <w:w w:val="90"/>
                            <w:sz w:val="50"/>
                          </w:rPr>
                          <w:t> </w:t>
                        </w:r>
                        <w:r>
                          <w:rPr>
                            <w:rFonts w:ascii="Arial"/>
                            <w:color w:val="0E97D3"/>
                            <w:spacing w:val="-5"/>
                            <w:w w:val="115"/>
                            <w:sz w:val="43"/>
                          </w:rPr>
                          <w:t>(</w:t>
                        </w:r>
                        <w:r>
                          <w:rPr>
                            <w:rFonts w:ascii="Arial"/>
                            <w:color w:val="A8CFEB"/>
                            <w:spacing w:val="-5"/>
                            <w:w w:val="115"/>
                            <w:sz w:val="43"/>
                          </w:rPr>
                          <w:t>'</w:t>
                        </w:r>
                        <w:r>
                          <w:rPr>
                            <w:rFonts w:ascii="Arial"/>
                            <w:color w:val="0E97D3"/>
                            <w:spacing w:val="-5"/>
                            <w:w w:val="115"/>
                            <w:sz w:val="43"/>
                          </w:rPr>
                          <w:t>'</w:t>
                        </w:r>
                        <w:r>
                          <w:rPr>
                            <w:rFonts w:ascii="Arial"/>
                            <w:color w:val="0E97D3"/>
                            <w:sz w:val="43"/>
                          </w:rPr>
                          <w:tab/>
                        </w:r>
                        <w:r>
                          <w:rPr>
                            <w:i/>
                            <w:color w:val="3AA7DB"/>
                            <w:spacing w:val="-4"/>
                            <w:w w:val="115"/>
                            <w:sz w:val="26"/>
                          </w:rPr>
                          <w:t>)</w:t>
                        </w:r>
                        <w:r>
                          <w:rPr>
                            <w:i/>
                            <w:color w:val="64B3DF"/>
                            <w:spacing w:val="-4"/>
                            <w:w w:val="115"/>
                            <w:sz w:val="26"/>
                          </w:rPr>
                          <w:t>_</w:t>
                        </w:r>
                        <w:r>
                          <w:rPr>
                            <w:i/>
                            <w:color w:val="0E97D3"/>
                            <w:spacing w:val="-4"/>
                            <w:w w:val="115"/>
                            <w:sz w:val="26"/>
                          </w:rPr>
                          <w:t>,.</w:t>
                        </w:r>
                        <w:r>
                          <w:rPr>
                            <w:i/>
                            <w:color w:val="87BFE4"/>
                            <w:spacing w:val="-4"/>
                            <w:w w:val="115"/>
                            <w:sz w:val="26"/>
                          </w:rPr>
                          <w:t>,</w:t>
                        </w:r>
                      </w:p>
                    </w:txbxContent>
                  </v:textbox>
                  <w10:wrap type="none"/>
                </v:shape>
                <v:shape style="position:absolute;left:11745;top:3299;width:1757;height:969" type="#_x0000_t202" id="docshape130" filled="false" stroked="false">
                  <v:textbox inset="0,0,0,0">
                    <w:txbxContent>
                      <w:p>
                        <w:pPr>
                          <w:spacing w:line="948" w:lineRule="exact" w:before="0"/>
                          <w:ind w:left="20" w:right="0" w:firstLine="0"/>
                          <w:jc w:val="left"/>
                          <w:rPr>
                            <w:rFonts w:ascii="Arial" w:hAnsi="Arial"/>
                            <w:b/>
                            <w:sz w:val="83"/>
                          </w:rPr>
                        </w:pPr>
                        <w:r>
                          <w:rPr>
                            <w:rFonts w:ascii="Arial" w:hAnsi="Arial"/>
                            <w:b/>
                            <w:color w:val="64B3DF"/>
                            <w:spacing w:val="-2"/>
                            <w:w w:val="105"/>
                            <w:sz w:val="83"/>
                          </w:rPr>
                          <w:t>\:'r</w:t>
                        </w:r>
                        <w:r>
                          <w:rPr>
                            <w:rFonts w:ascii="Arial" w:hAnsi="Arial"/>
                            <w:b/>
                            <w:color w:val="87BFE4"/>
                            <w:spacing w:val="-2"/>
                            <w:w w:val="105"/>
                            <w:sz w:val="83"/>
                          </w:rPr>
                          <w:t>•</w:t>
                        </w:r>
                        <w:r>
                          <w:rPr>
                            <w:rFonts w:ascii="Arial" w:hAnsi="Arial"/>
                            <w:b/>
                            <w:color w:val="64B3DF"/>
                            <w:spacing w:val="-2"/>
                            <w:w w:val="105"/>
                            <w:sz w:val="83"/>
                          </w:rPr>
                          <w:t>-</w:t>
                        </w:r>
                      </w:p>
                    </w:txbxContent>
                  </v:textbox>
                  <w10:wrap type="none"/>
                </v:shape>
                <v:shape style="position:absolute;left:12084;top:4085;width:815;height:231" type="#_x0000_t202" id="docshape131" filled="false" stroked="false">
                  <v:textbox inset="0,0,0,0">
                    <w:txbxContent>
                      <w:p>
                        <w:pPr>
                          <w:spacing w:before="14"/>
                          <w:ind w:left="20" w:right="0" w:firstLine="0"/>
                          <w:jc w:val="left"/>
                          <w:rPr>
                            <w:rFonts w:ascii="Arial"/>
                            <w:sz w:val="17"/>
                          </w:rPr>
                        </w:pPr>
                        <w:r>
                          <w:rPr>
                            <w:rFonts w:ascii="Arial"/>
                            <w:color w:val="64B3DF"/>
                            <w:w w:val="245"/>
                            <w:sz w:val="17"/>
                          </w:rPr>
                          <w:t>-</w:t>
                        </w:r>
                        <w:r>
                          <w:rPr>
                            <w:rFonts w:ascii="Arial"/>
                            <w:color w:val="87BFE4"/>
                            <w:w w:val="245"/>
                            <w:sz w:val="17"/>
                          </w:rPr>
                          <w:t>-</w:t>
                        </w:r>
                        <w:r>
                          <w:rPr>
                            <w:rFonts w:ascii="Arial"/>
                            <w:color w:val="64B3DF"/>
                            <w:spacing w:val="8"/>
                            <w:w w:val="245"/>
                            <w:sz w:val="17"/>
                          </w:rPr>
                          <w:t>.;.</w:t>
                        </w:r>
                        <w:r>
                          <w:rPr>
                            <w:rFonts w:ascii="Arial"/>
                            <w:color w:val="64B3DF"/>
                            <w:spacing w:val="-104"/>
                            <w:w w:val="245"/>
                            <w:sz w:val="17"/>
                          </w:rPr>
                          <w:t>_</w:t>
                        </w:r>
                      </w:p>
                    </w:txbxContent>
                  </v:textbox>
                  <w10:wrap type="none"/>
                </v:shape>
                <v:shape style="position:absolute;left:12595;top:4208;width:375;height:279" type="#_x0000_t202" id="docshape132" filled="false" stroked="false">
                  <v:textbox inset="0,0,0,0">
                    <w:txbxContent>
                      <w:p>
                        <w:pPr>
                          <w:spacing w:before="20"/>
                          <w:ind w:left="20" w:right="0" w:firstLine="0"/>
                          <w:jc w:val="left"/>
                          <w:rPr>
                            <w:rFonts w:ascii="Courier New" w:hAnsi="Courier New"/>
                            <w:sz w:val="21"/>
                          </w:rPr>
                        </w:pPr>
                        <w:r>
                          <w:rPr>
                            <w:rFonts w:ascii="Courier New" w:hAnsi="Courier New"/>
                            <w:color w:val="64B3DF"/>
                            <w:spacing w:val="-5"/>
                            <w:w w:val="125"/>
                            <w:sz w:val="21"/>
                          </w:rPr>
                          <w:t>'</w:t>
                        </w:r>
                        <w:r>
                          <w:rPr>
                            <w:rFonts w:ascii="Courier New" w:hAnsi="Courier New"/>
                            <w:color w:val="87BFE4"/>
                            <w:spacing w:val="-5"/>
                            <w:w w:val="125"/>
                            <w:sz w:val="21"/>
                          </w:rPr>
                          <w:t>·</w:t>
                        </w:r>
                      </w:p>
                    </w:txbxContent>
                  </v:textbox>
                  <w10:wrap type="none"/>
                </v:shape>
                <v:shape style="position:absolute;left:14124;top:3889;width:362;height:515" type="#_x0000_t202" id="docshape133" filled="false" stroked="false">
                  <v:textbox inset="0,0,0,0">
                    <w:txbxContent>
                      <w:p>
                        <w:pPr>
                          <w:spacing w:before="11"/>
                          <w:ind w:left="20" w:right="0" w:firstLine="0"/>
                          <w:jc w:val="left"/>
                          <w:rPr>
                            <w:rFonts w:ascii="Arial"/>
                            <w:sz w:val="28"/>
                          </w:rPr>
                        </w:pPr>
                        <w:r>
                          <w:rPr>
                            <w:rFonts w:ascii="Arial"/>
                            <w:color w:val="A8CFEB"/>
                            <w:spacing w:val="-5"/>
                            <w:w w:val="105"/>
                            <w:sz w:val="28"/>
                          </w:rPr>
                          <w:t>,</w:t>
                        </w:r>
                        <w:r>
                          <w:rPr>
                            <w:rFonts w:ascii="Arial"/>
                            <w:color w:val="64B3DF"/>
                            <w:spacing w:val="-5"/>
                            <w:w w:val="105"/>
                            <w:sz w:val="28"/>
                          </w:rPr>
                          <w:t>,</w:t>
                        </w:r>
                      </w:p>
                      <w:p>
                        <w:pPr>
                          <w:spacing w:before="34"/>
                          <w:ind w:left="96" w:right="0" w:firstLine="0"/>
                          <w:jc w:val="left"/>
                          <w:rPr>
                            <w:rFonts w:ascii="Arial"/>
                            <w:b/>
                            <w:sz w:val="11"/>
                          </w:rPr>
                        </w:pPr>
                        <w:r>
                          <w:rPr>
                            <w:rFonts w:ascii="Arial"/>
                            <w:b/>
                            <w:color w:val="64B3DF"/>
                            <w:w w:val="180"/>
                            <w:sz w:val="11"/>
                          </w:rPr>
                          <w:t>'\</w:t>
                        </w:r>
                        <w:r>
                          <w:rPr>
                            <w:rFonts w:ascii="Arial"/>
                            <w:b/>
                            <w:color w:val="64B3DF"/>
                            <w:spacing w:val="-1"/>
                            <w:w w:val="180"/>
                            <w:sz w:val="11"/>
                          </w:rPr>
                          <w:t> </w:t>
                        </w:r>
                        <w:r>
                          <w:rPr>
                            <w:rFonts w:ascii="Arial"/>
                            <w:b/>
                            <w:color w:val="64B3DF"/>
                            <w:spacing w:val="-10"/>
                            <w:w w:val="180"/>
                            <w:sz w:val="11"/>
                          </w:rPr>
                          <w:t>t</w:t>
                        </w:r>
                      </w:p>
                    </w:txbxContent>
                  </v:textbox>
                  <w10:wrap type="none"/>
                </v:shape>
                <v:shape style="position:absolute;left:8265;top:4506;width:434;height:1637" type="#_x0000_t202" id="docshape134" filled="false" stroked="false">
                  <v:textbox inset="0,0,0,0">
                    <w:txbxContent>
                      <w:p>
                        <w:pPr>
                          <w:spacing w:line="1616" w:lineRule="exact" w:before="0"/>
                          <w:ind w:left="20" w:right="0" w:firstLine="0"/>
                          <w:jc w:val="left"/>
                          <w:rPr>
                            <w:sz w:val="144"/>
                          </w:rPr>
                        </w:pPr>
                        <w:r>
                          <w:rPr>
                            <w:color w:val="3AA7DB"/>
                            <w:spacing w:val="-10"/>
                            <w:w w:val="80"/>
                            <w:sz w:val="144"/>
                          </w:rPr>
                          <w:t>•</w:t>
                        </w:r>
                      </w:p>
                    </w:txbxContent>
                  </v:textbox>
                  <w10:wrap type="none"/>
                </v:shape>
                <v:shape style="position:absolute;left:10166;top:5887;width:170;height:506" type="#_x0000_t202" id="docshape135" filled="false" stroked="false">
                  <v:textbox inset="0,0,0,0">
                    <w:txbxContent>
                      <w:p>
                        <w:pPr>
                          <w:spacing w:before="2"/>
                          <w:ind w:left="20" w:right="0" w:firstLine="0"/>
                          <w:jc w:val="left"/>
                          <w:rPr>
                            <w:sz w:val="42"/>
                          </w:rPr>
                        </w:pPr>
                        <w:r>
                          <w:rPr>
                            <w:color w:val="C1DBEB"/>
                            <w:spacing w:val="-5"/>
                            <w:w w:val="60"/>
                            <w:sz w:val="42"/>
                          </w:rPr>
                          <w:t>..</w:t>
                        </w:r>
                      </w:p>
                    </w:txbxContent>
                  </v:textbox>
                  <w10:wrap type="none"/>
                </v:shape>
                <v:shape style="position:absolute;left:12897;top:5816;width:351;height:365" type="#_x0000_t202" id="docshape136" filled="false" stroked="false">
                  <v:textbox inset="0,0,0,0">
                    <w:txbxContent>
                      <w:p>
                        <w:pPr>
                          <w:spacing w:before="10"/>
                          <w:ind w:left="20" w:right="0" w:firstLine="0"/>
                          <w:jc w:val="left"/>
                          <w:rPr>
                            <w:rFonts w:ascii="Arial"/>
                            <w:sz w:val="29"/>
                          </w:rPr>
                        </w:pPr>
                        <w:r>
                          <w:rPr>
                            <w:rFonts w:ascii="Arial"/>
                            <w:color w:val="0E97D3"/>
                            <w:spacing w:val="-5"/>
                            <w:w w:val="120"/>
                            <w:sz w:val="29"/>
                          </w:rPr>
                          <w:t>,,</w:t>
                        </w:r>
                        <w:r>
                          <w:rPr>
                            <w:rFonts w:ascii="Arial"/>
                            <w:color w:val="3AA7DB"/>
                            <w:spacing w:val="-5"/>
                            <w:w w:val="120"/>
                            <w:sz w:val="29"/>
                          </w:rPr>
                          <w:t>,</w:t>
                        </w:r>
                      </w:p>
                    </w:txbxContent>
                  </v:textbox>
                  <w10:wrap type="none"/>
                </v:shape>
                <w10:wrap type="none"/>
              </v:group>
            </w:pict>
          </mc:Fallback>
        </mc:AlternateContent>
      </w:r>
      <w:r>
        <w:rPr>
          <w:b/>
          <w:color w:val="0E97D3"/>
          <w:spacing w:val="-10"/>
          <w:w w:val="90"/>
          <w:sz w:val="32"/>
        </w:rPr>
        <w:t>w</w:t>
      </w:r>
    </w:p>
    <w:p>
      <w:pPr>
        <w:spacing w:after="0"/>
        <w:jc w:val="left"/>
        <w:rPr>
          <w:sz w:val="32"/>
        </w:rPr>
        <w:sectPr>
          <w:type w:val="continuous"/>
          <w:pgSz w:w="15840" w:h="12240" w:orient="landscape"/>
          <w:pgMar w:header="0" w:footer="0" w:top="1140" w:bottom="280" w:left="700" w:right="1120"/>
          <w:cols w:num="2" w:equalWidth="0">
            <w:col w:w="2803" w:space="40"/>
            <w:col w:w="11177"/>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2"/>
        <w:rPr>
          <w:b/>
          <w:sz w:val="20"/>
        </w:rPr>
      </w:pPr>
    </w:p>
    <w:p>
      <w:pPr>
        <w:spacing w:after="0"/>
        <w:rPr>
          <w:sz w:val="20"/>
        </w:rPr>
        <w:sectPr>
          <w:type w:val="continuous"/>
          <w:pgSz w:w="15840" w:h="12240" w:orient="landscape"/>
          <w:pgMar w:header="0" w:footer="0" w:top="1140" w:bottom="280" w:left="700" w:right="1120"/>
        </w:sectPr>
      </w:pPr>
    </w:p>
    <w:p>
      <w:pPr>
        <w:spacing w:before="95"/>
        <w:ind w:left="1016" w:right="0" w:firstLine="0"/>
        <w:jc w:val="left"/>
        <w:rPr>
          <w:sz w:val="23"/>
        </w:rPr>
      </w:pPr>
      <w:r>
        <w:rPr>
          <w:color w:val="1179B8"/>
          <w:spacing w:val="-10"/>
          <w:w w:val="90"/>
          <w:sz w:val="23"/>
        </w:rPr>
        <w:t>\</w:t>
      </w:r>
    </w:p>
    <w:p>
      <w:pPr>
        <w:pStyle w:val="BodyText"/>
        <w:rPr>
          <w:sz w:val="23"/>
        </w:rPr>
      </w:pPr>
    </w:p>
    <w:p>
      <w:pPr>
        <w:pStyle w:val="BodyText"/>
        <w:rPr>
          <w:sz w:val="23"/>
        </w:rPr>
      </w:pPr>
    </w:p>
    <w:p>
      <w:pPr>
        <w:pStyle w:val="BodyText"/>
        <w:rPr>
          <w:sz w:val="23"/>
        </w:rPr>
      </w:pPr>
    </w:p>
    <w:p>
      <w:pPr>
        <w:pStyle w:val="BodyText"/>
        <w:rPr>
          <w:sz w:val="23"/>
        </w:rPr>
      </w:pPr>
    </w:p>
    <w:p>
      <w:pPr>
        <w:pStyle w:val="BodyText"/>
        <w:spacing w:before="40"/>
        <w:rPr>
          <w:sz w:val="23"/>
        </w:rPr>
      </w:pPr>
    </w:p>
    <w:p>
      <w:pPr>
        <w:spacing w:before="0"/>
        <w:ind w:left="1628" w:right="0" w:firstLine="0"/>
        <w:jc w:val="left"/>
        <w:rPr>
          <w:rFonts w:ascii="Arial"/>
          <w:b/>
          <w:sz w:val="17"/>
        </w:rPr>
      </w:pPr>
      <w:r>
        <w:rPr>
          <w:rFonts w:ascii="Arial"/>
          <w:b/>
          <w:color w:val="282426"/>
          <w:w w:val="65"/>
          <w:sz w:val="17"/>
        </w:rPr>
        <w:t>LOGISTICS</w:t>
      </w:r>
      <w:r>
        <w:rPr>
          <w:rFonts w:ascii="Arial"/>
          <w:b/>
          <w:color w:val="282426"/>
          <w:spacing w:val="-5"/>
          <w:sz w:val="17"/>
        </w:rPr>
        <w:t> </w:t>
      </w:r>
      <w:r>
        <w:rPr>
          <w:rFonts w:ascii="Arial"/>
          <w:b/>
          <w:color w:val="282426"/>
          <w:w w:val="65"/>
          <w:sz w:val="17"/>
        </w:rPr>
        <w:t>PERFORMANCE</w:t>
      </w:r>
      <w:r>
        <w:rPr>
          <w:rFonts w:ascii="Arial"/>
          <w:b/>
          <w:color w:val="282426"/>
          <w:spacing w:val="-2"/>
          <w:sz w:val="17"/>
        </w:rPr>
        <w:t> </w:t>
      </w:r>
      <w:r>
        <w:rPr>
          <w:rFonts w:ascii="Arial"/>
          <w:b/>
          <w:color w:val="282426"/>
          <w:spacing w:val="-2"/>
          <w:w w:val="65"/>
          <w:sz w:val="17"/>
        </w:rPr>
        <w:t>INDEX:</w:t>
      </w:r>
    </w:p>
    <w:p>
      <w:pPr>
        <w:spacing w:before="74"/>
        <w:ind w:left="715" w:right="0" w:firstLine="0"/>
        <w:jc w:val="center"/>
        <w:rPr>
          <w:sz w:val="18"/>
        </w:rPr>
      </w:pPr>
      <w:r>
        <w:rPr>
          <w:color w:val="282426"/>
          <w:spacing w:val="-4"/>
          <w:sz w:val="18"/>
        </w:rPr>
        <w:t>1</w:t>
      </w:r>
      <w:r>
        <w:rPr>
          <w:color w:val="423F3F"/>
          <w:spacing w:val="-4"/>
          <w:sz w:val="18"/>
        </w:rPr>
        <w:t>.9-</w:t>
      </w:r>
      <w:r>
        <w:rPr>
          <w:color w:val="423F3F"/>
          <w:spacing w:val="-5"/>
          <w:sz w:val="18"/>
        </w:rPr>
        <w:t>2</w:t>
      </w:r>
      <w:r>
        <w:rPr>
          <w:color w:val="282426"/>
          <w:spacing w:val="-5"/>
          <w:sz w:val="18"/>
        </w:rPr>
        <w:t>.4</w:t>
      </w:r>
    </w:p>
    <w:p>
      <w:pPr>
        <w:pStyle w:val="ListParagraph"/>
        <w:numPr>
          <w:ilvl w:val="0"/>
          <w:numId w:val="2"/>
        </w:numPr>
        <w:tabs>
          <w:tab w:pos="1920" w:val="left" w:leader="none"/>
        </w:tabs>
        <w:spacing w:line="105" w:lineRule="auto" w:before="99" w:after="0"/>
        <w:ind w:left="1920" w:right="0" w:hanging="313"/>
        <w:jc w:val="left"/>
        <w:rPr>
          <w:rFonts w:ascii="Times New Roman" w:hAnsi="Times New Roman"/>
          <w:sz w:val="18"/>
        </w:rPr>
      </w:pPr>
      <w:r>
        <w:rPr/>
        <mc:AlternateContent>
          <mc:Choice Requires="wps">
            <w:drawing>
              <wp:anchor distT="0" distB="0" distL="0" distR="0" allowOverlap="1" layoutInCell="1" locked="0" behindDoc="1" simplePos="0" relativeHeight="466732544">
                <wp:simplePos x="0" y="0"/>
                <wp:positionH relativeFrom="page">
                  <wp:posOffset>1465513</wp:posOffset>
                </wp:positionH>
                <wp:positionV relativeFrom="paragraph">
                  <wp:posOffset>163637</wp:posOffset>
                </wp:positionV>
                <wp:extent cx="484505" cy="29972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484505" cy="299720"/>
                        </a:xfrm>
                        <a:prstGeom prst="rect">
                          <a:avLst/>
                        </a:prstGeom>
                      </wps:spPr>
                      <wps:txbx>
                        <w:txbxContent>
                          <w:p>
                            <w:pPr>
                              <w:numPr>
                                <w:ilvl w:val="0"/>
                                <w:numId w:val="1"/>
                              </w:numPr>
                              <w:tabs>
                                <w:tab w:pos="313" w:val="left" w:leader="none"/>
                              </w:tabs>
                              <w:spacing w:line="100" w:lineRule="auto" w:before="75"/>
                              <w:ind w:left="313" w:right="0" w:hanging="313"/>
                              <w:jc w:val="left"/>
                              <w:rPr>
                                <w:sz w:val="18"/>
                              </w:rPr>
                            </w:pPr>
                            <w:r>
                              <w:rPr>
                                <w:color w:val="423F3F"/>
                                <w:w w:val="85"/>
                                <w:sz w:val="18"/>
                              </w:rPr>
                              <w:t>2.8-</w:t>
                            </w:r>
                            <w:r>
                              <w:rPr>
                                <w:color w:val="423F3F"/>
                                <w:spacing w:val="-10"/>
                                <w:w w:val="95"/>
                                <w:sz w:val="18"/>
                              </w:rPr>
                              <w:t>3.3</w:t>
                            </w:r>
                          </w:p>
                        </w:txbxContent>
                      </wps:txbx>
                      <wps:bodyPr wrap="square" lIns="0" tIns="0" rIns="0" bIns="0" rtlCol="0">
                        <a:noAutofit/>
                      </wps:bodyPr>
                    </wps:wsp>
                  </a:graphicData>
                </a:graphic>
              </wp:anchor>
            </w:drawing>
          </mc:Choice>
          <mc:Fallback>
            <w:pict>
              <v:shape style="position:absolute;margin-left:115.394798pt;margin-top:12.884872pt;width:38.15pt;height:23.6pt;mso-position-horizontal-relative:page;mso-position-vertical-relative:paragraph;z-index:-36583936" type="#_x0000_t202" id="docshape137" filled="false" stroked="false">
                <v:textbox inset="0,0,0,0">
                  <w:txbxContent>
                    <w:p>
                      <w:pPr>
                        <w:numPr>
                          <w:ilvl w:val="0"/>
                          <w:numId w:val="1"/>
                        </w:numPr>
                        <w:tabs>
                          <w:tab w:pos="313" w:val="left" w:leader="none"/>
                        </w:tabs>
                        <w:spacing w:line="100" w:lineRule="auto" w:before="75"/>
                        <w:ind w:left="313" w:right="0" w:hanging="313"/>
                        <w:jc w:val="left"/>
                        <w:rPr>
                          <w:sz w:val="18"/>
                        </w:rPr>
                      </w:pPr>
                      <w:r>
                        <w:rPr>
                          <w:color w:val="423F3F"/>
                          <w:w w:val="85"/>
                          <w:sz w:val="18"/>
                        </w:rPr>
                        <w:t>2.8-</w:t>
                      </w:r>
                      <w:r>
                        <w:rPr>
                          <w:color w:val="423F3F"/>
                          <w:spacing w:val="-10"/>
                          <w:w w:val="95"/>
                          <w:sz w:val="18"/>
                        </w:rPr>
                        <w:t>3.3</w:t>
                      </w:r>
                    </w:p>
                  </w:txbxContent>
                </v:textbox>
                <w10:wrap type="none"/>
              </v:shape>
            </w:pict>
          </mc:Fallback>
        </mc:AlternateContent>
      </w:r>
      <w:r>
        <w:rPr>
          <w:rFonts w:ascii="Times New Roman" w:hAnsi="Times New Roman"/>
          <w:color w:val="423F3F"/>
          <w:w w:val="85"/>
          <w:sz w:val="18"/>
        </w:rPr>
        <w:t>2.4-</w:t>
      </w:r>
      <w:r>
        <w:rPr>
          <w:rFonts w:ascii="Times New Roman" w:hAnsi="Times New Roman"/>
          <w:color w:val="423F3F"/>
          <w:spacing w:val="-5"/>
          <w:sz w:val="18"/>
        </w:rPr>
        <w:t>2.8</w:t>
      </w:r>
    </w:p>
    <w:p>
      <w:pPr>
        <w:spacing w:before="147"/>
        <w:ind w:left="715" w:right="26" w:firstLine="0"/>
        <w:jc w:val="center"/>
        <w:rPr>
          <w:sz w:val="18"/>
        </w:rPr>
      </w:pPr>
      <w:r>
        <w:rPr/>
        <mc:AlternateContent>
          <mc:Choice Requires="wps">
            <w:drawing>
              <wp:anchor distT="0" distB="0" distL="0" distR="0" allowOverlap="1" layoutInCell="1" locked="0" behindDoc="0" simplePos="0" relativeHeight="15732224">
                <wp:simplePos x="0" y="0"/>
                <wp:positionH relativeFrom="page">
                  <wp:posOffset>1465513</wp:posOffset>
                </wp:positionH>
                <wp:positionV relativeFrom="paragraph">
                  <wp:posOffset>110348</wp:posOffset>
                </wp:positionV>
                <wp:extent cx="161925" cy="28448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161925" cy="284480"/>
                        </a:xfrm>
                        <a:prstGeom prst="rect">
                          <a:avLst/>
                        </a:prstGeom>
                      </wps:spPr>
                      <wps:txbx>
                        <w:txbxContent>
                          <w:p>
                            <w:pPr>
                              <w:spacing w:line="447" w:lineRule="exact" w:before="0"/>
                              <w:ind w:left="0" w:right="0" w:firstLine="0"/>
                              <w:jc w:val="left"/>
                              <w:rPr>
                                <w:rFonts w:ascii="Arial" w:hAnsi="Arial"/>
                                <w:sz w:val="40"/>
                              </w:rPr>
                            </w:pPr>
                            <w:r>
                              <w:rPr>
                                <w:rFonts w:ascii="Arial" w:hAnsi="Arial"/>
                                <w:color w:val="1179B8"/>
                                <w:spacing w:val="-10"/>
                                <w:w w:val="105"/>
                                <w:sz w:val="40"/>
                              </w:rPr>
                              <w:t>■</w:t>
                            </w:r>
                          </w:p>
                        </w:txbxContent>
                      </wps:txbx>
                      <wps:bodyPr wrap="square" lIns="0" tIns="0" rIns="0" bIns="0" rtlCol="0">
                        <a:noAutofit/>
                      </wps:bodyPr>
                    </wps:wsp>
                  </a:graphicData>
                </a:graphic>
              </wp:anchor>
            </w:drawing>
          </mc:Choice>
          <mc:Fallback>
            <w:pict>
              <v:shape style="position:absolute;margin-left:115.394798pt;margin-top:8.688857pt;width:12.75pt;height:22.4pt;mso-position-horizontal-relative:page;mso-position-vertical-relative:paragraph;z-index:15732224" type="#_x0000_t202" id="docshape138" filled="false" stroked="false">
                <v:textbox inset="0,0,0,0">
                  <w:txbxContent>
                    <w:p>
                      <w:pPr>
                        <w:spacing w:line="447" w:lineRule="exact" w:before="0"/>
                        <w:ind w:left="0" w:right="0" w:firstLine="0"/>
                        <w:jc w:val="left"/>
                        <w:rPr>
                          <w:rFonts w:ascii="Arial" w:hAnsi="Arial"/>
                          <w:sz w:val="40"/>
                        </w:rPr>
                      </w:pPr>
                      <w:r>
                        <w:rPr>
                          <w:rFonts w:ascii="Arial" w:hAnsi="Arial"/>
                          <w:color w:val="1179B8"/>
                          <w:spacing w:val="-10"/>
                          <w:w w:val="105"/>
                          <w:sz w:val="40"/>
                        </w:rPr>
                        <w:t>■</w:t>
                      </w:r>
                    </w:p>
                  </w:txbxContent>
                </v:textbox>
                <w10:wrap type="none"/>
              </v:shape>
            </w:pict>
          </mc:Fallback>
        </mc:AlternateContent>
      </w:r>
      <w:r>
        <w:rPr>
          <w:color w:val="423F3F"/>
          <w:w w:val="85"/>
          <w:sz w:val="18"/>
        </w:rPr>
        <w:t>3.3-</w:t>
      </w:r>
      <w:r>
        <w:rPr>
          <w:color w:val="423F3F"/>
          <w:spacing w:val="-5"/>
          <w:sz w:val="18"/>
        </w:rPr>
        <w:t>3.8</w:t>
      </w:r>
    </w:p>
    <w:p>
      <w:pPr>
        <w:spacing w:before="14"/>
        <w:ind w:left="715" w:right="36" w:firstLine="0"/>
        <w:jc w:val="center"/>
        <w:rPr>
          <w:sz w:val="18"/>
        </w:rPr>
      </w:pPr>
      <w:r>
        <w:rPr>
          <w:color w:val="423F3F"/>
          <w:w w:val="85"/>
          <w:sz w:val="18"/>
        </w:rPr>
        <w:t>3.8-</w:t>
      </w:r>
      <w:r>
        <w:rPr>
          <w:color w:val="423F3F"/>
          <w:spacing w:val="-5"/>
          <w:sz w:val="18"/>
        </w:rPr>
        <w:t>4.3</w:t>
      </w:r>
    </w:p>
    <w:p>
      <w:pPr>
        <w:spacing w:before="18"/>
        <w:ind w:left="715" w:right="278" w:firstLine="0"/>
        <w:jc w:val="center"/>
        <w:rPr>
          <w:rFonts w:ascii="Arial"/>
          <w:sz w:val="18"/>
        </w:rPr>
      </w:pPr>
      <w:r>
        <w:rPr>
          <w:rFonts w:ascii="Arial"/>
          <w:color w:val="423F3F"/>
          <w:spacing w:val="-5"/>
          <w:w w:val="80"/>
          <w:sz w:val="18"/>
        </w:rPr>
        <w:t>N/A</w:t>
      </w:r>
    </w:p>
    <w:p>
      <w:pPr>
        <w:spacing w:before="82"/>
        <w:ind w:left="416" w:right="0" w:firstLine="0"/>
        <w:jc w:val="left"/>
        <w:rPr>
          <w:sz w:val="32"/>
        </w:rPr>
      </w:pPr>
      <w:r>
        <w:rPr/>
        <w:br w:type="column"/>
      </w:r>
      <w:r>
        <w:rPr>
          <w:color w:val="A8CFEB"/>
          <w:w w:val="65"/>
          <w:sz w:val="44"/>
        </w:rPr>
        <w:t>..</w:t>
      </w:r>
      <w:r>
        <w:rPr>
          <w:color w:val="A8CFEB"/>
          <w:spacing w:val="20"/>
          <w:sz w:val="44"/>
        </w:rPr>
        <w:t> </w:t>
      </w:r>
      <w:r>
        <w:rPr>
          <w:color w:val="A8CFEB"/>
          <w:spacing w:val="-4"/>
          <w:w w:val="65"/>
          <w:sz w:val="32"/>
        </w:rPr>
        <w:t>,,,.</w:t>
      </w:r>
    </w:p>
    <w:p>
      <w:pPr>
        <w:pStyle w:val="BodyText"/>
        <w:rPr>
          <w:sz w:val="32"/>
        </w:rPr>
      </w:pPr>
    </w:p>
    <w:p>
      <w:pPr>
        <w:pStyle w:val="BodyText"/>
        <w:rPr>
          <w:sz w:val="32"/>
        </w:rPr>
      </w:pPr>
    </w:p>
    <w:p>
      <w:pPr>
        <w:pStyle w:val="BodyText"/>
        <w:rPr>
          <w:sz w:val="32"/>
        </w:rPr>
      </w:pPr>
    </w:p>
    <w:p>
      <w:pPr>
        <w:pStyle w:val="BodyText"/>
        <w:spacing w:before="310"/>
        <w:rPr>
          <w:sz w:val="32"/>
        </w:rPr>
      </w:pPr>
    </w:p>
    <w:p>
      <w:pPr>
        <w:spacing w:before="0"/>
        <w:ind w:left="0" w:right="108" w:firstLine="0"/>
        <w:jc w:val="right"/>
        <w:rPr>
          <w:sz w:val="13"/>
        </w:rPr>
      </w:pPr>
      <w:r>
        <w:rPr>
          <w:color w:val="C1DBEB"/>
          <w:spacing w:val="-5"/>
          <w:w w:val="110"/>
          <w:sz w:val="13"/>
        </w:rPr>
        <w:t>·/</w:t>
      </w:r>
    </w:p>
    <w:p>
      <w:pPr>
        <w:spacing w:after="0"/>
        <w:jc w:val="right"/>
        <w:rPr>
          <w:sz w:val="13"/>
        </w:rPr>
        <w:sectPr>
          <w:type w:val="continuous"/>
          <w:pgSz w:w="15840" w:h="12240" w:orient="landscape"/>
          <w:pgMar w:header="0" w:footer="0" w:top="1140" w:bottom="280" w:left="700" w:right="1120"/>
          <w:cols w:num="2" w:equalWidth="0">
            <w:col w:w="3601" w:space="40"/>
            <w:col w:w="10379"/>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5"/>
        <w:rPr>
          <w:sz w:val="12"/>
        </w:rPr>
      </w:pPr>
    </w:p>
    <w:p>
      <w:pPr>
        <w:spacing w:line="134" w:lineRule="exact" w:before="0"/>
        <w:ind w:left="120" w:right="0" w:firstLine="0"/>
        <w:jc w:val="left"/>
        <w:rPr>
          <w:rFonts w:ascii="Arial"/>
          <w:sz w:val="9"/>
        </w:rPr>
      </w:pPr>
      <w:r>
        <w:rPr>
          <w:rFonts w:ascii="Arial"/>
          <w:color w:val="565454"/>
          <w:spacing w:val="-2"/>
          <w:w w:val="75"/>
          <w:sz w:val="12"/>
        </w:rPr>
        <w:t>IBRD</w:t>
      </w:r>
      <w:r>
        <w:rPr>
          <w:rFonts w:ascii="Arial"/>
          <w:color w:val="565454"/>
          <w:spacing w:val="-8"/>
          <w:sz w:val="12"/>
        </w:rPr>
        <w:t> </w:t>
      </w:r>
      <w:r>
        <w:rPr>
          <w:rFonts w:ascii="Arial"/>
          <w:color w:val="423F3F"/>
          <w:spacing w:val="-2"/>
          <w:w w:val="75"/>
          <w:sz w:val="12"/>
        </w:rPr>
        <w:t>47174</w:t>
      </w:r>
      <w:r>
        <w:rPr>
          <w:rFonts w:ascii="Arial"/>
          <w:color w:val="423F3F"/>
          <w:spacing w:val="14"/>
          <w:sz w:val="12"/>
        </w:rPr>
        <w:t> </w:t>
      </w:r>
      <w:r>
        <w:rPr>
          <w:rFonts w:ascii="Arial"/>
          <w:color w:val="676464"/>
          <w:spacing w:val="-10"/>
          <w:w w:val="75"/>
          <w:sz w:val="9"/>
        </w:rPr>
        <w:t>f</w:t>
      </w:r>
    </w:p>
    <w:p>
      <w:pPr>
        <w:spacing w:line="134" w:lineRule="exact" w:before="0"/>
        <w:ind w:left="117" w:right="0" w:firstLine="0"/>
        <w:jc w:val="left"/>
        <w:rPr>
          <w:rFonts w:ascii="Arial"/>
          <w:sz w:val="12"/>
        </w:rPr>
      </w:pPr>
      <w:r>
        <w:rPr>
          <w:rFonts w:ascii="Arial"/>
          <w:color w:val="565454"/>
          <w:spacing w:val="-2"/>
          <w:w w:val="85"/>
          <w:sz w:val="12"/>
        </w:rPr>
        <w:t>MARC</w:t>
      </w:r>
      <w:r>
        <w:rPr>
          <w:rFonts w:ascii="Arial"/>
          <w:color w:val="282426"/>
          <w:spacing w:val="-2"/>
          <w:w w:val="85"/>
          <w:sz w:val="12"/>
        </w:rPr>
        <w:t>H</w:t>
      </w:r>
      <w:r>
        <w:rPr>
          <w:rFonts w:ascii="Arial"/>
          <w:color w:val="565454"/>
          <w:spacing w:val="-2"/>
          <w:w w:val="85"/>
          <w:sz w:val="12"/>
        </w:rPr>
        <w:t>2023</w:t>
      </w:r>
    </w:p>
    <w:p>
      <w:pPr>
        <w:spacing w:after="0" w:line="134" w:lineRule="exact"/>
        <w:jc w:val="left"/>
        <w:rPr>
          <w:rFonts w:ascii="Arial"/>
          <w:sz w:val="12"/>
        </w:rPr>
        <w:sectPr>
          <w:type w:val="continuous"/>
          <w:pgSz w:w="15840" w:h="12240" w:orient="landscape"/>
          <w:pgMar w:header="0" w:footer="0" w:top="1140" w:bottom="280" w:left="700" w:right="1120"/>
        </w:sectPr>
      </w:pPr>
    </w:p>
    <w:p>
      <w:pPr>
        <w:pStyle w:val="BodyText"/>
        <w:rPr>
          <w:rFonts w:ascii="Arial"/>
          <w:sz w:val="64"/>
        </w:rPr>
      </w:pPr>
    </w:p>
    <w:p>
      <w:pPr>
        <w:pStyle w:val="BodyText"/>
        <w:spacing w:before="67"/>
        <w:rPr>
          <w:rFonts w:ascii="Arial"/>
          <w:sz w:val="64"/>
        </w:rPr>
      </w:pPr>
    </w:p>
    <w:p>
      <w:pPr>
        <w:spacing w:line="721" w:lineRule="exact" w:before="1"/>
        <w:ind w:left="1042" w:right="503" w:firstLine="0"/>
        <w:jc w:val="center"/>
        <w:rPr>
          <w:rFonts w:ascii="Arial"/>
          <w:b/>
          <w:sz w:val="64"/>
        </w:rPr>
      </w:pPr>
      <w:r>
        <w:rPr>
          <w:rFonts w:ascii="Arial"/>
          <w:b/>
          <w:color w:val="008FDD"/>
          <w:sz w:val="64"/>
        </w:rPr>
        <w:t>Connecting</w:t>
      </w:r>
      <w:r>
        <w:rPr>
          <w:rFonts w:ascii="Arial"/>
          <w:b/>
          <w:color w:val="008FDD"/>
          <w:spacing w:val="25"/>
          <w:w w:val="150"/>
          <w:sz w:val="64"/>
        </w:rPr>
        <w:t> </w:t>
      </w:r>
      <w:r>
        <w:rPr>
          <w:rFonts w:ascii="Arial"/>
          <w:b/>
          <w:color w:val="008FDD"/>
          <w:sz w:val="64"/>
        </w:rPr>
        <w:t>to</w:t>
      </w:r>
      <w:r>
        <w:rPr>
          <w:rFonts w:ascii="Arial"/>
          <w:b/>
          <w:color w:val="008FDD"/>
          <w:spacing w:val="26"/>
          <w:w w:val="150"/>
          <w:sz w:val="64"/>
        </w:rPr>
        <w:t> </w:t>
      </w:r>
      <w:r>
        <w:rPr>
          <w:rFonts w:ascii="Arial"/>
          <w:b/>
          <w:color w:val="008FDD"/>
          <w:sz w:val="64"/>
        </w:rPr>
        <w:t>Compete</w:t>
      </w:r>
      <w:r>
        <w:rPr>
          <w:rFonts w:ascii="Arial"/>
          <w:b/>
          <w:color w:val="008FDD"/>
          <w:spacing w:val="25"/>
          <w:w w:val="150"/>
          <w:sz w:val="64"/>
        </w:rPr>
        <w:t> </w:t>
      </w:r>
      <w:r>
        <w:rPr>
          <w:rFonts w:ascii="Arial"/>
          <w:b/>
          <w:color w:val="008FDD"/>
          <w:spacing w:val="-4"/>
          <w:sz w:val="64"/>
        </w:rPr>
        <w:t>2023</w:t>
      </w:r>
    </w:p>
    <w:p>
      <w:pPr>
        <w:pStyle w:val="Heading1"/>
        <w:spacing w:line="445" w:lineRule="exact" w:before="0"/>
        <w:ind w:left="1042" w:right="503"/>
        <w:jc w:val="center"/>
      </w:pPr>
      <w:r>
        <w:rPr>
          <w:color w:val="231F20"/>
        </w:rPr>
        <w:t>Trade</w:t>
      </w:r>
      <w:r>
        <w:rPr>
          <w:color w:val="231F20"/>
          <w:spacing w:val="17"/>
        </w:rPr>
        <w:t> </w:t>
      </w:r>
      <w:r>
        <w:rPr>
          <w:color w:val="231F20"/>
        </w:rPr>
        <w:t>Logistics</w:t>
      </w:r>
      <w:r>
        <w:rPr>
          <w:color w:val="231F20"/>
          <w:spacing w:val="18"/>
        </w:rPr>
        <w:t> </w:t>
      </w:r>
      <w:r>
        <w:rPr>
          <w:color w:val="231F20"/>
        </w:rPr>
        <w:t>in</w:t>
      </w:r>
      <w:r>
        <w:rPr>
          <w:color w:val="231F20"/>
          <w:spacing w:val="18"/>
        </w:rPr>
        <w:t> </w:t>
      </w:r>
      <w:r>
        <w:rPr>
          <w:color w:val="231F20"/>
        </w:rPr>
        <w:t>an</w:t>
      </w:r>
      <w:r>
        <w:rPr>
          <w:color w:val="231F20"/>
          <w:spacing w:val="18"/>
        </w:rPr>
        <w:t> </w:t>
      </w:r>
      <w:r>
        <w:rPr>
          <w:color w:val="231F20"/>
        </w:rPr>
        <w:t>Uncertain</w:t>
      </w:r>
      <w:r>
        <w:rPr>
          <w:color w:val="231F20"/>
          <w:spacing w:val="17"/>
        </w:rPr>
        <w:t> </w:t>
      </w:r>
      <w:r>
        <w:rPr>
          <w:color w:val="231F20"/>
        </w:rPr>
        <w:t>Global</w:t>
      </w:r>
      <w:r>
        <w:rPr>
          <w:color w:val="231F20"/>
          <w:spacing w:val="18"/>
        </w:rPr>
        <w:t> </w:t>
      </w:r>
      <w:r>
        <w:rPr>
          <w:color w:val="231F20"/>
          <w:spacing w:val="-2"/>
        </w:rPr>
        <w:t>Economy</w:t>
      </w:r>
    </w:p>
    <w:p>
      <w:pPr>
        <w:pStyle w:val="BodyText"/>
        <w:spacing w:before="274"/>
        <w:rPr>
          <w:rFonts w:ascii="Arial"/>
          <w:b/>
          <w:sz w:val="40"/>
        </w:rPr>
      </w:pPr>
    </w:p>
    <w:p>
      <w:pPr>
        <w:spacing w:before="0"/>
        <w:ind w:left="1042" w:right="503" w:firstLine="0"/>
        <w:jc w:val="center"/>
        <w:rPr>
          <w:rFonts w:ascii="Arial"/>
          <w:sz w:val="38"/>
        </w:rPr>
      </w:pPr>
      <w:r>
        <w:rPr>
          <w:rFonts w:ascii="Arial"/>
          <w:color w:val="231F20"/>
          <w:w w:val="105"/>
          <w:sz w:val="38"/>
        </w:rPr>
        <w:t>The</w:t>
      </w:r>
      <w:r>
        <w:rPr>
          <w:rFonts w:ascii="Arial"/>
          <w:color w:val="231F20"/>
          <w:spacing w:val="40"/>
          <w:w w:val="105"/>
          <w:sz w:val="38"/>
        </w:rPr>
        <w:t> </w:t>
      </w:r>
      <w:r>
        <w:rPr>
          <w:rFonts w:ascii="Arial"/>
          <w:color w:val="231F20"/>
          <w:w w:val="105"/>
          <w:sz w:val="38"/>
        </w:rPr>
        <w:t>Logistics</w:t>
      </w:r>
      <w:r>
        <w:rPr>
          <w:rFonts w:ascii="Arial"/>
          <w:color w:val="231F20"/>
          <w:spacing w:val="41"/>
          <w:w w:val="105"/>
          <w:sz w:val="38"/>
        </w:rPr>
        <w:t> </w:t>
      </w:r>
      <w:r>
        <w:rPr>
          <w:rFonts w:ascii="Arial"/>
          <w:color w:val="231F20"/>
          <w:w w:val="105"/>
          <w:sz w:val="38"/>
        </w:rPr>
        <w:t>Performance</w:t>
      </w:r>
      <w:r>
        <w:rPr>
          <w:rFonts w:ascii="Arial"/>
          <w:color w:val="231F20"/>
          <w:spacing w:val="41"/>
          <w:w w:val="105"/>
          <w:sz w:val="38"/>
        </w:rPr>
        <w:t> </w:t>
      </w:r>
      <w:r>
        <w:rPr>
          <w:rFonts w:ascii="Arial"/>
          <w:color w:val="231F20"/>
          <w:w w:val="105"/>
          <w:sz w:val="38"/>
        </w:rPr>
        <w:t>Index</w:t>
      </w:r>
      <w:r>
        <w:rPr>
          <w:rFonts w:ascii="Arial"/>
          <w:color w:val="231F20"/>
          <w:spacing w:val="40"/>
          <w:w w:val="105"/>
          <w:sz w:val="38"/>
        </w:rPr>
        <w:t> </w:t>
      </w:r>
      <w:r>
        <w:rPr>
          <w:rFonts w:ascii="Arial"/>
          <w:color w:val="231F20"/>
          <w:w w:val="105"/>
          <w:sz w:val="38"/>
        </w:rPr>
        <w:t>and</w:t>
      </w:r>
      <w:r>
        <w:rPr>
          <w:rFonts w:ascii="Arial"/>
          <w:color w:val="231F20"/>
          <w:spacing w:val="41"/>
          <w:w w:val="105"/>
          <w:sz w:val="38"/>
        </w:rPr>
        <w:t> </w:t>
      </w:r>
      <w:r>
        <w:rPr>
          <w:rFonts w:ascii="Arial"/>
          <w:color w:val="231F20"/>
          <w:w w:val="105"/>
          <w:sz w:val="38"/>
        </w:rPr>
        <w:t>Its</w:t>
      </w:r>
      <w:r>
        <w:rPr>
          <w:rFonts w:ascii="Arial"/>
          <w:color w:val="231F20"/>
          <w:spacing w:val="41"/>
          <w:w w:val="105"/>
          <w:sz w:val="38"/>
        </w:rPr>
        <w:t> </w:t>
      </w:r>
      <w:r>
        <w:rPr>
          <w:rFonts w:ascii="Arial"/>
          <w:color w:val="231F20"/>
          <w:spacing w:val="-2"/>
          <w:w w:val="105"/>
          <w:sz w:val="38"/>
        </w:rPr>
        <w:t>Indicators</w:t>
      </w:r>
    </w:p>
    <w:p>
      <w:pPr>
        <w:pStyle w:val="BodyText"/>
        <w:rPr>
          <w:rFonts w:ascii="Arial"/>
          <w:sz w:val="38"/>
        </w:rPr>
      </w:pPr>
    </w:p>
    <w:p>
      <w:pPr>
        <w:pStyle w:val="BodyText"/>
        <w:rPr>
          <w:rFonts w:ascii="Arial"/>
          <w:sz w:val="38"/>
        </w:rPr>
      </w:pPr>
    </w:p>
    <w:p>
      <w:pPr>
        <w:pStyle w:val="BodyText"/>
        <w:rPr>
          <w:rFonts w:ascii="Arial"/>
          <w:sz w:val="38"/>
        </w:rPr>
      </w:pPr>
    </w:p>
    <w:p>
      <w:pPr>
        <w:pStyle w:val="BodyText"/>
        <w:spacing w:before="155"/>
        <w:rPr>
          <w:rFonts w:ascii="Arial"/>
          <w:sz w:val="38"/>
        </w:rPr>
      </w:pPr>
    </w:p>
    <w:p>
      <w:pPr>
        <w:spacing w:line="249" w:lineRule="auto" w:before="0"/>
        <w:ind w:left="4830" w:right="4288" w:firstLine="0"/>
        <w:jc w:val="center"/>
        <w:rPr>
          <w:rFonts w:ascii="Arial" w:hAnsi="Arial"/>
          <w:sz w:val="24"/>
        </w:rPr>
      </w:pPr>
      <w:r>
        <w:rPr>
          <w:rFonts w:ascii="Arial" w:hAnsi="Arial"/>
          <w:color w:val="231F20"/>
          <w:w w:val="105"/>
          <w:sz w:val="24"/>
        </w:rPr>
        <w:t>Jean-François</w:t>
      </w:r>
      <w:r>
        <w:rPr>
          <w:rFonts w:ascii="Arial" w:hAnsi="Arial"/>
          <w:color w:val="231F20"/>
          <w:spacing w:val="-17"/>
          <w:w w:val="105"/>
          <w:sz w:val="24"/>
        </w:rPr>
        <w:t> </w:t>
      </w:r>
      <w:r>
        <w:rPr>
          <w:rFonts w:ascii="Arial" w:hAnsi="Arial"/>
          <w:color w:val="231F20"/>
          <w:w w:val="105"/>
          <w:sz w:val="24"/>
        </w:rPr>
        <w:t>Arvis The World Bank</w:t>
      </w:r>
    </w:p>
    <w:p>
      <w:pPr>
        <w:spacing w:before="242"/>
        <w:ind w:left="1041" w:right="503" w:firstLine="0"/>
        <w:jc w:val="center"/>
        <w:rPr>
          <w:rFonts w:ascii="Arial"/>
          <w:sz w:val="24"/>
        </w:rPr>
      </w:pPr>
      <w:r>
        <w:rPr>
          <w:rFonts w:ascii="Arial"/>
          <w:color w:val="231F20"/>
          <w:w w:val="105"/>
          <w:sz w:val="24"/>
        </w:rPr>
        <w:t>Lauri</w:t>
      </w:r>
      <w:r>
        <w:rPr>
          <w:rFonts w:ascii="Arial"/>
          <w:color w:val="231F20"/>
          <w:spacing w:val="15"/>
          <w:w w:val="105"/>
          <w:sz w:val="24"/>
        </w:rPr>
        <w:t> </w:t>
      </w:r>
      <w:r>
        <w:rPr>
          <w:rFonts w:ascii="Arial"/>
          <w:color w:val="231F20"/>
          <w:spacing w:val="-4"/>
          <w:w w:val="105"/>
          <w:sz w:val="24"/>
        </w:rPr>
        <w:t>Ojala</w:t>
      </w:r>
    </w:p>
    <w:p>
      <w:pPr>
        <w:spacing w:before="12"/>
        <w:ind w:left="1043" w:right="503" w:firstLine="0"/>
        <w:jc w:val="center"/>
        <w:rPr>
          <w:rFonts w:ascii="Arial"/>
          <w:sz w:val="24"/>
        </w:rPr>
      </w:pPr>
      <w:r>
        <w:rPr>
          <w:rFonts w:ascii="Arial"/>
          <w:color w:val="231F20"/>
          <w:w w:val="105"/>
          <w:sz w:val="24"/>
        </w:rPr>
        <w:t>Turku</w:t>
      </w:r>
      <w:r>
        <w:rPr>
          <w:rFonts w:ascii="Arial"/>
          <w:color w:val="231F20"/>
          <w:spacing w:val="-4"/>
          <w:w w:val="105"/>
          <w:sz w:val="24"/>
        </w:rPr>
        <w:t> </w:t>
      </w:r>
      <w:r>
        <w:rPr>
          <w:rFonts w:ascii="Arial"/>
          <w:color w:val="231F20"/>
          <w:w w:val="105"/>
          <w:sz w:val="24"/>
        </w:rPr>
        <w:t>School</w:t>
      </w:r>
      <w:r>
        <w:rPr>
          <w:rFonts w:ascii="Arial"/>
          <w:color w:val="231F20"/>
          <w:spacing w:val="-3"/>
          <w:w w:val="105"/>
          <w:sz w:val="24"/>
        </w:rPr>
        <w:t> </w:t>
      </w:r>
      <w:r>
        <w:rPr>
          <w:rFonts w:ascii="Arial"/>
          <w:color w:val="231F20"/>
          <w:w w:val="105"/>
          <w:sz w:val="24"/>
        </w:rPr>
        <w:t>of</w:t>
      </w:r>
      <w:r>
        <w:rPr>
          <w:rFonts w:ascii="Arial"/>
          <w:color w:val="231F20"/>
          <w:spacing w:val="-4"/>
          <w:w w:val="105"/>
          <w:sz w:val="24"/>
        </w:rPr>
        <w:t> </w:t>
      </w:r>
      <w:r>
        <w:rPr>
          <w:rFonts w:ascii="Arial"/>
          <w:color w:val="231F20"/>
          <w:w w:val="105"/>
          <w:sz w:val="24"/>
        </w:rPr>
        <w:t>Economics,</w:t>
      </w:r>
      <w:r>
        <w:rPr>
          <w:rFonts w:ascii="Arial"/>
          <w:color w:val="231F20"/>
          <w:spacing w:val="-3"/>
          <w:w w:val="105"/>
          <w:sz w:val="24"/>
        </w:rPr>
        <w:t> </w:t>
      </w:r>
      <w:r>
        <w:rPr>
          <w:rFonts w:ascii="Arial"/>
          <w:color w:val="231F20"/>
          <w:w w:val="105"/>
          <w:sz w:val="24"/>
        </w:rPr>
        <w:t>University</w:t>
      </w:r>
      <w:r>
        <w:rPr>
          <w:rFonts w:ascii="Arial"/>
          <w:color w:val="231F20"/>
          <w:spacing w:val="-4"/>
          <w:w w:val="105"/>
          <w:sz w:val="24"/>
        </w:rPr>
        <w:t> </w:t>
      </w:r>
      <w:r>
        <w:rPr>
          <w:rFonts w:ascii="Arial"/>
          <w:color w:val="231F20"/>
          <w:w w:val="105"/>
          <w:sz w:val="24"/>
        </w:rPr>
        <w:t>of</w:t>
      </w:r>
      <w:r>
        <w:rPr>
          <w:rFonts w:ascii="Arial"/>
          <w:color w:val="231F20"/>
          <w:spacing w:val="-3"/>
          <w:w w:val="105"/>
          <w:sz w:val="24"/>
        </w:rPr>
        <w:t> </w:t>
      </w:r>
      <w:r>
        <w:rPr>
          <w:rFonts w:ascii="Arial"/>
          <w:color w:val="231F20"/>
          <w:spacing w:val="-2"/>
          <w:w w:val="105"/>
          <w:sz w:val="24"/>
        </w:rPr>
        <w:t>Turku</w:t>
      </w:r>
    </w:p>
    <w:p>
      <w:pPr>
        <w:spacing w:line="249" w:lineRule="auto" w:before="252"/>
        <w:ind w:left="4440" w:right="3550" w:firstLine="877"/>
        <w:jc w:val="left"/>
        <w:rPr>
          <w:rFonts w:ascii="Arial"/>
          <w:sz w:val="24"/>
        </w:rPr>
      </w:pPr>
      <w:r>
        <w:rPr>
          <w:rFonts w:ascii="Arial"/>
          <w:color w:val="231F20"/>
          <w:w w:val="105"/>
          <w:sz w:val="24"/>
        </w:rPr>
        <w:t>Ben Shepherd </w:t>
      </w:r>
      <w:r>
        <w:rPr>
          <w:rFonts w:ascii="Arial"/>
          <w:color w:val="231F20"/>
          <w:spacing w:val="-2"/>
          <w:w w:val="105"/>
          <w:sz w:val="24"/>
        </w:rPr>
        <w:t>Developing</w:t>
      </w:r>
      <w:r>
        <w:rPr>
          <w:rFonts w:ascii="Arial"/>
          <w:color w:val="231F20"/>
          <w:spacing w:val="-9"/>
          <w:w w:val="105"/>
          <w:sz w:val="24"/>
        </w:rPr>
        <w:t> </w:t>
      </w:r>
      <w:r>
        <w:rPr>
          <w:rFonts w:ascii="Arial"/>
          <w:color w:val="231F20"/>
          <w:spacing w:val="-2"/>
          <w:w w:val="105"/>
          <w:sz w:val="24"/>
        </w:rPr>
        <w:t>Trade</w:t>
      </w:r>
      <w:r>
        <w:rPr>
          <w:rFonts w:ascii="Arial"/>
          <w:color w:val="231F20"/>
          <w:spacing w:val="-9"/>
          <w:w w:val="105"/>
          <w:sz w:val="24"/>
        </w:rPr>
        <w:t> </w:t>
      </w:r>
      <w:r>
        <w:rPr>
          <w:rFonts w:ascii="Arial"/>
          <w:color w:val="231F20"/>
          <w:spacing w:val="-2"/>
          <w:w w:val="105"/>
          <w:sz w:val="24"/>
        </w:rPr>
        <w:t>Consultants</w:t>
      </w:r>
    </w:p>
    <w:p>
      <w:pPr>
        <w:spacing w:line="249" w:lineRule="auto" w:before="242"/>
        <w:ind w:left="5204" w:right="4662" w:hanging="1"/>
        <w:jc w:val="center"/>
        <w:rPr>
          <w:rFonts w:ascii="Arial"/>
          <w:sz w:val="24"/>
        </w:rPr>
      </w:pPr>
      <w:r>
        <w:rPr>
          <w:rFonts w:ascii="Arial"/>
          <w:color w:val="231F20"/>
          <w:sz w:val="24"/>
        </w:rPr>
        <w:t>Daria Ulybina The World </w:t>
      </w:r>
      <w:r>
        <w:rPr>
          <w:rFonts w:ascii="Arial"/>
          <w:color w:val="231F20"/>
          <w:sz w:val="24"/>
        </w:rPr>
        <w:t>Bank</w:t>
      </w:r>
    </w:p>
    <w:p>
      <w:pPr>
        <w:spacing w:line="249" w:lineRule="auto" w:before="242"/>
        <w:ind w:left="4830" w:right="4288" w:firstLine="0"/>
        <w:jc w:val="center"/>
        <w:rPr>
          <w:rFonts w:ascii="Arial"/>
          <w:sz w:val="24"/>
        </w:rPr>
      </w:pPr>
      <w:r>
        <w:rPr>
          <w:rFonts w:ascii="Arial"/>
          <w:color w:val="231F20"/>
          <w:w w:val="110"/>
          <w:sz w:val="24"/>
        </w:rPr>
        <w:t>Christina</w:t>
      </w:r>
      <w:r>
        <w:rPr>
          <w:rFonts w:ascii="Arial"/>
          <w:color w:val="231F20"/>
          <w:spacing w:val="-19"/>
          <w:w w:val="110"/>
          <w:sz w:val="24"/>
        </w:rPr>
        <w:t> </w:t>
      </w:r>
      <w:r>
        <w:rPr>
          <w:rFonts w:ascii="Arial"/>
          <w:color w:val="231F20"/>
          <w:w w:val="110"/>
          <w:sz w:val="24"/>
        </w:rPr>
        <w:t>Wiederer The World Bank</w:t>
      </w:r>
    </w:p>
    <w:p>
      <w:pPr>
        <w:spacing w:after="0" w:line="249" w:lineRule="auto"/>
        <w:jc w:val="center"/>
        <w:rPr>
          <w:rFonts w:ascii="Arial"/>
          <w:sz w:val="24"/>
        </w:rPr>
        <w:sectPr>
          <w:pgSz w:w="12240" w:h="15840"/>
          <w:pgMar w:header="0" w:footer="0" w:top="1820" w:bottom="280" w:left="0" w:right="54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72"/>
        <w:rPr>
          <w:rFonts w:ascii="Arial"/>
        </w:rPr>
      </w:pPr>
    </w:p>
    <w:p>
      <w:pPr>
        <w:pStyle w:val="BodyText"/>
        <w:spacing w:line="268" w:lineRule="auto" w:before="1"/>
        <w:ind w:left="3360" w:right="1363"/>
      </w:pPr>
      <w:r>
        <w:rPr>
          <w:color w:val="231F20"/>
          <w:spacing w:val="-4"/>
        </w:rPr>
        <w:t>©</w:t>
      </w:r>
      <w:r>
        <w:rPr>
          <w:color w:val="231F20"/>
          <w:spacing w:val="-7"/>
        </w:rPr>
        <w:t> </w:t>
      </w:r>
      <w:r>
        <w:rPr>
          <w:color w:val="231F20"/>
          <w:spacing w:val="-4"/>
        </w:rPr>
        <w:t>2023</w:t>
      </w:r>
      <w:r>
        <w:rPr>
          <w:color w:val="231F20"/>
          <w:spacing w:val="-7"/>
        </w:rPr>
        <w:t> </w:t>
      </w:r>
      <w:r>
        <w:rPr>
          <w:color w:val="231F20"/>
          <w:spacing w:val="-4"/>
        </w:rPr>
        <w:t>International</w:t>
      </w:r>
      <w:r>
        <w:rPr>
          <w:color w:val="231F20"/>
          <w:spacing w:val="-7"/>
        </w:rPr>
        <w:t> </w:t>
      </w:r>
      <w:r>
        <w:rPr>
          <w:color w:val="231F20"/>
          <w:spacing w:val="-4"/>
        </w:rPr>
        <w:t>Bank</w:t>
      </w:r>
      <w:r>
        <w:rPr>
          <w:color w:val="231F20"/>
          <w:spacing w:val="-7"/>
        </w:rPr>
        <w:t> </w:t>
      </w:r>
      <w:r>
        <w:rPr>
          <w:color w:val="231F20"/>
          <w:spacing w:val="-4"/>
        </w:rPr>
        <w:t>for</w:t>
      </w:r>
      <w:r>
        <w:rPr>
          <w:color w:val="231F20"/>
          <w:spacing w:val="-7"/>
        </w:rPr>
        <w:t> </w:t>
      </w:r>
      <w:r>
        <w:rPr>
          <w:color w:val="231F20"/>
          <w:spacing w:val="-4"/>
        </w:rPr>
        <w:t>Reconstruction</w:t>
      </w:r>
      <w:r>
        <w:rPr>
          <w:color w:val="231F20"/>
          <w:spacing w:val="-7"/>
        </w:rPr>
        <w:t> </w:t>
      </w:r>
      <w:r>
        <w:rPr>
          <w:color w:val="231F20"/>
          <w:spacing w:val="-4"/>
        </w:rPr>
        <w:t>and</w:t>
      </w:r>
      <w:r>
        <w:rPr>
          <w:color w:val="231F20"/>
          <w:spacing w:val="-7"/>
        </w:rPr>
        <w:t> </w:t>
      </w:r>
      <w:r>
        <w:rPr>
          <w:color w:val="231F20"/>
          <w:spacing w:val="-4"/>
        </w:rPr>
        <w:t>Development</w:t>
      </w:r>
      <w:r>
        <w:rPr>
          <w:color w:val="231F20"/>
          <w:spacing w:val="-7"/>
        </w:rPr>
        <w:t> </w:t>
      </w:r>
      <w:r>
        <w:rPr>
          <w:color w:val="231F20"/>
          <w:spacing w:val="-4"/>
        </w:rPr>
        <w:t>/</w:t>
      </w:r>
      <w:r>
        <w:rPr>
          <w:color w:val="231F20"/>
          <w:spacing w:val="-7"/>
        </w:rPr>
        <w:t> </w:t>
      </w:r>
      <w:r>
        <w:rPr>
          <w:color w:val="231F20"/>
          <w:spacing w:val="-4"/>
        </w:rPr>
        <w:t>The</w:t>
      </w:r>
      <w:r>
        <w:rPr>
          <w:color w:val="231F20"/>
          <w:spacing w:val="-7"/>
        </w:rPr>
        <w:t> </w:t>
      </w:r>
      <w:r>
        <w:rPr>
          <w:color w:val="231F20"/>
          <w:spacing w:val="-4"/>
        </w:rPr>
        <w:t>World</w:t>
      </w:r>
      <w:r>
        <w:rPr>
          <w:color w:val="231F20"/>
          <w:spacing w:val="-7"/>
        </w:rPr>
        <w:t> </w:t>
      </w:r>
      <w:r>
        <w:rPr>
          <w:color w:val="231F20"/>
          <w:spacing w:val="-4"/>
        </w:rPr>
        <w:t>Bank </w:t>
      </w:r>
      <w:r>
        <w:rPr>
          <w:color w:val="231F20"/>
        </w:rPr>
        <w:t>1818 H Street NW</w:t>
      </w:r>
    </w:p>
    <w:p>
      <w:pPr>
        <w:pStyle w:val="BodyText"/>
        <w:spacing w:line="241" w:lineRule="exact"/>
        <w:ind w:left="3360"/>
      </w:pPr>
      <w:r>
        <w:rPr>
          <w:color w:val="231F20"/>
          <w:spacing w:val="-2"/>
        </w:rPr>
        <w:t>Washington</w:t>
      </w:r>
      <w:r>
        <w:rPr>
          <w:color w:val="231F20"/>
          <w:spacing w:val="-9"/>
        </w:rPr>
        <w:t> </w:t>
      </w:r>
      <w:r>
        <w:rPr>
          <w:color w:val="231F20"/>
          <w:spacing w:val="-2"/>
        </w:rPr>
        <w:t>DC</w:t>
      </w:r>
      <w:r>
        <w:rPr>
          <w:color w:val="231F20"/>
          <w:spacing w:val="-8"/>
        </w:rPr>
        <w:t> </w:t>
      </w:r>
      <w:r>
        <w:rPr>
          <w:color w:val="231F20"/>
          <w:spacing w:val="-4"/>
        </w:rPr>
        <w:t>20433</w:t>
      </w:r>
    </w:p>
    <w:p>
      <w:pPr>
        <w:pStyle w:val="BodyText"/>
        <w:spacing w:line="268" w:lineRule="auto" w:before="28"/>
        <w:ind w:left="3360" w:right="5529"/>
      </w:pPr>
      <w:r>
        <w:rPr>
          <w:color w:val="231F20"/>
        </w:rPr>
        <w:t>Telephone:</w:t>
      </w:r>
      <w:r>
        <w:rPr>
          <w:color w:val="231F20"/>
          <w:spacing w:val="-14"/>
        </w:rPr>
        <w:t> </w:t>
      </w:r>
      <w:r>
        <w:rPr>
          <w:color w:val="231F20"/>
        </w:rPr>
        <w:t>202-473-1000 </w:t>
      </w:r>
      <w:r>
        <w:rPr>
          <w:color w:val="231F20"/>
          <w:spacing w:val="-6"/>
        </w:rPr>
        <w:t>Internet:</w:t>
      </w:r>
      <w:r>
        <w:rPr>
          <w:color w:val="231F20"/>
          <w:spacing w:val="-13"/>
        </w:rPr>
        <w:t> </w:t>
      </w:r>
      <w:hyperlink r:id="rId18">
        <w:r>
          <w:rPr>
            <w:color w:val="231F20"/>
            <w:spacing w:val="-6"/>
          </w:rPr>
          <w:t>www.worldbank.org</w:t>
        </w:r>
      </w:hyperlink>
    </w:p>
    <w:p>
      <w:pPr>
        <w:pStyle w:val="BodyText"/>
        <w:spacing w:before="28"/>
      </w:pPr>
    </w:p>
    <w:p>
      <w:pPr>
        <w:pStyle w:val="BodyText"/>
        <w:spacing w:line="268" w:lineRule="auto"/>
        <w:ind w:left="3360" w:right="657"/>
        <w:jc w:val="both"/>
      </w:pPr>
      <w:r>
        <w:rPr>
          <w:color w:val="231F20"/>
          <w:spacing w:val="-4"/>
        </w:rPr>
        <w:t>This</w:t>
      </w:r>
      <w:r>
        <w:rPr>
          <w:color w:val="231F20"/>
          <w:spacing w:val="-8"/>
        </w:rPr>
        <w:t> </w:t>
      </w:r>
      <w:r>
        <w:rPr>
          <w:color w:val="231F20"/>
          <w:spacing w:val="-4"/>
        </w:rPr>
        <w:t>work</w:t>
      </w:r>
      <w:r>
        <w:rPr>
          <w:color w:val="231F20"/>
          <w:spacing w:val="-8"/>
        </w:rPr>
        <w:t> </w:t>
      </w:r>
      <w:r>
        <w:rPr>
          <w:color w:val="231F20"/>
          <w:spacing w:val="-4"/>
        </w:rPr>
        <w:t>is</w:t>
      </w:r>
      <w:r>
        <w:rPr>
          <w:color w:val="231F20"/>
          <w:spacing w:val="-8"/>
        </w:rPr>
        <w:t> </w:t>
      </w:r>
      <w:r>
        <w:rPr>
          <w:color w:val="231F20"/>
          <w:spacing w:val="-4"/>
        </w:rPr>
        <w:t>a</w:t>
      </w:r>
      <w:r>
        <w:rPr>
          <w:color w:val="231F20"/>
          <w:spacing w:val="-8"/>
        </w:rPr>
        <w:t> </w:t>
      </w:r>
      <w:r>
        <w:rPr>
          <w:color w:val="231F20"/>
          <w:spacing w:val="-4"/>
        </w:rPr>
        <w:t>product</w:t>
      </w:r>
      <w:r>
        <w:rPr>
          <w:color w:val="231F20"/>
          <w:spacing w:val="-8"/>
        </w:rPr>
        <w:t> </w:t>
      </w:r>
      <w:r>
        <w:rPr>
          <w:color w:val="231F20"/>
          <w:spacing w:val="-4"/>
        </w:rPr>
        <w:t>of</w:t>
      </w:r>
      <w:r>
        <w:rPr>
          <w:color w:val="231F20"/>
          <w:spacing w:val="-8"/>
        </w:rPr>
        <w:t> </w:t>
      </w:r>
      <w:r>
        <w:rPr>
          <w:color w:val="231F20"/>
          <w:spacing w:val="-4"/>
        </w:rPr>
        <w:t>the</w:t>
      </w:r>
      <w:r>
        <w:rPr>
          <w:color w:val="231F20"/>
          <w:spacing w:val="-8"/>
        </w:rPr>
        <w:t> </w:t>
      </w:r>
      <w:r>
        <w:rPr>
          <w:color w:val="231F20"/>
          <w:spacing w:val="-4"/>
        </w:rPr>
        <w:t>staff</w:t>
      </w:r>
      <w:r>
        <w:rPr>
          <w:color w:val="231F20"/>
          <w:spacing w:val="-8"/>
        </w:rPr>
        <w:t> </w:t>
      </w:r>
      <w:r>
        <w:rPr>
          <w:color w:val="231F20"/>
          <w:spacing w:val="-4"/>
        </w:rPr>
        <w:t>of</w:t>
      </w:r>
      <w:r>
        <w:rPr>
          <w:color w:val="231F20"/>
          <w:spacing w:val="-8"/>
        </w:rPr>
        <w:t> </w:t>
      </w:r>
      <w:r>
        <w:rPr>
          <w:color w:val="231F20"/>
          <w:spacing w:val="-4"/>
        </w:rPr>
        <w:t>The</w:t>
      </w:r>
      <w:r>
        <w:rPr>
          <w:color w:val="231F20"/>
          <w:spacing w:val="-8"/>
        </w:rPr>
        <w:t> </w:t>
      </w:r>
      <w:r>
        <w:rPr>
          <w:color w:val="231F20"/>
          <w:spacing w:val="-4"/>
        </w:rPr>
        <w:t>World</w:t>
      </w:r>
      <w:r>
        <w:rPr>
          <w:color w:val="231F20"/>
          <w:spacing w:val="-8"/>
        </w:rPr>
        <w:t> </w:t>
      </w:r>
      <w:r>
        <w:rPr>
          <w:color w:val="231F20"/>
          <w:spacing w:val="-4"/>
        </w:rPr>
        <w:t>Bank</w:t>
      </w:r>
      <w:r>
        <w:rPr>
          <w:color w:val="231F20"/>
          <w:spacing w:val="-8"/>
        </w:rPr>
        <w:t> </w:t>
      </w:r>
      <w:r>
        <w:rPr>
          <w:color w:val="231F20"/>
          <w:spacing w:val="-4"/>
        </w:rPr>
        <w:t>with</w:t>
      </w:r>
      <w:r>
        <w:rPr>
          <w:color w:val="231F20"/>
          <w:spacing w:val="-8"/>
        </w:rPr>
        <w:t> </w:t>
      </w:r>
      <w:r>
        <w:rPr>
          <w:color w:val="231F20"/>
          <w:spacing w:val="-4"/>
        </w:rPr>
        <w:t>external</w:t>
      </w:r>
      <w:r>
        <w:rPr>
          <w:color w:val="231F20"/>
          <w:spacing w:val="-8"/>
        </w:rPr>
        <w:t> </w:t>
      </w:r>
      <w:r>
        <w:rPr>
          <w:color w:val="231F20"/>
          <w:spacing w:val="-4"/>
        </w:rPr>
        <w:t>contributions.</w:t>
      </w:r>
      <w:r>
        <w:rPr>
          <w:color w:val="231F20"/>
          <w:spacing w:val="-8"/>
        </w:rPr>
        <w:t> </w:t>
      </w:r>
      <w:r>
        <w:rPr>
          <w:color w:val="231F20"/>
          <w:spacing w:val="-4"/>
        </w:rPr>
        <w:t>The</w:t>
      </w:r>
      <w:r>
        <w:rPr>
          <w:color w:val="231F20"/>
          <w:spacing w:val="-8"/>
        </w:rPr>
        <w:t> </w:t>
      </w:r>
      <w:r>
        <w:rPr>
          <w:color w:val="231F20"/>
          <w:spacing w:val="-4"/>
        </w:rPr>
        <w:t>findings, </w:t>
      </w:r>
      <w:r>
        <w:rPr>
          <w:color w:val="231F20"/>
          <w:spacing w:val="-6"/>
        </w:rPr>
        <w:t>interpretations, and conclusions expressed in this work do not necessarily reflect the views of The </w:t>
      </w:r>
      <w:r>
        <w:rPr>
          <w:color w:val="231F20"/>
          <w:spacing w:val="-4"/>
        </w:rPr>
        <w:t>World</w:t>
      </w:r>
      <w:r>
        <w:rPr>
          <w:color w:val="231F20"/>
          <w:spacing w:val="-6"/>
        </w:rPr>
        <w:t> </w:t>
      </w:r>
      <w:r>
        <w:rPr>
          <w:color w:val="231F20"/>
          <w:spacing w:val="-4"/>
        </w:rPr>
        <w:t>Bank,</w:t>
      </w:r>
      <w:r>
        <w:rPr>
          <w:color w:val="231F20"/>
          <w:spacing w:val="-6"/>
        </w:rPr>
        <w:t> </w:t>
      </w:r>
      <w:r>
        <w:rPr>
          <w:color w:val="231F20"/>
          <w:spacing w:val="-4"/>
        </w:rPr>
        <w:t>its</w:t>
      </w:r>
      <w:r>
        <w:rPr>
          <w:color w:val="231F20"/>
          <w:spacing w:val="-6"/>
        </w:rPr>
        <w:t> </w:t>
      </w:r>
      <w:r>
        <w:rPr>
          <w:color w:val="231F20"/>
          <w:spacing w:val="-4"/>
        </w:rPr>
        <w:t>Board</w:t>
      </w:r>
      <w:r>
        <w:rPr>
          <w:color w:val="231F20"/>
          <w:spacing w:val="-6"/>
        </w:rPr>
        <w:t> </w:t>
      </w:r>
      <w:r>
        <w:rPr>
          <w:color w:val="231F20"/>
          <w:spacing w:val="-4"/>
        </w:rPr>
        <w:t>of</w:t>
      </w:r>
      <w:r>
        <w:rPr>
          <w:color w:val="231F20"/>
          <w:spacing w:val="-6"/>
        </w:rPr>
        <w:t> </w:t>
      </w:r>
      <w:r>
        <w:rPr>
          <w:color w:val="231F20"/>
          <w:spacing w:val="-4"/>
        </w:rPr>
        <w:t>Executive</w:t>
      </w:r>
      <w:r>
        <w:rPr>
          <w:color w:val="231F20"/>
          <w:spacing w:val="-6"/>
        </w:rPr>
        <w:t> </w:t>
      </w:r>
      <w:r>
        <w:rPr>
          <w:color w:val="231F20"/>
          <w:spacing w:val="-4"/>
        </w:rPr>
        <w:t>Directors,</w:t>
      </w:r>
      <w:r>
        <w:rPr>
          <w:color w:val="231F20"/>
          <w:spacing w:val="-6"/>
        </w:rPr>
        <w:t> </w:t>
      </w:r>
      <w:r>
        <w:rPr>
          <w:color w:val="231F20"/>
          <w:spacing w:val="-4"/>
        </w:rPr>
        <w:t>or</w:t>
      </w:r>
      <w:r>
        <w:rPr>
          <w:color w:val="231F20"/>
          <w:spacing w:val="-6"/>
        </w:rPr>
        <w:t> </w:t>
      </w:r>
      <w:r>
        <w:rPr>
          <w:color w:val="231F20"/>
          <w:spacing w:val="-4"/>
        </w:rPr>
        <w:t>the</w:t>
      </w:r>
      <w:r>
        <w:rPr>
          <w:color w:val="231F20"/>
          <w:spacing w:val="-6"/>
        </w:rPr>
        <w:t> </w:t>
      </w:r>
      <w:r>
        <w:rPr>
          <w:color w:val="231F20"/>
          <w:spacing w:val="-4"/>
        </w:rPr>
        <w:t>governments</w:t>
      </w:r>
      <w:r>
        <w:rPr>
          <w:color w:val="231F20"/>
          <w:spacing w:val="-6"/>
        </w:rPr>
        <w:t> </w:t>
      </w:r>
      <w:r>
        <w:rPr>
          <w:color w:val="231F20"/>
          <w:spacing w:val="-4"/>
        </w:rPr>
        <w:t>they</w:t>
      </w:r>
      <w:r>
        <w:rPr>
          <w:color w:val="231F20"/>
          <w:spacing w:val="-6"/>
        </w:rPr>
        <w:t> </w:t>
      </w:r>
      <w:r>
        <w:rPr>
          <w:color w:val="231F20"/>
          <w:spacing w:val="-4"/>
        </w:rPr>
        <w:t>represent.</w:t>
      </w:r>
    </w:p>
    <w:p>
      <w:pPr>
        <w:pStyle w:val="BodyText"/>
        <w:spacing w:before="27"/>
      </w:pPr>
    </w:p>
    <w:p>
      <w:pPr>
        <w:pStyle w:val="BodyText"/>
        <w:spacing w:line="268" w:lineRule="auto"/>
        <w:ind w:left="3360" w:right="657"/>
        <w:jc w:val="both"/>
      </w:pPr>
      <w:r>
        <w:rPr>
          <w:color w:val="231F20"/>
          <w:spacing w:val="-6"/>
        </w:rPr>
        <w:t>The World Bank does not guarantee the accuracy, completeness, or currency of the data included </w:t>
      </w:r>
      <w:r>
        <w:rPr>
          <w:color w:val="231F20"/>
          <w:spacing w:val="-4"/>
        </w:rPr>
        <w:t>in</w:t>
      </w:r>
      <w:r>
        <w:rPr>
          <w:color w:val="231F20"/>
          <w:spacing w:val="-10"/>
        </w:rPr>
        <w:t> </w:t>
      </w:r>
      <w:r>
        <w:rPr>
          <w:color w:val="231F20"/>
          <w:spacing w:val="-4"/>
        </w:rPr>
        <w:t>this</w:t>
      </w:r>
      <w:r>
        <w:rPr>
          <w:color w:val="231F20"/>
          <w:spacing w:val="-9"/>
        </w:rPr>
        <w:t> </w:t>
      </w:r>
      <w:r>
        <w:rPr>
          <w:color w:val="231F20"/>
          <w:spacing w:val="-4"/>
        </w:rPr>
        <w:t>work</w:t>
      </w:r>
      <w:r>
        <w:rPr>
          <w:color w:val="231F20"/>
          <w:spacing w:val="-9"/>
        </w:rPr>
        <w:t> </w:t>
      </w:r>
      <w:r>
        <w:rPr>
          <w:color w:val="231F20"/>
          <w:spacing w:val="-4"/>
        </w:rPr>
        <w:t>and</w:t>
      </w:r>
      <w:r>
        <w:rPr>
          <w:color w:val="231F20"/>
          <w:spacing w:val="-9"/>
        </w:rPr>
        <w:t> </w:t>
      </w:r>
      <w:r>
        <w:rPr>
          <w:color w:val="231F20"/>
          <w:spacing w:val="-4"/>
        </w:rPr>
        <w:t>does</w:t>
      </w:r>
      <w:r>
        <w:rPr>
          <w:color w:val="231F20"/>
          <w:spacing w:val="-9"/>
        </w:rPr>
        <w:t> </w:t>
      </w:r>
      <w:r>
        <w:rPr>
          <w:color w:val="231F20"/>
          <w:spacing w:val="-4"/>
        </w:rPr>
        <w:t>not</w:t>
      </w:r>
      <w:r>
        <w:rPr>
          <w:color w:val="231F20"/>
          <w:spacing w:val="-9"/>
        </w:rPr>
        <w:t> </w:t>
      </w:r>
      <w:r>
        <w:rPr>
          <w:color w:val="231F20"/>
          <w:spacing w:val="-4"/>
        </w:rPr>
        <w:t>assume</w:t>
      </w:r>
      <w:r>
        <w:rPr>
          <w:color w:val="231F20"/>
          <w:spacing w:val="-9"/>
        </w:rPr>
        <w:t> </w:t>
      </w:r>
      <w:r>
        <w:rPr>
          <w:color w:val="231F20"/>
          <w:spacing w:val="-4"/>
        </w:rPr>
        <w:t>responsibility</w:t>
      </w:r>
      <w:r>
        <w:rPr>
          <w:color w:val="231F20"/>
          <w:spacing w:val="-9"/>
        </w:rPr>
        <w:t> </w:t>
      </w:r>
      <w:r>
        <w:rPr>
          <w:color w:val="231F20"/>
          <w:spacing w:val="-4"/>
        </w:rPr>
        <w:t>for</w:t>
      </w:r>
      <w:r>
        <w:rPr>
          <w:color w:val="231F20"/>
          <w:spacing w:val="-10"/>
        </w:rPr>
        <w:t> </w:t>
      </w:r>
      <w:r>
        <w:rPr>
          <w:color w:val="231F20"/>
          <w:spacing w:val="-4"/>
        </w:rPr>
        <w:t>any</w:t>
      </w:r>
      <w:r>
        <w:rPr>
          <w:color w:val="231F20"/>
          <w:spacing w:val="-9"/>
        </w:rPr>
        <w:t> </w:t>
      </w:r>
      <w:r>
        <w:rPr>
          <w:color w:val="231F20"/>
          <w:spacing w:val="-4"/>
        </w:rPr>
        <w:t>errors,</w:t>
      </w:r>
      <w:r>
        <w:rPr>
          <w:color w:val="231F20"/>
          <w:spacing w:val="-9"/>
        </w:rPr>
        <w:t> </w:t>
      </w:r>
      <w:r>
        <w:rPr>
          <w:color w:val="231F20"/>
          <w:spacing w:val="-4"/>
        </w:rPr>
        <w:t>omissions,</w:t>
      </w:r>
      <w:r>
        <w:rPr>
          <w:color w:val="231F20"/>
          <w:spacing w:val="-9"/>
        </w:rPr>
        <w:t> </w:t>
      </w:r>
      <w:r>
        <w:rPr>
          <w:color w:val="231F20"/>
          <w:spacing w:val="-4"/>
        </w:rPr>
        <w:t>or</w:t>
      </w:r>
      <w:r>
        <w:rPr>
          <w:color w:val="231F20"/>
          <w:spacing w:val="-9"/>
        </w:rPr>
        <w:t> </w:t>
      </w:r>
      <w:r>
        <w:rPr>
          <w:color w:val="231F20"/>
          <w:spacing w:val="-4"/>
        </w:rPr>
        <w:t>discrepancies</w:t>
      </w:r>
      <w:r>
        <w:rPr>
          <w:color w:val="231F20"/>
          <w:spacing w:val="-9"/>
        </w:rPr>
        <w:t> </w:t>
      </w:r>
      <w:r>
        <w:rPr>
          <w:color w:val="231F20"/>
          <w:spacing w:val="-4"/>
        </w:rPr>
        <w:t>in</w:t>
      </w:r>
      <w:r>
        <w:rPr>
          <w:color w:val="231F20"/>
          <w:spacing w:val="-9"/>
        </w:rPr>
        <w:t> </w:t>
      </w:r>
      <w:r>
        <w:rPr>
          <w:color w:val="231F20"/>
          <w:spacing w:val="-4"/>
        </w:rPr>
        <w:t>the </w:t>
      </w:r>
      <w:r>
        <w:rPr>
          <w:color w:val="231F20"/>
        </w:rPr>
        <w:t>information,</w:t>
      </w:r>
      <w:r>
        <w:rPr>
          <w:color w:val="231F20"/>
          <w:spacing w:val="-7"/>
        </w:rPr>
        <w:t> </w:t>
      </w:r>
      <w:r>
        <w:rPr>
          <w:color w:val="231F20"/>
        </w:rPr>
        <w:t>or</w:t>
      </w:r>
      <w:r>
        <w:rPr>
          <w:color w:val="231F20"/>
          <w:spacing w:val="-7"/>
        </w:rPr>
        <w:t> </w:t>
      </w:r>
      <w:r>
        <w:rPr>
          <w:color w:val="231F20"/>
        </w:rPr>
        <w:t>liability</w:t>
      </w:r>
      <w:r>
        <w:rPr>
          <w:color w:val="231F20"/>
          <w:spacing w:val="-7"/>
        </w:rPr>
        <w:t> </w:t>
      </w:r>
      <w:r>
        <w:rPr>
          <w:color w:val="231F20"/>
        </w:rPr>
        <w:t>with</w:t>
      </w:r>
      <w:r>
        <w:rPr>
          <w:color w:val="231F20"/>
          <w:spacing w:val="-7"/>
        </w:rPr>
        <w:t> </w:t>
      </w:r>
      <w:r>
        <w:rPr>
          <w:color w:val="231F20"/>
        </w:rPr>
        <w:t>respect</w:t>
      </w:r>
      <w:r>
        <w:rPr>
          <w:color w:val="231F20"/>
          <w:spacing w:val="-7"/>
        </w:rPr>
        <w:t> </w:t>
      </w:r>
      <w:r>
        <w:rPr>
          <w:color w:val="231F20"/>
        </w:rPr>
        <w:t>to</w:t>
      </w:r>
      <w:r>
        <w:rPr>
          <w:color w:val="231F20"/>
          <w:spacing w:val="-7"/>
        </w:rPr>
        <w:t> </w:t>
      </w:r>
      <w:r>
        <w:rPr>
          <w:color w:val="231F20"/>
        </w:rPr>
        <w:t>the</w:t>
      </w:r>
      <w:r>
        <w:rPr>
          <w:color w:val="231F20"/>
          <w:spacing w:val="-7"/>
        </w:rPr>
        <w:t> </w:t>
      </w:r>
      <w:r>
        <w:rPr>
          <w:color w:val="231F20"/>
        </w:rPr>
        <w:t>use</w:t>
      </w:r>
      <w:r>
        <w:rPr>
          <w:color w:val="231F20"/>
          <w:spacing w:val="-7"/>
        </w:rPr>
        <w:t> </w:t>
      </w:r>
      <w:r>
        <w:rPr>
          <w:color w:val="231F20"/>
        </w:rPr>
        <w:t>of</w:t>
      </w:r>
      <w:r>
        <w:rPr>
          <w:color w:val="231F20"/>
          <w:spacing w:val="-7"/>
        </w:rPr>
        <w:t> </w:t>
      </w:r>
      <w:r>
        <w:rPr>
          <w:color w:val="231F20"/>
        </w:rPr>
        <w:t>or</w:t>
      </w:r>
      <w:r>
        <w:rPr>
          <w:color w:val="231F20"/>
          <w:spacing w:val="-7"/>
        </w:rPr>
        <w:t> </w:t>
      </w:r>
      <w:r>
        <w:rPr>
          <w:color w:val="231F20"/>
        </w:rPr>
        <w:t>failure</w:t>
      </w:r>
      <w:r>
        <w:rPr>
          <w:color w:val="231F20"/>
          <w:spacing w:val="-7"/>
        </w:rPr>
        <w:t> </w:t>
      </w:r>
      <w:hyperlink r:id="rId19">
        <w:r>
          <w:rPr>
            <w:color w:val="231F20"/>
          </w:rPr>
          <w:t>to</w:t>
        </w:r>
        <w:r>
          <w:rPr>
            <w:color w:val="231F20"/>
            <w:spacing w:val="-7"/>
          </w:rPr>
          <w:t> </w:t>
        </w:r>
        <w:r>
          <w:rPr>
            <w:color w:val="231F20"/>
          </w:rPr>
          <w:t>use</w:t>
        </w:r>
        <w:r>
          <w:rPr>
            <w:color w:val="231F20"/>
            <w:spacing w:val="-7"/>
          </w:rPr>
          <w:t> </w:t>
        </w:r>
        <w:r>
          <w:rPr>
            <w:color w:val="231F20"/>
          </w:rPr>
          <w:t>the</w:t>
        </w:r>
        <w:r>
          <w:rPr>
            <w:color w:val="231F20"/>
            <w:spacing w:val="-7"/>
          </w:rPr>
          <w:t> </w:t>
        </w:r>
        <w:r>
          <w:rPr>
            <w:color w:val="231F20"/>
          </w:rPr>
          <w:t>informat</w:t>
        </w:r>
      </w:hyperlink>
      <w:r>
        <w:rPr>
          <w:color w:val="231F20"/>
        </w:rPr>
        <w:t>ion,</w:t>
      </w:r>
      <w:r>
        <w:rPr>
          <w:color w:val="231F20"/>
          <w:spacing w:val="-7"/>
        </w:rPr>
        <w:t> </w:t>
      </w:r>
      <w:r>
        <w:rPr>
          <w:color w:val="231F20"/>
        </w:rPr>
        <w:t>methods, </w:t>
      </w:r>
      <w:r>
        <w:rPr>
          <w:color w:val="231F20"/>
          <w:spacing w:val="-6"/>
        </w:rPr>
        <w:t>processes, or conclusions set forth. The boundaries, colors, denominations, and other information </w:t>
      </w:r>
      <w:r>
        <w:rPr>
          <w:color w:val="231F20"/>
        </w:rPr>
        <w:t>shown on any map in this work do not imply any judgment on the part of The World Bank </w:t>
      </w:r>
      <w:r>
        <w:rPr>
          <w:color w:val="231F20"/>
          <w:spacing w:val="-4"/>
        </w:rPr>
        <w:t>concerning</w:t>
      </w:r>
      <w:r>
        <w:rPr>
          <w:color w:val="231F20"/>
          <w:spacing w:val="-10"/>
        </w:rPr>
        <w:t> </w:t>
      </w:r>
      <w:r>
        <w:rPr>
          <w:color w:val="231F20"/>
          <w:spacing w:val="-4"/>
        </w:rPr>
        <w:t>the</w:t>
      </w:r>
      <w:r>
        <w:rPr>
          <w:color w:val="231F20"/>
          <w:spacing w:val="-10"/>
        </w:rPr>
        <w:t> </w:t>
      </w:r>
      <w:r>
        <w:rPr>
          <w:color w:val="231F20"/>
          <w:spacing w:val="-4"/>
        </w:rPr>
        <w:t>legal</w:t>
      </w:r>
      <w:r>
        <w:rPr>
          <w:color w:val="231F20"/>
          <w:spacing w:val="-10"/>
        </w:rPr>
        <w:t> </w:t>
      </w:r>
      <w:r>
        <w:rPr>
          <w:color w:val="231F20"/>
          <w:spacing w:val="-4"/>
        </w:rPr>
        <w:t>status</w:t>
      </w:r>
      <w:r>
        <w:rPr>
          <w:color w:val="231F20"/>
          <w:spacing w:val="-10"/>
        </w:rPr>
        <w:t> </w:t>
      </w:r>
      <w:r>
        <w:rPr>
          <w:color w:val="231F20"/>
          <w:spacing w:val="-4"/>
        </w:rPr>
        <w:t>of</w:t>
      </w:r>
      <w:r>
        <w:rPr>
          <w:color w:val="231F20"/>
          <w:spacing w:val="-10"/>
        </w:rPr>
        <w:t> </w:t>
      </w:r>
      <w:r>
        <w:rPr>
          <w:color w:val="231F20"/>
          <w:spacing w:val="-4"/>
        </w:rPr>
        <w:t>any</w:t>
      </w:r>
      <w:r>
        <w:rPr>
          <w:color w:val="231F20"/>
          <w:spacing w:val="-10"/>
        </w:rPr>
        <w:t> </w:t>
      </w:r>
      <w:r>
        <w:rPr>
          <w:color w:val="231F20"/>
          <w:spacing w:val="-4"/>
        </w:rPr>
        <w:t>territory</w:t>
      </w:r>
      <w:r>
        <w:rPr>
          <w:color w:val="231F20"/>
          <w:spacing w:val="-10"/>
        </w:rPr>
        <w:t> </w:t>
      </w:r>
      <w:r>
        <w:rPr>
          <w:color w:val="231F20"/>
          <w:spacing w:val="-4"/>
        </w:rPr>
        <w:t>or</w:t>
      </w:r>
      <w:r>
        <w:rPr>
          <w:color w:val="231F20"/>
          <w:spacing w:val="-10"/>
        </w:rPr>
        <w:t> </w:t>
      </w:r>
      <w:r>
        <w:rPr>
          <w:color w:val="231F20"/>
          <w:spacing w:val="-4"/>
        </w:rPr>
        <w:t>the</w:t>
      </w:r>
      <w:r>
        <w:rPr>
          <w:color w:val="231F20"/>
          <w:spacing w:val="-10"/>
        </w:rPr>
        <w:t> </w:t>
      </w:r>
      <w:r>
        <w:rPr>
          <w:color w:val="231F20"/>
          <w:spacing w:val="-4"/>
        </w:rPr>
        <w:t>endorsement</w:t>
      </w:r>
      <w:r>
        <w:rPr>
          <w:color w:val="231F20"/>
          <w:spacing w:val="-10"/>
        </w:rPr>
        <w:t> </w:t>
      </w:r>
      <w:r>
        <w:rPr>
          <w:color w:val="231F20"/>
          <w:spacing w:val="-4"/>
        </w:rPr>
        <w:t>or</w:t>
      </w:r>
      <w:r>
        <w:rPr>
          <w:color w:val="231F20"/>
          <w:spacing w:val="-10"/>
        </w:rPr>
        <w:t> </w:t>
      </w:r>
      <w:r>
        <w:rPr>
          <w:color w:val="231F20"/>
          <w:spacing w:val="-4"/>
        </w:rPr>
        <w:t>acceptance</w:t>
      </w:r>
      <w:r>
        <w:rPr>
          <w:color w:val="231F20"/>
          <w:spacing w:val="-10"/>
        </w:rPr>
        <w:t> </w:t>
      </w:r>
      <w:r>
        <w:rPr>
          <w:color w:val="231F20"/>
          <w:spacing w:val="-4"/>
        </w:rPr>
        <w:t>of</w:t>
      </w:r>
      <w:r>
        <w:rPr>
          <w:color w:val="231F20"/>
          <w:spacing w:val="-10"/>
        </w:rPr>
        <w:t> </w:t>
      </w:r>
      <w:r>
        <w:rPr>
          <w:color w:val="231F20"/>
          <w:spacing w:val="-4"/>
        </w:rPr>
        <w:t>such</w:t>
      </w:r>
      <w:r>
        <w:rPr>
          <w:color w:val="231F20"/>
          <w:spacing w:val="-10"/>
        </w:rPr>
        <w:t> </w:t>
      </w:r>
      <w:r>
        <w:rPr>
          <w:color w:val="231F20"/>
          <w:spacing w:val="-4"/>
        </w:rPr>
        <w:t>boundaries.</w:t>
      </w:r>
    </w:p>
    <w:p>
      <w:pPr>
        <w:pStyle w:val="BodyText"/>
        <w:spacing w:before="25"/>
      </w:pPr>
    </w:p>
    <w:p>
      <w:pPr>
        <w:pStyle w:val="BodyText"/>
        <w:spacing w:line="268" w:lineRule="auto" w:before="1"/>
        <w:ind w:left="3360" w:right="658"/>
        <w:jc w:val="both"/>
      </w:pPr>
      <w:r>
        <w:rPr>
          <w:color w:val="231F20"/>
          <w:spacing w:val="-6"/>
        </w:rPr>
        <w:t>Nothing herein shall constitute or be construed or considered to be a limitation upon or waiver of </w:t>
      </w:r>
      <w:r>
        <w:rPr>
          <w:color w:val="231F20"/>
          <w:spacing w:val="-4"/>
        </w:rPr>
        <w:t>the</w:t>
      </w:r>
      <w:r>
        <w:rPr>
          <w:color w:val="231F20"/>
          <w:spacing w:val="-9"/>
        </w:rPr>
        <w:t> </w:t>
      </w:r>
      <w:r>
        <w:rPr>
          <w:color w:val="231F20"/>
          <w:spacing w:val="-4"/>
        </w:rPr>
        <w:t>privileges</w:t>
      </w:r>
      <w:r>
        <w:rPr>
          <w:color w:val="231F20"/>
          <w:spacing w:val="-9"/>
        </w:rPr>
        <w:t> </w:t>
      </w:r>
      <w:r>
        <w:rPr>
          <w:color w:val="231F20"/>
          <w:spacing w:val="-4"/>
        </w:rPr>
        <w:t>and</w:t>
      </w:r>
      <w:r>
        <w:rPr>
          <w:color w:val="231F20"/>
          <w:spacing w:val="-9"/>
        </w:rPr>
        <w:t> </w:t>
      </w:r>
      <w:r>
        <w:rPr>
          <w:color w:val="231F20"/>
          <w:spacing w:val="-4"/>
        </w:rPr>
        <w:t>immunities</w:t>
      </w:r>
      <w:r>
        <w:rPr>
          <w:color w:val="231F20"/>
          <w:spacing w:val="-9"/>
        </w:rPr>
        <w:t> </w:t>
      </w:r>
      <w:r>
        <w:rPr>
          <w:color w:val="231F20"/>
          <w:spacing w:val="-4"/>
        </w:rPr>
        <w:t>of</w:t>
      </w:r>
      <w:r>
        <w:rPr>
          <w:color w:val="231F20"/>
          <w:spacing w:val="-9"/>
        </w:rPr>
        <w:t> </w:t>
      </w:r>
      <w:r>
        <w:rPr>
          <w:color w:val="231F20"/>
          <w:spacing w:val="-4"/>
        </w:rPr>
        <w:t>The</w:t>
      </w:r>
      <w:r>
        <w:rPr>
          <w:color w:val="231F20"/>
          <w:spacing w:val="-9"/>
        </w:rPr>
        <w:t> </w:t>
      </w:r>
      <w:r>
        <w:rPr>
          <w:color w:val="231F20"/>
          <w:spacing w:val="-4"/>
        </w:rPr>
        <w:t>World</w:t>
      </w:r>
      <w:r>
        <w:rPr>
          <w:color w:val="231F20"/>
          <w:spacing w:val="-9"/>
        </w:rPr>
        <w:t> </w:t>
      </w:r>
      <w:r>
        <w:rPr>
          <w:color w:val="231F20"/>
          <w:spacing w:val="-4"/>
        </w:rPr>
        <w:t>Bank,</w:t>
      </w:r>
      <w:r>
        <w:rPr>
          <w:color w:val="231F20"/>
          <w:spacing w:val="-9"/>
        </w:rPr>
        <w:t> </w:t>
      </w:r>
      <w:r>
        <w:rPr>
          <w:color w:val="231F20"/>
          <w:spacing w:val="-4"/>
        </w:rPr>
        <w:t>all</w:t>
      </w:r>
      <w:r>
        <w:rPr>
          <w:color w:val="231F20"/>
          <w:spacing w:val="-9"/>
        </w:rPr>
        <w:t> </w:t>
      </w:r>
      <w:r>
        <w:rPr>
          <w:color w:val="231F20"/>
          <w:spacing w:val="-4"/>
        </w:rPr>
        <w:t>of</w:t>
      </w:r>
      <w:r>
        <w:rPr>
          <w:color w:val="231F20"/>
          <w:spacing w:val="-9"/>
        </w:rPr>
        <w:t> </w:t>
      </w:r>
      <w:r>
        <w:rPr>
          <w:color w:val="231F20"/>
          <w:spacing w:val="-4"/>
        </w:rPr>
        <w:t>which</w:t>
      </w:r>
      <w:r>
        <w:rPr>
          <w:color w:val="231F20"/>
          <w:spacing w:val="-9"/>
        </w:rPr>
        <w:t> </w:t>
      </w:r>
      <w:r>
        <w:rPr>
          <w:color w:val="231F20"/>
          <w:spacing w:val="-4"/>
        </w:rPr>
        <w:t>are</w:t>
      </w:r>
      <w:r>
        <w:rPr>
          <w:color w:val="231F20"/>
          <w:spacing w:val="-9"/>
        </w:rPr>
        <w:t> </w:t>
      </w:r>
      <w:r>
        <w:rPr>
          <w:color w:val="231F20"/>
          <w:spacing w:val="-4"/>
        </w:rPr>
        <w:t>specifically</w:t>
      </w:r>
      <w:r>
        <w:rPr>
          <w:color w:val="231F20"/>
          <w:spacing w:val="-9"/>
        </w:rPr>
        <w:t> </w:t>
      </w:r>
      <w:r>
        <w:rPr>
          <w:color w:val="231F20"/>
          <w:spacing w:val="-4"/>
        </w:rPr>
        <w:t>reserved.</w:t>
      </w:r>
    </w:p>
    <w:p>
      <w:pPr>
        <w:pStyle w:val="BodyText"/>
        <w:spacing w:before="27"/>
      </w:pPr>
    </w:p>
    <w:p>
      <w:pPr>
        <w:pStyle w:val="BodyText"/>
        <w:ind w:left="3360"/>
        <w:jc w:val="both"/>
      </w:pPr>
      <w:r>
        <w:rPr>
          <w:color w:val="231F20"/>
          <w:spacing w:val="-4"/>
        </w:rPr>
        <w:t>Rights</w:t>
      </w:r>
      <w:r>
        <w:rPr>
          <w:color w:val="231F20"/>
          <w:spacing w:val="-10"/>
        </w:rPr>
        <w:t> </w:t>
      </w:r>
      <w:r>
        <w:rPr>
          <w:color w:val="231F20"/>
          <w:spacing w:val="-4"/>
        </w:rPr>
        <w:t>and</w:t>
      </w:r>
      <w:r>
        <w:rPr>
          <w:color w:val="231F20"/>
          <w:spacing w:val="-9"/>
        </w:rPr>
        <w:t> </w:t>
      </w:r>
      <w:r>
        <w:rPr>
          <w:color w:val="231F20"/>
          <w:spacing w:val="-4"/>
        </w:rPr>
        <w:t>Permissions</w:t>
      </w:r>
    </w:p>
    <w:p>
      <w:pPr>
        <w:pStyle w:val="BodyText"/>
        <w:spacing w:line="268" w:lineRule="auto" w:before="29"/>
        <w:ind w:left="3360" w:right="656"/>
        <w:jc w:val="both"/>
      </w:pPr>
      <w:r>
        <w:rPr>
          <w:color w:val="231F20"/>
        </w:rPr>
        <w:t>The material in this work is subject to copyright. Because The World Bank encourages dissemination of its knowledge, this work may be reproduced, in whole or in part, for </w:t>
      </w:r>
      <w:r>
        <w:rPr>
          <w:color w:val="231F20"/>
          <w:spacing w:val="-2"/>
        </w:rPr>
        <w:t>noncommercial</w:t>
      </w:r>
      <w:r>
        <w:rPr>
          <w:color w:val="231F20"/>
          <w:spacing w:val="-13"/>
        </w:rPr>
        <w:t> </w:t>
      </w:r>
      <w:r>
        <w:rPr>
          <w:color w:val="231F20"/>
          <w:spacing w:val="-2"/>
        </w:rPr>
        <w:t>purposes</w:t>
      </w:r>
      <w:r>
        <w:rPr>
          <w:color w:val="231F20"/>
          <w:spacing w:val="-13"/>
        </w:rPr>
        <w:t> </w:t>
      </w:r>
      <w:r>
        <w:rPr>
          <w:color w:val="231F20"/>
          <w:spacing w:val="-2"/>
        </w:rPr>
        <w:t>as</w:t>
      </w:r>
      <w:r>
        <w:rPr>
          <w:color w:val="231F20"/>
          <w:spacing w:val="-13"/>
        </w:rPr>
        <w:t> </w:t>
      </w:r>
      <w:r>
        <w:rPr>
          <w:color w:val="231F20"/>
          <w:spacing w:val="-2"/>
        </w:rPr>
        <w:t>long</w:t>
      </w:r>
      <w:r>
        <w:rPr>
          <w:color w:val="231F20"/>
          <w:spacing w:val="-13"/>
        </w:rPr>
        <w:t> </w:t>
      </w:r>
      <w:r>
        <w:rPr>
          <w:color w:val="231F20"/>
          <w:spacing w:val="-2"/>
        </w:rPr>
        <w:t>as</w:t>
      </w:r>
      <w:r>
        <w:rPr>
          <w:color w:val="231F20"/>
          <w:spacing w:val="-13"/>
        </w:rPr>
        <w:t> </w:t>
      </w:r>
      <w:r>
        <w:rPr>
          <w:color w:val="231F20"/>
          <w:spacing w:val="-2"/>
        </w:rPr>
        <w:t>full</w:t>
      </w:r>
      <w:r>
        <w:rPr>
          <w:color w:val="231F20"/>
          <w:spacing w:val="-13"/>
        </w:rPr>
        <w:t> </w:t>
      </w:r>
      <w:r>
        <w:rPr>
          <w:color w:val="231F20"/>
          <w:spacing w:val="-2"/>
        </w:rPr>
        <w:t>attribution</w:t>
      </w:r>
      <w:r>
        <w:rPr>
          <w:color w:val="231F20"/>
          <w:spacing w:val="-13"/>
        </w:rPr>
        <w:t> </w:t>
      </w:r>
      <w:r>
        <w:rPr>
          <w:color w:val="231F20"/>
          <w:spacing w:val="-2"/>
        </w:rPr>
        <w:t>to</w:t>
      </w:r>
      <w:r>
        <w:rPr>
          <w:color w:val="231F20"/>
          <w:spacing w:val="-13"/>
        </w:rPr>
        <w:t> </w:t>
      </w:r>
      <w:r>
        <w:rPr>
          <w:color w:val="231F20"/>
          <w:spacing w:val="-2"/>
        </w:rPr>
        <w:t>this</w:t>
      </w:r>
      <w:r>
        <w:rPr>
          <w:color w:val="231F20"/>
          <w:spacing w:val="-13"/>
        </w:rPr>
        <w:t> </w:t>
      </w:r>
      <w:r>
        <w:rPr>
          <w:color w:val="231F20"/>
          <w:spacing w:val="-2"/>
        </w:rPr>
        <w:t>work</w:t>
      </w:r>
      <w:r>
        <w:rPr>
          <w:color w:val="231F20"/>
          <w:spacing w:val="-13"/>
        </w:rPr>
        <w:t> </w:t>
      </w:r>
      <w:r>
        <w:rPr>
          <w:color w:val="231F20"/>
          <w:spacing w:val="-2"/>
        </w:rPr>
        <w:t>is</w:t>
      </w:r>
      <w:r>
        <w:rPr>
          <w:color w:val="231F20"/>
          <w:spacing w:val="-13"/>
        </w:rPr>
        <w:t> </w:t>
      </w:r>
      <w:r>
        <w:rPr>
          <w:color w:val="231F20"/>
          <w:spacing w:val="-2"/>
        </w:rPr>
        <w:t>given.</w:t>
      </w:r>
    </w:p>
    <w:p>
      <w:pPr>
        <w:pStyle w:val="BodyText"/>
        <w:spacing w:before="27"/>
      </w:pPr>
    </w:p>
    <w:p>
      <w:pPr>
        <w:pStyle w:val="BodyText"/>
        <w:spacing w:line="268" w:lineRule="auto"/>
        <w:ind w:left="3360" w:right="656"/>
        <w:jc w:val="both"/>
      </w:pPr>
      <w:r>
        <w:rPr>
          <w:color w:val="231F20"/>
          <w:w w:val="90"/>
        </w:rPr>
        <w:t>Any queries on rights and licenses, including subsidiary rights, should be addressed to World Bank </w:t>
      </w:r>
      <w:r>
        <w:rPr>
          <w:color w:val="231F20"/>
          <w:spacing w:val="-2"/>
        </w:rPr>
        <w:t>Publications,</w:t>
      </w:r>
      <w:r>
        <w:rPr>
          <w:color w:val="231F20"/>
          <w:spacing w:val="-7"/>
        </w:rPr>
        <w:t> </w:t>
      </w:r>
      <w:r>
        <w:rPr>
          <w:color w:val="231F20"/>
          <w:spacing w:val="-2"/>
        </w:rPr>
        <w:t>The</w:t>
      </w:r>
      <w:r>
        <w:rPr>
          <w:color w:val="231F20"/>
          <w:spacing w:val="-7"/>
        </w:rPr>
        <w:t> </w:t>
      </w:r>
      <w:r>
        <w:rPr>
          <w:color w:val="231F20"/>
          <w:spacing w:val="-2"/>
        </w:rPr>
        <w:t>World</w:t>
      </w:r>
      <w:r>
        <w:rPr>
          <w:color w:val="231F20"/>
          <w:spacing w:val="-7"/>
        </w:rPr>
        <w:t> </w:t>
      </w:r>
      <w:r>
        <w:rPr>
          <w:color w:val="231F20"/>
          <w:spacing w:val="-2"/>
        </w:rPr>
        <w:t>Bank</w:t>
      </w:r>
      <w:r>
        <w:rPr>
          <w:color w:val="231F20"/>
          <w:spacing w:val="-7"/>
        </w:rPr>
        <w:t> </w:t>
      </w:r>
      <w:r>
        <w:rPr>
          <w:color w:val="231F20"/>
          <w:spacing w:val="-2"/>
        </w:rPr>
        <w:t>Group,</w:t>
      </w:r>
      <w:r>
        <w:rPr>
          <w:color w:val="231F20"/>
          <w:spacing w:val="-7"/>
        </w:rPr>
        <w:t> </w:t>
      </w:r>
      <w:r>
        <w:rPr>
          <w:color w:val="231F20"/>
          <w:spacing w:val="-2"/>
        </w:rPr>
        <w:t>1818</w:t>
      </w:r>
      <w:r>
        <w:rPr>
          <w:color w:val="231F20"/>
          <w:spacing w:val="-7"/>
        </w:rPr>
        <w:t> </w:t>
      </w:r>
      <w:r>
        <w:rPr>
          <w:color w:val="231F20"/>
          <w:spacing w:val="-2"/>
        </w:rPr>
        <w:t>H</w:t>
      </w:r>
      <w:r>
        <w:rPr>
          <w:color w:val="231F20"/>
          <w:spacing w:val="-7"/>
        </w:rPr>
        <w:t> </w:t>
      </w:r>
      <w:r>
        <w:rPr>
          <w:color w:val="231F20"/>
          <w:spacing w:val="-2"/>
        </w:rPr>
        <w:t>Street</w:t>
      </w:r>
      <w:r>
        <w:rPr>
          <w:color w:val="231F20"/>
          <w:spacing w:val="-7"/>
        </w:rPr>
        <w:t> </w:t>
      </w:r>
      <w:r>
        <w:rPr>
          <w:color w:val="231F20"/>
          <w:spacing w:val="-2"/>
        </w:rPr>
        <w:t>NW,</w:t>
      </w:r>
      <w:r>
        <w:rPr>
          <w:color w:val="231F20"/>
          <w:spacing w:val="-7"/>
        </w:rPr>
        <w:t> </w:t>
      </w:r>
      <w:r>
        <w:rPr>
          <w:color w:val="231F20"/>
          <w:spacing w:val="-2"/>
        </w:rPr>
        <w:t>Washington,</w:t>
      </w:r>
      <w:r>
        <w:rPr>
          <w:color w:val="231F20"/>
          <w:spacing w:val="-7"/>
        </w:rPr>
        <w:t> </w:t>
      </w:r>
      <w:r>
        <w:rPr>
          <w:color w:val="231F20"/>
          <w:spacing w:val="-2"/>
        </w:rPr>
        <w:t>DC</w:t>
      </w:r>
      <w:r>
        <w:rPr>
          <w:color w:val="231F20"/>
          <w:spacing w:val="-7"/>
        </w:rPr>
        <w:t> </w:t>
      </w:r>
      <w:r>
        <w:rPr>
          <w:color w:val="231F20"/>
          <w:spacing w:val="-2"/>
        </w:rPr>
        <w:t>20433,</w:t>
      </w:r>
      <w:r>
        <w:rPr>
          <w:color w:val="231F20"/>
          <w:spacing w:val="-7"/>
        </w:rPr>
        <w:t> </w:t>
      </w:r>
      <w:r>
        <w:rPr>
          <w:color w:val="231F20"/>
          <w:spacing w:val="-2"/>
        </w:rPr>
        <w:t>USA;</w:t>
      </w:r>
      <w:r>
        <w:rPr>
          <w:color w:val="231F20"/>
          <w:spacing w:val="-7"/>
        </w:rPr>
        <w:t> </w:t>
      </w:r>
      <w:r>
        <w:rPr>
          <w:color w:val="231F20"/>
          <w:spacing w:val="-2"/>
        </w:rPr>
        <w:t>fax: 202-522-2625;</w:t>
      </w:r>
      <w:r>
        <w:rPr>
          <w:color w:val="231F20"/>
          <w:spacing w:val="-8"/>
        </w:rPr>
        <w:t> </w:t>
      </w:r>
      <w:r>
        <w:rPr>
          <w:color w:val="231F20"/>
          <w:spacing w:val="-2"/>
        </w:rPr>
        <w:t>e-mail:</w:t>
      </w:r>
      <w:r>
        <w:rPr>
          <w:color w:val="231F20"/>
          <w:spacing w:val="-8"/>
        </w:rPr>
        <w:t> </w:t>
      </w:r>
      <w:hyperlink r:id="rId20">
        <w:r>
          <w:rPr>
            <w:color w:val="231F20"/>
            <w:spacing w:val="-2"/>
          </w:rPr>
          <w:t>pubrights@worldbank.org.</w:t>
        </w:r>
      </w:hyperlink>
    </w:p>
    <w:p>
      <w:pPr>
        <w:spacing w:after="0" w:line="268" w:lineRule="auto"/>
        <w:jc w:val="both"/>
        <w:sectPr>
          <w:pgSz w:w="12240" w:h="15840"/>
          <w:pgMar w:header="0" w:footer="0" w:top="1820" w:bottom="280" w:left="0" w:right="540"/>
        </w:sectPr>
      </w:pPr>
    </w:p>
    <w:p>
      <w:pPr>
        <w:pStyle w:val="Heading1"/>
        <w:spacing w:before="95"/>
        <w:ind w:left="0" w:right="503"/>
        <w:jc w:val="center"/>
      </w:pPr>
      <w:r>
        <w:rPr>
          <w:color w:val="231F20"/>
        </w:rPr>
        <w:t>Table</w:t>
      </w:r>
      <w:r>
        <w:rPr>
          <w:color w:val="231F20"/>
          <w:spacing w:val="28"/>
        </w:rPr>
        <w:t> </w:t>
      </w:r>
      <w:r>
        <w:rPr>
          <w:color w:val="231F20"/>
        </w:rPr>
        <w:t>of</w:t>
      </w:r>
      <w:r>
        <w:rPr>
          <w:color w:val="231F20"/>
          <w:spacing w:val="28"/>
        </w:rPr>
        <w:t> </w:t>
      </w:r>
      <w:r>
        <w:rPr>
          <w:color w:val="231F20"/>
          <w:spacing w:val="-2"/>
        </w:rPr>
        <w:t>contents</w:t>
      </w:r>
    </w:p>
    <w:p>
      <w:pPr>
        <w:pStyle w:val="BodyText"/>
        <w:rPr>
          <w:rFonts w:ascii="Arial"/>
          <w:b/>
          <w:sz w:val="14"/>
        </w:rPr>
      </w:pPr>
      <w:r>
        <w:rPr/>
        <mc:AlternateContent>
          <mc:Choice Requires="wps">
            <w:drawing>
              <wp:anchor distT="0" distB="0" distL="0" distR="0" allowOverlap="1" layoutInCell="1" locked="0" behindDoc="1" simplePos="0" relativeHeight="487591936">
                <wp:simplePos x="0" y="0"/>
                <wp:positionH relativeFrom="page">
                  <wp:posOffset>762000</wp:posOffset>
                </wp:positionH>
                <wp:positionV relativeFrom="paragraph">
                  <wp:posOffset>117499</wp:posOffset>
                </wp:positionV>
                <wp:extent cx="1524000" cy="171450"/>
                <wp:effectExtent l="0" t="0" r="0" b="0"/>
                <wp:wrapTopAndBottom/>
                <wp:docPr id="181" name="Graphic 181"/>
                <wp:cNvGraphicFramePr>
                  <a:graphicFrameLocks/>
                </wp:cNvGraphicFramePr>
                <a:graphic>
                  <a:graphicData uri="http://schemas.microsoft.com/office/word/2010/wordprocessingShape">
                    <wps:wsp>
                      <wps:cNvPr id="181" name="Graphic 181"/>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9.251953pt;width:120pt;height:13.5pt;mso-position-horizontal-relative:page;mso-position-vertical-relative:paragraph;z-index:-15724544;mso-wrap-distance-left:0;mso-wrap-distance-right:0" id="docshape141"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592448">
                <wp:simplePos x="0" y="0"/>
                <wp:positionH relativeFrom="page">
                  <wp:posOffset>2438400</wp:posOffset>
                </wp:positionH>
                <wp:positionV relativeFrom="paragraph">
                  <wp:posOffset>117499</wp:posOffset>
                </wp:positionV>
                <wp:extent cx="4876800" cy="171450"/>
                <wp:effectExtent l="0" t="0" r="0" b="0"/>
                <wp:wrapTopAndBottom/>
                <wp:docPr id="182" name="Graphic 182"/>
                <wp:cNvGraphicFramePr>
                  <a:graphicFrameLocks/>
                </wp:cNvGraphicFramePr>
                <a:graphic>
                  <a:graphicData uri="http://schemas.microsoft.com/office/word/2010/wordprocessingShape">
                    <wps:wsp>
                      <wps:cNvPr id="182" name="Graphic 182"/>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9.251953pt;width:384pt;height:13.5pt;mso-position-horizontal-relative:page;mso-position-vertical-relative:paragraph;z-index:-15724032;mso-wrap-distance-left:0;mso-wrap-distance-right:0" id="docshape142" filled="true" fillcolor="#c9dcf3" stroked="false">
                <v:fill type="solid"/>
                <w10:wrap type="topAndBottom"/>
              </v:rect>
            </w:pict>
          </mc:Fallback>
        </mc:AlternateContent>
      </w:r>
    </w:p>
    <w:p>
      <w:pPr>
        <w:pStyle w:val="BodyText"/>
        <w:rPr>
          <w:rFonts w:ascii="Arial"/>
          <w:b/>
          <w:sz w:val="19"/>
        </w:rPr>
      </w:pPr>
    </w:p>
    <w:p>
      <w:pPr>
        <w:pStyle w:val="BodyText"/>
        <w:rPr>
          <w:rFonts w:ascii="Arial"/>
          <w:b/>
          <w:sz w:val="19"/>
        </w:rPr>
      </w:pPr>
    </w:p>
    <w:p>
      <w:pPr>
        <w:pStyle w:val="BodyText"/>
        <w:rPr>
          <w:rFonts w:ascii="Arial"/>
          <w:b/>
          <w:sz w:val="19"/>
        </w:rPr>
      </w:pPr>
    </w:p>
    <w:p>
      <w:pPr>
        <w:pStyle w:val="BodyText"/>
        <w:rPr>
          <w:rFonts w:ascii="Arial"/>
          <w:b/>
          <w:sz w:val="19"/>
        </w:rPr>
      </w:pPr>
    </w:p>
    <w:p>
      <w:pPr>
        <w:pStyle w:val="BodyText"/>
        <w:rPr>
          <w:rFonts w:ascii="Arial"/>
          <w:b/>
          <w:sz w:val="19"/>
        </w:rPr>
      </w:pPr>
    </w:p>
    <w:p>
      <w:pPr>
        <w:pStyle w:val="BodyText"/>
        <w:rPr>
          <w:rFonts w:ascii="Arial"/>
          <w:b/>
          <w:sz w:val="19"/>
        </w:rPr>
      </w:pPr>
    </w:p>
    <w:p>
      <w:pPr>
        <w:pStyle w:val="BodyText"/>
        <w:spacing w:before="182"/>
        <w:rPr>
          <w:rFonts w:ascii="Arial"/>
          <w:b/>
          <w:sz w:val="19"/>
        </w:rPr>
      </w:pPr>
    </w:p>
    <w:p>
      <w:pPr>
        <w:spacing w:after="0"/>
        <w:rPr>
          <w:rFonts w:ascii="Arial"/>
          <w:sz w:val="19"/>
        </w:rPr>
        <w:sectPr>
          <w:footerReference w:type="default" r:id="rId21"/>
          <w:footerReference w:type="even" r:id="rId22"/>
          <w:pgSz w:w="12240" w:h="15840"/>
          <w:pgMar w:header="0" w:footer="548" w:top="1120" w:bottom="542" w:left="0" w:right="540"/>
          <w:pgNumType w:start="3"/>
        </w:sectPr>
      </w:pPr>
    </w:p>
    <w:sdt>
      <w:sdtPr>
        <w:docPartObj>
          <w:docPartGallery w:val="Table of Contents"/>
          <w:docPartUnique/>
        </w:docPartObj>
      </w:sdtPr>
      <w:sdtEndPr/>
      <w:sdtContent>
        <w:p>
          <w:pPr>
            <w:pStyle w:val="TOC5"/>
            <w:tabs>
              <w:tab w:pos="6166" w:val="left" w:leader="none"/>
            </w:tabs>
            <w:spacing w:before="0"/>
          </w:pPr>
          <w:hyperlink w:history="true" w:anchor="_bookmark0">
            <w:r>
              <w:rPr>
                <w:color w:val="008FDD"/>
                <w:spacing w:val="-2"/>
                <w:w w:val="105"/>
              </w:rPr>
              <w:t>Acknowledgements</w:t>
            </w:r>
            <w:r>
              <w:rPr>
                <w:color w:val="008FDD"/>
              </w:rPr>
              <w:tab/>
            </w:r>
            <w:r>
              <w:rPr>
                <w:color w:val="008FDD"/>
                <w:spacing w:val="-5"/>
                <w:w w:val="105"/>
              </w:rPr>
              <w:t>vi</w:t>
            </w:r>
          </w:hyperlink>
        </w:p>
        <w:p>
          <w:pPr>
            <w:pStyle w:val="TOC5"/>
            <w:tabs>
              <w:tab w:pos="5642" w:val="left" w:leader="none"/>
            </w:tabs>
          </w:pPr>
          <w:hyperlink w:history="true" w:anchor="_bookmark1">
            <w:r>
              <w:rPr>
                <w:color w:val="008FDD"/>
                <w:spacing w:val="-2"/>
                <w:w w:val="105"/>
              </w:rPr>
              <w:t>Abbreviations</w:t>
            </w:r>
            <w:r>
              <w:rPr>
                <w:color w:val="008FDD"/>
              </w:rPr>
              <w:tab/>
            </w:r>
            <w:r>
              <w:rPr>
                <w:color w:val="008FDD"/>
                <w:spacing w:val="-5"/>
                <w:w w:val="105"/>
              </w:rPr>
              <w:t>vii</w:t>
            </w:r>
          </w:hyperlink>
        </w:p>
        <w:p>
          <w:pPr>
            <w:pStyle w:val="TOC5"/>
            <w:tabs>
              <w:tab w:pos="5701" w:val="left" w:leader="none"/>
            </w:tabs>
            <w:spacing w:before="51"/>
          </w:pPr>
          <w:hyperlink w:history="true" w:anchor="_bookmark2">
            <w:r>
              <w:rPr>
                <w:color w:val="008FDD"/>
              </w:rPr>
              <w:t>Key </w:t>
            </w:r>
            <w:r>
              <w:rPr>
                <w:color w:val="008FDD"/>
                <w:spacing w:val="-2"/>
              </w:rPr>
              <w:t>messages</w:t>
            </w:r>
            <w:r>
              <w:rPr>
                <w:color w:val="008FDD"/>
              </w:rPr>
              <w:tab/>
            </w:r>
            <w:r>
              <w:rPr>
                <w:color w:val="008FDD"/>
                <w:spacing w:val="-5"/>
              </w:rPr>
              <w:t>ix</w:t>
            </w:r>
          </w:hyperlink>
        </w:p>
        <w:p>
          <w:pPr>
            <w:pStyle w:val="TOC5"/>
            <w:tabs>
              <w:tab w:pos="5868" w:val="left" w:leader="none"/>
            </w:tabs>
          </w:pPr>
          <w:hyperlink w:history="true" w:anchor="_bookmark3">
            <w:r>
              <w:rPr>
                <w:color w:val="008FDD"/>
                <w:w w:val="105"/>
              </w:rPr>
              <w:t>Policy</w:t>
            </w:r>
            <w:r>
              <w:rPr>
                <w:color w:val="008FDD"/>
                <w:spacing w:val="-1"/>
                <w:w w:val="105"/>
              </w:rPr>
              <w:t> </w:t>
            </w:r>
            <w:r>
              <w:rPr>
                <w:color w:val="008FDD"/>
                <w:spacing w:val="-2"/>
                <w:w w:val="105"/>
              </w:rPr>
              <w:t>highlights</w:t>
            </w:r>
            <w:r>
              <w:rPr>
                <w:color w:val="008FDD"/>
              </w:rPr>
              <w:tab/>
            </w:r>
            <w:r>
              <w:rPr>
                <w:color w:val="008FDD"/>
                <w:spacing w:val="-5"/>
                <w:w w:val="105"/>
              </w:rPr>
              <w:t>x</w:t>
            </w:r>
          </w:hyperlink>
          <w:r>
            <w:rPr>
              <w:color w:val="008FDD"/>
              <w:spacing w:val="-5"/>
              <w:w w:val="105"/>
            </w:rPr>
            <w:t>i</w:t>
          </w:r>
        </w:p>
        <w:p>
          <w:pPr>
            <w:pStyle w:val="TOC5"/>
            <w:tabs>
              <w:tab w:pos="6157" w:val="left" w:leader="none"/>
            </w:tabs>
            <w:spacing w:before="321"/>
          </w:pPr>
          <w:hyperlink w:history="true" w:anchor="_bookmark5">
            <w:r>
              <w:rPr>
                <w:color w:val="008FDD"/>
              </w:rPr>
              <w:t>Executive</w:t>
            </w:r>
            <w:r>
              <w:rPr>
                <w:color w:val="008FDD"/>
                <w:spacing w:val="33"/>
              </w:rPr>
              <w:t> </w:t>
            </w:r>
            <w:r>
              <w:rPr>
                <w:color w:val="008FDD"/>
                <w:spacing w:val="-2"/>
              </w:rPr>
              <w:t>summary</w:t>
            </w:r>
            <w:r>
              <w:rPr>
                <w:color w:val="008FDD"/>
              </w:rPr>
              <w:tab/>
            </w:r>
            <w:r>
              <w:rPr>
                <w:color w:val="008FDD"/>
                <w:spacing w:val="-10"/>
              </w:rPr>
              <w:t>1</w:t>
            </w:r>
          </w:hyperlink>
        </w:p>
        <w:p>
          <w:pPr>
            <w:pStyle w:val="TOC5"/>
            <w:tabs>
              <w:tab w:pos="6964" w:val="left" w:leader="none"/>
            </w:tabs>
            <w:spacing w:line="297" w:lineRule="auto" w:before="322"/>
            <w:ind w:right="1003"/>
          </w:pPr>
          <w:hyperlink w:history="true" w:anchor="_bookmark11">
            <w:r>
              <w:rPr>
                <w:color w:val="008FDD"/>
                <w:w w:val="105"/>
              </w:rPr>
              <w:t>Key</w:t>
            </w:r>
            <w:r>
              <w:rPr>
                <w:color w:val="008FDD"/>
                <w:spacing w:val="-3"/>
                <w:w w:val="105"/>
              </w:rPr>
              <w:t> </w:t>
            </w:r>
            <w:r>
              <w:rPr>
                <w:color w:val="008FDD"/>
                <w:w w:val="105"/>
              </w:rPr>
              <w:t>changes</w:t>
            </w:r>
            <w:r>
              <w:rPr>
                <w:color w:val="008FDD"/>
                <w:spacing w:val="-3"/>
                <w:w w:val="105"/>
              </w:rPr>
              <w:t> </w:t>
            </w:r>
            <w:r>
              <w:rPr>
                <w:color w:val="008FDD"/>
                <w:w w:val="105"/>
              </w:rPr>
              <w:t>in</w:t>
            </w:r>
            <w:r>
              <w:rPr>
                <w:color w:val="008FDD"/>
                <w:spacing w:val="-3"/>
                <w:w w:val="105"/>
              </w:rPr>
              <w:t> </w:t>
            </w:r>
            <w:r>
              <w:rPr>
                <w:color w:val="008FDD"/>
                <w:w w:val="105"/>
              </w:rPr>
              <w:t>global</w:t>
            </w:r>
            <w:r>
              <w:rPr>
                <w:color w:val="008FDD"/>
                <w:spacing w:val="-3"/>
                <w:w w:val="105"/>
              </w:rPr>
              <w:t> </w:t>
            </w:r>
            <w:r>
              <w:rPr>
                <w:color w:val="008FDD"/>
                <w:w w:val="105"/>
              </w:rPr>
              <w:t>supply</w:t>
            </w:r>
            <w:r>
              <w:rPr>
                <w:color w:val="008FDD"/>
                <w:spacing w:val="-3"/>
                <w:w w:val="105"/>
              </w:rPr>
              <w:t> </w:t>
            </w:r>
            <w:r>
              <w:rPr>
                <w:color w:val="008FDD"/>
                <w:w w:val="105"/>
              </w:rPr>
              <w:t>chains</w:t>
            </w:r>
            <w:r>
              <w:rPr>
                <w:color w:val="008FDD"/>
                <w:spacing w:val="-3"/>
                <w:w w:val="105"/>
              </w:rPr>
              <w:t> </w:t>
            </w:r>
            <w:r>
              <w:rPr>
                <w:color w:val="008FDD"/>
                <w:w w:val="105"/>
              </w:rPr>
              <w:t>since</w:t>
            </w:r>
            <w:r>
              <w:rPr>
                <w:color w:val="008FDD"/>
                <w:spacing w:val="-3"/>
                <w:w w:val="105"/>
              </w:rPr>
              <w:t> </w:t>
            </w:r>
            <w:r>
              <w:rPr>
                <w:color w:val="008FDD"/>
                <w:w w:val="105"/>
              </w:rPr>
              <w:t>2018</w:t>
            </w:r>
            <w:r>
              <w:rPr>
                <w:color w:val="008FDD"/>
                <w:spacing w:val="-3"/>
                <w:w w:val="105"/>
              </w:rPr>
              <w:t> </w:t>
            </w:r>
            <w:r>
              <w:rPr>
                <w:color w:val="008FDD"/>
                <w:w w:val="105"/>
              </w:rPr>
              <w:t>and</w:t>
            </w:r>
            <w:r>
              <w:rPr>
                <w:color w:val="008FDD"/>
                <w:spacing w:val="-3"/>
                <w:w w:val="105"/>
              </w:rPr>
              <w:t> </w:t>
            </w:r>
            <w:r>
              <w:rPr>
                <w:color w:val="008FDD"/>
                <w:w w:val="105"/>
              </w:rPr>
              <w:t>implications</w:t>
            </w:r>
            <w:r>
              <w:rPr>
                <w:color w:val="008FDD"/>
                <w:spacing w:val="-3"/>
                <w:w w:val="105"/>
              </w:rPr>
              <w:t> </w:t>
            </w:r>
            <w:r>
              <w:rPr>
                <w:color w:val="008FDD"/>
                <w:w w:val="105"/>
              </w:rPr>
              <w:t>for</w:t>
            </w:r>
            <w:r>
              <w:rPr>
                <w:color w:val="008FDD"/>
                <w:spacing w:val="-3"/>
                <w:w w:val="105"/>
              </w:rPr>
              <w:t> </w:t>
            </w:r>
            <w:r>
              <w:rPr>
                <w:color w:val="008FDD"/>
                <w:w w:val="105"/>
              </w:rPr>
              <w:t>the</w:t>
            </w:r>
            <w:r>
              <w:rPr>
                <w:color w:val="008FDD"/>
                <w:spacing w:val="-3"/>
                <w:w w:val="105"/>
              </w:rPr>
              <w:t> </w:t>
            </w:r>
            <w:r>
              <w:rPr>
                <w:color w:val="008FDD"/>
                <w:w w:val="105"/>
              </w:rPr>
              <w:t>2023</w:t>
            </w:r>
          </w:hyperlink>
          <w:r>
            <w:rPr>
              <w:color w:val="008FDD"/>
              <w:w w:val="105"/>
            </w:rPr>
            <w:t> </w:t>
          </w:r>
          <w:hyperlink w:history="true" w:anchor="_bookmark11">
            <w:r>
              <w:rPr>
                <w:color w:val="008FDD"/>
                <w:w w:val="105"/>
              </w:rPr>
              <w:t>Logistics Performance Index</w:t>
            </w:r>
            <w:r>
              <w:rPr>
                <w:color w:val="008FDD"/>
              </w:rPr>
              <w:tab/>
            </w:r>
            <w:r>
              <w:rPr>
                <w:color w:val="008FDD"/>
                <w:spacing w:val="-10"/>
                <w:w w:val="105"/>
              </w:rPr>
              <w:t>7</w:t>
            </w:r>
          </w:hyperlink>
        </w:p>
        <w:p>
          <w:pPr>
            <w:pStyle w:val="TOC4"/>
            <w:spacing w:line="222" w:lineRule="exact" w:before="0"/>
          </w:pPr>
          <w:hyperlink w:history="true" w:anchor="_bookmark11">
            <w:r>
              <w:rPr>
                <w:color w:val="231F20"/>
                <w:spacing w:val="-6"/>
              </w:rPr>
              <w:t>Understanding</w:t>
            </w:r>
            <w:r>
              <w:rPr>
                <w:color w:val="231F20"/>
              </w:rPr>
              <w:t> </w:t>
            </w:r>
            <w:r>
              <w:rPr>
                <w:color w:val="231F20"/>
                <w:spacing w:val="-6"/>
              </w:rPr>
              <w:t>logistics</w:t>
            </w:r>
            <w:r>
              <w:rPr>
                <w:color w:val="231F20"/>
              </w:rPr>
              <w:t> </w:t>
            </w:r>
            <w:r>
              <w:rPr>
                <w:color w:val="231F20"/>
                <w:spacing w:val="-6"/>
              </w:rPr>
              <w:t>performance</w:t>
            </w:r>
            <w:r>
              <w:rPr>
                <w:color w:val="231F20"/>
                <w:spacing w:val="1"/>
              </w:rPr>
              <w:t> </w:t>
            </w:r>
            <w:r>
              <w:rPr>
                <w:color w:val="231F20"/>
                <w:spacing w:val="-6"/>
              </w:rPr>
              <w:t>and</w:t>
            </w:r>
            <w:r>
              <w:rPr>
                <w:color w:val="231F20"/>
              </w:rPr>
              <w:t> </w:t>
            </w:r>
            <w:r>
              <w:rPr>
                <w:color w:val="231F20"/>
                <w:spacing w:val="-6"/>
              </w:rPr>
              <w:t>its</w:t>
            </w:r>
            <w:r>
              <w:rPr>
                <w:color w:val="231F20"/>
                <w:spacing w:val="1"/>
              </w:rPr>
              <w:t> </w:t>
            </w:r>
            <w:r>
              <w:rPr>
                <w:color w:val="231F20"/>
                <w:spacing w:val="-6"/>
              </w:rPr>
              <w:t>determinants</w:t>
            </w:r>
            <w:r>
              <w:rPr>
                <w:color w:val="231F20"/>
              </w:rPr>
              <w:t> </w:t>
            </w:r>
            <w:r>
              <w:rPr>
                <w:color w:val="231F20"/>
                <w:spacing w:val="-6"/>
              </w:rPr>
              <w:t>is</w:t>
            </w:r>
            <w:r>
              <w:rPr>
                <w:color w:val="231F20"/>
                <w:spacing w:val="1"/>
              </w:rPr>
              <w:t> </w:t>
            </w:r>
            <w:r>
              <w:rPr>
                <w:color w:val="231F20"/>
                <w:spacing w:val="-6"/>
              </w:rPr>
              <w:t>now</w:t>
            </w:r>
            <w:r>
              <w:rPr>
                <w:color w:val="231F20"/>
              </w:rPr>
              <w:t> </w:t>
            </w:r>
            <w:r>
              <w:rPr>
                <w:color w:val="231F20"/>
                <w:spacing w:val="-6"/>
              </w:rPr>
              <w:t>more</w:t>
            </w:r>
            <w:r>
              <w:rPr>
                <w:color w:val="231F20"/>
              </w:rPr>
              <w:t> </w:t>
            </w:r>
            <w:r>
              <w:rPr>
                <w:color w:val="231F20"/>
                <w:spacing w:val="-6"/>
              </w:rPr>
              <w:t>important</w:t>
            </w:r>
            <w:r>
              <w:rPr>
                <w:color w:val="231F20"/>
                <w:spacing w:val="1"/>
              </w:rPr>
              <w:t> </w:t>
            </w:r>
            <w:r>
              <w:rPr>
                <w:color w:val="231F20"/>
                <w:spacing w:val="-6"/>
              </w:rPr>
              <w:t>than</w:t>
            </w:r>
          </w:hyperlink>
        </w:p>
        <w:p>
          <w:pPr>
            <w:pStyle w:val="TOC6"/>
            <w:tabs>
              <w:tab w:pos="5332" w:val="left" w:leader="none"/>
            </w:tabs>
          </w:pPr>
          <w:hyperlink w:history="true" w:anchor="_bookmark11">
            <w:r>
              <w:rPr>
                <w:color w:val="231F20"/>
                <w:spacing w:val="-4"/>
              </w:rPr>
              <w:t>ever</w:t>
            </w:r>
            <w:r>
              <w:rPr>
                <w:color w:val="231F20"/>
              </w:rPr>
              <w:tab/>
            </w:r>
            <w:r>
              <w:rPr>
                <w:color w:val="231F20"/>
                <w:spacing w:val="-10"/>
              </w:rPr>
              <w:t>7</w:t>
            </w:r>
          </w:hyperlink>
        </w:p>
        <w:p>
          <w:pPr>
            <w:pStyle w:val="TOC4"/>
            <w:tabs>
              <w:tab w:pos="7952" w:val="left" w:leader="none"/>
            </w:tabs>
            <w:spacing w:before="29"/>
          </w:pPr>
          <w:hyperlink w:history="true" w:anchor="_bookmark11">
            <w:r>
              <w:rPr>
                <w:color w:val="231F20"/>
                <w:spacing w:val="-4"/>
              </w:rPr>
              <w:t>Container</w:t>
            </w:r>
            <w:r>
              <w:rPr>
                <w:color w:val="231F20"/>
                <w:spacing w:val="-5"/>
              </w:rPr>
              <w:t> </w:t>
            </w:r>
            <w:r>
              <w:rPr>
                <w:color w:val="231F20"/>
                <w:spacing w:val="-4"/>
              </w:rPr>
              <w:t>shipping disruptions in 2020–22</w:t>
            </w:r>
            <w:r>
              <w:rPr>
                <w:color w:val="231F20"/>
              </w:rPr>
              <w:tab/>
            </w:r>
            <w:r>
              <w:rPr>
                <w:color w:val="231F20"/>
                <w:spacing w:val="-10"/>
              </w:rPr>
              <w:t>7</w:t>
            </w:r>
          </w:hyperlink>
        </w:p>
        <w:p>
          <w:pPr>
            <w:pStyle w:val="TOC4"/>
            <w:tabs>
              <w:tab w:pos="7853" w:val="left" w:leader="none"/>
            </w:tabs>
          </w:pPr>
          <w:hyperlink w:history="true" w:anchor="_bookmark13">
            <w:r>
              <w:rPr>
                <w:color w:val="231F20"/>
                <w:spacing w:val="-4"/>
              </w:rPr>
              <w:t>Air</w:t>
            </w:r>
            <w:r>
              <w:rPr>
                <w:color w:val="231F20"/>
                <w:spacing w:val="-9"/>
              </w:rPr>
              <w:t> </w:t>
            </w:r>
            <w:r>
              <w:rPr>
                <w:color w:val="231F20"/>
                <w:spacing w:val="-4"/>
              </w:rPr>
              <w:t>freight</w:t>
            </w:r>
            <w:r>
              <w:rPr>
                <w:color w:val="231F20"/>
                <w:spacing w:val="-8"/>
              </w:rPr>
              <w:t> </w:t>
            </w:r>
            <w:r>
              <w:rPr>
                <w:color w:val="231F20"/>
                <w:spacing w:val="-4"/>
              </w:rPr>
              <w:t>market</w:t>
            </w:r>
            <w:r>
              <w:rPr>
                <w:color w:val="231F20"/>
                <w:spacing w:val="-8"/>
              </w:rPr>
              <w:t> </w:t>
            </w:r>
            <w:r>
              <w:rPr>
                <w:color w:val="231F20"/>
                <w:spacing w:val="-4"/>
              </w:rPr>
              <w:t>disruptions</w:t>
            </w:r>
            <w:r>
              <w:rPr>
                <w:color w:val="231F20"/>
                <w:spacing w:val="-8"/>
              </w:rPr>
              <w:t> </w:t>
            </w:r>
            <w:r>
              <w:rPr>
                <w:color w:val="231F20"/>
                <w:spacing w:val="-4"/>
              </w:rPr>
              <w:t>in</w:t>
            </w:r>
            <w:r>
              <w:rPr>
                <w:color w:val="231F20"/>
                <w:spacing w:val="-8"/>
              </w:rPr>
              <w:t> </w:t>
            </w:r>
            <w:r>
              <w:rPr>
                <w:color w:val="231F20"/>
                <w:spacing w:val="-4"/>
              </w:rPr>
              <w:t>2020–22</w:t>
            </w:r>
            <w:r>
              <w:rPr>
                <w:color w:val="231F20"/>
              </w:rPr>
              <w:tab/>
            </w:r>
            <w:r>
              <w:rPr>
                <w:color w:val="231F20"/>
                <w:spacing w:val="-10"/>
              </w:rPr>
              <w:t>9</w:t>
            </w:r>
          </w:hyperlink>
        </w:p>
        <w:p>
          <w:pPr>
            <w:pStyle w:val="TOC4"/>
            <w:tabs>
              <w:tab w:pos="11004" w:val="left" w:leader="none"/>
            </w:tabs>
            <w:spacing w:before="29"/>
          </w:pPr>
          <w:hyperlink w:history="true" w:anchor="_bookmark13">
            <w:r>
              <w:rPr>
                <w:color w:val="231F20"/>
                <w:w w:val="90"/>
              </w:rPr>
              <w:t>The</w:t>
            </w:r>
            <w:r>
              <w:rPr>
                <w:color w:val="231F20"/>
                <w:spacing w:val="7"/>
              </w:rPr>
              <w:t> </w:t>
            </w:r>
            <w:r>
              <w:rPr>
                <w:color w:val="231F20"/>
                <w:w w:val="90"/>
              </w:rPr>
              <w:t>rapid</w:t>
            </w:r>
            <w:r>
              <w:rPr>
                <w:color w:val="231F20"/>
                <w:spacing w:val="7"/>
              </w:rPr>
              <w:t> </w:t>
            </w:r>
            <w:r>
              <w:rPr>
                <w:color w:val="231F20"/>
                <w:w w:val="90"/>
              </w:rPr>
              <w:t>emergence</w:t>
            </w:r>
            <w:r>
              <w:rPr>
                <w:color w:val="231F20"/>
                <w:spacing w:val="7"/>
              </w:rPr>
              <w:t> </w:t>
            </w:r>
            <w:r>
              <w:rPr>
                <w:color w:val="231F20"/>
                <w:w w:val="90"/>
              </w:rPr>
              <w:t>of</w:t>
            </w:r>
            <w:r>
              <w:rPr>
                <w:color w:val="231F20"/>
                <w:spacing w:val="7"/>
              </w:rPr>
              <w:t> </w:t>
            </w:r>
            <w:r>
              <w:rPr>
                <w:color w:val="231F20"/>
                <w:w w:val="90"/>
              </w:rPr>
              <w:t>e-commerce</w:t>
            </w:r>
            <w:r>
              <w:rPr>
                <w:color w:val="231F20"/>
                <w:spacing w:val="7"/>
              </w:rPr>
              <w:t> </w:t>
            </w:r>
            <w:r>
              <w:rPr>
                <w:color w:val="231F20"/>
                <w:w w:val="90"/>
              </w:rPr>
              <w:t>as</w:t>
            </w:r>
            <w:r>
              <w:rPr>
                <w:color w:val="231F20"/>
                <w:spacing w:val="7"/>
              </w:rPr>
              <w:t> </w:t>
            </w:r>
            <w:r>
              <w:rPr>
                <w:color w:val="231F20"/>
                <w:w w:val="90"/>
              </w:rPr>
              <w:t>an</w:t>
            </w:r>
            <w:r>
              <w:rPr>
                <w:color w:val="231F20"/>
                <w:spacing w:val="7"/>
              </w:rPr>
              <w:t> </w:t>
            </w:r>
            <w:r>
              <w:rPr>
                <w:color w:val="231F20"/>
                <w:w w:val="90"/>
              </w:rPr>
              <w:t>important</w:t>
            </w:r>
            <w:r>
              <w:rPr>
                <w:color w:val="231F20"/>
                <w:spacing w:val="7"/>
              </w:rPr>
              <w:t> </w:t>
            </w:r>
            <w:r>
              <w:rPr>
                <w:color w:val="231F20"/>
                <w:w w:val="90"/>
              </w:rPr>
              <w:t>channel</w:t>
            </w:r>
            <w:r>
              <w:rPr>
                <w:color w:val="231F20"/>
                <w:spacing w:val="7"/>
              </w:rPr>
              <w:t> </w:t>
            </w:r>
            <w:r>
              <w:rPr>
                <w:color w:val="231F20"/>
                <w:w w:val="90"/>
              </w:rPr>
              <w:t>for</w:t>
            </w:r>
            <w:r>
              <w:rPr>
                <w:color w:val="231F20"/>
                <w:spacing w:val="7"/>
              </w:rPr>
              <w:t> </w:t>
            </w:r>
            <w:r>
              <w:rPr>
                <w:color w:val="231F20"/>
                <w:w w:val="90"/>
              </w:rPr>
              <w:t>cross-border</w:t>
            </w:r>
            <w:r>
              <w:rPr>
                <w:color w:val="231F20"/>
                <w:spacing w:val="7"/>
              </w:rPr>
              <w:t> </w:t>
            </w:r>
            <w:r>
              <w:rPr>
                <w:color w:val="231F20"/>
                <w:spacing w:val="-2"/>
                <w:w w:val="90"/>
              </w:rPr>
              <w:t>trade</w:t>
            </w:r>
            <w:r>
              <w:rPr>
                <w:color w:val="231F20"/>
              </w:rPr>
              <w:tab/>
            </w:r>
            <w:r>
              <w:rPr>
                <w:color w:val="231F20"/>
                <w:spacing w:val="-10"/>
              </w:rPr>
              <w:t>9</w:t>
            </w:r>
          </w:hyperlink>
        </w:p>
        <w:p>
          <w:pPr>
            <w:pStyle w:val="TOC4"/>
            <w:tabs>
              <w:tab w:pos="5916" w:val="left" w:leader="none"/>
            </w:tabs>
            <w:spacing w:line="268" w:lineRule="auto"/>
            <w:ind w:left="4380" w:right="1363" w:hanging="540"/>
          </w:pPr>
          <w:hyperlink w:history="true" w:anchor="_bookmark13">
            <w:r>
              <w:rPr>
                <w:color w:val="231F20"/>
                <w:spacing w:val="-4"/>
              </w:rPr>
              <w:t>The</w:t>
            </w:r>
            <w:r>
              <w:rPr>
                <w:color w:val="231F20"/>
                <w:spacing w:val="-13"/>
              </w:rPr>
              <w:t> </w:t>
            </w:r>
            <w:r>
              <w:rPr>
                <w:color w:val="231F20"/>
                <w:spacing w:val="-4"/>
              </w:rPr>
              <w:t>2023</w:t>
            </w:r>
            <w:r>
              <w:rPr>
                <w:color w:val="231F20"/>
                <w:spacing w:val="-13"/>
              </w:rPr>
              <w:t> </w:t>
            </w:r>
            <w:r>
              <w:rPr>
                <w:color w:val="231F20"/>
                <w:spacing w:val="-4"/>
              </w:rPr>
              <w:t>LPI</w:t>
            </w:r>
            <w:r>
              <w:rPr>
                <w:color w:val="231F20"/>
                <w:spacing w:val="-13"/>
              </w:rPr>
              <w:t> </w:t>
            </w:r>
            <w:r>
              <w:rPr>
                <w:color w:val="231F20"/>
                <w:spacing w:val="-4"/>
              </w:rPr>
              <w:t>measures</w:t>
            </w:r>
            <w:r>
              <w:rPr>
                <w:color w:val="231F20"/>
                <w:spacing w:val="-13"/>
              </w:rPr>
              <w:t> </w:t>
            </w:r>
            <w:r>
              <w:rPr>
                <w:color w:val="231F20"/>
                <w:spacing w:val="-4"/>
              </w:rPr>
              <w:t>structural</w:t>
            </w:r>
            <w:r>
              <w:rPr>
                <w:color w:val="231F20"/>
                <w:spacing w:val="-13"/>
              </w:rPr>
              <w:t> </w:t>
            </w:r>
            <w:r>
              <w:rPr>
                <w:color w:val="231F20"/>
                <w:spacing w:val="-4"/>
              </w:rPr>
              <w:t>factors</w:t>
            </w:r>
            <w:r>
              <w:rPr>
                <w:color w:val="231F20"/>
                <w:spacing w:val="-13"/>
              </w:rPr>
              <w:t> </w:t>
            </w:r>
            <w:r>
              <w:rPr>
                <w:color w:val="231F20"/>
                <w:spacing w:val="-4"/>
              </w:rPr>
              <w:t>of</w:t>
            </w:r>
            <w:r>
              <w:rPr>
                <w:color w:val="231F20"/>
                <w:spacing w:val="-13"/>
              </w:rPr>
              <w:t> </w:t>
            </w:r>
            <w:r>
              <w:rPr>
                <w:color w:val="231F20"/>
                <w:spacing w:val="-4"/>
              </w:rPr>
              <w:t>performance</w:t>
            </w:r>
            <w:r>
              <w:rPr>
                <w:color w:val="231F20"/>
                <w:spacing w:val="-13"/>
              </w:rPr>
              <w:t> </w:t>
            </w:r>
            <w:r>
              <w:rPr>
                <w:color w:val="231F20"/>
                <w:spacing w:val="-4"/>
              </w:rPr>
              <w:t>rather</w:t>
            </w:r>
            <w:r>
              <w:rPr>
                <w:color w:val="231F20"/>
                <w:spacing w:val="-13"/>
              </w:rPr>
              <w:t> </w:t>
            </w:r>
            <w:r>
              <w:rPr>
                <w:color w:val="231F20"/>
                <w:spacing w:val="-4"/>
              </w:rPr>
              <w:t>than</w:t>
            </w:r>
            <w:r>
              <w:rPr>
                <w:color w:val="231F20"/>
                <w:spacing w:val="-13"/>
              </w:rPr>
              <w:t> </w:t>
            </w:r>
            <w:r>
              <w:rPr>
                <w:color w:val="231F20"/>
                <w:spacing w:val="-4"/>
              </w:rPr>
              <w:t>supply</w:t>
            </w:r>
            <w:r>
              <w:rPr>
                <w:color w:val="231F20"/>
                <w:spacing w:val="-13"/>
              </w:rPr>
              <w:t> </w:t>
            </w:r>
            <w:r>
              <w:rPr>
                <w:color w:val="231F20"/>
                <w:spacing w:val="-4"/>
              </w:rPr>
              <w:t>chain</w:t>
            </w:r>
          </w:hyperlink>
          <w:r>
            <w:rPr>
              <w:color w:val="231F20"/>
              <w:spacing w:val="-4"/>
            </w:rPr>
            <w:t> </w:t>
          </w:r>
          <w:hyperlink w:history="true" w:anchor="_bookmark13">
            <w:r>
              <w:rPr>
                <w:color w:val="231F20"/>
                <w:spacing w:val="-2"/>
              </w:rPr>
              <w:t>disruptions</w:t>
            </w:r>
            <w:r>
              <w:rPr>
                <w:color w:val="231F20"/>
              </w:rPr>
              <w:tab/>
            </w:r>
            <w:r>
              <w:rPr>
                <w:color w:val="231F20"/>
                <w:spacing w:val="-10"/>
              </w:rPr>
              <w:t>9</w:t>
            </w:r>
          </w:hyperlink>
        </w:p>
        <w:p>
          <w:pPr>
            <w:pStyle w:val="TOC5"/>
            <w:tabs>
              <w:tab w:pos="7828" w:val="left" w:leader="none"/>
            </w:tabs>
            <w:spacing w:before="287"/>
          </w:pPr>
          <w:hyperlink w:history="true" w:anchor="_bookmark14">
            <w:r>
              <w:rPr>
                <w:color w:val="008FDD"/>
              </w:rPr>
              <w:t>The</w:t>
            </w:r>
            <w:r>
              <w:rPr>
                <w:color w:val="008FDD"/>
                <w:spacing w:val="27"/>
              </w:rPr>
              <w:t> </w:t>
            </w:r>
            <w:r>
              <w:rPr>
                <w:color w:val="008FDD"/>
              </w:rPr>
              <w:t>2023</w:t>
            </w:r>
            <w:r>
              <w:rPr>
                <w:color w:val="008FDD"/>
                <w:spacing w:val="28"/>
              </w:rPr>
              <w:t> </w:t>
            </w:r>
            <w:r>
              <w:rPr>
                <w:color w:val="008FDD"/>
              </w:rPr>
              <w:t>Logistics</w:t>
            </w:r>
            <w:r>
              <w:rPr>
                <w:color w:val="008FDD"/>
                <w:spacing w:val="28"/>
              </w:rPr>
              <w:t> </w:t>
            </w:r>
            <w:r>
              <w:rPr>
                <w:color w:val="008FDD"/>
              </w:rPr>
              <w:t>Performance</w:t>
            </w:r>
            <w:r>
              <w:rPr>
                <w:color w:val="008FDD"/>
                <w:spacing w:val="28"/>
              </w:rPr>
              <w:t> </w:t>
            </w:r>
            <w:r>
              <w:rPr>
                <w:color w:val="008FDD"/>
                <w:spacing w:val="-4"/>
              </w:rPr>
              <w:t>Index</w:t>
            </w:r>
            <w:r>
              <w:rPr>
                <w:color w:val="008FDD"/>
              </w:rPr>
              <w:tab/>
            </w:r>
            <w:r>
              <w:rPr>
                <w:color w:val="008FDD"/>
                <w:spacing w:val="-5"/>
              </w:rPr>
              <w:t>11</w:t>
            </w:r>
          </w:hyperlink>
        </w:p>
        <w:p>
          <w:pPr>
            <w:pStyle w:val="TOC4"/>
            <w:tabs>
              <w:tab w:pos="6466" w:val="left" w:leader="none"/>
            </w:tabs>
            <w:spacing w:before="34"/>
          </w:pPr>
          <w:hyperlink w:history="true" w:anchor="_bookmark14">
            <w:r>
              <w:rPr>
                <w:color w:val="231F20"/>
                <w:spacing w:val="-2"/>
              </w:rPr>
              <w:t>How</w:t>
            </w:r>
            <w:r>
              <w:rPr>
                <w:color w:val="231F20"/>
                <w:spacing w:val="-10"/>
              </w:rPr>
              <w:t> </w:t>
            </w:r>
            <w:r>
              <w:rPr>
                <w:color w:val="231F20"/>
                <w:spacing w:val="-2"/>
              </w:rPr>
              <w:t>to</w:t>
            </w:r>
            <w:r>
              <w:rPr>
                <w:color w:val="231F20"/>
                <w:spacing w:val="-10"/>
              </w:rPr>
              <w:t> </w:t>
            </w:r>
            <w:r>
              <w:rPr>
                <w:color w:val="231F20"/>
                <w:spacing w:val="-2"/>
              </w:rPr>
              <w:t>interpret</w:t>
            </w:r>
            <w:r>
              <w:rPr>
                <w:color w:val="231F20"/>
                <w:spacing w:val="-9"/>
              </w:rPr>
              <w:t> </w:t>
            </w:r>
            <w:r>
              <w:rPr>
                <w:color w:val="231F20"/>
                <w:spacing w:val="-2"/>
              </w:rPr>
              <w:t>the</w:t>
            </w:r>
            <w:r>
              <w:rPr>
                <w:color w:val="231F20"/>
                <w:spacing w:val="-10"/>
              </w:rPr>
              <w:t> </w:t>
            </w:r>
            <w:r>
              <w:rPr>
                <w:color w:val="231F20"/>
                <w:spacing w:val="-5"/>
              </w:rPr>
              <w:t>LPI</w:t>
            </w:r>
            <w:r>
              <w:rPr>
                <w:color w:val="231F20"/>
              </w:rPr>
              <w:tab/>
            </w:r>
            <w:r>
              <w:rPr>
                <w:color w:val="231F20"/>
                <w:spacing w:val="-5"/>
              </w:rPr>
              <w:t>11</w:t>
            </w:r>
          </w:hyperlink>
        </w:p>
        <w:p>
          <w:pPr>
            <w:pStyle w:val="TOC4"/>
            <w:tabs>
              <w:tab w:pos="6684" w:val="left" w:leader="none"/>
            </w:tabs>
          </w:pPr>
          <w:hyperlink w:history="true" w:anchor="_bookmark14">
            <w:r>
              <w:rPr>
                <w:color w:val="231F20"/>
                <w:spacing w:val="-6"/>
              </w:rPr>
              <w:t>Features of</w:t>
            </w:r>
            <w:r>
              <w:rPr>
                <w:color w:val="231F20"/>
                <w:spacing w:val="-5"/>
              </w:rPr>
              <w:t> </w:t>
            </w:r>
            <w:r>
              <w:rPr>
                <w:color w:val="231F20"/>
                <w:spacing w:val="-6"/>
              </w:rPr>
              <w:t>the 2023</w:t>
            </w:r>
            <w:r>
              <w:rPr>
                <w:color w:val="231F20"/>
                <w:spacing w:val="-5"/>
              </w:rPr>
              <w:t> </w:t>
            </w:r>
            <w:r>
              <w:rPr>
                <w:color w:val="231F20"/>
                <w:spacing w:val="-6"/>
              </w:rPr>
              <w:t>survey</w:t>
            </w:r>
            <w:r>
              <w:rPr>
                <w:color w:val="231F20"/>
              </w:rPr>
              <w:tab/>
            </w:r>
            <w:r>
              <w:rPr>
                <w:color w:val="231F20"/>
                <w:spacing w:val="-5"/>
              </w:rPr>
              <w:t>11</w:t>
            </w:r>
          </w:hyperlink>
        </w:p>
        <w:p>
          <w:pPr>
            <w:pStyle w:val="TOC4"/>
            <w:tabs>
              <w:tab w:pos="7323" w:val="left" w:leader="none"/>
            </w:tabs>
            <w:spacing w:before="29"/>
          </w:pPr>
          <w:hyperlink w:history="true" w:anchor="_bookmark16">
            <w:r>
              <w:rPr>
                <w:color w:val="231F20"/>
                <w:w w:val="90"/>
              </w:rPr>
              <w:t>Key</w:t>
            </w:r>
            <w:r>
              <w:rPr>
                <w:color w:val="231F20"/>
                <w:spacing w:val="4"/>
              </w:rPr>
              <w:t> </w:t>
            </w:r>
            <w:r>
              <w:rPr>
                <w:color w:val="231F20"/>
                <w:w w:val="90"/>
              </w:rPr>
              <w:t>findings</w:t>
            </w:r>
            <w:r>
              <w:rPr>
                <w:color w:val="231F20"/>
                <w:spacing w:val="4"/>
              </w:rPr>
              <w:t> </w:t>
            </w:r>
            <w:r>
              <w:rPr>
                <w:color w:val="231F20"/>
                <w:w w:val="90"/>
              </w:rPr>
              <w:t>of</w:t>
            </w:r>
            <w:r>
              <w:rPr>
                <w:color w:val="231F20"/>
                <w:spacing w:val="5"/>
              </w:rPr>
              <w:t> </w:t>
            </w:r>
            <w:r>
              <w:rPr>
                <w:color w:val="231F20"/>
                <w:w w:val="90"/>
              </w:rPr>
              <w:t>the</w:t>
            </w:r>
            <w:r>
              <w:rPr>
                <w:color w:val="231F20"/>
                <w:spacing w:val="4"/>
              </w:rPr>
              <w:t> </w:t>
            </w:r>
            <w:r>
              <w:rPr>
                <w:color w:val="231F20"/>
                <w:w w:val="90"/>
              </w:rPr>
              <w:t>2023</w:t>
            </w:r>
            <w:r>
              <w:rPr>
                <w:color w:val="231F20"/>
                <w:spacing w:val="5"/>
              </w:rPr>
              <w:t> </w:t>
            </w:r>
            <w:r>
              <w:rPr>
                <w:color w:val="231F20"/>
                <w:w w:val="90"/>
              </w:rPr>
              <w:t>LPI</w:t>
            </w:r>
            <w:r>
              <w:rPr>
                <w:color w:val="231F20"/>
                <w:spacing w:val="4"/>
              </w:rPr>
              <w:t> </w:t>
            </w:r>
            <w:r>
              <w:rPr>
                <w:color w:val="231F20"/>
                <w:spacing w:val="-2"/>
                <w:w w:val="90"/>
              </w:rPr>
              <w:t>survey</w:t>
            </w:r>
            <w:r>
              <w:rPr>
                <w:color w:val="231F20"/>
              </w:rPr>
              <w:tab/>
            </w:r>
            <w:r>
              <w:rPr>
                <w:color w:val="231F20"/>
                <w:spacing w:val="-5"/>
              </w:rPr>
              <w:t>12</w:t>
            </w:r>
          </w:hyperlink>
        </w:p>
        <w:p>
          <w:pPr>
            <w:pStyle w:val="TOC4"/>
            <w:tabs>
              <w:tab w:pos="7755" w:val="left" w:leader="none"/>
            </w:tabs>
          </w:pPr>
          <w:hyperlink w:history="true" w:anchor="_bookmark19">
            <w:r>
              <w:rPr>
                <w:color w:val="231F20"/>
                <w:w w:val="90"/>
              </w:rPr>
              <w:t>The</w:t>
            </w:r>
            <w:r>
              <w:rPr>
                <w:color w:val="231F20"/>
                <w:spacing w:val="-1"/>
                <w:w w:val="90"/>
              </w:rPr>
              <w:t> </w:t>
            </w:r>
            <w:r>
              <w:rPr>
                <w:color w:val="231F20"/>
                <w:w w:val="90"/>
              </w:rPr>
              <w:t>dynamics</w:t>
            </w:r>
            <w:r>
              <w:rPr>
                <w:color w:val="231F20"/>
                <w:spacing w:val="-1"/>
                <w:w w:val="90"/>
              </w:rPr>
              <w:t> </w:t>
            </w:r>
            <w:r>
              <w:rPr>
                <w:color w:val="231F20"/>
                <w:w w:val="90"/>
              </w:rPr>
              <w:t>of</w:t>
            </w:r>
            <w:r>
              <w:rPr>
                <w:color w:val="231F20"/>
                <w:spacing w:val="-1"/>
                <w:w w:val="90"/>
              </w:rPr>
              <w:t> </w:t>
            </w:r>
            <w:r>
              <w:rPr>
                <w:color w:val="231F20"/>
                <w:w w:val="90"/>
              </w:rPr>
              <w:t>LPI</w:t>
            </w:r>
            <w:r>
              <w:rPr>
                <w:color w:val="231F20"/>
                <w:spacing w:val="-1"/>
                <w:w w:val="90"/>
              </w:rPr>
              <w:t> </w:t>
            </w:r>
            <w:r>
              <w:rPr>
                <w:color w:val="231F20"/>
                <w:w w:val="90"/>
              </w:rPr>
              <w:t>scores</w:t>
            </w:r>
            <w:r>
              <w:rPr>
                <w:color w:val="231F20"/>
                <w:spacing w:val="-1"/>
                <w:w w:val="90"/>
              </w:rPr>
              <w:t> </w:t>
            </w:r>
            <w:r>
              <w:rPr>
                <w:color w:val="231F20"/>
                <w:w w:val="90"/>
              </w:rPr>
              <w:t>over</w:t>
            </w:r>
            <w:r>
              <w:rPr>
                <w:color w:val="231F20"/>
                <w:spacing w:val="-1"/>
                <w:w w:val="90"/>
              </w:rPr>
              <w:t> </w:t>
            </w:r>
            <w:r>
              <w:rPr>
                <w:color w:val="231F20"/>
                <w:spacing w:val="-2"/>
                <w:w w:val="90"/>
              </w:rPr>
              <w:t>2012–23</w:t>
            </w:r>
            <w:r>
              <w:rPr>
                <w:color w:val="231F20"/>
              </w:rPr>
              <w:tab/>
            </w:r>
            <w:r>
              <w:rPr>
                <w:color w:val="231F20"/>
                <w:spacing w:val="-5"/>
              </w:rPr>
              <w:t>15</w:t>
            </w:r>
          </w:hyperlink>
        </w:p>
        <w:p>
          <w:pPr>
            <w:pStyle w:val="TOC4"/>
            <w:tabs>
              <w:tab w:pos="8039" w:val="left" w:leader="none"/>
            </w:tabs>
            <w:spacing w:before="29"/>
          </w:pPr>
          <w:hyperlink w:history="true" w:anchor="_bookmark19">
            <w:r>
              <w:rPr>
                <w:color w:val="231F20"/>
                <w:spacing w:val="-4"/>
              </w:rPr>
              <w:t>What</w:t>
            </w:r>
            <w:r>
              <w:rPr>
                <w:color w:val="231F20"/>
                <w:spacing w:val="-12"/>
              </w:rPr>
              <w:t> </w:t>
            </w:r>
            <w:r>
              <w:rPr>
                <w:color w:val="231F20"/>
                <w:spacing w:val="-4"/>
              </w:rPr>
              <w:t>is</w:t>
            </w:r>
            <w:r>
              <w:rPr>
                <w:color w:val="231F20"/>
                <w:spacing w:val="-12"/>
              </w:rPr>
              <w:t> </w:t>
            </w:r>
            <w:r>
              <w:rPr>
                <w:color w:val="231F20"/>
                <w:spacing w:val="-4"/>
              </w:rPr>
              <w:t>the</w:t>
            </w:r>
            <w:r>
              <w:rPr>
                <w:color w:val="231F20"/>
                <w:spacing w:val="-12"/>
              </w:rPr>
              <w:t> </w:t>
            </w:r>
            <w:r>
              <w:rPr>
                <w:color w:val="231F20"/>
                <w:spacing w:val="-4"/>
              </w:rPr>
              <w:t>impact</w:t>
            </w:r>
            <w:r>
              <w:rPr>
                <w:color w:val="231F20"/>
                <w:spacing w:val="-12"/>
              </w:rPr>
              <w:t> </w:t>
            </w:r>
            <w:r>
              <w:rPr>
                <w:color w:val="231F20"/>
                <w:spacing w:val="-4"/>
              </w:rPr>
              <w:t>of</w:t>
            </w:r>
            <w:r>
              <w:rPr>
                <w:color w:val="231F20"/>
                <w:spacing w:val="-11"/>
              </w:rPr>
              <w:t> </w:t>
            </w:r>
            <w:r>
              <w:rPr>
                <w:color w:val="231F20"/>
                <w:spacing w:val="-4"/>
              </w:rPr>
              <w:t>the</w:t>
            </w:r>
            <w:r>
              <w:rPr>
                <w:color w:val="231F20"/>
                <w:spacing w:val="-12"/>
              </w:rPr>
              <w:t> </w:t>
            </w:r>
            <w:r>
              <w:rPr>
                <w:color w:val="231F20"/>
                <w:spacing w:val="-4"/>
              </w:rPr>
              <w:t>supply</w:t>
            </w:r>
            <w:r>
              <w:rPr>
                <w:color w:val="231F20"/>
                <w:spacing w:val="-12"/>
              </w:rPr>
              <w:t> </w:t>
            </w:r>
            <w:r>
              <w:rPr>
                <w:color w:val="231F20"/>
                <w:spacing w:val="-4"/>
              </w:rPr>
              <w:t>chain</w:t>
            </w:r>
            <w:r>
              <w:rPr>
                <w:color w:val="231F20"/>
                <w:spacing w:val="-12"/>
              </w:rPr>
              <w:t> </w:t>
            </w:r>
            <w:r>
              <w:rPr>
                <w:color w:val="231F20"/>
                <w:spacing w:val="-4"/>
              </w:rPr>
              <w:t>crisis?</w:t>
            </w:r>
            <w:r>
              <w:rPr>
                <w:color w:val="231F20"/>
              </w:rPr>
              <w:tab/>
            </w:r>
            <w:r>
              <w:rPr>
                <w:color w:val="231F20"/>
                <w:spacing w:val="-5"/>
              </w:rPr>
              <w:t>15</w:t>
            </w:r>
          </w:hyperlink>
        </w:p>
        <w:p>
          <w:pPr>
            <w:pStyle w:val="TOC4"/>
            <w:tabs>
              <w:tab w:pos="9076" w:val="left" w:leader="none"/>
            </w:tabs>
            <w:spacing w:before="29"/>
          </w:pPr>
          <w:hyperlink w:history="true" w:anchor="_bookmark19">
            <w:r>
              <w:rPr>
                <w:color w:val="231F20"/>
                <w:w w:val="90"/>
              </w:rPr>
              <w:t>Logistics</w:t>
            </w:r>
            <w:r>
              <w:rPr>
                <w:color w:val="231F20"/>
                <w:spacing w:val="12"/>
              </w:rPr>
              <w:t> </w:t>
            </w:r>
            <w:r>
              <w:rPr>
                <w:color w:val="231F20"/>
                <w:w w:val="90"/>
              </w:rPr>
              <w:t>performance</w:t>
            </w:r>
            <w:r>
              <w:rPr>
                <w:color w:val="231F20"/>
                <w:spacing w:val="13"/>
              </w:rPr>
              <w:t> </w:t>
            </w:r>
            <w:r>
              <w:rPr>
                <w:color w:val="231F20"/>
                <w:w w:val="90"/>
              </w:rPr>
              <w:t>is</w:t>
            </w:r>
            <w:r>
              <w:rPr>
                <w:color w:val="231F20"/>
                <w:spacing w:val="13"/>
              </w:rPr>
              <w:t> </w:t>
            </w:r>
            <w:r>
              <w:rPr>
                <w:color w:val="231F20"/>
                <w:w w:val="90"/>
              </w:rPr>
              <w:t>determined</w:t>
            </w:r>
            <w:r>
              <w:rPr>
                <w:color w:val="231F20"/>
                <w:spacing w:val="13"/>
              </w:rPr>
              <w:t> </w:t>
            </w:r>
            <w:r>
              <w:rPr>
                <w:color w:val="231F20"/>
                <w:w w:val="90"/>
              </w:rPr>
              <w:t>by</w:t>
            </w:r>
            <w:r>
              <w:rPr>
                <w:color w:val="231F20"/>
                <w:spacing w:val="13"/>
              </w:rPr>
              <w:t> </w:t>
            </w:r>
            <w:r>
              <w:rPr>
                <w:color w:val="231F20"/>
                <w:w w:val="90"/>
              </w:rPr>
              <w:t>more</w:t>
            </w:r>
            <w:r>
              <w:rPr>
                <w:color w:val="231F20"/>
                <w:spacing w:val="13"/>
              </w:rPr>
              <w:t> </w:t>
            </w:r>
            <w:r>
              <w:rPr>
                <w:color w:val="231F20"/>
                <w:w w:val="90"/>
              </w:rPr>
              <w:t>than</w:t>
            </w:r>
            <w:r>
              <w:rPr>
                <w:color w:val="231F20"/>
                <w:spacing w:val="13"/>
              </w:rPr>
              <w:t> </w:t>
            </w:r>
            <w:r>
              <w:rPr>
                <w:color w:val="231F20"/>
                <w:spacing w:val="-2"/>
                <w:w w:val="90"/>
              </w:rPr>
              <w:t>income</w:t>
            </w:r>
            <w:r>
              <w:rPr>
                <w:color w:val="231F20"/>
              </w:rPr>
              <w:tab/>
            </w:r>
            <w:r>
              <w:rPr>
                <w:color w:val="231F20"/>
                <w:spacing w:val="-5"/>
              </w:rPr>
              <w:t>15</w:t>
            </w:r>
          </w:hyperlink>
        </w:p>
        <w:p>
          <w:pPr>
            <w:pStyle w:val="TOC5"/>
            <w:tabs>
              <w:tab w:pos="10079" w:val="left" w:leader="none"/>
            </w:tabs>
            <w:spacing w:before="316"/>
          </w:pPr>
          <w:hyperlink w:history="true" w:anchor="_bookmark21">
            <w:r>
              <w:rPr>
                <w:color w:val="008FDD"/>
                <w:w w:val="105"/>
              </w:rPr>
              <w:t>Supply</w:t>
            </w:r>
            <w:r>
              <w:rPr>
                <w:color w:val="008FDD"/>
                <w:spacing w:val="-4"/>
                <w:w w:val="105"/>
              </w:rPr>
              <w:t> </w:t>
            </w:r>
            <w:r>
              <w:rPr>
                <w:color w:val="008FDD"/>
                <w:w w:val="105"/>
              </w:rPr>
              <w:t>chain</w:t>
            </w:r>
            <w:r>
              <w:rPr>
                <w:color w:val="008FDD"/>
                <w:spacing w:val="-3"/>
                <w:w w:val="105"/>
              </w:rPr>
              <w:t> </w:t>
            </w:r>
            <w:r>
              <w:rPr>
                <w:color w:val="008FDD"/>
                <w:w w:val="105"/>
              </w:rPr>
              <w:t>lead</w:t>
            </w:r>
            <w:r>
              <w:rPr>
                <w:color w:val="008FDD"/>
                <w:spacing w:val="-4"/>
                <w:w w:val="105"/>
              </w:rPr>
              <w:t> </w:t>
            </w:r>
            <w:r>
              <w:rPr>
                <w:color w:val="008FDD"/>
                <w:w w:val="105"/>
              </w:rPr>
              <w:t>time</w:t>
            </w:r>
            <w:r>
              <w:rPr>
                <w:color w:val="008FDD"/>
                <w:spacing w:val="-3"/>
                <w:w w:val="105"/>
              </w:rPr>
              <w:t> </w:t>
            </w:r>
            <w:r>
              <w:rPr>
                <w:color w:val="008FDD"/>
                <w:w w:val="105"/>
              </w:rPr>
              <w:t>around</w:t>
            </w:r>
            <w:r>
              <w:rPr>
                <w:color w:val="008FDD"/>
                <w:spacing w:val="-4"/>
                <w:w w:val="105"/>
              </w:rPr>
              <w:t> </w:t>
            </w:r>
            <w:r>
              <w:rPr>
                <w:color w:val="008FDD"/>
                <w:w w:val="105"/>
              </w:rPr>
              <w:t>the</w:t>
            </w:r>
            <w:r>
              <w:rPr>
                <w:color w:val="008FDD"/>
                <w:spacing w:val="-3"/>
                <w:w w:val="105"/>
              </w:rPr>
              <w:t> </w:t>
            </w:r>
            <w:r>
              <w:rPr>
                <w:color w:val="008FDD"/>
                <w:w w:val="105"/>
              </w:rPr>
              <w:t>world:</w:t>
            </w:r>
            <w:r>
              <w:rPr>
                <w:color w:val="008FDD"/>
                <w:spacing w:val="-3"/>
                <w:w w:val="105"/>
              </w:rPr>
              <w:t> </w:t>
            </w:r>
            <w:r>
              <w:rPr>
                <w:color w:val="008FDD"/>
                <w:w w:val="105"/>
              </w:rPr>
              <w:t>Where</w:t>
            </w:r>
            <w:r>
              <w:rPr>
                <w:color w:val="008FDD"/>
                <w:spacing w:val="-4"/>
                <w:w w:val="105"/>
              </w:rPr>
              <w:t> </w:t>
            </w:r>
            <w:r>
              <w:rPr>
                <w:color w:val="008FDD"/>
                <w:w w:val="105"/>
              </w:rPr>
              <w:t>are</w:t>
            </w:r>
            <w:r>
              <w:rPr>
                <w:color w:val="008FDD"/>
                <w:spacing w:val="-3"/>
                <w:w w:val="105"/>
              </w:rPr>
              <w:t> </w:t>
            </w:r>
            <w:r>
              <w:rPr>
                <w:color w:val="008FDD"/>
                <w:w w:val="105"/>
              </w:rPr>
              <w:t>the</w:t>
            </w:r>
            <w:r>
              <w:rPr>
                <w:color w:val="008FDD"/>
                <w:spacing w:val="-4"/>
                <w:w w:val="105"/>
              </w:rPr>
              <w:t> </w:t>
            </w:r>
            <w:r>
              <w:rPr>
                <w:color w:val="008FDD"/>
                <w:spacing w:val="-2"/>
                <w:w w:val="105"/>
              </w:rPr>
              <w:t>delays?</w:t>
            </w:r>
            <w:r>
              <w:rPr>
                <w:color w:val="008FDD"/>
              </w:rPr>
              <w:tab/>
            </w:r>
            <w:r>
              <w:rPr>
                <w:color w:val="008FDD"/>
                <w:spacing w:val="-5"/>
                <w:w w:val="105"/>
              </w:rPr>
              <w:t>17</w:t>
            </w:r>
          </w:hyperlink>
        </w:p>
        <w:p>
          <w:pPr>
            <w:pStyle w:val="TOC4"/>
            <w:tabs>
              <w:tab w:pos="8309" w:val="left" w:leader="none"/>
            </w:tabs>
            <w:spacing w:before="34"/>
          </w:pPr>
          <w:hyperlink w:history="true" w:anchor="_bookmark21">
            <w:r>
              <w:rPr>
                <w:color w:val="231F20"/>
                <w:w w:val="90"/>
              </w:rPr>
              <w:t>Lead</w:t>
            </w:r>
            <w:r>
              <w:rPr>
                <w:color w:val="231F20"/>
                <w:spacing w:val="9"/>
              </w:rPr>
              <w:t> </w:t>
            </w:r>
            <w:r>
              <w:rPr>
                <w:color w:val="231F20"/>
                <w:w w:val="90"/>
              </w:rPr>
              <w:t>time</w:t>
            </w:r>
            <w:r>
              <w:rPr>
                <w:color w:val="231F20"/>
                <w:spacing w:val="9"/>
              </w:rPr>
              <w:t> </w:t>
            </w:r>
            <w:r>
              <w:rPr>
                <w:color w:val="231F20"/>
                <w:w w:val="90"/>
              </w:rPr>
              <w:t>dispersion</w:t>
            </w:r>
            <w:r>
              <w:rPr>
                <w:color w:val="231F20"/>
                <w:spacing w:val="9"/>
              </w:rPr>
              <w:t> </w:t>
            </w:r>
            <w:r>
              <w:rPr>
                <w:color w:val="231F20"/>
                <w:w w:val="90"/>
              </w:rPr>
              <w:t>and</w:t>
            </w:r>
            <w:r>
              <w:rPr>
                <w:color w:val="231F20"/>
                <w:spacing w:val="9"/>
              </w:rPr>
              <w:t> </w:t>
            </w:r>
            <w:r>
              <w:rPr>
                <w:color w:val="231F20"/>
                <w:w w:val="90"/>
              </w:rPr>
              <w:t>supply</w:t>
            </w:r>
            <w:r>
              <w:rPr>
                <w:color w:val="231F20"/>
                <w:spacing w:val="9"/>
              </w:rPr>
              <w:t> </w:t>
            </w:r>
            <w:r>
              <w:rPr>
                <w:color w:val="231F20"/>
                <w:w w:val="90"/>
              </w:rPr>
              <w:t>chain</w:t>
            </w:r>
            <w:r>
              <w:rPr>
                <w:color w:val="231F20"/>
                <w:spacing w:val="9"/>
              </w:rPr>
              <w:t> </w:t>
            </w:r>
            <w:r>
              <w:rPr>
                <w:color w:val="231F20"/>
                <w:spacing w:val="-2"/>
                <w:w w:val="90"/>
              </w:rPr>
              <w:t>reliability</w:t>
            </w:r>
            <w:r>
              <w:rPr>
                <w:color w:val="231F20"/>
              </w:rPr>
              <w:tab/>
            </w:r>
            <w:r>
              <w:rPr>
                <w:color w:val="231F20"/>
                <w:spacing w:val="-5"/>
              </w:rPr>
              <w:t>17</w:t>
            </w:r>
          </w:hyperlink>
        </w:p>
        <w:p>
          <w:pPr>
            <w:pStyle w:val="TOC4"/>
            <w:tabs>
              <w:tab w:pos="7437" w:val="left" w:leader="none"/>
            </w:tabs>
          </w:pPr>
          <w:hyperlink w:history="true" w:anchor="_bookmark25">
            <w:r>
              <w:rPr>
                <w:color w:val="231F20"/>
                <w:w w:val="90"/>
              </w:rPr>
              <w:t>Dwell</w:t>
            </w:r>
            <w:r>
              <w:rPr>
                <w:color w:val="231F20"/>
                <w:spacing w:val="5"/>
              </w:rPr>
              <w:t> </w:t>
            </w:r>
            <w:r>
              <w:rPr>
                <w:color w:val="231F20"/>
                <w:w w:val="90"/>
              </w:rPr>
              <w:t>time</w:t>
            </w:r>
            <w:r>
              <w:rPr>
                <w:color w:val="231F20"/>
                <w:spacing w:val="6"/>
              </w:rPr>
              <w:t> </w:t>
            </w:r>
            <w:r>
              <w:rPr>
                <w:color w:val="231F20"/>
                <w:w w:val="90"/>
              </w:rPr>
              <w:t>and</w:t>
            </w:r>
            <w:r>
              <w:rPr>
                <w:color w:val="231F20"/>
                <w:spacing w:val="6"/>
              </w:rPr>
              <w:t> </w:t>
            </w:r>
            <w:r>
              <w:rPr>
                <w:color w:val="231F20"/>
                <w:w w:val="90"/>
              </w:rPr>
              <w:t>logistics</w:t>
            </w:r>
            <w:r>
              <w:rPr>
                <w:color w:val="231F20"/>
                <w:spacing w:val="5"/>
              </w:rPr>
              <w:t> </w:t>
            </w:r>
            <w:r>
              <w:rPr>
                <w:color w:val="231F20"/>
                <w:spacing w:val="-2"/>
                <w:w w:val="90"/>
              </w:rPr>
              <w:t>performance</w:t>
            </w:r>
            <w:r>
              <w:rPr>
                <w:color w:val="231F20"/>
              </w:rPr>
              <w:tab/>
            </w:r>
            <w:r>
              <w:rPr>
                <w:color w:val="231F20"/>
                <w:spacing w:val="-5"/>
              </w:rPr>
              <w:t>21</w:t>
            </w:r>
          </w:hyperlink>
        </w:p>
        <w:p>
          <w:pPr>
            <w:pStyle w:val="TOC4"/>
            <w:tabs>
              <w:tab w:pos="6831" w:val="left" w:leader="none"/>
            </w:tabs>
            <w:spacing w:before="29"/>
          </w:pPr>
          <w:hyperlink w:history="true" w:anchor="_bookmark27">
            <w:r>
              <w:rPr>
                <w:color w:val="231F20"/>
                <w:spacing w:val="-6"/>
              </w:rPr>
              <w:t>What</w:t>
            </w:r>
            <w:r>
              <w:rPr>
                <w:color w:val="231F20"/>
                <w:spacing w:val="-5"/>
              </w:rPr>
              <w:t> </w:t>
            </w:r>
            <w:r>
              <w:rPr>
                <w:color w:val="231F20"/>
                <w:spacing w:val="-6"/>
              </w:rPr>
              <w:t>causes</w:t>
            </w:r>
            <w:r>
              <w:rPr>
                <w:color w:val="231F20"/>
                <w:spacing w:val="-5"/>
              </w:rPr>
              <w:t> </w:t>
            </w:r>
            <w:r>
              <w:rPr>
                <w:color w:val="231F20"/>
                <w:spacing w:val="-6"/>
              </w:rPr>
              <w:t>long</w:t>
            </w:r>
            <w:r>
              <w:rPr>
                <w:color w:val="231F20"/>
                <w:spacing w:val="-5"/>
              </w:rPr>
              <w:t> </w:t>
            </w:r>
            <w:r>
              <w:rPr>
                <w:color w:val="231F20"/>
                <w:spacing w:val="-6"/>
              </w:rPr>
              <w:t>port</w:t>
            </w:r>
            <w:r>
              <w:rPr>
                <w:color w:val="231F20"/>
                <w:spacing w:val="-5"/>
              </w:rPr>
              <w:t> </w:t>
            </w:r>
            <w:r>
              <w:rPr>
                <w:color w:val="231F20"/>
                <w:spacing w:val="-6"/>
              </w:rPr>
              <w:t>delays?</w:t>
            </w:r>
            <w:r>
              <w:rPr>
                <w:color w:val="231F20"/>
              </w:rPr>
              <w:tab/>
            </w:r>
            <w:r>
              <w:rPr>
                <w:color w:val="231F20"/>
                <w:spacing w:val="-5"/>
              </w:rPr>
              <w:t>22</w:t>
            </w:r>
          </w:hyperlink>
        </w:p>
        <w:p>
          <w:pPr>
            <w:pStyle w:val="TOC4"/>
            <w:tabs>
              <w:tab w:pos="8114" w:val="left" w:leader="none"/>
            </w:tabs>
          </w:pPr>
          <w:hyperlink w:history="true" w:anchor="_bookmark30">
            <w:r>
              <w:rPr>
                <w:color w:val="231F20"/>
                <w:spacing w:val="-6"/>
              </w:rPr>
              <w:t>Which</w:t>
            </w:r>
            <w:r>
              <w:rPr>
                <w:color w:val="231F20"/>
                <w:spacing w:val="-2"/>
              </w:rPr>
              <w:t> </w:t>
            </w:r>
            <w:r>
              <w:rPr>
                <w:color w:val="231F20"/>
                <w:spacing w:val="-6"/>
              </w:rPr>
              <w:t>interventions</w:t>
            </w:r>
            <w:r>
              <w:rPr>
                <w:color w:val="231F20"/>
                <w:spacing w:val="-1"/>
              </w:rPr>
              <w:t> </w:t>
            </w:r>
            <w:r>
              <w:rPr>
                <w:color w:val="231F20"/>
                <w:spacing w:val="-6"/>
              </w:rPr>
              <w:t>help</w:t>
            </w:r>
            <w:r>
              <w:rPr>
                <w:color w:val="231F20"/>
                <w:spacing w:val="-1"/>
              </w:rPr>
              <w:t> </w:t>
            </w:r>
            <w:r>
              <w:rPr>
                <w:color w:val="231F20"/>
                <w:spacing w:val="-6"/>
              </w:rPr>
              <w:t>reduce</w:t>
            </w:r>
            <w:r>
              <w:rPr>
                <w:color w:val="231F20"/>
                <w:spacing w:val="-1"/>
              </w:rPr>
              <w:t> </w:t>
            </w:r>
            <w:r>
              <w:rPr>
                <w:color w:val="231F20"/>
                <w:spacing w:val="-6"/>
              </w:rPr>
              <w:t>these</w:t>
            </w:r>
            <w:r>
              <w:rPr>
                <w:color w:val="231F20"/>
                <w:spacing w:val="-1"/>
              </w:rPr>
              <w:t> </w:t>
            </w:r>
            <w:r>
              <w:rPr>
                <w:color w:val="231F20"/>
                <w:spacing w:val="-6"/>
              </w:rPr>
              <w:t>delays?</w:t>
            </w:r>
            <w:r>
              <w:rPr>
                <w:color w:val="231F20"/>
              </w:rPr>
              <w:tab/>
            </w:r>
            <w:r>
              <w:rPr>
                <w:color w:val="231F20"/>
                <w:spacing w:val="-5"/>
              </w:rPr>
              <w:t>24</w:t>
            </w:r>
          </w:hyperlink>
        </w:p>
        <w:p>
          <w:pPr>
            <w:pStyle w:val="TOC4"/>
            <w:tabs>
              <w:tab w:pos="8980" w:val="left" w:leader="none"/>
            </w:tabs>
            <w:spacing w:before="29"/>
          </w:pPr>
          <w:hyperlink w:history="true" w:anchor="_bookmark30">
            <w:r>
              <w:rPr>
                <w:color w:val="231F20"/>
                <w:w w:val="90"/>
              </w:rPr>
              <w:t>Logistical</w:t>
            </w:r>
            <w:r>
              <w:rPr>
                <w:color w:val="231F20"/>
                <w:spacing w:val="16"/>
              </w:rPr>
              <w:t> </w:t>
            </w:r>
            <w:r>
              <w:rPr>
                <w:color w:val="231F20"/>
                <w:w w:val="90"/>
              </w:rPr>
              <w:t>constraints</w:t>
            </w:r>
            <w:r>
              <w:rPr>
                <w:color w:val="231F20"/>
                <w:spacing w:val="17"/>
              </w:rPr>
              <w:t> </w:t>
            </w:r>
            <w:r>
              <w:rPr>
                <w:color w:val="231F20"/>
                <w:w w:val="90"/>
              </w:rPr>
              <w:t>in</w:t>
            </w:r>
            <w:r>
              <w:rPr>
                <w:color w:val="231F20"/>
                <w:spacing w:val="17"/>
              </w:rPr>
              <w:t> </w:t>
            </w:r>
            <w:r>
              <w:rPr>
                <w:color w:val="231F20"/>
                <w:w w:val="90"/>
              </w:rPr>
              <w:t>landlocked</w:t>
            </w:r>
            <w:r>
              <w:rPr>
                <w:color w:val="231F20"/>
                <w:spacing w:val="17"/>
              </w:rPr>
              <w:t> </w:t>
            </w:r>
            <w:r>
              <w:rPr>
                <w:color w:val="231F20"/>
                <w:w w:val="90"/>
              </w:rPr>
              <w:t>developing</w:t>
            </w:r>
            <w:r>
              <w:rPr>
                <w:color w:val="231F20"/>
                <w:spacing w:val="17"/>
              </w:rPr>
              <w:t> </w:t>
            </w:r>
            <w:r>
              <w:rPr>
                <w:color w:val="231F20"/>
                <w:spacing w:val="-2"/>
                <w:w w:val="90"/>
              </w:rPr>
              <w:t>countries</w:t>
            </w:r>
            <w:r>
              <w:rPr>
                <w:color w:val="231F20"/>
              </w:rPr>
              <w:tab/>
            </w:r>
            <w:r>
              <w:rPr>
                <w:color w:val="231F20"/>
                <w:spacing w:val="-5"/>
              </w:rPr>
              <w:t>24</w:t>
            </w:r>
          </w:hyperlink>
        </w:p>
        <w:p>
          <w:pPr>
            <w:pStyle w:val="TOC4"/>
            <w:tabs>
              <w:tab w:pos="9926" w:val="left" w:leader="none"/>
            </w:tabs>
          </w:pPr>
          <w:hyperlink w:history="true" w:anchor="_bookmark32">
            <w:r>
              <w:rPr>
                <w:color w:val="231F20"/>
                <w:w w:val="90"/>
              </w:rPr>
              <w:t>Connectivity</w:t>
            </w:r>
            <w:r>
              <w:rPr>
                <w:color w:val="231F20"/>
                <w:spacing w:val="19"/>
              </w:rPr>
              <w:t> </w:t>
            </w:r>
            <w:r>
              <w:rPr>
                <w:color w:val="231F20"/>
                <w:w w:val="90"/>
              </w:rPr>
              <w:t>and</w:t>
            </w:r>
            <w:r>
              <w:rPr>
                <w:color w:val="231F20"/>
                <w:spacing w:val="20"/>
              </w:rPr>
              <w:t> </w:t>
            </w:r>
            <w:r>
              <w:rPr>
                <w:color w:val="231F20"/>
                <w:w w:val="90"/>
              </w:rPr>
              <w:t>logistics</w:t>
            </w:r>
            <w:r>
              <w:rPr>
                <w:color w:val="231F20"/>
                <w:spacing w:val="19"/>
              </w:rPr>
              <w:t> </w:t>
            </w:r>
            <w:r>
              <w:rPr>
                <w:color w:val="231F20"/>
                <w:w w:val="90"/>
              </w:rPr>
              <w:t>performance</w:t>
            </w:r>
            <w:r>
              <w:rPr>
                <w:color w:val="231F20"/>
                <w:spacing w:val="20"/>
              </w:rPr>
              <w:t> </w:t>
            </w:r>
            <w:r>
              <w:rPr>
                <w:color w:val="231F20"/>
                <w:w w:val="90"/>
              </w:rPr>
              <w:t>in</w:t>
            </w:r>
            <w:r>
              <w:rPr>
                <w:color w:val="231F20"/>
                <w:spacing w:val="19"/>
              </w:rPr>
              <w:t> </w:t>
            </w:r>
            <w:r>
              <w:rPr>
                <w:color w:val="231F20"/>
                <w:w w:val="90"/>
              </w:rPr>
              <w:t>small</w:t>
            </w:r>
            <w:r>
              <w:rPr>
                <w:color w:val="231F20"/>
                <w:spacing w:val="20"/>
              </w:rPr>
              <w:t> </w:t>
            </w:r>
            <w:r>
              <w:rPr>
                <w:color w:val="231F20"/>
                <w:w w:val="90"/>
              </w:rPr>
              <w:t>maritime</w:t>
            </w:r>
            <w:r>
              <w:rPr>
                <w:color w:val="231F20"/>
                <w:spacing w:val="19"/>
              </w:rPr>
              <w:t> </w:t>
            </w:r>
            <w:r>
              <w:rPr>
                <w:color w:val="231F20"/>
                <w:spacing w:val="-2"/>
                <w:w w:val="90"/>
              </w:rPr>
              <w:t>economies</w:t>
            </w:r>
            <w:r>
              <w:rPr>
                <w:color w:val="231F20"/>
              </w:rPr>
              <w:tab/>
            </w:r>
            <w:r>
              <w:rPr>
                <w:color w:val="231F20"/>
                <w:spacing w:val="-5"/>
              </w:rPr>
              <w:t>25</w:t>
            </w:r>
          </w:hyperlink>
        </w:p>
        <w:p>
          <w:pPr>
            <w:pStyle w:val="TOC5"/>
            <w:tabs>
              <w:tab w:pos="5511" w:val="left" w:leader="none"/>
            </w:tabs>
            <w:spacing w:before="317"/>
          </w:pPr>
          <w:hyperlink w:history="true" w:anchor="_bookmark34">
            <w:r>
              <w:rPr>
                <w:color w:val="008FDD"/>
                <w:spacing w:val="-2"/>
              </w:rPr>
              <w:t>Conclusions</w:t>
            </w:r>
            <w:r>
              <w:rPr>
                <w:color w:val="008FDD"/>
              </w:rPr>
              <w:tab/>
            </w:r>
            <w:r>
              <w:rPr>
                <w:color w:val="008FDD"/>
                <w:spacing w:val="-5"/>
              </w:rPr>
              <w:t>27</w:t>
            </w:r>
          </w:hyperlink>
        </w:p>
        <w:p>
          <w:pPr>
            <w:pStyle w:val="TOC4"/>
            <w:tabs>
              <w:tab w:pos="5916" w:val="left" w:leader="none"/>
            </w:tabs>
            <w:spacing w:line="268" w:lineRule="auto" w:before="33"/>
            <w:ind w:left="4380" w:right="1419" w:hanging="540"/>
          </w:pPr>
          <w:hyperlink w:history="true" w:anchor="_bookmark34">
            <w:r>
              <w:rPr>
                <w:color w:val="231F20"/>
                <w:spacing w:val="-4"/>
              </w:rPr>
              <w:t>Global</w:t>
            </w:r>
            <w:r>
              <w:rPr>
                <w:color w:val="231F20"/>
                <w:spacing w:val="-13"/>
              </w:rPr>
              <w:t> </w:t>
            </w:r>
            <w:r>
              <w:rPr>
                <w:color w:val="231F20"/>
                <w:spacing w:val="-4"/>
              </w:rPr>
              <w:t>supply</w:t>
            </w:r>
            <w:r>
              <w:rPr>
                <w:color w:val="231F20"/>
                <w:spacing w:val="-13"/>
              </w:rPr>
              <w:t> </w:t>
            </w:r>
            <w:r>
              <w:rPr>
                <w:color w:val="231F20"/>
                <w:spacing w:val="-4"/>
              </w:rPr>
              <w:t>chains</w:t>
            </w:r>
            <w:r>
              <w:rPr>
                <w:color w:val="231F20"/>
                <w:spacing w:val="-13"/>
              </w:rPr>
              <w:t> </w:t>
            </w:r>
            <w:r>
              <w:rPr>
                <w:color w:val="231F20"/>
                <w:spacing w:val="-4"/>
              </w:rPr>
              <w:t>have</w:t>
            </w:r>
            <w:r>
              <w:rPr>
                <w:color w:val="231F20"/>
                <w:spacing w:val="-13"/>
              </w:rPr>
              <w:t> </w:t>
            </w:r>
            <w:r>
              <w:rPr>
                <w:color w:val="231F20"/>
                <w:spacing w:val="-4"/>
              </w:rPr>
              <w:t>turned</w:t>
            </w:r>
            <w:r>
              <w:rPr>
                <w:color w:val="231F20"/>
                <w:spacing w:val="-13"/>
              </w:rPr>
              <w:t> </w:t>
            </w:r>
            <w:r>
              <w:rPr>
                <w:color w:val="231F20"/>
                <w:spacing w:val="-4"/>
              </w:rPr>
              <w:t>out</w:t>
            </w:r>
            <w:r>
              <w:rPr>
                <w:color w:val="231F20"/>
                <w:spacing w:val="-13"/>
              </w:rPr>
              <w:t> </w:t>
            </w:r>
            <w:r>
              <w:rPr>
                <w:color w:val="231F20"/>
                <w:spacing w:val="-4"/>
              </w:rPr>
              <w:t>to</w:t>
            </w:r>
            <w:r>
              <w:rPr>
                <w:color w:val="231F20"/>
                <w:spacing w:val="-13"/>
              </w:rPr>
              <w:t> </w:t>
            </w:r>
            <w:r>
              <w:rPr>
                <w:color w:val="231F20"/>
                <w:spacing w:val="-4"/>
              </w:rPr>
              <w:t>be</w:t>
            </w:r>
            <w:r>
              <w:rPr>
                <w:color w:val="231F20"/>
                <w:spacing w:val="-13"/>
              </w:rPr>
              <w:t> </w:t>
            </w:r>
            <w:r>
              <w:rPr>
                <w:color w:val="231F20"/>
                <w:spacing w:val="-4"/>
              </w:rPr>
              <w:t>surprisingly</w:t>
            </w:r>
            <w:r>
              <w:rPr>
                <w:color w:val="231F20"/>
                <w:spacing w:val="-13"/>
              </w:rPr>
              <w:t> </w:t>
            </w:r>
            <w:r>
              <w:rPr>
                <w:color w:val="231F20"/>
                <w:spacing w:val="-4"/>
              </w:rPr>
              <w:t>resilient</w:t>
            </w:r>
            <w:r>
              <w:rPr>
                <w:color w:val="231F20"/>
                <w:spacing w:val="-13"/>
              </w:rPr>
              <w:t> </w:t>
            </w:r>
            <w:r>
              <w:rPr>
                <w:color w:val="231F20"/>
                <w:spacing w:val="-4"/>
              </w:rPr>
              <w:t>during</w:t>
            </w:r>
            <w:r>
              <w:rPr>
                <w:color w:val="231F20"/>
                <w:spacing w:val="-13"/>
              </w:rPr>
              <w:t> </w:t>
            </w:r>
            <w:r>
              <w:rPr>
                <w:color w:val="231F20"/>
                <w:spacing w:val="-4"/>
              </w:rPr>
              <w:t>the</w:t>
            </w:r>
            <w:r>
              <w:rPr>
                <w:color w:val="231F20"/>
                <w:spacing w:val="-13"/>
              </w:rPr>
              <w:t> </w:t>
            </w:r>
            <w:r>
              <w:rPr>
                <w:color w:val="231F20"/>
                <w:spacing w:val="-4"/>
              </w:rPr>
              <w:t>recent</w:t>
            </w:r>
          </w:hyperlink>
          <w:r>
            <w:rPr>
              <w:color w:val="231F20"/>
              <w:spacing w:val="-4"/>
            </w:rPr>
            <w:t> </w:t>
          </w:r>
          <w:hyperlink w:history="true" w:anchor="_bookmark34">
            <w:r>
              <w:rPr>
                <w:color w:val="231F20"/>
                <w:spacing w:val="-2"/>
              </w:rPr>
              <w:t>disruptions</w:t>
            </w:r>
            <w:r>
              <w:rPr>
                <w:color w:val="231F20"/>
              </w:rPr>
              <w:tab/>
            </w:r>
            <w:r>
              <w:rPr>
                <w:color w:val="231F20"/>
                <w:spacing w:val="-6"/>
              </w:rPr>
              <w:t>27</w:t>
            </w:r>
          </w:hyperlink>
        </w:p>
        <w:p>
          <w:pPr>
            <w:pStyle w:val="TOC4"/>
            <w:tabs>
              <w:tab w:pos="5593" w:val="left" w:leader="none"/>
            </w:tabs>
            <w:spacing w:line="268" w:lineRule="auto" w:before="0"/>
            <w:ind w:left="4380" w:right="1495" w:hanging="540"/>
          </w:pPr>
          <w:hyperlink w:history="true" w:anchor="_bookmark34">
            <w:r>
              <w:rPr>
                <w:color w:val="231F20"/>
                <w:spacing w:val="-6"/>
              </w:rPr>
              <w:t>The top and bottom performers: Performance is steady or improving, but the gap</w:t>
            </w:r>
          </w:hyperlink>
          <w:r>
            <w:rPr>
              <w:color w:val="231F20"/>
              <w:spacing w:val="-6"/>
            </w:rPr>
            <w:t> </w:t>
          </w:r>
          <w:hyperlink w:history="true" w:anchor="_bookmark34">
            <w:r>
              <w:rPr>
                <w:color w:val="231F20"/>
                <w:spacing w:val="-2"/>
              </w:rPr>
              <w:t>persists</w:t>
            </w:r>
            <w:r>
              <w:rPr>
                <w:color w:val="231F20"/>
              </w:rPr>
              <w:tab/>
            </w:r>
            <w:r>
              <w:rPr>
                <w:color w:val="231F20"/>
                <w:spacing w:val="-6"/>
              </w:rPr>
              <w:t>27</w:t>
            </w:r>
          </w:hyperlink>
        </w:p>
        <w:p>
          <w:pPr>
            <w:pStyle w:val="TOC4"/>
            <w:tabs>
              <w:tab w:pos="9158" w:val="left" w:leader="none"/>
            </w:tabs>
            <w:spacing w:line="241" w:lineRule="exact" w:before="0" w:after="240"/>
          </w:pPr>
          <w:hyperlink w:history="true" w:anchor="_bookmark34">
            <w:r>
              <w:rPr>
                <w:color w:val="231F20"/>
                <w:w w:val="90"/>
              </w:rPr>
              <w:t>Consistency</w:t>
            </w:r>
            <w:r>
              <w:rPr>
                <w:color w:val="231F20"/>
                <w:spacing w:val="9"/>
              </w:rPr>
              <w:t> </w:t>
            </w:r>
            <w:r>
              <w:rPr>
                <w:color w:val="231F20"/>
                <w:w w:val="90"/>
              </w:rPr>
              <w:t>is</w:t>
            </w:r>
            <w:r>
              <w:rPr>
                <w:color w:val="231F20"/>
                <w:spacing w:val="10"/>
              </w:rPr>
              <w:t> </w:t>
            </w:r>
            <w:r>
              <w:rPr>
                <w:color w:val="231F20"/>
                <w:w w:val="90"/>
              </w:rPr>
              <w:t>an</w:t>
            </w:r>
            <w:r>
              <w:rPr>
                <w:color w:val="231F20"/>
                <w:spacing w:val="10"/>
              </w:rPr>
              <w:t> </w:t>
            </w:r>
            <w:r>
              <w:rPr>
                <w:color w:val="231F20"/>
                <w:w w:val="90"/>
              </w:rPr>
              <w:t>important</w:t>
            </w:r>
            <w:r>
              <w:rPr>
                <w:color w:val="231F20"/>
                <w:spacing w:val="10"/>
              </w:rPr>
              <w:t> </w:t>
            </w:r>
            <w:r>
              <w:rPr>
                <w:color w:val="231F20"/>
                <w:w w:val="90"/>
              </w:rPr>
              <w:t>driver</w:t>
            </w:r>
            <w:r>
              <w:rPr>
                <w:color w:val="231F20"/>
                <w:spacing w:val="10"/>
              </w:rPr>
              <w:t> </w:t>
            </w:r>
            <w:r>
              <w:rPr>
                <w:color w:val="231F20"/>
                <w:w w:val="90"/>
              </w:rPr>
              <w:t>of</w:t>
            </w:r>
            <w:r>
              <w:rPr>
                <w:color w:val="231F20"/>
                <w:spacing w:val="10"/>
              </w:rPr>
              <w:t> </w:t>
            </w:r>
            <w:r>
              <w:rPr>
                <w:color w:val="231F20"/>
                <w:w w:val="90"/>
              </w:rPr>
              <w:t>logistics</w:t>
            </w:r>
            <w:r>
              <w:rPr>
                <w:color w:val="231F20"/>
                <w:spacing w:val="9"/>
              </w:rPr>
              <w:t> </w:t>
            </w:r>
            <w:r>
              <w:rPr>
                <w:color w:val="231F20"/>
                <w:spacing w:val="-2"/>
                <w:w w:val="90"/>
              </w:rPr>
              <w:t>performance</w:t>
            </w:r>
            <w:r>
              <w:rPr>
                <w:color w:val="231F20"/>
              </w:rPr>
              <w:tab/>
            </w:r>
            <w:r>
              <w:rPr>
                <w:color w:val="231F20"/>
                <w:spacing w:val="-5"/>
              </w:rPr>
              <w:t>27</w:t>
            </w:r>
          </w:hyperlink>
        </w:p>
        <w:p>
          <w:pPr>
            <w:pStyle w:val="TOC3"/>
          </w:pPr>
          <w:r>
            <w:rPr>
              <w:color w:val="008FDD"/>
            </w:rPr>
            <w:t>Table</w:t>
          </w:r>
          <w:r>
            <w:rPr>
              <w:color w:val="008FDD"/>
              <w:spacing w:val="11"/>
            </w:rPr>
            <w:t> </w:t>
          </w:r>
          <w:r>
            <w:rPr>
              <w:color w:val="008FDD"/>
            </w:rPr>
            <w:t>of</w:t>
          </w:r>
          <w:r>
            <w:rPr>
              <w:color w:val="008FDD"/>
              <w:spacing w:val="11"/>
            </w:rPr>
            <w:t> </w:t>
          </w:r>
          <w:r>
            <w:rPr>
              <w:color w:val="008FDD"/>
              <w:spacing w:val="-2"/>
            </w:rPr>
            <w:t>contents</w:t>
          </w:r>
        </w:p>
        <w:p>
          <w:pPr>
            <w:pStyle w:val="TOC1"/>
            <w:tabs>
              <w:tab w:pos="8349" w:val="left" w:leader="none"/>
            </w:tabs>
            <w:spacing w:before="829"/>
          </w:pPr>
          <w:hyperlink w:history="true" w:anchor="_bookmark36">
            <w:r>
              <w:rPr>
                <w:color w:val="231F20"/>
                <w:w w:val="90"/>
              </w:rPr>
              <w:t>Logistics</w:t>
            </w:r>
            <w:r>
              <w:rPr>
                <w:color w:val="231F20"/>
                <w:spacing w:val="8"/>
              </w:rPr>
              <w:t> </w:t>
            </w:r>
            <w:r>
              <w:rPr>
                <w:color w:val="231F20"/>
                <w:w w:val="90"/>
              </w:rPr>
              <w:t>performance</w:t>
            </w:r>
            <w:r>
              <w:rPr>
                <w:color w:val="231F20"/>
                <w:spacing w:val="8"/>
              </w:rPr>
              <w:t> </w:t>
            </w:r>
            <w:r>
              <w:rPr>
                <w:color w:val="231F20"/>
                <w:w w:val="90"/>
              </w:rPr>
              <w:t>and</w:t>
            </w:r>
            <w:r>
              <w:rPr>
                <w:color w:val="231F20"/>
                <w:spacing w:val="9"/>
              </w:rPr>
              <w:t> </w:t>
            </w:r>
            <w:r>
              <w:rPr>
                <w:color w:val="231F20"/>
                <w:w w:val="90"/>
              </w:rPr>
              <w:t>key</w:t>
            </w:r>
            <w:r>
              <w:rPr>
                <w:color w:val="231F20"/>
                <w:spacing w:val="8"/>
              </w:rPr>
              <w:t> </w:t>
            </w:r>
            <w:r>
              <w:rPr>
                <w:color w:val="231F20"/>
                <w:w w:val="90"/>
              </w:rPr>
              <w:t>performance</w:t>
            </w:r>
            <w:r>
              <w:rPr>
                <w:color w:val="231F20"/>
                <w:spacing w:val="9"/>
              </w:rPr>
              <w:t> </w:t>
            </w:r>
            <w:r>
              <w:rPr>
                <w:color w:val="231F20"/>
                <w:w w:val="90"/>
              </w:rPr>
              <w:t>indicators</w:t>
            </w:r>
            <w:r>
              <w:rPr>
                <w:color w:val="231F20"/>
                <w:spacing w:val="8"/>
              </w:rPr>
              <w:t> </w:t>
            </w:r>
            <w:r>
              <w:rPr>
                <w:color w:val="231F20"/>
                <w:w w:val="90"/>
              </w:rPr>
              <w:t>derived</w:t>
            </w:r>
            <w:r>
              <w:rPr>
                <w:color w:val="231F20"/>
                <w:spacing w:val="9"/>
              </w:rPr>
              <w:t> </w:t>
            </w:r>
            <w:r>
              <w:rPr>
                <w:color w:val="231F20"/>
                <w:w w:val="90"/>
              </w:rPr>
              <w:t>from</w:t>
            </w:r>
            <w:r>
              <w:rPr>
                <w:color w:val="231F20"/>
                <w:spacing w:val="8"/>
              </w:rPr>
              <w:t> </w:t>
            </w:r>
            <w:r>
              <w:rPr>
                <w:color w:val="231F20"/>
                <w:w w:val="90"/>
              </w:rPr>
              <w:t>a</w:t>
            </w:r>
            <w:r>
              <w:rPr>
                <w:color w:val="231F20"/>
                <w:spacing w:val="8"/>
              </w:rPr>
              <w:t> </w:t>
            </w:r>
            <w:r>
              <w:rPr>
                <w:color w:val="231F20"/>
                <w:w w:val="90"/>
              </w:rPr>
              <w:t>Big</w:t>
            </w:r>
            <w:r>
              <w:rPr>
                <w:color w:val="231F20"/>
                <w:spacing w:val="9"/>
              </w:rPr>
              <w:t> </w:t>
            </w:r>
            <w:r>
              <w:rPr>
                <w:color w:val="231F20"/>
                <w:w w:val="90"/>
              </w:rPr>
              <w:t>Data</w:t>
            </w:r>
            <w:r>
              <w:rPr>
                <w:color w:val="231F20"/>
                <w:spacing w:val="8"/>
              </w:rPr>
              <w:t> </w:t>
            </w:r>
            <w:r>
              <w:rPr>
                <w:color w:val="231F20"/>
                <w:spacing w:val="-2"/>
                <w:w w:val="90"/>
              </w:rPr>
              <w:t>approach</w:t>
            </w:r>
            <w:r>
              <w:rPr>
                <w:color w:val="231F20"/>
              </w:rPr>
              <w:tab/>
            </w:r>
            <w:r>
              <w:rPr>
                <w:color w:val="231F20"/>
                <w:spacing w:val="-5"/>
              </w:rPr>
              <w:t>28</w:t>
            </w:r>
          </w:hyperlink>
        </w:p>
        <w:p>
          <w:pPr>
            <w:pStyle w:val="TOC1"/>
            <w:tabs>
              <w:tab w:pos="7277" w:val="left" w:leader="none"/>
            </w:tabs>
          </w:pPr>
          <w:hyperlink w:history="true" w:anchor="_bookmark36">
            <w:r>
              <w:rPr>
                <w:color w:val="231F20"/>
                <w:w w:val="90"/>
              </w:rPr>
              <w:t>Policymaking</w:t>
            </w:r>
            <w:r>
              <w:rPr>
                <w:color w:val="231F20"/>
                <w:spacing w:val="4"/>
              </w:rPr>
              <w:t> </w:t>
            </w:r>
            <w:r>
              <w:rPr>
                <w:color w:val="231F20"/>
                <w:w w:val="90"/>
              </w:rPr>
              <w:t>priorities</w:t>
            </w:r>
            <w:r>
              <w:rPr>
                <w:color w:val="231F20"/>
                <w:spacing w:val="4"/>
              </w:rPr>
              <w:t> </w:t>
            </w:r>
            <w:r>
              <w:rPr>
                <w:color w:val="231F20"/>
                <w:w w:val="90"/>
              </w:rPr>
              <w:t>when</w:t>
            </w:r>
            <w:r>
              <w:rPr>
                <w:color w:val="231F20"/>
                <w:spacing w:val="5"/>
              </w:rPr>
              <w:t> </w:t>
            </w:r>
            <w:r>
              <w:rPr>
                <w:color w:val="231F20"/>
                <w:w w:val="90"/>
              </w:rPr>
              <w:t>managing</w:t>
            </w:r>
            <w:r>
              <w:rPr>
                <w:color w:val="231F20"/>
                <w:spacing w:val="4"/>
              </w:rPr>
              <w:t> </w:t>
            </w:r>
            <w:r>
              <w:rPr>
                <w:color w:val="231F20"/>
                <w:w w:val="90"/>
              </w:rPr>
              <w:t>logistics</w:t>
            </w:r>
            <w:r>
              <w:rPr>
                <w:color w:val="231F20"/>
                <w:spacing w:val="5"/>
              </w:rPr>
              <w:t> </w:t>
            </w:r>
            <w:r>
              <w:rPr>
                <w:color w:val="231F20"/>
                <w:w w:val="90"/>
              </w:rPr>
              <w:t>as</w:t>
            </w:r>
            <w:r>
              <w:rPr>
                <w:color w:val="231F20"/>
                <w:spacing w:val="4"/>
              </w:rPr>
              <w:t> </w:t>
            </w:r>
            <w:r>
              <w:rPr>
                <w:color w:val="231F20"/>
                <w:w w:val="90"/>
              </w:rPr>
              <w:t>a</w:t>
            </w:r>
            <w:r>
              <w:rPr>
                <w:color w:val="231F20"/>
                <w:spacing w:val="4"/>
              </w:rPr>
              <w:t> </w:t>
            </w:r>
            <w:r>
              <w:rPr>
                <w:color w:val="231F20"/>
                <w:w w:val="90"/>
              </w:rPr>
              <w:t>sector</w:t>
            </w:r>
            <w:r>
              <w:rPr>
                <w:color w:val="231F20"/>
                <w:spacing w:val="5"/>
              </w:rPr>
              <w:t> </w:t>
            </w:r>
            <w:r>
              <w:rPr>
                <w:color w:val="231F20"/>
                <w:w w:val="90"/>
              </w:rPr>
              <w:t>of</w:t>
            </w:r>
            <w:r>
              <w:rPr>
                <w:color w:val="231F20"/>
                <w:spacing w:val="4"/>
              </w:rPr>
              <w:t> </w:t>
            </w:r>
            <w:r>
              <w:rPr>
                <w:color w:val="231F20"/>
                <w:w w:val="90"/>
              </w:rPr>
              <w:t>the</w:t>
            </w:r>
            <w:r>
              <w:rPr>
                <w:color w:val="231F20"/>
                <w:spacing w:val="5"/>
              </w:rPr>
              <w:t> </w:t>
            </w:r>
            <w:r>
              <w:rPr>
                <w:color w:val="231F20"/>
                <w:spacing w:val="-2"/>
                <w:w w:val="90"/>
              </w:rPr>
              <w:t>economy</w:t>
            </w:r>
            <w:r>
              <w:rPr>
                <w:color w:val="231F20"/>
              </w:rPr>
              <w:tab/>
            </w:r>
            <w:r>
              <w:rPr>
                <w:color w:val="231F20"/>
                <w:spacing w:val="-5"/>
              </w:rPr>
              <w:t>28</w:t>
            </w:r>
          </w:hyperlink>
        </w:p>
        <w:p>
          <w:pPr>
            <w:pStyle w:val="TOC1"/>
            <w:tabs>
              <w:tab w:pos="6396" w:val="left" w:leader="none"/>
            </w:tabs>
            <w:spacing w:before="29"/>
          </w:pPr>
          <w:hyperlink w:history="true" w:anchor="_bookmark37">
            <w:r>
              <w:rPr>
                <w:color w:val="231F20"/>
                <w:w w:val="90"/>
              </w:rPr>
              <w:t>The</w:t>
            </w:r>
            <w:r>
              <w:rPr>
                <w:color w:val="231F20"/>
                <w:spacing w:val="2"/>
              </w:rPr>
              <w:t> </w:t>
            </w:r>
            <w:r>
              <w:rPr>
                <w:color w:val="231F20"/>
                <w:w w:val="90"/>
              </w:rPr>
              <w:t>2020s</w:t>
            </w:r>
            <w:r>
              <w:rPr>
                <w:color w:val="231F20"/>
                <w:spacing w:val="2"/>
              </w:rPr>
              <w:t> </w:t>
            </w:r>
            <w:r>
              <w:rPr>
                <w:color w:val="231F20"/>
                <w:w w:val="90"/>
              </w:rPr>
              <w:t>is</w:t>
            </w:r>
            <w:r>
              <w:rPr>
                <w:color w:val="231F20"/>
                <w:spacing w:val="2"/>
              </w:rPr>
              <w:t> </w:t>
            </w:r>
            <w:r>
              <w:rPr>
                <w:color w:val="231F20"/>
                <w:w w:val="90"/>
              </w:rPr>
              <w:t>a</w:t>
            </w:r>
            <w:r>
              <w:rPr>
                <w:color w:val="231F20"/>
                <w:spacing w:val="2"/>
              </w:rPr>
              <w:t> </w:t>
            </w:r>
            <w:r>
              <w:rPr>
                <w:color w:val="231F20"/>
                <w:w w:val="90"/>
              </w:rPr>
              <w:t>decade</w:t>
            </w:r>
            <w:r>
              <w:rPr>
                <w:color w:val="231F20"/>
                <w:spacing w:val="3"/>
              </w:rPr>
              <w:t> </w:t>
            </w:r>
            <w:r>
              <w:rPr>
                <w:color w:val="231F20"/>
                <w:w w:val="90"/>
              </w:rPr>
              <w:t>of</w:t>
            </w:r>
            <w:r>
              <w:rPr>
                <w:color w:val="231F20"/>
                <w:spacing w:val="2"/>
              </w:rPr>
              <w:t> </w:t>
            </w:r>
            <w:r>
              <w:rPr>
                <w:color w:val="231F20"/>
                <w:w w:val="90"/>
              </w:rPr>
              <w:t>transformation</w:t>
            </w:r>
            <w:r>
              <w:rPr>
                <w:color w:val="231F20"/>
                <w:spacing w:val="2"/>
              </w:rPr>
              <w:t> </w:t>
            </w:r>
            <w:r>
              <w:rPr>
                <w:color w:val="231F20"/>
                <w:w w:val="90"/>
              </w:rPr>
              <w:t>for</w:t>
            </w:r>
            <w:r>
              <w:rPr>
                <w:color w:val="231F20"/>
                <w:spacing w:val="2"/>
              </w:rPr>
              <w:t> </w:t>
            </w:r>
            <w:r>
              <w:rPr>
                <w:color w:val="231F20"/>
                <w:w w:val="90"/>
              </w:rPr>
              <w:t>global</w:t>
            </w:r>
            <w:r>
              <w:rPr>
                <w:color w:val="231F20"/>
                <w:spacing w:val="3"/>
              </w:rPr>
              <w:t> </w:t>
            </w:r>
            <w:r>
              <w:rPr>
                <w:color w:val="231F20"/>
                <w:w w:val="90"/>
              </w:rPr>
              <w:t>supply</w:t>
            </w:r>
            <w:r>
              <w:rPr>
                <w:color w:val="231F20"/>
                <w:spacing w:val="2"/>
              </w:rPr>
              <w:t> </w:t>
            </w:r>
            <w:r>
              <w:rPr>
                <w:color w:val="231F20"/>
                <w:spacing w:val="-2"/>
                <w:w w:val="90"/>
              </w:rPr>
              <w:t>chains</w:t>
            </w:r>
            <w:r>
              <w:rPr>
                <w:color w:val="231F20"/>
              </w:rPr>
              <w:tab/>
            </w:r>
            <w:r>
              <w:rPr>
                <w:color w:val="231F20"/>
                <w:spacing w:val="-5"/>
                <w:w w:val="95"/>
              </w:rPr>
              <w:t>29</w:t>
            </w:r>
          </w:hyperlink>
        </w:p>
        <w:p>
          <w:pPr>
            <w:pStyle w:val="TOC2"/>
            <w:tabs>
              <w:tab w:pos="1812" w:val="left" w:leader="none"/>
            </w:tabs>
            <w:spacing w:before="316"/>
          </w:pPr>
          <w:hyperlink w:history="true" w:anchor="_bookmark39">
            <w:r>
              <w:rPr>
                <w:color w:val="008FDD"/>
                <w:spacing w:val="-2"/>
              </w:rPr>
              <w:t>Notes</w:t>
            </w:r>
            <w:r>
              <w:rPr>
                <w:color w:val="008FDD"/>
              </w:rPr>
              <w:tab/>
            </w:r>
            <w:r>
              <w:rPr>
                <w:color w:val="008FDD"/>
                <w:spacing w:val="-5"/>
              </w:rPr>
              <w:t>31</w:t>
            </w:r>
          </w:hyperlink>
        </w:p>
        <w:p>
          <w:pPr>
            <w:pStyle w:val="TOC2"/>
          </w:pPr>
          <w:r>
            <w:rPr>
              <w:color w:val="008FDD"/>
            </w:rPr>
            <w:t>Appendix</w:t>
          </w:r>
          <w:r>
            <w:rPr>
              <w:color w:val="008FDD"/>
              <w:spacing w:val="52"/>
            </w:rPr>
            <w:t> </w:t>
          </w:r>
          <w:r>
            <w:rPr>
              <w:color w:val="008FDD"/>
              <w:spacing w:val="-10"/>
            </w:rPr>
            <w:t>1</w:t>
          </w:r>
        </w:p>
        <w:p>
          <w:pPr>
            <w:pStyle w:val="TOC2"/>
            <w:tabs>
              <w:tab w:pos="2711" w:val="left" w:leader="none"/>
            </w:tabs>
            <w:spacing w:before="51"/>
          </w:pPr>
          <w:hyperlink w:history="true" w:anchor="_bookmark40">
            <w:r>
              <w:rPr>
                <w:color w:val="008FDD"/>
              </w:rPr>
              <w:t>2023</w:t>
            </w:r>
            <w:r>
              <w:rPr>
                <w:color w:val="008FDD"/>
                <w:spacing w:val="-1"/>
              </w:rPr>
              <w:t> </w:t>
            </w:r>
            <w:r>
              <w:rPr>
                <w:color w:val="008FDD"/>
              </w:rPr>
              <w:t>LPI </w:t>
            </w:r>
            <w:r>
              <w:rPr>
                <w:color w:val="008FDD"/>
                <w:spacing w:val="-2"/>
              </w:rPr>
              <w:t>results</w:t>
            </w:r>
            <w:r>
              <w:rPr>
                <w:color w:val="008FDD"/>
              </w:rPr>
              <w:tab/>
            </w:r>
            <w:r>
              <w:rPr>
                <w:color w:val="008FDD"/>
                <w:spacing w:val="-5"/>
              </w:rPr>
              <w:t>32</w:t>
            </w:r>
          </w:hyperlink>
        </w:p>
        <w:p>
          <w:pPr>
            <w:pStyle w:val="TOC2"/>
          </w:pPr>
          <w:r>
            <w:rPr>
              <w:color w:val="008FDD"/>
            </w:rPr>
            <w:t>Appendix</w:t>
          </w:r>
          <w:r>
            <w:rPr>
              <w:color w:val="008FDD"/>
              <w:spacing w:val="52"/>
            </w:rPr>
            <w:t> </w:t>
          </w:r>
          <w:r>
            <w:rPr>
              <w:color w:val="008FDD"/>
              <w:spacing w:val="-10"/>
            </w:rPr>
            <w:t>2</w:t>
          </w:r>
        </w:p>
        <w:p>
          <w:pPr>
            <w:pStyle w:val="TOC2"/>
            <w:tabs>
              <w:tab w:pos="5868" w:val="left" w:leader="none"/>
            </w:tabs>
            <w:spacing w:before="51"/>
          </w:pPr>
          <w:hyperlink w:history="true" w:anchor="_bookmark41">
            <w:r>
              <w:rPr>
                <w:color w:val="008FDD"/>
                <w:w w:val="105"/>
              </w:rPr>
              <w:t>Lead</w:t>
            </w:r>
            <w:r>
              <w:rPr>
                <w:color w:val="008FDD"/>
                <w:spacing w:val="3"/>
                <w:w w:val="105"/>
              </w:rPr>
              <w:t> </w:t>
            </w:r>
            <w:r>
              <w:rPr>
                <w:color w:val="008FDD"/>
                <w:w w:val="105"/>
              </w:rPr>
              <w:t>time</w:t>
            </w:r>
            <w:r>
              <w:rPr>
                <w:color w:val="008FDD"/>
                <w:spacing w:val="3"/>
                <w:w w:val="105"/>
              </w:rPr>
              <w:t> </w:t>
            </w:r>
            <w:r>
              <w:rPr>
                <w:color w:val="008FDD"/>
                <w:w w:val="105"/>
              </w:rPr>
              <w:t>data</w:t>
            </w:r>
            <w:r>
              <w:rPr>
                <w:color w:val="008FDD"/>
                <w:spacing w:val="3"/>
                <w:w w:val="105"/>
              </w:rPr>
              <w:t> </w:t>
            </w:r>
            <w:r>
              <w:rPr>
                <w:color w:val="008FDD"/>
                <w:w w:val="105"/>
              </w:rPr>
              <w:t>from</w:t>
            </w:r>
            <w:r>
              <w:rPr>
                <w:color w:val="008FDD"/>
                <w:spacing w:val="3"/>
                <w:w w:val="105"/>
              </w:rPr>
              <w:t> </w:t>
            </w:r>
            <w:r>
              <w:rPr>
                <w:color w:val="008FDD"/>
                <w:w w:val="105"/>
              </w:rPr>
              <w:t>supply</w:t>
            </w:r>
            <w:r>
              <w:rPr>
                <w:color w:val="008FDD"/>
                <w:spacing w:val="3"/>
                <w:w w:val="105"/>
              </w:rPr>
              <w:t> </w:t>
            </w:r>
            <w:r>
              <w:rPr>
                <w:color w:val="008FDD"/>
                <w:w w:val="105"/>
              </w:rPr>
              <w:t>chain</w:t>
            </w:r>
            <w:r>
              <w:rPr>
                <w:color w:val="008FDD"/>
                <w:spacing w:val="3"/>
                <w:w w:val="105"/>
              </w:rPr>
              <w:t> </w:t>
            </w:r>
            <w:r>
              <w:rPr>
                <w:color w:val="008FDD"/>
                <w:w w:val="105"/>
              </w:rPr>
              <w:t>tracking</w:t>
            </w:r>
            <w:r>
              <w:rPr>
                <w:color w:val="008FDD"/>
                <w:spacing w:val="3"/>
                <w:w w:val="105"/>
              </w:rPr>
              <w:t> </w:t>
            </w:r>
            <w:r>
              <w:rPr>
                <w:color w:val="008FDD"/>
                <w:spacing w:val="-2"/>
                <w:w w:val="105"/>
              </w:rPr>
              <w:t>datasets</w:t>
            </w:r>
            <w:r>
              <w:rPr>
                <w:color w:val="008FDD"/>
              </w:rPr>
              <w:tab/>
            </w:r>
            <w:r>
              <w:rPr>
                <w:color w:val="008FDD"/>
                <w:spacing w:val="-5"/>
                <w:w w:val="105"/>
              </w:rPr>
              <w:t>36</w:t>
            </w:r>
          </w:hyperlink>
        </w:p>
        <w:p>
          <w:pPr>
            <w:pStyle w:val="TOC2"/>
          </w:pPr>
          <w:r>
            <w:rPr>
              <w:color w:val="008FDD"/>
            </w:rPr>
            <w:t>Appendix</w:t>
          </w:r>
          <w:r>
            <w:rPr>
              <w:color w:val="008FDD"/>
              <w:spacing w:val="52"/>
            </w:rPr>
            <w:t> </w:t>
          </w:r>
          <w:r>
            <w:rPr>
              <w:color w:val="008FDD"/>
              <w:spacing w:val="-10"/>
            </w:rPr>
            <w:t>3</w:t>
          </w:r>
        </w:p>
        <w:p>
          <w:pPr>
            <w:pStyle w:val="TOC2"/>
            <w:tabs>
              <w:tab w:pos="7010" w:val="left" w:leader="none"/>
            </w:tabs>
            <w:spacing w:before="51"/>
          </w:pPr>
          <w:hyperlink w:history="true" w:anchor="_bookmark45">
            <w:r>
              <w:rPr>
                <w:color w:val="008FDD"/>
                <w:w w:val="105"/>
              </w:rPr>
              <w:t>Top</w:t>
            </w:r>
            <w:r>
              <w:rPr>
                <w:color w:val="008FDD"/>
                <w:spacing w:val="-3"/>
                <w:w w:val="105"/>
              </w:rPr>
              <w:t> </w:t>
            </w:r>
            <w:r>
              <w:rPr>
                <w:color w:val="008FDD"/>
                <w:w w:val="105"/>
              </w:rPr>
              <w:t>and</w:t>
            </w:r>
            <w:r>
              <w:rPr>
                <w:color w:val="008FDD"/>
                <w:spacing w:val="-3"/>
                <w:w w:val="105"/>
              </w:rPr>
              <w:t> </w:t>
            </w:r>
            <w:r>
              <w:rPr>
                <w:color w:val="008FDD"/>
                <w:w w:val="105"/>
              </w:rPr>
              <w:t>bottom</w:t>
            </w:r>
            <w:r>
              <w:rPr>
                <w:color w:val="008FDD"/>
                <w:spacing w:val="-3"/>
                <w:w w:val="105"/>
              </w:rPr>
              <w:t> </w:t>
            </w:r>
            <w:r>
              <w:rPr>
                <w:color w:val="008FDD"/>
                <w:w w:val="105"/>
              </w:rPr>
              <w:t>scorers</w:t>
            </w:r>
            <w:r>
              <w:rPr>
                <w:color w:val="008FDD"/>
                <w:spacing w:val="-3"/>
                <w:w w:val="105"/>
              </w:rPr>
              <w:t> </w:t>
            </w:r>
            <w:r>
              <w:rPr>
                <w:color w:val="008FDD"/>
                <w:w w:val="105"/>
              </w:rPr>
              <w:t>on</w:t>
            </w:r>
            <w:r>
              <w:rPr>
                <w:color w:val="008FDD"/>
                <w:spacing w:val="-3"/>
                <w:w w:val="105"/>
              </w:rPr>
              <w:t> </w:t>
            </w:r>
            <w:r>
              <w:rPr>
                <w:color w:val="008FDD"/>
                <w:w w:val="105"/>
              </w:rPr>
              <w:t>the</w:t>
            </w:r>
            <w:r>
              <w:rPr>
                <w:color w:val="008FDD"/>
                <w:spacing w:val="-3"/>
                <w:w w:val="105"/>
              </w:rPr>
              <w:t> </w:t>
            </w:r>
            <w:r>
              <w:rPr>
                <w:color w:val="008FDD"/>
                <w:w w:val="105"/>
              </w:rPr>
              <w:t>LPI,</w:t>
            </w:r>
            <w:r>
              <w:rPr>
                <w:color w:val="008FDD"/>
                <w:spacing w:val="-3"/>
                <w:w w:val="105"/>
              </w:rPr>
              <w:t> </w:t>
            </w:r>
            <w:r>
              <w:rPr>
                <w:color w:val="008FDD"/>
                <w:w w:val="105"/>
              </w:rPr>
              <w:t>overall</w:t>
            </w:r>
            <w:r>
              <w:rPr>
                <w:color w:val="008FDD"/>
                <w:spacing w:val="-3"/>
                <w:w w:val="105"/>
              </w:rPr>
              <w:t> </w:t>
            </w:r>
            <w:r>
              <w:rPr>
                <w:color w:val="008FDD"/>
                <w:w w:val="105"/>
              </w:rPr>
              <w:t>and</w:t>
            </w:r>
            <w:r>
              <w:rPr>
                <w:color w:val="008FDD"/>
                <w:spacing w:val="-3"/>
                <w:w w:val="105"/>
              </w:rPr>
              <w:t> </w:t>
            </w:r>
            <w:r>
              <w:rPr>
                <w:color w:val="008FDD"/>
                <w:w w:val="105"/>
              </w:rPr>
              <w:t>by</w:t>
            </w:r>
            <w:r>
              <w:rPr>
                <w:color w:val="008FDD"/>
                <w:spacing w:val="-2"/>
                <w:w w:val="105"/>
              </w:rPr>
              <w:t> </w:t>
            </w:r>
            <w:r>
              <w:rPr>
                <w:color w:val="008FDD"/>
                <w:w w:val="105"/>
              </w:rPr>
              <w:t>income</w:t>
            </w:r>
            <w:r>
              <w:rPr>
                <w:color w:val="008FDD"/>
                <w:spacing w:val="-3"/>
                <w:w w:val="105"/>
              </w:rPr>
              <w:t> </w:t>
            </w:r>
            <w:r>
              <w:rPr>
                <w:color w:val="008FDD"/>
                <w:spacing w:val="-2"/>
                <w:w w:val="105"/>
              </w:rPr>
              <w:t>group</w:t>
            </w:r>
            <w:r>
              <w:rPr>
                <w:color w:val="008FDD"/>
              </w:rPr>
              <w:tab/>
            </w:r>
            <w:r>
              <w:rPr>
                <w:color w:val="008FDD"/>
                <w:spacing w:val="-5"/>
                <w:w w:val="105"/>
              </w:rPr>
              <w:t>52</w:t>
            </w:r>
          </w:hyperlink>
        </w:p>
        <w:p>
          <w:pPr>
            <w:pStyle w:val="TOC2"/>
          </w:pPr>
          <w:r>
            <w:rPr>
              <w:color w:val="008FDD"/>
            </w:rPr>
            <w:t>Appendix</w:t>
          </w:r>
          <w:r>
            <w:rPr>
              <w:color w:val="008FDD"/>
              <w:spacing w:val="52"/>
            </w:rPr>
            <w:t> </w:t>
          </w:r>
          <w:r>
            <w:rPr>
              <w:color w:val="008FDD"/>
              <w:spacing w:val="-10"/>
            </w:rPr>
            <w:t>4</w:t>
          </w:r>
        </w:p>
        <w:p>
          <w:pPr>
            <w:pStyle w:val="TOC2"/>
            <w:tabs>
              <w:tab w:pos="5953" w:val="left" w:leader="none"/>
            </w:tabs>
            <w:spacing w:before="51"/>
          </w:pPr>
          <w:hyperlink w:history="true" w:anchor="_bookmark48">
            <w:r>
              <w:rPr>
                <w:color w:val="008FDD"/>
                <w:w w:val="105"/>
              </w:rPr>
              <w:t>Description</w:t>
            </w:r>
            <w:r>
              <w:rPr>
                <w:color w:val="008FDD"/>
                <w:spacing w:val="-1"/>
                <w:w w:val="105"/>
              </w:rPr>
              <w:t> </w:t>
            </w:r>
            <w:r>
              <w:rPr>
                <w:color w:val="008FDD"/>
                <w:w w:val="105"/>
              </w:rPr>
              <w:t>of</w:t>
            </w:r>
            <w:r>
              <w:rPr>
                <w:color w:val="008FDD"/>
                <w:spacing w:val="-1"/>
                <w:w w:val="105"/>
              </w:rPr>
              <w:t> </w:t>
            </w:r>
            <w:r>
              <w:rPr>
                <w:color w:val="008FDD"/>
                <w:w w:val="105"/>
              </w:rPr>
              <w:t>the</w:t>
            </w:r>
            <w:r>
              <w:rPr>
                <w:color w:val="008FDD"/>
                <w:spacing w:val="-1"/>
                <w:w w:val="105"/>
              </w:rPr>
              <w:t> </w:t>
            </w:r>
            <w:r>
              <w:rPr>
                <w:color w:val="008FDD"/>
                <w:w w:val="105"/>
              </w:rPr>
              <w:t>new</w:t>
            </w:r>
            <w:r>
              <w:rPr>
                <w:color w:val="008FDD"/>
                <w:spacing w:val="-1"/>
                <w:w w:val="105"/>
              </w:rPr>
              <w:t> </w:t>
            </w:r>
            <w:r>
              <w:rPr>
                <w:color w:val="008FDD"/>
                <w:w w:val="105"/>
              </w:rPr>
              <w:t>data</w:t>
            </w:r>
            <w:r>
              <w:rPr>
                <w:color w:val="008FDD"/>
                <w:spacing w:val="-1"/>
                <w:w w:val="105"/>
              </w:rPr>
              <w:t> </w:t>
            </w:r>
            <w:r>
              <w:rPr>
                <w:color w:val="008FDD"/>
                <w:w w:val="105"/>
              </w:rPr>
              <w:t>sources for</w:t>
            </w:r>
            <w:r>
              <w:rPr>
                <w:color w:val="008FDD"/>
                <w:spacing w:val="-1"/>
                <w:w w:val="105"/>
              </w:rPr>
              <w:t> </w:t>
            </w:r>
            <w:r>
              <w:rPr>
                <w:color w:val="008FDD"/>
                <w:w w:val="105"/>
              </w:rPr>
              <w:t>the</w:t>
            </w:r>
            <w:r>
              <w:rPr>
                <w:color w:val="008FDD"/>
                <w:spacing w:val="-1"/>
                <w:w w:val="105"/>
              </w:rPr>
              <w:t> </w:t>
            </w:r>
            <w:r>
              <w:rPr>
                <w:color w:val="008FDD"/>
                <w:w w:val="105"/>
              </w:rPr>
              <w:t>LPI</w:t>
            </w:r>
            <w:r>
              <w:rPr>
                <w:color w:val="008FDD"/>
                <w:spacing w:val="-1"/>
                <w:w w:val="105"/>
              </w:rPr>
              <w:t> </w:t>
            </w:r>
            <w:r>
              <w:rPr>
                <w:color w:val="008FDD"/>
                <w:spacing w:val="-4"/>
                <w:w w:val="105"/>
              </w:rPr>
              <w:t>2023</w:t>
            </w:r>
            <w:r>
              <w:rPr>
                <w:color w:val="008FDD"/>
              </w:rPr>
              <w:tab/>
            </w:r>
            <w:r>
              <w:rPr>
                <w:color w:val="008FDD"/>
                <w:spacing w:val="-5"/>
                <w:w w:val="105"/>
              </w:rPr>
              <w:t>55</w:t>
            </w:r>
          </w:hyperlink>
        </w:p>
        <w:p>
          <w:pPr>
            <w:pStyle w:val="TOC2"/>
          </w:pPr>
          <w:r>
            <w:rPr>
              <w:color w:val="008FDD"/>
            </w:rPr>
            <w:t>Appendix</w:t>
          </w:r>
          <w:r>
            <w:rPr>
              <w:color w:val="008FDD"/>
              <w:spacing w:val="52"/>
            </w:rPr>
            <w:t> </w:t>
          </w:r>
          <w:r>
            <w:rPr>
              <w:color w:val="008FDD"/>
              <w:spacing w:val="-10"/>
            </w:rPr>
            <w:t>5</w:t>
          </w:r>
        </w:p>
        <w:p>
          <w:pPr>
            <w:pStyle w:val="TOC2"/>
            <w:tabs>
              <w:tab w:pos="3187" w:val="left" w:leader="none"/>
            </w:tabs>
            <w:spacing w:before="51"/>
          </w:pPr>
          <w:hyperlink w:history="true" w:anchor="_bookmark49">
            <w:r>
              <w:rPr>
                <w:color w:val="008FDD"/>
              </w:rPr>
              <w:t>The</w:t>
            </w:r>
            <w:r>
              <w:rPr>
                <w:color w:val="008FDD"/>
                <w:spacing w:val="1"/>
              </w:rPr>
              <w:t> </w:t>
            </w:r>
            <w:r>
              <w:rPr>
                <w:color w:val="008FDD"/>
              </w:rPr>
              <w:t>LPI</w:t>
            </w:r>
            <w:r>
              <w:rPr>
                <w:color w:val="008FDD"/>
                <w:spacing w:val="1"/>
              </w:rPr>
              <w:t> </w:t>
            </w:r>
            <w:r>
              <w:rPr>
                <w:color w:val="008FDD"/>
                <w:spacing w:val="-2"/>
              </w:rPr>
              <w:t>methodology</w:t>
            </w:r>
            <w:r>
              <w:rPr>
                <w:color w:val="008FDD"/>
              </w:rPr>
              <w:tab/>
            </w:r>
            <w:r>
              <w:rPr>
                <w:color w:val="008FDD"/>
                <w:spacing w:val="-5"/>
              </w:rPr>
              <w:t>62</w:t>
            </w:r>
          </w:hyperlink>
        </w:p>
        <w:p>
          <w:pPr>
            <w:pStyle w:val="TOC2"/>
          </w:pPr>
          <w:r>
            <w:rPr>
              <w:color w:val="008FDD"/>
            </w:rPr>
            <w:t>Appendix</w:t>
          </w:r>
          <w:r>
            <w:rPr>
              <w:color w:val="008FDD"/>
              <w:spacing w:val="52"/>
            </w:rPr>
            <w:t> </w:t>
          </w:r>
          <w:r>
            <w:rPr>
              <w:color w:val="008FDD"/>
              <w:spacing w:val="-10"/>
            </w:rPr>
            <w:t>6</w:t>
          </w:r>
        </w:p>
        <w:p>
          <w:pPr>
            <w:pStyle w:val="TOC2"/>
            <w:tabs>
              <w:tab w:pos="4321" w:val="left" w:leader="none"/>
            </w:tabs>
            <w:spacing w:line="297" w:lineRule="auto" w:before="51"/>
            <w:ind w:right="800"/>
          </w:pPr>
          <w:hyperlink w:history="true" w:anchor="_bookmark50">
            <w:r>
              <w:rPr>
                <w:color w:val="008FDD"/>
                <w:w w:val="105"/>
              </w:rPr>
              <w:t>Results from the LPI survey question on demand for environmentally sustainable shipping options and on changes</w:t>
            </w:r>
          </w:hyperlink>
          <w:r>
            <w:rPr>
              <w:color w:val="008FDD"/>
              <w:w w:val="105"/>
            </w:rPr>
            <w:t> </w:t>
          </w:r>
          <w:hyperlink w:history="true" w:anchor="_bookmark50">
            <w:r>
              <w:rPr>
                <w:color w:val="008FDD"/>
                <w:w w:val="105"/>
              </w:rPr>
              <w:t>in global supply chains since 2019</w:t>
            </w:r>
            <w:r>
              <w:rPr>
                <w:color w:val="008FDD"/>
              </w:rPr>
              <w:tab/>
            </w:r>
            <w:r>
              <w:rPr>
                <w:color w:val="008FDD"/>
                <w:spacing w:val="-6"/>
                <w:w w:val="105"/>
              </w:rPr>
              <w:t>65</w:t>
            </w:r>
          </w:hyperlink>
        </w:p>
        <w:p>
          <w:pPr>
            <w:pStyle w:val="TOC2"/>
            <w:spacing w:before="268"/>
          </w:pPr>
          <w:r>
            <w:rPr>
              <w:color w:val="008FDD"/>
            </w:rPr>
            <w:t>Appendix</w:t>
          </w:r>
          <w:r>
            <w:rPr>
              <w:color w:val="008FDD"/>
              <w:spacing w:val="52"/>
            </w:rPr>
            <w:t> </w:t>
          </w:r>
          <w:r>
            <w:rPr>
              <w:color w:val="008FDD"/>
              <w:spacing w:val="-10"/>
            </w:rPr>
            <w:t>7</w:t>
          </w:r>
        </w:p>
        <w:p>
          <w:pPr>
            <w:pStyle w:val="TOC2"/>
            <w:tabs>
              <w:tab w:pos="3712" w:val="left" w:leader="none"/>
            </w:tabs>
            <w:spacing w:before="52"/>
          </w:pPr>
          <w:hyperlink w:history="true" w:anchor="_bookmark51">
            <w:r>
              <w:rPr>
                <w:color w:val="008FDD"/>
              </w:rPr>
              <w:t>Respondent</w:t>
            </w:r>
            <w:r>
              <w:rPr>
                <w:color w:val="008FDD"/>
                <w:spacing w:val="50"/>
              </w:rPr>
              <w:t> </w:t>
            </w:r>
            <w:r>
              <w:rPr>
                <w:color w:val="008FDD"/>
                <w:spacing w:val="-2"/>
              </w:rPr>
              <w:t>demographics</w:t>
            </w:r>
            <w:r>
              <w:rPr>
                <w:color w:val="008FDD"/>
              </w:rPr>
              <w:tab/>
            </w:r>
            <w:r>
              <w:rPr>
                <w:color w:val="008FDD"/>
                <w:spacing w:val="-5"/>
              </w:rPr>
              <w:t>67</w:t>
            </w:r>
          </w:hyperlink>
        </w:p>
        <w:p>
          <w:pPr>
            <w:pStyle w:val="TOC2"/>
            <w:spacing w:before="321"/>
          </w:pPr>
          <w:r>
            <w:rPr>
              <w:color w:val="008FDD"/>
            </w:rPr>
            <w:t>Appendix</w:t>
          </w:r>
          <w:r>
            <w:rPr>
              <w:color w:val="008FDD"/>
              <w:spacing w:val="52"/>
            </w:rPr>
            <w:t> </w:t>
          </w:r>
          <w:r>
            <w:rPr>
              <w:color w:val="008FDD"/>
              <w:spacing w:val="-10"/>
            </w:rPr>
            <w:t>8</w:t>
          </w:r>
        </w:p>
        <w:p>
          <w:pPr>
            <w:pStyle w:val="TOC2"/>
            <w:tabs>
              <w:tab w:pos="5746" w:val="left" w:leader="none"/>
            </w:tabs>
            <w:spacing w:before="52"/>
          </w:pPr>
          <w:hyperlink w:history="true" w:anchor="_bookmark52">
            <w:r>
              <w:rPr>
                <w:color w:val="008FDD"/>
                <w:w w:val="105"/>
              </w:rPr>
              <w:t>LPI</w:t>
            </w:r>
            <w:r>
              <w:rPr>
                <w:color w:val="008FDD"/>
                <w:spacing w:val="-2"/>
                <w:w w:val="105"/>
              </w:rPr>
              <w:t> </w:t>
            </w:r>
            <w:r>
              <w:rPr>
                <w:color w:val="008FDD"/>
                <w:w w:val="105"/>
              </w:rPr>
              <w:t>results</w:t>
            </w:r>
            <w:r>
              <w:rPr>
                <w:color w:val="008FDD"/>
                <w:spacing w:val="-2"/>
                <w:w w:val="105"/>
              </w:rPr>
              <w:t> </w:t>
            </w:r>
            <w:r>
              <w:rPr>
                <w:color w:val="008FDD"/>
                <w:w w:val="105"/>
              </w:rPr>
              <w:t>in</w:t>
            </w:r>
            <w:r>
              <w:rPr>
                <w:color w:val="008FDD"/>
                <w:spacing w:val="-1"/>
                <w:w w:val="105"/>
              </w:rPr>
              <w:t> </w:t>
            </w:r>
            <w:r>
              <w:rPr>
                <w:color w:val="008FDD"/>
                <w:w w:val="105"/>
              </w:rPr>
              <w:t>research</w:t>
            </w:r>
            <w:r>
              <w:rPr>
                <w:color w:val="008FDD"/>
                <w:spacing w:val="-2"/>
                <w:w w:val="105"/>
              </w:rPr>
              <w:t> </w:t>
            </w:r>
            <w:r>
              <w:rPr>
                <w:color w:val="008FDD"/>
                <w:w w:val="105"/>
              </w:rPr>
              <w:t>and</w:t>
            </w:r>
            <w:r>
              <w:rPr>
                <w:color w:val="008FDD"/>
                <w:spacing w:val="-1"/>
                <w:w w:val="105"/>
              </w:rPr>
              <w:t> </w:t>
            </w:r>
            <w:r>
              <w:rPr>
                <w:color w:val="008FDD"/>
                <w:w w:val="105"/>
              </w:rPr>
              <w:t>policymaking</w:t>
            </w:r>
            <w:r>
              <w:rPr>
                <w:color w:val="008FDD"/>
                <w:spacing w:val="-2"/>
                <w:w w:val="105"/>
              </w:rPr>
              <w:t> literature</w:t>
            </w:r>
            <w:r>
              <w:rPr>
                <w:color w:val="008FDD"/>
              </w:rPr>
              <w:tab/>
            </w:r>
            <w:r>
              <w:rPr>
                <w:color w:val="008FDD"/>
                <w:spacing w:val="-5"/>
                <w:w w:val="105"/>
              </w:rPr>
              <w:t>69</w:t>
            </w:r>
          </w:hyperlink>
        </w:p>
        <w:p>
          <w:pPr>
            <w:pStyle w:val="TOC2"/>
            <w:tabs>
              <w:tab w:pos="2302" w:val="left" w:leader="none"/>
            </w:tabs>
          </w:pPr>
          <w:hyperlink w:history="true" w:anchor="_bookmark53">
            <w:r>
              <w:rPr>
                <w:color w:val="008FDD"/>
                <w:spacing w:val="-2"/>
              </w:rPr>
              <w:t>References</w:t>
            </w:r>
            <w:r>
              <w:rPr>
                <w:color w:val="008FDD"/>
              </w:rPr>
              <w:tab/>
            </w:r>
            <w:r>
              <w:rPr>
                <w:color w:val="008FDD"/>
                <w:spacing w:val="-5"/>
              </w:rPr>
              <w:t>73</w:t>
            </w:r>
          </w:hyperlink>
        </w:p>
      </w:sdtContent>
    </w:sdt>
    <w:p>
      <w:pPr>
        <w:spacing w:after="0"/>
        <w:sectPr>
          <w:type w:val="continuous"/>
          <w:pgSz w:w="12240" w:h="15840"/>
          <w:pgMar w:header="0" w:footer="548" w:top="340" w:bottom="542" w:left="0" w:right="540"/>
        </w:sectPr>
      </w:pPr>
    </w:p>
    <w:p>
      <w:pPr>
        <w:pStyle w:val="BodyText"/>
        <w:spacing w:before="102"/>
        <w:rPr>
          <w:rFonts w:ascii="Arial"/>
          <w:sz w:val="19"/>
        </w:rPr>
      </w:pPr>
    </w:p>
    <w:p>
      <w:pPr>
        <w:spacing w:before="1" w:after="37"/>
        <w:ind w:left="720" w:right="0" w:firstLine="0"/>
        <w:jc w:val="left"/>
        <w:rPr>
          <w:rFonts w:ascii="Arial"/>
          <w:sz w:val="19"/>
        </w:rPr>
      </w:pPr>
      <w:r>
        <w:rPr>
          <w:rFonts w:ascii="Arial"/>
          <w:color w:val="008FDD"/>
          <w:spacing w:val="-2"/>
          <w:w w:val="105"/>
          <w:sz w:val="19"/>
        </w:rPr>
        <w:t>Boxes</w:t>
      </w:r>
    </w:p>
    <w:tbl>
      <w:tblPr>
        <w:tblW w:w="0" w:type="auto"/>
        <w:jc w:val="left"/>
        <w:tblInd w:w="6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1"/>
        <w:gridCol w:w="6316"/>
        <w:gridCol w:w="559"/>
      </w:tblGrid>
      <w:tr>
        <w:trPr>
          <w:trHeight w:val="266" w:hRule="atLeast"/>
        </w:trPr>
        <w:tc>
          <w:tcPr>
            <w:tcW w:w="451" w:type="dxa"/>
          </w:tcPr>
          <w:p>
            <w:pPr>
              <w:pStyle w:val="TableParagraph"/>
              <w:spacing w:line="238" w:lineRule="exact" w:before="0"/>
              <w:ind w:right="109"/>
              <w:rPr>
                <w:rFonts w:ascii="Times New Roman"/>
                <w:sz w:val="21"/>
              </w:rPr>
            </w:pPr>
            <w:r>
              <w:rPr>
                <w:rFonts w:ascii="Times New Roman"/>
                <w:color w:val="231F20"/>
                <w:spacing w:val="-5"/>
                <w:sz w:val="21"/>
              </w:rPr>
              <w:t>1.1</w:t>
            </w:r>
          </w:p>
        </w:tc>
        <w:tc>
          <w:tcPr>
            <w:tcW w:w="6316" w:type="dxa"/>
          </w:tcPr>
          <w:p>
            <w:pPr>
              <w:pStyle w:val="TableParagraph"/>
              <w:tabs>
                <w:tab w:pos="2168" w:val="right" w:leader="none"/>
              </w:tabs>
              <w:spacing w:line="238" w:lineRule="exact" w:before="0"/>
              <w:ind w:left="138"/>
              <w:jc w:val="left"/>
              <w:rPr>
                <w:rFonts w:ascii="Times New Roman"/>
                <w:sz w:val="21"/>
              </w:rPr>
            </w:pPr>
            <w:r>
              <w:rPr>
                <w:rFonts w:ascii="Times New Roman"/>
                <w:color w:val="231F20"/>
                <w:spacing w:val="-2"/>
                <w:w w:val="90"/>
                <w:sz w:val="21"/>
              </w:rPr>
              <w:t>Vaccine</w:t>
            </w:r>
            <w:r>
              <w:rPr>
                <w:rFonts w:ascii="Times New Roman"/>
                <w:color w:val="231F20"/>
                <w:spacing w:val="-5"/>
                <w:sz w:val="21"/>
              </w:rPr>
              <w:t> </w:t>
            </w:r>
            <w:r>
              <w:rPr>
                <w:rFonts w:ascii="Times New Roman"/>
                <w:color w:val="231F20"/>
                <w:spacing w:val="-2"/>
                <w:w w:val="95"/>
                <w:sz w:val="21"/>
              </w:rPr>
              <w:t>logistics</w:t>
            </w:r>
            <w:r>
              <w:rPr>
                <w:rFonts w:ascii="Times New Roman"/>
                <w:color w:val="231F20"/>
                <w:sz w:val="21"/>
              </w:rPr>
              <w:tab/>
            </w:r>
            <w:r>
              <w:rPr>
                <w:rFonts w:ascii="Times New Roman"/>
                <w:color w:val="231F20"/>
                <w:spacing w:val="-10"/>
                <w:sz w:val="21"/>
              </w:rPr>
              <w:t>8</w:t>
            </w:r>
          </w:p>
        </w:tc>
        <w:tc>
          <w:tcPr>
            <w:tcW w:w="559" w:type="dxa"/>
            <w:vMerge w:val="restart"/>
          </w:tcPr>
          <w:p>
            <w:pPr>
              <w:pStyle w:val="TableParagraph"/>
              <w:spacing w:before="0"/>
              <w:jc w:val="left"/>
              <w:rPr>
                <w:rFonts w:ascii="Times New Roman"/>
                <w:sz w:val="18"/>
              </w:rPr>
            </w:pPr>
          </w:p>
        </w:tc>
      </w:tr>
      <w:tr>
        <w:trPr>
          <w:trHeight w:val="270" w:hRule="atLeast"/>
        </w:trPr>
        <w:tc>
          <w:tcPr>
            <w:tcW w:w="451" w:type="dxa"/>
          </w:tcPr>
          <w:p>
            <w:pPr>
              <w:pStyle w:val="TableParagraph"/>
              <w:spacing w:before="0"/>
              <w:ind w:right="98"/>
              <w:rPr>
                <w:rFonts w:ascii="Times New Roman"/>
                <w:sz w:val="21"/>
              </w:rPr>
            </w:pPr>
            <w:r>
              <w:rPr>
                <w:rFonts w:ascii="Times New Roman"/>
                <w:color w:val="231F20"/>
                <w:spacing w:val="-5"/>
                <w:sz w:val="21"/>
              </w:rPr>
              <w:t>1.2</w:t>
            </w:r>
          </w:p>
        </w:tc>
        <w:tc>
          <w:tcPr>
            <w:tcW w:w="6316" w:type="dxa"/>
          </w:tcPr>
          <w:p>
            <w:pPr>
              <w:pStyle w:val="TableParagraph"/>
              <w:tabs>
                <w:tab w:pos="5568" w:val="right" w:leader="none"/>
              </w:tabs>
              <w:spacing w:before="0"/>
              <w:ind w:left="138"/>
              <w:jc w:val="left"/>
              <w:rPr>
                <w:rFonts w:ascii="Times New Roman"/>
                <w:sz w:val="21"/>
              </w:rPr>
            </w:pPr>
            <w:r>
              <w:rPr>
                <w:rFonts w:ascii="Times New Roman"/>
                <w:color w:val="231F20"/>
                <w:w w:val="90"/>
                <w:sz w:val="21"/>
              </w:rPr>
              <w:t>The</w:t>
            </w:r>
            <w:r>
              <w:rPr>
                <w:rFonts w:ascii="Times New Roman"/>
                <w:color w:val="231F20"/>
                <w:spacing w:val="5"/>
                <w:sz w:val="21"/>
              </w:rPr>
              <w:t> </w:t>
            </w:r>
            <w:r>
              <w:rPr>
                <w:rFonts w:ascii="Times New Roman"/>
                <w:color w:val="231F20"/>
                <w:w w:val="90"/>
                <w:sz w:val="21"/>
              </w:rPr>
              <w:t>2023</w:t>
            </w:r>
            <w:r>
              <w:rPr>
                <w:rFonts w:ascii="Times New Roman"/>
                <w:color w:val="231F20"/>
                <w:spacing w:val="6"/>
                <w:sz w:val="21"/>
              </w:rPr>
              <w:t> </w:t>
            </w:r>
            <w:r>
              <w:rPr>
                <w:rFonts w:ascii="Times New Roman"/>
                <w:color w:val="231F20"/>
                <w:w w:val="90"/>
                <w:sz w:val="21"/>
              </w:rPr>
              <w:t>LPI</w:t>
            </w:r>
            <w:r>
              <w:rPr>
                <w:rFonts w:ascii="Times New Roman"/>
                <w:color w:val="231F20"/>
                <w:spacing w:val="5"/>
                <w:sz w:val="21"/>
              </w:rPr>
              <w:t> </w:t>
            </w:r>
            <w:r>
              <w:rPr>
                <w:rFonts w:ascii="Times New Roman"/>
                <w:color w:val="231F20"/>
                <w:w w:val="90"/>
                <w:sz w:val="21"/>
              </w:rPr>
              <w:t>survey</w:t>
            </w:r>
            <w:r>
              <w:rPr>
                <w:rFonts w:ascii="Times New Roman"/>
                <w:color w:val="231F20"/>
                <w:spacing w:val="6"/>
                <w:sz w:val="21"/>
              </w:rPr>
              <w:t> </w:t>
            </w:r>
            <w:r>
              <w:rPr>
                <w:rFonts w:ascii="Times New Roman"/>
                <w:color w:val="231F20"/>
                <w:w w:val="90"/>
                <w:sz w:val="21"/>
              </w:rPr>
              <w:t>question</w:t>
            </w:r>
            <w:r>
              <w:rPr>
                <w:rFonts w:ascii="Times New Roman"/>
                <w:color w:val="231F20"/>
                <w:spacing w:val="5"/>
                <w:sz w:val="21"/>
              </w:rPr>
              <w:t> </w:t>
            </w:r>
            <w:r>
              <w:rPr>
                <w:rFonts w:ascii="Times New Roman"/>
                <w:color w:val="231F20"/>
                <w:w w:val="90"/>
                <w:sz w:val="21"/>
              </w:rPr>
              <w:t>on</w:t>
            </w:r>
            <w:r>
              <w:rPr>
                <w:rFonts w:ascii="Times New Roman"/>
                <w:color w:val="231F20"/>
                <w:spacing w:val="6"/>
                <w:sz w:val="21"/>
              </w:rPr>
              <w:t> </w:t>
            </w:r>
            <w:r>
              <w:rPr>
                <w:rFonts w:ascii="Times New Roman"/>
                <w:color w:val="231F20"/>
                <w:w w:val="90"/>
                <w:sz w:val="21"/>
              </w:rPr>
              <w:t>supply</w:t>
            </w:r>
            <w:r>
              <w:rPr>
                <w:rFonts w:ascii="Times New Roman"/>
                <w:color w:val="231F20"/>
                <w:spacing w:val="5"/>
                <w:sz w:val="21"/>
              </w:rPr>
              <w:t> </w:t>
            </w:r>
            <w:r>
              <w:rPr>
                <w:rFonts w:ascii="Times New Roman"/>
                <w:color w:val="231F20"/>
                <w:w w:val="90"/>
                <w:sz w:val="21"/>
              </w:rPr>
              <w:t>chain</w:t>
            </w:r>
            <w:r>
              <w:rPr>
                <w:rFonts w:ascii="Times New Roman"/>
                <w:color w:val="231F20"/>
                <w:spacing w:val="6"/>
                <w:sz w:val="21"/>
              </w:rPr>
              <w:t> </w:t>
            </w:r>
            <w:r>
              <w:rPr>
                <w:rFonts w:ascii="Times New Roman"/>
                <w:color w:val="231F20"/>
                <w:spacing w:val="-2"/>
                <w:w w:val="90"/>
                <w:sz w:val="21"/>
              </w:rPr>
              <w:t>disruptions</w:t>
            </w:r>
            <w:r>
              <w:rPr>
                <w:rFonts w:ascii="Times New Roman"/>
                <w:color w:val="231F20"/>
                <w:sz w:val="21"/>
              </w:rPr>
              <w:tab/>
            </w:r>
            <w:r>
              <w:rPr>
                <w:rFonts w:ascii="Times New Roman"/>
                <w:color w:val="231F20"/>
                <w:spacing w:val="-5"/>
                <w:sz w:val="21"/>
              </w:rPr>
              <w:t>10</w:t>
            </w:r>
          </w:p>
        </w:tc>
        <w:tc>
          <w:tcPr>
            <w:tcW w:w="559" w:type="dxa"/>
            <w:vMerge/>
            <w:tcBorders>
              <w:top w:val="nil"/>
            </w:tcBorders>
          </w:tcPr>
          <w:p>
            <w:pPr>
              <w:rPr>
                <w:sz w:val="2"/>
                <w:szCs w:val="2"/>
              </w:rPr>
            </w:pPr>
          </w:p>
        </w:tc>
      </w:tr>
      <w:tr>
        <w:trPr>
          <w:trHeight w:val="270" w:hRule="atLeast"/>
        </w:trPr>
        <w:tc>
          <w:tcPr>
            <w:tcW w:w="451" w:type="dxa"/>
          </w:tcPr>
          <w:p>
            <w:pPr>
              <w:pStyle w:val="TableParagraph"/>
              <w:spacing w:before="0"/>
              <w:ind w:left="12" w:right="109"/>
              <w:rPr>
                <w:rFonts w:ascii="Times New Roman"/>
                <w:sz w:val="21"/>
              </w:rPr>
            </w:pPr>
            <w:r>
              <w:rPr>
                <w:rFonts w:ascii="Times New Roman"/>
                <w:color w:val="231F20"/>
                <w:spacing w:val="-5"/>
                <w:sz w:val="21"/>
              </w:rPr>
              <w:t>2.1</w:t>
            </w:r>
          </w:p>
        </w:tc>
        <w:tc>
          <w:tcPr>
            <w:tcW w:w="6316" w:type="dxa"/>
          </w:tcPr>
          <w:p>
            <w:pPr>
              <w:pStyle w:val="TableParagraph"/>
              <w:tabs>
                <w:tab w:pos="3381" w:val="right" w:leader="none"/>
              </w:tabs>
              <w:spacing w:before="0"/>
              <w:ind w:left="138"/>
              <w:jc w:val="left"/>
              <w:rPr>
                <w:rFonts w:ascii="Times New Roman"/>
                <w:sz w:val="21"/>
              </w:rPr>
            </w:pPr>
            <w:r>
              <w:rPr>
                <w:rFonts w:ascii="Times New Roman"/>
                <w:color w:val="231F20"/>
                <w:w w:val="90"/>
                <w:sz w:val="21"/>
              </w:rPr>
              <w:t>The</w:t>
            </w:r>
            <w:r>
              <w:rPr>
                <w:rFonts w:ascii="Times New Roman"/>
                <w:color w:val="231F20"/>
                <w:spacing w:val="2"/>
                <w:sz w:val="21"/>
              </w:rPr>
              <w:t> </w:t>
            </w:r>
            <w:r>
              <w:rPr>
                <w:rFonts w:ascii="Times New Roman"/>
                <w:color w:val="231F20"/>
                <w:w w:val="90"/>
                <w:sz w:val="21"/>
              </w:rPr>
              <w:t>six</w:t>
            </w:r>
            <w:r>
              <w:rPr>
                <w:rFonts w:ascii="Times New Roman"/>
                <w:color w:val="231F20"/>
                <w:spacing w:val="2"/>
                <w:sz w:val="21"/>
              </w:rPr>
              <w:t> </w:t>
            </w:r>
            <w:r>
              <w:rPr>
                <w:rFonts w:ascii="Times New Roman"/>
                <w:color w:val="231F20"/>
                <w:w w:val="90"/>
                <w:sz w:val="21"/>
              </w:rPr>
              <w:t>components</w:t>
            </w:r>
            <w:r>
              <w:rPr>
                <w:rFonts w:ascii="Times New Roman"/>
                <w:color w:val="231F20"/>
                <w:spacing w:val="3"/>
                <w:sz w:val="21"/>
              </w:rPr>
              <w:t> </w:t>
            </w:r>
            <w:r>
              <w:rPr>
                <w:rFonts w:ascii="Times New Roman"/>
                <w:color w:val="231F20"/>
                <w:w w:val="90"/>
                <w:sz w:val="21"/>
              </w:rPr>
              <w:t>of</w:t>
            </w:r>
            <w:r>
              <w:rPr>
                <w:rFonts w:ascii="Times New Roman"/>
                <w:color w:val="231F20"/>
                <w:spacing w:val="2"/>
                <w:sz w:val="21"/>
              </w:rPr>
              <w:t> </w:t>
            </w:r>
            <w:r>
              <w:rPr>
                <w:rFonts w:ascii="Times New Roman"/>
                <w:color w:val="231F20"/>
                <w:w w:val="90"/>
                <w:sz w:val="21"/>
              </w:rPr>
              <w:t>the</w:t>
            </w:r>
            <w:r>
              <w:rPr>
                <w:rFonts w:ascii="Times New Roman"/>
                <w:color w:val="231F20"/>
                <w:spacing w:val="2"/>
                <w:sz w:val="21"/>
              </w:rPr>
              <w:t> </w:t>
            </w:r>
            <w:r>
              <w:rPr>
                <w:rFonts w:ascii="Times New Roman"/>
                <w:color w:val="231F20"/>
                <w:spacing w:val="-5"/>
                <w:w w:val="90"/>
                <w:sz w:val="21"/>
              </w:rPr>
              <w:t>LPI</w:t>
            </w:r>
            <w:r>
              <w:rPr>
                <w:rFonts w:ascii="Times New Roman"/>
                <w:color w:val="231F20"/>
                <w:sz w:val="21"/>
              </w:rPr>
              <w:tab/>
            </w:r>
            <w:r>
              <w:rPr>
                <w:rFonts w:ascii="Times New Roman"/>
                <w:color w:val="231F20"/>
                <w:spacing w:val="-5"/>
                <w:sz w:val="21"/>
              </w:rPr>
              <w:t>12</w:t>
            </w:r>
          </w:p>
        </w:tc>
        <w:tc>
          <w:tcPr>
            <w:tcW w:w="559" w:type="dxa"/>
            <w:vMerge/>
            <w:tcBorders>
              <w:top w:val="nil"/>
            </w:tcBorders>
          </w:tcPr>
          <w:p>
            <w:pPr>
              <w:rPr>
                <w:sz w:val="2"/>
                <w:szCs w:val="2"/>
              </w:rPr>
            </w:pPr>
          </w:p>
        </w:tc>
      </w:tr>
      <w:tr>
        <w:trPr>
          <w:trHeight w:val="270" w:hRule="atLeast"/>
        </w:trPr>
        <w:tc>
          <w:tcPr>
            <w:tcW w:w="451" w:type="dxa"/>
          </w:tcPr>
          <w:p>
            <w:pPr>
              <w:pStyle w:val="TableParagraph"/>
              <w:spacing w:before="0"/>
              <w:ind w:left="22" w:right="109"/>
              <w:rPr>
                <w:rFonts w:ascii="Times New Roman"/>
                <w:sz w:val="21"/>
              </w:rPr>
            </w:pPr>
            <w:r>
              <w:rPr>
                <w:rFonts w:ascii="Times New Roman"/>
                <w:color w:val="231F20"/>
                <w:spacing w:val="-5"/>
                <w:sz w:val="21"/>
              </w:rPr>
              <w:t>2.2</w:t>
            </w:r>
          </w:p>
        </w:tc>
        <w:tc>
          <w:tcPr>
            <w:tcW w:w="6316" w:type="dxa"/>
          </w:tcPr>
          <w:p>
            <w:pPr>
              <w:pStyle w:val="TableParagraph"/>
              <w:tabs>
                <w:tab w:pos="3157" w:val="right" w:leader="none"/>
              </w:tabs>
              <w:spacing w:before="0"/>
              <w:ind w:left="138"/>
              <w:jc w:val="left"/>
              <w:rPr>
                <w:rFonts w:ascii="Times New Roman"/>
                <w:sz w:val="21"/>
              </w:rPr>
            </w:pPr>
            <w:r>
              <w:rPr>
                <w:rFonts w:ascii="Times New Roman"/>
                <w:color w:val="231F20"/>
                <w:w w:val="90"/>
                <w:sz w:val="21"/>
              </w:rPr>
              <w:t>How</w:t>
            </w:r>
            <w:r>
              <w:rPr>
                <w:rFonts w:ascii="Times New Roman"/>
                <w:color w:val="231F20"/>
                <w:spacing w:val="1"/>
                <w:sz w:val="21"/>
              </w:rPr>
              <w:t> </w:t>
            </w:r>
            <w:r>
              <w:rPr>
                <w:rFonts w:ascii="Times New Roman"/>
                <w:color w:val="231F20"/>
                <w:w w:val="90"/>
                <w:sz w:val="21"/>
              </w:rPr>
              <w:t>precise</w:t>
            </w:r>
            <w:r>
              <w:rPr>
                <w:rFonts w:ascii="Times New Roman"/>
                <w:color w:val="231F20"/>
                <w:spacing w:val="2"/>
                <w:sz w:val="21"/>
              </w:rPr>
              <w:t> </w:t>
            </w:r>
            <w:r>
              <w:rPr>
                <w:rFonts w:ascii="Times New Roman"/>
                <w:color w:val="231F20"/>
                <w:w w:val="90"/>
                <w:sz w:val="21"/>
              </w:rPr>
              <w:t>are</w:t>
            </w:r>
            <w:r>
              <w:rPr>
                <w:rFonts w:ascii="Times New Roman"/>
                <w:color w:val="231F20"/>
                <w:spacing w:val="2"/>
                <w:sz w:val="21"/>
              </w:rPr>
              <w:t> </w:t>
            </w:r>
            <w:r>
              <w:rPr>
                <w:rFonts w:ascii="Times New Roman"/>
                <w:color w:val="231F20"/>
                <w:w w:val="90"/>
                <w:sz w:val="21"/>
              </w:rPr>
              <w:t>LPI</w:t>
            </w:r>
            <w:r>
              <w:rPr>
                <w:rFonts w:ascii="Times New Roman"/>
                <w:color w:val="231F20"/>
                <w:spacing w:val="1"/>
                <w:sz w:val="21"/>
              </w:rPr>
              <w:t> </w:t>
            </w:r>
            <w:r>
              <w:rPr>
                <w:rFonts w:ascii="Times New Roman"/>
                <w:color w:val="231F20"/>
                <w:spacing w:val="-2"/>
                <w:w w:val="90"/>
                <w:sz w:val="21"/>
              </w:rPr>
              <w:t>scores?</w:t>
            </w:r>
            <w:r>
              <w:rPr>
                <w:rFonts w:ascii="Times New Roman"/>
                <w:color w:val="231F20"/>
                <w:sz w:val="21"/>
              </w:rPr>
              <w:tab/>
            </w:r>
            <w:r>
              <w:rPr>
                <w:rFonts w:ascii="Times New Roman"/>
                <w:color w:val="231F20"/>
                <w:spacing w:val="-5"/>
                <w:sz w:val="21"/>
              </w:rPr>
              <w:t>13</w:t>
            </w:r>
          </w:p>
        </w:tc>
        <w:tc>
          <w:tcPr>
            <w:tcW w:w="559" w:type="dxa"/>
            <w:vMerge/>
            <w:tcBorders>
              <w:top w:val="nil"/>
            </w:tcBorders>
          </w:tcPr>
          <w:p>
            <w:pPr>
              <w:rPr>
                <w:sz w:val="2"/>
                <w:szCs w:val="2"/>
              </w:rPr>
            </w:pPr>
          </w:p>
        </w:tc>
      </w:tr>
      <w:tr>
        <w:trPr>
          <w:trHeight w:val="270" w:hRule="atLeast"/>
        </w:trPr>
        <w:tc>
          <w:tcPr>
            <w:tcW w:w="451" w:type="dxa"/>
          </w:tcPr>
          <w:p>
            <w:pPr>
              <w:pStyle w:val="TableParagraph"/>
              <w:spacing w:before="0"/>
              <w:ind w:left="5" w:right="109"/>
              <w:rPr>
                <w:rFonts w:ascii="Times New Roman"/>
                <w:sz w:val="21"/>
              </w:rPr>
            </w:pPr>
            <w:r>
              <w:rPr>
                <w:rFonts w:ascii="Times New Roman"/>
                <w:color w:val="231F20"/>
                <w:spacing w:val="-5"/>
                <w:sz w:val="21"/>
              </w:rPr>
              <w:t>3.1</w:t>
            </w:r>
          </w:p>
        </w:tc>
        <w:tc>
          <w:tcPr>
            <w:tcW w:w="6316" w:type="dxa"/>
          </w:tcPr>
          <w:p>
            <w:pPr>
              <w:pStyle w:val="TableParagraph"/>
              <w:spacing w:before="0"/>
              <w:ind w:left="138"/>
              <w:jc w:val="left"/>
              <w:rPr>
                <w:rFonts w:ascii="Times New Roman"/>
                <w:sz w:val="21"/>
              </w:rPr>
            </w:pPr>
            <w:r>
              <w:rPr>
                <w:rFonts w:ascii="Times New Roman"/>
                <w:color w:val="231F20"/>
                <w:w w:val="90"/>
                <w:sz w:val="21"/>
              </w:rPr>
              <w:t>Measuring</w:t>
            </w:r>
            <w:r>
              <w:rPr>
                <w:rFonts w:ascii="Times New Roman"/>
                <w:color w:val="231F20"/>
                <w:spacing w:val="18"/>
                <w:sz w:val="21"/>
              </w:rPr>
              <w:t> </w:t>
            </w:r>
            <w:r>
              <w:rPr>
                <w:rFonts w:ascii="Times New Roman"/>
                <w:color w:val="231F20"/>
                <w:w w:val="90"/>
                <w:sz w:val="21"/>
              </w:rPr>
              <w:t>performance</w:t>
            </w:r>
            <w:r>
              <w:rPr>
                <w:rFonts w:ascii="Times New Roman"/>
                <w:color w:val="231F20"/>
                <w:spacing w:val="18"/>
                <w:sz w:val="21"/>
              </w:rPr>
              <w:t> </w:t>
            </w:r>
            <w:r>
              <w:rPr>
                <w:rFonts w:ascii="Times New Roman"/>
                <w:color w:val="231F20"/>
                <w:w w:val="90"/>
                <w:sz w:val="21"/>
              </w:rPr>
              <w:t>using</w:t>
            </w:r>
            <w:r>
              <w:rPr>
                <w:rFonts w:ascii="Times New Roman"/>
                <w:color w:val="231F20"/>
                <w:spacing w:val="18"/>
                <w:sz w:val="21"/>
              </w:rPr>
              <w:t> </w:t>
            </w:r>
            <w:r>
              <w:rPr>
                <w:rFonts w:ascii="Times New Roman"/>
                <w:color w:val="231F20"/>
                <w:w w:val="90"/>
                <w:sz w:val="21"/>
              </w:rPr>
              <w:t>tracking</w:t>
            </w:r>
            <w:r>
              <w:rPr>
                <w:rFonts w:ascii="Times New Roman"/>
                <w:color w:val="231F20"/>
                <w:spacing w:val="19"/>
                <w:sz w:val="21"/>
              </w:rPr>
              <w:t> </w:t>
            </w:r>
            <w:r>
              <w:rPr>
                <w:rFonts w:ascii="Times New Roman"/>
                <w:color w:val="231F20"/>
                <w:w w:val="90"/>
                <w:sz w:val="21"/>
              </w:rPr>
              <w:t>indicators:</w:t>
            </w:r>
            <w:r>
              <w:rPr>
                <w:rFonts w:ascii="Times New Roman"/>
                <w:color w:val="231F20"/>
                <w:spacing w:val="18"/>
                <w:sz w:val="21"/>
              </w:rPr>
              <w:t> </w:t>
            </w:r>
            <w:r>
              <w:rPr>
                <w:rFonts w:ascii="Times New Roman"/>
                <w:color w:val="231F20"/>
                <w:w w:val="90"/>
                <w:sz w:val="21"/>
              </w:rPr>
              <w:t>Sources</w:t>
            </w:r>
            <w:r>
              <w:rPr>
                <w:rFonts w:ascii="Times New Roman"/>
                <w:color w:val="231F20"/>
                <w:spacing w:val="18"/>
                <w:sz w:val="21"/>
              </w:rPr>
              <w:t> </w:t>
            </w:r>
            <w:r>
              <w:rPr>
                <w:rFonts w:ascii="Times New Roman"/>
                <w:color w:val="231F20"/>
                <w:w w:val="90"/>
                <w:sz w:val="21"/>
              </w:rPr>
              <w:t>and</w:t>
            </w:r>
            <w:r>
              <w:rPr>
                <w:rFonts w:ascii="Times New Roman"/>
                <w:color w:val="231F20"/>
                <w:spacing w:val="19"/>
                <w:sz w:val="21"/>
              </w:rPr>
              <w:t> </w:t>
            </w:r>
            <w:r>
              <w:rPr>
                <w:rFonts w:ascii="Times New Roman"/>
                <w:color w:val="231F20"/>
                <w:spacing w:val="-2"/>
                <w:w w:val="90"/>
                <w:sz w:val="21"/>
              </w:rPr>
              <w:t>definitions</w:t>
            </w:r>
          </w:p>
        </w:tc>
        <w:tc>
          <w:tcPr>
            <w:tcW w:w="559" w:type="dxa"/>
          </w:tcPr>
          <w:p>
            <w:pPr>
              <w:pStyle w:val="TableParagraph"/>
              <w:spacing w:before="0"/>
              <w:ind w:left="314"/>
              <w:jc w:val="left"/>
              <w:rPr>
                <w:rFonts w:ascii="Times New Roman"/>
                <w:sz w:val="21"/>
              </w:rPr>
            </w:pPr>
            <w:r>
              <w:rPr>
                <w:rFonts w:ascii="Times New Roman"/>
                <w:color w:val="231F20"/>
                <w:spacing w:val="-5"/>
                <w:sz w:val="21"/>
              </w:rPr>
              <w:t>19</w:t>
            </w:r>
          </w:p>
        </w:tc>
      </w:tr>
      <w:tr>
        <w:trPr>
          <w:trHeight w:val="266" w:hRule="atLeast"/>
        </w:trPr>
        <w:tc>
          <w:tcPr>
            <w:tcW w:w="451" w:type="dxa"/>
          </w:tcPr>
          <w:p>
            <w:pPr>
              <w:pStyle w:val="TableParagraph"/>
              <w:spacing w:before="0"/>
              <w:ind w:left="5" w:right="98"/>
              <w:rPr>
                <w:rFonts w:ascii="Times New Roman"/>
                <w:sz w:val="21"/>
              </w:rPr>
            </w:pPr>
            <w:r>
              <w:rPr>
                <w:rFonts w:ascii="Times New Roman"/>
                <w:color w:val="231F20"/>
                <w:spacing w:val="-5"/>
                <w:sz w:val="21"/>
              </w:rPr>
              <w:t>3.2</w:t>
            </w:r>
          </w:p>
        </w:tc>
        <w:tc>
          <w:tcPr>
            <w:tcW w:w="6316" w:type="dxa"/>
          </w:tcPr>
          <w:p>
            <w:pPr>
              <w:pStyle w:val="TableParagraph"/>
              <w:tabs>
                <w:tab w:pos="5829" w:val="right" w:leader="none"/>
              </w:tabs>
              <w:spacing w:before="0"/>
              <w:ind w:left="138"/>
              <w:jc w:val="left"/>
              <w:rPr>
                <w:rFonts w:ascii="Times New Roman"/>
                <w:sz w:val="21"/>
              </w:rPr>
            </w:pPr>
            <w:r>
              <w:rPr>
                <w:rFonts w:ascii="Times New Roman"/>
                <w:color w:val="231F20"/>
                <w:w w:val="90"/>
                <w:sz w:val="21"/>
              </w:rPr>
              <w:t>India:</w:t>
            </w:r>
            <w:r>
              <w:rPr>
                <w:rFonts w:ascii="Times New Roman"/>
                <w:color w:val="231F20"/>
                <w:spacing w:val="17"/>
                <w:sz w:val="21"/>
              </w:rPr>
              <w:t> </w:t>
            </w:r>
            <w:r>
              <w:rPr>
                <w:rFonts w:ascii="Times New Roman"/>
                <w:color w:val="231F20"/>
                <w:w w:val="90"/>
                <w:sz w:val="21"/>
              </w:rPr>
              <w:t>Boosting</w:t>
            </w:r>
            <w:r>
              <w:rPr>
                <w:rFonts w:ascii="Times New Roman"/>
                <w:color w:val="231F20"/>
                <w:spacing w:val="18"/>
                <w:sz w:val="21"/>
              </w:rPr>
              <w:t> </w:t>
            </w:r>
            <w:r>
              <w:rPr>
                <w:rFonts w:ascii="Times New Roman"/>
                <w:color w:val="231F20"/>
                <w:w w:val="90"/>
                <w:sz w:val="21"/>
              </w:rPr>
              <w:t>performance</w:t>
            </w:r>
            <w:r>
              <w:rPr>
                <w:rFonts w:ascii="Times New Roman"/>
                <w:color w:val="231F20"/>
                <w:spacing w:val="18"/>
                <w:sz w:val="21"/>
              </w:rPr>
              <w:t> </w:t>
            </w:r>
            <w:r>
              <w:rPr>
                <w:rFonts w:ascii="Times New Roman"/>
                <w:color w:val="231F20"/>
                <w:w w:val="90"/>
                <w:sz w:val="21"/>
              </w:rPr>
              <w:t>with</w:t>
            </w:r>
            <w:r>
              <w:rPr>
                <w:rFonts w:ascii="Times New Roman"/>
                <w:color w:val="231F20"/>
                <w:spacing w:val="18"/>
                <w:sz w:val="21"/>
              </w:rPr>
              <w:t> </w:t>
            </w:r>
            <w:r>
              <w:rPr>
                <w:rFonts w:ascii="Times New Roman"/>
                <w:color w:val="231F20"/>
                <w:w w:val="90"/>
                <w:sz w:val="21"/>
              </w:rPr>
              <w:t>supply</w:t>
            </w:r>
            <w:r>
              <w:rPr>
                <w:rFonts w:ascii="Times New Roman"/>
                <w:color w:val="231F20"/>
                <w:spacing w:val="18"/>
                <w:sz w:val="21"/>
              </w:rPr>
              <w:t> </w:t>
            </w:r>
            <w:r>
              <w:rPr>
                <w:rFonts w:ascii="Times New Roman"/>
                <w:color w:val="231F20"/>
                <w:w w:val="90"/>
                <w:sz w:val="21"/>
              </w:rPr>
              <w:t>chain</w:t>
            </w:r>
            <w:r>
              <w:rPr>
                <w:rFonts w:ascii="Times New Roman"/>
                <w:color w:val="231F20"/>
                <w:spacing w:val="18"/>
                <w:sz w:val="21"/>
              </w:rPr>
              <w:t> </w:t>
            </w:r>
            <w:r>
              <w:rPr>
                <w:rFonts w:ascii="Times New Roman"/>
                <w:color w:val="231F20"/>
                <w:spacing w:val="-2"/>
                <w:w w:val="90"/>
                <w:sz w:val="21"/>
              </w:rPr>
              <w:t>digitalization</w:t>
            </w:r>
            <w:r>
              <w:rPr>
                <w:rFonts w:ascii="Times New Roman"/>
                <w:color w:val="231F20"/>
                <w:sz w:val="21"/>
              </w:rPr>
              <w:tab/>
            </w:r>
            <w:r>
              <w:rPr>
                <w:rFonts w:ascii="Times New Roman"/>
                <w:color w:val="231F20"/>
                <w:spacing w:val="-5"/>
                <w:w w:val="95"/>
                <w:sz w:val="21"/>
              </w:rPr>
              <w:t>22</w:t>
            </w:r>
          </w:p>
        </w:tc>
        <w:tc>
          <w:tcPr>
            <w:tcW w:w="559" w:type="dxa"/>
          </w:tcPr>
          <w:p>
            <w:pPr>
              <w:pStyle w:val="TableParagraph"/>
              <w:spacing w:before="0"/>
              <w:jc w:val="left"/>
              <w:rPr>
                <w:rFonts w:ascii="Times New Roman"/>
                <w:sz w:val="18"/>
              </w:rPr>
            </w:pPr>
          </w:p>
        </w:tc>
      </w:tr>
    </w:tbl>
    <w:p>
      <w:pPr>
        <w:pStyle w:val="BodyText"/>
        <w:spacing w:before="74"/>
        <w:rPr>
          <w:rFonts w:ascii="Arial"/>
          <w:sz w:val="19"/>
        </w:rPr>
      </w:pPr>
    </w:p>
    <w:p>
      <w:pPr>
        <w:spacing w:before="0"/>
        <w:ind w:left="720" w:right="0" w:firstLine="0"/>
        <w:jc w:val="left"/>
        <w:rPr>
          <w:rFonts w:ascii="Arial"/>
          <w:sz w:val="19"/>
        </w:rPr>
      </w:pPr>
      <w:r>
        <w:rPr>
          <w:rFonts w:ascii="Arial"/>
          <w:color w:val="008FDD"/>
          <w:spacing w:val="-2"/>
          <w:sz w:val="19"/>
        </w:rPr>
        <w:t>Figures</w:t>
      </w:r>
    </w:p>
    <w:p>
      <w:pPr>
        <w:pStyle w:val="ListParagraph"/>
        <w:numPr>
          <w:ilvl w:val="0"/>
          <w:numId w:val="3"/>
        </w:numPr>
        <w:tabs>
          <w:tab w:pos="1259" w:val="left" w:leader="none"/>
          <w:tab w:pos="4750" w:val="left" w:leader="none"/>
        </w:tabs>
        <w:spacing w:line="240" w:lineRule="auto" w:before="33" w:after="0"/>
        <w:ind w:left="1259" w:right="0" w:hanging="539"/>
        <w:jc w:val="left"/>
        <w:rPr>
          <w:rFonts w:ascii="Times New Roman" w:hAnsi="Times New Roman"/>
          <w:sz w:val="21"/>
        </w:rPr>
      </w:pPr>
      <w:r>
        <w:rPr>
          <w:rFonts w:ascii="Times New Roman" w:hAnsi="Times New Roman"/>
          <w:color w:val="231F20"/>
          <w:spacing w:val="-6"/>
          <w:sz w:val="21"/>
        </w:rPr>
        <w:t>Distribution of LPI scores, 2012–23</w:t>
      </w:r>
      <w:r>
        <w:rPr>
          <w:rFonts w:ascii="Times New Roman" w:hAnsi="Times New Roman"/>
          <w:color w:val="231F20"/>
          <w:sz w:val="21"/>
        </w:rPr>
        <w:tab/>
      </w:r>
      <w:r>
        <w:rPr>
          <w:rFonts w:ascii="Times New Roman" w:hAnsi="Times New Roman"/>
          <w:color w:val="231F20"/>
          <w:spacing w:val="-10"/>
          <w:sz w:val="21"/>
        </w:rPr>
        <w:t>2</w:t>
      </w:r>
    </w:p>
    <w:p>
      <w:pPr>
        <w:pStyle w:val="ListParagraph"/>
        <w:numPr>
          <w:ilvl w:val="0"/>
          <w:numId w:val="3"/>
        </w:numPr>
        <w:tabs>
          <w:tab w:pos="1260" w:val="left" w:leader="none"/>
          <w:tab w:pos="2303" w:val="left" w:leader="none"/>
        </w:tabs>
        <w:spacing w:line="268" w:lineRule="auto" w:before="29" w:after="0"/>
        <w:ind w:left="1260" w:right="1443" w:hanging="540"/>
        <w:jc w:val="left"/>
        <w:rPr>
          <w:rFonts w:ascii="Times New Roman" w:hAnsi="Times New Roman"/>
          <w:sz w:val="21"/>
        </w:rPr>
      </w:pPr>
      <w:r>
        <w:rPr>
          <w:rFonts w:ascii="Times New Roman" w:hAnsi="Times New Roman"/>
          <w:color w:val="231F20"/>
          <w:spacing w:val="-4"/>
          <w:sz w:val="21"/>
        </w:rPr>
        <w:t>Dispersion</w:t>
      </w:r>
      <w:r>
        <w:rPr>
          <w:rFonts w:ascii="Times New Roman" w:hAnsi="Times New Roman"/>
          <w:color w:val="231F20"/>
          <w:spacing w:val="-10"/>
          <w:sz w:val="21"/>
        </w:rPr>
        <w:t> </w:t>
      </w:r>
      <w:r>
        <w:rPr>
          <w:rFonts w:ascii="Times New Roman" w:hAnsi="Times New Roman"/>
          <w:color w:val="231F20"/>
          <w:spacing w:val="-4"/>
          <w:sz w:val="21"/>
        </w:rPr>
        <w:t>of</w:t>
      </w:r>
      <w:r>
        <w:rPr>
          <w:rFonts w:ascii="Times New Roman" w:hAnsi="Times New Roman"/>
          <w:color w:val="231F20"/>
          <w:spacing w:val="-10"/>
          <w:sz w:val="21"/>
        </w:rPr>
        <w:t> </w:t>
      </w:r>
      <w:r>
        <w:rPr>
          <w:rFonts w:ascii="Times New Roman" w:hAnsi="Times New Roman"/>
          <w:color w:val="231F20"/>
          <w:spacing w:val="-4"/>
          <w:sz w:val="21"/>
        </w:rPr>
        <w:t>time</w:t>
      </w:r>
      <w:r>
        <w:rPr>
          <w:rFonts w:ascii="Times New Roman" w:hAnsi="Times New Roman"/>
          <w:color w:val="231F20"/>
          <w:spacing w:val="-10"/>
          <w:sz w:val="21"/>
        </w:rPr>
        <w:t> </w:t>
      </w:r>
      <w:r>
        <w:rPr>
          <w:rFonts w:ascii="Times New Roman" w:hAnsi="Times New Roman"/>
          <w:color w:val="231F20"/>
          <w:spacing w:val="-4"/>
          <w:sz w:val="21"/>
        </w:rPr>
        <w:t>spent</w:t>
      </w:r>
      <w:r>
        <w:rPr>
          <w:rFonts w:ascii="Times New Roman" w:hAnsi="Times New Roman"/>
          <w:color w:val="231F20"/>
          <w:spacing w:val="-10"/>
          <w:sz w:val="21"/>
        </w:rPr>
        <w:t> </w:t>
      </w:r>
      <w:r>
        <w:rPr>
          <w:rFonts w:ascii="Times New Roman" w:hAnsi="Times New Roman"/>
          <w:color w:val="231F20"/>
          <w:spacing w:val="-4"/>
          <w:sz w:val="21"/>
        </w:rPr>
        <w:t>at</w:t>
      </w:r>
      <w:r>
        <w:rPr>
          <w:rFonts w:ascii="Times New Roman" w:hAnsi="Times New Roman"/>
          <w:color w:val="231F20"/>
          <w:spacing w:val="-10"/>
          <w:sz w:val="21"/>
        </w:rPr>
        <w:t> </w:t>
      </w:r>
      <w:r>
        <w:rPr>
          <w:rFonts w:ascii="Times New Roman" w:hAnsi="Times New Roman"/>
          <w:color w:val="231F20"/>
          <w:spacing w:val="-4"/>
          <w:sz w:val="21"/>
        </w:rPr>
        <w:t>port:</w:t>
      </w:r>
      <w:r>
        <w:rPr>
          <w:rFonts w:ascii="Times New Roman" w:hAnsi="Times New Roman"/>
          <w:color w:val="231F20"/>
          <w:spacing w:val="-10"/>
          <w:sz w:val="21"/>
        </w:rPr>
        <w:t> </w:t>
      </w:r>
      <w:r>
        <w:rPr>
          <w:rFonts w:ascii="Times New Roman" w:hAnsi="Times New Roman"/>
          <w:color w:val="231F20"/>
          <w:spacing w:val="-4"/>
          <w:sz w:val="21"/>
        </w:rPr>
        <w:t>Long</w:t>
      </w:r>
      <w:r>
        <w:rPr>
          <w:rFonts w:ascii="Times New Roman" w:hAnsi="Times New Roman"/>
          <w:color w:val="231F20"/>
          <w:spacing w:val="-10"/>
          <w:sz w:val="21"/>
        </w:rPr>
        <w:t> </w:t>
      </w:r>
      <w:r>
        <w:rPr>
          <w:rFonts w:ascii="Times New Roman" w:hAnsi="Times New Roman"/>
          <w:color w:val="231F20"/>
          <w:spacing w:val="-4"/>
          <w:sz w:val="21"/>
        </w:rPr>
        <w:t>tail</w:t>
      </w:r>
      <w:r>
        <w:rPr>
          <w:rFonts w:ascii="Times New Roman" w:hAnsi="Times New Roman"/>
          <w:color w:val="231F20"/>
          <w:spacing w:val="-10"/>
          <w:sz w:val="21"/>
        </w:rPr>
        <w:t> </w:t>
      </w:r>
      <w:r>
        <w:rPr>
          <w:rFonts w:ascii="Times New Roman" w:hAnsi="Times New Roman"/>
          <w:color w:val="231F20"/>
          <w:spacing w:val="-4"/>
          <w:sz w:val="21"/>
        </w:rPr>
        <w:t>distribution</w:t>
      </w:r>
      <w:r>
        <w:rPr>
          <w:rFonts w:ascii="Times New Roman" w:hAnsi="Times New Roman"/>
          <w:color w:val="231F20"/>
          <w:spacing w:val="-10"/>
          <w:sz w:val="21"/>
        </w:rPr>
        <w:t> </w:t>
      </w:r>
      <w:r>
        <w:rPr>
          <w:rFonts w:ascii="Times New Roman" w:hAnsi="Times New Roman"/>
          <w:color w:val="231F20"/>
          <w:spacing w:val="-4"/>
          <w:sz w:val="21"/>
        </w:rPr>
        <w:t>of</w:t>
      </w:r>
      <w:r>
        <w:rPr>
          <w:rFonts w:ascii="Times New Roman" w:hAnsi="Times New Roman"/>
          <w:color w:val="231F20"/>
          <w:spacing w:val="-10"/>
          <w:sz w:val="21"/>
        </w:rPr>
        <w:t> </w:t>
      </w:r>
      <w:r>
        <w:rPr>
          <w:rFonts w:ascii="Times New Roman" w:hAnsi="Times New Roman"/>
          <w:color w:val="231F20"/>
          <w:spacing w:val="-4"/>
          <w:sz w:val="21"/>
        </w:rPr>
        <w:t>containers</w:t>
      </w:r>
      <w:r>
        <w:rPr>
          <w:rFonts w:ascii="Times New Roman" w:hAnsi="Times New Roman"/>
          <w:color w:val="231F20"/>
          <w:spacing w:val="-10"/>
          <w:sz w:val="21"/>
        </w:rPr>
        <w:t> </w:t>
      </w:r>
      <w:r>
        <w:rPr>
          <w:rFonts w:ascii="Times New Roman" w:hAnsi="Times New Roman"/>
          <w:color w:val="231F20"/>
          <w:spacing w:val="-4"/>
          <w:sz w:val="21"/>
        </w:rPr>
        <w:t>in</w:t>
      </w:r>
      <w:r>
        <w:rPr>
          <w:rFonts w:ascii="Times New Roman" w:hAnsi="Times New Roman"/>
          <w:color w:val="231F20"/>
          <w:spacing w:val="-10"/>
          <w:sz w:val="21"/>
        </w:rPr>
        <w:t> </w:t>
      </w:r>
      <w:r>
        <w:rPr>
          <w:rFonts w:ascii="Times New Roman" w:hAnsi="Times New Roman"/>
          <w:color w:val="231F20"/>
          <w:spacing w:val="-4"/>
          <w:sz w:val="21"/>
        </w:rPr>
        <w:t>the</w:t>
      </w:r>
      <w:r>
        <w:rPr>
          <w:rFonts w:ascii="Times New Roman" w:hAnsi="Times New Roman"/>
          <w:color w:val="231F20"/>
          <w:spacing w:val="-10"/>
          <w:sz w:val="21"/>
        </w:rPr>
        <w:t> </w:t>
      </w:r>
      <w:r>
        <w:rPr>
          <w:rFonts w:ascii="Times New Roman" w:hAnsi="Times New Roman"/>
          <w:color w:val="231F20"/>
          <w:spacing w:val="-4"/>
          <w:sz w:val="21"/>
        </w:rPr>
        <w:t>port</w:t>
      </w:r>
      <w:r>
        <w:rPr>
          <w:rFonts w:ascii="Times New Roman" w:hAnsi="Times New Roman"/>
          <w:color w:val="231F20"/>
          <w:spacing w:val="-10"/>
          <w:sz w:val="21"/>
        </w:rPr>
        <w:t> </w:t>
      </w:r>
      <w:r>
        <w:rPr>
          <w:rFonts w:ascii="Times New Roman" w:hAnsi="Times New Roman"/>
          <w:color w:val="231F20"/>
          <w:spacing w:val="-4"/>
          <w:sz w:val="21"/>
        </w:rPr>
        <w:t>of</w:t>
      </w:r>
      <w:r>
        <w:rPr>
          <w:rFonts w:ascii="Times New Roman" w:hAnsi="Times New Roman"/>
          <w:color w:val="231F20"/>
          <w:spacing w:val="-10"/>
          <w:sz w:val="21"/>
        </w:rPr>
        <w:t> </w:t>
      </w:r>
      <w:r>
        <w:rPr>
          <w:rFonts w:ascii="Times New Roman" w:hAnsi="Times New Roman"/>
          <w:color w:val="231F20"/>
          <w:spacing w:val="-4"/>
          <w:sz w:val="21"/>
        </w:rPr>
        <w:t>Algiers,</w:t>
      </w:r>
      <w:r>
        <w:rPr>
          <w:rFonts w:ascii="Times New Roman" w:hAnsi="Times New Roman"/>
          <w:color w:val="231F20"/>
          <w:spacing w:val="-10"/>
          <w:sz w:val="21"/>
        </w:rPr>
        <w:t> </w:t>
      </w:r>
      <w:r>
        <w:rPr>
          <w:rFonts w:ascii="Times New Roman" w:hAnsi="Times New Roman"/>
          <w:color w:val="231F20"/>
          <w:spacing w:val="-4"/>
          <w:sz w:val="21"/>
        </w:rPr>
        <w:t>Algeria,</w:t>
      </w:r>
      <w:r>
        <w:rPr>
          <w:rFonts w:ascii="Times New Roman" w:hAnsi="Times New Roman"/>
          <w:color w:val="231F20"/>
          <w:spacing w:val="-10"/>
          <w:sz w:val="21"/>
        </w:rPr>
        <w:t> </w:t>
      </w:r>
      <w:r>
        <w:rPr>
          <w:rFonts w:ascii="Times New Roman" w:hAnsi="Times New Roman"/>
          <w:color w:val="231F20"/>
          <w:spacing w:val="-4"/>
          <w:sz w:val="21"/>
        </w:rPr>
        <w:t>May–October 2022</w:t>
      </w:r>
      <w:r>
        <w:rPr>
          <w:rFonts w:ascii="Times New Roman" w:hAnsi="Times New Roman"/>
          <w:color w:val="231F20"/>
          <w:sz w:val="21"/>
        </w:rPr>
        <w:tab/>
      </w:r>
      <w:r>
        <w:rPr>
          <w:rFonts w:ascii="Times New Roman" w:hAnsi="Times New Roman"/>
          <w:color w:val="231F20"/>
          <w:spacing w:val="-10"/>
          <w:sz w:val="21"/>
        </w:rPr>
        <w:t>4</w:t>
      </w:r>
    </w:p>
    <w:p>
      <w:pPr>
        <w:pStyle w:val="ListParagraph"/>
        <w:numPr>
          <w:ilvl w:val="1"/>
          <w:numId w:val="4"/>
        </w:numPr>
        <w:tabs>
          <w:tab w:pos="1259" w:val="left" w:leader="none"/>
          <w:tab w:pos="9674" w:val="left" w:leader="none"/>
        </w:tabs>
        <w:spacing w:line="241" w:lineRule="exact" w:before="0" w:after="0"/>
        <w:ind w:left="1259" w:right="0" w:hanging="539"/>
        <w:jc w:val="left"/>
        <w:rPr>
          <w:rFonts w:ascii="Times New Roman" w:hAnsi="Times New Roman"/>
          <w:sz w:val="21"/>
        </w:rPr>
      </w:pPr>
      <w:r>
        <w:rPr>
          <w:rFonts w:ascii="Times New Roman" w:hAnsi="Times New Roman"/>
          <w:color w:val="231F20"/>
          <w:w w:val="90"/>
          <w:sz w:val="21"/>
        </w:rPr>
        <w:t>Container</w:t>
      </w:r>
      <w:r>
        <w:rPr>
          <w:rFonts w:ascii="Times New Roman" w:hAnsi="Times New Roman"/>
          <w:color w:val="231F20"/>
          <w:spacing w:val="3"/>
          <w:sz w:val="21"/>
        </w:rPr>
        <w:t> </w:t>
      </w:r>
      <w:r>
        <w:rPr>
          <w:rFonts w:ascii="Times New Roman" w:hAnsi="Times New Roman"/>
          <w:color w:val="231F20"/>
          <w:w w:val="90"/>
          <w:sz w:val="21"/>
        </w:rPr>
        <w:t>shipping</w:t>
      </w:r>
      <w:r>
        <w:rPr>
          <w:rFonts w:ascii="Times New Roman" w:hAnsi="Times New Roman"/>
          <w:color w:val="231F20"/>
          <w:spacing w:val="3"/>
          <w:sz w:val="21"/>
        </w:rPr>
        <w:t> </w:t>
      </w:r>
      <w:r>
        <w:rPr>
          <w:rFonts w:ascii="Times New Roman" w:hAnsi="Times New Roman"/>
          <w:color w:val="231F20"/>
          <w:w w:val="90"/>
          <w:sz w:val="21"/>
        </w:rPr>
        <w:t>schedule</w:t>
      </w:r>
      <w:r>
        <w:rPr>
          <w:rFonts w:ascii="Times New Roman" w:hAnsi="Times New Roman"/>
          <w:color w:val="231F20"/>
          <w:spacing w:val="3"/>
          <w:sz w:val="21"/>
        </w:rPr>
        <w:t> </w:t>
      </w:r>
      <w:r>
        <w:rPr>
          <w:rFonts w:ascii="Times New Roman" w:hAnsi="Times New Roman"/>
          <w:color w:val="231F20"/>
          <w:w w:val="90"/>
          <w:sz w:val="21"/>
        </w:rPr>
        <w:t>reliability,</w:t>
      </w:r>
      <w:r>
        <w:rPr>
          <w:rFonts w:ascii="Times New Roman" w:hAnsi="Times New Roman"/>
          <w:color w:val="231F20"/>
          <w:spacing w:val="3"/>
          <w:sz w:val="21"/>
        </w:rPr>
        <w:t> </w:t>
      </w:r>
      <w:r>
        <w:rPr>
          <w:rFonts w:ascii="Times New Roman" w:hAnsi="Times New Roman"/>
          <w:color w:val="231F20"/>
          <w:w w:val="90"/>
          <w:sz w:val="21"/>
        </w:rPr>
        <w:t>average</w:t>
      </w:r>
      <w:r>
        <w:rPr>
          <w:rFonts w:ascii="Times New Roman" w:hAnsi="Times New Roman"/>
          <w:color w:val="231F20"/>
          <w:spacing w:val="3"/>
          <w:sz w:val="21"/>
        </w:rPr>
        <w:t> </w:t>
      </w:r>
      <w:r>
        <w:rPr>
          <w:rFonts w:ascii="Times New Roman" w:hAnsi="Times New Roman"/>
          <w:color w:val="231F20"/>
          <w:w w:val="90"/>
          <w:sz w:val="21"/>
        </w:rPr>
        <w:t>delay</w:t>
      </w:r>
      <w:r>
        <w:rPr>
          <w:rFonts w:ascii="Times New Roman" w:hAnsi="Times New Roman"/>
          <w:color w:val="231F20"/>
          <w:spacing w:val="3"/>
          <w:sz w:val="21"/>
        </w:rPr>
        <w:t> </w:t>
      </w:r>
      <w:r>
        <w:rPr>
          <w:rFonts w:ascii="Times New Roman" w:hAnsi="Times New Roman"/>
          <w:color w:val="231F20"/>
          <w:w w:val="90"/>
          <w:sz w:val="21"/>
        </w:rPr>
        <w:t>for</w:t>
      </w:r>
      <w:r>
        <w:rPr>
          <w:rFonts w:ascii="Times New Roman" w:hAnsi="Times New Roman"/>
          <w:color w:val="231F20"/>
          <w:spacing w:val="3"/>
          <w:sz w:val="21"/>
        </w:rPr>
        <w:t> </w:t>
      </w:r>
      <w:r>
        <w:rPr>
          <w:rFonts w:ascii="Times New Roman" w:hAnsi="Times New Roman"/>
          <w:color w:val="231F20"/>
          <w:w w:val="90"/>
          <w:sz w:val="21"/>
        </w:rPr>
        <w:t>late</w:t>
      </w:r>
      <w:r>
        <w:rPr>
          <w:rFonts w:ascii="Times New Roman" w:hAnsi="Times New Roman"/>
          <w:color w:val="231F20"/>
          <w:spacing w:val="3"/>
          <w:sz w:val="21"/>
        </w:rPr>
        <w:t> </w:t>
      </w:r>
      <w:r>
        <w:rPr>
          <w:rFonts w:ascii="Times New Roman" w:hAnsi="Times New Roman"/>
          <w:color w:val="231F20"/>
          <w:w w:val="90"/>
          <w:sz w:val="21"/>
        </w:rPr>
        <w:t>arrivals,</w:t>
      </w:r>
      <w:r>
        <w:rPr>
          <w:rFonts w:ascii="Times New Roman" w:hAnsi="Times New Roman"/>
          <w:color w:val="231F20"/>
          <w:spacing w:val="3"/>
          <w:sz w:val="21"/>
        </w:rPr>
        <w:t> </w:t>
      </w:r>
      <w:r>
        <w:rPr>
          <w:rFonts w:ascii="Times New Roman" w:hAnsi="Times New Roman"/>
          <w:color w:val="231F20"/>
          <w:w w:val="90"/>
          <w:sz w:val="21"/>
        </w:rPr>
        <w:t>and</w:t>
      </w:r>
      <w:r>
        <w:rPr>
          <w:rFonts w:ascii="Times New Roman" w:hAnsi="Times New Roman"/>
          <w:color w:val="231F20"/>
          <w:spacing w:val="3"/>
          <w:sz w:val="21"/>
        </w:rPr>
        <w:t> </w:t>
      </w:r>
      <w:r>
        <w:rPr>
          <w:rFonts w:ascii="Times New Roman" w:hAnsi="Times New Roman"/>
          <w:color w:val="231F20"/>
          <w:w w:val="90"/>
          <w:sz w:val="21"/>
        </w:rPr>
        <w:t>spot</w:t>
      </w:r>
      <w:r>
        <w:rPr>
          <w:rFonts w:ascii="Times New Roman" w:hAnsi="Times New Roman"/>
          <w:color w:val="231F20"/>
          <w:spacing w:val="3"/>
          <w:sz w:val="21"/>
        </w:rPr>
        <w:t> </w:t>
      </w:r>
      <w:r>
        <w:rPr>
          <w:rFonts w:ascii="Times New Roman" w:hAnsi="Times New Roman"/>
          <w:color w:val="231F20"/>
          <w:w w:val="90"/>
          <w:sz w:val="21"/>
        </w:rPr>
        <w:t>rates,</w:t>
      </w:r>
      <w:r>
        <w:rPr>
          <w:rFonts w:ascii="Times New Roman" w:hAnsi="Times New Roman"/>
          <w:color w:val="231F20"/>
          <w:spacing w:val="3"/>
          <w:sz w:val="21"/>
        </w:rPr>
        <w:t> </w:t>
      </w:r>
      <w:r>
        <w:rPr>
          <w:rFonts w:ascii="Times New Roman" w:hAnsi="Times New Roman"/>
          <w:color w:val="231F20"/>
          <w:w w:val="90"/>
          <w:sz w:val="21"/>
        </w:rPr>
        <w:t>June</w:t>
      </w:r>
      <w:r>
        <w:rPr>
          <w:rFonts w:ascii="Times New Roman" w:hAnsi="Times New Roman"/>
          <w:color w:val="231F20"/>
          <w:spacing w:val="3"/>
          <w:sz w:val="21"/>
        </w:rPr>
        <w:t> </w:t>
      </w:r>
      <w:r>
        <w:rPr>
          <w:rFonts w:ascii="Times New Roman" w:hAnsi="Times New Roman"/>
          <w:color w:val="231F20"/>
          <w:spacing w:val="-2"/>
          <w:w w:val="90"/>
          <w:sz w:val="21"/>
        </w:rPr>
        <w:t>2018–22</w:t>
      </w:r>
      <w:r>
        <w:rPr>
          <w:rFonts w:ascii="Times New Roman" w:hAnsi="Times New Roman"/>
          <w:color w:val="231F20"/>
          <w:sz w:val="21"/>
        </w:rPr>
        <w:tab/>
      </w:r>
      <w:r>
        <w:rPr>
          <w:rFonts w:ascii="Times New Roman" w:hAnsi="Times New Roman"/>
          <w:color w:val="231F20"/>
          <w:spacing w:val="-10"/>
          <w:sz w:val="21"/>
        </w:rPr>
        <w:t>8</w:t>
      </w:r>
    </w:p>
    <w:p>
      <w:pPr>
        <w:pStyle w:val="ListParagraph"/>
        <w:numPr>
          <w:ilvl w:val="1"/>
          <w:numId w:val="4"/>
        </w:numPr>
        <w:tabs>
          <w:tab w:pos="1259" w:val="left" w:leader="none"/>
          <w:tab w:pos="7444" w:val="left" w:leader="none"/>
        </w:tabs>
        <w:spacing w:line="240" w:lineRule="auto" w:before="29" w:after="0"/>
        <w:ind w:left="1259" w:right="0" w:hanging="539"/>
        <w:jc w:val="left"/>
        <w:rPr>
          <w:rFonts w:ascii="Times New Roman" w:hAnsi="Times New Roman"/>
          <w:sz w:val="21"/>
        </w:rPr>
      </w:pPr>
      <w:r>
        <w:rPr>
          <w:rFonts w:ascii="Times New Roman" w:hAnsi="Times New Roman"/>
          <w:color w:val="231F20"/>
          <w:w w:val="90"/>
          <w:sz w:val="21"/>
        </w:rPr>
        <w:t>Global</w:t>
      </w:r>
      <w:r>
        <w:rPr>
          <w:rFonts w:ascii="Times New Roman" w:hAnsi="Times New Roman"/>
          <w:color w:val="231F20"/>
          <w:spacing w:val="7"/>
          <w:sz w:val="21"/>
        </w:rPr>
        <w:t> </w:t>
      </w:r>
      <w:r>
        <w:rPr>
          <w:rFonts w:ascii="Times New Roman" w:hAnsi="Times New Roman"/>
          <w:color w:val="231F20"/>
          <w:w w:val="90"/>
          <w:sz w:val="21"/>
        </w:rPr>
        <w:t>air</w:t>
      </w:r>
      <w:r>
        <w:rPr>
          <w:rFonts w:ascii="Times New Roman" w:hAnsi="Times New Roman"/>
          <w:color w:val="231F20"/>
          <w:spacing w:val="7"/>
          <w:sz w:val="21"/>
        </w:rPr>
        <w:t> </w:t>
      </w:r>
      <w:r>
        <w:rPr>
          <w:rFonts w:ascii="Times New Roman" w:hAnsi="Times New Roman"/>
          <w:color w:val="231F20"/>
          <w:w w:val="90"/>
          <w:sz w:val="21"/>
        </w:rPr>
        <w:t>freight</w:t>
      </w:r>
      <w:r>
        <w:rPr>
          <w:rFonts w:ascii="Times New Roman" w:hAnsi="Times New Roman"/>
          <w:color w:val="231F20"/>
          <w:spacing w:val="7"/>
          <w:sz w:val="21"/>
        </w:rPr>
        <w:t> </w:t>
      </w:r>
      <w:r>
        <w:rPr>
          <w:rFonts w:ascii="Times New Roman" w:hAnsi="Times New Roman"/>
          <w:color w:val="231F20"/>
          <w:w w:val="90"/>
          <w:sz w:val="21"/>
        </w:rPr>
        <w:t>supply,</w:t>
      </w:r>
      <w:r>
        <w:rPr>
          <w:rFonts w:ascii="Times New Roman" w:hAnsi="Times New Roman"/>
          <w:color w:val="231F20"/>
          <w:spacing w:val="7"/>
          <w:sz w:val="21"/>
        </w:rPr>
        <w:t> </w:t>
      </w:r>
      <w:r>
        <w:rPr>
          <w:rFonts w:ascii="Times New Roman" w:hAnsi="Times New Roman"/>
          <w:color w:val="231F20"/>
          <w:w w:val="90"/>
          <w:sz w:val="21"/>
        </w:rPr>
        <w:t>demand,</w:t>
      </w:r>
      <w:r>
        <w:rPr>
          <w:rFonts w:ascii="Times New Roman" w:hAnsi="Times New Roman"/>
          <w:color w:val="231F20"/>
          <w:spacing w:val="7"/>
          <w:sz w:val="21"/>
        </w:rPr>
        <w:t> </w:t>
      </w:r>
      <w:r>
        <w:rPr>
          <w:rFonts w:ascii="Times New Roman" w:hAnsi="Times New Roman"/>
          <w:color w:val="231F20"/>
          <w:w w:val="90"/>
          <w:sz w:val="21"/>
        </w:rPr>
        <w:t>and</w:t>
      </w:r>
      <w:r>
        <w:rPr>
          <w:rFonts w:ascii="Times New Roman" w:hAnsi="Times New Roman"/>
          <w:color w:val="231F20"/>
          <w:spacing w:val="7"/>
          <w:sz w:val="21"/>
        </w:rPr>
        <w:t> </w:t>
      </w:r>
      <w:r>
        <w:rPr>
          <w:rFonts w:ascii="Times New Roman" w:hAnsi="Times New Roman"/>
          <w:color w:val="231F20"/>
          <w:w w:val="90"/>
          <w:sz w:val="21"/>
        </w:rPr>
        <w:t>prices,</w:t>
      </w:r>
      <w:r>
        <w:rPr>
          <w:rFonts w:ascii="Times New Roman" w:hAnsi="Times New Roman"/>
          <w:color w:val="231F20"/>
          <w:spacing w:val="7"/>
          <w:sz w:val="21"/>
        </w:rPr>
        <w:t> </w:t>
      </w:r>
      <w:r>
        <w:rPr>
          <w:rFonts w:ascii="Times New Roman" w:hAnsi="Times New Roman"/>
          <w:color w:val="231F20"/>
          <w:w w:val="90"/>
          <w:sz w:val="21"/>
        </w:rPr>
        <w:t>January</w:t>
      </w:r>
      <w:r>
        <w:rPr>
          <w:rFonts w:ascii="Times New Roman" w:hAnsi="Times New Roman"/>
          <w:color w:val="231F20"/>
          <w:spacing w:val="7"/>
          <w:sz w:val="21"/>
        </w:rPr>
        <w:t> </w:t>
      </w:r>
      <w:r>
        <w:rPr>
          <w:rFonts w:ascii="Times New Roman" w:hAnsi="Times New Roman"/>
          <w:color w:val="231F20"/>
          <w:w w:val="90"/>
          <w:sz w:val="21"/>
        </w:rPr>
        <w:t>2018–July</w:t>
      </w:r>
      <w:r>
        <w:rPr>
          <w:rFonts w:ascii="Times New Roman" w:hAnsi="Times New Roman"/>
          <w:color w:val="231F20"/>
          <w:spacing w:val="7"/>
          <w:sz w:val="21"/>
        </w:rPr>
        <w:t> </w:t>
      </w:r>
      <w:r>
        <w:rPr>
          <w:rFonts w:ascii="Times New Roman" w:hAnsi="Times New Roman"/>
          <w:color w:val="231F20"/>
          <w:spacing w:val="-4"/>
          <w:w w:val="90"/>
          <w:sz w:val="21"/>
        </w:rPr>
        <w:t>2022</w:t>
      </w:r>
      <w:r>
        <w:rPr>
          <w:rFonts w:ascii="Times New Roman" w:hAnsi="Times New Roman"/>
          <w:color w:val="231F20"/>
          <w:sz w:val="21"/>
        </w:rPr>
        <w:tab/>
      </w:r>
      <w:r>
        <w:rPr>
          <w:rFonts w:ascii="Times New Roman" w:hAnsi="Times New Roman"/>
          <w:color w:val="231F20"/>
          <w:spacing w:val="-10"/>
          <w:sz w:val="21"/>
        </w:rPr>
        <w:t>9</w:t>
      </w:r>
    </w:p>
    <w:p>
      <w:pPr>
        <w:pStyle w:val="ListParagraph"/>
        <w:numPr>
          <w:ilvl w:val="1"/>
          <w:numId w:val="3"/>
        </w:numPr>
        <w:tabs>
          <w:tab w:pos="1259" w:val="left" w:leader="none"/>
          <w:tab w:pos="8737" w:val="left" w:leader="none"/>
        </w:tabs>
        <w:spacing w:line="240" w:lineRule="auto" w:before="28" w:after="0"/>
        <w:ind w:left="1259" w:right="0" w:hanging="539"/>
        <w:jc w:val="left"/>
        <w:rPr>
          <w:rFonts w:ascii="Times New Roman"/>
          <w:sz w:val="21"/>
        </w:rPr>
      </w:pPr>
      <w:r>
        <w:rPr>
          <w:rFonts w:ascii="Times New Roman"/>
          <w:color w:val="231F20"/>
          <w:spacing w:val="-6"/>
          <w:sz w:val="21"/>
        </w:rPr>
        <w:t>Histogram</w:t>
      </w:r>
      <w:r>
        <w:rPr>
          <w:rFonts w:ascii="Times New Roman"/>
          <w:color w:val="231F20"/>
          <w:spacing w:val="-5"/>
          <w:sz w:val="21"/>
        </w:rPr>
        <w:t> </w:t>
      </w:r>
      <w:r>
        <w:rPr>
          <w:rFonts w:ascii="Times New Roman"/>
          <w:color w:val="231F20"/>
          <w:spacing w:val="-6"/>
          <w:sz w:val="21"/>
        </w:rPr>
        <w:t>of</w:t>
      </w:r>
      <w:r>
        <w:rPr>
          <w:rFonts w:ascii="Times New Roman"/>
          <w:color w:val="231F20"/>
          <w:spacing w:val="-5"/>
          <w:sz w:val="21"/>
        </w:rPr>
        <w:t> </w:t>
      </w:r>
      <w:r>
        <w:rPr>
          <w:rFonts w:ascii="Times New Roman"/>
          <w:color w:val="231F20"/>
          <w:spacing w:val="-6"/>
          <w:sz w:val="21"/>
        </w:rPr>
        <w:t>scores</w:t>
      </w:r>
      <w:r>
        <w:rPr>
          <w:rFonts w:ascii="Times New Roman"/>
          <w:color w:val="231F20"/>
          <w:spacing w:val="-5"/>
          <w:sz w:val="21"/>
        </w:rPr>
        <w:t> </w:t>
      </w:r>
      <w:r>
        <w:rPr>
          <w:rFonts w:ascii="Times New Roman"/>
          <w:color w:val="231F20"/>
          <w:spacing w:val="-6"/>
          <w:sz w:val="21"/>
        </w:rPr>
        <w:t>of</w:t>
      </w:r>
      <w:r>
        <w:rPr>
          <w:rFonts w:ascii="Times New Roman"/>
          <w:color w:val="231F20"/>
          <w:spacing w:val="-5"/>
          <w:sz w:val="21"/>
        </w:rPr>
        <w:t> </w:t>
      </w:r>
      <w:r>
        <w:rPr>
          <w:rFonts w:ascii="Times New Roman"/>
          <w:color w:val="231F20"/>
          <w:spacing w:val="-6"/>
          <w:sz w:val="21"/>
        </w:rPr>
        <w:t>the</w:t>
      </w:r>
      <w:r>
        <w:rPr>
          <w:rFonts w:ascii="Times New Roman"/>
          <w:color w:val="231F20"/>
          <w:spacing w:val="-5"/>
          <w:sz w:val="21"/>
        </w:rPr>
        <w:t> </w:t>
      </w:r>
      <w:r>
        <w:rPr>
          <w:rFonts w:ascii="Times New Roman"/>
          <w:color w:val="231F20"/>
          <w:spacing w:val="-6"/>
          <w:sz w:val="21"/>
        </w:rPr>
        <w:t>139</w:t>
      </w:r>
      <w:r>
        <w:rPr>
          <w:rFonts w:ascii="Times New Roman"/>
          <w:color w:val="231F20"/>
          <w:spacing w:val="-5"/>
          <w:sz w:val="21"/>
        </w:rPr>
        <w:t> </w:t>
      </w:r>
      <w:r>
        <w:rPr>
          <w:rFonts w:ascii="Times New Roman"/>
          <w:color w:val="231F20"/>
          <w:spacing w:val="-6"/>
          <w:sz w:val="21"/>
        </w:rPr>
        <w:t>countries</w:t>
      </w:r>
      <w:r>
        <w:rPr>
          <w:rFonts w:ascii="Times New Roman"/>
          <w:color w:val="231F20"/>
          <w:spacing w:val="-5"/>
          <w:sz w:val="21"/>
        </w:rPr>
        <w:t> </w:t>
      </w:r>
      <w:r>
        <w:rPr>
          <w:rFonts w:ascii="Times New Roman"/>
          <w:color w:val="231F20"/>
          <w:spacing w:val="-6"/>
          <w:sz w:val="21"/>
        </w:rPr>
        <w:t>and</w:t>
      </w:r>
      <w:r>
        <w:rPr>
          <w:rFonts w:ascii="Times New Roman"/>
          <w:color w:val="231F20"/>
          <w:spacing w:val="-5"/>
          <w:sz w:val="21"/>
        </w:rPr>
        <w:t> </w:t>
      </w:r>
      <w:r>
        <w:rPr>
          <w:rFonts w:ascii="Times New Roman"/>
          <w:color w:val="231F20"/>
          <w:spacing w:val="-6"/>
          <w:sz w:val="21"/>
        </w:rPr>
        <w:t>four</w:t>
      </w:r>
      <w:r>
        <w:rPr>
          <w:rFonts w:ascii="Times New Roman"/>
          <w:color w:val="231F20"/>
          <w:spacing w:val="-5"/>
          <w:sz w:val="21"/>
        </w:rPr>
        <w:t> </w:t>
      </w:r>
      <w:r>
        <w:rPr>
          <w:rFonts w:ascii="Times New Roman"/>
          <w:color w:val="231F20"/>
          <w:spacing w:val="-6"/>
          <w:sz w:val="21"/>
        </w:rPr>
        <w:t>performance</w:t>
      </w:r>
      <w:r>
        <w:rPr>
          <w:rFonts w:ascii="Times New Roman"/>
          <w:color w:val="231F20"/>
          <w:spacing w:val="-5"/>
          <w:sz w:val="21"/>
        </w:rPr>
        <w:t> </w:t>
      </w:r>
      <w:r>
        <w:rPr>
          <w:rFonts w:ascii="Times New Roman"/>
          <w:color w:val="231F20"/>
          <w:spacing w:val="-6"/>
          <w:sz w:val="21"/>
        </w:rPr>
        <w:t>groups</w:t>
      </w:r>
      <w:r>
        <w:rPr>
          <w:rFonts w:ascii="Times New Roman"/>
          <w:color w:val="231F20"/>
          <w:spacing w:val="-5"/>
          <w:sz w:val="21"/>
        </w:rPr>
        <w:t> </w:t>
      </w:r>
      <w:r>
        <w:rPr>
          <w:rFonts w:ascii="Times New Roman"/>
          <w:color w:val="231F20"/>
          <w:spacing w:val="-6"/>
          <w:sz w:val="21"/>
        </w:rPr>
        <w:t>in</w:t>
      </w:r>
      <w:r>
        <w:rPr>
          <w:rFonts w:ascii="Times New Roman"/>
          <w:color w:val="231F20"/>
          <w:spacing w:val="-5"/>
          <w:sz w:val="21"/>
        </w:rPr>
        <w:t> </w:t>
      </w:r>
      <w:r>
        <w:rPr>
          <w:rFonts w:ascii="Times New Roman"/>
          <w:color w:val="231F20"/>
          <w:spacing w:val="-6"/>
          <w:sz w:val="21"/>
        </w:rPr>
        <w:t>the</w:t>
      </w:r>
      <w:r>
        <w:rPr>
          <w:rFonts w:ascii="Times New Roman"/>
          <w:color w:val="231F20"/>
          <w:spacing w:val="-5"/>
          <w:sz w:val="21"/>
        </w:rPr>
        <w:t> </w:t>
      </w:r>
      <w:r>
        <w:rPr>
          <w:rFonts w:ascii="Times New Roman"/>
          <w:color w:val="231F20"/>
          <w:spacing w:val="-6"/>
          <w:sz w:val="21"/>
        </w:rPr>
        <w:t>2023</w:t>
      </w:r>
      <w:r>
        <w:rPr>
          <w:rFonts w:ascii="Times New Roman"/>
          <w:color w:val="231F20"/>
          <w:spacing w:val="-4"/>
          <w:sz w:val="21"/>
        </w:rPr>
        <w:t> </w:t>
      </w:r>
      <w:r>
        <w:rPr>
          <w:rFonts w:ascii="Times New Roman"/>
          <w:color w:val="231F20"/>
          <w:spacing w:val="-6"/>
          <w:sz w:val="21"/>
        </w:rPr>
        <w:t>LPI</w:t>
      </w:r>
      <w:r>
        <w:rPr>
          <w:rFonts w:ascii="Times New Roman"/>
          <w:color w:val="231F20"/>
          <w:sz w:val="21"/>
        </w:rPr>
        <w:tab/>
      </w:r>
      <w:r>
        <w:rPr>
          <w:rFonts w:ascii="Times New Roman"/>
          <w:color w:val="231F20"/>
          <w:spacing w:val="-5"/>
          <w:sz w:val="21"/>
        </w:rPr>
        <w:t>14</w:t>
      </w:r>
    </w:p>
    <w:p>
      <w:pPr>
        <w:pStyle w:val="ListParagraph"/>
        <w:numPr>
          <w:ilvl w:val="1"/>
          <w:numId w:val="3"/>
        </w:numPr>
        <w:tabs>
          <w:tab w:pos="1259" w:val="left" w:leader="none"/>
          <w:tab w:pos="6003" w:val="left" w:leader="none"/>
        </w:tabs>
        <w:spacing w:line="240" w:lineRule="auto" w:before="29" w:after="0"/>
        <w:ind w:left="1259" w:right="0" w:hanging="539"/>
        <w:jc w:val="left"/>
        <w:rPr>
          <w:rFonts w:ascii="Times New Roman"/>
          <w:sz w:val="21"/>
        </w:rPr>
      </w:pPr>
      <w:r>
        <w:rPr>
          <w:rFonts w:ascii="Times New Roman"/>
          <w:color w:val="231F20"/>
          <w:w w:val="90"/>
          <w:sz w:val="21"/>
        </w:rPr>
        <w:t>LPI</w:t>
      </w:r>
      <w:r>
        <w:rPr>
          <w:rFonts w:ascii="Times New Roman"/>
          <w:color w:val="231F20"/>
          <w:spacing w:val="5"/>
          <w:sz w:val="21"/>
        </w:rPr>
        <w:t> </w:t>
      </w:r>
      <w:r>
        <w:rPr>
          <w:rFonts w:ascii="Times New Roman"/>
          <w:color w:val="231F20"/>
          <w:w w:val="90"/>
          <w:sz w:val="21"/>
        </w:rPr>
        <w:t>component</w:t>
      </w:r>
      <w:r>
        <w:rPr>
          <w:rFonts w:ascii="Times New Roman"/>
          <w:color w:val="231F20"/>
          <w:spacing w:val="5"/>
          <w:sz w:val="21"/>
        </w:rPr>
        <w:t> </w:t>
      </w:r>
      <w:r>
        <w:rPr>
          <w:rFonts w:ascii="Times New Roman"/>
          <w:color w:val="231F20"/>
          <w:w w:val="90"/>
          <w:sz w:val="21"/>
        </w:rPr>
        <w:t>scores,</w:t>
      </w:r>
      <w:r>
        <w:rPr>
          <w:rFonts w:ascii="Times New Roman"/>
          <w:color w:val="231F20"/>
          <w:spacing w:val="5"/>
          <w:sz w:val="21"/>
        </w:rPr>
        <w:t> </w:t>
      </w:r>
      <w:r>
        <w:rPr>
          <w:rFonts w:ascii="Times New Roman"/>
          <w:color w:val="231F20"/>
          <w:w w:val="90"/>
          <w:sz w:val="21"/>
        </w:rPr>
        <w:t>by</w:t>
      </w:r>
      <w:r>
        <w:rPr>
          <w:rFonts w:ascii="Times New Roman"/>
          <w:color w:val="231F20"/>
          <w:spacing w:val="5"/>
          <w:sz w:val="21"/>
        </w:rPr>
        <w:t> </w:t>
      </w:r>
      <w:r>
        <w:rPr>
          <w:rFonts w:ascii="Times New Roman"/>
          <w:color w:val="231F20"/>
          <w:w w:val="90"/>
          <w:sz w:val="21"/>
        </w:rPr>
        <w:t>overall</w:t>
      </w:r>
      <w:r>
        <w:rPr>
          <w:rFonts w:ascii="Times New Roman"/>
          <w:color w:val="231F20"/>
          <w:spacing w:val="5"/>
          <w:sz w:val="21"/>
        </w:rPr>
        <w:t> </w:t>
      </w:r>
      <w:r>
        <w:rPr>
          <w:rFonts w:ascii="Times New Roman"/>
          <w:color w:val="231F20"/>
          <w:w w:val="90"/>
          <w:sz w:val="21"/>
        </w:rPr>
        <w:t>LPI</w:t>
      </w:r>
      <w:r>
        <w:rPr>
          <w:rFonts w:ascii="Times New Roman"/>
          <w:color w:val="231F20"/>
          <w:spacing w:val="5"/>
          <w:sz w:val="21"/>
        </w:rPr>
        <w:t> </w:t>
      </w:r>
      <w:r>
        <w:rPr>
          <w:rFonts w:ascii="Times New Roman"/>
          <w:color w:val="231F20"/>
          <w:w w:val="90"/>
          <w:sz w:val="21"/>
        </w:rPr>
        <w:t>quintile,</w:t>
      </w:r>
      <w:r>
        <w:rPr>
          <w:rFonts w:ascii="Times New Roman"/>
          <w:color w:val="231F20"/>
          <w:spacing w:val="5"/>
          <w:sz w:val="21"/>
        </w:rPr>
        <w:t> </w:t>
      </w:r>
      <w:r>
        <w:rPr>
          <w:rFonts w:ascii="Times New Roman"/>
          <w:color w:val="231F20"/>
          <w:spacing w:val="-4"/>
          <w:w w:val="90"/>
          <w:sz w:val="21"/>
        </w:rPr>
        <w:t>2023</w:t>
      </w:r>
      <w:r>
        <w:rPr>
          <w:rFonts w:ascii="Times New Roman"/>
          <w:color w:val="231F20"/>
          <w:sz w:val="21"/>
        </w:rPr>
        <w:tab/>
      </w:r>
      <w:r>
        <w:rPr>
          <w:rFonts w:ascii="Times New Roman"/>
          <w:color w:val="231F20"/>
          <w:spacing w:val="-5"/>
          <w:sz w:val="21"/>
        </w:rPr>
        <w:t>15</w:t>
      </w:r>
    </w:p>
    <w:p>
      <w:pPr>
        <w:spacing w:after="0" w:line="240" w:lineRule="auto"/>
        <w:jc w:val="left"/>
        <w:rPr>
          <w:rFonts w:ascii="Times New Roman"/>
          <w:sz w:val="21"/>
        </w:rPr>
        <w:sectPr>
          <w:type w:val="continuous"/>
          <w:pgSz w:w="12240" w:h="15840"/>
          <w:pgMar w:header="0" w:footer="548" w:top="340" w:bottom="740" w:left="0" w:right="540"/>
        </w:sectPr>
      </w:pPr>
    </w:p>
    <w:p>
      <w:pPr>
        <w:spacing w:before="87"/>
        <w:ind w:left="0" w:right="179" w:firstLine="0"/>
        <w:jc w:val="right"/>
        <w:rPr>
          <w:rFonts w:ascii="Arial"/>
          <w:sz w:val="12"/>
        </w:rPr>
      </w:pPr>
      <w:r>
        <w:rPr>
          <w:rFonts w:ascii="Arial"/>
          <w:color w:val="008FDD"/>
          <w:sz w:val="12"/>
        </w:rPr>
        <w:t>Table</w:t>
      </w:r>
      <w:r>
        <w:rPr>
          <w:rFonts w:ascii="Arial"/>
          <w:color w:val="008FDD"/>
          <w:spacing w:val="11"/>
          <w:sz w:val="12"/>
        </w:rPr>
        <w:t> </w:t>
      </w:r>
      <w:r>
        <w:rPr>
          <w:rFonts w:ascii="Arial"/>
          <w:color w:val="008FDD"/>
          <w:sz w:val="12"/>
        </w:rPr>
        <w:t>of</w:t>
      </w:r>
      <w:r>
        <w:rPr>
          <w:rFonts w:ascii="Arial"/>
          <w:color w:val="008FDD"/>
          <w:spacing w:val="11"/>
          <w:sz w:val="12"/>
        </w:rPr>
        <w:t> </w:t>
      </w:r>
      <w:r>
        <w:rPr>
          <w:rFonts w:ascii="Arial"/>
          <w:color w:val="008FDD"/>
          <w:spacing w:val="-2"/>
          <w:sz w:val="12"/>
        </w:rPr>
        <w:t>contents</w:t>
      </w:r>
    </w:p>
    <w:p>
      <w:pPr>
        <w:pStyle w:val="BodyText"/>
        <w:rPr>
          <w:rFonts w:ascii="Arial"/>
          <w:sz w:val="20"/>
        </w:rPr>
      </w:pPr>
    </w:p>
    <w:p>
      <w:pPr>
        <w:pStyle w:val="BodyText"/>
        <w:rPr>
          <w:rFonts w:ascii="Arial"/>
          <w:sz w:val="20"/>
        </w:rPr>
      </w:pPr>
    </w:p>
    <w:p>
      <w:pPr>
        <w:pStyle w:val="BodyText"/>
        <w:spacing w:before="142"/>
        <w:rPr>
          <w:rFonts w:ascii="Arial"/>
          <w:sz w:val="20"/>
        </w:rPr>
      </w:pPr>
    </w:p>
    <w:tbl>
      <w:tblPr>
        <w:tblW w:w="0" w:type="auto"/>
        <w:jc w:val="left"/>
        <w:tblInd w:w="1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8"/>
        <w:gridCol w:w="9380"/>
        <w:gridCol w:w="521"/>
      </w:tblGrid>
      <w:tr>
        <w:trPr>
          <w:trHeight w:val="266" w:hRule="atLeast"/>
        </w:trPr>
        <w:tc>
          <w:tcPr>
            <w:tcW w:w="518" w:type="dxa"/>
          </w:tcPr>
          <w:p>
            <w:pPr>
              <w:pStyle w:val="TableParagraph"/>
              <w:spacing w:line="238" w:lineRule="exact" w:before="0"/>
              <w:ind w:left="15" w:right="173"/>
              <w:rPr>
                <w:rFonts w:ascii="Times New Roman"/>
                <w:sz w:val="21"/>
              </w:rPr>
            </w:pPr>
            <w:r>
              <w:rPr>
                <w:rFonts w:ascii="Times New Roman"/>
                <w:color w:val="231F20"/>
                <w:spacing w:val="-5"/>
                <w:sz w:val="21"/>
              </w:rPr>
              <w:t>2.3</w:t>
            </w:r>
          </w:p>
        </w:tc>
        <w:tc>
          <w:tcPr>
            <w:tcW w:w="9380" w:type="dxa"/>
          </w:tcPr>
          <w:p>
            <w:pPr>
              <w:pStyle w:val="TableParagraph"/>
              <w:tabs>
                <w:tab w:pos="3757" w:val="right" w:leader="none"/>
              </w:tabs>
              <w:spacing w:line="238" w:lineRule="exact" w:before="0"/>
              <w:ind w:left="71"/>
              <w:jc w:val="left"/>
              <w:rPr>
                <w:rFonts w:ascii="Times New Roman" w:hAnsi="Times New Roman"/>
                <w:sz w:val="21"/>
              </w:rPr>
            </w:pPr>
            <w:r>
              <w:rPr>
                <w:rFonts w:ascii="Times New Roman" w:hAnsi="Times New Roman"/>
                <w:color w:val="231F20"/>
                <w:spacing w:val="-6"/>
                <w:sz w:val="21"/>
              </w:rPr>
              <w:t>Distribution of LPI scores, 2012–23</w:t>
            </w:r>
            <w:r>
              <w:rPr>
                <w:rFonts w:ascii="Times New Roman" w:hAnsi="Times New Roman"/>
                <w:color w:val="231F20"/>
                <w:sz w:val="21"/>
              </w:rPr>
              <w:tab/>
            </w:r>
            <w:r>
              <w:rPr>
                <w:rFonts w:ascii="Times New Roman" w:hAnsi="Times New Roman"/>
                <w:color w:val="231F20"/>
                <w:spacing w:val="-5"/>
                <w:sz w:val="21"/>
              </w:rPr>
              <w:t>16</w:t>
            </w:r>
          </w:p>
        </w:tc>
        <w:tc>
          <w:tcPr>
            <w:tcW w:w="521" w:type="dxa"/>
            <w:vMerge w:val="restart"/>
          </w:tcPr>
          <w:p>
            <w:pPr>
              <w:pStyle w:val="TableParagraph"/>
              <w:spacing w:before="0"/>
              <w:jc w:val="left"/>
              <w:rPr>
                <w:rFonts w:ascii="Times New Roman"/>
                <w:sz w:val="20"/>
              </w:rPr>
            </w:pPr>
          </w:p>
        </w:tc>
      </w:tr>
      <w:tr>
        <w:trPr>
          <w:trHeight w:val="270" w:hRule="atLeast"/>
        </w:trPr>
        <w:tc>
          <w:tcPr>
            <w:tcW w:w="518" w:type="dxa"/>
          </w:tcPr>
          <w:p>
            <w:pPr>
              <w:pStyle w:val="TableParagraph"/>
              <w:spacing w:before="0"/>
              <w:ind w:left="14" w:right="173"/>
              <w:rPr>
                <w:rFonts w:ascii="Times New Roman"/>
                <w:sz w:val="21"/>
              </w:rPr>
            </w:pPr>
            <w:r>
              <w:rPr>
                <w:rFonts w:ascii="Times New Roman"/>
                <w:color w:val="231F20"/>
                <w:spacing w:val="-5"/>
                <w:sz w:val="21"/>
              </w:rPr>
              <w:t>2.4</w:t>
            </w:r>
          </w:p>
        </w:tc>
        <w:tc>
          <w:tcPr>
            <w:tcW w:w="9380" w:type="dxa"/>
          </w:tcPr>
          <w:p>
            <w:pPr>
              <w:pStyle w:val="TableParagraph"/>
              <w:tabs>
                <w:tab w:pos="4768" w:val="right" w:leader="none"/>
              </w:tabs>
              <w:spacing w:before="0"/>
              <w:ind w:left="71"/>
              <w:jc w:val="left"/>
              <w:rPr>
                <w:rFonts w:ascii="Times New Roman"/>
                <w:sz w:val="21"/>
              </w:rPr>
            </w:pPr>
            <w:r>
              <w:rPr>
                <w:rFonts w:ascii="Times New Roman"/>
                <w:color w:val="231F20"/>
                <w:w w:val="90"/>
                <w:sz w:val="21"/>
              </w:rPr>
              <w:t>Timeliness</w:t>
            </w:r>
            <w:r>
              <w:rPr>
                <w:rFonts w:ascii="Times New Roman"/>
                <w:color w:val="231F20"/>
                <w:spacing w:val="5"/>
                <w:sz w:val="21"/>
              </w:rPr>
              <w:t> </w:t>
            </w:r>
            <w:r>
              <w:rPr>
                <w:rFonts w:ascii="Times New Roman"/>
                <w:color w:val="231F20"/>
                <w:w w:val="90"/>
                <w:sz w:val="21"/>
              </w:rPr>
              <w:t>score,</w:t>
            </w:r>
            <w:r>
              <w:rPr>
                <w:rFonts w:ascii="Times New Roman"/>
                <w:color w:val="231F20"/>
                <w:spacing w:val="6"/>
                <w:sz w:val="21"/>
              </w:rPr>
              <w:t> </w:t>
            </w:r>
            <w:r>
              <w:rPr>
                <w:rFonts w:ascii="Times New Roman"/>
                <w:color w:val="231F20"/>
                <w:w w:val="90"/>
                <w:sz w:val="21"/>
              </w:rPr>
              <w:t>by</w:t>
            </w:r>
            <w:r>
              <w:rPr>
                <w:rFonts w:ascii="Times New Roman"/>
                <w:color w:val="231F20"/>
                <w:spacing w:val="6"/>
                <w:sz w:val="21"/>
              </w:rPr>
              <w:t> </w:t>
            </w:r>
            <w:r>
              <w:rPr>
                <w:rFonts w:ascii="Times New Roman"/>
                <w:color w:val="231F20"/>
                <w:w w:val="90"/>
                <w:sz w:val="21"/>
              </w:rPr>
              <w:t>LPI</w:t>
            </w:r>
            <w:r>
              <w:rPr>
                <w:rFonts w:ascii="Times New Roman"/>
                <w:color w:val="231F20"/>
                <w:spacing w:val="6"/>
                <w:sz w:val="21"/>
              </w:rPr>
              <w:t> </w:t>
            </w:r>
            <w:r>
              <w:rPr>
                <w:rFonts w:ascii="Times New Roman"/>
                <w:color w:val="231F20"/>
                <w:w w:val="90"/>
                <w:sz w:val="21"/>
              </w:rPr>
              <w:t>quintile,</w:t>
            </w:r>
            <w:r>
              <w:rPr>
                <w:rFonts w:ascii="Times New Roman"/>
                <w:color w:val="231F20"/>
                <w:spacing w:val="6"/>
                <w:sz w:val="21"/>
              </w:rPr>
              <w:t> </w:t>
            </w:r>
            <w:r>
              <w:rPr>
                <w:rFonts w:ascii="Times New Roman"/>
                <w:color w:val="231F20"/>
                <w:w w:val="90"/>
                <w:sz w:val="21"/>
              </w:rPr>
              <w:t>2018</w:t>
            </w:r>
            <w:r>
              <w:rPr>
                <w:rFonts w:ascii="Times New Roman"/>
                <w:color w:val="231F20"/>
                <w:spacing w:val="5"/>
                <w:sz w:val="21"/>
              </w:rPr>
              <w:t> </w:t>
            </w:r>
            <w:r>
              <w:rPr>
                <w:rFonts w:ascii="Times New Roman"/>
                <w:color w:val="231F20"/>
                <w:w w:val="90"/>
                <w:sz w:val="21"/>
              </w:rPr>
              <w:t>and</w:t>
            </w:r>
            <w:r>
              <w:rPr>
                <w:rFonts w:ascii="Times New Roman"/>
                <w:color w:val="231F20"/>
                <w:spacing w:val="6"/>
                <w:sz w:val="21"/>
              </w:rPr>
              <w:t> </w:t>
            </w:r>
            <w:r>
              <w:rPr>
                <w:rFonts w:ascii="Times New Roman"/>
                <w:color w:val="231F20"/>
                <w:spacing w:val="-4"/>
                <w:w w:val="90"/>
                <w:sz w:val="21"/>
              </w:rPr>
              <w:t>2023</w:t>
            </w:r>
            <w:r>
              <w:rPr>
                <w:rFonts w:ascii="Times New Roman"/>
                <w:color w:val="231F20"/>
                <w:sz w:val="21"/>
              </w:rPr>
              <w:tab/>
            </w:r>
            <w:r>
              <w:rPr>
                <w:rFonts w:ascii="Times New Roman"/>
                <w:color w:val="231F20"/>
                <w:spacing w:val="-5"/>
                <w:sz w:val="21"/>
              </w:rPr>
              <w:t>16</w:t>
            </w:r>
          </w:p>
        </w:tc>
        <w:tc>
          <w:tcPr>
            <w:tcW w:w="521" w:type="dxa"/>
            <w:vMerge/>
            <w:tcBorders>
              <w:top w:val="nil"/>
            </w:tcBorders>
          </w:tcPr>
          <w:p>
            <w:pPr>
              <w:rPr>
                <w:sz w:val="2"/>
                <w:szCs w:val="2"/>
              </w:rPr>
            </w:pPr>
          </w:p>
        </w:tc>
      </w:tr>
      <w:tr>
        <w:trPr>
          <w:trHeight w:val="270" w:hRule="atLeast"/>
        </w:trPr>
        <w:tc>
          <w:tcPr>
            <w:tcW w:w="518" w:type="dxa"/>
          </w:tcPr>
          <w:p>
            <w:pPr>
              <w:pStyle w:val="TableParagraph"/>
              <w:spacing w:before="0"/>
              <w:ind w:left="6" w:right="173"/>
              <w:rPr>
                <w:rFonts w:ascii="Times New Roman"/>
                <w:sz w:val="21"/>
              </w:rPr>
            </w:pPr>
            <w:r>
              <w:rPr>
                <w:rFonts w:ascii="Times New Roman"/>
                <w:color w:val="231F20"/>
                <w:spacing w:val="-5"/>
                <w:sz w:val="21"/>
              </w:rPr>
              <w:t>2.5</w:t>
            </w:r>
          </w:p>
        </w:tc>
        <w:tc>
          <w:tcPr>
            <w:tcW w:w="9380" w:type="dxa"/>
          </w:tcPr>
          <w:p>
            <w:pPr>
              <w:pStyle w:val="TableParagraph"/>
              <w:tabs>
                <w:tab w:pos="4765" w:val="right" w:leader="none"/>
              </w:tabs>
              <w:spacing w:before="0"/>
              <w:ind w:left="71"/>
              <w:jc w:val="left"/>
              <w:rPr>
                <w:rFonts w:ascii="Times New Roman"/>
                <w:sz w:val="21"/>
              </w:rPr>
            </w:pPr>
            <w:r>
              <w:rPr>
                <w:rFonts w:ascii="Times New Roman"/>
                <w:color w:val="231F20"/>
                <w:spacing w:val="-6"/>
                <w:sz w:val="21"/>
              </w:rPr>
              <w:t>Distribution</w:t>
            </w:r>
            <w:r>
              <w:rPr>
                <w:rFonts w:ascii="Times New Roman"/>
                <w:color w:val="231F20"/>
                <w:spacing w:val="-9"/>
                <w:sz w:val="21"/>
              </w:rPr>
              <w:t> </w:t>
            </w:r>
            <w:r>
              <w:rPr>
                <w:rFonts w:ascii="Times New Roman"/>
                <w:color w:val="231F20"/>
                <w:spacing w:val="-6"/>
                <w:sz w:val="21"/>
              </w:rPr>
              <w:t>of</w:t>
            </w:r>
            <w:r>
              <w:rPr>
                <w:rFonts w:ascii="Times New Roman"/>
                <w:color w:val="231F20"/>
                <w:spacing w:val="-9"/>
                <w:sz w:val="21"/>
              </w:rPr>
              <w:t> </w:t>
            </w:r>
            <w:r>
              <w:rPr>
                <w:rFonts w:ascii="Times New Roman"/>
                <w:color w:val="231F20"/>
                <w:spacing w:val="-6"/>
                <w:sz w:val="21"/>
              </w:rPr>
              <w:t>2023</w:t>
            </w:r>
            <w:r>
              <w:rPr>
                <w:rFonts w:ascii="Times New Roman"/>
                <w:color w:val="231F20"/>
                <w:spacing w:val="-9"/>
                <w:sz w:val="21"/>
              </w:rPr>
              <w:t> </w:t>
            </w:r>
            <w:r>
              <w:rPr>
                <w:rFonts w:ascii="Times New Roman"/>
                <w:color w:val="231F20"/>
                <w:spacing w:val="-6"/>
                <w:sz w:val="21"/>
              </w:rPr>
              <w:t>LPI</w:t>
            </w:r>
            <w:r>
              <w:rPr>
                <w:rFonts w:ascii="Times New Roman"/>
                <w:color w:val="231F20"/>
                <w:spacing w:val="-8"/>
                <w:sz w:val="21"/>
              </w:rPr>
              <w:t> </w:t>
            </w:r>
            <w:r>
              <w:rPr>
                <w:rFonts w:ascii="Times New Roman"/>
                <w:color w:val="231F20"/>
                <w:spacing w:val="-6"/>
                <w:sz w:val="21"/>
              </w:rPr>
              <w:t>scores</w:t>
            </w:r>
            <w:r>
              <w:rPr>
                <w:rFonts w:ascii="Times New Roman"/>
                <w:color w:val="231F20"/>
                <w:spacing w:val="-9"/>
                <w:sz w:val="21"/>
              </w:rPr>
              <w:t> </w:t>
            </w:r>
            <w:r>
              <w:rPr>
                <w:rFonts w:ascii="Times New Roman"/>
                <w:color w:val="231F20"/>
                <w:spacing w:val="-6"/>
                <w:sz w:val="21"/>
              </w:rPr>
              <w:t>by</w:t>
            </w:r>
            <w:r>
              <w:rPr>
                <w:rFonts w:ascii="Times New Roman"/>
                <w:color w:val="231F20"/>
                <w:spacing w:val="-9"/>
                <w:sz w:val="21"/>
              </w:rPr>
              <w:t> </w:t>
            </w:r>
            <w:r>
              <w:rPr>
                <w:rFonts w:ascii="Times New Roman"/>
                <w:color w:val="231F20"/>
                <w:spacing w:val="-6"/>
                <w:sz w:val="21"/>
              </w:rPr>
              <w:t>income</w:t>
            </w:r>
            <w:r>
              <w:rPr>
                <w:rFonts w:ascii="Times New Roman"/>
                <w:color w:val="231F20"/>
                <w:spacing w:val="-8"/>
                <w:sz w:val="21"/>
              </w:rPr>
              <w:t> </w:t>
            </w:r>
            <w:r>
              <w:rPr>
                <w:rFonts w:ascii="Times New Roman"/>
                <w:color w:val="231F20"/>
                <w:spacing w:val="-6"/>
                <w:sz w:val="21"/>
              </w:rPr>
              <w:t>group</w:t>
            </w:r>
            <w:r>
              <w:rPr>
                <w:rFonts w:ascii="Times New Roman"/>
                <w:color w:val="231F20"/>
                <w:sz w:val="21"/>
              </w:rPr>
              <w:tab/>
            </w:r>
            <w:r>
              <w:rPr>
                <w:rFonts w:ascii="Times New Roman"/>
                <w:color w:val="231F20"/>
                <w:spacing w:val="-5"/>
                <w:sz w:val="21"/>
              </w:rPr>
              <w:t>16</w:t>
            </w:r>
          </w:p>
        </w:tc>
        <w:tc>
          <w:tcPr>
            <w:tcW w:w="521" w:type="dxa"/>
            <w:vMerge/>
            <w:tcBorders>
              <w:top w:val="nil"/>
            </w:tcBorders>
          </w:tcPr>
          <w:p>
            <w:pPr>
              <w:rPr>
                <w:sz w:val="2"/>
                <w:szCs w:val="2"/>
              </w:rPr>
            </w:pPr>
          </w:p>
        </w:tc>
      </w:tr>
      <w:tr>
        <w:trPr>
          <w:trHeight w:val="270" w:hRule="atLeast"/>
        </w:trPr>
        <w:tc>
          <w:tcPr>
            <w:tcW w:w="518" w:type="dxa"/>
          </w:tcPr>
          <w:p>
            <w:pPr>
              <w:pStyle w:val="TableParagraph"/>
              <w:spacing w:before="0"/>
              <w:ind w:left="2" w:right="173"/>
              <w:rPr>
                <w:rFonts w:ascii="Times New Roman"/>
                <w:sz w:val="21"/>
              </w:rPr>
            </w:pPr>
            <w:r>
              <w:rPr>
                <w:rFonts w:ascii="Times New Roman"/>
                <w:color w:val="231F20"/>
                <w:spacing w:val="-5"/>
                <w:sz w:val="21"/>
              </w:rPr>
              <w:t>3.1</w:t>
            </w:r>
          </w:p>
        </w:tc>
        <w:tc>
          <w:tcPr>
            <w:tcW w:w="9380" w:type="dxa"/>
          </w:tcPr>
          <w:p>
            <w:pPr>
              <w:pStyle w:val="TableParagraph"/>
              <w:tabs>
                <w:tab w:pos="7512" w:val="right" w:leader="none"/>
              </w:tabs>
              <w:spacing w:before="0"/>
              <w:ind w:left="71"/>
              <w:jc w:val="left"/>
              <w:rPr>
                <w:rFonts w:ascii="Times New Roman"/>
                <w:sz w:val="21"/>
              </w:rPr>
            </w:pPr>
            <w:r>
              <w:rPr>
                <w:rFonts w:ascii="Times New Roman"/>
                <w:color w:val="231F20"/>
                <w:spacing w:val="-6"/>
                <w:sz w:val="21"/>
              </w:rPr>
              <w:t>Import</w:t>
            </w:r>
            <w:r>
              <w:rPr>
                <w:rFonts w:ascii="Times New Roman"/>
                <w:color w:val="231F20"/>
                <w:spacing w:val="-3"/>
                <w:sz w:val="21"/>
              </w:rPr>
              <w:t> </w:t>
            </w:r>
            <w:r>
              <w:rPr>
                <w:rFonts w:ascii="Times New Roman"/>
                <w:color w:val="231F20"/>
                <w:spacing w:val="-6"/>
                <w:sz w:val="21"/>
              </w:rPr>
              <w:t>lead</w:t>
            </w:r>
            <w:r>
              <w:rPr>
                <w:rFonts w:ascii="Times New Roman"/>
                <w:color w:val="231F20"/>
                <w:spacing w:val="-2"/>
                <w:sz w:val="21"/>
              </w:rPr>
              <w:t> </w:t>
            </w:r>
            <w:r>
              <w:rPr>
                <w:rFonts w:ascii="Times New Roman"/>
                <w:color w:val="231F20"/>
                <w:spacing w:val="-6"/>
                <w:sz w:val="21"/>
              </w:rPr>
              <w:t>time</w:t>
            </w:r>
            <w:r>
              <w:rPr>
                <w:rFonts w:ascii="Times New Roman"/>
                <w:color w:val="231F20"/>
                <w:spacing w:val="-3"/>
                <w:sz w:val="21"/>
              </w:rPr>
              <w:t> </w:t>
            </w:r>
            <w:r>
              <w:rPr>
                <w:rFonts w:ascii="Times New Roman"/>
                <w:color w:val="231F20"/>
                <w:spacing w:val="-6"/>
                <w:sz w:val="21"/>
              </w:rPr>
              <w:t>is</w:t>
            </w:r>
            <w:r>
              <w:rPr>
                <w:rFonts w:ascii="Times New Roman"/>
                <w:color w:val="231F20"/>
                <w:spacing w:val="-2"/>
                <w:sz w:val="21"/>
              </w:rPr>
              <w:t> </w:t>
            </w:r>
            <w:r>
              <w:rPr>
                <w:rFonts w:ascii="Times New Roman"/>
                <w:color w:val="231F20"/>
                <w:spacing w:val="-6"/>
                <w:sz w:val="21"/>
              </w:rPr>
              <w:t>the</w:t>
            </w:r>
            <w:r>
              <w:rPr>
                <w:rFonts w:ascii="Times New Roman"/>
                <w:color w:val="231F20"/>
                <w:spacing w:val="-3"/>
                <w:sz w:val="21"/>
              </w:rPr>
              <w:t> </w:t>
            </w:r>
            <w:r>
              <w:rPr>
                <w:rFonts w:ascii="Times New Roman"/>
                <w:color w:val="231F20"/>
                <w:spacing w:val="-6"/>
                <w:sz w:val="21"/>
              </w:rPr>
              <w:t>largest</w:t>
            </w:r>
            <w:r>
              <w:rPr>
                <w:rFonts w:ascii="Times New Roman"/>
                <w:color w:val="231F20"/>
                <w:spacing w:val="-2"/>
                <w:sz w:val="21"/>
              </w:rPr>
              <w:t> </w:t>
            </w:r>
            <w:r>
              <w:rPr>
                <w:rFonts w:ascii="Times New Roman"/>
                <w:color w:val="231F20"/>
                <w:spacing w:val="-6"/>
                <w:sz w:val="21"/>
              </w:rPr>
              <w:t>driver</w:t>
            </w:r>
            <w:r>
              <w:rPr>
                <w:rFonts w:ascii="Times New Roman"/>
                <w:color w:val="231F20"/>
                <w:spacing w:val="-3"/>
                <w:sz w:val="21"/>
              </w:rPr>
              <w:t> </w:t>
            </w:r>
            <w:r>
              <w:rPr>
                <w:rFonts w:ascii="Times New Roman"/>
                <w:color w:val="231F20"/>
                <w:spacing w:val="-6"/>
                <w:sz w:val="21"/>
              </w:rPr>
              <w:t>of</w:t>
            </w:r>
            <w:r>
              <w:rPr>
                <w:rFonts w:ascii="Times New Roman"/>
                <w:color w:val="231F20"/>
                <w:spacing w:val="-2"/>
                <w:sz w:val="21"/>
              </w:rPr>
              <w:t> </w:t>
            </w:r>
            <w:r>
              <w:rPr>
                <w:rFonts w:ascii="Times New Roman"/>
                <w:color w:val="231F20"/>
                <w:spacing w:val="-6"/>
                <w:sz w:val="21"/>
              </w:rPr>
              <w:t>variability</w:t>
            </w:r>
            <w:r>
              <w:rPr>
                <w:rFonts w:ascii="Times New Roman"/>
                <w:color w:val="231F20"/>
                <w:spacing w:val="-2"/>
                <w:sz w:val="21"/>
              </w:rPr>
              <w:t> </w:t>
            </w:r>
            <w:r>
              <w:rPr>
                <w:rFonts w:ascii="Times New Roman"/>
                <w:color w:val="231F20"/>
                <w:spacing w:val="-6"/>
                <w:sz w:val="21"/>
              </w:rPr>
              <w:t>in</w:t>
            </w:r>
            <w:r>
              <w:rPr>
                <w:rFonts w:ascii="Times New Roman"/>
                <w:color w:val="231F20"/>
                <w:spacing w:val="-3"/>
                <w:sz w:val="21"/>
              </w:rPr>
              <w:t> </w:t>
            </w:r>
            <w:r>
              <w:rPr>
                <w:rFonts w:ascii="Times New Roman"/>
                <w:color w:val="231F20"/>
                <w:spacing w:val="-6"/>
                <w:sz w:val="21"/>
              </w:rPr>
              <w:t>international</w:t>
            </w:r>
            <w:r>
              <w:rPr>
                <w:rFonts w:ascii="Times New Roman"/>
                <w:color w:val="231F20"/>
                <w:spacing w:val="-2"/>
                <w:sz w:val="21"/>
              </w:rPr>
              <w:t> </w:t>
            </w:r>
            <w:r>
              <w:rPr>
                <w:rFonts w:ascii="Times New Roman"/>
                <w:color w:val="231F20"/>
                <w:spacing w:val="-6"/>
                <w:sz w:val="21"/>
              </w:rPr>
              <w:t>shipping</w:t>
            </w:r>
            <w:r>
              <w:rPr>
                <w:rFonts w:ascii="Times New Roman"/>
                <w:color w:val="231F20"/>
                <w:spacing w:val="-3"/>
                <w:sz w:val="21"/>
              </w:rPr>
              <w:t> </w:t>
            </w:r>
            <w:r>
              <w:rPr>
                <w:rFonts w:ascii="Times New Roman"/>
                <w:color w:val="231F20"/>
                <w:spacing w:val="-6"/>
                <w:sz w:val="21"/>
              </w:rPr>
              <w:t>in</w:t>
            </w:r>
            <w:r>
              <w:rPr>
                <w:rFonts w:ascii="Times New Roman"/>
                <w:color w:val="231F20"/>
                <w:spacing w:val="-2"/>
                <w:sz w:val="21"/>
              </w:rPr>
              <w:t> </w:t>
            </w:r>
            <w:r>
              <w:rPr>
                <w:rFonts w:ascii="Times New Roman"/>
                <w:color w:val="231F20"/>
                <w:spacing w:val="-6"/>
                <w:sz w:val="21"/>
              </w:rPr>
              <w:t>2022</w:t>
            </w:r>
            <w:r>
              <w:rPr>
                <w:rFonts w:ascii="Times New Roman"/>
                <w:color w:val="231F20"/>
                <w:sz w:val="21"/>
              </w:rPr>
              <w:tab/>
            </w:r>
            <w:r>
              <w:rPr>
                <w:rFonts w:ascii="Times New Roman"/>
                <w:color w:val="231F20"/>
                <w:spacing w:val="-5"/>
                <w:sz w:val="21"/>
              </w:rPr>
              <w:t>20</w:t>
            </w:r>
          </w:p>
        </w:tc>
        <w:tc>
          <w:tcPr>
            <w:tcW w:w="521" w:type="dxa"/>
            <w:vMerge/>
            <w:tcBorders>
              <w:top w:val="nil"/>
            </w:tcBorders>
          </w:tcPr>
          <w:p>
            <w:pPr>
              <w:rPr>
                <w:sz w:val="2"/>
                <w:szCs w:val="2"/>
              </w:rPr>
            </w:pPr>
          </w:p>
        </w:tc>
      </w:tr>
      <w:tr>
        <w:trPr>
          <w:trHeight w:val="270" w:hRule="atLeast"/>
        </w:trPr>
        <w:tc>
          <w:tcPr>
            <w:tcW w:w="518" w:type="dxa"/>
          </w:tcPr>
          <w:p>
            <w:pPr>
              <w:pStyle w:val="TableParagraph"/>
              <w:spacing w:before="0"/>
              <w:ind w:left="13" w:right="173"/>
              <w:rPr>
                <w:rFonts w:ascii="Times New Roman"/>
                <w:sz w:val="21"/>
              </w:rPr>
            </w:pPr>
            <w:r>
              <w:rPr>
                <w:rFonts w:ascii="Times New Roman"/>
                <w:color w:val="231F20"/>
                <w:spacing w:val="-5"/>
                <w:sz w:val="21"/>
              </w:rPr>
              <w:t>3.2</w:t>
            </w:r>
          </w:p>
        </w:tc>
        <w:tc>
          <w:tcPr>
            <w:tcW w:w="9380" w:type="dxa"/>
          </w:tcPr>
          <w:p>
            <w:pPr>
              <w:pStyle w:val="TableParagraph"/>
              <w:tabs>
                <w:tab w:pos="4841" w:val="right" w:leader="none"/>
              </w:tabs>
              <w:spacing w:before="0"/>
              <w:ind w:left="71"/>
              <w:jc w:val="left"/>
              <w:rPr>
                <w:rFonts w:ascii="Times New Roman"/>
                <w:sz w:val="21"/>
              </w:rPr>
            </w:pPr>
            <w:r>
              <w:rPr>
                <w:rFonts w:ascii="Times New Roman"/>
                <w:color w:val="231F20"/>
                <w:spacing w:val="-6"/>
                <w:sz w:val="21"/>
              </w:rPr>
              <w:t>Examples of</w:t>
            </w:r>
            <w:r>
              <w:rPr>
                <w:rFonts w:ascii="Times New Roman"/>
                <w:color w:val="231F20"/>
                <w:spacing w:val="-5"/>
                <w:sz w:val="21"/>
              </w:rPr>
              <w:t> </w:t>
            </w:r>
            <w:r>
              <w:rPr>
                <w:rFonts w:ascii="Times New Roman"/>
                <w:color w:val="231F20"/>
                <w:spacing w:val="-6"/>
                <w:sz w:val="21"/>
              </w:rPr>
              <w:t>the</w:t>
            </w:r>
            <w:r>
              <w:rPr>
                <w:rFonts w:ascii="Times New Roman"/>
                <w:color w:val="231F20"/>
                <w:spacing w:val="-5"/>
                <w:sz w:val="21"/>
              </w:rPr>
              <w:t> </w:t>
            </w:r>
            <w:r>
              <w:rPr>
                <w:rFonts w:ascii="Times New Roman"/>
                <w:color w:val="231F20"/>
                <w:spacing w:val="-6"/>
                <w:sz w:val="21"/>
              </w:rPr>
              <w:t>distribution</w:t>
            </w:r>
            <w:r>
              <w:rPr>
                <w:rFonts w:ascii="Times New Roman"/>
                <w:color w:val="231F20"/>
                <w:spacing w:val="-5"/>
                <w:sz w:val="21"/>
              </w:rPr>
              <w:t> </w:t>
            </w:r>
            <w:r>
              <w:rPr>
                <w:rFonts w:ascii="Times New Roman"/>
                <w:color w:val="231F20"/>
                <w:spacing w:val="-6"/>
                <w:sz w:val="21"/>
              </w:rPr>
              <w:t>of</w:t>
            </w:r>
            <w:r>
              <w:rPr>
                <w:rFonts w:ascii="Times New Roman"/>
                <w:color w:val="231F20"/>
                <w:spacing w:val="-5"/>
                <w:sz w:val="21"/>
              </w:rPr>
              <w:t> </w:t>
            </w:r>
            <w:r>
              <w:rPr>
                <w:rFonts w:ascii="Times New Roman"/>
                <w:color w:val="231F20"/>
                <w:spacing w:val="-6"/>
                <w:sz w:val="21"/>
              </w:rPr>
              <w:t>import</w:t>
            </w:r>
            <w:r>
              <w:rPr>
                <w:rFonts w:ascii="Times New Roman"/>
                <w:color w:val="231F20"/>
                <w:spacing w:val="-5"/>
                <w:sz w:val="21"/>
              </w:rPr>
              <w:t> </w:t>
            </w:r>
            <w:r>
              <w:rPr>
                <w:rFonts w:ascii="Times New Roman"/>
                <w:color w:val="231F20"/>
                <w:spacing w:val="-6"/>
                <w:sz w:val="21"/>
              </w:rPr>
              <w:t>dwell</w:t>
            </w:r>
            <w:r>
              <w:rPr>
                <w:rFonts w:ascii="Times New Roman"/>
                <w:color w:val="231F20"/>
                <w:spacing w:val="-5"/>
                <w:sz w:val="21"/>
              </w:rPr>
              <w:t> </w:t>
            </w:r>
            <w:r>
              <w:rPr>
                <w:rFonts w:ascii="Times New Roman"/>
                <w:color w:val="231F20"/>
                <w:spacing w:val="-6"/>
                <w:sz w:val="21"/>
              </w:rPr>
              <w:t>time</w:t>
            </w:r>
            <w:r>
              <w:rPr>
                <w:rFonts w:ascii="Times New Roman"/>
                <w:color w:val="231F20"/>
                <w:sz w:val="21"/>
              </w:rPr>
              <w:tab/>
            </w:r>
            <w:r>
              <w:rPr>
                <w:rFonts w:ascii="Times New Roman"/>
                <w:color w:val="231F20"/>
                <w:spacing w:val="-5"/>
                <w:sz w:val="21"/>
              </w:rPr>
              <w:t>20</w:t>
            </w:r>
          </w:p>
        </w:tc>
        <w:tc>
          <w:tcPr>
            <w:tcW w:w="521" w:type="dxa"/>
            <w:vMerge/>
            <w:tcBorders>
              <w:top w:val="nil"/>
            </w:tcBorders>
          </w:tcPr>
          <w:p>
            <w:pPr>
              <w:rPr>
                <w:sz w:val="2"/>
                <w:szCs w:val="2"/>
              </w:rPr>
            </w:pPr>
          </w:p>
        </w:tc>
      </w:tr>
      <w:tr>
        <w:trPr>
          <w:trHeight w:val="270" w:hRule="atLeast"/>
        </w:trPr>
        <w:tc>
          <w:tcPr>
            <w:tcW w:w="518" w:type="dxa"/>
          </w:tcPr>
          <w:p>
            <w:pPr>
              <w:pStyle w:val="TableParagraph"/>
              <w:spacing w:before="0"/>
              <w:ind w:left="8" w:right="173"/>
              <w:rPr>
                <w:rFonts w:ascii="Times New Roman"/>
                <w:sz w:val="21"/>
              </w:rPr>
            </w:pPr>
            <w:r>
              <w:rPr>
                <w:rFonts w:ascii="Times New Roman"/>
                <w:color w:val="231F20"/>
                <w:spacing w:val="-5"/>
                <w:sz w:val="21"/>
              </w:rPr>
              <w:t>3.3</w:t>
            </w:r>
          </w:p>
        </w:tc>
        <w:tc>
          <w:tcPr>
            <w:tcW w:w="9380" w:type="dxa"/>
          </w:tcPr>
          <w:p>
            <w:pPr>
              <w:pStyle w:val="TableParagraph"/>
              <w:tabs>
                <w:tab w:pos="4629" w:val="right" w:leader="none"/>
              </w:tabs>
              <w:spacing w:before="0"/>
              <w:ind w:left="71"/>
              <w:jc w:val="left"/>
              <w:rPr>
                <w:rFonts w:ascii="Times New Roman"/>
                <w:sz w:val="21"/>
              </w:rPr>
            </w:pPr>
            <w:r>
              <w:rPr>
                <w:rFonts w:ascii="Times New Roman"/>
                <w:color w:val="231F20"/>
                <w:w w:val="90"/>
                <w:sz w:val="21"/>
              </w:rPr>
              <w:t>Dispersion</w:t>
            </w:r>
            <w:r>
              <w:rPr>
                <w:rFonts w:ascii="Times New Roman"/>
                <w:color w:val="231F20"/>
                <w:spacing w:val="4"/>
                <w:sz w:val="21"/>
              </w:rPr>
              <w:t> </w:t>
            </w:r>
            <w:r>
              <w:rPr>
                <w:rFonts w:ascii="Times New Roman"/>
                <w:color w:val="231F20"/>
                <w:w w:val="90"/>
                <w:sz w:val="21"/>
              </w:rPr>
              <w:t>of</w:t>
            </w:r>
            <w:r>
              <w:rPr>
                <w:rFonts w:ascii="Times New Roman"/>
                <w:color w:val="231F20"/>
                <w:spacing w:val="4"/>
                <w:sz w:val="21"/>
              </w:rPr>
              <w:t> </w:t>
            </w:r>
            <w:r>
              <w:rPr>
                <w:rFonts w:ascii="Times New Roman"/>
                <w:color w:val="231F20"/>
                <w:w w:val="90"/>
                <w:sz w:val="21"/>
              </w:rPr>
              <w:t>mean</w:t>
            </w:r>
            <w:r>
              <w:rPr>
                <w:rFonts w:ascii="Times New Roman"/>
                <w:color w:val="231F20"/>
                <w:spacing w:val="4"/>
                <w:sz w:val="21"/>
              </w:rPr>
              <w:t> </w:t>
            </w:r>
            <w:r>
              <w:rPr>
                <w:rFonts w:ascii="Times New Roman"/>
                <w:color w:val="231F20"/>
                <w:w w:val="90"/>
                <w:sz w:val="21"/>
              </w:rPr>
              <w:t>dwell</w:t>
            </w:r>
            <w:r>
              <w:rPr>
                <w:rFonts w:ascii="Times New Roman"/>
                <w:color w:val="231F20"/>
                <w:spacing w:val="4"/>
                <w:sz w:val="21"/>
              </w:rPr>
              <w:t> </w:t>
            </w:r>
            <w:r>
              <w:rPr>
                <w:rFonts w:ascii="Times New Roman"/>
                <w:color w:val="231F20"/>
                <w:w w:val="90"/>
                <w:sz w:val="21"/>
              </w:rPr>
              <w:t>time</w:t>
            </w:r>
            <w:r>
              <w:rPr>
                <w:rFonts w:ascii="Times New Roman"/>
                <w:color w:val="231F20"/>
                <w:spacing w:val="5"/>
                <w:sz w:val="21"/>
              </w:rPr>
              <w:t> </w:t>
            </w:r>
            <w:r>
              <w:rPr>
                <w:rFonts w:ascii="Times New Roman"/>
                <w:color w:val="231F20"/>
                <w:w w:val="90"/>
                <w:sz w:val="21"/>
              </w:rPr>
              <w:t>across</w:t>
            </w:r>
            <w:r>
              <w:rPr>
                <w:rFonts w:ascii="Times New Roman"/>
                <w:color w:val="231F20"/>
                <w:spacing w:val="4"/>
                <w:sz w:val="21"/>
              </w:rPr>
              <w:t> </w:t>
            </w:r>
            <w:r>
              <w:rPr>
                <w:rFonts w:ascii="Times New Roman"/>
                <w:color w:val="231F20"/>
                <w:w w:val="90"/>
                <w:sz w:val="21"/>
              </w:rPr>
              <w:t>the</w:t>
            </w:r>
            <w:r>
              <w:rPr>
                <w:rFonts w:ascii="Times New Roman"/>
                <w:color w:val="231F20"/>
                <w:spacing w:val="4"/>
                <w:sz w:val="21"/>
              </w:rPr>
              <w:t> </w:t>
            </w:r>
            <w:r>
              <w:rPr>
                <w:rFonts w:ascii="Times New Roman"/>
                <w:color w:val="231F20"/>
                <w:spacing w:val="-2"/>
                <w:w w:val="90"/>
                <w:sz w:val="21"/>
              </w:rPr>
              <w:t>world</w:t>
            </w:r>
            <w:r>
              <w:rPr>
                <w:rFonts w:ascii="Times New Roman"/>
                <w:color w:val="231F20"/>
                <w:sz w:val="21"/>
              </w:rPr>
              <w:tab/>
            </w:r>
            <w:r>
              <w:rPr>
                <w:rFonts w:ascii="Times New Roman"/>
                <w:color w:val="231F20"/>
                <w:spacing w:val="-5"/>
                <w:sz w:val="21"/>
              </w:rPr>
              <w:t>21</w:t>
            </w:r>
          </w:p>
        </w:tc>
        <w:tc>
          <w:tcPr>
            <w:tcW w:w="521" w:type="dxa"/>
            <w:vMerge/>
            <w:tcBorders>
              <w:top w:val="nil"/>
            </w:tcBorders>
          </w:tcPr>
          <w:p>
            <w:pPr>
              <w:rPr>
                <w:sz w:val="2"/>
                <w:szCs w:val="2"/>
              </w:rPr>
            </w:pPr>
          </w:p>
        </w:tc>
      </w:tr>
      <w:tr>
        <w:trPr>
          <w:trHeight w:val="270" w:hRule="atLeast"/>
        </w:trPr>
        <w:tc>
          <w:tcPr>
            <w:tcW w:w="518" w:type="dxa"/>
          </w:tcPr>
          <w:p>
            <w:pPr>
              <w:pStyle w:val="TableParagraph"/>
              <w:spacing w:before="0"/>
              <w:ind w:left="8" w:right="173"/>
              <w:rPr>
                <w:rFonts w:ascii="Times New Roman"/>
                <w:sz w:val="21"/>
              </w:rPr>
            </w:pPr>
            <w:r>
              <w:rPr>
                <w:rFonts w:ascii="Times New Roman"/>
                <w:color w:val="231F20"/>
                <w:spacing w:val="-5"/>
                <w:sz w:val="21"/>
              </w:rPr>
              <w:t>3.4</w:t>
            </w:r>
          </w:p>
        </w:tc>
        <w:tc>
          <w:tcPr>
            <w:tcW w:w="9380" w:type="dxa"/>
          </w:tcPr>
          <w:p>
            <w:pPr>
              <w:pStyle w:val="TableParagraph"/>
              <w:tabs>
                <w:tab w:pos="8755" w:val="right" w:leader="none"/>
              </w:tabs>
              <w:spacing w:before="0"/>
              <w:ind w:left="71"/>
              <w:jc w:val="left"/>
              <w:rPr>
                <w:rFonts w:ascii="Times New Roman" w:hAnsi="Times New Roman"/>
                <w:sz w:val="21"/>
              </w:rPr>
            </w:pPr>
            <w:r>
              <w:rPr>
                <w:rFonts w:ascii="Times New Roman" w:hAnsi="Times New Roman"/>
                <w:color w:val="231F20"/>
                <w:spacing w:val="-6"/>
                <w:sz w:val="21"/>
              </w:rPr>
              <w:t>Import and export dwell time of containers, May–October 2022, versus 2023 LPI score, by country</w:t>
            </w:r>
            <w:r>
              <w:rPr>
                <w:rFonts w:ascii="Times New Roman" w:hAnsi="Times New Roman"/>
                <w:color w:val="231F20"/>
                <w:sz w:val="21"/>
              </w:rPr>
              <w:tab/>
            </w:r>
            <w:r>
              <w:rPr>
                <w:rFonts w:ascii="Times New Roman" w:hAnsi="Times New Roman"/>
                <w:color w:val="231F20"/>
                <w:spacing w:val="-5"/>
                <w:sz w:val="21"/>
              </w:rPr>
              <w:t>21</w:t>
            </w:r>
          </w:p>
        </w:tc>
        <w:tc>
          <w:tcPr>
            <w:tcW w:w="521" w:type="dxa"/>
            <w:vMerge/>
            <w:tcBorders>
              <w:top w:val="nil"/>
            </w:tcBorders>
          </w:tcPr>
          <w:p>
            <w:pPr>
              <w:rPr>
                <w:sz w:val="2"/>
                <w:szCs w:val="2"/>
              </w:rPr>
            </w:pPr>
          </w:p>
        </w:tc>
      </w:tr>
      <w:tr>
        <w:trPr>
          <w:trHeight w:val="270" w:hRule="atLeast"/>
        </w:trPr>
        <w:tc>
          <w:tcPr>
            <w:tcW w:w="518" w:type="dxa"/>
          </w:tcPr>
          <w:p>
            <w:pPr>
              <w:pStyle w:val="TableParagraph"/>
              <w:spacing w:before="0"/>
              <w:ind w:right="173"/>
              <w:rPr>
                <w:rFonts w:ascii="Times New Roman"/>
                <w:sz w:val="21"/>
              </w:rPr>
            </w:pPr>
            <w:r>
              <w:rPr>
                <w:rFonts w:ascii="Times New Roman"/>
                <w:color w:val="231F20"/>
                <w:spacing w:val="-5"/>
                <w:sz w:val="21"/>
              </w:rPr>
              <w:t>3.5</w:t>
            </w:r>
          </w:p>
        </w:tc>
        <w:tc>
          <w:tcPr>
            <w:tcW w:w="9380" w:type="dxa"/>
          </w:tcPr>
          <w:p>
            <w:pPr>
              <w:pStyle w:val="TableParagraph"/>
              <w:tabs>
                <w:tab w:pos="5796" w:val="right" w:leader="none"/>
              </w:tabs>
              <w:spacing w:before="0"/>
              <w:ind w:left="71"/>
              <w:jc w:val="left"/>
              <w:rPr>
                <w:rFonts w:ascii="Times New Roman"/>
                <w:sz w:val="21"/>
              </w:rPr>
            </w:pPr>
            <w:r>
              <w:rPr>
                <w:rFonts w:ascii="Times New Roman"/>
                <w:color w:val="231F20"/>
                <w:w w:val="90"/>
                <w:sz w:val="21"/>
              </w:rPr>
              <w:t>Export</w:t>
            </w:r>
            <w:r>
              <w:rPr>
                <w:rFonts w:ascii="Times New Roman"/>
                <w:color w:val="231F20"/>
                <w:spacing w:val="9"/>
                <w:sz w:val="21"/>
              </w:rPr>
              <w:t> </w:t>
            </w:r>
            <w:r>
              <w:rPr>
                <w:rFonts w:ascii="Times New Roman"/>
                <w:color w:val="231F20"/>
                <w:w w:val="90"/>
                <w:sz w:val="21"/>
              </w:rPr>
              <w:t>dwell</w:t>
            </w:r>
            <w:r>
              <w:rPr>
                <w:rFonts w:ascii="Times New Roman"/>
                <w:color w:val="231F20"/>
                <w:spacing w:val="9"/>
                <w:sz w:val="21"/>
              </w:rPr>
              <w:t> </w:t>
            </w:r>
            <w:r>
              <w:rPr>
                <w:rFonts w:ascii="Times New Roman"/>
                <w:color w:val="231F20"/>
                <w:w w:val="90"/>
                <w:sz w:val="21"/>
              </w:rPr>
              <w:t>time</w:t>
            </w:r>
            <w:r>
              <w:rPr>
                <w:rFonts w:ascii="Times New Roman"/>
                <w:color w:val="231F20"/>
                <w:spacing w:val="9"/>
                <w:sz w:val="21"/>
              </w:rPr>
              <w:t> </w:t>
            </w:r>
            <w:r>
              <w:rPr>
                <w:rFonts w:ascii="Times New Roman"/>
                <w:color w:val="231F20"/>
                <w:w w:val="90"/>
                <w:sz w:val="21"/>
              </w:rPr>
              <w:t>versus</w:t>
            </w:r>
            <w:r>
              <w:rPr>
                <w:rFonts w:ascii="Times New Roman"/>
                <w:color w:val="231F20"/>
                <w:spacing w:val="9"/>
                <w:sz w:val="21"/>
              </w:rPr>
              <w:t> </w:t>
            </w:r>
            <w:r>
              <w:rPr>
                <w:rFonts w:ascii="Times New Roman"/>
                <w:color w:val="231F20"/>
                <w:w w:val="90"/>
                <w:sz w:val="21"/>
              </w:rPr>
              <w:t>import</w:t>
            </w:r>
            <w:r>
              <w:rPr>
                <w:rFonts w:ascii="Times New Roman"/>
                <w:color w:val="231F20"/>
                <w:spacing w:val="9"/>
                <w:sz w:val="21"/>
              </w:rPr>
              <w:t> </w:t>
            </w:r>
            <w:r>
              <w:rPr>
                <w:rFonts w:ascii="Times New Roman"/>
                <w:color w:val="231F20"/>
                <w:w w:val="90"/>
                <w:sz w:val="21"/>
              </w:rPr>
              <w:t>dwell</w:t>
            </w:r>
            <w:r>
              <w:rPr>
                <w:rFonts w:ascii="Times New Roman"/>
                <w:color w:val="231F20"/>
                <w:spacing w:val="10"/>
                <w:sz w:val="21"/>
              </w:rPr>
              <w:t> </w:t>
            </w:r>
            <w:r>
              <w:rPr>
                <w:rFonts w:ascii="Times New Roman"/>
                <w:color w:val="231F20"/>
                <w:w w:val="90"/>
                <w:sz w:val="21"/>
              </w:rPr>
              <w:t>time</w:t>
            </w:r>
            <w:r>
              <w:rPr>
                <w:rFonts w:ascii="Times New Roman"/>
                <w:color w:val="231F20"/>
                <w:spacing w:val="9"/>
                <w:sz w:val="21"/>
              </w:rPr>
              <w:t> </w:t>
            </w:r>
            <w:r>
              <w:rPr>
                <w:rFonts w:ascii="Times New Roman"/>
                <w:color w:val="231F20"/>
                <w:w w:val="90"/>
                <w:sz w:val="21"/>
              </w:rPr>
              <w:t>of</w:t>
            </w:r>
            <w:r>
              <w:rPr>
                <w:rFonts w:ascii="Times New Roman"/>
                <w:color w:val="231F20"/>
                <w:spacing w:val="9"/>
                <w:sz w:val="21"/>
              </w:rPr>
              <w:t> </w:t>
            </w:r>
            <w:r>
              <w:rPr>
                <w:rFonts w:ascii="Times New Roman"/>
                <w:color w:val="231F20"/>
                <w:w w:val="90"/>
                <w:sz w:val="21"/>
              </w:rPr>
              <w:t>container</w:t>
            </w:r>
            <w:r>
              <w:rPr>
                <w:rFonts w:ascii="Times New Roman"/>
                <w:color w:val="231F20"/>
                <w:spacing w:val="9"/>
                <w:sz w:val="21"/>
              </w:rPr>
              <w:t> </w:t>
            </w:r>
            <w:r>
              <w:rPr>
                <w:rFonts w:ascii="Times New Roman"/>
                <w:color w:val="231F20"/>
                <w:spacing w:val="-2"/>
                <w:w w:val="90"/>
                <w:sz w:val="21"/>
              </w:rPr>
              <w:t>ports</w:t>
            </w:r>
            <w:r>
              <w:rPr>
                <w:rFonts w:ascii="Times New Roman"/>
                <w:color w:val="231F20"/>
                <w:sz w:val="21"/>
              </w:rPr>
              <w:tab/>
            </w:r>
            <w:r>
              <w:rPr>
                <w:rFonts w:ascii="Times New Roman"/>
                <w:color w:val="231F20"/>
                <w:spacing w:val="-5"/>
                <w:sz w:val="21"/>
              </w:rPr>
              <w:t>23</w:t>
            </w:r>
          </w:p>
        </w:tc>
        <w:tc>
          <w:tcPr>
            <w:tcW w:w="521" w:type="dxa"/>
            <w:vMerge/>
            <w:tcBorders>
              <w:top w:val="nil"/>
            </w:tcBorders>
          </w:tcPr>
          <w:p>
            <w:pPr>
              <w:rPr>
                <w:sz w:val="2"/>
                <w:szCs w:val="2"/>
              </w:rPr>
            </w:pPr>
          </w:p>
        </w:tc>
      </w:tr>
      <w:tr>
        <w:trPr>
          <w:trHeight w:val="270" w:hRule="atLeast"/>
        </w:trPr>
        <w:tc>
          <w:tcPr>
            <w:tcW w:w="518" w:type="dxa"/>
          </w:tcPr>
          <w:p>
            <w:pPr>
              <w:pStyle w:val="TableParagraph"/>
              <w:spacing w:before="0"/>
              <w:ind w:left="11" w:right="173"/>
              <w:rPr>
                <w:rFonts w:ascii="Times New Roman"/>
                <w:sz w:val="21"/>
              </w:rPr>
            </w:pPr>
            <w:r>
              <w:rPr>
                <w:rFonts w:ascii="Times New Roman"/>
                <w:color w:val="231F20"/>
                <w:spacing w:val="-5"/>
                <w:sz w:val="21"/>
              </w:rPr>
              <w:t>3.6</w:t>
            </w:r>
          </w:p>
        </w:tc>
        <w:tc>
          <w:tcPr>
            <w:tcW w:w="9380" w:type="dxa"/>
          </w:tcPr>
          <w:p>
            <w:pPr>
              <w:pStyle w:val="TableParagraph"/>
              <w:tabs>
                <w:tab w:pos="6370" w:val="right" w:leader="none"/>
              </w:tabs>
              <w:spacing w:before="0"/>
              <w:ind w:left="71"/>
              <w:jc w:val="left"/>
              <w:rPr>
                <w:rFonts w:ascii="Times New Roman" w:hAnsi="Times New Roman"/>
                <w:sz w:val="21"/>
              </w:rPr>
            </w:pPr>
            <w:r>
              <w:rPr>
                <w:rFonts w:ascii="Times New Roman" w:hAnsi="Times New Roman"/>
                <w:color w:val="231F20"/>
                <w:spacing w:val="-4"/>
                <w:sz w:val="21"/>
              </w:rPr>
              <w:t>Outliers</w:t>
            </w:r>
            <w:r>
              <w:rPr>
                <w:rFonts w:ascii="Times New Roman" w:hAnsi="Times New Roman"/>
                <w:color w:val="231F20"/>
                <w:spacing w:val="-12"/>
                <w:sz w:val="21"/>
              </w:rPr>
              <w:t> </w:t>
            </w:r>
            <w:r>
              <w:rPr>
                <w:rFonts w:ascii="Times New Roman" w:hAnsi="Times New Roman"/>
                <w:color w:val="231F20"/>
                <w:spacing w:val="-4"/>
                <w:sz w:val="21"/>
              </w:rPr>
              <w:t>for</w:t>
            </w:r>
            <w:r>
              <w:rPr>
                <w:rFonts w:ascii="Times New Roman" w:hAnsi="Times New Roman"/>
                <w:color w:val="231F20"/>
                <w:spacing w:val="-11"/>
                <w:sz w:val="21"/>
              </w:rPr>
              <w:t> </w:t>
            </w:r>
            <w:r>
              <w:rPr>
                <w:rFonts w:ascii="Times New Roman" w:hAnsi="Times New Roman"/>
                <w:color w:val="231F20"/>
                <w:spacing w:val="-4"/>
                <w:sz w:val="21"/>
              </w:rPr>
              <w:t>import</w:t>
            </w:r>
            <w:r>
              <w:rPr>
                <w:rFonts w:ascii="Times New Roman" w:hAnsi="Times New Roman"/>
                <w:color w:val="231F20"/>
                <w:spacing w:val="-12"/>
                <w:sz w:val="21"/>
              </w:rPr>
              <w:t> </w:t>
            </w:r>
            <w:r>
              <w:rPr>
                <w:rFonts w:ascii="Times New Roman" w:hAnsi="Times New Roman"/>
                <w:color w:val="231F20"/>
                <w:spacing w:val="-4"/>
                <w:sz w:val="21"/>
              </w:rPr>
              <w:t>dwell</w:t>
            </w:r>
            <w:r>
              <w:rPr>
                <w:rFonts w:ascii="Times New Roman" w:hAnsi="Times New Roman"/>
                <w:color w:val="231F20"/>
                <w:spacing w:val="-11"/>
                <w:sz w:val="21"/>
              </w:rPr>
              <w:t> </w:t>
            </w:r>
            <w:r>
              <w:rPr>
                <w:rFonts w:ascii="Times New Roman" w:hAnsi="Times New Roman"/>
                <w:color w:val="231F20"/>
                <w:spacing w:val="-4"/>
                <w:sz w:val="21"/>
              </w:rPr>
              <w:t>time</w:t>
            </w:r>
            <w:r>
              <w:rPr>
                <w:rFonts w:ascii="Times New Roman" w:hAnsi="Times New Roman"/>
                <w:color w:val="231F20"/>
                <w:spacing w:val="-12"/>
                <w:sz w:val="21"/>
              </w:rPr>
              <w:t> </w:t>
            </w:r>
            <w:r>
              <w:rPr>
                <w:rFonts w:ascii="Times New Roman" w:hAnsi="Times New Roman"/>
                <w:color w:val="231F20"/>
                <w:spacing w:val="-4"/>
                <w:sz w:val="21"/>
              </w:rPr>
              <w:t>and</w:t>
            </w:r>
            <w:r>
              <w:rPr>
                <w:rFonts w:ascii="Times New Roman" w:hAnsi="Times New Roman"/>
                <w:color w:val="231F20"/>
                <w:spacing w:val="-11"/>
                <w:sz w:val="21"/>
              </w:rPr>
              <w:t> </w:t>
            </w:r>
            <w:r>
              <w:rPr>
                <w:rFonts w:ascii="Times New Roman" w:hAnsi="Times New Roman"/>
                <w:color w:val="231F20"/>
                <w:spacing w:val="-4"/>
                <w:sz w:val="21"/>
              </w:rPr>
              <w:t>comparators,</w:t>
            </w:r>
            <w:r>
              <w:rPr>
                <w:rFonts w:ascii="Times New Roman" w:hAnsi="Times New Roman"/>
                <w:color w:val="231F20"/>
                <w:spacing w:val="-12"/>
                <w:sz w:val="21"/>
              </w:rPr>
              <w:t> </w:t>
            </w:r>
            <w:r>
              <w:rPr>
                <w:rFonts w:ascii="Times New Roman" w:hAnsi="Times New Roman"/>
                <w:color w:val="231F20"/>
                <w:spacing w:val="-4"/>
                <w:sz w:val="21"/>
              </w:rPr>
              <w:t>May–October</w:t>
            </w:r>
            <w:r>
              <w:rPr>
                <w:rFonts w:ascii="Times New Roman" w:hAnsi="Times New Roman"/>
                <w:color w:val="231F20"/>
                <w:spacing w:val="-11"/>
                <w:sz w:val="21"/>
              </w:rPr>
              <w:t> </w:t>
            </w:r>
            <w:r>
              <w:rPr>
                <w:rFonts w:ascii="Times New Roman" w:hAnsi="Times New Roman"/>
                <w:color w:val="231F20"/>
                <w:spacing w:val="-4"/>
                <w:sz w:val="21"/>
              </w:rPr>
              <w:t>2022</w:t>
            </w:r>
            <w:r>
              <w:rPr>
                <w:rFonts w:ascii="Times New Roman" w:hAnsi="Times New Roman"/>
                <w:color w:val="231F20"/>
                <w:sz w:val="21"/>
              </w:rPr>
              <w:tab/>
            </w:r>
            <w:r>
              <w:rPr>
                <w:rFonts w:ascii="Times New Roman" w:hAnsi="Times New Roman"/>
                <w:color w:val="231F20"/>
                <w:spacing w:val="-5"/>
                <w:sz w:val="21"/>
              </w:rPr>
              <w:t>23</w:t>
            </w:r>
          </w:p>
        </w:tc>
        <w:tc>
          <w:tcPr>
            <w:tcW w:w="521" w:type="dxa"/>
            <w:vMerge/>
            <w:tcBorders>
              <w:top w:val="nil"/>
            </w:tcBorders>
          </w:tcPr>
          <w:p>
            <w:pPr>
              <w:rPr>
                <w:sz w:val="2"/>
                <w:szCs w:val="2"/>
              </w:rPr>
            </w:pPr>
          </w:p>
        </w:tc>
      </w:tr>
      <w:tr>
        <w:trPr>
          <w:trHeight w:val="270" w:hRule="atLeast"/>
        </w:trPr>
        <w:tc>
          <w:tcPr>
            <w:tcW w:w="518" w:type="dxa"/>
          </w:tcPr>
          <w:p>
            <w:pPr>
              <w:pStyle w:val="TableParagraph"/>
              <w:spacing w:before="0"/>
              <w:ind w:left="5" w:right="173"/>
              <w:rPr>
                <w:rFonts w:ascii="Times New Roman"/>
                <w:sz w:val="21"/>
              </w:rPr>
            </w:pPr>
            <w:r>
              <w:rPr>
                <w:rFonts w:ascii="Times New Roman"/>
                <w:color w:val="231F20"/>
                <w:spacing w:val="-5"/>
                <w:sz w:val="21"/>
              </w:rPr>
              <w:t>3.7</w:t>
            </w:r>
          </w:p>
        </w:tc>
        <w:tc>
          <w:tcPr>
            <w:tcW w:w="9380" w:type="dxa"/>
          </w:tcPr>
          <w:p>
            <w:pPr>
              <w:pStyle w:val="TableParagraph"/>
              <w:tabs>
                <w:tab w:pos="8514" w:val="right" w:leader="none"/>
              </w:tabs>
              <w:spacing w:before="0"/>
              <w:ind w:left="71"/>
              <w:jc w:val="left"/>
              <w:rPr>
                <w:rFonts w:ascii="Times New Roman"/>
                <w:sz w:val="21"/>
              </w:rPr>
            </w:pPr>
            <w:r>
              <w:rPr>
                <w:rFonts w:ascii="Times New Roman"/>
                <w:color w:val="231F20"/>
                <w:w w:val="90"/>
                <w:sz w:val="21"/>
              </w:rPr>
              <w:t>The</w:t>
            </w:r>
            <w:r>
              <w:rPr>
                <w:rFonts w:ascii="Times New Roman"/>
                <w:color w:val="231F20"/>
                <w:spacing w:val="9"/>
                <w:sz w:val="21"/>
              </w:rPr>
              <w:t> </w:t>
            </w:r>
            <w:r>
              <w:rPr>
                <w:rFonts w:ascii="Times New Roman"/>
                <w:color w:val="231F20"/>
                <w:w w:val="90"/>
                <w:sz w:val="21"/>
              </w:rPr>
              <w:t>association</w:t>
            </w:r>
            <w:r>
              <w:rPr>
                <w:rFonts w:ascii="Times New Roman"/>
                <w:color w:val="231F20"/>
                <w:spacing w:val="9"/>
                <w:sz w:val="21"/>
              </w:rPr>
              <w:t> </w:t>
            </w:r>
            <w:r>
              <w:rPr>
                <w:rFonts w:ascii="Times New Roman"/>
                <w:color w:val="231F20"/>
                <w:w w:val="90"/>
                <w:sz w:val="21"/>
              </w:rPr>
              <w:t>between</w:t>
            </w:r>
            <w:r>
              <w:rPr>
                <w:rFonts w:ascii="Times New Roman"/>
                <w:color w:val="231F20"/>
                <w:spacing w:val="9"/>
                <w:sz w:val="21"/>
              </w:rPr>
              <w:t> </w:t>
            </w:r>
            <w:r>
              <w:rPr>
                <w:rFonts w:ascii="Times New Roman"/>
                <w:color w:val="231F20"/>
                <w:w w:val="90"/>
                <w:sz w:val="21"/>
              </w:rPr>
              <w:t>average</w:t>
            </w:r>
            <w:r>
              <w:rPr>
                <w:rFonts w:ascii="Times New Roman"/>
                <w:color w:val="231F20"/>
                <w:spacing w:val="9"/>
                <w:sz w:val="21"/>
              </w:rPr>
              <w:t> </w:t>
            </w:r>
            <w:r>
              <w:rPr>
                <w:rFonts w:ascii="Times New Roman"/>
                <w:color w:val="231F20"/>
                <w:w w:val="90"/>
                <w:sz w:val="21"/>
              </w:rPr>
              <w:t>connectivity</w:t>
            </w:r>
            <w:r>
              <w:rPr>
                <w:rFonts w:ascii="Times New Roman"/>
                <w:color w:val="231F20"/>
                <w:spacing w:val="9"/>
                <w:sz w:val="21"/>
              </w:rPr>
              <w:t> </w:t>
            </w:r>
            <w:r>
              <w:rPr>
                <w:rFonts w:ascii="Times New Roman"/>
                <w:color w:val="231F20"/>
                <w:w w:val="90"/>
                <w:sz w:val="21"/>
              </w:rPr>
              <w:t>in</w:t>
            </w:r>
            <w:r>
              <w:rPr>
                <w:rFonts w:ascii="Times New Roman"/>
                <w:color w:val="231F20"/>
                <w:spacing w:val="9"/>
                <w:sz w:val="21"/>
              </w:rPr>
              <w:t> </w:t>
            </w:r>
            <w:r>
              <w:rPr>
                <w:rFonts w:ascii="Times New Roman"/>
                <w:color w:val="231F20"/>
                <w:w w:val="90"/>
                <w:sz w:val="21"/>
              </w:rPr>
              <w:t>container</w:t>
            </w:r>
            <w:r>
              <w:rPr>
                <w:rFonts w:ascii="Times New Roman"/>
                <w:color w:val="231F20"/>
                <w:spacing w:val="9"/>
                <w:sz w:val="21"/>
              </w:rPr>
              <w:t> </w:t>
            </w:r>
            <w:r>
              <w:rPr>
                <w:rFonts w:ascii="Times New Roman"/>
                <w:color w:val="231F20"/>
                <w:w w:val="90"/>
                <w:sz w:val="21"/>
              </w:rPr>
              <w:t>shipping</w:t>
            </w:r>
            <w:r>
              <w:rPr>
                <w:rFonts w:ascii="Times New Roman"/>
                <w:color w:val="231F20"/>
                <w:spacing w:val="9"/>
                <w:sz w:val="21"/>
              </w:rPr>
              <w:t> </w:t>
            </w:r>
            <w:r>
              <w:rPr>
                <w:rFonts w:ascii="Times New Roman"/>
                <w:color w:val="231F20"/>
                <w:w w:val="90"/>
                <w:sz w:val="21"/>
              </w:rPr>
              <w:t>and</w:t>
            </w:r>
            <w:r>
              <w:rPr>
                <w:rFonts w:ascii="Times New Roman"/>
                <w:color w:val="231F20"/>
                <w:spacing w:val="9"/>
                <w:sz w:val="21"/>
              </w:rPr>
              <w:t> </w:t>
            </w:r>
            <w:r>
              <w:rPr>
                <w:rFonts w:ascii="Times New Roman"/>
                <w:color w:val="231F20"/>
                <w:w w:val="90"/>
                <w:sz w:val="21"/>
              </w:rPr>
              <w:t>2023</w:t>
            </w:r>
            <w:r>
              <w:rPr>
                <w:rFonts w:ascii="Times New Roman"/>
                <w:color w:val="231F20"/>
                <w:spacing w:val="9"/>
                <w:sz w:val="21"/>
              </w:rPr>
              <w:t> </w:t>
            </w:r>
            <w:r>
              <w:rPr>
                <w:rFonts w:ascii="Times New Roman"/>
                <w:color w:val="231F20"/>
                <w:w w:val="90"/>
                <w:sz w:val="21"/>
              </w:rPr>
              <w:t>LPI</w:t>
            </w:r>
            <w:r>
              <w:rPr>
                <w:rFonts w:ascii="Times New Roman"/>
                <w:color w:val="231F20"/>
                <w:spacing w:val="9"/>
                <w:sz w:val="21"/>
              </w:rPr>
              <w:t> </w:t>
            </w:r>
            <w:r>
              <w:rPr>
                <w:rFonts w:ascii="Times New Roman"/>
                <w:color w:val="231F20"/>
                <w:w w:val="90"/>
                <w:sz w:val="21"/>
              </w:rPr>
              <w:t>score</w:t>
            </w:r>
            <w:r>
              <w:rPr>
                <w:rFonts w:ascii="Times New Roman"/>
                <w:color w:val="231F20"/>
                <w:spacing w:val="9"/>
                <w:sz w:val="21"/>
              </w:rPr>
              <w:t> </w:t>
            </w:r>
            <w:r>
              <w:rPr>
                <w:rFonts w:ascii="Times New Roman"/>
                <w:color w:val="231F20"/>
                <w:spacing w:val="-2"/>
                <w:w w:val="90"/>
                <w:sz w:val="21"/>
              </w:rPr>
              <w:t>quintiles</w:t>
            </w:r>
            <w:r>
              <w:rPr>
                <w:rFonts w:ascii="Times New Roman"/>
                <w:color w:val="231F20"/>
                <w:sz w:val="21"/>
              </w:rPr>
              <w:tab/>
            </w:r>
            <w:r>
              <w:rPr>
                <w:rFonts w:ascii="Times New Roman"/>
                <w:color w:val="231F20"/>
                <w:spacing w:val="-5"/>
                <w:sz w:val="21"/>
              </w:rPr>
              <w:t>25</w:t>
            </w:r>
          </w:p>
        </w:tc>
        <w:tc>
          <w:tcPr>
            <w:tcW w:w="521" w:type="dxa"/>
            <w:vMerge/>
            <w:tcBorders>
              <w:top w:val="nil"/>
            </w:tcBorders>
          </w:tcPr>
          <w:p>
            <w:pPr>
              <w:rPr>
                <w:sz w:val="2"/>
                <w:szCs w:val="2"/>
              </w:rPr>
            </w:pPr>
          </w:p>
        </w:tc>
      </w:tr>
      <w:tr>
        <w:trPr>
          <w:trHeight w:val="270" w:hRule="atLeast"/>
        </w:trPr>
        <w:tc>
          <w:tcPr>
            <w:tcW w:w="518" w:type="dxa"/>
          </w:tcPr>
          <w:p>
            <w:pPr>
              <w:pStyle w:val="TableParagraph"/>
              <w:spacing w:before="0"/>
              <w:ind w:left="12" w:right="173"/>
              <w:rPr>
                <w:rFonts w:ascii="Times New Roman"/>
                <w:sz w:val="21"/>
              </w:rPr>
            </w:pPr>
            <w:r>
              <w:rPr>
                <w:rFonts w:ascii="Times New Roman"/>
                <w:color w:val="231F20"/>
                <w:spacing w:val="-5"/>
                <w:sz w:val="21"/>
              </w:rPr>
              <w:t>3.8</w:t>
            </w:r>
          </w:p>
        </w:tc>
        <w:tc>
          <w:tcPr>
            <w:tcW w:w="9380" w:type="dxa"/>
          </w:tcPr>
          <w:p>
            <w:pPr>
              <w:pStyle w:val="TableParagraph"/>
              <w:spacing w:before="0"/>
              <w:ind w:left="71"/>
              <w:jc w:val="left"/>
              <w:rPr>
                <w:rFonts w:ascii="Times New Roman"/>
                <w:sz w:val="21"/>
              </w:rPr>
            </w:pPr>
            <w:r>
              <w:rPr>
                <w:rFonts w:ascii="Times New Roman"/>
                <w:color w:val="231F20"/>
                <w:w w:val="90"/>
                <w:sz w:val="21"/>
              </w:rPr>
              <w:t>The</w:t>
            </w:r>
            <w:r>
              <w:rPr>
                <w:rFonts w:ascii="Times New Roman"/>
                <w:color w:val="231F20"/>
                <w:spacing w:val="6"/>
                <w:sz w:val="21"/>
              </w:rPr>
              <w:t> </w:t>
            </w:r>
            <w:r>
              <w:rPr>
                <w:rFonts w:ascii="Times New Roman"/>
                <w:color w:val="231F20"/>
                <w:w w:val="90"/>
                <w:sz w:val="21"/>
              </w:rPr>
              <w:t>association</w:t>
            </w:r>
            <w:r>
              <w:rPr>
                <w:rFonts w:ascii="Times New Roman"/>
                <w:color w:val="231F20"/>
                <w:spacing w:val="7"/>
                <w:sz w:val="21"/>
              </w:rPr>
              <w:t> </w:t>
            </w:r>
            <w:r>
              <w:rPr>
                <w:rFonts w:ascii="Times New Roman"/>
                <w:color w:val="231F20"/>
                <w:w w:val="90"/>
                <w:sz w:val="21"/>
              </w:rPr>
              <w:t>between</w:t>
            </w:r>
            <w:r>
              <w:rPr>
                <w:rFonts w:ascii="Times New Roman"/>
                <w:color w:val="231F20"/>
                <w:spacing w:val="7"/>
                <w:sz w:val="21"/>
              </w:rPr>
              <w:t> </w:t>
            </w:r>
            <w:r>
              <w:rPr>
                <w:rFonts w:ascii="Times New Roman"/>
                <w:color w:val="231F20"/>
                <w:w w:val="90"/>
                <w:sz w:val="21"/>
              </w:rPr>
              <w:t>average</w:t>
            </w:r>
            <w:r>
              <w:rPr>
                <w:rFonts w:ascii="Times New Roman"/>
                <w:color w:val="231F20"/>
                <w:spacing w:val="7"/>
                <w:sz w:val="21"/>
              </w:rPr>
              <w:t> </w:t>
            </w:r>
            <w:r>
              <w:rPr>
                <w:rFonts w:ascii="Times New Roman"/>
                <w:color w:val="231F20"/>
                <w:w w:val="90"/>
                <w:sz w:val="21"/>
              </w:rPr>
              <w:t>inbound</w:t>
            </w:r>
            <w:r>
              <w:rPr>
                <w:rFonts w:ascii="Times New Roman"/>
                <w:color w:val="231F20"/>
                <w:spacing w:val="6"/>
                <w:sz w:val="21"/>
              </w:rPr>
              <w:t> </w:t>
            </w:r>
            <w:r>
              <w:rPr>
                <w:rFonts w:ascii="Times New Roman"/>
                <w:color w:val="231F20"/>
                <w:w w:val="90"/>
                <w:sz w:val="21"/>
              </w:rPr>
              <w:t>connectivity</w:t>
            </w:r>
            <w:r>
              <w:rPr>
                <w:rFonts w:ascii="Times New Roman"/>
                <w:color w:val="231F20"/>
                <w:spacing w:val="66"/>
                <w:sz w:val="21"/>
              </w:rPr>
              <w:t> </w:t>
            </w:r>
            <w:r>
              <w:rPr>
                <w:rFonts w:ascii="Times New Roman"/>
                <w:color w:val="231F20"/>
                <w:w w:val="90"/>
                <w:sz w:val="21"/>
              </w:rPr>
              <w:t>in</w:t>
            </w:r>
            <w:r>
              <w:rPr>
                <w:rFonts w:ascii="Times New Roman"/>
                <w:color w:val="231F20"/>
                <w:spacing w:val="6"/>
                <w:sz w:val="21"/>
              </w:rPr>
              <w:t> </w:t>
            </w:r>
            <w:r>
              <w:rPr>
                <w:rFonts w:ascii="Times New Roman"/>
                <w:color w:val="231F20"/>
                <w:w w:val="90"/>
                <w:sz w:val="21"/>
              </w:rPr>
              <w:t>aviation</w:t>
            </w:r>
            <w:r>
              <w:rPr>
                <w:rFonts w:ascii="Times New Roman"/>
                <w:color w:val="231F20"/>
                <w:spacing w:val="7"/>
                <w:sz w:val="21"/>
              </w:rPr>
              <w:t> </w:t>
            </w:r>
            <w:r>
              <w:rPr>
                <w:rFonts w:ascii="Times New Roman"/>
                <w:color w:val="231F20"/>
                <w:w w:val="90"/>
                <w:sz w:val="21"/>
              </w:rPr>
              <w:t>and</w:t>
            </w:r>
            <w:r>
              <w:rPr>
                <w:rFonts w:ascii="Times New Roman"/>
                <w:color w:val="231F20"/>
                <w:spacing w:val="7"/>
                <w:sz w:val="21"/>
              </w:rPr>
              <w:t> </w:t>
            </w:r>
            <w:r>
              <w:rPr>
                <w:rFonts w:ascii="Times New Roman"/>
                <w:color w:val="231F20"/>
                <w:w w:val="90"/>
                <w:sz w:val="21"/>
              </w:rPr>
              <w:t>postal</w:t>
            </w:r>
            <w:r>
              <w:rPr>
                <w:rFonts w:ascii="Times New Roman"/>
                <w:color w:val="231F20"/>
                <w:spacing w:val="7"/>
                <w:sz w:val="21"/>
              </w:rPr>
              <w:t> </w:t>
            </w:r>
            <w:r>
              <w:rPr>
                <w:rFonts w:ascii="Times New Roman"/>
                <w:color w:val="231F20"/>
                <w:w w:val="90"/>
                <w:sz w:val="21"/>
              </w:rPr>
              <w:t>services</w:t>
            </w:r>
            <w:r>
              <w:rPr>
                <w:rFonts w:ascii="Times New Roman"/>
                <w:color w:val="231F20"/>
                <w:spacing w:val="6"/>
                <w:sz w:val="21"/>
              </w:rPr>
              <w:t> </w:t>
            </w:r>
            <w:r>
              <w:rPr>
                <w:rFonts w:ascii="Times New Roman"/>
                <w:color w:val="231F20"/>
                <w:w w:val="90"/>
                <w:sz w:val="21"/>
              </w:rPr>
              <w:t>and</w:t>
            </w:r>
            <w:r>
              <w:rPr>
                <w:rFonts w:ascii="Times New Roman"/>
                <w:color w:val="231F20"/>
                <w:spacing w:val="7"/>
                <w:sz w:val="21"/>
              </w:rPr>
              <w:t> </w:t>
            </w:r>
            <w:r>
              <w:rPr>
                <w:rFonts w:ascii="Times New Roman"/>
                <w:color w:val="231F20"/>
                <w:w w:val="90"/>
                <w:sz w:val="21"/>
              </w:rPr>
              <w:t>2023</w:t>
            </w:r>
            <w:r>
              <w:rPr>
                <w:rFonts w:ascii="Times New Roman"/>
                <w:color w:val="231F20"/>
                <w:spacing w:val="7"/>
                <w:sz w:val="21"/>
              </w:rPr>
              <w:t> </w:t>
            </w:r>
            <w:r>
              <w:rPr>
                <w:rFonts w:ascii="Times New Roman"/>
                <w:color w:val="231F20"/>
                <w:w w:val="90"/>
                <w:sz w:val="21"/>
              </w:rPr>
              <w:t>LPI</w:t>
            </w:r>
            <w:r>
              <w:rPr>
                <w:rFonts w:ascii="Times New Roman"/>
                <w:color w:val="231F20"/>
                <w:spacing w:val="7"/>
                <w:sz w:val="21"/>
              </w:rPr>
              <w:t> </w:t>
            </w:r>
            <w:r>
              <w:rPr>
                <w:rFonts w:ascii="Times New Roman"/>
                <w:color w:val="231F20"/>
                <w:w w:val="90"/>
                <w:sz w:val="21"/>
              </w:rPr>
              <w:t>score</w:t>
            </w:r>
            <w:r>
              <w:rPr>
                <w:rFonts w:ascii="Times New Roman"/>
                <w:color w:val="231F20"/>
                <w:spacing w:val="6"/>
                <w:sz w:val="21"/>
              </w:rPr>
              <w:t> </w:t>
            </w:r>
            <w:r>
              <w:rPr>
                <w:rFonts w:ascii="Times New Roman"/>
                <w:color w:val="231F20"/>
                <w:spacing w:val="-2"/>
                <w:w w:val="90"/>
                <w:sz w:val="21"/>
              </w:rPr>
              <w:t>quintiles</w:t>
            </w:r>
          </w:p>
        </w:tc>
        <w:tc>
          <w:tcPr>
            <w:tcW w:w="521" w:type="dxa"/>
          </w:tcPr>
          <w:p>
            <w:pPr>
              <w:pStyle w:val="TableParagraph"/>
              <w:spacing w:before="0"/>
              <w:ind w:left="264"/>
              <w:jc w:val="left"/>
              <w:rPr>
                <w:rFonts w:ascii="Times New Roman"/>
                <w:sz w:val="21"/>
              </w:rPr>
            </w:pPr>
            <w:r>
              <w:rPr>
                <w:rFonts w:ascii="Times New Roman"/>
                <w:color w:val="231F20"/>
                <w:spacing w:val="-5"/>
                <w:sz w:val="21"/>
              </w:rPr>
              <w:t>26</w:t>
            </w:r>
          </w:p>
        </w:tc>
      </w:tr>
      <w:tr>
        <w:trPr>
          <w:trHeight w:val="270" w:hRule="atLeast"/>
        </w:trPr>
        <w:tc>
          <w:tcPr>
            <w:tcW w:w="518" w:type="dxa"/>
          </w:tcPr>
          <w:p>
            <w:pPr>
              <w:pStyle w:val="TableParagraph"/>
              <w:spacing w:before="0"/>
              <w:ind w:right="173"/>
              <w:rPr>
                <w:rFonts w:ascii="Times New Roman"/>
                <w:sz w:val="21"/>
              </w:rPr>
            </w:pPr>
            <w:r>
              <w:rPr>
                <w:rFonts w:ascii="Times New Roman"/>
                <w:color w:val="231F20"/>
                <w:spacing w:val="-5"/>
                <w:sz w:val="21"/>
              </w:rPr>
              <w:t>3.9</w:t>
            </w:r>
          </w:p>
        </w:tc>
        <w:tc>
          <w:tcPr>
            <w:tcW w:w="9380" w:type="dxa"/>
          </w:tcPr>
          <w:p>
            <w:pPr>
              <w:pStyle w:val="TableParagraph"/>
              <w:tabs>
                <w:tab w:pos="8478" w:val="right" w:leader="none"/>
              </w:tabs>
              <w:spacing w:before="0"/>
              <w:ind w:left="71"/>
              <w:jc w:val="left"/>
              <w:rPr>
                <w:rFonts w:ascii="Times New Roman"/>
                <w:sz w:val="21"/>
              </w:rPr>
            </w:pPr>
            <w:r>
              <w:rPr>
                <w:rFonts w:ascii="Times New Roman"/>
                <w:color w:val="231F20"/>
                <w:spacing w:val="-6"/>
                <w:sz w:val="21"/>
              </w:rPr>
              <w:t>Most</w:t>
            </w:r>
            <w:r>
              <w:rPr>
                <w:rFonts w:ascii="Times New Roman"/>
                <w:color w:val="231F20"/>
                <w:spacing w:val="-8"/>
                <w:sz w:val="21"/>
              </w:rPr>
              <w:t> </w:t>
            </w:r>
            <w:r>
              <w:rPr>
                <w:rFonts w:ascii="Times New Roman"/>
                <w:color w:val="231F20"/>
                <w:spacing w:val="-6"/>
                <w:sz w:val="21"/>
              </w:rPr>
              <w:t>maritime</w:t>
            </w:r>
            <w:r>
              <w:rPr>
                <w:rFonts w:ascii="Times New Roman"/>
                <w:color w:val="231F20"/>
                <w:spacing w:val="-8"/>
                <w:sz w:val="21"/>
              </w:rPr>
              <w:t> </w:t>
            </w:r>
            <w:r>
              <w:rPr>
                <w:rFonts w:ascii="Times New Roman"/>
                <w:color w:val="231F20"/>
                <w:spacing w:val="-6"/>
                <w:sz w:val="21"/>
              </w:rPr>
              <w:t>economies</w:t>
            </w:r>
            <w:r>
              <w:rPr>
                <w:rFonts w:ascii="Times New Roman"/>
                <w:color w:val="231F20"/>
                <w:spacing w:val="-8"/>
                <w:sz w:val="21"/>
              </w:rPr>
              <w:t> </w:t>
            </w:r>
            <w:r>
              <w:rPr>
                <w:rFonts w:ascii="Times New Roman"/>
                <w:color w:val="231F20"/>
                <w:spacing w:val="-6"/>
                <w:sz w:val="21"/>
              </w:rPr>
              <w:t>have</w:t>
            </w:r>
            <w:r>
              <w:rPr>
                <w:rFonts w:ascii="Times New Roman"/>
                <w:color w:val="231F20"/>
                <w:spacing w:val="-7"/>
                <w:sz w:val="21"/>
              </w:rPr>
              <w:t> </w:t>
            </w:r>
            <w:r>
              <w:rPr>
                <w:rFonts w:ascii="Times New Roman"/>
                <w:color w:val="231F20"/>
                <w:spacing w:val="-6"/>
                <w:sz w:val="21"/>
              </w:rPr>
              <w:t>less</w:t>
            </w:r>
            <w:r>
              <w:rPr>
                <w:rFonts w:ascii="Times New Roman"/>
                <w:color w:val="231F20"/>
                <w:spacing w:val="-8"/>
                <w:sz w:val="21"/>
              </w:rPr>
              <w:t> </w:t>
            </w:r>
            <w:r>
              <w:rPr>
                <w:rFonts w:ascii="Times New Roman"/>
                <w:color w:val="231F20"/>
                <w:spacing w:val="-6"/>
                <w:sz w:val="21"/>
              </w:rPr>
              <w:t>than</w:t>
            </w:r>
            <w:r>
              <w:rPr>
                <w:rFonts w:ascii="Times New Roman"/>
                <w:color w:val="231F20"/>
                <w:spacing w:val="-8"/>
                <w:sz w:val="21"/>
              </w:rPr>
              <w:t> </w:t>
            </w:r>
            <w:r>
              <w:rPr>
                <w:rFonts w:ascii="Times New Roman"/>
                <w:color w:val="231F20"/>
                <w:spacing w:val="-6"/>
                <w:sz w:val="21"/>
              </w:rPr>
              <w:t>20</w:t>
            </w:r>
            <w:r>
              <w:rPr>
                <w:rFonts w:ascii="Times New Roman"/>
                <w:color w:val="231F20"/>
                <w:spacing w:val="-7"/>
                <w:sz w:val="21"/>
              </w:rPr>
              <w:t> </w:t>
            </w:r>
            <w:r>
              <w:rPr>
                <w:rFonts w:ascii="Times New Roman"/>
                <w:color w:val="231F20"/>
                <w:spacing w:val="-6"/>
                <w:sz w:val="21"/>
              </w:rPr>
              <w:t>shipping</w:t>
            </w:r>
            <w:r>
              <w:rPr>
                <w:rFonts w:ascii="Times New Roman"/>
                <w:color w:val="231F20"/>
                <w:spacing w:val="-8"/>
                <w:sz w:val="21"/>
              </w:rPr>
              <w:t> </w:t>
            </w:r>
            <w:r>
              <w:rPr>
                <w:rFonts w:ascii="Times New Roman"/>
                <w:color w:val="231F20"/>
                <w:spacing w:val="-6"/>
                <w:sz w:val="21"/>
              </w:rPr>
              <w:t>connections</w:t>
            </w:r>
            <w:r>
              <w:rPr>
                <w:rFonts w:ascii="Times New Roman"/>
                <w:color w:val="231F20"/>
                <w:spacing w:val="-8"/>
                <w:sz w:val="21"/>
              </w:rPr>
              <w:t> </w:t>
            </w:r>
            <w:r>
              <w:rPr>
                <w:rFonts w:ascii="Times New Roman"/>
                <w:color w:val="231F20"/>
                <w:spacing w:val="-6"/>
                <w:sz w:val="21"/>
              </w:rPr>
              <w:t>and</w:t>
            </w:r>
            <w:r>
              <w:rPr>
                <w:rFonts w:ascii="Times New Roman"/>
                <w:color w:val="231F20"/>
                <w:spacing w:val="-7"/>
                <w:sz w:val="21"/>
              </w:rPr>
              <w:t> </w:t>
            </w:r>
            <w:r>
              <w:rPr>
                <w:rFonts w:ascii="Times New Roman"/>
                <w:color w:val="231F20"/>
                <w:spacing w:val="-6"/>
                <w:sz w:val="21"/>
              </w:rPr>
              <w:t>depend</w:t>
            </w:r>
            <w:r>
              <w:rPr>
                <w:rFonts w:ascii="Times New Roman"/>
                <w:color w:val="231F20"/>
                <w:spacing w:val="-8"/>
                <w:sz w:val="21"/>
              </w:rPr>
              <w:t> </w:t>
            </w:r>
            <w:r>
              <w:rPr>
                <w:rFonts w:ascii="Times New Roman"/>
                <w:color w:val="231F20"/>
                <w:spacing w:val="-6"/>
                <w:sz w:val="21"/>
              </w:rPr>
              <w:t>on</w:t>
            </w:r>
            <w:r>
              <w:rPr>
                <w:rFonts w:ascii="Times New Roman"/>
                <w:color w:val="231F20"/>
                <w:spacing w:val="-8"/>
                <w:sz w:val="21"/>
              </w:rPr>
              <w:t> </w:t>
            </w:r>
            <w:r>
              <w:rPr>
                <w:rFonts w:ascii="Times New Roman"/>
                <w:color w:val="231F20"/>
                <w:spacing w:val="-6"/>
                <w:sz w:val="21"/>
              </w:rPr>
              <w:t>transshipment</w:t>
            </w:r>
            <w:r>
              <w:rPr>
                <w:rFonts w:ascii="Times New Roman"/>
                <w:color w:val="231F20"/>
                <w:sz w:val="21"/>
              </w:rPr>
              <w:tab/>
            </w:r>
            <w:r>
              <w:rPr>
                <w:rFonts w:ascii="Times New Roman"/>
                <w:color w:val="231F20"/>
                <w:spacing w:val="-5"/>
                <w:sz w:val="21"/>
              </w:rPr>
              <w:t>26</w:t>
            </w:r>
          </w:p>
        </w:tc>
        <w:tc>
          <w:tcPr>
            <w:tcW w:w="521" w:type="dxa"/>
          </w:tcPr>
          <w:p>
            <w:pPr>
              <w:pStyle w:val="TableParagraph"/>
              <w:spacing w:before="0"/>
              <w:jc w:val="left"/>
              <w:rPr>
                <w:rFonts w:ascii="Times New Roman"/>
                <w:sz w:val="20"/>
              </w:rPr>
            </w:pPr>
          </w:p>
        </w:tc>
      </w:tr>
      <w:tr>
        <w:trPr>
          <w:trHeight w:val="270" w:hRule="atLeast"/>
        </w:trPr>
        <w:tc>
          <w:tcPr>
            <w:tcW w:w="518" w:type="dxa"/>
          </w:tcPr>
          <w:p>
            <w:pPr>
              <w:pStyle w:val="TableParagraph"/>
              <w:spacing w:before="0"/>
              <w:ind w:left="5" w:right="173"/>
              <w:rPr>
                <w:rFonts w:ascii="Times New Roman"/>
                <w:sz w:val="21"/>
              </w:rPr>
            </w:pPr>
            <w:r>
              <w:rPr>
                <w:rFonts w:ascii="Times New Roman"/>
                <w:color w:val="231F20"/>
                <w:spacing w:val="-5"/>
                <w:sz w:val="21"/>
              </w:rPr>
              <w:t>4.1</w:t>
            </w:r>
          </w:p>
        </w:tc>
        <w:tc>
          <w:tcPr>
            <w:tcW w:w="9380" w:type="dxa"/>
          </w:tcPr>
          <w:p>
            <w:pPr>
              <w:pStyle w:val="TableParagraph"/>
              <w:tabs>
                <w:tab w:pos="7931" w:val="right" w:leader="none"/>
              </w:tabs>
              <w:spacing w:before="0"/>
              <w:ind w:left="71"/>
              <w:jc w:val="left"/>
              <w:rPr>
                <w:rFonts w:ascii="Times New Roman"/>
                <w:sz w:val="21"/>
              </w:rPr>
            </w:pPr>
            <w:r>
              <w:rPr>
                <w:rFonts w:ascii="Times New Roman"/>
                <w:color w:val="231F20"/>
                <w:w w:val="90"/>
                <w:sz w:val="21"/>
              </w:rPr>
              <w:t>Demand</w:t>
            </w:r>
            <w:r>
              <w:rPr>
                <w:rFonts w:ascii="Times New Roman"/>
                <w:color w:val="231F20"/>
                <w:spacing w:val="15"/>
                <w:sz w:val="21"/>
              </w:rPr>
              <w:t> </w:t>
            </w:r>
            <w:r>
              <w:rPr>
                <w:rFonts w:ascii="Times New Roman"/>
                <w:color w:val="231F20"/>
                <w:w w:val="90"/>
                <w:sz w:val="21"/>
              </w:rPr>
              <w:t>for</w:t>
            </w:r>
            <w:r>
              <w:rPr>
                <w:rFonts w:ascii="Times New Roman"/>
                <w:color w:val="231F20"/>
                <w:spacing w:val="15"/>
                <w:sz w:val="21"/>
              </w:rPr>
              <w:t> </w:t>
            </w:r>
            <w:r>
              <w:rPr>
                <w:rFonts w:ascii="Times New Roman"/>
                <w:color w:val="231F20"/>
                <w:w w:val="90"/>
                <w:sz w:val="21"/>
              </w:rPr>
              <w:t>environmentally</w:t>
            </w:r>
            <w:r>
              <w:rPr>
                <w:rFonts w:ascii="Times New Roman"/>
                <w:color w:val="231F20"/>
                <w:spacing w:val="16"/>
                <w:sz w:val="21"/>
              </w:rPr>
              <w:t> </w:t>
            </w:r>
            <w:r>
              <w:rPr>
                <w:rFonts w:ascii="Times New Roman"/>
                <w:color w:val="231F20"/>
                <w:w w:val="90"/>
                <w:sz w:val="21"/>
              </w:rPr>
              <w:t>friendly</w:t>
            </w:r>
            <w:r>
              <w:rPr>
                <w:rFonts w:ascii="Times New Roman"/>
                <w:color w:val="231F20"/>
                <w:spacing w:val="15"/>
                <w:sz w:val="21"/>
              </w:rPr>
              <w:t> </w:t>
            </w:r>
            <w:r>
              <w:rPr>
                <w:rFonts w:ascii="Times New Roman"/>
                <w:color w:val="231F20"/>
                <w:w w:val="90"/>
                <w:sz w:val="21"/>
              </w:rPr>
              <w:t>shipping</w:t>
            </w:r>
            <w:r>
              <w:rPr>
                <w:rFonts w:ascii="Times New Roman"/>
                <w:color w:val="231F20"/>
                <w:spacing w:val="16"/>
                <w:sz w:val="21"/>
              </w:rPr>
              <w:t> </w:t>
            </w:r>
            <w:r>
              <w:rPr>
                <w:rFonts w:ascii="Times New Roman"/>
                <w:color w:val="231F20"/>
                <w:w w:val="90"/>
                <w:sz w:val="21"/>
              </w:rPr>
              <w:t>options,</w:t>
            </w:r>
            <w:r>
              <w:rPr>
                <w:rFonts w:ascii="Times New Roman"/>
                <w:color w:val="231F20"/>
                <w:spacing w:val="15"/>
                <w:sz w:val="21"/>
              </w:rPr>
              <w:t> </w:t>
            </w:r>
            <w:r>
              <w:rPr>
                <w:rFonts w:ascii="Times New Roman"/>
                <w:color w:val="231F20"/>
                <w:w w:val="90"/>
                <w:sz w:val="21"/>
              </w:rPr>
              <w:t>by</w:t>
            </w:r>
            <w:r>
              <w:rPr>
                <w:rFonts w:ascii="Times New Roman"/>
                <w:color w:val="231F20"/>
                <w:spacing w:val="16"/>
                <w:sz w:val="21"/>
              </w:rPr>
              <w:t> </w:t>
            </w:r>
            <w:r>
              <w:rPr>
                <w:rFonts w:ascii="Times New Roman"/>
                <w:color w:val="231F20"/>
                <w:w w:val="90"/>
                <w:sz w:val="21"/>
              </w:rPr>
              <w:t>destination</w:t>
            </w:r>
            <w:r>
              <w:rPr>
                <w:rFonts w:ascii="Times New Roman"/>
                <w:color w:val="231F20"/>
                <w:spacing w:val="15"/>
                <w:sz w:val="21"/>
              </w:rPr>
              <w:t> </w:t>
            </w:r>
            <w:r>
              <w:rPr>
                <w:rFonts w:ascii="Times New Roman"/>
                <w:color w:val="231F20"/>
                <w:w w:val="90"/>
                <w:sz w:val="21"/>
              </w:rPr>
              <w:t>LPI</w:t>
            </w:r>
            <w:r>
              <w:rPr>
                <w:rFonts w:ascii="Times New Roman"/>
                <w:color w:val="231F20"/>
                <w:spacing w:val="16"/>
                <w:sz w:val="21"/>
              </w:rPr>
              <w:t> </w:t>
            </w:r>
            <w:r>
              <w:rPr>
                <w:rFonts w:ascii="Times New Roman"/>
                <w:color w:val="231F20"/>
                <w:w w:val="90"/>
                <w:sz w:val="21"/>
              </w:rPr>
              <w:t>score</w:t>
            </w:r>
            <w:r>
              <w:rPr>
                <w:rFonts w:ascii="Times New Roman"/>
                <w:color w:val="231F20"/>
                <w:spacing w:val="15"/>
                <w:sz w:val="21"/>
              </w:rPr>
              <w:t> </w:t>
            </w:r>
            <w:r>
              <w:rPr>
                <w:rFonts w:ascii="Times New Roman"/>
                <w:color w:val="231F20"/>
                <w:spacing w:val="-2"/>
                <w:w w:val="90"/>
                <w:sz w:val="21"/>
              </w:rPr>
              <w:t>quintile</w:t>
            </w:r>
            <w:r>
              <w:rPr>
                <w:rFonts w:ascii="Times New Roman"/>
                <w:color w:val="231F20"/>
                <w:sz w:val="21"/>
              </w:rPr>
              <w:tab/>
            </w:r>
            <w:r>
              <w:rPr>
                <w:rFonts w:ascii="Times New Roman"/>
                <w:color w:val="231F20"/>
                <w:spacing w:val="-5"/>
                <w:sz w:val="21"/>
              </w:rPr>
              <w:t>30</w:t>
            </w:r>
          </w:p>
        </w:tc>
        <w:tc>
          <w:tcPr>
            <w:tcW w:w="521" w:type="dxa"/>
          </w:tcPr>
          <w:p>
            <w:pPr>
              <w:pStyle w:val="TableParagraph"/>
              <w:spacing w:before="0"/>
              <w:jc w:val="left"/>
              <w:rPr>
                <w:rFonts w:ascii="Times New Roman"/>
                <w:sz w:val="20"/>
              </w:rPr>
            </w:pPr>
          </w:p>
        </w:tc>
      </w:tr>
      <w:tr>
        <w:trPr>
          <w:trHeight w:val="270" w:hRule="atLeast"/>
        </w:trPr>
        <w:tc>
          <w:tcPr>
            <w:tcW w:w="518" w:type="dxa"/>
          </w:tcPr>
          <w:p>
            <w:pPr>
              <w:pStyle w:val="TableParagraph"/>
              <w:spacing w:before="0"/>
              <w:ind w:right="30"/>
              <w:rPr>
                <w:rFonts w:ascii="Times New Roman"/>
                <w:sz w:val="21"/>
              </w:rPr>
            </w:pPr>
            <w:r>
              <w:rPr>
                <w:rFonts w:ascii="Times New Roman"/>
                <w:color w:val="231F20"/>
                <w:spacing w:val="-4"/>
                <w:sz w:val="21"/>
              </w:rPr>
              <w:t>A4.1</w:t>
            </w:r>
          </w:p>
        </w:tc>
        <w:tc>
          <w:tcPr>
            <w:tcW w:w="9380" w:type="dxa"/>
          </w:tcPr>
          <w:p>
            <w:pPr>
              <w:pStyle w:val="TableParagraph"/>
              <w:tabs>
                <w:tab w:pos="2546" w:val="right" w:leader="none"/>
              </w:tabs>
              <w:spacing w:before="0"/>
              <w:ind w:left="71"/>
              <w:jc w:val="left"/>
              <w:rPr>
                <w:rFonts w:ascii="Times New Roman"/>
                <w:sz w:val="21"/>
              </w:rPr>
            </w:pPr>
            <w:r>
              <w:rPr>
                <w:rFonts w:ascii="Times New Roman"/>
                <w:color w:val="231F20"/>
                <w:spacing w:val="-2"/>
                <w:sz w:val="21"/>
              </w:rPr>
              <w:t>Cargo</w:t>
            </w:r>
            <w:r>
              <w:rPr>
                <w:rFonts w:ascii="Times New Roman"/>
                <w:color w:val="231F20"/>
                <w:spacing w:val="-13"/>
                <w:sz w:val="21"/>
              </w:rPr>
              <w:t> </w:t>
            </w:r>
            <w:r>
              <w:rPr>
                <w:rFonts w:ascii="Times New Roman"/>
                <w:color w:val="231F20"/>
                <w:spacing w:val="-2"/>
                <w:sz w:val="21"/>
              </w:rPr>
              <w:t>iQ</w:t>
            </w:r>
            <w:r>
              <w:rPr>
                <w:rFonts w:ascii="Times New Roman"/>
                <w:color w:val="231F20"/>
                <w:spacing w:val="-12"/>
                <w:sz w:val="21"/>
              </w:rPr>
              <w:t> </w:t>
            </w:r>
            <w:r>
              <w:rPr>
                <w:rFonts w:ascii="Times New Roman"/>
                <w:color w:val="231F20"/>
                <w:spacing w:val="-2"/>
                <w:sz w:val="21"/>
              </w:rPr>
              <w:t>milestones</w:t>
            </w:r>
            <w:r>
              <w:rPr>
                <w:rFonts w:ascii="Times New Roman"/>
                <w:color w:val="231F20"/>
                <w:sz w:val="21"/>
              </w:rPr>
              <w:tab/>
            </w:r>
            <w:r>
              <w:rPr>
                <w:rFonts w:ascii="Times New Roman"/>
                <w:color w:val="231F20"/>
                <w:spacing w:val="-5"/>
                <w:sz w:val="21"/>
              </w:rPr>
              <w:t>56</w:t>
            </w:r>
          </w:p>
        </w:tc>
        <w:tc>
          <w:tcPr>
            <w:tcW w:w="521" w:type="dxa"/>
          </w:tcPr>
          <w:p>
            <w:pPr>
              <w:pStyle w:val="TableParagraph"/>
              <w:spacing w:before="0"/>
              <w:jc w:val="left"/>
              <w:rPr>
                <w:rFonts w:ascii="Times New Roman"/>
                <w:sz w:val="20"/>
              </w:rPr>
            </w:pPr>
          </w:p>
        </w:tc>
      </w:tr>
      <w:tr>
        <w:trPr>
          <w:trHeight w:val="270" w:hRule="atLeast"/>
        </w:trPr>
        <w:tc>
          <w:tcPr>
            <w:tcW w:w="518" w:type="dxa"/>
          </w:tcPr>
          <w:p>
            <w:pPr>
              <w:pStyle w:val="TableParagraph"/>
              <w:spacing w:before="0"/>
              <w:ind w:right="20"/>
              <w:rPr>
                <w:rFonts w:ascii="Times New Roman"/>
                <w:sz w:val="21"/>
              </w:rPr>
            </w:pPr>
            <w:r>
              <w:rPr>
                <w:rFonts w:ascii="Times New Roman"/>
                <w:color w:val="231F20"/>
                <w:spacing w:val="-4"/>
                <w:sz w:val="21"/>
              </w:rPr>
              <w:t>A4.2</w:t>
            </w:r>
          </w:p>
        </w:tc>
        <w:tc>
          <w:tcPr>
            <w:tcW w:w="9380" w:type="dxa"/>
          </w:tcPr>
          <w:p>
            <w:pPr>
              <w:pStyle w:val="TableParagraph"/>
              <w:tabs>
                <w:tab w:pos="5800" w:val="right" w:leader="none"/>
              </w:tabs>
              <w:spacing w:before="0"/>
              <w:ind w:left="111"/>
              <w:jc w:val="left"/>
              <w:rPr>
                <w:rFonts w:ascii="Times New Roman"/>
                <w:sz w:val="21"/>
              </w:rPr>
            </w:pPr>
            <w:r>
              <w:rPr>
                <w:rFonts w:ascii="Times New Roman"/>
                <w:color w:val="231F20"/>
                <w:spacing w:val="-6"/>
                <w:sz w:val="21"/>
              </w:rPr>
              <w:t>Country</w:t>
            </w:r>
            <w:r>
              <w:rPr>
                <w:rFonts w:ascii="Times New Roman"/>
                <w:color w:val="231F20"/>
                <w:spacing w:val="-8"/>
                <w:sz w:val="21"/>
              </w:rPr>
              <w:t> </w:t>
            </w:r>
            <w:r>
              <w:rPr>
                <w:rFonts w:ascii="Times New Roman"/>
                <w:color w:val="231F20"/>
                <w:spacing w:val="-6"/>
                <w:sz w:val="21"/>
              </w:rPr>
              <w:t>coverage</w:t>
            </w:r>
            <w:r>
              <w:rPr>
                <w:rFonts w:ascii="Times New Roman"/>
                <w:color w:val="231F20"/>
                <w:spacing w:val="-8"/>
                <w:sz w:val="21"/>
              </w:rPr>
              <w:t> </w:t>
            </w:r>
            <w:r>
              <w:rPr>
                <w:rFonts w:ascii="Times New Roman"/>
                <w:color w:val="231F20"/>
                <w:spacing w:val="-6"/>
                <w:sz w:val="21"/>
              </w:rPr>
              <w:t>of</w:t>
            </w:r>
            <w:r>
              <w:rPr>
                <w:rFonts w:ascii="Times New Roman"/>
                <w:color w:val="231F20"/>
                <w:spacing w:val="-8"/>
                <w:sz w:val="21"/>
              </w:rPr>
              <w:t> </w:t>
            </w:r>
            <w:r>
              <w:rPr>
                <w:rFonts w:ascii="Times New Roman"/>
                <w:color w:val="231F20"/>
                <w:spacing w:val="-6"/>
                <w:sz w:val="21"/>
              </w:rPr>
              <w:t>Cargo</w:t>
            </w:r>
            <w:r>
              <w:rPr>
                <w:rFonts w:ascii="Times New Roman"/>
                <w:color w:val="231F20"/>
                <w:spacing w:val="-8"/>
                <w:sz w:val="21"/>
              </w:rPr>
              <w:t> </w:t>
            </w:r>
            <w:r>
              <w:rPr>
                <w:rFonts w:ascii="Times New Roman"/>
                <w:color w:val="231F20"/>
                <w:spacing w:val="-6"/>
                <w:sz w:val="21"/>
              </w:rPr>
              <w:t>iQ</w:t>
            </w:r>
            <w:r>
              <w:rPr>
                <w:rFonts w:ascii="Times New Roman"/>
                <w:color w:val="231F20"/>
                <w:spacing w:val="-8"/>
                <w:sz w:val="21"/>
              </w:rPr>
              <w:t> </w:t>
            </w:r>
            <w:r>
              <w:rPr>
                <w:rFonts w:ascii="Times New Roman"/>
                <w:color w:val="231F20"/>
                <w:spacing w:val="-6"/>
                <w:sz w:val="21"/>
              </w:rPr>
              <w:t>dataset,</w:t>
            </w:r>
            <w:r>
              <w:rPr>
                <w:rFonts w:ascii="Times New Roman"/>
                <w:color w:val="231F20"/>
                <w:spacing w:val="-8"/>
                <w:sz w:val="21"/>
              </w:rPr>
              <w:t> </w:t>
            </w:r>
            <w:r>
              <w:rPr>
                <w:rFonts w:ascii="Times New Roman"/>
                <w:color w:val="231F20"/>
                <w:spacing w:val="-6"/>
                <w:sz w:val="21"/>
              </w:rPr>
              <w:t>by</w:t>
            </w:r>
            <w:r>
              <w:rPr>
                <w:rFonts w:ascii="Times New Roman"/>
                <w:color w:val="231F20"/>
                <w:spacing w:val="-8"/>
                <w:sz w:val="21"/>
              </w:rPr>
              <w:t> </w:t>
            </w:r>
            <w:r>
              <w:rPr>
                <w:rFonts w:ascii="Times New Roman"/>
                <w:color w:val="231F20"/>
                <w:spacing w:val="-6"/>
                <w:sz w:val="21"/>
              </w:rPr>
              <w:t>World</w:t>
            </w:r>
            <w:r>
              <w:rPr>
                <w:rFonts w:ascii="Times New Roman"/>
                <w:color w:val="231F20"/>
                <w:spacing w:val="-8"/>
                <w:sz w:val="21"/>
              </w:rPr>
              <w:t> </w:t>
            </w:r>
            <w:r>
              <w:rPr>
                <w:rFonts w:ascii="Times New Roman"/>
                <w:color w:val="231F20"/>
                <w:spacing w:val="-6"/>
                <w:sz w:val="21"/>
              </w:rPr>
              <w:t>Bank</w:t>
            </w:r>
            <w:r>
              <w:rPr>
                <w:rFonts w:ascii="Times New Roman"/>
                <w:color w:val="231F20"/>
                <w:spacing w:val="-8"/>
                <w:sz w:val="21"/>
              </w:rPr>
              <w:t> </w:t>
            </w:r>
            <w:r>
              <w:rPr>
                <w:rFonts w:ascii="Times New Roman"/>
                <w:color w:val="231F20"/>
                <w:spacing w:val="-6"/>
                <w:sz w:val="21"/>
              </w:rPr>
              <w:t>region</w:t>
            </w:r>
            <w:r>
              <w:rPr>
                <w:rFonts w:ascii="Times New Roman"/>
                <w:color w:val="231F20"/>
                <w:sz w:val="21"/>
              </w:rPr>
              <w:tab/>
            </w:r>
            <w:r>
              <w:rPr>
                <w:rFonts w:ascii="Times New Roman"/>
                <w:color w:val="231F20"/>
                <w:spacing w:val="-5"/>
                <w:sz w:val="21"/>
              </w:rPr>
              <w:t>56</w:t>
            </w:r>
          </w:p>
        </w:tc>
        <w:tc>
          <w:tcPr>
            <w:tcW w:w="521" w:type="dxa"/>
          </w:tcPr>
          <w:p>
            <w:pPr>
              <w:pStyle w:val="TableParagraph"/>
              <w:spacing w:before="0"/>
              <w:jc w:val="left"/>
              <w:rPr>
                <w:rFonts w:ascii="Times New Roman"/>
                <w:sz w:val="20"/>
              </w:rPr>
            </w:pPr>
          </w:p>
        </w:tc>
      </w:tr>
      <w:tr>
        <w:trPr>
          <w:trHeight w:val="269" w:hRule="atLeast"/>
        </w:trPr>
        <w:tc>
          <w:tcPr>
            <w:tcW w:w="518" w:type="dxa"/>
          </w:tcPr>
          <w:p>
            <w:pPr>
              <w:pStyle w:val="TableParagraph"/>
              <w:spacing w:before="0"/>
              <w:ind w:right="24"/>
              <w:rPr>
                <w:rFonts w:ascii="Times New Roman"/>
                <w:sz w:val="21"/>
              </w:rPr>
            </w:pPr>
            <w:r>
              <w:rPr>
                <w:rFonts w:ascii="Times New Roman"/>
                <w:color w:val="231F20"/>
                <w:spacing w:val="-4"/>
                <w:sz w:val="21"/>
              </w:rPr>
              <w:t>A4.3</w:t>
            </w:r>
          </w:p>
        </w:tc>
        <w:tc>
          <w:tcPr>
            <w:tcW w:w="9380" w:type="dxa"/>
          </w:tcPr>
          <w:p>
            <w:pPr>
              <w:pStyle w:val="TableParagraph"/>
              <w:tabs>
                <w:tab w:pos="7201" w:val="right" w:leader="none"/>
              </w:tabs>
              <w:spacing w:before="0"/>
              <w:ind w:left="111"/>
              <w:jc w:val="left"/>
              <w:rPr>
                <w:rFonts w:ascii="Times New Roman"/>
                <w:sz w:val="21"/>
              </w:rPr>
            </w:pPr>
            <w:r>
              <w:rPr>
                <w:rFonts w:ascii="Times New Roman"/>
                <w:color w:val="231F20"/>
                <w:spacing w:val="-6"/>
                <w:sz w:val="21"/>
              </w:rPr>
              <w:t>Country</w:t>
            </w:r>
            <w:r>
              <w:rPr>
                <w:rFonts w:ascii="Times New Roman"/>
                <w:color w:val="231F20"/>
                <w:spacing w:val="-8"/>
                <w:sz w:val="21"/>
              </w:rPr>
              <w:t> </w:t>
            </w:r>
            <w:r>
              <w:rPr>
                <w:rFonts w:ascii="Times New Roman"/>
                <w:color w:val="231F20"/>
                <w:spacing w:val="-6"/>
                <w:sz w:val="21"/>
              </w:rPr>
              <w:t>coverage</w:t>
            </w:r>
            <w:r>
              <w:rPr>
                <w:rFonts w:ascii="Times New Roman"/>
                <w:color w:val="231F20"/>
                <w:spacing w:val="-8"/>
                <w:sz w:val="21"/>
              </w:rPr>
              <w:t> </w:t>
            </w:r>
            <w:r>
              <w:rPr>
                <w:rFonts w:ascii="Times New Roman"/>
                <w:color w:val="231F20"/>
                <w:spacing w:val="-6"/>
                <w:sz w:val="21"/>
              </w:rPr>
              <w:t>of</w:t>
            </w:r>
            <w:r>
              <w:rPr>
                <w:rFonts w:ascii="Times New Roman"/>
                <w:color w:val="231F20"/>
                <w:spacing w:val="-7"/>
                <w:sz w:val="21"/>
              </w:rPr>
              <w:t> </w:t>
            </w:r>
            <w:r>
              <w:rPr>
                <w:rFonts w:ascii="Times New Roman"/>
                <w:color w:val="231F20"/>
                <w:spacing w:val="-6"/>
                <w:sz w:val="21"/>
              </w:rPr>
              <w:t>the</w:t>
            </w:r>
            <w:r>
              <w:rPr>
                <w:rFonts w:ascii="Times New Roman"/>
                <w:color w:val="231F20"/>
                <w:spacing w:val="-8"/>
                <w:sz w:val="21"/>
              </w:rPr>
              <w:t> </w:t>
            </w:r>
            <w:r>
              <w:rPr>
                <w:rFonts w:ascii="Times New Roman"/>
                <w:color w:val="231F20"/>
                <w:spacing w:val="-6"/>
                <w:sz w:val="21"/>
              </w:rPr>
              <w:t>Universal</w:t>
            </w:r>
            <w:r>
              <w:rPr>
                <w:rFonts w:ascii="Times New Roman"/>
                <w:color w:val="231F20"/>
                <w:spacing w:val="-8"/>
                <w:sz w:val="21"/>
              </w:rPr>
              <w:t> </w:t>
            </w:r>
            <w:r>
              <w:rPr>
                <w:rFonts w:ascii="Times New Roman"/>
                <w:color w:val="231F20"/>
                <w:spacing w:val="-6"/>
                <w:sz w:val="21"/>
              </w:rPr>
              <w:t>Postal</w:t>
            </w:r>
            <w:r>
              <w:rPr>
                <w:rFonts w:ascii="Times New Roman"/>
                <w:color w:val="231F20"/>
                <w:spacing w:val="-7"/>
                <w:sz w:val="21"/>
              </w:rPr>
              <w:t> </w:t>
            </w:r>
            <w:r>
              <w:rPr>
                <w:rFonts w:ascii="Times New Roman"/>
                <w:color w:val="231F20"/>
                <w:spacing w:val="-6"/>
                <w:sz w:val="21"/>
              </w:rPr>
              <w:t>Union</w:t>
            </w:r>
            <w:r>
              <w:rPr>
                <w:rFonts w:ascii="Times New Roman"/>
                <w:color w:val="231F20"/>
                <w:spacing w:val="-8"/>
                <w:sz w:val="21"/>
              </w:rPr>
              <w:t> </w:t>
            </w:r>
            <w:r>
              <w:rPr>
                <w:rFonts w:ascii="Times New Roman"/>
                <w:color w:val="231F20"/>
                <w:spacing w:val="-6"/>
                <w:sz w:val="21"/>
              </w:rPr>
              <w:t>dataset,</w:t>
            </w:r>
            <w:r>
              <w:rPr>
                <w:rFonts w:ascii="Times New Roman"/>
                <w:color w:val="231F20"/>
                <w:spacing w:val="-7"/>
                <w:sz w:val="21"/>
              </w:rPr>
              <w:t> </w:t>
            </w:r>
            <w:r>
              <w:rPr>
                <w:rFonts w:ascii="Times New Roman"/>
                <w:color w:val="231F20"/>
                <w:spacing w:val="-6"/>
                <w:sz w:val="21"/>
              </w:rPr>
              <w:t>by</w:t>
            </w:r>
            <w:r>
              <w:rPr>
                <w:rFonts w:ascii="Times New Roman"/>
                <w:color w:val="231F20"/>
                <w:spacing w:val="-8"/>
                <w:sz w:val="21"/>
              </w:rPr>
              <w:t> </w:t>
            </w:r>
            <w:r>
              <w:rPr>
                <w:rFonts w:ascii="Times New Roman"/>
                <w:color w:val="231F20"/>
                <w:spacing w:val="-6"/>
                <w:sz w:val="21"/>
              </w:rPr>
              <w:t>World</w:t>
            </w:r>
            <w:r>
              <w:rPr>
                <w:rFonts w:ascii="Times New Roman"/>
                <w:color w:val="231F20"/>
                <w:spacing w:val="-8"/>
                <w:sz w:val="21"/>
              </w:rPr>
              <w:t> </w:t>
            </w:r>
            <w:r>
              <w:rPr>
                <w:rFonts w:ascii="Times New Roman"/>
                <w:color w:val="231F20"/>
                <w:spacing w:val="-6"/>
                <w:sz w:val="21"/>
              </w:rPr>
              <w:t>Bank</w:t>
            </w:r>
            <w:r>
              <w:rPr>
                <w:rFonts w:ascii="Times New Roman"/>
                <w:color w:val="231F20"/>
                <w:spacing w:val="-7"/>
                <w:sz w:val="21"/>
              </w:rPr>
              <w:t> </w:t>
            </w:r>
            <w:r>
              <w:rPr>
                <w:rFonts w:ascii="Times New Roman"/>
                <w:color w:val="231F20"/>
                <w:spacing w:val="-6"/>
                <w:sz w:val="21"/>
              </w:rPr>
              <w:t>region</w:t>
            </w:r>
            <w:r>
              <w:rPr>
                <w:rFonts w:ascii="Times New Roman"/>
                <w:color w:val="231F20"/>
                <w:sz w:val="21"/>
              </w:rPr>
              <w:tab/>
            </w:r>
            <w:r>
              <w:rPr>
                <w:rFonts w:ascii="Times New Roman"/>
                <w:color w:val="231F20"/>
                <w:spacing w:val="-5"/>
                <w:sz w:val="21"/>
              </w:rPr>
              <w:t>58</w:t>
            </w:r>
          </w:p>
        </w:tc>
        <w:tc>
          <w:tcPr>
            <w:tcW w:w="521" w:type="dxa"/>
          </w:tcPr>
          <w:p>
            <w:pPr>
              <w:pStyle w:val="TableParagraph"/>
              <w:spacing w:before="0"/>
              <w:jc w:val="left"/>
              <w:rPr>
                <w:rFonts w:ascii="Times New Roman"/>
                <w:sz w:val="20"/>
              </w:rPr>
            </w:pPr>
          </w:p>
        </w:tc>
      </w:tr>
      <w:tr>
        <w:trPr>
          <w:trHeight w:val="270" w:hRule="atLeast"/>
        </w:trPr>
        <w:tc>
          <w:tcPr>
            <w:tcW w:w="518" w:type="dxa"/>
          </w:tcPr>
          <w:p>
            <w:pPr>
              <w:pStyle w:val="TableParagraph"/>
              <w:spacing w:before="0"/>
              <w:ind w:right="24"/>
              <w:rPr>
                <w:rFonts w:ascii="Times New Roman"/>
                <w:sz w:val="21"/>
              </w:rPr>
            </w:pPr>
            <w:r>
              <w:rPr>
                <w:rFonts w:ascii="Times New Roman"/>
                <w:color w:val="231F20"/>
                <w:spacing w:val="-4"/>
                <w:sz w:val="21"/>
              </w:rPr>
              <w:t>A4.4</w:t>
            </w:r>
          </w:p>
        </w:tc>
        <w:tc>
          <w:tcPr>
            <w:tcW w:w="9380" w:type="dxa"/>
          </w:tcPr>
          <w:p>
            <w:pPr>
              <w:pStyle w:val="TableParagraph"/>
              <w:tabs>
                <w:tab w:pos="2671" w:val="right" w:leader="none"/>
              </w:tabs>
              <w:spacing w:before="0"/>
              <w:ind w:left="71"/>
              <w:jc w:val="left"/>
              <w:rPr>
                <w:rFonts w:ascii="Times New Roman"/>
                <w:sz w:val="21"/>
              </w:rPr>
            </w:pPr>
            <w:r>
              <w:rPr>
                <w:rFonts w:ascii="Times New Roman"/>
                <w:color w:val="231F20"/>
                <w:spacing w:val="-6"/>
                <w:sz w:val="21"/>
              </w:rPr>
              <w:t>TradeLens data model</w:t>
            </w:r>
            <w:r>
              <w:rPr>
                <w:rFonts w:ascii="Times New Roman"/>
                <w:color w:val="231F20"/>
                <w:sz w:val="21"/>
              </w:rPr>
              <w:tab/>
            </w:r>
            <w:r>
              <w:rPr>
                <w:rFonts w:ascii="Times New Roman"/>
                <w:color w:val="231F20"/>
                <w:spacing w:val="-5"/>
                <w:sz w:val="21"/>
              </w:rPr>
              <w:t>59</w:t>
            </w:r>
          </w:p>
        </w:tc>
        <w:tc>
          <w:tcPr>
            <w:tcW w:w="521" w:type="dxa"/>
          </w:tcPr>
          <w:p>
            <w:pPr>
              <w:pStyle w:val="TableParagraph"/>
              <w:spacing w:before="0"/>
              <w:jc w:val="left"/>
              <w:rPr>
                <w:rFonts w:ascii="Times New Roman"/>
                <w:sz w:val="20"/>
              </w:rPr>
            </w:pPr>
          </w:p>
        </w:tc>
      </w:tr>
      <w:tr>
        <w:trPr>
          <w:trHeight w:val="270" w:hRule="atLeast"/>
        </w:trPr>
        <w:tc>
          <w:tcPr>
            <w:tcW w:w="518" w:type="dxa"/>
          </w:tcPr>
          <w:p>
            <w:pPr>
              <w:pStyle w:val="TableParagraph"/>
              <w:spacing w:before="0"/>
              <w:ind w:right="32"/>
              <w:rPr>
                <w:rFonts w:ascii="Times New Roman"/>
                <w:sz w:val="21"/>
              </w:rPr>
            </w:pPr>
            <w:r>
              <w:rPr>
                <w:rFonts w:ascii="Times New Roman"/>
                <w:color w:val="231F20"/>
                <w:spacing w:val="-4"/>
                <w:sz w:val="21"/>
              </w:rPr>
              <w:t>A4.5</w:t>
            </w:r>
          </w:p>
        </w:tc>
        <w:tc>
          <w:tcPr>
            <w:tcW w:w="9380" w:type="dxa"/>
          </w:tcPr>
          <w:p>
            <w:pPr>
              <w:pStyle w:val="TableParagraph"/>
              <w:tabs>
                <w:tab w:pos="3618" w:val="right" w:leader="none"/>
              </w:tabs>
              <w:spacing w:before="0"/>
              <w:ind w:left="71"/>
              <w:jc w:val="left"/>
              <w:rPr>
                <w:rFonts w:ascii="Times New Roman"/>
                <w:sz w:val="21"/>
              </w:rPr>
            </w:pPr>
            <w:r>
              <w:rPr>
                <w:rFonts w:ascii="Times New Roman"/>
                <w:color w:val="231F20"/>
                <w:w w:val="90"/>
                <w:sz w:val="21"/>
              </w:rPr>
              <w:t>The</w:t>
            </w:r>
            <w:r>
              <w:rPr>
                <w:rFonts w:ascii="Times New Roman"/>
                <w:color w:val="231F20"/>
                <w:spacing w:val="5"/>
                <w:sz w:val="21"/>
              </w:rPr>
              <w:t> </w:t>
            </w:r>
            <w:r>
              <w:rPr>
                <w:rFonts w:ascii="Times New Roman"/>
                <w:color w:val="231F20"/>
                <w:w w:val="90"/>
                <w:sz w:val="21"/>
              </w:rPr>
              <w:t>three</w:t>
            </w:r>
            <w:r>
              <w:rPr>
                <w:rFonts w:ascii="Times New Roman"/>
                <w:color w:val="231F20"/>
                <w:spacing w:val="7"/>
                <w:sz w:val="21"/>
              </w:rPr>
              <w:t> </w:t>
            </w:r>
            <w:r>
              <w:rPr>
                <w:rFonts w:ascii="Times New Roman"/>
                <w:color w:val="231F20"/>
                <w:w w:val="90"/>
                <w:sz w:val="21"/>
              </w:rPr>
              <w:t>phases</w:t>
            </w:r>
            <w:r>
              <w:rPr>
                <w:rFonts w:ascii="Times New Roman"/>
                <w:color w:val="231F20"/>
                <w:spacing w:val="7"/>
                <w:sz w:val="21"/>
              </w:rPr>
              <w:t> </w:t>
            </w:r>
            <w:r>
              <w:rPr>
                <w:rFonts w:ascii="Times New Roman"/>
                <w:color w:val="231F20"/>
                <w:w w:val="90"/>
                <w:sz w:val="21"/>
              </w:rPr>
              <w:t>of</w:t>
            </w:r>
            <w:r>
              <w:rPr>
                <w:rFonts w:ascii="Times New Roman"/>
                <w:color w:val="231F20"/>
                <w:spacing w:val="7"/>
                <w:sz w:val="21"/>
              </w:rPr>
              <w:t> </w:t>
            </w:r>
            <w:r>
              <w:rPr>
                <w:rFonts w:ascii="Times New Roman"/>
                <w:color w:val="231F20"/>
                <w:w w:val="90"/>
                <w:sz w:val="21"/>
              </w:rPr>
              <w:t>container</w:t>
            </w:r>
            <w:r>
              <w:rPr>
                <w:rFonts w:ascii="Times New Roman"/>
                <w:color w:val="231F20"/>
                <w:spacing w:val="7"/>
                <w:sz w:val="21"/>
              </w:rPr>
              <w:t> </w:t>
            </w:r>
            <w:r>
              <w:rPr>
                <w:rFonts w:ascii="Times New Roman"/>
                <w:color w:val="231F20"/>
                <w:spacing w:val="-2"/>
                <w:w w:val="90"/>
                <w:sz w:val="21"/>
              </w:rPr>
              <w:t>trips</w:t>
            </w:r>
            <w:r>
              <w:rPr>
                <w:rFonts w:ascii="Times New Roman"/>
                <w:color w:val="231F20"/>
                <w:sz w:val="21"/>
              </w:rPr>
              <w:tab/>
            </w:r>
            <w:r>
              <w:rPr>
                <w:rFonts w:ascii="Times New Roman"/>
                <w:color w:val="231F20"/>
                <w:spacing w:val="-5"/>
                <w:sz w:val="21"/>
              </w:rPr>
              <w:t>59</w:t>
            </w:r>
          </w:p>
        </w:tc>
        <w:tc>
          <w:tcPr>
            <w:tcW w:w="521" w:type="dxa"/>
          </w:tcPr>
          <w:p>
            <w:pPr>
              <w:pStyle w:val="TableParagraph"/>
              <w:spacing w:before="0"/>
              <w:jc w:val="left"/>
              <w:rPr>
                <w:rFonts w:ascii="Times New Roman"/>
                <w:sz w:val="20"/>
              </w:rPr>
            </w:pPr>
          </w:p>
        </w:tc>
      </w:tr>
      <w:tr>
        <w:trPr>
          <w:trHeight w:val="270" w:hRule="atLeast"/>
        </w:trPr>
        <w:tc>
          <w:tcPr>
            <w:tcW w:w="518" w:type="dxa"/>
          </w:tcPr>
          <w:p>
            <w:pPr>
              <w:pStyle w:val="TableParagraph"/>
              <w:spacing w:before="0"/>
              <w:ind w:right="21"/>
              <w:rPr>
                <w:rFonts w:ascii="Times New Roman"/>
                <w:sz w:val="21"/>
              </w:rPr>
            </w:pPr>
            <w:r>
              <w:rPr>
                <w:rFonts w:ascii="Times New Roman"/>
                <w:color w:val="231F20"/>
                <w:spacing w:val="-4"/>
                <w:sz w:val="21"/>
              </w:rPr>
              <w:t>A4.6</w:t>
            </w:r>
          </w:p>
        </w:tc>
        <w:tc>
          <w:tcPr>
            <w:tcW w:w="9380" w:type="dxa"/>
          </w:tcPr>
          <w:p>
            <w:pPr>
              <w:pStyle w:val="TableParagraph"/>
              <w:tabs>
                <w:tab w:pos="8296" w:val="right" w:leader="none"/>
              </w:tabs>
              <w:spacing w:before="0"/>
              <w:ind w:left="111"/>
              <w:jc w:val="left"/>
              <w:rPr>
                <w:rFonts w:ascii="Times New Roman"/>
                <w:sz w:val="21"/>
              </w:rPr>
            </w:pPr>
            <w:r>
              <w:rPr>
                <w:rFonts w:ascii="Times New Roman"/>
                <w:color w:val="231F20"/>
                <w:spacing w:val="-6"/>
                <w:sz w:val="21"/>
              </w:rPr>
              <w:t>Country</w:t>
            </w:r>
            <w:r>
              <w:rPr>
                <w:rFonts w:ascii="Times New Roman"/>
                <w:color w:val="231F20"/>
                <w:spacing w:val="-8"/>
                <w:sz w:val="21"/>
              </w:rPr>
              <w:t> </w:t>
            </w:r>
            <w:r>
              <w:rPr>
                <w:rFonts w:ascii="Times New Roman"/>
                <w:color w:val="231F20"/>
                <w:spacing w:val="-6"/>
                <w:sz w:val="21"/>
              </w:rPr>
              <w:t>coverage</w:t>
            </w:r>
            <w:r>
              <w:rPr>
                <w:rFonts w:ascii="Times New Roman"/>
                <w:color w:val="231F20"/>
                <w:spacing w:val="-8"/>
                <w:sz w:val="21"/>
              </w:rPr>
              <w:t> </w:t>
            </w:r>
            <w:r>
              <w:rPr>
                <w:rFonts w:ascii="Times New Roman"/>
                <w:color w:val="231F20"/>
                <w:spacing w:val="-6"/>
                <w:sz w:val="21"/>
              </w:rPr>
              <w:t>of</w:t>
            </w:r>
            <w:r>
              <w:rPr>
                <w:rFonts w:ascii="Times New Roman"/>
                <w:color w:val="231F20"/>
                <w:spacing w:val="-8"/>
                <w:sz w:val="21"/>
              </w:rPr>
              <w:t> </w:t>
            </w:r>
            <w:r>
              <w:rPr>
                <w:rFonts w:ascii="Times New Roman"/>
                <w:color w:val="231F20"/>
                <w:spacing w:val="-6"/>
                <w:sz w:val="21"/>
              </w:rPr>
              <w:t>the</w:t>
            </w:r>
            <w:r>
              <w:rPr>
                <w:rFonts w:ascii="Times New Roman"/>
                <w:color w:val="231F20"/>
                <w:spacing w:val="-8"/>
                <w:sz w:val="21"/>
              </w:rPr>
              <w:t> </w:t>
            </w:r>
            <w:r>
              <w:rPr>
                <w:rFonts w:ascii="Times New Roman"/>
                <w:color w:val="231F20"/>
                <w:spacing w:val="-6"/>
                <w:sz w:val="21"/>
              </w:rPr>
              <w:t>MDS</w:t>
            </w:r>
            <w:r>
              <w:rPr>
                <w:rFonts w:ascii="Times New Roman"/>
                <w:color w:val="231F20"/>
                <w:spacing w:val="-7"/>
                <w:sz w:val="21"/>
              </w:rPr>
              <w:t> </w:t>
            </w:r>
            <w:r>
              <w:rPr>
                <w:rFonts w:ascii="Times New Roman"/>
                <w:color w:val="231F20"/>
                <w:spacing w:val="-6"/>
                <w:sz w:val="21"/>
              </w:rPr>
              <w:t>Transmodal</w:t>
            </w:r>
            <w:r>
              <w:rPr>
                <w:rFonts w:ascii="Times New Roman"/>
                <w:color w:val="231F20"/>
                <w:spacing w:val="-8"/>
                <w:sz w:val="21"/>
              </w:rPr>
              <w:t> </w:t>
            </w:r>
            <w:r>
              <w:rPr>
                <w:rFonts w:ascii="Times New Roman"/>
                <w:color w:val="231F20"/>
                <w:spacing w:val="-6"/>
                <w:sz w:val="21"/>
              </w:rPr>
              <w:t>and</w:t>
            </w:r>
            <w:r>
              <w:rPr>
                <w:rFonts w:ascii="Times New Roman"/>
                <w:color w:val="231F20"/>
                <w:spacing w:val="-8"/>
                <w:sz w:val="21"/>
              </w:rPr>
              <w:t> </w:t>
            </w:r>
            <w:r>
              <w:rPr>
                <w:rFonts w:ascii="Times New Roman"/>
                <w:color w:val="231F20"/>
                <w:spacing w:val="-6"/>
                <w:sz w:val="21"/>
              </w:rPr>
              <w:t>MarineTraffic</w:t>
            </w:r>
            <w:r>
              <w:rPr>
                <w:rFonts w:ascii="Times New Roman"/>
                <w:color w:val="231F20"/>
                <w:spacing w:val="-8"/>
                <w:sz w:val="21"/>
              </w:rPr>
              <w:t> </w:t>
            </w:r>
            <w:r>
              <w:rPr>
                <w:rFonts w:ascii="Times New Roman"/>
                <w:color w:val="231F20"/>
                <w:spacing w:val="-6"/>
                <w:sz w:val="21"/>
              </w:rPr>
              <w:t>dataset,</w:t>
            </w:r>
            <w:r>
              <w:rPr>
                <w:rFonts w:ascii="Times New Roman"/>
                <w:color w:val="231F20"/>
                <w:spacing w:val="-8"/>
                <w:sz w:val="21"/>
              </w:rPr>
              <w:t> </w:t>
            </w:r>
            <w:r>
              <w:rPr>
                <w:rFonts w:ascii="Times New Roman"/>
                <w:color w:val="231F20"/>
                <w:spacing w:val="-6"/>
                <w:sz w:val="21"/>
              </w:rPr>
              <w:t>by</w:t>
            </w:r>
            <w:r>
              <w:rPr>
                <w:rFonts w:ascii="Times New Roman"/>
                <w:color w:val="231F20"/>
                <w:spacing w:val="-7"/>
                <w:sz w:val="21"/>
              </w:rPr>
              <w:t> </w:t>
            </w:r>
            <w:r>
              <w:rPr>
                <w:rFonts w:ascii="Times New Roman"/>
                <w:color w:val="231F20"/>
                <w:spacing w:val="-6"/>
                <w:sz w:val="21"/>
              </w:rPr>
              <w:t>World</w:t>
            </w:r>
            <w:r>
              <w:rPr>
                <w:rFonts w:ascii="Times New Roman"/>
                <w:color w:val="231F20"/>
                <w:spacing w:val="-8"/>
                <w:sz w:val="21"/>
              </w:rPr>
              <w:t> </w:t>
            </w:r>
            <w:r>
              <w:rPr>
                <w:rFonts w:ascii="Times New Roman"/>
                <w:color w:val="231F20"/>
                <w:spacing w:val="-6"/>
                <w:sz w:val="21"/>
              </w:rPr>
              <w:t>Bank</w:t>
            </w:r>
            <w:r>
              <w:rPr>
                <w:rFonts w:ascii="Times New Roman"/>
                <w:color w:val="231F20"/>
                <w:spacing w:val="-8"/>
                <w:sz w:val="21"/>
              </w:rPr>
              <w:t> </w:t>
            </w:r>
            <w:r>
              <w:rPr>
                <w:rFonts w:ascii="Times New Roman"/>
                <w:color w:val="231F20"/>
                <w:spacing w:val="-6"/>
                <w:sz w:val="21"/>
              </w:rPr>
              <w:t>region</w:t>
            </w:r>
            <w:r>
              <w:rPr>
                <w:rFonts w:ascii="Times New Roman"/>
                <w:color w:val="231F20"/>
                <w:sz w:val="21"/>
              </w:rPr>
              <w:tab/>
            </w:r>
            <w:r>
              <w:rPr>
                <w:rFonts w:ascii="Times New Roman"/>
                <w:color w:val="231F20"/>
                <w:spacing w:val="-5"/>
                <w:sz w:val="21"/>
              </w:rPr>
              <w:t>60</w:t>
            </w:r>
          </w:p>
        </w:tc>
        <w:tc>
          <w:tcPr>
            <w:tcW w:w="521" w:type="dxa"/>
          </w:tcPr>
          <w:p>
            <w:pPr>
              <w:pStyle w:val="TableParagraph"/>
              <w:spacing w:before="0"/>
              <w:jc w:val="left"/>
              <w:rPr>
                <w:rFonts w:ascii="Times New Roman"/>
                <w:sz w:val="20"/>
              </w:rPr>
            </w:pPr>
          </w:p>
        </w:tc>
      </w:tr>
      <w:tr>
        <w:trPr>
          <w:trHeight w:val="270" w:hRule="atLeast"/>
        </w:trPr>
        <w:tc>
          <w:tcPr>
            <w:tcW w:w="518" w:type="dxa"/>
          </w:tcPr>
          <w:p>
            <w:pPr>
              <w:pStyle w:val="TableParagraph"/>
              <w:spacing w:before="0"/>
              <w:ind w:right="48"/>
              <w:rPr>
                <w:rFonts w:ascii="Times New Roman"/>
                <w:sz w:val="21"/>
              </w:rPr>
            </w:pPr>
            <w:r>
              <w:rPr>
                <w:rFonts w:ascii="Times New Roman"/>
                <w:color w:val="231F20"/>
                <w:spacing w:val="-4"/>
                <w:sz w:val="21"/>
              </w:rPr>
              <w:t>A7.1</w:t>
            </w:r>
          </w:p>
        </w:tc>
        <w:tc>
          <w:tcPr>
            <w:tcW w:w="9380" w:type="dxa"/>
          </w:tcPr>
          <w:p>
            <w:pPr>
              <w:pStyle w:val="TableParagraph"/>
              <w:tabs>
                <w:tab w:pos="5834" w:val="right" w:leader="none"/>
              </w:tabs>
              <w:spacing w:before="0"/>
              <w:ind w:left="71"/>
              <w:jc w:val="left"/>
              <w:rPr>
                <w:rFonts w:ascii="Times New Roman"/>
                <w:sz w:val="21"/>
              </w:rPr>
            </w:pPr>
            <w:r>
              <w:rPr>
                <w:rFonts w:ascii="Times New Roman"/>
                <w:color w:val="231F20"/>
                <w:spacing w:val="-6"/>
                <w:sz w:val="21"/>
              </w:rPr>
              <w:t>Number of</w:t>
            </w:r>
            <w:r>
              <w:rPr>
                <w:rFonts w:ascii="Times New Roman"/>
                <w:color w:val="231F20"/>
                <w:spacing w:val="-5"/>
                <w:sz w:val="21"/>
              </w:rPr>
              <w:t> </w:t>
            </w:r>
            <w:r>
              <w:rPr>
                <w:rFonts w:ascii="Times New Roman"/>
                <w:color w:val="231F20"/>
                <w:spacing w:val="-6"/>
                <w:sz w:val="21"/>
              </w:rPr>
              <w:t>respondents</w:t>
            </w:r>
            <w:r>
              <w:rPr>
                <w:rFonts w:ascii="Times New Roman"/>
                <w:color w:val="231F20"/>
                <w:spacing w:val="-5"/>
                <w:sz w:val="21"/>
              </w:rPr>
              <w:t> </w:t>
            </w:r>
            <w:r>
              <w:rPr>
                <w:rFonts w:ascii="Times New Roman"/>
                <w:color w:val="231F20"/>
                <w:spacing w:val="-6"/>
                <w:sz w:val="21"/>
              </w:rPr>
              <w:t>by</w:t>
            </w:r>
            <w:r>
              <w:rPr>
                <w:rFonts w:ascii="Times New Roman"/>
                <w:color w:val="231F20"/>
                <w:spacing w:val="-5"/>
                <w:sz w:val="21"/>
              </w:rPr>
              <w:t> </w:t>
            </w:r>
            <w:r>
              <w:rPr>
                <w:rFonts w:ascii="Times New Roman"/>
                <w:color w:val="231F20"/>
                <w:spacing w:val="-6"/>
                <w:sz w:val="21"/>
              </w:rPr>
              <w:t>location</w:t>
            </w:r>
            <w:r>
              <w:rPr>
                <w:rFonts w:ascii="Times New Roman"/>
                <w:color w:val="231F20"/>
                <w:spacing w:val="-5"/>
                <w:sz w:val="21"/>
              </w:rPr>
              <w:t> </w:t>
            </w:r>
            <w:r>
              <w:rPr>
                <w:rFonts w:ascii="Times New Roman"/>
                <w:color w:val="231F20"/>
                <w:spacing w:val="-6"/>
                <w:sz w:val="21"/>
              </w:rPr>
              <w:t>and</w:t>
            </w:r>
            <w:r>
              <w:rPr>
                <w:rFonts w:ascii="Times New Roman"/>
                <w:color w:val="231F20"/>
                <w:spacing w:val="-5"/>
                <w:sz w:val="21"/>
              </w:rPr>
              <w:t> </w:t>
            </w:r>
            <w:r>
              <w:rPr>
                <w:rFonts w:ascii="Times New Roman"/>
                <w:color w:val="231F20"/>
                <w:spacing w:val="-6"/>
                <w:sz w:val="21"/>
              </w:rPr>
              <w:t>country</w:t>
            </w:r>
            <w:r>
              <w:rPr>
                <w:rFonts w:ascii="Times New Roman"/>
                <w:color w:val="231F20"/>
                <w:spacing w:val="-5"/>
                <w:sz w:val="21"/>
              </w:rPr>
              <w:t> </w:t>
            </w:r>
            <w:r>
              <w:rPr>
                <w:rFonts w:ascii="Times New Roman"/>
                <w:color w:val="231F20"/>
                <w:spacing w:val="-6"/>
                <w:sz w:val="21"/>
              </w:rPr>
              <w:t>income</w:t>
            </w:r>
            <w:r>
              <w:rPr>
                <w:rFonts w:ascii="Times New Roman"/>
                <w:color w:val="231F20"/>
                <w:spacing w:val="-5"/>
                <w:sz w:val="21"/>
              </w:rPr>
              <w:t> </w:t>
            </w:r>
            <w:r>
              <w:rPr>
                <w:rFonts w:ascii="Times New Roman"/>
                <w:color w:val="231F20"/>
                <w:spacing w:val="-6"/>
                <w:sz w:val="21"/>
              </w:rPr>
              <w:t>group</w:t>
            </w:r>
            <w:r>
              <w:rPr>
                <w:rFonts w:ascii="Times New Roman"/>
                <w:color w:val="231F20"/>
                <w:sz w:val="21"/>
              </w:rPr>
              <w:tab/>
            </w:r>
            <w:r>
              <w:rPr>
                <w:rFonts w:ascii="Times New Roman"/>
                <w:color w:val="231F20"/>
                <w:spacing w:val="-5"/>
                <w:sz w:val="21"/>
              </w:rPr>
              <w:t>67</w:t>
            </w:r>
          </w:p>
        </w:tc>
        <w:tc>
          <w:tcPr>
            <w:tcW w:w="521" w:type="dxa"/>
          </w:tcPr>
          <w:p>
            <w:pPr>
              <w:pStyle w:val="TableParagraph"/>
              <w:spacing w:before="0"/>
              <w:jc w:val="left"/>
              <w:rPr>
                <w:rFonts w:ascii="Times New Roman"/>
                <w:sz w:val="20"/>
              </w:rPr>
            </w:pPr>
          </w:p>
        </w:tc>
      </w:tr>
      <w:tr>
        <w:trPr>
          <w:trHeight w:val="270" w:hRule="atLeast"/>
        </w:trPr>
        <w:tc>
          <w:tcPr>
            <w:tcW w:w="518" w:type="dxa"/>
          </w:tcPr>
          <w:p>
            <w:pPr>
              <w:pStyle w:val="TableParagraph"/>
              <w:spacing w:before="0"/>
              <w:ind w:left="10" w:right="48"/>
              <w:rPr>
                <w:rFonts w:ascii="Times New Roman"/>
                <w:sz w:val="21"/>
              </w:rPr>
            </w:pPr>
            <w:r>
              <w:rPr>
                <w:rFonts w:ascii="Times New Roman"/>
                <w:color w:val="231F20"/>
                <w:spacing w:val="-4"/>
                <w:sz w:val="21"/>
              </w:rPr>
              <w:t>A7.2</w:t>
            </w:r>
          </w:p>
        </w:tc>
        <w:tc>
          <w:tcPr>
            <w:tcW w:w="9380" w:type="dxa"/>
          </w:tcPr>
          <w:p>
            <w:pPr>
              <w:pStyle w:val="TableParagraph"/>
              <w:tabs>
                <w:tab w:pos="5610" w:val="right" w:leader="none"/>
              </w:tabs>
              <w:spacing w:before="0"/>
              <w:ind w:left="71"/>
              <w:jc w:val="left"/>
              <w:rPr>
                <w:rFonts w:ascii="Times New Roman"/>
                <w:sz w:val="21"/>
              </w:rPr>
            </w:pPr>
            <w:r>
              <w:rPr>
                <w:rFonts w:ascii="Times New Roman"/>
                <w:color w:val="231F20"/>
                <w:spacing w:val="-6"/>
                <w:sz w:val="21"/>
              </w:rPr>
              <w:t>Respondents</w:t>
            </w:r>
            <w:r>
              <w:rPr>
                <w:rFonts w:ascii="Times New Roman"/>
                <w:color w:val="231F20"/>
                <w:spacing w:val="-5"/>
                <w:sz w:val="21"/>
              </w:rPr>
              <w:t> </w:t>
            </w:r>
            <w:r>
              <w:rPr>
                <w:rFonts w:ascii="Times New Roman"/>
                <w:color w:val="231F20"/>
                <w:spacing w:val="-6"/>
                <w:sz w:val="21"/>
              </w:rPr>
              <w:t>by</w:t>
            </w:r>
            <w:r>
              <w:rPr>
                <w:rFonts w:ascii="Times New Roman"/>
                <w:color w:val="231F20"/>
                <w:spacing w:val="-5"/>
                <w:sz w:val="21"/>
              </w:rPr>
              <w:t> </w:t>
            </w:r>
            <w:r>
              <w:rPr>
                <w:rFonts w:ascii="Times New Roman"/>
                <w:color w:val="231F20"/>
                <w:spacing w:val="-6"/>
                <w:sz w:val="21"/>
              </w:rPr>
              <w:t>transport</w:t>
            </w:r>
            <w:r>
              <w:rPr>
                <w:rFonts w:ascii="Times New Roman"/>
                <w:color w:val="231F20"/>
                <w:spacing w:val="-5"/>
                <w:sz w:val="21"/>
              </w:rPr>
              <w:t> </w:t>
            </w:r>
            <w:r>
              <w:rPr>
                <w:rFonts w:ascii="Times New Roman"/>
                <w:color w:val="231F20"/>
                <w:spacing w:val="-6"/>
                <w:sz w:val="21"/>
              </w:rPr>
              <w:t>mode</w:t>
            </w:r>
            <w:r>
              <w:rPr>
                <w:rFonts w:ascii="Times New Roman"/>
                <w:color w:val="231F20"/>
                <w:spacing w:val="-5"/>
                <w:sz w:val="21"/>
              </w:rPr>
              <w:t> </w:t>
            </w:r>
            <w:r>
              <w:rPr>
                <w:rFonts w:ascii="Times New Roman"/>
                <w:color w:val="231F20"/>
                <w:spacing w:val="-6"/>
                <w:sz w:val="21"/>
              </w:rPr>
              <w:t>and</w:t>
            </w:r>
            <w:r>
              <w:rPr>
                <w:rFonts w:ascii="Times New Roman"/>
                <w:color w:val="231F20"/>
                <w:spacing w:val="-4"/>
                <w:sz w:val="21"/>
              </w:rPr>
              <w:t> </w:t>
            </w:r>
            <w:r>
              <w:rPr>
                <w:rFonts w:ascii="Times New Roman"/>
                <w:color w:val="231F20"/>
                <w:spacing w:val="-6"/>
                <w:sz w:val="21"/>
              </w:rPr>
              <w:t>economic</w:t>
            </w:r>
            <w:r>
              <w:rPr>
                <w:rFonts w:ascii="Times New Roman"/>
                <w:color w:val="231F20"/>
                <w:spacing w:val="-5"/>
                <w:sz w:val="21"/>
              </w:rPr>
              <w:t> </w:t>
            </w:r>
            <w:r>
              <w:rPr>
                <w:rFonts w:ascii="Times New Roman"/>
                <w:color w:val="231F20"/>
                <w:spacing w:val="-6"/>
                <w:sz w:val="21"/>
              </w:rPr>
              <w:t>activity</w:t>
            </w:r>
            <w:r>
              <w:rPr>
                <w:rFonts w:ascii="Times New Roman"/>
                <w:color w:val="231F20"/>
                <w:spacing w:val="-5"/>
                <w:sz w:val="21"/>
              </w:rPr>
              <w:t> </w:t>
            </w:r>
            <w:r>
              <w:rPr>
                <w:rFonts w:ascii="Times New Roman"/>
                <w:color w:val="231F20"/>
                <w:spacing w:val="-6"/>
                <w:sz w:val="21"/>
              </w:rPr>
              <w:t>type</w:t>
            </w:r>
            <w:r>
              <w:rPr>
                <w:rFonts w:ascii="Times New Roman"/>
                <w:color w:val="231F20"/>
                <w:sz w:val="21"/>
              </w:rPr>
              <w:tab/>
            </w:r>
            <w:r>
              <w:rPr>
                <w:rFonts w:ascii="Times New Roman"/>
                <w:color w:val="231F20"/>
                <w:spacing w:val="-5"/>
                <w:sz w:val="21"/>
              </w:rPr>
              <w:t>68</w:t>
            </w:r>
          </w:p>
        </w:tc>
        <w:tc>
          <w:tcPr>
            <w:tcW w:w="521" w:type="dxa"/>
          </w:tcPr>
          <w:p>
            <w:pPr>
              <w:pStyle w:val="TableParagraph"/>
              <w:spacing w:before="0"/>
              <w:jc w:val="left"/>
              <w:rPr>
                <w:rFonts w:ascii="Times New Roman"/>
                <w:sz w:val="20"/>
              </w:rPr>
            </w:pPr>
          </w:p>
        </w:tc>
      </w:tr>
      <w:tr>
        <w:trPr>
          <w:trHeight w:val="266" w:hRule="atLeast"/>
        </w:trPr>
        <w:tc>
          <w:tcPr>
            <w:tcW w:w="518" w:type="dxa"/>
          </w:tcPr>
          <w:p>
            <w:pPr>
              <w:pStyle w:val="TableParagraph"/>
              <w:spacing w:before="0"/>
              <w:ind w:right="27"/>
              <w:rPr>
                <w:rFonts w:ascii="Times New Roman"/>
                <w:sz w:val="21"/>
              </w:rPr>
            </w:pPr>
            <w:r>
              <w:rPr>
                <w:rFonts w:ascii="Times New Roman"/>
                <w:color w:val="231F20"/>
                <w:spacing w:val="-4"/>
                <w:sz w:val="21"/>
              </w:rPr>
              <w:t>A8.1</w:t>
            </w:r>
          </w:p>
        </w:tc>
        <w:tc>
          <w:tcPr>
            <w:tcW w:w="9380" w:type="dxa"/>
          </w:tcPr>
          <w:p>
            <w:pPr>
              <w:pStyle w:val="TableParagraph"/>
              <w:tabs>
                <w:tab w:pos="4620" w:val="right" w:leader="none"/>
              </w:tabs>
              <w:spacing w:before="0"/>
              <w:ind w:left="71"/>
              <w:jc w:val="left"/>
              <w:rPr>
                <w:rFonts w:ascii="Times New Roman" w:hAnsi="Times New Roman"/>
                <w:sz w:val="21"/>
              </w:rPr>
            </w:pPr>
            <w:r>
              <w:rPr>
                <w:rFonts w:ascii="Times New Roman" w:hAnsi="Times New Roman"/>
                <w:color w:val="231F20"/>
                <w:w w:val="90"/>
                <w:sz w:val="21"/>
              </w:rPr>
              <w:t>Use</w:t>
            </w:r>
            <w:r>
              <w:rPr>
                <w:rFonts w:ascii="Times New Roman" w:hAnsi="Times New Roman"/>
                <w:color w:val="231F20"/>
                <w:spacing w:val="5"/>
                <w:sz w:val="21"/>
              </w:rPr>
              <w:t> </w:t>
            </w:r>
            <w:r>
              <w:rPr>
                <w:rFonts w:ascii="Times New Roman" w:hAnsi="Times New Roman"/>
                <w:color w:val="231F20"/>
                <w:w w:val="90"/>
                <w:sz w:val="21"/>
              </w:rPr>
              <w:t>of</w:t>
            </w:r>
            <w:r>
              <w:rPr>
                <w:rFonts w:ascii="Times New Roman" w:hAnsi="Times New Roman"/>
                <w:color w:val="231F20"/>
                <w:spacing w:val="6"/>
                <w:sz w:val="21"/>
              </w:rPr>
              <w:t> </w:t>
            </w:r>
            <w:r>
              <w:rPr>
                <w:rFonts w:ascii="Times New Roman" w:hAnsi="Times New Roman"/>
                <w:color w:val="231F20"/>
                <w:w w:val="90"/>
                <w:sz w:val="21"/>
              </w:rPr>
              <w:t>LPI</w:t>
            </w:r>
            <w:r>
              <w:rPr>
                <w:rFonts w:ascii="Times New Roman" w:hAnsi="Times New Roman"/>
                <w:color w:val="231F20"/>
                <w:spacing w:val="6"/>
                <w:sz w:val="21"/>
              </w:rPr>
              <w:t> </w:t>
            </w:r>
            <w:r>
              <w:rPr>
                <w:rFonts w:ascii="Times New Roman" w:hAnsi="Times New Roman"/>
                <w:color w:val="231F20"/>
                <w:w w:val="90"/>
                <w:sz w:val="21"/>
              </w:rPr>
              <w:t>data</w:t>
            </w:r>
            <w:r>
              <w:rPr>
                <w:rFonts w:ascii="Times New Roman" w:hAnsi="Times New Roman"/>
                <w:color w:val="231F20"/>
                <w:spacing w:val="5"/>
                <w:sz w:val="21"/>
              </w:rPr>
              <w:t> </w:t>
            </w:r>
            <w:r>
              <w:rPr>
                <w:rFonts w:ascii="Times New Roman" w:hAnsi="Times New Roman"/>
                <w:color w:val="231F20"/>
                <w:w w:val="90"/>
                <w:sz w:val="21"/>
              </w:rPr>
              <w:t>in</w:t>
            </w:r>
            <w:r>
              <w:rPr>
                <w:rFonts w:ascii="Times New Roman" w:hAnsi="Times New Roman"/>
                <w:color w:val="231F20"/>
                <w:spacing w:val="6"/>
                <w:sz w:val="21"/>
              </w:rPr>
              <w:t> </w:t>
            </w:r>
            <w:r>
              <w:rPr>
                <w:rFonts w:ascii="Times New Roman" w:hAnsi="Times New Roman"/>
                <w:color w:val="231F20"/>
                <w:w w:val="90"/>
                <w:sz w:val="21"/>
              </w:rPr>
              <w:t>research</w:t>
            </w:r>
            <w:r>
              <w:rPr>
                <w:rFonts w:ascii="Times New Roman" w:hAnsi="Times New Roman"/>
                <w:color w:val="231F20"/>
                <w:spacing w:val="6"/>
                <w:sz w:val="21"/>
              </w:rPr>
              <w:t> </w:t>
            </w:r>
            <w:r>
              <w:rPr>
                <w:rFonts w:ascii="Times New Roman" w:hAnsi="Times New Roman"/>
                <w:color w:val="231F20"/>
                <w:w w:val="90"/>
                <w:sz w:val="21"/>
              </w:rPr>
              <w:t>literature,</w:t>
            </w:r>
            <w:r>
              <w:rPr>
                <w:rFonts w:ascii="Times New Roman" w:hAnsi="Times New Roman"/>
                <w:color w:val="231F20"/>
                <w:spacing w:val="5"/>
                <w:sz w:val="21"/>
              </w:rPr>
              <w:t> </w:t>
            </w:r>
            <w:r>
              <w:rPr>
                <w:rFonts w:ascii="Times New Roman" w:hAnsi="Times New Roman"/>
                <w:color w:val="231F20"/>
                <w:spacing w:val="-2"/>
                <w:w w:val="90"/>
                <w:sz w:val="21"/>
              </w:rPr>
              <w:t>2007–22</w:t>
            </w:r>
            <w:r>
              <w:rPr>
                <w:rFonts w:ascii="Times New Roman" w:hAnsi="Times New Roman"/>
                <w:color w:val="231F20"/>
                <w:sz w:val="21"/>
              </w:rPr>
              <w:tab/>
            </w:r>
            <w:r>
              <w:rPr>
                <w:rFonts w:ascii="Times New Roman" w:hAnsi="Times New Roman"/>
                <w:color w:val="231F20"/>
                <w:spacing w:val="-5"/>
                <w:sz w:val="21"/>
              </w:rPr>
              <w:t>69</w:t>
            </w:r>
          </w:p>
        </w:tc>
        <w:tc>
          <w:tcPr>
            <w:tcW w:w="521" w:type="dxa"/>
          </w:tcPr>
          <w:p>
            <w:pPr>
              <w:pStyle w:val="TableParagraph"/>
              <w:spacing w:before="0"/>
              <w:jc w:val="left"/>
              <w:rPr>
                <w:rFonts w:ascii="Times New Roman"/>
                <w:sz w:val="18"/>
              </w:rPr>
            </w:pPr>
          </w:p>
        </w:tc>
      </w:tr>
    </w:tbl>
    <w:p>
      <w:pPr>
        <w:pStyle w:val="BodyText"/>
        <w:spacing w:before="75"/>
        <w:rPr>
          <w:rFonts w:ascii="Arial"/>
          <w:sz w:val="19"/>
        </w:rPr>
      </w:pPr>
    </w:p>
    <w:p>
      <w:pPr>
        <w:spacing w:before="0"/>
        <w:ind w:left="1200" w:right="0" w:firstLine="0"/>
        <w:jc w:val="left"/>
        <w:rPr>
          <w:rFonts w:ascii="Arial"/>
          <w:sz w:val="19"/>
        </w:rPr>
      </w:pPr>
      <w:r>
        <w:rPr>
          <w:rFonts w:ascii="Arial"/>
          <w:color w:val="008FDD"/>
          <w:spacing w:val="-4"/>
          <w:w w:val="105"/>
          <w:sz w:val="19"/>
        </w:rPr>
        <w:t>Maps</w:t>
      </w:r>
    </w:p>
    <w:p>
      <w:pPr>
        <w:pStyle w:val="BodyText"/>
        <w:tabs>
          <w:tab w:pos="1739" w:val="left" w:leader="none"/>
          <w:tab w:pos="8473" w:val="left" w:leader="none"/>
        </w:tabs>
        <w:spacing w:before="33"/>
        <w:ind w:left="1200"/>
      </w:pPr>
      <w:r>
        <w:rPr>
          <w:color w:val="231F20"/>
          <w:spacing w:val="-10"/>
        </w:rPr>
        <w:t>1</w:t>
      </w:r>
      <w:r>
        <w:rPr>
          <w:color w:val="231F20"/>
        </w:rPr>
        <w:tab/>
      </w:r>
      <w:r>
        <w:rPr>
          <w:color w:val="231F20"/>
          <w:spacing w:val="-4"/>
        </w:rPr>
        <w:t>Mean</w:t>
      </w:r>
      <w:r>
        <w:rPr>
          <w:color w:val="231F20"/>
          <w:spacing w:val="-13"/>
        </w:rPr>
        <w:t> </w:t>
      </w:r>
      <w:r>
        <w:rPr>
          <w:color w:val="231F20"/>
          <w:spacing w:val="-4"/>
        </w:rPr>
        <w:t>import</w:t>
      </w:r>
      <w:r>
        <w:rPr>
          <w:color w:val="231F20"/>
          <w:spacing w:val="-12"/>
        </w:rPr>
        <w:t> </w:t>
      </w:r>
      <w:r>
        <w:rPr>
          <w:color w:val="231F20"/>
          <w:spacing w:val="-4"/>
        </w:rPr>
        <w:t>dwell</w:t>
      </w:r>
      <w:r>
        <w:rPr>
          <w:color w:val="231F20"/>
          <w:spacing w:val="-13"/>
        </w:rPr>
        <w:t> </w:t>
      </w:r>
      <w:r>
        <w:rPr>
          <w:color w:val="231F20"/>
          <w:spacing w:val="-4"/>
        </w:rPr>
        <w:t>time</w:t>
      </w:r>
      <w:r>
        <w:rPr>
          <w:color w:val="231F20"/>
          <w:spacing w:val="-12"/>
        </w:rPr>
        <w:t> </w:t>
      </w:r>
      <w:r>
        <w:rPr>
          <w:color w:val="231F20"/>
          <w:spacing w:val="-4"/>
        </w:rPr>
        <w:t>of</w:t>
      </w:r>
      <w:r>
        <w:rPr>
          <w:color w:val="231F20"/>
          <w:spacing w:val="-13"/>
        </w:rPr>
        <w:t> </w:t>
      </w:r>
      <w:r>
        <w:rPr>
          <w:color w:val="231F20"/>
          <w:spacing w:val="-4"/>
        </w:rPr>
        <w:t>containers</w:t>
      </w:r>
      <w:r>
        <w:rPr>
          <w:color w:val="231F20"/>
          <w:spacing w:val="-12"/>
        </w:rPr>
        <w:t> </w:t>
      </w:r>
      <w:r>
        <w:rPr>
          <w:color w:val="231F20"/>
          <w:spacing w:val="-4"/>
        </w:rPr>
        <w:t>around</w:t>
      </w:r>
      <w:r>
        <w:rPr>
          <w:color w:val="231F20"/>
          <w:spacing w:val="-13"/>
        </w:rPr>
        <w:t> </w:t>
      </w:r>
      <w:r>
        <w:rPr>
          <w:color w:val="231F20"/>
          <w:spacing w:val="-4"/>
        </w:rPr>
        <w:t>the</w:t>
      </w:r>
      <w:r>
        <w:rPr>
          <w:color w:val="231F20"/>
          <w:spacing w:val="-12"/>
        </w:rPr>
        <w:t> </w:t>
      </w:r>
      <w:r>
        <w:rPr>
          <w:color w:val="231F20"/>
          <w:spacing w:val="-4"/>
        </w:rPr>
        <w:t>world,</w:t>
      </w:r>
      <w:r>
        <w:rPr>
          <w:color w:val="231F20"/>
          <w:spacing w:val="-13"/>
        </w:rPr>
        <w:t> </w:t>
      </w:r>
      <w:r>
        <w:rPr>
          <w:color w:val="231F20"/>
          <w:spacing w:val="-4"/>
        </w:rPr>
        <w:t>May–October</w:t>
      </w:r>
      <w:r>
        <w:rPr>
          <w:color w:val="231F20"/>
          <w:spacing w:val="-12"/>
        </w:rPr>
        <w:t> </w:t>
      </w:r>
      <w:r>
        <w:rPr>
          <w:color w:val="231F20"/>
          <w:spacing w:val="-4"/>
        </w:rPr>
        <w:t>2022</w:t>
      </w:r>
      <w:r>
        <w:rPr>
          <w:color w:val="231F20"/>
        </w:rPr>
        <w:tab/>
      </w:r>
      <w:r>
        <w:rPr>
          <w:color w:val="231F20"/>
          <w:spacing w:val="-10"/>
        </w:rPr>
        <w:t>5</w:t>
      </w:r>
    </w:p>
    <w:p>
      <w:pPr>
        <w:pStyle w:val="BodyText"/>
        <w:tabs>
          <w:tab w:pos="5874" w:val="left" w:leader="none"/>
        </w:tabs>
        <w:spacing w:line="268" w:lineRule="auto" w:before="29"/>
        <w:ind w:left="1740" w:right="1151" w:hanging="540"/>
      </w:pPr>
      <w:r>
        <w:rPr>
          <w:color w:val="231F20"/>
          <w:w w:val="90"/>
        </w:rPr>
        <w:t>A6.1</w:t>
      </w:r>
      <w:r>
        <w:rPr>
          <w:color w:val="231F20"/>
          <w:spacing w:val="80"/>
          <w:w w:val="150"/>
        </w:rPr>
        <w:t> </w:t>
      </w:r>
      <w:r>
        <w:rPr>
          <w:color w:val="231F20"/>
          <w:w w:val="90"/>
        </w:rPr>
        <w:t>How often do shippers ask for environmentally friendly options (e.g., in view of emission levels, choice of routes, </w:t>
      </w:r>
      <w:r>
        <w:rPr>
          <w:color w:val="231F20"/>
        </w:rPr>
        <w:t>vehicles, schedules, etc.) when shipping to…?</w:t>
      </w:r>
      <w:r>
        <w:rPr>
          <w:color w:val="231F20"/>
        </w:rPr>
        <w:tab/>
      </w:r>
      <w:r>
        <w:rPr>
          <w:color w:val="231F20"/>
          <w:spacing w:val="-6"/>
        </w:rPr>
        <w:t>65</w:t>
      </w:r>
    </w:p>
    <w:p>
      <w:pPr>
        <w:pStyle w:val="BodyText"/>
        <w:tabs>
          <w:tab w:pos="10543" w:val="left" w:leader="none"/>
        </w:tabs>
        <w:spacing w:line="241" w:lineRule="exact"/>
        <w:ind w:left="1200"/>
      </w:pPr>
      <w:r>
        <w:rPr>
          <w:color w:val="231F20"/>
          <w:w w:val="90"/>
        </w:rPr>
        <w:t>A6.2</w:t>
      </w:r>
      <w:r>
        <w:rPr>
          <w:color w:val="231F20"/>
          <w:spacing w:val="38"/>
        </w:rPr>
        <w:t>  </w:t>
      </w:r>
      <w:r>
        <w:rPr>
          <w:color w:val="231F20"/>
          <w:w w:val="90"/>
        </w:rPr>
        <w:t>Based</w:t>
      </w:r>
      <w:r>
        <w:rPr>
          <w:color w:val="231F20"/>
        </w:rPr>
        <w:t> </w:t>
      </w:r>
      <w:r>
        <w:rPr>
          <w:color w:val="231F20"/>
          <w:w w:val="90"/>
        </w:rPr>
        <w:t>on</w:t>
      </w:r>
      <w:r>
        <w:rPr>
          <w:color w:val="231F20"/>
          <w:spacing w:val="-1"/>
        </w:rPr>
        <w:t> </w:t>
      </w:r>
      <w:r>
        <w:rPr>
          <w:color w:val="231F20"/>
          <w:w w:val="90"/>
        </w:rPr>
        <w:t>your</w:t>
      </w:r>
      <w:r>
        <w:rPr>
          <w:color w:val="231F20"/>
          <w:spacing w:val="-1"/>
        </w:rPr>
        <w:t> </w:t>
      </w:r>
      <w:r>
        <w:rPr>
          <w:color w:val="231F20"/>
          <w:w w:val="90"/>
        </w:rPr>
        <w:t>experience,</w:t>
      </w:r>
      <w:r>
        <w:rPr>
          <w:color w:val="231F20"/>
          <w:spacing w:val="-1"/>
        </w:rPr>
        <w:t> </w:t>
      </w:r>
      <w:r>
        <w:rPr>
          <w:color w:val="231F20"/>
          <w:w w:val="90"/>
        </w:rPr>
        <w:t>how</w:t>
      </w:r>
      <w:r>
        <w:rPr>
          <w:color w:val="231F20"/>
          <w:spacing w:val="-1"/>
        </w:rPr>
        <w:t> </w:t>
      </w:r>
      <w:r>
        <w:rPr>
          <w:color w:val="231F20"/>
          <w:w w:val="90"/>
        </w:rPr>
        <w:t>have</w:t>
      </w:r>
      <w:r>
        <w:rPr>
          <w:color w:val="231F20"/>
          <w:spacing w:val="-2"/>
        </w:rPr>
        <w:t> </w:t>
      </w:r>
      <w:r>
        <w:rPr>
          <w:color w:val="231F20"/>
          <w:w w:val="90"/>
        </w:rPr>
        <w:t>supply</w:t>
      </w:r>
      <w:r>
        <w:rPr>
          <w:color w:val="231F20"/>
          <w:spacing w:val="-1"/>
        </w:rPr>
        <w:t> </w:t>
      </w:r>
      <w:r>
        <w:rPr>
          <w:color w:val="231F20"/>
          <w:w w:val="90"/>
        </w:rPr>
        <w:t>chains</w:t>
      </w:r>
      <w:r>
        <w:rPr>
          <w:color w:val="231F20"/>
          <w:spacing w:val="-1"/>
        </w:rPr>
        <w:t> </w:t>
      </w:r>
      <w:r>
        <w:rPr>
          <w:color w:val="231F20"/>
          <w:w w:val="90"/>
        </w:rPr>
        <w:t>been</w:t>
      </w:r>
      <w:r>
        <w:rPr>
          <w:color w:val="231F20"/>
          <w:spacing w:val="-1"/>
        </w:rPr>
        <w:t> </w:t>
      </w:r>
      <w:r>
        <w:rPr>
          <w:color w:val="231F20"/>
          <w:w w:val="90"/>
        </w:rPr>
        <w:t>affected</w:t>
      </w:r>
      <w:r>
        <w:rPr>
          <w:color w:val="231F20"/>
          <w:spacing w:val="-1"/>
        </w:rPr>
        <w:t> </w:t>
      </w:r>
      <w:r>
        <w:rPr>
          <w:color w:val="231F20"/>
          <w:w w:val="90"/>
        </w:rPr>
        <w:t>since</w:t>
      </w:r>
      <w:r>
        <w:rPr>
          <w:color w:val="231F20"/>
          <w:spacing w:val="-1"/>
        </w:rPr>
        <w:t> </w:t>
      </w:r>
      <w:r>
        <w:rPr>
          <w:color w:val="231F20"/>
          <w:w w:val="90"/>
        </w:rPr>
        <w:t>the</w:t>
      </w:r>
      <w:r>
        <w:rPr>
          <w:color w:val="231F20"/>
          <w:spacing w:val="-1"/>
        </w:rPr>
        <w:t> </w:t>
      </w:r>
      <w:r>
        <w:rPr>
          <w:color w:val="231F20"/>
          <w:w w:val="90"/>
        </w:rPr>
        <w:t>year</w:t>
      </w:r>
      <w:r>
        <w:rPr>
          <w:color w:val="231F20"/>
          <w:spacing w:val="-1"/>
        </w:rPr>
        <w:t> </w:t>
      </w:r>
      <w:r>
        <w:rPr>
          <w:color w:val="231F20"/>
          <w:w w:val="90"/>
        </w:rPr>
        <w:t>2019</w:t>
      </w:r>
      <w:r>
        <w:rPr>
          <w:color w:val="231F20"/>
          <w:spacing w:val="-2"/>
        </w:rPr>
        <w:t> </w:t>
      </w:r>
      <w:r>
        <w:rPr>
          <w:color w:val="231F20"/>
          <w:w w:val="90"/>
        </w:rPr>
        <w:t>when</w:t>
      </w:r>
      <w:r>
        <w:rPr>
          <w:color w:val="231F20"/>
          <w:spacing w:val="-1"/>
        </w:rPr>
        <w:t> </w:t>
      </w:r>
      <w:r>
        <w:rPr>
          <w:color w:val="231F20"/>
          <w:w w:val="90"/>
        </w:rPr>
        <w:t>shipping</w:t>
      </w:r>
      <w:r>
        <w:rPr>
          <w:color w:val="231F20"/>
          <w:spacing w:val="-1"/>
        </w:rPr>
        <w:t> </w:t>
      </w:r>
      <w:r>
        <w:rPr>
          <w:color w:val="231F20"/>
          <w:spacing w:val="-4"/>
          <w:w w:val="90"/>
        </w:rPr>
        <w:t>to…?</w:t>
      </w:r>
      <w:r>
        <w:rPr>
          <w:color w:val="231F20"/>
        </w:rPr>
        <w:tab/>
      </w:r>
      <w:r>
        <w:rPr>
          <w:color w:val="231F20"/>
          <w:spacing w:val="-5"/>
        </w:rPr>
        <w:t>66</w:t>
      </w:r>
    </w:p>
    <w:p>
      <w:pPr>
        <w:spacing w:before="316" w:after="38"/>
        <w:ind w:left="1200" w:right="0" w:firstLine="0"/>
        <w:jc w:val="left"/>
        <w:rPr>
          <w:rFonts w:ascii="Arial"/>
          <w:sz w:val="19"/>
        </w:rPr>
      </w:pPr>
      <w:r>
        <w:rPr>
          <w:rFonts w:ascii="Arial"/>
          <w:color w:val="008FDD"/>
          <w:spacing w:val="-2"/>
          <w:w w:val="105"/>
          <w:sz w:val="19"/>
        </w:rPr>
        <w:t>Tables</w:t>
      </w:r>
    </w:p>
    <w:tbl>
      <w:tblPr>
        <w:tblW w:w="0" w:type="auto"/>
        <w:jc w:val="left"/>
        <w:tblInd w:w="1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6"/>
        <w:gridCol w:w="7250"/>
        <w:gridCol w:w="414"/>
        <w:gridCol w:w="1129"/>
        <w:gridCol w:w="545"/>
      </w:tblGrid>
      <w:tr>
        <w:trPr>
          <w:trHeight w:val="266" w:hRule="atLeast"/>
        </w:trPr>
        <w:tc>
          <w:tcPr>
            <w:tcW w:w="526" w:type="dxa"/>
          </w:tcPr>
          <w:p>
            <w:pPr>
              <w:pStyle w:val="TableParagraph"/>
              <w:spacing w:line="238" w:lineRule="exact" w:before="0"/>
              <w:ind w:left="50"/>
              <w:jc w:val="left"/>
              <w:rPr>
                <w:rFonts w:ascii="Times New Roman"/>
                <w:sz w:val="21"/>
              </w:rPr>
            </w:pPr>
            <w:r>
              <w:rPr>
                <w:rFonts w:ascii="Times New Roman"/>
                <w:color w:val="231F20"/>
                <w:spacing w:val="-10"/>
                <w:sz w:val="21"/>
              </w:rPr>
              <w:t>1</w:t>
            </w:r>
          </w:p>
        </w:tc>
        <w:tc>
          <w:tcPr>
            <w:tcW w:w="7250" w:type="dxa"/>
          </w:tcPr>
          <w:p>
            <w:pPr>
              <w:pStyle w:val="TableParagraph"/>
              <w:tabs>
                <w:tab w:pos="6308" w:val="right" w:leader="none"/>
              </w:tabs>
              <w:spacing w:line="238" w:lineRule="exact" w:before="0"/>
              <w:ind w:left="63"/>
              <w:jc w:val="left"/>
              <w:rPr>
                <w:rFonts w:ascii="Times New Roman" w:hAnsi="Times New Roman"/>
                <w:sz w:val="21"/>
              </w:rPr>
            </w:pPr>
            <w:r>
              <w:rPr>
                <w:rFonts w:ascii="Times New Roman" w:hAnsi="Times New Roman"/>
                <w:color w:val="231F20"/>
                <w:spacing w:val="-8"/>
                <w:sz w:val="21"/>
              </w:rPr>
              <w:t>Top</w:t>
            </w:r>
            <w:r>
              <w:rPr>
                <w:rFonts w:ascii="Times New Roman" w:hAnsi="Times New Roman"/>
                <w:color w:val="231F20"/>
                <w:spacing w:val="-7"/>
                <w:sz w:val="21"/>
              </w:rPr>
              <w:t> </w:t>
            </w:r>
            <w:r>
              <w:rPr>
                <w:rFonts w:ascii="Times New Roman" w:hAnsi="Times New Roman"/>
                <w:color w:val="231F20"/>
                <w:spacing w:val="-8"/>
                <w:sz w:val="21"/>
              </w:rPr>
              <w:t>10</w:t>
            </w:r>
            <w:r>
              <w:rPr>
                <w:rFonts w:ascii="Times New Roman" w:hAnsi="Times New Roman"/>
                <w:color w:val="231F20"/>
                <w:spacing w:val="-6"/>
                <w:sz w:val="21"/>
              </w:rPr>
              <w:t> </w:t>
            </w:r>
            <w:r>
              <w:rPr>
                <w:rFonts w:ascii="Times New Roman" w:hAnsi="Times New Roman"/>
                <w:color w:val="231F20"/>
                <w:spacing w:val="-8"/>
                <w:sz w:val="21"/>
              </w:rPr>
              <w:t>and</w:t>
            </w:r>
            <w:r>
              <w:rPr>
                <w:rFonts w:ascii="Times New Roman" w:hAnsi="Times New Roman"/>
                <w:color w:val="231F20"/>
                <w:spacing w:val="-6"/>
                <w:sz w:val="21"/>
              </w:rPr>
              <w:t> </w:t>
            </w:r>
            <w:r>
              <w:rPr>
                <w:rFonts w:ascii="Times New Roman" w:hAnsi="Times New Roman"/>
                <w:color w:val="231F20"/>
                <w:spacing w:val="-8"/>
                <w:sz w:val="21"/>
              </w:rPr>
              <w:t>bottom</w:t>
            </w:r>
            <w:r>
              <w:rPr>
                <w:rFonts w:ascii="Times New Roman" w:hAnsi="Times New Roman"/>
                <w:color w:val="231F20"/>
                <w:spacing w:val="-7"/>
                <w:sz w:val="21"/>
              </w:rPr>
              <w:t> </w:t>
            </w:r>
            <w:r>
              <w:rPr>
                <w:rFonts w:ascii="Times New Roman" w:hAnsi="Times New Roman"/>
                <w:color w:val="231F20"/>
                <w:spacing w:val="-8"/>
                <w:sz w:val="21"/>
              </w:rPr>
              <w:t>10</w:t>
            </w:r>
            <w:r>
              <w:rPr>
                <w:rFonts w:ascii="Times New Roman" w:hAnsi="Times New Roman"/>
                <w:color w:val="231F20"/>
                <w:spacing w:val="-6"/>
                <w:sz w:val="21"/>
              </w:rPr>
              <w:t> </w:t>
            </w:r>
            <w:r>
              <w:rPr>
                <w:rFonts w:ascii="Times New Roman" w:hAnsi="Times New Roman"/>
                <w:color w:val="231F20"/>
                <w:spacing w:val="-8"/>
                <w:sz w:val="21"/>
              </w:rPr>
              <w:t>average</w:t>
            </w:r>
            <w:r>
              <w:rPr>
                <w:rFonts w:ascii="Times New Roman" w:hAnsi="Times New Roman"/>
                <w:color w:val="231F20"/>
                <w:spacing w:val="-6"/>
                <w:sz w:val="21"/>
              </w:rPr>
              <w:t> </w:t>
            </w:r>
            <w:r>
              <w:rPr>
                <w:rFonts w:ascii="Times New Roman" w:hAnsi="Times New Roman"/>
                <w:color w:val="231F20"/>
                <w:spacing w:val="-8"/>
                <w:sz w:val="21"/>
              </w:rPr>
              <w:t>LPI</w:t>
            </w:r>
            <w:r>
              <w:rPr>
                <w:rFonts w:ascii="Times New Roman" w:hAnsi="Times New Roman"/>
                <w:color w:val="231F20"/>
                <w:spacing w:val="-6"/>
                <w:sz w:val="21"/>
              </w:rPr>
              <w:t> </w:t>
            </w:r>
            <w:r>
              <w:rPr>
                <w:rFonts w:ascii="Times New Roman" w:hAnsi="Times New Roman"/>
                <w:color w:val="231F20"/>
                <w:spacing w:val="-8"/>
                <w:sz w:val="21"/>
              </w:rPr>
              <w:t>scores,</w:t>
            </w:r>
            <w:r>
              <w:rPr>
                <w:rFonts w:ascii="Times New Roman" w:hAnsi="Times New Roman"/>
                <w:color w:val="231F20"/>
                <w:spacing w:val="-7"/>
                <w:sz w:val="21"/>
              </w:rPr>
              <w:t> </w:t>
            </w:r>
            <w:r>
              <w:rPr>
                <w:rFonts w:ascii="Times New Roman" w:hAnsi="Times New Roman"/>
                <w:color w:val="231F20"/>
                <w:spacing w:val="-8"/>
                <w:sz w:val="21"/>
              </w:rPr>
              <w:t>2007–23</w:t>
            </w:r>
            <w:r>
              <w:rPr>
                <w:rFonts w:ascii="Times New Roman" w:hAnsi="Times New Roman"/>
                <w:color w:val="231F20"/>
                <w:spacing w:val="-6"/>
                <w:sz w:val="21"/>
              </w:rPr>
              <w:t> </w:t>
            </w:r>
            <w:r>
              <w:rPr>
                <w:rFonts w:ascii="Times New Roman" w:hAnsi="Times New Roman"/>
                <w:color w:val="231F20"/>
                <w:spacing w:val="-8"/>
                <w:sz w:val="21"/>
              </w:rPr>
              <w:t>(1,</w:t>
            </w:r>
            <w:r>
              <w:rPr>
                <w:rFonts w:ascii="Times New Roman" w:hAnsi="Times New Roman"/>
                <w:color w:val="231F20"/>
                <w:spacing w:val="-6"/>
                <w:sz w:val="21"/>
              </w:rPr>
              <w:t> </w:t>
            </w:r>
            <w:r>
              <w:rPr>
                <w:rFonts w:ascii="Times New Roman" w:hAnsi="Times New Roman"/>
                <w:color w:val="231F20"/>
                <w:spacing w:val="-8"/>
                <w:sz w:val="21"/>
              </w:rPr>
              <w:t>low,</w:t>
            </w:r>
            <w:r>
              <w:rPr>
                <w:rFonts w:ascii="Times New Roman" w:hAnsi="Times New Roman"/>
                <w:color w:val="231F20"/>
                <w:spacing w:val="-7"/>
                <w:sz w:val="21"/>
              </w:rPr>
              <w:t> </w:t>
            </w:r>
            <w:r>
              <w:rPr>
                <w:rFonts w:ascii="Times New Roman" w:hAnsi="Times New Roman"/>
                <w:color w:val="231F20"/>
                <w:spacing w:val="-8"/>
                <w:sz w:val="21"/>
              </w:rPr>
              <w:t>to</w:t>
            </w:r>
            <w:r>
              <w:rPr>
                <w:rFonts w:ascii="Times New Roman" w:hAnsi="Times New Roman"/>
                <w:color w:val="231F20"/>
                <w:spacing w:val="-6"/>
                <w:sz w:val="21"/>
              </w:rPr>
              <w:t> </w:t>
            </w:r>
            <w:r>
              <w:rPr>
                <w:rFonts w:ascii="Times New Roman" w:hAnsi="Times New Roman"/>
                <w:color w:val="231F20"/>
                <w:spacing w:val="-8"/>
                <w:sz w:val="21"/>
              </w:rPr>
              <w:t>5,</w:t>
            </w:r>
            <w:r>
              <w:rPr>
                <w:rFonts w:ascii="Times New Roman" w:hAnsi="Times New Roman"/>
                <w:color w:val="231F20"/>
                <w:spacing w:val="-6"/>
                <w:sz w:val="21"/>
              </w:rPr>
              <w:t> </w:t>
            </w:r>
            <w:r>
              <w:rPr>
                <w:rFonts w:ascii="Times New Roman" w:hAnsi="Times New Roman"/>
                <w:color w:val="231F20"/>
                <w:spacing w:val="-8"/>
                <w:sz w:val="21"/>
              </w:rPr>
              <w:t>high)</w:t>
            </w:r>
            <w:r>
              <w:rPr>
                <w:rFonts w:ascii="Times New Roman" w:hAnsi="Times New Roman"/>
                <w:color w:val="231F20"/>
                <w:sz w:val="21"/>
              </w:rPr>
              <w:tab/>
            </w:r>
            <w:r>
              <w:rPr>
                <w:rFonts w:ascii="Times New Roman" w:hAnsi="Times New Roman"/>
                <w:color w:val="231F20"/>
                <w:spacing w:val="-10"/>
                <w:sz w:val="21"/>
              </w:rPr>
              <w:t>2</w:t>
            </w:r>
          </w:p>
        </w:tc>
        <w:tc>
          <w:tcPr>
            <w:tcW w:w="414" w:type="dxa"/>
          </w:tcPr>
          <w:p>
            <w:pPr>
              <w:pStyle w:val="TableParagraph"/>
              <w:spacing w:before="0"/>
              <w:jc w:val="left"/>
              <w:rPr>
                <w:rFonts w:ascii="Times New Roman"/>
                <w:sz w:val="18"/>
              </w:rPr>
            </w:pPr>
          </w:p>
        </w:tc>
        <w:tc>
          <w:tcPr>
            <w:tcW w:w="1674" w:type="dxa"/>
            <w:gridSpan w:val="2"/>
            <w:vMerge w:val="restart"/>
          </w:tcPr>
          <w:p>
            <w:pPr>
              <w:pStyle w:val="TableParagraph"/>
              <w:spacing w:before="0"/>
              <w:jc w:val="left"/>
              <w:rPr>
                <w:rFonts w:ascii="Times New Roman"/>
                <w:sz w:val="20"/>
              </w:rPr>
            </w:pPr>
          </w:p>
        </w:tc>
      </w:tr>
      <w:tr>
        <w:trPr>
          <w:trHeight w:val="2160" w:hRule="atLeast"/>
        </w:trPr>
        <w:tc>
          <w:tcPr>
            <w:tcW w:w="526" w:type="dxa"/>
          </w:tcPr>
          <w:p>
            <w:pPr>
              <w:pStyle w:val="TableParagraph"/>
              <w:spacing w:before="0"/>
              <w:ind w:left="50"/>
              <w:jc w:val="left"/>
              <w:rPr>
                <w:rFonts w:ascii="Times New Roman"/>
                <w:sz w:val="21"/>
              </w:rPr>
            </w:pPr>
            <w:r>
              <w:rPr>
                <w:rFonts w:ascii="Times New Roman"/>
                <w:color w:val="231F20"/>
                <w:spacing w:val="-5"/>
                <w:sz w:val="21"/>
              </w:rPr>
              <w:t>2.1</w:t>
            </w:r>
          </w:p>
          <w:p>
            <w:pPr>
              <w:pStyle w:val="TableParagraph"/>
              <w:spacing w:line="270" w:lineRule="atLeast" w:before="0"/>
              <w:ind w:left="50" w:right="62"/>
              <w:jc w:val="both"/>
              <w:rPr>
                <w:rFonts w:ascii="Times New Roman"/>
                <w:sz w:val="21"/>
              </w:rPr>
            </w:pPr>
            <w:r>
              <w:rPr>
                <w:rFonts w:ascii="Times New Roman"/>
                <w:color w:val="231F20"/>
                <w:spacing w:val="-4"/>
                <w:sz w:val="21"/>
              </w:rPr>
              <w:t>A2.1 </w:t>
            </w:r>
            <w:hyperlink w:history="true" w:anchor="_bookmark42">
              <w:r>
                <w:rPr>
                  <w:rFonts w:ascii="Times New Roman"/>
                  <w:color w:val="231F20"/>
                  <w:spacing w:val="-4"/>
                  <w:sz w:val="21"/>
                </w:rPr>
                <w:t>A2.2</w:t>
              </w:r>
            </w:hyperlink>
            <w:r>
              <w:rPr>
                <w:rFonts w:ascii="Times New Roman"/>
                <w:color w:val="231F20"/>
                <w:spacing w:val="-4"/>
                <w:sz w:val="21"/>
              </w:rPr>
              <w:t> </w:t>
            </w:r>
            <w:hyperlink w:history="true" w:anchor="_bookmark43">
              <w:r>
                <w:rPr>
                  <w:rFonts w:ascii="Times New Roman"/>
                  <w:color w:val="231F20"/>
                  <w:spacing w:val="-4"/>
                  <w:sz w:val="21"/>
                </w:rPr>
                <w:t>A2.3</w:t>
              </w:r>
            </w:hyperlink>
            <w:r>
              <w:rPr>
                <w:rFonts w:ascii="Times New Roman"/>
                <w:color w:val="231F20"/>
                <w:spacing w:val="-4"/>
                <w:sz w:val="21"/>
              </w:rPr>
              <w:t> A2.4 A2.5 </w:t>
            </w:r>
            <w:hyperlink w:history="true" w:anchor="_bookmark44">
              <w:r>
                <w:rPr>
                  <w:rFonts w:ascii="Times New Roman"/>
                  <w:color w:val="231F20"/>
                  <w:spacing w:val="-4"/>
                  <w:sz w:val="21"/>
                </w:rPr>
                <w:t>A2.6</w:t>
              </w:r>
            </w:hyperlink>
            <w:r>
              <w:rPr>
                <w:rFonts w:ascii="Times New Roman"/>
                <w:color w:val="231F20"/>
                <w:spacing w:val="-4"/>
                <w:sz w:val="21"/>
              </w:rPr>
              <w:t> </w:t>
            </w:r>
            <w:hyperlink w:history="true" w:anchor="_bookmark45">
              <w:r>
                <w:rPr>
                  <w:rFonts w:ascii="Times New Roman"/>
                  <w:color w:val="231F20"/>
                  <w:spacing w:val="-4"/>
                  <w:sz w:val="21"/>
                </w:rPr>
                <w:t>A3.1</w:t>
              </w:r>
            </w:hyperlink>
          </w:p>
        </w:tc>
        <w:tc>
          <w:tcPr>
            <w:tcW w:w="7250" w:type="dxa"/>
          </w:tcPr>
          <w:p>
            <w:pPr>
              <w:pStyle w:val="TableParagraph"/>
              <w:tabs>
                <w:tab w:pos="4933" w:val="right" w:leader="none"/>
              </w:tabs>
              <w:spacing w:before="0"/>
              <w:ind w:left="63"/>
              <w:jc w:val="left"/>
              <w:rPr>
                <w:rFonts w:ascii="Times New Roman"/>
                <w:sz w:val="21"/>
              </w:rPr>
            </w:pPr>
            <w:r>
              <w:rPr>
                <w:rFonts w:ascii="Times New Roman"/>
                <w:color w:val="231F20"/>
                <w:w w:val="90"/>
                <w:sz w:val="21"/>
              </w:rPr>
              <w:t>Bilateral</w:t>
            </w:r>
            <w:r>
              <w:rPr>
                <w:rFonts w:ascii="Times New Roman"/>
                <w:color w:val="231F20"/>
                <w:spacing w:val="2"/>
                <w:sz w:val="21"/>
              </w:rPr>
              <w:t> </w:t>
            </w:r>
            <w:r>
              <w:rPr>
                <w:rFonts w:ascii="Times New Roman"/>
                <w:color w:val="231F20"/>
                <w:w w:val="90"/>
                <w:sz w:val="21"/>
              </w:rPr>
              <w:t>LPI</w:t>
            </w:r>
            <w:r>
              <w:rPr>
                <w:rFonts w:ascii="Times New Roman"/>
                <w:color w:val="231F20"/>
                <w:spacing w:val="2"/>
                <w:sz w:val="21"/>
              </w:rPr>
              <w:t> </w:t>
            </w:r>
            <w:r>
              <w:rPr>
                <w:rFonts w:ascii="Times New Roman"/>
                <w:color w:val="231F20"/>
                <w:w w:val="90"/>
                <w:sz w:val="21"/>
              </w:rPr>
              <w:t>assessments</w:t>
            </w:r>
            <w:r>
              <w:rPr>
                <w:rFonts w:ascii="Times New Roman"/>
                <w:color w:val="231F20"/>
                <w:spacing w:val="2"/>
                <w:sz w:val="21"/>
              </w:rPr>
              <w:t> </w:t>
            </w:r>
            <w:r>
              <w:rPr>
                <w:rFonts w:ascii="Times New Roman"/>
                <w:color w:val="231F20"/>
                <w:w w:val="90"/>
                <w:sz w:val="21"/>
              </w:rPr>
              <w:t>in</w:t>
            </w:r>
            <w:r>
              <w:rPr>
                <w:rFonts w:ascii="Times New Roman"/>
                <w:color w:val="231F20"/>
                <w:spacing w:val="2"/>
                <w:sz w:val="21"/>
              </w:rPr>
              <w:t> </w:t>
            </w:r>
            <w:r>
              <w:rPr>
                <w:rFonts w:ascii="Times New Roman"/>
                <w:color w:val="231F20"/>
                <w:w w:val="90"/>
                <w:sz w:val="21"/>
              </w:rPr>
              <w:t>2023,</w:t>
            </w:r>
            <w:r>
              <w:rPr>
                <w:rFonts w:ascii="Times New Roman"/>
                <w:color w:val="231F20"/>
                <w:spacing w:val="2"/>
                <w:sz w:val="21"/>
              </w:rPr>
              <w:t> </w:t>
            </w:r>
            <w:r>
              <w:rPr>
                <w:rFonts w:ascii="Times New Roman"/>
                <w:color w:val="231F20"/>
                <w:w w:val="90"/>
                <w:sz w:val="21"/>
              </w:rPr>
              <w:t>by</w:t>
            </w:r>
            <w:r>
              <w:rPr>
                <w:rFonts w:ascii="Times New Roman"/>
                <w:color w:val="231F20"/>
                <w:spacing w:val="2"/>
                <w:sz w:val="21"/>
              </w:rPr>
              <w:t> </w:t>
            </w:r>
            <w:r>
              <w:rPr>
                <w:rFonts w:ascii="Times New Roman"/>
                <w:color w:val="231F20"/>
                <w:w w:val="90"/>
                <w:sz w:val="21"/>
              </w:rPr>
              <w:t>income</w:t>
            </w:r>
            <w:r>
              <w:rPr>
                <w:rFonts w:ascii="Times New Roman"/>
                <w:color w:val="231F20"/>
                <w:spacing w:val="2"/>
                <w:sz w:val="21"/>
              </w:rPr>
              <w:t> </w:t>
            </w:r>
            <w:r>
              <w:rPr>
                <w:rFonts w:ascii="Times New Roman"/>
                <w:color w:val="231F20"/>
                <w:spacing w:val="-2"/>
                <w:w w:val="90"/>
                <w:sz w:val="21"/>
              </w:rPr>
              <w:t>group</w:t>
            </w:r>
            <w:r>
              <w:rPr>
                <w:rFonts w:ascii="Times New Roman"/>
                <w:color w:val="231F20"/>
                <w:sz w:val="21"/>
              </w:rPr>
              <w:tab/>
            </w:r>
            <w:r>
              <w:rPr>
                <w:rFonts w:ascii="Times New Roman"/>
                <w:color w:val="231F20"/>
                <w:spacing w:val="-5"/>
                <w:sz w:val="21"/>
              </w:rPr>
              <w:t>14</w:t>
            </w:r>
          </w:p>
          <w:p>
            <w:pPr>
              <w:pStyle w:val="TableParagraph"/>
              <w:tabs>
                <w:tab w:pos="4383" w:val="right" w:leader="none"/>
              </w:tabs>
              <w:spacing w:before="28"/>
              <w:ind w:left="63"/>
              <w:jc w:val="left"/>
              <w:rPr>
                <w:rFonts w:ascii="Times New Roman"/>
                <w:sz w:val="21"/>
              </w:rPr>
            </w:pPr>
            <w:r>
              <w:rPr>
                <w:rFonts w:ascii="Times New Roman"/>
                <w:color w:val="231F20"/>
                <w:spacing w:val="-6"/>
                <w:sz w:val="21"/>
              </w:rPr>
              <w:t>Lead</w:t>
            </w:r>
            <w:r>
              <w:rPr>
                <w:rFonts w:ascii="Times New Roman"/>
                <w:color w:val="231F20"/>
                <w:spacing w:val="-3"/>
                <w:sz w:val="21"/>
              </w:rPr>
              <w:t> </w:t>
            </w:r>
            <w:r>
              <w:rPr>
                <w:rFonts w:ascii="Times New Roman"/>
                <w:color w:val="231F20"/>
                <w:spacing w:val="-6"/>
                <w:sz w:val="21"/>
              </w:rPr>
              <w:t>time</w:t>
            </w:r>
            <w:r>
              <w:rPr>
                <w:rFonts w:ascii="Times New Roman"/>
                <w:color w:val="231F20"/>
                <w:spacing w:val="-3"/>
                <w:sz w:val="21"/>
              </w:rPr>
              <w:t> </w:t>
            </w:r>
            <w:r>
              <w:rPr>
                <w:rFonts w:ascii="Times New Roman"/>
                <w:color w:val="231F20"/>
                <w:spacing w:val="-6"/>
                <w:sz w:val="21"/>
              </w:rPr>
              <w:t>data</w:t>
            </w:r>
            <w:r>
              <w:rPr>
                <w:rFonts w:ascii="Times New Roman"/>
                <w:color w:val="231F20"/>
                <w:spacing w:val="-3"/>
                <w:sz w:val="21"/>
              </w:rPr>
              <w:t> </w:t>
            </w:r>
            <w:r>
              <w:rPr>
                <w:rFonts w:ascii="Times New Roman"/>
                <w:color w:val="231F20"/>
                <w:spacing w:val="-6"/>
                <w:sz w:val="21"/>
              </w:rPr>
              <w:t>for</w:t>
            </w:r>
            <w:r>
              <w:rPr>
                <w:rFonts w:ascii="Times New Roman"/>
                <w:color w:val="231F20"/>
                <w:spacing w:val="-2"/>
                <w:sz w:val="21"/>
              </w:rPr>
              <w:t> </w:t>
            </w:r>
            <w:r>
              <w:rPr>
                <w:rFonts w:ascii="Times New Roman"/>
                <w:color w:val="231F20"/>
                <w:spacing w:val="-6"/>
                <w:sz w:val="21"/>
              </w:rPr>
              <w:t>container</w:t>
            </w:r>
            <w:r>
              <w:rPr>
                <w:rFonts w:ascii="Times New Roman"/>
                <w:color w:val="231F20"/>
                <w:spacing w:val="-3"/>
                <w:sz w:val="21"/>
              </w:rPr>
              <w:t> </w:t>
            </w:r>
            <w:r>
              <w:rPr>
                <w:rFonts w:ascii="Times New Roman"/>
                <w:color w:val="231F20"/>
                <w:spacing w:val="-6"/>
                <w:sz w:val="21"/>
              </w:rPr>
              <w:t>shipping,</w:t>
            </w:r>
            <w:r>
              <w:rPr>
                <w:rFonts w:ascii="Times New Roman"/>
                <w:color w:val="231F20"/>
                <w:spacing w:val="-3"/>
                <w:sz w:val="21"/>
              </w:rPr>
              <w:t> </w:t>
            </w:r>
            <w:r>
              <w:rPr>
                <w:rFonts w:ascii="Times New Roman"/>
                <w:color w:val="231F20"/>
                <w:spacing w:val="-6"/>
                <w:sz w:val="21"/>
              </w:rPr>
              <w:t>2022</w:t>
            </w:r>
            <w:r>
              <w:rPr>
                <w:rFonts w:ascii="Times New Roman"/>
                <w:color w:val="231F20"/>
                <w:sz w:val="21"/>
              </w:rPr>
              <w:tab/>
            </w:r>
            <w:r>
              <w:rPr>
                <w:rFonts w:ascii="Times New Roman"/>
                <w:color w:val="231F20"/>
                <w:spacing w:val="-5"/>
                <w:sz w:val="21"/>
              </w:rPr>
              <w:t>36</w:t>
            </w:r>
          </w:p>
          <w:p>
            <w:pPr>
              <w:pStyle w:val="TableParagraph"/>
              <w:tabs>
                <w:tab w:pos="4943" w:val="right" w:leader="none"/>
              </w:tabs>
              <w:spacing w:before="29"/>
              <w:ind w:left="63"/>
              <w:jc w:val="left"/>
              <w:rPr>
                <w:rFonts w:ascii="Times New Roman"/>
                <w:sz w:val="21"/>
              </w:rPr>
            </w:pPr>
            <w:hyperlink w:history="true" w:anchor="_bookmark42">
              <w:r>
                <w:rPr>
                  <w:rFonts w:ascii="Times New Roman"/>
                  <w:color w:val="231F20"/>
                  <w:w w:val="90"/>
                  <w:sz w:val="21"/>
                </w:rPr>
                <w:t>Lead</w:t>
              </w:r>
              <w:r>
                <w:rPr>
                  <w:rFonts w:ascii="Times New Roman"/>
                  <w:color w:val="231F20"/>
                  <w:spacing w:val="7"/>
                  <w:sz w:val="21"/>
                </w:rPr>
                <w:t> </w:t>
              </w:r>
              <w:r>
                <w:rPr>
                  <w:rFonts w:ascii="Times New Roman"/>
                  <w:color w:val="231F20"/>
                  <w:w w:val="90"/>
                  <w:sz w:val="21"/>
                </w:rPr>
                <w:t>time</w:t>
              </w:r>
              <w:r>
                <w:rPr>
                  <w:rFonts w:ascii="Times New Roman"/>
                  <w:color w:val="231F20"/>
                  <w:spacing w:val="7"/>
                  <w:sz w:val="21"/>
                </w:rPr>
                <w:t> </w:t>
              </w:r>
              <w:r>
                <w:rPr>
                  <w:rFonts w:ascii="Times New Roman"/>
                  <w:color w:val="231F20"/>
                  <w:w w:val="90"/>
                  <w:sz w:val="21"/>
                </w:rPr>
                <w:t>data</w:t>
              </w:r>
              <w:r>
                <w:rPr>
                  <w:rFonts w:ascii="Times New Roman"/>
                  <w:color w:val="231F20"/>
                  <w:spacing w:val="7"/>
                  <w:sz w:val="21"/>
                </w:rPr>
                <w:t> </w:t>
              </w:r>
              <w:r>
                <w:rPr>
                  <w:rFonts w:ascii="Times New Roman"/>
                  <w:color w:val="231F20"/>
                  <w:w w:val="90"/>
                  <w:sz w:val="21"/>
                </w:rPr>
                <w:t>for</w:t>
              </w:r>
              <w:r>
                <w:rPr>
                  <w:rFonts w:ascii="Times New Roman"/>
                  <w:color w:val="231F20"/>
                  <w:spacing w:val="7"/>
                  <w:sz w:val="21"/>
                </w:rPr>
                <w:t> </w:t>
              </w:r>
              <w:r>
                <w:rPr>
                  <w:rFonts w:ascii="Times New Roman"/>
                  <w:color w:val="231F20"/>
                  <w:w w:val="90"/>
                  <w:sz w:val="21"/>
                </w:rPr>
                <w:t>aviation,</w:t>
              </w:r>
              <w:r>
                <w:rPr>
                  <w:rFonts w:ascii="Times New Roman"/>
                  <w:color w:val="231F20"/>
                  <w:spacing w:val="7"/>
                  <w:sz w:val="21"/>
                </w:rPr>
                <w:t> </w:t>
              </w:r>
              <w:r>
                <w:rPr>
                  <w:rFonts w:ascii="Times New Roman"/>
                  <w:color w:val="231F20"/>
                  <w:w w:val="90"/>
                  <w:sz w:val="21"/>
                </w:rPr>
                <w:t>second</w:t>
              </w:r>
              <w:r>
                <w:rPr>
                  <w:rFonts w:ascii="Times New Roman"/>
                  <w:color w:val="231F20"/>
                  <w:spacing w:val="7"/>
                  <w:sz w:val="21"/>
                </w:rPr>
                <w:t> </w:t>
              </w:r>
              <w:r>
                <w:rPr>
                  <w:rFonts w:ascii="Times New Roman"/>
                  <w:color w:val="231F20"/>
                  <w:w w:val="90"/>
                  <w:sz w:val="21"/>
                </w:rPr>
                <w:t>quarter</w:t>
              </w:r>
              <w:r>
                <w:rPr>
                  <w:rFonts w:ascii="Times New Roman"/>
                  <w:color w:val="231F20"/>
                  <w:spacing w:val="8"/>
                  <w:sz w:val="21"/>
                </w:rPr>
                <w:t> </w:t>
              </w:r>
              <w:r>
                <w:rPr>
                  <w:rFonts w:ascii="Times New Roman"/>
                  <w:color w:val="231F20"/>
                  <w:w w:val="90"/>
                  <w:sz w:val="21"/>
                </w:rPr>
                <w:t>of</w:t>
              </w:r>
              <w:r>
                <w:rPr>
                  <w:rFonts w:ascii="Times New Roman"/>
                  <w:color w:val="231F20"/>
                  <w:spacing w:val="7"/>
                  <w:sz w:val="21"/>
                </w:rPr>
                <w:t> </w:t>
              </w:r>
              <w:r>
                <w:rPr>
                  <w:rFonts w:ascii="Times New Roman"/>
                  <w:color w:val="231F20"/>
                  <w:spacing w:val="-4"/>
                  <w:w w:val="90"/>
                  <w:sz w:val="21"/>
                </w:rPr>
                <w:t>2022</w:t>
              </w:r>
              <w:r>
                <w:rPr>
                  <w:rFonts w:ascii="Times New Roman"/>
                  <w:color w:val="231F20"/>
                  <w:sz w:val="21"/>
                </w:rPr>
                <w:tab/>
              </w:r>
              <w:r>
                <w:rPr>
                  <w:rFonts w:ascii="Times New Roman"/>
                  <w:color w:val="231F20"/>
                  <w:spacing w:val="-5"/>
                  <w:sz w:val="21"/>
                </w:rPr>
                <w:t>38</w:t>
              </w:r>
            </w:hyperlink>
          </w:p>
          <w:p>
            <w:pPr>
              <w:pStyle w:val="TableParagraph"/>
              <w:tabs>
                <w:tab w:pos="3936" w:val="right" w:leader="none"/>
              </w:tabs>
              <w:spacing w:before="28"/>
              <w:ind w:left="63"/>
              <w:jc w:val="left"/>
              <w:rPr>
                <w:rFonts w:ascii="Times New Roman"/>
                <w:sz w:val="21"/>
              </w:rPr>
            </w:pPr>
            <w:hyperlink w:history="true" w:anchor="_bookmark43">
              <w:r>
                <w:rPr>
                  <w:rFonts w:ascii="Times New Roman"/>
                  <w:color w:val="231F20"/>
                  <w:w w:val="90"/>
                  <w:sz w:val="21"/>
                </w:rPr>
                <w:t>Lead</w:t>
              </w:r>
              <w:r>
                <w:rPr>
                  <w:rFonts w:ascii="Times New Roman"/>
                  <w:color w:val="231F20"/>
                  <w:spacing w:val="5"/>
                  <w:sz w:val="21"/>
                </w:rPr>
                <w:t> </w:t>
              </w:r>
              <w:r>
                <w:rPr>
                  <w:rFonts w:ascii="Times New Roman"/>
                  <w:color w:val="231F20"/>
                  <w:w w:val="90"/>
                  <w:sz w:val="21"/>
                </w:rPr>
                <w:t>time</w:t>
              </w:r>
              <w:r>
                <w:rPr>
                  <w:rFonts w:ascii="Times New Roman"/>
                  <w:color w:val="231F20"/>
                  <w:spacing w:val="5"/>
                  <w:sz w:val="21"/>
                </w:rPr>
                <w:t> </w:t>
              </w:r>
              <w:r>
                <w:rPr>
                  <w:rFonts w:ascii="Times New Roman"/>
                  <w:color w:val="231F20"/>
                  <w:w w:val="90"/>
                  <w:sz w:val="21"/>
                </w:rPr>
                <w:t>data</w:t>
              </w:r>
              <w:r>
                <w:rPr>
                  <w:rFonts w:ascii="Times New Roman"/>
                  <w:color w:val="231F20"/>
                  <w:spacing w:val="5"/>
                  <w:sz w:val="21"/>
                </w:rPr>
                <w:t> </w:t>
              </w:r>
              <w:r>
                <w:rPr>
                  <w:rFonts w:ascii="Times New Roman"/>
                  <w:color w:val="231F20"/>
                  <w:w w:val="90"/>
                  <w:sz w:val="21"/>
                </w:rPr>
                <w:t>for</w:t>
              </w:r>
              <w:r>
                <w:rPr>
                  <w:rFonts w:ascii="Times New Roman"/>
                  <w:color w:val="231F20"/>
                  <w:spacing w:val="5"/>
                  <w:sz w:val="21"/>
                </w:rPr>
                <w:t> </w:t>
              </w:r>
              <w:r>
                <w:rPr>
                  <w:rFonts w:ascii="Times New Roman"/>
                  <w:color w:val="231F20"/>
                  <w:w w:val="90"/>
                  <w:sz w:val="21"/>
                </w:rPr>
                <w:t>postal</w:t>
              </w:r>
              <w:r>
                <w:rPr>
                  <w:rFonts w:ascii="Times New Roman"/>
                  <w:color w:val="231F20"/>
                  <w:spacing w:val="6"/>
                  <w:sz w:val="21"/>
                </w:rPr>
                <w:t> </w:t>
              </w:r>
              <w:r>
                <w:rPr>
                  <w:rFonts w:ascii="Times New Roman"/>
                  <w:color w:val="231F20"/>
                  <w:w w:val="90"/>
                  <w:sz w:val="21"/>
                </w:rPr>
                <w:t>parcels,</w:t>
              </w:r>
              <w:r>
                <w:rPr>
                  <w:rFonts w:ascii="Times New Roman"/>
                  <w:color w:val="231F20"/>
                  <w:spacing w:val="5"/>
                  <w:sz w:val="21"/>
                </w:rPr>
                <w:t> </w:t>
              </w:r>
              <w:r>
                <w:rPr>
                  <w:rFonts w:ascii="Times New Roman"/>
                  <w:color w:val="231F20"/>
                  <w:spacing w:val="-4"/>
                  <w:w w:val="90"/>
                  <w:sz w:val="21"/>
                </w:rPr>
                <w:t>2019</w:t>
              </w:r>
              <w:r>
                <w:rPr>
                  <w:rFonts w:ascii="Times New Roman"/>
                  <w:color w:val="231F20"/>
                  <w:sz w:val="21"/>
                </w:rPr>
                <w:tab/>
              </w:r>
              <w:r>
                <w:rPr>
                  <w:rFonts w:ascii="Times New Roman"/>
                  <w:color w:val="231F20"/>
                  <w:spacing w:val="-5"/>
                  <w:sz w:val="21"/>
                </w:rPr>
                <w:t>41</w:t>
              </w:r>
            </w:hyperlink>
          </w:p>
          <w:p>
            <w:pPr>
              <w:pStyle w:val="TableParagraph"/>
              <w:tabs>
                <w:tab w:pos="3686" w:val="right" w:leader="none"/>
              </w:tabs>
              <w:spacing w:before="29"/>
              <w:ind w:left="63"/>
              <w:jc w:val="left"/>
              <w:rPr>
                <w:rFonts w:ascii="Times New Roman" w:hAnsi="Times New Roman"/>
                <w:sz w:val="21"/>
              </w:rPr>
            </w:pPr>
            <w:r>
              <w:rPr>
                <w:rFonts w:ascii="Times New Roman" w:hAnsi="Times New Roman"/>
                <w:color w:val="231F20"/>
                <w:spacing w:val="-6"/>
                <w:sz w:val="21"/>
              </w:rPr>
              <w:t>Import</w:t>
            </w:r>
            <w:r>
              <w:rPr>
                <w:rFonts w:ascii="Times New Roman" w:hAnsi="Times New Roman"/>
                <w:color w:val="231F20"/>
                <w:sz w:val="21"/>
              </w:rPr>
              <w:t> </w:t>
            </w:r>
            <w:r>
              <w:rPr>
                <w:rFonts w:ascii="Times New Roman" w:hAnsi="Times New Roman"/>
                <w:color w:val="231F20"/>
                <w:spacing w:val="-6"/>
                <w:sz w:val="21"/>
              </w:rPr>
              <w:t>delays,</w:t>
            </w:r>
            <w:r>
              <w:rPr>
                <w:rFonts w:ascii="Times New Roman" w:hAnsi="Times New Roman"/>
                <w:color w:val="231F20"/>
                <w:sz w:val="21"/>
              </w:rPr>
              <w:t> </w:t>
            </w:r>
            <w:r>
              <w:rPr>
                <w:rFonts w:ascii="Times New Roman" w:hAnsi="Times New Roman"/>
                <w:color w:val="231F20"/>
                <w:spacing w:val="-6"/>
                <w:sz w:val="21"/>
              </w:rPr>
              <w:t>May–October</w:t>
            </w:r>
            <w:r>
              <w:rPr>
                <w:rFonts w:ascii="Times New Roman" w:hAnsi="Times New Roman"/>
                <w:color w:val="231F20"/>
                <w:sz w:val="21"/>
              </w:rPr>
              <w:t> </w:t>
            </w:r>
            <w:r>
              <w:rPr>
                <w:rFonts w:ascii="Times New Roman" w:hAnsi="Times New Roman"/>
                <w:color w:val="231F20"/>
                <w:spacing w:val="-6"/>
                <w:sz w:val="21"/>
              </w:rPr>
              <w:t>2022</w:t>
            </w:r>
            <w:r>
              <w:rPr>
                <w:rFonts w:ascii="Times New Roman" w:hAnsi="Times New Roman"/>
                <w:color w:val="231F20"/>
                <w:sz w:val="21"/>
              </w:rPr>
              <w:tab/>
            </w:r>
            <w:r>
              <w:rPr>
                <w:rFonts w:ascii="Times New Roman" w:hAnsi="Times New Roman"/>
                <w:color w:val="231F20"/>
                <w:spacing w:val="-5"/>
                <w:sz w:val="21"/>
              </w:rPr>
              <w:t>44</w:t>
            </w:r>
          </w:p>
          <w:p>
            <w:pPr>
              <w:pStyle w:val="TableParagraph"/>
              <w:tabs>
                <w:tab w:pos="3679" w:val="right" w:leader="none"/>
              </w:tabs>
              <w:spacing w:before="28"/>
              <w:ind w:left="63"/>
              <w:jc w:val="left"/>
              <w:rPr>
                <w:rFonts w:ascii="Times New Roman" w:hAnsi="Times New Roman"/>
                <w:sz w:val="21"/>
              </w:rPr>
            </w:pPr>
            <w:r>
              <w:rPr>
                <w:rFonts w:ascii="Times New Roman" w:hAnsi="Times New Roman"/>
                <w:color w:val="231F20"/>
                <w:spacing w:val="-6"/>
                <w:sz w:val="21"/>
              </w:rPr>
              <w:t>Import</w:t>
            </w:r>
            <w:r>
              <w:rPr>
                <w:rFonts w:ascii="Times New Roman" w:hAnsi="Times New Roman"/>
                <w:color w:val="231F20"/>
                <w:sz w:val="21"/>
              </w:rPr>
              <w:t> </w:t>
            </w:r>
            <w:r>
              <w:rPr>
                <w:rFonts w:ascii="Times New Roman" w:hAnsi="Times New Roman"/>
                <w:color w:val="231F20"/>
                <w:spacing w:val="-6"/>
                <w:sz w:val="21"/>
              </w:rPr>
              <w:t>delays,</w:t>
            </w:r>
            <w:r>
              <w:rPr>
                <w:rFonts w:ascii="Times New Roman" w:hAnsi="Times New Roman"/>
                <w:color w:val="231F20"/>
                <w:sz w:val="21"/>
              </w:rPr>
              <w:t> </w:t>
            </w:r>
            <w:r>
              <w:rPr>
                <w:rFonts w:ascii="Times New Roman" w:hAnsi="Times New Roman"/>
                <w:color w:val="231F20"/>
                <w:spacing w:val="-6"/>
                <w:sz w:val="21"/>
              </w:rPr>
              <w:t>May–October</w:t>
            </w:r>
            <w:r>
              <w:rPr>
                <w:rFonts w:ascii="Times New Roman" w:hAnsi="Times New Roman"/>
                <w:color w:val="231F20"/>
                <w:sz w:val="21"/>
              </w:rPr>
              <w:t> </w:t>
            </w:r>
            <w:r>
              <w:rPr>
                <w:rFonts w:ascii="Times New Roman" w:hAnsi="Times New Roman"/>
                <w:color w:val="231F20"/>
                <w:spacing w:val="-6"/>
                <w:sz w:val="21"/>
              </w:rPr>
              <w:t>2022</w:t>
            </w:r>
            <w:r>
              <w:rPr>
                <w:rFonts w:ascii="Times New Roman" w:hAnsi="Times New Roman"/>
                <w:color w:val="231F20"/>
                <w:sz w:val="21"/>
              </w:rPr>
              <w:tab/>
            </w:r>
            <w:r>
              <w:rPr>
                <w:rFonts w:ascii="Times New Roman" w:hAnsi="Times New Roman"/>
                <w:color w:val="231F20"/>
                <w:spacing w:val="-5"/>
                <w:sz w:val="21"/>
              </w:rPr>
              <w:t>48</w:t>
            </w:r>
          </w:p>
          <w:p>
            <w:pPr>
              <w:pStyle w:val="TableParagraph"/>
              <w:tabs>
                <w:tab w:pos="5722" w:val="right" w:leader="none"/>
              </w:tabs>
              <w:spacing w:before="29"/>
              <w:ind w:left="63"/>
              <w:jc w:val="left"/>
              <w:rPr>
                <w:rFonts w:ascii="Times New Roman"/>
                <w:sz w:val="21"/>
              </w:rPr>
            </w:pPr>
            <w:hyperlink w:history="true" w:anchor="_bookmark44">
              <w:r>
                <w:rPr>
                  <w:rFonts w:ascii="Times New Roman"/>
                  <w:color w:val="231F20"/>
                  <w:w w:val="90"/>
                  <w:sz w:val="21"/>
                </w:rPr>
                <w:t>Dwell</w:t>
              </w:r>
              <w:r>
                <w:rPr>
                  <w:rFonts w:ascii="Times New Roman"/>
                  <w:color w:val="231F20"/>
                  <w:spacing w:val="12"/>
                  <w:sz w:val="21"/>
                </w:rPr>
                <w:t> </w:t>
              </w:r>
              <w:r>
                <w:rPr>
                  <w:rFonts w:ascii="Times New Roman"/>
                  <w:color w:val="231F20"/>
                  <w:w w:val="90"/>
                  <w:sz w:val="21"/>
                </w:rPr>
                <w:t>times</w:t>
              </w:r>
              <w:r>
                <w:rPr>
                  <w:rFonts w:ascii="Times New Roman"/>
                  <w:color w:val="231F20"/>
                  <w:spacing w:val="13"/>
                  <w:sz w:val="21"/>
                </w:rPr>
                <w:t> </w:t>
              </w:r>
              <w:r>
                <w:rPr>
                  <w:rFonts w:ascii="Times New Roman"/>
                  <w:color w:val="231F20"/>
                  <w:w w:val="90"/>
                  <w:sz w:val="21"/>
                </w:rPr>
                <w:t>for</w:t>
              </w:r>
              <w:r>
                <w:rPr>
                  <w:rFonts w:ascii="Times New Roman"/>
                  <w:color w:val="231F20"/>
                  <w:spacing w:val="13"/>
                  <w:sz w:val="21"/>
                </w:rPr>
                <w:t> </w:t>
              </w:r>
              <w:r>
                <w:rPr>
                  <w:rFonts w:ascii="Times New Roman"/>
                  <w:color w:val="231F20"/>
                  <w:w w:val="90"/>
                  <w:sz w:val="21"/>
                </w:rPr>
                <w:t>landlocked</w:t>
              </w:r>
              <w:r>
                <w:rPr>
                  <w:rFonts w:ascii="Times New Roman"/>
                  <w:color w:val="231F20"/>
                  <w:spacing w:val="13"/>
                  <w:sz w:val="21"/>
                </w:rPr>
                <w:t> </w:t>
              </w:r>
              <w:r>
                <w:rPr>
                  <w:rFonts w:ascii="Times New Roman"/>
                  <w:color w:val="231F20"/>
                  <w:w w:val="90"/>
                  <w:sz w:val="21"/>
                </w:rPr>
                <w:t>developing</w:t>
              </w:r>
              <w:r>
                <w:rPr>
                  <w:rFonts w:ascii="Times New Roman"/>
                  <w:color w:val="231F20"/>
                  <w:spacing w:val="13"/>
                  <w:sz w:val="21"/>
                </w:rPr>
                <w:t> </w:t>
              </w:r>
              <w:r>
                <w:rPr>
                  <w:rFonts w:ascii="Times New Roman"/>
                  <w:color w:val="231F20"/>
                  <w:w w:val="90"/>
                  <w:sz w:val="21"/>
                </w:rPr>
                <w:t>countries,</w:t>
              </w:r>
              <w:r>
                <w:rPr>
                  <w:rFonts w:ascii="Times New Roman"/>
                  <w:color w:val="231F20"/>
                  <w:spacing w:val="12"/>
                  <w:sz w:val="21"/>
                </w:rPr>
                <w:t> </w:t>
              </w:r>
              <w:r>
                <w:rPr>
                  <w:rFonts w:ascii="Times New Roman"/>
                  <w:color w:val="231F20"/>
                  <w:w w:val="90"/>
                  <w:sz w:val="21"/>
                </w:rPr>
                <w:t>2022</w:t>
              </w:r>
              <w:r>
                <w:rPr>
                  <w:rFonts w:ascii="Times New Roman"/>
                  <w:color w:val="231F20"/>
                  <w:spacing w:val="13"/>
                  <w:sz w:val="21"/>
                </w:rPr>
                <w:t> </w:t>
              </w:r>
              <w:r>
                <w:rPr>
                  <w:rFonts w:ascii="Times New Roman"/>
                  <w:color w:val="231F20"/>
                  <w:spacing w:val="-2"/>
                  <w:w w:val="90"/>
                  <w:sz w:val="21"/>
                </w:rPr>
                <w:t>(days)</w:t>
              </w:r>
              <w:r>
                <w:rPr>
                  <w:rFonts w:ascii="Times New Roman"/>
                  <w:color w:val="231F20"/>
                  <w:sz w:val="21"/>
                </w:rPr>
                <w:tab/>
              </w:r>
              <w:r>
                <w:rPr>
                  <w:rFonts w:ascii="Times New Roman"/>
                  <w:color w:val="231F20"/>
                  <w:spacing w:val="-5"/>
                  <w:sz w:val="21"/>
                </w:rPr>
                <w:t>51</w:t>
              </w:r>
            </w:hyperlink>
          </w:p>
          <w:p>
            <w:pPr>
              <w:pStyle w:val="TableParagraph"/>
              <w:spacing w:before="28"/>
              <w:ind w:left="63"/>
              <w:jc w:val="left"/>
              <w:rPr>
                <w:rFonts w:ascii="Times New Roman"/>
                <w:sz w:val="21"/>
              </w:rPr>
            </w:pPr>
            <w:hyperlink w:history="true" w:anchor="_bookmark45">
              <w:r>
                <w:rPr>
                  <w:rFonts w:ascii="Times New Roman"/>
                  <w:color w:val="231F20"/>
                  <w:spacing w:val="-6"/>
                  <w:sz w:val="21"/>
                </w:rPr>
                <w:t>Top</w:t>
              </w:r>
              <w:r>
                <w:rPr>
                  <w:rFonts w:ascii="Times New Roman"/>
                  <w:color w:val="231F20"/>
                  <w:spacing w:val="-9"/>
                  <w:sz w:val="21"/>
                </w:rPr>
                <w:t> </w:t>
              </w:r>
              <w:r>
                <w:rPr>
                  <w:rFonts w:ascii="Times New Roman"/>
                  <w:color w:val="231F20"/>
                  <w:spacing w:val="-6"/>
                  <w:sz w:val="21"/>
                </w:rPr>
                <w:t>12</w:t>
              </w:r>
              <w:r>
                <w:rPr>
                  <w:rFonts w:ascii="Times New Roman"/>
                  <w:color w:val="231F20"/>
                  <w:spacing w:val="-8"/>
                  <w:sz w:val="21"/>
                </w:rPr>
                <w:t> </w:t>
              </w:r>
              <w:r>
                <w:rPr>
                  <w:rFonts w:ascii="Times New Roman"/>
                  <w:color w:val="231F20"/>
                  <w:spacing w:val="-6"/>
                  <w:sz w:val="21"/>
                </w:rPr>
                <w:t>LPI</w:t>
              </w:r>
              <w:r>
                <w:rPr>
                  <w:rFonts w:ascii="Times New Roman"/>
                  <w:color w:val="231F20"/>
                  <w:spacing w:val="-8"/>
                  <w:sz w:val="21"/>
                </w:rPr>
                <w:t> </w:t>
              </w:r>
              <w:r>
                <w:rPr>
                  <w:rFonts w:ascii="Times New Roman"/>
                  <w:color w:val="231F20"/>
                  <w:spacing w:val="-6"/>
                  <w:sz w:val="21"/>
                </w:rPr>
                <w:t>scorers</w:t>
              </w:r>
              <w:r>
                <w:rPr>
                  <w:rFonts w:ascii="Times New Roman"/>
                  <w:color w:val="231F20"/>
                  <w:spacing w:val="-8"/>
                  <w:sz w:val="21"/>
                </w:rPr>
                <w:t> </w:t>
              </w:r>
              <w:r>
                <w:rPr>
                  <w:rFonts w:ascii="Times New Roman"/>
                  <w:color w:val="231F20"/>
                  <w:spacing w:val="-6"/>
                  <w:sz w:val="21"/>
                </w:rPr>
                <w:t>in</w:t>
              </w:r>
              <w:r>
                <w:rPr>
                  <w:rFonts w:ascii="Times New Roman"/>
                  <w:color w:val="231F20"/>
                  <w:spacing w:val="-8"/>
                  <w:sz w:val="21"/>
                </w:rPr>
                <w:t> </w:t>
              </w:r>
              <w:r>
                <w:rPr>
                  <w:rFonts w:ascii="Times New Roman"/>
                  <w:color w:val="231F20"/>
                  <w:spacing w:val="-6"/>
                  <w:sz w:val="21"/>
                </w:rPr>
                <w:t>2023</w:t>
              </w:r>
              <w:r>
                <w:rPr>
                  <w:rFonts w:ascii="Times New Roman"/>
                  <w:color w:val="231F20"/>
                  <w:spacing w:val="-9"/>
                  <w:sz w:val="21"/>
                </w:rPr>
                <w:t> </w:t>
              </w:r>
              <w:r>
                <w:rPr>
                  <w:rFonts w:ascii="Times New Roman"/>
                  <w:color w:val="231F20"/>
                  <w:spacing w:val="-6"/>
                  <w:sz w:val="21"/>
                </w:rPr>
                <w:t>and</w:t>
              </w:r>
              <w:r>
                <w:rPr>
                  <w:rFonts w:ascii="Times New Roman"/>
                  <w:color w:val="231F20"/>
                  <w:spacing w:val="-8"/>
                  <w:sz w:val="21"/>
                </w:rPr>
                <w:t> </w:t>
              </w:r>
              <w:r>
                <w:rPr>
                  <w:rFonts w:ascii="Times New Roman"/>
                  <w:color w:val="231F20"/>
                  <w:spacing w:val="-6"/>
                  <w:sz w:val="21"/>
                </w:rPr>
                <w:t>their</w:t>
              </w:r>
              <w:r>
                <w:rPr>
                  <w:rFonts w:ascii="Times New Roman"/>
                  <w:color w:val="231F20"/>
                  <w:spacing w:val="-8"/>
                  <w:sz w:val="21"/>
                </w:rPr>
                <w:t> </w:t>
              </w:r>
              <w:r>
                <w:rPr>
                  <w:rFonts w:ascii="Times New Roman"/>
                  <w:color w:val="231F20"/>
                  <w:spacing w:val="-6"/>
                  <w:sz w:val="21"/>
                </w:rPr>
                <w:t>top</w:t>
              </w:r>
              <w:r>
                <w:rPr>
                  <w:rFonts w:ascii="Times New Roman"/>
                  <w:color w:val="231F20"/>
                  <w:spacing w:val="-8"/>
                  <w:sz w:val="21"/>
                </w:rPr>
                <w:t> </w:t>
              </w:r>
              <w:r>
                <w:rPr>
                  <w:rFonts w:ascii="Times New Roman"/>
                  <w:color w:val="231F20"/>
                  <w:spacing w:val="-6"/>
                  <w:sz w:val="21"/>
                </w:rPr>
                <w:t>scorer</w:t>
              </w:r>
              <w:r>
                <w:rPr>
                  <w:rFonts w:ascii="Times New Roman"/>
                  <w:color w:val="231F20"/>
                  <w:spacing w:val="-8"/>
                  <w:sz w:val="21"/>
                </w:rPr>
                <w:t> </w:t>
              </w:r>
              <w:r>
                <w:rPr>
                  <w:rFonts w:ascii="Times New Roman"/>
                  <w:color w:val="231F20"/>
                  <w:spacing w:val="-6"/>
                  <w:sz w:val="21"/>
                </w:rPr>
                <w:t>status</w:t>
              </w:r>
              <w:r>
                <w:rPr>
                  <w:rFonts w:ascii="Times New Roman"/>
                  <w:color w:val="231F20"/>
                  <w:spacing w:val="-8"/>
                  <w:sz w:val="21"/>
                </w:rPr>
                <w:t> </w:t>
              </w:r>
              <w:r>
                <w:rPr>
                  <w:rFonts w:ascii="Times New Roman"/>
                  <w:color w:val="231F20"/>
                  <w:spacing w:val="-6"/>
                  <w:sz w:val="21"/>
                </w:rPr>
                <w:t>for</w:t>
              </w:r>
              <w:r>
                <w:rPr>
                  <w:rFonts w:ascii="Times New Roman"/>
                  <w:color w:val="231F20"/>
                  <w:spacing w:val="-9"/>
                  <w:sz w:val="21"/>
                </w:rPr>
                <w:t> </w:t>
              </w:r>
              <w:r>
                <w:rPr>
                  <w:rFonts w:ascii="Times New Roman"/>
                  <w:color w:val="231F20"/>
                  <w:spacing w:val="-6"/>
                  <w:sz w:val="21"/>
                </w:rPr>
                <w:t>2018,</w:t>
              </w:r>
              <w:r>
                <w:rPr>
                  <w:rFonts w:ascii="Times New Roman"/>
                  <w:color w:val="231F20"/>
                  <w:spacing w:val="-8"/>
                  <w:sz w:val="21"/>
                </w:rPr>
                <w:t> </w:t>
              </w:r>
              <w:r>
                <w:rPr>
                  <w:rFonts w:ascii="Times New Roman"/>
                  <w:color w:val="231F20"/>
                  <w:spacing w:val="-6"/>
                  <w:sz w:val="21"/>
                </w:rPr>
                <w:t>2016,</w:t>
              </w:r>
              <w:r>
                <w:rPr>
                  <w:rFonts w:ascii="Times New Roman"/>
                  <w:color w:val="231F20"/>
                  <w:spacing w:val="-8"/>
                  <w:sz w:val="21"/>
                </w:rPr>
                <w:t> </w:t>
              </w:r>
              <w:r>
                <w:rPr>
                  <w:rFonts w:ascii="Times New Roman"/>
                  <w:color w:val="231F20"/>
                  <w:spacing w:val="-6"/>
                  <w:sz w:val="21"/>
                </w:rPr>
                <w:t>2014,</w:t>
              </w:r>
              <w:r>
                <w:rPr>
                  <w:rFonts w:ascii="Times New Roman"/>
                  <w:color w:val="231F20"/>
                  <w:spacing w:val="-8"/>
                  <w:sz w:val="21"/>
                </w:rPr>
                <w:t> </w:t>
              </w:r>
              <w:r>
                <w:rPr>
                  <w:rFonts w:ascii="Times New Roman"/>
                  <w:color w:val="231F20"/>
                  <w:spacing w:val="-6"/>
                  <w:sz w:val="21"/>
                </w:rPr>
                <w:t>and</w:t>
              </w:r>
              <w:r>
                <w:rPr>
                  <w:rFonts w:ascii="Times New Roman"/>
                  <w:color w:val="231F20"/>
                  <w:spacing w:val="-8"/>
                  <w:sz w:val="21"/>
                </w:rPr>
                <w:t> </w:t>
              </w:r>
              <w:r>
                <w:rPr>
                  <w:rFonts w:ascii="Times New Roman"/>
                  <w:color w:val="231F20"/>
                  <w:spacing w:val="-6"/>
                  <w:sz w:val="21"/>
                </w:rPr>
                <w:t>2012</w:t>
              </w:r>
            </w:hyperlink>
          </w:p>
        </w:tc>
        <w:tc>
          <w:tcPr>
            <w:tcW w:w="414" w:type="dxa"/>
          </w:tcPr>
          <w:p>
            <w:pPr>
              <w:pStyle w:val="TableParagraph"/>
              <w:spacing w:before="0"/>
              <w:jc w:val="left"/>
              <w:rPr>
                <w:sz w:val="21"/>
              </w:rPr>
            </w:pPr>
          </w:p>
          <w:p>
            <w:pPr>
              <w:pStyle w:val="TableParagraph"/>
              <w:spacing w:before="0"/>
              <w:jc w:val="left"/>
              <w:rPr>
                <w:sz w:val="21"/>
              </w:rPr>
            </w:pPr>
          </w:p>
          <w:p>
            <w:pPr>
              <w:pStyle w:val="TableParagraph"/>
              <w:spacing w:before="0"/>
              <w:jc w:val="left"/>
              <w:rPr>
                <w:sz w:val="21"/>
              </w:rPr>
            </w:pPr>
          </w:p>
          <w:p>
            <w:pPr>
              <w:pStyle w:val="TableParagraph"/>
              <w:spacing w:before="0"/>
              <w:jc w:val="left"/>
              <w:rPr>
                <w:sz w:val="21"/>
              </w:rPr>
            </w:pPr>
          </w:p>
          <w:p>
            <w:pPr>
              <w:pStyle w:val="TableParagraph"/>
              <w:spacing w:before="0"/>
              <w:jc w:val="left"/>
              <w:rPr>
                <w:sz w:val="21"/>
              </w:rPr>
            </w:pPr>
          </w:p>
          <w:p>
            <w:pPr>
              <w:pStyle w:val="TableParagraph"/>
              <w:spacing w:before="0"/>
              <w:jc w:val="left"/>
              <w:rPr>
                <w:sz w:val="21"/>
              </w:rPr>
            </w:pPr>
          </w:p>
          <w:p>
            <w:pPr>
              <w:pStyle w:val="TableParagraph"/>
              <w:spacing w:before="199"/>
              <w:jc w:val="left"/>
              <w:rPr>
                <w:sz w:val="21"/>
              </w:rPr>
            </w:pPr>
          </w:p>
          <w:p>
            <w:pPr>
              <w:pStyle w:val="TableParagraph"/>
              <w:spacing w:before="0"/>
              <w:ind w:left="166"/>
              <w:jc w:val="left"/>
              <w:rPr>
                <w:rFonts w:ascii="Times New Roman"/>
                <w:sz w:val="21"/>
              </w:rPr>
            </w:pPr>
            <w:hyperlink w:history="true" w:anchor="_bookmark45">
              <w:r>
                <w:rPr>
                  <w:rFonts w:ascii="Times New Roman"/>
                  <w:color w:val="231F20"/>
                  <w:spacing w:val="-5"/>
                  <w:sz w:val="21"/>
                </w:rPr>
                <w:t>52</w:t>
              </w:r>
            </w:hyperlink>
          </w:p>
        </w:tc>
        <w:tc>
          <w:tcPr>
            <w:tcW w:w="1674" w:type="dxa"/>
            <w:gridSpan w:val="2"/>
            <w:vMerge/>
            <w:tcBorders>
              <w:top w:val="nil"/>
            </w:tcBorders>
          </w:tcPr>
          <w:p>
            <w:pPr>
              <w:rPr>
                <w:sz w:val="2"/>
                <w:szCs w:val="2"/>
              </w:rPr>
            </w:pPr>
          </w:p>
        </w:tc>
      </w:tr>
      <w:tr>
        <w:trPr>
          <w:trHeight w:val="266" w:hRule="atLeast"/>
        </w:trPr>
        <w:tc>
          <w:tcPr>
            <w:tcW w:w="526" w:type="dxa"/>
          </w:tcPr>
          <w:p>
            <w:pPr>
              <w:pStyle w:val="TableParagraph"/>
              <w:spacing w:before="0"/>
              <w:ind w:left="50"/>
              <w:jc w:val="left"/>
              <w:rPr>
                <w:rFonts w:ascii="Times New Roman"/>
                <w:sz w:val="21"/>
              </w:rPr>
            </w:pPr>
            <w:hyperlink w:history="true" w:anchor="_bookmark45">
              <w:r>
                <w:rPr>
                  <w:rFonts w:ascii="Times New Roman"/>
                  <w:color w:val="231F20"/>
                  <w:spacing w:val="-4"/>
                  <w:sz w:val="21"/>
                </w:rPr>
                <w:t>A3.2</w:t>
              </w:r>
            </w:hyperlink>
          </w:p>
        </w:tc>
        <w:tc>
          <w:tcPr>
            <w:tcW w:w="7250" w:type="dxa"/>
          </w:tcPr>
          <w:p>
            <w:pPr>
              <w:pStyle w:val="TableParagraph"/>
              <w:spacing w:before="0"/>
              <w:ind w:left="63"/>
              <w:jc w:val="left"/>
              <w:rPr>
                <w:rFonts w:ascii="Times New Roman"/>
                <w:sz w:val="21"/>
              </w:rPr>
            </w:pPr>
            <w:hyperlink w:history="true" w:anchor="_bookmark45">
              <w:r>
                <w:rPr>
                  <w:rFonts w:ascii="Times New Roman"/>
                  <w:color w:val="231F20"/>
                  <w:spacing w:val="-6"/>
                  <w:sz w:val="21"/>
                </w:rPr>
                <w:t>Bottom</w:t>
              </w:r>
              <w:r>
                <w:rPr>
                  <w:rFonts w:ascii="Times New Roman"/>
                  <w:color w:val="231F20"/>
                  <w:spacing w:val="-8"/>
                  <w:sz w:val="21"/>
                </w:rPr>
                <w:t> </w:t>
              </w:r>
              <w:r>
                <w:rPr>
                  <w:rFonts w:ascii="Times New Roman"/>
                  <w:color w:val="231F20"/>
                  <w:spacing w:val="-6"/>
                  <w:sz w:val="21"/>
                </w:rPr>
                <w:t>12</w:t>
              </w:r>
              <w:r>
                <w:rPr>
                  <w:rFonts w:ascii="Times New Roman"/>
                  <w:color w:val="231F20"/>
                  <w:spacing w:val="-7"/>
                  <w:sz w:val="21"/>
                </w:rPr>
                <w:t> </w:t>
              </w:r>
              <w:r>
                <w:rPr>
                  <w:rFonts w:ascii="Times New Roman"/>
                  <w:color w:val="231F20"/>
                  <w:spacing w:val="-6"/>
                  <w:sz w:val="21"/>
                </w:rPr>
                <w:t>LPI</w:t>
              </w:r>
              <w:r>
                <w:rPr>
                  <w:rFonts w:ascii="Times New Roman"/>
                  <w:color w:val="231F20"/>
                  <w:spacing w:val="-7"/>
                  <w:sz w:val="21"/>
                </w:rPr>
                <w:t> </w:t>
              </w:r>
              <w:r>
                <w:rPr>
                  <w:rFonts w:ascii="Times New Roman"/>
                  <w:color w:val="231F20"/>
                  <w:spacing w:val="-6"/>
                  <w:sz w:val="21"/>
                </w:rPr>
                <w:t>scorers</w:t>
              </w:r>
              <w:r>
                <w:rPr>
                  <w:rFonts w:ascii="Times New Roman"/>
                  <w:color w:val="231F20"/>
                  <w:spacing w:val="-7"/>
                  <w:sz w:val="21"/>
                </w:rPr>
                <w:t> </w:t>
              </w:r>
              <w:r>
                <w:rPr>
                  <w:rFonts w:ascii="Times New Roman"/>
                  <w:color w:val="231F20"/>
                  <w:spacing w:val="-6"/>
                  <w:sz w:val="21"/>
                </w:rPr>
                <w:t>in</w:t>
              </w:r>
              <w:r>
                <w:rPr>
                  <w:rFonts w:ascii="Times New Roman"/>
                  <w:color w:val="231F20"/>
                  <w:spacing w:val="-7"/>
                  <w:sz w:val="21"/>
                </w:rPr>
                <w:t> </w:t>
              </w:r>
              <w:r>
                <w:rPr>
                  <w:rFonts w:ascii="Times New Roman"/>
                  <w:color w:val="231F20"/>
                  <w:spacing w:val="-6"/>
                  <w:sz w:val="21"/>
                </w:rPr>
                <w:t>2023</w:t>
              </w:r>
              <w:r>
                <w:rPr>
                  <w:rFonts w:ascii="Times New Roman"/>
                  <w:color w:val="231F20"/>
                  <w:spacing w:val="-7"/>
                  <w:sz w:val="21"/>
                </w:rPr>
                <w:t> </w:t>
              </w:r>
              <w:r>
                <w:rPr>
                  <w:rFonts w:ascii="Times New Roman"/>
                  <w:color w:val="231F20"/>
                  <w:spacing w:val="-6"/>
                  <w:sz w:val="21"/>
                </w:rPr>
                <w:t>and</w:t>
              </w:r>
              <w:r>
                <w:rPr>
                  <w:rFonts w:ascii="Times New Roman"/>
                  <w:color w:val="231F20"/>
                  <w:spacing w:val="-7"/>
                  <w:sz w:val="21"/>
                </w:rPr>
                <w:t> </w:t>
              </w:r>
              <w:r>
                <w:rPr>
                  <w:rFonts w:ascii="Times New Roman"/>
                  <w:color w:val="231F20"/>
                  <w:spacing w:val="-6"/>
                  <w:sz w:val="21"/>
                </w:rPr>
                <w:t>their</w:t>
              </w:r>
              <w:r>
                <w:rPr>
                  <w:rFonts w:ascii="Times New Roman"/>
                  <w:color w:val="231F20"/>
                  <w:spacing w:val="-7"/>
                  <w:sz w:val="21"/>
                </w:rPr>
                <w:t> </w:t>
              </w:r>
              <w:r>
                <w:rPr>
                  <w:rFonts w:ascii="Times New Roman"/>
                  <w:color w:val="231F20"/>
                  <w:spacing w:val="-6"/>
                  <w:sz w:val="21"/>
                </w:rPr>
                <w:t>top</w:t>
              </w:r>
              <w:r>
                <w:rPr>
                  <w:rFonts w:ascii="Times New Roman"/>
                  <w:color w:val="231F20"/>
                  <w:spacing w:val="-7"/>
                  <w:sz w:val="21"/>
                </w:rPr>
                <w:t> </w:t>
              </w:r>
              <w:r>
                <w:rPr>
                  <w:rFonts w:ascii="Times New Roman"/>
                  <w:color w:val="231F20"/>
                  <w:spacing w:val="-6"/>
                  <w:sz w:val="21"/>
                </w:rPr>
                <w:t>scorer</w:t>
              </w:r>
              <w:r>
                <w:rPr>
                  <w:rFonts w:ascii="Times New Roman"/>
                  <w:color w:val="231F20"/>
                  <w:spacing w:val="-7"/>
                  <w:sz w:val="21"/>
                </w:rPr>
                <w:t> </w:t>
              </w:r>
              <w:r>
                <w:rPr>
                  <w:rFonts w:ascii="Times New Roman"/>
                  <w:color w:val="231F20"/>
                  <w:spacing w:val="-6"/>
                  <w:sz w:val="21"/>
                </w:rPr>
                <w:t>status</w:t>
              </w:r>
              <w:r>
                <w:rPr>
                  <w:rFonts w:ascii="Times New Roman"/>
                  <w:color w:val="231F20"/>
                  <w:spacing w:val="-7"/>
                  <w:sz w:val="21"/>
                </w:rPr>
                <w:t> </w:t>
              </w:r>
              <w:r>
                <w:rPr>
                  <w:rFonts w:ascii="Times New Roman"/>
                  <w:color w:val="231F20"/>
                  <w:spacing w:val="-6"/>
                  <w:sz w:val="21"/>
                </w:rPr>
                <w:t>for</w:t>
              </w:r>
              <w:r>
                <w:rPr>
                  <w:rFonts w:ascii="Times New Roman"/>
                  <w:color w:val="231F20"/>
                  <w:spacing w:val="-7"/>
                  <w:sz w:val="21"/>
                </w:rPr>
                <w:t> </w:t>
              </w:r>
              <w:r>
                <w:rPr>
                  <w:rFonts w:ascii="Times New Roman"/>
                  <w:color w:val="231F20"/>
                  <w:spacing w:val="-6"/>
                  <w:sz w:val="21"/>
                </w:rPr>
                <w:t>2018,</w:t>
              </w:r>
              <w:r>
                <w:rPr>
                  <w:rFonts w:ascii="Times New Roman"/>
                  <w:color w:val="231F20"/>
                  <w:spacing w:val="-7"/>
                  <w:sz w:val="21"/>
                </w:rPr>
                <w:t> </w:t>
              </w:r>
              <w:r>
                <w:rPr>
                  <w:rFonts w:ascii="Times New Roman"/>
                  <w:color w:val="231F20"/>
                  <w:spacing w:val="-6"/>
                  <w:sz w:val="21"/>
                </w:rPr>
                <w:t>2016,</w:t>
              </w:r>
              <w:r>
                <w:rPr>
                  <w:rFonts w:ascii="Times New Roman"/>
                  <w:color w:val="231F20"/>
                  <w:spacing w:val="-7"/>
                  <w:sz w:val="21"/>
                </w:rPr>
                <w:t> </w:t>
              </w:r>
              <w:r>
                <w:rPr>
                  <w:rFonts w:ascii="Times New Roman"/>
                  <w:color w:val="231F20"/>
                  <w:spacing w:val="-6"/>
                  <w:sz w:val="21"/>
                </w:rPr>
                <w:t>2014,</w:t>
              </w:r>
              <w:r>
                <w:rPr>
                  <w:rFonts w:ascii="Times New Roman"/>
                  <w:color w:val="231F20"/>
                  <w:spacing w:val="-7"/>
                  <w:sz w:val="21"/>
                </w:rPr>
                <w:t> </w:t>
              </w:r>
              <w:r>
                <w:rPr>
                  <w:rFonts w:ascii="Times New Roman"/>
                  <w:color w:val="231F20"/>
                  <w:spacing w:val="-6"/>
                  <w:sz w:val="21"/>
                </w:rPr>
                <w:t>and</w:t>
              </w:r>
              <w:r>
                <w:rPr>
                  <w:rFonts w:ascii="Times New Roman"/>
                  <w:color w:val="231F20"/>
                  <w:spacing w:val="-7"/>
                  <w:sz w:val="21"/>
                </w:rPr>
                <w:t> </w:t>
              </w:r>
              <w:r>
                <w:rPr>
                  <w:rFonts w:ascii="Times New Roman"/>
                  <w:color w:val="231F20"/>
                  <w:spacing w:val="-6"/>
                  <w:sz w:val="21"/>
                </w:rPr>
                <w:t>2012</w:t>
              </w:r>
            </w:hyperlink>
          </w:p>
        </w:tc>
        <w:tc>
          <w:tcPr>
            <w:tcW w:w="414" w:type="dxa"/>
          </w:tcPr>
          <w:p>
            <w:pPr>
              <w:pStyle w:val="TableParagraph"/>
              <w:spacing w:before="0"/>
              <w:jc w:val="left"/>
              <w:rPr>
                <w:rFonts w:ascii="Times New Roman"/>
                <w:sz w:val="18"/>
              </w:rPr>
            </w:pPr>
          </w:p>
        </w:tc>
        <w:tc>
          <w:tcPr>
            <w:tcW w:w="1674" w:type="dxa"/>
            <w:gridSpan w:val="2"/>
          </w:tcPr>
          <w:p>
            <w:pPr>
              <w:pStyle w:val="TableParagraph"/>
              <w:spacing w:before="0"/>
              <w:ind w:left="48"/>
              <w:jc w:val="left"/>
              <w:rPr>
                <w:rFonts w:ascii="Times New Roman"/>
                <w:sz w:val="21"/>
              </w:rPr>
            </w:pPr>
            <w:hyperlink w:history="true" w:anchor="_bookmark45">
              <w:r>
                <w:rPr>
                  <w:rFonts w:ascii="Times New Roman"/>
                  <w:color w:val="231F20"/>
                  <w:spacing w:val="-5"/>
                  <w:sz w:val="21"/>
                </w:rPr>
                <w:t>52</w:t>
              </w:r>
            </w:hyperlink>
          </w:p>
        </w:tc>
      </w:tr>
      <w:tr>
        <w:trPr>
          <w:trHeight w:val="273" w:hRule="atLeast"/>
        </w:trPr>
        <w:tc>
          <w:tcPr>
            <w:tcW w:w="526" w:type="dxa"/>
          </w:tcPr>
          <w:p>
            <w:pPr>
              <w:pStyle w:val="TableParagraph"/>
              <w:spacing w:line="238" w:lineRule="exact" w:before="0"/>
              <w:ind w:left="50"/>
              <w:jc w:val="left"/>
              <w:rPr>
                <w:rFonts w:ascii="Times New Roman"/>
                <w:sz w:val="21"/>
              </w:rPr>
            </w:pPr>
            <w:hyperlink w:history="true" w:anchor="_bookmark46">
              <w:r>
                <w:rPr>
                  <w:rFonts w:ascii="Times New Roman"/>
                  <w:color w:val="231F20"/>
                  <w:spacing w:val="-4"/>
                  <w:sz w:val="21"/>
                </w:rPr>
                <w:t>A3.3</w:t>
              </w:r>
            </w:hyperlink>
          </w:p>
        </w:tc>
        <w:tc>
          <w:tcPr>
            <w:tcW w:w="8793" w:type="dxa"/>
            <w:gridSpan w:val="3"/>
          </w:tcPr>
          <w:p>
            <w:pPr>
              <w:pStyle w:val="TableParagraph"/>
              <w:spacing w:line="238" w:lineRule="exact" w:before="0"/>
              <w:ind w:left="63"/>
              <w:jc w:val="left"/>
              <w:rPr>
                <w:rFonts w:ascii="Times New Roman"/>
                <w:sz w:val="21"/>
              </w:rPr>
            </w:pPr>
            <w:hyperlink w:history="true" w:anchor="_bookmark46">
              <w:r>
                <w:rPr>
                  <w:rFonts w:ascii="Times New Roman"/>
                  <w:color w:val="231F20"/>
                  <w:spacing w:val="-6"/>
                  <w:sz w:val="21"/>
                </w:rPr>
                <w:t>Top</w:t>
              </w:r>
              <w:r>
                <w:rPr>
                  <w:rFonts w:ascii="Times New Roman"/>
                  <w:color w:val="231F20"/>
                  <w:spacing w:val="-10"/>
                  <w:sz w:val="21"/>
                </w:rPr>
                <w:t> </w:t>
              </w:r>
              <w:r>
                <w:rPr>
                  <w:rFonts w:ascii="Times New Roman"/>
                  <w:color w:val="231F20"/>
                  <w:spacing w:val="-6"/>
                  <w:sz w:val="21"/>
                </w:rPr>
                <w:t>11</w:t>
              </w:r>
              <w:r>
                <w:rPr>
                  <w:rFonts w:ascii="Times New Roman"/>
                  <w:color w:val="231F20"/>
                  <w:spacing w:val="-9"/>
                  <w:sz w:val="21"/>
                </w:rPr>
                <w:t> </w:t>
              </w:r>
              <w:r>
                <w:rPr>
                  <w:rFonts w:ascii="Times New Roman"/>
                  <w:color w:val="231F20"/>
                  <w:spacing w:val="-6"/>
                  <w:sz w:val="21"/>
                </w:rPr>
                <w:t>upper-middle-income</w:t>
              </w:r>
              <w:r>
                <w:rPr>
                  <w:rFonts w:ascii="Times New Roman"/>
                  <w:color w:val="231F20"/>
                  <w:spacing w:val="-9"/>
                  <w:sz w:val="21"/>
                </w:rPr>
                <w:t> </w:t>
              </w:r>
              <w:r>
                <w:rPr>
                  <w:rFonts w:ascii="Times New Roman"/>
                  <w:color w:val="231F20"/>
                  <w:spacing w:val="-6"/>
                  <w:sz w:val="21"/>
                </w:rPr>
                <w:t>LPI</w:t>
              </w:r>
              <w:r>
                <w:rPr>
                  <w:rFonts w:ascii="Times New Roman"/>
                  <w:color w:val="231F20"/>
                  <w:spacing w:val="-9"/>
                  <w:sz w:val="21"/>
                </w:rPr>
                <w:t> </w:t>
              </w:r>
              <w:r>
                <w:rPr>
                  <w:rFonts w:ascii="Times New Roman"/>
                  <w:color w:val="231F20"/>
                  <w:spacing w:val="-6"/>
                  <w:sz w:val="21"/>
                </w:rPr>
                <w:t>scorers</w:t>
              </w:r>
              <w:r>
                <w:rPr>
                  <w:rFonts w:ascii="Times New Roman"/>
                  <w:color w:val="231F20"/>
                  <w:spacing w:val="-9"/>
                  <w:sz w:val="21"/>
                </w:rPr>
                <w:t> </w:t>
              </w:r>
              <w:r>
                <w:rPr>
                  <w:rFonts w:ascii="Times New Roman"/>
                  <w:color w:val="231F20"/>
                  <w:spacing w:val="-6"/>
                  <w:sz w:val="21"/>
                </w:rPr>
                <w:t>in</w:t>
              </w:r>
              <w:r>
                <w:rPr>
                  <w:rFonts w:ascii="Times New Roman"/>
                  <w:color w:val="231F20"/>
                  <w:spacing w:val="-9"/>
                  <w:sz w:val="21"/>
                </w:rPr>
                <w:t> </w:t>
              </w:r>
              <w:r>
                <w:rPr>
                  <w:rFonts w:ascii="Times New Roman"/>
                  <w:color w:val="231F20"/>
                  <w:spacing w:val="-6"/>
                  <w:sz w:val="21"/>
                </w:rPr>
                <w:t>2023</w:t>
              </w:r>
              <w:r>
                <w:rPr>
                  <w:rFonts w:ascii="Times New Roman"/>
                  <w:color w:val="231F20"/>
                  <w:spacing w:val="-9"/>
                  <w:sz w:val="21"/>
                </w:rPr>
                <w:t> </w:t>
              </w:r>
              <w:r>
                <w:rPr>
                  <w:rFonts w:ascii="Times New Roman"/>
                  <w:color w:val="231F20"/>
                  <w:spacing w:val="-6"/>
                  <w:sz w:val="21"/>
                </w:rPr>
                <w:t>and</w:t>
              </w:r>
              <w:r>
                <w:rPr>
                  <w:rFonts w:ascii="Times New Roman"/>
                  <w:color w:val="231F20"/>
                  <w:spacing w:val="-9"/>
                  <w:sz w:val="21"/>
                </w:rPr>
                <w:t> </w:t>
              </w:r>
              <w:r>
                <w:rPr>
                  <w:rFonts w:ascii="Times New Roman"/>
                  <w:color w:val="231F20"/>
                  <w:spacing w:val="-6"/>
                  <w:sz w:val="21"/>
                </w:rPr>
                <w:t>their</w:t>
              </w:r>
              <w:r>
                <w:rPr>
                  <w:rFonts w:ascii="Times New Roman"/>
                  <w:color w:val="231F20"/>
                  <w:spacing w:val="-9"/>
                  <w:sz w:val="21"/>
                </w:rPr>
                <w:t> </w:t>
              </w:r>
              <w:r>
                <w:rPr>
                  <w:rFonts w:ascii="Times New Roman"/>
                  <w:color w:val="231F20"/>
                  <w:spacing w:val="-6"/>
                  <w:sz w:val="21"/>
                </w:rPr>
                <w:t>top</w:t>
              </w:r>
              <w:r>
                <w:rPr>
                  <w:rFonts w:ascii="Times New Roman"/>
                  <w:color w:val="231F20"/>
                  <w:spacing w:val="-9"/>
                  <w:sz w:val="21"/>
                </w:rPr>
                <w:t> </w:t>
              </w:r>
              <w:r>
                <w:rPr>
                  <w:rFonts w:ascii="Times New Roman"/>
                  <w:color w:val="231F20"/>
                  <w:spacing w:val="-6"/>
                  <w:sz w:val="21"/>
                </w:rPr>
                <w:t>scorer</w:t>
              </w:r>
              <w:r>
                <w:rPr>
                  <w:rFonts w:ascii="Times New Roman"/>
                  <w:color w:val="231F20"/>
                  <w:spacing w:val="-9"/>
                  <w:sz w:val="21"/>
                </w:rPr>
                <w:t> </w:t>
              </w:r>
              <w:r>
                <w:rPr>
                  <w:rFonts w:ascii="Times New Roman"/>
                  <w:color w:val="231F20"/>
                  <w:spacing w:val="-6"/>
                  <w:sz w:val="21"/>
                </w:rPr>
                <w:t>status</w:t>
              </w:r>
              <w:r>
                <w:rPr>
                  <w:rFonts w:ascii="Times New Roman"/>
                  <w:color w:val="231F20"/>
                  <w:spacing w:val="-9"/>
                  <w:sz w:val="21"/>
                </w:rPr>
                <w:t> </w:t>
              </w:r>
              <w:r>
                <w:rPr>
                  <w:rFonts w:ascii="Times New Roman"/>
                  <w:color w:val="231F20"/>
                  <w:spacing w:val="-6"/>
                  <w:sz w:val="21"/>
                </w:rPr>
                <w:t>in</w:t>
              </w:r>
              <w:r>
                <w:rPr>
                  <w:rFonts w:ascii="Times New Roman"/>
                  <w:color w:val="231F20"/>
                  <w:spacing w:val="-9"/>
                  <w:sz w:val="21"/>
                </w:rPr>
                <w:t> </w:t>
              </w:r>
              <w:r>
                <w:rPr>
                  <w:rFonts w:ascii="Times New Roman"/>
                  <w:color w:val="231F20"/>
                  <w:spacing w:val="-6"/>
                  <w:sz w:val="21"/>
                </w:rPr>
                <w:t>2018,</w:t>
              </w:r>
              <w:r>
                <w:rPr>
                  <w:rFonts w:ascii="Times New Roman"/>
                  <w:color w:val="231F20"/>
                  <w:spacing w:val="-9"/>
                  <w:sz w:val="21"/>
                </w:rPr>
                <w:t> </w:t>
              </w:r>
              <w:r>
                <w:rPr>
                  <w:rFonts w:ascii="Times New Roman"/>
                  <w:color w:val="231F20"/>
                  <w:spacing w:val="-6"/>
                  <w:sz w:val="21"/>
                </w:rPr>
                <w:t>2016,</w:t>
              </w:r>
              <w:r>
                <w:rPr>
                  <w:rFonts w:ascii="Times New Roman"/>
                  <w:color w:val="231F20"/>
                  <w:spacing w:val="-9"/>
                  <w:sz w:val="21"/>
                </w:rPr>
                <w:t> </w:t>
              </w:r>
              <w:r>
                <w:rPr>
                  <w:rFonts w:ascii="Times New Roman"/>
                  <w:color w:val="231F20"/>
                  <w:spacing w:val="-6"/>
                  <w:sz w:val="21"/>
                </w:rPr>
                <w:t>2014,</w:t>
              </w:r>
              <w:r>
                <w:rPr>
                  <w:rFonts w:ascii="Times New Roman"/>
                  <w:color w:val="231F20"/>
                  <w:spacing w:val="-9"/>
                  <w:sz w:val="21"/>
                </w:rPr>
                <w:t> </w:t>
              </w:r>
              <w:r>
                <w:rPr>
                  <w:rFonts w:ascii="Times New Roman"/>
                  <w:color w:val="231F20"/>
                  <w:spacing w:val="-6"/>
                  <w:sz w:val="21"/>
                </w:rPr>
                <w:t>and</w:t>
              </w:r>
              <w:r>
                <w:rPr>
                  <w:rFonts w:ascii="Times New Roman"/>
                  <w:color w:val="231F20"/>
                  <w:spacing w:val="-9"/>
                  <w:sz w:val="21"/>
                </w:rPr>
                <w:t> </w:t>
              </w:r>
              <w:r>
                <w:rPr>
                  <w:rFonts w:ascii="Times New Roman"/>
                  <w:color w:val="231F20"/>
                  <w:spacing w:val="-6"/>
                  <w:sz w:val="21"/>
                </w:rPr>
                <w:t>2012</w:t>
              </w:r>
            </w:hyperlink>
          </w:p>
        </w:tc>
        <w:tc>
          <w:tcPr>
            <w:tcW w:w="545" w:type="dxa"/>
          </w:tcPr>
          <w:p>
            <w:pPr>
              <w:pStyle w:val="TableParagraph"/>
              <w:spacing w:line="238" w:lineRule="exact" w:before="0"/>
              <w:ind w:right="47"/>
              <w:jc w:val="right"/>
              <w:rPr>
                <w:rFonts w:ascii="Times New Roman"/>
                <w:sz w:val="21"/>
              </w:rPr>
            </w:pPr>
            <w:hyperlink w:history="true" w:anchor="_bookmark46">
              <w:r>
                <w:rPr>
                  <w:rFonts w:ascii="Times New Roman"/>
                  <w:color w:val="231F20"/>
                  <w:spacing w:val="-5"/>
                  <w:sz w:val="21"/>
                </w:rPr>
                <w:t>53</w:t>
              </w:r>
            </w:hyperlink>
          </w:p>
        </w:tc>
      </w:tr>
      <w:tr>
        <w:trPr>
          <w:trHeight w:val="1886" w:hRule="atLeast"/>
        </w:trPr>
        <w:tc>
          <w:tcPr>
            <w:tcW w:w="526" w:type="dxa"/>
          </w:tcPr>
          <w:p>
            <w:pPr>
              <w:pStyle w:val="TableParagraph"/>
              <w:spacing w:line="268" w:lineRule="auto" w:before="0"/>
              <w:ind w:left="50" w:right="74"/>
              <w:jc w:val="both"/>
              <w:rPr>
                <w:rFonts w:ascii="Times New Roman"/>
                <w:sz w:val="21"/>
              </w:rPr>
            </w:pPr>
            <w:hyperlink w:history="true" w:anchor="_bookmark46">
              <w:r>
                <w:rPr>
                  <w:rFonts w:ascii="Times New Roman"/>
                  <w:color w:val="231F20"/>
                  <w:spacing w:val="-6"/>
                  <w:sz w:val="21"/>
                </w:rPr>
                <w:t>A3.4</w:t>
              </w:r>
            </w:hyperlink>
            <w:r>
              <w:rPr>
                <w:rFonts w:ascii="Times New Roman"/>
                <w:color w:val="231F20"/>
                <w:spacing w:val="-6"/>
                <w:sz w:val="21"/>
              </w:rPr>
              <w:t> </w:t>
            </w:r>
            <w:hyperlink w:history="true" w:anchor="_bookmark47">
              <w:r>
                <w:rPr>
                  <w:rFonts w:ascii="Times New Roman"/>
                  <w:color w:val="231F20"/>
                  <w:spacing w:val="-6"/>
                  <w:sz w:val="21"/>
                </w:rPr>
                <w:t>A3.5</w:t>
              </w:r>
            </w:hyperlink>
            <w:r>
              <w:rPr>
                <w:rFonts w:ascii="Times New Roman"/>
                <w:color w:val="231F20"/>
                <w:spacing w:val="-6"/>
                <w:sz w:val="21"/>
              </w:rPr>
              <w:t> A4.1 A4.2 </w:t>
            </w:r>
            <w:hyperlink w:history="true" w:anchor="_bookmark49">
              <w:r>
                <w:rPr>
                  <w:rFonts w:ascii="Times New Roman"/>
                  <w:color w:val="231F20"/>
                  <w:spacing w:val="-6"/>
                  <w:sz w:val="21"/>
                </w:rPr>
                <w:t>A5.1</w:t>
              </w:r>
            </w:hyperlink>
            <w:r>
              <w:rPr>
                <w:rFonts w:ascii="Times New Roman"/>
                <w:color w:val="231F20"/>
                <w:spacing w:val="-6"/>
                <w:sz w:val="21"/>
              </w:rPr>
              <w:t> </w:t>
            </w:r>
            <w:r>
              <w:rPr>
                <w:rFonts w:ascii="Times New Roman"/>
                <w:color w:val="231F20"/>
                <w:spacing w:val="-7"/>
                <w:sz w:val="21"/>
              </w:rPr>
              <w:t>A5.2</w:t>
            </w:r>
          </w:p>
          <w:p>
            <w:pPr>
              <w:pStyle w:val="TableParagraph"/>
              <w:spacing w:line="239" w:lineRule="exact" w:before="0"/>
              <w:ind w:left="50"/>
              <w:jc w:val="left"/>
              <w:rPr>
                <w:rFonts w:ascii="Times New Roman"/>
                <w:sz w:val="21"/>
              </w:rPr>
            </w:pPr>
            <w:r>
              <w:rPr>
                <w:rFonts w:ascii="Times New Roman"/>
                <w:color w:val="231F20"/>
                <w:spacing w:val="-4"/>
                <w:sz w:val="21"/>
              </w:rPr>
              <w:t>A5.3</w:t>
            </w:r>
          </w:p>
        </w:tc>
        <w:tc>
          <w:tcPr>
            <w:tcW w:w="8793" w:type="dxa"/>
            <w:gridSpan w:val="3"/>
          </w:tcPr>
          <w:p>
            <w:pPr>
              <w:pStyle w:val="TableParagraph"/>
              <w:spacing w:before="0"/>
              <w:ind w:left="63"/>
              <w:jc w:val="left"/>
              <w:rPr>
                <w:rFonts w:ascii="Times New Roman"/>
                <w:sz w:val="21"/>
              </w:rPr>
            </w:pPr>
            <w:hyperlink w:history="true" w:anchor="_bookmark46">
              <w:r>
                <w:rPr>
                  <w:rFonts w:ascii="Times New Roman"/>
                  <w:color w:val="231F20"/>
                  <w:spacing w:val="-6"/>
                  <w:sz w:val="21"/>
                </w:rPr>
                <w:t>Top</w:t>
              </w:r>
              <w:r>
                <w:rPr>
                  <w:rFonts w:ascii="Times New Roman"/>
                  <w:color w:val="231F20"/>
                  <w:spacing w:val="-11"/>
                  <w:sz w:val="21"/>
                </w:rPr>
                <w:t> </w:t>
              </w:r>
              <w:r>
                <w:rPr>
                  <w:rFonts w:ascii="Times New Roman"/>
                  <w:color w:val="231F20"/>
                  <w:spacing w:val="-6"/>
                  <w:sz w:val="21"/>
                </w:rPr>
                <w:t>13</w:t>
              </w:r>
              <w:r>
                <w:rPr>
                  <w:rFonts w:ascii="Times New Roman"/>
                  <w:color w:val="231F20"/>
                  <w:spacing w:val="-10"/>
                  <w:sz w:val="21"/>
                </w:rPr>
                <w:t> </w:t>
              </w:r>
              <w:r>
                <w:rPr>
                  <w:rFonts w:ascii="Times New Roman"/>
                  <w:color w:val="231F20"/>
                  <w:spacing w:val="-6"/>
                  <w:sz w:val="21"/>
                </w:rPr>
                <w:t>lower-middle-income</w:t>
              </w:r>
              <w:r>
                <w:rPr>
                  <w:rFonts w:ascii="Times New Roman"/>
                  <w:color w:val="231F20"/>
                  <w:spacing w:val="-10"/>
                  <w:sz w:val="21"/>
                </w:rPr>
                <w:t> </w:t>
              </w:r>
              <w:r>
                <w:rPr>
                  <w:rFonts w:ascii="Times New Roman"/>
                  <w:color w:val="231F20"/>
                  <w:spacing w:val="-6"/>
                  <w:sz w:val="21"/>
                </w:rPr>
                <w:t>LPI</w:t>
              </w:r>
              <w:r>
                <w:rPr>
                  <w:rFonts w:ascii="Times New Roman"/>
                  <w:color w:val="231F20"/>
                  <w:spacing w:val="-11"/>
                  <w:sz w:val="21"/>
                </w:rPr>
                <w:t> </w:t>
              </w:r>
              <w:r>
                <w:rPr>
                  <w:rFonts w:ascii="Times New Roman"/>
                  <w:color w:val="231F20"/>
                  <w:spacing w:val="-6"/>
                  <w:sz w:val="21"/>
                </w:rPr>
                <w:t>scorers</w:t>
              </w:r>
              <w:r>
                <w:rPr>
                  <w:rFonts w:ascii="Times New Roman"/>
                  <w:color w:val="231F20"/>
                  <w:spacing w:val="-10"/>
                  <w:sz w:val="21"/>
                </w:rPr>
                <w:t> </w:t>
              </w:r>
              <w:r>
                <w:rPr>
                  <w:rFonts w:ascii="Times New Roman"/>
                  <w:color w:val="231F20"/>
                  <w:spacing w:val="-6"/>
                  <w:sz w:val="21"/>
                </w:rPr>
                <w:t>in</w:t>
              </w:r>
              <w:r>
                <w:rPr>
                  <w:rFonts w:ascii="Times New Roman"/>
                  <w:color w:val="231F20"/>
                  <w:spacing w:val="-10"/>
                  <w:sz w:val="21"/>
                </w:rPr>
                <w:t> </w:t>
              </w:r>
              <w:r>
                <w:rPr>
                  <w:rFonts w:ascii="Times New Roman"/>
                  <w:color w:val="231F20"/>
                  <w:spacing w:val="-6"/>
                  <w:sz w:val="21"/>
                </w:rPr>
                <w:t>2023</w:t>
              </w:r>
              <w:r>
                <w:rPr>
                  <w:rFonts w:ascii="Times New Roman"/>
                  <w:color w:val="231F20"/>
                  <w:spacing w:val="-11"/>
                  <w:sz w:val="21"/>
                </w:rPr>
                <w:t> </w:t>
              </w:r>
              <w:r>
                <w:rPr>
                  <w:rFonts w:ascii="Times New Roman"/>
                  <w:color w:val="231F20"/>
                  <w:spacing w:val="-6"/>
                  <w:sz w:val="21"/>
                </w:rPr>
                <w:t>and</w:t>
              </w:r>
              <w:r>
                <w:rPr>
                  <w:rFonts w:ascii="Times New Roman"/>
                  <w:color w:val="231F20"/>
                  <w:spacing w:val="-10"/>
                  <w:sz w:val="21"/>
                </w:rPr>
                <w:t> </w:t>
              </w:r>
              <w:r>
                <w:rPr>
                  <w:rFonts w:ascii="Times New Roman"/>
                  <w:color w:val="231F20"/>
                  <w:spacing w:val="-6"/>
                  <w:sz w:val="21"/>
                </w:rPr>
                <w:t>their</w:t>
              </w:r>
              <w:r>
                <w:rPr>
                  <w:rFonts w:ascii="Times New Roman"/>
                  <w:color w:val="231F20"/>
                  <w:spacing w:val="-10"/>
                  <w:sz w:val="21"/>
                </w:rPr>
                <w:t> </w:t>
              </w:r>
              <w:r>
                <w:rPr>
                  <w:rFonts w:ascii="Times New Roman"/>
                  <w:color w:val="231F20"/>
                  <w:spacing w:val="-6"/>
                  <w:sz w:val="21"/>
                </w:rPr>
                <w:t>top</w:t>
              </w:r>
              <w:r>
                <w:rPr>
                  <w:rFonts w:ascii="Times New Roman"/>
                  <w:color w:val="231F20"/>
                  <w:spacing w:val="-11"/>
                  <w:sz w:val="21"/>
                </w:rPr>
                <w:t> </w:t>
              </w:r>
              <w:r>
                <w:rPr>
                  <w:rFonts w:ascii="Times New Roman"/>
                  <w:color w:val="231F20"/>
                  <w:spacing w:val="-6"/>
                  <w:sz w:val="21"/>
                </w:rPr>
                <w:t>scorer</w:t>
              </w:r>
              <w:r>
                <w:rPr>
                  <w:rFonts w:ascii="Times New Roman"/>
                  <w:color w:val="231F20"/>
                  <w:spacing w:val="-10"/>
                  <w:sz w:val="21"/>
                </w:rPr>
                <w:t> </w:t>
              </w:r>
              <w:r>
                <w:rPr>
                  <w:rFonts w:ascii="Times New Roman"/>
                  <w:color w:val="231F20"/>
                  <w:spacing w:val="-6"/>
                  <w:sz w:val="21"/>
                </w:rPr>
                <w:t>status</w:t>
              </w:r>
              <w:r>
                <w:rPr>
                  <w:rFonts w:ascii="Times New Roman"/>
                  <w:color w:val="231F20"/>
                  <w:spacing w:val="-10"/>
                  <w:sz w:val="21"/>
                </w:rPr>
                <w:t> </w:t>
              </w:r>
              <w:r>
                <w:rPr>
                  <w:rFonts w:ascii="Times New Roman"/>
                  <w:color w:val="231F20"/>
                  <w:spacing w:val="-6"/>
                  <w:sz w:val="21"/>
                </w:rPr>
                <w:t>in</w:t>
              </w:r>
              <w:r>
                <w:rPr>
                  <w:rFonts w:ascii="Times New Roman"/>
                  <w:color w:val="231F20"/>
                  <w:spacing w:val="-10"/>
                  <w:sz w:val="21"/>
                </w:rPr>
                <w:t> </w:t>
              </w:r>
              <w:r>
                <w:rPr>
                  <w:rFonts w:ascii="Times New Roman"/>
                  <w:color w:val="231F20"/>
                  <w:spacing w:val="-6"/>
                  <w:sz w:val="21"/>
                </w:rPr>
                <w:t>2018,</w:t>
              </w:r>
              <w:r>
                <w:rPr>
                  <w:rFonts w:ascii="Times New Roman"/>
                  <w:color w:val="231F20"/>
                  <w:spacing w:val="-11"/>
                  <w:sz w:val="21"/>
                </w:rPr>
                <w:t> </w:t>
              </w:r>
              <w:r>
                <w:rPr>
                  <w:rFonts w:ascii="Times New Roman"/>
                  <w:color w:val="231F20"/>
                  <w:spacing w:val="-6"/>
                  <w:sz w:val="21"/>
                </w:rPr>
                <w:t>2016,</w:t>
              </w:r>
              <w:r>
                <w:rPr>
                  <w:rFonts w:ascii="Times New Roman"/>
                  <w:color w:val="231F20"/>
                  <w:spacing w:val="-10"/>
                  <w:sz w:val="21"/>
                </w:rPr>
                <w:t> </w:t>
              </w:r>
              <w:r>
                <w:rPr>
                  <w:rFonts w:ascii="Times New Roman"/>
                  <w:color w:val="231F20"/>
                  <w:spacing w:val="-6"/>
                  <w:sz w:val="21"/>
                </w:rPr>
                <w:t>2014,</w:t>
              </w:r>
              <w:r>
                <w:rPr>
                  <w:rFonts w:ascii="Times New Roman"/>
                  <w:color w:val="231F20"/>
                  <w:spacing w:val="-10"/>
                  <w:sz w:val="21"/>
                </w:rPr>
                <w:t> </w:t>
              </w:r>
              <w:r>
                <w:rPr>
                  <w:rFonts w:ascii="Times New Roman"/>
                  <w:color w:val="231F20"/>
                  <w:spacing w:val="-6"/>
                  <w:sz w:val="21"/>
                </w:rPr>
                <w:t>and</w:t>
              </w:r>
              <w:r>
                <w:rPr>
                  <w:rFonts w:ascii="Times New Roman"/>
                  <w:color w:val="231F20"/>
                  <w:spacing w:val="-11"/>
                  <w:sz w:val="21"/>
                </w:rPr>
                <w:t> </w:t>
              </w:r>
              <w:r>
                <w:rPr>
                  <w:rFonts w:ascii="Times New Roman"/>
                  <w:color w:val="231F20"/>
                  <w:spacing w:val="-6"/>
                  <w:sz w:val="21"/>
                </w:rPr>
                <w:t>2012</w:t>
              </w:r>
            </w:hyperlink>
          </w:p>
          <w:p>
            <w:pPr>
              <w:pStyle w:val="TableParagraph"/>
              <w:tabs>
                <w:tab w:pos="8514" w:val="right" w:leader="none"/>
              </w:tabs>
              <w:spacing w:before="28"/>
              <w:ind w:left="63"/>
              <w:jc w:val="left"/>
              <w:rPr>
                <w:rFonts w:ascii="Times New Roman"/>
                <w:sz w:val="21"/>
              </w:rPr>
            </w:pPr>
            <w:hyperlink w:history="true" w:anchor="_bookmark47">
              <w:r>
                <w:rPr>
                  <w:rFonts w:ascii="Times New Roman"/>
                  <w:color w:val="231F20"/>
                  <w:spacing w:val="-6"/>
                  <w:sz w:val="21"/>
                </w:rPr>
                <w:t>Top</w:t>
              </w:r>
              <w:r>
                <w:rPr>
                  <w:rFonts w:ascii="Times New Roman"/>
                  <w:color w:val="231F20"/>
                  <w:spacing w:val="-10"/>
                  <w:sz w:val="21"/>
                </w:rPr>
                <w:t> </w:t>
              </w:r>
              <w:r>
                <w:rPr>
                  <w:rFonts w:ascii="Times New Roman"/>
                  <w:color w:val="231F20"/>
                  <w:spacing w:val="-6"/>
                  <w:sz w:val="21"/>
                </w:rPr>
                <w:t>10</w:t>
              </w:r>
              <w:r>
                <w:rPr>
                  <w:rFonts w:ascii="Times New Roman"/>
                  <w:color w:val="231F20"/>
                  <w:spacing w:val="-10"/>
                  <w:sz w:val="21"/>
                </w:rPr>
                <w:t> </w:t>
              </w:r>
              <w:r>
                <w:rPr>
                  <w:rFonts w:ascii="Times New Roman"/>
                  <w:color w:val="231F20"/>
                  <w:spacing w:val="-6"/>
                  <w:sz w:val="21"/>
                </w:rPr>
                <w:t>low-income</w:t>
              </w:r>
              <w:r>
                <w:rPr>
                  <w:rFonts w:ascii="Times New Roman"/>
                  <w:color w:val="231F20"/>
                  <w:spacing w:val="-10"/>
                  <w:sz w:val="21"/>
                </w:rPr>
                <w:t> </w:t>
              </w:r>
              <w:r>
                <w:rPr>
                  <w:rFonts w:ascii="Times New Roman"/>
                  <w:color w:val="231F20"/>
                  <w:spacing w:val="-6"/>
                  <w:sz w:val="21"/>
                </w:rPr>
                <w:t>LPI</w:t>
              </w:r>
              <w:r>
                <w:rPr>
                  <w:rFonts w:ascii="Times New Roman"/>
                  <w:color w:val="231F20"/>
                  <w:spacing w:val="-10"/>
                  <w:sz w:val="21"/>
                </w:rPr>
                <w:t> </w:t>
              </w:r>
              <w:r>
                <w:rPr>
                  <w:rFonts w:ascii="Times New Roman"/>
                  <w:color w:val="231F20"/>
                  <w:spacing w:val="-6"/>
                  <w:sz w:val="21"/>
                </w:rPr>
                <w:t>scorers</w:t>
              </w:r>
              <w:r>
                <w:rPr>
                  <w:rFonts w:ascii="Times New Roman"/>
                  <w:color w:val="231F20"/>
                  <w:spacing w:val="-10"/>
                  <w:sz w:val="21"/>
                </w:rPr>
                <w:t> </w:t>
              </w:r>
              <w:r>
                <w:rPr>
                  <w:rFonts w:ascii="Times New Roman"/>
                  <w:color w:val="231F20"/>
                  <w:spacing w:val="-6"/>
                  <w:sz w:val="21"/>
                </w:rPr>
                <w:t>in</w:t>
              </w:r>
              <w:r>
                <w:rPr>
                  <w:rFonts w:ascii="Times New Roman"/>
                  <w:color w:val="231F20"/>
                  <w:spacing w:val="-10"/>
                  <w:sz w:val="21"/>
                </w:rPr>
                <w:t> </w:t>
              </w:r>
              <w:r>
                <w:rPr>
                  <w:rFonts w:ascii="Times New Roman"/>
                  <w:color w:val="231F20"/>
                  <w:spacing w:val="-6"/>
                  <w:sz w:val="21"/>
                </w:rPr>
                <w:t>2023</w:t>
              </w:r>
              <w:r>
                <w:rPr>
                  <w:rFonts w:ascii="Times New Roman"/>
                  <w:color w:val="231F20"/>
                  <w:spacing w:val="-10"/>
                  <w:sz w:val="21"/>
                </w:rPr>
                <w:t> </w:t>
              </w:r>
              <w:r>
                <w:rPr>
                  <w:rFonts w:ascii="Times New Roman"/>
                  <w:color w:val="231F20"/>
                  <w:spacing w:val="-6"/>
                  <w:sz w:val="21"/>
                </w:rPr>
                <w:t>and</w:t>
              </w:r>
              <w:r>
                <w:rPr>
                  <w:rFonts w:ascii="Times New Roman"/>
                  <w:color w:val="231F20"/>
                  <w:spacing w:val="-10"/>
                  <w:sz w:val="21"/>
                </w:rPr>
                <w:t> </w:t>
              </w:r>
              <w:r>
                <w:rPr>
                  <w:rFonts w:ascii="Times New Roman"/>
                  <w:color w:val="231F20"/>
                  <w:spacing w:val="-6"/>
                  <w:sz w:val="21"/>
                </w:rPr>
                <w:t>their</w:t>
              </w:r>
              <w:r>
                <w:rPr>
                  <w:rFonts w:ascii="Times New Roman"/>
                  <w:color w:val="231F20"/>
                  <w:spacing w:val="-10"/>
                  <w:sz w:val="21"/>
                </w:rPr>
                <w:t> </w:t>
              </w:r>
              <w:r>
                <w:rPr>
                  <w:rFonts w:ascii="Times New Roman"/>
                  <w:color w:val="231F20"/>
                  <w:spacing w:val="-6"/>
                  <w:sz w:val="21"/>
                </w:rPr>
                <w:t>top</w:t>
              </w:r>
              <w:r>
                <w:rPr>
                  <w:rFonts w:ascii="Times New Roman"/>
                  <w:color w:val="231F20"/>
                  <w:spacing w:val="-10"/>
                  <w:sz w:val="21"/>
                </w:rPr>
                <w:t> </w:t>
              </w:r>
              <w:r>
                <w:rPr>
                  <w:rFonts w:ascii="Times New Roman"/>
                  <w:color w:val="231F20"/>
                  <w:spacing w:val="-6"/>
                  <w:sz w:val="21"/>
                </w:rPr>
                <w:t>scorer</w:t>
              </w:r>
              <w:r>
                <w:rPr>
                  <w:rFonts w:ascii="Times New Roman"/>
                  <w:color w:val="231F20"/>
                  <w:spacing w:val="-10"/>
                  <w:sz w:val="21"/>
                </w:rPr>
                <w:t> </w:t>
              </w:r>
              <w:r>
                <w:rPr>
                  <w:rFonts w:ascii="Times New Roman"/>
                  <w:color w:val="231F20"/>
                  <w:spacing w:val="-6"/>
                  <w:sz w:val="21"/>
                </w:rPr>
                <w:t>status</w:t>
              </w:r>
              <w:r>
                <w:rPr>
                  <w:rFonts w:ascii="Times New Roman"/>
                  <w:color w:val="231F20"/>
                  <w:spacing w:val="-10"/>
                  <w:sz w:val="21"/>
                </w:rPr>
                <w:t> </w:t>
              </w:r>
              <w:r>
                <w:rPr>
                  <w:rFonts w:ascii="Times New Roman"/>
                  <w:color w:val="231F20"/>
                  <w:spacing w:val="-6"/>
                  <w:sz w:val="21"/>
                </w:rPr>
                <w:t>in</w:t>
              </w:r>
              <w:r>
                <w:rPr>
                  <w:rFonts w:ascii="Times New Roman"/>
                  <w:color w:val="231F20"/>
                  <w:spacing w:val="-10"/>
                  <w:sz w:val="21"/>
                </w:rPr>
                <w:t> </w:t>
              </w:r>
              <w:r>
                <w:rPr>
                  <w:rFonts w:ascii="Times New Roman"/>
                  <w:color w:val="231F20"/>
                  <w:spacing w:val="-6"/>
                  <w:sz w:val="21"/>
                </w:rPr>
                <w:t>2018,</w:t>
              </w:r>
              <w:r>
                <w:rPr>
                  <w:rFonts w:ascii="Times New Roman"/>
                  <w:color w:val="231F20"/>
                  <w:spacing w:val="-10"/>
                  <w:sz w:val="21"/>
                </w:rPr>
                <w:t> </w:t>
              </w:r>
              <w:r>
                <w:rPr>
                  <w:rFonts w:ascii="Times New Roman"/>
                  <w:color w:val="231F20"/>
                  <w:spacing w:val="-6"/>
                  <w:sz w:val="21"/>
                </w:rPr>
                <w:t>2016,</w:t>
              </w:r>
              <w:r>
                <w:rPr>
                  <w:rFonts w:ascii="Times New Roman"/>
                  <w:color w:val="231F20"/>
                  <w:spacing w:val="-10"/>
                  <w:sz w:val="21"/>
                </w:rPr>
                <w:t> </w:t>
              </w:r>
              <w:r>
                <w:rPr>
                  <w:rFonts w:ascii="Times New Roman"/>
                  <w:color w:val="231F20"/>
                  <w:spacing w:val="-6"/>
                  <w:sz w:val="21"/>
                </w:rPr>
                <w:t>2014,</w:t>
              </w:r>
              <w:r>
                <w:rPr>
                  <w:rFonts w:ascii="Times New Roman"/>
                  <w:color w:val="231F20"/>
                  <w:spacing w:val="-10"/>
                  <w:sz w:val="21"/>
                </w:rPr>
                <w:t> </w:t>
              </w:r>
              <w:r>
                <w:rPr>
                  <w:rFonts w:ascii="Times New Roman"/>
                  <w:color w:val="231F20"/>
                  <w:spacing w:val="-6"/>
                  <w:sz w:val="21"/>
                </w:rPr>
                <w:t>and</w:t>
              </w:r>
              <w:r>
                <w:rPr>
                  <w:rFonts w:ascii="Times New Roman"/>
                  <w:color w:val="231F20"/>
                  <w:spacing w:val="-10"/>
                  <w:sz w:val="21"/>
                </w:rPr>
                <w:t> </w:t>
              </w:r>
              <w:r>
                <w:rPr>
                  <w:rFonts w:ascii="Times New Roman"/>
                  <w:color w:val="231F20"/>
                  <w:spacing w:val="-6"/>
                  <w:sz w:val="21"/>
                </w:rPr>
                <w:t>2012</w:t>
              </w:r>
              <w:r>
                <w:rPr>
                  <w:rFonts w:ascii="Times New Roman"/>
                  <w:color w:val="231F20"/>
                  <w:sz w:val="21"/>
                </w:rPr>
                <w:tab/>
              </w:r>
              <w:r>
                <w:rPr>
                  <w:rFonts w:ascii="Times New Roman"/>
                  <w:color w:val="231F20"/>
                  <w:spacing w:val="-5"/>
                  <w:sz w:val="21"/>
                </w:rPr>
                <w:t>54</w:t>
              </w:r>
            </w:hyperlink>
          </w:p>
          <w:p>
            <w:pPr>
              <w:pStyle w:val="TableParagraph"/>
              <w:tabs>
                <w:tab w:pos="4122" w:val="right" w:leader="none"/>
              </w:tabs>
              <w:spacing w:before="29"/>
              <w:ind w:left="63"/>
              <w:jc w:val="left"/>
              <w:rPr>
                <w:rFonts w:ascii="Times New Roman"/>
                <w:sz w:val="21"/>
              </w:rPr>
            </w:pPr>
            <w:r>
              <w:rPr>
                <w:rFonts w:ascii="Times New Roman"/>
                <w:color w:val="231F20"/>
                <w:w w:val="90"/>
                <w:sz w:val="21"/>
              </w:rPr>
              <w:t>The</w:t>
            </w:r>
            <w:r>
              <w:rPr>
                <w:rFonts w:ascii="Times New Roman"/>
                <w:color w:val="231F20"/>
                <w:spacing w:val="5"/>
                <w:sz w:val="21"/>
              </w:rPr>
              <w:t> </w:t>
            </w:r>
            <w:r>
              <w:rPr>
                <w:rFonts w:ascii="Times New Roman"/>
                <w:color w:val="231F20"/>
                <w:w w:val="90"/>
                <w:sz w:val="21"/>
              </w:rPr>
              <w:t>postal</w:t>
            </w:r>
            <w:r>
              <w:rPr>
                <w:rFonts w:ascii="Times New Roman"/>
                <w:color w:val="231F20"/>
                <w:spacing w:val="5"/>
                <w:sz w:val="21"/>
              </w:rPr>
              <w:t> </w:t>
            </w:r>
            <w:r>
              <w:rPr>
                <w:rFonts w:ascii="Times New Roman"/>
                <w:color w:val="231F20"/>
                <w:w w:val="90"/>
                <w:sz w:val="21"/>
              </w:rPr>
              <w:t>sequence</w:t>
            </w:r>
            <w:r>
              <w:rPr>
                <w:rFonts w:ascii="Times New Roman"/>
                <w:color w:val="231F20"/>
                <w:spacing w:val="5"/>
                <w:sz w:val="21"/>
              </w:rPr>
              <w:t> </w:t>
            </w:r>
            <w:r>
              <w:rPr>
                <w:rFonts w:ascii="Times New Roman"/>
                <w:color w:val="231F20"/>
                <w:w w:val="90"/>
                <w:sz w:val="21"/>
              </w:rPr>
              <w:t>of</w:t>
            </w:r>
            <w:r>
              <w:rPr>
                <w:rFonts w:ascii="Times New Roman"/>
                <w:color w:val="231F20"/>
                <w:spacing w:val="5"/>
                <w:sz w:val="21"/>
              </w:rPr>
              <w:t> </w:t>
            </w:r>
            <w:r>
              <w:rPr>
                <w:rFonts w:ascii="Times New Roman"/>
                <w:color w:val="231F20"/>
                <w:w w:val="90"/>
                <w:sz w:val="21"/>
              </w:rPr>
              <w:t>tracking</w:t>
            </w:r>
            <w:r>
              <w:rPr>
                <w:rFonts w:ascii="Times New Roman"/>
                <w:color w:val="231F20"/>
                <w:spacing w:val="5"/>
                <w:sz w:val="21"/>
              </w:rPr>
              <w:t> </w:t>
            </w:r>
            <w:r>
              <w:rPr>
                <w:rFonts w:ascii="Times New Roman"/>
                <w:color w:val="231F20"/>
                <w:spacing w:val="-2"/>
                <w:w w:val="90"/>
                <w:sz w:val="21"/>
              </w:rPr>
              <w:t>messages</w:t>
            </w:r>
            <w:r>
              <w:rPr>
                <w:rFonts w:ascii="Times New Roman"/>
                <w:color w:val="231F20"/>
                <w:sz w:val="21"/>
              </w:rPr>
              <w:tab/>
            </w:r>
            <w:r>
              <w:rPr>
                <w:rFonts w:ascii="Times New Roman"/>
                <w:color w:val="231F20"/>
                <w:spacing w:val="-5"/>
                <w:sz w:val="21"/>
              </w:rPr>
              <w:t>57</w:t>
            </w:r>
          </w:p>
          <w:p>
            <w:pPr>
              <w:pStyle w:val="TableParagraph"/>
              <w:tabs>
                <w:tab w:pos="5747" w:val="right" w:leader="none"/>
              </w:tabs>
              <w:spacing w:before="28"/>
              <w:ind w:left="63"/>
              <w:jc w:val="left"/>
              <w:rPr>
                <w:rFonts w:ascii="Times New Roman"/>
                <w:sz w:val="21"/>
              </w:rPr>
            </w:pPr>
            <w:r>
              <w:rPr>
                <w:rFonts w:ascii="Times New Roman"/>
                <w:color w:val="231F20"/>
                <w:w w:val="90"/>
                <w:sz w:val="21"/>
              </w:rPr>
              <w:t>List</w:t>
            </w:r>
            <w:r>
              <w:rPr>
                <w:rFonts w:ascii="Times New Roman"/>
                <w:color w:val="231F20"/>
                <w:spacing w:val="9"/>
                <w:sz w:val="21"/>
              </w:rPr>
              <w:t> </w:t>
            </w:r>
            <w:r>
              <w:rPr>
                <w:rFonts w:ascii="Times New Roman"/>
                <w:color w:val="231F20"/>
                <w:w w:val="90"/>
                <w:sz w:val="21"/>
              </w:rPr>
              <w:t>of</w:t>
            </w:r>
            <w:r>
              <w:rPr>
                <w:rFonts w:ascii="Times New Roman"/>
                <w:color w:val="231F20"/>
                <w:spacing w:val="10"/>
                <w:sz w:val="21"/>
              </w:rPr>
              <w:t> </w:t>
            </w:r>
            <w:r>
              <w:rPr>
                <w:rFonts w:ascii="Times New Roman"/>
                <w:color w:val="231F20"/>
                <w:w w:val="90"/>
                <w:sz w:val="21"/>
              </w:rPr>
              <w:t>key</w:t>
            </w:r>
            <w:r>
              <w:rPr>
                <w:rFonts w:ascii="Times New Roman"/>
                <w:color w:val="231F20"/>
                <w:spacing w:val="10"/>
                <w:sz w:val="21"/>
              </w:rPr>
              <w:t> </w:t>
            </w:r>
            <w:r>
              <w:rPr>
                <w:rFonts w:ascii="Times New Roman"/>
                <w:color w:val="231F20"/>
                <w:w w:val="90"/>
                <w:sz w:val="21"/>
              </w:rPr>
              <w:t>performance</w:t>
            </w:r>
            <w:r>
              <w:rPr>
                <w:rFonts w:ascii="Times New Roman"/>
                <w:color w:val="231F20"/>
                <w:spacing w:val="10"/>
                <w:sz w:val="21"/>
              </w:rPr>
              <w:t> </w:t>
            </w:r>
            <w:r>
              <w:rPr>
                <w:rFonts w:ascii="Times New Roman"/>
                <w:color w:val="231F20"/>
                <w:w w:val="90"/>
                <w:sz w:val="21"/>
              </w:rPr>
              <w:t>indicators</w:t>
            </w:r>
            <w:r>
              <w:rPr>
                <w:rFonts w:ascii="Times New Roman"/>
                <w:color w:val="231F20"/>
                <w:spacing w:val="10"/>
                <w:sz w:val="21"/>
              </w:rPr>
              <w:t> </w:t>
            </w:r>
            <w:r>
              <w:rPr>
                <w:rFonts w:ascii="Times New Roman"/>
                <w:color w:val="231F20"/>
                <w:w w:val="90"/>
                <w:sz w:val="21"/>
              </w:rPr>
              <w:t>derived</w:t>
            </w:r>
            <w:r>
              <w:rPr>
                <w:rFonts w:ascii="Times New Roman"/>
                <w:color w:val="231F20"/>
                <w:spacing w:val="10"/>
                <w:sz w:val="21"/>
              </w:rPr>
              <w:t> </w:t>
            </w:r>
            <w:r>
              <w:rPr>
                <w:rFonts w:ascii="Times New Roman"/>
                <w:color w:val="231F20"/>
                <w:w w:val="90"/>
                <w:sz w:val="21"/>
              </w:rPr>
              <w:t>from</w:t>
            </w:r>
            <w:r>
              <w:rPr>
                <w:rFonts w:ascii="Times New Roman"/>
                <w:color w:val="231F20"/>
                <w:spacing w:val="9"/>
                <w:sz w:val="21"/>
              </w:rPr>
              <w:t> </w:t>
            </w:r>
            <w:r>
              <w:rPr>
                <w:rFonts w:ascii="Times New Roman"/>
                <w:color w:val="231F20"/>
                <w:w w:val="90"/>
                <w:sz w:val="21"/>
              </w:rPr>
              <w:t>tracking</w:t>
            </w:r>
            <w:r>
              <w:rPr>
                <w:rFonts w:ascii="Times New Roman"/>
                <w:color w:val="231F20"/>
                <w:spacing w:val="10"/>
                <w:sz w:val="21"/>
              </w:rPr>
              <w:t> </w:t>
            </w:r>
            <w:r>
              <w:rPr>
                <w:rFonts w:ascii="Times New Roman"/>
                <w:color w:val="231F20"/>
                <w:spacing w:val="-4"/>
                <w:w w:val="90"/>
                <w:sz w:val="21"/>
              </w:rPr>
              <w:t>data</w:t>
            </w:r>
            <w:r>
              <w:rPr>
                <w:rFonts w:ascii="Times New Roman"/>
                <w:color w:val="231F20"/>
                <w:sz w:val="21"/>
              </w:rPr>
              <w:tab/>
            </w:r>
            <w:r>
              <w:rPr>
                <w:rFonts w:ascii="Times New Roman"/>
                <w:color w:val="231F20"/>
                <w:spacing w:val="-5"/>
                <w:sz w:val="21"/>
              </w:rPr>
              <w:t>61</w:t>
            </w:r>
          </w:p>
          <w:p>
            <w:pPr>
              <w:pStyle w:val="TableParagraph"/>
              <w:tabs>
                <w:tab w:pos="6046" w:val="right" w:leader="none"/>
              </w:tabs>
              <w:spacing w:before="29"/>
              <w:ind w:left="63"/>
              <w:jc w:val="left"/>
              <w:rPr>
                <w:rFonts w:ascii="Times New Roman"/>
                <w:sz w:val="21"/>
              </w:rPr>
            </w:pPr>
            <w:hyperlink w:history="true" w:anchor="_bookmark49">
              <w:r>
                <w:rPr>
                  <w:rFonts w:ascii="Times New Roman"/>
                  <w:color w:val="231F20"/>
                  <w:w w:val="90"/>
                  <w:sz w:val="21"/>
                </w:rPr>
                <w:t>Methodology</w:t>
              </w:r>
              <w:r>
                <w:rPr>
                  <w:rFonts w:ascii="Times New Roman"/>
                  <w:color w:val="231F20"/>
                  <w:spacing w:val="8"/>
                  <w:sz w:val="21"/>
                </w:rPr>
                <w:t> </w:t>
              </w:r>
              <w:r>
                <w:rPr>
                  <w:rFonts w:ascii="Times New Roman"/>
                  <w:color w:val="231F20"/>
                  <w:w w:val="90"/>
                  <w:sz w:val="21"/>
                </w:rPr>
                <w:t>for</w:t>
              </w:r>
              <w:r>
                <w:rPr>
                  <w:rFonts w:ascii="Times New Roman"/>
                  <w:color w:val="231F20"/>
                  <w:spacing w:val="8"/>
                  <w:sz w:val="21"/>
                </w:rPr>
                <w:t> </w:t>
              </w:r>
              <w:r>
                <w:rPr>
                  <w:rFonts w:ascii="Times New Roman"/>
                  <w:color w:val="231F20"/>
                  <w:w w:val="90"/>
                  <w:sz w:val="21"/>
                </w:rPr>
                <w:t>selecting</w:t>
              </w:r>
              <w:r>
                <w:rPr>
                  <w:rFonts w:ascii="Times New Roman"/>
                  <w:color w:val="231F20"/>
                  <w:spacing w:val="9"/>
                  <w:sz w:val="21"/>
                </w:rPr>
                <w:t> </w:t>
              </w:r>
              <w:r>
                <w:rPr>
                  <w:rFonts w:ascii="Times New Roman"/>
                  <w:color w:val="231F20"/>
                  <w:w w:val="90"/>
                  <w:sz w:val="21"/>
                </w:rPr>
                <w:t>country</w:t>
              </w:r>
              <w:r>
                <w:rPr>
                  <w:rFonts w:ascii="Times New Roman"/>
                  <w:color w:val="231F20"/>
                  <w:spacing w:val="8"/>
                  <w:sz w:val="21"/>
                </w:rPr>
                <w:t> </w:t>
              </w:r>
              <w:r>
                <w:rPr>
                  <w:rFonts w:ascii="Times New Roman"/>
                  <w:color w:val="231F20"/>
                  <w:w w:val="90"/>
                  <w:sz w:val="21"/>
                </w:rPr>
                <w:t>groups</w:t>
              </w:r>
              <w:r>
                <w:rPr>
                  <w:rFonts w:ascii="Times New Roman"/>
                  <w:color w:val="231F20"/>
                  <w:spacing w:val="9"/>
                  <w:sz w:val="21"/>
                </w:rPr>
                <w:t> </w:t>
              </w:r>
              <w:r>
                <w:rPr>
                  <w:rFonts w:ascii="Times New Roman"/>
                  <w:color w:val="231F20"/>
                  <w:w w:val="90"/>
                  <w:sz w:val="21"/>
                </w:rPr>
                <w:t>for</w:t>
              </w:r>
              <w:r>
                <w:rPr>
                  <w:rFonts w:ascii="Times New Roman"/>
                  <w:color w:val="231F20"/>
                  <w:spacing w:val="8"/>
                  <w:sz w:val="21"/>
                </w:rPr>
                <w:t> </w:t>
              </w:r>
              <w:r>
                <w:rPr>
                  <w:rFonts w:ascii="Times New Roman"/>
                  <w:color w:val="231F20"/>
                  <w:w w:val="90"/>
                  <w:sz w:val="21"/>
                </w:rPr>
                <w:t>survey</w:t>
              </w:r>
              <w:r>
                <w:rPr>
                  <w:rFonts w:ascii="Times New Roman"/>
                  <w:color w:val="231F20"/>
                  <w:spacing w:val="8"/>
                  <w:sz w:val="21"/>
                </w:rPr>
                <w:t> </w:t>
              </w:r>
              <w:r>
                <w:rPr>
                  <w:rFonts w:ascii="Times New Roman"/>
                  <w:color w:val="231F20"/>
                  <w:spacing w:val="-2"/>
                  <w:w w:val="90"/>
                  <w:sz w:val="21"/>
                </w:rPr>
                <w:t>respondents</w:t>
              </w:r>
              <w:r>
                <w:rPr>
                  <w:rFonts w:ascii="Times New Roman"/>
                  <w:color w:val="231F20"/>
                  <w:sz w:val="21"/>
                </w:rPr>
                <w:tab/>
              </w:r>
              <w:r>
                <w:rPr>
                  <w:rFonts w:ascii="Times New Roman"/>
                  <w:color w:val="231F20"/>
                  <w:spacing w:val="-5"/>
                  <w:sz w:val="21"/>
                </w:rPr>
                <w:t>62</w:t>
              </w:r>
            </w:hyperlink>
          </w:p>
          <w:p>
            <w:pPr>
              <w:pStyle w:val="TableParagraph"/>
              <w:tabs>
                <w:tab w:pos="6918" w:val="right" w:leader="none"/>
              </w:tabs>
              <w:spacing w:before="28"/>
              <w:ind w:left="63"/>
              <w:jc w:val="left"/>
              <w:rPr>
                <w:rFonts w:ascii="Times New Roman"/>
                <w:sz w:val="21"/>
              </w:rPr>
            </w:pPr>
            <w:r>
              <w:rPr>
                <w:rFonts w:ascii="Times New Roman"/>
                <w:color w:val="231F20"/>
                <w:spacing w:val="-6"/>
                <w:sz w:val="21"/>
              </w:rPr>
              <w:t>Results</w:t>
            </w:r>
            <w:r>
              <w:rPr>
                <w:rFonts w:ascii="Times New Roman"/>
                <w:color w:val="231F20"/>
                <w:spacing w:val="-4"/>
                <w:sz w:val="21"/>
              </w:rPr>
              <w:t> </w:t>
            </w:r>
            <w:r>
              <w:rPr>
                <w:rFonts w:ascii="Times New Roman"/>
                <w:color w:val="231F20"/>
                <w:spacing w:val="-6"/>
                <w:sz w:val="21"/>
              </w:rPr>
              <w:t>of</w:t>
            </w:r>
            <w:r>
              <w:rPr>
                <w:rFonts w:ascii="Times New Roman"/>
                <w:color w:val="231F20"/>
                <w:spacing w:val="-3"/>
                <w:sz w:val="21"/>
              </w:rPr>
              <w:t> </w:t>
            </w:r>
            <w:r>
              <w:rPr>
                <w:rFonts w:ascii="Times New Roman"/>
                <w:color w:val="231F20"/>
                <w:spacing w:val="-6"/>
                <w:sz w:val="21"/>
              </w:rPr>
              <w:t>principal</w:t>
            </w:r>
            <w:r>
              <w:rPr>
                <w:rFonts w:ascii="Times New Roman"/>
                <w:color w:val="231F20"/>
                <w:spacing w:val="-3"/>
                <w:sz w:val="21"/>
              </w:rPr>
              <w:t> </w:t>
            </w:r>
            <w:r>
              <w:rPr>
                <w:rFonts w:ascii="Times New Roman"/>
                <w:color w:val="231F20"/>
                <w:spacing w:val="-6"/>
                <w:sz w:val="21"/>
              </w:rPr>
              <w:t>component</w:t>
            </w:r>
            <w:r>
              <w:rPr>
                <w:rFonts w:ascii="Times New Roman"/>
                <w:color w:val="231F20"/>
                <w:spacing w:val="-3"/>
                <w:sz w:val="21"/>
              </w:rPr>
              <w:t> </w:t>
            </w:r>
            <w:r>
              <w:rPr>
                <w:rFonts w:ascii="Times New Roman"/>
                <w:color w:val="231F20"/>
                <w:spacing w:val="-6"/>
                <w:sz w:val="21"/>
              </w:rPr>
              <w:t>analysis</w:t>
            </w:r>
            <w:r>
              <w:rPr>
                <w:rFonts w:ascii="Times New Roman"/>
                <w:color w:val="231F20"/>
                <w:spacing w:val="-3"/>
                <w:sz w:val="21"/>
              </w:rPr>
              <w:t> </w:t>
            </w:r>
            <w:r>
              <w:rPr>
                <w:rFonts w:ascii="Times New Roman"/>
                <w:color w:val="231F20"/>
                <w:spacing w:val="-6"/>
                <w:sz w:val="21"/>
              </w:rPr>
              <w:t>for</w:t>
            </w:r>
            <w:r>
              <w:rPr>
                <w:rFonts w:ascii="Times New Roman"/>
                <w:color w:val="231F20"/>
                <w:spacing w:val="-3"/>
                <w:sz w:val="21"/>
              </w:rPr>
              <w:t> </w:t>
            </w:r>
            <w:r>
              <w:rPr>
                <w:rFonts w:ascii="Times New Roman"/>
                <w:color w:val="231F20"/>
                <w:spacing w:val="-6"/>
                <w:sz w:val="21"/>
              </w:rPr>
              <w:t>the</w:t>
            </w:r>
            <w:r>
              <w:rPr>
                <w:rFonts w:ascii="Times New Roman"/>
                <w:color w:val="231F20"/>
                <w:spacing w:val="-3"/>
                <w:sz w:val="21"/>
              </w:rPr>
              <w:t> </w:t>
            </w:r>
            <w:r>
              <w:rPr>
                <w:rFonts w:ascii="Times New Roman"/>
                <w:color w:val="231F20"/>
                <w:spacing w:val="-6"/>
                <w:sz w:val="21"/>
              </w:rPr>
              <w:t>2023</w:t>
            </w:r>
            <w:r>
              <w:rPr>
                <w:rFonts w:ascii="Times New Roman"/>
                <w:color w:val="231F20"/>
                <w:spacing w:val="-3"/>
                <w:sz w:val="21"/>
              </w:rPr>
              <w:t> </w:t>
            </w:r>
            <w:r>
              <w:rPr>
                <w:rFonts w:ascii="Times New Roman"/>
                <w:color w:val="231F20"/>
                <w:spacing w:val="-6"/>
                <w:sz w:val="21"/>
              </w:rPr>
              <w:t>international</w:t>
            </w:r>
            <w:r>
              <w:rPr>
                <w:rFonts w:ascii="Times New Roman"/>
                <w:color w:val="231F20"/>
                <w:spacing w:val="-4"/>
                <w:sz w:val="21"/>
              </w:rPr>
              <w:t> </w:t>
            </w:r>
            <w:r>
              <w:rPr>
                <w:rFonts w:ascii="Times New Roman"/>
                <w:color w:val="231F20"/>
                <w:spacing w:val="-6"/>
                <w:sz w:val="21"/>
              </w:rPr>
              <w:t>LPI</w:t>
            </w:r>
            <w:r>
              <w:rPr>
                <w:rFonts w:ascii="Times New Roman"/>
                <w:color w:val="231F20"/>
                <w:spacing w:val="-3"/>
                <w:sz w:val="21"/>
              </w:rPr>
              <w:t> </w:t>
            </w:r>
            <w:r>
              <w:rPr>
                <w:rFonts w:ascii="Times New Roman"/>
                <w:color w:val="231F20"/>
                <w:spacing w:val="-6"/>
                <w:sz w:val="21"/>
              </w:rPr>
              <w:t>score</w:t>
            </w:r>
            <w:r>
              <w:rPr>
                <w:rFonts w:ascii="Times New Roman"/>
                <w:color w:val="231F20"/>
                <w:sz w:val="21"/>
              </w:rPr>
              <w:tab/>
            </w:r>
            <w:r>
              <w:rPr>
                <w:rFonts w:ascii="Times New Roman"/>
                <w:color w:val="231F20"/>
                <w:spacing w:val="-5"/>
                <w:sz w:val="21"/>
              </w:rPr>
              <w:t>63</w:t>
            </w:r>
          </w:p>
          <w:p>
            <w:pPr>
              <w:pStyle w:val="TableParagraph"/>
              <w:tabs>
                <w:tab w:pos="5476" w:val="right" w:leader="none"/>
              </w:tabs>
              <w:spacing w:before="29"/>
              <w:ind w:left="63"/>
              <w:jc w:val="left"/>
              <w:rPr>
                <w:rFonts w:ascii="Times New Roman"/>
                <w:sz w:val="21"/>
              </w:rPr>
            </w:pPr>
            <w:r>
              <w:rPr>
                <w:rFonts w:ascii="Times New Roman"/>
                <w:color w:val="231F20"/>
                <w:spacing w:val="-4"/>
                <w:sz w:val="21"/>
              </w:rPr>
              <w:t>Component</w:t>
            </w:r>
            <w:r>
              <w:rPr>
                <w:rFonts w:ascii="Times New Roman"/>
                <w:color w:val="231F20"/>
                <w:spacing w:val="-8"/>
                <w:sz w:val="21"/>
              </w:rPr>
              <w:t> </w:t>
            </w:r>
            <w:r>
              <w:rPr>
                <w:rFonts w:ascii="Times New Roman"/>
                <w:color w:val="231F20"/>
                <w:spacing w:val="-4"/>
                <w:sz w:val="21"/>
              </w:rPr>
              <w:t>loadings</w:t>
            </w:r>
            <w:r>
              <w:rPr>
                <w:rFonts w:ascii="Times New Roman"/>
                <w:color w:val="231F20"/>
                <w:spacing w:val="-7"/>
                <w:sz w:val="21"/>
              </w:rPr>
              <w:t> </w:t>
            </w:r>
            <w:r>
              <w:rPr>
                <w:rFonts w:ascii="Times New Roman"/>
                <w:color w:val="231F20"/>
                <w:spacing w:val="-4"/>
                <w:sz w:val="21"/>
              </w:rPr>
              <w:t>for</w:t>
            </w:r>
            <w:r>
              <w:rPr>
                <w:rFonts w:ascii="Times New Roman"/>
                <w:color w:val="231F20"/>
                <w:spacing w:val="-7"/>
                <w:sz w:val="21"/>
              </w:rPr>
              <w:t> </w:t>
            </w:r>
            <w:r>
              <w:rPr>
                <w:rFonts w:ascii="Times New Roman"/>
                <w:color w:val="231F20"/>
                <w:spacing w:val="-4"/>
                <w:sz w:val="21"/>
              </w:rPr>
              <w:t>the</w:t>
            </w:r>
            <w:r>
              <w:rPr>
                <w:rFonts w:ascii="Times New Roman"/>
                <w:color w:val="231F20"/>
                <w:spacing w:val="-7"/>
                <w:sz w:val="21"/>
              </w:rPr>
              <w:t> </w:t>
            </w:r>
            <w:r>
              <w:rPr>
                <w:rFonts w:ascii="Times New Roman"/>
                <w:color w:val="231F20"/>
                <w:spacing w:val="-4"/>
                <w:sz w:val="21"/>
              </w:rPr>
              <w:t>2023</w:t>
            </w:r>
            <w:r>
              <w:rPr>
                <w:rFonts w:ascii="Times New Roman"/>
                <w:color w:val="231F20"/>
                <w:spacing w:val="-7"/>
                <w:sz w:val="21"/>
              </w:rPr>
              <w:t> </w:t>
            </w:r>
            <w:r>
              <w:rPr>
                <w:rFonts w:ascii="Times New Roman"/>
                <w:color w:val="231F20"/>
                <w:spacing w:val="-4"/>
                <w:sz w:val="21"/>
              </w:rPr>
              <w:t>international</w:t>
            </w:r>
            <w:r>
              <w:rPr>
                <w:rFonts w:ascii="Times New Roman"/>
                <w:color w:val="231F20"/>
                <w:spacing w:val="-7"/>
                <w:sz w:val="21"/>
              </w:rPr>
              <w:t> </w:t>
            </w:r>
            <w:r>
              <w:rPr>
                <w:rFonts w:ascii="Times New Roman"/>
                <w:color w:val="231F20"/>
                <w:spacing w:val="-4"/>
                <w:sz w:val="21"/>
              </w:rPr>
              <w:t>LPI</w:t>
            </w:r>
            <w:r>
              <w:rPr>
                <w:rFonts w:ascii="Times New Roman"/>
                <w:color w:val="231F20"/>
                <w:spacing w:val="-7"/>
                <w:sz w:val="21"/>
              </w:rPr>
              <w:t> </w:t>
            </w:r>
            <w:r>
              <w:rPr>
                <w:rFonts w:ascii="Times New Roman"/>
                <w:color w:val="231F20"/>
                <w:spacing w:val="-4"/>
                <w:sz w:val="21"/>
              </w:rPr>
              <w:t>score</w:t>
            </w:r>
            <w:r>
              <w:rPr>
                <w:rFonts w:ascii="Times New Roman"/>
                <w:color w:val="231F20"/>
                <w:sz w:val="21"/>
              </w:rPr>
              <w:tab/>
            </w:r>
            <w:r>
              <w:rPr>
                <w:rFonts w:ascii="Times New Roman"/>
                <w:color w:val="231F20"/>
                <w:spacing w:val="-5"/>
                <w:sz w:val="21"/>
              </w:rPr>
              <w:t>64</w:t>
            </w:r>
          </w:p>
        </w:tc>
        <w:tc>
          <w:tcPr>
            <w:tcW w:w="545" w:type="dxa"/>
          </w:tcPr>
          <w:p>
            <w:pPr>
              <w:pStyle w:val="TableParagraph"/>
              <w:spacing w:before="0"/>
              <w:ind w:right="66"/>
              <w:jc w:val="right"/>
              <w:rPr>
                <w:rFonts w:ascii="Times New Roman"/>
                <w:sz w:val="21"/>
              </w:rPr>
            </w:pPr>
            <w:hyperlink w:history="true" w:anchor="_bookmark46">
              <w:r>
                <w:rPr>
                  <w:rFonts w:ascii="Times New Roman"/>
                  <w:color w:val="231F20"/>
                  <w:spacing w:val="-5"/>
                  <w:sz w:val="21"/>
                </w:rPr>
                <w:t>53</w:t>
              </w:r>
            </w:hyperlink>
          </w:p>
        </w:tc>
      </w:tr>
    </w:tbl>
    <w:p>
      <w:pPr>
        <w:spacing w:after="0"/>
        <w:jc w:val="right"/>
        <w:rPr>
          <w:rFonts w:ascii="Times New Roman"/>
          <w:sz w:val="21"/>
        </w:rPr>
        <w:sectPr>
          <w:pgSz w:w="12240" w:h="15840"/>
          <w:pgMar w:header="0" w:footer="548" w:top="340" w:bottom="740" w:left="0" w:right="540"/>
        </w:sectPr>
      </w:pPr>
    </w:p>
    <w:p>
      <w:pPr>
        <w:pStyle w:val="Heading1"/>
        <w:spacing w:before="95"/>
        <w:ind w:left="3360"/>
      </w:pPr>
      <w:bookmarkStart w:name="_bookmark0" w:id="1"/>
      <w:bookmarkEnd w:id="1"/>
      <w:r>
        <w:rPr>
          <w:b w:val="0"/>
        </w:rPr>
      </w:r>
      <w:r>
        <w:rPr>
          <w:color w:val="231F20"/>
          <w:spacing w:val="-2"/>
          <w:w w:val="105"/>
        </w:rPr>
        <w:t>Acknowledgements</w:t>
      </w:r>
    </w:p>
    <w:p>
      <w:pPr>
        <w:pStyle w:val="BodyText"/>
        <w:rPr>
          <w:rFonts w:ascii="Arial"/>
          <w:b/>
          <w:sz w:val="14"/>
        </w:rPr>
      </w:pPr>
      <w:r>
        <w:rPr/>
        <mc:AlternateContent>
          <mc:Choice Requires="wps">
            <w:drawing>
              <wp:anchor distT="0" distB="0" distL="0" distR="0" allowOverlap="1" layoutInCell="1" locked="0" behindDoc="1" simplePos="0" relativeHeight="487592960">
                <wp:simplePos x="0" y="0"/>
                <wp:positionH relativeFrom="page">
                  <wp:posOffset>457200</wp:posOffset>
                </wp:positionH>
                <wp:positionV relativeFrom="paragraph">
                  <wp:posOffset>117499</wp:posOffset>
                </wp:positionV>
                <wp:extent cx="1524000" cy="171450"/>
                <wp:effectExtent l="0" t="0" r="0" b="0"/>
                <wp:wrapTopAndBottom/>
                <wp:docPr id="183" name="Graphic 183"/>
                <wp:cNvGraphicFramePr>
                  <a:graphicFrameLocks/>
                </wp:cNvGraphicFramePr>
                <a:graphic>
                  <a:graphicData uri="http://schemas.microsoft.com/office/word/2010/wordprocessingShape">
                    <wps:wsp>
                      <wps:cNvPr id="183" name="Graphic 183"/>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36pt;margin-top:9.251953pt;width:120pt;height:13.5pt;mso-position-horizontal-relative:page;mso-position-vertical-relative:paragraph;z-index:-15723520;mso-wrap-distance-left:0;mso-wrap-distance-right:0" id="docshape143"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593472">
                <wp:simplePos x="0" y="0"/>
                <wp:positionH relativeFrom="page">
                  <wp:posOffset>2133600</wp:posOffset>
                </wp:positionH>
                <wp:positionV relativeFrom="paragraph">
                  <wp:posOffset>117499</wp:posOffset>
                </wp:positionV>
                <wp:extent cx="4876800" cy="171450"/>
                <wp:effectExtent l="0" t="0" r="0" b="0"/>
                <wp:wrapTopAndBottom/>
                <wp:docPr id="184" name="Graphic 184"/>
                <wp:cNvGraphicFramePr>
                  <a:graphicFrameLocks/>
                </wp:cNvGraphicFramePr>
                <a:graphic>
                  <a:graphicData uri="http://schemas.microsoft.com/office/word/2010/wordprocessingShape">
                    <wps:wsp>
                      <wps:cNvPr id="184" name="Graphic 184"/>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68pt;margin-top:9.251953pt;width:384pt;height:13.5pt;mso-position-horizontal-relative:page;mso-position-vertical-relative:paragraph;z-index:-15723008;mso-wrap-distance-left:0;mso-wrap-distance-right:0" id="docshape144" filled="true" fillcolor="#c9dcf3" stroked="false">
                <v:fill type="solid"/>
                <w10:wrap type="topAndBottom"/>
              </v:rect>
            </w:pict>
          </mc:Fallback>
        </mc:AlternateConten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17"/>
        <w:rPr>
          <w:rFonts w:ascii="Arial"/>
          <w:b/>
          <w:sz w:val="20"/>
        </w:rPr>
      </w:pPr>
    </w:p>
    <w:p>
      <w:pPr>
        <w:spacing w:after="0"/>
        <w:rPr>
          <w:rFonts w:ascii="Arial"/>
          <w:sz w:val="20"/>
        </w:rPr>
        <w:sectPr>
          <w:pgSz w:w="12240" w:h="15840"/>
          <w:pgMar w:header="0" w:footer="548" w:top="1120" w:bottom="740" w:left="0" w:right="540"/>
        </w:sectPr>
      </w:pPr>
    </w:p>
    <w:p>
      <w:pPr>
        <w:pStyle w:val="BodyText"/>
        <w:spacing w:line="268" w:lineRule="auto" w:before="97"/>
        <w:ind w:left="3360"/>
        <w:jc w:val="both"/>
      </w:pPr>
      <w:r>
        <w:rPr>
          <w:color w:val="231F20"/>
          <w:spacing w:val="-4"/>
        </w:rPr>
        <w:t>This</w:t>
      </w:r>
      <w:r>
        <w:rPr>
          <w:color w:val="231F20"/>
          <w:spacing w:val="-10"/>
        </w:rPr>
        <w:t> </w:t>
      </w:r>
      <w:r>
        <w:rPr>
          <w:color w:val="231F20"/>
          <w:spacing w:val="-4"/>
        </w:rPr>
        <w:t>report</w:t>
      </w:r>
      <w:r>
        <w:rPr>
          <w:color w:val="231F20"/>
          <w:spacing w:val="-9"/>
        </w:rPr>
        <w:t> </w:t>
      </w:r>
      <w:r>
        <w:rPr>
          <w:color w:val="231F20"/>
          <w:spacing w:val="-4"/>
        </w:rPr>
        <w:t>was</w:t>
      </w:r>
      <w:r>
        <w:rPr>
          <w:color w:val="231F20"/>
          <w:spacing w:val="-9"/>
        </w:rPr>
        <w:t> </w:t>
      </w:r>
      <w:r>
        <w:rPr>
          <w:color w:val="231F20"/>
          <w:spacing w:val="-4"/>
        </w:rPr>
        <w:t>prepared</w:t>
      </w:r>
      <w:r>
        <w:rPr>
          <w:color w:val="231F20"/>
          <w:spacing w:val="-9"/>
        </w:rPr>
        <w:t> </w:t>
      </w:r>
      <w:r>
        <w:rPr>
          <w:color w:val="231F20"/>
          <w:spacing w:val="-4"/>
        </w:rPr>
        <w:t>by</w:t>
      </w:r>
      <w:r>
        <w:rPr>
          <w:color w:val="231F20"/>
          <w:spacing w:val="-9"/>
        </w:rPr>
        <w:t> </w:t>
      </w:r>
      <w:r>
        <w:rPr>
          <w:color w:val="231F20"/>
          <w:spacing w:val="-4"/>
        </w:rPr>
        <w:t>the</w:t>
      </w:r>
      <w:r>
        <w:rPr>
          <w:color w:val="231F20"/>
          <w:spacing w:val="-9"/>
        </w:rPr>
        <w:t> </w:t>
      </w:r>
      <w:r>
        <w:rPr>
          <w:color w:val="231F20"/>
          <w:spacing w:val="-4"/>
        </w:rPr>
        <w:t>World</w:t>
      </w:r>
      <w:r>
        <w:rPr>
          <w:color w:val="231F20"/>
          <w:spacing w:val="-9"/>
        </w:rPr>
        <w:t> </w:t>
      </w:r>
      <w:r>
        <w:rPr>
          <w:color w:val="231F20"/>
          <w:spacing w:val="-4"/>
        </w:rPr>
        <w:t>Bank’s </w:t>
      </w:r>
      <w:r>
        <w:rPr>
          <w:color w:val="231F20"/>
          <w:spacing w:val="-8"/>
        </w:rPr>
        <w:t>Global</w:t>
      </w:r>
      <w:r>
        <w:rPr>
          <w:color w:val="231F20"/>
          <w:spacing w:val="-2"/>
        </w:rPr>
        <w:t> </w:t>
      </w:r>
      <w:r>
        <w:rPr>
          <w:color w:val="231F20"/>
          <w:spacing w:val="-8"/>
        </w:rPr>
        <w:t>Trade</w:t>
      </w:r>
      <w:r>
        <w:rPr>
          <w:color w:val="231F20"/>
          <w:spacing w:val="-2"/>
        </w:rPr>
        <w:t> </w:t>
      </w:r>
      <w:r>
        <w:rPr>
          <w:color w:val="231F20"/>
          <w:spacing w:val="-8"/>
        </w:rPr>
        <w:t>and</w:t>
      </w:r>
      <w:r>
        <w:rPr>
          <w:color w:val="231F20"/>
          <w:spacing w:val="-2"/>
        </w:rPr>
        <w:t> </w:t>
      </w:r>
      <w:r>
        <w:rPr>
          <w:color w:val="231F20"/>
          <w:spacing w:val="-8"/>
        </w:rPr>
        <w:t>Regional</w:t>
      </w:r>
      <w:r>
        <w:rPr>
          <w:color w:val="231F20"/>
          <w:spacing w:val="-2"/>
        </w:rPr>
        <w:t> </w:t>
      </w:r>
      <w:r>
        <w:rPr>
          <w:color w:val="231F20"/>
          <w:spacing w:val="-8"/>
        </w:rPr>
        <w:t>Integration</w:t>
      </w:r>
      <w:r>
        <w:rPr>
          <w:color w:val="231F20"/>
          <w:spacing w:val="-2"/>
        </w:rPr>
        <w:t> </w:t>
      </w:r>
      <w:r>
        <w:rPr>
          <w:color w:val="231F20"/>
          <w:spacing w:val="-8"/>
        </w:rPr>
        <w:t>Team</w:t>
      </w:r>
      <w:r>
        <w:rPr>
          <w:color w:val="231F20"/>
          <w:spacing w:val="-2"/>
        </w:rPr>
        <w:t> </w:t>
      </w:r>
      <w:r>
        <w:rPr>
          <w:color w:val="231F20"/>
          <w:spacing w:val="-8"/>
        </w:rPr>
        <w:t>in the</w:t>
      </w:r>
      <w:r>
        <w:rPr>
          <w:color w:val="231F20"/>
        </w:rPr>
        <w:t> </w:t>
      </w:r>
      <w:r>
        <w:rPr>
          <w:color w:val="231F20"/>
          <w:spacing w:val="-8"/>
        </w:rPr>
        <w:t>Trade,</w:t>
      </w:r>
      <w:r>
        <w:rPr>
          <w:color w:val="231F20"/>
        </w:rPr>
        <w:t> </w:t>
      </w:r>
      <w:r>
        <w:rPr>
          <w:color w:val="231F20"/>
          <w:spacing w:val="-8"/>
        </w:rPr>
        <w:t>Investment,</w:t>
      </w:r>
      <w:r>
        <w:rPr>
          <w:color w:val="231F20"/>
        </w:rPr>
        <w:t> </w:t>
      </w:r>
      <w:r>
        <w:rPr>
          <w:color w:val="231F20"/>
          <w:spacing w:val="-8"/>
        </w:rPr>
        <w:t>and</w:t>
      </w:r>
      <w:r>
        <w:rPr>
          <w:color w:val="231F20"/>
        </w:rPr>
        <w:t> </w:t>
      </w:r>
      <w:r>
        <w:rPr>
          <w:color w:val="231F20"/>
          <w:spacing w:val="-8"/>
        </w:rPr>
        <w:t>Competition</w:t>
      </w:r>
      <w:r>
        <w:rPr>
          <w:color w:val="231F20"/>
        </w:rPr>
        <w:t> </w:t>
      </w:r>
      <w:r>
        <w:rPr>
          <w:color w:val="231F20"/>
          <w:spacing w:val="-8"/>
        </w:rPr>
        <w:t>Group, </w:t>
      </w:r>
      <w:r>
        <w:rPr>
          <w:color w:val="231F20"/>
          <w:spacing w:val="-6"/>
        </w:rPr>
        <w:t>under</w:t>
      </w:r>
      <w:r>
        <w:rPr>
          <w:color w:val="231F20"/>
          <w:spacing w:val="-8"/>
        </w:rPr>
        <w:t> </w:t>
      </w:r>
      <w:r>
        <w:rPr>
          <w:color w:val="231F20"/>
          <w:spacing w:val="-6"/>
        </w:rPr>
        <w:t>the</w:t>
      </w:r>
      <w:r>
        <w:rPr>
          <w:color w:val="231F20"/>
          <w:spacing w:val="-7"/>
        </w:rPr>
        <w:t> </w:t>
      </w:r>
      <w:r>
        <w:rPr>
          <w:color w:val="231F20"/>
          <w:spacing w:val="-6"/>
        </w:rPr>
        <w:t>guidance</w:t>
      </w:r>
      <w:r>
        <w:rPr>
          <w:color w:val="231F20"/>
          <w:spacing w:val="-7"/>
        </w:rPr>
        <w:t> </w:t>
      </w:r>
      <w:r>
        <w:rPr>
          <w:color w:val="231F20"/>
          <w:spacing w:val="-6"/>
        </w:rPr>
        <w:t>of</w:t>
      </w:r>
      <w:r>
        <w:rPr>
          <w:color w:val="231F20"/>
          <w:spacing w:val="-7"/>
        </w:rPr>
        <w:t> </w:t>
      </w:r>
      <w:r>
        <w:rPr>
          <w:color w:val="231F20"/>
          <w:spacing w:val="-6"/>
        </w:rPr>
        <w:t>Mona</w:t>
      </w:r>
      <w:r>
        <w:rPr>
          <w:color w:val="231F20"/>
          <w:spacing w:val="-7"/>
        </w:rPr>
        <w:t> </w:t>
      </w:r>
      <w:r>
        <w:rPr>
          <w:color w:val="231F20"/>
          <w:spacing w:val="-6"/>
        </w:rPr>
        <w:t>Haddad</w:t>
      </w:r>
      <w:r>
        <w:rPr>
          <w:color w:val="231F20"/>
          <w:spacing w:val="-7"/>
        </w:rPr>
        <w:t> </w:t>
      </w:r>
      <w:r>
        <w:rPr>
          <w:color w:val="231F20"/>
          <w:spacing w:val="-6"/>
        </w:rPr>
        <w:t>(Director) </w:t>
      </w:r>
      <w:r>
        <w:rPr>
          <w:color w:val="231F20"/>
          <w:spacing w:val="-4"/>
        </w:rPr>
        <w:t>and</w:t>
      </w:r>
      <w:r>
        <w:rPr>
          <w:color w:val="231F20"/>
          <w:spacing w:val="-10"/>
        </w:rPr>
        <w:t> </w:t>
      </w:r>
      <w:r>
        <w:rPr>
          <w:color w:val="231F20"/>
          <w:spacing w:val="-4"/>
        </w:rPr>
        <w:t>Sébastien</w:t>
      </w:r>
      <w:r>
        <w:rPr>
          <w:color w:val="231F20"/>
          <w:spacing w:val="-9"/>
        </w:rPr>
        <w:t> </w:t>
      </w:r>
      <w:r>
        <w:rPr>
          <w:color w:val="231F20"/>
          <w:spacing w:val="-4"/>
        </w:rPr>
        <w:t>Dessus</w:t>
      </w:r>
      <w:r>
        <w:rPr>
          <w:color w:val="231F20"/>
          <w:spacing w:val="-9"/>
        </w:rPr>
        <w:t> </w:t>
      </w:r>
      <w:r>
        <w:rPr>
          <w:color w:val="231F20"/>
          <w:spacing w:val="-4"/>
        </w:rPr>
        <w:t>(Practice</w:t>
      </w:r>
      <w:r>
        <w:rPr>
          <w:color w:val="231F20"/>
          <w:spacing w:val="-9"/>
        </w:rPr>
        <w:t> </w:t>
      </w:r>
      <w:r>
        <w:rPr>
          <w:color w:val="231F20"/>
          <w:spacing w:val="-4"/>
        </w:rPr>
        <w:t>Manager).</w:t>
      </w:r>
      <w:r>
        <w:rPr>
          <w:color w:val="231F20"/>
          <w:spacing w:val="-9"/>
        </w:rPr>
        <w:t> </w:t>
      </w:r>
      <w:r>
        <w:rPr>
          <w:color w:val="231F20"/>
          <w:spacing w:val="-4"/>
        </w:rPr>
        <w:t>The </w:t>
      </w:r>
      <w:r>
        <w:rPr>
          <w:color w:val="231F20"/>
        </w:rPr>
        <w:t>project</w:t>
      </w:r>
      <w:r>
        <w:rPr>
          <w:color w:val="231F20"/>
          <w:spacing w:val="-5"/>
        </w:rPr>
        <w:t> </w:t>
      </w:r>
      <w:r>
        <w:rPr>
          <w:color w:val="231F20"/>
        </w:rPr>
        <w:t>leaders</w:t>
      </w:r>
      <w:r>
        <w:rPr>
          <w:color w:val="231F20"/>
          <w:spacing w:val="-5"/>
        </w:rPr>
        <w:t> </w:t>
      </w:r>
      <w:r>
        <w:rPr>
          <w:color w:val="231F20"/>
        </w:rPr>
        <w:t>were</w:t>
      </w:r>
      <w:r>
        <w:rPr>
          <w:color w:val="231F20"/>
          <w:spacing w:val="-5"/>
        </w:rPr>
        <w:t> </w:t>
      </w:r>
      <w:r>
        <w:rPr>
          <w:color w:val="231F20"/>
        </w:rPr>
        <w:t>Christina</w:t>
      </w:r>
      <w:r>
        <w:rPr>
          <w:color w:val="231F20"/>
          <w:spacing w:val="-5"/>
        </w:rPr>
        <w:t> </w:t>
      </w:r>
      <w:r>
        <w:rPr>
          <w:color w:val="231F20"/>
        </w:rPr>
        <w:t>Wiederer</w:t>
      </w:r>
      <w:r>
        <w:rPr>
          <w:color w:val="231F20"/>
          <w:spacing w:val="-5"/>
        </w:rPr>
        <w:t> </w:t>
      </w:r>
      <w:r>
        <w:rPr>
          <w:color w:val="231F20"/>
        </w:rPr>
        <w:t>and Jean-François</w:t>
      </w:r>
      <w:r>
        <w:rPr>
          <w:color w:val="231F20"/>
          <w:spacing w:val="-11"/>
        </w:rPr>
        <w:t> </w:t>
      </w:r>
      <w:r>
        <w:rPr>
          <w:color w:val="231F20"/>
        </w:rPr>
        <w:t>Arvis.</w:t>
      </w:r>
      <w:r>
        <w:rPr>
          <w:color w:val="231F20"/>
          <w:spacing w:val="-11"/>
        </w:rPr>
        <w:t> </w:t>
      </w:r>
      <w:r>
        <w:rPr>
          <w:color w:val="231F20"/>
        </w:rPr>
        <w:t>The</w:t>
      </w:r>
      <w:r>
        <w:rPr>
          <w:color w:val="231F20"/>
          <w:spacing w:val="-11"/>
        </w:rPr>
        <w:t> </w:t>
      </w:r>
      <w:r>
        <w:rPr>
          <w:color w:val="231F20"/>
        </w:rPr>
        <w:t>other</w:t>
      </w:r>
      <w:r>
        <w:rPr>
          <w:color w:val="231F20"/>
          <w:spacing w:val="-11"/>
        </w:rPr>
        <w:t> </w:t>
      </w:r>
      <w:r>
        <w:rPr>
          <w:color w:val="231F20"/>
        </w:rPr>
        <w:t>authors</w:t>
      </w:r>
      <w:r>
        <w:rPr>
          <w:color w:val="231F20"/>
          <w:spacing w:val="-11"/>
        </w:rPr>
        <w:t> </w:t>
      </w:r>
      <w:r>
        <w:rPr>
          <w:color w:val="231F20"/>
        </w:rPr>
        <w:t>were Professor</w:t>
      </w:r>
      <w:r>
        <w:rPr>
          <w:color w:val="231F20"/>
          <w:spacing w:val="-13"/>
        </w:rPr>
        <w:t> </w:t>
      </w:r>
      <w:r>
        <w:rPr>
          <w:color w:val="231F20"/>
        </w:rPr>
        <w:t>Lauri</w:t>
      </w:r>
      <w:r>
        <w:rPr>
          <w:color w:val="231F20"/>
          <w:spacing w:val="-13"/>
        </w:rPr>
        <w:t> </w:t>
      </w:r>
      <w:r>
        <w:rPr>
          <w:color w:val="231F20"/>
        </w:rPr>
        <w:t>Ojala</w:t>
      </w:r>
      <w:r>
        <w:rPr>
          <w:color w:val="231F20"/>
          <w:spacing w:val="-13"/>
        </w:rPr>
        <w:t> </w:t>
      </w:r>
      <w:r>
        <w:rPr>
          <w:color w:val="231F20"/>
        </w:rPr>
        <w:t>(Turku</w:t>
      </w:r>
      <w:r>
        <w:rPr>
          <w:color w:val="231F20"/>
          <w:spacing w:val="-13"/>
        </w:rPr>
        <w:t> </w:t>
      </w:r>
      <w:r>
        <w:rPr>
          <w:color w:val="231F20"/>
        </w:rPr>
        <w:t>School</w:t>
      </w:r>
      <w:r>
        <w:rPr>
          <w:color w:val="231F20"/>
          <w:spacing w:val="-13"/>
        </w:rPr>
        <w:t> </w:t>
      </w:r>
      <w:r>
        <w:rPr>
          <w:color w:val="231F20"/>
        </w:rPr>
        <w:t>of</w:t>
      </w:r>
      <w:r>
        <w:rPr>
          <w:color w:val="231F20"/>
          <w:spacing w:val="-13"/>
        </w:rPr>
        <w:t> </w:t>
      </w:r>
      <w:r>
        <w:rPr>
          <w:color w:val="231F20"/>
        </w:rPr>
        <w:t>Eco- nomics, University of Turku, Finland), Ben </w:t>
      </w:r>
      <w:r>
        <w:rPr>
          <w:color w:val="231F20"/>
          <w:spacing w:val="-2"/>
        </w:rPr>
        <w:t>Shepherd</w:t>
      </w:r>
      <w:r>
        <w:rPr>
          <w:color w:val="231F20"/>
          <w:spacing w:val="-4"/>
        </w:rPr>
        <w:t> </w:t>
      </w:r>
      <w:r>
        <w:rPr>
          <w:color w:val="231F20"/>
          <w:spacing w:val="-2"/>
        </w:rPr>
        <w:t>(Principal,</w:t>
      </w:r>
      <w:r>
        <w:rPr>
          <w:color w:val="231F20"/>
          <w:spacing w:val="-4"/>
        </w:rPr>
        <w:t> </w:t>
      </w:r>
      <w:r>
        <w:rPr>
          <w:color w:val="231F20"/>
          <w:spacing w:val="-2"/>
        </w:rPr>
        <w:t>Developing</w:t>
      </w:r>
      <w:r>
        <w:rPr>
          <w:color w:val="231F20"/>
          <w:spacing w:val="-4"/>
        </w:rPr>
        <w:t> </w:t>
      </w:r>
      <w:r>
        <w:rPr>
          <w:color w:val="231F20"/>
          <w:spacing w:val="-2"/>
        </w:rPr>
        <w:t>Trade</w:t>
      </w:r>
      <w:r>
        <w:rPr>
          <w:color w:val="231F20"/>
          <w:spacing w:val="-4"/>
        </w:rPr>
        <w:t> </w:t>
      </w:r>
      <w:r>
        <w:rPr>
          <w:color w:val="231F20"/>
          <w:spacing w:val="-2"/>
        </w:rPr>
        <w:t>Con- </w:t>
      </w:r>
      <w:r>
        <w:rPr>
          <w:color w:val="231F20"/>
        </w:rPr>
        <w:t>sultants),</w:t>
      </w:r>
      <w:r>
        <w:rPr>
          <w:color w:val="231F20"/>
          <w:spacing w:val="-13"/>
        </w:rPr>
        <w:t> </w:t>
      </w:r>
      <w:r>
        <w:rPr>
          <w:color w:val="231F20"/>
        </w:rPr>
        <w:t>and</w:t>
      </w:r>
      <w:r>
        <w:rPr>
          <w:color w:val="231F20"/>
          <w:spacing w:val="-13"/>
        </w:rPr>
        <w:t> </w:t>
      </w:r>
      <w:r>
        <w:rPr>
          <w:color w:val="231F20"/>
        </w:rPr>
        <w:t>Daria</w:t>
      </w:r>
      <w:r>
        <w:rPr>
          <w:color w:val="231F20"/>
          <w:spacing w:val="-13"/>
        </w:rPr>
        <w:t> </w:t>
      </w:r>
      <w:r>
        <w:rPr>
          <w:color w:val="231F20"/>
        </w:rPr>
        <w:t>Ulybina</w:t>
      </w:r>
      <w:r>
        <w:rPr>
          <w:color w:val="231F20"/>
          <w:spacing w:val="-13"/>
        </w:rPr>
        <w:t> </w:t>
      </w:r>
      <w:r>
        <w:rPr>
          <w:color w:val="231F20"/>
        </w:rPr>
        <w:t>(World</w:t>
      </w:r>
      <w:r>
        <w:rPr>
          <w:color w:val="231F20"/>
          <w:spacing w:val="-13"/>
        </w:rPr>
        <w:t> </w:t>
      </w:r>
      <w:r>
        <w:rPr>
          <w:color w:val="231F20"/>
        </w:rPr>
        <w:t>Bank).</w:t>
      </w:r>
    </w:p>
    <w:p>
      <w:pPr>
        <w:pStyle w:val="BodyText"/>
        <w:spacing w:line="268" w:lineRule="auto"/>
        <w:ind w:left="3360" w:firstLine="300"/>
        <w:jc w:val="both"/>
      </w:pPr>
      <w:r>
        <w:rPr>
          <w:color w:val="231F20"/>
          <w:spacing w:val="-2"/>
        </w:rPr>
        <w:t>The</w:t>
      </w:r>
      <w:r>
        <w:rPr>
          <w:color w:val="231F20"/>
          <w:spacing w:val="-12"/>
        </w:rPr>
        <w:t> </w:t>
      </w:r>
      <w:r>
        <w:rPr>
          <w:color w:val="231F20"/>
          <w:spacing w:val="-2"/>
        </w:rPr>
        <w:t>authors</w:t>
      </w:r>
      <w:r>
        <w:rPr>
          <w:color w:val="231F20"/>
          <w:spacing w:val="-11"/>
        </w:rPr>
        <w:t> </w:t>
      </w:r>
      <w:r>
        <w:rPr>
          <w:color w:val="231F20"/>
          <w:spacing w:val="-2"/>
        </w:rPr>
        <w:t>thank</w:t>
      </w:r>
      <w:r>
        <w:rPr>
          <w:color w:val="231F20"/>
          <w:spacing w:val="-11"/>
        </w:rPr>
        <w:t> </w:t>
      </w:r>
      <w:r>
        <w:rPr>
          <w:color w:val="231F20"/>
          <w:spacing w:val="-2"/>
        </w:rPr>
        <w:t>the</w:t>
      </w:r>
      <w:r>
        <w:rPr>
          <w:color w:val="231F20"/>
          <w:spacing w:val="-11"/>
        </w:rPr>
        <w:t> </w:t>
      </w:r>
      <w:r>
        <w:rPr>
          <w:color w:val="231F20"/>
          <w:spacing w:val="-2"/>
        </w:rPr>
        <w:t>data</w:t>
      </w:r>
      <w:r>
        <w:rPr>
          <w:color w:val="231F20"/>
          <w:spacing w:val="-11"/>
        </w:rPr>
        <w:t> </w:t>
      </w:r>
      <w:r>
        <w:rPr>
          <w:color w:val="231F20"/>
          <w:spacing w:val="-2"/>
        </w:rPr>
        <w:t>partners</w:t>
      </w:r>
      <w:r>
        <w:rPr>
          <w:color w:val="231F20"/>
          <w:spacing w:val="-11"/>
        </w:rPr>
        <w:t> </w:t>
      </w:r>
      <w:r>
        <w:rPr>
          <w:color w:val="231F20"/>
          <w:spacing w:val="-2"/>
        </w:rPr>
        <w:t>of</w:t>
      </w:r>
      <w:r>
        <w:rPr>
          <w:color w:val="231F20"/>
          <w:spacing w:val="-11"/>
        </w:rPr>
        <w:t> </w:t>
      </w:r>
      <w:r>
        <w:rPr>
          <w:color w:val="231F20"/>
          <w:spacing w:val="-2"/>
        </w:rPr>
        <w:t>this </w:t>
      </w:r>
      <w:r>
        <w:rPr>
          <w:color w:val="231F20"/>
        </w:rPr>
        <w:t>edition,</w:t>
      </w:r>
      <w:r>
        <w:rPr>
          <w:color w:val="231F20"/>
          <w:spacing w:val="-6"/>
        </w:rPr>
        <w:t> </w:t>
      </w:r>
      <w:r>
        <w:rPr>
          <w:color w:val="231F20"/>
        </w:rPr>
        <w:t>which</w:t>
      </w:r>
      <w:r>
        <w:rPr>
          <w:color w:val="231F20"/>
          <w:spacing w:val="-6"/>
        </w:rPr>
        <w:t> </w:t>
      </w:r>
      <w:r>
        <w:rPr>
          <w:color w:val="231F20"/>
        </w:rPr>
        <w:t>for</w:t>
      </w:r>
      <w:r>
        <w:rPr>
          <w:color w:val="231F20"/>
          <w:spacing w:val="-6"/>
        </w:rPr>
        <w:t> </w:t>
      </w:r>
      <w:r>
        <w:rPr>
          <w:color w:val="231F20"/>
        </w:rPr>
        <w:t>the</w:t>
      </w:r>
      <w:r>
        <w:rPr>
          <w:color w:val="231F20"/>
          <w:spacing w:val="-6"/>
        </w:rPr>
        <w:t> </w:t>
      </w:r>
      <w:r>
        <w:rPr>
          <w:color w:val="231F20"/>
        </w:rPr>
        <w:t>first</w:t>
      </w:r>
      <w:r>
        <w:rPr>
          <w:color w:val="231F20"/>
          <w:spacing w:val="-6"/>
        </w:rPr>
        <w:t> </w:t>
      </w:r>
      <w:r>
        <w:rPr>
          <w:color w:val="231F20"/>
        </w:rPr>
        <w:t>time</w:t>
      </w:r>
      <w:r>
        <w:rPr>
          <w:color w:val="231F20"/>
          <w:spacing w:val="-6"/>
        </w:rPr>
        <w:t> </w:t>
      </w:r>
      <w:r>
        <w:rPr>
          <w:color w:val="231F20"/>
        </w:rPr>
        <w:t>incorporates actual</w:t>
      </w:r>
      <w:r>
        <w:rPr>
          <w:color w:val="231F20"/>
          <w:spacing w:val="-3"/>
        </w:rPr>
        <w:t> </w:t>
      </w:r>
      <w:r>
        <w:rPr>
          <w:color w:val="231F20"/>
        </w:rPr>
        <w:t>supply</w:t>
      </w:r>
      <w:r>
        <w:rPr>
          <w:color w:val="231F20"/>
          <w:spacing w:val="-3"/>
        </w:rPr>
        <w:t> </w:t>
      </w:r>
      <w:r>
        <w:rPr>
          <w:color w:val="231F20"/>
        </w:rPr>
        <w:t>chain</w:t>
      </w:r>
      <w:r>
        <w:rPr>
          <w:color w:val="231F20"/>
          <w:spacing w:val="-3"/>
        </w:rPr>
        <w:t> </w:t>
      </w:r>
      <w:r>
        <w:rPr>
          <w:color w:val="231F20"/>
        </w:rPr>
        <w:t>tracking</w:t>
      </w:r>
      <w:r>
        <w:rPr>
          <w:color w:val="231F20"/>
          <w:spacing w:val="-3"/>
        </w:rPr>
        <w:t> </w:t>
      </w:r>
      <w:r>
        <w:rPr>
          <w:color w:val="231F20"/>
        </w:rPr>
        <w:t>data:</w:t>
      </w:r>
    </w:p>
    <w:p>
      <w:pPr>
        <w:pStyle w:val="ListParagraph"/>
        <w:numPr>
          <w:ilvl w:val="0"/>
          <w:numId w:val="5"/>
        </w:numPr>
        <w:tabs>
          <w:tab w:pos="3659" w:val="left" w:leader="none"/>
        </w:tabs>
        <w:spacing w:line="240" w:lineRule="exact" w:before="0" w:after="0"/>
        <w:ind w:left="3659" w:right="0" w:hanging="299"/>
        <w:jc w:val="both"/>
        <w:rPr>
          <w:rFonts w:ascii="Times New Roman" w:hAnsi="Times New Roman"/>
          <w:sz w:val="21"/>
        </w:rPr>
      </w:pPr>
      <w:r>
        <w:rPr>
          <w:rFonts w:ascii="Times New Roman" w:hAnsi="Times New Roman"/>
          <w:color w:val="231F20"/>
          <w:w w:val="90"/>
          <w:sz w:val="21"/>
        </w:rPr>
        <w:t>Cargo</w:t>
      </w:r>
      <w:r>
        <w:rPr>
          <w:rFonts w:ascii="Times New Roman" w:hAnsi="Times New Roman"/>
          <w:color w:val="231F20"/>
          <w:spacing w:val="4"/>
          <w:sz w:val="21"/>
        </w:rPr>
        <w:t> </w:t>
      </w:r>
      <w:r>
        <w:rPr>
          <w:rFonts w:ascii="Times New Roman" w:hAnsi="Times New Roman"/>
          <w:color w:val="231F20"/>
          <w:w w:val="90"/>
          <w:sz w:val="21"/>
        </w:rPr>
        <w:t>iQ,</w:t>
      </w:r>
      <w:r>
        <w:rPr>
          <w:rFonts w:ascii="Times New Roman" w:hAnsi="Times New Roman"/>
          <w:color w:val="231F20"/>
          <w:spacing w:val="4"/>
          <w:sz w:val="21"/>
        </w:rPr>
        <w:t> </w:t>
      </w:r>
      <w:r>
        <w:rPr>
          <w:rFonts w:ascii="Times New Roman" w:hAnsi="Times New Roman"/>
          <w:color w:val="231F20"/>
          <w:w w:val="90"/>
          <w:sz w:val="21"/>
        </w:rPr>
        <w:t>especially</w:t>
      </w:r>
      <w:r>
        <w:rPr>
          <w:rFonts w:ascii="Times New Roman" w:hAnsi="Times New Roman"/>
          <w:color w:val="231F20"/>
          <w:spacing w:val="4"/>
          <w:sz w:val="21"/>
        </w:rPr>
        <w:t> </w:t>
      </w:r>
      <w:r>
        <w:rPr>
          <w:rFonts w:ascii="Times New Roman" w:hAnsi="Times New Roman"/>
          <w:color w:val="231F20"/>
          <w:w w:val="90"/>
          <w:sz w:val="21"/>
        </w:rPr>
        <w:t>Laura</w:t>
      </w:r>
      <w:r>
        <w:rPr>
          <w:rFonts w:ascii="Times New Roman" w:hAnsi="Times New Roman"/>
          <w:color w:val="231F20"/>
          <w:spacing w:val="4"/>
          <w:sz w:val="21"/>
        </w:rPr>
        <w:t> </w:t>
      </w:r>
      <w:r>
        <w:rPr>
          <w:rFonts w:ascii="Times New Roman" w:hAnsi="Times New Roman"/>
          <w:color w:val="231F20"/>
          <w:spacing w:val="-2"/>
          <w:w w:val="90"/>
          <w:sz w:val="21"/>
        </w:rPr>
        <w:t>Rodriguez.</w:t>
      </w:r>
    </w:p>
    <w:p>
      <w:pPr>
        <w:pStyle w:val="ListParagraph"/>
        <w:numPr>
          <w:ilvl w:val="0"/>
          <w:numId w:val="5"/>
        </w:numPr>
        <w:tabs>
          <w:tab w:pos="3659" w:val="left" w:leader="none"/>
        </w:tabs>
        <w:spacing w:line="240" w:lineRule="auto" w:before="3" w:after="0"/>
        <w:ind w:left="3659" w:right="0" w:hanging="299"/>
        <w:jc w:val="both"/>
        <w:rPr>
          <w:rFonts w:ascii="Times New Roman" w:hAnsi="Times New Roman"/>
          <w:sz w:val="21"/>
        </w:rPr>
      </w:pPr>
      <w:r>
        <w:rPr>
          <w:rFonts w:ascii="Times New Roman" w:hAnsi="Times New Roman"/>
          <w:color w:val="231F20"/>
          <w:spacing w:val="-2"/>
          <w:sz w:val="21"/>
        </w:rPr>
        <w:t>MarineTraffic.</w:t>
      </w:r>
    </w:p>
    <w:p>
      <w:pPr>
        <w:pStyle w:val="ListParagraph"/>
        <w:numPr>
          <w:ilvl w:val="0"/>
          <w:numId w:val="5"/>
        </w:numPr>
        <w:tabs>
          <w:tab w:pos="3660" w:val="left" w:leader="none"/>
        </w:tabs>
        <w:spacing w:line="268" w:lineRule="auto" w:before="9" w:after="0"/>
        <w:ind w:left="3660" w:right="1" w:hanging="300"/>
        <w:jc w:val="both"/>
        <w:rPr>
          <w:rFonts w:ascii="Times New Roman" w:hAnsi="Times New Roman"/>
          <w:sz w:val="21"/>
        </w:rPr>
      </w:pPr>
      <w:r>
        <w:rPr>
          <w:rFonts w:ascii="Times New Roman" w:hAnsi="Times New Roman"/>
          <w:color w:val="231F20"/>
          <w:sz w:val="21"/>
        </w:rPr>
        <w:t>MDS Transmodal, especially Antonella </w:t>
      </w:r>
      <w:r>
        <w:rPr>
          <w:rFonts w:ascii="Times New Roman" w:hAnsi="Times New Roman"/>
          <w:color w:val="231F20"/>
          <w:spacing w:val="-2"/>
          <w:sz w:val="21"/>
        </w:rPr>
        <w:t>Teodoro.</w:t>
      </w:r>
    </w:p>
    <w:p>
      <w:pPr>
        <w:pStyle w:val="ListParagraph"/>
        <w:numPr>
          <w:ilvl w:val="0"/>
          <w:numId w:val="5"/>
        </w:numPr>
        <w:tabs>
          <w:tab w:pos="3659" w:val="left" w:leader="none"/>
        </w:tabs>
        <w:spacing w:line="241" w:lineRule="exact" w:before="0" w:after="0"/>
        <w:ind w:left="3659" w:right="0" w:hanging="299"/>
        <w:jc w:val="both"/>
        <w:rPr>
          <w:rFonts w:ascii="Times New Roman" w:hAnsi="Times New Roman"/>
          <w:sz w:val="21"/>
        </w:rPr>
      </w:pPr>
      <w:r>
        <w:rPr>
          <w:rFonts w:ascii="Times New Roman" w:hAnsi="Times New Roman"/>
          <w:color w:val="231F20"/>
          <w:w w:val="90"/>
          <w:sz w:val="21"/>
        </w:rPr>
        <w:t>TradeLens,</w:t>
      </w:r>
      <w:r>
        <w:rPr>
          <w:rFonts w:ascii="Times New Roman" w:hAnsi="Times New Roman"/>
          <w:color w:val="231F20"/>
          <w:spacing w:val="10"/>
          <w:sz w:val="21"/>
        </w:rPr>
        <w:t> </w:t>
      </w:r>
      <w:r>
        <w:rPr>
          <w:rFonts w:ascii="Times New Roman" w:hAnsi="Times New Roman"/>
          <w:color w:val="231F20"/>
          <w:w w:val="90"/>
          <w:sz w:val="21"/>
        </w:rPr>
        <w:t>especially</w:t>
      </w:r>
      <w:r>
        <w:rPr>
          <w:rFonts w:ascii="Times New Roman" w:hAnsi="Times New Roman"/>
          <w:color w:val="231F20"/>
          <w:spacing w:val="10"/>
          <w:sz w:val="21"/>
        </w:rPr>
        <w:t> </w:t>
      </w:r>
      <w:r>
        <w:rPr>
          <w:rFonts w:ascii="Times New Roman" w:hAnsi="Times New Roman"/>
          <w:color w:val="231F20"/>
          <w:w w:val="90"/>
          <w:sz w:val="21"/>
        </w:rPr>
        <w:t>Daniel</w:t>
      </w:r>
      <w:r>
        <w:rPr>
          <w:rFonts w:ascii="Times New Roman" w:hAnsi="Times New Roman"/>
          <w:color w:val="231F20"/>
          <w:spacing w:val="10"/>
          <w:sz w:val="21"/>
        </w:rPr>
        <w:t> </w:t>
      </w:r>
      <w:r>
        <w:rPr>
          <w:rFonts w:ascii="Times New Roman" w:hAnsi="Times New Roman"/>
          <w:color w:val="231F20"/>
          <w:spacing w:val="-2"/>
          <w:w w:val="90"/>
          <w:sz w:val="21"/>
        </w:rPr>
        <w:t>Wilson.</w:t>
      </w:r>
    </w:p>
    <w:p>
      <w:pPr>
        <w:pStyle w:val="ListParagraph"/>
        <w:numPr>
          <w:ilvl w:val="0"/>
          <w:numId w:val="5"/>
        </w:numPr>
        <w:tabs>
          <w:tab w:pos="3659" w:val="left" w:leader="none"/>
        </w:tabs>
        <w:spacing w:line="268" w:lineRule="auto" w:before="8" w:after="0"/>
        <w:ind w:left="3360" w:right="0" w:firstLine="0"/>
        <w:jc w:val="right"/>
        <w:rPr>
          <w:rFonts w:ascii="Times New Roman" w:hAnsi="Times New Roman"/>
          <w:sz w:val="21"/>
        </w:rPr>
      </w:pPr>
      <w:r>
        <w:rPr>
          <w:rFonts w:ascii="Times New Roman" w:hAnsi="Times New Roman"/>
          <w:color w:val="231F20"/>
          <w:sz w:val="21"/>
        </w:rPr>
        <w:t>Universal</w:t>
      </w:r>
      <w:r>
        <w:rPr>
          <w:rFonts w:ascii="Times New Roman" w:hAnsi="Times New Roman"/>
          <w:color w:val="231F20"/>
          <w:spacing w:val="16"/>
          <w:sz w:val="21"/>
        </w:rPr>
        <w:t> </w:t>
      </w:r>
      <w:r>
        <w:rPr>
          <w:rFonts w:ascii="Times New Roman" w:hAnsi="Times New Roman"/>
          <w:color w:val="231F20"/>
          <w:sz w:val="21"/>
        </w:rPr>
        <w:t>Postal</w:t>
      </w:r>
      <w:r>
        <w:rPr>
          <w:rFonts w:ascii="Times New Roman" w:hAnsi="Times New Roman"/>
          <w:color w:val="231F20"/>
          <w:spacing w:val="16"/>
          <w:sz w:val="21"/>
        </w:rPr>
        <w:t> </w:t>
      </w:r>
      <w:r>
        <w:rPr>
          <w:rFonts w:ascii="Times New Roman" w:hAnsi="Times New Roman"/>
          <w:color w:val="231F20"/>
          <w:sz w:val="21"/>
        </w:rPr>
        <w:t>Union,</w:t>
      </w:r>
      <w:r>
        <w:rPr>
          <w:rFonts w:ascii="Times New Roman" w:hAnsi="Times New Roman"/>
          <w:color w:val="231F20"/>
          <w:spacing w:val="16"/>
          <w:sz w:val="21"/>
        </w:rPr>
        <w:t> </w:t>
      </w:r>
      <w:r>
        <w:rPr>
          <w:rFonts w:ascii="Times New Roman" w:hAnsi="Times New Roman"/>
          <w:color w:val="231F20"/>
          <w:sz w:val="21"/>
        </w:rPr>
        <w:t>especially</w:t>
      </w:r>
      <w:r>
        <w:rPr>
          <w:rFonts w:ascii="Times New Roman" w:hAnsi="Times New Roman"/>
          <w:color w:val="231F20"/>
          <w:spacing w:val="16"/>
          <w:sz w:val="21"/>
        </w:rPr>
        <w:t> </w:t>
      </w:r>
      <w:r>
        <w:rPr>
          <w:rFonts w:ascii="Times New Roman" w:hAnsi="Times New Roman"/>
          <w:color w:val="231F20"/>
          <w:sz w:val="21"/>
        </w:rPr>
        <w:t>José Anson,</w:t>
      </w:r>
      <w:r>
        <w:rPr>
          <w:rFonts w:ascii="Times New Roman" w:hAnsi="Times New Roman"/>
          <w:color w:val="231F20"/>
          <w:spacing w:val="-14"/>
          <w:sz w:val="21"/>
        </w:rPr>
        <w:t> </w:t>
      </w:r>
      <w:r>
        <w:rPr>
          <w:rFonts w:ascii="Times New Roman" w:hAnsi="Times New Roman"/>
          <w:color w:val="231F20"/>
          <w:sz w:val="21"/>
        </w:rPr>
        <w:t>Mauro</w:t>
      </w:r>
      <w:r>
        <w:rPr>
          <w:rFonts w:ascii="Times New Roman" w:hAnsi="Times New Roman"/>
          <w:color w:val="231F20"/>
          <w:spacing w:val="-13"/>
          <w:sz w:val="21"/>
        </w:rPr>
        <w:t> </w:t>
      </w:r>
      <w:r>
        <w:rPr>
          <w:rFonts w:ascii="Times New Roman" w:hAnsi="Times New Roman"/>
          <w:color w:val="231F20"/>
          <w:sz w:val="21"/>
        </w:rPr>
        <w:t>Boffa,</w:t>
      </w:r>
      <w:r>
        <w:rPr>
          <w:rFonts w:ascii="Times New Roman" w:hAnsi="Times New Roman"/>
          <w:color w:val="231F20"/>
          <w:spacing w:val="-13"/>
          <w:sz w:val="21"/>
        </w:rPr>
        <w:t> </w:t>
      </w:r>
      <w:r>
        <w:rPr>
          <w:rFonts w:ascii="Times New Roman" w:hAnsi="Times New Roman"/>
          <w:color w:val="231F20"/>
          <w:sz w:val="21"/>
        </w:rPr>
        <w:t>and</w:t>
      </w:r>
      <w:r>
        <w:rPr>
          <w:rFonts w:ascii="Times New Roman" w:hAnsi="Times New Roman"/>
          <w:color w:val="231F20"/>
          <w:spacing w:val="-13"/>
          <w:sz w:val="21"/>
        </w:rPr>
        <w:t> </w:t>
      </w:r>
      <w:r>
        <w:rPr>
          <w:rFonts w:ascii="Times New Roman" w:hAnsi="Times New Roman"/>
          <w:color w:val="231F20"/>
          <w:sz w:val="21"/>
        </w:rPr>
        <w:t>Fernão</w:t>
      </w:r>
      <w:r>
        <w:rPr>
          <w:rFonts w:ascii="Times New Roman" w:hAnsi="Times New Roman"/>
          <w:color w:val="231F20"/>
          <w:spacing w:val="-13"/>
          <w:sz w:val="21"/>
        </w:rPr>
        <w:t> </w:t>
      </w:r>
      <w:r>
        <w:rPr>
          <w:rFonts w:ascii="Times New Roman" w:hAnsi="Times New Roman"/>
          <w:color w:val="231F20"/>
          <w:sz w:val="21"/>
        </w:rPr>
        <w:t>de</w:t>
      </w:r>
      <w:r>
        <w:rPr>
          <w:rFonts w:ascii="Times New Roman" w:hAnsi="Times New Roman"/>
          <w:color w:val="231F20"/>
          <w:spacing w:val="-13"/>
          <w:sz w:val="21"/>
        </w:rPr>
        <w:t> </w:t>
      </w:r>
      <w:r>
        <w:rPr>
          <w:rFonts w:ascii="Times New Roman" w:hAnsi="Times New Roman"/>
          <w:color w:val="231F20"/>
          <w:sz w:val="21"/>
        </w:rPr>
        <w:t>Borba. The authors also thank Jan Hoffmann of</w:t>
      </w:r>
      <w:r>
        <w:rPr>
          <w:rFonts w:ascii="Times New Roman" w:hAnsi="Times New Roman"/>
          <w:color w:val="231F20"/>
          <w:spacing w:val="80"/>
          <w:sz w:val="21"/>
        </w:rPr>
        <w:t> </w:t>
      </w:r>
      <w:r>
        <w:rPr>
          <w:rFonts w:ascii="Times New Roman" w:hAnsi="Times New Roman"/>
          <w:color w:val="231F20"/>
          <w:sz w:val="21"/>
        </w:rPr>
        <w:t>the</w:t>
      </w:r>
      <w:r>
        <w:rPr>
          <w:rFonts w:ascii="Times New Roman" w:hAnsi="Times New Roman"/>
          <w:color w:val="231F20"/>
          <w:spacing w:val="-14"/>
          <w:sz w:val="21"/>
        </w:rPr>
        <w:t> </w:t>
      </w:r>
      <w:r>
        <w:rPr>
          <w:rFonts w:ascii="Times New Roman" w:hAnsi="Times New Roman"/>
          <w:color w:val="231F20"/>
          <w:sz w:val="21"/>
        </w:rPr>
        <w:t>United</w:t>
      </w:r>
      <w:r>
        <w:rPr>
          <w:rFonts w:ascii="Times New Roman" w:hAnsi="Times New Roman"/>
          <w:color w:val="231F20"/>
          <w:spacing w:val="-13"/>
          <w:sz w:val="21"/>
        </w:rPr>
        <w:t> </w:t>
      </w:r>
      <w:r>
        <w:rPr>
          <w:rFonts w:ascii="Times New Roman" w:hAnsi="Times New Roman"/>
          <w:color w:val="231F20"/>
          <w:sz w:val="21"/>
        </w:rPr>
        <w:t>Nations</w:t>
      </w:r>
      <w:r>
        <w:rPr>
          <w:rFonts w:ascii="Times New Roman" w:hAnsi="Times New Roman"/>
          <w:color w:val="231F20"/>
          <w:spacing w:val="-13"/>
          <w:sz w:val="21"/>
        </w:rPr>
        <w:t> </w:t>
      </w:r>
      <w:r>
        <w:rPr>
          <w:rFonts w:ascii="Times New Roman" w:hAnsi="Times New Roman"/>
          <w:color w:val="231F20"/>
          <w:sz w:val="21"/>
        </w:rPr>
        <w:t>Conference</w:t>
      </w:r>
      <w:r>
        <w:rPr>
          <w:rFonts w:ascii="Times New Roman" w:hAnsi="Times New Roman"/>
          <w:color w:val="231F20"/>
          <w:spacing w:val="-13"/>
          <w:sz w:val="21"/>
        </w:rPr>
        <w:t> </w:t>
      </w:r>
      <w:r>
        <w:rPr>
          <w:rFonts w:ascii="Times New Roman" w:hAnsi="Times New Roman"/>
          <w:color w:val="231F20"/>
          <w:sz w:val="21"/>
        </w:rPr>
        <w:t>on</w:t>
      </w:r>
      <w:r>
        <w:rPr>
          <w:rFonts w:ascii="Times New Roman" w:hAnsi="Times New Roman"/>
          <w:color w:val="231F20"/>
          <w:spacing w:val="-13"/>
          <w:sz w:val="21"/>
        </w:rPr>
        <w:t> </w:t>
      </w:r>
      <w:r>
        <w:rPr>
          <w:rFonts w:ascii="Times New Roman" w:hAnsi="Times New Roman"/>
          <w:color w:val="231F20"/>
          <w:sz w:val="21"/>
        </w:rPr>
        <w:t>Trade</w:t>
      </w:r>
      <w:r>
        <w:rPr>
          <w:rFonts w:ascii="Times New Roman" w:hAnsi="Times New Roman"/>
          <w:color w:val="231F20"/>
          <w:spacing w:val="-13"/>
          <w:sz w:val="21"/>
        </w:rPr>
        <w:t> </w:t>
      </w:r>
      <w:r>
        <w:rPr>
          <w:rFonts w:ascii="Times New Roman" w:hAnsi="Times New Roman"/>
          <w:color w:val="231F20"/>
          <w:sz w:val="21"/>
        </w:rPr>
        <w:t>and Development,</w:t>
      </w:r>
      <w:r>
        <w:rPr>
          <w:rFonts w:ascii="Times New Roman" w:hAnsi="Times New Roman"/>
          <w:color w:val="231F20"/>
          <w:spacing w:val="-13"/>
          <w:sz w:val="21"/>
        </w:rPr>
        <w:t> </w:t>
      </w:r>
      <w:r>
        <w:rPr>
          <w:rFonts w:ascii="Times New Roman" w:hAnsi="Times New Roman"/>
          <w:color w:val="231F20"/>
          <w:sz w:val="21"/>
        </w:rPr>
        <w:t>as</w:t>
      </w:r>
      <w:r>
        <w:rPr>
          <w:rFonts w:ascii="Times New Roman" w:hAnsi="Times New Roman"/>
          <w:color w:val="231F20"/>
          <w:spacing w:val="-13"/>
          <w:sz w:val="21"/>
        </w:rPr>
        <w:t> </w:t>
      </w:r>
      <w:r>
        <w:rPr>
          <w:rFonts w:ascii="Times New Roman" w:hAnsi="Times New Roman"/>
          <w:color w:val="231F20"/>
          <w:sz w:val="21"/>
        </w:rPr>
        <w:t>well</w:t>
      </w:r>
      <w:r>
        <w:rPr>
          <w:rFonts w:ascii="Times New Roman" w:hAnsi="Times New Roman"/>
          <w:color w:val="231F20"/>
          <w:spacing w:val="-12"/>
          <w:sz w:val="21"/>
        </w:rPr>
        <w:t> </w:t>
      </w:r>
      <w:r>
        <w:rPr>
          <w:rFonts w:ascii="Times New Roman" w:hAnsi="Times New Roman"/>
          <w:color w:val="231F20"/>
          <w:sz w:val="21"/>
        </w:rPr>
        <w:t>as</w:t>
      </w:r>
      <w:r>
        <w:rPr>
          <w:rFonts w:ascii="Times New Roman" w:hAnsi="Times New Roman"/>
          <w:color w:val="231F20"/>
          <w:spacing w:val="-13"/>
          <w:sz w:val="21"/>
        </w:rPr>
        <w:t> </w:t>
      </w:r>
      <w:r>
        <w:rPr>
          <w:rFonts w:ascii="Times New Roman" w:hAnsi="Times New Roman"/>
          <w:color w:val="231F20"/>
          <w:sz w:val="21"/>
        </w:rPr>
        <w:t>Martin</w:t>
      </w:r>
      <w:r>
        <w:rPr>
          <w:rFonts w:ascii="Times New Roman" w:hAnsi="Times New Roman"/>
          <w:color w:val="231F20"/>
          <w:spacing w:val="-12"/>
          <w:sz w:val="21"/>
        </w:rPr>
        <w:t> </w:t>
      </w:r>
      <w:r>
        <w:rPr>
          <w:rFonts w:ascii="Times New Roman" w:hAnsi="Times New Roman"/>
          <w:color w:val="231F20"/>
          <w:sz w:val="21"/>
        </w:rPr>
        <w:t>Humphreys, </w:t>
      </w:r>
      <w:r>
        <w:rPr>
          <w:rFonts w:ascii="Times New Roman" w:hAnsi="Times New Roman"/>
          <w:color w:val="231F20"/>
          <w:spacing w:val="-4"/>
          <w:sz w:val="21"/>
        </w:rPr>
        <w:t>Vincent</w:t>
      </w:r>
      <w:r>
        <w:rPr>
          <w:rFonts w:ascii="Times New Roman" w:hAnsi="Times New Roman"/>
          <w:color w:val="231F20"/>
          <w:spacing w:val="-9"/>
          <w:sz w:val="21"/>
        </w:rPr>
        <w:t> </w:t>
      </w:r>
      <w:r>
        <w:rPr>
          <w:rFonts w:ascii="Times New Roman" w:hAnsi="Times New Roman"/>
          <w:color w:val="231F20"/>
          <w:spacing w:val="-4"/>
          <w:sz w:val="21"/>
        </w:rPr>
        <w:t>Palmade,</w:t>
      </w:r>
      <w:r>
        <w:rPr>
          <w:rFonts w:ascii="Times New Roman" w:hAnsi="Times New Roman"/>
          <w:color w:val="231F20"/>
          <w:spacing w:val="-9"/>
          <w:sz w:val="21"/>
        </w:rPr>
        <w:t> </w:t>
      </w:r>
      <w:r>
        <w:rPr>
          <w:rFonts w:ascii="Times New Roman" w:hAnsi="Times New Roman"/>
          <w:color w:val="231F20"/>
          <w:spacing w:val="-4"/>
          <w:sz w:val="21"/>
        </w:rPr>
        <w:t>and</w:t>
      </w:r>
      <w:r>
        <w:rPr>
          <w:rFonts w:ascii="Times New Roman" w:hAnsi="Times New Roman"/>
          <w:color w:val="231F20"/>
          <w:spacing w:val="-9"/>
          <w:sz w:val="21"/>
        </w:rPr>
        <w:t> </w:t>
      </w:r>
      <w:r>
        <w:rPr>
          <w:rFonts w:ascii="Times New Roman" w:hAnsi="Times New Roman"/>
          <w:color w:val="231F20"/>
          <w:spacing w:val="-4"/>
          <w:sz w:val="21"/>
        </w:rPr>
        <w:t>Umar</w:t>
      </w:r>
      <w:r>
        <w:rPr>
          <w:rFonts w:ascii="Times New Roman" w:hAnsi="Times New Roman"/>
          <w:color w:val="231F20"/>
          <w:spacing w:val="-9"/>
          <w:sz w:val="21"/>
        </w:rPr>
        <w:t> </w:t>
      </w:r>
      <w:r>
        <w:rPr>
          <w:rFonts w:ascii="Times New Roman" w:hAnsi="Times New Roman"/>
          <w:color w:val="231F20"/>
          <w:spacing w:val="-4"/>
          <w:sz w:val="21"/>
        </w:rPr>
        <w:t>Serajuddin</w:t>
      </w:r>
      <w:r>
        <w:rPr>
          <w:rFonts w:ascii="Times New Roman" w:hAnsi="Times New Roman"/>
          <w:color w:val="231F20"/>
          <w:spacing w:val="-9"/>
          <w:sz w:val="21"/>
        </w:rPr>
        <w:t> </w:t>
      </w:r>
      <w:r>
        <w:rPr>
          <w:rFonts w:ascii="Times New Roman" w:hAnsi="Times New Roman"/>
          <w:color w:val="231F20"/>
          <w:spacing w:val="-4"/>
          <w:sz w:val="21"/>
        </w:rPr>
        <w:t>of</w:t>
      </w:r>
      <w:r>
        <w:rPr>
          <w:rFonts w:ascii="Times New Roman" w:hAnsi="Times New Roman"/>
          <w:color w:val="231F20"/>
          <w:spacing w:val="-9"/>
          <w:sz w:val="21"/>
        </w:rPr>
        <w:t> </w:t>
      </w:r>
      <w:r>
        <w:rPr>
          <w:rFonts w:ascii="Times New Roman" w:hAnsi="Times New Roman"/>
          <w:color w:val="231F20"/>
          <w:spacing w:val="-4"/>
          <w:sz w:val="21"/>
        </w:rPr>
        <w:t>the </w:t>
      </w:r>
      <w:r>
        <w:rPr>
          <w:rFonts w:ascii="Times New Roman" w:hAnsi="Times New Roman"/>
          <w:color w:val="231F20"/>
          <w:spacing w:val="-2"/>
          <w:sz w:val="21"/>
        </w:rPr>
        <w:t>World</w:t>
      </w:r>
      <w:r>
        <w:rPr>
          <w:rFonts w:ascii="Times New Roman" w:hAnsi="Times New Roman"/>
          <w:color w:val="231F20"/>
          <w:spacing w:val="-9"/>
          <w:sz w:val="21"/>
        </w:rPr>
        <w:t> </w:t>
      </w:r>
      <w:r>
        <w:rPr>
          <w:rFonts w:ascii="Times New Roman" w:hAnsi="Times New Roman"/>
          <w:color w:val="231F20"/>
          <w:spacing w:val="-2"/>
          <w:sz w:val="21"/>
        </w:rPr>
        <w:t>Bank,</w:t>
      </w:r>
      <w:r>
        <w:rPr>
          <w:rFonts w:ascii="Times New Roman" w:hAnsi="Times New Roman"/>
          <w:color w:val="231F20"/>
          <w:spacing w:val="-9"/>
          <w:sz w:val="21"/>
        </w:rPr>
        <w:t> </w:t>
      </w:r>
      <w:r>
        <w:rPr>
          <w:rFonts w:ascii="Times New Roman" w:hAnsi="Times New Roman"/>
          <w:color w:val="231F20"/>
          <w:spacing w:val="-2"/>
          <w:sz w:val="21"/>
        </w:rPr>
        <w:t>the</w:t>
      </w:r>
      <w:r>
        <w:rPr>
          <w:rFonts w:ascii="Times New Roman" w:hAnsi="Times New Roman"/>
          <w:color w:val="231F20"/>
          <w:spacing w:val="-9"/>
          <w:sz w:val="21"/>
        </w:rPr>
        <w:t> </w:t>
      </w:r>
      <w:r>
        <w:rPr>
          <w:rFonts w:ascii="Times New Roman" w:hAnsi="Times New Roman"/>
          <w:color w:val="231F20"/>
          <w:spacing w:val="-2"/>
          <w:sz w:val="21"/>
        </w:rPr>
        <w:t>peer</w:t>
      </w:r>
      <w:r>
        <w:rPr>
          <w:rFonts w:ascii="Times New Roman" w:hAnsi="Times New Roman"/>
          <w:color w:val="231F20"/>
          <w:spacing w:val="-9"/>
          <w:sz w:val="21"/>
        </w:rPr>
        <w:t> </w:t>
      </w:r>
      <w:r>
        <w:rPr>
          <w:rFonts w:ascii="Times New Roman" w:hAnsi="Times New Roman"/>
          <w:color w:val="231F20"/>
          <w:spacing w:val="-2"/>
          <w:sz w:val="21"/>
        </w:rPr>
        <w:t>reviewers</w:t>
      </w:r>
      <w:r>
        <w:rPr>
          <w:rFonts w:ascii="Times New Roman" w:hAnsi="Times New Roman"/>
          <w:color w:val="231F20"/>
          <w:spacing w:val="-9"/>
          <w:sz w:val="21"/>
        </w:rPr>
        <w:t> </w:t>
      </w:r>
      <w:r>
        <w:rPr>
          <w:rFonts w:ascii="Times New Roman" w:hAnsi="Times New Roman"/>
          <w:color w:val="231F20"/>
          <w:spacing w:val="-2"/>
          <w:sz w:val="21"/>
        </w:rPr>
        <w:t>of</w:t>
      </w:r>
      <w:r>
        <w:rPr>
          <w:rFonts w:ascii="Times New Roman" w:hAnsi="Times New Roman"/>
          <w:color w:val="231F20"/>
          <w:spacing w:val="-9"/>
          <w:sz w:val="21"/>
        </w:rPr>
        <w:t> </w:t>
      </w:r>
      <w:r>
        <w:rPr>
          <w:rFonts w:ascii="Times New Roman" w:hAnsi="Times New Roman"/>
          <w:color w:val="231F20"/>
          <w:spacing w:val="-2"/>
          <w:sz w:val="21"/>
        </w:rPr>
        <w:t>the</w:t>
      </w:r>
      <w:r>
        <w:rPr>
          <w:rFonts w:ascii="Times New Roman" w:hAnsi="Times New Roman"/>
          <w:color w:val="231F20"/>
          <w:spacing w:val="-9"/>
          <w:sz w:val="21"/>
        </w:rPr>
        <w:t> </w:t>
      </w:r>
      <w:r>
        <w:rPr>
          <w:rFonts w:ascii="Times New Roman" w:hAnsi="Times New Roman"/>
          <w:color w:val="231F20"/>
          <w:spacing w:val="-2"/>
          <w:sz w:val="21"/>
        </w:rPr>
        <w:t>report. Other</w:t>
      </w:r>
      <w:r>
        <w:rPr>
          <w:rFonts w:ascii="Times New Roman" w:hAnsi="Times New Roman"/>
          <w:color w:val="231F20"/>
          <w:spacing w:val="-12"/>
          <w:sz w:val="21"/>
        </w:rPr>
        <w:t> </w:t>
      </w:r>
      <w:r>
        <w:rPr>
          <w:rFonts w:ascii="Times New Roman" w:hAnsi="Times New Roman"/>
          <w:color w:val="231F20"/>
          <w:spacing w:val="-2"/>
          <w:sz w:val="21"/>
        </w:rPr>
        <w:t>colleagues</w:t>
      </w:r>
      <w:r>
        <w:rPr>
          <w:rFonts w:ascii="Times New Roman" w:hAnsi="Times New Roman"/>
          <w:color w:val="231F20"/>
          <w:spacing w:val="-11"/>
          <w:sz w:val="21"/>
        </w:rPr>
        <w:t> </w:t>
      </w:r>
      <w:r>
        <w:rPr>
          <w:rFonts w:ascii="Times New Roman" w:hAnsi="Times New Roman"/>
          <w:color w:val="231F20"/>
          <w:spacing w:val="-2"/>
          <w:sz w:val="21"/>
        </w:rPr>
        <w:t>at</w:t>
      </w:r>
      <w:r>
        <w:rPr>
          <w:rFonts w:ascii="Times New Roman" w:hAnsi="Times New Roman"/>
          <w:color w:val="231F20"/>
          <w:spacing w:val="-11"/>
          <w:sz w:val="21"/>
        </w:rPr>
        <w:t> </w:t>
      </w:r>
      <w:r>
        <w:rPr>
          <w:rFonts w:ascii="Times New Roman" w:hAnsi="Times New Roman"/>
          <w:color w:val="231F20"/>
          <w:spacing w:val="-2"/>
          <w:sz w:val="21"/>
        </w:rPr>
        <w:t>the</w:t>
      </w:r>
      <w:r>
        <w:rPr>
          <w:rFonts w:ascii="Times New Roman" w:hAnsi="Times New Roman"/>
          <w:color w:val="231F20"/>
          <w:spacing w:val="-11"/>
          <w:sz w:val="21"/>
        </w:rPr>
        <w:t> </w:t>
      </w:r>
      <w:r>
        <w:rPr>
          <w:rFonts w:ascii="Times New Roman" w:hAnsi="Times New Roman"/>
          <w:color w:val="231F20"/>
          <w:spacing w:val="-2"/>
          <w:sz w:val="21"/>
        </w:rPr>
        <w:t>World</w:t>
      </w:r>
      <w:r>
        <w:rPr>
          <w:rFonts w:ascii="Times New Roman" w:hAnsi="Times New Roman"/>
          <w:color w:val="231F20"/>
          <w:spacing w:val="-11"/>
          <w:sz w:val="21"/>
        </w:rPr>
        <w:t> </w:t>
      </w:r>
      <w:r>
        <w:rPr>
          <w:rFonts w:ascii="Times New Roman" w:hAnsi="Times New Roman"/>
          <w:color w:val="231F20"/>
          <w:spacing w:val="-2"/>
          <w:sz w:val="21"/>
        </w:rPr>
        <w:t>Bank</w:t>
      </w:r>
      <w:r>
        <w:rPr>
          <w:rFonts w:ascii="Times New Roman" w:hAnsi="Times New Roman"/>
          <w:color w:val="231F20"/>
          <w:spacing w:val="-11"/>
          <w:sz w:val="21"/>
        </w:rPr>
        <w:t> </w:t>
      </w:r>
      <w:r>
        <w:rPr>
          <w:rFonts w:ascii="Times New Roman" w:hAnsi="Times New Roman"/>
          <w:color w:val="231F20"/>
          <w:spacing w:val="-2"/>
          <w:sz w:val="21"/>
        </w:rPr>
        <w:t>who</w:t>
      </w:r>
      <w:r>
        <w:rPr>
          <w:rFonts w:ascii="Times New Roman" w:hAnsi="Times New Roman"/>
          <w:color w:val="231F20"/>
          <w:spacing w:val="-11"/>
          <w:sz w:val="21"/>
        </w:rPr>
        <w:t> </w:t>
      </w:r>
      <w:r>
        <w:rPr>
          <w:rFonts w:ascii="Times New Roman" w:hAnsi="Times New Roman"/>
          <w:color w:val="231F20"/>
          <w:spacing w:val="-2"/>
          <w:sz w:val="21"/>
        </w:rPr>
        <w:t>pro- </w:t>
      </w:r>
      <w:r>
        <w:rPr>
          <w:rFonts w:ascii="Times New Roman" w:hAnsi="Times New Roman"/>
          <w:color w:val="231F20"/>
          <w:spacing w:val="-6"/>
          <w:sz w:val="21"/>
        </w:rPr>
        <w:t>vided</w:t>
      </w:r>
      <w:r>
        <w:rPr>
          <w:rFonts w:ascii="Times New Roman" w:hAnsi="Times New Roman"/>
          <w:color w:val="231F20"/>
          <w:spacing w:val="-7"/>
          <w:sz w:val="21"/>
        </w:rPr>
        <w:t> </w:t>
      </w:r>
      <w:r>
        <w:rPr>
          <w:rFonts w:ascii="Times New Roman" w:hAnsi="Times New Roman"/>
          <w:color w:val="231F20"/>
          <w:spacing w:val="-6"/>
          <w:sz w:val="21"/>
        </w:rPr>
        <w:t>inputs</w:t>
      </w:r>
      <w:r>
        <w:rPr>
          <w:rFonts w:ascii="Times New Roman" w:hAnsi="Times New Roman"/>
          <w:color w:val="231F20"/>
          <w:spacing w:val="-9"/>
          <w:sz w:val="21"/>
        </w:rPr>
        <w:t> </w:t>
      </w:r>
      <w:r>
        <w:rPr>
          <w:rFonts w:ascii="Times New Roman" w:hAnsi="Times New Roman"/>
          <w:color w:val="231F20"/>
          <w:spacing w:val="-6"/>
          <w:sz w:val="21"/>
        </w:rPr>
        <w:t>include</w:t>
      </w:r>
      <w:r>
        <w:rPr>
          <w:rFonts w:ascii="Times New Roman" w:hAnsi="Times New Roman"/>
          <w:color w:val="231F20"/>
          <w:spacing w:val="-9"/>
          <w:sz w:val="21"/>
        </w:rPr>
        <w:t> </w:t>
      </w:r>
      <w:r>
        <w:rPr>
          <w:rFonts w:ascii="Times New Roman" w:hAnsi="Times New Roman"/>
          <w:color w:val="231F20"/>
          <w:spacing w:val="-6"/>
          <w:sz w:val="21"/>
        </w:rPr>
        <w:t>Abdennour</w:t>
      </w:r>
      <w:r>
        <w:rPr>
          <w:rFonts w:ascii="Times New Roman" w:hAnsi="Times New Roman"/>
          <w:color w:val="231F20"/>
          <w:spacing w:val="-7"/>
          <w:sz w:val="21"/>
        </w:rPr>
        <w:t> </w:t>
      </w:r>
      <w:r>
        <w:rPr>
          <w:rFonts w:ascii="Times New Roman" w:hAnsi="Times New Roman"/>
          <w:color w:val="231F20"/>
          <w:spacing w:val="-6"/>
          <w:sz w:val="21"/>
        </w:rPr>
        <w:t>Azeddine,</w:t>
      </w:r>
      <w:r>
        <w:rPr>
          <w:rFonts w:ascii="Times New Roman" w:hAnsi="Times New Roman"/>
          <w:color w:val="231F20"/>
          <w:spacing w:val="-9"/>
          <w:sz w:val="21"/>
        </w:rPr>
        <w:t> </w:t>
      </w:r>
      <w:r>
        <w:rPr>
          <w:rFonts w:ascii="Times New Roman" w:hAnsi="Times New Roman"/>
          <w:color w:val="231F20"/>
          <w:spacing w:val="-6"/>
          <w:sz w:val="21"/>
        </w:rPr>
        <w:t>La- </w:t>
      </w:r>
      <w:r>
        <w:rPr>
          <w:rFonts w:ascii="Times New Roman" w:hAnsi="Times New Roman"/>
          <w:color w:val="231F20"/>
          <w:spacing w:val="-4"/>
          <w:sz w:val="21"/>
        </w:rPr>
        <w:t>miaa</w:t>
      </w:r>
      <w:r>
        <w:rPr>
          <w:rFonts w:ascii="Times New Roman" w:hAnsi="Times New Roman"/>
          <w:color w:val="231F20"/>
          <w:spacing w:val="-10"/>
          <w:sz w:val="21"/>
        </w:rPr>
        <w:t> </w:t>
      </w:r>
      <w:r>
        <w:rPr>
          <w:rFonts w:ascii="Times New Roman" w:hAnsi="Times New Roman"/>
          <w:color w:val="231F20"/>
          <w:spacing w:val="-4"/>
          <w:sz w:val="21"/>
        </w:rPr>
        <w:t>Bennis,</w:t>
      </w:r>
      <w:r>
        <w:rPr>
          <w:rFonts w:ascii="Times New Roman" w:hAnsi="Times New Roman"/>
          <w:color w:val="231F20"/>
          <w:spacing w:val="-9"/>
          <w:sz w:val="21"/>
        </w:rPr>
        <w:t> </w:t>
      </w:r>
      <w:r>
        <w:rPr>
          <w:rFonts w:ascii="Times New Roman" w:hAnsi="Times New Roman"/>
          <w:color w:val="231F20"/>
          <w:spacing w:val="-4"/>
          <w:sz w:val="21"/>
        </w:rPr>
        <w:t>Matías</w:t>
      </w:r>
      <w:r>
        <w:rPr>
          <w:rFonts w:ascii="Times New Roman" w:hAnsi="Times New Roman"/>
          <w:color w:val="231F20"/>
          <w:spacing w:val="-9"/>
          <w:sz w:val="21"/>
        </w:rPr>
        <w:t> </w:t>
      </w:r>
      <w:r>
        <w:rPr>
          <w:rFonts w:ascii="Times New Roman" w:hAnsi="Times New Roman"/>
          <w:color w:val="231F20"/>
          <w:spacing w:val="-4"/>
          <w:sz w:val="21"/>
        </w:rPr>
        <w:t>Herrera</w:t>
      </w:r>
      <w:r>
        <w:rPr>
          <w:rFonts w:ascii="Times New Roman" w:hAnsi="Times New Roman"/>
          <w:color w:val="231F20"/>
          <w:spacing w:val="-9"/>
          <w:sz w:val="21"/>
        </w:rPr>
        <w:t> </w:t>
      </w:r>
      <w:r>
        <w:rPr>
          <w:rFonts w:ascii="Times New Roman" w:hAnsi="Times New Roman"/>
          <w:color w:val="231F20"/>
          <w:spacing w:val="-4"/>
          <w:sz w:val="21"/>
        </w:rPr>
        <w:t>Dappe,</w:t>
      </w:r>
      <w:r>
        <w:rPr>
          <w:rFonts w:ascii="Times New Roman" w:hAnsi="Times New Roman"/>
          <w:color w:val="231F20"/>
          <w:spacing w:val="-9"/>
          <w:sz w:val="21"/>
        </w:rPr>
        <w:t> </w:t>
      </w:r>
      <w:r>
        <w:rPr>
          <w:rFonts w:ascii="Times New Roman" w:hAnsi="Times New Roman"/>
          <w:color w:val="231F20"/>
          <w:spacing w:val="-4"/>
          <w:sz w:val="21"/>
        </w:rPr>
        <w:t>Emiliano </w:t>
      </w:r>
      <w:r>
        <w:rPr>
          <w:rFonts w:ascii="Times New Roman" w:hAnsi="Times New Roman"/>
          <w:color w:val="231F20"/>
          <w:sz w:val="21"/>
        </w:rPr>
        <w:t>Duch, Caroline Freund, Olivier Hartmann, Charles</w:t>
      </w:r>
      <w:r>
        <w:rPr>
          <w:rFonts w:ascii="Times New Roman" w:hAnsi="Times New Roman"/>
          <w:color w:val="231F20"/>
          <w:spacing w:val="-14"/>
          <w:sz w:val="21"/>
        </w:rPr>
        <w:t> </w:t>
      </w:r>
      <w:r>
        <w:rPr>
          <w:rFonts w:ascii="Times New Roman" w:hAnsi="Times New Roman"/>
          <w:color w:val="231F20"/>
          <w:sz w:val="21"/>
        </w:rPr>
        <w:t>Kunaka,</w:t>
      </w:r>
      <w:r>
        <w:rPr>
          <w:rFonts w:ascii="Times New Roman" w:hAnsi="Times New Roman"/>
          <w:color w:val="231F20"/>
          <w:spacing w:val="-13"/>
          <w:sz w:val="21"/>
        </w:rPr>
        <w:t> </w:t>
      </w:r>
      <w:r>
        <w:rPr>
          <w:rFonts w:ascii="Times New Roman" w:hAnsi="Times New Roman"/>
          <w:color w:val="231F20"/>
          <w:sz w:val="21"/>
        </w:rPr>
        <w:t>Ryan</w:t>
      </w:r>
      <w:r>
        <w:rPr>
          <w:rFonts w:ascii="Times New Roman" w:hAnsi="Times New Roman"/>
          <w:color w:val="231F20"/>
          <w:spacing w:val="-13"/>
          <w:sz w:val="21"/>
        </w:rPr>
        <w:t> </w:t>
      </w:r>
      <w:r>
        <w:rPr>
          <w:rFonts w:ascii="Times New Roman" w:hAnsi="Times New Roman"/>
          <w:color w:val="231F20"/>
          <w:sz w:val="21"/>
        </w:rPr>
        <w:t>Kuo,</w:t>
      </w:r>
      <w:r>
        <w:rPr>
          <w:rFonts w:ascii="Times New Roman" w:hAnsi="Times New Roman"/>
          <w:color w:val="231F20"/>
          <w:spacing w:val="-13"/>
          <w:sz w:val="21"/>
        </w:rPr>
        <w:t> </w:t>
      </w:r>
      <w:r>
        <w:rPr>
          <w:rFonts w:ascii="Times New Roman" w:hAnsi="Times New Roman"/>
          <w:color w:val="231F20"/>
          <w:sz w:val="21"/>
        </w:rPr>
        <w:t>Dunstan</w:t>
      </w:r>
      <w:r>
        <w:rPr>
          <w:rFonts w:ascii="Times New Roman" w:hAnsi="Times New Roman"/>
          <w:color w:val="231F20"/>
          <w:spacing w:val="-13"/>
          <w:sz w:val="21"/>
        </w:rPr>
        <w:t> </w:t>
      </w:r>
      <w:r>
        <w:rPr>
          <w:rFonts w:ascii="Times New Roman" w:hAnsi="Times New Roman"/>
          <w:color w:val="231F20"/>
          <w:sz w:val="21"/>
        </w:rPr>
        <w:t>Matek- </w:t>
      </w:r>
      <w:r>
        <w:rPr>
          <w:rFonts w:ascii="Times New Roman" w:hAnsi="Times New Roman"/>
          <w:color w:val="231F20"/>
          <w:spacing w:val="-6"/>
          <w:sz w:val="21"/>
        </w:rPr>
        <w:t>enya,</w:t>
      </w:r>
      <w:r>
        <w:rPr>
          <w:rFonts w:ascii="Times New Roman" w:hAnsi="Times New Roman"/>
          <w:color w:val="231F20"/>
          <w:spacing w:val="-7"/>
          <w:sz w:val="21"/>
        </w:rPr>
        <w:t> </w:t>
      </w:r>
      <w:r>
        <w:rPr>
          <w:rFonts w:ascii="Times New Roman" w:hAnsi="Times New Roman"/>
          <w:color w:val="231F20"/>
          <w:spacing w:val="-6"/>
          <w:sz w:val="21"/>
        </w:rPr>
        <w:t>Antonio</w:t>
      </w:r>
      <w:r>
        <w:rPr>
          <w:rFonts w:ascii="Times New Roman" w:hAnsi="Times New Roman"/>
          <w:color w:val="231F20"/>
          <w:spacing w:val="-7"/>
          <w:sz w:val="21"/>
        </w:rPr>
        <w:t> </w:t>
      </w:r>
      <w:r>
        <w:rPr>
          <w:rFonts w:ascii="Times New Roman" w:hAnsi="Times New Roman"/>
          <w:color w:val="231F20"/>
          <w:spacing w:val="-6"/>
          <w:sz w:val="21"/>
        </w:rPr>
        <w:t>Nucifora,</w:t>
      </w:r>
      <w:r>
        <w:rPr>
          <w:rFonts w:ascii="Times New Roman" w:hAnsi="Times New Roman"/>
          <w:color w:val="231F20"/>
          <w:spacing w:val="-7"/>
          <w:sz w:val="21"/>
        </w:rPr>
        <w:t> </w:t>
      </w:r>
      <w:r>
        <w:rPr>
          <w:rFonts w:ascii="Times New Roman" w:hAnsi="Times New Roman"/>
          <w:color w:val="231F20"/>
          <w:spacing w:val="-6"/>
          <w:sz w:val="21"/>
        </w:rPr>
        <w:t>Daniel</w:t>
      </w:r>
      <w:r>
        <w:rPr>
          <w:rFonts w:ascii="Times New Roman" w:hAnsi="Times New Roman"/>
          <w:color w:val="231F20"/>
          <w:spacing w:val="-7"/>
          <w:sz w:val="21"/>
        </w:rPr>
        <w:t> </w:t>
      </w:r>
      <w:r>
        <w:rPr>
          <w:rFonts w:ascii="Times New Roman" w:hAnsi="Times New Roman"/>
          <w:color w:val="231F20"/>
          <w:spacing w:val="-6"/>
          <w:sz w:val="21"/>
        </w:rPr>
        <w:t>Saslavsky,</w:t>
      </w:r>
      <w:r>
        <w:rPr>
          <w:rFonts w:ascii="Times New Roman" w:hAnsi="Times New Roman"/>
          <w:color w:val="231F20"/>
          <w:spacing w:val="-7"/>
          <w:sz w:val="21"/>
        </w:rPr>
        <w:t> </w:t>
      </w:r>
      <w:r>
        <w:rPr>
          <w:rFonts w:ascii="Times New Roman" w:hAnsi="Times New Roman"/>
          <w:color w:val="231F20"/>
          <w:spacing w:val="-6"/>
          <w:sz w:val="21"/>
        </w:rPr>
        <w:t>and </w:t>
      </w:r>
      <w:r>
        <w:rPr>
          <w:rFonts w:ascii="Times New Roman" w:hAnsi="Times New Roman"/>
          <w:color w:val="231F20"/>
          <w:w w:val="90"/>
          <w:sz w:val="21"/>
        </w:rPr>
        <w:t>Aivin Solatorio. The team also thanks Professor </w:t>
      </w:r>
      <w:r>
        <w:rPr>
          <w:rFonts w:ascii="Times New Roman" w:hAnsi="Times New Roman"/>
          <w:color w:val="231F20"/>
          <w:spacing w:val="-6"/>
          <w:sz w:val="21"/>
        </w:rPr>
        <w:t>Gordon</w:t>
      </w:r>
      <w:r>
        <w:rPr>
          <w:rFonts w:ascii="Times New Roman" w:hAnsi="Times New Roman"/>
          <w:color w:val="231F20"/>
          <w:spacing w:val="-9"/>
          <w:sz w:val="21"/>
        </w:rPr>
        <w:t> </w:t>
      </w:r>
      <w:r>
        <w:rPr>
          <w:rFonts w:ascii="Times New Roman" w:hAnsi="Times New Roman"/>
          <w:color w:val="231F20"/>
          <w:spacing w:val="-6"/>
          <w:sz w:val="21"/>
        </w:rPr>
        <w:t>Wilmsmeier</w:t>
      </w:r>
      <w:r>
        <w:rPr>
          <w:rFonts w:ascii="Times New Roman" w:hAnsi="Times New Roman"/>
          <w:color w:val="231F20"/>
          <w:spacing w:val="-9"/>
          <w:sz w:val="21"/>
        </w:rPr>
        <w:t> </w:t>
      </w:r>
      <w:r>
        <w:rPr>
          <w:rFonts w:ascii="Times New Roman" w:hAnsi="Times New Roman"/>
          <w:color w:val="231F20"/>
          <w:spacing w:val="-6"/>
          <w:sz w:val="21"/>
        </w:rPr>
        <w:t>(Kühne</w:t>
      </w:r>
      <w:r>
        <w:rPr>
          <w:rFonts w:ascii="Times New Roman" w:hAnsi="Times New Roman"/>
          <w:color w:val="231F20"/>
          <w:spacing w:val="-9"/>
          <w:sz w:val="21"/>
        </w:rPr>
        <w:t> </w:t>
      </w:r>
      <w:r>
        <w:rPr>
          <w:rFonts w:ascii="Times New Roman" w:hAnsi="Times New Roman"/>
          <w:color w:val="231F20"/>
          <w:spacing w:val="-6"/>
          <w:sz w:val="21"/>
        </w:rPr>
        <w:t>Logistics</w:t>
      </w:r>
      <w:r>
        <w:rPr>
          <w:rFonts w:ascii="Times New Roman" w:hAnsi="Times New Roman"/>
          <w:color w:val="231F20"/>
          <w:spacing w:val="-9"/>
          <w:sz w:val="21"/>
        </w:rPr>
        <w:t> </w:t>
      </w:r>
      <w:r>
        <w:rPr>
          <w:rFonts w:ascii="Times New Roman" w:hAnsi="Times New Roman"/>
          <w:color w:val="231F20"/>
          <w:spacing w:val="-6"/>
          <w:sz w:val="21"/>
        </w:rPr>
        <w:t>Univer- sity,</w:t>
      </w:r>
      <w:r>
        <w:rPr>
          <w:rFonts w:ascii="Times New Roman" w:hAnsi="Times New Roman"/>
          <w:color w:val="231F20"/>
          <w:spacing w:val="-15"/>
          <w:sz w:val="21"/>
        </w:rPr>
        <w:t> </w:t>
      </w:r>
      <w:r>
        <w:rPr>
          <w:rFonts w:ascii="Times New Roman" w:hAnsi="Times New Roman"/>
          <w:color w:val="231F20"/>
          <w:spacing w:val="-6"/>
          <w:sz w:val="21"/>
        </w:rPr>
        <w:t>Germany)</w:t>
      </w:r>
      <w:r>
        <w:rPr>
          <w:rFonts w:ascii="Times New Roman" w:hAnsi="Times New Roman"/>
          <w:color w:val="231F20"/>
          <w:spacing w:val="-15"/>
          <w:sz w:val="21"/>
        </w:rPr>
        <w:t> </w:t>
      </w:r>
      <w:r>
        <w:rPr>
          <w:rFonts w:ascii="Times New Roman" w:hAnsi="Times New Roman"/>
          <w:color w:val="231F20"/>
          <w:spacing w:val="-6"/>
          <w:sz w:val="21"/>
        </w:rPr>
        <w:t>for</w:t>
      </w:r>
      <w:r>
        <w:rPr>
          <w:rFonts w:ascii="Times New Roman" w:hAnsi="Times New Roman"/>
          <w:color w:val="231F20"/>
          <w:spacing w:val="-15"/>
          <w:sz w:val="21"/>
        </w:rPr>
        <w:t> </w:t>
      </w:r>
      <w:r>
        <w:rPr>
          <w:rFonts w:ascii="Times New Roman" w:hAnsi="Times New Roman"/>
          <w:color w:val="231F20"/>
          <w:spacing w:val="-6"/>
          <w:sz w:val="21"/>
        </w:rPr>
        <w:t>comments</w:t>
      </w:r>
      <w:r>
        <w:rPr>
          <w:rFonts w:ascii="Times New Roman" w:hAnsi="Times New Roman"/>
          <w:color w:val="231F20"/>
          <w:spacing w:val="-15"/>
          <w:sz w:val="21"/>
        </w:rPr>
        <w:t> </w:t>
      </w:r>
      <w:r>
        <w:rPr>
          <w:rFonts w:ascii="Times New Roman" w:hAnsi="Times New Roman"/>
          <w:color w:val="231F20"/>
          <w:spacing w:val="-6"/>
          <w:sz w:val="21"/>
        </w:rPr>
        <w:t>on</w:t>
      </w:r>
      <w:r>
        <w:rPr>
          <w:rFonts w:ascii="Times New Roman" w:hAnsi="Times New Roman"/>
          <w:color w:val="231F20"/>
          <w:spacing w:val="-15"/>
          <w:sz w:val="21"/>
        </w:rPr>
        <w:t> </w:t>
      </w:r>
      <w:r>
        <w:rPr>
          <w:rFonts w:ascii="Times New Roman" w:hAnsi="Times New Roman"/>
          <w:color w:val="231F20"/>
          <w:spacing w:val="-6"/>
          <w:sz w:val="21"/>
        </w:rPr>
        <w:t>an</w:t>
      </w:r>
      <w:r>
        <w:rPr>
          <w:rFonts w:ascii="Times New Roman" w:hAnsi="Times New Roman"/>
          <w:color w:val="231F20"/>
          <w:spacing w:val="-15"/>
          <w:sz w:val="21"/>
        </w:rPr>
        <w:t> </w:t>
      </w:r>
      <w:r>
        <w:rPr>
          <w:rFonts w:ascii="Times New Roman" w:hAnsi="Times New Roman"/>
          <w:color w:val="231F20"/>
          <w:spacing w:val="-6"/>
          <w:sz w:val="21"/>
        </w:rPr>
        <w:t>earlier</w:t>
      </w:r>
      <w:r>
        <w:rPr>
          <w:rFonts w:ascii="Times New Roman" w:hAnsi="Times New Roman"/>
          <w:color w:val="231F20"/>
          <w:spacing w:val="-15"/>
          <w:sz w:val="21"/>
        </w:rPr>
        <w:t> </w:t>
      </w:r>
      <w:r>
        <w:rPr>
          <w:rFonts w:ascii="Times New Roman" w:hAnsi="Times New Roman"/>
          <w:color w:val="231F20"/>
          <w:spacing w:val="-6"/>
          <w:sz w:val="21"/>
        </w:rPr>
        <w:t>draft </w:t>
      </w:r>
      <w:r>
        <w:rPr>
          <w:rFonts w:ascii="Times New Roman" w:hAnsi="Times New Roman"/>
          <w:color w:val="231F20"/>
          <w:spacing w:val="-2"/>
          <w:sz w:val="21"/>
        </w:rPr>
        <w:t>and</w:t>
      </w:r>
      <w:r>
        <w:rPr>
          <w:rFonts w:ascii="Times New Roman" w:hAnsi="Times New Roman"/>
          <w:color w:val="231F20"/>
          <w:spacing w:val="-10"/>
          <w:sz w:val="21"/>
        </w:rPr>
        <w:t> </w:t>
      </w:r>
      <w:r>
        <w:rPr>
          <w:rFonts w:ascii="Times New Roman" w:hAnsi="Times New Roman"/>
          <w:color w:val="231F20"/>
          <w:spacing w:val="-2"/>
          <w:sz w:val="21"/>
        </w:rPr>
        <w:t>Professor</w:t>
      </w:r>
      <w:r>
        <w:rPr>
          <w:rFonts w:ascii="Times New Roman" w:hAnsi="Times New Roman"/>
          <w:color w:val="231F20"/>
          <w:spacing w:val="-10"/>
          <w:sz w:val="21"/>
        </w:rPr>
        <w:t> </w:t>
      </w:r>
      <w:r>
        <w:rPr>
          <w:rFonts w:ascii="Times New Roman" w:hAnsi="Times New Roman"/>
          <w:color w:val="231F20"/>
          <w:spacing w:val="-2"/>
          <w:sz w:val="21"/>
        </w:rPr>
        <w:t>Ruth</w:t>
      </w:r>
      <w:r>
        <w:rPr>
          <w:rFonts w:ascii="Times New Roman" w:hAnsi="Times New Roman"/>
          <w:color w:val="231F20"/>
          <w:spacing w:val="-10"/>
          <w:sz w:val="21"/>
        </w:rPr>
        <w:t> </w:t>
      </w:r>
      <w:r>
        <w:rPr>
          <w:rFonts w:ascii="Times New Roman" w:hAnsi="Times New Roman"/>
          <w:color w:val="231F20"/>
          <w:spacing w:val="-2"/>
          <w:sz w:val="21"/>
        </w:rPr>
        <w:t>Banomyong</w:t>
      </w:r>
      <w:r>
        <w:rPr>
          <w:rFonts w:ascii="Times New Roman" w:hAnsi="Times New Roman"/>
          <w:color w:val="231F20"/>
          <w:spacing w:val="-10"/>
          <w:sz w:val="21"/>
        </w:rPr>
        <w:t> </w:t>
      </w:r>
      <w:r>
        <w:rPr>
          <w:rFonts w:ascii="Times New Roman" w:hAnsi="Times New Roman"/>
          <w:color w:val="231F20"/>
          <w:spacing w:val="-2"/>
          <w:sz w:val="21"/>
        </w:rPr>
        <w:t>(Thammasat </w:t>
      </w:r>
      <w:r>
        <w:rPr>
          <w:rFonts w:ascii="Times New Roman" w:hAnsi="Times New Roman"/>
          <w:color w:val="231F20"/>
          <w:spacing w:val="-6"/>
          <w:sz w:val="21"/>
        </w:rPr>
        <w:t>University,</w:t>
      </w:r>
      <w:r>
        <w:rPr>
          <w:rFonts w:ascii="Times New Roman" w:hAnsi="Times New Roman"/>
          <w:color w:val="231F20"/>
          <w:spacing w:val="-2"/>
          <w:sz w:val="21"/>
        </w:rPr>
        <w:t> </w:t>
      </w:r>
      <w:r>
        <w:rPr>
          <w:rFonts w:ascii="Times New Roman" w:hAnsi="Times New Roman"/>
          <w:color w:val="231F20"/>
          <w:spacing w:val="-6"/>
          <w:sz w:val="21"/>
        </w:rPr>
        <w:t>Thailand)</w:t>
      </w:r>
      <w:r>
        <w:rPr>
          <w:rFonts w:ascii="Times New Roman" w:hAnsi="Times New Roman"/>
          <w:color w:val="231F20"/>
          <w:spacing w:val="-1"/>
          <w:sz w:val="21"/>
        </w:rPr>
        <w:t> </w:t>
      </w:r>
      <w:r>
        <w:rPr>
          <w:rFonts w:ascii="Times New Roman" w:hAnsi="Times New Roman"/>
          <w:color w:val="231F20"/>
          <w:spacing w:val="-6"/>
          <w:sz w:val="21"/>
        </w:rPr>
        <w:t>for</w:t>
      </w:r>
      <w:r>
        <w:rPr>
          <w:rFonts w:ascii="Times New Roman" w:hAnsi="Times New Roman"/>
          <w:color w:val="231F20"/>
          <w:spacing w:val="-1"/>
          <w:sz w:val="21"/>
        </w:rPr>
        <w:t> </w:t>
      </w:r>
      <w:r>
        <w:rPr>
          <w:rFonts w:ascii="Times New Roman" w:hAnsi="Times New Roman"/>
          <w:color w:val="231F20"/>
          <w:spacing w:val="-6"/>
          <w:sz w:val="21"/>
        </w:rPr>
        <w:t>providing</w:t>
      </w:r>
      <w:r>
        <w:rPr>
          <w:rFonts w:ascii="Times New Roman" w:hAnsi="Times New Roman"/>
          <w:color w:val="231F20"/>
          <w:spacing w:val="-1"/>
          <w:sz w:val="21"/>
        </w:rPr>
        <w:t> </w:t>
      </w:r>
      <w:r>
        <w:rPr>
          <w:rFonts w:ascii="Times New Roman" w:hAnsi="Times New Roman"/>
          <w:color w:val="231F20"/>
          <w:spacing w:val="-6"/>
          <w:sz w:val="21"/>
        </w:rPr>
        <w:t>inputs</w:t>
      </w:r>
      <w:r>
        <w:rPr>
          <w:rFonts w:ascii="Times New Roman" w:hAnsi="Times New Roman"/>
          <w:color w:val="231F20"/>
          <w:spacing w:val="-1"/>
          <w:sz w:val="21"/>
        </w:rPr>
        <w:t> </w:t>
      </w:r>
      <w:r>
        <w:rPr>
          <w:rFonts w:ascii="Times New Roman" w:hAnsi="Times New Roman"/>
          <w:color w:val="231F20"/>
          <w:spacing w:val="-6"/>
          <w:sz w:val="21"/>
        </w:rPr>
        <w:t>into</w:t>
      </w:r>
    </w:p>
    <w:p>
      <w:pPr>
        <w:pStyle w:val="BodyText"/>
        <w:spacing w:line="268" w:lineRule="auto" w:before="97"/>
        <w:ind w:left="198" w:right="657"/>
        <w:jc w:val="both"/>
      </w:pPr>
      <w:r>
        <w:rPr/>
        <w:br w:type="column"/>
      </w:r>
      <w:r>
        <w:rPr>
          <w:color w:val="231F20"/>
        </w:rPr>
        <w:t>the</w:t>
      </w:r>
      <w:r>
        <w:rPr>
          <w:color w:val="231F20"/>
          <w:spacing w:val="-12"/>
        </w:rPr>
        <w:t> </w:t>
      </w:r>
      <w:r>
        <w:rPr>
          <w:color w:val="231F20"/>
        </w:rPr>
        <w:t>report</w:t>
      </w:r>
      <w:r>
        <w:rPr>
          <w:color w:val="231F20"/>
          <w:spacing w:val="-12"/>
        </w:rPr>
        <w:t> </w:t>
      </w:r>
      <w:r>
        <w:rPr>
          <w:color w:val="231F20"/>
        </w:rPr>
        <w:t>and</w:t>
      </w:r>
      <w:r>
        <w:rPr>
          <w:color w:val="231F20"/>
          <w:spacing w:val="-12"/>
        </w:rPr>
        <w:t> </w:t>
      </w:r>
      <w:r>
        <w:rPr>
          <w:color w:val="231F20"/>
        </w:rPr>
        <w:t>for</w:t>
      </w:r>
      <w:r>
        <w:rPr>
          <w:color w:val="231F20"/>
          <w:spacing w:val="-12"/>
        </w:rPr>
        <w:t> </w:t>
      </w:r>
      <w:r>
        <w:rPr>
          <w:color w:val="231F20"/>
        </w:rPr>
        <w:t>reaching</w:t>
      </w:r>
      <w:r>
        <w:rPr>
          <w:color w:val="231F20"/>
          <w:spacing w:val="-12"/>
        </w:rPr>
        <w:t> </w:t>
      </w:r>
      <w:r>
        <w:rPr>
          <w:color w:val="231F20"/>
        </w:rPr>
        <w:t>out</w:t>
      </w:r>
      <w:r>
        <w:rPr>
          <w:color w:val="231F20"/>
          <w:spacing w:val="-12"/>
        </w:rPr>
        <w:t> </w:t>
      </w:r>
      <w:r>
        <w:rPr>
          <w:color w:val="231F20"/>
        </w:rPr>
        <w:t>to</w:t>
      </w:r>
      <w:r>
        <w:rPr>
          <w:color w:val="231F20"/>
          <w:spacing w:val="-12"/>
        </w:rPr>
        <w:t> </w:t>
      </w:r>
      <w:r>
        <w:rPr>
          <w:color w:val="231F20"/>
        </w:rPr>
        <w:t>forwarding </w:t>
      </w:r>
      <w:r>
        <w:rPr>
          <w:color w:val="231F20"/>
          <w:spacing w:val="-4"/>
        </w:rPr>
        <w:t>associations,</w:t>
      </w:r>
      <w:r>
        <w:rPr>
          <w:color w:val="231F20"/>
          <w:spacing w:val="-10"/>
        </w:rPr>
        <w:t> </w:t>
      </w:r>
      <w:r>
        <w:rPr>
          <w:color w:val="231F20"/>
          <w:spacing w:val="-4"/>
        </w:rPr>
        <w:t>as</w:t>
      </w:r>
      <w:r>
        <w:rPr>
          <w:color w:val="231F20"/>
          <w:spacing w:val="-9"/>
        </w:rPr>
        <w:t> </w:t>
      </w:r>
      <w:r>
        <w:rPr>
          <w:color w:val="231F20"/>
          <w:spacing w:val="-4"/>
        </w:rPr>
        <w:t>well</w:t>
      </w:r>
      <w:r>
        <w:rPr>
          <w:color w:val="231F20"/>
          <w:spacing w:val="-9"/>
        </w:rPr>
        <w:t> </w:t>
      </w:r>
      <w:r>
        <w:rPr>
          <w:color w:val="231F20"/>
          <w:spacing w:val="-4"/>
        </w:rPr>
        <w:t>as</w:t>
      </w:r>
      <w:r>
        <w:rPr>
          <w:color w:val="231F20"/>
          <w:spacing w:val="-9"/>
        </w:rPr>
        <w:t> </w:t>
      </w:r>
      <w:r>
        <w:rPr>
          <w:color w:val="231F20"/>
          <w:spacing w:val="-4"/>
        </w:rPr>
        <w:t>Professor</w:t>
      </w:r>
      <w:r>
        <w:rPr>
          <w:color w:val="231F20"/>
          <w:spacing w:val="-9"/>
        </w:rPr>
        <w:t> </w:t>
      </w:r>
      <w:r>
        <w:rPr>
          <w:color w:val="231F20"/>
          <w:spacing w:val="-4"/>
        </w:rPr>
        <w:t>Rosa</w:t>
      </w:r>
      <w:r>
        <w:rPr>
          <w:color w:val="231F20"/>
          <w:spacing w:val="-9"/>
        </w:rPr>
        <w:t> </w:t>
      </w:r>
      <w:r>
        <w:rPr>
          <w:color w:val="231F20"/>
          <w:spacing w:val="-4"/>
        </w:rPr>
        <w:t>Guada- </w:t>
      </w:r>
      <w:r>
        <w:rPr>
          <w:color w:val="231F20"/>
        </w:rPr>
        <w:t>lupe González Ramírez (Universidad de los Andes,</w:t>
      </w:r>
      <w:r>
        <w:rPr>
          <w:color w:val="231F20"/>
          <w:spacing w:val="-14"/>
        </w:rPr>
        <w:t> </w:t>
      </w:r>
      <w:r>
        <w:rPr>
          <w:color w:val="231F20"/>
        </w:rPr>
        <w:t>Chile)</w:t>
      </w:r>
      <w:r>
        <w:rPr>
          <w:color w:val="231F20"/>
          <w:spacing w:val="-13"/>
        </w:rPr>
        <w:t> </w:t>
      </w:r>
      <w:r>
        <w:rPr>
          <w:color w:val="231F20"/>
        </w:rPr>
        <w:t>and</w:t>
      </w:r>
      <w:r>
        <w:rPr>
          <w:color w:val="231F20"/>
          <w:spacing w:val="-13"/>
        </w:rPr>
        <w:t> </w:t>
      </w:r>
      <w:r>
        <w:rPr>
          <w:color w:val="231F20"/>
        </w:rPr>
        <w:t>Senior</w:t>
      </w:r>
      <w:r>
        <w:rPr>
          <w:color w:val="231F20"/>
          <w:spacing w:val="-13"/>
        </w:rPr>
        <w:t> </w:t>
      </w:r>
      <w:r>
        <w:rPr>
          <w:color w:val="231F20"/>
        </w:rPr>
        <w:t>Lecturer</w:t>
      </w:r>
      <w:r>
        <w:rPr>
          <w:color w:val="231F20"/>
          <w:spacing w:val="-13"/>
        </w:rPr>
        <w:t> </w:t>
      </w:r>
      <w:r>
        <w:rPr>
          <w:color w:val="231F20"/>
        </w:rPr>
        <w:t>Dr.</w:t>
      </w:r>
      <w:r>
        <w:rPr>
          <w:color w:val="231F20"/>
          <w:spacing w:val="-13"/>
        </w:rPr>
        <w:t> </w:t>
      </w:r>
      <w:r>
        <w:rPr>
          <w:color w:val="231F20"/>
        </w:rPr>
        <w:t>Hans- </w:t>
      </w:r>
      <w:r>
        <w:rPr>
          <w:color w:val="231F20"/>
          <w:spacing w:val="-4"/>
        </w:rPr>
        <w:t>Joachim</w:t>
      </w:r>
      <w:r>
        <w:rPr>
          <w:color w:val="231F20"/>
          <w:spacing w:val="-10"/>
        </w:rPr>
        <w:t> </w:t>
      </w:r>
      <w:r>
        <w:rPr>
          <w:color w:val="231F20"/>
          <w:spacing w:val="-4"/>
        </w:rPr>
        <w:t>Schramm</w:t>
      </w:r>
      <w:r>
        <w:rPr>
          <w:color w:val="231F20"/>
          <w:spacing w:val="-9"/>
        </w:rPr>
        <w:t> </w:t>
      </w:r>
      <w:r>
        <w:rPr>
          <w:color w:val="231F20"/>
          <w:spacing w:val="-4"/>
        </w:rPr>
        <w:t>(Vienna</w:t>
      </w:r>
      <w:r>
        <w:rPr>
          <w:color w:val="231F20"/>
          <w:spacing w:val="-9"/>
        </w:rPr>
        <w:t> </w:t>
      </w:r>
      <w:r>
        <w:rPr>
          <w:color w:val="231F20"/>
          <w:spacing w:val="-4"/>
        </w:rPr>
        <w:t>University</w:t>
      </w:r>
      <w:r>
        <w:rPr>
          <w:color w:val="231F20"/>
          <w:spacing w:val="-9"/>
        </w:rPr>
        <w:t> </w:t>
      </w:r>
      <w:r>
        <w:rPr>
          <w:color w:val="231F20"/>
          <w:spacing w:val="-4"/>
        </w:rPr>
        <w:t>of</w:t>
      </w:r>
      <w:r>
        <w:rPr>
          <w:color w:val="231F20"/>
          <w:spacing w:val="-9"/>
        </w:rPr>
        <w:t> </w:t>
      </w:r>
      <w:r>
        <w:rPr>
          <w:color w:val="231F20"/>
          <w:spacing w:val="-4"/>
        </w:rPr>
        <w:t>Eco- nomics</w:t>
      </w:r>
      <w:r>
        <w:rPr>
          <w:color w:val="231F20"/>
          <w:spacing w:val="-8"/>
        </w:rPr>
        <w:t> </w:t>
      </w:r>
      <w:r>
        <w:rPr>
          <w:color w:val="231F20"/>
          <w:spacing w:val="-4"/>
        </w:rPr>
        <w:t>and</w:t>
      </w:r>
      <w:r>
        <w:rPr>
          <w:color w:val="231F20"/>
          <w:spacing w:val="-8"/>
        </w:rPr>
        <w:t> </w:t>
      </w:r>
      <w:r>
        <w:rPr>
          <w:color w:val="231F20"/>
          <w:spacing w:val="-4"/>
        </w:rPr>
        <w:t>Business,</w:t>
      </w:r>
      <w:r>
        <w:rPr>
          <w:color w:val="231F20"/>
          <w:spacing w:val="-8"/>
        </w:rPr>
        <w:t> </w:t>
      </w:r>
      <w:r>
        <w:rPr>
          <w:color w:val="231F20"/>
          <w:spacing w:val="-4"/>
        </w:rPr>
        <w:t>Austria)</w:t>
      </w:r>
      <w:r>
        <w:rPr>
          <w:color w:val="231F20"/>
          <w:spacing w:val="-8"/>
        </w:rPr>
        <w:t> </w:t>
      </w:r>
      <w:r>
        <w:rPr>
          <w:color w:val="231F20"/>
          <w:spacing w:val="-4"/>
        </w:rPr>
        <w:t>for</w:t>
      </w:r>
      <w:r>
        <w:rPr>
          <w:color w:val="231F20"/>
          <w:spacing w:val="-8"/>
        </w:rPr>
        <w:t> </w:t>
      </w:r>
      <w:r>
        <w:rPr>
          <w:color w:val="231F20"/>
          <w:spacing w:val="-4"/>
        </w:rPr>
        <w:t>their</w:t>
      </w:r>
      <w:r>
        <w:rPr>
          <w:color w:val="231F20"/>
          <w:spacing w:val="-8"/>
        </w:rPr>
        <w:t> </w:t>
      </w:r>
      <w:r>
        <w:rPr>
          <w:color w:val="231F20"/>
          <w:spacing w:val="-4"/>
        </w:rPr>
        <w:t>efforts </w:t>
      </w:r>
      <w:r>
        <w:rPr>
          <w:color w:val="231F20"/>
        </w:rPr>
        <w:t>in</w:t>
      </w:r>
      <w:r>
        <w:rPr>
          <w:color w:val="231F20"/>
          <w:spacing w:val="-1"/>
        </w:rPr>
        <w:t> </w:t>
      </w:r>
      <w:r>
        <w:rPr>
          <w:color w:val="231F20"/>
        </w:rPr>
        <w:t>disseminating</w:t>
      </w:r>
      <w:r>
        <w:rPr>
          <w:color w:val="231F20"/>
          <w:spacing w:val="-1"/>
        </w:rPr>
        <w:t> </w:t>
      </w:r>
      <w:r>
        <w:rPr>
          <w:color w:val="231F20"/>
        </w:rPr>
        <w:t>the</w:t>
      </w:r>
      <w:r>
        <w:rPr>
          <w:color w:val="231F20"/>
          <w:spacing w:val="-1"/>
        </w:rPr>
        <w:t> </w:t>
      </w:r>
      <w:r>
        <w:rPr>
          <w:color w:val="231F20"/>
        </w:rPr>
        <w:t>survey.</w:t>
      </w:r>
    </w:p>
    <w:p>
      <w:pPr>
        <w:pStyle w:val="BodyText"/>
        <w:spacing w:line="268" w:lineRule="auto"/>
        <w:ind w:left="198" w:right="657" w:firstLine="300"/>
        <w:jc w:val="both"/>
      </w:pPr>
      <w:r>
        <w:rPr>
          <w:color w:val="231F20"/>
        </w:rPr>
        <w:t>Mohini</w:t>
      </w:r>
      <w:r>
        <w:rPr>
          <w:color w:val="231F20"/>
          <w:spacing w:val="-14"/>
        </w:rPr>
        <w:t> </w:t>
      </w:r>
      <w:r>
        <w:rPr>
          <w:color w:val="231F20"/>
        </w:rPr>
        <w:t>Datt,</w:t>
      </w:r>
      <w:r>
        <w:rPr>
          <w:color w:val="231F20"/>
          <w:spacing w:val="-13"/>
        </w:rPr>
        <w:t> </w:t>
      </w:r>
      <w:r>
        <w:rPr>
          <w:color w:val="231F20"/>
        </w:rPr>
        <w:t>Melissa</w:t>
      </w:r>
      <w:r>
        <w:rPr>
          <w:color w:val="231F20"/>
          <w:spacing w:val="-13"/>
        </w:rPr>
        <w:t> </w:t>
      </w:r>
      <w:r>
        <w:rPr>
          <w:color w:val="231F20"/>
        </w:rPr>
        <w:t>Knutson,</w:t>
      </w:r>
      <w:r>
        <w:rPr>
          <w:color w:val="231F20"/>
          <w:spacing w:val="-13"/>
        </w:rPr>
        <w:t> </w:t>
      </w:r>
      <w:r>
        <w:rPr>
          <w:color w:val="231F20"/>
        </w:rPr>
        <w:t>Elizabeth Price, Nandita Roy, and Chris Wellisz pro- </w:t>
      </w:r>
      <w:r>
        <w:rPr>
          <w:color w:val="231F20"/>
          <w:spacing w:val="-4"/>
        </w:rPr>
        <w:t>vided</w:t>
      </w:r>
      <w:r>
        <w:rPr>
          <w:color w:val="231F20"/>
          <w:spacing w:val="-7"/>
        </w:rPr>
        <w:t> </w:t>
      </w:r>
      <w:r>
        <w:rPr>
          <w:color w:val="231F20"/>
          <w:spacing w:val="-4"/>
        </w:rPr>
        <w:t>help</w:t>
      </w:r>
      <w:r>
        <w:rPr>
          <w:color w:val="231F20"/>
          <w:spacing w:val="-7"/>
        </w:rPr>
        <w:t> </w:t>
      </w:r>
      <w:r>
        <w:rPr>
          <w:color w:val="231F20"/>
          <w:spacing w:val="-4"/>
        </w:rPr>
        <w:t>with</w:t>
      </w:r>
      <w:r>
        <w:rPr>
          <w:color w:val="231F20"/>
          <w:spacing w:val="-7"/>
        </w:rPr>
        <w:t> </w:t>
      </w:r>
      <w:r>
        <w:rPr>
          <w:color w:val="231F20"/>
          <w:spacing w:val="-4"/>
        </w:rPr>
        <w:t>dissemination.</w:t>
      </w:r>
      <w:r>
        <w:rPr>
          <w:color w:val="231F20"/>
          <w:spacing w:val="-7"/>
        </w:rPr>
        <w:t> </w:t>
      </w:r>
      <w:r>
        <w:rPr>
          <w:color w:val="231F20"/>
          <w:spacing w:val="-4"/>
        </w:rPr>
        <w:t>Daniel</w:t>
      </w:r>
      <w:r>
        <w:rPr>
          <w:color w:val="231F20"/>
          <w:spacing w:val="-7"/>
        </w:rPr>
        <w:t> </w:t>
      </w:r>
      <w:r>
        <w:rPr>
          <w:color w:val="231F20"/>
          <w:spacing w:val="-4"/>
        </w:rPr>
        <w:t>Cramer </w:t>
      </w:r>
      <w:r>
        <w:rPr>
          <w:color w:val="231F20"/>
          <w:spacing w:val="-8"/>
        </w:rPr>
        <w:t>of</w:t>
      </w:r>
      <w:r>
        <w:rPr>
          <w:color w:val="231F20"/>
        </w:rPr>
        <w:t> </w:t>
      </w:r>
      <w:r>
        <w:rPr>
          <w:color w:val="231F20"/>
          <w:spacing w:val="-8"/>
        </w:rPr>
        <w:t>BlueTundra.com</w:t>
      </w:r>
      <w:r>
        <w:rPr>
          <w:color w:val="231F20"/>
        </w:rPr>
        <w:t> </w:t>
      </w:r>
      <w:r>
        <w:rPr>
          <w:color w:val="231F20"/>
          <w:spacing w:val="-8"/>
        </w:rPr>
        <w:t>and</w:t>
      </w:r>
      <w:r>
        <w:rPr>
          <w:color w:val="231F20"/>
        </w:rPr>
        <w:t> </w:t>
      </w:r>
      <w:r>
        <w:rPr>
          <w:color w:val="231F20"/>
          <w:spacing w:val="-8"/>
        </w:rPr>
        <w:t>Galina</w:t>
      </w:r>
      <w:r>
        <w:rPr>
          <w:color w:val="231F20"/>
        </w:rPr>
        <w:t> </w:t>
      </w:r>
      <w:r>
        <w:rPr>
          <w:color w:val="231F20"/>
          <w:spacing w:val="-8"/>
        </w:rPr>
        <w:t>Kalvacheva</w:t>
      </w:r>
      <w:r>
        <w:rPr>
          <w:color w:val="231F20"/>
        </w:rPr>
        <w:t> </w:t>
      </w:r>
      <w:r>
        <w:rPr>
          <w:color w:val="231F20"/>
          <w:spacing w:val="-8"/>
        </w:rPr>
        <w:t>de- </w:t>
      </w:r>
      <w:r>
        <w:rPr>
          <w:color w:val="231F20"/>
          <w:spacing w:val="-6"/>
        </w:rPr>
        <w:t>signed, developed, and maintained the original </w:t>
      </w:r>
      <w:r>
        <w:rPr>
          <w:color w:val="231F20"/>
          <w:spacing w:val="-4"/>
        </w:rPr>
        <w:t>Logistics</w:t>
      </w:r>
      <w:r>
        <w:rPr>
          <w:color w:val="231F20"/>
          <w:spacing w:val="-10"/>
        </w:rPr>
        <w:t> </w:t>
      </w:r>
      <w:r>
        <w:rPr>
          <w:color w:val="231F20"/>
          <w:spacing w:val="-4"/>
        </w:rPr>
        <w:t>Performance</w:t>
      </w:r>
      <w:r>
        <w:rPr>
          <w:color w:val="231F20"/>
          <w:spacing w:val="-9"/>
        </w:rPr>
        <w:t> </w:t>
      </w:r>
      <w:r>
        <w:rPr>
          <w:color w:val="231F20"/>
          <w:spacing w:val="-4"/>
        </w:rPr>
        <w:t>Index</w:t>
      </w:r>
      <w:r>
        <w:rPr>
          <w:color w:val="231F20"/>
          <w:spacing w:val="-9"/>
        </w:rPr>
        <w:t> </w:t>
      </w:r>
      <w:r>
        <w:rPr>
          <w:color w:val="231F20"/>
          <w:spacing w:val="-4"/>
        </w:rPr>
        <w:t>(LPI)</w:t>
      </w:r>
      <w:r>
        <w:rPr>
          <w:color w:val="231F20"/>
          <w:spacing w:val="-9"/>
        </w:rPr>
        <w:t> </w:t>
      </w:r>
      <w:r>
        <w:rPr>
          <w:color w:val="231F20"/>
          <w:spacing w:val="-4"/>
        </w:rPr>
        <w:t>survey</w:t>
      </w:r>
      <w:r>
        <w:rPr>
          <w:color w:val="231F20"/>
          <w:spacing w:val="-9"/>
        </w:rPr>
        <w:t> </w:t>
      </w:r>
      <w:r>
        <w:rPr>
          <w:color w:val="231F20"/>
          <w:spacing w:val="-4"/>
        </w:rPr>
        <w:t>and </w:t>
      </w:r>
      <w:r>
        <w:rPr>
          <w:color w:val="231F20"/>
          <w:spacing w:val="-2"/>
        </w:rPr>
        <w:t>result</w:t>
      </w:r>
      <w:r>
        <w:rPr>
          <w:color w:val="231F20"/>
          <w:spacing w:val="-12"/>
        </w:rPr>
        <w:t> </w:t>
      </w:r>
      <w:r>
        <w:rPr>
          <w:color w:val="231F20"/>
          <w:spacing w:val="-2"/>
        </w:rPr>
        <w:t>websites</w:t>
      </w:r>
      <w:r>
        <w:rPr>
          <w:color w:val="231F20"/>
          <w:spacing w:val="-11"/>
        </w:rPr>
        <w:t> </w:t>
      </w:r>
      <w:r>
        <w:rPr>
          <w:color w:val="231F20"/>
          <w:spacing w:val="-2"/>
        </w:rPr>
        <w:t>under</w:t>
      </w:r>
      <w:r>
        <w:rPr>
          <w:color w:val="231F20"/>
          <w:spacing w:val="-11"/>
        </w:rPr>
        <w:t> </w:t>
      </w:r>
      <w:r>
        <w:rPr>
          <w:color w:val="231F20"/>
          <w:spacing w:val="-2"/>
        </w:rPr>
        <w:t>the</w:t>
      </w:r>
      <w:r>
        <w:rPr>
          <w:color w:val="231F20"/>
          <w:spacing w:val="-11"/>
        </w:rPr>
        <w:t> </w:t>
      </w:r>
      <w:r>
        <w:rPr>
          <w:color w:val="231F20"/>
          <w:spacing w:val="-2"/>
        </w:rPr>
        <w:t>guidance</w:t>
      </w:r>
      <w:r>
        <w:rPr>
          <w:color w:val="231F20"/>
          <w:spacing w:val="-11"/>
        </w:rPr>
        <w:t> </w:t>
      </w:r>
      <w:r>
        <w:rPr>
          <w:color w:val="231F20"/>
          <w:spacing w:val="-2"/>
        </w:rPr>
        <w:t>of</w:t>
      </w:r>
      <w:r>
        <w:rPr>
          <w:color w:val="231F20"/>
          <w:spacing w:val="-11"/>
        </w:rPr>
        <w:t> </w:t>
      </w:r>
      <w:r>
        <w:rPr>
          <w:color w:val="231F20"/>
          <w:spacing w:val="-2"/>
        </w:rPr>
        <w:t>the</w:t>
      </w:r>
      <w:r>
        <w:rPr>
          <w:color w:val="231F20"/>
          <w:spacing w:val="-11"/>
        </w:rPr>
        <w:t> </w:t>
      </w:r>
      <w:r>
        <w:rPr>
          <w:color w:val="231F20"/>
          <w:spacing w:val="-2"/>
        </w:rPr>
        <w:t>core </w:t>
      </w:r>
      <w:r>
        <w:rPr>
          <w:color w:val="231F20"/>
          <w:spacing w:val="-4"/>
        </w:rPr>
        <w:t>team.</w:t>
      </w:r>
      <w:r>
        <w:rPr>
          <w:color w:val="231F20"/>
          <w:spacing w:val="-8"/>
        </w:rPr>
        <w:t> </w:t>
      </w:r>
      <w:r>
        <w:rPr>
          <w:color w:val="231F20"/>
          <w:spacing w:val="-4"/>
        </w:rPr>
        <w:t>A</w:t>
      </w:r>
      <w:r>
        <w:rPr>
          <w:color w:val="231F20"/>
          <w:spacing w:val="-8"/>
        </w:rPr>
        <w:t> </w:t>
      </w:r>
      <w:r>
        <w:rPr>
          <w:color w:val="231F20"/>
          <w:spacing w:val="-4"/>
        </w:rPr>
        <w:t>team</w:t>
      </w:r>
      <w:r>
        <w:rPr>
          <w:color w:val="231F20"/>
          <w:spacing w:val="-8"/>
        </w:rPr>
        <w:t> </w:t>
      </w:r>
      <w:r>
        <w:rPr>
          <w:color w:val="231F20"/>
          <w:spacing w:val="-4"/>
        </w:rPr>
        <w:t>at</w:t>
      </w:r>
      <w:r>
        <w:rPr>
          <w:color w:val="231F20"/>
          <w:spacing w:val="-8"/>
        </w:rPr>
        <w:t> </w:t>
      </w:r>
      <w:r>
        <w:rPr>
          <w:color w:val="231F20"/>
          <w:spacing w:val="-4"/>
        </w:rPr>
        <w:t>the</w:t>
      </w:r>
      <w:r>
        <w:rPr>
          <w:color w:val="231F20"/>
          <w:spacing w:val="-8"/>
        </w:rPr>
        <w:t> </w:t>
      </w:r>
      <w:r>
        <w:rPr>
          <w:color w:val="231F20"/>
          <w:spacing w:val="-4"/>
        </w:rPr>
        <w:t>World</w:t>
      </w:r>
      <w:r>
        <w:rPr>
          <w:color w:val="231F20"/>
          <w:spacing w:val="-8"/>
        </w:rPr>
        <w:t> </w:t>
      </w:r>
      <w:r>
        <w:rPr>
          <w:color w:val="231F20"/>
          <w:spacing w:val="-4"/>
        </w:rPr>
        <w:t>Bank’s</w:t>
      </w:r>
      <w:r>
        <w:rPr>
          <w:color w:val="231F20"/>
          <w:spacing w:val="-8"/>
        </w:rPr>
        <w:t> </w:t>
      </w:r>
      <w:r>
        <w:rPr>
          <w:color w:val="231F20"/>
          <w:spacing w:val="-4"/>
        </w:rPr>
        <w:t>IT</w:t>
      </w:r>
      <w:r>
        <w:rPr>
          <w:color w:val="231F20"/>
          <w:spacing w:val="-8"/>
        </w:rPr>
        <w:t> </w:t>
      </w:r>
      <w:r>
        <w:rPr>
          <w:color w:val="231F20"/>
          <w:spacing w:val="-4"/>
        </w:rPr>
        <w:t>Services </w:t>
      </w:r>
      <w:r>
        <w:rPr>
          <w:color w:val="231F20"/>
        </w:rPr>
        <w:t>Department,</w:t>
      </w:r>
      <w:r>
        <w:rPr>
          <w:color w:val="231F20"/>
          <w:spacing w:val="-6"/>
        </w:rPr>
        <w:t> </w:t>
      </w:r>
      <w:r>
        <w:rPr>
          <w:color w:val="231F20"/>
        </w:rPr>
        <w:t>led</w:t>
      </w:r>
      <w:r>
        <w:rPr>
          <w:color w:val="231F20"/>
          <w:spacing w:val="-6"/>
        </w:rPr>
        <w:t> </w:t>
      </w:r>
      <w:r>
        <w:rPr>
          <w:color w:val="231F20"/>
        </w:rPr>
        <w:t>by</w:t>
      </w:r>
      <w:r>
        <w:rPr>
          <w:color w:val="231F20"/>
          <w:spacing w:val="-6"/>
        </w:rPr>
        <w:t> </w:t>
      </w:r>
      <w:r>
        <w:rPr>
          <w:color w:val="231F20"/>
        </w:rPr>
        <w:t>Ritesh</w:t>
      </w:r>
      <w:r>
        <w:rPr>
          <w:color w:val="231F20"/>
          <w:spacing w:val="-6"/>
        </w:rPr>
        <w:t> </w:t>
      </w:r>
      <w:r>
        <w:rPr>
          <w:color w:val="231F20"/>
        </w:rPr>
        <w:t>Sanan</w:t>
      </w:r>
      <w:r>
        <w:rPr>
          <w:color w:val="231F20"/>
          <w:spacing w:val="-6"/>
        </w:rPr>
        <w:t> </w:t>
      </w:r>
      <w:r>
        <w:rPr>
          <w:color w:val="231F20"/>
        </w:rPr>
        <w:t>and</w:t>
      </w:r>
      <w:r>
        <w:rPr>
          <w:color w:val="231F20"/>
          <w:spacing w:val="-6"/>
        </w:rPr>
        <w:t> </w:t>
      </w:r>
      <w:r>
        <w:rPr>
          <w:color w:val="231F20"/>
        </w:rPr>
        <w:t>Misun </w:t>
      </w:r>
      <w:r>
        <w:rPr>
          <w:color w:val="231F20"/>
          <w:w w:val="90"/>
        </w:rPr>
        <w:t>Kim, developed the 2023 LPI results website. A </w:t>
      </w:r>
      <w:r>
        <w:rPr>
          <w:color w:val="231F20"/>
          <w:spacing w:val="-8"/>
        </w:rPr>
        <w:t>team</w:t>
      </w:r>
      <w:r>
        <w:rPr>
          <w:color w:val="231F20"/>
          <w:spacing w:val="-6"/>
        </w:rPr>
        <w:t> </w:t>
      </w:r>
      <w:r>
        <w:rPr>
          <w:color w:val="231F20"/>
          <w:spacing w:val="-8"/>
        </w:rPr>
        <w:t>at</w:t>
      </w:r>
      <w:r>
        <w:rPr>
          <w:color w:val="231F20"/>
          <w:spacing w:val="-5"/>
        </w:rPr>
        <w:t> </w:t>
      </w:r>
      <w:r>
        <w:rPr>
          <w:color w:val="231F20"/>
          <w:spacing w:val="-8"/>
        </w:rPr>
        <w:t>Communications</w:t>
      </w:r>
      <w:r>
        <w:rPr>
          <w:color w:val="231F20"/>
          <w:spacing w:val="-5"/>
        </w:rPr>
        <w:t> </w:t>
      </w:r>
      <w:r>
        <w:rPr>
          <w:color w:val="231F20"/>
          <w:spacing w:val="-8"/>
        </w:rPr>
        <w:t>Development—led</w:t>
      </w:r>
      <w:r>
        <w:rPr>
          <w:color w:val="231F20"/>
          <w:spacing w:val="-5"/>
        </w:rPr>
        <w:t> </w:t>
      </w:r>
      <w:r>
        <w:rPr>
          <w:color w:val="231F20"/>
          <w:spacing w:val="-8"/>
        </w:rPr>
        <w:t>by </w:t>
      </w:r>
      <w:r>
        <w:rPr>
          <w:color w:val="231F20"/>
          <w:w w:val="90"/>
        </w:rPr>
        <w:t>Bruce Ross-Larson—designed, edited, and laid </w:t>
      </w:r>
      <w:r>
        <w:rPr>
          <w:color w:val="231F20"/>
        </w:rPr>
        <w:t>out the report.</w:t>
      </w:r>
    </w:p>
    <w:p>
      <w:pPr>
        <w:pStyle w:val="BodyText"/>
        <w:spacing w:line="268" w:lineRule="auto"/>
        <w:ind w:left="198" w:right="657" w:firstLine="300"/>
        <w:jc w:val="both"/>
      </w:pPr>
      <w:r>
        <w:rPr>
          <w:color w:val="231F20"/>
          <w:spacing w:val="-2"/>
        </w:rPr>
        <w:t>The</w:t>
      </w:r>
      <w:r>
        <w:rPr>
          <w:color w:val="231F20"/>
          <w:spacing w:val="-10"/>
        </w:rPr>
        <w:t> </w:t>
      </w:r>
      <w:r>
        <w:rPr>
          <w:color w:val="231F20"/>
          <w:spacing w:val="-2"/>
        </w:rPr>
        <w:t>LPI</w:t>
      </w:r>
      <w:r>
        <w:rPr>
          <w:color w:val="231F20"/>
          <w:spacing w:val="-10"/>
        </w:rPr>
        <w:t> </w:t>
      </w:r>
      <w:r>
        <w:rPr>
          <w:color w:val="231F20"/>
          <w:spacing w:val="-2"/>
        </w:rPr>
        <w:t>survey</w:t>
      </w:r>
      <w:r>
        <w:rPr>
          <w:color w:val="231F20"/>
          <w:spacing w:val="-10"/>
        </w:rPr>
        <w:t> </w:t>
      </w:r>
      <w:r>
        <w:rPr>
          <w:color w:val="231F20"/>
          <w:spacing w:val="-2"/>
        </w:rPr>
        <w:t>would</w:t>
      </w:r>
      <w:r>
        <w:rPr>
          <w:color w:val="231F20"/>
          <w:spacing w:val="-10"/>
        </w:rPr>
        <w:t> </w:t>
      </w:r>
      <w:r>
        <w:rPr>
          <w:color w:val="231F20"/>
          <w:spacing w:val="-2"/>
        </w:rPr>
        <w:t>not</w:t>
      </w:r>
      <w:r>
        <w:rPr>
          <w:color w:val="231F20"/>
          <w:spacing w:val="-10"/>
        </w:rPr>
        <w:t> </w:t>
      </w:r>
      <w:r>
        <w:rPr>
          <w:color w:val="231F20"/>
          <w:spacing w:val="-2"/>
        </w:rPr>
        <w:t>have</w:t>
      </w:r>
      <w:r>
        <w:rPr>
          <w:color w:val="231F20"/>
          <w:spacing w:val="-10"/>
        </w:rPr>
        <w:t> </w:t>
      </w:r>
      <w:r>
        <w:rPr>
          <w:color w:val="231F20"/>
          <w:spacing w:val="-2"/>
        </w:rPr>
        <w:t>been</w:t>
      </w:r>
      <w:r>
        <w:rPr>
          <w:color w:val="231F20"/>
          <w:spacing w:val="-10"/>
        </w:rPr>
        <w:t> </w:t>
      </w:r>
      <w:r>
        <w:rPr>
          <w:color w:val="231F20"/>
          <w:spacing w:val="-2"/>
        </w:rPr>
        <w:t>pos- </w:t>
      </w:r>
      <w:r>
        <w:rPr>
          <w:color w:val="231F20"/>
        </w:rPr>
        <w:t>sible</w:t>
      </w:r>
      <w:r>
        <w:rPr>
          <w:color w:val="231F20"/>
          <w:spacing w:val="-14"/>
        </w:rPr>
        <w:t> </w:t>
      </w:r>
      <w:r>
        <w:rPr>
          <w:color w:val="231F20"/>
        </w:rPr>
        <w:t>without</w:t>
      </w:r>
      <w:r>
        <w:rPr>
          <w:color w:val="231F20"/>
          <w:spacing w:val="-13"/>
        </w:rPr>
        <w:t> </w:t>
      </w:r>
      <w:r>
        <w:rPr>
          <w:color w:val="231F20"/>
        </w:rPr>
        <w:t>the</w:t>
      </w:r>
      <w:r>
        <w:rPr>
          <w:color w:val="231F20"/>
          <w:spacing w:val="-13"/>
        </w:rPr>
        <w:t> </w:t>
      </w:r>
      <w:r>
        <w:rPr>
          <w:color w:val="231F20"/>
        </w:rPr>
        <w:t>support</w:t>
      </w:r>
      <w:r>
        <w:rPr>
          <w:color w:val="231F20"/>
          <w:spacing w:val="-13"/>
        </w:rPr>
        <w:t> </w:t>
      </w:r>
      <w:r>
        <w:rPr>
          <w:color w:val="231F20"/>
        </w:rPr>
        <w:t>and</w:t>
      </w:r>
      <w:r>
        <w:rPr>
          <w:color w:val="231F20"/>
          <w:spacing w:val="-13"/>
        </w:rPr>
        <w:t> </w:t>
      </w:r>
      <w:r>
        <w:rPr>
          <w:color w:val="231F20"/>
        </w:rPr>
        <w:t>participation</w:t>
      </w:r>
      <w:r>
        <w:rPr>
          <w:color w:val="231F20"/>
          <w:spacing w:val="-13"/>
        </w:rPr>
        <w:t> </w:t>
      </w:r>
      <w:r>
        <w:rPr>
          <w:color w:val="231F20"/>
        </w:rPr>
        <w:t>of the International Federation of Freight For- </w:t>
      </w:r>
      <w:r>
        <w:rPr>
          <w:color w:val="231F20"/>
          <w:spacing w:val="-2"/>
        </w:rPr>
        <w:t>warders</w:t>
      </w:r>
      <w:r>
        <w:rPr>
          <w:color w:val="231F20"/>
          <w:spacing w:val="-12"/>
        </w:rPr>
        <w:t> </w:t>
      </w:r>
      <w:r>
        <w:rPr>
          <w:color w:val="231F20"/>
          <w:spacing w:val="-2"/>
        </w:rPr>
        <w:t>Associations</w:t>
      </w:r>
      <w:r>
        <w:rPr>
          <w:color w:val="231F20"/>
          <w:spacing w:val="-11"/>
        </w:rPr>
        <w:t> </w:t>
      </w:r>
      <w:r>
        <w:rPr>
          <w:color w:val="231F20"/>
          <w:spacing w:val="-2"/>
        </w:rPr>
        <w:t>(</w:t>
      </w:r>
      <w:hyperlink r:id="rId23">
        <w:r>
          <w:rPr>
            <w:color w:val="231F20"/>
            <w:spacing w:val="-2"/>
          </w:rPr>
          <w:t>www.fiata.com</w:t>
        </w:r>
      </w:hyperlink>
      <w:r>
        <w:rPr>
          <w:color w:val="231F20"/>
          <w:spacing w:val="-2"/>
        </w:rPr>
        <w:t>),</w:t>
      </w:r>
      <w:r>
        <w:rPr>
          <w:color w:val="231F20"/>
          <w:spacing w:val="-11"/>
        </w:rPr>
        <w:t> </w:t>
      </w:r>
      <w:r>
        <w:rPr>
          <w:color w:val="231F20"/>
          <w:spacing w:val="-2"/>
        </w:rPr>
        <w:t>espe- </w:t>
      </w:r>
      <w:r>
        <w:rPr>
          <w:color w:val="231F20"/>
          <w:spacing w:val="-4"/>
        </w:rPr>
        <w:t>cially</w:t>
      </w:r>
      <w:r>
        <w:rPr>
          <w:color w:val="231F20"/>
          <w:spacing w:val="-10"/>
        </w:rPr>
        <w:t> </w:t>
      </w:r>
      <w:r>
        <w:rPr>
          <w:color w:val="231F20"/>
          <w:spacing w:val="-4"/>
        </w:rPr>
        <w:t>Stéphane</w:t>
      </w:r>
      <w:r>
        <w:rPr>
          <w:color w:val="231F20"/>
          <w:spacing w:val="-9"/>
        </w:rPr>
        <w:t> </w:t>
      </w:r>
      <w:r>
        <w:rPr>
          <w:color w:val="231F20"/>
          <w:spacing w:val="-4"/>
        </w:rPr>
        <w:t>Graber</w:t>
      </w:r>
      <w:r>
        <w:rPr>
          <w:color w:val="231F20"/>
          <w:spacing w:val="-9"/>
        </w:rPr>
        <w:t> </w:t>
      </w:r>
      <w:r>
        <w:rPr>
          <w:color w:val="231F20"/>
          <w:spacing w:val="-4"/>
        </w:rPr>
        <w:t>(Director</w:t>
      </w:r>
      <w:r>
        <w:rPr>
          <w:color w:val="231F20"/>
          <w:spacing w:val="-9"/>
        </w:rPr>
        <w:t> </w:t>
      </w:r>
      <w:r>
        <w:rPr>
          <w:color w:val="231F20"/>
          <w:spacing w:val="-4"/>
        </w:rPr>
        <w:t>General)</w:t>
      </w:r>
      <w:r>
        <w:rPr>
          <w:color w:val="231F20"/>
          <w:spacing w:val="-9"/>
        </w:rPr>
        <w:t> </w:t>
      </w:r>
      <w:r>
        <w:rPr>
          <w:color w:val="231F20"/>
          <w:spacing w:val="-4"/>
        </w:rPr>
        <w:t>and </w:t>
      </w:r>
      <w:r>
        <w:rPr>
          <w:color w:val="231F20"/>
        </w:rPr>
        <w:t>Amanda Stock (Communications Officer). </w:t>
      </w:r>
      <w:r>
        <w:rPr>
          <w:color w:val="231F20"/>
          <w:spacing w:val="-4"/>
        </w:rPr>
        <w:t>National</w:t>
      </w:r>
      <w:r>
        <w:rPr>
          <w:color w:val="231F20"/>
          <w:spacing w:val="-9"/>
        </w:rPr>
        <w:t> </w:t>
      </w:r>
      <w:r>
        <w:rPr>
          <w:color w:val="231F20"/>
          <w:spacing w:val="-4"/>
        </w:rPr>
        <w:t>freight</w:t>
      </w:r>
      <w:r>
        <w:rPr>
          <w:color w:val="231F20"/>
          <w:spacing w:val="-9"/>
        </w:rPr>
        <w:t> </w:t>
      </w:r>
      <w:r>
        <w:rPr>
          <w:color w:val="231F20"/>
          <w:spacing w:val="-4"/>
        </w:rPr>
        <w:t>forwarding</w:t>
      </w:r>
      <w:r>
        <w:rPr>
          <w:color w:val="231F20"/>
          <w:spacing w:val="-9"/>
        </w:rPr>
        <w:t> </w:t>
      </w:r>
      <w:r>
        <w:rPr>
          <w:color w:val="231F20"/>
          <w:spacing w:val="-4"/>
        </w:rPr>
        <w:t>associations</w:t>
      </w:r>
      <w:r>
        <w:rPr>
          <w:color w:val="231F20"/>
          <w:spacing w:val="-9"/>
        </w:rPr>
        <w:t> </w:t>
      </w:r>
      <w:r>
        <w:rPr>
          <w:color w:val="231F20"/>
          <w:spacing w:val="-4"/>
        </w:rPr>
        <w:t>and</w:t>
      </w:r>
      <w:r>
        <w:rPr>
          <w:color w:val="231F20"/>
          <w:spacing w:val="-9"/>
        </w:rPr>
        <w:t> </w:t>
      </w:r>
      <w:r>
        <w:rPr>
          <w:color w:val="231F20"/>
          <w:spacing w:val="-4"/>
        </w:rPr>
        <w:t>a large</w:t>
      </w:r>
      <w:r>
        <w:rPr>
          <w:color w:val="231F20"/>
          <w:spacing w:val="-9"/>
        </w:rPr>
        <w:t> </w:t>
      </w:r>
      <w:r>
        <w:rPr>
          <w:color w:val="231F20"/>
          <w:spacing w:val="-4"/>
        </w:rPr>
        <w:t>group</w:t>
      </w:r>
      <w:r>
        <w:rPr>
          <w:color w:val="231F20"/>
          <w:spacing w:val="-9"/>
        </w:rPr>
        <w:t> </w:t>
      </w:r>
      <w:r>
        <w:rPr>
          <w:color w:val="231F20"/>
          <w:spacing w:val="-4"/>
        </w:rPr>
        <w:t>of</w:t>
      </w:r>
      <w:r>
        <w:rPr>
          <w:color w:val="231F20"/>
          <w:spacing w:val="-9"/>
        </w:rPr>
        <w:t> </w:t>
      </w:r>
      <w:r>
        <w:rPr>
          <w:color w:val="231F20"/>
          <w:spacing w:val="-4"/>
        </w:rPr>
        <w:t>small,</w:t>
      </w:r>
      <w:r>
        <w:rPr>
          <w:color w:val="231F20"/>
          <w:spacing w:val="-9"/>
        </w:rPr>
        <w:t> </w:t>
      </w:r>
      <w:r>
        <w:rPr>
          <w:color w:val="231F20"/>
          <w:spacing w:val="-4"/>
        </w:rPr>
        <w:t>medium,</w:t>
      </w:r>
      <w:r>
        <w:rPr>
          <w:color w:val="231F20"/>
          <w:spacing w:val="-9"/>
        </w:rPr>
        <w:t> </w:t>
      </w:r>
      <w:r>
        <w:rPr>
          <w:color w:val="231F20"/>
          <w:spacing w:val="-4"/>
        </w:rPr>
        <w:t>and</w:t>
      </w:r>
      <w:r>
        <w:rPr>
          <w:color w:val="231F20"/>
          <w:spacing w:val="-9"/>
        </w:rPr>
        <w:t> </w:t>
      </w:r>
      <w:r>
        <w:rPr>
          <w:color w:val="231F20"/>
          <w:spacing w:val="-4"/>
        </w:rPr>
        <w:t>large</w:t>
      </w:r>
      <w:r>
        <w:rPr>
          <w:color w:val="231F20"/>
          <w:spacing w:val="-9"/>
        </w:rPr>
        <w:t> </w:t>
      </w:r>
      <w:r>
        <w:rPr>
          <w:color w:val="231F20"/>
          <w:spacing w:val="-4"/>
        </w:rPr>
        <w:t>logis- </w:t>
      </w:r>
      <w:r>
        <w:rPr>
          <w:color w:val="231F20"/>
        </w:rPr>
        <w:t>tics</w:t>
      </w:r>
      <w:r>
        <w:rPr>
          <w:color w:val="231F20"/>
          <w:spacing w:val="-14"/>
        </w:rPr>
        <w:t> </w:t>
      </w:r>
      <w:r>
        <w:rPr>
          <w:color w:val="231F20"/>
        </w:rPr>
        <w:t>companies</w:t>
      </w:r>
      <w:r>
        <w:rPr>
          <w:color w:val="231F20"/>
          <w:spacing w:val="-13"/>
        </w:rPr>
        <w:t> </w:t>
      </w:r>
      <w:r>
        <w:rPr>
          <w:color w:val="231F20"/>
        </w:rPr>
        <w:t>worldwide</w:t>
      </w:r>
      <w:r>
        <w:rPr>
          <w:color w:val="231F20"/>
          <w:spacing w:val="-13"/>
        </w:rPr>
        <w:t> </w:t>
      </w:r>
      <w:r>
        <w:rPr>
          <w:color w:val="231F20"/>
        </w:rPr>
        <w:t>were</w:t>
      </w:r>
      <w:r>
        <w:rPr>
          <w:color w:val="231F20"/>
          <w:spacing w:val="-13"/>
        </w:rPr>
        <w:t> </w:t>
      </w:r>
      <w:r>
        <w:rPr>
          <w:color w:val="231F20"/>
        </w:rPr>
        <w:t>instrumental </w:t>
      </w:r>
      <w:r>
        <w:rPr>
          <w:color w:val="231F20"/>
          <w:w w:val="90"/>
        </w:rPr>
        <w:t>in disseminating the survey. The survey was de- signed with Finland’s Turku School of Econom- ics, University of Turku (</w:t>
      </w:r>
      <w:hyperlink r:id="rId24">
        <w:r>
          <w:rPr>
            <w:color w:val="231F20"/>
            <w:w w:val="90"/>
          </w:rPr>
          <w:t>www.utu.fi/en</w:t>
        </w:r>
      </w:hyperlink>
      <w:r>
        <w:rPr>
          <w:color w:val="231F20"/>
          <w:w w:val="90"/>
        </w:rPr>
        <w:t>), which </w:t>
      </w:r>
      <w:r>
        <w:rPr>
          <w:color w:val="231F20"/>
          <w:spacing w:val="-8"/>
        </w:rPr>
        <w:t>has worked</w:t>
      </w:r>
      <w:r>
        <w:rPr>
          <w:color w:val="231F20"/>
          <w:spacing w:val="-5"/>
        </w:rPr>
        <w:t> </w:t>
      </w:r>
      <w:r>
        <w:rPr>
          <w:color w:val="231F20"/>
          <w:spacing w:val="-8"/>
        </w:rPr>
        <w:t>with</w:t>
      </w:r>
      <w:r>
        <w:rPr>
          <w:color w:val="231F20"/>
          <w:spacing w:val="-5"/>
        </w:rPr>
        <w:t> </w:t>
      </w:r>
      <w:r>
        <w:rPr>
          <w:color w:val="231F20"/>
          <w:spacing w:val="-8"/>
        </w:rPr>
        <w:t>the</w:t>
      </w:r>
      <w:r>
        <w:rPr>
          <w:color w:val="231F20"/>
          <w:spacing w:val="-5"/>
        </w:rPr>
        <w:t> </w:t>
      </w:r>
      <w:r>
        <w:rPr>
          <w:color w:val="231F20"/>
          <w:spacing w:val="-8"/>
        </w:rPr>
        <w:t>World</w:t>
      </w:r>
      <w:r>
        <w:rPr>
          <w:color w:val="231F20"/>
          <w:spacing w:val="-5"/>
        </w:rPr>
        <w:t> </w:t>
      </w:r>
      <w:r>
        <w:rPr>
          <w:color w:val="231F20"/>
          <w:spacing w:val="-8"/>
        </w:rPr>
        <w:t>Bank</w:t>
      </w:r>
      <w:r>
        <w:rPr>
          <w:color w:val="231F20"/>
          <w:spacing w:val="-5"/>
        </w:rPr>
        <w:t> </w:t>
      </w:r>
      <w:r>
        <w:rPr>
          <w:color w:val="231F20"/>
          <w:spacing w:val="-8"/>
        </w:rPr>
        <w:t>to</w:t>
      </w:r>
      <w:r>
        <w:rPr>
          <w:color w:val="231F20"/>
          <w:spacing w:val="-5"/>
        </w:rPr>
        <w:t> </w:t>
      </w:r>
      <w:r>
        <w:rPr>
          <w:color w:val="231F20"/>
          <w:spacing w:val="-8"/>
        </w:rPr>
        <w:t>develop</w:t>
      </w:r>
      <w:r>
        <w:rPr>
          <w:color w:val="231F20"/>
          <w:spacing w:val="-5"/>
        </w:rPr>
        <w:t> </w:t>
      </w:r>
      <w:r>
        <w:rPr>
          <w:color w:val="231F20"/>
          <w:spacing w:val="-8"/>
        </w:rPr>
        <w:t>the </w:t>
      </w:r>
      <w:r>
        <w:rPr>
          <w:color w:val="231F20"/>
          <w:spacing w:val="-6"/>
        </w:rPr>
        <w:t>concept</w:t>
      </w:r>
      <w:r>
        <w:rPr>
          <w:color w:val="231F20"/>
          <w:spacing w:val="-8"/>
        </w:rPr>
        <w:t> </w:t>
      </w:r>
      <w:r>
        <w:rPr>
          <w:color w:val="231F20"/>
          <w:spacing w:val="-6"/>
        </w:rPr>
        <w:t>since</w:t>
      </w:r>
      <w:r>
        <w:rPr>
          <w:color w:val="231F20"/>
          <w:spacing w:val="-7"/>
        </w:rPr>
        <w:t> </w:t>
      </w:r>
      <w:r>
        <w:rPr>
          <w:color w:val="231F20"/>
          <w:spacing w:val="-6"/>
        </w:rPr>
        <w:t>2005.</w:t>
      </w:r>
      <w:r>
        <w:rPr>
          <w:color w:val="231F20"/>
          <w:spacing w:val="-7"/>
        </w:rPr>
        <w:t> </w:t>
      </w:r>
      <w:r>
        <w:rPr>
          <w:color w:val="231F20"/>
          <w:spacing w:val="-6"/>
        </w:rPr>
        <w:t>The</w:t>
      </w:r>
      <w:r>
        <w:rPr>
          <w:color w:val="231F20"/>
          <w:spacing w:val="-7"/>
        </w:rPr>
        <w:t> </w:t>
      </w:r>
      <w:r>
        <w:rPr>
          <w:color w:val="231F20"/>
          <w:spacing w:val="-6"/>
        </w:rPr>
        <w:t>authors</w:t>
      </w:r>
      <w:r>
        <w:rPr>
          <w:color w:val="231F20"/>
          <w:spacing w:val="-7"/>
        </w:rPr>
        <w:t> </w:t>
      </w:r>
      <w:r>
        <w:rPr>
          <w:color w:val="231F20"/>
          <w:spacing w:val="-6"/>
        </w:rPr>
        <w:t>thank</w:t>
      </w:r>
      <w:r>
        <w:rPr>
          <w:color w:val="231F20"/>
          <w:spacing w:val="-7"/>
        </w:rPr>
        <w:t> </w:t>
      </w:r>
      <w:r>
        <w:rPr>
          <w:color w:val="231F20"/>
          <w:spacing w:val="-6"/>
        </w:rPr>
        <w:t>the</w:t>
      </w:r>
      <w:r>
        <w:rPr>
          <w:color w:val="231F20"/>
          <w:spacing w:val="-7"/>
        </w:rPr>
        <w:t> </w:t>
      </w:r>
      <w:r>
        <w:rPr>
          <w:color w:val="231F20"/>
          <w:spacing w:val="-6"/>
        </w:rPr>
        <w:t>hun- </w:t>
      </w:r>
      <w:r>
        <w:rPr>
          <w:color w:val="231F20"/>
          <w:w w:val="90"/>
        </w:rPr>
        <w:t>dreds</w:t>
      </w:r>
      <w:r>
        <w:rPr>
          <w:color w:val="231F20"/>
          <w:spacing w:val="-6"/>
          <w:w w:val="90"/>
        </w:rPr>
        <w:t> </w:t>
      </w:r>
      <w:r>
        <w:rPr>
          <w:color w:val="231F20"/>
          <w:w w:val="90"/>
        </w:rPr>
        <w:t>of</w:t>
      </w:r>
      <w:r>
        <w:rPr>
          <w:color w:val="231F20"/>
          <w:spacing w:val="-6"/>
          <w:w w:val="90"/>
        </w:rPr>
        <w:t> </w:t>
      </w:r>
      <w:r>
        <w:rPr>
          <w:color w:val="231F20"/>
          <w:w w:val="90"/>
        </w:rPr>
        <w:t>employees</w:t>
      </w:r>
      <w:r>
        <w:rPr>
          <w:color w:val="231F20"/>
          <w:spacing w:val="-6"/>
          <w:w w:val="90"/>
        </w:rPr>
        <w:t> </w:t>
      </w:r>
      <w:r>
        <w:rPr>
          <w:color w:val="231F20"/>
          <w:w w:val="90"/>
        </w:rPr>
        <w:t>of</w:t>
      </w:r>
      <w:r>
        <w:rPr>
          <w:color w:val="231F20"/>
          <w:spacing w:val="-6"/>
          <w:w w:val="90"/>
        </w:rPr>
        <w:t> </w:t>
      </w:r>
      <w:r>
        <w:rPr>
          <w:color w:val="231F20"/>
          <w:w w:val="90"/>
        </w:rPr>
        <w:t>freight</w:t>
      </w:r>
      <w:r>
        <w:rPr>
          <w:color w:val="231F20"/>
          <w:spacing w:val="-6"/>
          <w:w w:val="90"/>
        </w:rPr>
        <w:t> </w:t>
      </w:r>
      <w:r>
        <w:rPr>
          <w:color w:val="231F20"/>
          <w:w w:val="90"/>
        </w:rPr>
        <w:t>forwarding</w:t>
      </w:r>
      <w:r>
        <w:rPr>
          <w:color w:val="231F20"/>
          <w:spacing w:val="-6"/>
          <w:w w:val="90"/>
        </w:rPr>
        <w:t> </w:t>
      </w:r>
      <w:r>
        <w:rPr>
          <w:color w:val="231F20"/>
          <w:w w:val="90"/>
        </w:rPr>
        <w:t>and</w:t>
      </w:r>
      <w:r>
        <w:rPr>
          <w:color w:val="231F20"/>
          <w:spacing w:val="-6"/>
          <w:w w:val="90"/>
        </w:rPr>
        <w:t> </w:t>
      </w:r>
      <w:r>
        <w:rPr>
          <w:color w:val="231F20"/>
          <w:w w:val="90"/>
        </w:rPr>
        <w:t>ex- </w:t>
      </w:r>
      <w:r>
        <w:rPr>
          <w:color w:val="231F20"/>
          <w:spacing w:val="-4"/>
        </w:rPr>
        <w:t>press</w:t>
      </w:r>
      <w:r>
        <w:rPr>
          <w:color w:val="231F20"/>
          <w:spacing w:val="-9"/>
        </w:rPr>
        <w:t> </w:t>
      </w:r>
      <w:r>
        <w:rPr>
          <w:color w:val="231F20"/>
          <w:spacing w:val="-4"/>
        </w:rPr>
        <w:t>carrier</w:t>
      </w:r>
      <w:r>
        <w:rPr>
          <w:color w:val="231F20"/>
          <w:spacing w:val="-9"/>
        </w:rPr>
        <w:t> </w:t>
      </w:r>
      <w:r>
        <w:rPr>
          <w:color w:val="231F20"/>
          <w:spacing w:val="-4"/>
        </w:rPr>
        <w:t>companies</w:t>
      </w:r>
      <w:r>
        <w:rPr>
          <w:color w:val="231F20"/>
          <w:spacing w:val="-9"/>
        </w:rPr>
        <w:t> </w:t>
      </w:r>
      <w:r>
        <w:rPr>
          <w:color w:val="231F20"/>
          <w:spacing w:val="-4"/>
        </w:rPr>
        <w:t>around</w:t>
      </w:r>
      <w:r>
        <w:rPr>
          <w:color w:val="231F20"/>
          <w:spacing w:val="-9"/>
        </w:rPr>
        <w:t> </w:t>
      </w:r>
      <w:r>
        <w:rPr>
          <w:color w:val="231F20"/>
          <w:spacing w:val="-4"/>
        </w:rPr>
        <w:t>the</w:t>
      </w:r>
      <w:r>
        <w:rPr>
          <w:color w:val="231F20"/>
          <w:spacing w:val="-9"/>
        </w:rPr>
        <w:t> </w:t>
      </w:r>
      <w:r>
        <w:rPr>
          <w:color w:val="231F20"/>
          <w:spacing w:val="-4"/>
        </w:rPr>
        <w:t>world</w:t>
      </w:r>
      <w:r>
        <w:rPr>
          <w:color w:val="231F20"/>
          <w:spacing w:val="-9"/>
        </w:rPr>
        <w:t> </w:t>
      </w:r>
      <w:r>
        <w:rPr>
          <w:color w:val="231F20"/>
          <w:spacing w:val="-4"/>
        </w:rPr>
        <w:t>who </w:t>
      </w:r>
      <w:r>
        <w:rPr>
          <w:color w:val="231F20"/>
        </w:rPr>
        <w:t>responded to the survey.</w:t>
      </w:r>
    </w:p>
    <w:p>
      <w:pPr>
        <w:spacing w:after="0" w:line="268" w:lineRule="auto"/>
        <w:jc w:val="both"/>
        <w:sectPr>
          <w:type w:val="continuous"/>
          <w:pgSz w:w="12240" w:h="15840"/>
          <w:pgMar w:header="0" w:footer="548" w:top="1140" w:bottom="280" w:left="0" w:right="540"/>
          <w:cols w:num="2" w:equalWidth="0">
            <w:col w:w="7082" w:space="40"/>
            <w:col w:w="4578"/>
          </w:cols>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3"/>
      </w:pPr>
    </w:p>
    <w:p>
      <w:pPr>
        <w:tabs>
          <w:tab w:pos="5399" w:val="left" w:leader="none"/>
        </w:tabs>
        <w:spacing w:before="0"/>
        <w:ind w:left="3840" w:right="0" w:firstLine="0"/>
        <w:jc w:val="left"/>
        <w:rPr>
          <w:sz w:val="21"/>
        </w:rPr>
      </w:pPr>
      <w:bookmarkStart w:name="_bookmark1" w:id="2"/>
      <w:bookmarkEnd w:id="2"/>
      <w:r>
        <w:rPr/>
      </w:r>
      <w:r>
        <w:rPr>
          <w:b/>
          <w:color w:val="231F20"/>
          <w:w w:val="95"/>
          <w:sz w:val="21"/>
        </w:rPr>
        <w:t>COVID-</w:t>
      </w:r>
      <w:r>
        <w:rPr>
          <w:b/>
          <w:color w:val="231F20"/>
          <w:spacing w:val="-5"/>
          <w:sz w:val="21"/>
        </w:rPr>
        <w:t>19</w:t>
      </w:r>
      <w:r>
        <w:rPr>
          <w:b/>
          <w:color w:val="231F20"/>
          <w:sz w:val="21"/>
        </w:rPr>
        <w:tab/>
      </w:r>
      <w:r>
        <w:rPr>
          <w:color w:val="231F20"/>
          <w:w w:val="90"/>
          <w:sz w:val="21"/>
        </w:rPr>
        <w:t>Coronavirus</w:t>
      </w:r>
      <w:r>
        <w:rPr>
          <w:color w:val="231F20"/>
          <w:spacing w:val="21"/>
          <w:sz w:val="21"/>
        </w:rPr>
        <w:t> </w:t>
      </w:r>
      <w:r>
        <w:rPr>
          <w:color w:val="231F20"/>
          <w:w w:val="90"/>
          <w:sz w:val="21"/>
        </w:rPr>
        <w:t>Disease</w:t>
      </w:r>
      <w:r>
        <w:rPr>
          <w:color w:val="231F20"/>
          <w:spacing w:val="22"/>
          <w:sz w:val="21"/>
        </w:rPr>
        <w:t> </w:t>
      </w:r>
      <w:r>
        <w:rPr>
          <w:color w:val="231F20"/>
          <w:spacing w:val="-4"/>
          <w:w w:val="90"/>
          <w:sz w:val="21"/>
        </w:rPr>
        <w:t>2019</w:t>
      </w:r>
    </w:p>
    <w:p>
      <w:pPr>
        <w:pStyle w:val="BodyText"/>
        <w:tabs>
          <w:tab w:pos="5399" w:val="left" w:leader="none"/>
        </w:tabs>
        <w:spacing w:before="29"/>
        <w:ind w:left="3840"/>
      </w:pPr>
      <w:r>
        <w:rPr>
          <w:b/>
          <w:color w:val="231F20"/>
          <w:spacing w:val="-5"/>
        </w:rPr>
        <w:t>EDI</w:t>
      </w:r>
      <w:r>
        <w:rPr>
          <w:b/>
          <w:color w:val="231F20"/>
        </w:rPr>
        <w:tab/>
      </w:r>
      <w:r>
        <w:rPr>
          <w:color w:val="231F20"/>
          <w:spacing w:val="-4"/>
        </w:rPr>
        <w:t>Electronic</w:t>
      </w:r>
      <w:r>
        <w:rPr>
          <w:color w:val="231F20"/>
          <w:spacing w:val="-13"/>
        </w:rPr>
        <w:t> </w:t>
      </w:r>
      <w:r>
        <w:rPr>
          <w:color w:val="231F20"/>
          <w:spacing w:val="-4"/>
        </w:rPr>
        <w:t>Data</w:t>
      </w:r>
      <w:r>
        <w:rPr>
          <w:color w:val="231F20"/>
          <w:spacing w:val="-13"/>
        </w:rPr>
        <w:t> </w:t>
      </w:r>
      <w:r>
        <w:rPr>
          <w:color w:val="231F20"/>
          <w:spacing w:val="-4"/>
        </w:rPr>
        <w:t>Interchange</w:t>
      </w:r>
    </w:p>
    <w:p>
      <w:pPr>
        <w:pStyle w:val="BodyText"/>
        <w:tabs>
          <w:tab w:pos="5399" w:val="left" w:leader="none"/>
        </w:tabs>
        <w:spacing w:before="28"/>
        <w:ind w:left="3840"/>
      </w:pPr>
      <w:r>
        <w:rPr>
          <w:b/>
          <w:color w:val="231F20"/>
          <w:spacing w:val="-5"/>
        </w:rPr>
        <w:t>GDP</w:t>
      </w:r>
      <w:r>
        <w:rPr>
          <w:b/>
          <w:color w:val="231F20"/>
        </w:rPr>
        <w:tab/>
      </w:r>
      <w:r>
        <w:rPr>
          <w:color w:val="231F20"/>
          <w:w w:val="90"/>
        </w:rPr>
        <w:t>Gross</w:t>
      </w:r>
      <w:r>
        <w:rPr>
          <w:color w:val="231F20"/>
          <w:spacing w:val="13"/>
        </w:rPr>
        <w:t> </w:t>
      </w:r>
      <w:r>
        <w:rPr>
          <w:color w:val="231F20"/>
          <w:w w:val="90"/>
        </w:rPr>
        <w:t>Domestic</w:t>
      </w:r>
      <w:r>
        <w:rPr>
          <w:color w:val="231F20"/>
          <w:spacing w:val="13"/>
        </w:rPr>
        <w:t> </w:t>
      </w:r>
      <w:r>
        <w:rPr>
          <w:color w:val="231F20"/>
          <w:spacing w:val="-2"/>
          <w:w w:val="90"/>
        </w:rPr>
        <w:t>Product</w:t>
      </w:r>
    </w:p>
    <w:p>
      <w:pPr>
        <w:pStyle w:val="BodyText"/>
        <w:tabs>
          <w:tab w:pos="5399" w:val="left" w:leader="none"/>
        </w:tabs>
        <w:spacing w:before="29"/>
        <w:ind w:left="3840"/>
      </w:pPr>
      <w:r>
        <w:rPr>
          <w:b/>
          <w:color w:val="231F20"/>
          <w:spacing w:val="-5"/>
        </w:rPr>
        <w:t>LPI</w:t>
      </w:r>
      <w:r>
        <w:rPr>
          <w:b/>
          <w:color w:val="231F20"/>
        </w:rPr>
        <w:tab/>
      </w:r>
      <w:r>
        <w:rPr>
          <w:color w:val="231F20"/>
          <w:w w:val="90"/>
        </w:rPr>
        <w:t>Logistics</w:t>
      </w:r>
      <w:r>
        <w:rPr>
          <w:color w:val="231F20"/>
          <w:spacing w:val="14"/>
        </w:rPr>
        <w:t> </w:t>
      </w:r>
      <w:r>
        <w:rPr>
          <w:color w:val="231F20"/>
          <w:w w:val="90"/>
        </w:rPr>
        <w:t>Performance</w:t>
      </w:r>
      <w:r>
        <w:rPr>
          <w:color w:val="231F20"/>
          <w:spacing w:val="14"/>
        </w:rPr>
        <w:t> </w:t>
      </w:r>
      <w:r>
        <w:rPr>
          <w:color w:val="231F20"/>
          <w:spacing w:val="-2"/>
          <w:w w:val="90"/>
        </w:rPr>
        <w:t>Index</w:t>
      </w:r>
    </w:p>
    <w:p>
      <w:pPr>
        <w:pStyle w:val="BodyText"/>
        <w:tabs>
          <w:tab w:pos="5399" w:val="left" w:leader="none"/>
        </w:tabs>
        <w:spacing w:line="268" w:lineRule="auto" w:before="28"/>
        <w:ind w:left="5400" w:right="3459" w:hanging="1560"/>
      </w:pPr>
      <w:r>
        <w:rPr>
          <w:b/>
          <w:color w:val="231F20"/>
          <w:spacing w:val="-4"/>
        </w:rPr>
        <w:t>TIR</w:t>
      </w:r>
      <w:r>
        <w:rPr>
          <w:b/>
          <w:color w:val="231F20"/>
        </w:rPr>
        <w:tab/>
      </w:r>
      <w:r>
        <w:rPr>
          <w:color w:val="231F20"/>
          <w:spacing w:val="-4"/>
        </w:rPr>
        <w:t>Transports</w:t>
      </w:r>
      <w:r>
        <w:rPr>
          <w:color w:val="231F20"/>
          <w:spacing w:val="-5"/>
        </w:rPr>
        <w:t> </w:t>
      </w:r>
      <w:r>
        <w:rPr>
          <w:color w:val="231F20"/>
          <w:spacing w:val="-4"/>
        </w:rPr>
        <w:t>Internationaux</w:t>
      </w:r>
      <w:r>
        <w:rPr>
          <w:color w:val="231F20"/>
          <w:spacing w:val="-5"/>
        </w:rPr>
        <w:t> </w:t>
      </w:r>
      <w:r>
        <w:rPr>
          <w:color w:val="231F20"/>
          <w:spacing w:val="-4"/>
        </w:rPr>
        <w:t>Routiers </w:t>
      </w:r>
      <w:r>
        <w:rPr>
          <w:color w:val="231F20"/>
        </w:rPr>
        <w:t>(Routiers,</w:t>
      </w:r>
      <w:r>
        <w:rPr>
          <w:color w:val="231F20"/>
          <w:spacing w:val="-7"/>
        </w:rPr>
        <w:t> </w:t>
      </w:r>
      <w:r>
        <w:rPr>
          <w:color w:val="231F20"/>
        </w:rPr>
        <w:t>a</w:t>
      </w:r>
      <w:r>
        <w:rPr>
          <w:color w:val="231F20"/>
          <w:spacing w:val="-7"/>
        </w:rPr>
        <w:t> </w:t>
      </w:r>
      <w:r>
        <w:rPr>
          <w:color w:val="231F20"/>
        </w:rPr>
        <w:t>road</w:t>
      </w:r>
      <w:r>
        <w:rPr>
          <w:color w:val="231F20"/>
          <w:spacing w:val="-7"/>
        </w:rPr>
        <w:t> </w:t>
      </w:r>
      <w:r>
        <w:rPr>
          <w:color w:val="231F20"/>
        </w:rPr>
        <w:t>transit</w:t>
      </w:r>
      <w:r>
        <w:rPr>
          <w:color w:val="231F20"/>
          <w:spacing w:val="-7"/>
        </w:rPr>
        <w:t> </w:t>
      </w:r>
      <w:r>
        <w:rPr>
          <w:color w:val="231F20"/>
        </w:rPr>
        <w:t>system)</w:t>
      </w:r>
    </w:p>
    <w:p>
      <w:pPr>
        <w:pStyle w:val="BodyText"/>
        <w:tabs>
          <w:tab w:pos="5399" w:val="left" w:leader="none"/>
        </w:tabs>
        <w:spacing w:line="241" w:lineRule="exact"/>
        <w:ind w:left="3840"/>
      </w:pPr>
      <w:r>
        <w:rPr>
          <w:b/>
          <w:color w:val="231F20"/>
          <w:spacing w:val="-5"/>
        </w:rPr>
        <w:t>UN</w:t>
      </w:r>
      <w:r>
        <w:rPr>
          <w:b/>
          <w:color w:val="231F20"/>
        </w:rPr>
        <w:tab/>
      </w:r>
      <w:r>
        <w:rPr>
          <w:color w:val="231F20"/>
          <w:spacing w:val="-2"/>
        </w:rPr>
        <w:t>United</w:t>
      </w:r>
      <w:r>
        <w:rPr>
          <w:color w:val="231F20"/>
          <w:spacing w:val="-6"/>
        </w:rPr>
        <w:t> </w:t>
      </w:r>
      <w:r>
        <w:rPr>
          <w:color w:val="231F20"/>
          <w:spacing w:val="-2"/>
        </w:rPr>
        <w:t>Nations</w:t>
      </w:r>
    </w:p>
    <w:p>
      <w:pPr>
        <w:pStyle w:val="BodyText"/>
        <w:tabs>
          <w:tab w:pos="5399" w:val="left" w:leader="none"/>
        </w:tabs>
        <w:spacing w:before="29"/>
        <w:ind w:left="3840"/>
      </w:pPr>
      <w:r>
        <w:rPr>
          <w:b/>
          <w:color w:val="231F20"/>
          <w:spacing w:val="-2"/>
        </w:rPr>
        <w:t>UNLOCODE</w:t>
      </w:r>
      <w:r>
        <w:rPr>
          <w:b/>
          <w:color w:val="231F20"/>
        </w:rPr>
        <w:tab/>
      </w:r>
      <w:r>
        <w:rPr>
          <w:color w:val="231F20"/>
          <w:spacing w:val="-4"/>
        </w:rPr>
        <w:t>United</w:t>
      </w:r>
      <w:r>
        <w:rPr>
          <w:color w:val="231F20"/>
          <w:spacing w:val="-5"/>
        </w:rPr>
        <w:t> </w:t>
      </w:r>
      <w:r>
        <w:rPr>
          <w:color w:val="231F20"/>
          <w:spacing w:val="-4"/>
        </w:rPr>
        <w:t>Nations Code</w:t>
      </w:r>
      <w:r>
        <w:rPr>
          <w:color w:val="231F20"/>
          <w:spacing w:val="-5"/>
        </w:rPr>
        <w:t> </w:t>
      </w:r>
      <w:r>
        <w:rPr>
          <w:color w:val="231F20"/>
          <w:spacing w:val="-4"/>
        </w:rPr>
        <w:t>for Trade</w:t>
      </w:r>
      <w:r>
        <w:rPr>
          <w:color w:val="231F20"/>
          <w:spacing w:val="-5"/>
        </w:rPr>
        <w:t> </w:t>
      </w:r>
      <w:r>
        <w:rPr>
          <w:color w:val="231F20"/>
          <w:spacing w:val="-4"/>
        </w:rPr>
        <w:t>and Transport</w:t>
      </w:r>
      <w:r>
        <w:rPr>
          <w:color w:val="231F20"/>
          <w:spacing w:val="-5"/>
        </w:rPr>
        <w:t> </w:t>
      </w:r>
      <w:r>
        <w:rPr>
          <w:color w:val="231F20"/>
          <w:spacing w:val="-4"/>
        </w:rPr>
        <w:t>Locations</w:t>
      </w:r>
    </w:p>
    <w:p>
      <w:pPr>
        <w:pStyle w:val="BodyText"/>
        <w:tabs>
          <w:tab w:pos="5399" w:val="left" w:leader="none"/>
        </w:tabs>
        <w:spacing w:before="28"/>
        <w:ind w:left="3840"/>
      </w:pPr>
      <w:r>
        <w:rPr>
          <w:b/>
          <w:color w:val="231F20"/>
          <w:spacing w:val="-5"/>
        </w:rPr>
        <w:t>UPU</w:t>
      </w:r>
      <w:r>
        <w:rPr>
          <w:b/>
          <w:color w:val="231F20"/>
        </w:rPr>
        <w:tab/>
      </w:r>
      <w:r>
        <w:rPr>
          <w:color w:val="231F20"/>
          <w:w w:val="90"/>
        </w:rPr>
        <w:t>Universal</w:t>
      </w:r>
      <w:r>
        <w:rPr>
          <w:color w:val="231F20"/>
          <w:spacing w:val="8"/>
        </w:rPr>
        <w:t> </w:t>
      </w:r>
      <w:r>
        <w:rPr>
          <w:color w:val="231F20"/>
          <w:w w:val="90"/>
        </w:rPr>
        <w:t>Postal</w:t>
      </w:r>
      <w:r>
        <w:rPr>
          <w:color w:val="231F20"/>
          <w:spacing w:val="9"/>
        </w:rPr>
        <w:t> </w:t>
      </w:r>
      <w:r>
        <w:rPr>
          <w:color w:val="231F20"/>
          <w:spacing w:val="-4"/>
          <w:w w:val="90"/>
        </w:rPr>
        <w:t>Union</w:t>
      </w:r>
    </w:p>
    <w:p>
      <w:pPr>
        <w:spacing w:after="0"/>
        <w:sectPr>
          <w:headerReference w:type="default" r:id="rId25"/>
          <w:footerReference w:type="default" r:id="rId26"/>
          <w:footerReference w:type="even" r:id="rId27"/>
          <w:pgSz w:w="12240" w:h="15840"/>
          <w:pgMar w:header="1196" w:footer="548" w:top="2120" w:bottom="740" w:left="0" w:right="540"/>
          <w:pgNumType w:start="7"/>
        </w:sectPr>
      </w:pPr>
    </w:p>
    <w:p>
      <w:pPr>
        <w:pStyle w:val="BodyText"/>
        <w:spacing w:after="58"/>
        <w:ind w:left="720"/>
        <w:rPr>
          <w:sz w:val="20"/>
        </w:rPr>
      </w:pPr>
      <w:r>
        <w:rPr>
          <w:sz w:val="20"/>
        </w:rPr>
        <mc:AlternateContent>
          <mc:Choice Requires="wps">
            <w:drawing>
              <wp:inline distT="0" distB="0" distL="0" distR="0">
                <wp:extent cx="6553200" cy="226695"/>
                <wp:effectExtent l="0" t="0" r="0" b="1904"/>
                <wp:docPr id="190" name="Group 190"/>
                <wp:cNvGraphicFramePr>
                  <a:graphicFrameLocks/>
                </wp:cNvGraphicFramePr>
                <a:graphic>
                  <a:graphicData uri="http://schemas.microsoft.com/office/word/2010/wordprocessingGroup">
                    <wpg:wgp>
                      <wpg:cNvPr id="190" name="Group 190"/>
                      <wpg:cNvGrpSpPr/>
                      <wpg:grpSpPr>
                        <a:xfrm>
                          <a:off x="0" y="0"/>
                          <a:ext cx="6553200" cy="226695"/>
                          <a:chExt cx="6553200" cy="226695"/>
                        </a:xfrm>
                      </wpg:grpSpPr>
                      <wps:wsp>
                        <wps:cNvPr id="191" name="Graphic 191"/>
                        <wps:cNvSpPr/>
                        <wps:spPr>
                          <a:xfrm>
                            <a:off x="0" y="0"/>
                            <a:ext cx="6553200" cy="226695"/>
                          </a:xfrm>
                          <a:custGeom>
                            <a:avLst/>
                            <a:gdLst/>
                            <a:ahLst/>
                            <a:cxnLst/>
                            <a:rect l="l" t="t" r="r" b="b"/>
                            <a:pathLst>
                              <a:path w="6553200" h="226695">
                                <a:moveTo>
                                  <a:pt x="6477000" y="0"/>
                                </a:moveTo>
                                <a:lnTo>
                                  <a:pt x="76200" y="0"/>
                                </a:lnTo>
                                <a:lnTo>
                                  <a:pt x="32146" y="1190"/>
                                </a:lnTo>
                                <a:lnTo>
                                  <a:pt x="9525" y="9524"/>
                                </a:lnTo>
                                <a:lnTo>
                                  <a:pt x="1190" y="32146"/>
                                </a:lnTo>
                                <a:lnTo>
                                  <a:pt x="0" y="76199"/>
                                </a:lnTo>
                                <a:lnTo>
                                  <a:pt x="0" y="226491"/>
                                </a:lnTo>
                                <a:lnTo>
                                  <a:pt x="6553200" y="226491"/>
                                </a:lnTo>
                                <a:lnTo>
                                  <a:pt x="6553200" y="76199"/>
                                </a:lnTo>
                                <a:lnTo>
                                  <a:pt x="6552009" y="32146"/>
                                </a:lnTo>
                                <a:lnTo>
                                  <a:pt x="6543675" y="9524"/>
                                </a:lnTo>
                                <a:lnTo>
                                  <a:pt x="6521053" y="1190"/>
                                </a:lnTo>
                                <a:lnTo>
                                  <a:pt x="6477000" y="0"/>
                                </a:lnTo>
                                <a:close/>
                              </a:path>
                            </a:pathLst>
                          </a:custGeom>
                          <a:solidFill>
                            <a:srgbClr val="939598"/>
                          </a:solidFill>
                        </wps:spPr>
                        <wps:bodyPr wrap="square" lIns="0" tIns="0" rIns="0" bIns="0" rtlCol="0">
                          <a:prstTxWarp prst="textNoShape">
                            <a:avLst/>
                          </a:prstTxWarp>
                          <a:noAutofit/>
                        </wps:bodyPr>
                      </wps:wsp>
                      <wps:wsp>
                        <wps:cNvPr id="192" name="Textbox 192"/>
                        <wps:cNvSpPr txBox="1"/>
                        <wps:spPr>
                          <a:xfrm>
                            <a:off x="0" y="0"/>
                            <a:ext cx="6553200" cy="226695"/>
                          </a:xfrm>
                          <a:prstGeom prst="rect">
                            <a:avLst/>
                          </a:prstGeom>
                        </wps:spPr>
                        <wps:txbx>
                          <w:txbxContent>
                            <w:p>
                              <w:pPr>
                                <w:spacing w:before="70"/>
                                <w:ind w:left="222" w:right="0" w:firstLine="0"/>
                                <w:jc w:val="left"/>
                                <w:rPr>
                                  <w:rFonts w:ascii="Arial"/>
                                  <w:b/>
                                  <w:sz w:val="16"/>
                                </w:rPr>
                              </w:pPr>
                              <w:r>
                                <w:rPr>
                                  <w:rFonts w:ascii="Arial"/>
                                  <w:b/>
                                  <w:color w:val="FFFFFF"/>
                                  <w:w w:val="105"/>
                                  <w:sz w:val="16"/>
                                </w:rPr>
                                <w:t>2023</w:t>
                              </w:r>
                              <w:r>
                                <w:rPr>
                                  <w:rFonts w:ascii="Arial"/>
                                  <w:b/>
                                  <w:color w:val="FFFFFF"/>
                                  <w:spacing w:val="18"/>
                                  <w:w w:val="105"/>
                                  <w:sz w:val="16"/>
                                </w:rPr>
                                <w:t> </w:t>
                              </w:r>
                              <w:r>
                                <w:rPr>
                                  <w:rFonts w:ascii="Arial"/>
                                  <w:b/>
                                  <w:color w:val="FFFFFF"/>
                                  <w:w w:val="105"/>
                                  <w:sz w:val="16"/>
                                </w:rPr>
                                <w:t>LPI</w:t>
                              </w:r>
                              <w:r>
                                <w:rPr>
                                  <w:rFonts w:ascii="Arial"/>
                                  <w:b/>
                                  <w:color w:val="FFFFFF"/>
                                  <w:spacing w:val="19"/>
                                  <w:w w:val="105"/>
                                  <w:sz w:val="16"/>
                                </w:rPr>
                                <w:t> </w:t>
                              </w:r>
                              <w:r>
                                <w:rPr>
                                  <w:rFonts w:ascii="Arial"/>
                                  <w:b/>
                                  <w:color w:val="FFFFFF"/>
                                  <w:spacing w:val="-2"/>
                                  <w:w w:val="105"/>
                                  <w:sz w:val="16"/>
                                </w:rPr>
                                <w:t>scores</w:t>
                              </w:r>
                            </w:p>
                          </w:txbxContent>
                        </wps:txbx>
                        <wps:bodyPr wrap="square" lIns="0" tIns="0" rIns="0" bIns="0" rtlCol="0">
                          <a:noAutofit/>
                        </wps:bodyPr>
                      </wps:wsp>
                    </wpg:wgp>
                  </a:graphicData>
                </a:graphic>
              </wp:inline>
            </w:drawing>
          </mc:Choice>
          <mc:Fallback>
            <w:pict>
              <v:group style="width:516pt;height:17.850pt;mso-position-horizontal-relative:char;mso-position-vertical-relative:line" id="docshapegroup150" coordorigin="0,0" coordsize="10320,357">
                <v:shape style="position:absolute;left:0;top:0;width:10320;height:357" id="docshape151" coordorigin="0,0" coordsize="10320,357" path="m10200,0l120,0,51,2,15,15,2,51,0,120,0,357,10320,357,10320,120,10318,51,10305,15,10269,2,10200,0xe" filled="true" fillcolor="#939598" stroked="false">
                  <v:path arrowok="t"/>
                  <v:fill type="solid"/>
                </v:shape>
                <v:shape style="position:absolute;left:0;top:0;width:10320;height:357" type="#_x0000_t202" id="docshape152" filled="false" stroked="false">
                  <v:textbox inset="0,0,0,0">
                    <w:txbxContent>
                      <w:p>
                        <w:pPr>
                          <w:spacing w:before="70"/>
                          <w:ind w:left="222" w:right="0" w:firstLine="0"/>
                          <w:jc w:val="left"/>
                          <w:rPr>
                            <w:rFonts w:ascii="Arial"/>
                            <w:b/>
                            <w:sz w:val="16"/>
                          </w:rPr>
                        </w:pPr>
                        <w:r>
                          <w:rPr>
                            <w:rFonts w:ascii="Arial"/>
                            <w:b/>
                            <w:color w:val="FFFFFF"/>
                            <w:w w:val="105"/>
                            <w:sz w:val="16"/>
                          </w:rPr>
                          <w:t>2023</w:t>
                        </w:r>
                        <w:r>
                          <w:rPr>
                            <w:rFonts w:ascii="Arial"/>
                            <w:b/>
                            <w:color w:val="FFFFFF"/>
                            <w:spacing w:val="18"/>
                            <w:w w:val="105"/>
                            <w:sz w:val="16"/>
                          </w:rPr>
                          <w:t> </w:t>
                        </w:r>
                        <w:r>
                          <w:rPr>
                            <w:rFonts w:ascii="Arial"/>
                            <w:b/>
                            <w:color w:val="FFFFFF"/>
                            <w:w w:val="105"/>
                            <w:sz w:val="16"/>
                          </w:rPr>
                          <w:t>LPI</w:t>
                        </w:r>
                        <w:r>
                          <w:rPr>
                            <w:rFonts w:ascii="Arial"/>
                            <w:b/>
                            <w:color w:val="FFFFFF"/>
                            <w:spacing w:val="19"/>
                            <w:w w:val="105"/>
                            <w:sz w:val="16"/>
                          </w:rPr>
                          <w:t> </w:t>
                        </w:r>
                        <w:r>
                          <w:rPr>
                            <w:rFonts w:ascii="Arial"/>
                            <w:b/>
                            <w:color w:val="FFFFFF"/>
                            <w:spacing w:val="-2"/>
                            <w:w w:val="105"/>
                            <w:sz w:val="16"/>
                          </w:rPr>
                          <w:t>scores</w:t>
                        </w:r>
                      </w:p>
                    </w:txbxContent>
                  </v:textbox>
                  <w10:wrap type="none"/>
                </v:shape>
              </v:group>
            </w:pict>
          </mc:Fallback>
        </mc:AlternateContent>
      </w:r>
      <w:r>
        <w:rPr>
          <w:sz w:val="20"/>
        </w:rPr>
      </w: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7"/>
        <w:gridCol w:w="487"/>
        <w:gridCol w:w="531"/>
        <w:gridCol w:w="549"/>
        <w:gridCol w:w="615"/>
        <w:gridCol w:w="706"/>
        <w:gridCol w:w="368"/>
        <w:gridCol w:w="536"/>
        <w:gridCol w:w="1415"/>
        <w:gridCol w:w="482"/>
        <w:gridCol w:w="532"/>
        <w:gridCol w:w="550"/>
        <w:gridCol w:w="616"/>
        <w:gridCol w:w="707"/>
        <w:gridCol w:w="369"/>
        <w:gridCol w:w="507"/>
      </w:tblGrid>
      <w:tr>
        <w:trPr>
          <w:trHeight w:val="585" w:hRule="atLeast"/>
        </w:trPr>
        <w:tc>
          <w:tcPr>
            <w:tcW w:w="1377" w:type="dxa"/>
            <w:tcBorders>
              <w:bottom w:val="single" w:sz="4" w:space="0" w:color="008FDD"/>
            </w:tcBorders>
          </w:tcPr>
          <w:p>
            <w:pPr>
              <w:pStyle w:val="TableParagraph"/>
              <w:spacing w:before="0"/>
              <w:jc w:val="left"/>
              <w:rPr>
                <w:rFonts w:ascii="Times New Roman"/>
                <w:sz w:val="13"/>
              </w:rPr>
            </w:pPr>
          </w:p>
          <w:p>
            <w:pPr>
              <w:pStyle w:val="TableParagraph"/>
              <w:spacing w:before="124"/>
              <w:jc w:val="left"/>
              <w:rPr>
                <w:rFonts w:ascii="Times New Roman"/>
                <w:sz w:val="13"/>
              </w:rPr>
            </w:pPr>
          </w:p>
          <w:p>
            <w:pPr>
              <w:pStyle w:val="TableParagraph"/>
              <w:spacing w:line="143" w:lineRule="exact" w:before="0"/>
              <w:ind w:left="80"/>
              <w:jc w:val="left"/>
              <w:rPr>
                <w:b/>
                <w:sz w:val="13"/>
              </w:rPr>
            </w:pPr>
            <w:r>
              <w:rPr>
                <w:b/>
                <w:color w:val="231F20"/>
                <w:spacing w:val="-2"/>
                <w:w w:val="90"/>
                <w:sz w:val="13"/>
              </w:rPr>
              <w:t>Economy</w:t>
            </w:r>
          </w:p>
        </w:tc>
        <w:tc>
          <w:tcPr>
            <w:tcW w:w="487" w:type="dxa"/>
            <w:tcBorders>
              <w:bottom w:val="single" w:sz="4" w:space="0" w:color="008FDD"/>
            </w:tcBorders>
          </w:tcPr>
          <w:p>
            <w:pPr>
              <w:pStyle w:val="TableParagraph"/>
              <w:spacing w:before="133"/>
              <w:jc w:val="left"/>
              <w:rPr>
                <w:rFonts w:ascii="Times New Roman"/>
                <w:sz w:val="13"/>
              </w:rPr>
            </w:pPr>
          </w:p>
          <w:p>
            <w:pPr>
              <w:pStyle w:val="TableParagraph"/>
              <w:spacing w:line="145" w:lineRule="exact" w:before="0"/>
              <w:ind w:left="220"/>
              <w:jc w:val="left"/>
              <w:rPr>
                <w:b/>
                <w:sz w:val="13"/>
              </w:rPr>
            </w:pPr>
            <w:r>
              <w:rPr>
                <w:b/>
                <w:color w:val="231F20"/>
                <w:spacing w:val="-5"/>
                <w:w w:val="90"/>
                <w:sz w:val="13"/>
              </w:rPr>
              <w:t>LPI</w:t>
            </w:r>
          </w:p>
          <w:p>
            <w:pPr>
              <w:pStyle w:val="TableParagraph"/>
              <w:spacing w:line="138" w:lineRule="exact" w:before="0"/>
              <w:ind w:left="159"/>
              <w:jc w:val="left"/>
              <w:rPr>
                <w:b/>
                <w:sz w:val="13"/>
              </w:rPr>
            </w:pPr>
            <w:r>
              <w:rPr>
                <w:b/>
                <w:color w:val="231F20"/>
                <w:spacing w:val="-2"/>
                <w:w w:val="90"/>
                <w:sz w:val="13"/>
              </w:rPr>
              <w:t>score</w:t>
            </w:r>
          </w:p>
        </w:tc>
        <w:tc>
          <w:tcPr>
            <w:tcW w:w="531" w:type="dxa"/>
            <w:tcBorders>
              <w:bottom w:val="single" w:sz="4" w:space="0" w:color="008FDD"/>
            </w:tcBorders>
          </w:tcPr>
          <w:p>
            <w:pPr>
              <w:pStyle w:val="TableParagraph"/>
              <w:spacing w:before="136"/>
              <w:jc w:val="left"/>
              <w:rPr>
                <w:rFonts w:ascii="Times New Roman"/>
                <w:sz w:val="13"/>
              </w:rPr>
            </w:pPr>
          </w:p>
          <w:p>
            <w:pPr>
              <w:pStyle w:val="TableParagraph"/>
              <w:spacing w:line="140" w:lineRule="exact" w:before="0"/>
              <w:ind w:left="125" w:hanging="83"/>
              <w:jc w:val="left"/>
              <w:rPr>
                <w:b/>
                <w:sz w:val="13"/>
              </w:rPr>
            </w:pPr>
            <w:r>
              <w:rPr>
                <w:b/>
                <w:color w:val="231F20"/>
                <w:spacing w:val="-2"/>
                <w:w w:val="80"/>
                <w:sz w:val="13"/>
              </w:rPr>
              <w:t>Customs</w:t>
            </w:r>
            <w:r>
              <w:rPr>
                <w:b/>
                <w:color w:val="231F20"/>
                <w:spacing w:val="40"/>
                <w:sz w:val="13"/>
              </w:rPr>
              <w:t> </w:t>
            </w:r>
            <w:r>
              <w:rPr>
                <w:b/>
                <w:color w:val="231F20"/>
                <w:spacing w:val="-2"/>
                <w:w w:val="90"/>
                <w:sz w:val="13"/>
              </w:rPr>
              <w:t>score</w:t>
            </w:r>
          </w:p>
        </w:tc>
        <w:tc>
          <w:tcPr>
            <w:tcW w:w="549" w:type="dxa"/>
            <w:tcBorders>
              <w:bottom w:val="single" w:sz="4" w:space="0" w:color="008FDD"/>
            </w:tcBorders>
          </w:tcPr>
          <w:p>
            <w:pPr>
              <w:pStyle w:val="TableParagraph"/>
              <w:spacing w:line="140" w:lineRule="exact" w:before="146"/>
              <w:ind w:left="36" w:right="38" w:hanging="1"/>
              <w:rPr>
                <w:b/>
                <w:sz w:val="13"/>
              </w:rPr>
            </w:pPr>
            <w:r>
              <w:rPr>
                <w:b/>
                <w:color w:val="231F20"/>
                <w:spacing w:val="-2"/>
                <w:w w:val="95"/>
                <w:sz w:val="13"/>
              </w:rPr>
              <w:t>Infra-</w:t>
            </w:r>
            <w:r>
              <w:rPr>
                <w:b/>
                <w:color w:val="231F20"/>
                <w:spacing w:val="40"/>
                <w:sz w:val="13"/>
              </w:rPr>
              <w:t> </w:t>
            </w:r>
            <w:r>
              <w:rPr>
                <w:b/>
                <w:color w:val="231F20"/>
                <w:spacing w:val="-2"/>
                <w:w w:val="85"/>
                <w:sz w:val="13"/>
              </w:rPr>
              <w:t>structure</w:t>
            </w:r>
            <w:r>
              <w:rPr>
                <w:b/>
                <w:color w:val="231F20"/>
                <w:spacing w:val="40"/>
                <w:sz w:val="13"/>
              </w:rPr>
              <w:t> </w:t>
            </w:r>
            <w:r>
              <w:rPr>
                <w:b/>
                <w:color w:val="231F20"/>
                <w:spacing w:val="-2"/>
                <w:w w:val="95"/>
                <w:sz w:val="13"/>
              </w:rPr>
              <w:t>score</w:t>
            </w:r>
          </w:p>
        </w:tc>
        <w:tc>
          <w:tcPr>
            <w:tcW w:w="615" w:type="dxa"/>
            <w:tcBorders>
              <w:bottom w:val="single" w:sz="4" w:space="0" w:color="008FDD"/>
            </w:tcBorders>
          </w:tcPr>
          <w:p>
            <w:pPr>
              <w:pStyle w:val="TableParagraph"/>
              <w:spacing w:line="140" w:lineRule="exact" w:before="6"/>
              <w:ind w:left="12" w:right="20"/>
              <w:rPr>
                <w:b/>
                <w:sz w:val="13"/>
              </w:rPr>
            </w:pPr>
            <w:r>
              <w:rPr>
                <w:b/>
                <w:color w:val="231F20"/>
                <w:spacing w:val="-2"/>
                <w:w w:val="95"/>
                <w:sz w:val="13"/>
              </w:rPr>
              <w:t>Interna-</w:t>
            </w:r>
            <w:r>
              <w:rPr>
                <w:b/>
                <w:color w:val="231F20"/>
                <w:spacing w:val="40"/>
                <w:sz w:val="13"/>
              </w:rPr>
              <w:t> </w:t>
            </w:r>
            <w:r>
              <w:rPr>
                <w:b/>
                <w:color w:val="231F20"/>
                <w:spacing w:val="-2"/>
                <w:w w:val="95"/>
                <w:sz w:val="13"/>
              </w:rPr>
              <w:t>tional</w:t>
            </w:r>
            <w:r>
              <w:rPr>
                <w:b/>
                <w:color w:val="231F20"/>
                <w:spacing w:val="40"/>
                <w:sz w:val="13"/>
              </w:rPr>
              <w:t> </w:t>
            </w:r>
            <w:r>
              <w:rPr>
                <w:b/>
                <w:color w:val="231F20"/>
                <w:spacing w:val="-2"/>
                <w:w w:val="80"/>
                <w:sz w:val="13"/>
              </w:rPr>
              <w:t>shipments</w:t>
            </w:r>
            <w:r>
              <w:rPr>
                <w:b/>
                <w:color w:val="231F20"/>
                <w:spacing w:val="40"/>
                <w:sz w:val="13"/>
              </w:rPr>
              <w:t> </w:t>
            </w:r>
            <w:r>
              <w:rPr>
                <w:b/>
                <w:color w:val="231F20"/>
                <w:spacing w:val="-2"/>
                <w:w w:val="95"/>
                <w:sz w:val="13"/>
              </w:rPr>
              <w:t>score</w:t>
            </w:r>
          </w:p>
        </w:tc>
        <w:tc>
          <w:tcPr>
            <w:tcW w:w="706" w:type="dxa"/>
            <w:tcBorders>
              <w:bottom w:val="single" w:sz="4" w:space="0" w:color="008FDD"/>
            </w:tcBorders>
          </w:tcPr>
          <w:p>
            <w:pPr>
              <w:pStyle w:val="TableParagraph"/>
              <w:spacing w:line="140" w:lineRule="exact" w:before="6"/>
              <w:ind w:left="20" w:right="24"/>
              <w:rPr>
                <w:b/>
                <w:sz w:val="13"/>
              </w:rPr>
            </w:pPr>
            <w:r>
              <w:rPr>
                <w:b/>
                <w:color w:val="231F20"/>
                <w:spacing w:val="-2"/>
                <w:w w:val="90"/>
                <w:sz w:val="13"/>
              </w:rPr>
              <w:t>Logistics</w:t>
            </w:r>
            <w:r>
              <w:rPr>
                <w:b/>
                <w:color w:val="231F20"/>
                <w:spacing w:val="40"/>
                <w:sz w:val="13"/>
              </w:rPr>
              <w:t> </w:t>
            </w:r>
            <w:r>
              <w:rPr>
                <w:b/>
                <w:color w:val="231F20"/>
                <w:spacing w:val="-2"/>
                <w:w w:val="80"/>
                <w:sz w:val="13"/>
              </w:rPr>
              <w:t>competence</w:t>
            </w:r>
            <w:r>
              <w:rPr>
                <w:b/>
                <w:color w:val="231F20"/>
                <w:spacing w:val="40"/>
                <w:sz w:val="13"/>
              </w:rPr>
              <w:t> </w:t>
            </w:r>
            <w:r>
              <w:rPr>
                <w:b/>
                <w:color w:val="231F20"/>
                <w:w w:val="90"/>
                <w:sz w:val="13"/>
              </w:rPr>
              <w:t>and</w:t>
            </w:r>
            <w:r>
              <w:rPr>
                <w:b/>
                <w:color w:val="231F20"/>
                <w:spacing w:val="-9"/>
                <w:w w:val="90"/>
                <w:sz w:val="13"/>
              </w:rPr>
              <w:t> </w:t>
            </w:r>
            <w:r>
              <w:rPr>
                <w:b/>
                <w:color w:val="231F20"/>
                <w:w w:val="90"/>
                <w:sz w:val="13"/>
              </w:rPr>
              <w:t>quality</w:t>
            </w:r>
            <w:r>
              <w:rPr>
                <w:b/>
                <w:color w:val="231F20"/>
                <w:spacing w:val="40"/>
                <w:sz w:val="13"/>
              </w:rPr>
              <w:t> </w:t>
            </w:r>
            <w:r>
              <w:rPr>
                <w:b/>
                <w:color w:val="231F20"/>
                <w:spacing w:val="-2"/>
                <w:w w:val="90"/>
                <w:sz w:val="13"/>
              </w:rPr>
              <w:t>score</w:t>
            </w:r>
          </w:p>
        </w:tc>
        <w:tc>
          <w:tcPr>
            <w:tcW w:w="368" w:type="dxa"/>
            <w:tcBorders>
              <w:bottom w:val="single" w:sz="4" w:space="0" w:color="008FDD"/>
            </w:tcBorders>
          </w:tcPr>
          <w:p>
            <w:pPr>
              <w:pStyle w:val="TableParagraph"/>
              <w:spacing w:line="140" w:lineRule="exact" w:before="146"/>
              <w:ind w:left="31" w:right="35"/>
              <w:jc w:val="both"/>
              <w:rPr>
                <w:b/>
                <w:sz w:val="13"/>
              </w:rPr>
            </w:pPr>
            <w:r>
              <w:rPr>
                <w:b/>
                <w:color w:val="231F20"/>
                <w:spacing w:val="-2"/>
                <w:w w:val="85"/>
                <w:sz w:val="13"/>
              </w:rPr>
              <w:t>Time-</w:t>
            </w:r>
            <w:r>
              <w:rPr>
                <w:b/>
                <w:color w:val="231F20"/>
                <w:spacing w:val="40"/>
                <w:sz w:val="13"/>
              </w:rPr>
              <w:t> </w:t>
            </w:r>
            <w:r>
              <w:rPr>
                <w:b/>
                <w:color w:val="231F20"/>
                <w:spacing w:val="-2"/>
                <w:w w:val="80"/>
                <w:sz w:val="13"/>
              </w:rPr>
              <w:t>liness</w:t>
            </w:r>
            <w:r>
              <w:rPr>
                <w:b/>
                <w:color w:val="231F20"/>
                <w:spacing w:val="40"/>
                <w:sz w:val="13"/>
              </w:rPr>
              <w:t> </w:t>
            </w:r>
            <w:r>
              <w:rPr>
                <w:b/>
                <w:color w:val="231F20"/>
                <w:spacing w:val="-2"/>
                <w:w w:val="85"/>
                <w:sz w:val="13"/>
              </w:rPr>
              <w:t>score</w:t>
            </w:r>
          </w:p>
        </w:tc>
        <w:tc>
          <w:tcPr>
            <w:tcW w:w="536" w:type="dxa"/>
            <w:tcBorders>
              <w:bottom w:val="single" w:sz="4" w:space="0" w:color="008FDD"/>
            </w:tcBorders>
          </w:tcPr>
          <w:p>
            <w:pPr>
              <w:pStyle w:val="TableParagraph"/>
              <w:spacing w:line="140" w:lineRule="exact" w:before="6"/>
              <w:ind w:left="22" w:right="68"/>
              <w:rPr>
                <w:b/>
                <w:sz w:val="13"/>
              </w:rPr>
            </w:pPr>
            <w:r>
              <w:rPr>
                <w:b/>
                <w:color w:val="231F20"/>
                <w:spacing w:val="-4"/>
                <w:w w:val="85"/>
                <w:sz w:val="13"/>
              </w:rPr>
              <w:t>Tracking</w:t>
            </w:r>
            <w:r>
              <w:rPr>
                <w:b/>
                <w:color w:val="231F20"/>
                <w:spacing w:val="40"/>
                <w:sz w:val="13"/>
              </w:rPr>
              <w:t> </w:t>
            </w:r>
            <w:r>
              <w:rPr>
                <w:b/>
                <w:color w:val="231F20"/>
                <w:spacing w:val="-4"/>
                <w:w w:val="95"/>
                <w:sz w:val="13"/>
              </w:rPr>
              <w:t>and</w:t>
            </w:r>
            <w:r>
              <w:rPr>
                <w:b/>
                <w:color w:val="231F20"/>
                <w:spacing w:val="40"/>
                <w:sz w:val="13"/>
              </w:rPr>
              <w:t> </w:t>
            </w:r>
            <w:r>
              <w:rPr>
                <w:b/>
                <w:color w:val="231F20"/>
                <w:spacing w:val="-2"/>
                <w:w w:val="95"/>
                <w:sz w:val="13"/>
              </w:rPr>
              <w:t>tracing</w:t>
            </w:r>
            <w:r>
              <w:rPr>
                <w:b/>
                <w:color w:val="231F20"/>
                <w:spacing w:val="40"/>
                <w:sz w:val="13"/>
              </w:rPr>
              <w:t> </w:t>
            </w:r>
            <w:r>
              <w:rPr>
                <w:b/>
                <w:color w:val="231F20"/>
                <w:spacing w:val="-2"/>
                <w:w w:val="95"/>
                <w:sz w:val="13"/>
              </w:rPr>
              <w:t>score</w:t>
            </w:r>
          </w:p>
        </w:tc>
        <w:tc>
          <w:tcPr>
            <w:tcW w:w="1415" w:type="dxa"/>
            <w:tcBorders>
              <w:bottom w:val="single" w:sz="4" w:space="0" w:color="008FDD"/>
            </w:tcBorders>
          </w:tcPr>
          <w:p>
            <w:pPr>
              <w:pStyle w:val="TableParagraph"/>
              <w:spacing w:before="0"/>
              <w:jc w:val="left"/>
              <w:rPr>
                <w:rFonts w:ascii="Times New Roman"/>
                <w:sz w:val="13"/>
              </w:rPr>
            </w:pPr>
          </w:p>
          <w:p>
            <w:pPr>
              <w:pStyle w:val="TableParagraph"/>
              <w:spacing w:before="124"/>
              <w:jc w:val="left"/>
              <w:rPr>
                <w:rFonts w:ascii="Times New Roman"/>
                <w:sz w:val="13"/>
              </w:rPr>
            </w:pPr>
          </w:p>
          <w:p>
            <w:pPr>
              <w:pStyle w:val="TableParagraph"/>
              <w:spacing w:line="143" w:lineRule="exact" w:before="0"/>
              <w:ind w:left="101"/>
              <w:jc w:val="left"/>
              <w:rPr>
                <w:b/>
                <w:sz w:val="13"/>
              </w:rPr>
            </w:pPr>
            <w:r>
              <w:rPr>
                <w:b/>
                <w:color w:val="231F20"/>
                <w:spacing w:val="-2"/>
                <w:w w:val="90"/>
                <w:sz w:val="13"/>
              </w:rPr>
              <w:t>Economy</w:t>
            </w:r>
          </w:p>
        </w:tc>
        <w:tc>
          <w:tcPr>
            <w:tcW w:w="482" w:type="dxa"/>
            <w:tcBorders>
              <w:bottom w:val="single" w:sz="4" w:space="0" w:color="008FDD"/>
            </w:tcBorders>
          </w:tcPr>
          <w:p>
            <w:pPr>
              <w:pStyle w:val="TableParagraph"/>
              <w:spacing w:before="133"/>
              <w:jc w:val="left"/>
              <w:rPr>
                <w:rFonts w:ascii="Times New Roman"/>
                <w:sz w:val="13"/>
              </w:rPr>
            </w:pPr>
          </w:p>
          <w:p>
            <w:pPr>
              <w:pStyle w:val="TableParagraph"/>
              <w:spacing w:line="145" w:lineRule="exact" w:before="0"/>
              <w:ind w:left="203"/>
              <w:jc w:val="left"/>
              <w:rPr>
                <w:b/>
                <w:sz w:val="13"/>
              </w:rPr>
            </w:pPr>
            <w:r>
              <w:rPr>
                <w:b/>
                <w:color w:val="231F20"/>
                <w:spacing w:val="-5"/>
                <w:w w:val="90"/>
                <w:sz w:val="13"/>
              </w:rPr>
              <w:t>LPI</w:t>
            </w:r>
          </w:p>
          <w:p>
            <w:pPr>
              <w:pStyle w:val="TableParagraph"/>
              <w:spacing w:line="138" w:lineRule="exact" w:before="0"/>
              <w:ind w:left="142"/>
              <w:jc w:val="left"/>
              <w:rPr>
                <w:b/>
                <w:sz w:val="13"/>
              </w:rPr>
            </w:pPr>
            <w:r>
              <w:rPr>
                <w:b/>
                <w:color w:val="231F20"/>
                <w:spacing w:val="-2"/>
                <w:w w:val="90"/>
                <w:sz w:val="13"/>
              </w:rPr>
              <w:t>score</w:t>
            </w:r>
          </w:p>
        </w:tc>
        <w:tc>
          <w:tcPr>
            <w:tcW w:w="532" w:type="dxa"/>
            <w:tcBorders>
              <w:bottom w:val="single" w:sz="4" w:space="0" w:color="008FDD"/>
            </w:tcBorders>
          </w:tcPr>
          <w:p>
            <w:pPr>
              <w:pStyle w:val="TableParagraph"/>
              <w:spacing w:before="136"/>
              <w:jc w:val="left"/>
              <w:rPr>
                <w:rFonts w:ascii="Times New Roman"/>
                <w:sz w:val="13"/>
              </w:rPr>
            </w:pPr>
          </w:p>
          <w:p>
            <w:pPr>
              <w:pStyle w:val="TableParagraph"/>
              <w:spacing w:line="140" w:lineRule="exact" w:before="0"/>
              <w:ind w:left="113" w:hanging="83"/>
              <w:jc w:val="left"/>
              <w:rPr>
                <w:b/>
                <w:sz w:val="13"/>
              </w:rPr>
            </w:pPr>
            <w:r>
              <w:rPr>
                <w:b/>
                <w:color w:val="231F20"/>
                <w:spacing w:val="-2"/>
                <w:w w:val="80"/>
                <w:sz w:val="13"/>
              </w:rPr>
              <w:t>Customs</w:t>
            </w:r>
            <w:r>
              <w:rPr>
                <w:b/>
                <w:color w:val="231F20"/>
                <w:spacing w:val="40"/>
                <w:sz w:val="13"/>
              </w:rPr>
              <w:t> </w:t>
            </w:r>
            <w:r>
              <w:rPr>
                <w:b/>
                <w:color w:val="231F20"/>
                <w:spacing w:val="-2"/>
                <w:w w:val="90"/>
                <w:sz w:val="13"/>
              </w:rPr>
              <w:t>score</w:t>
            </w:r>
          </w:p>
        </w:tc>
        <w:tc>
          <w:tcPr>
            <w:tcW w:w="550" w:type="dxa"/>
            <w:tcBorders>
              <w:bottom w:val="single" w:sz="4" w:space="0" w:color="008FDD"/>
            </w:tcBorders>
          </w:tcPr>
          <w:p>
            <w:pPr>
              <w:pStyle w:val="TableParagraph"/>
              <w:spacing w:line="140" w:lineRule="exact" w:before="146"/>
              <w:ind w:left="23" w:right="52" w:hanging="1"/>
              <w:rPr>
                <w:b/>
                <w:sz w:val="13"/>
              </w:rPr>
            </w:pPr>
            <w:r>
              <w:rPr>
                <w:b/>
                <w:color w:val="231F20"/>
                <w:spacing w:val="-2"/>
                <w:w w:val="95"/>
                <w:sz w:val="13"/>
              </w:rPr>
              <w:t>Infra-</w:t>
            </w:r>
            <w:r>
              <w:rPr>
                <w:b/>
                <w:color w:val="231F20"/>
                <w:spacing w:val="40"/>
                <w:sz w:val="13"/>
              </w:rPr>
              <w:t> </w:t>
            </w:r>
            <w:r>
              <w:rPr>
                <w:b/>
                <w:color w:val="231F20"/>
                <w:spacing w:val="-2"/>
                <w:w w:val="85"/>
                <w:sz w:val="13"/>
              </w:rPr>
              <w:t>structure</w:t>
            </w:r>
            <w:r>
              <w:rPr>
                <w:b/>
                <w:color w:val="231F20"/>
                <w:spacing w:val="40"/>
                <w:sz w:val="13"/>
              </w:rPr>
              <w:t> </w:t>
            </w:r>
            <w:r>
              <w:rPr>
                <w:b/>
                <w:color w:val="231F20"/>
                <w:spacing w:val="-2"/>
                <w:w w:val="95"/>
                <w:sz w:val="13"/>
              </w:rPr>
              <w:t>score</w:t>
            </w:r>
          </w:p>
        </w:tc>
        <w:tc>
          <w:tcPr>
            <w:tcW w:w="616" w:type="dxa"/>
            <w:tcBorders>
              <w:bottom w:val="single" w:sz="4" w:space="0" w:color="008FDD"/>
            </w:tcBorders>
          </w:tcPr>
          <w:p>
            <w:pPr>
              <w:pStyle w:val="TableParagraph"/>
              <w:spacing w:line="140" w:lineRule="exact" w:before="6"/>
              <w:ind w:right="37"/>
              <w:rPr>
                <w:b/>
                <w:sz w:val="13"/>
              </w:rPr>
            </w:pPr>
            <w:r>
              <w:rPr>
                <w:b/>
                <w:color w:val="231F20"/>
                <w:spacing w:val="-2"/>
                <w:w w:val="95"/>
                <w:sz w:val="13"/>
              </w:rPr>
              <w:t>Interna-</w:t>
            </w:r>
            <w:r>
              <w:rPr>
                <w:b/>
                <w:color w:val="231F20"/>
                <w:spacing w:val="40"/>
                <w:sz w:val="13"/>
              </w:rPr>
              <w:t> </w:t>
            </w:r>
            <w:r>
              <w:rPr>
                <w:b/>
                <w:color w:val="231F20"/>
                <w:spacing w:val="-2"/>
                <w:w w:val="95"/>
                <w:sz w:val="13"/>
              </w:rPr>
              <w:t>tional</w:t>
            </w:r>
            <w:r>
              <w:rPr>
                <w:b/>
                <w:color w:val="231F20"/>
                <w:spacing w:val="40"/>
                <w:sz w:val="13"/>
              </w:rPr>
              <w:t> </w:t>
            </w:r>
            <w:r>
              <w:rPr>
                <w:b/>
                <w:color w:val="231F20"/>
                <w:spacing w:val="-2"/>
                <w:w w:val="80"/>
                <w:sz w:val="13"/>
              </w:rPr>
              <w:t>shipments</w:t>
            </w:r>
            <w:r>
              <w:rPr>
                <w:b/>
                <w:color w:val="231F20"/>
                <w:spacing w:val="40"/>
                <w:sz w:val="13"/>
              </w:rPr>
              <w:t> </w:t>
            </w:r>
            <w:r>
              <w:rPr>
                <w:b/>
                <w:color w:val="231F20"/>
                <w:spacing w:val="-2"/>
                <w:w w:val="95"/>
                <w:sz w:val="13"/>
              </w:rPr>
              <w:t>score</w:t>
            </w:r>
          </w:p>
        </w:tc>
        <w:tc>
          <w:tcPr>
            <w:tcW w:w="707" w:type="dxa"/>
            <w:tcBorders>
              <w:bottom w:val="single" w:sz="4" w:space="0" w:color="008FDD"/>
            </w:tcBorders>
          </w:tcPr>
          <w:p>
            <w:pPr>
              <w:pStyle w:val="TableParagraph"/>
              <w:spacing w:line="140" w:lineRule="exact" w:before="6"/>
              <w:ind w:left="20" w:right="55"/>
              <w:rPr>
                <w:b/>
                <w:sz w:val="13"/>
              </w:rPr>
            </w:pPr>
            <w:r>
              <w:rPr>
                <w:b/>
                <w:color w:val="231F20"/>
                <w:spacing w:val="-2"/>
                <w:w w:val="90"/>
                <w:sz w:val="13"/>
              </w:rPr>
              <w:t>Logistics</w:t>
            </w:r>
            <w:r>
              <w:rPr>
                <w:b/>
                <w:color w:val="231F20"/>
                <w:spacing w:val="40"/>
                <w:sz w:val="13"/>
              </w:rPr>
              <w:t> </w:t>
            </w:r>
            <w:r>
              <w:rPr>
                <w:b/>
                <w:color w:val="231F20"/>
                <w:spacing w:val="-2"/>
                <w:w w:val="80"/>
                <w:sz w:val="13"/>
              </w:rPr>
              <w:t>competence</w:t>
            </w:r>
            <w:r>
              <w:rPr>
                <w:b/>
                <w:color w:val="231F20"/>
                <w:spacing w:val="40"/>
                <w:sz w:val="13"/>
              </w:rPr>
              <w:t> </w:t>
            </w:r>
            <w:r>
              <w:rPr>
                <w:b/>
                <w:color w:val="231F20"/>
                <w:w w:val="90"/>
                <w:sz w:val="13"/>
              </w:rPr>
              <w:t>and</w:t>
            </w:r>
            <w:r>
              <w:rPr>
                <w:b/>
                <w:color w:val="231F20"/>
                <w:spacing w:val="-9"/>
                <w:w w:val="90"/>
                <w:sz w:val="13"/>
              </w:rPr>
              <w:t> </w:t>
            </w:r>
            <w:r>
              <w:rPr>
                <w:b/>
                <w:color w:val="231F20"/>
                <w:w w:val="90"/>
                <w:sz w:val="13"/>
              </w:rPr>
              <w:t>quality</w:t>
            </w:r>
            <w:r>
              <w:rPr>
                <w:b/>
                <w:color w:val="231F20"/>
                <w:spacing w:val="40"/>
                <w:sz w:val="13"/>
              </w:rPr>
              <w:t> </w:t>
            </w:r>
            <w:r>
              <w:rPr>
                <w:b/>
                <w:color w:val="231F20"/>
                <w:spacing w:val="-2"/>
                <w:w w:val="90"/>
                <w:sz w:val="13"/>
              </w:rPr>
              <w:t>score</w:t>
            </w:r>
          </w:p>
        </w:tc>
        <w:tc>
          <w:tcPr>
            <w:tcW w:w="369" w:type="dxa"/>
            <w:tcBorders>
              <w:bottom w:val="single" w:sz="4" w:space="0" w:color="008FDD"/>
            </w:tcBorders>
          </w:tcPr>
          <w:p>
            <w:pPr>
              <w:pStyle w:val="TableParagraph"/>
              <w:spacing w:line="140" w:lineRule="exact" w:before="146"/>
              <w:ind w:left="15" w:right="52"/>
              <w:jc w:val="both"/>
              <w:rPr>
                <w:b/>
                <w:sz w:val="13"/>
              </w:rPr>
            </w:pPr>
            <w:r>
              <w:rPr>
                <w:b/>
                <w:color w:val="231F20"/>
                <w:spacing w:val="-2"/>
                <w:w w:val="85"/>
                <w:sz w:val="13"/>
              </w:rPr>
              <w:t>Time-</w:t>
            </w:r>
            <w:r>
              <w:rPr>
                <w:b/>
                <w:color w:val="231F20"/>
                <w:spacing w:val="40"/>
                <w:sz w:val="13"/>
              </w:rPr>
              <w:t> </w:t>
            </w:r>
            <w:r>
              <w:rPr>
                <w:b/>
                <w:color w:val="231F20"/>
                <w:spacing w:val="-2"/>
                <w:w w:val="80"/>
                <w:sz w:val="13"/>
              </w:rPr>
              <w:t>liness</w:t>
            </w:r>
            <w:r>
              <w:rPr>
                <w:b/>
                <w:color w:val="231F20"/>
                <w:spacing w:val="40"/>
                <w:sz w:val="13"/>
              </w:rPr>
              <w:t> </w:t>
            </w:r>
            <w:r>
              <w:rPr>
                <w:b/>
                <w:color w:val="231F20"/>
                <w:spacing w:val="-2"/>
                <w:w w:val="85"/>
                <w:sz w:val="13"/>
              </w:rPr>
              <w:t>score</w:t>
            </w:r>
          </w:p>
        </w:tc>
        <w:tc>
          <w:tcPr>
            <w:tcW w:w="507" w:type="dxa"/>
            <w:tcBorders>
              <w:bottom w:val="single" w:sz="4" w:space="0" w:color="008FDD"/>
            </w:tcBorders>
          </w:tcPr>
          <w:p>
            <w:pPr>
              <w:pStyle w:val="TableParagraph"/>
              <w:spacing w:line="140" w:lineRule="exact" w:before="6"/>
              <w:ind w:right="51"/>
              <w:rPr>
                <w:b/>
                <w:sz w:val="13"/>
              </w:rPr>
            </w:pPr>
            <w:r>
              <w:rPr>
                <w:b/>
                <w:color w:val="231F20"/>
                <w:spacing w:val="-4"/>
                <w:w w:val="85"/>
                <w:sz w:val="13"/>
              </w:rPr>
              <w:t>Tracking</w:t>
            </w:r>
            <w:r>
              <w:rPr>
                <w:b/>
                <w:color w:val="231F20"/>
                <w:spacing w:val="40"/>
                <w:sz w:val="13"/>
              </w:rPr>
              <w:t> </w:t>
            </w:r>
            <w:r>
              <w:rPr>
                <w:b/>
                <w:color w:val="231F20"/>
                <w:spacing w:val="-4"/>
                <w:w w:val="95"/>
                <w:sz w:val="13"/>
              </w:rPr>
              <w:t>and</w:t>
            </w:r>
            <w:r>
              <w:rPr>
                <w:b/>
                <w:color w:val="231F20"/>
                <w:spacing w:val="40"/>
                <w:sz w:val="13"/>
              </w:rPr>
              <w:t> </w:t>
            </w:r>
            <w:r>
              <w:rPr>
                <w:b/>
                <w:color w:val="231F20"/>
                <w:spacing w:val="-2"/>
                <w:w w:val="95"/>
                <w:sz w:val="13"/>
              </w:rPr>
              <w:t>tracing</w:t>
            </w:r>
            <w:r>
              <w:rPr>
                <w:b/>
                <w:color w:val="231F20"/>
                <w:spacing w:val="40"/>
                <w:sz w:val="13"/>
              </w:rPr>
              <w:t> </w:t>
            </w:r>
            <w:r>
              <w:rPr>
                <w:b/>
                <w:color w:val="231F20"/>
                <w:spacing w:val="-2"/>
                <w:w w:val="95"/>
                <w:sz w:val="13"/>
              </w:rPr>
              <w:t>score</w:t>
            </w:r>
          </w:p>
        </w:tc>
      </w:tr>
      <w:tr>
        <w:trPr>
          <w:trHeight w:val="183" w:hRule="atLeast"/>
        </w:trPr>
        <w:tc>
          <w:tcPr>
            <w:tcW w:w="1377" w:type="dxa"/>
            <w:tcBorders>
              <w:top w:val="single" w:sz="4" w:space="0" w:color="008FDD"/>
            </w:tcBorders>
            <w:shd w:val="clear" w:color="auto" w:fill="D4E3F5"/>
          </w:tcPr>
          <w:p>
            <w:pPr>
              <w:pStyle w:val="TableParagraph"/>
              <w:spacing w:line="148" w:lineRule="exact" w:before="15"/>
              <w:ind w:left="79"/>
              <w:jc w:val="left"/>
              <w:rPr>
                <w:sz w:val="13"/>
              </w:rPr>
            </w:pPr>
            <w:r>
              <w:rPr>
                <w:color w:val="231F20"/>
                <w:spacing w:val="-2"/>
                <w:w w:val="90"/>
                <w:sz w:val="13"/>
              </w:rPr>
              <w:t>Singapore</w:t>
            </w:r>
          </w:p>
        </w:tc>
        <w:tc>
          <w:tcPr>
            <w:tcW w:w="487" w:type="dxa"/>
            <w:tcBorders>
              <w:top w:val="single" w:sz="4" w:space="0" w:color="008FDD"/>
            </w:tcBorders>
            <w:shd w:val="clear" w:color="auto" w:fill="D4E3F5"/>
          </w:tcPr>
          <w:p>
            <w:pPr>
              <w:pStyle w:val="TableParagraph"/>
              <w:spacing w:line="148" w:lineRule="exact" w:before="15"/>
              <w:ind w:right="97"/>
              <w:jc w:val="right"/>
              <w:rPr>
                <w:sz w:val="13"/>
              </w:rPr>
            </w:pPr>
            <w:r>
              <w:rPr>
                <w:color w:val="231F20"/>
                <w:spacing w:val="-5"/>
                <w:w w:val="95"/>
                <w:sz w:val="13"/>
              </w:rPr>
              <w:t>4.3</w:t>
            </w:r>
          </w:p>
        </w:tc>
        <w:tc>
          <w:tcPr>
            <w:tcW w:w="531" w:type="dxa"/>
            <w:tcBorders>
              <w:top w:val="single" w:sz="4" w:space="0" w:color="008FDD"/>
            </w:tcBorders>
            <w:shd w:val="clear" w:color="auto" w:fill="D4E3F5"/>
          </w:tcPr>
          <w:p>
            <w:pPr>
              <w:pStyle w:val="TableParagraph"/>
              <w:spacing w:line="148" w:lineRule="exact" w:before="15"/>
              <w:ind w:left="19" w:right="27"/>
              <w:rPr>
                <w:sz w:val="13"/>
              </w:rPr>
            </w:pPr>
            <w:r>
              <w:rPr>
                <w:color w:val="231F20"/>
                <w:spacing w:val="-5"/>
                <w:w w:val="95"/>
                <w:sz w:val="13"/>
              </w:rPr>
              <w:t>4.2</w:t>
            </w:r>
          </w:p>
        </w:tc>
        <w:tc>
          <w:tcPr>
            <w:tcW w:w="549" w:type="dxa"/>
            <w:tcBorders>
              <w:top w:val="single" w:sz="4" w:space="0" w:color="008FDD"/>
            </w:tcBorders>
            <w:shd w:val="clear" w:color="auto" w:fill="D4E3F5"/>
          </w:tcPr>
          <w:p>
            <w:pPr>
              <w:pStyle w:val="TableParagraph"/>
              <w:spacing w:line="148" w:lineRule="exact" w:before="15"/>
              <w:ind w:left="16" w:right="16"/>
              <w:rPr>
                <w:sz w:val="13"/>
              </w:rPr>
            </w:pPr>
            <w:r>
              <w:rPr>
                <w:color w:val="231F20"/>
                <w:spacing w:val="-5"/>
                <w:w w:val="95"/>
                <w:sz w:val="13"/>
              </w:rPr>
              <w:t>4.6</w:t>
            </w:r>
          </w:p>
        </w:tc>
        <w:tc>
          <w:tcPr>
            <w:tcW w:w="615" w:type="dxa"/>
            <w:tcBorders>
              <w:top w:val="single" w:sz="4" w:space="0" w:color="008FDD"/>
            </w:tcBorders>
            <w:shd w:val="clear" w:color="auto" w:fill="D4E3F5"/>
          </w:tcPr>
          <w:p>
            <w:pPr>
              <w:pStyle w:val="TableParagraph"/>
              <w:spacing w:line="148" w:lineRule="exact" w:before="15"/>
              <w:ind w:left="18" w:right="8"/>
              <w:rPr>
                <w:sz w:val="13"/>
              </w:rPr>
            </w:pPr>
            <w:r>
              <w:rPr>
                <w:color w:val="231F20"/>
                <w:spacing w:val="-5"/>
                <w:w w:val="95"/>
                <w:sz w:val="13"/>
              </w:rPr>
              <w:t>4.0</w:t>
            </w:r>
          </w:p>
        </w:tc>
        <w:tc>
          <w:tcPr>
            <w:tcW w:w="706" w:type="dxa"/>
            <w:tcBorders>
              <w:top w:val="single" w:sz="4" w:space="0" w:color="008FDD"/>
            </w:tcBorders>
            <w:shd w:val="clear" w:color="auto" w:fill="D4E3F5"/>
          </w:tcPr>
          <w:p>
            <w:pPr>
              <w:pStyle w:val="TableParagraph"/>
              <w:spacing w:line="148" w:lineRule="exact" w:before="15"/>
              <w:ind w:left="16" w:right="24"/>
              <w:rPr>
                <w:sz w:val="13"/>
              </w:rPr>
            </w:pPr>
            <w:r>
              <w:rPr>
                <w:color w:val="231F20"/>
                <w:spacing w:val="-5"/>
                <w:w w:val="95"/>
                <w:sz w:val="13"/>
              </w:rPr>
              <w:t>4.4</w:t>
            </w:r>
          </w:p>
        </w:tc>
        <w:tc>
          <w:tcPr>
            <w:tcW w:w="368" w:type="dxa"/>
            <w:tcBorders>
              <w:top w:val="single" w:sz="4" w:space="0" w:color="008FDD"/>
            </w:tcBorders>
            <w:shd w:val="clear" w:color="auto" w:fill="D4E3F5"/>
          </w:tcPr>
          <w:p>
            <w:pPr>
              <w:pStyle w:val="TableParagraph"/>
              <w:spacing w:line="148" w:lineRule="exact" w:before="15"/>
              <w:ind w:left="19" w:right="28"/>
              <w:rPr>
                <w:sz w:val="13"/>
              </w:rPr>
            </w:pPr>
            <w:r>
              <w:rPr>
                <w:color w:val="231F20"/>
                <w:spacing w:val="-5"/>
                <w:w w:val="95"/>
                <w:sz w:val="13"/>
              </w:rPr>
              <w:t>4.3</w:t>
            </w:r>
          </w:p>
        </w:tc>
        <w:tc>
          <w:tcPr>
            <w:tcW w:w="536" w:type="dxa"/>
            <w:tcBorders>
              <w:top w:val="single" w:sz="4" w:space="0" w:color="008FDD"/>
              <w:right w:val="single" w:sz="24" w:space="0" w:color="FFFFFF"/>
            </w:tcBorders>
            <w:shd w:val="clear" w:color="auto" w:fill="D4E3F5"/>
          </w:tcPr>
          <w:p>
            <w:pPr>
              <w:pStyle w:val="TableParagraph"/>
              <w:spacing w:line="148" w:lineRule="exact" w:before="15"/>
              <w:ind w:left="18" w:right="27"/>
              <w:rPr>
                <w:sz w:val="13"/>
              </w:rPr>
            </w:pPr>
            <w:r>
              <w:rPr>
                <w:color w:val="231F20"/>
                <w:spacing w:val="-5"/>
                <w:w w:val="95"/>
                <w:sz w:val="13"/>
              </w:rPr>
              <w:t>4.4</w:t>
            </w:r>
          </w:p>
        </w:tc>
        <w:tc>
          <w:tcPr>
            <w:tcW w:w="1415" w:type="dxa"/>
            <w:tcBorders>
              <w:top w:val="single" w:sz="4" w:space="0" w:color="008FDD"/>
              <w:left w:val="single" w:sz="24" w:space="0" w:color="FFFFFF"/>
            </w:tcBorders>
            <w:shd w:val="clear" w:color="auto" w:fill="D4E3F5"/>
          </w:tcPr>
          <w:p>
            <w:pPr>
              <w:pStyle w:val="TableParagraph"/>
              <w:spacing w:line="148" w:lineRule="exact" w:before="15"/>
              <w:ind w:left="70"/>
              <w:jc w:val="left"/>
              <w:rPr>
                <w:sz w:val="13"/>
              </w:rPr>
            </w:pPr>
            <w:r>
              <w:rPr>
                <w:color w:val="231F20"/>
                <w:spacing w:val="-2"/>
                <w:w w:val="90"/>
                <w:sz w:val="13"/>
              </w:rPr>
              <w:t>Mexico</w:t>
            </w:r>
          </w:p>
        </w:tc>
        <w:tc>
          <w:tcPr>
            <w:tcW w:w="482" w:type="dxa"/>
            <w:tcBorders>
              <w:top w:val="single" w:sz="4" w:space="0" w:color="008FDD"/>
            </w:tcBorders>
            <w:shd w:val="clear" w:color="auto" w:fill="D4E3F5"/>
          </w:tcPr>
          <w:p>
            <w:pPr>
              <w:pStyle w:val="TableParagraph"/>
              <w:spacing w:line="148" w:lineRule="exact" w:before="15"/>
              <w:ind w:right="109"/>
              <w:jc w:val="right"/>
              <w:rPr>
                <w:sz w:val="13"/>
              </w:rPr>
            </w:pPr>
            <w:r>
              <w:rPr>
                <w:color w:val="231F20"/>
                <w:spacing w:val="-5"/>
                <w:w w:val="95"/>
                <w:sz w:val="13"/>
              </w:rPr>
              <w:t>2.9</w:t>
            </w:r>
          </w:p>
        </w:tc>
        <w:tc>
          <w:tcPr>
            <w:tcW w:w="532" w:type="dxa"/>
            <w:tcBorders>
              <w:top w:val="single" w:sz="4" w:space="0" w:color="008FDD"/>
            </w:tcBorders>
            <w:shd w:val="clear" w:color="auto" w:fill="D4E3F5"/>
          </w:tcPr>
          <w:p>
            <w:pPr>
              <w:pStyle w:val="TableParagraph"/>
              <w:spacing w:line="148" w:lineRule="exact" w:before="15"/>
              <w:ind w:left="20" w:right="55"/>
              <w:rPr>
                <w:sz w:val="13"/>
              </w:rPr>
            </w:pPr>
            <w:r>
              <w:rPr>
                <w:color w:val="231F20"/>
                <w:spacing w:val="-5"/>
                <w:w w:val="95"/>
                <w:sz w:val="13"/>
              </w:rPr>
              <w:t>2.5</w:t>
            </w:r>
          </w:p>
        </w:tc>
        <w:tc>
          <w:tcPr>
            <w:tcW w:w="550" w:type="dxa"/>
            <w:tcBorders>
              <w:top w:val="single" w:sz="4" w:space="0" w:color="008FDD"/>
            </w:tcBorders>
            <w:shd w:val="clear" w:color="auto" w:fill="D4E3F5"/>
          </w:tcPr>
          <w:p>
            <w:pPr>
              <w:pStyle w:val="TableParagraph"/>
              <w:spacing w:line="148" w:lineRule="exact" w:before="15"/>
              <w:ind w:left="21" w:right="45"/>
              <w:rPr>
                <w:sz w:val="13"/>
              </w:rPr>
            </w:pPr>
            <w:r>
              <w:rPr>
                <w:color w:val="231F20"/>
                <w:spacing w:val="-5"/>
                <w:w w:val="95"/>
                <w:sz w:val="13"/>
              </w:rPr>
              <w:t>2.8</w:t>
            </w:r>
          </w:p>
        </w:tc>
        <w:tc>
          <w:tcPr>
            <w:tcW w:w="616" w:type="dxa"/>
            <w:tcBorders>
              <w:top w:val="single" w:sz="4" w:space="0" w:color="008FDD"/>
            </w:tcBorders>
            <w:shd w:val="clear" w:color="auto" w:fill="D4E3F5"/>
          </w:tcPr>
          <w:p>
            <w:pPr>
              <w:pStyle w:val="TableParagraph"/>
              <w:spacing w:line="148" w:lineRule="exact" w:before="15"/>
              <w:ind w:right="16"/>
              <w:rPr>
                <w:sz w:val="13"/>
              </w:rPr>
            </w:pPr>
            <w:r>
              <w:rPr>
                <w:color w:val="231F20"/>
                <w:spacing w:val="-5"/>
                <w:w w:val="95"/>
                <w:sz w:val="13"/>
              </w:rPr>
              <w:t>2.8</w:t>
            </w:r>
          </w:p>
        </w:tc>
        <w:tc>
          <w:tcPr>
            <w:tcW w:w="707" w:type="dxa"/>
            <w:tcBorders>
              <w:top w:val="single" w:sz="4" w:space="0" w:color="008FDD"/>
            </w:tcBorders>
            <w:shd w:val="clear" w:color="auto" w:fill="D4E3F5"/>
          </w:tcPr>
          <w:p>
            <w:pPr>
              <w:pStyle w:val="TableParagraph"/>
              <w:spacing w:line="148" w:lineRule="exact" w:before="15"/>
              <w:ind w:left="16" w:right="55"/>
              <w:rPr>
                <w:sz w:val="13"/>
              </w:rPr>
            </w:pPr>
            <w:r>
              <w:rPr>
                <w:color w:val="231F20"/>
                <w:spacing w:val="-5"/>
                <w:w w:val="95"/>
                <w:sz w:val="13"/>
              </w:rPr>
              <w:t>3.0</w:t>
            </w:r>
          </w:p>
        </w:tc>
        <w:tc>
          <w:tcPr>
            <w:tcW w:w="369" w:type="dxa"/>
            <w:tcBorders>
              <w:top w:val="single" w:sz="4" w:space="0" w:color="008FDD"/>
            </w:tcBorders>
            <w:shd w:val="clear" w:color="auto" w:fill="D4E3F5"/>
          </w:tcPr>
          <w:p>
            <w:pPr>
              <w:pStyle w:val="TableParagraph"/>
              <w:spacing w:line="148" w:lineRule="exact" w:before="15"/>
              <w:ind w:left="17" w:right="61"/>
              <w:rPr>
                <w:sz w:val="13"/>
              </w:rPr>
            </w:pPr>
            <w:r>
              <w:rPr>
                <w:color w:val="231F20"/>
                <w:spacing w:val="-5"/>
                <w:w w:val="95"/>
                <w:sz w:val="13"/>
              </w:rPr>
              <w:t>3.5</w:t>
            </w:r>
          </w:p>
        </w:tc>
        <w:tc>
          <w:tcPr>
            <w:tcW w:w="507" w:type="dxa"/>
            <w:tcBorders>
              <w:top w:val="single" w:sz="4" w:space="0" w:color="008FDD"/>
            </w:tcBorders>
            <w:shd w:val="clear" w:color="auto" w:fill="D4E3F5"/>
          </w:tcPr>
          <w:p>
            <w:pPr>
              <w:pStyle w:val="TableParagraph"/>
              <w:spacing w:line="148" w:lineRule="exact" w:before="15"/>
              <w:ind w:right="61"/>
              <w:rPr>
                <w:sz w:val="13"/>
              </w:rPr>
            </w:pPr>
            <w:r>
              <w:rPr>
                <w:color w:val="231F20"/>
                <w:spacing w:val="-5"/>
                <w:w w:val="95"/>
                <w:sz w:val="13"/>
              </w:rPr>
              <w:t>3.1</w:t>
            </w:r>
          </w:p>
        </w:tc>
      </w:tr>
      <w:tr>
        <w:trPr>
          <w:trHeight w:val="184" w:hRule="atLeast"/>
        </w:trPr>
        <w:tc>
          <w:tcPr>
            <w:tcW w:w="1377" w:type="dxa"/>
          </w:tcPr>
          <w:p>
            <w:pPr>
              <w:pStyle w:val="TableParagraph"/>
              <w:spacing w:line="148" w:lineRule="exact" w:before="17"/>
              <w:ind w:left="79"/>
              <w:jc w:val="left"/>
              <w:rPr>
                <w:sz w:val="13"/>
              </w:rPr>
            </w:pPr>
            <w:r>
              <w:rPr>
                <w:color w:val="231F20"/>
                <w:spacing w:val="-2"/>
                <w:w w:val="90"/>
                <w:sz w:val="13"/>
              </w:rPr>
              <w:t>Finland</w:t>
            </w:r>
          </w:p>
        </w:tc>
        <w:tc>
          <w:tcPr>
            <w:tcW w:w="487" w:type="dxa"/>
          </w:tcPr>
          <w:p>
            <w:pPr>
              <w:pStyle w:val="TableParagraph"/>
              <w:spacing w:line="148" w:lineRule="exact" w:before="17"/>
              <w:ind w:right="96"/>
              <w:jc w:val="right"/>
              <w:rPr>
                <w:sz w:val="13"/>
              </w:rPr>
            </w:pPr>
            <w:r>
              <w:rPr>
                <w:color w:val="231F20"/>
                <w:spacing w:val="-5"/>
                <w:w w:val="95"/>
                <w:sz w:val="13"/>
              </w:rPr>
              <w:t>4.2</w:t>
            </w:r>
          </w:p>
        </w:tc>
        <w:tc>
          <w:tcPr>
            <w:tcW w:w="531" w:type="dxa"/>
          </w:tcPr>
          <w:p>
            <w:pPr>
              <w:pStyle w:val="TableParagraph"/>
              <w:spacing w:line="148" w:lineRule="exact" w:before="17"/>
              <w:ind w:left="17" w:right="27"/>
              <w:rPr>
                <w:sz w:val="13"/>
              </w:rPr>
            </w:pPr>
            <w:r>
              <w:rPr>
                <w:color w:val="231F20"/>
                <w:spacing w:val="-5"/>
                <w:w w:val="95"/>
                <w:sz w:val="13"/>
              </w:rPr>
              <w:t>4.0</w:t>
            </w:r>
          </w:p>
        </w:tc>
        <w:tc>
          <w:tcPr>
            <w:tcW w:w="549" w:type="dxa"/>
          </w:tcPr>
          <w:p>
            <w:pPr>
              <w:pStyle w:val="TableParagraph"/>
              <w:spacing w:line="148" w:lineRule="exact" w:before="17"/>
              <w:ind w:left="18" w:right="16"/>
              <w:rPr>
                <w:sz w:val="13"/>
              </w:rPr>
            </w:pPr>
            <w:r>
              <w:rPr>
                <w:color w:val="231F20"/>
                <w:spacing w:val="-5"/>
                <w:w w:val="95"/>
                <w:sz w:val="13"/>
              </w:rPr>
              <w:t>4.2</w:t>
            </w:r>
          </w:p>
        </w:tc>
        <w:tc>
          <w:tcPr>
            <w:tcW w:w="615" w:type="dxa"/>
          </w:tcPr>
          <w:p>
            <w:pPr>
              <w:pStyle w:val="TableParagraph"/>
              <w:spacing w:line="148" w:lineRule="exact" w:before="17"/>
              <w:ind w:left="12" w:right="15"/>
              <w:rPr>
                <w:sz w:val="13"/>
              </w:rPr>
            </w:pPr>
            <w:r>
              <w:rPr>
                <w:color w:val="231F20"/>
                <w:spacing w:val="-5"/>
                <w:w w:val="95"/>
                <w:sz w:val="13"/>
              </w:rPr>
              <w:t>4.1</w:t>
            </w:r>
          </w:p>
        </w:tc>
        <w:tc>
          <w:tcPr>
            <w:tcW w:w="706" w:type="dxa"/>
          </w:tcPr>
          <w:p>
            <w:pPr>
              <w:pStyle w:val="TableParagraph"/>
              <w:spacing w:line="148" w:lineRule="exact" w:before="17"/>
              <w:ind w:left="19" w:right="24"/>
              <w:rPr>
                <w:sz w:val="13"/>
              </w:rPr>
            </w:pPr>
            <w:r>
              <w:rPr>
                <w:color w:val="231F20"/>
                <w:spacing w:val="-5"/>
                <w:w w:val="95"/>
                <w:sz w:val="13"/>
              </w:rPr>
              <w:t>4.2</w:t>
            </w:r>
          </w:p>
        </w:tc>
        <w:tc>
          <w:tcPr>
            <w:tcW w:w="368" w:type="dxa"/>
          </w:tcPr>
          <w:p>
            <w:pPr>
              <w:pStyle w:val="TableParagraph"/>
              <w:spacing w:line="148" w:lineRule="exact" w:before="17"/>
              <w:ind w:left="19" w:right="28"/>
              <w:rPr>
                <w:sz w:val="13"/>
              </w:rPr>
            </w:pPr>
            <w:r>
              <w:rPr>
                <w:color w:val="231F20"/>
                <w:spacing w:val="-5"/>
                <w:w w:val="95"/>
                <w:sz w:val="13"/>
              </w:rPr>
              <w:t>4.3</w:t>
            </w:r>
          </w:p>
        </w:tc>
        <w:tc>
          <w:tcPr>
            <w:tcW w:w="536" w:type="dxa"/>
            <w:tcBorders>
              <w:right w:val="single" w:sz="24" w:space="0" w:color="FFFFFF"/>
            </w:tcBorders>
          </w:tcPr>
          <w:p>
            <w:pPr>
              <w:pStyle w:val="TableParagraph"/>
              <w:spacing w:line="148" w:lineRule="exact" w:before="17"/>
              <w:ind w:left="21" w:right="27"/>
              <w:rPr>
                <w:sz w:val="13"/>
              </w:rPr>
            </w:pPr>
            <w:r>
              <w:rPr>
                <w:color w:val="231F20"/>
                <w:spacing w:val="-5"/>
                <w:w w:val="95"/>
                <w:sz w:val="13"/>
              </w:rPr>
              <w:t>4.2</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90"/>
                <w:sz w:val="13"/>
              </w:rPr>
              <w:t>Namibia</w:t>
            </w:r>
          </w:p>
        </w:tc>
        <w:tc>
          <w:tcPr>
            <w:tcW w:w="482" w:type="dxa"/>
          </w:tcPr>
          <w:p>
            <w:pPr>
              <w:pStyle w:val="TableParagraph"/>
              <w:spacing w:line="148" w:lineRule="exact" w:before="17"/>
              <w:ind w:right="110"/>
              <w:jc w:val="right"/>
              <w:rPr>
                <w:sz w:val="13"/>
              </w:rPr>
            </w:pPr>
            <w:r>
              <w:rPr>
                <w:color w:val="231F20"/>
                <w:spacing w:val="-5"/>
                <w:w w:val="95"/>
                <w:sz w:val="13"/>
              </w:rPr>
              <w:t>2.9</w:t>
            </w:r>
          </w:p>
        </w:tc>
        <w:tc>
          <w:tcPr>
            <w:tcW w:w="532" w:type="dxa"/>
          </w:tcPr>
          <w:p>
            <w:pPr>
              <w:pStyle w:val="TableParagraph"/>
              <w:spacing w:line="148" w:lineRule="exact" w:before="17"/>
              <w:ind w:left="20" w:right="55"/>
              <w:rPr>
                <w:sz w:val="13"/>
              </w:rPr>
            </w:pPr>
            <w:r>
              <w:rPr>
                <w:color w:val="231F20"/>
                <w:spacing w:val="-5"/>
                <w:w w:val="95"/>
                <w:sz w:val="13"/>
              </w:rPr>
              <w:t>2.8</w:t>
            </w:r>
          </w:p>
        </w:tc>
        <w:tc>
          <w:tcPr>
            <w:tcW w:w="550" w:type="dxa"/>
          </w:tcPr>
          <w:p>
            <w:pPr>
              <w:pStyle w:val="TableParagraph"/>
              <w:spacing w:line="148" w:lineRule="exact" w:before="17"/>
              <w:ind w:left="20" w:right="45"/>
              <w:rPr>
                <w:sz w:val="13"/>
              </w:rPr>
            </w:pPr>
            <w:r>
              <w:rPr>
                <w:color w:val="231F20"/>
                <w:spacing w:val="-5"/>
                <w:w w:val="95"/>
                <w:sz w:val="13"/>
              </w:rPr>
              <w:t>2.8</w:t>
            </w:r>
          </w:p>
        </w:tc>
        <w:tc>
          <w:tcPr>
            <w:tcW w:w="616" w:type="dxa"/>
          </w:tcPr>
          <w:p>
            <w:pPr>
              <w:pStyle w:val="TableParagraph"/>
              <w:spacing w:line="148" w:lineRule="exact" w:before="17"/>
              <w:ind w:right="16"/>
              <w:rPr>
                <w:sz w:val="13"/>
              </w:rPr>
            </w:pPr>
            <w:r>
              <w:rPr>
                <w:color w:val="231F20"/>
                <w:spacing w:val="-5"/>
                <w:w w:val="95"/>
                <w:sz w:val="13"/>
              </w:rPr>
              <w:t>3.0</w:t>
            </w:r>
          </w:p>
        </w:tc>
        <w:tc>
          <w:tcPr>
            <w:tcW w:w="707" w:type="dxa"/>
          </w:tcPr>
          <w:p>
            <w:pPr>
              <w:pStyle w:val="TableParagraph"/>
              <w:spacing w:line="148" w:lineRule="exact" w:before="17"/>
              <w:ind w:left="17" w:right="55"/>
              <w:rPr>
                <w:sz w:val="13"/>
              </w:rPr>
            </w:pPr>
            <w:r>
              <w:rPr>
                <w:color w:val="231F20"/>
                <w:spacing w:val="-5"/>
                <w:w w:val="95"/>
                <w:sz w:val="13"/>
              </w:rPr>
              <w:t>2.9</w:t>
            </w:r>
          </w:p>
        </w:tc>
        <w:tc>
          <w:tcPr>
            <w:tcW w:w="369" w:type="dxa"/>
          </w:tcPr>
          <w:p>
            <w:pPr>
              <w:pStyle w:val="TableParagraph"/>
              <w:spacing w:line="148" w:lineRule="exact" w:before="17"/>
              <w:ind w:left="18" w:right="61"/>
              <w:rPr>
                <w:sz w:val="13"/>
              </w:rPr>
            </w:pPr>
            <w:r>
              <w:rPr>
                <w:color w:val="231F20"/>
                <w:spacing w:val="-5"/>
                <w:w w:val="95"/>
                <w:sz w:val="13"/>
              </w:rPr>
              <w:t>2.9</w:t>
            </w:r>
          </w:p>
        </w:tc>
        <w:tc>
          <w:tcPr>
            <w:tcW w:w="507" w:type="dxa"/>
          </w:tcPr>
          <w:p>
            <w:pPr>
              <w:pStyle w:val="TableParagraph"/>
              <w:spacing w:line="148" w:lineRule="exact" w:before="17"/>
              <w:ind w:right="43"/>
              <w:rPr>
                <w:sz w:val="13"/>
              </w:rPr>
            </w:pPr>
            <w:r>
              <w:rPr>
                <w:color w:val="231F20"/>
                <w:spacing w:val="-5"/>
                <w:w w:val="95"/>
                <w:sz w:val="13"/>
              </w:rPr>
              <w:t>2.8</w:t>
            </w:r>
          </w:p>
        </w:tc>
      </w:tr>
      <w:tr>
        <w:trPr>
          <w:trHeight w:val="184" w:hRule="atLeast"/>
        </w:trPr>
        <w:tc>
          <w:tcPr>
            <w:tcW w:w="1377" w:type="dxa"/>
            <w:shd w:val="clear" w:color="auto" w:fill="D4E3F5"/>
          </w:tcPr>
          <w:p>
            <w:pPr>
              <w:pStyle w:val="TableParagraph"/>
              <w:spacing w:line="148" w:lineRule="exact" w:before="17"/>
              <w:ind w:left="79"/>
              <w:jc w:val="left"/>
              <w:rPr>
                <w:sz w:val="13"/>
              </w:rPr>
            </w:pPr>
            <w:r>
              <w:rPr>
                <w:color w:val="231F20"/>
                <w:spacing w:val="-2"/>
                <w:w w:val="90"/>
                <w:sz w:val="13"/>
              </w:rPr>
              <w:t>Denmark</w:t>
            </w:r>
          </w:p>
        </w:tc>
        <w:tc>
          <w:tcPr>
            <w:tcW w:w="487" w:type="dxa"/>
            <w:shd w:val="clear" w:color="auto" w:fill="D4E3F5"/>
          </w:tcPr>
          <w:p>
            <w:pPr>
              <w:pStyle w:val="TableParagraph"/>
              <w:spacing w:line="148" w:lineRule="exact" w:before="17"/>
              <w:ind w:right="114"/>
              <w:jc w:val="right"/>
              <w:rPr>
                <w:sz w:val="13"/>
              </w:rPr>
            </w:pPr>
            <w:r>
              <w:rPr>
                <w:color w:val="231F20"/>
                <w:spacing w:val="-5"/>
                <w:w w:val="95"/>
                <w:sz w:val="13"/>
              </w:rPr>
              <w:t>4.1</w:t>
            </w:r>
          </w:p>
        </w:tc>
        <w:tc>
          <w:tcPr>
            <w:tcW w:w="531" w:type="dxa"/>
            <w:shd w:val="clear" w:color="auto" w:fill="D4E3F5"/>
          </w:tcPr>
          <w:p>
            <w:pPr>
              <w:pStyle w:val="TableParagraph"/>
              <w:spacing w:line="148" w:lineRule="exact" w:before="17"/>
              <w:ind w:left="1" w:right="27"/>
              <w:rPr>
                <w:sz w:val="13"/>
              </w:rPr>
            </w:pPr>
            <w:r>
              <w:rPr>
                <w:color w:val="231F20"/>
                <w:spacing w:val="-5"/>
                <w:w w:val="95"/>
                <w:sz w:val="13"/>
              </w:rPr>
              <w:t>4.1</w:t>
            </w:r>
          </w:p>
        </w:tc>
        <w:tc>
          <w:tcPr>
            <w:tcW w:w="549" w:type="dxa"/>
            <w:shd w:val="clear" w:color="auto" w:fill="D4E3F5"/>
          </w:tcPr>
          <w:p>
            <w:pPr>
              <w:pStyle w:val="TableParagraph"/>
              <w:spacing w:line="148" w:lineRule="exact" w:before="17"/>
              <w:ind w:left="3" w:right="16"/>
              <w:rPr>
                <w:sz w:val="13"/>
              </w:rPr>
            </w:pPr>
            <w:r>
              <w:rPr>
                <w:color w:val="231F20"/>
                <w:spacing w:val="-5"/>
                <w:w w:val="95"/>
                <w:sz w:val="13"/>
              </w:rPr>
              <w:t>4.1</w:t>
            </w:r>
          </w:p>
        </w:tc>
        <w:tc>
          <w:tcPr>
            <w:tcW w:w="615" w:type="dxa"/>
            <w:shd w:val="clear" w:color="auto" w:fill="D4E3F5"/>
          </w:tcPr>
          <w:p>
            <w:pPr>
              <w:pStyle w:val="TableParagraph"/>
              <w:spacing w:line="148" w:lineRule="exact" w:before="17"/>
              <w:ind w:left="16" w:right="8"/>
              <w:rPr>
                <w:sz w:val="13"/>
              </w:rPr>
            </w:pPr>
            <w:r>
              <w:rPr>
                <w:color w:val="231F20"/>
                <w:spacing w:val="-5"/>
                <w:w w:val="95"/>
                <w:sz w:val="13"/>
              </w:rPr>
              <w:t>3.6</w:t>
            </w:r>
          </w:p>
        </w:tc>
        <w:tc>
          <w:tcPr>
            <w:tcW w:w="706" w:type="dxa"/>
            <w:shd w:val="clear" w:color="auto" w:fill="D4E3F5"/>
          </w:tcPr>
          <w:p>
            <w:pPr>
              <w:pStyle w:val="TableParagraph"/>
              <w:spacing w:line="148" w:lineRule="exact" w:before="17"/>
              <w:ind w:left="1" w:right="24"/>
              <w:rPr>
                <w:sz w:val="13"/>
              </w:rPr>
            </w:pPr>
            <w:r>
              <w:rPr>
                <w:color w:val="231F20"/>
                <w:spacing w:val="-5"/>
                <w:w w:val="95"/>
                <w:sz w:val="13"/>
              </w:rPr>
              <w:t>4.1</w:t>
            </w:r>
          </w:p>
        </w:tc>
        <w:tc>
          <w:tcPr>
            <w:tcW w:w="368" w:type="dxa"/>
            <w:shd w:val="clear" w:color="auto" w:fill="D4E3F5"/>
          </w:tcPr>
          <w:p>
            <w:pPr>
              <w:pStyle w:val="TableParagraph"/>
              <w:spacing w:line="148" w:lineRule="exact" w:before="17"/>
              <w:ind w:left="2" w:right="28"/>
              <w:rPr>
                <w:sz w:val="13"/>
              </w:rPr>
            </w:pPr>
            <w:r>
              <w:rPr>
                <w:color w:val="231F20"/>
                <w:spacing w:val="-5"/>
                <w:w w:val="95"/>
                <w:sz w:val="13"/>
              </w:rPr>
              <w:t>4.1</w:t>
            </w:r>
          </w:p>
        </w:tc>
        <w:tc>
          <w:tcPr>
            <w:tcW w:w="536" w:type="dxa"/>
            <w:tcBorders>
              <w:right w:val="single" w:sz="24" w:space="0" w:color="FFFFFF"/>
            </w:tcBorders>
            <w:shd w:val="clear" w:color="auto" w:fill="D4E3F5"/>
          </w:tcPr>
          <w:p>
            <w:pPr>
              <w:pStyle w:val="TableParagraph"/>
              <w:spacing w:line="148" w:lineRule="exact" w:before="17"/>
              <w:ind w:left="19" w:right="27"/>
              <w:rPr>
                <w:sz w:val="13"/>
              </w:rPr>
            </w:pPr>
            <w:r>
              <w:rPr>
                <w:color w:val="231F20"/>
                <w:spacing w:val="-5"/>
                <w:w w:val="95"/>
                <w:sz w:val="13"/>
              </w:rPr>
              <w:t>4.3</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2"/>
                <w:w w:val="90"/>
                <w:sz w:val="13"/>
              </w:rPr>
              <w:t>Argentina</w:t>
            </w:r>
          </w:p>
        </w:tc>
        <w:tc>
          <w:tcPr>
            <w:tcW w:w="482" w:type="dxa"/>
            <w:shd w:val="clear" w:color="auto" w:fill="D4E3F5"/>
          </w:tcPr>
          <w:p>
            <w:pPr>
              <w:pStyle w:val="TableParagraph"/>
              <w:spacing w:line="148" w:lineRule="exact" w:before="17"/>
              <w:ind w:right="109"/>
              <w:jc w:val="right"/>
              <w:rPr>
                <w:sz w:val="13"/>
              </w:rPr>
            </w:pPr>
            <w:r>
              <w:rPr>
                <w:color w:val="231F20"/>
                <w:spacing w:val="-5"/>
                <w:w w:val="95"/>
                <w:sz w:val="13"/>
              </w:rPr>
              <w:t>2.8</w:t>
            </w:r>
          </w:p>
        </w:tc>
        <w:tc>
          <w:tcPr>
            <w:tcW w:w="532" w:type="dxa"/>
            <w:shd w:val="clear" w:color="auto" w:fill="D4E3F5"/>
          </w:tcPr>
          <w:p>
            <w:pPr>
              <w:pStyle w:val="TableParagraph"/>
              <w:spacing w:line="148" w:lineRule="exact" w:before="17"/>
              <w:ind w:left="16" w:right="55"/>
              <w:rPr>
                <w:sz w:val="13"/>
              </w:rPr>
            </w:pPr>
            <w:r>
              <w:rPr>
                <w:color w:val="231F20"/>
                <w:spacing w:val="-5"/>
                <w:w w:val="95"/>
                <w:sz w:val="13"/>
              </w:rPr>
              <w:t>2.7</w:t>
            </w:r>
          </w:p>
        </w:tc>
        <w:tc>
          <w:tcPr>
            <w:tcW w:w="550" w:type="dxa"/>
            <w:shd w:val="clear" w:color="auto" w:fill="D4E3F5"/>
          </w:tcPr>
          <w:p>
            <w:pPr>
              <w:pStyle w:val="TableParagraph"/>
              <w:spacing w:line="148" w:lineRule="exact" w:before="17"/>
              <w:ind w:left="20" w:right="45"/>
              <w:rPr>
                <w:sz w:val="13"/>
              </w:rPr>
            </w:pPr>
            <w:r>
              <w:rPr>
                <w:color w:val="231F20"/>
                <w:spacing w:val="-5"/>
                <w:w w:val="95"/>
                <w:sz w:val="13"/>
              </w:rPr>
              <w:t>2.8</w:t>
            </w:r>
          </w:p>
        </w:tc>
        <w:tc>
          <w:tcPr>
            <w:tcW w:w="616" w:type="dxa"/>
            <w:shd w:val="clear" w:color="auto" w:fill="D4E3F5"/>
          </w:tcPr>
          <w:p>
            <w:pPr>
              <w:pStyle w:val="TableParagraph"/>
              <w:spacing w:line="148" w:lineRule="exact" w:before="17"/>
              <w:ind w:left="16" w:right="37"/>
              <w:rPr>
                <w:sz w:val="13"/>
              </w:rPr>
            </w:pPr>
            <w:r>
              <w:rPr>
                <w:color w:val="231F20"/>
                <w:spacing w:val="-5"/>
                <w:w w:val="95"/>
                <w:sz w:val="13"/>
              </w:rPr>
              <w:t>2.7</w:t>
            </w:r>
          </w:p>
        </w:tc>
        <w:tc>
          <w:tcPr>
            <w:tcW w:w="707" w:type="dxa"/>
            <w:shd w:val="clear" w:color="auto" w:fill="D4E3F5"/>
          </w:tcPr>
          <w:p>
            <w:pPr>
              <w:pStyle w:val="TableParagraph"/>
              <w:spacing w:line="148" w:lineRule="exact" w:before="17"/>
              <w:ind w:left="12" w:right="55"/>
              <w:rPr>
                <w:sz w:val="13"/>
              </w:rPr>
            </w:pPr>
            <w:r>
              <w:rPr>
                <w:color w:val="231F20"/>
                <w:spacing w:val="-5"/>
                <w:w w:val="95"/>
                <w:sz w:val="13"/>
              </w:rPr>
              <w:t>2.7</w:t>
            </w:r>
          </w:p>
        </w:tc>
        <w:tc>
          <w:tcPr>
            <w:tcW w:w="369" w:type="dxa"/>
            <w:shd w:val="clear" w:color="auto" w:fill="D4E3F5"/>
          </w:tcPr>
          <w:p>
            <w:pPr>
              <w:pStyle w:val="TableParagraph"/>
              <w:spacing w:line="148" w:lineRule="exact" w:before="17"/>
              <w:ind w:left="1" w:right="61"/>
              <w:rPr>
                <w:sz w:val="13"/>
              </w:rPr>
            </w:pPr>
            <w:r>
              <w:rPr>
                <w:color w:val="231F20"/>
                <w:spacing w:val="-5"/>
                <w:w w:val="95"/>
                <w:sz w:val="13"/>
              </w:rPr>
              <w:t>3.1</w:t>
            </w:r>
          </w:p>
        </w:tc>
        <w:tc>
          <w:tcPr>
            <w:tcW w:w="507" w:type="dxa"/>
            <w:shd w:val="clear" w:color="auto" w:fill="D4E3F5"/>
          </w:tcPr>
          <w:p>
            <w:pPr>
              <w:pStyle w:val="TableParagraph"/>
              <w:spacing w:line="148" w:lineRule="exact" w:before="17"/>
              <w:ind w:right="44"/>
              <w:rPr>
                <w:sz w:val="13"/>
              </w:rPr>
            </w:pPr>
            <w:r>
              <w:rPr>
                <w:color w:val="231F20"/>
                <w:spacing w:val="-5"/>
                <w:w w:val="95"/>
                <w:sz w:val="13"/>
              </w:rPr>
              <w:t>2.9</w:t>
            </w:r>
          </w:p>
        </w:tc>
      </w:tr>
      <w:tr>
        <w:trPr>
          <w:trHeight w:val="184" w:hRule="atLeast"/>
        </w:trPr>
        <w:tc>
          <w:tcPr>
            <w:tcW w:w="1377" w:type="dxa"/>
          </w:tcPr>
          <w:p>
            <w:pPr>
              <w:pStyle w:val="TableParagraph"/>
              <w:spacing w:line="148" w:lineRule="exact" w:before="17"/>
              <w:ind w:left="79"/>
              <w:jc w:val="left"/>
              <w:rPr>
                <w:sz w:val="13"/>
              </w:rPr>
            </w:pPr>
            <w:r>
              <w:rPr>
                <w:color w:val="231F20"/>
                <w:spacing w:val="-2"/>
                <w:w w:val="85"/>
                <w:sz w:val="13"/>
              </w:rPr>
              <w:t>Germany</w:t>
            </w:r>
          </w:p>
        </w:tc>
        <w:tc>
          <w:tcPr>
            <w:tcW w:w="487" w:type="dxa"/>
          </w:tcPr>
          <w:p>
            <w:pPr>
              <w:pStyle w:val="TableParagraph"/>
              <w:spacing w:line="148" w:lineRule="exact" w:before="17"/>
              <w:ind w:right="114"/>
              <w:jc w:val="right"/>
              <w:rPr>
                <w:sz w:val="13"/>
              </w:rPr>
            </w:pPr>
            <w:r>
              <w:rPr>
                <w:color w:val="231F20"/>
                <w:spacing w:val="-5"/>
                <w:w w:val="95"/>
                <w:sz w:val="13"/>
              </w:rPr>
              <w:t>4.1</w:t>
            </w:r>
          </w:p>
        </w:tc>
        <w:tc>
          <w:tcPr>
            <w:tcW w:w="531" w:type="dxa"/>
          </w:tcPr>
          <w:p>
            <w:pPr>
              <w:pStyle w:val="TableParagraph"/>
              <w:spacing w:line="148" w:lineRule="exact" w:before="17"/>
              <w:ind w:left="17" w:right="27"/>
              <w:rPr>
                <w:sz w:val="13"/>
              </w:rPr>
            </w:pPr>
            <w:r>
              <w:rPr>
                <w:color w:val="231F20"/>
                <w:spacing w:val="-5"/>
                <w:w w:val="95"/>
                <w:sz w:val="13"/>
              </w:rPr>
              <w:t>3.9</w:t>
            </w:r>
          </w:p>
        </w:tc>
        <w:tc>
          <w:tcPr>
            <w:tcW w:w="549" w:type="dxa"/>
          </w:tcPr>
          <w:p>
            <w:pPr>
              <w:pStyle w:val="TableParagraph"/>
              <w:spacing w:line="148" w:lineRule="exact" w:before="17"/>
              <w:ind w:left="16" w:right="16"/>
              <w:rPr>
                <w:sz w:val="13"/>
              </w:rPr>
            </w:pPr>
            <w:r>
              <w:rPr>
                <w:color w:val="231F20"/>
                <w:spacing w:val="-5"/>
                <w:w w:val="95"/>
                <w:sz w:val="13"/>
              </w:rPr>
              <w:t>4.3</w:t>
            </w:r>
          </w:p>
        </w:tc>
        <w:tc>
          <w:tcPr>
            <w:tcW w:w="615" w:type="dxa"/>
          </w:tcPr>
          <w:p>
            <w:pPr>
              <w:pStyle w:val="TableParagraph"/>
              <w:spacing w:line="148" w:lineRule="exact" w:before="17"/>
              <w:ind w:left="12" w:right="8"/>
              <w:rPr>
                <w:sz w:val="13"/>
              </w:rPr>
            </w:pPr>
            <w:r>
              <w:rPr>
                <w:color w:val="231F20"/>
                <w:spacing w:val="-5"/>
                <w:w w:val="95"/>
                <w:sz w:val="13"/>
              </w:rPr>
              <w:t>3.7</w:t>
            </w:r>
          </w:p>
        </w:tc>
        <w:tc>
          <w:tcPr>
            <w:tcW w:w="706" w:type="dxa"/>
          </w:tcPr>
          <w:p>
            <w:pPr>
              <w:pStyle w:val="TableParagraph"/>
              <w:spacing w:line="148" w:lineRule="exact" w:before="17"/>
              <w:ind w:left="18" w:right="24"/>
              <w:rPr>
                <w:sz w:val="13"/>
              </w:rPr>
            </w:pPr>
            <w:r>
              <w:rPr>
                <w:color w:val="231F20"/>
                <w:spacing w:val="-5"/>
                <w:w w:val="95"/>
                <w:sz w:val="13"/>
              </w:rPr>
              <w:t>4.2</w:t>
            </w:r>
          </w:p>
        </w:tc>
        <w:tc>
          <w:tcPr>
            <w:tcW w:w="368" w:type="dxa"/>
          </w:tcPr>
          <w:p>
            <w:pPr>
              <w:pStyle w:val="TableParagraph"/>
              <w:spacing w:line="148" w:lineRule="exact" w:before="17"/>
              <w:ind w:left="2" w:right="28"/>
              <w:rPr>
                <w:sz w:val="13"/>
              </w:rPr>
            </w:pPr>
            <w:r>
              <w:rPr>
                <w:color w:val="231F20"/>
                <w:spacing w:val="-5"/>
                <w:w w:val="95"/>
                <w:sz w:val="13"/>
              </w:rPr>
              <w:t>4.1</w:t>
            </w:r>
          </w:p>
        </w:tc>
        <w:tc>
          <w:tcPr>
            <w:tcW w:w="536" w:type="dxa"/>
            <w:tcBorders>
              <w:right w:val="single" w:sz="24" w:space="0" w:color="FFFFFF"/>
            </w:tcBorders>
          </w:tcPr>
          <w:p>
            <w:pPr>
              <w:pStyle w:val="TableParagraph"/>
              <w:spacing w:line="148" w:lineRule="exact" w:before="17"/>
              <w:ind w:left="20" w:right="27"/>
              <w:rPr>
                <w:sz w:val="13"/>
              </w:rPr>
            </w:pPr>
            <w:r>
              <w:rPr>
                <w:color w:val="231F20"/>
                <w:spacing w:val="-5"/>
                <w:w w:val="95"/>
                <w:sz w:val="13"/>
              </w:rPr>
              <w:t>4.2</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90"/>
                <w:sz w:val="13"/>
              </w:rPr>
              <w:t>Montenegro</w:t>
            </w:r>
          </w:p>
        </w:tc>
        <w:tc>
          <w:tcPr>
            <w:tcW w:w="482" w:type="dxa"/>
          </w:tcPr>
          <w:p>
            <w:pPr>
              <w:pStyle w:val="TableParagraph"/>
              <w:spacing w:line="148" w:lineRule="exact" w:before="17"/>
              <w:ind w:right="109"/>
              <w:jc w:val="right"/>
              <w:rPr>
                <w:sz w:val="13"/>
              </w:rPr>
            </w:pPr>
            <w:r>
              <w:rPr>
                <w:color w:val="231F20"/>
                <w:spacing w:val="-5"/>
                <w:w w:val="95"/>
                <w:sz w:val="13"/>
              </w:rPr>
              <w:t>2.8</w:t>
            </w:r>
          </w:p>
        </w:tc>
        <w:tc>
          <w:tcPr>
            <w:tcW w:w="532" w:type="dxa"/>
          </w:tcPr>
          <w:p>
            <w:pPr>
              <w:pStyle w:val="TableParagraph"/>
              <w:spacing w:line="148" w:lineRule="exact" w:before="17"/>
              <w:ind w:left="19" w:right="55"/>
              <w:rPr>
                <w:sz w:val="13"/>
              </w:rPr>
            </w:pPr>
            <w:r>
              <w:rPr>
                <w:color w:val="231F20"/>
                <w:spacing w:val="-5"/>
                <w:w w:val="95"/>
                <w:sz w:val="13"/>
              </w:rPr>
              <w:t>2.6</w:t>
            </w:r>
          </w:p>
        </w:tc>
        <w:tc>
          <w:tcPr>
            <w:tcW w:w="550" w:type="dxa"/>
          </w:tcPr>
          <w:p>
            <w:pPr>
              <w:pStyle w:val="TableParagraph"/>
              <w:spacing w:line="148" w:lineRule="exact" w:before="17"/>
              <w:ind w:left="21" w:right="45"/>
              <w:rPr>
                <w:sz w:val="13"/>
              </w:rPr>
            </w:pPr>
            <w:r>
              <w:rPr>
                <w:color w:val="231F20"/>
                <w:spacing w:val="-5"/>
                <w:w w:val="95"/>
                <w:sz w:val="13"/>
              </w:rPr>
              <w:t>2.5</w:t>
            </w:r>
          </w:p>
        </w:tc>
        <w:tc>
          <w:tcPr>
            <w:tcW w:w="616" w:type="dxa"/>
          </w:tcPr>
          <w:p>
            <w:pPr>
              <w:pStyle w:val="TableParagraph"/>
              <w:spacing w:line="148" w:lineRule="exact" w:before="17"/>
              <w:ind w:right="16"/>
              <w:rPr>
                <w:sz w:val="13"/>
              </w:rPr>
            </w:pPr>
            <w:r>
              <w:rPr>
                <w:color w:val="231F20"/>
                <w:spacing w:val="-5"/>
                <w:w w:val="95"/>
                <w:sz w:val="13"/>
              </w:rPr>
              <w:t>2.8</w:t>
            </w:r>
          </w:p>
        </w:tc>
        <w:tc>
          <w:tcPr>
            <w:tcW w:w="707" w:type="dxa"/>
          </w:tcPr>
          <w:p>
            <w:pPr>
              <w:pStyle w:val="TableParagraph"/>
              <w:spacing w:line="148" w:lineRule="exact" w:before="17"/>
              <w:ind w:left="17" w:right="55"/>
              <w:rPr>
                <w:sz w:val="13"/>
              </w:rPr>
            </w:pPr>
            <w:r>
              <w:rPr>
                <w:color w:val="231F20"/>
                <w:spacing w:val="-5"/>
                <w:w w:val="95"/>
                <w:sz w:val="13"/>
              </w:rPr>
              <w:t>2.8</w:t>
            </w:r>
          </w:p>
        </w:tc>
        <w:tc>
          <w:tcPr>
            <w:tcW w:w="369" w:type="dxa"/>
          </w:tcPr>
          <w:p>
            <w:pPr>
              <w:pStyle w:val="TableParagraph"/>
              <w:spacing w:line="148" w:lineRule="exact" w:before="17"/>
              <w:ind w:left="18" w:right="61"/>
              <w:rPr>
                <w:sz w:val="13"/>
              </w:rPr>
            </w:pPr>
            <w:r>
              <w:rPr>
                <w:color w:val="231F20"/>
                <w:spacing w:val="-5"/>
                <w:w w:val="95"/>
                <w:sz w:val="13"/>
              </w:rPr>
              <w:t>3.2</w:t>
            </w:r>
          </w:p>
        </w:tc>
        <w:tc>
          <w:tcPr>
            <w:tcW w:w="507" w:type="dxa"/>
          </w:tcPr>
          <w:p>
            <w:pPr>
              <w:pStyle w:val="TableParagraph"/>
              <w:spacing w:line="148" w:lineRule="exact" w:before="17"/>
              <w:ind w:right="43"/>
              <w:rPr>
                <w:sz w:val="13"/>
              </w:rPr>
            </w:pPr>
            <w:r>
              <w:rPr>
                <w:color w:val="231F20"/>
                <w:spacing w:val="-5"/>
                <w:w w:val="95"/>
                <w:sz w:val="13"/>
              </w:rPr>
              <w:t>3.2</w:t>
            </w:r>
          </w:p>
        </w:tc>
      </w:tr>
      <w:tr>
        <w:trPr>
          <w:trHeight w:val="184" w:hRule="atLeast"/>
        </w:trPr>
        <w:tc>
          <w:tcPr>
            <w:tcW w:w="1377" w:type="dxa"/>
            <w:shd w:val="clear" w:color="auto" w:fill="D4E3F5"/>
          </w:tcPr>
          <w:p>
            <w:pPr>
              <w:pStyle w:val="TableParagraph"/>
              <w:spacing w:line="148" w:lineRule="exact" w:before="17"/>
              <w:ind w:left="79"/>
              <w:jc w:val="left"/>
              <w:rPr>
                <w:sz w:val="13"/>
              </w:rPr>
            </w:pPr>
            <w:r>
              <w:rPr>
                <w:color w:val="231F20"/>
                <w:spacing w:val="-2"/>
                <w:w w:val="90"/>
                <w:sz w:val="13"/>
              </w:rPr>
              <w:t>Netherlands</w:t>
            </w:r>
          </w:p>
        </w:tc>
        <w:tc>
          <w:tcPr>
            <w:tcW w:w="487" w:type="dxa"/>
            <w:shd w:val="clear" w:color="auto" w:fill="D4E3F5"/>
          </w:tcPr>
          <w:p>
            <w:pPr>
              <w:pStyle w:val="TableParagraph"/>
              <w:spacing w:line="148" w:lineRule="exact" w:before="17"/>
              <w:ind w:right="114"/>
              <w:jc w:val="right"/>
              <w:rPr>
                <w:sz w:val="13"/>
              </w:rPr>
            </w:pPr>
            <w:r>
              <w:rPr>
                <w:color w:val="231F20"/>
                <w:spacing w:val="-5"/>
                <w:w w:val="95"/>
                <w:sz w:val="13"/>
              </w:rPr>
              <w:t>4.1</w:t>
            </w:r>
          </w:p>
        </w:tc>
        <w:tc>
          <w:tcPr>
            <w:tcW w:w="531" w:type="dxa"/>
            <w:shd w:val="clear" w:color="auto" w:fill="D4E3F5"/>
          </w:tcPr>
          <w:p>
            <w:pPr>
              <w:pStyle w:val="TableParagraph"/>
              <w:spacing w:line="148" w:lineRule="exact" w:before="17"/>
              <w:ind w:left="17" w:right="27"/>
              <w:rPr>
                <w:sz w:val="13"/>
              </w:rPr>
            </w:pPr>
            <w:r>
              <w:rPr>
                <w:color w:val="231F20"/>
                <w:spacing w:val="-5"/>
                <w:w w:val="95"/>
                <w:sz w:val="13"/>
              </w:rPr>
              <w:t>3.9</w:t>
            </w:r>
          </w:p>
        </w:tc>
        <w:tc>
          <w:tcPr>
            <w:tcW w:w="549" w:type="dxa"/>
            <w:shd w:val="clear" w:color="auto" w:fill="D4E3F5"/>
          </w:tcPr>
          <w:p>
            <w:pPr>
              <w:pStyle w:val="TableParagraph"/>
              <w:spacing w:line="148" w:lineRule="exact" w:before="17"/>
              <w:ind w:left="17" w:right="16"/>
              <w:rPr>
                <w:sz w:val="13"/>
              </w:rPr>
            </w:pPr>
            <w:r>
              <w:rPr>
                <w:color w:val="231F20"/>
                <w:spacing w:val="-5"/>
                <w:w w:val="95"/>
                <w:sz w:val="13"/>
              </w:rPr>
              <w:t>4.2</w:t>
            </w:r>
          </w:p>
        </w:tc>
        <w:tc>
          <w:tcPr>
            <w:tcW w:w="615" w:type="dxa"/>
            <w:shd w:val="clear" w:color="auto" w:fill="D4E3F5"/>
          </w:tcPr>
          <w:p>
            <w:pPr>
              <w:pStyle w:val="TableParagraph"/>
              <w:spacing w:line="148" w:lineRule="exact" w:before="17"/>
              <w:ind w:left="12" w:right="8"/>
              <w:rPr>
                <w:sz w:val="13"/>
              </w:rPr>
            </w:pPr>
            <w:r>
              <w:rPr>
                <w:color w:val="231F20"/>
                <w:spacing w:val="-5"/>
                <w:w w:val="95"/>
                <w:sz w:val="13"/>
              </w:rPr>
              <w:t>3.7</w:t>
            </w:r>
          </w:p>
        </w:tc>
        <w:tc>
          <w:tcPr>
            <w:tcW w:w="706" w:type="dxa"/>
            <w:shd w:val="clear" w:color="auto" w:fill="D4E3F5"/>
          </w:tcPr>
          <w:p>
            <w:pPr>
              <w:pStyle w:val="TableParagraph"/>
              <w:spacing w:line="148" w:lineRule="exact" w:before="17"/>
              <w:ind w:left="18" w:right="24"/>
              <w:rPr>
                <w:sz w:val="13"/>
              </w:rPr>
            </w:pPr>
            <w:r>
              <w:rPr>
                <w:color w:val="231F20"/>
                <w:spacing w:val="-5"/>
                <w:w w:val="95"/>
                <w:sz w:val="13"/>
              </w:rPr>
              <w:t>4.2</w:t>
            </w:r>
          </w:p>
        </w:tc>
        <w:tc>
          <w:tcPr>
            <w:tcW w:w="368" w:type="dxa"/>
            <w:shd w:val="clear" w:color="auto" w:fill="D4E3F5"/>
          </w:tcPr>
          <w:p>
            <w:pPr>
              <w:pStyle w:val="TableParagraph"/>
              <w:spacing w:line="148" w:lineRule="exact" w:before="17"/>
              <w:ind w:left="17" w:right="28"/>
              <w:rPr>
                <w:sz w:val="13"/>
              </w:rPr>
            </w:pPr>
            <w:r>
              <w:rPr>
                <w:color w:val="231F20"/>
                <w:spacing w:val="-5"/>
                <w:w w:val="95"/>
                <w:sz w:val="13"/>
              </w:rPr>
              <w:t>4.0</w:t>
            </w:r>
          </w:p>
        </w:tc>
        <w:tc>
          <w:tcPr>
            <w:tcW w:w="536" w:type="dxa"/>
            <w:tcBorders>
              <w:right w:val="single" w:sz="24" w:space="0" w:color="FFFFFF"/>
            </w:tcBorders>
            <w:shd w:val="clear" w:color="auto" w:fill="D4E3F5"/>
          </w:tcPr>
          <w:p>
            <w:pPr>
              <w:pStyle w:val="TableParagraph"/>
              <w:spacing w:line="148" w:lineRule="exact" w:before="17"/>
              <w:ind w:left="20" w:right="27"/>
              <w:rPr>
                <w:sz w:val="13"/>
              </w:rPr>
            </w:pPr>
            <w:r>
              <w:rPr>
                <w:color w:val="231F20"/>
                <w:spacing w:val="-5"/>
                <w:w w:val="95"/>
                <w:sz w:val="13"/>
              </w:rPr>
              <w:t>4.2</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2"/>
                <w:w w:val="85"/>
                <w:sz w:val="13"/>
              </w:rPr>
              <w:t>Rwanda</w:t>
            </w:r>
          </w:p>
        </w:tc>
        <w:tc>
          <w:tcPr>
            <w:tcW w:w="482" w:type="dxa"/>
            <w:shd w:val="clear" w:color="auto" w:fill="D4E3F5"/>
          </w:tcPr>
          <w:p>
            <w:pPr>
              <w:pStyle w:val="TableParagraph"/>
              <w:spacing w:line="148" w:lineRule="exact" w:before="17"/>
              <w:ind w:right="109"/>
              <w:jc w:val="right"/>
              <w:rPr>
                <w:sz w:val="13"/>
              </w:rPr>
            </w:pPr>
            <w:r>
              <w:rPr>
                <w:color w:val="231F20"/>
                <w:spacing w:val="-5"/>
                <w:w w:val="95"/>
                <w:sz w:val="13"/>
              </w:rPr>
              <w:t>2.8</w:t>
            </w:r>
          </w:p>
        </w:tc>
        <w:tc>
          <w:tcPr>
            <w:tcW w:w="532" w:type="dxa"/>
            <w:shd w:val="clear" w:color="auto" w:fill="D4E3F5"/>
          </w:tcPr>
          <w:p>
            <w:pPr>
              <w:pStyle w:val="TableParagraph"/>
              <w:spacing w:line="148" w:lineRule="exact" w:before="17"/>
              <w:ind w:left="20" w:right="55"/>
              <w:rPr>
                <w:sz w:val="13"/>
              </w:rPr>
            </w:pPr>
            <w:r>
              <w:rPr>
                <w:color w:val="231F20"/>
                <w:spacing w:val="-5"/>
                <w:w w:val="95"/>
                <w:sz w:val="13"/>
              </w:rPr>
              <w:t>2.5</w:t>
            </w:r>
          </w:p>
        </w:tc>
        <w:tc>
          <w:tcPr>
            <w:tcW w:w="550" w:type="dxa"/>
            <w:shd w:val="clear" w:color="auto" w:fill="D4E3F5"/>
          </w:tcPr>
          <w:p>
            <w:pPr>
              <w:pStyle w:val="TableParagraph"/>
              <w:spacing w:line="148" w:lineRule="exact" w:before="17"/>
              <w:ind w:left="20" w:right="45"/>
              <w:rPr>
                <w:sz w:val="13"/>
              </w:rPr>
            </w:pPr>
            <w:r>
              <w:rPr>
                <w:color w:val="231F20"/>
                <w:spacing w:val="-5"/>
                <w:w w:val="95"/>
                <w:sz w:val="13"/>
              </w:rPr>
              <w:t>2.9</w:t>
            </w:r>
          </w:p>
        </w:tc>
        <w:tc>
          <w:tcPr>
            <w:tcW w:w="616" w:type="dxa"/>
            <w:shd w:val="clear" w:color="auto" w:fill="D4E3F5"/>
          </w:tcPr>
          <w:p>
            <w:pPr>
              <w:pStyle w:val="TableParagraph"/>
              <w:spacing w:line="148" w:lineRule="exact" w:before="17"/>
              <w:ind w:left="19" w:right="37"/>
              <w:rPr>
                <w:sz w:val="13"/>
              </w:rPr>
            </w:pPr>
            <w:r>
              <w:rPr>
                <w:color w:val="231F20"/>
                <w:spacing w:val="-5"/>
                <w:w w:val="95"/>
                <w:sz w:val="13"/>
              </w:rPr>
              <w:t>2.4</w:t>
            </w:r>
          </w:p>
        </w:tc>
        <w:tc>
          <w:tcPr>
            <w:tcW w:w="707" w:type="dxa"/>
            <w:shd w:val="clear" w:color="auto" w:fill="D4E3F5"/>
          </w:tcPr>
          <w:p>
            <w:pPr>
              <w:pStyle w:val="TableParagraph"/>
              <w:spacing w:line="148" w:lineRule="exact" w:before="17"/>
              <w:ind w:left="16" w:right="55"/>
              <w:rPr>
                <w:sz w:val="13"/>
              </w:rPr>
            </w:pPr>
            <w:r>
              <w:rPr>
                <w:color w:val="231F20"/>
                <w:spacing w:val="-5"/>
                <w:w w:val="95"/>
                <w:sz w:val="13"/>
              </w:rPr>
              <w:t>3.0</w:t>
            </w:r>
          </w:p>
        </w:tc>
        <w:tc>
          <w:tcPr>
            <w:tcW w:w="369" w:type="dxa"/>
            <w:shd w:val="clear" w:color="auto" w:fill="D4E3F5"/>
          </w:tcPr>
          <w:p>
            <w:pPr>
              <w:pStyle w:val="TableParagraph"/>
              <w:spacing w:line="148" w:lineRule="exact" w:before="17"/>
              <w:ind w:right="61"/>
              <w:rPr>
                <w:sz w:val="13"/>
              </w:rPr>
            </w:pPr>
            <w:r>
              <w:rPr>
                <w:color w:val="231F20"/>
                <w:spacing w:val="-5"/>
                <w:w w:val="95"/>
                <w:sz w:val="13"/>
              </w:rPr>
              <w:t>3.1</w:t>
            </w:r>
          </w:p>
        </w:tc>
        <w:tc>
          <w:tcPr>
            <w:tcW w:w="507" w:type="dxa"/>
            <w:shd w:val="clear" w:color="auto" w:fill="D4E3F5"/>
          </w:tcPr>
          <w:p>
            <w:pPr>
              <w:pStyle w:val="TableParagraph"/>
              <w:spacing w:line="148" w:lineRule="exact" w:before="17"/>
              <w:ind w:right="44"/>
              <w:rPr>
                <w:sz w:val="13"/>
              </w:rPr>
            </w:pPr>
            <w:r>
              <w:rPr>
                <w:color w:val="231F20"/>
                <w:spacing w:val="-5"/>
                <w:w w:val="95"/>
                <w:sz w:val="13"/>
              </w:rPr>
              <w:t>3.0</w:t>
            </w:r>
          </w:p>
        </w:tc>
      </w:tr>
      <w:tr>
        <w:trPr>
          <w:trHeight w:val="184" w:hRule="atLeast"/>
        </w:trPr>
        <w:tc>
          <w:tcPr>
            <w:tcW w:w="1377" w:type="dxa"/>
          </w:tcPr>
          <w:p>
            <w:pPr>
              <w:pStyle w:val="TableParagraph"/>
              <w:spacing w:line="148" w:lineRule="exact" w:before="17"/>
              <w:ind w:left="79"/>
              <w:jc w:val="left"/>
              <w:rPr>
                <w:sz w:val="13"/>
              </w:rPr>
            </w:pPr>
            <w:r>
              <w:rPr>
                <w:color w:val="231F20"/>
                <w:spacing w:val="-2"/>
                <w:w w:val="90"/>
                <w:sz w:val="13"/>
              </w:rPr>
              <w:t>Switzerland</w:t>
            </w:r>
          </w:p>
        </w:tc>
        <w:tc>
          <w:tcPr>
            <w:tcW w:w="487" w:type="dxa"/>
          </w:tcPr>
          <w:p>
            <w:pPr>
              <w:pStyle w:val="TableParagraph"/>
              <w:spacing w:line="148" w:lineRule="exact" w:before="17"/>
              <w:ind w:right="114"/>
              <w:jc w:val="right"/>
              <w:rPr>
                <w:sz w:val="13"/>
              </w:rPr>
            </w:pPr>
            <w:r>
              <w:rPr>
                <w:color w:val="231F20"/>
                <w:spacing w:val="-5"/>
                <w:w w:val="95"/>
                <w:sz w:val="13"/>
              </w:rPr>
              <w:t>4.1</w:t>
            </w:r>
          </w:p>
        </w:tc>
        <w:tc>
          <w:tcPr>
            <w:tcW w:w="531" w:type="dxa"/>
          </w:tcPr>
          <w:p>
            <w:pPr>
              <w:pStyle w:val="TableParagraph"/>
              <w:spacing w:line="148" w:lineRule="exact" w:before="17"/>
              <w:ind w:right="27"/>
              <w:rPr>
                <w:sz w:val="13"/>
              </w:rPr>
            </w:pPr>
            <w:r>
              <w:rPr>
                <w:color w:val="231F20"/>
                <w:spacing w:val="-5"/>
                <w:w w:val="95"/>
                <w:sz w:val="13"/>
              </w:rPr>
              <w:t>4.1</w:t>
            </w:r>
          </w:p>
        </w:tc>
        <w:tc>
          <w:tcPr>
            <w:tcW w:w="549" w:type="dxa"/>
          </w:tcPr>
          <w:p>
            <w:pPr>
              <w:pStyle w:val="TableParagraph"/>
              <w:spacing w:line="148" w:lineRule="exact" w:before="17"/>
              <w:ind w:left="15" w:right="16"/>
              <w:rPr>
                <w:sz w:val="13"/>
              </w:rPr>
            </w:pPr>
            <w:r>
              <w:rPr>
                <w:color w:val="231F20"/>
                <w:spacing w:val="-5"/>
                <w:w w:val="95"/>
                <w:sz w:val="13"/>
              </w:rPr>
              <w:t>4.4</w:t>
            </w:r>
          </w:p>
        </w:tc>
        <w:tc>
          <w:tcPr>
            <w:tcW w:w="615" w:type="dxa"/>
          </w:tcPr>
          <w:p>
            <w:pPr>
              <w:pStyle w:val="TableParagraph"/>
              <w:spacing w:line="148" w:lineRule="exact" w:before="17"/>
              <w:ind w:left="15" w:right="8"/>
              <w:rPr>
                <w:sz w:val="13"/>
              </w:rPr>
            </w:pPr>
            <w:r>
              <w:rPr>
                <w:color w:val="231F20"/>
                <w:spacing w:val="-5"/>
                <w:w w:val="95"/>
                <w:sz w:val="13"/>
              </w:rPr>
              <w:t>3.6</w:t>
            </w:r>
          </w:p>
        </w:tc>
        <w:tc>
          <w:tcPr>
            <w:tcW w:w="706" w:type="dxa"/>
          </w:tcPr>
          <w:p>
            <w:pPr>
              <w:pStyle w:val="TableParagraph"/>
              <w:spacing w:line="148" w:lineRule="exact" w:before="17"/>
              <w:ind w:left="17" w:right="24"/>
              <w:rPr>
                <w:sz w:val="13"/>
              </w:rPr>
            </w:pPr>
            <w:r>
              <w:rPr>
                <w:color w:val="231F20"/>
                <w:spacing w:val="-5"/>
                <w:w w:val="95"/>
                <w:sz w:val="13"/>
              </w:rPr>
              <w:t>4.3</w:t>
            </w:r>
          </w:p>
        </w:tc>
        <w:tc>
          <w:tcPr>
            <w:tcW w:w="368" w:type="dxa"/>
          </w:tcPr>
          <w:p>
            <w:pPr>
              <w:pStyle w:val="TableParagraph"/>
              <w:spacing w:line="148" w:lineRule="exact" w:before="17"/>
              <w:ind w:left="19" w:right="28"/>
              <w:rPr>
                <w:sz w:val="13"/>
              </w:rPr>
            </w:pPr>
            <w:r>
              <w:rPr>
                <w:color w:val="231F20"/>
                <w:spacing w:val="-5"/>
                <w:w w:val="95"/>
                <w:sz w:val="13"/>
              </w:rPr>
              <w:t>4.2</w:t>
            </w:r>
          </w:p>
        </w:tc>
        <w:tc>
          <w:tcPr>
            <w:tcW w:w="536" w:type="dxa"/>
            <w:tcBorders>
              <w:right w:val="single" w:sz="24" w:space="0" w:color="FFFFFF"/>
            </w:tcBorders>
          </w:tcPr>
          <w:p>
            <w:pPr>
              <w:pStyle w:val="TableParagraph"/>
              <w:spacing w:line="148" w:lineRule="exact" w:before="17"/>
              <w:ind w:left="20" w:right="27"/>
              <w:rPr>
                <w:sz w:val="13"/>
              </w:rPr>
            </w:pPr>
            <w:r>
              <w:rPr>
                <w:color w:val="231F20"/>
                <w:spacing w:val="-5"/>
                <w:w w:val="95"/>
                <w:sz w:val="13"/>
              </w:rPr>
              <w:t>4.2</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90"/>
                <w:sz w:val="13"/>
              </w:rPr>
              <w:t>Serbia</w:t>
            </w:r>
          </w:p>
        </w:tc>
        <w:tc>
          <w:tcPr>
            <w:tcW w:w="482" w:type="dxa"/>
          </w:tcPr>
          <w:p>
            <w:pPr>
              <w:pStyle w:val="TableParagraph"/>
              <w:spacing w:line="148" w:lineRule="exact" w:before="17"/>
              <w:ind w:right="109"/>
              <w:jc w:val="right"/>
              <w:rPr>
                <w:sz w:val="13"/>
              </w:rPr>
            </w:pPr>
            <w:r>
              <w:rPr>
                <w:color w:val="231F20"/>
                <w:spacing w:val="-5"/>
                <w:w w:val="95"/>
                <w:sz w:val="13"/>
              </w:rPr>
              <w:t>2.8</w:t>
            </w:r>
          </w:p>
        </w:tc>
        <w:tc>
          <w:tcPr>
            <w:tcW w:w="532" w:type="dxa"/>
          </w:tcPr>
          <w:p>
            <w:pPr>
              <w:pStyle w:val="TableParagraph"/>
              <w:spacing w:line="148" w:lineRule="exact" w:before="17"/>
              <w:ind w:left="21" w:right="55"/>
              <w:rPr>
                <w:sz w:val="13"/>
              </w:rPr>
            </w:pPr>
            <w:r>
              <w:rPr>
                <w:color w:val="231F20"/>
                <w:spacing w:val="-5"/>
                <w:w w:val="95"/>
                <w:sz w:val="13"/>
              </w:rPr>
              <w:t>2.2</w:t>
            </w:r>
          </w:p>
        </w:tc>
        <w:tc>
          <w:tcPr>
            <w:tcW w:w="550" w:type="dxa"/>
          </w:tcPr>
          <w:p>
            <w:pPr>
              <w:pStyle w:val="TableParagraph"/>
              <w:spacing w:line="148" w:lineRule="exact" w:before="17"/>
              <w:ind w:left="19" w:right="45"/>
              <w:rPr>
                <w:sz w:val="13"/>
              </w:rPr>
            </w:pPr>
            <w:r>
              <w:rPr>
                <w:color w:val="231F20"/>
                <w:spacing w:val="-5"/>
                <w:w w:val="95"/>
                <w:sz w:val="13"/>
              </w:rPr>
              <w:t>2.4</w:t>
            </w:r>
          </w:p>
        </w:tc>
        <w:tc>
          <w:tcPr>
            <w:tcW w:w="616" w:type="dxa"/>
          </w:tcPr>
          <w:p>
            <w:pPr>
              <w:pStyle w:val="TableParagraph"/>
              <w:spacing w:line="148" w:lineRule="exact" w:before="17"/>
              <w:ind w:left="20" w:right="37"/>
              <w:rPr>
                <w:sz w:val="13"/>
              </w:rPr>
            </w:pPr>
            <w:r>
              <w:rPr>
                <w:color w:val="231F20"/>
                <w:spacing w:val="-5"/>
                <w:w w:val="95"/>
                <w:sz w:val="13"/>
              </w:rPr>
              <w:t>2.9</w:t>
            </w:r>
          </w:p>
        </w:tc>
        <w:tc>
          <w:tcPr>
            <w:tcW w:w="707" w:type="dxa"/>
          </w:tcPr>
          <w:p>
            <w:pPr>
              <w:pStyle w:val="TableParagraph"/>
              <w:spacing w:line="148" w:lineRule="exact" w:before="17"/>
              <w:ind w:left="12" w:right="55"/>
              <w:rPr>
                <w:sz w:val="13"/>
              </w:rPr>
            </w:pPr>
            <w:r>
              <w:rPr>
                <w:color w:val="231F20"/>
                <w:spacing w:val="-5"/>
                <w:w w:val="95"/>
                <w:sz w:val="13"/>
              </w:rPr>
              <w:t>2.7</w:t>
            </w:r>
          </w:p>
        </w:tc>
        <w:tc>
          <w:tcPr>
            <w:tcW w:w="369" w:type="dxa"/>
          </w:tcPr>
          <w:p>
            <w:pPr>
              <w:pStyle w:val="TableParagraph"/>
              <w:spacing w:line="148" w:lineRule="exact" w:before="17"/>
              <w:ind w:left="14" w:right="61"/>
              <w:rPr>
                <w:sz w:val="13"/>
              </w:rPr>
            </w:pPr>
            <w:r>
              <w:rPr>
                <w:color w:val="231F20"/>
                <w:spacing w:val="-5"/>
                <w:w w:val="95"/>
                <w:sz w:val="13"/>
              </w:rPr>
              <w:t>3.4</w:t>
            </w:r>
          </w:p>
        </w:tc>
        <w:tc>
          <w:tcPr>
            <w:tcW w:w="507" w:type="dxa"/>
          </w:tcPr>
          <w:p>
            <w:pPr>
              <w:pStyle w:val="TableParagraph"/>
              <w:spacing w:line="148" w:lineRule="exact" w:before="17"/>
              <w:ind w:right="44"/>
              <w:rPr>
                <w:sz w:val="13"/>
              </w:rPr>
            </w:pPr>
            <w:r>
              <w:rPr>
                <w:color w:val="231F20"/>
                <w:spacing w:val="-5"/>
                <w:w w:val="95"/>
                <w:sz w:val="13"/>
              </w:rPr>
              <w:t>2.9</w:t>
            </w:r>
          </w:p>
        </w:tc>
      </w:tr>
      <w:tr>
        <w:trPr>
          <w:trHeight w:val="184" w:hRule="atLeast"/>
        </w:trPr>
        <w:tc>
          <w:tcPr>
            <w:tcW w:w="1377" w:type="dxa"/>
            <w:shd w:val="clear" w:color="auto" w:fill="D4E3F5"/>
          </w:tcPr>
          <w:p>
            <w:pPr>
              <w:pStyle w:val="TableParagraph"/>
              <w:spacing w:line="148" w:lineRule="exact" w:before="17"/>
              <w:ind w:left="79"/>
              <w:jc w:val="left"/>
              <w:rPr>
                <w:sz w:val="13"/>
              </w:rPr>
            </w:pPr>
            <w:r>
              <w:rPr>
                <w:color w:val="231F20"/>
                <w:spacing w:val="-2"/>
                <w:w w:val="90"/>
                <w:sz w:val="13"/>
              </w:rPr>
              <w:t>Austria</w:t>
            </w:r>
          </w:p>
        </w:tc>
        <w:tc>
          <w:tcPr>
            <w:tcW w:w="487" w:type="dxa"/>
            <w:shd w:val="clear" w:color="auto" w:fill="D4E3F5"/>
          </w:tcPr>
          <w:p>
            <w:pPr>
              <w:pStyle w:val="TableParagraph"/>
              <w:spacing w:line="148" w:lineRule="exact" w:before="17"/>
              <w:ind w:right="99"/>
              <w:jc w:val="right"/>
              <w:rPr>
                <w:sz w:val="13"/>
              </w:rPr>
            </w:pPr>
            <w:r>
              <w:rPr>
                <w:color w:val="231F20"/>
                <w:spacing w:val="-5"/>
                <w:w w:val="95"/>
                <w:sz w:val="13"/>
              </w:rPr>
              <w:t>4.0</w:t>
            </w:r>
          </w:p>
        </w:tc>
        <w:tc>
          <w:tcPr>
            <w:tcW w:w="531" w:type="dxa"/>
            <w:shd w:val="clear" w:color="auto" w:fill="D4E3F5"/>
          </w:tcPr>
          <w:p>
            <w:pPr>
              <w:pStyle w:val="TableParagraph"/>
              <w:spacing w:line="148" w:lineRule="exact" w:before="17"/>
              <w:ind w:left="11" w:right="27"/>
              <w:rPr>
                <w:sz w:val="13"/>
              </w:rPr>
            </w:pPr>
            <w:r>
              <w:rPr>
                <w:color w:val="231F20"/>
                <w:spacing w:val="-5"/>
                <w:w w:val="95"/>
                <w:sz w:val="13"/>
              </w:rPr>
              <w:t>3.7</w:t>
            </w:r>
          </w:p>
        </w:tc>
        <w:tc>
          <w:tcPr>
            <w:tcW w:w="549" w:type="dxa"/>
            <w:shd w:val="clear" w:color="auto" w:fill="D4E3F5"/>
          </w:tcPr>
          <w:p>
            <w:pPr>
              <w:pStyle w:val="TableParagraph"/>
              <w:spacing w:line="148" w:lineRule="exact" w:before="17"/>
              <w:ind w:left="16" w:right="16"/>
              <w:rPr>
                <w:sz w:val="13"/>
              </w:rPr>
            </w:pPr>
            <w:r>
              <w:rPr>
                <w:color w:val="231F20"/>
                <w:spacing w:val="-5"/>
                <w:w w:val="95"/>
                <w:sz w:val="13"/>
              </w:rPr>
              <w:t>3.9</w:t>
            </w:r>
          </w:p>
        </w:tc>
        <w:tc>
          <w:tcPr>
            <w:tcW w:w="615" w:type="dxa"/>
            <w:shd w:val="clear" w:color="auto" w:fill="D4E3F5"/>
          </w:tcPr>
          <w:p>
            <w:pPr>
              <w:pStyle w:val="TableParagraph"/>
              <w:spacing w:line="148" w:lineRule="exact" w:before="17"/>
              <w:ind w:left="18" w:right="8"/>
              <w:rPr>
                <w:sz w:val="13"/>
              </w:rPr>
            </w:pPr>
            <w:r>
              <w:rPr>
                <w:color w:val="231F20"/>
                <w:spacing w:val="-5"/>
                <w:w w:val="95"/>
                <w:sz w:val="13"/>
              </w:rPr>
              <w:t>3.8</w:t>
            </w:r>
          </w:p>
        </w:tc>
        <w:tc>
          <w:tcPr>
            <w:tcW w:w="706" w:type="dxa"/>
            <w:shd w:val="clear" w:color="auto" w:fill="D4E3F5"/>
          </w:tcPr>
          <w:p>
            <w:pPr>
              <w:pStyle w:val="TableParagraph"/>
              <w:spacing w:line="148" w:lineRule="exact" w:before="17"/>
              <w:ind w:left="15" w:right="24"/>
              <w:rPr>
                <w:sz w:val="13"/>
              </w:rPr>
            </w:pPr>
            <w:r>
              <w:rPr>
                <w:color w:val="231F20"/>
                <w:spacing w:val="-5"/>
                <w:w w:val="95"/>
                <w:sz w:val="13"/>
              </w:rPr>
              <w:t>4.0</w:t>
            </w:r>
          </w:p>
        </w:tc>
        <w:tc>
          <w:tcPr>
            <w:tcW w:w="368" w:type="dxa"/>
            <w:shd w:val="clear" w:color="auto" w:fill="D4E3F5"/>
          </w:tcPr>
          <w:p>
            <w:pPr>
              <w:pStyle w:val="TableParagraph"/>
              <w:spacing w:line="148" w:lineRule="exact" w:before="17"/>
              <w:ind w:left="18" w:right="28"/>
              <w:rPr>
                <w:sz w:val="13"/>
              </w:rPr>
            </w:pPr>
            <w:r>
              <w:rPr>
                <w:color w:val="231F20"/>
                <w:spacing w:val="-5"/>
                <w:w w:val="95"/>
                <w:sz w:val="13"/>
              </w:rPr>
              <w:t>4.3</w:t>
            </w:r>
          </w:p>
        </w:tc>
        <w:tc>
          <w:tcPr>
            <w:tcW w:w="536" w:type="dxa"/>
            <w:tcBorders>
              <w:right w:val="single" w:sz="24" w:space="0" w:color="FFFFFF"/>
            </w:tcBorders>
            <w:shd w:val="clear" w:color="auto" w:fill="D4E3F5"/>
          </w:tcPr>
          <w:p>
            <w:pPr>
              <w:pStyle w:val="TableParagraph"/>
              <w:spacing w:line="148" w:lineRule="exact" w:before="17"/>
              <w:ind w:left="19" w:right="27"/>
              <w:rPr>
                <w:sz w:val="13"/>
              </w:rPr>
            </w:pPr>
            <w:r>
              <w:rPr>
                <w:color w:val="231F20"/>
                <w:spacing w:val="-5"/>
                <w:w w:val="95"/>
                <w:sz w:val="13"/>
              </w:rPr>
              <w:t>4.2</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w w:val="75"/>
                <w:sz w:val="13"/>
              </w:rPr>
              <w:t>Solomon</w:t>
            </w:r>
            <w:r>
              <w:rPr>
                <w:color w:val="231F20"/>
                <w:spacing w:val="17"/>
                <w:sz w:val="13"/>
              </w:rPr>
              <w:t> </w:t>
            </w:r>
            <w:r>
              <w:rPr>
                <w:color w:val="231F20"/>
                <w:spacing w:val="-2"/>
                <w:w w:val="80"/>
                <w:sz w:val="13"/>
              </w:rPr>
              <w:t>Islands</w:t>
            </w:r>
          </w:p>
        </w:tc>
        <w:tc>
          <w:tcPr>
            <w:tcW w:w="482" w:type="dxa"/>
            <w:shd w:val="clear" w:color="auto" w:fill="D4E3F5"/>
          </w:tcPr>
          <w:p>
            <w:pPr>
              <w:pStyle w:val="TableParagraph"/>
              <w:spacing w:line="148" w:lineRule="exact" w:before="17"/>
              <w:ind w:right="109"/>
              <w:jc w:val="right"/>
              <w:rPr>
                <w:sz w:val="13"/>
              </w:rPr>
            </w:pPr>
            <w:r>
              <w:rPr>
                <w:color w:val="231F20"/>
                <w:spacing w:val="-5"/>
                <w:w w:val="95"/>
                <w:sz w:val="13"/>
              </w:rPr>
              <w:t>2.8</w:t>
            </w:r>
          </w:p>
        </w:tc>
        <w:tc>
          <w:tcPr>
            <w:tcW w:w="532" w:type="dxa"/>
            <w:shd w:val="clear" w:color="auto" w:fill="D4E3F5"/>
          </w:tcPr>
          <w:p>
            <w:pPr>
              <w:pStyle w:val="TableParagraph"/>
              <w:spacing w:line="148" w:lineRule="exact" w:before="17"/>
              <w:ind w:left="18" w:right="55"/>
              <w:rPr>
                <w:sz w:val="13"/>
              </w:rPr>
            </w:pPr>
            <w:r>
              <w:rPr>
                <w:color w:val="231F20"/>
                <w:spacing w:val="-5"/>
                <w:w w:val="95"/>
                <w:sz w:val="13"/>
              </w:rPr>
              <w:t>2.4</w:t>
            </w:r>
          </w:p>
        </w:tc>
        <w:tc>
          <w:tcPr>
            <w:tcW w:w="550" w:type="dxa"/>
            <w:shd w:val="clear" w:color="auto" w:fill="D4E3F5"/>
          </w:tcPr>
          <w:p>
            <w:pPr>
              <w:pStyle w:val="TableParagraph"/>
              <w:spacing w:line="148" w:lineRule="exact" w:before="17"/>
              <w:ind w:left="19" w:right="45"/>
              <w:rPr>
                <w:sz w:val="13"/>
              </w:rPr>
            </w:pPr>
            <w:r>
              <w:rPr>
                <w:color w:val="231F20"/>
                <w:spacing w:val="-5"/>
                <w:w w:val="95"/>
                <w:sz w:val="13"/>
              </w:rPr>
              <w:t>2.6</w:t>
            </w:r>
          </w:p>
        </w:tc>
        <w:tc>
          <w:tcPr>
            <w:tcW w:w="616" w:type="dxa"/>
            <w:shd w:val="clear" w:color="auto" w:fill="D4E3F5"/>
          </w:tcPr>
          <w:p>
            <w:pPr>
              <w:pStyle w:val="TableParagraph"/>
              <w:spacing w:line="148" w:lineRule="exact" w:before="17"/>
              <w:ind w:left="20" w:right="37"/>
              <w:rPr>
                <w:sz w:val="13"/>
              </w:rPr>
            </w:pPr>
            <w:r>
              <w:rPr>
                <w:color w:val="231F20"/>
                <w:spacing w:val="-5"/>
                <w:w w:val="95"/>
                <w:sz w:val="13"/>
              </w:rPr>
              <w:t>2.9</w:t>
            </w:r>
          </w:p>
        </w:tc>
        <w:tc>
          <w:tcPr>
            <w:tcW w:w="707" w:type="dxa"/>
            <w:shd w:val="clear" w:color="auto" w:fill="D4E3F5"/>
          </w:tcPr>
          <w:p>
            <w:pPr>
              <w:pStyle w:val="TableParagraph"/>
              <w:spacing w:line="148" w:lineRule="exact" w:before="17"/>
              <w:ind w:left="16" w:right="55"/>
              <w:rPr>
                <w:sz w:val="13"/>
              </w:rPr>
            </w:pPr>
            <w:r>
              <w:rPr>
                <w:color w:val="231F20"/>
                <w:spacing w:val="-5"/>
                <w:w w:val="95"/>
                <w:sz w:val="13"/>
              </w:rPr>
              <w:t>2.9</w:t>
            </w:r>
          </w:p>
        </w:tc>
        <w:tc>
          <w:tcPr>
            <w:tcW w:w="369" w:type="dxa"/>
            <w:shd w:val="clear" w:color="auto" w:fill="D4E3F5"/>
          </w:tcPr>
          <w:p>
            <w:pPr>
              <w:pStyle w:val="TableParagraph"/>
              <w:spacing w:line="148" w:lineRule="exact" w:before="17"/>
              <w:ind w:left="18" w:right="61"/>
              <w:rPr>
                <w:sz w:val="13"/>
              </w:rPr>
            </w:pPr>
            <w:r>
              <w:rPr>
                <w:color w:val="231F20"/>
                <w:spacing w:val="-5"/>
                <w:w w:val="95"/>
                <w:sz w:val="13"/>
              </w:rPr>
              <w:t>3.2</w:t>
            </w:r>
          </w:p>
        </w:tc>
        <w:tc>
          <w:tcPr>
            <w:tcW w:w="507" w:type="dxa"/>
            <w:shd w:val="clear" w:color="auto" w:fill="D4E3F5"/>
          </w:tcPr>
          <w:p>
            <w:pPr>
              <w:pStyle w:val="TableParagraph"/>
              <w:spacing w:line="148" w:lineRule="exact" w:before="17"/>
              <w:ind w:right="44"/>
              <w:rPr>
                <w:sz w:val="13"/>
              </w:rPr>
            </w:pPr>
            <w:r>
              <w:rPr>
                <w:color w:val="231F20"/>
                <w:spacing w:val="-5"/>
                <w:w w:val="95"/>
                <w:sz w:val="13"/>
              </w:rPr>
              <w:t>2.9</w:t>
            </w:r>
          </w:p>
        </w:tc>
      </w:tr>
      <w:tr>
        <w:trPr>
          <w:trHeight w:val="184" w:hRule="atLeast"/>
        </w:trPr>
        <w:tc>
          <w:tcPr>
            <w:tcW w:w="1377" w:type="dxa"/>
          </w:tcPr>
          <w:p>
            <w:pPr>
              <w:pStyle w:val="TableParagraph"/>
              <w:spacing w:line="148" w:lineRule="exact" w:before="17"/>
              <w:ind w:left="79"/>
              <w:jc w:val="left"/>
              <w:rPr>
                <w:sz w:val="13"/>
              </w:rPr>
            </w:pPr>
            <w:r>
              <w:rPr>
                <w:color w:val="231F20"/>
                <w:spacing w:val="-2"/>
                <w:w w:val="90"/>
                <w:sz w:val="13"/>
              </w:rPr>
              <w:t>Belgium</w:t>
            </w:r>
          </w:p>
        </w:tc>
        <w:tc>
          <w:tcPr>
            <w:tcW w:w="487" w:type="dxa"/>
          </w:tcPr>
          <w:p>
            <w:pPr>
              <w:pStyle w:val="TableParagraph"/>
              <w:spacing w:line="148" w:lineRule="exact" w:before="17"/>
              <w:ind w:right="99"/>
              <w:jc w:val="right"/>
              <w:rPr>
                <w:sz w:val="13"/>
              </w:rPr>
            </w:pPr>
            <w:r>
              <w:rPr>
                <w:color w:val="231F20"/>
                <w:spacing w:val="-5"/>
                <w:w w:val="95"/>
                <w:sz w:val="13"/>
              </w:rPr>
              <w:t>4.0</w:t>
            </w:r>
          </w:p>
        </w:tc>
        <w:tc>
          <w:tcPr>
            <w:tcW w:w="531" w:type="dxa"/>
          </w:tcPr>
          <w:p>
            <w:pPr>
              <w:pStyle w:val="TableParagraph"/>
              <w:spacing w:line="148" w:lineRule="exact" w:before="17"/>
              <w:ind w:left="16" w:right="27"/>
              <w:rPr>
                <w:sz w:val="13"/>
              </w:rPr>
            </w:pPr>
            <w:r>
              <w:rPr>
                <w:color w:val="231F20"/>
                <w:spacing w:val="-5"/>
                <w:w w:val="95"/>
                <w:sz w:val="13"/>
              </w:rPr>
              <w:t>3.9</w:t>
            </w:r>
          </w:p>
        </w:tc>
        <w:tc>
          <w:tcPr>
            <w:tcW w:w="549" w:type="dxa"/>
          </w:tcPr>
          <w:p>
            <w:pPr>
              <w:pStyle w:val="TableParagraph"/>
              <w:spacing w:line="148" w:lineRule="exact" w:before="17"/>
              <w:ind w:left="2" w:right="17"/>
              <w:rPr>
                <w:sz w:val="13"/>
              </w:rPr>
            </w:pPr>
            <w:r>
              <w:rPr>
                <w:color w:val="231F20"/>
                <w:spacing w:val="-5"/>
                <w:w w:val="95"/>
                <w:sz w:val="13"/>
              </w:rPr>
              <w:t>4.1</w:t>
            </w:r>
          </w:p>
        </w:tc>
        <w:tc>
          <w:tcPr>
            <w:tcW w:w="615" w:type="dxa"/>
          </w:tcPr>
          <w:p>
            <w:pPr>
              <w:pStyle w:val="TableParagraph"/>
              <w:spacing w:line="148" w:lineRule="exact" w:before="17"/>
              <w:ind w:left="18" w:right="8"/>
              <w:rPr>
                <w:sz w:val="13"/>
              </w:rPr>
            </w:pPr>
            <w:r>
              <w:rPr>
                <w:color w:val="231F20"/>
                <w:spacing w:val="-5"/>
                <w:w w:val="95"/>
                <w:sz w:val="13"/>
              </w:rPr>
              <w:t>3.8</w:t>
            </w:r>
          </w:p>
        </w:tc>
        <w:tc>
          <w:tcPr>
            <w:tcW w:w="706" w:type="dxa"/>
          </w:tcPr>
          <w:p>
            <w:pPr>
              <w:pStyle w:val="TableParagraph"/>
              <w:spacing w:line="148" w:lineRule="exact" w:before="17"/>
              <w:ind w:left="17" w:right="24"/>
              <w:rPr>
                <w:sz w:val="13"/>
              </w:rPr>
            </w:pPr>
            <w:r>
              <w:rPr>
                <w:color w:val="231F20"/>
                <w:spacing w:val="-5"/>
                <w:w w:val="95"/>
                <w:sz w:val="13"/>
              </w:rPr>
              <w:t>4.2</w:t>
            </w:r>
          </w:p>
        </w:tc>
        <w:tc>
          <w:tcPr>
            <w:tcW w:w="368" w:type="dxa"/>
          </w:tcPr>
          <w:p>
            <w:pPr>
              <w:pStyle w:val="TableParagraph"/>
              <w:spacing w:line="148" w:lineRule="exact" w:before="17"/>
              <w:ind w:left="18" w:right="28"/>
              <w:rPr>
                <w:sz w:val="13"/>
              </w:rPr>
            </w:pPr>
            <w:r>
              <w:rPr>
                <w:color w:val="231F20"/>
                <w:spacing w:val="-5"/>
                <w:w w:val="95"/>
                <w:sz w:val="13"/>
              </w:rPr>
              <w:t>4.2</w:t>
            </w:r>
          </w:p>
        </w:tc>
        <w:tc>
          <w:tcPr>
            <w:tcW w:w="536" w:type="dxa"/>
            <w:tcBorders>
              <w:right w:val="single" w:sz="24" w:space="0" w:color="FFFFFF"/>
            </w:tcBorders>
          </w:tcPr>
          <w:p>
            <w:pPr>
              <w:pStyle w:val="TableParagraph"/>
              <w:spacing w:line="148" w:lineRule="exact" w:before="17"/>
              <w:ind w:left="17" w:right="27"/>
              <w:rPr>
                <w:sz w:val="13"/>
              </w:rPr>
            </w:pPr>
            <w:r>
              <w:rPr>
                <w:color w:val="231F20"/>
                <w:spacing w:val="-5"/>
                <w:w w:val="95"/>
                <w:sz w:val="13"/>
              </w:rPr>
              <w:t>4.0</w:t>
            </w:r>
          </w:p>
        </w:tc>
        <w:tc>
          <w:tcPr>
            <w:tcW w:w="1415" w:type="dxa"/>
            <w:tcBorders>
              <w:left w:val="single" w:sz="24" w:space="0" w:color="FFFFFF"/>
            </w:tcBorders>
          </w:tcPr>
          <w:p>
            <w:pPr>
              <w:pStyle w:val="TableParagraph"/>
              <w:spacing w:line="148" w:lineRule="exact" w:before="17"/>
              <w:ind w:left="70"/>
              <w:jc w:val="left"/>
              <w:rPr>
                <w:sz w:val="13"/>
              </w:rPr>
            </w:pPr>
            <w:r>
              <w:rPr>
                <w:color w:val="231F20"/>
                <w:w w:val="75"/>
                <w:sz w:val="13"/>
              </w:rPr>
              <w:t>Sri</w:t>
            </w:r>
            <w:r>
              <w:rPr>
                <w:color w:val="231F20"/>
                <w:spacing w:val="2"/>
                <w:sz w:val="13"/>
              </w:rPr>
              <w:t> </w:t>
            </w:r>
            <w:r>
              <w:rPr>
                <w:color w:val="231F20"/>
                <w:spacing w:val="-2"/>
                <w:w w:val="90"/>
                <w:sz w:val="13"/>
              </w:rPr>
              <w:t>Lanka</w:t>
            </w:r>
          </w:p>
        </w:tc>
        <w:tc>
          <w:tcPr>
            <w:tcW w:w="482" w:type="dxa"/>
          </w:tcPr>
          <w:p>
            <w:pPr>
              <w:pStyle w:val="TableParagraph"/>
              <w:spacing w:line="148" w:lineRule="exact" w:before="17"/>
              <w:ind w:right="109"/>
              <w:jc w:val="right"/>
              <w:rPr>
                <w:sz w:val="13"/>
              </w:rPr>
            </w:pPr>
            <w:r>
              <w:rPr>
                <w:color w:val="231F20"/>
                <w:spacing w:val="-5"/>
                <w:w w:val="95"/>
                <w:sz w:val="13"/>
              </w:rPr>
              <w:t>2.8</w:t>
            </w:r>
          </w:p>
        </w:tc>
        <w:tc>
          <w:tcPr>
            <w:tcW w:w="532" w:type="dxa"/>
          </w:tcPr>
          <w:p>
            <w:pPr>
              <w:pStyle w:val="TableParagraph"/>
              <w:spacing w:line="148" w:lineRule="exact" w:before="17"/>
              <w:ind w:left="20" w:right="55"/>
              <w:rPr>
                <w:sz w:val="13"/>
              </w:rPr>
            </w:pPr>
            <w:r>
              <w:rPr>
                <w:color w:val="231F20"/>
                <w:spacing w:val="-5"/>
                <w:w w:val="95"/>
                <w:sz w:val="13"/>
              </w:rPr>
              <w:t>2.5</w:t>
            </w:r>
          </w:p>
        </w:tc>
        <w:tc>
          <w:tcPr>
            <w:tcW w:w="550" w:type="dxa"/>
          </w:tcPr>
          <w:p>
            <w:pPr>
              <w:pStyle w:val="TableParagraph"/>
              <w:spacing w:line="148" w:lineRule="exact" w:before="17"/>
              <w:ind w:left="19" w:right="45"/>
              <w:rPr>
                <w:sz w:val="13"/>
              </w:rPr>
            </w:pPr>
            <w:r>
              <w:rPr>
                <w:color w:val="231F20"/>
                <w:spacing w:val="-5"/>
                <w:w w:val="95"/>
                <w:sz w:val="13"/>
              </w:rPr>
              <w:t>2.4</w:t>
            </w:r>
          </w:p>
        </w:tc>
        <w:tc>
          <w:tcPr>
            <w:tcW w:w="616" w:type="dxa"/>
          </w:tcPr>
          <w:p>
            <w:pPr>
              <w:pStyle w:val="TableParagraph"/>
              <w:spacing w:line="148" w:lineRule="exact" w:before="17"/>
              <w:ind w:left="20" w:right="37"/>
              <w:rPr>
                <w:sz w:val="13"/>
              </w:rPr>
            </w:pPr>
            <w:r>
              <w:rPr>
                <w:color w:val="231F20"/>
                <w:spacing w:val="-5"/>
                <w:w w:val="95"/>
                <w:sz w:val="13"/>
              </w:rPr>
              <w:t>2.8</w:t>
            </w:r>
          </w:p>
        </w:tc>
        <w:tc>
          <w:tcPr>
            <w:tcW w:w="707" w:type="dxa"/>
          </w:tcPr>
          <w:p>
            <w:pPr>
              <w:pStyle w:val="TableParagraph"/>
              <w:spacing w:line="148" w:lineRule="exact" w:before="17"/>
              <w:ind w:left="12" w:right="55"/>
              <w:rPr>
                <w:sz w:val="13"/>
              </w:rPr>
            </w:pPr>
            <w:r>
              <w:rPr>
                <w:color w:val="231F20"/>
                <w:spacing w:val="-5"/>
                <w:w w:val="95"/>
                <w:sz w:val="13"/>
              </w:rPr>
              <w:t>2.7</w:t>
            </w:r>
          </w:p>
        </w:tc>
        <w:tc>
          <w:tcPr>
            <w:tcW w:w="369" w:type="dxa"/>
          </w:tcPr>
          <w:p>
            <w:pPr>
              <w:pStyle w:val="TableParagraph"/>
              <w:spacing w:line="148" w:lineRule="exact" w:before="17"/>
              <w:ind w:left="19" w:right="61"/>
              <w:rPr>
                <w:sz w:val="13"/>
              </w:rPr>
            </w:pPr>
            <w:r>
              <w:rPr>
                <w:color w:val="231F20"/>
                <w:spacing w:val="-5"/>
                <w:w w:val="95"/>
                <w:sz w:val="13"/>
              </w:rPr>
              <w:t>3.3</w:t>
            </w:r>
          </w:p>
        </w:tc>
        <w:tc>
          <w:tcPr>
            <w:tcW w:w="507" w:type="dxa"/>
          </w:tcPr>
          <w:p>
            <w:pPr>
              <w:pStyle w:val="TableParagraph"/>
              <w:spacing w:line="148" w:lineRule="exact" w:before="17"/>
              <w:ind w:right="44"/>
              <w:rPr>
                <w:sz w:val="13"/>
              </w:rPr>
            </w:pPr>
            <w:r>
              <w:rPr>
                <w:color w:val="231F20"/>
                <w:spacing w:val="-5"/>
                <w:w w:val="95"/>
                <w:sz w:val="13"/>
              </w:rPr>
              <w:t>3.0</w:t>
            </w:r>
          </w:p>
        </w:tc>
      </w:tr>
      <w:tr>
        <w:trPr>
          <w:trHeight w:val="184" w:hRule="atLeast"/>
        </w:trPr>
        <w:tc>
          <w:tcPr>
            <w:tcW w:w="1377" w:type="dxa"/>
            <w:shd w:val="clear" w:color="auto" w:fill="D4E3F5"/>
          </w:tcPr>
          <w:p>
            <w:pPr>
              <w:pStyle w:val="TableParagraph"/>
              <w:spacing w:line="148" w:lineRule="exact" w:before="17"/>
              <w:ind w:left="78"/>
              <w:jc w:val="left"/>
              <w:rPr>
                <w:sz w:val="13"/>
              </w:rPr>
            </w:pPr>
            <w:r>
              <w:rPr>
                <w:color w:val="231F20"/>
                <w:spacing w:val="-2"/>
                <w:w w:val="85"/>
                <w:sz w:val="13"/>
              </w:rPr>
              <w:t>Canada</w:t>
            </w:r>
          </w:p>
        </w:tc>
        <w:tc>
          <w:tcPr>
            <w:tcW w:w="487" w:type="dxa"/>
            <w:shd w:val="clear" w:color="auto" w:fill="D4E3F5"/>
          </w:tcPr>
          <w:p>
            <w:pPr>
              <w:pStyle w:val="TableParagraph"/>
              <w:spacing w:line="148" w:lineRule="exact" w:before="17"/>
              <w:ind w:right="99"/>
              <w:jc w:val="right"/>
              <w:rPr>
                <w:sz w:val="13"/>
              </w:rPr>
            </w:pPr>
            <w:r>
              <w:rPr>
                <w:color w:val="231F20"/>
                <w:spacing w:val="-5"/>
                <w:w w:val="95"/>
                <w:sz w:val="13"/>
              </w:rPr>
              <w:t>4.0</w:t>
            </w:r>
          </w:p>
        </w:tc>
        <w:tc>
          <w:tcPr>
            <w:tcW w:w="531" w:type="dxa"/>
            <w:shd w:val="clear" w:color="auto" w:fill="D4E3F5"/>
          </w:tcPr>
          <w:p>
            <w:pPr>
              <w:pStyle w:val="TableParagraph"/>
              <w:spacing w:line="148" w:lineRule="exact" w:before="17"/>
              <w:ind w:left="15" w:right="27"/>
              <w:rPr>
                <w:sz w:val="13"/>
              </w:rPr>
            </w:pPr>
            <w:r>
              <w:rPr>
                <w:color w:val="231F20"/>
                <w:spacing w:val="-5"/>
                <w:w w:val="95"/>
                <w:sz w:val="13"/>
              </w:rPr>
              <w:t>4.0</w:t>
            </w:r>
          </w:p>
        </w:tc>
        <w:tc>
          <w:tcPr>
            <w:tcW w:w="549" w:type="dxa"/>
            <w:shd w:val="clear" w:color="auto" w:fill="D4E3F5"/>
          </w:tcPr>
          <w:p>
            <w:pPr>
              <w:pStyle w:val="TableParagraph"/>
              <w:spacing w:line="148" w:lineRule="exact" w:before="17"/>
              <w:ind w:left="16" w:right="16"/>
              <w:rPr>
                <w:sz w:val="13"/>
              </w:rPr>
            </w:pPr>
            <w:r>
              <w:rPr>
                <w:color w:val="231F20"/>
                <w:spacing w:val="-5"/>
                <w:w w:val="95"/>
                <w:sz w:val="13"/>
              </w:rPr>
              <w:t>4.3</w:t>
            </w:r>
          </w:p>
        </w:tc>
        <w:tc>
          <w:tcPr>
            <w:tcW w:w="615" w:type="dxa"/>
            <w:shd w:val="clear" w:color="auto" w:fill="D4E3F5"/>
          </w:tcPr>
          <w:p>
            <w:pPr>
              <w:pStyle w:val="TableParagraph"/>
              <w:spacing w:line="148" w:lineRule="exact" w:before="17"/>
              <w:ind w:left="15" w:right="8"/>
              <w:rPr>
                <w:sz w:val="13"/>
              </w:rPr>
            </w:pPr>
            <w:r>
              <w:rPr>
                <w:color w:val="231F20"/>
                <w:spacing w:val="-5"/>
                <w:w w:val="95"/>
                <w:sz w:val="13"/>
              </w:rPr>
              <w:t>3.6</w:t>
            </w:r>
          </w:p>
        </w:tc>
        <w:tc>
          <w:tcPr>
            <w:tcW w:w="706" w:type="dxa"/>
            <w:shd w:val="clear" w:color="auto" w:fill="D4E3F5"/>
          </w:tcPr>
          <w:p>
            <w:pPr>
              <w:pStyle w:val="TableParagraph"/>
              <w:spacing w:line="148" w:lineRule="exact" w:before="17"/>
              <w:ind w:left="17" w:right="24"/>
              <w:rPr>
                <w:sz w:val="13"/>
              </w:rPr>
            </w:pPr>
            <w:r>
              <w:rPr>
                <w:color w:val="231F20"/>
                <w:spacing w:val="-5"/>
                <w:w w:val="95"/>
                <w:sz w:val="13"/>
              </w:rPr>
              <w:t>4.2</w:t>
            </w:r>
          </w:p>
        </w:tc>
        <w:tc>
          <w:tcPr>
            <w:tcW w:w="368" w:type="dxa"/>
            <w:shd w:val="clear" w:color="auto" w:fill="D4E3F5"/>
          </w:tcPr>
          <w:p>
            <w:pPr>
              <w:pStyle w:val="TableParagraph"/>
              <w:spacing w:line="148" w:lineRule="exact" w:before="17"/>
              <w:ind w:left="1" w:right="28"/>
              <w:rPr>
                <w:sz w:val="13"/>
              </w:rPr>
            </w:pPr>
            <w:r>
              <w:rPr>
                <w:color w:val="231F20"/>
                <w:spacing w:val="-5"/>
                <w:w w:val="95"/>
                <w:sz w:val="13"/>
              </w:rPr>
              <w:t>4.1</w:t>
            </w:r>
          </w:p>
        </w:tc>
        <w:tc>
          <w:tcPr>
            <w:tcW w:w="536" w:type="dxa"/>
            <w:tcBorders>
              <w:right w:val="single" w:sz="24" w:space="0" w:color="FFFFFF"/>
            </w:tcBorders>
            <w:shd w:val="clear" w:color="auto" w:fill="D4E3F5"/>
          </w:tcPr>
          <w:p>
            <w:pPr>
              <w:pStyle w:val="TableParagraph"/>
              <w:spacing w:line="148" w:lineRule="exact" w:before="17"/>
              <w:ind w:left="1" w:right="27"/>
              <w:rPr>
                <w:sz w:val="13"/>
              </w:rPr>
            </w:pPr>
            <w:r>
              <w:rPr>
                <w:color w:val="231F20"/>
                <w:spacing w:val="-5"/>
                <w:w w:val="95"/>
                <w:sz w:val="13"/>
              </w:rPr>
              <w:t>4.1</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w w:val="75"/>
                <w:sz w:val="13"/>
              </w:rPr>
              <w:t>Bahamas,</w:t>
            </w:r>
            <w:r>
              <w:rPr>
                <w:color w:val="231F20"/>
                <w:spacing w:val="23"/>
                <w:sz w:val="13"/>
              </w:rPr>
              <w:t> </w:t>
            </w:r>
            <w:r>
              <w:rPr>
                <w:color w:val="231F20"/>
                <w:spacing w:val="-5"/>
                <w:w w:val="85"/>
                <w:sz w:val="13"/>
              </w:rPr>
              <w:t>The</w:t>
            </w:r>
          </w:p>
        </w:tc>
        <w:tc>
          <w:tcPr>
            <w:tcW w:w="482" w:type="dxa"/>
            <w:shd w:val="clear" w:color="auto" w:fill="D4E3F5"/>
          </w:tcPr>
          <w:p>
            <w:pPr>
              <w:pStyle w:val="TableParagraph"/>
              <w:spacing w:line="148" w:lineRule="exact" w:before="17"/>
              <w:ind w:right="114"/>
              <w:jc w:val="right"/>
              <w:rPr>
                <w:sz w:val="13"/>
              </w:rPr>
            </w:pPr>
            <w:r>
              <w:rPr>
                <w:color w:val="231F20"/>
                <w:spacing w:val="-5"/>
                <w:w w:val="95"/>
                <w:sz w:val="13"/>
              </w:rPr>
              <w:t>2.7</w:t>
            </w:r>
          </w:p>
        </w:tc>
        <w:tc>
          <w:tcPr>
            <w:tcW w:w="532" w:type="dxa"/>
            <w:shd w:val="clear" w:color="auto" w:fill="D4E3F5"/>
          </w:tcPr>
          <w:p>
            <w:pPr>
              <w:pStyle w:val="TableParagraph"/>
              <w:spacing w:line="148" w:lineRule="exact" w:before="17"/>
              <w:ind w:left="15" w:right="55"/>
              <w:rPr>
                <w:sz w:val="13"/>
              </w:rPr>
            </w:pPr>
            <w:r>
              <w:rPr>
                <w:color w:val="231F20"/>
                <w:spacing w:val="-5"/>
                <w:w w:val="95"/>
                <w:sz w:val="13"/>
              </w:rPr>
              <w:t>2.7</w:t>
            </w:r>
          </w:p>
        </w:tc>
        <w:tc>
          <w:tcPr>
            <w:tcW w:w="550" w:type="dxa"/>
            <w:shd w:val="clear" w:color="auto" w:fill="D4E3F5"/>
          </w:tcPr>
          <w:p>
            <w:pPr>
              <w:pStyle w:val="TableParagraph"/>
              <w:spacing w:line="148" w:lineRule="exact" w:before="17"/>
              <w:ind w:left="20" w:right="45"/>
              <w:rPr>
                <w:sz w:val="13"/>
              </w:rPr>
            </w:pPr>
            <w:r>
              <w:rPr>
                <w:color w:val="231F20"/>
                <w:spacing w:val="-5"/>
                <w:w w:val="95"/>
                <w:sz w:val="13"/>
              </w:rPr>
              <w:t>2.5</w:t>
            </w:r>
          </w:p>
        </w:tc>
        <w:tc>
          <w:tcPr>
            <w:tcW w:w="616" w:type="dxa"/>
            <w:shd w:val="clear" w:color="auto" w:fill="D4E3F5"/>
          </w:tcPr>
          <w:p>
            <w:pPr>
              <w:pStyle w:val="TableParagraph"/>
              <w:spacing w:line="148" w:lineRule="exact" w:before="17"/>
              <w:ind w:left="3" w:right="37"/>
              <w:rPr>
                <w:sz w:val="13"/>
              </w:rPr>
            </w:pPr>
            <w:r>
              <w:rPr>
                <w:color w:val="231F20"/>
                <w:spacing w:val="-5"/>
                <w:w w:val="95"/>
                <w:sz w:val="13"/>
              </w:rPr>
              <w:t>3.1</w:t>
            </w:r>
          </w:p>
        </w:tc>
        <w:tc>
          <w:tcPr>
            <w:tcW w:w="707" w:type="dxa"/>
            <w:shd w:val="clear" w:color="auto" w:fill="D4E3F5"/>
          </w:tcPr>
          <w:p>
            <w:pPr>
              <w:pStyle w:val="TableParagraph"/>
              <w:spacing w:line="148" w:lineRule="exact" w:before="17"/>
              <w:ind w:left="17" w:right="55"/>
              <w:rPr>
                <w:sz w:val="13"/>
              </w:rPr>
            </w:pPr>
            <w:r>
              <w:rPr>
                <w:color w:val="231F20"/>
                <w:spacing w:val="-5"/>
                <w:w w:val="95"/>
                <w:sz w:val="13"/>
              </w:rPr>
              <w:t>2.5</w:t>
            </w:r>
          </w:p>
        </w:tc>
        <w:tc>
          <w:tcPr>
            <w:tcW w:w="369" w:type="dxa"/>
            <w:shd w:val="clear" w:color="auto" w:fill="D4E3F5"/>
          </w:tcPr>
          <w:p>
            <w:pPr>
              <w:pStyle w:val="TableParagraph"/>
              <w:spacing w:line="148" w:lineRule="exact" w:before="17"/>
              <w:ind w:left="18" w:right="61"/>
              <w:rPr>
                <w:sz w:val="13"/>
              </w:rPr>
            </w:pPr>
            <w:r>
              <w:rPr>
                <w:color w:val="231F20"/>
                <w:spacing w:val="-5"/>
                <w:w w:val="95"/>
                <w:sz w:val="13"/>
              </w:rPr>
              <w:t>3.0</w:t>
            </w:r>
          </w:p>
        </w:tc>
        <w:tc>
          <w:tcPr>
            <w:tcW w:w="507" w:type="dxa"/>
            <w:shd w:val="clear" w:color="auto" w:fill="D4E3F5"/>
          </w:tcPr>
          <w:p>
            <w:pPr>
              <w:pStyle w:val="TableParagraph"/>
              <w:spacing w:line="148" w:lineRule="exact" w:before="17"/>
              <w:ind w:right="44"/>
              <w:rPr>
                <w:sz w:val="13"/>
              </w:rPr>
            </w:pPr>
            <w:r>
              <w:rPr>
                <w:color w:val="231F20"/>
                <w:spacing w:val="-5"/>
                <w:w w:val="95"/>
                <w:sz w:val="13"/>
              </w:rPr>
              <w:t>2.6</w:t>
            </w:r>
          </w:p>
        </w:tc>
      </w:tr>
      <w:tr>
        <w:trPr>
          <w:trHeight w:val="184" w:hRule="atLeast"/>
        </w:trPr>
        <w:tc>
          <w:tcPr>
            <w:tcW w:w="1377" w:type="dxa"/>
          </w:tcPr>
          <w:p>
            <w:pPr>
              <w:pStyle w:val="TableParagraph"/>
              <w:spacing w:line="148" w:lineRule="exact" w:before="17"/>
              <w:ind w:left="78"/>
              <w:jc w:val="left"/>
              <w:rPr>
                <w:sz w:val="13"/>
              </w:rPr>
            </w:pPr>
            <w:r>
              <w:rPr>
                <w:color w:val="231F20"/>
                <w:w w:val="75"/>
                <w:sz w:val="13"/>
              </w:rPr>
              <w:t>Hong</w:t>
            </w:r>
            <w:r>
              <w:rPr>
                <w:color w:val="231F20"/>
                <w:spacing w:val="3"/>
                <w:sz w:val="13"/>
              </w:rPr>
              <w:t> </w:t>
            </w:r>
            <w:r>
              <w:rPr>
                <w:color w:val="231F20"/>
                <w:w w:val="75"/>
                <w:sz w:val="13"/>
              </w:rPr>
              <w:t>Kong</w:t>
            </w:r>
            <w:r>
              <w:rPr>
                <w:color w:val="231F20"/>
                <w:spacing w:val="3"/>
                <w:sz w:val="13"/>
              </w:rPr>
              <w:t> </w:t>
            </w:r>
            <w:r>
              <w:rPr>
                <w:color w:val="231F20"/>
                <w:w w:val="75"/>
                <w:sz w:val="13"/>
              </w:rPr>
              <w:t>SAR,</w:t>
            </w:r>
            <w:r>
              <w:rPr>
                <w:color w:val="231F20"/>
                <w:spacing w:val="3"/>
                <w:sz w:val="13"/>
              </w:rPr>
              <w:t> </w:t>
            </w:r>
            <w:r>
              <w:rPr>
                <w:color w:val="231F20"/>
                <w:spacing w:val="-2"/>
                <w:w w:val="75"/>
                <w:sz w:val="13"/>
              </w:rPr>
              <w:t>China</w:t>
            </w:r>
          </w:p>
        </w:tc>
        <w:tc>
          <w:tcPr>
            <w:tcW w:w="487" w:type="dxa"/>
          </w:tcPr>
          <w:p>
            <w:pPr>
              <w:pStyle w:val="TableParagraph"/>
              <w:spacing w:line="148" w:lineRule="exact" w:before="17"/>
              <w:ind w:right="99"/>
              <w:jc w:val="right"/>
              <w:rPr>
                <w:sz w:val="13"/>
              </w:rPr>
            </w:pPr>
            <w:r>
              <w:rPr>
                <w:color w:val="231F20"/>
                <w:spacing w:val="-5"/>
                <w:w w:val="95"/>
                <w:sz w:val="13"/>
              </w:rPr>
              <w:t>4.0</w:t>
            </w:r>
          </w:p>
        </w:tc>
        <w:tc>
          <w:tcPr>
            <w:tcW w:w="531" w:type="dxa"/>
          </w:tcPr>
          <w:p>
            <w:pPr>
              <w:pStyle w:val="TableParagraph"/>
              <w:spacing w:line="148" w:lineRule="exact" w:before="17"/>
              <w:ind w:left="16" w:right="27"/>
              <w:rPr>
                <w:sz w:val="13"/>
              </w:rPr>
            </w:pPr>
            <w:r>
              <w:rPr>
                <w:color w:val="231F20"/>
                <w:spacing w:val="-5"/>
                <w:w w:val="95"/>
                <w:sz w:val="13"/>
              </w:rPr>
              <w:t>3.8</w:t>
            </w:r>
          </w:p>
        </w:tc>
        <w:tc>
          <w:tcPr>
            <w:tcW w:w="549" w:type="dxa"/>
          </w:tcPr>
          <w:p>
            <w:pPr>
              <w:pStyle w:val="TableParagraph"/>
              <w:spacing w:line="148" w:lineRule="exact" w:before="17"/>
              <w:ind w:left="15" w:right="16"/>
              <w:rPr>
                <w:sz w:val="13"/>
              </w:rPr>
            </w:pPr>
            <w:r>
              <w:rPr>
                <w:color w:val="231F20"/>
                <w:spacing w:val="-5"/>
                <w:w w:val="95"/>
                <w:sz w:val="13"/>
              </w:rPr>
              <w:t>4.0</w:t>
            </w:r>
          </w:p>
        </w:tc>
        <w:tc>
          <w:tcPr>
            <w:tcW w:w="615" w:type="dxa"/>
          </w:tcPr>
          <w:p>
            <w:pPr>
              <w:pStyle w:val="TableParagraph"/>
              <w:spacing w:line="148" w:lineRule="exact" w:before="17"/>
              <w:ind w:left="16" w:right="8"/>
              <w:rPr>
                <w:sz w:val="13"/>
              </w:rPr>
            </w:pPr>
            <w:r>
              <w:rPr>
                <w:color w:val="231F20"/>
                <w:spacing w:val="-5"/>
                <w:w w:val="95"/>
                <w:sz w:val="13"/>
              </w:rPr>
              <w:t>4.0</w:t>
            </w:r>
          </w:p>
        </w:tc>
        <w:tc>
          <w:tcPr>
            <w:tcW w:w="706" w:type="dxa"/>
          </w:tcPr>
          <w:p>
            <w:pPr>
              <w:pStyle w:val="TableParagraph"/>
              <w:spacing w:line="148" w:lineRule="exact" w:before="17"/>
              <w:ind w:left="15" w:right="24"/>
              <w:rPr>
                <w:sz w:val="13"/>
              </w:rPr>
            </w:pPr>
            <w:r>
              <w:rPr>
                <w:color w:val="231F20"/>
                <w:spacing w:val="-5"/>
                <w:w w:val="95"/>
                <w:sz w:val="13"/>
              </w:rPr>
              <w:t>4.0</w:t>
            </w:r>
          </w:p>
        </w:tc>
        <w:tc>
          <w:tcPr>
            <w:tcW w:w="368" w:type="dxa"/>
          </w:tcPr>
          <w:p>
            <w:pPr>
              <w:pStyle w:val="TableParagraph"/>
              <w:spacing w:line="148" w:lineRule="exact" w:before="17"/>
              <w:ind w:right="28"/>
              <w:rPr>
                <w:sz w:val="13"/>
              </w:rPr>
            </w:pPr>
            <w:r>
              <w:rPr>
                <w:color w:val="231F20"/>
                <w:spacing w:val="-5"/>
                <w:w w:val="95"/>
                <w:sz w:val="13"/>
              </w:rPr>
              <w:t>4.1</w:t>
            </w:r>
          </w:p>
        </w:tc>
        <w:tc>
          <w:tcPr>
            <w:tcW w:w="536" w:type="dxa"/>
            <w:tcBorders>
              <w:right w:val="single" w:sz="24" w:space="0" w:color="FFFFFF"/>
            </w:tcBorders>
          </w:tcPr>
          <w:p>
            <w:pPr>
              <w:pStyle w:val="TableParagraph"/>
              <w:spacing w:line="148" w:lineRule="exact" w:before="17"/>
              <w:ind w:left="19" w:right="27"/>
              <w:rPr>
                <w:sz w:val="13"/>
              </w:rPr>
            </w:pPr>
            <w:r>
              <w:rPr>
                <w:color w:val="231F20"/>
                <w:spacing w:val="-5"/>
                <w:w w:val="95"/>
                <w:sz w:val="13"/>
              </w:rPr>
              <w:t>4.2</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90"/>
                <w:sz w:val="13"/>
              </w:rPr>
              <w:t>Belarus</w:t>
            </w:r>
          </w:p>
        </w:tc>
        <w:tc>
          <w:tcPr>
            <w:tcW w:w="482" w:type="dxa"/>
          </w:tcPr>
          <w:p>
            <w:pPr>
              <w:pStyle w:val="TableParagraph"/>
              <w:spacing w:line="148" w:lineRule="exact" w:before="17"/>
              <w:ind w:right="114"/>
              <w:jc w:val="right"/>
              <w:rPr>
                <w:sz w:val="13"/>
              </w:rPr>
            </w:pPr>
            <w:r>
              <w:rPr>
                <w:color w:val="231F20"/>
                <w:spacing w:val="-5"/>
                <w:w w:val="95"/>
                <w:sz w:val="13"/>
              </w:rPr>
              <w:t>2.7</w:t>
            </w:r>
          </w:p>
        </w:tc>
        <w:tc>
          <w:tcPr>
            <w:tcW w:w="532" w:type="dxa"/>
          </w:tcPr>
          <w:p>
            <w:pPr>
              <w:pStyle w:val="TableParagraph"/>
              <w:spacing w:line="148" w:lineRule="exact" w:before="17"/>
              <w:ind w:left="19" w:right="55"/>
              <w:rPr>
                <w:sz w:val="13"/>
              </w:rPr>
            </w:pPr>
            <w:r>
              <w:rPr>
                <w:color w:val="231F20"/>
                <w:spacing w:val="-5"/>
                <w:w w:val="95"/>
                <w:sz w:val="13"/>
              </w:rPr>
              <w:t>2.6</w:t>
            </w:r>
          </w:p>
        </w:tc>
        <w:tc>
          <w:tcPr>
            <w:tcW w:w="550" w:type="dxa"/>
          </w:tcPr>
          <w:p>
            <w:pPr>
              <w:pStyle w:val="TableParagraph"/>
              <w:spacing w:line="148" w:lineRule="exact" w:before="17"/>
              <w:ind w:left="16" w:right="45"/>
              <w:rPr>
                <w:sz w:val="13"/>
              </w:rPr>
            </w:pPr>
            <w:r>
              <w:rPr>
                <w:color w:val="231F20"/>
                <w:spacing w:val="-5"/>
                <w:w w:val="95"/>
                <w:sz w:val="13"/>
              </w:rPr>
              <w:t>2.7</w:t>
            </w:r>
          </w:p>
        </w:tc>
        <w:tc>
          <w:tcPr>
            <w:tcW w:w="616" w:type="dxa"/>
          </w:tcPr>
          <w:p>
            <w:pPr>
              <w:pStyle w:val="TableParagraph"/>
              <w:spacing w:line="148" w:lineRule="exact" w:before="17"/>
              <w:ind w:left="20" w:right="37"/>
              <w:rPr>
                <w:sz w:val="13"/>
              </w:rPr>
            </w:pPr>
            <w:r>
              <w:rPr>
                <w:color w:val="231F20"/>
                <w:spacing w:val="-5"/>
                <w:w w:val="95"/>
                <w:sz w:val="13"/>
              </w:rPr>
              <w:t>2.6</w:t>
            </w:r>
          </w:p>
        </w:tc>
        <w:tc>
          <w:tcPr>
            <w:tcW w:w="707" w:type="dxa"/>
          </w:tcPr>
          <w:p>
            <w:pPr>
              <w:pStyle w:val="TableParagraph"/>
              <w:spacing w:line="148" w:lineRule="exact" w:before="17"/>
              <w:ind w:left="16" w:right="55"/>
              <w:rPr>
                <w:sz w:val="13"/>
              </w:rPr>
            </w:pPr>
            <w:r>
              <w:rPr>
                <w:color w:val="231F20"/>
                <w:spacing w:val="-5"/>
                <w:w w:val="95"/>
                <w:sz w:val="13"/>
              </w:rPr>
              <w:t>2.6</w:t>
            </w:r>
          </w:p>
        </w:tc>
        <w:tc>
          <w:tcPr>
            <w:tcW w:w="369" w:type="dxa"/>
          </w:tcPr>
          <w:p>
            <w:pPr>
              <w:pStyle w:val="TableParagraph"/>
              <w:spacing w:line="148" w:lineRule="exact" w:before="17"/>
              <w:ind w:left="1" w:right="61"/>
              <w:rPr>
                <w:sz w:val="13"/>
              </w:rPr>
            </w:pPr>
            <w:r>
              <w:rPr>
                <w:color w:val="231F20"/>
                <w:spacing w:val="-5"/>
                <w:w w:val="95"/>
                <w:sz w:val="13"/>
              </w:rPr>
              <w:t>3.1</w:t>
            </w:r>
          </w:p>
        </w:tc>
        <w:tc>
          <w:tcPr>
            <w:tcW w:w="507" w:type="dxa"/>
          </w:tcPr>
          <w:p>
            <w:pPr>
              <w:pStyle w:val="TableParagraph"/>
              <w:spacing w:line="148" w:lineRule="exact" w:before="17"/>
              <w:ind w:right="44"/>
              <w:rPr>
                <w:sz w:val="13"/>
              </w:rPr>
            </w:pPr>
            <w:r>
              <w:rPr>
                <w:color w:val="231F20"/>
                <w:spacing w:val="-5"/>
                <w:w w:val="95"/>
                <w:sz w:val="13"/>
              </w:rPr>
              <w:t>2.6</w:t>
            </w:r>
          </w:p>
        </w:tc>
      </w:tr>
      <w:tr>
        <w:trPr>
          <w:trHeight w:val="184" w:hRule="atLeast"/>
        </w:trPr>
        <w:tc>
          <w:tcPr>
            <w:tcW w:w="1377" w:type="dxa"/>
            <w:shd w:val="clear" w:color="auto" w:fill="D4E3F5"/>
          </w:tcPr>
          <w:p>
            <w:pPr>
              <w:pStyle w:val="TableParagraph"/>
              <w:spacing w:line="147" w:lineRule="exact" w:before="17"/>
              <w:ind w:left="78"/>
              <w:jc w:val="left"/>
              <w:rPr>
                <w:sz w:val="13"/>
              </w:rPr>
            </w:pPr>
            <w:r>
              <w:rPr>
                <w:color w:val="231F20"/>
                <w:spacing w:val="-2"/>
                <w:w w:val="85"/>
                <w:sz w:val="13"/>
              </w:rPr>
              <w:t>Sweden</w:t>
            </w:r>
          </w:p>
        </w:tc>
        <w:tc>
          <w:tcPr>
            <w:tcW w:w="487" w:type="dxa"/>
            <w:shd w:val="clear" w:color="auto" w:fill="D4E3F5"/>
          </w:tcPr>
          <w:p>
            <w:pPr>
              <w:pStyle w:val="TableParagraph"/>
              <w:spacing w:line="147" w:lineRule="exact" w:before="17"/>
              <w:ind w:right="99"/>
              <w:jc w:val="right"/>
              <w:rPr>
                <w:sz w:val="13"/>
              </w:rPr>
            </w:pPr>
            <w:r>
              <w:rPr>
                <w:color w:val="231F20"/>
                <w:spacing w:val="-5"/>
                <w:w w:val="95"/>
                <w:sz w:val="13"/>
              </w:rPr>
              <w:t>4.0</w:t>
            </w:r>
          </w:p>
        </w:tc>
        <w:tc>
          <w:tcPr>
            <w:tcW w:w="531" w:type="dxa"/>
            <w:shd w:val="clear" w:color="auto" w:fill="D4E3F5"/>
          </w:tcPr>
          <w:p>
            <w:pPr>
              <w:pStyle w:val="TableParagraph"/>
              <w:spacing w:line="147" w:lineRule="exact" w:before="17"/>
              <w:ind w:left="15" w:right="27"/>
              <w:rPr>
                <w:sz w:val="13"/>
              </w:rPr>
            </w:pPr>
            <w:r>
              <w:rPr>
                <w:color w:val="231F20"/>
                <w:spacing w:val="-5"/>
                <w:w w:val="95"/>
                <w:sz w:val="13"/>
              </w:rPr>
              <w:t>4.0</w:t>
            </w:r>
          </w:p>
        </w:tc>
        <w:tc>
          <w:tcPr>
            <w:tcW w:w="549" w:type="dxa"/>
            <w:shd w:val="clear" w:color="auto" w:fill="D4E3F5"/>
          </w:tcPr>
          <w:p>
            <w:pPr>
              <w:pStyle w:val="TableParagraph"/>
              <w:spacing w:line="147" w:lineRule="exact" w:before="17"/>
              <w:ind w:left="16" w:right="16"/>
              <w:rPr>
                <w:sz w:val="13"/>
              </w:rPr>
            </w:pPr>
            <w:r>
              <w:rPr>
                <w:color w:val="231F20"/>
                <w:spacing w:val="-5"/>
                <w:w w:val="95"/>
                <w:sz w:val="13"/>
              </w:rPr>
              <w:t>4.2</w:t>
            </w:r>
          </w:p>
        </w:tc>
        <w:tc>
          <w:tcPr>
            <w:tcW w:w="615" w:type="dxa"/>
            <w:shd w:val="clear" w:color="auto" w:fill="D4E3F5"/>
          </w:tcPr>
          <w:p>
            <w:pPr>
              <w:pStyle w:val="TableParagraph"/>
              <w:spacing w:line="147" w:lineRule="exact" w:before="17"/>
              <w:ind w:left="13" w:right="8"/>
              <w:rPr>
                <w:sz w:val="13"/>
              </w:rPr>
            </w:pPr>
            <w:r>
              <w:rPr>
                <w:color w:val="231F20"/>
                <w:spacing w:val="-5"/>
                <w:w w:val="95"/>
                <w:sz w:val="13"/>
              </w:rPr>
              <w:t>3.4</w:t>
            </w:r>
          </w:p>
        </w:tc>
        <w:tc>
          <w:tcPr>
            <w:tcW w:w="706" w:type="dxa"/>
            <w:shd w:val="clear" w:color="auto" w:fill="D4E3F5"/>
          </w:tcPr>
          <w:p>
            <w:pPr>
              <w:pStyle w:val="TableParagraph"/>
              <w:spacing w:line="147" w:lineRule="exact" w:before="17"/>
              <w:ind w:left="17" w:right="24"/>
              <w:rPr>
                <w:sz w:val="13"/>
              </w:rPr>
            </w:pPr>
            <w:r>
              <w:rPr>
                <w:color w:val="231F20"/>
                <w:spacing w:val="-5"/>
                <w:w w:val="95"/>
                <w:sz w:val="13"/>
              </w:rPr>
              <w:t>4.2</w:t>
            </w:r>
          </w:p>
        </w:tc>
        <w:tc>
          <w:tcPr>
            <w:tcW w:w="368" w:type="dxa"/>
            <w:shd w:val="clear" w:color="auto" w:fill="D4E3F5"/>
          </w:tcPr>
          <w:p>
            <w:pPr>
              <w:pStyle w:val="TableParagraph"/>
              <w:spacing w:line="147" w:lineRule="exact" w:before="17"/>
              <w:ind w:left="18" w:right="28"/>
              <w:rPr>
                <w:sz w:val="13"/>
              </w:rPr>
            </w:pPr>
            <w:r>
              <w:rPr>
                <w:color w:val="231F20"/>
                <w:spacing w:val="-5"/>
                <w:w w:val="95"/>
                <w:sz w:val="13"/>
              </w:rPr>
              <w:t>4.2</w:t>
            </w:r>
          </w:p>
        </w:tc>
        <w:tc>
          <w:tcPr>
            <w:tcW w:w="536" w:type="dxa"/>
            <w:tcBorders>
              <w:right w:val="single" w:sz="24" w:space="0" w:color="FFFFFF"/>
            </w:tcBorders>
            <w:shd w:val="clear" w:color="auto" w:fill="D4E3F5"/>
          </w:tcPr>
          <w:p>
            <w:pPr>
              <w:pStyle w:val="TableParagraph"/>
              <w:spacing w:line="147" w:lineRule="exact" w:before="17"/>
              <w:ind w:left="1" w:right="27"/>
              <w:rPr>
                <w:sz w:val="13"/>
              </w:rPr>
            </w:pPr>
            <w:r>
              <w:rPr>
                <w:color w:val="231F20"/>
                <w:spacing w:val="-5"/>
                <w:w w:val="95"/>
                <w:sz w:val="13"/>
              </w:rPr>
              <w:t>4.1</w:t>
            </w:r>
          </w:p>
        </w:tc>
        <w:tc>
          <w:tcPr>
            <w:tcW w:w="1415" w:type="dxa"/>
            <w:tcBorders>
              <w:left w:val="single" w:sz="24" w:space="0" w:color="FFFFFF"/>
            </w:tcBorders>
            <w:shd w:val="clear" w:color="auto" w:fill="D4E3F5"/>
          </w:tcPr>
          <w:p>
            <w:pPr>
              <w:pStyle w:val="TableParagraph"/>
              <w:spacing w:line="147" w:lineRule="exact" w:before="17"/>
              <w:ind w:left="70"/>
              <w:jc w:val="left"/>
              <w:rPr>
                <w:sz w:val="13"/>
              </w:rPr>
            </w:pPr>
            <w:r>
              <w:rPr>
                <w:color w:val="231F20"/>
                <w:spacing w:val="-2"/>
                <w:w w:val="90"/>
                <w:sz w:val="13"/>
              </w:rPr>
              <w:t>Djibouti</w:t>
            </w:r>
          </w:p>
        </w:tc>
        <w:tc>
          <w:tcPr>
            <w:tcW w:w="482" w:type="dxa"/>
            <w:shd w:val="clear" w:color="auto" w:fill="D4E3F5"/>
          </w:tcPr>
          <w:p>
            <w:pPr>
              <w:pStyle w:val="TableParagraph"/>
              <w:spacing w:line="147" w:lineRule="exact" w:before="17"/>
              <w:ind w:right="114"/>
              <w:jc w:val="right"/>
              <w:rPr>
                <w:sz w:val="13"/>
              </w:rPr>
            </w:pPr>
            <w:r>
              <w:rPr>
                <w:color w:val="231F20"/>
                <w:spacing w:val="-5"/>
                <w:w w:val="95"/>
                <w:sz w:val="13"/>
              </w:rPr>
              <w:t>2.7</w:t>
            </w:r>
          </w:p>
        </w:tc>
        <w:tc>
          <w:tcPr>
            <w:tcW w:w="532" w:type="dxa"/>
            <w:shd w:val="clear" w:color="auto" w:fill="D4E3F5"/>
          </w:tcPr>
          <w:p>
            <w:pPr>
              <w:pStyle w:val="TableParagraph"/>
              <w:spacing w:line="147" w:lineRule="exact" w:before="17"/>
              <w:ind w:left="19" w:right="55"/>
              <w:rPr>
                <w:sz w:val="13"/>
              </w:rPr>
            </w:pPr>
            <w:r>
              <w:rPr>
                <w:color w:val="231F20"/>
                <w:spacing w:val="-5"/>
                <w:w w:val="95"/>
                <w:sz w:val="13"/>
              </w:rPr>
              <w:t>2.6</w:t>
            </w:r>
          </w:p>
        </w:tc>
        <w:tc>
          <w:tcPr>
            <w:tcW w:w="550" w:type="dxa"/>
            <w:shd w:val="clear" w:color="auto" w:fill="D4E3F5"/>
          </w:tcPr>
          <w:p>
            <w:pPr>
              <w:pStyle w:val="TableParagraph"/>
              <w:spacing w:line="147" w:lineRule="exact" w:before="17"/>
              <w:ind w:left="20" w:right="45"/>
              <w:rPr>
                <w:sz w:val="13"/>
              </w:rPr>
            </w:pPr>
            <w:r>
              <w:rPr>
                <w:color w:val="231F20"/>
                <w:spacing w:val="-5"/>
                <w:w w:val="95"/>
                <w:sz w:val="13"/>
              </w:rPr>
              <w:t>2.3</w:t>
            </w:r>
          </w:p>
        </w:tc>
        <w:tc>
          <w:tcPr>
            <w:tcW w:w="616" w:type="dxa"/>
            <w:shd w:val="clear" w:color="auto" w:fill="D4E3F5"/>
          </w:tcPr>
          <w:p>
            <w:pPr>
              <w:pStyle w:val="TableParagraph"/>
              <w:spacing w:line="147" w:lineRule="exact" w:before="17"/>
              <w:ind w:right="16"/>
              <w:rPr>
                <w:sz w:val="13"/>
              </w:rPr>
            </w:pPr>
            <w:r>
              <w:rPr>
                <w:color w:val="231F20"/>
                <w:spacing w:val="-5"/>
                <w:w w:val="95"/>
                <w:sz w:val="13"/>
              </w:rPr>
              <w:t>2.5</w:t>
            </w:r>
          </w:p>
        </w:tc>
        <w:tc>
          <w:tcPr>
            <w:tcW w:w="707" w:type="dxa"/>
            <w:shd w:val="clear" w:color="auto" w:fill="D4E3F5"/>
          </w:tcPr>
          <w:p>
            <w:pPr>
              <w:pStyle w:val="TableParagraph"/>
              <w:spacing w:line="147" w:lineRule="exact" w:before="17"/>
              <w:ind w:left="17" w:right="55"/>
              <w:rPr>
                <w:sz w:val="13"/>
              </w:rPr>
            </w:pPr>
            <w:r>
              <w:rPr>
                <w:color w:val="231F20"/>
                <w:spacing w:val="-5"/>
                <w:w w:val="95"/>
                <w:sz w:val="13"/>
              </w:rPr>
              <w:t>2.8</w:t>
            </w:r>
          </w:p>
        </w:tc>
        <w:tc>
          <w:tcPr>
            <w:tcW w:w="369" w:type="dxa"/>
            <w:shd w:val="clear" w:color="auto" w:fill="D4E3F5"/>
          </w:tcPr>
          <w:p>
            <w:pPr>
              <w:pStyle w:val="TableParagraph"/>
              <w:spacing w:line="147" w:lineRule="exact" w:before="17"/>
              <w:ind w:left="16" w:right="61"/>
              <w:rPr>
                <w:sz w:val="13"/>
              </w:rPr>
            </w:pPr>
            <w:r>
              <w:rPr>
                <w:color w:val="231F20"/>
                <w:spacing w:val="-5"/>
                <w:w w:val="95"/>
                <w:sz w:val="13"/>
              </w:rPr>
              <w:t>3.6</w:t>
            </w:r>
          </w:p>
        </w:tc>
        <w:tc>
          <w:tcPr>
            <w:tcW w:w="507" w:type="dxa"/>
            <w:shd w:val="clear" w:color="auto" w:fill="D4E3F5"/>
          </w:tcPr>
          <w:p>
            <w:pPr>
              <w:pStyle w:val="TableParagraph"/>
              <w:spacing w:line="147" w:lineRule="exact" w:before="17"/>
              <w:ind w:left="3" w:right="51"/>
              <w:rPr>
                <w:sz w:val="13"/>
              </w:rPr>
            </w:pPr>
            <w:r>
              <w:rPr>
                <w:color w:val="231F20"/>
                <w:spacing w:val="-5"/>
                <w:w w:val="95"/>
                <w:sz w:val="13"/>
              </w:rPr>
              <w:t>2.7</w:t>
            </w:r>
          </w:p>
        </w:tc>
      </w:tr>
      <w:tr>
        <w:trPr>
          <w:trHeight w:val="184" w:hRule="atLeast"/>
        </w:trPr>
        <w:tc>
          <w:tcPr>
            <w:tcW w:w="1377" w:type="dxa"/>
          </w:tcPr>
          <w:p>
            <w:pPr>
              <w:pStyle w:val="TableParagraph"/>
              <w:spacing w:line="147" w:lineRule="exact" w:before="17"/>
              <w:ind w:left="78"/>
              <w:jc w:val="left"/>
              <w:rPr>
                <w:sz w:val="13"/>
              </w:rPr>
            </w:pPr>
            <w:r>
              <w:rPr>
                <w:color w:val="231F20"/>
                <w:w w:val="75"/>
                <w:sz w:val="13"/>
              </w:rPr>
              <w:t>United</w:t>
            </w:r>
            <w:r>
              <w:rPr>
                <w:color w:val="231F20"/>
                <w:spacing w:val="10"/>
                <w:sz w:val="13"/>
              </w:rPr>
              <w:t> </w:t>
            </w:r>
            <w:r>
              <w:rPr>
                <w:color w:val="231F20"/>
                <w:w w:val="75"/>
                <w:sz w:val="13"/>
              </w:rPr>
              <w:t>Arab</w:t>
            </w:r>
            <w:r>
              <w:rPr>
                <w:color w:val="231F20"/>
                <w:spacing w:val="11"/>
                <w:sz w:val="13"/>
              </w:rPr>
              <w:t> </w:t>
            </w:r>
            <w:r>
              <w:rPr>
                <w:color w:val="231F20"/>
                <w:spacing w:val="-2"/>
                <w:w w:val="75"/>
                <w:sz w:val="13"/>
              </w:rPr>
              <w:t>Emirates</w:t>
            </w:r>
          </w:p>
        </w:tc>
        <w:tc>
          <w:tcPr>
            <w:tcW w:w="487" w:type="dxa"/>
          </w:tcPr>
          <w:p>
            <w:pPr>
              <w:pStyle w:val="TableParagraph"/>
              <w:spacing w:line="147" w:lineRule="exact" w:before="17"/>
              <w:ind w:right="99"/>
              <w:jc w:val="right"/>
              <w:rPr>
                <w:sz w:val="13"/>
              </w:rPr>
            </w:pPr>
            <w:r>
              <w:rPr>
                <w:color w:val="231F20"/>
                <w:spacing w:val="-5"/>
                <w:w w:val="95"/>
                <w:sz w:val="13"/>
              </w:rPr>
              <w:t>4.0</w:t>
            </w:r>
          </w:p>
        </w:tc>
        <w:tc>
          <w:tcPr>
            <w:tcW w:w="531" w:type="dxa"/>
          </w:tcPr>
          <w:p>
            <w:pPr>
              <w:pStyle w:val="TableParagraph"/>
              <w:spacing w:line="147" w:lineRule="exact" w:before="17"/>
              <w:ind w:left="9" w:right="27"/>
              <w:rPr>
                <w:sz w:val="13"/>
              </w:rPr>
            </w:pPr>
            <w:r>
              <w:rPr>
                <w:color w:val="231F20"/>
                <w:spacing w:val="-5"/>
                <w:w w:val="95"/>
                <w:sz w:val="13"/>
              </w:rPr>
              <w:t>3.7</w:t>
            </w:r>
          </w:p>
        </w:tc>
        <w:tc>
          <w:tcPr>
            <w:tcW w:w="549" w:type="dxa"/>
          </w:tcPr>
          <w:p>
            <w:pPr>
              <w:pStyle w:val="TableParagraph"/>
              <w:spacing w:line="147" w:lineRule="exact" w:before="17"/>
              <w:ind w:left="2" w:right="18"/>
              <w:rPr>
                <w:sz w:val="13"/>
              </w:rPr>
            </w:pPr>
            <w:r>
              <w:rPr>
                <w:color w:val="231F20"/>
                <w:spacing w:val="-5"/>
                <w:w w:val="95"/>
                <w:sz w:val="13"/>
              </w:rPr>
              <w:t>4.1</w:t>
            </w:r>
          </w:p>
        </w:tc>
        <w:tc>
          <w:tcPr>
            <w:tcW w:w="615" w:type="dxa"/>
          </w:tcPr>
          <w:p>
            <w:pPr>
              <w:pStyle w:val="TableParagraph"/>
              <w:spacing w:line="147" w:lineRule="exact" w:before="17"/>
              <w:ind w:left="17" w:right="8"/>
              <w:rPr>
                <w:sz w:val="13"/>
              </w:rPr>
            </w:pPr>
            <w:r>
              <w:rPr>
                <w:color w:val="231F20"/>
                <w:spacing w:val="-5"/>
                <w:w w:val="95"/>
                <w:sz w:val="13"/>
              </w:rPr>
              <w:t>3.8</w:t>
            </w:r>
          </w:p>
        </w:tc>
        <w:tc>
          <w:tcPr>
            <w:tcW w:w="706" w:type="dxa"/>
          </w:tcPr>
          <w:p>
            <w:pPr>
              <w:pStyle w:val="TableParagraph"/>
              <w:spacing w:line="147" w:lineRule="exact" w:before="17"/>
              <w:ind w:left="14" w:right="24"/>
              <w:rPr>
                <w:sz w:val="13"/>
              </w:rPr>
            </w:pPr>
            <w:r>
              <w:rPr>
                <w:color w:val="231F20"/>
                <w:spacing w:val="-5"/>
                <w:w w:val="95"/>
                <w:sz w:val="13"/>
              </w:rPr>
              <w:t>4.0</w:t>
            </w:r>
          </w:p>
        </w:tc>
        <w:tc>
          <w:tcPr>
            <w:tcW w:w="368" w:type="dxa"/>
          </w:tcPr>
          <w:p>
            <w:pPr>
              <w:pStyle w:val="TableParagraph"/>
              <w:spacing w:line="147" w:lineRule="exact" w:before="17"/>
              <w:ind w:left="17" w:right="28"/>
              <w:rPr>
                <w:sz w:val="13"/>
              </w:rPr>
            </w:pPr>
            <w:r>
              <w:rPr>
                <w:color w:val="231F20"/>
                <w:spacing w:val="-5"/>
                <w:w w:val="95"/>
                <w:sz w:val="13"/>
              </w:rPr>
              <w:t>4.2</w:t>
            </w:r>
          </w:p>
        </w:tc>
        <w:tc>
          <w:tcPr>
            <w:tcW w:w="536" w:type="dxa"/>
            <w:tcBorders>
              <w:right w:val="single" w:sz="24" w:space="0" w:color="FFFFFF"/>
            </w:tcBorders>
          </w:tcPr>
          <w:p>
            <w:pPr>
              <w:pStyle w:val="TableParagraph"/>
              <w:spacing w:line="147" w:lineRule="exact" w:before="17"/>
              <w:ind w:right="27"/>
              <w:rPr>
                <w:sz w:val="13"/>
              </w:rPr>
            </w:pPr>
            <w:r>
              <w:rPr>
                <w:color w:val="231F20"/>
                <w:spacing w:val="-5"/>
                <w:w w:val="95"/>
                <w:sz w:val="13"/>
              </w:rPr>
              <w:t>4.1</w:t>
            </w:r>
          </w:p>
        </w:tc>
        <w:tc>
          <w:tcPr>
            <w:tcW w:w="1415" w:type="dxa"/>
            <w:tcBorders>
              <w:left w:val="single" w:sz="24" w:space="0" w:color="FFFFFF"/>
            </w:tcBorders>
          </w:tcPr>
          <w:p>
            <w:pPr>
              <w:pStyle w:val="TableParagraph"/>
              <w:spacing w:line="147" w:lineRule="exact" w:before="17"/>
              <w:ind w:left="70"/>
              <w:jc w:val="left"/>
              <w:rPr>
                <w:sz w:val="13"/>
              </w:rPr>
            </w:pPr>
            <w:r>
              <w:rPr>
                <w:color w:val="231F20"/>
                <w:w w:val="70"/>
                <w:sz w:val="13"/>
              </w:rPr>
              <w:t>El</w:t>
            </w:r>
            <w:r>
              <w:rPr>
                <w:color w:val="231F20"/>
                <w:spacing w:val="-5"/>
                <w:sz w:val="13"/>
              </w:rPr>
              <w:t> </w:t>
            </w:r>
            <w:r>
              <w:rPr>
                <w:color w:val="231F20"/>
                <w:spacing w:val="-2"/>
                <w:w w:val="85"/>
                <w:sz w:val="13"/>
              </w:rPr>
              <w:t>Salvador</w:t>
            </w:r>
          </w:p>
        </w:tc>
        <w:tc>
          <w:tcPr>
            <w:tcW w:w="482" w:type="dxa"/>
          </w:tcPr>
          <w:p>
            <w:pPr>
              <w:pStyle w:val="TableParagraph"/>
              <w:spacing w:line="147" w:lineRule="exact" w:before="17"/>
              <w:ind w:right="114"/>
              <w:jc w:val="right"/>
              <w:rPr>
                <w:sz w:val="13"/>
              </w:rPr>
            </w:pPr>
            <w:r>
              <w:rPr>
                <w:color w:val="231F20"/>
                <w:spacing w:val="-5"/>
                <w:w w:val="95"/>
                <w:sz w:val="13"/>
              </w:rPr>
              <w:t>2.7</w:t>
            </w:r>
          </w:p>
        </w:tc>
        <w:tc>
          <w:tcPr>
            <w:tcW w:w="532" w:type="dxa"/>
          </w:tcPr>
          <w:p>
            <w:pPr>
              <w:pStyle w:val="TableParagraph"/>
              <w:spacing w:line="147" w:lineRule="exact" w:before="17"/>
              <w:ind w:left="18" w:right="55"/>
              <w:rPr>
                <w:sz w:val="13"/>
              </w:rPr>
            </w:pPr>
            <w:r>
              <w:rPr>
                <w:color w:val="231F20"/>
                <w:spacing w:val="-5"/>
                <w:w w:val="95"/>
                <w:sz w:val="13"/>
              </w:rPr>
              <w:t>2.4</w:t>
            </w:r>
          </w:p>
        </w:tc>
        <w:tc>
          <w:tcPr>
            <w:tcW w:w="550" w:type="dxa"/>
          </w:tcPr>
          <w:p>
            <w:pPr>
              <w:pStyle w:val="TableParagraph"/>
              <w:spacing w:line="147" w:lineRule="exact" w:before="17"/>
              <w:ind w:left="21" w:right="45"/>
              <w:rPr>
                <w:sz w:val="13"/>
              </w:rPr>
            </w:pPr>
            <w:r>
              <w:rPr>
                <w:color w:val="231F20"/>
                <w:spacing w:val="-5"/>
                <w:w w:val="95"/>
                <w:sz w:val="13"/>
              </w:rPr>
              <w:t>2.2</w:t>
            </w:r>
          </w:p>
        </w:tc>
        <w:tc>
          <w:tcPr>
            <w:tcW w:w="616" w:type="dxa"/>
          </w:tcPr>
          <w:p>
            <w:pPr>
              <w:pStyle w:val="TableParagraph"/>
              <w:spacing w:line="147" w:lineRule="exact" w:before="17"/>
              <w:ind w:left="20" w:right="37"/>
              <w:rPr>
                <w:sz w:val="13"/>
              </w:rPr>
            </w:pPr>
            <w:r>
              <w:rPr>
                <w:color w:val="231F20"/>
                <w:spacing w:val="-5"/>
                <w:w w:val="95"/>
                <w:sz w:val="13"/>
              </w:rPr>
              <w:t>2.6</w:t>
            </w:r>
          </w:p>
        </w:tc>
        <w:tc>
          <w:tcPr>
            <w:tcW w:w="707" w:type="dxa"/>
          </w:tcPr>
          <w:p>
            <w:pPr>
              <w:pStyle w:val="TableParagraph"/>
              <w:spacing w:line="147" w:lineRule="exact" w:before="17"/>
              <w:ind w:left="12" w:right="55"/>
              <w:rPr>
                <w:sz w:val="13"/>
              </w:rPr>
            </w:pPr>
            <w:r>
              <w:rPr>
                <w:color w:val="231F20"/>
                <w:spacing w:val="-5"/>
                <w:w w:val="95"/>
                <w:sz w:val="13"/>
              </w:rPr>
              <w:t>2.7</w:t>
            </w:r>
          </w:p>
        </w:tc>
        <w:tc>
          <w:tcPr>
            <w:tcW w:w="369" w:type="dxa"/>
          </w:tcPr>
          <w:p>
            <w:pPr>
              <w:pStyle w:val="TableParagraph"/>
              <w:spacing w:line="147" w:lineRule="exact" w:before="17"/>
              <w:ind w:left="18" w:right="61"/>
              <w:rPr>
                <w:sz w:val="13"/>
              </w:rPr>
            </w:pPr>
            <w:r>
              <w:rPr>
                <w:color w:val="231F20"/>
                <w:spacing w:val="-5"/>
                <w:w w:val="95"/>
                <w:sz w:val="13"/>
              </w:rPr>
              <w:t>3.2</w:t>
            </w:r>
          </w:p>
        </w:tc>
        <w:tc>
          <w:tcPr>
            <w:tcW w:w="507" w:type="dxa"/>
          </w:tcPr>
          <w:p>
            <w:pPr>
              <w:pStyle w:val="TableParagraph"/>
              <w:spacing w:line="147" w:lineRule="exact" w:before="17"/>
              <w:ind w:right="44"/>
              <w:rPr>
                <w:sz w:val="13"/>
              </w:rPr>
            </w:pPr>
            <w:r>
              <w:rPr>
                <w:color w:val="231F20"/>
                <w:spacing w:val="-5"/>
                <w:w w:val="95"/>
                <w:sz w:val="13"/>
              </w:rPr>
              <w:t>2.9</w:t>
            </w:r>
          </w:p>
        </w:tc>
      </w:tr>
      <w:tr>
        <w:trPr>
          <w:trHeight w:val="184" w:hRule="atLeast"/>
        </w:trPr>
        <w:tc>
          <w:tcPr>
            <w:tcW w:w="1377" w:type="dxa"/>
            <w:shd w:val="clear" w:color="auto" w:fill="D4E3F5"/>
          </w:tcPr>
          <w:p>
            <w:pPr>
              <w:pStyle w:val="TableParagraph"/>
              <w:spacing w:line="147" w:lineRule="exact" w:before="17"/>
              <w:ind w:left="78"/>
              <w:jc w:val="left"/>
              <w:rPr>
                <w:sz w:val="13"/>
              </w:rPr>
            </w:pPr>
            <w:r>
              <w:rPr>
                <w:color w:val="231F20"/>
                <w:spacing w:val="-2"/>
                <w:w w:val="85"/>
                <w:sz w:val="13"/>
              </w:rPr>
              <w:t>France</w:t>
            </w:r>
          </w:p>
        </w:tc>
        <w:tc>
          <w:tcPr>
            <w:tcW w:w="487" w:type="dxa"/>
            <w:shd w:val="clear" w:color="auto" w:fill="D4E3F5"/>
          </w:tcPr>
          <w:p>
            <w:pPr>
              <w:pStyle w:val="TableParagraph"/>
              <w:spacing w:line="147" w:lineRule="exact" w:before="17"/>
              <w:ind w:right="97"/>
              <w:jc w:val="right"/>
              <w:rPr>
                <w:sz w:val="13"/>
              </w:rPr>
            </w:pPr>
            <w:r>
              <w:rPr>
                <w:color w:val="231F20"/>
                <w:spacing w:val="-5"/>
                <w:w w:val="95"/>
                <w:sz w:val="13"/>
              </w:rPr>
              <w:t>3.9</w:t>
            </w:r>
          </w:p>
        </w:tc>
        <w:tc>
          <w:tcPr>
            <w:tcW w:w="531" w:type="dxa"/>
            <w:shd w:val="clear" w:color="auto" w:fill="D4E3F5"/>
          </w:tcPr>
          <w:p>
            <w:pPr>
              <w:pStyle w:val="TableParagraph"/>
              <w:spacing w:line="147" w:lineRule="exact" w:before="17"/>
              <w:ind w:left="9" w:right="27"/>
              <w:rPr>
                <w:sz w:val="13"/>
              </w:rPr>
            </w:pPr>
            <w:r>
              <w:rPr>
                <w:color w:val="231F20"/>
                <w:spacing w:val="-5"/>
                <w:w w:val="95"/>
                <w:sz w:val="13"/>
              </w:rPr>
              <w:t>3.7</w:t>
            </w:r>
          </w:p>
        </w:tc>
        <w:tc>
          <w:tcPr>
            <w:tcW w:w="549" w:type="dxa"/>
            <w:shd w:val="clear" w:color="auto" w:fill="D4E3F5"/>
          </w:tcPr>
          <w:p>
            <w:pPr>
              <w:pStyle w:val="TableParagraph"/>
              <w:spacing w:line="147" w:lineRule="exact" w:before="17"/>
              <w:ind w:left="15" w:right="16"/>
              <w:rPr>
                <w:sz w:val="13"/>
              </w:rPr>
            </w:pPr>
            <w:r>
              <w:rPr>
                <w:color w:val="231F20"/>
                <w:spacing w:val="-5"/>
                <w:w w:val="95"/>
                <w:sz w:val="13"/>
              </w:rPr>
              <w:t>3.8</w:t>
            </w:r>
          </w:p>
        </w:tc>
        <w:tc>
          <w:tcPr>
            <w:tcW w:w="615" w:type="dxa"/>
            <w:shd w:val="clear" w:color="auto" w:fill="D4E3F5"/>
          </w:tcPr>
          <w:p>
            <w:pPr>
              <w:pStyle w:val="TableParagraph"/>
              <w:spacing w:line="147" w:lineRule="exact" w:before="17"/>
              <w:ind w:left="12" w:right="10"/>
              <w:rPr>
                <w:sz w:val="13"/>
              </w:rPr>
            </w:pPr>
            <w:r>
              <w:rPr>
                <w:color w:val="231F20"/>
                <w:spacing w:val="-5"/>
                <w:w w:val="95"/>
                <w:sz w:val="13"/>
              </w:rPr>
              <w:t>3.7</w:t>
            </w:r>
          </w:p>
        </w:tc>
        <w:tc>
          <w:tcPr>
            <w:tcW w:w="706" w:type="dxa"/>
            <w:shd w:val="clear" w:color="auto" w:fill="D4E3F5"/>
          </w:tcPr>
          <w:p>
            <w:pPr>
              <w:pStyle w:val="TableParagraph"/>
              <w:spacing w:line="147" w:lineRule="exact" w:before="17"/>
              <w:ind w:left="15" w:right="24"/>
              <w:rPr>
                <w:sz w:val="13"/>
              </w:rPr>
            </w:pPr>
            <w:r>
              <w:rPr>
                <w:color w:val="231F20"/>
                <w:spacing w:val="-5"/>
                <w:w w:val="95"/>
                <w:sz w:val="13"/>
              </w:rPr>
              <w:t>3.8</w:t>
            </w:r>
          </w:p>
        </w:tc>
        <w:tc>
          <w:tcPr>
            <w:tcW w:w="368" w:type="dxa"/>
            <w:shd w:val="clear" w:color="auto" w:fill="D4E3F5"/>
          </w:tcPr>
          <w:p>
            <w:pPr>
              <w:pStyle w:val="TableParagraph"/>
              <w:spacing w:line="147" w:lineRule="exact" w:before="17"/>
              <w:ind w:right="28"/>
              <w:rPr>
                <w:sz w:val="13"/>
              </w:rPr>
            </w:pPr>
            <w:r>
              <w:rPr>
                <w:color w:val="231F20"/>
                <w:spacing w:val="-5"/>
                <w:w w:val="95"/>
                <w:sz w:val="13"/>
              </w:rPr>
              <w:t>4.1</w:t>
            </w:r>
          </w:p>
        </w:tc>
        <w:tc>
          <w:tcPr>
            <w:tcW w:w="536" w:type="dxa"/>
            <w:tcBorders>
              <w:right w:val="single" w:sz="24" w:space="0" w:color="FFFFFF"/>
            </w:tcBorders>
            <w:shd w:val="clear" w:color="auto" w:fill="D4E3F5"/>
          </w:tcPr>
          <w:p>
            <w:pPr>
              <w:pStyle w:val="TableParagraph"/>
              <w:spacing w:line="147" w:lineRule="exact" w:before="17"/>
              <w:ind w:left="16" w:right="27"/>
              <w:rPr>
                <w:sz w:val="13"/>
              </w:rPr>
            </w:pPr>
            <w:r>
              <w:rPr>
                <w:color w:val="231F20"/>
                <w:spacing w:val="-5"/>
                <w:w w:val="95"/>
                <w:sz w:val="13"/>
              </w:rPr>
              <w:t>4.0</w:t>
            </w:r>
          </w:p>
        </w:tc>
        <w:tc>
          <w:tcPr>
            <w:tcW w:w="1415" w:type="dxa"/>
            <w:tcBorders>
              <w:left w:val="single" w:sz="24" w:space="0" w:color="FFFFFF"/>
            </w:tcBorders>
            <w:shd w:val="clear" w:color="auto" w:fill="D4E3F5"/>
          </w:tcPr>
          <w:p>
            <w:pPr>
              <w:pStyle w:val="TableParagraph"/>
              <w:spacing w:line="147" w:lineRule="exact" w:before="17"/>
              <w:ind w:left="70"/>
              <w:jc w:val="left"/>
              <w:rPr>
                <w:sz w:val="13"/>
              </w:rPr>
            </w:pPr>
            <w:r>
              <w:rPr>
                <w:color w:val="231F20"/>
                <w:spacing w:val="-2"/>
                <w:w w:val="85"/>
                <w:sz w:val="13"/>
              </w:rPr>
              <w:t>Georgia</w:t>
            </w:r>
          </w:p>
        </w:tc>
        <w:tc>
          <w:tcPr>
            <w:tcW w:w="482" w:type="dxa"/>
            <w:shd w:val="clear" w:color="auto" w:fill="D4E3F5"/>
          </w:tcPr>
          <w:p>
            <w:pPr>
              <w:pStyle w:val="TableParagraph"/>
              <w:spacing w:line="147" w:lineRule="exact" w:before="17"/>
              <w:ind w:right="114"/>
              <w:jc w:val="right"/>
              <w:rPr>
                <w:sz w:val="13"/>
              </w:rPr>
            </w:pPr>
            <w:r>
              <w:rPr>
                <w:color w:val="231F20"/>
                <w:spacing w:val="-5"/>
                <w:w w:val="95"/>
                <w:sz w:val="13"/>
              </w:rPr>
              <w:t>2.7</w:t>
            </w:r>
          </w:p>
        </w:tc>
        <w:tc>
          <w:tcPr>
            <w:tcW w:w="532" w:type="dxa"/>
            <w:shd w:val="clear" w:color="auto" w:fill="D4E3F5"/>
          </w:tcPr>
          <w:p>
            <w:pPr>
              <w:pStyle w:val="TableParagraph"/>
              <w:spacing w:line="147" w:lineRule="exact" w:before="17"/>
              <w:ind w:left="19" w:right="55"/>
              <w:rPr>
                <w:sz w:val="13"/>
              </w:rPr>
            </w:pPr>
            <w:r>
              <w:rPr>
                <w:color w:val="231F20"/>
                <w:spacing w:val="-5"/>
                <w:w w:val="95"/>
                <w:sz w:val="13"/>
              </w:rPr>
              <w:t>2.6</w:t>
            </w:r>
          </w:p>
        </w:tc>
        <w:tc>
          <w:tcPr>
            <w:tcW w:w="550" w:type="dxa"/>
            <w:shd w:val="clear" w:color="auto" w:fill="D4E3F5"/>
          </w:tcPr>
          <w:p>
            <w:pPr>
              <w:pStyle w:val="TableParagraph"/>
              <w:spacing w:line="147" w:lineRule="exact" w:before="17"/>
              <w:ind w:left="20" w:right="45"/>
              <w:rPr>
                <w:sz w:val="13"/>
              </w:rPr>
            </w:pPr>
            <w:r>
              <w:rPr>
                <w:color w:val="231F20"/>
                <w:spacing w:val="-5"/>
                <w:w w:val="95"/>
                <w:sz w:val="13"/>
              </w:rPr>
              <w:t>2.3</w:t>
            </w:r>
          </w:p>
        </w:tc>
        <w:tc>
          <w:tcPr>
            <w:tcW w:w="616" w:type="dxa"/>
            <w:shd w:val="clear" w:color="auto" w:fill="D4E3F5"/>
          </w:tcPr>
          <w:p>
            <w:pPr>
              <w:pStyle w:val="TableParagraph"/>
              <w:spacing w:line="147" w:lineRule="exact" w:before="17"/>
              <w:ind w:left="16" w:right="37"/>
              <w:rPr>
                <w:sz w:val="13"/>
              </w:rPr>
            </w:pPr>
            <w:r>
              <w:rPr>
                <w:color w:val="231F20"/>
                <w:spacing w:val="-5"/>
                <w:w w:val="95"/>
                <w:sz w:val="13"/>
              </w:rPr>
              <w:t>2.7</w:t>
            </w:r>
          </w:p>
        </w:tc>
        <w:tc>
          <w:tcPr>
            <w:tcW w:w="707" w:type="dxa"/>
            <w:shd w:val="clear" w:color="auto" w:fill="D4E3F5"/>
          </w:tcPr>
          <w:p>
            <w:pPr>
              <w:pStyle w:val="TableParagraph"/>
              <w:spacing w:line="147" w:lineRule="exact" w:before="17"/>
              <w:ind w:left="16" w:right="55"/>
              <w:rPr>
                <w:sz w:val="13"/>
              </w:rPr>
            </w:pPr>
            <w:r>
              <w:rPr>
                <w:color w:val="231F20"/>
                <w:spacing w:val="-5"/>
                <w:w w:val="95"/>
                <w:sz w:val="13"/>
              </w:rPr>
              <w:t>2.6</w:t>
            </w:r>
          </w:p>
        </w:tc>
        <w:tc>
          <w:tcPr>
            <w:tcW w:w="369" w:type="dxa"/>
            <w:shd w:val="clear" w:color="auto" w:fill="D4E3F5"/>
          </w:tcPr>
          <w:p>
            <w:pPr>
              <w:pStyle w:val="TableParagraph"/>
              <w:spacing w:line="147" w:lineRule="exact" w:before="17"/>
              <w:ind w:left="1" w:right="61"/>
              <w:rPr>
                <w:sz w:val="13"/>
              </w:rPr>
            </w:pPr>
            <w:r>
              <w:rPr>
                <w:color w:val="231F20"/>
                <w:spacing w:val="-5"/>
                <w:w w:val="95"/>
                <w:sz w:val="13"/>
              </w:rPr>
              <w:t>3.1</w:t>
            </w:r>
          </w:p>
        </w:tc>
        <w:tc>
          <w:tcPr>
            <w:tcW w:w="507" w:type="dxa"/>
            <w:shd w:val="clear" w:color="auto" w:fill="D4E3F5"/>
          </w:tcPr>
          <w:p>
            <w:pPr>
              <w:pStyle w:val="TableParagraph"/>
              <w:spacing w:line="147" w:lineRule="exact" w:before="17"/>
              <w:ind w:right="43"/>
              <w:rPr>
                <w:sz w:val="13"/>
              </w:rPr>
            </w:pPr>
            <w:r>
              <w:rPr>
                <w:color w:val="231F20"/>
                <w:spacing w:val="-5"/>
                <w:w w:val="95"/>
                <w:sz w:val="13"/>
              </w:rPr>
              <w:t>2.8</w:t>
            </w:r>
          </w:p>
        </w:tc>
      </w:tr>
      <w:tr>
        <w:trPr>
          <w:trHeight w:val="184" w:hRule="atLeast"/>
        </w:trPr>
        <w:tc>
          <w:tcPr>
            <w:tcW w:w="1377" w:type="dxa"/>
          </w:tcPr>
          <w:p>
            <w:pPr>
              <w:pStyle w:val="TableParagraph"/>
              <w:spacing w:line="147" w:lineRule="exact" w:before="17"/>
              <w:ind w:left="78"/>
              <w:jc w:val="left"/>
              <w:rPr>
                <w:sz w:val="13"/>
              </w:rPr>
            </w:pPr>
            <w:r>
              <w:rPr>
                <w:color w:val="231F20"/>
                <w:spacing w:val="-4"/>
                <w:w w:val="90"/>
                <w:sz w:val="13"/>
              </w:rPr>
              <w:t>Japan</w:t>
            </w:r>
          </w:p>
        </w:tc>
        <w:tc>
          <w:tcPr>
            <w:tcW w:w="487" w:type="dxa"/>
          </w:tcPr>
          <w:p>
            <w:pPr>
              <w:pStyle w:val="TableParagraph"/>
              <w:spacing w:line="147" w:lineRule="exact" w:before="17"/>
              <w:ind w:right="97"/>
              <w:jc w:val="right"/>
              <w:rPr>
                <w:sz w:val="13"/>
              </w:rPr>
            </w:pPr>
            <w:r>
              <w:rPr>
                <w:color w:val="231F20"/>
                <w:spacing w:val="-5"/>
                <w:w w:val="95"/>
                <w:sz w:val="13"/>
              </w:rPr>
              <w:t>3.9</w:t>
            </w:r>
          </w:p>
        </w:tc>
        <w:tc>
          <w:tcPr>
            <w:tcW w:w="531" w:type="dxa"/>
          </w:tcPr>
          <w:p>
            <w:pPr>
              <w:pStyle w:val="TableParagraph"/>
              <w:spacing w:line="147" w:lineRule="exact" w:before="17"/>
              <w:ind w:left="15" w:right="27"/>
              <w:rPr>
                <w:sz w:val="13"/>
              </w:rPr>
            </w:pPr>
            <w:r>
              <w:rPr>
                <w:color w:val="231F20"/>
                <w:spacing w:val="-5"/>
                <w:w w:val="95"/>
                <w:sz w:val="13"/>
              </w:rPr>
              <w:t>3.9</w:t>
            </w:r>
          </w:p>
        </w:tc>
        <w:tc>
          <w:tcPr>
            <w:tcW w:w="549" w:type="dxa"/>
          </w:tcPr>
          <w:p>
            <w:pPr>
              <w:pStyle w:val="TableParagraph"/>
              <w:spacing w:line="147" w:lineRule="exact" w:before="17"/>
              <w:ind w:left="16" w:right="16"/>
              <w:rPr>
                <w:sz w:val="13"/>
              </w:rPr>
            </w:pPr>
            <w:r>
              <w:rPr>
                <w:color w:val="231F20"/>
                <w:spacing w:val="-5"/>
                <w:w w:val="95"/>
                <w:sz w:val="13"/>
              </w:rPr>
              <w:t>4.2</w:t>
            </w:r>
          </w:p>
        </w:tc>
        <w:tc>
          <w:tcPr>
            <w:tcW w:w="615" w:type="dxa"/>
          </w:tcPr>
          <w:p>
            <w:pPr>
              <w:pStyle w:val="TableParagraph"/>
              <w:spacing w:line="148" w:lineRule="exact" w:before="17"/>
              <w:ind w:left="20" w:right="8"/>
              <w:rPr>
                <w:sz w:val="13"/>
              </w:rPr>
            </w:pPr>
            <w:r>
              <w:rPr>
                <w:color w:val="231F20"/>
                <w:spacing w:val="-5"/>
                <w:w w:val="95"/>
                <w:sz w:val="13"/>
              </w:rPr>
              <w:t>3.3</w:t>
            </w:r>
          </w:p>
        </w:tc>
        <w:tc>
          <w:tcPr>
            <w:tcW w:w="706" w:type="dxa"/>
          </w:tcPr>
          <w:p>
            <w:pPr>
              <w:pStyle w:val="TableParagraph"/>
              <w:spacing w:line="148" w:lineRule="exact" w:before="17"/>
              <w:ind w:left="1" w:right="24"/>
              <w:rPr>
                <w:sz w:val="13"/>
              </w:rPr>
            </w:pPr>
            <w:r>
              <w:rPr>
                <w:color w:val="231F20"/>
                <w:spacing w:val="-5"/>
                <w:w w:val="95"/>
                <w:sz w:val="13"/>
              </w:rPr>
              <w:t>4.1</w:t>
            </w:r>
          </w:p>
        </w:tc>
        <w:tc>
          <w:tcPr>
            <w:tcW w:w="368" w:type="dxa"/>
          </w:tcPr>
          <w:p>
            <w:pPr>
              <w:pStyle w:val="TableParagraph"/>
              <w:spacing w:line="148" w:lineRule="exact" w:before="17"/>
              <w:ind w:left="18" w:right="28"/>
              <w:rPr>
                <w:sz w:val="13"/>
              </w:rPr>
            </w:pPr>
            <w:r>
              <w:rPr>
                <w:color w:val="231F20"/>
                <w:spacing w:val="-5"/>
                <w:w w:val="95"/>
                <w:sz w:val="13"/>
              </w:rPr>
              <w:t>4.0</w:t>
            </w:r>
          </w:p>
        </w:tc>
        <w:tc>
          <w:tcPr>
            <w:tcW w:w="536" w:type="dxa"/>
            <w:tcBorders>
              <w:right w:val="single" w:sz="24" w:space="0" w:color="FFFFFF"/>
            </w:tcBorders>
          </w:tcPr>
          <w:p>
            <w:pPr>
              <w:pStyle w:val="TableParagraph"/>
              <w:spacing w:line="148" w:lineRule="exact" w:before="17"/>
              <w:ind w:left="19" w:right="27"/>
              <w:rPr>
                <w:sz w:val="13"/>
              </w:rPr>
            </w:pPr>
            <w:r>
              <w:rPr>
                <w:color w:val="231F20"/>
                <w:spacing w:val="-5"/>
                <w:w w:val="95"/>
                <w:sz w:val="13"/>
              </w:rPr>
              <w:t>4.0</w:t>
            </w:r>
          </w:p>
        </w:tc>
        <w:tc>
          <w:tcPr>
            <w:tcW w:w="1415" w:type="dxa"/>
            <w:tcBorders>
              <w:left w:val="single" w:sz="24" w:space="0" w:color="FFFFFF"/>
            </w:tcBorders>
          </w:tcPr>
          <w:p>
            <w:pPr>
              <w:pStyle w:val="TableParagraph"/>
              <w:spacing w:line="147" w:lineRule="exact" w:before="17"/>
              <w:ind w:left="70"/>
              <w:jc w:val="left"/>
              <w:rPr>
                <w:sz w:val="13"/>
              </w:rPr>
            </w:pPr>
            <w:r>
              <w:rPr>
                <w:color w:val="231F20"/>
                <w:spacing w:val="-2"/>
                <w:w w:val="85"/>
                <w:sz w:val="13"/>
              </w:rPr>
              <w:t>Kazakhstan</w:t>
            </w:r>
          </w:p>
        </w:tc>
        <w:tc>
          <w:tcPr>
            <w:tcW w:w="482" w:type="dxa"/>
          </w:tcPr>
          <w:p>
            <w:pPr>
              <w:pStyle w:val="TableParagraph"/>
              <w:spacing w:line="147" w:lineRule="exact" w:before="17"/>
              <w:ind w:right="114"/>
              <w:jc w:val="right"/>
              <w:rPr>
                <w:sz w:val="13"/>
              </w:rPr>
            </w:pPr>
            <w:r>
              <w:rPr>
                <w:color w:val="231F20"/>
                <w:spacing w:val="-5"/>
                <w:w w:val="95"/>
                <w:sz w:val="13"/>
              </w:rPr>
              <w:t>2.7</w:t>
            </w:r>
          </w:p>
        </w:tc>
        <w:tc>
          <w:tcPr>
            <w:tcW w:w="532" w:type="dxa"/>
          </w:tcPr>
          <w:p>
            <w:pPr>
              <w:pStyle w:val="TableParagraph"/>
              <w:spacing w:line="147" w:lineRule="exact" w:before="17"/>
              <w:ind w:left="19" w:right="55"/>
              <w:rPr>
                <w:sz w:val="13"/>
              </w:rPr>
            </w:pPr>
            <w:r>
              <w:rPr>
                <w:color w:val="231F20"/>
                <w:spacing w:val="-5"/>
                <w:w w:val="95"/>
                <w:sz w:val="13"/>
              </w:rPr>
              <w:t>2.6</w:t>
            </w:r>
          </w:p>
        </w:tc>
        <w:tc>
          <w:tcPr>
            <w:tcW w:w="550" w:type="dxa"/>
          </w:tcPr>
          <w:p>
            <w:pPr>
              <w:pStyle w:val="TableParagraph"/>
              <w:spacing w:line="147" w:lineRule="exact" w:before="17"/>
              <w:ind w:left="21" w:right="45"/>
              <w:rPr>
                <w:sz w:val="13"/>
              </w:rPr>
            </w:pPr>
            <w:r>
              <w:rPr>
                <w:color w:val="231F20"/>
                <w:spacing w:val="-5"/>
                <w:w w:val="95"/>
                <w:sz w:val="13"/>
              </w:rPr>
              <w:t>2.5</w:t>
            </w:r>
          </w:p>
        </w:tc>
        <w:tc>
          <w:tcPr>
            <w:tcW w:w="616" w:type="dxa"/>
          </w:tcPr>
          <w:p>
            <w:pPr>
              <w:pStyle w:val="TableParagraph"/>
              <w:spacing w:line="148" w:lineRule="exact" w:before="17"/>
              <w:ind w:left="20" w:right="37"/>
              <w:rPr>
                <w:sz w:val="13"/>
              </w:rPr>
            </w:pPr>
            <w:r>
              <w:rPr>
                <w:color w:val="231F20"/>
                <w:spacing w:val="-5"/>
                <w:w w:val="95"/>
                <w:sz w:val="13"/>
              </w:rPr>
              <w:t>2.6</w:t>
            </w:r>
          </w:p>
        </w:tc>
        <w:tc>
          <w:tcPr>
            <w:tcW w:w="707" w:type="dxa"/>
          </w:tcPr>
          <w:p>
            <w:pPr>
              <w:pStyle w:val="TableParagraph"/>
              <w:spacing w:line="148" w:lineRule="exact" w:before="17"/>
              <w:ind w:left="13" w:right="55"/>
              <w:rPr>
                <w:sz w:val="13"/>
              </w:rPr>
            </w:pPr>
            <w:r>
              <w:rPr>
                <w:color w:val="231F20"/>
                <w:spacing w:val="-5"/>
                <w:w w:val="95"/>
                <w:sz w:val="13"/>
              </w:rPr>
              <w:t>2.7</w:t>
            </w:r>
          </w:p>
        </w:tc>
        <w:tc>
          <w:tcPr>
            <w:tcW w:w="369" w:type="dxa"/>
          </w:tcPr>
          <w:p>
            <w:pPr>
              <w:pStyle w:val="TableParagraph"/>
              <w:spacing w:line="148" w:lineRule="exact" w:before="17"/>
              <w:ind w:left="18" w:right="61"/>
              <w:rPr>
                <w:sz w:val="13"/>
              </w:rPr>
            </w:pPr>
            <w:r>
              <w:rPr>
                <w:color w:val="231F20"/>
                <w:spacing w:val="-5"/>
                <w:w w:val="95"/>
                <w:sz w:val="13"/>
              </w:rPr>
              <w:t>2.9</w:t>
            </w:r>
          </w:p>
        </w:tc>
        <w:tc>
          <w:tcPr>
            <w:tcW w:w="507" w:type="dxa"/>
          </w:tcPr>
          <w:p>
            <w:pPr>
              <w:pStyle w:val="TableParagraph"/>
              <w:spacing w:line="148" w:lineRule="exact" w:before="17"/>
              <w:ind w:right="43"/>
              <w:rPr>
                <w:sz w:val="13"/>
              </w:rPr>
            </w:pPr>
            <w:r>
              <w:rPr>
                <w:color w:val="231F20"/>
                <w:spacing w:val="-5"/>
                <w:w w:val="95"/>
                <w:sz w:val="13"/>
              </w:rPr>
              <w:t>2.8</w:t>
            </w:r>
          </w:p>
        </w:tc>
      </w:tr>
      <w:tr>
        <w:trPr>
          <w:trHeight w:val="184" w:hRule="atLeast"/>
        </w:trPr>
        <w:tc>
          <w:tcPr>
            <w:tcW w:w="1377" w:type="dxa"/>
            <w:shd w:val="clear" w:color="auto" w:fill="D4E3F5"/>
          </w:tcPr>
          <w:p>
            <w:pPr>
              <w:pStyle w:val="TableParagraph"/>
              <w:spacing w:line="148" w:lineRule="exact" w:before="17"/>
              <w:ind w:left="79"/>
              <w:jc w:val="left"/>
              <w:rPr>
                <w:sz w:val="13"/>
              </w:rPr>
            </w:pPr>
            <w:r>
              <w:rPr>
                <w:color w:val="231F20"/>
                <w:spacing w:val="-4"/>
                <w:w w:val="85"/>
                <w:sz w:val="13"/>
              </w:rPr>
              <w:t>Spain</w:t>
            </w:r>
          </w:p>
        </w:tc>
        <w:tc>
          <w:tcPr>
            <w:tcW w:w="487" w:type="dxa"/>
            <w:shd w:val="clear" w:color="auto" w:fill="D4E3F5"/>
          </w:tcPr>
          <w:p>
            <w:pPr>
              <w:pStyle w:val="TableParagraph"/>
              <w:spacing w:line="148" w:lineRule="exact" w:before="17"/>
              <w:ind w:right="96"/>
              <w:jc w:val="right"/>
              <w:rPr>
                <w:sz w:val="13"/>
              </w:rPr>
            </w:pPr>
            <w:r>
              <w:rPr>
                <w:color w:val="231F20"/>
                <w:spacing w:val="-5"/>
                <w:w w:val="95"/>
                <w:sz w:val="13"/>
              </w:rPr>
              <w:t>3.9</w:t>
            </w:r>
          </w:p>
        </w:tc>
        <w:tc>
          <w:tcPr>
            <w:tcW w:w="531" w:type="dxa"/>
            <w:shd w:val="clear" w:color="auto" w:fill="D4E3F5"/>
          </w:tcPr>
          <w:p>
            <w:pPr>
              <w:pStyle w:val="TableParagraph"/>
              <w:spacing w:line="148" w:lineRule="exact" w:before="17"/>
              <w:ind w:left="15" w:right="27"/>
              <w:rPr>
                <w:sz w:val="13"/>
              </w:rPr>
            </w:pPr>
            <w:r>
              <w:rPr>
                <w:color w:val="231F20"/>
                <w:spacing w:val="-5"/>
                <w:w w:val="95"/>
                <w:sz w:val="13"/>
              </w:rPr>
              <w:t>3.6</w:t>
            </w:r>
          </w:p>
        </w:tc>
        <w:tc>
          <w:tcPr>
            <w:tcW w:w="549" w:type="dxa"/>
            <w:shd w:val="clear" w:color="auto" w:fill="D4E3F5"/>
          </w:tcPr>
          <w:p>
            <w:pPr>
              <w:pStyle w:val="TableParagraph"/>
              <w:spacing w:line="148" w:lineRule="exact" w:before="17"/>
              <w:ind w:left="17" w:right="16"/>
              <w:rPr>
                <w:sz w:val="13"/>
              </w:rPr>
            </w:pPr>
            <w:r>
              <w:rPr>
                <w:color w:val="231F20"/>
                <w:spacing w:val="-5"/>
                <w:w w:val="95"/>
                <w:sz w:val="13"/>
              </w:rPr>
              <w:t>3.8</w:t>
            </w:r>
          </w:p>
        </w:tc>
        <w:tc>
          <w:tcPr>
            <w:tcW w:w="615" w:type="dxa"/>
            <w:shd w:val="clear" w:color="auto" w:fill="D4E3F5"/>
          </w:tcPr>
          <w:p>
            <w:pPr>
              <w:pStyle w:val="TableParagraph"/>
              <w:spacing w:line="148" w:lineRule="exact" w:before="17"/>
              <w:ind w:left="13" w:right="8"/>
              <w:rPr>
                <w:sz w:val="13"/>
              </w:rPr>
            </w:pPr>
            <w:r>
              <w:rPr>
                <w:color w:val="231F20"/>
                <w:spacing w:val="-5"/>
                <w:w w:val="95"/>
                <w:sz w:val="13"/>
              </w:rPr>
              <w:t>3.7</w:t>
            </w:r>
          </w:p>
        </w:tc>
        <w:tc>
          <w:tcPr>
            <w:tcW w:w="706" w:type="dxa"/>
            <w:shd w:val="clear" w:color="auto" w:fill="D4E3F5"/>
          </w:tcPr>
          <w:p>
            <w:pPr>
              <w:pStyle w:val="TableParagraph"/>
              <w:spacing w:line="148" w:lineRule="exact" w:before="17"/>
              <w:ind w:left="18" w:right="24"/>
              <w:rPr>
                <w:sz w:val="13"/>
              </w:rPr>
            </w:pPr>
            <w:r>
              <w:rPr>
                <w:color w:val="231F20"/>
                <w:spacing w:val="-5"/>
                <w:w w:val="95"/>
                <w:sz w:val="13"/>
              </w:rPr>
              <w:t>3.9</w:t>
            </w:r>
          </w:p>
        </w:tc>
        <w:tc>
          <w:tcPr>
            <w:tcW w:w="368" w:type="dxa"/>
            <w:shd w:val="clear" w:color="auto" w:fill="D4E3F5"/>
          </w:tcPr>
          <w:p>
            <w:pPr>
              <w:pStyle w:val="TableParagraph"/>
              <w:spacing w:line="148" w:lineRule="exact" w:before="17"/>
              <w:ind w:left="20" w:right="28"/>
              <w:rPr>
                <w:sz w:val="13"/>
              </w:rPr>
            </w:pPr>
            <w:r>
              <w:rPr>
                <w:color w:val="231F20"/>
                <w:spacing w:val="-5"/>
                <w:w w:val="95"/>
                <w:sz w:val="13"/>
              </w:rPr>
              <w:t>4.2</w:t>
            </w:r>
          </w:p>
        </w:tc>
        <w:tc>
          <w:tcPr>
            <w:tcW w:w="536" w:type="dxa"/>
            <w:tcBorders>
              <w:right w:val="single" w:sz="24" w:space="0" w:color="FFFFFF"/>
            </w:tcBorders>
            <w:shd w:val="clear" w:color="auto" w:fill="D4E3F5"/>
          </w:tcPr>
          <w:p>
            <w:pPr>
              <w:pStyle w:val="TableParagraph"/>
              <w:spacing w:line="148" w:lineRule="exact" w:before="17"/>
              <w:ind w:left="3" w:right="27"/>
              <w:rPr>
                <w:sz w:val="13"/>
              </w:rPr>
            </w:pPr>
            <w:r>
              <w:rPr>
                <w:color w:val="231F20"/>
                <w:spacing w:val="-5"/>
                <w:w w:val="95"/>
                <w:sz w:val="13"/>
              </w:rPr>
              <w:t>4.1</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w w:val="75"/>
                <w:sz w:val="13"/>
              </w:rPr>
              <w:t>Papua</w:t>
            </w:r>
            <w:r>
              <w:rPr>
                <w:color w:val="231F20"/>
                <w:spacing w:val="4"/>
                <w:sz w:val="13"/>
              </w:rPr>
              <w:t> </w:t>
            </w:r>
            <w:r>
              <w:rPr>
                <w:color w:val="231F20"/>
                <w:w w:val="75"/>
                <w:sz w:val="13"/>
              </w:rPr>
              <w:t>New</w:t>
            </w:r>
            <w:r>
              <w:rPr>
                <w:color w:val="231F20"/>
                <w:spacing w:val="5"/>
                <w:sz w:val="13"/>
              </w:rPr>
              <w:t> </w:t>
            </w:r>
            <w:r>
              <w:rPr>
                <w:color w:val="231F20"/>
                <w:spacing w:val="-2"/>
                <w:w w:val="75"/>
                <w:sz w:val="13"/>
              </w:rPr>
              <w:t>Guinea</w:t>
            </w:r>
          </w:p>
        </w:tc>
        <w:tc>
          <w:tcPr>
            <w:tcW w:w="482" w:type="dxa"/>
            <w:shd w:val="clear" w:color="auto" w:fill="D4E3F5"/>
          </w:tcPr>
          <w:p>
            <w:pPr>
              <w:pStyle w:val="TableParagraph"/>
              <w:spacing w:line="148" w:lineRule="exact" w:before="17"/>
              <w:ind w:right="114"/>
              <w:jc w:val="right"/>
              <w:rPr>
                <w:sz w:val="13"/>
              </w:rPr>
            </w:pPr>
            <w:r>
              <w:rPr>
                <w:color w:val="231F20"/>
                <w:spacing w:val="-5"/>
                <w:w w:val="95"/>
                <w:sz w:val="13"/>
              </w:rPr>
              <w:t>2.7</w:t>
            </w:r>
          </w:p>
        </w:tc>
        <w:tc>
          <w:tcPr>
            <w:tcW w:w="532" w:type="dxa"/>
            <w:shd w:val="clear" w:color="auto" w:fill="D4E3F5"/>
          </w:tcPr>
          <w:p>
            <w:pPr>
              <w:pStyle w:val="TableParagraph"/>
              <w:spacing w:line="148" w:lineRule="exact" w:before="17"/>
              <w:ind w:left="19" w:right="55"/>
              <w:rPr>
                <w:sz w:val="13"/>
              </w:rPr>
            </w:pPr>
            <w:r>
              <w:rPr>
                <w:color w:val="231F20"/>
                <w:spacing w:val="-5"/>
                <w:w w:val="95"/>
                <w:sz w:val="13"/>
              </w:rPr>
              <w:t>2.4</w:t>
            </w:r>
          </w:p>
        </w:tc>
        <w:tc>
          <w:tcPr>
            <w:tcW w:w="550" w:type="dxa"/>
            <w:shd w:val="clear" w:color="auto" w:fill="D4E3F5"/>
          </w:tcPr>
          <w:p>
            <w:pPr>
              <w:pStyle w:val="TableParagraph"/>
              <w:spacing w:line="148" w:lineRule="exact" w:before="17"/>
              <w:ind w:left="19" w:right="45"/>
              <w:rPr>
                <w:sz w:val="13"/>
              </w:rPr>
            </w:pPr>
            <w:r>
              <w:rPr>
                <w:color w:val="231F20"/>
                <w:spacing w:val="-5"/>
                <w:w w:val="95"/>
                <w:sz w:val="13"/>
              </w:rPr>
              <w:t>2.4</w:t>
            </w:r>
          </w:p>
        </w:tc>
        <w:tc>
          <w:tcPr>
            <w:tcW w:w="616" w:type="dxa"/>
            <w:shd w:val="clear" w:color="auto" w:fill="D4E3F5"/>
          </w:tcPr>
          <w:p>
            <w:pPr>
              <w:pStyle w:val="TableParagraph"/>
              <w:spacing w:line="148" w:lineRule="exact" w:before="17"/>
              <w:ind w:left="20" w:right="37"/>
              <w:rPr>
                <w:sz w:val="13"/>
              </w:rPr>
            </w:pPr>
            <w:r>
              <w:rPr>
                <w:color w:val="231F20"/>
                <w:spacing w:val="-5"/>
                <w:w w:val="95"/>
                <w:sz w:val="13"/>
              </w:rPr>
              <w:t>2.6</w:t>
            </w:r>
          </w:p>
        </w:tc>
        <w:tc>
          <w:tcPr>
            <w:tcW w:w="707" w:type="dxa"/>
            <w:shd w:val="clear" w:color="auto" w:fill="D4E3F5"/>
          </w:tcPr>
          <w:p>
            <w:pPr>
              <w:pStyle w:val="TableParagraph"/>
              <w:spacing w:line="148" w:lineRule="exact" w:before="17"/>
              <w:ind w:left="12" w:right="55"/>
              <w:rPr>
                <w:sz w:val="13"/>
              </w:rPr>
            </w:pPr>
            <w:r>
              <w:rPr>
                <w:color w:val="231F20"/>
                <w:spacing w:val="-5"/>
                <w:w w:val="95"/>
                <w:sz w:val="13"/>
              </w:rPr>
              <w:t>2.7</w:t>
            </w:r>
          </w:p>
        </w:tc>
        <w:tc>
          <w:tcPr>
            <w:tcW w:w="369" w:type="dxa"/>
            <w:shd w:val="clear" w:color="auto" w:fill="D4E3F5"/>
          </w:tcPr>
          <w:p>
            <w:pPr>
              <w:pStyle w:val="TableParagraph"/>
              <w:spacing w:line="148" w:lineRule="exact" w:before="17"/>
              <w:ind w:left="20" w:right="61"/>
              <w:rPr>
                <w:sz w:val="13"/>
              </w:rPr>
            </w:pPr>
            <w:r>
              <w:rPr>
                <w:color w:val="231F20"/>
                <w:spacing w:val="-5"/>
                <w:w w:val="95"/>
                <w:sz w:val="13"/>
              </w:rPr>
              <w:t>3.3</w:t>
            </w:r>
          </w:p>
        </w:tc>
        <w:tc>
          <w:tcPr>
            <w:tcW w:w="507" w:type="dxa"/>
            <w:shd w:val="clear" w:color="auto" w:fill="D4E3F5"/>
          </w:tcPr>
          <w:p>
            <w:pPr>
              <w:pStyle w:val="TableParagraph"/>
              <w:spacing w:line="148" w:lineRule="exact" w:before="17"/>
              <w:ind w:right="44"/>
              <w:rPr>
                <w:sz w:val="13"/>
              </w:rPr>
            </w:pPr>
            <w:r>
              <w:rPr>
                <w:color w:val="231F20"/>
                <w:spacing w:val="-5"/>
                <w:w w:val="95"/>
                <w:sz w:val="13"/>
              </w:rPr>
              <w:t>3.0</w:t>
            </w:r>
          </w:p>
        </w:tc>
      </w:tr>
      <w:tr>
        <w:trPr>
          <w:trHeight w:val="184" w:hRule="atLeast"/>
        </w:trPr>
        <w:tc>
          <w:tcPr>
            <w:tcW w:w="1377" w:type="dxa"/>
          </w:tcPr>
          <w:p>
            <w:pPr>
              <w:pStyle w:val="TableParagraph"/>
              <w:spacing w:line="148" w:lineRule="exact" w:before="17"/>
              <w:ind w:left="79"/>
              <w:jc w:val="left"/>
              <w:rPr>
                <w:sz w:val="13"/>
              </w:rPr>
            </w:pPr>
            <w:r>
              <w:rPr>
                <w:color w:val="231F20"/>
                <w:w w:val="75"/>
                <w:sz w:val="13"/>
              </w:rPr>
              <w:t>Taiwan,</w:t>
            </w:r>
            <w:r>
              <w:rPr>
                <w:color w:val="231F20"/>
                <w:spacing w:val="10"/>
                <w:sz w:val="13"/>
              </w:rPr>
              <w:t> </w:t>
            </w:r>
            <w:r>
              <w:rPr>
                <w:color w:val="231F20"/>
                <w:spacing w:val="-2"/>
                <w:w w:val="85"/>
                <w:sz w:val="13"/>
              </w:rPr>
              <w:t>China</w:t>
            </w:r>
          </w:p>
        </w:tc>
        <w:tc>
          <w:tcPr>
            <w:tcW w:w="487" w:type="dxa"/>
          </w:tcPr>
          <w:p>
            <w:pPr>
              <w:pStyle w:val="TableParagraph"/>
              <w:spacing w:line="148" w:lineRule="exact" w:before="17"/>
              <w:ind w:right="96"/>
              <w:jc w:val="right"/>
              <w:rPr>
                <w:sz w:val="13"/>
              </w:rPr>
            </w:pPr>
            <w:r>
              <w:rPr>
                <w:color w:val="231F20"/>
                <w:spacing w:val="-5"/>
                <w:w w:val="95"/>
                <w:sz w:val="13"/>
              </w:rPr>
              <w:t>3.9</w:t>
            </w:r>
          </w:p>
        </w:tc>
        <w:tc>
          <w:tcPr>
            <w:tcW w:w="531" w:type="dxa"/>
          </w:tcPr>
          <w:p>
            <w:pPr>
              <w:pStyle w:val="TableParagraph"/>
              <w:spacing w:line="148" w:lineRule="exact" w:before="17"/>
              <w:ind w:left="16" w:right="27"/>
              <w:rPr>
                <w:sz w:val="13"/>
              </w:rPr>
            </w:pPr>
            <w:r>
              <w:rPr>
                <w:color w:val="231F20"/>
                <w:spacing w:val="-5"/>
                <w:w w:val="95"/>
                <w:sz w:val="13"/>
              </w:rPr>
              <w:t>3.5</w:t>
            </w:r>
          </w:p>
        </w:tc>
        <w:tc>
          <w:tcPr>
            <w:tcW w:w="549" w:type="dxa"/>
          </w:tcPr>
          <w:p>
            <w:pPr>
              <w:pStyle w:val="TableParagraph"/>
              <w:spacing w:line="148" w:lineRule="exact" w:before="17"/>
              <w:ind w:left="17" w:right="16"/>
              <w:rPr>
                <w:sz w:val="13"/>
              </w:rPr>
            </w:pPr>
            <w:r>
              <w:rPr>
                <w:color w:val="231F20"/>
                <w:spacing w:val="-5"/>
                <w:w w:val="95"/>
                <w:sz w:val="13"/>
              </w:rPr>
              <w:t>3.8</w:t>
            </w:r>
          </w:p>
        </w:tc>
        <w:tc>
          <w:tcPr>
            <w:tcW w:w="615" w:type="dxa"/>
          </w:tcPr>
          <w:p>
            <w:pPr>
              <w:pStyle w:val="TableParagraph"/>
              <w:spacing w:line="148" w:lineRule="exact" w:before="17"/>
              <w:ind w:left="13" w:right="8"/>
              <w:rPr>
                <w:sz w:val="13"/>
              </w:rPr>
            </w:pPr>
            <w:r>
              <w:rPr>
                <w:color w:val="231F20"/>
                <w:spacing w:val="-5"/>
                <w:w w:val="95"/>
                <w:sz w:val="13"/>
              </w:rPr>
              <w:t>3.7</w:t>
            </w:r>
          </w:p>
        </w:tc>
        <w:tc>
          <w:tcPr>
            <w:tcW w:w="706" w:type="dxa"/>
          </w:tcPr>
          <w:p>
            <w:pPr>
              <w:pStyle w:val="TableParagraph"/>
              <w:spacing w:line="148" w:lineRule="exact" w:before="17"/>
              <w:ind w:left="18" w:right="24"/>
              <w:rPr>
                <w:sz w:val="13"/>
              </w:rPr>
            </w:pPr>
            <w:r>
              <w:rPr>
                <w:color w:val="231F20"/>
                <w:spacing w:val="-5"/>
                <w:w w:val="95"/>
                <w:sz w:val="13"/>
              </w:rPr>
              <w:t>3.9</w:t>
            </w:r>
          </w:p>
        </w:tc>
        <w:tc>
          <w:tcPr>
            <w:tcW w:w="368" w:type="dxa"/>
          </w:tcPr>
          <w:p>
            <w:pPr>
              <w:pStyle w:val="TableParagraph"/>
              <w:spacing w:line="148" w:lineRule="exact" w:before="17"/>
              <w:ind w:left="20" w:right="28"/>
              <w:rPr>
                <w:sz w:val="13"/>
              </w:rPr>
            </w:pPr>
            <w:r>
              <w:rPr>
                <w:color w:val="231F20"/>
                <w:spacing w:val="-5"/>
                <w:w w:val="95"/>
                <w:sz w:val="13"/>
              </w:rPr>
              <w:t>4.2</w:t>
            </w:r>
          </w:p>
        </w:tc>
        <w:tc>
          <w:tcPr>
            <w:tcW w:w="536" w:type="dxa"/>
            <w:tcBorders>
              <w:right w:val="single" w:sz="24" w:space="0" w:color="FFFFFF"/>
            </w:tcBorders>
          </w:tcPr>
          <w:p>
            <w:pPr>
              <w:pStyle w:val="TableParagraph"/>
              <w:spacing w:line="148" w:lineRule="exact" w:before="17"/>
              <w:ind w:left="21" w:right="27"/>
              <w:rPr>
                <w:sz w:val="13"/>
              </w:rPr>
            </w:pPr>
            <w:r>
              <w:rPr>
                <w:color w:val="231F20"/>
                <w:spacing w:val="-5"/>
                <w:w w:val="95"/>
                <w:sz w:val="13"/>
              </w:rPr>
              <w:t>4.2</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85"/>
                <w:sz w:val="13"/>
              </w:rPr>
              <w:t>Paraguay</w:t>
            </w:r>
          </w:p>
        </w:tc>
        <w:tc>
          <w:tcPr>
            <w:tcW w:w="482" w:type="dxa"/>
          </w:tcPr>
          <w:p>
            <w:pPr>
              <w:pStyle w:val="TableParagraph"/>
              <w:spacing w:line="148" w:lineRule="exact" w:before="17"/>
              <w:ind w:right="114"/>
              <w:jc w:val="right"/>
              <w:rPr>
                <w:sz w:val="13"/>
              </w:rPr>
            </w:pPr>
            <w:r>
              <w:rPr>
                <w:color w:val="231F20"/>
                <w:spacing w:val="-5"/>
                <w:w w:val="95"/>
                <w:sz w:val="13"/>
              </w:rPr>
              <w:t>2.7</w:t>
            </w:r>
          </w:p>
        </w:tc>
        <w:tc>
          <w:tcPr>
            <w:tcW w:w="532" w:type="dxa"/>
          </w:tcPr>
          <w:p>
            <w:pPr>
              <w:pStyle w:val="TableParagraph"/>
              <w:spacing w:line="148" w:lineRule="exact" w:before="17"/>
              <w:ind w:left="19" w:right="55"/>
              <w:rPr>
                <w:sz w:val="13"/>
              </w:rPr>
            </w:pPr>
            <w:r>
              <w:rPr>
                <w:color w:val="231F20"/>
                <w:spacing w:val="-5"/>
                <w:w w:val="95"/>
                <w:sz w:val="13"/>
              </w:rPr>
              <w:t>2.4</w:t>
            </w:r>
          </w:p>
        </w:tc>
        <w:tc>
          <w:tcPr>
            <w:tcW w:w="550" w:type="dxa"/>
          </w:tcPr>
          <w:p>
            <w:pPr>
              <w:pStyle w:val="TableParagraph"/>
              <w:spacing w:line="148" w:lineRule="exact" w:before="17"/>
              <w:ind w:left="21" w:right="45"/>
              <w:rPr>
                <w:sz w:val="13"/>
              </w:rPr>
            </w:pPr>
            <w:r>
              <w:rPr>
                <w:color w:val="231F20"/>
                <w:spacing w:val="-5"/>
                <w:w w:val="95"/>
                <w:sz w:val="13"/>
              </w:rPr>
              <w:t>2.5</w:t>
            </w:r>
          </w:p>
        </w:tc>
        <w:tc>
          <w:tcPr>
            <w:tcW w:w="616" w:type="dxa"/>
          </w:tcPr>
          <w:p>
            <w:pPr>
              <w:pStyle w:val="TableParagraph"/>
              <w:spacing w:line="148" w:lineRule="exact" w:before="17"/>
              <w:ind w:left="17" w:right="37"/>
              <w:rPr>
                <w:sz w:val="13"/>
              </w:rPr>
            </w:pPr>
            <w:r>
              <w:rPr>
                <w:color w:val="231F20"/>
                <w:spacing w:val="-5"/>
                <w:w w:val="95"/>
                <w:sz w:val="13"/>
              </w:rPr>
              <w:t>2.7</w:t>
            </w:r>
          </w:p>
        </w:tc>
        <w:tc>
          <w:tcPr>
            <w:tcW w:w="707" w:type="dxa"/>
          </w:tcPr>
          <w:p>
            <w:pPr>
              <w:pStyle w:val="TableParagraph"/>
              <w:spacing w:line="148" w:lineRule="exact" w:before="17"/>
              <w:ind w:left="16" w:right="55"/>
              <w:rPr>
                <w:sz w:val="13"/>
              </w:rPr>
            </w:pPr>
            <w:r>
              <w:rPr>
                <w:color w:val="231F20"/>
                <w:spacing w:val="-5"/>
                <w:w w:val="95"/>
                <w:sz w:val="13"/>
              </w:rPr>
              <w:t>2.6</w:t>
            </w:r>
          </w:p>
        </w:tc>
        <w:tc>
          <w:tcPr>
            <w:tcW w:w="369" w:type="dxa"/>
          </w:tcPr>
          <w:p>
            <w:pPr>
              <w:pStyle w:val="TableParagraph"/>
              <w:spacing w:line="148" w:lineRule="exact" w:before="17"/>
              <w:ind w:left="18" w:right="61"/>
              <w:rPr>
                <w:sz w:val="13"/>
              </w:rPr>
            </w:pPr>
            <w:r>
              <w:rPr>
                <w:color w:val="231F20"/>
                <w:spacing w:val="-5"/>
                <w:w w:val="95"/>
                <w:sz w:val="13"/>
              </w:rPr>
              <w:t>3.0</w:t>
            </w:r>
          </w:p>
        </w:tc>
        <w:tc>
          <w:tcPr>
            <w:tcW w:w="507" w:type="dxa"/>
          </w:tcPr>
          <w:p>
            <w:pPr>
              <w:pStyle w:val="TableParagraph"/>
              <w:spacing w:line="148" w:lineRule="exact" w:before="17"/>
              <w:ind w:right="43"/>
              <w:rPr>
                <w:sz w:val="13"/>
              </w:rPr>
            </w:pPr>
            <w:r>
              <w:rPr>
                <w:color w:val="231F20"/>
                <w:spacing w:val="-5"/>
                <w:w w:val="95"/>
                <w:sz w:val="13"/>
              </w:rPr>
              <w:t>2.8</w:t>
            </w:r>
          </w:p>
        </w:tc>
      </w:tr>
      <w:tr>
        <w:trPr>
          <w:trHeight w:val="184" w:hRule="atLeast"/>
        </w:trPr>
        <w:tc>
          <w:tcPr>
            <w:tcW w:w="1377" w:type="dxa"/>
            <w:shd w:val="clear" w:color="auto" w:fill="D4E3F5"/>
          </w:tcPr>
          <w:p>
            <w:pPr>
              <w:pStyle w:val="TableParagraph"/>
              <w:spacing w:line="148" w:lineRule="exact" w:before="17"/>
              <w:ind w:left="79"/>
              <w:jc w:val="left"/>
              <w:rPr>
                <w:sz w:val="13"/>
              </w:rPr>
            </w:pPr>
            <w:r>
              <w:rPr>
                <w:color w:val="231F20"/>
                <w:w w:val="75"/>
                <w:sz w:val="13"/>
              </w:rPr>
              <w:t>Korea,</w:t>
            </w:r>
            <w:r>
              <w:rPr>
                <w:color w:val="231F20"/>
                <w:spacing w:val="10"/>
                <w:sz w:val="13"/>
              </w:rPr>
              <w:t> </w:t>
            </w:r>
            <w:r>
              <w:rPr>
                <w:color w:val="231F20"/>
                <w:spacing w:val="-4"/>
                <w:w w:val="90"/>
                <w:sz w:val="13"/>
              </w:rPr>
              <w:t>Rep.</w:t>
            </w:r>
          </w:p>
        </w:tc>
        <w:tc>
          <w:tcPr>
            <w:tcW w:w="487" w:type="dxa"/>
            <w:shd w:val="clear" w:color="auto" w:fill="D4E3F5"/>
          </w:tcPr>
          <w:p>
            <w:pPr>
              <w:pStyle w:val="TableParagraph"/>
              <w:spacing w:line="148" w:lineRule="exact" w:before="17"/>
              <w:ind w:right="95"/>
              <w:jc w:val="right"/>
              <w:rPr>
                <w:sz w:val="13"/>
              </w:rPr>
            </w:pPr>
            <w:r>
              <w:rPr>
                <w:color w:val="231F20"/>
                <w:spacing w:val="-5"/>
                <w:w w:val="95"/>
                <w:sz w:val="13"/>
              </w:rPr>
              <w:t>3.8</w:t>
            </w:r>
          </w:p>
        </w:tc>
        <w:tc>
          <w:tcPr>
            <w:tcW w:w="531" w:type="dxa"/>
            <w:shd w:val="clear" w:color="auto" w:fill="D4E3F5"/>
          </w:tcPr>
          <w:p>
            <w:pPr>
              <w:pStyle w:val="TableParagraph"/>
              <w:spacing w:line="148" w:lineRule="exact" w:before="17"/>
              <w:ind w:left="18" w:right="27"/>
              <w:rPr>
                <w:sz w:val="13"/>
              </w:rPr>
            </w:pPr>
            <w:r>
              <w:rPr>
                <w:color w:val="231F20"/>
                <w:spacing w:val="-5"/>
                <w:w w:val="95"/>
                <w:sz w:val="13"/>
              </w:rPr>
              <w:t>3.9</w:t>
            </w:r>
          </w:p>
        </w:tc>
        <w:tc>
          <w:tcPr>
            <w:tcW w:w="549" w:type="dxa"/>
            <w:shd w:val="clear" w:color="auto" w:fill="D4E3F5"/>
          </w:tcPr>
          <w:p>
            <w:pPr>
              <w:pStyle w:val="TableParagraph"/>
              <w:spacing w:line="148" w:lineRule="exact" w:before="17"/>
              <w:ind w:left="3" w:right="16"/>
              <w:rPr>
                <w:sz w:val="13"/>
              </w:rPr>
            </w:pPr>
            <w:r>
              <w:rPr>
                <w:color w:val="231F20"/>
                <w:spacing w:val="-5"/>
                <w:w w:val="95"/>
                <w:sz w:val="13"/>
              </w:rPr>
              <w:t>4.1</w:t>
            </w:r>
          </w:p>
        </w:tc>
        <w:tc>
          <w:tcPr>
            <w:tcW w:w="615" w:type="dxa"/>
            <w:shd w:val="clear" w:color="auto" w:fill="D4E3F5"/>
          </w:tcPr>
          <w:p>
            <w:pPr>
              <w:pStyle w:val="TableParagraph"/>
              <w:spacing w:line="148" w:lineRule="exact" w:before="17"/>
              <w:ind w:left="16" w:right="8"/>
              <w:rPr>
                <w:sz w:val="13"/>
              </w:rPr>
            </w:pPr>
            <w:r>
              <w:rPr>
                <w:color w:val="231F20"/>
                <w:spacing w:val="-5"/>
                <w:w w:val="95"/>
                <w:sz w:val="13"/>
              </w:rPr>
              <w:t>3.4</w:t>
            </w:r>
          </w:p>
        </w:tc>
        <w:tc>
          <w:tcPr>
            <w:tcW w:w="706" w:type="dxa"/>
            <w:shd w:val="clear" w:color="auto" w:fill="D4E3F5"/>
          </w:tcPr>
          <w:p>
            <w:pPr>
              <w:pStyle w:val="TableParagraph"/>
              <w:spacing w:line="148" w:lineRule="exact" w:before="17"/>
              <w:ind w:left="18" w:right="24"/>
              <w:rPr>
                <w:sz w:val="13"/>
              </w:rPr>
            </w:pPr>
            <w:r>
              <w:rPr>
                <w:color w:val="231F20"/>
                <w:spacing w:val="-5"/>
                <w:w w:val="95"/>
                <w:sz w:val="13"/>
              </w:rPr>
              <w:t>3.8</w:t>
            </w:r>
          </w:p>
        </w:tc>
        <w:tc>
          <w:tcPr>
            <w:tcW w:w="368" w:type="dxa"/>
            <w:shd w:val="clear" w:color="auto" w:fill="D4E3F5"/>
          </w:tcPr>
          <w:p>
            <w:pPr>
              <w:pStyle w:val="TableParagraph"/>
              <w:spacing w:line="148" w:lineRule="exact" w:before="17"/>
              <w:ind w:left="19" w:right="28"/>
              <w:rPr>
                <w:sz w:val="13"/>
              </w:rPr>
            </w:pPr>
            <w:r>
              <w:rPr>
                <w:color w:val="231F20"/>
                <w:spacing w:val="-5"/>
                <w:w w:val="95"/>
                <w:sz w:val="13"/>
              </w:rPr>
              <w:t>3.8</w:t>
            </w:r>
          </w:p>
        </w:tc>
        <w:tc>
          <w:tcPr>
            <w:tcW w:w="536" w:type="dxa"/>
            <w:tcBorders>
              <w:right w:val="single" w:sz="24" w:space="0" w:color="FFFFFF"/>
            </w:tcBorders>
            <w:shd w:val="clear" w:color="auto" w:fill="D4E3F5"/>
          </w:tcPr>
          <w:p>
            <w:pPr>
              <w:pStyle w:val="TableParagraph"/>
              <w:spacing w:line="148" w:lineRule="exact" w:before="17"/>
              <w:ind w:left="20" w:right="27"/>
              <w:rPr>
                <w:sz w:val="13"/>
              </w:rPr>
            </w:pPr>
            <w:r>
              <w:rPr>
                <w:color w:val="231F20"/>
                <w:spacing w:val="-5"/>
                <w:w w:val="95"/>
                <w:sz w:val="13"/>
              </w:rPr>
              <w:t>3.8</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2"/>
                <w:w w:val="90"/>
                <w:sz w:val="13"/>
              </w:rPr>
              <w:t>Ukraine</w:t>
            </w:r>
          </w:p>
        </w:tc>
        <w:tc>
          <w:tcPr>
            <w:tcW w:w="482" w:type="dxa"/>
            <w:shd w:val="clear" w:color="auto" w:fill="D4E3F5"/>
          </w:tcPr>
          <w:p>
            <w:pPr>
              <w:pStyle w:val="TableParagraph"/>
              <w:spacing w:line="148" w:lineRule="exact" w:before="17"/>
              <w:ind w:right="114"/>
              <w:jc w:val="right"/>
              <w:rPr>
                <w:sz w:val="13"/>
              </w:rPr>
            </w:pPr>
            <w:r>
              <w:rPr>
                <w:color w:val="231F20"/>
                <w:spacing w:val="-5"/>
                <w:w w:val="95"/>
                <w:sz w:val="13"/>
              </w:rPr>
              <w:t>2.7</w:t>
            </w:r>
          </w:p>
        </w:tc>
        <w:tc>
          <w:tcPr>
            <w:tcW w:w="532" w:type="dxa"/>
            <w:shd w:val="clear" w:color="auto" w:fill="D4E3F5"/>
          </w:tcPr>
          <w:p>
            <w:pPr>
              <w:pStyle w:val="TableParagraph"/>
              <w:spacing w:line="148" w:lineRule="exact" w:before="17"/>
              <w:ind w:left="19" w:right="55"/>
              <w:rPr>
                <w:sz w:val="13"/>
              </w:rPr>
            </w:pPr>
            <w:r>
              <w:rPr>
                <w:color w:val="231F20"/>
                <w:spacing w:val="-5"/>
                <w:w w:val="95"/>
                <w:sz w:val="13"/>
              </w:rPr>
              <w:t>2.4</w:t>
            </w:r>
          </w:p>
        </w:tc>
        <w:tc>
          <w:tcPr>
            <w:tcW w:w="550" w:type="dxa"/>
            <w:shd w:val="clear" w:color="auto" w:fill="D4E3F5"/>
          </w:tcPr>
          <w:p>
            <w:pPr>
              <w:pStyle w:val="TableParagraph"/>
              <w:spacing w:line="148" w:lineRule="exact" w:before="17"/>
              <w:ind w:left="19" w:right="45"/>
              <w:rPr>
                <w:sz w:val="13"/>
              </w:rPr>
            </w:pPr>
            <w:r>
              <w:rPr>
                <w:color w:val="231F20"/>
                <w:spacing w:val="-5"/>
                <w:w w:val="95"/>
                <w:sz w:val="13"/>
              </w:rPr>
              <w:t>2.4</w:t>
            </w:r>
          </w:p>
        </w:tc>
        <w:tc>
          <w:tcPr>
            <w:tcW w:w="616" w:type="dxa"/>
            <w:shd w:val="clear" w:color="auto" w:fill="D4E3F5"/>
          </w:tcPr>
          <w:p>
            <w:pPr>
              <w:pStyle w:val="TableParagraph"/>
              <w:spacing w:line="148" w:lineRule="exact" w:before="17"/>
              <w:ind w:right="16"/>
              <w:rPr>
                <w:sz w:val="13"/>
              </w:rPr>
            </w:pPr>
            <w:r>
              <w:rPr>
                <w:color w:val="231F20"/>
                <w:spacing w:val="-5"/>
                <w:w w:val="95"/>
                <w:sz w:val="13"/>
              </w:rPr>
              <w:t>2.8</w:t>
            </w:r>
          </w:p>
        </w:tc>
        <w:tc>
          <w:tcPr>
            <w:tcW w:w="707" w:type="dxa"/>
            <w:shd w:val="clear" w:color="auto" w:fill="D4E3F5"/>
          </w:tcPr>
          <w:p>
            <w:pPr>
              <w:pStyle w:val="TableParagraph"/>
              <w:spacing w:line="148" w:lineRule="exact" w:before="17"/>
              <w:ind w:left="16" w:right="55"/>
              <w:rPr>
                <w:sz w:val="13"/>
              </w:rPr>
            </w:pPr>
            <w:r>
              <w:rPr>
                <w:color w:val="231F20"/>
                <w:spacing w:val="-5"/>
                <w:w w:val="95"/>
                <w:sz w:val="13"/>
              </w:rPr>
              <w:t>2.6</w:t>
            </w:r>
          </w:p>
        </w:tc>
        <w:tc>
          <w:tcPr>
            <w:tcW w:w="369" w:type="dxa"/>
            <w:shd w:val="clear" w:color="auto" w:fill="D4E3F5"/>
          </w:tcPr>
          <w:p>
            <w:pPr>
              <w:pStyle w:val="TableParagraph"/>
              <w:spacing w:line="148" w:lineRule="exact" w:before="17"/>
              <w:ind w:left="1" w:right="61"/>
              <w:rPr>
                <w:sz w:val="13"/>
              </w:rPr>
            </w:pPr>
            <w:r>
              <w:rPr>
                <w:color w:val="231F20"/>
                <w:spacing w:val="-5"/>
                <w:w w:val="95"/>
                <w:sz w:val="13"/>
              </w:rPr>
              <w:t>3.1</w:t>
            </w:r>
          </w:p>
        </w:tc>
        <w:tc>
          <w:tcPr>
            <w:tcW w:w="507" w:type="dxa"/>
            <w:shd w:val="clear" w:color="auto" w:fill="D4E3F5"/>
          </w:tcPr>
          <w:p>
            <w:pPr>
              <w:pStyle w:val="TableParagraph"/>
              <w:spacing w:line="148" w:lineRule="exact" w:before="17"/>
              <w:ind w:right="44"/>
              <w:rPr>
                <w:sz w:val="13"/>
              </w:rPr>
            </w:pPr>
            <w:r>
              <w:rPr>
                <w:color w:val="231F20"/>
                <w:spacing w:val="-5"/>
                <w:w w:val="95"/>
                <w:sz w:val="13"/>
              </w:rPr>
              <w:t>2.6</w:t>
            </w:r>
          </w:p>
        </w:tc>
      </w:tr>
      <w:tr>
        <w:trPr>
          <w:trHeight w:val="184" w:hRule="atLeast"/>
        </w:trPr>
        <w:tc>
          <w:tcPr>
            <w:tcW w:w="1377" w:type="dxa"/>
          </w:tcPr>
          <w:p>
            <w:pPr>
              <w:pStyle w:val="TableParagraph"/>
              <w:spacing w:line="148" w:lineRule="exact" w:before="17"/>
              <w:ind w:left="79"/>
              <w:jc w:val="left"/>
              <w:rPr>
                <w:sz w:val="13"/>
              </w:rPr>
            </w:pPr>
            <w:r>
              <w:rPr>
                <w:color w:val="231F20"/>
                <w:w w:val="75"/>
                <w:sz w:val="13"/>
              </w:rPr>
              <w:t>United</w:t>
            </w:r>
            <w:r>
              <w:rPr>
                <w:color w:val="231F20"/>
                <w:spacing w:val="12"/>
                <w:sz w:val="13"/>
              </w:rPr>
              <w:t> </w:t>
            </w:r>
            <w:r>
              <w:rPr>
                <w:color w:val="231F20"/>
                <w:spacing w:val="-2"/>
                <w:w w:val="90"/>
                <w:sz w:val="13"/>
              </w:rPr>
              <w:t>States</w:t>
            </w:r>
          </w:p>
        </w:tc>
        <w:tc>
          <w:tcPr>
            <w:tcW w:w="487" w:type="dxa"/>
          </w:tcPr>
          <w:p>
            <w:pPr>
              <w:pStyle w:val="TableParagraph"/>
              <w:spacing w:line="148" w:lineRule="exact" w:before="17"/>
              <w:ind w:right="95"/>
              <w:jc w:val="right"/>
              <w:rPr>
                <w:sz w:val="13"/>
              </w:rPr>
            </w:pPr>
            <w:r>
              <w:rPr>
                <w:color w:val="231F20"/>
                <w:spacing w:val="-5"/>
                <w:w w:val="95"/>
                <w:sz w:val="13"/>
              </w:rPr>
              <w:t>3.8</w:t>
            </w:r>
          </w:p>
        </w:tc>
        <w:tc>
          <w:tcPr>
            <w:tcW w:w="531" w:type="dxa"/>
          </w:tcPr>
          <w:p>
            <w:pPr>
              <w:pStyle w:val="TableParagraph"/>
              <w:spacing w:line="148" w:lineRule="exact" w:before="17"/>
              <w:ind w:left="12" w:right="27"/>
              <w:rPr>
                <w:sz w:val="13"/>
              </w:rPr>
            </w:pPr>
            <w:r>
              <w:rPr>
                <w:color w:val="231F20"/>
                <w:spacing w:val="-5"/>
                <w:w w:val="95"/>
                <w:sz w:val="13"/>
              </w:rPr>
              <w:t>3.7</w:t>
            </w:r>
          </w:p>
        </w:tc>
        <w:tc>
          <w:tcPr>
            <w:tcW w:w="549" w:type="dxa"/>
          </w:tcPr>
          <w:p>
            <w:pPr>
              <w:pStyle w:val="TableParagraph"/>
              <w:spacing w:line="148" w:lineRule="exact" w:before="17"/>
              <w:ind w:left="16" w:right="16"/>
              <w:rPr>
                <w:sz w:val="13"/>
              </w:rPr>
            </w:pPr>
            <w:r>
              <w:rPr>
                <w:color w:val="231F20"/>
                <w:spacing w:val="-5"/>
                <w:w w:val="95"/>
                <w:sz w:val="13"/>
              </w:rPr>
              <w:t>3.9</w:t>
            </w:r>
          </w:p>
        </w:tc>
        <w:tc>
          <w:tcPr>
            <w:tcW w:w="615" w:type="dxa"/>
          </w:tcPr>
          <w:p>
            <w:pPr>
              <w:pStyle w:val="TableParagraph"/>
              <w:spacing w:line="148" w:lineRule="exact" w:before="17"/>
              <w:ind w:left="16" w:right="8"/>
              <w:rPr>
                <w:sz w:val="13"/>
              </w:rPr>
            </w:pPr>
            <w:r>
              <w:rPr>
                <w:color w:val="231F20"/>
                <w:spacing w:val="-5"/>
                <w:w w:val="95"/>
                <w:sz w:val="13"/>
              </w:rPr>
              <w:t>3.4</w:t>
            </w:r>
          </w:p>
        </w:tc>
        <w:tc>
          <w:tcPr>
            <w:tcW w:w="706" w:type="dxa"/>
          </w:tcPr>
          <w:p>
            <w:pPr>
              <w:pStyle w:val="TableParagraph"/>
              <w:spacing w:line="148" w:lineRule="exact" w:before="17"/>
              <w:ind w:left="18" w:right="24"/>
              <w:rPr>
                <w:sz w:val="13"/>
              </w:rPr>
            </w:pPr>
            <w:r>
              <w:rPr>
                <w:color w:val="231F20"/>
                <w:spacing w:val="-5"/>
                <w:w w:val="95"/>
                <w:sz w:val="13"/>
              </w:rPr>
              <w:t>3.9</w:t>
            </w:r>
          </w:p>
        </w:tc>
        <w:tc>
          <w:tcPr>
            <w:tcW w:w="368" w:type="dxa"/>
          </w:tcPr>
          <w:p>
            <w:pPr>
              <w:pStyle w:val="TableParagraph"/>
              <w:spacing w:line="148" w:lineRule="exact" w:before="17"/>
              <w:ind w:left="19" w:right="28"/>
              <w:rPr>
                <w:sz w:val="13"/>
              </w:rPr>
            </w:pPr>
            <w:r>
              <w:rPr>
                <w:color w:val="231F20"/>
                <w:spacing w:val="-5"/>
                <w:w w:val="95"/>
                <w:sz w:val="13"/>
              </w:rPr>
              <w:t>3.8</w:t>
            </w:r>
          </w:p>
        </w:tc>
        <w:tc>
          <w:tcPr>
            <w:tcW w:w="536" w:type="dxa"/>
            <w:tcBorders>
              <w:right w:val="single" w:sz="24" w:space="0" w:color="FFFFFF"/>
            </w:tcBorders>
          </w:tcPr>
          <w:p>
            <w:pPr>
              <w:pStyle w:val="TableParagraph"/>
              <w:spacing w:line="148" w:lineRule="exact" w:before="17"/>
              <w:ind w:left="21" w:right="27"/>
              <w:rPr>
                <w:sz w:val="13"/>
              </w:rPr>
            </w:pPr>
            <w:r>
              <w:rPr>
                <w:color w:val="231F20"/>
                <w:spacing w:val="-5"/>
                <w:w w:val="95"/>
                <w:sz w:val="13"/>
              </w:rPr>
              <w:t>4.2</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90"/>
                <w:sz w:val="13"/>
              </w:rPr>
              <w:t>Bangladesh</w:t>
            </w:r>
          </w:p>
        </w:tc>
        <w:tc>
          <w:tcPr>
            <w:tcW w:w="482" w:type="dxa"/>
          </w:tcPr>
          <w:p>
            <w:pPr>
              <w:pStyle w:val="TableParagraph"/>
              <w:spacing w:line="148" w:lineRule="exact" w:before="17"/>
              <w:ind w:right="110"/>
              <w:jc w:val="right"/>
              <w:rPr>
                <w:sz w:val="13"/>
              </w:rPr>
            </w:pPr>
            <w:r>
              <w:rPr>
                <w:color w:val="231F20"/>
                <w:spacing w:val="-5"/>
                <w:w w:val="95"/>
                <w:sz w:val="13"/>
              </w:rPr>
              <w:t>2.6</w:t>
            </w:r>
          </w:p>
        </w:tc>
        <w:tc>
          <w:tcPr>
            <w:tcW w:w="532" w:type="dxa"/>
          </w:tcPr>
          <w:p>
            <w:pPr>
              <w:pStyle w:val="TableParagraph"/>
              <w:spacing w:line="148" w:lineRule="exact" w:before="17"/>
              <w:ind w:left="20" w:right="55"/>
              <w:rPr>
                <w:sz w:val="13"/>
              </w:rPr>
            </w:pPr>
            <w:r>
              <w:rPr>
                <w:color w:val="231F20"/>
                <w:spacing w:val="-5"/>
                <w:w w:val="95"/>
                <w:sz w:val="13"/>
              </w:rPr>
              <w:t>2.3</w:t>
            </w:r>
          </w:p>
        </w:tc>
        <w:tc>
          <w:tcPr>
            <w:tcW w:w="550" w:type="dxa"/>
          </w:tcPr>
          <w:p>
            <w:pPr>
              <w:pStyle w:val="TableParagraph"/>
              <w:spacing w:line="148" w:lineRule="exact" w:before="17"/>
              <w:ind w:left="21" w:right="45"/>
              <w:rPr>
                <w:sz w:val="13"/>
              </w:rPr>
            </w:pPr>
            <w:r>
              <w:rPr>
                <w:color w:val="231F20"/>
                <w:spacing w:val="-5"/>
                <w:w w:val="95"/>
                <w:sz w:val="13"/>
              </w:rPr>
              <w:t>2.3</w:t>
            </w:r>
          </w:p>
        </w:tc>
        <w:tc>
          <w:tcPr>
            <w:tcW w:w="616" w:type="dxa"/>
          </w:tcPr>
          <w:p>
            <w:pPr>
              <w:pStyle w:val="TableParagraph"/>
              <w:spacing w:line="148" w:lineRule="exact" w:before="17"/>
              <w:ind w:left="20" w:right="37"/>
              <w:rPr>
                <w:sz w:val="13"/>
              </w:rPr>
            </w:pPr>
            <w:r>
              <w:rPr>
                <w:color w:val="231F20"/>
                <w:spacing w:val="-5"/>
                <w:w w:val="95"/>
                <w:sz w:val="13"/>
              </w:rPr>
              <w:t>2.6</w:t>
            </w:r>
          </w:p>
        </w:tc>
        <w:tc>
          <w:tcPr>
            <w:tcW w:w="707" w:type="dxa"/>
          </w:tcPr>
          <w:p>
            <w:pPr>
              <w:pStyle w:val="TableParagraph"/>
              <w:spacing w:line="148" w:lineRule="exact" w:before="17"/>
              <w:ind w:left="12" w:right="55"/>
              <w:rPr>
                <w:sz w:val="13"/>
              </w:rPr>
            </w:pPr>
            <w:r>
              <w:rPr>
                <w:color w:val="231F20"/>
                <w:spacing w:val="-5"/>
                <w:w w:val="95"/>
                <w:sz w:val="13"/>
              </w:rPr>
              <w:t>2.7</w:t>
            </w:r>
          </w:p>
        </w:tc>
        <w:tc>
          <w:tcPr>
            <w:tcW w:w="369" w:type="dxa"/>
          </w:tcPr>
          <w:p>
            <w:pPr>
              <w:pStyle w:val="TableParagraph"/>
              <w:spacing w:line="148" w:lineRule="exact" w:before="17"/>
              <w:ind w:left="18" w:right="61"/>
              <w:rPr>
                <w:sz w:val="13"/>
              </w:rPr>
            </w:pPr>
            <w:r>
              <w:rPr>
                <w:color w:val="231F20"/>
                <w:spacing w:val="-5"/>
                <w:w w:val="95"/>
                <w:sz w:val="13"/>
              </w:rPr>
              <w:t>3.0</w:t>
            </w:r>
          </w:p>
        </w:tc>
        <w:tc>
          <w:tcPr>
            <w:tcW w:w="507" w:type="dxa"/>
          </w:tcPr>
          <w:p>
            <w:pPr>
              <w:pStyle w:val="TableParagraph"/>
              <w:spacing w:line="148" w:lineRule="exact" w:before="17"/>
              <w:ind w:right="45"/>
              <w:rPr>
                <w:sz w:val="13"/>
              </w:rPr>
            </w:pPr>
            <w:r>
              <w:rPr>
                <w:color w:val="231F20"/>
                <w:spacing w:val="-5"/>
                <w:w w:val="95"/>
                <w:sz w:val="13"/>
              </w:rPr>
              <w:t>2.4</w:t>
            </w:r>
          </w:p>
        </w:tc>
      </w:tr>
      <w:tr>
        <w:trPr>
          <w:trHeight w:val="184" w:hRule="atLeast"/>
        </w:trPr>
        <w:tc>
          <w:tcPr>
            <w:tcW w:w="1377" w:type="dxa"/>
            <w:shd w:val="clear" w:color="auto" w:fill="D4E3F5"/>
          </w:tcPr>
          <w:p>
            <w:pPr>
              <w:pStyle w:val="TableParagraph"/>
              <w:spacing w:line="148" w:lineRule="exact" w:before="17"/>
              <w:ind w:left="79"/>
              <w:jc w:val="left"/>
              <w:rPr>
                <w:sz w:val="13"/>
              </w:rPr>
            </w:pPr>
            <w:r>
              <w:rPr>
                <w:color w:val="231F20"/>
                <w:spacing w:val="-2"/>
                <w:w w:val="90"/>
                <w:sz w:val="13"/>
              </w:rPr>
              <w:t>Australia</w:t>
            </w:r>
          </w:p>
        </w:tc>
        <w:tc>
          <w:tcPr>
            <w:tcW w:w="487" w:type="dxa"/>
            <w:shd w:val="clear" w:color="auto" w:fill="D4E3F5"/>
          </w:tcPr>
          <w:p>
            <w:pPr>
              <w:pStyle w:val="TableParagraph"/>
              <w:spacing w:line="148" w:lineRule="exact" w:before="17"/>
              <w:ind w:right="102"/>
              <w:jc w:val="right"/>
              <w:rPr>
                <w:sz w:val="13"/>
              </w:rPr>
            </w:pPr>
            <w:r>
              <w:rPr>
                <w:color w:val="231F20"/>
                <w:spacing w:val="-5"/>
                <w:w w:val="95"/>
                <w:sz w:val="13"/>
              </w:rPr>
              <w:t>3.7</w:t>
            </w:r>
          </w:p>
        </w:tc>
        <w:tc>
          <w:tcPr>
            <w:tcW w:w="531" w:type="dxa"/>
            <w:shd w:val="clear" w:color="auto" w:fill="D4E3F5"/>
          </w:tcPr>
          <w:p>
            <w:pPr>
              <w:pStyle w:val="TableParagraph"/>
              <w:spacing w:line="148" w:lineRule="exact" w:before="17"/>
              <w:ind w:left="12" w:right="27"/>
              <w:rPr>
                <w:sz w:val="13"/>
              </w:rPr>
            </w:pPr>
            <w:r>
              <w:rPr>
                <w:color w:val="231F20"/>
                <w:spacing w:val="-5"/>
                <w:w w:val="95"/>
                <w:sz w:val="13"/>
              </w:rPr>
              <w:t>3.7</w:t>
            </w:r>
          </w:p>
        </w:tc>
        <w:tc>
          <w:tcPr>
            <w:tcW w:w="549" w:type="dxa"/>
            <w:shd w:val="clear" w:color="auto" w:fill="D4E3F5"/>
          </w:tcPr>
          <w:p>
            <w:pPr>
              <w:pStyle w:val="TableParagraph"/>
              <w:spacing w:line="148" w:lineRule="exact" w:before="17"/>
              <w:ind w:left="3" w:right="16"/>
              <w:rPr>
                <w:sz w:val="13"/>
              </w:rPr>
            </w:pPr>
            <w:r>
              <w:rPr>
                <w:color w:val="231F20"/>
                <w:spacing w:val="-5"/>
                <w:w w:val="95"/>
                <w:sz w:val="13"/>
              </w:rPr>
              <w:t>4.1</w:t>
            </w:r>
          </w:p>
        </w:tc>
        <w:tc>
          <w:tcPr>
            <w:tcW w:w="615" w:type="dxa"/>
            <w:shd w:val="clear" w:color="auto" w:fill="D4E3F5"/>
          </w:tcPr>
          <w:p>
            <w:pPr>
              <w:pStyle w:val="TableParagraph"/>
              <w:spacing w:line="148" w:lineRule="exact" w:before="17"/>
              <w:ind w:left="12" w:right="17"/>
              <w:rPr>
                <w:sz w:val="13"/>
              </w:rPr>
            </w:pPr>
            <w:r>
              <w:rPr>
                <w:color w:val="231F20"/>
                <w:spacing w:val="-5"/>
                <w:w w:val="95"/>
                <w:sz w:val="13"/>
              </w:rPr>
              <w:t>3.1</w:t>
            </w:r>
          </w:p>
        </w:tc>
        <w:tc>
          <w:tcPr>
            <w:tcW w:w="706" w:type="dxa"/>
            <w:shd w:val="clear" w:color="auto" w:fill="D4E3F5"/>
          </w:tcPr>
          <w:p>
            <w:pPr>
              <w:pStyle w:val="TableParagraph"/>
              <w:spacing w:line="148" w:lineRule="exact" w:before="17"/>
              <w:ind w:left="17" w:right="24"/>
              <w:rPr>
                <w:sz w:val="13"/>
              </w:rPr>
            </w:pPr>
            <w:r>
              <w:rPr>
                <w:color w:val="231F20"/>
                <w:spacing w:val="-5"/>
                <w:w w:val="95"/>
                <w:sz w:val="13"/>
              </w:rPr>
              <w:t>3.9</w:t>
            </w:r>
          </w:p>
        </w:tc>
        <w:tc>
          <w:tcPr>
            <w:tcW w:w="368" w:type="dxa"/>
            <w:shd w:val="clear" w:color="auto" w:fill="D4E3F5"/>
          </w:tcPr>
          <w:p>
            <w:pPr>
              <w:pStyle w:val="TableParagraph"/>
              <w:spacing w:line="148" w:lineRule="exact" w:before="17"/>
              <w:ind w:left="16" w:right="28"/>
              <w:rPr>
                <w:sz w:val="13"/>
              </w:rPr>
            </w:pPr>
            <w:r>
              <w:rPr>
                <w:color w:val="231F20"/>
                <w:spacing w:val="-5"/>
                <w:w w:val="95"/>
                <w:sz w:val="13"/>
              </w:rPr>
              <w:t>3.6</w:t>
            </w:r>
          </w:p>
        </w:tc>
        <w:tc>
          <w:tcPr>
            <w:tcW w:w="536" w:type="dxa"/>
            <w:tcBorders>
              <w:right w:val="single" w:sz="24" w:space="0" w:color="FFFFFF"/>
            </w:tcBorders>
            <w:shd w:val="clear" w:color="auto" w:fill="D4E3F5"/>
          </w:tcPr>
          <w:p>
            <w:pPr>
              <w:pStyle w:val="TableParagraph"/>
              <w:spacing w:line="148" w:lineRule="exact" w:before="17"/>
              <w:ind w:left="3" w:right="27"/>
              <w:rPr>
                <w:sz w:val="13"/>
              </w:rPr>
            </w:pPr>
            <w:r>
              <w:rPr>
                <w:color w:val="231F20"/>
                <w:spacing w:val="-5"/>
                <w:w w:val="95"/>
                <w:sz w:val="13"/>
              </w:rPr>
              <w:t>4.1</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w w:val="75"/>
                <w:sz w:val="13"/>
              </w:rPr>
              <w:t>Congo,</w:t>
            </w:r>
            <w:r>
              <w:rPr>
                <w:color w:val="231F20"/>
                <w:spacing w:val="12"/>
                <w:sz w:val="13"/>
              </w:rPr>
              <w:t> </w:t>
            </w:r>
            <w:r>
              <w:rPr>
                <w:color w:val="231F20"/>
                <w:spacing w:val="-4"/>
                <w:w w:val="85"/>
                <w:sz w:val="13"/>
              </w:rPr>
              <w:t>Rep.</w:t>
            </w:r>
          </w:p>
        </w:tc>
        <w:tc>
          <w:tcPr>
            <w:tcW w:w="482" w:type="dxa"/>
            <w:shd w:val="clear" w:color="auto" w:fill="D4E3F5"/>
          </w:tcPr>
          <w:p>
            <w:pPr>
              <w:pStyle w:val="TableParagraph"/>
              <w:spacing w:line="148" w:lineRule="exact" w:before="17"/>
              <w:ind w:right="110"/>
              <w:jc w:val="right"/>
              <w:rPr>
                <w:sz w:val="13"/>
              </w:rPr>
            </w:pPr>
            <w:r>
              <w:rPr>
                <w:color w:val="231F20"/>
                <w:spacing w:val="-5"/>
                <w:w w:val="95"/>
                <w:sz w:val="13"/>
              </w:rPr>
              <w:t>2.6</w:t>
            </w:r>
          </w:p>
        </w:tc>
        <w:tc>
          <w:tcPr>
            <w:tcW w:w="532" w:type="dxa"/>
            <w:shd w:val="clear" w:color="auto" w:fill="D4E3F5"/>
          </w:tcPr>
          <w:p>
            <w:pPr>
              <w:pStyle w:val="TableParagraph"/>
              <w:spacing w:line="148" w:lineRule="exact" w:before="17"/>
              <w:ind w:left="20" w:right="55"/>
              <w:rPr>
                <w:sz w:val="13"/>
              </w:rPr>
            </w:pPr>
            <w:r>
              <w:rPr>
                <w:color w:val="231F20"/>
                <w:spacing w:val="-5"/>
                <w:w w:val="95"/>
                <w:sz w:val="13"/>
              </w:rPr>
              <w:t>2.3</w:t>
            </w:r>
          </w:p>
        </w:tc>
        <w:tc>
          <w:tcPr>
            <w:tcW w:w="550" w:type="dxa"/>
            <w:shd w:val="clear" w:color="auto" w:fill="D4E3F5"/>
          </w:tcPr>
          <w:p>
            <w:pPr>
              <w:pStyle w:val="TableParagraph"/>
              <w:spacing w:line="148" w:lineRule="exact" w:before="17"/>
              <w:ind w:left="4" w:right="45"/>
              <w:rPr>
                <w:sz w:val="13"/>
              </w:rPr>
            </w:pPr>
            <w:r>
              <w:rPr>
                <w:color w:val="231F20"/>
                <w:spacing w:val="-5"/>
                <w:w w:val="95"/>
                <w:sz w:val="13"/>
              </w:rPr>
              <w:t>2.1</w:t>
            </w:r>
          </w:p>
        </w:tc>
        <w:tc>
          <w:tcPr>
            <w:tcW w:w="616" w:type="dxa"/>
            <w:shd w:val="clear" w:color="auto" w:fill="D4E3F5"/>
          </w:tcPr>
          <w:p>
            <w:pPr>
              <w:pStyle w:val="TableParagraph"/>
              <w:spacing w:line="148" w:lineRule="exact" w:before="17"/>
              <w:ind w:left="20" w:right="37"/>
              <w:rPr>
                <w:sz w:val="13"/>
              </w:rPr>
            </w:pPr>
            <w:r>
              <w:rPr>
                <w:color w:val="231F20"/>
                <w:spacing w:val="-5"/>
                <w:w w:val="95"/>
                <w:sz w:val="13"/>
              </w:rPr>
              <w:t>2.6</w:t>
            </w:r>
          </w:p>
        </w:tc>
        <w:tc>
          <w:tcPr>
            <w:tcW w:w="707" w:type="dxa"/>
            <w:shd w:val="clear" w:color="auto" w:fill="D4E3F5"/>
          </w:tcPr>
          <w:p>
            <w:pPr>
              <w:pStyle w:val="TableParagraph"/>
              <w:spacing w:line="148" w:lineRule="exact" w:before="17"/>
              <w:ind w:left="16" w:right="55"/>
              <w:rPr>
                <w:sz w:val="13"/>
              </w:rPr>
            </w:pPr>
            <w:r>
              <w:rPr>
                <w:color w:val="231F20"/>
                <w:spacing w:val="-5"/>
                <w:w w:val="95"/>
                <w:sz w:val="13"/>
              </w:rPr>
              <w:t>2.9</w:t>
            </w:r>
          </w:p>
        </w:tc>
        <w:tc>
          <w:tcPr>
            <w:tcW w:w="369" w:type="dxa"/>
            <w:shd w:val="clear" w:color="auto" w:fill="D4E3F5"/>
          </w:tcPr>
          <w:p>
            <w:pPr>
              <w:pStyle w:val="TableParagraph"/>
              <w:spacing w:line="148" w:lineRule="exact" w:before="17"/>
              <w:ind w:left="18" w:right="61"/>
              <w:rPr>
                <w:sz w:val="13"/>
              </w:rPr>
            </w:pPr>
            <w:r>
              <w:rPr>
                <w:color w:val="231F20"/>
                <w:spacing w:val="-5"/>
                <w:w w:val="95"/>
                <w:sz w:val="13"/>
              </w:rPr>
              <w:t>2.9</w:t>
            </w:r>
          </w:p>
        </w:tc>
        <w:tc>
          <w:tcPr>
            <w:tcW w:w="507" w:type="dxa"/>
            <w:shd w:val="clear" w:color="auto" w:fill="D4E3F5"/>
          </w:tcPr>
          <w:p>
            <w:pPr>
              <w:pStyle w:val="TableParagraph"/>
              <w:spacing w:line="148" w:lineRule="exact" w:before="17"/>
              <w:ind w:left="3" w:right="51"/>
              <w:rPr>
                <w:sz w:val="13"/>
              </w:rPr>
            </w:pPr>
            <w:r>
              <w:rPr>
                <w:color w:val="231F20"/>
                <w:spacing w:val="-5"/>
                <w:w w:val="95"/>
                <w:sz w:val="13"/>
              </w:rPr>
              <w:t>2.7</w:t>
            </w:r>
          </w:p>
        </w:tc>
      </w:tr>
      <w:tr>
        <w:trPr>
          <w:trHeight w:val="184" w:hRule="atLeast"/>
        </w:trPr>
        <w:tc>
          <w:tcPr>
            <w:tcW w:w="1377" w:type="dxa"/>
          </w:tcPr>
          <w:p>
            <w:pPr>
              <w:pStyle w:val="TableParagraph"/>
              <w:spacing w:line="148" w:lineRule="exact" w:before="17"/>
              <w:ind w:left="79"/>
              <w:jc w:val="left"/>
              <w:rPr>
                <w:sz w:val="13"/>
              </w:rPr>
            </w:pPr>
            <w:r>
              <w:rPr>
                <w:color w:val="231F20"/>
                <w:spacing w:val="-2"/>
                <w:w w:val="85"/>
                <w:sz w:val="13"/>
              </w:rPr>
              <w:t>China</w:t>
            </w:r>
          </w:p>
        </w:tc>
        <w:tc>
          <w:tcPr>
            <w:tcW w:w="487" w:type="dxa"/>
          </w:tcPr>
          <w:p>
            <w:pPr>
              <w:pStyle w:val="TableParagraph"/>
              <w:spacing w:line="148" w:lineRule="exact" w:before="17"/>
              <w:ind w:right="102"/>
              <w:jc w:val="right"/>
              <w:rPr>
                <w:sz w:val="13"/>
              </w:rPr>
            </w:pPr>
            <w:r>
              <w:rPr>
                <w:color w:val="231F20"/>
                <w:spacing w:val="-5"/>
                <w:w w:val="95"/>
                <w:sz w:val="13"/>
              </w:rPr>
              <w:t>3.7</w:t>
            </w:r>
          </w:p>
        </w:tc>
        <w:tc>
          <w:tcPr>
            <w:tcW w:w="531" w:type="dxa"/>
          </w:tcPr>
          <w:p>
            <w:pPr>
              <w:pStyle w:val="TableParagraph"/>
              <w:spacing w:line="148" w:lineRule="exact" w:before="17"/>
              <w:ind w:left="18" w:right="27"/>
              <w:rPr>
                <w:sz w:val="13"/>
              </w:rPr>
            </w:pPr>
            <w:r>
              <w:rPr>
                <w:color w:val="231F20"/>
                <w:spacing w:val="-5"/>
                <w:w w:val="95"/>
                <w:sz w:val="13"/>
              </w:rPr>
              <w:t>3.3</w:t>
            </w:r>
          </w:p>
        </w:tc>
        <w:tc>
          <w:tcPr>
            <w:tcW w:w="549" w:type="dxa"/>
          </w:tcPr>
          <w:p>
            <w:pPr>
              <w:pStyle w:val="TableParagraph"/>
              <w:spacing w:line="148" w:lineRule="exact" w:before="17"/>
              <w:ind w:left="16" w:right="16"/>
              <w:rPr>
                <w:sz w:val="13"/>
              </w:rPr>
            </w:pPr>
            <w:r>
              <w:rPr>
                <w:color w:val="231F20"/>
                <w:spacing w:val="-5"/>
                <w:w w:val="95"/>
                <w:sz w:val="13"/>
              </w:rPr>
              <w:t>4.0</w:t>
            </w:r>
          </w:p>
        </w:tc>
        <w:tc>
          <w:tcPr>
            <w:tcW w:w="615" w:type="dxa"/>
          </w:tcPr>
          <w:p>
            <w:pPr>
              <w:pStyle w:val="TableParagraph"/>
              <w:spacing w:line="148" w:lineRule="exact" w:before="17"/>
              <w:ind w:left="16" w:right="8"/>
              <w:rPr>
                <w:sz w:val="13"/>
              </w:rPr>
            </w:pPr>
            <w:r>
              <w:rPr>
                <w:color w:val="231F20"/>
                <w:spacing w:val="-5"/>
                <w:w w:val="95"/>
                <w:sz w:val="13"/>
              </w:rPr>
              <w:t>3.6</w:t>
            </w:r>
          </w:p>
        </w:tc>
        <w:tc>
          <w:tcPr>
            <w:tcW w:w="706" w:type="dxa"/>
          </w:tcPr>
          <w:p>
            <w:pPr>
              <w:pStyle w:val="TableParagraph"/>
              <w:spacing w:line="148" w:lineRule="exact" w:before="17"/>
              <w:ind w:left="18" w:right="24"/>
              <w:rPr>
                <w:sz w:val="13"/>
              </w:rPr>
            </w:pPr>
            <w:r>
              <w:rPr>
                <w:color w:val="231F20"/>
                <w:spacing w:val="-5"/>
                <w:w w:val="95"/>
                <w:sz w:val="13"/>
              </w:rPr>
              <w:t>3.8</w:t>
            </w:r>
          </w:p>
        </w:tc>
        <w:tc>
          <w:tcPr>
            <w:tcW w:w="368" w:type="dxa"/>
          </w:tcPr>
          <w:p>
            <w:pPr>
              <w:pStyle w:val="TableParagraph"/>
              <w:spacing w:line="148" w:lineRule="exact" w:before="17"/>
              <w:ind w:left="12" w:right="28"/>
              <w:rPr>
                <w:sz w:val="13"/>
              </w:rPr>
            </w:pPr>
            <w:r>
              <w:rPr>
                <w:color w:val="231F20"/>
                <w:spacing w:val="-5"/>
                <w:w w:val="95"/>
                <w:sz w:val="13"/>
              </w:rPr>
              <w:t>3.7</w:t>
            </w:r>
          </w:p>
        </w:tc>
        <w:tc>
          <w:tcPr>
            <w:tcW w:w="536" w:type="dxa"/>
            <w:tcBorders>
              <w:right w:val="single" w:sz="24" w:space="0" w:color="FFFFFF"/>
            </w:tcBorders>
          </w:tcPr>
          <w:p>
            <w:pPr>
              <w:pStyle w:val="TableParagraph"/>
              <w:spacing w:line="148" w:lineRule="exact" w:before="17"/>
              <w:ind w:left="19" w:right="27"/>
              <w:rPr>
                <w:sz w:val="13"/>
              </w:rPr>
            </w:pPr>
            <w:r>
              <w:rPr>
                <w:color w:val="231F20"/>
                <w:spacing w:val="-5"/>
                <w:w w:val="95"/>
                <w:sz w:val="13"/>
              </w:rPr>
              <w:t>3.8</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75"/>
                <w:sz w:val="13"/>
              </w:rPr>
              <w:t>Dominican</w:t>
            </w:r>
            <w:r>
              <w:rPr>
                <w:color w:val="231F20"/>
                <w:spacing w:val="10"/>
                <w:sz w:val="13"/>
              </w:rPr>
              <w:t> </w:t>
            </w:r>
            <w:r>
              <w:rPr>
                <w:color w:val="231F20"/>
                <w:spacing w:val="-2"/>
                <w:w w:val="90"/>
                <w:sz w:val="13"/>
              </w:rPr>
              <w:t>Republic</w:t>
            </w:r>
          </w:p>
        </w:tc>
        <w:tc>
          <w:tcPr>
            <w:tcW w:w="482" w:type="dxa"/>
          </w:tcPr>
          <w:p>
            <w:pPr>
              <w:pStyle w:val="TableParagraph"/>
              <w:spacing w:line="148" w:lineRule="exact" w:before="17"/>
              <w:ind w:right="110"/>
              <w:jc w:val="right"/>
              <w:rPr>
                <w:sz w:val="13"/>
              </w:rPr>
            </w:pPr>
            <w:r>
              <w:rPr>
                <w:color w:val="231F20"/>
                <w:spacing w:val="-5"/>
                <w:w w:val="95"/>
                <w:sz w:val="13"/>
              </w:rPr>
              <w:t>2.6</w:t>
            </w:r>
          </w:p>
        </w:tc>
        <w:tc>
          <w:tcPr>
            <w:tcW w:w="532" w:type="dxa"/>
          </w:tcPr>
          <w:p>
            <w:pPr>
              <w:pStyle w:val="TableParagraph"/>
              <w:spacing w:line="148" w:lineRule="exact" w:before="17"/>
              <w:ind w:left="19" w:right="55"/>
              <w:rPr>
                <w:sz w:val="13"/>
              </w:rPr>
            </w:pPr>
            <w:r>
              <w:rPr>
                <w:color w:val="231F20"/>
                <w:spacing w:val="-5"/>
                <w:w w:val="95"/>
                <w:sz w:val="13"/>
              </w:rPr>
              <w:t>2.6</w:t>
            </w:r>
          </w:p>
        </w:tc>
        <w:tc>
          <w:tcPr>
            <w:tcW w:w="550" w:type="dxa"/>
          </w:tcPr>
          <w:p>
            <w:pPr>
              <w:pStyle w:val="TableParagraph"/>
              <w:spacing w:line="148" w:lineRule="exact" w:before="17"/>
              <w:ind w:left="16" w:right="45"/>
              <w:rPr>
                <w:sz w:val="13"/>
              </w:rPr>
            </w:pPr>
            <w:r>
              <w:rPr>
                <w:color w:val="231F20"/>
                <w:spacing w:val="-5"/>
                <w:w w:val="95"/>
                <w:sz w:val="13"/>
              </w:rPr>
              <w:t>2.7</w:t>
            </w:r>
          </w:p>
        </w:tc>
        <w:tc>
          <w:tcPr>
            <w:tcW w:w="616" w:type="dxa"/>
          </w:tcPr>
          <w:p>
            <w:pPr>
              <w:pStyle w:val="TableParagraph"/>
              <w:spacing w:line="148" w:lineRule="exact" w:before="17"/>
              <w:ind w:left="19" w:right="37"/>
              <w:rPr>
                <w:sz w:val="13"/>
              </w:rPr>
            </w:pPr>
            <w:r>
              <w:rPr>
                <w:color w:val="231F20"/>
                <w:spacing w:val="-5"/>
                <w:w w:val="95"/>
                <w:sz w:val="13"/>
              </w:rPr>
              <w:t>2.4</w:t>
            </w:r>
          </w:p>
        </w:tc>
        <w:tc>
          <w:tcPr>
            <w:tcW w:w="707" w:type="dxa"/>
          </w:tcPr>
          <w:p>
            <w:pPr>
              <w:pStyle w:val="TableParagraph"/>
              <w:spacing w:line="148" w:lineRule="exact" w:before="17"/>
              <w:ind w:left="16" w:right="55"/>
              <w:rPr>
                <w:sz w:val="13"/>
              </w:rPr>
            </w:pPr>
            <w:r>
              <w:rPr>
                <w:color w:val="231F20"/>
                <w:spacing w:val="-5"/>
                <w:w w:val="95"/>
                <w:sz w:val="13"/>
              </w:rPr>
              <w:t>2.6</w:t>
            </w:r>
          </w:p>
        </w:tc>
        <w:tc>
          <w:tcPr>
            <w:tcW w:w="369" w:type="dxa"/>
          </w:tcPr>
          <w:p>
            <w:pPr>
              <w:pStyle w:val="TableParagraph"/>
              <w:spacing w:line="148" w:lineRule="exact" w:before="17"/>
              <w:ind w:left="1" w:right="61"/>
              <w:rPr>
                <w:sz w:val="13"/>
              </w:rPr>
            </w:pPr>
            <w:r>
              <w:rPr>
                <w:color w:val="231F20"/>
                <w:spacing w:val="-5"/>
                <w:w w:val="95"/>
                <w:sz w:val="13"/>
              </w:rPr>
              <w:t>3.1</w:t>
            </w:r>
          </w:p>
        </w:tc>
        <w:tc>
          <w:tcPr>
            <w:tcW w:w="507" w:type="dxa"/>
          </w:tcPr>
          <w:p>
            <w:pPr>
              <w:pStyle w:val="TableParagraph"/>
              <w:spacing w:line="148" w:lineRule="exact" w:before="17"/>
              <w:ind w:right="45"/>
              <w:rPr>
                <w:sz w:val="13"/>
              </w:rPr>
            </w:pPr>
            <w:r>
              <w:rPr>
                <w:color w:val="231F20"/>
                <w:spacing w:val="-5"/>
                <w:w w:val="95"/>
                <w:sz w:val="13"/>
              </w:rPr>
              <w:t>2.4</w:t>
            </w:r>
          </w:p>
        </w:tc>
      </w:tr>
      <w:tr>
        <w:trPr>
          <w:trHeight w:val="184" w:hRule="atLeast"/>
        </w:trPr>
        <w:tc>
          <w:tcPr>
            <w:tcW w:w="1377" w:type="dxa"/>
            <w:shd w:val="clear" w:color="auto" w:fill="D4E3F5"/>
          </w:tcPr>
          <w:p>
            <w:pPr>
              <w:pStyle w:val="TableParagraph"/>
              <w:spacing w:line="148" w:lineRule="exact" w:before="17"/>
              <w:ind w:left="79"/>
              <w:jc w:val="left"/>
              <w:rPr>
                <w:sz w:val="13"/>
              </w:rPr>
            </w:pPr>
            <w:r>
              <w:rPr>
                <w:color w:val="231F20"/>
                <w:spacing w:val="-2"/>
                <w:w w:val="85"/>
                <w:sz w:val="13"/>
              </w:rPr>
              <w:t>Greece</w:t>
            </w:r>
          </w:p>
        </w:tc>
        <w:tc>
          <w:tcPr>
            <w:tcW w:w="487" w:type="dxa"/>
            <w:shd w:val="clear" w:color="auto" w:fill="D4E3F5"/>
          </w:tcPr>
          <w:p>
            <w:pPr>
              <w:pStyle w:val="TableParagraph"/>
              <w:spacing w:line="148" w:lineRule="exact" w:before="17"/>
              <w:ind w:right="102"/>
              <w:jc w:val="right"/>
              <w:rPr>
                <w:sz w:val="13"/>
              </w:rPr>
            </w:pPr>
            <w:r>
              <w:rPr>
                <w:color w:val="231F20"/>
                <w:spacing w:val="-5"/>
                <w:w w:val="95"/>
                <w:sz w:val="13"/>
              </w:rPr>
              <w:t>3.7</w:t>
            </w:r>
          </w:p>
        </w:tc>
        <w:tc>
          <w:tcPr>
            <w:tcW w:w="531" w:type="dxa"/>
            <w:shd w:val="clear" w:color="auto" w:fill="D4E3F5"/>
          </w:tcPr>
          <w:p>
            <w:pPr>
              <w:pStyle w:val="TableParagraph"/>
              <w:spacing w:line="148" w:lineRule="exact" w:before="17"/>
              <w:ind w:left="17" w:right="27"/>
              <w:rPr>
                <w:sz w:val="13"/>
              </w:rPr>
            </w:pPr>
            <w:r>
              <w:rPr>
                <w:color w:val="231F20"/>
                <w:spacing w:val="-5"/>
                <w:w w:val="95"/>
                <w:sz w:val="13"/>
              </w:rPr>
              <w:t>3.2</w:t>
            </w:r>
          </w:p>
        </w:tc>
        <w:tc>
          <w:tcPr>
            <w:tcW w:w="549" w:type="dxa"/>
            <w:shd w:val="clear" w:color="auto" w:fill="D4E3F5"/>
          </w:tcPr>
          <w:p>
            <w:pPr>
              <w:pStyle w:val="TableParagraph"/>
              <w:spacing w:line="148" w:lineRule="exact" w:before="17"/>
              <w:ind w:left="13" w:right="16"/>
              <w:rPr>
                <w:sz w:val="13"/>
              </w:rPr>
            </w:pPr>
            <w:r>
              <w:rPr>
                <w:color w:val="231F20"/>
                <w:spacing w:val="-5"/>
                <w:w w:val="95"/>
                <w:sz w:val="13"/>
              </w:rPr>
              <w:t>3.7</w:t>
            </w:r>
          </w:p>
        </w:tc>
        <w:tc>
          <w:tcPr>
            <w:tcW w:w="615" w:type="dxa"/>
            <w:shd w:val="clear" w:color="auto" w:fill="D4E3F5"/>
          </w:tcPr>
          <w:p>
            <w:pPr>
              <w:pStyle w:val="TableParagraph"/>
              <w:spacing w:line="148" w:lineRule="exact" w:before="17"/>
              <w:ind w:left="19" w:right="8"/>
              <w:rPr>
                <w:sz w:val="13"/>
              </w:rPr>
            </w:pPr>
            <w:r>
              <w:rPr>
                <w:color w:val="231F20"/>
                <w:spacing w:val="-5"/>
                <w:w w:val="95"/>
                <w:sz w:val="13"/>
              </w:rPr>
              <w:t>3.8</w:t>
            </w:r>
          </w:p>
        </w:tc>
        <w:tc>
          <w:tcPr>
            <w:tcW w:w="706" w:type="dxa"/>
            <w:shd w:val="clear" w:color="auto" w:fill="D4E3F5"/>
          </w:tcPr>
          <w:p>
            <w:pPr>
              <w:pStyle w:val="TableParagraph"/>
              <w:spacing w:line="148" w:lineRule="exact" w:before="17"/>
              <w:ind w:left="18" w:right="24"/>
              <w:rPr>
                <w:sz w:val="13"/>
              </w:rPr>
            </w:pPr>
            <w:r>
              <w:rPr>
                <w:color w:val="231F20"/>
                <w:spacing w:val="-5"/>
                <w:w w:val="95"/>
                <w:sz w:val="13"/>
              </w:rPr>
              <w:t>3.8</w:t>
            </w:r>
          </w:p>
        </w:tc>
        <w:tc>
          <w:tcPr>
            <w:tcW w:w="368" w:type="dxa"/>
            <w:shd w:val="clear" w:color="auto" w:fill="D4E3F5"/>
          </w:tcPr>
          <w:p>
            <w:pPr>
              <w:pStyle w:val="TableParagraph"/>
              <w:spacing w:line="148" w:lineRule="exact" w:before="17"/>
              <w:ind w:left="18" w:right="28"/>
              <w:rPr>
                <w:sz w:val="13"/>
              </w:rPr>
            </w:pPr>
            <w:r>
              <w:rPr>
                <w:color w:val="231F20"/>
                <w:spacing w:val="-5"/>
                <w:w w:val="95"/>
                <w:sz w:val="13"/>
              </w:rPr>
              <w:t>3.9</w:t>
            </w:r>
          </w:p>
        </w:tc>
        <w:tc>
          <w:tcPr>
            <w:tcW w:w="536" w:type="dxa"/>
            <w:tcBorders>
              <w:right w:val="single" w:sz="24" w:space="0" w:color="FFFFFF"/>
            </w:tcBorders>
            <w:shd w:val="clear" w:color="auto" w:fill="D4E3F5"/>
          </w:tcPr>
          <w:p>
            <w:pPr>
              <w:pStyle w:val="TableParagraph"/>
              <w:spacing w:line="148" w:lineRule="exact" w:before="17"/>
              <w:ind w:left="19" w:right="27"/>
              <w:rPr>
                <w:sz w:val="13"/>
              </w:rPr>
            </w:pPr>
            <w:r>
              <w:rPr>
                <w:color w:val="231F20"/>
                <w:spacing w:val="-5"/>
                <w:w w:val="95"/>
                <w:sz w:val="13"/>
              </w:rPr>
              <w:t>3.9</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2"/>
                <w:w w:val="90"/>
                <w:sz w:val="13"/>
              </w:rPr>
              <w:t>Guatemala</w:t>
            </w:r>
          </w:p>
        </w:tc>
        <w:tc>
          <w:tcPr>
            <w:tcW w:w="482" w:type="dxa"/>
            <w:shd w:val="clear" w:color="auto" w:fill="D4E3F5"/>
          </w:tcPr>
          <w:p>
            <w:pPr>
              <w:pStyle w:val="TableParagraph"/>
              <w:spacing w:line="148" w:lineRule="exact" w:before="17"/>
              <w:ind w:right="110"/>
              <w:jc w:val="right"/>
              <w:rPr>
                <w:sz w:val="13"/>
              </w:rPr>
            </w:pPr>
            <w:r>
              <w:rPr>
                <w:color w:val="231F20"/>
                <w:spacing w:val="-5"/>
                <w:w w:val="95"/>
                <w:sz w:val="13"/>
              </w:rPr>
              <w:t>2.6</w:t>
            </w:r>
          </w:p>
        </w:tc>
        <w:tc>
          <w:tcPr>
            <w:tcW w:w="532" w:type="dxa"/>
            <w:shd w:val="clear" w:color="auto" w:fill="D4E3F5"/>
          </w:tcPr>
          <w:p>
            <w:pPr>
              <w:pStyle w:val="TableParagraph"/>
              <w:spacing w:line="148" w:lineRule="exact" w:before="17"/>
              <w:ind w:left="20" w:right="55"/>
              <w:rPr>
                <w:sz w:val="13"/>
              </w:rPr>
            </w:pPr>
            <w:r>
              <w:rPr>
                <w:color w:val="231F20"/>
                <w:spacing w:val="-5"/>
                <w:w w:val="95"/>
                <w:sz w:val="13"/>
              </w:rPr>
              <w:t>2.3</w:t>
            </w:r>
          </w:p>
        </w:tc>
        <w:tc>
          <w:tcPr>
            <w:tcW w:w="550" w:type="dxa"/>
            <w:shd w:val="clear" w:color="auto" w:fill="D4E3F5"/>
          </w:tcPr>
          <w:p>
            <w:pPr>
              <w:pStyle w:val="TableParagraph"/>
              <w:spacing w:line="148" w:lineRule="exact" w:before="17"/>
              <w:ind w:left="19" w:right="45"/>
              <w:rPr>
                <w:sz w:val="13"/>
              </w:rPr>
            </w:pPr>
            <w:r>
              <w:rPr>
                <w:color w:val="231F20"/>
                <w:spacing w:val="-5"/>
                <w:w w:val="95"/>
                <w:sz w:val="13"/>
              </w:rPr>
              <w:t>2.4</w:t>
            </w:r>
          </w:p>
        </w:tc>
        <w:tc>
          <w:tcPr>
            <w:tcW w:w="616" w:type="dxa"/>
            <w:shd w:val="clear" w:color="auto" w:fill="D4E3F5"/>
          </w:tcPr>
          <w:p>
            <w:pPr>
              <w:pStyle w:val="TableParagraph"/>
              <w:spacing w:line="148" w:lineRule="exact" w:before="17"/>
              <w:ind w:right="16"/>
              <w:rPr>
                <w:sz w:val="13"/>
              </w:rPr>
            </w:pPr>
            <w:r>
              <w:rPr>
                <w:color w:val="231F20"/>
                <w:spacing w:val="-5"/>
                <w:w w:val="95"/>
                <w:sz w:val="13"/>
              </w:rPr>
              <w:t>2.8</w:t>
            </w:r>
          </w:p>
        </w:tc>
        <w:tc>
          <w:tcPr>
            <w:tcW w:w="707" w:type="dxa"/>
            <w:shd w:val="clear" w:color="auto" w:fill="D4E3F5"/>
          </w:tcPr>
          <w:p>
            <w:pPr>
              <w:pStyle w:val="TableParagraph"/>
              <w:spacing w:line="148" w:lineRule="exact" w:before="17"/>
              <w:ind w:left="12" w:right="55"/>
              <w:rPr>
                <w:sz w:val="13"/>
              </w:rPr>
            </w:pPr>
            <w:r>
              <w:rPr>
                <w:color w:val="231F20"/>
                <w:spacing w:val="-5"/>
                <w:w w:val="95"/>
                <w:sz w:val="13"/>
              </w:rPr>
              <w:t>2.7</w:t>
            </w:r>
          </w:p>
        </w:tc>
        <w:tc>
          <w:tcPr>
            <w:tcW w:w="369" w:type="dxa"/>
            <w:shd w:val="clear" w:color="auto" w:fill="D4E3F5"/>
          </w:tcPr>
          <w:p>
            <w:pPr>
              <w:pStyle w:val="TableParagraph"/>
              <w:spacing w:line="148" w:lineRule="exact" w:before="17"/>
              <w:ind w:left="17" w:right="61"/>
              <w:rPr>
                <w:sz w:val="13"/>
              </w:rPr>
            </w:pPr>
            <w:r>
              <w:rPr>
                <w:color w:val="231F20"/>
                <w:spacing w:val="-5"/>
                <w:w w:val="95"/>
                <w:sz w:val="13"/>
              </w:rPr>
              <w:t>2.6</w:t>
            </w:r>
          </w:p>
        </w:tc>
        <w:tc>
          <w:tcPr>
            <w:tcW w:w="507" w:type="dxa"/>
            <w:shd w:val="clear" w:color="auto" w:fill="D4E3F5"/>
          </w:tcPr>
          <w:p>
            <w:pPr>
              <w:pStyle w:val="TableParagraph"/>
              <w:spacing w:line="148" w:lineRule="exact" w:before="17"/>
              <w:ind w:left="3" w:right="51"/>
              <w:rPr>
                <w:sz w:val="13"/>
              </w:rPr>
            </w:pPr>
            <w:r>
              <w:rPr>
                <w:color w:val="231F20"/>
                <w:spacing w:val="-5"/>
                <w:w w:val="95"/>
                <w:sz w:val="13"/>
              </w:rPr>
              <w:t>2.7</w:t>
            </w:r>
          </w:p>
        </w:tc>
      </w:tr>
      <w:tr>
        <w:trPr>
          <w:trHeight w:val="184" w:hRule="atLeast"/>
        </w:trPr>
        <w:tc>
          <w:tcPr>
            <w:tcW w:w="1377" w:type="dxa"/>
          </w:tcPr>
          <w:p>
            <w:pPr>
              <w:pStyle w:val="TableParagraph"/>
              <w:spacing w:line="148" w:lineRule="exact" w:before="17"/>
              <w:ind w:left="79"/>
              <w:jc w:val="left"/>
              <w:rPr>
                <w:sz w:val="13"/>
              </w:rPr>
            </w:pPr>
            <w:r>
              <w:rPr>
                <w:color w:val="231F20"/>
                <w:spacing w:val="-2"/>
                <w:w w:val="85"/>
                <w:sz w:val="13"/>
              </w:rPr>
              <w:t>Italy</w:t>
            </w:r>
          </w:p>
        </w:tc>
        <w:tc>
          <w:tcPr>
            <w:tcW w:w="487" w:type="dxa"/>
          </w:tcPr>
          <w:p>
            <w:pPr>
              <w:pStyle w:val="TableParagraph"/>
              <w:spacing w:line="148" w:lineRule="exact" w:before="17"/>
              <w:ind w:right="102"/>
              <w:jc w:val="right"/>
              <w:rPr>
                <w:sz w:val="13"/>
              </w:rPr>
            </w:pPr>
            <w:r>
              <w:rPr>
                <w:color w:val="231F20"/>
                <w:spacing w:val="-5"/>
                <w:w w:val="95"/>
                <w:sz w:val="13"/>
              </w:rPr>
              <w:t>3.7</w:t>
            </w:r>
          </w:p>
        </w:tc>
        <w:tc>
          <w:tcPr>
            <w:tcW w:w="531" w:type="dxa"/>
          </w:tcPr>
          <w:p>
            <w:pPr>
              <w:pStyle w:val="TableParagraph"/>
              <w:spacing w:line="148" w:lineRule="exact" w:before="17"/>
              <w:ind w:left="14" w:right="27"/>
              <w:rPr>
                <w:sz w:val="13"/>
              </w:rPr>
            </w:pPr>
            <w:r>
              <w:rPr>
                <w:color w:val="231F20"/>
                <w:spacing w:val="-5"/>
                <w:w w:val="95"/>
                <w:sz w:val="13"/>
              </w:rPr>
              <w:t>3.4</w:t>
            </w:r>
          </w:p>
        </w:tc>
        <w:tc>
          <w:tcPr>
            <w:tcW w:w="549" w:type="dxa"/>
          </w:tcPr>
          <w:p>
            <w:pPr>
              <w:pStyle w:val="TableParagraph"/>
              <w:spacing w:line="148" w:lineRule="exact" w:before="17"/>
              <w:ind w:left="16" w:right="16"/>
              <w:rPr>
                <w:sz w:val="13"/>
              </w:rPr>
            </w:pPr>
            <w:r>
              <w:rPr>
                <w:color w:val="231F20"/>
                <w:spacing w:val="-5"/>
                <w:w w:val="95"/>
                <w:sz w:val="13"/>
              </w:rPr>
              <w:t>3.8</w:t>
            </w:r>
          </w:p>
        </w:tc>
        <w:tc>
          <w:tcPr>
            <w:tcW w:w="615" w:type="dxa"/>
          </w:tcPr>
          <w:p>
            <w:pPr>
              <w:pStyle w:val="TableParagraph"/>
              <w:spacing w:line="148" w:lineRule="exact" w:before="17"/>
              <w:ind w:left="15" w:right="8"/>
              <w:rPr>
                <w:sz w:val="13"/>
              </w:rPr>
            </w:pPr>
            <w:r>
              <w:rPr>
                <w:color w:val="231F20"/>
                <w:spacing w:val="-5"/>
                <w:w w:val="95"/>
                <w:sz w:val="13"/>
              </w:rPr>
              <w:t>3.4</w:t>
            </w:r>
          </w:p>
        </w:tc>
        <w:tc>
          <w:tcPr>
            <w:tcW w:w="706" w:type="dxa"/>
          </w:tcPr>
          <w:p>
            <w:pPr>
              <w:pStyle w:val="TableParagraph"/>
              <w:spacing w:line="148" w:lineRule="exact" w:before="17"/>
              <w:ind w:left="18" w:right="24"/>
              <w:rPr>
                <w:sz w:val="13"/>
              </w:rPr>
            </w:pPr>
            <w:r>
              <w:rPr>
                <w:color w:val="231F20"/>
                <w:spacing w:val="-5"/>
                <w:w w:val="95"/>
                <w:sz w:val="13"/>
              </w:rPr>
              <w:t>3.8</w:t>
            </w:r>
          </w:p>
        </w:tc>
        <w:tc>
          <w:tcPr>
            <w:tcW w:w="368" w:type="dxa"/>
          </w:tcPr>
          <w:p>
            <w:pPr>
              <w:pStyle w:val="TableParagraph"/>
              <w:spacing w:line="148" w:lineRule="exact" w:before="17"/>
              <w:ind w:left="18" w:right="28"/>
              <w:rPr>
                <w:sz w:val="13"/>
              </w:rPr>
            </w:pPr>
            <w:r>
              <w:rPr>
                <w:color w:val="231F20"/>
                <w:spacing w:val="-5"/>
                <w:w w:val="95"/>
                <w:sz w:val="13"/>
              </w:rPr>
              <w:t>3.9</w:t>
            </w:r>
          </w:p>
        </w:tc>
        <w:tc>
          <w:tcPr>
            <w:tcW w:w="536" w:type="dxa"/>
            <w:tcBorders>
              <w:right w:val="single" w:sz="24" w:space="0" w:color="FFFFFF"/>
            </w:tcBorders>
          </w:tcPr>
          <w:p>
            <w:pPr>
              <w:pStyle w:val="TableParagraph"/>
              <w:spacing w:line="148" w:lineRule="exact" w:before="17"/>
              <w:ind w:left="19" w:right="27"/>
              <w:rPr>
                <w:sz w:val="13"/>
              </w:rPr>
            </w:pPr>
            <w:r>
              <w:rPr>
                <w:color w:val="231F20"/>
                <w:spacing w:val="-5"/>
                <w:w w:val="95"/>
                <w:sz w:val="13"/>
              </w:rPr>
              <w:t>3.9</w:t>
            </w:r>
          </w:p>
        </w:tc>
        <w:tc>
          <w:tcPr>
            <w:tcW w:w="1415" w:type="dxa"/>
            <w:tcBorders>
              <w:left w:val="single" w:sz="24" w:space="0" w:color="FFFFFF"/>
            </w:tcBorders>
          </w:tcPr>
          <w:p>
            <w:pPr>
              <w:pStyle w:val="TableParagraph"/>
              <w:spacing w:line="148" w:lineRule="exact" w:before="17"/>
              <w:ind w:left="70"/>
              <w:jc w:val="left"/>
              <w:rPr>
                <w:sz w:val="13"/>
              </w:rPr>
            </w:pPr>
            <w:r>
              <w:rPr>
                <w:color w:val="231F20"/>
                <w:w w:val="75"/>
                <w:sz w:val="13"/>
              </w:rPr>
              <w:t>Guinea-</w:t>
            </w:r>
            <w:r>
              <w:rPr>
                <w:color w:val="231F20"/>
                <w:spacing w:val="-2"/>
                <w:w w:val="90"/>
                <w:sz w:val="13"/>
              </w:rPr>
              <w:t>Bissau</w:t>
            </w:r>
          </w:p>
        </w:tc>
        <w:tc>
          <w:tcPr>
            <w:tcW w:w="482" w:type="dxa"/>
          </w:tcPr>
          <w:p>
            <w:pPr>
              <w:pStyle w:val="TableParagraph"/>
              <w:spacing w:line="148" w:lineRule="exact" w:before="17"/>
              <w:ind w:right="110"/>
              <w:jc w:val="right"/>
              <w:rPr>
                <w:sz w:val="13"/>
              </w:rPr>
            </w:pPr>
            <w:r>
              <w:rPr>
                <w:color w:val="231F20"/>
                <w:spacing w:val="-5"/>
                <w:w w:val="95"/>
                <w:sz w:val="13"/>
              </w:rPr>
              <w:t>2.6</w:t>
            </w:r>
          </w:p>
        </w:tc>
        <w:tc>
          <w:tcPr>
            <w:tcW w:w="532" w:type="dxa"/>
          </w:tcPr>
          <w:p>
            <w:pPr>
              <w:pStyle w:val="TableParagraph"/>
              <w:spacing w:line="148" w:lineRule="exact" w:before="17"/>
              <w:ind w:left="15" w:right="55"/>
              <w:rPr>
                <w:sz w:val="13"/>
              </w:rPr>
            </w:pPr>
            <w:r>
              <w:rPr>
                <w:color w:val="231F20"/>
                <w:spacing w:val="-5"/>
                <w:w w:val="95"/>
                <w:sz w:val="13"/>
              </w:rPr>
              <w:t>2.7</w:t>
            </w:r>
          </w:p>
        </w:tc>
        <w:tc>
          <w:tcPr>
            <w:tcW w:w="550" w:type="dxa"/>
          </w:tcPr>
          <w:p>
            <w:pPr>
              <w:pStyle w:val="TableParagraph"/>
              <w:spacing w:line="148" w:lineRule="exact" w:before="17"/>
              <w:ind w:left="19" w:right="45"/>
              <w:rPr>
                <w:sz w:val="13"/>
              </w:rPr>
            </w:pPr>
            <w:r>
              <w:rPr>
                <w:color w:val="231F20"/>
                <w:spacing w:val="-5"/>
                <w:w w:val="95"/>
                <w:sz w:val="13"/>
              </w:rPr>
              <w:t>2.4</w:t>
            </w:r>
          </w:p>
        </w:tc>
        <w:tc>
          <w:tcPr>
            <w:tcW w:w="616" w:type="dxa"/>
          </w:tcPr>
          <w:p>
            <w:pPr>
              <w:pStyle w:val="TableParagraph"/>
              <w:spacing w:line="148" w:lineRule="exact" w:before="17"/>
              <w:ind w:left="20" w:right="37"/>
              <w:rPr>
                <w:sz w:val="13"/>
              </w:rPr>
            </w:pPr>
            <w:r>
              <w:rPr>
                <w:color w:val="231F20"/>
                <w:spacing w:val="-5"/>
                <w:w w:val="95"/>
                <w:sz w:val="13"/>
              </w:rPr>
              <w:t>2.9</w:t>
            </w:r>
          </w:p>
        </w:tc>
        <w:tc>
          <w:tcPr>
            <w:tcW w:w="707" w:type="dxa"/>
          </w:tcPr>
          <w:p>
            <w:pPr>
              <w:pStyle w:val="TableParagraph"/>
              <w:spacing w:line="148" w:lineRule="exact" w:before="17"/>
              <w:ind w:left="16" w:right="55"/>
              <w:rPr>
                <w:sz w:val="13"/>
              </w:rPr>
            </w:pPr>
            <w:r>
              <w:rPr>
                <w:color w:val="231F20"/>
                <w:spacing w:val="-5"/>
                <w:w w:val="95"/>
                <w:sz w:val="13"/>
              </w:rPr>
              <w:t>2.9</w:t>
            </w:r>
          </w:p>
        </w:tc>
        <w:tc>
          <w:tcPr>
            <w:tcW w:w="369" w:type="dxa"/>
          </w:tcPr>
          <w:p>
            <w:pPr>
              <w:pStyle w:val="TableParagraph"/>
              <w:spacing w:line="148" w:lineRule="exact" w:before="17"/>
              <w:ind w:left="16" w:right="61"/>
              <w:rPr>
                <w:sz w:val="13"/>
              </w:rPr>
            </w:pPr>
            <w:r>
              <w:rPr>
                <w:color w:val="231F20"/>
                <w:spacing w:val="-5"/>
                <w:w w:val="95"/>
                <w:sz w:val="13"/>
              </w:rPr>
              <w:t>2.4</w:t>
            </w:r>
          </w:p>
        </w:tc>
        <w:tc>
          <w:tcPr>
            <w:tcW w:w="507" w:type="dxa"/>
          </w:tcPr>
          <w:p>
            <w:pPr>
              <w:pStyle w:val="TableParagraph"/>
              <w:spacing w:line="148" w:lineRule="exact" w:before="17"/>
              <w:ind w:right="44"/>
              <w:rPr>
                <w:sz w:val="13"/>
              </w:rPr>
            </w:pPr>
            <w:r>
              <w:rPr>
                <w:color w:val="231F20"/>
                <w:spacing w:val="-5"/>
                <w:w w:val="95"/>
                <w:sz w:val="13"/>
              </w:rPr>
              <w:t>2.3</w:t>
            </w:r>
          </w:p>
        </w:tc>
      </w:tr>
      <w:tr>
        <w:trPr>
          <w:trHeight w:val="184" w:hRule="atLeast"/>
        </w:trPr>
        <w:tc>
          <w:tcPr>
            <w:tcW w:w="1377" w:type="dxa"/>
            <w:shd w:val="clear" w:color="auto" w:fill="D4E3F5"/>
          </w:tcPr>
          <w:p>
            <w:pPr>
              <w:pStyle w:val="TableParagraph"/>
              <w:spacing w:line="148" w:lineRule="exact" w:before="17"/>
              <w:ind w:left="79"/>
              <w:jc w:val="left"/>
              <w:rPr>
                <w:sz w:val="13"/>
              </w:rPr>
            </w:pPr>
            <w:r>
              <w:rPr>
                <w:color w:val="231F20"/>
                <w:spacing w:val="-2"/>
                <w:w w:val="85"/>
                <w:sz w:val="13"/>
              </w:rPr>
              <w:t>Norway</w:t>
            </w:r>
          </w:p>
        </w:tc>
        <w:tc>
          <w:tcPr>
            <w:tcW w:w="487" w:type="dxa"/>
            <w:shd w:val="clear" w:color="auto" w:fill="D4E3F5"/>
          </w:tcPr>
          <w:p>
            <w:pPr>
              <w:pStyle w:val="TableParagraph"/>
              <w:spacing w:line="148" w:lineRule="exact" w:before="17"/>
              <w:ind w:right="102"/>
              <w:jc w:val="right"/>
              <w:rPr>
                <w:sz w:val="13"/>
              </w:rPr>
            </w:pPr>
            <w:r>
              <w:rPr>
                <w:color w:val="231F20"/>
                <w:spacing w:val="-5"/>
                <w:w w:val="95"/>
                <w:sz w:val="13"/>
              </w:rPr>
              <w:t>3.7</w:t>
            </w:r>
          </w:p>
        </w:tc>
        <w:tc>
          <w:tcPr>
            <w:tcW w:w="531" w:type="dxa"/>
            <w:shd w:val="clear" w:color="auto" w:fill="D4E3F5"/>
          </w:tcPr>
          <w:p>
            <w:pPr>
              <w:pStyle w:val="TableParagraph"/>
              <w:spacing w:line="148" w:lineRule="exact" w:before="17"/>
              <w:ind w:left="18" w:right="27"/>
              <w:rPr>
                <w:sz w:val="13"/>
              </w:rPr>
            </w:pPr>
            <w:r>
              <w:rPr>
                <w:color w:val="231F20"/>
                <w:spacing w:val="-5"/>
                <w:w w:val="95"/>
                <w:sz w:val="13"/>
              </w:rPr>
              <w:t>3.8</w:t>
            </w:r>
          </w:p>
        </w:tc>
        <w:tc>
          <w:tcPr>
            <w:tcW w:w="549" w:type="dxa"/>
            <w:shd w:val="clear" w:color="auto" w:fill="D4E3F5"/>
          </w:tcPr>
          <w:p>
            <w:pPr>
              <w:pStyle w:val="TableParagraph"/>
              <w:spacing w:line="148" w:lineRule="exact" w:before="17"/>
              <w:ind w:left="16" w:right="16"/>
              <w:rPr>
                <w:sz w:val="13"/>
              </w:rPr>
            </w:pPr>
            <w:r>
              <w:rPr>
                <w:color w:val="231F20"/>
                <w:spacing w:val="-5"/>
                <w:w w:val="95"/>
                <w:sz w:val="13"/>
              </w:rPr>
              <w:t>3.9</w:t>
            </w:r>
          </w:p>
        </w:tc>
        <w:tc>
          <w:tcPr>
            <w:tcW w:w="615" w:type="dxa"/>
            <w:shd w:val="clear" w:color="auto" w:fill="D4E3F5"/>
          </w:tcPr>
          <w:p>
            <w:pPr>
              <w:pStyle w:val="TableParagraph"/>
              <w:spacing w:line="148" w:lineRule="exact" w:before="17"/>
              <w:ind w:left="17" w:right="8"/>
              <w:rPr>
                <w:sz w:val="13"/>
              </w:rPr>
            </w:pPr>
            <w:r>
              <w:rPr>
                <w:color w:val="231F20"/>
                <w:spacing w:val="-5"/>
                <w:w w:val="95"/>
                <w:sz w:val="13"/>
              </w:rPr>
              <w:t>3.0</w:t>
            </w:r>
          </w:p>
        </w:tc>
        <w:tc>
          <w:tcPr>
            <w:tcW w:w="706" w:type="dxa"/>
            <w:shd w:val="clear" w:color="auto" w:fill="D4E3F5"/>
          </w:tcPr>
          <w:p>
            <w:pPr>
              <w:pStyle w:val="TableParagraph"/>
              <w:spacing w:line="148" w:lineRule="exact" w:before="17"/>
              <w:ind w:left="18" w:right="24"/>
              <w:rPr>
                <w:sz w:val="13"/>
              </w:rPr>
            </w:pPr>
            <w:r>
              <w:rPr>
                <w:color w:val="231F20"/>
                <w:spacing w:val="-5"/>
                <w:w w:val="95"/>
                <w:sz w:val="13"/>
              </w:rPr>
              <w:t>3.8</w:t>
            </w:r>
          </w:p>
        </w:tc>
        <w:tc>
          <w:tcPr>
            <w:tcW w:w="368" w:type="dxa"/>
            <w:shd w:val="clear" w:color="auto" w:fill="D4E3F5"/>
          </w:tcPr>
          <w:p>
            <w:pPr>
              <w:pStyle w:val="TableParagraph"/>
              <w:spacing w:line="148" w:lineRule="exact" w:before="17"/>
              <w:ind w:left="18" w:right="28"/>
              <w:rPr>
                <w:sz w:val="13"/>
              </w:rPr>
            </w:pPr>
            <w:r>
              <w:rPr>
                <w:color w:val="231F20"/>
                <w:spacing w:val="-5"/>
                <w:w w:val="95"/>
                <w:sz w:val="13"/>
              </w:rPr>
              <w:t>4.0</w:t>
            </w:r>
          </w:p>
        </w:tc>
        <w:tc>
          <w:tcPr>
            <w:tcW w:w="536" w:type="dxa"/>
            <w:tcBorders>
              <w:right w:val="single" w:sz="24" w:space="0" w:color="FFFFFF"/>
            </w:tcBorders>
            <w:shd w:val="clear" w:color="auto" w:fill="D4E3F5"/>
          </w:tcPr>
          <w:p>
            <w:pPr>
              <w:pStyle w:val="TableParagraph"/>
              <w:spacing w:line="148" w:lineRule="exact" w:before="17"/>
              <w:ind w:left="13" w:right="27"/>
              <w:rPr>
                <w:sz w:val="13"/>
              </w:rPr>
            </w:pPr>
            <w:r>
              <w:rPr>
                <w:color w:val="231F20"/>
                <w:spacing w:val="-5"/>
                <w:w w:val="95"/>
                <w:sz w:val="13"/>
              </w:rPr>
              <w:t>3.7</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4"/>
                <w:w w:val="90"/>
                <w:sz w:val="13"/>
              </w:rPr>
              <w:t>Mali</w:t>
            </w:r>
          </w:p>
        </w:tc>
        <w:tc>
          <w:tcPr>
            <w:tcW w:w="482" w:type="dxa"/>
            <w:shd w:val="clear" w:color="auto" w:fill="D4E3F5"/>
          </w:tcPr>
          <w:p>
            <w:pPr>
              <w:pStyle w:val="TableParagraph"/>
              <w:spacing w:line="148" w:lineRule="exact" w:before="17"/>
              <w:ind w:right="110"/>
              <w:jc w:val="right"/>
              <w:rPr>
                <w:sz w:val="13"/>
              </w:rPr>
            </w:pPr>
            <w:r>
              <w:rPr>
                <w:color w:val="231F20"/>
                <w:spacing w:val="-5"/>
                <w:w w:val="95"/>
                <w:sz w:val="13"/>
              </w:rPr>
              <w:t>2.6</w:t>
            </w:r>
          </w:p>
        </w:tc>
        <w:tc>
          <w:tcPr>
            <w:tcW w:w="532" w:type="dxa"/>
            <w:shd w:val="clear" w:color="auto" w:fill="D4E3F5"/>
          </w:tcPr>
          <w:p>
            <w:pPr>
              <w:pStyle w:val="TableParagraph"/>
              <w:spacing w:line="148" w:lineRule="exact" w:before="17"/>
              <w:ind w:left="18" w:right="55"/>
              <w:rPr>
                <w:sz w:val="13"/>
              </w:rPr>
            </w:pPr>
            <w:r>
              <w:rPr>
                <w:color w:val="231F20"/>
                <w:spacing w:val="-5"/>
                <w:w w:val="95"/>
                <w:sz w:val="13"/>
              </w:rPr>
              <w:t>2.6</w:t>
            </w:r>
          </w:p>
        </w:tc>
        <w:tc>
          <w:tcPr>
            <w:tcW w:w="550" w:type="dxa"/>
            <w:shd w:val="clear" w:color="auto" w:fill="D4E3F5"/>
          </w:tcPr>
          <w:p>
            <w:pPr>
              <w:pStyle w:val="TableParagraph"/>
              <w:spacing w:line="148" w:lineRule="exact" w:before="17"/>
              <w:ind w:left="20" w:right="45"/>
              <w:rPr>
                <w:sz w:val="13"/>
              </w:rPr>
            </w:pPr>
            <w:r>
              <w:rPr>
                <w:color w:val="231F20"/>
                <w:spacing w:val="-5"/>
                <w:w w:val="95"/>
                <w:sz w:val="13"/>
              </w:rPr>
              <w:t>2.0</w:t>
            </w:r>
          </w:p>
        </w:tc>
        <w:tc>
          <w:tcPr>
            <w:tcW w:w="616" w:type="dxa"/>
            <w:shd w:val="clear" w:color="auto" w:fill="D4E3F5"/>
          </w:tcPr>
          <w:p>
            <w:pPr>
              <w:pStyle w:val="TableParagraph"/>
              <w:spacing w:line="148" w:lineRule="exact" w:before="17"/>
              <w:ind w:left="19" w:right="37"/>
              <w:rPr>
                <w:sz w:val="13"/>
              </w:rPr>
            </w:pPr>
            <w:r>
              <w:rPr>
                <w:color w:val="231F20"/>
                <w:spacing w:val="-5"/>
                <w:w w:val="95"/>
                <w:sz w:val="13"/>
              </w:rPr>
              <w:t>2.6</w:t>
            </w:r>
          </w:p>
        </w:tc>
        <w:tc>
          <w:tcPr>
            <w:tcW w:w="707" w:type="dxa"/>
            <w:shd w:val="clear" w:color="auto" w:fill="D4E3F5"/>
          </w:tcPr>
          <w:p>
            <w:pPr>
              <w:pStyle w:val="TableParagraph"/>
              <w:spacing w:line="148" w:lineRule="exact" w:before="17"/>
              <w:ind w:left="16" w:right="55"/>
              <w:rPr>
                <w:sz w:val="13"/>
              </w:rPr>
            </w:pPr>
            <w:r>
              <w:rPr>
                <w:color w:val="231F20"/>
                <w:spacing w:val="-5"/>
                <w:w w:val="95"/>
                <w:sz w:val="13"/>
              </w:rPr>
              <w:t>2.5</w:t>
            </w:r>
          </w:p>
        </w:tc>
        <w:tc>
          <w:tcPr>
            <w:tcW w:w="369" w:type="dxa"/>
            <w:shd w:val="clear" w:color="auto" w:fill="D4E3F5"/>
          </w:tcPr>
          <w:p>
            <w:pPr>
              <w:pStyle w:val="TableParagraph"/>
              <w:spacing w:line="148" w:lineRule="exact" w:before="17"/>
              <w:ind w:right="61"/>
              <w:rPr>
                <w:sz w:val="13"/>
              </w:rPr>
            </w:pPr>
            <w:r>
              <w:rPr>
                <w:color w:val="231F20"/>
                <w:spacing w:val="-5"/>
                <w:w w:val="95"/>
                <w:sz w:val="13"/>
              </w:rPr>
              <w:t>3.1</w:t>
            </w:r>
          </w:p>
        </w:tc>
        <w:tc>
          <w:tcPr>
            <w:tcW w:w="507" w:type="dxa"/>
            <w:shd w:val="clear" w:color="auto" w:fill="D4E3F5"/>
          </w:tcPr>
          <w:p>
            <w:pPr>
              <w:pStyle w:val="TableParagraph"/>
              <w:spacing w:line="148" w:lineRule="exact" w:before="17"/>
              <w:ind w:left="3" w:right="51"/>
              <w:rPr>
                <w:sz w:val="13"/>
              </w:rPr>
            </w:pPr>
            <w:r>
              <w:rPr>
                <w:color w:val="231F20"/>
                <w:spacing w:val="-5"/>
                <w:w w:val="95"/>
                <w:sz w:val="13"/>
              </w:rPr>
              <w:t>2.7</w:t>
            </w:r>
          </w:p>
        </w:tc>
      </w:tr>
      <w:tr>
        <w:trPr>
          <w:trHeight w:val="184" w:hRule="atLeast"/>
        </w:trPr>
        <w:tc>
          <w:tcPr>
            <w:tcW w:w="1377" w:type="dxa"/>
          </w:tcPr>
          <w:p>
            <w:pPr>
              <w:pStyle w:val="TableParagraph"/>
              <w:spacing w:line="148" w:lineRule="exact" w:before="17"/>
              <w:ind w:left="79"/>
              <w:jc w:val="left"/>
              <w:rPr>
                <w:sz w:val="13"/>
              </w:rPr>
            </w:pPr>
            <w:r>
              <w:rPr>
                <w:color w:val="231F20"/>
                <w:w w:val="75"/>
                <w:sz w:val="13"/>
              </w:rPr>
              <w:t>South</w:t>
            </w:r>
            <w:r>
              <w:rPr>
                <w:color w:val="231F20"/>
                <w:spacing w:val="12"/>
                <w:sz w:val="13"/>
              </w:rPr>
              <w:t> </w:t>
            </w:r>
            <w:r>
              <w:rPr>
                <w:color w:val="231F20"/>
                <w:spacing w:val="-2"/>
                <w:w w:val="90"/>
                <w:sz w:val="13"/>
              </w:rPr>
              <w:t>Africa</w:t>
            </w:r>
          </w:p>
        </w:tc>
        <w:tc>
          <w:tcPr>
            <w:tcW w:w="487" w:type="dxa"/>
          </w:tcPr>
          <w:p>
            <w:pPr>
              <w:pStyle w:val="TableParagraph"/>
              <w:spacing w:line="148" w:lineRule="exact" w:before="17"/>
              <w:ind w:right="102"/>
              <w:jc w:val="right"/>
              <w:rPr>
                <w:sz w:val="13"/>
              </w:rPr>
            </w:pPr>
            <w:r>
              <w:rPr>
                <w:color w:val="231F20"/>
                <w:spacing w:val="-5"/>
                <w:w w:val="95"/>
                <w:sz w:val="13"/>
              </w:rPr>
              <w:t>3.7</w:t>
            </w:r>
          </w:p>
        </w:tc>
        <w:tc>
          <w:tcPr>
            <w:tcW w:w="531" w:type="dxa"/>
          </w:tcPr>
          <w:p>
            <w:pPr>
              <w:pStyle w:val="TableParagraph"/>
              <w:spacing w:line="148" w:lineRule="exact" w:before="17"/>
              <w:ind w:left="18" w:right="27"/>
              <w:rPr>
                <w:sz w:val="13"/>
              </w:rPr>
            </w:pPr>
            <w:r>
              <w:rPr>
                <w:color w:val="231F20"/>
                <w:spacing w:val="-5"/>
                <w:w w:val="95"/>
                <w:sz w:val="13"/>
              </w:rPr>
              <w:t>3.3</w:t>
            </w:r>
          </w:p>
        </w:tc>
        <w:tc>
          <w:tcPr>
            <w:tcW w:w="549" w:type="dxa"/>
          </w:tcPr>
          <w:p>
            <w:pPr>
              <w:pStyle w:val="TableParagraph"/>
              <w:spacing w:line="148" w:lineRule="exact" w:before="17"/>
              <w:ind w:left="15" w:right="16"/>
              <w:rPr>
                <w:sz w:val="13"/>
              </w:rPr>
            </w:pPr>
            <w:r>
              <w:rPr>
                <w:color w:val="231F20"/>
                <w:spacing w:val="-5"/>
                <w:w w:val="95"/>
                <w:sz w:val="13"/>
              </w:rPr>
              <w:t>3.6</w:t>
            </w:r>
          </w:p>
        </w:tc>
        <w:tc>
          <w:tcPr>
            <w:tcW w:w="615" w:type="dxa"/>
          </w:tcPr>
          <w:p>
            <w:pPr>
              <w:pStyle w:val="TableParagraph"/>
              <w:spacing w:line="148" w:lineRule="exact" w:before="17"/>
              <w:ind w:left="16" w:right="8"/>
              <w:rPr>
                <w:sz w:val="13"/>
              </w:rPr>
            </w:pPr>
            <w:r>
              <w:rPr>
                <w:color w:val="231F20"/>
                <w:spacing w:val="-5"/>
                <w:w w:val="95"/>
                <w:sz w:val="13"/>
              </w:rPr>
              <w:t>3.6</w:t>
            </w:r>
          </w:p>
        </w:tc>
        <w:tc>
          <w:tcPr>
            <w:tcW w:w="706" w:type="dxa"/>
          </w:tcPr>
          <w:p>
            <w:pPr>
              <w:pStyle w:val="TableParagraph"/>
              <w:spacing w:line="148" w:lineRule="exact" w:before="17"/>
              <w:ind w:left="18" w:right="24"/>
              <w:rPr>
                <w:sz w:val="13"/>
              </w:rPr>
            </w:pPr>
            <w:r>
              <w:rPr>
                <w:color w:val="231F20"/>
                <w:spacing w:val="-5"/>
                <w:w w:val="95"/>
                <w:sz w:val="13"/>
              </w:rPr>
              <w:t>3.8</w:t>
            </w:r>
          </w:p>
        </w:tc>
        <w:tc>
          <w:tcPr>
            <w:tcW w:w="368" w:type="dxa"/>
          </w:tcPr>
          <w:p>
            <w:pPr>
              <w:pStyle w:val="TableParagraph"/>
              <w:spacing w:line="148" w:lineRule="exact" w:before="17"/>
              <w:ind w:left="19" w:right="28"/>
              <w:rPr>
                <w:sz w:val="13"/>
              </w:rPr>
            </w:pPr>
            <w:r>
              <w:rPr>
                <w:color w:val="231F20"/>
                <w:spacing w:val="-5"/>
                <w:w w:val="95"/>
                <w:sz w:val="13"/>
              </w:rPr>
              <w:t>3.8</w:t>
            </w:r>
          </w:p>
        </w:tc>
        <w:tc>
          <w:tcPr>
            <w:tcW w:w="536" w:type="dxa"/>
            <w:tcBorders>
              <w:right w:val="single" w:sz="24" w:space="0" w:color="FFFFFF"/>
            </w:tcBorders>
          </w:tcPr>
          <w:p>
            <w:pPr>
              <w:pStyle w:val="TableParagraph"/>
              <w:spacing w:line="148" w:lineRule="exact" w:before="17"/>
              <w:ind w:left="20" w:right="27"/>
              <w:rPr>
                <w:sz w:val="13"/>
              </w:rPr>
            </w:pPr>
            <w:r>
              <w:rPr>
                <w:color w:val="231F20"/>
                <w:spacing w:val="-5"/>
                <w:w w:val="95"/>
                <w:sz w:val="13"/>
              </w:rPr>
              <w:t>3.8</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90"/>
                <w:sz w:val="13"/>
              </w:rPr>
              <w:t>Nigeria</w:t>
            </w:r>
          </w:p>
        </w:tc>
        <w:tc>
          <w:tcPr>
            <w:tcW w:w="482" w:type="dxa"/>
          </w:tcPr>
          <w:p>
            <w:pPr>
              <w:pStyle w:val="TableParagraph"/>
              <w:spacing w:line="148" w:lineRule="exact" w:before="17"/>
              <w:ind w:right="110"/>
              <w:jc w:val="right"/>
              <w:rPr>
                <w:sz w:val="13"/>
              </w:rPr>
            </w:pPr>
            <w:r>
              <w:rPr>
                <w:color w:val="231F20"/>
                <w:spacing w:val="-5"/>
                <w:w w:val="95"/>
                <w:sz w:val="13"/>
              </w:rPr>
              <w:t>2.6</w:t>
            </w:r>
          </w:p>
        </w:tc>
        <w:tc>
          <w:tcPr>
            <w:tcW w:w="532" w:type="dxa"/>
          </w:tcPr>
          <w:p>
            <w:pPr>
              <w:pStyle w:val="TableParagraph"/>
              <w:spacing w:line="148" w:lineRule="exact" w:before="17"/>
              <w:ind w:left="18" w:right="55"/>
              <w:rPr>
                <w:sz w:val="13"/>
              </w:rPr>
            </w:pPr>
            <w:r>
              <w:rPr>
                <w:color w:val="231F20"/>
                <w:spacing w:val="-5"/>
                <w:w w:val="95"/>
                <w:sz w:val="13"/>
              </w:rPr>
              <w:t>2.4</w:t>
            </w:r>
          </w:p>
        </w:tc>
        <w:tc>
          <w:tcPr>
            <w:tcW w:w="550" w:type="dxa"/>
          </w:tcPr>
          <w:p>
            <w:pPr>
              <w:pStyle w:val="TableParagraph"/>
              <w:spacing w:line="148" w:lineRule="exact" w:before="17"/>
              <w:ind w:left="18" w:right="45"/>
              <w:rPr>
                <w:sz w:val="13"/>
              </w:rPr>
            </w:pPr>
            <w:r>
              <w:rPr>
                <w:color w:val="231F20"/>
                <w:spacing w:val="-5"/>
                <w:w w:val="95"/>
                <w:sz w:val="13"/>
              </w:rPr>
              <w:t>2.4</w:t>
            </w:r>
          </w:p>
        </w:tc>
        <w:tc>
          <w:tcPr>
            <w:tcW w:w="616" w:type="dxa"/>
          </w:tcPr>
          <w:p>
            <w:pPr>
              <w:pStyle w:val="TableParagraph"/>
              <w:spacing w:line="148" w:lineRule="exact" w:before="17"/>
              <w:ind w:left="20" w:right="37"/>
              <w:rPr>
                <w:sz w:val="13"/>
              </w:rPr>
            </w:pPr>
            <w:r>
              <w:rPr>
                <w:color w:val="231F20"/>
                <w:spacing w:val="-5"/>
                <w:w w:val="95"/>
                <w:sz w:val="13"/>
              </w:rPr>
              <w:t>2.5</w:t>
            </w:r>
          </w:p>
        </w:tc>
        <w:tc>
          <w:tcPr>
            <w:tcW w:w="707" w:type="dxa"/>
          </w:tcPr>
          <w:p>
            <w:pPr>
              <w:pStyle w:val="TableParagraph"/>
              <w:spacing w:line="148" w:lineRule="exact" w:before="17"/>
              <w:ind w:left="16" w:right="55"/>
              <w:rPr>
                <w:sz w:val="13"/>
              </w:rPr>
            </w:pPr>
            <w:r>
              <w:rPr>
                <w:color w:val="231F20"/>
                <w:spacing w:val="-5"/>
                <w:w w:val="95"/>
                <w:sz w:val="13"/>
              </w:rPr>
              <w:t>2.3</w:t>
            </w:r>
          </w:p>
        </w:tc>
        <w:tc>
          <w:tcPr>
            <w:tcW w:w="369" w:type="dxa"/>
          </w:tcPr>
          <w:p>
            <w:pPr>
              <w:pStyle w:val="TableParagraph"/>
              <w:spacing w:line="148" w:lineRule="exact" w:before="17"/>
              <w:ind w:right="61"/>
              <w:rPr>
                <w:sz w:val="13"/>
              </w:rPr>
            </w:pPr>
            <w:r>
              <w:rPr>
                <w:color w:val="231F20"/>
                <w:spacing w:val="-5"/>
                <w:w w:val="95"/>
                <w:sz w:val="13"/>
              </w:rPr>
              <w:t>3.1</w:t>
            </w:r>
          </w:p>
        </w:tc>
        <w:tc>
          <w:tcPr>
            <w:tcW w:w="507" w:type="dxa"/>
          </w:tcPr>
          <w:p>
            <w:pPr>
              <w:pStyle w:val="TableParagraph"/>
              <w:spacing w:line="148" w:lineRule="exact" w:before="17"/>
              <w:ind w:left="3" w:right="51"/>
              <w:rPr>
                <w:sz w:val="13"/>
              </w:rPr>
            </w:pPr>
            <w:r>
              <w:rPr>
                <w:color w:val="231F20"/>
                <w:spacing w:val="-5"/>
                <w:w w:val="95"/>
                <w:sz w:val="13"/>
              </w:rPr>
              <w:t>2.7</w:t>
            </w:r>
          </w:p>
        </w:tc>
      </w:tr>
      <w:tr>
        <w:trPr>
          <w:trHeight w:val="184" w:hRule="atLeast"/>
        </w:trPr>
        <w:tc>
          <w:tcPr>
            <w:tcW w:w="1377" w:type="dxa"/>
            <w:shd w:val="clear" w:color="auto" w:fill="D4E3F5"/>
          </w:tcPr>
          <w:p>
            <w:pPr>
              <w:pStyle w:val="TableParagraph"/>
              <w:spacing w:line="147" w:lineRule="exact" w:before="17"/>
              <w:ind w:left="79"/>
              <w:jc w:val="left"/>
              <w:rPr>
                <w:sz w:val="13"/>
              </w:rPr>
            </w:pPr>
            <w:r>
              <w:rPr>
                <w:color w:val="231F20"/>
                <w:w w:val="75"/>
                <w:sz w:val="13"/>
              </w:rPr>
              <w:t>United</w:t>
            </w:r>
            <w:r>
              <w:rPr>
                <w:color w:val="231F20"/>
                <w:spacing w:val="11"/>
                <w:sz w:val="13"/>
              </w:rPr>
              <w:t> </w:t>
            </w:r>
            <w:r>
              <w:rPr>
                <w:color w:val="231F20"/>
                <w:spacing w:val="-2"/>
                <w:w w:val="90"/>
                <w:sz w:val="13"/>
              </w:rPr>
              <w:t>Kingdom</w:t>
            </w:r>
          </w:p>
        </w:tc>
        <w:tc>
          <w:tcPr>
            <w:tcW w:w="487" w:type="dxa"/>
            <w:shd w:val="clear" w:color="auto" w:fill="D4E3F5"/>
          </w:tcPr>
          <w:p>
            <w:pPr>
              <w:pStyle w:val="TableParagraph"/>
              <w:spacing w:line="147" w:lineRule="exact" w:before="17"/>
              <w:ind w:right="102"/>
              <w:jc w:val="right"/>
              <w:rPr>
                <w:sz w:val="13"/>
              </w:rPr>
            </w:pPr>
            <w:r>
              <w:rPr>
                <w:color w:val="231F20"/>
                <w:spacing w:val="-5"/>
                <w:w w:val="95"/>
                <w:sz w:val="13"/>
              </w:rPr>
              <w:t>3.7</w:t>
            </w:r>
          </w:p>
        </w:tc>
        <w:tc>
          <w:tcPr>
            <w:tcW w:w="531" w:type="dxa"/>
            <w:shd w:val="clear" w:color="auto" w:fill="D4E3F5"/>
          </w:tcPr>
          <w:p>
            <w:pPr>
              <w:pStyle w:val="TableParagraph"/>
              <w:spacing w:line="147" w:lineRule="exact" w:before="17"/>
              <w:ind w:left="16" w:right="27"/>
              <w:rPr>
                <w:sz w:val="13"/>
              </w:rPr>
            </w:pPr>
            <w:r>
              <w:rPr>
                <w:color w:val="231F20"/>
                <w:spacing w:val="-5"/>
                <w:w w:val="95"/>
                <w:sz w:val="13"/>
              </w:rPr>
              <w:t>3.5</w:t>
            </w:r>
          </w:p>
        </w:tc>
        <w:tc>
          <w:tcPr>
            <w:tcW w:w="549" w:type="dxa"/>
            <w:shd w:val="clear" w:color="auto" w:fill="D4E3F5"/>
          </w:tcPr>
          <w:p>
            <w:pPr>
              <w:pStyle w:val="TableParagraph"/>
              <w:spacing w:line="147" w:lineRule="exact" w:before="17"/>
              <w:ind w:left="13" w:right="16"/>
              <w:rPr>
                <w:sz w:val="13"/>
              </w:rPr>
            </w:pPr>
            <w:r>
              <w:rPr>
                <w:color w:val="231F20"/>
                <w:spacing w:val="-5"/>
                <w:w w:val="95"/>
                <w:sz w:val="13"/>
              </w:rPr>
              <w:t>3.7</w:t>
            </w:r>
          </w:p>
        </w:tc>
        <w:tc>
          <w:tcPr>
            <w:tcW w:w="615" w:type="dxa"/>
            <w:shd w:val="clear" w:color="auto" w:fill="D4E3F5"/>
          </w:tcPr>
          <w:p>
            <w:pPr>
              <w:pStyle w:val="TableParagraph"/>
              <w:spacing w:line="147" w:lineRule="exact" w:before="17"/>
              <w:ind w:left="17" w:right="8"/>
              <w:rPr>
                <w:sz w:val="13"/>
              </w:rPr>
            </w:pPr>
            <w:r>
              <w:rPr>
                <w:color w:val="231F20"/>
                <w:spacing w:val="-5"/>
                <w:w w:val="95"/>
                <w:sz w:val="13"/>
              </w:rPr>
              <w:t>3.5</w:t>
            </w:r>
          </w:p>
        </w:tc>
        <w:tc>
          <w:tcPr>
            <w:tcW w:w="706" w:type="dxa"/>
            <w:shd w:val="clear" w:color="auto" w:fill="D4E3F5"/>
          </w:tcPr>
          <w:p>
            <w:pPr>
              <w:pStyle w:val="TableParagraph"/>
              <w:spacing w:line="147" w:lineRule="exact" w:before="17"/>
              <w:ind w:left="11" w:right="24"/>
              <w:rPr>
                <w:sz w:val="13"/>
              </w:rPr>
            </w:pPr>
            <w:r>
              <w:rPr>
                <w:color w:val="231F20"/>
                <w:spacing w:val="-5"/>
                <w:w w:val="95"/>
                <w:sz w:val="13"/>
              </w:rPr>
              <w:t>3.7</w:t>
            </w:r>
          </w:p>
        </w:tc>
        <w:tc>
          <w:tcPr>
            <w:tcW w:w="368" w:type="dxa"/>
            <w:shd w:val="clear" w:color="auto" w:fill="D4E3F5"/>
          </w:tcPr>
          <w:p>
            <w:pPr>
              <w:pStyle w:val="TableParagraph"/>
              <w:spacing w:line="147" w:lineRule="exact" w:before="17"/>
              <w:ind w:left="13" w:right="28"/>
              <w:rPr>
                <w:sz w:val="13"/>
              </w:rPr>
            </w:pPr>
            <w:r>
              <w:rPr>
                <w:color w:val="231F20"/>
                <w:spacing w:val="-5"/>
                <w:w w:val="95"/>
                <w:sz w:val="13"/>
              </w:rPr>
              <w:t>3.7</w:t>
            </w:r>
          </w:p>
        </w:tc>
        <w:tc>
          <w:tcPr>
            <w:tcW w:w="536" w:type="dxa"/>
            <w:tcBorders>
              <w:right w:val="single" w:sz="24" w:space="0" w:color="FFFFFF"/>
            </w:tcBorders>
            <w:shd w:val="clear" w:color="auto" w:fill="D4E3F5"/>
          </w:tcPr>
          <w:p>
            <w:pPr>
              <w:pStyle w:val="TableParagraph"/>
              <w:spacing w:line="147" w:lineRule="exact" w:before="17"/>
              <w:ind w:left="18" w:right="27"/>
              <w:rPr>
                <w:sz w:val="13"/>
              </w:rPr>
            </w:pPr>
            <w:r>
              <w:rPr>
                <w:color w:val="231F20"/>
                <w:spacing w:val="-5"/>
                <w:w w:val="95"/>
                <w:sz w:val="13"/>
              </w:rPr>
              <w:t>4.0</w:t>
            </w:r>
          </w:p>
        </w:tc>
        <w:tc>
          <w:tcPr>
            <w:tcW w:w="1415" w:type="dxa"/>
            <w:tcBorders>
              <w:left w:val="single" w:sz="24" w:space="0" w:color="FFFFFF"/>
            </w:tcBorders>
            <w:shd w:val="clear" w:color="auto" w:fill="D4E3F5"/>
          </w:tcPr>
          <w:p>
            <w:pPr>
              <w:pStyle w:val="TableParagraph"/>
              <w:spacing w:line="147" w:lineRule="exact" w:before="17"/>
              <w:ind w:left="70"/>
              <w:jc w:val="left"/>
              <w:rPr>
                <w:sz w:val="13"/>
              </w:rPr>
            </w:pPr>
            <w:r>
              <w:rPr>
                <w:color w:val="231F20"/>
                <w:w w:val="75"/>
                <w:sz w:val="13"/>
              </w:rPr>
              <w:t>Russian</w:t>
            </w:r>
            <w:r>
              <w:rPr>
                <w:color w:val="231F20"/>
                <w:spacing w:val="9"/>
                <w:sz w:val="13"/>
              </w:rPr>
              <w:t> </w:t>
            </w:r>
            <w:r>
              <w:rPr>
                <w:color w:val="231F20"/>
                <w:spacing w:val="-2"/>
                <w:w w:val="85"/>
                <w:sz w:val="13"/>
              </w:rPr>
              <w:t>Federation</w:t>
            </w:r>
          </w:p>
        </w:tc>
        <w:tc>
          <w:tcPr>
            <w:tcW w:w="482" w:type="dxa"/>
            <w:shd w:val="clear" w:color="auto" w:fill="D4E3F5"/>
          </w:tcPr>
          <w:p>
            <w:pPr>
              <w:pStyle w:val="TableParagraph"/>
              <w:spacing w:line="147" w:lineRule="exact" w:before="17"/>
              <w:ind w:right="110"/>
              <w:jc w:val="right"/>
              <w:rPr>
                <w:sz w:val="13"/>
              </w:rPr>
            </w:pPr>
            <w:r>
              <w:rPr>
                <w:color w:val="231F20"/>
                <w:spacing w:val="-5"/>
                <w:w w:val="95"/>
                <w:sz w:val="13"/>
              </w:rPr>
              <w:t>2.6</w:t>
            </w:r>
          </w:p>
        </w:tc>
        <w:tc>
          <w:tcPr>
            <w:tcW w:w="532" w:type="dxa"/>
            <w:shd w:val="clear" w:color="auto" w:fill="D4E3F5"/>
          </w:tcPr>
          <w:p>
            <w:pPr>
              <w:pStyle w:val="TableParagraph"/>
              <w:spacing w:line="147" w:lineRule="exact" w:before="17"/>
              <w:ind w:left="18" w:right="55"/>
              <w:rPr>
                <w:sz w:val="13"/>
              </w:rPr>
            </w:pPr>
            <w:r>
              <w:rPr>
                <w:color w:val="231F20"/>
                <w:spacing w:val="-5"/>
                <w:w w:val="95"/>
                <w:sz w:val="13"/>
              </w:rPr>
              <w:t>2.4</w:t>
            </w:r>
          </w:p>
        </w:tc>
        <w:tc>
          <w:tcPr>
            <w:tcW w:w="550" w:type="dxa"/>
            <w:shd w:val="clear" w:color="auto" w:fill="D4E3F5"/>
          </w:tcPr>
          <w:p>
            <w:pPr>
              <w:pStyle w:val="TableParagraph"/>
              <w:spacing w:line="147" w:lineRule="exact" w:before="17"/>
              <w:ind w:left="15" w:right="45"/>
              <w:rPr>
                <w:sz w:val="13"/>
              </w:rPr>
            </w:pPr>
            <w:r>
              <w:rPr>
                <w:color w:val="231F20"/>
                <w:spacing w:val="-5"/>
                <w:w w:val="95"/>
                <w:sz w:val="13"/>
              </w:rPr>
              <w:t>2.7</w:t>
            </w:r>
          </w:p>
        </w:tc>
        <w:tc>
          <w:tcPr>
            <w:tcW w:w="616" w:type="dxa"/>
            <w:shd w:val="clear" w:color="auto" w:fill="D4E3F5"/>
          </w:tcPr>
          <w:p>
            <w:pPr>
              <w:pStyle w:val="TableParagraph"/>
              <w:spacing w:line="147" w:lineRule="exact" w:before="17"/>
              <w:ind w:left="20" w:right="37"/>
              <w:rPr>
                <w:sz w:val="13"/>
              </w:rPr>
            </w:pPr>
            <w:r>
              <w:rPr>
                <w:color w:val="231F20"/>
                <w:spacing w:val="-5"/>
                <w:w w:val="95"/>
                <w:sz w:val="13"/>
              </w:rPr>
              <w:t>2.3</w:t>
            </w:r>
          </w:p>
        </w:tc>
        <w:tc>
          <w:tcPr>
            <w:tcW w:w="707" w:type="dxa"/>
            <w:shd w:val="clear" w:color="auto" w:fill="D4E3F5"/>
          </w:tcPr>
          <w:p>
            <w:pPr>
              <w:pStyle w:val="TableParagraph"/>
              <w:spacing w:line="147" w:lineRule="exact" w:before="17"/>
              <w:ind w:left="15" w:right="55"/>
              <w:rPr>
                <w:sz w:val="13"/>
              </w:rPr>
            </w:pPr>
            <w:r>
              <w:rPr>
                <w:color w:val="231F20"/>
                <w:spacing w:val="-5"/>
                <w:w w:val="95"/>
                <w:sz w:val="13"/>
              </w:rPr>
              <w:t>2.6</w:t>
            </w:r>
          </w:p>
        </w:tc>
        <w:tc>
          <w:tcPr>
            <w:tcW w:w="369" w:type="dxa"/>
            <w:shd w:val="clear" w:color="auto" w:fill="D4E3F5"/>
          </w:tcPr>
          <w:p>
            <w:pPr>
              <w:pStyle w:val="TableParagraph"/>
              <w:spacing w:line="147" w:lineRule="exact" w:before="17"/>
              <w:ind w:left="17" w:right="61"/>
              <w:rPr>
                <w:sz w:val="13"/>
              </w:rPr>
            </w:pPr>
            <w:r>
              <w:rPr>
                <w:color w:val="231F20"/>
                <w:spacing w:val="-5"/>
                <w:w w:val="95"/>
                <w:sz w:val="13"/>
              </w:rPr>
              <w:t>2.9</w:t>
            </w:r>
          </w:p>
        </w:tc>
        <w:tc>
          <w:tcPr>
            <w:tcW w:w="507" w:type="dxa"/>
            <w:shd w:val="clear" w:color="auto" w:fill="D4E3F5"/>
          </w:tcPr>
          <w:p>
            <w:pPr>
              <w:pStyle w:val="TableParagraph"/>
              <w:spacing w:line="147" w:lineRule="exact" w:before="17"/>
              <w:ind w:right="44"/>
              <w:rPr>
                <w:sz w:val="13"/>
              </w:rPr>
            </w:pPr>
            <w:r>
              <w:rPr>
                <w:color w:val="231F20"/>
                <w:spacing w:val="-5"/>
                <w:w w:val="95"/>
                <w:sz w:val="13"/>
              </w:rPr>
              <w:t>2.5</w:t>
            </w:r>
          </w:p>
        </w:tc>
      </w:tr>
      <w:tr>
        <w:trPr>
          <w:trHeight w:val="184" w:hRule="atLeast"/>
        </w:trPr>
        <w:tc>
          <w:tcPr>
            <w:tcW w:w="1377" w:type="dxa"/>
          </w:tcPr>
          <w:p>
            <w:pPr>
              <w:pStyle w:val="TableParagraph"/>
              <w:spacing w:line="147" w:lineRule="exact" w:before="17"/>
              <w:ind w:left="79"/>
              <w:jc w:val="left"/>
              <w:rPr>
                <w:sz w:val="13"/>
              </w:rPr>
            </w:pPr>
            <w:r>
              <w:rPr>
                <w:color w:val="231F20"/>
                <w:spacing w:val="-2"/>
                <w:w w:val="85"/>
                <w:sz w:val="13"/>
              </w:rPr>
              <w:t>Estonia</w:t>
            </w:r>
          </w:p>
        </w:tc>
        <w:tc>
          <w:tcPr>
            <w:tcW w:w="487" w:type="dxa"/>
          </w:tcPr>
          <w:p>
            <w:pPr>
              <w:pStyle w:val="TableParagraph"/>
              <w:spacing w:line="147" w:lineRule="exact" w:before="17"/>
              <w:ind w:right="98"/>
              <w:jc w:val="right"/>
              <w:rPr>
                <w:sz w:val="13"/>
              </w:rPr>
            </w:pPr>
            <w:r>
              <w:rPr>
                <w:color w:val="231F20"/>
                <w:spacing w:val="-5"/>
                <w:w w:val="95"/>
                <w:sz w:val="13"/>
              </w:rPr>
              <w:t>3.6</w:t>
            </w:r>
          </w:p>
        </w:tc>
        <w:tc>
          <w:tcPr>
            <w:tcW w:w="531" w:type="dxa"/>
          </w:tcPr>
          <w:p>
            <w:pPr>
              <w:pStyle w:val="TableParagraph"/>
              <w:spacing w:line="147" w:lineRule="exact" w:before="17"/>
              <w:ind w:left="17" w:right="27"/>
              <w:rPr>
                <w:sz w:val="13"/>
              </w:rPr>
            </w:pPr>
            <w:r>
              <w:rPr>
                <w:color w:val="231F20"/>
                <w:spacing w:val="-5"/>
                <w:w w:val="95"/>
                <w:sz w:val="13"/>
              </w:rPr>
              <w:t>3.2</w:t>
            </w:r>
          </w:p>
        </w:tc>
        <w:tc>
          <w:tcPr>
            <w:tcW w:w="549" w:type="dxa"/>
          </w:tcPr>
          <w:p>
            <w:pPr>
              <w:pStyle w:val="TableParagraph"/>
              <w:spacing w:line="147" w:lineRule="exact" w:before="17"/>
              <w:ind w:left="15" w:right="16"/>
              <w:rPr>
                <w:sz w:val="13"/>
              </w:rPr>
            </w:pPr>
            <w:r>
              <w:rPr>
                <w:color w:val="231F20"/>
                <w:spacing w:val="-5"/>
                <w:w w:val="95"/>
                <w:sz w:val="13"/>
              </w:rPr>
              <w:t>3.5</w:t>
            </w:r>
          </w:p>
        </w:tc>
        <w:tc>
          <w:tcPr>
            <w:tcW w:w="615" w:type="dxa"/>
          </w:tcPr>
          <w:p>
            <w:pPr>
              <w:pStyle w:val="TableParagraph"/>
              <w:spacing w:line="147" w:lineRule="exact" w:before="17"/>
              <w:ind w:left="15" w:right="8"/>
              <w:rPr>
                <w:sz w:val="13"/>
              </w:rPr>
            </w:pPr>
            <w:r>
              <w:rPr>
                <w:color w:val="231F20"/>
                <w:spacing w:val="-5"/>
                <w:w w:val="95"/>
                <w:sz w:val="13"/>
              </w:rPr>
              <w:t>3.4</w:t>
            </w:r>
          </w:p>
        </w:tc>
        <w:tc>
          <w:tcPr>
            <w:tcW w:w="706" w:type="dxa"/>
          </w:tcPr>
          <w:p>
            <w:pPr>
              <w:pStyle w:val="TableParagraph"/>
              <w:spacing w:line="147" w:lineRule="exact" w:before="17"/>
              <w:ind w:left="11" w:right="24"/>
              <w:rPr>
                <w:sz w:val="13"/>
              </w:rPr>
            </w:pPr>
            <w:r>
              <w:rPr>
                <w:color w:val="231F20"/>
                <w:spacing w:val="-5"/>
                <w:w w:val="95"/>
                <w:sz w:val="13"/>
              </w:rPr>
              <w:t>3.7</w:t>
            </w:r>
          </w:p>
        </w:tc>
        <w:tc>
          <w:tcPr>
            <w:tcW w:w="368" w:type="dxa"/>
          </w:tcPr>
          <w:p>
            <w:pPr>
              <w:pStyle w:val="TableParagraph"/>
              <w:spacing w:line="147" w:lineRule="exact" w:before="17"/>
              <w:ind w:left="2" w:right="28"/>
              <w:rPr>
                <w:sz w:val="13"/>
              </w:rPr>
            </w:pPr>
            <w:r>
              <w:rPr>
                <w:color w:val="231F20"/>
                <w:spacing w:val="-5"/>
                <w:w w:val="95"/>
                <w:sz w:val="13"/>
              </w:rPr>
              <w:t>4.1</w:t>
            </w:r>
          </w:p>
        </w:tc>
        <w:tc>
          <w:tcPr>
            <w:tcW w:w="536" w:type="dxa"/>
            <w:tcBorders>
              <w:right w:val="single" w:sz="24" w:space="0" w:color="FFFFFF"/>
            </w:tcBorders>
          </w:tcPr>
          <w:p>
            <w:pPr>
              <w:pStyle w:val="TableParagraph"/>
              <w:spacing w:line="147" w:lineRule="exact" w:before="17"/>
              <w:ind w:left="20" w:right="27"/>
              <w:rPr>
                <w:sz w:val="13"/>
              </w:rPr>
            </w:pPr>
            <w:r>
              <w:rPr>
                <w:color w:val="231F20"/>
                <w:spacing w:val="-5"/>
                <w:w w:val="95"/>
                <w:sz w:val="13"/>
              </w:rPr>
              <w:t>3.8</w:t>
            </w:r>
          </w:p>
        </w:tc>
        <w:tc>
          <w:tcPr>
            <w:tcW w:w="1415" w:type="dxa"/>
            <w:tcBorders>
              <w:left w:val="single" w:sz="24" w:space="0" w:color="FFFFFF"/>
            </w:tcBorders>
          </w:tcPr>
          <w:p>
            <w:pPr>
              <w:pStyle w:val="TableParagraph"/>
              <w:spacing w:line="147" w:lineRule="exact" w:before="17"/>
              <w:ind w:left="70"/>
              <w:jc w:val="left"/>
              <w:rPr>
                <w:sz w:val="13"/>
              </w:rPr>
            </w:pPr>
            <w:r>
              <w:rPr>
                <w:color w:val="231F20"/>
                <w:spacing w:val="-2"/>
                <w:w w:val="90"/>
                <w:sz w:val="13"/>
              </w:rPr>
              <w:t>Uzbekistan</w:t>
            </w:r>
          </w:p>
        </w:tc>
        <w:tc>
          <w:tcPr>
            <w:tcW w:w="482" w:type="dxa"/>
          </w:tcPr>
          <w:p>
            <w:pPr>
              <w:pStyle w:val="TableParagraph"/>
              <w:spacing w:line="147" w:lineRule="exact" w:before="17"/>
              <w:ind w:right="111"/>
              <w:jc w:val="right"/>
              <w:rPr>
                <w:sz w:val="13"/>
              </w:rPr>
            </w:pPr>
            <w:r>
              <w:rPr>
                <w:color w:val="231F20"/>
                <w:spacing w:val="-5"/>
                <w:w w:val="95"/>
                <w:sz w:val="13"/>
              </w:rPr>
              <w:t>2.6</w:t>
            </w:r>
          </w:p>
        </w:tc>
        <w:tc>
          <w:tcPr>
            <w:tcW w:w="532" w:type="dxa"/>
          </w:tcPr>
          <w:p>
            <w:pPr>
              <w:pStyle w:val="TableParagraph"/>
              <w:spacing w:line="147" w:lineRule="exact" w:before="17"/>
              <w:ind w:left="18" w:right="55"/>
              <w:rPr>
                <w:sz w:val="13"/>
              </w:rPr>
            </w:pPr>
            <w:r>
              <w:rPr>
                <w:color w:val="231F20"/>
                <w:spacing w:val="-5"/>
                <w:w w:val="95"/>
                <w:sz w:val="13"/>
              </w:rPr>
              <w:t>2.6</w:t>
            </w:r>
          </w:p>
        </w:tc>
        <w:tc>
          <w:tcPr>
            <w:tcW w:w="550" w:type="dxa"/>
          </w:tcPr>
          <w:p>
            <w:pPr>
              <w:pStyle w:val="TableParagraph"/>
              <w:spacing w:line="147" w:lineRule="exact" w:before="17"/>
              <w:ind w:left="18" w:right="45"/>
              <w:rPr>
                <w:sz w:val="13"/>
              </w:rPr>
            </w:pPr>
            <w:r>
              <w:rPr>
                <w:color w:val="231F20"/>
                <w:spacing w:val="-5"/>
                <w:w w:val="95"/>
                <w:sz w:val="13"/>
              </w:rPr>
              <w:t>2.4</w:t>
            </w:r>
          </w:p>
        </w:tc>
        <w:tc>
          <w:tcPr>
            <w:tcW w:w="616" w:type="dxa"/>
          </w:tcPr>
          <w:p>
            <w:pPr>
              <w:pStyle w:val="TableParagraph"/>
              <w:spacing w:line="147" w:lineRule="exact" w:before="17"/>
              <w:ind w:left="19" w:right="37"/>
              <w:rPr>
                <w:sz w:val="13"/>
              </w:rPr>
            </w:pPr>
            <w:r>
              <w:rPr>
                <w:color w:val="231F20"/>
                <w:spacing w:val="-5"/>
                <w:w w:val="95"/>
                <w:sz w:val="13"/>
              </w:rPr>
              <w:t>2.6</w:t>
            </w:r>
          </w:p>
        </w:tc>
        <w:tc>
          <w:tcPr>
            <w:tcW w:w="707" w:type="dxa"/>
          </w:tcPr>
          <w:p>
            <w:pPr>
              <w:pStyle w:val="TableParagraph"/>
              <w:spacing w:line="147" w:lineRule="exact" w:before="17"/>
              <w:ind w:left="15" w:right="55"/>
              <w:rPr>
                <w:sz w:val="13"/>
              </w:rPr>
            </w:pPr>
            <w:r>
              <w:rPr>
                <w:color w:val="231F20"/>
                <w:spacing w:val="-5"/>
                <w:w w:val="95"/>
                <w:sz w:val="13"/>
              </w:rPr>
              <w:t>2.6</w:t>
            </w:r>
          </w:p>
        </w:tc>
        <w:tc>
          <w:tcPr>
            <w:tcW w:w="369" w:type="dxa"/>
          </w:tcPr>
          <w:p>
            <w:pPr>
              <w:pStyle w:val="TableParagraph"/>
              <w:spacing w:line="147" w:lineRule="exact" w:before="17"/>
              <w:ind w:left="17" w:right="61"/>
              <w:rPr>
                <w:sz w:val="13"/>
              </w:rPr>
            </w:pPr>
            <w:r>
              <w:rPr>
                <w:color w:val="231F20"/>
                <w:spacing w:val="-5"/>
                <w:w w:val="95"/>
                <w:sz w:val="13"/>
              </w:rPr>
              <w:t>2.8</w:t>
            </w:r>
          </w:p>
        </w:tc>
        <w:tc>
          <w:tcPr>
            <w:tcW w:w="507" w:type="dxa"/>
          </w:tcPr>
          <w:p>
            <w:pPr>
              <w:pStyle w:val="TableParagraph"/>
              <w:spacing w:line="147" w:lineRule="exact" w:before="17"/>
              <w:ind w:left="5" w:right="51"/>
              <w:rPr>
                <w:sz w:val="13"/>
              </w:rPr>
            </w:pPr>
            <w:r>
              <w:rPr>
                <w:color w:val="231F20"/>
                <w:spacing w:val="-5"/>
                <w:w w:val="95"/>
                <w:sz w:val="13"/>
              </w:rPr>
              <w:t>2.4</w:t>
            </w:r>
          </w:p>
        </w:tc>
      </w:tr>
      <w:tr>
        <w:trPr>
          <w:trHeight w:val="184" w:hRule="atLeast"/>
        </w:trPr>
        <w:tc>
          <w:tcPr>
            <w:tcW w:w="1377" w:type="dxa"/>
            <w:shd w:val="clear" w:color="auto" w:fill="D4E3F5"/>
          </w:tcPr>
          <w:p>
            <w:pPr>
              <w:pStyle w:val="TableParagraph"/>
              <w:spacing w:line="147" w:lineRule="exact" w:before="17"/>
              <w:ind w:left="79"/>
              <w:jc w:val="left"/>
              <w:rPr>
                <w:sz w:val="13"/>
              </w:rPr>
            </w:pPr>
            <w:r>
              <w:rPr>
                <w:color w:val="231F20"/>
                <w:spacing w:val="-2"/>
                <w:w w:val="85"/>
                <w:sz w:val="13"/>
              </w:rPr>
              <w:t>Iceland</w:t>
            </w:r>
          </w:p>
        </w:tc>
        <w:tc>
          <w:tcPr>
            <w:tcW w:w="487" w:type="dxa"/>
            <w:shd w:val="clear" w:color="auto" w:fill="D4E3F5"/>
          </w:tcPr>
          <w:p>
            <w:pPr>
              <w:pStyle w:val="TableParagraph"/>
              <w:spacing w:line="147" w:lineRule="exact" w:before="17"/>
              <w:ind w:right="98"/>
              <w:jc w:val="right"/>
              <w:rPr>
                <w:sz w:val="13"/>
              </w:rPr>
            </w:pPr>
            <w:r>
              <w:rPr>
                <w:color w:val="231F20"/>
                <w:spacing w:val="-5"/>
                <w:w w:val="95"/>
                <w:sz w:val="13"/>
              </w:rPr>
              <w:t>3.6</w:t>
            </w:r>
          </w:p>
        </w:tc>
        <w:tc>
          <w:tcPr>
            <w:tcW w:w="531" w:type="dxa"/>
            <w:shd w:val="clear" w:color="auto" w:fill="D4E3F5"/>
          </w:tcPr>
          <w:p>
            <w:pPr>
              <w:pStyle w:val="TableParagraph"/>
              <w:spacing w:line="147" w:lineRule="exact" w:before="17"/>
              <w:ind w:left="12" w:right="27"/>
              <w:rPr>
                <w:sz w:val="13"/>
              </w:rPr>
            </w:pPr>
            <w:r>
              <w:rPr>
                <w:color w:val="231F20"/>
                <w:spacing w:val="-5"/>
                <w:w w:val="95"/>
                <w:sz w:val="13"/>
              </w:rPr>
              <w:t>3.7</w:t>
            </w:r>
          </w:p>
        </w:tc>
        <w:tc>
          <w:tcPr>
            <w:tcW w:w="549" w:type="dxa"/>
            <w:shd w:val="clear" w:color="auto" w:fill="D4E3F5"/>
          </w:tcPr>
          <w:p>
            <w:pPr>
              <w:pStyle w:val="TableParagraph"/>
              <w:spacing w:line="147" w:lineRule="exact" w:before="17"/>
              <w:ind w:left="15" w:right="16"/>
              <w:rPr>
                <w:sz w:val="13"/>
              </w:rPr>
            </w:pPr>
            <w:r>
              <w:rPr>
                <w:color w:val="231F20"/>
                <w:spacing w:val="-5"/>
                <w:w w:val="95"/>
                <w:sz w:val="13"/>
              </w:rPr>
              <w:t>3.6</w:t>
            </w:r>
          </w:p>
        </w:tc>
        <w:tc>
          <w:tcPr>
            <w:tcW w:w="615" w:type="dxa"/>
            <w:shd w:val="clear" w:color="auto" w:fill="D4E3F5"/>
          </w:tcPr>
          <w:p>
            <w:pPr>
              <w:pStyle w:val="TableParagraph"/>
              <w:spacing w:line="147" w:lineRule="exact" w:before="17"/>
              <w:ind w:left="19" w:right="8"/>
              <w:rPr>
                <w:sz w:val="13"/>
              </w:rPr>
            </w:pPr>
            <w:r>
              <w:rPr>
                <w:color w:val="231F20"/>
                <w:spacing w:val="-5"/>
                <w:w w:val="95"/>
                <w:sz w:val="13"/>
              </w:rPr>
              <w:t>3.3</w:t>
            </w:r>
          </w:p>
        </w:tc>
        <w:tc>
          <w:tcPr>
            <w:tcW w:w="706" w:type="dxa"/>
            <w:shd w:val="clear" w:color="auto" w:fill="D4E3F5"/>
          </w:tcPr>
          <w:p>
            <w:pPr>
              <w:pStyle w:val="TableParagraph"/>
              <w:spacing w:line="147" w:lineRule="exact" w:before="17"/>
              <w:ind w:left="16" w:right="24"/>
              <w:rPr>
                <w:sz w:val="13"/>
              </w:rPr>
            </w:pPr>
            <w:r>
              <w:rPr>
                <w:color w:val="231F20"/>
                <w:spacing w:val="-5"/>
                <w:w w:val="95"/>
                <w:sz w:val="13"/>
              </w:rPr>
              <w:t>3.5</w:t>
            </w:r>
          </w:p>
        </w:tc>
        <w:tc>
          <w:tcPr>
            <w:tcW w:w="368" w:type="dxa"/>
            <w:shd w:val="clear" w:color="auto" w:fill="D4E3F5"/>
          </w:tcPr>
          <w:p>
            <w:pPr>
              <w:pStyle w:val="TableParagraph"/>
              <w:spacing w:line="147" w:lineRule="exact" w:before="17"/>
              <w:ind w:left="16" w:right="28"/>
              <w:rPr>
                <w:sz w:val="13"/>
              </w:rPr>
            </w:pPr>
            <w:r>
              <w:rPr>
                <w:color w:val="231F20"/>
                <w:spacing w:val="-5"/>
                <w:w w:val="95"/>
                <w:sz w:val="13"/>
              </w:rPr>
              <w:t>3.6</w:t>
            </w:r>
          </w:p>
        </w:tc>
        <w:tc>
          <w:tcPr>
            <w:tcW w:w="536" w:type="dxa"/>
            <w:tcBorders>
              <w:right w:val="single" w:sz="24" w:space="0" w:color="FFFFFF"/>
            </w:tcBorders>
            <w:shd w:val="clear" w:color="auto" w:fill="D4E3F5"/>
          </w:tcPr>
          <w:p>
            <w:pPr>
              <w:pStyle w:val="TableParagraph"/>
              <w:spacing w:line="147" w:lineRule="exact" w:before="17"/>
              <w:ind w:left="13" w:right="27"/>
              <w:rPr>
                <w:sz w:val="13"/>
              </w:rPr>
            </w:pPr>
            <w:r>
              <w:rPr>
                <w:color w:val="231F20"/>
                <w:spacing w:val="-5"/>
                <w:w w:val="95"/>
                <w:sz w:val="13"/>
              </w:rPr>
              <w:t>3.7</w:t>
            </w:r>
          </w:p>
        </w:tc>
        <w:tc>
          <w:tcPr>
            <w:tcW w:w="1415" w:type="dxa"/>
            <w:tcBorders>
              <w:left w:val="single" w:sz="24" w:space="0" w:color="FFFFFF"/>
            </w:tcBorders>
            <w:shd w:val="clear" w:color="auto" w:fill="D4E3F5"/>
          </w:tcPr>
          <w:p>
            <w:pPr>
              <w:pStyle w:val="TableParagraph"/>
              <w:spacing w:line="147" w:lineRule="exact" w:before="17"/>
              <w:ind w:left="70"/>
              <w:jc w:val="left"/>
              <w:rPr>
                <w:sz w:val="13"/>
              </w:rPr>
            </w:pPr>
            <w:r>
              <w:rPr>
                <w:color w:val="231F20"/>
                <w:spacing w:val="-2"/>
                <w:w w:val="90"/>
                <w:sz w:val="13"/>
              </w:rPr>
              <w:t>Albania</w:t>
            </w:r>
          </w:p>
        </w:tc>
        <w:tc>
          <w:tcPr>
            <w:tcW w:w="482" w:type="dxa"/>
            <w:shd w:val="clear" w:color="auto" w:fill="D4E3F5"/>
          </w:tcPr>
          <w:p>
            <w:pPr>
              <w:pStyle w:val="TableParagraph"/>
              <w:spacing w:line="147" w:lineRule="exact" w:before="17"/>
              <w:ind w:right="110"/>
              <w:jc w:val="right"/>
              <w:rPr>
                <w:sz w:val="13"/>
              </w:rPr>
            </w:pPr>
            <w:r>
              <w:rPr>
                <w:color w:val="231F20"/>
                <w:spacing w:val="-5"/>
                <w:w w:val="95"/>
                <w:sz w:val="13"/>
              </w:rPr>
              <w:t>2.5</w:t>
            </w:r>
          </w:p>
        </w:tc>
        <w:tc>
          <w:tcPr>
            <w:tcW w:w="532" w:type="dxa"/>
            <w:shd w:val="clear" w:color="auto" w:fill="D4E3F5"/>
          </w:tcPr>
          <w:p>
            <w:pPr>
              <w:pStyle w:val="TableParagraph"/>
              <w:spacing w:line="147" w:lineRule="exact" w:before="17"/>
              <w:ind w:left="17" w:right="55"/>
              <w:rPr>
                <w:sz w:val="13"/>
              </w:rPr>
            </w:pPr>
            <w:r>
              <w:rPr>
                <w:color w:val="231F20"/>
                <w:spacing w:val="-5"/>
                <w:w w:val="95"/>
                <w:sz w:val="13"/>
              </w:rPr>
              <w:t>2.4</w:t>
            </w:r>
          </w:p>
        </w:tc>
        <w:tc>
          <w:tcPr>
            <w:tcW w:w="550" w:type="dxa"/>
            <w:shd w:val="clear" w:color="auto" w:fill="D4E3F5"/>
          </w:tcPr>
          <w:p>
            <w:pPr>
              <w:pStyle w:val="TableParagraph"/>
              <w:spacing w:line="147" w:lineRule="exact" w:before="17"/>
              <w:ind w:left="15" w:right="45"/>
              <w:rPr>
                <w:sz w:val="13"/>
              </w:rPr>
            </w:pPr>
            <w:r>
              <w:rPr>
                <w:color w:val="231F20"/>
                <w:spacing w:val="-5"/>
                <w:w w:val="95"/>
                <w:sz w:val="13"/>
              </w:rPr>
              <w:t>2.7</w:t>
            </w:r>
          </w:p>
        </w:tc>
        <w:tc>
          <w:tcPr>
            <w:tcW w:w="616" w:type="dxa"/>
            <w:shd w:val="clear" w:color="auto" w:fill="D4E3F5"/>
          </w:tcPr>
          <w:p>
            <w:pPr>
              <w:pStyle w:val="TableParagraph"/>
              <w:spacing w:line="147" w:lineRule="exact" w:before="17"/>
              <w:ind w:left="20" w:right="37"/>
              <w:rPr>
                <w:sz w:val="13"/>
              </w:rPr>
            </w:pPr>
            <w:r>
              <w:rPr>
                <w:color w:val="231F20"/>
                <w:spacing w:val="-5"/>
                <w:w w:val="95"/>
                <w:sz w:val="13"/>
              </w:rPr>
              <w:t>2.8</w:t>
            </w:r>
          </w:p>
        </w:tc>
        <w:tc>
          <w:tcPr>
            <w:tcW w:w="707" w:type="dxa"/>
            <w:shd w:val="clear" w:color="auto" w:fill="D4E3F5"/>
          </w:tcPr>
          <w:p>
            <w:pPr>
              <w:pStyle w:val="TableParagraph"/>
              <w:spacing w:line="147" w:lineRule="exact" w:before="17"/>
              <w:ind w:left="16" w:right="55"/>
              <w:rPr>
                <w:sz w:val="13"/>
              </w:rPr>
            </w:pPr>
            <w:r>
              <w:rPr>
                <w:color w:val="231F20"/>
                <w:spacing w:val="-5"/>
                <w:w w:val="95"/>
                <w:sz w:val="13"/>
              </w:rPr>
              <w:t>2.3</w:t>
            </w:r>
          </w:p>
        </w:tc>
        <w:tc>
          <w:tcPr>
            <w:tcW w:w="369" w:type="dxa"/>
            <w:shd w:val="clear" w:color="auto" w:fill="D4E3F5"/>
          </w:tcPr>
          <w:p>
            <w:pPr>
              <w:pStyle w:val="TableParagraph"/>
              <w:spacing w:line="147" w:lineRule="exact" w:before="17"/>
              <w:ind w:left="17" w:right="61"/>
              <w:rPr>
                <w:sz w:val="13"/>
              </w:rPr>
            </w:pPr>
            <w:r>
              <w:rPr>
                <w:color w:val="231F20"/>
                <w:spacing w:val="-5"/>
                <w:w w:val="95"/>
                <w:sz w:val="13"/>
              </w:rPr>
              <w:t>2.5</w:t>
            </w:r>
          </w:p>
        </w:tc>
        <w:tc>
          <w:tcPr>
            <w:tcW w:w="507" w:type="dxa"/>
            <w:shd w:val="clear" w:color="auto" w:fill="D4E3F5"/>
          </w:tcPr>
          <w:p>
            <w:pPr>
              <w:pStyle w:val="TableParagraph"/>
              <w:spacing w:line="147" w:lineRule="exact" w:before="17"/>
              <w:ind w:right="45"/>
              <w:rPr>
                <w:sz w:val="13"/>
              </w:rPr>
            </w:pPr>
            <w:r>
              <w:rPr>
                <w:color w:val="231F20"/>
                <w:spacing w:val="-5"/>
                <w:w w:val="95"/>
                <w:sz w:val="13"/>
              </w:rPr>
              <w:t>2.3</w:t>
            </w:r>
          </w:p>
        </w:tc>
      </w:tr>
      <w:tr>
        <w:trPr>
          <w:trHeight w:val="184" w:hRule="atLeast"/>
        </w:trPr>
        <w:tc>
          <w:tcPr>
            <w:tcW w:w="1377" w:type="dxa"/>
          </w:tcPr>
          <w:p>
            <w:pPr>
              <w:pStyle w:val="TableParagraph"/>
              <w:spacing w:line="147" w:lineRule="exact" w:before="17"/>
              <w:ind w:left="79"/>
              <w:jc w:val="left"/>
              <w:rPr>
                <w:sz w:val="13"/>
              </w:rPr>
            </w:pPr>
            <w:r>
              <w:rPr>
                <w:color w:val="231F20"/>
                <w:spacing w:val="-2"/>
                <w:w w:val="85"/>
                <w:sz w:val="13"/>
              </w:rPr>
              <w:t>Ireland</w:t>
            </w:r>
          </w:p>
        </w:tc>
        <w:tc>
          <w:tcPr>
            <w:tcW w:w="487" w:type="dxa"/>
          </w:tcPr>
          <w:p>
            <w:pPr>
              <w:pStyle w:val="TableParagraph"/>
              <w:spacing w:line="147" w:lineRule="exact" w:before="17"/>
              <w:ind w:right="98"/>
              <w:jc w:val="right"/>
              <w:rPr>
                <w:sz w:val="13"/>
              </w:rPr>
            </w:pPr>
            <w:r>
              <w:rPr>
                <w:color w:val="231F20"/>
                <w:spacing w:val="-5"/>
                <w:w w:val="95"/>
                <w:sz w:val="13"/>
              </w:rPr>
              <w:t>3.6</w:t>
            </w:r>
          </w:p>
        </w:tc>
        <w:tc>
          <w:tcPr>
            <w:tcW w:w="531" w:type="dxa"/>
          </w:tcPr>
          <w:p>
            <w:pPr>
              <w:pStyle w:val="TableParagraph"/>
              <w:spacing w:line="147" w:lineRule="exact" w:before="17"/>
              <w:ind w:left="15" w:right="27"/>
              <w:rPr>
                <w:sz w:val="13"/>
              </w:rPr>
            </w:pPr>
            <w:r>
              <w:rPr>
                <w:color w:val="231F20"/>
                <w:spacing w:val="-5"/>
                <w:w w:val="95"/>
                <w:sz w:val="13"/>
              </w:rPr>
              <w:t>3.4</w:t>
            </w:r>
          </w:p>
        </w:tc>
        <w:tc>
          <w:tcPr>
            <w:tcW w:w="549" w:type="dxa"/>
          </w:tcPr>
          <w:p>
            <w:pPr>
              <w:pStyle w:val="TableParagraph"/>
              <w:spacing w:line="147" w:lineRule="exact" w:before="17"/>
              <w:ind w:left="16" w:right="16"/>
              <w:rPr>
                <w:sz w:val="13"/>
              </w:rPr>
            </w:pPr>
            <w:r>
              <w:rPr>
                <w:color w:val="231F20"/>
                <w:spacing w:val="-5"/>
                <w:w w:val="95"/>
                <w:sz w:val="13"/>
              </w:rPr>
              <w:t>3.5</w:t>
            </w:r>
          </w:p>
        </w:tc>
        <w:tc>
          <w:tcPr>
            <w:tcW w:w="615" w:type="dxa"/>
          </w:tcPr>
          <w:p>
            <w:pPr>
              <w:pStyle w:val="TableParagraph"/>
              <w:spacing w:line="147" w:lineRule="exact" w:before="17"/>
              <w:ind w:left="16" w:right="8"/>
              <w:rPr>
                <w:sz w:val="13"/>
              </w:rPr>
            </w:pPr>
            <w:r>
              <w:rPr>
                <w:color w:val="231F20"/>
                <w:spacing w:val="-5"/>
                <w:w w:val="95"/>
                <w:sz w:val="13"/>
              </w:rPr>
              <w:t>3.6</w:t>
            </w:r>
          </w:p>
        </w:tc>
        <w:tc>
          <w:tcPr>
            <w:tcW w:w="706" w:type="dxa"/>
          </w:tcPr>
          <w:p>
            <w:pPr>
              <w:pStyle w:val="TableParagraph"/>
              <w:spacing w:line="147" w:lineRule="exact" w:before="17"/>
              <w:ind w:left="15" w:right="24"/>
              <w:rPr>
                <w:sz w:val="13"/>
              </w:rPr>
            </w:pPr>
            <w:r>
              <w:rPr>
                <w:color w:val="231F20"/>
                <w:spacing w:val="-5"/>
                <w:w w:val="95"/>
                <w:sz w:val="13"/>
              </w:rPr>
              <w:t>3.6</w:t>
            </w:r>
          </w:p>
        </w:tc>
        <w:tc>
          <w:tcPr>
            <w:tcW w:w="368" w:type="dxa"/>
          </w:tcPr>
          <w:p>
            <w:pPr>
              <w:pStyle w:val="TableParagraph"/>
              <w:spacing w:line="147" w:lineRule="exact" w:before="17"/>
              <w:ind w:left="13" w:right="28"/>
              <w:rPr>
                <w:sz w:val="13"/>
              </w:rPr>
            </w:pPr>
            <w:r>
              <w:rPr>
                <w:color w:val="231F20"/>
                <w:spacing w:val="-5"/>
                <w:w w:val="95"/>
                <w:sz w:val="13"/>
              </w:rPr>
              <w:t>3.7</w:t>
            </w:r>
          </w:p>
        </w:tc>
        <w:tc>
          <w:tcPr>
            <w:tcW w:w="536" w:type="dxa"/>
            <w:tcBorders>
              <w:right w:val="single" w:sz="24" w:space="0" w:color="FFFFFF"/>
            </w:tcBorders>
          </w:tcPr>
          <w:p>
            <w:pPr>
              <w:pStyle w:val="TableParagraph"/>
              <w:spacing w:line="147" w:lineRule="exact" w:before="17"/>
              <w:ind w:left="13" w:right="27"/>
              <w:rPr>
                <w:sz w:val="13"/>
              </w:rPr>
            </w:pPr>
            <w:r>
              <w:rPr>
                <w:color w:val="231F20"/>
                <w:spacing w:val="-5"/>
                <w:w w:val="95"/>
                <w:sz w:val="13"/>
              </w:rPr>
              <w:t>3.7</w:t>
            </w:r>
          </w:p>
        </w:tc>
        <w:tc>
          <w:tcPr>
            <w:tcW w:w="1415" w:type="dxa"/>
            <w:tcBorders>
              <w:left w:val="single" w:sz="24" w:space="0" w:color="FFFFFF"/>
            </w:tcBorders>
          </w:tcPr>
          <w:p>
            <w:pPr>
              <w:pStyle w:val="TableParagraph"/>
              <w:spacing w:line="147" w:lineRule="exact" w:before="17"/>
              <w:ind w:left="70"/>
              <w:jc w:val="left"/>
              <w:rPr>
                <w:sz w:val="13"/>
              </w:rPr>
            </w:pPr>
            <w:r>
              <w:rPr>
                <w:color w:val="231F20"/>
                <w:spacing w:val="-2"/>
                <w:w w:val="90"/>
                <w:sz w:val="13"/>
              </w:rPr>
              <w:t>Algeria</w:t>
            </w:r>
          </w:p>
        </w:tc>
        <w:tc>
          <w:tcPr>
            <w:tcW w:w="482" w:type="dxa"/>
          </w:tcPr>
          <w:p>
            <w:pPr>
              <w:pStyle w:val="TableParagraph"/>
              <w:spacing w:line="147" w:lineRule="exact" w:before="17"/>
              <w:ind w:right="110"/>
              <w:jc w:val="right"/>
              <w:rPr>
                <w:sz w:val="13"/>
              </w:rPr>
            </w:pPr>
            <w:r>
              <w:rPr>
                <w:color w:val="231F20"/>
                <w:spacing w:val="-5"/>
                <w:w w:val="95"/>
                <w:sz w:val="13"/>
              </w:rPr>
              <w:t>2.5</w:t>
            </w:r>
          </w:p>
        </w:tc>
        <w:tc>
          <w:tcPr>
            <w:tcW w:w="532" w:type="dxa"/>
          </w:tcPr>
          <w:p>
            <w:pPr>
              <w:pStyle w:val="TableParagraph"/>
              <w:spacing w:line="147" w:lineRule="exact" w:before="17"/>
              <w:ind w:left="19" w:right="55"/>
              <w:rPr>
                <w:sz w:val="13"/>
              </w:rPr>
            </w:pPr>
            <w:r>
              <w:rPr>
                <w:color w:val="231F20"/>
                <w:spacing w:val="-5"/>
                <w:w w:val="95"/>
                <w:sz w:val="13"/>
              </w:rPr>
              <w:t>2.3</w:t>
            </w:r>
          </w:p>
        </w:tc>
        <w:tc>
          <w:tcPr>
            <w:tcW w:w="550" w:type="dxa"/>
          </w:tcPr>
          <w:p>
            <w:pPr>
              <w:pStyle w:val="TableParagraph"/>
              <w:spacing w:line="147" w:lineRule="exact" w:before="17"/>
              <w:ind w:left="2" w:right="45"/>
              <w:rPr>
                <w:sz w:val="13"/>
              </w:rPr>
            </w:pPr>
            <w:r>
              <w:rPr>
                <w:color w:val="231F20"/>
                <w:spacing w:val="-5"/>
                <w:w w:val="95"/>
                <w:sz w:val="13"/>
              </w:rPr>
              <w:t>2.1</w:t>
            </w:r>
          </w:p>
        </w:tc>
        <w:tc>
          <w:tcPr>
            <w:tcW w:w="616" w:type="dxa"/>
          </w:tcPr>
          <w:p>
            <w:pPr>
              <w:pStyle w:val="TableParagraph"/>
              <w:spacing w:line="147" w:lineRule="exact" w:before="17"/>
              <w:ind w:left="19" w:right="37"/>
              <w:rPr>
                <w:sz w:val="13"/>
              </w:rPr>
            </w:pPr>
            <w:r>
              <w:rPr>
                <w:color w:val="231F20"/>
                <w:spacing w:val="-5"/>
                <w:w w:val="95"/>
                <w:sz w:val="13"/>
              </w:rPr>
              <w:t>3.0</w:t>
            </w:r>
          </w:p>
        </w:tc>
        <w:tc>
          <w:tcPr>
            <w:tcW w:w="707" w:type="dxa"/>
          </w:tcPr>
          <w:p>
            <w:pPr>
              <w:pStyle w:val="TableParagraph"/>
              <w:spacing w:line="147" w:lineRule="exact" w:before="17"/>
              <w:ind w:left="17" w:right="55"/>
              <w:rPr>
                <w:sz w:val="13"/>
              </w:rPr>
            </w:pPr>
            <w:r>
              <w:rPr>
                <w:color w:val="231F20"/>
                <w:spacing w:val="-5"/>
                <w:w w:val="95"/>
                <w:sz w:val="13"/>
              </w:rPr>
              <w:t>2.2</w:t>
            </w:r>
          </w:p>
        </w:tc>
        <w:tc>
          <w:tcPr>
            <w:tcW w:w="369" w:type="dxa"/>
          </w:tcPr>
          <w:p>
            <w:pPr>
              <w:pStyle w:val="TableParagraph"/>
              <w:spacing w:line="147" w:lineRule="exact" w:before="17"/>
              <w:ind w:left="16" w:right="61"/>
              <w:rPr>
                <w:sz w:val="13"/>
              </w:rPr>
            </w:pPr>
            <w:r>
              <w:rPr>
                <w:color w:val="231F20"/>
                <w:spacing w:val="-5"/>
                <w:w w:val="95"/>
                <w:sz w:val="13"/>
              </w:rPr>
              <w:t>2.6</w:t>
            </w:r>
          </w:p>
        </w:tc>
        <w:tc>
          <w:tcPr>
            <w:tcW w:w="507" w:type="dxa"/>
          </w:tcPr>
          <w:p>
            <w:pPr>
              <w:pStyle w:val="TableParagraph"/>
              <w:spacing w:line="147" w:lineRule="exact" w:before="17"/>
              <w:ind w:right="45"/>
              <w:rPr>
                <w:sz w:val="13"/>
              </w:rPr>
            </w:pPr>
            <w:r>
              <w:rPr>
                <w:color w:val="231F20"/>
                <w:spacing w:val="-5"/>
                <w:w w:val="95"/>
                <w:sz w:val="13"/>
              </w:rPr>
              <w:t>2.5</w:t>
            </w:r>
          </w:p>
        </w:tc>
      </w:tr>
      <w:tr>
        <w:trPr>
          <w:trHeight w:val="184" w:hRule="atLeast"/>
        </w:trPr>
        <w:tc>
          <w:tcPr>
            <w:tcW w:w="1377" w:type="dxa"/>
            <w:shd w:val="clear" w:color="auto" w:fill="D4E3F5"/>
          </w:tcPr>
          <w:p>
            <w:pPr>
              <w:pStyle w:val="TableParagraph"/>
              <w:spacing w:line="147" w:lineRule="exact" w:before="17"/>
              <w:ind w:left="79"/>
              <w:jc w:val="left"/>
              <w:rPr>
                <w:sz w:val="13"/>
              </w:rPr>
            </w:pPr>
            <w:r>
              <w:rPr>
                <w:color w:val="231F20"/>
                <w:spacing w:val="-2"/>
                <w:w w:val="85"/>
                <w:sz w:val="13"/>
              </w:rPr>
              <w:t>Israel</w:t>
            </w:r>
          </w:p>
        </w:tc>
        <w:tc>
          <w:tcPr>
            <w:tcW w:w="487" w:type="dxa"/>
            <w:shd w:val="clear" w:color="auto" w:fill="D4E3F5"/>
          </w:tcPr>
          <w:p>
            <w:pPr>
              <w:pStyle w:val="TableParagraph"/>
              <w:spacing w:line="147" w:lineRule="exact" w:before="17"/>
              <w:ind w:right="98"/>
              <w:jc w:val="right"/>
              <w:rPr>
                <w:sz w:val="13"/>
              </w:rPr>
            </w:pPr>
            <w:r>
              <w:rPr>
                <w:color w:val="231F20"/>
                <w:spacing w:val="-5"/>
                <w:w w:val="95"/>
                <w:sz w:val="13"/>
              </w:rPr>
              <w:t>3.6</w:t>
            </w:r>
          </w:p>
        </w:tc>
        <w:tc>
          <w:tcPr>
            <w:tcW w:w="531" w:type="dxa"/>
            <w:shd w:val="clear" w:color="auto" w:fill="D4E3F5"/>
          </w:tcPr>
          <w:p>
            <w:pPr>
              <w:pStyle w:val="TableParagraph"/>
              <w:spacing w:line="147" w:lineRule="exact" w:before="17"/>
              <w:ind w:left="15" w:right="27"/>
              <w:rPr>
                <w:sz w:val="13"/>
              </w:rPr>
            </w:pPr>
            <w:r>
              <w:rPr>
                <w:color w:val="231F20"/>
                <w:spacing w:val="-5"/>
                <w:w w:val="95"/>
                <w:sz w:val="13"/>
              </w:rPr>
              <w:t>3.4</w:t>
            </w:r>
          </w:p>
        </w:tc>
        <w:tc>
          <w:tcPr>
            <w:tcW w:w="549" w:type="dxa"/>
            <w:shd w:val="clear" w:color="auto" w:fill="D4E3F5"/>
          </w:tcPr>
          <w:p>
            <w:pPr>
              <w:pStyle w:val="TableParagraph"/>
              <w:spacing w:line="147" w:lineRule="exact" w:before="17"/>
              <w:ind w:left="13" w:right="16"/>
              <w:rPr>
                <w:sz w:val="13"/>
              </w:rPr>
            </w:pPr>
            <w:r>
              <w:rPr>
                <w:color w:val="231F20"/>
                <w:spacing w:val="-5"/>
                <w:w w:val="95"/>
                <w:sz w:val="13"/>
              </w:rPr>
              <w:t>3.7</w:t>
            </w:r>
          </w:p>
        </w:tc>
        <w:tc>
          <w:tcPr>
            <w:tcW w:w="615" w:type="dxa"/>
            <w:shd w:val="clear" w:color="auto" w:fill="D4E3F5"/>
          </w:tcPr>
          <w:p>
            <w:pPr>
              <w:pStyle w:val="TableParagraph"/>
              <w:spacing w:line="147" w:lineRule="exact" w:before="17"/>
              <w:ind w:left="17" w:right="8"/>
              <w:rPr>
                <w:sz w:val="13"/>
              </w:rPr>
            </w:pPr>
            <w:r>
              <w:rPr>
                <w:color w:val="231F20"/>
                <w:spacing w:val="-5"/>
                <w:w w:val="95"/>
                <w:sz w:val="13"/>
              </w:rPr>
              <w:t>3.5</w:t>
            </w:r>
          </w:p>
        </w:tc>
        <w:tc>
          <w:tcPr>
            <w:tcW w:w="706" w:type="dxa"/>
            <w:shd w:val="clear" w:color="auto" w:fill="D4E3F5"/>
          </w:tcPr>
          <w:p>
            <w:pPr>
              <w:pStyle w:val="TableParagraph"/>
              <w:spacing w:line="147" w:lineRule="exact" w:before="17"/>
              <w:ind w:left="18" w:right="24"/>
              <w:rPr>
                <w:sz w:val="13"/>
              </w:rPr>
            </w:pPr>
            <w:r>
              <w:rPr>
                <w:color w:val="231F20"/>
                <w:spacing w:val="-5"/>
                <w:w w:val="95"/>
                <w:sz w:val="13"/>
              </w:rPr>
              <w:t>3.8</w:t>
            </w:r>
          </w:p>
        </w:tc>
        <w:tc>
          <w:tcPr>
            <w:tcW w:w="368" w:type="dxa"/>
            <w:shd w:val="clear" w:color="auto" w:fill="D4E3F5"/>
          </w:tcPr>
          <w:p>
            <w:pPr>
              <w:pStyle w:val="TableParagraph"/>
              <w:spacing w:line="147" w:lineRule="exact" w:before="17"/>
              <w:ind w:left="19" w:right="28"/>
              <w:rPr>
                <w:sz w:val="13"/>
              </w:rPr>
            </w:pPr>
            <w:r>
              <w:rPr>
                <w:color w:val="231F20"/>
                <w:spacing w:val="-5"/>
                <w:w w:val="95"/>
                <w:sz w:val="13"/>
              </w:rPr>
              <w:t>3.8</w:t>
            </w:r>
          </w:p>
        </w:tc>
        <w:tc>
          <w:tcPr>
            <w:tcW w:w="536" w:type="dxa"/>
            <w:tcBorders>
              <w:right w:val="single" w:sz="24" w:space="0" w:color="FFFFFF"/>
            </w:tcBorders>
            <w:shd w:val="clear" w:color="auto" w:fill="D4E3F5"/>
          </w:tcPr>
          <w:p>
            <w:pPr>
              <w:pStyle w:val="TableParagraph"/>
              <w:spacing w:line="147" w:lineRule="exact" w:before="17"/>
              <w:ind w:left="13" w:right="27"/>
              <w:rPr>
                <w:sz w:val="13"/>
              </w:rPr>
            </w:pPr>
            <w:r>
              <w:rPr>
                <w:color w:val="231F20"/>
                <w:spacing w:val="-5"/>
                <w:w w:val="95"/>
                <w:sz w:val="13"/>
              </w:rPr>
              <w:t>3.7</w:t>
            </w:r>
          </w:p>
        </w:tc>
        <w:tc>
          <w:tcPr>
            <w:tcW w:w="1415" w:type="dxa"/>
            <w:tcBorders>
              <w:left w:val="single" w:sz="24" w:space="0" w:color="FFFFFF"/>
            </w:tcBorders>
            <w:shd w:val="clear" w:color="auto" w:fill="D4E3F5"/>
          </w:tcPr>
          <w:p>
            <w:pPr>
              <w:pStyle w:val="TableParagraph"/>
              <w:spacing w:line="147" w:lineRule="exact" w:before="17"/>
              <w:ind w:left="70"/>
              <w:jc w:val="left"/>
              <w:rPr>
                <w:sz w:val="13"/>
              </w:rPr>
            </w:pPr>
            <w:r>
              <w:rPr>
                <w:color w:val="231F20"/>
                <w:spacing w:val="-2"/>
                <w:w w:val="90"/>
                <w:sz w:val="13"/>
              </w:rPr>
              <w:t>Armenia</w:t>
            </w:r>
          </w:p>
        </w:tc>
        <w:tc>
          <w:tcPr>
            <w:tcW w:w="482" w:type="dxa"/>
            <w:shd w:val="clear" w:color="auto" w:fill="D4E3F5"/>
          </w:tcPr>
          <w:p>
            <w:pPr>
              <w:pStyle w:val="TableParagraph"/>
              <w:spacing w:line="147" w:lineRule="exact" w:before="17"/>
              <w:ind w:right="110"/>
              <w:jc w:val="right"/>
              <w:rPr>
                <w:sz w:val="13"/>
              </w:rPr>
            </w:pPr>
            <w:r>
              <w:rPr>
                <w:color w:val="231F20"/>
                <w:spacing w:val="-5"/>
                <w:w w:val="95"/>
                <w:sz w:val="13"/>
              </w:rPr>
              <w:t>2.5</w:t>
            </w:r>
          </w:p>
        </w:tc>
        <w:tc>
          <w:tcPr>
            <w:tcW w:w="532" w:type="dxa"/>
            <w:shd w:val="clear" w:color="auto" w:fill="D4E3F5"/>
          </w:tcPr>
          <w:p>
            <w:pPr>
              <w:pStyle w:val="TableParagraph"/>
              <w:spacing w:line="147" w:lineRule="exact" w:before="17"/>
              <w:ind w:left="19" w:right="55"/>
              <w:rPr>
                <w:sz w:val="13"/>
              </w:rPr>
            </w:pPr>
            <w:r>
              <w:rPr>
                <w:color w:val="231F20"/>
                <w:spacing w:val="-5"/>
                <w:w w:val="95"/>
                <w:sz w:val="13"/>
              </w:rPr>
              <w:t>2.5</w:t>
            </w:r>
          </w:p>
        </w:tc>
        <w:tc>
          <w:tcPr>
            <w:tcW w:w="550" w:type="dxa"/>
            <w:shd w:val="clear" w:color="auto" w:fill="D4E3F5"/>
          </w:tcPr>
          <w:p>
            <w:pPr>
              <w:pStyle w:val="TableParagraph"/>
              <w:spacing w:line="147" w:lineRule="exact" w:before="17"/>
              <w:ind w:left="18" w:right="45"/>
              <w:rPr>
                <w:sz w:val="13"/>
              </w:rPr>
            </w:pPr>
            <w:r>
              <w:rPr>
                <w:color w:val="231F20"/>
                <w:spacing w:val="-5"/>
                <w:w w:val="95"/>
                <w:sz w:val="13"/>
              </w:rPr>
              <w:t>2.6</w:t>
            </w:r>
          </w:p>
        </w:tc>
        <w:tc>
          <w:tcPr>
            <w:tcW w:w="616" w:type="dxa"/>
            <w:shd w:val="clear" w:color="auto" w:fill="D4E3F5"/>
          </w:tcPr>
          <w:p>
            <w:pPr>
              <w:pStyle w:val="TableParagraph"/>
              <w:spacing w:line="147" w:lineRule="exact" w:before="17"/>
              <w:ind w:left="19" w:right="37"/>
              <w:rPr>
                <w:sz w:val="13"/>
              </w:rPr>
            </w:pPr>
            <w:r>
              <w:rPr>
                <w:color w:val="231F20"/>
                <w:spacing w:val="-5"/>
                <w:w w:val="95"/>
                <w:sz w:val="13"/>
              </w:rPr>
              <w:t>2.2</w:t>
            </w:r>
          </w:p>
        </w:tc>
        <w:tc>
          <w:tcPr>
            <w:tcW w:w="707" w:type="dxa"/>
            <w:shd w:val="clear" w:color="auto" w:fill="D4E3F5"/>
          </w:tcPr>
          <w:p>
            <w:pPr>
              <w:pStyle w:val="TableParagraph"/>
              <w:spacing w:line="147" w:lineRule="exact" w:before="17"/>
              <w:ind w:left="14" w:right="55"/>
              <w:rPr>
                <w:sz w:val="13"/>
              </w:rPr>
            </w:pPr>
            <w:r>
              <w:rPr>
                <w:color w:val="231F20"/>
                <w:spacing w:val="-5"/>
                <w:w w:val="95"/>
                <w:sz w:val="13"/>
              </w:rPr>
              <w:t>2.6</w:t>
            </w:r>
          </w:p>
        </w:tc>
        <w:tc>
          <w:tcPr>
            <w:tcW w:w="369" w:type="dxa"/>
            <w:shd w:val="clear" w:color="auto" w:fill="D4E3F5"/>
          </w:tcPr>
          <w:p>
            <w:pPr>
              <w:pStyle w:val="TableParagraph"/>
              <w:spacing w:line="147" w:lineRule="exact" w:before="17"/>
              <w:ind w:left="12" w:right="61"/>
              <w:rPr>
                <w:sz w:val="13"/>
              </w:rPr>
            </w:pPr>
            <w:r>
              <w:rPr>
                <w:color w:val="231F20"/>
                <w:spacing w:val="-5"/>
                <w:w w:val="95"/>
                <w:sz w:val="13"/>
              </w:rPr>
              <w:t>2.7</w:t>
            </w:r>
          </w:p>
        </w:tc>
        <w:tc>
          <w:tcPr>
            <w:tcW w:w="507" w:type="dxa"/>
            <w:shd w:val="clear" w:color="auto" w:fill="D4E3F5"/>
          </w:tcPr>
          <w:p>
            <w:pPr>
              <w:pStyle w:val="TableParagraph"/>
              <w:spacing w:line="147" w:lineRule="exact" w:before="17"/>
              <w:ind w:right="45"/>
              <w:rPr>
                <w:sz w:val="13"/>
              </w:rPr>
            </w:pPr>
            <w:r>
              <w:rPr>
                <w:color w:val="231F20"/>
                <w:spacing w:val="-5"/>
                <w:w w:val="95"/>
                <w:sz w:val="13"/>
              </w:rPr>
              <w:t>2.3</w:t>
            </w:r>
          </w:p>
        </w:tc>
      </w:tr>
      <w:tr>
        <w:trPr>
          <w:trHeight w:val="184" w:hRule="atLeast"/>
        </w:trPr>
        <w:tc>
          <w:tcPr>
            <w:tcW w:w="1377" w:type="dxa"/>
          </w:tcPr>
          <w:p>
            <w:pPr>
              <w:pStyle w:val="TableParagraph"/>
              <w:spacing w:line="147" w:lineRule="exact" w:before="17"/>
              <w:ind w:left="79"/>
              <w:jc w:val="left"/>
              <w:rPr>
                <w:sz w:val="13"/>
              </w:rPr>
            </w:pPr>
            <w:r>
              <w:rPr>
                <w:color w:val="231F20"/>
                <w:spacing w:val="-2"/>
                <w:w w:val="90"/>
                <w:sz w:val="13"/>
              </w:rPr>
              <w:t>Luxembourg</w:t>
            </w:r>
          </w:p>
        </w:tc>
        <w:tc>
          <w:tcPr>
            <w:tcW w:w="487" w:type="dxa"/>
          </w:tcPr>
          <w:p>
            <w:pPr>
              <w:pStyle w:val="TableParagraph"/>
              <w:spacing w:line="147" w:lineRule="exact" w:before="17"/>
              <w:ind w:right="98"/>
              <w:jc w:val="right"/>
              <w:rPr>
                <w:sz w:val="13"/>
              </w:rPr>
            </w:pPr>
            <w:r>
              <w:rPr>
                <w:color w:val="231F20"/>
                <w:spacing w:val="-5"/>
                <w:w w:val="95"/>
                <w:sz w:val="13"/>
              </w:rPr>
              <w:t>3.6</w:t>
            </w:r>
          </w:p>
        </w:tc>
        <w:tc>
          <w:tcPr>
            <w:tcW w:w="531" w:type="dxa"/>
          </w:tcPr>
          <w:p>
            <w:pPr>
              <w:pStyle w:val="TableParagraph"/>
              <w:spacing w:line="147" w:lineRule="exact" w:before="17"/>
              <w:ind w:left="15" w:right="27"/>
              <w:rPr>
                <w:sz w:val="13"/>
              </w:rPr>
            </w:pPr>
            <w:r>
              <w:rPr>
                <w:color w:val="231F20"/>
                <w:spacing w:val="-5"/>
                <w:w w:val="95"/>
                <w:sz w:val="13"/>
              </w:rPr>
              <w:t>3.6</w:t>
            </w:r>
          </w:p>
        </w:tc>
        <w:tc>
          <w:tcPr>
            <w:tcW w:w="549" w:type="dxa"/>
          </w:tcPr>
          <w:p>
            <w:pPr>
              <w:pStyle w:val="TableParagraph"/>
              <w:spacing w:line="147" w:lineRule="exact" w:before="17"/>
              <w:ind w:left="15" w:right="16"/>
              <w:rPr>
                <w:sz w:val="13"/>
              </w:rPr>
            </w:pPr>
            <w:r>
              <w:rPr>
                <w:color w:val="231F20"/>
                <w:spacing w:val="-5"/>
                <w:w w:val="95"/>
                <w:sz w:val="13"/>
              </w:rPr>
              <w:t>3.6</w:t>
            </w:r>
          </w:p>
        </w:tc>
        <w:tc>
          <w:tcPr>
            <w:tcW w:w="615" w:type="dxa"/>
          </w:tcPr>
          <w:p>
            <w:pPr>
              <w:pStyle w:val="TableParagraph"/>
              <w:spacing w:line="147" w:lineRule="exact" w:before="17"/>
              <w:ind w:left="16" w:right="8"/>
              <w:rPr>
                <w:sz w:val="13"/>
              </w:rPr>
            </w:pPr>
            <w:r>
              <w:rPr>
                <w:color w:val="231F20"/>
                <w:spacing w:val="-5"/>
                <w:w w:val="95"/>
                <w:sz w:val="13"/>
              </w:rPr>
              <w:t>3.6</w:t>
            </w:r>
          </w:p>
        </w:tc>
        <w:tc>
          <w:tcPr>
            <w:tcW w:w="706" w:type="dxa"/>
          </w:tcPr>
          <w:p>
            <w:pPr>
              <w:pStyle w:val="TableParagraph"/>
              <w:spacing w:line="147" w:lineRule="exact" w:before="17"/>
              <w:ind w:left="17" w:right="24"/>
              <w:rPr>
                <w:sz w:val="13"/>
              </w:rPr>
            </w:pPr>
            <w:r>
              <w:rPr>
                <w:color w:val="231F20"/>
                <w:spacing w:val="-5"/>
                <w:w w:val="95"/>
                <w:sz w:val="13"/>
              </w:rPr>
              <w:t>3.9</w:t>
            </w:r>
          </w:p>
        </w:tc>
        <w:tc>
          <w:tcPr>
            <w:tcW w:w="368" w:type="dxa"/>
          </w:tcPr>
          <w:p>
            <w:pPr>
              <w:pStyle w:val="TableParagraph"/>
              <w:spacing w:line="147" w:lineRule="exact" w:before="17"/>
              <w:ind w:left="17" w:right="28"/>
              <w:rPr>
                <w:sz w:val="13"/>
              </w:rPr>
            </w:pPr>
            <w:r>
              <w:rPr>
                <w:color w:val="231F20"/>
                <w:spacing w:val="-5"/>
                <w:w w:val="95"/>
                <w:sz w:val="13"/>
              </w:rPr>
              <w:t>3.5</w:t>
            </w:r>
          </w:p>
        </w:tc>
        <w:tc>
          <w:tcPr>
            <w:tcW w:w="536" w:type="dxa"/>
            <w:tcBorders>
              <w:right w:val="single" w:sz="24" w:space="0" w:color="FFFFFF"/>
            </w:tcBorders>
          </w:tcPr>
          <w:p>
            <w:pPr>
              <w:pStyle w:val="TableParagraph"/>
              <w:spacing w:line="147" w:lineRule="exact" w:before="17"/>
              <w:ind w:left="18" w:right="27"/>
              <w:rPr>
                <w:sz w:val="13"/>
              </w:rPr>
            </w:pPr>
            <w:r>
              <w:rPr>
                <w:color w:val="231F20"/>
                <w:spacing w:val="-5"/>
                <w:w w:val="95"/>
                <w:sz w:val="13"/>
              </w:rPr>
              <w:t>3.5</w:t>
            </w:r>
          </w:p>
        </w:tc>
        <w:tc>
          <w:tcPr>
            <w:tcW w:w="1415" w:type="dxa"/>
            <w:tcBorders>
              <w:left w:val="single" w:sz="24" w:space="0" w:color="FFFFFF"/>
            </w:tcBorders>
          </w:tcPr>
          <w:p>
            <w:pPr>
              <w:pStyle w:val="TableParagraph"/>
              <w:spacing w:line="147" w:lineRule="exact" w:before="17"/>
              <w:ind w:left="70"/>
              <w:jc w:val="left"/>
              <w:rPr>
                <w:sz w:val="13"/>
              </w:rPr>
            </w:pPr>
            <w:r>
              <w:rPr>
                <w:color w:val="231F20"/>
                <w:spacing w:val="-2"/>
                <w:w w:val="90"/>
                <w:sz w:val="13"/>
              </w:rPr>
              <w:t>Bhutan</w:t>
            </w:r>
          </w:p>
        </w:tc>
        <w:tc>
          <w:tcPr>
            <w:tcW w:w="482" w:type="dxa"/>
          </w:tcPr>
          <w:p>
            <w:pPr>
              <w:pStyle w:val="TableParagraph"/>
              <w:spacing w:line="147" w:lineRule="exact" w:before="17"/>
              <w:ind w:right="110"/>
              <w:jc w:val="right"/>
              <w:rPr>
                <w:sz w:val="13"/>
              </w:rPr>
            </w:pPr>
            <w:r>
              <w:rPr>
                <w:color w:val="231F20"/>
                <w:spacing w:val="-5"/>
                <w:w w:val="95"/>
                <w:sz w:val="13"/>
              </w:rPr>
              <w:t>2.5</w:t>
            </w:r>
          </w:p>
        </w:tc>
        <w:tc>
          <w:tcPr>
            <w:tcW w:w="532" w:type="dxa"/>
          </w:tcPr>
          <w:p>
            <w:pPr>
              <w:pStyle w:val="TableParagraph"/>
              <w:spacing w:line="147" w:lineRule="exact" w:before="17"/>
              <w:ind w:left="14" w:right="55"/>
              <w:rPr>
                <w:sz w:val="13"/>
              </w:rPr>
            </w:pPr>
            <w:r>
              <w:rPr>
                <w:color w:val="231F20"/>
                <w:spacing w:val="-5"/>
                <w:w w:val="95"/>
                <w:sz w:val="13"/>
              </w:rPr>
              <w:t>2.7</w:t>
            </w:r>
          </w:p>
        </w:tc>
        <w:tc>
          <w:tcPr>
            <w:tcW w:w="550" w:type="dxa"/>
          </w:tcPr>
          <w:p>
            <w:pPr>
              <w:pStyle w:val="TableParagraph"/>
              <w:spacing w:line="147" w:lineRule="exact" w:before="17"/>
              <w:ind w:left="20" w:right="45"/>
              <w:rPr>
                <w:sz w:val="13"/>
              </w:rPr>
            </w:pPr>
            <w:r>
              <w:rPr>
                <w:color w:val="231F20"/>
                <w:spacing w:val="-5"/>
                <w:w w:val="95"/>
                <w:sz w:val="13"/>
              </w:rPr>
              <w:t>2.2</w:t>
            </w:r>
          </w:p>
        </w:tc>
        <w:tc>
          <w:tcPr>
            <w:tcW w:w="616" w:type="dxa"/>
          </w:tcPr>
          <w:p>
            <w:pPr>
              <w:pStyle w:val="TableParagraph"/>
              <w:spacing w:line="147" w:lineRule="exact" w:before="17"/>
              <w:ind w:left="19" w:right="37"/>
              <w:rPr>
                <w:sz w:val="13"/>
              </w:rPr>
            </w:pPr>
            <w:r>
              <w:rPr>
                <w:color w:val="231F20"/>
                <w:spacing w:val="-5"/>
                <w:w w:val="95"/>
                <w:sz w:val="13"/>
              </w:rPr>
              <w:t>2.3</w:t>
            </w:r>
          </w:p>
        </w:tc>
        <w:tc>
          <w:tcPr>
            <w:tcW w:w="707" w:type="dxa"/>
          </w:tcPr>
          <w:p>
            <w:pPr>
              <w:pStyle w:val="TableParagraph"/>
              <w:spacing w:line="147" w:lineRule="exact" w:before="17"/>
              <w:ind w:left="14" w:right="55"/>
              <w:rPr>
                <w:sz w:val="13"/>
              </w:rPr>
            </w:pPr>
            <w:r>
              <w:rPr>
                <w:color w:val="231F20"/>
                <w:spacing w:val="-5"/>
                <w:w w:val="95"/>
                <w:sz w:val="13"/>
              </w:rPr>
              <w:t>2.6</w:t>
            </w:r>
          </w:p>
        </w:tc>
        <w:tc>
          <w:tcPr>
            <w:tcW w:w="369" w:type="dxa"/>
          </w:tcPr>
          <w:p>
            <w:pPr>
              <w:pStyle w:val="TableParagraph"/>
              <w:spacing w:line="147" w:lineRule="exact" w:before="17"/>
              <w:ind w:left="15" w:right="61"/>
              <w:rPr>
                <w:sz w:val="13"/>
              </w:rPr>
            </w:pPr>
            <w:r>
              <w:rPr>
                <w:color w:val="231F20"/>
                <w:spacing w:val="-5"/>
                <w:w w:val="95"/>
                <w:sz w:val="13"/>
              </w:rPr>
              <w:t>2.6</w:t>
            </w:r>
          </w:p>
        </w:tc>
        <w:tc>
          <w:tcPr>
            <w:tcW w:w="507" w:type="dxa"/>
          </w:tcPr>
          <w:p>
            <w:pPr>
              <w:pStyle w:val="TableParagraph"/>
              <w:spacing w:line="147" w:lineRule="exact" w:before="17"/>
              <w:ind w:right="45"/>
              <w:rPr>
                <w:sz w:val="13"/>
              </w:rPr>
            </w:pPr>
            <w:r>
              <w:rPr>
                <w:color w:val="231F20"/>
                <w:spacing w:val="-5"/>
                <w:w w:val="95"/>
                <w:sz w:val="13"/>
              </w:rPr>
              <w:t>2.3</w:t>
            </w:r>
          </w:p>
        </w:tc>
      </w:tr>
      <w:tr>
        <w:trPr>
          <w:trHeight w:val="184" w:hRule="atLeast"/>
        </w:trPr>
        <w:tc>
          <w:tcPr>
            <w:tcW w:w="1377" w:type="dxa"/>
            <w:shd w:val="clear" w:color="auto" w:fill="D4E3F5"/>
          </w:tcPr>
          <w:p>
            <w:pPr>
              <w:pStyle w:val="TableParagraph"/>
              <w:spacing w:line="147" w:lineRule="exact" w:before="17"/>
              <w:ind w:left="79"/>
              <w:jc w:val="left"/>
              <w:rPr>
                <w:sz w:val="13"/>
              </w:rPr>
            </w:pPr>
            <w:r>
              <w:rPr>
                <w:color w:val="231F20"/>
                <w:spacing w:val="-2"/>
                <w:w w:val="90"/>
                <w:sz w:val="13"/>
              </w:rPr>
              <w:t>Malaysia</w:t>
            </w:r>
          </w:p>
        </w:tc>
        <w:tc>
          <w:tcPr>
            <w:tcW w:w="487" w:type="dxa"/>
            <w:shd w:val="clear" w:color="auto" w:fill="D4E3F5"/>
          </w:tcPr>
          <w:p>
            <w:pPr>
              <w:pStyle w:val="TableParagraph"/>
              <w:spacing w:line="147" w:lineRule="exact" w:before="17"/>
              <w:ind w:right="98"/>
              <w:jc w:val="right"/>
              <w:rPr>
                <w:sz w:val="13"/>
              </w:rPr>
            </w:pPr>
            <w:r>
              <w:rPr>
                <w:color w:val="231F20"/>
                <w:spacing w:val="-5"/>
                <w:w w:val="95"/>
                <w:sz w:val="13"/>
              </w:rPr>
              <w:t>3.6</w:t>
            </w:r>
          </w:p>
        </w:tc>
        <w:tc>
          <w:tcPr>
            <w:tcW w:w="531" w:type="dxa"/>
            <w:shd w:val="clear" w:color="auto" w:fill="D4E3F5"/>
          </w:tcPr>
          <w:p>
            <w:pPr>
              <w:pStyle w:val="TableParagraph"/>
              <w:spacing w:line="148" w:lineRule="exact" w:before="17"/>
              <w:ind w:left="19" w:right="27"/>
              <w:rPr>
                <w:sz w:val="13"/>
              </w:rPr>
            </w:pPr>
            <w:r>
              <w:rPr>
                <w:color w:val="231F20"/>
                <w:spacing w:val="-5"/>
                <w:w w:val="95"/>
                <w:sz w:val="13"/>
              </w:rPr>
              <w:t>3.3</w:t>
            </w:r>
          </w:p>
        </w:tc>
        <w:tc>
          <w:tcPr>
            <w:tcW w:w="549" w:type="dxa"/>
            <w:shd w:val="clear" w:color="auto" w:fill="D4E3F5"/>
          </w:tcPr>
          <w:p>
            <w:pPr>
              <w:pStyle w:val="TableParagraph"/>
              <w:spacing w:line="148" w:lineRule="exact" w:before="17"/>
              <w:ind w:left="15" w:right="16"/>
              <w:rPr>
                <w:sz w:val="13"/>
              </w:rPr>
            </w:pPr>
            <w:r>
              <w:rPr>
                <w:color w:val="231F20"/>
                <w:spacing w:val="-5"/>
                <w:w w:val="95"/>
                <w:sz w:val="13"/>
              </w:rPr>
              <w:t>3.6</w:t>
            </w:r>
          </w:p>
        </w:tc>
        <w:tc>
          <w:tcPr>
            <w:tcW w:w="615" w:type="dxa"/>
            <w:shd w:val="clear" w:color="auto" w:fill="D4E3F5"/>
          </w:tcPr>
          <w:p>
            <w:pPr>
              <w:pStyle w:val="TableParagraph"/>
              <w:spacing w:line="148" w:lineRule="exact" w:before="17"/>
              <w:ind w:left="13" w:right="8"/>
              <w:rPr>
                <w:sz w:val="13"/>
              </w:rPr>
            </w:pPr>
            <w:r>
              <w:rPr>
                <w:color w:val="231F20"/>
                <w:spacing w:val="-5"/>
                <w:w w:val="95"/>
                <w:sz w:val="13"/>
              </w:rPr>
              <w:t>3.7</w:t>
            </w:r>
          </w:p>
        </w:tc>
        <w:tc>
          <w:tcPr>
            <w:tcW w:w="706" w:type="dxa"/>
            <w:shd w:val="clear" w:color="auto" w:fill="D4E3F5"/>
          </w:tcPr>
          <w:p>
            <w:pPr>
              <w:pStyle w:val="TableParagraph"/>
              <w:spacing w:line="148" w:lineRule="exact" w:before="17"/>
              <w:ind w:left="12" w:right="24"/>
              <w:rPr>
                <w:sz w:val="13"/>
              </w:rPr>
            </w:pPr>
            <w:r>
              <w:rPr>
                <w:color w:val="231F20"/>
                <w:spacing w:val="-5"/>
                <w:w w:val="95"/>
                <w:sz w:val="13"/>
              </w:rPr>
              <w:t>3.7</w:t>
            </w:r>
          </w:p>
        </w:tc>
        <w:tc>
          <w:tcPr>
            <w:tcW w:w="368" w:type="dxa"/>
            <w:shd w:val="clear" w:color="auto" w:fill="D4E3F5"/>
          </w:tcPr>
          <w:p>
            <w:pPr>
              <w:pStyle w:val="TableParagraph"/>
              <w:spacing w:line="148" w:lineRule="exact" w:before="17"/>
              <w:ind w:left="13" w:right="28"/>
              <w:rPr>
                <w:sz w:val="13"/>
              </w:rPr>
            </w:pPr>
            <w:r>
              <w:rPr>
                <w:color w:val="231F20"/>
                <w:spacing w:val="-5"/>
                <w:w w:val="95"/>
                <w:sz w:val="13"/>
              </w:rPr>
              <w:t>3.7</w:t>
            </w:r>
          </w:p>
        </w:tc>
        <w:tc>
          <w:tcPr>
            <w:tcW w:w="536" w:type="dxa"/>
            <w:tcBorders>
              <w:right w:val="single" w:sz="24" w:space="0" w:color="FFFFFF"/>
            </w:tcBorders>
            <w:shd w:val="clear" w:color="auto" w:fill="D4E3F5"/>
          </w:tcPr>
          <w:p>
            <w:pPr>
              <w:pStyle w:val="TableParagraph"/>
              <w:spacing w:line="148" w:lineRule="exact" w:before="17"/>
              <w:ind w:left="14" w:right="27"/>
              <w:rPr>
                <w:sz w:val="13"/>
              </w:rPr>
            </w:pPr>
            <w:r>
              <w:rPr>
                <w:color w:val="231F20"/>
                <w:spacing w:val="-5"/>
                <w:w w:val="95"/>
                <w:sz w:val="13"/>
              </w:rPr>
              <w:t>3.7</w:t>
            </w:r>
          </w:p>
        </w:tc>
        <w:tc>
          <w:tcPr>
            <w:tcW w:w="1415" w:type="dxa"/>
            <w:tcBorders>
              <w:left w:val="single" w:sz="24" w:space="0" w:color="FFFFFF"/>
            </w:tcBorders>
            <w:shd w:val="clear" w:color="auto" w:fill="D4E3F5"/>
          </w:tcPr>
          <w:p>
            <w:pPr>
              <w:pStyle w:val="TableParagraph"/>
              <w:spacing w:line="147" w:lineRule="exact" w:before="17"/>
              <w:ind w:left="69"/>
              <w:jc w:val="left"/>
              <w:rPr>
                <w:sz w:val="13"/>
              </w:rPr>
            </w:pPr>
            <w:r>
              <w:rPr>
                <w:color w:val="231F20"/>
                <w:w w:val="75"/>
                <w:sz w:val="13"/>
              </w:rPr>
              <w:t>Central</w:t>
            </w:r>
            <w:r>
              <w:rPr>
                <w:color w:val="231F20"/>
                <w:spacing w:val="19"/>
                <w:sz w:val="13"/>
              </w:rPr>
              <w:t> </w:t>
            </w:r>
            <w:r>
              <w:rPr>
                <w:color w:val="231F20"/>
                <w:w w:val="75"/>
                <w:sz w:val="13"/>
              </w:rPr>
              <w:t>African</w:t>
            </w:r>
            <w:r>
              <w:rPr>
                <w:color w:val="231F20"/>
                <w:spacing w:val="20"/>
                <w:sz w:val="13"/>
              </w:rPr>
              <w:t> </w:t>
            </w:r>
            <w:r>
              <w:rPr>
                <w:color w:val="231F20"/>
                <w:spacing w:val="-2"/>
                <w:w w:val="75"/>
                <w:sz w:val="13"/>
              </w:rPr>
              <w:t>Republic</w:t>
            </w:r>
          </w:p>
        </w:tc>
        <w:tc>
          <w:tcPr>
            <w:tcW w:w="482" w:type="dxa"/>
            <w:shd w:val="clear" w:color="auto" w:fill="D4E3F5"/>
          </w:tcPr>
          <w:p>
            <w:pPr>
              <w:pStyle w:val="TableParagraph"/>
              <w:spacing w:line="147" w:lineRule="exact" w:before="17"/>
              <w:ind w:right="110"/>
              <w:jc w:val="right"/>
              <w:rPr>
                <w:sz w:val="13"/>
              </w:rPr>
            </w:pPr>
            <w:r>
              <w:rPr>
                <w:color w:val="231F20"/>
                <w:spacing w:val="-5"/>
                <w:w w:val="95"/>
                <w:sz w:val="13"/>
              </w:rPr>
              <w:t>2.5</w:t>
            </w:r>
          </w:p>
        </w:tc>
        <w:tc>
          <w:tcPr>
            <w:tcW w:w="532" w:type="dxa"/>
            <w:shd w:val="clear" w:color="auto" w:fill="D4E3F5"/>
          </w:tcPr>
          <w:p>
            <w:pPr>
              <w:pStyle w:val="TableParagraph"/>
              <w:spacing w:line="148" w:lineRule="exact" w:before="17"/>
              <w:ind w:left="19" w:right="55"/>
              <w:rPr>
                <w:sz w:val="13"/>
              </w:rPr>
            </w:pPr>
            <w:r>
              <w:rPr>
                <w:color w:val="231F20"/>
                <w:spacing w:val="-5"/>
                <w:w w:val="95"/>
                <w:sz w:val="13"/>
              </w:rPr>
              <w:t>2.4</w:t>
            </w:r>
          </w:p>
        </w:tc>
        <w:tc>
          <w:tcPr>
            <w:tcW w:w="550" w:type="dxa"/>
            <w:shd w:val="clear" w:color="auto" w:fill="D4E3F5"/>
          </w:tcPr>
          <w:p>
            <w:pPr>
              <w:pStyle w:val="TableParagraph"/>
              <w:spacing w:line="148" w:lineRule="exact" w:before="17"/>
              <w:ind w:left="20" w:right="45"/>
              <w:rPr>
                <w:sz w:val="13"/>
              </w:rPr>
            </w:pPr>
            <w:r>
              <w:rPr>
                <w:color w:val="231F20"/>
                <w:spacing w:val="-5"/>
                <w:w w:val="95"/>
                <w:sz w:val="13"/>
              </w:rPr>
              <w:t>2.6</w:t>
            </w:r>
          </w:p>
        </w:tc>
        <w:tc>
          <w:tcPr>
            <w:tcW w:w="616" w:type="dxa"/>
            <w:shd w:val="clear" w:color="auto" w:fill="D4E3F5"/>
          </w:tcPr>
          <w:p>
            <w:pPr>
              <w:pStyle w:val="TableParagraph"/>
              <w:spacing w:line="148" w:lineRule="exact" w:before="17"/>
              <w:ind w:left="5" w:right="37"/>
              <w:rPr>
                <w:sz w:val="13"/>
              </w:rPr>
            </w:pPr>
            <w:r>
              <w:rPr>
                <w:color w:val="231F20"/>
                <w:spacing w:val="-5"/>
                <w:w w:val="95"/>
                <w:sz w:val="13"/>
              </w:rPr>
              <w:t>2.1</w:t>
            </w:r>
          </w:p>
        </w:tc>
        <w:tc>
          <w:tcPr>
            <w:tcW w:w="707" w:type="dxa"/>
            <w:shd w:val="clear" w:color="auto" w:fill="D4E3F5"/>
          </w:tcPr>
          <w:p>
            <w:pPr>
              <w:pStyle w:val="TableParagraph"/>
              <w:spacing w:line="148" w:lineRule="exact" w:before="17"/>
              <w:ind w:left="17" w:right="55"/>
              <w:rPr>
                <w:sz w:val="13"/>
              </w:rPr>
            </w:pPr>
            <w:r>
              <w:rPr>
                <w:color w:val="231F20"/>
                <w:spacing w:val="-5"/>
                <w:w w:val="95"/>
                <w:sz w:val="13"/>
              </w:rPr>
              <w:t>2.9</w:t>
            </w:r>
          </w:p>
        </w:tc>
        <w:tc>
          <w:tcPr>
            <w:tcW w:w="369" w:type="dxa"/>
            <w:shd w:val="clear" w:color="auto" w:fill="D4E3F5"/>
          </w:tcPr>
          <w:p>
            <w:pPr>
              <w:pStyle w:val="TableParagraph"/>
              <w:spacing w:line="148" w:lineRule="exact" w:before="17"/>
              <w:ind w:left="17" w:right="61"/>
              <w:rPr>
                <w:sz w:val="13"/>
              </w:rPr>
            </w:pPr>
            <w:r>
              <w:rPr>
                <w:color w:val="231F20"/>
                <w:spacing w:val="-5"/>
                <w:w w:val="95"/>
                <w:sz w:val="13"/>
              </w:rPr>
              <w:t>2.6</w:t>
            </w:r>
          </w:p>
        </w:tc>
        <w:tc>
          <w:tcPr>
            <w:tcW w:w="507" w:type="dxa"/>
            <w:shd w:val="clear" w:color="auto" w:fill="D4E3F5"/>
          </w:tcPr>
          <w:p>
            <w:pPr>
              <w:pStyle w:val="TableParagraph"/>
              <w:spacing w:line="148" w:lineRule="exact" w:before="17"/>
              <w:ind w:right="45"/>
              <w:rPr>
                <w:sz w:val="13"/>
              </w:rPr>
            </w:pPr>
            <w:r>
              <w:rPr>
                <w:color w:val="231F20"/>
                <w:spacing w:val="-5"/>
                <w:w w:val="95"/>
                <w:sz w:val="13"/>
              </w:rPr>
              <w:t>2.4</w:t>
            </w:r>
          </w:p>
        </w:tc>
      </w:tr>
      <w:tr>
        <w:trPr>
          <w:trHeight w:val="184" w:hRule="atLeast"/>
        </w:trPr>
        <w:tc>
          <w:tcPr>
            <w:tcW w:w="1377" w:type="dxa"/>
          </w:tcPr>
          <w:p>
            <w:pPr>
              <w:pStyle w:val="TableParagraph"/>
              <w:spacing w:line="148" w:lineRule="exact" w:before="17"/>
              <w:ind w:left="79"/>
              <w:jc w:val="left"/>
              <w:rPr>
                <w:sz w:val="13"/>
              </w:rPr>
            </w:pPr>
            <w:r>
              <w:rPr>
                <w:color w:val="231F20"/>
                <w:w w:val="75"/>
                <w:sz w:val="13"/>
              </w:rPr>
              <w:t>New</w:t>
            </w:r>
            <w:r>
              <w:rPr>
                <w:color w:val="231F20"/>
                <w:spacing w:val="4"/>
                <w:sz w:val="13"/>
              </w:rPr>
              <w:t> </w:t>
            </w:r>
            <w:r>
              <w:rPr>
                <w:color w:val="231F20"/>
                <w:spacing w:val="-2"/>
                <w:w w:val="85"/>
                <w:sz w:val="13"/>
              </w:rPr>
              <w:t>Zealand</w:t>
            </w:r>
          </w:p>
        </w:tc>
        <w:tc>
          <w:tcPr>
            <w:tcW w:w="487" w:type="dxa"/>
          </w:tcPr>
          <w:p>
            <w:pPr>
              <w:pStyle w:val="TableParagraph"/>
              <w:spacing w:line="148" w:lineRule="exact" w:before="17"/>
              <w:ind w:right="98"/>
              <w:jc w:val="right"/>
              <w:rPr>
                <w:sz w:val="13"/>
              </w:rPr>
            </w:pPr>
            <w:r>
              <w:rPr>
                <w:color w:val="231F20"/>
                <w:spacing w:val="-5"/>
                <w:w w:val="95"/>
                <w:sz w:val="13"/>
              </w:rPr>
              <w:t>3.6</w:t>
            </w:r>
          </w:p>
        </w:tc>
        <w:tc>
          <w:tcPr>
            <w:tcW w:w="531" w:type="dxa"/>
          </w:tcPr>
          <w:p>
            <w:pPr>
              <w:pStyle w:val="TableParagraph"/>
              <w:spacing w:line="148" w:lineRule="exact" w:before="17"/>
              <w:ind w:left="15" w:right="27"/>
              <w:rPr>
                <w:sz w:val="13"/>
              </w:rPr>
            </w:pPr>
            <w:r>
              <w:rPr>
                <w:color w:val="231F20"/>
                <w:spacing w:val="-5"/>
                <w:w w:val="95"/>
                <w:sz w:val="13"/>
              </w:rPr>
              <w:t>3.4</w:t>
            </w:r>
          </w:p>
        </w:tc>
        <w:tc>
          <w:tcPr>
            <w:tcW w:w="549" w:type="dxa"/>
          </w:tcPr>
          <w:p>
            <w:pPr>
              <w:pStyle w:val="TableParagraph"/>
              <w:spacing w:line="148" w:lineRule="exact" w:before="17"/>
              <w:ind w:left="17" w:right="16"/>
              <w:rPr>
                <w:sz w:val="13"/>
              </w:rPr>
            </w:pPr>
            <w:r>
              <w:rPr>
                <w:color w:val="231F20"/>
                <w:spacing w:val="-5"/>
                <w:w w:val="95"/>
                <w:sz w:val="13"/>
              </w:rPr>
              <w:t>3.8</w:t>
            </w:r>
          </w:p>
        </w:tc>
        <w:tc>
          <w:tcPr>
            <w:tcW w:w="615" w:type="dxa"/>
          </w:tcPr>
          <w:p>
            <w:pPr>
              <w:pStyle w:val="TableParagraph"/>
              <w:spacing w:line="148" w:lineRule="exact" w:before="17"/>
              <w:ind w:left="19" w:right="8"/>
              <w:rPr>
                <w:sz w:val="13"/>
              </w:rPr>
            </w:pPr>
            <w:r>
              <w:rPr>
                <w:color w:val="231F20"/>
                <w:spacing w:val="-5"/>
                <w:w w:val="95"/>
                <w:sz w:val="13"/>
              </w:rPr>
              <w:t>3.2</w:t>
            </w:r>
          </w:p>
        </w:tc>
        <w:tc>
          <w:tcPr>
            <w:tcW w:w="706" w:type="dxa"/>
          </w:tcPr>
          <w:p>
            <w:pPr>
              <w:pStyle w:val="TableParagraph"/>
              <w:spacing w:line="148" w:lineRule="exact" w:before="17"/>
              <w:ind w:left="12" w:right="24"/>
              <w:rPr>
                <w:sz w:val="13"/>
              </w:rPr>
            </w:pPr>
            <w:r>
              <w:rPr>
                <w:color w:val="231F20"/>
                <w:spacing w:val="-5"/>
                <w:w w:val="95"/>
                <w:sz w:val="13"/>
              </w:rPr>
              <w:t>3.7</w:t>
            </w:r>
          </w:p>
        </w:tc>
        <w:tc>
          <w:tcPr>
            <w:tcW w:w="368" w:type="dxa"/>
          </w:tcPr>
          <w:p>
            <w:pPr>
              <w:pStyle w:val="TableParagraph"/>
              <w:spacing w:line="148" w:lineRule="exact" w:before="17"/>
              <w:ind w:left="20" w:right="28"/>
              <w:rPr>
                <w:sz w:val="13"/>
              </w:rPr>
            </w:pPr>
            <w:r>
              <w:rPr>
                <w:color w:val="231F20"/>
                <w:spacing w:val="-5"/>
                <w:w w:val="95"/>
                <w:sz w:val="13"/>
              </w:rPr>
              <w:t>3.8</w:t>
            </w:r>
          </w:p>
        </w:tc>
        <w:tc>
          <w:tcPr>
            <w:tcW w:w="536" w:type="dxa"/>
            <w:tcBorders>
              <w:right w:val="single" w:sz="24" w:space="0" w:color="FFFFFF"/>
            </w:tcBorders>
          </w:tcPr>
          <w:p>
            <w:pPr>
              <w:pStyle w:val="TableParagraph"/>
              <w:spacing w:line="148" w:lineRule="exact" w:before="17"/>
              <w:ind w:left="20" w:right="27"/>
              <w:rPr>
                <w:sz w:val="13"/>
              </w:rPr>
            </w:pPr>
            <w:r>
              <w:rPr>
                <w:color w:val="231F20"/>
                <w:spacing w:val="-5"/>
                <w:w w:val="95"/>
                <w:sz w:val="13"/>
              </w:rPr>
              <w:t>3.8</w:t>
            </w:r>
          </w:p>
        </w:tc>
        <w:tc>
          <w:tcPr>
            <w:tcW w:w="1415" w:type="dxa"/>
            <w:tcBorders>
              <w:left w:val="single" w:sz="24" w:space="0" w:color="FFFFFF"/>
            </w:tcBorders>
          </w:tcPr>
          <w:p>
            <w:pPr>
              <w:pStyle w:val="TableParagraph"/>
              <w:spacing w:line="148" w:lineRule="exact" w:before="17"/>
              <w:ind w:left="70"/>
              <w:jc w:val="left"/>
              <w:rPr>
                <w:sz w:val="13"/>
              </w:rPr>
            </w:pPr>
            <w:r>
              <w:rPr>
                <w:color w:val="231F20"/>
                <w:w w:val="75"/>
                <w:sz w:val="13"/>
              </w:rPr>
              <w:t>Congo,</w:t>
            </w:r>
            <w:r>
              <w:rPr>
                <w:color w:val="231F20"/>
                <w:spacing w:val="12"/>
                <w:sz w:val="13"/>
              </w:rPr>
              <w:t> </w:t>
            </w:r>
            <w:r>
              <w:rPr>
                <w:color w:val="231F20"/>
                <w:w w:val="75"/>
                <w:sz w:val="13"/>
              </w:rPr>
              <w:t>Dem.</w:t>
            </w:r>
            <w:r>
              <w:rPr>
                <w:color w:val="231F20"/>
                <w:spacing w:val="12"/>
                <w:sz w:val="13"/>
              </w:rPr>
              <w:t> </w:t>
            </w:r>
            <w:r>
              <w:rPr>
                <w:color w:val="231F20"/>
                <w:spacing w:val="-4"/>
                <w:w w:val="75"/>
                <w:sz w:val="13"/>
              </w:rPr>
              <w:t>Rep.</w:t>
            </w:r>
          </w:p>
        </w:tc>
        <w:tc>
          <w:tcPr>
            <w:tcW w:w="482" w:type="dxa"/>
          </w:tcPr>
          <w:p>
            <w:pPr>
              <w:pStyle w:val="TableParagraph"/>
              <w:spacing w:line="148" w:lineRule="exact" w:before="17"/>
              <w:ind w:right="109"/>
              <w:jc w:val="right"/>
              <w:rPr>
                <w:sz w:val="13"/>
              </w:rPr>
            </w:pPr>
            <w:r>
              <w:rPr>
                <w:color w:val="231F20"/>
                <w:spacing w:val="-5"/>
                <w:w w:val="95"/>
                <w:sz w:val="13"/>
              </w:rPr>
              <w:t>2.5</w:t>
            </w:r>
          </w:p>
        </w:tc>
        <w:tc>
          <w:tcPr>
            <w:tcW w:w="532" w:type="dxa"/>
          </w:tcPr>
          <w:p>
            <w:pPr>
              <w:pStyle w:val="TableParagraph"/>
              <w:spacing w:line="148" w:lineRule="exact" w:before="17"/>
              <w:ind w:left="20" w:right="55"/>
              <w:rPr>
                <w:sz w:val="13"/>
              </w:rPr>
            </w:pPr>
            <w:r>
              <w:rPr>
                <w:color w:val="231F20"/>
                <w:spacing w:val="-5"/>
                <w:w w:val="95"/>
                <w:sz w:val="13"/>
              </w:rPr>
              <w:t>2.3</w:t>
            </w:r>
          </w:p>
        </w:tc>
        <w:tc>
          <w:tcPr>
            <w:tcW w:w="550" w:type="dxa"/>
          </w:tcPr>
          <w:p>
            <w:pPr>
              <w:pStyle w:val="TableParagraph"/>
              <w:spacing w:line="148" w:lineRule="exact" w:before="17"/>
              <w:ind w:left="21" w:right="45"/>
              <w:rPr>
                <w:sz w:val="13"/>
              </w:rPr>
            </w:pPr>
            <w:r>
              <w:rPr>
                <w:color w:val="231F20"/>
                <w:spacing w:val="-5"/>
                <w:w w:val="95"/>
                <w:sz w:val="13"/>
              </w:rPr>
              <w:t>2.3</w:t>
            </w:r>
          </w:p>
        </w:tc>
        <w:tc>
          <w:tcPr>
            <w:tcW w:w="616" w:type="dxa"/>
          </w:tcPr>
          <w:p>
            <w:pPr>
              <w:pStyle w:val="TableParagraph"/>
              <w:spacing w:line="148" w:lineRule="exact" w:before="17"/>
              <w:ind w:right="16"/>
              <w:rPr>
                <w:sz w:val="13"/>
              </w:rPr>
            </w:pPr>
            <w:r>
              <w:rPr>
                <w:color w:val="231F20"/>
                <w:spacing w:val="-5"/>
                <w:w w:val="95"/>
                <w:sz w:val="13"/>
              </w:rPr>
              <w:t>2.5</w:t>
            </w:r>
          </w:p>
        </w:tc>
        <w:tc>
          <w:tcPr>
            <w:tcW w:w="707" w:type="dxa"/>
          </w:tcPr>
          <w:p>
            <w:pPr>
              <w:pStyle w:val="TableParagraph"/>
              <w:spacing w:line="148" w:lineRule="exact" w:before="17"/>
              <w:ind w:left="15" w:right="55"/>
              <w:rPr>
                <w:sz w:val="13"/>
              </w:rPr>
            </w:pPr>
            <w:r>
              <w:rPr>
                <w:color w:val="231F20"/>
                <w:spacing w:val="-5"/>
                <w:w w:val="95"/>
                <w:sz w:val="13"/>
              </w:rPr>
              <w:t>2.4</w:t>
            </w:r>
          </w:p>
        </w:tc>
        <w:tc>
          <w:tcPr>
            <w:tcW w:w="369" w:type="dxa"/>
          </w:tcPr>
          <w:p>
            <w:pPr>
              <w:pStyle w:val="TableParagraph"/>
              <w:spacing w:line="148" w:lineRule="exact" w:before="17"/>
              <w:ind w:left="18" w:right="61"/>
              <w:rPr>
                <w:sz w:val="13"/>
              </w:rPr>
            </w:pPr>
            <w:r>
              <w:rPr>
                <w:color w:val="231F20"/>
                <w:spacing w:val="-5"/>
                <w:w w:val="95"/>
                <w:sz w:val="13"/>
              </w:rPr>
              <w:t>2.8</w:t>
            </w:r>
          </w:p>
        </w:tc>
        <w:tc>
          <w:tcPr>
            <w:tcW w:w="507" w:type="dxa"/>
          </w:tcPr>
          <w:p>
            <w:pPr>
              <w:pStyle w:val="TableParagraph"/>
              <w:spacing w:line="148" w:lineRule="exact" w:before="17"/>
              <w:ind w:right="43"/>
              <w:rPr>
                <w:sz w:val="13"/>
              </w:rPr>
            </w:pPr>
            <w:r>
              <w:rPr>
                <w:color w:val="231F20"/>
                <w:spacing w:val="-5"/>
                <w:w w:val="95"/>
                <w:sz w:val="13"/>
              </w:rPr>
              <w:t>2.5</w:t>
            </w:r>
          </w:p>
        </w:tc>
      </w:tr>
      <w:tr>
        <w:trPr>
          <w:trHeight w:val="184" w:hRule="atLeast"/>
        </w:trPr>
        <w:tc>
          <w:tcPr>
            <w:tcW w:w="1377" w:type="dxa"/>
            <w:shd w:val="clear" w:color="auto" w:fill="D4E3F5"/>
          </w:tcPr>
          <w:p>
            <w:pPr>
              <w:pStyle w:val="TableParagraph"/>
              <w:spacing w:line="148" w:lineRule="exact" w:before="17"/>
              <w:ind w:left="79"/>
              <w:jc w:val="left"/>
              <w:rPr>
                <w:sz w:val="13"/>
              </w:rPr>
            </w:pPr>
            <w:r>
              <w:rPr>
                <w:color w:val="231F20"/>
                <w:spacing w:val="-2"/>
                <w:w w:val="85"/>
                <w:sz w:val="13"/>
              </w:rPr>
              <w:t>Poland</w:t>
            </w:r>
          </w:p>
        </w:tc>
        <w:tc>
          <w:tcPr>
            <w:tcW w:w="487" w:type="dxa"/>
            <w:shd w:val="clear" w:color="auto" w:fill="D4E3F5"/>
          </w:tcPr>
          <w:p>
            <w:pPr>
              <w:pStyle w:val="TableParagraph"/>
              <w:spacing w:line="148" w:lineRule="exact" w:before="17"/>
              <w:ind w:right="98"/>
              <w:jc w:val="right"/>
              <w:rPr>
                <w:sz w:val="13"/>
              </w:rPr>
            </w:pPr>
            <w:r>
              <w:rPr>
                <w:color w:val="231F20"/>
                <w:spacing w:val="-5"/>
                <w:w w:val="95"/>
                <w:sz w:val="13"/>
              </w:rPr>
              <w:t>3.6</w:t>
            </w:r>
          </w:p>
        </w:tc>
        <w:tc>
          <w:tcPr>
            <w:tcW w:w="531" w:type="dxa"/>
            <w:shd w:val="clear" w:color="auto" w:fill="D4E3F5"/>
          </w:tcPr>
          <w:p>
            <w:pPr>
              <w:pStyle w:val="TableParagraph"/>
              <w:spacing w:line="148" w:lineRule="exact" w:before="17"/>
              <w:ind w:left="15" w:right="27"/>
              <w:rPr>
                <w:sz w:val="13"/>
              </w:rPr>
            </w:pPr>
            <w:r>
              <w:rPr>
                <w:color w:val="231F20"/>
                <w:spacing w:val="-5"/>
                <w:w w:val="95"/>
                <w:sz w:val="13"/>
              </w:rPr>
              <w:t>3.4</w:t>
            </w:r>
          </w:p>
        </w:tc>
        <w:tc>
          <w:tcPr>
            <w:tcW w:w="549" w:type="dxa"/>
            <w:shd w:val="clear" w:color="auto" w:fill="D4E3F5"/>
          </w:tcPr>
          <w:p>
            <w:pPr>
              <w:pStyle w:val="TableParagraph"/>
              <w:spacing w:line="148" w:lineRule="exact" w:before="17"/>
              <w:ind w:left="16" w:right="16"/>
              <w:rPr>
                <w:sz w:val="13"/>
              </w:rPr>
            </w:pPr>
            <w:r>
              <w:rPr>
                <w:color w:val="231F20"/>
                <w:spacing w:val="-5"/>
                <w:w w:val="95"/>
                <w:sz w:val="13"/>
              </w:rPr>
              <w:t>3.5</w:t>
            </w:r>
          </w:p>
        </w:tc>
        <w:tc>
          <w:tcPr>
            <w:tcW w:w="615" w:type="dxa"/>
            <w:shd w:val="clear" w:color="auto" w:fill="D4E3F5"/>
          </w:tcPr>
          <w:p>
            <w:pPr>
              <w:pStyle w:val="TableParagraph"/>
              <w:spacing w:line="148" w:lineRule="exact" w:before="17"/>
              <w:ind w:left="20" w:right="8"/>
              <w:rPr>
                <w:sz w:val="13"/>
              </w:rPr>
            </w:pPr>
            <w:r>
              <w:rPr>
                <w:color w:val="231F20"/>
                <w:spacing w:val="-5"/>
                <w:w w:val="95"/>
                <w:sz w:val="13"/>
              </w:rPr>
              <w:t>3.3</w:t>
            </w:r>
          </w:p>
        </w:tc>
        <w:tc>
          <w:tcPr>
            <w:tcW w:w="706" w:type="dxa"/>
            <w:shd w:val="clear" w:color="auto" w:fill="D4E3F5"/>
          </w:tcPr>
          <w:p>
            <w:pPr>
              <w:pStyle w:val="TableParagraph"/>
              <w:spacing w:line="148" w:lineRule="exact" w:before="17"/>
              <w:ind w:left="15" w:right="24"/>
              <w:rPr>
                <w:sz w:val="13"/>
              </w:rPr>
            </w:pPr>
            <w:r>
              <w:rPr>
                <w:color w:val="231F20"/>
                <w:spacing w:val="-5"/>
                <w:w w:val="95"/>
                <w:sz w:val="13"/>
              </w:rPr>
              <w:t>3.6</w:t>
            </w:r>
          </w:p>
        </w:tc>
        <w:tc>
          <w:tcPr>
            <w:tcW w:w="368" w:type="dxa"/>
            <w:shd w:val="clear" w:color="auto" w:fill="D4E3F5"/>
          </w:tcPr>
          <w:p>
            <w:pPr>
              <w:pStyle w:val="TableParagraph"/>
              <w:spacing w:line="148" w:lineRule="exact" w:before="17"/>
              <w:ind w:left="19" w:right="28"/>
              <w:rPr>
                <w:sz w:val="13"/>
              </w:rPr>
            </w:pPr>
            <w:r>
              <w:rPr>
                <w:color w:val="231F20"/>
                <w:spacing w:val="-5"/>
                <w:w w:val="95"/>
                <w:sz w:val="13"/>
              </w:rPr>
              <w:t>3.9</w:t>
            </w:r>
          </w:p>
        </w:tc>
        <w:tc>
          <w:tcPr>
            <w:tcW w:w="536" w:type="dxa"/>
            <w:tcBorders>
              <w:right w:val="single" w:sz="24" w:space="0" w:color="FFFFFF"/>
            </w:tcBorders>
            <w:shd w:val="clear" w:color="auto" w:fill="D4E3F5"/>
          </w:tcPr>
          <w:p>
            <w:pPr>
              <w:pStyle w:val="TableParagraph"/>
              <w:spacing w:line="148" w:lineRule="exact" w:before="17"/>
              <w:ind w:left="20" w:right="27"/>
              <w:rPr>
                <w:sz w:val="13"/>
              </w:rPr>
            </w:pPr>
            <w:r>
              <w:rPr>
                <w:color w:val="231F20"/>
                <w:spacing w:val="-5"/>
                <w:w w:val="95"/>
                <w:sz w:val="13"/>
              </w:rPr>
              <w:t>3.8</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2"/>
                <w:w w:val="85"/>
                <w:sz w:val="13"/>
              </w:rPr>
              <w:t>Ghana</w:t>
            </w:r>
          </w:p>
        </w:tc>
        <w:tc>
          <w:tcPr>
            <w:tcW w:w="482" w:type="dxa"/>
            <w:shd w:val="clear" w:color="auto" w:fill="D4E3F5"/>
          </w:tcPr>
          <w:p>
            <w:pPr>
              <w:pStyle w:val="TableParagraph"/>
              <w:spacing w:line="148" w:lineRule="exact" w:before="17"/>
              <w:ind w:right="109"/>
              <w:jc w:val="right"/>
              <w:rPr>
                <w:sz w:val="13"/>
              </w:rPr>
            </w:pPr>
            <w:r>
              <w:rPr>
                <w:color w:val="231F20"/>
                <w:spacing w:val="-5"/>
                <w:w w:val="95"/>
                <w:sz w:val="13"/>
              </w:rPr>
              <w:t>2.5</w:t>
            </w:r>
          </w:p>
        </w:tc>
        <w:tc>
          <w:tcPr>
            <w:tcW w:w="532" w:type="dxa"/>
            <w:shd w:val="clear" w:color="auto" w:fill="D4E3F5"/>
          </w:tcPr>
          <w:p>
            <w:pPr>
              <w:pStyle w:val="TableParagraph"/>
              <w:spacing w:line="148" w:lineRule="exact" w:before="17"/>
              <w:ind w:left="15" w:right="55"/>
              <w:rPr>
                <w:sz w:val="13"/>
              </w:rPr>
            </w:pPr>
            <w:r>
              <w:rPr>
                <w:color w:val="231F20"/>
                <w:spacing w:val="-5"/>
                <w:w w:val="95"/>
                <w:sz w:val="13"/>
              </w:rPr>
              <w:t>2.7</w:t>
            </w:r>
          </w:p>
        </w:tc>
        <w:tc>
          <w:tcPr>
            <w:tcW w:w="550" w:type="dxa"/>
            <w:shd w:val="clear" w:color="auto" w:fill="D4E3F5"/>
          </w:tcPr>
          <w:p>
            <w:pPr>
              <w:pStyle w:val="TableParagraph"/>
              <w:spacing w:line="148" w:lineRule="exact" w:before="17"/>
              <w:ind w:left="19" w:right="45"/>
              <w:rPr>
                <w:sz w:val="13"/>
              </w:rPr>
            </w:pPr>
            <w:r>
              <w:rPr>
                <w:color w:val="231F20"/>
                <w:spacing w:val="-5"/>
                <w:w w:val="95"/>
                <w:sz w:val="13"/>
              </w:rPr>
              <w:t>2.4</w:t>
            </w:r>
          </w:p>
        </w:tc>
        <w:tc>
          <w:tcPr>
            <w:tcW w:w="616" w:type="dxa"/>
            <w:shd w:val="clear" w:color="auto" w:fill="D4E3F5"/>
          </w:tcPr>
          <w:p>
            <w:pPr>
              <w:pStyle w:val="TableParagraph"/>
              <w:spacing w:line="148" w:lineRule="exact" w:before="17"/>
              <w:ind w:left="19" w:right="37"/>
              <w:rPr>
                <w:sz w:val="13"/>
              </w:rPr>
            </w:pPr>
            <w:r>
              <w:rPr>
                <w:color w:val="231F20"/>
                <w:spacing w:val="-5"/>
                <w:w w:val="95"/>
                <w:sz w:val="13"/>
              </w:rPr>
              <w:t>2.4</w:t>
            </w:r>
          </w:p>
        </w:tc>
        <w:tc>
          <w:tcPr>
            <w:tcW w:w="707" w:type="dxa"/>
            <w:shd w:val="clear" w:color="auto" w:fill="D4E3F5"/>
          </w:tcPr>
          <w:p>
            <w:pPr>
              <w:pStyle w:val="TableParagraph"/>
              <w:spacing w:line="148" w:lineRule="exact" w:before="17"/>
              <w:ind w:left="17" w:right="55"/>
              <w:rPr>
                <w:sz w:val="13"/>
              </w:rPr>
            </w:pPr>
            <w:r>
              <w:rPr>
                <w:color w:val="231F20"/>
                <w:spacing w:val="-5"/>
                <w:w w:val="95"/>
                <w:sz w:val="13"/>
              </w:rPr>
              <w:t>2.5</w:t>
            </w:r>
          </w:p>
        </w:tc>
        <w:tc>
          <w:tcPr>
            <w:tcW w:w="369" w:type="dxa"/>
            <w:shd w:val="clear" w:color="auto" w:fill="D4E3F5"/>
          </w:tcPr>
          <w:p>
            <w:pPr>
              <w:pStyle w:val="TableParagraph"/>
              <w:spacing w:line="148" w:lineRule="exact" w:before="17"/>
              <w:ind w:left="13" w:right="61"/>
              <w:rPr>
                <w:sz w:val="13"/>
              </w:rPr>
            </w:pPr>
            <w:r>
              <w:rPr>
                <w:color w:val="231F20"/>
                <w:spacing w:val="-5"/>
                <w:w w:val="95"/>
                <w:sz w:val="13"/>
              </w:rPr>
              <w:t>2.7</w:t>
            </w:r>
          </w:p>
        </w:tc>
        <w:tc>
          <w:tcPr>
            <w:tcW w:w="507" w:type="dxa"/>
            <w:shd w:val="clear" w:color="auto" w:fill="D4E3F5"/>
          </w:tcPr>
          <w:p>
            <w:pPr>
              <w:pStyle w:val="TableParagraph"/>
              <w:spacing w:line="148" w:lineRule="exact" w:before="17"/>
              <w:ind w:right="43"/>
              <w:rPr>
                <w:sz w:val="13"/>
              </w:rPr>
            </w:pPr>
            <w:r>
              <w:rPr>
                <w:color w:val="231F20"/>
                <w:spacing w:val="-5"/>
                <w:w w:val="95"/>
                <w:sz w:val="13"/>
              </w:rPr>
              <w:t>2.2</w:t>
            </w:r>
          </w:p>
        </w:tc>
      </w:tr>
      <w:tr>
        <w:trPr>
          <w:trHeight w:val="184" w:hRule="atLeast"/>
        </w:trPr>
        <w:tc>
          <w:tcPr>
            <w:tcW w:w="1377" w:type="dxa"/>
          </w:tcPr>
          <w:p>
            <w:pPr>
              <w:pStyle w:val="TableParagraph"/>
              <w:spacing w:line="148" w:lineRule="exact" w:before="17"/>
              <w:ind w:left="79"/>
              <w:jc w:val="left"/>
              <w:rPr>
                <w:sz w:val="13"/>
              </w:rPr>
            </w:pPr>
            <w:r>
              <w:rPr>
                <w:color w:val="231F20"/>
                <w:spacing w:val="-2"/>
                <w:w w:val="90"/>
                <w:sz w:val="13"/>
              </w:rPr>
              <w:t>Bahrain</w:t>
            </w:r>
          </w:p>
        </w:tc>
        <w:tc>
          <w:tcPr>
            <w:tcW w:w="487" w:type="dxa"/>
          </w:tcPr>
          <w:p>
            <w:pPr>
              <w:pStyle w:val="TableParagraph"/>
              <w:spacing w:line="148" w:lineRule="exact" w:before="17"/>
              <w:ind w:right="97"/>
              <w:jc w:val="right"/>
              <w:rPr>
                <w:sz w:val="13"/>
              </w:rPr>
            </w:pPr>
            <w:r>
              <w:rPr>
                <w:color w:val="231F20"/>
                <w:spacing w:val="-5"/>
                <w:w w:val="95"/>
                <w:sz w:val="13"/>
              </w:rPr>
              <w:t>3.5</w:t>
            </w:r>
          </w:p>
        </w:tc>
        <w:tc>
          <w:tcPr>
            <w:tcW w:w="531" w:type="dxa"/>
          </w:tcPr>
          <w:p>
            <w:pPr>
              <w:pStyle w:val="TableParagraph"/>
              <w:spacing w:line="148" w:lineRule="exact" w:before="17"/>
              <w:ind w:left="19" w:right="27"/>
              <w:rPr>
                <w:sz w:val="13"/>
              </w:rPr>
            </w:pPr>
            <w:r>
              <w:rPr>
                <w:color w:val="231F20"/>
                <w:spacing w:val="-5"/>
                <w:w w:val="95"/>
                <w:sz w:val="13"/>
              </w:rPr>
              <w:t>3.3</w:t>
            </w:r>
          </w:p>
        </w:tc>
        <w:tc>
          <w:tcPr>
            <w:tcW w:w="549" w:type="dxa"/>
          </w:tcPr>
          <w:p>
            <w:pPr>
              <w:pStyle w:val="TableParagraph"/>
              <w:spacing w:line="148" w:lineRule="exact" w:before="17"/>
              <w:ind w:left="15" w:right="16"/>
              <w:rPr>
                <w:sz w:val="13"/>
              </w:rPr>
            </w:pPr>
            <w:r>
              <w:rPr>
                <w:color w:val="231F20"/>
                <w:spacing w:val="-5"/>
                <w:w w:val="95"/>
                <w:sz w:val="13"/>
              </w:rPr>
              <w:t>3.6</w:t>
            </w:r>
          </w:p>
        </w:tc>
        <w:tc>
          <w:tcPr>
            <w:tcW w:w="615" w:type="dxa"/>
          </w:tcPr>
          <w:p>
            <w:pPr>
              <w:pStyle w:val="TableParagraph"/>
              <w:spacing w:line="148" w:lineRule="exact" w:before="17"/>
              <w:ind w:left="12" w:right="16"/>
              <w:rPr>
                <w:sz w:val="13"/>
              </w:rPr>
            </w:pPr>
            <w:r>
              <w:rPr>
                <w:color w:val="231F20"/>
                <w:spacing w:val="-5"/>
                <w:w w:val="95"/>
                <w:sz w:val="13"/>
              </w:rPr>
              <w:t>3.1</w:t>
            </w:r>
          </w:p>
        </w:tc>
        <w:tc>
          <w:tcPr>
            <w:tcW w:w="706" w:type="dxa"/>
          </w:tcPr>
          <w:p>
            <w:pPr>
              <w:pStyle w:val="TableParagraph"/>
              <w:spacing w:line="148" w:lineRule="exact" w:before="17"/>
              <w:ind w:left="19" w:right="24"/>
              <w:rPr>
                <w:sz w:val="13"/>
              </w:rPr>
            </w:pPr>
            <w:r>
              <w:rPr>
                <w:color w:val="231F20"/>
                <w:spacing w:val="-5"/>
                <w:w w:val="95"/>
                <w:sz w:val="13"/>
              </w:rPr>
              <w:t>3.3</w:t>
            </w:r>
          </w:p>
        </w:tc>
        <w:tc>
          <w:tcPr>
            <w:tcW w:w="368" w:type="dxa"/>
          </w:tcPr>
          <w:p>
            <w:pPr>
              <w:pStyle w:val="TableParagraph"/>
              <w:spacing w:line="148" w:lineRule="exact" w:before="17"/>
              <w:ind w:left="3" w:right="28"/>
              <w:rPr>
                <w:sz w:val="13"/>
              </w:rPr>
            </w:pPr>
            <w:r>
              <w:rPr>
                <w:color w:val="231F20"/>
                <w:spacing w:val="-5"/>
                <w:w w:val="95"/>
                <w:sz w:val="13"/>
              </w:rPr>
              <w:t>4.1</w:t>
            </w:r>
          </w:p>
        </w:tc>
        <w:tc>
          <w:tcPr>
            <w:tcW w:w="536" w:type="dxa"/>
            <w:tcBorders>
              <w:right w:val="single" w:sz="24" w:space="0" w:color="FFFFFF"/>
            </w:tcBorders>
          </w:tcPr>
          <w:p>
            <w:pPr>
              <w:pStyle w:val="TableParagraph"/>
              <w:spacing w:line="148" w:lineRule="exact" w:before="17"/>
              <w:ind w:left="17" w:right="27"/>
              <w:rPr>
                <w:sz w:val="13"/>
              </w:rPr>
            </w:pPr>
            <w:r>
              <w:rPr>
                <w:color w:val="231F20"/>
                <w:spacing w:val="-5"/>
                <w:w w:val="95"/>
                <w:sz w:val="13"/>
              </w:rPr>
              <w:t>3.4</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85"/>
                <w:sz w:val="13"/>
              </w:rPr>
              <w:t>Grenada</w:t>
            </w:r>
          </w:p>
        </w:tc>
        <w:tc>
          <w:tcPr>
            <w:tcW w:w="482" w:type="dxa"/>
          </w:tcPr>
          <w:p>
            <w:pPr>
              <w:pStyle w:val="TableParagraph"/>
              <w:spacing w:line="148" w:lineRule="exact" w:before="17"/>
              <w:ind w:right="109"/>
              <w:jc w:val="right"/>
              <w:rPr>
                <w:sz w:val="13"/>
              </w:rPr>
            </w:pPr>
            <w:r>
              <w:rPr>
                <w:color w:val="231F20"/>
                <w:spacing w:val="-5"/>
                <w:w w:val="95"/>
                <w:sz w:val="13"/>
              </w:rPr>
              <w:t>2.5</w:t>
            </w:r>
          </w:p>
        </w:tc>
        <w:tc>
          <w:tcPr>
            <w:tcW w:w="532" w:type="dxa"/>
          </w:tcPr>
          <w:p>
            <w:pPr>
              <w:pStyle w:val="TableParagraph"/>
              <w:spacing w:line="148" w:lineRule="exact" w:before="17"/>
              <w:ind w:left="19" w:right="55"/>
              <w:rPr>
                <w:sz w:val="13"/>
              </w:rPr>
            </w:pPr>
            <w:r>
              <w:rPr>
                <w:color w:val="231F20"/>
                <w:spacing w:val="-5"/>
                <w:w w:val="95"/>
                <w:sz w:val="13"/>
              </w:rPr>
              <w:t>2.6</w:t>
            </w:r>
          </w:p>
        </w:tc>
        <w:tc>
          <w:tcPr>
            <w:tcW w:w="550" w:type="dxa"/>
          </w:tcPr>
          <w:p>
            <w:pPr>
              <w:pStyle w:val="TableParagraph"/>
              <w:spacing w:line="148" w:lineRule="exact" w:before="17"/>
              <w:ind w:left="20" w:right="45"/>
              <w:rPr>
                <w:sz w:val="13"/>
              </w:rPr>
            </w:pPr>
            <w:r>
              <w:rPr>
                <w:color w:val="231F20"/>
                <w:spacing w:val="-5"/>
                <w:w w:val="95"/>
                <w:sz w:val="13"/>
              </w:rPr>
              <w:t>2.5</w:t>
            </w:r>
          </w:p>
        </w:tc>
        <w:tc>
          <w:tcPr>
            <w:tcW w:w="616" w:type="dxa"/>
          </w:tcPr>
          <w:p>
            <w:pPr>
              <w:pStyle w:val="TableParagraph"/>
              <w:spacing w:line="148" w:lineRule="exact" w:before="17"/>
              <w:ind w:left="20" w:right="37"/>
              <w:rPr>
                <w:sz w:val="13"/>
              </w:rPr>
            </w:pPr>
            <w:r>
              <w:rPr>
                <w:color w:val="231F20"/>
                <w:spacing w:val="-5"/>
                <w:w w:val="95"/>
                <w:sz w:val="13"/>
              </w:rPr>
              <w:t>2.6</w:t>
            </w:r>
          </w:p>
        </w:tc>
        <w:tc>
          <w:tcPr>
            <w:tcW w:w="707" w:type="dxa"/>
          </w:tcPr>
          <w:p>
            <w:pPr>
              <w:pStyle w:val="TableParagraph"/>
              <w:spacing w:line="148" w:lineRule="exact" w:before="17"/>
              <w:ind w:left="17" w:right="55"/>
              <w:rPr>
                <w:sz w:val="13"/>
              </w:rPr>
            </w:pPr>
            <w:r>
              <w:rPr>
                <w:color w:val="231F20"/>
                <w:spacing w:val="-5"/>
                <w:w w:val="95"/>
                <w:sz w:val="13"/>
              </w:rPr>
              <w:t>2.2</w:t>
            </w:r>
          </w:p>
        </w:tc>
        <w:tc>
          <w:tcPr>
            <w:tcW w:w="369" w:type="dxa"/>
          </w:tcPr>
          <w:p>
            <w:pPr>
              <w:pStyle w:val="TableParagraph"/>
              <w:spacing w:line="148" w:lineRule="exact" w:before="17"/>
              <w:ind w:right="61"/>
              <w:rPr>
                <w:sz w:val="13"/>
              </w:rPr>
            </w:pPr>
            <w:r>
              <w:rPr>
                <w:color w:val="231F20"/>
                <w:spacing w:val="-5"/>
                <w:w w:val="95"/>
                <w:sz w:val="13"/>
              </w:rPr>
              <w:t>3.1</w:t>
            </w:r>
          </w:p>
        </w:tc>
        <w:tc>
          <w:tcPr>
            <w:tcW w:w="507" w:type="dxa"/>
          </w:tcPr>
          <w:p>
            <w:pPr>
              <w:pStyle w:val="TableParagraph"/>
              <w:spacing w:line="148" w:lineRule="exact" w:before="17"/>
              <w:ind w:right="44"/>
              <w:rPr>
                <w:sz w:val="13"/>
              </w:rPr>
            </w:pPr>
            <w:r>
              <w:rPr>
                <w:color w:val="231F20"/>
                <w:spacing w:val="-5"/>
                <w:w w:val="95"/>
                <w:sz w:val="13"/>
              </w:rPr>
              <w:t>2.3</w:t>
            </w:r>
          </w:p>
        </w:tc>
      </w:tr>
      <w:tr>
        <w:trPr>
          <w:trHeight w:val="184" w:hRule="atLeast"/>
        </w:trPr>
        <w:tc>
          <w:tcPr>
            <w:tcW w:w="1377" w:type="dxa"/>
            <w:shd w:val="clear" w:color="auto" w:fill="D4E3F5"/>
          </w:tcPr>
          <w:p>
            <w:pPr>
              <w:pStyle w:val="TableParagraph"/>
              <w:spacing w:line="148" w:lineRule="exact" w:before="17"/>
              <w:ind w:left="80"/>
              <w:jc w:val="left"/>
              <w:rPr>
                <w:sz w:val="13"/>
              </w:rPr>
            </w:pPr>
            <w:r>
              <w:rPr>
                <w:color w:val="231F20"/>
                <w:spacing w:val="-2"/>
                <w:w w:val="85"/>
                <w:sz w:val="13"/>
              </w:rPr>
              <w:t>Latvia</w:t>
            </w:r>
          </w:p>
        </w:tc>
        <w:tc>
          <w:tcPr>
            <w:tcW w:w="487" w:type="dxa"/>
            <w:shd w:val="clear" w:color="auto" w:fill="D4E3F5"/>
          </w:tcPr>
          <w:p>
            <w:pPr>
              <w:pStyle w:val="TableParagraph"/>
              <w:spacing w:line="148" w:lineRule="exact" w:before="17"/>
              <w:ind w:right="97"/>
              <w:jc w:val="right"/>
              <w:rPr>
                <w:sz w:val="13"/>
              </w:rPr>
            </w:pPr>
            <w:r>
              <w:rPr>
                <w:color w:val="231F20"/>
                <w:spacing w:val="-5"/>
                <w:w w:val="95"/>
                <w:sz w:val="13"/>
              </w:rPr>
              <w:t>3.5</w:t>
            </w:r>
          </w:p>
        </w:tc>
        <w:tc>
          <w:tcPr>
            <w:tcW w:w="531" w:type="dxa"/>
            <w:shd w:val="clear" w:color="auto" w:fill="D4E3F5"/>
          </w:tcPr>
          <w:p>
            <w:pPr>
              <w:pStyle w:val="TableParagraph"/>
              <w:spacing w:line="148" w:lineRule="exact" w:before="17"/>
              <w:ind w:left="19" w:right="27"/>
              <w:rPr>
                <w:sz w:val="13"/>
              </w:rPr>
            </w:pPr>
            <w:r>
              <w:rPr>
                <w:color w:val="231F20"/>
                <w:spacing w:val="-5"/>
                <w:w w:val="95"/>
                <w:sz w:val="13"/>
              </w:rPr>
              <w:t>3.3</w:t>
            </w:r>
          </w:p>
        </w:tc>
        <w:tc>
          <w:tcPr>
            <w:tcW w:w="549" w:type="dxa"/>
            <w:shd w:val="clear" w:color="auto" w:fill="D4E3F5"/>
          </w:tcPr>
          <w:p>
            <w:pPr>
              <w:pStyle w:val="TableParagraph"/>
              <w:spacing w:line="148" w:lineRule="exact" w:before="17"/>
              <w:ind w:left="18" w:right="16"/>
              <w:rPr>
                <w:sz w:val="13"/>
              </w:rPr>
            </w:pPr>
            <w:r>
              <w:rPr>
                <w:color w:val="231F20"/>
                <w:spacing w:val="-5"/>
                <w:w w:val="95"/>
                <w:sz w:val="13"/>
              </w:rPr>
              <w:t>3.3</w:t>
            </w:r>
          </w:p>
        </w:tc>
        <w:tc>
          <w:tcPr>
            <w:tcW w:w="615" w:type="dxa"/>
            <w:shd w:val="clear" w:color="auto" w:fill="D4E3F5"/>
          </w:tcPr>
          <w:p>
            <w:pPr>
              <w:pStyle w:val="TableParagraph"/>
              <w:spacing w:line="148" w:lineRule="exact" w:before="17"/>
              <w:ind w:left="19" w:right="8"/>
              <w:rPr>
                <w:sz w:val="13"/>
              </w:rPr>
            </w:pPr>
            <w:r>
              <w:rPr>
                <w:color w:val="231F20"/>
                <w:spacing w:val="-5"/>
                <w:w w:val="95"/>
                <w:sz w:val="13"/>
              </w:rPr>
              <w:t>3.2</w:t>
            </w:r>
          </w:p>
        </w:tc>
        <w:tc>
          <w:tcPr>
            <w:tcW w:w="706" w:type="dxa"/>
            <w:shd w:val="clear" w:color="auto" w:fill="D4E3F5"/>
          </w:tcPr>
          <w:p>
            <w:pPr>
              <w:pStyle w:val="TableParagraph"/>
              <w:spacing w:line="148" w:lineRule="exact" w:before="17"/>
              <w:ind w:left="12" w:right="24"/>
              <w:rPr>
                <w:sz w:val="13"/>
              </w:rPr>
            </w:pPr>
            <w:r>
              <w:rPr>
                <w:color w:val="231F20"/>
                <w:spacing w:val="-5"/>
                <w:w w:val="95"/>
                <w:sz w:val="13"/>
              </w:rPr>
              <w:t>3.7</w:t>
            </w:r>
          </w:p>
        </w:tc>
        <w:tc>
          <w:tcPr>
            <w:tcW w:w="368" w:type="dxa"/>
            <w:shd w:val="clear" w:color="auto" w:fill="D4E3F5"/>
          </w:tcPr>
          <w:p>
            <w:pPr>
              <w:pStyle w:val="TableParagraph"/>
              <w:spacing w:line="148" w:lineRule="exact" w:before="17"/>
              <w:ind w:left="19" w:right="28"/>
              <w:rPr>
                <w:sz w:val="13"/>
              </w:rPr>
            </w:pPr>
            <w:r>
              <w:rPr>
                <w:color w:val="231F20"/>
                <w:spacing w:val="-5"/>
                <w:w w:val="95"/>
                <w:sz w:val="13"/>
              </w:rPr>
              <w:t>4.0</w:t>
            </w:r>
          </w:p>
        </w:tc>
        <w:tc>
          <w:tcPr>
            <w:tcW w:w="536" w:type="dxa"/>
            <w:tcBorders>
              <w:right w:val="single" w:sz="24" w:space="0" w:color="FFFFFF"/>
            </w:tcBorders>
            <w:shd w:val="clear" w:color="auto" w:fill="D4E3F5"/>
          </w:tcPr>
          <w:p>
            <w:pPr>
              <w:pStyle w:val="TableParagraph"/>
              <w:spacing w:line="148" w:lineRule="exact" w:before="17"/>
              <w:ind w:left="18" w:right="27"/>
              <w:rPr>
                <w:sz w:val="13"/>
              </w:rPr>
            </w:pPr>
            <w:r>
              <w:rPr>
                <w:color w:val="231F20"/>
                <w:spacing w:val="-5"/>
                <w:w w:val="95"/>
                <w:sz w:val="13"/>
              </w:rPr>
              <w:t>3.6</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2"/>
                <w:w w:val="85"/>
                <w:sz w:val="13"/>
              </w:rPr>
              <w:t>Guinea</w:t>
            </w:r>
          </w:p>
        </w:tc>
        <w:tc>
          <w:tcPr>
            <w:tcW w:w="482" w:type="dxa"/>
            <w:shd w:val="clear" w:color="auto" w:fill="D4E3F5"/>
          </w:tcPr>
          <w:p>
            <w:pPr>
              <w:pStyle w:val="TableParagraph"/>
              <w:spacing w:line="148" w:lineRule="exact" w:before="17"/>
              <w:ind w:right="109"/>
              <w:jc w:val="right"/>
              <w:rPr>
                <w:sz w:val="13"/>
              </w:rPr>
            </w:pPr>
            <w:r>
              <w:rPr>
                <w:color w:val="231F20"/>
                <w:spacing w:val="-5"/>
                <w:w w:val="95"/>
                <w:sz w:val="13"/>
              </w:rPr>
              <w:t>2.5</w:t>
            </w:r>
          </w:p>
        </w:tc>
        <w:tc>
          <w:tcPr>
            <w:tcW w:w="532" w:type="dxa"/>
            <w:shd w:val="clear" w:color="auto" w:fill="D4E3F5"/>
          </w:tcPr>
          <w:p>
            <w:pPr>
              <w:pStyle w:val="TableParagraph"/>
              <w:spacing w:line="148" w:lineRule="exact" w:before="17"/>
              <w:ind w:left="18" w:right="55"/>
              <w:rPr>
                <w:sz w:val="13"/>
              </w:rPr>
            </w:pPr>
            <w:r>
              <w:rPr>
                <w:color w:val="231F20"/>
                <w:spacing w:val="-5"/>
                <w:w w:val="95"/>
                <w:sz w:val="13"/>
              </w:rPr>
              <w:t>2.4</w:t>
            </w:r>
          </w:p>
        </w:tc>
        <w:tc>
          <w:tcPr>
            <w:tcW w:w="550" w:type="dxa"/>
            <w:shd w:val="clear" w:color="auto" w:fill="D4E3F5"/>
          </w:tcPr>
          <w:p>
            <w:pPr>
              <w:pStyle w:val="TableParagraph"/>
              <w:spacing w:line="148" w:lineRule="exact" w:before="17"/>
              <w:ind w:left="18" w:right="45"/>
              <w:rPr>
                <w:sz w:val="13"/>
              </w:rPr>
            </w:pPr>
            <w:r>
              <w:rPr>
                <w:color w:val="231F20"/>
                <w:spacing w:val="-5"/>
                <w:w w:val="95"/>
                <w:sz w:val="13"/>
              </w:rPr>
              <w:t>2.4</w:t>
            </w:r>
          </w:p>
        </w:tc>
        <w:tc>
          <w:tcPr>
            <w:tcW w:w="616" w:type="dxa"/>
            <w:shd w:val="clear" w:color="auto" w:fill="D4E3F5"/>
          </w:tcPr>
          <w:p>
            <w:pPr>
              <w:pStyle w:val="TableParagraph"/>
              <w:spacing w:line="148" w:lineRule="exact" w:before="17"/>
              <w:ind w:left="20" w:right="37"/>
              <w:rPr>
                <w:sz w:val="13"/>
              </w:rPr>
            </w:pPr>
            <w:r>
              <w:rPr>
                <w:color w:val="231F20"/>
                <w:spacing w:val="-5"/>
                <w:w w:val="95"/>
                <w:sz w:val="13"/>
              </w:rPr>
              <w:t>2.2</w:t>
            </w:r>
          </w:p>
        </w:tc>
        <w:tc>
          <w:tcPr>
            <w:tcW w:w="707" w:type="dxa"/>
            <w:shd w:val="clear" w:color="auto" w:fill="D4E3F5"/>
          </w:tcPr>
          <w:p>
            <w:pPr>
              <w:pStyle w:val="TableParagraph"/>
              <w:spacing w:line="148" w:lineRule="exact" w:before="17"/>
              <w:ind w:left="12" w:right="55"/>
              <w:rPr>
                <w:sz w:val="13"/>
              </w:rPr>
            </w:pPr>
            <w:r>
              <w:rPr>
                <w:color w:val="231F20"/>
                <w:spacing w:val="-5"/>
                <w:w w:val="95"/>
                <w:sz w:val="13"/>
              </w:rPr>
              <w:t>2.7</w:t>
            </w:r>
          </w:p>
        </w:tc>
        <w:tc>
          <w:tcPr>
            <w:tcW w:w="369" w:type="dxa"/>
            <w:shd w:val="clear" w:color="auto" w:fill="D4E3F5"/>
          </w:tcPr>
          <w:p>
            <w:pPr>
              <w:pStyle w:val="TableParagraph"/>
              <w:spacing w:line="148" w:lineRule="exact" w:before="17"/>
              <w:ind w:left="18" w:right="61"/>
              <w:rPr>
                <w:sz w:val="13"/>
              </w:rPr>
            </w:pPr>
            <w:r>
              <w:rPr>
                <w:color w:val="231F20"/>
                <w:spacing w:val="-5"/>
                <w:w w:val="95"/>
                <w:sz w:val="13"/>
              </w:rPr>
              <w:t>2.5</w:t>
            </w:r>
          </w:p>
        </w:tc>
        <w:tc>
          <w:tcPr>
            <w:tcW w:w="507" w:type="dxa"/>
            <w:shd w:val="clear" w:color="auto" w:fill="D4E3F5"/>
          </w:tcPr>
          <w:p>
            <w:pPr>
              <w:pStyle w:val="TableParagraph"/>
              <w:spacing w:line="148" w:lineRule="exact" w:before="17"/>
              <w:ind w:left="3" w:right="51"/>
              <w:rPr>
                <w:sz w:val="13"/>
              </w:rPr>
            </w:pPr>
            <w:r>
              <w:rPr>
                <w:color w:val="231F20"/>
                <w:spacing w:val="-5"/>
                <w:w w:val="95"/>
                <w:sz w:val="13"/>
              </w:rPr>
              <w:t>2.7</w:t>
            </w:r>
          </w:p>
        </w:tc>
      </w:tr>
      <w:tr>
        <w:trPr>
          <w:trHeight w:val="184" w:hRule="atLeast"/>
        </w:trPr>
        <w:tc>
          <w:tcPr>
            <w:tcW w:w="1377" w:type="dxa"/>
          </w:tcPr>
          <w:p>
            <w:pPr>
              <w:pStyle w:val="TableParagraph"/>
              <w:spacing w:line="148" w:lineRule="exact" w:before="17"/>
              <w:ind w:left="80"/>
              <w:jc w:val="left"/>
              <w:rPr>
                <w:sz w:val="13"/>
              </w:rPr>
            </w:pPr>
            <w:r>
              <w:rPr>
                <w:color w:val="231F20"/>
                <w:spacing w:val="-2"/>
                <w:w w:val="90"/>
                <w:sz w:val="13"/>
              </w:rPr>
              <w:t>Qatar</w:t>
            </w:r>
          </w:p>
        </w:tc>
        <w:tc>
          <w:tcPr>
            <w:tcW w:w="487" w:type="dxa"/>
          </w:tcPr>
          <w:p>
            <w:pPr>
              <w:pStyle w:val="TableParagraph"/>
              <w:spacing w:line="148" w:lineRule="exact" w:before="17"/>
              <w:ind w:right="97"/>
              <w:jc w:val="right"/>
              <w:rPr>
                <w:sz w:val="13"/>
              </w:rPr>
            </w:pPr>
            <w:r>
              <w:rPr>
                <w:color w:val="231F20"/>
                <w:spacing w:val="-5"/>
                <w:w w:val="95"/>
                <w:sz w:val="13"/>
              </w:rPr>
              <w:t>3.5</w:t>
            </w:r>
          </w:p>
        </w:tc>
        <w:tc>
          <w:tcPr>
            <w:tcW w:w="531" w:type="dxa"/>
          </w:tcPr>
          <w:p>
            <w:pPr>
              <w:pStyle w:val="TableParagraph"/>
              <w:spacing w:line="148" w:lineRule="exact" w:before="17"/>
              <w:ind w:right="27"/>
              <w:rPr>
                <w:sz w:val="13"/>
              </w:rPr>
            </w:pPr>
            <w:r>
              <w:rPr>
                <w:color w:val="231F20"/>
                <w:spacing w:val="-5"/>
                <w:w w:val="95"/>
                <w:sz w:val="13"/>
              </w:rPr>
              <w:t>3.1</w:t>
            </w:r>
          </w:p>
        </w:tc>
        <w:tc>
          <w:tcPr>
            <w:tcW w:w="549" w:type="dxa"/>
          </w:tcPr>
          <w:p>
            <w:pPr>
              <w:pStyle w:val="TableParagraph"/>
              <w:spacing w:line="148" w:lineRule="exact" w:before="17"/>
              <w:ind w:left="18" w:right="16"/>
              <w:rPr>
                <w:sz w:val="13"/>
              </w:rPr>
            </w:pPr>
            <w:r>
              <w:rPr>
                <w:color w:val="231F20"/>
                <w:spacing w:val="-5"/>
                <w:w w:val="95"/>
                <w:sz w:val="13"/>
              </w:rPr>
              <w:t>3.8</w:t>
            </w:r>
          </w:p>
        </w:tc>
        <w:tc>
          <w:tcPr>
            <w:tcW w:w="615" w:type="dxa"/>
          </w:tcPr>
          <w:p>
            <w:pPr>
              <w:pStyle w:val="TableParagraph"/>
              <w:spacing w:line="148" w:lineRule="exact" w:before="17"/>
              <w:ind w:left="12" w:right="16"/>
              <w:rPr>
                <w:sz w:val="13"/>
              </w:rPr>
            </w:pPr>
            <w:r>
              <w:rPr>
                <w:color w:val="231F20"/>
                <w:spacing w:val="-5"/>
                <w:w w:val="95"/>
                <w:sz w:val="13"/>
              </w:rPr>
              <w:t>3.1</w:t>
            </w:r>
          </w:p>
        </w:tc>
        <w:tc>
          <w:tcPr>
            <w:tcW w:w="706" w:type="dxa"/>
          </w:tcPr>
          <w:p>
            <w:pPr>
              <w:pStyle w:val="TableParagraph"/>
              <w:spacing w:line="148" w:lineRule="exact" w:before="17"/>
              <w:ind w:left="18" w:right="24"/>
              <w:rPr>
                <w:sz w:val="13"/>
              </w:rPr>
            </w:pPr>
            <w:r>
              <w:rPr>
                <w:color w:val="231F20"/>
                <w:spacing w:val="-5"/>
                <w:w w:val="95"/>
                <w:sz w:val="13"/>
              </w:rPr>
              <w:t>3.9</w:t>
            </w:r>
          </w:p>
        </w:tc>
        <w:tc>
          <w:tcPr>
            <w:tcW w:w="368" w:type="dxa"/>
          </w:tcPr>
          <w:p>
            <w:pPr>
              <w:pStyle w:val="TableParagraph"/>
              <w:spacing w:line="148" w:lineRule="exact" w:before="17"/>
              <w:ind w:left="18" w:right="28"/>
              <w:rPr>
                <w:sz w:val="13"/>
              </w:rPr>
            </w:pPr>
            <w:r>
              <w:rPr>
                <w:color w:val="231F20"/>
                <w:spacing w:val="-5"/>
                <w:w w:val="95"/>
                <w:sz w:val="13"/>
              </w:rPr>
              <w:t>3.5</w:t>
            </w:r>
          </w:p>
        </w:tc>
        <w:tc>
          <w:tcPr>
            <w:tcW w:w="536" w:type="dxa"/>
            <w:tcBorders>
              <w:right w:val="single" w:sz="24" w:space="0" w:color="FFFFFF"/>
            </w:tcBorders>
          </w:tcPr>
          <w:p>
            <w:pPr>
              <w:pStyle w:val="TableParagraph"/>
              <w:spacing w:line="148" w:lineRule="exact" w:before="17"/>
              <w:ind w:left="18" w:right="27"/>
              <w:rPr>
                <w:sz w:val="13"/>
              </w:rPr>
            </w:pPr>
            <w:r>
              <w:rPr>
                <w:color w:val="231F20"/>
                <w:spacing w:val="-5"/>
                <w:w w:val="95"/>
                <w:sz w:val="13"/>
              </w:rPr>
              <w:t>3.6</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90"/>
                <w:sz w:val="13"/>
              </w:rPr>
              <w:t>Jamaica</w:t>
            </w:r>
          </w:p>
        </w:tc>
        <w:tc>
          <w:tcPr>
            <w:tcW w:w="482" w:type="dxa"/>
          </w:tcPr>
          <w:p>
            <w:pPr>
              <w:pStyle w:val="TableParagraph"/>
              <w:spacing w:line="148" w:lineRule="exact" w:before="17"/>
              <w:ind w:right="109"/>
              <w:jc w:val="right"/>
              <w:rPr>
                <w:sz w:val="13"/>
              </w:rPr>
            </w:pPr>
            <w:r>
              <w:rPr>
                <w:color w:val="231F20"/>
                <w:spacing w:val="-5"/>
                <w:w w:val="95"/>
                <w:sz w:val="13"/>
              </w:rPr>
              <w:t>2.5</w:t>
            </w:r>
          </w:p>
        </w:tc>
        <w:tc>
          <w:tcPr>
            <w:tcW w:w="532" w:type="dxa"/>
          </w:tcPr>
          <w:p>
            <w:pPr>
              <w:pStyle w:val="TableParagraph"/>
              <w:spacing w:line="148" w:lineRule="exact" w:before="17"/>
              <w:ind w:left="20" w:right="55"/>
              <w:rPr>
                <w:sz w:val="13"/>
              </w:rPr>
            </w:pPr>
            <w:r>
              <w:rPr>
                <w:color w:val="231F20"/>
                <w:spacing w:val="-5"/>
                <w:w w:val="95"/>
                <w:sz w:val="13"/>
              </w:rPr>
              <w:t>2.2</w:t>
            </w:r>
          </w:p>
        </w:tc>
        <w:tc>
          <w:tcPr>
            <w:tcW w:w="550" w:type="dxa"/>
          </w:tcPr>
          <w:p>
            <w:pPr>
              <w:pStyle w:val="TableParagraph"/>
              <w:spacing w:line="148" w:lineRule="exact" w:before="17"/>
              <w:ind w:left="18" w:right="45"/>
              <w:rPr>
                <w:sz w:val="13"/>
              </w:rPr>
            </w:pPr>
            <w:r>
              <w:rPr>
                <w:color w:val="231F20"/>
                <w:spacing w:val="-5"/>
                <w:w w:val="95"/>
                <w:sz w:val="13"/>
              </w:rPr>
              <w:t>2.4</w:t>
            </w:r>
          </w:p>
        </w:tc>
        <w:tc>
          <w:tcPr>
            <w:tcW w:w="616" w:type="dxa"/>
          </w:tcPr>
          <w:p>
            <w:pPr>
              <w:pStyle w:val="TableParagraph"/>
              <w:spacing w:line="148" w:lineRule="exact" w:before="17"/>
              <w:ind w:left="19" w:right="37"/>
              <w:rPr>
                <w:sz w:val="13"/>
              </w:rPr>
            </w:pPr>
            <w:r>
              <w:rPr>
                <w:color w:val="231F20"/>
                <w:spacing w:val="-5"/>
                <w:w w:val="95"/>
                <w:sz w:val="13"/>
              </w:rPr>
              <w:t>2.4</w:t>
            </w:r>
          </w:p>
        </w:tc>
        <w:tc>
          <w:tcPr>
            <w:tcW w:w="707" w:type="dxa"/>
          </w:tcPr>
          <w:p>
            <w:pPr>
              <w:pStyle w:val="TableParagraph"/>
              <w:spacing w:line="148" w:lineRule="exact" w:before="17"/>
              <w:ind w:left="16" w:right="55"/>
              <w:rPr>
                <w:sz w:val="13"/>
              </w:rPr>
            </w:pPr>
            <w:r>
              <w:rPr>
                <w:color w:val="231F20"/>
                <w:spacing w:val="-5"/>
                <w:w w:val="95"/>
                <w:sz w:val="13"/>
              </w:rPr>
              <w:t>2.5</w:t>
            </w:r>
          </w:p>
        </w:tc>
        <w:tc>
          <w:tcPr>
            <w:tcW w:w="369" w:type="dxa"/>
          </w:tcPr>
          <w:p>
            <w:pPr>
              <w:pStyle w:val="TableParagraph"/>
              <w:spacing w:line="148" w:lineRule="exact" w:before="17"/>
              <w:ind w:left="17" w:right="61"/>
              <w:rPr>
                <w:sz w:val="13"/>
              </w:rPr>
            </w:pPr>
            <w:r>
              <w:rPr>
                <w:color w:val="231F20"/>
                <w:spacing w:val="-5"/>
                <w:w w:val="95"/>
                <w:sz w:val="13"/>
              </w:rPr>
              <w:t>2.9</w:t>
            </w:r>
          </w:p>
        </w:tc>
        <w:tc>
          <w:tcPr>
            <w:tcW w:w="507" w:type="dxa"/>
          </w:tcPr>
          <w:p>
            <w:pPr>
              <w:pStyle w:val="TableParagraph"/>
              <w:spacing w:line="148" w:lineRule="exact" w:before="17"/>
              <w:ind w:right="44"/>
              <w:rPr>
                <w:sz w:val="13"/>
              </w:rPr>
            </w:pPr>
            <w:r>
              <w:rPr>
                <w:color w:val="231F20"/>
                <w:spacing w:val="-5"/>
                <w:w w:val="95"/>
                <w:sz w:val="13"/>
              </w:rPr>
              <w:t>2.8</w:t>
            </w:r>
          </w:p>
        </w:tc>
      </w:tr>
      <w:tr>
        <w:trPr>
          <w:trHeight w:val="184" w:hRule="atLeast"/>
        </w:trPr>
        <w:tc>
          <w:tcPr>
            <w:tcW w:w="1377" w:type="dxa"/>
            <w:shd w:val="clear" w:color="auto" w:fill="D4E3F5"/>
          </w:tcPr>
          <w:p>
            <w:pPr>
              <w:pStyle w:val="TableParagraph"/>
              <w:spacing w:line="148" w:lineRule="exact" w:before="17"/>
              <w:ind w:left="80"/>
              <w:jc w:val="left"/>
              <w:rPr>
                <w:sz w:val="13"/>
              </w:rPr>
            </w:pPr>
            <w:r>
              <w:rPr>
                <w:color w:val="231F20"/>
                <w:spacing w:val="-2"/>
                <w:w w:val="90"/>
                <w:sz w:val="13"/>
              </w:rPr>
              <w:t>Thailand</w:t>
            </w:r>
          </w:p>
        </w:tc>
        <w:tc>
          <w:tcPr>
            <w:tcW w:w="487" w:type="dxa"/>
            <w:shd w:val="clear" w:color="auto" w:fill="D4E3F5"/>
          </w:tcPr>
          <w:p>
            <w:pPr>
              <w:pStyle w:val="TableParagraph"/>
              <w:spacing w:line="148" w:lineRule="exact" w:before="17"/>
              <w:ind w:right="97"/>
              <w:jc w:val="right"/>
              <w:rPr>
                <w:sz w:val="13"/>
              </w:rPr>
            </w:pPr>
            <w:r>
              <w:rPr>
                <w:color w:val="231F20"/>
                <w:spacing w:val="-5"/>
                <w:w w:val="95"/>
                <w:sz w:val="13"/>
              </w:rPr>
              <w:t>3.5</w:t>
            </w:r>
          </w:p>
        </w:tc>
        <w:tc>
          <w:tcPr>
            <w:tcW w:w="531" w:type="dxa"/>
            <w:shd w:val="clear" w:color="auto" w:fill="D4E3F5"/>
          </w:tcPr>
          <w:p>
            <w:pPr>
              <w:pStyle w:val="TableParagraph"/>
              <w:spacing w:line="148" w:lineRule="exact" w:before="17"/>
              <w:ind w:left="19" w:right="27"/>
              <w:rPr>
                <w:sz w:val="13"/>
              </w:rPr>
            </w:pPr>
            <w:r>
              <w:rPr>
                <w:color w:val="231F20"/>
                <w:spacing w:val="-5"/>
                <w:w w:val="95"/>
                <w:sz w:val="13"/>
              </w:rPr>
              <w:t>3.3</w:t>
            </w:r>
          </w:p>
        </w:tc>
        <w:tc>
          <w:tcPr>
            <w:tcW w:w="549" w:type="dxa"/>
            <w:shd w:val="clear" w:color="auto" w:fill="D4E3F5"/>
          </w:tcPr>
          <w:p>
            <w:pPr>
              <w:pStyle w:val="TableParagraph"/>
              <w:spacing w:line="148" w:lineRule="exact" w:before="17"/>
              <w:ind w:left="14" w:right="16"/>
              <w:rPr>
                <w:sz w:val="13"/>
              </w:rPr>
            </w:pPr>
            <w:r>
              <w:rPr>
                <w:color w:val="231F20"/>
                <w:spacing w:val="-5"/>
                <w:w w:val="95"/>
                <w:sz w:val="13"/>
              </w:rPr>
              <w:t>3.7</w:t>
            </w:r>
          </w:p>
        </w:tc>
        <w:tc>
          <w:tcPr>
            <w:tcW w:w="615" w:type="dxa"/>
            <w:shd w:val="clear" w:color="auto" w:fill="D4E3F5"/>
          </w:tcPr>
          <w:p>
            <w:pPr>
              <w:pStyle w:val="TableParagraph"/>
              <w:spacing w:line="148" w:lineRule="exact" w:before="17"/>
              <w:ind w:left="18" w:right="8"/>
              <w:rPr>
                <w:sz w:val="13"/>
              </w:rPr>
            </w:pPr>
            <w:r>
              <w:rPr>
                <w:color w:val="231F20"/>
                <w:spacing w:val="-5"/>
                <w:w w:val="95"/>
                <w:sz w:val="13"/>
              </w:rPr>
              <w:t>3.5</w:t>
            </w:r>
          </w:p>
        </w:tc>
        <w:tc>
          <w:tcPr>
            <w:tcW w:w="706" w:type="dxa"/>
            <w:shd w:val="clear" w:color="auto" w:fill="D4E3F5"/>
          </w:tcPr>
          <w:p>
            <w:pPr>
              <w:pStyle w:val="TableParagraph"/>
              <w:spacing w:line="148" w:lineRule="exact" w:before="17"/>
              <w:ind w:left="17" w:right="24"/>
              <w:rPr>
                <w:sz w:val="13"/>
              </w:rPr>
            </w:pPr>
            <w:r>
              <w:rPr>
                <w:color w:val="231F20"/>
                <w:spacing w:val="-5"/>
                <w:w w:val="95"/>
                <w:sz w:val="13"/>
              </w:rPr>
              <w:t>3.5</w:t>
            </w:r>
          </w:p>
        </w:tc>
        <w:tc>
          <w:tcPr>
            <w:tcW w:w="368" w:type="dxa"/>
            <w:shd w:val="clear" w:color="auto" w:fill="D4E3F5"/>
          </w:tcPr>
          <w:p>
            <w:pPr>
              <w:pStyle w:val="TableParagraph"/>
              <w:spacing w:line="148" w:lineRule="exact" w:before="17"/>
              <w:ind w:left="18" w:right="28"/>
              <w:rPr>
                <w:sz w:val="13"/>
              </w:rPr>
            </w:pPr>
            <w:r>
              <w:rPr>
                <w:color w:val="231F20"/>
                <w:spacing w:val="-5"/>
                <w:w w:val="95"/>
                <w:sz w:val="13"/>
              </w:rPr>
              <w:t>3.5</w:t>
            </w:r>
          </w:p>
        </w:tc>
        <w:tc>
          <w:tcPr>
            <w:tcW w:w="536" w:type="dxa"/>
            <w:tcBorders>
              <w:right w:val="single" w:sz="24" w:space="0" w:color="FFFFFF"/>
            </w:tcBorders>
            <w:shd w:val="clear" w:color="auto" w:fill="D4E3F5"/>
          </w:tcPr>
          <w:p>
            <w:pPr>
              <w:pStyle w:val="TableParagraph"/>
              <w:spacing w:line="148" w:lineRule="exact" w:before="17"/>
              <w:ind w:left="18" w:right="27"/>
              <w:rPr>
                <w:sz w:val="13"/>
              </w:rPr>
            </w:pPr>
            <w:r>
              <w:rPr>
                <w:color w:val="231F20"/>
                <w:spacing w:val="-5"/>
                <w:w w:val="95"/>
                <w:sz w:val="13"/>
              </w:rPr>
              <w:t>3.6</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2"/>
                <w:w w:val="90"/>
                <w:sz w:val="13"/>
              </w:rPr>
              <w:t>Mauritius</w:t>
            </w:r>
          </w:p>
        </w:tc>
        <w:tc>
          <w:tcPr>
            <w:tcW w:w="482" w:type="dxa"/>
            <w:shd w:val="clear" w:color="auto" w:fill="D4E3F5"/>
          </w:tcPr>
          <w:p>
            <w:pPr>
              <w:pStyle w:val="TableParagraph"/>
              <w:spacing w:line="148" w:lineRule="exact" w:before="17"/>
              <w:ind w:right="110"/>
              <w:jc w:val="right"/>
              <w:rPr>
                <w:sz w:val="13"/>
              </w:rPr>
            </w:pPr>
            <w:r>
              <w:rPr>
                <w:color w:val="231F20"/>
                <w:spacing w:val="-5"/>
                <w:w w:val="95"/>
                <w:sz w:val="13"/>
              </w:rPr>
              <w:t>2.5</w:t>
            </w:r>
          </w:p>
        </w:tc>
        <w:tc>
          <w:tcPr>
            <w:tcW w:w="532" w:type="dxa"/>
            <w:shd w:val="clear" w:color="auto" w:fill="D4E3F5"/>
          </w:tcPr>
          <w:p>
            <w:pPr>
              <w:pStyle w:val="TableParagraph"/>
              <w:spacing w:line="148" w:lineRule="exact" w:before="17"/>
              <w:ind w:left="17" w:right="55"/>
              <w:rPr>
                <w:sz w:val="13"/>
              </w:rPr>
            </w:pPr>
            <w:r>
              <w:rPr>
                <w:color w:val="231F20"/>
                <w:spacing w:val="-5"/>
                <w:w w:val="95"/>
                <w:sz w:val="13"/>
              </w:rPr>
              <w:t>2.4</w:t>
            </w:r>
          </w:p>
        </w:tc>
        <w:tc>
          <w:tcPr>
            <w:tcW w:w="550" w:type="dxa"/>
            <w:shd w:val="clear" w:color="auto" w:fill="D4E3F5"/>
          </w:tcPr>
          <w:p>
            <w:pPr>
              <w:pStyle w:val="TableParagraph"/>
              <w:spacing w:line="148" w:lineRule="exact" w:before="17"/>
              <w:ind w:left="20" w:right="45"/>
              <w:rPr>
                <w:sz w:val="13"/>
              </w:rPr>
            </w:pPr>
            <w:r>
              <w:rPr>
                <w:color w:val="231F20"/>
                <w:spacing w:val="-5"/>
                <w:w w:val="95"/>
                <w:sz w:val="13"/>
              </w:rPr>
              <w:t>2.5</w:t>
            </w:r>
          </w:p>
        </w:tc>
        <w:tc>
          <w:tcPr>
            <w:tcW w:w="616" w:type="dxa"/>
            <w:shd w:val="clear" w:color="auto" w:fill="D4E3F5"/>
          </w:tcPr>
          <w:p>
            <w:pPr>
              <w:pStyle w:val="TableParagraph"/>
              <w:spacing w:line="148" w:lineRule="exact" w:before="17"/>
              <w:ind w:right="11"/>
              <w:rPr>
                <w:sz w:val="13"/>
              </w:rPr>
            </w:pPr>
            <w:r>
              <w:rPr>
                <w:color w:val="231F20"/>
                <w:spacing w:val="-5"/>
                <w:w w:val="95"/>
                <w:sz w:val="13"/>
              </w:rPr>
              <w:t>1.9</w:t>
            </w:r>
          </w:p>
        </w:tc>
        <w:tc>
          <w:tcPr>
            <w:tcW w:w="707" w:type="dxa"/>
            <w:shd w:val="clear" w:color="auto" w:fill="D4E3F5"/>
          </w:tcPr>
          <w:p>
            <w:pPr>
              <w:pStyle w:val="TableParagraph"/>
              <w:spacing w:line="148" w:lineRule="exact" w:before="17"/>
              <w:ind w:left="16" w:right="55"/>
              <w:rPr>
                <w:sz w:val="13"/>
              </w:rPr>
            </w:pPr>
            <w:r>
              <w:rPr>
                <w:color w:val="231F20"/>
                <w:spacing w:val="-5"/>
                <w:w w:val="95"/>
                <w:sz w:val="13"/>
              </w:rPr>
              <w:t>2.5</w:t>
            </w:r>
          </w:p>
        </w:tc>
        <w:tc>
          <w:tcPr>
            <w:tcW w:w="369" w:type="dxa"/>
            <w:shd w:val="clear" w:color="auto" w:fill="D4E3F5"/>
          </w:tcPr>
          <w:p>
            <w:pPr>
              <w:pStyle w:val="TableParagraph"/>
              <w:spacing w:line="148" w:lineRule="exact" w:before="17"/>
              <w:ind w:right="61"/>
              <w:rPr>
                <w:sz w:val="13"/>
              </w:rPr>
            </w:pPr>
            <w:r>
              <w:rPr>
                <w:color w:val="231F20"/>
                <w:spacing w:val="-5"/>
                <w:w w:val="95"/>
                <w:sz w:val="13"/>
              </w:rPr>
              <w:t>3.1</w:t>
            </w:r>
          </w:p>
        </w:tc>
        <w:tc>
          <w:tcPr>
            <w:tcW w:w="507" w:type="dxa"/>
            <w:shd w:val="clear" w:color="auto" w:fill="D4E3F5"/>
          </w:tcPr>
          <w:p>
            <w:pPr>
              <w:pStyle w:val="TableParagraph"/>
              <w:spacing w:line="148" w:lineRule="exact" w:before="17"/>
              <w:ind w:right="45"/>
              <w:rPr>
                <w:sz w:val="13"/>
              </w:rPr>
            </w:pPr>
            <w:r>
              <w:rPr>
                <w:color w:val="231F20"/>
                <w:spacing w:val="-5"/>
                <w:w w:val="95"/>
                <w:sz w:val="13"/>
              </w:rPr>
              <w:t>2.9</w:t>
            </w:r>
          </w:p>
        </w:tc>
      </w:tr>
      <w:tr>
        <w:trPr>
          <w:trHeight w:val="184" w:hRule="atLeast"/>
        </w:trPr>
        <w:tc>
          <w:tcPr>
            <w:tcW w:w="1377" w:type="dxa"/>
          </w:tcPr>
          <w:p>
            <w:pPr>
              <w:pStyle w:val="TableParagraph"/>
              <w:spacing w:line="148" w:lineRule="exact" w:before="17"/>
              <w:ind w:left="80"/>
              <w:jc w:val="left"/>
              <w:rPr>
                <w:sz w:val="13"/>
              </w:rPr>
            </w:pPr>
            <w:r>
              <w:rPr>
                <w:color w:val="231F20"/>
                <w:spacing w:val="-2"/>
                <w:w w:val="85"/>
                <w:sz w:val="13"/>
              </w:rPr>
              <w:t>India</w:t>
            </w:r>
          </w:p>
        </w:tc>
        <w:tc>
          <w:tcPr>
            <w:tcW w:w="487" w:type="dxa"/>
          </w:tcPr>
          <w:p>
            <w:pPr>
              <w:pStyle w:val="TableParagraph"/>
              <w:spacing w:line="148" w:lineRule="exact" w:before="17"/>
              <w:ind w:right="98"/>
              <w:jc w:val="right"/>
              <w:rPr>
                <w:sz w:val="13"/>
              </w:rPr>
            </w:pPr>
            <w:r>
              <w:rPr>
                <w:color w:val="231F20"/>
                <w:spacing w:val="-5"/>
                <w:w w:val="95"/>
                <w:sz w:val="13"/>
              </w:rPr>
              <w:t>3.4</w:t>
            </w:r>
          </w:p>
        </w:tc>
        <w:tc>
          <w:tcPr>
            <w:tcW w:w="531" w:type="dxa"/>
          </w:tcPr>
          <w:p>
            <w:pPr>
              <w:pStyle w:val="TableParagraph"/>
              <w:spacing w:line="148" w:lineRule="exact" w:before="17"/>
              <w:ind w:left="17" w:right="27"/>
              <w:rPr>
                <w:sz w:val="13"/>
              </w:rPr>
            </w:pPr>
            <w:r>
              <w:rPr>
                <w:color w:val="231F20"/>
                <w:spacing w:val="-5"/>
                <w:w w:val="95"/>
                <w:sz w:val="13"/>
              </w:rPr>
              <w:t>3.0</w:t>
            </w:r>
          </w:p>
        </w:tc>
        <w:tc>
          <w:tcPr>
            <w:tcW w:w="549" w:type="dxa"/>
          </w:tcPr>
          <w:p>
            <w:pPr>
              <w:pStyle w:val="TableParagraph"/>
              <w:spacing w:line="148" w:lineRule="exact" w:before="17"/>
              <w:ind w:left="17" w:right="16"/>
              <w:rPr>
                <w:sz w:val="13"/>
              </w:rPr>
            </w:pPr>
            <w:r>
              <w:rPr>
                <w:color w:val="231F20"/>
                <w:spacing w:val="-5"/>
                <w:w w:val="95"/>
                <w:sz w:val="13"/>
              </w:rPr>
              <w:t>3.2</w:t>
            </w:r>
          </w:p>
        </w:tc>
        <w:tc>
          <w:tcPr>
            <w:tcW w:w="615" w:type="dxa"/>
          </w:tcPr>
          <w:p>
            <w:pPr>
              <w:pStyle w:val="TableParagraph"/>
              <w:spacing w:line="148" w:lineRule="exact" w:before="17"/>
              <w:ind w:left="18" w:right="8"/>
              <w:rPr>
                <w:sz w:val="13"/>
              </w:rPr>
            </w:pPr>
            <w:r>
              <w:rPr>
                <w:color w:val="231F20"/>
                <w:spacing w:val="-5"/>
                <w:w w:val="95"/>
                <w:sz w:val="13"/>
              </w:rPr>
              <w:t>3.5</w:t>
            </w:r>
          </w:p>
        </w:tc>
        <w:tc>
          <w:tcPr>
            <w:tcW w:w="706" w:type="dxa"/>
          </w:tcPr>
          <w:p>
            <w:pPr>
              <w:pStyle w:val="TableParagraph"/>
              <w:spacing w:line="148" w:lineRule="exact" w:before="17"/>
              <w:ind w:left="17" w:right="24"/>
              <w:rPr>
                <w:sz w:val="13"/>
              </w:rPr>
            </w:pPr>
            <w:r>
              <w:rPr>
                <w:color w:val="231F20"/>
                <w:spacing w:val="-5"/>
                <w:w w:val="95"/>
                <w:sz w:val="13"/>
              </w:rPr>
              <w:t>3.5</w:t>
            </w:r>
          </w:p>
        </w:tc>
        <w:tc>
          <w:tcPr>
            <w:tcW w:w="368" w:type="dxa"/>
          </w:tcPr>
          <w:p>
            <w:pPr>
              <w:pStyle w:val="TableParagraph"/>
              <w:spacing w:line="148" w:lineRule="exact" w:before="17"/>
              <w:ind w:left="17" w:right="28"/>
              <w:rPr>
                <w:sz w:val="13"/>
              </w:rPr>
            </w:pPr>
            <w:r>
              <w:rPr>
                <w:color w:val="231F20"/>
                <w:spacing w:val="-5"/>
                <w:w w:val="95"/>
                <w:sz w:val="13"/>
              </w:rPr>
              <w:t>3.6</w:t>
            </w:r>
          </w:p>
        </w:tc>
        <w:tc>
          <w:tcPr>
            <w:tcW w:w="536" w:type="dxa"/>
            <w:tcBorders>
              <w:right w:val="single" w:sz="24" w:space="0" w:color="FFFFFF"/>
            </w:tcBorders>
          </w:tcPr>
          <w:p>
            <w:pPr>
              <w:pStyle w:val="TableParagraph"/>
              <w:spacing w:line="148" w:lineRule="exact" w:before="17"/>
              <w:ind w:left="17" w:right="27"/>
              <w:rPr>
                <w:sz w:val="13"/>
              </w:rPr>
            </w:pPr>
            <w:r>
              <w:rPr>
                <w:color w:val="231F20"/>
                <w:spacing w:val="-5"/>
                <w:w w:val="95"/>
                <w:sz w:val="13"/>
              </w:rPr>
              <w:t>3.4</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90"/>
                <w:sz w:val="13"/>
              </w:rPr>
              <w:t>Moldova</w:t>
            </w:r>
          </w:p>
        </w:tc>
        <w:tc>
          <w:tcPr>
            <w:tcW w:w="482" w:type="dxa"/>
          </w:tcPr>
          <w:p>
            <w:pPr>
              <w:pStyle w:val="TableParagraph"/>
              <w:spacing w:line="148" w:lineRule="exact" w:before="17"/>
              <w:ind w:right="110"/>
              <w:jc w:val="right"/>
              <w:rPr>
                <w:sz w:val="13"/>
              </w:rPr>
            </w:pPr>
            <w:r>
              <w:rPr>
                <w:color w:val="231F20"/>
                <w:spacing w:val="-5"/>
                <w:w w:val="95"/>
                <w:sz w:val="13"/>
              </w:rPr>
              <w:t>2.5</w:t>
            </w:r>
          </w:p>
        </w:tc>
        <w:tc>
          <w:tcPr>
            <w:tcW w:w="532" w:type="dxa"/>
          </w:tcPr>
          <w:p>
            <w:pPr>
              <w:pStyle w:val="TableParagraph"/>
              <w:spacing w:line="148" w:lineRule="exact" w:before="17"/>
              <w:ind w:left="25" w:right="55"/>
              <w:rPr>
                <w:sz w:val="13"/>
              </w:rPr>
            </w:pPr>
            <w:r>
              <w:rPr>
                <w:color w:val="231F20"/>
                <w:spacing w:val="-5"/>
                <w:w w:val="95"/>
                <w:sz w:val="13"/>
              </w:rPr>
              <w:t>1.9</w:t>
            </w:r>
          </w:p>
        </w:tc>
        <w:tc>
          <w:tcPr>
            <w:tcW w:w="550" w:type="dxa"/>
          </w:tcPr>
          <w:p>
            <w:pPr>
              <w:pStyle w:val="TableParagraph"/>
              <w:spacing w:line="148" w:lineRule="exact" w:before="17"/>
              <w:ind w:left="26" w:right="45"/>
              <w:rPr>
                <w:sz w:val="13"/>
              </w:rPr>
            </w:pPr>
            <w:r>
              <w:rPr>
                <w:color w:val="231F20"/>
                <w:spacing w:val="-5"/>
                <w:w w:val="95"/>
                <w:sz w:val="13"/>
              </w:rPr>
              <w:t>1.9</w:t>
            </w:r>
          </w:p>
        </w:tc>
        <w:tc>
          <w:tcPr>
            <w:tcW w:w="616" w:type="dxa"/>
          </w:tcPr>
          <w:p>
            <w:pPr>
              <w:pStyle w:val="TableParagraph"/>
              <w:spacing w:line="148" w:lineRule="exact" w:before="17"/>
              <w:ind w:left="16" w:right="37"/>
              <w:rPr>
                <w:sz w:val="13"/>
              </w:rPr>
            </w:pPr>
            <w:r>
              <w:rPr>
                <w:color w:val="231F20"/>
                <w:spacing w:val="-5"/>
                <w:w w:val="95"/>
                <w:sz w:val="13"/>
              </w:rPr>
              <w:t>2.7</w:t>
            </w:r>
          </w:p>
        </w:tc>
        <w:tc>
          <w:tcPr>
            <w:tcW w:w="707" w:type="dxa"/>
          </w:tcPr>
          <w:p>
            <w:pPr>
              <w:pStyle w:val="TableParagraph"/>
              <w:spacing w:line="148" w:lineRule="exact" w:before="17"/>
              <w:ind w:left="16" w:right="55"/>
              <w:rPr>
                <w:sz w:val="13"/>
              </w:rPr>
            </w:pPr>
            <w:r>
              <w:rPr>
                <w:color w:val="231F20"/>
                <w:spacing w:val="-5"/>
                <w:w w:val="95"/>
                <w:sz w:val="13"/>
              </w:rPr>
              <w:t>2.8</w:t>
            </w:r>
          </w:p>
        </w:tc>
        <w:tc>
          <w:tcPr>
            <w:tcW w:w="369" w:type="dxa"/>
          </w:tcPr>
          <w:p>
            <w:pPr>
              <w:pStyle w:val="TableParagraph"/>
              <w:spacing w:line="148" w:lineRule="exact" w:before="17"/>
              <w:ind w:left="17" w:right="61"/>
              <w:rPr>
                <w:sz w:val="13"/>
              </w:rPr>
            </w:pPr>
            <w:r>
              <w:rPr>
                <w:color w:val="231F20"/>
                <w:spacing w:val="-5"/>
                <w:w w:val="95"/>
                <w:sz w:val="13"/>
              </w:rPr>
              <w:t>3.0</w:t>
            </w:r>
          </w:p>
        </w:tc>
        <w:tc>
          <w:tcPr>
            <w:tcW w:w="507" w:type="dxa"/>
          </w:tcPr>
          <w:p>
            <w:pPr>
              <w:pStyle w:val="TableParagraph"/>
              <w:spacing w:line="148" w:lineRule="exact" w:before="17"/>
              <w:ind w:right="44"/>
              <w:rPr>
                <w:sz w:val="13"/>
              </w:rPr>
            </w:pPr>
            <w:r>
              <w:rPr>
                <w:color w:val="231F20"/>
                <w:spacing w:val="-5"/>
                <w:w w:val="95"/>
                <w:sz w:val="13"/>
              </w:rPr>
              <w:t>2.8</w:t>
            </w:r>
          </w:p>
        </w:tc>
      </w:tr>
      <w:tr>
        <w:trPr>
          <w:trHeight w:val="184" w:hRule="atLeast"/>
        </w:trPr>
        <w:tc>
          <w:tcPr>
            <w:tcW w:w="1377" w:type="dxa"/>
            <w:shd w:val="clear" w:color="auto" w:fill="D4E3F5"/>
          </w:tcPr>
          <w:p>
            <w:pPr>
              <w:pStyle w:val="TableParagraph"/>
              <w:spacing w:line="148" w:lineRule="exact" w:before="17"/>
              <w:ind w:left="80"/>
              <w:jc w:val="left"/>
              <w:rPr>
                <w:sz w:val="13"/>
              </w:rPr>
            </w:pPr>
            <w:r>
              <w:rPr>
                <w:color w:val="231F20"/>
                <w:spacing w:val="-2"/>
                <w:w w:val="90"/>
                <w:sz w:val="13"/>
              </w:rPr>
              <w:t>Lithuania</w:t>
            </w:r>
          </w:p>
        </w:tc>
        <w:tc>
          <w:tcPr>
            <w:tcW w:w="487" w:type="dxa"/>
            <w:shd w:val="clear" w:color="auto" w:fill="D4E3F5"/>
          </w:tcPr>
          <w:p>
            <w:pPr>
              <w:pStyle w:val="TableParagraph"/>
              <w:spacing w:line="148" w:lineRule="exact" w:before="17"/>
              <w:ind w:right="98"/>
              <w:jc w:val="right"/>
              <w:rPr>
                <w:sz w:val="13"/>
              </w:rPr>
            </w:pPr>
            <w:r>
              <w:rPr>
                <w:color w:val="231F20"/>
                <w:spacing w:val="-5"/>
                <w:w w:val="95"/>
                <w:sz w:val="13"/>
              </w:rPr>
              <w:t>3.4</w:t>
            </w:r>
          </w:p>
        </w:tc>
        <w:tc>
          <w:tcPr>
            <w:tcW w:w="531" w:type="dxa"/>
            <w:shd w:val="clear" w:color="auto" w:fill="D4E3F5"/>
          </w:tcPr>
          <w:p>
            <w:pPr>
              <w:pStyle w:val="TableParagraph"/>
              <w:spacing w:line="148" w:lineRule="exact" w:before="17"/>
              <w:ind w:left="18" w:right="27"/>
              <w:rPr>
                <w:sz w:val="13"/>
              </w:rPr>
            </w:pPr>
            <w:r>
              <w:rPr>
                <w:color w:val="231F20"/>
                <w:spacing w:val="-5"/>
                <w:w w:val="95"/>
                <w:sz w:val="13"/>
              </w:rPr>
              <w:t>3.2</w:t>
            </w:r>
          </w:p>
        </w:tc>
        <w:tc>
          <w:tcPr>
            <w:tcW w:w="549" w:type="dxa"/>
            <w:shd w:val="clear" w:color="auto" w:fill="D4E3F5"/>
          </w:tcPr>
          <w:p>
            <w:pPr>
              <w:pStyle w:val="TableParagraph"/>
              <w:spacing w:line="148" w:lineRule="exact" w:before="17"/>
              <w:ind w:left="16" w:right="16"/>
              <w:rPr>
                <w:sz w:val="13"/>
              </w:rPr>
            </w:pPr>
            <w:r>
              <w:rPr>
                <w:color w:val="231F20"/>
                <w:spacing w:val="-5"/>
                <w:w w:val="95"/>
                <w:sz w:val="13"/>
              </w:rPr>
              <w:t>3.5</w:t>
            </w:r>
          </w:p>
        </w:tc>
        <w:tc>
          <w:tcPr>
            <w:tcW w:w="615" w:type="dxa"/>
            <w:shd w:val="clear" w:color="auto" w:fill="D4E3F5"/>
          </w:tcPr>
          <w:p>
            <w:pPr>
              <w:pStyle w:val="TableParagraph"/>
              <w:spacing w:line="148" w:lineRule="exact" w:before="17"/>
              <w:ind w:left="16" w:right="8"/>
              <w:rPr>
                <w:sz w:val="13"/>
              </w:rPr>
            </w:pPr>
            <w:r>
              <w:rPr>
                <w:color w:val="231F20"/>
                <w:spacing w:val="-5"/>
                <w:w w:val="95"/>
                <w:sz w:val="13"/>
              </w:rPr>
              <w:t>3.4</w:t>
            </w:r>
          </w:p>
        </w:tc>
        <w:tc>
          <w:tcPr>
            <w:tcW w:w="706" w:type="dxa"/>
            <w:shd w:val="clear" w:color="auto" w:fill="D4E3F5"/>
          </w:tcPr>
          <w:p>
            <w:pPr>
              <w:pStyle w:val="TableParagraph"/>
              <w:spacing w:line="148" w:lineRule="exact" w:before="17"/>
              <w:ind w:left="16" w:right="24"/>
              <w:rPr>
                <w:sz w:val="13"/>
              </w:rPr>
            </w:pPr>
            <w:r>
              <w:rPr>
                <w:color w:val="231F20"/>
                <w:spacing w:val="-5"/>
                <w:w w:val="95"/>
                <w:sz w:val="13"/>
              </w:rPr>
              <w:t>3.6</w:t>
            </w:r>
          </w:p>
        </w:tc>
        <w:tc>
          <w:tcPr>
            <w:tcW w:w="368" w:type="dxa"/>
            <w:shd w:val="clear" w:color="auto" w:fill="D4E3F5"/>
          </w:tcPr>
          <w:p>
            <w:pPr>
              <w:pStyle w:val="TableParagraph"/>
              <w:spacing w:line="148" w:lineRule="exact" w:before="17"/>
              <w:ind w:left="17" w:right="28"/>
              <w:rPr>
                <w:sz w:val="13"/>
              </w:rPr>
            </w:pPr>
            <w:r>
              <w:rPr>
                <w:color w:val="231F20"/>
                <w:spacing w:val="-5"/>
                <w:w w:val="95"/>
                <w:sz w:val="13"/>
              </w:rPr>
              <w:t>3.6</w:t>
            </w:r>
          </w:p>
        </w:tc>
        <w:tc>
          <w:tcPr>
            <w:tcW w:w="536" w:type="dxa"/>
            <w:tcBorders>
              <w:right w:val="single" w:sz="24" w:space="0" w:color="FFFFFF"/>
            </w:tcBorders>
            <w:shd w:val="clear" w:color="auto" w:fill="D4E3F5"/>
          </w:tcPr>
          <w:p>
            <w:pPr>
              <w:pStyle w:val="TableParagraph"/>
              <w:spacing w:line="148" w:lineRule="exact" w:before="17"/>
              <w:ind w:left="2" w:right="27"/>
              <w:rPr>
                <w:sz w:val="13"/>
              </w:rPr>
            </w:pPr>
            <w:r>
              <w:rPr>
                <w:color w:val="231F20"/>
                <w:spacing w:val="-5"/>
                <w:w w:val="95"/>
                <w:sz w:val="13"/>
              </w:rPr>
              <w:t>3.1</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2"/>
                <w:w w:val="90"/>
                <w:sz w:val="13"/>
              </w:rPr>
              <w:t>Mongolia</w:t>
            </w:r>
          </w:p>
        </w:tc>
        <w:tc>
          <w:tcPr>
            <w:tcW w:w="482" w:type="dxa"/>
            <w:shd w:val="clear" w:color="auto" w:fill="D4E3F5"/>
          </w:tcPr>
          <w:p>
            <w:pPr>
              <w:pStyle w:val="TableParagraph"/>
              <w:spacing w:line="148" w:lineRule="exact" w:before="17"/>
              <w:ind w:right="110"/>
              <w:jc w:val="right"/>
              <w:rPr>
                <w:sz w:val="13"/>
              </w:rPr>
            </w:pPr>
            <w:r>
              <w:rPr>
                <w:color w:val="231F20"/>
                <w:spacing w:val="-5"/>
                <w:w w:val="95"/>
                <w:sz w:val="13"/>
              </w:rPr>
              <w:t>2.5</w:t>
            </w:r>
          </w:p>
        </w:tc>
        <w:tc>
          <w:tcPr>
            <w:tcW w:w="532" w:type="dxa"/>
            <w:shd w:val="clear" w:color="auto" w:fill="D4E3F5"/>
          </w:tcPr>
          <w:p>
            <w:pPr>
              <w:pStyle w:val="TableParagraph"/>
              <w:spacing w:line="148" w:lineRule="exact" w:before="17"/>
              <w:ind w:left="19" w:right="55"/>
              <w:rPr>
                <w:sz w:val="13"/>
              </w:rPr>
            </w:pPr>
            <w:r>
              <w:rPr>
                <w:color w:val="231F20"/>
                <w:spacing w:val="-5"/>
                <w:w w:val="95"/>
                <w:sz w:val="13"/>
              </w:rPr>
              <w:t>2.5</w:t>
            </w:r>
          </w:p>
        </w:tc>
        <w:tc>
          <w:tcPr>
            <w:tcW w:w="550" w:type="dxa"/>
            <w:shd w:val="clear" w:color="auto" w:fill="D4E3F5"/>
          </w:tcPr>
          <w:p>
            <w:pPr>
              <w:pStyle w:val="TableParagraph"/>
              <w:spacing w:line="148" w:lineRule="exact" w:before="17"/>
              <w:ind w:left="20" w:right="45"/>
              <w:rPr>
                <w:sz w:val="13"/>
              </w:rPr>
            </w:pPr>
            <w:r>
              <w:rPr>
                <w:color w:val="231F20"/>
                <w:spacing w:val="-5"/>
                <w:w w:val="95"/>
                <w:sz w:val="13"/>
              </w:rPr>
              <w:t>2.3</w:t>
            </w:r>
          </w:p>
        </w:tc>
        <w:tc>
          <w:tcPr>
            <w:tcW w:w="616" w:type="dxa"/>
            <w:shd w:val="clear" w:color="auto" w:fill="D4E3F5"/>
          </w:tcPr>
          <w:p>
            <w:pPr>
              <w:pStyle w:val="TableParagraph"/>
              <w:spacing w:line="148" w:lineRule="exact" w:before="17"/>
              <w:ind w:left="20" w:right="37"/>
              <w:rPr>
                <w:sz w:val="13"/>
              </w:rPr>
            </w:pPr>
            <w:r>
              <w:rPr>
                <w:color w:val="231F20"/>
                <w:spacing w:val="-5"/>
                <w:w w:val="95"/>
                <w:sz w:val="13"/>
              </w:rPr>
              <w:t>2.5</w:t>
            </w:r>
          </w:p>
        </w:tc>
        <w:tc>
          <w:tcPr>
            <w:tcW w:w="707" w:type="dxa"/>
            <w:shd w:val="clear" w:color="auto" w:fill="D4E3F5"/>
          </w:tcPr>
          <w:p>
            <w:pPr>
              <w:pStyle w:val="TableParagraph"/>
              <w:spacing w:line="148" w:lineRule="exact" w:before="17"/>
              <w:ind w:left="16" w:right="55"/>
              <w:rPr>
                <w:sz w:val="13"/>
              </w:rPr>
            </w:pPr>
            <w:r>
              <w:rPr>
                <w:color w:val="231F20"/>
                <w:spacing w:val="-5"/>
                <w:w w:val="95"/>
                <w:sz w:val="13"/>
              </w:rPr>
              <w:t>2.3</w:t>
            </w:r>
          </w:p>
        </w:tc>
        <w:tc>
          <w:tcPr>
            <w:tcW w:w="369" w:type="dxa"/>
            <w:shd w:val="clear" w:color="auto" w:fill="D4E3F5"/>
          </w:tcPr>
          <w:p>
            <w:pPr>
              <w:pStyle w:val="TableParagraph"/>
              <w:spacing w:line="148" w:lineRule="exact" w:before="17"/>
              <w:ind w:left="13" w:right="61"/>
              <w:rPr>
                <w:sz w:val="13"/>
              </w:rPr>
            </w:pPr>
            <w:r>
              <w:rPr>
                <w:color w:val="231F20"/>
                <w:spacing w:val="-5"/>
                <w:w w:val="95"/>
                <w:sz w:val="13"/>
              </w:rPr>
              <w:t>2.7</w:t>
            </w:r>
          </w:p>
        </w:tc>
        <w:tc>
          <w:tcPr>
            <w:tcW w:w="507" w:type="dxa"/>
            <w:shd w:val="clear" w:color="auto" w:fill="D4E3F5"/>
          </w:tcPr>
          <w:p>
            <w:pPr>
              <w:pStyle w:val="TableParagraph"/>
              <w:spacing w:line="148" w:lineRule="exact" w:before="17"/>
              <w:ind w:left="5" w:right="51"/>
              <w:rPr>
                <w:sz w:val="13"/>
              </w:rPr>
            </w:pPr>
            <w:r>
              <w:rPr>
                <w:color w:val="231F20"/>
                <w:spacing w:val="-5"/>
                <w:w w:val="95"/>
                <w:sz w:val="13"/>
              </w:rPr>
              <w:t>2.4</w:t>
            </w:r>
          </w:p>
        </w:tc>
      </w:tr>
      <w:tr>
        <w:trPr>
          <w:trHeight w:val="184" w:hRule="atLeast"/>
        </w:trPr>
        <w:tc>
          <w:tcPr>
            <w:tcW w:w="1377" w:type="dxa"/>
          </w:tcPr>
          <w:p>
            <w:pPr>
              <w:pStyle w:val="TableParagraph"/>
              <w:spacing w:line="148" w:lineRule="exact" w:before="17"/>
              <w:ind w:left="80"/>
              <w:jc w:val="left"/>
              <w:rPr>
                <w:sz w:val="13"/>
              </w:rPr>
            </w:pPr>
            <w:r>
              <w:rPr>
                <w:color w:val="231F20"/>
                <w:spacing w:val="-2"/>
                <w:w w:val="90"/>
                <w:sz w:val="13"/>
              </w:rPr>
              <w:t>Portugal</w:t>
            </w:r>
          </w:p>
        </w:tc>
        <w:tc>
          <w:tcPr>
            <w:tcW w:w="487" w:type="dxa"/>
          </w:tcPr>
          <w:p>
            <w:pPr>
              <w:pStyle w:val="TableParagraph"/>
              <w:spacing w:line="148" w:lineRule="exact" w:before="17"/>
              <w:ind w:right="98"/>
              <w:jc w:val="right"/>
              <w:rPr>
                <w:sz w:val="13"/>
              </w:rPr>
            </w:pPr>
            <w:r>
              <w:rPr>
                <w:color w:val="231F20"/>
                <w:spacing w:val="-5"/>
                <w:w w:val="95"/>
                <w:sz w:val="13"/>
              </w:rPr>
              <w:t>3.4</w:t>
            </w:r>
          </w:p>
        </w:tc>
        <w:tc>
          <w:tcPr>
            <w:tcW w:w="531" w:type="dxa"/>
          </w:tcPr>
          <w:p>
            <w:pPr>
              <w:pStyle w:val="TableParagraph"/>
              <w:spacing w:line="148" w:lineRule="exact" w:before="17"/>
              <w:ind w:left="18" w:right="27"/>
              <w:rPr>
                <w:sz w:val="13"/>
              </w:rPr>
            </w:pPr>
            <w:r>
              <w:rPr>
                <w:color w:val="231F20"/>
                <w:spacing w:val="-5"/>
                <w:w w:val="95"/>
                <w:sz w:val="13"/>
              </w:rPr>
              <w:t>3.2</w:t>
            </w:r>
          </w:p>
        </w:tc>
        <w:tc>
          <w:tcPr>
            <w:tcW w:w="549" w:type="dxa"/>
          </w:tcPr>
          <w:p>
            <w:pPr>
              <w:pStyle w:val="TableParagraph"/>
              <w:spacing w:line="148" w:lineRule="exact" w:before="17"/>
              <w:ind w:left="16" w:right="16"/>
              <w:rPr>
                <w:sz w:val="13"/>
              </w:rPr>
            </w:pPr>
            <w:r>
              <w:rPr>
                <w:color w:val="231F20"/>
                <w:spacing w:val="-5"/>
                <w:w w:val="95"/>
                <w:sz w:val="13"/>
              </w:rPr>
              <w:t>3.6</w:t>
            </w:r>
          </w:p>
        </w:tc>
        <w:tc>
          <w:tcPr>
            <w:tcW w:w="615" w:type="dxa"/>
          </w:tcPr>
          <w:p>
            <w:pPr>
              <w:pStyle w:val="TableParagraph"/>
              <w:spacing w:line="148" w:lineRule="exact" w:before="17"/>
              <w:ind w:left="12" w:right="16"/>
              <w:rPr>
                <w:sz w:val="13"/>
              </w:rPr>
            </w:pPr>
            <w:r>
              <w:rPr>
                <w:color w:val="231F20"/>
                <w:spacing w:val="-5"/>
                <w:w w:val="95"/>
                <w:sz w:val="13"/>
              </w:rPr>
              <w:t>3.1</w:t>
            </w:r>
          </w:p>
        </w:tc>
        <w:tc>
          <w:tcPr>
            <w:tcW w:w="706" w:type="dxa"/>
          </w:tcPr>
          <w:p>
            <w:pPr>
              <w:pStyle w:val="TableParagraph"/>
              <w:spacing w:line="148" w:lineRule="exact" w:before="17"/>
              <w:ind w:left="16" w:right="24"/>
              <w:rPr>
                <w:sz w:val="13"/>
              </w:rPr>
            </w:pPr>
            <w:r>
              <w:rPr>
                <w:color w:val="231F20"/>
                <w:spacing w:val="-5"/>
                <w:w w:val="95"/>
                <w:sz w:val="13"/>
              </w:rPr>
              <w:t>3.6</w:t>
            </w:r>
          </w:p>
        </w:tc>
        <w:tc>
          <w:tcPr>
            <w:tcW w:w="368" w:type="dxa"/>
          </w:tcPr>
          <w:p>
            <w:pPr>
              <w:pStyle w:val="TableParagraph"/>
              <w:spacing w:line="148" w:lineRule="exact" w:before="17"/>
              <w:ind w:left="17" w:right="28"/>
              <w:rPr>
                <w:sz w:val="13"/>
              </w:rPr>
            </w:pPr>
            <w:r>
              <w:rPr>
                <w:color w:val="231F20"/>
                <w:spacing w:val="-5"/>
                <w:w w:val="95"/>
                <w:sz w:val="13"/>
              </w:rPr>
              <w:t>3.6</w:t>
            </w:r>
          </w:p>
        </w:tc>
        <w:tc>
          <w:tcPr>
            <w:tcW w:w="536" w:type="dxa"/>
            <w:tcBorders>
              <w:right w:val="single" w:sz="24" w:space="0" w:color="FFFFFF"/>
            </w:tcBorders>
          </w:tcPr>
          <w:p>
            <w:pPr>
              <w:pStyle w:val="TableParagraph"/>
              <w:spacing w:line="148" w:lineRule="exact" w:before="17"/>
              <w:ind w:left="20" w:right="27"/>
              <w:rPr>
                <w:sz w:val="13"/>
              </w:rPr>
            </w:pPr>
            <w:r>
              <w:rPr>
                <w:color w:val="231F20"/>
                <w:spacing w:val="-5"/>
                <w:w w:val="95"/>
                <w:sz w:val="13"/>
              </w:rPr>
              <w:t>3.2</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90"/>
                <w:sz w:val="13"/>
              </w:rPr>
              <w:t>Nicaragua</w:t>
            </w:r>
          </w:p>
        </w:tc>
        <w:tc>
          <w:tcPr>
            <w:tcW w:w="482" w:type="dxa"/>
          </w:tcPr>
          <w:p>
            <w:pPr>
              <w:pStyle w:val="TableParagraph"/>
              <w:spacing w:line="148" w:lineRule="exact" w:before="17"/>
              <w:ind w:right="110"/>
              <w:jc w:val="right"/>
              <w:rPr>
                <w:sz w:val="13"/>
              </w:rPr>
            </w:pPr>
            <w:r>
              <w:rPr>
                <w:color w:val="231F20"/>
                <w:spacing w:val="-5"/>
                <w:w w:val="95"/>
                <w:sz w:val="13"/>
              </w:rPr>
              <w:t>2.5</w:t>
            </w:r>
          </w:p>
        </w:tc>
        <w:tc>
          <w:tcPr>
            <w:tcW w:w="532" w:type="dxa"/>
          </w:tcPr>
          <w:p>
            <w:pPr>
              <w:pStyle w:val="TableParagraph"/>
              <w:spacing w:line="148" w:lineRule="exact" w:before="17"/>
              <w:ind w:left="19" w:right="55"/>
              <w:rPr>
                <w:sz w:val="13"/>
              </w:rPr>
            </w:pPr>
            <w:r>
              <w:rPr>
                <w:color w:val="231F20"/>
                <w:spacing w:val="-5"/>
                <w:w w:val="95"/>
                <w:sz w:val="13"/>
              </w:rPr>
              <w:t>2.0</w:t>
            </w:r>
          </w:p>
        </w:tc>
        <w:tc>
          <w:tcPr>
            <w:tcW w:w="550" w:type="dxa"/>
          </w:tcPr>
          <w:p>
            <w:pPr>
              <w:pStyle w:val="TableParagraph"/>
              <w:spacing w:line="148" w:lineRule="exact" w:before="17"/>
              <w:ind w:left="25" w:right="45"/>
              <w:rPr>
                <w:sz w:val="13"/>
              </w:rPr>
            </w:pPr>
            <w:r>
              <w:rPr>
                <w:color w:val="231F20"/>
                <w:spacing w:val="-5"/>
                <w:w w:val="95"/>
                <w:sz w:val="13"/>
              </w:rPr>
              <w:t>1.9</w:t>
            </w:r>
          </w:p>
        </w:tc>
        <w:tc>
          <w:tcPr>
            <w:tcW w:w="616" w:type="dxa"/>
          </w:tcPr>
          <w:p>
            <w:pPr>
              <w:pStyle w:val="TableParagraph"/>
              <w:spacing w:line="148" w:lineRule="exact" w:before="17"/>
              <w:ind w:left="20" w:right="37"/>
              <w:rPr>
                <w:sz w:val="13"/>
              </w:rPr>
            </w:pPr>
            <w:r>
              <w:rPr>
                <w:color w:val="231F20"/>
                <w:spacing w:val="-5"/>
                <w:w w:val="95"/>
                <w:sz w:val="13"/>
              </w:rPr>
              <w:t>2.8</w:t>
            </w:r>
          </w:p>
        </w:tc>
        <w:tc>
          <w:tcPr>
            <w:tcW w:w="707" w:type="dxa"/>
          </w:tcPr>
          <w:p>
            <w:pPr>
              <w:pStyle w:val="TableParagraph"/>
              <w:spacing w:line="148" w:lineRule="exact" w:before="17"/>
              <w:ind w:left="15" w:right="55"/>
              <w:rPr>
                <w:sz w:val="13"/>
              </w:rPr>
            </w:pPr>
            <w:r>
              <w:rPr>
                <w:color w:val="231F20"/>
                <w:spacing w:val="-5"/>
                <w:w w:val="95"/>
                <w:sz w:val="13"/>
              </w:rPr>
              <w:t>2.8</w:t>
            </w:r>
          </w:p>
        </w:tc>
        <w:tc>
          <w:tcPr>
            <w:tcW w:w="369" w:type="dxa"/>
          </w:tcPr>
          <w:p>
            <w:pPr>
              <w:pStyle w:val="TableParagraph"/>
              <w:spacing w:line="148" w:lineRule="exact" w:before="17"/>
              <w:ind w:left="16" w:right="61"/>
              <w:rPr>
                <w:sz w:val="13"/>
              </w:rPr>
            </w:pPr>
            <w:r>
              <w:rPr>
                <w:color w:val="231F20"/>
                <w:spacing w:val="-5"/>
                <w:w w:val="95"/>
                <w:sz w:val="13"/>
              </w:rPr>
              <w:t>2.9</w:t>
            </w:r>
          </w:p>
        </w:tc>
        <w:tc>
          <w:tcPr>
            <w:tcW w:w="507" w:type="dxa"/>
          </w:tcPr>
          <w:p>
            <w:pPr>
              <w:pStyle w:val="TableParagraph"/>
              <w:spacing w:line="148" w:lineRule="exact" w:before="17"/>
              <w:ind w:left="5" w:right="51"/>
              <w:rPr>
                <w:sz w:val="13"/>
              </w:rPr>
            </w:pPr>
            <w:r>
              <w:rPr>
                <w:color w:val="231F20"/>
                <w:spacing w:val="-5"/>
                <w:w w:val="95"/>
                <w:sz w:val="13"/>
              </w:rPr>
              <w:t>2.4</w:t>
            </w:r>
          </w:p>
        </w:tc>
      </w:tr>
      <w:tr>
        <w:trPr>
          <w:trHeight w:val="184" w:hRule="atLeast"/>
        </w:trPr>
        <w:tc>
          <w:tcPr>
            <w:tcW w:w="1377" w:type="dxa"/>
            <w:shd w:val="clear" w:color="auto" w:fill="D4E3F5"/>
          </w:tcPr>
          <w:p>
            <w:pPr>
              <w:pStyle w:val="TableParagraph"/>
              <w:spacing w:line="148" w:lineRule="exact" w:before="17"/>
              <w:ind w:left="80"/>
              <w:jc w:val="left"/>
              <w:rPr>
                <w:sz w:val="13"/>
              </w:rPr>
            </w:pPr>
            <w:r>
              <w:rPr>
                <w:color w:val="231F20"/>
                <w:w w:val="75"/>
                <w:sz w:val="13"/>
              </w:rPr>
              <w:t>Saudi</w:t>
            </w:r>
            <w:r>
              <w:rPr>
                <w:color w:val="231F20"/>
                <w:spacing w:val="7"/>
                <w:sz w:val="13"/>
              </w:rPr>
              <w:t> </w:t>
            </w:r>
            <w:r>
              <w:rPr>
                <w:color w:val="231F20"/>
                <w:spacing w:val="-2"/>
                <w:w w:val="90"/>
                <w:sz w:val="13"/>
              </w:rPr>
              <w:t>Arabia</w:t>
            </w:r>
          </w:p>
        </w:tc>
        <w:tc>
          <w:tcPr>
            <w:tcW w:w="487" w:type="dxa"/>
            <w:shd w:val="clear" w:color="auto" w:fill="D4E3F5"/>
          </w:tcPr>
          <w:p>
            <w:pPr>
              <w:pStyle w:val="TableParagraph"/>
              <w:spacing w:line="148" w:lineRule="exact" w:before="17"/>
              <w:ind w:right="98"/>
              <w:jc w:val="right"/>
              <w:rPr>
                <w:sz w:val="13"/>
              </w:rPr>
            </w:pPr>
            <w:r>
              <w:rPr>
                <w:color w:val="231F20"/>
                <w:spacing w:val="-5"/>
                <w:w w:val="95"/>
                <w:sz w:val="13"/>
              </w:rPr>
              <w:t>3.4</w:t>
            </w:r>
          </w:p>
        </w:tc>
        <w:tc>
          <w:tcPr>
            <w:tcW w:w="531" w:type="dxa"/>
            <w:shd w:val="clear" w:color="auto" w:fill="D4E3F5"/>
          </w:tcPr>
          <w:p>
            <w:pPr>
              <w:pStyle w:val="TableParagraph"/>
              <w:spacing w:line="148" w:lineRule="exact" w:before="17"/>
              <w:ind w:left="17" w:right="27"/>
              <w:rPr>
                <w:sz w:val="13"/>
              </w:rPr>
            </w:pPr>
            <w:r>
              <w:rPr>
                <w:color w:val="231F20"/>
                <w:spacing w:val="-5"/>
                <w:w w:val="95"/>
                <w:sz w:val="13"/>
              </w:rPr>
              <w:t>3.0</w:t>
            </w:r>
          </w:p>
        </w:tc>
        <w:tc>
          <w:tcPr>
            <w:tcW w:w="549" w:type="dxa"/>
            <w:shd w:val="clear" w:color="auto" w:fill="D4E3F5"/>
          </w:tcPr>
          <w:p>
            <w:pPr>
              <w:pStyle w:val="TableParagraph"/>
              <w:spacing w:line="148" w:lineRule="exact" w:before="17"/>
              <w:ind w:left="16" w:right="16"/>
              <w:rPr>
                <w:sz w:val="13"/>
              </w:rPr>
            </w:pPr>
            <w:r>
              <w:rPr>
                <w:color w:val="231F20"/>
                <w:spacing w:val="-5"/>
                <w:w w:val="95"/>
                <w:sz w:val="13"/>
              </w:rPr>
              <w:t>3.6</w:t>
            </w:r>
          </w:p>
        </w:tc>
        <w:tc>
          <w:tcPr>
            <w:tcW w:w="615" w:type="dxa"/>
            <w:shd w:val="clear" w:color="auto" w:fill="D4E3F5"/>
          </w:tcPr>
          <w:p>
            <w:pPr>
              <w:pStyle w:val="TableParagraph"/>
              <w:spacing w:line="148" w:lineRule="exact" w:before="17"/>
              <w:ind w:left="20" w:right="8"/>
              <w:rPr>
                <w:sz w:val="13"/>
              </w:rPr>
            </w:pPr>
            <w:r>
              <w:rPr>
                <w:color w:val="231F20"/>
                <w:spacing w:val="-5"/>
                <w:w w:val="95"/>
                <w:sz w:val="13"/>
              </w:rPr>
              <w:t>3.3</w:t>
            </w:r>
          </w:p>
        </w:tc>
        <w:tc>
          <w:tcPr>
            <w:tcW w:w="706" w:type="dxa"/>
            <w:shd w:val="clear" w:color="auto" w:fill="D4E3F5"/>
          </w:tcPr>
          <w:p>
            <w:pPr>
              <w:pStyle w:val="TableParagraph"/>
              <w:spacing w:line="148" w:lineRule="exact" w:before="17"/>
              <w:ind w:left="19" w:right="24"/>
              <w:rPr>
                <w:sz w:val="13"/>
              </w:rPr>
            </w:pPr>
            <w:r>
              <w:rPr>
                <w:color w:val="231F20"/>
                <w:spacing w:val="-5"/>
                <w:w w:val="95"/>
                <w:sz w:val="13"/>
              </w:rPr>
              <w:t>3.3</w:t>
            </w:r>
          </w:p>
        </w:tc>
        <w:tc>
          <w:tcPr>
            <w:tcW w:w="368" w:type="dxa"/>
            <w:shd w:val="clear" w:color="auto" w:fill="D4E3F5"/>
          </w:tcPr>
          <w:p>
            <w:pPr>
              <w:pStyle w:val="TableParagraph"/>
              <w:spacing w:line="148" w:lineRule="exact" w:before="17"/>
              <w:ind w:left="17" w:right="28"/>
              <w:rPr>
                <w:sz w:val="13"/>
              </w:rPr>
            </w:pPr>
            <w:r>
              <w:rPr>
                <w:color w:val="231F20"/>
                <w:spacing w:val="-5"/>
                <w:w w:val="95"/>
                <w:sz w:val="13"/>
              </w:rPr>
              <w:t>3.6</w:t>
            </w:r>
          </w:p>
        </w:tc>
        <w:tc>
          <w:tcPr>
            <w:tcW w:w="536" w:type="dxa"/>
            <w:tcBorders>
              <w:right w:val="single" w:sz="24" w:space="0" w:color="FFFFFF"/>
            </w:tcBorders>
            <w:shd w:val="clear" w:color="auto" w:fill="D4E3F5"/>
          </w:tcPr>
          <w:p>
            <w:pPr>
              <w:pStyle w:val="TableParagraph"/>
              <w:spacing w:line="148" w:lineRule="exact" w:before="17"/>
              <w:ind w:left="19" w:right="27"/>
              <w:rPr>
                <w:sz w:val="13"/>
              </w:rPr>
            </w:pPr>
            <w:r>
              <w:rPr>
                <w:color w:val="231F20"/>
                <w:spacing w:val="-5"/>
                <w:w w:val="95"/>
                <w:sz w:val="13"/>
              </w:rPr>
              <w:t>3.5</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2"/>
                <w:w w:val="90"/>
                <w:sz w:val="13"/>
              </w:rPr>
              <w:t>Tajikistan</w:t>
            </w:r>
          </w:p>
        </w:tc>
        <w:tc>
          <w:tcPr>
            <w:tcW w:w="482" w:type="dxa"/>
            <w:shd w:val="clear" w:color="auto" w:fill="D4E3F5"/>
          </w:tcPr>
          <w:p>
            <w:pPr>
              <w:pStyle w:val="TableParagraph"/>
              <w:spacing w:line="148" w:lineRule="exact" w:before="17"/>
              <w:ind w:right="110"/>
              <w:jc w:val="right"/>
              <w:rPr>
                <w:sz w:val="13"/>
              </w:rPr>
            </w:pPr>
            <w:r>
              <w:rPr>
                <w:color w:val="231F20"/>
                <w:spacing w:val="-5"/>
                <w:w w:val="95"/>
                <w:sz w:val="13"/>
              </w:rPr>
              <w:t>2.5</w:t>
            </w:r>
          </w:p>
        </w:tc>
        <w:tc>
          <w:tcPr>
            <w:tcW w:w="532" w:type="dxa"/>
            <w:shd w:val="clear" w:color="auto" w:fill="D4E3F5"/>
          </w:tcPr>
          <w:p>
            <w:pPr>
              <w:pStyle w:val="TableParagraph"/>
              <w:spacing w:line="148" w:lineRule="exact" w:before="17"/>
              <w:ind w:left="20" w:right="55"/>
              <w:rPr>
                <w:sz w:val="13"/>
              </w:rPr>
            </w:pPr>
            <w:r>
              <w:rPr>
                <w:color w:val="231F20"/>
                <w:spacing w:val="-5"/>
                <w:w w:val="95"/>
                <w:sz w:val="13"/>
              </w:rPr>
              <w:t>2.2</w:t>
            </w:r>
          </w:p>
        </w:tc>
        <w:tc>
          <w:tcPr>
            <w:tcW w:w="550" w:type="dxa"/>
            <w:shd w:val="clear" w:color="auto" w:fill="D4E3F5"/>
          </w:tcPr>
          <w:p>
            <w:pPr>
              <w:pStyle w:val="TableParagraph"/>
              <w:spacing w:line="148" w:lineRule="exact" w:before="17"/>
              <w:ind w:left="19" w:right="45"/>
              <w:rPr>
                <w:sz w:val="13"/>
              </w:rPr>
            </w:pPr>
            <w:r>
              <w:rPr>
                <w:color w:val="231F20"/>
                <w:spacing w:val="-5"/>
                <w:w w:val="95"/>
                <w:sz w:val="13"/>
              </w:rPr>
              <w:t>2.5</w:t>
            </w:r>
          </w:p>
        </w:tc>
        <w:tc>
          <w:tcPr>
            <w:tcW w:w="616" w:type="dxa"/>
            <w:shd w:val="clear" w:color="auto" w:fill="D4E3F5"/>
          </w:tcPr>
          <w:p>
            <w:pPr>
              <w:pStyle w:val="TableParagraph"/>
              <w:spacing w:line="148" w:lineRule="exact" w:before="17"/>
              <w:ind w:left="19" w:right="37"/>
              <w:rPr>
                <w:sz w:val="13"/>
              </w:rPr>
            </w:pPr>
            <w:r>
              <w:rPr>
                <w:color w:val="231F20"/>
                <w:spacing w:val="-5"/>
                <w:w w:val="95"/>
                <w:sz w:val="13"/>
              </w:rPr>
              <w:t>2.5</w:t>
            </w:r>
          </w:p>
        </w:tc>
        <w:tc>
          <w:tcPr>
            <w:tcW w:w="707" w:type="dxa"/>
            <w:shd w:val="clear" w:color="auto" w:fill="D4E3F5"/>
          </w:tcPr>
          <w:p>
            <w:pPr>
              <w:pStyle w:val="TableParagraph"/>
              <w:spacing w:line="148" w:lineRule="exact" w:before="17"/>
              <w:ind w:left="15" w:right="55"/>
              <w:rPr>
                <w:sz w:val="13"/>
              </w:rPr>
            </w:pPr>
            <w:r>
              <w:rPr>
                <w:color w:val="231F20"/>
                <w:spacing w:val="-5"/>
                <w:w w:val="95"/>
                <w:sz w:val="13"/>
              </w:rPr>
              <w:t>2.8</w:t>
            </w:r>
          </w:p>
        </w:tc>
        <w:tc>
          <w:tcPr>
            <w:tcW w:w="369" w:type="dxa"/>
            <w:shd w:val="clear" w:color="auto" w:fill="D4E3F5"/>
          </w:tcPr>
          <w:p>
            <w:pPr>
              <w:pStyle w:val="TableParagraph"/>
              <w:spacing w:line="148" w:lineRule="exact" w:before="17"/>
              <w:ind w:left="16" w:right="61"/>
              <w:rPr>
                <w:sz w:val="13"/>
              </w:rPr>
            </w:pPr>
            <w:r>
              <w:rPr>
                <w:color w:val="231F20"/>
                <w:spacing w:val="-5"/>
                <w:w w:val="95"/>
                <w:sz w:val="13"/>
              </w:rPr>
              <w:t>2.9</w:t>
            </w:r>
          </w:p>
        </w:tc>
        <w:tc>
          <w:tcPr>
            <w:tcW w:w="507" w:type="dxa"/>
            <w:shd w:val="clear" w:color="auto" w:fill="D4E3F5"/>
          </w:tcPr>
          <w:p>
            <w:pPr>
              <w:pStyle w:val="TableParagraph"/>
              <w:spacing w:line="148" w:lineRule="exact" w:before="17"/>
              <w:ind w:right="45"/>
              <w:rPr>
                <w:sz w:val="13"/>
              </w:rPr>
            </w:pPr>
            <w:r>
              <w:rPr>
                <w:color w:val="231F20"/>
                <w:spacing w:val="-5"/>
                <w:w w:val="95"/>
                <w:sz w:val="13"/>
              </w:rPr>
              <w:t>2.0</w:t>
            </w:r>
          </w:p>
        </w:tc>
      </w:tr>
      <w:tr>
        <w:trPr>
          <w:trHeight w:val="184" w:hRule="atLeast"/>
        </w:trPr>
        <w:tc>
          <w:tcPr>
            <w:tcW w:w="1377" w:type="dxa"/>
          </w:tcPr>
          <w:p>
            <w:pPr>
              <w:pStyle w:val="TableParagraph"/>
              <w:spacing w:line="147" w:lineRule="exact" w:before="17"/>
              <w:ind w:left="80"/>
              <w:jc w:val="left"/>
              <w:rPr>
                <w:sz w:val="13"/>
              </w:rPr>
            </w:pPr>
            <w:r>
              <w:rPr>
                <w:color w:val="231F20"/>
                <w:spacing w:val="-2"/>
                <w:w w:val="90"/>
                <w:sz w:val="13"/>
              </w:rPr>
              <w:t>Türkiye</w:t>
            </w:r>
          </w:p>
        </w:tc>
        <w:tc>
          <w:tcPr>
            <w:tcW w:w="487" w:type="dxa"/>
          </w:tcPr>
          <w:p>
            <w:pPr>
              <w:pStyle w:val="TableParagraph"/>
              <w:spacing w:line="147" w:lineRule="exact" w:before="17"/>
              <w:ind w:right="98"/>
              <w:jc w:val="right"/>
              <w:rPr>
                <w:sz w:val="13"/>
              </w:rPr>
            </w:pPr>
            <w:r>
              <w:rPr>
                <w:color w:val="231F20"/>
                <w:spacing w:val="-5"/>
                <w:w w:val="95"/>
                <w:sz w:val="13"/>
              </w:rPr>
              <w:t>3.4</w:t>
            </w:r>
          </w:p>
        </w:tc>
        <w:tc>
          <w:tcPr>
            <w:tcW w:w="531" w:type="dxa"/>
          </w:tcPr>
          <w:p>
            <w:pPr>
              <w:pStyle w:val="TableParagraph"/>
              <w:spacing w:line="147" w:lineRule="exact" w:before="17"/>
              <w:ind w:left="17" w:right="27"/>
              <w:rPr>
                <w:sz w:val="13"/>
              </w:rPr>
            </w:pPr>
            <w:r>
              <w:rPr>
                <w:color w:val="231F20"/>
                <w:spacing w:val="-5"/>
                <w:w w:val="95"/>
                <w:sz w:val="13"/>
              </w:rPr>
              <w:t>3.0</w:t>
            </w:r>
          </w:p>
        </w:tc>
        <w:tc>
          <w:tcPr>
            <w:tcW w:w="549" w:type="dxa"/>
          </w:tcPr>
          <w:p>
            <w:pPr>
              <w:pStyle w:val="TableParagraph"/>
              <w:spacing w:line="147" w:lineRule="exact" w:before="17"/>
              <w:ind w:left="15" w:right="16"/>
              <w:rPr>
                <w:sz w:val="13"/>
              </w:rPr>
            </w:pPr>
            <w:r>
              <w:rPr>
                <w:color w:val="231F20"/>
                <w:spacing w:val="-5"/>
                <w:w w:val="95"/>
                <w:sz w:val="13"/>
              </w:rPr>
              <w:t>3.4</w:t>
            </w:r>
          </w:p>
        </w:tc>
        <w:tc>
          <w:tcPr>
            <w:tcW w:w="615" w:type="dxa"/>
          </w:tcPr>
          <w:p>
            <w:pPr>
              <w:pStyle w:val="TableParagraph"/>
              <w:spacing w:line="147" w:lineRule="exact" w:before="17"/>
              <w:ind w:left="16" w:right="8"/>
              <w:rPr>
                <w:sz w:val="13"/>
              </w:rPr>
            </w:pPr>
            <w:r>
              <w:rPr>
                <w:color w:val="231F20"/>
                <w:spacing w:val="-5"/>
                <w:w w:val="95"/>
                <w:sz w:val="13"/>
              </w:rPr>
              <w:t>3.4</w:t>
            </w:r>
          </w:p>
        </w:tc>
        <w:tc>
          <w:tcPr>
            <w:tcW w:w="706" w:type="dxa"/>
          </w:tcPr>
          <w:p>
            <w:pPr>
              <w:pStyle w:val="TableParagraph"/>
              <w:spacing w:line="147" w:lineRule="exact" w:before="17"/>
              <w:ind w:left="17" w:right="24"/>
              <w:rPr>
                <w:sz w:val="13"/>
              </w:rPr>
            </w:pPr>
            <w:r>
              <w:rPr>
                <w:color w:val="231F20"/>
                <w:spacing w:val="-5"/>
                <w:w w:val="95"/>
                <w:sz w:val="13"/>
              </w:rPr>
              <w:t>3.5</w:t>
            </w:r>
          </w:p>
        </w:tc>
        <w:tc>
          <w:tcPr>
            <w:tcW w:w="368" w:type="dxa"/>
          </w:tcPr>
          <w:p>
            <w:pPr>
              <w:pStyle w:val="TableParagraph"/>
              <w:spacing w:line="147" w:lineRule="exact" w:before="17"/>
              <w:ind w:left="17" w:right="28"/>
              <w:rPr>
                <w:sz w:val="13"/>
              </w:rPr>
            </w:pPr>
            <w:r>
              <w:rPr>
                <w:color w:val="231F20"/>
                <w:spacing w:val="-5"/>
                <w:w w:val="95"/>
                <w:sz w:val="13"/>
              </w:rPr>
              <w:t>3.6</w:t>
            </w:r>
          </w:p>
        </w:tc>
        <w:tc>
          <w:tcPr>
            <w:tcW w:w="536" w:type="dxa"/>
            <w:tcBorders>
              <w:right w:val="single" w:sz="24" w:space="0" w:color="FFFFFF"/>
            </w:tcBorders>
          </w:tcPr>
          <w:p>
            <w:pPr>
              <w:pStyle w:val="TableParagraph"/>
              <w:spacing w:line="147" w:lineRule="exact" w:before="17"/>
              <w:ind w:left="19" w:right="27"/>
              <w:rPr>
                <w:sz w:val="13"/>
              </w:rPr>
            </w:pPr>
            <w:r>
              <w:rPr>
                <w:color w:val="231F20"/>
                <w:spacing w:val="-5"/>
                <w:w w:val="95"/>
                <w:sz w:val="13"/>
              </w:rPr>
              <w:t>3.5</w:t>
            </w:r>
          </w:p>
        </w:tc>
        <w:tc>
          <w:tcPr>
            <w:tcW w:w="1415" w:type="dxa"/>
            <w:tcBorders>
              <w:left w:val="single" w:sz="24" w:space="0" w:color="FFFFFF"/>
            </w:tcBorders>
          </w:tcPr>
          <w:p>
            <w:pPr>
              <w:pStyle w:val="TableParagraph"/>
              <w:spacing w:line="147" w:lineRule="exact" w:before="17"/>
              <w:ind w:left="70"/>
              <w:jc w:val="left"/>
              <w:rPr>
                <w:sz w:val="13"/>
              </w:rPr>
            </w:pPr>
            <w:r>
              <w:rPr>
                <w:color w:val="231F20"/>
                <w:spacing w:val="-4"/>
                <w:w w:val="85"/>
                <w:sz w:val="13"/>
              </w:rPr>
              <w:t>Togo</w:t>
            </w:r>
          </w:p>
        </w:tc>
        <w:tc>
          <w:tcPr>
            <w:tcW w:w="482" w:type="dxa"/>
          </w:tcPr>
          <w:p>
            <w:pPr>
              <w:pStyle w:val="TableParagraph"/>
              <w:spacing w:line="147" w:lineRule="exact" w:before="17"/>
              <w:ind w:right="110"/>
              <w:jc w:val="right"/>
              <w:rPr>
                <w:sz w:val="13"/>
              </w:rPr>
            </w:pPr>
            <w:r>
              <w:rPr>
                <w:color w:val="231F20"/>
                <w:spacing w:val="-5"/>
                <w:w w:val="95"/>
                <w:sz w:val="13"/>
              </w:rPr>
              <w:t>2.5</w:t>
            </w:r>
          </w:p>
        </w:tc>
        <w:tc>
          <w:tcPr>
            <w:tcW w:w="532" w:type="dxa"/>
          </w:tcPr>
          <w:p>
            <w:pPr>
              <w:pStyle w:val="TableParagraph"/>
              <w:spacing w:line="147" w:lineRule="exact" w:before="17"/>
              <w:ind w:left="18" w:right="55"/>
              <w:rPr>
                <w:sz w:val="13"/>
              </w:rPr>
            </w:pPr>
            <w:r>
              <w:rPr>
                <w:color w:val="231F20"/>
                <w:spacing w:val="-5"/>
                <w:w w:val="95"/>
                <w:sz w:val="13"/>
              </w:rPr>
              <w:t>2.3</w:t>
            </w:r>
          </w:p>
        </w:tc>
        <w:tc>
          <w:tcPr>
            <w:tcW w:w="550" w:type="dxa"/>
          </w:tcPr>
          <w:p>
            <w:pPr>
              <w:pStyle w:val="TableParagraph"/>
              <w:spacing w:line="147" w:lineRule="exact" w:before="17"/>
              <w:ind w:left="19" w:right="45"/>
              <w:rPr>
                <w:sz w:val="13"/>
              </w:rPr>
            </w:pPr>
            <w:r>
              <w:rPr>
                <w:color w:val="231F20"/>
                <w:spacing w:val="-5"/>
                <w:w w:val="95"/>
                <w:sz w:val="13"/>
              </w:rPr>
              <w:t>2.3</w:t>
            </w:r>
          </w:p>
        </w:tc>
        <w:tc>
          <w:tcPr>
            <w:tcW w:w="616" w:type="dxa"/>
          </w:tcPr>
          <w:p>
            <w:pPr>
              <w:pStyle w:val="TableParagraph"/>
              <w:spacing w:line="147" w:lineRule="exact" w:before="17"/>
              <w:ind w:left="19" w:right="37"/>
              <w:rPr>
                <w:sz w:val="13"/>
              </w:rPr>
            </w:pPr>
            <w:r>
              <w:rPr>
                <w:color w:val="231F20"/>
                <w:spacing w:val="-5"/>
                <w:w w:val="95"/>
                <w:sz w:val="13"/>
              </w:rPr>
              <w:t>3.0</w:t>
            </w:r>
          </w:p>
        </w:tc>
        <w:tc>
          <w:tcPr>
            <w:tcW w:w="707" w:type="dxa"/>
          </w:tcPr>
          <w:p>
            <w:pPr>
              <w:pStyle w:val="TableParagraph"/>
              <w:spacing w:line="147" w:lineRule="exact" w:before="17"/>
              <w:ind w:left="14" w:right="55"/>
              <w:rPr>
                <w:sz w:val="13"/>
              </w:rPr>
            </w:pPr>
            <w:r>
              <w:rPr>
                <w:color w:val="231F20"/>
                <w:spacing w:val="-5"/>
                <w:w w:val="95"/>
                <w:sz w:val="13"/>
              </w:rPr>
              <w:t>2.4</w:t>
            </w:r>
          </w:p>
        </w:tc>
        <w:tc>
          <w:tcPr>
            <w:tcW w:w="369" w:type="dxa"/>
          </w:tcPr>
          <w:p>
            <w:pPr>
              <w:pStyle w:val="TableParagraph"/>
              <w:spacing w:line="147" w:lineRule="exact" w:before="17"/>
              <w:ind w:left="16" w:right="61"/>
              <w:rPr>
                <w:sz w:val="13"/>
              </w:rPr>
            </w:pPr>
            <w:r>
              <w:rPr>
                <w:color w:val="231F20"/>
                <w:spacing w:val="-5"/>
                <w:w w:val="95"/>
                <w:sz w:val="13"/>
              </w:rPr>
              <w:t>2.8</w:t>
            </w:r>
          </w:p>
        </w:tc>
        <w:tc>
          <w:tcPr>
            <w:tcW w:w="507" w:type="dxa"/>
          </w:tcPr>
          <w:p>
            <w:pPr>
              <w:pStyle w:val="TableParagraph"/>
              <w:spacing w:line="147" w:lineRule="exact" w:before="17"/>
              <w:ind w:right="45"/>
              <w:rPr>
                <w:sz w:val="13"/>
              </w:rPr>
            </w:pPr>
            <w:r>
              <w:rPr>
                <w:color w:val="231F20"/>
                <w:spacing w:val="-5"/>
                <w:w w:val="95"/>
                <w:sz w:val="13"/>
              </w:rPr>
              <w:t>2.3</w:t>
            </w:r>
          </w:p>
        </w:tc>
      </w:tr>
      <w:tr>
        <w:trPr>
          <w:trHeight w:val="184" w:hRule="atLeast"/>
        </w:trPr>
        <w:tc>
          <w:tcPr>
            <w:tcW w:w="1377" w:type="dxa"/>
            <w:shd w:val="clear" w:color="auto" w:fill="D4E3F5"/>
          </w:tcPr>
          <w:p>
            <w:pPr>
              <w:pStyle w:val="TableParagraph"/>
              <w:spacing w:line="147" w:lineRule="exact" w:before="17"/>
              <w:ind w:left="80"/>
              <w:jc w:val="left"/>
              <w:rPr>
                <w:sz w:val="13"/>
              </w:rPr>
            </w:pPr>
            <w:r>
              <w:rPr>
                <w:color w:val="231F20"/>
                <w:spacing w:val="-2"/>
                <w:w w:val="90"/>
                <w:sz w:val="13"/>
              </w:rPr>
              <w:t>Croatia</w:t>
            </w:r>
          </w:p>
        </w:tc>
        <w:tc>
          <w:tcPr>
            <w:tcW w:w="487" w:type="dxa"/>
            <w:shd w:val="clear" w:color="auto" w:fill="D4E3F5"/>
          </w:tcPr>
          <w:p>
            <w:pPr>
              <w:pStyle w:val="TableParagraph"/>
              <w:spacing w:line="147" w:lineRule="exact" w:before="17"/>
              <w:ind w:right="94"/>
              <w:jc w:val="right"/>
              <w:rPr>
                <w:sz w:val="13"/>
              </w:rPr>
            </w:pPr>
            <w:r>
              <w:rPr>
                <w:color w:val="231F20"/>
                <w:spacing w:val="-5"/>
                <w:w w:val="95"/>
                <w:sz w:val="13"/>
              </w:rPr>
              <w:t>3.3</w:t>
            </w:r>
          </w:p>
        </w:tc>
        <w:tc>
          <w:tcPr>
            <w:tcW w:w="531" w:type="dxa"/>
            <w:shd w:val="clear" w:color="auto" w:fill="D4E3F5"/>
          </w:tcPr>
          <w:p>
            <w:pPr>
              <w:pStyle w:val="TableParagraph"/>
              <w:spacing w:line="147" w:lineRule="exact" w:before="17"/>
              <w:ind w:left="17" w:right="27"/>
              <w:rPr>
                <w:sz w:val="13"/>
              </w:rPr>
            </w:pPr>
            <w:r>
              <w:rPr>
                <w:color w:val="231F20"/>
                <w:spacing w:val="-5"/>
                <w:w w:val="95"/>
                <w:sz w:val="13"/>
              </w:rPr>
              <w:t>3.0</w:t>
            </w:r>
          </w:p>
        </w:tc>
        <w:tc>
          <w:tcPr>
            <w:tcW w:w="549" w:type="dxa"/>
            <w:shd w:val="clear" w:color="auto" w:fill="D4E3F5"/>
          </w:tcPr>
          <w:p>
            <w:pPr>
              <w:pStyle w:val="TableParagraph"/>
              <w:spacing w:line="147" w:lineRule="exact" w:before="17"/>
              <w:ind w:left="16" w:right="16"/>
              <w:rPr>
                <w:sz w:val="13"/>
              </w:rPr>
            </w:pPr>
            <w:r>
              <w:rPr>
                <w:color w:val="231F20"/>
                <w:spacing w:val="-5"/>
                <w:w w:val="95"/>
                <w:sz w:val="13"/>
              </w:rPr>
              <w:t>3.0</w:t>
            </w:r>
          </w:p>
        </w:tc>
        <w:tc>
          <w:tcPr>
            <w:tcW w:w="615" w:type="dxa"/>
            <w:shd w:val="clear" w:color="auto" w:fill="D4E3F5"/>
          </w:tcPr>
          <w:p>
            <w:pPr>
              <w:pStyle w:val="TableParagraph"/>
              <w:spacing w:line="147" w:lineRule="exact" w:before="17"/>
              <w:ind w:left="17" w:right="8"/>
              <w:rPr>
                <w:sz w:val="13"/>
              </w:rPr>
            </w:pPr>
            <w:r>
              <w:rPr>
                <w:color w:val="231F20"/>
                <w:spacing w:val="-5"/>
                <w:w w:val="95"/>
                <w:sz w:val="13"/>
              </w:rPr>
              <w:t>3.6</w:t>
            </w:r>
          </w:p>
        </w:tc>
        <w:tc>
          <w:tcPr>
            <w:tcW w:w="706" w:type="dxa"/>
            <w:shd w:val="clear" w:color="auto" w:fill="D4E3F5"/>
          </w:tcPr>
          <w:p>
            <w:pPr>
              <w:pStyle w:val="TableParagraph"/>
              <w:spacing w:line="147" w:lineRule="exact" w:before="17"/>
              <w:ind w:left="15" w:right="24"/>
              <w:rPr>
                <w:sz w:val="13"/>
              </w:rPr>
            </w:pPr>
            <w:r>
              <w:rPr>
                <w:color w:val="231F20"/>
                <w:spacing w:val="-5"/>
                <w:w w:val="95"/>
                <w:sz w:val="13"/>
              </w:rPr>
              <w:t>3.4</w:t>
            </w:r>
          </w:p>
        </w:tc>
        <w:tc>
          <w:tcPr>
            <w:tcW w:w="368" w:type="dxa"/>
            <w:shd w:val="clear" w:color="auto" w:fill="D4E3F5"/>
          </w:tcPr>
          <w:p>
            <w:pPr>
              <w:pStyle w:val="TableParagraph"/>
              <w:spacing w:line="147" w:lineRule="exact" w:before="17"/>
              <w:ind w:left="19" w:right="28"/>
              <w:rPr>
                <w:sz w:val="13"/>
              </w:rPr>
            </w:pPr>
            <w:r>
              <w:rPr>
                <w:color w:val="231F20"/>
                <w:spacing w:val="-5"/>
                <w:w w:val="95"/>
                <w:sz w:val="13"/>
              </w:rPr>
              <w:t>3.2</w:t>
            </w:r>
          </w:p>
        </w:tc>
        <w:tc>
          <w:tcPr>
            <w:tcW w:w="536" w:type="dxa"/>
            <w:tcBorders>
              <w:right w:val="single" w:sz="24" w:space="0" w:color="FFFFFF"/>
            </w:tcBorders>
            <w:shd w:val="clear" w:color="auto" w:fill="D4E3F5"/>
          </w:tcPr>
          <w:p>
            <w:pPr>
              <w:pStyle w:val="TableParagraph"/>
              <w:spacing w:line="147" w:lineRule="exact" w:before="17"/>
              <w:ind w:left="17" w:right="27"/>
              <w:rPr>
                <w:sz w:val="13"/>
              </w:rPr>
            </w:pPr>
            <w:r>
              <w:rPr>
                <w:color w:val="231F20"/>
                <w:spacing w:val="-5"/>
                <w:w w:val="95"/>
                <w:sz w:val="13"/>
              </w:rPr>
              <w:t>3.4</w:t>
            </w:r>
          </w:p>
        </w:tc>
        <w:tc>
          <w:tcPr>
            <w:tcW w:w="1415" w:type="dxa"/>
            <w:tcBorders>
              <w:left w:val="single" w:sz="24" w:space="0" w:color="FFFFFF"/>
            </w:tcBorders>
            <w:shd w:val="clear" w:color="auto" w:fill="D4E3F5"/>
          </w:tcPr>
          <w:p>
            <w:pPr>
              <w:pStyle w:val="TableParagraph"/>
              <w:spacing w:line="147" w:lineRule="exact" w:before="17"/>
              <w:ind w:left="70"/>
              <w:jc w:val="left"/>
              <w:rPr>
                <w:sz w:val="13"/>
              </w:rPr>
            </w:pPr>
            <w:r>
              <w:rPr>
                <w:color w:val="231F20"/>
                <w:w w:val="75"/>
                <w:sz w:val="13"/>
              </w:rPr>
              <w:t>Trinidad</w:t>
            </w:r>
            <w:r>
              <w:rPr>
                <w:color w:val="231F20"/>
                <w:spacing w:val="8"/>
                <w:sz w:val="13"/>
              </w:rPr>
              <w:t> </w:t>
            </w:r>
            <w:r>
              <w:rPr>
                <w:color w:val="231F20"/>
                <w:w w:val="75"/>
                <w:sz w:val="13"/>
              </w:rPr>
              <w:t>and</w:t>
            </w:r>
            <w:r>
              <w:rPr>
                <w:color w:val="231F20"/>
                <w:spacing w:val="8"/>
                <w:sz w:val="13"/>
              </w:rPr>
              <w:t> </w:t>
            </w:r>
            <w:r>
              <w:rPr>
                <w:color w:val="231F20"/>
                <w:spacing w:val="-2"/>
                <w:w w:val="75"/>
                <w:sz w:val="13"/>
              </w:rPr>
              <w:t>Tobago</w:t>
            </w:r>
          </w:p>
        </w:tc>
        <w:tc>
          <w:tcPr>
            <w:tcW w:w="482" w:type="dxa"/>
            <w:shd w:val="clear" w:color="auto" w:fill="D4E3F5"/>
          </w:tcPr>
          <w:p>
            <w:pPr>
              <w:pStyle w:val="TableParagraph"/>
              <w:spacing w:line="147" w:lineRule="exact" w:before="17"/>
              <w:ind w:right="110"/>
              <w:jc w:val="right"/>
              <w:rPr>
                <w:sz w:val="13"/>
              </w:rPr>
            </w:pPr>
            <w:r>
              <w:rPr>
                <w:color w:val="231F20"/>
                <w:spacing w:val="-5"/>
                <w:w w:val="95"/>
                <w:sz w:val="13"/>
              </w:rPr>
              <w:t>2.5</w:t>
            </w:r>
          </w:p>
        </w:tc>
        <w:tc>
          <w:tcPr>
            <w:tcW w:w="532" w:type="dxa"/>
            <w:shd w:val="clear" w:color="auto" w:fill="D4E3F5"/>
          </w:tcPr>
          <w:p>
            <w:pPr>
              <w:pStyle w:val="TableParagraph"/>
              <w:spacing w:line="147" w:lineRule="exact" w:before="17"/>
              <w:ind w:left="19" w:right="55"/>
              <w:rPr>
                <w:sz w:val="13"/>
              </w:rPr>
            </w:pPr>
            <w:r>
              <w:rPr>
                <w:color w:val="231F20"/>
                <w:spacing w:val="-5"/>
                <w:w w:val="95"/>
                <w:sz w:val="13"/>
              </w:rPr>
              <w:t>2.2</w:t>
            </w:r>
          </w:p>
        </w:tc>
        <w:tc>
          <w:tcPr>
            <w:tcW w:w="550" w:type="dxa"/>
            <w:shd w:val="clear" w:color="auto" w:fill="D4E3F5"/>
          </w:tcPr>
          <w:p>
            <w:pPr>
              <w:pStyle w:val="TableParagraph"/>
              <w:spacing w:line="147" w:lineRule="exact" w:before="17"/>
              <w:ind w:left="17" w:right="45"/>
              <w:rPr>
                <w:sz w:val="13"/>
              </w:rPr>
            </w:pPr>
            <w:r>
              <w:rPr>
                <w:color w:val="231F20"/>
                <w:spacing w:val="-5"/>
                <w:w w:val="95"/>
                <w:sz w:val="13"/>
              </w:rPr>
              <w:t>2.4</w:t>
            </w:r>
          </w:p>
        </w:tc>
        <w:tc>
          <w:tcPr>
            <w:tcW w:w="616" w:type="dxa"/>
            <w:shd w:val="clear" w:color="auto" w:fill="D4E3F5"/>
          </w:tcPr>
          <w:p>
            <w:pPr>
              <w:pStyle w:val="TableParagraph"/>
              <w:spacing w:line="147" w:lineRule="exact" w:before="17"/>
              <w:ind w:left="19" w:right="37"/>
              <w:rPr>
                <w:sz w:val="13"/>
              </w:rPr>
            </w:pPr>
            <w:r>
              <w:rPr>
                <w:color w:val="231F20"/>
                <w:spacing w:val="-5"/>
                <w:w w:val="95"/>
                <w:sz w:val="13"/>
              </w:rPr>
              <w:t>2.5</w:t>
            </w:r>
          </w:p>
        </w:tc>
        <w:tc>
          <w:tcPr>
            <w:tcW w:w="707" w:type="dxa"/>
            <w:shd w:val="clear" w:color="auto" w:fill="D4E3F5"/>
          </w:tcPr>
          <w:p>
            <w:pPr>
              <w:pStyle w:val="TableParagraph"/>
              <w:spacing w:line="147" w:lineRule="exact" w:before="17"/>
              <w:ind w:left="13" w:right="55"/>
              <w:rPr>
                <w:sz w:val="13"/>
              </w:rPr>
            </w:pPr>
            <w:r>
              <w:rPr>
                <w:color w:val="231F20"/>
                <w:spacing w:val="-5"/>
                <w:w w:val="95"/>
                <w:sz w:val="13"/>
              </w:rPr>
              <w:t>2.4</w:t>
            </w:r>
          </w:p>
        </w:tc>
        <w:tc>
          <w:tcPr>
            <w:tcW w:w="369" w:type="dxa"/>
            <w:shd w:val="clear" w:color="auto" w:fill="D4E3F5"/>
          </w:tcPr>
          <w:p>
            <w:pPr>
              <w:pStyle w:val="TableParagraph"/>
              <w:spacing w:line="147" w:lineRule="exact" w:before="17"/>
              <w:ind w:left="16" w:right="61"/>
              <w:rPr>
                <w:sz w:val="13"/>
              </w:rPr>
            </w:pPr>
            <w:r>
              <w:rPr>
                <w:color w:val="231F20"/>
                <w:spacing w:val="-5"/>
                <w:w w:val="95"/>
                <w:sz w:val="13"/>
              </w:rPr>
              <w:t>2.9</w:t>
            </w:r>
          </w:p>
        </w:tc>
        <w:tc>
          <w:tcPr>
            <w:tcW w:w="507" w:type="dxa"/>
            <w:shd w:val="clear" w:color="auto" w:fill="D4E3F5"/>
          </w:tcPr>
          <w:p>
            <w:pPr>
              <w:pStyle w:val="TableParagraph"/>
              <w:spacing w:line="147" w:lineRule="exact" w:before="17"/>
              <w:ind w:right="45"/>
              <w:rPr>
                <w:sz w:val="13"/>
              </w:rPr>
            </w:pPr>
            <w:r>
              <w:rPr>
                <w:color w:val="231F20"/>
                <w:spacing w:val="-5"/>
                <w:w w:val="95"/>
                <w:sz w:val="13"/>
              </w:rPr>
              <w:t>2.5</w:t>
            </w:r>
          </w:p>
        </w:tc>
      </w:tr>
      <w:tr>
        <w:trPr>
          <w:trHeight w:val="184" w:hRule="atLeast"/>
        </w:trPr>
        <w:tc>
          <w:tcPr>
            <w:tcW w:w="1377" w:type="dxa"/>
          </w:tcPr>
          <w:p>
            <w:pPr>
              <w:pStyle w:val="TableParagraph"/>
              <w:spacing w:line="147" w:lineRule="exact" w:before="17"/>
              <w:ind w:left="80"/>
              <w:jc w:val="left"/>
              <w:rPr>
                <w:sz w:val="13"/>
              </w:rPr>
            </w:pPr>
            <w:r>
              <w:rPr>
                <w:color w:val="231F20"/>
                <w:spacing w:val="-2"/>
                <w:w w:val="85"/>
                <w:sz w:val="13"/>
              </w:rPr>
              <w:t>Czechia</w:t>
            </w:r>
          </w:p>
        </w:tc>
        <w:tc>
          <w:tcPr>
            <w:tcW w:w="487" w:type="dxa"/>
          </w:tcPr>
          <w:p>
            <w:pPr>
              <w:pStyle w:val="TableParagraph"/>
              <w:spacing w:line="147" w:lineRule="exact" w:before="17"/>
              <w:ind w:right="94"/>
              <w:jc w:val="right"/>
              <w:rPr>
                <w:sz w:val="13"/>
              </w:rPr>
            </w:pPr>
            <w:r>
              <w:rPr>
                <w:color w:val="231F20"/>
                <w:spacing w:val="-5"/>
                <w:w w:val="95"/>
                <w:sz w:val="13"/>
              </w:rPr>
              <w:t>3.3</w:t>
            </w:r>
          </w:p>
        </w:tc>
        <w:tc>
          <w:tcPr>
            <w:tcW w:w="531" w:type="dxa"/>
          </w:tcPr>
          <w:p>
            <w:pPr>
              <w:pStyle w:val="TableParagraph"/>
              <w:spacing w:line="147" w:lineRule="exact" w:before="17"/>
              <w:ind w:left="17" w:right="27"/>
              <w:rPr>
                <w:sz w:val="13"/>
              </w:rPr>
            </w:pPr>
            <w:r>
              <w:rPr>
                <w:color w:val="231F20"/>
                <w:spacing w:val="-5"/>
                <w:w w:val="95"/>
                <w:sz w:val="13"/>
              </w:rPr>
              <w:t>3.0</w:t>
            </w:r>
          </w:p>
        </w:tc>
        <w:tc>
          <w:tcPr>
            <w:tcW w:w="549" w:type="dxa"/>
          </w:tcPr>
          <w:p>
            <w:pPr>
              <w:pStyle w:val="TableParagraph"/>
              <w:spacing w:line="147" w:lineRule="exact" w:before="17"/>
              <w:ind w:left="16" w:right="16"/>
              <w:rPr>
                <w:sz w:val="13"/>
              </w:rPr>
            </w:pPr>
            <w:r>
              <w:rPr>
                <w:color w:val="231F20"/>
                <w:spacing w:val="-5"/>
                <w:w w:val="95"/>
                <w:sz w:val="13"/>
              </w:rPr>
              <w:t>3.0</w:t>
            </w:r>
          </w:p>
        </w:tc>
        <w:tc>
          <w:tcPr>
            <w:tcW w:w="615" w:type="dxa"/>
          </w:tcPr>
          <w:p>
            <w:pPr>
              <w:pStyle w:val="TableParagraph"/>
              <w:spacing w:line="147" w:lineRule="exact" w:before="17"/>
              <w:ind w:left="16" w:right="8"/>
              <w:rPr>
                <w:sz w:val="13"/>
              </w:rPr>
            </w:pPr>
            <w:r>
              <w:rPr>
                <w:color w:val="231F20"/>
                <w:spacing w:val="-5"/>
                <w:w w:val="95"/>
                <w:sz w:val="13"/>
              </w:rPr>
              <w:t>3.4</w:t>
            </w:r>
          </w:p>
        </w:tc>
        <w:tc>
          <w:tcPr>
            <w:tcW w:w="706" w:type="dxa"/>
          </w:tcPr>
          <w:p>
            <w:pPr>
              <w:pStyle w:val="TableParagraph"/>
              <w:spacing w:line="147" w:lineRule="exact" w:before="17"/>
              <w:ind w:left="16" w:right="24"/>
              <w:rPr>
                <w:sz w:val="13"/>
              </w:rPr>
            </w:pPr>
            <w:r>
              <w:rPr>
                <w:color w:val="231F20"/>
                <w:spacing w:val="-5"/>
                <w:w w:val="95"/>
                <w:sz w:val="13"/>
              </w:rPr>
              <w:t>3.6</w:t>
            </w:r>
          </w:p>
        </w:tc>
        <w:tc>
          <w:tcPr>
            <w:tcW w:w="368" w:type="dxa"/>
          </w:tcPr>
          <w:p>
            <w:pPr>
              <w:pStyle w:val="TableParagraph"/>
              <w:spacing w:line="147" w:lineRule="exact" w:before="17"/>
              <w:ind w:left="14" w:right="28"/>
              <w:rPr>
                <w:sz w:val="13"/>
              </w:rPr>
            </w:pPr>
            <w:r>
              <w:rPr>
                <w:color w:val="231F20"/>
                <w:spacing w:val="-5"/>
                <w:w w:val="95"/>
                <w:sz w:val="13"/>
              </w:rPr>
              <w:t>3.7</w:t>
            </w:r>
          </w:p>
        </w:tc>
        <w:tc>
          <w:tcPr>
            <w:tcW w:w="536" w:type="dxa"/>
            <w:tcBorders>
              <w:right w:val="single" w:sz="24" w:space="0" w:color="FFFFFF"/>
            </w:tcBorders>
          </w:tcPr>
          <w:p>
            <w:pPr>
              <w:pStyle w:val="TableParagraph"/>
              <w:spacing w:line="147" w:lineRule="exact" w:before="17"/>
              <w:ind w:left="20" w:right="27"/>
              <w:rPr>
                <w:sz w:val="13"/>
              </w:rPr>
            </w:pPr>
            <w:r>
              <w:rPr>
                <w:color w:val="231F20"/>
                <w:spacing w:val="-5"/>
                <w:w w:val="95"/>
                <w:sz w:val="13"/>
              </w:rPr>
              <w:t>3.2</w:t>
            </w:r>
          </w:p>
        </w:tc>
        <w:tc>
          <w:tcPr>
            <w:tcW w:w="1415" w:type="dxa"/>
            <w:tcBorders>
              <w:left w:val="single" w:sz="24" w:space="0" w:color="FFFFFF"/>
            </w:tcBorders>
          </w:tcPr>
          <w:p>
            <w:pPr>
              <w:pStyle w:val="TableParagraph"/>
              <w:spacing w:line="147" w:lineRule="exact" w:before="17"/>
              <w:ind w:left="69"/>
              <w:jc w:val="left"/>
              <w:rPr>
                <w:sz w:val="13"/>
              </w:rPr>
            </w:pPr>
            <w:r>
              <w:rPr>
                <w:color w:val="231F20"/>
                <w:spacing w:val="-2"/>
                <w:w w:val="90"/>
                <w:sz w:val="13"/>
              </w:rPr>
              <w:t>Zimbabwe</w:t>
            </w:r>
          </w:p>
        </w:tc>
        <w:tc>
          <w:tcPr>
            <w:tcW w:w="482" w:type="dxa"/>
          </w:tcPr>
          <w:p>
            <w:pPr>
              <w:pStyle w:val="TableParagraph"/>
              <w:spacing w:line="147" w:lineRule="exact" w:before="17"/>
              <w:ind w:right="110"/>
              <w:jc w:val="right"/>
              <w:rPr>
                <w:sz w:val="13"/>
              </w:rPr>
            </w:pPr>
            <w:r>
              <w:rPr>
                <w:color w:val="231F20"/>
                <w:spacing w:val="-5"/>
                <w:w w:val="95"/>
                <w:sz w:val="13"/>
              </w:rPr>
              <w:t>2.5</w:t>
            </w:r>
          </w:p>
        </w:tc>
        <w:tc>
          <w:tcPr>
            <w:tcW w:w="532" w:type="dxa"/>
          </w:tcPr>
          <w:p>
            <w:pPr>
              <w:pStyle w:val="TableParagraph"/>
              <w:spacing w:line="147" w:lineRule="exact" w:before="17"/>
              <w:ind w:left="19" w:right="55"/>
              <w:rPr>
                <w:sz w:val="13"/>
              </w:rPr>
            </w:pPr>
            <w:r>
              <w:rPr>
                <w:color w:val="231F20"/>
                <w:spacing w:val="-5"/>
                <w:w w:val="95"/>
                <w:sz w:val="13"/>
              </w:rPr>
              <w:t>2.2</w:t>
            </w:r>
          </w:p>
        </w:tc>
        <w:tc>
          <w:tcPr>
            <w:tcW w:w="550" w:type="dxa"/>
          </w:tcPr>
          <w:p>
            <w:pPr>
              <w:pStyle w:val="TableParagraph"/>
              <w:spacing w:line="147" w:lineRule="exact" w:before="17"/>
              <w:ind w:left="17" w:right="45"/>
              <w:rPr>
                <w:sz w:val="13"/>
              </w:rPr>
            </w:pPr>
            <w:r>
              <w:rPr>
                <w:color w:val="231F20"/>
                <w:spacing w:val="-5"/>
                <w:w w:val="95"/>
                <w:sz w:val="13"/>
              </w:rPr>
              <w:t>2.4</w:t>
            </w:r>
          </w:p>
        </w:tc>
        <w:tc>
          <w:tcPr>
            <w:tcW w:w="616" w:type="dxa"/>
          </w:tcPr>
          <w:p>
            <w:pPr>
              <w:pStyle w:val="TableParagraph"/>
              <w:spacing w:line="147" w:lineRule="exact" w:before="17"/>
              <w:ind w:left="19" w:right="37"/>
              <w:rPr>
                <w:sz w:val="13"/>
              </w:rPr>
            </w:pPr>
            <w:r>
              <w:rPr>
                <w:color w:val="231F20"/>
                <w:spacing w:val="-5"/>
                <w:w w:val="95"/>
                <w:sz w:val="13"/>
              </w:rPr>
              <w:t>2.5</w:t>
            </w:r>
          </w:p>
        </w:tc>
        <w:tc>
          <w:tcPr>
            <w:tcW w:w="707" w:type="dxa"/>
          </w:tcPr>
          <w:p>
            <w:pPr>
              <w:pStyle w:val="TableParagraph"/>
              <w:spacing w:line="147" w:lineRule="exact" w:before="17"/>
              <w:ind w:left="15" w:right="55"/>
              <w:rPr>
                <w:sz w:val="13"/>
              </w:rPr>
            </w:pPr>
            <w:r>
              <w:rPr>
                <w:color w:val="231F20"/>
                <w:spacing w:val="-5"/>
                <w:w w:val="95"/>
                <w:sz w:val="13"/>
              </w:rPr>
              <w:t>2.3</w:t>
            </w:r>
          </w:p>
        </w:tc>
        <w:tc>
          <w:tcPr>
            <w:tcW w:w="369" w:type="dxa"/>
          </w:tcPr>
          <w:p>
            <w:pPr>
              <w:pStyle w:val="TableParagraph"/>
              <w:spacing w:line="147" w:lineRule="exact" w:before="17"/>
              <w:ind w:left="16" w:right="61"/>
              <w:rPr>
                <w:sz w:val="13"/>
              </w:rPr>
            </w:pPr>
            <w:r>
              <w:rPr>
                <w:color w:val="231F20"/>
                <w:spacing w:val="-5"/>
                <w:w w:val="95"/>
                <w:sz w:val="13"/>
              </w:rPr>
              <w:t>2.8</w:t>
            </w:r>
          </w:p>
        </w:tc>
        <w:tc>
          <w:tcPr>
            <w:tcW w:w="507" w:type="dxa"/>
          </w:tcPr>
          <w:p>
            <w:pPr>
              <w:pStyle w:val="TableParagraph"/>
              <w:spacing w:line="147" w:lineRule="exact" w:before="17"/>
              <w:ind w:left="1" w:right="51"/>
              <w:rPr>
                <w:sz w:val="13"/>
              </w:rPr>
            </w:pPr>
            <w:r>
              <w:rPr>
                <w:color w:val="231F20"/>
                <w:spacing w:val="-5"/>
                <w:w w:val="95"/>
                <w:sz w:val="13"/>
              </w:rPr>
              <w:t>2.7</w:t>
            </w:r>
          </w:p>
        </w:tc>
      </w:tr>
      <w:tr>
        <w:trPr>
          <w:trHeight w:val="184" w:hRule="atLeast"/>
        </w:trPr>
        <w:tc>
          <w:tcPr>
            <w:tcW w:w="1377" w:type="dxa"/>
            <w:shd w:val="clear" w:color="auto" w:fill="D4E3F5"/>
          </w:tcPr>
          <w:p>
            <w:pPr>
              <w:pStyle w:val="TableParagraph"/>
              <w:spacing w:line="147" w:lineRule="exact" w:before="17"/>
              <w:ind w:left="80"/>
              <w:jc w:val="left"/>
              <w:rPr>
                <w:sz w:val="13"/>
              </w:rPr>
            </w:pPr>
            <w:r>
              <w:rPr>
                <w:color w:val="231F20"/>
                <w:spacing w:val="-2"/>
                <w:w w:val="90"/>
                <w:sz w:val="13"/>
              </w:rPr>
              <w:t>Malta</w:t>
            </w:r>
          </w:p>
        </w:tc>
        <w:tc>
          <w:tcPr>
            <w:tcW w:w="487" w:type="dxa"/>
            <w:shd w:val="clear" w:color="auto" w:fill="D4E3F5"/>
          </w:tcPr>
          <w:p>
            <w:pPr>
              <w:pStyle w:val="TableParagraph"/>
              <w:spacing w:line="147" w:lineRule="exact" w:before="17"/>
              <w:ind w:right="94"/>
              <w:jc w:val="right"/>
              <w:rPr>
                <w:sz w:val="13"/>
              </w:rPr>
            </w:pPr>
            <w:r>
              <w:rPr>
                <w:color w:val="231F20"/>
                <w:spacing w:val="-5"/>
                <w:w w:val="95"/>
                <w:sz w:val="13"/>
              </w:rPr>
              <w:t>3.3</w:t>
            </w:r>
          </w:p>
        </w:tc>
        <w:tc>
          <w:tcPr>
            <w:tcW w:w="531" w:type="dxa"/>
            <w:shd w:val="clear" w:color="auto" w:fill="D4E3F5"/>
          </w:tcPr>
          <w:p>
            <w:pPr>
              <w:pStyle w:val="TableParagraph"/>
              <w:spacing w:line="147" w:lineRule="exact" w:before="17"/>
              <w:ind w:left="14" w:right="27"/>
              <w:rPr>
                <w:sz w:val="13"/>
              </w:rPr>
            </w:pPr>
            <w:r>
              <w:rPr>
                <w:color w:val="231F20"/>
                <w:spacing w:val="-5"/>
                <w:w w:val="95"/>
                <w:sz w:val="13"/>
              </w:rPr>
              <w:t>3.4</w:t>
            </w:r>
          </w:p>
        </w:tc>
        <w:tc>
          <w:tcPr>
            <w:tcW w:w="549" w:type="dxa"/>
            <w:shd w:val="clear" w:color="auto" w:fill="D4E3F5"/>
          </w:tcPr>
          <w:p>
            <w:pPr>
              <w:pStyle w:val="TableParagraph"/>
              <w:spacing w:line="147" w:lineRule="exact" w:before="17"/>
              <w:ind w:left="14" w:right="16"/>
              <w:rPr>
                <w:sz w:val="13"/>
              </w:rPr>
            </w:pPr>
            <w:r>
              <w:rPr>
                <w:color w:val="231F20"/>
                <w:spacing w:val="-5"/>
                <w:w w:val="95"/>
                <w:sz w:val="13"/>
              </w:rPr>
              <w:t>3.7</w:t>
            </w:r>
          </w:p>
        </w:tc>
        <w:tc>
          <w:tcPr>
            <w:tcW w:w="615" w:type="dxa"/>
            <w:shd w:val="clear" w:color="auto" w:fill="D4E3F5"/>
          </w:tcPr>
          <w:p>
            <w:pPr>
              <w:pStyle w:val="TableParagraph"/>
              <w:spacing w:line="147" w:lineRule="exact" w:before="17"/>
              <w:ind w:left="18" w:right="8"/>
              <w:rPr>
                <w:sz w:val="13"/>
              </w:rPr>
            </w:pPr>
            <w:r>
              <w:rPr>
                <w:color w:val="231F20"/>
                <w:spacing w:val="-5"/>
                <w:w w:val="95"/>
                <w:sz w:val="13"/>
              </w:rPr>
              <w:t>3.0</w:t>
            </w:r>
          </w:p>
        </w:tc>
        <w:tc>
          <w:tcPr>
            <w:tcW w:w="706" w:type="dxa"/>
            <w:shd w:val="clear" w:color="auto" w:fill="D4E3F5"/>
          </w:tcPr>
          <w:p>
            <w:pPr>
              <w:pStyle w:val="TableParagraph"/>
              <w:spacing w:line="147" w:lineRule="exact" w:before="17"/>
              <w:ind w:left="15" w:right="24"/>
              <w:rPr>
                <w:sz w:val="13"/>
              </w:rPr>
            </w:pPr>
            <w:r>
              <w:rPr>
                <w:color w:val="231F20"/>
                <w:spacing w:val="-5"/>
                <w:w w:val="95"/>
                <w:sz w:val="13"/>
              </w:rPr>
              <w:t>3.4</w:t>
            </w:r>
          </w:p>
        </w:tc>
        <w:tc>
          <w:tcPr>
            <w:tcW w:w="368" w:type="dxa"/>
            <w:shd w:val="clear" w:color="auto" w:fill="D4E3F5"/>
          </w:tcPr>
          <w:p>
            <w:pPr>
              <w:pStyle w:val="TableParagraph"/>
              <w:spacing w:line="147" w:lineRule="exact" w:before="17"/>
              <w:ind w:left="19" w:right="28"/>
              <w:rPr>
                <w:sz w:val="13"/>
              </w:rPr>
            </w:pPr>
            <w:r>
              <w:rPr>
                <w:color w:val="231F20"/>
                <w:spacing w:val="-5"/>
                <w:w w:val="95"/>
                <w:sz w:val="13"/>
              </w:rPr>
              <w:t>3.2</w:t>
            </w:r>
          </w:p>
        </w:tc>
        <w:tc>
          <w:tcPr>
            <w:tcW w:w="536" w:type="dxa"/>
            <w:tcBorders>
              <w:right w:val="single" w:sz="24" w:space="0" w:color="FFFFFF"/>
            </w:tcBorders>
            <w:shd w:val="clear" w:color="auto" w:fill="D4E3F5"/>
          </w:tcPr>
          <w:p>
            <w:pPr>
              <w:pStyle w:val="TableParagraph"/>
              <w:spacing w:line="147" w:lineRule="exact" w:before="17"/>
              <w:ind w:left="17" w:right="27"/>
              <w:rPr>
                <w:sz w:val="13"/>
              </w:rPr>
            </w:pPr>
            <w:r>
              <w:rPr>
                <w:color w:val="231F20"/>
                <w:spacing w:val="-5"/>
                <w:w w:val="95"/>
                <w:sz w:val="13"/>
              </w:rPr>
              <w:t>3.4</w:t>
            </w:r>
          </w:p>
        </w:tc>
        <w:tc>
          <w:tcPr>
            <w:tcW w:w="1415" w:type="dxa"/>
            <w:tcBorders>
              <w:left w:val="single" w:sz="24" w:space="0" w:color="FFFFFF"/>
            </w:tcBorders>
            <w:shd w:val="clear" w:color="auto" w:fill="D4E3F5"/>
          </w:tcPr>
          <w:p>
            <w:pPr>
              <w:pStyle w:val="TableParagraph"/>
              <w:spacing w:line="147" w:lineRule="exact" w:before="17"/>
              <w:ind w:left="69"/>
              <w:jc w:val="left"/>
              <w:rPr>
                <w:sz w:val="13"/>
              </w:rPr>
            </w:pPr>
            <w:r>
              <w:rPr>
                <w:color w:val="231F20"/>
                <w:spacing w:val="-2"/>
                <w:w w:val="90"/>
                <w:sz w:val="13"/>
              </w:rPr>
              <w:t>Bolivia</w:t>
            </w:r>
          </w:p>
        </w:tc>
        <w:tc>
          <w:tcPr>
            <w:tcW w:w="482" w:type="dxa"/>
            <w:shd w:val="clear" w:color="auto" w:fill="D4E3F5"/>
          </w:tcPr>
          <w:p>
            <w:pPr>
              <w:pStyle w:val="TableParagraph"/>
              <w:spacing w:line="147" w:lineRule="exact" w:before="17"/>
              <w:ind w:right="112"/>
              <w:jc w:val="right"/>
              <w:rPr>
                <w:sz w:val="13"/>
              </w:rPr>
            </w:pPr>
            <w:r>
              <w:rPr>
                <w:color w:val="231F20"/>
                <w:spacing w:val="-5"/>
                <w:w w:val="95"/>
                <w:sz w:val="13"/>
              </w:rPr>
              <w:t>2.4</w:t>
            </w:r>
          </w:p>
        </w:tc>
        <w:tc>
          <w:tcPr>
            <w:tcW w:w="532" w:type="dxa"/>
            <w:shd w:val="clear" w:color="auto" w:fill="D4E3F5"/>
          </w:tcPr>
          <w:p>
            <w:pPr>
              <w:pStyle w:val="TableParagraph"/>
              <w:spacing w:line="147" w:lineRule="exact" w:before="17"/>
              <w:ind w:left="1" w:right="55"/>
              <w:rPr>
                <w:sz w:val="13"/>
              </w:rPr>
            </w:pPr>
            <w:r>
              <w:rPr>
                <w:color w:val="231F20"/>
                <w:spacing w:val="-5"/>
                <w:w w:val="95"/>
                <w:sz w:val="13"/>
              </w:rPr>
              <w:t>2.1</w:t>
            </w:r>
          </w:p>
        </w:tc>
        <w:tc>
          <w:tcPr>
            <w:tcW w:w="550" w:type="dxa"/>
            <w:shd w:val="clear" w:color="auto" w:fill="D4E3F5"/>
          </w:tcPr>
          <w:p>
            <w:pPr>
              <w:pStyle w:val="TableParagraph"/>
              <w:spacing w:line="147" w:lineRule="exact" w:before="17"/>
              <w:ind w:left="17" w:right="45"/>
              <w:rPr>
                <w:sz w:val="13"/>
              </w:rPr>
            </w:pPr>
            <w:r>
              <w:rPr>
                <w:color w:val="231F20"/>
                <w:spacing w:val="-5"/>
                <w:w w:val="95"/>
                <w:sz w:val="13"/>
              </w:rPr>
              <w:t>2.4</w:t>
            </w:r>
          </w:p>
        </w:tc>
        <w:tc>
          <w:tcPr>
            <w:tcW w:w="616" w:type="dxa"/>
            <w:shd w:val="clear" w:color="auto" w:fill="D4E3F5"/>
          </w:tcPr>
          <w:p>
            <w:pPr>
              <w:pStyle w:val="TableParagraph"/>
              <w:spacing w:line="147" w:lineRule="exact" w:before="17"/>
              <w:ind w:left="19" w:right="37"/>
              <w:rPr>
                <w:sz w:val="13"/>
              </w:rPr>
            </w:pPr>
            <w:r>
              <w:rPr>
                <w:color w:val="231F20"/>
                <w:spacing w:val="-5"/>
                <w:w w:val="95"/>
                <w:sz w:val="13"/>
              </w:rPr>
              <w:t>2.5</w:t>
            </w:r>
          </w:p>
        </w:tc>
        <w:tc>
          <w:tcPr>
            <w:tcW w:w="707" w:type="dxa"/>
            <w:shd w:val="clear" w:color="auto" w:fill="D4E3F5"/>
          </w:tcPr>
          <w:p>
            <w:pPr>
              <w:pStyle w:val="TableParagraph"/>
              <w:spacing w:line="147" w:lineRule="exact" w:before="17"/>
              <w:ind w:left="13" w:right="55"/>
              <w:rPr>
                <w:sz w:val="13"/>
              </w:rPr>
            </w:pPr>
            <w:r>
              <w:rPr>
                <w:color w:val="231F20"/>
                <w:spacing w:val="-5"/>
                <w:w w:val="95"/>
                <w:sz w:val="13"/>
              </w:rPr>
              <w:t>2.4</w:t>
            </w:r>
          </w:p>
        </w:tc>
        <w:tc>
          <w:tcPr>
            <w:tcW w:w="369" w:type="dxa"/>
            <w:shd w:val="clear" w:color="auto" w:fill="D4E3F5"/>
          </w:tcPr>
          <w:p>
            <w:pPr>
              <w:pStyle w:val="TableParagraph"/>
              <w:spacing w:line="147" w:lineRule="exact" w:before="17"/>
              <w:ind w:left="14" w:right="61"/>
              <w:rPr>
                <w:sz w:val="13"/>
              </w:rPr>
            </w:pPr>
            <w:r>
              <w:rPr>
                <w:color w:val="231F20"/>
                <w:spacing w:val="-5"/>
                <w:w w:val="95"/>
                <w:sz w:val="13"/>
              </w:rPr>
              <w:t>2.4</w:t>
            </w:r>
          </w:p>
        </w:tc>
        <w:tc>
          <w:tcPr>
            <w:tcW w:w="507" w:type="dxa"/>
            <w:shd w:val="clear" w:color="auto" w:fill="D4E3F5"/>
          </w:tcPr>
          <w:p>
            <w:pPr>
              <w:pStyle w:val="TableParagraph"/>
              <w:spacing w:line="147" w:lineRule="exact" w:before="17"/>
              <w:ind w:left="5" w:right="51"/>
              <w:rPr>
                <w:sz w:val="13"/>
              </w:rPr>
            </w:pPr>
            <w:r>
              <w:rPr>
                <w:color w:val="231F20"/>
                <w:spacing w:val="-5"/>
                <w:w w:val="95"/>
                <w:sz w:val="13"/>
              </w:rPr>
              <w:t>2.5</w:t>
            </w:r>
          </w:p>
        </w:tc>
      </w:tr>
      <w:tr>
        <w:trPr>
          <w:trHeight w:val="184" w:hRule="atLeast"/>
        </w:trPr>
        <w:tc>
          <w:tcPr>
            <w:tcW w:w="1377" w:type="dxa"/>
          </w:tcPr>
          <w:p>
            <w:pPr>
              <w:pStyle w:val="TableParagraph"/>
              <w:spacing w:line="147" w:lineRule="exact" w:before="17"/>
              <w:ind w:left="80"/>
              <w:jc w:val="left"/>
              <w:rPr>
                <w:sz w:val="13"/>
              </w:rPr>
            </w:pPr>
            <w:r>
              <w:rPr>
                <w:color w:val="231F20"/>
                <w:spacing w:val="-4"/>
                <w:w w:val="90"/>
                <w:sz w:val="13"/>
              </w:rPr>
              <w:t>Oman</w:t>
            </w:r>
          </w:p>
        </w:tc>
        <w:tc>
          <w:tcPr>
            <w:tcW w:w="487" w:type="dxa"/>
          </w:tcPr>
          <w:p>
            <w:pPr>
              <w:pStyle w:val="TableParagraph"/>
              <w:spacing w:line="147" w:lineRule="exact" w:before="17"/>
              <w:ind w:right="94"/>
              <w:jc w:val="right"/>
              <w:rPr>
                <w:sz w:val="13"/>
              </w:rPr>
            </w:pPr>
            <w:r>
              <w:rPr>
                <w:color w:val="231F20"/>
                <w:spacing w:val="-5"/>
                <w:w w:val="95"/>
                <w:sz w:val="13"/>
              </w:rPr>
              <w:t>3.3</w:t>
            </w:r>
          </w:p>
        </w:tc>
        <w:tc>
          <w:tcPr>
            <w:tcW w:w="531" w:type="dxa"/>
          </w:tcPr>
          <w:p>
            <w:pPr>
              <w:pStyle w:val="TableParagraph"/>
              <w:spacing w:line="147" w:lineRule="exact" w:before="17"/>
              <w:ind w:left="17" w:right="27"/>
              <w:rPr>
                <w:sz w:val="13"/>
              </w:rPr>
            </w:pPr>
            <w:r>
              <w:rPr>
                <w:color w:val="231F20"/>
                <w:spacing w:val="-5"/>
                <w:w w:val="95"/>
                <w:sz w:val="13"/>
              </w:rPr>
              <w:t>3.0</w:t>
            </w:r>
          </w:p>
        </w:tc>
        <w:tc>
          <w:tcPr>
            <w:tcW w:w="549" w:type="dxa"/>
          </w:tcPr>
          <w:p>
            <w:pPr>
              <w:pStyle w:val="TableParagraph"/>
              <w:spacing w:line="147" w:lineRule="exact" w:before="17"/>
              <w:ind w:left="17" w:right="16"/>
              <w:rPr>
                <w:sz w:val="13"/>
              </w:rPr>
            </w:pPr>
            <w:r>
              <w:rPr>
                <w:color w:val="231F20"/>
                <w:spacing w:val="-5"/>
                <w:w w:val="95"/>
                <w:sz w:val="13"/>
              </w:rPr>
              <w:t>3.2</w:t>
            </w:r>
          </w:p>
        </w:tc>
        <w:tc>
          <w:tcPr>
            <w:tcW w:w="615" w:type="dxa"/>
          </w:tcPr>
          <w:p>
            <w:pPr>
              <w:pStyle w:val="TableParagraph"/>
              <w:spacing w:line="147" w:lineRule="exact" w:before="17"/>
              <w:ind w:left="16" w:right="8"/>
              <w:rPr>
                <w:sz w:val="13"/>
              </w:rPr>
            </w:pPr>
            <w:r>
              <w:rPr>
                <w:color w:val="231F20"/>
                <w:spacing w:val="-5"/>
                <w:w w:val="95"/>
                <w:sz w:val="13"/>
              </w:rPr>
              <w:t>3.4</w:t>
            </w:r>
          </w:p>
        </w:tc>
        <w:tc>
          <w:tcPr>
            <w:tcW w:w="706" w:type="dxa"/>
          </w:tcPr>
          <w:p>
            <w:pPr>
              <w:pStyle w:val="TableParagraph"/>
              <w:spacing w:line="147" w:lineRule="exact" w:before="17"/>
              <w:ind w:left="18" w:right="24"/>
              <w:rPr>
                <w:sz w:val="13"/>
              </w:rPr>
            </w:pPr>
            <w:r>
              <w:rPr>
                <w:color w:val="231F20"/>
                <w:spacing w:val="-5"/>
                <w:w w:val="95"/>
                <w:sz w:val="13"/>
              </w:rPr>
              <w:t>3.2</w:t>
            </w:r>
          </w:p>
        </w:tc>
        <w:tc>
          <w:tcPr>
            <w:tcW w:w="368" w:type="dxa"/>
          </w:tcPr>
          <w:p>
            <w:pPr>
              <w:pStyle w:val="TableParagraph"/>
              <w:spacing w:line="147" w:lineRule="exact" w:before="17"/>
              <w:ind w:left="1" w:right="28"/>
              <w:rPr>
                <w:sz w:val="13"/>
              </w:rPr>
            </w:pPr>
            <w:r>
              <w:rPr>
                <w:color w:val="231F20"/>
                <w:spacing w:val="-5"/>
                <w:w w:val="95"/>
                <w:sz w:val="13"/>
              </w:rPr>
              <w:t>3.1</w:t>
            </w:r>
          </w:p>
        </w:tc>
        <w:tc>
          <w:tcPr>
            <w:tcW w:w="536" w:type="dxa"/>
            <w:tcBorders>
              <w:right w:val="single" w:sz="24" w:space="0" w:color="FFFFFF"/>
            </w:tcBorders>
          </w:tcPr>
          <w:p>
            <w:pPr>
              <w:pStyle w:val="TableParagraph"/>
              <w:spacing w:line="147" w:lineRule="exact" w:before="17"/>
              <w:ind w:left="20" w:right="27"/>
              <w:rPr>
                <w:sz w:val="13"/>
              </w:rPr>
            </w:pPr>
            <w:r>
              <w:rPr>
                <w:color w:val="231F20"/>
                <w:spacing w:val="-5"/>
                <w:w w:val="95"/>
                <w:sz w:val="13"/>
              </w:rPr>
              <w:t>3.9</w:t>
            </w:r>
          </w:p>
        </w:tc>
        <w:tc>
          <w:tcPr>
            <w:tcW w:w="1415" w:type="dxa"/>
            <w:tcBorders>
              <w:left w:val="single" w:sz="24" w:space="0" w:color="FFFFFF"/>
            </w:tcBorders>
          </w:tcPr>
          <w:p>
            <w:pPr>
              <w:pStyle w:val="TableParagraph"/>
              <w:spacing w:line="147" w:lineRule="exact" w:before="17"/>
              <w:ind w:left="69"/>
              <w:jc w:val="left"/>
              <w:rPr>
                <w:sz w:val="13"/>
              </w:rPr>
            </w:pPr>
            <w:r>
              <w:rPr>
                <w:color w:val="231F20"/>
                <w:spacing w:val="-2"/>
                <w:w w:val="85"/>
                <w:sz w:val="13"/>
              </w:rPr>
              <w:t>Cambodia</w:t>
            </w:r>
          </w:p>
        </w:tc>
        <w:tc>
          <w:tcPr>
            <w:tcW w:w="482" w:type="dxa"/>
          </w:tcPr>
          <w:p>
            <w:pPr>
              <w:pStyle w:val="TableParagraph"/>
              <w:spacing w:line="147" w:lineRule="exact" w:before="17"/>
              <w:ind w:right="112"/>
              <w:jc w:val="right"/>
              <w:rPr>
                <w:sz w:val="13"/>
              </w:rPr>
            </w:pPr>
            <w:r>
              <w:rPr>
                <w:color w:val="231F20"/>
                <w:spacing w:val="-5"/>
                <w:w w:val="95"/>
                <w:sz w:val="13"/>
              </w:rPr>
              <w:t>2.4</w:t>
            </w:r>
          </w:p>
        </w:tc>
        <w:tc>
          <w:tcPr>
            <w:tcW w:w="532" w:type="dxa"/>
          </w:tcPr>
          <w:p>
            <w:pPr>
              <w:pStyle w:val="TableParagraph"/>
              <w:spacing w:line="147" w:lineRule="exact" w:before="17"/>
              <w:ind w:left="18" w:right="55"/>
              <w:rPr>
                <w:sz w:val="13"/>
              </w:rPr>
            </w:pPr>
            <w:r>
              <w:rPr>
                <w:color w:val="231F20"/>
                <w:spacing w:val="-5"/>
                <w:w w:val="95"/>
                <w:sz w:val="13"/>
              </w:rPr>
              <w:t>2.2</w:t>
            </w:r>
          </w:p>
        </w:tc>
        <w:tc>
          <w:tcPr>
            <w:tcW w:w="550" w:type="dxa"/>
          </w:tcPr>
          <w:p>
            <w:pPr>
              <w:pStyle w:val="TableParagraph"/>
              <w:spacing w:line="147" w:lineRule="exact" w:before="17"/>
              <w:ind w:left="1" w:right="45"/>
              <w:rPr>
                <w:sz w:val="13"/>
              </w:rPr>
            </w:pPr>
            <w:r>
              <w:rPr>
                <w:color w:val="231F20"/>
                <w:spacing w:val="-5"/>
                <w:w w:val="95"/>
                <w:sz w:val="13"/>
              </w:rPr>
              <w:t>2.1</w:t>
            </w:r>
          </w:p>
        </w:tc>
        <w:tc>
          <w:tcPr>
            <w:tcW w:w="616" w:type="dxa"/>
          </w:tcPr>
          <w:p>
            <w:pPr>
              <w:pStyle w:val="TableParagraph"/>
              <w:spacing w:line="147" w:lineRule="exact" w:before="17"/>
              <w:ind w:left="18" w:right="37"/>
              <w:rPr>
                <w:sz w:val="13"/>
              </w:rPr>
            </w:pPr>
            <w:r>
              <w:rPr>
                <w:color w:val="231F20"/>
                <w:spacing w:val="-5"/>
                <w:w w:val="95"/>
                <w:sz w:val="13"/>
              </w:rPr>
              <w:t>2.3</w:t>
            </w:r>
          </w:p>
        </w:tc>
        <w:tc>
          <w:tcPr>
            <w:tcW w:w="707" w:type="dxa"/>
          </w:tcPr>
          <w:p>
            <w:pPr>
              <w:pStyle w:val="TableParagraph"/>
              <w:spacing w:line="147" w:lineRule="exact" w:before="17"/>
              <w:ind w:left="13" w:right="55"/>
              <w:rPr>
                <w:sz w:val="13"/>
              </w:rPr>
            </w:pPr>
            <w:r>
              <w:rPr>
                <w:color w:val="231F20"/>
                <w:spacing w:val="-5"/>
                <w:w w:val="95"/>
                <w:sz w:val="13"/>
              </w:rPr>
              <w:t>2.4</w:t>
            </w:r>
          </w:p>
        </w:tc>
        <w:tc>
          <w:tcPr>
            <w:tcW w:w="369" w:type="dxa"/>
          </w:tcPr>
          <w:p>
            <w:pPr>
              <w:pStyle w:val="TableParagraph"/>
              <w:spacing w:line="147" w:lineRule="exact" w:before="17"/>
              <w:ind w:left="11" w:right="61"/>
              <w:rPr>
                <w:sz w:val="13"/>
              </w:rPr>
            </w:pPr>
            <w:r>
              <w:rPr>
                <w:color w:val="231F20"/>
                <w:spacing w:val="-5"/>
                <w:w w:val="95"/>
                <w:sz w:val="13"/>
              </w:rPr>
              <w:t>2.7</w:t>
            </w:r>
          </w:p>
        </w:tc>
        <w:tc>
          <w:tcPr>
            <w:tcW w:w="507" w:type="dxa"/>
          </w:tcPr>
          <w:p>
            <w:pPr>
              <w:pStyle w:val="TableParagraph"/>
              <w:spacing w:line="147" w:lineRule="exact" w:before="17"/>
              <w:ind w:left="5" w:right="51"/>
              <w:rPr>
                <w:sz w:val="13"/>
              </w:rPr>
            </w:pPr>
            <w:r>
              <w:rPr>
                <w:color w:val="231F20"/>
                <w:spacing w:val="-5"/>
                <w:w w:val="95"/>
                <w:sz w:val="13"/>
              </w:rPr>
              <w:t>2.8</w:t>
            </w:r>
          </w:p>
        </w:tc>
      </w:tr>
      <w:tr>
        <w:trPr>
          <w:trHeight w:val="184" w:hRule="atLeast"/>
        </w:trPr>
        <w:tc>
          <w:tcPr>
            <w:tcW w:w="1377" w:type="dxa"/>
            <w:shd w:val="clear" w:color="auto" w:fill="D4E3F5"/>
          </w:tcPr>
          <w:p>
            <w:pPr>
              <w:pStyle w:val="TableParagraph"/>
              <w:spacing w:line="147" w:lineRule="exact" w:before="17"/>
              <w:ind w:left="80"/>
              <w:jc w:val="left"/>
              <w:rPr>
                <w:sz w:val="13"/>
              </w:rPr>
            </w:pPr>
            <w:r>
              <w:rPr>
                <w:color w:val="231F20"/>
                <w:spacing w:val="-2"/>
                <w:w w:val="90"/>
                <w:sz w:val="13"/>
              </w:rPr>
              <w:t>Philippines</w:t>
            </w:r>
          </w:p>
        </w:tc>
        <w:tc>
          <w:tcPr>
            <w:tcW w:w="487" w:type="dxa"/>
            <w:shd w:val="clear" w:color="auto" w:fill="D4E3F5"/>
          </w:tcPr>
          <w:p>
            <w:pPr>
              <w:pStyle w:val="TableParagraph"/>
              <w:spacing w:line="147" w:lineRule="exact" w:before="17"/>
              <w:ind w:right="94"/>
              <w:jc w:val="right"/>
              <w:rPr>
                <w:sz w:val="13"/>
              </w:rPr>
            </w:pPr>
            <w:r>
              <w:rPr>
                <w:color w:val="231F20"/>
                <w:spacing w:val="-5"/>
                <w:w w:val="95"/>
                <w:sz w:val="13"/>
              </w:rPr>
              <w:t>3.3</w:t>
            </w:r>
          </w:p>
        </w:tc>
        <w:tc>
          <w:tcPr>
            <w:tcW w:w="531" w:type="dxa"/>
            <w:shd w:val="clear" w:color="auto" w:fill="D4E3F5"/>
          </w:tcPr>
          <w:p>
            <w:pPr>
              <w:pStyle w:val="TableParagraph"/>
              <w:spacing w:line="147" w:lineRule="exact" w:before="17"/>
              <w:ind w:left="18" w:right="27"/>
              <w:rPr>
                <w:sz w:val="13"/>
              </w:rPr>
            </w:pPr>
            <w:r>
              <w:rPr>
                <w:color w:val="231F20"/>
                <w:spacing w:val="-5"/>
                <w:w w:val="95"/>
                <w:sz w:val="13"/>
              </w:rPr>
              <w:t>2.8</w:t>
            </w:r>
          </w:p>
        </w:tc>
        <w:tc>
          <w:tcPr>
            <w:tcW w:w="549" w:type="dxa"/>
            <w:shd w:val="clear" w:color="auto" w:fill="D4E3F5"/>
          </w:tcPr>
          <w:p>
            <w:pPr>
              <w:pStyle w:val="TableParagraph"/>
              <w:spacing w:line="147" w:lineRule="exact" w:before="17"/>
              <w:ind w:left="17" w:right="16"/>
              <w:rPr>
                <w:sz w:val="13"/>
              </w:rPr>
            </w:pPr>
            <w:r>
              <w:rPr>
                <w:color w:val="231F20"/>
                <w:spacing w:val="-5"/>
                <w:w w:val="95"/>
                <w:sz w:val="13"/>
              </w:rPr>
              <w:t>3.2</w:t>
            </w:r>
          </w:p>
        </w:tc>
        <w:tc>
          <w:tcPr>
            <w:tcW w:w="615" w:type="dxa"/>
            <w:shd w:val="clear" w:color="auto" w:fill="D4E3F5"/>
          </w:tcPr>
          <w:p>
            <w:pPr>
              <w:pStyle w:val="TableParagraph"/>
              <w:spacing w:line="147" w:lineRule="exact" w:before="17"/>
              <w:ind w:left="12" w:right="16"/>
              <w:rPr>
                <w:sz w:val="13"/>
              </w:rPr>
            </w:pPr>
            <w:r>
              <w:rPr>
                <w:color w:val="231F20"/>
                <w:spacing w:val="-5"/>
                <w:w w:val="95"/>
                <w:sz w:val="13"/>
              </w:rPr>
              <w:t>3.1</w:t>
            </w:r>
          </w:p>
        </w:tc>
        <w:tc>
          <w:tcPr>
            <w:tcW w:w="706" w:type="dxa"/>
            <w:shd w:val="clear" w:color="auto" w:fill="D4E3F5"/>
          </w:tcPr>
          <w:p>
            <w:pPr>
              <w:pStyle w:val="TableParagraph"/>
              <w:spacing w:line="147" w:lineRule="exact" w:before="17"/>
              <w:ind w:left="19" w:right="24"/>
              <w:rPr>
                <w:sz w:val="13"/>
              </w:rPr>
            </w:pPr>
            <w:r>
              <w:rPr>
                <w:color w:val="231F20"/>
                <w:spacing w:val="-5"/>
                <w:w w:val="95"/>
                <w:sz w:val="13"/>
              </w:rPr>
              <w:t>3.3</w:t>
            </w:r>
          </w:p>
        </w:tc>
        <w:tc>
          <w:tcPr>
            <w:tcW w:w="368" w:type="dxa"/>
            <w:shd w:val="clear" w:color="auto" w:fill="D4E3F5"/>
          </w:tcPr>
          <w:p>
            <w:pPr>
              <w:pStyle w:val="TableParagraph"/>
              <w:spacing w:line="147" w:lineRule="exact" w:before="17"/>
              <w:ind w:left="20" w:right="28"/>
              <w:rPr>
                <w:sz w:val="13"/>
              </w:rPr>
            </w:pPr>
            <w:r>
              <w:rPr>
                <w:color w:val="231F20"/>
                <w:spacing w:val="-5"/>
                <w:w w:val="95"/>
                <w:sz w:val="13"/>
              </w:rPr>
              <w:t>3.9</w:t>
            </w:r>
          </w:p>
        </w:tc>
        <w:tc>
          <w:tcPr>
            <w:tcW w:w="536" w:type="dxa"/>
            <w:tcBorders>
              <w:right w:val="single" w:sz="24" w:space="0" w:color="FFFFFF"/>
            </w:tcBorders>
            <w:shd w:val="clear" w:color="auto" w:fill="D4E3F5"/>
          </w:tcPr>
          <w:p>
            <w:pPr>
              <w:pStyle w:val="TableParagraph"/>
              <w:spacing w:line="147" w:lineRule="exact" w:before="17"/>
              <w:ind w:left="21" w:right="27"/>
              <w:rPr>
                <w:sz w:val="13"/>
              </w:rPr>
            </w:pPr>
            <w:r>
              <w:rPr>
                <w:color w:val="231F20"/>
                <w:spacing w:val="-5"/>
                <w:w w:val="95"/>
                <w:sz w:val="13"/>
              </w:rPr>
              <w:t>3.3</w:t>
            </w:r>
          </w:p>
        </w:tc>
        <w:tc>
          <w:tcPr>
            <w:tcW w:w="1415" w:type="dxa"/>
            <w:tcBorders>
              <w:left w:val="single" w:sz="24" w:space="0" w:color="FFFFFF"/>
            </w:tcBorders>
            <w:shd w:val="clear" w:color="auto" w:fill="D4E3F5"/>
          </w:tcPr>
          <w:p>
            <w:pPr>
              <w:pStyle w:val="TableParagraph"/>
              <w:spacing w:line="147" w:lineRule="exact" w:before="17"/>
              <w:ind w:left="69"/>
              <w:jc w:val="left"/>
              <w:rPr>
                <w:sz w:val="13"/>
              </w:rPr>
            </w:pPr>
            <w:r>
              <w:rPr>
                <w:color w:val="231F20"/>
                <w:spacing w:val="-2"/>
                <w:w w:val="85"/>
                <w:sz w:val="13"/>
              </w:rPr>
              <w:t>Gabon</w:t>
            </w:r>
          </w:p>
        </w:tc>
        <w:tc>
          <w:tcPr>
            <w:tcW w:w="482" w:type="dxa"/>
            <w:shd w:val="clear" w:color="auto" w:fill="D4E3F5"/>
          </w:tcPr>
          <w:p>
            <w:pPr>
              <w:pStyle w:val="TableParagraph"/>
              <w:spacing w:line="147" w:lineRule="exact" w:before="17"/>
              <w:ind w:right="112"/>
              <w:jc w:val="right"/>
              <w:rPr>
                <w:sz w:val="13"/>
              </w:rPr>
            </w:pPr>
            <w:r>
              <w:rPr>
                <w:color w:val="231F20"/>
                <w:spacing w:val="-5"/>
                <w:w w:val="95"/>
                <w:sz w:val="13"/>
              </w:rPr>
              <w:t>2.4</w:t>
            </w:r>
          </w:p>
        </w:tc>
        <w:tc>
          <w:tcPr>
            <w:tcW w:w="532" w:type="dxa"/>
            <w:shd w:val="clear" w:color="auto" w:fill="D4E3F5"/>
          </w:tcPr>
          <w:p>
            <w:pPr>
              <w:pStyle w:val="TableParagraph"/>
              <w:spacing w:line="147" w:lineRule="exact" w:before="17"/>
              <w:ind w:left="17" w:right="55"/>
              <w:rPr>
                <w:sz w:val="13"/>
              </w:rPr>
            </w:pPr>
            <w:r>
              <w:rPr>
                <w:color w:val="231F20"/>
                <w:spacing w:val="-5"/>
                <w:w w:val="95"/>
                <w:sz w:val="13"/>
              </w:rPr>
              <w:t>2.0</w:t>
            </w:r>
          </w:p>
        </w:tc>
        <w:tc>
          <w:tcPr>
            <w:tcW w:w="550" w:type="dxa"/>
            <w:shd w:val="clear" w:color="auto" w:fill="D4E3F5"/>
          </w:tcPr>
          <w:p>
            <w:pPr>
              <w:pStyle w:val="TableParagraph"/>
              <w:spacing w:line="147" w:lineRule="exact" w:before="17"/>
              <w:ind w:left="19" w:right="45"/>
              <w:rPr>
                <w:sz w:val="13"/>
              </w:rPr>
            </w:pPr>
            <w:r>
              <w:rPr>
                <w:color w:val="231F20"/>
                <w:spacing w:val="-5"/>
                <w:w w:val="95"/>
                <w:sz w:val="13"/>
              </w:rPr>
              <w:t>2.2</w:t>
            </w:r>
          </w:p>
        </w:tc>
        <w:tc>
          <w:tcPr>
            <w:tcW w:w="616" w:type="dxa"/>
            <w:shd w:val="clear" w:color="auto" w:fill="D4E3F5"/>
          </w:tcPr>
          <w:p>
            <w:pPr>
              <w:pStyle w:val="TableParagraph"/>
              <w:spacing w:line="147" w:lineRule="exact" w:before="17"/>
              <w:ind w:left="17" w:right="37"/>
              <w:rPr>
                <w:sz w:val="13"/>
              </w:rPr>
            </w:pPr>
            <w:r>
              <w:rPr>
                <w:color w:val="231F20"/>
                <w:spacing w:val="-5"/>
                <w:w w:val="95"/>
                <w:sz w:val="13"/>
              </w:rPr>
              <w:t>2.6</w:t>
            </w:r>
          </w:p>
        </w:tc>
        <w:tc>
          <w:tcPr>
            <w:tcW w:w="707" w:type="dxa"/>
            <w:shd w:val="clear" w:color="auto" w:fill="D4E3F5"/>
          </w:tcPr>
          <w:p>
            <w:pPr>
              <w:pStyle w:val="TableParagraph"/>
              <w:spacing w:line="147" w:lineRule="exact" w:before="17"/>
              <w:ind w:left="14" w:right="55"/>
              <w:rPr>
                <w:sz w:val="13"/>
              </w:rPr>
            </w:pPr>
            <w:r>
              <w:rPr>
                <w:color w:val="231F20"/>
                <w:spacing w:val="-5"/>
                <w:w w:val="95"/>
                <w:sz w:val="13"/>
              </w:rPr>
              <w:t>2.0</w:t>
            </w:r>
          </w:p>
        </w:tc>
        <w:tc>
          <w:tcPr>
            <w:tcW w:w="369" w:type="dxa"/>
            <w:shd w:val="clear" w:color="auto" w:fill="D4E3F5"/>
          </w:tcPr>
          <w:p>
            <w:pPr>
              <w:pStyle w:val="TableParagraph"/>
              <w:spacing w:line="147" w:lineRule="exact" w:before="17"/>
              <w:ind w:left="15" w:right="61"/>
              <w:rPr>
                <w:sz w:val="13"/>
              </w:rPr>
            </w:pPr>
            <w:r>
              <w:rPr>
                <w:color w:val="231F20"/>
                <w:spacing w:val="-5"/>
                <w:w w:val="95"/>
                <w:sz w:val="13"/>
              </w:rPr>
              <w:t>3.0</w:t>
            </w:r>
          </w:p>
        </w:tc>
        <w:tc>
          <w:tcPr>
            <w:tcW w:w="507" w:type="dxa"/>
            <w:shd w:val="clear" w:color="auto" w:fill="D4E3F5"/>
          </w:tcPr>
          <w:p>
            <w:pPr>
              <w:pStyle w:val="TableParagraph"/>
              <w:spacing w:line="147" w:lineRule="exact" w:before="17"/>
              <w:ind w:left="5" w:right="51"/>
              <w:rPr>
                <w:sz w:val="13"/>
              </w:rPr>
            </w:pPr>
            <w:r>
              <w:rPr>
                <w:color w:val="231F20"/>
                <w:spacing w:val="-5"/>
                <w:w w:val="95"/>
                <w:sz w:val="13"/>
              </w:rPr>
              <w:t>2.5</w:t>
            </w:r>
          </w:p>
        </w:tc>
      </w:tr>
      <w:tr>
        <w:trPr>
          <w:trHeight w:val="184" w:hRule="atLeast"/>
        </w:trPr>
        <w:tc>
          <w:tcPr>
            <w:tcW w:w="1377" w:type="dxa"/>
          </w:tcPr>
          <w:p>
            <w:pPr>
              <w:pStyle w:val="TableParagraph"/>
              <w:spacing w:line="148" w:lineRule="exact" w:before="17"/>
              <w:ind w:left="80"/>
              <w:jc w:val="left"/>
              <w:rPr>
                <w:sz w:val="13"/>
              </w:rPr>
            </w:pPr>
            <w:r>
              <w:rPr>
                <w:color w:val="231F20"/>
                <w:w w:val="75"/>
                <w:sz w:val="13"/>
              </w:rPr>
              <w:t>Slovak</w:t>
            </w:r>
            <w:r>
              <w:rPr>
                <w:color w:val="231F20"/>
                <w:spacing w:val="5"/>
                <w:sz w:val="13"/>
              </w:rPr>
              <w:t> </w:t>
            </w:r>
            <w:r>
              <w:rPr>
                <w:color w:val="231F20"/>
                <w:spacing w:val="-2"/>
                <w:w w:val="80"/>
                <w:sz w:val="13"/>
              </w:rPr>
              <w:t>Republic</w:t>
            </w:r>
          </w:p>
        </w:tc>
        <w:tc>
          <w:tcPr>
            <w:tcW w:w="487" w:type="dxa"/>
          </w:tcPr>
          <w:p>
            <w:pPr>
              <w:pStyle w:val="TableParagraph"/>
              <w:spacing w:line="148" w:lineRule="exact" w:before="17"/>
              <w:ind w:right="95"/>
              <w:jc w:val="right"/>
              <w:rPr>
                <w:sz w:val="13"/>
              </w:rPr>
            </w:pPr>
            <w:r>
              <w:rPr>
                <w:color w:val="231F20"/>
                <w:spacing w:val="-5"/>
                <w:w w:val="95"/>
                <w:sz w:val="13"/>
              </w:rPr>
              <w:t>3.3</w:t>
            </w:r>
          </w:p>
        </w:tc>
        <w:tc>
          <w:tcPr>
            <w:tcW w:w="531" w:type="dxa"/>
          </w:tcPr>
          <w:p>
            <w:pPr>
              <w:pStyle w:val="TableParagraph"/>
              <w:spacing w:line="148" w:lineRule="exact" w:before="17"/>
              <w:ind w:left="18" w:right="27"/>
              <w:rPr>
                <w:sz w:val="13"/>
              </w:rPr>
            </w:pPr>
            <w:r>
              <w:rPr>
                <w:color w:val="231F20"/>
                <w:spacing w:val="-5"/>
                <w:w w:val="95"/>
                <w:sz w:val="13"/>
              </w:rPr>
              <w:t>3.2</w:t>
            </w:r>
          </w:p>
        </w:tc>
        <w:tc>
          <w:tcPr>
            <w:tcW w:w="549" w:type="dxa"/>
          </w:tcPr>
          <w:p>
            <w:pPr>
              <w:pStyle w:val="TableParagraph"/>
              <w:spacing w:line="148" w:lineRule="exact" w:before="17"/>
              <w:ind w:left="18" w:right="16"/>
              <w:rPr>
                <w:sz w:val="13"/>
              </w:rPr>
            </w:pPr>
            <w:r>
              <w:rPr>
                <w:color w:val="231F20"/>
                <w:spacing w:val="-5"/>
                <w:w w:val="95"/>
                <w:sz w:val="13"/>
              </w:rPr>
              <w:t>3.3</w:t>
            </w:r>
          </w:p>
        </w:tc>
        <w:tc>
          <w:tcPr>
            <w:tcW w:w="615" w:type="dxa"/>
          </w:tcPr>
          <w:p>
            <w:pPr>
              <w:pStyle w:val="TableParagraph"/>
              <w:spacing w:line="148" w:lineRule="exact" w:before="17"/>
              <w:ind w:left="18" w:right="8"/>
              <w:rPr>
                <w:sz w:val="13"/>
              </w:rPr>
            </w:pPr>
            <w:r>
              <w:rPr>
                <w:color w:val="231F20"/>
                <w:spacing w:val="-5"/>
                <w:w w:val="95"/>
                <w:sz w:val="13"/>
              </w:rPr>
              <w:t>3.0</w:t>
            </w:r>
          </w:p>
        </w:tc>
        <w:tc>
          <w:tcPr>
            <w:tcW w:w="706" w:type="dxa"/>
          </w:tcPr>
          <w:p>
            <w:pPr>
              <w:pStyle w:val="TableParagraph"/>
              <w:spacing w:line="148" w:lineRule="exact" w:before="17"/>
              <w:ind w:left="15" w:right="24"/>
              <w:rPr>
                <w:sz w:val="13"/>
              </w:rPr>
            </w:pPr>
            <w:r>
              <w:rPr>
                <w:color w:val="231F20"/>
                <w:spacing w:val="-5"/>
                <w:w w:val="95"/>
                <w:sz w:val="13"/>
              </w:rPr>
              <w:t>3.4</w:t>
            </w:r>
          </w:p>
        </w:tc>
        <w:tc>
          <w:tcPr>
            <w:tcW w:w="368" w:type="dxa"/>
          </w:tcPr>
          <w:p>
            <w:pPr>
              <w:pStyle w:val="TableParagraph"/>
              <w:spacing w:line="148" w:lineRule="exact" w:before="17"/>
              <w:ind w:left="18" w:right="28"/>
              <w:rPr>
                <w:sz w:val="13"/>
              </w:rPr>
            </w:pPr>
            <w:r>
              <w:rPr>
                <w:color w:val="231F20"/>
                <w:spacing w:val="-5"/>
                <w:w w:val="95"/>
                <w:sz w:val="13"/>
              </w:rPr>
              <w:t>3.5</w:t>
            </w:r>
          </w:p>
        </w:tc>
        <w:tc>
          <w:tcPr>
            <w:tcW w:w="536" w:type="dxa"/>
            <w:tcBorders>
              <w:right w:val="single" w:sz="24" w:space="0" w:color="FFFFFF"/>
            </w:tcBorders>
          </w:tcPr>
          <w:p>
            <w:pPr>
              <w:pStyle w:val="TableParagraph"/>
              <w:spacing w:line="148" w:lineRule="exact" w:before="17"/>
              <w:ind w:left="21" w:right="27"/>
              <w:rPr>
                <w:sz w:val="13"/>
              </w:rPr>
            </w:pPr>
            <w:r>
              <w:rPr>
                <w:color w:val="231F20"/>
                <w:spacing w:val="-5"/>
                <w:w w:val="95"/>
                <w:sz w:val="13"/>
              </w:rPr>
              <w:t>3.3</w:t>
            </w:r>
          </w:p>
        </w:tc>
        <w:tc>
          <w:tcPr>
            <w:tcW w:w="1415" w:type="dxa"/>
            <w:tcBorders>
              <w:left w:val="single" w:sz="24" w:space="0" w:color="FFFFFF"/>
            </w:tcBorders>
          </w:tcPr>
          <w:p>
            <w:pPr>
              <w:pStyle w:val="TableParagraph"/>
              <w:spacing w:line="148" w:lineRule="exact" w:before="17"/>
              <w:ind w:left="71"/>
              <w:jc w:val="left"/>
              <w:rPr>
                <w:sz w:val="13"/>
              </w:rPr>
            </w:pPr>
            <w:r>
              <w:rPr>
                <w:color w:val="231F20"/>
                <w:spacing w:val="-2"/>
                <w:w w:val="85"/>
                <w:sz w:val="13"/>
              </w:rPr>
              <w:t>Guyana</w:t>
            </w:r>
          </w:p>
        </w:tc>
        <w:tc>
          <w:tcPr>
            <w:tcW w:w="482" w:type="dxa"/>
          </w:tcPr>
          <w:p>
            <w:pPr>
              <w:pStyle w:val="TableParagraph"/>
              <w:spacing w:line="148" w:lineRule="exact" w:before="17"/>
              <w:ind w:right="111"/>
              <w:jc w:val="right"/>
              <w:rPr>
                <w:sz w:val="13"/>
              </w:rPr>
            </w:pPr>
            <w:r>
              <w:rPr>
                <w:color w:val="231F20"/>
                <w:spacing w:val="-5"/>
                <w:w w:val="95"/>
                <w:sz w:val="13"/>
              </w:rPr>
              <w:t>2.4</w:t>
            </w:r>
          </w:p>
        </w:tc>
        <w:tc>
          <w:tcPr>
            <w:tcW w:w="532" w:type="dxa"/>
          </w:tcPr>
          <w:p>
            <w:pPr>
              <w:pStyle w:val="TableParagraph"/>
              <w:spacing w:line="148" w:lineRule="exact" w:before="17"/>
              <w:ind w:left="20" w:right="55"/>
              <w:rPr>
                <w:sz w:val="13"/>
              </w:rPr>
            </w:pPr>
            <w:r>
              <w:rPr>
                <w:color w:val="231F20"/>
                <w:spacing w:val="-5"/>
                <w:w w:val="95"/>
                <w:sz w:val="13"/>
              </w:rPr>
              <w:t>2.3</w:t>
            </w:r>
          </w:p>
        </w:tc>
        <w:tc>
          <w:tcPr>
            <w:tcW w:w="550" w:type="dxa"/>
          </w:tcPr>
          <w:p>
            <w:pPr>
              <w:pStyle w:val="TableParagraph"/>
              <w:spacing w:line="148" w:lineRule="exact" w:before="17"/>
              <w:ind w:left="19" w:right="45"/>
              <w:rPr>
                <w:sz w:val="13"/>
              </w:rPr>
            </w:pPr>
            <w:r>
              <w:rPr>
                <w:color w:val="231F20"/>
                <w:spacing w:val="-5"/>
                <w:w w:val="95"/>
                <w:sz w:val="13"/>
              </w:rPr>
              <w:t>2.4</w:t>
            </w:r>
          </w:p>
        </w:tc>
        <w:tc>
          <w:tcPr>
            <w:tcW w:w="616" w:type="dxa"/>
          </w:tcPr>
          <w:p>
            <w:pPr>
              <w:pStyle w:val="TableParagraph"/>
              <w:spacing w:line="148" w:lineRule="exact" w:before="17"/>
              <w:ind w:left="4" w:right="37"/>
              <w:rPr>
                <w:sz w:val="13"/>
              </w:rPr>
            </w:pPr>
            <w:r>
              <w:rPr>
                <w:color w:val="231F20"/>
                <w:spacing w:val="-5"/>
                <w:w w:val="95"/>
                <w:sz w:val="13"/>
              </w:rPr>
              <w:t>2.1</w:t>
            </w:r>
          </w:p>
        </w:tc>
        <w:tc>
          <w:tcPr>
            <w:tcW w:w="707" w:type="dxa"/>
          </w:tcPr>
          <w:p>
            <w:pPr>
              <w:pStyle w:val="TableParagraph"/>
              <w:spacing w:line="148" w:lineRule="exact" w:before="17"/>
              <w:ind w:left="16" w:right="55"/>
              <w:rPr>
                <w:sz w:val="13"/>
              </w:rPr>
            </w:pPr>
            <w:r>
              <w:rPr>
                <w:color w:val="231F20"/>
                <w:spacing w:val="-5"/>
                <w:w w:val="95"/>
                <w:sz w:val="13"/>
              </w:rPr>
              <w:t>2.6</w:t>
            </w:r>
          </w:p>
        </w:tc>
        <w:tc>
          <w:tcPr>
            <w:tcW w:w="369" w:type="dxa"/>
          </w:tcPr>
          <w:p>
            <w:pPr>
              <w:pStyle w:val="TableParagraph"/>
              <w:spacing w:line="148" w:lineRule="exact" w:before="17"/>
              <w:ind w:left="17" w:right="61"/>
              <w:rPr>
                <w:sz w:val="13"/>
              </w:rPr>
            </w:pPr>
            <w:r>
              <w:rPr>
                <w:color w:val="231F20"/>
                <w:spacing w:val="-5"/>
                <w:w w:val="95"/>
                <w:sz w:val="13"/>
              </w:rPr>
              <w:t>2.6</w:t>
            </w:r>
          </w:p>
        </w:tc>
        <w:tc>
          <w:tcPr>
            <w:tcW w:w="507" w:type="dxa"/>
          </w:tcPr>
          <w:p>
            <w:pPr>
              <w:pStyle w:val="TableParagraph"/>
              <w:spacing w:line="148" w:lineRule="exact" w:before="17"/>
              <w:ind w:right="42"/>
              <w:rPr>
                <w:sz w:val="13"/>
              </w:rPr>
            </w:pPr>
            <w:r>
              <w:rPr>
                <w:color w:val="231F20"/>
                <w:spacing w:val="-5"/>
                <w:w w:val="95"/>
                <w:sz w:val="13"/>
              </w:rPr>
              <w:t>2.2</w:t>
            </w:r>
          </w:p>
        </w:tc>
      </w:tr>
      <w:tr>
        <w:trPr>
          <w:trHeight w:val="184" w:hRule="atLeast"/>
        </w:trPr>
        <w:tc>
          <w:tcPr>
            <w:tcW w:w="1377" w:type="dxa"/>
            <w:shd w:val="clear" w:color="auto" w:fill="D4E3F5"/>
          </w:tcPr>
          <w:p>
            <w:pPr>
              <w:pStyle w:val="TableParagraph"/>
              <w:spacing w:line="148" w:lineRule="exact" w:before="17"/>
              <w:ind w:left="80"/>
              <w:jc w:val="left"/>
              <w:rPr>
                <w:sz w:val="13"/>
              </w:rPr>
            </w:pPr>
            <w:r>
              <w:rPr>
                <w:color w:val="231F20"/>
                <w:spacing w:val="-2"/>
                <w:w w:val="85"/>
                <w:sz w:val="13"/>
              </w:rPr>
              <w:t>Slovenia</w:t>
            </w:r>
          </w:p>
        </w:tc>
        <w:tc>
          <w:tcPr>
            <w:tcW w:w="487" w:type="dxa"/>
            <w:shd w:val="clear" w:color="auto" w:fill="D4E3F5"/>
          </w:tcPr>
          <w:p>
            <w:pPr>
              <w:pStyle w:val="TableParagraph"/>
              <w:spacing w:line="148" w:lineRule="exact" w:before="17"/>
              <w:ind w:right="95"/>
              <w:jc w:val="right"/>
              <w:rPr>
                <w:sz w:val="13"/>
              </w:rPr>
            </w:pPr>
            <w:r>
              <w:rPr>
                <w:color w:val="231F20"/>
                <w:spacing w:val="-5"/>
                <w:w w:val="95"/>
                <w:sz w:val="13"/>
              </w:rPr>
              <w:t>3.3</w:t>
            </w:r>
          </w:p>
        </w:tc>
        <w:tc>
          <w:tcPr>
            <w:tcW w:w="531" w:type="dxa"/>
            <w:shd w:val="clear" w:color="auto" w:fill="D4E3F5"/>
          </w:tcPr>
          <w:p>
            <w:pPr>
              <w:pStyle w:val="TableParagraph"/>
              <w:spacing w:line="148" w:lineRule="exact" w:before="17"/>
              <w:ind w:left="15" w:right="27"/>
              <w:rPr>
                <w:sz w:val="13"/>
              </w:rPr>
            </w:pPr>
            <w:r>
              <w:rPr>
                <w:color w:val="231F20"/>
                <w:spacing w:val="-5"/>
                <w:w w:val="95"/>
                <w:sz w:val="13"/>
              </w:rPr>
              <w:t>3.4</w:t>
            </w:r>
          </w:p>
        </w:tc>
        <w:tc>
          <w:tcPr>
            <w:tcW w:w="549" w:type="dxa"/>
            <w:shd w:val="clear" w:color="auto" w:fill="D4E3F5"/>
          </w:tcPr>
          <w:p>
            <w:pPr>
              <w:pStyle w:val="TableParagraph"/>
              <w:spacing w:line="148" w:lineRule="exact" w:before="17"/>
              <w:ind w:left="15" w:right="16"/>
              <w:rPr>
                <w:sz w:val="13"/>
              </w:rPr>
            </w:pPr>
            <w:r>
              <w:rPr>
                <w:color w:val="231F20"/>
                <w:spacing w:val="-5"/>
                <w:w w:val="95"/>
                <w:sz w:val="13"/>
              </w:rPr>
              <w:t>3.6</w:t>
            </w:r>
          </w:p>
        </w:tc>
        <w:tc>
          <w:tcPr>
            <w:tcW w:w="615" w:type="dxa"/>
            <w:shd w:val="clear" w:color="auto" w:fill="D4E3F5"/>
          </w:tcPr>
          <w:p>
            <w:pPr>
              <w:pStyle w:val="TableParagraph"/>
              <w:spacing w:line="148" w:lineRule="exact" w:before="17"/>
              <w:ind w:left="16" w:right="8"/>
              <w:rPr>
                <w:sz w:val="13"/>
              </w:rPr>
            </w:pPr>
            <w:r>
              <w:rPr>
                <w:color w:val="231F20"/>
                <w:spacing w:val="-5"/>
                <w:w w:val="95"/>
                <w:sz w:val="13"/>
              </w:rPr>
              <w:t>3.4</w:t>
            </w:r>
          </w:p>
        </w:tc>
        <w:tc>
          <w:tcPr>
            <w:tcW w:w="706" w:type="dxa"/>
            <w:shd w:val="clear" w:color="auto" w:fill="D4E3F5"/>
          </w:tcPr>
          <w:p>
            <w:pPr>
              <w:pStyle w:val="TableParagraph"/>
              <w:spacing w:line="148" w:lineRule="exact" w:before="17"/>
              <w:ind w:left="19" w:right="24"/>
              <w:rPr>
                <w:sz w:val="13"/>
              </w:rPr>
            </w:pPr>
            <w:r>
              <w:rPr>
                <w:color w:val="231F20"/>
                <w:spacing w:val="-5"/>
                <w:w w:val="95"/>
                <w:sz w:val="13"/>
              </w:rPr>
              <w:t>3.3</w:t>
            </w:r>
          </w:p>
        </w:tc>
        <w:tc>
          <w:tcPr>
            <w:tcW w:w="368" w:type="dxa"/>
            <w:shd w:val="clear" w:color="auto" w:fill="D4E3F5"/>
          </w:tcPr>
          <w:p>
            <w:pPr>
              <w:pStyle w:val="TableParagraph"/>
              <w:spacing w:line="148" w:lineRule="exact" w:before="17"/>
              <w:ind w:left="20" w:right="28"/>
              <w:rPr>
                <w:sz w:val="13"/>
              </w:rPr>
            </w:pPr>
            <w:r>
              <w:rPr>
                <w:color w:val="231F20"/>
                <w:spacing w:val="-5"/>
                <w:w w:val="95"/>
                <w:sz w:val="13"/>
              </w:rPr>
              <w:t>3.3</w:t>
            </w:r>
          </w:p>
        </w:tc>
        <w:tc>
          <w:tcPr>
            <w:tcW w:w="536" w:type="dxa"/>
            <w:tcBorders>
              <w:right w:val="single" w:sz="24" w:space="0" w:color="FFFFFF"/>
            </w:tcBorders>
            <w:shd w:val="clear" w:color="auto" w:fill="D4E3F5"/>
          </w:tcPr>
          <w:p>
            <w:pPr>
              <w:pStyle w:val="TableParagraph"/>
              <w:spacing w:line="148" w:lineRule="exact" w:before="17"/>
              <w:ind w:left="19" w:right="27"/>
              <w:rPr>
                <w:sz w:val="13"/>
              </w:rPr>
            </w:pPr>
            <w:r>
              <w:rPr>
                <w:color w:val="231F20"/>
                <w:spacing w:val="-5"/>
                <w:w w:val="95"/>
                <w:sz w:val="13"/>
              </w:rPr>
              <w:t>3.0</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4"/>
                <w:w w:val="85"/>
                <w:sz w:val="13"/>
              </w:rPr>
              <w:t>Iraq</w:t>
            </w:r>
          </w:p>
        </w:tc>
        <w:tc>
          <w:tcPr>
            <w:tcW w:w="482" w:type="dxa"/>
            <w:shd w:val="clear" w:color="auto" w:fill="D4E3F5"/>
          </w:tcPr>
          <w:p>
            <w:pPr>
              <w:pStyle w:val="TableParagraph"/>
              <w:spacing w:line="148" w:lineRule="exact" w:before="17"/>
              <w:ind w:right="111"/>
              <w:jc w:val="right"/>
              <w:rPr>
                <w:sz w:val="13"/>
              </w:rPr>
            </w:pPr>
            <w:r>
              <w:rPr>
                <w:color w:val="231F20"/>
                <w:spacing w:val="-5"/>
                <w:w w:val="95"/>
                <w:sz w:val="13"/>
              </w:rPr>
              <w:t>2.4</w:t>
            </w:r>
          </w:p>
        </w:tc>
        <w:tc>
          <w:tcPr>
            <w:tcW w:w="532" w:type="dxa"/>
            <w:shd w:val="clear" w:color="auto" w:fill="D4E3F5"/>
          </w:tcPr>
          <w:p>
            <w:pPr>
              <w:pStyle w:val="TableParagraph"/>
              <w:spacing w:line="148" w:lineRule="exact" w:before="17"/>
              <w:ind w:left="3" w:right="55"/>
              <w:rPr>
                <w:sz w:val="13"/>
              </w:rPr>
            </w:pPr>
            <w:r>
              <w:rPr>
                <w:color w:val="231F20"/>
                <w:spacing w:val="-5"/>
                <w:w w:val="95"/>
                <w:sz w:val="13"/>
              </w:rPr>
              <w:t>2.1</w:t>
            </w:r>
          </w:p>
        </w:tc>
        <w:tc>
          <w:tcPr>
            <w:tcW w:w="550" w:type="dxa"/>
            <w:shd w:val="clear" w:color="auto" w:fill="D4E3F5"/>
          </w:tcPr>
          <w:p>
            <w:pPr>
              <w:pStyle w:val="TableParagraph"/>
              <w:spacing w:line="148" w:lineRule="exact" w:before="17"/>
              <w:ind w:left="21" w:right="45"/>
              <w:rPr>
                <w:sz w:val="13"/>
              </w:rPr>
            </w:pPr>
            <w:r>
              <w:rPr>
                <w:color w:val="231F20"/>
                <w:spacing w:val="-5"/>
                <w:w w:val="95"/>
                <w:sz w:val="13"/>
              </w:rPr>
              <w:t>2.2</w:t>
            </w:r>
          </w:p>
        </w:tc>
        <w:tc>
          <w:tcPr>
            <w:tcW w:w="616" w:type="dxa"/>
            <w:shd w:val="clear" w:color="auto" w:fill="D4E3F5"/>
          </w:tcPr>
          <w:p>
            <w:pPr>
              <w:pStyle w:val="TableParagraph"/>
              <w:spacing w:line="148" w:lineRule="exact" w:before="17"/>
              <w:ind w:right="16"/>
              <w:rPr>
                <w:sz w:val="13"/>
              </w:rPr>
            </w:pPr>
            <w:r>
              <w:rPr>
                <w:color w:val="231F20"/>
                <w:spacing w:val="-5"/>
                <w:w w:val="95"/>
                <w:sz w:val="13"/>
              </w:rPr>
              <w:t>2.5</w:t>
            </w:r>
          </w:p>
        </w:tc>
        <w:tc>
          <w:tcPr>
            <w:tcW w:w="707" w:type="dxa"/>
            <w:shd w:val="clear" w:color="auto" w:fill="D4E3F5"/>
          </w:tcPr>
          <w:p>
            <w:pPr>
              <w:pStyle w:val="TableParagraph"/>
              <w:spacing w:line="148" w:lineRule="exact" w:before="17"/>
              <w:ind w:left="18" w:right="55"/>
              <w:rPr>
                <w:sz w:val="13"/>
              </w:rPr>
            </w:pPr>
            <w:r>
              <w:rPr>
                <w:color w:val="231F20"/>
                <w:spacing w:val="-5"/>
                <w:w w:val="95"/>
                <w:sz w:val="13"/>
              </w:rPr>
              <w:t>2.2</w:t>
            </w:r>
          </w:p>
        </w:tc>
        <w:tc>
          <w:tcPr>
            <w:tcW w:w="369" w:type="dxa"/>
            <w:shd w:val="clear" w:color="auto" w:fill="D4E3F5"/>
          </w:tcPr>
          <w:p>
            <w:pPr>
              <w:pStyle w:val="TableParagraph"/>
              <w:spacing w:line="148" w:lineRule="exact" w:before="17"/>
              <w:ind w:left="18" w:right="61"/>
              <w:rPr>
                <w:sz w:val="13"/>
              </w:rPr>
            </w:pPr>
            <w:r>
              <w:rPr>
                <w:color w:val="231F20"/>
                <w:spacing w:val="-5"/>
                <w:w w:val="95"/>
                <w:sz w:val="13"/>
              </w:rPr>
              <w:t>3.0</w:t>
            </w:r>
          </w:p>
        </w:tc>
        <w:tc>
          <w:tcPr>
            <w:tcW w:w="507" w:type="dxa"/>
            <w:shd w:val="clear" w:color="auto" w:fill="D4E3F5"/>
          </w:tcPr>
          <w:p>
            <w:pPr>
              <w:pStyle w:val="TableParagraph"/>
              <w:spacing w:line="148" w:lineRule="exact" w:before="17"/>
              <w:ind w:right="45"/>
              <w:rPr>
                <w:sz w:val="13"/>
              </w:rPr>
            </w:pPr>
            <w:r>
              <w:rPr>
                <w:color w:val="231F20"/>
                <w:spacing w:val="-5"/>
                <w:w w:val="95"/>
                <w:sz w:val="13"/>
              </w:rPr>
              <w:t>2.4</w:t>
            </w:r>
          </w:p>
        </w:tc>
      </w:tr>
      <w:tr>
        <w:trPr>
          <w:trHeight w:val="184" w:hRule="atLeast"/>
        </w:trPr>
        <w:tc>
          <w:tcPr>
            <w:tcW w:w="1377" w:type="dxa"/>
          </w:tcPr>
          <w:p>
            <w:pPr>
              <w:pStyle w:val="TableParagraph"/>
              <w:spacing w:line="148" w:lineRule="exact" w:before="17"/>
              <w:ind w:left="80"/>
              <w:jc w:val="left"/>
              <w:rPr>
                <w:sz w:val="13"/>
              </w:rPr>
            </w:pPr>
            <w:r>
              <w:rPr>
                <w:color w:val="231F20"/>
                <w:spacing w:val="-2"/>
                <w:w w:val="90"/>
                <w:sz w:val="13"/>
              </w:rPr>
              <w:t>Vietnam</w:t>
            </w:r>
          </w:p>
        </w:tc>
        <w:tc>
          <w:tcPr>
            <w:tcW w:w="487" w:type="dxa"/>
          </w:tcPr>
          <w:p>
            <w:pPr>
              <w:pStyle w:val="TableParagraph"/>
              <w:spacing w:line="148" w:lineRule="exact" w:before="17"/>
              <w:ind w:right="95"/>
              <w:jc w:val="right"/>
              <w:rPr>
                <w:sz w:val="13"/>
              </w:rPr>
            </w:pPr>
            <w:r>
              <w:rPr>
                <w:color w:val="231F20"/>
                <w:spacing w:val="-5"/>
                <w:w w:val="95"/>
                <w:sz w:val="13"/>
              </w:rPr>
              <w:t>3.3</w:t>
            </w:r>
          </w:p>
        </w:tc>
        <w:tc>
          <w:tcPr>
            <w:tcW w:w="531" w:type="dxa"/>
          </w:tcPr>
          <w:p>
            <w:pPr>
              <w:pStyle w:val="TableParagraph"/>
              <w:spacing w:line="148" w:lineRule="exact" w:before="17"/>
              <w:ind w:right="27"/>
              <w:rPr>
                <w:sz w:val="13"/>
              </w:rPr>
            </w:pPr>
            <w:r>
              <w:rPr>
                <w:color w:val="231F20"/>
                <w:spacing w:val="-5"/>
                <w:w w:val="95"/>
                <w:sz w:val="13"/>
              </w:rPr>
              <w:t>3.1</w:t>
            </w:r>
          </w:p>
        </w:tc>
        <w:tc>
          <w:tcPr>
            <w:tcW w:w="549" w:type="dxa"/>
          </w:tcPr>
          <w:p>
            <w:pPr>
              <w:pStyle w:val="TableParagraph"/>
              <w:spacing w:line="148" w:lineRule="exact" w:before="17"/>
              <w:ind w:left="16" w:right="16"/>
              <w:rPr>
                <w:sz w:val="13"/>
              </w:rPr>
            </w:pPr>
            <w:r>
              <w:rPr>
                <w:color w:val="231F20"/>
                <w:spacing w:val="-5"/>
                <w:w w:val="95"/>
                <w:sz w:val="13"/>
              </w:rPr>
              <w:t>3.2</w:t>
            </w:r>
          </w:p>
        </w:tc>
        <w:tc>
          <w:tcPr>
            <w:tcW w:w="615" w:type="dxa"/>
          </w:tcPr>
          <w:p>
            <w:pPr>
              <w:pStyle w:val="TableParagraph"/>
              <w:spacing w:line="148" w:lineRule="exact" w:before="17"/>
              <w:ind w:left="20" w:right="8"/>
              <w:rPr>
                <w:sz w:val="13"/>
              </w:rPr>
            </w:pPr>
            <w:r>
              <w:rPr>
                <w:color w:val="231F20"/>
                <w:spacing w:val="-5"/>
                <w:w w:val="95"/>
                <w:sz w:val="13"/>
              </w:rPr>
              <w:t>3.3</w:t>
            </w:r>
          </w:p>
        </w:tc>
        <w:tc>
          <w:tcPr>
            <w:tcW w:w="706" w:type="dxa"/>
          </w:tcPr>
          <w:p>
            <w:pPr>
              <w:pStyle w:val="TableParagraph"/>
              <w:spacing w:line="148" w:lineRule="exact" w:before="17"/>
              <w:ind w:left="17" w:right="24"/>
              <w:rPr>
                <w:sz w:val="13"/>
              </w:rPr>
            </w:pPr>
            <w:r>
              <w:rPr>
                <w:color w:val="231F20"/>
                <w:spacing w:val="-5"/>
                <w:w w:val="95"/>
                <w:sz w:val="13"/>
              </w:rPr>
              <w:t>3.2</w:t>
            </w:r>
          </w:p>
        </w:tc>
        <w:tc>
          <w:tcPr>
            <w:tcW w:w="368" w:type="dxa"/>
          </w:tcPr>
          <w:p>
            <w:pPr>
              <w:pStyle w:val="TableParagraph"/>
              <w:spacing w:line="148" w:lineRule="exact" w:before="17"/>
              <w:ind w:left="20" w:right="28"/>
              <w:rPr>
                <w:sz w:val="13"/>
              </w:rPr>
            </w:pPr>
            <w:r>
              <w:rPr>
                <w:color w:val="231F20"/>
                <w:spacing w:val="-5"/>
                <w:w w:val="95"/>
                <w:sz w:val="13"/>
              </w:rPr>
              <w:t>3.3</w:t>
            </w:r>
          </w:p>
        </w:tc>
        <w:tc>
          <w:tcPr>
            <w:tcW w:w="536" w:type="dxa"/>
            <w:tcBorders>
              <w:right w:val="single" w:sz="24" w:space="0" w:color="FFFFFF"/>
            </w:tcBorders>
          </w:tcPr>
          <w:p>
            <w:pPr>
              <w:pStyle w:val="TableParagraph"/>
              <w:spacing w:line="148" w:lineRule="exact" w:before="17"/>
              <w:ind w:left="17" w:right="27"/>
              <w:rPr>
                <w:sz w:val="13"/>
              </w:rPr>
            </w:pPr>
            <w:r>
              <w:rPr>
                <w:color w:val="231F20"/>
                <w:spacing w:val="-5"/>
                <w:w w:val="95"/>
                <w:sz w:val="13"/>
              </w:rPr>
              <w:t>3.4</w:t>
            </w:r>
          </w:p>
        </w:tc>
        <w:tc>
          <w:tcPr>
            <w:tcW w:w="1415" w:type="dxa"/>
            <w:tcBorders>
              <w:left w:val="single" w:sz="24" w:space="0" w:color="FFFFFF"/>
            </w:tcBorders>
          </w:tcPr>
          <w:p>
            <w:pPr>
              <w:pStyle w:val="TableParagraph"/>
              <w:spacing w:line="148" w:lineRule="exact" w:before="17"/>
              <w:ind w:left="70"/>
              <w:jc w:val="left"/>
              <w:rPr>
                <w:sz w:val="13"/>
              </w:rPr>
            </w:pPr>
            <w:r>
              <w:rPr>
                <w:color w:val="231F20"/>
                <w:w w:val="75"/>
                <w:sz w:val="13"/>
              </w:rPr>
              <w:t>Lao</w:t>
            </w:r>
            <w:r>
              <w:rPr>
                <w:color w:val="231F20"/>
                <w:spacing w:val="2"/>
                <w:sz w:val="13"/>
              </w:rPr>
              <w:t> </w:t>
            </w:r>
            <w:r>
              <w:rPr>
                <w:color w:val="231F20"/>
                <w:spacing w:val="-5"/>
                <w:w w:val="85"/>
                <w:sz w:val="13"/>
              </w:rPr>
              <w:t>PDR</w:t>
            </w:r>
          </w:p>
        </w:tc>
        <w:tc>
          <w:tcPr>
            <w:tcW w:w="482" w:type="dxa"/>
          </w:tcPr>
          <w:p>
            <w:pPr>
              <w:pStyle w:val="TableParagraph"/>
              <w:spacing w:line="148" w:lineRule="exact" w:before="17"/>
              <w:ind w:right="111"/>
              <w:jc w:val="right"/>
              <w:rPr>
                <w:sz w:val="13"/>
              </w:rPr>
            </w:pPr>
            <w:r>
              <w:rPr>
                <w:color w:val="231F20"/>
                <w:spacing w:val="-5"/>
                <w:w w:val="95"/>
                <w:sz w:val="13"/>
              </w:rPr>
              <w:t>2.4</w:t>
            </w:r>
          </w:p>
        </w:tc>
        <w:tc>
          <w:tcPr>
            <w:tcW w:w="532" w:type="dxa"/>
          </w:tcPr>
          <w:p>
            <w:pPr>
              <w:pStyle w:val="TableParagraph"/>
              <w:spacing w:line="148" w:lineRule="exact" w:before="17"/>
              <w:ind w:left="20" w:right="55"/>
              <w:rPr>
                <w:sz w:val="13"/>
              </w:rPr>
            </w:pPr>
            <w:r>
              <w:rPr>
                <w:color w:val="231F20"/>
                <w:spacing w:val="-5"/>
                <w:w w:val="95"/>
                <w:sz w:val="13"/>
              </w:rPr>
              <w:t>2.3</w:t>
            </w:r>
          </w:p>
        </w:tc>
        <w:tc>
          <w:tcPr>
            <w:tcW w:w="550" w:type="dxa"/>
          </w:tcPr>
          <w:p>
            <w:pPr>
              <w:pStyle w:val="TableParagraph"/>
              <w:spacing w:line="148" w:lineRule="exact" w:before="17"/>
              <w:ind w:left="20" w:right="45"/>
              <w:rPr>
                <w:sz w:val="13"/>
              </w:rPr>
            </w:pPr>
            <w:r>
              <w:rPr>
                <w:color w:val="231F20"/>
                <w:spacing w:val="-5"/>
                <w:w w:val="95"/>
                <w:sz w:val="13"/>
              </w:rPr>
              <w:t>2.3</w:t>
            </w:r>
          </w:p>
        </w:tc>
        <w:tc>
          <w:tcPr>
            <w:tcW w:w="616" w:type="dxa"/>
          </w:tcPr>
          <w:p>
            <w:pPr>
              <w:pStyle w:val="TableParagraph"/>
              <w:spacing w:line="148" w:lineRule="exact" w:before="17"/>
              <w:ind w:right="16"/>
              <w:rPr>
                <w:sz w:val="13"/>
              </w:rPr>
            </w:pPr>
            <w:r>
              <w:rPr>
                <w:color w:val="231F20"/>
                <w:spacing w:val="-5"/>
                <w:w w:val="95"/>
                <w:sz w:val="13"/>
              </w:rPr>
              <w:t>2.3</w:t>
            </w:r>
          </w:p>
        </w:tc>
        <w:tc>
          <w:tcPr>
            <w:tcW w:w="707" w:type="dxa"/>
          </w:tcPr>
          <w:p>
            <w:pPr>
              <w:pStyle w:val="TableParagraph"/>
              <w:spacing w:line="148" w:lineRule="exact" w:before="17"/>
              <w:ind w:left="15" w:right="55"/>
              <w:rPr>
                <w:sz w:val="13"/>
              </w:rPr>
            </w:pPr>
            <w:r>
              <w:rPr>
                <w:color w:val="231F20"/>
                <w:spacing w:val="-5"/>
                <w:w w:val="95"/>
                <w:sz w:val="13"/>
              </w:rPr>
              <w:t>2.4</w:t>
            </w:r>
          </w:p>
        </w:tc>
        <w:tc>
          <w:tcPr>
            <w:tcW w:w="369" w:type="dxa"/>
          </w:tcPr>
          <w:p>
            <w:pPr>
              <w:pStyle w:val="TableParagraph"/>
              <w:spacing w:line="148" w:lineRule="exact" w:before="17"/>
              <w:ind w:left="18" w:right="61"/>
              <w:rPr>
                <w:sz w:val="13"/>
              </w:rPr>
            </w:pPr>
            <w:r>
              <w:rPr>
                <w:color w:val="231F20"/>
                <w:spacing w:val="-5"/>
                <w:w w:val="95"/>
                <w:sz w:val="13"/>
              </w:rPr>
              <w:t>2.8</w:t>
            </w:r>
          </w:p>
        </w:tc>
        <w:tc>
          <w:tcPr>
            <w:tcW w:w="507" w:type="dxa"/>
          </w:tcPr>
          <w:p>
            <w:pPr>
              <w:pStyle w:val="TableParagraph"/>
              <w:spacing w:line="148" w:lineRule="exact" w:before="17"/>
              <w:ind w:right="45"/>
              <w:rPr>
                <w:sz w:val="13"/>
              </w:rPr>
            </w:pPr>
            <w:r>
              <w:rPr>
                <w:color w:val="231F20"/>
                <w:spacing w:val="-5"/>
                <w:w w:val="95"/>
                <w:sz w:val="13"/>
              </w:rPr>
              <w:t>2.4</w:t>
            </w:r>
          </w:p>
        </w:tc>
      </w:tr>
      <w:tr>
        <w:trPr>
          <w:trHeight w:val="184" w:hRule="atLeast"/>
        </w:trPr>
        <w:tc>
          <w:tcPr>
            <w:tcW w:w="1377" w:type="dxa"/>
            <w:shd w:val="clear" w:color="auto" w:fill="D4E3F5"/>
          </w:tcPr>
          <w:p>
            <w:pPr>
              <w:pStyle w:val="TableParagraph"/>
              <w:spacing w:line="148" w:lineRule="exact" w:before="17"/>
              <w:ind w:left="80"/>
              <w:jc w:val="left"/>
              <w:rPr>
                <w:sz w:val="13"/>
              </w:rPr>
            </w:pPr>
            <w:r>
              <w:rPr>
                <w:color w:val="231F20"/>
                <w:spacing w:val="-2"/>
                <w:w w:val="90"/>
                <w:sz w:val="13"/>
              </w:rPr>
              <w:t>Brazil</w:t>
            </w:r>
          </w:p>
        </w:tc>
        <w:tc>
          <w:tcPr>
            <w:tcW w:w="487" w:type="dxa"/>
            <w:shd w:val="clear" w:color="auto" w:fill="D4E3F5"/>
          </w:tcPr>
          <w:p>
            <w:pPr>
              <w:pStyle w:val="TableParagraph"/>
              <w:spacing w:line="148" w:lineRule="exact" w:before="17"/>
              <w:ind w:right="96"/>
              <w:jc w:val="right"/>
              <w:rPr>
                <w:sz w:val="13"/>
              </w:rPr>
            </w:pPr>
            <w:r>
              <w:rPr>
                <w:color w:val="231F20"/>
                <w:spacing w:val="-5"/>
                <w:w w:val="95"/>
                <w:sz w:val="13"/>
              </w:rPr>
              <w:t>3.2</w:t>
            </w:r>
          </w:p>
        </w:tc>
        <w:tc>
          <w:tcPr>
            <w:tcW w:w="531" w:type="dxa"/>
            <w:shd w:val="clear" w:color="auto" w:fill="D4E3F5"/>
          </w:tcPr>
          <w:p>
            <w:pPr>
              <w:pStyle w:val="TableParagraph"/>
              <w:spacing w:line="148" w:lineRule="exact" w:before="17"/>
              <w:ind w:left="17" w:right="27"/>
              <w:rPr>
                <w:sz w:val="13"/>
              </w:rPr>
            </w:pPr>
            <w:r>
              <w:rPr>
                <w:color w:val="231F20"/>
                <w:spacing w:val="-5"/>
                <w:w w:val="95"/>
                <w:sz w:val="13"/>
              </w:rPr>
              <w:t>2.9</w:t>
            </w:r>
          </w:p>
        </w:tc>
        <w:tc>
          <w:tcPr>
            <w:tcW w:w="549" w:type="dxa"/>
            <w:shd w:val="clear" w:color="auto" w:fill="D4E3F5"/>
          </w:tcPr>
          <w:p>
            <w:pPr>
              <w:pStyle w:val="TableParagraph"/>
              <w:spacing w:line="148" w:lineRule="exact" w:before="17"/>
              <w:ind w:left="16" w:right="16"/>
              <w:rPr>
                <w:sz w:val="13"/>
              </w:rPr>
            </w:pPr>
            <w:r>
              <w:rPr>
                <w:color w:val="231F20"/>
                <w:spacing w:val="-5"/>
                <w:w w:val="95"/>
                <w:sz w:val="13"/>
              </w:rPr>
              <w:t>3.2</w:t>
            </w:r>
          </w:p>
        </w:tc>
        <w:tc>
          <w:tcPr>
            <w:tcW w:w="615" w:type="dxa"/>
            <w:shd w:val="clear" w:color="auto" w:fill="D4E3F5"/>
          </w:tcPr>
          <w:p>
            <w:pPr>
              <w:pStyle w:val="TableParagraph"/>
              <w:spacing w:line="148" w:lineRule="exact" w:before="17"/>
              <w:ind w:left="18" w:right="8"/>
              <w:rPr>
                <w:sz w:val="13"/>
              </w:rPr>
            </w:pPr>
            <w:r>
              <w:rPr>
                <w:color w:val="231F20"/>
                <w:spacing w:val="-5"/>
                <w:w w:val="95"/>
                <w:sz w:val="13"/>
              </w:rPr>
              <w:t>2.9</w:t>
            </w:r>
          </w:p>
        </w:tc>
        <w:tc>
          <w:tcPr>
            <w:tcW w:w="706" w:type="dxa"/>
            <w:shd w:val="clear" w:color="auto" w:fill="D4E3F5"/>
          </w:tcPr>
          <w:p>
            <w:pPr>
              <w:pStyle w:val="TableParagraph"/>
              <w:spacing w:line="148" w:lineRule="exact" w:before="17"/>
              <w:ind w:left="19" w:right="24"/>
              <w:rPr>
                <w:sz w:val="13"/>
              </w:rPr>
            </w:pPr>
            <w:r>
              <w:rPr>
                <w:color w:val="231F20"/>
                <w:spacing w:val="-5"/>
                <w:w w:val="95"/>
                <w:sz w:val="13"/>
              </w:rPr>
              <w:t>3.3</w:t>
            </w:r>
          </w:p>
        </w:tc>
        <w:tc>
          <w:tcPr>
            <w:tcW w:w="368" w:type="dxa"/>
            <w:shd w:val="clear" w:color="auto" w:fill="D4E3F5"/>
          </w:tcPr>
          <w:p>
            <w:pPr>
              <w:pStyle w:val="TableParagraph"/>
              <w:spacing w:line="148" w:lineRule="exact" w:before="17"/>
              <w:ind w:left="18" w:right="28"/>
              <w:rPr>
                <w:sz w:val="13"/>
              </w:rPr>
            </w:pPr>
            <w:r>
              <w:rPr>
                <w:color w:val="231F20"/>
                <w:spacing w:val="-5"/>
                <w:w w:val="95"/>
                <w:sz w:val="13"/>
              </w:rPr>
              <w:t>3.5</w:t>
            </w:r>
          </w:p>
        </w:tc>
        <w:tc>
          <w:tcPr>
            <w:tcW w:w="536" w:type="dxa"/>
            <w:tcBorders>
              <w:right w:val="single" w:sz="24" w:space="0" w:color="FFFFFF"/>
            </w:tcBorders>
            <w:shd w:val="clear" w:color="auto" w:fill="D4E3F5"/>
          </w:tcPr>
          <w:p>
            <w:pPr>
              <w:pStyle w:val="TableParagraph"/>
              <w:spacing w:line="148" w:lineRule="exact" w:before="17"/>
              <w:ind w:left="19" w:right="27"/>
              <w:rPr>
                <w:sz w:val="13"/>
              </w:rPr>
            </w:pPr>
            <w:r>
              <w:rPr>
                <w:color w:val="231F20"/>
                <w:spacing w:val="-5"/>
                <w:w w:val="95"/>
                <w:sz w:val="13"/>
              </w:rPr>
              <w:t>3.2</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2"/>
                <w:w w:val="90"/>
                <w:sz w:val="13"/>
              </w:rPr>
              <w:t>Liberia</w:t>
            </w:r>
          </w:p>
        </w:tc>
        <w:tc>
          <w:tcPr>
            <w:tcW w:w="482" w:type="dxa"/>
            <w:shd w:val="clear" w:color="auto" w:fill="D4E3F5"/>
          </w:tcPr>
          <w:p>
            <w:pPr>
              <w:pStyle w:val="TableParagraph"/>
              <w:spacing w:line="148" w:lineRule="exact" w:before="17"/>
              <w:ind w:right="111"/>
              <w:jc w:val="right"/>
              <w:rPr>
                <w:sz w:val="13"/>
              </w:rPr>
            </w:pPr>
            <w:r>
              <w:rPr>
                <w:color w:val="231F20"/>
                <w:spacing w:val="-5"/>
                <w:w w:val="95"/>
                <w:sz w:val="13"/>
              </w:rPr>
              <w:t>2.4</w:t>
            </w:r>
          </w:p>
        </w:tc>
        <w:tc>
          <w:tcPr>
            <w:tcW w:w="532" w:type="dxa"/>
            <w:shd w:val="clear" w:color="auto" w:fill="D4E3F5"/>
          </w:tcPr>
          <w:p>
            <w:pPr>
              <w:pStyle w:val="TableParagraph"/>
              <w:spacing w:line="148" w:lineRule="exact" w:before="17"/>
              <w:ind w:left="3" w:right="55"/>
              <w:rPr>
                <w:sz w:val="13"/>
              </w:rPr>
            </w:pPr>
            <w:r>
              <w:rPr>
                <w:color w:val="231F20"/>
                <w:spacing w:val="-5"/>
                <w:w w:val="95"/>
                <w:sz w:val="13"/>
              </w:rPr>
              <w:t>2.1</w:t>
            </w:r>
          </w:p>
        </w:tc>
        <w:tc>
          <w:tcPr>
            <w:tcW w:w="550" w:type="dxa"/>
            <w:shd w:val="clear" w:color="auto" w:fill="D4E3F5"/>
          </w:tcPr>
          <w:p>
            <w:pPr>
              <w:pStyle w:val="TableParagraph"/>
              <w:spacing w:line="148" w:lineRule="exact" w:before="17"/>
              <w:ind w:left="19" w:right="45"/>
              <w:rPr>
                <w:sz w:val="13"/>
              </w:rPr>
            </w:pPr>
            <w:r>
              <w:rPr>
                <w:color w:val="231F20"/>
                <w:spacing w:val="-5"/>
                <w:w w:val="95"/>
                <w:sz w:val="13"/>
              </w:rPr>
              <w:t>2.4</w:t>
            </w:r>
          </w:p>
        </w:tc>
        <w:tc>
          <w:tcPr>
            <w:tcW w:w="616" w:type="dxa"/>
            <w:shd w:val="clear" w:color="auto" w:fill="D4E3F5"/>
          </w:tcPr>
          <w:p>
            <w:pPr>
              <w:pStyle w:val="TableParagraph"/>
              <w:spacing w:line="148" w:lineRule="exact" w:before="17"/>
              <w:ind w:left="20" w:right="37"/>
              <w:rPr>
                <w:sz w:val="13"/>
              </w:rPr>
            </w:pPr>
            <w:r>
              <w:rPr>
                <w:color w:val="231F20"/>
                <w:spacing w:val="-5"/>
                <w:w w:val="95"/>
                <w:sz w:val="13"/>
              </w:rPr>
              <w:t>2.8</w:t>
            </w:r>
          </w:p>
        </w:tc>
        <w:tc>
          <w:tcPr>
            <w:tcW w:w="707" w:type="dxa"/>
            <w:shd w:val="clear" w:color="auto" w:fill="D4E3F5"/>
          </w:tcPr>
          <w:p>
            <w:pPr>
              <w:pStyle w:val="TableParagraph"/>
              <w:spacing w:line="148" w:lineRule="exact" w:before="17"/>
              <w:ind w:left="15" w:right="55"/>
              <w:rPr>
                <w:sz w:val="13"/>
              </w:rPr>
            </w:pPr>
            <w:r>
              <w:rPr>
                <w:color w:val="231F20"/>
                <w:spacing w:val="-5"/>
                <w:w w:val="95"/>
                <w:sz w:val="13"/>
              </w:rPr>
              <w:t>2.4</w:t>
            </w:r>
          </w:p>
        </w:tc>
        <w:tc>
          <w:tcPr>
            <w:tcW w:w="369" w:type="dxa"/>
            <w:shd w:val="clear" w:color="auto" w:fill="D4E3F5"/>
          </w:tcPr>
          <w:p>
            <w:pPr>
              <w:pStyle w:val="TableParagraph"/>
              <w:spacing w:line="148" w:lineRule="exact" w:before="17"/>
              <w:ind w:left="18" w:right="61"/>
              <w:rPr>
                <w:sz w:val="13"/>
              </w:rPr>
            </w:pPr>
            <w:r>
              <w:rPr>
                <w:color w:val="231F20"/>
                <w:spacing w:val="-5"/>
                <w:w w:val="95"/>
                <w:sz w:val="13"/>
              </w:rPr>
              <w:t>2.3</w:t>
            </w:r>
          </w:p>
        </w:tc>
        <w:tc>
          <w:tcPr>
            <w:tcW w:w="507" w:type="dxa"/>
            <w:shd w:val="clear" w:color="auto" w:fill="D4E3F5"/>
          </w:tcPr>
          <w:p>
            <w:pPr>
              <w:pStyle w:val="TableParagraph"/>
              <w:spacing w:line="148" w:lineRule="exact" w:before="17"/>
              <w:ind w:right="45"/>
              <w:rPr>
                <w:sz w:val="13"/>
              </w:rPr>
            </w:pPr>
            <w:r>
              <w:rPr>
                <w:color w:val="231F20"/>
                <w:spacing w:val="-5"/>
                <w:w w:val="95"/>
                <w:sz w:val="13"/>
              </w:rPr>
              <w:t>2.4</w:t>
            </w:r>
          </w:p>
        </w:tc>
      </w:tr>
      <w:tr>
        <w:trPr>
          <w:trHeight w:val="184" w:hRule="atLeast"/>
        </w:trPr>
        <w:tc>
          <w:tcPr>
            <w:tcW w:w="1377" w:type="dxa"/>
          </w:tcPr>
          <w:p>
            <w:pPr>
              <w:pStyle w:val="TableParagraph"/>
              <w:spacing w:line="148" w:lineRule="exact" w:before="17"/>
              <w:ind w:left="80"/>
              <w:jc w:val="left"/>
              <w:rPr>
                <w:sz w:val="13"/>
              </w:rPr>
            </w:pPr>
            <w:r>
              <w:rPr>
                <w:color w:val="231F20"/>
                <w:spacing w:val="-2"/>
                <w:w w:val="90"/>
                <w:sz w:val="13"/>
              </w:rPr>
              <w:t>Bulgaria</w:t>
            </w:r>
          </w:p>
        </w:tc>
        <w:tc>
          <w:tcPr>
            <w:tcW w:w="487" w:type="dxa"/>
          </w:tcPr>
          <w:p>
            <w:pPr>
              <w:pStyle w:val="TableParagraph"/>
              <w:spacing w:line="148" w:lineRule="exact" w:before="17"/>
              <w:ind w:right="96"/>
              <w:jc w:val="right"/>
              <w:rPr>
                <w:sz w:val="13"/>
              </w:rPr>
            </w:pPr>
            <w:r>
              <w:rPr>
                <w:color w:val="231F20"/>
                <w:spacing w:val="-5"/>
                <w:w w:val="95"/>
                <w:sz w:val="13"/>
              </w:rPr>
              <w:t>3.2</w:t>
            </w:r>
          </w:p>
        </w:tc>
        <w:tc>
          <w:tcPr>
            <w:tcW w:w="531" w:type="dxa"/>
          </w:tcPr>
          <w:p>
            <w:pPr>
              <w:pStyle w:val="TableParagraph"/>
              <w:spacing w:line="148" w:lineRule="exact" w:before="17"/>
              <w:ind w:right="27"/>
              <w:rPr>
                <w:sz w:val="13"/>
              </w:rPr>
            </w:pPr>
            <w:r>
              <w:rPr>
                <w:color w:val="231F20"/>
                <w:spacing w:val="-5"/>
                <w:w w:val="95"/>
                <w:sz w:val="13"/>
              </w:rPr>
              <w:t>3.1</w:t>
            </w:r>
          </w:p>
        </w:tc>
        <w:tc>
          <w:tcPr>
            <w:tcW w:w="549" w:type="dxa"/>
          </w:tcPr>
          <w:p>
            <w:pPr>
              <w:pStyle w:val="TableParagraph"/>
              <w:spacing w:line="148" w:lineRule="exact" w:before="17"/>
              <w:ind w:left="2" w:right="16"/>
              <w:rPr>
                <w:sz w:val="13"/>
              </w:rPr>
            </w:pPr>
            <w:r>
              <w:rPr>
                <w:color w:val="231F20"/>
                <w:spacing w:val="-5"/>
                <w:w w:val="95"/>
                <w:sz w:val="13"/>
              </w:rPr>
              <w:t>3.1</w:t>
            </w:r>
          </w:p>
        </w:tc>
        <w:tc>
          <w:tcPr>
            <w:tcW w:w="615" w:type="dxa"/>
          </w:tcPr>
          <w:p>
            <w:pPr>
              <w:pStyle w:val="TableParagraph"/>
              <w:spacing w:line="148" w:lineRule="exact" w:before="17"/>
              <w:ind w:left="18" w:right="8"/>
              <w:rPr>
                <w:sz w:val="13"/>
              </w:rPr>
            </w:pPr>
            <w:r>
              <w:rPr>
                <w:color w:val="231F20"/>
                <w:spacing w:val="-5"/>
                <w:w w:val="95"/>
                <w:sz w:val="13"/>
              </w:rPr>
              <w:t>3.0</w:t>
            </w:r>
          </w:p>
        </w:tc>
        <w:tc>
          <w:tcPr>
            <w:tcW w:w="706" w:type="dxa"/>
          </w:tcPr>
          <w:p>
            <w:pPr>
              <w:pStyle w:val="TableParagraph"/>
              <w:spacing w:line="148" w:lineRule="exact" w:before="17"/>
              <w:ind w:left="19" w:right="24"/>
              <w:rPr>
                <w:sz w:val="13"/>
              </w:rPr>
            </w:pPr>
            <w:r>
              <w:rPr>
                <w:color w:val="231F20"/>
                <w:spacing w:val="-5"/>
                <w:w w:val="95"/>
                <w:sz w:val="13"/>
              </w:rPr>
              <w:t>3.3</w:t>
            </w:r>
          </w:p>
        </w:tc>
        <w:tc>
          <w:tcPr>
            <w:tcW w:w="368" w:type="dxa"/>
          </w:tcPr>
          <w:p>
            <w:pPr>
              <w:pStyle w:val="TableParagraph"/>
              <w:spacing w:line="148" w:lineRule="exact" w:before="17"/>
              <w:ind w:left="18" w:right="28"/>
              <w:rPr>
                <w:sz w:val="13"/>
              </w:rPr>
            </w:pPr>
            <w:r>
              <w:rPr>
                <w:color w:val="231F20"/>
                <w:spacing w:val="-5"/>
                <w:w w:val="95"/>
                <w:sz w:val="13"/>
              </w:rPr>
              <w:t>3.5</w:t>
            </w:r>
          </w:p>
        </w:tc>
        <w:tc>
          <w:tcPr>
            <w:tcW w:w="536" w:type="dxa"/>
            <w:tcBorders>
              <w:right w:val="single" w:sz="24" w:space="0" w:color="FFFFFF"/>
            </w:tcBorders>
          </w:tcPr>
          <w:p>
            <w:pPr>
              <w:pStyle w:val="TableParagraph"/>
              <w:spacing w:line="148" w:lineRule="exact" w:before="17"/>
              <w:ind w:left="21" w:right="27"/>
              <w:rPr>
                <w:sz w:val="13"/>
              </w:rPr>
            </w:pPr>
            <w:r>
              <w:rPr>
                <w:color w:val="231F20"/>
                <w:spacing w:val="-5"/>
                <w:w w:val="95"/>
                <w:sz w:val="13"/>
              </w:rPr>
              <w:t>3.3</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4"/>
                <w:w w:val="85"/>
                <w:sz w:val="13"/>
              </w:rPr>
              <w:t>Sudan</w:t>
            </w:r>
          </w:p>
        </w:tc>
        <w:tc>
          <w:tcPr>
            <w:tcW w:w="482" w:type="dxa"/>
          </w:tcPr>
          <w:p>
            <w:pPr>
              <w:pStyle w:val="TableParagraph"/>
              <w:spacing w:line="148" w:lineRule="exact" w:before="17"/>
              <w:ind w:right="111"/>
              <w:jc w:val="right"/>
              <w:rPr>
                <w:sz w:val="13"/>
              </w:rPr>
            </w:pPr>
            <w:r>
              <w:rPr>
                <w:color w:val="231F20"/>
                <w:spacing w:val="-5"/>
                <w:w w:val="95"/>
                <w:sz w:val="13"/>
              </w:rPr>
              <w:t>2.4</w:t>
            </w:r>
          </w:p>
        </w:tc>
        <w:tc>
          <w:tcPr>
            <w:tcW w:w="532" w:type="dxa"/>
          </w:tcPr>
          <w:p>
            <w:pPr>
              <w:pStyle w:val="TableParagraph"/>
              <w:spacing w:line="148" w:lineRule="exact" w:before="17"/>
              <w:ind w:left="3" w:right="55"/>
              <w:rPr>
                <w:sz w:val="13"/>
              </w:rPr>
            </w:pPr>
            <w:r>
              <w:rPr>
                <w:color w:val="231F20"/>
                <w:spacing w:val="-5"/>
                <w:w w:val="95"/>
                <w:sz w:val="13"/>
              </w:rPr>
              <w:t>2.1</w:t>
            </w:r>
          </w:p>
        </w:tc>
        <w:tc>
          <w:tcPr>
            <w:tcW w:w="550" w:type="dxa"/>
          </w:tcPr>
          <w:p>
            <w:pPr>
              <w:pStyle w:val="TableParagraph"/>
              <w:spacing w:line="148" w:lineRule="exact" w:before="17"/>
              <w:ind w:left="20" w:right="45"/>
              <w:rPr>
                <w:sz w:val="13"/>
              </w:rPr>
            </w:pPr>
            <w:r>
              <w:rPr>
                <w:color w:val="231F20"/>
                <w:spacing w:val="-5"/>
                <w:w w:val="95"/>
                <w:sz w:val="13"/>
              </w:rPr>
              <w:t>2.3</w:t>
            </w:r>
          </w:p>
        </w:tc>
        <w:tc>
          <w:tcPr>
            <w:tcW w:w="616" w:type="dxa"/>
          </w:tcPr>
          <w:p>
            <w:pPr>
              <w:pStyle w:val="TableParagraph"/>
              <w:spacing w:line="148" w:lineRule="exact" w:before="17"/>
              <w:ind w:left="19" w:right="37"/>
              <w:rPr>
                <w:sz w:val="13"/>
              </w:rPr>
            </w:pPr>
            <w:r>
              <w:rPr>
                <w:color w:val="231F20"/>
                <w:spacing w:val="-5"/>
                <w:w w:val="95"/>
                <w:sz w:val="13"/>
              </w:rPr>
              <w:t>2.4</w:t>
            </w:r>
          </w:p>
        </w:tc>
        <w:tc>
          <w:tcPr>
            <w:tcW w:w="707" w:type="dxa"/>
          </w:tcPr>
          <w:p>
            <w:pPr>
              <w:pStyle w:val="TableParagraph"/>
              <w:spacing w:line="148" w:lineRule="exact" w:before="17"/>
              <w:ind w:left="15" w:right="55"/>
              <w:rPr>
                <w:sz w:val="13"/>
              </w:rPr>
            </w:pPr>
            <w:r>
              <w:rPr>
                <w:color w:val="231F20"/>
                <w:spacing w:val="-5"/>
                <w:w w:val="95"/>
                <w:sz w:val="13"/>
              </w:rPr>
              <w:t>2.4</w:t>
            </w:r>
          </w:p>
        </w:tc>
        <w:tc>
          <w:tcPr>
            <w:tcW w:w="369" w:type="dxa"/>
          </w:tcPr>
          <w:p>
            <w:pPr>
              <w:pStyle w:val="TableParagraph"/>
              <w:spacing w:line="148" w:lineRule="exact" w:before="17"/>
              <w:ind w:left="13" w:right="61"/>
              <w:rPr>
                <w:sz w:val="13"/>
              </w:rPr>
            </w:pPr>
            <w:r>
              <w:rPr>
                <w:color w:val="231F20"/>
                <w:spacing w:val="-5"/>
                <w:w w:val="95"/>
                <w:sz w:val="13"/>
              </w:rPr>
              <w:t>2.7</w:t>
            </w:r>
          </w:p>
        </w:tc>
        <w:tc>
          <w:tcPr>
            <w:tcW w:w="507" w:type="dxa"/>
          </w:tcPr>
          <w:p>
            <w:pPr>
              <w:pStyle w:val="TableParagraph"/>
              <w:spacing w:line="148" w:lineRule="exact" w:before="17"/>
              <w:ind w:right="44"/>
              <w:rPr>
                <w:sz w:val="13"/>
              </w:rPr>
            </w:pPr>
            <w:r>
              <w:rPr>
                <w:color w:val="231F20"/>
                <w:spacing w:val="-5"/>
                <w:w w:val="95"/>
                <w:sz w:val="13"/>
              </w:rPr>
              <w:t>2.3</w:t>
            </w:r>
          </w:p>
        </w:tc>
      </w:tr>
      <w:tr>
        <w:trPr>
          <w:trHeight w:val="184" w:hRule="atLeast"/>
        </w:trPr>
        <w:tc>
          <w:tcPr>
            <w:tcW w:w="1377" w:type="dxa"/>
            <w:shd w:val="clear" w:color="auto" w:fill="D4E3F5"/>
          </w:tcPr>
          <w:p>
            <w:pPr>
              <w:pStyle w:val="TableParagraph"/>
              <w:spacing w:line="148" w:lineRule="exact" w:before="17"/>
              <w:ind w:left="80"/>
              <w:jc w:val="left"/>
              <w:rPr>
                <w:sz w:val="13"/>
              </w:rPr>
            </w:pPr>
            <w:r>
              <w:rPr>
                <w:color w:val="231F20"/>
                <w:spacing w:val="-2"/>
                <w:w w:val="85"/>
                <w:sz w:val="13"/>
              </w:rPr>
              <w:t>Cyprus</w:t>
            </w:r>
          </w:p>
        </w:tc>
        <w:tc>
          <w:tcPr>
            <w:tcW w:w="487" w:type="dxa"/>
            <w:shd w:val="clear" w:color="auto" w:fill="D4E3F5"/>
          </w:tcPr>
          <w:p>
            <w:pPr>
              <w:pStyle w:val="TableParagraph"/>
              <w:spacing w:line="148" w:lineRule="exact" w:before="17"/>
              <w:ind w:right="96"/>
              <w:jc w:val="right"/>
              <w:rPr>
                <w:sz w:val="13"/>
              </w:rPr>
            </w:pPr>
            <w:r>
              <w:rPr>
                <w:color w:val="231F20"/>
                <w:spacing w:val="-5"/>
                <w:w w:val="95"/>
                <w:sz w:val="13"/>
              </w:rPr>
              <w:t>3.2</w:t>
            </w:r>
          </w:p>
        </w:tc>
        <w:tc>
          <w:tcPr>
            <w:tcW w:w="531" w:type="dxa"/>
            <w:shd w:val="clear" w:color="auto" w:fill="D4E3F5"/>
          </w:tcPr>
          <w:p>
            <w:pPr>
              <w:pStyle w:val="TableParagraph"/>
              <w:spacing w:line="148" w:lineRule="exact" w:before="17"/>
              <w:ind w:left="17" w:right="27"/>
              <w:rPr>
                <w:sz w:val="13"/>
              </w:rPr>
            </w:pPr>
            <w:r>
              <w:rPr>
                <w:color w:val="231F20"/>
                <w:spacing w:val="-5"/>
                <w:w w:val="95"/>
                <w:sz w:val="13"/>
              </w:rPr>
              <w:t>2.9</w:t>
            </w:r>
          </w:p>
        </w:tc>
        <w:tc>
          <w:tcPr>
            <w:tcW w:w="549" w:type="dxa"/>
            <w:shd w:val="clear" w:color="auto" w:fill="D4E3F5"/>
          </w:tcPr>
          <w:p>
            <w:pPr>
              <w:pStyle w:val="TableParagraph"/>
              <w:spacing w:line="148" w:lineRule="exact" w:before="17"/>
              <w:ind w:left="16" w:right="16"/>
              <w:rPr>
                <w:sz w:val="13"/>
              </w:rPr>
            </w:pPr>
            <w:r>
              <w:rPr>
                <w:color w:val="231F20"/>
                <w:spacing w:val="-5"/>
                <w:w w:val="95"/>
                <w:sz w:val="13"/>
              </w:rPr>
              <w:t>2.8</w:t>
            </w:r>
          </w:p>
        </w:tc>
        <w:tc>
          <w:tcPr>
            <w:tcW w:w="615" w:type="dxa"/>
            <w:shd w:val="clear" w:color="auto" w:fill="D4E3F5"/>
          </w:tcPr>
          <w:p>
            <w:pPr>
              <w:pStyle w:val="TableParagraph"/>
              <w:spacing w:line="148" w:lineRule="exact" w:before="17"/>
              <w:ind w:left="12" w:right="16"/>
              <w:rPr>
                <w:sz w:val="13"/>
              </w:rPr>
            </w:pPr>
            <w:r>
              <w:rPr>
                <w:color w:val="231F20"/>
                <w:spacing w:val="-5"/>
                <w:w w:val="95"/>
                <w:sz w:val="13"/>
              </w:rPr>
              <w:t>3.1</w:t>
            </w:r>
          </w:p>
        </w:tc>
        <w:tc>
          <w:tcPr>
            <w:tcW w:w="706" w:type="dxa"/>
            <w:shd w:val="clear" w:color="auto" w:fill="D4E3F5"/>
          </w:tcPr>
          <w:p>
            <w:pPr>
              <w:pStyle w:val="TableParagraph"/>
              <w:spacing w:line="148" w:lineRule="exact" w:before="17"/>
              <w:ind w:left="18" w:right="24"/>
              <w:rPr>
                <w:sz w:val="13"/>
              </w:rPr>
            </w:pPr>
            <w:r>
              <w:rPr>
                <w:color w:val="231F20"/>
                <w:spacing w:val="-5"/>
                <w:w w:val="95"/>
                <w:sz w:val="13"/>
              </w:rPr>
              <w:t>3.2</w:t>
            </w:r>
          </w:p>
        </w:tc>
        <w:tc>
          <w:tcPr>
            <w:tcW w:w="368" w:type="dxa"/>
            <w:shd w:val="clear" w:color="auto" w:fill="D4E3F5"/>
          </w:tcPr>
          <w:p>
            <w:pPr>
              <w:pStyle w:val="TableParagraph"/>
              <w:spacing w:line="148" w:lineRule="exact" w:before="17"/>
              <w:ind w:left="18" w:right="28"/>
              <w:rPr>
                <w:sz w:val="13"/>
              </w:rPr>
            </w:pPr>
            <w:r>
              <w:rPr>
                <w:color w:val="231F20"/>
                <w:spacing w:val="-5"/>
                <w:w w:val="95"/>
                <w:sz w:val="13"/>
              </w:rPr>
              <w:t>3.5</w:t>
            </w:r>
          </w:p>
        </w:tc>
        <w:tc>
          <w:tcPr>
            <w:tcW w:w="536" w:type="dxa"/>
            <w:tcBorders>
              <w:right w:val="single" w:sz="24" w:space="0" w:color="FFFFFF"/>
            </w:tcBorders>
            <w:shd w:val="clear" w:color="auto" w:fill="D4E3F5"/>
          </w:tcPr>
          <w:p>
            <w:pPr>
              <w:pStyle w:val="TableParagraph"/>
              <w:spacing w:line="148" w:lineRule="exact" w:before="17"/>
              <w:ind w:left="17" w:right="27"/>
              <w:rPr>
                <w:sz w:val="13"/>
              </w:rPr>
            </w:pPr>
            <w:r>
              <w:rPr>
                <w:color w:val="231F20"/>
                <w:spacing w:val="-5"/>
                <w:w w:val="95"/>
                <w:sz w:val="13"/>
              </w:rPr>
              <w:t>3.4</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w w:val="75"/>
                <w:sz w:val="13"/>
              </w:rPr>
              <w:t>Burkina</w:t>
            </w:r>
            <w:r>
              <w:rPr>
                <w:color w:val="231F20"/>
                <w:spacing w:val="23"/>
                <w:sz w:val="13"/>
              </w:rPr>
              <w:t> </w:t>
            </w:r>
            <w:r>
              <w:rPr>
                <w:color w:val="231F20"/>
                <w:spacing w:val="-4"/>
                <w:w w:val="85"/>
                <w:sz w:val="13"/>
              </w:rPr>
              <w:t>Faso</w:t>
            </w:r>
          </w:p>
        </w:tc>
        <w:tc>
          <w:tcPr>
            <w:tcW w:w="482" w:type="dxa"/>
            <w:shd w:val="clear" w:color="auto" w:fill="D4E3F5"/>
          </w:tcPr>
          <w:p>
            <w:pPr>
              <w:pStyle w:val="TableParagraph"/>
              <w:spacing w:line="148" w:lineRule="exact" w:before="17"/>
              <w:ind w:right="110"/>
              <w:jc w:val="right"/>
              <w:rPr>
                <w:sz w:val="13"/>
              </w:rPr>
            </w:pPr>
            <w:r>
              <w:rPr>
                <w:color w:val="231F20"/>
                <w:spacing w:val="-5"/>
                <w:w w:val="95"/>
                <w:sz w:val="13"/>
              </w:rPr>
              <w:t>2.3</w:t>
            </w:r>
          </w:p>
        </w:tc>
        <w:tc>
          <w:tcPr>
            <w:tcW w:w="532" w:type="dxa"/>
            <w:shd w:val="clear" w:color="auto" w:fill="D4E3F5"/>
          </w:tcPr>
          <w:p>
            <w:pPr>
              <w:pStyle w:val="TableParagraph"/>
              <w:spacing w:line="148" w:lineRule="exact" w:before="17"/>
              <w:ind w:left="19" w:right="55"/>
              <w:rPr>
                <w:sz w:val="13"/>
              </w:rPr>
            </w:pPr>
            <w:r>
              <w:rPr>
                <w:color w:val="231F20"/>
                <w:spacing w:val="-5"/>
                <w:w w:val="95"/>
                <w:sz w:val="13"/>
              </w:rPr>
              <w:t>2.0</w:t>
            </w:r>
          </w:p>
        </w:tc>
        <w:tc>
          <w:tcPr>
            <w:tcW w:w="550" w:type="dxa"/>
            <w:shd w:val="clear" w:color="auto" w:fill="D4E3F5"/>
          </w:tcPr>
          <w:p>
            <w:pPr>
              <w:pStyle w:val="TableParagraph"/>
              <w:spacing w:line="148" w:lineRule="exact" w:before="17"/>
              <w:ind w:left="20" w:right="45"/>
              <w:rPr>
                <w:sz w:val="13"/>
              </w:rPr>
            </w:pPr>
            <w:r>
              <w:rPr>
                <w:color w:val="231F20"/>
                <w:spacing w:val="-5"/>
                <w:w w:val="95"/>
                <w:sz w:val="13"/>
              </w:rPr>
              <w:t>2.3</w:t>
            </w:r>
          </w:p>
        </w:tc>
        <w:tc>
          <w:tcPr>
            <w:tcW w:w="616" w:type="dxa"/>
            <w:shd w:val="clear" w:color="auto" w:fill="D4E3F5"/>
          </w:tcPr>
          <w:p>
            <w:pPr>
              <w:pStyle w:val="TableParagraph"/>
              <w:spacing w:line="148" w:lineRule="exact" w:before="17"/>
              <w:ind w:left="19" w:right="37"/>
              <w:rPr>
                <w:sz w:val="13"/>
              </w:rPr>
            </w:pPr>
            <w:r>
              <w:rPr>
                <w:color w:val="231F20"/>
                <w:spacing w:val="-5"/>
                <w:w w:val="95"/>
                <w:sz w:val="13"/>
              </w:rPr>
              <w:t>2.4</w:t>
            </w:r>
          </w:p>
        </w:tc>
        <w:tc>
          <w:tcPr>
            <w:tcW w:w="707" w:type="dxa"/>
            <w:shd w:val="clear" w:color="auto" w:fill="D4E3F5"/>
          </w:tcPr>
          <w:p>
            <w:pPr>
              <w:pStyle w:val="TableParagraph"/>
              <w:spacing w:line="148" w:lineRule="exact" w:before="17"/>
              <w:ind w:left="14" w:right="55"/>
              <w:rPr>
                <w:sz w:val="13"/>
              </w:rPr>
            </w:pPr>
            <w:r>
              <w:rPr>
                <w:color w:val="231F20"/>
                <w:spacing w:val="-5"/>
                <w:w w:val="95"/>
                <w:sz w:val="13"/>
              </w:rPr>
              <w:t>2.4</w:t>
            </w:r>
          </w:p>
        </w:tc>
        <w:tc>
          <w:tcPr>
            <w:tcW w:w="369" w:type="dxa"/>
            <w:shd w:val="clear" w:color="auto" w:fill="D4E3F5"/>
          </w:tcPr>
          <w:p>
            <w:pPr>
              <w:pStyle w:val="TableParagraph"/>
              <w:spacing w:line="148" w:lineRule="exact" w:before="17"/>
              <w:ind w:left="16" w:right="61"/>
              <w:rPr>
                <w:sz w:val="13"/>
              </w:rPr>
            </w:pPr>
            <w:r>
              <w:rPr>
                <w:color w:val="231F20"/>
                <w:spacing w:val="-5"/>
                <w:w w:val="95"/>
                <w:sz w:val="13"/>
              </w:rPr>
              <w:t>2.4</w:t>
            </w:r>
          </w:p>
        </w:tc>
        <w:tc>
          <w:tcPr>
            <w:tcW w:w="507" w:type="dxa"/>
            <w:shd w:val="clear" w:color="auto" w:fill="D4E3F5"/>
          </w:tcPr>
          <w:p>
            <w:pPr>
              <w:pStyle w:val="TableParagraph"/>
              <w:spacing w:line="148" w:lineRule="exact" w:before="17"/>
              <w:ind w:right="43"/>
              <w:rPr>
                <w:sz w:val="13"/>
              </w:rPr>
            </w:pPr>
            <w:r>
              <w:rPr>
                <w:color w:val="231F20"/>
                <w:spacing w:val="-5"/>
                <w:w w:val="95"/>
                <w:sz w:val="13"/>
              </w:rPr>
              <w:t>2.2</w:t>
            </w:r>
          </w:p>
        </w:tc>
      </w:tr>
      <w:tr>
        <w:trPr>
          <w:trHeight w:val="184" w:hRule="atLeast"/>
        </w:trPr>
        <w:tc>
          <w:tcPr>
            <w:tcW w:w="1377" w:type="dxa"/>
          </w:tcPr>
          <w:p>
            <w:pPr>
              <w:pStyle w:val="TableParagraph"/>
              <w:spacing w:line="148" w:lineRule="exact" w:before="17"/>
              <w:ind w:left="80"/>
              <w:jc w:val="left"/>
              <w:rPr>
                <w:sz w:val="13"/>
              </w:rPr>
            </w:pPr>
            <w:r>
              <w:rPr>
                <w:color w:val="231F20"/>
                <w:spacing w:val="-2"/>
                <w:w w:val="85"/>
                <w:sz w:val="13"/>
              </w:rPr>
              <w:t>Hungary</w:t>
            </w:r>
          </w:p>
        </w:tc>
        <w:tc>
          <w:tcPr>
            <w:tcW w:w="487" w:type="dxa"/>
          </w:tcPr>
          <w:p>
            <w:pPr>
              <w:pStyle w:val="TableParagraph"/>
              <w:spacing w:line="148" w:lineRule="exact" w:before="17"/>
              <w:ind w:right="96"/>
              <w:jc w:val="right"/>
              <w:rPr>
                <w:sz w:val="13"/>
              </w:rPr>
            </w:pPr>
            <w:r>
              <w:rPr>
                <w:color w:val="231F20"/>
                <w:spacing w:val="-5"/>
                <w:w w:val="95"/>
                <w:sz w:val="13"/>
              </w:rPr>
              <w:t>3.2</w:t>
            </w:r>
          </w:p>
        </w:tc>
        <w:tc>
          <w:tcPr>
            <w:tcW w:w="531" w:type="dxa"/>
          </w:tcPr>
          <w:p>
            <w:pPr>
              <w:pStyle w:val="TableParagraph"/>
              <w:spacing w:line="148" w:lineRule="exact" w:before="17"/>
              <w:ind w:left="13" w:right="27"/>
              <w:rPr>
                <w:sz w:val="13"/>
              </w:rPr>
            </w:pPr>
            <w:r>
              <w:rPr>
                <w:color w:val="231F20"/>
                <w:spacing w:val="-5"/>
                <w:w w:val="95"/>
                <w:sz w:val="13"/>
              </w:rPr>
              <w:t>2.7</w:t>
            </w:r>
          </w:p>
        </w:tc>
        <w:tc>
          <w:tcPr>
            <w:tcW w:w="549" w:type="dxa"/>
          </w:tcPr>
          <w:p>
            <w:pPr>
              <w:pStyle w:val="TableParagraph"/>
              <w:spacing w:line="148" w:lineRule="exact" w:before="17"/>
              <w:ind w:left="2" w:right="16"/>
              <w:rPr>
                <w:sz w:val="13"/>
              </w:rPr>
            </w:pPr>
            <w:r>
              <w:rPr>
                <w:color w:val="231F20"/>
                <w:spacing w:val="-5"/>
                <w:w w:val="95"/>
                <w:sz w:val="13"/>
              </w:rPr>
              <w:t>3.1</w:t>
            </w:r>
          </w:p>
        </w:tc>
        <w:tc>
          <w:tcPr>
            <w:tcW w:w="615" w:type="dxa"/>
          </w:tcPr>
          <w:p>
            <w:pPr>
              <w:pStyle w:val="TableParagraph"/>
              <w:spacing w:line="148" w:lineRule="exact" w:before="17"/>
              <w:ind w:left="16" w:right="8"/>
              <w:rPr>
                <w:sz w:val="13"/>
              </w:rPr>
            </w:pPr>
            <w:r>
              <w:rPr>
                <w:color w:val="231F20"/>
                <w:spacing w:val="-5"/>
                <w:w w:val="95"/>
                <w:sz w:val="13"/>
              </w:rPr>
              <w:t>3.4</w:t>
            </w:r>
          </w:p>
        </w:tc>
        <w:tc>
          <w:tcPr>
            <w:tcW w:w="706" w:type="dxa"/>
          </w:tcPr>
          <w:p>
            <w:pPr>
              <w:pStyle w:val="TableParagraph"/>
              <w:spacing w:line="148" w:lineRule="exact" w:before="17"/>
              <w:ind w:right="24"/>
              <w:rPr>
                <w:sz w:val="13"/>
              </w:rPr>
            </w:pPr>
            <w:r>
              <w:rPr>
                <w:color w:val="231F20"/>
                <w:spacing w:val="-5"/>
                <w:w w:val="95"/>
                <w:sz w:val="13"/>
              </w:rPr>
              <w:t>3.1</w:t>
            </w:r>
          </w:p>
        </w:tc>
        <w:tc>
          <w:tcPr>
            <w:tcW w:w="368" w:type="dxa"/>
          </w:tcPr>
          <w:p>
            <w:pPr>
              <w:pStyle w:val="TableParagraph"/>
              <w:spacing w:line="148" w:lineRule="exact" w:before="17"/>
              <w:ind w:left="17" w:right="28"/>
              <w:rPr>
                <w:sz w:val="13"/>
              </w:rPr>
            </w:pPr>
            <w:r>
              <w:rPr>
                <w:color w:val="231F20"/>
                <w:spacing w:val="-5"/>
                <w:w w:val="95"/>
                <w:sz w:val="13"/>
              </w:rPr>
              <w:t>3.6</w:t>
            </w:r>
          </w:p>
        </w:tc>
        <w:tc>
          <w:tcPr>
            <w:tcW w:w="536" w:type="dxa"/>
            <w:tcBorders>
              <w:right w:val="single" w:sz="24" w:space="0" w:color="FFFFFF"/>
            </w:tcBorders>
          </w:tcPr>
          <w:p>
            <w:pPr>
              <w:pStyle w:val="TableParagraph"/>
              <w:spacing w:line="148" w:lineRule="exact" w:before="17"/>
              <w:ind w:left="17" w:right="27"/>
              <w:rPr>
                <w:sz w:val="13"/>
              </w:rPr>
            </w:pPr>
            <w:r>
              <w:rPr>
                <w:color w:val="231F20"/>
                <w:spacing w:val="-5"/>
                <w:w w:val="95"/>
                <w:sz w:val="13"/>
              </w:rPr>
              <w:t>3.4</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4"/>
                <w:w w:val="90"/>
                <w:sz w:val="13"/>
              </w:rPr>
              <w:t>Fiji</w:t>
            </w:r>
          </w:p>
        </w:tc>
        <w:tc>
          <w:tcPr>
            <w:tcW w:w="482" w:type="dxa"/>
          </w:tcPr>
          <w:p>
            <w:pPr>
              <w:pStyle w:val="TableParagraph"/>
              <w:spacing w:line="148" w:lineRule="exact" w:before="17"/>
              <w:ind w:right="110"/>
              <w:jc w:val="right"/>
              <w:rPr>
                <w:sz w:val="13"/>
              </w:rPr>
            </w:pPr>
            <w:r>
              <w:rPr>
                <w:color w:val="231F20"/>
                <w:spacing w:val="-5"/>
                <w:w w:val="95"/>
                <w:sz w:val="13"/>
              </w:rPr>
              <w:t>2.3</w:t>
            </w:r>
          </w:p>
        </w:tc>
        <w:tc>
          <w:tcPr>
            <w:tcW w:w="532" w:type="dxa"/>
          </w:tcPr>
          <w:p>
            <w:pPr>
              <w:pStyle w:val="TableParagraph"/>
              <w:spacing w:line="148" w:lineRule="exact" w:before="17"/>
              <w:ind w:left="19" w:right="55"/>
              <w:rPr>
                <w:sz w:val="13"/>
              </w:rPr>
            </w:pPr>
            <w:r>
              <w:rPr>
                <w:color w:val="231F20"/>
                <w:spacing w:val="-5"/>
                <w:w w:val="95"/>
                <w:sz w:val="13"/>
              </w:rPr>
              <w:t>2.3</w:t>
            </w:r>
          </w:p>
        </w:tc>
        <w:tc>
          <w:tcPr>
            <w:tcW w:w="550" w:type="dxa"/>
          </w:tcPr>
          <w:p>
            <w:pPr>
              <w:pStyle w:val="TableParagraph"/>
              <w:spacing w:line="148" w:lineRule="exact" w:before="17"/>
              <w:ind w:left="20" w:right="45"/>
              <w:rPr>
                <w:sz w:val="13"/>
              </w:rPr>
            </w:pPr>
            <w:r>
              <w:rPr>
                <w:color w:val="231F20"/>
                <w:spacing w:val="-5"/>
                <w:w w:val="95"/>
                <w:sz w:val="13"/>
              </w:rPr>
              <w:t>2.2</w:t>
            </w:r>
          </w:p>
        </w:tc>
        <w:tc>
          <w:tcPr>
            <w:tcW w:w="616" w:type="dxa"/>
          </w:tcPr>
          <w:p>
            <w:pPr>
              <w:pStyle w:val="TableParagraph"/>
              <w:spacing w:line="148" w:lineRule="exact" w:before="17"/>
              <w:ind w:left="20" w:right="37"/>
              <w:rPr>
                <w:sz w:val="13"/>
              </w:rPr>
            </w:pPr>
            <w:r>
              <w:rPr>
                <w:color w:val="231F20"/>
                <w:spacing w:val="-5"/>
                <w:w w:val="95"/>
                <w:sz w:val="13"/>
              </w:rPr>
              <w:t>2.3</w:t>
            </w:r>
          </w:p>
        </w:tc>
        <w:tc>
          <w:tcPr>
            <w:tcW w:w="707" w:type="dxa"/>
          </w:tcPr>
          <w:p>
            <w:pPr>
              <w:pStyle w:val="TableParagraph"/>
              <w:spacing w:line="148" w:lineRule="exact" w:before="17"/>
              <w:ind w:left="16" w:right="55"/>
              <w:rPr>
                <w:sz w:val="13"/>
              </w:rPr>
            </w:pPr>
            <w:r>
              <w:rPr>
                <w:color w:val="231F20"/>
                <w:spacing w:val="-5"/>
                <w:w w:val="95"/>
                <w:sz w:val="13"/>
              </w:rPr>
              <w:t>2.3</w:t>
            </w:r>
          </w:p>
        </w:tc>
        <w:tc>
          <w:tcPr>
            <w:tcW w:w="369" w:type="dxa"/>
          </w:tcPr>
          <w:p>
            <w:pPr>
              <w:pStyle w:val="TableParagraph"/>
              <w:spacing w:line="148" w:lineRule="exact" w:before="17"/>
              <w:ind w:left="17" w:right="61"/>
              <w:rPr>
                <w:sz w:val="13"/>
              </w:rPr>
            </w:pPr>
            <w:r>
              <w:rPr>
                <w:color w:val="231F20"/>
                <w:spacing w:val="-5"/>
                <w:w w:val="95"/>
                <w:sz w:val="13"/>
              </w:rPr>
              <w:t>2.3</w:t>
            </w:r>
          </w:p>
        </w:tc>
        <w:tc>
          <w:tcPr>
            <w:tcW w:w="507" w:type="dxa"/>
          </w:tcPr>
          <w:p>
            <w:pPr>
              <w:pStyle w:val="TableParagraph"/>
              <w:spacing w:line="148" w:lineRule="exact" w:before="17"/>
              <w:ind w:right="43"/>
              <w:rPr>
                <w:sz w:val="13"/>
              </w:rPr>
            </w:pPr>
            <w:r>
              <w:rPr>
                <w:color w:val="231F20"/>
                <w:spacing w:val="-5"/>
                <w:w w:val="95"/>
                <w:sz w:val="13"/>
              </w:rPr>
              <w:t>2.2</w:t>
            </w:r>
          </w:p>
        </w:tc>
      </w:tr>
      <w:tr>
        <w:trPr>
          <w:trHeight w:val="184" w:hRule="atLeast"/>
        </w:trPr>
        <w:tc>
          <w:tcPr>
            <w:tcW w:w="1377" w:type="dxa"/>
            <w:shd w:val="clear" w:color="auto" w:fill="D4E3F5"/>
          </w:tcPr>
          <w:p>
            <w:pPr>
              <w:pStyle w:val="TableParagraph"/>
              <w:spacing w:line="148" w:lineRule="exact" w:before="17"/>
              <w:ind w:left="80"/>
              <w:jc w:val="left"/>
              <w:rPr>
                <w:sz w:val="13"/>
              </w:rPr>
            </w:pPr>
            <w:r>
              <w:rPr>
                <w:color w:val="231F20"/>
                <w:spacing w:val="-2"/>
                <w:w w:val="90"/>
                <w:sz w:val="13"/>
              </w:rPr>
              <w:t>Kuwait</w:t>
            </w:r>
          </w:p>
        </w:tc>
        <w:tc>
          <w:tcPr>
            <w:tcW w:w="487" w:type="dxa"/>
            <w:shd w:val="clear" w:color="auto" w:fill="D4E3F5"/>
          </w:tcPr>
          <w:p>
            <w:pPr>
              <w:pStyle w:val="TableParagraph"/>
              <w:spacing w:line="148" w:lineRule="exact" w:before="17"/>
              <w:ind w:right="96"/>
              <w:jc w:val="right"/>
              <w:rPr>
                <w:sz w:val="13"/>
              </w:rPr>
            </w:pPr>
            <w:r>
              <w:rPr>
                <w:color w:val="231F20"/>
                <w:spacing w:val="-5"/>
                <w:w w:val="95"/>
                <w:sz w:val="13"/>
              </w:rPr>
              <w:t>3.2</w:t>
            </w:r>
          </w:p>
        </w:tc>
        <w:tc>
          <w:tcPr>
            <w:tcW w:w="531" w:type="dxa"/>
            <w:shd w:val="clear" w:color="auto" w:fill="D4E3F5"/>
          </w:tcPr>
          <w:p>
            <w:pPr>
              <w:pStyle w:val="TableParagraph"/>
              <w:spacing w:line="148" w:lineRule="exact" w:before="17"/>
              <w:ind w:left="18" w:right="27"/>
              <w:rPr>
                <w:sz w:val="13"/>
              </w:rPr>
            </w:pPr>
            <w:r>
              <w:rPr>
                <w:color w:val="231F20"/>
                <w:spacing w:val="-5"/>
                <w:w w:val="95"/>
                <w:sz w:val="13"/>
              </w:rPr>
              <w:t>3.2</w:t>
            </w:r>
          </w:p>
        </w:tc>
        <w:tc>
          <w:tcPr>
            <w:tcW w:w="549" w:type="dxa"/>
            <w:shd w:val="clear" w:color="auto" w:fill="D4E3F5"/>
          </w:tcPr>
          <w:p>
            <w:pPr>
              <w:pStyle w:val="TableParagraph"/>
              <w:spacing w:line="148" w:lineRule="exact" w:before="17"/>
              <w:ind w:left="16" w:right="16"/>
              <w:rPr>
                <w:sz w:val="13"/>
              </w:rPr>
            </w:pPr>
            <w:r>
              <w:rPr>
                <w:color w:val="231F20"/>
                <w:spacing w:val="-5"/>
                <w:w w:val="95"/>
                <w:sz w:val="13"/>
              </w:rPr>
              <w:t>3.6</w:t>
            </w:r>
          </w:p>
        </w:tc>
        <w:tc>
          <w:tcPr>
            <w:tcW w:w="615" w:type="dxa"/>
            <w:shd w:val="clear" w:color="auto" w:fill="D4E3F5"/>
          </w:tcPr>
          <w:p>
            <w:pPr>
              <w:pStyle w:val="TableParagraph"/>
              <w:spacing w:line="148" w:lineRule="exact" w:before="17"/>
              <w:ind w:left="19" w:right="8"/>
              <w:rPr>
                <w:sz w:val="13"/>
              </w:rPr>
            </w:pPr>
            <w:r>
              <w:rPr>
                <w:color w:val="231F20"/>
                <w:spacing w:val="-5"/>
                <w:w w:val="95"/>
                <w:sz w:val="13"/>
              </w:rPr>
              <w:t>3.2</w:t>
            </w:r>
          </w:p>
        </w:tc>
        <w:tc>
          <w:tcPr>
            <w:tcW w:w="706" w:type="dxa"/>
            <w:shd w:val="clear" w:color="auto" w:fill="D4E3F5"/>
          </w:tcPr>
          <w:p>
            <w:pPr>
              <w:pStyle w:val="TableParagraph"/>
              <w:spacing w:line="148" w:lineRule="exact" w:before="17"/>
              <w:ind w:left="17" w:right="24"/>
              <w:rPr>
                <w:sz w:val="13"/>
              </w:rPr>
            </w:pPr>
            <w:r>
              <w:rPr>
                <w:color w:val="231F20"/>
                <w:spacing w:val="-5"/>
                <w:w w:val="95"/>
                <w:sz w:val="13"/>
              </w:rPr>
              <w:t>2.9</w:t>
            </w:r>
          </w:p>
        </w:tc>
        <w:tc>
          <w:tcPr>
            <w:tcW w:w="368" w:type="dxa"/>
            <w:shd w:val="clear" w:color="auto" w:fill="D4E3F5"/>
          </w:tcPr>
          <w:p>
            <w:pPr>
              <w:pStyle w:val="TableParagraph"/>
              <w:spacing w:line="148" w:lineRule="exact" w:before="17"/>
              <w:ind w:left="17" w:right="28"/>
              <w:rPr>
                <w:sz w:val="13"/>
              </w:rPr>
            </w:pPr>
            <w:r>
              <w:rPr>
                <w:color w:val="231F20"/>
                <w:spacing w:val="-5"/>
                <w:w w:val="95"/>
                <w:sz w:val="13"/>
              </w:rPr>
              <w:t>2.8</w:t>
            </w:r>
          </w:p>
        </w:tc>
        <w:tc>
          <w:tcPr>
            <w:tcW w:w="536" w:type="dxa"/>
            <w:tcBorders>
              <w:right w:val="single" w:sz="24" w:space="0" w:color="FFFFFF"/>
            </w:tcBorders>
            <w:shd w:val="clear" w:color="auto" w:fill="D4E3F5"/>
          </w:tcPr>
          <w:p>
            <w:pPr>
              <w:pStyle w:val="TableParagraph"/>
              <w:spacing w:line="148" w:lineRule="exact" w:before="17"/>
              <w:ind w:left="21" w:right="27"/>
              <w:rPr>
                <w:sz w:val="13"/>
              </w:rPr>
            </w:pPr>
            <w:r>
              <w:rPr>
                <w:color w:val="231F20"/>
                <w:spacing w:val="-5"/>
                <w:w w:val="95"/>
                <w:sz w:val="13"/>
              </w:rPr>
              <w:t>3.3</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w w:val="75"/>
                <w:sz w:val="13"/>
              </w:rPr>
              <w:t>Gambia,</w:t>
            </w:r>
            <w:r>
              <w:rPr>
                <w:color w:val="231F20"/>
                <w:spacing w:val="16"/>
                <w:sz w:val="13"/>
              </w:rPr>
              <w:t> </w:t>
            </w:r>
            <w:r>
              <w:rPr>
                <w:color w:val="231F20"/>
                <w:spacing w:val="-5"/>
                <w:w w:val="85"/>
                <w:sz w:val="13"/>
              </w:rPr>
              <w:t>The</w:t>
            </w:r>
          </w:p>
        </w:tc>
        <w:tc>
          <w:tcPr>
            <w:tcW w:w="482" w:type="dxa"/>
            <w:shd w:val="clear" w:color="auto" w:fill="D4E3F5"/>
          </w:tcPr>
          <w:p>
            <w:pPr>
              <w:pStyle w:val="TableParagraph"/>
              <w:spacing w:line="148" w:lineRule="exact" w:before="17"/>
              <w:ind w:right="110"/>
              <w:jc w:val="right"/>
              <w:rPr>
                <w:sz w:val="13"/>
              </w:rPr>
            </w:pPr>
            <w:r>
              <w:rPr>
                <w:color w:val="231F20"/>
                <w:spacing w:val="-5"/>
                <w:w w:val="95"/>
                <w:sz w:val="13"/>
              </w:rPr>
              <w:t>2.3</w:t>
            </w:r>
          </w:p>
        </w:tc>
        <w:tc>
          <w:tcPr>
            <w:tcW w:w="532" w:type="dxa"/>
            <w:shd w:val="clear" w:color="auto" w:fill="D4E3F5"/>
          </w:tcPr>
          <w:p>
            <w:pPr>
              <w:pStyle w:val="TableParagraph"/>
              <w:spacing w:line="148" w:lineRule="exact" w:before="17"/>
              <w:ind w:left="25" w:right="55"/>
              <w:rPr>
                <w:sz w:val="13"/>
              </w:rPr>
            </w:pPr>
            <w:r>
              <w:rPr>
                <w:color w:val="231F20"/>
                <w:spacing w:val="-5"/>
                <w:w w:val="95"/>
                <w:sz w:val="13"/>
              </w:rPr>
              <w:t>1.8</w:t>
            </w:r>
          </w:p>
        </w:tc>
        <w:tc>
          <w:tcPr>
            <w:tcW w:w="550" w:type="dxa"/>
            <w:shd w:val="clear" w:color="auto" w:fill="D4E3F5"/>
          </w:tcPr>
          <w:p>
            <w:pPr>
              <w:pStyle w:val="TableParagraph"/>
              <w:spacing w:line="148" w:lineRule="exact" w:before="17"/>
              <w:ind w:left="19" w:right="45"/>
              <w:rPr>
                <w:sz w:val="13"/>
              </w:rPr>
            </w:pPr>
            <w:r>
              <w:rPr>
                <w:color w:val="231F20"/>
                <w:spacing w:val="-5"/>
                <w:w w:val="95"/>
                <w:sz w:val="13"/>
              </w:rPr>
              <w:t>2.3</w:t>
            </w:r>
          </w:p>
        </w:tc>
        <w:tc>
          <w:tcPr>
            <w:tcW w:w="616" w:type="dxa"/>
            <w:shd w:val="clear" w:color="auto" w:fill="D4E3F5"/>
          </w:tcPr>
          <w:p>
            <w:pPr>
              <w:pStyle w:val="TableParagraph"/>
              <w:spacing w:line="148" w:lineRule="exact" w:before="17"/>
              <w:ind w:left="19" w:right="37"/>
              <w:rPr>
                <w:sz w:val="13"/>
              </w:rPr>
            </w:pPr>
            <w:r>
              <w:rPr>
                <w:color w:val="231F20"/>
                <w:spacing w:val="-5"/>
                <w:w w:val="95"/>
                <w:sz w:val="13"/>
              </w:rPr>
              <w:t>2.6</w:t>
            </w:r>
          </w:p>
        </w:tc>
        <w:tc>
          <w:tcPr>
            <w:tcW w:w="707" w:type="dxa"/>
            <w:shd w:val="clear" w:color="auto" w:fill="D4E3F5"/>
          </w:tcPr>
          <w:p>
            <w:pPr>
              <w:pStyle w:val="TableParagraph"/>
              <w:spacing w:line="148" w:lineRule="exact" w:before="17"/>
              <w:ind w:left="15" w:right="55"/>
              <w:rPr>
                <w:sz w:val="13"/>
              </w:rPr>
            </w:pPr>
            <w:r>
              <w:rPr>
                <w:color w:val="231F20"/>
                <w:spacing w:val="-5"/>
                <w:w w:val="95"/>
                <w:sz w:val="13"/>
              </w:rPr>
              <w:t>2.3</w:t>
            </w:r>
          </w:p>
        </w:tc>
        <w:tc>
          <w:tcPr>
            <w:tcW w:w="369" w:type="dxa"/>
            <w:shd w:val="clear" w:color="auto" w:fill="D4E3F5"/>
          </w:tcPr>
          <w:p>
            <w:pPr>
              <w:pStyle w:val="TableParagraph"/>
              <w:spacing w:line="148" w:lineRule="exact" w:before="17"/>
              <w:ind w:left="16" w:right="61"/>
              <w:rPr>
                <w:sz w:val="13"/>
              </w:rPr>
            </w:pPr>
            <w:r>
              <w:rPr>
                <w:color w:val="231F20"/>
                <w:spacing w:val="-5"/>
                <w:w w:val="95"/>
                <w:sz w:val="13"/>
              </w:rPr>
              <w:t>2.6</w:t>
            </w:r>
          </w:p>
        </w:tc>
        <w:tc>
          <w:tcPr>
            <w:tcW w:w="507" w:type="dxa"/>
            <w:shd w:val="clear" w:color="auto" w:fill="D4E3F5"/>
          </w:tcPr>
          <w:p>
            <w:pPr>
              <w:pStyle w:val="TableParagraph"/>
              <w:spacing w:line="148" w:lineRule="exact" w:before="17"/>
              <w:ind w:left="5" w:right="51"/>
              <w:rPr>
                <w:sz w:val="13"/>
              </w:rPr>
            </w:pPr>
            <w:r>
              <w:rPr>
                <w:color w:val="231F20"/>
                <w:spacing w:val="-5"/>
                <w:w w:val="95"/>
                <w:sz w:val="13"/>
              </w:rPr>
              <w:t>2.4</w:t>
            </w:r>
          </w:p>
        </w:tc>
      </w:tr>
      <w:tr>
        <w:trPr>
          <w:trHeight w:val="184" w:hRule="atLeast"/>
        </w:trPr>
        <w:tc>
          <w:tcPr>
            <w:tcW w:w="1377" w:type="dxa"/>
          </w:tcPr>
          <w:p>
            <w:pPr>
              <w:pStyle w:val="TableParagraph"/>
              <w:spacing w:line="148" w:lineRule="exact" w:before="17"/>
              <w:ind w:left="80"/>
              <w:jc w:val="left"/>
              <w:rPr>
                <w:sz w:val="13"/>
              </w:rPr>
            </w:pPr>
            <w:r>
              <w:rPr>
                <w:color w:val="231F20"/>
                <w:spacing w:val="-2"/>
                <w:w w:val="85"/>
                <w:sz w:val="13"/>
              </w:rPr>
              <w:t>Romania</w:t>
            </w:r>
          </w:p>
        </w:tc>
        <w:tc>
          <w:tcPr>
            <w:tcW w:w="487" w:type="dxa"/>
          </w:tcPr>
          <w:p>
            <w:pPr>
              <w:pStyle w:val="TableParagraph"/>
              <w:spacing w:line="148" w:lineRule="exact" w:before="17"/>
              <w:ind w:right="96"/>
              <w:jc w:val="right"/>
              <w:rPr>
                <w:sz w:val="13"/>
              </w:rPr>
            </w:pPr>
            <w:r>
              <w:rPr>
                <w:color w:val="231F20"/>
                <w:spacing w:val="-5"/>
                <w:w w:val="95"/>
                <w:sz w:val="13"/>
              </w:rPr>
              <w:t>3.2</w:t>
            </w:r>
          </w:p>
        </w:tc>
        <w:tc>
          <w:tcPr>
            <w:tcW w:w="531" w:type="dxa"/>
          </w:tcPr>
          <w:p>
            <w:pPr>
              <w:pStyle w:val="TableParagraph"/>
              <w:spacing w:line="148" w:lineRule="exact" w:before="17"/>
              <w:ind w:left="13" w:right="27"/>
              <w:rPr>
                <w:sz w:val="13"/>
              </w:rPr>
            </w:pPr>
            <w:r>
              <w:rPr>
                <w:color w:val="231F20"/>
                <w:spacing w:val="-5"/>
                <w:w w:val="95"/>
                <w:sz w:val="13"/>
              </w:rPr>
              <w:t>2.7</w:t>
            </w:r>
          </w:p>
        </w:tc>
        <w:tc>
          <w:tcPr>
            <w:tcW w:w="549" w:type="dxa"/>
          </w:tcPr>
          <w:p>
            <w:pPr>
              <w:pStyle w:val="TableParagraph"/>
              <w:spacing w:line="148" w:lineRule="exact" w:before="17"/>
              <w:ind w:left="16" w:right="16"/>
              <w:rPr>
                <w:sz w:val="13"/>
              </w:rPr>
            </w:pPr>
            <w:r>
              <w:rPr>
                <w:color w:val="231F20"/>
                <w:spacing w:val="-5"/>
                <w:w w:val="95"/>
                <w:sz w:val="13"/>
              </w:rPr>
              <w:t>2.9</w:t>
            </w:r>
          </w:p>
        </w:tc>
        <w:tc>
          <w:tcPr>
            <w:tcW w:w="615" w:type="dxa"/>
          </w:tcPr>
          <w:p>
            <w:pPr>
              <w:pStyle w:val="TableParagraph"/>
              <w:spacing w:line="148" w:lineRule="exact" w:before="17"/>
              <w:ind w:left="17" w:right="8"/>
              <w:rPr>
                <w:sz w:val="13"/>
              </w:rPr>
            </w:pPr>
            <w:r>
              <w:rPr>
                <w:color w:val="231F20"/>
                <w:spacing w:val="-5"/>
                <w:w w:val="95"/>
                <w:sz w:val="13"/>
              </w:rPr>
              <w:t>3.4</w:t>
            </w:r>
          </w:p>
        </w:tc>
        <w:tc>
          <w:tcPr>
            <w:tcW w:w="706" w:type="dxa"/>
          </w:tcPr>
          <w:p>
            <w:pPr>
              <w:pStyle w:val="TableParagraph"/>
              <w:spacing w:line="148" w:lineRule="exact" w:before="17"/>
              <w:ind w:left="19" w:right="24"/>
              <w:rPr>
                <w:sz w:val="13"/>
              </w:rPr>
            </w:pPr>
            <w:r>
              <w:rPr>
                <w:color w:val="231F20"/>
                <w:spacing w:val="-5"/>
                <w:w w:val="95"/>
                <w:sz w:val="13"/>
              </w:rPr>
              <w:t>3.3</w:t>
            </w:r>
          </w:p>
        </w:tc>
        <w:tc>
          <w:tcPr>
            <w:tcW w:w="368" w:type="dxa"/>
          </w:tcPr>
          <w:p>
            <w:pPr>
              <w:pStyle w:val="TableParagraph"/>
              <w:spacing w:line="148" w:lineRule="exact" w:before="17"/>
              <w:ind w:left="17" w:right="28"/>
              <w:rPr>
                <w:sz w:val="13"/>
              </w:rPr>
            </w:pPr>
            <w:r>
              <w:rPr>
                <w:color w:val="231F20"/>
                <w:spacing w:val="-5"/>
                <w:w w:val="95"/>
                <w:sz w:val="13"/>
              </w:rPr>
              <w:t>3.6</w:t>
            </w:r>
          </w:p>
        </w:tc>
        <w:tc>
          <w:tcPr>
            <w:tcW w:w="536" w:type="dxa"/>
            <w:tcBorders>
              <w:right w:val="single" w:sz="24" w:space="0" w:color="FFFFFF"/>
            </w:tcBorders>
          </w:tcPr>
          <w:p>
            <w:pPr>
              <w:pStyle w:val="TableParagraph"/>
              <w:spacing w:line="148" w:lineRule="exact" w:before="17"/>
              <w:ind w:left="19" w:right="27"/>
              <w:rPr>
                <w:sz w:val="13"/>
              </w:rPr>
            </w:pPr>
            <w:r>
              <w:rPr>
                <w:color w:val="231F20"/>
                <w:spacing w:val="-5"/>
                <w:w w:val="95"/>
                <w:sz w:val="13"/>
              </w:rPr>
              <w:t>3.5</w:t>
            </w:r>
          </w:p>
        </w:tc>
        <w:tc>
          <w:tcPr>
            <w:tcW w:w="1415" w:type="dxa"/>
            <w:tcBorders>
              <w:left w:val="single" w:sz="24" w:space="0" w:color="FFFFFF"/>
            </w:tcBorders>
          </w:tcPr>
          <w:p>
            <w:pPr>
              <w:pStyle w:val="TableParagraph"/>
              <w:spacing w:line="148" w:lineRule="exact" w:before="17"/>
              <w:ind w:left="70"/>
              <w:jc w:val="left"/>
              <w:rPr>
                <w:sz w:val="13"/>
              </w:rPr>
            </w:pPr>
            <w:r>
              <w:rPr>
                <w:color w:val="231F20"/>
                <w:w w:val="75"/>
                <w:sz w:val="13"/>
              </w:rPr>
              <w:t>Iran,</w:t>
            </w:r>
            <w:r>
              <w:rPr>
                <w:color w:val="231F20"/>
                <w:spacing w:val="13"/>
                <w:sz w:val="13"/>
              </w:rPr>
              <w:t> </w:t>
            </w:r>
            <w:r>
              <w:rPr>
                <w:color w:val="231F20"/>
                <w:w w:val="75"/>
                <w:sz w:val="13"/>
              </w:rPr>
              <w:t>Islamic</w:t>
            </w:r>
            <w:r>
              <w:rPr>
                <w:color w:val="231F20"/>
                <w:spacing w:val="13"/>
                <w:sz w:val="13"/>
              </w:rPr>
              <w:t> </w:t>
            </w:r>
            <w:r>
              <w:rPr>
                <w:color w:val="231F20"/>
                <w:spacing w:val="-4"/>
                <w:w w:val="75"/>
                <w:sz w:val="13"/>
              </w:rPr>
              <w:t>Rep.</w:t>
            </w:r>
          </w:p>
        </w:tc>
        <w:tc>
          <w:tcPr>
            <w:tcW w:w="482" w:type="dxa"/>
          </w:tcPr>
          <w:p>
            <w:pPr>
              <w:pStyle w:val="TableParagraph"/>
              <w:spacing w:line="148" w:lineRule="exact" w:before="17"/>
              <w:ind w:right="110"/>
              <w:jc w:val="right"/>
              <w:rPr>
                <w:sz w:val="13"/>
              </w:rPr>
            </w:pPr>
            <w:r>
              <w:rPr>
                <w:color w:val="231F20"/>
                <w:spacing w:val="-5"/>
                <w:w w:val="95"/>
                <w:sz w:val="13"/>
              </w:rPr>
              <w:t>2.3</w:t>
            </w:r>
          </w:p>
        </w:tc>
        <w:tc>
          <w:tcPr>
            <w:tcW w:w="532" w:type="dxa"/>
          </w:tcPr>
          <w:p>
            <w:pPr>
              <w:pStyle w:val="TableParagraph"/>
              <w:spacing w:line="148" w:lineRule="exact" w:before="17"/>
              <w:ind w:left="19" w:right="55"/>
              <w:rPr>
                <w:sz w:val="13"/>
              </w:rPr>
            </w:pPr>
            <w:r>
              <w:rPr>
                <w:color w:val="231F20"/>
                <w:spacing w:val="-5"/>
                <w:w w:val="95"/>
                <w:sz w:val="13"/>
              </w:rPr>
              <w:t>2.2</w:t>
            </w:r>
          </w:p>
        </w:tc>
        <w:tc>
          <w:tcPr>
            <w:tcW w:w="550" w:type="dxa"/>
          </w:tcPr>
          <w:p>
            <w:pPr>
              <w:pStyle w:val="TableParagraph"/>
              <w:spacing w:line="148" w:lineRule="exact" w:before="17"/>
              <w:ind w:left="17" w:right="45"/>
              <w:rPr>
                <w:sz w:val="13"/>
              </w:rPr>
            </w:pPr>
            <w:r>
              <w:rPr>
                <w:color w:val="231F20"/>
                <w:spacing w:val="-5"/>
                <w:w w:val="95"/>
                <w:sz w:val="13"/>
              </w:rPr>
              <w:t>2.4</w:t>
            </w:r>
          </w:p>
        </w:tc>
        <w:tc>
          <w:tcPr>
            <w:tcW w:w="616" w:type="dxa"/>
          </w:tcPr>
          <w:p>
            <w:pPr>
              <w:pStyle w:val="TableParagraph"/>
              <w:spacing w:line="148" w:lineRule="exact" w:before="17"/>
              <w:ind w:left="18" w:right="37"/>
              <w:rPr>
                <w:sz w:val="13"/>
              </w:rPr>
            </w:pPr>
            <w:r>
              <w:rPr>
                <w:color w:val="231F20"/>
                <w:spacing w:val="-5"/>
                <w:w w:val="95"/>
                <w:sz w:val="13"/>
              </w:rPr>
              <w:t>2.4</w:t>
            </w:r>
          </w:p>
        </w:tc>
        <w:tc>
          <w:tcPr>
            <w:tcW w:w="707" w:type="dxa"/>
          </w:tcPr>
          <w:p>
            <w:pPr>
              <w:pStyle w:val="TableParagraph"/>
              <w:spacing w:line="148" w:lineRule="exact" w:before="17"/>
              <w:ind w:right="57"/>
              <w:rPr>
                <w:sz w:val="13"/>
              </w:rPr>
            </w:pPr>
            <w:r>
              <w:rPr>
                <w:color w:val="231F20"/>
                <w:spacing w:val="-5"/>
                <w:w w:val="95"/>
                <w:sz w:val="13"/>
              </w:rPr>
              <w:t>2.1</w:t>
            </w:r>
          </w:p>
        </w:tc>
        <w:tc>
          <w:tcPr>
            <w:tcW w:w="369" w:type="dxa"/>
          </w:tcPr>
          <w:p>
            <w:pPr>
              <w:pStyle w:val="TableParagraph"/>
              <w:spacing w:line="148" w:lineRule="exact" w:before="17"/>
              <w:ind w:left="12" w:right="61"/>
              <w:rPr>
                <w:sz w:val="13"/>
              </w:rPr>
            </w:pPr>
            <w:r>
              <w:rPr>
                <w:color w:val="231F20"/>
                <w:spacing w:val="-5"/>
                <w:w w:val="95"/>
                <w:sz w:val="13"/>
              </w:rPr>
              <w:t>2.7</w:t>
            </w:r>
          </w:p>
        </w:tc>
        <w:tc>
          <w:tcPr>
            <w:tcW w:w="507" w:type="dxa"/>
          </w:tcPr>
          <w:p>
            <w:pPr>
              <w:pStyle w:val="TableParagraph"/>
              <w:spacing w:line="148" w:lineRule="exact" w:before="17"/>
              <w:ind w:left="4" w:right="51"/>
              <w:rPr>
                <w:sz w:val="13"/>
              </w:rPr>
            </w:pPr>
            <w:r>
              <w:rPr>
                <w:color w:val="231F20"/>
                <w:spacing w:val="-5"/>
                <w:w w:val="95"/>
                <w:sz w:val="13"/>
              </w:rPr>
              <w:t>2.4</w:t>
            </w:r>
          </w:p>
        </w:tc>
      </w:tr>
      <w:tr>
        <w:trPr>
          <w:trHeight w:val="184" w:hRule="atLeast"/>
        </w:trPr>
        <w:tc>
          <w:tcPr>
            <w:tcW w:w="1377" w:type="dxa"/>
            <w:shd w:val="clear" w:color="auto" w:fill="D4E3F5"/>
          </w:tcPr>
          <w:p>
            <w:pPr>
              <w:pStyle w:val="TableParagraph"/>
              <w:spacing w:line="148" w:lineRule="exact" w:before="17"/>
              <w:ind w:left="80"/>
              <w:jc w:val="left"/>
              <w:rPr>
                <w:sz w:val="13"/>
              </w:rPr>
            </w:pPr>
            <w:r>
              <w:rPr>
                <w:color w:val="231F20"/>
                <w:spacing w:val="-2"/>
                <w:w w:val="90"/>
                <w:sz w:val="13"/>
              </w:rPr>
              <w:t>Botswana</w:t>
            </w:r>
          </w:p>
        </w:tc>
        <w:tc>
          <w:tcPr>
            <w:tcW w:w="487" w:type="dxa"/>
            <w:shd w:val="clear" w:color="auto" w:fill="D4E3F5"/>
          </w:tcPr>
          <w:p>
            <w:pPr>
              <w:pStyle w:val="TableParagraph"/>
              <w:spacing w:line="148" w:lineRule="exact" w:before="17"/>
              <w:ind w:right="113"/>
              <w:jc w:val="right"/>
              <w:rPr>
                <w:sz w:val="13"/>
              </w:rPr>
            </w:pPr>
            <w:r>
              <w:rPr>
                <w:color w:val="231F20"/>
                <w:spacing w:val="-5"/>
                <w:w w:val="95"/>
                <w:sz w:val="13"/>
              </w:rPr>
              <w:t>3.1</w:t>
            </w:r>
          </w:p>
        </w:tc>
        <w:tc>
          <w:tcPr>
            <w:tcW w:w="531" w:type="dxa"/>
            <w:shd w:val="clear" w:color="auto" w:fill="D4E3F5"/>
          </w:tcPr>
          <w:p>
            <w:pPr>
              <w:pStyle w:val="TableParagraph"/>
              <w:spacing w:line="148" w:lineRule="exact" w:before="17"/>
              <w:ind w:left="17" w:right="27"/>
              <w:rPr>
                <w:sz w:val="13"/>
              </w:rPr>
            </w:pPr>
            <w:r>
              <w:rPr>
                <w:color w:val="231F20"/>
                <w:spacing w:val="-5"/>
                <w:w w:val="95"/>
                <w:sz w:val="13"/>
              </w:rPr>
              <w:t>3.0</w:t>
            </w:r>
          </w:p>
        </w:tc>
        <w:tc>
          <w:tcPr>
            <w:tcW w:w="549" w:type="dxa"/>
            <w:shd w:val="clear" w:color="auto" w:fill="D4E3F5"/>
          </w:tcPr>
          <w:p>
            <w:pPr>
              <w:pStyle w:val="TableParagraph"/>
              <w:spacing w:line="148" w:lineRule="exact" w:before="17"/>
              <w:ind w:left="2" w:right="16"/>
              <w:rPr>
                <w:sz w:val="13"/>
              </w:rPr>
            </w:pPr>
            <w:r>
              <w:rPr>
                <w:color w:val="231F20"/>
                <w:spacing w:val="-5"/>
                <w:w w:val="95"/>
                <w:sz w:val="13"/>
              </w:rPr>
              <w:t>3.1</w:t>
            </w:r>
          </w:p>
        </w:tc>
        <w:tc>
          <w:tcPr>
            <w:tcW w:w="615" w:type="dxa"/>
            <w:shd w:val="clear" w:color="auto" w:fill="D4E3F5"/>
          </w:tcPr>
          <w:p>
            <w:pPr>
              <w:pStyle w:val="TableParagraph"/>
              <w:spacing w:line="148" w:lineRule="exact" w:before="17"/>
              <w:ind w:left="18" w:right="8"/>
              <w:rPr>
                <w:sz w:val="13"/>
              </w:rPr>
            </w:pPr>
            <w:r>
              <w:rPr>
                <w:color w:val="231F20"/>
                <w:spacing w:val="-5"/>
                <w:w w:val="95"/>
                <w:sz w:val="13"/>
              </w:rPr>
              <w:t>3.0</w:t>
            </w:r>
          </w:p>
        </w:tc>
        <w:tc>
          <w:tcPr>
            <w:tcW w:w="706" w:type="dxa"/>
            <w:shd w:val="clear" w:color="auto" w:fill="D4E3F5"/>
          </w:tcPr>
          <w:p>
            <w:pPr>
              <w:pStyle w:val="TableParagraph"/>
              <w:spacing w:line="148" w:lineRule="exact" w:before="17"/>
              <w:ind w:left="15" w:right="24"/>
              <w:rPr>
                <w:sz w:val="13"/>
              </w:rPr>
            </w:pPr>
            <w:r>
              <w:rPr>
                <w:color w:val="231F20"/>
                <w:spacing w:val="-5"/>
                <w:w w:val="95"/>
                <w:sz w:val="13"/>
              </w:rPr>
              <w:t>3.4</w:t>
            </w:r>
          </w:p>
        </w:tc>
        <w:tc>
          <w:tcPr>
            <w:tcW w:w="368" w:type="dxa"/>
            <w:shd w:val="clear" w:color="auto" w:fill="D4E3F5"/>
          </w:tcPr>
          <w:p>
            <w:pPr>
              <w:pStyle w:val="TableParagraph"/>
              <w:spacing w:line="148" w:lineRule="exact" w:before="17"/>
              <w:ind w:left="20" w:right="28"/>
              <w:rPr>
                <w:sz w:val="13"/>
              </w:rPr>
            </w:pPr>
            <w:r>
              <w:rPr>
                <w:color w:val="231F20"/>
                <w:spacing w:val="-5"/>
                <w:w w:val="95"/>
                <w:sz w:val="13"/>
              </w:rPr>
              <w:t>3.3</w:t>
            </w:r>
          </w:p>
        </w:tc>
        <w:tc>
          <w:tcPr>
            <w:tcW w:w="536" w:type="dxa"/>
            <w:tcBorders>
              <w:right w:val="single" w:sz="24" w:space="0" w:color="FFFFFF"/>
            </w:tcBorders>
            <w:shd w:val="clear" w:color="auto" w:fill="D4E3F5"/>
          </w:tcPr>
          <w:p>
            <w:pPr>
              <w:pStyle w:val="TableParagraph"/>
              <w:spacing w:line="148" w:lineRule="exact" w:before="17"/>
              <w:ind w:left="19" w:right="27"/>
              <w:rPr>
                <w:sz w:val="13"/>
              </w:rPr>
            </w:pPr>
            <w:r>
              <w:rPr>
                <w:color w:val="231F20"/>
                <w:spacing w:val="-5"/>
                <w:w w:val="95"/>
                <w:sz w:val="13"/>
              </w:rPr>
              <w:t>3.0</w:t>
            </w:r>
          </w:p>
        </w:tc>
        <w:tc>
          <w:tcPr>
            <w:tcW w:w="1415" w:type="dxa"/>
            <w:tcBorders>
              <w:left w:val="single" w:sz="24" w:space="0" w:color="FFFFFF"/>
            </w:tcBorders>
            <w:shd w:val="clear" w:color="auto" w:fill="D4E3F5"/>
          </w:tcPr>
          <w:p>
            <w:pPr>
              <w:pStyle w:val="TableParagraph"/>
              <w:spacing w:line="148" w:lineRule="exact" w:before="17"/>
              <w:ind w:left="69"/>
              <w:jc w:val="left"/>
              <w:rPr>
                <w:sz w:val="13"/>
              </w:rPr>
            </w:pPr>
            <w:r>
              <w:rPr>
                <w:color w:val="231F20"/>
                <w:w w:val="75"/>
                <w:sz w:val="13"/>
              </w:rPr>
              <w:t>Kyrgyz</w:t>
            </w:r>
            <w:r>
              <w:rPr>
                <w:color w:val="231F20"/>
                <w:spacing w:val="1"/>
                <w:sz w:val="13"/>
              </w:rPr>
              <w:t> </w:t>
            </w:r>
            <w:r>
              <w:rPr>
                <w:color w:val="231F20"/>
                <w:spacing w:val="-2"/>
                <w:w w:val="85"/>
                <w:sz w:val="13"/>
              </w:rPr>
              <w:t>Republic</w:t>
            </w:r>
          </w:p>
        </w:tc>
        <w:tc>
          <w:tcPr>
            <w:tcW w:w="482" w:type="dxa"/>
            <w:shd w:val="clear" w:color="auto" w:fill="D4E3F5"/>
          </w:tcPr>
          <w:p>
            <w:pPr>
              <w:pStyle w:val="TableParagraph"/>
              <w:spacing w:line="148" w:lineRule="exact" w:before="17"/>
              <w:ind w:right="110"/>
              <w:jc w:val="right"/>
              <w:rPr>
                <w:sz w:val="13"/>
              </w:rPr>
            </w:pPr>
            <w:r>
              <w:rPr>
                <w:color w:val="231F20"/>
                <w:spacing w:val="-5"/>
                <w:w w:val="95"/>
                <w:sz w:val="13"/>
              </w:rPr>
              <w:t>2.3</w:t>
            </w:r>
          </w:p>
        </w:tc>
        <w:tc>
          <w:tcPr>
            <w:tcW w:w="532" w:type="dxa"/>
            <w:shd w:val="clear" w:color="auto" w:fill="D4E3F5"/>
          </w:tcPr>
          <w:p>
            <w:pPr>
              <w:pStyle w:val="TableParagraph"/>
              <w:spacing w:line="148" w:lineRule="exact" w:before="17"/>
              <w:ind w:left="19" w:right="55"/>
              <w:rPr>
                <w:sz w:val="13"/>
              </w:rPr>
            </w:pPr>
            <w:r>
              <w:rPr>
                <w:color w:val="231F20"/>
                <w:spacing w:val="-5"/>
                <w:w w:val="95"/>
                <w:sz w:val="13"/>
              </w:rPr>
              <w:t>2.2</w:t>
            </w:r>
          </w:p>
        </w:tc>
        <w:tc>
          <w:tcPr>
            <w:tcW w:w="550" w:type="dxa"/>
            <w:shd w:val="clear" w:color="auto" w:fill="D4E3F5"/>
          </w:tcPr>
          <w:p>
            <w:pPr>
              <w:pStyle w:val="TableParagraph"/>
              <w:spacing w:line="148" w:lineRule="exact" w:before="17"/>
              <w:ind w:left="17" w:right="45"/>
              <w:rPr>
                <w:sz w:val="13"/>
              </w:rPr>
            </w:pPr>
            <w:r>
              <w:rPr>
                <w:color w:val="231F20"/>
                <w:spacing w:val="-5"/>
                <w:w w:val="95"/>
                <w:sz w:val="13"/>
              </w:rPr>
              <w:t>2.4</w:t>
            </w:r>
          </w:p>
        </w:tc>
        <w:tc>
          <w:tcPr>
            <w:tcW w:w="616" w:type="dxa"/>
            <w:shd w:val="clear" w:color="auto" w:fill="D4E3F5"/>
          </w:tcPr>
          <w:p>
            <w:pPr>
              <w:pStyle w:val="TableParagraph"/>
              <w:spacing w:line="148" w:lineRule="exact" w:before="17"/>
              <w:ind w:left="17" w:right="37"/>
              <w:rPr>
                <w:sz w:val="13"/>
              </w:rPr>
            </w:pPr>
            <w:r>
              <w:rPr>
                <w:color w:val="231F20"/>
                <w:spacing w:val="-5"/>
                <w:w w:val="95"/>
                <w:sz w:val="13"/>
              </w:rPr>
              <w:t>2.4</w:t>
            </w:r>
          </w:p>
        </w:tc>
        <w:tc>
          <w:tcPr>
            <w:tcW w:w="707" w:type="dxa"/>
            <w:shd w:val="clear" w:color="auto" w:fill="D4E3F5"/>
          </w:tcPr>
          <w:p>
            <w:pPr>
              <w:pStyle w:val="TableParagraph"/>
              <w:spacing w:line="148" w:lineRule="exact" w:before="17"/>
              <w:ind w:left="16" w:right="55"/>
              <w:rPr>
                <w:sz w:val="13"/>
              </w:rPr>
            </w:pPr>
            <w:r>
              <w:rPr>
                <w:color w:val="231F20"/>
                <w:spacing w:val="-5"/>
                <w:w w:val="95"/>
                <w:sz w:val="13"/>
              </w:rPr>
              <w:t>2.2</w:t>
            </w:r>
          </w:p>
        </w:tc>
        <w:tc>
          <w:tcPr>
            <w:tcW w:w="369" w:type="dxa"/>
            <w:shd w:val="clear" w:color="auto" w:fill="D4E3F5"/>
          </w:tcPr>
          <w:p>
            <w:pPr>
              <w:pStyle w:val="TableParagraph"/>
              <w:spacing w:line="148" w:lineRule="exact" w:before="17"/>
              <w:ind w:left="14" w:right="61"/>
              <w:rPr>
                <w:sz w:val="13"/>
              </w:rPr>
            </w:pPr>
            <w:r>
              <w:rPr>
                <w:color w:val="231F20"/>
                <w:spacing w:val="-5"/>
                <w:w w:val="95"/>
                <w:sz w:val="13"/>
              </w:rPr>
              <w:t>2.4</w:t>
            </w:r>
          </w:p>
        </w:tc>
        <w:tc>
          <w:tcPr>
            <w:tcW w:w="507" w:type="dxa"/>
            <w:shd w:val="clear" w:color="auto" w:fill="D4E3F5"/>
          </w:tcPr>
          <w:p>
            <w:pPr>
              <w:pStyle w:val="TableParagraph"/>
              <w:spacing w:line="148" w:lineRule="exact" w:before="17"/>
              <w:ind w:right="45"/>
              <w:rPr>
                <w:sz w:val="13"/>
              </w:rPr>
            </w:pPr>
            <w:r>
              <w:rPr>
                <w:color w:val="231F20"/>
                <w:spacing w:val="-5"/>
                <w:w w:val="95"/>
                <w:sz w:val="13"/>
              </w:rPr>
              <w:t>2.3</w:t>
            </w:r>
          </w:p>
        </w:tc>
      </w:tr>
      <w:tr>
        <w:trPr>
          <w:trHeight w:val="184" w:hRule="atLeast"/>
        </w:trPr>
        <w:tc>
          <w:tcPr>
            <w:tcW w:w="1377" w:type="dxa"/>
          </w:tcPr>
          <w:p>
            <w:pPr>
              <w:pStyle w:val="TableParagraph"/>
              <w:spacing w:line="148" w:lineRule="exact" w:before="17"/>
              <w:ind w:left="80"/>
              <w:jc w:val="left"/>
              <w:rPr>
                <w:sz w:val="13"/>
              </w:rPr>
            </w:pPr>
            <w:r>
              <w:rPr>
                <w:color w:val="231F20"/>
                <w:w w:val="75"/>
                <w:sz w:val="13"/>
              </w:rPr>
              <w:t>Egypt,</w:t>
            </w:r>
            <w:r>
              <w:rPr>
                <w:color w:val="231F20"/>
                <w:spacing w:val="9"/>
                <w:sz w:val="13"/>
              </w:rPr>
              <w:t> </w:t>
            </w:r>
            <w:r>
              <w:rPr>
                <w:color w:val="231F20"/>
                <w:w w:val="75"/>
                <w:sz w:val="13"/>
              </w:rPr>
              <w:t>Arab</w:t>
            </w:r>
            <w:r>
              <w:rPr>
                <w:color w:val="231F20"/>
                <w:spacing w:val="9"/>
                <w:sz w:val="13"/>
              </w:rPr>
              <w:t> </w:t>
            </w:r>
            <w:r>
              <w:rPr>
                <w:color w:val="231F20"/>
                <w:spacing w:val="-4"/>
                <w:w w:val="75"/>
                <w:sz w:val="13"/>
              </w:rPr>
              <w:t>Rep.</w:t>
            </w:r>
          </w:p>
        </w:tc>
        <w:tc>
          <w:tcPr>
            <w:tcW w:w="487" w:type="dxa"/>
          </w:tcPr>
          <w:p>
            <w:pPr>
              <w:pStyle w:val="TableParagraph"/>
              <w:spacing w:line="148" w:lineRule="exact" w:before="17"/>
              <w:ind w:right="113"/>
              <w:jc w:val="right"/>
              <w:rPr>
                <w:sz w:val="13"/>
              </w:rPr>
            </w:pPr>
            <w:r>
              <w:rPr>
                <w:color w:val="231F20"/>
                <w:spacing w:val="-5"/>
                <w:w w:val="95"/>
                <w:sz w:val="13"/>
              </w:rPr>
              <w:t>3.1</w:t>
            </w:r>
          </w:p>
        </w:tc>
        <w:tc>
          <w:tcPr>
            <w:tcW w:w="531" w:type="dxa"/>
          </w:tcPr>
          <w:p>
            <w:pPr>
              <w:pStyle w:val="TableParagraph"/>
              <w:spacing w:line="148" w:lineRule="exact" w:before="17"/>
              <w:ind w:left="18" w:right="27"/>
              <w:rPr>
                <w:sz w:val="13"/>
              </w:rPr>
            </w:pPr>
            <w:r>
              <w:rPr>
                <w:color w:val="231F20"/>
                <w:spacing w:val="-5"/>
                <w:w w:val="95"/>
                <w:sz w:val="13"/>
              </w:rPr>
              <w:t>2.8</w:t>
            </w:r>
          </w:p>
        </w:tc>
        <w:tc>
          <w:tcPr>
            <w:tcW w:w="549" w:type="dxa"/>
          </w:tcPr>
          <w:p>
            <w:pPr>
              <w:pStyle w:val="TableParagraph"/>
              <w:spacing w:line="148" w:lineRule="exact" w:before="17"/>
              <w:ind w:left="16" w:right="16"/>
              <w:rPr>
                <w:sz w:val="13"/>
              </w:rPr>
            </w:pPr>
            <w:r>
              <w:rPr>
                <w:color w:val="231F20"/>
                <w:spacing w:val="-5"/>
                <w:w w:val="95"/>
                <w:sz w:val="13"/>
              </w:rPr>
              <w:t>3.0</w:t>
            </w:r>
          </w:p>
        </w:tc>
        <w:tc>
          <w:tcPr>
            <w:tcW w:w="615" w:type="dxa"/>
          </w:tcPr>
          <w:p>
            <w:pPr>
              <w:pStyle w:val="TableParagraph"/>
              <w:spacing w:line="148" w:lineRule="exact" w:before="17"/>
              <w:ind w:left="19" w:right="8"/>
              <w:rPr>
                <w:sz w:val="13"/>
              </w:rPr>
            </w:pPr>
            <w:r>
              <w:rPr>
                <w:color w:val="231F20"/>
                <w:spacing w:val="-5"/>
                <w:w w:val="95"/>
                <w:sz w:val="13"/>
              </w:rPr>
              <w:t>3.2</w:t>
            </w:r>
          </w:p>
        </w:tc>
        <w:tc>
          <w:tcPr>
            <w:tcW w:w="706" w:type="dxa"/>
          </w:tcPr>
          <w:p>
            <w:pPr>
              <w:pStyle w:val="TableParagraph"/>
              <w:spacing w:line="148" w:lineRule="exact" w:before="17"/>
              <w:ind w:left="17" w:right="24"/>
              <w:rPr>
                <w:sz w:val="13"/>
              </w:rPr>
            </w:pPr>
            <w:r>
              <w:rPr>
                <w:color w:val="231F20"/>
                <w:spacing w:val="-5"/>
                <w:w w:val="95"/>
                <w:sz w:val="13"/>
              </w:rPr>
              <w:t>2.9</w:t>
            </w:r>
          </w:p>
        </w:tc>
        <w:tc>
          <w:tcPr>
            <w:tcW w:w="368" w:type="dxa"/>
          </w:tcPr>
          <w:p>
            <w:pPr>
              <w:pStyle w:val="TableParagraph"/>
              <w:spacing w:line="148" w:lineRule="exact" w:before="17"/>
              <w:ind w:left="18" w:right="28"/>
              <w:rPr>
                <w:sz w:val="13"/>
              </w:rPr>
            </w:pPr>
            <w:r>
              <w:rPr>
                <w:color w:val="231F20"/>
                <w:spacing w:val="-5"/>
                <w:w w:val="95"/>
                <w:sz w:val="13"/>
              </w:rPr>
              <w:t>3.6</w:t>
            </w:r>
          </w:p>
        </w:tc>
        <w:tc>
          <w:tcPr>
            <w:tcW w:w="536" w:type="dxa"/>
            <w:tcBorders>
              <w:right w:val="single" w:sz="24" w:space="0" w:color="FFFFFF"/>
            </w:tcBorders>
          </w:tcPr>
          <w:p>
            <w:pPr>
              <w:pStyle w:val="TableParagraph"/>
              <w:spacing w:line="148" w:lineRule="exact" w:before="17"/>
              <w:ind w:left="19" w:right="27"/>
              <w:rPr>
                <w:sz w:val="13"/>
              </w:rPr>
            </w:pPr>
            <w:r>
              <w:rPr>
                <w:color w:val="231F20"/>
                <w:spacing w:val="-5"/>
                <w:w w:val="95"/>
                <w:sz w:val="13"/>
              </w:rPr>
              <w:t>2.9</w:t>
            </w:r>
          </w:p>
        </w:tc>
        <w:tc>
          <w:tcPr>
            <w:tcW w:w="1415" w:type="dxa"/>
            <w:tcBorders>
              <w:left w:val="single" w:sz="24" w:space="0" w:color="FFFFFF"/>
            </w:tcBorders>
          </w:tcPr>
          <w:p>
            <w:pPr>
              <w:pStyle w:val="TableParagraph"/>
              <w:spacing w:line="148" w:lineRule="exact" w:before="17"/>
              <w:ind w:left="69"/>
              <w:jc w:val="left"/>
              <w:rPr>
                <w:sz w:val="13"/>
              </w:rPr>
            </w:pPr>
            <w:r>
              <w:rPr>
                <w:color w:val="231F20"/>
                <w:spacing w:val="-2"/>
                <w:w w:val="90"/>
                <w:sz w:val="13"/>
              </w:rPr>
              <w:t>Madagascar</w:t>
            </w:r>
          </w:p>
        </w:tc>
        <w:tc>
          <w:tcPr>
            <w:tcW w:w="482" w:type="dxa"/>
          </w:tcPr>
          <w:p>
            <w:pPr>
              <w:pStyle w:val="TableParagraph"/>
              <w:spacing w:line="148" w:lineRule="exact" w:before="17"/>
              <w:ind w:right="110"/>
              <w:jc w:val="right"/>
              <w:rPr>
                <w:sz w:val="13"/>
              </w:rPr>
            </w:pPr>
            <w:r>
              <w:rPr>
                <w:color w:val="231F20"/>
                <w:spacing w:val="-5"/>
                <w:w w:val="95"/>
                <w:sz w:val="13"/>
              </w:rPr>
              <w:t>2.3</w:t>
            </w:r>
          </w:p>
        </w:tc>
        <w:tc>
          <w:tcPr>
            <w:tcW w:w="532" w:type="dxa"/>
          </w:tcPr>
          <w:p>
            <w:pPr>
              <w:pStyle w:val="TableParagraph"/>
              <w:spacing w:line="148" w:lineRule="exact" w:before="17"/>
              <w:ind w:left="24" w:right="55"/>
              <w:rPr>
                <w:sz w:val="13"/>
              </w:rPr>
            </w:pPr>
            <w:r>
              <w:rPr>
                <w:color w:val="231F20"/>
                <w:spacing w:val="-5"/>
                <w:w w:val="95"/>
                <w:sz w:val="13"/>
              </w:rPr>
              <w:t>1.8</w:t>
            </w:r>
          </w:p>
        </w:tc>
        <w:tc>
          <w:tcPr>
            <w:tcW w:w="550" w:type="dxa"/>
          </w:tcPr>
          <w:p>
            <w:pPr>
              <w:pStyle w:val="TableParagraph"/>
              <w:spacing w:line="148" w:lineRule="exact" w:before="17"/>
              <w:ind w:left="25" w:right="45"/>
              <w:rPr>
                <w:sz w:val="13"/>
              </w:rPr>
            </w:pPr>
            <w:r>
              <w:rPr>
                <w:color w:val="231F20"/>
                <w:spacing w:val="-5"/>
                <w:w w:val="95"/>
                <w:sz w:val="13"/>
              </w:rPr>
              <w:t>1.8</w:t>
            </w:r>
          </w:p>
        </w:tc>
        <w:tc>
          <w:tcPr>
            <w:tcW w:w="616" w:type="dxa"/>
          </w:tcPr>
          <w:p>
            <w:pPr>
              <w:pStyle w:val="TableParagraph"/>
              <w:spacing w:line="148" w:lineRule="exact" w:before="17"/>
              <w:ind w:left="18" w:right="37"/>
              <w:rPr>
                <w:sz w:val="13"/>
              </w:rPr>
            </w:pPr>
            <w:r>
              <w:rPr>
                <w:color w:val="231F20"/>
                <w:spacing w:val="-5"/>
                <w:w w:val="95"/>
                <w:sz w:val="13"/>
              </w:rPr>
              <w:t>2.9</w:t>
            </w:r>
          </w:p>
        </w:tc>
        <w:tc>
          <w:tcPr>
            <w:tcW w:w="707" w:type="dxa"/>
          </w:tcPr>
          <w:p>
            <w:pPr>
              <w:pStyle w:val="TableParagraph"/>
              <w:spacing w:line="148" w:lineRule="exact" w:before="17"/>
              <w:ind w:left="16" w:right="55"/>
              <w:rPr>
                <w:sz w:val="13"/>
              </w:rPr>
            </w:pPr>
            <w:r>
              <w:rPr>
                <w:color w:val="231F20"/>
                <w:spacing w:val="-5"/>
                <w:w w:val="95"/>
                <w:sz w:val="13"/>
              </w:rPr>
              <w:t>2.2</w:t>
            </w:r>
          </w:p>
        </w:tc>
        <w:tc>
          <w:tcPr>
            <w:tcW w:w="369" w:type="dxa"/>
          </w:tcPr>
          <w:p>
            <w:pPr>
              <w:pStyle w:val="TableParagraph"/>
              <w:spacing w:line="148" w:lineRule="exact" w:before="17"/>
              <w:ind w:left="15" w:right="61"/>
              <w:rPr>
                <w:sz w:val="13"/>
              </w:rPr>
            </w:pPr>
            <w:r>
              <w:rPr>
                <w:color w:val="231F20"/>
                <w:spacing w:val="-5"/>
                <w:w w:val="95"/>
                <w:sz w:val="13"/>
              </w:rPr>
              <w:t>2.6</w:t>
            </w:r>
          </w:p>
        </w:tc>
        <w:tc>
          <w:tcPr>
            <w:tcW w:w="507" w:type="dxa"/>
          </w:tcPr>
          <w:p>
            <w:pPr>
              <w:pStyle w:val="TableParagraph"/>
              <w:spacing w:line="148" w:lineRule="exact" w:before="17"/>
              <w:ind w:right="45"/>
              <w:rPr>
                <w:sz w:val="13"/>
              </w:rPr>
            </w:pPr>
            <w:r>
              <w:rPr>
                <w:color w:val="231F20"/>
                <w:spacing w:val="-5"/>
                <w:w w:val="95"/>
                <w:sz w:val="13"/>
              </w:rPr>
              <w:t>2.0</w:t>
            </w:r>
          </w:p>
        </w:tc>
      </w:tr>
      <w:tr>
        <w:trPr>
          <w:trHeight w:val="184" w:hRule="atLeast"/>
        </w:trPr>
        <w:tc>
          <w:tcPr>
            <w:tcW w:w="1377" w:type="dxa"/>
            <w:shd w:val="clear" w:color="auto" w:fill="D4E3F5"/>
          </w:tcPr>
          <w:p>
            <w:pPr>
              <w:pStyle w:val="TableParagraph"/>
              <w:spacing w:line="147" w:lineRule="exact" w:before="17"/>
              <w:ind w:left="80"/>
              <w:jc w:val="left"/>
              <w:rPr>
                <w:sz w:val="13"/>
              </w:rPr>
            </w:pPr>
            <w:r>
              <w:rPr>
                <w:color w:val="231F20"/>
                <w:w w:val="75"/>
                <w:sz w:val="13"/>
              </w:rPr>
              <w:t>North</w:t>
            </w:r>
            <w:r>
              <w:rPr>
                <w:color w:val="231F20"/>
                <w:spacing w:val="17"/>
                <w:sz w:val="13"/>
              </w:rPr>
              <w:t> </w:t>
            </w:r>
            <w:r>
              <w:rPr>
                <w:color w:val="231F20"/>
                <w:spacing w:val="-2"/>
                <w:w w:val="90"/>
                <w:sz w:val="13"/>
              </w:rPr>
              <w:t>Macedonia</w:t>
            </w:r>
          </w:p>
        </w:tc>
        <w:tc>
          <w:tcPr>
            <w:tcW w:w="487" w:type="dxa"/>
            <w:shd w:val="clear" w:color="auto" w:fill="D4E3F5"/>
          </w:tcPr>
          <w:p>
            <w:pPr>
              <w:pStyle w:val="TableParagraph"/>
              <w:spacing w:line="147" w:lineRule="exact" w:before="17"/>
              <w:ind w:right="113"/>
              <w:jc w:val="right"/>
              <w:rPr>
                <w:sz w:val="13"/>
              </w:rPr>
            </w:pPr>
            <w:r>
              <w:rPr>
                <w:color w:val="231F20"/>
                <w:spacing w:val="-5"/>
                <w:w w:val="95"/>
                <w:sz w:val="13"/>
              </w:rPr>
              <w:t>3.1</w:t>
            </w:r>
          </w:p>
        </w:tc>
        <w:tc>
          <w:tcPr>
            <w:tcW w:w="531" w:type="dxa"/>
            <w:shd w:val="clear" w:color="auto" w:fill="D4E3F5"/>
          </w:tcPr>
          <w:p>
            <w:pPr>
              <w:pStyle w:val="TableParagraph"/>
              <w:spacing w:line="147" w:lineRule="exact" w:before="17"/>
              <w:ind w:left="1" w:right="27"/>
              <w:rPr>
                <w:sz w:val="13"/>
              </w:rPr>
            </w:pPr>
            <w:r>
              <w:rPr>
                <w:color w:val="231F20"/>
                <w:spacing w:val="-5"/>
                <w:w w:val="95"/>
                <w:sz w:val="13"/>
              </w:rPr>
              <w:t>3.1</w:t>
            </w:r>
          </w:p>
        </w:tc>
        <w:tc>
          <w:tcPr>
            <w:tcW w:w="549" w:type="dxa"/>
            <w:shd w:val="clear" w:color="auto" w:fill="D4E3F5"/>
          </w:tcPr>
          <w:p>
            <w:pPr>
              <w:pStyle w:val="TableParagraph"/>
              <w:spacing w:line="147" w:lineRule="exact" w:before="17"/>
              <w:ind w:left="16" w:right="16"/>
              <w:rPr>
                <w:sz w:val="13"/>
              </w:rPr>
            </w:pPr>
            <w:r>
              <w:rPr>
                <w:color w:val="231F20"/>
                <w:spacing w:val="-5"/>
                <w:w w:val="95"/>
                <w:sz w:val="13"/>
              </w:rPr>
              <w:t>3.0</w:t>
            </w:r>
          </w:p>
        </w:tc>
        <w:tc>
          <w:tcPr>
            <w:tcW w:w="615" w:type="dxa"/>
            <w:shd w:val="clear" w:color="auto" w:fill="D4E3F5"/>
          </w:tcPr>
          <w:p>
            <w:pPr>
              <w:pStyle w:val="TableParagraph"/>
              <w:spacing w:line="147" w:lineRule="exact" w:before="17"/>
              <w:ind w:left="19" w:right="8"/>
              <w:rPr>
                <w:sz w:val="13"/>
              </w:rPr>
            </w:pPr>
            <w:r>
              <w:rPr>
                <w:color w:val="231F20"/>
                <w:spacing w:val="-5"/>
                <w:w w:val="95"/>
                <w:sz w:val="13"/>
              </w:rPr>
              <w:t>2.8</w:t>
            </w:r>
          </w:p>
        </w:tc>
        <w:tc>
          <w:tcPr>
            <w:tcW w:w="706" w:type="dxa"/>
            <w:shd w:val="clear" w:color="auto" w:fill="D4E3F5"/>
          </w:tcPr>
          <w:p>
            <w:pPr>
              <w:pStyle w:val="TableParagraph"/>
              <w:spacing w:line="147" w:lineRule="exact" w:before="17"/>
              <w:ind w:left="18" w:right="24"/>
              <w:rPr>
                <w:sz w:val="13"/>
              </w:rPr>
            </w:pPr>
            <w:r>
              <w:rPr>
                <w:color w:val="231F20"/>
                <w:spacing w:val="-5"/>
                <w:w w:val="95"/>
                <w:sz w:val="13"/>
              </w:rPr>
              <w:t>3.2</w:t>
            </w:r>
          </w:p>
        </w:tc>
        <w:tc>
          <w:tcPr>
            <w:tcW w:w="368" w:type="dxa"/>
            <w:shd w:val="clear" w:color="auto" w:fill="D4E3F5"/>
          </w:tcPr>
          <w:p>
            <w:pPr>
              <w:pStyle w:val="TableParagraph"/>
              <w:spacing w:line="147" w:lineRule="exact" w:before="17"/>
              <w:ind w:left="18" w:right="28"/>
              <w:rPr>
                <w:sz w:val="13"/>
              </w:rPr>
            </w:pPr>
            <w:r>
              <w:rPr>
                <w:color w:val="231F20"/>
                <w:spacing w:val="-5"/>
                <w:w w:val="95"/>
                <w:sz w:val="13"/>
              </w:rPr>
              <w:t>3.5</w:t>
            </w:r>
          </w:p>
        </w:tc>
        <w:tc>
          <w:tcPr>
            <w:tcW w:w="536" w:type="dxa"/>
            <w:tcBorders>
              <w:right w:val="single" w:sz="24" w:space="0" w:color="FFFFFF"/>
            </w:tcBorders>
            <w:shd w:val="clear" w:color="auto" w:fill="D4E3F5"/>
          </w:tcPr>
          <w:p>
            <w:pPr>
              <w:pStyle w:val="TableParagraph"/>
              <w:spacing w:line="147" w:lineRule="exact" w:before="17"/>
              <w:ind w:left="20" w:right="27"/>
              <w:rPr>
                <w:sz w:val="13"/>
              </w:rPr>
            </w:pPr>
            <w:r>
              <w:rPr>
                <w:color w:val="231F20"/>
                <w:spacing w:val="-5"/>
                <w:w w:val="95"/>
                <w:sz w:val="13"/>
              </w:rPr>
              <w:t>3.2</w:t>
            </w:r>
          </w:p>
        </w:tc>
        <w:tc>
          <w:tcPr>
            <w:tcW w:w="1415" w:type="dxa"/>
            <w:tcBorders>
              <w:left w:val="single" w:sz="24" w:space="0" w:color="FFFFFF"/>
            </w:tcBorders>
            <w:shd w:val="clear" w:color="auto" w:fill="D4E3F5"/>
          </w:tcPr>
          <w:p>
            <w:pPr>
              <w:pStyle w:val="TableParagraph"/>
              <w:spacing w:line="147" w:lineRule="exact" w:before="17"/>
              <w:ind w:left="69"/>
              <w:jc w:val="left"/>
              <w:rPr>
                <w:sz w:val="13"/>
              </w:rPr>
            </w:pPr>
            <w:r>
              <w:rPr>
                <w:color w:val="231F20"/>
                <w:spacing w:val="-2"/>
                <w:w w:val="90"/>
                <w:sz w:val="13"/>
              </w:rPr>
              <w:t>Mauritania</w:t>
            </w:r>
          </w:p>
        </w:tc>
        <w:tc>
          <w:tcPr>
            <w:tcW w:w="482" w:type="dxa"/>
            <w:shd w:val="clear" w:color="auto" w:fill="D4E3F5"/>
          </w:tcPr>
          <w:p>
            <w:pPr>
              <w:pStyle w:val="TableParagraph"/>
              <w:spacing w:line="147" w:lineRule="exact" w:before="17"/>
              <w:ind w:right="110"/>
              <w:jc w:val="right"/>
              <w:rPr>
                <w:sz w:val="13"/>
              </w:rPr>
            </w:pPr>
            <w:r>
              <w:rPr>
                <w:color w:val="231F20"/>
                <w:spacing w:val="-5"/>
                <w:w w:val="95"/>
                <w:sz w:val="13"/>
              </w:rPr>
              <w:t>2.3</w:t>
            </w:r>
          </w:p>
        </w:tc>
        <w:tc>
          <w:tcPr>
            <w:tcW w:w="532" w:type="dxa"/>
            <w:shd w:val="clear" w:color="auto" w:fill="D4E3F5"/>
          </w:tcPr>
          <w:p>
            <w:pPr>
              <w:pStyle w:val="TableParagraph"/>
              <w:spacing w:line="147" w:lineRule="exact" w:before="17"/>
              <w:ind w:left="1" w:right="55"/>
              <w:rPr>
                <w:sz w:val="13"/>
              </w:rPr>
            </w:pPr>
            <w:r>
              <w:rPr>
                <w:color w:val="231F20"/>
                <w:spacing w:val="-5"/>
                <w:w w:val="95"/>
                <w:sz w:val="13"/>
              </w:rPr>
              <w:t>2.1</w:t>
            </w:r>
          </w:p>
        </w:tc>
        <w:tc>
          <w:tcPr>
            <w:tcW w:w="550" w:type="dxa"/>
            <w:shd w:val="clear" w:color="auto" w:fill="D4E3F5"/>
          </w:tcPr>
          <w:p>
            <w:pPr>
              <w:pStyle w:val="TableParagraph"/>
              <w:spacing w:line="147" w:lineRule="exact" w:before="17"/>
              <w:ind w:left="18" w:right="45"/>
              <w:rPr>
                <w:sz w:val="13"/>
              </w:rPr>
            </w:pPr>
            <w:r>
              <w:rPr>
                <w:color w:val="231F20"/>
                <w:spacing w:val="-5"/>
                <w:w w:val="95"/>
                <w:sz w:val="13"/>
              </w:rPr>
              <w:t>2.0</w:t>
            </w:r>
          </w:p>
        </w:tc>
        <w:tc>
          <w:tcPr>
            <w:tcW w:w="616" w:type="dxa"/>
            <w:shd w:val="clear" w:color="auto" w:fill="D4E3F5"/>
          </w:tcPr>
          <w:p>
            <w:pPr>
              <w:pStyle w:val="TableParagraph"/>
              <w:spacing w:line="147" w:lineRule="exact" w:before="17"/>
              <w:ind w:left="20" w:right="37"/>
              <w:rPr>
                <w:sz w:val="13"/>
              </w:rPr>
            </w:pPr>
            <w:r>
              <w:rPr>
                <w:color w:val="231F20"/>
                <w:spacing w:val="-5"/>
                <w:w w:val="95"/>
                <w:sz w:val="13"/>
              </w:rPr>
              <w:t>2.2</w:t>
            </w:r>
          </w:p>
        </w:tc>
        <w:tc>
          <w:tcPr>
            <w:tcW w:w="707" w:type="dxa"/>
            <w:shd w:val="clear" w:color="auto" w:fill="D4E3F5"/>
          </w:tcPr>
          <w:p>
            <w:pPr>
              <w:pStyle w:val="TableParagraph"/>
              <w:spacing w:line="147" w:lineRule="exact" w:before="17"/>
              <w:ind w:left="14" w:right="55"/>
              <w:rPr>
                <w:sz w:val="13"/>
              </w:rPr>
            </w:pPr>
            <w:r>
              <w:rPr>
                <w:color w:val="231F20"/>
                <w:spacing w:val="-5"/>
                <w:w w:val="95"/>
                <w:sz w:val="13"/>
              </w:rPr>
              <w:t>2.5</w:t>
            </w:r>
          </w:p>
        </w:tc>
        <w:tc>
          <w:tcPr>
            <w:tcW w:w="369" w:type="dxa"/>
            <w:shd w:val="clear" w:color="auto" w:fill="D4E3F5"/>
          </w:tcPr>
          <w:p>
            <w:pPr>
              <w:pStyle w:val="TableParagraph"/>
              <w:spacing w:line="147" w:lineRule="exact" w:before="17"/>
              <w:ind w:left="15" w:right="61"/>
              <w:rPr>
                <w:sz w:val="13"/>
              </w:rPr>
            </w:pPr>
            <w:r>
              <w:rPr>
                <w:color w:val="231F20"/>
                <w:spacing w:val="-5"/>
                <w:w w:val="95"/>
                <w:sz w:val="13"/>
              </w:rPr>
              <w:t>2.8</w:t>
            </w:r>
          </w:p>
        </w:tc>
        <w:tc>
          <w:tcPr>
            <w:tcW w:w="507" w:type="dxa"/>
            <w:shd w:val="clear" w:color="auto" w:fill="D4E3F5"/>
          </w:tcPr>
          <w:p>
            <w:pPr>
              <w:pStyle w:val="TableParagraph"/>
              <w:spacing w:line="147" w:lineRule="exact" w:before="17"/>
              <w:ind w:left="5" w:right="51"/>
              <w:rPr>
                <w:sz w:val="13"/>
              </w:rPr>
            </w:pPr>
            <w:r>
              <w:rPr>
                <w:color w:val="231F20"/>
                <w:spacing w:val="-5"/>
                <w:w w:val="95"/>
                <w:sz w:val="13"/>
              </w:rPr>
              <w:t>2.5</w:t>
            </w:r>
          </w:p>
        </w:tc>
      </w:tr>
      <w:tr>
        <w:trPr>
          <w:trHeight w:val="184" w:hRule="atLeast"/>
        </w:trPr>
        <w:tc>
          <w:tcPr>
            <w:tcW w:w="1377" w:type="dxa"/>
          </w:tcPr>
          <w:p>
            <w:pPr>
              <w:pStyle w:val="TableParagraph"/>
              <w:spacing w:line="147" w:lineRule="exact" w:before="17"/>
              <w:ind w:left="80"/>
              <w:jc w:val="left"/>
              <w:rPr>
                <w:sz w:val="13"/>
              </w:rPr>
            </w:pPr>
            <w:r>
              <w:rPr>
                <w:color w:val="231F20"/>
                <w:spacing w:val="-2"/>
                <w:w w:val="85"/>
                <w:sz w:val="13"/>
              </w:rPr>
              <w:t>Panama</w:t>
            </w:r>
          </w:p>
        </w:tc>
        <w:tc>
          <w:tcPr>
            <w:tcW w:w="487" w:type="dxa"/>
          </w:tcPr>
          <w:p>
            <w:pPr>
              <w:pStyle w:val="TableParagraph"/>
              <w:spacing w:line="147" w:lineRule="exact" w:before="17"/>
              <w:ind w:right="113"/>
              <w:jc w:val="right"/>
              <w:rPr>
                <w:sz w:val="13"/>
              </w:rPr>
            </w:pPr>
            <w:r>
              <w:rPr>
                <w:color w:val="231F20"/>
                <w:spacing w:val="-5"/>
                <w:w w:val="95"/>
                <w:sz w:val="13"/>
              </w:rPr>
              <w:t>3.1</w:t>
            </w:r>
          </w:p>
        </w:tc>
        <w:tc>
          <w:tcPr>
            <w:tcW w:w="531" w:type="dxa"/>
          </w:tcPr>
          <w:p>
            <w:pPr>
              <w:pStyle w:val="TableParagraph"/>
              <w:spacing w:line="147" w:lineRule="exact" w:before="17"/>
              <w:ind w:left="18" w:right="27"/>
              <w:rPr>
                <w:sz w:val="13"/>
              </w:rPr>
            </w:pPr>
            <w:r>
              <w:rPr>
                <w:color w:val="231F20"/>
                <w:spacing w:val="-5"/>
                <w:w w:val="95"/>
                <w:sz w:val="13"/>
              </w:rPr>
              <w:t>3.0</w:t>
            </w:r>
          </w:p>
        </w:tc>
        <w:tc>
          <w:tcPr>
            <w:tcW w:w="549" w:type="dxa"/>
          </w:tcPr>
          <w:p>
            <w:pPr>
              <w:pStyle w:val="TableParagraph"/>
              <w:spacing w:line="147" w:lineRule="exact" w:before="17"/>
              <w:ind w:left="18" w:right="16"/>
              <w:rPr>
                <w:sz w:val="13"/>
              </w:rPr>
            </w:pPr>
            <w:r>
              <w:rPr>
                <w:color w:val="231F20"/>
                <w:spacing w:val="-5"/>
                <w:w w:val="95"/>
                <w:sz w:val="13"/>
              </w:rPr>
              <w:t>3.3</w:t>
            </w:r>
          </w:p>
        </w:tc>
        <w:tc>
          <w:tcPr>
            <w:tcW w:w="615" w:type="dxa"/>
          </w:tcPr>
          <w:p>
            <w:pPr>
              <w:pStyle w:val="TableParagraph"/>
              <w:spacing w:line="147" w:lineRule="exact" w:before="17"/>
              <w:ind w:left="12" w:right="15"/>
              <w:rPr>
                <w:sz w:val="13"/>
              </w:rPr>
            </w:pPr>
            <w:r>
              <w:rPr>
                <w:color w:val="231F20"/>
                <w:spacing w:val="-5"/>
                <w:w w:val="95"/>
                <w:sz w:val="13"/>
              </w:rPr>
              <w:t>3.1</w:t>
            </w:r>
          </w:p>
        </w:tc>
        <w:tc>
          <w:tcPr>
            <w:tcW w:w="706" w:type="dxa"/>
          </w:tcPr>
          <w:p>
            <w:pPr>
              <w:pStyle w:val="TableParagraph"/>
              <w:spacing w:line="147" w:lineRule="exact" w:before="17"/>
              <w:ind w:left="17" w:right="24"/>
              <w:rPr>
                <w:sz w:val="13"/>
              </w:rPr>
            </w:pPr>
            <w:r>
              <w:rPr>
                <w:color w:val="231F20"/>
                <w:spacing w:val="-5"/>
                <w:w w:val="95"/>
                <w:sz w:val="13"/>
              </w:rPr>
              <w:t>3.0</w:t>
            </w:r>
          </w:p>
        </w:tc>
        <w:tc>
          <w:tcPr>
            <w:tcW w:w="368" w:type="dxa"/>
          </w:tcPr>
          <w:p>
            <w:pPr>
              <w:pStyle w:val="TableParagraph"/>
              <w:spacing w:line="147" w:lineRule="exact" w:before="17"/>
              <w:ind w:left="17" w:right="28"/>
              <w:rPr>
                <w:sz w:val="13"/>
              </w:rPr>
            </w:pPr>
            <w:r>
              <w:rPr>
                <w:color w:val="231F20"/>
                <w:spacing w:val="-5"/>
                <w:w w:val="95"/>
                <w:sz w:val="13"/>
              </w:rPr>
              <w:t>3.4</w:t>
            </w:r>
          </w:p>
        </w:tc>
        <w:tc>
          <w:tcPr>
            <w:tcW w:w="536" w:type="dxa"/>
            <w:tcBorders>
              <w:right w:val="single" w:sz="24" w:space="0" w:color="FFFFFF"/>
            </w:tcBorders>
          </w:tcPr>
          <w:p>
            <w:pPr>
              <w:pStyle w:val="TableParagraph"/>
              <w:spacing w:line="147" w:lineRule="exact" w:before="17"/>
              <w:ind w:left="19" w:right="27"/>
              <w:rPr>
                <w:sz w:val="13"/>
              </w:rPr>
            </w:pPr>
            <w:r>
              <w:rPr>
                <w:color w:val="231F20"/>
                <w:spacing w:val="-5"/>
                <w:w w:val="95"/>
                <w:sz w:val="13"/>
              </w:rPr>
              <w:t>2.9</w:t>
            </w:r>
          </w:p>
        </w:tc>
        <w:tc>
          <w:tcPr>
            <w:tcW w:w="1415" w:type="dxa"/>
            <w:tcBorders>
              <w:left w:val="single" w:sz="24" w:space="0" w:color="FFFFFF"/>
            </w:tcBorders>
          </w:tcPr>
          <w:p>
            <w:pPr>
              <w:pStyle w:val="TableParagraph"/>
              <w:spacing w:line="147" w:lineRule="exact" w:before="17"/>
              <w:ind w:left="69"/>
              <w:jc w:val="left"/>
              <w:rPr>
                <w:sz w:val="13"/>
              </w:rPr>
            </w:pPr>
            <w:r>
              <w:rPr>
                <w:color w:val="231F20"/>
                <w:w w:val="75"/>
                <w:sz w:val="13"/>
              </w:rPr>
              <w:t>Syrian</w:t>
            </w:r>
            <w:r>
              <w:rPr>
                <w:color w:val="231F20"/>
                <w:spacing w:val="9"/>
                <w:sz w:val="13"/>
              </w:rPr>
              <w:t> </w:t>
            </w:r>
            <w:r>
              <w:rPr>
                <w:color w:val="231F20"/>
                <w:w w:val="75"/>
                <w:sz w:val="13"/>
              </w:rPr>
              <w:t>Arab</w:t>
            </w:r>
            <w:r>
              <w:rPr>
                <w:color w:val="231F20"/>
                <w:spacing w:val="10"/>
                <w:sz w:val="13"/>
              </w:rPr>
              <w:t> </w:t>
            </w:r>
            <w:r>
              <w:rPr>
                <w:color w:val="231F20"/>
                <w:spacing w:val="-2"/>
                <w:w w:val="75"/>
                <w:sz w:val="13"/>
              </w:rPr>
              <w:t>Republic</w:t>
            </w:r>
          </w:p>
        </w:tc>
        <w:tc>
          <w:tcPr>
            <w:tcW w:w="482" w:type="dxa"/>
          </w:tcPr>
          <w:p>
            <w:pPr>
              <w:pStyle w:val="TableParagraph"/>
              <w:spacing w:line="147" w:lineRule="exact" w:before="17"/>
              <w:ind w:right="110"/>
              <w:jc w:val="right"/>
              <w:rPr>
                <w:sz w:val="13"/>
              </w:rPr>
            </w:pPr>
            <w:r>
              <w:rPr>
                <w:color w:val="231F20"/>
                <w:spacing w:val="-5"/>
                <w:w w:val="95"/>
                <w:sz w:val="13"/>
              </w:rPr>
              <w:t>2.3</w:t>
            </w:r>
          </w:p>
        </w:tc>
        <w:tc>
          <w:tcPr>
            <w:tcW w:w="532" w:type="dxa"/>
          </w:tcPr>
          <w:p>
            <w:pPr>
              <w:pStyle w:val="TableParagraph"/>
              <w:spacing w:line="147" w:lineRule="exact" w:before="17"/>
              <w:ind w:left="18" w:right="55"/>
              <w:rPr>
                <w:sz w:val="13"/>
              </w:rPr>
            </w:pPr>
            <w:r>
              <w:rPr>
                <w:color w:val="231F20"/>
                <w:spacing w:val="-5"/>
                <w:w w:val="95"/>
                <w:sz w:val="13"/>
              </w:rPr>
              <w:t>2.2</w:t>
            </w:r>
          </w:p>
        </w:tc>
        <w:tc>
          <w:tcPr>
            <w:tcW w:w="550" w:type="dxa"/>
          </w:tcPr>
          <w:p>
            <w:pPr>
              <w:pStyle w:val="TableParagraph"/>
              <w:spacing w:line="147" w:lineRule="exact" w:before="17"/>
              <w:ind w:left="19" w:right="45"/>
              <w:rPr>
                <w:sz w:val="13"/>
              </w:rPr>
            </w:pPr>
            <w:r>
              <w:rPr>
                <w:color w:val="231F20"/>
                <w:spacing w:val="-5"/>
                <w:w w:val="95"/>
                <w:sz w:val="13"/>
              </w:rPr>
              <w:t>2.2</w:t>
            </w:r>
          </w:p>
        </w:tc>
        <w:tc>
          <w:tcPr>
            <w:tcW w:w="616" w:type="dxa"/>
          </w:tcPr>
          <w:p>
            <w:pPr>
              <w:pStyle w:val="TableParagraph"/>
              <w:spacing w:line="147" w:lineRule="exact" w:before="17"/>
              <w:ind w:left="18" w:right="37"/>
              <w:rPr>
                <w:sz w:val="13"/>
              </w:rPr>
            </w:pPr>
            <w:r>
              <w:rPr>
                <w:color w:val="231F20"/>
                <w:spacing w:val="-5"/>
                <w:w w:val="95"/>
                <w:sz w:val="13"/>
              </w:rPr>
              <w:t>2.3</w:t>
            </w:r>
          </w:p>
        </w:tc>
        <w:tc>
          <w:tcPr>
            <w:tcW w:w="707" w:type="dxa"/>
          </w:tcPr>
          <w:p>
            <w:pPr>
              <w:pStyle w:val="TableParagraph"/>
              <w:spacing w:line="147" w:lineRule="exact" w:before="17"/>
              <w:ind w:left="15" w:right="55"/>
              <w:rPr>
                <w:sz w:val="13"/>
              </w:rPr>
            </w:pPr>
            <w:r>
              <w:rPr>
                <w:color w:val="231F20"/>
                <w:spacing w:val="-5"/>
                <w:w w:val="95"/>
                <w:sz w:val="13"/>
              </w:rPr>
              <w:t>2.2</w:t>
            </w:r>
          </w:p>
        </w:tc>
        <w:tc>
          <w:tcPr>
            <w:tcW w:w="369" w:type="dxa"/>
          </w:tcPr>
          <w:p>
            <w:pPr>
              <w:pStyle w:val="TableParagraph"/>
              <w:spacing w:line="147" w:lineRule="exact" w:before="17"/>
              <w:ind w:left="15" w:right="61"/>
              <w:rPr>
                <w:sz w:val="13"/>
              </w:rPr>
            </w:pPr>
            <w:r>
              <w:rPr>
                <w:color w:val="231F20"/>
                <w:spacing w:val="-5"/>
                <w:w w:val="95"/>
                <w:sz w:val="13"/>
              </w:rPr>
              <w:t>2.5</w:t>
            </w:r>
          </w:p>
        </w:tc>
        <w:tc>
          <w:tcPr>
            <w:tcW w:w="507" w:type="dxa"/>
          </w:tcPr>
          <w:p>
            <w:pPr>
              <w:pStyle w:val="TableParagraph"/>
              <w:spacing w:line="147" w:lineRule="exact" w:before="17"/>
              <w:ind w:left="5" w:right="51"/>
              <w:rPr>
                <w:sz w:val="13"/>
              </w:rPr>
            </w:pPr>
            <w:r>
              <w:rPr>
                <w:color w:val="231F20"/>
                <w:spacing w:val="-5"/>
                <w:w w:val="95"/>
                <w:sz w:val="13"/>
              </w:rPr>
              <w:t>2.3</w:t>
            </w:r>
          </w:p>
        </w:tc>
      </w:tr>
      <w:tr>
        <w:trPr>
          <w:trHeight w:val="184" w:hRule="atLeast"/>
        </w:trPr>
        <w:tc>
          <w:tcPr>
            <w:tcW w:w="1377" w:type="dxa"/>
            <w:shd w:val="clear" w:color="auto" w:fill="D4E3F5"/>
          </w:tcPr>
          <w:p>
            <w:pPr>
              <w:pStyle w:val="TableParagraph"/>
              <w:spacing w:line="147" w:lineRule="exact" w:before="17"/>
              <w:ind w:left="80"/>
              <w:jc w:val="left"/>
              <w:rPr>
                <w:sz w:val="13"/>
              </w:rPr>
            </w:pPr>
            <w:r>
              <w:rPr>
                <w:color w:val="231F20"/>
                <w:w w:val="75"/>
                <w:sz w:val="13"/>
              </w:rPr>
              <w:t>Bosnia</w:t>
            </w:r>
            <w:r>
              <w:rPr>
                <w:color w:val="231F20"/>
                <w:spacing w:val="7"/>
                <w:sz w:val="13"/>
              </w:rPr>
              <w:t> </w:t>
            </w:r>
            <w:r>
              <w:rPr>
                <w:color w:val="231F20"/>
                <w:w w:val="75"/>
                <w:sz w:val="13"/>
              </w:rPr>
              <w:t>and</w:t>
            </w:r>
            <w:r>
              <w:rPr>
                <w:color w:val="231F20"/>
                <w:spacing w:val="7"/>
                <w:sz w:val="13"/>
              </w:rPr>
              <w:t> </w:t>
            </w:r>
            <w:r>
              <w:rPr>
                <w:color w:val="231F20"/>
                <w:spacing w:val="-2"/>
                <w:w w:val="75"/>
                <w:sz w:val="13"/>
              </w:rPr>
              <w:t>Herzegovina</w:t>
            </w:r>
          </w:p>
        </w:tc>
        <w:tc>
          <w:tcPr>
            <w:tcW w:w="487" w:type="dxa"/>
            <w:shd w:val="clear" w:color="auto" w:fill="D4E3F5"/>
          </w:tcPr>
          <w:p>
            <w:pPr>
              <w:pStyle w:val="TableParagraph"/>
              <w:spacing w:line="147" w:lineRule="exact" w:before="17"/>
              <w:ind w:right="96"/>
              <w:jc w:val="right"/>
              <w:rPr>
                <w:sz w:val="13"/>
              </w:rPr>
            </w:pPr>
            <w:r>
              <w:rPr>
                <w:color w:val="231F20"/>
                <w:spacing w:val="-5"/>
                <w:w w:val="95"/>
                <w:sz w:val="13"/>
              </w:rPr>
              <w:t>3.0</w:t>
            </w:r>
          </w:p>
        </w:tc>
        <w:tc>
          <w:tcPr>
            <w:tcW w:w="531" w:type="dxa"/>
            <w:shd w:val="clear" w:color="auto" w:fill="D4E3F5"/>
          </w:tcPr>
          <w:p>
            <w:pPr>
              <w:pStyle w:val="TableParagraph"/>
              <w:spacing w:line="147" w:lineRule="exact" w:before="17"/>
              <w:ind w:left="14" w:right="27"/>
              <w:rPr>
                <w:sz w:val="13"/>
              </w:rPr>
            </w:pPr>
            <w:r>
              <w:rPr>
                <w:color w:val="231F20"/>
                <w:spacing w:val="-5"/>
                <w:w w:val="95"/>
                <w:sz w:val="13"/>
              </w:rPr>
              <w:t>2.7</w:t>
            </w:r>
          </w:p>
        </w:tc>
        <w:tc>
          <w:tcPr>
            <w:tcW w:w="549" w:type="dxa"/>
            <w:shd w:val="clear" w:color="auto" w:fill="D4E3F5"/>
          </w:tcPr>
          <w:p>
            <w:pPr>
              <w:pStyle w:val="TableParagraph"/>
              <w:spacing w:line="147" w:lineRule="exact" w:before="17"/>
              <w:ind w:left="16" w:right="16"/>
              <w:rPr>
                <w:sz w:val="13"/>
              </w:rPr>
            </w:pPr>
            <w:r>
              <w:rPr>
                <w:color w:val="231F20"/>
                <w:spacing w:val="-5"/>
                <w:w w:val="95"/>
                <w:sz w:val="13"/>
              </w:rPr>
              <w:t>2.6</w:t>
            </w:r>
          </w:p>
        </w:tc>
        <w:tc>
          <w:tcPr>
            <w:tcW w:w="615" w:type="dxa"/>
            <w:shd w:val="clear" w:color="auto" w:fill="D4E3F5"/>
          </w:tcPr>
          <w:p>
            <w:pPr>
              <w:pStyle w:val="TableParagraph"/>
              <w:spacing w:line="147" w:lineRule="exact" w:before="17"/>
              <w:ind w:left="12" w:right="15"/>
              <w:rPr>
                <w:sz w:val="13"/>
              </w:rPr>
            </w:pPr>
            <w:r>
              <w:rPr>
                <w:color w:val="231F20"/>
                <w:spacing w:val="-5"/>
                <w:w w:val="95"/>
                <w:sz w:val="13"/>
              </w:rPr>
              <w:t>3.1</w:t>
            </w:r>
          </w:p>
        </w:tc>
        <w:tc>
          <w:tcPr>
            <w:tcW w:w="706" w:type="dxa"/>
            <w:shd w:val="clear" w:color="auto" w:fill="D4E3F5"/>
          </w:tcPr>
          <w:p>
            <w:pPr>
              <w:pStyle w:val="TableParagraph"/>
              <w:spacing w:line="147" w:lineRule="exact" w:before="17"/>
              <w:ind w:left="18" w:right="24"/>
              <w:rPr>
                <w:sz w:val="13"/>
              </w:rPr>
            </w:pPr>
            <w:r>
              <w:rPr>
                <w:color w:val="231F20"/>
                <w:spacing w:val="-5"/>
                <w:w w:val="95"/>
                <w:sz w:val="13"/>
              </w:rPr>
              <w:t>2.9</w:t>
            </w:r>
          </w:p>
        </w:tc>
        <w:tc>
          <w:tcPr>
            <w:tcW w:w="368" w:type="dxa"/>
            <w:shd w:val="clear" w:color="auto" w:fill="D4E3F5"/>
          </w:tcPr>
          <w:p>
            <w:pPr>
              <w:pStyle w:val="TableParagraph"/>
              <w:spacing w:line="147" w:lineRule="exact" w:before="17"/>
              <w:ind w:left="20" w:right="28"/>
              <w:rPr>
                <w:sz w:val="13"/>
              </w:rPr>
            </w:pPr>
            <w:r>
              <w:rPr>
                <w:color w:val="231F20"/>
                <w:spacing w:val="-5"/>
                <w:w w:val="95"/>
                <w:sz w:val="13"/>
              </w:rPr>
              <w:t>3.2</w:t>
            </w:r>
          </w:p>
        </w:tc>
        <w:tc>
          <w:tcPr>
            <w:tcW w:w="536" w:type="dxa"/>
            <w:tcBorders>
              <w:right w:val="single" w:sz="24" w:space="0" w:color="FFFFFF"/>
            </w:tcBorders>
            <w:shd w:val="clear" w:color="auto" w:fill="D4E3F5"/>
          </w:tcPr>
          <w:p>
            <w:pPr>
              <w:pStyle w:val="TableParagraph"/>
              <w:spacing w:line="147" w:lineRule="exact" w:before="17"/>
              <w:ind w:left="21" w:right="27"/>
              <w:rPr>
                <w:sz w:val="13"/>
              </w:rPr>
            </w:pPr>
            <w:r>
              <w:rPr>
                <w:color w:val="231F20"/>
                <w:spacing w:val="-5"/>
                <w:w w:val="95"/>
                <w:sz w:val="13"/>
              </w:rPr>
              <w:t>3.2</w:t>
            </w:r>
          </w:p>
        </w:tc>
        <w:tc>
          <w:tcPr>
            <w:tcW w:w="1415" w:type="dxa"/>
            <w:tcBorders>
              <w:left w:val="single" w:sz="24" w:space="0" w:color="FFFFFF"/>
            </w:tcBorders>
            <w:shd w:val="clear" w:color="auto" w:fill="D4E3F5"/>
          </w:tcPr>
          <w:p>
            <w:pPr>
              <w:pStyle w:val="TableParagraph"/>
              <w:spacing w:line="147" w:lineRule="exact" w:before="17"/>
              <w:ind w:left="69"/>
              <w:jc w:val="left"/>
              <w:rPr>
                <w:sz w:val="13"/>
              </w:rPr>
            </w:pPr>
            <w:r>
              <w:rPr>
                <w:color w:val="231F20"/>
                <w:w w:val="75"/>
                <w:sz w:val="13"/>
              </w:rPr>
              <w:t>Venezuela,</w:t>
            </w:r>
            <w:r>
              <w:rPr>
                <w:color w:val="231F20"/>
                <w:spacing w:val="10"/>
                <w:sz w:val="13"/>
              </w:rPr>
              <w:t> </w:t>
            </w:r>
            <w:r>
              <w:rPr>
                <w:color w:val="231F20"/>
                <w:spacing w:val="-5"/>
                <w:w w:val="85"/>
                <w:sz w:val="13"/>
              </w:rPr>
              <w:t>RB</w:t>
            </w:r>
          </w:p>
        </w:tc>
        <w:tc>
          <w:tcPr>
            <w:tcW w:w="482" w:type="dxa"/>
            <w:shd w:val="clear" w:color="auto" w:fill="D4E3F5"/>
          </w:tcPr>
          <w:p>
            <w:pPr>
              <w:pStyle w:val="TableParagraph"/>
              <w:spacing w:line="147" w:lineRule="exact" w:before="17"/>
              <w:ind w:right="111"/>
              <w:jc w:val="right"/>
              <w:rPr>
                <w:sz w:val="13"/>
              </w:rPr>
            </w:pPr>
            <w:r>
              <w:rPr>
                <w:color w:val="231F20"/>
                <w:spacing w:val="-5"/>
                <w:w w:val="95"/>
                <w:sz w:val="13"/>
              </w:rPr>
              <w:t>2.3</w:t>
            </w:r>
          </w:p>
        </w:tc>
        <w:tc>
          <w:tcPr>
            <w:tcW w:w="532" w:type="dxa"/>
            <w:shd w:val="clear" w:color="auto" w:fill="D4E3F5"/>
          </w:tcPr>
          <w:p>
            <w:pPr>
              <w:pStyle w:val="TableParagraph"/>
              <w:spacing w:line="147" w:lineRule="exact" w:before="17"/>
              <w:ind w:right="55"/>
              <w:rPr>
                <w:sz w:val="13"/>
              </w:rPr>
            </w:pPr>
            <w:r>
              <w:rPr>
                <w:color w:val="231F20"/>
                <w:spacing w:val="-5"/>
                <w:w w:val="95"/>
                <w:sz w:val="13"/>
              </w:rPr>
              <w:t>2.1</w:t>
            </w:r>
          </w:p>
        </w:tc>
        <w:tc>
          <w:tcPr>
            <w:tcW w:w="550" w:type="dxa"/>
            <w:shd w:val="clear" w:color="auto" w:fill="D4E3F5"/>
          </w:tcPr>
          <w:p>
            <w:pPr>
              <w:pStyle w:val="TableParagraph"/>
              <w:spacing w:line="147" w:lineRule="exact" w:before="17"/>
              <w:ind w:left="16" w:right="45"/>
              <w:rPr>
                <w:sz w:val="13"/>
              </w:rPr>
            </w:pPr>
            <w:r>
              <w:rPr>
                <w:color w:val="231F20"/>
                <w:spacing w:val="-5"/>
                <w:w w:val="95"/>
                <w:sz w:val="13"/>
              </w:rPr>
              <w:t>2.4</w:t>
            </w:r>
          </w:p>
        </w:tc>
        <w:tc>
          <w:tcPr>
            <w:tcW w:w="616" w:type="dxa"/>
            <w:shd w:val="clear" w:color="auto" w:fill="D4E3F5"/>
          </w:tcPr>
          <w:p>
            <w:pPr>
              <w:pStyle w:val="TableParagraph"/>
              <w:spacing w:line="147" w:lineRule="exact" w:before="17"/>
              <w:ind w:left="18" w:right="37"/>
              <w:rPr>
                <w:sz w:val="13"/>
              </w:rPr>
            </w:pPr>
            <w:r>
              <w:rPr>
                <w:color w:val="231F20"/>
                <w:spacing w:val="-5"/>
                <w:w w:val="95"/>
                <w:sz w:val="13"/>
              </w:rPr>
              <w:t>2.0</w:t>
            </w:r>
          </w:p>
        </w:tc>
        <w:tc>
          <w:tcPr>
            <w:tcW w:w="707" w:type="dxa"/>
            <w:shd w:val="clear" w:color="auto" w:fill="D4E3F5"/>
          </w:tcPr>
          <w:p>
            <w:pPr>
              <w:pStyle w:val="TableParagraph"/>
              <w:spacing w:line="147" w:lineRule="exact" w:before="17"/>
              <w:ind w:left="14" w:right="55"/>
              <w:rPr>
                <w:sz w:val="13"/>
              </w:rPr>
            </w:pPr>
            <w:r>
              <w:rPr>
                <w:color w:val="231F20"/>
                <w:spacing w:val="-5"/>
                <w:w w:val="95"/>
                <w:sz w:val="13"/>
              </w:rPr>
              <w:t>2.5</w:t>
            </w:r>
          </w:p>
        </w:tc>
        <w:tc>
          <w:tcPr>
            <w:tcW w:w="369" w:type="dxa"/>
            <w:shd w:val="clear" w:color="auto" w:fill="D4E3F5"/>
          </w:tcPr>
          <w:p>
            <w:pPr>
              <w:pStyle w:val="TableParagraph"/>
              <w:spacing w:line="147" w:lineRule="exact" w:before="17"/>
              <w:ind w:left="15" w:right="61"/>
              <w:rPr>
                <w:sz w:val="13"/>
              </w:rPr>
            </w:pPr>
            <w:r>
              <w:rPr>
                <w:color w:val="231F20"/>
                <w:spacing w:val="-5"/>
                <w:w w:val="95"/>
                <w:sz w:val="13"/>
              </w:rPr>
              <w:t>2.5</w:t>
            </w:r>
          </w:p>
        </w:tc>
        <w:tc>
          <w:tcPr>
            <w:tcW w:w="507" w:type="dxa"/>
            <w:shd w:val="clear" w:color="auto" w:fill="D4E3F5"/>
          </w:tcPr>
          <w:p>
            <w:pPr>
              <w:pStyle w:val="TableParagraph"/>
              <w:spacing w:line="147" w:lineRule="exact" w:before="17"/>
              <w:ind w:left="5" w:right="51"/>
              <w:rPr>
                <w:sz w:val="13"/>
              </w:rPr>
            </w:pPr>
            <w:r>
              <w:rPr>
                <w:color w:val="231F20"/>
                <w:spacing w:val="-5"/>
                <w:w w:val="95"/>
                <w:sz w:val="13"/>
              </w:rPr>
              <w:t>2.3</w:t>
            </w:r>
          </w:p>
        </w:tc>
      </w:tr>
      <w:tr>
        <w:trPr>
          <w:trHeight w:val="184" w:hRule="atLeast"/>
        </w:trPr>
        <w:tc>
          <w:tcPr>
            <w:tcW w:w="1377" w:type="dxa"/>
          </w:tcPr>
          <w:p>
            <w:pPr>
              <w:pStyle w:val="TableParagraph"/>
              <w:spacing w:line="147" w:lineRule="exact" w:before="17"/>
              <w:ind w:left="80"/>
              <w:jc w:val="left"/>
              <w:rPr>
                <w:sz w:val="13"/>
              </w:rPr>
            </w:pPr>
            <w:r>
              <w:rPr>
                <w:color w:val="231F20"/>
                <w:spacing w:val="-4"/>
                <w:w w:val="90"/>
                <w:sz w:val="13"/>
              </w:rPr>
              <w:t>Chile</w:t>
            </w:r>
          </w:p>
        </w:tc>
        <w:tc>
          <w:tcPr>
            <w:tcW w:w="487" w:type="dxa"/>
          </w:tcPr>
          <w:p>
            <w:pPr>
              <w:pStyle w:val="TableParagraph"/>
              <w:spacing w:line="147" w:lineRule="exact" w:before="17"/>
              <w:ind w:right="96"/>
              <w:jc w:val="right"/>
              <w:rPr>
                <w:sz w:val="13"/>
              </w:rPr>
            </w:pPr>
            <w:r>
              <w:rPr>
                <w:color w:val="231F20"/>
                <w:spacing w:val="-5"/>
                <w:w w:val="95"/>
                <w:sz w:val="13"/>
              </w:rPr>
              <w:t>3.0</w:t>
            </w:r>
          </w:p>
        </w:tc>
        <w:tc>
          <w:tcPr>
            <w:tcW w:w="531" w:type="dxa"/>
          </w:tcPr>
          <w:p>
            <w:pPr>
              <w:pStyle w:val="TableParagraph"/>
              <w:spacing w:line="147" w:lineRule="exact" w:before="17"/>
              <w:ind w:left="18" w:right="27"/>
              <w:rPr>
                <w:sz w:val="13"/>
              </w:rPr>
            </w:pPr>
            <w:r>
              <w:rPr>
                <w:color w:val="231F20"/>
                <w:spacing w:val="-5"/>
                <w:w w:val="95"/>
                <w:sz w:val="13"/>
              </w:rPr>
              <w:t>3.0</w:t>
            </w:r>
          </w:p>
        </w:tc>
        <w:tc>
          <w:tcPr>
            <w:tcW w:w="549" w:type="dxa"/>
          </w:tcPr>
          <w:p>
            <w:pPr>
              <w:pStyle w:val="TableParagraph"/>
              <w:spacing w:line="147" w:lineRule="exact" w:before="17"/>
              <w:ind w:left="17" w:right="16"/>
              <w:rPr>
                <w:sz w:val="13"/>
              </w:rPr>
            </w:pPr>
            <w:r>
              <w:rPr>
                <w:color w:val="231F20"/>
                <w:spacing w:val="-5"/>
                <w:w w:val="95"/>
                <w:sz w:val="13"/>
              </w:rPr>
              <w:t>2.8</w:t>
            </w:r>
          </w:p>
        </w:tc>
        <w:tc>
          <w:tcPr>
            <w:tcW w:w="615" w:type="dxa"/>
          </w:tcPr>
          <w:p>
            <w:pPr>
              <w:pStyle w:val="TableParagraph"/>
              <w:spacing w:line="147" w:lineRule="exact" w:before="17"/>
              <w:ind w:left="15" w:right="8"/>
              <w:rPr>
                <w:sz w:val="13"/>
              </w:rPr>
            </w:pPr>
            <w:r>
              <w:rPr>
                <w:color w:val="231F20"/>
                <w:spacing w:val="-5"/>
                <w:w w:val="95"/>
                <w:sz w:val="13"/>
              </w:rPr>
              <w:t>2.7</w:t>
            </w:r>
          </w:p>
        </w:tc>
        <w:tc>
          <w:tcPr>
            <w:tcW w:w="706" w:type="dxa"/>
          </w:tcPr>
          <w:p>
            <w:pPr>
              <w:pStyle w:val="TableParagraph"/>
              <w:spacing w:line="147" w:lineRule="exact" w:before="17"/>
              <w:ind w:left="1" w:right="24"/>
              <w:rPr>
                <w:sz w:val="13"/>
              </w:rPr>
            </w:pPr>
            <w:r>
              <w:rPr>
                <w:color w:val="231F20"/>
                <w:spacing w:val="-5"/>
                <w:w w:val="95"/>
                <w:sz w:val="13"/>
              </w:rPr>
              <w:t>3.1</w:t>
            </w:r>
          </w:p>
        </w:tc>
        <w:tc>
          <w:tcPr>
            <w:tcW w:w="368" w:type="dxa"/>
          </w:tcPr>
          <w:p>
            <w:pPr>
              <w:pStyle w:val="TableParagraph"/>
              <w:spacing w:line="147" w:lineRule="exact" w:before="17"/>
              <w:ind w:left="20" w:right="28"/>
              <w:rPr>
                <w:sz w:val="13"/>
              </w:rPr>
            </w:pPr>
            <w:r>
              <w:rPr>
                <w:color w:val="231F20"/>
                <w:spacing w:val="-5"/>
                <w:w w:val="95"/>
                <w:sz w:val="13"/>
              </w:rPr>
              <w:t>3.2</w:t>
            </w:r>
          </w:p>
        </w:tc>
        <w:tc>
          <w:tcPr>
            <w:tcW w:w="536" w:type="dxa"/>
            <w:tcBorders>
              <w:right w:val="single" w:sz="24" w:space="0" w:color="FFFFFF"/>
            </w:tcBorders>
          </w:tcPr>
          <w:p>
            <w:pPr>
              <w:pStyle w:val="TableParagraph"/>
              <w:spacing w:line="147" w:lineRule="exact" w:before="17"/>
              <w:ind w:left="20" w:right="27"/>
              <w:rPr>
                <w:sz w:val="13"/>
              </w:rPr>
            </w:pPr>
            <w:r>
              <w:rPr>
                <w:color w:val="231F20"/>
                <w:spacing w:val="-5"/>
                <w:w w:val="95"/>
                <w:sz w:val="13"/>
              </w:rPr>
              <w:t>3.0</w:t>
            </w:r>
          </w:p>
        </w:tc>
        <w:tc>
          <w:tcPr>
            <w:tcW w:w="1415" w:type="dxa"/>
            <w:tcBorders>
              <w:left w:val="single" w:sz="24" w:space="0" w:color="FFFFFF"/>
            </w:tcBorders>
          </w:tcPr>
          <w:p>
            <w:pPr>
              <w:pStyle w:val="TableParagraph"/>
              <w:spacing w:line="147" w:lineRule="exact" w:before="17"/>
              <w:ind w:left="69"/>
              <w:jc w:val="left"/>
              <w:rPr>
                <w:sz w:val="13"/>
              </w:rPr>
            </w:pPr>
            <w:r>
              <w:rPr>
                <w:color w:val="231F20"/>
                <w:spacing w:val="-4"/>
                <w:w w:val="85"/>
                <w:sz w:val="13"/>
              </w:rPr>
              <w:t>Cuba</w:t>
            </w:r>
          </w:p>
        </w:tc>
        <w:tc>
          <w:tcPr>
            <w:tcW w:w="482" w:type="dxa"/>
          </w:tcPr>
          <w:p>
            <w:pPr>
              <w:pStyle w:val="TableParagraph"/>
              <w:spacing w:line="147" w:lineRule="exact" w:before="17"/>
              <w:ind w:right="110"/>
              <w:jc w:val="right"/>
              <w:rPr>
                <w:sz w:val="13"/>
              </w:rPr>
            </w:pPr>
            <w:r>
              <w:rPr>
                <w:color w:val="231F20"/>
                <w:spacing w:val="-5"/>
                <w:w w:val="95"/>
                <w:sz w:val="13"/>
              </w:rPr>
              <w:t>2.2</w:t>
            </w:r>
          </w:p>
        </w:tc>
        <w:tc>
          <w:tcPr>
            <w:tcW w:w="532" w:type="dxa"/>
          </w:tcPr>
          <w:p>
            <w:pPr>
              <w:pStyle w:val="TableParagraph"/>
              <w:spacing w:line="147" w:lineRule="exact" w:before="17"/>
              <w:ind w:left="17" w:right="55"/>
              <w:rPr>
                <w:sz w:val="13"/>
              </w:rPr>
            </w:pPr>
            <w:r>
              <w:rPr>
                <w:color w:val="231F20"/>
                <w:spacing w:val="-5"/>
                <w:w w:val="95"/>
                <w:sz w:val="13"/>
              </w:rPr>
              <w:t>2.0</w:t>
            </w:r>
          </w:p>
        </w:tc>
        <w:tc>
          <w:tcPr>
            <w:tcW w:w="550" w:type="dxa"/>
          </w:tcPr>
          <w:p>
            <w:pPr>
              <w:pStyle w:val="TableParagraph"/>
              <w:spacing w:line="147" w:lineRule="exact" w:before="17"/>
              <w:ind w:left="18" w:right="45"/>
              <w:rPr>
                <w:sz w:val="13"/>
              </w:rPr>
            </w:pPr>
            <w:r>
              <w:rPr>
                <w:color w:val="231F20"/>
                <w:spacing w:val="-5"/>
                <w:w w:val="95"/>
                <w:sz w:val="13"/>
              </w:rPr>
              <w:t>2.2</w:t>
            </w:r>
          </w:p>
        </w:tc>
        <w:tc>
          <w:tcPr>
            <w:tcW w:w="616" w:type="dxa"/>
          </w:tcPr>
          <w:p>
            <w:pPr>
              <w:pStyle w:val="TableParagraph"/>
              <w:spacing w:line="147" w:lineRule="exact" w:before="17"/>
              <w:ind w:left="1" w:right="37"/>
              <w:rPr>
                <w:sz w:val="13"/>
              </w:rPr>
            </w:pPr>
            <w:r>
              <w:rPr>
                <w:color w:val="231F20"/>
                <w:spacing w:val="-5"/>
                <w:w w:val="95"/>
                <w:sz w:val="13"/>
              </w:rPr>
              <w:t>2.1</w:t>
            </w:r>
          </w:p>
        </w:tc>
        <w:tc>
          <w:tcPr>
            <w:tcW w:w="707" w:type="dxa"/>
          </w:tcPr>
          <w:p>
            <w:pPr>
              <w:pStyle w:val="TableParagraph"/>
              <w:spacing w:line="147" w:lineRule="exact" w:before="17"/>
              <w:ind w:left="15" w:right="55"/>
              <w:rPr>
                <w:sz w:val="13"/>
              </w:rPr>
            </w:pPr>
            <w:r>
              <w:rPr>
                <w:color w:val="231F20"/>
                <w:spacing w:val="-5"/>
                <w:w w:val="95"/>
                <w:sz w:val="13"/>
              </w:rPr>
              <w:t>2.2</w:t>
            </w:r>
          </w:p>
        </w:tc>
        <w:tc>
          <w:tcPr>
            <w:tcW w:w="369" w:type="dxa"/>
          </w:tcPr>
          <w:p>
            <w:pPr>
              <w:pStyle w:val="TableParagraph"/>
              <w:spacing w:line="147" w:lineRule="exact" w:before="17"/>
              <w:ind w:left="14" w:right="61"/>
              <w:rPr>
                <w:sz w:val="13"/>
              </w:rPr>
            </w:pPr>
            <w:r>
              <w:rPr>
                <w:color w:val="231F20"/>
                <w:spacing w:val="-5"/>
                <w:w w:val="95"/>
                <w:sz w:val="13"/>
              </w:rPr>
              <w:t>2.6</w:t>
            </w:r>
          </w:p>
        </w:tc>
        <w:tc>
          <w:tcPr>
            <w:tcW w:w="507" w:type="dxa"/>
          </w:tcPr>
          <w:p>
            <w:pPr>
              <w:pStyle w:val="TableParagraph"/>
              <w:spacing w:line="147" w:lineRule="exact" w:before="17"/>
              <w:ind w:left="3" w:right="51"/>
              <w:rPr>
                <w:sz w:val="13"/>
              </w:rPr>
            </w:pPr>
            <w:r>
              <w:rPr>
                <w:color w:val="231F20"/>
                <w:spacing w:val="-5"/>
                <w:w w:val="95"/>
                <w:sz w:val="13"/>
              </w:rPr>
              <w:t>2.4</w:t>
            </w:r>
          </w:p>
        </w:tc>
      </w:tr>
      <w:tr>
        <w:trPr>
          <w:trHeight w:val="184" w:hRule="atLeast"/>
        </w:trPr>
        <w:tc>
          <w:tcPr>
            <w:tcW w:w="1377" w:type="dxa"/>
            <w:shd w:val="clear" w:color="auto" w:fill="D4E3F5"/>
          </w:tcPr>
          <w:p>
            <w:pPr>
              <w:pStyle w:val="TableParagraph"/>
              <w:spacing w:line="147" w:lineRule="exact" w:before="17"/>
              <w:ind w:left="80"/>
              <w:jc w:val="left"/>
              <w:rPr>
                <w:sz w:val="13"/>
              </w:rPr>
            </w:pPr>
            <w:r>
              <w:rPr>
                <w:color w:val="231F20"/>
                <w:spacing w:val="-2"/>
                <w:w w:val="85"/>
                <w:sz w:val="13"/>
              </w:rPr>
              <w:t>Indonesia</w:t>
            </w:r>
          </w:p>
        </w:tc>
        <w:tc>
          <w:tcPr>
            <w:tcW w:w="487" w:type="dxa"/>
            <w:shd w:val="clear" w:color="auto" w:fill="D4E3F5"/>
          </w:tcPr>
          <w:p>
            <w:pPr>
              <w:pStyle w:val="TableParagraph"/>
              <w:spacing w:line="147" w:lineRule="exact" w:before="17"/>
              <w:ind w:right="96"/>
              <w:jc w:val="right"/>
              <w:rPr>
                <w:sz w:val="13"/>
              </w:rPr>
            </w:pPr>
            <w:r>
              <w:rPr>
                <w:color w:val="231F20"/>
                <w:spacing w:val="-5"/>
                <w:w w:val="95"/>
                <w:sz w:val="13"/>
              </w:rPr>
              <w:t>3.0</w:t>
            </w:r>
          </w:p>
        </w:tc>
        <w:tc>
          <w:tcPr>
            <w:tcW w:w="531" w:type="dxa"/>
            <w:shd w:val="clear" w:color="auto" w:fill="D4E3F5"/>
          </w:tcPr>
          <w:p>
            <w:pPr>
              <w:pStyle w:val="TableParagraph"/>
              <w:spacing w:line="147" w:lineRule="exact" w:before="17"/>
              <w:ind w:left="19" w:right="27"/>
              <w:rPr>
                <w:sz w:val="13"/>
              </w:rPr>
            </w:pPr>
            <w:r>
              <w:rPr>
                <w:color w:val="231F20"/>
                <w:spacing w:val="-5"/>
                <w:w w:val="95"/>
                <w:sz w:val="13"/>
              </w:rPr>
              <w:t>2.8</w:t>
            </w:r>
          </w:p>
        </w:tc>
        <w:tc>
          <w:tcPr>
            <w:tcW w:w="549" w:type="dxa"/>
            <w:shd w:val="clear" w:color="auto" w:fill="D4E3F5"/>
          </w:tcPr>
          <w:p>
            <w:pPr>
              <w:pStyle w:val="TableParagraph"/>
              <w:spacing w:line="147" w:lineRule="exact" w:before="17"/>
              <w:ind w:left="17" w:right="16"/>
              <w:rPr>
                <w:sz w:val="13"/>
              </w:rPr>
            </w:pPr>
            <w:r>
              <w:rPr>
                <w:color w:val="231F20"/>
                <w:spacing w:val="-5"/>
                <w:w w:val="95"/>
                <w:sz w:val="13"/>
              </w:rPr>
              <w:t>2.9</w:t>
            </w:r>
          </w:p>
        </w:tc>
        <w:tc>
          <w:tcPr>
            <w:tcW w:w="615" w:type="dxa"/>
            <w:shd w:val="clear" w:color="auto" w:fill="D4E3F5"/>
          </w:tcPr>
          <w:p>
            <w:pPr>
              <w:pStyle w:val="TableParagraph"/>
              <w:spacing w:line="147" w:lineRule="exact" w:before="17"/>
              <w:ind w:left="19" w:right="8"/>
              <w:rPr>
                <w:sz w:val="13"/>
              </w:rPr>
            </w:pPr>
            <w:r>
              <w:rPr>
                <w:color w:val="231F20"/>
                <w:spacing w:val="-5"/>
                <w:w w:val="95"/>
                <w:sz w:val="13"/>
              </w:rPr>
              <w:t>3.0</w:t>
            </w:r>
          </w:p>
        </w:tc>
        <w:tc>
          <w:tcPr>
            <w:tcW w:w="706" w:type="dxa"/>
            <w:shd w:val="clear" w:color="auto" w:fill="D4E3F5"/>
          </w:tcPr>
          <w:p>
            <w:pPr>
              <w:pStyle w:val="TableParagraph"/>
              <w:spacing w:line="147" w:lineRule="exact" w:before="17"/>
              <w:ind w:left="18" w:right="24"/>
              <w:rPr>
                <w:sz w:val="13"/>
              </w:rPr>
            </w:pPr>
            <w:r>
              <w:rPr>
                <w:color w:val="231F20"/>
                <w:spacing w:val="-5"/>
                <w:w w:val="95"/>
                <w:sz w:val="13"/>
              </w:rPr>
              <w:t>2.9</w:t>
            </w:r>
          </w:p>
        </w:tc>
        <w:tc>
          <w:tcPr>
            <w:tcW w:w="368" w:type="dxa"/>
            <w:shd w:val="clear" w:color="auto" w:fill="D4E3F5"/>
          </w:tcPr>
          <w:p>
            <w:pPr>
              <w:pStyle w:val="TableParagraph"/>
              <w:spacing w:line="147" w:lineRule="exact" w:before="17"/>
              <w:ind w:left="22" w:right="28"/>
              <w:rPr>
                <w:sz w:val="13"/>
              </w:rPr>
            </w:pPr>
            <w:r>
              <w:rPr>
                <w:color w:val="231F20"/>
                <w:spacing w:val="-5"/>
                <w:w w:val="95"/>
                <w:sz w:val="13"/>
              </w:rPr>
              <w:t>3.3</w:t>
            </w:r>
          </w:p>
        </w:tc>
        <w:tc>
          <w:tcPr>
            <w:tcW w:w="536" w:type="dxa"/>
            <w:tcBorders>
              <w:right w:val="single" w:sz="24" w:space="0" w:color="FFFFFF"/>
            </w:tcBorders>
            <w:shd w:val="clear" w:color="auto" w:fill="D4E3F5"/>
          </w:tcPr>
          <w:p>
            <w:pPr>
              <w:pStyle w:val="TableParagraph"/>
              <w:spacing w:line="147" w:lineRule="exact" w:before="17"/>
              <w:ind w:left="20" w:right="27"/>
              <w:rPr>
                <w:sz w:val="13"/>
              </w:rPr>
            </w:pPr>
            <w:r>
              <w:rPr>
                <w:color w:val="231F20"/>
                <w:spacing w:val="-5"/>
                <w:w w:val="95"/>
                <w:sz w:val="13"/>
              </w:rPr>
              <w:t>3.0</w:t>
            </w:r>
          </w:p>
        </w:tc>
        <w:tc>
          <w:tcPr>
            <w:tcW w:w="1415" w:type="dxa"/>
            <w:tcBorders>
              <w:left w:val="single" w:sz="24" w:space="0" w:color="FFFFFF"/>
            </w:tcBorders>
            <w:shd w:val="clear" w:color="auto" w:fill="D4E3F5"/>
          </w:tcPr>
          <w:p>
            <w:pPr>
              <w:pStyle w:val="TableParagraph"/>
              <w:spacing w:line="147" w:lineRule="exact" w:before="17"/>
              <w:ind w:left="69"/>
              <w:jc w:val="left"/>
              <w:rPr>
                <w:sz w:val="13"/>
              </w:rPr>
            </w:pPr>
            <w:r>
              <w:rPr>
                <w:color w:val="231F20"/>
                <w:w w:val="75"/>
                <w:sz w:val="13"/>
              </w:rPr>
              <w:t>Yemen,</w:t>
            </w:r>
            <w:r>
              <w:rPr>
                <w:color w:val="231F20"/>
                <w:spacing w:val="4"/>
                <w:sz w:val="13"/>
              </w:rPr>
              <w:t> </w:t>
            </w:r>
            <w:r>
              <w:rPr>
                <w:color w:val="231F20"/>
                <w:spacing w:val="-4"/>
                <w:w w:val="85"/>
                <w:sz w:val="13"/>
              </w:rPr>
              <w:t>Rep.</w:t>
            </w:r>
          </w:p>
        </w:tc>
        <w:tc>
          <w:tcPr>
            <w:tcW w:w="482" w:type="dxa"/>
            <w:shd w:val="clear" w:color="auto" w:fill="D4E3F5"/>
          </w:tcPr>
          <w:p>
            <w:pPr>
              <w:pStyle w:val="TableParagraph"/>
              <w:spacing w:line="147" w:lineRule="exact" w:before="17"/>
              <w:ind w:right="110"/>
              <w:jc w:val="right"/>
              <w:rPr>
                <w:sz w:val="13"/>
              </w:rPr>
            </w:pPr>
            <w:r>
              <w:rPr>
                <w:color w:val="231F20"/>
                <w:spacing w:val="-5"/>
                <w:w w:val="95"/>
                <w:sz w:val="13"/>
              </w:rPr>
              <w:t>2.2</w:t>
            </w:r>
          </w:p>
        </w:tc>
        <w:tc>
          <w:tcPr>
            <w:tcW w:w="532" w:type="dxa"/>
            <w:shd w:val="clear" w:color="auto" w:fill="D4E3F5"/>
          </w:tcPr>
          <w:p>
            <w:pPr>
              <w:pStyle w:val="TableParagraph"/>
              <w:spacing w:line="147" w:lineRule="exact" w:before="17"/>
              <w:ind w:left="20" w:right="55"/>
              <w:rPr>
                <w:sz w:val="13"/>
              </w:rPr>
            </w:pPr>
            <w:r>
              <w:rPr>
                <w:color w:val="231F20"/>
                <w:spacing w:val="-5"/>
                <w:w w:val="95"/>
                <w:sz w:val="13"/>
              </w:rPr>
              <w:t>1.7</w:t>
            </w:r>
          </w:p>
        </w:tc>
        <w:tc>
          <w:tcPr>
            <w:tcW w:w="550" w:type="dxa"/>
            <w:shd w:val="clear" w:color="auto" w:fill="D4E3F5"/>
          </w:tcPr>
          <w:p>
            <w:pPr>
              <w:pStyle w:val="TableParagraph"/>
              <w:spacing w:line="147" w:lineRule="exact" w:before="17"/>
              <w:ind w:left="23" w:right="45"/>
              <w:rPr>
                <w:sz w:val="13"/>
              </w:rPr>
            </w:pPr>
            <w:r>
              <w:rPr>
                <w:color w:val="231F20"/>
                <w:spacing w:val="-5"/>
                <w:w w:val="95"/>
                <w:sz w:val="13"/>
              </w:rPr>
              <w:t>1.9</w:t>
            </w:r>
          </w:p>
        </w:tc>
        <w:tc>
          <w:tcPr>
            <w:tcW w:w="616" w:type="dxa"/>
            <w:shd w:val="clear" w:color="auto" w:fill="D4E3F5"/>
          </w:tcPr>
          <w:p>
            <w:pPr>
              <w:pStyle w:val="TableParagraph"/>
              <w:spacing w:line="147" w:lineRule="exact" w:before="17"/>
              <w:ind w:left="20" w:right="37"/>
              <w:rPr>
                <w:sz w:val="13"/>
              </w:rPr>
            </w:pPr>
            <w:r>
              <w:rPr>
                <w:color w:val="231F20"/>
                <w:spacing w:val="-5"/>
                <w:w w:val="95"/>
                <w:sz w:val="13"/>
              </w:rPr>
              <w:t>1.7</w:t>
            </w:r>
          </w:p>
        </w:tc>
        <w:tc>
          <w:tcPr>
            <w:tcW w:w="707" w:type="dxa"/>
            <w:shd w:val="clear" w:color="auto" w:fill="D4E3F5"/>
          </w:tcPr>
          <w:p>
            <w:pPr>
              <w:pStyle w:val="TableParagraph"/>
              <w:spacing w:line="147" w:lineRule="exact" w:before="17"/>
              <w:ind w:left="12" w:right="55"/>
              <w:rPr>
                <w:sz w:val="13"/>
              </w:rPr>
            </w:pPr>
            <w:r>
              <w:rPr>
                <w:color w:val="231F20"/>
                <w:spacing w:val="-5"/>
                <w:w w:val="95"/>
                <w:sz w:val="13"/>
              </w:rPr>
              <w:t>2.6</w:t>
            </w:r>
          </w:p>
        </w:tc>
        <w:tc>
          <w:tcPr>
            <w:tcW w:w="369" w:type="dxa"/>
            <w:shd w:val="clear" w:color="auto" w:fill="D4E3F5"/>
          </w:tcPr>
          <w:p>
            <w:pPr>
              <w:pStyle w:val="TableParagraph"/>
              <w:spacing w:line="147" w:lineRule="exact" w:before="17"/>
              <w:ind w:left="14" w:right="61"/>
              <w:rPr>
                <w:sz w:val="13"/>
              </w:rPr>
            </w:pPr>
            <w:r>
              <w:rPr>
                <w:color w:val="231F20"/>
                <w:spacing w:val="-5"/>
                <w:w w:val="95"/>
                <w:sz w:val="13"/>
              </w:rPr>
              <w:t>2.8</w:t>
            </w:r>
          </w:p>
        </w:tc>
        <w:tc>
          <w:tcPr>
            <w:tcW w:w="507" w:type="dxa"/>
            <w:shd w:val="clear" w:color="auto" w:fill="D4E3F5"/>
          </w:tcPr>
          <w:p>
            <w:pPr>
              <w:pStyle w:val="TableParagraph"/>
              <w:spacing w:line="147" w:lineRule="exact" w:before="17"/>
              <w:ind w:left="4" w:right="51"/>
              <w:rPr>
                <w:sz w:val="13"/>
              </w:rPr>
            </w:pPr>
            <w:r>
              <w:rPr>
                <w:color w:val="231F20"/>
                <w:spacing w:val="-5"/>
                <w:w w:val="95"/>
                <w:sz w:val="13"/>
              </w:rPr>
              <w:t>2.3</w:t>
            </w:r>
          </w:p>
        </w:tc>
      </w:tr>
      <w:tr>
        <w:trPr>
          <w:trHeight w:val="184" w:hRule="atLeast"/>
        </w:trPr>
        <w:tc>
          <w:tcPr>
            <w:tcW w:w="1377" w:type="dxa"/>
          </w:tcPr>
          <w:p>
            <w:pPr>
              <w:pStyle w:val="TableParagraph"/>
              <w:spacing w:line="147" w:lineRule="exact" w:before="17"/>
              <w:ind w:left="80"/>
              <w:jc w:val="left"/>
              <w:rPr>
                <w:sz w:val="13"/>
              </w:rPr>
            </w:pPr>
            <w:r>
              <w:rPr>
                <w:color w:val="231F20"/>
                <w:spacing w:val="-4"/>
                <w:w w:val="85"/>
                <w:sz w:val="13"/>
              </w:rPr>
              <w:t>Peru</w:t>
            </w:r>
          </w:p>
        </w:tc>
        <w:tc>
          <w:tcPr>
            <w:tcW w:w="487" w:type="dxa"/>
          </w:tcPr>
          <w:p>
            <w:pPr>
              <w:pStyle w:val="TableParagraph"/>
              <w:spacing w:line="147" w:lineRule="exact" w:before="17"/>
              <w:ind w:right="96"/>
              <w:jc w:val="right"/>
              <w:rPr>
                <w:sz w:val="13"/>
              </w:rPr>
            </w:pPr>
            <w:r>
              <w:rPr>
                <w:color w:val="231F20"/>
                <w:spacing w:val="-5"/>
                <w:w w:val="95"/>
                <w:sz w:val="13"/>
              </w:rPr>
              <w:t>3.0</w:t>
            </w:r>
          </w:p>
        </w:tc>
        <w:tc>
          <w:tcPr>
            <w:tcW w:w="531" w:type="dxa"/>
          </w:tcPr>
          <w:p>
            <w:pPr>
              <w:pStyle w:val="TableParagraph"/>
              <w:spacing w:line="147" w:lineRule="exact" w:before="17"/>
              <w:ind w:left="18" w:right="27"/>
              <w:rPr>
                <w:sz w:val="13"/>
              </w:rPr>
            </w:pPr>
            <w:r>
              <w:rPr>
                <w:color w:val="231F20"/>
                <w:spacing w:val="-5"/>
                <w:w w:val="95"/>
                <w:sz w:val="13"/>
              </w:rPr>
              <w:t>2.6</w:t>
            </w:r>
          </w:p>
        </w:tc>
        <w:tc>
          <w:tcPr>
            <w:tcW w:w="549" w:type="dxa"/>
          </w:tcPr>
          <w:p>
            <w:pPr>
              <w:pStyle w:val="TableParagraph"/>
              <w:spacing w:line="147" w:lineRule="exact" w:before="17"/>
              <w:ind w:left="18" w:right="16"/>
              <w:rPr>
                <w:sz w:val="13"/>
              </w:rPr>
            </w:pPr>
            <w:r>
              <w:rPr>
                <w:color w:val="231F20"/>
                <w:spacing w:val="-5"/>
                <w:w w:val="95"/>
                <w:sz w:val="13"/>
              </w:rPr>
              <w:t>2.5</w:t>
            </w:r>
          </w:p>
        </w:tc>
        <w:tc>
          <w:tcPr>
            <w:tcW w:w="615" w:type="dxa"/>
          </w:tcPr>
          <w:p>
            <w:pPr>
              <w:pStyle w:val="TableParagraph"/>
              <w:spacing w:line="147" w:lineRule="exact" w:before="17"/>
              <w:ind w:left="12" w:right="14"/>
              <w:rPr>
                <w:sz w:val="13"/>
              </w:rPr>
            </w:pPr>
            <w:r>
              <w:rPr>
                <w:color w:val="231F20"/>
                <w:spacing w:val="-5"/>
                <w:w w:val="95"/>
                <w:sz w:val="13"/>
              </w:rPr>
              <w:t>3.1</w:t>
            </w:r>
          </w:p>
        </w:tc>
        <w:tc>
          <w:tcPr>
            <w:tcW w:w="706" w:type="dxa"/>
          </w:tcPr>
          <w:p>
            <w:pPr>
              <w:pStyle w:val="TableParagraph"/>
              <w:spacing w:line="147" w:lineRule="exact" w:before="17"/>
              <w:ind w:left="15" w:right="24"/>
              <w:rPr>
                <w:sz w:val="13"/>
              </w:rPr>
            </w:pPr>
            <w:r>
              <w:rPr>
                <w:color w:val="231F20"/>
                <w:spacing w:val="-5"/>
                <w:w w:val="95"/>
                <w:sz w:val="13"/>
              </w:rPr>
              <w:t>2.7</w:t>
            </w:r>
          </w:p>
        </w:tc>
        <w:tc>
          <w:tcPr>
            <w:tcW w:w="368" w:type="dxa"/>
          </w:tcPr>
          <w:p>
            <w:pPr>
              <w:pStyle w:val="TableParagraph"/>
              <w:spacing w:line="148" w:lineRule="exact" w:before="17"/>
              <w:ind w:left="16" w:right="28"/>
              <w:rPr>
                <w:sz w:val="13"/>
              </w:rPr>
            </w:pPr>
            <w:r>
              <w:rPr>
                <w:color w:val="231F20"/>
                <w:spacing w:val="-5"/>
                <w:w w:val="95"/>
                <w:sz w:val="13"/>
              </w:rPr>
              <w:t>3.4</w:t>
            </w:r>
          </w:p>
        </w:tc>
        <w:tc>
          <w:tcPr>
            <w:tcW w:w="536" w:type="dxa"/>
            <w:tcBorders>
              <w:right w:val="single" w:sz="24" w:space="0" w:color="FFFFFF"/>
            </w:tcBorders>
          </w:tcPr>
          <w:p>
            <w:pPr>
              <w:pStyle w:val="TableParagraph"/>
              <w:spacing w:line="148" w:lineRule="exact" w:before="17"/>
              <w:ind w:left="17" w:right="27"/>
              <w:rPr>
                <w:sz w:val="13"/>
              </w:rPr>
            </w:pPr>
            <w:r>
              <w:rPr>
                <w:color w:val="231F20"/>
                <w:spacing w:val="-5"/>
                <w:w w:val="95"/>
                <w:sz w:val="13"/>
              </w:rPr>
              <w:t>3.4</w:t>
            </w:r>
          </w:p>
        </w:tc>
        <w:tc>
          <w:tcPr>
            <w:tcW w:w="1415" w:type="dxa"/>
            <w:tcBorders>
              <w:left w:val="single" w:sz="24" w:space="0" w:color="FFFFFF"/>
            </w:tcBorders>
          </w:tcPr>
          <w:p>
            <w:pPr>
              <w:pStyle w:val="TableParagraph"/>
              <w:spacing w:line="147" w:lineRule="exact" w:before="17"/>
              <w:ind w:left="69"/>
              <w:jc w:val="left"/>
              <w:rPr>
                <w:sz w:val="13"/>
              </w:rPr>
            </w:pPr>
            <w:r>
              <w:rPr>
                <w:color w:val="231F20"/>
                <w:spacing w:val="-2"/>
                <w:w w:val="85"/>
                <w:sz w:val="13"/>
              </w:rPr>
              <w:t>Angola</w:t>
            </w:r>
          </w:p>
        </w:tc>
        <w:tc>
          <w:tcPr>
            <w:tcW w:w="482" w:type="dxa"/>
          </w:tcPr>
          <w:p>
            <w:pPr>
              <w:pStyle w:val="TableParagraph"/>
              <w:spacing w:line="147" w:lineRule="exact" w:before="17"/>
              <w:ind w:right="128"/>
              <w:jc w:val="right"/>
              <w:rPr>
                <w:sz w:val="13"/>
              </w:rPr>
            </w:pPr>
            <w:r>
              <w:rPr>
                <w:color w:val="231F20"/>
                <w:spacing w:val="-5"/>
                <w:w w:val="95"/>
                <w:sz w:val="13"/>
              </w:rPr>
              <w:t>2.1</w:t>
            </w:r>
          </w:p>
        </w:tc>
        <w:tc>
          <w:tcPr>
            <w:tcW w:w="532" w:type="dxa"/>
          </w:tcPr>
          <w:p>
            <w:pPr>
              <w:pStyle w:val="TableParagraph"/>
              <w:spacing w:line="147" w:lineRule="exact" w:before="17"/>
              <w:ind w:left="19" w:right="55"/>
              <w:rPr>
                <w:sz w:val="13"/>
              </w:rPr>
            </w:pPr>
            <w:r>
              <w:rPr>
                <w:color w:val="231F20"/>
                <w:spacing w:val="-5"/>
                <w:w w:val="95"/>
                <w:sz w:val="13"/>
              </w:rPr>
              <w:t>1.7</w:t>
            </w:r>
          </w:p>
        </w:tc>
        <w:tc>
          <w:tcPr>
            <w:tcW w:w="550" w:type="dxa"/>
          </w:tcPr>
          <w:p>
            <w:pPr>
              <w:pStyle w:val="TableParagraph"/>
              <w:spacing w:line="147" w:lineRule="exact" w:before="17"/>
              <w:ind w:right="45"/>
              <w:rPr>
                <w:sz w:val="13"/>
              </w:rPr>
            </w:pPr>
            <w:r>
              <w:rPr>
                <w:color w:val="231F20"/>
                <w:spacing w:val="-5"/>
                <w:w w:val="95"/>
                <w:sz w:val="13"/>
              </w:rPr>
              <w:t>2.1</w:t>
            </w:r>
          </w:p>
        </w:tc>
        <w:tc>
          <w:tcPr>
            <w:tcW w:w="616" w:type="dxa"/>
          </w:tcPr>
          <w:p>
            <w:pPr>
              <w:pStyle w:val="TableParagraph"/>
              <w:spacing w:line="147" w:lineRule="exact" w:before="17"/>
              <w:ind w:left="16" w:right="37"/>
              <w:rPr>
                <w:sz w:val="13"/>
              </w:rPr>
            </w:pPr>
            <w:r>
              <w:rPr>
                <w:color w:val="231F20"/>
                <w:spacing w:val="-5"/>
                <w:w w:val="95"/>
                <w:sz w:val="13"/>
              </w:rPr>
              <w:t>2.4</w:t>
            </w:r>
          </w:p>
        </w:tc>
        <w:tc>
          <w:tcPr>
            <w:tcW w:w="707" w:type="dxa"/>
          </w:tcPr>
          <w:p>
            <w:pPr>
              <w:pStyle w:val="TableParagraph"/>
              <w:spacing w:line="147" w:lineRule="exact" w:before="17"/>
              <w:ind w:left="13" w:right="55"/>
              <w:rPr>
                <w:sz w:val="13"/>
              </w:rPr>
            </w:pPr>
            <w:r>
              <w:rPr>
                <w:color w:val="231F20"/>
                <w:spacing w:val="-5"/>
                <w:w w:val="95"/>
                <w:sz w:val="13"/>
              </w:rPr>
              <w:t>2.3</w:t>
            </w:r>
          </w:p>
        </w:tc>
        <w:tc>
          <w:tcPr>
            <w:tcW w:w="369" w:type="dxa"/>
          </w:tcPr>
          <w:p>
            <w:pPr>
              <w:pStyle w:val="TableParagraph"/>
              <w:spacing w:line="148" w:lineRule="exact" w:before="17"/>
              <w:ind w:left="2" w:right="61"/>
              <w:rPr>
                <w:sz w:val="13"/>
              </w:rPr>
            </w:pPr>
            <w:r>
              <w:rPr>
                <w:color w:val="231F20"/>
                <w:spacing w:val="-5"/>
                <w:w w:val="95"/>
                <w:sz w:val="13"/>
              </w:rPr>
              <w:t>2.1</w:t>
            </w:r>
          </w:p>
        </w:tc>
        <w:tc>
          <w:tcPr>
            <w:tcW w:w="507" w:type="dxa"/>
          </w:tcPr>
          <w:p>
            <w:pPr>
              <w:pStyle w:val="TableParagraph"/>
              <w:spacing w:line="148" w:lineRule="exact" w:before="17"/>
              <w:ind w:right="43"/>
              <w:rPr>
                <w:sz w:val="13"/>
              </w:rPr>
            </w:pPr>
            <w:r>
              <w:rPr>
                <w:color w:val="231F20"/>
                <w:spacing w:val="-5"/>
                <w:w w:val="95"/>
                <w:sz w:val="13"/>
              </w:rPr>
              <w:t>2.3</w:t>
            </w:r>
          </w:p>
        </w:tc>
      </w:tr>
      <w:tr>
        <w:trPr>
          <w:trHeight w:val="184" w:hRule="atLeast"/>
        </w:trPr>
        <w:tc>
          <w:tcPr>
            <w:tcW w:w="1377" w:type="dxa"/>
            <w:shd w:val="clear" w:color="auto" w:fill="D4E3F5"/>
          </w:tcPr>
          <w:p>
            <w:pPr>
              <w:pStyle w:val="TableParagraph"/>
              <w:spacing w:line="148" w:lineRule="exact" w:before="17"/>
              <w:ind w:left="80"/>
              <w:jc w:val="left"/>
              <w:rPr>
                <w:sz w:val="13"/>
              </w:rPr>
            </w:pPr>
            <w:r>
              <w:rPr>
                <w:color w:val="231F20"/>
                <w:spacing w:val="-2"/>
                <w:w w:val="85"/>
                <w:sz w:val="13"/>
              </w:rPr>
              <w:t>Uruguay</w:t>
            </w:r>
          </w:p>
        </w:tc>
        <w:tc>
          <w:tcPr>
            <w:tcW w:w="487" w:type="dxa"/>
            <w:shd w:val="clear" w:color="auto" w:fill="D4E3F5"/>
          </w:tcPr>
          <w:p>
            <w:pPr>
              <w:pStyle w:val="TableParagraph"/>
              <w:spacing w:line="148" w:lineRule="exact" w:before="17"/>
              <w:ind w:right="97"/>
              <w:jc w:val="right"/>
              <w:rPr>
                <w:sz w:val="13"/>
              </w:rPr>
            </w:pPr>
            <w:r>
              <w:rPr>
                <w:color w:val="231F20"/>
                <w:spacing w:val="-5"/>
                <w:w w:val="95"/>
                <w:sz w:val="13"/>
              </w:rPr>
              <w:t>3.0</w:t>
            </w:r>
          </w:p>
        </w:tc>
        <w:tc>
          <w:tcPr>
            <w:tcW w:w="531" w:type="dxa"/>
            <w:shd w:val="clear" w:color="auto" w:fill="D4E3F5"/>
          </w:tcPr>
          <w:p>
            <w:pPr>
              <w:pStyle w:val="TableParagraph"/>
              <w:spacing w:line="148" w:lineRule="exact" w:before="17"/>
              <w:ind w:left="17" w:right="27"/>
              <w:rPr>
                <w:sz w:val="13"/>
              </w:rPr>
            </w:pPr>
            <w:r>
              <w:rPr>
                <w:color w:val="231F20"/>
                <w:spacing w:val="-5"/>
                <w:w w:val="95"/>
                <w:sz w:val="13"/>
              </w:rPr>
              <w:t>2.9</w:t>
            </w:r>
          </w:p>
        </w:tc>
        <w:tc>
          <w:tcPr>
            <w:tcW w:w="549" w:type="dxa"/>
            <w:shd w:val="clear" w:color="auto" w:fill="D4E3F5"/>
          </w:tcPr>
          <w:p>
            <w:pPr>
              <w:pStyle w:val="TableParagraph"/>
              <w:spacing w:line="148" w:lineRule="exact" w:before="17"/>
              <w:ind w:left="15" w:right="16"/>
              <w:rPr>
                <w:sz w:val="13"/>
              </w:rPr>
            </w:pPr>
            <w:r>
              <w:rPr>
                <w:color w:val="231F20"/>
                <w:spacing w:val="-5"/>
                <w:w w:val="95"/>
                <w:sz w:val="13"/>
              </w:rPr>
              <w:t>2.7</w:t>
            </w:r>
          </w:p>
        </w:tc>
        <w:tc>
          <w:tcPr>
            <w:tcW w:w="615" w:type="dxa"/>
            <w:shd w:val="clear" w:color="auto" w:fill="D4E3F5"/>
          </w:tcPr>
          <w:p>
            <w:pPr>
              <w:pStyle w:val="TableParagraph"/>
              <w:spacing w:line="148" w:lineRule="exact" w:before="17"/>
              <w:ind w:left="14" w:right="8"/>
              <w:rPr>
                <w:sz w:val="13"/>
              </w:rPr>
            </w:pPr>
            <w:r>
              <w:rPr>
                <w:color w:val="231F20"/>
                <w:spacing w:val="-5"/>
                <w:w w:val="95"/>
                <w:sz w:val="13"/>
              </w:rPr>
              <w:t>2.7</w:t>
            </w:r>
          </w:p>
        </w:tc>
        <w:tc>
          <w:tcPr>
            <w:tcW w:w="706" w:type="dxa"/>
            <w:shd w:val="clear" w:color="auto" w:fill="D4E3F5"/>
          </w:tcPr>
          <w:p>
            <w:pPr>
              <w:pStyle w:val="TableParagraph"/>
              <w:spacing w:line="148" w:lineRule="exact" w:before="17"/>
              <w:ind w:right="24"/>
              <w:rPr>
                <w:sz w:val="13"/>
              </w:rPr>
            </w:pPr>
            <w:r>
              <w:rPr>
                <w:color w:val="231F20"/>
                <w:spacing w:val="-5"/>
                <w:w w:val="95"/>
                <w:sz w:val="13"/>
              </w:rPr>
              <w:t>3.1</w:t>
            </w:r>
          </w:p>
        </w:tc>
        <w:tc>
          <w:tcPr>
            <w:tcW w:w="368" w:type="dxa"/>
            <w:shd w:val="clear" w:color="auto" w:fill="D4E3F5"/>
          </w:tcPr>
          <w:p>
            <w:pPr>
              <w:pStyle w:val="TableParagraph"/>
              <w:spacing w:line="148" w:lineRule="exact" w:before="17"/>
              <w:ind w:left="19" w:right="28"/>
              <w:rPr>
                <w:sz w:val="13"/>
              </w:rPr>
            </w:pPr>
            <w:r>
              <w:rPr>
                <w:color w:val="231F20"/>
                <w:spacing w:val="-5"/>
                <w:w w:val="95"/>
                <w:sz w:val="13"/>
              </w:rPr>
              <w:t>3.2</w:t>
            </w:r>
          </w:p>
        </w:tc>
        <w:tc>
          <w:tcPr>
            <w:tcW w:w="536" w:type="dxa"/>
            <w:tcBorders>
              <w:right w:val="single" w:sz="24" w:space="0" w:color="FFFFFF"/>
            </w:tcBorders>
            <w:shd w:val="clear" w:color="auto" w:fill="D4E3F5"/>
          </w:tcPr>
          <w:p>
            <w:pPr>
              <w:pStyle w:val="TableParagraph"/>
              <w:spacing w:line="148" w:lineRule="exact" w:before="17"/>
              <w:ind w:left="21" w:right="27"/>
              <w:rPr>
                <w:sz w:val="13"/>
              </w:rPr>
            </w:pPr>
            <w:r>
              <w:rPr>
                <w:color w:val="231F20"/>
                <w:spacing w:val="-5"/>
                <w:w w:val="95"/>
                <w:sz w:val="13"/>
              </w:rPr>
              <w:t>3.3</w:t>
            </w:r>
          </w:p>
        </w:tc>
        <w:tc>
          <w:tcPr>
            <w:tcW w:w="1415" w:type="dxa"/>
            <w:tcBorders>
              <w:left w:val="single" w:sz="24" w:space="0" w:color="FFFFFF"/>
            </w:tcBorders>
            <w:shd w:val="clear" w:color="auto" w:fill="D4E3F5"/>
          </w:tcPr>
          <w:p>
            <w:pPr>
              <w:pStyle w:val="TableParagraph"/>
              <w:spacing w:line="148" w:lineRule="exact" w:before="17"/>
              <w:ind w:left="71"/>
              <w:jc w:val="left"/>
              <w:rPr>
                <w:sz w:val="13"/>
              </w:rPr>
            </w:pPr>
            <w:r>
              <w:rPr>
                <w:color w:val="231F20"/>
                <w:spacing w:val="-2"/>
                <w:w w:val="90"/>
                <w:sz w:val="13"/>
              </w:rPr>
              <w:t>Cameroon</w:t>
            </w:r>
          </w:p>
        </w:tc>
        <w:tc>
          <w:tcPr>
            <w:tcW w:w="482" w:type="dxa"/>
            <w:shd w:val="clear" w:color="auto" w:fill="D4E3F5"/>
          </w:tcPr>
          <w:p>
            <w:pPr>
              <w:pStyle w:val="TableParagraph"/>
              <w:spacing w:line="148" w:lineRule="exact" w:before="17"/>
              <w:ind w:right="126"/>
              <w:jc w:val="right"/>
              <w:rPr>
                <w:sz w:val="13"/>
              </w:rPr>
            </w:pPr>
            <w:r>
              <w:rPr>
                <w:color w:val="231F20"/>
                <w:spacing w:val="-5"/>
                <w:w w:val="95"/>
                <w:sz w:val="13"/>
              </w:rPr>
              <w:t>2.1</w:t>
            </w:r>
          </w:p>
        </w:tc>
        <w:tc>
          <w:tcPr>
            <w:tcW w:w="532" w:type="dxa"/>
            <w:shd w:val="clear" w:color="auto" w:fill="D4E3F5"/>
          </w:tcPr>
          <w:p>
            <w:pPr>
              <w:pStyle w:val="TableParagraph"/>
              <w:spacing w:line="148" w:lineRule="exact" w:before="17"/>
              <w:ind w:left="4" w:right="55"/>
              <w:rPr>
                <w:sz w:val="13"/>
              </w:rPr>
            </w:pPr>
            <w:r>
              <w:rPr>
                <w:color w:val="231F20"/>
                <w:spacing w:val="-5"/>
                <w:w w:val="95"/>
                <w:sz w:val="13"/>
              </w:rPr>
              <w:t>2.1</w:t>
            </w:r>
          </w:p>
        </w:tc>
        <w:tc>
          <w:tcPr>
            <w:tcW w:w="550" w:type="dxa"/>
            <w:shd w:val="clear" w:color="auto" w:fill="D4E3F5"/>
          </w:tcPr>
          <w:p>
            <w:pPr>
              <w:pStyle w:val="TableParagraph"/>
              <w:spacing w:line="148" w:lineRule="exact" w:before="17"/>
              <w:ind w:left="4" w:right="45"/>
              <w:rPr>
                <w:sz w:val="13"/>
              </w:rPr>
            </w:pPr>
            <w:r>
              <w:rPr>
                <w:color w:val="231F20"/>
                <w:spacing w:val="-5"/>
                <w:w w:val="95"/>
                <w:sz w:val="13"/>
              </w:rPr>
              <w:t>2.1</w:t>
            </w:r>
          </w:p>
        </w:tc>
        <w:tc>
          <w:tcPr>
            <w:tcW w:w="616" w:type="dxa"/>
            <w:shd w:val="clear" w:color="auto" w:fill="D4E3F5"/>
          </w:tcPr>
          <w:p>
            <w:pPr>
              <w:pStyle w:val="TableParagraph"/>
              <w:spacing w:line="148" w:lineRule="exact" w:before="17"/>
              <w:ind w:right="15"/>
              <w:rPr>
                <w:sz w:val="13"/>
              </w:rPr>
            </w:pPr>
            <w:r>
              <w:rPr>
                <w:color w:val="231F20"/>
                <w:spacing w:val="-5"/>
                <w:w w:val="95"/>
                <w:sz w:val="13"/>
              </w:rPr>
              <w:t>2.2</w:t>
            </w:r>
          </w:p>
        </w:tc>
        <w:tc>
          <w:tcPr>
            <w:tcW w:w="707" w:type="dxa"/>
            <w:shd w:val="clear" w:color="auto" w:fill="D4E3F5"/>
          </w:tcPr>
          <w:p>
            <w:pPr>
              <w:pStyle w:val="TableParagraph"/>
              <w:spacing w:line="148" w:lineRule="exact" w:before="17"/>
              <w:ind w:right="55"/>
              <w:rPr>
                <w:sz w:val="13"/>
              </w:rPr>
            </w:pPr>
            <w:r>
              <w:rPr>
                <w:color w:val="231F20"/>
                <w:spacing w:val="-5"/>
                <w:w w:val="95"/>
                <w:sz w:val="13"/>
              </w:rPr>
              <w:t>2.1</w:t>
            </w:r>
          </w:p>
        </w:tc>
        <w:tc>
          <w:tcPr>
            <w:tcW w:w="369" w:type="dxa"/>
            <w:shd w:val="clear" w:color="auto" w:fill="D4E3F5"/>
          </w:tcPr>
          <w:p>
            <w:pPr>
              <w:pStyle w:val="TableParagraph"/>
              <w:spacing w:line="148" w:lineRule="exact" w:before="17"/>
              <w:ind w:left="2" w:right="61"/>
              <w:rPr>
                <w:sz w:val="13"/>
              </w:rPr>
            </w:pPr>
            <w:r>
              <w:rPr>
                <w:color w:val="231F20"/>
                <w:spacing w:val="-5"/>
                <w:w w:val="95"/>
                <w:sz w:val="13"/>
              </w:rPr>
              <w:t>2.1</w:t>
            </w:r>
          </w:p>
        </w:tc>
        <w:tc>
          <w:tcPr>
            <w:tcW w:w="507" w:type="dxa"/>
            <w:shd w:val="clear" w:color="auto" w:fill="D4E3F5"/>
          </w:tcPr>
          <w:p>
            <w:pPr>
              <w:pStyle w:val="TableParagraph"/>
              <w:spacing w:line="148" w:lineRule="exact" w:before="17"/>
              <w:ind w:right="37"/>
              <w:rPr>
                <w:sz w:val="13"/>
              </w:rPr>
            </w:pPr>
            <w:r>
              <w:rPr>
                <w:color w:val="231F20"/>
                <w:spacing w:val="-5"/>
                <w:w w:val="95"/>
                <w:sz w:val="13"/>
              </w:rPr>
              <w:t>1.8</w:t>
            </w:r>
          </w:p>
        </w:tc>
      </w:tr>
      <w:tr>
        <w:trPr>
          <w:trHeight w:val="184" w:hRule="atLeast"/>
        </w:trPr>
        <w:tc>
          <w:tcPr>
            <w:tcW w:w="1377" w:type="dxa"/>
          </w:tcPr>
          <w:p>
            <w:pPr>
              <w:pStyle w:val="TableParagraph"/>
              <w:spacing w:line="148" w:lineRule="exact" w:before="17"/>
              <w:ind w:left="80"/>
              <w:jc w:val="left"/>
              <w:rPr>
                <w:sz w:val="13"/>
              </w:rPr>
            </w:pPr>
            <w:r>
              <w:rPr>
                <w:color w:val="231F20"/>
                <w:w w:val="75"/>
                <w:sz w:val="13"/>
              </w:rPr>
              <w:t>Antigua</w:t>
            </w:r>
            <w:r>
              <w:rPr>
                <w:color w:val="231F20"/>
                <w:spacing w:val="11"/>
                <w:sz w:val="13"/>
              </w:rPr>
              <w:t> </w:t>
            </w:r>
            <w:r>
              <w:rPr>
                <w:color w:val="231F20"/>
                <w:w w:val="75"/>
                <w:sz w:val="13"/>
              </w:rPr>
              <w:t>and</w:t>
            </w:r>
            <w:r>
              <w:rPr>
                <w:color w:val="231F20"/>
                <w:spacing w:val="12"/>
                <w:sz w:val="13"/>
              </w:rPr>
              <w:t> </w:t>
            </w:r>
            <w:r>
              <w:rPr>
                <w:color w:val="231F20"/>
                <w:spacing w:val="-2"/>
                <w:w w:val="75"/>
                <w:sz w:val="13"/>
              </w:rPr>
              <w:t>Barbuda</w:t>
            </w:r>
          </w:p>
        </w:tc>
        <w:tc>
          <w:tcPr>
            <w:tcW w:w="487" w:type="dxa"/>
          </w:tcPr>
          <w:p>
            <w:pPr>
              <w:pStyle w:val="TableParagraph"/>
              <w:spacing w:line="148" w:lineRule="exact" w:before="17"/>
              <w:ind w:right="97"/>
              <w:jc w:val="right"/>
              <w:rPr>
                <w:sz w:val="13"/>
              </w:rPr>
            </w:pPr>
            <w:r>
              <w:rPr>
                <w:color w:val="231F20"/>
                <w:spacing w:val="-5"/>
                <w:w w:val="95"/>
                <w:sz w:val="13"/>
              </w:rPr>
              <w:t>2.9</w:t>
            </w:r>
          </w:p>
        </w:tc>
        <w:tc>
          <w:tcPr>
            <w:tcW w:w="531" w:type="dxa"/>
          </w:tcPr>
          <w:p>
            <w:pPr>
              <w:pStyle w:val="TableParagraph"/>
              <w:spacing w:line="148" w:lineRule="exact" w:before="17"/>
              <w:ind w:left="18" w:right="27"/>
              <w:rPr>
                <w:sz w:val="13"/>
              </w:rPr>
            </w:pPr>
            <w:r>
              <w:rPr>
                <w:color w:val="231F20"/>
                <w:spacing w:val="-5"/>
                <w:w w:val="95"/>
                <w:sz w:val="13"/>
              </w:rPr>
              <w:t>2.2</w:t>
            </w:r>
          </w:p>
        </w:tc>
        <w:tc>
          <w:tcPr>
            <w:tcW w:w="549" w:type="dxa"/>
          </w:tcPr>
          <w:p>
            <w:pPr>
              <w:pStyle w:val="TableParagraph"/>
              <w:spacing w:line="148" w:lineRule="exact" w:before="17"/>
              <w:ind w:left="14" w:right="16"/>
              <w:rPr>
                <w:sz w:val="13"/>
              </w:rPr>
            </w:pPr>
            <w:r>
              <w:rPr>
                <w:color w:val="231F20"/>
                <w:spacing w:val="-5"/>
                <w:w w:val="95"/>
                <w:sz w:val="13"/>
              </w:rPr>
              <w:t>2.7</w:t>
            </w:r>
          </w:p>
        </w:tc>
        <w:tc>
          <w:tcPr>
            <w:tcW w:w="615" w:type="dxa"/>
          </w:tcPr>
          <w:p>
            <w:pPr>
              <w:pStyle w:val="TableParagraph"/>
              <w:spacing w:line="148" w:lineRule="exact" w:before="17"/>
              <w:ind w:left="18" w:right="8"/>
              <w:rPr>
                <w:sz w:val="13"/>
              </w:rPr>
            </w:pPr>
            <w:r>
              <w:rPr>
                <w:color w:val="231F20"/>
                <w:spacing w:val="-5"/>
                <w:w w:val="95"/>
                <w:sz w:val="13"/>
              </w:rPr>
              <w:t>2.9</w:t>
            </w:r>
          </w:p>
        </w:tc>
        <w:tc>
          <w:tcPr>
            <w:tcW w:w="706" w:type="dxa"/>
          </w:tcPr>
          <w:p>
            <w:pPr>
              <w:pStyle w:val="TableParagraph"/>
              <w:spacing w:line="148" w:lineRule="exact" w:before="17"/>
              <w:ind w:left="17" w:right="24"/>
              <w:rPr>
                <w:sz w:val="13"/>
              </w:rPr>
            </w:pPr>
            <w:r>
              <w:rPr>
                <w:color w:val="231F20"/>
                <w:spacing w:val="-5"/>
                <w:w w:val="95"/>
                <w:sz w:val="13"/>
              </w:rPr>
              <w:t>2.9</w:t>
            </w:r>
          </w:p>
        </w:tc>
        <w:tc>
          <w:tcPr>
            <w:tcW w:w="368" w:type="dxa"/>
          </w:tcPr>
          <w:p>
            <w:pPr>
              <w:pStyle w:val="TableParagraph"/>
              <w:spacing w:line="148" w:lineRule="exact" w:before="17"/>
              <w:ind w:left="16" w:right="28"/>
              <w:rPr>
                <w:sz w:val="13"/>
              </w:rPr>
            </w:pPr>
            <w:r>
              <w:rPr>
                <w:color w:val="231F20"/>
                <w:spacing w:val="-5"/>
                <w:w w:val="95"/>
                <w:sz w:val="13"/>
              </w:rPr>
              <w:t>3.4</w:t>
            </w:r>
          </w:p>
        </w:tc>
        <w:tc>
          <w:tcPr>
            <w:tcW w:w="536" w:type="dxa"/>
            <w:tcBorders>
              <w:right w:val="single" w:sz="24" w:space="0" w:color="FFFFFF"/>
            </w:tcBorders>
          </w:tcPr>
          <w:p>
            <w:pPr>
              <w:pStyle w:val="TableParagraph"/>
              <w:spacing w:line="148" w:lineRule="exact" w:before="17"/>
              <w:ind w:left="19" w:right="27"/>
              <w:rPr>
                <w:sz w:val="13"/>
              </w:rPr>
            </w:pPr>
            <w:r>
              <w:rPr>
                <w:color w:val="231F20"/>
                <w:spacing w:val="-5"/>
                <w:w w:val="95"/>
                <w:sz w:val="13"/>
              </w:rPr>
              <w:t>3.2</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90"/>
                <w:sz w:val="13"/>
              </w:rPr>
              <w:t>Haiti</w:t>
            </w:r>
          </w:p>
        </w:tc>
        <w:tc>
          <w:tcPr>
            <w:tcW w:w="482" w:type="dxa"/>
          </w:tcPr>
          <w:p>
            <w:pPr>
              <w:pStyle w:val="TableParagraph"/>
              <w:spacing w:line="148" w:lineRule="exact" w:before="17"/>
              <w:ind w:right="126"/>
              <w:jc w:val="right"/>
              <w:rPr>
                <w:sz w:val="13"/>
              </w:rPr>
            </w:pPr>
            <w:r>
              <w:rPr>
                <w:color w:val="231F20"/>
                <w:spacing w:val="-5"/>
                <w:w w:val="95"/>
                <w:sz w:val="13"/>
              </w:rPr>
              <w:t>2.1</w:t>
            </w:r>
          </w:p>
        </w:tc>
        <w:tc>
          <w:tcPr>
            <w:tcW w:w="532" w:type="dxa"/>
          </w:tcPr>
          <w:p>
            <w:pPr>
              <w:pStyle w:val="TableParagraph"/>
              <w:spacing w:line="148" w:lineRule="exact" w:before="17"/>
              <w:ind w:left="3" w:right="55"/>
              <w:rPr>
                <w:sz w:val="13"/>
              </w:rPr>
            </w:pPr>
            <w:r>
              <w:rPr>
                <w:color w:val="231F20"/>
                <w:spacing w:val="-5"/>
                <w:w w:val="95"/>
                <w:sz w:val="13"/>
              </w:rPr>
              <w:t>2.1</w:t>
            </w:r>
          </w:p>
        </w:tc>
        <w:tc>
          <w:tcPr>
            <w:tcW w:w="550" w:type="dxa"/>
          </w:tcPr>
          <w:p>
            <w:pPr>
              <w:pStyle w:val="TableParagraph"/>
              <w:spacing w:line="148" w:lineRule="exact" w:before="17"/>
              <w:ind w:left="27" w:right="45"/>
              <w:rPr>
                <w:sz w:val="13"/>
              </w:rPr>
            </w:pPr>
            <w:r>
              <w:rPr>
                <w:color w:val="231F20"/>
                <w:spacing w:val="-5"/>
                <w:w w:val="95"/>
                <w:sz w:val="13"/>
              </w:rPr>
              <w:t>1.8</w:t>
            </w:r>
          </w:p>
        </w:tc>
        <w:tc>
          <w:tcPr>
            <w:tcW w:w="616" w:type="dxa"/>
          </w:tcPr>
          <w:p>
            <w:pPr>
              <w:pStyle w:val="TableParagraph"/>
              <w:spacing w:line="148" w:lineRule="exact" w:before="17"/>
              <w:ind w:right="16"/>
              <w:rPr>
                <w:sz w:val="13"/>
              </w:rPr>
            </w:pPr>
            <w:r>
              <w:rPr>
                <w:color w:val="231F20"/>
                <w:spacing w:val="-5"/>
                <w:w w:val="95"/>
                <w:sz w:val="13"/>
              </w:rPr>
              <w:t>2.3</w:t>
            </w:r>
          </w:p>
        </w:tc>
        <w:tc>
          <w:tcPr>
            <w:tcW w:w="707" w:type="dxa"/>
          </w:tcPr>
          <w:p>
            <w:pPr>
              <w:pStyle w:val="TableParagraph"/>
              <w:spacing w:line="148" w:lineRule="exact" w:before="17"/>
              <w:ind w:left="17" w:right="55"/>
              <w:rPr>
                <w:sz w:val="13"/>
              </w:rPr>
            </w:pPr>
            <w:r>
              <w:rPr>
                <w:color w:val="231F20"/>
                <w:spacing w:val="-5"/>
                <w:w w:val="95"/>
                <w:sz w:val="13"/>
              </w:rPr>
              <w:t>2.0</w:t>
            </w:r>
          </w:p>
        </w:tc>
        <w:tc>
          <w:tcPr>
            <w:tcW w:w="369" w:type="dxa"/>
          </w:tcPr>
          <w:p>
            <w:pPr>
              <w:pStyle w:val="TableParagraph"/>
              <w:spacing w:line="148" w:lineRule="exact" w:before="17"/>
              <w:ind w:left="18" w:right="61"/>
              <w:rPr>
                <w:sz w:val="13"/>
              </w:rPr>
            </w:pPr>
            <w:r>
              <w:rPr>
                <w:color w:val="231F20"/>
                <w:spacing w:val="-5"/>
                <w:w w:val="95"/>
                <w:sz w:val="13"/>
              </w:rPr>
              <w:t>2.5</w:t>
            </w:r>
          </w:p>
        </w:tc>
        <w:tc>
          <w:tcPr>
            <w:tcW w:w="507" w:type="dxa"/>
          </w:tcPr>
          <w:p>
            <w:pPr>
              <w:pStyle w:val="TableParagraph"/>
              <w:spacing w:line="148" w:lineRule="exact" w:before="17"/>
              <w:ind w:left="1" w:right="61"/>
              <w:rPr>
                <w:sz w:val="13"/>
              </w:rPr>
            </w:pPr>
            <w:r>
              <w:rPr>
                <w:color w:val="231F20"/>
                <w:spacing w:val="-5"/>
                <w:w w:val="95"/>
                <w:sz w:val="13"/>
              </w:rPr>
              <w:t>2.1</w:t>
            </w:r>
          </w:p>
        </w:tc>
      </w:tr>
      <w:tr>
        <w:trPr>
          <w:trHeight w:val="184" w:hRule="atLeast"/>
        </w:trPr>
        <w:tc>
          <w:tcPr>
            <w:tcW w:w="1377" w:type="dxa"/>
            <w:shd w:val="clear" w:color="auto" w:fill="D4E3F5"/>
          </w:tcPr>
          <w:p>
            <w:pPr>
              <w:pStyle w:val="TableParagraph"/>
              <w:spacing w:line="148" w:lineRule="exact" w:before="17"/>
              <w:ind w:left="80"/>
              <w:jc w:val="left"/>
              <w:rPr>
                <w:sz w:val="13"/>
              </w:rPr>
            </w:pPr>
            <w:r>
              <w:rPr>
                <w:color w:val="231F20"/>
                <w:spacing w:val="-2"/>
                <w:w w:val="90"/>
                <w:sz w:val="13"/>
              </w:rPr>
              <w:t>Benin</w:t>
            </w:r>
          </w:p>
        </w:tc>
        <w:tc>
          <w:tcPr>
            <w:tcW w:w="487" w:type="dxa"/>
            <w:shd w:val="clear" w:color="auto" w:fill="D4E3F5"/>
          </w:tcPr>
          <w:p>
            <w:pPr>
              <w:pStyle w:val="TableParagraph"/>
              <w:spacing w:line="148" w:lineRule="exact" w:before="17"/>
              <w:ind w:right="97"/>
              <w:jc w:val="right"/>
              <w:rPr>
                <w:sz w:val="13"/>
              </w:rPr>
            </w:pPr>
            <w:r>
              <w:rPr>
                <w:color w:val="231F20"/>
                <w:spacing w:val="-5"/>
                <w:w w:val="95"/>
                <w:sz w:val="13"/>
              </w:rPr>
              <w:t>2.9</w:t>
            </w:r>
          </w:p>
        </w:tc>
        <w:tc>
          <w:tcPr>
            <w:tcW w:w="531" w:type="dxa"/>
            <w:shd w:val="clear" w:color="auto" w:fill="D4E3F5"/>
          </w:tcPr>
          <w:p>
            <w:pPr>
              <w:pStyle w:val="TableParagraph"/>
              <w:spacing w:line="148" w:lineRule="exact" w:before="17"/>
              <w:ind w:left="13" w:right="27"/>
              <w:rPr>
                <w:sz w:val="13"/>
              </w:rPr>
            </w:pPr>
            <w:r>
              <w:rPr>
                <w:color w:val="231F20"/>
                <w:spacing w:val="-5"/>
                <w:w w:val="95"/>
                <w:sz w:val="13"/>
              </w:rPr>
              <w:t>2.7</w:t>
            </w:r>
          </w:p>
        </w:tc>
        <w:tc>
          <w:tcPr>
            <w:tcW w:w="549" w:type="dxa"/>
            <w:shd w:val="clear" w:color="auto" w:fill="D4E3F5"/>
          </w:tcPr>
          <w:p>
            <w:pPr>
              <w:pStyle w:val="TableParagraph"/>
              <w:spacing w:line="148" w:lineRule="exact" w:before="17"/>
              <w:ind w:left="16" w:right="16"/>
              <w:rPr>
                <w:sz w:val="13"/>
              </w:rPr>
            </w:pPr>
            <w:r>
              <w:rPr>
                <w:color w:val="231F20"/>
                <w:spacing w:val="-5"/>
                <w:w w:val="95"/>
                <w:sz w:val="13"/>
              </w:rPr>
              <w:t>2.5</w:t>
            </w:r>
          </w:p>
        </w:tc>
        <w:tc>
          <w:tcPr>
            <w:tcW w:w="615" w:type="dxa"/>
            <w:shd w:val="clear" w:color="auto" w:fill="D4E3F5"/>
          </w:tcPr>
          <w:p>
            <w:pPr>
              <w:pStyle w:val="TableParagraph"/>
              <w:spacing w:line="148" w:lineRule="exact" w:before="17"/>
              <w:ind w:left="18" w:right="8"/>
              <w:rPr>
                <w:sz w:val="13"/>
              </w:rPr>
            </w:pPr>
            <w:r>
              <w:rPr>
                <w:color w:val="231F20"/>
                <w:spacing w:val="-5"/>
                <w:w w:val="95"/>
                <w:sz w:val="13"/>
              </w:rPr>
              <w:t>2.9</w:t>
            </w:r>
          </w:p>
        </w:tc>
        <w:tc>
          <w:tcPr>
            <w:tcW w:w="706" w:type="dxa"/>
            <w:shd w:val="clear" w:color="auto" w:fill="D4E3F5"/>
          </w:tcPr>
          <w:p>
            <w:pPr>
              <w:pStyle w:val="TableParagraph"/>
              <w:spacing w:line="148" w:lineRule="exact" w:before="17"/>
              <w:ind w:left="16" w:right="24"/>
              <w:rPr>
                <w:sz w:val="13"/>
              </w:rPr>
            </w:pPr>
            <w:r>
              <w:rPr>
                <w:color w:val="231F20"/>
                <w:spacing w:val="-5"/>
                <w:w w:val="95"/>
                <w:sz w:val="13"/>
              </w:rPr>
              <w:t>3.0</w:t>
            </w:r>
          </w:p>
        </w:tc>
        <w:tc>
          <w:tcPr>
            <w:tcW w:w="368" w:type="dxa"/>
            <w:shd w:val="clear" w:color="auto" w:fill="D4E3F5"/>
          </w:tcPr>
          <w:p>
            <w:pPr>
              <w:pStyle w:val="TableParagraph"/>
              <w:spacing w:line="148" w:lineRule="exact" w:before="17"/>
              <w:ind w:left="14" w:right="28"/>
              <w:rPr>
                <w:sz w:val="13"/>
              </w:rPr>
            </w:pPr>
            <w:r>
              <w:rPr>
                <w:color w:val="231F20"/>
                <w:spacing w:val="-5"/>
                <w:w w:val="95"/>
                <w:sz w:val="13"/>
              </w:rPr>
              <w:t>2.7</w:t>
            </w:r>
          </w:p>
        </w:tc>
        <w:tc>
          <w:tcPr>
            <w:tcW w:w="536" w:type="dxa"/>
            <w:tcBorders>
              <w:right w:val="single" w:sz="24" w:space="0" w:color="FFFFFF"/>
            </w:tcBorders>
            <w:shd w:val="clear" w:color="auto" w:fill="D4E3F5"/>
          </w:tcPr>
          <w:p>
            <w:pPr>
              <w:pStyle w:val="TableParagraph"/>
              <w:spacing w:line="148" w:lineRule="exact" w:before="17"/>
              <w:ind w:left="19" w:right="27"/>
              <w:rPr>
                <w:sz w:val="13"/>
              </w:rPr>
            </w:pPr>
            <w:r>
              <w:rPr>
                <w:color w:val="231F20"/>
                <w:spacing w:val="-5"/>
                <w:w w:val="95"/>
                <w:sz w:val="13"/>
              </w:rPr>
              <w:t>3.2</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2"/>
                <w:w w:val="90"/>
                <w:sz w:val="13"/>
              </w:rPr>
              <w:t>Somalia</w:t>
            </w:r>
          </w:p>
        </w:tc>
        <w:tc>
          <w:tcPr>
            <w:tcW w:w="482" w:type="dxa"/>
            <w:shd w:val="clear" w:color="auto" w:fill="D4E3F5"/>
          </w:tcPr>
          <w:p>
            <w:pPr>
              <w:pStyle w:val="TableParagraph"/>
              <w:spacing w:line="148" w:lineRule="exact" w:before="17"/>
              <w:ind w:right="109"/>
              <w:jc w:val="right"/>
              <w:rPr>
                <w:sz w:val="13"/>
              </w:rPr>
            </w:pPr>
            <w:r>
              <w:rPr>
                <w:color w:val="231F20"/>
                <w:spacing w:val="-5"/>
                <w:w w:val="95"/>
                <w:sz w:val="13"/>
              </w:rPr>
              <w:t>2.0</w:t>
            </w:r>
          </w:p>
        </w:tc>
        <w:tc>
          <w:tcPr>
            <w:tcW w:w="532" w:type="dxa"/>
            <w:shd w:val="clear" w:color="auto" w:fill="D4E3F5"/>
          </w:tcPr>
          <w:p>
            <w:pPr>
              <w:pStyle w:val="TableParagraph"/>
              <w:spacing w:line="148" w:lineRule="exact" w:before="17"/>
              <w:ind w:left="26" w:right="55"/>
              <w:rPr>
                <w:sz w:val="13"/>
              </w:rPr>
            </w:pPr>
            <w:r>
              <w:rPr>
                <w:color w:val="231F20"/>
                <w:spacing w:val="-5"/>
                <w:w w:val="95"/>
                <w:sz w:val="13"/>
              </w:rPr>
              <w:t>1.5</w:t>
            </w:r>
          </w:p>
        </w:tc>
        <w:tc>
          <w:tcPr>
            <w:tcW w:w="550" w:type="dxa"/>
            <w:shd w:val="clear" w:color="auto" w:fill="D4E3F5"/>
          </w:tcPr>
          <w:p>
            <w:pPr>
              <w:pStyle w:val="TableParagraph"/>
              <w:spacing w:line="148" w:lineRule="exact" w:before="17"/>
              <w:ind w:left="26" w:right="45"/>
              <w:rPr>
                <w:sz w:val="13"/>
              </w:rPr>
            </w:pPr>
            <w:r>
              <w:rPr>
                <w:color w:val="231F20"/>
                <w:spacing w:val="-5"/>
                <w:w w:val="95"/>
                <w:sz w:val="13"/>
              </w:rPr>
              <w:t>1.9</w:t>
            </w:r>
          </w:p>
        </w:tc>
        <w:tc>
          <w:tcPr>
            <w:tcW w:w="616" w:type="dxa"/>
            <w:shd w:val="clear" w:color="auto" w:fill="D4E3F5"/>
          </w:tcPr>
          <w:p>
            <w:pPr>
              <w:pStyle w:val="TableParagraph"/>
              <w:spacing w:line="148" w:lineRule="exact" w:before="17"/>
              <w:ind w:left="19" w:right="37"/>
              <w:rPr>
                <w:sz w:val="13"/>
              </w:rPr>
            </w:pPr>
            <w:r>
              <w:rPr>
                <w:color w:val="231F20"/>
                <w:spacing w:val="-5"/>
                <w:w w:val="95"/>
                <w:sz w:val="13"/>
              </w:rPr>
              <w:t>2.4</w:t>
            </w:r>
          </w:p>
        </w:tc>
        <w:tc>
          <w:tcPr>
            <w:tcW w:w="707" w:type="dxa"/>
            <w:shd w:val="clear" w:color="auto" w:fill="D4E3F5"/>
          </w:tcPr>
          <w:p>
            <w:pPr>
              <w:pStyle w:val="TableParagraph"/>
              <w:spacing w:line="148" w:lineRule="exact" w:before="17"/>
              <w:ind w:right="32"/>
              <w:rPr>
                <w:sz w:val="13"/>
              </w:rPr>
            </w:pPr>
            <w:r>
              <w:rPr>
                <w:color w:val="231F20"/>
                <w:spacing w:val="-5"/>
                <w:w w:val="95"/>
                <w:sz w:val="13"/>
              </w:rPr>
              <w:t>1.8</w:t>
            </w:r>
          </w:p>
        </w:tc>
        <w:tc>
          <w:tcPr>
            <w:tcW w:w="369" w:type="dxa"/>
            <w:shd w:val="clear" w:color="auto" w:fill="D4E3F5"/>
          </w:tcPr>
          <w:p>
            <w:pPr>
              <w:pStyle w:val="TableParagraph"/>
              <w:spacing w:line="148" w:lineRule="exact" w:before="17"/>
              <w:ind w:left="18" w:right="61"/>
              <w:rPr>
                <w:sz w:val="13"/>
              </w:rPr>
            </w:pPr>
            <w:r>
              <w:rPr>
                <w:color w:val="231F20"/>
                <w:spacing w:val="-5"/>
                <w:w w:val="95"/>
                <w:sz w:val="13"/>
              </w:rPr>
              <w:t>2.3</w:t>
            </w:r>
          </w:p>
        </w:tc>
        <w:tc>
          <w:tcPr>
            <w:tcW w:w="507" w:type="dxa"/>
            <w:shd w:val="clear" w:color="auto" w:fill="D4E3F5"/>
          </w:tcPr>
          <w:p>
            <w:pPr>
              <w:pStyle w:val="TableParagraph"/>
              <w:spacing w:line="148" w:lineRule="exact" w:before="17"/>
              <w:ind w:right="37"/>
              <w:rPr>
                <w:sz w:val="13"/>
              </w:rPr>
            </w:pPr>
            <w:r>
              <w:rPr>
                <w:color w:val="231F20"/>
                <w:spacing w:val="-5"/>
                <w:w w:val="95"/>
                <w:sz w:val="13"/>
              </w:rPr>
              <w:t>1.8</w:t>
            </w:r>
          </w:p>
        </w:tc>
      </w:tr>
      <w:tr>
        <w:trPr>
          <w:trHeight w:val="184" w:hRule="atLeast"/>
        </w:trPr>
        <w:tc>
          <w:tcPr>
            <w:tcW w:w="1377" w:type="dxa"/>
          </w:tcPr>
          <w:p>
            <w:pPr>
              <w:pStyle w:val="TableParagraph"/>
              <w:spacing w:line="148" w:lineRule="exact" w:before="17"/>
              <w:ind w:left="79"/>
              <w:jc w:val="left"/>
              <w:rPr>
                <w:sz w:val="13"/>
              </w:rPr>
            </w:pPr>
            <w:r>
              <w:rPr>
                <w:color w:val="231F20"/>
                <w:spacing w:val="-2"/>
                <w:w w:val="90"/>
                <w:sz w:val="13"/>
              </w:rPr>
              <w:t>Colombia</w:t>
            </w:r>
          </w:p>
        </w:tc>
        <w:tc>
          <w:tcPr>
            <w:tcW w:w="487" w:type="dxa"/>
          </w:tcPr>
          <w:p>
            <w:pPr>
              <w:pStyle w:val="TableParagraph"/>
              <w:spacing w:line="148" w:lineRule="exact" w:before="17"/>
              <w:ind w:right="98"/>
              <w:jc w:val="right"/>
              <w:rPr>
                <w:sz w:val="13"/>
              </w:rPr>
            </w:pPr>
            <w:r>
              <w:rPr>
                <w:color w:val="231F20"/>
                <w:spacing w:val="-5"/>
                <w:w w:val="95"/>
                <w:sz w:val="13"/>
              </w:rPr>
              <w:t>2.9</w:t>
            </w:r>
          </w:p>
        </w:tc>
        <w:tc>
          <w:tcPr>
            <w:tcW w:w="531" w:type="dxa"/>
          </w:tcPr>
          <w:p>
            <w:pPr>
              <w:pStyle w:val="TableParagraph"/>
              <w:spacing w:line="148" w:lineRule="exact" w:before="17"/>
              <w:ind w:left="17" w:right="27"/>
              <w:rPr>
                <w:sz w:val="13"/>
              </w:rPr>
            </w:pPr>
            <w:r>
              <w:rPr>
                <w:color w:val="231F20"/>
                <w:spacing w:val="-5"/>
                <w:w w:val="95"/>
                <w:sz w:val="13"/>
              </w:rPr>
              <w:t>2.5</w:t>
            </w:r>
          </w:p>
        </w:tc>
        <w:tc>
          <w:tcPr>
            <w:tcW w:w="549" w:type="dxa"/>
          </w:tcPr>
          <w:p>
            <w:pPr>
              <w:pStyle w:val="TableParagraph"/>
              <w:spacing w:line="148" w:lineRule="exact" w:before="17"/>
              <w:ind w:left="16" w:right="16"/>
              <w:rPr>
                <w:sz w:val="13"/>
              </w:rPr>
            </w:pPr>
            <w:r>
              <w:rPr>
                <w:color w:val="231F20"/>
                <w:spacing w:val="-5"/>
                <w:w w:val="95"/>
                <w:sz w:val="13"/>
              </w:rPr>
              <w:t>2.9</w:t>
            </w:r>
          </w:p>
        </w:tc>
        <w:tc>
          <w:tcPr>
            <w:tcW w:w="615" w:type="dxa"/>
          </w:tcPr>
          <w:p>
            <w:pPr>
              <w:pStyle w:val="TableParagraph"/>
              <w:spacing w:line="148" w:lineRule="exact" w:before="17"/>
              <w:ind w:left="18" w:right="8"/>
              <w:rPr>
                <w:sz w:val="13"/>
              </w:rPr>
            </w:pPr>
            <w:r>
              <w:rPr>
                <w:color w:val="231F20"/>
                <w:spacing w:val="-5"/>
                <w:w w:val="95"/>
                <w:sz w:val="13"/>
              </w:rPr>
              <w:t>3.0</w:t>
            </w:r>
          </w:p>
        </w:tc>
        <w:tc>
          <w:tcPr>
            <w:tcW w:w="706" w:type="dxa"/>
          </w:tcPr>
          <w:p>
            <w:pPr>
              <w:pStyle w:val="TableParagraph"/>
              <w:spacing w:line="148" w:lineRule="exact" w:before="17"/>
              <w:ind w:right="24"/>
              <w:rPr>
                <w:sz w:val="13"/>
              </w:rPr>
            </w:pPr>
            <w:r>
              <w:rPr>
                <w:color w:val="231F20"/>
                <w:spacing w:val="-5"/>
                <w:w w:val="95"/>
                <w:sz w:val="13"/>
              </w:rPr>
              <w:t>3.1</w:t>
            </w:r>
          </w:p>
        </w:tc>
        <w:tc>
          <w:tcPr>
            <w:tcW w:w="368" w:type="dxa"/>
          </w:tcPr>
          <w:p>
            <w:pPr>
              <w:pStyle w:val="TableParagraph"/>
              <w:spacing w:line="148" w:lineRule="exact" w:before="17"/>
              <w:ind w:left="18" w:right="28"/>
              <w:rPr>
                <w:sz w:val="13"/>
              </w:rPr>
            </w:pPr>
            <w:r>
              <w:rPr>
                <w:color w:val="231F20"/>
                <w:spacing w:val="-5"/>
                <w:w w:val="95"/>
                <w:sz w:val="13"/>
              </w:rPr>
              <w:t>3.2</w:t>
            </w:r>
          </w:p>
        </w:tc>
        <w:tc>
          <w:tcPr>
            <w:tcW w:w="536" w:type="dxa"/>
            <w:tcBorders>
              <w:right w:val="single" w:sz="24" w:space="0" w:color="FFFFFF"/>
            </w:tcBorders>
          </w:tcPr>
          <w:p>
            <w:pPr>
              <w:pStyle w:val="TableParagraph"/>
              <w:spacing w:line="148" w:lineRule="exact" w:before="17"/>
              <w:ind w:left="1" w:right="27"/>
              <w:rPr>
                <w:sz w:val="13"/>
              </w:rPr>
            </w:pPr>
            <w:r>
              <w:rPr>
                <w:color w:val="231F20"/>
                <w:spacing w:val="-5"/>
                <w:w w:val="95"/>
                <w:sz w:val="13"/>
              </w:rPr>
              <w:t>3.1</w:t>
            </w:r>
          </w:p>
        </w:tc>
        <w:tc>
          <w:tcPr>
            <w:tcW w:w="1415" w:type="dxa"/>
            <w:tcBorders>
              <w:left w:val="single" w:sz="24" w:space="0" w:color="FFFFFF"/>
            </w:tcBorders>
          </w:tcPr>
          <w:p>
            <w:pPr>
              <w:pStyle w:val="TableParagraph"/>
              <w:spacing w:line="148" w:lineRule="exact" w:before="17"/>
              <w:ind w:left="70"/>
              <w:jc w:val="left"/>
              <w:rPr>
                <w:sz w:val="13"/>
              </w:rPr>
            </w:pPr>
            <w:r>
              <w:rPr>
                <w:color w:val="231F20"/>
                <w:spacing w:val="-2"/>
                <w:w w:val="90"/>
                <w:sz w:val="13"/>
              </w:rPr>
              <w:t>Afghanistan</w:t>
            </w:r>
          </w:p>
        </w:tc>
        <w:tc>
          <w:tcPr>
            <w:tcW w:w="482" w:type="dxa"/>
          </w:tcPr>
          <w:p>
            <w:pPr>
              <w:pStyle w:val="TableParagraph"/>
              <w:spacing w:line="148" w:lineRule="exact" w:before="17"/>
              <w:ind w:right="110"/>
              <w:jc w:val="right"/>
              <w:rPr>
                <w:sz w:val="13"/>
              </w:rPr>
            </w:pPr>
            <w:r>
              <w:rPr>
                <w:color w:val="231F20"/>
                <w:spacing w:val="-5"/>
                <w:w w:val="95"/>
                <w:sz w:val="13"/>
              </w:rPr>
              <w:t>1.9</w:t>
            </w:r>
          </w:p>
        </w:tc>
        <w:tc>
          <w:tcPr>
            <w:tcW w:w="532" w:type="dxa"/>
          </w:tcPr>
          <w:p>
            <w:pPr>
              <w:pStyle w:val="TableParagraph"/>
              <w:spacing w:line="148" w:lineRule="exact" w:before="17"/>
              <w:ind w:left="3" w:right="55"/>
              <w:rPr>
                <w:sz w:val="13"/>
              </w:rPr>
            </w:pPr>
            <w:r>
              <w:rPr>
                <w:color w:val="231F20"/>
                <w:spacing w:val="-5"/>
                <w:w w:val="95"/>
                <w:sz w:val="13"/>
              </w:rPr>
              <w:t>2.1</w:t>
            </w:r>
          </w:p>
        </w:tc>
        <w:tc>
          <w:tcPr>
            <w:tcW w:w="550" w:type="dxa"/>
          </w:tcPr>
          <w:p>
            <w:pPr>
              <w:pStyle w:val="TableParagraph"/>
              <w:spacing w:line="148" w:lineRule="exact" w:before="17"/>
              <w:ind w:left="23" w:right="45"/>
              <w:rPr>
                <w:sz w:val="13"/>
              </w:rPr>
            </w:pPr>
            <w:r>
              <w:rPr>
                <w:color w:val="231F20"/>
                <w:spacing w:val="-5"/>
                <w:w w:val="95"/>
                <w:sz w:val="13"/>
              </w:rPr>
              <w:t>1.7</w:t>
            </w:r>
          </w:p>
        </w:tc>
        <w:tc>
          <w:tcPr>
            <w:tcW w:w="616" w:type="dxa"/>
          </w:tcPr>
          <w:p>
            <w:pPr>
              <w:pStyle w:val="TableParagraph"/>
              <w:spacing w:line="148" w:lineRule="exact" w:before="17"/>
              <w:ind w:right="10"/>
              <w:rPr>
                <w:sz w:val="13"/>
              </w:rPr>
            </w:pPr>
            <w:r>
              <w:rPr>
                <w:color w:val="231F20"/>
                <w:spacing w:val="-5"/>
                <w:w w:val="95"/>
                <w:sz w:val="13"/>
              </w:rPr>
              <w:t>1.8</w:t>
            </w:r>
          </w:p>
        </w:tc>
        <w:tc>
          <w:tcPr>
            <w:tcW w:w="707" w:type="dxa"/>
          </w:tcPr>
          <w:p>
            <w:pPr>
              <w:pStyle w:val="TableParagraph"/>
              <w:spacing w:line="148" w:lineRule="exact" w:before="17"/>
              <w:ind w:left="16" w:right="55"/>
              <w:rPr>
                <w:sz w:val="13"/>
              </w:rPr>
            </w:pPr>
            <w:r>
              <w:rPr>
                <w:color w:val="231F20"/>
                <w:spacing w:val="-5"/>
                <w:w w:val="95"/>
                <w:sz w:val="13"/>
              </w:rPr>
              <w:t>2.0</w:t>
            </w:r>
          </w:p>
        </w:tc>
        <w:tc>
          <w:tcPr>
            <w:tcW w:w="369" w:type="dxa"/>
          </w:tcPr>
          <w:p>
            <w:pPr>
              <w:pStyle w:val="TableParagraph"/>
              <w:spacing w:line="148" w:lineRule="exact" w:before="17"/>
              <w:ind w:left="17" w:right="61"/>
              <w:rPr>
                <w:sz w:val="13"/>
              </w:rPr>
            </w:pPr>
            <w:r>
              <w:rPr>
                <w:color w:val="231F20"/>
                <w:spacing w:val="-5"/>
                <w:w w:val="95"/>
                <w:sz w:val="13"/>
              </w:rPr>
              <w:t>2.3</w:t>
            </w:r>
          </w:p>
        </w:tc>
        <w:tc>
          <w:tcPr>
            <w:tcW w:w="507" w:type="dxa"/>
          </w:tcPr>
          <w:p>
            <w:pPr>
              <w:pStyle w:val="TableParagraph"/>
              <w:spacing w:line="148" w:lineRule="exact" w:before="17"/>
              <w:ind w:right="38"/>
              <w:rPr>
                <w:sz w:val="13"/>
              </w:rPr>
            </w:pPr>
            <w:r>
              <w:rPr>
                <w:color w:val="231F20"/>
                <w:spacing w:val="-5"/>
                <w:w w:val="95"/>
                <w:sz w:val="13"/>
              </w:rPr>
              <w:t>1.6</w:t>
            </w:r>
          </w:p>
        </w:tc>
      </w:tr>
      <w:tr>
        <w:trPr>
          <w:trHeight w:val="184" w:hRule="atLeast"/>
        </w:trPr>
        <w:tc>
          <w:tcPr>
            <w:tcW w:w="1377" w:type="dxa"/>
            <w:shd w:val="clear" w:color="auto" w:fill="D4E3F5"/>
          </w:tcPr>
          <w:p>
            <w:pPr>
              <w:pStyle w:val="TableParagraph"/>
              <w:spacing w:line="148" w:lineRule="exact" w:before="17"/>
              <w:ind w:left="79"/>
              <w:jc w:val="left"/>
              <w:rPr>
                <w:sz w:val="13"/>
              </w:rPr>
            </w:pPr>
            <w:r>
              <w:rPr>
                <w:color w:val="231F20"/>
                <w:w w:val="75"/>
                <w:sz w:val="13"/>
              </w:rPr>
              <w:t>Costa</w:t>
            </w:r>
            <w:r>
              <w:rPr>
                <w:color w:val="231F20"/>
                <w:spacing w:val="9"/>
                <w:sz w:val="13"/>
              </w:rPr>
              <w:t> </w:t>
            </w:r>
            <w:r>
              <w:rPr>
                <w:color w:val="231F20"/>
                <w:spacing w:val="-4"/>
                <w:w w:val="85"/>
                <w:sz w:val="13"/>
              </w:rPr>
              <w:t>Rica</w:t>
            </w:r>
          </w:p>
        </w:tc>
        <w:tc>
          <w:tcPr>
            <w:tcW w:w="487" w:type="dxa"/>
            <w:shd w:val="clear" w:color="auto" w:fill="D4E3F5"/>
          </w:tcPr>
          <w:p>
            <w:pPr>
              <w:pStyle w:val="TableParagraph"/>
              <w:spacing w:line="148" w:lineRule="exact" w:before="17"/>
              <w:ind w:right="98"/>
              <w:jc w:val="right"/>
              <w:rPr>
                <w:sz w:val="13"/>
              </w:rPr>
            </w:pPr>
            <w:r>
              <w:rPr>
                <w:color w:val="231F20"/>
                <w:spacing w:val="-5"/>
                <w:w w:val="95"/>
                <w:sz w:val="13"/>
              </w:rPr>
              <w:t>2.9</w:t>
            </w:r>
          </w:p>
        </w:tc>
        <w:tc>
          <w:tcPr>
            <w:tcW w:w="531" w:type="dxa"/>
            <w:shd w:val="clear" w:color="auto" w:fill="D4E3F5"/>
          </w:tcPr>
          <w:p>
            <w:pPr>
              <w:pStyle w:val="TableParagraph"/>
              <w:spacing w:line="148" w:lineRule="exact" w:before="17"/>
              <w:ind w:left="17" w:right="27"/>
              <w:rPr>
                <w:sz w:val="13"/>
              </w:rPr>
            </w:pPr>
            <w:r>
              <w:rPr>
                <w:color w:val="231F20"/>
                <w:spacing w:val="-5"/>
                <w:w w:val="95"/>
                <w:sz w:val="13"/>
              </w:rPr>
              <w:t>2.8</w:t>
            </w:r>
          </w:p>
        </w:tc>
        <w:tc>
          <w:tcPr>
            <w:tcW w:w="549" w:type="dxa"/>
            <w:shd w:val="clear" w:color="auto" w:fill="D4E3F5"/>
          </w:tcPr>
          <w:p>
            <w:pPr>
              <w:pStyle w:val="TableParagraph"/>
              <w:spacing w:line="148" w:lineRule="exact" w:before="17"/>
              <w:ind w:left="14" w:right="16"/>
              <w:rPr>
                <w:sz w:val="13"/>
              </w:rPr>
            </w:pPr>
            <w:r>
              <w:rPr>
                <w:color w:val="231F20"/>
                <w:spacing w:val="-5"/>
                <w:w w:val="95"/>
                <w:sz w:val="13"/>
              </w:rPr>
              <w:t>2.7</w:t>
            </w:r>
          </w:p>
        </w:tc>
        <w:tc>
          <w:tcPr>
            <w:tcW w:w="615" w:type="dxa"/>
            <w:shd w:val="clear" w:color="auto" w:fill="D4E3F5"/>
          </w:tcPr>
          <w:p>
            <w:pPr>
              <w:pStyle w:val="TableParagraph"/>
              <w:spacing w:line="148" w:lineRule="exact" w:before="17"/>
              <w:ind w:left="18" w:right="8"/>
              <w:rPr>
                <w:sz w:val="13"/>
              </w:rPr>
            </w:pPr>
            <w:r>
              <w:rPr>
                <w:color w:val="231F20"/>
                <w:spacing w:val="-5"/>
                <w:w w:val="95"/>
                <w:sz w:val="13"/>
              </w:rPr>
              <w:t>2.8</w:t>
            </w:r>
          </w:p>
        </w:tc>
        <w:tc>
          <w:tcPr>
            <w:tcW w:w="706" w:type="dxa"/>
            <w:shd w:val="clear" w:color="auto" w:fill="D4E3F5"/>
          </w:tcPr>
          <w:p>
            <w:pPr>
              <w:pStyle w:val="TableParagraph"/>
              <w:spacing w:line="148" w:lineRule="exact" w:before="17"/>
              <w:ind w:left="16" w:right="24"/>
              <w:rPr>
                <w:sz w:val="13"/>
              </w:rPr>
            </w:pPr>
            <w:r>
              <w:rPr>
                <w:color w:val="231F20"/>
                <w:spacing w:val="-5"/>
                <w:w w:val="95"/>
                <w:sz w:val="13"/>
              </w:rPr>
              <w:t>2.9</w:t>
            </w:r>
          </w:p>
        </w:tc>
        <w:tc>
          <w:tcPr>
            <w:tcW w:w="368" w:type="dxa"/>
            <w:shd w:val="clear" w:color="auto" w:fill="D4E3F5"/>
          </w:tcPr>
          <w:p>
            <w:pPr>
              <w:pStyle w:val="TableParagraph"/>
              <w:spacing w:line="148" w:lineRule="exact" w:before="17"/>
              <w:ind w:left="18" w:right="28"/>
              <w:rPr>
                <w:sz w:val="13"/>
              </w:rPr>
            </w:pPr>
            <w:r>
              <w:rPr>
                <w:color w:val="231F20"/>
                <w:spacing w:val="-5"/>
                <w:w w:val="95"/>
                <w:sz w:val="13"/>
              </w:rPr>
              <w:t>3.2</w:t>
            </w:r>
          </w:p>
        </w:tc>
        <w:tc>
          <w:tcPr>
            <w:tcW w:w="536" w:type="dxa"/>
            <w:tcBorders>
              <w:right w:val="single" w:sz="24" w:space="0" w:color="FFFFFF"/>
            </w:tcBorders>
            <w:shd w:val="clear" w:color="auto" w:fill="D4E3F5"/>
          </w:tcPr>
          <w:p>
            <w:pPr>
              <w:pStyle w:val="TableParagraph"/>
              <w:spacing w:line="148" w:lineRule="exact" w:before="17"/>
              <w:ind w:left="19" w:right="27"/>
              <w:rPr>
                <w:sz w:val="13"/>
              </w:rPr>
            </w:pPr>
            <w:r>
              <w:rPr>
                <w:color w:val="231F20"/>
                <w:spacing w:val="-5"/>
                <w:w w:val="95"/>
                <w:sz w:val="13"/>
              </w:rPr>
              <w:t>2.9</w:t>
            </w:r>
          </w:p>
        </w:tc>
        <w:tc>
          <w:tcPr>
            <w:tcW w:w="1415" w:type="dxa"/>
            <w:tcBorders>
              <w:left w:val="single" w:sz="24" w:space="0" w:color="FFFFFF"/>
            </w:tcBorders>
            <w:shd w:val="clear" w:color="auto" w:fill="D4E3F5"/>
          </w:tcPr>
          <w:p>
            <w:pPr>
              <w:pStyle w:val="TableParagraph"/>
              <w:spacing w:line="148" w:lineRule="exact" w:before="17"/>
              <w:ind w:left="70"/>
              <w:jc w:val="left"/>
              <w:rPr>
                <w:sz w:val="13"/>
              </w:rPr>
            </w:pPr>
            <w:r>
              <w:rPr>
                <w:color w:val="231F20"/>
                <w:spacing w:val="-2"/>
                <w:w w:val="90"/>
                <w:sz w:val="13"/>
              </w:rPr>
              <w:t>Libya</w:t>
            </w:r>
          </w:p>
        </w:tc>
        <w:tc>
          <w:tcPr>
            <w:tcW w:w="482" w:type="dxa"/>
            <w:shd w:val="clear" w:color="auto" w:fill="D4E3F5"/>
          </w:tcPr>
          <w:p>
            <w:pPr>
              <w:pStyle w:val="TableParagraph"/>
              <w:spacing w:line="148" w:lineRule="exact" w:before="17"/>
              <w:ind w:right="110"/>
              <w:jc w:val="right"/>
              <w:rPr>
                <w:sz w:val="13"/>
              </w:rPr>
            </w:pPr>
            <w:r>
              <w:rPr>
                <w:color w:val="231F20"/>
                <w:spacing w:val="-5"/>
                <w:w w:val="95"/>
                <w:sz w:val="13"/>
              </w:rPr>
              <w:t>1.9</w:t>
            </w:r>
          </w:p>
        </w:tc>
        <w:tc>
          <w:tcPr>
            <w:tcW w:w="532" w:type="dxa"/>
            <w:shd w:val="clear" w:color="auto" w:fill="D4E3F5"/>
          </w:tcPr>
          <w:p>
            <w:pPr>
              <w:pStyle w:val="TableParagraph"/>
              <w:spacing w:line="148" w:lineRule="exact" w:before="17"/>
              <w:ind w:left="25" w:right="55"/>
              <w:rPr>
                <w:sz w:val="13"/>
              </w:rPr>
            </w:pPr>
            <w:r>
              <w:rPr>
                <w:color w:val="231F20"/>
                <w:spacing w:val="-5"/>
                <w:w w:val="95"/>
                <w:sz w:val="13"/>
              </w:rPr>
              <w:t>1.9</w:t>
            </w:r>
          </w:p>
        </w:tc>
        <w:tc>
          <w:tcPr>
            <w:tcW w:w="550" w:type="dxa"/>
            <w:shd w:val="clear" w:color="auto" w:fill="D4E3F5"/>
          </w:tcPr>
          <w:p>
            <w:pPr>
              <w:pStyle w:val="TableParagraph"/>
              <w:spacing w:line="148" w:lineRule="exact" w:before="17"/>
              <w:ind w:left="23" w:right="45"/>
              <w:rPr>
                <w:sz w:val="13"/>
              </w:rPr>
            </w:pPr>
            <w:r>
              <w:rPr>
                <w:color w:val="231F20"/>
                <w:spacing w:val="-5"/>
                <w:w w:val="95"/>
                <w:sz w:val="13"/>
              </w:rPr>
              <w:t>1.7</w:t>
            </w:r>
          </w:p>
        </w:tc>
        <w:tc>
          <w:tcPr>
            <w:tcW w:w="616" w:type="dxa"/>
            <w:shd w:val="clear" w:color="auto" w:fill="D4E3F5"/>
          </w:tcPr>
          <w:p>
            <w:pPr>
              <w:pStyle w:val="TableParagraph"/>
              <w:spacing w:line="148" w:lineRule="exact" w:before="17"/>
              <w:ind w:left="20" w:right="37"/>
              <w:rPr>
                <w:sz w:val="13"/>
              </w:rPr>
            </w:pPr>
            <w:r>
              <w:rPr>
                <w:color w:val="231F20"/>
                <w:spacing w:val="-5"/>
                <w:w w:val="95"/>
                <w:sz w:val="13"/>
              </w:rPr>
              <w:t>2.0</w:t>
            </w:r>
          </w:p>
        </w:tc>
        <w:tc>
          <w:tcPr>
            <w:tcW w:w="707" w:type="dxa"/>
            <w:shd w:val="clear" w:color="auto" w:fill="D4E3F5"/>
          </w:tcPr>
          <w:p>
            <w:pPr>
              <w:pStyle w:val="TableParagraph"/>
              <w:spacing w:line="148" w:lineRule="exact" w:before="17"/>
              <w:ind w:right="33"/>
              <w:rPr>
                <w:sz w:val="13"/>
              </w:rPr>
            </w:pPr>
            <w:r>
              <w:rPr>
                <w:color w:val="231F20"/>
                <w:spacing w:val="-5"/>
                <w:w w:val="95"/>
                <w:sz w:val="13"/>
              </w:rPr>
              <w:t>1.9</w:t>
            </w:r>
          </w:p>
        </w:tc>
        <w:tc>
          <w:tcPr>
            <w:tcW w:w="369" w:type="dxa"/>
            <w:shd w:val="clear" w:color="auto" w:fill="D4E3F5"/>
          </w:tcPr>
          <w:p>
            <w:pPr>
              <w:pStyle w:val="TableParagraph"/>
              <w:spacing w:line="148" w:lineRule="exact" w:before="17"/>
              <w:ind w:left="18" w:right="61"/>
              <w:rPr>
                <w:sz w:val="13"/>
              </w:rPr>
            </w:pPr>
            <w:r>
              <w:rPr>
                <w:color w:val="231F20"/>
                <w:spacing w:val="-5"/>
                <w:w w:val="95"/>
                <w:sz w:val="13"/>
              </w:rPr>
              <w:t>2.2</w:t>
            </w:r>
          </w:p>
        </w:tc>
        <w:tc>
          <w:tcPr>
            <w:tcW w:w="507" w:type="dxa"/>
            <w:shd w:val="clear" w:color="auto" w:fill="D4E3F5"/>
          </w:tcPr>
          <w:p>
            <w:pPr>
              <w:pStyle w:val="TableParagraph"/>
              <w:spacing w:line="148" w:lineRule="exact" w:before="17"/>
              <w:ind w:right="38"/>
              <w:rPr>
                <w:sz w:val="13"/>
              </w:rPr>
            </w:pPr>
            <w:r>
              <w:rPr>
                <w:color w:val="231F20"/>
                <w:spacing w:val="-5"/>
                <w:w w:val="95"/>
                <w:sz w:val="13"/>
              </w:rPr>
              <w:t>1.8</w:t>
            </w:r>
          </w:p>
        </w:tc>
      </w:tr>
      <w:tr>
        <w:trPr>
          <w:trHeight w:val="203" w:hRule="atLeast"/>
        </w:trPr>
        <w:tc>
          <w:tcPr>
            <w:tcW w:w="1377" w:type="dxa"/>
            <w:tcBorders>
              <w:bottom w:val="single" w:sz="4" w:space="0" w:color="008FDD"/>
            </w:tcBorders>
          </w:tcPr>
          <w:p>
            <w:pPr>
              <w:pStyle w:val="TableParagraph"/>
              <w:spacing w:before="17"/>
              <w:ind w:left="79"/>
              <w:jc w:val="left"/>
              <w:rPr>
                <w:sz w:val="13"/>
              </w:rPr>
            </w:pPr>
            <w:r>
              <w:rPr>
                <w:color w:val="231F20"/>
                <w:spacing w:val="-2"/>
                <w:w w:val="90"/>
                <w:sz w:val="13"/>
              </w:rPr>
              <w:t>Honduras</w:t>
            </w:r>
          </w:p>
        </w:tc>
        <w:tc>
          <w:tcPr>
            <w:tcW w:w="487" w:type="dxa"/>
            <w:tcBorders>
              <w:bottom w:val="single" w:sz="4" w:space="0" w:color="008FDD"/>
            </w:tcBorders>
          </w:tcPr>
          <w:p>
            <w:pPr>
              <w:pStyle w:val="TableParagraph"/>
              <w:spacing w:before="17"/>
              <w:ind w:right="98"/>
              <w:jc w:val="right"/>
              <w:rPr>
                <w:sz w:val="13"/>
              </w:rPr>
            </w:pPr>
            <w:r>
              <w:rPr>
                <w:color w:val="231F20"/>
                <w:spacing w:val="-5"/>
                <w:w w:val="95"/>
                <w:sz w:val="13"/>
              </w:rPr>
              <w:t>2.9</w:t>
            </w:r>
          </w:p>
        </w:tc>
        <w:tc>
          <w:tcPr>
            <w:tcW w:w="531" w:type="dxa"/>
            <w:tcBorders>
              <w:bottom w:val="single" w:sz="4" w:space="0" w:color="008FDD"/>
            </w:tcBorders>
          </w:tcPr>
          <w:p>
            <w:pPr>
              <w:pStyle w:val="TableParagraph"/>
              <w:spacing w:before="17"/>
              <w:ind w:left="17" w:right="27"/>
              <w:rPr>
                <w:sz w:val="13"/>
              </w:rPr>
            </w:pPr>
            <w:r>
              <w:rPr>
                <w:color w:val="231F20"/>
                <w:spacing w:val="-5"/>
                <w:w w:val="95"/>
                <w:sz w:val="13"/>
              </w:rPr>
              <w:t>2.8</w:t>
            </w:r>
          </w:p>
        </w:tc>
        <w:tc>
          <w:tcPr>
            <w:tcW w:w="549" w:type="dxa"/>
            <w:tcBorders>
              <w:bottom w:val="single" w:sz="4" w:space="0" w:color="008FDD"/>
            </w:tcBorders>
          </w:tcPr>
          <w:p>
            <w:pPr>
              <w:pStyle w:val="TableParagraph"/>
              <w:spacing w:before="17"/>
              <w:ind w:left="14" w:right="16"/>
              <w:rPr>
                <w:sz w:val="13"/>
              </w:rPr>
            </w:pPr>
            <w:r>
              <w:rPr>
                <w:color w:val="231F20"/>
                <w:spacing w:val="-5"/>
                <w:w w:val="95"/>
                <w:sz w:val="13"/>
              </w:rPr>
              <w:t>2.7</w:t>
            </w:r>
          </w:p>
        </w:tc>
        <w:tc>
          <w:tcPr>
            <w:tcW w:w="615" w:type="dxa"/>
            <w:tcBorders>
              <w:bottom w:val="single" w:sz="4" w:space="0" w:color="008FDD"/>
            </w:tcBorders>
          </w:tcPr>
          <w:p>
            <w:pPr>
              <w:pStyle w:val="TableParagraph"/>
              <w:spacing w:before="17"/>
              <w:ind w:left="18" w:right="8"/>
              <w:rPr>
                <w:sz w:val="13"/>
              </w:rPr>
            </w:pPr>
            <w:r>
              <w:rPr>
                <w:color w:val="231F20"/>
                <w:spacing w:val="-5"/>
                <w:w w:val="95"/>
                <w:sz w:val="13"/>
              </w:rPr>
              <w:t>3.0</w:t>
            </w:r>
          </w:p>
        </w:tc>
        <w:tc>
          <w:tcPr>
            <w:tcW w:w="706" w:type="dxa"/>
            <w:tcBorders>
              <w:bottom w:val="single" w:sz="4" w:space="0" w:color="008FDD"/>
            </w:tcBorders>
          </w:tcPr>
          <w:p>
            <w:pPr>
              <w:pStyle w:val="TableParagraph"/>
              <w:spacing w:before="17"/>
              <w:ind w:left="13" w:right="24"/>
              <w:rPr>
                <w:sz w:val="13"/>
              </w:rPr>
            </w:pPr>
            <w:r>
              <w:rPr>
                <w:color w:val="231F20"/>
                <w:spacing w:val="-5"/>
                <w:w w:val="95"/>
                <w:sz w:val="13"/>
              </w:rPr>
              <w:t>2.7</w:t>
            </w:r>
          </w:p>
        </w:tc>
        <w:tc>
          <w:tcPr>
            <w:tcW w:w="368" w:type="dxa"/>
            <w:tcBorders>
              <w:bottom w:val="single" w:sz="4" w:space="0" w:color="008FDD"/>
            </w:tcBorders>
          </w:tcPr>
          <w:p>
            <w:pPr>
              <w:pStyle w:val="TableParagraph"/>
              <w:spacing w:before="17"/>
              <w:ind w:left="19" w:right="28"/>
              <w:rPr>
                <w:sz w:val="13"/>
              </w:rPr>
            </w:pPr>
            <w:r>
              <w:rPr>
                <w:color w:val="231F20"/>
                <w:spacing w:val="-5"/>
                <w:w w:val="95"/>
                <w:sz w:val="13"/>
              </w:rPr>
              <w:t>3.2</w:t>
            </w:r>
          </w:p>
        </w:tc>
        <w:tc>
          <w:tcPr>
            <w:tcW w:w="536" w:type="dxa"/>
            <w:tcBorders>
              <w:bottom w:val="single" w:sz="4" w:space="0" w:color="008FDD"/>
              <w:right w:val="single" w:sz="24" w:space="0" w:color="FFFFFF"/>
            </w:tcBorders>
          </w:tcPr>
          <w:p>
            <w:pPr>
              <w:pStyle w:val="TableParagraph"/>
              <w:spacing w:before="17"/>
              <w:ind w:left="18" w:right="27"/>
              <w:rPr>
                <w:sz w:val="13"/>
              </w:rPr>
            </w:pPr>
            <w:r>
              <w:rPr>
                <w:color w:val="231F20"/>
                <w:spacing w:val="-5"/>
                <w:w w:val="95"/>
                <w:sz w:val="13"/>
              </w:rPr>
              <w:t>2.6</w:t>
            </w:r>
          </w:p>
        </w:tc>
        <w:tc>
          <w:tcPr>
            <w:tcW w:w="5178" w:type="dxa"/>
            <w:gridSpan w:val="8"/>
            <w:tcBorders>
              <w:left w:val="single" w:sz="24" w:space="0" w:color="FFFFFF"/>
              <w:bottom w:val="single" w:sz="4" w:space="0" w:color="008FDD"/>
            </w:tcBorders>
          </w:tcPr>
          <w:p>
            <w:pPr>
              <w:pStyle w:val="TableParagraph"/>
              <w:spacing w:before="0"/>
              <w:jc w:val="left"/>
              <w:rPr>
                <w:rFonts w:ascii="Times New Roman"/>
                <w:sz w:val="12"/>
              </w:rPr>
            </w:pPr>
          </w:p>
        </w:tc>
      </w:tr>
    </w:tbl>
    <w:p>
      <w:pPr>
        <w:spacing w:after="0"/>
        <w:jc w:val="left"/>
        <w:rPr>
          <w:rFonts w:ascii="Times New Roman"/>
          <w:sz w:val="12"/>
        </w:rPr>
        <w:sectPr>
          <w:headerReference w:type="even" r:id="rId28"/>
          <w:pgSz w:w="12240" w:h="15840"/>
          <w:pgMar w:header="0" w:footer="0" w:top="740" w:bottom="740" w:left="0" w:right="5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7"/>
        <w:rPr>
          <w:sz w:val="20"/>
        </w:rPr>
      </w:pPr>
    </w:p>
    <w:p>
      <w:pPr>
        <w:spacing w:after="0"/>
        <w:rPr>
          <w:sz w:val="20"/>
        </w:rPr>
        <w:sectPr>
          <w:headerReference w:type="default" r:id="rId29"/>
          <w:footerReference w:type="default" r:id="rId30"/>
          <w:footerReference w:type="even" r:id="rId31"/>
          <w:pgSz w:w="12240" w:h="15840"/>
          <w:pgMar w:header="1196" w:footer="548" w:top="2120" w:bottom="740" w:left="0" w:right="540"/>
          <w:pgNumType w:start="9"/>
        </w:sectPr>
      </w:pPr>
    </w:p>
    <w:p>
      <w:pPr>
        <w:pStyle w:val="ListParagraph"/>
        <w:numPr>
          <w:ilvl w:val="0"/>
          <w:numId w:val="6"/>
        </w:numPr>
        <w:tabs>
          <w:tab w:pos="4140" w:val="left" w:leader="none"/>
        </w:tabs>
        <w:spacing w:line="268" w:lineRule="auto" w:before="97" w:after="0"/>
        <w:ind w:left="4140" w:right="0" w:hanging="300"/>
        <w:jc w:val="both"/>
        <w:rPr>
          <w:rFonts w:ascii="Times New Roman" w:hAnsi="Times New Roman"/>
          <w:sz w:val="21"/>
        </w:rPr>
      </w:pPr>
      <w:bookmarkStart w:name="_bookmark2" w:id="3"/>
      <w:bookmarkEnd w:id="3"/>
      <w:r>
        <w:rPr/>
      </w:r>
      <w:r>
        <w:rPr>
          <w:rFonts w:ascii="Times New Roman" w:hAnsi="Times New Roman"/>
          <w:b/>
          <w:color w:val="231F20"/>
          <w:sz w:val="21"/>
        </w:rPr>
        <w:t>The</w:t>
      </w:r>
      <w:r>
        <w:rPr>
          <w:rFonts w:ascii="Times New Roman" w:hAnsi="Times New Roman"/>
          <w:b/>
          <w:color w:val="231F20"/>
          <w:spacing w:val="-6"/>
          <w:sz w:val="21"/>
        </w:rPr>
        <w:t> </w:t>
      </w:r>
      <w:r>
        <w:rPr>
          <w:rFonts w:ascii="Times New Roman" w:hAnsi="Times New Roman"/>
          <w:b/>
          <w:color w:val="231F20"/>
          <w:sz w:val="21"/>
        </w:rPr>
        <w:t>2023</w:t>
      </w:r>
      <w:r>
        <w:rPr>
          <w:rFonts w:ascii="Times New Roman" w:hAnsi="Times New Roman"/>
          <w:b/>
          <w:color w:val="231F20"/>
          <w:spacing w:val="-6"/>
          <w:sz w:val="21"/>
        </w:rPr>
        <w:t> </w:t>
      </w:r>
      <w:r>
        <w:rPr>
          <w:rFonts w:ascii="Times New Roman" w:hAnsi="Times New Roman"/>
          <w:b/>
          <w:color w:val="231F20"/>
          <w:sz w:val="21"/>
        </w:rPr>
        <w:t>edition</w:t>
      </w:r>
      <w:r>
        <w:rPr>
          <w:rFonts w:ascii="Times New Roman" w:hAnsi="Times New Roman"/>
          <w:b/>
          <w:color w:val="231F20"/>
          <w:spacing w:val="-6"/>
          <w:sz w:val="21"/>
        </w:rPr>
        <w:t> </w:t>
      </w:r>
      <w:r>
        <w:rPr>
          <w:rFonts w:ascii="Times New Roman" w:hAnsi="Times New Roman"/>
          <w:b/>
          <w:color w:val="231F20"/>
          <w:sz w:val="21"/>
        </w:rPr>
        <w:t>includes</w:t>
      </w:r>
      <w:r>
        <w:rPr>
          <w:rFonts w:ascii="Times New Roman" w:hAnsi="Times New Roman"/>
          <w:b/>
          <w:color w:val="231F20"/>
          <w:spacing w:val="-6"/>
          <w:sz w:val="21"/>
        </w:rPr>
        <w:t> </w:t>
      </w:r>
      <w:r>
        <w:rPr>
          <w:rFonts w:ascii="Times New Roman" w:hAnsi="Times New Roman"/>
          <w:b/>
          <w:color w:val="231F20"/>
          <w:sz w:val="21"/>
        </w:rPr>
        <w:t>an</w:t>
      </w:r>
      <w:r>
        <w:rPr>
          <w:rFonts w:ascii="Times New Roman" w:hAnsi="Times New Roman"/>
          <w:b/>
          <w:color w:val="231F20"/>
          <w:spacing w:val="-6"/>
          <w:sz w:val="21"/>
        </w:rPr>
        <w:t> </w:t>
      </w:r>
      <w:r>
        <w:rPr>
          <w:rFonts w:ascii="Times New Roman" w:hAnsi="Times New Roman"/>
          <w:b/>
          <w:color w:val="231F20"/>
          <w:sz w:val="21"/>
        </w:rPr>
        <w:t>extended </w:t>
      </w:r>
      <w:r>
        <w:rPr>
          <w:rFonts w:ascii="Times New Roman" w:hAnsi="Times New Roman"/>
          <w:b/>
          <w:color w:val="231F20"/>
          <w:spacing w:val="-6"/>
          <w:sz w:val="21"/>
        </w:rPr>
        <w:t>dataset consisting of (i) the survey-based </w:t>
      </w:r>
      <w:r>
        <w:rPr>
          <w:rFonts w:ascii="Times New Roman" w:hAnsi="Times New Roman"/>
          <w:b/>
          <w:color w:val="231F20"/>
          <w:sz w:val="21"/>
        </w:rPr>
        <w:t>Logistics Performance Index (LPI), which</w:t>
      </w:r>
      <w:r>
        <w:rPr>
          <w:rFonts w:ascii="Times New Roman" w:hAnsi="Times New Roman"/>
          <w:b/>
          <w:color w:val="231F20"/>
          <w:spacing w:val="-8"/>
          <w:sz w:val="21"/>
        </w:rPr>
        <w:t> </w:t>
      </w:r>
      <w:r>
        <w:rPr>
          <w:rFonts w:ascii="Times New Roman" w:hAnsi="Times New Roman"/>
          <w:b/>
          <w:color w:val="231F20"/>
          <w:sz w:val="21"/>
        </w:rPr>
        <w:t>results</w:t>
      </w:r>
      <w:r>
        <w:rPr>
          <w:rFonts w:ascii="Times New Roman" w:hAnsi="Times New Roman"/>
          <w:b/>
          <w:color w:val="231F20"/>
          <w:spacing w:val="-8"/>
          <w:sz w:val="21"/>
        </w:rPr>
        <w:t> </w:t>
      </w:r>
      <w:r>
        <w:rPr>
          <w:rFonts w:ascii="Times New Roman" w:hAnsi="Times New Roman"/>
          <w:b/>
          <w:color w:val="231F20"/>
          <w:sz w:val="21"/>
        </w:rPr>
        <w:t>from</w:t>
      </w:r>
      <w:r>
        <w:rPr>
          <w:rFonts w:ascii="Times New Roman" w:hAnsi="Times New Roman"/>
          <w:b/>
          <w:color w:val="231F20"/>
          <w:spacing w:val="-8"/>
          <w:sz w:val="21"/>
        </w:rPr>
        <w:t> </w:t>
      </w:r>
      <w:r>
        <w:rPr>
          <w:rFonts w:ascii="Times New Roman" w:hAnsi="Times New Roman"/>
          <w:b/>
          <w:color w:val="231F20"/>
          <w:sz w:val="21"/>
        </w:rPr>
        <w:t>the</w:t>
      </w:r>
      <w:r>
        <w:rPr>
          <w:rFonts w:ascii="Times New Roman" w:hAnsi="Times New Roman"/>
          <w:b/>
          <w:color w:val="231F20"/>
          <w:spacing w:val="-8"/>
          <w:sz w:val="21"/>
        </w:rPr>
        <w:t> </w:t>
      </w:r>
      <w:r>
        <w:rPr>
          <w:rFonts w:ascii="Times New Roman" w:hAnsi="Times New Roman"/>
          <w:b/>
          <w:color w:val="231F20"/>
          <w:sz w:val="21"/>
        </w:rPr>
        <w:t>traditional</w:t>
      </w:r>
      <w:r>
        <w:rPr>
          <w:rFonts w:ascii="Times New Roman" w:hAnsi="Times New Roman"/>
          <w:b/>
          <w:color w:val="231F20"/>
          <w:spacing w:val="-8"/>
          <w:sz w:val="21"/>
        </w:rPr>
        <w:t> </w:t>
      </w:r>
      <w:r>
        <w:rPr>
          <w:rFonts w:ascii="Times New Roman" w:hAnsi="Times New Roman"/>
          <w:b/>
          <w:color w:val="231F20"/>
          <w:sz w:val="21"/>
        </w:rPr>
        <w:t>LPI survey</w:t>
      </w:r>
      <w:r>
        <w:rPr>
          <w:rFonts w:ascii="Times New Roman" w:hAnsi="Times New Roman"/>
          <w:b/>
          <w:color w:val="231F20"/>
          <w:spacing w:val="-8"/>
          <w:sz w:val="21"/>
        </w:rPr>
        <w:t> </w:t>
      </w:r>
      <w:r>
        <w:rPr>
          <w:rFonts w:ascii="Times New Roman" w:hAnsi="Times New Roman"/>
          <w:b/>
          <w:color w:val="231F20"/>
          <w:sz w:val="21"/>
        </w:rPr>
        <w:t>of</w:t>
      </w:r>
      <w:r>
        <w:rPr>
          <w:rFonts w:ascii="Times New Roman" w:hAnsi="Times New Roman"/>
          <w:b/>
          <w:color w:val="231F20"/>
          <w:spacing w:val="-8"/>
          <w:sz w:val="21"/>
        </w:rPr>
        <w:t> </w:t>
      </w:r>
      <w:r>
        <w:rPr>
          <w:rFonts w:ascii="Times New Roman" w:hAnsi="Times New Roman"/>
          <w:b/>
          <w:color w:val="231F20"/>
          <w:sz w:val="21"/>
        </w:rPr>
        <w:t>logistics</w:t>
      </w:r>
      <w:r>
        <w:rPr>
          <w:rFonts w:ascii="Times New Roman" w:hAnsi="Times New Roman"/>
          <w:b/>
          <w:color w:val="231F20"/>
          <w:spacing w:val="-8"/>
          <w:sz w:val="21"/>
        </w:rPr>
        <w:t> </w:t>
      </w:r>
      <w:r>
        <w:rPr>
          <w:rFonts w:ascii="Times New Roman" w:hAnsi="Times New Roman"/>
          <w:b/>
          <w:color w:val="231F20"/>
          <w:sz w:val="21"/>
        </w:rPr>
        <w:t>professional</w:t>
      </w:r>
      <w:r>
        <w:rPr>
          <w:rFonts w:ascii="Times New Roman" w:hAnsi="Times New Roman"/>
          <w:b/>
          <w:color w:val="231F20"/>
          <w:spacing w:val="-8"/>
          <w:sz w:val="21"/>
        </w:rPr>
        <w:t> </w:t>
      </w:r>
      <w:r>
        <w:rPr>
          <w:rFonts w:ascii="Times New Roman" w:hAnsi="Times New Roman"/>
          <w:b/>
          <w:color w:val="231F20"/>
          <w:sz w:val="21"/>
        </w:rPr>
        <w:t>and</w:t>
      </w:r>
      <w:r>
        <w:rPr>
          <w:rFonts w:ascii="Times New Roman" w:hAnsi="Times New Roman"/>
          <w:b/>
          <w:color w:val="231F20"/>
          <w:spacing w:val="-8"/>
          <w:sz w:val="21"/>
        </w:rPr>
        <w:t> </w:t>
      </w:r>
      <w:r>
        <w:rPr>
          <w:rFonts w:ascii="Times New Roman" w:hAnsi="Times New Roman"/>
          <w:b/>
          <w:color w:val="231F20"/>
          <w:sz w:val="21"/>
        </w:rPr>
        <w:t>(ii) new</w:t>
      </w:r>
      <w:r>
        <w:rPr>
          <w:rFonts w:ascii="Times New Roman" w:hAnsi="Times New Roman"/>
          <w:b/>
          <w:color w:val="231F20"/>
          <w:spacing w:val="-14"/>
          <w:sz w:val="21"/>
        </w:rPr>
        <w:t> </w:t>
      </w:r>
      <w:r>
        <w:rPr>
          <w:rFonts w:ascii="Times New Roman" w:hAnsi="Times New Roman"/>
          <w:b/>
          <w:color w:val="231F20"/>
          <w:sz w:val="21"/>
        </w:rPr>
        <w:t>key</w:t>
      </w:r>
      <w:r>
        <w:rPr>
          <w:rFonts w:ascii="Times New Roman" w:hAnsi="Times New Roman"/>
          <w:b/>
          <w:color w:val="231F20"/>
          <w:spacing w:val="-13"/>
          <w:sz w:val="21"/>
        </w:rPr>
        <w:t> </w:t>
      </w:r>
      <w:r>
        <w:rPr>
          <w:rFonts w:ascii="Times New Roman" w:hAnsi="Times New Roman"/>
          <w:b/>
          <w:color w:val="231F20"/>
          <w:sz w:val="21"/>
        </w:rPr>
        <w:t>performance</w:t>
      </w:r>
      <w:r>
        <w:rPr>
          <w:rFonts w:ascii="Times New Roman" w:hAnsi="Times New Roman"/>
          <w:b/>
          <w:color w:val="231F20"/>
          <w:spacing w:val="-13"/>
          <w:sz w:val="21"/>
        </w:rPr>
        <w:t> </w:t>
      </w:r>
      <w:r>
        <w:rPr>
          <w:rFonts w:ascii="Times New Roman" w:hAnsi="Times New Roman"/>
          <w:b/>
          <w:color w:val="231F20"/>
          <w:sz w:val="21"/>
        </w:rPr>
        <w:t>indicators</w:t>
      </w:r>
      <w:r>
        <w:rPr>
          <w:rFonts w:ascii="Times New Roman" w:hAnsi="Times New Roman"/>
          <w:b/>
          <w:color w:val="231F20"/>
          <w:spacing w:val="-13"/>
          <w:sz w:val="21"/>
        </w:rPr>
        <w:t> </w:t>
      </w:r>
      <w:r>
        <w:rPr>
          <w:rFonts w:ascii="Times New Roman" w:hAnsi="Times New Roman"/>
          <w:b/>
          <w:color w:val="231F20"/>
          <w:sz w:val="21"/>
        </w:rPr>
        <w:t>(KPI) measuring the actual speed of </w:t>
      </w:r>
      <w:r>
        <w:rPr>
          <w:rFonts w:ascii="Times New Roman" w:hAnsi="Times New Roman"/>
          <w:b/>
          <w:color w:val="231F20"/>
          <w:sz w:val="21"/>
        </w:rPr>
        <w:t>trade around</w:t>
      </w:r>
      <w:r>
        <w:rPr>
          <w:rFonts w:ascii="Times New Roman" w:hAnsi="Times New Roman"/>
          <w:b/>
          <w:color w:val="231F20"/>
          <w:spacing w:val="-6"/>
          <w:sz w:val="21"/>
        </w:rPr>
        <w:t> </w:t>
      </w:r>
      <w:r>
        <w:rPr>
          <w:rFonts w:ascii="Times New Roman" w:hAnsi="Times New Roman"/>
          <w:b/>
          <w:color w:val="231F20"/>
          <w:sz w:val="21"/>
        </w:rPr>
        <w:t>the</w:t>
      </w:r>
      <w:r>
        <w:rPr>
          <w:rFonts w:ascii="Times New Roman" w:hAnsi="Times New Roman"/>
          <w:b/>
          <w:color w:val="231F20"/>
          <w:spacing w:val="-6"/>
          <w:sz w:val="21"/>
        </w:rPr>
        <w:t> </w:t>
      </w:r>
      <w:r>
        <w:rPr>
          <w:rFonts w:ascii="Times New Roman" w:hAnsi="Times New Roman"/>
          <w:b/>
          <w:color w:val="231F20"/>
          <w:sz w:val="21"/>
        </w:rPr>
        <w:t>world.</w:t>
      </w:r>
      <w:r>
        <w:rPr>
          <w:rFonts w:ascii="Times New Roman" w:hAnsi="Times New Roman"/>
          <w:b/>
          <w:color w:val="231F20"/>
          <w:spacing w:val="-6"/>
          <w:sz w:val="21"/>
        </w:rPr>
        <w:t> </w:t>
      </w:r>
      <w:r>
        <w:rPr>
          <w:rFonts w:ascii="Times New Roman" w:hAnsi="Times New Roman"/>
          <w:color w:val="231F20"/>
          <w:sz w:val="21"/>
        </w:rPr>
        <w:t>The</w:t>
      </w:r>
      <w:r>
        <w:rPr>
          <w:rFonts w:ascii="Times New Roman" w:hAnsi="Times New Roman"/>
          <w:color w:val="231F20"/>
          <w:spacing w:val="-4"/>
          <w:sz w:val="21"/>
        </w:rPr>
        <w:t> </w:t>
      </w:r>
      <w:r>
        <w:rPr>
          <w:rFonts w:ascii="Times New Roman" w:hAnsi="Times New Roman"/>
          <w:color w:val="231F20"/>
          <w:sz w:val="21"/>
        </w:rPr>
        <w:t>new</w:t>
      </w:r>
      <w:r>
        <w:rPr>
          <w:rFonts w:ascii="Times New Roman" w:hAnsi="Times New Roman"/>
          <w:color w:val="231F20"/>
          <w:spacing w:val="-4"/>
          <w:sz w:val="21"/>
        </w:rPr>
        <w:t> </w:t>
      </w:r>
      <w:r>
        <w:rPr>
          <w:rFonts w:ascii="Times New Roman" w:hAnsi="Times New Roman"/>
          <w:color w:val="231F20"/>
          <w:sz w:val="21"/>
        </w:rPr>
        <w:t>KPI</w:t>
      </w:r>
      <w:r>
        <w:rPr>
          <w:rFonts w:ascii="Times New Roman" w:hAnsi="Times New Roman"/>
          <w:color w:val="231F20"/>
          <w:spacing w:val="-4"/>
          <w:sz w:val="21"/>
        </w:rPr>
        <w:t> </w:t>
      </w:r>
      <w:r>
        <w:rPr>
          <w:rFonts w:ascii="Times New Roman" w:hAnsi="Times New Roman"/>
          <w:color w:val="231F20"/>
          <w:sz w:val="21"/>
        </w:rPr>
        <w:t>are</w:t>
      </w:r>
      <w:r>
        <w:rPr>
          <w:rFonts w:ascii="Times New Roman" w:hAnsi="Times New Roman"/>
          <w:color w:val="231F20"/>
          <w:spacing w:val="-4"/>
          <w:sz w:val="21"/>
        </w:rPr>
        <w:t> </w:t>
      </w:r>
      <w:r>
        <w:rPr>
          <w:rFonts w:ascii="Times New Roman" w:hAnsi="Times New Roman"/>
          <w:color w:val="231F20"/>
          <w:sz w:val="21"/>
        </w:rPr>
        <w:t>de- rived</w:t>
      </w:r>
      <w:r>
        <w:rPr>
          <w:rFonts w:ascii="Times New Roman" w:hAnsi="Times New Roman"/>
          <w:color w:val="231F20"/>
          <w:spacing w:val="-3"/>
          <w:sz w:val="21"/>
        </w:rPr>
        <w:t> </w:t>
      </w:r>
      <w:r>
        <w:rPr>
          <w:rFonts w:ascii="Times New Roman" w:hAnsi="Times New Roman"/>
          <w:color w:val="231F20"/>
          <w:sz w:val="21"/>
        </w:rPr>
        <w:t>from</w:t>
      </w:r>
      <w:r>
        <w:rPr>
          <w:rFonts w:ascii="Times New Roman" w:hAnsi="Times New Roman"/>
          <w:color w:val="231F20"/>
          <w:spacing w:val="-3"/>
          <w:sz w:val="21"/>
        </w:rPr>
        <w:t> </w:t>
      </w:r>
      <w:r>
        <w:rPr>
          <w:rFonts w:ascii="Times New Roman" w:hAnsi="Times New Roman"/>
          <w:color w:val="231F20"/>
          <w:sz w:val="21"/>
        </w:rPr>
        <w:t>large</w:t>
      </w:r>
      <w:r>
        <w:rPr>
          <w:rFonts w:ascii="Times New Roman" w:hAnsi="Times New Roman"/>
          <w:color w:val="231F20"/>
          <w:spacing w:val="-3"/>
          <w:sz w:val="21"/>
        </w:rPr>
        <w:t> </w:t>
      </w:r>
      <w:r>
        <w:rPr>
          <w:rFonts w:ascii="Times New Roman" w:hAnsi="Times New Roman"/>
          <w:color w:val="231F20"/>
          <w:sz w:val="21"/>
        </w:rPr>
        <w:t>global</w:t>
      </w:r>
      <w:r>
        <w:rPr>
          <w:rFonts w:ascii="Times New Roman" w:hAnsi="Times New Roman"/>
          <w:color w:val="231F20"/>
          <w:spacing w:val="-3"/>
          <w:sz w:val="21"/>
        </w:rPr>
        <w:t> </w:t>
      </w:r>
      <w:r>
        <w:rPr>
          <w:rFonts w:ascii="Times New Roman" w:hAnsi="Times New Roman"/>
          <w:color w:val="231F20"/>
          <w:sz w:val="21"/>
        </w:rPr>
        <w:t>tracking</w:t>
      </w:r>
      <w:r>
        <w:rPr>
          <w:rFonts w:ascii="Times New Roman" w:hAnsi="Times New Roman"/>
          <w:color w:val="231F20"/>
          <w:spacing w:val="-3"/>
          <w:sz w:val="21"/>
        </w:rPr>
        <w:t> </w:t>
      </w:r>
      <w:r>
        <w:rPr>
          <w:rFonts w:ascii="Times New Roman" w:hAnsi="Times New Roman"/>
          <w:color w:val="231F20"/>
          <w:sz w:val="21"/>
        </w:rPr>
        <w:t>datasets </w:t>
      </w:r>
      <w:r>
        <w:rPr>
          <w:rFonts w:ascii="Times New Roman" w:hAnsi="Times New Roman"/>
          <w:color w:val="231F20"/>
          <w:w w:val="90"/>
          <w:sz w:val="21"/>
        </w:rPr>
        <w:t>(Big Data) covering shipping containers, air cargo,</w:t>
      </w:r>
      <w:r>
        <w:rPr>
          <w:rFonts w:ascii="Times New Roman" w:hAnsi="Times New Roman"/>
          <w:color w:val="231F20"/>
          <w:spacing w:val="-1"/>
          <w:w w:val="90"/>
          <w:sz w:val="21"/>
        </w:rPr>
        <w:t> </w:t>
      </w:r>
      <w:r>
        <w:rPr>
          <w:rFonts w:ascii="Times New Roman" w:hAnsi="Times New Roman"/>
          <w:color w:val="231F20"/>
          <w:w w:val="90"/>
          <w:sz w:val="21"/>
        </w:rPr>
        <w:t>and</w:t>
      </w:r>
      <w:r>
        <w:rPr>
          <w:rFonts w:ascii="Times New Roman" w:hAnsi="Times New Roman"/>
          <w:color w:val="231F20"/>
          <w:spacing w:val="-1"/>
          <w:w w:val="90"/>
          <w:sz w:val="21"/>
        </w:rPr>
        <w:t> </w:t>
      </w:r>
      <w:r>
        <w:rPr>
          <w:rFonts w:ascii="Times New Roman" w:hAnsi="Times New Roman"/>
          <w:color w:val="231F20"/>
          <w:w w:val="90"/>
          <w:sz w:val="21"/>
        </w:rPr>
        <w:t>parcels.</w:t>
      </w:r>
      <w:r>
        <w:rPr>
          <w:rFonts w:ascii="Times New Roman" w:hAnsi="Times New Roman"/>
          <w:color w:val="231F20"/>
          <w:spacing w:val="-1"/>
          <w:w w:val="90"/>
          <w:sz w:val="21"/>
        </w:rPr>
        <w:t> </w:t>
      </w:r>
      <w:r>
        <w:rPr>
          <w:rFonts w:ascii="Times New Roman" w:hAnsi="Times New Roman"/>
          <w:color w:val="231F20"/>
          <w:w w:val="90"/>
          <w:sz w:val="21"/>
        </w:rPr>
        <w:t>The</w:t>
      </w:r>
      <w:r>
        <w:rPr>
          <w:rFonts w:ascii="Times New Roman" w:hAnsi="Times New Roman"/>
          <w:color w:val="231F20"/>
          <w:spacing w:val="-1"/>
          <w:w w:val="90"/>
          <w:sz w:val="21"/>
        </w:rPr>
        <w:t> </w:t>
      </w:r>
      <w:r>
        <w:rPr>
          <w:rFonts w:ascii="Times New Roman" w:hAnsi="Times New Roman"/>
          <w:color w:val="231F20"/>
          <w:w w:val="90"/>
          <w:sz w:val="21"/>
        </w:rPr>
        <w:t>new</w:t>
      </w:r>
      <w:r>
        <w:rPr>
          <w:rFonts w:ascii="Times New Roman" w:hAnsi="Times New Roman"/>
          <w:color w:val="231F20"/>
          <w:spacing w:val="-1"/>
          <w:w w:val="90"/>
          <w:sz w:val="21"/>
        </w:rPr>
        <w:t> </w:t>
      </w:r>
      <w:r>
        <w:rPr>
          <w:rFonts w:ascii="Times New Roman" w:hAnsi="Times New Roman"/>
          <w:color w:val="231F20"/>
          <w:w w:val="90"/>
          <w:sz w:val="21"/>
        </w:rPr>
        <w:t>KPIs</w:t>
      </w:r>
      <w:r>
        <w:rPr>
          <w:rFonts w:ascii="Times New Roman" w:hAnsi="Times New Roman"/>
          <w:color w:val="231F20"/>
          <w:spacing w:val="-1"/>
          <w:w w:val="90"/>
          <w:sz w:val="21"/>
        </w:rPr>
        <w:t> </w:t>
      </w:r>
      <w:r>
        <w:rPr>
          <w:rFonts w:ascii="Times New Roman" w:hAnsi="Times New Roman"/>
          <w:color w:val="231F20"/>
          <w:w w:val="90"/>
          <w:sz w:val="21"/>
        </w:rPr>
        <w:t>are</w:t>
      </w:r>
      <w:r>
        <w:rPr>
          <w:rFonts w:ascii="Times New Roman" w:hAnsi="Times New Roman"/>
          <w:color w:val="231F20"/>
          <w:spacing w:val="-1"/>
          <w:w w:val="90"/>
          <w:sz w:val="21"/>
        </w:rPr>
        <w:t> </w:t>
      </w:r>
      <w:r>
        <w:rPr>
          <w:rFonts w:ascii="Times New Roman" w:hAnsi="Times New Roman"/>
          <w:color w:val="231F20"/>
          <w:w w:val="90"/>
          <w:sz w:val="21"/>
        </w:rPr>
        <w:t>not</w:t>
      </w:r>
      <w:r>
        <w:rPr>
          <w:rFonts w:ascii="Times New Roman" w:hAnsi="Times New Roman"/>
          <w:color w:val="231F20"/>
          <w:spacing w:val="-1"/>
          <w:w w:val="90"/>
          <w:sz w:val="21"/>
        </w:rPr>
        <w:t> </w:t>
      </w:r>
      <w:r>
        <w:rPr>
          <w:rFonts w:ascii="Times New Roman" w:hAnsi="Times New Roman"/>
          <w:color w:val="231F20"/>
          <w:w w:val="90"/>
          <w:sz w:val="21"/>
        </w:rPr>
        <w:t>yet </w:t>
      </w:r>
      <w:r>
        <w:rPr>
          <w:rFonts w:ascii="Times New Roman" w:hAnsi="Times New Roman"/>
          <w:color w:val="231F20"/>
          <w:sz w:val="21"/>
        </w:rPr>
        <w:t>included in the construction of the main </w:t>
      </w:r>
      <w:r>
        <w:rPr>
          <w:rFonts w:ascii="Times New Roman" w:hAnsi="Times New Roman"/>
          <w:color w:val="231F20"/>
          <w:spacing w:val="-2"/>
          <w:sz w:val="21"/>
        </w:rPr>
        <w:t>LPI</w:t>
      </w:r>
      <w:r>
        <w:rPr>
          <w:rFonts w:ascii="Times New Roman" w:hAnsi="Times New Roman"/>
          <w:color w:val="231F20"/>
          <w:spacing w:val="-12"/>
          <w:sz w:val="21"/>
        </w:rPr>
        <w:t> </w:t>
      </w:r>
      <w:r>
        <w:rPr>
          <w:rFonts w:ascii="Times New Roman" w:hAnsi="Times New Roman"/>
          <w:color w:val="231F20"/>
          <w:spacing w:val="-2"/>
          <w:sz w:val="21"/>
        </w:rPr>
        <w:t>indicators</w:t>
      </w:r>
      <w:r>
        <w:rPr>
          <w:rFonts w:ascii="Times New Roman" w:hAnsi="Times New Roman"/>
          <w:color w:val="231F20"/>
          <w:spacing w:val="-11"/>
          <w:sz w:val="21"/>
        </w:rPr>
        <w:t> </w:t>
      </w:r>
      <w:r>
        <w:rPr>
          <w:rFonts w:ascii="Times New Roman" w:hAnsi="Times New Roman"/>
          <w:color w:val="231F20"/>
          <w:spacing w:val="-2"/>
          <w:sz w:val="21"/>
        </w:rPr>
        <w:t>(country</w:t>
      </w:r>
      <w:r>
        <w:rPr>
          <w:rFonts w:ascii="Times New Roman" w:hAnsi="Times New Roman"/>
          <w:color w:val="231F20"/>
          <w:spacing w:val="-11"/>
          <w:sz w:val="21"/>
        </w:rPr>
        <w:t> </w:t>
      </w:r>
      <w:r>
        <w:rPr>
          <w:rFonts w:ascii="Times New Roman" w:hAnsi="Times New Roman"/>
          <w:color w:val="231F20"/>
          <w:spacing w:val="-2"/>
          <w:sz w:val="21"/>
        </w:rPr>
        <w:t>scores</w:t>
      </w:r>
      <w:r>
        <w:rPr>
          <w:rFonts w:ascii="Times New Roman" w:hAnsi="Times New Roman"/>
          <w:color w:val="231F20"/>
          <w:spacing w:val="-11"/>
          <w:sz w:val="21"/>
        </w:rPr>
        <w:t> </w:t>
      </w:r>
      <w:r>
        <w:rPr>
          <w:rFonts w:ascii="Times New Roman" w:hAnsi="Times New Roman"/>
          <w:color w:val="231F20"/>
          <w:spacing w:val="-2"/>
          <w:sz w:val="21"/>
        </w:rPr>
        <w:t>and</w:t>
      </w:r>
      <w:r>
        <w:rPr>
          <w:rFonts w:ascii="Times New Roman" w:hAnsi="Times New Roman"/>
          <w:color w:val="231F20"/>
          <w:spacing w:val="-11"/>
          <w:sz w:val="21"/>
        </w:rPr>
        <w:t> </w:t>
      </w:r>
      <w:r>
        <w:rPr>
          <w:rFonts w:ascii="Times New Roman" w:hAnsi="Times New Roman"/>
          <w:color w:val="231F20"/>
          <w:spacing w:val="-2"/>
          <w:sz w:val="21"/>
        </w:rPr>
        <w:t>ranks), which</w:t>
      </w:r>
      <w:r>
        <w:rPr>
          <w:rFonts w:ascii="Times New Roman" w:hAnsi="Times New Roman"/>
          <w:color w:val="231F20"/>
          <w:spacing w:val="-12"/>
          <w:sz w:val="21"/>
        </w:rPr>
        <w:t> </w:t>
      </w:r>
      <w:r>
        <w:rPr>
          <w:rFonts w:ascii="Times New Roman" w:hAnsi="Times New Roman"/>
          <w:color w:val="231F20"/>
          <w:spacing w:val="-2"/>
          <w:sz w:val="21"/>
        </w:rPr>
        <w:t>remain</w:t>
      </w:r>
      <w:r>
        <w:rPr>
          <w:rFonts w:ascii="Times New Roman" w:hAnsi="Times New Roman"/>
          <w:color w:val="231F20"/>
          <w:spacing w:val="-11"/>
          <w:sz w:val="21"/>
        </w:rPr>
        <w:t> </w:t>
      </w:r>
      <w:r>
        <w:rPr>
          <w:rFonts w:ascii="Times New Roman" w:hAnsi="Times New Roman"/>
          <w:color w:val="231F20"/>
          <w:spacing w:val="-2"/>
          <w:sz w:val="21"/>
        </w:rPr>
        <w:t>solely</w:t>
      </w:r>
      <w:r>
        <w:rPr>
          <w:rFonts w:ascii="Times New Roman" w:hAnsi="Times New Roman"/>
          <w:color w:val="231F20"/>
          <w:spacing w:val="-11"/>
          <w:sz w:val="21"/>
        </w:rPr>
        <w:t> </w:t>
      </w:r>
      <w:r>
        <w:rPr>
          <w:rFonts w:ascii="Times New Roman" w:hAnsi="Times New Roman"/>
          <w:color w:val="231F20"/>
          <w:spacing w:val="-2"/>
          <w:sz w:val="21"/>
        </w:rPr>
        <w:t>based</w:t>
      </w:r>
      <w:r>
        <w:rPr>
          <w:rFonts w:ascii="Times New Roman" w:hAnsi="Times New Roman"/>
          <w:color w:val="231F20"/>
          <w:spacing w:val="-11"/>
          <w:sz w:val="21"/>
        </w:rPr>
        <w:t> </w:t>
      </w:r>
      <w:r>
        <w:rPr>
          <w:rFonts w:ascii="Times New Roman" w:hAnsi="Times New Roman"/>
          <w:color w:val="231F20"/>
          <w:spacing w:val="-2"/>
          <w:sz w:val="21"/>
        </w:rPr>
        <w:t>on</w:t>
      </w:r>
      <w:r>
        <w:rPr>
          <w:rFonts w:ascii="Times New Roman" w:hAnsi="Times New Roman"/>
          <w:color w:val="231F20"/>
          <w:spacing w:val="-11"/>
          <w:sz w:val="21"/>
        </w:rPr>
        <w:t> </w:t>
      </w:r>
      <w:r>
        <w:rPr>
          <w:rFonts w:ascii="Times New Roman" w:hAnsi="Times New Roman"/>
          <w:color w:val="231F20"/>
          <w:spacing w:val="-2"/>
          <w:sz w:val="21"/>
        </w:rPr>
        <w:t>the</w:t>
      </w:r>
      <w:r>
        <w:rPr>
          <w:rFonts w:ascii="Times New Roman" w:hAnsi="Times New Roman"/>
          <w:color w:val="231F20"/>
          <w:spacing w:val="-11"/>
          <w:sz w:val="21"/>
        </w:rPr>
        <w:t> </w:t>
      </w:r>
      <w:r>
        <w:rPr>
          <w:rFonts w:ascii="Times New Roman" w:hAnsi="Times New Roman"/>
          <w:color w:val="231F20"/>
          <w:spacing w:val="-2"/>
          <w:sz w:val="21"/>
        </w:rPr>
        <w:t>LPI</w:t>
      </w:r>
      <w:r>
        <w:rPr>
          <w:rFonts w:ascii="Times New Roman" w:hAnsi="Times New Roman"/>
          <w:color w:val="231F20"/>
          <w:spacing w:val="-11"/>
          <w:sz w:val="21"/>
        </w:rPr>
        <w:t> </w:t>
      </w:r>
      <w:r>
        <w:rPr>
          <w:rFonts w:ascii="Times New Roman" w:hAnsi="Times New Roman"/>
          <w:color w:val="231F20"/>
          <w:spacing w:val="-2"/>
          <w:sz w:val="21"/>
        </w:rPr>
        <w:t>sur- vey.</w:t>
      </w:r>
      <w:r>
        <w:rPr>
          <w:rFonts w:ascii="Times New Roman" w:hAnsi="Times New Roman"/>
          <w:color w:val="231F20"/>
          <w:spacing w:val="-10"/>
          <w:sz w:val="21"/>
        </w:rPr>
        <w:t> </w:t>
      </w:r>
      <w:r>
        <w:rPr>
          <w:rFonts w:ascii="Times New Roman" w:hAnsi="Times New Roman"/>
          <w:color w:val="231F20"/>
          <w:spacing w:val="-2"/>
          <w:sz w:val="21"/>
        </w:rPr>
        <w:t>The</w:t>
      </w:r>
      <w:r>
        <w:rPr>
          <w:rFonts w:ascii="Times New Roman" w:hAnsi="Times New Roman"/>
          <w:color w:val="231F20"/>
          <w:spacing w:val="-10"/>
          <w:sz w:val="21"/>
        </w:rPr>
        <w:t> </w:t>
      </w:r>
      <w:r>
        <w:rPr>
          <w:rFonts w:ascii="Times New Roman" w:hAnsi="Times New Roman"/>
          <w:color w:val="231F20"/>
          <w:spacing w:val="-2"/>
          <w:sz w:val="21"/>
        </w:rPr>
        <w:t>two</w:t>
      </w:r>
      <w:r>
        <w:rPr>
          <w:rFonts w:ascii="Times New Roman" w:hAnsi="Times New Roman"/>
          <w:color w:val="231F20"/>
          <w:spacing w:val="-10"/>
          <w:sz w:val="21"/>
        </w:rPr>
        <w:t> </w:t>
      </w:r>
      <w:r>
        <w:rPr>
          <w:rFonts w:ascii="Times New Roman" w:hAnsi="Times New Roman"/>
          <w:color w:val="231F20"/>
          <w:spacing w:val="-2"/>
          <w:sz w:val="21"/>
        </w:rPr>
        <w:t>categories</w:t>
      </w:r>
      <w:r>
        <w:rPr>
          <w:rFonts w:ascii="Times New Roman" w:hAnsi="Times New Roman"/>
          <w:color w:val="231F20"/>
          <w:spacing w:val="-10"/>
          <w:sz w:val="21"/>
        </w:rPr>
        <w:t> </w:t>
      </w:r>
      <w:r>
        <w:rPr>
          <w:rFonts w:ascii="Times New Roman" w:hAnsi="Times New Roman"/>
          <w:color w:val="231F20"/>
          <w:spacing w:val="-2"/>
          <w:sz w:val="21"/>
        </w:rPr>
        <w:t>of</w:t>
      </w:r>
      <w:r>
        <w:rPr>
          <w:rFonts w:ascii="Times New Roman" w:hAnsi="Times New Roman"/>
          <w:color w:val="231F20"/>
          <w:spacing w:val="-10"/>
          <w:sz w:val="21"/>
        </w:rPr>
        <w:t> </w:t>
      </w:r>
      <w:r>
        <w:rPr>
          <w:rFonts w:ascii="Times New Roman" w:hAnsi="Times New Roman"/>
          <w:color w:val="231F20"/>
          <w:spacing w:val="-2"/>
          <w:sz w:val="21"/>
        </w:rPr>
        <w:t>indicators</w:t>
      </w:r>
      <w:r>
        <w:rPr>
          <w:rFonts w:ascii="Times New Roman" w:hAnsi="Times New Roman"/>
          <w:color w:val="231F20"/>
          <w:spacing w:val="-10"/>
          <w:sz w:val="21"/>
        </w:rPr>
        <w:t> </w:t>
      </w:r>
      <w:r>
        <w:rPr>
          <w:rFonts w:ascii="Times New Roman" w:hAnsi="Times New Roman"/>
          <w:color w:val="231F20"/>
          <w:spacing w:val="-2"/>
          <w:sz w:val="21"/>
        </w:rPr>
        <w:t>pro- </w:t>
      </w:r>
      <w:r>
        <w:rPr>
          <w:rFonts w:ascii="Times New Roman" w:hAnsi="Times New Roman"/>
          <w:color w:val="231F20"/>
          <w:spacing w:val="-6"/>
          <w:sz w:val="21"/>
        </w:rPr>
        <w:t>vide</w:t>
      </w:r>
      <w:r>
        <w:rPr>
          <w:rFonts w:ascii="Times New Roman" w:hAnsi="Times New Roman"/>
          <w:color w:val="231F20"/>
          <w:spacing w:val="-8"/>
          <w:sz w:val="21"/>
        </w:rPr>
        <w:t> </w:t>
      </w:r>
      <w:r>
        <w:rPr>
          <w:rFonts w:ascii="Times New Roman" w:hAnsi="Times New Roman"/>
          <w:color w:val="231F20"/>
          <w:spacing w:val="-6"/>
          <w:sz w:val="21"/>
        </w:rPr>
        <w:t>a</w:t>
      </w:r>
      <w:r>
        <w:rPr>
          <w:rFonts w:ascii="Times New Roman" w:hAnsi="Times New Roman"/>
          <w:color w:val="231F20"/>
          <w:spacing w:val="-7"/>
          <w:sz w:val="21"/>
        </w:rPr>
        <w:t> </w:t>
      </w:r>
      <w:r>
        <w:rPr>
          <w:rFonts w:ascii="Times New Roman" w:hAnsi="Times New Roman"/>
          <w:color w:val="231F20"/>
          <w:spacing w:val="-6"/>
          <w:sz w:val="21"/>
        </w:rPr>
        <w:t>complementary</w:t>
      </w:r>
      <w:r>
        <w:rPr>
          <w:rFonts w:ascii="Times New Roman" w:hAnsi="Times New Roman"/>
          <w:color w:val="231F20"/>
          <w:spacing w:val="-7"/>
          <w:sz w:val="21"/>
        </w:rPr>
        <w:t> </w:t>
      </w:r>
      <w:r>
        <w:rPr>
          <w:rFonts w:ascii="Times New Roman" w:hAnsi="Times New Roman"/>
          <w:color w:val="231F20"/>
          <w:spacing w:val="-6"/>
          <w:sz w:val="21"/>
        </w:rPr>
        <w:t>yet</w:t>
      </w:r>
      <w:r>
        <w:rPr>
          <w:rFonts w:ascii="Times New Roman" w:hAnsi="Times New Roman"/>
          <w:color w:val="231F20"/>
          <w:spacing w:val="-7"/>
          <w:sz w:val="21"/>
        </w:rPr>
        <w:t> </w:t>
      </w:r>
      <w:r>
        <w:rPr>
          <w:rFonts w:ascii="Times New Roman" w:hAnsi="Times New Roman"/>
          <w:color w:val="231F20"/>
          <w:spacing w:val="-6"/>
          <w:sz w:val="21"/>
        </w:rPr>
        <w:t>consistent</w:t>
      </w:r>
      <w:r>
        <w:rPr>
          <w:rFonts w:ascii="Times New Roman" w:hAnsi="Times New Roman"/>
          <w:color w:val="231F20"/>
          <w:spacing w:val="-7"/>
          <w:sz w:val="21"/>
        </w:rPr>
        <w:t> </w:t>
      </w:r>
      <w:r>
        <w:rPr>
          <w:rFonts w:ascii="Times New Roman" w:hAnsi="Times New Roman"/>
          <w:color w:val="231F20"/>
          <w:spacing w:val="-6"/>
          <w:sz w:val="21"/>
        </w:rPr>
        <w:t>under- standing of logistics performance. The KPI </w:t>
      </w:r>
      <w:r>
        <w:rPr>
          <w:rFonts w:ascii="Times New Roman" w:hAnsi="Times New Roman"/>
          <w:color w:val="231F20"/>
          <w:sz w:val="21"/>
        </w:rPr>
        <w:t>measure time or count the performance </w:t>
      </w:r>
      <w:r>
        <w:rPr>
          <w:rFonts w:ascii="Times New Roman" w:hAnsi="Times New Roman"/>
          <w:color w:val="231F20"/>
          <w:spacing w:val="-2"/>
          <w:sz w:val="21"/>
        </w:rPr>
        <w:t>of</w:t>
      </w:r>
      <w:r>
        <w:rPr>
          <w:rFonts w:ascii="Times New Roman" w:hAnsi="Times New Roman"/>
          <w:color w:val="231F20"/>
          <w:spacing w:val="-8"/>
          <w:sz w:val="21"/>
        </w:rPr>
        <w:t> </w:t>
      </w:r>
      <w:r>
        <w:rPr>
          <w:rFonts w:ascii="Times New Roman" w:hAnsi="Times New Roman"/>
          <w:color w:val="231F20"/>
          <w:spacing w:val="-2"/>
          <w:sz w:val="21"/>
        </w:rPr>
        <w:t>specific</w:t>
      </w:r>
      <w:r>
        <w:rPr>
          <w:rFonts w:ascii="Times New Roman" w:hAnsi="Times New Roman"/>
          <w:color w:val="231F20"/>
          <w:spacing w:val="-8"/>
          <w:sz w:val="21"/>
        </w:rPr>
        <w:t> </w:t>
      </w:r>
      <w:r>
        <w:rPr>
          <w:rFonts w:ascii="Times New Roman" w:hAnsi="Times New Roman"/>
          <w:color w:val="231F20"/>
          <w:spacing w:val="-2"/>
          <w:sz w:val="21"/>
        </w:rPr>
        <w:t>links</w:t>
      </w:r>
      <w:r>
        <w:rPr>
          <w:rFonts w:ascii="Times New Roman" w:hAnsi="Times New Roman"/>
          <w:color w:val="231F20"/>
          <w:spacing w:val="-8"/>
          <w:sz w:val="21"/>
        </w:rPr>
        <w:t> </w:t>
      </w:r>
      <w:r>
        <w:rPr>
          <w:rFonts w:ascii="Times New Roman" w:hAnsi="Times New Roman"/>
          <w:color w:val="231F20"/>
          <w:spacing w:val="-2"/>
          <w:sz w:val="21"/>
        </w:rPr>
        <w:t>(e.g.</w:t>
      </w:r>
      <w:r>
        <w:rPr>
          <w:rFonts w:ascii="Times New Roman" w:hAnsi="Times New Roman"/>
          <w:color w:val="231F20"/>
          <w:spacing w:val="-8"/>
          <w:sz w:val="21"/>
        </w:rPr>
        <w:t> </w:t>
      </w:r>
      <w:r>
        <w:rPr>
          <w:rFonts w:ascii="Times New Roman" w:hAnsi="Times New Roman"/>
          <w:color w:val="231F20"/>
          <w:spacing w:val="-2"/>
          <w:sz w:val="21"/>
        </w:rPr>
        <w:t>delays</w:t>
      </w:r>
      <w:r>
        <w:rPr>
          <w:rFonts w:ascii="Times New Roman" w:hAnsi="Times New Roman"/>
          <w:color w:val="231F20"/>
          <w:spacing w:val="-8"/>
          <w:sz w:val="21"/>
        </w:rPr>
        <w:t> </w:t>
      </w:r>
      <w:r>
        <w:rPr>
          <w:rFonts w:ascii="Times New Roman" w:hAnsi="Times New Roman"/>
          <w:color w:val="231F20"/>
          <w:spacing w:val="-2"/>
          <w:sz w:val="21"/>
        </w:rPr>
        <w:t>at</w:t>
      </w:r>
      <w:r>
        <w:rPr>
          <w:rFonts w:ascii="Times New Roman" w:hAnsi="Times New Roman"/>
          <w:color w:val="231F20"/>
          <w:spacing w:val="-8"/>
          <w:sz w:val="21"/>
        </w:rPr>
        <w:t> </w:t>
      </w:r>
      <w:r>
        <w:rPr>
          <w:rFonts w:ascii="Times New Roman" w:hAnsi="Times New Roman"/>
          <w:color w:val="231F20"/>
          <w:spacing w:val="-2"/>
          <w:sz w:val="21"/>
        </w:rPr>
        <w:t>port</w:t>
      </w:r>
      <w:r>
        <w:rPr>
          <w:rFonts w:ascii="Times New Roman" w:hAnsi="Times New Roman"/>
          <w:color w:val="231F20"/>
          <w:spacing w:val="-8"/>
          <w:sz w:val="21"/>
        </w:rPr>
        <w:t> </w:t>
      </w:r>
      <w:r>
        <w:rPr>
          <w:rFonts w:ascii="Times New Roman" w:hAnsi="Times New Roman"/>
          <w:color w:val="231F20"/>
          <w:spacing w:val="-2"/>
          <w:sz w:val="21"/>
        </w:rPr>
        <w:t>or</w:t>
      </w:r>
      <w:r>
        <w:rPr>
          <w:rFonts w:ascii="Times New Roman" w:hAnsi="Times New Roman"/>
          <w:color w:val="231F20"/>
          <w:spacing w:val="-8"/>
          <w:sz w:val="21"/>
        </w:rPr>
        <w:t> </w:t>
      </w:r>
      <w:r>
        <w:rPr>
          <w:rFonts w:ascii="Times New Roman" w:hAnsi="Times New Roman"/>
          <w:color w:val="231F20"/>
          <w:spacing w:val="-2"/>
          <w:sz w:val="21"/>
        </w:rPr>
        <w:t>air- </w:t>
      </w:r>
      <w:r>
        <w:rPr>
          <w:rFonts w:ascii="Times New Roman" w:hAnsi="Times New Roman"/>
          <w:color w:val="231F20"/>
          <w:spacing w:val="-6"/>
          <w:sz w:val="21"/>
        </w:rPr>
        <w:t>ports),</w:t>
      </w:r>
      <w:r>
        <w:rPr>
          <w:rFonts w:ascii="Times New Roman" w:hAnsi="Times New Roman"/>
          <w:color w:val="231F20"/>
          <w:spacing w:val="-8"/>
          <w:sz w:val="21"/>
        </w:rPr>
        <w:t> </w:t>
      </w:r>
      <w:r>
        <w:rPr>
          <w:rFonts w:ascii="Times New Roman" w:hAnsi="Times New Roman"/>
          <w:color w:val="231F20"/>
          <w:spacing w:val="-6"/>
          <w:sz w:val="21"/>
        </w:rPr>
        <w:t>while</w:t>
      </w:r>
      <w:r>
        <w:rPr>
          <w:rFonts w:ascii="Times New Roman" w:hAnsi="Times New Roman"/>
          <w:color w:val="231F20"/>
          <w:spacing w:val="-7"/>
          <w:sz w:val="21"/>
        </w:rPr>
        <w:t> </w:t>
      </w:r>
      <w:r>
        <w:rPr>
          <w:rFonts w:ascii="Times New Roman" w:hAnsi="Times New Roman"/>
          <w:color w:val="231F20"/>
          <w:spacing w:val="-6"/>
          <w:sz w:val="21"/>
        </w:rPr>
        <w:t>the</w:t>
      </w:r>
      <w:r>
        <w:rPr>
          <w:rFonts w:ascii="Times New Roman" w:hAnsi="Times New Roman"/>
          <w:color w:val="231F20"/>
          <w:spacing w:val="-7"/>
          <w:sz w:val="21"/>
        </w:rPr>
        <w:t> </w:t>
      </w:r>
      <w:r>
        <w:rPr>
          <w:rFonts w:ascii="Times New Roman" w:hAnsi="Times New Roman"/>
          <w:color w:val="231F20"/>
          <w:spacing w:val="-6"/>
          <w:sz w:val="21"/>
        </w:rPr>
        <w:t>survey-based</w:t>
      </w:r>
      <w:r>
        <w:rPr>
          <w:rFonts w:ascii="Times New Roman" w:hAnsi="Times New Roman"/>
          <w:color w:val="231F20"/>
          <w:spacing w:val="-7"/>
          <w:sz w:val="21"/>
        </w:rPr>
        <w:t> </w:t>
      </w:r>
      <w:r>
        <w:rPr>
          <w:rFonts w:ascii="Times New Roman" w:hAnsi="Times New Roman"/>
          <w:color w:val="231F20"/>
          <w:spacing w:val="-6"/>
          <w:sz w:val="21"/>
        </w:rPr>
        <w:t>LPI</w:t>
      </w:r>
      <w:r>
        <w:rPr>
          <w:rFonts w:ascii="Times New Roman" w:hAnsi="Times New Roman"/>
          <w:color w:val="231F20"/>
          <w:spacing w:val="-7"/>
          <w:sz w:val="21"/>
        </w:rPr>
        <w:t> </w:t>
      </w:r>
      <w:r>
        <w:rPr>
          <w:rFonts w:ascii="Times New Roman" w:hAnsi="Times New Roman"/>
          <w:color w:val="231F20"/>
          <w:spacing w:val="-6"/>
          <w:sz w:val="21"/>
        </w:rPr>
        <w:t>provides </w:t>
      </w:r>
      <w:r>
        <w:rPr>
          <w:rFonts w:ascii="Times New Roman" w:hAnsi="Times New Roman"/>
          <w:color w:val="231F20"/>
          <w:spacing w:val="-4"/>
          <w:sz w:val="21"/>
        </w:rPr>
        <w:t>country-wide</w:t>
      </w:r>
      <w:r>
        <w:rPr>
          <w:rFonts w:ascii="Times New Roman" w:hAnsi="Times New Roman"/>
          <w:color w:val="231F20"/>
          <w:spacing w:val="-10"/>
          <w:sz w:val="21"/>
        </w:rPr>
        <w:t> </w:t>
      </w:r>
      <w:r>
        <w:rPr>
          <w:rFonts w:ascii="Times New Roman" w:hAnsi="Times New Roman"/>
          <w:color w:val="231F20"/>
          <w:spacing w:val="-4"/>
          <w:sz w:val="21"/>
        </w:rPr>
        <w:t>assessments</w:t>
      </w:r>
      <w:r>
        <w:rPr>
          <w:rFonts w:ascii="Times New Roman" w:hAnsi="Times New Roman"/>
          <w:color w:val="231F20"/>
          <w:spacing w:val="-9"/>
          <w:sz w:val="21"/>
        </w:rPr>
        <w:t> </w:t>
      </w:r>
      <w:r>
        <w:rPr>
          <w:rFonts w:ascii="Times New Roman" w:hAnsi="Times New Roman"/>
          <w:color w:val="231F20"/>
          <w:spacing w:val="-4"/>
          <w:sz w:val="21"/>
        </w:rPr>
        <w:t>of</w:t>
      </w:r>
      <w:r>
        <w:rPr>
          <w:rFonts w:ascii="Times New Roman" w:hAnsi="Times New Roman"/>
          <w:color w:val="231F20"/>
          <w:spacing w:val="-9"/>
          <w:sz w:val="21"/>
        </w:rPr>
        <w:t> </w:t>
      </w:r>
      <w:r>
        <w:rPr>
          <w:rFonts w:ascii="Times New Roman" w:hAnsi="Times New Roman"/>
          <w:color w:val="231F20"/>
          <w:spacing w:val="-4"/>
          <w:sz w:val="21"/>
        </w:rPr>
        <w:t>six</w:t>
      </w:r>
      <w:r>
        <w:rPr>
          <w:rFonts w:ascii="Times New Roman" w:hAnsi="Times New Roman"/>
          <w:color w:val="231F20"/>
          <w:spacing w:val="-9"/>
          <w:sz w:val="21"/>
        </w:rPr>
        <w:t> </w:t>
      </w:r>
      <w:r>
        <w:rPr>
          <w:rFonts w:ascii="Times New Roman" w:hAnsi="Times New Roman"/>
          <w:color w:val="231F20"/>
          <w:spacing w:val="-4"/>
          <w:sz w:val="21"/>
        </w:rPr>
        <w:t>aspects</w:t>
      </w:r>
      <w:r>
        <w:rPr>
          <w:rFonts w:ascii="Times New Roman" w:hAnsi="Times New Roman"/>
          <w:color w:val="231F20"/>
          <w:spacing w:val="-9"/>
          <w:sz w:val="21"/>
        </w:rPr>
        <w:t> </w:t>
      </w:r>
      <w:r>
        <w:rPr>
          <w:rFonts w:ascii="Times New Roman" w:hAnsi="Times New Roman"/>
          <w:color w:val="231F20"/>
          <w:spacing w:val="-4"/>
          <w:sz w:val="21"/>
        </w:rPr>
        <w:t>of </w:t>
      </w:r>
      <w:r>
        <w:rPr>
          <w:rFonts w:ascii="Times New Roman" w:hAnsi="Times New Roman"/>
          <w:color w:val="231F20"/>
          <w:spacing w:val="-6"/>
          <w:sz w:val="21"/>
        </w:rPr>
        <w:t>logistics performance: trade- and transport- </w:t>
      </w:r>
      <w:r>
        <w:rPr>
          <w:rFonts w:ascii="Times New Roman" w:hAnsi="Times New Roman"/>
          <w:color w:val="231F20"/>
          <w:sz w:val="21"/>
        </w:rPr>
        <w:t>related infrastructure, customs and bor- </w:t>
      </w:r>
      <w:r>
        <w:rPr>
          <w:rFonts w:ascii="Times New Roman" w:hAnsi="Times New Roman"/>
          <w:color w:val="231F20"/>
          <w:w w:val="90"/>
          <w:sz w:val="21"/>
        </w:rPr>
        <w:t>der management, logistics services quality, </w:t>
      </w:r>
      <w:r>
        <w:rPr>
          <w:rFonts w:ascii="Times New Roman" w:hAnsi="Times New Roman"/>
          <w:color w:val="231F20"/>
          <w:spacing w:val="-6"/>
          <w:sz w:val="21"/>
        </w:rPr>
        <w:t>timeliness</w:t>
      </w:r>
      <w:r>
        <w:rPr>
          <w:rFonts w:ascii="Times New Roman" w:hAnsi="Times New Roman"/>
          <w:color w:val="231F20"/>
          <w:spacing w:val="-8"/>
          <w:sz w:val="21"/>
        </w:rPr>
        <w:t> </w:t>
      </w:r>
      <w:r>
        <w:rPr>
          <w:rFonts w:ascii="Times New Roman" w:hAnsi="Times New Roman"/>
          <w:color w:val="231F20"/>
          <w:spacing w:val="-6"/>
          <w:sz w:val="21"/>
        </w:rPr>
        <w:t>of</w:t>
      </w:r>
      <w:r>
        <w:rPr>
          <w:rFonts w:ascii="Times New Roman" w:hAnsi="Times New Roman"/>
          <w:color w:val="231F20"/>
          <w:spacing w:val="-7"/>
          <w:sz w:val="21"/>
        </w:rPr>
        <w:t> </w:t>
      </w:r>
      <w:r>
        <w:rPr>
          <w:rFonts w:ascii="Times New Roman" w:hAnsi="Times New Roman"/>
          <w:color w:val="231F20"/>
          <w:spacing w:val="-6"/>
          <w:sz w:val="21"/>
        </w:rPr>
        <w:t>shipments,</w:t>
      </w:r>
      <w:r>
        <w:rPr>
          <w:rFonts w:ascii="Times New Roman" w:hAnsi="Times New Roman"/>
          <w:color w:val="231F20"/>
          <w:spacing w:val="-7"/>
          <w:sz w:val="21"/>
        </w:rPr>
        <w:t> </w:t>
      </w:r>
      <w:r>
        <w:rPr>
          <w:rFonts w:ascii="Times New Roman" w:hAnsi="Times New Roman"/>
          <w:color w:val="231F20"/>
          <w:spacing w:val="-6"/>
          <w:sz w:val="21"/>
        </w:rPr>
        <w:t>ability</w:t>
      </w:r>
      <w:r>
        <w:rPr>
          <w:rFonts w:ascii="Times New Roman" w:hAnsi="Times New Roman"/>
          <w:color w:val="231F20"/>
          <w:spacing w:val="-7"/>
          <w:sz w:val="21"/>
        </w:rPr>
        <w:t> </w:t>
      </w:r>
      <w:r>
        <w:rPr>
          <w:rFonts w:ascii="Times New Roman" w:hAnsi="Times New Roman"/>
          <w:color w:val="231F20"/>
          <w:spacing w:val="-6"/>
          <w:sz w:val="21"/>
        </w:rPr>
        <w:t>to</w:t>
      </w:r>
      <w:r>
        <w:rPr>
          <w:rFonts w:ascii="Times New Roman" w:hAnsi="Times New Roman"/>
          <w:color w:val="231F20"/>
          <w:spacing w:val="-7"/>
          <w:sz w:val="21"/>
        </w:rPr>
        <w:t> </w:t>
      </w:r>
      <w:r>
        <w:rPr>
          <w:rFonts w:ascii="Times New Roman" w:hAnsi="Times New Roman"/>
          <w:color w:val="231F20"/>
          <w:spacing w:val="-6"/>
          <w:sz w:val="21"/>
        </w:rPr>
        <w:t>track</w:t>
      </w:r>
      <w:r>
        <w:rPr>
          <w:rFonts w:ascii="Times New Roman" w:hAnsi="Times New Roman"/>
          <w:color w:val="231F20"/>
          <w:spacing w:val="-7"/>
          <w:sz w:val="21"/>
        </w:rPr>
        <w:t> </w:t>
      </w:r>
      <w:r>
        <w:rPr>
          <w:rFonts w:ascii="Times New Roman" w:hAnsi="Times New Roman"/>
          <w:color w:val="231F20"/>
          <w:spacing w:val="-6"/>
          <w:sz w:val="21"/>
        </w:rPr>
        <w:t>and </w:t>
      </w:r>
      <w:r>
        <w:rPr>
          <w:rFonts w:ascii="Times New Roman" w:hAnsi="Times New Roman"/>
          <w:color w:val="231F20"/>
          <w:spacing w:val="-4"/>
          <w:sz w:val="21"/>
        </w:rPr>
        <w:t>trace, and the availability of competitively </w:t>
      </w:r>
      <w:r>
        <w:rPr>
          <w:rFonts w:ascii="Times New Roman" w:hAnsi="Times New Roman"/>
          <w:color w:val="231F20"/>
          <w:sz w:val="21"/>
        </w:rPr>
        <w:t>priced international shipments.</w:t>
      </w:r>
    </w:p>
    <w:p>
      <w:pPr>
        <w:pStyle w:val="ListParagraph"/>
        <w:numPr>
          <w:ilvl w:val="0"/>
          <w:numId w:val="6"/>
        </w:numPr>
        <w:tabs>
          <w:tab w:pos="4140" w:val="left" w:leader="none"/>
        </w:tabs>
        <w:spacing w:line="268" w:lineRule="auto" w:before="237" w:after="0"/>
        <w:ind w:left="4140" w:right="3" w:hanging="300"/>
        <w:jc w:val="both"/>
        <w:rPr>
          <w:rFonts w:ascii="Times New Roman" w:hAnsi="Times New Roman"/>
          <w:sz w:val="21"/>
        </w:rPr>
      </w:pPr>
      <w:r>
        <w:rPr>
          <w:rFonts w:ascii="Times New Roman" w:hAnsi="Times New Roman"/>
          <w:b/>
          <w:color w:val="231F20"/>
          <w:spacing w:val="-4"/>
          <w:sz w:val="21"/>
        </w:rPr>
        <w:t>Logistics</w:t>
      </w:r>
      <w:r>
        <w:rPr>
          <w:rFonts w:ascii="Times New Roman" w:hAnsi="Times New Roman"/>
          <w:b/>
          <w:color w:val="231F20"/>
          <w:spacing w:val="-7"/>
          <w:sz w:val="21"/>
        </w:rPr>
        <w:t> </w:t>
      </w:r>
      <w:r>
        <w:rPr>
          <w:rFonts w:ascii="Times New Roman" w:hAnsi="Times New Roman"/>
          <w:b/>
          <w:color w:val="231F20"/>
          <w:spacing w:val="-4"/>
          <w:sz w:val="21"/>
        </w:rPr>
        <w:t>services</w:t>
      </w:r>
      <w:r>
        <w:rPr>
          <w:rFonts w:ascii="Times New Roman" w:hAnsi="Times New Roman"/>
          <w:b/>
          <w:color w:val="231F20"/>
          <w:spacing w:val="-7"/>
          <w:sz w:val="21"/>
        </w:rPr>
        <w:t> </w:t>
      </w:r>
      <w:r>
        <w:rPr>
          <w:rFonts w:ascii="Times New Roman" w:hAnsi="Times New Roman"/>
          <w:b/>
          <w:color w:val="231F20"/>
          <w:spacing w:val="-4"/>
          <w:sz w:val="21"/>
        </w:rPr>
        <w:t>were</w:t>
      </w:r>
      <w:r>
        <w:rPr>
          <w:rFonts w:ascii="Times New Roman" w:hAnsi="Times New Roman"/>
          <w:b/>
          <w:color w:val="231F20"/>
          <w:spacing w:val="-7"/>
          <w:sz w:val="21"/>
        </w:rPr>
        <w:t> </w:t>
      </w:r>
      <w:r>
        <w:rPr>
          <w:rFonts w:ascii="Times New Roman" w:hAnsi="Times New Roman"/>
          <w:b/>
          <w:color w:val="231F20"/>
          <w:spacing w:val="-4"/>
          <w:sz w:val="21"/>
        </w:rPr>
        <w:t>broadly</w:t>
      </w:r>
      <w:r>
        <w:rPr>
          <w:rFonts w:ascii="Times New Roman" w:hAnsi="Times New Roman"/>
          <w:b/>
          <w:color w:val="231F20"/>
          <w:spacing w:val="-7"/>
          <w:sz w:val="21"/>
        </w:rPr>
        <w:t> </w:t>
      </w:r>
      <w:r>
        <w:rPr>
          <w:rFonts w:ascii="Times New Roman" w:hAnsi="Times New Roman"/>
          <w:b/>
          <w:color w:val="231F20"/>
          <w:spacing w:val="-4"/>
          <w:sz w:val="21"/>
        </w:rPr>
        <w:t>resilient </w:t>
      </w:r>
      <w:r>
        <w:rPr>
          <w:rFonts w:ascii="Times New Roman" w:hAnsi="Times New Roman"/>
          <w:b/>
          <w:color w:val="231F20"/>
          <w:spacing w:val="-6"/>
          <w:sz w:val="21"/>
        </w:rPr>
        <w:t>for</w:t>
      </w:r>
      <w:r>
        <w:rPr>
          <w:rFonts w:ascii="Times New Roman" w:hAnsi="Times New Roman"/>
          <w:b/>
          <w:color w:val="231F20"/>
          <w:spacing w:val="-8"/>
          <w:sz w:val="21"/>
        </w:rPr>
        <w:t> </w:t>
      </w:r>
      <w:r>
        <w:rPr>
          <w:rFonts w:ascii="Times New Roman" w:hAnsi="Times New Roman"/>
          <w:b/>
          <w:color w:val="231F20"/>
          <w:spacing w:val="-6"/>
          <w:sz w:val="21"/>
        </w:rPr>
        <w:t>both</w:t>
      </w:r>
      <w:r>
        <w:rPr>
          <w:rFonts w:ascii="Times New Roman" w:hAnsi="Times New Roman"/>
          <w:b/>
          <w:color w:val="231F20"/>
          <w:spacing w:val="-7"/>
          <w:sz w:val="21"/>
        </w:rPr>
        <w:t> </w:t>
      </w:r>
      <w:r>
        <w:rPr>
          <w:rFonts w:ascii="Times New Roman" w:hAnsi="Times New Roman"/>
          <w:b/>
          <w:color w:val="231F20"/>
          <w:spacing w:val="-6"/>
          <w:sz w:val="21"/>
        </w:rPr>
        <w:t>top</w:t>
      </w:r>
      <w:r>
        <w:rPr>
          <w:rFonts w:ascii="Times New Roman" w:hAnsi="Times New Roman"/>
          <w:b/>
          <w:color w:val="231F20"/>
          <w:spacing w:val="-7"/>
          <w:sz w:val="21"/>
        </w:rPr>
        <w:t> </w:t>
      </w:r>
      <w:r>
        <w:rPr>
          <w:rFonts w:ascii="Times New Roman" w:hAnsi="Times New Roman"/>
          <w:b/>
          <w:color w:val="231F20"/>
          <w:spacing w:val="-6"/>
          <w:sz w:val="21"/>
        </w:rPr>
        <w:t>performers</w:t>
      </w:r>
      <w:r>
        <w:rPr>
          <w:rFonts w:ascii="Times New Roman" w:hAnsi="Times New Roman"/>
          <w:b/>
          <w:color w:val="231F20"/>
          <w:spacing w:val="-7"/>
          <w:sz w:val="21"/>
        </w:rPr>
        <w:t> </w:t>
      </w:r>
      <w:r>
        <w:rPr>
          <w:rFonts w:ascii="Times New Roman" w:hAnsi="Times New Roman"/>
          <w:b/>
          <w:color w:val="231F20"/>
          <w:spacing w:val="-6"/>
          <w:sz w:val="21"/>
        </w:rPr>
        <w:t>and</w:t>
      </w:r>
      <w:r>
        <w:rPr>
          <w:rFonts w:ascii="Times New Roman" w:hAnsi="Times New Roman"/>
          <w:b/>
          <w:color w:val="231F20"/>
          <w:spacing w:val="-7"/>
          <w:sz w:val="21"/>
        </w:rPr>
        <w:t> </w:t>
      </w:r>
      <w:r>
        <w:rPr>
          <w:rFonts w:ascii="Times New Roman" w:hAnsi="Times New Roman"/>
          <w:b/>
          <w:color w:val="231F20"/>
          <w:spacing w:val="-6"/>
          <w:sz w:val="21"/>
        </w:rPr>
        <w:t>bottom</w:t>
      </w:r>
      <w:r>
        <w:rPr>
          <w:rFonts w:ascii="Times New Roman" w:hAnsi="Times New Roman"/>
          <w:b/>
          <w:color w:val="231F20"/>
          <w:spacing w:val="-7"/>
          <w:sz w:val="21"/>
        </w:rPr>
        <w:t> </w:t>
      </w:r>
      <w:r>
        <w:rPr>
          <w:rFonts w:ascii="Times New Roman" w:hAnsi="Times New Roman"/>
          <w:b/>
          <w:color w:val="231F20"/>
          <w:spacing w:val="-6"/>
          <w:sz w:val="21"/>
        </w:rPr>
        <w:t>per- </w:t>
      </w:r>
      <w:r>
        <w:rPr>
          <w:rFonts w:ascii="Times New Roman" w:hAnsi="Times New Roman"/>
          <w:b/>
          <w:color w:val="231F20"/>
          <w:sz w:val="21"/>
        </w:rPr>
        <w:t>formers in the Logistics Performance Index (LPI), despite a more challeng- ing operating environment. </w:t>
      </w:r>
      <w:r>
        <w:rPr>
          <w:rFonts w:ascii="Times New Roman" w:hAnsi="Times New Roman"/>
          <w:color w:val="231F20"/>
          <w:sz w:val="21"/>
        </w:rPr>
        <w:t>Even with the COVID-19 pandemic–induced dis- </w:t>
      </w:r>
      <w:r>
        <w:rPr>
          <w:rFonts w:ascii="Times New Roman" w:hAnsi="Times New Roman"/>
          <w:color w:val="231F20"/>
          <w:spacing w:val="-2"/>
          <w:sz w:val="21"/>
        </w:rPr>
        <w:t>ruptions</w:t>
      </w:r>
      <w:r>
        <w:rPr>
          <w:rFonts w:ascii="Times New Roman" w:hAnsi="Times New Roman"/>
          <w:color w:val="231F20"/>
          <w:spacing w:val="-12"/>
          <w:sz w:val="21"/>
        </w:rPr>
        <w:t> </w:t>
      </w:r>
      <w:r>
        <w:rPr>
          <w:rFonts w:ascii="Times New Roman" w:hAnsi="Times New Roman"/>
          <w:color w:val="231F20"/>
          <w:spacing w:val="-2"/>
          <w:sz w:val="21"/>
        </w:rPr>
        <w:t>to</w:t>
      </w:r>
      <w:r>
        <w:rPr>
          <w:rFonts w:ascii="Times New Roman" w:hAnsi="Times New Roman"/>
          <w:color w:val="231F20"/>
          <w:spacing w:val="-11"/>
          <w:sz w:val="21"/>
        </w:rPr>
        <w:t> </w:t>
      </w:r>
      <w:r>
        <w:rPr>
          <w:rFonts w:ascii="Times New Roman" w:hAnsi="Times New Roman"/>
          <w:color w:val="231F20"/>
          <w:spacing w:val="-2"/>
          <w:sz w:val="21"/>
        </w:rPr>
        <w:t>shipping</w:t>
      </w:r>
      <w:r>
        <w:rPr>
          <w:rFonts w:ascii="Times New Roman" w:hAnsi="Times New Roman"/>
          <w:color w:val="231F20"/>
          <w:spacing w:val="-11"/>
          <w:sz w:val="21"/>
        </w:rPr>
        <w:t> </w:t>
      </w:r>
      <w:r>
        <w:rPr>
          <w:rFonts w:ascii="Times New Roman" w:hAnsi="Times New Roman"/>
          <w:color w:val="231F20"/>
          <w:spacing w:val="-2"/>
          <w:sz w:val="21"/>
        </w:rPr>
        <w:t>and</w:t>
      </w:r>
      <w:r>
        <w:rPr>
          <w:rFonts w:ascii="Times New Roman" w:hAnsi="Times New Roman"/>
          <w:color w:val="231F20"/>
          <w:spacing w:val="-11"/>
          <w:sz w:val="21"/>
        </w:rPr>
        <w:t> </w:t>
      </w:r>
      <w:r>
        <w:rPr>
          <w:rFonts w:ascii="Times New Roman" w:hAnsi="Times New Roman"/>
          <w:color w:val="231F20"/>
          <w:spacing w:val="-2"/>
          <w:sz w:val="21"/>
        </w:rPr>
        <w:t>the</w:t>
      </w:r>
      <w:r>
        <w:rPr>
          <w:rFonts w:ascii="Times New Roman" w:hAnsi="Times New Roman"/>
          <w:color w:val="231F20"/>
          <w:spacing w:val="-11"/>
          <w:sz w:val="21"/>
        </w:rPr>
        <w:t> </w:t>
      </w:r>
      <w:r>
        <w:rPr>
          <w:rFonts w:ascii="Times New Roman" w:hAnsi="Times New Roman"/>
          <w:color w:val="231F20"/>
          <w:spacing w:val="-2"/>
          <w:sz w:val="21"/>
        </w:rPr>
        <w:t>global</w:t>
      </w:r>
      <w:r>
        <w:rPr>
          <w:rFonts w:ascii="Times New Roman" w:hAnsi="Times New Roman"/>
          <w:color w:val="231F20"/>
          <w:spacing w:val="-11"/>
          <w:sz w:val="21"/>
        </w:rPr>
        <w:t> </w:t>
      </w:r>
      <w:r>
        <w:rPr>
          <w:rFonts w:ascii="Times New Roman" w:hAnsi="Times New Roman"/>
          <w:color w:val="231F20"/>
          <w:spacing w:val="-2"/>
          <w:sz w:val="21"/>
        </w:rPr>
        <w:t>supply </w:t>
      </w:r>
      <w:r>
        <w:rPr>
          <w:rFonts w:ascii="Times New Roman" w:hAnsi="Times New Roman"/>
          <w:color w:val="231F20"/>
          <w:w w:val="90"/>
          <w:sz w:val="21"/>
        </w:rPr>
        <w:t>chain crisis, the average overall score in the 2023 LPI was broadly the same as in the last survey</w:t>
      </w:r>
      <w:r>
        <w:rPr>
          <w:rFonts w:ascii="Times New Roman" w:hAnsi="Times New Roman"/>
          <w:color w:val="231F20"/>
          <w:spacing w:val="-6"/>
          <w:w w:val="90"/>
          <w:sz w:val="21"/>
        </w:rPr>
        <w:t> </w:t>
      </w:r>
      <w:r>
        <w:rPr>
          <w:rFonts w:ascii="Times New Roman" w:hAnsi="Times New Roman"/>
          <w:color w:val="231F20"/>
          <w:w w:val="90"/>
          <w:sz w:val="21"/>
        </w:rPr>
        <w:t>in</w:t>
      </w:r>
      <w:r>
        <w:rPr>
          <w:rFonts w:ascii="Times New Roman" w:hAnsi="Times New Roman"/>
          <w:color w:val="231F20"/>
          <w:spacing w:val="-6"/>
          <w:w w:val="90"/>
          <w:sz w:val="21"/>
        </w:rPr>
        <w:t> </w:t>
      </w:r>
      <w:r>
        <w:rPr>
          <w:rFonts w:ascii="Times New Roman" w:hAnsi="Times New Roman"/>
          <w:color w:val="231F20"/>
          <w:w w:val="90"/>
          <w:sz w:val="21"/>
        </w:rPr>
        <w:t>2018.</w:t>
      </w:r>
      <w:r>
        <w:rPr>
          <w:rFonts w:ascii="Times New Roman" w:hAnsi="Times New Roman"/>
          <w:color w:val="231F20"/>
          <w:spacing w:val="-6"/>
          <w:w w:val="90"/>
          <w:sz w:val="21"/>
        </w:rPr>
        <w:t> </w:t>
      </w:r>
      <w:r>
        <w:rPr>
          <w:rFonts w:ascii="Times New Roman" w:hAnsi="Times New Roman"/>
          <w:color w:val="231F20"/>
          <w:w w:val="90"/>
          <w:sz w:val="21"/>
        </w:rPr>
        <w:t>This</w:t>
      </w:r>
      <w:r>
        <w:rPr>
          <w:rFonts w:ascii="Times New Roman" w:hAnsi="Times New Roman"/>
          <w:color w:val="231F20"/>
          <w:spacing w:val="-6"/>
          <w:w w:val="90"/>
          <w:sz w:val="21"/>
        </w:rPr>
        <w:t> </w:t>
      </w:r>
      <w:r>
        <w:rPr>
          <w:rFonts w:ascii="Times New Roman" w:hAnsi="Times New Roman"/>
          <w:color w:val="231F20"/>
          <w:w w:val="90"/>
          <w:sz w:val="21"/>
        </w:rPr>
        <w:t>resilience</w:t>
      </w:r>
      <w:r>
        <w:rPr>
          <w:rFonts w:ascii="Times New Roman" w:hAnsi="Times New Roman"/>
          <w:color w:val="231F20"/>
          <w:spacing w:val="-6"/>
          <w:w w:val="90"/>
          <w:sz w:val="21"/>
        </w:rPr>
        <w:t> </w:t>
      </w:r>
      <w:r>
        <w:rPr>
          <w:rFonts w:ascii="Times New Roman" w:hAnsi="Times New Roman"/>
          <w:color w:val="231F20"/>
          <w:w w:val="90"/>
          <w:sz w:val="21"/>
        </w:rPr>
        <w:t>partly</w:t>
      </w:r>
      <w:r>
        <w:rPr>
          <w:rFonts w:ascii="Times New Roman" w:hAnsi="Times New Roman"/>
          <w:color w:val="231F20"/>
          <w:spacing w:val="-6"/>
          <w:w w:val="90"/>
          <w:sz w:val="21"/>
        </w:rPr>
        <w:t> </w:t>
      </w:r>
      <w:r>
        <w:rPr>
          <w:rFonts w:ascii="Times New Roman" w:hAnsi="Times New Roman"/>
          <w:color w:val="231F20"/>
          <w:w w:val="90"/>
          <w:sz w:val="21"/>
        </w:rPr>
        <w:t>reflects </w:t>
      </w:r>
      <w:r>
        <w:rPr>
          <w:rFonts w:ascii="Times New Roman" w:hAnsi="Times New Roman"/>
          <w:color w:val="231F20"/>
          <w:sz w:val="21"/>
        </w:rPr>
        <w:t>the robustness of the LPI survey, which captures</w:t>
      </w:r>
      <w:r>
        <w:rPr>
          <w:rFonts w:ascii="Times New Roman" w:hAnsi="Times New Roman"/>
          <w:color w:val="231F20"/>
          <w:spacing w:val="12"/>
          <w:sz w:val="21"/>
        </w:rPr>
        <w:t> </w:t>
      </w:r>
      <w:r>
        <w:rPr>
          <w:rFonts w:ascii="Times New Roman" w:hAnsi="Times New Roman"/>
          <w:color w:val="231F20"/>
          <w:sz w:val="21"/>
        </w:rPr>
        <w:t>structural</w:t>
      </w:r>
      <w:r>
        <w:rPr>
          <w:rFonts w:ascii="Times New Roman" w:hAnsi="Times New Roman"/>
          <w:color w:val="231F20"/>
          <w:spacing w:val="12"/>
          <w:sz w:val="21"/>
        </w:rPr>
        <w:t> </w:t>
      </w:r>
      <w:r>
        <w:rPr>
          <w:rFonts w:ascii="Times New Roman" w:hAnsi="Times New Roman"/>
          <w:color w:val="231F20"/>
          <w:sz w:val="21"/>
        </w:rPr>
        <w:t>factors</w:t>
      </w:r>
      <w:r>
        <w:rPr>
          <w:rFonts w:ascii="Times New Roman" w:hAnsi="Times New Roman"/>
          <w:color w:val="231F20"/>
          <w:spacing w:val="12"/>
          <w:sz w:val="21"/>
        </w:rPr>
        <w:t> </w:t>
      </w:r>
      <w:r>
        <w:rPr>
          <w:rFonts w:ascii="Times New Roman" w:hAnsi="Times New Roman"/>
          <w:color w:val="231F20"/>
          <w:sz w:val="21"/>
        </w:rPr>
        <w:t>that</w:t>
      </w:r>
      <w:r>
        <w:rPr>
          <w:rFonts w:ascii="Times New Roman" w:hAnsi="Times New Roman"/>
          <w:color w:val="231F20"/>
          <w:spacing w:val="12"/>
          <w:sz w:val="21"/>
        </w:rPr>
        <w:t> </w:t>
      </w:r>
      <w:r>
        <w:rPr>
          <w:rFonts w:ascii="Times New Roman" w:hAnsi="Times New Roman"/>
          <w:color w:val="231F20"/>
          <w:sz w:val="21"/>
        </w:rPr>
        <w:t>were</w:t>
      </w:r>
      <w:r>
        <w:rPr>
          <w:rFonts w:ascii="Times New Roman" w:hAnsi="Times New Roman"/>
          <w:color w:val="231F20"/>
          <w:spacing w:val="12"/>
          <w:sz w:val="21"/>
        </w:rPr>
        <w:t> </w:t>
      </w:r>
      <w:r>
        <w:rPr>
          <w:rFonts w:ascii="Times New Roman" w:hAnsi="Times New Roman"/>
          <w:color w:val="231F20"/>
          <w:spacing w:val="-5"/>
          <w:sz w:val="21"/>
        </w:rPr>
        <w:t>not</w:t>
      </w:r>
    </w:p>
    <w:p>
      <w:pPr>
        <w:pStyle w:val="BodyText"/>
        <w:spacing w:line="268" w:lineRule="auto" w:before="117"/>
        <w:ind w:left="493" w:right="177"/>
        <w:jc w:val="both"/>
      </w:pPr>
      <w:r>
        <w:rPr/>
        <w:br w:type="column"/>
      </w:r>
      <w:r>
        <w:rPr>
          <w:color w:val="231F20"/>
          <w:spacing w:val="-2"/>
        </w:rPr>
        <w:t>directly</w:t>
      </w:r>
      <w:r>
        <w:rPr>
          <w:color w:val="231F20"/>
          <w:spacing w:val="-6"/>
        </w:rPr>
        <w:t> </w:t>
      </w:r>
      <w:r>
        <w:rPr>
          <w:color w:val="231F20"/>
          <w:spacing w:val="-2"/>
        </w:rPr>
        <w:t>affected</w:t>
      </w:r>
      <w:r>
        <w:rPr>
          <w:color w:val="231F20"/>
          <w:spacing w:val="-6"/>
        </w:rPr>
        <w:t> </w:t>
      </w:r>
      <w:r>
        <w:rPr>
          <w:color w:val="231F20"/>
          <w:spacing w:val="-2"/>
        </w:rPr>
        <w:t>by</w:t>
      </w:r>
      <w:r>
        <w:rPr>
          <w:color w:val="231F20"/>
          <w:spacing w:val="-5"/>
        </w:rPr>
        <w:t> </w:t>
      </w:r>
      <w:r>
        <w:rPr>
          <w:color w:val="231F20"/>
          <w:spacing w:val="-2"/>
        </w:rPr>
        <w:t>the</w:t>
      </w:r>
      <w:r>
        <w:rPr>
          <w:color w:val="231F20"/>
          <w:spacing w:val="-6"/>
        </w:rPr>
        <w:t> </w:t>
      </w:r>
      <w:r>
        <w:rPr>
          <w:color w:val="231F20"/>
          <w:spacing w:val="-2"/>
        </w:rPr>
        <w:t>recent</w:t>
      </w:r>
      <w:r>
        <w:rPr>
          <w:color w:val="231F20"/>
          <w:spacing w:val="-6"/>
        </w:rPr>
        <w:t> </w:t>
      </w:r>
      <w:r>
        <w:rPr>
          <w:color w:val="231F20"/>
          <w:spacing w:val="-2"/>
        </w:rPr>
        <w:t>crisis,</w:t>
      </w:r>
      <w:r>
        <w:rPr>
          <w:color w:val="231F20"/>
          <w:spacing w:val="-6"/>
        </w:rPr>
        <w:t> </w:t>
      </w:r>
      <w:r>
        <w:rPr>
          <w:color w:val="231F20"/>
          <w:spacing w:val="-2"/>
        </w:rPr>
        <w:t>such as</w:t>
      </w:r>
      <w:r>
        <w:rPr>
          <w:color w:val="231F20"/>
          <w:spacing w:val="-12"/>
        </w:rPr>
        <w:t> </w:t>
      </w:r>
      <w:r>
        <w:rPr>
          <w:color w:val="231F20"/>
          <w:spacing w:val="-2"/>
        </w:rPr>
        <w:t>the</w:t>
      </w:r>
      <w:r>
        <w:rPr>
          <w:color w:val="231F20"/>
          <w:spacing w:val="-11"/>
        </w:rPr>
        <w:t> </w:t>
      </w:r>
      <w:r>
        <w:rPr>
          <w:color w:val="231F20"/>
          <w:spacing w:val="-2"/>
        </w:rPr>
        <w:t>quality</w:t>
      </w:r>
      <w:r>
        <w:rPr>
          <w:color w:val="231F20"/>
          <w:spacing w:val="-11"/>
        </w:rPr>
        <w:t> </w:t>
      </w:r>
      <w:r>
        <w:rPr>
          <w:color w:val="231F20"/>
          <w:spacing w:val="-2"/>
        </w:rPr>
        <w:t>of</w:t>
      </w:r>
      <w:r>
        <w:rPr>
          <w:color w:val="231F20"/>
          <w:spacing w:val="-11"/>
        </w:rPr>
        <w:t> </w:t>
      </w:r>
      <w:r>
        <w:rPr>
          <w:color w:val="231F20"/>
          <w:spacing w:val="-2"/>
        </w:rPr>
        <w:t>infrastructure</w:t>
      </w:r>
      <w:r>
        <w:rPr>
          <w:color w:val="231F20"/>
          <w:spacing w:val="-11"/>
        </w:rPr>
        <w:t> </w:t>
      </w:r>
      <w:r>
        <w:rPr>
          <w:color w:val="231F20"/>
          <w:spacing w:val="-2"/>
        </w:rPr>
        <w:t>or</w:t>
      </w:r>
      <w:r>
        <w:rPr>
          <w:color w:val="231F20"/>
          <w:spacing w:val="-11"/>
        </w:rPr>
        <w:t> </w:t>
      </w:r>
      <w:r>
        <w:rPr>
          <w:color w:val="231F20"/>
          <w:spacing w:val="-2"/>
        </w:rPr>
        <w:t>customs. </w:t>
      </w:r>
      <w:r>
        <w:rPr>
          <w:color w:val="231F20"/>
          <w:spacing w:val="-6"/>
        </w:rPr>
        <w:t>The</w:t>
      </w:r>
      <w:r>
        <w:rPr>
          <w:color w:val="231F20"/>
          <w:spacing w:val="-8"/>
        </w:rPr>
        <w:t> </w:t>
      </w:r>
      <w:r>
        <w:rPr>
          <w:color w:val="231F20"/>
          <w:spacing w:val="-6"/>
        </w:rPr>
        <w:t>10</w:t>
      </w:r>
      <w:r>
        <w:rPr>
          <w:color w:val="231F20"/>
          <w:spacing w:val="-7"/>
        </w:rPr>
        <w:t> </w:t>
      </w:r>
      <w:r>
        <w:rPr>
          <w:color w:val="231F20"/>
          <w:spacing w:val="-6"/>
        </w:rPr>
        <w:t>countries</w:t>
      </w:r>
      <w:r>
        <w:rPr>
          <w:color w:val="231F20"/>
          <w:spacing w:val="-7"/>
        </w:rPr>
        <w:t> </w:t>
      </w:r>
      <w:r>
        <w:rPr>
          <w:color w:val="231F20"/>
          <w:spacing w:val="-6"/>
        </w:rPr>
        <w:t>with</w:t>
      </w:r>
      <w:r>
        <w:rPr>
          <w:color w:val="231F20"/>
          <w:spacing w:val="-7"/>
        </w:rPr>
        <w:t> </w:t>
      </w:r>
      <w:r>
        <w:rPr>
          <w:color w:val="231F20"/>
          <w:spacing w:val="-6"/>
        </w:rPr>
        <w:t>the</w:t>
      </w:r>
      <w:r>
        <w:rPr>
          <w:color w:val="231F20"/>
          <w:spacing w:val="-7"/>
        </w:rPr>
        <w:t> </w:t>
      </w:r>
      <w:r>
        <w:rPr>
          <w:color w:val="231F20"/>
          <w:spacing w:val="-6"/>
        </w:rPr>
        <w:t>best</w:t>
      </w:r>
      <w:r>
        <w:rPr>
          <w:color w:val="231F20"/>
          <w:spacing w:val="-7"/>
        </w:rPr>
        <w:t> </w:t>
      </w:r>
      <w:r>
        <w:rPr>
          <w:color w:val="231F20"/>
          <w:spacing w:val="-6"/>
        </w:rPr>
        <w:t>logistics</w:t>
      </w:r>
      <w:r>
        <w:rPr>
          <w:color w:val="231F20"/>
          <w:spacing w:val="-7"/>
        </w:rPr>
        <w:t> </w:t>
      </w:r>
      <w:r>
        <w:rPr>
          <w:color w:val="231F20"/>
          <w:spacing w:val="-6"/>
        </w:rPr>
        <w:t>per- </w:t>
      </w:r>
      <w:r>
        <w:rPr>
          <w:color w:val="231F20"/>
        </w:rPr>
        <w:t>formance</w:t>
      </w:r>
      <w:r>
        <w:rPr>
          <w:color w:val="231F20"/>
          <w:spacing w:val="-9"/>
        </w:rPr>
        <w:t> </w:t>
      </w:r>
      <w:r>
        <w:rPr>
          <w:color w:val="231F20"/>
        </w:rPr>
        <w:t>continued</w:t>
      </w:r>
      <w:r>
        <w:rPr>
          <w:color w:val="231F20"/>
          <w:spacing w:val="-9"/>
        </w:rPr>
        <w:t> </w:t>
      </w:r>
      <w:r>
        <w:rPr>
          <w:color w:val="231F20"/>
        </w:rPr>
        <w:t>to</w:t>
      </w:r>
      <w:r>
        <w:rPr>
          <w:color w:val="231F20"/>
          <w:spacing w:val="-9"/>
        </w:rPr>
        <w:t> </w:t>
      </w:r>
      <w:r>
        <w:rPr>
          <w:color w:val="231F20"/>
        </w:rPr>
        <w:t>offer</w:t>
      </w:r>
      <w:r>
        <w:rPr>
          <w:color w:val="231F20"/>
          <w:spacing w:val="-9"/>
        </w:rPr>
        <w:t> </w:t>
      </w:r>
      <w:r>
        <w:rPr>
          <w:color w:val="231F20"/>
        </w:rPr>
        <w:t>high-caliber </w:t>
      </w:r>
      <w:r>
        <w:rPr>
          <w:color w:val="231F20"/>
          <w:w w:val="90"/>
        </w:rPr>
        <w:t>logistics—rated</w:t>
      </w:r>
      <w:r>
        <w:rPr>
          <w:color w:val="231F20"/>
          <w:spacing w:val="-6"/>
          <w:w w:val="90"/>
        </w:rPr>
        <w:t> </w:t>
      </w:r>
      <w:r>
        <w:rPr>
          <w:color w:val="231F20"/>
          <w:w w:val="90"/>
        </w:rPr>
        <w:t>4.1</w:t>
      </w:r>
      <w:r>
        <w:rPr>
          <w:color w:val="231F20"/>
          <w:spacing w:val="-6"/>
          <w:w w:val="90"/>
        </w:rPr>
        <w:t> </w:t>
      </w:r>
      <w:r>
        <w:rPr>
          <w:color w:val="231F20"/>
          <w:w w:val="90"/>
        </w:rPr>
        <w:t>out</w:t>
      </w:r>
      <w:r>
        <w:rPr>
          <w:color w:val="231F20"/>
          <w:spacing w:val="-6"/>
          <w:w w:val="90"/>
        </w:rPr>
        <w:t> </w:t>
      </w:r>
      <w:r>
        <w:rPr>
          <w:color w:val="231F20"/>
          <w:w w:val="90"/>
        </w:rPr>
        <w:t>of</w:t>
      </w:r>
      <w:r>
        <w:rPr>
          <w:color w:val="231F20"/>
          <w:spacing w:val="-6"/>
          <w:w w:val="90"/>
        </w:rPr>
        <w:t> </w:t>
      </w:r>
      <w:r>
        <w:rPr>
          <w:color w:val="231F20"/>
          <w:w w:val="90"/>
        </w:rPr>
        <w:t>5</w:t>
      </w:r>
      <w:r>
        <w:rPr>
          <w:color w:val="231F20"/>
          <w:spacing w:val="-6"/>
          <w:w w:val="90"/>
        </w:rPr>
        <w:t> </w:t>
      </w:r>
      <w:r>
        <w:rPr>
          <w:color w:val="231F20"/>
          <w:w w:val="90"/>
        </w:rPr>
        <w:t>on</w:t>
      </w:r>
      <w:r>
        <w:rPr>
          <w:color w:val="231F20"/>
          <w:spacing w:val="-6"/>
          <w:w w:val="90"/>
        </w:rPr>
        <w:t> </w:t>
      </w:r>
      <w:r>
        <w:rPr>
          <w:color w:val="231F20"/>
          <w:w w:val="90"/>
        </w:rPr>
        <w:t>average</w:t>
      </w:r>
      <w:r>
        <w:rPr>
          <w:color w:val="231F20"/>
          <w:spacing w:val="-6"/>
          <w:w w:val="90"/>
        </w:rPr>
        <w:t> </w:t>
      </w:r>
      <w:r>
        <w:rPr>
          <w:color w:val="231F20"/>
          <w:w w:val="90"/>
        </w:rPr>
        <w:t>com- </w:t>
      </w:r>
      <w:r>
        <w:rPr>
          <w:color w:val="231F20"/>
          <w:spacing w:val="-4"/>
        </w:rPr>
        <w:t>pared</w:t>
      </w:r>
      <w:r>
        <w:rPr>
          <w:color w:val="231F20"/>
          <w:spacing w:val="-8"/>
        </w:rPr>
        <w:t> </w:t>
      </w:r>
      <w:r>
        <w:rPr>
          <w:color w:val="231F20"/>
          <w:spacing w:val="-4"/>
        </w:rPr>
        <w:t>with</w:t>
      </w:r>
      <w:r>
        <w:rPr>
          <w:color w:val="231F20"/>
          <w:spacing w:val="-8"/>
        </w:rPr>
        <w:t> </w:t>
      </w:r>
      <w:r>
        <w:rPr>
          <w:color w:val="231F20"/>
          <w:spacing w:val="-4"/>
        </w:rPr>
        <w:t>4.0</w:t>
      </w:r>
      <w:r>
        <w:rPr>
          <w:color w:val="231F20"/>
          <w:spacing w:val="-8"/>
        </w:rPr>
        <w:t> </w:t>
      </w:r>
      <w:r>
        <w:rPr>
          <w:color w:val="231F20"/>
          <w:spacing w:val="-4"/>
        </w:rPr>
        <w:t>in</w:t>
      </w:r>
      <w:r>
        <w:rPr>
          <w:color w:val="231F20"/>
          <w:spacing w:val="-8"/>
        </w:rPr>
        <w:t> </w:t>
      </w:r>
      <w:r>
        <w:rPr>
          <w:color w:val="231F20"/>
          <w:spacing w:val="-4"/>
        </w:rPr>
        <w:t>2018.</w:t>
      </w:r>
      <w:r>
        <w:rPr>
          <w:color w:val="231F20"/>
          <w:spacing w:val="-8"/>
        </w:rPr>
        <w:t> </w:t>
      </w:r>
      <w:r>
        <w:rPr>
          <w:color w:val="231F20"/>
          <w:spacing w:val="-4"/>
        </w:rPr>
        <w:t>The</w:t>
      </w:r>
      <w:r>
        <w:rPr>
          <w:color w:val="231F20"/>
          <w:spacing w:val="-8"/>
        </w:rPr>
        <w:t> </w:t>
      </w:r>
      <w:r>
        <w:rPr>
          <w:color w:val="231F20"/>
          <w:spacing w:val="-4"/>
        </w:rPr>
        <w:t>average</w:t>
      </w:r>
      <w:r>
        <w:rPr>
          <w:color w:val="231F20"/>
          <w:spacing w:val="-8"/>
        </w:rPr>
        <w:t> </w:t>
      </w:r>
      <w:r>
        <w:rPr>
          <w:color w:val="231F20"/>
          <w:spacing w:val="-4"/>
        </w:rPr>
        <w:t>rating </w:t>
      </w:r>
      <w:r>
        <w:rPr>
          <w:color w:val="231F20"/>
        </w:rPr>
        <w:t>of</w:t>
      </w:r>
      <w:r>
        <w:rPr>
          <w:color w:val="231F20"/>
          <w:spacing w:val="-5"/>
        </w:rPr>
        <w:t> </w:t>
      </w:r>
      <w:r>
        <w:rPr>
          <w:color w:val="231F20"/>
        </w:rPr>
        <w:t>the</w:t>
      </w:r>
      <w:r>
        <w:rPr>
          <w:color w:val="231F20"/>
          <w:spacing w:val="-5"/>
        </w:rPr>
        <w:t> </w:t>
      </w:r>
      <w:r>
        <w:rPr>
          <w:color w:val="231F20"/>
        </w:rPr>
        <w:t>10</w:t>
      </w:r>
      <w:r>
        <w:rPr>
          <w:color w:val="231F20"/>
          <w:spacing w:val="-5"/>
        </w:rPr>
        <w:t> </w:t>
      </w:r>
      <w:r>
        <w:rPr>
          <w:color w:val="231F20"/>
        </w:rPr>
        <w:t>poorest</w:t>
      </w:r>
      <w:r>
        <w:rPr>
          <w:color w:val="231F20"/>
          <w:spacing w:val="-5"/>
        </w:rPr>
        <w:t> </w:t>
      </w:r>
      <w:r>
        <w:rPr>
          <w:color w:val="231F20"/>
        </w:rPr>
        <w:t>performers</w:t>
      </w:r>
      <w:r>
        <w:rPr>
          <w:color w:val="231F20"/>
          <w:spacing w:val="-5"/>
        </w:rPr>
        <w:t> </w:t>
      </w:r>
      <w:r>
        <w:rPr>
          <w:color w:val="231F20"/>
        </w:rPr>
        <w:t>did</w:t>
      </w:r>
      <w:r>
        <w:rPr>
          <w:color w:val="231F20"/>
          <w:spacing w:val="-5"/>
        </w:rPr>
        <w:t> </w:t>
      </w:r>
      <w:r>
        <w:rPr>
          <w:color w:val="231F20"/>
        </w:rPr>
        <w:t>not</w:t>
      </w:r>
      <w:r>
        <w:rPr>
          <w:color w:val="231F20"/>
          <w:spacing w:val="-5"/>
        </w:rPr>
        <w:t> </w:t>
      </w:r>
      <w:r>
        <w:rPr>
          <w:color w:val="231F20"/>
        </w:rPr>
        <w:t>fall, </w:t>
      </w:r>
      <w:r>
        <w:rPr>
          <w:color w:val="231F20"/>
          <w:spacing w:val="-4"/>
        </w:rPr>
        <w:t>despite</w:t>
      </w:r>
      <w:r>
        <w:rPr>
          <w:color w:val="231F20"/>
          <w:spacing w:val="-7"/>
        </w:rPr>
        <w:t> </w:t>
      </w:r>
      <w:r>
        <w:rPr>
          <w:color w:val="231F20"/>
          <w:spacing w:val="-4"/>
        </w:rPr>
        <w:t>challenging</w:t>
      </w:r>
      <w:r>
        <w:rPr>
          <w:color w:val="231F20"/>
          <w:spacing w:val="-7"/>
        </w:rPr>
        <w:t> </w:t>
      </w:r>
      <w:r>
        <w:rPr>
          <w:color w:val="231F20"/>
          <w:spacing w:val="-4"/>
        </w:rPr>
        <w:t>circumstances,</w:t>
      </w:r>
      <w:r>
        <w:rPr>
          <w:color w:val="231F20"/>
          <w:spacing w:val="-7"/>
        </w:rPr>
        <w:t> </w:t>
      </w:r>
      <w:r>
        <w:rPr>
          <w:color w:val="231F20"/>
          <w:spacing w:val="-4"/>
        </w:rPr>
        <w:t>and</w:t>
      </w:r>
      <w:r>
        <w:rPr>
          <w:color w:val="231F20"/>
          <w:spacing w:val="-7"/>
        </w:rPr>
        <w:t> </w:t>
      </w:r>
      <w:r>
        <w:rPr>
          <w:color w:val="231F20"/>
          <w:spacing w:val="-4"/>
        </w:rPr>
        <w:t>re- </w:t>
      </w:r>
      <w:r>
        <w:rPr>
          <w:color w:val="231F20"/>
        </w:rPr>
        <w:t>mained</w:t>
      </w:r>
      <w:r>
        <w:rPr>
          <w:color w:val="231F20"/>
          <w:spacing w:val="-14"/>
        </w:rPr>
        <w:t> </w:t>
      </w:r>
      <w:r>
        <w:rPr>
          <w:color w:val="231F20"/>
        </w:rPr>
        <w:t>at</w:t>
      </w:r>
      <w:r>
        <w:rPr>
          <w:color w:val="231F20"/>
          <w:spacing w:val="-13"/>
        </w:rPr>
        <w:t> </w:t>
      </w:r>
      <w:r>
        <w:rPr>
          <w:color w:val="231F20"/>
        </w:rPr>
        <w:t>2.1</w:t>
      </w:r>
      <w:r>
        <w:rPr>
          <w:color w:val="231F20"/>
          <w:spacing w:val="-13"/>
        </w:rPr>
        <w:t> </w:t>
      </w:r>
      <w:r>
        <w:rPr>
          <w:color w:val="231F20"/>
        </w:rPr>
        <w:t>out</w:t>
      </w:r>
      <w:r>
        <w:rPr>
          <w:color w:val="231F20"/>
          <w:spacing w:val="-13"/>
        </w:rPr>
        <w:t> </w:t>
      </w:r>
      <w:r>
        <w:rPr>
          <w:color w:val="231F20"/>
        </w:rPr>
        <w:t>of</w:t>
      </w:r>
      <w:r>
        <w:rPr>
          <w:color w:val="231F20"/>
          <w:spacing w:val="-13"/>
        </w:rPr>
        <w:t> </w:t>
      </w:r>
      <w:r>
        <w:rPr>
          <w:color w:val="231F20"/>
        </w:rPr>
        <w:t>5,</w:t>
      </w:r>
      <w:r>
        <w:rPr>
          <w:color w:val="231F20"/>
          <w:spacing w:val="-13"/>
        </w:rPr>
        <w:t> </w:t>
      </w:r>
      <w:r>
        <w:rPr>
          <w:color w:val="231F20"/>
        </w:rPr>
        <w:t>as</w:t>
      </w:r>
      <w:r>
        <w:rPr>
          <w:color w:val="231F20"/>
          <w:spacing w:val="-13"/>
        </w:rPr>
        <w:t> </w:t>
      </w:r>
      <w:r>
        <w:rPr>
          <w:color w:val="231F20"/>
        </w:rPr>
        <w:t>in</w:t>
      </w:r>
      <w:r>
        <w:rPr>
          <w:color w:val="231F20"/>
          <w:spacing w:val="-13"/>
        </w:rPr>
        <w:t> </w:t>
      </w:r>
      <w:r>
        <w:rPr>
          <w:color w:val="231F20"/>
        </w:rPr>
        <w:t>2018.</w:t>
      </w:r>
      <w:r>
        <w:rPr>
          <w:color w:val="231F20"/>
          <w:spacing w:val="-14"/>
        </w:rPr>
        <w:t> </w:t>
      </w:r>
      <w:r>
        <w:rPr>
          <w:color w:val="231F20"/>
        </w:rPr>
        <w:t>But</w:t>
      </w:r>
      <w:r>
        <w:rPr>
          <w:color w:val="231F20"/>
          <w:spacing w:val="-13"/>
        </w:rPr>
        <w:t> </w:t>
      </w:r>
      <w:r>
        <w:rPr>
          <w:color w:val="231F20"/>
        </w:rPr>
        <w:t>the </w:t>
      </w:r>
      <w:r>
        <w:rPr>
          <w:color w:val="231F20"/>
          <w:spacing w:val="-2"/>
        </w:rPr>
        <w:t>2023</w:t>
      </w:r>
      <w:r>
        <w:rPr>
          <w:color w:val="231F20"/>
          <w:spacing w:val="-9"/>
        </w:rPr>
        <w:t> </w:t>
      </w:r>
      <w:r>
        <w:rPr>
          <w:color w:val="231F20"/>
          <w:spacing w:val="-2"/>
        </w:rPr>
        <w:t>edition</w:t>
      </w:r>
      <w:r>
        <w:rPr>
          <w:color w:val="231F20"/>
          <w:spacing w:val="-9"/>
        </w:rPr>
        <w:t> </w:t>
      </w:r>
      <w:r>
        <w:rPr>
          <w:color w:val="231F20"/>
          <w:spacing w:val="-2"/>
        </w:rPr>
        <w:t>included</w:t>
      </w:r>
      <w:r>
        <w:rPr>
          <w:color w:val="231F20"/>
          <w:spacing w:val="-9"/>
        </w:rPr>
        <w:t> </w:t>
      </w:r>
      <w:r>
        <w:rPr>
          <w:color w:val="231F20"/>
          <w:spacing w:val="-2"/>
        </w:rPr>
        <w:t>21</w:t>
      </w:r>
      <w:r>
        <w:rPr>
          <w:color w:val="231F20"/>
          <w:spacing w:val="-9"/>
        </w:rPr>
        <w:t> </w:t>
      </w:r>
      <w:r>
        <w:rPr>
          <w:color w:val="231F20"/>
          <w:spacing w:val="-2"/>
        </w:rPr>
        <w:t>fewer</w:t>
      </w:r>
      <w:r>
        <w:rPr>
          <w:color w:val="231F20"/>
          <w:spacing w:val="-9"/>
        </w:rPr>
        <w:t> </w:t>
      </w:r>
      <w:r>
        <w:rPr>
          <w:color w:val="231F20"/>
          <w:spacing w:val="-2"/>
        </w:rPr>
        <w:t>countries, </w:t>
      </w:r>
      <w:r>
        <w:rPr>
          <w:color w:val="231F20"/>
        </w:rPr>
        <w:t>many</w:t>
      </w:r>
      <w:r>
        <w:rPr>
          <w:color w:val="231F20"/>
          <w:spacing w:val="-14"/>
        </w:rPr>
        <w:t> </w:t>
      </w:r>
      <w:r>
        <w:rPr>
          <w:color w:val="231F20"/>
        </w:rPr>
        <w:t>of</w:t>
      </w:r>
      <w:r>
        <w:rPr>
          <w:color w:val="231F20"/>
          <w:spacing w:val="-13"/>
        </w:rPr>
        <w:t> </w:t>
      </w:r>
      <w:r>
        <w:rPr>
          <w:color w:val="231F20"/>
        </w:rPr>
        <w:t>them</w:t>
      </w:r>
      <w:r>
        <w:rPr>
          <w:color w:val="231F20"/>
          <w:spacing w:val="-13"/>
        </w:rPr>
        <w:t> </w:t>
      </w:r>
      <w:r>
        <w:rPr>
          <w:color w:val="231F20"/>
        </w:rPr>
        <w:t>low-income,</w:t>
      </w:r>
      <w:r>
        <w:rPr>
          <w:color w:val="231F20"/>
          <w:spacing w:val="-13"/>
        </w:rPr>
        <w:t> </w:t>
      </w:r>
      <w:r>
        <w:rPr>
          <w:color w:val="231F20"/>
        </w:rPr>
        <w:t>than</w:t>
      </w:r>
      <w:r>
        <w:rPr>
          <w:color w:val="231F20"/>
          <w:spacing w:val="-13"/>
        </w:rPr>
        <w:t> </w:t>
      </w:r>
      <w:r>
        <w:rPr>
          <w:color w:val="231F20"/>
        </w:rPr>
        <w:t>the</w:t>
      </w:r>
      <w:r>
        <w:rPr>
          <w:color w:val="231F20"/>
          <w:spacing w:val="-13"/>
        </w:rPr>
        <w:t> </w:t>
      </w:r>
      <w:r>
        <w:rPr>
          <w:color w:val="231F20"/>
        </w:rPr>
        <w:t>2018 </w:t>
      </w:r>
      <w:r>
        <w:rPr>
          <w:color w:val="231F20"/>
          <w:spacing w:val="-2"/>
        </w:rPr>
        <w:t>edition.</w:t>
      </w:r>
    </w:p>
    <w:p>
      <w:pPr>
        <w:pStyle w:val="BodyText"/>
        <w:spacing w:before="3"/>
      </w:pPr>
    </w:p>
    <w:p>
      <w:pPr>
        <w:pStyle w:val="ListParagraph"/>
        <w:numPr>
          <w:ilvl w:val="0"/>
          <w:numId w:val="7"/>
        </w:numPr>
        <w:tabs>
          <w:tab w:pos="493" w:val="left" w:leader="none"/>
        </w:tabs>
        <w:spacing w:line="268" w:lineRule="auto" w:before="0" w:after="0"/>
        <w:ind w:left="493" w:right="177" w:hanging="300"/>
        <w:jc w:val="both"/>
        <w:rPr>
          <w:rFonts w:ascii="Times New Roman" w:hAnsi="Times New Roman"/>
          <w:sz w:val="21"/>
        </w:rPr>
      </w:pPr>
      <w:r>
        <w:rPr>
          <w:rFonts w:ascii="Times New Roman" w:hAnsi="Times New Roman"/>
          <w:b/>
          <w:color w:val="231F20"/>
          <w:spacing w:val="-6"/>
          <w:sz w:val="21"/>
        </w:rPr>
        <w:t>Mid-level logistics performers are show- </w:t>
      </w:r>
      <w:r>
        <w:rPr>
          <w:rFonts w:ascii="Times New Roman" w:hAnsi="Times New Roman"/>
          <w:b/>
          <w:color w:val="231F20"/>
          <w:sz w:val="21"/>
        </w:rPr>
        <w:t>ing progress. </w:t>
      </w:r>
      <w:r>
        <w:rPr>
          <w:rFonts w:ascii="Times New Roman" w:hAnsi="Times New Roman"/>
          <w:color w:val="231F20"/>
          <w:sz w:val="21"/>
        </w:rPr>
        <w:t>More countries scored </w:t>
      </w:r>
      <w:r>
        <w:rPr>
          <w:rFonts w:ascii="Times New Roman" w:hAnsi="Times New Roman"/>
          <w:color w:val="231F20"/>
          <w:spacing w:val="-2"/>
          <w:sz w:val="21"/>
        </w:rPr>
        <w:t>higher</w:t>
      </w:r>
      <w:r>
        <w:rPr>
          <w:rFonts w:ascii="Times New Roman" w:hAnsi="Times New Roman"/>
          <w:color w:val="231F20"/>
          <w:spacing w:val="-10"/>
          <w:sz w:val="21"/>
        </w:rPr>
        <w:t> </w:t>
      </w:r>
      <w:r>
        <w:rPr>
          <w:rFonts w:ascii="Times New Roman" w:hAnsi="Times New Roman"/>
          <w:color w:val="231F20"/>
          <w:spacing w:val="-2"/>
          <w:sz w:val="21"/>
        </w:rPr>
        <w:t>in</w:t>
      </w:r>
      <w:r>
        <w:rPr>
          <w:rFonts w:ascii="Times New Roman" w:hAnsi="Times New Roman"/>
          <w:color w:val="231F20"/>
          <w:spacing w:val="-11"/>
          <w:sz w:val="21"/>
        </w:rPr>
        <w:t> </w:t>
      </w:r>
      <w:r>
        <w:rPr>
          <w:rFonts w:ascii="Times New Roman" w:hAnsi="Times New Roman"/>
          <w:color w:val="231F20"/>
          <w:spacing w:val="-2"/>
          <w:sz w:val="21"/>
        </w:rPr>
        <w:t>the</w:t>
      </w:r>
      <w:r>
        <w:rPr>
          <w:rFonts w:ascii="Times New Roman" w:hAnsi="Times New Roman"/>
          <w:color w:val="231F20"/>
          <w:spacing w:val="-10"/>
          <w:sz w:val="21"/>
        </w:rPr>
        <w:t> </w:t>
      </w:r>
      <w:r>
        <w:rPr>
          <w:rFonts w:ascii="Times New Roman" w:hAnsi="Times New Roman"/>
          <w:color w:val="231F20"/>
          <w:spacing w:val="-2"/>
          <w:sz w:val="21"/>
        </w:rPr>
        <w:t>LPI</w:t>
      </w:r>
      <w:r>
        <w:rPr>
          <w:rFonts w:ascii="Times New Roman" w:hAnsi="Times New Roman"/>
          <w:color w:val="231F20"/>
          <w:spacing w:val="-11"/>
          <w:sz w:val="21"/>
        </w:rPr>
        <w:t> </w:t>
      </w:r>
      <w:r>
        <w:rPr>
          <w:rFonts w:ascii="Times New Roman" w:hAnsi="Times New Roman"/>
          <w:color w:val="231F20"/>
          <w:spacing w:val="-2"/>
          <w:sz w:val="21"/>
        </w:rPr>
        <w:t>compared</w:t>
      </w:r>
      <w:r>
        <w:rPr>
          <w:rFonts w:ascii="Times New Roman" w:hAnsi="Times New Roman"/>
          <w:color w:val="231F20"/>
          <w:spacing w:val="-10"/>
          <w:sz w:val="21"/>
        </w:rPr>
        <w:t> </w:t>
      </w:r>
      <w:r>
        <w:rPr>
          <w:rFonts w:ascii="Times New Roman" w:hAnsi="Times New Roman"/>
          <w:color w:val="231F20"/>
          <w:spacing w:val="-2"/>
          <w:sz w:val="21"/>
        </w:rPr>
        <w:t>with</w:t>
      </w:r>
      <w:r>
        <w:rPr>
          <w:rFonts w:ascii="Times New Roman" w:hAnsi="Times New Roman"/>
          <w:color w:val="231F20"/>
          <w:spacing w:val="-11"/>
          <w:sz w:val="21"/>
        </w:rPr>
        <w:t> </w:t>
      </w:r>
      <w:r>
        <w:rPr>
          <w:rFonts w:ascii="Times New Roman" w:hAnsi="Times New Roman"/>
          <w:color w:val="231F20"/>
          <w:spacing w:val="-2"/>
          <w:sz w:val="21"/>
        </w:rPr>
        <w:t>previous </w:t>
      </w:r>
      <w:r>
        <w:rPr>
          <w:rFonts w:ascii="Times New Roman" w:hAnsi="Times New Roman"/>
          <w:color w:val="231F20"/>
          <w:w w:val="90"/>
          <w:sz w:val="21"/>
        </w:rPr>
        <w:t>years. The average overall country score has </w:t>
      </w:r>
      <w:r>
        <w:rPr>
          <w:rFonts w:ascii="Times New Roman" w:hAnsi="Times New Roman"/>
          <w:color w:val="231F20"/>
          <w:sz w:val="21"/>
        </w:rPr>
        <w:t>steadily risen over the past decade, with </w:t>
      </w:r>
      <w:r>
        <w:rPr>
          <w:rFonts w:ascii="Times New Roman" w:hAnsi="Times New Roman"/>
          <w:color w:val="231F20"/>
          <w:spacing w:val="-6"/>
          <w:sz w:val="21"/>
        </w:rPr>
        <w:t>more</w:t>
      </w:r>
      <w:r>
        <w:rPr>
          <w:rFonts w:ascii="Times New Roman" w:hAnsi="Times New Roman"/>
          <w:color w:val="231F20"/>
          <w:spacing w:val="-7"/>
          <w:sz w:val="21"/>
        </w:rPr>
        <w:t> </w:t>
      </w:r>
      <w:r>
        <w:rPr>
          <w:rFonts w:ascii="Times New Roman" w:hAnsi="Times New Roman"/>
          <w:color w:val="231F20"/>
          <w:spacing w:val="-6"/>
          <w:sz w:val="21"/>
        </w:rPr>
        <w:t>countries</w:t>
      </w:r>
      <w:r>
        <w:rPr>
          <w:rFonts w:ascii="Times New Roman" w:hAnsi="Times New Roman"/>
          <w:color w:val="231F20"/>
          <w:spacing w:val="-7"/>
          <w:sz w:val="21"/>
        </w:rPr>
        <w:t> </w:t>
      </w:r>
      <w:r>
        <w:rPr>
          <w:rFonts w:ascii="Times New Roman" w:hAnsi="Times New Roman"/>
          <w:color w:val="231F20"/>
          <w:spacing w:val="-6"/>
          <w:sz w:val="21"/>
        </w:rPr>
        <w:t>clustered</w:t>
      </w:r>
      <w:r>
        <w:rPr>
          <w:rFonts w:ascii="Times New Roman" w:hAnsi="Times New Roman"/>
          <w:color w:val="231F20"/>
          <w:spacing w:val="-7"/>
          <w:sz w:val="21"/>
        </w:rPr>
        <w:t> </w:t>
      </w:r>
      <w:r>
        <w:rPr>
          <w:rFonts w:ascii="Times New Roman" w:hAnsi="Times New Roman"/>
          <w:color w:val="231F20"/>
          <w:spacing w:val="-6"/>
          <w:sz w:val="21"/>
        </w:rPr>
        <w:t>at</w:t>
      </w:r>
      <w:r>
        <w:rPr>
          <w:rFonts w:ascii="Times New Roman" w:hAnsi="Times New Roman"/>
          <w:color w:val="231F20"/>
          <w:spacing w:val="-7"/>
          <w:sz w:val="21"/>
        </w:rPr>
        <w:t> </w:t>
      </w:r>
      <w:r>
        <w:rPr>
          <w:rFonts w:ascii="Times New Roman" w:hAnsi="Times New Roman"/>
          <w:color w:val="231F20"/>
          <w:spacing w:val="-6"/>
          <w:sz w:val="21"/>
        </w:rPr>
        <w:t>an</w:t>
      </w:r>
      <w:r>
        <w:rPr>
          <w:rFonts w:ascii="Times New Roman" w:hAnsi="Times New Roman"/>
          <w:color w:val="231F20"/>
          <w:spacing w:val="-7"/>
          <w:sz w:val="21"/>
        </w:rPr>
        <w:t> </w:t>
      </w:r>
      <w:r>
        <w:rPr>
          <w:rFonts w:ascii="Times New Roman" w:hAnsi="Times New Roman"/>
          <w:color w:val="231F20"/>
          <w:spacing w:val="-6"/>
          <w:sz w:val="21"/>
        </w:rPr>
        <w:t>overall</w:t>
      </w:r>
      <w:r>
        <w:rPr>
          <w:rFonts w:ascii="Times New Roman" w:hAnsi="Times New Roman"/>
          <w:color w:val="231F20"/>
          <w:spacing w:val="-7"/>
          <w:sz w:val="21"/>
        </w:rPr>
        <w:t> </w:t>
      </w:r>
      <w:r>
        <w:rPr>
          <w:rFonts w:ascii="Times New Roman" w:hAnsi="Times New Roman"/>
          <w:color w:val="231F20"/>
          <w:spacing w:val="-6"/>
          <w:sz w:val="21"/>
        </w:rPr>
        <w:t>score </w:t>
      </w:r>
      <w:r>
        <w:rPr>
          <w:rFonts w:ascii="Times New Roman" w:hAnsi="Times New Roman"/>
          <w:color w:val="231F20"/>
          <w:sz w:val="21"/>
        </w:rPr>
        <w:t>of 3 to 4.</w:t>
      </w:r>
    </w:p>
    <w:p>
      <w:pPr>
        <w:pStyle w:val="BodyText"/>
        <w:spacing w:before="5"/>
      </w:pPr>
    </w:p>
    <w:p>
      <w:pPr>
        <w:pStyle w:val="ListParagraph"/>
        <w:numPr>
          <w:ilvl w:val="0"/>
          <w:numId w:val="7"/>
        </w:numPr>
        <w:tabs>
          <w:tab w:pos="493" w:val="left" w:leader="none"/>
        </w:tabs>
        <w:spacing w:line="268" w:lineRule="auto" w:before="0" w:after="0"/>
        <w:ind w:left="493" w:right="177" w:hanging="300"/>
        <w:jc w:val="both"/>
        <w:rPr>
          <w:rFonts w:ascii="Times New Roman" w:hAnsi="Times New Roman"/>
          <w:sz w:val="21"/>
        </w:rPr>
      </w:pPr>
      <w:r>
        <w:rPr>
          <w:rFonts w:ascii="Times New Roman" w:hAnsi="Times New Roman"/>
          <w:b/>
          <w:color w:val="231F20"/>
          <w:sz w:val="21"/>
        </w:rPr>
        <w:t>Supply chain reliability is critical. </w:t>
      </w:r>
      <w:r>
        <w:rPr>
          <w:rFonts w:ascii="Times New Roman" w:hAnsi="Times New Roman"/>
          <w:color w:val="231F20"/>
          <w:sz w:val="21"/>
        </w:rPr>
        <w:t>For </w:t>
      </w:r>
      <w:r>
        <w:rPr>
          <w:rFonts w:ascii="Times New Roman" w:hAnsi="Times New Roman"/>
          <w:color w:val="231F20"/>
          <w:spacing w:val="-2"/>
          <w:sz w:val="21"/>
        </w:rPr>
        <w:t>containers,</w:t>
      </w:r>
      <w:r>
        <w:rPr>
          <w:rFonts w:ascii="Times New Roman" w:hAnsi="Times New Roman"/>
          <w:color w:val="231F20"/>
          <w:spacing w:val="-12"/>
          <w:sz w:val="21"/>
        </w:rPr>
        <w:t> </w:t>
      </w:r>
      <w:r>
        <w:rPr>
          <w:rFonts w:ascii="Times New Roman" w:hAnsi="Times New Roman"/>
          <w:color w:val="231F20"/>
          <w:spacing w:val="-2"/>
          <w:sz w:val="21"/>
        </w:rPr>
        <w:t>the</w:t>
      </w:r>
      <w:r>
        <w:rPr>
          <w:rFonts w:ascii="Times New Roman" w:hAnsi="Times New Roman"/>
          <w:color w:val="231F20"/>
          <w:spacing w:val="-11"/>
          <w:sz w:val="21"/>
        </w:rPr>
        <w:t> </w:t>
      </w:r>
      <w:r>
        <w:rPr>
          <w:rFonts w:ascii="Times New Roman" w:hAnsi="Times New Roman"/>
          <w:color w:val="231F20"/>
          <w:spacing w:val="-2"/>
          <w:sz w:val="21"/>
        </w:rPr>
        <w:t>average</w:t>
      </w:r>
      <w:r>
        <w:rPr>
          <w:rFonts w:ascii="Times New Roman" w:hAnsi="Times New Roman"/>
          <w:color w:val="231F20"/>
          <w:spacing w:val="-11"/>
          <w:sz w:val="21"/>
        </w:rPr>
        <w:t> </w:t>
      </w:r>
      <w:r>
        <w:rPr>
          <w:rFonts w:ascii="Times New Roman" w:hAnsi="Times New Roman"/>
          <w:color w:val="231F20"/>
          <w:spacing w:val="-2"/>
          <w:sz w:val="21"/>
        </w:rPr>
        <w:t>time</w:t>
      </w:r>
      <w:r>
        <w:rPr>
          <w:rFonts w:ascii="Times New Roman" w:hAnsi="Times New Roman"/>
          <w:color w:val="231F20"/>
          <w:spacing w:val="-11"/>
          <w:sz w:val="21"/>
        </w:rPr>
        <w:t> </w:t>
      </w:r>
      <w:r>
        <w:rPr>
          <w:rFonts w:ascii="Times New Roman" w:hAnsi="Times New Roman"/>
          <w:color w:val="231F20"/>
          <w:spacing w:val="-2"/>
          <w:sz w:val="21"/>
        </w:rPr>
        <w:t>across</w:t>
      </w:r>
      <w:r>
        <w:rPr>
          <w:rFonts w:ascii="Times New Roman" w:hAnsi="Times New Roman"/>
          <w:color w:val="231F20"/>
          <w:spacing w:val="-11"/>
          <w:sz w:val="21"/>
        </w:rPr>
        <w:t> </w:t>
      </w:r>
      <w:r>
        <w:rPr>
          <w:rFonts w:ascii="Times New Roman" w:hAnsi="Times New Roman"/>
          <w:color w:val="231F20"/>
          <w:spacing w:val="-2"/>
          <w:sz w:val="21"/>
        </w:rPr>
        <w:t>all</w:t>
      </w:r>
      <w:r>
        <w:rPr>
          <w:rFonts w:ascii="Times New Roman" w:hAnsi="Times New Roman"/>
          <w:color w:val="231F20"/>
          <w:spacing w:val="-11"/>
          <w:sz w:val="21"/>
        </w:rPr>
        <w:t> </w:t>
      </w:r>
      <w:r>
        <w:rPr>
          <w:rFonts w:ascii="Times New Roman" w:hAnsi="Times New Roman"/>
          <w:color w:val="231F20"/>
          <w:spacing w:val="-2"/>
          <w:sz w:val="21"/>
        </w:rPr>
        <w:t>po- </w:t>
      </w:r>
      <w:r>
        <w:rPr>
          <w:rFonts w:ascii="Times New Roman" w:hAnsi="Times New Roman"/>
          <w:color w:val="231F20"/>
          <w:sz w:val="21"/>
        </w:rPr>
        <w:t>tential</w:t>
      </w:r>
      <w:r>
        <w:rPr>
          <w:rFonts w:ascii="Times New Roman" w:hAnsi="Times New Roman"/>
          <w:color w:val="231F20"/>
          <w:spacing w:val="-14"/>
          <w:sz w:val="21"/>
        </w:rPr>
        <w:t> </w:t>
      </w:r>
      <w:r>
        <w:rPr>
          <w:rFonts w:ascii="Times New Roman" w:hAnsi="Times New Roman"/>
          <w:color w:val="231F20"/>
          <w:sz w:val="21"/>
        </w:rPr>
        <w:t>trade</w:t>
      </w:r>
      <w:r>
        <w:rPr>
          <w:rFonts w:ascii="Times New Roman" w:hAnsi="Times New Roman"/>
          <w:color w:val="231F20"/>
          <w:spacing w:val="-13"/>
          <w:sz w:val="21"/>
        </w:rPr>
        <w:t> </w:t>
      </w:r>
      <w:r>
        <w:rPr>
          <w:rFonts w:ascii="Times New Roman" w:hAnsi="Times New Roman"/>
          <w:color w:val="231F20"/>
          <w:sz w:val="21"/>
        </w:rPr>
        <w:t>routes</w:t>
      </w:r>
      <w:r>
        <w:rPr>
          <w:rFonts w:ascii="Times New Roman" w:hAnsi="Times New Roman"/>
          <w:color w:val="231F20"/>
          <w:spacing w:val="-13"/>
          <w:sz w:val="21"/>
        </w:rPr>
        <w:t> </w:t>
      </w:r>
      <w:r>
        <w:rPr>
          <w:rFonts w:ascii="Times New Roman" w:hAnsi="Times New Roman"/>
          <w:color w:val="231F20"/>
          <w:sz w:val="21"/>
        </w:rPr>
        <w:t>from</w:t>
      </w:r>
      <w:r>
        <w:rPr>
          <w:rFonts w:ascii="Times New Roman" w:hAnsi="Times New Roman"/>
          <w:color w:val="231F20"/>
          <w:spacing w:val="-13"/>
          <w:sz w:val="21"/>
        </w:rPr>
        <w:t> </w:t>
      </w:r>
      <w:r>
        <w:rPr>
          <w:rFonts w:ascii="Times New Roman" w:hAnsi="Times New Roman"/>
          <w:color w:val="231F20"/>
          <w:sz w:val="21"/>
        </w:rPr>
        <w:t>entering</w:t>
      </w:r>
      <w:r>
        <w:rPr>
          <w:rFonts w:ascii="Times New Roman" w:hAnsi="Times New Roman"/>
          <w:color w:val="231F20"/>
          <w:spacing w:val="-13"/>
          <w:sz w:val="21"/>
        </w:rPr>
        <w:t> </w:t>
      </w:r>
      <w:r>
        <w:rPr>
          <w:rFonts w:ascii="Times New Roman" w:hAnsi="Times New Roman"/>
          <w:color w:val="231F20"/>
          <w:sz w:val="21"/>
        </w:rPr>
        <w:t>the</w:t>
      </w:r>
      <w:r>
        <w:rPr>
          <w:rFonts w:ascii="Times New Roman" w:hAnsi="Times New Roman"/>
          <w:color w:val="231F20"/>
          <w:spacing w:val="-13"/>
          <w:sz w:val="21"/>
        </w:rPr>
        <w:t> </w:t>
      </w:r>
      <w:r>
        <w:rPr>
          <w:rFonts w:ascii="Times New Roman" w:hAnsi="Times New Roman"/>
          <w:color w:val="231F20"/>
          <w:sz w:val="21"/>
        </w:rPr>
        <w:t>port of</w:t>
      </w:r>
      <w:r>
        <w:rPr>
          <w:rFonts w:ascii="Times New Roman" w:hAnsi="Times New Roman"/>
          <w:color w:val="231F20"/>
          <w:spacing w:val="-14"/>
          <w:sz w:val="21"/>
        </w:rPr>
        <w:t> </w:t>
      </w:r>
      <w:r>
        <w:rPr>
          <w:rFonts w:ascii="Times New Roman" w:hAnsi="Times New Roman"/>
          <w:color w:val="231F20"/>
          <w:sz w:val="21"/>
        </w:rPr>
        <w:t>export</w:t>
      </w:r>
      <w:r>
        <w:rPr>
          <w:rFonts w:ascii="Times New Roman" w:hAnsi="Times New Roman"/>
          <w:color w:val="231F20"/>
          <w:spacing w:val="-13"/>
          <w:sz w:val="21"/>
        </w:rPr>
        <w:t> </w:t>
      </w:r>
      <w:r>
        <w:rPr>
          <w:rFonts w:ascii="Times New Roman" w:hAnsi="Times New Roman"/>
          <w:color w:val="231F20"/>
          <w:sz w:val="21"/>
        </w:rPr>
        <w:t>to</w:t>
      </w:r>
      <w:r>
        <w:rPr>
          <w:rFonts w:ascii="Times New Roman" w:hAnsi="Times New Roman"/>
          <w:color w:val="231F20"/>
          <w:spacing w:val="-13"/>
          <w:sz w:val="21"/>
        </w:rPr>
        <w:t> </w:t>
      </w:r>
      <w:r>
        <w:rPr>
          <w:rFonts w:ascii="Times New Roman" w:hAnsi="Times New Roman"/>
          <w:color w:val="231F20"/>
          <w:sz w:val="21"/>
        </w:rPr>
        <w:t>exiting</w:t>
      </w:r>
      <w:r>
        <w:rPr>
          <w:rFonts w:ascii="Times New Roman" w:hAnsi="Times New Roman"/>
          <w:color w:val="231F20"/>
          <w:spacing w:val="-13"/>
          <w:sz w:val="21"/>
        </w:rPr>
        <w:t> </w:t>
      </w:r>
      <w:r>
        <w:rPr>
          <w:rFonts w:ascii="Times New Roman" w:hAnsi="Times New Roman"/>
          <w:color w:val="231F20"/>
          <w:sz w:val="21"/>
        </w:rPr>
        <w:t>the</w:t>
      </w:r>
      <w:r>
        <w:rPr>
          <w:rFonts w:ascii="Times New Roman" w:hAnsi="Times New Roman"/>
          <w:color w:val="231F20"/>
          <w:spacing w:val="-13"/>
          <w:sz w:val="21"/>
        </w:rPr>
        <w:t> </w:t>
      </w:r>
      <w:r>
        <w:rPr>
          <w:rFonts w:ascii="Times New Roman" w:hAnsi="Times New Roman"/>
          <w:color w:val="231F20"/>
          <w:sz w:val="21"/>
        </w:rPr>
        <w:t>destination</w:t>
      </w:r>
      <w:r>
        <w:rPr>
          <w:rFonts w:ascii="Times New Roman" w:hAnsi="Times New Roman"/>
          <w:color w:val="231F20"/>
          <w:spacing w:val="-13"/>
          <w:sz w:val="21"/>
        </w:rPr>
        <w:t> </w:t>
      </w:r>
      <w:r>
        <w:rPr>
          <w:rFonts w:ascii="Times New Roman" w:hAnsi="Times New Roman"/>
          <w:color w:val="231F20"/>
          <w:sz w:val="21"/>
        </w:rPr>
        <w:t>port</w:t>
      </w:r>
      <w:r>
        <w:rPr>
          <w:rFonts w:ascii="Times New Roman" w:hAnsi="Times New Roman"/>
          <w:color w:val="231F20"/>
          <w:spacing w:val="-13"/>
          <w:sz w:val="21"/>
        </w:rPr>
        <w:t> </w:t>
      </w:r>
      <w:r>
        <w:rPr>
          <w:rFonts w:ascii="Times New Roman" w:hAnsi="Times New Roman"/>
          <w:color w:val="231F20"/>
          <w:sz w:val="21"/>
        </w:rPr>
        <w:t>is </w:t>
      </w:r>
      <w:r>
        <w:rPr>
          <w:rFonts w:ascii="Times New Roman" w:hAnsi="Times New Roman"/>
          <w:color w:val="231F20"/>
          <w:spacing w:val="-2"/>
          <w:sz w:val="21"/>
        </w:rPr>
        <w:t>44</w:t>
      </w:r>
      <w:r>
        <w:rPr>
          <w:rFonts w:ascii="Times New Roman" w:hAnsi="Times New Roman"/>
          <w:color w:val="231F20"/>
          <w:spacing w:val="-10"/>
          <w:sz w:val="21"/>
        </w:rPr>
        <w:t> </w:t>
      </w:r>
      <w:r>
        <w:rPr>
          <w:rFonts w:ascii="Times New Roman" w:hAnsi="Times New Roman"/>
          <w:color w:val="231F20"/>
          <w:spacing w:val="-2"/>
          <w:sz w:val="21"/>
        </w:rPr>
        <w:t>days,</w:t>
      </w:r>
      <w:r>
        <w:rPr>
          <w:rFonts w:ascii="Times New Roman" w:hAnsi="Times New Roman"/>
          <w:color w:val="231F20"/>
          <w:spacing w:val="-10"/>
          <w:sz w:val="21"/>
        </w:rPr>
        <w:t> </w:t>
      </w:r>
      <w:r>
        <w:rPr>
          <w:rFonts w:ascii="Times New Roman" w:hAnsi="Times New Roman"/>
          <w:color w:val="231F20"/>
          <w:spacing w:val="-2"/>
          <w:sz w:val="21"/>
        </w:rPr>
        <w:t>with</w:t>
      </w:r>
      <w:r>
        <w:rPr>
          <w:rFonts w:ascii="Times New Roman" w:hAnsi="Times New Roman"/>
          <w:color w:val="231F20"/>
          <w:spacing w:val="-10"/>
          <w:sz w:val="21"/>
        </w:rPr>
        <w:t> </w:t>
      </w:r>
      <w:r>
        <w:rPr>
          <w:rFonts w:ascii="Times New Roman" w:hAnsi="Times New Roman"/>
          <w:color w:val="231F20"/>
          <w:spacing w:val="-2"/>
          <w:sz w:val="21"/>
        </w:rPr>
        <w:t>a</w:t>
      </w:r>
      <w:r>
        <w:rPr>
          <w:rFonts w:ascii="Times New Roman" w:hAnsi="Times New Roman"/>
          <w:color w:val="231F20"/>
          <w:spacing w:val="-10"/>
          <w:sz w:val="21"/>
        </w:rPr>
        <w:t> </w:t>
      </w:r>
      <w:r>
        <w:rPr>
          <w:rFonts w:ascii="Times New Roman" w:hAnsi="Times New Roman"/>
          <w:color w:val="231F20"/>
          <w:spacing w:val="-2"/>
          <w:sz w:val="21"/>
        </w:rPr>
        <w:t>standard</w:t>
      </w:r>
      <w:r>
        <w:rPr>
          <w:rFonts w:ascii="Times New Roman" w:hAnsi="Times New Roman"/>
          <w:color w:val="231F20"/>
          <w:spacing w:val="-10"/>
          <w:sz w:val="21"/>
        </w:rPr>
        <w:t> </w:t>
      </w:r>
      <w:r>
        <w:rPr>
          <w:rFonts w:ascii="Times New Roman" w:hAnsi="Times New Roman"/>
          <w:color w:val="231F20"/>
          <w:spacing w:val="-2"/>
          <w:sz w:val="21"/>
        </w:rPr>
        <w:t>deviation</w:t>
      </w:r>
      <w:r>
        <w:rPr>
          <w:rFonts w:ascii="Times New Roman" w:hAnsi="Times New Roman"/>
          <w:color w:val="231F20"/>
          <w:spacing w:val="-10"/>
          <w:sz w:val="21"/>
        </w:rPr>
        <w:t> </w:t>
      </w:r>
      <w:r>
        <w:rPr>
          <w:rFonts w:ascii="Times New Roman" w:hAnsi="Times New Roman"/>
          <w:color w:val="231F20"/>
          <w:spacing w:val="-2"/>
          <w:sz w:val="21"/>
        </w:rPr>
        <w:t>of</w:t>
      </w:r>
      <w:r>
        <w:rPr>
          <w:rFonts w:ascii="Times New Roman" w:hAnsi="Times New Roman"/>
          <w:color w:val="231F20"/>
          <w:spacing w:val="-10"/>
          <w:sz w:val="21"/>
        </w:rPr>
        <w:t> </w:t>
      </w:r>
      <w:r>
        <w:rPr>
          <w:rFonts w:ascii="Times New Roman" w:hAnsi="Times New Roman"/>
          <w:color w:val="231F20"/>
          <w:spacing w:val="-2"/>
          <w:sz w:val="21"/>
        </w:rPr>
        <w:t>10.5 days.</w:t>
      </w:r>
      <w:r>
        <w:rPr>
          <w:rFonts w:ascii="Times New Roman" w:hAnsi="Times New Roman"/>
          <w:color w:val="231F20"/>
          <w:spacing w:val="-12"/>
          <w:sz w:val="21"/>
        </w:rPr>
        <w:t> </w:t>
      </w:r>
      <w:r>
        <w:rPr>
          <w:rFonts w:ascii="Times New Roman" w:hAnsi="Times New Roman"/>
          <w:color w:val="231F20"/>
          <w:spacing w:val="-2"/>
          <w:sz w:val="21"/>
        </w:rPr>
        <w:t>About</w:t>
      </w:r>
      <w:r>
        <w:rPr>
          <w:rFonts w:ascii="Times New Roman" w:hAnsi="Times New Roman"/>
          <w:color w:val="231F20"/>
          <w:spacing w:val="-11"/>
          <w:sz w:val="21"/>
        </w:rPr>
        <w:t> </w:t>
      </w:r>
      <w:r>
        <w:rPr>
          <w:rFonts w:ascii="Times New Roman" w:hAnsi="Times New Roman"/>
          <w:color w:val="231F20"/>
          <w:spacing w:val="-2"/>
          <w:sz w:val="21"/>
        </w:rPr>
        <w:t>60</w:t>
      </w:r>
      <w:r>
        <w:rPr>
          <w:rFonts w:ascii="Times New Roman" w:hAnsi="Times New Roman"/>
          <w:color w:val="231F20"/>
          <w:spacing w:val="-11"/>
          <w:sz w:val="21"/>
        </w:rPr>
        <w:t> </w:t>
      </w:r>
      <w:r>
        <w:rPr>
          <w:rFonts w:ascii="Times New Roman" w:hAnsi="Times New Roman"/>
          <w:color w:val="231F20"/>
          <w:spacing w:val="-2"/>
          <w:sz w:val="21"/>
        </w:rPr>
        <w:t>percent</w:t>
      </w:r>
      <w:r>
        <w:rPr>
          <w:rFonts w:ascii="Times New Roman" w:hAnsi="Times New Roman"/>
          <w:color w:val="231F20"/>
          <w:spacing w:val="-11"/>
          <w:sz w:val="21"/>
        </w:rPr>
        <w:t> </w:t>
      </w:r>
      <w:r>
        <w:rPr>
          <w:rFonts w:ascii="Times New Roman" w:hAnsi="Times New Roman"/>
          <w:color w:val="231F20"/>
          <w:spacing w:val="-2"/>
          <w:sz w:val="21"/>
        </w:rPr>
        <w:t>of</w:t>
      </w:r>
      <w:r>
        <w:rPr>
          <w:rFonts w:ascii="Times New Roman" w:hAnsi="Times New Roman"/>
          <w:color w:val="231F20"/>
          <w:spacing w:val="-11"/>
          <w:sz w:val="21"/>
        </w:rPr>
        <w:t> </w:t>
      </w:r>
      <w:r>
        <w:rPr>
          <w:rFonts w:ascii="Times New Roman" w:hAnsi="Times New Roman"/>
          <w:color w:val="231F20"/>
          <w:spacing w:val="-2"/>
          <w:sz w:val="21"/>
        </w:rPr>
        <w:t>the</w:t>
      </w:r>
      <w:r>
        <w:rPr>
          <w:rFonts w:ascii="Times New Roman" w:hAnsi="Times New Roman"/>
          <w:color w:val="231F20"/>
          <w:spacing w:val="-11"/>
          <w:sz w:val="21"/>
        </w:rPr>
        <w:t> </w:t>
      </w:r>
      <w:r>
        <w:rPr>
          <w:rFonts w:ascii="Times New Roman" w:hAnsi="Times New Roman"/>
          <w:color w:val="231F20"/>
          <w:spacing w:val="-2"/>
          <w:sz w:val="21"/>
        </w:rPr>
        <w:t>time</w:t>
      </w:r>
      <w:r>
        <w:rPr>
          <w:rFonts w:ascii="Times New Roman" w:hAnsi="Times New Roman"/>
          <w:color w:val="231F20"/>
          <w:spacing w:val="-11"/>
          <w:sz w:val="21"/>
        </w:rPr>
        <w:t> </w:t>
      </w:r>
      <w:r>
        <w:rPr>
          <w:rFonts w:ascii="Times New Roman" w:hAnsi="Times New Roman"/>
          <w:color w:val="231F20"/>
          <w:spacing w:val="-2"/>
          <w:sz w:val="21"/>
        </w:rPr>
        <w:t>it</w:t>
      </w:r>
      <w:r>
        <w:rPr>
          <w:rFonts w:ascii="Times New Roman" w:hAnsi="Times New Roman"/>
          <w:color w:val="231F20"/>
          <w:spacing w:val="-11"/>
          <w:sz w:val="21"/>
        </w:rPr>
        <w:t> </w:t>
      </w:r>
      <w:r>
        <w:rPr>
          <w:rFonts w:ascii="Times New Roman" w:hAnsi="Times New Roman"/>
          <w:color w:val="231F20"/>
          <w:spacing w:val="-2"/>
          <w:sz w:val="21"/>
        </w:rPr>
        <w:t>takes </w:t>
      </w:r>
      <w:r>
        <w:rPr>
          <w:rFonts w:ascii="Times New Roman" w:hAnsi="Times New Roman"/>
          <w:color w:val="231F20"/>
          <w:w w:val="90"/>
          <w:sz w:val="21"/>
        </w:rPr>
        <w:t>to trade goods internationally is spent at sea. </w:t>
      </w:r>
      <w:r>
        <w:rPr>
          <w:rFonts w:ascii="Times New Roman" w:hAnsi="Times New Roman"/>
          <w:color w:val="231F20"/>
          <w:spacing w:val="-6"/>
          <w:sz w:val="21"/>
        </w:rPr>
        <w:t>But the biggest delays occur when contain- </w:t>
      </w:r>
      <w:r>
        <w:rPr>
          <w:rFonts w:ascii="Times New Roman" w:hAnsi="Times New Roman"/>
          <w:color w:val="231F20"/>
          <w:sz w:val="21"/>
        </w:rPr>
        <w:t>ers</w:t>
      </w:r>
      <w:r>
        <w:rPr>
          <w:rFonts w:ascii="Times New Roman" w:hAnsi="Times New Roman"/>
          <w:color w:val="231F20"/>
          <w:spacing w:val="-14"/>
          <w:sz w:val="21"/>
        </w:rPr>
        <w:t> </w:t>
      </w:r>
      <w:r>
        <w:rPr>
          <w:rFonts w:ascii="Times New Roman" w:hAnsi="Times New Roman"/>
          <w:color w:val="231F20"/>
          <w:sz w:val="21"/>
        </w:rPr>
        <w:t>are</w:t>
      </w:r>
      <w:r>
        <w:rPr>
          <w:rFonts w:ascii="Times New Roman" w:hAnsi="Times New Roman"/>
          <w:color w:val="231F20"/>
          <w:spacing w:val="-13"/>
          <w:sz w:val="21"/>
        </w:rPr>
        <w:t> </w:t>
      </w:r>
      <w:r>
        <w:rPr>
          <w:rFonts w:ascii="Times New Roman" w:hAnsi="Times New Roman"/>
          <w:color w:val="231F20"/>
          <w:sz w:val="21"/>
        </w:rPr>
        <w:t>held</w:t>
      </w:r>
      <w:r>
        <w:rPr>
          <w:rFonts w:ascii="Times New Roman" w:hAnsi="Times New Roman"/>
          <w:color w:val="231F20"/>
          <w:spacing w:val="-13"/>
          <w:sz w:val="21"/>
        </w:rPr>
        <w:t> </w:t>
      </w:r>
      <w:r>
        <w:rPr>
          <w:rFonts w:ascii="Times New Roman" w:hAnsi="Times New Roman"/>
          <w:color w:val="231F20"/>
          <w:sz w:val="21"/>
        </w:rPr>
        <w:t>up</w:t>
      </w:r>
      <w:r>
        <w:rPr>
          <w:rFonts w:ascii="Times New Roman" w:hAnsi="Times New Roman"/>
          <w:color w:val="231F20"/>
          <w:spacing w:val="-13"/>
          <w:sz w:val="21"/>
        </w:rPr>
        <w:t> </w:t>
      </w:r>
      <w:r>
        <w:rPr>
          <w:rFonts w:ascii="Times New Roman" w:hAnsi="Times New Roman"/>
          <w:color w:val="231F20"/>
          <w:sz w:val="21"/>
        </w:rPr>
        <w:t>at</w:t>
      </w:r>
      <w:r>
        <w:rPr>
          <w:rFonts w:ascii="Times New Roman" w:hAnsi="Times New Roman"/>
          <w:color w:val="231F20"/>
          <w:spacing w:val="-13"/>
          <w:sz w:val="21"/>
        </w:rPr>
        <w:t> </w:t>
      </w:r>
      <w:r>
        <w:rPr>
          <w:rFonts w:ascii="Times New Roman" w:hAnsi="Times New Roman"/>
          <w:color w:val="231F20"/>
          <w:sz w:val="21"/>
        </w:rPr>
        <w:t>the</w:t>
      </w:r>
      <w:r>
        <w:rPr>
          <w:rFonts w:ascii="Times New Roman" w:hAnsi="Times New Roman"/>
          <w:color w:val="231F20"/>
          <w:spacing w:val="-13"/>
          <w:sz w:val="21"/>
        </w:rPr>
        <w:t> </w:t>
      </w:r>
      <w:r>
        <w:rPr>
          <w:rFonts w:ascii="Times New Roman" w:hAnsi="Times New Roman"/>
          <w:color w:val="231F20"/>
          <w:sz w:val="21"/>
        </w:rPr>
        <w:t>origin</w:t>
      </w:r>
      <w:r>
        <w:rPr>
          <w:rFonts w:ascii="Times New Roman" w:hAnsi="Times New Roman"/>
          <w:color w:val="231F20"/>
          <w:spacing w:val="-13"/>
          <w:sz w:val="21"/>
        </w:rPr>
        <w:t> </w:t>
      </w:r>
      <w:r>
        <w:rPr>
          <w:rFonts w:ascii="Times New Roman" w:hAnsi="Times New Roman"/>
          <w:color w:val="231F20"/>
          <w:sz w:val="21"/>
        </w:rPr>
        <w:t>or</w:t>
      </w:r>
      <w:r>
        <w:rPr>
          <w:rFonts w:ascii="Times New Roman" w:hAnsi="Times New Roman"/>
          <w:color w:val="231F20"/>
          <w:spacing w:val="-13"/>
          <w:sz w:val="21"/>
        </w:rPr>
        <w:t> </w:t>
      </w:r>
      <w:r>
        <w:rPr>
          <w:rFonts w:ascii="Times New Roman" w:hAnsi="Times New Roman"/>
          <w:color w:val="231F20"/>
          <w:sz w:val="21"/>
        </w:rPr>
        <w:t>destination</w:t>
      </w:r>
    </w:p>
    <w:p>
      <w:pPr>
        <w:pStyle w:val="BodyText"/>
        <w:spacing w:line="268" w:lineRule="auto"/>
        <w:ind w:left="493" w:right="177"/>
        <w:jc w:val="both"/>
      </w:pPr>
      <w:r>
        <w:rPr>
          <w:color w:val="231F20"/>
        </w:rPr>
        <w:t>—at</w:t>
      </w:r>
      <w:r>
        <w:rPr>
          <w:color w:val="231F20"/>
          <w:spacing w:val="-11"/>
        </w:rPr>
        <w:t> </w:t>
      </w:r>
      <w:r>
        <w:rPr>
          <w:color w:val="231F20"/>
        </w:rPr>
        <w:t>ports,</w:t>
      </w:r>
      <w:r>
        <w:rPr>
          <w:color w:val="231F20"/>
          <w:spacing w:val="-11"/>
        </w:rPr>
        <w:t> </w:t>
      </w:r>
      <w:r>
        <w:rPr>
          <w:color w:val="231F20"/>
        </w:rPr>
        <w:t>airports,</w:t>
      </w:r>
      <w:r>
        <w:rPr>
          <w:color w:val="231F20"/>
          <w:spacing w:val="-11"/>
        </w:rPr>
        <w:t> </w:t>
      </w:r>
      <w:r>
        <w:rPr>
          <w:color w:val="231F20"/>
        </w:rPr>
        <w:t>or</w:t>
      </w:r>
      <w:r>
        <w:rPr>
          <w:color w:val="231F20"/>
          <w:spacing w:val="-11"/>
        </w:rPr>
        <w:t> </w:t>
      </w:r>
      <w:r>
        <w:rPr>
          <w:color w:val="231F20"/>
        </w:rPr>
        <w:t>multimodal</w:t>
      </w:r>
      <w:r>
        <w:rPr>
          <w:color w:val="231F20"/>
          <w:spacing w:val="-11"/>
        </w:rPr>
        <w:t> </w:t>
      </w:r>
      <w:r>
        <w:rPr>
          <w:color w:val="231F20"/>
        </w:rPr>
        <w:t>facili- </w:t>
      </w:r>
      <w:r>
        <w:rPr>
          <w:color w:val="231F20"/>
          <w:w w:val="90"/>
        </w:rPr>
        <w:t>ties. Policies targeting these facilities, such </w:t>
      </w:r>
      <w:r>
        <w:rPr>
          <w:color w:val="231F20"/>
          <w:spacing w:val="-2"/>
        </w:rPr>
        <w:t>as</w:t>
      </w:r>
      <w:r>
        <w:rPr>
          <w:color w:val="231F20"/>
          <w:spacing w:val="-9"/>
        </w:rPr>
        <w:t> </w:t>
      </w:r>
      <w:r>
        <w:rPr>
          <w:color w:val="231F20"/>
          <w:spacing w:val="-2"/>
        </w:rPr>
        <w:t>investing</w:t>
      </w:r>
      <w:r>
        <w:rPr>
          <w:color w:val="231F20"/>
          <w:spacing w:val="-9"/>
        </w:rPr>
        <w:t> </w:t>
      </w:r>
      <w:r>
        <w:rPr>
          <w:color w:val="231F20"/>
          <w:spacing w:val="-2"/>
        </w:rPr>
        <w:t>in</w:t>
      </w:r>
      <w:r>
        <w:rPr>
          <w:color w:val="231F20"/>
          <w:spacing w:val="-9"/>
        </w:rPr>
        <w:t> </w:t>
      </w:r>
      <w:r>
        <w:rPr>
          <w:color w:val="231F20"/>
          <w:spacing w:val="-2"/>
        </w:rPr>
        <w:t>port</w:t>
      </w:r>
      <w:r>
        <w:rPr>
          <w:color w:val="231F20"/>
          <w:spacing w:val="-9"/>
        </w:rPr>
        <w:t> </w:t>
      </w:r>
      <w:r>
        <w:rPr>
          <w:color w:val="231F20"/>
          <w:spacing w:val="-2"/>
        </w:rPr>
        <w:t>productivity,</w:t>
      </w:r>
      <w:r>
        <w:rPr>
          <w:color w:val="231F20"/>
          <w:spacing w:val="-9"/>
        </w:rPr>
        <w:t> </w:t>
      </w:r>
      <w:r>
        <w:rPr>
          <w:color w:val="231F20"/>
          <w:spacing w:val="-2"/>
        </w:rPr>
        <w:t>modern- izing</w:t>
      </w:r>
      <w:r>
        <w:rPr>
          <w:color w:val="231F20"/>
          <w:spacing w:val="-6"/>
        </w:rPr>
        <w:t> </w:t>
      </w:r>
      <w:r>
        <w:rPr>
          <w:color w:val="231F20"/>
          <w:spacing w:val="-2"/>
        </w:rPr>
        <w:t>customs,</w:t>
      </w:r>
      <w:r>
        <w:rPr>
          <w:color w:val="231F20"/>
          <w:spacing w:val="-6"/>
        </w:rPr>
        <w:t> </w:t>
      </w:r>
      <w:r>
        <w:rPr>
          <w:color w:val="231F20"/>
          <w:spacing w:val="-2"/>
        </w:rPr>
        <w:t>and</w:t>
      </w:r>
      <w:r>
        <w:rPr>
          <w:color w:val="231F20"/>
          <w:spacing w:val="-6"/>
        </w:rPr>
        <w:t> </w:t>
      </w:r>
      <w:r>
        <w:rPr>
          <w:color w:val="231F20"/>
          <w:spacing w:val="-2"/>
        </w:rPr>
        <w:t>new</w:t>
      </w:r>
      <w:r>
        <w:rPr>
          <w:color w:val="231F20"/>
          <w:spacing w:val="-6"/>
        </w:rPr>
        <w:t> </w:t>
      </w:r>
      <w:r>
        <w:rPr>
          <w:color w:val="231F20"/>
          <w:spacing w:val="-2"/>
        </w:rPr>
        <w:t>technologies,</w:t>
      </w:r>
      <w:r>
        <w:rPr>
          <w:color w:val="231F20"/>
          <w:spacing w:val="-6"/>
        </w:rPr>
        <w:t> </w:t>
      </w:r>
      <w:r>
        <w:rPr>
          <w:color w:val="231F20"/>
          <w:spacing w:val="-2"/>
        </w:rPr>
        <w:t>can </w:t>
      </w:r>
      <w:r>
        <w:rPr>
          <w:color w:val="231F20"/>
        </w:rPr>
        <w:t>improve</w:t>
      </w:r>
      <w:r>
        <w:rPr>
          <w:color w:val="231F20"/>
          <w:spacing w:val="-14"/>
        </w:rPr>
        <w:t> </w:t>
      </w:r>
      <w:r>
        <w:rPr>
          <w:color w:val="231F20"/>
        </w:rPr>
        <w:t>reliability.</w:t>
      </w:r>
    </w:p>
    <w:p>
      <w:pPr>
        <w:pStyle w:val="BodyText"/>
        <w:spacing w:before="2"/>
      </w:pPr>
    </w:p>
    <w:p>
      <w:pPr>
        <w:pStyle w:val="ListParagraph"/>
        <w:numPr>
          <w:ilvl w:val="0"/>
          <w:numId w:val="7"/>
        </w:numPr>
        <w:tabs>
          <w:tab w:pos="493" w:val="left" w:leader="none"/>
        </w:tabs>
        <w:spacing w:line="268" w:lineRule="auto" w:before="0" w:after="0"/>
        <w:ind w:left="493" w:right="174" w:hanging="300"/>
        <w:jc w:val="both"/>
        <w:rPr>
          <w:rFonts w:ascii="Times New Roman" w:hAnsi="Times New Roman"/>
          <w:sz w:val="21"/>
        </w:rPr>
      </w:pPr>
      <w:r>
        <w:rPr>
          <w:rFonts w:ascii="Times New Roman" w:hAnsi="Times New Roman"/>
          <w:b/>
          <w:color w:val="231F20"/>
          <w:spacing w:val="-4"/>
          <w:sz w:val="21"/>
        </w:rPr>
        <w:t>Performance</w:t>
      </w:r>
      <w:r>
        <w:rPr>
          <w:rFonts w:ascii="Times New Roman" w:hAnsi="Times New Roman"/>
          <w:b/>
          <w:color w:val="231F20"/>
          <w:spacing w:val="-8"/>
          <w:sz w:val="21"/>
        </w:rPr>
        <w:t> </w:t>
      </w:r>
      <w:r>
        <w:rPr>
          <w:rFonts w:ascii="Times New Roman" w:hAnsi="Times New Roman"/>
          <w:b/>
          <w:color w:val="231F20"/>
          <w:spacing w:val="-4"/>
          <w:sz w:val="21"/>
        </w:rPr>
        <w:t>transcends</w:t>
      </w:r>
      <w:r>
        <w:rPr>
          <w:rFonts w:ascii="Times New Roman" w:hAnsi="Times New Roman"/>
          <w:b/>
          <w:color w:val="231F20"/>
          <w:spacing w:val="-8"/>
          <w:sz w:val="21"/>
        </w:rPr>
        <w:t> </w:t>
      </w:r>
      <w:r>
        <w:rPr>
          <w:rFonts w:ascii="Times New Roman" w:hAnsi="Times New Roman"/>
          <w:b/>
          <w:color w:val="231F20"/>
          <w:spacing w:val="-4"/>
          <w:sz w:val="21"/>
        </w:rPr>
        <w:t>income.</w:t>
      </w:r>
      <w:r>
        <w:rPr>
          <w:rFonts w:ascii="Times New Roman" w:hAnsi="Times New Roman"/>
          <w:b/>
          <w:color w:val="231F20"/>
          <w:spacing w:val="-8"/>
          <w:sz w:val="21"/>
        </w:rPr>
        <w:t> </w:t>
      </w:r>
      <w:r>
        <w:rPr>
          <w:rFonts w:ascii="Times New Roman" w:hAnsi="Times New Roman"/>
          <w:color w:val="231F20"/>
          <w:spacing w:val="-4"/>
          <w:sz w:val="21"/>
        </w:rPr>
        <w:t>This</w:t>
      </w:r>
      <w:r>
        <w:rPr>
          <w:rFonts w:ascii="Times New Roman" w:hAnsi="Times New Roman"/>
          <w:color w:val="231F20"/>
          <w:spacing w:val="-7"/>
          <w:sz w:val="21"/>
        </w:rPr>
        <w:t> </w:t>
      </w:r>
      <w:r>
        <w:rPr>
          <w:rFonts w:ascii="Times New Roman" w:hAnsi="Times New Roman"/>
          <w:color w:val="231F20"/>
          <w:spacing w:val="-4"/>
          <w:sz w:val="21"/>
        </w:rPr>
        <w:t>is </w:t>
      </w:r>
      <w:r>
        <w:rPr>
          <w:rFonts w:ascii="Times New Roman" w:hAnsi="Times New Roman"/>
          <w:color w:val="231F20"/>
          <w:sz w:val="21"/>
        </w:rPr>
        <w:t>especially</w:t>
      </w:r>
      <w:r>
        <w:rPr>
          <w:rFonts w:ascii="Times New Roman" w:hAnsi="Times New Roman"/>
          <w:color w:val="231F20"/>
          <w:spacing w:val="-10"/>
          <w:sz w:val="21"/>
        </w:rPr>
        <w:t> </w:t>
      </w:r>
      <w:r>
        <w:rPr>
          <w:rFonts w:ascii="Times New Roman" w:hAnsi="Times New Roman"/>
          <w:color w:val="231F20"/>
          <w:sz w:val="21"/>
        </w:rPr>
        <w:t>apparent</w:t>
      </w:r>
      <w:r>
        <w:rPr>
          <w:rFonts w:ascii="Times New Roman" w:hAnsi="Times New Roman"/>
          <w:color w:val="231F20"/>
          <w:spacing w:val="-10"/>
          <w:sz w:val="21"/>
        </w:rPr>
        <w:t> </w:t>
      </w:r>
      <w:r>
        <w:rPr>
          <w:rFonts w:ascii="Times New Roman" w:hAnsi="Times New Roman"/>
          <w:color w:val="231F20"/>
          <w:sz w:val="21"/>
        </w:rPr>
        <w:t>with</w:t>
      </w:r>
      <w:r>
        <w:rPr>
          <w:rFonts w:ascii="Times New Roman" w:hAnsi="Times New Roman"/>
          <w:color w:val="231F20"/>
          <w:spacing w:val="-10"/>
          <w:sz w:val="21"/>
        </w:rPr>
        <w:t> </w:t>
      </w:r>
      <w:r>
        <w:rPr>
          <w:rFonts w:ascii="Times New Roman" w:hAnsi="Times New Roman"/>
          <w:color w:val="231F20"/>
          <w:sz w:val="21"/>
        </w:rPr>
        <w:t>new</w:t>
      </w:r>
      <w:r>
        <w:rPr>
          <w:rFonts w:ascii="Times New Roman" w:hAnsi="Times New Roman"/>
          <w:color w:val="231F20"/>
          <w:spacing w:val="-10"/>
          <w:sz w:val="21"/>
        </w:rPr>
        <w:t> </w:t>
      </w:r>
      <w:r>
        <w:rPr>
          <w:rFonts w:ascii="Times New Roman" w:hAnsi="Times New Roman"/>
          <w:color w:val="231F20"/>
          <w:sz w:val="21"/>
        </w:rPr>
        <w:t>key</w:t>
      </w:r>
      <w:r>
        <w:rPr>
          <w:rFonts w:ascii="Times New Roman" w:hAnsi="Times New Roman"/>
          <w:color w:val="231F20"/>
          <w:spacing w:val="-10"/>
          <w:sz w:val="21"/>
        </w:rPr>
        <w:t> </w:t>
      </w:r>
      <w:r>
        <w:rPr>
          <w:rFonts w:ascii="Times New Roman" w:hAnsi="Times New Roman"/>
          <w:color w:val="231F20"/>
          <w:sz w:val="21"/>
        </w:rPr>
        <w:t>perfor- </w:t>
      </w:r>
      <w:r>
        <w:rPr>
          <w:rFonts w:ascii="Times New Roman" w:hAnsi="Times New Roman"/>
          <w:color w:val="231F20"/>
          <w:spacing w:val="-6"/>
          <w:sz w:val="21"/>
        </w:rPr>
        <w:t>mance indicators, such as the time contain- </w:t>
      </w:r>
      <w:r>
        <w:rPr>
          <w:rFonts w:ascii="Times New Roman" w:hAnsi="Times New Roman"/>
          <w:color w:val="231F20"/>
          <w:sz w:val="21"/>
        </w:rPr>
        <w:t>ers</w:t>
      </w:r>
      <w:r>
        <w:rPr>
          <w:rFonts w:ascii="Times New Roman" w:hAnsi="Times New Roman"/>
          <w:color w:val="231F20"/>
          <w:spacing w:val="-11"/>
          <w:sz w:val="21"/>
        </w:rPr>
        <w:t> </w:t>
      </w:r>
      <w:r>
        <w:rPr>
          <w:rFonts w:ascii="Times New Roman" w:hAnsi="Times New Roman"/>
          <w:color w:val="231F20"/>
          <w:sz w:val="21"/>
        </w:rPr>
        <w:t>spent</w:t>
      </w:r>
      <w:r>
        <w:rPr>
          <w:rFonts w:ascii="Times New Roman" w:hAnsi="Times New Roman"/>
          <w:color w:val="231F20"/>
          <w:spacing w:val="-11"/>
          <w:sz w:val="21"/>
        </w:rPr>
        <w:t> </w:t>
      </w:r>
      <w:r>
        <w:rPr>
          <w:rFonts w:ascii="Times New Roman" w:hAnsi="Times New Roman"/>
          <w:color w:val="231F20"/>
          <w:sz w:val="21"/>
        </w:rPr>
        <w:t>in</w:t>
      </w:r>
      <w:r>
        <w:rPr>
          <w:rFonts w:ascii="Times New Roman" w:hAnsi="Times New Roman"/>
          <w:color w:val="231F20"/>
          <w:spacing w:val="-11"/>
          <w:sz w:val="21"/>
        </w:rPr>
        <w:t> </w:t>
      </w:r>
      <w:r>
        <w:rPr>
          <w:rFonts w:ascii="Times New Roman" w:hAnsi="Times New Roman"/>
          <w:color w:val="231F20"/>
          <w:sz w:val="21"/>
        </w:rPr>
        <w:t>ports</w:t>
      </w:r>
      <w:r>
        <w:rPr>
          <w:rFonts w:ascii="Times New Roman" w:hAnsi="Times New Roman"/>
          <w:color w:val="231F20"/>
          <w:spacing w:val="-11"/>
          <w:sz w:val="21"/>
        </w:rPr>
        <w:t> </w:t>
      </w:r>
      <w:r>
        <w:rPr>
          <w:rFonts w:ascii="Times New Roman" w:hAnsi="Times New Roman"/>
          <w:color w:val="231F20"/>
          <w:sz w:val="21"/>
        </w:rPr>
        <w:t>(dwell</w:t>
      </w:r>
      <w:r>
        <w:rPr>
          <w:rFonts w:ascii="Times New Roman" w:hAnsi="Times New Roman"/>
          <w:color w:val="231F20"/>
          <w:spacing w:val="-11"/>
          <w:sz w:val="21"/>
        </w:rPr>
        <w:t> </w:t>
      </w:r>
      <w:r>
        <w:rPr>
          <w:rFonts w:ascii="Times New Roman" w:hAnsi="Times New Roman"/>
          <w:color w:val="231F20"/>
          <w:sz w:val="21"/>
        </w:rPr>
        <w:t>time).</w:t>
      </w:r>
      <w:r>
        <w:rPr>
          <w:rFonts w:ascii="Times New Roman" w:hAnsi="Times New Roman"/>
          <w:color w:val="231F20"/>
          <w:spacing w:val="-11"/>
          <w:sz w:val="21"/>
        </w:rPr>
        <w:t> </w:t>
      </w:r>
      <w:r>
        <w:rPr>
          <w:rFonts w:ascii="Times New Roman" w:hAnsi="Times New Roman"/>
          <w:color w:val="231F20"/>
          <w:sz w:val="21"/>
        </w:rPr>
        <w:t>Emerging</w:t>
      </w:r>
    </w:p>
    <w:p>
      <w:pPr>
        <w:spacing w:after="0" w:line="268" w:lineRule="auto"/>
        <w:jc w:val="both"/>
        <w:rPr>
          <w:rFonts w:ascii="Times New Roman" w:hAnsi="Times New Roman"/>
          <w:sz w:val="21"/>
        </w:rPr>
        <w:sectPr>
          <w:type w:val="continuous"/>
          <w:pgSz w:w="12240" w:h="15840"/>
          <w:pgMar w:header="1196" w:footer="548" w:top="1140" w:bottom="280" w:left="0" w:right="540"/>
          <w:cols w:num="2" w:equalWidth="0">
            <w:col w:w="7567" w:space="40"/>
            <w:col w:w="4093"/>
          </w:cols>
        </w:sectPr>
      </w:pPr>
    </w:p>
    <w:p>
      <w:pPr>
        <w:spacing w:before="87"/>
        <w:ind w:left="720" w:right="0" w:firstLine="0"/>
        <w:jc w:val="left"/>
        <w:rPr>
          <w:rFonts w:ascii="Arial"/>
          <w:sz w:val="12"/>
        </w:rPr>
      </w:pPr>
      <w:r>
        <w:rPr>
          <w:rFonts w:ascii="Arial"/>
          <w:color w:val="008FDD"/>
          <w:sz w:val="12"/>
        </w:rPr>
        <w:t>Table</w:t>
      </w:r>
      <w:r>
        <w:rPr>
          <w:rFonts w:ascii="Arial"/>
          <w:color w:val="008FDD"/>
          <w:spacing w:val="11"/>
          <w:sz w:val="12"/>
        </w:rPr>
        <w:t> </w:t>
      </w:r>
      <w:r>
        <w:rPr>
          <w:rFonts w:ascii="Arial"/>
          <w:color w:val="008FDD"/>
          <w:sz w:val="12"/>
        </w:rPr>
        <w:t>of</w:t>
      </w:r>
      <w:r>
        <w:rPr>
          <w:rFonts w:ascii="Arial"/>
          <w:color w:val="008FDD"/>
          <w:spacing w:val="11"/>
          <w:sz w:val="12"/>
        </w:rPr>
        <w:t> </w:t>
      </w:r>
      <w:r>
        <w:rPr>
          <w:rFonts w:ascii="Arial"/>
          <w:color w:val="008FDD"/>
          <w:spacing w:val="-2"/>
          <w:sz w:val="12"/>
        </w:rPr>
        <w:t>contents</w:t>
      </w:r>
    </w:p>
    <w:p>
      <w:pPr>
        <w:pStyle w:val="BodyText"/>
        <w:rPr>
          <w:rFonts w:ascii="Arial"/>
          <w:sz w:val="20"/>
        </w:rPr>
      </w:pPr>
    </w:p>
    <w:p>
      <w:pPr>
        <w:pStyle w:val="BodyText"/>
        <w:rPr>
          <w:rFonts w:ascii="Arial"/>
          <w:sz w:val="20"/>
        </w:rPr>
      </w:pPr>
    </w:p>
    <w:p>
      <w:pPr>
        <w:pStyle w:val="BodyText"/>
        <w:spacing w:before="42"/>
        <w:rPr>
          <w:rFonts w:ascii="Arial"/>
          <w:sz w:val="20"/>
        </w:rPr>
      </w:pPr>
    </w:p>
    <w:p>
      <w:pPr>
        <w:spacing w:after="0"/>
        <w:rPr>
          <w:rFonts w:ascii="Arial"/>
          <w:sz w:val="20"/>
        </w:rPr>
        <w:sectPr>
          <w:headerReference w:type="even" r:id="rId32"/>
          <w:pgSz w:w="12240" w:h="15840"/>
          <w:pgMar w:header="0" w:footer="0" w:top="340" w:bottom="740" w:left="0" w:right="540"/>
        </w:sectPr>
      </w:pPr>
    </w:p>
    <w:p>
      <w:pPr>
        <w:pStyle w:val="BodyText"/>
        <w:spacing w:line="268" w:lineRule="auto" w:before="97"/>
        <w:ind w:left="3660"/>
        <w:jc w:val="both"/>
      </w:pPr>
      <w:r>
        <w:rPr>
          <w:color w:val="231F20"/>
          <w:spacing w:val="-6"/>
        </w:rPr>
        <w:t>economies tend to have shorter delays than </w:t>
      </w:r>
      <w:r>
        <w:rPr>
          <w:color w:val="231F20"/>
          <w:w w:val="90"/>
        </w:rPr>
        <w:t>industrialized economies, possibly because</w:t>
      </w:r>
      <w:r>
        <w:rPr>
          <w:color w:val="231F20"/>
        </w:rPr>
        <w:t> </w:t>
      </w:r>
      <w:r>
        <w:rPr>
          <w:color w:val="231F20"/>
          <w:w w:val="90"/>
        </w:rPr>
        <w:t>of the lingering effects of the 2021–22 sup- </w:t>
      </w:r>
      <w:r>
        <w:rPr>
          <w:color w:val="231F20"/>
          <w:spacing w:val="-2"/>
        </w:rPr>
        <w:t>ply</w:t>
      </w:r>
      <w:r>
        <w:rPr>
          <w:color w:val="231F20"/>
          <w:spacing w:val="-10"/>
        </w:rPr>
        <w:t> </w:t>
      </w:r>
      <w:r>
        <w:rPr>
          <w:color w:val="231F20"/>
          <w:spacing w:val="-2"/>
        </w:rPr>
        <w:t>chain</w:t>
      </w:r>
      <w:r>
        <w:rPr>
          <w:color w:val="231F20"/>
          <w:spacing w:val="-10"/>
        </w:rPr>
        <w:t> </w:t>
      </w:r>
      <w:r>
        <w:rPr>
          <w:color w:val="231F20"/>
          <w:spacing w:val="-2"/>
        </w:rPr>
        <w:t>crisis,</w:t>
      </w:r>
      <w:r>
        <w:rPr>
          <w:color w:val="231F20"/>
          <w:spacing w:val="-10"/>
        </w:rPr>
        <w:t> </w:t>
      </w:r>
      <w:r>
        <w:rPr>
          <w:color w:val="231F20"/>
          <w:spacing w:val="-2"/>
        </w:rPr>
        <w:t>the</w:t>
      </w:r>
      <w:r>
        <w:rPr>
          <w:color w:val="231F20"/>
          <w:spacing w:val="-10"/>
        </w:rPr>
        <w:t> </w:t>
      </w:r>
      <w:r>
        <w:rPr>
          <w:color w:val="231F20"/>
          <w:spacing w:val="-2"/>
        </w:rPr>
        <w:t>effects</w:t>
      </w:r>
      <w:r>
        <w:rPr>
          <w:color w:val="231F20"/>
          <w:spacing w:val="-10"/>
        </w:rPr>
        <w:t> </w:t>
      </w:r>
      <w:r>
        <w:rPr>
          <w:color w:val="231F20"/>
          <w:spacing w:val="-2"/>
        </w:rPr>
        <w:t>of</w:t>
      </w:r>
      <w:r>
        <w:rPr>
          <w:color w:val="231F20"/>
          <w:spacing w:val="-10"/>
        </w:rPr>
        <w:t> </w:t>
      </w:r>
      <w:r>
        <w:rPr>
          <w:color w:val="231F20"/>
          <w:spacing w:val="-2"/>
        </w:rPr>
        <w:t>Russia’s</w:t>
      </w:r>
      <w:r>
        <w:rPr>
          <w:color w:val="231F20"/>
          <w:spacing w:val="-10"/>
        </w:rPr>
        <w:t> </w:t>
      </w:r>
      <w:r>
        <w:rPr>
          <w:color w:val="231F20"/>
          <w:spacing w:val="-2"/>
        </w:rPr>
        <w:t>in- </w:t>
      </w:r>
      <w:r>
        <w:rPr>
          <w:color w:val="231F20"/>
        </w:rPr>
        <w:t>vasion</w:t>
      </w:r>
      <w:r>
        <w:rPr>
          <w:color w:val="231F20"/>
          <w:spacing w:val="-11"/>
        </w:rPr>
        <w:t> </w:t>
      </w:r>
      <w:r>
        <w:rPr>
          <w:color w:val="231F20"/>
        </w:rPr>
        <w:t>of</w:t>
      </w:r>
      <w:r>
        <w:rPr>
          <w:color w:val="231F20"/>
          <w:spacing w:val="-12"/>
        </w:rPr>
        <w:t> </w:t>
      </w:r>
      <w:r>
        <w:rPr>
          <w:color w:val="231F20"/>
        </w:rPr>
        <w:t>Ukraine</w:t>
      </w:r>
      <w:r>
        <w:rPr>
          <w:color w:val="231F20"/>
          <w:spacing w:val="-11"/>
        </w:rPr>
        <w:t> </w:t>
      </w:r>
      <w:r>
        <w:rPr>
          <w:color w:val="231F20"/>
        </w:rPr>
        <w:t>on</w:t>
      </w:r>
      <w:r>
        <w:rPr>
          <w:color w:val="231F20"/>
          <w:spacing w:val="-12"/>
        </w:rPr>
        <w:t> </w:t>
      </w:r>
      <w:r>
        <w:rPr>
          <w:color w:val="231F20"/>
        </w:rPr>
        <w:t>logistics</w:t>
      </w:r>
      <w:r>
        <w:rPr>
          <w:color w:val="231F20"/>
          <w:spacing w:val="-11"/>
        </w:rPr>
        <w:t> </w:t>
      </w:r>
      <w:r>
        <w:rPr>
          <w:color w:val="231F20"/>
        </w:rPr>
        <w:t>in</w:t>
      </w:r>
      <w:r>
        <w:rPr>
          <w:color w:val="231F20"/>
          <w:spacing w:val="-12"/>
        </w:rPr>
        <w:t> </w:t>
      </w:r>
      <w:r>
        <w:rPr>
          <w:color w:val="231F20"/>
        </w:rPr>
        <w:t>Europe, and</w:t>
      </w:r>
      <w:r>
        <w:rPr>
          <w:color w:val="231F20"/>
          <w:spacing w:val="-6"/>
        </w:rPr>
        <w:t> </w:t>
      </w:r>
      <w:r>
        <w:rPr>
          <w:color w:val="231F20"/>
        </w:rPr>
        <w:t>the</w:t>
      </w:r>
      <w:r>
        <w:rPr>
          <w:color w:val="231F20"/>
          <w:spacing w:val="-6"/>
        </w:rPr>
        <w:t> </w:t>
      </w:r>
      <w:r>
        <w:rPr>
          <w:color w:val="231F20"/>
        </w:rPr>
        <w:t>leapfrogging</w:t>
      </w:r>
      <w:r>
        <w:rPr>
          <w:color w:val="231F20"/>
          <w:spacing w:val="-5"/>
        </w:rPr>
        <w:t> </w:t>
      </w:r>
      <w:r>
        <w:rPr>
          <w:color w:val="231F20"/>
        </w:rPr>
        <w:t>of</w:t>
      </w:r>
      <w:r>
        <w:rPr>
          <w:color w:val="231F20"/>
          <w:spacing w:val="-6"/>
        </w:rPr>
        <w:t> </w:t>
      </w:r>
      <w:r>
        <w:rPr>
          <w:color w:val="231F20"/>
        </w:rPr>
        <w:t>richer</w:t>
      </w:r>
      <w:r>
        <w:rPr>
          <w:color w:val="231F20"/>
          <w:spacing w:val="-5"/>
        </w:rPr>
        <w:t> </w:t>
      </w:r>
      <w:r>
        <w:rPr>
          <w:color w:val="231F20"/>
          <w:spacing w:val="-4"/>
        </w:rPr>
        <w:t>economies</w:t>
      </w:r>
    </w:p>
    <w:p>
      <w:pPr>
        <w:pStyle w:val="BodyText"/>
        <w:spacing w:line="268" w:lineRule="auto" w:before="97"/>
        <w:ind w:left="499" w:right="657"/>
        <w:jc w:val="both"/>
      </w:pPr>
      <w:r>
        <w:rPr/>
        <w:br w:type="column"/>
      </w:r>
      <w:r>
        <w:rPr>
          <w:color w:val="231F20"/>
        </w:rPr>
        <w:t>in port productivity and digitalization of </w:t>
      </w:r>
      <w:r>
        <w:rPr>
          <w:color w:val="231F20"/>
          <w:spacing w:val="-2"/>
        </w:rPr>
        <w:t>end-to-end</w:t>
      </w:r>
      <w:r>
        <w:rPr>
          <w:color w:val="231F20"/>
          <w:spacing w:val="-12"/>
        </w:rPr>
        <w:t> </w:t>
      </w:r>
      <w:r>
        <w:rPr>
          <w:color w:val="231F20"/>
          <w:spacing w:val="-2"/>
        </w:rPr>
        <w:t>supply</w:t>
      </w:r>
      <w:r>
        <w:rPr>
          <w:color w:val="231F20"/>
          <w:spacing w:val="-11"/>
        </w:rPr>
        <w:t> </w:t>
      </w:r>
      <w:r>
        <w:rPr>
          <w:color w:val="231F20"/>
          <w:spacing w:val="-2"/>
        </w:rPr>
        <w:t>chains.</w:t>
      </w:r>
      <w:r>
        <w:rPr>
          <w:color w:val="231F20"/>
          <w:spacing w:val="-11"/>
        </w:rPr>
        <w:t> </w:t>
      </w:r>
      <w:r>
        <w:rPr>
          <w:color w:val="231F20"/>
          <w:spacing w:val="-2"/>
        </w:rPr>
        <w:t>Middle-income </w:t>
      </w:r>
      <w:r>
        <w:rPr>
          <w:color w:val="231F20"/>
        </w:rPr>
        <w:t>countries with consistent performance across</w:t>
      </w:r>
      <w:r>
        <w:rPr>
          <w:color w:val="231F20"/>
          <w:spacing w:val="-14"/>
        </w:rPr>
        <w:t> </w:t>
      </w:r>
      <w:r>
        <w:rPr>
          <w:color w:val="231F20"/>
        </w:rPr>
        <w:t>the</w:t>
      </w:r>
      <w:r>
        <w:rPr>
          <w:color w:val="231F20"/>
          <w:spacing w:val="-13"/>
        </w:rPr>
        <w:t> </w:t>
      </w:r>
      <w:r>
        <w:rPr>
          <w:color w:val="231F20"/>
        </w:rPr>
        <w:t>six</w:t>
      </w:r>
      <w:r>
        <w:rPr>
          <w:color w:val="231F20"/>
          <w:spacing w:val="-13"/>
        </w:rPr>
        <w:t> </w:t>
      </w:r>
      <w:r>
        <w:rPr>
          <w:color w:val="231F20"/>
        </w:rPr>
        <w:t>LPI</w:t>
      </w:r>
      <w:r>
        <w:rPr>
          <w:color w:val="231F20"/>
          <w:spacing w:val="-13"/>
        </w:rPr>
        <w:t> </w:t>
      </w:r>
      <w:r>
        <w:rPr>
          <w:color w:val="231F20"/>
        </w:rPr>
        <w:t>components</w:t>
      </w:r>
      <w:r>
        <w:rPr>
          <w:color w:val="231F20"/>
          <w:spacing w:val="-13"/>
        </w:rPr>
        <w:t> </w:t>
      </w:r>
      <w:r>
        <w:rPr>
          <w:color w:val="231F20"/>
        </w:rPr>
        <w:t>could</w:t>
      </w:r>
      <w:r>
        <w:rPr>
          <w:color w:val="231F20"/>
          <w:spacing w:val="-13"/>
        </w:rPr>
        <w:t> </w:t>
      </w:r>
      <w:r>
        <w:rPr>
          <w:color w:val="231F20"/>
        </w:rPr>
        <w:t>out- perform both their peers and more ad- vanced</w:t>
      </w:r>
      <w:r>
        <w:rPr>
          <w:color w:val="231F20"/>
          <w:spacing w:val="-6"/>
        </w:rPr>
        <w:t> </w:t>
      </w:r>
      <w:r>
        <w:rPr>
          <w:color w:val="231F20"/>
        </w:rPr>
        <w:t>countries.</w:t>
      </w:r>
    </w:p>
    <w:p>
      <w:pPr>
        <w:spacing w:after="0" w:line="268" w:lineRule="auto"/>
        <w:jc w:val="both"/>
        <w:sectPr>
          <w:type w:val="continuous"/>
          <w:pgSz w:w="12240" w:h="15840"/>
          <w:pgMar w:header="0" w:footer="0" w:top="1140" w:bottom="280" w:left="0" w:right="540"/>
          <w:cols w:num="2" w:equalWidth="0">
            <w:col w:w="7081" w:space="40"/>
            <w:col w:w="457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7"/>
        <w:rPr>
          <w:sz w:val="20"/>
        </w:rPr>
      </w:pPr>
    </w:p>
    <w:p>
      <w:pPr>
        <w:spacing w:after="0"/>
        <w:rPr>
          <w:sz w:val="20"/>
        </w:rPr>
        <w:sectPr>
          <w:headerReference w:type="default" r:id="rId33"/>
          <w:footerReference w:type="default" r:id="rId34"/>
          <w:pgSz w:w="12240" w:h="15840"/>
          <w:pgMar w:header="1196" w:footer="548" w:top="2120" w:bottom="740" w:left="0" w:right="540"/>
          <w:pgNumType w:start="11"/>
        </w:sectPr>
      </w:pPr>
    </w:p>
    <w:p>
      <w:pPr>
        <w:pStyle w:val="ListParagraph"/>
        <w:numPr>
          <w:ilvl w:val="1"/>
          <w:numId w:val="7"/>
        </w:numPr>
        <w:tabs>
          <w:tab w:pos="4140" w:val="left" w:leader="none"/>
        </w:tabs>
        <w:spacing w:line="268" w:lineRule="auto" w:before="97" w:after="0"/>
        <w:ind w:left="4140" w:right="0" w:hanging="300"/>
        <w:jc w:val="both"/>
        <w:rPr>
          <w:rFonts w:ascii="Times New Roman" w:hAnsi="Times New Roman"/>
          <w:sz w:val="21"/>
        </w:rPr>
      </w:pPr>
      <w:r>
        <w:rPr>
          <w:rFonts w:ascii="Times New Roman" w:hAnsi="Times New Roman"/>
          <w:b/>
          <w:color w:val="231F20"/>
          <w:sz w:val="21"/>
        </w:rPr>
        <w:t>Improving</w:t>
      </w:r>
      <w:r>
        <w:rPr>
          <w:rFonts w:ascii="Times New Roman" w:hAnsi="Times New Roman"/>
          <w:b/>
          <w:color w:val="231F20"/>
          <w:spacing w:val="-14"/>
          <w:sz w:val="21"/>
        </w:rPr>
        <w:t> </w:t>
      </w:r>
      <w:r>
        <w:rPr>
          <w:rFonts w:ascii="Times New Roman" w:hAnsi="Times New Roman"/>
          <w:b/>
          <w:color w:val="231F20"/>
          <w:sz w:val="21"/>
        </w:rPr>
        <w:t>customs</w:t>
      </w:r>
      <w:r>
        <w:rPr>
          <w:rFonts w:ascii="Times New Roman" w:hAnsi="Times New Roman"/>
          <w:b/>
          <w:color w:val="231F20"/>
          <w:spacing w:val="-13"/>
          <w:sz w:val="21"/>
        </w:rPr>
        <w:t> </w:t>
      </w:r>
      <w:r>
        <w:rPr>
          <w:rFonts w:ascii="Times New Roman" w:hAnsi="Times New Roman"/>
          <w:b/>
          <w:color w:val="231F20"/>
          <w:sz w:val="21"/>
        </w:rPr>
        <w:t>and</w:t>
      </w:r>
      <w:r>
        <w:rPr>
          <w:rFonts w:ascii="Times New Roman" w:hAnsi="Times New Roman"/>
          <w:b/>
          <w:color w:val="231F20"/>
          <w:spacing w:val="-13"/>
          <w:sz w:val="21"/>
        </w:rPr>
        <w:t> </w:t>
      </w:r>
      <w:r>
        <w:rPr>
          <w:rFonts w:ascii="Times New Roman" w:hAnsi="Times New Roman"/>
          <w:b/>
          <w:color w:val="231F20"/>
          <w:sz w:val="21"/>
        </w:rPr>
        <w:t>infrastructure </w:t>
      </w:r>
      <w:r>
        <w:rPr>
          <w:rFonts w:ascii="Times New Roman" w:hAnsi="Times New Roman"/>
          <w:b/>
          <w:color w:val="231F20"/>
          <w:w w:val="90"/>
          <w:sz w:val="21"/>
        </w:rPr>
        <w:t>matters most for raising the overall score </w:t>
      </w:r>
      <w:r>
        <w:rPr>
          <w:rFonts w:ascii="Times New Roman" w:hAnsi="Times New Roman"/>
          <w:b/>
          <w:color w:val="231F20"/>
          <w:spacing w:val="-2"/>
          <w:sz w:val="21"/>
        </w:rPr>
        <w:t>of</w:t>
      </w:r>
      <w:r>
        <w:rPr>
          <w:rFonts w:ascii="Times New Roman" w:hAnsi="Times New Roman"/>
          <w:b/>
          <w:color w:val="231F20"/>
          <w:spacing w:val="-10"/>
          <w:sz w:val="21"/>
        </w:rPr>
        <w:t> </w:t>
      </w:r>
      <w:r>
        <w:rPr>
          <w:rFonts w:ascii="Times New Roman" w:hAnsi="Times New Roman"/>
          <w:b/>
          <w:color w:val="231F20"/>
          <w:spacing w:val="-2"/>
          <w:sz w:val="21"/>
        </w:rPr>
        <w:t>bottom</w:t>
      </w:r>
      <w:r>
        <w:rPr>
          <w:rFonts w:ascii="Times New Roman" w:hAnsi="Times New Roman"/>
          <w:b/>
          <w:color w:val="231F20"/>
          <w:spacing w:val="-10"/>
          <w:sz w:val="21"/>
        </w:rPr>
        <w:t> </w:t>
      </w:r>
      <w:r>
        <w:rPr>
          <w:rFonts w:ascii="Times New Roman" w:hAnsi="Times New Roman"/>
          <w:b/>
          <w:color w:val="231F20"/>
          <w:spacing w:val="-2"/>
          <w:sz w:val="21"/>
        </w:rPr>
        <w:t>performers.</w:t>
      </w:r>
      <w:r>
        <w:rPr>
          <w:rFonts w:ascii="Times New Roman" w:hAnsi="Times New Roman"/>
          <w:b/>
          <w:color w:val="231F20"/>
          <w:spacing w:val="-10"/>
          <w:sz w:val="21"/>
        </w:rPr>
        <w:t> </w:t>
      </w:r>
      <w:r>
        <w:rPr>
          <w:rFonts w:ascii="Times New Roman" w:hAnsi="Times New Roman"/>
          <w:color w:val="231F20"/>
          <w:spacing w:val="-2"/>
          <w:sz w:val="21"/>
        </w:rPr>
        <w:t>The</w:t>
      </w:r>
      <w:r>
        <w:rPr>
          <w:rFonts w:ascii="Times New Roman" w:hAnsi="Times New Roman"/>
          <w:color w:val="231F20"/>
          <w:spacing w:val="-7"/>
          <w:sz w:val="21"/>
        </w:rPr>
        <w:t> </w:t>
      </w:r>
      <w:r>
        <w:rPr>
          <w:rFonts w:ascii="Times New Roman" w:hAnsi="Times New Roman"/>
          <w:color w:val="231F20"/>
          <w:spacing w:val="-2"/>
          <w:sz w:val="21"/>
        </w:rPr>
        <w:t>performance </w:t>
      </w:r>
      <w:r>
        <w:rPr>
          <w:rFonts w:ascii="Times New Roman" w:hAnsi="Times New Roman"/>
          <w:color w:val="231F20"/>
          <w:spacing w:val="-4"/>
          <w:sz w:val="21"/>
        </w:rPr>
        <w:t>of</w:t>
      </w:r>
      <w:r>
        <w:rPr>
          <w:rFonts w:ascii="Times New Roman" w:hAnsi="Times New Roman"/>
          <w:color w:val="231F20"/>
          <w:spacing w:val="-7"/>
          <w:sz w:val="21"/>
        </w:rPr>
        <w:t> </w:t>
      </w:r>
      <w:r>
        <w:rPr>
          <w:rFonts w:ascii="Times New Roman" w:hAnsi="Times New Roman"/>
          <w:color w:val="231F20"/>
          <w:spacing w:val="-4"/>
          <w:sz w:val="21"/>
        </w:rPr>
        <w:t>customs</w:t>
      </w:r>
      <w:r>
        <w:rPr>
          <w:rFonts w:ascii="Times New Roman" w:hAnsi="Times New Roman"/>
          <w:color w:val="231F20"/>
          <w:spacing w:val="-7"/>
          <w:sz w:val="21"/>
        </w:rPr>
        <w:t> </w:t>
      </w:r>
      <w:r>
        <w:rPr>
          <w:rFonts w:ascii="Times New Roman" w:hAnsi="Times New Roman"/>
          <w:color w:val="231F20"/>
          <w:spacing w:val="-4"/>
          <w:sz w:val="21"/>
        </w:rPr>
        <w:t>and</w:t>
      </w:r>
      <w:r>
        <w:rPr>
          <w:rFonts w:ascii="Times New Roman" w:hAnsi="Times New Roman"/>
          <w:color w:val="231F20"/>
          <w:spacing w:val="-7"/>
          <w:sz w:val="21"/>
        </w:rPr>
        <w:t> </w:t>
      </w:r>
      <w:r>
        <w:rPr>
          <w:rFonts w:ascii="Times New Roman" w:hAnsi="Times New Roman"/>
          <w:color w:val="231F20"/>
          <w:spacing w:val="-4"/>
          <w:sz w:val="21"/>
        </w:rPr>
        <w:t>border</w:t>
      </w:r>
      <w:r>
        <w:rPr>
          <w:rFonts w:ascii="Times New Roman" w:hAnsi="Times New Roman"/>
          <w:color w:val="231F20"/>
          <w:spacing w:val="-7"/>
          <w:sz w:val="21"/>
        </w:rPr>
        <w:t> </w:t>
      </w:r>
      <w:r>
        <w:rPr>
          <w:rFonts w:ascii="Times New Roman" w:hAnsi="Times New Roman"/>
          <w:color w:val="231F20"/>
          <w:spacing w:val="-4"/>
          <w:sz w:val="21"/>
        </w:rPr>
        <w:t>agencies,</w:t>
      </w:r>
      <w:r>
        <w:rPr>
          <w:rFonts w:ascii="Times New Roman" w:hAnsi="Times New Roman"/>
          <w:color w:val="231F20"/>
          <w:spacing w:val="-7"/>
          <w:sz w:val="21"/>
        </w:rPr>
        <w:t> </w:t>
      </w:r>
      <w:r>
        <w:rPr>
          <w:rFonts w:ascii="Times New Roman" w:hAnsi="Times New Roman"/>
          <w:color w:val="231F20"/>
          <w:spacing w:val="-4"/>
          <w:sz w:val="21"/>
        </w:rPr>
        <w:t>as</w:t>
      </w:r>
      <w:r>
        <w:rPr>
          <w:rFonts w:ascii="Times New Roman" w:hAnsi="Times New Roman"/>
          <w:color w:val="231F20"/>
          <w:spacing w:val="-7"/>
          <w:sz w:val="21"/>
        </w:rPr>
        <w:t> </w:t>
      </w:r>
      <w:r>
        <w:rPr>
          <w:rFonts w:ascii="Times New Roman" w:hAnsi="Times New Roman"/>
          <w:color w:val="231F20"/>
          <w:spacing w:val="-4"/>
          <w:sz w:val="21"/>
        </w:rPr>
        <w:t>well</w:t>
      </w:r>
      <w:r>
        <w:rPr>
          <w:rFonts w:ascii="Times New Roman" w:hAnsi="Times New Roman"/>
          <w:color w:val="231F20"/>
          <w:spacing w:val="-7"/>
          <w:sz w:val="21"/>
        </w:rPr>
        <w:t> </w:t>
      </w:r>
      <w:r>
        <w:rPr>
          <w:rFonts w:ascii="Times New Roman" w:hAnsi="Times New Roman"/>
          <w:color w:val="231F20"/>
          <w:spacing w:val="-4"/>
          <w:sz w:val="21"/>
        </w:rPr>
        <w:t>as </w:t>
      </w:r>
      <w:r>
        <w:rPr>
          <w:rFonts w:ascii="Times New Roman" w:hAnsi="Times New Roman"/>
          <w:color w:val="231F20"/>
          <w:sz w:val="21"/>
        </w:rPr>
        <w:t>the</w:t>
      </w:r>
      <w:r>
        <w:rPr>
          <w:rFonts w:ascii="Times New Roman" w:hAnsi="Times New Roman"/>
          <w:color w:val="231F20"/>
          <w:spacing w:val="-14"/>
          <w:sz w:val="21"/>
        </w:rPr>
        <w:t> </w:t>
      </w:r>
      <w:r>
        <w:rPr>
          <w:rFonts w:ascii="Times New Roman" w:hAnsi="Times New Roman"/>
          <w:color w:val="231F20"/>
          <w:sz w:val="21"/>
        </w:rPr>
        <w:t>quality</w:t>
      </w:r>
      <w:r>
        <w:rPr>
          <w:rFonts w:ascii="Times New Roman" w:hAnsi="Times New Roman"/>
          <w:color w:val="231F20"/>
          <w:spacing w:val="-13"/>
          <w:sz w:val="21"/>
        </w:rPr>
        <w:t> </w:t>
      </w:r>
      <w:r>
        <w:rPr>
          <w:rFonts w:ascii="Times New Roman" w:hAnsi="Times New Roman"/>
          <w:color w:val="231F20"/>
          <w:sz w:val="21"/>
        </w:rPr>
        <w:t>of</w:t>
      </w:r>
      <w:r>
        <w:rPr>
          <w:rFonts w:ascii="Times New Roman" w:hAnsi="Times New Roman"/>
          <w:color w:val="231F20"/>
          <w:spacing w:val="-13"/>
          <w:sz w:val="21"/>
        </w:rPr>
        <w:t> </w:t>
      </w:r>
      <w:r>
        <w:rPr>
          <w:rFonts w:ascii="Times New Roman" w:hAnsi="Times New Roman"/>
          <w:color w:val="231F20"/>
          <w:sz w:val="21"/>
        </w:rPr>
        <w:t>trade-</w:t>
      </w:r>
      <w:r>
        <w:rPr>
          <w:rFonts w:ascii="Times New Roman" w:hAnsi="Times New Roman"/>
          <w:color w:val="231F20"/>
          <w:spacing w:val="-13"/>
          <w:sz w:val="21"/>
        </w:rPr>
        <w:t> </w:t>
      </w:r>
      <w:r>
        <w:rPr>
          <w:rFonts w:ascii="Times New Roman" w:hAnsi="Times New Roman"/>
          <w:color w:val="231F20"/>
          <w:sz w:val="21"/>
        </w:rPr>
        <w:t>and</w:t>
      </w:r>
      <w:r>
        <w:rPr>
          <w:rFonts w:ascii="Times New Roman" w:hAnsi="Times New Roman"/>
          <w:color w:val="231F20"/>
          <w:spacing w:val="-13"/>
          <w:sz w:val="21"/>
        </w:rPr>
        <w:t> </w:t>
      </w:r>
      <w:r>
        <w:rPr>
          <w:rFonts w:ascii="Times New Roman" w:hAnsi="Times New Roman"/>
          <w:color w:val="231F20"/>
          <w:sz w:val="21"/>
        </w:rPr>
        <w:t>transport-related infrastructure,</w:t>
      </w:r>
      <w:r>
        <w:rPr>
          <w:rFonts w:ascii="Times New Roman" w:hAnsi="Times New Roman"/>
          <w:color w:val="231F20"/>
          <w:spacing w:val="-8"/>
          <w:sz w:val="21"/>
        </w:rPr>
        <w:t> </w:t>
      </w:r>
      <w:r>
        <w:rPr>
          <w:rFonts w:ascii="Times New Roman" w:hAnsi="Times New Roman"/>
          <w:color w:val="231F20"/>
          <w:sz w:val="21"/>
        </w:rPr>
        <w:t>is</w:t>
      </w:r>
      <w:r>
        <w:rPr>
          <w:rFonts w:ascii="Times New Roman" w:hAnsi="Times New Roman"/>
          <w:color w:val="231F20"/>
          <w:spacing w:val="-8"/>
          <w:sz w:val="21"/>
        </w:rPr>
        <w:t> </w:t>
      </w:r>
      <w:r>
        <w:rPr>
          <w:rFonts w:ascii="Times New Roman" w:hAnsi="Times New Roman"/>
          <w:color w:val="231F20"/>
          <w:sz w:val="21"/>
        </w:rPr>
        <w:t>particularly</w:t>
      </w:r>
      <w:r>
        <w:rPr>
          <w:rFonts w:ascii="Times New Roman" w:hAnsi="Times New Roman"/>
          <w:color w:val="231F20"/>
          <w:spacing w:val="-8"/>
          <w:sz w:val="21"/>
        </w:rPr>
        <w:t> </w:t>
      </w:r>
      <w:r>
        <w:rPr>
          <w:rFonts w:ascii="Times New Roman" w:hAnsi="Times New Roman"/>
          <w:color w:val="231F20"/>
          <w:sz w:val="21"/>
        </w:rPr>
        <w:t>weak</w:t>
      </w:r>
      <w:r>
        <w:rPr>
          <w:rFonts w:ascii="Times New Roman" w:hAnsi="Times New Roman"/>
          <w:color w:val="231F20"/>
          <w:spacing w:val="-8"/>
          <w:sz w:val="21"/>
        </w:rPr>
        <w:t> </w:t>
      </w:r>
      <w:r>
        <w:rPr>
          <w:rFonts w:ascii="Times New Roman" w:hAnsi="Times New Roman"/>
          <w:color w:val="231F20"/>
          <w:sz w:val="21"/>
        </w:rPr>
        <w:t>in</w:t>
      </w:r>
      <w:r>
        <w:rPr>
          <w:rFonts w:ascii="Times New Roman" w:hAnsi="Times New Roman"/>
          <w:color w:val="231F20"/>
          <w:spacing w:val="-8"/>
          <w:sz w:val="21"/>
        </w:rPr>
        <w:t> </w:t>
      </w:r>
      <w:r>
        <w:rPr>
          <w:rFonts w:ascii="Times New Roman" w:hAnsi="Times New Roman"/>
          <w:color w:val="231F20"/>
          <w:sz w:val="21"/>
        </w:rPr>
        <w:t>the </w:t>
      </w:r>
      <w:r>
        <w:rPr>
          <w:rFonts w:ascii="Times New Roman" w:hAnsi="Times New Roman"/>
          <w:color w:val="231F20"/>
          <w:spacing w:val="-2"/>
          <w:sz w:val="21"/>
        </w:rPr>
        <w:t>lowest</w:t>
      </w:r>
      <w:r>
        <w:rPr>
          <w:rFonts w:ascii="Times New Roman" w:hAnsi="Times New Roman"/>
          <w:color w:val="231F20"/>
          <w:spacing w:val="-12"/>
          <w:sz w:val="21"/>
        </w:rPr>
        <w:t> </w:t>
      </w:r>
      <w:r>
        <w:rPr>
          <w:rFonts w:ascii="Times New Roman" w:hAnsi="Times New Roman"/>
          <w:color w:val="231F20"/>
          <w:spacing w:val="-2"/>
          <w:sz w:val="21"/>
        </w:rPr>
        <w:t>performing</w:t>
      </w:r>
      <w:r>
        <w:rPr>
          <w:rFonts w:ascii="Times New Roman" w:hAnsi="Times New Roman"/>
          <w:color w:val="231F20"/>
          <w:spacing w:val="-11"/>
          <w:sz w:val="21"/>
        </w:rPr>
        <w:t> </w:t>
      </w:r>
      <w:r>
        <w:rPr>
          <w:rFonts w:ascii="Times New Roman" w:hAnsi="Times New Roman"/>
          <w:color w:val="231F20"/>
          <w:spacing w:val="-2"/>
          <w:sz w:val="21"/>
        </w:rPr>
        <w:t>countries.</w:t>
      </w:r>
      <w:r>
        <w:rPr>
          <w:rFonts w:ascii="Times New Roman" w:hAnsi="Times New Roman"/>
          <w:color w:val="231F20"/>
          <w:spacing w:val="-11"/>
          <w:sz w:val="21"/>
        </w:rPr>
        <w:t> </w:t>
      </w:r>
      <w:r>
        <w:rPr>
          <w:rFonts w:ascii="Times New Roman" w:hAnsi="Times New Roman"/>
          <w:color w:val="231F20"/>
          <w:spacing w:val="-2"/>
          <w:sz w:val="21"/>
        </w:rPr>
        <w:t>These</w:t>
      </w:r>
      <w:r>
        <w:rPr>
          <w:rFonts w:ascii="Times New Roman" w:hAnsi="Times New Roman"/>
          <w:color w:val="231F20"/>
          <w:spacing w:val="-11"/>
          <w:sz w:val="21"/>
        </w:rPr>
        <w:t> </w:t>
      </w:r>
      <w:r>
        <w:rPr>
          <w:rFonts w:ascii="Times New Roman" w:hAnsi="Times New Roman"/>
          <w:color w:val="231F20"/>
          <w:spacing w:val="-2"/>
          <w:sz w:val="21"/>
        </w:rPr>
        <w:t>coun- </w:t>
      </w:r>
      <w:r>
        <w:rPr>
          <w:rFonts w:ascii="Times New Roman" w:hAnsi="Times New Roman"/>
          <w:color w:val="231F20"/>
          <w:spacing w:val="-4"/>
          <w:sz w:val="21"/>
        </w:rPr>
        <w:t>tries,</w:t>
      </w:r>
      <w:r>
        <w:rPr>
          <w:rFonts w:ascii="Times New Roman" w:hAnsi="Times New Roman"/>
          <w:color w:val="231F20"/>
          <w:spacing w:val="-9"/>
          <w:sz w:val="21"/>
        </w:rPr>
        <w:t> </w:t>
      </w:r>
      <w:r>
        <w:rPr>
          <w:rFonts w:ascii="Times New Roman" w:hAnsi="Times New Roman"/>
          <w:color w:val="231F20"/>
          <w:spacing w:val="-4"/>
          <w:sz w:val="21"/>
        </w:rPr>
        <w:t>many</w:t>
      </w:r>
      <w:r>
        <w:rPr>
          <w:rFonts w:ascii="Times New Roman" w:hAnsi="Times New Roman"/>
          <w:color w:val="231F20"/>
          <w:spacing w:val="-9"/>
          <w:sz w:val="21"/>
        </w:rPr>
        <w:t> </w:t>
      </w:r>
      <w:r>
        <w:rPr>
          <w:rFonts w:ascii="Times New Roman" w:hAnsi="Times New Roman"/>
          <w:color w:val="231F20"/>
          <w:spacing w:val="-4"/>
          <w:sz w:val="21"/>
        </w:rPr>
        <w:t>of</w:t>
      </w:r>
      <w:r>
        <w:rPr>
          <w:rFonts w:ascii="Times New Roman" w:hAnsi="Times New Roman"/>
          <w:color w:val="231F20"/>
          <w:spacing w:val="-9"/>
          <w:sz w:val="21"/>
        </w:rPr>
        <w:t> </w:t>
      </w:r>
      <w:r>
        <w:rPr>
          <w:rFonts w:ascii="Times New Roman" w:hAnsi="Times New Roman"/>
          <w:color w:val="231F20"/>
          <w:spacing w:val="-4"/>
          <w:sz w:val="21"/>
        </w:rPr>
        <w:t>them</w:t>
      </w:r>
      <w:r>
        <w:rPr>
          <w:rFonts w:ascii="Times New Roman" w:hAnsi="Times New Roman"/>
          <w:color w:val="231F20"/>
          <w:spacing w:val="-9"/>
          <w:sz w:val="21"/>
        </w:rPr>
        <w:t> </w:t>
      </w:r>
      <w:r>
        <w:rPr>
          <w:rFonts w:ascii="Times New Roman" w:hAnsi="Times New Roman"/>
          <w:color w:val="231F20"/>
          <w:spacing w:val="-4"/>
          <w:sz w:val="21"/>
        </w:rPr>
        <w:t>in</w:t>
      </w:r>
      <w:r>
        <w:rPr>
          <w:rFonts w:ascii="Times New Roman" w:hAnsi="Times New Roman"/>
          <w:color w:val="231F20"/>
          <w:spacing w:val="-9"/>
          <w:sz w:val="21"/>
        </w:rPr>
        <w:t> </w:t>
      </w:r>
      <w:r>
        <w:rPr>
          <w:rFonts w:ascii="Times New Roman" w:hAnsi="Times New Roman"/>
          <w:color w:val="231F20"/>
          <w:spacing w:val="-4"/>
          <w:sz w:val="21"/>
        </w:rPr>
        <w:t>the</w:t>
      </w:r>
      <w:r>
        <w:rPr>
          <w:rFonts w:ascii="Times New Roman" w:hAnsi="Times New Roman"/>
          <w:color w:val="231F20"/>
          <w:spacing w:val="-9"/>
          <w:sz w:val="21"/>
        </w:rPr>
        <w:t> </w:t>
      </w:r>
      <w:r>
        <w:rPr>
          <w:rFonts w:ascii="Times New Roman" w:hAnsi="Times New Roman"/>
          <w:color w:val="231F20"/>
          <w:spacing w:val="-4"/>
          <w:sz w:val="21"/>
        </w:rPr>
        <w:t>Middle</w:t>
      </w:r>
      <w:r>
        <w:rPr>
          <w:rFonts w:ascii="Times New Roman" w:hAnsi="Times New Roman"/>
          <w:color w:val="231F20"/>
          <w:spacing w:val="-9"/>
          <w:sz w:val="21"/>
        </w:rPr>
        <w:t> </w:t>
      </w:r>
      <w:r>
        <w:rPr>
          <w:rFonts w:ascii="Times New Roman" w:hAnsi="Times New Roman"/>
          <w:color w:val="231F20"/>
          <w:spacing w:val="-4"/>
          <w:sz w:val="21"/>
        </w:rPr>
        <w:t>East</w:t>
      </w:r>
      <w:r>
        <w:rPr>
          <w:rFonts w:ascii="Times New Roman" w:hAnsi="Times New Roman"/>
          <w:color w:val="231F20"/>
          <w:spacing w:val="-9"/>
          <w:sz w:val="21"/>
        </w:rPr>
        <w:t> </w:t>
      </w:r>
      <w:r>
        <w:rPr>
          <w:rFonts w:ascii="Times New Roman" w:hAnsi="Times New Roman"/>
          <w:color w:val="231F20"/>
          <w:spacing w:val="-4"/>
          <w:sz w:val="21"/>
        </w:rPr>
        <w:t>and </w:t>
      </w:r>
      <w:r>
        <w:rPr>
          <w:rFonts w:ascii="Times New Roman" w:hAnsi="Times New Roman"/>
          <w:color w:val="231F20"/>
          <w:sz w:val="21"/>
        </w:rPr>
        <w:t>North</w:t>
      </w:r>
      <w:r>
        <w:rPr>
          <w:rFonts w:ascii="Times New Roman" w:hAnsi="Times New Roman"/>
          <w:color w:val="231F20"/>
          <w:spacing w:val="-8"/>
          <w:sz w:val="21"/>
        </w:rPr>
        <w:t> </w:t>
      </w:r>
      <w:r>
        <w:rPr>
          <w:rFonts w:ascii="Times New Roman" w:hAnsi="Times New Roman"/>
          <w:color w:val="231F20"/>
          <w:sz w:val="21"/>
        </w:rPr>
        <w:t>Africa</w:t>
      </w:r>
      <w:r>
        <w:rPr>
          <w:rFonts w:ascii="Times New Roman" w:hAnsi="Times New Roman"/>
          <w:color w:val="231F20"/>
          <w:spacing w:val="-8"/>
          <w:sz w:val="21"/>
        </w:rPr>
        <w:t> </w:t>
      </w:r>
      <w:r>
        <w:rPr>
          <w:rFonts w:ascii="Times New Roman" w:hAnsi="Times New Roman"/>
          <w:color w:val="231F20"/>
          <w:sz w:val="21"/>
        </w:rPr>
        <w:t>and</w:t>
      </w:r>
      <w:r>
        <w:rPr>
          <w:rFonts w:ascii="Times New Roman" w:hAnsi="Times New Roman"/>
          <w:color w:val="231F20"/>
          <w:spacing w:val="-8"/>
          <w:sz w:val="21"/>
        </w:rPr>
        <w:t> </w:t>
      </w:r>
      <w:r>
        <w:rPr>
          <w:rFonts w:ascii="Times New Roman" w:hAnsi="Times New Roman"/>
          <w:color w:val="231F20"/>
          <w:sz w:val="21"/>
        </w:rPr>
        <w:t>in</w:t>
      </w:r>
      <w:r>
        <w:rPr>
          <w:rFonts w:ascii="Times New Roman" w:hAnsi="Times New Roman"/>
          <w:color w:val="231F20"/>
          <w:spacing w:val="-8"/>
          <w:sz w:val="21"/>
        </w:rPr>
        <w:t> </w:t>
      </w:r>
      <w:r>
        <w:rPr>
          <w:rFonts w:ascii="Times New Roman" w:hAnsi="Times New Roman"/>
          <w:color w:val="231F20"/>
          <w:sz w:val="21"/>
        </w:rPr>
        <w:t>Sub-Saharan</w:t>
      </w:r>
      <w:r>
        <w:rPr>
          <w:rFonts w:ascii="Times New Roman" w:hAnsi="Times New Roman"/>
          <w:color w:val="231F20"/>
          <w:spacing w:val="-8"/>
          <w:sz w:val="21"/>
        </w:rPr>
        <w:t> </w:t>
      </w:r>
      <w:r>
        <w:rPr>
          <w:rFonts w:ascii="Times New Roman" w:hAnsi="Times New Roman"/>
          <w:color w:val="231F20"/>
          <w:sz w:val="21"/>
        </w:rPr>
        <w:t>Africa, experience much longer delays than ad- </w:t>
      </w:r>
      <w:r>
        <w:rPr>
          <w:rFonts w:ascii="Times New Roman" w:hAnsi="Times New Roman"/>
          <w:color w:val="231F20"/>
          <w:spacing w:val="-6"/>
          <w:sz w:val="21"/>
        </w:rPr>
        <w:t>vanced</w:t>
      </w:r>
      <w:r>
        <w:rPr>
          <w:rFonts w:ascii="Times New Roman" w:hAnsi="Times New Roman"/>
          <w:color w:val="231F20"/>
          <w:spacing w:val="-8"/>
          <w:sz w:val="21"/>
        </w:rPr>
        <w:t> </w:t>
      </w:r>
      <w:r>
        <w:rPr>
          <w:rFonts w:ascii="Times New Roman" w:hAnsi="Times New Roman"/>
          <w:color w:val="231F20"/>
          <w:spacing w:val="-6"/>
          <w:sz w:val="21"/>
        </w:rPr>
        <w:t>and</w:t>
      </w:r>
      <w:r>
        <w:rPr>
          <w:rFonts w:ascii="Times New Roman" w:hAnsi="Times New Roman"/>
          <w:color w:val="231F20"/>
          <w:spacing w:val="-7"/>
          <w:sz w:val="21"/>
        </w:rPr>
        <w:t> </w:t>
      </w:r>
      <w:r>
        <w:rPr>
          <w:rFonts w:ascii="Times New Roman" w:hAnsi="Times New Roman"/>
          <w:color w:val="231F20"/>
          <w:spacing w:val="-6"/>
          <w:sz w:val="21"/>
        </w:rPr>
        <w:t>emerging</w:t>
      </w:r>
      <w:r>
        <w:rPr>
          <w:rFonts w:ascii="Times New Roman" w:hAnsi="Times New Roman"/>
          <w:color w:val="231F20"/>
          <w:spacing w:val="-7"/>
          <w:sz w:val="21"/>
        </w:rPr>
        <w:t> </w:t>
      </w:r>
      <w:r>
        <w:rPr>
          <w:rFonts w:ascii="Times New Roman" w:hAnsi="Times New Roman"/>
          <w:color w:val="231F20"/>
          <w:spacing w:val="-6"/>
          <w:sz w:val="21"/>
        </w:rPr>
        <w:t>economies</w:t>
      </w:r>
      <w:r>
        <w:rPr>
          <w:rFonts w:ascii="Times New Roman" w:hAnsi="Times New Roman"/>
          <w:color w:val="231F20"/>
          <w:spacing w:val="-7"/>
          <w:sz w:val="21"/>
        </w:rPr>
        <w:t> </w:t>
      </w:r>
      <w:r>
        <w:rPr>
          <w:rFonts w:ascii="Times New Roman" w:hAnsi="Times New Roman"/>
          <w:color w:val="231F20"/>
          <w:spacing w:val="-6"/>
          <w:sz w:val="21"/>
        </w:rPr>
        <w:t>and</w:t>
      </w:r>
      <w:r>
        <w:rPr>
          <w:rFonts w:ascii="Times New Roman" w:hAnsi="Times New Roman"/>
          <w:color w:val="231F20"/>
          <w:spacing w:val="-7"/>
          <w:sz w:val="21"/>
        </w:rPr>
        <w:t> </w:t>
      </w:r>
      <w:r>
        <w:rPr>
          <w:rFonts w:ascii="Times New Roman" w:hAnsi="Times New Roman"/>
          <w:color w:val="231F20"/>
          <w:spacing w:val="-6"/>
          <w:sz w:val="21"/>
        </w:rPr>
        <w:t>many </w:t>
      </w:r>
      <w:r>
        <w:rPr>
          <w:rFonts w:ascii="Times New Roman" w:hAnsi="Times New Roman"/>
          <w:color w:val="231F20"/>
          <w:spacing w:val="-4"/>
          <w:sz w:val="21"/>
        </w:rPr>
        <w:t>middle-income countries. On average, ex- </w:t>
      </w:r>
      <w:r>
        <w:rPr>
          <w:rFonts w:ascii="Times New Roman" w:hAnsi="Times New Roman"/>
          <w:color w:val="231F20"/>
          <w:w w:val="90"/>
          <w:sz w:val="21"/>
        </w:rPr>
        <w:t>port</w:t>
      </w:r>
      <w:r>
        <w:rPr>
          <w:rFonts w:ascii="Times New Roman" w:hAnsi="Times New Roman"/>
          <w:color w:val="231F20"/>
          <w:spacing w:val="-2"/>
          <w:w w:val="90"/>
          <w:sz w:val="21"/>
        </w:rPr>
        <w:t> </w:t>
      </w:r>
      <w:r>
        <w:rPr>
          <w:rFonts w:ascii="Times New Roman" w:hAnsi="Times New Roman"/>
          <w:color w:val="231F20"/>
          <w:w w:val="90"/>
          <w:sz w:val="21"/>
        </w:rPr>
        <w:t>delays</w:t>
      </w:r>
      <w:r>
        <w:rPr>
          <w:rFonts w:ascii="Times New Roman" w:hAnsi="Times New Roman"/>
          <w:color w:val="231F20"/>
          <w:spacing w:val="-2"/>
          <w:w w:val="90"/>
          <w:sz w:val="21"/>
        </w:rPr>
        <w:t> </w:t>
      </w:r>
      <w:r>
        <w:rPr>
          <w:rFonts w:ascii="Times New Roman" w:hAnsi="Times New Roman"/>
          <w:color w:val="231F20"/>
          <w:w w:val="90"/>
          <w:sz w:val="21"/>
        </w:rPr>
        <w:t>are</w:t>
      </w:r>
      <w:r>
        <w:rPr>
          <w:rFonts w:ascii="Times New Roman" w:hAnsi="Times New Roman"/>
          <w:color w:val="231F20"/>
          <w:spacing w:val="-2"/>
          <w:w w:val="90"/>
          <w:sz w:val="21"/>
        </w:rPr>
        <w:t> </w:t>
      </w:r>
      <w:r>
        <w:rPr>
          <w:rFonts w:ascii="Times New Roman" w:hAnsi="Times New Roman"/>
          <w:color w:val="231F20"/>
          <w:w w:val="90"/>
          <w:sz w:val="21"/>
        </w:rPr>
        <w:t>of</w:t>
      </w:r>
      <w:r>
        <w:rPr>
          <w:rFonts w:ascii="Times New Roman" w:hAnsi="Times New Roman"/>
          <w:color w:val="231F20"/>
          <w:spacing w:val="-2"/>
          <w:w w:val="90"/>
          <w:sz w:val="21"/>
        </w:rPr>
        <w:t> </w:t>
      </w:r>
      <w:r>
        <w:rPr>
          <w:rFonts w:ascii="Times New Roman" w:hAnsi="Times New Roman"/>
          <w:color w:val="231F20"/>
          <w:w w:val="90"/>
          <w:sz w:val="21"/>
        </w:rPr>
        <w:t>the</w:t>
      </w:r>
      <w:r>
        <w:rPr>
          <w:rFonts w:ascii="Times New Roman" w:hAnsi="Times New Roman"/>
          <w:color w:val="231F20"/>
          <w:spacing w:val="-2"/>
          <w:w w:val="90"/>
          <w:sz w:val="21"/>
        </w:rPr>
        <w:t> </w:t>
      </w:r>
      <w:r>
        <w:rPr>
          <w:rFonts w:ascii="Times New Roman" w:hAnsi="Times New Roman"/>
          <w:color w:val="231F20"/>
          <w:w w:val="90"/>
          <w:sz w:val="21"/>
        </w:rPr>
        <w:t>same</w:t>
      </w:r>
      <w:r>
        <w:rPr>
          <w:rFonts w:ascii="Times New Roman" w:hAnsi="Times New Roman"/>
          <w:color w:val="231F20"/>
          <w:spacing w:val="-2"/>
          <w:w w:val="90"/>
          <w:sz w:val="21"/>
        </w:rPr>
        <w:t> </w:t>
      </w:r>
      <w:r>
        <w:rPr>
          <w:rFonts w:ascii="Times New Roman" w:hAnsi="Times New Roman"/>
          <w:color w:val="231F20"/>
          <w:w w:val="90"/>
          <w:sz w:val="21"/>
        </w:rPr>
        <w:t>magnitude</w:t>
      </w:r>
      <w:r>
        <w:rPr>
          <w:rFonts w:ascii="Times New Roman" w:hAnsi="Times New Roman"/>
          <w:color w:val="231F20"/>
          <w:spacing w:val="-2"/>
          <w:w w:val="90"/>
          <w:sz w:val="21"/>
        </w:rPr>
        <w:t> </w:t>
      </w:r>
      <w:r>
        <w:rPr>
          <w:rFonts w:ascii="Times New Roman" w:hAnsi="Times New Roman"/>
          <w:color w:val="231F20"/>
          <w:w w:val="90"/>
          <w:sz w:val="21"/>
        </w:rPr>
        <w:t>as</w:t>
      </w:r>
      <w:r>
        <w:rPr>
          <w:rFonts w:ascii="Times New Roman" w:hAnsi="Times New Roman"/>
          <w:color w:val="231F20"/>
          <w:spacing w:val="-2"/>
          <w:w w:val="90"/>
          <w:sz w:val="21"/>
        </w:rPr>
        <w:t> </w:t>
      </w:r>
      <w:r>
        <w:rPr>
          <w:rFonts w:ascii="Times New Roman" w:hAnsi="Times New Roman"/>
          <w:color w:val="231F20"/>
          <w:w w:val="90"/>
          <w:sz w:val="21"/>
        </w:rPr>
        <w:t>im- </w:t>
      </w:r>
      <w:r>
        <w:rPr>
          <w:rFonts w:ascii="Times New Roman" w:hAnsi="Times New Roman"/>
          <w:color w:val="231F20"/>
          <w:spacing w:val="-6"/>
          <w:sz w:val="21"/>
        </w:rPr>
        <w:t>port delays but for different reasons: export </w:t>
      </w:r>
      <w:r>
        <w:rPr>
          <w:rFonts w:ascii="Times New Roman" w:hAnsi="Times New Roman"/>
          <w:color w:val="231F20"/>
          <w:w w:val="90"/>
          <w:sz w:val="21"/>
        </w:rPr>
        <w:t>delays are tied more to the quality of service </w:t>
      </w:r>
      <w:r>
        <w:rPr>
          <w:rFonts w:ascii="Times New Roman" w:hAnsi="Times New Roman"/>
          <w:color w:val="231F20"/>
          <w:sz w:val="21"/>
        </w:rPr>
        <w:t>or</w:t>
      </w:r>
      <w:r>
        <w:rPr>
          <w:rFonts w:ascii="Times New Roman" w:hAnsi="Times New Roman"/>
          <w:color w:val="231F20"/>
          <w:spacing w:val="-8"/>
          <w:sz w:val="21"/>
        </w:rPr>
        <w:t> </w:t>
      </w:r>
      <w:r>
        <w:rPr>
          <w:rFonts w:ascii="Times New Roman" w:hAnsi="Times New Roman"/>
          <w:color w:val="231F20"/>
          <w:sz w:val="21"/>
        </w:rPr>
        <w:t>to</w:t>
      </w:r>
      <w:r>
        <w:rPr>
          <w:rFonts w:ascii="Times New Roman" w:hAnsi="Times New Roman"/>
          <w:color w:val="231F20"/>
          <w:spacing w:val="-8"/>
          <w:sz w:val="21"/>
        </w:rPr>
        <w:t> </w:t>
      </w:r>
      <w:r>
        <w:rPr>
          <w:rFonts w:ascii="Times New Roman" w:hAnsi="Times New Roman"/>
          <w:color w:val="231F20"/>
          <w:sz w:val="21"/>
        </w:rPr>
        <w:t>economies</w:t>
      </w:r>
      <w:r>
        <w:rPr>
          <w:rFonts w:ascii="Times New Roman" w:hAnsi="Times New Roman"/>
          <w:color w:val="231F20"/>
          <w:spacing w:val="-8"/>
          <w:sz w:val="21"/>
        </w:rPr>
        <w:t> </w:t>
      </w:r>
      <w:r>
        <w:rPr>
          <w:rFonts w:ascii="Times New Roman" w:hAnsi="Times New Roman"/>
          <w:color w:val="231F20"/>
          <w:sz w:val="21"/>
        </w:rPr>
        <w:t>of</w:t>
      </w:r>
      <w:r>
        <w:rPr>
          <w:rFonts w:ascii="Times New Roman" w:hAnsi="Times New Roman"/>
          <w:color w:val="231F20"/>
          <w:spacing w:val="-8"/>
          <w:sz w:val="21"/>
        </w:rPr>
        <w:t> </w:t>
      </w:r>
      <w:r>
        <w:rPr>
          <w:rFonts w:ascii="Times New Roman" w:hAnsi="Times New Roman"/>
          <w:color w:val="231F20"/>
          <w:sz w:val="21"/>
        </w:rPr>
        <w:t>scale.</w:t>
      </w:r>
    </w:p>
    <w:p>
      <w:pPr>
        <w:pStyle w:val="BodyText"/>
        <w:spacing w:before="1"/>
      </w:pPr>
    </w:p>
    <w:p>
      <w:pPr>
        <w:pStyle w:val="ListParagraph"/>
        <w:numPr>
          <w:ilvl w:val="1"/>
          <w:numId w:val="7"/>
        </w:numPr>
        <w:tabs>
          <w:tab w:pos="4140" w:val="left" w:leader="none"/>
        </w:tabs>
        <w:spacing w:line="268" w:lineRule="auto" w:before="0" w:after="0"/>
        <w:ind w:left="4140" w:right="0" w:hanging="300"/>
        <w:jc w:val="both"/>
        <w:rPr>
          <w:rFonts w:ascii="Times New Roman" w:hAnsi="Times New Roman"/>
          <w:b/>
          <w:sz w:val="21"/>
        </w:rPr>
      </w:pPr>
      <w:r>
        <w:rPr>
          <w:rFonts w:ascii="Times New Roman" w:hAnsi="Times New Roman"/>
          <w:b/>
          <w:color w:val="231F20"/>
          <w:sz w:val="21"/>
        </w:rPr>
        <w:t>Addressing bottlenecks in landlocked </w:t>
      </w:r>
      <w:r>
        <w:rPr>
          <w:rFonts w:ascii="Times New Roman" w:hAnsi="Times New Roman"/>
          <w:b/>
          <w:color w:val="231F20"/>
          <w:spacing w:val="-6"/>
          <w:sz w:val="21"/>
        </w:rPr>
        <w:t>developing</w:t>
      </w:r>
      <w:r>
        <w:rPr>
          <w:rFonts w:ascii="Times New Roman" w:hAnsi="Times New Roman"/>
          <w:b/>
          <w:color w:val="231F20"/>
          <w:spacing w:val="-7"/>
          <w:sz w:val="21"/>
        </w:rPr>
        <w:t> </w:t>
      </w:r>
      <w:r>
        <w:rPr>
          <w:rFonts w:ascii="Times New Roman" w:hAnsi="Times New Roman"/>
          <w:b/>
          <w:color w:val="231F20"/>
          <w:spacing w:val="-6"/>
          <w:sz w:val="21"/>
        </w:rPr>
        <w:t>countries</w:t>
      </w:r>
      <w:r>
        <w:rPr>
          <w:rFonts w:ascii="Times New Roman" w:hAnsi="Times New Roman"/>
          <w:b/>
          <w:color w:val="231F20"/>
          <w:spacing w:val="-7"/>
          <w:sz w:val="21"/>
        </w:rPr>
        <w:t> </w:t>
      </w:r>
      <w:r>
        <w:rPr>
          <w:rFonts w:ascii="Times New Roman" w:hAnsi="Times New Roman"/>
          <w:b/>
          <w:color w:val="231F20"/>
          <w:spacing w:val="-6"/>
          <w:sz w:val="21"/>
        </w:rPr>
        <w:t>is</w:t>
      </w:r>
      <w:r>
        <w:rPr>
          <w:rFonts w:ascii="Times New Roman" w:hAnsi="Times New Roman"/>
          <w:b/>
          <w:color w:val="231F20"/>
          <w:spacing w:val="-7"/>
          <w:sz w:val="21"/>
        </w:rPr>
        <w:t> </w:t>
      </w:r>
      <w:r>
        <w:rPr>
          <w:rFonts w:ascii="Times New Roman" w:hAnsi="Times New Roman"/>
          <w:b/>
          <w:color w:val="231F20"/>
          <w:spacing w:val="-6"/>
          <w:sz w:val="21"/>
        </w:rPr>
        <w:t>beyond</w:t>
      </w:r>
      <w:r>
        <w:rPr>
          <w:rFonts w:ascii="Times New Roman" w:hAnsi="Times New Roman"/>
          <w:b/>
          <w:color w:val="231F20"/>
          <w:spacing w:val="-7"/>
          <w:sz w:val="21"/>
        </w:rPr>
        <w:t> </w:t>
      </w:r>
      <w:r>
        <w:rPr>
          <w:rFonts w:ascii="Times New Roman" w:hAnsi="Times New Roman"/>
          <w:b/>
          <w:color w:val="231F20"/>
          <w:spacing w:val="-6"/>
          <w:sz w:val="21"/>
        </w:rPr>
        <w:t>the</w:t>
      </w:r>
      <w:r>
        <w:rPr>
          <w:rFonts w:ascii="Times New Roman" w:hAnsi="Times New Roman"/>
          <w:b/>
          <w:color w:val="231F20"/>
          <w:spacing w:val="-7"/>
          <w:sz w:val="21"/>
        </w:rPr>
        <w:t> </w:t>
      </w:r>
      <w:r>
        <w:rPr>
          <w:rFonts w:ascii="Times New Roman" w:hAnsi="Times New Roman"/>
          <w:b/>
          <w:color w:val="231F20"/>
          <w:spacing w:val="-6"/>
          <w:sz w:val="21"/>
        </w:rPr>
        <w:t>scope </w:t>
      </w:r>
      <w:r>
        <w:rPr>
          <w:rFonts w:ascii="Times New Roman" w:hAnsi="Times New Roman"/>
          <w:b/>
          <w:color w:val="231F20"/>
          <w:spacing w:val="-2"/>
          <w:sz w:val="21"/>
        </w:rPr>
        <w:t>of</w:t>
      </w:r>
      <w:r>
        <w:rPr>
          <w:rFonts w:ascii="Times New Roman" w:hAnsi="Times New Roman"/>
          <w:b/>
          <w:color w:val="231F20"/>
          <w:spacing w:val="-12"/>
          <w:sz w:val="21"/>
        </w:rPr>
        <w:t> </w:t>
      </w:r>
      <w:r>
        <w:rPr>
          <w:rFonts w:ascii="Times New Roman" w:hAnsi="Times New Roman"/>
          <w:b/>
          <w:color w:val="231F20"/>
          <w:spacing w:val="-2"/>
          <w:sz w:val="21"/>
        </w:rPr>
        <w:t>unilateral</w:t>
      </w:r>
      <w:r>
        <w:rPr>
          <w:rFonts w:ascii="Times New Roman" w:hAnsi="Times New Roman"/>
          <w:b/>
          <w:color w:val="231F20"/>
          <w:spacing w:val="-11"/>
          <w:sz w:val="21"/>
        </w:rPr>
        <w:t> </w:t>
      </w:r>
      <w:r>
        <w:rPr>
          <w:rFonts w:ascii="Times New Roman" w:hAnsi="Times New Roman"/>
          <w:b/>
          <w:color w:val="231F20"/>
          <w:spacing w:val="-2"/>
          <w:sz w:val="21"/>
        </w:rPr>
        <w:t>interventions</w:t>
      </w:r>
      <w:r>
        <w:rPr>
          <w:rFonts w:ascii="Times New Roman" w:hAnsi="Times New Roman"/>
          <w:b/>
          <w:color w:val="231F20"/>
          <w:spacing w:val="-11"/>
          <w:sz w:val="21"/>
        </w:rPr>
        <w:t> </w:t>
      </w:r>
      <w:r>
        <w:rPr>
          <w:rFonts w:ascii="Times New Roman" w:hAnsi="Times New Roman"/>
          <w:b/>
          <w:color w:val="231F20"/>
          <w:spacing w:val="-2"/>
          <w:sz w:val="21"/>
        </w:rPr>
        <w:t>and</w:t>
      </w:r>
      <w:r>
        <w:rPr>
          <w:rFonts w:ascii="Times New Roman" w:hAnsi="Times New Roman"/>
          <w:b/>
          <w:color w:val="231F20"/>
          <w:spacing w:val="-11"/>
          <w:sz w:val="21"/>
        </w:rPr>
        <w:t> </w:t>
      </w:r>
      <w:r>
        <w:rPr>
          <w:rFonts w:ascii="Times New Roman" w:hAnsi="Times New Roman"/>
          <w:b/>
          <w:color w:val="231F20"/>
          <w:spacing w:val="-2"/>
          <w:sz w:val="21"/>
        </w:rPr>
        <w:t>requires </w:t>
      </w:r>
      <w:r>
        <w:rPr>
          <w:rFonts w:ascii="Times New Roman" w:hAnsi="Times New Roman"/>
          <w:b/>
          <w:color w:val="231F20"/>
          <w:sz w:val="21"/>
        </w:rPr>
        <w:t>coordinated interventions across bor- </w:t>
      </w:r>
      <w:r>
        <w:rPr>
          <w:rFonts w:ascii="Times New Roman" w:hAnsi="Times New Roman"/>
          <w:b/>
          <w:color w:val="231F20"/>
          <w:spacing w:val="-4"/>
          <w:sz w:val="21"/>
        </w:rPr>
        <w:t>ders,</w:t>
      </w:r>
      <w:r>
        <w:rPr>
          <w:rFonts w:ascii="Times New Roman" w:hAnsi="Times New Roman"/>
          <w:b/>
          <w:color w:val="231F20"/>
          <w:spacing w:val="-1"/>
          <w:sz w:val="21"/>
        </w:rPr>
        <w:t> </w:t>
      </w:r>
      <w:r>
        <w:rPr>
          <w:rFonts w:ascii="Times New Roman" w:hAnsi="Times New Roman"/>
          <w:b/>
          <w:color w:val="231F20"/>
          <w:spacing w:val="-4"/>
          <w:sz w:val="21"/>
        </w:rPr>
        <w:t>such</w:t>
      </w:r>
      <w:r>
        <w:rPr>
          <w:rFonts w:ascii="Times New Roman" w:hAnsi="Times New Roman"/>
          <w:b/>
          <w:color w:val="231F20"/>
          <w:sz w:val="21"/>
        </w:rPr>
        <w:t> </w:t>
      </w:r>
      <w:r>
        <w:rPr>
          <w:rFonts w:ascii="Times New Roman" w:hAnsi="Times New Roman"/>
          <w:b/>
          <w:color w:val="231F20"/>
          <w:spacing w:val="-4"/>
          <w:sz w:val="21"/>
        </w:rPr>
        <w:t>as</w:t>
      </w:r>
      <w:r>
        <w:rPr>
          <w:rFonts w:ascii="Times New Roman" w:hAnsi="Times New Roman"/>
          <w:b/>
          <w:color w:val="231F20"/>
          <w:spacing w:val="-1"/>
          <w:sz w:val="21"/>
        </w:rPr>
        <w:t> </w:t>
      </w:r>
      <w:r>
        <w:rPr>
          <w:rFonts w:ascii="Times New Roman" w:hAnsi="Times New Roman"/>
          <w:b/>
          <w:color w:val="231F20"/>
          <w:spacing w:val="-4"/>
          <w:sz w:val="21"/>
        </w:rPr>
        <w:t>introducing</w:t>
      </w:r>
      <w:r>
        <w:rPr>
          <w:rFonts w:ascii="Times New Roman" w:hAnsi="Times New Roman"/>
          <w:b/>
          <w:color w:val="231F20"/>
          <w:sz w:val="21"/>
        </w:rPr>
        <w:t> </w:t>
      </w:r>
      <w:r>
        <w:rPr>
          <w:rFonts w:ascii="Times New Roman" w:hAnsi="Times New Roman"/>
          <w:b/>
          <w:color w:val="231F20"/>
          <w:spacing w:val="-4"/>
          <w:sz w:val="21"/>
        </w:rPr>
        <w:t>robust</w:t>
      </w:r>
      <w:r>
        <w:rPr>
          <w:rFonts w:ascii="Times New Roman" w:hAnsi="Times New Roman"/>
          <w:b/>
          <w:color w:val="231F20"/>
          <w:spacing w:val="-1"/>
          <w:sz w:val="21"/>
        </w:rPr>
        <w:t> </w:t>
      </w:r>
      <w:r>
        <w:rPr>
          <w:rFonts w:ascii="Times New Roman" w:hAnsi="Times New Roman"/>
          <w:b/>
          <w:color w:val="231F20"/>
          <w:spacing w:val="-4"/>
          <w:sz w:val="21"/>
        </w:rPr>
        <w:t>transit</w:t>
      </w:r>
    </w:p>
    <w:p>
      <w:pPr>
        <w:pStyle w:val="BodyText"/>
        <w:spacing w:line="268" w:lineRule="auto" w:before="117"/>
        <w:ind w:left="499" w:right="177"/>
        <w:jc w:val="both"/>
      </w:pPr>
      <w:r>
        <w:rPr/>
        <w:br w:type="column"/>
      </w:r>
      <w:r>
        <w:rPr>
          <w:b/>
          <w:color w:val="231F20"/>
          <w:w w:val="90"/>
        </w:rPr>
        <w:t>regimes. </w:t>
      </w:r>
      <w:r>
        <w:rPr>
          <w:color w:val="231F20"/>
          <w:w w:val="90"/>
        </w:rPr>
        <w:t>The LPI is closely associated with </w:t>
      </w:r>
      <w:r>
        <w:rPr>
          <w:color w:val="231F20"/>
          <w:spacing w:val="-4"/>
        </w:rPr>
        <w:t>connectivity</w:t>
      </w:r>
      <w:r>
        <w:rPr>
          <w:color w:val="231F20"/>
          <w:spacing w:val="-10"/>
        </w:rPr>
        <w:t> </w:t>
      </w:r>
      <w:r>
        <w:rPr>
          <w:color w:val="231F20"/>
          <w:spacing w:val="-4"/>
        </w:rPr>
        <w:t>indicators</w:t>
      </w:r>
      <w:r>
        <w:rPr>
          <w:color w:val="231F20"/>
          <w:spacing w:val="-9"/>
        </w:rPr>
        <w:t> </w:t>
      </w:r>
      <w:r>
        <w:rPr>
          <w:color w:val="231F20"/>
          <w:spacing w:val="-4"/>
        </w:rPr>
        <w:t>such</w:t>
      </w:r>
      <w:r>
        <w:rPr>
          <w:color w:val="231F20"/>
          <w:spacing w:val="-9"/>
        </w:rPr>
        <w:t> </w:t>
      </w:r>
      <w:r>
        <w:rPr>
          <w:color w:val="231F20"/>
          <w:spacing w:val="-4"/>
        </w:rPr>
        <w:t>as</w:t>
      </w:r>
      <w:r>
        <w:rPr>
          <w:color w:val="231F20"/>
          <w:spacing w:val="-9"/>
        </w:rPr>
        <w:t> </w:t>
      </w:r>
      <w:r>
        <w:rPr>
          <w:color w:val="231F20"/>
          <w:spacing w:val="-4"/>
        </w:rPr>
        <w:t>the</w:t>
      </w:r>
      <w:r>
        <w:rPr>
          <w:color w:val="231F20"/>
          <w:spacing w:val="-9"/>
        </w:rPr>
        <w:t> </w:t>
      </w:r>
      <w:r>
        <w:rPr>
          <w:color w:val="231F20"/>
          <w:spacing w:val="-4"/>
        </w:rPr>
        <w:t>number </w:t>
      </w:r>
      <w:r>
        <w:rPr>
          <w:color w:val="231F20"/>
        </w:rPr>
        <w:t>of</w:t>
      </w:r>
      <w:r>
        <w:rPr>
          <w:color w:val="231F20"/>
          <w:spacing w:val="-3"/>
        </w:rPr>
        <w:t> </w:t>
      </w:r>
      <w:r>
        <w:rPr>
          <w:color w:val="231F20"/>
        </w:rPr>
        <w:t>maritime</w:t>
      </w:r>
      <w:r>
        <w:rPr>
          <w:color w:val="231F20"/>
          <w:spacing w:val="-3"/>
        </w:rPr>
        <w:t> </w:t>
      </w:r>
      <w:r>
        <w:rPr>
          <w:color w:val="231F20"/>
        </w:rPr>
        <w:t>or</w:t>
      </w:r>
      <w:r>
        <w:rPr>
          <w:color w:val="231F20"/>
          <w:spacing w:val="-3"/>
        </w:rPr>
        <w:t> </w:t>
      </w:r>
      <w:r>
        <w:rPr>
          <w:color w:val="231F20"/>
        </w:rPr>
        <w:t>aerial</w:t>
      </w:r>
      <w:r>
        <w:rPr>
          <w:color w:val="231F20"/>
          <w:spacing w:val="-3"/>
        </w:rPr>
        <w:t> </w:t>
      </w:r>
      <w:r>
        <w:rPr>
          <w:color w:val="231F20"/>
        </w:rPr>
        <w:t>connections.</w:t>
      </w:r>
      <w:r>
        <w:rPr>
          <w:color w:val="231F20"/>
          <w:spacing w:val="-3"/>
        </w:rPr>
        <w:t> </w:t>
      </w:r>
      <w:r>
        <w:rPr>
          <w:color w:val="231F20"/>
        </w:rPr>
        <w:t>Land- </w:t>
      </w:r>
      <w:r>
        <w:rPr>
          <w:color w:val="231F20"/>
          <w:w w:val="90"/>
        </w:rPr>
        <w:t>locked</w:t>
      </w:r>
      <w:r>
        <w:rPr>
          <w:color w:val="231F20"/>
          <w:spacing w:val="-5"/>
          <w:w w:val="90"/>
        </w:rPr>
        <w:t> </w:t>
      </w:r>
      <w:r>
        <w:rPr>
          <w:color w:val="231F20"/>
          <w:w w:val="90"/>
        </w:rPr>
        <w:t>developing</w:t>
      </w:r>
      <w:r>
        <w:rPr>
          <w:color w:val="231F20"/>
          <w:spacing w:val="-5"/>
          <w:w w:val="90"/>
        </w:rPr>
        <w:t> </w:t>
      </w:r>
      <w:r>
        <w:rPr>
          <w:color w:val="231F20"/>
          <w:w w:val="90"/>
        </w:rPr>
        <w:t>countries</w:t>
      </w:r>
      <w:r>
        <w:rPr>
          <w:color w:val="231F20"/>
          <w:spacing w:val="-5"/>
          <w:w w:val="90"/>
        </w:rPr>
        <w:t> </w:t>
      </w:r>
      <w:r>
        <w:rPr>
          <w:color w:val="231F20"/>
          <w:w w:val="90"/>
        </w:rPr>
        <w:t>face</w:t>
      </w:r>
      <w:r>
        <w:rPr>
          <w:color w:val="231F20"/>
          <w:spacing w:val="-5"/>
          <w:w w:val="90"/>
        </w:rPr>
        <w:t> </w:t>
      </w:r>
      <w:r>
        <w:rPr>
          <w:color w:val="231F20"/>
          <w:w w:val="90"/>
        </w:rPr>
        <w:t>long</w:t>
      </w:r>
      <w:r>
        <w:rPr>
          <w:color w:val="231F20"/>
          <w:spacing w:val="-5"/>
          <w:w w:val="90"/>
        </w:rPr>
        <w:t> </w:t>
      </w:r>
      <w:r>
        <w:rPr>
          <w:color w:val="231F20"/>
          <w:w w:val="90"/>
        </w:rPr>
        <w:t>delays </w:t>
      </w:r>
      <w:r>
        <w:rPr>
          <w:color w:val="231F20"/>
          <w:spacing w:val="-2"/>
        </w:rPr>
        <w:t>in</w:t>
      </w:r>
      <w:r>
        <w:rPr>
          <w:color w:val="231F20"/>
          <w:spacing w:val="-12"/>
        </w:rPr>
        <w:t> </w:t>
      </w:r>
      <w:r>
        <w:rPr>
          <w:color w:val="231F20"/>
          <w:spacing w:val="-2"/>
        </w:rPr>
        <w:t>transit</w:t>
      </w:r>
      <w:r>
        <w:rPr>
          <w:color w:val="231F20"/>
          <w:spacing w:val="-11"/>
        </w:rPr>
        <w:t> </w:t>
      </w:r>
      <w:r>
        <w:rPr>
          <w:color w:val="231F20"/>
          <w:spacing w:val="-2"/>
        </w:rPr>
        <w:t>countries,</w:t>
      </w:r>
      <w:r>
        <w:rPr>
          <w:color w:val="231F20"/>
          <w:spacing w:val="-11"/>
        </w:rPr>
        <w:t> </w:t>
      </w:r>
      <w:r>
        <w:rPr>
          <w:color w:val="231F20"/>
          <w:spacing w:val="-2"/>
        </w:rPr>
        <w:t>and</w:t>
      </w:r>
      <w:r>
        <w:rPr>
          <w:color w:val="231F20"/>
          <w:spacing w:val="-11"/>
        </w:rPr>
        <w:t> </w:t>
      </w:r>
      <w:r>
        <w:rPr>
          <w:color w:val="231F20"/>
          <w:spacing w:val="-2"/>
        </w:rPr>
        <w:t>small</w:t>
      </w:r>
      <w:r>
        <w:rPr>
          <w:color w:val="231F20"/>
          <w:spacing w:val="-11"/>
        </w:rPr>
        <w:t> </w:t>
      </w:r>
      <w:r>
        <w:rPr>
          <w:color w:val="231F20"/>
          <w:spacing w:val="-2"/>
        </w:rPr>
        <w:t>island</w:t>
      </w:r>
      <w:r>
        <w:rPr>
          <w:color w:val="231F20"/>
          <w:spacing w:val="-11"/>
        </w:rPr>
        <w:t> </w:t>
      </w:r>
      <w:r>
        <w:rPr>
          <w:color w:val="231F20"/>
          <w:spacing w:val="-2"/>
        </w:rPr>
        <w:t>states </w:t>
      </w:r>
      <w:r>
        <w:rPr>
          <w:color w:val="231F20"/>
        </w:rPr>
        <w:t>depend</w:t>
      </w:r>
      <w:r>
        <w:rPr>
          <w:color w:val="231F20"/>
          <w:spacing w:val="-14"/>
        </w:rPr>
        <w:t> </w:t>
      </w:r>
      <w:r>
        <w:rPr>
          <w:color w:val="231F20"/>
        </w:rPr>
        <w:t>on</w:t>
      </w:r>
      <w:r>
        <w:rPr>
          <w:color w:val="231F20"/>
          <w:spacing w:val="-13"/>
        </w:rPr>
        <w:t> </w:t>
      </w:r>
      <w:r>
        <w:rPr>
          <w:color w:val="231F20"/>
        </w:rPr>
        <w:t>transshipment</w:t>
      </w:r>
      <w:r>
        <w:rPr>
          <w:color w:val="231F20"/>
          <w:spacing w:val="-13"/>
        </w:rPr>
        <w:t> </w:t>
      </w:r>
      <w:r>
        <w:rPr>
          <w:color w:val="231F20"/>
        </w:rPr>
        <w:t>and</w:t>
      </w:r>
      <w:r>
        <w:rPr>
          <w:color w:val="231F20"/>
          <w:spacing w:val="-13"/>
        </w:rPr>
        <w:t> </w:t>
      </w:r>
      <w:r>
        <w:rPr>
          <w:color w:val="231F20"/>
        </w:rPr>
        <w:t>suffer</w:t>
      </w:r>
      <w:r>
        <w:rPr>
          <w:color w:val="231F20"/>
          <w:spacing w:val="-13"/>
        </w:rPr>
        <w:t> </w:t>
      </w:r>
      <w:r>
        <w:rPr>
          <w:color w:val="231F20"/>
        </w:rPr>
        <w:t>from </w:t>
      </w:r>
      <w:r>
        <w:rPr>
          <w:color w:val="231F20"/>
          <w:spacing w:val="-4"/>
        </w:rPr>
        <w:t>less</w:t>
      </w:r>
      <w:r>
        <w:rPr>
          <w:color w:val="231F20"/>
          <w:spacing w:val="-8"/>
        </w:rPr>
        <w:t> </w:t>
      </w:r>
      <w:r>
        <w:rPr>
          <w:color w:val="231F20"/>
          <w:spacing w:val="-4"/>
        </w:rPr>
        <w:t>frequent</w:t>
      </w:r>
      <w:r>
        <w:rPr>
          <w:color w:val="231F20"/>
          <w:spacing w:val="-8"/>
        </w:rPr>
        <w:t> </w:t>
      </w:r>
      <w:r>
        <w:rPr>
          <w:color w:val="231F20"/>
          <w:spacing w:val="-4"/>
        </w:rPr>
        <w:t>connections,</w:t>
      </w:r>
      <w:r>
        <w:rPr>
          <w:color w:val="231F20"/>
          <w:spacing w:val="-8"/>
        </w:rPr>
        <w:t> </w:t>
      </w:r>
      <w:r>
        <w:rPr>
          <w:color w:val="231F20"/>
          <w:spacing w:val="-4"/>
        </w:rPr>
        <w:t>which</w:t>
      </w:r>
      <w:r>
        <w:rPr>
          <w:color w:val="231F20"/>
          <w:spacing w:val="-8"/>
        </w:rPr>
        <w:t> </w:t>
      </w:r>
      <w:r>
        <w:rPr>
          <w:color w:val="231F20"/>
          <w:spacing w:val="-4"/>
        </w:rPr>
        <w:t>increases </w:t>
      </w:r>
      <w:r>
        <w:rPr>
          <w:color w:val="231F20"/>
        </w:rPr>
        <w:t>lead</w:t>
      </w:r>
      <w:r>
        <w:rPr>
          <w:color w:val="231F20"/>
          <w:spacing w:val="-14"/>
        </w:rPr>
        <w:t> </w:t>
      </w:r>
      <w:r>
        <w:rPr>
          <w:color w:val="231F20"/>
        </w:rPr>
        <w:t>time</w:t>
      </w:r>
      <w:r>
        <w:rPr>
          <w:color w:val="231F20"/>
          <w:spacing w:val="-13"/>
        </w:rPr>
        <w:t> </w:t>
      </w:r>
      <w:r>
        <w:rPr>
          <w:color w:val="231F20"/>
        </w:rPr>
        <w:t>and</w:t>
      </w:r>
      <w:r>
        <w:rPr>
          <w:color w:val="231F20"/>
          <w:spacing w:val="-13"/>
        </w:rPr>
        <w:t> </w:t>
      </w:r>
      <w:r>
        <w:rPr>
          <w:color w:val="231F20"/>
        </w:rPr>
        <w:t>reduces</w:t>
      </w:r>
      <w:r>
        <w:rPr>
          <w:color w:val="231F20"/>
          <w:spacing w:val="-13"/>
        </w:rPr>
        <w:t> </w:t>
      </w:r>
      <w:r>
        <w:rPr>
          <w:color w:val="231F20"/>
        </w:rPr>
        <w:t>reliability.</w:t>
      </w:r>
    </w:p>
    <w:p>
      <w:pPr>
        <w:pStyle w:val="BodyText"/>
        <w:spacing w:before="4"/>
      </w:pPr>
    </w:p>
    <w:p>
      <w:pPr>
        <w:pStyle w:val="ListParagraph"/>
        <w:numPr>
          <w:ilvl w:val="0"/>
          <w:numId w:val="7"/>
        </w:numPr>
        <w:tabs>
          <w:tab w:pos="499" w:val="left" w:leader="none"/>
        </w:tabs>
        <w:spacing w:line="268" w:lineRule="auto" w:before="1" w:after="0"/>
        <w:ind w:left="499" w:right="177" w:hanging="300"/>
        <w:jc w:val="both"/>
        <w:rPr>
          <w:rFonts w:ascii="Times New Roman" w:hAnsi="Times New Roman"/>
          <w:sz w:val="21"/>
        </w:rPr>
      </w:pPr>
      <w:r>
        <w:rPr>
          <w:rFonts w:ascii="Times New Roman" w:hAnsi="Times New Roman"/>
          <w:b/>
          <w:color w:val="231F20"/>
          <w:sz w:val="21"/>
        </w:rPr>
        <w:t>Environmentally sustainable logistics options</w:t>
      </w:r>
      <w:r>
        <w:rPr>
          <w:rFonts w:ascii="Times New Roman" w:hAnsi="Times New Roman"/>
          <w:b/>
          <w:color w:val="231F20"/>
          <w:spacing w:val="-14"/>
          <w:sz w:val="21"/>
        </w:rPr>
        <w:t> </w:t>
      </w:r>
      <w:r>
        <w:rPr>
          <w:rFonts w:ascii="Times New Roman" w:hAnsi="Times New Roman"/>
          <w:b/>
          <w:color w:val="231F20"/>
          <w:sz w:val="21"/>
        </w:rPr>
        <w:t>can</w:t>
      </w:r>
      <w:r>
        <w:rPr>
          <w:rFonts w:ascii="Times New Roman" w:hAnsi="Times New Roman"/>
          <w:b/>
          <w:color w:val="231F20"/>
          <w:spacing w:val="-13"/>
          <w:sz w:val="21"/>
        </w:rPr>
        <w:t> </w:t>
      </w:r>
      <w:r>
        <w:rPr>
          <w:rFonts w:ascii="Times New Roman" w:hAnsi="Times New Roman"/>
          <w:b/>
          <w:color w:val="231F20"/>
          <w:sz w:val="21"/>
        </w:rPr>
        <w:t>lessen</w:t>
      </w:r>
      <w:r>
        <w:rPr>
          <w:rFonts w:ascii="Times New Roman" w:hAnsi="Times New Roman"/>
          <w:b/>
          <w:color w:val="231F20"/>
          <w:spacing w:val="-13"/>
          <w:sz w:val="21"/>
        </w:rPr>
        <w:t> </w:t>
      </w:r>
      <w:r>
        <w:rPr>
          <w:rFonts w:ascii="Times New Roman" w:hAnsi="Times New Roman"/>
          <w:b/>
          <w:color w:val="231F20"/>
          <w:sz w:val="21"/>
        </w:rPr>
        <w:t>the</w:t>
      </w:r>
      <w:r>
        <w:rPr>
          <w:rFonts w:ascii="Times New Roman" w:hAnsi="Times New Roman"/>
          <w:b/>
          <w:color w:val="231F20"/>
          <w:spacing w:val="-13"/>
          <w:sz w:val="21"/>
        </w:rPr>
        <w:t> </w:t>
      </w:r>
      <w:r>
        <w:rPr>
          <w:rFonts w:ascii="Times New Roman" w:hAnsi="Times New Roman"/>
          <w:b/>
          <w:color w:val="231F20"/>
          <w:sz w:val="21"/>
        </w:rPr>
        <w:t>carbon</w:t>
      </w:r>
      <w:r>
        <w:rPr>
          <w:rFonts w:ascii="Times New Roman" w:hAnsi="Times New Roman"/>
          <w:b/>
          <w:color w:val="231F20"/>
          <w:spacing w:val="-13"/>
          <w:sz w:val="21"/>
        </w:rPr>
        <w:t> </w:t>
      </w:r>
      <w:r>
        <w:rPr>
          <w:rFonts w:ascii="Times New Roman" w:hAnsi="Times New Roman"/>
          <w:b/>
          <w:color w:val="231F20"/>
          <w:sz w:val="21"/>
        </w:rPr>
        <w:t>footprint </w:t>
      </w:r>
      <w:r>
        <w:rPr>
          <w:rFonts w:ascii="Times New Roman" w:hAnsi="Times New Roman"/>
          <w:b/>
          <w:color w:val="231F20"/>
          <w:spacing w:val="-6"/>
          <w:sz w:val="21"/>
        </w:rPr>
        <w:t>of supply chains and keep trade moving. </w:t>
      </w:r>
      <w:r>
        <w:rPr>
          <w:rFonts w:ascii="Times New Roman" w:hAnsi="Times New Roman"/>
          <w:color w:val="231F20"/>
          <w:spacing w:val="-2"/>
          <w:sz w:val="21"/>
        </w:rPr>
        <w:t>Environmentally</w:t>
      </w:r>
      <w:r>
        <w:rPr>
          <w:rFonts w:ascii="Times New Roman" w:hAnsi="Times New Roman"/>
          <w:color w:val="231F20"/>
          <w:spacing w:val="-5"/>
          <w:sz w:val="21"/>
        </w:rPr>
        <w:t> </w:t>
      </w:r>
      <w:r>
        <w:rPr>
          <w:rFonts w:ascii="Times New Roman" w:hAnsi="Times New Roman"/>
          <w:color w:val="231F20"/>
          <w:spacing w:val="-2"/>
          <w:sz w:val="21"/>
        </w:rPr>
        <w:t>friendly</w:t>
      </w:r>
      <w:r>
        <w:rPr>
          <w:rFonts w:ascii="Times New Roman" w:hAnsi="Times New Roman"/>
          <w:color w:val="231F20"/>
          <w:spacing w:val="-5"/>
          <w:sz w:val="21"/>
        </w:rPr>
        <w:t> </w:t>
      </w:r>
      <w:r>
        <w:rPr>
          <w:rFonts w:ascii="Times New Roman" w:hAnsi="Times New Roman"/>
          <w:color w:val="231F20"/>
          <w:spacing w:val="-2"/>
          <w:sz w:val="21"/>
        </w:rPr>
        <w:t>options</w:t>
      </w:r>
      <w:r>
        <w:rPr>
          <w:rFonts w:ascii="Times New Roman" w:hAnsi="Times New Roman"/>
          <w:color w:val="231F20"/>
          <w:spacing w:val="-5"/>
          <w:sz w:val="21"/>
        </w:rPr>
        <w:t> </w:t>
      </w:r>
      <w:r>
        <w:rPr>
          <w:rFonts w:ascii="Times New Roman" w:hAnsi="Times New Roman"/>
          <w:color w:val="231F20"/>
          <w:spacing w:val="-2"/>
          <w:sz w:val="21"/>
        </w:rPr>
        <w:t>include </w:t>
      </w:r>
      <w:r>
        <w:rPr>
          <w:rFonts w:ascii="Times New Roman" w:hAnsi="Times New Roman"/>
          <w:color w:val="231F20"/>
          <w:sz w:val="21"/>
        </w:rPr>
        <w:t>shifting to less carbon-intensive freight </w:t>
      </w:r>
      <w:r>
        <w:rPr>
          <w:rFonts w:ascii="Times New Roman" w:hAnsi="Times New Roman"/>
          <w:color w:val="231F20"/>
          <w:w w:val="90"/>
          <w:sz w:val="21"/>
        </w:rPr>
        <w:t>modes, more energy-efficient warehousing, </w:t>
      </w:r>
      <w:r>
        <w:rPr>
          <w:rFonts w:ascii="Times New Roman" w:hAnsi="Times New Roman"/>
          <w:color w:val="231F20"/>
          <w:sz w:val="21"/>
        </w:rPr>
        <w:t>or</w:t>
      </w:r>
      <w:r>
        <w:rPr>
          <w:rFonts w:ascii="Times New Roman" w:hAnsi="Times New Roman"/>
          <w:color w:val="231F20"/>
          <w:spacing w:val="-14"/>
          <w:sz w:val="21"/>
        </w:rPr>
        <w:t> </w:t>
      </w:r>
      <w:r>
        <w:rPr>
          <w:rFonts w:ascii="Times New Roman" w:hAnsi="Times New Roman"/>
          <w:color w:val="231F20"/>
          <w:sz w:val="21"/>
        </w:rPr>
        <w:t>better</w:t>
      </w:r>
      <w:r>
        <w:rPr>
          <w:rFonts w:ascii="Times New Roman" w:hAnsi="Times New Roman"/>
          <w:color w:val="231F20"/>
          <w:spacing w:val="-13"/>
          <w:sz w:val="21"/>
        </w:rPr>
        <w:t> </w:t>
      </w:r>
      <w:r>
        <w:rPr>
          <w:rFonts w:ascii="Times New Roman" w:hAnsi="Times New Roman"/>
          <w:color w:val="231F20"/>
          <w:sz w:val="21"/>
        </w:rPr>
        <w:t>capacity</w:t>
      </w:r>
      <w:r>
        <w:rPr>
          <w:rFonts w:ascii="Times New Roman" w:hAnsi="Times New Roman"/>
          <w:color w:val="231F20"/>
          <w:spacing w:val="-13"/>
          <w:sz w:val="21"/>
        </w:rPr>
        <w:t> </w:t>
      </w:r>
      <w:r>
        <w:rPr>
          <w:rFonts w:ascii="Times New Roman" w:hAnsi="Times New Roman"/>
          <w:color w:val="231F20"/>
          <w:sz w:val="21"/>
        </w:rPr>
        <w:t>utilization.</w:t>
      </w:r>
      <w:r>
        <w:rPr>
          <w:rFonts w:ascii="Times New Roman" w:hAnsi="Times New Roman"/>
          <w:color w:val="231F20"/>
          <w:spacing w:val="-13"/>
          <w:sz w:val="21"/>
        </w:rPr>
        <w:t> </w:t>
      </w:r>
      <w:r>
        <w:rPr>
          <w:rFonts w:ascii="Times New Roman" w:hAnsi="Times New Roman"/>
          <w:color w:val="231F20"/>
          <w:sz w:val="21"/>
        </w:rPr>
        <w:t>Demand</w:t>
      </w:r>
      <w:r>
        <w:rPr>
          <w:rFonts w:ascii="Times New Roman" w:hAnsi="Times New Roman"/>
          <w:color w:val="231F20"/>
          <w:spacing w:val="-13"/>
          <w:sz w:val="21"/>
        </w:rPr>
        <w:t> </w:t>
      </w:r>
      <w:r>
        <w:rPr>
          <w:rFonts w:ascii="Times New Roman" w:hAnsi="Times New Roman"/>
          <w:color w:val="231F20"/>
          <w:sz w:val="21"/>
        </w:rPr>
        <w:t>for green</w:t>
      </w:r>
      <w:r>
        <w:rPr>
          <w:rFonts w:ascii="Times New Roman" w:hAnsi="Times New Roman"/>
          <w:color w:val="231F20"/>
          <w:spacing w:val="-14"/>
          <w:sz w:val="21"/>
        </w:rPr>
        <w:t> </w:t>
      </w:r>
      <w:r>
        <w:rPr>
          <w:rFonts w:ascii="Times New Roman" w:hAnsi="Times New Roman"/>
          <w:color w:val="231F20"/>
          <w:sz w:val="21"/>
        </w:rPr>
        <w:t>shipping</w:t>
      </w:r>
      <w:r>
        <w:rPr>
          <w:rFonts w:ascii="Times New Roman" w:hAnsi="Times New Roman"/>
          <w:color w:val="231F20"/>
          <w:spacing w:val="-13"/>
          <w:sz w:val="21"/>
        </w:rPr>
        <w:t> </w:t>
      </w:r>
      <w:r>
        <w:rPr>
          <w:rFonts w:ascii="Times New Roman" w:hAnsi="Times New Roman"/>
          <w:color w:val="231F20"/>
          <w:sz w:val="21"/>
        </w:rPr>
        <w:t>options</w:t>
      </w:r>
      <w:r>
        <w:rPr>
          <w:rFonts w:ascii="Times New Roman" w:hAnsi="Times New Roman"/>
          <w:color w:val="231F20"/>
          <w:spacing w:val="-13"/>
          <w:sz w:val="21"/>
        </w:rPr>
        <w:t> </w:t>
      </w:r>
      <w:r>
        <w:rPr>
          <w:rFonts w:ascii="Times New Roman" w:hAnsi="Times New Roman"/>
          <w:color w:val="231F20"/>
          <w:sz w:val="21"/>
        </w:rPr>
        <w:t>is</w:t>
      </w:r>
      <w:r>
        <w:rPr>
          <w:rFonts w:ascii="Times New Roman" w:hAnsi="Times New Roman"/>
          <w:color w:val="231F20"/>
          <w:spacing w:val="-13"/>
          <w:sz w:val="21"/>
        </w:rPr>
        <w:t> </w:t>
      </w:r>
      <w:r>
        <w:rPr>
          <w:rFonts w:ascii="Times New Roman" w:hAnsi="Times New Roman"/>
          <w:color w:val="231F20"/>
          <w:sz w:val="21"/>
        </w:rPr>
        <w:t>highest</w:t>
      </w:r>
      <w:r>
        <w:rPr>
          <w:rFonts w:ascii="Times New Roman" w:hAnsi="Times New Roman"/>
          <w:color w:val="231F20"/>
          <w:spacing w:val="-13"/>
          <w:sz w:val="21"/>
        </w:rPr>
        <w:t> </w:t>
      </w:r>
      <w:r>
        <w:rPr>
          <w:rFonts w:ascii="Times New Roman" w:hAnsi="Times New Roman"/>
          <w:color w:val="231F20"/>
          <w:sz w:val="21"/>
        </w:rPr>
        <w:t>(75</w:t>
      </w:r>
      <w:r>
        <w:rPr>
          <w:rFonts w:ascii="Times New Roman" w:hAnsi="Times New Roman"/>
          <w:color w:val="231F20"/>
          <w:spacing w:val="-13"/>
          <w:sz w:val="21"/>
        </w:rPr>
        <w:t> </w:t>
      </w:r>
      <w:r>
        <w:rPr>
          <w:rFonts w:ascii="Times New Roman" w:hAnsi="Times New Roman"/>
          <w:color w:val="231F20"/>
          <w:sz w:val="21"/>
        </w:rPr>
        <w:t>per- cent) for exports to countries in the top two</w:t>
      </w:r>
      <w:r>
        <w:rPr>
          <w:rFonts w:ascii="Times New Roman" w:hAnsi="Times New Roman"/>
          <w:color w:val="231F20"/>
          <w:spacing w:val="-2"/>
          <w:sz w:val="21"/>
        </w:rPr>
        <w:t> </w:t>
      </w:r>
      <w:r>
        <w:rPr>
          <w:rFonts w:ascii="Times New Roman" w:hAnsi="Times New Roman"/>
          <w:color w:val="231F20"/>
          <w:sz w:val="21"/>
        </w:rPr>
        <w:t>performance</w:t>
      </w:r>
      <w:r>
        <w:rPr>
          <w:rFonts w:ascii="Times New Roman" w:hAnsi="Times New Roman"/>
          <w:color w:val="231F20"/>
          <w:spacing w:val="-2"/>
          <w:sz w:val="21"/>
        </w:rPr>
        <w:t> </w:t>
      </w:r>
      <w:r>
        <w:rPr>
          <w:rFonts w:ascii="Times New Roman" w:hAnsi="Times New Roman"/>
          <w:color w:val="231F20"/>
          <w:sz w:val="21"/>
        </w:rPr>
        <w:t>quintiles</w:t>
      </w:r>
      <w:r>
        <w:rPr>
          <w:rFonts w:ascii="Times New Roman" w:hAnsi="Times New Roman"/>
          <w:color w:val="231F20"/>
          <w:spacing w:val="-2"/>
          <w:sz w:val="21"/>
        </w:rPr>
        <w:t> </w:t>
      </w:r>
      <w:r>
        <w:rPr>
          <w:rFonts w:ascii="Times New Roman" w:hAnsi="Times New Roman"/>
          <w:color w:val="231F20"/>
          <w:sz w:val="21"/>
        </w:rPr>
        <w:t>and</w:t>
      </w:r>
      <w:r>
        <w:rPr>
          <w:rFonts w:ascii="Times New Roman" w:hAnsi="Times New Roman"/>
          <w:color w:val="231F20"/>
          <w:spacing w:val="-2"/>
          <w:sz w:val="21"/>
        </w:rPr>
        <w:t> </w:t>
      </w:r>
      <w:r>
        <w:rPr>
          <w:rFonts w:ascii="Times New Roman" w:hAnsi="Times New Roman"/>
          <w:color w:val="231F20"/>
          <w:sz w:val="21"/>
        </w:rPr>
        <w:t>lower</w:t>
      </w:r>
      <w:r>
        <w:rPr>
          <w:rFonts w:ascii="Times New Roman" w:hAnsi="Times New Roman"/>
          <w:color w:val="231F20"/>
          <w:spacing w:val="-2"/>
          <w:sz w:val="21"/>
        </w:rPr>
        <w:t> </w:t>
      </w:r>
      <w:r>
        <w:rPr>
          <w:rFonts w:ascii="Times New Roman" w:hAnsi="Times New Roman"/>
          <w:color w:val="231F20"/>
          <w:sz w:val="21"/>
        </w:rPr>
        <w:t>for exports to countries in the middle (over 20</w:t>
      </w:r>
      <w:r>
        <w:rPr>
          <w:rFonts w:ascii="Times New Roman" w:hAnsi="Times New Roman"/>
          <w:color w:val="231F20"/>
          <w:spacing w:val="-2"/>
          <w:sz w:val="21"/>
        </w:rPr>
        <w:t> </w:t>
      </w:r>
      <w:r>
        <w:rPr>
          <w:rFonts w:ascii="Times New Roman" w:hAnsi="Times New Roman"/>
          <w:color w:val="231F20"/>
          <w:sz w:val="21"/>
        </w:rPr>
        <w:t>percent)</w:t>
      </w:r>
      <w:r>
        <w:rPr>
          <w:rFonts w:ascii="Times New Roman" w:hAnsi="Times New Roman"/>
          <w:color w:val="231F20"/>
          <w:spacing w:val="-2"/>
          <w:sz w:val="21"/>
        </w:rPr>
        <w:t> </w:t>
      </w:r>
      <w:r>
        <w:rPr>
          <w:rFonts w:ascii="Times New Roman" w:hAnsi="Times New Roman"/>
          <w:color w:val="231F20"/>
          <w:sz w:val="21"/>
        </w:rPr>
        <w:t>and</w:t>
      </w:r>
      <w:r>
        <w:rPr>
          <w:rFonts w:ascii="Times New Roman" w:hAnsi="Times New Roman"/>
          <w:color w:val="231F20"/>
          <w:spacing w:val="-2"/>
          <w:sz w:val="21"/>
        </w:rPr>
        <w:t> </w:t>
      </w:r>
      <w:r>
        <w:rPr>
          <w:rFonts w:ascii="Times New Roman" w:hAnsi="Times New Roman"/>
          <w:color w:val="231F20"/>
          <w:sz w:val="21"/>
        </w:rPr>
        <w:t>bottom</w:t>
      </w:r>
      <w:r>
        <w:rPr>
          <w:rFonts w:ascii="Times New Roman" w:hAnsi="Times New Roman"/>
          <w:color w:val="231F20"/>
          <w:spacing w:val="-2"/>
          <w:sz w:val="21"/>
        </w:rPr>
        <w:t> </w:t>
      </w:r>
      <w:r>
        <w:rPr>
          <w:rFonts w:ascii="Times New Roman" w:hAnsi="Times New Roman"/>
          <w:color w:val="231F20"/>
          <w:sz w:val="21"/>
        </w:rPr>
        <w:t>two</w:t>
      </w:r>
      <w:r>
        <w:rPr>
          <w:rFonts w:ascii="Times New Roman" w:hAnsi="Times New Roman"/>
          <w:color w:val="231F20"/>
          <w:spacing w:val="-2"/>
          <w:sz w:val="21"/>
        </w:rPr>
        <w:t> </w:t>
      </w:r>
      <w:r>
        <w:rPr>
          <w:rFonts w:ascii="Times New Roman" w:hAnsi="Times New Roman"/>
          <w:color w:val="231F20"/>
          <w:sz w:val="21"/>
        </w:rPr>
        <w:t>(10</w:t>
      </w:r>
      <w:r>
        <w:rPr>
          <w:rFonts w:ascii="Times New Roman" w:hAnsi="Times New Roman"/>
          <w:color w:val="231F20"/>
          <w:spacing w:val="-2"/>
          <w:sz w:val="21"/>
        </w:rPr>
        <w:t> </w:t>
      </w:r>
      <w:r>
        <w:rPr>
          <w:rFonts w:ascii="Times New Roman" w:hAnsi="Times New Roman"/>
          <w:color w:val="231F20"/>
          <w:sz w:val="21"/>
        </w:rPr>
        <w:t>percent) </w:t>
      </w:r>
      <w:r>
        <w:rPr>
          <w:rFonts w:ascii="Times New Roman" w:hAnsi="Times New Roman"/>
          <w:color w:val="231F20"/>
          <w:spacing w:val="-2"/>
          <w:sz w:val="21"/>
        </w:rPr>
        <w:t>quintiles.</w:t>
      </w:r>
    </w:p>
    <w:p>
      <w:pPr>
        <w:spacing w:after="0" w:line="268" w:lineRule="auto"/>
        <w:jc w:val="both"/>
        <w:rPr>
          <w:rFonts w:ascii="Times New Roman" w:hAnsi="Times New Roman"/>
          <w:sz w:val="21"/>
        </w:rPr>
        <w:sectPr>
          <w:type w:val="continuous"/>
          <w:pgSz w:w="12240" w:h="15840"/>
          <w:pgMar w:header="1196" w:footer="548" w:top="1140" w:bottom="280" w:left="0" w:right="540"/>
          <w:cols w:num="2" w:equalWidth="0">
            <w:col w:w="7561" w:space="40"/>
            <w:col w:w="4099"/>
          </w:cols>
        </w:sectPr>
      </w:pPr>
    </w:p>
    <w:p>
      <w:pPr>
        <w:pStyle w:val="BodyText"/>
        <w:spacing w:before="4"/>
        <w:rPr>
          <w:sz w:val="17"/>
        </w:rPr>
      </w:pPr>
      <w:r>
        <w:rPr/>
        <mc:AlternateContent>
          <mc:Choice Requires="wps">
            <w:drawing>
              <wp:anchor distT="0" distB="0" distL="0" distR="0" allowOverlap="1" layoutInCell="1" locked="0" behindDoc="0" simplePos="0" relativeHeight="15735296">
                <wp:simplePos x="0" y="0"/>
                <wp:positionH relativeFrom="page">
                  <wp:posOffset>0</wp:posOffset>
                </wp:positionH>
                <wp:positionV relativeFrom="page">
                  <wp:posOffset>0</wp:posOffset>
                </wp:positionV>
                <wp:extent cx="7772400" cy="10058400"/>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0pt;margin-top:0pt;width:612pt;height:792pt;mso-position-horizontal-relative:page;mso-position-vertical-relative:page;z-index:15735296" id="docshape162" filled="true" fillcolor="#c9dcf3" stroked="false">
                <v:fill type="solid"/>
                <w10:wrap type="none"/>
              </v:rect>
            </w:pict>
          </mc:Fallback>
        </mc:AlternateContent>
      </w:r>
      <w:bookmarkStart w:name="_bookmark3" w:id="4"/>
      <w:bookmarkEnd w:id="4"/>
      <w:r>
        <w:rPr/>
      </w:r>
      <w:r>
        <w:rPr>
          <w:sz w:val="17"/>
        </w:rPr>
      </w:r>
    </w:p>
    <w:p>
      <w:pPr>
        <w:spacing w:after="0"/>
        <w:rPr>
          <w:sz w:val="17"/>
        </w:rPr>
        <w:sectPr>
          <w:headerReference w:type="even" r:id="rId35"/>
          <w:footerReference w:type="even" r:id="rId36"/>
          <w:pgSz w:w="12240" w:h="15840"/>
          <w:pgMar w:header="0" w:footer="0" w:top="1820" w:bottom="280" w:left="0" w:right="5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7"/>
        <w:rPr>
          <w:sz w:val="20"/>
        </w:rPr>
      </w:pPr>
    </w:p>
    <w:p>
      <w:pPr>
        <w:spacing w:after="0"/>
        <w:rPr>
          <w:sz w:val="20"/>
        </w:rPr>
        <w:sectPr>
          <w:headerReference w:type="default" r:id="rId37"/>
          <w:headerReference w:type="even" r:id="rId38"/>
          <w:footerReference w:type="default" r:id="rId39"/>
          <w:footerReference w:type="even" r:id="rId40"/>
          <w:pgSz w:w="12240" w:h="15840"/>
          <w:pgMar w:header="1196" w:footer="548" w:top="2120" w:bottom="740" w:left="0" w:right="540"/>
          <w:pgNumType w:start="1"/>
        </w:sectPr>
      </w:pPr>
    </w:p>
    <w:p>
      <w:pPr>
        <w:pStyle w:val="BodyText"/>
        <w:spacing w:line="268" w:lineRule="auto" w:before="97"/>
        <w:ind w:left="3840" w:right="1"/>
        <w:jc w:val="both"/>
      </w:pPr>
      <w:bookmarkStart w:name="_bookmark5" w:id="5"/>
      <w:bookmarkEnd w:id="5"/>
      <w:r>
        <w:rPr/>
      </w:r>
      <w:bookmarkStart w:name="_bookmark4" w:id="6"/>
      <w:bookmarkEnd w:id="6"/>
      <w:r>
        <w:rPr/>
      </w:r>
      <w:r>
        <w:rPr>
          <w:color w:val="231F20"/>
          <w:w w:val="90"/>
        </w:rPr>
        <w:t>This seventh edition of </w:t>
      </w:r>
      <w:r>
        <w:rPr>
          <w:i/>
          <w:color w:val="231F20"/>
          <w:w w:val="90"/>
        </w:rPr>
        <w:t>Connecting to Compete </w:t>
      </w:r>
      <w:r>
        <w:rPr>
          <w:color w:val="231F20"/>
          <w:w w:val="90"/>
        </w:rPr>
        <w:t>comes</w:t>
      </w:r>
      <w:r>
        <w:rPr>
          <w:color w:val="231F20"/>
          <w:spacing w:val="-2"/>
          <w:w w:val="90"/>
        </w:rPr>
        <w:t> </w:t>
      </w:r>
      <w:r>
        <w:rPr>
          <w:color w:val="231F20"/>
          <w:w w:val="90"/>
        </w:rPr>
        <w:t>as</w:t>
      </w:r>
      <w:r>
        <w:rPr>
          <w:color w:val="231F20"/>
          <w:spacing w:val="-2"/>
          <w:w w:val="90"/>
        </w:rPr>
        <w:t> </w:t>
      </w:r>
      <w:r>
        <w:rPr>
          <w:color w:val="231F20"/>
          <w:w w:val="90"/>
        </w:rPr>
        <w:t>disruptions</w:t>
      </w:r>
      <w:r>
        <w:rPr>
          <w:color w:val="231F20"/>
          <w:spacing w:val="-2"/>
          <w:w w:val="90"/>
        </w:rPr>
        <w:t> </w:t>
      </w:r>
      <w:r>
        <w:rPr>
          <w:color w:val="231F20"/>
          <w:w w:val="90"/>
        </w:rPr>
        <w:t>of</w:t>
      </w:r>
      <w:r>
        <w:rPr>
          <w:color w:val="231F20"/>
          <w:spacing w:val="-2"/>
          <w:w w:val="90"/>
        </w:rPr>
        <w:t> </w:t>
      </w:r>
      <w:r>
        <w:rPr>
          <w:color w:val="231F20"/>
          <w:w w:val="90"/>
        </w:rPr>
        <w:t>global</w:t>
      </w:r>
      <w:r>
        <w:rPr>
          <w:color w:val="231F20"/>
          <w:spacing w:val="-2"/>
          <w:w w:val="90"/>
        </w:rPr>
        <w:t> </w:t>
      </w:r>
      <w:r>
        <w:rPr>
          <w:color w:val="231F20"/>
          <w:w w:val="90"/>
        </w:rPr>
        <w:t>value</w:t>
      </w:r>
      <w:r>
        <w:rPr>
          <w:color w:val="231F20"/>
          <w:spacing w:val="-2"/>
          <w:w w:val="90"/>
        </w:rPr>
        <w:t> </w:t>
      </w:r>
      <w:r>
        <w:rPr>
          <w:color w:val="231F20"/>
          <w:w w:val="90"/>
        </w:rPr>
        <w:t>chains</w:t>
      </w:r>
      <w:r>
        <w:rPr>
          <w:color w:val="231F20"/>
          <w:spacing w:val="-2"/>
          <w:w w:val="90"/>
        </w:rPr>
        <w:t> </w:t>
      </w:r>
      <w:r>
        <w:rPr>
          <w:color w:val="231F20"/>
          <w:w w:val="90"/>
        </w:rPr>
        <w:t>have revealed the crucial importance of logistics sys- tems. Because of these disruptions, supply chain </w:t>
      </w:r>
      <w:r>
        <w:rPr>
          <w:color w:val="231F20"/>
          <w:spacing w:val="-6"/>
        </w:rPr>
        <w:t>resilience and its national security implications have emerged as top concerns. These concerns </w:t>
      </w:r>
      <w:r>
        <w:rPr>
          <w:color w:val="231F20"/>
        </w:rPr>
        <w:t>are often linked with supply chain security, </w:t>
      </w:r>
      <w:r>
        <w:rPr>
          <w:color w:val="231F20"/>
          <w:spacing w:val="-2"/>
        </w:rPr>
        <w:t>including</w:t>
      </w:r>
      <w:r>
        <w:rPr>
          <w:color w:val="231F20"/>
          <w:spacing w:val="-12"/>
        </w:rPr>
        <w:t> </w:t>
      </w:r>
      <w:r>
        <w:rPr>
          <w:color w:val="231F20"/>
          <w:spacing w:val="-2"/>
        </w:rPr>
        <w:t>cybersecurity—a</w:t>
      </w:r>
      <w:r>
        <w:rPr>
          <w:color w:val="231F20"/>
          <w:spacing w:val="-11"/>
        </w:rPr>
        <w:t> </w:t>
      </w:r>
      <w:r>
        <w:rPr>
          <w:color w:val="231F20"/>
          <w:spacing w:val="-2"/>
        </w:rPr>
        <w:t>key</w:t>
      </w:r>
      <w:r>
        <w:rPr>
          <w:color w:val="231F20"/>
          <w:spacing w:val="-11"/>
        </w:rPr>
        <w:t> </w:t>
      </w:r>
      <w:r>
        <w:rPr>
          <w:color w:val="231F20"/>
          <w:spacing w:val="-2"/>
        </w:rPr>
        <w:t>consideration in</w:t>
      </w:r>
      <w:r>
        <w:rPr>
          <w:color w:val="231F20"/>
          <w:spacing w:val="-12"/>
        </w:rPr>
        <w:t> </w:t>
      </w:r>
      <w:r>
        <w:rPr>
          <w:color w:val="231F20"/>
          <w:spacing w:val="-2"/>
        </w:rPr>
        <w:t>a</w:t>
      </w:r>
      <w:r>
        <w:rPr>
          <w:color w:val="231F20"/>
          <w:spacing w:val="-11"/>
        </w:rPr>
        <w:t> </w:t>
      </w:r>
      <w:r>
        <w:rPr>
          <w:color w:val="231F20"/>
          <w:spacing w:val="-2"/>
        </w:rPr>
        <w:t>highly</w:t>
      </w:r>
      <w:r>
        <w:rPr>
          <w:color w:val="231F20"/>
          <w:spacing w:val="-11"/>
        </w:rPr>
        <w:t> </w:t>
      </w:r>
      <w:r>
        <w:rPr>
          <w:color w:val="231F20"/>
          <w:spacing w:val="-2"/>
        </w:rPr>
        <w:t>digitalized</w:t>
      </w:r>
      <w:r>
        <w:rPr>
          <w:color w:val="231F20"/>
          <w:spacing w:val="-11"/>
        </w:rPr>
        <w:t> </w:t>
      </w:r>
      <w:r>
        <w:rPr>
          <w:color w:val="231F20"/>
          <w:spacing w:val="-2"/>
        </w:rPr>
        <w:t>and</w:t>
      </w:r>
      <w:r>
        <w:rPr>
          <w:color w:val="231F20"/>
          <w:spacing w:val="-11"/>
        </w:rPr>
        <w:t> </w:t>
      </w:r>
      <w:r>
        <w:rPr>
          <w:color w:val="231F20"/>
          <w:spacing w:val="-2"/>
        </w:rPr>
        <w:t>globally</w:t>
      </w:r>
      <w:r>
        <w:rPr>
          <w:color w:val="231F20"/>
          <w:spacing w:val="-11"/>
        </w:rPr>
        <w:t> </w:t>
      </w:r>
      <w:r>
        <w:rPr>
          <w:color w:val="231F20"/>
          <w:spacing w:val="-2"/>
        </w:rPr>
        <w:t>connected </w:t>
      </w:r>
      <w:r>
        <w:rPr>
          <w:color w:val="231F20"/>
        </w:rPr>
        <w:t>service</w:t>
      </w:r>
      <w:r>
        <w:rPr>
          <w:color w:val="231F20"/>
          <w:spacing w:val="-14"/>
        </w:rPr>
        <w:t> </w:t>
      </w:r>
      <w:r>
        <w:rPr>
          <w:color w:val="231F20"/>
        </w:rPr>
        <w:t>industry.</w:t>
      </w:r>
    </w:p>
    <w:p>
      <w:pPr>
        <w:pStyle w:val="BodyText"/>
        <w:spacing w:line="268" w:lineRule="auto"/>
        <w:ind w:left="3840" w:firstLine="300"/>
        <w:jc w:val="right"/>
      </w:pPr>
      <w:r>
        <w:rPr>
          <w:color w:val="231F20"/>
          <w:spacing w:val="-4"/>
        </w:rPr>
        <w:t>This</w:t>
      </w:r>
      <w:r>
        <w:rPr>
          <w:color w:val="231F20"/>
          <w:spacing w:val="-15"/>
        </w:rPr>
        <w:t> </w:t>
      </w:r>
      <w:r>
        <w:rPr>
          <w:color w:val="231F20"/>
          <w:spacing w:val="-4"/>
        </w:rPr>
        <w:t>report</w:t>
      </w:r>
      <w:r>
        <w:rPr>
          <w:color w:val="231F20"/>
          <w:spacing w:val="-15"/>
        </w:rPr>
        <w:t> </w:t>
      </w:r>
      <w:r>
        <w:rPr>
          <w:color w:val="231F20"/>
          <w:spacing w:val="-4"/>
        </w:rPr>
        <w:t>presents</w:t>
      </w:r>
      <w:r>
        <w:rPr>
          <w:color w:val="231F20"/>
          <w:spacing w:val="-15"/>
        </w:rPr>
        <w:t> </w:t>
      </w:r>
      <w:r>
        <w:rPr>
          <w:color w:val="231F20"/>
          <w:spacing w:val="-4"/>
        </w:rPr>
        <w:t>the</w:t>
      </w:r>
      <w:r>
        <w:rPr>
          <w:color w:val="231F20"/>
          <w:spacing w:val="-15"/>
        </w:rPr>
        <w:t> </w:t>
      </w:r>
      <w:r>
        <w:rPr>
          <w:color w:val="231F20"/>
          <w:spacing w:val="-4"/>
        </w:rPr>
        <w:t>latest</w:t>
      </w:r>
      <w:r>
        <w:rPr>
          <w:color w:val="231F20"/>
          <w:spacing w:val="-15"/>
        </w:rPr>
        <w:t> </w:t>
      </w:r>
      <w:r>
        <w:rPr>
          <w:color w:val="231F20"/>
          <w:spacing w:val="-4"/>
        </w:rPr>
        <w:t>view</w:t>
      </w:r>
      <w:r>
        <w:rPr>
          <w:color w:val="231F20"/>
          <w:spacing w:val="-15"/>
        </w:rPr>
        <w:t> </w:t>
      </w:r>
      <w:r>
        <w:rPr>
          <w:color w:val="231F20"/>
          <w:spacing w:val="-4"/>
        </w:rPr>
        <w:t>on</w:t>
      </w:r>
      <w:r>
        <w:rPr>
          <w:color w:val="231F20"/>
          <w:spacing w:val="-15"/>
        </w:rPr>
        <w:t> </w:t>
      </w:r>
      <w:r>
        <w:rPr>
          <w:color w:val="231F20"/>
          <w:spacing w:val="-4"/>
        </w:rPr>
        <w:t>trade </w:t>
      </w:r>
      <w:r>
        <w:rPr>
          <w:color w:val="231F20"/>
          <w:w w:val="90"/>
        </w:rPr>
        <w:t>logistics performance across 139 countries. Lo- </w:t>
      </w:r>
      <w:r>
        <w:rPr>
          <w:color w:val="231F20"/>
        </w:rPr>
        <w:t>gistics</w:t>
      </w:r>
      <w:r>
        <w:rPr>
          <w:color w:val="231F20"/>
          <w:spacing w:val="-12"/>
        </w:rPr>
        <w:t> </w:t>
      </w:r>
      <w:r>
        <w:rPr>
          <w:color w:val="231F20"/>
        </w:rPr>
        <w:t>is</w:t>
      </w:r>
      <w:r>
        <w:rPr>
          <w:color w:val="231F20"/>
          <w:spacing w:val="-12"/>
        </w:rPr>
        <w:t> </w:t>
      </w:r>
      <w:r>
        <w:rPr>
          <w:color w:val="231F20"/>
        </w:rPr>
        <w:t>understood</w:t>
      </w:r>
      <w:r>
        <w:rPr>
          <w:color w:val="231F20"/>
          <w:spacing w:val="-12"/>
        </w:rPr>
        <w:t> </w:t>
      </w:r>
      <w:r>
        <w:rPr>
          <w:color w:val="231F20"/>
        </w:rPr>
        <w:t>as</w:t>
      </w:r>
      <w:r>
        <w:rPr>
          <w:color w:val="231F20"/>
          <w:spacing w:val="-12"/>
        </w:rPr>
        <w:t> </w:t>
      </w:r>
      <w:r>
        <w:rPr>
          <w:color w:val="231F20"/>
        </w:rPr>
        <w:t>a</w:t>
      </w:r>
      <w:r>
        <w:rPr>
          <w:color w:val="231F20"/>
          <w:spacing w:val="-12"/>
        </w:rPr>
        <w:t> </w:t>
      </w:r>
      <w:r>
        <w:rPr>
          <w:color w:val="231F20"/>
        </w:rPr>
        <w:t>network</w:t>
      </w:r>
      <w:r>
        <w:rPr>
          <w:color w:val="231F20"/>
          <w:spacing w:val="-12"/>
        </w:rPr>
        <w:t> </w:t>
      </w:r>
      <w:r>
        <w:rPr>
          <w:color w:val="231F20"/>
        </w:rPr>
        <w:t>of</w:t>
      </w:r>
      <w:r>
        <w:rPr>
          <w:color w:val="231F20"/>
          <w:spacing w:val="-12"/>
        </w:rPr>
        <w:t> </w:t>
      </w:r>
      <w:r>
        <w:rPr>
          <w:color w:val="231F20"/>
        </w:rPr>
        <w:t>services </w:t>
      </w:r>
      <w:r>
        <w:rPr>
          <w:color w:val="231F20"/>
          <w:spacing w:val="-2"/>
        </w:rPr>
        <w:t>that</w:t>
      </w:r>
      <w:r>
        <w:rPr>
          <w:color w:val="231F20"/>
          <w:spacing w:val="-12"/>
        </w:rPr>
        <w:t> </w:t>
      </w:r>
      <w:r>
        <w:rPr>
          <w:color w:val="231F20"/>
          <w:spacing w:val="-2"/>
        </w:rPr>
        <w:t>support</w:t>
      </w:r>
      <w:r>
        <w:rPr>
          <w:color w:val="231F20"/>
          <w:spacing w:val="-11"/>
        </w:rPr>
        <w:t> </w:t>
      </w:r>
      <w:r>
        <w:rPr>
          <w:color w:val="231F20"/>
          <w:spacing w:val="-2"/>
        </w:rPr>
        <w:t>the</w:t>
      </w:r>
      <w:r>
        <w:rPr>
          <w:color w:val="231F20"/>
          <w:spacing w:val="-11"/>
        </w:rPr>
        <w:t> </w:t>
      </w:r>
      <w:r>
        <w:rPr>
          <w:color w:val="231F20"/>
          <w:spacing w:val="-2"/>
        </w:rPr>
        <w:t>physical</w:t>
      </w:r>
      <w:r>
        <w:rPr>
          <w:color w:val="231F20"/>
          <w:spacing w:val="-11"/>
        </w:rPr>
        <w:t> </w:t>
      </w:r>
      <w:r>
        <w:rPr>
          <w:color w:val="231F20"/>
          <w:spacing w:val="-2"/>
        </w:rPr>
        <w:t>movement</w:t>
      </w:r>
      <w:r>
        <w:rPr>
          <w:color w:val="231F20"/>
          <w:spacing w:val="-11"/>
        </w:rPr>
        <w:t> </w:t>
      </w:r>
      <w:r>
        <w:rPr>
          <w:color w:val="231F20"/>
          <w:spacing w:val="-2"/>
        </w:rPr>
        <w:t>of</w:t>
      </w:r>
      <w:r>
        <w:rPr>
          <w:color w:val="231F20"/>
          <w:spacing w:val="-11"/>
        </w:rPr>
        <w:t> </w:t>
      </w:r>
      <w:r>
        <w:rPr>
          <w:color w:val="231F20"/>
          <w:spacing w:val="-2"/>
        </w:rPr>
        <w:t>goods, </w:t>
      </w:r>
      <w:r>
        <w:rPr>
          <w:color w:val="231F20"/>
          <w:spacing w:val="-6"/>
        </w:rPr>
        <w:t>trade</w:t>
      </w:r>
      <w:r>
        <w:rPr>
          <w:color w:val="231F20"/>
          <w:spacing w:val="-15"/>
        </w:rPr>
        <w:t> </w:t>
      </w:r>
      <w:r>
        <w:rPr>
          <w:color w:val="231F20"/>
          <w:spacing w:val="-6"/>
        </w:rPr>
        <w:t>across</w:t>
      </w:r>
      <w:r>
        <w:rPr>
          <w:color w:val="231F20"/>
          <w:spacing w:val="-15"/>
        </w:rPr>
        <w:t> </w:t>
      </w:r>
      <w:r>
        <w:rPr>
          <w:color w:val="231F20"/>
          <w:spacing w:val="-6"/>
        </w:rPr>
        <w:t>borders,</w:t>
      </w:r>
      <w:r>
        <w:rPr>
          <w:color w:val="231F20"/>
          <w:spacing w:val="-15"/>
        </w:rPr>
        <w:t> </w:t>
      </w:r>
      <w:r>
        <w:rPr>
          <w:color w:val="231F20"/>
          <w:spacing w:val="-6"/>
        </w:rPr>
        <w:t>and</w:t>
      </w:r>
      <w:r>
        <w:rPr>
          <w:color w:val="231F20"/>
          <w:spacing w:val="-15"/>
        </w:rPr>
        <w:t> </w:t>
      </w:r>
      <w:r>
        <w:rPr>
          <w:color w:val="231F20"/>
          <w:spacing w:val="-6"/>
        </w:rPr>
        <w:t>commerce</w:t>
      </w:r>
      <w:r>
        <w:rPr>
          <w:color w:val="231F20"/>
          <w:spacing w:val="-15"/>
        </w:rPr>
        <w:t> </w:t>
      </w:r>
      <w:r>
        <w:rPr>
          <w:color w:val="231F20"/>
          <w:spacing w:val="-6"/>
        </w:rPr>
        <w:t>within</w:t>
      </w:r>
      <w:r>
        <w:rPr>
          <w:color w:val="231F20"/>
          <w:spacing w:val="-15"/>
        </w:rPr>
        <w:t> </w:t>
      </w:r>
      <w:r>
        <w:rPr>
          <w:color w:val="231F20"/>
          <w:spacing w:val="-6"/>
        </w:rPr>
        <w:t>bor- ders. It comprises transportation, warehousing, </w:t>
      </w:r>
      <w:r>
        <w:rPr>
          <w:color w:val="231F20"/>
          <w:w w:val="90"/>
        </w:rPr>
        <w:t>brokerage,</w:t>
      </w:r>
      <w:r>
        <w:rPr>
          <w:color w:val="231F20"/>
          <w:spacing w:val="-2"/>
          <w:w w:val="90"/>
        </w:rPr>
        <w:t> </w:t>
      </w:r>
      <w:r>
        <w:rPr>
          <w:color w:val="231F20"/>
          <w:w w:val="90"/>
        </w:rPr>
        <w:t>express</w:t>
      </w:r>
      <w:r>
        <w:rPr>
          <w:color w:val="231F20"/>
          <w:spacing w:val="-2"/>
          <w:w w:val="90"/>
        </w:rPr>
        <w:t> </w:t>
      </w:r>
      <w:r>
        <w:rPr>
          <w:color w:val="231F20"/>
          <w:w w:val="90"/>
        </w:rPr>
        <w:t>delivery,</w:t>
      </w:r>
      <w:r>
        <w:rPr>
          <w:color w:val="231F20"/>
          <w:spacing w:val="-2"/>
          <w:w w:val="90"/>
        </w:rPr>
        <w:t> </w:t>
      </w:r>
      <w:r>
        <w:rPr>
          <w:color w:val="231F20"/>
          <w:w w:val="90"/>
        </w:rPr>
        <w:t>terminal</w:t>
      </w:r>
      <w:r>
        <w:rPr>
          <w:color w:val="231F20"/>
          <w:spacing w:val="-2"/>
          <w:w w:val="90"/>
        </w:rPr>
        <w:t> </w:t>
      </w:r>
      <w:r>
        <w:rPr>
          <w:color w:val="231F20"/>
          <w:w w:val="90"/>
        </w:rPr>
        <w:t>operations, </w:t>
      </w:r>
      <w:r>
        <w:rPr>
          <w:color w:val="231F20"/>
          <w:spacing w:val="-4"/>
        </w:rPr>
        <w:t>and</w:t>
      </w:r>
      <w:r>
        <w:rPr>
          <w:color w:val="231F20"/>
          <w:spacing w:val="-14"/>
        </w:rPr>
        <w:t> </w:t>
      </w:r>
      <w:r>
        <w:rPr>
          <w:color w:val="231F20"/>
          <w:spacing w:val="-4"/>
        </w:rPr>
        <w:t>related</w:t>
      </w:r>
      <w:r>
        <w:rPr>
          <w:color w:val="231F20"/>
          <w:spacing w:val="-14"/>
        </w:rPr>
        <w:t> </w:t>
      </w:r>
      <w:r>
        <w:rPr>
          <w:color w:val="231F20"/>
          <w:spacing w:val="-4"/>
        </w:rPr>
        <w:t>data</w:t>
      </w:r>
      <w:r>
        <w:rPr>
          <w:color w:val="231F20"/>
          <w:spacing w:val="-14"/>
        </w:rPr>
        <w:t> </w:t>
      </w:r>
      <w:r>
        <w:rPr>
          <w:color w:val="231F20"/>
          <w:spacing w:val="-4"/>
        </w:rPr>
        <w:t>and</w:t>
      </w:r>
      <w:r>
        <w:rPr>
          <w:color w:val="231F20"/>
          <w:spacing w:val="-14"/>
        </w:rPr>
        <w:t> </w:t>
      </w:r>
      <w:r>
        <w:rPr>
          <w:color w:val="231F20"/>
          <w:spacing w:val="-4"/>
        </w:rPr>
        <w:t>information</w:t>
      </w:r>
      <w:r>
        <w:rPr>
          <w:color w:val="231F20"/>
          <w:spacing w:val="-14"/>
        </w:rPr>
        <w:t> </w:t>
      </w:r>
      <w:r>
        <w:rPr>
          <w:color w:val="231F20"/>
          <w:spacing w:val="-4"/>
        </w:rPr>
        <w:t>management. </w:t>
      </w:r>
      <w:r>
        <w:rPr>
          <w:color w:val="231F20"/>
        </w:rPr>
        <w:t>Previous</w:t>
      </w:r>
      <w:r>
        <w:rPr>
          <w:color w:val="231F20"/>
          <w:spacing w:val="-1"/>
        </w:rPr>
        <w:t> </w:t>
      </w:r>
      <w:r>
        <w:rPr>
          <w:color w:val="231F20"/>
        </w:rPr>
        <w:t>editions</w:t>
      </w:r>
      <w:r>
        <w:rPr>
          <w:color w:val="231F20"/>
          <w:spacing w:val="-1"/>
        </w:rPr>
        <w:t> </w:t>
      </w:r>
      <w:r>
        <w:rPr>
          <w:color w:val="231F20"/>
        </w:rPr>
        <w:t>of</w:t>
      </w:r>
      <w:r>
        <w:rPr>
          <w:color w:val="231F20"/>
          <w:spacing w:val="-1"/>
        </w:rPr>
        <w:t> </w:t>
      </w:r>
      <w:r>
        <w:rPr>
          <w:color w:val="231F20"/>
        </w:rPr>
        <w:t>this</w:t>
      </w:r>
      <w:r>
        <w:rPr>
          <w:color w:val="231F20"/>
          <w:spacing w:val="-1"/>
        </w:rPr>
        <w:t> </w:t>
      </w:r>
      <w:r>
        <w:rPr>
          <w:color w:val="231F20"/>
        </w:rPr>
        <w:t>report</w:t>
      </w:r>
      <w:r>
        <w:rPr>
          <w:color w:val="231F20"/>
          <w:spacing w:val="-1"/>
        </w:rPr>
        <w:t> </w:t>
      </w:r>
      <w:r>
        <w:rPr>
          <w:color w:val="231F20"/>
        </w:rPr>
        <w:t>have</w:t>
      </w:r>
      <w:r>
        <w:rPr>
          <w:color w:val="231F20"/>
          <w:spacing w:val="-1"/>
        </w:rPr>
        <w:t> </w:t>
      </w:r>
      <w:r>
        <w:rPr>
          <w:color w:val="231F20"/>
        </w:rPr>
        <w:t>relied </w:t>
      </w:r>
      <w:r>
        <w:rPr>
          <w:color w:val="231F20"/>
          <w:w w:val="90"/>
        </w:rPr>
        <w:t>exclusively</w:t>
      </w:r>
      <w:r>
        <w:rPr>
          <w:color w:val="231F20"/>
          <w:spacing w:val="-11"/>
          <w:w w:val="90"/>
        </w:rPr>
        <w:t> </w:t>
      </w:r>
      <w:r>
        <w:rPr>
          <w:color w:val="231F20"/>
          <w:w w:val="90"/>
        </w:rPr>
        <w:t>on</w:t>
      </w:r>
      <w:r>
        <w:rPr>
          <w:color w:val="231F20"/>
          <w:spacing w:val="-10"/>
          <w:w w:val="90"/>
        </w:rPr>
        <w:t> </w:t>
      </w:r>
      <w:r>
        <w:rPr>
          <w:color w:val="231F20"/>
          <w:w w:val="90"/>
        </w:rPr>
        <w:t>a</w:t>
      </w:r>
      <w:r>
        <w:rPr>
          <w:color w:val="231F20"/>
          <w:spacing w:val="-11"/>
          <w:w w:val="90"/>
        </w:rPr>
        <w:t> </w:t>
      </w:r>
      <w:r>
        <w:rPr>
          <w:color w:val="231F20"/>
          <w:w w:val="90"/>
        </w:rPr>
        <w:t>survey</w:t>
      </w:r>
      <w:r>
        <w:rPr>
          <w:color w:val="231F20"/>
          <w:spacing w:val="-10"/>
          <w:w w:val="90"/>
        </w:rPr>
        <w:t> </w:t>
      </w:r>
      <w:r>
        <w:rPr>
          <w:color w:val="231F20"/>
          <w:w w:val="90"/>
        </w:rPr>
        <w:t>of</w:t>
      </w:r>
      <w:r>
        <w:rPr>
          <w:color w:val="231F20"/>
          <w:spacing w:val="-11"/>
          <w:w w:val="90"/>
        </w:rPr>
        <w:t> </w:t>
      </w:r>
      <w:r>
        <w:rPr>
          <w:color w:val="231F20"/>
          <w:w w:val="90"/>
        </w:rPr>
        <w:t>logistics</w:t>
      </w:r>
      <w:r>
        <w:rPr>
          <w:color w:val="231F20"/>
          <w:spacing w:val="-11"/>
          <w:w w:val="90"/>
        </w:rPr>
        <w:t> </w:t>
      </w:r>
      <w:r>
        <w:rPr>
          <w:color w:val="231F20"/>
          <w:w w:val="90"/>
        </w:rPr>
        <w:t>professionals. </w:t>
      </w:r>
      <w:r>
        <w:rPr>
          <w:color w:val="231F20"/>
          <w:spacing w:val="-6"/>
        </w:rPr>
        <w:t>This</w:t>
      </w:r>
      <w:r>
        <w:rPr>
          <w:color w:val="231F20"/>
          <w:spacing w:val="-9"/>
        </w:rPr>
        <w:t> </w:t>
      </w:r>
      <w:r>
        <w:rPr>
          <w:color w:val="231F20"/>
          <w:spacing w:val="-6"/>
        </w:rPr>
        <w:t>edition</w:t>
      </w:r>
      <w:r>
        <w:rPr>
          <w:color w:val="231F20"/>
          <w:spacing w:val="-9"/>
        </w:rPr>
        <w:t> </w:t>
      </w:r>
      <w:r>
        <w:rPr>
          <w:color w:val="231F20"/>
          <w:spacing w:val="-6"/>
        </w:rPr>
        <w:t>introduces</w:t>
      </w:r>
      <w:r>
        <w:rPr>
          <w:color w:val="231F20"/>
          <w:spacing w:val="-9"/>
        </w:rPr>
        <w:t> </w:t>
      </w:r>
      <w:r>
        <w:rPr>
          <w:color w:val="231F20"/>
          <w:spacing w:val="-6"/>
        </w:rPr>
        <w:t>a</w:t>
      </w:r>
      <w:r>
        <w:rPr>
          <w:color w:val="231F20"/>
          <w:spacing w:val="-9"/>
        </w:rPr>
        <w:t> </w:t>
      </w:r>
      <w:r>
        <w:rPr>
          <w:color w:val="231F20"/>
          <w:spacing w:val="-6"/>
        </w:rPr>
        <w:t>new</w:t>
      </w:r>
      <w:r>
        <w:rPr>
          <w:color w:val="231F20"/>
          <w:spacing w:val="-9"/>
        </w:rPr>
        <w:t> </w:t>
      </w:r>
      <w:r>
        <w:rPr>
          <w:color w:val="231F20"/>
          <w:spacing w:val="-6"/>
        </w:rPr>
        <w:t>set</w:t>
      </w:r>
      <w:r>
        <w:rPr>
          <w:color w:val="231F20"/>
          <w:spacing w:val="-9"/>
        </w:rPr>
        <w:t> </w:t>
      </w:r>
      <w:r>
        <w:rPr>
          <w:color w:val="231F20"/>
          <w:spacing w:val="-6"/>
        </w:rPr>
        <w:t>of</w:t>
      </w:r>
      <w:r>
        <w:rPr>
          <w:color w:val="231F20"/>
          <w:spacing w:val="-9"/>
        </w:rPr>
        <w:t> </w:t>
      </w:r>
      <w:r>
        <w:rPr>
          <w:color w:val="231F20"/>
          <w:spacing w:val="-6"/>
        </w:rPr>
        <w:t>key</w:t>
      </w:r>
      <w:r>
        <w:rPr>
          <w:color w:val="231F20"/>
          <w:spacing w:val="-9"/>
        </w:rPr>
        <w:t> </w:t>
      </w:r>
      <w:r>
        <w:rPr>
          <w:color w:val="231F20"/>
          <w:spacing w:val="-6"/>
        </w:rPr>
        <w:t>perfor- </w:t>
      </w:r>
      <w:r>
        <w:rPr>
          <w:color w:val="231F20"/>
          <w:spacing w:val="-4"/>
        </w:rPr>
        <w:t>mance</w:t>
      </w:r>
      <w:r>
        <w:rPr>
          <w:color w:val="231F20"/>
          <w:spacing w:val="-9"/>
        </w:rPr>
        <w:t> </w:t>
      </w:r>
      <w:r>
        <w:rPr>
          <w:color w:val="231F20"/>
          <w:spacing w:val="-4"/>
        </w:rPr>
        <w:t>indicators,</w:t>
      </w:r>
      <w:r>
        <w:rPr>
          <w:color w:val="231F20"/>
          <w:spacing w:val="-9"/>
        </w:rPr>
        <w:t> </w:t>
      </w:r>
      <w:r>
        <w:rPr>
          <w:color w:val="231F20"/>
          <w:spacing w:val="-4"/>
        </w:rPr>
        <w:t>derived</w:t>
      </w:r>
      <w:r>
        <w:rPr>
          <w:color w:val="231F20"/>
          <w:spacing w:val="-9"/>
        </w:rPr>
        <w:t> </w:t>
      </w:r>
      <w:r>
        <w:rPr>
          <w:color w:val="231F20"/>
          <w:spacing w:val="-4"/>
        </w:rPr>
        <w:t>from</w:t>
      </w:r>
      <w:r>
        <w:rPr>
          <w:color w:val="231F20"/>
          <w:spacing w:val="-9"/>
        </w:rPr>
        <w:t> </w:t>
      </w:r>
      <w:r>
        <w:rPr>
          <w:color w:val="231F20"/>
          <w:spacing w:val="-4"/>
        </w:rPr>
        <w:t>a</w:t>
      </w:r>
      <w:r>
        <w:rPr>
          <w:color w:val="231F20"/>
          <w:spacing w:val="-9"/>
        </w:rPr>
        <w:t> </w:t>
      </w:r>
      <w:r>
        <w:rPr>
          <w:color w:val="231F20"/>
          <w:spacing w:val="-4"/>
        </w:rPr>
        <w:t>Big</w:t>
      </w:r>
      <w:r>
        <w:rPr>
          <w:color w:val="231F20"/>
          <w:spacing w:val="-9"/>
        </w:rPr>
        <w:t> </w:t>
      </w:r>
      <w:r>
        <w:rPr>
          <w:color w:val="231F20"/>
          <w:spacing w:val="-4"/>
        </w:rPr>
        <w:t>Data</w:t>
      </w:r>
      <w:r>
        <w:rPr>
          <w:color w:val="231F20"/>
          <w:spacing w:val="-9"/>
        </w:rPr>
        <w:t> </w:t>
      </w:r>
      <w:r>
        <w:rPr>
          <w:color w:val="231F20"/>
          <w:spacing w:val="-4"/>
        </w:rPr>
        <w:t>ap- </w:t>
      </w:r>
      <w:r>
        <w:rPr>
          <w:color w:val="231F20"/>
          <w:spacing w:val="-6"/>
        </w:rPr>
        <w:t>proach,</w:t>
      </w:r>
      <w:r>
        <w:rPr>
          <w:color w:val="231F20"/>
          <w:spacing w:val="-10"/>
        </w:rPr>
        <w:t> </w:t>
      </w:r>
      <w:r>
        <w:rPr>
          <w:color w:val="231F20"/>
          <w:spacing w:val="-6"/>
        </w:rPr>
        <w:t>on</w:t>
      </w:r>
      <w:r>
        <w:rPr>
          <w:color w:val="231F20"/>
          <w:spacing w:val="-10"/>
        </w:rPr>
        <w:t> </w:t>
      </w:r>
      <w:r>
        <w:rPr>
          <w:color w:val="231F20"/>
          <w:spacing w:val="-6"/>
        </w:rPr>
        <w:t>actual</w:t>
      </w:r>
      <w:r>
        <w:rPr>
          <w:color w:val="231F20"/>
          <w:spacing w:val="-10"/>
        </w:rPr>
        <w:t> </w:t>
      </w:r>
      <w:r>
        <w:rPr>
          <w:color w:val="231F20"/>
          <w:spacing w:val="-6"/>
        </w:rPr>
        <w:t>movements</w:t>
      </w:r>
      <w:r>
        <w:rPr>
          <w:color w:val="231F20"/>
          <w:spacing w:val="-10"/>
        </w:rPr>
        <w:t> </w:t>
      </w:r>
      <w:r>
        <w:rPr>
          <w:color w:val="231F20"/>
          <w:spacing w:val="-6"/>
        </w:rPr>
        <w:t>of</w:t>
      </w:r>
      <w:r>
        <w:rPr>
          <w:color w:val="231F20"/>
          <w:spacing w:val="-10"/>
        </w:rPr>
        <w:t> </w:t>
      </w:r>
      <w:r>
        <w:rPr>
          <w:color w:val="231F20"/>
          <w:spacing w:val="-6"/>
        </w:rPr>
        <w:t>maritime</w:t>
      </w:r>
      <w:r>
        <w:rPr>
          <w:color w:val="231F20"/>
          <w:spacing w:val="-10"/>
        </w:rPr>
        <w:t> </w:t>
      </w:r>
      <w:r>
        <w:rPr>
          <w:color w:val="231F20"/>
          <w:spacing w:val="-6"/>
        </w:rPr>
        <w:t>ship- </w:t>
      </w:r>
      <w:r>
        <w:rPr>
          <w:color w:val="231F20"/>
          <w:w w:val="90"/>
        </w:rPr>
        <w:t>ping</w:t>
      </w:r>
      <w:r>
        <w:rPr>
          <w:color w:val="231F20"/>
          <w:spacing w:val="-2"/>
          <w:w w:val="90"/>
        </w:rPr>
        <w:t> </w:t>
      </w:r>
      <w:r>
        <w:rPr>
          <w:color w:val="231F20"/>
          <w:w w:val="90"/>
        </w:rPr>
        <w:t>containers,</w:t>
      </w:r>
      <w:r>
        <w:rPr>
          <w:color w:val="231F20"/>
          <w:spacing w:val="-2"/>
          <w:w w:val="90"/>
        </w:rPr>
        <w:t> </w:t>
      </w:r>
      <w:r>
        <w:rPr>
          <w:color w:val="231F20"/>
          <w:w w:val="90"/>
        </w:rPr>
        <w:t>air</w:t>
      </w:r>
      <w:r>
        <w:rPr>
          <w:color w:val="231F20"/>
          <w:spacing w:val="-2"/>
          <w:w w:val="90"/>
        </w:rPr>
        <w:t> </w:t>
      </w:r>
      <w:r>
        <w:rPr>
          <w:color w:val="231F20"/>
          <w:w w:val="90"/>
        </w:rPr>
        <w:t>freight,</w:t>
      </w:r>
      <w:r>
        <w:rPr>
          <w:color w:val="231F20"/>
          <w:spacing w:val="-2"/>
          <w:w w:val="90"/>
        </w:rPr>
        <w:t> </w:t>
      </w:r>
      <w:r>
        <w:rPr>
          <w:color w:val="231F20"/>
          <w:w w:val="90"/>
        </w:rPr>
        <w:t>and</w:t>
      </w:r>
      <w:r>
        <w:rPr>
          <w:color w:val="231F20"/>
          <w:spacing w:val="-2"/>
          <w:w w:val="90"/>
        </w:rPr>
        <w:t> </w:t>
      </w:r>
      <w:r>
        <w:rPr>
          <w:color w:val="231F20"/>
          <w:w w:val="90"/>
        </w:rPr>
        <w:t>postal</w:t>
      </w:r>
      <w:r>
        <w:rPr>
          <w:color w:val="231F20"/>
          <w:spacing w:val="-2"/>
          <w:w w:val="90"/>
        </w:rPr>
        <w:t> </w:t>
      </w:r>
      <w:r>
        <w:rPr>
          <w:color w:val="231F20"/>
          <w:w w:val="90"/>
        </w:rPr>
        <w:t>parcels</w:t>
      </w:r>
      <w:r>
        <w:rPr>
          <w:color w:val="231F20"/>
          <w:spacing w:val="-2"/>
          <w:w w:val="90"/>
        </w:rPr>
        <w:t> </w:t>
      </w:r>
      <w:r>
        <w:rPr>
          <w:color w:val="231F20"/>
          <w:w w:val="90"/>
        </w:rPr>
        <w:t>by </w:t>
      </w:r>
      <w:r>
        <w:rPr>
          <w:color w:val="231F20"/>
          <w:spacing w:val="-4"/>
        </w:rPr>
        <w:t>trade</w:t>
      </w:r>
      <w:r>
        <w:rPr>
          <w:color w:val="231F20"/>
          <w:spacing w:val="-10"/>
        </w:rPr>
        <w:t> </w:t>
      </w:r>
      <w:r>
        <w:rPr>
          <w:color w:val="231F20"/>
          <w:spacing w:val="-4"/>
        </w:rPr>
        <w:t>lane</w:t>
      </w:r>
      <w:r>
        <w:rPr>
          <w:color w:val="231F20"/>
          <w:spacing w:val="-9"/>
        </w:rPr>
        <w:t> </w:t>
      </w:r>
      <w:r>
        <w:rPr>
          <w:color w:val="231F20"/>
          <w:spacing w:val="-4"/>
        </w:rPr>
        <w:t>and</w:t>
      </w:r>
      <w:r>
        <w:rPr>
          <w:color w:val="231F20"/>
          <w:spacing w:val="-9"/>
        </w:rPr>
        <w:t> </w:t>
      </w:r>
      <w:r>
        <w:rPr>
          <w:color w:val="231F20"/>
          <w:spacing w:val="-4"/>
        </w:rPr>
        <w:t>gateway.</w:t>
      </w:r>
      <w:r>
        <w:rPr>
          <w:color w:val="231F20"/>
          <w:spacing w:val="-9"/>
        </w:rPr>
        <w:t> </w:t>
      </w:r>
      <w:r>
        <w:rPr>
          <w:color w:val="231F20"/>
          <w:spacing w:val="-4"/>
        </w:rPr>
        <w:t>These</w:t>
      </w:r>
      <w:r>
        <w:rPr>
          <w:color w:val="231F20"/>
          <w:spacing w:val="-9"/>
        </w:rPr>
        <w:t> </w:t>
      </w:r>
      <w:r>
        <w:rPr>
          <w:color w:val="231F20"/>
          <w:spacing w:val="-4"/>
        </w:rPr>
        <w:t>indicators</w:t>
      </w:r>
      <w:r>
        <w:rPr>
          <w:color w:val="231F20"/>
          <w:spacing w:val="-9"/>
        </w:rPr>
        <w:t> </w:t>
      </w:r>
      <w:r>
        <w:rPr>
          <w:color w:val="231F20"/>
          <w:spacing w:val="-4"/>
        </w:rPr>
        <w:t>com- plement</w:t>
      </w:r>
      <w:r>
        <w:rPr>
          <w:color w:val="231F20"/>
          <w:spacing w:val="-9"/>
        </w:rPr>
        <w:t> </w:t>
      </w:r>
      <w:r>
        <w:rPr>
          <w:color w:val="231F20"/>
          <w:spacing w:val="-4"/>
        </w:rPr>
        <w:t>the</w:t>
      </w:r>
      <w:r>
        <w:rPr>
          <w:color w:val="231F20"/>
          <w:spacing w:val="-9"/>
        </w:rPr>
        <w:t> </w:t>
      </w:r>
      <w:r>
        <w:rPr>
          <w:color w:val="231F20"/>
          <w:spacing w:val="-4"/>
        </w:rPr>
        <w:t>traditional</w:t>
      </w:r>
      <w:r>
        <w:rPr>
          <w:color w:val="231F20"/>
          <w:spacing w:val="-9"/>
        </w:rPr>
        <w:t> </w:t>
      </w:r>
      <w:r>
        <w:rPr>
          <w:color w:val="231F20"/>
          <w:spacing w:val="-4"/>
        </w:rPr>
        <w:t>survey-based</w:t>
      </w:r>
      <w:r>
        <w:rPr>
          <w:color w:val="231F20"/>
          <w:spacing w:val="-9"/>
        </w:rPr>
        <w:t> </w:t>
      </w:r>
      <w:r>
        <w:rPr>
          <w:color w:val="231F20"/>
          <w:spacing w:val="-4"/>
        </w:rPr>
        <w:t>Logistics </w:t>
      </w:r>
      <w:r>
        <w:rPr>
          <w:color w:val="231F20"/>
          <w:spacing w:val="-6"/>
        </w:rPr>
        <w:t>Performance Index (LPI), on which LPI scores </w:t>
      </w:r>
      <w:r>
        <w:rPr>
          <w:color w:val="231F20"/>
          <w:w w:val="90"/>
        </w:rPr>
        <w:t>and</w:t>
      </w:r>
      <w:r>
        <w:rPr>
          <w:color w:val="231F20"/>
          <w:spacing w:val="-5"/>
          <w:w w:val="90"/>
        </w:rPr>
        <w:t> </w:t>
      </w:r>
      <w:r>
        <w:rPr>
          <w:color w:val="231F20"/>
          <w:w w:val="90"/>
        </w:rPr>
        <w:t>ranks</w:t>
      </w:r>
      <w:r>
        <w:rPr>
          <w:color w:val="231F20"/>
          <w:spacing w:val="-5"/>
          <w:w w:val="90"/>
        </w:rPr>
        <w:t> </w:t>
      </w:r>
      <w:r>
        <w:rPr>
          <w:color w:val="231F20"/>
          <w:w w:val="90"/>
        </w:rPr>
        <w:t>are</w:t>
      </w:r>
      <w:r>
        <w:rPr>
          <w:color w:val="231F20"/>
          <w:spacing w:val="-5"/>
          <w:w w:val="90"/>
        </w:rPr>
        <w:t> </w:t>
      </w:r>
      <w:r>
        <w:rPr>
          <w:color w:val="231F20"/>
          <w:w w:val="90"/>
        </w:rPr>
        <w:t>still</w:t>
      </w:r>
      <w:r>
        <w:rPr>
          <w:color w:val="231F20"/>
          <w:spacing w:val="-5"/>
          <w:w w:val="90"/>
        </w:rPr>
        <w:t> </w:t>
      </w:r>
      <w:r>
        <w:rPr>
          <w:color w:val="231F20"/>
          <w:w w:val="90"/>
        </w:rPr>
        <w:t>based.</w:t>
      </w:r>
      <w:r>
        <w:rPr>
          <w:color w:val="231F20"/>
          <w:spacing w:val="-5"/>
          <w:w w:val="90"/>
        </w:rPr>
        <w:t> </w:t>
      </w:r>
      <w:r>
        <w:rPr>
          <w:color w:val="231F20"/>
          <w:w w:val="90"/>
        </w:rPr>
        <w:t>The</w:t>
      </w:r>
      <w:r>
        <w:rPr>
          <w:color w:val="231F20"/>
          <w:spacing w:val="-5"/>
          <w:w w:val="90"/>
        </w:rPr>
        <w:t> </w:t>
      </w:r>
      <w:r>
        <w:rPr>
          <w:color w:val="231F20"/>
          <w:w w:val="90"/>
        </w:rPr>
        <w:t>survey</w:t>
      </w:r>
      <w:r>
        <w:rPr>
          <w:color w:val="231F20"/>
          <w:spacing w:val="-5"/>
          <w:w w:val="90"/>
        </w:rPr>
        <w:t> </w:t>
      </w:r>
      <w:r>
        <w:rPr>
          <w:color w:val="231F20"/>
          <w:w w:val="90"/>
        </w:rPr>
        <w:t>asks</w:t>
      </w:r>
      <w:r>
        <w:rPr>
          <w:color w:val="231F20"/>
          <w:spacing w:val="-5"/>
          <w:w w:val="90"/>
        </w:rPr>
        <w:t> </w:t>
      </w:r>
      <w:r>
        <w:rPr>
          <w:color w:val="231F20"/>
          <w:w w:val="90"/>
        </w:rPr>
        <w:t>a</w:t>
      </w:r>
      <w:r>
        <w:rPr>
          <w:color w:val="231F20"/>
          <w:spacing w:val="-5"/>
          <w:w w:val="90"/>
        </w:rPr>
        <w:t> </w:t>
      </w:r>
      <w:r>
        <w:rPr>
          <w:color w:val="231F20"/>
          <w:w w:val="90"/>
        </w:rPr>
        <w:t>given country’s</w:t>
      </w:r>
      <w:r>
        <w:rPr>
          <w:color w:val="231F20"/>
          <w:spacing w:val="-2"/>
          <w:w w:val="90"/>
        </w:rPr>
        <w:t> </w:t>
      </w:r>
      <w:r>
        <w:rPr>
          <w:color w:val="231F20"/>
          <w:w w:val="90"/>
        </w:rPr>
        <w:t>partners</w:t>
      </w:r>
      <w:r>
        <w:rPr>
          <w:color w:val="231F20"/>
          <w:spacing w:val="-2"/>
          <w:w w:val="90"/>
        </w:rPr>
        <w:t> </w:t>
      </w:r>
      <w:r>
        <w:rPr>
          <w:color w:val="231F20"/>
          <w:w w:val="90"/>
        </w:rPr>
        <w:t>to</w:t>
      </w:r>
      <w:r>
        <w:rPr>
          <w:color w:val="231F20"/>
          <w:spacing w:val="-2"/>
          <w:w w:val="90"/>
        </w:rPr>
        <w:t> </w:t>
      </w:r>
      <w:r>
        <w:rPr>
          <w:color w:val="231F20"/>
          <w:w w:val="90"/>
        </w:rPr>
        <w:t>assess</w:t>
      </w:r>
      <w:r>
        <w:rPr>
          <w:color w:val="231F20"/>
          <w:spacing w:val="-2"/>
          <w:w w:val="90"/>
        </w:rPr>
        <w:t> </w:t>
      </w:r>
      <w:r>
        <w:rPr>
          <w:color w:val="231F20"/>
          <w:w w:val="90"/>
        </w:rPr>
        <w:t>how</w:t>
      </w:r>
      <w:r>
        <w:rPr>
          <w:color w:val="231F20"/>
          <w:spacing w:val="-2"/>
          <w:w w:val="90"/>
        </w:rPr>
        <w:t> </w:t>
      </w:r>
      <w:r>
        <w:rPr>
          <w:color w:val="231F20"/>
          <w:w w:val="90"/>
        </w:rPr>
        <w:t>easy</w:t>
      </w:r>
      <w:r>
        <w:rPr>
          <w:color w:val="231F20"/>
          <w:spacing w:val="-2"/>
          <w:w w:val="90"/>
        </w:rPr>
        <w:t> </w:t>
      </w:r>
      <w:r>
        <w:rPr>
          <w:color w:val="231F20"/>
          <w:w w:val="90"/>
        </w:rPr>
        <w:t>or</w:t>
      </w:r>
      <w:r>
        <w:rPr>
          <w:color w:val="231F20"/>
          <w:spacing w:val="-2"/>
          <w:w w:val="90"/>
        </w:rPr>
        <w:t> </w:t>
      </w:r>
      <w:r>
        <w:rPr>
          <w:color w:val="231F20"/>
          <w:w w:val="90"/>
        </w:rPr>
        <w:t>difficult </w:t>
      </w:r>
      <w:r>
        <w:rPr>
          <w:color w:val="231F20"/>
        </w:rPr>
        <w:t>it</w:t>
      </w:r>
      <w:r>
        <w:rPr>
          <w:color w:val="231F20"/>
          <w:spacing w:val="-7"/>
        </w:rPr>
        <w:t> </w:t>
      </w:r>
      <w:r>
        <w:rPr>
          <w:color w:val="231F20"/>
        </w:rPr>
        <w:t>is</w:t>
      </w:r>
      <w:r>
        <w:rPr>
          <w:color w:val="231F20"/>
          <w:spacing w:val="-7"/>
        </w:rPr>
        <w:t> </w:t>
      </w:r>
      <w:r>
        <w:rPr>
          <w:color w:val="231F20"/>
        </w:rPr>
        <w:t>to</w:t>
      </w:r>
      <w:r>
        <w:rPr>
          <w:color w:val="231F20"/>
          <w:spacing w:val="-7"/>
        </w:rPr>
        <w:t> </w:t>
      </w:r>
      <w:r>
        <w:rPr>
          <w:color w:val="231F20"/>
        </w:rPr>
        <w:t>trade</w:t>
      </w:r>
      <w:r>
        <w:rPr>
          <w:color w:val="231F20"/>
          <w:spacing w:val="-7"/>
        </w:rPr>
        <w:t> </w:t>
      </w:r>
      <w:r>
        <w:rPr>
          <w:color w:val="231F20"/>
        </w:rPr>
        <w:t>in</w:t>
      </w:r>
      <w:r>
        <w:rPr>
          <w:color w:val="231F20"/>
          <w:spacing w:val="-7"/>
        </w:rPr>
        <w:t> </w:t>
      </w:r>
      <w:r>
        <w:rPr>
          <w:color w:val="231F20"/>
        </w:rPr>
        <w:t>manufactured</w:t>
      </w:r>
      <w:r>
        <w:rPr>
          <w:color w:val="231F20"/>
          <w:spacing w:val="-7"/>
        </w:rPr>
        <w:t> </w:t>
      </w:r>
      <w:r>
        <w:rPr>
          <w:color w:val="231F20"/>
        </w:rPr>
        <w:t>products</w:t>
      </w:r>
      <w:r>
        <w:rPr>
          <w:color w:val="231F20"/>
          <w:spacing w:val="-7"/>
        </w:rPr>
        <w:t> </w:t>
      </w:r>
      <w:r>
        <w:rPr>
          <w:color w:val="231F20"/>
        </w:rPr>
        <w:t>trans- </w:t>
      </w:r>
      <w:r>
        <w:rPr>
          <w:color w:val="231F20"/>
          <w:spacing w:val="-2"/>
        </w:rPr>
        <w:t>ported</w:t>
      </w:r>
      <w:r>
        <w:rPr>
          <w:color w:val="231F20"/>
          <w:spacing w:val="-12"/>
        </w:rPr>
        <w:t> </w:t>
      </w:r>
      <w:r>
        <w:rPr>
          <w:color w:val="231F20"/>
          <w:spacing w:val="-2"/>
        </w:rPr>
        <w:t>in</w:t>
      </w:r>
      <w:r>
        <w:rPr>
          <w:color w:val="231F20"/>
          <w:spacing w:val="-11"/>
        </w:rPr>
        <w:t> </w:t>
      </w:r>
      <w:r>
        <w:rPr>
          <w:color w:val="231F20"/>
          <w:spacing w:val="-2"/>
        </w:rPr>
        <w:t>unit</w:t>
      </w:r>
      <w:r>
        <w:rPr>
          <w:color w:val="231F20"/>
          <w:spacing w:val="-11"/>
        </w:rPr>
        <w:t> </w:t>
      </w:r>
      <w:r>
        <w:rPr>
          <w:color w:val="231F20"/>
          <w:spacing w:val="-2"/>
        </w:rPr>
        <w:t>forms</w:t>
      </w:r>
      <w:r>
        <w:rPr>
          <w:color w:val="231F20"/>
          <w:spacing w:val="-11"/>
        </w:rPr>
        <w:t> </w:t>
      </w:r>
      <w:r>
        <w:rPr>
          <w:color w:val="231F20"/>
          <w:spacing w:val="-2"/>
        </w:rPr>
        <w:t>such</w:t>
      </w:r>
      <w:r>
        <w:rPr>
          <w:color w:val="231F20"/>
          <w:spacing w:val="-11"/>
        </w:rPr>
        <w:t> </w:t>
      </w:r>
      <w:r>
        <w:rPr>
          <w:color w:val="231F20"/>
          <w:spacing w:val="-2"/>
        </w:rPr>
        <w:t>as</w:t>
      </w:r>
      <w:r>
        <w:rPr>
          <w:color w:val="231F20"/>
          <w:spacing w:val="-11"/>
        </w:rPr>
        <w:t> </w:t>
      </w:r>
      <w:r>
        <w:rPr>
          <w:color w:val="231F20"/>
          <w:spacing w:val="-2"/>
        </w:rPr>
        <w:t>shipping</w:t>
      </w:r>
      <w:r>
        <w:rPr>
          <w:color w:val="231F20"/>
          <w:spacing w:val="-11"/>
        </w:rPr>
        <w:t> </w:t>
      </w:r>
      <w:r>
        <w:rPr>
          <w:color w:val="231F20"/>
          <w:spacing w:val="-2"/>
        </w:rPr>
        <w:t>contain- </w:t>
      </w:r>
      <w:r>
        <w:rPr>
          <w:color w:val="231F20"/>
          <w:spacing w:val="-6"/>
        </w:rPr>
        <w:t>ers.</w:t>
      </w:r>
      <w:r>
        <w:rPr>
          <w:color w:val="231F20"/>
          <w:spacing w:val="-8"/>
        </w:rPr>
        <w:t> </w:t>
      </w:r>
      <w:r>
        <w:rPr>
          <w:color w:val="231F20"/>
          <w:spacing w:val="-6"/>
        </w:rPr>
        <w:t>The</w:t>
      </w:r>
      <w:r>
        <w:rPr>
          <w:color w:val="231F20"/>
          <w:spacing w:val="-8"/>
        </w:rPr>
        <w:t> </w:t>
      </w:r>
      <w:r>
        <w:rPr>
          <w:color w:val="231F20"/>
          <w:spacing w:val="-6"/>
        </w:rPr>
        <w:t>six</w:t>
      </w:r>
      <w:r>
        <w:rPr>
          <w:color w:val="231F20"/>
          <w:spacing w:val="-8"/>
        </w:rPr>
        <w:t> </w:t>
      </w:r>
      <w:r>
        <w:rPr>
          <w:color w:val="231F20"/>
          <w:spacing w:val="-6"/>
        </w:rPr>
        <w:t>components</w:t>
      </w:r>
      <w:r>
        <w:rPr>
          <w:color w:val="231F20"/>
          <w:spacing w:val="-8"/>
        </w:rPr>
        <w:t> </w:t>
      </w:r>
      <w:r>
        <w:rPr>
          <w:color w:val="231F20"/>
          <w:spacing w:val="-6"/>
        </w:rPr>
        <w:t>of</w:t>
      </w:r>
      <w:r>
        <w:rPr>
          <w:color w:val="231F20"/>
          <w:spacing w:val="-8"/>
        </w:rPr>
        <w:t> </w:t>
      </w:r>
      <w:r>
        <w:rPr>
          <w:color w:val="231F20"/>
          <w:spacing w:val="-6"/>
        </w:rPr>
        <w:t>the</w:t>
      </w:r>
      <w:r>
        <w:rPr>
          <w:color w:val="231F20"/>
          <w:spacing w:val="-8"/>
        </w:rPr>
        <w:t> </w:t>
      </w:r>
      <w:r>
        <w:rPr>
          <w:color w:val="231F20"/>
          <w:spacing w:val="-6"/>
        </w:rPr>
        <w:t>LPI,</w:t>
      </w:r>
      <w:r>
        <w:rPr>
          <w:color w:val="231F20"/>
          <w:spacing w:val="-8"/>
        </w:rPr>
        <w:t> </w:t>
      </w:r>
      <w:r>
        <w:rPr>
          <w:color w:val="231F20"/>
          <w:spacing w:val="-6"/>
        </w:rPr>
        <w:t>unchanged </w:t>
      </w:r>
      <w:r>
        <w:rPr>
          <w:color w:val="231F20"/>
        </w:rPr>
        <w:t>since</w:t>
      </w:r>
      <w:r>
        <w:rPr>
          <w:color w:val="231F20"/>
          <w:spacing w:val="7"/>
        </w:rPr>
        <w:t> </w:t>
      </w:r>
      <w:r>
        <w:rPr>
          <w:color w:val="231F20"/>
        </w:rPr>
        <w:t>its</w:t>
      </w:r>
      <w:r>
        <w:rPr>
          <w:color w:val="231F20"/>
          <w:spacing w:val="7"/>
        </w:rPr>
        <w:t> </w:t>
      </w:r>
      <w:r>
        <w:rPr>
          <w:color w:val="231F20"/>
        </w:rPr>
        <w:t>launch</w:t>
      </w:r>
      <w:r>
        <w:rPr>
          <w:color w:val="231F20"/>
          <w:spacing w:val="8"/>
        </w:rPr>
        <w:t> </w:t>
      </w:r>
      <w:r>
        <w:rPr>
          <w:color w:val="231F20"/>
        </w:rPr>
        <w:t>in</w:t>
      </w:r>
      <w:r>
        <w:rPr>
          <w:color w:val="231F20"/>
          <w:spacing w:val="7"/>
        </w:rPr>
        <w:t> </w:t>
      </w:r>
      <w:r>
        <w:rPr>
          <w:color w:val="231F20"/>
        </w:rPr>
        <w:t>2007,</w:t>
      </w:r>
      <w:r>
        <w:rPr>
          <w:color w:val="231F20"/>
          <w:spacing w:val="7"/>
        </w:rPr>
        <w:t> </w:t>
      </w:r>
      <w:r>
        <w:rPr>
          <w:color w:val="231F20"/>
        </w:rPr>
        <w:t>are</w:t>
      </w:r>
      <w:r>
        <w:rPr>
          <w:color w:val="231F20"/>
          <w:spacing w:val="8"/>
        </w:rPr>
        <w:t> </w:t>
      </w:r>
      <w:r>
        <w:rPr>
          <w:color w:val="231F20"/>
        </w:rPr>
        <w:t>assessed</w:t>
      </w:r>
      <w:r>
        <w:rPr>
          <w:color w:val="231F20"/>
          <w:spacing w:val="7"/>
        </w:rPr>
        <w:t> </w:t>
      </w:r>
      <w:r>
        <w:rPr>
          <w:color w:val="231F20"/>
        </w:rPr>
        <w:t>at</w:t>
      </w:r>
      <w:r>
        <w:rPr>
          <w:color w:val="231F20"/>
          <w:spacing w:val="7"/>
        </w:rPr>
        <w:t> </w:t>
      </w:r>
      <w:r>
        <w:rPr>
          <w:color w:val="231F20"/>
          <w:spacing w:val="-5"/>
        </w:rPr>
        <w:t>the</w:t>
      </w:r>
    </w:p>
    <w:p>
      <w:pPr>
        <w:pStyle w:val="BodyText"/>
        <w:spacing w:line="231" w:lineRule="exact"/>
        <w:ind w:left="3840"/>
        <w:jc w:val="both"/>
        <w:rPr>
          <w:sz w:val="14"/>
        </w:rPr>
      </w:pPr>
      <w:r>
        <w:rPr>
          <w:color w:val="231F20"/>
          <w:spacing w:val="-6"/>
        </w:rPr>
        <w:t>country</w:t>
      </w:r>
      <w:r>
        <w:rPr>
          <w:color w:val="231F20"/>
          <w:spacing w:val="-8"/>
        </w:rPr>
        <w:t> </w:t>
      </w:r>
      <w:r>
        <w:rPr>
          <w:color w:val="231F20"/>
          <w:spacing w:val="-6"/>
        </w:rPr>
        <w:t>level</w:t>
      </w:r>
      <w:r>
        <w:rPr>
          <w:color w:val="231F20"/>
          <w:spacing w:val="-7"/>
        </w:rPr>
        <w:t> </w:t>
      </w:r>
      <w:r>
        <w:rPr>
          <w:color w:val="231F20"/>
          <w:spacing w:val="-6"/>
        </w:rPr>
        <w:t>on</w:t>
      </w:r>
      <w:r>
        <w:rPr>
          <w:color w:val="231F20"/>
          <w:spacing w:val="-8"/>
        </w:rPr>
        <w:t> </w:t>
      </w:r>
      <w:r>
        <w:rPr>
          <w:color w:val="231F20"/>
          <w:spacing w:val="-6"/>
        </w:rPr>
        <w:t>a</w:t>
      </w:r>
      <w:r>
        <w:rPr>
          <w:color w:val="231F20"/>
          <w:spacing w:val="-7"/>
        </w:rPr>
        <w:t> </w:t>
      </w:r>
      <w:r>
        <w:rPr>
          <w:color w:val="231F20"/>
          <w:spacing w:val="-6"/>
        </w:rPr>
        <w:t>5-point</w:t>
      </w:r>
      <w:r>
        <w:rPr>
          <w:color w:val="231F20"/>
          <w:spacing w:val="-8"/>
        </w:rPr>
        <w:t> </w:t>
      </w:r>
      <w:r>
        <w:rPr>
          <w:color w:val="231F20"/>
          <w:spacing w:val="-6"/>
        </w:rPr>
        <w:t>scale.</w:t>
      </w:r>
      <w:r>
        <w:rPr>
          <w:color w:val="231F20"/>
          <w:spacing w:val="-6"/>
          <w:position w:val="7"/>
          <w:sz w:val="14"/>
        </w:rPr>
        <w:t>1</w:t>
      </w:r>
    </w:p>
    <w:p>
      <w:pPr>
        <w:pStyle w:val="BodyText"/>
        <w:spacing w:line="266" w:lineRule="auto" w:before="24"/>
        <w:ind w:left="3840" w:firstLine="300"/>
        <w:jc w:val="both"/>
      </w:pPr>
      <w:r>
        <w:rPr>
          <w:color w:val="231F20"/>
          <w:spacing w:val="-2"/>
        </w:rPr>
        <w:t>The</w:t>
      </w:r>
      <w:r>
        <w:rPr>
          <w:color w:val="231F20"/>
          <w:spacing w:val="-12"/>
        </w:rPr>
        <w:t> </w:t>
      </w:r>
      <w:r>
        <w:rPr>
          <w:color w:val="231F20"/>
          <w:spacing w:val="-2"/>
        </w:rPr>
        <w:t>2023</w:t>
      </w:r>
      <w:r>
        <w:rPr>
          <w:color w:val="231F20"/>
          <w:spacing w:val="-11"/>
        </w:rPr>
        <w:t> </w:t>
      </w:r>
      <w:r>
        <w:rPr>
          <w:color w:val="231F20"/>
          <w:spacing w:val="-2"/>
        </w:rPr>
        <w:t>LPI</w:t>
      </w:r>
      <w:r>
        <w:rPr>
          <w:color w:val="231F20"/>
          <w:spacing w:val="-11"/>
        </w:rPr>
        <w:t> </w:t>
      </w:r>
      <w:r>
        <w:rPr>
          <w:color w:val="231F20"/>
          <w:spacing w:val="-2"/>
        </w:rPr>
        <w:t>survey</w:t>
      </w:r>
      <w:r>
        <w:rPr>
          <w:color w:val="231F20"/>
          <w:spacing w:val="-11"/>
        </w:rPr>
        <w:t> </w:t>
      </w:r>
      <w:r>
        <w:rPr>
          <w:color w:val="231F20"/>
          <w:spacing w:val="-2"/>
        </w:rPr>
        <w:t>was</w:t>
      </w:r>
      <w:r>
        <w:rPr>
          <w:color w:val="231F20"/>
          <w:spacing w:val="-11"/>
        </w:rPr>
        <w:t> </w:t>
      </w:r>
      <w:r>
        <w:rPr>
          <w:color w:val="231F20"/>
          <w:spacing w:val="-2"/>
        </w:rPr>
        <w:t>conducted</w:t>
      </w:r>
      <w:r>
        <w:rPr>
          <w:color w:val="231F20"/>
          <w:spacing w:val="-11"/>
        </w:rPr>
        <w:t> </w:t>
      </w:r>
      <w:r>
        <w:rPr>
          <w:color w:val="231F20"/>
          <w:spacing w:val="-2"/>
        </w:rPr>
        <w:t>from </w:t>
      </w:r>
      <w:r>
        <w:rPr>
          <w:color w:val="231F20"/>
          <w:spacing w:val="-4"/>
        </w:rPr>
        <w:t>September</w:t>
      </w:r>
      <w:r>
        <w:rPr>
          <w:color w:val="231F20"/>
          <w:spacing w:val="-7"/>
        </w:rPr>
        <w:t> </w:t>
      </w:r>
      <w:r>
        <w:rPr>
          <w:color w:val="231F20"/>
          <w:spacing w:val="-4"/>
        </w:rPr>
        <w:t>6</w:t>
      </w:r>
      <w:r>
        <w:rPr>
          <w:color w:val="231F20"/>
          <w:spacing w:val="-7"/>
        </w:rPr>
        <w:t> </w:t>
      </w:r>
      <w:r>
        <w:rPr>
          <w:color w:val="231F20"/>
          <w:spacing w:val="-4"/>
        </w:rPr>
        <w:t>to</w:t>
      </w:r>
      <w:r>
        <w:rPr>
          <w:color w:val="231F20"/>
          <w:spacing w:val="-7"/>
        </w:rPr>
        <w:t> </w:t>
      </w:r>
      <w:r>
        <w:rPr>
          <w:color w:val="231F20"/>
          <w:spacing w:val="-4"/>
        </w:rPr>
        <w:t>November</w:t>
      </w:r>
      <w:r>
        <w:rPr>
          <w:color w:val="231F20"/>
          <w:spacing w:val="-7"/>
        </w:rPr>
        <w:t> </w:t>
      </w:r>
      <w:r>
        <w:rPr>
          <w:color w:val="231F20"/>
          <w:spacing w:val="-4"/>
        </w:rPr>
        <w:t>5,</w:t>
      </w:r>
      <w:r>
        <w:rPr>
          <w:color w:val="231F20"/>
          <w:spacing w:val="-7"/>
        </w:rPr>
        <w:t> </w:t>
      </w:r>
      <w:r>
        <w:rPr>
          <w:color w:val="231F20"/>
          <w:spacing w:val="-4"/>
        </w:rPr>
        <w:t>2022.</w:t>
      </w:r>
      <w:r>
        <w:rPr>
          <w:color w:val="231F20"/>
          <w:spacing w:val="-7"/>
        </w:rPr>
        <w:t> </w:t>
      </w:r>
      <w:r>
        <w:rPr>
          <w:color w:val="231F20"/>
          <w:spacing w:val="-4"/>
        </w:rPr>
        <w:t>It</w:t>
      </w:r>
      <w:r>
        <w:rPr>
          <w:color w:val="231F20"/>
          <w:spacing w:val="-7"/>
        </w:rPr>
        <w:t> </w:t>
      </w:r>
      <w:r>
        <w:rPr>
          <w:color w:val="231F20"/>
          <w:spacing w:val="-4"/>
        </w:rPr>
        <w:t>contains </w:t>
      </w:r>
      <w:r>
        <w:rPr>
          <w:color w:val="231F20"/>
          <w:w w:val="90"/>
        </w:rPr>
        <w:t>4,090 country assessments by 652 logistics pro- </w:t>
      </w:r>
      <w:r>
        <w:rPr>
          <w:color w:val="231F20"/>
        </w:rPr>
        <w:t>fessionals</w:t>
      </w:r>
      <w:r>
        <w:rPr>
          <w:color w:val="231F20"/>
          <w:spacing w:val="-14"/>
        </w:rPr>
        <w:t> </w:t>
      </w:r>
      <w:r>
        <w:rPr>
          <w:color w:val="231F20"/>
        </w:rPr>
        <w:t>in</w:t>
      </w:r>
      <w:r>
        <w:rPr>
          <w:color w:val="231F20"/>
          <w:spacing w:val="-13"/>
        </w:rPr>
        <w:t> </w:t>
      </w:r>
      <w:r>
        <w:rPr>
          <w:color w:val="231F20"/>
        </w:rPr>
        <w:t>115</w:t>
      </w:r>
      <w:r>
        <w:rPr>
          <w:color w:val="231F20"/>
          <w:spacing w:val="-13"/>
        </w:rPr>
        <w:t> </w:t>
      </w:r>
      <w:r>
        <w:rPr>
          <w:color w:val="231F20"/>
        </w:rPr>
        <w:t>countries</w:t>
      </w:r>
      <w:r>
        <w:rPr>
          <w:color w:val="231F20"/>
          <w:spacing w:val="-13"/>
        </w:rPr>
        <w:t> </w:t>
      </w:r>
      <w:r>
        <w:rPr>
          <w:color w:val="231F20"/>
        </w:rPr>
        <w:t>in</w:t>
      </w:r>
      <w:r>
        <w:rPr>
          <w:color w:val="231F20"/>
          <w:spacing w:val="-13"/>
        </w:rPr>
        <w:t> </w:t>
      </w:r>
      <w:r>
        <w:rPr>
          <w:color w:val="231F20"/>
        </w:rPr>
        <w:t>all</w:t>
      </w:r>
      <w:r>
        <w:rPr>
          <w:color w:val="231F20"/>
          <w:spacing w:val="-13"/>
        </w:rPr>
        <w:t> </w:t>
      </w:r>
      <w:r>
        <w:rPr>
          <w:color w:val="231F20"/>
        </w:rPr>
        <w:t>World</w:t>
      </w:r>
      <w:r>
        <w:rPr>
          <w:color w:val="231F20"/>
          <w:spacing w:val="-13"/>
        </w:rPr>
        <w:t> </w:t>
      </w:r>
      <w:r>
        <w:rPr>
          <w:color w:val="231F20"/>
        </w:rPr>
        <w:t>Bank </w:t>
      </w:r>
      <w:r>
        <w:rPr>
          <w:color w:val="231F20"/>
          <w:spacing w:val="-4"/>
        </w:rPr>
        <w:t>regions.[1]</w:t>
      </w:r>
      <w:r>
        <w:rPr>
          <w:color w:val="231F20"/>
          <w:spacing w:val="-4"/>
          <w:position w:val="7"/>
          <w:sz w:val="14"/>
        </w:rPr>
        <w:t>2</w:t>
      </w:r>
      <w:r>
        <w:rPr>
          <w:color w:val="231F20"/>
          <w:spacing w:val="-5"/>
          <w:position w:val="7"/>
          <w:sz w:val="14"/>
        </w:rPr>
        <w:t> </w:t>
      </w:r>
      <w:r>
        <w:rPr>
          <w:color w:val="231F20"/>
          <w:spacing w:val="-4"/>
        </w:rPr>
        <w:t>Unlike</w:t>
      </w:r>
      <w:r>
        <w:rPr>
          <w:color w:val="231F20"/>
          <w:spacing w:val="-9"/>
        </w:rPr>
        <w:t> </w:t>
      </w:r>
      <w:r>
        <w:rPr>
          <w:color w:val="231F20"/>
          <w:spacing w:val="-4"/>
        </w:rPr>
        <w:t>previous</w:t>
      </w:r>
      <w:r>
        <w:rPr>
          <w:color w:val="231F20"/>
          <w:spacing w:val="-9"/>
        </w:rPr>
        <w:t> </w:t>
      </w:r>
      <w:r>
        <w:rPr>
          <w:color w:val="231F20"/>
          <w:spacing w:val="-4"/>
        </w:rPr>
        <w:t>editions,</w:t>
      </w:r>
      <w:r>
        <w:rPr>
          <w:color w:val="231F20"/>
          <w:spacing w:val="-10"/>
        </w:rPr>
        <w:t> </w:t>
      </w:r>
      <w:r>
        <w:rPr>
          <w:color w:val="231F20"/>
          <w:spacing w:val="-4"/>
        </w:rPr>
        <w:t>the</w:t>
      </w:r>
      <w:r>
        <w:rPr>
          <w:color w:val="231F20"/>
          <w:spacing w:val="-9"/>
        </w:rPr>
        <w:t> </w:t>
      </w:r>
      <w:r>
        <w:rPr>
          <w:color w:val="231F20"/>
          <w:spacing w:val="-4"/>
        </w:rPr>
        <w:t>2023 </w:t>
      </w:r>
      <w:r>
        <w:rPr>
          <w:color w:val="231F20"/>
        </w:rPr>
        <w:t>survey did</w:t>
      </w:r>
      <w:r>
        <w:rPr>
          <w:color w:val="231F20"/>
          <w:spacing w:val="1"/>
        </w:rPr>
        <w:t> </w:t>
      </w:r>
      <w:r>
        <w:rPr>
          <w:color w:val="231F20"/>
        </w:rPr>
        <w:t>not</w:t>
      </w:r>
      <w:r>
        <w:rPr>
          <w:color w:val="231F20"/>
          <w:spacing w:val="1"/>
        </w:rPr>
        <w:t> </w:t>
      </w:r>
      <w:r>
        <w:rPr>
          <w:color w:val="231F20"/>
        </w:rPr>
        <w:t>contain questions</w:t>
      </w:r>
      <w:r>
        <w:rPr>
          <w:color w:val="231F20"/>
          <w:spacing w:val="1"/>
        </w:rPr>
        <w:t> </w:t>
      </w:r>
      <w:r>
        <w:rPr>
          <w:color w:val="231F20"/>
        </w:rPr>
        <w:t>on</w:t>
      </w:r>
      <w:r>
        <w:rPr>
          <w:color w:val="231F20"/>
          <w:spacing w:val="1"/>
        </w:rPr>
        <w:t> </w:t>
      </w:r>
      <w:r>
        <w:rPr>
          <w:color w:val="231F20"/>
          <w:spacing w:val="-2"/>
          <w:w w:val="90"/>
        </w:rPr>
        <w:t>logistics</w:t>
      </w:r>
    </w:p>
    <w:p>
      <w:pPr>
        <w:pStyle w:val="BodyText"/>
        <w:spacing w:line="268" w:lineRule="auto" w:before="97"/>
        <w:ind w:left="198" w:right="177"/>
        <w:jc w:val="both"/>
      </w:pPr>
      <w:r>
        <w:rPr/>
        <w:br w:type="column"/>
      </w:r>
      <w:r>
        <w:rPr>
          <w:color w:val="231F20"/>
        </w:rPr>
        <w:t>quality</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country</w:t>
      </w:r>
      <w:r>
        <w:rPr>
          <w:color w:val="231F20"/>
          <w:spacing w:val="-5"/>
        </w:rPr>
        <w:t> </w:t>
      </w:r>
      <w:r>
        <w:rPr>
          <w:color w:val="231F20"/>
        </w:rPr>
        <w:t>from</w:t>
      </w:r>
      <w:r>
        <w:rPr>
          <w:color w:val="231F20"/>
          <w:spacing w:val="-5"/>
        </w:rPr>
        <w:t> </w:t>
      </w:r>
      <w:r>
        <w:rPr>
          <w:color w:val="231F20"/>
        </w:rPr>
        <w:t>which</w:t>
      </w:r>
      <w:r>
        <w:rPr>
          <w:color w:val="231F20"/>
          <w:spacing w:val="-5"/>
        </w:rPr>
        <w:t> </w:t>
      </w:r>
      <w:r>
        <w:rPr>
          <w:color w:val="231F20"/>
        </w:rPr>
        <w:t>these</w:t>
      </w:r>
      <w:r>
        <w:rPr>
          <w:color w:val="231F20"/>
          <w:spacing w:val="-5"/>
        </w:rPr>
        <w:t> </w:t>
      </w:r>
      <w:r>
        <w:rPr>
          <w:color w:val="231F20"/>
        </w:rPr>
        <w:t>pro- fessionals</w:t>
      </w:r>
      <w:r>
        <w:rPr>
          <w:color w:val="231F20"/>
          <w:spacing w:val="-10"/>
        </w:rPr>
        <w:t> </w:t>
      </w:r>
      <w:r>
        <w:rPr>
          <w:color w:val="231F20"/>
        </w:rPr>
        <w:t>operate—that</w:t>
      </w:r>
      <w:r>
        <w:rPr>
          <w:color w:val="231F20"/>
          <w:spacing w:val="-10"/>
        </w:rPr>
        <w:t> </w:t>
      </w:r>
      <w:r>
        <w:rPr>
          <w:color w:val="231F20"/>
        </w:rPr>
        <w:t>is,</w:t>
      </w:r>
      <w:r>
        <w:rPr>
          <w:color w:val="231F20"/>
          <w:spacing w:val="-10"/>
        </w:rPr>
        <w:t> </w:t>
      </w:r>
      <w:r>
        <w:rPr>
          <w:color w:val="231F20"/>
        </w:rPr>
        <w:t>an</w:t>
      </w:r>
      <w:r>
        <w:rPr>
          <w:color w:val="231F20"/>
          <w:spacing w:val="-10"/>
        </w:rPr>
        <w:t> </w:t>
      </w:r>
      <w:r>
        <w:rPr>
          <w:color w:val="231F20"/>
        </w:rPr>
        <w:t>assessment</w:t>
      </w:r>
      <w:r>
        <w:rPr>
          <w:color w:val="231F20"/>
          <w:spacing w:val="-10"/>
        </w:rPr>
        <w:t> </w:t>
      </w:r>
      <w:r>
        <w:rPr>
          <w:color w:val="231F20"/>
        </w:rPr>
        <w:t>of domestic</w:t>
      </w:r>
      <w:r>
        <w:rPr>
          <w:color w:val="231F20"/>
          <w:spacing w:val="-7"/>
        </w:rPr>
        <w:t> </w:t>
      </w:r>
      <w:r>
        <w:rPr>
          <w:color w:val="231F20"/>
        </w:rPr>
        <w:t>performance—in</w:t>
      </w:r>
      <w:r>
        <w:rPr>
          <w:color w:val="231F20"/>
          <w:spacing w:val="-7"/>
        </w:rPr>
        <w:t> </w:t>
      </w:r>
      <w:r>
        <w:rPr>
          <w:color w:val="231F20"/>
        </w:rPr>
        <w:t>order</w:t>
      </w:r>
      <w:r>
        <w:rPr>
          <w:color w:val="231F20"/>
          <w:spacing w:val="-7"/>
        </w:rPr>
        <w:t> </w:t>
      </w:r>
      <w:r>
        <w:rPr>
          <w:color w:val="231F20"/>
        </w:rPr>
        <w:t>to</w:t>
      </w:r>
      <w:r>
        <w:rPr>
          <w:color w:val="231F20"/>
          <w:spacing w:val="-7"/>
        </w:rPr>
        <w:t> </w:t>
      </w:r>
      <w:r>
        <w:rPr>
          <w:color w:val="231F20"/>
        </w:rPr>
        <w:t>keep</w:t>
      </w:r>
      <w:r>
        <w:rPr>
          <w:color w:val="231F20"/>
          <w:spacing w:val="-7"/>
        </w:rPr>
        <w:t> </w:t>
      </w:r>
      <w:r>
        <w:rPr>
          <w:color w:val="231F20"/>
        </w:rPr>
        <w:t>the </w:t>
      </w:r>
      <w:r>
        <w:rPr>
          <w:color w:val="231F20"/>
          <w:spacing w:val="-4"/>
        </w:rPr>
        <w:t>survey</w:t>
      </w:r>
      <w:r>
        <w:rPr>
          <w:color w:val="231F20"/>
          <w:spacing w:val="-9"/>
        </w:rPr>
        <w:t> </w:t>
      </w:r>
      <w:r>
        <w:rPr>
          <w:color w:val="231F20"/>
          <w:spacing w:val="-4"/>
        </w:rPr>
        <w:t>concise</w:t>
      </w:r>
      <w:r>
        <w:rPr>
          <w:color w:val="231F20"/>
          <w:spacing w:val="-9"/>
        </w:rPr>
        <w:t> </w:t>
      </w:r>
      <w:r>
        <w:rPr>
          <w:color w:val="231F20"/>
          <w:spacing w:val="-4"/>
        </w:rPr>
        <w:t>and</w:t>
      </w:r>
      <w:r>
        <w:rPr>
          <w:color w:val="231F20"/>
          <w:spacing w:val="-9"/>
        </w:rPr>
        <w:t> </w:t>
      </w:r>
      <w:r>
        <w:rPr>
          <w:color w:val="231F20"/>
          <w:spacing w:val="-4"/>
        </w:rPr>
        <w:t>easier</w:t>
      </w:r>
      <w:r>
        <w:rPr>
          <w:color w:val="231F20"/>
          <w:spacing w:val="-9"/>
        </w:rPr>
        <w:t> </w:t>
      </w:r>
      <w:r>
        <w:rPr>
          <w:color w:val="231F20"/>
          <w:spacing w:val="-4"/>
        </w:rPr>
        <w:t>to</w:t>
      </w:r>
      <w:r>
        <w:rPr>
          <w:color w:val="231F20"/>
          <w:spacing w:val="-9"/>
        </w:rPr>
        <w:t> </w:t>
      </w:r>
      <w:r>
        <w:rPr>
          <w:color w:val="231F20"/>
          <w:spacing w:val="-4"/>
        </w:rPr>
        <w:t>answer.</w:t>
      </w:r>
      <w:r>
        <w:rPr>
          <w:color w:val="231F20"/>
          <w:spacing w:val="-9"/>
        </w:rPr>
        <w:t> </w:t>
      </w:r>
      <w:r>
        <w:rPr>
          <w:color w:val="231F20"/>
          <w:spacing w:val="-4"/>
        </w:rPr>
        <w:t>The</w:t>
      </w:r>
      <w:r>
        <w:rPr>
          <w:color w:val="231F20"/>
          <w:spacing w:val="-9"/>
        </w:rPr>
        <w:t> </w:t>
      </w:r>
      <w:r>
        <w:rPr>
          <w:color w:val="231F20"/>
          <w:spacing w:val="-4"/>
        </w:rPr>
        <w:t>team also</w:t>
      </w:r>
      <w:r>
        <w:rPr>
          <w:color w:val="231F20"/>
          <w:spacing w:val="-10"/>
        </w:rPr>
        <w:t> </w:t>
      </w:r>
      <w:r>
        <w:rPr>
          <w:color w:val="231F20"/>
          <w:spacing w:val="-4"/>
        </w:rPr>
        <w:t>faced</w:t>
      </w:r>
      <w:r>
        <w:rPr>
          <w:color w:val="231F20"/>
          <w:spacing w:val="-9"/>
        </w:rPr>
        <w:t> </w:t>
      </w:r>
      <w:r>
        <w:rPr>
          <w:color w:val="231F20"/>
          <w:spacing w:val="-4"/>
        </w:rPr>
        <w:t>difficulties</w:t>
      </w:r>
      <w:r>
        <w:rPr>
          <w:color w:val="231F20"/>
          <w:spacing w:val="-9"/>
        </w:rPr>
        <w:t> </w:t>
      </w:r>
      <w:r>
        <w:rPr>
          <w:color w:val="231F20"/>
          <w:spacing w:val="-4"/>
        </w:rPr>
        <w:t>in</w:t>
      </w:r>
      <w:r>
        <w:rPr>
          <w:color w:val="231F20"/>
          <w:spacing w:val="-9"/>
        </w:rPr>
        <w:t> </w:t>
      </w:r>
      <w:r>
        <w:rPr>
          <w:color w:val="231F20"/>
          <w:spacing w:val="-4"/>
        </w:rPr>
        <w:t>conducting</w:t>
      </w:r>
      <w:r>
        <w:rPr>
          <w:color w:val="231F20"/>
          <w:spacing w:val="-9"/>
        </w:rPr>
        <w:t> </w:t>
      </w:r>
      <w:r>
        <w:rPr>
          <w:color w:val="231F20"/>
          <w:spacing w:val="-4"/>
        </w:rPr>
        <w:t>the</w:t>
      </w:r>
      <w:r>
        <w:rPr>
          <w:color w:val="231F20"/>
          <w:spacing w:val="-9"/>
        </w:rPr>
        <w:t> </w:t>
      </w:r>
      <w:r>
        <w:rPr>
          <w:color w:val="231F20"/>
          <w:spacing w:val="-4"/>
        </w:rPr>
        <w:t>survey </w:t>
      </w:r>
      <w:r>
        <w:rPr>
          <w:color w:val="231F20"/>
        </w:rPr>
        <w:t>in</w:t>
      </w:r>
      <w:r>
        <w:rPr>
          <w:color w:val="231F20"/>
          <w:spacing w:val="-4"/>
        </w:rPr>
        <w:t> </w:t>
      </w:r>
      <w:r>
        <w:rPr>
          <w:color w:val="231F20"/>
        </w:rPr>
        <w:t>2020/21</w:t>
      </w:r>
      <w:r>
        <w:rPr>
          <w:color w:val="231F20"/>
          <w:spacing w:val="-4"/>
        </w:rPr>
        <w:t> </w:t>
      </w:r>
      <w:r>
        <w:rPr>
          <w:color w:val="231F20"/>
        </w:rPr>
        <w:t>due</w:t>
      </w:r>
      <w:r>
        <w:rPr>
          <w:color w:val="231F20"/>
          <w:spacing w:val="-4"/>
        </w:rPr>
        <w:t> </w:t>
      </w:r>
      <w:r>
        <w:rPr>
          <w:color w:val="231F20"/>
        </w:rPr>
        <w:t>to</w:t>
      </w:r>
      <w:r>
        <w:rPr>
          <w:color w:val="231F20"/>
          <w:spacing w:val="-4"/>
        </w:rPr>
        <w:t> </w:t>
      </w:r>
      <w:r>
        <w:rPr>
          <w:color w:val="231F20"/>
        </w:rPr>
        <w:t>the</w:t>
      </w:r>
      <w:r>
        <w:rPr>
          <w:color w:val="231F20"/>
          <w:spacing w:val="-4"/>
        </w:rPr>
        <w:t> </w:t>
      </w:r>
      <w:r>
        <w:rPr>
          <w:color w:val="231F20"/>
        </w:rPr>
        <w:t>COVID-19</w:t>
      </w:r>
      <w:r>
        <w:rPr>
          <w:color w:val="231F20"/>
          <w:spacing w:val="-4"/>
        </w:rPr>
        <w:t> </w:t>
      </w:r>
      <w:r>
        <w:rPr>
          <w:color w:val="231F20"/>
        </w:rPr>
        <w:t>pandemic, eventually</w:t>
      </w:r>
      <w:r>
        <w:rPr>
          <w:color w:val="231F20"/>
          <w:spacing w:val="-10"/>
        </w:rPr>
        <w:t> </w:t>
      </w:r>
      <w:r>
        <w:rPr>
          <w:color w:val="231F20"/>
        </w:rPr>
        <w:t>postponing</w:t>
      </w:r>
      <w:r>
        <w:rPr>
          <w:color w:val="231F20"/>
          <w:spacing w:val="-10"/>
        </w:rPr>
        <w:t> </w:t>
      </w:r>
      <w:r>
        <w:rPr>
          <w:color w:val="231F20"/>
        </w:rPr>
        <w:t>the</w:t>
      </w:r>
      <w:r>
        <w:rPr>
          <w:color w:val="231F20"/>
          <w:spacing w:val="-10"/>
        </w:rPr>
        <w:t> </w:t>
      </w:r>
      <w:r>
        <w:rPr>
          <w:color w:val="231F20"/>
        </w:rPr>
        <w:t>survey</w:t>
      </w:r>
      <w:r>
        <w:rPr>
          <w:color w:val="231F20"/>
          <w:spacing w:val="-10"/>
        </w:rPr>
        <w:t> </w:t>
      </w:r>
      <w:r>
        <w:rPr>
          <w:color w:val="231F20"/>
        </w:rPr>
        <w:t>to</w:t>
      </w:r>
      <w:r>
        <w:rPr>
          <w:color w:val="231F20"/>
          <w:spacing w:val="-10"/>
        </w:rPr>
        <w:t> </w:t>
      </w:r>
      <w:r>
        <w:rPr>
          <w:color w:val="231F20"/>
        </w:rPr>
        <w:t>2022.</w:t>
      </w:r>
    </w:p>
    <w:p>
      <w:pPr>
        <w:pStyle w:val="BodyText"/>
        <w:spacing w:before="33"/>
      </w:pPr>
    </w:p>
    <w:p>
      <w:pPr>
        <w:spacing w:line="280" w:lineRule="auto" w:before="1"/>
        <w:ind w:left="198" w:right="186" w:firstLine="0"/>
        <w:jc w:val="left"/>
        <w:rPr>
          <w:rFonts w:ascii="Arial"/>
          <w:b/>
          <w:sz w:val="20"/>
        </w:rPr>
      </w:pPr>
      <w:r>
        <w:rPr>
          <w:rFonts w:ascii="Arial"/>
          <w:b/>
          <w:color w:val="231F20"/>
          <w:w w:val="105"/>
          <w:sz w:val="20"/>
        </w:rPr>
        <w:t>The LPI measures structural factors of</w:t>
      </w:r>
      <w:r>
        <w:rPr>
          <w:rFonts w:ascii="Arial"/>
          <w:b/>
          <w:color w:val="231F20"/>
          <w:spacing w:val="7"/>
          <w:w w:val="105"/>
          <w:sz w:val="20"/>
        </w:rPr>
        <w:t> </w:t>
      </w:r>
      <w:r>
        <w:rPr>
          <w:rFonts w:ascii="Arial"/>
          <w:b/>
          <w:color w:val="231F20"/>
          <w:w w:val="105"/>
          <w:sz w:val="20"/>
        </w:rPr>
        <w:t>performance,</w:t>
      </w:r>
      <w:r>
        <w:rPr>
          <w:rFonts w:ascii="Arial"/>
          <w:b/>
          <w:color w:val="231F20"/>
          <w:spacing w:val="7"/>
          <w:w w:val="105"/>
          <w:sz w:val="20"/>
        </w:rPr>
        <w:t> </w:t>
      </w:r>
      <w:r>
        <w:rPr>
          <w:rFonts w:ascii="Arial"/>
          <w:b/>
          <w:color w:val="231F20"/>
          <w:w w:val="105"/>
          <w:sz w:val="20"/>
        </w:rPr>
        <w:t>beyond</w:t>
      </w:r>
      <w:r>
        <w:rPr>
          <w:rFonts w:ascii="Arial"/>
          <w:b/>
          <w:color w:val="231F20"/>
          <w:spacing w:val="8"/>
          <w:w w:val="105"/>
          <w:sz w:val="20"/>
        </w:rPr>
        <w:t> </w:t>
      </w:r>
      <w:r>
        <w:rPr>
          <w:rFonts w:ascii="Arial"/>
          <w:b/>
          <w:color w:val="231F20"/>
          <w:spacing w:val="-2"/>
          <w:w w:val="105"/>
          <w:sz w:val="20"/>
        </w:rPr>
        <w:t>disruptions</w:t>
      </w:r>
    </w:p>
    <w:p>
      <w:pPr>
        <w:pStyle w:val="BodyText"/>
        <w:spacing w:before="33"/>
        <w:rPr>
          <w:rFonts w:ascii="Arial"/>
          <w:b/>
          <w:sz w:val="20"/>
        </w:rPr>
      </w:pPr>
    </w:p>
    <w:p>
      <w:pPr>
        <w:pStyle w:val="BodyText"/>
        <w:spacing w:line="268" w:lineRule="auto"/>
        <w:ind w:left="198" w:right="176"/>
        <w:jc w:val="both"/>
      </w:pPr>
      <w:r>
        <w:rPr>
          <w:color w:val="231F20"/>
          <w:spacing w:val="-4"/>
        </w:rPr>
        <w:t>The</w:t>
      </w:r>
      <w:r>
        <w:rPr>
          <w:color w:val="231F20"/>
          <w:spacing w:val="-9"/>
        </w:rPr>
        <w:t> </w:t>
      </w:r>
      <w:r>
        <w:rPr>
          <w:color w:val="231F20"/>
          <w:spacing w:val="-4"/>
        </w:rPr>
        <w:t>recent</w:t>
      </w:r>
      <w:r>
        <w:rPr>
          <w:color w:val="231F20"/>
          <w:spacing w:val="-9"/>
        </w:rPr>
        <w:t> </w:t>
      </w:r>
      <w:r>
        <w:rPr>
          <w:color w:val="231F20"/>
          <w:spacing w:val="-4"/>
        </w:rPr>
        <w:t>supply</w:t>
      </w:r>
      <w:r>
        <w:rPr>
          <w:color w:val="231F20"/>
          <w:spacing w:val="-9"/>
        </w:rPr>
        <w:t> </w:t>
      </w:r>
      <w:r>
        <w:rPr>
          <w:color w:val="231F20"/>
          <w:spacing w:val="-4"/>
        </w:rPr>
        <w:t>chain</w:t>
      </w:r>
      <w:r>
        <w:rPr>
          <w:color w:val="231F20"/>
          <w:spacing w:val="-9"/>
        </w:rPr>
        <w:t> </w:t>
      </w:r>
      <w:r>
        <w:rPr>
          <w:color w:val="231F20"/>
          <w:spacing w:val="-4"/>
        </w:rPr>
        <w:t>crisis</w:t>
      </w:r>
      <w:r>
        <w:rPr>
          <w:color w:val="231F20"/>
          <w:spacing w:val="-9"/>
        </w:rPr>
        <w:t> </w:t>
      </w:r>
      <w:r>
        <w:rPr>
          <w:color w:val="231F20"/>
          <w:spacing w:val="-4"/>
        </w:rPr>
        <w:t>did</w:t>
      </w:r>
      <w:r>
        <w:rPr>
          <w:color w:val="231F20"/>
          <w:spacing w:val="-9"/>
        </w:rPr>
        <w:t> </w:t>
      </w:r>
      <w:r>
        <w:rPr>
          <w:color w:val="231F20"/>
          <w:spacing w:val="-4"/>
        </w:rPr>
        <w:t>not</w:t>
      </w:r>
      <w:r>
        <w:rPr>
          <w:color w:val="231F20"/>
          <w:spacing w:val="-9"/>
        </w:rPr>
        <w:t> </w:t>
      </w:r>
      <w:r>
        <w:rPr>
          <w:color w:val="231F20"/>
          <w:spacing w:val="-4"/>
        </w:rPr>
        <w:t>substan- tially</w:t>
      </w:r>
      <w:r>
        <w:rPr>
          <w:color w:val="231F20"/>
          <w:spacing w:val="-5"/>
        </w:rPr>
        <w:t> </w:t>
      </w:r>
      <w:r>
        <w:rPr>
          <w:color w:val="231F20"/>
          <w:spacing w:val="-4"/>
        </w:rPr>
        <w:t>change</w:t>
      </w:r>
      <w:r>
        <w:rPr>
          <w:color w:val="231F20"/>
          <w:spacing w:val="-5"/>
        </w:rPr>
        <w:t> </w:t>
      </w:r>
      <w:r>
        <w:rPr>
          <w:color w:val="231F20"/>
          <w:spacing w:val="-4"/>
        </w:rPr>
        <w:t>the</w:t>
      </w:r>
      <w:r>
        <w:rPr>
          <w:color w:val="231F20"/>
          <w:spacing w:val="-5"/>
        </w:rPr>
        <w:t> </w:t>
      </w:r>
      <w:r>
        <w:rPr>
          <w:color w:val="231F20"/>
          <w:spacing w:val="-4"/>
        </w:rPr>
        <w:t>relative</w:t>
      </w:r>
      <w:r>
        <w:rPr>
          <w:color w:val="231F20"/>
          <w:spacing w:val="-5"/>
        </w:rPr>
        <w:t> </w:t>
      </w:r>
      <w:r>
        <w:rPr>
          <w:color w:val="231F20"/>
          <w:spacing w:val="-4"/>
        </w:rPr>
        <w:t>pattern</w:t>
      </w:r>
      <w:r>
        <w:rPr>
          <w:color w:val="231F20"/>
          <w:spacing w:val="-5"/>
        </w:rPr>
        <w:t> </w:t>
      </w:r>
      <w:r>
        <w:rPr>
          <w:color w:val="231F20"/>
          <w:spacing w:val="-4"/>
        </w:rPr>
        <w:t>of</w:t>
      </w:r>
      <w:r>
        <w:rPr>
          <w:color w:val="231F20"/>
          <w:spacing w:val="-5"/>
        </w:rPr>
        <w:t> </w:t>
      </w:r>
      <w:r>
        <w:rPr>
          <w:color w:val="231F20"/>
          <w:spacing w:val="-4"/>
        </w:rPr>
        <w:t>LPI</w:t>
      </w:r>
      <w:r>
        <w:rPr>
          <w:color w:val="231F20"/>
          <w:spacing w:val="-5"/>
        </w:rPr>
        <w:t> </w:t>
      </w:r>
      <w:r>
        <w:rPr>
          <w:color w:val="231F20"/>
          <w:spacing w:val="-4"/>
        </w:rPr>
        <w:t>scores in</w:t>
      </w:r>
      <w:r>
        <w:rPr>
          <w:color w:val="231F20"/>
          <w:spacing w:val="-9"/>
        </w:rPr>
        <w:t> </w:t>
      </w:r>
      <w:r>
        <w:rPr>
          <w:color w:val="231F20"/>
          <w:spacing w:val="-4"/>
        </w:rPr>
        <w:t>2023,</w:t>
      </w:r>
      <w:r>
        <w:rPr>
          <w:color w:val="231F20"/>
          <w:spacing w:val="-9"/>
        </w:rPr>
        <w:t> </w:t>
      </w:r>
      <w:r>
        <w:rPr>
          <w:color w:val="231F20"/>
          <w:spacing w:val="-4"/>
        </w:rPr>
        <w:t>except</w:t>
      </w:r>
      <w:r>
        <w:rPr>
          <w:color w:val="231F20"/>
          <w:spacing w:val="-9"/>
        </w:rPr>
        <w:t> </w:t>
      </w:r>
      <w:r>
        <w:rPr>
          <w:color w:val="231F20"/>
          <w:spacing w:val="-4"/>
        </w:rPr>
        <w:t>for</w:t>
      </w:r>
      <w:r>
        <w:rPr>
          <w:color w:val="231F20"/>
          <w:spacing w:val="-9"/>
        </w:rPr>
        <w:t> </w:t>
      </w:r>
      <w:r>
        <w:rPr>
          <w:color w:val="231F20"/>
          <w:spacing w:val="-4"/>
        </w:rPr>
        <w:t>a</w:t>
      </w:r>
      <w:r>
        <w:rPr>
          <w:color w:val="231F20"/>
          <w:spacing w:val="-9"/>
        </w:rPr>
        <w:t> </w:t>
      </w:r>
      <w:r>
        <w:rPr>
          <w:color w:val="231F20"/>
          <w:spacing w:val="-4"/>
        </w:rPr>
        <w:t>slight</w:t>
      </w:r>
      <w:r>
        <w:rPr>
          <w:color w:val="231F20"/>
          <w:spacing w:val="-9"/>
        </w:rPr>
        <w:t> </w:t>
      </w:r>
      <w:r>
        <w:rPr>
          <w:color w:val="231F20"/>
          <w:spacing w:val="-4"/>
        </w:rPr>
        <w:t>deterioration</w:t>
      </w:r>
      <w:r>
        <w:rPr>
          <w:color w:val="231F20"/>
          <w:spacing w:val="-9"/>
        </w:rPr>
        <w:t> </w:t>
      </w:r>
      <w:r>
        <w:rPr>
          <w:color w:val="231F20"/>
          <w:spacing w:val="-4"/>
        </w:rPr>
        <w:t>of</w:t>
      </w:r>
      <w:r>
        <w:rPr>
          <w:color w:val="231F20"/>
          <w:spacing w:val="-9"/>
        </w:rPr>
        <w:t> </w:t>
      </w:r>
      <w:r>
        <w:rPr>
          <w:color w:val="231F20"/>
          <w:spacing w:val="-4"/>
        </w:rPr>
        <w:t>the </w:t>
      </w:r>
      <w:r>
        <w:rPr>
          <w:color w:val="231F20"/>
          <w:w w:val="90"/>
        </w:rPr>
        <w:t>timeliness</w:t>
      </w:r>
      <w:r>
        <w:rPr>
          <w:color w:val="231F20"/>
          <w:spacing w:val="-7"/>
          <w:w w:val="90"/>
        </w:rPr>
        <w:t> </w:t>
      </w:r>
      <w:r>
        <w:rPr>
          <w:color w:val="231F20"/>
          <w:w w:val="90"/>
        </w:rPr>
        <w:t>component.</w:t>
      </w:r>
      <w:r>
        <w:rPr>
          <w:color w:val="231F20"/>
          <w:spacing w:val="-7"/>
          <w:w w:val="90"/>
        </w:rPr>
        <w:t> </w:t>
      </w:r>
      <w:r>
        <w:rPr>
          <w:color w:val="231F20"/>
          <w:w w:val="90"/>
        </w:rPr>
        <w:t>There</w:t>
      </w:r>
      <w:r>
        <w:rPr>
          <w:color w:val="231F20"/>
          <w:spacing w:val="-7"/>
          <w:w w:val="90"/>
        </w:rPr>
        <w:t> </w:t>
      </w:r>
      <w:r>
        <w:rPr>
          <w:color w:val="231F20"/>
          <w:w w:val="90"/>
        </w:rPr>
        <w:t>are</w:t>
      </w:r>
      <w:r>
        <w:rPr>
          <w:color w:val="231F20"/>
          <w:spacing w:val="-7"/>
          <w:w w:val="90"/>
        </w:rPr>
        <w:t> </w:t>
      </w:r>
      <w:r>
        <w:rPr>
          <w:color w:val="231F20"/>
          <w:w w:val="90"/>
        </w:rPr>
        <w:t>several</w:t>
      </w:r>
      <w:r>
        <w:rPr>
          <w:color w:val="231F20"/>
          <w:spacing w:val="-7"/>
          <w:w w:val="90"/>
        </w:rPr>
        <w:t> </w:t>
      </w:r>
      <w:r>
        <w:rPr>
          <w:color w:val="231F20"/>
          <w:w w:val="90"/>
        </w:rPr>
        <w:t>possible </w:t>
      </w:r>
      <w:r>
        <w:rPr>
          <w:color w:val="231F20"/>
        </w:rPr>
        <w:t>reasons behind this outcome:</w:t>
      </w:r>
    </w:p>
    <w:p>
      <w:pPr>
        <w:pStyle w:val="ListParagraph"/>
        <w:numPr>
          <w:ilvl w:val="0"/>
          <w:numId w:val="7"/>
        </w:numPr>
        <w:tabs>
          <w:tab w:pos="497" w:val="left" w:leader="none"/>
        </w:tabs>
        <w:spacing w:line="239" w:lineRule="exact" w:before="0" w:after="0"/>
        <w:ind w:left="497" w:right="0" w:hanging="299"/>
        <w:jc w:val="both"/>
        <w:rPr>
          <w:rFonts w:ascii="Times New Roman" w:hAnsi="Times New Roman"/>
          <w:sz w:val="21"/>
        </w:rPr>
      </w:pPr>
      <w:r>
        <w:rPr>
          <w:rFonts w:ascii="Times New Roman" w:hAnsi="Times New Roman"/>
          <w:color w:val="231F20"/>
          <w:spacing w:val="-2"/>
          <w:sz w:val="21"/>
        </w:rPr>
        <w:t>The</w:t>
      </w:r>
      <w:r>
        <w:rPr>
          <w:rFonts w:ascii="Times New Roman" w:hAnsi="Times New Roman"/>
          <w:color w:val="231F20"/>
          <w:spacing w:val="-11"/>
          <w:sz w:val="21"/>
        </w:rPr>
        <w:t> </w:t>
      </w:r>
      <w:r>
        <w:rPr>
          <w:rFonts w:ascii="Times New Roman" w:hAnsi="Times New Roman"/>
          <w:color w:val="231F20"/>
          <w:spacing w:val="-2"/>
          <w:sz w:val="21"/>
        </w:rPr>
        <w:t>global</w:t>
      </w:r>
      <w:r>
        <w:rPr>
          <w:rFonts w:ascii="Times New Roman" w:hAnsi="Times New Roman"/>
          <w:color w:val="231F20"/>
          <w:spacing w:val="-11"/>
          <w:sz w:val="21"/>
        </w:rPr>
        <w:t> </w:t>
      </w:r>
      <w:r>
        <w:rPr>
          <w:rFonts w:ascii="Times New Roman" w:hAnsi="Times New Roman"/>
          <w:color w:val="231F20"/>
          <w:spacing w:val="-2"/>
          <w:sz w:val="21"/>
        </w:rPr>
        <w:t>scope</w:t>
      </w:r>
      <w:r>
        <w:rPr>
          <w:rFonts w:ascii="Times New Roman" w:hAnsi="Times New Roman"/>
          <w:color w:val="231F20"/>
          <w:spacing w:val="-11"/>
          <w:sz w:val="21"/>
        </w:rPr>
        <w:t> </w:t>
      </w:r>
      <w:r>
        <w:rPr>
          <w:rFonts w:ascii="Times New Roman" w:hAnsi="Times New Roman"/>
          <w:color w:val="231F20"/>
          <w:spacing w:val="-2"/>
          <w:sz w:val="21"/>
        </w:rPr>
        <w:t>of</w:t>
      </w:r>
      <w:r>
        <w:rPr>
          <w:rFonts w:ascii="Times New Roman" w:hAnsi="Times New Roman"/>
          <w:color w:val="231F20"/>
          <w:spacing w:val="-11"/>
          <w:sz w:val="21"/>
        </w:rPr>
        <w:t> </w:t>
      </w:r>
      <w:r>
        <w:rPr>
          <w:rFonts w:ascii="Times New Roman" w:hAnsi="Times New Roman"/>
          <w:color w:val="231F20"/>
          <w:spacing w:val="-2"/>
          <w:sz w:val="21"/>
        </w:rPr>
        <w:t>the</w:t>
      </w:r>
      <w:r>
        <w:rPr>
          <w:rFonts w:ascii="Times New Roman" w:hAnsi="Times New Roman"/>
          <w:color w:val="231F20"/>
          <w:spacing w:val="-11"/>
          <w:sz w:val="21"/>
        </w:rPr>
        <w:t> </w:t>
      </w:r>
      <w:r>
        <w:rPr>
          <w:rFonts w:ascii="Times New Roman" w:hAnsi="Times New Roman"/>
          <w:color w:val="231F20"/>
          <w:spacing w:val="-2"/>
          <w:sz w:val="21"/>
        </w:rPr>
        <w:t>disruptions</w:t>
      </w:r>
      <w:r>
        <w:rPr>
          <w:rFonts w:ascii="Times New Roman" w:hAnsi="Times New Roman"/>
          <w:color w:val="231F20"/>
          <w:spacing w:val="-10"/>
          <w:sz w:val="21"/>
        </w:rPr>
        <w:t> </w:t>
      </w:r>
      <w:r>
        <w:rPr>
          <w:rFonts w:ascii="Times New Roman" w:hAnsi="Times New Roman"/>
          <w:color w:val="231F20"/>
          <w:spacing w:val="-4"/>
          <w:sz w:val="21"/>
        </w:rPr>
        <w:t>means</w:t>
      </w:r>
    </w:p>
    <w:p>
      <w:pPr>
        <w:pStyle w:val="BodyText"/>
        <w:spacing w:line="268" w:lineRule="auto" w:before="28"/>
        <w:ind w:left="456" w:right="177"/>
        <w:jc w:val="right"/>
      </w:pPr>
      <w:r>
        <w:rPr>
          <w:color w:val="231F20"/>
          <w:w w:val="90"/>
        </w:rPr>
        <w:t>that when everyone is affected, it is difficult to</w:t>
      </w:r>
      <w:r>
        <w:rPr>
          <w:color w:val="231F20"/>
          <w:spacing w:val="4"/>
        </w:rPr>
        <w:t> </w:t>
      </w:r>
      <w:r>
        <w:rPr>
          <w:color w:val="231F20"/>
          <w:w w:val="90"/>
        </w:rPr>
        <w:t>assign</w:t>
      </w:r>
      <w:r>
        <w:rPr>
          <w:color w:val="231F20"/>
          <w:spacing w:val="4"/>
        </w:rPr>
        <w:t> </w:t>
      </w:r>
      <w:r>
        <w:rPr>
          <w:color w:val="231F20"/>
          <w:w w:val="90"/>
        </w:rPr>
        <w:t>the</w:t>
      </w:r>
      <w:r>
        <w:rPr>
          <w:color w:val="231F20"/>
          <w:spacing w:val="4"/>
        </w:rPr>
        <w:t> </w:t>
      </w:r>
      <w:r>
        <w:rPr>
          <w:color w:val="231F20"/>
          <w:w w:val="90"/>
        </w:rPr>
        <w:t>impact</w:t>
      </w:r>
      <w:r>
        <w:rPr>
          <w:color w:val="231F20"/>
          <w:spacing w:val="4"/>
        </w:rPr>
        <w:t> </w:t>
      </w:r>
      <w:r>
        <w:rPr>
          <w:color w:val="231F20"/>
          <w:w w:val="90"/>
        </w:rPr>
        <w:t>to</w:t>
      </w:r>
      <w:r>
        <w:rPr>
          <w:color w:val="231F20"/>
          <w:spacing w:val="4"/>
        </w:rPr>
        <w:t> </w:t>
      </w:r>
      <w:r>
        <w:rPr>
          <w:color w:val="231F20"/>
          <w:w w:val="90"/>
        </w:rPr>
        <w:t>individual</w:t>
      </w:r>
      <w:r>
        <w:rPr>
          <w:color w:val="231F20"/>
          <w:spacing w:val="4"/>
        </w:rPr>
        <w:t> </w:t>
      </w:r>
      <w:r>
        <w:rPr>
          <w:color w:val="231F20"/>
          <w:spacing w:val="-2"/>
          <w:w w:val="90"/>
        </w:rPr>
        <w:t>countries.</w:t>
      </w:r>
    </w:p>
    <w:p>
      <w:pPr>
        <w:pStyle w:val="ListParagraph"/>
        <w:numPr>
          <w:ilvl w:val="0"/>
          <w:numId w:val="7"/>
        </w:numPr>
        <w:tabs>
          <w:tab w:pos="299" w:val="left" w:leader="none"/>
        </w:tabs>
        <w:spacing w:line="241" w:lineRule="exact" w:before="0" w:after="0"/>
        <w:ind w:left="299" w:right="178" w:hanging="299"/>
        <w:jc w:val="right"/>
        <w:rPr>
          <w:rFonts w:ascii="Times New Roman" w:hAnsi="Times New Roman"/>
          <w:sz w:val="21"/>
        </w:rPr>
      </w:pPr>
      <w:r>
        <w:rPr>
          <w:rFonts w:ascii="Times New Roman" w:hAnsi="Times New Roman"/>
          <w:color w:val="231F20"/>
          <w:w w:val="90"/>
          <w:sz w:val="21"/>
        </w:rPr>
        <w:t>The</w:t>
      </w:r>
      <w:r>
        <w:rPr>
          <w:rFonts w:ascii="Times New Roman" w:hAnsi="Times New Roman"/>
          <w:color w:val="231F20"/>
          <w:spacing w:val="-2"/>
          <w:sz w:val="21"/>
        </w:rPr>
        <w:t> </w:t>
      </w:r>
      <w:r>
        <w:rPr>
          <w:rFonts w:ascii="Times New Roman" w:hAnsi="Times New Roman"/>
          <w:color w:val="231F20"/>
          <w:w w:val="90"/>
          <w:sz w:val="21"/>
        </w:rPr>
        <w:t>LPI</w:t>
      </w:r>
      <w:r>
        <w:rPr>
          <w:rFonts w:ascii="Times New Roman" w:hAnsi="Times New Roman"/>
          <w:color w:val="231F20"/>
          <w:spacing w:val="-1"/>
          <w:sz w:val="21"/>
        </w:rPr>
        <w:t> </w:t>
      </w:r>
      <w:r>
        <w:rPr>
          <w:rFonts w:ascii="Times New Roman" w:hAnsi="Times New Roman"/>
          <w:color w:val="231F20"/>
          <w:w w:val="90"/>
          <w:sz w:val="21"/>
        </w:rPr>
        <w:t>survey</w:t>
      </w:r>
      <w:r>
        <w:rPr>
          <w:rFonts w:ascii="Times New Roman" w:hAnsi="Times New Roman"/>
          <w:color w:val="231F20"/>
          <w:spacing w:val="-2"/>
          <w:sz w:val="21"/>
        </w:rPr>
        <w:t> </w:t>
      </w:r>
      <w:r>
        <w:rPr>
          <w:rFonts w:ascii="Times New Roman" w:hAnsi="Times New Roman"/>
          <w:color w:val="231F20"/>
          <w:w w:val="90"/>
          <w:sz w:val="21"/>
        </w:rPr>
        <w:t>was</w:t>
      </w:r>
      <w:r>
        <w:rPr>
          <w:rFonts w:ascii="Times New Roman" w:hAnsi="Times New Roman"/>
          <w:color w:val="231F20"/>
          <w:spacing w:val="-1"/>
          <w:sz w:val="21"/>
        </w:rPr>
        <w:t> </w:t>
      </w:r>
      <w:r>
        <w:rPr>
          <w:rFonts w:ascii="Times New Roman" w:hAnsi="Times New Roman"/>
          <w:color w:val="231F20"/>
          <w:w w:val="90"/>
          <w:sz w:val="21"/>
        </w:rPr>
        <w:t>conducted</w:t>
      </w:r>
      <w:r>
        <w:rPr>
          <w:rFonts w:ascii="Times New Roman" w:hAnsi="Times New Roman"/>
          <w:color w:val="231F20"/>
          <w:spacing w:val="-2"/>
          <w:sz w:val="21"/>
        </w:rPr>
        <w:t> </w:t>
      </w:r>
      <w:r>
        <w:rPr>
          <w:rFonts w:ascii="Times New Roman" w:hAnsi="Times New Roman"/>
          <w:color w:val="231F20"/>
          <w:w w:val="90"/>
          <w:sz w:val="21"/>
        </w:rPr>
        <w:t>in</w:t>
      </w:r>
      <w:r>
        <w:rPr>
          <w:rFonts w:ascii="Times New Roman" w:hAnsi="Times New Roman"/>
          <w:color w:val="231F20"/>
          <w:spacing w:val="-1"/>
          <w:sz w:val="21"/>
        </w:rPr>
        <w:t> </w:t>
      </w:r>
      <w:r>
        <w:rPr>
          <w:rFonts w:ascii="Times New Roman" w:hAnsi="Times New Roman"/>
          <w:color w:val="231F20"/>
          <w:w w:val="90"/>
          <w:sz w:val="21"/>
        </w:rPr>
        <w:t>late</w:t>
      </w:r>
      <w:r>
        <w:rPr>
          <w:rFonts w:ascii="Times New Roman" w:hAnsi="Times New Roman"/>
          <w:color w:val="231F20"/>
          <w:spacing w:val="-2"/>
          <w:sz w:val="21"/>
        </w:rPr>
        <w:t> </w:t>
      </w:r>
      <w:r>
        <w:rPr>
          <w:rFonts w:ascii="Times New Roman" w:hAnsi="Times New Roman"/>
          <w:color w:val="231F20"/>
          <w:spacing w:val="-2"/>
          <w:w w:val="90"/>
          <w:sz w:val="21"/>
        </w:rPr>
        <w:t>2022,</w:t>
      </w:r>
    </w:p>
    <w:p>
      <w:pPr>
        <w:pStyle w:val="BodyText"/>
        <w:spacing w:line="268" w:lineRule="auto" w:before="29"/>
        <w:ind w:left="498" w:right="177"/>
        <w:jc w:val="both"/>
      </w:pPr>
      <w:r>
        <w:rPr>
          <w:color w:val="231F20"/>
          <w:w w:val="90"/>
        </w:rPr>
        <w:t>when disruptions had already greatly dimin- ished, possibly creating recency bias among </w:t>
      </w:r>
      <w:r>
        <w:rPr>
          <w:color w:val="231F20"/>
          <w:spacing w:val="-2"/>
        </w:rPr>
        <w:t>respondents.</w:t>
      </w:r>
    </w:p>
    <w:p>
      <w:pPr>
        <w:pStyle w:val="ListParagraph"/>
        <w:numPr>
          <w:ilvl w:val="0"/>
          <w:numId w:val="7"/>
        </w:numPr>
        <w:tabs>
          <w:tab w:pos="497" w:val="left" w:leader="none"/>
        </w:tabs>
        <w:spacing w:line="240" w:lineRule="exact" w:before="0" w:after="0"/>
        <w:ind w:left="497" w:right="0" w:hanging="299"/>
        <w:jc w:val="both"/>
        <w:rPr>
          <w:rFonts w:ascii="Times New Roman" w:hAnsi="Times New Roman"/>
          <w:sz w:val="21"/>
        </w:rPr>
      </w:pPr>
      <w:r>
        <w:rPr>
          <w:rFonts w:ascii="Times New Roman" w:hAnsi="Times New Roman"/>
          <w:color w:val="231F20"/>
          <w:spacing w:val="-6"/>
          <w:sz w:val="21"/>
        </w:rPr>
        <w:t>Most</w:t>
      </w:r>
      <w:r>
        <w:rPr>
          <w:rFonts w:ascii="Times New Roman" w:hAnsi="Times New Roman"/>
          <w:color w:val="231F20"/>
          <w:spacing w:val="-9"/>
          <w:sz w:val="21"/>
        </w:rPr>
        <w:t> </w:t>
      </w:r>
      <w:r>
        <w:rPr>
          <w:rFonts w:ascii="Times New Roman" w:hAnsi="Times New Roman"/>
          <w:color w:val="231F20"/>
          <w:spacing w:val="-6"/>
          <w:sz w:val="21"/>
        </w:rPr>
        <w:t>LPI</w:t>
      </w:r>
      <w:r>
        <w:rPr>
          <w:rFonts w:ascii="Times New Roman" w:hAnsi="Times New Roman"/>
          <w:color w:val="231F20"/>
          <w:spacing w:val="-9"/>
          <w:sz w:val="21"/>
        </w:rPr>
        <w:t> </w:t>
      </w:r>
      <w:r>
        <w:rPr>
          <w:rFonts w:ascii="Times New Roman" w:hAnsi="Times New Roman"/>
          <w:color w:val="231F20"/>
          <w:spacing w:val="-6"/>
          <w:sz w:val="21"/>
        </w:rPr>
        <w:t>components</w:t>
      </w:r>
      <w:r>
        <w:rPr>
          <w:rFonts w:ascii="Times New Roman" w:hAnsi="Times New Roman"/>
          <w:color w:val="231F20"/>
          <w:spacing w:val="-9"/>
          <w:sz w:val="21"/>
        </w:rPr>
        <w:t> </w:t>
      </w:r>
      <w:r>
        <w:rPr>
          <w:rFonts w:ascii="Times New Roman" w:hAnsi="Times New Roman"/>
          <w:color w:val="231F20"/>
          <w:spacing w:val="-6"/>
          <w:sz w:val="21"/>
        </w:rPr>
        <w:t>reflect</w:t>
      </w:r>
      <w:r>
        <w:rPr>
          <w:rFonts w:ascii="Times New Roman" w:hAnsi="Times New Roman"/>
          <w:color w:val="231F20"/>
          <w:spacing w:val="-9"/>
          <w:sz w:val="21"/>
        </w:rPr>
        <w:t> </w:t>
      </w:r>
      <w:r>
        <w:rPr>
          <w:rFonts w:ascii="Times New Roman" w:hAnsi="Times New Roman"/>
          <w:color w:val="231F20"/>
          <w:spacing w:val="-6"/>
          <w:sz w:val="21"/>
        </w:rPr>
        <w:t>structural</w:t>
      </w:r>
      <w:r>
        <w:rPr>
          <w:rFonts w:ascii="Times New Roman" w:hAnsi="Times New Roman"/>
          <w:color w:val="231F20"/>
          <w:spacing w:val="-9"/>
          <w:sz w:val="21"/>
        </w:rPr>
        <w:t> </w:t>
      </w:r>
      <w:r>
        <w:rPr>
          <w:rFonts w:ascii="Times New Roman" w:hAnsi="Times New Roman"/>
          <w:color w:val="231F20"/>
          <w:spacing w:val="-6"/>
          <w:sz w:val="21"/>
        </w:rPr>
        <w:t>fac-</w:t>
      </w:r>
    </w:p>
    <w:p>
      <w:pPr>
        <w:pStyle w:val="BodyText"/>
        <w:spacing w:line="268" w:lineRule="auto" w:before="29"/>
        <w:ind w:left="498" w:right="179"/>
        <w:jc w:val="both"/>
      </w:pPr>
      <w:r>
        <w:rPr>
          <w:color w:val="231F20"/>
          <w:spacing w:val="-4"/>
        </w:rPr>
        <w:t>tors</w:t>
      </w:r>
      <w:r>
        <w:rPr>
          <w:color w:val="231F20"/>
          <w:spacing w:val="-8"/>
        </w:rPr>
        <w:t> </w:t>
      </w:r>
      <w:r>
        <w:rPr>
          <w:color w:val="231F20"/>
          <w:spacing w:val="-4"/>
        </w:rPr>
        <w:t>that</w:t>
      </w:r>
      <w:r>
        <w:rPr>
          <w:color w:val="231F20"/>
          <w:spacing w:val="-8"/>
        </w:rPr>
        <w:t> </w:t>
      </w:r>
      <w:r>
        <w:rPr>
          <w:color w:val="231F20"/>
          <w:spacing w:val="-4"/>
        </w:rPr>
        <w:t>are</w:t>
      </w:r>
      <w:r>
        <w:rPr>
          <w:color w:val="231F20"/>
          <w:spacing w:val="-8"/>
        </w:rPr>
        <w:t> </w:t>
      </w:r>
      <w:r>
        <w:rPr>
          <w:color w:val="231F20"/>
          <w:spacing w:val="-4"/>
        </w:rPr>
        <w:t>not</w:t>
      </w:r>
      <w:r>
        <w:rPr>
          <w:color w:val="231F20"/>
          <w:spacing w:val="-8"/>
        </w:rPr>
        <w:t> </w:t>
      </w:r>
      <w:r>
        <w:rPr>
          <w:color w:val="231F20"/>
          <w:spacing w:val="-4"/>
        </w:rPr>
        <w:t>directly</w:t>
      </w:r>
      <w:r>
        <w:rPr>
          <w:color w:val="231F20"/>
          <w:spacing w:val="-8"/>
        </w:rPr>
        <w:t> </w:t>
      </w:r>
      <w:r>
        <w:rPr>
          <w:color w:val="231F20"/>
          <w:spacing w:val="-4"/>
        </w:rPr>
        <w:t>affected</w:t>
      </w:r>
      <w:r>
        <w:rPr>
          <w:color w:val="231F20"/>
          <w:spacing w:val="-8"/>
        </w:rPr>
        <w:t> </w:t>
      </w:r>
      <w:r>
        <w:rPr>
          <w:color w:val="231F20"/>
          <w:spacing w:val="-4"/>
        </w:rPr>
        <w:t>by</w:t>
      </w:r>
      <w:r>
        <w:rPr>
          <w:color w:val="231F20"/>
          <w:spacing w:val="-8"/>
        </w:rPr>
        <w:t> </w:t>
      </w:r>
      <w:r>
        <w:rPr>
          <w:color w:val="231F20"/>
          <w:spacing w:val="-4"/>
        </w:rPr>
        <w:t>the</w:t>
      </w:r>
      <w:r>
        <w:rPr>
          <w:color w:val="231F20"/>
          <w:spacing w:val="-8"/>
        </w:rPr>
        <w:t> </w:t>
      </w:r>
      <w:r>
        <w:rPr>
          <w:color w:val="231F20"/>
          <w:spacing w:val="-4"/>
        </w:rPr>
        <w:t>re- </w:t>
      </w:r>
      <w:r>
        <w:rPr>
          <w:color w:val="231F20"/>
          <w:w w:val="90"/>
        </w:rPr>
        <w:t>cent crisis, such as the quality of infrastruc- </w:t>
      </w:r>
      <w:r>
        <w:rPr>
          <w:color w:val="231F20"/>
          <w:spacing w:val="-2"/>
        </w:rPr>
        <w:t>ture.</w:t>
      </w:r>
    </w:p>
    <w:p>
      <w:pPr>
        <w:pStyle w:val="ListParagraph"/>
        <w:numPr>
          <w:ilvl w:val="0"/>
          <w:numId w:val="7"/>
        </w:numPr>
        <w:tabs>
          <w:tab w:pos="497" w:val="left" w:leader="none"/>
        </w:tabs>
        <w:spacing w:line="240" w:lineRule="exact" w:before="0" w:after="0"/>
        <w:ind w:left="497" w:right="0" w:hanging="299"/>
        <w:jc w:val="both"/>
        <w:rPr>
          <w:rFonts w:ascii="Times New Roman" w:hAnsi="Times New Roman"/>
          <w:sz w:val="21"/>
        </w:rPr>
      </w:pPr>
      <w:r>
        <w:rPr>
          <w:rFonts w:ascii="Times New Roman" w:hAnsi="Times New Roman"/>
          <w:color w:val="231F20"/>
          <w:w w:val="90"/>
          <w:sz w:val="21"/>
        </w:rPr>
        <w:t>Shippers</w:t>
      </w:r>
      <w:r>
        <w:rPr>
          <w:rFonts w:ascii="Times New Roman" w:hAnsi="Times New Roman"/>
          <w:color w:val="231F20"/>
          <w:spacing w:val="-5"/>
          <w:w w:val="90"/>
          <w:sz w:val="21"/>
        </w:rPr>
        <w:t> </w:t>
      </w:r>
      <w:r>
        <w:rPr>
          <w:rFonts w:ascii="Times New Roman" w:hAnsi="Times New Roman"/>
          <w:color w:val="231F20"/>
          <w:w w:val="90"/>
          <w:sz w:val="21"/>
        </w:rPr>
        <w:t>and</w:t>
      </w:r>
      <w:r>
        <w:rPr>
          <w:rFonts w:ascii="Times New Roman" w:hAnsi="Times New Roman"/>
          <w:color w:val="231F20"/>
          <w:spacing w:val="-4"/>
          <w:w w:val="90"/>
          <w:sz w:val="21"/>
        </w:rPr>
        <w:t> </w:t>
      </w:r>
      <w:r>
        <w:rPr>
          <w:rFonts w:ascii="Times New Roman" w:hAnsi="Times New Roman"/>
          <w:color w:val="231F20"/>
          <w:w w:val="90"/>
          <w:sz w:val="21"/>
        </w:rPr>
        <w:t>logistics</w:t>
      </w:r>
      <w:r>
        <w:rPr>
          <w:rFonts w:ascii="Times New Roman" w:hAnsi="Times New Roman"/>
          <w:color w:val="231F20"/>
          <w:spacing w:val="-4"/>
          <w:w w:val="90"/>
          <w:sz w:val="21"/>
        </w:rPr>
        <w:t> </w:t>
      </w:r>
      <w:r>
        <w:rPr>
          <w:rFonts w:ascii="Times New Roman" w:hAnsi="Times New Roman"/>
          <w:color w:val="231F20"/>
          <w:w w:val="90"/>
          <w:sz w:val="21"/>
        </w:rPr>
        <w:t>service</w:t>
      </w:r>
      <w:r>
        <w:rPr>
          <w:rFonts w:ascii="Times New Roman" w:hAnsi="Times New Roman"/>
          <w:color w:val="231F20"/>
          <w:spacing w:val="-5"/>
          <w:w w:val="90"/>
          <w:sz w:val="21"/>
        </w:rPr>
        <w:t> </w:t>
      </w:r>
      <w:r>
        <w:rPr>
          <w:rFonts w:ascii="Times New Roman" w:hAnsi="Times New Roman"/>
          <w:color w:val="231F20"/>
          <w:w w:val="90"/>
          <w:sz w:val="21"/>
        </w:rPr>
        <w:t>providers</w:t>
      </w:r>
      <w:r>
        <w:rPr>
          <w:rFonts w:ascii="Times New Roman" w:hAnsi="Times New Roman"/>
          <w:color w:val="231F20"/>
          <w:spacing w:val="-4"/>
          <w:w w:val="90"/>
          <w:sz w:val="21"/>
        </w:rPr>
        <w:t> have</w:t>
      </w:r>
    </w:p>
    <w:p>
      <w:pPr>
        <w:pStyle w:val="BodyText"/>
        <w:spacing w:line="266" w:lineRule="auto" w:before="28"/>
        <w:ind w:left="498" w:right="177"/>
        <w:jc w:val="both"/>
        <w:rPr>
          <w:sz w:val="14"/>
        </w:rPr>
      </w:pPr>
      <w:r>
        <w:rPr>
          <w:color w:val="231F20"/>
          <w:w w:val="90"/>
        </w:rPr>
        <w:t>generally been able to absorb</w:t>
      </w:r>
      <w:r>
        <w:rPr>
          <w:color w:val="231F20"/>
          <w:spacing w:val="-1"/>
          <w:w w:val="90"/>
        </w:rPr>
        <w:t> </w:t>
      </w:r>
      <w:r>
        <w:rPr>
          <w:color w:val="231F20"/>
          <w:w w:val="90"/>
        </w:rPr>
        <w:t>the disruptions </w:t>
      </w:r>
      <w:r>
        <w:rPr>
          <w:color w:val="231F20"/>
        </w:rPr>
        <w:t>well,</w:t>
      </w:r>
      <w:r>
        <w:rPr>
          <w:color w:val="231F20"/>
          <w:spacing w:val="-12"/>
        </w:rPr>
        <w:t> </w:t>
      </w:r>
      <w:r>
        <w:rPr>
          <w:color w:val="231F20"/>
        </w:rPr>
        <w:t>as</w:t>
      </w:r>
      <w:r>
        <w:rPr>
          <w:color w:val="231F20"/>
          <w:spacing w:val="-12"/>
        </w:rPr>
        <w:t> </w:t>
      </w:r>
      <w:r>
        <w:rPr>
          <w:color w:val="231F20"/>
        </w:rPr>
        <w:t>indicated</w:t>
      </w:r>
      <w:r>
        <w:rPr>
          <w:color w:val="231F20"/>
          <w:spacing w:val="-12"/>
        </w:rPr>
        <w:t> </w:t>
      </w:r>
      <w:r>
        <w:rPr>
          <w:color w:val="231F20"/>
        </w:rPr>
        <w:t>by</w:t>
      </w:r>
      <w:r>
        <w:rPr>
          <w:color w:val="231F20"/>
          <w:spacing w:val="-12"/>
        </w:rPr>
        <w:t> </w:t>
      </w:r>
      <w:r>
        <w:rPr>
          <w:color w:val="231F20"/>
        </w:rPr>
        <w:t>the</w:t>
      </w:r>
      <w:r>
        <w:rPr>
          <w:color w:val="231F20"/>
          <w:spacing w:val="-12"/>
        </w:rPr>
        <w:t> </w:t>
      </w:r>
      <w:r>
        <w:rPr>
          <w:color w:val="231F20"/>
        </w:rPr>
        <w:t>rebound</w:t>
      </w:r>
      <w:r>
        <w:rPr>
          <w:color w:val="231F20"/>
          <w:spacing w:val="-12"/>
        </w:rPr>
        <w:t> </w:t>
      </w:r>
      <w:r>
        <w:rPr>
          <w:color w:val="231F20"/>
        </w:rPr>
        <w:t>in</w:t>
      </w:r>
      <w:r>
        <w:rPr>
          <w:color w:val="231F20"/>
          <w:spacing w:val="-12"/>
        </w:rPr>
        <w:t> </w:t>
      </w:r>
      <w:r>
        <w:rPr>
          <w:color w:val="231F20"/>
        </w:rPr>
        <w:t>GDP growth in most countries.</w:t>
      </w:r>
      <w:r>
        <w:rPr>
          <w:color w:val="231F20"/>
          <w:position w:val="7"/>
          <w:sz w:val="14"/>
        </w:rPr>
        <w:t>3</w:t>
      </w:r>
    </w:p>
    <w:p>
      <w:pPr>
        <w:pStyle w:val="BodyText"/>
        <w:spacing w:before="38"/>
      </w:pPr>
    </w:p>
    <w:p>
      <w:pPr>
        <w:spacing w:line="280" w:lineRule="auto" w:before="0"/>
        <w:ind w:left="198" w:right="186" w:firstLine="0"/>
        <w:jc w:val="left"/>
        <w:rPr>
          <w:rFonts w:ascii="Arial"/>
          <w:b/>
          <w:sz w:val="20"/>
        </w:rPr>
      </w:pPr>
      <w:r>
        <w:rPr>
          <w:rFonts w:ascii="Arial"/>
          <w:b/>
          <w:color w:val="231F20"/>
          <w:w w:val="105"/>
          <w:sz w:val="20"/>
        </w:rPr>
        <w:t>Logistics performance remained stable or improved, but a gap persisted between the top and bottom performers</w:t>
      </w:r>
    </w:p>
    <w:p>
      <w:pPr>
        <w:pStyle w:val="BodyText"/>
        <w:spacing w:before="35"/>
        <w:rPr>
          <w:rFonts w:ascii="Arial"/>
          <w:b/>
          <w:sz w:val="20"/>
        </w:rPr>
      </w:pPr>
    </w:p>
    <w:p>
      <w:pPr>
        <w:pStyle w:val="BodyText"/>
        <w:spacing w:line="268" w:lineRule="auto"/>
        <w:ind w:left="198" w:right="177"/>
        <w:jc w:val="both"/>
      </w:pPr>
      <w:r>
        <w:rPr>
          <w:color w:val="231F20"/>
          <w:spacing w:val="-4"/>
        </w:rPr>
        <w:t>Overall, the score profile of countries covered </w:t>
      </w:r>
      <w:r>
        <w:rPr>
          <w:color w:val="231F20"/>
        </w:rPr>
        <w:t>in the LPI has remained stable, despite the more</w:t>
      </w:r>
      <w:r>
        <w:rPr>
          <w:color w:val="231F20"/>
          <w:spacing w:val="33"/>
        </w:rPr>
        <w:t> </w:t>
      </w:r>
      <w:r>
        <w:rPr>
          <w:color w:val="231F20"/>
        </w:rPr>
        <w:t>challenging</w:t>
      </w:r>
      <w:r>
        <w:rPr>
          <w:color w:val="231F20"/>
          <w:spacing w:val="33"/>
        </w:rPr>
        <w:t> </w:t>
      </w:r>
      <w:r>
        <w:rPr>
          <w:color w:val="231F20"/>
        </w:rPr>
        <w:t>operational</w:t>
      </w:r>
      <w:r>
        <w:rPr>
          <w:color w:val="231F20"/>
          <w:spacing w:val="34"/>
        </w:rPr>
        <w:t> </w:t>
      </w:r>
      <w:r>
        <w:rPr>
          <w:color w:val="231F20"/>
          <w:spacing w:val="-2"/>
        </w:rPr>
        <w:t>environment</w:t>
      </w:r>
    </w:p>
    <w:p>
      <w:pPr>
        <w:spacing w:after="0" w:line="268" w:lineRule="auto"/>
        <w:jc w:val="both"/>
        <w:sectPr>
          <w:type w:val="continuous"/>
          <w:pgSz w:w="12240" w:h="15840"/>
          <w:pgMar w:header="1196" w:footer="548" w:top="1140" w:bottom="280" w:left="0" w:right="540"/>
          <w:cols w:num="2" w:equalWidth="0">
            <w:col w:w="7562" w:space="40"/>
            <w:col w:w="409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1"/>
        <w:rPr>
          <w:sz w:val="20"/>
        </w:rPr>
      </w:pPr>
    </w:p>
    <w:tbl>
      <w:tblPr>
        <w:tblW w:w="0" w:type="auto"/>
        <w:jc w:val="left"/>
        <w:tblInd w:w="3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3"/>
        <w:gridCol w:w="1067"/>
        <w:gridCol w:w="823"/>
        <w:gridCol w:w="827"/>
        <w:gridCol w:w="828"/>
        <w:gridCol w:w="829"/>
        <w:gridCol w:w="813"/>
        <w:gridCol w:w="844"/>
      </w:tblGrid>
      <w:tr>
        <w:trPr>
          <w:trHeight w:val="209" w:hRule="atLeast"/>
        </w:trPr>
        <w:tc>
          <w:tcPr>
            <w:tcW w:w="1613" w:type="dxa"/>
            <w:tcBorders>
              <w:bottom w:val="single" w:sz="4" w:space="0" w:color="008FDD"/>
            </w:tcBorders>
          </w:tcPr>
          <w:p>
            <w:pPr>
              <w:pStyle w:val="TableParagraph"/>
              <w:spacing w:before="0"/>
              <w:jc w:val="left"/>
              <w:rPr>
                <w:rFonts w:ascii="Times New Roman"/>
                <w:sz w:val="14"/>
              </w:rPr>
            </w:pPr>
          </w:p>
        </w:tc>
        <w:tc>
          <w:tcPr>
            <w:tcW w:w="1067" w:type="dxa"/>
            <w:tcBorders>
              <w:bottom w:val="single" w:sz="4" w:space="0" w:color="008FDD"/>
            </w:tcBorders>
          </w:tcPr>
          <w:p>
            <w:pPr>
              <w:pStyle w:val="TableParagraph"/>
              <w:spacing w:before="3"/>
              <w:ind w:left="507"/>
              <w:jc w:val="left"/>
              <w:rPr>
                <w:b/>
                <w:sz w:val="14"/>
              </w:rPr>
            </w:pPr>
            <w:r>
              <w:rPr>
                <w:b/>
                <w:color w:val="231F20"/>
                <w:spacing w:val="-4"/>
                <w:w w:val="95"/>
                <w:sz w:val="14"/>
              </w:rPr>
              <w:t>2007</w:t>
            </w:r>
          </w:p>
        </w:tc>
        <w:tc>
          <w:tcPr>
            <w:tcW w:w="823" w:type="dxa"/>
            <w:tcBorders>
              <w:bottom w:val="single" w:sz="4" w:space="0" w:color="008FDD"/>
            </w:tcBorders>
          </w:tcPr>
          <w:p>
            <w:pPr>
              <w:pStyle w:val="TableParagraph"/>
              <w:spacing w:before="3"/>
              <w:ind w:left="9" w:right="14"/>
              <w:rPr>
                <w:b/>
                <w:sz w:val="14"/>
              </w:rPr>
            </w:pPr>
            <w:r>
              <w:rPr>
                <w:b/>
                <w:color w:val="231F20"/>
                <w:spacing w:val="-4"/>
                <w:w w:val="95"/>
                <w:sz w:val="14"/>
              </w:rPr>
              <w:t>2010</w:t>
            </w:r>
          </w:p>
        </w:tc>
        <w:tc>
          <w:tcPr>
            <w:tcW w:w="827" w:type="dxa"/>
            <w:tcBorders>
              <w:bottom w:val="single" w:sz="4" w:space="0" w:color="008FDD"/>
            </w:tcBorders>
          </w:tcPr>
          <w:p>
            <w:pPr>
              <w:pStyle w:val="TableParagraph"/>
              <w:spacing w:before="3"/>
              <w:ind w:left="7" w:right="8"/>
              <w:rPr>
                <w:b/>
                <w:sz w:val="14"/>
              </w:rPr>
            </w:pPr>
            <w:r>
              <w:rPr>
                <w:b/>
                <w:color w:val="231F20"/>
                <w:spacing w:val="-4"/>
                <w:w w:val="95"/>
                <w:sz w:val="14"/>
              </w:rPr>
              <w:t>2012</w:t>
            </w:r>
          </w:p>
        </w:tc>
        <w:tc>
          <w:tcPr>
            <w:tcW w:w="828" w:type="dxa"/>
            <w:tcBorders>
              <w:bottom w:val="single" w:sz="4" w:space="0" w:color="008FDD"/>
            </w:tcBorders>
          </w:tcPr>
          <w:p>
            <w:pPr>
              <w:pStyle w:val="TableParagraph"/>
              <w:spacing w:before="3"/>
              <w:ind w:left="8" w:right="9"/>
              <w:rPr>
                <w:b/>
                <w:sz w:val="14"/>
              </w:rPr>
            </w:pPr>
            <w:r>
              <w:rPr>
                <w:b/>
                <w:color w:val="231F20"/>
                <w:spacing w:val="-4"/>
                <w:w w:val="95"/>
                <w:sz w:val="14"/>
              </w:rPr>
              <w:t>2014</w:t>
            </w:r>
          </w:p>
        </w:tc>
        <w:tc>
          <w:tcPr>
            <w:tcW w:w="829" w:type="dxa"/>
            <w:tcBorders>
              <w:bottom w:val="single" w:sz="4" w:space="0" w:color="008FDD"/>
            </w:tcBorders>
          </w:tcPr>
          <w:p>
            <w:pPr>
              <w:pStyle w:val="TableParagraph"/>
              <w:spacing w:before="3"/>
              <w:ind w:left="11" w:right="13"/>
              <w:rPr>
                <w:b/>
                <w:sz w:val="14"/>
              </w:rPr>
            </w:pPr>
            <w:r>
              <w:rPr>
                <w:b/>
                <w:color w:val="231F20"/>
                <w:spacing w:val="-4"/>
                <w:w w:val="95"/>
                <w:sz w:val="14"/>
              </w:rPr>
              <w:t>2016</w:t>
            </w:r>
          </w:p>
        </w:tc>
        <w:tc>
          <w:tcPr>
            <w:tcW w:w="813" w:type="dxa"/>
            <w:tcBorders>
              <w:bottom w:val="single" w:sz="4" w:space="0" w:color="008FDD"/>
            </w:tcBorders>
          </w:tcPr>
          <w:p>
            <w:pPr>
              <w:pStyle w:val="TableParagraph"/>
              <w:spacing w:before="3"/>
              <w:ind w:left="17" w:right="10"/>
              <w:rPr>
                <w:b/>
                <w:sz w:val="14"/>
              </w:rPr>
            </w:pPr>
            <w:r>
              <w:rPr>
                <w:b/>
                <w:color w:val="231F20"/>
                <w:spacing w:val="-4"/>
                <w:w w:val="95"/>
                <w:sz w:val="14"/>
              </w:rPr>
              <w:t>2018</w:t>
            </w:r>
          </w:p>
        </w:tc>
        <w:tc>
          <w:tcPr>
            <w:tcW w:w="844" w:type="dxa"/>
            <w:tcBorders>
              <w:bottom w:val="single" w:sz="4" w:space="0" w:color="008FDD"/>
            </w:tcBorders>
          </w:tcPr>
          <w:p>
            <w:pPr>
              <w:pStyle w:val="TableParagraph"/>
              <w:spacing w:before="0"/>
              <w:ind w:left="42" w:right="34"/>
              <w:rPr>
                <w:b/>
                <w:sz w:val="9"/>
              </w:rPr>
            </w:pPr>
            <w:r>
              <w:rPr>
                <w:b/>
                <w:color w:val="231F20"/>
                <w:spacing w:val="-2"/>
                <w:w w:val="95"/>
                <w:sz w:val="14"/>
              </w:rPr>
              <w:t>2023</w:t>
            </w:r>
            <w:r>
              <w:rPr>
                <w:b/>
                <w:color w:val="231F20"/>
                <w:spacing w:val="-2"/>
                <w:w w:val="95"/>
                <w:position w:val="5"/>
                <w:sz w:val="9"/>
              </w:rPr>
              <w:t>a</w:t>
            </w:r>
          </w:p>
        </w:tc>
      </w:tr>
      <w:tr>
        <w:trPr>
          <w:trHeight w:val="258" w:hRule="atLeast"/>
        </w:trPr>
        <w:tc>
          <w:tcPr>
            <w:tcW w:w="1613" w:type="dxa"/>
            <w:tcBorders>
              <w:top w:val="single" w:sz="4" w:space="0" w:color="008FDD"/>
            </w:tcBorders>
          </w:tcPr>
          <w:p>
            <w:pPr>
              <w:pStyle w:val="TableParagraph"/>
              <w:spacing w:before="47"/>
              <w:ind w:left="80"/>
              <w:jc w:val="left"/>
              <w:rPr>
                <w:sz w:val="14"/>
              </w:rPr>
            </w:pPr>
            <w:r>
              <w:rPr>
                <w:color w:val="231F20"/>
                <w:spacing w:val="-2"/>
                <w:w w:val="80"/>
                <w:sz w:val="14"/>
              </w:rPr>
              <w:t>Top</w:t>
            </w:r>
            <w:r>
              <w:rPr>
                <w:color w:val="231F20"/>
                <w:spacing w:val="-6"/>
                <w:sz w:val="14"/>
              </w:rPr>
              <w:t> </w:t>
            </w:r>
            <w:r>
              <w:rPr>
                <w:color w:val="231F20"/>
                <w:spacing w:val="-2"/>
                <w:w w:val="80"/>
                <w:sz w:val="14"/>
              </w:rPr>
              <w:t>10</w:t>
            </w:r>
            <w:r>
              <w:rPr>
                <w:color w:val="231F20"/>
                <w:spacing w:val="-5"/>
                <w:sz w:val="14"/>
              </w:rPr>
              <w:t> </w:t>
            </w:r>
            <w:r>
              <w:rPr>
                <w:color w:val="231F20"/>
                <w:spacing w:val="-2"/>
                <w:w w:val="80"/>
                <w:sz w:val="14"/>
              </w:rPr>
              <w:t>average</w:t>
            </w:r>
          </w:p>
        </w:tc>
        <w:tc>
          <w:tcPr>
            <w:tcW w:w="1067" w:type="dxa"/>
            <w:tcBorders>
              <w:top w:val="single" w:sz="4" w:space="0" w:color="008FDD"/>
            </w:tcBorders>
          </w:tcPr>
          <w:p>
            <w:pPr>
              <w:pStyle w:val="TableParagraph"/>
              <w:spacing w:before="47"/>
              <w:ind w:left="567"/>
              <w:jc w:val="left"/>
              <w:rPr>
                <w:sz w:val="14"/>
              </w:rPr>
            </w:pPr>
            <w:r>
              <w:rPr>
                <w:color w:val="231F20"/>
                <w:spacing w:val="-5"/>
                <w:w w:val="95"/>
                <w:sz w:val="14"/>
              </w:rPr>
              <w:t>4.1</w:t>
            </w:r>
          </w:p>
        </w:tc>
        <w:tc>
          <w:tcPr>
            <w:tcW w:w="823" w:type="dxa"/>
            <w:tcBorders>
              <w:top w:val="single" w:sz="4" w:space="0" w:color="008FDD"/>
            </w:tcBorders>
          </w:tcPr>
          <w:p>
            <w:pPr>
              <w:pStyle w:val="TableParagraph"/>
              <w:spacing w:before="47"/>
              <w:ind w:left="16" w:right="14"/>
              <w:rPr>
                <w:sz w:val="14"/>
              </w:rPr>
            </w:pPr>
            <w:r>
              <w:rPr>
                <w:color w:val="231F20"/>
                <w:spacing w:val="-5"/>
                <w:w w:val="95"/>
                <w:sz w:val="14"/>
              </w:rPr>
              <w:t>4.0</w:t>
            </w:r>
          </w:p>
        </w:tc>
        <w:tc>
          <w:tcPr>
            <w:tcW w:w="827" w:type="dxa"/>
            <w:tcBorders>
              <w:top w:val="single" w:sz="4" w:space="0" w:color="008FDD"/>
            </w:tcBorders>
          </w:tcPr>
          <w:p>
            <w:pPr>
              <w:pStyle w:val="TableParagraph"/>
              <w:spacing w:before="47"/>
              <w:ind w:left="7" w:right="1"/>
              <w:rPr>
                <w:sz w:val="14"/>
              </w:rPr>
            </w:pPr>
            <w:r>
              <w:rPr>
                <w:color w:val="231F20"/>
                <w:spacing w:val="-5"/>
                <w:w w:val="95"/>
                <w:sz w:val="14"/>
              </w:rPr>
              <w:t>4.0</w:t>
            </w:r>
          </w:p>
        </w:tc>
        <w:tc>
          <w:tcPr>
            <w:tcW w:w="828" w:type="dxa"/>
            <w:tcBorders>
              <w:top w:val="single" w:sz="4" w:space="0" w:color="008FDD"/>
            </w:tcBorders>
          </w:tcPr>
          <w:p>
            <w:pPr>
              <w:pStyle w:val="TableParagraph"/>
              <w:spacing w:before="47"/>
              <w:ind w:left="15" w:right="9"/>
              <w:rPr>
                <w:sz w:val="14"/>
              </w:rPr>
            </w:pPr>
            <w:r>
              <w:rPr>
                <w:color w:val="231F20"/>
                <w:spacing w:val="-5"/>
                <w:w w:val="95"/>
                <w:sz w:val="14"/>
              </w:rPr>
              <w:t>4.0</w:t>
            </w:r>
          </w:p>
        </w:tc>
        <w:tc>
          <w:tcPr>
            <w:tcW w:w="829" w:type="dxa"/>
            <w:tcBorders>
              <w:top w:val="single" w:sz="4" w:space="0" w:color="008FDD"/>
            </w:tcBorders>
          </w:tcPr>
          <w:p>
            <w:pPr>
              <w:pStyle w:val="TableParagraph"/>
              <w:spacing w:before="47"/>
              <w:ind w:left="11" w:right="21"/>
              <w:rPr>
                <w:sz w:val="14"/>
              </w:rPr>
            </w:pPr>
            <w:r>
              <w:rPr>
                <w:color w:val="231F20"/>
                <w:spacing w:val="-5"/>
                <w:w w:val="95"/>
                <w:sz w:val="14"/>
              </w:rPr>
              <w:t>4.1</w:t>
            </w:r>
          </w:p>
        </w:tc>
        <w:tc>
          <w:tcPr>
            <w:tcW w:w="813" w:type="dxa"/>
            <w:tcBorders>
              <w:top w:val="single" w:sz="4" w:space="0" w:color="008FDD"/>
            </w:tcBorders>
          </w:tcPr>
          <w:p>
            <w:pPr>
              <w:pStyle w:val="TableParagraph"/>
              <w:spacing w:before="47"/>
              <w:ind w:left="17"/>
              <w:rPr>
                <w:sz w:val="14"/>
              </w:rPr>
            </w:pPr>
            <w:r>
              <w:rPr>
                <w:color w:val="231F20"/>
                <w:spacing w:val="-5"/>
                <w:w w:val="95"/>
                <w:sz w:val="14"/>
              </w:rPr>
              <w:t>4.0</w:t>
            </w:r>
          </w:p>
        </w:tc>
        <w:tc>
          <w:tcPr>
            <w:tcW w:w="844" w:type="dxa"/>
            <w:tcBorders>
              <w:top w:val="single" w:sz="4" w:space="0" w:color="008FDD"/>
            </w:tcBorders>
          </w:tcPr>
          <w:p>
            <w:pPr>
              <w:pStyle w:val="TableParagraph"/>
              <w:spacing w:before="44"/>
              <w:ind w:left="42"/>
              <w:rPr>
                <w:sz w:val="9"/>
              </w:rPr>
            </w:pPr>
            <w:r>
              <w:rPr>
                <w:color w:val="231F20"/>
                <w:spacing w:val="-4"/>
                <w:w w:val="95"/>
                <w:sz w:val="14"/>
              </w:rPr>
              <w:t>4.1</w:t>
            </w:r>
            <w:r>
              <w:rPr>
                <w:color w:val="231F20"/>
                <w:spacing w:val="-4"/>
                <w:w w:val="95"/>
                <w:position w:val="5"/>
                <w:sz w:val="9"/>
              </w:rPr>
              <w:t>b</w:t>
            </w:r>
          </w:p>
        </w:tc>
      </w:tr>
      <w:tr>
        <w:trPr>
          <w:trHeight w:val="254" w:hRule="atLeast"/>
        </w:trPr>
        <w:tc>
          <w:tcPr>
            <w:tcW w:w="1613" w:type="dxa"/>
            <w:tcBorders>
              <w:bottom w:val="single" w:sz="4" w:space="0" w:color="008FDD"/>
            </w:tcBorders>
            <w:shd w:val="clear" w:color="auto" w:fill="D4E3F5"/>
          </w:tcPr>
          <w:p>
            <w:pPr>
              <w:pStyle w:val="TableParagraph"/>
              <w:ind w:left="80"/>
              <w:jc w:val="left"/>
              <w:rPr>
                <w:sz w:val="14"/>
              </w:rPr>
            </w:pPr>
            <w:r>
              <w:rPr>
                <w:color w:val="231F20"/>
                <w:w w:val="80"/>
                <w:sz w:val="14"/>
              </w:rPr>
              <w:t>Bottom</w:t>
            </w:r>
            <w:r>
              <w:rPr>
                <w:color w:val="231F20"/>
                <w:sz w:val="14"/>
              </w:rPr>
              <w:t> </w:t>
            </w:r>
            <w:r>
              <w:rPr>
                <w:color w:val="231F20"/>
                <w:w w:val="80"/>
                <w:sz w:val="14"/>
              </w:rPr>
              <w:t>10</w:t>
            </w:r>
            <w:r>
              <w:rPr>
                <w:color w:val="231F20"/>
                <w:spacing w:val="1"/>
                <w:sz w:val="14"/>
              </w:rPr>
              <w:t> </w:t>
            </w:r>
            <w:r>
              <w:rPr>
                <w:color w:val="231F20"/>
                <w:spacing w:val="-2"/>
                <w:w w:val="80"/>
                <w:sz w:val="14"/>
              </w:rPr>
              <w:t>average</w:t>
            </w:r>
          </w:p>
        </w:tc>
        <w:tc>
          <w:tcPr>
            <w:tcW w:w="1067" w:type="dxa"/>
            <w:tcBorders>
              <w:bottom w:val="single" w:sz="4" w:space="0" w:color="008FDD"/>
            </w:tcBorders>
            <w:shd w:val="clear" w:color="auto" w:fill="D4E3F5"/>
          </w:tcPr>
          <w:p>
            <w:pPr>
              <w:pStyle w:val="TableParagraph"/>
              <w:ind w:left="573"/>
              <w:jc w:val="left"/>
              <w:rPr>
                <w:sz w:val="14"/>
              </w:rPr>
            </w:pPr>
            <w:r>
              <w:rPr>
                <w:color w:val="231F20"/>
                <w:spacing w:val="-5"/>
                <w:w w:val="95"/>
                <w:sz w:val="14"/>
              </w:rPr>
              <w:t>1.8</w:t>
            </w:r>
          </w:p>
        </w:tc>
        <w:tc>
          <w:tcPr>
            <w:tcW w:w="823" w:type="dxa"/>
            <w:tcBorders>
              <w:bottom w:val="single" w:sz="4" w:space="0" w:color="008FDD"/>
            </w:tcBorders>
            <w:shd w:val="clear" w:color="auto" w:fill="D4E3F5"/>
          </w:tcPr>
          <w:p>
            <w:pPr>
              <w:pStyle w:val="TableParagraph"/>
              <w:ind w:left="2" w:right="16"/>
              <w:rPr>
                <w:sz w:val="14"/>
              </w:rPr>
            </w:pPr>
            <w:r>
              <w:rPr>
                <w:color w:val="231F20"/>
                <w:spacing w:val="-5"/>
                <w:w w:val="95"/>
                <w:sz w:val="14"/>
              </w:rPr>
              <w:t>2.1</w:t>
            </w:r>
          </w:p>
        </w:tc>
        <w:tc>
          <w:tcPr>
            <w:tcW w:w="827" w:type="dxa"/>
            <w:tcBorders>
              <w:bottom w:val="single" w:sz="4" w:space="0" w:color="008FDD"/>
            </w:tcBorders>
            <w:shd w:val="clear" w:color="auto" w:fill="D4E3F5"/>
          </w:tcPr>
          <w:p>
            <w:pPr>
              <w:pStyle w:val="TableParagraph"/>
              <w:ind w:left="8" w:right="1"/>
              <w:rPr>
                <w:sz w:val="14"/>
              </w:rPr>
            </w:pPr>
            <w:r>
              <w:rPr>
                <w:color w:val="231F20"/>
                <w:spacing w:val="-5"/>
                <w:w w:val="95"/>
                <w:sz w:val="14"/>
              </w:rPr>
              <w:t>2.0</w:t>
            </w:r>
          </w:p>
        </w:tc>
        <w:tc>
          <w:tcPr>
            <w:tcW w:w="828" w:type="dxa"/>
            <w:tcBorders>
              <w:bottom w:val="single" w:sz="4" w:space="0" w:color="008FDD"/>
            </w:tcBorders>
            <w:shd w:val="clear" w:color="auto" w:fill="D4E3F5"/>
          </w:tcPr>
          <w:p>
            <w:pPr>
              <w:pStyle w:val="TableParagraph"/>
              <w:ind w:left="6" w:right="15"/>
              <w:rPr>
                <w:sz w:val="14"/>
              </w:rPr>
            </w:pPr>
            <w:r>
              <w:rPr>
                <w:color w:val="231F20"/>
                <w:spacing w:val="-5"/>
                <w:w w:val="95"/>
                <w:sz w:val="14"/>
              </w:rPr>
              <w:t>2.1</w:t>
            </w:r>
          </w:p>
        </w:tc>
        <w:tc>
          <w:tcPr>
            <w:tcW w:w="829" w:type="dxa"/>
            <w:tcBorders>
              <w:bottom w:val="single" w:sz="4" w:space="0" w:color="008FDD"/>
            </w:tcBorders>
            <w:shd w:val="clear" w:color="auto" w:fill="D4E3F5"/>
          </w:tcPr>
          <w:p>
            <w:pPr>
              <w:pStyle w:val="TableParagraph"/>
              <w:ind w:left="21" w:right="10"/>
              <w:rPr>
                <w:sz w:val="14"/>
              </w:rPr>
            </w:pPr>
            <w:r>
              <w:rPr>
                <w:color w:val="231F20"/>
                <w:spacing w:val="-5"/>
                <w:w w:val="95"/>
                <w:sz w:val="14"/>
              </w:rPr>
              <w:t>1.9</w:t>
            </w:r>
          </w:p>
        </w:tc>
        <w:tc>
          <w:tcPr>
            <w:tcW w:w="813" w:type="dxa"/>
            <w:tcBorders>
              <w:bottom w:val="single" w:sz="4" w:space="0" w:color="008FDD"/>
            </w:tcBorders>
            <w:shd w:val="clear" w:color="auto" w:fill="D4E3F5"/>
          </w:tcPr>
          <w:p>
            <w:pPr>
              <w:pStyle w:val="TableParagraph"/>
              <w:ind w:left="17" w:right="17"/>
              <w:rPr>
                <w:sz w:val="14"/>
              </w:rPr>
            </w:pPr>
            <w:r>
              <w:rPr>
                <w:color w:val="231F20"/>
                <w:spacing w:val="-5"/>
                <w:w w:val="95"/>
                <w:sz w:val="14"/>
              </w:rPr>
              <w:t>2.1</w:t>
            </w:r>
          </w:p>
        </w:tc>
        <w:tc>
          <w:tcPr>
            <w:tcW w:w="844" w:type="dxa"/>
            <w:tcBorders>
              <w:bottom w:val="single" w:sz="4" w:space="0" w:color="008FDD"/>
            </w:tcBorders>
            <w:shd w:val="clear" w:color="auto" w:fill="D4E3F5"/>
          </w:tcPr>
          <w:p>
            <w:pPr>
              <w:pStyle w:val="TableParagraph"/>
              <w:ind w:left="42" w:right="42"/>
              <w:rPr>
                <w:sz w:val="14"/>
              </w:rPr>
            </w:pPr>
            <w:r>
              <w:rPr>
                <w:color w:val="231F20"/>
                <w:spacing w:val="-5"/>
                <w:w w:val="95"/>
                <w:sz w:val="14"/>
              </w:rPr>
              <w:t>2.1</w:t>
            </w:r>
          </w:p>
        </w:tc>
      </w:tr>
    </w:tbl>
    <w:p>
      <w:pPr>
        <w:pStyle w:val="BodyText"/>
        <w:rPr>
          <w:sz w:val="20"/>
        </w:rPr>
      </w:pPr>
    </w:p>
    <w:p>
      <w:pPr>
        <w:pStyle w:val="BodyText"/>
        <w:rPr>
          <w:sz w:val="20"/>
        </w:rPr>
      </w:pPr>
    </w:p>
    <w:p>
      <w:pPr>
        <w:pStyle w:val="BodyText"/>
        <w:rPr>
          <w:sz w:val="20"/>
        </w:rPr>
      </w:pPr>
    </w:p>
    <w:p>
      <w:pPr>
        <w:pStyle w:val="BodyText"/>
        <w:spacing w:before="164"/>
        <w:rPr>
          <w:sz w:val="20"/>
        </w:rPr>
      </w:pPr>
    </w:p>
    <w:p>
      <w:pPr>
        <w:spacing w:after="0"/>
        <w:rPr>
          <w:sz w:val="20"/>
        </w:rPr>
        <w:sectPr>
          <w:pgSz w:w="12240" w:h="15840"/>
          <w:pgMar w:header="370" w:footer="548" w:top="560" w:bottom="740" w:left="0" w:right="540"/>
        </w:sectPr>
      </w:pPr>
    </w:p>
    <w:p>
      <w:pPr>
        <w:pStyle w:val="BodyText"/>
        <w:spacing w:line="268" w:lineRule="auto" w:before="97"/>
        <w:ind w:left="3271"/>
        <w:jc w:val="right"/>
      </w:pPr>
      <w:r>
        <w:rPr/>
        <mc:AlternateContent>
          <mc:Choice Requires="wps">
            <w:drawing>
              <wp:anchor distT="0" distB="0" distL="0" distR="0" allowOverlap="1" layoutInCell="1" locked="0" behindDoc="1" simplePos="0" relativeHeight="466737152">
                <wp:simplePos x="0" y="0"/>
                <wp:positionH relativeFrom="page">
                  <wp:posOffset>2095500</wp:posOffset>
                </wp:positionH>
                <wp:positionV relativeFrom="paragraph">
                  <wp:posOffset>-1528053</wp:posOffset>
                </wp:positionV>
                <wp:extent cx="4953000" cy="1293495"/>
                <wp:effectExtent l="0" t="0" r="0" b="0"/>
                <wp:wrapNone/>
                <wp:docPr id="209" name="Group 209"/>
                <wp:cNvGraphicFramePr>
                  <a:graphicFrameLocks/>
                </wp:cNvGraphicFramePr>
                <a:graphic>
                  <a:graphicData uri="http://schemas.microsoft.com/office/word/2010/wordprocessingGroup">
                    <wpg:wgp>
                      <wpg:cNvPr id="209" name="Group 209"/>
                      <wpg:cNvGrpSpPr/>
                      <wpg:grpSpPr>
                        <a:xfrm>
                          <a:off x="0" y="0"/>
                          <a:ext cx="4953000" cy="1293495"/>
                          <a:chExt cx="4953000" cy="1293495"/>
                        </a:xfrm>
                      </wpg:grpSpPr>
                      <wps:wsp>
                        <wps:cNvPr id="210" name="Graphic 210"/>
                        <wps:cNvSpPr/>
                        <wps:spPr>
                          <a:xfrm>
                            <a:off x="63500" y="19050"/>
                            <a:ext cx="4870450" cy="226060"/>
                          </a:xfrm>
                          <a:custGeom>
                            <a:avLst/>
                            <a:gdLst/>
                            <a:ahLst/>
                            <a:cxnLst/>
                            <a:rect l="l" t="t" r="r" b="b"/>
                            <a:pathLst>
                              <a:path w="4870450" h="226060">
                                <a:moveTo>
                                  <a:pt x="4775200" y="0"/>
                                </a:moveTo>
                                <a:lnTo>
                                  <a:pt x="50800" y="0"/>
                                </a:lnTo>
                                <a:lnTo>
                                  <a:pt x="13757" y="7496"/>
                                </a:lnTo>
                                <a:lnTo>
                                  <a:pt x="0" y="16778"/>
                                </a:lnTo>
                                <a:lnTo>
                                  <a:pt x="0" y="225907"/>
                                </a:lnTo>
                                <a:lnTo>
                                  <a:pt x="4870450" y="225907"/>
                                </a:lnTo>
                                <a:lnTo>
                                  <a:pt x="4870450" y="95250"/>
                                </a:lnTo>
                                <a:lnTo>
                                  <a:pt x="4862953" y="58207"/>
                                </a:lnTo>
                                <a:lnTo>
                                  <a:pt x="4842522" y="27927"/>
                                </a:lnTo>
                                <a:lnTo>
                                  <a:pt x="4812242" y="7496"/>
                                </a:lnTo>
                                <a:lnTo>
                                  <a:pt x="4775200" y="0"/>
                                </a:lnTo>
                                <a:close/>
                              </a:path>
                            </a:pathLst>
                          </a:custGeom>
                          <a:solidFill>
                            <a:srgbClr val="808285"/>
                          </a:solidFill>
                        </wps:spPr>
                        <wps:bodyPr wrap="square" lIns="0" tIns="0" rIns="0" bIns="0" rtlCol="0">
                          <a:prstTxWarp prst="textNoShape">
                            <a:avLst/>
                          </a:prstTxWarp>
                          <a:noAutofit/>
                        </wps:bodyPr>
                      </wps:wsp>
                      <wps:wsp>
                        <wps:cNvPr id="211" name="Graphic 211"/>
                        <wps:cNvSpPr/>
                        <wps:spPr>
                          <a:xfrm>
                            <a:off x="546100" y="29057"/>
                            <a:ext cx="1270" cy="225425"/>
                          </a:xfrm>
                          <a:custGeom>
                            <a:avLst/>
                            <a:gdLst/>
                            <a:ahLst/>
                            <a:cxnLst/>
                            <a:rect l="l" t="t" r="r" b="b"/>
                            <a:pathLst>
                              <a:path w="0" h="225425">
                                <a:moveTo>
                                  <a:pt x="0" y="2249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212" name="Graphic 212"/>
                        <wps:cNvSpPr/>
                        <wps:spPr>
                          <a:xfrm>
                            <a:off x="38100" y="38100"/>
                            <a:ext cx="495300" cy="206375"/>
                          </a:xfrm>
                          <a:custGeom>
                            <a:avLst/>
                            <a:gdLst/>
                            <a:ahLst/>
                            <a:cxnLst/>
                            <a:rect l="l" t="t" r="r" b="b"/>
                            <a:pathLst>
                              <a:path w="495300" h="206375">
                                <a:moveTo>
                                  <a:pt x="0" y="206375"/>
                                </a:moveTo>
                                <a:lnTo>
                                  <a:pt x="495300" y="206375"/>
                                </a:lnTo>
                                <a:lnTo>
                                  <a:pt x="495300" y="0"/>
                                </a:lnTo>
                                <a:lnTo>
                                  <a:pt x="0" y="0"/>
                                </a:lnTo>
                                <a:lnTo>
                                  <a:pt x="0" y="206375"/>
                                </a:lnTo>
                                <a:close/>
                              </a:path>
                            </a:pathLst>
                          </a:custGeom>
                          <a:solidFill>
                            <a:srgbClr val="008FDD"/>
                          </a:solidFill>
                        </wps:spPr>
                        <wps:bodyPr wrap="square" lIns="0" tIns="0" rIns="0" bIns="0" rtlCol="0">
                          <a:prstTxWarp prst="textNoShape">
                            <a:avLst/>
                          </a:prstTxWarp>
                          <a:noAutofit/>
                        </wps:bodyPr>
                      </wps:wsp>
                      <wps:wsp>
                        <wps:cNvPr id="213" name="Graphic 213"/>
                        <wps:cNvSpPr/>
                        <wps:spPr>
                          <a:xfrm>
                            <a:off x="19050" y="19050"/>
                            <a:ext cx="4914900" cy="1255395"/>
                          </a:xfrm>
                          <a:custGeom>
                            <a:avLst/>
                            <a:gdLst/>
                            <a:ahLst/>
                            <a:cxnLst/>
                            <a:rect l="l" t="t" r="r" b="b"/>
                            <a:pathLst>
                              <a:path w="4914900" h="1255395">
                                <a:moveTo>
                                  <a:pt x="95250" y="0"/>
                                </a:moveTo>
                                <a:lnTo>
                                  <a:pt x="58212" y="7497"/>
                                </a:lnTo>
                                <a:lnTo>
                                  <a:pt x="27932" y="27932"/>
                                </a:lnTo>
                                <a:lnTo>
                                  <a:pt x="7497" y="58212"/>
                                </a:lnTo>
                                <a:lnTo>
                                  <a:pt x="0" y="95250"/>
                                </a:lnTo>
                                <a:lnTo>
                                  <a:pt x="0" y="1236268"/>
                                </a:lnTo>
                                <a:lnTo>
                                  <a:pt x="0" y="1255318"/>
                                </a:lnTo>
                                <a:lnTo>
                                  <a:pt x="19050" y="1255318"/>
                                </a:lnTo>
                                <a:lnTo>
                                  <a:pt x="4895850" y="1255318"/>
                                </a:lnTo>
                                <a:lnTo>
                                  <a:pt x="4914900" y="1255318"/>
                                </a:lnTo>
                                <a:lnTo>
                                  <a:pt x="4914900" y="1236268"/>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214" name="Textbox 214"/>
                        <wps:cNvSpPr txBox="1"/>
                        <wps:spPr>
                          <a:xfrm>
                            <a:off x="622315" y="81178"/>
                            <a:ext cx="3618229" cy="120650"/>
                          </a:xfrm>
                          <a:prstGeom prst="rect">
                            <a:avLst/>
                          </a:prstGeom>
                        </wps:spPr>
                        <wps:txbx>
                          <w:txbxContent>
                            <w:p>
                              <w:pPr>
                                <w:spacing w:before="2"/>
                                <w:ind w:left="0" w:right="0" w:firstLine="0"/>
                                <w:jc w:val="left"/>
                                <w:rPr>
                                  <w:rFonts w:ascii="Arial" w:hAnsi="Arial"/>
                                  <w:b/>
                                  <w:sz w:val="16"/>
                                </w:rPr>
                              </w:pPr>
                              <w:r>
                                <w:rPr>
                                  <w:rFonts w:ascii="Arial" w:hAnsi="Arial"/>
                                  <w:b/>
                                  <w:color w:val="FFFFFF"/>
                                  <w:w w:val="105"/>
                                  <w:sz w:val="16"/>
                                </w:rPr>
                                <w:t>Top</w:t>
                              </w:r>
                              <w:r>
                                <w:rPr>
                                  <w:rFonts w:ascii="Arial" w:hAnsi="Arial"/>
                                  <w:b/>
                                  <w:color w:val="FFFFFF"/>
                                  <w:spacing w:val="8"/>
                                  <w:w w:val="105"/>
                                  <w:sz w:val="16"/>
                                </w:rPr>
                                <w:t> </w:t>
                              </w:r>
                              <w:r>
                                <w:rPr>
                                  <w:rFonts w:ascii="Arial" w:hAnsi="Arial"/>
                                  <w:b/>
                                  <w:color w:val="FFFFFF"/>
                                  <w:w w:val="105"/>
                                  <w:sz w:val="16"/>
                                </w:rPr>
                                <w:t>10</w:t>
                              </w:r>
                              <w:r>
                                <w:rPr>
                                  <w:rFonts w:ascii="Arial" w:hAnsi="Arial"/>
                                  <w:b/>
                                  <w:color w:val="FFFFFF"/>
                                  <w:spacing w:val="8"/>
                                  <w:w w:val="105"/>
                                  <w:sz w:val="16"/>
                                </w:rPr>
                                <w:t> </w:t>
                              </w:r>
                              <w:r>
                                <w:rPr>
                                  <w:rFonts w:ascii="Arial" w:hAnsi="Arial"/>
                                  <w:b/>
                                  <w:color w:val="FFFFFF"/>
                                  <w:w w:val="105"/>
                                  <w:sz w:val="16"/>
                                </w:rPr>
                                <w:t>and</w:t>
                              </w:r>
                              <w:r>
                                <w:rPr>
                                  <w:rFonts w:ascii="Arial" w:hAnsi="Arial"/>
                                  <w:b/>
                                  <w:color w:val="FFFFFF"/>
                                  <w:spacing w:val="9"/>
                                  <w:w w:val="105"/>
                                  <w:sz w:val="16"/>
                                </w:rPr>
                                <w:t> </w:t>
                              </w:r>
                              <w:r>
                                <w:rPr>
                                  <w:rFonts w:ascii="Arial" w:hAnsi="Arial"/>
                                  <w:b/>
                                  <w:color w:val="FFFFFF"/>
                                  <w:w w:val="105"/>
                                  <w:sz w:val="16"/>
                                </w:rPr>
                                <w:t>bottom</w:t>
                              </w:r>
                              <w:r>
                                <w:rPr>
                                  <w:rFonts w:ascii="Arial" w:hAnsi="Arial"/>
                                  <w:b/>
                                  <w:color w:val="FFFFFF"/>
                                  <w:spacing w:val="8"/>
                                  <w:w w:val="105"/>
                                  <w:sz w:val="16"/>
                                </w:rPr>
                                <w:t> </w:t>
                              </w:r>
                              <w:r>
                                <w:rPr>
                                  <w:rFonts w:ascii="Arial" w:hAnsi="Arial"/>
                                  <w:b/>
                                  <w:color w:val="FFFFFF"/>
                                  <w:w w:val="105"/>
                                  <w:sz w:val="16"/>
                                </w:rPr>
                                <w:t>10</w:t>
                              </w:r>
                              <w:r>
                                <w:rPr>
                                  <w:rFonts w:ascii="Arial" w:hAnsi="Arial"/>
                                  <w:b/>
                                  <w:color w:val="FFFFFF"/>
                                  <w:spacing w:val="9"/>
                                  <w:w w:val="105"/>
                                  <w:sz w:val="16"/>
                                </w:rPr>
                                <w:t> </w:t>
                              </w:r>
                              <w:r>
                                <w:rPr>
                                  <w:rFonts w:ascii="Arial" w:hAnsi="Arial"/>
                                  <w:b/>
                                  <w:color w:val="FFFFFF"/>
                                  <w:w w:val="105"/>
                                  <w:sz w:val="16"/>
                                </w:rPr>
                                <w:t>average</w:t>
                              </w:r>
                              <w:r>
                                <w:rPr>
                                  <w:rFonts w:ascii="Arial" w:hAnsi="Arial"/>
                                  <w:b/>
                                  <w:color w:val="FFFFFF"/>
                                  <w:spacing w:val="8"/>
                                  <w:w w:val="105"/>
                                  <w:sz w:val="16"/>
                                </w:rPr>
                                <w:t> </w:t>
                              </w:r>
                              <w:r>
                                <w:rPr>
                                  <w:rFonts w:ascii="Arial" w:hAnsi="Arial"/>
                                  <w:b/>
                                  <w:color w:val="FFFFFF"/>
                                  <w:w w:val="105"/>
                                  <w:sz w:val="16"/>
                                </w:rPr>
                                <w:t>LPI</w:t>
                              </w:r>
                              <w:r>
                                <w:rPr>
                                  <w:rFonts w:ascii="Arial" w:hAnsi="Arial"/>
                                  <w:b/>
                                  <w:color w:val="FFFFFF"/>
                                  <w:spacing w:val="8"/>
                                  <w:w w:val="105"/>
                                  <w:sz w:val="16"/>
                                </w:rPr>
                                <w:t> </w:t>
                              </w:r>
                              <w:r>
                                <w:rPr>
                                  <w:rFonts w:ascii="Arial" w:hAnsi="Arial"/>
                                  <w:b/>
                                  <w:color w:val="FFFFFF"/>
                                  <w:w w:val="105"/>
                                  <w:sz w:val="16"/>
                                </w:rPr>
                                <w:t>scores,</w:t>
                              </w:r>
                              <w:r>
                                <w:rPr>
                                  <w:rFonts w:ascii="Arial" w:hAnsi="Arial"/>
                                  <w:b/>
                                  <w:color w:val="FFFFFF"/>
                                  <w:spacing w:val="9"/>
                                  <w:w w:val="105"/>
                                  <w:sz w:val="16"/>
                                </w:rPr>
                                <w:t> </w:t>
                              </w:r>
                              <w:r>
                                <w:rPr>
                                  <w:rFonts w:ascii="Arial" w:hAnsi="Arial"/>
                                  <w:b/>
                                  <w:color w:val="FFFFFF"/>
                                  <w:w w:val="105"/>
                                  <w:sz w:val="16"/>
                                </w:rPr>
                                <w:t>2007–23</w:t>
                              </w:r>
                              <w:r>
                                <w:rPr>
                                  <w:rFonts w:ascii="Arial" w:hAnsi="Arial"/>
                                  <w:b/>
                                  <w:color w:val="FFFFFF"/>
                                  <w:spacing w:val="8"/>
                                  <w:w w:val="105"/>
                                  <w:sz w:val="16"/>
                                </w:rPr>
                                <w:t> </w:t>
                              </w:r>
                              <w:r>
                                <w:rPr>
                                  <w:rFonts w:ascii="Arial" w:hAnsi="Arial"/>
                                  <w:b/>
                                  <w:color w:val="FFFFFF"/>
                                  <w:w w:val="105"/>
                                  <w:sz w:val="16"/>
                                </w:rPr>
                                <w:t>(1,</w:t>
                              </w:r>
                              <w:r>
                                <w:rPr>
                                  <w:rFonts w:ascii="Arial" w:hAnsi="Arial"/>
                                  <w:b/>
                                  <w:color w:val="FFFFFF"/>
                                  <w:spacing w:val="9"/>
                                  <w:w w:val="105"/>
                                  <w:sz w:val="16"/>
                                </w:rPr>
                                <w:t> </w:t>
                              </w:r>
                              <w:r>
                                <w:rPr>
                                  <w:rFonts w:ascii="Arial" w:hAnsi="Arial"/>
                                  <w:b/>
                                  <w:color w:val="FFFFFF"/>
                                  <w:w w:val="105"/>
                                  <w:sz w:val="16"/>
                                </w:rPr>
                                <w:t>low,</w:t>
                              </w:r>
                              <w:r>
                                <w:rPr>
                                  <w:rFonts w:ascii="Arial" w:hAnsi="Arial"/>
                                  <w:b/>
                                  <w:color w:val="FFFFFF"/>
                                  <w:spacing w:val="8"/>
                                  <w:w w:val="105"/>
                                  <w:sz w:val="16"/>
                                </w:rPr>
                                <w:t> </w:t>
                              </w:r>
                              <w:r>
                                <w:rPr>
                                  <w:rFonts w:ascii="Arial" w:hAnsi="Arial"/>
                                  <w:b/>
                                  <w:color w:val="FFFFFF"/>
                                  <w:w w:val="105"/>
                                  <w:sz w:val="16"/>
                                </w:rPr>
                                <w:t>to</w:t>
                              </w:r>
                              <w:r>
                                <w:rPr>
                                  <w:rFonts w:ascii="Arial" w:hAnsi="Arial"/>
                                  <w:b/>
                                  <w:color w:val="FFFFFF"/>
                                  <w:spacing w:val="9"/>
                                  <w:w w:val="105"/>
                                  <w:sz w:val="16"/>
                                </w:rPr>
                                <w:t> </w:t>
                              </w:r>
                              <w:r>
                                <w:rPr>
                                  <w:rFonts w:ascii="Arial" w:hAnsi="Arial"/>
                                  <w:b/>
                                  <w:color w:val="FFFFFF"/>
                                  <w:w w:val="105"/>
                                  <w:sz w:val="16"/>
                                </w:rPr>
                                <w:t>5,</w:t>
                              </w:r>
                              <w:r>
                                <w:rPr>
                                  <w:rFonts w:ascii="Arial" w:hAnsi="Arial"/>
                                  <w:b/>
                                  <w:color w:val="FFFFFF"/>
                                  <w:spacing w:val="8"/>
                                  <w:w w:val="105"/>
                                  <w:sz w:val="16"/>
                                </w:rPr>
                                <w:t> </w:t>
                              </w:r>
                              <w:r>
                                <w:rPr>
                                  <w:rFonts w:ascii="Arial" w:hAnsi="Arial"/>
                                  <w:b/>
                                  <w:color w:val="FFFFFF"/>
                                  <w:spacing w:val="-2"/>
                                  <w:w w:val="105"/>
                                  <w:sz w:val="16"/>
                                </w:rPr>
                                <w:t>high)</w:t>
                              </w:r>
                            </w:p>
                          </w:txbxContent>
                        </wps:txbx>
                        <wps:bodyPr wrap="square" lIns="0" tIns="0" rIns="0" bIns="0" rtlCol="0">
                          <a:noAutofit/>
                        </wps:bodyPr>
                      </wps:wsp>
                      <wps:wsp>
                        <wps:cNvPr id="215" name="Textbox 215"/>
                        <wps:cNvSpPr txBox="1"/>
                        <wps:spPr>
                          <a:xfrm>
                            <a:off x="63501" y="956078"/>
                            <a:ext cx="3546475" cy="289560"/>
                          </a:xfrm>
                          <a:prstGeom prst="rect">
                            <a:avLst/>
                          </a:prstGeom>
                        </wps:spPr>
                        <wps:txbx>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8"/>
                                  <w:sz w:val="12"/>
                                </w:rPr>
                                <w:t> </w:t>
                              </w:r>
                              <w:r>
                                <w:rPr>
                                  <w:rFonts w:ascii="Arial"/>
                                  <w:color w:val="231F20"/>
                                  <w:w w:val="80"/>
                                  <w:sz w:val="12"/>
                                </w:rPr>
                                <w:t>2007,</w:t>
                              </w:r>
                              <w:r>
                                <w:rPr>
                                  <w:rFonts w:ascii="Arial"/>
                                  <w:color w:val="231F20"/>
                                  <w:spacing w:val="9"/>
                                  <w:sz w:val="12"/>
                                </w:rPr>
                                <w:t> </w:t>
                              </w:r>
                              <w:r>
                                <w:rPr>
                                  <w:rFonts w:ascii="Arial"/>
                                  <w:color w:val="231F20"/>
                                  <w:w w:val="80"/>
                                  <w:sz w:val="12"/>
                                </w:rPr>
                                <w:t>2010,</w:t>
                              </w:r>
                              <w:r>
                                <w:rPr>
                                  <w:rFonts w:ascii="Arial"/>
                                  <w:color w:val="231F20"/>
                                  <w:spacing w:val="9"/>
                                  <w:sz w:val="12"/>
                                </w:rPr>
                                <w:t> </w:t>
                              </w:r>
                              <w:r>
                                <w:rPr>
                                  <w:rFonts w:ascii="Arial"/>
                                  <w:color w:val="231F20"/>
                                  <w:w w:val="80"/>
                                  <w:sz w:val="12"/>
                                </w:rPr>
                                <w:t>2012,</w:t>
                              </w:r>
                              <w:r>
                                <w:rPr>
                                  <w:rFonts w:ascii="Arial"/>
                                  <w:color w:val="231F20"/>
                                  <w:spacing w:val="8"/>
                                  <w:sz w:val="12"/>
                                </w:rPr>
                                <w:t> </w:t>
                              </w:r>
                              <w:r>
                                <w:rPr>
                                  <w:rFonts w:ascii="Arial"/>
                                  <w:color w:val="231F20"/>
                                  <w:w w:val="80"/>
                                  <w:sz w:val="12"/>
                                </w:rPr>
                                <w:t>2014,</w:t>
                              </w:r>
                              <w:r>
                                <w:rPr>
                                  <w:rFonts w:ascii="Arial"/>
                                  <w:color w:val="231F20"/>
                                  <w:spacing w:val="9"/>
                                  <w:sz w:val="12"/>
                                </w:rPr>
                                <w:t> </w:t>
                              </w:r>
                              <w:r>
                                <w:rPr>
                                  <w:rFonts w:ascii="Arial"/>
                                  <w:color w:val="231F20"/>
                                  <w:w w:val="80"/>
                                  <w:sz w:val="12"/>
                                </w:rPr>
                                <w:t>2016,</w:t>
                              </w:r>
                              <w:r>
                                <w:rPr>
                                  <w:rFonts w:ascii="Arial"/>
                                  <w:color w:val="231F20"/>
                                  <w:spacing w:val="9"/>
                                  <w:sz w:val="12"/>
                                </w:rPr>
                                <w:t> </w:t>
                              </w:r>
                              <w:r>
                                <w:rPr>
                                  <w:rFonts w:ascii="Arial"/>
                                  <w:color w:val="231F20"/>
                                  <w:w w:val="80"/>
                                  <w:sz w:val="12"/>
                                </w:rPr>
                                <w:t>2018,</w:t>
                              </w:r>
                              <w:r>
                                <w:rPr>
                                  <w:rFonts w:ascii="Arial"/>
                                  <w:color w:val="231F20"/>
                                  <w:spacing w:val="9"/>
                                  <w:sz w:val="12"/>
                                </w:rPr>
                                <w:t> </w:t>
                              </w:r>
                              <w:r>
                                <w:rPr>
                                  <w:rFonts w:ascii="Arial"/>
                                  <w:color w:val="231F20"/>
                                  <w:w w:val="80"/>
                                  <w:sz w:val="12"/>
                                </w:rPr>
                                <w:t>and</w:t>
                              </w:r>
                              <w:r>
                                <w:rPr>
                                  <w:rFonts w:ascii="Arial"/>
                                  <w:color w:val="231F20"/>
                                  <w:spacing w:val="8"/>
                                  <w:sz w:val="12"/>
                                </w:rPr>
                                <w:t> </w:t>
                              </w:r>
                              <w:r>
                                <w:rPr>
                                  <w:rFonts w:ascii="Arial"/>
                                  <w:color w:val="231F20"/>
                                  <w:w w:val="80"/>
                                  <w:sz w:val="12"/>
                                </w:rPr>
                                <w:t>2023</w:t>
                              </w:r>
                              <w:r>
                                <w:rPr>
                                  <w:rFonts w:ascii="Arial"/>
                                  <w:color w:val="231F20"/>
                                  <w:spacing w:val="9"/>
                                  <w:sz w:val="12"/>
                                </w:rPr>
                                <w:t> </w:t>
                              </w:r>
                              <w:r>
                                <w:rPr>
                                  <w:rFonts w:ascii="Arial"/>
                                  <w:color w:val="231F20"/>
                                  <w:w w:val="80"/>
                                  <w:sz w:val="12"/>
                                </w:rPr>
                                <w:t>Logistics</w:t>
                              </w:r>
                              <w:r>
                                <w:rPr>
                                  <w:rFonts w:ascii="Arial"/>
                                  <w:color w:val="231F20"/>
                                  <w:spacing w:val="9"/>
                                  <w:sz w:val="12"/>
                                </w:rPr>
                                <w:t> </w:t>
                              </w:r>
                              <w:r>
                                <w:rPr>
                                  <w:rFonts w:ascii="Arial"/>
                                  <w:color w:val="231F20"/>
                                  <w:w w:val="80"/>
                                  <w:sz w:val="12"/>
                                </w:rPr>
                                <w:t>Performance</w:t>
                              </w:r>
                              <w:r>
                                <w:rPr>
                                  <w:rFonts w:ascii="Arial"/>
                                  <w:color w:val="231F20"/>
                                  <w:spacing w:val="9"/>
                                  <w:sz w:val="12"/>
                                </w:rPr>
                                <w:t> </w:t>
                              </w:r>
                              <w:r>
                                <w:rPr>
                                  <w:rFonts w:ascii="Arial"/>
                                  <w:color w:val="231F20"/>
                                  <w:spacing w:val="-2"/>
                                  <w:w w:val="80"/>
                                  <w:sz w:val="12"/>
                                </w:rPr>
                                <w:t>Index.</w:t>
                              </w:r>
                            </w:p>
                            <w:p>
                              <w:pPr>
                                <w:numPr>
                                  <w:ilvl w:val="0"/>
                                  <w:numId w:val="8"/>
                                </w:numPr>
                                <w:tabs>
                                  <w:tab w:pos="110" w:val="left" w:leader="none"/>
                                </w:tabs>
                                <w:spacing w:before="22"/>
                                <w:ind w:left="110" w:right="0" w:hanging="110"/>
                                <w:jc w:val="left"/>
                                <w:rPr>
                                  <w:rFonts w:ascii="Arial"/>
                                  <w:sz w:val="12"/>
                                </w:rPr>
                              </w:pPr>
                              <w:r>
                                <w:rPr>
                                  <w:rFonts w:ascii="Arial"/>
                                  <w:color w:val="231F20"/>
                                  <w:w w:val="75"/>
                                  <w:sz w:val="12"/>
                                </w:rPr>
                                <w:t>Data</w:t>
                              </w:r>
                              <w:r>
                                <w:rPr>
                                  <w:rFonts w:ascii="Arial"/>
                                  <w:color w:val="231F20"/>
                                  <w:spacing w:val="4"/>
                                  <w:sz w:val="12"/>
                                </w:rPr>
                                <w:t> </w:t>
                              </w:r>
                              <w:r>
                                <w:rPr>
                                  <w:rFonts w:ascii="Arial"/>
                                  <w:color w:val="231F20"/>
                                  <w:w w:val="75"/>
                                  <w:sz w:val="12"/>
                                </w:rPr>
                                <w:t>are</w:t>
                              </w:r>
                              <w:r>
                                <w:rPr>
                                  <w:rFonts w:ascii="Arial"/>
                                  <w:color w:val="231F20"/>
                                  <w:spacing w:val="4"/>
                                  <w:sz w:val="12"/>
                                </w:rPr>
                                <w:t> </w:t>
                              </w:r>
                              <w:r>
                                <w:rPr>
                                  <w:rFonts w:ascii="Arial"/>
                                  <w:color w:val="231F20"/>
                                  <w:w w:val="75"/>
                                  <w:sz w:val="12"/>
                                </w:rPr>
                                <w:t>for</w:t>
                              </w:r>
                              <w:r>
                                <w:rPr>
                                  <w:rFonts w:ascii="Arial"/>
                                  <w:color w:val="231F20"/>
                                  <w:spacing w:val="5"/>
                                  <w:sz w:val="12"/>
                                </w:rPr>
                                <w:t> </w:t>
                              </w:r>
                              <w:r>
                                <w:rPr>
                                  <w:rFonts w:ascii="Arial"/>
                                  <w:color w:val="231F20"/>
                                  <w:spacing w:val="-2"/>
                                  <w:w w:val="75"/>
                                  <w:sz w:val="12"/>
                                </w:rPr>
                                <w:t>2022.</w:t>
                              </w:r>
                            </w:p>
                            <w:p>
                              <w:pPr>
                                <w:numPr>
                                  <w:ilvl w:val="0"/>
                                  <w:numId w:val="8"/>
                                </w:numPr>
                                <w:tabs>
                                  <w:tab w:pos="110" w:val="left" w:leader="none"/>
                                </w:tabs>
                                <w:spacing w:line="137" w:lineRule="exact" w:before="22"/>
                                <w:ind w:left="110" w:right="0" w:hanging="110"/>
                                <w:jc w:val="left"/>
                                <w:rPr>
                                  <w:rFonts w:ascii="Arial"/>
                                  <w:sz w:val="12"/>
                                </w:rPr>
                              </w:pPr>
                              <w:r>
                                <w:rPr>
                                  <w:rFonts w:ascii="Arial"/>
                                  <w:color w:val="231F20"/>
                                  <w:w w:val="80"/>
                                  <w:sz w:val="12"/>
                                </w:rPr>
                                <w:t>Average</w:t>
                              </w:r>
                              <w:r>
                                <w:rPr>
                                  <w:rFonts w:ascii="Arial"/>
                                  <w:color w:val="231F20"/>
                                  <w:spacing w:val="-3"/>
                                  <w:sz w:val="12"/>
                                </w:rPr>
                                <w:t> </w:t>
                              </w:r>
                              <w:r>
                                <w:rPr>
                                  <w:rFonts w:ascii="Arial"/>
                                  <w:color w:val="231F20"/>
                                  <w:w w:val="80"/>
                                  <w:sz w:val="12"/>
                                </w:rPr>
                                <w:t>is</w:t>
                              </w:r>
                              <w:r>
                                <w:rPr>
                                  <w:rFonts w:ascii="Arial"/>
                                  <w:color w:val="231F20"/>
                                  <w:spacing w:val="-2"/>
                                  <w:sz w:val="12"/>
                                </w:rPr>
                                <w:t> </w:t>
                              </w:r>
                              <w:r>
                                <w:rPr>
                                  <w:rFonts w:ascii="Arial"/>
                                  <w:color w:val="231F20"/>
                                  <w:w w:val="80"/>
                                  <w:sz w:val="12"/>
                                </w:rPr>
                                <w:t>for</w:t>
                              </w:r>
                              <w:r>
                                <w:rPr>
                                  <w:rFonts w:ascii="Arial"/>
                                  <w:color w:val="231F20"/>
                                  <w:spacing w:val="-3"/>
                                  <w:sz w:val="12"/>
                                </w:rPr>
                                <w:t> </w:t>
                              </w:r>
                              <w:r>
                                <w:rPr>
                                  <w:rFonts w:ascii="Arial"/>
                                  <w:color w:val="231F20"/>
                                  <w:w w:val="80"/>
                                  <w:sz w:val="12"/>
                                </w:rPr>
                                <w:t>the</w:t>
                              </w:r>
                              <w:r>
                                <w:rPr>
                                  <w:rFonts w:ascii="Arial"/>
                                  <w:color w:val="231F20"/>
                                  <w:spacing w:val="-2"/>
                                  <w:sz w:val="12"/>
                                </w:rPr>
                                <w:t> </w:t>
                              </w:r>
                              <w:r>
                                <w:rPr>
                                  <w:rFonts w:ascii="Arial"/>
                                  <w:color w:val="231F20"/>
                                  <w:w w:val="80"/>
                                  <w:sz w:val="12"/>
                                </w:rPr>
                                <w:t>top</w:t>
                              </w:r>
                              <w:r>
                                <w:rPr>
                                  <w:rFonts w:ascii="Arial"/>
                                  <w:color w:val="231F20"/>
                                  <w:spacing w:val="-2"/>
                                  <w:sz w:val="12"/>
                                </w:rPr>
                                <w:t> </w:t>
                              </w:r>
                              <w:r>
                                <w:rPr>
                                  <w:rFonts w:ascii="Arial"/>
                                  <w:color w:val="231F20"/>
                                  <w:w w:val="80"/>
                                  <w:sz w:val="12"/>
                                </w:rPr>
                                <w:t>12</w:t>
                              </w:r>
                              <w:r>
                                <w:rPr>
                                  <w:rFonts w:ascii="Arial"/>
                                  <w:color w:val="231F20"/>
                                  <w:spacing w:val="-3"/>
                                  <w:sz w:val="12"/>
                                </w:rPr>
                                <w:t> </w:t>
                              </w:r>
                              <w:r>
                                <w:rPr>
                                  <w:rFonts w:ascii="Arial"/>
                                  <w:color w:val="231F20"/>
                                  <w:w w:val="80"/>
                                  <w:sz w:val="12"/>
                                </w:rPr>
                                <w:t>scores</w:t>
                              </w:r>
                              <w:r>
                                <w:rPr>
                                  <w:rFonts w:ascii="Arial"/>
                                  <w:color w:val="231F20"/>
                                  <w:spacing w:val="-2"/>
                                  <w:sz w:val="12"/>
                                </w:rPr>
                                <w:t> </w:t>
                              </w:r>
                              <w:r>
                                <w:rPr>
                                  <w:rFonts w:ascii="Arial"/>
                                  <w:color w:val="231F20"/>
                                  <w:w w:val="80"/>
                                  <w:sz w:val="12"/>
                                </w:rPr>
                                <w:t>due</w:t>
                              </w:r>
                              <w:r>
                                <w:rPr>
                                  <w:rFonts w:ascii="Arial"/>
                                  <w:color w:val="231F20"/>
                                  <w:spacing w:val="-2"/>
                                  <w:sz w:val="12"/>
                                </w:rPr>
                                <w:t> </w:t>
                              </w:r>
                              <w:r>
                                <w:rPr>
                                  <w:rFonts w:ascii="Arial"/>
                                  <w:color w:val="231F20"/>
                                  <w:w w:val="80"/>
                                  <w:sz w:val="12"/>
                                </w:rPr>
                                <w:t>to</w:t>
                              </w:r>
                              <w:r>
                                <w:rPr>
                                  <w:rFonts w:ascii="Arial"/>
                                  <w:color w:val="231F20"/>
                                  <w:spacing w:val="-3"/>
                                  <w:sz w:val="12"/>
                                </w:rPr>
                                <w:t> </w:t>
                              </w:r>
                              <w:r>
                                <w:rPr>
                                  <w:rFonts w:ascii="Arial"/>
                                  <w:color w:val="231F20"/>
                                  <w:w w:val="80"/>
                                  <w:sz w:val="12"/>
                                </w:rPr>
                                <w:t>rounding</w:t>
                              </w:r>
                              <w:r>
                                <w:rPr>
                                  <w:rFonts w:ascii="Arial"/>
                                  <w:color w:val="231F20"/>
                                  <w:spacing w:val="-2"/>
                                  <w:sz w:val="12"/>
                                </w:rPr>
                                <w:t> </w:t>
                              </w:r>
                              <w:r>
                                <w:rPr>
                                  <w:rFonts w:ascii="Arial"/>
                                  <w:color w:val="231F20"/>
                                  <w:w w:val="80"/>
                                  <w:sz w:val="12"/>
                                </w:rPr>
                                <w:t>scores</w:t>
                              </w:r>
                              <w:r>
                                <w:rPr>
                                  <w:rFonts w:ascii="Arial"/>
                                  <w:color w:val="231F20"/>
                                  <w:spacing w:val="-3"/>
                                  <w:sz w:val="12"/>
                                </w:rPr>
                                <w:t> </w:t>
                              </w:r>
                              <w:r>
                                <w:rPr>
                                  <w:rFonts w:ascii="Arial"/>
                                  <w:color w:val="231F20"/>
                                  <w:w w:val="80"/>
                                  <w:sz w:val="12"/>
                                </w:rPr>
                                <w:t>to</w:t>
                              </w:r>
                              <w:r>
                                <w:rPr>
                                  <w:rFonts w:ascii="Arial"/>
                                  <w:color w:val="231F20"/>
                                  <w:spacing w:val="-2"/>
                                  <w:sz w:val="12"/>
                                </w:rPr>
                                <w:t> </w:t>
                              </w:r>
                              <w:r>
                                <w:rPr>
                                  <w:rFonts w:ascii="Arial"/>
                                  <w:color w:val="231F20"/>
                                  <w:w w:val="80"/>
                                  <w:sz w:val="12"/>
                                </w:rPr>
                                <w:t>one</w:t>
                              </w:r>
                              <w:r>
                                <w:rPr>
                                  <w:rFonts w:ascii="Arial"/>
                                  <w:color w:val="231F20"/>
                                  <w:spacing w:val="-2"/>
                                  <w:sz w:val="12"/>
                                </w:rPr>
                                <w:t> </w:t>
                              </w:r>
                              <w:r>
                                <w:rPr>
                                  <w:rFonts w:ascii="Arial"/>
                                  <w:color w:val="231F20"/>
                                  <w:w w:val="80"/>
                                  <w:sz w:val="12"/>
                                </w:rPr>
                                <w:t>decimal</w:t>
                              </w:r>
                              <w:r>
                                <w:rPr>
                                  <w:rFonts w:ascii="Arial"/>
                                  <w:color w:val="231F20"/>
                                  <w:spacing w:val="-3"/>
                                  <w:sz w:val="12"/>
                                </w:rPr>
                                <w:t> </w:t>
                              </w:r>
                              <w:r>
                                <w:rPr>
                                  <w:rFonts w:ascii="Arial"/>
                                  <w:color w:val="231F20"/>
                                  <w:w w:val="80"/>
                                  <w:sz w:val="12"/>
                                </w:rPr>
                                <w:t>point</w:t>
                              </w:r>
                              <w:r>
                                <w:rPr>
                                  <w:rFonts w:ascii="Arial"/>
                                  <w:color w:val="231F20"/>
                                  <w:spacing w:val="-2"/>
                                  <w:sz w:val="12"/>
                                </w:rPr>
                                <w:t> </w:t>
                              </w:r>
                              <w:r>
                                <w:rPr>
                                  <w:rFonts w:ascii="Arial"/>
                                  <w:color w:val="231F20"/>
                                  <w:w w:val="80"/>
                                  <w:sz w:val="12"/>
                                </w:rPr>
                                <w:t>in</w:t>
                              </w:r>
                              <w:r>
                                <w:rPr>
                                  <w:rFonts w:ascii="Arial"/>
                                  <w:color w:val="231F20"/>
                                  <w:spacing w:val="-2"/>
                                  <w:sz w:val="12"/>
                                </w:rPr>
                                <w:t> </w:t>
                              </w:r>
                              <w:r>
                                <w:rPr>
                                  <w:rFonts w:ascii="Arial"/>
                                  <w:color w:val="231F20"/>
                                  <w:w w:val="80"/>
                                  <w:sz w:val="12"/>
                                </w:rPr>
                                <w:t>2023</w:t>
                              </w:r>
                              <w:r>
                                <w:rPr>
                                  <w:rFonts w:ascii="Arial"/>
                                  <w:color w:val="231F20"/>
                                  <w:spacing w:val="-3"/>
                                  <w:sz w:val="12"/>
                                </w:rPr>
                                <w:t> </w:t>
                              </w:r>
                              <w:r>
                                <w:rPr>
                                  <w:rFonts w:ascii="Arial"/>
                                  <w:color w:val="231F20"/>
                                  <w:w w:val="80"/>
                                  <w:sz w:val="12"/>
                                </w:rPr>
                                <w:t>rather</w:t>
                              </w:r>
                              <w:r>
                                <w:rPr>
                                  <w:rFonts w:ascii="Arial"/>
                                  <w:color w:val="231F20"/>
                                  <w:spacing w:val="-2"/>
                                  <w:sz w:val="12"/>
                                </w:rPr>
                                <w:t> </w:t>
                              </w:r>
                              <w:r>
                                <w:rPr>
                                  <w:rFonts w:ascii="Arial"/>
                                  <w:color w:val="231F20"/>
                                  <w:w w:val="80"/>
                                  <w:sz w:val="12"/>
                                </w:rPr>
                                <w:t>than</w:t>
                              </w:r>
                              <w:r>
                                <w:rPr>
                                  <w:rFonts w:ascii="Arial"/>
                                  <w:color w:val="231F20"/>
                                  <w:spacing w:val="-2"/>
                                  <w:sz w:val="12"/>
                                </w:rPr>
                                <w:t> </w:t>
                              </w:r>
                              <w:r>
                                <w:rPr>
                                  <w:rFonts w:ascii="Arial"/>
                                  <w:color w:val="231F20"/>
                                  <w:w w:val="80"/>
                                  <w:sz w:val="12"/>
                                </w:rPr>
                                <w:t>two</w:t>
                              </w:r>
                              <w:r>
                                <w:rPr>
                                  <w:rFonts w:ascii="Arial"/>
                                  <w:color w:val="231F20"/>
                                  <w:spacing w:val="-3"/>
                                  <w:sz w:val="12"/>
                                </w:rPr>
                                <w:t> </w:t>
                              </w:r>
                              <w:r>
                                <w:rPr>
                                  <w:rFonts w:ascii="Arial"/>
                                  <w:color w:val="231F20"/>
                                  <w:w w:val="80"/>
                                  <w:sz w:val="12"/>
                                </w:rPr>
                                <w:t>as</w:t>
                              </w:r>
                              <w:r>
                                <w:rPr>
                                  <w:rFonts w:ascii="Arial"/>
                                  <w:color w:val="231F20"/>
                                  <w:spacing w:val="-2"/>
                                  <w:sz w:val="12"/>
                                </w:rPr>
                                <w:t> </w:t>
                              </w:r>
                              <w:r>
                                <w:rPr>
                                  <w:rFonts w:ascii="Arial"/>
                                  <w:color w:val="231F20"/>
                                  <w:w w:val="80"/>
                                  <w:sz w:val="12"/>
                                </w:rPr>
                                <w:t>in</w:t>
                              </w:r>
                              <w:r>
                                <w:rPr>
                                  <w:rFonts w:ascii="Arial"/>
                                  <w:color w:val="231F20"/>
                                  <w:spacing w:val="-3"/>
                                  <w:sz w:val="12"/>
                                </w:rPr>
                                <w:t> </w:t>
                              </w:r>
                              <w:r>
                                <w:rPr>
                                  <w:rFonts w:ascii="Arial"/>
                                  <w:color w:val="231F20"/>
                                  <w:w w:val="80"/>
                                  <w:sz w:val="12"/>
                                </w:rPr>
                                <w:t>previous</w:t>
                              </w:r>
                              <w:r>
                                <w:rPr>
                                  <w:rFonts w:ascii="Arial"/>
                                  <w:color w:val="231F20"/>
                                  <w:spacing w:val="-2"/>
                                  <w:sz w:val="12"/>
                                </w:rPr>
                                <w:t> </w:t>
                              </w:r>
                              <w:r>
                                <w:rPr>
                                  <w:rFonts w:ascii="Arial"/>
                                  <w:color w:val="231F20"/>
                                  <w:spacing w:val="-2"/>
                                  <w:w w:val="80"/>
                                  <w:sz w:val="12"/>
                                </w:rPr>
                                <w:t>editions.</w:t>
                              </w:r>
                            </w:p>
                          </w:txbxContent>
                        </wps:txbx>
                        <wps:bodyPr wrap="square" lIns="0" tIns="0" rIns="0" bIns="0" rtlCol="0">
                          <a:noAutofit/>
                        </wps:bodyPr>
                      </wps:wsp>
                      <wps:wsp>
                        <wps:cNvPr id="216" name="Textbox 216"/>
                        <wps:cNvSpPr txBox="1"/>
                        <wps:spPr>
                          <a:xfrm>
                            <a:off x="38100" y="38100"/>
                            <a:ext cx="495300" cy="206375"/>
                          </a:xfrm>
                          <a:prstGeom prst="rect">
                            <a:avLst/>
                          </a:prstGeom>
                        </wps:spPr>
                        <wps:txbx>
                          <w:txbxContent>
                            <w:p>
                              <w:pPr>
                                <w:spacing w:before="70"/>
                                <w:ind w:left="12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b/>
                                  <w:color w:val="FFFFFF"/>
                                  <w:spacing w:val="-10"/>
                                  <w:w w:val="95"/>
                                  <w:sz w:val="16"/>
                                </w:rPr>
                                <w:t>1</w:t>
                              </w:r>
                            </w:p>
                          </w:txbxContent>
                        </wps:txbx>
                        <wps:bodyPr wrap="square" lIns="0" tIns="0" rIns="0" bIns="0" rtlCol="0">
                          <a:noAutofit/>
                        </wps:bodyPr>
                      </wps:wsp>
                    </wpg:wgp>
                  </a:graphicData>
                </a:graphic>
              </wp:anchor>
            </w:drawing>
          </mc:Choice>
          <mc:Fallback>
            <w:pict>
              <v:group style="position:absolute;margin-left:165pt;margin-top:-120.319176pt;width:390pt;height:101.85pt;mso-position-horizontal-relative:page;mso-position-vertical-relative:paragraph;z-index:-36579328" id="docshapegroup169" coordorigin="3300,-2406" coordsize="7800,2037">
                <v:shape style="position:absolute;left:3400;top:-2377;width:7670;height:356" id="docshape170" coordorigin="3400,-2376" coordsize="7670,356" path="m10920,-2376l3480,-2376,3422,-2365,3400,-2350,3400,-2021,11070,-2021,11070,-2226,11058,-2285,11026,-2332,10978,-2365,10920,-2376xe" filled="true" fillcolor="#808285" stroked="false">
                  <v:path arrowok="t"/>
                  <v:fill type="solid"/>
                </v:shape>
                <v:line style="position:absolute" from="4160,-2006" to="4160,-2361" stroked="true" strokeweight="2pt" strokecolor="#ffffff">
                  <v:stroke dashstyle="solid"/>
                </v:line>
                <v:rect style="position:absolute;left:3360;top:-2347;width:780;height:325" id="docshape171" filled="true" fillcolor="#008fdd" stroked="false">
                  <v:fill type="solid"/>
                </v:rect>
                <v:shape style="position:absolute;left:3330;top:-2377;width:7740;height:1977" id="docshape172" coordorigin="3330,-2376" coordsize="7740,1977" path="m3480,-2376l3422,-2365,3374,-2332,3342,-2285,3330,-2226,3330,-430,3330,-400,3360,-400,11040,-400,11070,-400,11070,-430,11070,-2226,11058,-2285,11026,-2332,10978,-2365,10920,-2376,3480,-2376xe" filled="false" stroked="true" strokeweight="3pt" strokecolor="#ffffff">
                  <v:path arrowok="t"/>
                  <v:stroke dashstyle="solid"/>
                </v:shape>
                <v:shape style="position:absolute;left:4280;top:-2279;width:5698;height:190" type="#_x0000_t202" id="docshape173" filled="false" stroked="false">
                  <v:textbox inset="0,0,0,0">
                    <w:txbxContent>
                      <w:p>
                        <w:pPr>
                          <w:spacing w:before="2"/>
                          <w:ind w:left="0" w:right="0" w:firstLine="0"/>
                          <w:jc w:val="left"/>
                          <w:rPr>
                            <w:rFonts w:ascii="Arial" w:hAnsi="Arial"/>
                            <w:b/>
                            <w:sz w:val="16"/>
                          </w:rPr>
                        </w:pPr>
                        <w:r>
                          <w:rPr>
                            <w:rFonts w:ascii="Arial" w:hAnsi="Arial"/>
                            <w:b/>
                            <w:color w:val="FFFFFF"/>
                            <w:w w:val="105"/>
                            <w:sz w:val="16"/>
                          </w:rPr>
                          <w:t>Top</w:t>
                        </w:r>
                        <w:r>
                          <w:rPr>
                            <w:rFonts w:ascii="Arial" w:hAnsi="Arial"/>
                            <w:b/>
                            <w:color w:val="FFFFFF"/>
                            <w:spacing w:val="8"/>
                            <w:w w:val="105"/>
                            <w:sz w:val="16"/>
                          </w:rPr>
                          <w:t> </w:t>
                        </w:r>
                        <w:r>
                          <w:rPr>
                            <w:rFonts w:ascii="Arial" w:hAnsi="Arial"/>
                            <w:b/>
                            <w:color w:val="FFFFFF"/>
                            <w:w w:val="105"/>
                            <w:sz w:val="16"/>
                          </w:rPr>
                          <w:t>10</w:t>
                        </w:r>
                        <w:r>
                          <w:rPr>
                            <w:rFonts w:ascii="Arial" w:hAnsi="Arial"/>
                            <w:b/>
                            <w:color w:val="FFFFFF"/>
                            <w:spacing w:val="8"/>
                            <w:w w:val="105"/>
                            <w:sz w:val="16"/>
                          </w:rPr>
                          <w:t> </w:t>
                        </w:r>
                        <w:r>
                          <w:rPr>
                            <w:rFonts w:ascii="Arial" w:hAnsi="Arial"/>
                            <w:b/>
                            <w:color w:val="FFFFFF"/>
                            <w:w w:val="105"/>
                            <w:sz w:val="16"/>
                          </w:rPr>
                          <w:t>and</w:t>
                        </w:r>
                        <w:r>
                          <w:rPr>
                            <w:rFonts w:ascii="Arial" w:hAnsi="Arial"/>
                            <w:b/>
                            <w:color w:val="FFFFFF"/>
                            <w:spacing w:val="9"/>
                            <w:w w:val="105"/>
                            <w:sz w:val="16"/>
                          </w:rPr>
                          <w:t> </w:t>
                        </w:r>
                        <w:r>
                          <w:rPr>
                            <w:rFonts w:ascii="Arial" w:hAnsi="Arial"/>
                            <w:b/>
                            <w:color w:val="FFFFFF"/>
                            <w:w w:val="105"/>
                            <w:sz w:val="16"/>
                          </w:rPr>
                          <w:t>bottom</w:t>
                        </w:r>
                        <w:r>
                          <w:rPr>
                            <w:rFonts w:ascii="Arial" w:hAnsi="Arial"/>
                            <w:b/>
                            <w:color w:val="FFFFFF"/>
                            <w:spacing w:val="8"/>
                            <w:w w:val="105"/>
                            <w:sz w:val="16"/>
                          </w:rPr>
                          <w:t> </w:t>
                        </w:r>
                        <w:r>
                          <w:rPr>
                            <w:rFonts w:ascii="Arial" w:hAnsi="Arial"/>
                            <w:b/>
                            <w:color w:val="FFFFFF"/>
                            <w:w w:val="105"/>
                            <w:sz w:val="16"/>
                          </w:rPr>
                          <w:t>10</w:t>
                        </w:r>
                        <w:r>
                          <w:rPr>
                            <w:rFonts w:ascii="Arial" w:hAnsi="Arial"/>
                            <w:b/>
                            <w:color w:val="FFFFFF"/>
                            <w:spacing w:val="9"/>
                            <w:w w:val="105"/>
                            <w:sz w:val="16"/>
                          </w:rPr>
                          <w:t> </w:t>
                        </w:r>
                        <w:r>
                          <w:rPr>
                            <w:rFonts w:ascii="Arial" w:hAnsi="Arial"/>
                            <w:b/>
                            <w:color w:val="FFFFFF"/>
                            <w:w w:val="105"/>
                            <w:sz w:val="16"/>
                          </w:rPr>
                          <w:t>average</w:t>
                        </w:r>
                        <w:r>
                          <w:rPr>
                            <w:rFonts w:ascii="Arial" w:hAnsi="Arial"/>
                            <w:b/>
                            <w:color w:val="FFFFFF"/>
                            <w:spacing w:val="8"/>
                            <w:w w:val="105"/>
                            <w:sz w:val="16"/>
                          </w:rPr>
                          <w:t> </w:t>
                        </w:r>
                        <w:r>
                          <w:rPr>
                            <w:rFonts w:ascii="Arial" w:hAnsi="Arial"/>
                            <w:b/>
                            <w:color w:val="FFFFFF"/>
                            <w:w w:val="105"/>
                            <w:sz w:val="16"/>
                          </w:rPr>
                          <w:t>LPI</w:t>
                        </w:r>
                        <w:r>
                          <w:rPr>
                            <w:rFonts w:ascii="Arial" w:hAnsi="Arial"/>
                            <w:b/>
                            <w:color w:val="FFFFFF"/>
                            <w:spacing w:val="8"/>
                            <w:w w:val="105"/>
                            <w:sz w:val="16"/>
                          </w:rPr>
                          <w:t> </w:t>
                        </w:r>
                        <w:r>
                          <w:rPr>
                            <w:rFonts w:ascii="Arial" w:hAnsi="Arial"/>
                            <w:b/>
                            <w:color w:val="FFFFFF"/>
                            <w:w w:val="105"/>
                            <w:sz w:val="16"/>
                          </w:rPr>
                          <w:t>scores,</w:t>
                        </w:r>
                        <w:r>
                          <w:rPr>
                            <w:rFonts w:ascii="Arial" w:hAnsi="Arial"/>
                            <w:b/>
                            <w:color w:val="FFFFFF"/>
                            <w:spacing w:val="9"/>
                            <w:w w:val="105"/>
                            <w:sz w:val="16"/>
                          </w:rPr>
                          <w:t> </w:t>
                        </w:r>
                        <w:r>
                          <w:rPr>
                            <w:rFonts w:ascii="Arial" w:hAnsi="Arial"/>
                            <w:b/>
                            <w:color w:val="FFFFFF"/>
                            <w:w w:val="105"/>
                            <w:sz w:val="16"/>
                          </w:rPr>
                          <w:t>2007–23</w:t>
                        </w:r>
                        <w:r>
                          <w:rPr>
                            <w:rFonts w:ascii="Arial" w:hAnsi="Arial"/>
                            <w:b/>
                            <w:color w:val="FFFFFF"/>
                            <w:spacing w:val="8"/>
                            <w:w w:val="105"/>
                            <w:sz w:val="16"/>
                          </w:rPr>
                          <w:t> </w:t>
                        </w:r>
                        <w:r>
                          <w:rPr>
                            <w:rFonts w:ascii="Arial" w:hAnsi="Arial"/>
                            <w:b/>
                            <w:color w:val="FFFFFF"/>
                            <w:w w:val="105"/>
                            <w:sz w:val="16"/>
                          </w:rPr>
                          <w:t>(1,</w:t>
                        </w:r>
                        <w:r>
                          <w:rPr>
                            <w:rFonts w:ascii="Arial" w:hAnsi="Arial"/>
                            <w:b/>
                            <w:color w:val="FFFFFF"/>
                            <w:spacing w:val="9"/>
                            <w:w w:val="105"/>
                            <w:sz w:val="16"/>
                          </w:rPr>
                          <w:t> </w:t>
                        </w:r>
                        <w:r>
                          <w:rPr>
                            <w:rFonts w:ascii="Arial" w:hAnsi="Arial"/>
                            <w:b/>
                            <w:color w:val="FFFFFF"/>
                            <w:w w:val="105"/>
                            <w:sz w:val="16"/>
                          </w:rPr>
                          <w:t>low,</w:t>
                        </w:r>
                        <w:r>
                          <w:rPr>
                            <w:rFonts w:ascii="Arial" w:hAnsi="Arial"/>
                            <w:b/>
                            <w:color w:val="FFFFFF"/>
                            <w:spacing w:val="8"/>
                            <w:w w:val="105"/>
                            <w:sz w:val="16"/>
                          </w:rPr>
                          <w:t> </w:t>
                        </w:r>
                        <w:r>
                          <w:rPr>
                            <w:rFonts w:ascii="Arial" w:hAnsi="Arial"/>
                            <w:b/>
                            <w:color w:val="FFFFFF"/>
                            <w:w w:val="105"/>
                            <w:sz w:val="16"/>
                          </w:rPr>
                          <w:t>to</w:t>
                        </w:r>
                        <w:r>
                          <w:rPr>
                            <w:rFonts w:ascii="Arial" w:hAnsi="Arial"/>
                            <w:b/>
                            <w:color w:val="FFFFFF"/>
                            <w:spacing w:val="9"/>
                            <w:w w:val="105"/>
                            <w:sz w:val="16"/>
                          </w:rPr>
                          <w:t> </w:t>
                        </w:r>
                        <w:r>
                          <w:rPr>
                            <w:rFonts w:ascii="Arial" w:hAnsi="Arial"/>
                            <w:b/>
                            <w:color w:val="FFFFFF"/>
                            <w:w w:val="105"/>
                            <w:sz w:val="16"/>
                          </w:rPr>
                          <w:t>5,</w:t>
                        </w:r>
                        <w:r>
                          <w:rPr>
                            <w:rFonts w:ascii="Arial" w:hAnsi="Arial"/>
                            <w:b/>
                            <w:color w:val="FFFFFF"/>
                            <w:spacing w:val="8"/>
                            <w:w w:val="105"/>
                            <w:sz w:val="16"/>
                          </w:rPr>
                          <w:t> </w:t>
                        </w:r>
                        <w:r>
                          <w:rPr>
                            <w:rFonts w:ascii="Arial" w:hAnsi="Arial"/>
                            <w:b/>
                            <w:color w:val="FFFFFF"/>
                            <w:spacing w:val="-2"/>
                            <w:w w:val="105"/>
                            <w:sz w:val="16"/>
                          </w:rPr>
                          <w:t>high)</w:t>
                        </w:r>
                      </w:p>
                    </w:txbxContent>
                  </v:textbox>
                  <w10:wrap type="none"/>
                </v:shape>
                <v:shape style="position:absolute;left:3400;top:-901;width:5585;height:456" type="#_x0000_t202" id="docshape174" filled="false" stroked="false">
                  <v:textbox inset="0,0,0,0">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8"/>
                            <w:sz w:val="12"/>
                          </w:rPr>
                          <w:t> </w:t>
                        </w:r>
                        <w:r>
                          <w:rPr>
                            <w:rFonts w:ascii="Arial"/>
                            <w:color w:val="231F20"/>
                            <w:w w:val="80"/>
                            <w:sz w:val="12"/>
                          </w:rPr>
                          <w:t>2007,</w:t>
                        </w:r>
                        <w:r>
                          <w:rPr>
                            <w:rFonts w:ascii="Arial"/>
                            <w:color w:val="231F20"/>
                            <w:spacing w:val="9"/>
                            <w:sz w:val="12"/>
                          </w:rPr>
                          <w:t> </w:t>
                        </w:r>
                        <w:r>
                          <w:rPr>
                            <w:rFonts w:ascii="Arial"/>
                            <w:color w:val="231F20"/>
                            <w:w w:val="80"/>
                            <w:sz w:val="12"/>
                          </w:rPr>
                          <w:t>2010,</w:t>
                        </w:r>
                        <w:r>
                          <w:rPr>
                            <w:rFonts w:ascii="Arial"/>
                            <w:color w:val="231F20"/>
                            <w:spacing w:val="9"/>
                            <w:sz w:val="12"/>
                          </w:rPr>
                          <w:t> </w:t>
                        </w:r>
                        <w:r>
                          <w:rPr>
                            <w:rFonts w:ascii="Arial"/>
                            <w:color w:val="231F20"/>
                            <w:w w:val="80"/>
                            <w:sz w:val="12"/>
                          </w:rPr>
                          <w:t>2012,</w:t>
                        </w:r>
                        <w:r>
                          <w:rPr>
                            <w:rFonts w:ascii="Arial"/>
                            <w:color w:val="231F20"/>
                            <w:spacing w:val="8"/>
                            <w:sz w:val="12"/>
                          </w:rPr>
                          <w:t> </w:t>
                        </w:r>
                        <w:r>
                          <w:rPr>
                            <w:rFonts w:ascii="Arial"/>
                            <w:color w:val="231F20"/>
                            <w:w w:val="80"/>
                            <w:sz w:val="12"/>
                          </w:rPr>
                          <w:t>2014,</w:t>
                        </w:r>
                        <w:r>
                          <w:rPr>
                            <w:rFonts w:ascii="Arial"/>
                            <w:color w:val="231F20"/>
                            <w:spacing w:val="9"/>
                            <w:sz w:val="12"/>
                          </w:rPr>
                          <w:t> </w:t>
                        </w:r>
                        <w:r>
                          <w:rPr>
                            <w:rFonts w:ascii="Arial"/>
                            <w:color w:val="231F20"/>
                            <w:w w:val="80"/>
                            <w:sz w:val="12"/>
                          </w:rPr>
                          <w:t>2016,</w:t>
                        </w:r>
                        <w:r>
                          <w:rPr>
                            <w:rFonts w:ascii="Arial"/>
                            <w:color w:val="231F20"/>
                            <w:spacing w:val="9"/>
                            <w:sz w:val="12"/>
                          </w:rPr>
                          <w:t> </w:t>
                        </w:r>
                        <w:r>
                          <w:rPr>
                            <w:rFonts w:ascii="Arial"/>
                            <w:color w:val="231F20"/>
                            <w:w w:val="80"/>
                            <w:sz w:val="12"/>
                          </w:rPr>
                          <w:t>2018,</w:t>
                        </w:r>
                        <w:r>
                          <w:rPr>
                            <w:rFonts w:ascii="Arial"/>
                            <w:color w:val="231F20"/>
                            <w:spacing w:val="9"/>
                            <w:sz w:val="12"/>
                          </w:rPr>
                          <w:t> </w:t>
                        </w:r>
                        <w:r>
                          <w:rPr>
                            <w:rFonts w:ascii="Arial"/>
                            <w:color w:val="231F20"/>
                            <w:w w:val="80"/>
                            <w:sz w:val="12"/>
                          </w:rPr>
                          <w:t>and</w:t>
                        </w:r>
                        <w:r>
                          <w:rPr>
                            <w:rFonts w:ascii="Arial"/>
                            <w:color w:val="231F20"/>
                            <w:spacing w:val="8"/>
                            <w:sz w:val="12"/>
                          </w:rPr>
                          <w:t> </w:t>
                        </w:r>
                        <w:r>
                          <w:rPr>
                            <w:rFonts w:ascii="Arial"/>
                            <w:color w:val="231F20"/>
                            <w:w w:val="80"/>
                            <w:sz w:val="12"/>
                          </w:rPr>
                          <w:t>2023</w:t>
                        </w:r>
                        <w:r>
                          <w:rPr>
                            <w:rFonts w:ascii="Arial"/>
                            <w:color w:val="231F20"/>
                            <w:spacing w:val="9"/>
                            <w:sz w:val="12"/>
                          </w:rPr>
                          <w:t> </w:t>
                        </w:r>
                        <w:r>
                          <w:rPr>
                            <w:rFonts w:ascii="Arial"/>
                            <w:color w:val="231F20"/>
                            <w:w w:val="80"/>
                            <w:sz w:val="12"/>
                          </w:rPr>
                          <w:t>Logistics</w:t>
                        </w:r>
                        <w:r>
                          <w:rPr>
                            <w:rFonts w:ascii="Arial"/>
                            <w:color w:val="231F20"/>
                            <w:spacing w:val="9"/>
                            <w:sz w:val="12"/>
                          </w:rPr>
                          <w:t> </w:t>
                        </w:r>
                        <w:r>
                          <w:rPr>
                            <w:rFonts w:ascii="Arial"/>
                            <w:color w:val="231F20"/>
                            <w:w w:val="80"/>
                            <w:sz w:val="12"/>
                          </w:rPr>
                          <w:t>Performance</w:t>
                        </w:r>
                        <w:r>
                          <w:rPr>
                            <w:rFonts w:ascii="Arial"/>
                            <w:color w:val="231F20"/>
                            <w:spacing w:val="9"/>
                            <w:sz w:val="12"/>
                          </w:rPr>
                          <w:t> </w:t>
                        </w:r>
                        <w:r>
                          <w:rPr>
                            <w:rFonts w:ascii="Arial"/>
                            <w:color w:val="231F20"/>
                            <w:spacing w:val="-2"/>
                            <w:w w:val="80"/>
                            <w:sz w:val="12"/>
                          </w:rPr>
                          <w:t>Index.</w:t>
                        </w:r>
                      </w:p>
                      <w:p>
                        <w:pPr>
                          <w:numPr>
                            <w:ilvl w:val="0"/>
                            <w:numId w:val="8"/>
                          </w:numPr>
                          <w:tabs>
                            <w:tab w:pos="110" w:val="left" w:leader="none"/>
                          </w:tabs>
                          <w:spacing w:before="22"/>
                          <w:ind w:left="110" w:right="0" w:hanging="110"/>
                          <w:jc w:val="left"/>
                          <w:rPr>
                            <w:rFonts w:ascii="Arial"/>
                            <w:sz w:val="12"/>
                          </w:rPr>
                        </w:pPr>
                        <w:r>
                          <w:rPr>
                            <w:rFonts w:ascii="Arial"/>
                            <w:color w:val="231F20"/>
                            <w:w w:val="75"/>
                            <w:sz w:val="12"/>
                          </w:rPr>
                          <w:t>Data</w:t>
                        </w:r>
                        <w:r>
                          <w:rPr>
                            <w:rFonts w:ascii="Arial"/>
                            <w:color w:val="231F20"/>
                            <w:spacing w:val="4"/>
                            <w:sz w:val="12"/>
                          </w:rPr>
                          <w:t> </w:t>
                        </w:r>
                        <w:r>
                          <w:rPr>
                            <w:rFonts w:ascii="Arial"/>
                            <w:color w:val="231F20"/>
                            <w:w w:val="75"/>
                            <w:sz w:val="12"/>
                          </w:rPr>
                          <w:t>are</w:t>
                        </w:r>
                        <w:r>
                          <w:rPr>
                            <w:rFonts w:ascii="Arial"/>
                            <w:color w:val="231F20"/>
                            <w:spacing w:val="4"/>
                            <w:sz w:val="12"/>
                          </w:rPr>
                          <w:t> </w:t>
                        </w:r>
                        <w:r>
                          <w:rPr>
                            <w:rFonts w:ascii="Arial"/>
                            <w:color w:val="231F20"/>
                            <w:w w:val="75"/>
                            <w:sz w:val="12"/>
                          </w:rPr>
                          <w:t>for</w:t>
                        </w:r>
                        <w:r>
                          <w:rPr>
                            <w:rFonts w:ascii="Arial"/>
                            <w:color w:val="231F20"/>
                            <w:spacing w:val="5"/>
                            <w:sz w:val="12"/>
                          </w:rPr>
                          <w:t> </w:t>
                        </w:r>
                        <w:r>
                          <w:rPr>
                            <w:rFonts w:ascii="Arial"/>
                            <w:color w:val="231F20"/>
                            <w:spacing w:val="-2"/>
                            <w:w w:val="75"/>
                            <w:sz w:val="12"/>
                          </w:rPr>
                          <w:t>2022.</w:t>
                        </w:r>
                      </w:p>
                      <w:p>
                        <w:pPr>
                          <w:numPr>
                            <w:ilvl w:val="0"/>
                            <w:numId w:val="8"/>
                          </w:numPr>
                          <w:tabs>
                            <w:tab w:pos="110" w:val="left" w:leader="none"/>
                          </w:tabs>
                          <w:spacing w:line="137" w:lineRule="exact" w:before="22"/>
                          <w:ind w:left="110" w:right="0" w:hanging="110"/>
                          <w:jc w:val="left"/>
                          <w:rPr>
                            <w:rFonts w:ascii="Arial"/>
                            <w:sz w:val="12"/>
                          </w:rPr>
                        </w:pPr>
                        <w:r>
                          <w:rPr>
                            <w:rFonts w:ascii="Arial"/>
                            <w:color w:val="231F20"/>
                            <w:w w:val="80"/>
                            <w:sz w:val="12"/>
                          </w:rPr>
                          <w:t>Average</w:t>
                        </w:r>
                        <w:r>
                          <w:rPr>
                            <w:rFonts w:ascii="Arial"/>
                            <w:color w:val="231F20"/>
                            <w:spacing w:val="-3"/>
                            <w:sz w:val="12"/>
                          </w:rPr>
                          <w:t> </w:t>
                        </w:r>
                        <w:r>
                          <w:rPr>
                            <w:rFonts w:ascii="Arial"/>
                            <w:color w:val="231F20"/>
                            <w:w w:val="80"/>
                            <w:sz w:val="12"/>
                          </w:rPr>
                          <w:t>is</w:t>
                        </w:r>
                        <w:r>
                          <w:rPr>
                            <w:rFonts w:ascii="Arial"/>
                            <w:color w:val="231F20"/>
                            <w:spacing w:val="-2"/>
                            <w:sz w:val="12"/>
                          </w:rPr>
                          <w:t> </w:t>
                        </w:r>
                        <w:r>
                          <w:rPr>
                            <w:rFonts w:ascii="Arial"/>
                            <w:color w:val="231F20"/>
                            <w:w w:val="80"/>
                            <w:sz w:val="12"/>
                          </w:rPr>
                          <w:t>for</w:t>
                        </w:r>
                        <w:r>
                          <w:rPr>
                            <w:rFonts w:ascii="Arial"/>
                            <w:color w:val="231F20"/>
                            <w:spacing w:val="-3"/>
                            <w:sz w:val="12"/>
                          </w:rPr>
                          <w:t> </w:t>
                        </w:r>
                        <w:r>
                          <w:rPr>
                            <w:rFonts w:ascii="Arial"/>
                            <w:color w:val="231F20"/>
                            <w:w w:val="80"/>
                            <w:sz w:val="12"/>
                          </w:rPr>
                          <w:t>the</w:t>
                        </w:r>
                        <w:r>
                          <w:rPr>
                            <w:rFonts w:ascii="Arial"/>
                            <w:color w:val="231F20"/>
                            <w:spacing w:val="-2"/>
                            <w:sz w:val="12"/>
                          </w:rPr>
                          <w:t> </w:t>
                        </w:r>
                        <w:r>
                          <w:rPr>
                            <w:rFonts w:ascii="Arial"/>
                            <w:color w:val="231F20"/>
                            <w:w w:val="80"/>
                            <w:sz w:val="12"/>
                          </w:rPr>
                          <w:t>top</w:t>
                        </w:r>
                        <w:r>
                          <w:rPr>
                            <w:rFonts w:ascii="Arial"/>
                            <w:color w:val="231F20"/>
                            <w:spacing w:val="-2"/>
                            <w:sz w:val="12"/>
                          </w:rPr>
                          <w:t> </w:t>
                        </w:r>
                        <w:r>
                          <w:rPr>
                            <w:rFonts w:ascii="Arial"/>
                            <w:color w:val="231F20"/>
                            <w:w w:val="80"/>
                            <w:sz w:val="12"/>
                          </w:rPr>
                          <w:t>12</w:t>
                        </w:r>
                        <w:r>
                          <w:rPr>
                            <w:rFonts w:ascii="Arial"/>
                            <w:color w:val="231F20"/>
                            <w:spacing w:val="-3"/>
                            <w:sz w:val="12"/>
                          </w:rPr>
                          <w:t> </w:t>
                        </w:r>
                        <w:r>
                          <w:rPr>
                            <w:rFonts w:ascii="Arial"/>
                            <w:color w:val="231F20"/>
                            <w:w w:val="80"/>
                            <w:sz w:val="12"/>
                          </w:rPr>
                          <w:t>scores</w:t>
                        </w:r>
                        <w:r>
                          <w:rPr>
                            <w:rFonts w:ascii="Arial"/>
                            <w:color w:val="231F20"/>
                            <w:spacing w:val="-2"/>
                            <w:sz w:val="12"/>
                          </w:rPr>
                          <w:t> </w:t>
                        </w:r>
                        <w:r>
                          <w:rPr>
                            <w:rFonts w:ascii="Arial"/>
                            <w:color w:val="231F20"/>
                            <w:w w:val="80"/>
                            <w:sz w:val="12"/>
                          </w:rPr>
                          <w:t>due</w:t>
                        </w:r>
                        <w:r>
                          <w:rPr>
                            <w:rFonts w:ascii="Arial"/>
                            <w:color w:val="231F20"/>
                            <w:spacing w:val="-2"/>
                            <w:sz w:val="12"/>
                          </w:rPr>
                          <w:t> </w:t>
                        </w:r>
                        <w:r>
                          <w:rPr>
                            <w:rFonts w:ascii="Arial"/>
                            <w:color w:val="231F20"/>
                            <w:w w:val="80"/>
                            <w:sz w:val="12"/>
                          </w:rPr>
                          <w:t>to</w:t>
                        </w:r>
                        <w:r>
                          <w:rPr>
                            <w:rFonts w:ascii="Arial"/>
                            <w:color w:val="231F20"/>
                            <w:spacing w:val="-3"/>
                            <w:sz w:val="12"/>
                          </w:rPr>
                          <w:t> </w:t>
                        </w:r>
                        <w:r>
                          <w:rPr>
                            <w:rFonts w:ascii="Arial"/>
                            <w:color w:val="231F20"/>
                            <w:w w:val="80"/>
                            <w:sz w:val="12"/>
                          </w:rPr>
                          <w:t>rounding</w:t>
                        </w:r>
                        <w:r>
                          <w:rPr>
                            <w:rFonts w:ascii="Arial"/>
                            <w:color w:val="231F20"/>
                            <w:spacing w:val="-2"/>
                            <w:sz w:val="12"/>
                          </w:rPr>
                          <w:t> </w:t>
                        </w:r>
                        <w:r>
                          <w:rPr>
                            <w:rFonts w:ascii="Arial"/>
                            <w:color w:val="231F20"/>
                            <w:w w:val="80"/>
                            <w:sz w:val="12"/>
                          </w:rPr>
                          <w:t>scores</w:t>
                        </w:r>
                        <w:r>
                          <w:rPr>
                            <w:rFonts w:ascii="Arial"/>
                            <w:color w:val="231F20"/>
                            <w:spacing w:val="-3"/>
                            <w:sz w:val="12"/>
                          </w:rPr>
                          <w:t> </w:t>
                        </w:r>
                        <w:r>
                          <w:rPr>
                            <w:rFonts w:ascii="Arial"/>
                            <w:color w:val="231F20"/>
                            <w:w w:val="80"/>
                            <w:sz w:val="12"/>
                          </w:rPr>
                          <w:t>to</w:t>
                        </w:r>
                        <w:r>
                          <w:rPr>
                            <w:rFonts w:ascii="Arial"/>
                            <w:color w:val="231F20"/>
                            <w:spacing w:val="-2"/>
                            <w:sz w:val="12"/>
                          </w:rPr>
                          <w:t> </w:t>
                        </w:r>
                        <w:r>
                          <w:rPr>
                            <w:rFonts w:ascii="Arial"/>
                            <w:color w:val="231F20"/>
                            <w:w w:val="80"/>
                            <w:sz w:val="12"/>
                          </w:rPr>
                          <w:t>one</w:t>
                        </w:r>
                        <w:r>
                          <w:rPr>
                            <w:rFonts w:ascii="Arial"/>
                            <w:color w:val="231F20"/>
                            <w:spacing w:val="-2"/>
                            <w:sz w:val="12"/>
                          </w:rPr>
                          <w:t> </w:t>
                        </w:r>
                        <w:r>
                          <w:rPr>
                            <w:rFonts w:ascii="Arial"/>
                            <w:color w:val="231F20"/>
                            <w:w w:val="80"/>
                            <w:sz w:val="12"/>
                          </w:rPr>
                          <w:t>decimal</w:t>
                        </w:r>
                        <w:r>
                          <w:rPr>
                            <w:rFonts w:ascii="Arial"/>
                            <w:color w:val="231F20"/>
                            <w:spacing w:val="-3"/>
                            <w:sz w:val="12"/>
                          </w:rPr>
                          <w:t> </w:t>
                        </w:r>
                        <w:r>
                          <w:rPr>
                            <w:rFonts w:ascii="Arial"/>
                            <w:color w:val="231F20"/>
                            <w:w w:val="80"/>
                            <w:sz w:val="12"/>
                          </w:rPr>
                          <w:t>point</w:t>
                        </w:r>
                        <w:r>
                          <w:rPr>
                            <w:rFonts w:ascii="Arial"/>
                            <w:color w:val="231F20"/>
                            <w:spacing w:val="-2"/>
                            <w:sz w:val="12"/>
                          </w:rPr>
                          <w:t> </w:t>
                        </w:r>
                        <w:r>
                          <w:rPr>
                            <w:rFonts w:ascii="Arial"/>
                            <w:color w:val="231F20"/>
                            <w:w w:val="80"/>
                            <w:sz w:val="12"/>
                          </w:rPr>
                          <w:t>in</w:t>
                        </w:r>
                        <w:r>
                          <w:rPr>
                            <w:rFonts w:ascii="Arial"/>
                            <w:color w:val="231F20"/>
                            <w:spacing w:val="-2"/>
                            <w:sz w:val="12"/>
                          </w:rPr>
                          <w:t> </w:t>
                        </w:r>
                        <w:r>
                          <w:rPr>
                            <w:rFonts w:ascii="Arial"/>
                            <w:color w:val="231F20"/>
                            <w:w w:val="80"/>
                            <w:sz w:val="12"/>
                          </w:rPr>
                          <w:t>2023</w:t>
                        </w:r>
                        <w:r>
                          <w:rPr>
                            <w:rFonts w:ascii="Arial"/>
                            <w:color w:val="231F20"/>
                            <w:spacing w:val="-3"/>
                            <w:sz w:val="12"/>
                          </w:rPr>
                          <w:t> </w:t>
                        </w:r>
                        <w:r>
                          <w:rPr>
                            <w:rFonts w:ascii="Arial"/>
                            <w:color w:val="231F20"/>
                            <w:w w:val="80"/>
                            <w:sz w:val="12"/>
                          </w:rPr>
                          <w:t>rather</w:t>
                        </w:r>
                        <w:r>
                          <w:rPr>
                            <w:rFonts w:ascii="Arial"/>
                            <w:color w:val="231F20"/>
                            <w:spacing w:val="-2"/>
                            <w:sz w:val="12"/>
                          </w:rPr>
                          <w:t> </w:t>
                        </w:r>
                        <w:r>
                          <w:rPr>
                            <w:rFonts w:ascii="Arial"/>
                            <w:color w:val="231F20"/>
                            <w:w w:val="80"/>
                            <w:sz w:val="12"/>
                          </w:rPr>
                          <w:t>than</w:t>
                        </w:r>
                        <w:r>
                          <w:rPr>
                            <w:rFonts w:ascii="Arial"/>
                            <w:color w:val="231F20"/>
                            <w:spacing w:val="-2"/>
                            <w:sz w:val="12"/>
                          </w:rPr>
                          <w:t> </w:t>
                        </w:r>
                        <w:r>
                          <w:rPr>
                            <w:rFonts w:ascii="Arial"/>
                            <w:color w:val="231F20"/>
                            <w:w w:val="80"/>
                            <w:sz w:val="12"/>
                          </w:rPr>
                          <w:t>two</w:t>
                        </w:r>
                        <w:r>
                          <w:rPr>
                            <w:rFonts w:ascii="Arial"/>
                            <w:color w:val="231F20"/>
                            <w:spacing w:val="-3"/>
                            <w:sz w:val="12"/>
                          </w:rPr>
                          <w:t> </w:t>
                        </w:r>
                        <w:r>
                          <w:rPr>
                            <w:rFonts w:ascii="Arial"/>
                            <w:color w:val="231F20"/>
                            <w:w w:val="80"/>
                            <w:sz w:val="12"/>
                          </w:rPr>
                          <w:t>as</w:t>
                        </w:r>
                        <w:r>
                          <w:rPr>
                            <w:rFonts w:ascii="Arial"/>
                            <w:color w:val="231F20"/>
                            <w:spacing w:val="-2"/>
                            <w:sz w:val="12"/>
                          </w:rPr>
                          <w:t> </w:t>
                        </w:r>
                        <w:r>
                          <w:rPr>
                            <w:rFonts w:ascii="Arial"/>
                            <w:color w:val="231F20"/>
                            <w:w w:val="80"/>
                            <w:sz w:val="12"/>
                          </w:rPr>
                          <w:t>in</w:t>
                        </w:r>
                        <w:r>
                          <w:rPr>
                            <w:rFonts w:ascii="Arial"/>
                            <w:color w:val="231F20"/>
                            <w:spacing w:val="-3"/>
                            <w:sz w:val="12"/>
                          </w:rPr>
                          <w:t> </w:t>
                        </w:r>
                        <w:r>
                          <w:rPr>
                            <w:rFonts w:ascii="Arial"/>
                            <w:color w:val="231F20"/>
                            <w:w w:val="80"/>
                            <w:sz w:val="12"/>
                          </w:rPr>
                          <w:t>previous</w:t>
                        </w:r>
                        <w:r>
                          <w:rPr>
                            <w:rFonts w:ascii="Arial"/>
                            <w:color w:val="231F20"/>
                            <w:spacing w:val="-2"/>
                            <w:sz w:val="12"/>
                          </w:rPr>
                          <w:t> </w:t>
                        </w:r>
                        <w:r>
                          <w:rPr>
                            <w:rFonts w:ascii="Arial"/>
                            <w:color w:val="231F20"/>
                            <w:spacing w:val="-2"/>
                            <w:w w:val="80"/>
                            <w:sz w:val="12"/>
                          </w:rPr>
                          <w:t>editions.</w:t>
                        </w:r>
                      </w:p>
                    </w:txbxContent>
                  </v:textbox>
                  <w10:wrap type="none"/>
                </v:shape>
                <v:shape style="position:absolute;left:3360;top:-2347;width:780;height:325" type="#_x0000_t202" id="docshape175" filled="false" stroked="false">
                  <v:textbox inset="0,0,0,0">
                    <w:txbxContent>
                      <w:p>
                        <w:pPr>
                          <w:spacing w:before="70"/>
                          <w:ind w:left="12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b/>
                            <w:color w:val="FFFFFF"/>
                            <w:spacing w:val="-10"/>
                            <w:w w:val="95"/>
                            <w:sz w:val="16"/>
                          </w:rPr>
                          <w:t>1</w:t>
                        </w:r>
                      </w:p>
                    </w:txbxContent>
                  </v:textbox>
                  <w10:wrap type="none"/>
                </v:shape>
                <w10:wrap type="none"/>
              </v:group>
            </w:pict>
          </mc:Fallback>
        </mc:AlternateContent>
      </w:r>
      <w:r>
        <w:rPr>
          <w:color w:val="231F20"/>
          <w:spacing w:val="-2"/>
        </w:rPr>
        <w:t>since</w:t>
      </w:r>
      <w:r>
        <w:rPr>
          <w:color w:val="231F20"/>
          <w:spacing w:val="-12"/>
        </w:rPr>
        <w:t> </w:t>
      </w:r>
      <w:r>
        <w:rPr>
          <w:color w:val="231F20"/>
          <w:spacing w:val="-2"/>
        </w:rPr>
        <w:t>2018.</w:t>
      </w:r>
      <w:r>
        <w:rPr>
          <w:color w:val="231F20"/>
          <w:spacing w:val="-11"/>
        </w:rPr>
        <w:t> </w:t>
      </w:r>
      <w:r>
        <w:rPr>
          <w:color w:val="231F20"/>
          <w:spacing w:val="-2"/>
        </w:rPr>
        <w:t>This</w:t>
      </w:r>
      <w:r>
        <w:rPr>
          <w:color w:val="231F20"/>
          <w:spacing w:val="-11"/>
        </w:rPr>
        <w:t> </w:t>
      </w:r>
      <w:r>
        <w:rPr>
          <w:color w:val="231F20"/>
          <w:spacing w:val="-2"/>
        </w:rPr>
        <w:t>reflects</w:t>
      </w:r>
      <w:r>
        <w:rPr>
          <w:color w:val="231F20"/>
          <w:spacing w:val="-11"/>
        </w:rPr>
        <w:t> </w:t>
      </w:r>
      <w:r>
        <w:rPr>
          <w:color w:val="231F20"/>
          <w:spacing w:val="-2"/>
        </w:rPr>
        <w:t>logistics</w:t>
      </w:r>
      <w:r>
        <w:rPr>
          <w:color w:val="231F20"/>
          <w:spacing w:val="-11"/>
        </w:rPr>
        <w:t> </w:t>
      </w:r>
      <w:r>
        <w:rPr>
          <w:color w:val="231F20"/>
          <w:spacing w:val="-2"/>
        </w:rPr>
        <w:t>service</w:t>
      </w:r>
      <w:r>
        <w:rPr>
          <w:color w:val="231F20"/>
          <w:spacing w:val="-11"/>
        </w:rPr>
        <w:t> </w:t>
      </w:r>
      <w:r>
        <w:rPr>
          <w:color w:val="231F20"/>
          <w:spacing w:val="-2"/>
        </w:rPr>
        <w:t>pro- viders’</w:t>
      </w:r>
      <w:r>
        <w:rPr>
          <w:color w:val="231F20"/>
          <w:spacing w:val="-12"/>
        </w:rPr>
        <w:t> </w:t>
      </w:r>
      <w:r>
        <w:rPr>
          <w:color w:val="231F20"/>
          <w:spacing w:val="-2"/>
        </w:rPr>
        <w:t>ability</w:t>
      </w:r>
      <w:r>
        <w:rPr>
          <w:color w:val="231F20"/>
          <w:spacing w:val="-11"/>
        </w:rPr>
        <w:t> </w:t>
      </w:r>
      <w:r>
        <w:rPr>
          <w:color w:val="231F20"/>
          <w:spacing w:val="-2"/>
        </w:rPr>
        <w:t>to</w:t>
      </w:r>
      <w:r>
        <w:rPr>
          <w:color w:val="231F20"/>
          <w:spacing w:val="-11"/>
        </w:rPr>
        <w:t> </w:t>
      </w:r>
      <w:r>
        <w:rPr>
          <w:color w:val="231F20"/>
          <w:spacing w:val="-2"/>
        </w:rPr>
        <w:t>adapt</w:t>
      </w:r>
      <w:r>
        <w:rPr>
          <w:color w:val="231F20"/>
          <w:spacing w:val="-11"/>
        </w:rPr>
        <w:t> </w:t>
      </w:r>
      <w:r>
        <w:rPr>
          <w:color w:val="231F20"/>
          <w:spacing w:val="-2"/>
        </w:rPr>
        <w:t>to</w:t>
      </w:r>
      <w:r>
        <w:rPr>
          <w:color w:val="231F20"/>
          <w:spacing w:val="-11"/>
        </w:rPr>
        <w:t> </w:t>
      </w:r>
      <w:r>
        <w:rPr>
          <w:color w:val="231F20"/>
          <w:spacing w:val="-2"/>
        </w:rPr>
        <w:t>dramatically</w:t>
      </w:r>
      <w:r>
        <w:rPr>
          <w:color w:val="231F20"/>
          <w:spacing w:val="-11"/>
        </w:rPr>
        <w:t> </w:t>
      </w:r>
      <w:r>
        <w:rPr>
          <w:color w:val="231F20"/>
          <w:spacing w:val="-2"/>
        </w:rPr>
        <w:t>chang- ing</w:t>
      </w:r>
      <w:r>
        <w:rPr>
          <w:color w:val="231F20"/>
          <w:spacing w:val="-6"/>
        </w:rPr>
        <w:t> </w:t>
      </w:r>
      <w:r>
        <w:rPr>
          <w:color w:val="231F20"/>
          <w:spacing w:val="-2"/>
        </w:rPr>
        <w:t>circumstances—but</w:t>
      </w:r>
      <w:r>
        <w:rPr>
          <w:color w:val="231F20"/>
          <w:spacing w:val="-6"/>
        </w:rPr>
        <w:t> </w:t>
      </w:r>
      <w:r>
        <w:rPr>
          <w:color w:val="231F20"/>
          <w:spacing w:val="-2"/>
        </w:rPr>
        <w:t>it</w:t>
      </w:r>
      <w:r>
        <w:rPr>
          <w:color w:val="231F20"/>
          <w:spacing w:val="-6"/>
        </w:rPr>
        <w:t> </w:t>
      </w:r>
      <w:r>
        <w:rPr>
          <w:color w:val="231F20"/>
          <w:spacing w:val="-2"/>
        </w:rPr>
        <w:t>could</w:t>
      </w:r>
      <w:r>
        <w:rPr>
          <w:color w:val="231F20"/>
          <w:spacing w:val="-6"/>
        </w:rPr>
        <w:t> </w:t>
      </w:r>
      <w:r>
        <w:rPr>
          <w:color w:val="231F20"/>
          <w:spacing w:val="-2"/>
        </w:rPr>
        <w:t>also</w:t>
      </w:r>
      <w:r>
        <w:rPr>
          <w:color w:val="231F20"/>
          <w:spacing w:val="-6"/>
        </w:rPr>
        <w:t> </w:t>
      </w:r>
      <w:r>
        <w:rPr>
          <w:color w:val="231F20"/>
          <w:spacing w:val="-2"/>
        </w:rPr>
        <w:t>indicate </w:t>
      </w:r>
      <w:r>
        <w:rPr>
          <w:color w:val="231F20"/>
        </w:rPr>
        <w:t>the</w:t>
      </w:r>
      <w:r>
        <w:rPr>
          <w:color w:val="231F20"/>
          <w:spacing w:val="-9"/>
        </w:rPr>
        <w:t> </w:t>
      </w:r>
      <w:r>
        <w:rPr>
          <w:color w:val="231F20"/>
        </w:rPr>
        <w:t>robustness</w:t>
      </w:r>
      <w:r>
        <w:rPr>
          <w:color w:val="231F20"/>
          <w:spacing w:val="-9"/>
        </w:rPr>
        <w:t> </w:t>
      </w:r>
      <w:r>
        <w:rPr>
          <w:color w:val="231F20"/>
        </w:rPr>
        <w:t>of</w:t>
      </w:r>
      <w:r>
        <w:rPr>
          <w:color w:val="231F20"/>
          <w:spacing w:val="-9"/>
        </w:rPr>
        <w:t> </w:t>
      </w:r>
      <w:r>
        <w:rPr>
          <w:color w:val="231F20"/>
        </w:rPr>
        <w:t>underlying</w:t>
      </w:r>
      <w:r>
        <w:rPr>
          <w:color w:val="231F20"/>
          <w:spacing w:val="-9"/>
        </w:rPr>
        <w:t> </w:t>
      </w:r>
      <w:r>
        <w:rPr>
          <w:color w:val="231F20"/>
        </w:rPr>
        <w:t>data</w:t>
      </w:r>
      <w:r>
        <w:rPr>
          <w:color w:val="231F20"/>
          <w:spacing w:val="-9"/>
        </w:rPr>
        <w:t> </w:t>
      </w:r>
      <w:r>
        <w:rPr>
          <w:color w:val="231F20"/>
        </w:rPr>
        <w:t>across</w:t>
      </w:r>
      <w:r>
        <w:rPr>
          <w:color w:val="231F20"/>
          <w:spacing w:val="-9"/>
        </w:rPr>
        <w:t> </w:t>
      </w:r>
      <w:r>
        <w:rPr>
          <w:color w:val="231F20"/>
        </w:rPr>
        <w:t>LPI </w:t>
      </w:r>
      <w:r>
        <w:rPr>
          <w:color w:val="231F20"/>
          <w:spacing w:val="-4"/>
        </w:rPr>
        <w:t>editions</w:t>
      </w:r>
      <w:r>
        <w:rPr>
          <w:color w:val="231F20"/>
          <w:spacing w:val="-7"/>
        </w:rPr>
        <w:t> </w:t>
      </w:r>
      <w:r>
        <w:rPr>
          <w:color w:val="231F20"/>
          <w:spacing w:val="-4"/>
        </w:rPr>
        <w:t>(table</w:t>
      </w:r>
      <w:r>
        <w:rPr>
          <w:color w:val="231F20"/>
          <w:spacing w:val="-7"/>
        </w:rPr>
        <w:t> </w:t>
      </w:r>
      <w:r>
        <w:rPr>
          <w:color w:val="231F20"/>
          <w:spacing w:val="-4"/>
        </w:rPr>
        <w:t>1).</w:t>
      </w:r>
      <w:r>
        <w:rPr>
          <w:color w:val="231F20"/>
          <w:spacing w:val="-7"/>
        </w:rPr>
        <w:t> </w:t>
      </w:r>
      <w:r>
        <w:rPr>
          <w:color w:val="231F20"/>
          <w:spacing w:val="-4"/>
        </w:rPr>
        <w:t>Average</w:t>
      </w:r>
      <w:r>
        <w:rPr>
          <w:color w:val="231F20"/>
          <w:spacing w:val="-7"/>
        </w:rPr>
        <w:t> </w:t>
      </w:r>
      <w:r>
        <w:rPr>
          <w:color w:val="231F20"/>
          <w:spacing w:val="-4"/>
        </w:rPr>
        <w:t>scores</w:t>
      </w:r>
      <w:r>
        <w:rPr>
          <w:color w:val="231F20"/>
          <w:spacing w:val="-7"/>
        </w:rPr>
        <w:t> </w:t>
      </w:r>
      <w:r>
        <w:rPr>
          <w:color w:val="231F20"/>
          <w:spacing w:val="-4"/>
        </w:rPr>
        <w:t>among</w:t>
      </w:r>
      <w:r>
        <w:rPr>
          <w:color w:val="231F20"/>
          <w:spacing w:val="-7"/>
        </w:rPr>
        <w:t> </w:t>
      </w:r>
      <w:r>
        <w:rPr>
          <w:color w:val="231F20"/>
          <w:spacing w:val="-4"/>
        </w:rPr>
        <w:t>low- </w:t>
      </w:r>
      <w:r>
        <w:rPr>
          <w:color w:val="231F20"/>
          <w:spacing w:val="-6"/>
        </w:rPr>
        <w:t>performing</w:t>
      </w:r>
      <w:r>
        <w:rPr>
          <w:color w:val="231F20"/>
          <w:spacing w:val="-8"/>
        </w:rPr>
        <w:t> </w:t>
      </w:r>
      <w:r>
        <w:rPr>
          <w:color w:val="231F20"/>
          <w:spacing w:val="-6"/>
        </w:rPr>
        <w:t>countries</w:t>
      </w:r>
      <w:r>
        <w:rPr>
          <w:color w:val="231F20"/>
          <w:spacing w:val="-8"/>
        </w:rPr>
        <w:t> </w:t>
      </w:r>
      <w:r>
        <w:rPr>
          <w:color w:val="231F20"/>
          <w:spacing w:val="-6"/>
        </w:rPr>
        <w:t>have</w:t>
      </w:r>
      <w:r>
        <w:rPr>
          <w:color w:val="231F20"/>
          <w:spacing w:val="-8"/>
        </w:rPr>
        <w:t> </w:t>
      </w:r>
      <w:r>
        <w:rPr>
          <w:color w:val="231F20"/>
          <w:spacing w:val="-6"/>
        </w:rPr>
        <w:t>increased</w:t>
      </w:r>
      <w:r>
        <w:rPr>
          <w:color w:val="231F20"/>
          <w:spacing w:val="-8"/>
        </w:rPr>
        <w:t> </w:t>
      </w:r>
      <w:r>
        <w:rPr>
          <w:color w:val="231F20"/>
          <w:spacing w:val="-6"/>
        </w:rPr>
        <w:t>over</w:t>
      </w:r>
      <w:r>
        <w:rPr>
          <w:color w:val="231F20"/>
          <w:spacing w:val="-8"/>
        </w:rPr>
        <w:t> </w:t>
      </w:r>
      <w:r>
        <w:rPr>
          <w:color w:val="231F20"/>
          <w:spacing w:val="-6"/>
        </w:rPr>
        <w:t>time. </w:t>
      </w:r>
      <w:r>
        <w:rPr>
          <w:color w:val="231F20"/>
          <w:spacing w:val="-2"/>
        </w:rPr>
        <w:t>In</w:t>
      </w:r>
      <w:r>
        <w:rPr>
          <w:color w:val="231F20"/>
          <w:spacing w:val="-10"/>
        </w:rPr>
        <w:t> </w:t>
      </w:r>
      <w:r>
        <w:rPr>
          <w:color w:val="231F20"/>
          <w:spacing w:val="-2"/>
        </w:rPr>
        <w:t>the</w:t>
      </w:r>
      <w:r>
        <w:rPr>
          <w:color w:val="231F20"/>
          <w:spacing w:val="-10"/>
        </w:rPr>
        <w:t> </w:t>
      </w:r>
      <w:r>
        <w:rPr>
          <w:color w:val="231F20"/>
          <w:spacing w:val="-2"/>
        </w:rPr>
        <w:t>2023</w:t>
      </w:r>
      <w:r>
        <w:rPr>
          <w:color w:val="231F20"/>
          <w:spacing w:val="-10"/>
        </w:rPr>
        <w:t> </w:t>
      </w:r>
      <w:r>
        <w:rPr>
          <w:color w:val="231F20"/>
          <w:spacing w:val="-2"/>
        </w:rPr>
        <w:t>LPI,</w:t>
      </w:r>
      <w:r>
        <w:rPr>
          <w:color w:val="231F20"/>
          <w:spacing w:val="-10"/>
        </w:rPr>
        <w:t> </w:t>
      </w:r>
      <w:r>
        <w:rPr>
          <w:color w:val="231F20"/>
          <w:spacing w:val="-2"/>
        </w:rPr>
        <w:t>the</w:t>
      </w:r>
      <w:r>
        <w:rPr>
          <w:color w:val="231F20"/>
          <w:spacing w:val="-10"/>
        </w:rPr>
        <w:t> </w:t>
      </w:r>
      <w:r>
        <w:rPr>
          <w:color w:val="231F20"/>
          <w:spacing w:val="-2"/>
        </w:rPr>
        <w:t>top</w:t>
      </w:r>
      <w:r>
        <w:rPr>
          <w:color w:val="231F20"/>
          <w:spacing w:val="-10"/>
        </w:rPr>
        <w:t> </w:t>
      </w:r>
      <w:r>
        <w:rPr>
          <w:color w:val="231F20"/>
          <w:spacing w:val="-2"/>
        </w:rPr>
        <w:t>12</w:t>
      </w:r>
      <w:r>
        <w:rPr>
          <w:color w:val="231F20"/>
          <w:spacing w:val="-10"/>
        </w:rPr>
        <w:t> </w:t>
      </w:r>
      <w:r>
        <w:rPr>
          <w:color w:val="231F20"/>
          <w:spacing w:val="-2"/>
        </w:rPr>
        <w:t>scorers</w:t>
      </w:r>
      <w:r>
        <w:rPr>
          <w:color w:val="231F20"/>
          <w:spacing w:val="-10"/>
        </w:rPr>
        <w:t> </w:t>
      </w:r>
      <w:r>
        <w:rPr>
          <w:color w:val="231F20"/>
          <w:spacing w:val="-2"/>
        </w:rPr>
        <w:t>are</w:t>
      </w:r>
      <w:r>
        <w:rPr>
          <w:color w:val="231F20"/>
          <w:spacing w:val="-10"/>
        </w:rPr>
        <w:t> </w:t>
      </w:r>
      <w:r>
        <w:rPr>
          <w:color w:val="231F20"/>
          <w:spacing w:val="-2"/>
        </w:rPr>
        <w:t>high- </w:t>
      </w:r>
      <w:r>
        <w:rPr>
          <w:color w:val="231F20"/>
          <w:w w:val="90"/>
        </w:rPr>
        <w:t>income</w:t>
      </w:r>
      <w:r>
        <w:rPr>
          <w:color w:val="231F20"/>
          <w:spacing w:val="-17"/>
          <w:w w:val="90"/>
        </w:rPr>
        <w:t> </w:t>
      </w:r>
      <w:r>
        <w:rPr>
          <w:color w:val="231F20"/>
          <w:w w:val="90"/>
        </w:rPr>
        <w:t>economies.</w:t>
      </w:r>
      <w:r>
        <w:rPr>
          <w:color w:val="231F20"/>
          <w:spacing w:val="-17"/>
          <w:w w:val="90"/>
        </w:rPr>
        <w:t> </w:t>
      </w:r>
      <w:r>
        <w:rPr>
          <w:color w:val="231F20"/>
          <w:w w:val="90"/>
        </w:rPr>
        <w:t>Singapore,</w:t>
      </w:r>
      <w:r>
        <w:rPr>
          <w:color w:val="231F20"/>
          <w:spacing w:val="-17"/>
          <w:w w:val="90"/>
        </w:rPr>
        <w:t> </w:t>
      </w:r>
      <w:r>
        <w:rPr>
          <w:color w:val="231F20"/>
          <w:w w:val="90"/>
        </w:rPr>
        <w:t>with</w:t>
      </w:r>
      <w:r>
        <w:rPr>
          <w:color w:val="231F20"/>
          <w:spacing w:val="-16"/>
          <w:w w:val="90"/>
        </w:rPr>
        <w:t> </w:t>
      </w:r>
      <w:r>
        <w:rPr>
          <w:color w:val="231F20"/>
          <w:w w:val="90"/>
        </w:rPr>
        <w:t>a</w:t>
      </w:r>
      <w:r>
        <w:rPr>
          <w:color w:val="231F20"/>
          <w:spacing w:val="-17"/>
          <w:w w:val="90"/>
        </w:rPr>
        <w:t> </w:t>
      </w:r>
      <w:r>
        <w:rPr>
          <w:color w:val="231F20"/>
          <w:w w:val="90"/>
        </w:rPr>
        <w:t>score</w:t>
      </w:r>
      <w:r>
        <w:rPr>
          <w:color w:val="231F20"/>
          <w:spacing w:val="-17"/>
          <w:w w:val="90"/>
        </w:rPr>
        <w:t> </w:t>
      </w:r>
      <w:r>
        <w:rPr>
          <w:color w:val="231F20"/>
          <w:w w:val="90"/>
        </w:rPr>
        <w:t>of</w:t>
      </w:r>
      <w:r>
        <w:rPr>
          <w:color w:val="231F20"/>
          <w:spacing w:val="-17"/>
          <w:w w:val="90"/>
        </w:rPr>
        <w:t> </w:t>
      </w:r>
      <w:r>
        <w:rPr>
          <w:color w:val="231F20"/>
          <w:w w:val="90"/>
        </w:rPr>
        <w:t>4.3, </w:t>
      </w:r>
      <w:r>
        <w:rPr>
          <w:color w:val="231F20"/>
          <w:spacing w:val="-4"/>
        </w:rPr>
        <w:t>is</w:t>
      </w:r>
      <w:r>
        <w:rPr>
          <w:color w:val="231F20"/>
          <w:spacing w:val="-8"/>
        </w:rPr>
        <w:t> </w:t>
      </w:r>
      <w:r>
        <w:rPr>
          <w:color w:val="231F20"/>
          <w:spacing w:val="-4"/>
        </w:rPr>
        <w:t>at</w:t>
      </w:r>
      <w:r>
        <w:rPr>
          <w:color w:val="231F20"/>
          <w:spacing w:val="-8"/>
        </w:rPr>
        <w:t> </w:t>
      </w:r>
      <w:r>
        <w:rPr>
          <w:color w:val="231F20"/>
          <w:spacing w:val="-4"/>
        </w:rPr>
        <w:t>the</w:t>
      </w:r>
      <w:r>
        <w:rPr>
          <w:color w:val="231F20"/>
          <w:spacing w:val="-8"/>
        </w:rPr>
        <w:t> </w:t>
      </w:r>
      <w:r>
        <w:rPr>
          <w:color w:val="231F20"/>
          <w:spacing w:val="-4"/>
        </w:rPr>
        <w:t>top,</w:t>
      </w:r>
      <w:r>
        <w:rPr>
          <w:color w:val="231F20"/>
          <w:spacing w:val="-8"/>
        </w:rPr>
        <w:t> </w:t>
      </w:r>
      <w:r>
        <w:rPr>
          <w:color w:val="231F20"/>
          <w:spacing w:val="-4"/>
        </w:rPr>
        <w:t>a</w:t>
      </w:r>
      <w:r>
        <w:rPr>
          <w:color w:val="231F20"/>
          <w:spacing w:val="-8"/>
        </w:rPr>
        <w:t> </w:t>
      </w:r>
      <w:r>
        <w:rPr>
          <w:color w:val="231F20"/>
          <w:spacing w:val="-4"/>
        </w:rPr>
        <w:t>position</w:t>
      </w:r>
      <w:r>
        <w:rPr>
          <w:color w:val="231F20"/>
          <w:spacing w:val="-8"/>
        </w:rPr>
        <w:t> </w:t>
      </w:r>
      <w:r>
        <w:rPr>
          <w:color w:val="231F20"/>
          <w:spacing w:val="-4"/>
        </w:rPr>
        <w:t>it</w:t>
      </w:r>
      <w:r>
        <w:rPr>
          <w:color w:val="231F20"/>
          <w:spacing w:val="-8"/>
        </w:rPr>
        <w:t> </w:t>
      </w:r>
      <w:r>
        <w:rPr>
          <w:color w:val="231F20"/>
          <w:spacing w:val="-4"/>
        </w:rPr>
        <w:t>also</w:t>
      </w:r>
      <w:r>
        <w:rPr>
          <w:color w:val="231F20"/>
          <w:spacing w:val="-8"/>
        </w:rPr>
        <w:t> </w:t>
      </w:r>
      <w:r>
        <w:rPr>
          <w:color w:val="231F20"/>
          <w:spacing w:val="-4"/>
        </w:rPr>
        <w:t>held</w:t>
      </w:r>
      <w:r>
        <w:rPr>
          <w:color w:val="231F20"/>
          <w:spacing w:val="-8"/>
        </w:rPr>
        <w:t> </w:t>
      </w:r>
      <w:r>
        <w:rPr>
          <w:color w:val="231F20"/>
          <w:spacing w:val="-4"/>
        </w:rPr>
        <w:t>in</w:t>
      </w:r>
      <w:r>
        <w:rPr>
          <w:color w:val="231F20"/>
          <w:spacing w:val="-8"/>
        </w:rPr>
        <w:t> </w:t>
      </w:r>
      <w:r>
        <w:rPr>
          <w:color w:val="231F20"/>
          <w:spacing w:val="-4"/>
        </w:rPr>
        <w:t>2007</w:t>
      </w:r>
      <w:r>
        <w:rPr>
          <w:color w:val="231F20"/>
          <w:spacing w:val="-8"/>
        </w:rPr>
        <w:t> </w:t>
      </w:r>
      <w:r>
        <w:rPr>
          <w:color w:val="231F20"/>
          <w:spacing w:val="-4"/>
        </w:rPr>
        <w:t>and </w:t>
      </w:r>
      <w:r>
        <w:rPr>
          <w:color w:val="231F20"/>
          <w:spacing w:val="-8"/>
        </w:rPr>
        <w:t>2012.</w:t>
      </w:r>
      <w:r>
        <w:rPr>
          <w:color w:val="231F20"/>
          <w:spacing w:val="-16"/>
        </w:rPr>
        <w:t> </w:t>
      </w:r>
      <w:r>
        <w:rPr>
          <w:color w:val="231F20"/>
          <w:spacing w:val="-8"/>
        </w:rPr>
        <w:t>Of</w:t>
      </w:r>
      <w:r>
        <w:rPr>
          <w:color w:val="231F20"/>
          <w:spacing w:val="-16"/>
        </w:rPr>
        <w:t> </w:t>
      </w:r>
      <w:r>
        <w:rPr>
          <w:color w:val="231F20"/>
          <w:spacing w:val="-8"/>
        </w:rPr>
        <w:t>the</w:t>
      </w:r>
      <w:r>
        <w:rPr>
          <w:color w:val="231F20"/>
          <w:spacing w:val="-16"/>
        </w:rPr>
        <w:t> </w:t>
      </w:r>
      <w:r>
        <w:rPr>
          <w:color w:val="231F20"/>
          <w:spacing w:val="-8"/>
        </w:rPr>
        <w:t>top</w:t>
      </w:r>
      <w:r>
        <w:rPr>
          <w:color w:val="231F20"/>
          <w:spacing w:val="-16"/>
        </w:rPr>
        <w:t> </w:t>
      </w:r>
      <w:r>
        <w:rPr>
          <w:color w:val="231F20"/>
          <w:spacing w:val="-8"/>
        </w:rPr>
        <w:t>12</w:t>
      </w:r>
      <w:r>
        <w:rPr>
          <w:color w:val="231F20"/>
          <w:spacing w:val="-16"/>
        </w:rPr>
        <w:t> </w:t>
      </w:r>
      <w:r>
        <w:rPr>
          <w:color w:val="231F20"/>
          <w:spacing w:val="-8"/>
        </w:rPr>
        <w:t>scorers,</w:t>
      </w:r>
      <w:r>
        <w:rPr>
          <w:color w:val="231F20"/>
          <w:spacing w:val="-16"/>
        </w:rPr>
        <w:t> </w:t>
      </w:r>
      <w:r>
        <w:rPr>
          <w:color w:val="231F20"/>
          <w:spacing w:val="-8"/>
        </w:rPr>
        <w:t>8</w:t>
      </w:r>
      <w:r>
        <w:rPr>
          <w:color w:val="231F20"/>
          <w:spacing w:val="-16"/>
        </w:rPr>
        <w:t> </w:t>
      </w:r>
      <w:r>
        <w:rPr>
          <w:color w:val="231F20"/>
          <w:spacing w:val="-8"/>
        </w:rPr>
        <w:t>are</w:t>
      </w:r>
      <w:r>
        <w:rPr>
          <w:color w:val="231F20"/>
          <w:spacing w:val="-16"/>
        </w:rPr>
        <w:t> </w:t>
      </w:r>
      <w:r>
        <w:rPr>
          <w:color w:val="231F20"/>
          <w:spacing w:val="-8"/>
        </w:rPr>
        <w:t>in</w:t>
      </w:r>
      <w:r>
        <w:rPr>
          <w:color w:val="231F20"/>
          <w:spacing w:val="-16"/>
        </w:rPr>
        <w:t> </w:t>
      </w:r>
      <w:r>
        <w:rPr>
          <w:color w:val="231F20"/>
          <w:spacing w:val="-8"/>
        </w:rPr>
        <w:t>Europe</w:t>
      </w:r>
      <w:r>
        <w:rPr>
          <w:color w:val="231F20"/>
          <w:spacing w:val="-16"/>
        </w:rPr>
        <w:t> </w:t>
      </w:r>
      <w:r>
        <w:rPr>
          <w:color w:val="231F20"/>
          <w:spacing w:val="-8"/>
        </w:rPr>
        <w:t>(Fin- land,</w:t>
      </w:r>
      <w:r>
        <w:rPr>
          <w:color w:val="231F20"/>
          <w:spacing w:val="-19"/>
        </w:rPr>
        <w:t> </w:t>
      </w:r>
      <w:r>
        <w:rPr>
          <w:color w:val="231F20"/>
          <w:spacing w:val="-8"/>
        </w:rPr>
        <w:t>scoring</w:t>
      </w:r>
      <w:r>
        <w:rPr>
          <w:color w:val="231F20"/>
          <w:spacing w:val="-19"/>
        </w:rPr>
        <w:t> </w:t>
      </w:r>
      <w:r>
        <w:rPr>
          <w:color w:val="231F20"/>
          <w:spacing w:val="-8"/>
        </w:rPr>
        <w:t>4.2;</w:t>
      </w:r>
      <w:r>
        <w:rPr>
          <w:color w:val="231F20"/>
          <w:spacing w:val="-19"/>
        </w:rPr>
        <w:t> </w:t>
      </w:r>
      <w:r>
        <w:rPr>
          <w:color w:val="231F20"/>
          <w:spacing w:val="-8"/>
        </w:rPr>
        <w:t>Denmark,</w:t>
      </w:r>
      <w:r>
        <w:rPr>
          <w:color w:val="231F20"/>
          <w:spacing w:val="-19"/>
        </w:rPr>
        <w:t> </w:t>
      </w:r>
      <w:r>
        <w:rPr>
          <w:color w:val="231F20"/>
          <w:spacing w:val="-8"/>
        </w:rPr>
        <w:t>the</w:t>
      </w:r>
      <w:r>
        <w:rPr>
          <w:color w:val="231F20"/>
          <w:spacing w:val="-19"/>
        </w:rPr>
        <w:t> </w:t>
      </w:r>
      <w:r>
        <w:rPr>
          <w:color w:val="231F20"/>
          <w:spacing w:val="-8"/>
        </w:rPr>
        <w:t>Netherlands,</w:t>
      </w:r>
      <w:r>
        <w:rPr>
          <w:color w:val="231F20"/>
          <w:spacing w:val="-19"/>
        </w:rPr>
        <w:t> </w:t>
      </w:r>
      <w:r>
        <w:rPr>
          <w:color w:val="231F20"/>
          <w:spacing w:val="-8"/>
        </w:rPr>
        <w:t>and </w:t>
      </w:r>
      <w:r>
        <w:rPr>
          <w:color w:val="231F20"/>
          <w:w w:val="90"/>
        </w:rPr>
        <w:t>Switzerland, scoring 4.1; and Austria, Belgium, </w:t>
      </w:r>
      <w:r>
        <w:rPr>
          <w:color w:val="231F20"/>
          <w:spacing w:val="-4"/>
        </w:rPr>
        <w:t>Germany,</w:t>
      </w:r>
      <w:r>
        <w:rPr>
          <w:color w:val="231F20"/>
          <w:spacing w:val="-6"/>
        </w:rPr>
        <w:t> </w:t>
      </w:r>
      <w:r>
        <w:rPr>
          <w:color w:val="231F20"/>
          <w:spacing w:val="-4"/>
        </w:rPr>
        <w:t>and</w:t>
      </w:r>
      <w:r>
        <w:rPr>
          <w:color w:val="231F20"/>
          <w:spacing w:val="-6"/>
        </w:rPr>
        <w:t> </w:t>
      </w:r>
      <w:r>
        <w:rPr>
          <w:color w:val="231F20"/>
          <w:spacing w:val="-4"/>
        </w:rPr>
        <w:t>Sweden,</w:t>
      </w:r>
      <w:r>
        <w:rPr>
          <w:color w:val="231F20"/>
          <w:spacing w:val="-6"/>
        </w:rPr>
        <w:t> </w:t>
      </w:r>
      <w:r>
        <w:rPr>
          <w:color w:val="231F20"/>
          <w:spacing w:val="-4"/>
        </w:rPr>
        <w:t>scoring</w:t>
      </w:r>
      <w:r>
        <w:rPr>
          <w:color w:val="231F20"/>
          <w:spacing w:val="-6"/>
        </w:rPr>
        <w:t> </w:t>
      </w:r>
      <w:r>
        <w:rPr>
          <w:color w:val="231F20"/>
          <w:spacing w:val="-4"/>
        </w:rPr>
        <w:t>4.0).</w:t>
      </w:r>
      <w:r>
        <w:rPr>
          <w:color w:val="231F20"/>
          <w:spacing w:val="-6"/>
        </w:rPr>
        <w:t> </w:t>
      </w:r>
      <w:r>
        <w:rPr>
          <w:color w:val="231F20"/>
          <w:spacing w:val="-4"/>
        </w:rPr>
        <w:t>They</w:t>
      </w:r>
      <w:r>
        <w:rPr>
          <w:color w:val="231F20"/>
          <w:spacing w:val="-6"/>
        </w:rPr>
        <w:t> </w:t>
      </w:r>
      <w:r>
        <w:rPr>
          <w:color w:val="231F20"/>
          <w:spacing w:val="-4"/>
        </w:rPr>
        <w:t>are joined</w:t>
      </w:r>
      <w:r>
        <w:rPr>
          <w:color w:val="231F20"/>
          <w:spacing w:val="-10"/>
        </w:rPr>
        <w:t> </w:t>
      </w:r>
      <w:r>
        <w:rPr>
          <w:color w:val="231F20"/>
          <w:spacing w:val="-4"/>
        </w:rPr>
        <w:t>by</w:t>
      </w:r>
      <w:r>
        <w:rPr>
          <w:color w:val="231F20"/>
          <w:spacing w:val="-9"/>
        </w:rPr>
        <w:t> </w:t>
      </w:r>
      <w:r>
        <w:rPr>
          <w:color w:val="231F20"/>
          <w:spacing w:val="-4"/>
        </w:rPr>
        <w:t>Hong</w:t>
      </w:r>
      <w:r>
        <w:rPr>
          <w:color w:val="231F20"/>
          <w:spacing w:val="-9"/>
        </w:rPr>
        <w:t> </w:t>
      </w:r>
      <w:r>
        <w:rPr>
          <w:color w:val="231F20"/>
          <w:spacing w:val="-4"/>
        </w:rPr>
        <w:t>Kong</w:t>
      </w:r>
      <w:r>
        <w:rPr>
          <w:color w:val="231F20"/>
          <w:spacing w:val="-9"/>
        </w:rPr>
        <w:t> </w:t>
      </w:r>
      <w:r>
        <w:rPr>
          <w:color w:val="231F20"/>
          <w:spacing w:val="-4"/>
        </w:rPr>
        <w:t>SAR,</w:t>
      </w:r>
      <w:r>
        <w:rPr>
          <w:color w:val="231F20"/>
          <w:spacing w:val="-9"/>
        </w:rPr>
        <w:t> </w:t>
      </w:r>
      <w:r>
        <w:rPr>
          <w:color w:val="231F20"/>
          <w:spacing w:val="-4"/>
        </w:rPr>
        <w:t>China;</w:t>
      </w:r>
      <w:r>
        <w:rPr>
          <w:color w:val="231F20"/>
          <w:spacing w:val="-9"/>
        </w:rPr>
        <w:t> </w:t>
      </w:r>
      <w:r>
        <w:rPr>
          <w:color w:val="231F20"/>
          <w:spacing w:val="-4"/>
        </w:rPr>
        <w:t>the</w:t>
      </w:r>
      <w:r>
        <w:rPr>
          <w:color w:val="231F20"/>
          <w:spacing w:val="-9"/>
        </w:rPr>
        <w:t> </w:t>
      </w:r>
      <w:r>
        <w:rPr>
          <w:color w:val="231F20"/>
          <w:spacing w:val="-4"/>
        </w:rPr>
        <w:t>United </w:t>
      </w:r>
      <w:r>
        <w:rPr>
          <w:color w:val="231F20"/>
          <w:w w:val="90"/>
        </w:rPr>
        <w:t>Arab</w:t>
      </w:r>
      <w:r>
        <w:rPr>
          <w:color w:val="231F20"/>
          <w:spacing w:val="-13"/>
          <w:w w:val="90"/>
        </w:rPr>
        <w:t> </w:t>
      </w:r>
      <w:r>
        <w:rPr>
          <w:color w:val="231F20"/>
          <w:w w:val="90"/>
        </w:rPr>
        <w:t>Emirates;</w:t>
      </w:r>
      <w:r>
        <w:rPr>
          <w:color w:val="231F20"/>
          <w:spacing w:val="-13"/>
          <w:w w:val="90"/>
        </w:rPr>
        <w:t> </w:t>
      </w:r>
      <w:r>
        <w:rPr>
          <w:color w:val="231F20"/>
          <w:w w:val="90"/>
        </w:rPr>
        <w:t>and</w:t>
      </w:r>
      <w:r>
        <w:rPr>
          <w:color w:val="231F20"/>
          <w:spacing w:val="-13"/>
          <w:w w:val="90"/>
        </w:rPr>
        <w:t> </w:t>
      </w:r>
      <w:r>
        <w:rPr>
          <w:color w:val="231F20"/>
          <w:w w:val="90"/>
        </w:rPr>
        <w:t>Canada.</w:t>
      </w:r>
      <w:r>
        <w:rPr>
          <w:color w:val="231F20"/>
          <w:spacing w:val="-13"/>
          <w:w w:val="90"/>
        </w:rPr>
        <w:t> </w:t>
      </w:r>
      <w:r>
        <w:rPr>
          <w:color w:val="231F20"/>
          <w:w w:val="90"/>
        </w:rPr>
        <w:t>Most</w:t>
      </w:r>
      <w:r>
        <w:rPr>
          <w:color w:val="231F20"/>
          <w:spacing w:val="-13"/>
          <w:w w:val="90"/>
        </w:rPr>
        <w:t> </w:t>
      </w:r>
      <w:r>
        <w:rPr>
          <w:color w:val="231F20"/>
          <w:w w:val="90"/>
        </w:rPr>
        <w:t>of</w:t>
      </w:r>
      <w:r>
        <w:rPr>
          <w:color w:val="231F20"/>
          <w:spacing w:val="-13"/>
          <w:w w:val="90"/>
        </w:rPr>
        <w:t> </w:t>
      </w:r>
      <w:r>
        <w:rPr>
          <w:color w:val="231F20"/>
          <w:w w:val="90"/>
        </w:rPr>
        <w:t>these</w:t>
      </w:r>
      <w:r>
        <w:rPr>
          <w:color w:val="231F20"/>
          <w:spacing w:val="-13"/>
          <w:w w:val="90"/>
        </w:rPr>
        <w:t> </w:t>
      </w:r>
      <w:r>
        <w:rPr>
          <w:color w:val="231F20"/>
          <w:w w:val="90"/>
        </w:rPr>
        <w:t>econo- mies</w:t>
      </w:r>
      <w:r>
        <w:rPr>
          <w:color w:val="231F20"/>
          <w:spacing w:val="-8"/>
          <w:w w:val="90"/>
        </w:rPr>
        <w:t> </w:t>
      </w:r>
      <w:r>
        <w:rPr>
          <w:color w:val="231F20"/>
          <w:w w:val="90"/>
        </w:rPr>
        <w:t>have</w:t>
      </w:r>
      <w:r>
        <w:rPr>
          <w:color w:val="231F20"/>
          <w:spacing w:val="-8"/>
          <w:w w:val="90"/>
        </w:rPr>
        <w:t> </w:t>
      </w:r>
      <w:r>
        <w:rPr>
          <w:color w:val="231F20"/>
          <w:w w:val="90"/>
        </w:rPr>
        <w:t>for</w:t>
      </w:r>
      <w:r>
        <w:rPr>
          <w:color w:val="231F20"/>
          <w:spacing w:val="-7"/>
          <w:w w:val="90"/>
        </w:rPr>
        <w:t> </w:t>
      </w:r>
      <w:r>
        <w:rPr>
          <w:color w:val="231F20"/>
          <w:w w:val="90"/>
        </w:rPr>
        <w:t>years</w:t>
      </w:r>
      <w:r>
        <w:rPr>
          <w:color w:val="231F20"/>
          <w:spacing w:val="-8"/>
          <w:w w:val="90"/>
        </w:rPr>
        <w:t> </w:t>
      </w:r>
      <w:r>
        <w:rPr>
          <w:color w:val="231F20"/>
          <w:w w:val="90"/>
        </w:rPr>
        <w:t>been</w:t>
      </w:r>
      <w:r>
        <w:rPr>
          <w:color w:val="231F20"/>
          <w:spacing w:val="-8"/>
          <w:w w:val="90"/>
        </w:rPr>
        <w:t> </w:t>
      </w:r>
      <w:r>
        <w:rPr>
          <w:color w:val="231F20"/>
          <w:w w:val="90"/>
        </w:rPr>
        <w:t>dominant</w:t>
      </w:r>
      <w:r>
        <w:rPr>
          <w:color w:val="231F20"/>
          <w:spacing w:val="-8"/>
          <w:w w:val="90"/>
        </w:rPr>
        <w:t> </w:t>
      </w:r>
      <w:r>
        <w:rPr>
          <w:color w:val="231F20"/>
          <w:w w:val="90"/>
        </w:rPr>
        <w:t>players</w:t>
      </w:r>
      <w:r>
        <w:rPr>
          <w:color w:val="231F20"/>
          <w:spacing w:val="-7"/>
          <w:w w:val="90"/>
        </w:rPr>
        <w:t> </w:t>
      </w:r>
      <w:r>
        <w:rPr>
          <w:color w:val="231F20"/>
          <w:spacing w:val="-2"/>
          <w:w w:val="90"/>
        </w:rPr>
        <w:t>across</w:t>
      </w:r>
    </w:p>
    <w:p>
      <w:pPr>
        <w:pStyle w:val="BodyText"/>
        <w:spacing w:line="234" w:lineRule="exact"/>
        <w:ind w:left="3360"/>
      </w:pPr>
      <w:r>
        <w:rPr>
          <w:color w:val="231F20"/>
          <w:spacing w:val="-8"/>
        </w:rPr>
        <w:t>international supply chain networks.</w:t>
      </w:r>
    </w:p>
    <w:p>
      <w:pPr>
        <w:pStyle w:val="BodyText"/>
        <w:spacing w:line="268" w:lineRule="auto" w:before="29"/>
        <w:ind w:left="3360" w:firstLine="300"/>
      </w:pPr>
      <w:r>
        <w:rPr>
          <w:color w:val="231F20"/>
          <w:spacing w:val="-4"/>
        </w:rPr>
        <w:t>The</w:t>
      </w:r>
      <w:r>
        <w:rPr>
          <w:color w:val="231F20"/>
          <w:spacing w:val="-10"/>
        </w:rPr>
        <w:t> </w:t>
      </w:r>
      <w:r>
        <w:rPr>
          <w:color w:val="231F20"/>
          <w:spacing w:val="-4"/>
        </w:rPr>
        <w:t>bottom</w:t>
      </w:r>
      <w:r>
        <w:rPr>
          <w:color w:val="231F20"/>
          <w:spacing w:val="-9"/>
        </w:rPr>
        <w:t> </w:t>
      </w:r>
      <w:r>
        <w:rPr>
          <w:color w:val="231F20"/>
          <w:spacing w:val="-4"/>
        </w:rPr>
        <w:t>10</w:t>
      </w:r>
      <w:r>
        <w:rPr>
          <w:color w:val="231F20"/>
          <w:spacing w:val="-9"/>
        </w:rPr>
        <w:t> </w:t>
      </w:r>
      <w:r>
        <w:rPr>
          <w:color w:val="231F20"/>
          <w:spacing w:val="-4"/>
        </w:rPr>
        <w:t>scorers</w:t>
      </w:r>
      <w:r>
        <w:rPr>
          <w:color w:val="231F20"/>
          <w:spacing w:val="-9"/>
        </w:rPr>
        <w:t> </w:t>
      </w:r>
      <w:r>
        <w:rPr>
          <w:color w:val="231F20"/>
          <w:spacing w:val="-4"/>
        </w:rPr>
        <w:t>are</w:t>
      </w:r>
      <w:r>
        <w:rPr>
          <w:color w:val="231F20"/>
          <w:spacing w:val="-9"/>
        </w:rPr>
        <w:t> </w:t>
      </w:r>
      <w:r>
        <w:rPr>
          <w:color w:val="231F20"/>
          <w:spacing w:val="-4"/>
        </w:rPr>
        <w:t>mostly</w:t>
      </w:r>
      <w:r>
        <w:rPr>
          <w:color w:val="231F20"/>
          <w:spacing w:val="-9"/>
        </w:rPr>
        <w:t> </w:t>
      </w:r>
      <w:r>
        <w:rPr>
          <w:color w:val="231F20"/>
          <w:spacing w:val="-4"/>
        </w:rPr>
        <w:t>low-</w:t>
      </w:r>
      <w:r>
        <w:rPr>
          <w:color w:val="231F20"/>
          <w:spacing w:val="-9"/>
        </w:rPr>
        <w:t> </w:t>
      </w:r>
      <w:r>
        <w:rPr>
          <w:color w:val="231F20"/>
          <w:spacing w:val="-4"/>
        </w:rPr>
        <w:t>and </w:t>
      </w:r>
      <w:r>
        <w:rPr>
          <w:color w:val="231F20"/>
          <w:spacing w:val="-8"/>
        </w:rPr>
        <w:t>lower-middle-income</w:t>
      </w:r>
      <w:r>
        <w:rPr>
          <w:color w:val="231F20"/>
          <w:spacing w:val="6"/>
        </w:rPr>
        <w:t> </w:t>
      </w:r>
      <w:r>
        <w:rPr>
          <w:color w:val="231F20"/>
          <w:spacing w:val="-8"/>
        </w:rPr>
        <w:t>countries</w:t>
      </w:r>
      <w:r>
        <w:rPr>
          <w:color w:val="231F20"/>
          <w:spacing w:val="7"/>
        </w:rPr>
        <w:t> </w:t>
      </w:r>
      <w:r>
        <w:rPr>
          <w:color w:val="231F20"/>
          <w:spacing w:val="-8"/>
        </w:rPr>
        <w:t>and</w:t>
      </w:r>
      <w:r>
        <w:rPr>
          <w:color w:val="231F20"/>
          <w:spacing w:val="6"/>
        </w:rPr>
        <w:t> </w:t>
      </w:r>
      <w:r>
        <w:rPr>
          <w:color w:val="231F20"/>
          <w:spacing w:val="-8"/>
        </w:rPr>
        <w:t>are</w:t>
      </w:r>
      <w:r>
        <w:rPr>
          <w:color w:val="231F20"/>
          <w:spacing w:val="7"/>
        </w:rPr>
        <w:t> </w:t>
      </w:r>
      <w:r>
        <w:rPr>
          <w:color w:val="231F20"/>
          <w:spacing w:val="-8"/>
        </w:rPr>
        <w:t>located</w:t>
      </w:r>
    </w:p>
    <w:p>
      <w:pPr>
        <w:pStyle w:val="BodyText"/>
        <w:spacing w:line="268" w:lineRule="auto" w:before="97"/>
        <w:ind w:left="199" w:right="657"/>
        <w:jc w:val="both"/>
      </w:pPr>
      <w:r>
        <w:rPr/>
        <w:br w:type="column"/>
      </w:r>
      <w:r>
        <w:rPr>
          <w:color w:val="231F20"/>
        </w:rPr>
        <w:t>on</w:t>
      </w:r>
      <w:r>
        <w:rPr>
          <w:color w:val="231F20"/>
          <w:spacing w:val="-12"/>
        </w:rPr>
        <w:t> </w:t>
      </w:r>
      <w:r>
        <w:rPr>
          <w:color w:val="231F20"/>
        </w:rPr>
        <w:t>several</w:t>
      </w:r>
      <w:r>
        <w:rPr>
          <w:color w:val="231F20"/>
          <w:spacing w:val="-12"/>
        </w:rPr>
        <w:t> </w:t>
      </w:r>
      <w:r>
        <w:rPr>
          <w:color w:val="231F20"/>
        </w:rPr>
        <w:t>continents.</w:t>
      </w:r>
      <w:r>
        <w:rPr>
          <w:color w:val="231F20"/>
          <w:spacing w:val="-12"/>
        </w:rPr>
        <w:t> </w:t>
      </w:r>
      <w:r>
        <w:rPr>
          <w:color w:val="231F20"/>
        </w:rPr>
        <w:t>They</w:t>
      </w:r>
      <w:r>
        <w:rPr>
          <w:color w:val="231F20"/>
          <w:spacing w:val="-12"/>
        </w:rPr>
        <w:t> </w:t>
      </w:r>
      <w:r>
        <w:rPr>
          <w:color w:val="231F20"/>
        </w:rPr>
        <w:t>are</w:t>
      </w:r>
      <w:r>
        <w:rPr>
          <w:color w:val="231F20"/>
          <w:spacing w:val="-12"/>
        </w:rPr>
        <w:t> </w:t>
      </w:r>
      <w:r>
        <w:rPr>
          <w:color w:val="231F20"/>
        </w:rPr>
        <w:t>either</w:t>
      </w:r>
      <w:r>
        <w:rPr>
          <w:color w:val="231F20"/>
          <w:spacing w:val="-12"/>
        </w:rPr>
        <w:t> </w:t>
      </w:r>
      <w:r>
        <w:rPr>
          <w:color w:val="231F20"/>
        </w:rPr>
        <w:t>fragile </w:t>
      </w:r>
      <w:r>
        <w:rPr>
          <w:color w:val="231F20"/>
          <w:spacing w:val="-2"/>
        </w:rPr>
        <w:t>economies</w:t>
      </w:r>
      <w:r>
        <w:rPr>
          <w:color w:val="231F20"/>
          <w:spacing w:val="-12"/>
        </w:rPr>
        <w:t> </w:t>
      </w:r>
      <w:r>
        <w:rPr>
          <w:color w:val="231F20"/>
          <w:spacing w:val="-2"/>
        </w:rPr>
        <w:t>affected</w:t>
      </w:r>
      <w:r>
        <w:rPr>
          <w:color w:val="231F20"/>
          <w:spacing w:val="-11"/>
        </w:rPr>
        <w:t> </w:t>
      </w:r>
      <w:r>
        <w:rPr>
          <w:color w:val="231F20"/>
          <w:spacing w:val="-2"/>
        </w:rPr>
        <w:t>by</w:t>
      </w:r>
      <w:r>
        <w:rPr>
          <w:color w:val="231F20"/>
          <w:spacing w:val="-11"/>
        </w:rPr>
        <w:t> </w:t>
      </w:r>
      <w:r>
        <w:rPr>
          <w:color w:val="231F20"/>
          <w:spacing w:val="-2"/>
        </w:rPr>
        <w:t>armed</w:t>
      </w:r>
      <w:r>
        <w:rPr>
          <w:color w:val="231F20"/>
          <w:spacing w:val="-11"/>
        </w:rPr>
        <w:t> </w:t>
      </w:r>
      <w:r>
        <w:rPr>
          <w:color w:val="231F20"/>
          <w:spacing w:val="-2"/>
        </w:rPr>
        <w:t>conflict,</w:t>
      </w:r>
      <w:r>
        <w:rPr>
          <w:color w:val="231F20"/>
          <w:spacing w:val="-11"/>
        </w:rPr>
        <w:t> </w:t>
      </w:r>
      <w:r>
        <w:rPr>
          <w:color w:val="231F20"/>
          <w:spacing w:val="-2"/>
        </w:rPr>
        <w:t>natural </w:t>
      </w:r>
      <w:r>
        <w:rPr>
          <w:color w:val="231F20"/>
          <w:w w:val="90"/>
        </w:rPr>
        <w:t>disasters, or political unrest or landlocked coun- </w:t>
      </w:r>
      <w:r>
        <w:rPr>
          <w:color w:val="231F20"/>
          <w:spacing w:val="-6"/>
        </w:rPr>
        <w:t>tries challenged by geography or economies of </w:t>
      </w:r>
      <w:r>
        <w:rPr>
          <w:color w:val="231F20"/>
          <w:w w:val="90"/>
        </w:rPr>
        <w:t>scale in connecting to global supply chains. Af- ghanistan and Libya have the lowest score (1.9), </w:t>
      </w:r>
      <w:r>
        <w:rPr>
          <w:color w:val="231F20"/>
          <w:spacing w:val="-6"/>
        </w:rPr>
        <w:t>followed</w:t>
      </w:r>
      <w:r>
        <w:rPr>
          <w:color w:val="231F20"/>
          <w:spacing w:val="-8"/>
        </w:rPr>
        <w:t> </w:t>
      </w:r>
      <w:r>
        <w:rPr>
          <w:color w:val="231F20"/>
          <w:spacing w:val="-6"/>
        </w:rPr>
        <w:t>by</w:t>
      </w:r>
      <w:r>
        <w:rPr>
          <w:color w:val="231F20"/>
          <w:spacing w:val="-7"/>
        </w:rPr>
        <w:t> </w:t>
      </w:r>
      <w:r>
        <w:rPr>
          <w:color w:val="231F20"/>
          <w:spacing w:val="-6"/>
        </w:rPr>
        <w:t>Somalia</w:t>
      </w:r>
      <w:r>
        <w:rPr>
          <w:color w:val="231F20"/>
          <w:spacing w:val="-7"/>
        </w:rPr>
        <w:t> </w:t>
      </w:r>
      <w:r>
        <w:rPr>
          <w:color w:val="231F20"/>
          <w:spacing w:val="-6"/>
        </w:rPr>
        <w:t>(2.0),</w:t>
      </w:r>
      <w:r>
        <w:rPr>
          <w:color w:val="231F20"/>
          <w:spacing w:val="-7"/>
        </w:rPr>
        <w:t> </w:t>
      </w:r>
      <w:r>
        <w:rPr>
          <w:color w:val="231F20"/>
          <w:spacing w:val="-6"/>
        </w:rPr>
        <w:t>Angola,</w:t>
      </w:r>
      <w:r>
        <w:rPr>
          <w:color w:val="231F20"/>
          <w:spacing w:val="-7"/>
        </w:rPr>
        <w:t> </w:t>
      </w:r>
      <w:r>
        <w:rPr>
          <w:color w:val="231F20"/>
          <w:spacing w:val="-6"/>
        </w:rPr>
        <w:t>Cameroon, </w:t>
      </w:r>
      <w:r>
        <w:rPr>
          <w:color w:val="231F20"/>
        </w:rPr>
        <w:t>and Haiti (2.1).</w:t>
      </w:r>
    </w:p>
    <w:p>
      <w:pPr>
        <w:pStyle w:val="BodyText"/>
        <w:spacing w:line="268" w:lineRule="auto"/>
        <w:ind w:left="199" w:right="657" w:firstLine="300"/>
        <w:jc w:val="both"/>
      </w:pPr>
      <w:r>
        <w:rPr>
          <w:color w:val="231F20"/>
          <w:spacing w:val="-4"/>
        </w:rPr>
        <w:t>The</w:t>
      </w:r>
      <w:r>
        <w:rPr>
          <w:color w:val="231F20"/>
          <w:spacing w:val="-10"/>
        </w:rPr>
        <w:t> </w:t>
      </w:r>
      <w:r>
        <w:rPr>
          <w:color w:val="231F20"/>
          <w:spacing w:val="-4"/>
        </w:rPr>
        <w:t>most</w:t>
      </w:r>
      <w:r>
        <w:rPr>
          <w:color w:val="231F20"/>
          <w:spacing w:val="-9"/>
        </w:rPr>
        <w:t> </w:t>
      </w:r>
      <w:r>
        <w:rPr>
          <w:color w:val="231F20"/>
          <w:spacing w:val="-4"/>
        </w:rPr>
        <w:t>frequent</w:t>
      </w:r>
      <w:r>
        <w:rPr>
          <w:color w:val="231F20"/>
          <w:spacing w:val="-9"/>
        </w:rPr>
        <w:t> </w:t>
      </w:r>
      <w:r>
        <w:rPr>
          <w:color w:val="231F20"/>
          <w:spacing w:val="-4"/>
        </w:rPr>
        <w:t>LPI</w:t>
      </w:r>
      <w:r>
        <w:rPr>
          <w:color w:val="231F20"/>
          <w:spacing w:val="-9"/>
        </w:rPr>
        <w:t> </w:t>
      </w:r>
      <w:r>
        <w:rPr>
          <w:color w:val="231F20"/>
          <w:spacing w:val="-4"/>
        </w:rPr>
        <w:t>score</w:t>
      </w:r>
      <w:r>
        <w:rPr>
          <w:color w:val="231F20"/>
          <w:spacing w:val="-9"/>
        </w:rPr>
        <w:t> </w:t>
      </w:r>
      <w:r>
        <w:rPr>
          <w:color w:val="231F20"/>
          <w:spacing w:val="-4"/>
        </w:rPr>
        <w:t>has</w:t>
      </w:r>
      <w:r>
        <w:rPr>
          <w:color w:val="231F20"/>
          <w:spacing w:val="-9"/>
        </w:rPr>
        <w:t> </w:t>
      </w:r>
      <w:r>
        <w:rPr>
          <w:color w:val="231F20"/>
          <w:spacing w:val="-4"/>
        </w:rPr>
        <w:t>increased </w:t>
      </w:r>
      <w:r>
        <w:rPr>
          <w:color w:val="231F20"/>
        </w:rPr>
        <w:t>over</w:t>
      </w:r>
      <w:r>
        <w:rPr>
          <w:color w:val="231F20"/>
          <w:spacing w:val="-2"/>
        </w:rPr>
        <w:t> </w:t>
      </w:r>
      <w:r>
        <w:rPr>
          <w:color w:val="231F20"/>
        </w:rPr>
        <w:t>the</w:t>
      </w:r>
      <w:r>
        <w:rPr>
          <w:color w:val="231F20"/>
          <w:spacing w:val="-2"/>
        </w:rPr>
        <w:t> </w:t>
      </w:r>
      <w:r>
        <w:rPr>
          <w:color w:val="231F20"/>
        </w:rPr>
        <w:t>past</w:t>
      </w:r>
      <w:r>
        <w:rPr>
          <w:color w:val="231F20"/>
          <w:spacing w:val="-2"/>
        </w:rPr>
        <w:t> </w:t>
      </w:r>
      <w:r>
        <w:rPr>
          <w:color w:val="231F20"/>
        </w:rPr>
        <w:t>decade,</w:t>
      </w:r>
      <w:r>
        <w:rPr>
          <w:color w:val="231F20"/>
          <w:spacing w:val="-2"/>
        </w:rPr>
        <w:t> </w:t>
      </w:r>
      <w:r>
        <w:rPr>
          <w:color w:val="231F20"/>
        </w:rPr>
        <w:t>implying</w:t>
      </w:r>
      <w:r>
        <w:rPr>
          <w:color w:val="231F20"/>
          <w:spacing w:val="-2"/>
        </w:rPr>
        <w:t> </w:t>
      </w:r>
      <w:r>
        <w:rPr>
          <w:color w:val="231F20"/>
        </w:rPr>
        <w:t>that</w:t>
      </w:r>
      <w:r>
        <w:rPr>
          <w:color w:val="231F20"/>
          <w:spacing w:val="-2"/>
        </w:rPr>
        <w:t> </w:t>
      </w:r>
      <w:r>
        <w:rPr>
          <w:color w:val="231F20"/>
        </w:rPr>
        <w:t>logistics </w:t>
      </w:r>
      <w:r>
        <w:rPr>
          <w:color w:val="231F20"/>
          <w:spacing w:val="-2"/>
        </w:rPr>
        <w:t>performance</w:t>
      </w:r>
      <w:r>
        <w:rPr>
          <w:color w:val="231F20"/>
          <w:spacing w:val="-6"/>
        </w:rPr>
        <w:t> </w:t>
      </w:r>
      <w:r>
        <w:rPr>
          <w:color w:val="231F20"/>
          <w:spacing w:val="-2"/>
        </w:rPr>
        <w:t>overall</w:t>
      </w:r>
      <w:r>
        <w:rPr>
          <w:color w:val="231F20"/>
          <w:spacing w:val="-6"/>
        </w:rPr>
        <w:t> </w:t>
      </w:r>
      <w:r>
        <w:rPr>
          <w:color w:val="231F20"/>
          <w:spacing w:val="-2"/>
        </w:rPr>
        <w:t>has</w:t>
      </w:r>
      <w:r>
        <w:rPr>
          <w:color w:val="231F20"/>
          <w:spacing w:val="-6"/>
        </w:rPr>
        <w:t> </w:t>
      </w:r>
      <w:r>
        <w:rPr>
          <w:color w:val="231F20"/>
          <w:spacing w:val="-2"/>
        </w:rPr>
        <w:t>improved</w:t>
      </w:r>
      <w:r>
        <w:rPr>
          <w:color w:val="231F20"/>
          <w:spacing w:val="-6"/>
        </w:rPr>
        <w:t> </w:t>
      </w:r>
      <w:r>
        <w:rPr>
          <w:color w:val="231F20"/>
          <w:spacing w:val="-2"/>
        </w:rPr>
        <w:t>(figure</w:t>
      </w:r>
      <w:r>
        <w:rPr>
          <w:color w:val="231F20"/>
          <w:spacing w:val="-6"/>
        </w:rPr>
        <w:t> </w:t>
      </w:r>
      <w:r>
        <w:rPr>
          <w:color w:val="231F20"/>
          <w:spacing w:val="-2"/>
        </w:rPr>
        <w:t>1). </w:t>
      </w:r>
      <w:r>
        <w:rPr>
          <w:color w:val="231F20"/>
          <w:spacing w:val="-4"/>
        </w:rPr>
        <w:t>Between</w:t>
      </w:r>
      <w:r>
        <w:rPr>
          <w:color w:val="231F20"/>
          <w:spacing w:val="-5"/>
        </w:rPr>
        <w:t> </w:t>
      </w:r>
      <w:r>
        <w:rPr>
          <w:color w:val="231F20"/>
          <w:spacing w:val="-4"/>
        </w:rPr>
        <w:t>2018</w:t>
      </w:r>
      <w:r>
        <w:rPr>
          <w:color w:val="231F20"/>
          <w:spacing w:val="-5"/>
        </w:rPr>
        <w:t> </w:t>
      </w:r>
      <w:r>
        <w:rPr>
          <w:color w:val="231F20"/>
          <w:spacing w:val="-4"/>
        </w:rPr>
        <w:t>and</w:t>
      </w:r>
      <w:r>
        <w:rPr>
          <w:color w:val="231F20"/>
          <w:spacing w:val="-5"/>
        </w:rPr>
        <w:t> </w:t>
      </w:r>
      <w:r>
        <w:rPr>
          <w:color w:val="231F20"/>
          <w:spacing w:val="-4"/>
        </w:rPr>
        <w:t>2023,</w:t>
      </w:r>
      <w:r>
        <w:rPr>
          <w:color w:val="231F20"/>
          <w:spacing w:val="-5"/>
        </w:rPr>
        <w:t> </w:t>
      </w:r>
      <w:r>
        <w:rPr>
          <w:color w:val="231F20"/>
          <w:spacing w:val="-4"/>
        </w:rPr>
        <w:t>a</w:t>
      </w:r>
      <w:r>
        <w:rPr>
          <w:color w:val="231F20"/>
          <w:spacing w:val="-5"/>
        </w:rPr>
        <w:t> </w:t>
      </w:r>
      <w:r>
        <w:rPr>
          <w:color w:val="231F20"/>
          <w:spacing w:val="-4"/>
        </w:rPr>
        <w:t>secondary,</w:t>
      </w:r>
      <w:r>
        <w:rPr>
          <w:color w:val="231F20"/>
          <w:spacing w:val="-5"/>
        </w:rPr>
        <w:t> </w:t>
      </w:r>
      <w:r>
        <w:rPr>
          <w:color w:val="231F20"/>
          <w:spacing w:val="-4"/>
        </w:rPr>
        <w:t>smaller </w:t>
      </w:r>
      <w:r>
        <w:rPr>
          <w:color w:val="231F20"/>
          <w:spacing w:val="-2"/>
        </w:rPr>
        <w:t>peak</w:t>
      </w:r>
      <w:r>
        <w:rPr>
          <w:color w:val="231F20"/>
          <w:spacing w:val="-10"/>
        </w:rPr>
        <w:t> </w:t>
      </w:r>
      <w:r>
        <w:rPr>
          <w:color w:val="231F20"/>
          <w:spacing w:val="-2"/>
        </w:rPr>
        <w:t>emerged</w:t>
      </w:r>
      <w:r>
        <w:rPr>
          <w:color w:val="231F20"/>
          <w:spacing w:val="-10"/>
        </w:rPr>
        <w:t> </w:t>
      </w:r>
      <w:r>
        <w:rPr>
          <w:color w:val="231F20"/>
          <w:spacing w:val="-2"/>
        </w:rPr>
        <w:t>around</w:t>
      </w:r>
      <w:r>
        <w:rPr>
          <w:color w:val="231F20"/>
          <w:spacing w:val="-10"/>
        </w:rPr>
        <w:t> </w:t>
      </w:r>
      <w:r>
        <w:rPr>
          <w:color w:val="231F20"/>
          <w:spacing w:val="-2"/>
        </w:rPr>
        <w:t>a</w:t>
      </w:r>
      <w:r>
        <w:rPr>
          <w:color w:val="231F20"/>
          <w:spacing w:val="-10"/>
        </w:rPr>
        <w:t> </w:t>
      </w:r>
      <w:r>
        <w:rPr>
          <w:color w:val="231F20"/>
          <w:spacing w:val="-2"/>
        </w:rPr>
        <w:t>score</w:t>
      </w:r>
      <w:r>
        <w:rPr>
          <w:color w:val="231F20"/>
          <w:spacing w:val="-10"/>
        </w:rPr>
        <w:t> </w:t>
      </w:r>
      <w:r>
        <w:rPr>
          <w:color w:val="231F20"/>
          <w:spacing w:val="-2"/>
        </w:rPr>
        <w:t>of</w:t>
      </w:r>
      <w:r>
        <w:rPr>
          <w:color w:val="231F20"/>
          <w:spacing w:val="-10"/>
        </w:rPr>
        <w:t> </w:t>
      </w:r>
      <w:r>
        <w:rPr>
          <w:color w:val="231F20"/>
          <w:spacing w:val="-2"/>
        </w:rPr>
        <w:t>3.5,</w:t>
      </w:r>
      <w:r>
        <w:rPr>
          <w:color w:val="231F20"/>
          <w:spacing w:val="-10"/>
        </w:rPr>
        <w:t> </w:t>
      </w:r>
      <w:r>
        <w:rPr>
          <w:color w:val="231F20"/>
          <w:spacing w:val="-2"/>
        </w:rPr>
        <w:t>meaning </w:t>
      </w:r>
      <w:r>
        <w:rPr>
          <w:color w:val="231F20"/>
          <w:spacing w:val="-4"/>
        </w:rPr>
        <w:t>that</w:t>
      </w:r>
      <w:r>
        <w:rPr>
          <w:color w:val="231F20"/>
          <w:spacing w:val="-7"/>
        </w:rPr>
        <w:t> </w:t>
      </w:r>
      <w:r>
        <w:rPr>
          <w:color w:val="231F20"/>
          <w:spacing w:val="-4"/>
        </w:rPr>
        <w:t>more</w:t>
      </w:r>
      <w:r>
        <w:rPr>
          <w:color w:val="231F20"/>
          <w:spacing w:val="-7"/>
        </w:rPr>
        <w:t> </w:t>
      </w:r>
      <w:r>
        <w:rPr>
          <w:color w:val="231F20"/>
          <w:spacing w:val="-4"/>
        </w:rPr>
        <w:t>countries</w:t>
      </w:r>
      <w:r>
        <w:rPr>
          <w:color w:val="231F20"/>
          <w:spacing w:val="-7"/>
        </w:rPr>
        <w:t> </w:t>
      </w:r>
      <w:r>
        <w:rPr>
          <w:color w:val="231F20"/>
          <w:spacing w:val="-4"/>
        </w:rPr>
        <w:t>have</w:t>
      </w:r>
      <w:r>
        <w:rPr>
          <w:color w:val="231F20"/>
          <w:spacing w:val="-7"/>
        </w:rPr>
        <w:t> </w:t>
      </w:r>
      <w:r>
        <w:rPr>
          <w:color w:val="231F20"/>
          <w:spacing w:val="-4"/>
        </w:rPr>
        <w:t>relatively</w:t>
      </w:r>
      <w:r>
        <w:rPr>
          <w:color w:val="231F20"/>
          <w:spacing w:val="-7"/>
        </w:rPr>
        <w:t> </w:t>
      </w:r>
      <w:r>
        <w:rPr>
          <w:color w:val="231F20"/>
          <w:spacing w:val="-4"/>
        </w:rPr>
        <w:t>strong</w:t>
      </w:r>
      <w:r>
        <w:rPr>
          <w:color w:val="231F20"/>
          <w:spacing w:val="-7"/>
        </w:rPr>
        <w:t> </w:t>
      </w:r>
      <w:r>
        <w:rPr>
          <w:color w:val="231F20"/>
          <w:spacing w:val="-4"/>
        </w:rPr>
        <w:t>per- </w:t>
      </w:r>
      <w:r>
        <w:rPr>
          <w:color w:val="231F20"/>
          <w:spacing w:val="-2"/>
        </w:rPr>
        <w:t>formance.</w:t>
      </w:r>
      <w:r>
        <w:rPr>
          <w:color w:val="231F20"/>
          <w:spacing w:val="-7"/>
        </w:rPr>
        <w:t> </w:t>
      </w:r>
      <w:r>
        <w:rPr>
          <w:color w:val="231F20"/>
          <w:spacing w:val="-2"/>
        </w:rPr>
        <w:t>In</w:t>
      </w:r>
      <w:r>
        <w:rPr>
          <w:color w:val="231F20"/>
          <w:spacing w:val="-7"/>
        </w:rPr>
        <w:t> </w:t>
      </w:r>
      <w:r>
        <w:rPr>
          <w:color w:val="231F20"/>
          <w:spacing w:val="-2"/>
        </w:rPr>
        <w:t>addition,</w:t>
      </w:r>
      <w:r>
        <w:rPr>
          <w:color w:val="231F20"/>
          <w:spacing w:val="-7"/>
        </w:rPr>
        <w:t> </w:t>
      </w:r>
      <w:r>
        <w:rPr>
          <w:color w:val="231F20"/>
          <w:spacing w:val="-2"/>
        </w:rPr>
        <w:t>the</w:t>
      </w:r>
      <w:r>
        <w:rPr>
          <w:color w:val="231F20"/>
          <w:spacing w:val="-7"/>
        </w:rPr>
        <w:t> </w:t>
      </w:r>
      <w:r>
        <w:rPr>
          <w:color w:val="231F20"/>
          <w:spacing w:val="-2"/>
        </w:rPr>
        <w:t>lowest</w:t>
      </w:r>
      <w:r>
        <w:rPr>
          <w:color w:val="231F20"/>
          <w:spacing w:val="-7"/>
        </w:rPr>
        <w:t> </w:t>
      </w:r>
      <w:r>
        <w:rPr>
          <w:color w:val="231F20"/>
          <w:spacing w:val="-2"/>
        </w:rPr>
        <w:t>scores</w:t>
      </w:r>
      <w:r>
        <w:rPr>
          <w:color w:val="231F20"/>
          <w:spacing w:val="-7"/>
        </w:rPr>
        <w:t> </w:t>
      </w:r>
      <w:r>
        <w:rPr>
          <w:color w:val="231F20"/>
          <w:spacing w:val="-2"/>
        </w:rPr>
        <w:t>have </w:t>
      </w:r>
      <w:r>
        <w:rPr>
          <w:color w:val="231F20"/>
          <w:w w:val="90"/>
        </w:rPr>
        <w:t>tended to increase, particularly in the 2023 LPI, </w:t>
      </w:r>
      <w:r>
        <w:rPr>
          <w:color w:val="231F20"/>
          <w:spacing w:val="-2"/>
        </w:rPr>
        <w:t>but</w:t>
      </w:r>
      <w:r>
        <w:rPr>
          <w:color w:val="231F20"/>
          <w:spacing w:val="-10"/>
        </w:rPr>
        <w:t> </w:t>
      </w:r>
      <w:r>
        <w:rPr>
          <w:color w:val="231F20"/>
          <w:spacing w:val="-2"/>
        </w:rPr>
        <w:t>this</w:t>
      </w:r>
      <w:r>
        <w:rPr>
          <w:color w:val="231F20"/>
          <w:spacing w:val="-10"/>
        </w:rPr>
        <w:t> </w:t>
      </w:r>
      <w:r>
        <w:rPr>
          <w:color w:val="231F20"/>
          <w:spacing w:val="-2"/>
        </w:rPr>
        <w:t>is</w:t>
      </w:r>
      <w:r>
        <w:rPr>
          <w:color w:val="231F20"/>
          <w:spacing w:val="-10"/>
        </w:rPr>
        <w:t> </w:t>
      </w:r>
      <w:r>
        <w:rPr>
          <w:color w:val="231F20"/>
          <w:spacing w:val="-2"/>
        </w:rPr>
        <w:t>due</w:t>
      </w:r>
      <w:r>
        <w:rPr>
          <w:color w:val="231F20"/>
          <w:spacing w:val="-10"/>
        </w:rPr>
        <w:t> </w:t>
      </w:r>
      <w:r>
        <w:rPr>
          <w:color w:val="231F20"/>
          <w:spacing w:val="-2"/>
        </w:rPr>
        <w:t>partly</w:t>
      </w:r>
      <w:r>
        <w:rPr>
          <w:color w:val="231F20"/>
          <w:spacing w:val="-10"/>
        </w:rPr>
        <w:t> </w:t>
      </w:r>
      <w:r>
        <w:rPr>
          <w:color w:val="231F20"/>
          <w:spacing w:val="-2"/>
        </w:rPr>
        <w:t>to</w:t>
      </w:r>
      <w:r>
        <w:rPr>
          <w:color w:val="231F20"/>
          <w:spacing w:val="-10"/>
        </w:rPr>
        <w:t> </w:t>
      </w:r>
      <w:r>
        <w:rPr>
          <w:color w:val="231F20"/>
          <w:spacing w:val="-2"/>
        </w:rPr>
        <w:t>a</w:t>
      </w:r>
      <w:r>
        <w:rPr>
          <w:color w:val="231F20"/>
          <w:spacing w:val="-10"/>
        </w:rPr>
        <w:t> </w:t>
      </w:r>
      <w:r>
        <w:rPr>
          <w:color w:val="231F20"/>
          <w:spacing w:val="-2"/>
        </w:rPr>
        <w:t>sample</w:t>
      </w:r>
      <w:r>
        <w:rPr>
          <w:color w:val="231F20"/>
          <w:spacing w:val="-10"/>
        </w:rPr>
        <w:t> </w:t>
      </w:r>
      <w:r>
        <w:rPr>
          <w:color w:val="231F20"/>
          <w:spacing w:val="-2"/>
        </w:rPr>
        <w:t>of</w:t>
      </w:r>
      <w:r>
        <w:rPr>
          <w:color w:val="231F20"/>
          <w:spacing w:val="-10"/>
        </w:rPr>
        <w:t> </w:t>
      </w:r>
      <w:r>
        <w:rPr>
          <w:color w:val="231F20"/>
          <w:spacing w:val="-2"/>
        </w:rPr>
        <w:t>139</w:t>
      </w:r>
      <w:r>
        <w:rPr>
          <w:color w:val="231F20"/>
          <w:spacing w:val="-10"/>
        </w:rPr>
        <w:t> </w:t>
      </w:r>
      <w:r>
        <w:rPr>
          <w:color w:val="231F20"/>
          <w:spacing w:val="-2"/>
        </w:rPr>
        <w:t>coun- </w:t>
      </w:r>
      <w:r>
        <w:rPr>
          <w:color w:val="231F20"/>
          <w:w w:val="90"/>
        </w:rPr>
        <w:t>tries compared with 160 in 2018. The 2018 sam- </w:t>
      </w:r>
      <w:r>
        <w:rPr>
          <w:color w:val="231F20"/>
          <w:spacing w:val="-6"/>
        </w:rPr>
        <w:t>ple</w:t>
      </w:r>
      <w:r>
        <w:rPr>
          <w:color w:val="231F20"/>
          <w:spacing w:val="-4"/>
        </w:rPr>
        <w:t> </w:t>
      </w:r>
      <w:r>
        <w:rPr>
          <w:color w:val="231F20"/>
          <w:spacing w:val="-6"/>
        </w:rPr>
        <w:t>included</w:t>
      </w:r>
      <w:r>
        <w:rPr>
          <w:color w:val="231F20"/>
          <w:spacing w:val="-4"/>
        </w:rPr>
        <w:t> </w:t>
      </w:r>
      <w:r>
        <w:rPr>
          <w:color w:val="231F20"/>
          <w:spacing w:val="-6"/>
        </w:rPr>
        <w:t>20</w:t>
      </w:r>
      <w:r>
        <w:rPr>
          <w:color w:val="231F20"/>
          <w:spacing w:val="-4"/>
        </w:rPr>
        <w:t> </w:t>
      </w:r>
      <w:r>
        <w:rPr>
          <w:color w:val="231F20"/>
          <w:spacing w:val="-6"/>
        </w:rPr>
        <w:t>countries</w:t>
      </w:r>
      <w:r>
        <w:rPr>
          <w:color w:val="231F20"/>
          <w:spacing w:val="-4"/>
        </w:rPr>
        <w:t> </w:t>
      </w:r>
      <w:r>
        <w:rPr>
          <w:color w:val="231F20"/>
          <w:spacing w:val="-6"/>
        </w:rPr>
        <w:t>with</w:t>
      </w:r>
      <w:r>
        <w:rPr>
          <w:color w:val="231F20"/>
          <w:spacing w:val="-4"/>
        </w:rPr>
        <w:t> </w:t>
      </w:r>
      <w:r>
        <w:rPr>
          <w:color w:val="231F20"/>
          <w:spacing w:val="-6"/>
        </w:rPr>
        <w:t>a</w:t>
      </w:r>
      <w:r>
        <w:rPr>
          <w:color w:val="231F20"/>
          <w:spacing w:val="-4"/>
        </w:rPr>
        <w:t> </w:t>
      </w:r>
      <w:r>
        <w:rPr>
          <w:color w:val="231F20"/>
          <w:spacing w:val="-6"/>
        </w:rPr>
        <w:t>score</w:t>
      </w:r>
      <w:r>
        <w:rPr>
          <w:color w:val="231F20"/>
          <w:spacing w:val="-4"/>
        </w:rPr>
        <w:t> </w:t>
      </w:r>
      <w:r>
        <w:rPr>
          <w:color w:val="231F20"/>
          <w:spacing w:val="-6"/>
        </w:rPr>
        <w:t>of</w:t>
      </w:r>
      <w:r>
        <w:rPr>
          <w:color w:val="231F20"/>
          <w:spacing w:val="-4"/>
        </w:rPr>
        <w:t> </w:t>
      </w:r>
      <w:r>
        <w:rPr>
          <w:color w:val="231F20"/>
          <w:spacing w:val="-6"/>
        </w:rPr>
        <w:t>2.6</w:t>
      </w:r>
      <w:r>
        <w:rPr>
          <w:color w:val="231F20"/>
          <w:spacing w:val="-4"/>
        </w:rPr>
        <w:t> </w:t>
      </w:r>
      <w:r>
        <w:rPr>
          <w:color w:val="231F20"/>
          <w:spacing w:val="-6"/>
        </w:rPr>
        <w:t>or</w:t>
      </w:r>
    </w:p>
    <w:p>
      <w:pPr>
        <w:spacing w:after="0" w:line="268" w:lineRule="auto"/>
        <w:jc w:val="both"/>
        <w:sectPr>
          <w:type w:val="continuous"/>
          <w:pgSz w:w="12240" w:h="15840"/>
          <w:pgMar w:header="370" w:footer="548" w:top="1140" w:bottom="280" w:left="0" w:right="540"/>
          <w:cols w:num="2" w:equalWidth="0">
            <w:col w:w="7081" w:space="40"/>
            <w:col w:w="4579"/>
          </w:cols>
        </w:sectPr>
      </w:pPr>
    </w:p>
    <w:p>
      <w:pPr>
        <w:pStyle w:val="BodyText"/>
        <w:spacing w:after="1"/>
        <w:rPr>
          <w:sz w:val="18"/>
        </w:rPr>
      </w:pPr>
    </w:p>
    <w:p>
      <w:pPr>
        <w:pStyle w:val="BodyText"/>
        <w:ind w:left="3360"/>
        <w:rPr>
          <w:sz w:val="20"/>
        </w:rPr>
      </w:pPr>
      <w:r>
        <w:rPr>
          <w:sz w:val="20"/>
        </w:rPr>
        <mc:AlternateContent>
          <mc:Choice Requires="wps">
            <w:drawing>
              <wp:inline distT="0" distB="0" distL="0" distR="0">
                <wp:extent cx="4876800" cy="3340100"/>
                <wp:effectExtent l="0" t="9525" r="0" b="3175"/>
                <wp:docPr id="217" name="Group 217"/>
                <wp:cNvGraphicFramePr>
                  <a:graphicFrameLocks/>
                </wp:cNvGraphicFramePr>
                <a:graphic>
                  <a:graphicData uri="http://schemas.microsoft.com/office/word/2010/wordprocessingGroup">
                    <wpg:wgp>
                      <wpg:cNvPr id="217" name="Group 217"/>
                      <wpg:cNvGrpSpPr/>
                      <wpg:grpSpPr>
                        <a:xfrm>
                          <a:off x="0" y="0"/>
                          <a:ext cx="4876800" cy="3340100"/>
                          <a:chExt cx="4876800" cy="3340100"/>
                        </a:xfrm>
                      </wpg:grpSpPr>
                      <wps:wsp>
                        <wps:cNvPr id="218" name="Graphic 218"/>
                        <wps:cNvSpPr/>
                        <wps:spPr>
                          <a:xfrm>
                            <a:off x="198" y="259742"/>
                            <a:ext cx="4876800" cy="3080385"/>
                          </a:xfrm>
                          <a:custGeom>
                            <a:avLst/>
                            <a:gdLst/>
                            <a:ahLst/>
                            <a:cxnLst/>
                            <a:rect l="l" t="t" r="r" b="b"/>
                            <a:pathLst>
                              <a:path w="4876800" h="3080385">
                                <a:moveTo>
                                  <a:pt x="4876596" y="0"/>
                                </a:moveTo>
                                <a:lnTo>
                                  <a:pt x="0" y="0"/>
                                </a:lnTo>
                                <a:lnTo>
                                  <a:pt x="0" y="3005455"/>
                                </a:lnTo>
                                <a:lnTo>
                                  <a:pt x="6159" y="3034553"/>
                                </a:lnTo>
                                <a:lnTo>
                                  <a:pt x="22693" y="3058313"/>
                                </a:lnTo>
                                <a:lnTo>
                                  <a:pt x="46682" y="3074333"/>
                                </a:lnTo>
                                <a:lnTo>
                                  <a:pt x="75209" y="3080207"/>
                                </a:lnTo>
                                <a:lnTo>
                                  <a:pt x="4797717" y="3080207"/>
                                </a:lnTo>
                                <a:lnTo>
                                  <a:pt x="4826817" y="3074952"/>
                                </a:lnTo>
                                <a:lnTo>
                                  <a:pt x="4852068" y="3059966"/>
                                </a:lnTo>
                                <a:lnTo>
                                  <a:pt x="4869863" y="3036412"/>
                                </a:lnTo>
                                <a:lnTo>
                                  <a:pt x="4876596" y="3005455"/>
                                </a:lnTo>
                                <a:lnTo>
                                  <a:pt x="4876596" y="0"/>
                                </a:lnTo>
                                <a:close/>
                              </a:path>
                            </a:pathLst>
                          </a:custGeom>
                          <a:solidFill>
                            <a:srgbClr val="DFEAF7"/>
                          </a:solidFill>
                        </wps:spPr>
                        <wps:bodyPr wrap="square" lIns="0" tIns="0" rIns="0" bIns="0" rtlCol="0">
                          <a:prstTxWarp prst="textNoShape">
                            <a:avLst/>
                          </a:prstTxWarp>
                          <a:noAutofit/>
                        </wps:bodyPr>
                      </wps:wsp>
                      <wps:wsp>
                        <wps:cNvPr id="219" name="Graphic 219"/>
                        <wps:cNvSpPr/>
                        <wps:spPr>
                          <a:xfrm>
                            <a:off x="260156" y="2714111"/>
                            <a:ext cx="4500245" cy="1270"/>
                          </a:xfrm>
                          <a:custGeom>
                            <a:avLst/>
                            <a:gdLst/>
                            <a:ahLst/>
                            <a:cxnLst/>
                            <a:rect l="l" t="t" r="r" b="b"/>
                            <a:pathLst>
                              <a:path w="4500245" h="0">
                                <a:moveTo>
                                  <a:pt x="0" y="0"/>
                                </a:moveTo>
                                <a:lnTo>
                                  <a:pt x="4499864" y="0"/>
                                </a:lnTo>
                              </a:path>
                              <a:path w="4500245" h="0">
                                <a:moveTo>
                                  <a:pt x="0" y="0"/>
                                </a:moveTo>
                                <a:lnTo>
                                  <a:pt x="4499864" y="0"/>
                                </a:lnTo>
                              </a:path>
                            </a:pathLst>
                          </a:custGeom>
                          <a:ln w="6350">
                            <a:solidFill>
                              <a:srgbClr val="FFFFFF"/>
                            </a:solidFill>
                            <a:prstDash val="solid"/>
                          </a:ln>
                        </wps:spPr>
                        <wps:bodyPr wrap="square" lIns="0" tIns="0" rIns="0" bIns="0" rtlCol="0">
                          <a:prstTxWarp prst="textNoShape">
                            <a:avLst/>
                          </a:prstTxWarp>
                          <a:noAutofit/>
                        </wps:bodyPr>
                      </wps:wsp>
                      <wps:wsp>
                        <wps:cNvPr id="220" name="Graphic 220"/>
                        <wps:cNvSpPr/>
                        <wps:spPr>
                          <a:xfrm>
                            <a:off x="260156" y="2177046"/>
                            <a:ext cx="4500245" cy="1270"/>
                          </a:xfrm>
                          <a:custGeom>
                            <a:avLst/>
                            <a:gdLst/>
                            <a:ahLst/>
                            <a:cxnLst/>
                            <a:rect l="l" t="t" r="r" b="b"/>
                            <a:pathLst>
                              <a:path w="4500245" h="0">
                                <a:moveTo>
                                  <a:pt x="0" y="0"/>
                                </a:moveTo>
                                <a:lnTo>
                                  <a:pt x="4499864" y="0"/>
                                </a:lnTo>
                              </a:path>
                            </a:pathLst>
                          </a:custGeom>
                          <a:ln w="6350">
                            <a:solidFill>
                              <a:srgbClr val="FFFFFF"/>
                            </a:solidFill>
                            <a:prstDash val="solid"/>
                          </a:ln>
                        </wps:spPr>
                        <wps:bodyPr wrap="square" lIns="0" tIns="0" rIns="0" bIns="0" rtlCol="0">
                          <a:prstTxWarp prst="textNoShape">
                            <a:avLst/>
                          </a:prstTxWarp>
                          <a:noAutofit/>
                        </wps:bodyPr>
                      </wps:wsp>
                      <wps:wsp>
                        <wps:cNvPr id="221" name="Graphic 221"/>
                        <wps:cNvSpPr/>
                        <wps:spPr>
                          <a:xfrm>
                            <a:off x="260156" y="1639981"/>
                            <a:ext cx="4500245" cy="1270"/>
                          </a:xfrm>
                          <a:custGeom>
                            <a:avLst/>
                            <a:gdLst/>
                            <a:ahLst/>
                            <a:cxnLst/>
                            <a:rect l="l" t="t" r="r" b="b"/>
                            <a:pathLst>
                              <a:path w="4500245" h="0">
                                <a:moveTo>
                                  <a:pt x="0" y="0"/>
                                </a:moveTo>
                                <a:lnTo>
                                  <a:pt x="4499864" y="0"/>
                                </a:lnTo>
                              </a:path>
                            </a:pathLst>
                          </a:custGeom>
                          <a:ln w="6350">
                            <a:solidFill>
                              <a:srgbClr val="FFFFFF"/>
                            </a:solidFill>
                            <a:prstDash val="solid"/>
                          </a:ln>
                        </wps:spPr>
                        <wps:bodyPr wrap="square" lIns="0" tIns="0" rIns="0" bIns="0" rtlCol="0">
                          <a:prstTxWarp prst="textNoShape">
                            <a:avLst/>
                          </a:prstTxWarp>
                          <a:noAutofit/>
                        </wps:bodyPr>
                      </wps:wsp>
                      <wps:wsp>
                        <wps:cNvPr id="222" name="Graphic 222"/>
                        <wps:cNvSpPr/>
                        <wps:spPr>
                          <a:xfrm>
                            <a:off x="260156" y="1102916"/>
                            <a:ext cx="4500245" cy="1270"/>
                          </a:xfrm>
                          <a:custGeom>
                            <a:avLst/>
                            <a:gdLst/>
                            <a:ahLst/>
                            <a:cxnLst/>
                            <a:rect l="l" t="t" r="r" b="b"/>
                            <a:pathLst>
                              <a:path w="4500245" h="0">
                                <a:moveTo>
                                  <a:pt x="0" y="0"/>
                                </a:moveTo>
                                <a:lnTo>
                                  <a:pt x="4499864" y="0"/>
                                </a:lnTo>
                              </a:path>
                            </a:pathLst>
                          </a:custGeom>
                          <a:ln w="6350">
                            <a:solidFill>
                              <a:srgbClr val="FFFFFF"/>
                            </a:solidFill>
                            <a:prstDash val="solid"/>
                          </a:ln>
                        </wps:spPr>
                        <wps:bodyPr wrap="square" lIns="0" tIns="0" rIns="0" bIns="0" rtlCol="0">
                          <a:prstTxWarp prst="textNoShape">
                            <a:avLst/>
                          </a:prstTxWarp>
                          <a:noAutofit/>
                        </wps:bodyPr>
                      </wps:wsp>
                      <wps:wsp>
                        <wps:cNvPr id="223" name="Graphic 223"/>
                        <wps:cNvSpPr/>
                        <wps:spPr>
                          <a:xfrm>
                            <a:off x="260156" y="565851"/>
                            <a:ext cx="4500245" cy="1270"/>
                          </a:xfrm>
                          <a:custGeom>
                            <a:avLst/>
                            <a:gdLst/>
                            <a:ahLst/>
                            <a:cxnLst/>
                            <a:rect l="l" t="t" r="r" b="b"/>
                            <a:pathLst>
                              <a:path w="4500245" h="0">
                                <a:moveTo>
                                  <a:pt x="0" y="0"/>
                                </a:moveTo>
                                <a:lnTo>
                                  <a:pt x="4499864" y="0"/>
                                </a:lnTo>
                              </a:path>
                            </a:pathLst>
                          </a:custGeom>
                          <a:ln w="6350">
                            <a:solidFill>
                              <a:srgbClr val="FFFFFF"/>
                            </a:solidFill>
                            <a:prstDash val="solid"/>
                          </a:ln>
                        </wps:spPr>
                        <wps:bodyPr wrap="square" lIns="0" tIns="0" rIns="0" bIns="0" rtlCol="0">
                          <a:prstTxWarp prst="textNoShape">
                            <a:avLst/>
                          </a:prstTxWarp>
                          <a:noAutofit/>
                        </wps:bodyPr>
                      </wps:wsp>
                      <pic:pic>
                        <pic:nvPicPr>
                          <pic:cNvPr id="224" name="Image 224"/>
                          <pic:cNvPicPr/>
                        </pic:nvPicPr>
                        <pic:blipFill>
                          <a:blip r:embed="rId41" cstate="print"/>
                          <a:stretch>
                            <a:fillRect/>
                          </a:stretch>
                        </pic:blipFill>
                        <pic:spPr>
                          <a:xfrm>
                            <a:off x="925037" y="834927"/>
                            <a:ext cx="2947744" cy="1803276"/>
                          </a:xfrm>
                          <a:prstGeom prst="rect">
                            <a:avLst/>
                          </a:prstGeom>
                        </pic:spPr>
                      </pic:pic>
                      <wps:wsp>
                        <wps:cNvPr id="225" name="Graphic 225"/>
                        <wps:cNvSpPr/>
                        <wps:spPr>
                          <a:xfrm>
                            <a:off x="0" y="1649"/>
                            <a:ext cx="512445" cy="231775"/>
                          </a:xfrm>
                          <a:custGeom>
                            <a:avLst/>
                            <a:gdLst/>
                            <a:ahLst/>
                            <a:cxnLst/>
                            <a:rect l="l" t="t" r="r" b="b"/>
                            <a:pathLst>
                              <a:path w="512445" h="231775">
                                <a:moveTo>
                                  <a:pt x="512178" y="0"/>
                                </a:moveTo>
                                <a:lnTo>
                                  <a:pt x="76200" y="0"/>
                                </a:lnTo>
                                <a:lnTo>
                                  <a:pt x="47213" y="3058"/>
                                </a:lnTo>
                                <a:lnTo>
                                  <a:pt x="22917" y="14506"/>
                                </a:lnTo>
                                <a:lnTo>
                                  <a:pt x="6212" y="37751"/>
                                </a:lnTo>
                                <a:lnTo>
                                  <a:pt x="0" y="76200"/>
                                </a:lnTo>
                                <a:lnTo>
                                  <a:pt x="0" y="231775"/>
                                </a:lnTo>
                                <a:lnTo>
                                  <a:pt x="512178" y="231775"/>
                                </a:lnTo>
                                <a:lnTo>
                                  <a:pt x="512178" y="0"/>
                                </a:lnTo>
                                <a:close/>
                              </a:path>
                            </a:pathLst>
                          </a:custGeom>
                          <a:solidFill>
                            <a:srgbClr val="008FDD"/>
                          </a:solidFill>
                        </wps:spPr>
                        <wps:bodyPr wrap="square" lIns="0" tIns="0" rIns="0" bIns="0" rtlCol="0">
                          <a:prstTxWarp prst="textNoShape">
                            <a:avLst/>
                          </a:prstTxWarp>
                          <a:noAutofit/>
                        </wps:bodyPr>
                      </wps:wsp>
                      <wps:wsp>
                        <wps:cNvPr id="226" name="Graphic 226"/>
                        <wps:cNvSpPr/>
                        <wps:spPr>
                          <a:xfrm>
                            <a:off x="512182" y="1649"/>
                            <a:ext cx="4364355" cy="231775"/>
                          </a:xfrm>
                          <a:custGeom>
                            <a:avLst/>
                            <a:gdLst/>
                            <a:ahLst/>
                            <a:cxnLst/>
                            <a:rect l="l" t="t" r="r" b="b"/>
                            <a:pathLst>
                              <a:path w="4364355" h="231775">
                                <a:moveTo>
                                  <a:pt x="4287723" y="0"/>
                                </a:moveTo>
                                <a:lnTo>
                                  <a:pt x="0" y="0"/>
                                </a:lnTo>
                                <a:lnTo>
                                  <a:pt x="0" y="231775"/>
                                </a:lnTo>
                                <a:lnTo>
                                  <a:pt x="4363923" y="231775"/>
                                </a:lnTo>
                                <a:lnTo>
                                  <a:pt x="4363923" y="76200"/>
                                </a:lnTo>
                                <a:lnTo>
                                  <a:pt x="4358417" y="50979"/>
                                </a:lnTo>
                                <a:lnTo>
                                  <a:pt x="4342892" y="26265"/>
                                </a:lnTo>
                                <a:lnTo>
                                  <a:pt x="4318831" y="7468"/>
                                </a:lnTo>
                                <a:lnTo>
                                  <a:pt x="4287723" y="0"/>
                                </a:lnTo>
                                <a:close/>
                              </a:path>
                            </a:pathLst>
                          </a:custGeom>
                          <a:solidFill>
                            <a:srgbClr val="808285"/>
                          </a:solidFill>
                        </wps:spPr>
                        <wps:bodyPr wrap="square" lIns="0" tIns="0" rIns="0" bIns="0" rtlCol="0">
                          <a:prstTxWarp prst="textNoShape">
                            <a:avLst/>
                          </a:prstTxWarp>
                          <a:noAutofit/>
                        </wps:bodyPr>
                      </wps:wsp>
                      <wps:wsp>
                        <wps:cNvPr id="227" name="Graphic 227"/>
                        <wps:cNvSpPr/>
                        <wps:spPr>
                          <a:xfrm>
                            <a:off x="512179" y="0"/>
                            <a:ext cx="1270" cy="233679"/>
                          </a:xfrm>
                          <a:custGeom>
                            <a:avLst/>
                            <a:gdLst/>
                            <a:ahLst/>
                            <a:cxnLst/>
                            <a:rect l="l" t="t" r="r" b="b"/>
                            <a:pathLst>
                              <a:path w="0" h="233679">
                                <a:moveTo>
                                  <a:pt x="0" y="0"/>
                                </a:moveTo>
                                <a:lnTo>
                                  <a:pt x="0" y="233426"/>
                                </a:lnTo>
                              </a:path>
                            </a:pathLst>
                          </a:custGeom>
                          <a:ln w="25400">
                            <a:solidFill>
                              <a:srgbClr val="FFFFFF"/>
                            </a:solidFill>
                            <a:prstDash val="solid"/>
                          </a:ln>
                        </wps:spPr>
                        <wps:bodyPr wrap="square" lIns="0" tIns="0" rIns="0" bIns="0" rtlCol="0">
                          <a:prstTxWarp prst="textNoShape">
                            <a:avLst/>
                          </a:prstTxWarp>
                          <a:noAutofit/>
                        </wps:bodyPr>
                      </wps:wsp>
                      <wps:wsp>
                        <wps:cNvPr id="228" name="Graphic 228"/>
                        <wps:cNvSpPr/>
                        <wps:spPr>
                          <a:xfrm>
                            <a:off x="4440274" y="413339"/>
                            <a:ext cx="95250" cy="1270"/>
                          </a:xfrm>
                          <a:custGeom>
                            <a:avLst/>
                            <a:gdLst/>
                            <a:ahLst/>
                            <a:cxnLst/>
                            <a:rect l="l" t="t" r="r" b="b"/>
                            <a:pathLst>
                              <a:path w="95250" h="0">
                                <a:moveTo>
                                  <a:pt x="0" y="0"/>
                                </a:moveTo>
                                <a:lnTo>
                                  <a:pt x="95250" y="0"/>
                                </a:lnTo>
                              </a:path>
                            </a:pathLst>
                          </a:custGeom>
                          <a:ln w="19050">
                            <a:solidFill>
                              <a:srgbClr val="008FDD"/>
                            </a:solidFill>
                            <a:prstDash val="solid"/>
                          </a:ln>
                        </wps:spPr>
                        <wps:bodyPr wrap="square" lIns="0" tIns="0" rIns="0" bIns="0" rtlCol="0">
                          <a:prstTxWarp prst="textNoShape">
                            <a:avLst/>
                          </a:prstTxWarp>
                          <a:noAutofit/>
                        </wps:bodyPr>
                      </wps:wsp>
                      <wps:wsp>
                        <wps:cNvPr id="229" name="Graphic 229"/>
                        <wps:cNvSpPr/>
                        <wps:spPr>
                          <a:xfrm>
                            <a:off x="4060179" y="413339"/>
                            <a:ext cx="95250" cy="1270"/>
                          </a:xfrm>
                          <a:custGeom>
                            <a:avLst/>
                            <a:gdLst/>
                            <a:ahLst/>
                            <a:cxnLst/>
                            <a:rect l="l" t="t" r="r" b="b"/>
                            <a:pathLst>
                              <a:path w="95250" h="0">
                                <a:moveTo>
                                  <a:pt x="0" y="0"/>
                                </a:moveTo>
                                <a:lnTo>
                                  <a:pt x="95250" y="0"/>
                                </a:lnTo>
                              </a:path>
                            </a:pathLst>
                          </a:custGeom>
                          <a:ln w="19050">
                            <a:solidFill>
                              <a:srgbClr val="231F20"/>
                            </a:solidFill>
                            <a:prstDash val="solid"/>
                          </a:ln>
                        </wps:spPr>
                        <wps:bodyPr wrap="square" lIns="0" tIns="0" rIns="0" bIns="0" rtlCol="0">
                          <a:prstTxWarp prst="textNoShape">
                            <a:avLst/>
                          </a:prstTxWarp>
                          <a:noAutofit/>
                        </wps:bodyPr>
                      </wps:wsp>
                      <wps:wsp>
                        <wps:cNvPr id="230" name="Graphic 230"/>
                        <wps:cNvSpPr/>
                        <wps:spPr>
                          <a:xfrm>
                            <a:off x="3680085" y="413339"/>
                            <a:ext cx="95250" cy="1270"/>
                          </a:xfrm>
                          <a:custGeom>
                            <a:avLst/>
                            <a:gdLst/>
                            <a:ahLst/>
                            <a:cxnLst/>
                            <a:rect l="l" t="t" r="r" b="b"/>
                            <a:pathLst>
                              <a:path w="95250" h="0">
                                <a:moveTo>
                                  <a:pt x="0" y="0"/>
                                </a:moveTo>
                                <a:lnTo>
                                  <a:pt x="95250" y="0"/>
                                </a:lnTo>
                              </a:path>
                            </a:pathLst>
                          </a:custGeom>
                          <a:ln w="19050">
                            <a:solidFill>
                              <a:srgbClr val="76AEE5"/>
                            </a:solidFill>
                            <a:prstDash val="solid"/>
                          </a:ln>
                        </wps:spPr>
                        <wps:bodyPr wrap="square" lIns="0" tIns="0" rIns="0" bIns="0" rtlCol="0">
                          <a:prstTxWarp prst="textNoShape">
                            <a:avLst/>
                          </a:prstTxWarp>
                          <a:noAutofit/>
                        </wps:bodyPr>
                      </wps:wsp>
                      <wps:wsp>
                        <wps:cNvPr id="231" name="Graphic 231"/>
                        <wps:cNvSpPr/>
                        <wps:spPr>
                          <a:xfrm>
                            <a:off x="3299991" y="413339"/>
                            <a:ext cx="95250" cy="1270"/>
                          </a:xfrm>
                          <a:custGeom>
                            <a:avLst/>
                            <a:gdLst/>
                            <a:ahLst/>
                            <a:cxnLst/>
                            <a:rect l="l" t="t" r="r" b="b"/>
                            <a:pathLst>
                              <a:path w="95250" h="0">
                                <a:moveTo>
                                  <a:pt x="0" y="0"/>
                                </a:moveTo>
                                <a:lnTo>
                                  <a:pt x="95250" y="0"/>
                                </a:lnTo>
                              </a:path>
                            </a:pathLst>
                          </a:custGeom>
                          <a:ln w="19050">
                            <a:solidFill>
                              <a:srgbClr val="808285"/>
                            </a:solidFill>
                            <a:prstDash val="solid"/>
                          </a:ln>
                        </wps:spPr>
                        <wps:bodyPr wrap="square" lIns="0" tIns="0" rIns="0" bIns="0" rtlCol="0">
                          <a:prstTxWarp prst="textNoShape">
                            <a:avLst/>
                          </a:prstTxWarp>
                          <a:noAutofit/>
                        </wps:bodyPr>
                      </wps:wsp>
                      <wps:wsp>
                        <wps:cNvPr id="232" name="Graphic 232"/>
                        <wps:cNvSpPr/>
                        <wps:spPr>
                          <a:xfrm>
                            <a:off x="2919896" y="413339"/>
                            <a:ext cx="95250" cy="1270"/>
                          </a:xfrm>
                          <a:custGeom>
                            <a:avLst/>
                            <a:gdLst/>
                            <a:ahLst/>
                            <a:cxnLst/>
                            <a:rect l="l" t="t" r="r" b="b"/>
                            <a:pathLst>
                              <a:path w="95250" h="0">
                                <a:moveTo>
                                  <a:pt x="0" y="0"/>
                                </a:moveTo>
                                <a:lnTo>
                                  <a:pt x="95250" y="0"/>
                                </a:lnTo>
                              </a:path>
                            </a:pathLst>
                          </a:custGeom>
                          <a:ln w="19050">
                            <a:solidFill>
                              <a:srgbClr val="A8979A"/>
                            </a:solidFill>
                            <a:prstDash val="solid"/>
                          </a:ln>
                        </wps:spPr>
                        <wps:bodyPr wrap="square" lIns="0" tIns="0" rIns="0" bIns="0" rtlCol="0">
                          <a:prstTxWarp prst="textNoShape">
                            <a:avLst/>
                          </a:prstTxWarp>
                          <a:noAutofit/>
                        </wps:bodyPr>
                      </wps:wsp>
                      <wps:wsp>
                        <wps:cNvPr id="233" name="Textbox 233"/>
                        <wps:cNvSpPr txBox="1"/>
                        <wps:spPr>
                          <a:xfrm>
                            <a:off x="76380" y="68503"/>
                            <a:ext cx="2318385" cy="558800"/>
                          </a:xfrm>
                          <a:prstGeom prst="rect">
                            <a:avLst/>
                          </a:prstGeom>
                        </wps:spPr>
                        <wps:txbx>
                          <w:txbxContent>
                            <w:p>
                              <w:pPr>
                                <w:tabs>
                                  <w:tab w:pos="799" w:val="left" w:leader="none"/>
                                </w:tabs>
                                <w:spacing w:before="3"/>
                                <w:ind w:left="0" w:right="0" w:firstLine="0"/>
                                <w:jc w:val="left"/>
                                <w:rPr>
                                  <w:rFonts w:ascii="Arial" w:hAnsi="Arial"/>
                                  <w:b/>
                                  <w:sz w:val="16"/>
                                </w:rPr>
                              </w:pPr>
                              <w:r>
                                <w:rPr>
                                  <w:rFonts w:ascii="Arial" w:hAnsi="Arial"/>
                                  <w:color w:val="FFFFFF"/>
                                  <w:w w:val="80"/>
                                  <w:sz w:val="16"/>
                                </w:rPr>
                                <w:t>Figure</w:t>
                              </w:r>
                              <w:r>
                                <w:rPr>
                                  <w:rFonts w:ascii="Arial" w:hAnsi="Arial"/>
                                  <w:color w:val="FFFFFF"/>
                                  <w:spacing w:val="8"/>
                                  <w:sz w:val="16"/>
                                </w:rPr>
                                <w:t> </w:t>
                              </w:r>
                              <w:r>
                                <w:rPr>
                                  <w:rFonts w:ascii="Arial" w:hAnsi="Arial"/>
                                  <w:b/>
                                  <w:color w:val="FFFFFF"/>
                                  <w:spacing w:val="-10"/>
                                  <w:sz w:val="16"/>
                                </w:rPr>
                                <w:t>1</w:t>
                              </w:r>
                              <w:r>
                                <w:rPr>
                                  <w:rFonts w:ascii="Arial" w:hAnsi="Arial"/>
                                  <w:b/>
                                  <w:color w:val="FFFFFF"/>
                                  <w:sz w:val="16"/>
                                </w:rPr>
                                <w:tab/>
                                <w:t>Distribution</w:t>
                              </w:r>
                              <w:r>
                                <w:rPr>
                                  <w:rFonts w:ascii="Arial" w:hAnsi="Arial"/>
                                  <w:b/>
                                  <w:color w:val="FFFFFF"/>
                                  <w:spacing w:val="24"/>
                                  <w:sz w:val="16"/>
                                </w:rPr>
                                <w:t> </w:t>
                              </w:r>
                              <w:r>
                                <w:rPr>
                                  <w:rFonts w:ascii="Arial" w:hAnsi="Arial"/>
                                  <w:b/>
                                  <w:color w:val="FFFFFF"/>
                                  <w:sz w:val="16"/>
                                </w:rPr>
                                <w:t>of</w:t>
                              </w:r>
                              <w:r>
                                <w:rPr>
                                  <w:rFonts w:ascii="Arial" w:hAnsi="Arial"/>
                                  <w:b/>
                                  <w:color w:val="FFFFFF"/>
                                  <w:spacing w:val="24"/>
                                  <w:sz w:val="16"/>
                                </w:rPr>
                                <w:t> </w:t>
                              </w:r>
                              <w:r>
                                <w:rPr>
                                  <w:rFonts w:ascii="Arial" w:hAnsi="Arial"/>
                                  <w:b/>
                                  <w:color w:val="FFFFFF"/>
                                  <w:sz w:val="16"/>
                                </w:rPr>
                                <w:t>LPI</w:t>
                              </w:r>
                              <w:r>
                                <w:rPr>
                                  <w:rFonts w:ascii="Arial" w:hAnsi="Arial"/>
                                  <w:b/>
                                  <w:color w:val="FFFFFF"/>
                                  <w:spacing w:val="25"/>
                                  <w:sz w:val="16"/>
                                </w:rPr>
                                <w:t> </w:t>
                              </w:r>
                              <w:r>
                                <w:rPr>
                                  <w:rFonts w:ascii="Arial" w:hAnsi="Arial"/>
                                  <w:b/>
                                  <w:color w:val="FFFFFF"/>
                                  <w:sz w:val="16"/>
                                </w:rPr>
                                <w:t>scores,</w:t>
                              </w:r>
                              <w:r>
                                <w:rPr>
                                  <w:rFonts w:ascii="Arial" w:hAnsi="Arial"/>
                                  <w:b/>
                                  <w:color w:val="FFFFFF"/>
                                  <w:spacing w:val="24"/>
                                  <w:sz w:val="16"/>
                                </w:rPr>
                                <w:t> </w:t>
                              </w:r>
                              <w:r>
                                <w:rPr>
                                  <w:rFonts w:ascii="Arial" w:hAnsi="Arial"/>
                                  <w:b/>
                                  <w:color w:val="FFFFFF"/>
                                  <w:spacing w:val="-2"/>
                                  <w:sz w:val="16"/>
                                </w:rPr>
                                <w:t>2012–23</w:t>
                              </w:r>
                            </w:p>
                            <w:p>
                              <w:pPr>
                                <w:spacing w:line="260" w:lineRule="atLeast" w:before="172"/>
                                <w:ind w:left="10" w:right="2636" w:hanging="11"/>
                                <w:jc w:val="left"/>
                                <w:rPr>
                                  <w:rFonts w:ascii="Arial"/>
                                  <w:sz w:val="14"/>
                                </w:rPr>
                              </w:pPr>
                              <w:r>
                                <w:rPr>
                                  <w:rFonts w:ascii="Arial"/>
                                  <w:color w:val="231F20"/>
                                  <w:spacing w:val="-2"/>
                                  <w:w w:val="80"/>
                                  <w:sz w:val="14"/>
                                </w:rPr>
                                <w:t>Probability</w:t>
                              </w:r>
                              <w:r>
                                <w:rPr>
                                  <w:rFonts w:ascii="Arial"/>
                                  <w:color w:val="231F20"/>
                                  <w:spacing w:val="-8"/>
                                  <w:sz w:val="14"/>
                                </w:rPr>
                                <w:t> </w:t>
                              </w:r>
                              <w:r>
                                <w:rPr>
                                  <w:rFonts w:ascii="Arial"/>
                                  <w:color w:val="231F20"/>
                                  <w:spacing w:val="-2"/>
                                  <w:w w:val="80"/>
                                  <w:sz w:val="14"/>
                                </w:rPr>
                                <w:t>density</w:t>
                              </w:r>
                              <w:r>
                                <w:rPr>
                                  <w:rFonts w:ascii="Arial"/>
                                  <w:color w:val="231F20"/>
                                  <w:spacing w:val="40"/>
                                  <w:sz w:val="14"/>
                                </w:rPr>
                                <w:t> </w:t>
                              </w:r>
                              <w:r>
                                <w:rPr>
                                  <w:rFonts w:ascii="Arial"/>
                                  <w:color w:val="231F20"/>
                                  <w:spacing w:val="-4"/>
                                  <w:w w:val="90"/>
                                  <w:sz w:val="14"/>
                                </w:rPr>
                                <w:t>0.8</w:t>
                              </w:r>
                            </w:p>
                          </w:txbxContent>
                        </wps:txbx>
                        <wps:bodyPr wrap="square" lIns="0" tIns="0" rIns="0" bIns="0" rtlCol="0">
                          <a:noAutofit/>
                        </wps:bodyPr>
                      </wps:wsp>
                      <wps:wsp>
                        <wps:cNvPr id="234" name="Textbox 234"/>
                        <wps:cNvSpPr txBox="1"/>
                        <wps:spPr>
                          <a:xfrm>
                            <a:off x="3051639" y="361655"/>
                            <a:ext cx="1704339" cy="100965"/>
                          </a:xfrm>
                          <a:prstGeom prst="rect">
                            <a:avLst/>
                          </a:prstGeom>
                        </wps:spPr>
                        <wps:txbx>
                          <w:txbxContent>
                            <w:p>
                              <w:pPr>
                                <w:tabs>
                                  <w:tab w:pos="598" w:val="left" w:leader="none"/>
                                  <w:tab w:pos="1197" w:val="left" w:leader="none"/>
                                  <w:tab w:pos="1795" w:val="left" w:leader="none"/>
                                  <w:tab w:pos="2394" w:val="left" w:leader="none"/>
                                </w:tabs>
                                <w:spacing w:line="158" w:lineRule="exact" w:before="0"/>
                                <w:ind w:left="0" w:right="0" w:firstLine="0"/>
                                <w:jc w:val="left"/>
                                <w:rPr>
                                  <w:rFonts w:ascii="Arial"/>
                                  <w:sz w:val="14"/>
                                </w:rPr>
                              </w:pPr>
                              <w:r>
                                <w:rPr>
                                  <w:rFonts w:ascii="Arial"/>
                                  <w:color w:val="231F20"/>
                                  <w:spacing w:val="-4"/>
                                  <w:sz w:val="14"/>
                                </w:rPr>
                                <w:t>2012</w:t>
                              </w:r>
                              <w:r>
                                <w:rPr>
                                  <w:rFonts w:ascii="Arial"/>
                                  <w:color w:val="231F20"/>
                                  <w:sz w:val="14"/>
                                </w:rPr>
                                <w:tab/>
                              </w:r>
                              <w:r>
                                <w:rPr>
                                  <w:rFonts w:ascii="Arial"/>
                                  <w:color w:val="231F20"/>
                                  <w:spacing w:val="-4"/>
                                  <w:sz w:val="14"/>
                                </w:rPr>
                                <w:t>2014</w:t>
                              </w:r>
                              <w:r>
                                <w:rPr>
                                  <w:rFonts w:ascii="Arial"/>
                                  <w:color w:val="231F20"/>
                                  <w:sz w:val="14"/>
                                </w:rPr>
                                <w:tab/>
                              </w:r>
                              <w:r>
                                <w:rPr>
                                  <w:rFonts w:ascii="Arial"/>
                                  <w:color w:val="231F20"/>
                                  <w:spacing w:val="-4"/>
                                  <w:sz w:val="14"/>
                                </w:rPr>
                                <w:t>2016</w:t>
                              </w:r>
                              <w:r>
                                <w:rPr>
                                  <w:rFonts w:ascii="Arial"/>
                                  <w:color w:val="231F20"/>
                                  <w:sz w:val="14"/>
                                </w:rPr>
                                <w:tab/>
                              </w:r>
                              <w:r>
                                <w:rPr>
                                  <w:rFonts w:ascii="Arial"/>
                                  <w:color w:val="231F20"/>
                                  <w:spacing w:val="-4"/>
                                  <w:sz w:val="14"/>
                                </w:rPr>
                                <w:t>2018</w:t>
                              </w:r>
                              <w:r>
                                <w:rPr>
                                  <w:rFonts w:ascii="Arial"/>
                                  <w:color w:val="231F20"/>
                                  <w:sz w:val="14"/>
                                </w:rPr>
                                <w:tab/>
                              </w:r>
                              <w:r>
                                <w:rPr>
                                  <w:rFonts w:ascii="Arial"/>
                                  <w:color w:val="231F20"/>
                                  <w:spacing w:val="-9"/>
                                  <w:sz w:val="14"/>
                                </w:rPr>
                                <w:t>2023</w:t>
                              </w:r>
                            </w:p>
                          </w:txbxContent>
                        </wps:txbx>
                        <wps:bodyPr wrap="square" lIns="0" tIns="0" rIns="0" bIns="0" rtlCol="0">
                          <a:noAutofit/>
                        </wps:bodyPr>
                      </wps:wsp>
                      <wps:wsp>
                        <wps:cNvPr id="235" name="Textbox 235"/>
                        <wps:cNvSpPr txBox="1"/>
                        <wps:spPr>
                          <a:xfrm>
                            <a:off x="83176" y="1063508"/>
                            <a:ext cx="1193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0.6</w:t>
                              </w:r>
                            </w:p>
                          </w:txbxContent>
                        </wps:txbx>
                        <wps:bodyPr wrap="square" lIns="0" tIns="0" rIns="0" bIns="0" rtlCol="0">
                          <a:noAutofit/>
                        </wps:bodyPr>
                      </wps:wsp>
                      <wps:wsp>
                        <wps:cNvPr id="236" name="Textbox 236"/>
                        <wps:cNvSpPr txBox="1"/>
                        <wps:spPr>
                          <a:xfrm>
                            <a:off x="83176" y="1600553"/>
                            <a:ext cx="1193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0.4</w:t>
                              </w:r>
                            </w:p>
                          </w:txbxContent>
                        </wps:txbx>
                        <wps:bodyPr wrap="square" lIns="0" tIns="0" rIns="0" bIns="0" rtlCol="0">
                          <a:noAutofit/>
                        </wps:bodyPr>
                      </wps:wsp>
                      <wps:wsp>
                        <wps:cNvPr id="237" name="Textbox 237"/>
                        <wps:cNvSpPr txBox="1"/>
                        <wps:spPr>
                          <a:xfrm>
                            <a:off x="83176" y="2137598"/>
                            <a:ext cx="1193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0.2</w:t>
                              </w:r>
                            </w:p>
                          </w:txbxContent>
                        </wps:txbx>
                        <wps:bodyPr wrap="square" lIns="0" tIns="0" rIns="0" bIns="0" rtlCol="0">
                          <a:noAutofit/>
                        </wps:bodyPr>
                      </wps:wsp>
                      <wps:wsp>
                        <wps:cNvPr id="238" name="Textbox 238"/>
                        <wps:cNvSpPr txBox="1"/>
                        <wps:spPr>
                          <a:xfrm>
                            <a:off x="83176" y="2674642"/>
                            <a:ext cx="1193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0.0</w:t>
                              </w:r>
                            </w:p>
                          </w:txbxContent>
                        </wps:txbx>
                        <wps:bodyPr wrap="square" lIns="0" tIns="0" rIns="0" bIns="0" rtlCol="0">
                          <a:noAutofit/>
                        </wps:bodyPr>
                      </wps:wsp>
                      <wps:wsp>
                        <wps:cNvPr id="239" name="Textbox 239"/>
                        <wps:cNvSpPr txBox="1"/>
                        <wps:spPr>
                          <a:xfrm>
                            <a:off x="238813" y="2751165"/>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1</w:t>
                              </w:r>
                            </w:p>
                          </w:txbxContent>
                        </wps:txbx>
                        <wps:bodyPr wrap="square" lIns="0" tIns="0" rIns="0" bIns="0" rtlCol="0">
                          <a:noAutofit/>
                        </wps:bodyPr>
                      </wps:wsp>
                      <wps:wsp>
                        <wps:cNvPr id="240" name="Textbox 240"/>
                        <wps:cNvSpPr txBox="1"/>
                        <wps:spPr>
                          <a:xfrm>
                            <a:off x="1363753" y="2751165"/>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2</w:t>
                              </w:r>
                            </w:p>
                          </w:txbxContent>
                        </wps:txbx>
                        <wps:bodyPr wrap="square" lIns="0" tIns="0" rIns="0" bIns="0" rtlCol="0">
                          <a:noAutofit/>
                        </wps:bodyPr>
                      </wps:wsp>
                      <wps:wsp>
                        <wps:cNvPr id="241" name="Textbox 241"/>
                        <wps:cNvSpPr txBox="1"/>
                        <wps:spPr>
                          <a:xfrm>
                            <a:off x="2406105" y="2751165"/>
                            <a:ext cx="302260" cy="215265"/>
                          </a:xfrm>
                          <a:prstGeom prst="rect">
                            <a:avLst/>
                          </a:prstGeom>
                        </wps:spPr>
                        <wps:txbx>
                          <w:txbxContent>
                            <w:p>
                              <w:pPr>
                                <w:spacing w:line="159" w:lineRule="exact" w:before="0"/>
                                <w:ind w:left="130" w:right="0" w:firstLine="0"/>
                                <w:jc w:val="left"/>
                                <w:rPr>
                                  <w:rFonts w:ascii="Arial"/>
                                  <w:sz w:val="14"/>
                                </w:rPr>
                              </w:pPr>
                              <w:r>
                                <w:rPr>
                                  <w:rFonts w:ascii="Arial"/>
                                  <w:color w:val="231F20"/>
                                  <w:spacing w:val="-10"/>
                                  <w:sz w:val="14"/>
                                </w:rPr>
                                <w:t>3</w:t>
                              </w:r>
                            </w:p>
                            <w:p>
                              <w:pPr>
                                <w:spacing w:line="160" w:lineRule="exact" w:before="19"/>
                                <w:ind w:left="0" w:right="0" w:firstLine="0"/>
                                <w:jc w:val="left"/>
                                <w:rPr>
                                  <w:rFonts w:ascii="Arial"/>
                                  <w:sz w:val="14"/>
                                </w:rPr>
                              </w:pPr>
                              <w:r>
                                <w:rPr>
                                  <w:rFonts w:ascii="Arial"/>
                                  <w:color w:val="231F20"/>
                                  <w:w w:val="70"/>
                                  <w:sz w:val="14"/>
                                </w:rPr>
                                <w:t>LPI</w:t>
                              </w:r>
                              <w:r>
                                <w:rPr>
                                  <w:rFonts w:ascii="Arial"/>
                                  <w:color w:val="231F20"/>
                                  <w:spacing w:val="-2"/>
                                  <w:sz w:val="14"/>
                                </w:rPr>
                                <w:t> </w:t>
                              </w:r>
                              <w:r>
                                <w:rPr>
                                  <w:rFonts w:ascii="Arial"/>
                                  <w:color w:val="231F20"/>
                                  <w:spacing w:val="-2"/>
                                  <w:w w:val="85"/>
                                  <w:sz w:val="14"/>
                                </w:rPr>
                                <w:t>score</w:t>
                              </w:r>
                            </w:p>
                          </w:txbxContent>
                        </wps:txbx>
                        <wps:bodyPr wrap="square" lIns="0" tIns="0" rIns="0" bIns="0" rtlCol="0">
                          <a:noAutofit/>
                        </wps:bodyPr>
                      </wps:wsp>
                      <wps:wsp>
                        <wps:cNvPr id="242" name="Textbox 242"/>
                        <wps:cNvSpPr txBox="1"/>
                        <wps:spPr>
                          <a:xfrm>
                            <a:off x="3613635" y="2751165"/>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4</w:t>
                              </w:r>
                            </w:p>
                          </w:txbxContent>
                        </wps:txbx>
                        <wps:bodyPr wrap="square" lIns="0" tIns="0" rIns="0" bIns="0" rtlCol="0">
                          <a:noAutofit/>
                        </wps:bodyPr>
                      </wps:wsp>
                      <wps:wsp>
                        <wps:cNvPr id="243" name="Textbox 243"/>
                        <wps:cNvSpPr txBox="1"/>
                        <wps:spPr>
                          <a:xfrm>
                            <a:off x="4738664" y="2751165"/>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5</w:t>
                              </w:r>
                            </w:p>
                          </w:txbxContent>
                        </wps:txbx>
                        <wps:bodyPr wrap="square" lIns="0" tIns="0" rIns="0" bIns="0" rtlCol="0">
                          <a:noAutofit/>
                        </wps:bodyPr>
                      </wps:wsp>
                      <wps:wsp>
                        <wps:cNvPr id="244" name="Textbox 244"/>
                        <wps:cNvSpPr txBox="1"/>
                        <wps:spPr>
                          <a:xfrm>
                            <a:off x="76385" y="3066870"/>
                            <a:ext cx="2700655" cy="180340"/>
                          </a:xfrm>
                          <a:prstGeom prst="rect">
                            <a:avLst/>
                          </a:prstGeom>
                        </wps:spPr>
                        <wps:txbx>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5"/>
                                  <w:sz w:val="12"/>
                                </w:rPr>
                                <w:t> </w:t>
                              </w:r>
                              <w:r>
                                <w:rPr>
                                  <w:rFonts w:ascii="Arial"/>
                                  <w:color w:val="231F20"/>
                                  <w:w w:val="80"/>
                                  <w:sz w:val="12"/>
                                </w:rPr>
                                <w:t>2012,</w:t>
                              </w:r>
                              <w:r>
                                <w:rPr>
                                  <w:rFonts w:ascii="Arial"/>
                                  <w:color w:val="231F20"/>
                                  <w:spacing w:val="-3"/>
                                  <w:w w:val="80"/>
                                  <w:sz w:val="12"/>
                                </w:rPr>
                                <w:t> </w:t>
                              </w:r>
                              <w:r>
                                <w:rPr>
                                  <w:rFonts w:ascii="Arial"/>
                                  <w:color w:val="231F20"/>
                                  <w:w w:val="80"/>
                                  <w:sz w:val="12"/>
                                </w:rPr>
                                <w:t>2014,</w:t>
                              </w:r>
                              <w:r>
                                <w:rPr>
                                  <w:rFonts w:ascii="Arial"/>
                                  <w:color w:val="231F20"/>
                                  <w:spacing w:val="-3"/>
                                  <w:w w:val="80"/>
                                  <w:sz w:val="12"/>
                                </w:rPr>
                                <w:t> </w:t>
                              </w:r>
                              <w:r>
                                <w:rPr>
                                  <w:rFonts w:ascii="Arial"/>
                                  <w:color w:val="231F20"/>
                                  <w:w w:val="80"/>
                                  <w:sz w:val="12"/>
                                </w:rPr>
                                <w:t>2016,</w:t>
                              </w:r>
                              <w:r>
                                <w:rPr>
                                  <w:rFonts w:ascii="Arial"/>
                                  <w:color w:val="231F20"/>
                                  <w:spacing w:val="-3"/>
                                  <w:w w:val="80"/>
                                  <w:sz w:val="12"/>
                                </w:rPr>
                                <w:t> </w:t>
                              </w:r>
                              <w:r>
                                <w:rPr>
                                  <w:rFonts w:ascii="Arial"/>
                                  <w:color w:val="231F20"/>
                                  <w:w w:val="80"/>
                                  <w:sz w:val="12"/>
                                </w:rPr>
                                <w:t>2018,</w:t>
                              </w:r>
                              <w:r>
                                <w:rPr>
                                  <w:rFonts w:ascii="Arial"/>
                                  <w:color w:val="231F20"/>
                                  <w:spacing w:val="-3"/>
                                  <w:w w:val="80"/>
                                  <w:sz w:val="12"/>
                                </w:rPr>
                                <w:t> </w:t>
                              </w:r>
                              <w:r>
                                <w:rPr>
                                  <w:rFonts w:ascii="Arial"/>
                                  <w:color w:val="231F20"/>
                                  <w:w w:val="80"/>
                                  <w:sz w:val="12"/>
                                </w:rPr>
                                <w:t>and</w:t>
                              </w:r>
                              <w:r>
                                <w:rPr>
                                  <w:rFonts w:ascii="Arial"/>
                                  <w:color w:val="231F20"/>
                                  <w:spacing w:val="-5"/>
                                  <w:sz w:val="12"/>
                                </w:rPr>
                                <w:t> </w:t>
                              </w:r>
                              <w:r>
                                <w:rPr>
                                  <w:rFonts w:ascii="Arial"/>
                                  <w:color w:val="231F20"/>
                                  <w:w w:val="80"/>
                                  <w:sz w:val="12"/>
                                </w:rPr>
                                <w:t>2023</w:t>
                              </w:r>
                              <w:r>
                                <w:rPr>
                                  <w:rFonts w:ascii="Arial"/>
                                  <w:color w:val="231F20"/>
                                  <w:spacing w:val="-4"/>
                                  <w:sz w:val="12"/>
                                </w:rPr>
                                <w:t> </w:t>
                              </w:r>
                              <w:r>
                                <w:rPr>
                                  <w:rFonts w:ascii="Arial"/>
                                  <w:color w:val="231F20"/>
                                  <w:w w:val="80"/>
                                  <w:sz w:val="12"/>
                                </w:rPr>
                                <w:t>Logistics</w:t>
                              </w:r>
                              <w:r>
                                <w:rPr>
                                  <w:rFonts w:ascii="Arial"/>
                                  <w:color w:val="231F20"/>
                                  <w:spacing w:val="-5"/>
                                  <w:sz w:val="12"/>
                                </w:rPr>
                                <w:t> </w:t>
                              </w:r>
                              <w:r>
                                <w:rPr>
                                  <w:rFonts w:ascii="Arial"/>
                                  <w:color w:val="231F20"/>
                                  <w:w w:val="80"/>
                                  <w:sz w:val="12"/>
                                </w:rPr>
                                <w:t>Performance</w:t>
                              </w:r>
                              <w:r>
                                <w:rPr>
                                  <w:rFonts w:ascii="Arial"/>
                                  <w:color w:val="231F20"/>
                                  <w:spacing w:val="-4"/>
                                  <w:sz w:val="12"/>
                                </w:rPr>
                                <w:t> </w:t>
                              </w:r>
                              <w:r>
                                <w:rPr>
                                  <w:rFonts w:ascii="Arial"/>
                                  <w:color w:val="231F20"/>
                                  <w:spacing w:val="-2"/>
                                  <w:w w:val="80"/>
                                  <w:sz w:val="12"/>
                                </w:rPr>
                                <w:t>Index.</w:t>
                              </w:r>
                            </w:p>
                            <w:p>
                              <w:pPr>
                                <w:spacing w:before="2"/>
                                <w:ind w:left="0" w:right="0" w:firstLine="0"/>
                                <w:jc w:val="left"/>
                                <w:rPr>
                                  <w:rFonts w:ascii="Arial"/>
                                  <w:sz w:val="12"/>
                                </w:rPr>
                              </w:pPr>
                              <w:r>
                                <w:rPr>
                                  <w:rFonts w:ascii="Arial"/>
                                  <w:i/>
                                  <w:color w:val="231F20"/>
                                  <w:w w:val="75"/>
                                  <w:sz w:val="12"/>
                                </w:rPr>
                                <w:t>Note:</w:t>
                              </w:r>
                              <w:r>
                                <w:rPr>
                                  <w:rFonts w:ascii="Arial"/>
                                  <w:i/>
                                  <w:color w:val="231F20"/>
                                  <w:spacing w:val="-7"/>
                                  <w:sz w:val="12"/>
                                </w:rPr>
                                <w:t> </w:t>
                              </w:r>
                              <w:r>
                                <w:rPr>
                                  <w:rFonts w:ascii="Arial"/>
                                  <w:color w:val="231F20"/>
                                  <w:w w:val="75"/>
                                  <w:sz w:val="12"/>
                                </w:rPr>
                                <w:t>To</w:t>
                              </w:r>
                              <w:r>
                                <w:rPr>
                                  <w:rFonts w:ascii="Arial"/>
                                  <w:color w:val="231F20"/>
                                  <w:spacing w:val="-1"/>
                                  <w:sz w:val="12"/>
                                </w:rPr>
                                <w:t> </w:t>
                              </w:r>
                              <w:r>
                                <w:rPr>
                                  <w:rFonts w:ascii="Arial"/>
                                  <w:color w:val="231F20"/>
                                  <w:w w:val="75"/>
                                  <w:sz w:val="12"/>
                                </w:rPr>
                                <w:t>avoid</w:t>
                              </w:r>
                              <w:r>
                                <w:rPr>
                                  <w:rFonts w:ascii="Arial"/>
                                  <w:color w:val="231F20"/>
                                  <w:sz w:val="12"/>
                                </w:rPr>
                                <w:t> </w:t>
                              </w:r>
                              <w:r>
                                <w:rPr>
                                  <w:rFonts w:ascii="Arial"/>
                                  <w:color w:val="231F20"/>
                                  <w:w w:val="75"/>
                                  <w:sz w:val="12"/>
                                </w:rPr>
                                <w:t>composition</w:t>
                              </w:r>
                              <w:r>
                                <w:rPr>
                                  <w:rFonts w:ascii="Arial"/>
                                  <w:color w:val="231F20"/>
                                  <w:spacing w:val="-1"/>
                                  <w:sz w:val="12"/>
                                </w:rPr>
                                <w:t> </w:t>
                              </w:r>
                              <w:r>
                                <w:rPr>
                                  <w:rFonts w:ascii="Arial"/>
                                  <w:color w:val="231F20"/>
                                  <w:w w:val="75"/>
                                  <w:sz w:val="12"/>
                                </w:rPr>
                                <w:t>effects,</w:t>
                              </w:r>
                              <w:r>
                                <w:rPr>
                                  <w:rFonts w:ascii="Arial"/>
                                  <w:color w:val="231F20"/>
                                  <w:spacing w:val="-7"/>
                                  <w:sz w:val="12"/>
                                </w:rPr>
                                <w:t> </w:t>
                              </w:r>
                              <w:r>
                                <w:rPr>
                                  <w:rFonts w:ascii="Arial"/>
                                  <w:color w:val="231F20"/>
                                  <w:w w:val="75"/>
                                  <w:sz w:val="12"/>
                                </w:rPr>
                                <w:t>only</w:t>
                              </w:r>
                              <w:r>
                                <w:rPr>
                                  <w:rFonts w:ascii="Arial"/>
                                  <w:color w:val="231F20"/>
                                  <w:sz w:val="12"/>
                                </w:rPr>
                                <w:t> </w:t>
                              </w:r>
                              <w:r>
                                <w:rPr>
                                  <w:rFonts w:ascii="Arial"/>
                                  <w:color w:val="231F20"/>
                                  <w:w w:val="75"/>
                                  <w:sz w:val="12"/>
                                </w:rPr>
                                <w:t>countries</w:t>
                              </w:r>
                              <w:r>
                                <w:rPr>
                                  <w:rFonts w:ascii="Arial"/>
                                  <w:color w:val="231F20"/>
                                  <w:spacing w:val="-1"/>
                                  <w:sz w:val="12"/>
                                </w:rPr>
                                <w:t> </w:t>
                              </w:r>
                              <w:r>
                                <w:rPr>
                                  <w:rFonts w:ascii="Arial"/>
                                  <w:color w:val="231F20"/>
                                  <w:w w:val="75"/>
                                  <w:sz w:val="12"/>
                                </w:rPr>
                                <w:t>with</w:t>
                              </w:r>
                              <w:r>
                                <w:rPr>
                                  <w:rFonts w:ascii="Arial"/>
                                  <w:color w:val="231F20"/>
                                  <w:sz w:val="12"/>
                                </w:rPr>
                                <w:t> </w:t>
                              </w:r>
                              <w:r>
                                <w:rPr>
                                  <w:rFonts w:ascii="Arial"/>
                                  <w:color w:val="231F20"/>
                                  <w:w w:val="75"/>
                                  <w:sz w:val="12"/>
                                </w:rPr>
                                <w:t>scores</w:t>
                              </w:r>
                              <w:r>
                                <w:rPr>
                                  <w:rFonts w:ascii="Arial"/>
                                  <w:color w:val="231F20"/>
                                  <w:spacing w:val="-1"/>
                                  <w:sz w:val="12"/>
                                </w:rPr>
                                <w:t> </w:t>
                              </w:r>
                              <w:r>
                                <w:rPr>
                                  <w:rFonts w:ascii="Arial"/>
                                  <w:color w:val="231F20"/>
                                  <w:w w:val="75"/>
                                  <w:sz w:val="12"/>
                                </w:rPr>
                                <w:t>in</w:t>
                              </w:r>
                              <w:r>
                                <w:rPr>
                                  <w:rFonts w:ascii="Arial"/>
                                  <w:color w:val="231F20"/>
                                  <w:spacing w:val="-1"/>
                                  <w:sz w:val="12"/>
                                </w:rPr>
                                <w:t> </w:t>
                              </w:r>
                              <w:r>
                                <w:rPr>
                                  <w:rFonts w:ascii="Arial"/>
                                  <w:color w:val="231F20"/>
                                  <w:w w:val="75"/>
                                  <w:sz w:val="12"/>
                                </w:rPr>
                                <w:t>all</w:t>
                              </w:r>
                              <w:r>
                                <w:rPr>
                                  <w:rFonts w:ascii="Arial"/>
                                  <w:color w:val="231F20"/>
                                  <w:sz w:val="12"/>
                                </w:rPr>
                                <w:t> </w:t>
                              </w:r>
                              <w:r>
                                <w:rPr>
                                  <w:rFonts w:ascii="Arial"/>
                                  <w:color w:val="231F20"/>
                                  <w:w w:val="75"/>
                                  <w:sz w:val="12"/>
                                </w:rPr>
                                <w:t>years</w:t>
                              </w:r>
                              <w:r>
                                <w:rPr>
                                  <w:rFonts w:ascii="Arial"/>
                                  <w:color w:val="231F20"/>
                                  <w:spacing w:val="-1"/>
                                  <w:sz w:val="12"/>
                                </w:rPr>
                                <w:t> </w:t>
                              </w:r>
                              <w:r>
                                <w:rPr>
                                  <w:rFonts w:ascii="Arial"/>
                                  <w:color w:val="231F20"/>
                                  <w:w w:val="75"/>
                                  <w:sz w:val="12"/>
                                </w:rPr>
                                <w:t>are</w:t>
                              </w:r>
                              <w:r>
                                <w:rPr>
                                  <w:rFonts w:ascii="Arial"/>
                                  <w:color w:val="231F20"/>
                                  <w:spacing w:val="-1"/>
                                  <w:sz w:val="12"/>
                                </w:rPr>
                                <w:t> </w:t>
                              </w:r>
                              <w:r>
                                <w:rPr>
                                  <w:rFonts w:ascii="Arial"/>
                                  <w:color w:val="231F20"/>
                                  <w:w w:val="75"/>
                                  <w:sz w:val="12"/>
                                </w:rPr>
                                <w:t>included</w:t>
                              </w:r>
                              <w:r>
                                <w:rPr>
                                  <w:rFonts w:ascii="Arial"/>
                                  <w:color w:val="231F20"/>
                                  <w:sz w:val="12"/>
                                </w:rPr>
                                <w:t> </w:t>
                              </w:r>
                              <w:r>
                                <w:rPr>
                                  <w:rFonts w:ascii="Arial"/>
                                  <w:color w:val="231F20"/>
                                  <w:w w:val="75"/>
                                  <w:sz w:val="12"/>
                                </w:rPr>
                                <w:t>in</w:t>
                              </w:r>
                              <w:r>
                                <w:rPr>
                                  <w:rFonts w:ascii="Arial"/>
                                  <w:color w:val="231F20"/>
                                  <w:spacing w:val="-1"/>
                                  <w:sz w:val="12"/>
                                </w:rPr>
                                <w:t> </w:t>
                              </w:r>
                              <w:r>
                                <w:rPr>
                                  <w:rFonts w:ascii="Arial"/>
                                  <w:color w:val="231F20"/>
                                  <w:w w:val="75"/>
                                  <w:sz w:val="12"/>
                                </w:rPr>
                                <w:t>the</w:t>
                              </w:r>
                              <w:r>
                                <w:rPr>
                                  <w:rFonts w:ascii="Arial"/>
                                  <w:color w:val="231F20"/>
                                  <w:spacing w:val="-1"/>
                                  <w:sz w:val="12"/>
                                </w:rPr>
                                <w:t> </w:t>
                              </w:r>
                              <w:r>
                                <w:rPr>
                                  <w:rFonts w:ascii="Arial"/>
                                  <w:color w:val="231F20"/>
                                  <w:spacing w:val="-2"/>
                                  <w:w w:val="75"/>
                                  <w:sz w:val="12"/>
                                </w:rPr>
                                <w:t>analysis.</w:t>
                              </w:r>
                            </w:p>
                          </w:txbxContent>
                        </wps:txbx>
                        <wps:bodyPr wrap="square" lIns="0" tIns="0" rIns="0" bIns="0" rtlCol="0">
                          <a:noAutofit/>
                        </wps:bodyPr>
                      </wps:wsp>
                    </wpg:wgp>
                  </a:graphicData>
                </a:graphic>
              </wp:inline>
            </w:drawing>
          </mc:Choice>
          <mc:Fallback>
            <w:pict>
              <v:group style="width:384pt;height:263pt;mso-position-horizontal-relative:char;mso-position-vertical-relative:line" id="docshapegroup176" coordorigin="0,0" coordsize="7680,5260">
                <v:shape style="position:absolute;left:0;top:409;width:7680;height:4851" id="docshape177" coordorigin="0,409" coordsize="7680,4851" path="m7680,409l0,409,0,5142,10,5188,36,5225,74,5251,119,5260,7556,5260,7602,5251,7641,5228,7669,5191,7680,5142,7680,409xe" filled="true" fillcolor="#dfeaf7" stroked="false">
                  <v:path arrowok="t"/>
                  <v:fill type="solid"/>
                </v:shape>
                <v:shape style="position:absolute;left:409;top:4274;width:7087;height:2" id="docshape178" coordorigin="410,4274" coordsize="7087,0" path="m410,4274l7496,4274m410,4274l7496,4274e" filled="false" stroked="true" strokeweight=".5pt" strokecolor="#ffffff">
                  <v:path arrowok="t"/>
                  <v:stroke dashstyle="solid"/>
                </v:shape>
                <v:line style="position:absolute" from="410,3428" to="7496,3428" stroked="true" strokeweight=".5pt" strokecolor="#ffffff">
                  <v:stroke dashstyle="solid"/>
                </v:line>
                <v:line style="position:absolute" from="410,2583" to="7496,2583" stroked="true" strokeweight=".5pt" strokecolor="#ffffff">
                  <v:stroke dashstyle="solid"/>
                </v:line>
                <v:line style="position:absolute" from="410,1737" to="7496,1737" stroked="true" strokeweight=".5pt" strokecolor="#ffffff">
                  <v:stroke dashstyle="solid"/>
                </v:line>
                <v:line style="position:absolute" from="410,891" to="7496,891" stroked="true" strokeweight=".5pt" strokecolor="#ffffff">
                  <v:stroke dashstyle="solid"/>
                </v:line>
                <v:shape style="position:absolute;left:1456;top:1314;width:4643;height:2840" type="#_x0000_t75" id="docshape179" stroked="false">
                  <v:imagedata r:id="rId41" o:title=""/>
                </v:shape>
                <v:shape style="position:absolute;left:0;top:2;width:807;height:365" id="docshape180" coordorigin="0,3" coordsize="807,365" path="m807,3l120,3,74,7,36,25,10,62,0,123,0,368,807,368,807,3xe" filled="true" fillcolor="#008fdd" stroked="false">
                  <v:path arrowok="t"/>
                  <v:fill type="solid"/>
                </v:shape>
                <v:shape style="position:absolute;left:806;top:2;width:6873;height:365" id="docshape181" coordorigin="807,3" coordsize="6873,365" path="m7559,3l807,3,807,368,7679,368,7679,123,7670,83,7646,44,7608,14,7559,3xe" filled="true" fillcolor="#808285" stroked="false">
                  <v:path arrowok="t"/>
                  <v:fill type="solid"/>
                </v:shape>
                <v:line style="position:absolute" from="807,0" to="807,368" stroked="true" strokeweight="2pt" strokecolor="#ffffff">
                  <v:stroke dashstyle="solid"/>
                </v:line>
                <v:line style="position:absolute" from="6993,651" to="7143,651" stroked="true" strokeweight="1.5pt" strokecolor="#008fdd">
                  <v:stroke dashstyle="solid"/>
                </v:line>
                <v:line style="position:absolute" from="6394,651" to="6544,651" stroked="true" strokeweight="1.5pt" strokecolor="#231f20">
                  <v:stroke dashstyle="solid"/>
                </v:line>
                <v:line style="position:absolute" from="5795,651" to="5945,651" stroked="true" strokeweight="1.5pt" strokecolor="#76aee5">
                  <v:stroke dashstyle="solid"/>
                </v:line>
                <v:line style="position:absolute" from="5197,651" to="5347,651" stroked="true" strokeweight="1.5pt" strokecolor="#808285">
                  <v:stroke dashstyle="solid"/>
                </v:line>
                <v:line style="position:absolute" from="4598,651" to="4748,651" stroked="true" strokeweight="1.5pt" strokecolor="#a8979a">
                  <v:stroke dashstyle="solid"/>
                </v:line>
                <v:shape style="position:absolute;left:120;top:107;width:3651;height:880" type="#_x0000_t202" id="docshape182" filled="false" stroked="false">
                  <v:textbox inset="0,0,0,0">
                    <w:txbxContent>
                      <w:p>
                        <w:pPr>
                          <w:tabs>
                            <w:tab w:pos="799" w:val="left" w:leader="none"/>
                          </w:tabs>
                          <w:spacing w:before="3"/>
                          <w:ind w:left="0" w:right="0" w:firstLine="0"/>
                          <w:jc w:val="left"/>
                          <w:rPr>
                            <w:rFonts w:ascii="Arial" w:hAnsi="Arial"/>
                            <w:b/>
                            <w:sz w:val="16"/>
                          </w:rPr>
                        </w:pPr>
                        <w:r>
                          <w:rPr>
                            <w:rFonts w:ascii="Arial" w:hAnsi="Arial"/>
                            <w:color w:val="FFFFFF"/>
                            <w:w w:val="80"/>
                            <w:sz w:val="16"/>
                          </w:rPr>
                          <w:t>Figure</w:t>
                        </w:r>
                        <w:r>
                          <w:rPr>
                            <w:rFonts w:ascii="Arial" w:hAnsi="Arial"/>
                            <w:color w:val="FFFFFF"/>
                            <w:spacing w:val="8"/>
                            <w:sz w:val="16"/>
                          </w:rPr>
                          <w:t> </w:t>
                        </w:r>
                        <w:r>
                          <w:rPr>
                            <w:rFonts w:ascii="Arial" w:hAnsi="Arial"/>
                            <w:b/>
                            <w:color w:val="FFFFFF"/>
                            <w:spacing w:val="-10"/>
                            <w:sz w:val="16"/>
                          </w:rPr>
                          <w:t>1</w:t>
                        </w:r>
                        <w:r>
                          <w:rPr>
                            <w:rFonts w:ascii="Arial" w:hAnsi="Arial"/>
                            <w:b/>
                            <w:color w:val="FFFFFF"/>
                            <w:sz w:val="16"/>
                          </w:rPr>
                          <w:tab/>
                          <w:t>Distribution</w:t>
                        </w:r>
                        <w:r>
                          <w:rPr>
                            <w:rFonts w:ascii="Arial" w:hAnsi="Arial"/>
                            <w:b/>
                            <w:color w:val="FFFFFF"/>
                            <w:spacing w:val="24"/>
                            <w:sz w:val="16"/>
                          </w:rPr>
                          <w:t> </w:t>
                        </w:r>
                        <w:r>
                          <w:rPr>
                            <w:rFonts w:ascii="Arial" w:hAnsi="Arial"/>
                            <w:b/>
                            <w:color w:val="FFFFFF"/>
                            <w:sz w:val="16"/>
                          </w:rPr>
                          <w:t>of</w:t>
                        </w:r>
                        <w:r>
                          <w:rPr>
                            <w:rFonts w:ascii="Arial" w:hAnsi="Arial"/>
                            <w:b/>
                            <w:color w:val="FFFFFF"/>
                            <w:spacing w:val="24"/>
                            <w:sz w:val="16"/>
                          </w:rPr>
                          <w:t> </w:t>
                        </w:r>
                        <w:r>
                          <w:rPr>
                            <w:rFonts w:ascii="Arial" w:hAnsi="Arial"/>
                            <w:b/>
                            <w:color w:val="FFFFFF"/>
                            <w:sz w:val="16"/>
                          </w:rPr>
                          <w:t>LPI</w:t>
                        </w:r>
                        <w:r>
                          <w:rPr>
                            <w:rFonts w:ascii="Arial" w:hAnsi="Arial"/>
                            <w:b/>
                            <w:color w:val="FFFFFF"/>
                            <w:spacing w:val="25"/>
                            <w:sz w:val="16"/>
                          </w:rPr>
                          <w:t> </w:t>
                        </w:r>
                        <w:r>
                          <w:rPr>
                            <w:rFonts w:ascii="Arial" w:hAnsi="Arial"/>
                            <w:b/>
                            <w:color w:val="FFFFFF"/>
                            <w:sz w:val="16"/>
                          </w:rPr>
                          <w:t>scores,</w:t>
                        </w:r>
                        <w:r>
                          <w:rPr>
                            <w:rFonts w:ascii="Arial" w:hAnsi="Arial"/>
                            <w:b/>
                            <w:color w:val="FFFFFF"/>
                            <w:spacing w:val="24"/>
                            <w:sz w:val="16"/>
                          </w:rPr>
                          <w:t> </w:t>
                        </w:r>
                        <w:r>
                          <w:rPr>
                            <w:rFonts w:ascii="Arial" w:hAnsi="Arial"/>
                            <w:b/>
                            <w:color w:val="FFFFFF"/>
                            <w:spacing w:val="-2"/>
                            <w:sz w:val="16"/>
                          </w:rPr>
                          <w:t>2012–23</w:t>
                        </w:r>
                      </w:p>
                      <w:p>
                        <w:pPr>
                          <w:spacing w:line="260" w:lineRule="atLeast" w:before="172"/>
                          <w:ind w:left="10" w:right="2636" w:hanging="11"/>
                          <w:jc w:val="left"/>
                          <w:rPr>
                            <w:rFonts w:ascii="Arial"/>
                            <w:sz w:val="14"/>
                          </w:rPr>
                        </w:pPr>
                        <w:r>
                          <w:rPr>
                            <w:rFonts w:ascii="Arial"/>
                            <w:color w:val="231F20"/>
                            <w:spacing w:val="-2"/>
                            <w:w w:val="80"/>
                            <w:sz w:val="14"/>
                          </w:rPr>
                          <w:t>Probability</w:t>
                        </w:r>
                        <w:r>
                          <w:rPr>
                            <w:rFonts w:ascii="Arial"/>
                            <w:color w:val="231F20"/>
                            <w:spacing w:val="-8"/>
                            <w:sz w:val="14"/>
                          </w:rPr>
                          <w:t> </w:t>
                        </w:r>
                        <w:r>
                          <w:rPr>
                            <w:rFonts w:ascii="Arial"/>
                            <w:color w:val="231F20"/>
                            <w:spacing w:val="-2"/>
                            <w:w w:val="80"/>
                            <w:sz w:val="14"/>
                          </w:rPr>
                          <w:t>density</w:t>
                        </w:r>
                        <w:r>
                          <w:rPr>
                            <w:rFonts w:ascii="Arial"/>
                            <w:color w:val="231F20"/>
                            <w:spacing w:val="40"/>
                            <w:sz w:val="14"/>
                          </w:rPr>
                          <w:t> </w:t>
                        </w:r>
                        <w:r>
                          <w:rPr>
                            <w:rFonts w:ascii="Arial"/>
                            <w:color w:val="231F20"/>
                            <w:spacing w:val="-4"/>
                            <w:w w:val="90"/>
                            <w:sz w:val="14"/>
                          </w:rPr>
                          <w:t>0.8</w:t>
                        </w:r>
                      </w:p>
                    </w:txbxContent>
                  </v:textbox>
                  <w10:wrap type="none"/>
                </v:shape>
                <v:shape style="position:absolute;left:4805;top:569;width:2684;height:159" type="#_x0000_t202" id="docshape183" filled="false" stroked="false">
                  <v:textbox inset="0,0,0,0">
                    <w:txbxContent>
                      <w:p>
                        <w:pPr>
                          <w:tabs>
                            <w:tab w:pos="598" w:val="left" w:leader="none"/>
                            <w:tab w:pos="1197" w:val="left" w:leader="none"/>
                            <w:tab w:pos="1795" w:val="left" w:leader="none"/>
                            <w:tab w:pos="2394" w:val="left" w:leader="none"/>
                          </w:tabs>
                          <w:spacing w:line="158" w:lineRule="exact" w:before="0"/>
                          <w:ind w:left="0" w:right="0" w:firstLine="0"/>
                          <w:jc w:val="left"/>
                          <w:rPr>
                            <w:rFonts w:ascii="Arial"/>
                            <w:sz w:val="14"/>
                          </w:rPr>
                        </w:pPr>
                        <w:r>
                          <w:rPr>
                            <w:rFonts w:ascii="Arial"/>
                            <w:color w:val="231F20"/>
                            <w:spacing w:val="-4"/>
                            <w:sz w:val="14"/>
                          </w:rPr>
                          <w:t>2012</w:t>
                        </w:r>
                        <w:r>
                          <w:rPr>
                            <w:rFonts w:ascii="Arial"/>
                            <w:color w:val="231F20"/>
                            <w:sz w:val="14"/>
                          </w:rPr>
                          <w:tab/>
                        </w:r>
                        <w:r>
                          <w:rPr>
                            <w:rFonts w:ascii="Arial"/>
                            <w:color w:val="231F20"/>
                            <w:spacing w:val="-4"/>
                            <w:sz w:val="14"/>
                          </w:rPr>
                          <w:t>2014</w:t>
                        </w:r>
                        <w:r>
                          <w:rPr>
                            <w:rFonts w:ascii="Arial"/>
                            <w:color w:val="231F20"/>
                            <w:sz w:val="14"/>
                          </w:rPr>
                          <w:tab/>
                        </w:r>
                        <w:r>
                          <w:rPr>
                            <w:rFonts w:ascii="Arial"/>
                            <w:color w:val="231F20"/>
                            <w:spacing w:val="-4"/>
                            <w:sz w:val="14"/>
                          </w:rPr>
                          <w:t>2016</w:t>
                        </w:r>
                        <w:r>
                          <w:rPr>
                            <w:rFonts w:ascii="Arial"/>
                            <w:color w:val="231F20"/>
                            <w:sz w:val="14"/>
                          </w:rPr>
                          <w:tab/>
                        </w:r>
                        <w:r>
                          <w:rPr>
                            <w:rFonts w:ascii="Arial"/>
                            <w:color w:val="231F20"/>
                            <w:spacing w:val="-4"/>
                            <w:sz w:val="14"/>
                          </w:rPr>
                          <w:t>2018</w:t>
                        </w:r>
                        <w:r>
                          <w:rPr>
                            <w:rFonts w:ascii="Arial"/>
                            <w:color w:val="231F20"/>
                            <w:sz w:val="14"/>
                          </w:rPr>
                          <w:tab/>
                        </w:r>
                        <w:r>
                          <w:rPr>
                            <w:rFonts w:ascii="Arial"/>
                            <w:color w:val="231F20"/>
                            <w:spacing w:val="-9"/>
                            <w:sz w:val="14"/>
                          </w:rPr>
                          <w:t>2023</w:t>
                        </w:r>
                      </w:p>
                    </w:txbxContent>
                  </v:textbox>
                  <w10:wrap type="none"/>
                </v:shape>
                <v:shape style="position:absolute;left:130;top:1674;width:188;height:159" type="#_x0000_t202" id="docshape184" filled="false" stroked="false">
                  <v:textbox inset="0,0,0,0">
                    <w:txbxContent>
                      <w:p>
                        <w:pPr>
                          <w:spacing w:line="158" w:lineRule="exact" w:before="0"/>
                          <w:ind w:left="0" w:right="0" w:firstLine="0"/>
                          <w:jc w:val="left"/>
                          <w:rPr>
                            <w:rFonts w:ascii="Arial"/>
                            <w:sz w:val="14"/>
                          </w:rPr>
                        </w:pPr>
                        <w:r>
                          <w:rPr>
                            <w:rFonts w:ascii="Arial"/>
                            <w:color w:val="231F20"/>
                            <w:spacing w:val="-7"/>
                            <w:sz w:val="14"/>
                          </w:rPr>
                          <w:t>0.6</w:t>
                        </w:r>
                      </w:p>
                    </w:txbxContent>
                  </v:textbox>
                  <w10:wrap type="none"/>
                </v:shape>
                <v:shape style="position:absolute;left:130;top:2520;width:188;height:159" type="#_x0000_t202" id="docshape185" filled="false" stroked="false">
                  <v:textbox inset="0,0,0,0">
                    <w:txbxContent>
                      <w:p>
                        <w:pPr>
                          <w:spacing w:line="158" w:lineRule="exact" w:before="0"/>
                          <w:ind w:left="0" w:right="0" w:firstLine="0"/>
                          <w:jc w:val="left"/>
                          <w:rPr>
                            <w:rFonts w:ascii="Arial"/>
                            <w:sz w:val="14"/>
                          </w:rPr>
                        </w:pPr>
                        <w:r>
                          <w:rPr>
                            <w:rFonts w:ascii="Arial"/>
                            <w:color w:val="231F20"/>
                            <w:spacing w:val="-7"/>
                            <w:sz w:val="14"/>
                          </w:rPr>
                          <w:t>0.4</w:t>
                        </w:r>
                      </w:p>
                    </w:txbxContent>
                  </v:textbox>
                  <w10:wrap type="none"/>
                </v:shape>
                <v:shape style="position:absolute;left:130;top:3366;width:188;height:159" type="#_x0000_t202" id="docshape186" filled="false" stroked="false">
                  <v:textbox inset="0,0,0,0">
                    <w:txbxContent>
                      <w:p>
                        <w:pPr>
                          <w:spacing w:line="158" w:lineRule="exact" w:before="0"/>
                          <w:ind w:left="0" w:right="0" w:firstLine="0"/>
                          <w:jc w:val="left"/>
                          <w:rPr>
                            <w:rFonts w:ascii="Arial"/>
                            <w:sz w:val="14"/>
                          </w:rPr>
                        </w:pPr>
                        <w:r>
                          <w:rPr>
                            <w:rFonts w:ascii="Arial"/>
                            <w:color w:val="231F20"/>
                            <w:spacing w:val="-7"/>
                            <w:sz w:val="14"/>
                          </w:rPr>
                          <w:t>0.2</w:t>
                        </w:r>
                      </w:p>
                    </w:txbxContent>
                  </v:textbox>
                  <w10:wrap type="none"/>
                </v:shape>
                <v:shape style="position:absolute;left:130;top:4212;width:188;height:159" type="#_x0000_t202" id="docshape187" filled="false" stroked="false">
                  <v:textbox inset="0,0,0,0">
                    <w:txbxContent>
                      <w:p>
                        <w:pPr>
                          <w:spacing w:line="158" w:lineRule="exact" w:before="0"/>
                          <w:ind w:left="0" w:right="0" w:firstLine="0"/>
                          <w:jc w:val="left"/>
                          <w:rPr>
                            <w:rFonts w:ascii="Arial"/>
                            <w:sz w:val="14"/>
                          </w:rPr>
                        </w:pPr>
                        <w:r>
                          <w:rPr>
                            <w:rFonts w:ascii="Arial"/>
                            <w:color w:val="231F20"/>
                            <w:spacing w:val="-7"/>
                            <w:sz w:val="14"/>
                          </w:rPr>
                          <w:t>0.0</w:t>
                        </w:r>
                      </w:p>
                    </w:txbxContent>
                  </v:textbox>
                  <w10:wrap type="none"/>
                </v:shape>
                <v:shape style="position:absolute;left:376;top:4332;width:88;height:159" type="#_x0000_t202" id="docshape188" filled="false" stroked="false">
                  <v:textbox inset="0,0,0,0">
                    <w:txbxContent>
                      <w:p>
                        <w:pPr>
                          <w:spacing w:line="158" w:lineRule="exact" w:before="0"/>
                          <w:ind w:left="0" w:right="0" w:firstLine="0"/>
                          <w:jc w:val="left"/>
                          <w:rPr>
                            <w:rFonts w:ascii="Arial"/>
                            <w:sz w:val="14"/>
                          </w:rPr>
                        </w:pPr>
                        <w:r>
                          <w:rPr>
                            <w:rFonts w:ascii="Arial"/>
                            <w:color w:val="231F20"/>
                            <w:spacing w:val="-10"/>
                            <w:sz w:val="14"/>
                          </w:rPr>
                          <w:t>1</w:t>
                        </w:r>
                      </w:p>
                    </w:txbxContent>
                  </v:textbox>
                  <w10:wrap type="none"/>
                </v:shape>
                <v:shape style="position:absolute;left:2147;top:4332;width:88;height:159" type="#_x0000_t202" id="docshape189" filled="false" stroked="false">
                  <v:textbox inset="0,0,0,0">
                    <w:txbxContent>
                      <w:p>
                        <w:pPr>
                          <w:spacing w:line="158" w:lineRule="exact" w:before="0"/>
                          <w:ind w:left="0" w:right="0" w:firstLine="0"/>
                          <w:jc w:val="left"/>
                          <w:rPr>
                            <w:rFonts w:ascii="Arial"/>
                            <w:sz w:val="14"/>
                          </w:rPr>
                        </w:pPr>
                        <w:r>
                          <w:rPr>
                            <w:rFonts w:ascii="Arial"/>
                            <w:color w:val="231F20"/>
                            <w:spacing w:val="-10"/>
                            <w:sz w:val="14"/>
                          </w:rPr>
                          <w:t>2</w:t>
                        </w:r>
                      </w:p>
                    </w:txbxContent>
                  </v:textbox>
                  <w10:wrap type="none"/>
                </v:shape>
                <v:shape style="position:absolute;left:3789;top:4332;width:476;height:339" type="#_x0000_t202" id="docshape190" filled="false" stroked="false">
                  <v:textbox inset="0,0,0,0">
                    <w:txbxContent>
                      <w:p>
                        <w:pPr>
                          <w:spacing w:line="159" w:lineRule="exact" w:before="0"/>
                          <w:ind w:left="130" w:right="0" w:firstLine="0"/>
                          <w:jc w:val="left"/>
                          <w:rPr>
                            <w:rFonts w:ascii="Arial"/>
                            <w:sz w:val="14"/>
                          </w:rPr>
                        </w:pPr>
                        <w:r>
                          <w:rPr>
                            <w:rFonts w:ascii="Arial"/>
                            <w:color w:val="231F20"/>
                            <w:spacing w:val="-10"/>
                            <w:sz w:val="14"/>
                          </w:rPr>
                          <w:t>3</w:t>
                        </w:r>
                      </w:p>
                      <w:p>
                        <w:pPr>
                          <w:spacing w:line="160" w:lineRule="exact" w:before="19"/>
                          <w:ind w:left="0" w:right="0" w:firstLine="0"/>
                          <w:jc w:val="left"/>
                          <w:rPr>
                            <w:rFonts w:ascii="Arial"/>
                            <w:sz w:val="14"/>
                          </w:rPr>
                        </w:pPr>
                        <w:r>
                          <w:rPr>
                            <w:rFonts w:ascii="Arial"/>
                            <w:color w:val="231F20"/>
                            <w:w w:val="70"/>
                            <w:sz w:val="14"/>
                          </w:rPr>
                          <w:t>LPI</w:t>
                        </w:r>
                        <w:r>
                          <w:rPr>
                            <w:rFonts w:ascii="Arial"/>
                            <w:color w:val="231F20"/>
                            <w:spacing w:val="-2"/>
                            <w:sz w:val="14"/>
                          </w:rPr>
                          <w:t> </w:t>
                        </w:r>
                        <w:r>
                          <w:rPr>
                            <w:rFonts w:ascii="Arial"/>
                            <w:color w:val="231F20"/>
                            <w:spacing w:val="-2"/>
                            <w:w w:val="85"/>
                            <w:sz w:val="14"/>
                          </w:rPr>
                          <w:t>score</w:t>
                        </w:r>
                      </w:p>
                    </w:txbxContent>
                  </v:textbox>
                  <w10:wrap type="none"/>
                </v:shape>
                <v:shape style="position:absolute;left:5690;top:4332;width:88;height:159" type="#_x0000_t202" id="docshape191" filled="false" stroked="false">
                  <v:textbox inset="0,0,0,0">
                    <w:txbxContent>
                      <w:p>
                        <w:pPr>
                          <w:spacing w:line="158" w:lineRule="exact" w:before="0"/>
                          <w:ind w:left="0" w:right="0" w:firstLine="0"/>
                          <w:jc w:val="left"/>
                          <w:rPr>
                            <w:rFonts w:ascii="Arial"/>
                            <w:sz w:val="14"/>
                          </w:rPr>
                        </w:pPr>
                        <w:r>
                          <w:rPr>
                            <w:rFonts w:ascii="Arial"/>
                            <w:color w:val="231F20"/>
                            <w:spacing w:val="-10"/>
                            <w:sz w:val="14"/>
                          </w:rPr>
                          <w:t>4</w:t>
                        </w:r>
                      </w:p>
                    </w:txbxContent>
                  </v:textbox>
                  <w10:wrap type="none"/>
                </v:shape>
                <v:shape style="position:absolute;left:7462;top:4332;width:88;height:159" type="#_x0000_t202" id="docshape192" filled="false" stroked="false">
                  <v:textbox inset="0,0,0,0">
                    <w:txbxContent>
                      <w:p>
                        <w:pPr>
                          <w:spacing w:line="158" w:lineRule="exact" w:before="0"/>
                          <w:ind w:left="0" w:right="0" w:firstLine="0"/>
                          <w:jc w:val="left"/>
                          <w:rPr>
                            <w:rFonts w:ascii="Arial"/>
                            <w:sz w:val="14"/>
                          </w:rPr>
                        </w:pPr>
                        <w:r>
                          <w:rPr>
                            <w:rFonts w:ascii="Arial"/>
                            <w:color w:val="231F20"/>
                            <w:spacing w:val="-10"/>
                            <w:sz w:val="14"/>
                          </w:rPr>
                          <w:t>5</w:t>
                        </w:r>
                      </w:p>
                    </w:txbxContent>
                  </v:textbox>
                  <w10:wrap type="none"/>
                </v:shape>
                <v:shape style="position:absolute;left:120;top:4829;width:4253;height:284" type="#_x0000_t202" id="docshape193" filled="false" stroked="false">
                  <v:textbox inset="0,0,0,0">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5"/>
                            <w:sz w:val="12"/>
                          </w:rPr>
                          <w:t> </w:t>
                        </w:r>
                        <w:r>
                          <w:rPr>
                            <w:rFonts w:ascii="Arial"/>
                            <w:color w:val="231F20"/>
                            <w:w w:val="80"/>
                            <w:sz w:val="12"/>
                          </w:rPr>
                          <w:t>2012,</w:t>
                        </w:r>
                        <w:r>
                          <w:rPr>
                            <w:rFonts w:ascii="Arial"/>
                            <w:color w:val="231F20"/>
                            <w:spacing w:val="-3"/>
                            <w:w w:val="80"/>
                            <w:sz w:val="12"/>
                          </w:rPr>
                          <w:t> </w:t>
                        </w:r>
                        <w:r>
                          <w:rPr>
                            <w:rFonts w:ascii="Arial"/>
                            <w:color w:val="231F20"/>
                            <w:w w:val="80"/>
                            <w:sz w:val="12"/>
                          </w:rPr>
                          <w:t>2014,</w:t>
                        </w:r>
                        <w:r>
                          <w:rPr>
                            <w:rFonts w:ascii="Arial"/>
                            <w:color w:val="231F20"/>
                            <w:spacing w:val="-3"/>
                            <w:w w:val="80"/>
                            <w:sz w:val="12"/>
                          </w:rPr>
                          <w:t> </w:t>
                        </w:r>
                        <w:r>
                          <w:rPr>
                            <w:rFonts w:ascii="Arial"/>
                            <w:color w:val="231F20"/>
                            <w:w w:val="80"/>
                            <w:sz w:val="12"/>
                          </w:rPr>
                          <w:t>2016,</w:t>
                        </w:r>
                        <w:r>
                          <w:rPr>
                            <w:rFonts w:ascii="Arial"/>
                            <w:color w:val="231F20"/>
                            <w:spacing w:val="-3"/>
                            <w:w w:val="80"/>
                            <w:sz w:val="12"/>
                          </w:rPr>
                          <w:t> </w:t>
                        </w:r>
                        <w:r>
                          <w:rPr>
                            <w:rFonts w:ascii="Arial"/>
                            <w:color w:val="231F20"/>
                            <w:w w:val="80"/>
                            <w:sz w:val="12"/>
                          </w:rPr>
                          <w:t>2018,</w:t>
                        </w:r>
                        <w:r>
                          <w:rPr>
                            <w:rFonts w:ascii="Arial"/>
                            <w:color w:val="231F20"/>
                            <w:spacing w:val="-3"/>
                            <w:w w:val="80"/>
                            <w:sz w:val="12"/>
                          </w:rPr>
                          <w:t> </w:t>
                        </w:r>
                        <w:r>
                          <w:rPr>
                            <w:rFonts w:ascii="Arial"/>
                            <w:color w:val="231F20"/>
                            <w:w w:val="80"/>
                            <w:sz w:val="12"/>
                          </w:rPr>
                          <w:t>and</w:t>
                        </w:r>
                        <w:r>
                          <w:rPr>
                            <w:rFonts w:ascii="Arial"/>
                            <w:color w:val="231F20"/>
                            <w:spacing w:val="-5"/>
                            <w:sz w:val="12"/>
                          </w:rPr>
                          <w:t> </w:t>
                        </w:r>
                        <w:r>
                          <w:rPr>
                            <w:rFonts w:ascii="Arial"/>
                            <w:color w:val="231F20"/>
                            <w:w w:val="80"/>
                            <w:sz w:val="12"/>
                          </w:rPr>
                          <w:t>2023</w:t>
                        </w:r>
                        <w:r>
                          <w:rPr>
                            <w:rFonts w:ascii="Arial"/>
                            <w:color w:val="231F20"/>
                            <w:spacing w:val="-4"/>
                            <w:sz w:val="12"/>
                          </w:rPr>
                          <w:t> </w:t>
                        </w:r>
                        <w:r>
                          <w:rPr>
                            <w:rFonts w:ascii="Arial"/>
                            <w:color w:val="231F20"/>
                            <w:w w:val="80"/>
                            <w:sz w:val="12"/>
                          </w:rPr>
                          <w:t>Logistics</w:t>
                        </w:r>
                        <w:r>
                          <w:rPr>
                            <w:rFonts w:ascii="Arial"/>
                            <w:color w:val="231F20"/>
                            <w:spacing w:val="-5"/>
                            <w:sz w:val="12"/>
                          </w:rPr>
                          <w:t> </w:t>
                        </w:r>
                        <w:r>
                          <w:rPr>
                            <w:rFonts w:ascii="Arial"/>
                            <w:color w:val="231F20"/>
                            <w:w w:val="80"/>
                            <w:sz w:val="12"/>
                          </w:rPr>
                          <w:t>Performance</w:t>
                        </w:r>
                        <w:r>
                          <w:rPr>
                            <w:rFonts w:ascii="Arial"/>
                            <w:color w:val="231F20"/>
                            <w:spacing w:val="-4"/>
                            <w:sz w:val="12"/>
                          </w:rPr>
                          <w:t> </w:t>
                        </w:r>
                        <w:r>
                          <w:rPr>
                            <w:rFonts w:ascii="Arial"/>
                            <w:color w:val="231F20"/>
                            <w:spacing w:val="-2"/>
                            <w:w w:val="80"/>
                            <w:sz w:val="12"/>
                          </w:rPr>
                          <w:t>Index.</w:t>
                        </w:r>
                      </w:p>
                      <w:p>
                        <w:pPr>
                          <w:spacing w:before="2"/>
                          <w:ind w:left="0" w:right="0" w:firstLine="0"/>
                          <w:jc w:val="left"/>
                          <w:rPr>
                            <w:rFonts w:ascii="Arial"/>
                            <w:sz w:val="12"/>
                          </w:rPr>
                        </w:pPr>
                        <w:r>
                          <w:rPr>
                            <w:rFonts w:ascii="Arial"/>
                            <w:i/>
                            <w:color w:val="231F20"/>
                            <w:w w:val="75"/>
                            <w:sz w:val="12"/>
                          </w:rPr>
                          <w:t>Note:</w:t>
                        </w:r>
                        <w:r>
                          <w:rPr>
                            <w:rFonts w:ascii="Arial"/>
                            <w:i/>
                            <w:color w:val="231F20"/>
                            <w:spacing w:val="-7"/>
                            <w:sz w:val="12"/>
                          </w:rPr>
                          <w:t> </w:t>
                        </w:r>
                        <w:r>
                          <w:rPr>
                            <w:rFonts w:ascii="Arial"/>
                            <w:color w:val="231F20"/>
                            <w:w w:val="75"/>
                            <w:sz w:val="12"/>
                          </w:rPr>
                          <w:t>To</w:t>
                        </w:r>
                        <w:r>
                          <w:rPr>
                            <w:rFonts w:ascii="Arial"/>
                            <w:color w:val="231F20"/>
                            <w:spacing w:val="-1"/>
                            <w:sz w:val="12"/>
                          </w:rPr>
                          <w:t> </w:t>
                        </w:r>
                        <w:r>
                          <w:rPr>
                            <w:rFonts w:ascii="Arial"/>
                            <w:color w:val="231F20"/>
                            <w:w w:val="75"/>
                            <w:sz w:val="12"/>
                          </w:rPr>
                          <w:t>avoid</w:t>
                        </w:r>
                        <w:r>
                          <w:rPr>
                            <w:rFonts w:ascii="Arial"/>
                            <w:color w:val="231F20"/>
                            <w:sz w:val="12"/>
                          </w:rPr>
                          <w:t> </w:t>
                        </w:r>
                        <w:r>
                          <w:rPr>
                            <w:rFonts w:ascii="Arial"/>
                            <w:color w:val="231F20"/>
                            <w:w w:val="75"/>
                            <w:sz w:val="12"/>
                          </w:rPr>
                          <w:t>composition</w:t>
                        </w:r>
                        <w:r>
                          <w:rPr>
                            <w:rFonts w:ascii="Arial"/>
                            <w:color w:val="231F20"/>
                            <w:spacing w:val="-1"/>
                            <w:sz w:val="12"/>
                          </w:rPr>
                          <w:t> </w:t>
                        </w:r>
                        <w:r>
                          <w:rPr>
                            <w:rFonts w:ascii="Arial"/>
                            <w:color w:val="231F20"/>
                            <w:w w:val="75"/>
                            <w:sz w:val="12"/>
                          </w:rPr>
                          <w:t>effects,</w:t>
                        </w:r>
                        <w:r>
                          <w:rPr>
                            <w:rFonts w:ascii="Arial"/>
                            <w:color w:val="231F20"/>
                            <w:spacing w:val="-7"/>
                            <w:sz w:val="12"/>
                          </w:rPr>
                          <w:t> </w:t>
                        </w:r>
                        <w:r>
                          <w:rPr>
                            <w:rFonts w:ascii="Arial"/>
                            <w:color w:val="231F20"/>
                            <w:w w:val="75"/>
                            <w:sz w:val="12"/>
                          </w:rPr>
                          <w:t>only</w:t>
                        </w:r>
                        <w:r>
                          <w:rPr>
                            <w:rFonts w:ascii="Arial"/>
                            <w:color w:val="231F20"/>
                            <w:sz w:val="12"/>
                          </w:rPr>
                          <w:t> </w:t>
                        </w:r>
                        <w:r>
                          <w:rPr>
                            <w:rFonts w:ascii="Arial"/>
                            <w:color w:val="231F20"/>
                            <w:w w:val="75"/>
                            <w:sz w:val="12"/>
                          </w:rPr>
                          <w:t>countries</w:t>
                        </w:r>
                        <w:r>
                          <w:rPr>
                            <w:rFonts w:ascii="Arial"/>
                            <w:color w:val="231F20"/>
                            <w:spacing w:val="-1"/>
                            <w:sz w:val="12"/>
                          </w:rPr>
                          <w:t> </w:t>
                        </w:r>
                        <w:r>
                          <w:rPr>
                            <w:rFonts w:ascii="Arial"/>
                            <w:color w:val="231F20"/>
                            <w:w w:val="75"/>
                            <w:sz w:val="12"/>
                          </w:rPr>
                          <w:t>with</w:t>
                        </w:r>
                        <w:r>
                          <w:rPr>
                            <w:rFonts w:ascii="Arial"/>
                            <w:color w:val="231F20"/>
                            <w:sz w:val="12"/>
                          </w:rPr>
                          <w:t> </w:t>
                        </w:r>
                        <w:r>
                          <w:rPr>
                            <w:rFonts w:ascii="Arial"/>
                            <w:color w:val="231F20"/>
                            <w:w w:val="75"/>
                            <w:sz w:val="12"/>
                          </w:rPr>
                          <w:t>scores</w:t>
                        </w:r>
                        <w:r>
                          <w:rPr>
                            <w:rFonts w:ascii="Arial"/>
                            <w:color w:val="231F20"/>
                            <w:spacing w:val="-1"/>
                            <w:sz w:val="12"/>
                          </w:rPr>
                          <w:t> </w:t>
                        </w:r>
                        <w:r>
                          <w:rPr>
                            <w:rFonts w:ascii="Arial"/>
                            <w:color w:val="231F20"/>
                            <w:w w:val="75"/>
                            <w:sz w:val="12"/>
                          </w:rPr>
                          <w:t>in</w:t>
                        </w:r>
                        <w:r>
                          <w:rPr>
                            <w:rFonts w:ascii="Arial"/>
                            <w:color w:val="231F20"/>
                            <w:spacing w:val="-1"/>
                            <w:sz w:val="12"/>
                          </w:rPr>
                          <w:t> </w:t>
                        </w:r>
                        <w:r>
                          <w:rPr>
                            <w:rFonts w:ascii="Arial"/>
                            <w:color w:val="231F20"/>
                            <w:w w:val="75"/>
                            <w:sz w:val="12"/>
                          </w:rPr>
                          <w:t>all</w:t>
                        </w:r>
                        <w:r>
                          <w:rPr>
                            <w:rFonts w:ascii="Arial"/>
                            <w:color w:val="231F20"/>
                            <w:sz w:val="12"/>
                          </w:rPr>
                          <w:t> </w:t>
                        </w:r>
                        <w:r>
                          <w:rPr>
                            <w:rFonts w:ascii="Arial"/>
                            <w:color w:val="231F20"/>
                            <w:w w:val="75"/>
                            <w:sz w:val="12"/>
                          </w:rPr>
                          <w:t>years</w:t>
                        </w:r>
                        <w:r>
                          <w:rPr>
                            <w:rFonts w:ascii="Arial"/>
                            <w:color w:val="231F20"/>
                            <w:spacing w:val="-1"/>
                            <w:sz w:val="12"/>
                          </w:rPr>
                          <w:t> </w:t>
                        </w:r>
                        <w:r>
                          <w:rPr>
                            <w:rFonts w:ascii="Arial"/>
                            <w:color w:val="231F20"/>
                            <w:w w:val="75"/>
                            <w:sz w:val="12"/>
                          </w:rPr>
                          <w:t>are</w:t>
                        </w:r>
                        <w:r>
                          <w:rPr>
                            <w:rFonts w:ascii="Arial"/>
                            <w:color w:val="231F20"/>
                            <w:spacing w:val="-1"/>
                            <w:sz w:val="12"/>
                          </w:rPr>
                          <w:t> </w:t>
                        </w:r>
                        <w:r>
                          <w:rPr>
                            <w:rFonts w:ascii="Arial"/>
                            <w:color w:val="231F20"/>
                            <w:w w:val="75"/>
                            <w:sz w:val="12"/>
                          </w:rPr>
                          <w:t>included</w:t>
                        </w:r>
                        <w:r>
                          <w:rPr>
                            <w:rFonts w:ascii="Arial"/>
                            <w:color w:val="231F20"/>
                            <w:sz w:val="12"/>
                          </w:rPr>
                          <w:t> </w:t>
                        </w:r>
                        <w:r>
                          <w:rPr>
                            <w:rFonts w:ascii="Arial"/>
                            <w:color w:val="231F20"/>
                            <w:w w:val="75"/>
                            <w:sz w:val="12"/>
                          </w:rPr>
                          <w:t>in</w:t>
                        </w:r>
                        <w:r>
                          <w:rPr>
                            <w:rFonts w:ascii="Arial"/>
                            <w:color w:val="231F20"/>
                            <w:spacing w:val="-1"/>
                            <w:sz w:val="12"/>
                          </w:rPr>
                          <w:t> </w:t>
                        </w:r>
                        <w:r>
                          <w:rPr>
                            <w:rFonts w:ascii="Arial"/>
                            <w:color w:val="231F20"/>
                            <w:w w:val="75"/>
                            <w:sz w:val="12"/>
                          </w:rPr>
                          <w:t>the</w:t>
                        </w:r>
                        <w:r>
                          <w:rPr>
                            <w:rFonts w:ascii="Arial"/>
                            <w:color w:val="231F20"/>
                            <w:spacing w:val="-1"/>
                            <w:sz w:val="12"/>
                          </w:rPr>
                          <w:t> </w:t>
                        </w:r>
                        <w:r>
                          <w:rPr>
                            <w:rFonts w:ascii="Arial"/>
                            <w:color w:val="231F20"/>
                            <w:spacing w:val="-2"/>
                            <w:w w:val="75"/>
                            <w:sz w:val="12"/>
                          </w:rPr>
                          <w:t>analysis.</w:t>
                        </w:r>
                      </w:p>
                    </w:txbxContent>
                  </v:textbox>
                  <w10:wrap type="none"/>
                </v:shape>
              </v:group>
            </w:pict>
          </mc:Fallback>
        </mc:AlternateContent>
      </w:r>
      <w:r>
        <w:rPr>
          <w:sz w:val="20"/>
        </w:rPr>
      </w:r>
    </w:p>
    <w:p>
      <w:pPr>
        <w:spacing w:after="0"/>
        <w:rPr>
          <w:sz w:val="20"/>
        </w:rPr>
        <w:sectPr>
          <w:type w:val="continuous"/>
          <w:pgSz w:w="12240" w:h="15840"/>
          <w:pgMar w:header="370" w:footer="548" w:top="1140" w:bottom="280" w:left="0" w:right="540"/>
        </w:sectPr>
      </w:pPr>
    </w:p>
    <w:p>
      <w:pPr>
        <w:pStyle w:val="BodyText"/>
        <w:rPr>
          <w:sz w:val="20"/>
        </w:rPr>
      </w:pPr>
    </w:p>
    <w:p>
      <w:pPr>
        <w:pStyle w:val="BodyText"/>
        <w:rPr>
          <w:sz w:val="20"/>
        </w:rPr>
      </w:pPr>
    </w:p>
    <w:p>
      <w:pPr>
        <w:pStyle w:val="BodyText"/>
        <w:spacing w:before="37"/>
        <w:rPr>
          <w:sz w:val="20"/>
        </w:rPr>
      </w:pPr>
    </w:p>
    <w:p>
      <w:pPr>
        <w:spacing w:after="0"/>
        <w:rPr>
          <w:sz w:val="20"/>
        </w:rPr>
        <w:sectPr>
          <w:headerReference w:type="default" r:id="rId42"/>
          <w:headerReference w:type="even" r:id="rId43"/>
          <w:footerReference w:type="default" r:id="rId44"/>
          <w:footerReference w:type="even" r:id="rId45"/>
          <w:pgSz w:w="12240" w:h="15840"/>
          <w:pgMar w:header="370" w:footer="548" w:top="560" w:bottom="740" w:left="0" w:right="540"/>
          <w:pgNumType w:start="3"/>
        </w:sectPr>
      </w:pPr>
    </w:p>
    <w:p>
      <w:pPr>
        <w:pStyle w:val="BodyText"/>
        <w:spacing w:line="268" w:lineRule="auto" w:before="97"/>
        <w:ind w:left="1200"/>
        <w:jc w:val="both"/>
      </w:pPr>
      <w:bookmarkStart w:name="_bookmark6" w:id="7"/>
      <w:bookmarkEnd w:id="7"/>
      <w:r>
        <w:rPr/>
      </w:r>
      <w:r>
        <w:rPr>
          <w:color w:val="231F20"/>
          <w:w w:val="90"/>
        </w:rPr>
        <w:t>below</w:t>
      </w:r>
      <w:r>
        <w:rPr>
          <w:color w:val="231F20"/>
          <w:spacing w:val="-7"/>
          <w:w w:val="90"/>
        </w:rPr>
        <w:t> </w:t>
      </w:r>
      <w:r>
        <w:rPr>
          <w:color w:val="231F20"/>
          <w:w w:val="90"/>
        </w:rPr>
        <w:t>(and</w:t>
      </w:r>
      <w:r>
        <w:rPr>
          <w:color w:val="231F20"/>
          <w:spacing w:val="-7"/>
          <w:w w:val="90"/>
        </w:rPr>
        <w:t> </w:t>
      </w:r>
      <w:r>
        <w:rPr>
          <w:color w:val="231F20"/>
          <w:w w:val="90"/>
        </w:rPr>
        <w:t>an</w:t>
      </w:r>
      <w:r>
        <w:rPr>
          <w:color w:val="231F20"/>
          <w:spacing w:val="-7"/>
          <w:w w:val="90"/>
        </w:rPr>
        <w:t> </w:t>
      </w:r>
      <w:r>
        <w:rPr>
          <w:color w:val="231F20"/>
          <w:w w:val="90"/>
        </w:rPr>
        <w:t>average</w:t>
      </w:r>
      <w:r>
        <w:rPr>
          <w:color w:val="231F20"/>
          <w:spacing w:val="-7"/>
          <w:w w:val="90"/>
        </w:rPr>
        <w:t> </w:t>
      </w:r>
      <w:r>
        <w:rPr>
          <w:color w:val="231F20"/>
          <w:w w:val="90"/>
        </w:rPr>
        <w:t>score</w:t>
      </w:r>
      <w:r>
        <w:rPr>
          <w:color w:val="231F20"/>
          <w:spacing w:val="-7"/>
          <w:w w:val="90"/>
        </w:rPr>
        <w:t> </w:t>
      </w:r>
      <w:r>
        <w:rPr>
          <w:color w:val="231F20"/>
          <w:w w:val="90"/>
        </w:rPr>
        <w:t>of</w:t>
      </w:r>
      <w:r>
        <w:rPr>
          <w:color w:val="231F20"/>
          <w:spacing w:val="-7"/>
          <w:w w:val="90"/>
        </w:rPr>
        <w:t> </w:t>
      </w:r>
      <w:r>
        <w:rPr>
          <w:color w:val="231F20"/>
          <w:w w:val="90"/>
        </w:rPr>
        <w:t>2.4)</w:t>
      </w:r>
      <w:r>
        <w:rPr>
          <w:color w:val="231F20"/>
          <w:spacing w:val="-7"/>
          <w:w w:val="90"/>
        </w:rPr>
        <w:t> </w:t>
      </w:r>
      <w:r>
        <w:rPr>
          <w:color w:val="231F20"/>
          <w:w w:val="90"/>
        </w:rPr>
        <w:t>that</w:t>
      </w:r>
      <w:r>
        <w:rPr>
          <w:color w:val="231F20"/>
          <w:spacing w:val="-7"/>
          <w:w w:val="90"/>
        </w:rPr>
        <w:t> </w:t>
      </w:r>
      <w:r>
        <w:rPr>
          <w:color w:val="231F20"/>
          <w:w w:val="90"/>
        </w:rPr>
        <w:t>were</w:t>
      </w:r>
      <w:r>
        <w:rPr>
          <w:color w:val="231F20"/>
          <w:spacing w:val="-7"/>
          <w:w w:val="90"/>
        </w:rPr>
        <w:t> </w:t>
      </w:r>
      <w:r>
        <w:rPr>
          <w:color w:val="231F20"/>
          <w:w w:val="90"/>
        </w:rPr>
        <w:t>not </w:t>
      </w:r>
      <w:r>
        <w:rPr>
          <w:color w:val="231F20"/>
          <w:spacing w:val="-4"/>
        </w:rPr>
        <w:t>included</w:t>
      </w:r>
      <w:r>
        <w:rPr>
          <w:color w:val="231F20"/>
          <w:spacing w:val="-10"/>
        </w:rPr>
        <w:t> </w:t>
      </w:r>
      <w:r>
        <w:rPr>
          <w:color w:val="231F20"/>
          <w:spacing w:val="-4"/>
        </w:rPr>
        <w:t>in</w:t>
      </w:r>
      <w:r>
        <w:rPr>
          <w:color w:val="231F20"/>
          <w:spacing w:val="-9"/>
        </w:rPr>
        <w:t> </w:t>
      </w:r>
      <w:r>
        <w:rPr>
          <w:color w:val="231F20"/>
          <w:spacing w:val="-4"/>
        </w:rPr>
        <w:t>the</w:t>
      </w:r>
      <w:r>
        <w:rPr>
          <w:color w:val="231F20"/>
          <w:spacing w:val="-9"/>
        </w:rPr>
        <w:t> </w:t>
      </w:r>
      <w:r>
        <w:rPr>
          <w:color w:val="231F20"/>
          <w:spacing w:val="-4"/>
        </w:rPr>
        <w:t>2023</w:t>
      </w:r>
      <w:r>
        <w:rPr>
          <w:color w:val="231F20"/>
          <w:spacing w:val="-9"/>
        </w:rPr>
        <w:t> </w:t>
      </w:r>
      <w:r>
        <w:rPr>
          <w:color w:val="231F20"/>
          <w:spacing w:val="-4"/>
        </w:rPr>
        <w:t>sample.</w:t>
      </w:r>
      <w:r>
        <w:rPr>
          <w:color w:val="231F20"/>
          <w:spacing w:val="-9"/>
        </w:rPr>
        <w:t> </w:t>
      </w:r>
      <w:r>
        <w:rPr>
          <w:color w:val="231F20"/>
          <w:spacing w:val="-4"/>
        </w:rPr>
        <w:t>This</w:t>
      </w:r>
      <w:r>
        <w:rPr>
          <w:color w:val="231F20"/>
          <w:spacing w:val="-9"/>
        </w:rPr>
        <w:t> </w:t>
      </w:r>
      <w:r>
        <w:rPr>
          <w:color w:val="231F20"/>
          <w:spacing w:val="-4"/>
        </w:rPr>
        <w:t>makes</w:t>
      </w:r>
      <w:r>
        <w:rPr>
          <w:color w:val="231F20"/>
          <w:spacing w:val="-9"/>
        </w:rPr>
        <w:t> </w:t>
      </w:r>
      <w:r>
        <w:rPr>
          <w:color w:val="231F20"/>
          <w:spacing w:val="-4"/>
        </w:rPr>
        <w:t>com- </w:t>
      </w:r>
      <w:r>
        <w:rPr>
          <w:color w:val="231F20"/>
          <w:spacing w:val="-6"/>
        </w:rPr>
        <w:t>paring</w:t>
      </w:r>
      <w:r>
        <w:rPr>
          <w:color w:val="231F20"/>
          <w:spacing w:val="-7"/>
        </w:rPr>
        <w:t> </w:t>
      </w:r>
      <w:r>
        <w:rPr>
          <w:color w:val="231F20"/>
          <w:spacing w:val="-6"/>
        </w:rPr>
        <w:t>the</w:t>
      </w:r>
      <w:r>
        <w:rPr>
          <w:color w:val="231F20"/>
          <w:spacing w:val="-7"/>
        </w:rPr>
        <w:t> </w:t>
      </w:r>
      <w:r>
        <w:rPr>
          <w:color w:val="231F20"/>
          <w:spacing w:val="-6"/>
        </w:rPr>
        <w:t>bottom</w:t>
      </w:r>
      <w:r>
        <w:rPr>
          <w:color w:val="231F20"/>
          <w:spacing w:val="-7"/>
        </w:rPr>
        <w:t> </w:t>
      </w:r>
      <w:r>
        <w:rPr>
          <w:color w:val="231F20"/>
          <w:spacing w:val="-6"/>
        </w:rPr>
        <w:t>tail</w:t>
      </w:r>
      <w:r>
        <w:rPr>
          <w:color w:val="231F20"/>
          <w:spacing w:val="-7"/>
        </w:rPr>
        <w:t> </w:t>
      </w:r>
      <w:r>
        <w:rPr>
          <w:color w:val="231F20"/>
          <w:spacing w:val="-6"/>
        </w:rPr>
        <w:t>difficult</w:t>
      </w:r>
      <w:r>
        <w:rPr>
          <w:color w:val="231F20"/>
          <w:spacing w:val="-7"/>
        </w:rPr>
        <w:t> </w:t>
      </w:r>
      <w:r>
        <w:rPr>
          <w:color w:val="231F20"/>
          <w:spacing w:val="-6"/>
        </w:rPr>
        <w:t>between</w:t>
      </w:r>
      <w:r>
        <w:rPr>
          <w:color w:val="231F20"/>
          <w:spacing w:val="-7"/>
        </w:rPr>
        <w:t> </w:t>
      </w:r>
      <w:r>
        <w:rPr>
          <w:color w:val="231F20"/>
          <w:spacing w:val="-6"/>
        </w:rPr>
        <w:t>the</w:t>
      </w:r>
      <w:r>
        <w:rPr>
          <w:color w:val="231F20"/>
          <w:spacing w:val="-7"/>
        </w:rPr>
        <w:t> </w:t>
      </w:r>
      <w:r>
        <w:rPr>
          <w:color w:val="231F20"/>
          <w:spacing w:val="-6"/>
        </w:rPr>
        <w:t>two </w:t>
      </w:r>
      <w:r>
        <w:rPr>
          <w:color w:val="231F20"/>
          <w:spacing w:val="-2"/>
        </w:rPr>
        <w:t>years.</w:t>
      </w:r>
    </w:p>
    <w:p>
      <w:pPr>
        <w:pStyle w:val="BodyText"/>
        <w:spacing w:line="268" w:lineRule="auto"/>
        <w:ind w:left="1200" w:firstLine="300"/>
        <w:jc w:val="both"/>
      </w:pPr>
      <w:r>
        <w:rPr>
          <w:color w:val="231F20"/>
        </w:rPr>
        <w:t>Despite this, a considerable gap in per- formance persists between the top and bot- tom scorers. Although the average score of </w:t>
      </w:r>
      <w:r>
        <w:rPr>
          <w:color w:val="231F20"/>
          <w:spacing w:val="-2"/>
        </w:rPr>
        <w:t>low</w:t>
      </w:r>
      <w:r>
        <w:rPr>
          <w:color w:val="231F20"/>
          <w:spacing w:val="-12"/>
        </w:rPr>
        <w:t> </w:t>
      </w:r>
      <w:r>
        <w:rPr>
          <w:color w:val="231F20"/>
          <w:spacing w:val="-2"/>
        </w:rPr>
        <w:t>performers</w:t>
      </w:r>
      <w:r>
        <w:rPr>
          <w:color w:val="231F20"/>
          <w:spacing w:val="-11"/>
        </w:rPr>
        <w:t> </w:t>
      </w:r>
      <w:r>
        <w:rPr>
          <w:color w:val="231F20"/>
          <w:spacing w:val="-2"/>
        </w:rPr>
        <w:t>has</w:t>
      </w:r>
      <w:r>
        <w:rPr>
          <w:color w:val="231F20"/>
          <w:spacing w:val="-11"/>
        </w:rPr>
        <w:t> </w:t>
      </w:r>
      <w:r>
        <w:rPr>
          <w:color w:val="231F20"/>
          <w:spacing w:val="-2"/>
        </w:rPr>
        <w:t>increased,</w:t>
      </w:r>
      <w:r>
        <w:rPr>
          <w:color w:val="231F20"/>
          <w:spacing w:val="-11"/>
        </w:rPr>
        <w:t> </w:t>
      </w:r>
      <w:r>
        <w:rPr>
          <w:color w:val="231F20"/>
          <w:spacing w:val="-2"/>
        </w:rPr>
        <w:t>some</w:t>
      </w:r>
      <w:r>
        <w:rPr>
          <w:color w:val="231F20"/>
          <w:spacing w:val="-11"/>
        </w:rPr>
        <w:t> </w:t>
      </w:r>
      <w:r>
        <w:rPr>
          <w:color w:val="231F20"/>
          <w:spacing w:val="-2"/>
        </w:rPr>
        <w:t>countries have</w:t>
      </w:r>
      <w:r>
        <w:rPr>
          <w:color w:val="231F20"/>
          <w:spacing w:val="-12"/>
        </w:rPr>
        <w:t> </w:t>
      </w:r>
      <w:r>
        <w:rPr>
          <w:color w:val="231F20"/>
          <w:spacing w:val="-2"/>
        </w:rPr>
        <w:t>stayed</w:t>
      </w:r>
      <w:r>
        <w:rPr>
          <w:color w:val="231F20"/>
          <w:spacing w:val="-11"/>
        </w:rPr>
        <w:t> </w:t>
      </w:r>
      <w:r>
        <w:rPr>
          <w:color w:val="231F20"/>
          <w:spacing w:val="-2"/>
        </w:rPr>
        <w:t>at</w:t>
      </w:r>
      <w:r>
        <w:rPr>
          <w:color w:val="231F20"/>
          <w:spacing w:val="-11"/>
        </w:rPr>
        <w:t> </w:t>
      </w:r>
      <w:r>
        <w:rPr>
          <w:color w:val="231F20"/>
          <w:spacing w:val="-2"/>
        </w:rPr>
        <w:t>their</w:t>
      </w:r>
      <w:r>
        <w:rPr>
          <w:color w:val="231F20"/>
          <w:spacing w:val="-11"/>
        </w:rPr>
        <w:t> </w:t>
      </w:r>
      <w:r>
        <w:rPr>
          <w:color w:val="231F20"/>
          <w:spacing w:val="-2"/>
        </w:rPr>
        <w:t>previous</w:t>
      </w:r>
      <w:r>
        <w:rPr>
          <w:color w:val="231F20"/>
          <w:spacing w:val="-11"/>
        </w:rPr>
        <w:t> </w:t>
      </w:r>
      <w:r>
        <w:rPr>
          <w:color w:val="231F20"/>
          <w:spacing w:val="-2"/>
        </w:rPr>
        <w:t>levels.</w:t>
      </w:r>
      <w:r>
        <w:rPr>
          <w:color w:val="231F20"/>
          <w:spacing w:val="-11"/>
        </w:rPr>
        <w:t> </w:t>
      </w:r>
      <w:r>
        <w:rPr>
          <w:color w:val="231F20"/>
          <w:spacing w:val="-2"/>
        </w:rPr>
        <w:t>These</w:t>
      </w:r>
      <w:r>
        <w:rPr>
          <w:color w:val="231F20"/>
          <w:spacing w:val="-11"/>
        </w:rPr>
        <w:t> </w:t>
      </w:r>
      <w:r>
        <w:rPr>
          <w:color w:val="231F20"/>
          <w:spacing w:val="-2"/>
        </w:rPr>
        <w:t>are </w:t>
      </w:r>
      <w:r>
        <w:rPr>
          <w:color w:val="231F20"/>
          <w:spacing w:val="-4"/>
        </w:rPr>
        <w:t>typically</w:t>
      </w:r>
      <w:r>
        <w:rPr>
          <w:color w:val="231F20"/>
          <w:spacing w:val="-6"/>
        </w:rPr>
        <w:t> </w:t>
      </w:r>
      <w:r>
        <w:rPr>
          <w:color w:val="231F20"/>
          <w:spacing w:val="-4"/>
        </w:rPr>
        <w:t>the poor logistics performers—those </w:t>
      </w:r>
      <w:r>
        <w:rPr>
          <w:color w:val="231F20"/>
          <w:spacing w:val="-2"/>
        </w:rPr>
        <w:t>with</w:t>
      </w:r>
      <w:r>
        <w:rPr>
          <w:color w:val="231F20"/>
          <w:spacing w:val="-12"/>
        </w:rPr>
        <w:t> </w:t>
      </w:r>
      <w:r>
        <w:rPr>
          <w:color w:val="231F20"/>
          <w:spacing w:val="-2"/>
        </w:rPr>
        <w:t>severe</w:t>
      </w:r>
      <w:r>
        <w:rPr>
          <w:color w:val="231F20"/>
          <w:spacing w:val="-11"/>
        </w:rPr>
        <w:t> </w:t>
      </w:r>
      <w:r>
        <w:rPr>
          <w:color w:val="231F20"/>
          <w:spacing w:val="-2"/>
        </w:rPr>
        <w:t>logistics</w:t>
      </w:r>
      <w:r>
        <w:rPr>
          <w:color w:val="231F20"/>
          <w:spacing w:val="-11"/>
        </w:rPr>
        <w:t> </w:t>
      </w:r>
      <w:r>
        <w:rPr>
          <w:color w:val="231F20"/>
          <w:spacing w:val="-2"/>
        </w:rPr>
        <w:t>constraints</w:t>
      </w:r>
      <w:r>
        <w:rPr>
          <w:color w:val="231F20"/>
          <w:spacing w:val="-11"/>
        </w:rPr>
        <w:t> </w:t>
      </w:r>
      <w:r>
        <w:rPr>
          <w:color w:val="231F20"/>
          <w:spacing w:val="-2"/>
        </w:rPr>
        <w:t>(43</w:t>
      </w:r>
      <w:r>
        <w:rPr>
          <w:color w:val="231F20"/>
          <w:spacing w:val="-11"/>
        </w:rPr>
        <w:t> </w:t>
      </w:r>
      <w:r>
        <w:rPr>
          <w:color w:val="231F20"/>
          <w:spacing w:val="-2"/>
        </w:rPr>
        <w:t>countries </w:t>
      </w:r>
      <w:r>
        <w:rPr>
          <w:color w:val="231F20"/>
        </w:rPr>
        <w:t>in</w:t>
      </w:r>
      <w:r>
        <w:rPr>
          <w:color w:val="231F20"/>
          <w:spacing w:val="-8"/>
        </w:rPr>
        <w:t> </w:t>
      </w:r>
      <w:r>
        <w:rPr>
          <w:color w:val="231F20"/>
        </w:rPr>
        <w:t>the</w:t>
      </w:r>
      <w:r>
        <w:rPr>
          <w:color w:val="231F20"/>
          <w:spacing w:val="-8"/>
        </w:rPr>
        <w:t> </w:t>
      </w:r>
      <w:r>
        <w:rPr>
          <w:color w:val="231F20"/>
        </w:rPr>
        <w:t>bottom</w:t>
      </w:r>
      <w:r>
        <w:rPr>
          <w:color w:val="231F20"/>
          <w:spacing w:val="-8"/>
        </w:rPr>
        <w:t> </w:t>
      </w:r>
      <w:r>
        <w:rPr>
          <w:color w:val="231F20"/>
        </w:rPr>
        <w:t>performance</w:t>
      </w:r>
      <w:r>
        <w:rPr>
          <w:color w:val="231F20"/>
          <w:spacing w:val="-8"/>
        </w:rPr>
        <w:t> </w:t>
      </w:r>
      <w:r>
        <w:rPr>
          <w:color w:val="231F20"/>
        </w:rPr>
        <w:t>quintile).</w:t>
      </w:r>
      <w:r>
        <w:rPr>
          <w:color w:val="231F20"/>
          <w:position w:val="7"/>
          <w:sz w:val="14"/>
        </w:rPr>
        <w:t>4</w:t>
      </w:r>
      <w:r>
        <w:rPr>
          <w:color w:val="231F20"/>
          <w:spacing w:val="9"/>
          <w:position w:val="7"/>
          <w:sz w:val="14"/>
        </w:rPr>
        <w:t> </w:t>
      </w:r>
      <w:r>
        <w:rPr>
          <w:color w:val="231F20"/>
        </w:rPr>
        <w:t>Partial </w:t>
      </w:r>
      <w:r>
        <w:rPr>
          <w:color w:val="231F20"/>
          <w:spacing w:val="-4"/>
        </w:rPr>
        <w:t>performers</w:t>
      </w:r>
      <w:r>
        <w:rPr>
          <w:color w:val="231F20"/>
          <w:spacing w:val="-5"/>
        </w:rPr>
        <w:t> </w:t>
      </w:r>
      <w:r>
        <w:rPr>
          <w:color w:val="231F20"/>
          <w:spacing w:val="-4"/>
        </w:rPr>
        <w:t>have</w:t>
      </w:r>
      <w:r>
        <w:rPr>
          <w:color w:val="231F20"/>
          <w:spacing w:val="-5"/>
        </w:rPr>
        <w:t> </w:t>
      </w:r>
      <w:r>
        <w:rPr>
          <w:color w:val="231F20"/>
          <w:spacing w:val="-4"/>
        </w:rPr>
        <w:t>logistics</w:t>
      </w:r>
      <w:r>
        <w:rPr>
          <w:color w:val="231F20"/>
          <w:spacing w:val="-5"/>
        </w:rPr>
        <w:t> </w:t>
      </w:r>
      <w:r>
        <w:rPr>
          <w:color w:val="231F20"/>
          <w:spacing w:val="-4"/>
        </w:rPr>
        <w:t>constraints</w:t>
      </w:r>
      <w:r>
        <w:rPr>
          <w:color w:val="231F20"/>
          <w:spacing w:val="-5"/>
        </w:rPr>
        <w:t> </w:t>
      </w:r>
      <w:r>
        <w:rPr>
          <w:color w:val="231F20"/>
          <w:spacing w:val="-4"/>
        </w:rPr>
        <w:t>typically seen</w:t>
      </w:r>
      <w:r>
        <w:rPr>
          <w:color w:val="231F20"/>
          <w:spacing w:val="-5"/>
        </w:rPr>
        <w:t> </w:t>
      </w:r>
      <w:r>
        <w:rPr>
          <w:color w:val="231F20"/>
          <w:spacing w:val="-4"/>
        </w:rPr>
        <w:t>in</w:t>
      </w:r>
      <w:r>
        <w:rPr>
          <w:color w:val="231F20"/>
          <w:spacing w:val="-5"/>
        </w:rPr>
        <w:t> </w:t>
      </w:r>
      <w:r>
        <w:rPr>
          <w:color w:val="231F20"/>
          <w:spacing w:val="-4"/>
        </w:rPr>
        <w:t>low-</w:t>
      </w:r>
      <w:r>
        <w:rPr>
          <w:color w:val="231F20"/>
          <w:spacing w:val="-5"/>
        </w:rPr>
        <w:t> </w:t>
      </w:r>
      <w:r>
        <w:rPr>
          <w:color w:val="231F20"/>
          <w:spacing w:val="-4"/>
        </w:rPr>
        <w:t>and</w:t>
      </w:r>
      <w:r>
        <w:rPr>
          <w:color w:val="231F20"/>
          <w:spacing w:val="-5"/>
        </w:rPr>
        <w:t> </w:t>
      </w:r>
      <w:r>
        <w:rPr>
          <w:color w:val="231F20"/>
          <w:spacing w:val="-4"/>
        </w:rPr>
        <w:t>middle-income</w:t>
      </w:r>
      <w:r>
        <w:rPr>
          <w:color w:val="231F20"/>
          <w:spacing w:val="-5"/>
        </w:rPr>
        <w:t> </w:t>
      </w:r>
      <w:r>
        <w:rPr>
          <w:color w:val="231F20"/>
          <w:spacing w:val="-4"/>
        </w:rPr>
        <w:t>countries</w:t>
      </w:r>
      <w:r>
        <w:rPr>
          <w:color w:val="231F20"/>
          <w:spacing w:val="-5"/>
        </w:rPr>
        <w:t> </w:t>
      </w:r>
      <w:r>
        <w:rPr>
          <w:color w:val="231F20"/>
          <w:spacing w:val="-4"/>
        </w:rPr>
        <w:t>(46 countries</w:t>
      </w:r>
      <w:r>
        <w:rPr>
          <w:color w:val="231F20"/>
          <w:spacing w:val="-10"/>
        </w:rPr>
        <w:t> </w:t>
      </w:r>
      <w:r>
        <w:rPr>
          <w:color w:val="231F20"/>
          <w:spacing w:val="-4"/>
        </w:rPr>
        <w:t>in</w:t>
      </w:r>
      <w:r>
        <w:rPr>
          <w:color w:val="231F20"/>
          <w:spacing w:val="-9"/>
        </w:rPr>
        <w:t> </w:t>
      </w:r>
      <w:r>
        <w:rPr>
          <w:color w:val="231F20"/>
          <w:spacing w:val="-4"/>
        </w:rPr>
        <w:t>the</w:t>
      </w:r>
      <w:r>
        <w:rPr>
          <w:color w:val="231F20"/>
          <w:spacing w:val="-9"/>
        </w:rPr>
        <w:t> </w:t>
      </w:r>
      <w:r>
        <w:rPr>
          <w:color w:val="231F20"/>
          <w:spacing w:val="-4"/>
        </w:rPr>
        <w:t>middle</w:t>
      </w:r>
      <w:r>
        <w:rPr>
          <w:color w:val="231F20"/>
          <w:spacing w:val="-9"/>
        </w:rPr>
        <w:t> </w:t>
      </w:r>
      <w:r>
        <w:rPr>
          <w:color w:val="231F20"/>
          <w:spacing w:val="-4"/>
        </w:rPr>
        <w:t>quintile</w:t>
      </w:r>
      <w:r>
        <w:rPr>
          <w:color w:val="231F20"/>
          <w:spacing w:val="-9"/>
        </w:rPr>
        <w:t> </w:t>
      </w:r>
      <w:r>
        <w:rPr>
          <w:color w:val="231F20"/>
          <w:spacing w:val="-4"/>
        </w:rPr>
        <w:t>and</w:t>
      </w:r>
      <w:r>
        <w:rPr>
          <w:color w:val="231F20"/>
          <w:spacing w:val="-9"/>
        </w:rPr>
        <w:t> </w:t>
      </w:r>
      <w:r>
        <w:rPr>
          <w:color w:val="231F20"/>
          <w:spacing w:val="-4"/>
        </w:rPr>
        <w:t>the</w:t>
      </w:r>
      <w:r>
        <w:rPr>
          <w:color w:val="231F20"/>
          <w:spacing w:val="-9"/>
        </w:rPr>
        <w:t> </w:t>
      </w:r>
      <w:r>
        <w:rPr>
          <w:color w:val="231F20"/>
          <w:spacing w:val="-4"/>
        </w:rPr>
        <w:t>second </w:t>
      </w:r>
      <w:r>
        <w:rPr>
          <w:color w:val="231F20"/>
        </w:rPr>
        <w:t>quintile from the bottom). Countries in the </w:t>
      </w:r>
      <w:r>
        <w:rPr>
          <w:color w:val="231F20"/>
          <w:spacing w:val="-6"/>
        </w:rPr>
        <w:t>top two performance groups typically received </w:t>
      </w:r>
      <w:r>
        <w:rPr>
          <w:color w:val="231F20"/>
        </w:rPr>
        <w:t>slightly</w:t>
      </w:r>
      <w:r>
        <w:rPr>
          <w:color w:val="231F20"/>
          <w:spacing w:val="-14"/>
        </w:rPr>
        <w:t> </w:t>
      </w:r>
      <w:r>
        <w:rPr>
          <w:color w:val="231F20"/>
        </w:rPr>
        <w:t>higher</w:t>
      </w:r>
      <w:r>
        <w:rPr>
          <w:color w:val="231F20"/>
          <w:spacing w:val="-13"/>
        </w:rPr>
        <w:t> </w:t>
      </w:r>
      <w:r>
        <w:rPr>
          <w:color w:val="231F20"/>
        </w:rPr>
        <w:t>scores</w:t>
      </w:r>
      <w:r>
        <w:rPr>
          <w:color w:val="231F20"/>
          <w:spacing w:val="-13"/>
        </w:rPr>
        <w:t> </w:t>
      </w:r>
      <w:r>
        <w:rPr>
          <w:color w:val="231F20"/>
        </w:rPr>
        <w:t>in</w:t>
      </w:r>
      <w:r>
        <w:rPr>
          <w:color w:val="231F20"/>
          <w:spacing w:val="-13"/>
        </w:rPr>
        <w:t> </w:t>
      </w:r>
      <w:r>
        <w:rPr>
          <w:color w:val="231F20"/>
        </w:rPr>
        <w:t>the</w:t>
      </w:r>
      <w:r>
        <w:rPr>
          <w:color w:val="231F20"/>
          <w:spacing w:val="-13"/>
        </w:rPr>
        <w:t> </w:t>
      </w:r>
      <w:r>
        <w:rPr>
          <w:color w:val="231F20"/>
        </w:rPr>
        <w:t>2023</w:t>
      </w:r>
      <w:r>
        <w:rPr>
          <w:color w:val="231F20"/>
          <w:spacing w:val="-13"/>
        </w:rPr>
        <w:t> </w:t>
      </w:r>
      <w:r>
        <w:rPr>
          <w:color w:val="231F20"/>
        </w:rPr>
        <w:t>LPI</w:t>
      </w:r>
      <w:r>
        <w:rPr>
          <w:color w:val="231F20"/>
          <w:spacing w:val="-13"/>
        </w:rPr>
        <w:t> </w:t>
      </w:r>
      <w:r>
        <w:rPr>
          <w:color w:val="231F20"/>
        </w:rPr>
        <w:t>than</w:t>
      </w:r>
      <w:r>
        <w:rPr>
          <w:color w:val="231F20"/>
          <w:spacing w:val="-13"/>
        </w:rPr>
        <w:t> </w:t>
      </w:r>
      <w:r>
        <w:rPr>
          <w:color w:val="231F20"/>
        </w:rPr>
        <w:t>in </w:t>
      </w:r>
      <w:r>
        <w:rPr>
          <w:color w:val="231F20"/>
          <w:spacing w:val="-2"/>
        </w:rPr>
        <w:t>2018</w:t>
      </w:r>
      <w:r>
        <w:rPr>
          <w:color w:val="231F20"/>
          <w:spacing w:val="-12"/>
        </w:rPr>
        <w:t> </w:t>
      </w:r>
      <w:r>
        <w:rPr>
          <w:color w:val="231F20"/>
          <w:spacing w:val="-2"/>
        </w:rPr>
        <w:t>and</w:t>
      </w:r>
      <w:r>
        <w:rPr>
          <w:color w:val="231F20"/>
          <w:spacing w:val="-11"/>
        </w:rPr>
        <w:t> </w:t>
      </w:r>
      <w:r>
        <w:rPr>
          <w:color w:val="231F20"/>
          <w:spacing w:val="-2"/>
        </w:rPr>
        <w:t>earlier.</w:t>
      </w:r>
      <w:r>
        <w:rPr>
          <w:color w:val="231F20"/>
          <w:spacing w:val="-11"/>
        </w:rPr>
        <w:t> </w:t>
      </w:r>
      <w:r>
        <w:rPr>
          <w:color w:val="231F20"/>
          <w:spacing w:val="-2"/>
        </w:rPr>
        <w:t>They</w:t>
      </w:r>
      <w:r>
        <w:rPr>
          <w:color w:val="231F20"/>
          <w:spacing w:val="-11"/>
        </w:rPr>
        <w:t> </w:t>
      </w:r>
      <w:r>
        <w:rPr>
          <w:color w:val="231F20"/>
          <w:spacing w:val="-2"/>
        </w:rPr>
        <w:t>include</w:t>
      </w:r>
      <w:r>
        <w:rPr>
          <w:color w:val="231F20"/>
          <w:spacing w:val="-11"/>
        </w:rPr>
        <w:t> </w:t>
      </w:r>
      <w:r>
        <w:rPr>
          <w:color w:val="231F20"/>
          <w:spacing w:val="-2"/>
        </w:rPr>
        <w:t>consistent</w:t>
      </w:r>
      <w:r>
        <w:rPr>
          <w:color w:val="231F20"/>
          <w:spacing w:val="-11"/>
        </w:rPr>
        <w:t> </w:t>
      </w:r>
      <w:r>
        <w:rPr>
          <w:color w:val="231F20"/>
          <w:spacing w:val="-2"/>
        </w:rPr>
        <w:t>per- </w:t>
      </w:r>
      <w:r>
        <w:rPr>
          <w:color w:val="231F20"/>
          <w:spacing w:val="-4"/>
        </w:rPr>
        <w:t>formers,</w:t>
      </w:r>
      <w:r>
        <w:rPr>
          <w:color w:val="231F20"/>
          <w:spacing w:val="-10"/>
        </w:rPr>
        <w:t> </w:t>
      </w:r>
      <w:r>
        <w:rPr>
          <w:color w:val="231F20"/>
          <w:spacing w:val="-4"/>
        </w:rPr>
        <w:t>countries</w:t>
      </w:r>
      <w:r>
        <w:rPr>
          <w:color w:val="231F20"/>
          <w:spacing w:val="-9"/>
        </w:rPr>
        <w:t> </w:t>
      </w:r>
      <w:r>
        <w:rPr>
          <w:color w:val="231F20"/>
          <w:spacing w:val="-4"/>
        </w:rPr>
        <w:t>rated</w:t>
      </w:r>
      <w:r>
        <w:rPr>
          <w:color w:val="231F20"/>
          <w:spacing w:val="-9"/>
        </w:rPr>
        <w:t> </w:t>
      </w:r>
      <w:r>
        <w:rPr>
          <w:color w:val="231F20"/>
          <w:spacing w:val="-4"/>
        </w:rPr>
        <w:t>better</w:t>
      </w:r>
      <w:r>
        <w:rPr>
          <w:color w:val="231F20"/>
          <w:spacing w:val="-9"/>
        </w:rPr>
        <w:t> </w:t>
      </w:r>
      <w:r>
        <w:rPr>
          <w:color w:val="231F20"/>
          <w:spacing w:val="-4"/>
        </w:rPr>
        <w:t>on</w:t>
      </w:r>
      <w:r>
        <w:rPr>
          <w:color w:val="231F20"/>
          <w:spacing w:val="-9"/>
        </w:rPr>
        <w:t> </w:t>
      </w:r>
      <w:r>
        <w:rPr>
          <w:color w:val="231F20"/>
          <w:spacing w:val="-4"/>
        </w:rPr>
        <w:t>logistics</w:t>
      </w:r>
      <w:r>
        <w:rPr>
          <w:color w:val="231F20"/>
          <w:spacing w:val="-9"/>
        </w:rPr>
        <w:t> </w:t>
      </w:r>
      <w:r>
        <w:rPr>
          <w:color w:val="231F20"/>
          <w:spacing w:val="-4"/>
        </w:rPr>
        <w:t>per- </w:t>
      </w:r>
      <w:r>
        <w:rPr>
          <w:color w:val="231F20"/>
        </w:rPr>
        <w:t>formance than most others in their income </w:t>
      </w:r>
      <w:r>
        <w:rPr>
          <w:color w:val="231F20"/>
          <w:spacing w:val="-6"/>
        </w:rPr>
        <w:t>group (25 countries in the second quintile from </w:t>
      </w:r>
      <w:r>
        <w:rPr>
          <w:color w:val="231F20"/>
          <w:spacing w:val="-2"/>
        </w:rPr>
        <w:t>the</w:t>
      </w:r>
      <w:r>
        <w:rPr>
          <w:color w:val="231F20"/>
          <w:spacing w:val="-12"/>
        </w:rPr>
        <w:t> </w:t>
      </w:r>
      <w:r>
        <w:rPr>
          <w:color w:val="231F20"/>
          <w:spacing w:val="-2"/>
        </w:rPr>
        <w:t>top)—and</w:t>
      </w:r>
      <w:r>
        <w:rPr>
          <w:color w:val="231F20"/>
          <w:spacing w:val="-11"/>
        </w:rPr>
        <w:t> </w:t>
      </w:r>
      <w:r>
        <w:rPr>
          <w:color w:val="231F20"/>
          <w:spacing w:val="-2"/>
        </w:rPr>
        <w:t>logistics-friendly</w:t>
      </w:r>
      <w:r>
        <w:rPr>
          <w:color w:val="231F20"/>
          <w:spacing w:val="-11"/>
        </w:rPr>
        <w:t> </w:t>
      </w:r>
      <w:r>
        <w:rPr>
          <w:color w:val="231F20"/>
          <w:spacing w:val="-2"/>
        </w:rPr>
        <w:t>countries,</w:t>
      </w:r>
      <w:r>
        <w:rPr>
          <w:color w:val="231F20"/>
          <w:spacing w:val="-11"/>
        </w:rPr>
        <w:t> </w:t>
      </w:r>
      <w:r>
        <w:rPr>
          <w:color w:val="231F20"/>
          <w:spacing w:val="-2"/>
        </w:rPr>
        <w:t>the </w:t>
      </w:r>
      <w:r>
        <w:rPr>
          <w:color w:val="231F20"/>
          <w:spacing w:val="-6"/>
        </w:rPr>
        <w:t>top</w:t>
      </w:r>
      <w:r>
        <w:rPr>
          <w:color w:val="231F20"/>
          <w:spacing w:val="-7"/>
        </w:rPr>
        <w:t> </w:t>
      </w:r>
      <w:r>
        <w:rPr>
          <w:color w:val="231F20"/>
          <w:spacing w:val="-6"/>
        </w:rPr>
        <w:t>scorers,</w:t>
      </w:r>
      <w:r>
        <w:rPr>
          <w:color w:val="231F20"/>
          <w:spacing w:val="-7"/>
        </w:rPr>
        <w:t> </w:t>
      </w:r>
      <w:r>
        <w:rPr>
          <w:color w:val="231F20"/>
          <w:spacing w:val="-6"/>
        </w:rPr>
        <w:t>most</w:t>
      </w:r>
      <w:r>
        <w:rPr>
          <w:color w:val="231F20"/>
          <w:spacing w:val="-7"/>
        </w:rPr>
        <w:t> </w:t>
      </w:r>
      <w:r>
        <w:rPr>
          <w:color w:val="231F20"/>
          <w:spacing w:val="-6"/>
        </w:rPr>
        <w:t>of</w:t>
      </w:r>
      <w:r>
        <w:rPr>
          <w:color w:val="231F20"/>
          <w:spacing w:val="-7"/>
        </w:rPr>
        <w:t> </w:t>
      </w:r>
      <w:r>
        <w:rPr>
          <w:color w:val="231F20"/>
          <w:spacing w:val="-6"/>
        </w:rPr>
        <w:t>which</w:t>
      </w:r>
      <w:r>
        <w:rPr>
          <w:color w:val="231F20"/>
          <w:spacing w:val="-7"/>
        </w:rPr>
        <w:t> </w:t>
      </w:r>
      <w:r>
        <w:rPr>
          <w:color w:val="231F20"/>
          <w:spacing w:val="-6"/>
        </w:rPr>
        <w:t>are</w:t>
      </w:r>
      <w:r>
        <w:rPr>
          <w:color w:val="231F20"/>
          <w:spacing w:val="-7"/>
        </w:rPr>
        <w:t> </w:t>
      </w:r>
      <w:r>
        <w:rPr>
          <w:color w:val="231F20"/>
          <w:spacing w:val="-6"/>
        </w:rPr>
        <w:t>high</w:t>
      </w:r>
      <w:r>
        <w:rPr>
          <w:color w:val="231F20"/>
          <w:spacing w:val="-7"/>
        </w:rPr>
        <w:t> </w:t>
      </w:r>
      <w:r>
        <w:rPr>
          <w:color w:val="231F20"/>
          <w:spacing w:val="-6"/>
        </w:rPr>
        <w:t>income</w:t>
      </w:r>
      <w:r>
        <w:rPr>
          <w:color w:val="231F20"/>
          <w:spacing w:val="-7"/>
        </w:rPr>
        <w:t> </w:t>
      </w:r>
      <w:r>
        <w:rPr>
          <w:color w:val="231F20"/>
          <w:spacing w:val="-6"/>
        </w:rPr>
        <w:t>(25 </w:t>
      </w:r>
      <w:r>
        <w:rPr>
          <w:color w:val="231F20"/>
        </w:rPr>
        <w:t>countries in the top quintile).</w:t>
      </w:r>
    </w:p>
    <w:p>
      <w:pPr>
        <w:pStyle w:val="BodyText"/>
        <w:spacing w:before="20"/>
      </w:pPr>
    </w:p>
    <w:p>
      <w:pPr>
        <w:spacing w:line="280" w:lineRule="auto" w:before="1"/>
        <w:ind w:left="1200" w:right="0" w:firstLine="0"/>
        <w:jc w:val="left"/>
        <w:rPr>
          <w:rFonts w:ascii="Arial"/>
          <w:b/>
          <w:sz w:val="20"/>
        </w:rPr>
      </w:pPr>
      <w:r>
        <w:rPr>
          <w:rFonts w:ascii="Arial"/>
          <w:b/>
          <w:color w:val="231F20"/>
          <w:w w:val="105"/>
          <w:sz w:val="20"/>
        </w:rPr>
        <w:t>Strong overall logistics performance is driven by good performance across all six LPI components</w:t>
      </w:r>
    </w:p>
    <w:p>
      <w:pPr>
        <w:pStyle w:val="BodyText"/>
        <w:spacing w:before="34"/>
        <w:rPr>
          <w:rFonts w:ascii="Arial"/>
          <w:b/>
          <w:sz w:val="20"/>
        </w:rPr>
      </w:pPr>
    </w:p>
    <w:p>
      <w:pPr>
        <w:pStyle w:val="BodyText"/>
        <w:spacing w:line="268" w:lineRule="auto"/>
        <w:ind w:left="1200"/>
        <w:jc w:val="both"/>
      </w:pPr>
      <w:r>
        <w:rPr>
          <w:color w:val="231F20"/>
        </w:rPr>
        <w:t>Several trends observed in past LPI reports still</w:t>
      </w:r>
      <w:r>
        <w:rPr>
          <w:color w:val="231F20"/>
          <w:spacing w:val="-9"/>
        </w:rPr>
        <w:t> </w:t>
      </w:r>
      <w:r>
        <w:rPr>
          <w:color w:val="231F20"/>
        </w:rPr>
        <w:t>hold.</w:t>
      </w:r>
      <w:r>
        <w:rPr>
          <w:color w:val="231F20"/>
          <w:spacing w:val="-9"/>
        </w:rPr>
        <w:t> </w:t>
      </w:r>
      <w:r>
        <w:rPr>
          <w:color w:val="231F20"/>
        </w:rPr>
        <w:t>The</w:t>
      </w:r>
      <w:r>
        <w:rPr>
          <w:color w:val="231F20"/>
          <w:spacing w:val="-9"/>
        </w:rPr>
        <w:t> </w:t>
      </w:r>
      <w:r>
        <w:rPr>
          <w:color w:val="231F20"/>
        </w:rPr>
        <w:t>timeliness</w:t>
      </w:r>
      <w:r>
        <w:rPr>
          <w:color w:val="231F20"/>
          <w:spacing w:val="-9"/>
        </w:rPr>
        <w:t> </w:t>
      </w:r>
      <w:r>
        <w:rPr>
          <w:color w:val="231F20"/>
        </w:rPr>
        <w:t>component</w:t>
      </w:r>
      <w:r>
        <w:rPr>
          <w:color w:val="231F20"/>
          <w:spacing w:val="-9"/>
        </w:rPr>
        <w:t> </w:t>
      </w:r>
      <w:r>
        <w:rPr>
          <w:color w:val="231F20"/>
        </w:rPr>
        <w:t>outper- forms the other components in all perfor- mance</w:t>
      </w:r>
      <w:r>
        <w:rPr>
          <w:color w:val="231F20"/>
          <w:spacing w:val="-13"/>
        </w:rPr>
        <w:t> </w:t>
      </w:r>
      <w:r>
        <w:rPr>
          <w:color w:val="231F20"/>
        </w:rPr>
        <w:t>quintiles,</w:t>
      </w:r>
      <w:r>
        <w:rPr>
          <w:color w:val="231F20"/>
          <w:spacing w:val="-13"/>
        </w:rPr>
        <w:t> </w:t>
      </w:r>
      <w:r>
        <w:rPr>
          <w:color w:val="231F20"/>
        </w:rPr>
        <w:t>except</w:t>
      </w:r>
      <w:r>
        <w:rPr>
          <w:color w:val="231F20"/>
          <w:spacing w:val="-13"/>
        </w:rPr>
        <w:t> </w:t>
      </w:r>
      <w:r>
        <w:rPr>
          <w:color w:val="231F20"/>
        </w:rPr>
        <w:t>the</w:t>
      </w:r>
      <w:r>
        <w:rPr>
          <w:color w:val="231F20"/>
          <w:spacing w:val="-13"/>
        </w:rPr>
        <w:t> </w:t>
      </w:r>
      <w:r>
        <w:rPr>
          <w:color w:val="231F20"/>
        </w:rPr>
        <w:t>top</w:t>
      </w:r>
      <w:r>
        <w:rPr>
          <w:color w:val="231F20"/>
          <w:spacing w:val="-13"/>
        </w:rPr>
        <w:t> </w:t>
      </w:r>
      <w:r>
        <w:rPr>
          <w:color w:val="231F20"/>
        </w:rPr>
        <w:t>one,</w:t>
      </w:r>
      <w:r>
        <w:rPr>
          <w:color w:val="231F20"/>
          <w:spacing w:val="-13"/>
        </w:rPr>
        <w:t> </w:t>
      </w:r>
      <w:r>
        <w:rPr>
          <w:color w:val="231F20"/>
        </w:rPr>
        <w:t>whereas </w:t>
      </w:r>
      <w:r>
        <w:rPr>
          <w:color w:val="231F20"/>
          <w:spacing w:val="-2"/>
        </w:rPr>
        <w:t>the</w:t>
      </w:r>
      <w:r>
        <w:rPr>
          <w:color w:val="231F20"/>
          <w:spacing w:val="-10"/>
        </w:rPr>
        <w:t> </w:t>
      </w:r>
      <w:r>
        <w:rPr>
          <w:color w:val="231F20"/>
          <w:spacing w:val="-2"/>
        </w:rPr>
        <w:t>performance</w:t>
      </w:r>
      <w:r>
        <w:rPr>
          <w:color w:val="231F20"/>
          <w:spacing w:val="-10"/>
        </w:rPr>
        <w:t> </w:t>
      </w:r>
      <w:r>
        <w:rPr>
          <w:color w:val="231F20"/>
          <w:spacing w:val="-2"/>
        </w:rPr>
        <w:t>of</w:t>
      </w:r>
      <w:r>
        <w:rPr>
          <w:color w:val="231F20"/>
          <w:spacing w:val="-10"/>
        </w:rPr>
        <w:t> </w:t>
      </w:r>
      <w:r>
        <w:rPr>
          <w:color w:val="231F20"/>
          <w:spacing w:val="-2"/>
        </w:rPr>
        <w:t>customs</w:t>
      </w:r>
      <w:r>
        <w:rPr>
          <w:color w:val="231F20"/>
          <w:spacing w:val="-10"/>
        </w:rPr>
        <w:t> </w:t>
      </w:r>
      <w:r>
        <w:rPr>
          <w:color w:val="231F20"/>
          <w:spacing w:val="-2"/>
        </w:rPr>
        <w:t>and</w:t>
      </w:r>
      <w:r>
        <w:rPr>
          <w:color w:val="231F20"/>
          <w:spacing w:val="-10"/>
        </w:rPr>
        <w:t> </w:t>
      </w:r>
      <w:r>
        <w:rPr>
          <w:color w:val="231F20"/>
          <w:spacing w:val="-2"/>
        </w:rPr>
        <w:t>border</w:t>
      </w:r>
      <w:r>
        <w:rPr>
          <w:color w:val="231F20"/>
          <w:spacing w:val="-10"/>
        </w:rPr>
        <w:t> </w:t>
      </w:r>
      <w:r>
        <w:rPr>
          <w:color w:val="231F20"/>
          <w:spacing w:val="-2"/>
        </w:rPr>
        <w:t>agen- </w:t>
      </w:r>
      <w:r>
        <w:rPr>
          <w:color w:val="231F20"/>
          <w:spacing w:val="-4"/>
        </w:rPr>
        <w:t>cies</w:t>
      </w:r>
      <w:r>
        <w:rPr>
          <w:color w:val="231F20"/>
          <w:spacing w:val="-10"/>
        </w:rPr>
        <w:t> </w:t>
      </w:r>
      <w:r>
        <w:rPr>
          <w:color w:val="231F20"/>
          <w:spacing w:val="-4"/>
        </w:rPr>
        <w:t>underperforms</w:t>
      </w:r>
      <w:r>
        <w:rPr>
          <w:color w:val="231F20"/>
          <w:spacing w:val="-9"/>
        </w:rPr>
        <w:t> </w:t>
      </w:r>
      <w:r>
        <w:rPr>
          <w:color w:val="231F20"/>
          <w:spacing w:val="-4"/>
        </w:rPr>
        <w:t>the</w:t>
      </w:r>
      <w:r>
        <w:rPr>
          <w:color w:val="231F20"/>
          <w:spacing w:val="-9"/>
        </w:rPr>
        <w:t> </w:t>
      </w:r>
      <w:r>
        <w:rPr>
          <w:color w:val="231F20"/>
          <w:spacing w:val="-4"/>
        </w:rPr>
        <w:t>other</w:t>
      </w:r>
      <w:r>
        <w:rPr>
          <w:color w:val="231F20"/>
          <w:spacing w:val="-9"/>
        </w:rPr>
        <w:t> </w:t>
      </w:r>
      <w:r>
        <w:rPr>
          <w:color w:val="231F20"/>
          <w:spacing w:val="-4"/>
        </w:rPr>
        <w:t>components.</w:t>
      </w:r>
      <w:r>
        <w:rPr>
          <w:color w:val="231F20"/>
          <w:spacing w:val="-9"/>
        </w:rPr>
        <w:t> </w:t>
      </w:r>
      <w:r>
        <w:rPr>
          <w:color w:val="231F20"/>
          <w:spacing w:val="-4"/>
        </w:rPr>
        <w:t>The </w:t>
      </w:r>
      <w:r>
        <w:rPr>
          <w:color w:val="231F20"/>
        </w:rPr>
        <w:t>quality of trade and transport infrastructure </w:t>
      </w:r>
      <w:r>
        <w:rPr>
          <w:color w:val="231F20"/>
          <w:spacing w:val="-6"/>
        </w:rPr>
        <w:t>remains below the overall LPI score in the bot- </w:t>
      </w:r>
      <w:r>
        <w:rPr>
          <w:color w:val="231F20"/>
        </w:rPr>
        <w:t>tom</w:t>
      </w:r>
      <w:r>
        <w:rPr>
          <w:color w:val="231F20"/>
          <w:spacing w:val="-6"/>
        </w:rPr>
        <w:t> </w:t>
      </w:r>
      <w:r>
        <w:rPr>
          <w:color w:val="231F20"/>
        </w:rPr>
        <w:t>three</w:t>
      </w:r>
      <w:r>
        <w:rPr>
          <w:color w:val="231F20"/>
          <w:spacing w:val="-6"/>
        </w:rPr>
        <w:t> </w:t>
      </w:r>
      <w:r>
        <w:rPr>
          <w:color w:val="231F20"/>
        </w:rPr>
        <w:t>quintiles.</w:t>
      </w:r>
      <w:r>
        <w:rPr>
          <w:color w:val="231F20"/>
          <w:spacing w:val="-6"/>
        </w:rPr>
        <w:t> </w:t>
      </w:r>
      <w:r>
        <w:rPr>
          <w:color w:val="231F20"/>
        </w:rPr>
        <w:t>But</w:t>
      </w:r>
      <w:r>
        <w:rPr>
          <w:color w:val="231F20"/>
          <w:spacing w:val="-6"/>
        </w:rPr>
        <w:t> </w:t>
      </w:r>
      <w:r>
        <w:rPr>
          <w:color w:val="231F20"/>
        </w:rPr>
        <w:t>there</w:t>
      </w:r>
      <w:r>
        <w:rPr>
          <w:color w:val="231F20"/>
          <w:spacing w:val="-6"/>
        </w:rPr>
        <w:t> </w:t>
      </w:r>
      <w:r>
        <w:rPr>
          <w:color w:val="231F20"/>
        </w:rPr>
        <w:t>is</w:t>
      </w:r>
      <w:r>
        <w:rPr>
          <w:color w:val="231F20"/>
          <w:spacing w:val="-6"/>
        </w:rPr>
        <w:t> </w:t>
      </w:r>
      <w:r>
        <w:rPr>
          <w:color w:val="231F20"/>
        </w:rPr>
        <w:t>a</w:t>
      </w:r>
      <w:r>
        <w:rPr>
          <w:color w:val="231F20"/>
          <w:spacing w:val="-6"/>
        </w:rPr>
        <w:t> </w:t>
      </w:r>
      <w:r>
        <w:rPr>
          <w:color w:val="231F20"/>
        </w:rPr>
        <w:t>clear</w:t>
      </w:r>
      <w:r>
        <w:rPr>
          <w:color w:val="231F20"/>
          <w:spacing w:val="-6"/>
        </w:rPr>
        <w:t> </w:t>
      </w:r>
      <w:r>
        <w:rPr>
          <w:color w:val="231F20"/>
        </w:rPr>
        <w:t>dete- </w:t>
      </w:r>
      <w:r>
        <w:rPr>
          <w:color w:val="231F20"/>
          <w:spacing w:val="-4"/>
        </w:rPr>
        <w:t>rioration</w:t>
      </w:r>
      <w:r>
        <w:rPr>
          <w:color w:val="231F20"/>
          <w:spacing w:val="-10"/>
        </w:rPr>
        <w:t> </w:t>
      </w:r>
      <w:r>
        <w:rPr>
          <w:color w:val="231F20"/>
          <w:spacing w:val="-4"/>
        </w:rPr>
        <w:t>in</w:t>
      </w:r>
      <w:r>
        <w:rPr>
          <w:color w:val="231F20"/>
          <w:spacing w:val="-9"/>
        </w:rPr>
        <w:t> </w:t>
      </w:r>
      <w:r>
        <w:rPr>
          <w:color w:val="231F20"/>
          <w:spacing w:val="-4"/>
        </w:rPr>
        <w:t>timeliness</w:t>
      </w:r>
      <w:r>
        <w:rPr>
          <w:color w:val="231F20"/>
          <w:spacing w:val="-9"/>
        </w:rPr>
        <w:t> </w:t>
      </w:r>
      <w:r>
        <w:rPr>
          <w:color w:val="231F20"/>
          <w:spacing w:val="-4"/>
        </w:rPr>
        <w:t>scores</w:t>
      </w:r>
      <w:r>
        <w:rPr>
          <w:color w:val="231F20"/>
          <w:spacing w:val="-9"/>
        </w:rPr>
        <w:t> </w:t>
      </w:r>
      <w:r>
        <w:rPr>
          <w:color w:val="231F20"/>
          <w:spacing w:val="-4"/>
        </w:rPr>
        <w:t>in</w:t>
      </w:r>
      <w:r>
        <w:rPr>
          <w:color w:val="231F20"/>
          <w:spacing w:val="-9"/>
        </w:rPr>
        <w:t> </w:t>
      </w:r>
      <w:r>
        <w:rPr>
          <w:color w:val="231F20"/>
          <w:spacing w:val="-4"/>
        </w:rPr>
        <w:t>absolute</w:t>
      </w:r>
      <w:r>
        <w:rPr>
          <w:color w:val="231F20"/>
          <w:spacing w:val="-9"/>
        </w:rPr>
        <w:t> </w:t>
      </w:r>
      <w:r>
        <w:rPr>
          <w:color w:val="231F20"/>
          <w:spacing w:val="-4"/>
        </w:rPr>
        <w:t>terms </w:t>
      </w:r>
      <w:r>
        <w:rPr>
          <w:color w:val="231F20"/>
          <w:spacing w:val="-2"/>
        </w:rPr>
        <w:t>in</w:t>
      </w:r>
      <w:r>
        <w:rPr>
          <w:color w:val="231F20"/>
          <w:spacing w:val="-10"/>
        </w:rPr>
        <w:t> </w:t>
      </w:r>
      <w:r>
        <w:rPr>
          <w:color w:val="231F20"/>
          <w:spacing w:val="-2"/>
        </w:rPr>
        <w:t>all</w:t>
      </w:r>
      <w:r>
        <w:rPr>
          <w:color w:val="231F20"/>
          <w:spacing w:val="-10"/>
        </w:rPr>
        <w:t> </w:t>
      </w:r>
      <w:r>
        <w:rPr>
          <w:color w:val="231F20"/>
          <w:spacing w:val="-2"/>
        </w:rPr>
        <w:t>quintiles</w:t>
      </w:r>
      <w:r>
        <w:rPr>
          <w:color w:val="231F20"/>
          <w:spacing w:val="-10"/>
        </w:rPr>
        <w:t> </w:t>
      </w:r>
      <w:r>
        <w:rPr>
          <w:color w:val="231F20"/>
          <w:spacing w:val="-2"/>
        </w:rPr>
        <w:t>due</w:t>
      </w:r>
      <w:r>
        <w:rPr>
          <w:color w:val="231F20"/>
          <w:spacing w:val="-10"/>
        </w:rPr>
        <w:t> </w:t>
      </w:r>
      <w:r>
        <w:rPr>
          <w:color w:val="231F20"/>
          <w:spacing w:val="-2"/>
        </w:rPr>
        <w:t>to</w:t>
      </w:r>
      <w:r>
        <w:rPr>
          <w:color w:val="231F20"/>
          <w:spacing w:val="-10"/>
        </w:rPr>
        <w:t> </w:t>
      </w:r>
      <w:r>
        <w:rPr>
          <w:color w:val="231F20"/>
          <w:spacing w:val="-2"/>
        </w:rPr>
        <w:t>the</w:t>
      </w:r>
      <w:r>
        <w:rPr>
          <w:color w:val="231F20"/>
          <w:spacing w:val="-10"/>
        </w:rPr>
        <w:t> </w:t>
      </w:r>
      <w:r>
        <w:rPr>
          <w:color w:val="231F20"/>
          <w:spacing w:val="-2"/>
        </w:rPr>
        <w:t>effects</w:t>
      </w:r>
      <w:r>
        <w:rPr>
          <w:color w:val="231F20"/>
          <w:spacing w:val="-10"/>
        </w:rPr>
        <w:t> </w:t>
      </w:r>
      <w:r>
        <w:rPr>
          <w:color w:val="231F20"/>
          <w:spacing w:val="-2"/>
        </w:rPr>
        <w:t>of</w:t>
      </w:r>
      <w:r>
        <w:rPr>
          <w:color w:val="231F20"/>
          <w:spacing w:val="-10"/>
        </w:rPr>
        <w:t> </w:t>
      </w:r>
      <w:r>
        <w:rPr>
          <w:color w:val="231F20"/>
          <w:spacing w:val="-2"/>
        </w:rPr>
        <w:t>the</w:t>
      </w:r>
      <w:r>
        <w:rPr>
          <w:color w:val="231F20"/>
          <w:spacing w:val="-10"/>
        </w:rPr>
        <w:t> </w:t>
      </w:r>
      <w:r>
        <w:rPr>
          <w:color w:val="231F20"/>
          <w:spacing w:val="-2"/>
        </w:rPr>
        <w:t>supply </w:t>
      </w:r>
      <w:r>
        <w:rPr>
          <w:color w:val="231F20"/>
        </w:rPr>
        <w:t>chain</w:t>
      </w:r>
      <w:r>
        <w:rPr>
          <w:color w:val="231F20"/>
          <w:spacing w:val="-3"/>
        </w:rPr>
        <w:t> </w:t>
      </w:r>
      <w:r>
        <w:rPr>
          <w:color w:val="231F20"/>
        </w:rPr>
        <w:t>crisis,</w:t>
      </w:r>
      <w:r>
        <w:rPr>
          <w:color w:val="231F20"/>
          <w:spacing w:val="-3"/>
        </w:rPr>
        <w:t> </w:t>
      </w:r>
      <w:r>
        <w:rPr>
          <w:color w:val="231F20"/>
        </w:rPr>
        <w:t>which</w:t>
      </w:r>
      <w:r>
        <w:rPr>
          <w:color w:val="231F20"/>
          <w:spacing w:val="-3"/>
        </w:rPr>
        <w:t> </w:t>
      </w:r>
      <w:r>
        <w:rPr>
          <w:color w:val="231F20"/>
        </w:rPr>
        <w:t>were</w:t>
      </w:r>
      <w:r>
        <w:rPr>
          <w:color w:val="231F20"/>
          <w:spacing w:val="-3"/>
        </w:rPr>
        <w:t> </w:t>
      </w:r>
      <w:r>
        <w:rPr>
          <w:color w:val="231F20"/>
        </w:rPr>
        <w:t>felt</w:t>
      </w:r>
      <w:r>
        <w:rPr>
          <w:color w:val="231F20"/>
          <w:spacing w:val="-3"/>
        </w:rPr>
        <w:t> </w:t>
      </w:r>
      <w:r>
        <w:rPr>
          <w:color w:val="231F20"/>
        </w:rPr>
        <w:t>most</w:t>
      </w:r>
      <w:r>
        <w:rPr>
          <w:color w:val="231F20"/>
          <w:spacing w:val="-3"/>
        </w:rPr>
        <w:t> </w:t>
      </w:r>
      <w:r>
        <w:rPr>
          <w:color w:val="231F20"/>
        </w:rPr>
        <w:t>acutely</w:t>
      </w:r>
      <w:r>
        <w:rPr>
          <w:color w:val="231F20"/>
          <w:spacing w:val="-3"/>
        </w:rPr>
        <w:t> </w:t>
      </w:r>
      <w:r>
        <w:rPr>
          <w:color w:val="231F20"/>
        </w:rPr>
        <w:t>in </w:t>
      </w:r>
      <w:r>
        <w:rPr>
          <w:color w:val="231F20"/>
          <w:w w:val="90"/>
        </w:rPr>
        <w:t>shipment delays. While absolute scores fell, the </w:t>
      </w:r>
      <w:r>
        <w:rPr>
          <w:color w:val="231F20"/>
        </w:rPr>
        <w:t>relative</w:t>
      </w:r>
      <w:r>
        <w:rPr>
          <w:color w:val="231F20"/>
          <w:spacing w:val="-14"/>
        </w:rPr>
        <w:t> </w:t>
      </w:r>
      <w:r>
        <w:rPr>
          <w:color w:val="231F20"/>
        </w:rPr>
        <w:t>pattern</w:t>
      </w:r>
      <w:r>
        <w:rPr>
          <w:color w:val="231F20"/>
          <w:spacing w:val="-13"/>
        </w:rPr>
        <w:t> </w:t>
      </w:r>
      <w:r>
        <w:rPr>
          <w:color w:val="231F20"/>
        </w:rPr>
        <w:t>of</w:t>
      </w:r>
      <w:r>
        <w:rPr>
          <w:color w:val="231F20"/>
          <w:spacing w:val="-13"/>
        </w:rPr>
        <w:t> </w:t>
      </w:r>
      <w:r>
        <w:rPr>
          <w:color w:val="231F20"/>
        </w:rPr>
        <w:t>performance</w:t>
      </w:r>
      <w:r>
        <w:rPr>
          <w:color w:val="231F20"/>
          <w:spacing w:val="-13"/>
        </w:rPr>
        <w:t> </w:t>
      </w:r>
      <w:r>
        <w:rPr>
          <w:color w:val="231F20"/>
        </w:rPr>
        <w:t>persisted.</w:t>
      </w:r>
    </w:p>
    <w:p>
      <w:pPr>
        <w:pStyle w:val="BodyText"/>
        <w:spacing w:line="268" w:lineRule="auto"/>
        <w:ind w:left="1200" w:firstLine="300"/>
        <w:jc w:val="both"/>
      </w:pPr>
      <w:r>
        <w:rPr>
          <w:color w:val="231F20"/>
        </w:rPr>
        <w:t>The</w:t>
      </w:r>
      <w:r>
        <w:rPr>
          <w:color w:val="231F20"/>
          <w:spacing w:val="-10"/>
        </w:rPr>
        <w:t> </w:t>
      </w:r>
      <w:r>
        <w:rPr>
          <w:color w:val="231F20"/>
        </w:rPr>
        <w:t>quality</w:t>
      </w:r>
      <w:r>
        <w:rPr>
          <w:color w:val="231F20"/>
          <w:spacing w:val="-10"/>
        </w:rPr>
        <w:t> </w:t>
      </w:r>
      <w:r>
        <w:rPr>
          <w:color w:val="231F20"/>
        </w:rPr>
        <w:t>of</w:t>
      </w:r>
      <w:r>
        <w:rPr>
          <w:color w:val="231F20"/>
          <w:spacing w:val="-10"/>
        </w:rPr>
        <w:t> </w:t>
      </w:r>
      <w:r>
        <w:rPr>
          <w:color w:val="231F20"/>
        </w:rPr>
        <w:t>logistics</w:t>
      </w:r>
      <w:r>
        <w:rPr>
          <w:color w:val="231F20"/>
          <w:spacing w:val="-10"/>
        </w:rPr>
        <w:t> </w:t>
      </w:r>
      <w:r>
        <w:rPr>
          <w:color w:val="231F20"/>
        </w:rPr>
        <w:t>services</w:t>
      </w:r>
      <w:r>
        <w:rPr>
          <w:color w:val="231F20"/>
          <w:spacing w:val="-10"/>
        </w:rPr>
        <w:t> </w:t>
      </w:r>
      <w:r>
        <w:rPr>
          <w:color w:val="231F20"/>
        </w:rPr>
        <w:t>is</w:t>
      </w:r>
      <w:r>
        <w:rPr>
          <w:color w:val="231F20"/>
          <w:spacing w:val="-10"/>
        </w:rPr>
        <w:t> </w:t>
      </w:r>
      <w:r>
        <w:rPr>
          <w:color w:val="231F20"/>
        </w:rPr>
        <w:t>on</w:t>
      </w:r>
      <w:r>
        <w:rPr>
          <w:color w:val="231F20"/>
          <w:spacing w:val="-10"/>
        </w:rPr>
        <w:t> </w:t>
      </w:r>
      <w:r>
        <w:rPr>
          <w:color w:val="231F20"/>
        </w:rPr>
        <w:t>par </w:t>
      </w:r>
      <w:r>
        <w:rPr>
          <w:color w:val="231F20"/>
          <w:spacing w:val="-4"/>
        </w:rPr>
        <w:t>with</w:t>
      </w:r>
      <w:r>
        <w:rPr>
          <w:color w:val="231F20"/>
          <w:spacing w:val="-10"/>
        </w:rPr>
        <w:t> </w:t>
      </w:r>
      <w:r>
        <w:rPr>
          <w:color w:val="231F20"/>
          <w:spacing w:val="-4"/>
        </w:rPr>
        <w:t>overall</w:t>
      </w:r>
      <w:r>
        <w:rPr>
          <w:color w:val="231F20"/>
          <w:spacing w:val="-9"/>
        </w:rPr>
        <w:t> </w:t>
      </w:r>
      <w:r>
        <w:rPr>
          <w:color w:val="231F20"/>
          <w:spacing w:val="-4"/>
        </w:rPr>
        <w:t>performance,</w:t>
      </w:r>
      <w:r>
        <w:rPr>
          <w:color w:val="231F20"/>
          <w:spacing w:val="-9"/>
        </w:rPr>
        <w:t> </w:t>
      </w:r>
      <w:r>
        <w:rPr>
          <w:color w:val="231F20"/>
          <w:spacing w:val="-4"/>
        </w:rPr>
        <w:t>but</w:t>
      </w:r>
      <w:r>
        <w:rPr>
          <w:color w:val="231F20"/>
          <w:spacing w:val="-9"/>
        </w:rPr>
        <w:t> </w:t>
      </w:r>
      <w:r>
        <w:rPr>
          <w:color w:val="231F20"/>
          <w:spacing w:val="-4"/>
        </w:rPr>
        <w:t>the</w:t>
      </w:r>
      <w:r>
        <w:rPr>
          <w:color w:val="231F20"/>
          <w:spacing w:val="-9"/>
        </w:rPr>
        <w:t> </w:t>
      </w:r>
      <w:r>
        <w:rPr>
          <w:color w:val="231F20"/>
          <w:spacing w:val="-4"/>
        </w:rPr>
        <w:t>tracking</w:t>
      </w:r>
      <w:r>
        <w:rPr>
          <w:color w:val="231F20"/>
          <w:spacing w:val="-9"/>
        </w:rPr>
        <w:t> </w:t>
      </w:r>
      <w:r>
        <w:rPr>
          <w:color w:val="231F20"/>
          <w:spacing w:val="-4"/>
        </w:rPr>
        <w:t>and </w:t>
      </w:r>
      <w:r>
        <w:rPr>
          <w:color w:val="231F20"/>
          <w:spacing w:val="-2"/>
        </w:rPr>
        <w:t>tracing</w:t>
      </w:r>
      <w:r>
        <w:rPr>
          <w:color w:val="231F20"/>
          <w:spacing w:val="-12"/>
        </w:rPr>
        <w:t> </w:t>
      </w:r>
      <w:r>
        <w:rPr>
          <w:color w:val="231F20"/>
          <w:spacing w:val="-2"/>
        </w:rPr>
        <w:t>component</w:t>
      </w:r>
      <w:r>
        <w:rPr>
          <w:color w:val="231F20"/>
          <w:spacing w:val="-11"/>
        </w:rPr>
        <w:t> </w:t>
      </w:r>
      <w:r>
        <w:rPr>
          <w:color w:val="231F20"/>
          <w:spacing w:val="-2"/>
        </w:rPr>
        <w:t>is</w:t>
      </w:r>
      <w:r>
        <w:rPr>
          <w:color w:val="231F20"/>
          <w:spacing w:val="-11"/>
        </w:rPr>
        <w:t> </w:t>
      </w:r>
      <w:r>
        <w:rPr>
          <w:color w:val="231F20"/>
          <w:spacing w:val="-2"/>
        </w:rPr>
        <w:t>as</w:t>
      </w:r>
      <w:r>
        <w:rPr>
          <w:color w:val="231F20"/>
          <w:spacing w:val="-11"/>
        </w:rPr>
        <w:t> </w:t>
      </w:r>
      <w:r>
        <w:rPr>
          <w:color w:val="231F20"/>
          <w:spacing w:val="-2"/>
        </w:rPr>
        <w:t>good</w:t>
      </w:r>
      <w:r>
        <w:rPr>
          <w:color w:val="231F20"/>
          <w:spacing w:val="-11"/>
        </w:rPr>
        <w:t> </w:t>
      </w:r>
      <w:r>
        <w:rPr>
          <w:color w:val="231F20"/>
          <w:spacing w:val="-2"/>
        </w:rPr>
        <w:t>as</w:t>
      </w:r>
      <w:r>
        <w:rPr>
          <w:color w:val="231F20"/>
          <w:spacing w:val="-11"/>
        </w:rPr>
        <w:t> </w:t>
      </w:r>
      <w:r>
        <w:rPr>
          <w:color w:val="231F20"/>
          <w:spacing w:val="-2"/>
        </w:rPr>
        <w:t>or</w:t>
      </w:r>
      <w:r>
        <w:rPr>
          <w:color w:val="231F20"/>
          <w:spacing w:val="-11"/>
        </w:rPr>
        <w:t> </w:t>
      </w:r>
      <w:r>
        <w:rPr>
          <w:color w:val="231F20"/>
          <w:spacing w:val="-2"/>
        </w:rPr>
        <w:t>better</w:t>
      </w:r>
      <w:r>
        <w:rPr>
          <w:color w:val="231F20"/>
          <w:spacing w:val="-11"/>
        </w:rPr>
        <w:t> </w:t>
      </w:r>
      <w:r>
        <w:rPr>
          <w:color w:val="231F20"/>
          <w:spacing w:val="-2"/>
        </w:rPr>
        <w:t>than </w:t>
      </w:r>
      <w:r>
        <w:rPr>
          <w:color w:val="231F20"/>
          <w:spacing w:val="-4"/>
        </w:rPr>
        <w:t>overall</w:t>
      </w:r>
      <w:r>
        <w:rPr>
          <w:color w:val="231F20"/>
          <w:spacing w:val="-10"/>
        </w:rPr>
        <w:t> </w:t>
      </w:r>
      <w:r>
        <w:rPr>
          <w:color w:val="231F20"/>
          <w:spacing w:val="-4"/>
        </w:rPr>
        <w:t>performance</w:t>
      </w:r>
      <w:r>
        <w:rPr>
          <w:color w:val="231F20"/>
          <w:spacing w:val="-9"/>
        </w:rPr>
        <w:t> </w:t>
      </w:r>
      <w:r>
        <w:rPr>
          <w:color w:val="231F20"/>
          <w:spacing w:val="-4"/>
        </w:rPr>
        <w:t>in</w:t>
      </w:r>
      <w:r>
        <w:rPr>
          <w:color w:val="231F20"/>
          <w:spacing w:val="-9"/>
        </w:rPr>
        <w:t> </w:t>
      </w:r>
      <w:r>
        <w:rPr>
          <w:color w:val="231F20"/>
          <w:spacing w:val="-4"/>
        </w:rPr>
        <w:t>almost</w:t>
      </w:r>
      <w:r>
        <w:rPr>
          <w:color w:val="231F20"/>
          <w:spacing w:val="-9"/>
        </w:rPr>
        <w:t> </w:t>
      </w:r>
      <w:r>
        <w:rPr>
          <w:color w:val="231F20"/>
          <w:spacing w:val="-4"/>
        </w:rPr>
        <w:t>all</w:t>
      </w:r>
      <w:r>
        <w:rPr>
          <w:color w:val="231F20"/>
          <w:spacing w:val="-9"/>
        </w:rPr>
        <w:t> </w:t>
      </w:r>
      <w:r>
        <w:rPr>
          <w:color w:val="231F20"/>
          <w:spacing w:val="-4"/>
        </w:rPr>
        <w:t>performance </w:t>
      </w:r>
      <w:r>
        <w:rPr>
          <w:color w:val="231F20"/>
        </w:rPr>
        <w:t>quintiles.</w:t>
      </w:r>
      <w:r>
        <w:rPr>
          <w:color w:val="231F20"/>
          <w:spacing w:val="-6"/>
        </w:rPr>
        <w:t> </w:t>
      </w:r>
      <w:r>
        <w:rPr>
          <w:color w:val="231F20"/>
        </w:rPr>
        <w:t>Taken</w:t>
      </w:r>
      <w:r>
        <w:rPr>
          <w:color w:val="231F20"/>
          <w:spacing w:val="-6"/>
        </w:rPr>
        <w:t> </w:t>
      </w:r>
      <w:r>
        <w:rPr>
          <w:color w:val="231F20"/>
        </w:rPr>
        <w:t>as</w:t>
      </w:r>
      <w:r>
        <w:rPr>
          <w:color w:val="231F20"/>
          <w:spacing w:val="-5"/>
        </w:rPr>
        <w:t> </w:t>
      </w:r>
      <w:r>
        <w:rPr>
          <w:color w:val="231F20"/>
        </w:rPr>
        <w:t>a</w:t>
      </w:r>
      <w:r>
        <w:rPr>
          <w:color w:val="231F20"/>
          <w:spacing w:val="-6"/>
        </w:rPr>
        <w:t> </w:t>
      </w:r>
      <w:r>
        <w:rPr>
          <w:color w:val="231F20"/>
        </w:rPr>
        <w:t>whole,</w:t>
      </w:r>
      <w:r>
        <w:rPr>
          <w:color w:val="231F20"/>
          <w:spacing w:val="-6"/>
        </w:rPr>
        <w:t> </w:t>
      </w:r>
      <w:r>
        <w:rPr>
          <w:color w:val="231F20"/>
        </w:rPr>
        <w:t>the</w:t>
      </w:r>
      <w:r>
        <w:rPr>
          <w:color w:val="231F20"/>
          <w:spacing w:val="-5"/>
        </w:rPr>
        <w:t> </w:t>
      </w:r>
      <w:r>
        <w:rPr>
          <w:color w:val="231F20"/>
        </w:rPr>
        <w:t>LPI</w:t>
      </w:r>
      <w:r>
        <w:rPr>
          <w:color w:val="231F20"/>
          <w:spacing w:val="-6"/>
        </w:rPr>
        <w:t> </w:t>
      </w:r>
      <w:r>
        <w:rPr>
          <w:color w:val="231F20"/>
          <w:spacing w:val="-2"/>
          <w:w w:val="90"/>
        </w:rPr>
        <w:t>suggests</w:t>
      </w:r>
    </w:p>
    <w:p>
      <w:pPr>
        <w:pStyle w:val="BodyText"/>
        <w:spacing w:line="268" w:lineRule="auto" w:before="97"/>
        <w:ind w:left="199" w:right="2817"/>
        <w:jc w:val="both"/>
      </w:pPr>
      <w:r>
        <w:rPr/>
        <w:br w:type="column"/>
      </w:r>
      <w:r>
        <w:rPr>
          <w:color w:val="231F20"/>
          <w:spacing w:val="-2"/>
        </w:rPr>
        <w:t>that</w:t>
      </w:r>
      <w:r>
        <w:rPr>
          <w:color w:val="231F20"/>
          <w:spacing w:val="-12"/>
        </w:rPr>
        <w:t> </w:t>
      </w:r>
      <w:r>
        <w:rPr>
          <w:color w:val="231F20"/>
          <w:spacing w:val="-2"/>
        </w:rPr>
        <w:t>overall</w:t>
      </w:r>
      <w:r>
        <w:rPr>
          <w:color w:val="231F20"/>
          <w:spacing w:val="-11"/>
        </w:rPr>
        <w:t> </w:t>
      </w:r>
      <w:r>
        <w:rPr>
          <w:color w:val="231F20"/>
          <w:spacing w:val="-2"/>
        </w:rPr>
        <w:t>performance</w:t>
      </w:r>
      <w:r>
        <w:rPr>
          <w:color w:val="231F20"/>
          <w:spacing w:val="-11"/>
        </w:rPr>
        <w:t> </w:t>
      </w:r>
      <w:r>
        <w:rPr>
          <w:color w:val="231F20"/>
          <w:spacing w:val="-2"/>
        </w:rPr>
        <w:t>reflects</w:t>
      </w:r>
      <w:r>
        <w:rPr>
          <w:color w:val="231F20"/>
          <w:spacing w:val="-11"/>
        </w:rPr>
        <w:t> </w:t>
      </w:r>
      <w:r>
        <w:rPr>
          <w:color w:val="231F20"/>
          <w:spacing w:val="-2"/>
        </w:rPr>
        <w:t>the</w:t>
      </w:r>
      <w:r>
        <w:rPr>
          <w:color w:val="231F20"/>
          <w:spacing w:val="-11"/>
        </w:rPr>
        <w:t> </w:t>
      </w:r>
      <w:r>
        <w:rPr>
          <w:color w:val="231F20"/>
          <w:spacing w:val="-2"/>
        </w:rPr>
        <w:t>ability</w:t>
      </w:r>
      <w:r>
        <w:rPr>
          <w:color w:val="231F20"/>
          <w:spacing w:val="-11"/>
        </w:rPr>
        <w:t> </w:t>
      </w:r>
      <w:r>
        <w:rPr>
          <w:color w:val="231F20"/>
          <w:spacing w:val="-2"/>
        </w:rPr>
        <w:t>to </w:t>
      </w:r>
      <w:r>
        <w:rPr>
          <w:color w:val="231F20"/>
          <w:spacing w:val="-6"/>
        </w:rPr>
        <w:t>perform well across all components—possibly </w:t>
      </w:r>
      <w:r>
        <w:rPr>
          <w:color w:val="231F20"/>
        </w:rPr>
        <w:t>indicating</w:t>
      </w:r>
      <w:r>
        <w:rPr>
          <w:color w:val="231F20"/>
          <w:spacing w:val="-3"/>
        </w:rPr>
        <w:t> </w:t>
      </w:r>
      <w:r>
        <w:rPr>
          <w:color w:val="231F20"/>
        </w:rPr>
        <w:t>complementarity</w:t>
      </w:r>
      <w:r>
        <w:rPr>
          <w:color w:val="231F20"/>
          <w:spacing w:val="-3"/>
        </w:rPr>
        <w:t> </w:t>
      </w:r>
      <w:r>
        <w:rPr>
          <w:color w:val="231F20"/>
        </w:rPr>
        <w:t>among</w:t>
      </w:r>
      <w:r>
        <w:rPr>
          <w:color w:val="231F20"/>
          <w:spacing w:val="-3"/>
        </w:rPr>
        <w:t> </w:t>
      </w:r>
      <w:r>
        <w:rPr>
          <w:color w:val="231F20"/>
        </w:rPr>
        <w:t>them,</w:t>
      </w:r>
      <w:r>
        <w:rPr>
          <w:color w:val="231F20"/>
          <w:spacing w:val="-3"/>
        </w:rPr>
        <w:t> </w:t>
      </w:r>
      <w:r>
        <w:rPr>
          <w:color w:val="231F20"/>
        </w:rPr>
        <w:t>as all</w:t>
      </w:r>
      <w:r>
        <w:rPr>
          <w:color w:val="231F20"/>
          <w:spacing w:val="-14"/>
        </w:rPr>
        <w:t> </w:t>
      </w:r>
      <w:r>
        <w:rPr>
          <w:color w:val="231F20"/>
        </w:rPr>
        <w:t>stages</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value</w:t>
      </w:r>
      <w:r>
        <w:rPr>
          <w:color w:val="231F20"/>
          <w:spacing w:val="-13"/>
        </w:rPr>
        <w:t> </w:t>
      </w:r>
      <w:r>
        <w:rPr>
          <w:color w:val="231F20"/>
        </w:rPr>
        <w:t>chain</w:t>
      </w:r>
      <w:r>
        <w:rPr>
          <w:color w:val="231F20"/>
          <w:spacing w:val="-13"/>
        </w:rPr>
        <w:t> </w:t>
      </w:r>
      <w:r>
        <w:rPr>
          <w:color w:val="231F20"/>
        </w:rPr>
        <w:t>matter.</w:t>
      </w:r>
      <w:r>
        <w:rPr>
          <w:color w:val="231F20"/>
          <w:spacing w:val="-13"/>
        </w:rPr>
        <w:t> </w:t>
      </w:r>
      <w:r>
        <w:rPr>
          <w:color w:val="231F20"/>
        </w:rPr>
        <w:t>Poor</w:t>
      </w:r>
      <w:r>
        <w:rPr>
          <w:color w:val="231F20"/>
          <w:spacing w:val="-13"/>
        </w:rPr>
        <w:t> </w:t>
      </w:r>
      <w:r>
        <w:rPr>
          <w:color w:val="231F20"/>
        </w:rPr>
        <w:t>per- </w:t>
      </w:r>
      <w:r>
        <w:rPr>
          <w:color w:val="231F20"/>
          <w:w w:val="90"/>
        </w:rPr>
        <w:t>formance in one component drags down overall </w:t>
      </w:r>
      <w:r>
        <w:rPr>
          <w:color w:val="231F20"/>
          <w:spacing w:val="-2"/>
        </w:rPr>
        <w:t>performance.</w:t>
      </w:r>
    </w:p>
    <w:p>
      <w:pPr>
        <w:pStyle w:val="BodyText"/>
        <w:spacing w:line="268" w:lineRule="auto"/>
        <w:ind w:left="199" w:right="2817" w:firstLine="300"/>
        <w:jc w:val="both"/>
      </w:pPr>
      <w:r>
        <w:rPr>
          <w:color w:val="231F20"/>
        </w:rPr>
        <w:t>For</w:t>
      </w:r>
      <w:r>
        <w:rPr>
          <w:color w:val="231F20"/>
          <w:spacing w:val="-7"/>
        </w:rPr>
        <w:t> </w:t>
      </w:r>
      <w:r>
        <w:rPr>
          <w:color w:val="231F20"/>
        </w:rPr>
        <w:t>countries</w:t>
      </w:r>
      <w:r>
        <w:rPr>
          <w:color w:val="231F20"/>
          <w:spacing w:val="-7"/>
        </w:rPr>
        <w:t> </w:t>
      </w:r>
      <w:r>
        <w:rPr>
          <w:color w:val="231F20"/>
        </w:rPr>
        <w:t>with</w:t>
      </w:r>
      <w:r>
        <w:rPr>
          <w:color w:val="231F20"/>
          <w:spacing w:val="-7"/>
        </w:rPr>
        <w:t> </w:t>
      </w:r>
      <w:r>
        <w:rPr>
          <w:color w:val="231F20"/>
        </w:rPr>
        <w:t>low</w:t>
      </w:r>
      <w:r>
        <w:rPr>
          <w:color w:val="231F20"/>
          <w:spacing w:val="-7"/>
        </w:rPr>
        <w:t> </w:t>
      </w:r>
      <w:r>
        <w:rPr>
          <w:color w:val="231F20"/>
        </w:rPr>
        <w:t>LPI</w:t>
      </w:r>
      <w:r>
        <w:rPr>
          <w:color w:val="231F20"/>
          <w:spacing w:val="-7"/>
        </w:rPr>
        <w:t> </w:t>
      </w:r>
      <w:r>
        <w:rPr>
          <w:color w:val="231F20"/>
        </w:rPr>
        <w:t>scores,</w:t>
      </w:r>
      <w:r>
        <w:rPr>
          <w:color w:val="231F20"/>
          <w:spacing w:val="-7"/>
        </w:rPr>
        <w:t> </w:t>
      </w:r>
      <w:r>
        <w:rPr>
          <w:color w:val="231F20"/>
        </w:rPr>
        <w:t>infra- structure matters most to improving perfor- </w:t>
      </w:r>
      <w:r>
        <w:rPr>
          <w:color w:val="231F20"/>
          <w:spacing w:val="-2"/>
        </w:rPr>
        <w:t>mance.</w:t>
      </w:r>
      <w:r>
        <w:rPr>
          <w:color w:val="231F20"/>
          <w:spacing w:val="-12"/>
        </w:rPr>
        <w:t> </w:t>
      </w:r>
      <w:r>
        <w:rPr>
          <w:color w:val="231F20"/>
          <w:spacing w:val="-2"/>
        </w:rPr>
        <w:t>But</w:t>
      </w:r>
      <w:r>
        <w:rPr>
          <w:color w:val="231F20"/>
          <w:spacing w:val="-11"/>
        </w:rPr>
        <w:t> </w:t>
      </w:r>
      <w:r>
        <w:rPr>
          <w:color w:val="231F20"/>
          <w:spacing w:val="-2"/>
        </w:rPr>
        <w:t>the</w:t>
      </w:r>
      <w:r>
        <w:rPr>
          <w:color w:val="231F20"/>
          <w:spacing w:val="-11"/>
        </w:rPr>
        <w:t> </w:t>
      </w:r>
      <w:r>
        <w:rPr>
          <w:color w:val="231F20"/>
          <w:spacing w:val="-2"/>
        </w:rPr>
        <w:t>key</w:t>
      </w:r>
      <w:r>
        <w:rPr>
          <w:color w:val="231F20"/>
          <w:spacing w:val="-11"/>
        </w:rPr>
        <w:t> </w:t>
      </w:r>
      <w:r>
        <w:rPr>
          <w:color w:val="231F20"/>
          <w:spacing w:val="-2"/>
        </w:rPr>
        <w:t>to</w:t>
      </w:r>
      <w:r>
        <w:rPr>
          <w:color w:val="231F20"/>
          <w:spacing w:val="-11"/>
        </w:rPr>
        <w:t> </w:t>
      </w:r>
      <w:r>
        <w:rPr>
          <w:color w:val="231F20"/>
          <w:spacing w:val="-2"/>
        </w:rPr>
        <w:t>sustained</w:t>
      </w:r>
      <w:r>
        <w:rPr>
          <w:color w:val="231F20"/>
          <w:spacing w:val="-11"/>
        </w:rPr>
        <w:t> </w:t>
      </w:r>
      <w:r>
        <w:rPr>
          <w:color w:val="231F20"/>
          <w:spacing w:val="-2"/>
        </w:rPr>
        <w:t>high</w:t>
      </w:r>
      <w:r>
        <w:rPr>
          <w:color w:val="231F20"/>
          <w:spacing w:val="-11"/>
        </w:rPr>
        <w:t> </w:t>
      </w:r>
      <w:r>
        <w:rPr>
          <w:color w:val="231F20"/>
          <w:spacing w:val="-2"/>
        </w:rPr>
        <w:t>logistics </w:t>
      </w:r>
      <w:r>
        <w:rPr>
          <w:color w:val="231F20"/>
        </w:rPr>
        <w:t>performance</w:t>
      </w:r>
      <w:r>
        <w:rPr>
          <w:color w:val="231F20"/>
          <w:spacing w:val="-14"/>
        </w:rPr>
        <w:t> </w:t>
      </w:r>
      <w:r>
        <w:rPr>
          <w:color w:val="231F20"/>
        </w:rPr>
        <w:t>lies</w:t>
      </w:r>
      <w:r>
        <w:rPr>
          <w:color w:val="231F20"/>
          <w:spacing w:val="-13"/>
        </w:rPr>
        <w:t> </w:t>
      </w:r>
      <w:r>
        <w:rPr>
          <w:color w:val="231F20"/>
        </w:rPr>
        <w:t>in</w:t>
      </w:r>
      <w:r>
        <w:rPr>
          <w:color w:val="231F20"/>
          <w:spacing w:val="-13"/>
        </w:rPr>
        <w:t> </w:t>
      </w:r>
      <w:r>
        <w:rPr>
          <w:color w:val="231F20"/>
        </w:rPr>
        <w:t>a</w:t>
      </w:r>
      <w:r>
        <w:rPr>
          <w:color w:val="231F20"/>
          <w:spacing w:val="-13"/>
        </w:rPr>
        <w:t> </w:t>
      </w:r>
      <w:r>
        <w:rPr>
          <w:color w:val="231F20"/>
        </w:rPr>
        <w:t>broader</w:t>
      </w:r>
      <w:r>
        <w:rPr>
          <w:color w:val="231F20"/>
          <w:spacing w:val="-13"/>
        </w:rPr>
        <w:t> </w:t>
      </w:r>
      <w:r>
        <w:rPr>
          <w:color w:val="231F20"/>
        </w:rPr>
        <w:t>set</w:t>
      </w:r>
      <w:r>
        <w:rPr>
          <w:color w:val="231F20"/>
          <w:spacing w:val="-13"/>
        </w:rPr>
        <w:t> </w:t>
      </w:r>
      <w:r>
        <w:rPr>
          <w:color w:val="231F20"/>
        </w:rPr>
        <w:t>of</w:t>
      </w:r>
      <w:r>
        <w:rPr>
          <w:color w:val="231F20"/>
          <w:spacing w:val="-13"/>
        </w:rPr>
        <w:t> </w:t>
      </w:r>
      <w:r>
        <w:rPr>
          <w:color w:val="231F20"/>
        </w:rPr>
        <w:t>interven- </w:t>
      </w:r>
      <w:r>
        <w:rPr>
          <w:color w:val="231F20"/>
          <w:spacing w:val="-4"/>
        </w:rPr>
        <w:t>tions</w:t>
      </w:r>
      <w:r>
        <w:rPr>
          <w:color w:val="231F20"/>
          <w:spacing w:val="-9"/>
        </w:rPr>
        <w:t> </w:t>
      </w:r>
      <w:r>
        <w:rPr>
          <w:color w:val="231F20"/>
          <w:spacing w:val="-4"/>
        </w:rPr>
        <w:t>covering</w:t>
      </w:r>
      <w:r>
        <w:rPr>
          <w:color w:val="231F20"/>
          <w:spacing w:val="-9"/>
        </w:rPr>
        <w:t> </w:t>
      </w:r>
      <w:r>
        <w:rPr>
          <w:color w:val="231F20"/>
          <w:spacing w:val="-4"/>
        </w:rPr>
        <w:t>policy</w:t>
      </w:r>
      <w:r>
        <w:rPr>
          <w:color w:val="231F20"/>
          <w:spacing w:val="-9"/>
        </w:rPr>
        <w:t> </w:t>
      </w:r>
      <w:r>
        <w:rPr>
          <w:color w:val="231F20"/>
          <w:spacing w:val="-4"/>
        </w:rPr>
        <w:t>and</w:t>
      </w:r>
      <w:r>
        <w:rPr>
          <w:color w:val="231F20"/>
          <w:spacing w:val="-9"/>
        </w:rPr>
        <w:t> </w:t>
      </w:r>
      <w:r>
        <w:rPr>
          <w:color w:val="231F20"/>
          <w:spacing w:val="-4"/>
        </w:rPr>
        <w:t>private</w:t>
      </w:r>
      <w:r>
        <w:rPr>
          <w:color w:val="231F20"/>
          <w:spacing w:val="-9"/>
        </w:rPr>
        <w:t> </w:t>
      </w:r>
      <w:r>
        <w:rPr>
          <w:color w:val="231F20"/>
          <w:spacing w:val="-4"/>
        </w:rPr>
        <w:t>sector</w:t>
      </w:r>
      <w:r>
        <w:rPr>
          <w:color w:val="231F20"/>
          <w:spacing w:val="-9"/>
        </w:rPr>
        <w:t> </w:t>
      </w:r>
      <w:r>
        <w:rPr>
          <w:color w:val="231F20"/>
          <w:spacing w:val="-4"/>
        </w:rPr>
        <w:t>devel- </w:t>
      </w:r>
      <w:r>
        <w:rPr>
          <w:color w:val="231F20"/>
          <w:spacing w:val="-2"/>
        </w:rPr>
        <w:t>opment.</w:t>
      </w:r>
      <w:r>
        <w:rPr>
          <w:color w:val="231F20"/>
          <w:spacing w:val="-12"/>
        </w:rPr>
        <w:t> </w:t>
      </w:r>
      <w:r>
        <w:rPr>
          <w:color w:val="231F20"/>
          <w:spacing w:val="-2"/>
        </w:rPr>
        <w:t>One</w:t>
      </w:r>
      <w:r>
        <w:rPr>
          <w:color w:val="231F20"/>
          <w:spacing w:val="-11"/>
        </w:rPr>
        <w:t> </w:t>
      </w:r>
      <w:r>
        <w:rPr>
          <w:color w:val="231F20"/>
          <w:spacing w:val="-2"/>
        </w:rPr>
        <w:t>important</w:t>
      </w:r>
      <w:r>
        <w:rPr>
          <w:color w:val="231F20"/>
          <w:spacing w:val="-11"/>
        </w:rPr>
        <w:t> </w:t>
      </w:r>
      <w:r>
        <w:rPr>
          <w:color w:val="231F20"/>
          <w:spacing w:val="-2"/>
        </w:rPr>
        <w:t>objective</w:t>
      </w:r>
      <w:r>
        <w:rPr>
          <w:color w:val="231F20"/>
          <w:spacing w:val="-11"/>
        </w:rPr>
        <w:t> </w:t>
      </w:r>
      <w:r>
        <w:rPr>
          <w:color w:val="231F20"/>
          <w:spacing w:val="-2"/>
        </w:rPr>
        <w:t>should</w:t>
      </w:r>
      <w:r>
        <w:rPr>
          <w:color w:val="231F20"/>
          <w:spacing w:val="-11"/>
        </w:rPr>
        <w:t> </w:t>
      </w:r>
      <w:r>
        <w:rPr>
          <w:color w:val="231F20"/>
          <w:spacing w:val="-2"/>
        </w:rPr>
        <w:t>be</w:t>
      </w:r>
      <w:r>
        <w:rPr>
          <w:color w:val="231F20"/>
          <w:spacing w:val="-11"/>
        </w:rPr>
        <w:t> </w:t>
      </w:r>
      <w:r>
        <w:rPr>
          <w:color w:val="231F20"/>
          <w:spacing w:val="-2"/>
        </w:rPr>
        <w:t>to </w:t>
      </w:r>
      <w:r>
        <w:rPr>
          <w:color w:val="231F20"/>
        </w:rPr>
        <w:t>better</w:t>
      </w:r>
      <w:r>
        <w:rPr>
          <w:color w:val="231F20"/>
          <w:spacing w:val="-8"/>
        </w:rPr>
        <w:t> </w:t>
      </w:r>
      <w:r>
        <w:rPr>
          <w:color w:val="231F20"/>
        </w:rPr>
        <w:t>predict</w:t>
      </w:r>
      <w:r>
        <w:rPr>
          <w:color w:val="231F20"/>
          <w:spacing w:val="-8"/>
        </w:rPr>
        <w:t> </w:t>
      </w:r>
      <w:r>
        <w:rPr>
          <w:color w:val="231F20"/>
        </w:rPr>
        <w:t>when</w:t>
      </w:r>
      <w:r>
        <w:rPr>
          <w:color w:val="231F20"/>
          <w:spacing w:val="-8"/>
        </w:rPr>
        <w:t> </w:t>
      </w:r>
      <w:r>
        <w:rPr>
          <w:color w:val="231F20"/>
        </w:rPr>
        <w:t>goods</w:t>
      </w:r>
      <w:r>
        <w:rPr>
          <w:color w:val="231F20"/>
          <w:spacing w:val="-8"/>
        </w:rPr>
        <w:t> </w:t>
      </w:r>
      <w:r>
        <w:rPr>
          <w:color w:val="231F20"/>
        </w:rPr>
        <w:t>will</w:t>
      </w:r>
      <w:r>
        <w:rPr>
          <w:color w:val="231F20"/>
          <w:spacing w:val="-8"/>
        </w:rPr>
        <w:t> </w:t>
      </w:r>
      <w:r>
        <w:rPr>
          <w:color w:val="231F20"/>
        </w:rPr>
        <w:t>arrive</w:t>
      </w:r>
      <w:r>
        <w:rPr>
          <w:color w:val="231F20"/>
          <w:spacing w:val="-8"/>
        </w:rPr>
        <w:t> </w:t>
      </w:r>
      <w:r>
        <w:rPr>
          <w:color w:val="231F20"/>
        </w:rPr>
        <w:t>at</w:t>
      </w:r>
      <w:r>
        <w:rPr>
          <w:color w:val="231F20"/>
          <w:spacing w:val="-8"/>
        </w:rPr>
        <w:t> </w:t>
      </w:r>
      <w:r>
        <w:rPr>
          <w:color w:val="231F20"/>
        </w:rPr>
        <w:t>their </w:t>
      </w:r>
      <w:r>
        <w:rPr>
          <w:color w:val="231F20"/>
          <w:w w:val="90"/>
        </w:rPr>
        <w:t>destination, as with supply chain visibility tools </w:t>
      </w:r>
      <w:r>
        <w:rPr>
          <w:color w:val="231F20"/>
        </w:rPr>
        <w:t>that facilitate traceability.</w:t>
      </w:r>
    </w:p>
    <w:p>
      <w:pPr>
        <w:pStyle w:val="BodyText"/>
        <w:spacing w:before="30"/>
      </w:pPr>
    </w:p>
    <w:p>
      <w:pPr>
        <w:spacing w:line="280" w:lineRule="auto" w:before="0"/>
        <w:ind w:left="199" w:right="2929" w:firstLine="0"/>
        <w:jc w:val="left"/>
        <w:rPr>
          <w:rFonts w:ascii="Arial"/>
          <w:b/>
          <w:sz w:val="20"/>
        </w:rPr>
      </w:pPr>
      <w:r>
        <w:rPr>
          <w:rFonts w:ascii="Arial"/>
          <w:b/>
          <w:color w:val="231F20"/>
          <w:w w:val="105"/>
          <w:sz w:val="20"/>
        </w:rPr>
        <w:t>Measuring the speed of trade: New key performance indicators</w:t>
      </w:r>
    </w:p>
    <w:p>
      <w:pPr>
        <w:pStyle w:val="BodyText"/>
        <w:spacing w:before="33"/>
        <w:rPr>
          <w:rFonts w:ascii="Arial"/>
          <w:b/>
          <w:sz w:val="20"/>
        </w:rPr>
      </w:pPr>
    </w:p>
    <w:p>
      <w:pPr>
        <w:pStyle w:val="BodyText"/>
        <w:spacing w:line="268" w:lineRule="auto"/>
        <w:ind w:left="199" w:right="2817"/>
        <w:jc w:val="both"/>
      </w:pPr>
      <w:r>
        <w:rPr>
          <w:color w:val="231F20"/>
          <w:w w:val="90"/>
        </w:rPr>
        <w:t>This edition of </w:t>
      </w:r>
      <w:r>
        <w:rPr>
          <w:i/>
          <w:color w:val="231F20"/>
          <w:w w:val="90"/>
        </w:rPr>
        <w:t>Connecting to Compete </w:t>
      </w:r>
      <w:r>
        <w:rPr>
          <w:color w:val="231F20"/>
          <w:w w:val="90"/>
        </w:rPr>
        <w:t>incorpo- </w:t>
      </w:r>
      <w:r>
        <w:rPr>
          <w:color w:val="231F20"/>
          <w:spacing w:val="-4"/>
        </w:rPr>
        <w:t>rates</w:t>
      </w:r>
      <w:r>
        <w:rPr>
          <w:color w:val="231F20"/>
          <w:spacing w:val="-9"/>
        </w:rPr>
        <w:t> </w:t>
      </w:r>
      <w:r>
        <w:rPr>
          <w:color w:val="231F20"/>
          <w:spacing w:val="-4"/>
        </w:rPr>
        <w:t>new</w:t>
      </w:r>
      <w:r>
        <w:rPr>
          <w:color w:val="231F20"/>
          <w:spacing w:val="-9"/>
        </w:rPr>
        <w:t> </w:t>
      </w:r>
      <w:r>
        <w:rPr>
          <w:color w:val="231F20"/>
          <w:spacing w:val="-4"/>
        </w:rPr>
        <w:t>key</w:t>
      </w:r>
      <w:r>
        <w:rPr>
          <w:color w:val="231F20"/>
          <w:spacing w:val="-9"/>
        </w:rPr>
        <w:t> </w:t>
      </w:r>
      <w:r>
        <w:rPr>
          <w:color w:val="231F20"/>
          <w:spacing w:val="-4"/>
        </w:rPr>
        <w:t>performance</w:t>
      </w:r>
      <w:r>
        <w:rPr>
          <w:color w:val="231F20"/>
          <w:spacing w:val="-9"/>
        </w:rPr>
        <w:t> </w:t>
      </w:r>
      <w:r>
        <w:rPr>
          <w:color w:val="231F20"/>
          <w:spacing w:val="-4"/>
        </w:rPr>
        <w:t>indicators,</w:t>
      </w:r>
      <w:r>
        <w:rPr>
          <w:color w:val="231F20"/>
          <w:spacing w:val="-9"/>
        </w:rPr>
        <w:t> </w:t>
      </w:r>
      <w:r>
        <w:rPr>
          <w:color w:val="231F20"/>
          <w:spacing w:val="-4"/>
        </w:rPr>
        <w:t>derived </w:t>
      </w:r>
      <w:r>
        <w:rPr>
          <w:color w:val="231F20"/>
          <w:w w:val="90"/>
        </w:rPr>
        <w:t>from a Big Data approach, measuring the speed </w:t>
      </w:r>
      <w:r>
        <w:rPr>
          <w:color w:val="231F20"/>
          <w:spacing w:val="-4"/>
        </w:rPr>
        <w:t>of</w:t>
      </w:r>
      <w:r>
        <w:rPr>
          <w:color w:val="231F20"/>
          <w:spacing w:val="-10"/>
        </w:rPr>
        <w:t> </w:t>
      </w:r>
      <w:r>
        <w:rPr>
          <w:color w:val="231F20"/>
          <w:spacing w:val="-4"/>
        </w:rPr>
        <w:t>trade</w:t>
      </w:r>
      <w:r>
        <w:rPr>
          <w:color w:val="231F20"/>
          <w:spacing w:val="-9"/>
        </w:rPr>
        <w:t> </w:t>
      </w:r>
      <w:r>
        <w:rPr>
          <w:color w:val="231F20"/>
          <w:spacing w:val="-4"/>
        </w:rPr>
        <w:t>around</w:t>
      </w:r>
      <w:r>
        <w:rPr>
          <w:color w:val="231F20"/>
          <w:spacing w:val="-9"/>
        </w:rPr>
        <w:t> </w:t>
      </w:r>
      <w:r>
        <w:rPr>
          <w:color w:val="231F20"/>
          <w:spacing w:val="-4"/>
        </w:rPr>
        <w:t>the</w:t>
      </w:r>
      <w:r>
        <w:rPr>
          <w:color w:val="231F20"/>
          <w:spacing w:val="-9"/>
        </w:rPr>
        <w:t> </w:t>
      </w:r>
      <w:r>
        <w:rPr>
          <w:color w:val="231F20"/>
          <w:spacing w:val="-4"/>
        </w:rPr>
        <w:t>world.</w:t>
      </w:r>
      <w:r>
        <w:rPr>
          <w:color w:val="231F20"/>
          <w:spacing w:val="-9"/>
        </w:rPr>
        <w:t> </w:t>
      </w:r>
      <w:r>
        <w:rPr>
          <w:color w:val="231F20"/>
          <w:spacing w:val="-4"/>
        </w:rPr>
        <w:t>These</w:t>
      </w:r>
      <w:r>
        <w:rPr>
          <w:color w:val="231F20"/>
          <w:spacing w:val="-9"/>
        </w:rPr>
        <w:t> </w:t>
      </w:r>
      <w:r>
        <w:rPr>
          <w:color w:val="231F20"/>
          <w:spacing w:val="-4"/>
        </w:rPr>
        <w:t>indicators</w:t>
      </w:r>
      <w:r>
        <w:rPr>
          <w:color w:val="231F20"/>
          <w:spacing w:val="-9"/>
        </w:rPr>
        <w:t> </w:t>
      </w:r>
      <w:r>
        <w:rPr>
          <w:color w:val="231F20"/>
          <w:spacing w:val="-4"/>
        </w:rPr>
        <w:t>are </w:t>
      </w:r>
      <w:r>
        <w:rPr>
          <w:color w:val="231F20"/>
          <w:spacing w:val="-6"/>
        </w:rPr>
        <w:t>based</w:t>
      </w:r>
      <w:r>
        <w:rPr>
          <w:color w:val="231F20"/>
          <w:spacing w:val="-7"/>
        </w:rPr>
        <w:t> </w:t>
      </w:r>
      <w:r>
        <w:rPr>
          <w:color w:val="231F20"/>
          <w:spacing w:val="-6"/>
        </w:rPr>
        <w:t>on</w:t>
      </w:r>
      <w:r>
        <w:rPr>
          <w:color w:val="231F20"/>
          <w:spacing w:val="-7"/>
        </w:rPr>
        <w:t> </w:t>
      </w:r>
      <w:r>
        <w:rPr>
          <w:color w:val="231F20"/>
          <w:spacing w:val="-6"/>
        </w:rPr>
        <w:t>millions</w:t>
      </w:r>
      <w:r>
        <w:rPr>
          <w:color w:val="231F20"/>
          <w:spacing w:val="-7"/>
        </w:rPr>
        <w:t> </w:t>
      </w:r>
      <w:r>
        <w:rPr>
          <w:color w:val="231F20"/>
          <w:spacing w:val="-6"/>
        </w:rPr>
        <w:t>of</w:t>
      </w:r>
      <w:r>
        <w:rPr>
          <w:color w:val="231F20"/>
          <w:spacing w:val="-7"/>
        </w:rPr>
        <w:t> </w:t>
      </w:r>
      <w:r>
        <w:rPr>
          <w:color w:val="231F20"/>
          <w:spacing w:val="-6"/>
        </w:rPr>
        <w:t>actual</w:t>
      </w:r>
      <w:r>
        <w:rPr>
          <w:color w:val="231F20"/>
          <w:spacing w:val="-7"/>
        </w:rPr>
        <w:t> </w:t>
      </w:r>
      <w:r>
        <w:rPr>
          <w:color w:val="231F20"/>
          <w:spacing w:val="-6"/>
        </w:rPr>
        <w:t>international</w:t>
      </w:r>
      <w:r>
        <w:rPr>
          <w:color w:val="231F20"/>
          <w:spacing w:val="-7"/>
        </w:rPr>
        <w:t> </w:t>
      </w:r>
      <w:r>
        <w:rPr>
          <w:color w:val="231F20"/>
          <w:spacing w:val="-6"/>
        </w:rPr>
        <w:t>move- </w:t>
      </w:r>
      <w:r>
        <w:rPr>
          <w:color w:val="231F20"/>
        </w:rPr>
        <w:t>ments</w:t>
      </w:r>
      <w:r>
        <w:rPr>
          <w:color w:val="231F20"/>
          <w:spacing w:val="-12"/>
        </w:rPr>
        <w:t> </w:t>
      </w:r>
      <w:r>
        <w:rPr>
          <w:color w:val="231F20"/>
        </w:rPr>
        <w:t>of</w:t>
      </w:r>
      <w:r>
        <w:rPr>
          <w:color w:val="231F20"/>
          <w:spacing w:val="-12"/>
        </w:rPr>
        <w:t> </w:t>
      </w:r>
      <w:r>
        <w:rPr>
          <w:color w:val="231F20"/>
        </w:rPr>
        <w:t>containers,</w:t>
      </w:r>
      <w:r>
        <w:rPr>
          <w:color w:val="231F20"/>
          <w:spacing w:val="-12"/>
        </w:rPr>
        <w:t> </w:t>
      </w:r>
      <w:r>
        <w:rPr>
          <w:color w:val="231F20"/>
        </w:rPr>
        <w:t>aviation</w:t>
      </w:r>
      <w:r>
        <w:rPr>
          <w:color w:val="231F20"/>
          <w:spacing w:val="-12"/>
        </w:rPr>
        <w:t> </w:t>
      </w:r>
      <w:r>
        <w:rPr>
          <w:color w:val="231F20"/>
        </w:rPr>
        <w:t>shipments,</w:t>
      </w:r>
      <w:r>
        <w:rPr>
          <w:color w:val="231F20"/>
          <w:spacing w:val="-12"/>
        </w:rPr>
        <w:t> </w:t>
      </w:r>
      <w:r>
        <w:rPr>
          <w:color w:val="231F20"/>
        </w:rPr>
        <w:t>and postal parcels. Global tracking initiatives— </w:t>
      </w:r>
      <w:r>
        <w:rPr>
          <w:color w:val="231F20"/>
          <w:spacing w:val="-4"/>
        </w:rPr>
        <w:t>including Cargo iQ (supported by the Interna- tional Air Transport Association), TradeLens, </w:t>
      </w:r>
      <w:r>
        <w:rPr>
          <w:color w:val="231F20"/>
          <w:spacing w:val="-6"/>
        </w:rPr>
        <w:t>and</w:t>
      </w:r>
      <w:r>
        <w:rPr>
          <w:color w:val="231F20"/>
          <w:spacing w:val="-8"/>
        </w:rPr>
        <w:t> </w:t>
      </w:r>
      <w:r>
        <w:rPr>
          <w:color w:val="231F20"/>
          <w:spacing w:val="-6"/>
        </w:rPr>
        <w:t>the</w:t>
      </w:r>
      <w:r>
        <w:rPr>
          <w:color w:val="231F20"/>
          <w:spacing w:val="-7"/>
        </w:rPr>
        <w:t> </w:t>
      </w:r>
      <w:r>
        <w:rPr>
          <w:color w:val="231F20"/>
          <w:spacing w:val="-6"/>
        </w:rPr>
        <w:t>Universal</w:t>
      </w:r>
      <w:r>
        <w:rPr>
          <w:color w:val="231F20"/>
          <w:spacing w:val="-7"/>
        </w:rPr>
        <w:t> </w:t>
      </w:r>
      <w:r>
        <w:rPr>
          <w:color w:val="231F20"/>
          <w:spacing w:val="-6"/>
        </w:rPr>
        <w:t>Postal</w:t>
      </w:r>
      <w:r>
        <w:rPr>
          <w:color w:val="231F20"/>
          <w:spacing w:val="-7"/>
        </w:rPr>
        <w:t> </w:t>
      </w:r>
      <w:r>
        <w:rPr>
          <w:color w:val="231F20"/>
          <w:spacing w:val="-6"/>
        </w:rPr>
        <w:t>Union—made</w:t>
      </w:r>
      <w:r>
        <w:rPr>
          <w:color w:val="231F20"/>
          <w:spacing w:val="-7"/>
        </w:rPr>
        <w:t> </w:t>
      </w:r>
      <w:r>
        <w:rPr>
          <w:color w:val="231F20"/>
          <w:spacing w:val="-6"/>
        </w:rPr>
        <w:t>the</w:t>
      </w:r>
      <w:r>
        <w:rPr>
          <w:color w:val="231F20"/>
          <w:spacing w:val="-7"/>
        </w:rPr>
        <w:t> </w:t>
      </w:r>
      <w:r>
        <w:rPr>
          <w:color w:val="231F20"/>
          <w:spacing w:val="-6"/>
        </w:rPr>
        <w:t>raw </w:t>
      </w:r>
      <w:r>
        <w:rPr>
          <w:color w:val="231F20"/>
        </w:rPr>
        <w:t>data</w:t>
      </w:r>
      <w:r>
        <w:rPr>
          <w:color w:val="231F20"/>
          <w:spacing w:val="-7"/>
        </w:rPr>
        <w:t> </w:t>
      </w:r>
      <w:r>
        <w:rPr>
          <w:color w:val="231F20"/>
        </w:rPr>
        <w:t>available</w:t>
      </w:r>
      <w:r>
        <w:rPr>
          <w:color w:val="231F20"/>
          <w:spacing w:val="-7"/>
        </w:rPr>
        <w:t> </w:t>
      </w:r>
      <w:r>
        <w:rPr>
          <w:color w:val="231F20"/>
        </w:rPr>
        <w:t>to</w:t>
      </w:r>
      <w:r>
        <w:rPr>
          <w:color w:val="231F20"/>
          <w:spacing w:val="-7"/>
        </w:rPr>
        <w:t> </w:t>
      </w:r>
      <w:r>
        <w:rPr>
          <w:color w:val="231F20"/>
        </w:rPr>
        <w:t>the</w:t>
      </w:r>
      <w:r>
        <w:rPr>
          <w:color w:val="231F20"/>
          <w:spacing w:val="-7"/>
        </w:rPr>
        <w:t> </w:t>
      </w:r>
      <w:r>
        <w:rPr>
          <w:color w:val="231F20"/>
        </w:rPr>
        <w:t>World</w:t>
      </w:r>
      <w:r>
        <w:rPr>
          <w:color w:val="231F20"/>
          <w:spacing w:val="-7"/>
        </w:rPr>
        <w:t> </w:t>
      </w:r>
      <w:r>
        <w:rPr>
          <w:color w:val="231F20"/>
        </w:rPr>
        <w:t>Bank.</w:t>
      </w:r>
    </w:p>
    <w:p>
      <w:pPr>
        <w:pStyle w:val="BodyText"/>
        <w:spacing w:line="268" w:lineRule="auto"/>
        <w:ind w:left="199" w:right="2815" w:firstLine="300"/>
        <w:jc w:val="both"/>
      </w:pPr>
      <w:r>
        <w:rPr>
          <w:color w:val="231F20"/>
        </w:rPr>
        <w:t>The</w:t>
      </w:r>
      <w:r>
        <w:rPr>
          <w:color w:val="231F20"/>
          <w:spacing w:val="-10"/>
        </w:rPr>
        <w:t> </w:t>
      </w:r>
      <w:r>
        <w:rPr>
          <w:color w:val="231F20"/>
        </w:rPr>
        <w:t>key</w:t>
      </w:r>
      <w:r>
        <w:rPr>
          <w:color w:val="231F20"/>
          <w:spacing w:val="-8"/>
        </w:rPr>
        <w:t> </w:t>
      </w:r>
      <w:r>
        <w:rPr>
          <w:color w:val="231F20"/>
        </w:rPr>
        <w:t>performance</w:t>
      </w:r>
      <w:r>
        <w:rPr>
          <w:color w:val="231F20"/>
          <w:spacing w:val="-8"/>
        </w:rPr>
        <w:t> </w:t>
      </w:r>
      <w:r>
        <w:rPr>
          <w:color w:val="231F20"/>
        </w:rPr>
        <w:t>indicators</w:t>
      </w:r>
      <w:r>
        <w:rPr>
          <w:color w:val="231F20"/>
          <w:spacing w:val="-8"/>
        </w:rPr>
        <w:t> </w:t>
      </w:r>
      <w:r>
        <w:rPr>
          <w:color w:val="231F20"/>
        </w:rPr>
        <w:t>comple- </w:t>
      </w:r>
      <w:r>
        <w:rPr>
          <w:color w:val="231F20"/>
          <w:spacing w:val="-2"/>
        </w:rPr>
        <w:t>ment</w:t>
      </w:r>
      <w:r>
        <w:rPr>
          <w:color w:val="231F20"/>
          <w:spacing w:val="-10"/>
        </w:rPr>
        <w:t> </w:t>
      </w:r>
      <w:r>
        <w:rPr>
          <w:color w:val="231F20"/>
          <w:spacing w:val="-2"/>
        </w:rPr>
        <w:t>the</w:t>
      </w:r>
      <w:r>
        <w:rPr>
          <w:color w:val="231F20"/>
          <w:spacing w:val="-10"/>
        </w:rPr>
        <w:t> </w:t>
      </w:r>
      <w:r>
        <w:rPr>
          <w:color w:val="231F20"/>
          <w:spacing w:val="-2"/>
        </w:rPr>
        <w:t>assessment</w:t>
      </w:r>
      <w:r>
        <w:rPr>
          <w:color w:val="231F20"/>
          <w:spacing w:val="-10"/>
        </w:rPr>
        <w:t> </w:t>
      </w:r>
      <w:r>
        <w:rPr>
          <w:color w:val="231F20"/>
          <w:spacing w:val="-2"/>
        </w:rPr>
        <w:t>of</w:t>
      </w:r>
      <w:r>
        <w:rPr>
          <w:color w:val="231F20"/>
          <w:spacing w:val="-10"/>
        </w:rPr>
        <w:t> </w:t>
      </w:r>
      <w:r>
        <w:rPr>
          <w:color w:val="231F20"/>
          <w:spacing w:val="-2"/>
        </w:rPr>
        <w:t>logistics</w:t>
      </w:r>
      <w:r>
        <w:rPr>
          <w:color w:val="231F20"/>
          <w:spacing w:val="-10"/>
        </w:rPr>
        <w:t> </w:t>
      </w:r>
      <w:r>
        <w:rPr>
          <w:color w:val="231F20"/>
          <w:spacing w:val="-2"/>
        </w:rPr>
        <w:t>performance </w:t>
      </w:r>
      <w:r>
        <w:rPr>
          <w:color w:val="231F20"/>
        </w:rPr>
        <w:t>provided</w:t>
      </w:r>
      <w:r>
        <w:rPr>
          <w:color w:val="231F20"/>
          <w:spacing w:val="-12"/>
        </w:rPr>
        <w:t> </w:t>
      </w:r>
      <w:r>
        <w:rPr>
          <w:color w:val="231F20"/>
        </w:rPr>
        <w:t>by</w:t>
      </w:r>
      <w:r>
        <w:rPr>
          <w:color w:val="231F20"/>
          <w:spacing w:val="-12"/>
        </w:rPr>
        <w:t> </w:t>
      </w:r>
      <w:r>
        <w:rPr>
          <w:color w:val="231F20"/>
        </w:rPr>
        <w:t>the</w:t>
      </w:r>
      <w:r>
        <w:rPr>
          <w:color w:val="231F20"/>
          <w:spacing w:val="-12"/>
        </w:rPr>
        <w:t> </w:t>
      </w:r>
      <w:r>
        <w:rPr>
          <w:color w:val="231F20"/>
        </w:rPr>
        <w:t>survey-based</w:t>
      </w:r>
      <w:r>
        <w:rPr>
          <w:color w:val="231F20"/>
          <w:spacing w:val="-12"/>
        </w:rPr>
        <w:t> </w:t>
      </w:r>
      <w:r>
        <w:rPr>
          <w:color w:val="231F20"/>
        </w:rPr>
        <w:t>LPI</w:t>
      </w:r>
      <w:r>
        <w:rPr>
          <w:color w:val="231F20"/>
          <w:spacing w:val="-12"/>
        </w:rPr>
        <w:t> </w:t>
      </w:r>
      <w:r>
        <w:rPr>
          <w:color w:val="231F20"/>
        </w:rPr>
        <w:t>with</w:t>
      </w:r>
      <w:r>
        <w:rPr>
          <w:color w:val="231F20"/>
          <w:spacing w:val="-12"/>
        </w:rPr>
        <w:t> </w:t>
      </w:r>
      <w:r>
        <w:rPr>
          <w:color w:val="231F20"/>
        </w:rPr>
        <w:t>more </w:t>
      </w:r>
      <w:r>
        <w:rPr>
          <w:color w:val="231F20"/>
          <w:spacing w:val="-6"/>
        </w:rPr>
        <w:t>specific</w:t>
      </w:r>
      <w:r>
        <w:rPr>
          <w:color w:val="231F20"/>
          <w:spacing w:val="-8"/>
        </w:rPr>
        <w:t> </w:t>
      </w:r>
      <w:r>
        <w:rPr>
          <w:color w:val="231F20"/>
          <w:spacing w:val="-6"/>
        </w:rPr>
        <w:t>measurements:</w:t>
      </w:r>
      <w:r>
        <w:rPr>
          <w:color w:val="231F20"/>
          <w:spacing w:val="-7"/>
        </w:rPr>
        <w:t> </w:t>
      </w:r>
      <w:r>
        <w:rPr>
          <w:color w:val="231F20"/>
          <w:spacing w:val="-6"/>
        </w:rPr>
        <w:t>Delays</w:t>
      </w:r>
      <w:r>
        <w:rPr>
          <w:color w:val="231F20"/>
          <w:spacing w:val="-7"/>
        </w:rPr>
        <w:t> </w:t>
      </w:r>
      <w:r>
        <w:rPr>
          <w:color w:val="231F20"/>
          <w:spacing w:val="-6"/>
        </w:rPr>
        <w:t>at</w:t>
      </w:r>
      <w:r>
        <w:rPr>
          <w:color w:val="231F20"/>
          <w:spacing w:val="-7"/>
        </w:rPr>
        <w:t> </w:t>
      </w:r>
      <w:r>
        <w:rPr>
          <w:color w:val="231F20"/>
          <w:spacing w:val="-6"/>
        </w:rPr>
        <w:t>ports</w:t>
      </w:r>
      <w:r>
        <w:rPr>
          <w:color w:val="231F20"/>
          <w:spacing w:val="-7"/>
        </w:rPr>
        <w:t> </w:t>
      </w:r>
      <w:r>
        <w:rPr>
          <w:color w:val="231F20"/>
          <w:spacing w:val="-6"/>
        </w:rPr>
        <w:t>and</w:t>
      </w:r>
      <w:r>
        <w:rPr>
          <w:color w:val="231F20"/>
          <w:spacing w:val="-7"/>
        </w:rPr>
        <w:t> </w:t>
      </w:r>
      <w:r>
        <w:rPr>
          <w:color w:val="231F20"/>
          <w:spacing w:val="-6"/>
        </w:rPr>
        <w:t>air- </w:t>
      </w:r>
      <w:r>
        <w:rPr>
          <w:color w:val="231F20"/>
          <w:spacing w:val="-4"/>
        </w:rPr>
        <w:t>ports</w:t>
      </w:r>
      <w:r>
        <w:rPr>
          <w:color w:val="231F20"/>
          <w:spacing w:val="-10"/>
        </w:rPr>
        <w:t> </w:t>
      </w:r>
      <w:r>
        <w:rPr>
          <w:color w:val="231F20"/>
          <w:spacing w:val="-4"/>
        </w:rPr>
        <w:t>and</w:t>
      </w:r>
      <w:r>
        <w:rPr>
          <w:color w:val="231F20"/>
          <w:spacing w:val="-9"/>
        </w:rPr>
        <w:t> </w:t>
      </w:r>
      <w:r>
        <w:rPr>
          <w:color w:val="231F20"/>
          <w:spacing w:val="-4"/>
        </w:rPr>
        <w:t>international</w:t>
      </w:r>
      <w:r>
        <w:rPr>
          <w:color w:val="231F20"/>
          <w:spacing w:val="-9"/>
        </w:rPr>
        <w:t> </w:t>
      </w:r>
      <w:r>
        <w:rPr>
          <w:color w:val="231F20"/>
          <w:spacing w:val="-4"/>
        </w:rPr>
        <w:t>connectivity</w:t>
      </w:r>
      <w:r>
        <w:rPr>
          <w:color w:val="231F20"/>
          <w:spacing w:val="-9"/>
        </w:rPr>
        <w:t> </w:t>
      </w:r>
      <w:r>
        <w:rPr>
          <w:color w:val="231F20"/>
          <w:spacing w:val="-4"/>
        </w:rPr>
        <w:t>(for</w:t>
      </w:r>
      <w:r>
        <w:rPr>
          <w:color w:val="231F20"/>
          <w:spacing w:val="-9"/>
        </w:rPr>
        <w:t> </w:t>
      </w:r>
      <w:r>
        <w:rPr>
          <w:color w:val="231F20"/>
          <w:spacing w:val="-4"/>
        </w:rPr>
        <w:t>exam- </w:t>
      </w:r>
      <w:r>
        <w:rPr>
          <w:color w:val="231F20"/>
          <w:spacing w:val="-6"/>
        </w:rPr>
        <w:t>ple,</w:t>
      </w:r>
      <w:r>
        <w:rPr>
          <w:color w:val="231F20"/>
          <w:spacing w:val="-7"/>
        </w:rPr>
        <w:t> </w:t>
      </w:r>
      <w:r>
        <w:rPr>
          <w:color w:val="231F20"/>
          <w:spacing w:val="-6"/>
        </w:rPr>
        <w:t>the</w:t>
      </w:r>
      <w:r>
        <w:rPr>
          <w:color w:val="231F20"/>
          <w:spacing w:val="-7"/>
        </w:rPr>
        <w:t> </w:t>
      </w:r>
      <w:r>
        <w:rPr>
          <w:color w:val="231F20"/>
          <w:spacing w:val="-6"/>
        </w:rPr>
        <w:t>number</w:t>
      </w:r>
      <w:r>
        <w:rPr>
          <w:color w:val="231F20"/>
          <w:spacing w:val="-7"/>
        </w:rPr>
        <w:t> </w:t>
      </w:r>
      <w:r>
        <w:rPr>
          <w:color w:val="231F20"/>
          <w:spacing w:val="-6"/>
        </w:rPr>
        <w:t>of</w:t>
      </w:r>
      <w:r>
        <w:rPr>
          <w:color w:val="231F20"/>
          <w:spacing w:val="-7"/>
        </w:rPr>
        <w:t> </w:t>
      </w:r>
      <w:r>
        <w:rPr>
          <w:color w:val="231F20"/>
          <w:spacing w:val="-6"/>
        </w:rPr>
        <w:t>international</w:t>
      </w:r>
      <w:r>
        <w:rPr>
          <w:color w:val="231F20"/>
          <w:spacing w:val="-7"/>
        </w:rPr>
        <w:t> </w:t>
      </w:r>
      <w:r>
        <w:rPr>
          <w:color w:val="231F20"/>
          <w:spacing w:val="-6"/>
        </w:rPr>
        <w:t>connections</w:t>
      </w:r>
      <w:r>
        <w:rPr>
          <w:color w:val="231F20"/>
          <w:spacing w:val="-7"/>
        </w:rPr>
        <w:t> </w:t>
      </w:r>
      <w:r>
        <w:rPr>
          <w:color w:val="231F20"/>
          <w:spacing w:val="-6"/>
        </w:rPr>
        <w:t>by </w:t>
      </w:r>
      <w:r>
        <w:rPr>
          <w:color w:val="231F20"/>
          <w:w w:val="90"/>
        </w:rPr>
        <w:t>country and by mode). The new indicators, mea- </w:t>
      </w:r>
      <w:r>
        <w:rPr>
          <w:color w:val="231F20"/>
          <w:spacing w:val="-4"/>
        </w:rPr>
        <w:t>sured</w:t>
      </w:r>
      <w:r>
        <w:rPr>
          <w:color w:val="231F20"/>
          <w:spacing w:val="-8"/>
        </w:rPr>
        <w:t> </w:t>
      </w:r>
      <w:r>
        <w:rPr>
          <w:color w:val="231F20"/>
          <w:spacing w:val="-4"/>
        </w:rPr>
        <w:t>in</w:t>
      </w:r>
      <w:r>
        <w:rPr>
          <w:color w:val="231F20"/>
          <w:spacing w:val="-8"/>
        </w:rPr>
        <w:t> </w:t>
      </w:r>
      <w:r>
        <w:rPr>
          <w:color w:val="231F20"/>
          <w:spacing w:val="-4"/>
        </w:rPr>
        <w:t>days</w:t>
      </w:r>
      <w:r>
        <w:rPr>
          <w:color w:val="231F20"/>
          <w:spacing w:val="-8"/>
        </w:rPr>
        <w:t> </w:t>
      </w:r>
      <w:r>
        <w:rPr>
          <w:color w:val="231F20"/>
          <w:spacing w:val="-4"/>
        </w:rPr>
        <w:t>or</w:t>
      </w:r>
      <w:r>
        <w:rPr>
          <w:color w:val="231F20"/>
          <w:spacing w:val="-8"/>
        </w:rPr>
        <w:t> </w:t>
      </w:r>
      <w:r>
        <w:rPr>
          <w:color w:val="231F20"/>
          <w:spacing w:val="-4"/>
        </w:rPr>
        <w:t>simple</w:t>
      </w:r>
      <w:r>
        <w:rPr>
          <w:color w:val="231F20"/>
          <w:spacing w:val="-8"/>
        </w:rPr>
        <w:t> </w:t>
      </w:r>
      <w:r>
        <w:rPr>
          <w:color w:val="231F20"/>
          <w:spacing w:val="-4"/>
        </w:rPr>
        <w:t>counts,</w:t>
      </w:r>
      <w:r>
        <w:rPr>
          <w:color w:val="231F20"/>
          <w:spacing w:val="-8"/>
        </w:rPr>
        <w:t> </w:t>
      </w:r>
      <w:r>
        <w:rPr>
          <w:color w:val="231F20"/>
          <w:spacing w:val="-4"/>
        </w:rPr>
        <w:t>are</w:t>
      </w:r>
      <w:r>
        <w:rPr>
          <w:color w:val="231F20"/>
          <w:spacing w:val="-8"/>
        </w:rPr>
        <w:t> </w:t>
      </w:r>
      <w:r>
        <w:rPr>
          <w:color w:val="231F20"/>
          <w:spacing w:val="-4"/>
        </w:rPr>
        <w:t>relatable</w:t>
      </w:r>
      <w:r>
        <w:rPr>
          <w:color w:val="231F20"/>
          <w:spacing w:val="-8"/>
        </w:rPr>
        <w:t> </w:t>
      </w:r>
      <w:r>
        <w:rPr>
          <w:color w:val="231F20"/>
          <w:spacing w:val="-4"/>
        </w:rPr>
        <w:t>to </w:t>
      </w:r>
      <w:r>
        <w:rPr>
          <w:color w:val="231F20"/>
          <w:spacing w:val="-6"/>
        </w:rPr>
        <w:t>policymakers and practitioners concerned with the</w:t>
      </w:r>
      <w:r>
        <w:rPr>
          <w:color w:val="231F20"/>
          <w:spacing w:val="-8"/>
        </w:rPr>
        <w:t> </w:t>
      </w:r>
      <w:r>
        <w:rPr>
          <w:color w:val="231F20"/>
          <w:spacing w:val="-6"/>
        </w:rPr>
        <w:t>performance</w:t>
      </w:r>
      <w:r>
        <w:rPr>
          <w:color w:val="231F20"/>
          <w:spacing w:val="-7"/>
        </w:rPr>
        <w:t> </w:t>
      </w:r>
      <w:r>
        <w:rPr>
          <w:color w:val="231F20"/>
          <w:spacing w:val="-6"/>
        </w:rPr>
        <w:t>of</w:t>
      </w:r>
      <w:r>
        <w:rPr>
          <w:color w:val="231F20"/>
          <w:spacing w:val="-7"/>
        </w:rPr>
        <w:t> </w:t>
      </w:r>
      <w:r>
        <w:rPr>
          <w:color w:val="231F20"/>
          <w:spacing w:val="-6"/>
        </w:rPr>
        <w:t>key</w:t>
      </w:r>
      <w:r>
        <w:rPr>
          <w:color w:val="231F20"/>
          <w:spacing w:val="-7"/>
        </w:rPr>
        <w:t> </w:t>
      </w:r>
      <w:r>
        <w:rPr>
          <w:color w:val="231F20"/>
          <w:spacing w:val="-6"/>
        </w:rPr>
        <w:t>logistics</w:t>
      </w:r>
      <w:r>
        <w:rPr>
          <w:color w:val="231F20"/>
          <w:spacing w:val="-7"/>
        </w:rPr>
        <w:t> </w:t>
      </w:r>
      <w:r>
        <w:rPr>
          <w:color w:val="231F20"/>
          <w:spacing w:val="-6"/>
        </w:rPr>
        <w:t>hubs</w:t>
      </w:r>
      <w:r>
        <w:rPr>
          <w:color w:val="231F20"/>
          <w:spacing w:val="-7"/>
        </w:rPr>
        <w:t> </w:t>
      </w:r>
      <w:r>
        <w:rPr>
          <w:color w:val="231F20"/>
          <w:spacing w:val="-6"/>
        </w:rPr>
        <w:t>and</w:t>
      </w:r>
      <w:r>
        <w:rPr>
          <w:color w:val="231F20"/>
          <w:spacing w:val="-7"/>
        </w:rPr>
        <w:t> </w:t>
      </w:r>
      <w:r>
        <w:rPr>
          <w:color w:val="231F20"/>
          <w:spacing w:val="-6"/>
        </w:rPr>
        <w:t>gate- </w:t>
      </w:r>
      <w:r>
        <w:rPr>
          <w:color w:val="231F20"/>
        </w:rPr>
        <w:t>ways,</w:t>
      </w:r>
      <w:r>
        <w:rPr>
          <w:color w:val="231F20"/>
          <w:spacing w:val="-10"/>
        </w:rPr>
        <w:t> </w:t>
      </w:r>
      <w:r>
        <w:rPr>
          <w:color w:val="231F20"/>
        </w:rPr>
        <w:t>such</w:t>
      </w:r>
      <w:r>
        <w:rPr>
          <w:color w:val="231F20"/>
          <w:spacing w:val="-10"/>
        </w:rPr>
        <w:t> </w:t>
      </w:r>
      <w:r>
        <w:rPr>
          <w:color w:val="231F20"/>
        </w:rPr>
        <w:t>as</w:t>
      </w:r>
      <w:r>
        <w:rPr>
          <w:color w:val="231F20"/>
          <w:spacing w:val="-10"/>
        </w:rPr>
        <w:t> </w:t>
      </w:r>
      <w:r>
        <w:rPr>
          <w:color w:val="231F20"/>
        </w:rPr>
        <w:t>ports</w:t>
      </w:r>
      <w:r>
        <w:rPr>
          <w:color w:val="231F20"/>
          <w:spacing w:val="-10"/>
        </w:rPr>
        <w:t> </w:t>
      </w:r>
      <w:r>
        <w:rPr>
          <w:color w:val="231F20"/>
        </w:rPr>
        <w:t>or</w:t>
      </w:r>
      <w:r>
        <w:rPr>
          <w:color w:val="231F20"/>
          <w:spacing w:val="-10"/>
        </w:rPr>
        <w:t> </w:t>
      </w:r>
      <w:r>
        <w:rPr>
          <w:color w:val="231F20"/>
        </w:rPr>
        <w:t>airports.</w:t>
      </w:r>
    </w:p>
    <w:p>
      <w:pPr>
        <w:pStyle w:val="BodyText"/>
        <w:spacing w:before="27"/>
      </w:pPr>
    </w:p>
    <w:p>
      <w:pPr>
        <w:spacing w:line="280" w:lineRule="auto" w:before="0"/>
        <w:ind w:left="199" w:right="2929" w:firstLine="0"/>
        <w:jc w:val="left"/>
        <w:rPr>
          <w:rFonts w:ascii="Arial"/>
          <w:b/>
          <w:sz w:val="20"/>
        </w:rPr>
      </w:pPr>
      <w:r>
        <w:rPr>
          <w:rFonts w:ascii="Arial"/>
          <w:b/>
          <w:color w:val="231F20"/>
          <w:w w:val="105"/>
          <w:sz w:val="20"/>
        </w:rPr>
        <w:t>A more complex picture of trade </w:t>
      </w:r>
      <w:r>
        <w:rPr>
          <w:rFonts w:ascii="Arial"/>
          <w:b/>
          <w:color w:val="231F20"/>
          <w:spacing w:val="-2"/>
          <w:w w:val="105"/>
          <w:sz w:val="20"/>
        </w:rPr>
        <w:t>bottlenecks</w:t>
      </w:r>
    </w:p>
    <w:p>
      <w:pPr>
        <w:pStyle w:val="BodyText"/>
        <w:spacing w:before="33"/>
        <w:rPr>
          <w:rFonts w:ascii="Arial"/>
          <w:b/>
          <w:sz w:val="20"/>
        </w:rPr>
      </w:pPr>
    </w:p>
    <w:p>
      <w:pPr>
        <w:pStyle w:val="BodyText"/>
        <w:spacing w:line="268" w:lineRule="auto" w:before="1"/>
        <w:ind w:left="199" w:right="2819"/>
        <w:jc w:val="both"/>
      </w:pPr>
      <w:r>
        <w:rPr>
          <w:color w:val="231F20"/>
        </w:rPr>
        <w:t>Understanding performance requires look- </w:t>
      </w:r>
      <w:r>
        <w:rPr>
          <w:color w:val="231F20"/>
          <w:spacing w:val="-6"/>
        </w:rPr>
        <w:t>ing beyond average shipment times. Lead time </w:t>
      </w:r>
      <w:r>
        <w:rPr>
          <w:color w:val="231F20"/>
          <w:spacing w:val="-2"/>
        </w:rPr>
        <w:t>(delay)</w:t>
      </w:r>
      <w:r>
        <w:rPr>
          <w:color w:val="231F20"/>
          <w:spacing w:val="-12"/>
        </w:rPr>
        <w:t> </w:t>
      </w:r>
      <w:r>
        <w:rPr>
          <w:color w:val="231F20"/>
          <w:spacing w:val="-2"/>
        </w:rPr>
        <w:t>of</w:t>
      </w:r>
      <w:r>
        <w:rPr>
          <w:color w:val="231F20"/>
          <w:spacing w:val="-11"/>
        </w:rPr>
        <w:t> </w:t>
      </w:r>
      <w:r>
        <w:rPr>
          <w:color w:val="231F20"/>
          <w:spacing w:val="-2"/>
        </w:rPr>
        <w:t>connections</w:t>
      </w:r>
      <w:r>
        <w:rPr>
          <w:color w:val="231F20"/>
          <w:spacing w:val="-11"/>
        </w:rPr>
        <w:t> </w:t>
      </w:r>
      <w:r>
        <w:rPr>
          <w:color w:val="231F20"/>
          <w:spacing w:val="-2"/>
        </w:rPr>
        <w:t>in</w:t>
      </w:r>
      <w:r>
        <w:rPr>
          <w:color w:val="231F20"/>
          <w:spacing w:val="-11"/>
        </w:rPr>
        <w:t> </w:t>
      </w:r>
      <w:r>
        <w:rPr>
          <w:color w:val="231F20"/>
          <w:spacing w:val="-2"/>
        </w:rPr>
        <w:t>international</w:t>
      </w:r>
      <w:r>
        <w:rPr>
          <w:color w:val="231F20"/>
          <w:spacing w:val="-11"/>
        </w:rPr>
        <w:t> </w:t>
      </w:r>
      <w:r>
        <w:rPr>
          <w:color w:val="231F20"/>
          <w:spacing w:val="-2"/>
        </w:rPr>
        <w:t>supply chains</w:t>
      </w:r>
      <w:r>
        <w:rPr>
          <w:color w:val="231F20"/>
          <w:spacing w:val="-3"/>
        </w:rPr>
        <w:t> </w:t>
      </w:r>
      <w:r>
        <w:rPr>
          <w:color w:val="231F20"/>
          <w:spacing w:val="-2"/>
        </w:rPr>
        <w:t>is widely dispersed and skewed to</w:t>
      </w:r>
      <w:r>
        <w:rPr>
          <w:color w:val="231F20"/>
          <w:spacing w:val="-3"/>
        </w:rPr>
        <w:t> </w:t>
      </w:r>
      <w:r>
        <w:rPr>
          <w:color w:val="231F20"/>
          <w:spacing w:val="-5"/>
        </w:rPr>
        <w:t>the</w:t>
      </w:r>
    </w:p>
    <w:p>
      <w:pPr>
        <w:spacing w:after="0" w:line="268" w:lineRule="auto"/>
        <w:jc w:val="both"/>
        <w:sectPr>
          <w:type w:val="continuous"/>
          <w:pgSz w:w="12240" w:h="15840"/>
          <w:pgMar w:header="370" w:footer="548" w:top="1140" w:bottom="280" w:left="0" w:right="540"/>
          <w:cols w:num="2" w:equalWidth="0">
            <w:col w:w="4921" w:space="40"/>
            <w:col w:w="6739"/>
          </w:cols>
        </w:sectPr>
      </w:pPr>
    </w:p>
    <w:p>
      <w:pPr>
        <w:pStyle w:val="BodyText"/>
        <w:rPr>
          <w:sz w:val="20"/>
        </w:rPr>
      </w:pPr>
    </w:p>
    <w:p>
      <w:pPr>
        <w:pStyle w:val="BodyText"/>
        <w:rPr>
          <w:sz w:val="20"/>
        </w:rPr>
      </w:pPr>
    </w:p>
    <w:p>
      <w:pPr>
        <w:pStyle w:val="BodyText"/>
        <w:spacing w:before="37"/>
        <w:rPr>
          <w:sz w:val="20"/>
        </w:rPr>
      </w:pPr>
    </w:p>
    <w:p>
      <w:pPr>
        <w:spacing w:after="0"/>
        <w:rPr>
          <w:sz w:val="20"/>
        </w:rPr>
        <w:sectPr>
          <w:pgSz w:w="12240" w:h="15840"/>
          <w:pgMar w:header="370" w:footer="548" w:top="560" w:bottom="740" w:left="0" w:right="540"/>
        </w:sectPr>
      </w:pPr>
    </w:p>
    <w:p>
      <w:pPr>
        <w:pStyle w:val="BodyText"/>
        <w:spacing w:line="268" w:lineRule="auto" w:before="97"/>
        <w:ind w:left="3271"/>
        <w:jc w:val="right"/>
      </w:pPr>
      <w:bookmarkStart w:name="_bookmark7" w:id="8"/>
      <w:bookmarkEnd w:id="8"/>
      <w:r>
        <w:rPr/>
      </w:r>
      <w:r>
        <w:rPr>
          <w:color w:val="231F20"/>
          <w:spacing w:val="-6"/>
        </w:rPr>
        <w:t>right</w:t>
      </w:r>
      <w:r>
        <w:rPr>
          <w:color w:val="231F20"/>
          <w:spacing w:val="-7"/>
        </w:rPr>
        <w:t> </w:t>
      </w:r>
      <w:r>
        <w:rPr>
          <w:color w:val="231F20"/>
          <w:spacing w:val="-6"/>
        </w:rPr>
        <w:t>of</w:t>
      </w:r>
      <w:r>
        <w:rPr>
          <w:color w:val="231F20"/>
          <w:spacing w:val="-7"/>
        </w:rPr>
        <w:t> </w:t>
      </w:r>
      <w:r>
        <w:rPr>
          <w:color w:val="231F20"/>
          <w:spacing w:val="-6"/>
        </w:rPr>
        <w:t>the</w:t>
      </w:r>
      <w:r>
        <w:rPr>
          <w:color w:val="231F20"/>
          <w:spacing w:val="-7"/>
        </w:rPr>
        <w:t> </w:t>
      </w:r>
      <w:r>
        <w:rPr>
          <w:color w:val="231F20"/>
          <w:spacing w:val="-6"/>
        </w:rPr>
        <w:t>mean,</w:t>
      </w:r>
      <w:r>
        <w:rPr>
          <w:color w:val="231F20"/>
          <w:spacing w:val="-7"/>
        </w:rPr>
        <w:t> </w:t>
      </w:r>
      <w:r>
        <w:rPr>
          <w:color w:val="231F20"/>
          <w:spacing w:val="-6"/>
        </w:rPr>
        <w:t>meaning</w:t>
      </w:r>
      <w:r>
        <w:rPr>
          <w:color w:val="231F20"/>
          <w:spacing w:val="-7"/>
        </w:rPr>
        <w:t> </w:t>
      </w:r>
      <w:r>
        <w:rPr>
          <w:color w:val="231F20"/>
          <w:spacing w:val="-6"/>
        </w:rPr>
        <w:t>there</w:t>
      </w:r>
      <w:r>
        <w:rPr>
          <w:color w:val="231F20"/>
          <w:spacing w:val="-7"/>
        </w:rPr>
        <w:t> </w:t>
      </w:r>
      <w:r>
        <w:rPr>
          <w:color w:val="231F20"/>
          <w:spacing w:val="-6"/>
        </w:rPr>
        <w:t>are</w:t>
      </w:r>
      <w:r>
        <w:rPr>
          <w:color w:val="231F20"/>
          <w:spacing w:val="-7"/>
        </w:rPr>
        <w:t> </w:t>
      </w:r>
      <w:r>
        <w:rPr>
          <w:color w:val="231F20"/>
          <w:spacing w:val="-6"/>
        </w:rPr>
        <w:t>many</w:t>
      </w:r>
      <w:r>
        <w:rPr>
          <w:color w:val="231F20"/>
          <w:spacing w:val="-7"/>
        </w:rPr>
        <w:t> </w:t>
      </w:r>
      <w:r>
        <w:rPr>
          <w:color w:val="231F20"/>
          <w:spacing w:val="-6"/>
        </w:rPr>
        <w:t>out- liers</w:t>
      </w:r>
      <w:r>
        <w:rPr>
          <w:color w:val="231F20"/>
          <w:spacing w:val="-11"/>
        </w:rPr>
        <w:t> </w:t>
      </w:r>
      <w:r>
        <w:rPr>
          <w:color w:val="231F20"/>
          <w:spacing w:val="-6"/>
        </w:rPr>
        <w:t>with</w:t>
      </w:r>
      <w:r>
        <w:rPr>
          <w:color w:val="231F20"/>
          <w:spacing w:val="-11"/>
        </w:rPr>
        <w:t> </w:t>
      </w:r>
      <w:r>
        <w:rPr>
          <w:color w:val="231F20"/>
          <w:spacing w:val="-6"/>
        </w:rPr>
        <w:t>high</w:t>
      </w:r>
      <w:r>
        <w:rPr>
          <w:color w:val="231F20"/>
          <w:spacing w:val="-11"/>
        </w:rPr>
        <w:t> </w:t>
      </w:r>
      <w:r>
        <w:rPr>
          <w:color w:val="231F20"/>
          <w:spacing w:val="-6"/>
        </w:rPr>
        <w:t>dwell</w:t>
      </w:r>
      <w:r>
        <w:rPr>
          <w:color w:val="231F20"/>
          <w:spacing w:val="-11"/>
        </w:rPr>
        <w:t> </w:t>
      </w:r>
      <w:r>
        <w:rPr>
          <w:color w:val="231F20"/>
          <w:spacing w:val="-6"/>
        </w:rPr>
        <w:t>times.</w:t>
      </w:r>
      <w:r>
        <w:rPr>
          <w:color w:val="231F20"/>
          <w:spacing w:val="-6"/>
          <w:position w:val="7"/>
          <w:sz w:val="14"/>
        </w:rPr>
        <w:t>5</w:t>
      </w:r>
      <w:r>
        <w:rPr>
          <w:color w:val="231F20"/>
          <w:spacing w:val="7"/>
          <w:position w:val="7"/>
          <w:sz w:val="14"/>
        </w:rPr>
        <w:t> </w:t>
      </w:r>
      <w:r>
        <w:rPr>
          <w:color w:val="231F20"/>
          <w:spacing w:val="-6"/>
        </w:rPr>
        <w:t>The</w:t>
      </w:r>
      <w:r>
        <w:rPr>
          <w:color w:val="231F20"/>
          <w:spacing w:val="-11"/>
        </w:rPr>
        <w:t> </w:t>
      </w:r>
      <w:r>
        <w:rPr>
          <w:color w:val="231F20"/>
          <w:spacing w:val="-6"/>
        </w:rPr>
        <w:t>long</w:t>
      </w:r>
      <w:r>
        <w:rPr>
          <w:color w:val="231F20"/>
          <w:spacing w:val="-11"/>
        </w:rPr>
        <w:t> </w:t>
      </w:r>
      <w:r>
        <w:rPr>
          <w:color w:val="231F20"/>
          <w:spacing w:val="-6"/>
        </w:rPr>
        <w:t>tail</w:t>
      </w:r>
      <w:r>
        <w:rPr>
          <w:color w:val="231F20"/>
          <w:spacing w:val="-11"/>
        </w:rPr>
        <w:t> </w:t>
      </w:r>
      <w:r>
        <w:rPr>
          <w:color w:val="231F20"/>
          <w:spacing w:val="-6"/>
        </w:rPr>
        <w:t>of</w:t>
      </w:r>
      <w:r>
        <w:rPr>
          <w:color w:val="231F20"/>
          <w:spacing w:val="-11"/>
        </w:rPr>
        <w:t> </w:t>
      </w:r>
      <w:r>
        <w:rPr>
          <w:color w:val="231F20"/>
          <w:spacing w:val="-6"/>
        </w:rPr>
        <w:t>the distribution makes lengthy delays likely for the slowest shipments (see figure 2 for an example </w:t>
      </w:r>
      <w:r>
        <w:rPr>
          <w:color w:val="231F20"/>
          <w:spacing w:val="-2"/>
        </w:rPr>
        <w:t>using</w:t>
      </w:r>
      <w:r>
        <w:rPr>
          <w:color w:val="231F20"/>
          <w:spacing w:val="-11"/>
        </w:rPr>
        <w:t> </w:t>
      </w:r>
      <w:r>
        <w:rPr>
          <w:color w:val="231F20"/>
          <w:spacing w:val="-2"/>
        </w:rPr>
        <w:t>the</w:t>
      </w:r>
      <w:r>
        <w:rPr>
          <w:color w:val="231F20"/>
          <w:spacing w:val="-11"/>
        </w:rPr>
        <w:t> </w:t>
      </w:r>
      <w:r>
        <w:rPr>
          <w:color w:val="231F20"/>
          <w:spacing w:val="-2"/>
        </w:rPr>
        <w:t>port</w:t>
      </w:r>
      <w:r>
        <w:rPr>
          <w:color w:val="231F20"/>
          <w:spacing w:val="-11"/>
        </w:rPr>
        <w:t> </w:t>
      </w:r>
      <w:r>
        <w:rPr>
          <w:color w:val="231F20"/>
          <w:spacing w:val="-2"/>
        </w:rPr>
        <w:t>of</w:t>
      </w:r>
      <w:r>
        <w:rPr>
          <w:color w:val="231F20"/>
          <w:spacing w:val="-11"/>
        </w:rPr>
        <w:t> </w:t>
      </w:r>
      <w:r>
        <w:rPr>
          <w:color w:val="231F20"/>
          <w:spacing w:val="-2"/>
        </w:rPr>
        <w:t>Algiers</w:t>
      </w:r>
      <w:r>
        <w:rPr>
          <w:color w:val="231F20"/>
          <w:spacing w:val="-11"/>
        </w:rPr>
        <w:t> </w:t>
      </w:r>
      <w:r>
        <w:rPr>
          <w:color w:val="231F20"/>
          <w:spacing w:val="-2"/>
        </w:rPr>
        <w:t>in</w:t>
      </w:r>
      <w:r>
        <w:rPr>
          <w:color w:val="231F20"/>
          <w:spacing w:val="-11"/>
        </w:rPr>
        <w:t> </w:t>
      </w:r>
      <w:r>
        <w:rPr>
          <w:color w:val="231F20"/>
          <w:spacing w:val="-2"/>
        </w:rPr>
        <w:t>Algeria).</w:t>
      </w:r>
      <w:r>
        <w:rPr>
          <w:color w:val="231F20"/>
          <w:spacing w:val="-11"/>
        </w:rPr>
        <w:t> </w:t>
      </w:r>
      <w:r>
        <w:rPr>
          <w:color w:val="231F20"/>
          <w:spacing w:val="-2"/>
        </w:rPr>
        <w:t>It</w:t>
      </w:r>
      <w:r>
        <w:rPr>
          <w:color w:val="231F20"/>
          <w:spacing w:val="-11"/>
        </w:rPr>
        <w:t> </w:t>
      </w:r>
      <w:r>
        <w:rPr>
          <w:color w:val="231F20"/>
          <w:spacing w:val="-2"/>
        </w:rPr>
        <w:t>means </w:t>
      </w:r>
      <w:r>
        <w:rPr>
          <w:color w:val="231F20"/>
        </w:rPr>
        <w:t>that</w:t>
      </w:r>
      <w:r>
        <w:rPr>
          <w:color w:val="231F20"/>
          <w:spacing w:val="-7"/>
        </w:rPr>
        <w:t> </w:t>
      </w:r>
      <w:r>
        <w:rPr>
          <w:color w:val="231F20"/>
        </w:rPr>
        <w:t>they</w:t>
      </w:r>
      <w:r>
        <w:rPr>
          <w:color w:val="231F20"/>
          <w:spacing w:val="-7"/>
        </w:rPr>
        <w:t> </w:t>
      </w:r>
      <w:r>
        <w:rPr>
          <w:color w:val="231F20"/>
        </w:rPr>
        <w:t>lack</w:t>
      </w:r>
      <w:r>
        <w:rPr>
          <w:color w:val="231F20"/>
          <w:spacing w:val="-7"/>
        </w:rPr>
        <w:t> </w:t>
      </w:r>
      <w:r>
        <w:rPr>
          <w:color w:val="231F20"/>
        </w:rPr>
        <w:t>of</w:t>
      </w:r>
      <w:r>
        <w:rPr>
          <w:color w:val="231F20"/>
          <w:spacing w:val="-7"/>
        </w:rPr>
        <w:t> </w:t>
      </w:r>
      <w:r>
        <w:rPr>
          <w:color w:val="231F20"/>
        </w:rPr>
        <w:t>reliability</w:t>
      </w:r>
      <w:r>
        <w:rPr>
          <w:color w:val="231F20"/>
          <w:spacing w:val="-7"/>
        </w:rPr>
        <w:t> </w:t>
      </w:r>
      <w:r>
        <w:rPr>
          <w:color w:val="231F20"/>
        </w:rPr>
        <w:t>across</w:t>
      </w:r>
      <w:r>
        <w:rPr>
          <w:color w:val="231F20"/>
          <w:spacing w:val="-7"/>
        </w:rPr>
        <w:t> </w:t>
      </w:r>
      <w:r>
        <w:rPr>
          <w:color w:val="231F20"/>
        </w:rPr>
        <w:t>the</w:t>
      </w:r>
      <w:r>
        <w:rPr>
          <w:color w:val="231F20"/>
          <w:spacing w:val="-7"/>
        </w:rPr>
        <w:t> </w:t>
      </w:r>
      <w:r>
        <w:rPr>
          <w:color w:val="231F20"/>
        </w:rPr>
        <w:t>supply </w:t>
      </w:r>
      <w:r>
        <w:rPr>
          <w:color w:val="231F20"/>
          <w:spacing w:val="-4"/>
        </w:rPr>
        <w:t>chain</w:t>
      </w:r>
      <w:r>
        <w:rPr>
          <w:color w:val="231F20"/>
          <w:spacing w:val="-10"/>
        </w:rPr>
        <w:t> </w:t>
      </w:r>
      <w:r>
        <w:rPr>
          <w:color w:val="231F20"/>
          <w:spacing w:val="-4"/>
        </w:rPr>
        <w:t>is</w:t>
      </w:r>
      <w:r>
        <w:rPr>
          <w:color w:val="231F20"/>
          <w:spacing w:val="-10"/>
        </w:rPr>
        <w:t> </w:t>
      </w:r>
      <w:r>
        <w:rPr>
          <w:color w:val="231F20"/>
          <w:spacing w:val="-4"/>
        </w:rPr>
        <w:t>more</w:t>
      </w:r>
      <w:r>
        <w:rPr>
          <w:color w:val="231F20"/>
          <w:spacing w:val="-10"/>
        </w:rPr>
        <w:t> </w:t>
      </w:r>
      <w:r>
        <w:rPr>
          <w:color w:val="231F20"/>
          <w:spacing w:val="-4"/>
        </w:rPr>
        <w:t>important</w:t>
      </w:r>
      <w:r>
        <w:rPr>
          <w:color w:val="231F20"/>
          <w:spacing w:val="-10"/>
        </w:rPr>
        <w:t> </w:t>
      </w:r>
      <w:r>
        <w:rPr>
          <w:color w:val="231F20"/>
          <w:spacing w:val="-4"/>
        </w:rPr>
        <w:t>than</w:t>
      </w:r>
      <w:r>
        <w:rPr>
          <w:color w:val="231F20"/>
          <w:spacing w:val="-10"/>
        </w:rPr>
        <w:t> </w:t>
      </w:r>
      <w:r>
        <w:rPr>
          <w:color w:val="231F20"/>
          <w:spacing w:val="-4"/>
        </w:rPr>
        <w:t>the</w:t>
      </w:r>
      <w:r>
        <w:rPr>
          <w:color w:val="231F20"/>
          <w:spacing w:val="-10"/>
        </w:rPr>
        <w:t> </w:t>
      </w:r>
      <w:r>
        <w:rPr>
          <w:color w:val="231F20"/>
          <w:spacing w:val="-4"/>
        </w:rPr>
        <w:t>average</w:t>
      </w:r>
      <w:r>
        <w:rPr>
          <w:color w:val="231F20"/>
          <w:spacing w:val="-10"/>
        </w:rPr>
        <w:t> </w:t>
      </w:r>
      <w:r>
        <w:rPr>
          <w:color w:val="231F20"/>
          <w:spacing w:val="-4"/>
        </w:rPr>
        <w:t>delay at</w:t>
      </w:r>
      <w:r>
        <w:rPr>
          <w:color w:val="231F20"/>
          <w:spacing w:val="-10"/>
        </w:rPr>
        <w:t> </w:t>
      </w:r>
      <w:r>
        <w:rPr>
          <w:color w:val="231F20"/>
          <w:spacing w:val="-4"/>
        </w:rPr>
        <w:t>links</w:t>
      </w:r>
      <w:r>
        <w:rPr>
          <w:color w:val="231F20"/>
          <w:spacing w:val="-9"/>
        </w:rPr>
        <w:t> </w:t>
      </w:r>
      <w:r>
        <w:rPr>
          <w:color w:val="231F20"/>
          <w:spacing w:val="-4"/>
        </w:rPr>
        <w:t>of</w:t>
      </w:r>
      <w:r>
        <w:rPr>
          <w:color w:val="231F20"/>
          <w:spacing w:val="-9"/>
        </w:rPr>
        <w:t> </w:t>
      </w:r>
      <w:r>
        <w:rPr>
          <w:color w:val="231F20"/>
          <w:spacing w:val="-4"/>
        </w:rPr>
        <w:t>the</w:t>
      </w:r>
      <w:r>
        <w:rPr>
          <w:color w:val="231F20"/>
          <w:spacing w:val="-9"/>
        </w:rPr>
        <w:t> </w:t>
      </w:r>
      <w:r>
        <w:rPr>
          <w:color w:val="231F20"/>
          <w:spacing w:val="-4"/>
        </w:rPr>
        <w:t>supply</w:t>
      </w:r>
      <w:r>
        <w:rPr>
          <w:color w:val="231F20"/>
          <w:spacing w:val="-9"/>
        </w:rPr>
        <w:t> </w:t>
      </w:r>
      <w:r>
        <w:rPr>
          <w:color w:val="231F20"/>
          <w:spacing w:val="-4"/>
        </w:rPr>
        <w:t>chain,</w:t>
      </w:r>
      <w:r>
        <w:rPr>
          <w:color w:val="231F20"/>
          <w:spacing w:val="-9"/>
        </w:rPr>
        <w:t> </w:t>
      </w:r>
      <w:r>
        <w:rPr>
          <w:color w:val="231F20"/>
          <w:spacing w:val="-4"/>
        </w:rPr>
        <w:t>especially</w:t>
      </w:r>
      <w:r>
        <w:rPr>
          <w:color w:val="231F20"/>
          <w:spacing w:val="-9"/>
        </w:rPr>
        <w:t> </w:t>
      </w:r>
      <w:r>
        <w:rPr>
          <w:color w:val="231F20"/>
          <w:spacing w:val="-4"/>
        </w:rPr>
        <w:t>if</w:t>
      </w:r>
      <w:r>
        <w:rPr>
          <w:color w:val="231F20"/>
          <w:spacing w:val="-9"/>
        </w:rPr>
        <w:t> </w:t>
      </w:r>
      <w:r>
        <w:rPr>
          <w:color w:val="231F20"/>
          <w:spacing w:val="-4"/>
        </w:rPr>
        <w:t>trace- ability</w:t>
      </w:r>
      <w:r>
        <w:rPr>
          <w:color w:val="231F20"/>
          <w:spacing w:val="-8"/>
        </w:rPr>
        <w:t> </w:t>
      </w:r>
      <w:r>
        <w:rPr>
          <w:color w:val="231F20"/>
          <w:spacing w:val="-4"/>
        </w:rPr>
        <w:t>along</w:t>
      </w:r>
      <w:r>
        <w:rPr>
          <w:color w:val="231F20"/>
          <w:spacing w:val="-8"/>
        </w:rPr>
        <w:t> </w:t>
      </w:r>
      <w:r>
        <w:rPr>
          <w:color w:val="231F20"/>
          <w:spacing w:val="-4"/>
        </w:rPr>
        <w:t>the</w:t>
      </w:r>
      <w:r>
        <w:rPr>
          <w:color w:val="231F20"/>
          <w:spacing w:val="-8"/>
        </w:rPr>
        <w:t> </w:t>
      </w:r>
      <w:r>
        <w:rPr>
          <w:color w:val="231F20"/>
          <w:spacing w:val="-4"/>
        </w:rPr>
        <w:t>supply</w:t>
      </w:r>
      <w:r>
        <w:rPr>
          <w:color w:val="231F20"/>
          <w:spacing w:val="-8"/>
        </w:rPr>
        <w:t> </w:t>
      </w:r>
      <w:r>
        <w:rPr>
          <w:color w:val="231F20"/>
          <w:spacing w:val="-4"/>
        </w:rPr>
        <w:t>chain</w:t>
      </w:r>
      <w:r>
        <w:rPr>
          <w:color w:val="231F20"/>
          <w:spacing w:val="-8"/>
        </w:rPr>
        <w:t> </w:t>
      </w:r>
      <w:r>
        <w:rPr>
          <w:color w:val="231F20"/>
          <w:spacing w:val="-4"/>
        </w:rPr>
        <w:t>and</w:t>
      </w:r>
      <w:r>
        <w:rPr>
          <w:color w:val="231F20"/>
          <w:spacing w:val="-8"/>
        </w:rPr>
        <w:t> </w:t>
      </w:r>
      <w:r>
        <w:rPr>
          <w:color w:val="231F20"/>
          <w:spacing w:val="-4"/>
        </w:rPr>
        <w:t>information </w:t>
      </w:r>
      <w:r>
        <w:rPr>
          <w:color w:val="231F20"/>
        </w:rPr>
        <w:t>flows</w:t>
      </w:r>
      <w:r>
        <w:rPr>
          <w:color w:val="231F20"/>
          <w:spacing w:val="-8"/>
        </w:rPr>
        <w:t> </w:t>
      </w:r>
      <w:r>
        <w:rPr>
          <w:color w:val="231F20"/>
        </w:rPr>
        <w:t>are</w:t>
      </w:r>
      <w:r>
        <w:rPr>
          <w:color w:val="231F20"/>
          <w:spacing w:val="-8"/>
        </w:rPr>
        <w:t> </w:t>
      </w:r>
      <w:r>
        <w:rPr>
          <w:color w:val="231F20"/>
        </w:rPr>
        <w:t>lost.</w:t>
      </w:r>
      <w:r>
        <w:rPr>
          <w:color w:val="231F20"/>
          <w:spacing w:val="-8"/>
        </w:rPr>
        <w:t> </w:t>
      </w:r>
      <w:r>
        <w:rPr>
          <w:color w:val="231F20"/>
        </w:rPr>
        <w:t>Being</w:t>
      </w:r>
      <w:r>
        <w:rPr>
          <w:color w:val="231F20"/>
          <w:spacing w:val="-8"/>
        </w:rPr>
        <w:t> </w:t>
      </w:r>
      <w:r>
        <w:rPr>
          <w:color w:val="231F20"/>
        </w:rPr>
        <w:t>unable</w:t>
      </w:r>
      <w:r>
        <w:rPr>
          <w:color w:val="231F20"/>
          <w:spacing w:val="-8"/>
        </w:rPr>
        <w:t> </w:t>
      </w:r>
      <w:r>
        <w:rPr>
          <w:color w:val="231F20"/>
        </w:rPr>
        <w:t>to</w:t>
      </w:r>
      <w:r>
        <w:rPr>
          <w:color w:val="231F20"/>
          <w:spacing w:val="-8"/>
        </w:rPr>
        <w:t> </w:t>
      </w:r>
      <w:r>
        <w:rPr>
          <w:color w:val="231F20"/>
        </w:rPr>
        <w:t>locate</w:t>
      </w:r>
      <w:r>
        <w:rPr>
          <w:color w:val="231F20"/>
          <w:spacing w:val="-8"/>
        </w:rPr>
        <w:t> </w:t>
      </w:r>
      <w:r>
        <w:rPr>
          <w:color w:val="231F20"/>
        </w:rPr>
        <w:t>or</w:t>
      </w:r>
      <w:r>
        <w:rPr>
          <w:color w:val="231F20"/>
          <w:spacing w:val="-8"/>
        </w:rPr>
        <w:t> </w:t>
      </w:r>
      <w:r>
        <w:rPr>
          <w:color w:val="231F20"/>
        </w:rPr>
        <w:t>pre- </w:t>
      </w:r>
      <w:r>
        <w:rPr>
          <w:color w:val="231F20"/>
          <w:spacing w:val="-6"/>
        </w:rPr>
        <w:t>dict the movement of containers—because, for example, they are stalled on ships or arbitrarily </w:t>
      </w:r>
      <w:r>
        <w:rPr>
          <w:color w:val="231F20"/>
          <w:spacing w:val="-2"/>
          <w:w w:val="95"/>
        </w:rPr>
        <w:t>held</w:t>
      </w:r>
      <w:r>
        <w:rPr>
          <w:color w:val="231F20"/>
          <w:spacing w:val="-10"/>
          <w:w w:val="95"/>
        </w:rPr>
        <w:t> </w:t>
      </w:r>
      <w:r>
        <w:rPr>
          <w:color w:val="231F20"/>
          <w:spacing w:val="-2"/>
          <w:w w:val="95"/>
        </w:rPr>
        <w:t>up</w:t>
      </w:r>
      <w:r>
        <w:rPr>
          <w:color w:val="231F20"/>
          <w:spacing w:val="-10"/>
          <w:w w:val="95"/>
        </w:rPr>
        <w:t> </w:t>
      </w:r>
      <w:r>
        <w:rPr>
          <w:color w:val="231F20"/>
          <w:spacing w:val="-2"/>
          <w:w w:val="95"/>
        </w:rPr>
        <w:t>in</w:t>
      </w:r>
      <w:r>
        <w:rPr>
          <w:color w:val="231F20"/>
          <w:spacing w:val="-9"/>
          <w:w w:val="95"/>
        </w:rPr>
        <w:t> </w:t>
      </w:r>
      <w:r>
        <w:rPr>
          <w:color w:val="231F20"/>
          <w:spacing w:val="-2"/>
          <w:w w:val="95"/>
        </w:rPr>
        <w:t>customs—matters</w:t>
      </w:r>
      <w:r>
        <w:rPr>
          <w:color w:val="231F20"/>
          <w:spacing w:val="-10"/>
          <w:w w:val="95"/>
        </w:rPr>
        <w:t> </w:t>
      </w:r>
      <w:r>
        <w:rPr>
          <w:color w:val="231F20"/>
          <w:spacing w:val="-2"/>
          <w:w w:val="95"/>
        </w:rPr>
        <w:t>a</w:t>
      </w:r>
      <w:r>
        <w:rPr>
          <w:color w:val="231F20"/>
          <w:spacing w:val="-10"/>
          <w:w w:val="95"/>
        </w:rPr>
        <w:t> </w:t>
      </w:r>
      <w:r>
        <w:rPr>
          <w:color w:val="231F20"/>
          <w:spacing w:val="-2"/>
          <w:w w:val="95"/>
        </w:rPr>
        <w:t>lot</w:t>
      </w:r>
      <w:r>
        <w:rPr>
          <w:color w:val="231F20"/>
          <w:spacing w:val="-9"/>
          <w:w w:val="95"/>
        </w:rPr>
        <w:t> </w:t>
      </w:r>
      <w:r>
        <w:rPr>
          <w:color w:val="231F20"/>
          <w:spacing w:val="-2"/>
          <w:w w:val="95"/>
        </w:rPr>
        <w:t>to</w:t>
      </w:r>
      <w:r>
        <w:rPr>
          <w:color w:val="231F20"/>
          <w:spacing w:val="-10"/>
          <w:w w:val="95"/>
        </w:rPr>
        <w:t> </w:t>
      </w:r>
      <w:r>
        <w:rPr>
          <w:color w:val="231F20"/>
          <w:spacing w:val="-2"/>
          <w:w w:val="90"/>
        </w:rPr>
        <w:t>consignees.</w:t>
      </w:r>
    </w:p>
    <w:p>
      <w:pPr>
        <w:pStyle w:val="BodyText"/>
        <w:spacing w:line="268" w:lineRule="auto"/>
        <w:ind w:left="3360" w:firstLine="300"/>
        <w:jc w:val="both"/>
      </w:pPr>
      <w:r>
        <w:rPr>
          <w:color w:val="231F20"/>
        </w:rPr>
        <w:t>Trade</w:t>
      </w:r>
      <w:r>
        <w:rPr>
          <w:color w:val="231F20"/>
          <w:spacing w:val="-14"/>
        </w:rPr>
        <w:t> </w:t>
      </w:r>
      <w:r>
        <w:rPr>
          <w:color w:val="231F20"/>
        </w:rPr>
        <w:t>experiences</w:t>
      </w:r>
      <w:r>
        <w:rPr>
          <w:color w:val="231F20"/>
          <w:spacing w:val="-13"/>
        </w:rPr>
        <w:t> </w:t>
      </w:r>
      <w:r>
        <w:rPr>
          <w:color w:val="231F20"/>
        </w:rPr>
        <w:t>much</w:t>
      </w:r>
      <w:r>
        <w:rPr>
          <w:color w:val="231F20"/>
          <w:spacing w:val="-13"/>
        </w:rPr>
        <w:t> </w:t>
      </w:r>
      <w:r>
        <w:rPr>
          <w:color w:val="231F20"/>
        </w:rPr>
        <w:t>more</w:t>
      </w:r>
      <w:r>
        <w:rPr>
          <w:color w:val="231F20"/>
          <w:spacing w:val="-13"/>
        </w:rPr>
        <w:t> </w:t>
      </w:r>
      <w:r>
        <w:rPr>
          <w:color w:val="231F20"/>
        </w:rPr>
        <w:t>dispersion in</w:t>
      </w:r>
      <w:r>
        <w:rPr>
          <w:color w:val="231F20"/>
          <w:spacing w:val="-10"/>
        </w:rPr>
        <w:t> </w:t>
      </w:r>
      <w:r>
        <w:rPr>
          <w:color w:val="231F20"/>
        </w:rPr>
        <w:t>delays</w:t>
      </w:r>
      <w:r>
        <w:rPr>
          <w:color w:val="231F20"/>
          <w:spacing w:val="-10"/>
        </w:rPr>
        <w:t> </w:t>
      </w:r>
      <w:r>
        <w:rPr>
          <w:color w:val="231F20"/>
        </w:rPr>
        <w:t>when</w:t>
      </w:r>
      <w:r>
        <w:rPr>
          <w:color w:val="231F20"/>
          <w:spacing w:val="-10"/>
        </w:rPr>
        <w:t> </w:t>
      </w:r>
      <w:r>
        <w:rPr>
          <w:color w:val="231F20"/>
        </w:rPr>
        <w:t>not</w:t>
      </w:r>
      <w:r>
        <w:rPr>
          <w:color w:val="231F20"/>
          <w:spacing w:val="-10"/>
        </w:rPr>
        <w:t> </w:t>
      </w:r>
      <w:r>
        <w:rPr>
          <w:color w:val="231F20"/>
        </w:rPr>
        <w:t>moving</w:t>
      </w:r>
      <w:r>
        <w:rPr>
          <w:color w:val="231F20"/>
          <w:spacing w:val="-10"/>
        </w:rPr>
        <w:t> </w:t>
      </w:r>
      <w:r>
        <w:rPr>
          <w:color w:val="231F20"/>
        </w:rPr>
        <w:t>at</w:t>
      </w:r>
      <w:r>
        <w:rPr>
          <w:color w:val="231F20"/>
          <w:spacing w:val="-10"/>
        </w:rPr>
        <w:t> </w:t>
      </w:r>
      <w:r>
        <w:rPr>
          <w:color w:val="231F20"/>
        </w:rPr>
        <w:t>ports,</w:t>
      </w:r>
      <w:r>
        <w:rPr>
          <w:color w:val="231F20"/>
          <w:spacing w:val="-10"/>
        </w:rPr>
        <w:t> </w:t>
      </w:r>
      <w:r>
        <w:rPr>
          <w:color w:val="231F20"/>
        </w:rPr>
        <w:t>airports, or multimodal facilities than when moving </w:t>
      </w:r>
      <w:r>
        <w:rPr>
          <w:color w:val="231F20"/>
          <w:spacing w:val="-4"/>
        </w:rPr>
        <w:t>on</w:t>
      </w:r>
      <w:r>
        <w:rPr>
          <w:color w:val="231F20"/>
          <w:spacing w:val="-10"/>
        </w:rPr>
        <w:t> </w:t>
      </w:r>
      <w:r>
        <w:rPr>
          <w:color w:val="231F20"/>
          <w:spacing w:val="-4"/>
        </w:rPr>
        <w:t>ships.</w:t>
      </w:r>
      <w:r>
        <w:rPr>
          <w:color w:val="231F20"/>
          <w:spacing w:val="-9"/>
        </w:rPr>
        <w:t> </w:t>
      </w:r>
      <w:r>
        <w:rPr>
          <w:color w:val="231F20"/>
          <w:spacing w:val="-4"/>
        </w:rPr>
        <w:t>Most</w:t>
      </w:r>
      <w:r>
        <w:rPr>
          <w:color w:val="231F20"/>
          <w:spacing w:val="-9"/>
        </w:rPr>
        <w:t> </w:t>
      </w:r>
      <w:r>
        <w:rPr>
          <w:color w:val="231F20"/>
          <w:spacing w:val="-4"/>
        </w:rPr>
        <w:t>time</w:t>
      </w:r>
      <w:r>
        <w:rPr>
          <w:color w:val="231F20"/>
          <w:spacing w:val="-9"/>
        </w:rPr>
        <w:t> </w:t>
      </w:r>
      <w:r>
        <w:rPr>
          <w:color w:val="231F20"/>
          <w:spacing w:val="-4"/>
        </w:rPr>
        <w:t>(two-thirds,</w:t>
      </w:r>
      <w:r>
        <w:rPr>
          <w:color w:val="231F20"/>
          <w:spacing w:val="-9"/>
        </w:rPr>
        <w:t> </w:t>
      </w:r>
      <w:r>
        <w:rPr>
          <w:color w:val="231F20"/>
          <w:spacing w:val="-4"/>
        </w:rPr>
        <w:t>on</w:t>
      </w:r>
      <w:r>
        <w:rPr>
          <w:color w:val="231F20"/>
          <w:spacing w:val="-9"/>
        </w:rPr>
        <w:t> </w:t>
      </w:r>
      <w:r>
        <w:rPr>
          <w:color w:val="231F20"/>
          <w:spacing w:val="-4"/>
        </w:rPr>
        <w:t>average)</w:t>
      </w:r>
      <w:r>
        <w:rPr>
          <w:color w:val="231F20"/>
          <w:spacing w:val="-9"/>
        </w:rPr>
        <w:t> </w:t>
      </w:r>
      <w:r>
        <w:rPr>
          <w:color w:val="231F20"/>
          <w:spacing w:val="-4"/>
        </w:rPr>
        <w:t>is </w:t>
      </w:r>
      <w:r>
        <w:rPr>
          <w:color w:val="231F20"/>
          <w:spacing w:val="-2"/>
        </w:rPr>
        <w:t>spent</w:t>
      </w:r>
      <w:r>
        <w:rPr>
          <w:color w:val="231F20"/>
          <w:spacing w:val="-12"/>
        </w:rPr>
        <w:t> </w:t>
      </w:r>
      <w:r>
        <w:rPr>
          <w:color w:val="231F20"/>
          <w:spacing w:val="-2"/>
        </w:rPr>
        <w:t>in</w:t>
      </w:r>
      <w:r>
        <w:rPr>
          <w:color w:val="231F20"/>
          <w:spacing w:val="-11"/>
        </w:rPr>
        <w:t> </w:t>
      </w:r>
      <w:r>
        <w:rPr>
          <w:color w:val="231F20"/>
          <w:spacing w:val="-2"/>
        </w:rPr>
        <w:t>transit.</w:t>
      </w:r>
      <w:r>
        <w:rPr>
          <w:color w:val="231F20"/>
          <w:spacing w:val="-11"/>
        </w:rPr>
        <w:t> </w:t>
      </w:r>
      <w:r>
        <w:rPr>
          <w:color w:val="231F20"/>
          <w:spacing w:val="-2"/>
        </w:rPr>
        <w:t>Policies</w:t>
      </w:r>
      <w:r>
        <w:rPr>
          <w:color w:val="231F20"/>
          <w:spacing w:val="-11"/>
        </w:rPr>
        <w:t> </w:t>
      </w:r>
      <w:r>
        <w:rPr>
          <w:color w:val="231F20"/>
          <w:spacing w:val="-2"/>
        </w:rPr>
        <w:t>targeting</w:t>
      </w:r>
      <w:r>
        <w:rPr>
          <w:color w:val="231F20"/>
          <w:spacing w:val="-11"/>
        </w:rPr>
        <w:t> </w:t>
      </w:r>
      <w:r>
        <w:rPr>
          <w:color w:val="231F20"/>
          <w:spacing w:val="-2"/>
        </w:rPr>
        <w:t>these</w:t>
      </w:r>
      <w:r>
        <w:rPr>
          <w:color w:val="231F20"/>
          <w:spacing w:val="-11"/>
        </w:rPr>
        <w:t> </w:t>
      </w:r>
      <w:r>
        <w:rPr>
          <w:color w:val="231F20"/>
          <w:spacing w:val="-2"/>
        </w:rPr>
        <w:t>facili- </w:t>
      </w:r>
      <w:r>
        <w:rPr>
          <w:color w:val="231F20"/>
        </w:rPr>
        <w:t>ties,</w:t>
      </w:r>
      <w:r>
        <w:rPr>
          <w:color w:val="231F20"/>
          <w:spacing w:val="-10"/>
        </w:rPr>
        <w:t> </w:t>
      </w:r>
      <w:r>
        <w:rPr>
          <w:color w:val="231F20"/>
        </w:rPr>
        <w:t>such</w:t>
      </w:r>
      <w:r>
        <w:rPr>
          <w:color w:val="231F20"/>
          <w:spacing w:val="-10"/>
        </w:rPr>
        <w:t> </w:t>
      </w:r>
      <w:r>
        <w:rPr>
          <w:color w:val="231F20"/>
        </w:rPr>
        <w:t>as</w:t>
      </w:r>
      <w:r>
        <w:rPr>
          <w:color w:val="231F20"/>
          <w:spacing w:val="-10"/>
        </w:rPr>
        <w:t> </w:t>
      </w:r>
      <w:r>
        <w:rPr>
          <w:color w:val="231F20"/>
        </w:rPr>
        <w:t>investing</w:t>
      </w:r>
      <w:r>
        <w:rPr>
          <w:color w:val="231F20"/>
          <w:spacing w:val="-10"/>
        </w:rPr>
        <w:t> </w:t>
      </w:r>
      <w:r>
        <w:rPr>
          <w:color w:val="231F20"/>
        </w:rPr>
        <w:t>in</w:t>
      </w:r>
      <w:r>
        <w:rPr>
          <w:color w:val="231F20"/>
          <w:spacing w:val="-10"/>
        </w:rPr>
        <w:t> </w:t>
      </w:r>
      <w:r>
        <w:rPr>
          <w:color w:val="231F20"/>
        </w:rPr>
        <w:t>port</w:t>
      </w:r>
      <w:r>
        <w:rPr>
          <w:color w:val="231F20"/>
          <w:spacing w:val="-10"/>
        </w:rPr>
        <w:t> </w:t>
      </w:r>
      <w:r>
        <w:rPr>
          <w:color w:val="231F20"/>
        </w:rPr>
        <w:t>productivity</w:t>
      </w:r>
      <w:r>
        <w:rPr>
          <w:color w:val="231F20"/>
          <w:spacing w:val="-10"/>
        </w:rPr>
        <w:t> </w:t>
      </w:r>
      <w:r>
        <w:rPr>
          <w:color w:val="231F20"/>
        </w:rPr>
        <w:t>or </w:t>
      </w:r>
      <w:r>
        <w:rPr>
          <w:color w:val="231F20"/>
          <w:spacing w:val="-4"/>
        </w:rPr>
        <w:t>modernizing</w:t>
      </w:r>
      <w:r>
        <w:rPr>
          <w:color w:val="231F20"/>
          <w:spacing w:val="-7"/>
        </w:rPr>
        <w:t> </w:t>
      </w:r>
      <w:r>
        <w:rPr>
          <w:color w:val="231F20"/>
          <w:spacing w:val="-4"/>
        </w:rPr>
        <w:t>customs,</w:t>
      </w:r>
      <w:r>
        <w:rPr>
          <w:color w:val="231F20"/>
          <w:spacing w:val="-7"/>
        </w:rPr>
        <w:t> </w:t>
      </w:r>
      <w:r>
        <w:rPr>
          <w:color w:val="231F20"/>
          <w:spacing w:val="-4"/>
        </w:rPr>
        <w:t>can</w:t>
      </w:r>
      <w:r>
        <w:rPr>
          <w:color w:val="231F20"/>
          <w:spacing w:val="-7"/>
        </w:rPr>
        <w:t> </w:t>
      </w:r>
      <w:r>
        <w:rPr>
          <w:color w:val="231F20"/>
          <w:spacing w:val="-4"/>
        </w:rPr>
        <w:t>improve</w:t>
      </w:r>
      <w:r>
        <w:rPr>
          <w:color w:val="231F20"/>
          <w:spacing w:val="-7"/>
        </w:rPr>
        <w:t> </w:t>
      </w:r>
      <w:r>
        <w:rPr>
          <w:color w:val="231F20"/>
          <w:spacing w:val="-4"/>
        </w:rPr>
        <w:t>reliability. </w:t>
      </w:r>
      <w:r>
        <w:rPr>
          <w:color w:val="231F20"/>
          <w:w w:val="90"/>
        </w:rPr>
        <w:t>New technologies, such as supply chain visibil- </w:t>
      </w:r>
      <w:r>
        <w:rPr>
          <w:color w:val="231F20"/>
          <w:spacing w:val="-2"/>
        </w:rPr>
        <w:t>ity</w:t>
      </w:r>
      <w:r>
        <w:rPr>
          <w:color w:val="231F20"/>
          <w:spacing w:val="-7"/>
        </w:rPr>
        <w:t> </w:t>
      </w:r>
      <w:r>
        <w:rPr>
          <w:color w:val="231F20"/>
          <w:spacing w:val="-2"/>
        </w:rPr>
        <w:t>platforms,</w:t>
      </w:r>
      <w:r>
        <w:rPr>
          <w:color w:val="231F20"/>
          <w:spacing w:val="-7"/>
        </w:rPr>
        <w:t> </w:t>
      </w:r>
      <w:r>
        <w:rPr>
          <w:color w:val="231F20"/>
          <w:spacing w:val="-2"/>
        </w:rPr>
        <w:t>are</w:t>
      </w:r>
      <w:r>
        <w:rPr>
          <w:color w:val="231F20"/>
          <w:spacing w:val="-7"/>
        </w:rPr>
        <w:t> </w:t>
      </w:r>
      <w:r>
        <w:rPr>
          <w:color w:val="231F20"/>
          <w:spacing w:val="-2"/>
        </w:rPr>
        <w:t>even</w:t>
      </w:r>
      <w:r>
        <w:rPr>
          <w:color w:val="231F20"/>
          <w:spacing w:val="-7"/>
        </w:rPr>
        <w:t> </w:t>
      </w:r>
      <w:r>
        <w:rPr>
          <w:color w:val="231F20"/>
          <w:spacing w:val="-2"/>
        </w:rPr>
        <w:t>more</w:t>
      </w:r>
      <w:r>
        <w:rPr>
          <w:color w:val="231F20"/>
          <w:spacing w:val="-7"/>
        </w:rPr>
        <w:t> </w:t>
      </w:r>
      <w:r>
        <w:rPr>
          <w:color w:val="231F20"/>
          <w:spacing w:val="-2"/>
        </w:rPr>
        <w:t>promising.</w:t>
      </w:r>
    </w:p>
    <w:p>
      <w:pPr>
        <w:pStyle w:val="BodyText"/>
        <w:spacing w:line="268" w:lineRule="auto"/>
        <w:ind w:left="3360" w:firstLine="300"/>
        <w:jc w:val="both"/>
      </w:pPr>
      <w:r>
        <w:rPr>
          <w:color w:val="231F20"/>
        </w:rPr>
        <w:t>Average</w:t>
      </w:r>
      <w:r>
        <w:rPr>
          <w:color w:val="231F20"/>
          <w:spacing w:val="-7"/>
        </w:rPr>
        <w:t> </w:t>
      </w:r>
      <w:r>
        <w:rPr>
          <w:color w:val="231F20"/>
        </w:rPr>
        <w:t>delays</w:t>
      </w:r>
      <w:r>
        <w:rPr>
          <w:color w:val="231F20"/>
          <w:spacing w:val="-7"/>
        </w:rPr>
        <w:t> </w:t>
      </w:r>
      <w:r>
        <w:rPr>
          <w:color w:val="231F20"/>
        </w:rPr>
        <w:t>at</w:t>
      </w:r>
      <w:r>
        <w:rPr>
          <w:color w:val="231F20"/>
          <w:spacing w:val="-7"/>
        </w:rPr>
        <w:t> </w:t>
      </w:r>
      <w:r>
        <w:rPr>
          <w:color w:val="231F20"/>
        </w:rPr>
        <w:t>ports,</w:t>
      </w:r>
      <w:r>
        <w:rPr>
          <w:color w:val="231F20"/>
          <w:spacing w:val="-7"/>
        </w:rPr>
        <w:t> </w:t>
      </w:r>
      <w:r>
        <w:rPr>
          <w:color w:val="231F20"/>
        </w:rPr>
        <w:t>at</w:t>
      </w:r>
      <w:r>
        <w:rPr>
          <w:color w:val="231F20"/>
          <w:spacing w:val="-7"/>
        </w:rPr>
        <w:t> </w:t>
      </w:r>
      <w:r>
        <w:rPr>
          <w:color w:val="231F20"/>
        </w:rPr>
        <w:t>airports,</w:t>
      </w:r>
      <w:r>
        <w:rPr>
          <w:color w:val="231F20"/>
          <w:spacing w:val="-7"/>
        </w:rPr>
        <w:t> </w:t>
      </w:r>
      <w:r>
        <w:rPr>
          <w:color w:val="231F20"/>
        </w:rPr>
        <w:t>or</w:t>
      </w:r>
      <w:r>
        <w:rPr>
          <w:color w:val="231F20"/>
          <w:spacing w:val="-7"/>
        </w:rPr>
        <w:t> </w:t>
      </w:r>
      <w:r>
        <w:rPr>
          <w:color w:val="231F20"/>
        </w:rPr>
        <w:t>in </w:t>
      </w:r>
      <w:r>
        <w:rPr>
          <w:color w:val="231F20"/>
          <w:spacing w:val="-6"/>
        </w:rPr>
        <w:t>postal delivery tend to be negatively correlated </w:t>
      </w:r>
      <w:r>
        <w:rPr>
          <w:color w:val="231F20"/>
          <w:w w:val="90"/>
        </w:rPr>
        <w:t>with a country’s overall LPI score. Long delays </w:t>
      </w:r>
      <w:r>
        <w:rPr>
          <w:color w:val="231F20"/>
          <w:spacing w:val="-2"/>
        </w:rPr>
        <w:t>are</w:t>
      </w:r>
      <w:r>
        <w:rPr>
          <w:color w:val="231F20"/>
          <w:spacing w:val="-10"/>
        </w:rPr>
        <w:t> </w:t>
      </w:r>
      <w:r>
        <w:rPr>
          <w:color w:val="231F20"/>
          <w:spacing w:val="-2"/>
        </w:rPr>
        <w:t>a</w:t>
      </w:r>
      <w:r>
        <w:rPr>
          <w:color w:val="231F20"/>
          <w:spacing w:val="-10"/>
        </w:rPr>
        <w:t> </w:t>
      </w:r>
      <w:r>
        <w:rPr>
          <w:color w:val="231F20"/>
          <w:spacing w:val="-2"/>
        </w:rPr>
        <w:t>sign</w:t>
      </w:r>
      <w:r>
        <w:rPr>
          <w:color w:val="231F20"/>
          <w:spacing w:val="-10"/>
        </w:rPr>
        <w:t> </w:t>
      </w:r>
      <w:r>
        <w:rPr>
          <w:color w:val="231F20"/>
          <w:spacing w:val="-2"/>
        </w:rPr>
        <w:t>of</w:t>
      </w:r>
      <w:r>
        <w:rPr>
          <w:color w:val="231F20"/>
          <w:spacing w:val="-10"/>
        </w:rPr>
        <w:t> </w:t>
      </w:r>
      <w:r>
        <w:rPr>
          <w:color w:val="231F20"/>
          <w:spacing w:val="-2"/>
        </w:rPr>
        <w:t>performance</w:t>
      </w:r>
      <w:r>
        <w:rPr>
          <w:color w:val="231F20"/>
          <w:spacing w:val="-10"/>
        </w:rPr>
        <w:t> </w:t>
      </w:r>
      <w:r>
        <w:rPr>
          <w:color w:val="231F20"/>
          <w:spacing w:val="-2"/>
        </w:rPr>
        <w:t>problems,</w:t>
      </w:r>
      <w:r>
        <w:rPr>
          <w:color w:val="231F20"/>
          <w:spacing w:val="-10"/>
        </w:rPr>
        <w:t> </w:t>
      </w:r>
      <w:r>
        <w:rPr>
          <w:color w:val="231F20"/>
          <w:spacing w:val="-2"/>
        </w:rPr>
        <w:t>but</w:t>
      </w:r>
      <w:r>
        <w:rPr>
          <w:color w:val="231F20"/>
          <w:spacing w:val="-10"/>
        </w:rPr>
        <w:t> </w:t>
      </w:r>
      <w:r>
        <w:rPr>
          <w:color w:val="231F20"/>
          <w:spacing w:val="-2"/>
        </w:rPr>
        <w:t>short </w:t>
      </w:r>
      <w:r>
        <w:rPr>
          <w:color w:val="231F20"/>
          <w:spacing w:val="-4"/>
        </w:rPr>
        <w:t>delays</w:t>
      </w:r>
      <w:r>
        <w:rPr>
          <w:color w:val="231F20"/>
          <w:spacing w:val="-7"/>
        </w:rPr>
        <w:t> </w:t>
      </w:r>
      <w:r>
        <w:rPr>
          <w:color w:val="231F20"/>
          <w:spacing w:val="-4"/>
        </w:rPr>
        <w:t>do</w:t>
      </w:r>
      <w:r>
        <w:rPr>
          <w:color w:val="231F20"/>
          <w:spacing w:val="-7"/>
        </w:rPr>
        <w:t> </w:t>
      </w:r>
      <w:r>
        <w:rPr>
          <w:color w:val="231F20"/>
          <w:spacing w:val="-4"/>
        </w:rPr>
        <w:t>not</w:t>
      </w:r>
      <w:r>
        <w:rPr>
          <w:color w:val="231F20"/>
          <w:spacing w:val="-7"/>
        </w:rPr>
        <w:t> </w:t>
      </w:r>
      <w:r>
        <w:rPr>
          <w:color w:val="231F20"/>
          <w:spacing w:val="-4"/>
        </w:rPr>
        <w:t>necessarily</w:t>
      </w:r>
      <w:r>
        <w:rPr>
          <w:color w:val="231F20"/>
          <w:spacing w:val="-7"/>
        </w:rPr>
        <w:t> </w:t>
      </w:r>
      <w:r>
        <w:rPr>
          <w:color w:val="231F20"/>
          <w:spacing w:val="-4"/>
        </w:rPr>
        <w:t>indicate</w:t>
      </w:r>
      <w:r>
        <w:rPr>
          <w:color w:val="231F20"/>
          <w:spacing w:val="-7"/>
        </w:rPr>
        <w:t> </w:t>
      </w:r>
      <w:r>
        <w:rPr>
          <w:color w:val="231F20"/>
          <w:spacing w:val="-4"/>
        </w:rPr>
        <w:t>high</w:t>
      </w:r>
      <w:r>
        <w:rPr>
          <w:color w:val="231F20"/>
          <w:spacing w:val="-7"/>
        </w:rPr>
        <w:t> </w:t>
      </w:r>
      <w:r>
        <w:rPr>
          <w:color w:val="231F20"/>
          <w:spacing w:val="-4"/>
        </w:rPr>
        <w:t>overall </w:t>
      </w:r>
      <w:r>
        <w:rPr>
          <w:color w:val="231F20"/>
          <w:spacing w:val="-6"/>
        </w:rPr>
        <w:t>logistics performance. Take import dwell time, or</w:t>
      </w:r>
      <w:r>
        <w:rPr>
          <w:color w:val="231F20"/>
          <w:spacing w:val="-10"/>
        </w:rPr>
        <w:t> </w:t>
      </w:r>
      <w:r>
        <w:rPr>
          <w:color w:val="231F20"/>
          <w:spacing w:val="-6"/>
        </w:rPr>
        <w:t>the</w:t>
      </w:r>
      <w:r>
        <w:rPr>
          <w:color w:val="231F20"/>
          <w:spacing w:val="-7"/>
        </w:rPr>
        <w:t> </w:t>
      </w:r>
      <w:r>
        <w:rPr>
          <w:color w:val="231F20"/>
          <w:spacing w:val="-6"/>
        </w:rPr>
        <w:t>mean</w:t>
      </w:r>
      <w:r>
        <w:rPr>
          <w:color w:val="231F20"/>
          <w:spacing w:val="-7"/>
        </w:rPr>
        <w:t> </w:t>
      </w:r>
      <w:r>
        <w:rPr>
          <w:color w:val="231F20"/>
          <w:spacing w:val="-6"/>
        </w:rPr>
        <w:t>time</w:t>
      </w:r>
      <w:r>
        <w:rPr>
          <w:color w:val="231F20"/>
          <w:spacing w:val="-7"/>
        </w:rPr>
        <w:t> </w:t>
      </w:r>
      <w:r>
        <w:rPr>
          <w:color w:val="231F20"/>
          <w:spacing w:val="-6"/>
        </w:rPr>
        <w:t>containers</w:t>
      </w:r>
      <w:r>
        <w:rPr>
          <w:color w:val="231F20"/>
          <w:spacing w:val="-7"/>
        </w:rPr>
        <w:t> </w:t>
      </w:r>
      <w:r>
        <w:rPr>
          <w:color w:val="231F20"/>
          <w:spacing w:val="-6"/>
        </w:rPr>
        <w:t>stay</w:t>
      </w:r>
      <w:r>
        <w:rPr>
          <w:color w:val="231F20"/>
          <w:spacing w:val="-7"/>
        </w:rPr>
        <w:t> </w:t>
      </w:r>
      <w:r>
        <w:rPr>
          <w:color w:val="231F20"/>
          <w:spacing w:val="-6"/>
        </w:rPr>
        <w:t>at</w:t>
      </w:r>
      <w:r>
        <w:rPr>
          <w:color w:val="231F20"/>
          <w:spacing w:val="-7"/>
        </w:rPr>
        <w:t> </w:t>
      </w:r>
      <w:r>
        <w:rPr>
          <w:color w:val="231F20"/>
          <w:spacing w:val="-6"/>
        </w:rPr>
        <w:t>ports</w:t>
      </w:r>
      <w:r>
        <w:rPr>
          <w:color w:val="231F20"/>
          <w:spacing w:val="-7"/>
        </w:rPr>
        <w:t> </w:t>
      </w:r>
      <w:r>
        <w:rPr>
          <w:color w:val="231F20"/>
          <w:spacing w:val="-6"/>
        </w:rPr>
        <w:t>before </w:t>
      </w:r>
      <w:r>
        <w:rPr>
          <w:color w:val="231F20"/>
          <w:w w:val="90"/>
        </w:rPr>
        <w:t>being</w:t>
      </w:r>
      <w:r>
        <w:rPr>
          <w:color w:val="231F20"/>
          <w:spacing w:val="-2"/>
          <w:w w:val="90"/>
        </w:rPr>
        <w:t> </w:t>
      </w:r>
      <w:r>
        <w:rPr>
          <w:color w:val="231F20"/>
          <w:w w:val="90"/>
        </w:rPr>
        <w:t>removed</w:t>
      </w:r>
      <w:r>
        <w:rPr>
          <w:color w:val="231F20"/>
          <w:spacing w:val="-1"/>
          <w:w w:val="90"/>
        </w:rPr>
        <w:t> </w:t>
      </w:r>
      <w:r>
        <w:rPr>
          <w:color w:val="231F20"/>
          <w:w w:val="90"/>
        </w:rPr>
        <w:t>for</w:t>
      </w:r>
      <w:r>
        <w:rPr>
          <w:color w:val="231F20"/>
          <w:spacing w:val="-1"/>
          <w:w w:val="90"/>
        </w:rPr>
        <w:t> </w:t>
      </w:r>
      <w:r>
        <w:rPr>
          <w:color w:val="231F20"/>
          <w:w w:val="90"/>
        </w:rPr>
        <w:t>delivery:</w:t>
      </w:r>
      <w:r>
        <w:rPr>
          <w:color w:val="231F20"/>
          <w:spacing w:val="-1"/>
          <w:w w:val="90"/>
        </w:rPr>
        <w:t> </w:t>
      </w:r>
      <w:r>
        <w:rPr>
          <w:color w:val="231F20"/>
          <w:w w:val="90"/>
        </w:rPr>
        <w:t>Most</w:t>
      </w:r>
      <w:r>
        <w:rPr>
          <w:color w:val="231F20"/>
          <w:spacing w:val="-2"/>
          <w:w w:val="90"/>
        </w:rPr>
        <w:t> </w:t>
      </w:r>
      <w:r>
        <w:rPr>
          <w:color w:val="231F20"/>
          <w:w w:val="90"/>
        </w:rPr>
        <w:t>countries</w:t>
      </w:r>
      <w:r>
        <w:rPr>
          <w:color w:val="231F20"/>
          <w:spacing w:val="-1"/>
          <w:w w:val="90"/>
        </w:rPr>
        <w:t> </w:t>
      </w:r>
      <w:r>
        <w:rPr>
          <w:color w:val="231F20"/>
          <w:spacing w:val="-4"/>
          <w:w w:val="90"/>
        </w:rPr>
        <w:t>have</w:t>
      </w:r>
    </w:p>
    <w:p>
      <w:pPr>
        <w:pStyle w:val="BodyText"/>
        <w:spacing w:line="268" w:lineRule="auto" w:before="97"/>
        <w:ind w:left="199" w:right="656"/>
        <w:jc w:val="both"/>
      </w:pPr>
      <w:r>
        <w:rPr/>
        <w:br w:type="column"/>
      </w:r>
      <w:r>
        <w:rPr>
          <w:color w:val="231F20"/>
          <w:w w:val="90"/>
        </w:rPr>
        <w:t>dwell times of three to nine days. Few countries </w:t>
      </w:r>
      <w:r>
        <w:rPr>
          <w:color w:val="231F20"/>
        </w:rPr>
        <w:t>have</w:t>
      </w:r>
      <w:r>
        <w:rPr>
          <w:color w:val="231F20"/>
          <w:spacing w:val="-6"/>
        </w:rPr>
        <w:t> </w:t>
      </w:r>
      <w:r>
        <w:rPr>
          <w:color w:val="231F20"/>
        </w:rPr>
        <w:t>a</w:t>
      </w:r>
      <w:r>
        <w:rPr>
          <w:color w:val="231F20"/>
          <w:spacing w:val="-6"/>
        </w:rPr>
        <w:t> </w:t>
      </w:r>
      <w:r>
        <w:rPr>
          <w:color w:val="231F20"/>
        </w:rPr>
        <w:t>dwell</w:t>
      </w:r>
      <w:r>
        <w:rPr>
          <w:color w:val="231F20"/>
          <w:spacing w:val="-6"/>
        </w:rPr>
        <w:t> </w:t>
      </w:r>
      <w:r>
        <w:rPr>
          <w:color w:val="231F20"/>
        </w:rPr>
        <w:t>time</w:t>
      </w:r>
      <w:r>
        <w:rPr>
          <w:color w:val="231F20"/>
          <w:spacing w:val="-6"/>
        </w:rPr>
        <w:t> </w:t>
      </w:r>
      <w:r>
        <w:rPr>
          <w:color w:val="231F20"/>
        </w:rPr>
        <w:t>of</w:t>
      </w:r>
      <w:r>
        <w:rPr>
          <w:color w:val="231F20"/>
          <w:spacing w:val="-6"/>
        </w:rPr>
        <w:t> </w:t>
      </w:r>
      <w:r>
        <w:rPr>
          <w:color w:val="231F20"/>
        </w:rPr>
        <w:t>more</w:t>
      </w:r>
      <w:r>
        <w:rPr>
          <w:color w:val="231F20"/>
          <w:spacing w:val="-6"/>
        </w:rPr>
        <w:t> </w:t>
      </w:r>
      <w:r>
        <w:rPr>
          <w:color w:val="231F20"/>
        </w:rPr>
        <w:t>than</w:t>
      </w:r>
      <w:r>
        <w:rPr>
          <w:color w:val="231F20"/>
          <w:spacing w:val="-6"/>
        </w:rPr>
        <w:t> </w:t>
      </w:r>
      <w:r>
        <w:rPr>
          <w:color w:val="231F20"/>
        </w:rPr>
        <w:t>12</w:t>
      </w:r>
      <w:r>
        <w:rPr>
          <w:color w:val="231F20"/>
          <w:spacing w:val="-6"/>
        </w:rPr>
        <w:t> </w:t>
      </w:r>
      <w:r>
        <w:rPr>
          <w:color w:val="231F20"/>
        </w:rPr>
        <w:t>days.</w:t>
      </w:r>
      <w:r>
        <w:rPr>
          <w:color w:val="231F20"/>
          <w:spacing w:val="-6"/>
        </w:rPr>
        <w:t> </w:t>
      </w:r>
      <w:r>
        <w:rPr>
          <w:color w:val="231F20"/>
        </w:rPr>
        <w:t>De- </w:t>
      </w:r>
      <w:r>
        <w:rPr>
          <w:color w:val="231F20"/>
          <w:spacing w:val="-2"/>
        </w:rPr>
        <w:t>lays</w:t>
      </w:r>
      <w:r>
        <w:rPr>
          <w:color w:val="231F20"/>
          <w:spacing w:val="-12"/>
        </w:rPr>
        <w:t> </w:t>
      </w:r>
      <w:r>
        <w:rPr>
          <w:color w:val="231F20"/>
          <w:spacing w:val="-2"/>
        </w:rPr>
        <w:t>can</w:t>
      </w:r>
      <w:r>
        <w:rPr>
          <w:color w:val="231F20"/>
          <w:spacing w:val="-11"/>
        </w:rPr>
        <w:t> </w:t>
      </w:r>
      <w:r>
        <w:rPr>
          <w:color w:val="231F20"/>
          <w:spacing w:val="-2"/>
        </w:rPr>
        <w:t>be</w:t>
      </w:r>
      <w:r>
        <w:rPr>
          <w:color w:val="231F20"/>
          <w:spacing w:val="-11"/>
        </w:rPr>
        <w:t> </w:t>
      </w:r>
      <w:r>
        <w:rPr>
          <w:color w:val="231F20"/>
          <w:spacing w:val="-2"/>
        </w:rPr>
        <w:t>caused</w:t>
      </w:r>
      <w:r>
        <w:rPr>
          <w:color w:val="231F20"/>
          <w:spacing w:val="-11"/>
        </w:rPr>
        <w:t> </w:t>
      </w:r>
      <w:r>
        <w:rPr>
          <w:color w:val="231F20"/>
          <w:spacing w:val="-2"/>
        </w:rPr>
        <w:t>by</w:t>
      </w:r>
      <w:r>
        <w:rPr>
          <w:color w:val="231F20"/>
          <w:spacing w:val="-11"/>
        </w:rPr>
        <w:t> </w:t>
      </w:r>
      <w:r>
        <w:rPr>
          <w:color w:val="231F20"/>
          <w:spacing w:val="-2"/>
        </w:rPr>
        <w:t>such</w:t>
      </w:r>
      <w:r>
        <w:rPr>
          <w:color w:val="231F20"/>
          <w:spacing w:val="-11"/>
        </w:rPr>
        <w:t> </w:t>
      </w:r>
      <w:r>
        <w:rPr>
          <w:color w:val="231F20"/>
          <w:spacing w:val="-2"/>
        </w:rPr>
        <w:t>factors</w:t>
      </w:r>
      <w:r>
        <w:rPr>
          <w:color w:val="231F20"/>
          <w:spacing w:val="-11"/>
        </w:rPr>
        <w:t> </w:t>
      </w:r>
      <w:r>
        <w:rPr>
          <w:color w:val="231F20"/>
          <w:spacing w:val="-2"/>
        </w:rPr>
        <w:t>as</w:t>
      </w:r>
      <w:r>
        <w:rPr>
          <w:color w:val="231F20"/>
          <w:spacing w:val="-11"/>
        </w:rPr>
        <w:t> </w:t>
      </w:r>
      <w:r>
        <w:rPr>
          <w:color w:val="231F20"/>
          <w:spacing w:val="-2"/>
        </w:rPr>
        <w:t>low</w:t>
      </w:r>
      <w:r>
        <w:rPr>
          <w:color w:val="231F20"/>
          <w:spacing w:val="-12"/>
        </w:rPr>
        <w:t> </w:t>
      </w:r>
      <w:r>
        <w:rPr>
          <w:color w:val="231F20"/>
          <w:spacing w:val="-2"/>
        </w:rPr>
        <w:t>port </w:t>
      </w:r>
      <w:r>
        <w:rPr>
          <w:color w:val="231F20"/>
        </w:rPr>
        <w:t>handling</w:t>
      </w:r>
      <w:r>
        <w:rPr>
          <w:color w:val="231F20"/>
          <w:spacing w:val="-4"/>
        </w:rPr>
        <w:t> </w:t>
      </w:r>
      <w:r>
        <w:rPr>
          <w:color w:val="231F20"/>
        </w:rPr>
        <w:t>productivity,</w:t>
      </w:r>
      <w:r>
        <w:rPr>
          <w:color w:val="231F20"/>
          <w:spacing w:val="-4"/>
        </w:rPr>
        <w:t> </w:t>
      </w:r>
      <w:r>
        <w:rPr>
          <w:color w:val="231F20"/>
        </w:rPr>
        <w:t>city</w:t>
      </w:r>
      <w:r>
        <w:rPr>
          <w:color w:val="231F20"/>
          <w:spacing w:val="-4"/>
        </w:rPr>
        <w:t> </w:t>
      </w:r>
      <w:r>
        <w:rPr>
          <w:color w:val="231F20"/>
        </w:rPr>
        <w:t>congestion,</w:t>
      </w:r>
      <w:r>
        <w:rPr>
          <w:color w:val="231F20"/>
          <w:spacing w:val="-4"/>
        </w:rPr>
        <w:t> </w:t>
      </w:r>
      <w:r>
        <w:rPr>
          <w:color w:val="231F20"/>
        </w:rPr>
        <w:t>slow </w:t>
      </w:r>
      <w:r>
        <w:rPr>
          <w:color w:val="231F20"/>
          <w:spacing w:val="-6"/>
        </w:rPr>
        <w:t>preparation of trade documents to comply with </w:t>
      </w:r>
      <w:r>
        <w:rPr>
          <w:color w:val="231F20"/>
          <w:spacing w:val="-4"/>
        </w:rPr>
        <w:t>exchange</w:t>
      </w:r>
      <w:r>
        <w:rPr>
          <w:color w:val="231F20"/>
          <w:spacing w:val="-5"/>
        </w:rPr>
        <w:t> </w:t>
      </w:r>
      <w:r>
        <w:rPr>
          <w:color w:val="231F20"/>
          <w:spacing w:val="-4"/>
        </w:rPr>
        <w:t>controls,</w:t>
      </w:r>
      <w:r>
        <w:rPr>
          <w:color w:val="231F20"/>
          <w:spacing w:val="-5"/>
        </w:rPr>
        <w:t> </w:t>
      </w:r>
      <w:r>
        <w:rPr>
          <w:color w:val="231F20"/>
          <w:spacing w:val="-4"/>
        </w:rPr>
        <w:t>or</w:t>
      </w:r>
      <w:r>
        <w:rPr>
          <w:color w:val="231F20"/>
          <w:spacing w:val="-5"/>
        </w:rPr>
        <w:t> </w:t>
      </w:r>
      <w:r>
        <w:rPr>
          <w:color w:val="231F20"/>
          <w:spacing w:val="-4"/>
        </w:rPr>
        <w:t>abuse</w:t>
      </w:r>
      <w:r>
        <w:rPr>
          <w:color w:val="231F20"/>
          <w:spacing w:val="-5"/>
        </w:rPr>
        <w:t> </w:t>
      </w:r>
      <w:r>
        <w:rPr>
          <w:color w:val="231F20"/>
          <w:spacing w:val="-4"/>
        </w:rPr>
        <w:t>of</w:t>
      </w:r>
      <w:r>
        <w:rPr>
          <w:color w:val="231F20"/>
          <w:spacing w:val="-5"/>
        </w:rPr>
        <w:t> </w:t>
      </w:r>
      <w:r>
        <w:rPr>
          <w:color w:val="231F20"/>
          <w:spacing w:val="-4"/>
        </w:rPr>
        <w:t>port</w:t>
      </w:r>
      <w:r>
        <w:rPr>
          <w:color w:val="231F20"/>
          <w:spacing w:val="-5"/>
        </w:rPr>
        <w:t> </w:t>
      </w:r>
      <w:r>
        <w:rPr>
          <w:color w:val="231F20"/>
          <w:spacing w:val="-4"/>
        </w:rPr>
        <w:t>storage</w:t>
      </w:r>
      <w:r>
        <w:rPr>
          <w:color w:val="231F20"/>
          <w:spacing w:val="-5"/>
        </w:rPr>
        <w:t> </w:t>
      </w:r>
      <w:r>
        <w:rPr>
          <w:color w:val="231F20"/>
          <w:spacing w:val="-4"/>
        </w:rPr>
        <w:t>by importers.</w:t>
      </w:r>
      <w:r>
        <w:rPr>
          <w:color w:val="231F20"/>
          <w:spacing w:val="-10"/>
        </w:rPr>
        <w:t> </w:t>
      </w:r>
      <w:r>
        <w:rPr>
          <w:color w:val="231F20"/>
          <w:spacing w:val="-4"/>
        </w:rPr>
        <w:t>Most</w:t>
      </w:r>
      <w:r>
        <w:rPr>
          <w:color w:val="231F20"/>
          <w:spacing w:val="-9"/>
        </w:rPr>
        <w:t> </w:t>
      </w:r>
      <w:r>
        <w:rPr>
          <w:color w:val="231F20"/>
          <w:spacing w:val="-4"/>
        </w:rPr>
        <w:t>outliers</w:t>
      </w:r>
      <w:r>
        <w:rPr>
          <w:color w:val="231F20"/>
          <w:spacing w:val="-9"/>
        </w:rPr>
        <w:t> </w:t>
      </w:r>
      <w:r>
        <w:rPr>
          <w:color w:val="231F20"/>
          <w:spacing w:val="-4"/>
        </w:rPr>
        <w:t>are</w:t>
      </w:r>
      <w:r>
        <w:rPr>
          <w:color w:val="231F20"/>
          <w:spacing w:val="-9"/>
        </w:rPr>
        <w:t> </w:t>
      </w:r>
      <w:r>
        <w:rPr>
          <w:color w:val="231F20"/>
          <w:spacing w:val="-4"/>
        </w:rPr>
        <w:t>in</w:t>
      </w:r>
      <w:r>
        <w:rPr>
          <w:color w:val="231F20"/>
          <w:spacing w:val="-9"/>
        </w:rPr>
        <w:t> </w:t>
      </w:r>
      <w:r>
        <w:rPr>
          <w:color w:val="231F20"/>
          <w:spacing w:val="-4"/>
        </w:rPr>
        <w:t>the</w:t>
      </w:r>
      <w:r>
        <w:rPr>
          <w:color w:val="231F20"/>
          <w:spacing w:val="-9"/>
        </w:rPr>
        <w:t> </w:t>
      </w:r>
      <w:r>
        <w:rPr>
          <w:color w:val="231F20"/>
          <w:spacing w:val="-4"/>
        </w:rPr>
        <w:t>Middle</w:t>
      </w:r>
      <w:r>
        <w:rPr>
          <w:color w:val="231F20"/>
          <w:spacing w:val="-9"/>
        </w:rPr>
        <w:t> </w:t>
      </w:r>
      <w:r>
        <w:rPr>
          <w:color w:val="231F20"/>
          <w:spacing w:val="-4"/>
        </w:rPr>
        <w:t>East </w:t>
      </w:r>
      <w:r>
        <w:rPr>
          <w:color w:val="231F20"/>
          <w:spacing w:val="-6"/>
        </w:rPr>
        <w:t>and</w:t>
      </w:r>
      <w:r>
        <w:rPr>
          <w:color w:val="231F20"/>
          <w:spacing w:val="-8"/>
        </w:rPr>
        <w:t> </w:t>
      </w:r>
      <w:r>
        <w:rPr>
          <w:color w:val="231F20"/>
          <w:spacing w:val="-6"/>
        </w:rPr>
        <w:t>in</w:t>
      </w:r>
      <w:r>
        <w:rPr>
          <w:color w:val="231F20"/>
          <w:spacing w:val="-7"/>
        </w:rPr>
        <w:t> </w:t>
      </w:r>
      <w:r>
        <w:rPr>
          <w:color w:val="231F20"/>
          <w:spacing w:val="-6"/>
        </w:rPr>
        <w:t>North,</w:t>
      </w:r>
      <w:r>
        <w:rPr>
          <w:color w:val="231F20"/>
          <w:spacing w:val="-7"/>
        </w:rPr>
        <w:t> </w:t>
      </w:r>
      <w:r>
        <w:rPr>
          <w:color w:val="231F20"/>
          <w:spacing w:val="-6"/>
        </w:rPr>
        <w:t>Central,</w:t>
      </w:r>
      <w:r>
        <w:rPr>
          <w:color w:val="231F20"/>
          <w:spacing w:val="-7"/>
        </w:rPr>
        <w:t> </w:t>
      </w:r>
      <w:r>
        <w:rPr>
          <w:color w:val="231F20"/>
          <w:spacing w:val="-6"/>
        </w:rPr>
        <w:t>and</w:t>
      </w:r>
      <w:r>
        <w:rPr>
          <w:color w:val="231F20"/>
          <w:spacing w:val="-7"/>
        </w:rPr>
        <w:t> </w:t>
      </w:r>
      <w:r>
        <w:rPr>
          <w:color w:val="231F20"/>
          <w:spacing w:val="-6"/>
        </w:rPr>
        <w:t>West</w:t>
      </w:r>
      <w:r>
        <w:rPr>
          <w:color w:val="231F20"/>
          <w:spacing w:val="-7"/>
        </w:rPr>
        <w:t> </w:t>
      </w:r>
      <w:r>
        <w:rPr>
          <w:color w:val="231F20"/>
          <w:spacing w:val="-6"/>
        </w:rPr>
        <w:t>Africa.</w:t>
      </w:r>
      <w:r>
        <w:rPr>
          <w:color w:val="231F20"/>
          <w:spacing w:val="-7"/>
        </w:rPr>
        <w:t> </w:t>
      </w:r>
      <w:r>
        <w:rPr>
          <w:color w:val="231F20"/>
          <w:spacing w:val="-6"/>
        </w:rPr>
        <w:t>Similar patterns</w:t>
      </w:r>
      <w:r>
        <w:rPr>
          <w:color w:val="231F20"/>
          <w:spacing w:val="-8"/>
        </w:rPr>
        <w:t> </w:t>
      </w:r>
      <w:r>
        <w:rPr>
          <w:color w:val="231F20"/>
          <w:spacing w:val="-6"/>
        </w:rPr>
        <w:t>apply</w:t>
      </w:r>
      <w:r>
        <w:rPr>
          <w:color w:val="231F20"/>
          <w:spacing w:val="-7"/>
        </w:rPr>
        <w:t> </w:t>
      </w:r>
      <w:r>
        <w:rPr>
          <w:color w:val="231F20"/>
          <w:spacing w:val="-6"/>
        </w:rPr>
        <w:t>to</w:t>
      </w:r>
      <w:r>
        <w:rPr>
          <w:color w:val="231F20"/>
          <w:spacing w:val="-7"/>
        </w:rPr>
        <w:t> </w:t>
      </w:r>
      <w:r>
        <w:rPr>
          <w:color w:val="231F20"/>
          <w:spacing w:val="-6"/>
        </w:rPr>
        <w:t>aviation</w:t>
      </w:r>
      <w:r>
        <w:rPr>
          <w:color w:val="231F20"/>
          <w:spacing w:val="-7"/>
        </w:rPr>
        <w:t> </w:t>
      </w:r>
      <w:r>
        <w:rPr>
          <w:color w:val="231F20"/>
          <w:spacing w:val="-6"/>
        </w:rPr>
        <w:t>logistics,</w:t>
      </w:r>
      <w:r>
        <w:rPr>
          <w:color w:val="231F20"/>
          <w:spacing w:val="-7"/>
        </w:rPr>
        <w:t> </w:t>
      </w:r>
      <w:r>
        <w:rPr>
          <w:color w:val="231F20"/>
          <w:spacing w:val="-6"/>
        </w:rPr>
        <w:t>with</w:t>
      </w:r>
      <w:r>
        <w:rPr>
          <w:color w:val="231F20"/>
          <w:spacing w:val="-7"/>
        </w:rPr>
        <w:t> </w:t>
      </w:r>
      <w:r>
        <w:rPr>
          <w:color w:val="231F20"/>
          <w:spacing w:val="-6"/>
        </w:rPr>
        <w:t>shorter </w:t>
      </w:r>
      <w:r>
        <w:rPr>
          <w:color w:val="231F20"/>
          <w:w w:val="90"/>
        </w:rPr>
        <w:t>delays (typically one-third as long) and substan- </w:t>
      </w:r>
      <w:r>
        <w:rPr>
          <w:color w:val="231F20"/>
        </w:rPr>
        <w:t>tial</w:t>
      </w:r>
      <w:r>
        <w:rPr>
          <w:color w:val="231F20"/>
          <w:spacing w:val="-5"/>
        </w:rPr>
        <w:t> </w:t>
      </w:r>
      <w:r>
        <w:rPr>
          <w:color w:val="231F20"/>
        </w:rPr>
        <w:t>overlaps</w:t>
      </w:r>
      <w:r>
        <w:rPr>
          <w:color w:val="231F20"/>
          <w:spacing w:val="-5"/>
        </w:rPr>
        <w:t> </w:t>
      </w:r>
      <w:r>
        <w:rPr>
          <w:color w:val="231F20"/>
        </w:rPr>
        <w:t>of</w:t>
      </w:r>
      <w:r>
        <w:rPr>
          <w:color w:val="231F20"/>
          <w:spacing w:val="-5"/>
        </w:rPr>
        <w:t> </w:t>
      </w:r>
      <w:r>
        <w:rPr>
          <w:color w:val="231F20"/>
        </w:rPr>
        <w:t>outliers.</w:t>
      </w:r>
    </w:p>
    <w:p>
      <w:pPr>
        <w:pStyle w:val="BodyText"/>
        <w:spacing w:line="268" w:lineRule="auto"/>
        <w:ind w:left="199" w:right="657" w:firstLine="300"/>
        <w:jc w:val="both"/>
      </w:pPr>
      <w:r>
        <w:rPr>
          <w:color w:val="231F20"/>
          <w:w w:val="90"/>
        </w:rPr>
        <w:t>Dwell time is not clearly associated with in- </w:t>
      </w:r>
      <w:r>
        <w:rPr>
          <w:color w:val="231F20"/>
          <w:spacing w:val="-2"/>
        </w:rPr>
        <w:t>come</w:t>
      </w:r>
      <w:r>
        <w:rPr>
          <w:color w:val="231F20"/>
          <w:spacing w:val="-12"/>
        </w:rPr>
        <w:t> </w:t>
      </w:r>
      <w:r>
        <w:rPr>
          <w:color w:val="231F20"/>
          <w:spacing w:val="-2"/>
        </w:rPr>
        <w:t>(map</w:t>
      </w:r>
      <w:r>
        <w:rPr>
          <w:color w:val="231F20"/>
          <w:spacing w:val="-11"/>
        </w:rPr>
        <w:t> </w:t>
      </w:r>
      <w:r>
        <w:rPr>
          <w:color w:val="231F20"/>
          <w:spacing w:val="-2"/>
        </w:rPr>
        <w:t>1).</w:t>
      </w:r>
      <w:r>
        <w:rPr>
          <w:color w:val="231F20"/>
          <w:spacing w:val="-11"/>
        </w:rPr>
        <w:t> </w:t>
      </w:r>
      <w:r>
        <w:rPr>
          <w:color w:val="231F20"/>
          <w:spacing w:val="-2"/>
        </w:rPr>
        <w:t>Countries</w:t>
      </w:r>
      <w:r>
        <w:rPr>
          <w:color w:val="231F20"/>
          <w:spacing w:val="-11"/>
        </w:rPr>
        <w:t> </w:t>
      </w:r>
      <w:r>
        <w:rPr>
          <w:color w:val="231F20"/>
          <w:spacing w:val="-2"/>
        </w:rPr>
        <w:t>in</w:t>
      </w:r>
      <w:r>
        <w:rPr>
          <w:color w:val="231F20"/>
          <w:spacing w:val="-11"/>
        </w:rPr>
        <w:t> </w:t>
      </w:r>
      <w:r>
        <w:rPr>
          <w:color w:val="231F20"/>
          <w:spacing w:val="-2"/>
        </w:rPr>
        <w:t>Europe</w:t>
      </w:r>
      <w:r>
        <w:rPr>
          <w:color w:val="231F20"/>
          <w:spacing w:val="-11"/>
        </w:rPr>
        <w:t> </w:t>
      </w:r>
      <w:r>
        <w:rPr>
          <w:color w:val="231F20"/>
          <w:spacing w:val="-2"/>
        </w:rPr>
        <w:t>and</w:t>
      </w:r>
      <w:r>
        <w:rPr>
          <w:color w:val="231F20"/>
          <w:spacing w:val="-11"/>
        </w:rPr>
        <w:t> </w:t>
      </w:r>
      <w:r>
        <w:rPr>
          <w:color w:val="231F20"/>
          <w:spacing w:val="-2"/>
        </w:rPr>
        <w:t>North </w:t>
      </w:r>
      <w:r>
        <w:rPr>
          <w:color w:val="231F20"/>
        </w:rPr>
        <w:t>America do worse on this metric than other </w:t>
      </w:r>
      <w:r>
        <w:rPr>
          <w:color w:val="231F20"/>
          <w:spacing w:val="-4"/>
        </w:rPr>
        <w:t>high-income</w:t>
      </w:r>
      <w:r>
        <w:rPr>
          <w:color w:val="231F20"/>
          <w:spacing w:val="-8"/>
        </w:rPr>
        <w:t> </w:t>
      </w:r>
      <w:r>
        <w:rPr>
          <w:color w:val="231F20"/>
          <w:spacing w:val="-4"/>
        </w:rPr>
        <w:t>and</w:t>
      </w:r>
      <w:r>
        <w:rPr>
          <w:color w:val="231F20"/>
          <w:spacing w:val="-8"/>
        </w:rPr>
        <w:t> </w:t>
      </w:r>
      <w:r>
        <w:rPr>
          <w:color w:val="231F20"/>
          <w:spacing w:val="-4"/>
        </w:rPr>
        <w:t>emerging</w:t>
      </w:r>
      <w:r>
        <w:rPr>
          <w:color w:val="231F20"/>
          <w:spacing w:val="-8"/>
        </w:rPr>
        <w:t> </w:t>
      </w:r>
      <w:r>
        <w:rPr>
          <w:color w:val="231F20"/>
          <w:spacing w:val="-4"/>
        </w:rPr>
        <w:t>economies.</w:t>
      </w:r>
      <w:r>
        <w:rPr>
          <w:color w:val="231F20"/>
          <w:spacing w:val="-8"/>
        </w:rPr>
        <w:t> </w:t>
      </w:r>
      <w:r>
        <w:rPr>
          <w:color w:val="231F20"/>
          <w:spacing w:val="-4"/>
        </w:rPr>
        <w:t>Singa- </w:t>
      </w:r>
      <w:r>
        <w:rPr>
          <w:color w:val="231F20"/>
          <w:spacing w:val="-2"/>
        </w:rPr>
        <w:t>pore,</w:t>
      </w:r>
      <w:r>
        <w:rPr>
          <w:color w:val="231F20"/>
          <w:spacing w:val="-9"/>
        </w:rPr>
        <w:t> </w:t>
      </w:r>
      <w:r>
        <w:rPr>
          <w:color w:val="231F20"/>
          <w:spacing w:val="-2"/>
        </w:rPr>
        <w:t>for</w:t>
      </w:r>
      <w:r>
        <w:rPr>
          <w:color w:val="231F20"/>
          <w:spacing w:val="-9"/>
        </w:rPr>
        <w:t> </w:t>
      </w:r>
      <w:r>
        <w:rPr>
          <w:color w:val="231F20"/>
          <w:spacing w:val="-2"/>
        </w:rPr>
        <w:t>example,</w:t>
      </w:r>
      <w:r>
        <w:rPr>
          <w:color w:val="231F20"/>
          <w:spacing w:val="-9"/>
        </w:rPr>
        <w:t> </w:t>
      </w:r>
      <w:r>
        <w:rPr>
          <w:color w:val="231F20"/>
          <w:spacing w:val="-2"/>
        </w:rPr>
        <w:t>has</w:t>
      </w:r>
      <w:r>
        <w:rPr>
          <w:color w:val="231F20"/>
          <w:spacing w:val="-9"/>
        </w:rPr>
        <w:t> </w:t>
      </w:r>
      <w:r>
        <w:rPr>
          <w:color w:val="231F20"/>
          <w:spacing w:val="-2"/>
        </w:rPr>
        <w:t>a</w:t>
      </w:r>
      <w:r>
        <w:rPr>
          <w:color w:val="231F20"/>
          <w:spacing w:val="-9"/>
        </w:rPr>
        <w:t> </w:t>
      </w:r>
      <w:r>
        <w:rPr>
          <w:color w:val="231F20"/>
          <w:spacing w:val="-2"/>
        </w:rPr>
        <w:t>dwell</w:t>
      </w:r>
      <w:r>
        <w:rPr>
          <w:color w:val="231F20"/>
          <w:spacing w:val="-9"/>
        </w:rPr>
        <w:t> </w:t>
      </w:r>
      <w:r>
        <w:rPr>
          <w:color w:val="231F20"/>
          <w:spacing w:val="-2"/>
        </w:rPr>
        <w:t>time</w:t>
      </w:r>
      <w:r>
        <w:rPr>
          <w:color w:val="231F20"/>
          <w:spacing w:val="-9"/>
        </w:rPr>
        <w:t> </w:t>
      </w:r>
      <w:r>
        <w:rPr>
          <w:color w:val="231F20"/>
          <w:spacing w:val="-2"/>
        </w:rPr>
        <w:t>of</w:t>
      </w:r>
      <w:r>
        <w:rPr>
          <w:color w:val="231F20"/>
          <w:spacing w:val="-9"/>
        </w:rPr>
        <w:t> </w:t>
      </w:r>
      <w:r>
        <w:rPr>
          <w:color w:val="231F20"/>
          <w:spacing w:val="-2"/>
        </w:rPr>
        <w:t>around </w:t>
      </w:r>
      <w:r>
        <w:rPr>
          <w:color w:val="231F20"/>
          <w:spacing w:val="-4"/>
        </w:rPr>
        <w:t>three</w:t>
      </w:r>
      <w:r>
        <w:rPr>
          <w:color w:val="231F20"/>
          <w:spacing w:val="-9"/>
        </w:rPr>
        <w:t> </w:t>
      </w:r>
      <w:r>
        <w:rPr>
          <w:color w:val="231F20"/>
          <w:spacing w:val="-4"/>
        </w:rPr>
        <w:t>days</w:t>
      </w:r>
      <w:r>
        <w:rPr>
          <w:color w:val="231F20"/>
          <w:spacing w:val="-9"/>
        </w:rPr>
        <w:t> </w:t>
      </w:r>
      <w:r>
        <w:rPr>
          <w:color w:val="231F20"/>
          <w:spacing w:val="-4"/>
        </w:rPr>
        <w:t>compared</w:t>
      </w:r>
      <w:r>
        <w:rPr>
          <w:color w:val="231F20"/>
          <w:spacing w:val="-9"/>
        </w:rPr>
        <w:t> </w:t>
      </w:r>
      <w:r>
        <w:rPr>
          <w:color w:val="231F20"/>
          <w:spacing w:val="-4"/>
        </w:rPr>
        <w:t>with</w:t>
      </w:r>
      <w:r>
        <w:rPr>
          <w:color w:val="231F20"/>
          <w:spacing w:val="-9"/>
        </w:rPr>
        <w:t> </w:t>
      </w:r>
      <w:r>
        <w:rPr>
          <w:color w:val="231F20"/>
          <w:spacing w:val="-4"/>
        </w:rPr>
        <w:t>more</w:t>
      </w:r>
      <w:r>
        <w:rPr>
          <w:color w:val="231F20"/>
          <w:spacing w:val="-9"/>
        </w:rPr>
        <w:t> </w:t>
      </w:r>
      <w:r>
        <w:rPr>
          <w:color w:val="231F20"/>
          <w:spacing w:val="-4"/>
        </w:rPr>
        <w:t>than</w:t>
      </w:r>
      <w:r>
        <w:rPr>
          <w:color w:val="231F20"/>
          <w:spacing w:val="-9"/>
        </w:rPr>
        <w:t> </w:t>
      </w:r>
      <w:r>
        <w:rPr>
          <w:color w:val="231F20"/>
          <w:spacing w:val="-4"/>
        </w:rPr>
        <w:t>seven</w:t>
      </w:r>
      <w:r>
        <w:rPr>
          <w:color w:val="231F20"/>
          <w:spacing w:val="-9"/>
        </w:rPr>
        <w:t> </w:t>
      </w:r>
      <w:r>
        <w:rPr>
          <w:color w:val="231F20"/>
          <w:spacing w:val="-4"/>
        </w:rPr>
        <w:t>for the</w:t>
      </w:r>
      <w:r>
        <w:rPr>
          <w:color w:val="231F20"/>
          <w:spacing w:val="-8"/>
        </w:rPr>
        <w:t> </w:t>
      </w:r>
      <w:r>
        <w:rPr>
          <w:color w:val="231F20"/>
          <w:spacing w:val="-4"/>
        </w:rPr>
        <w:t>United</w:t>
      </w:r>
      <w:r>
        <w:rPr>
          <w:color w:val="231F20"/>
          <w:spacing w:val="-8"/>
        </w:rPr>
        <w:t> </w:t>
      </w:r>
      <w:r>
        <w:rPr>
          <w:color w:val="231F20"/>
          <w:spacing w:val="-4"/>
        </w:rPr>
        <w:t>States.</w:t>
      </w:r>
      <w:r>
        <w:rPr>
          <w:color w:val="231F20"/>
          <w:spacing w:val="-8"/>
        </w:rPr>
        <w:t> </w:t>
      </w:r>
      <w:r>
        <w:rPr>
          <w:color w:val="231F20"/>
          <w:spacing w:val="-4"/>
        </w:rPr>
        <w:t>The</w:t>
      </w:r>
      <w:r>
        <w:rPr>
          <w:color w:val="231F20"/>
          <w:spacing w:val="-8"/>
        </w:rPr>
        <w:t> </w:t>
      </w:r>
      <w:r>
        <w:rPr>
          <w:color w:val="231F20"/>
          <w:spacing w:val="-4"/>
        </w:rPr>
        <w:t>recent</w:t>
      </w:r>
      <w:r>
        <w:rPr>
          <w:color w:val="231F20"/>
          <w:spacing w:val="-8"/>
        </w:rPr>
        <w:t> </w:t>
      </w:r>
      <w:r>
        <w:rPr>
          <w:color w:val="231F20"/>
          <w:spacing w:val="-4"/>
        </w:rPr>
        <w:t>turmoil</w:t>
      </w:r>
      <w:r>
        <w:rPr>
          <w:color w:val="231F20"/>
          <w:spacing w:val="-8"/>
        </w:rPr>
        <w:t> </w:t>
      </w:r>
      <w:r>
        <w:rPr>
          <w:color w:val="231F20"/>
          <w:spacing w:val="-4"/>
        </w:rPr>
        <w:t>in</w:t>
      </w:r>
      <w:r>
        <w:rPr>
          <w:color w:val="231F20"/>
          <w:spacing w:val="-8"/>
        </w:rPr>
        <w:t> </w:t>
      </w:r>
      <w:r>
        <w:rPr>
          <w:color w:val="231F20"/>
          <w:spacing w:val="-4"/>
        </w:rPr>
        <w:t>global logistics</w:t>
      </w:r>
      <w:r>
        <w:rPr>
          <w:color w:val="231F20"/>
          <w:spacing w:val="-10"/>
        </w:rPr>
        <w:t> </w:t>
      </w:r>
      <w:r>
        <w:rPr>
          <w:color w:val="231F20"/>
          <w:spacing w:val="-4"/>
        </w:rPr>
        <w:t>is</w:t>
      </w:r>
      <w:r>
        <w:rPr>
          <w:color w:val="231F20"/>
          <w:spacing w:val="-9"/>
        </w:rPr>
        <w:t> </w:t>
      </w:r>
      <w:r>
        <w:rPr>
          <w:color w:val="231F20"/>
          <w:spacing w:val="-4"/>
        </w:rPr>
        <w:t>a</w:t>
      </w:r>
      <w:r>
        <w:rPr>
          <w:color w:val="231F20"/>
          <w:spacing w:val="-9"/>
        </w:rPr>
        <w:t> </w:t>
      </w:r>
      <w:r>
        <w:rPr>
          <w:color w:val="231F20"/>
          <w:spacing w:val="-4"/>
        </w:rPr>
        <w:t>first</w:t>
      </w:r>
      <w:r>
        <w:rPr>
          <w:color w:val="231F20"/>
          <w:spacing w:val="-9"/>
        </w:rPr>
        <w:t> </w:t>
      </w:r>
      <w:r>
        <w:rPr>
          <w:color w:val="231F20"/>
          <w:spacing w:val="-4"/>
        </w:rPr>
        <w:t>explanation</w:t>
      </w:r>
      <w:r>
        <w:rPr>
          <w:color w:val="231F20"/>
          <w:spacing w:val="-9"/>
        </w:rPr>
        <w:t> </w:t>
      </w:r>
      <w:r>
        <w:rPr>
          <w:color w:val="231F20"/>
          <w:spacing w:val="-4"/>
        </w:rPr>
        <w:t>(the</w:t>
      </w:r>
      <w:r>
        <w:rPr>
          <w:color w:val="231F20"/>
          <w:spacing w:val="-9"/>
        </w:rPr>
        <w:t> </w:t>
      </w:r>
      <w:r>
        <w:rPr>
          <w:color w:val="231F20"/>
          <w:spacing w:val="-4"/>
        </w:rPr>
        <w:t>data</w:t>
      </w:r>
      <w:r>
        <w:rPr>
          <w:color w:val="231F20"/>
          <w:spacing w:val="-9"/>
        </w:rPr>
        <w:t> </w:t>
      </w:r>
      <w:r>
        <w:rPr>
          <w:color w:val="231F20"/>
          <w:spacing w:val="-4"/>
        </w:rPr>
        <w:t>on</w:t>
      </w:r>
      <w:r>
        <w:rPr>
          <w:color w:val="231F20"/>
          <w:spacing w:val="-9"/>
        </w:rPr>
        <w:t> </w:t>
      </w:r>
      <w:r>
        <w:rPr>
          <w:color w:val="231F20"/>
          <w:spacing w:val="-4"/>
        </w:rPr>
        <w:t>con- </w:t>
      </w:r>
      <w:r>
        <w:rPr>
          <w:color w:val="231F20"/>
          <w:spacing w:val="-6"/>
        </w:rPr>
        <w:t>tainer movements are for May–October 2022). </w:t>
      </w:r>
      <w:r>
        <w:rPr>
          <w:color w:val="231F20"/>
        </w:rPr>
        <w:t>Countries in Northern Europe have been weathering</w:t>
      </w:r>
      <w:r>
        <w:rPr>
          <w:color w:val="231F20"/>
          <w:spacing w:val="-9"/>
        </w:rPr>
        <w:t> </w:t>
      </w:r>
      <w:r>
        <w:rPr>
          <w:color w:val="231F20"/>
        </w:rPr>
        <w:t>the</w:t>
      </w:r>
      <w:r>
        <w:rPr>
          <w:color w:val="231F20"/>
          <w:spacing w:val="-9"/>
        </w:rPr>
        <w:t> </w:t>
      </w:r>
      <w:r>
        <w:rPr>
          <w:color w:val="231F20"/>
        </w:rPr>
        <w:t>ripple</w:t>
      </w:r>
      <w:r>
        <w:rPr>
          <w:color w:val="231F20"/>
          <w:spacing w:val="-9"/>
        </w:rPr>
        <w:t> </w:t>
      </w:r>
      <w:r>
        <w:rPr>
          <w:color w:val="231F20"/>
        </w:rPr>
        <w:t>impact</w:t>
      </w:r>
      <w:r>
        <w:rPr>
          <w:color w:val="231F20"/>
          <w:spacing w:val="-9"/>
        </w:rPr>
        <w:t> </w:t>
      </w:r>
      <w:r>
        <w:rPr>
          <w:color w:val="231F20"/>
        </w:rPr>
        <w:t>of</w:t>
      </w:r>
      <w:r>
        <w:rPr>
          <w:color w:val="231F20"/>
          <w:spacing w:val="-9"/>
        </w:rPr>
        <w:t> </w:t>
      </w:r>
      <w:r>
        <w:rPr>
          <w:color w:val="231F20"/>
        </w:rPr>
        <w:t>sanctions</w:t>
      </w:r>
      <w:r>
        <w:rPr>
          <w:color w:val="231F20"/>
          <w:spacing w:val="-9"/>
        </w:rPr>
        <w:t> </w:t>
      </w:r>
      <w:r>
        <w:rPr>
          <w:color w:val="231F20"/>
        </w:rPr>
        <w:t>on </w:t>
      </w:r>
      <w:r>
        <w:rPr>
          <w:color w:val="231F20"/>
          <w:w w:val="90"/>
        </w:rPr>
        <w:t>Russian</w:t>
      </w:r>
      <w:r>
        <w:rPr>
          <w:color w:val="231F20"/>
          <w:spacing w:val="-7"/>
          <w:w w:val="90"/>
        </w:rPr>
        <w:t> </w:t>
      </w:r>
      <w:r>
        <w:rPr>
          <w:color w:val="231F20"/>
          <w:w w:val="90"/>
        </w:rPr>
        <w:t>shipping.</w:t>
      </w:r>
      <w:r>
        <w:rPr>
          <w:color w:val="231F20"/>
          <w:spacing w:val="-7"/>
          <w:w w:val="90"/>
        </w:rPr>
        <w:t> </w:t>
      </w:r>
      <w:r>
        <w:rPr>
          <w:color w:val="231F20"/>
          <w:w w:val="90"/>
        </w:rPr>
        <w:t>Emerging</w:t>
      </w:r>
      <w:r>
        <w:rPr>
          <w:color w:val="231F20"/>
          <w:spacing w:val="-7"/>
          <w:w w:val="90"/>
        </w:rPr>
        <w:t> </w:t>
      </w:r>
      <w:r>
        <w:rPr>
          <w:color w:val="231F20"/>
          <w:w w:val="90"/>
        </w:rPr>
        <w:t>economies</w:t>
      </w:r>
      <w:r>
        <w:rPr>
          <w:color w:val="231F20"/>
          <w:spacing w:val="-7"/>
          <w:w w:val="90"/>
        </w:rPr>
        <w:t> </w:t>
      </w:r>
      <w:r>
        <w:rPr>
          <w:color w:val="231F20"/>
          <w:w w:val="90"/>
        </w:rPr>
        <w:t>may</w:t>
      </w:r>
      <w:r>
        <w:rPr>
          <w:color w:val="231F20"/>
          <w:spacing w:val="-7"/>
          <w:w w:val="90"/>
        </w:rPr>
        <w:t> </w:t>
      </w:r>
      <w:r>
        <w:rPr>
          <w:color w:val="231F20"/>
          <w:w w:val="90"/>
        </w:rPr>
        <w:t>also </w:t>
      </w:r>
      <w:r>
        <w:rPr>
          <w:color w:val="231F20"/>
        </w:rPr>
        <w:t>benefit</w:t>
      </w:r>
      <w:r>
        <w:rPr>
          <w:color w:val="231F20"/>
          <w:spacing w:val="-9"/>
        </w:rPr>
        <w:t> </w:t>
      </w:r>
      <w:r>
        <w:rPr>
          <w:color w:val="231F20"/>
        </w:rPr>
        <w:t>from</w:t>
      </w:r>
      <w:r>
        <w:rPr>
          <w:color w:val="231F20"/>
          <w:spacing w:val="-9"/>
        </w:rPr>
        <w:t> </w:t>
      </w:r>
      <w:r>
        <w:rPr>
          <w:color w:val="231F20"/>
        </w:rPr>
        <w:t>more</w:t>
      </w:r>
      <w:r>
        <w:rPr>
          <w:color w:val="231F20"/>
          <w:spacing w:val="-9"/>
        </w:rPr>
        <w:t> </w:t>
      </w:r>
      <w:r>
        <w:rPr>
          <w:color w:val="231F20"/>
        </w:rPr>
        <w:t>recent</w:t>
      </w:r>
      <w:r>
        <w:rPr>
          <w:color w:val="231F20"/>
          <w:spacing w:val="-9"/>
        </w:rPr>
        <w:t> </w:t>
      </w:r>
      <w:r>
        <w:rPr>
          <w:color w:val="231F20"/>
        </w:rPr>
        <w:t>investments</w:t>
      </w:r>
      <w:r>
        <w:rPr>
          <w:color w:val="231F20"/>
          <w:spacing w:val="-9"/>
        </w:rPr>
        <w:t> </w:t>
      </w:r>
      <w:r>
        <w:rPr>
          <w:color w:val="231F20"/>
        </w:rPr>
        <w:t>in</w:t>
      </w:r>
      <w:r>
        <w:rPr>
          <w:color w:val="231F20"/>
          <w:spacing w:val="-9"/>
        </w:rPr>
        <w:t> </w:t>
      </w:r>
      <w:r>
        <w:rPr>
          <w:color w:val="231F20"/>
        </w:rPr>
        <w:t>soft </w:t>
      </w:r>
      <w:r>
        <w:rPr>
          <w:color w:val="231F20"/>
          <w:spacing w:val="-6"/>
        </w:rPr>
        <w:t>and hard port infrastructure. As for aviation lo- </w:t>
      </w:r>
      <w:r>
        <w:rPr>
          <w:color w:val="231F20"/>
          <w:spacing w:val="-4"/>
        </w:rPr>
        <w:t>gistics,</w:t>
      </w:r>
      <w:r>
        <w:rPr>
          <w:color w:val="231F20"/>
          <w:spacing w:val="-7"/>
        </w:rPr>
        <w:t> </w:t>
      </w:r>
      <w:r>
        <w:rPr>
          <w:color w:val="231F20"/>
          <w:spacing w:val="-4"/>
        </w:rPr>
        <w:t>airport</w:t>
      </w:r>
      <w:r>
        <w:rPr>
          <w:color w:val="231F20"/>
          <w:spacing w:val="-7"/>
        </w:rPr>
        <w:t> </w:t>
      </w:r>
      <w:r>
        <w:rPr>
          <w:color w:val="231F20"/>
          <w:spacing w:val="-4"/>
        </w:rPr>
        <w:t>dwell</w:t>
      </w:r>
      <w:r>
        <w:rPr>
          <w:color w:val="231F20"/>
          <w:spacing w:val="-7"/>
        </w:rPr>
        <w:t> </w:t>
      </w:r>
      <w:r>
        <w:rPr>
          <w:color w:val="231F20"/>
          <w:spacing w:val="-4"/>
        </w:rPr>
        <w:t>time</w:t>
      </w:r>
      <w:r>
        <w:rPr>
          <w:color w:val="231F20"/>
          <w:spacing w:val="-7"/>
        </w:rPr>
        <w:t> </w:t>
      </w:r>
      <w:r>
        <w:rPr>
          <w:color w:val="231F20"/>
          <w:spacing w:val="-4"/>
        </w:rPr>
        <w:t>is</w:t>
      </w:r>
      <w:r>
        <w:rPr>
          <w:color w:val="231F20"/>
          <w:spacing w:val="-7"/>
        </w:rPr>
        <w:t> </w:t>
      </w:r>
      <w:r>
        <w:rPr>
          <w:color w:val="231F20"/>
          <w:spacing w:val="-4"/>
        </w:rPr>
        <w:t>shorter</w:t>
      </w:r>
      <w:r>
        <w:rPr>
          <w:color w:val="231F20"/>
          <w:spacing w:val="-7"/>
        </w:rPr>
        <w:t> </w:t>
      </w:r>
      <w:r>
        <w:rPr>
          <w:color w:val="231F20"/>
          <w:spacing w:val="-4"/>
        </w:rPr>
        <w:t>than</w:t>
      </w:r>
      <w:r>
        <w:rPr>
          <w:color w:val="231F20"/>
          <w:spacing w:val="-7"/>
        </w:rPr>
        <w:t> </w:t>
      </w:r>
      <w:r>
        <w:rPr>
          <w:color w:val="231F20"/>
          <w:spacing w:val="-4"/>
        </w:rPr>
        <w:t>mari- </w:t>
      </w:r>
      <w:r>
        <w:rPr>
          <w:color w:val="231F20"/>
          <w:spacing w:val="-2"/>
        </w:rPr>
        <w:t>time</w:t>
      </w:r>
      <w:r>
        <w:rPr>
          <w:color w:val="231F20"/>
          <w:spacing w:val="-12"/>
        </w:rPr>
        <w:t> </w:t>
      </w:r>
      <w:r>
        <w:rPr>
          <w:color w:val="231F20"/>
          <w:spacing w:val="-2"/>
        </w:rPr>
        <w:t>dwell</w:t>
      </w:r>
      <w:r>
        <w:rPr>
          <w:color w:val="231F20"/>
          <w:spacing w:val="-11"/>
        </w:rPr>
        <w:t> </w:t>
      </w:r>
      <w:r>
        <w:rPr>
          <w:color w:val="231F20"/>
          <w:spacing w:val="-2"/>
        </w:rPr>
        <w:t>time,</w:t>
      </w:r>
      <w:r>
        <w:rPr>
          <w:color w:val="231F20"/>
          <w:spacing w:val="-11"/>
        </w:rPr>
        <w:t> </w:t>
      </w:r>
      <w:r>
        <w:rPr>
          <w:color w:val="231F20"/>
          <w:spacing w:val="-2"/>
        </w:rPr>
        <w:t>typically</w:t>
      </w:r>
      <w:r>
        <w:rPr>
          <w:color w:val="231F20"/>
          <w:spacing w:val="-11"/>
        </w:rPr>
        <w:t> </w:t>
      </w:r>
      <w:r>
        <w:rPr>
          <w:color w:val="231F20"/>
          <w:spacing w:val="-2"/>
        </w:rPr>
        <w:t>by</w:t>
      </w:r>
      <w:r>
        <w:rPr>
          <w:color w:val="231F20"/>
          <w:spacing w:val="-11"/>
        </w:rPr>
        <w:t> </w:t>
      </w:r>
      <w:r>
        <w:rPr>
          <w:color w:val="231F20"/>
          <w:spacing w:val="-2"/>
        </w:rPr>
        <w:t>a</w:t>
      </w:r>
      <w:r>
        <w:rPr>
          <w:color w:val="231F20"/>
          <w:spacing w:val="-11"/>
        </w:rPr>
        <w:t> </w:t>
      </w:r>
      <w:r>
        <w:rPr>
          <w:color w:val="231F20"/>
          <w:spacing w:val="-2"/>
        </w:rPr>
        <w:t>factor</w:t>
      </w:r>
      <w:r>
        <w:rPr>
          <w:color w:val="231F20"/>
          <w:spacing w:val="-11"/>
        </w:rPr>
        <w:t> </w:t>
      </w:r>
      <w:r>
        <w:rPr>
          <w:color w:val="231F20"/>
          <w:spacing w:val="-2"/>
        </w:rPr>
        <w:t>of</w:t>
      </w:r>
      <w:r>
        <w:rPr>
          <w:color w:val="231F20"/>
          <w:spacing w:val="-11"/>
        </w:rPr>
        <w:t> </w:t>
      </w:r>
      <w:r>
        <w:rPr>
          <w:color w:val="231F20"/>
          <w:spacing w:val="-2"/>
        </w:rPr>
        <w:t>three. </w:t>
      </w:r>
      <w:r>
        <w:rPr>
          <w:color w:val="231F20"/>
          <w:w w:val="90"/>
        </w:rPr>
        <w:t>Airport dwell time follows the same patterns as </w:t>
      </w:r>
      <w:r>
        <w:rPr>
          <w:color w:val="231F20"/>
          <w:spacing w:val="-4"/>
        </w:rPr>
        <w:t>maritime</w:t>
      </w:r>
      <w:r>
        <w:rPr>
          <w:color w:val="231F20"/>
          <w:spacing w:val="-10"/>
        </w:rPr>
        <w:t> </w:t>
      </w:r>
      <w:r>
        <w:rPr>
          <w:color w:val="231F20"/>
          <w:spacing w:val="-4"/>
        </w:rPr>
        <w:t>dwell</w:t>
      </w:r>
      <w:r>
        <w:rPr>
          <w:color w:val="231F20"/>
          <w:spacing w:val="-9"/>
        </w:rPr>
        <w:t> </w:t>
      </w:r>
      <w:r>
        <w:rPr>
          <w:color w:val="231F20"/>
          <w:spacing w:val="-4"/>
        </w:rPr>
        <w:t>time,</w:t>
      </w:r>
      <w:r>
        <w:rPr>
          <w:color w:val="231F20"/>
          <w:spacing w:val="-9"/>
        </w:rPr>
        <w:t> </w:t>
      </w:r>
      <w:r>
        <w:rPr>
          <w:color w:val="231F20"/>
          <w:spacing w:val="-4"/>
        </w:rPr>
        <w:t>with</w:t>
      </w:r>
      <w:r>
        <w:rPr>
          <w:color w:val="231F20"/>
          <w:spacing w:val="-9"/>
        </w:rPr>
        <w:t> </w:t>
      </w:r>
      <w:r>
        <w:rPr>
          <w:color w:val="231F20"/>
          <w:spacing w:val="-4"/>
        </w:rPr>
        <w:t>substantial</w:t>
      </w:r>
      <w:r>
        <w:rPr>
          <w:color w:val="231F20"/>
          <w:spacing w:val="-9"/>
        </w:rPr>
        <w:t> </w:t>
      </w:r>
      <w:r>
        <w:rPr>
          <w:color w:val="231F20"/>
          <w:spacing w:val="-4"/>
        </w:rPr>
        <w:t>overlaps </w:t>
      </w:r>
      <w:r>
        <w:rPr>
          <w:color w:val="231F20"/>
        </w:rPr>
        <w:t>of outliers for both modes.</w:t>
      </w:r>
    </w:p>
    <w:p>
      <w:pPr>
        <w:spacing w:after="0" w:line="268" w:lineRule="auto"/>
        <w:jc w:val="both"/>
        <w:sectPr>
          <w:type w:val="continuous"/>
          <w:pgSz w:w="12240" w:h="15840"/>
          <w:pgMar w:header="370" w:footer="548" w:top="1140" w:bottom="280" w:left="0" w:right="540"/>
          <w:cols w:num="2" w:equalWidth="0">
            <w:col w:w="7081" w:space="40"/>
            <w:col w:w="4579"/>
          </w:cols>
        </w:sectPr>
      </w:pPr>
    </w:p>
    <w:p>
      <w:pPr>
        <w:pStyle w:val="BodyText"/>
        <w:spacing w:before="27"/>
        <w:rPr>
          <w:sz w:val="20"/>
        </w:rPr>
      </w:pPr>
    </w:p>
    <w:p>
      <w:pPr>
        <w:pStyle w:val="BodyText"/>
        <w:ind w:left="3360"/>
        <w:rPr>
          <w:sz w:val="20"/>
        </w:rPr>
      </w:pPr>
      <w:r>
        <w:rPr>
          <w:sz w:val="20"/>
        </w:rPr>
        <mc:AlternateContent>
          <mc:Choice Requires="wps">
            <w:drawing>
              <wp:inline distT="0" distB="0" distL="0" distR="0">
                <wp:extent cx="4877435" cy="3116580"/>
                <wp:effectExtent l="0" t="9525" r="0" b="7619"/>
                <wp:docPr id="249" name="Group 249"/>
                <wp:cNvGraphicFramePr>
                  <a:graphicFrameLocks/>
                </wp:cNvGraphicFramePr>
                <a:graphic>
                  <a:graphicData uri="http://schemas.microsoft.com/office/word/2010/wordprocessingGroup">
                    <wpg:wgp>
                      <wpg:cNvPr id="249" name="Group 249"/>
                      <wpg:cNvGrpSpPr/>
                      <wpg:grpSpPr>
                        <a:xfrm>
                          <a:off x="0" y="0"/>
                          <a:ext cx="4877435" cy="3116580"/>
                          <a:chExt cx="4877435" cy="3116580"/>
                        </a:xfrm>
                      </wpg:grpSpPr>
                      <wps:wsp>
                        <wps:cNvPr id="250" name="Graphic 250"/>
                        <wps:cNvSpPr/>
                        <wps:spPr>
                          <a:xfrm>
                            <a:off x="196" y="385093"/>
                            <a:ext cx="4876800" cy="2731135"/>
                          </a:xfrm>
                          <a:custGeom>
                            <a:avLst/>
                            <a:gdLst/>
                            <a:ahLst/>
                            <a:cxnLst/>
                            <a:rect l="l" t="t" r="r" b="b"/>
                            <a:pathLst>
                              <a:path w="4876800" h="2731135">
                                <a:moveTo>
                                  <a:pt x="4876800" y="0"/>
                                </a:moveTo>
                                <a:lnTo>
                                  <a:pt x="0" y="0"/>
                                </a:lnTo>
                                <a:lnTo>
                                  <a:pt x="0" y="2656204"/>
                                </a:lnTo>
                                <a:lnTo>
                                  <a:pt x="6159" y="2685303"/>
                                </a:lnTo>
                                <a:lnTo>
                                  <a:pt x="22693" y="2709063"/>
                                </a:lnTo>
                                <a:lnTo>
                                  <a:pt x="46682" y="2725083"/>
                                </a:lnTo>
                                <a:lnTo>
                                  <a:pt x="75209" y="2730957"/>
                                </a:lnTo>
                                <a:lnTo>
                                  <a:pt x="4797920" y="2730957"/>
                                </a:lnTo>
                                <a:lnTo>
                                  <a:pt x="4827020" y="2725702"/>
                                </a:lnTo>
                                <a:lnTo>
                                  <a:pt x="4852271" y="2710716"/>
                                </a:lnTo>
                                <a:lnTo>
                                  <a:pt x="4870066" y="2687162"/>
                                </a:lnTo>
                                <a:lnTo>
                                  <a:pt x="4876800" y="2656204"/>
                                </a:lnTo>
                                <a:lnTo>
                                  <a:pt x="4876800" y="0"/>
                                </a:lnTo>
                                <a:close/>
                              </a:path>
                            </a:pathLst>
                          </a:custGeom>
                          <a:solidFill>
                            <a:srgbClr val="DFEAF7"/>
                          </a:solidFill>
                        </wps:spPr>
                        <wps:bodyPr wrap="square" lIns="0" tIns="0" rIns="0" bIns="0" rtlCol="0">
                          <a:prstTxWarp prst="textNoShape">
                            <a:avLst/>
                          </a:prstTxWarp>
                          <a:noAutofit/>
                        </wps:bodyPr>
                      </wps:wsp>
                      <wps:wsp>
                        <wps:cNvPr id="251" name="Graphic 251"/>
                        <wps:cNvSpPr/>
                        <wps:spPr>
                          <a:xfrm>
                            <a:off x="274402" y="2486124"/>
                            <a:ext cx="4458335" cy="1270"/>
                          </a:xfrm>
                          <a:custGeom>
                            <a:avLst/>
                            <a:gdLst/>
                            <a:ahLst/>
                            <a:cxnLst/>
                            <a:rect l="l" t="t" r="r" b="b"/>
                            <a:pathLst>
                              <a:path w="4458335" h="0">
                                <a:moveTo>
                                  <a:pt x="0" y="0"/>
                                </a:moveTo>
                                <a:lnTo>
                                  <a:pt x="4458093" y="0"/>
                                </a:lnTo>
                              </a:path>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252" name="Graphic 252"/>
                        <wps:cNvSpPr/>
                        <wps:spPr>
                          <a:xfrm>
                            <a:off x="274402" y="1139657"/>
                            <a:ext cx="4458335" cy="897890"/>
                          </a:xfrm>
                          <a:custGeom>
                            <a:avLst/>
                            <a:gdLst/>
                            <a:ahLst/>
                            <a:cxnLst/>
                            <a:rect l="l" t="t" r="r" b="b"/>
                            <a:pathLst>
                              <a:path w="4458335" h="897890">
                                <a:moveTo>
                                  <a:pt x="0" y="897644"/>
                                </a:moveTo>
                                <a:lnTo>
                                  <a:pt x="386373" y="897644"/>
                                </a:lnTo>
                              </a:path>
                              <a:path w="4458335" h="897890">
                                <a:moveTo>
                                  <a:pt x="1160628" y="897644"/>
                                </a:moveTo>
                                <a:lnTo>
                                  <a:pt x="4458093" y="897644"/>
                                </a:lnTo>
                              </a:path>
                              <a:path w="4458335" h="897890">
                                <a:moveTo>
                                  <a:pt x="0" y="448823"/>
                                </a:moveTo>
                                <a:lnTo>
                                  <a:pt x="386373" y="448823"/>
                                </a:lnTo>
                              </a:path>
                              <a:path w="4458335" h="897890">
                                <a:moveTo>
                                  <a:pt x="607594" y="448823"/>
                                </a:moveTo>
                                <a:lnTo>
                                  <a:pt x="718198" y="448823"/>
                                </a:lnTo>
                              </a:path>
                              <a:path w="4458335" h="897890">
                                <a:moveTo>
                                  <a:pt x="828803" y="448823"/>
                                </a:moveTo>
                                <a:lnTo>
                                  <a:pt x="4458093" y="448823"/>
                                </a:lnTo>
                              </a:path>
                              <a:path w="4458335" h="897890">
                                <a:moveTo>
                                  <a:pt x="0" y="0"/>
                                </a:moveTo>
                                <a:lnTo>
                                  <a:pt x="386373" y="0"/>
                                </a:lnTo>
                              </a:path>
                              <a:path w="4458335" h="897890">
                                <a:moveTo>
                                  <a:pt x="496977"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253" name="Graphic 253"/>
                        <wps:cNvSpPr/>
                        <wps:spPr>
                          <a:xfrm>
                            <a:off x="274402" y="690835"/>
                            <a:ext cx="4458335" cy="1270"/>
                          </a:xfrm>
                          <a:custGeom>
                            <a:avLst/>
                            <a:gdLst/>
                            <a:ahLst/>
                            <a:cxnLst/>
                            <a:rect l="l" t="t" r="r" b="b"/>
                            <a:pathLst>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254" name="Graphic 254"/>
                        <wps:cNvSpPr/>
                        <wps:spPr>
                          <a:xfrm>
                            <a:off x="0" y="0"/>
                            <a:ext cx="512445" cy="358775"/>
                          </a:xfrm>
                          <a:custGeom>
                            <a:avLst/>
                            <a:gdLst/>
                            <a:ahLst/>
                            <a:cxnLst/>
                            <a:rect l="l" t="t" r="r" b="b"/>
                            <a:pathLst>
                              <a:path w="512445" h="358775">
                                <a:moveTo>
                                  <a:pt x="512178" y="0"/>
                                </a:moveTo>
                                <a:lnTo>
                                  <a:pt x="76200" y="0"/>
                                </a:lnTo>
                                <a:lnTo>
                                  <a:pt x="47213" y="3058"/>
                                </a:lnTo>
                                <a:lnTo>
                                  <a:pt x="22917" y="14506"/>
                                </a:lnTo>
                                <a:lnTo>
                                  <a:pt x="6212" y="37751"/>
                                </a:lnTo>
                                <a:lnTo>
                                  <a:pt x="0" y="76200"/>
                                </a:lnTo>
                                <a:lnTo>
                                  <a:pt x="0" y="358775"/>
                                </a:lnTo>
                                <a:lnTo>
                                  <a:pt x="512178" y="358775"/>
                                </a:lnTo>
                                <a:lnTo>
                                  <a:pt x="512178" y="0"/>
                                </a:lnTo>
                                <a:close/>
                              </a:path>
                            </a:pathLst>
                          </a:custGeom>
                          <a:solidFill>
                            <a:srgbClr val="008FDD"/>
                          </a:solidFill>
                        </wps:spPr>
                        <wps:bodyPr wrap="square" lIns="0" tIns="0" rIns="0" bIns="0" rtlCol="0">
                          <a:prstTxWarp prst="textNoShape">
                            <a:avLst/>
                          </a:prstTxWarp>
                          <a:noAutofit/>
                        </wps:bodyPr>
                      </wps:wsp>
                      <wps:wsp>
                        <wps:cNvPr id="255" name="Graphic 255"/>
                        <wps:cNvSpPr/>
                        <wps:spPr>
                          <a:xfrm>
                            <a:off x="512178" y="0"/>
                            <a:ext cx="4364355" cy="358775"/>
                          </a:xfrm>
                          <a:custGeom>
                            <a:avLst/>
                            <a:gdLst/>
                            <a:ahLst/>
                            <a:cxnLst/>
                            <a:rect l="l" t="t" r="r" b="b"/>
                            <a:pathLst>
                              <a:path w="4364355" h="358775">
                                <a:moveTo>
                                  <a:pt x="4287926" y="0"/>
                                </a:moveTo>
                                <a:lnTo>
                                  <a:pt x="0" y="0"/>
                                </a:lnTo>
                                <a:lnTo>
                                  <a:pt x="0" y="358775"/>
                                </a:lnTo>
                                <a:lnTo>
                                  <a:pt x="4364126" y="358775"/>
                                </a:lnTo>
                                <a:lnTo>
                                  <a:pt x="4364126" y="76200"/>
                                </a:lnTo>
                                <a:lnTo>
                                  <a:pt x="4358620" y="50979"/>
                                </a:lnTo>
                                <a:lnTo>
                                  <a:pt x="4343095" y="26265"/>
                                </a:lnTo>
                                <a:lnTo>
                                  <a:pt x="4319035" y="7468"/>
                                </a:lnTo>
                                <a:lnTo>
                                  <a:pt x="4287926" y="0"/>
                                </a:lnTo>
                                <a:close/>
                              </a:path>
                            </a:pathLst>
                          </a:custGeom>
                          <a:solidFill>
                            <a:srgbClr val="808285"/>
                          </a:solidFill>
                        </wps:spPr>
                        <wps:bodyPr wrap="square" lIns="0" tIns="0" rIns="0" bIns="0" rtlCol="0">
                          <a:prstTxWarp prst="textNoShape">
                            <a:avLst/>
                          </a:prstTxWarp>
                          <a:noAutofit/>
                        </wps:bodyPr>
                      </wps:wsp>
                      <wps:wsp>
                        <wps:cNvPr id="256" name="Graphic 256"/>
                        <wps:cNvSpPr/>
                        <wps:spPr>
                          <a:xfrm>
                            <a:off x="512179" y="0"/>
                            <a:ext cx="1270" cy="367665"/>
                          </a:xfrm>
                          <a:custGeom>
                            <a:avLst/>
                            <a:gdLst/>
                            <a:ahLst/>
                            <a:cxnLst/>
                            <a:rect l="l" t="t" r="r" b="b"/>
                            <a:pathLst>
                              <a:path w="0" h="367665">
                                <a:moveTo>
                                  <a:pt x="0" y="0"/>
                                </a:moveTo>
                                <a:lnTo>
                                  <a:pt x="0" y="367487"/>
                                </a:lnTo>
                              </a:path>
                            </a:pathLst>
                          </a:custGeom>
                          <a:ln w="25400">
                            <a:solidFill>
                              <a:srgbClr val="FFFFFF"/>
                            </a:solidFill>
                            <a:prstDash val="solid"/>
                          </a:ln>
                        </wps:spPr>
                        <wps:bodyPr wrap="square" lIns="0" tIns="0" rIns="0" bIns="0" rtlCol="0">
                          <a:prstTxWarp prst="textNoShape">
                            <a:avLst/>
                          </a:prstTxWarp>
                          <a:noAutofit/>
                        </wps:bodyPr>
                      </wps:wsp>
                      <wps:wsp>
                        <wps:cNvPr id="257" name="Graphic 257"/>
                        <wps:cNvSpPr/>
                        <wps:spPr>
                          <a:xfrm>
                            <a:off x="328950" y="2315578"/>
                            <a:ext cx="111125" cy="170815"/>
                          </a:xfrm>
                          <a:custGeom>
                            <a:avLst/>
                            <a:gdLst/>
                            <a:ahLst/>
                            <a:cxnLst/>
                            <a:rect l="l" t="t" r="r" b="b"/>
                            <a:pathLst>
                              <a:path w="111125" h="170815">
                                <a:moveTo>
                                  <a:pt x="110604" y="0"/>
                                </a:moveTo>
                                <a:lnTo>
                                  <a:pt x="0" y="0"/>
                                </a:lnTo>
                                <a:lnTo>
                                  <a:pt x="0" y="170548"/>
                                </a:lnTo>
                                <a:lnTo>
                                  <a:pt x="110604" y="170548"/>
                                </a:lnTo>
                                <a:lnTo>
                                  <a:pt x="110604" y="0"/>
                                </a:lnTo>
                                <a:close/>
                              </a:path>
                            </a:pathLst>
                          </a:custGeom>
                          <a:solidFill>
                            <a:srgbClr val="008FDD"/>
                          </a:solidFill>
                        </wps:spPr>
                        <wps:bodyPr wrap="square" lIns="0" tIns="0" rIns="0" bIns="0" rtlCol="0">
                          <a:prstTxWarp prst="textNoShape">
                            <a:avLst/>
                          </a:prstTxWarp>
                          <a:noAutofit/>
                        </wps:bodyPr>
                      </wps:wsp>
                      <wps:wsp>
                        <wps:cNvPr id="258" name="Graphic 258"/>
                        <wps:cNvSpPr/>
                        <wps:spPr>
                          <a:xfrm>
                            <a:off x="328950" y="2315578"/>
                            <a:ext cx="111125" cy="170815"/>
                          </a:xfrm>
                          <a:custGeom>
                            <a:avLst/>
                            <a:gdLst/>
                            <a:ahLst/>
                            <a:cxnLst/>
                            <a:rect l="l" t="t" r="r" b="b"/>
                            <a:pathLst>
                              <a:path w="111125" h="170815">
                                <a:moveTo>
                                  <a:pt x="0" y="170548"/>
                                </a:moveTo>
                                <a:lnTo>
                                  <a:pt x="110604" y="170548"/>
                                </a:lnTo>
                                <a:lnTo>
                                  <a:pt x="110604" y="0"/>
                                </a:lnTo>
                                <a:lnTo>
                                  <a:pt x="0" y="0"/>
                                </a:lnTo>
                                <a:lnTo>
                                  <a:pt x="0" y="170548"/>
                                </a:lnTo>
                                <a:close/>
                              </a:path>
                            </a:pathLst>
                          </a:custGeom>
                          <a:ln w="3175">
                            <a:solidFill>
                              <a:srgbClr val="FFFFFF"/>
                            </a:solidFill>
                            <a:prstDash val="solid"/>
                          </a:ln>
                        </wps:spPr>
                        <wps:bodyPr wrap="square" lIns="0" tIns="0" rIns="0" bIns="0" rtlCol="0">
                          <a:prstTxWarp prst="textNoShape">
                            <a:avLst/>
                          </a:prstTxWarp>
                          <a:noAutofit/>
                        </wps:bodyPr>
                      </wps:wsp>
                      <wps:wsp>
                        <wps:cNvPr id="259" name="Graphic 259"/>
                        <wps:cNvSpPr/>
                        <wps:spPr>
                          <a:xfrm>
                            <a:off x="439567" y="2243759"/>
                            <a:ext cx="111125" cy="242570"/>
                          </a:xfrm>
                          <a:custGeom>
                            <a:avLst/>
                            <a:gdLst/>
                            <a:ahLst/>
                            <a:cxnLst/>
                            <a:rect l="l" t="t" r="r" b="b"/>
                            <a:pathLst>
                              <a:path w="111125" h="242570">
                                <a:moveTo>
                                  <a:pt x="110604" y="0"/>
                                </a:moveTo>
                                <a:lnTo>
                                  <a:pt x="0" y="0"/>
                                </a:lnTo>
                                <a:lnTo>
                                  <a:pt x="0" y="242366"/>
                                </a:lnTo>
                                <a:lnTo>
                                  <a:pt x="110604" y="242366"/>
                                </a:lnTo>
                                <a:lnTo>
                                  <a:pt x="110604" y="0"/>
                                </a:lnTo>
                                <a:close/>
                              </a:path>
                            </a:pathLst>
                          </a:custGeom>
                          <a:solidFill>
                            <a:srgbClr val="008FDD"/>
                          </a:solidFill>
                        </wps:spPr>
                        <wps:bodyPr wrap="square" lIns="0" tIns="0" rIns="0" bIns="0" rtlCol="0">
                          <a:prstTxWarp prst="textNoShape">
                            <a:avLst/>
                          </a:prstTxWarp>
                          <a:noAutofit/>
                        </wps:bodyPr>
                      </wps:wsp>
                      <wps:wsp>
                        <wps:cNvPr id="260" name="Graphic 260"/>
                        <wps:cNvSpPr/>
                        <wps:spPr>
                          <a:xfrm>
                            <a:off x="439567" y="2243759"/>
                            <a:ext cx="111125" cy="242570"/>
                          </a:xfrm>
                          <a:custGeom>
                            <a:avLst/>
                            <a:gdLst/>
                            <a:ahLst/>
                            <a:cxnLst/>
                            <a:rect l="l" t="t" r="r" b="b"/>
                            <a:pathLst>
                              <a:path w="111125" h="242570">
                                <a:moveTo>
                                  <a:pt x="0" y="242366"/>
                                </a:moveTo>
                                <a:lnTo>
                                  <a:pt x="110604" y="242366"/>
                                </a:lnTo>
                                <a:lnTo>
                                  <a:pt x="110604" y="0"/>
                                </a:lnTo>
                                <a:lnTo>
                                  <a:pt x="0" y="0"/>
                                </a:lnTo>
                                <a:lnTo>
                                  <a:pt x="0" y="242366"/>
                                </a:lnTo>
                                <a:close/>
                              </a:path>
                            </a:pathLst>
                          </a:custGeom>
                          <a:ln w="3175">
                            <a:solidFill>
                              <a:srgbClr val="FFFFFF"/>
                            </a:solidFill>
                            <a:prstDash val="solid"/>
                          </a:ln>
                        </wps:spPr>
                        <wps:bodyPr wrap="square" lIns="0" tIns="0" rIns="0" bIns="0" rtlCol="0">
                          <a:prstTxWarp prst="textNoShape">
                            <a:avLst/>
                          </a:prstTxWarp>
                          <a:noAutofit/>
                        </wps:bodyPr>
                      </wps:wsp>
                      <wps:wsp>
                        <wps:cNvPr id="261" name="Graphic 261"/>
                        <wps:cNvSpPr/>
                        <wps:spPr>
                          <a:xfrm>
                            <a:off x="550171" y="2145017"/>
                            <a:ext cx="111125" cy="341630"/>
                          </a:xfrm>
                          <a:custGeom>
                            <a:avLst/>
                            <a:gdLst/>
                            <a:ahLst/>
                            <a:cxnLst/>
                            <a:rect l="l" t="t" r="r" b="b"/>
                            <a:pathLst>
                              <a:path w="111125" h="341630">
                                <a:moveTo>
                                  <a:pt x="110604" y="0"/>
                                </a:moveTo>
                                <a:lnTo>
                                  <a:pt x="0" y="0"/>
                                </a:lnTo>
                                <a:lnTo>
                                  <a:pt x="0" y="341109"/>
                                </a:lnTo>
                                <a:lnTo>
                                  <a:pt x="110604" y="341109"/>
                                </a:lnTo>
                                <a:lnTo>
                                  <a:pt x="110604" y="0"/>
                                </a:lnTo>
                                <a:close/>
                              </a:path>
                            </a:pathLst>
                          </a:custGeom>
                          <a:solidFill>
                            <a:srgbClr val="008FDD"/>
                          </a:solidFill>
                        </wps:spPr>
                        <wps:bodyPr wrap="square" lIns="0" tIns="0" rIns="0" bIns="0" rtlCol="0">
                          <a:prstTxWarp prst="textNoShape">
                            <a:avLst/>
                          </a:prstTxWarp>
                          <a:noAutofit/>
                        </wps:bodyPr>
                      </wps:wsp>
                      <wps:wsp>
                        <wps:cNvPr id="262" name="Graphic 262"/>
                        <wps:cNvSpPr/>
                        <wps:spPr>
                          <a:xfrm>
                            <a:off x="550171" y="2145017"/>
                            <a:ext cx="111125" cy="341630"/>
                          </a:xfrm>
                          <a:custGeom>
                            <a:avLst/>
                            <a:gdLst/>
                            <a:ahLst/>
                            <a:cxnLst/>
                            <a:rect l="l" t="t" r="r" b="b"/>
                            <a:pathLst>
                              <a:path w="111125" h="341630">
                                <a:moveTo>
                                  <a:pt x="0" y="341109"/>
                                </a:moveTo>
                                <a:lnTo>
                                  <a:pt x="110604" y="341109"/>
                                </a:lnTo>
                                <a:lnTo>
                                  <a:pt x="110604" y="0"/>
                                </a:lnTo>
                                <a:lnTo>
                                  <a:pt x="0" y="0"/>
                                </a:lnTo>
                                <a:lnTo>
                                  <a:pt x="0" y="341109"/>
                                </a:lnTo>
                                <a:close/>
                              </a:path>
                            </a:pathLst>
                          </a:custGeom>
                          <a:ln w="3175">
                            <a:solidFill>
                              <a:srgbClr val="FFFFFF"/>
                            </a:solidFill>
                            <a:prstDash val="solid"/>
                          </a:ln>
                        </wps:spPr>
                        <wps:bodyPr wrap="square" lIns="0" tIns="0" rIns="0" bIns="0" rtlCol="0">
                          <a:prstTxWarp prst="textNoShape">
                            <a:avLst/>
                          </a:prstTxWarp>
                          <a:noAutofit/>
                        </wps:bodyPr>
                      </wps:wsp>
                      <wps:wsp>
                        <wps:cNvPr id="263" name="Graphic 263"/>
                        <wps:cNvSpPr/>
                        <wps:spPr>
                          <a:xfrm>
                            <a:off x="660775" y="1040917"/>
                            <a:ext cx="111125" cy="1445260"/>
                          </a:xfrm>
                          <a:custGeom>
                            <a:avLst/>
                            <a:gdLst/>
                            <a:ahLst/>
                            <a:cxnLst/>
                            <a:rect l="l" t="t" r="r" b="b"/>
                            <a:pathLst>
                              <a:path w="111125" h="1445260">
                                <a:moveTo>
                                  <a:pt x="110604" y="0"/>
                                </a:moveTo>
                                <a:lnTo>
                                  <a:pt x="0" y="0"/>
                                </a:lnTo>
                                <a:lnTo>
                                  <a:pt x="0" y="1445209"/>
                                </a:lnTo>
                                <a:lnTo>
                                  <a:pt x="110604" y="1445209"/>
                                </a:lnTo>
                                <a:lnTo>
                                  <a:pt x="110604" y="0"/>
                                </a:lnTo>
                                <a:close/>
                              </a:path>
                            </a:pathLst>
                          </a:custGeom>
                          <a:solidFill>
                            <a:srgbClr val="008FDD"/>
                          </a:solidFill>
                        </wps:spPr>
                        <wps:bodyPr wrap="square" lIns="0" tIns="0" rIns="0" bIns="0" rtlCol="0">
                          <a:prstTxWarp prst="textNoShape">
                            <a:avLst/>
                          </a:prstTxWarp>
                          <a:noAutofit/>
                        </wps:bodyPr>
                      </wps:wsp>
                      <wps:wsp>
                        <wps:cNvPr id="264" name="Graphic 264"/>
                        <wps:cNvSpPr/>
                        <wps:spPr>
                          <a:xfrm>
                            <a:off x="660775" y="1040917"/>
                            <a:ext cx="111125" cy="1445260"/>
                          </a:xfrm>
                          <a:custGeom>
                            <a:avLst/>
                            <a:gdLst/>
                            <a:ahLst/>
                            <a:cxnLst/>
                            <a:rect l="l" t="t" r="r" b="b"/>
                            <a:pathLst>
                              <a:path w="111125" h="1445260">
                                <a:moveTo>
                                  <a:pt x="0" y="1445209"/>
                                </a:moveTo>
                                <a:lnTo>
                                  <a:pt x="110604" y="1445209"/>
                                </a:lnTo>
                                <a:lnTo>
                                  <a:pt x="110604" y="0"/>
                                </a:lnTo>
                                <a:lnTo>
                                  <a:pt x="0" y="0"/>
                                </a:lnTo>
                                <a:lnTo>
                                  <a:pt x="0" y="1445209"/>
                                </a:lnTo>
                                <a:close/>
                              </a:path>
                            </a:pathLst>
                          </a:custGeom>
                          <a:ln w="3174">
                            <a:solidFill>
                              <a:srgbClr val="FFFFFF"/>
                            </a:solidFill>
                            <a:prstDash val="solid"/>
                          </a:ln>
                        </wps:spPr>
                        <wps:bodyPr wrap="square" lIns="0" tIns="0" rIns="0" bIns="0" rtlCol="0">
                          <a:prstTxWarp prst="textNoShape">
                            <a:avLst/>
                          </a:prstTxWarp>
                          <a:noAutofit/>
                        </wps:bodyPr>
                      </wps:wsp>
                      <wps:wsp>
                        <wps:cNvPr id="265" name="Graphic 265"/>
                        <wps:cNvSpPr/>
                        <wps:spPr>
                          <a:xfrm>
                            <a:off x="771392" y="1382026"/>
                            <a:ext cx="111125" cy="1104265"/>
                          </a:xfrm>
                          <a:custGeom>
                            <a:avLst/>
                            <a:gdLst/>
                            <a:ahLst/>
                            <a:cxnLst/>
                            <a:rect l="l" t="t" r="r" b="b"/>
                            <a:pathLst>
                              <a:path w="111125" h="1104265">
                                <a:moveTo>
                                  <a:pt x="110604" y="0"/>
                                </a:moveTo>
                                <a:lnTo>
                                  <a:pt x="0" y="0"/>
                                </a:lnTo>
                                <a:lnTo>
                                  <a:pt x="0" y="1104099"/>
                                </a:lnTo>
                                <a:lnTo>
                                  <a:pt x="110604" y="1104099"/>
                                </a:lnTo>
                                <a:lnTo>
                                  <a:pt x="110604" y="0"/>
                                </a:lnTo>
                                <a:close/>
                              </a:path>
                            </a:pathLst>
                          </a:custGeom>
                          <a:solidFill>
                            <a:srgbClr val="008FDD"/>
                          </a:solidFill>
                        </wps:spPr>
                        <wps:bodyPr wrap="square" lIns="0" tIns="0" rIns="0" bIns="0" rtlCol="0">
                          <a:prstTxWarp prst="textNoShape">
                            <a:avLst/>
                          </a:prstTxWarp>
                          <a:noAutofit/>
                        </wps:bodyPr>
                      </wps:wsp>
                      <wps:wsp>
                        <wps:cNvPr id="266" name="Graphic 266"/>
                        <wps:cNvSpPr/>
                        <wps:spPr>
                          <a:xfrm>
                            <a:off x="771394" y="1382026"/>
                            <a:ext cx="111125" cy="1104265"/>
                          </a:xfrm>
                          <a:custGeom>
                            <a:avLst/>
                            <a:gdLst/>
                            <a:ahLst/>
                            <a:cxnLst/>
                            <a:rect l="l" t="t" r="r" b="b"/>
                            <a:pathLst>
                              <a:path w="111125" h="1104265">
                                <a:moveTo>
                                  <a:pt x="0" y="1104099"/>
                                </a:moveTo>
                                <a:lnTo>
                                  <a:pt x="110604" y="1104099"/>
                                </a:lnTo>
                                <a:lnTo>
                                  <a:pt x="110604" y="0"/>
                                </a:lnTo>
                                <a:lnTo>
                                  <a:pt x="0" y="0"/>
                                </a:lnTo>
                                <a:lnTo>
                                  <a:pt x="0" y="1104099"/>
                                </a:lnTo>
                                <a:close/>
                              </a:path>
                            </a:pathLst>
                          </a:custGeom>
                          <a:ln w="3175">
                            <a:solidFill>
                              <a:srgbClr val="FFFFFF"/>
                            </a:solidFill>
                            <a:prstDash val="solid"/>
                          </a:ln>
                        </wps:spPr>
                        <wps:bodyPr wrap="square" lIns="0" tIns="0" rIns="0" bIns="0" rtlCol="0">
                          <a:prstTxWarp prst="textNoShape">
                            <a:avLst/>
                          </a:prstTxWarp>
                          <a:noAutofit/>
                        </wps:bodyPr>
                      </wps:wsp>
                      <wps:wsp>
                        <wps:cNvPr id="267" name="Graphic 267"/>
                        <wps:cNvSpPr/>
                        <wps:spPr>
                          <a:xfrm>
                            <a:off x="881997" y="1839823"/>
                            <a:ext cx="111125" cy="646430"/>
                          </a:xfrm>
                          <a:custGeom>
                            <a:avLst/>
                            <a:gdLst/>
                            <a:ahLst/>
                            <a:cxnLst/>
                            <a:rect l="l" t="t" r="r" b="b"/>
                            <a:pathLst>
                              <a:path w="111125" h="646430">
                                <a:moveTo>
                                  <a:pt x="110604" y="0"/>
                                </a:moveTo>
                                <a:lnTo>
                                  <a:pt x="0" y="0"/>
                                </a:lnTo>
                                <a:lnTo>
                                  <a:pt x="0" y="646303"/>
                                </a:lnTo>
                                <a:lnTo>
                                  <a:pt x="110604" y="646303"/>
                                </a:lnTo>
                                <a:lnTo>
                                  <a:pt x="110604" y="0"/>
                                </a:lnTo>
                                <a:close/>
                              </a:path>
                            </a:pathLst>
                          </a:custGeom>
                          <a:solidFill>
                            <a:srgbClr val="008FDD"/>
                          </a:solidFill>
                        </wps:spPr>
                        <wps:bodyPr wrap="square" lIns="0" tIns="0" rIns="0" bIns="0" rtlCol="0">
                          <a:prstTxWarp prst="textNoShape">
                            <a:avLst/>
                          </a:prstTxWarp>
                          <a:noAutofit/>
                        </wps:bodyPr>
                      </wps:wsp>
                      <wps:wsp>
                        <wps:cNvPr id="268" name="Graphic 268"/>
                        <wps:cNvSpPr/>
                        <wps:spPr>
                          <a:xfrm>
                            <a:off x="881998" y="1839823"/>
                            <a:ext cx="111125" cy="646430"/>
                          </a:xfrm>
                          <a:custGeom>
                            <a:avLst/>
                            <a:gdLst/>
                            <a:ahLst/>
                            <a:cxnLst/>
                            <a:rect l="l" t="t" r="r" b="b"/>
                            <a:pathLst>
                              <a:path w="111125" h="646430">
                                <a:moveTo>
                                  <a:pt x="0" y="646303"/>
                                </a:moveTo>
                                <a:lnTo>
                                  <a:pt x="110604" y="646303"/>
                                </a:lnTo>
                                <a:lnTo>
                                  <a:pt x="110604" y="0"/>
                                </a:lnTo>
                                <a:lnTo>
                                  <a:pt x="0" y="0"/>
                                </a:lnTo>
                                <a:lnTo>
                                  <a:pt x="0" y="646303"/>
                                </a:lnTo>
                                <a:close/>
                              </a:path>
                            </a:pathLst>
                          </a:custGeom>
                          <a:ln w="3175">
                            <a:solidFill>
                              <a:srgbClr val="FFFFFF"/>
                            </a:solidFill>
                            <a:prstDash val="solid"/>
                          </a:ln>
                        </wps:spPr>
                        <wps:bodyPr wrap="square" lIns="0" tIns="0" rIns="0" bIns="0" rtlCol="0">
                          <a:prstTxWarp prst="textNoShape">
                            <a:avLst/>
                          </a:prstTxWarp>
                          <a:noAutofit/>
                        </wps:bodyPr>
                      </wps:wsp>
                      <wps:wsp>
                        <wps:cNvPr id="269" name="Graphic 269"/>
                        <wps:cNvSpPr/>
                        <wps:spPr>
                          <a:xfrm>
                            <a:off x="992601" y="1579511"/>
                            <a:ext cx="111125" cy="906780"/>
                          </a:xfrm>
                          <a:custGeom>
                            <a:avLst/>
                            <a:gdLst/>
                            <a:ahLst/>
                            <a:cxnLst/>
                            <a:rect l="l" t="t" r="r" b="b"/>
                            <a:pathLst>
                              <a:path w="111125" h="906780">
                                <a:moveTo>
                                  <a:pt x="110604" y="0"/>
                                </a:moveTo>
                                <a:lnTo>
                                  <a:pt x="0" y="0"/>
                                </a:lnTo>
                                <a:lnTo>
                                  <a:pt x="0" y="906614"/>
                                </a:lnTo>
                                <a:lnTo>
                                  <a:pt x="110604" y="906614"/>
                                </a:lnTo>
                                <a:lnTo>
                                  <a:pt x="110604" y="0"/>
                                </a:lnTo>
                                <a:close/>
                              </a:path>
                            </a:pathLst>
                          </a:custGeom>
                          <a:solidFill>
                            <a:srgbClr val="008FDD"/>
                          </a:solidFill>
                        </wps:spPr>
                        <wps:bodyPr wrap="square" lIns="0" tIns="0" rIns="0" bIns="0" rtlCol="0">
                          <a:prstTxWarp prst="textNoShape">
                            <a:avLst/>
                          </a:prstTxWarp>
                          <a:noAutofit/>
                        </wps:bodyPr>
                      </wps:wsp>
                      <wps:wsp>
                        <wps:cNvPr id="270" name="Graphic 270"/>
                        <wps:cNvSpPr/>
                        <wps:spPr>
                          <a:xfrm>
                            <a:off x="992602" y="1579511"/>
                            <a:ext cx="111125" cy="906780"/>
                          </a:xfrm>
                          <a:custGeom>
                            <a:avLst/>
                            <a:gdLst/>
                            <a:ahLst/>
                            <a:cxnLst/>
                            <a:rect l="l" t="t" r="r" b="b"/>
                            <a:pathLst>
                              <a:path w="111125" h="906780">
                                <a:moveTo>
                                  <a:pt x="0" y="906614"/>
                                </a:moveTo>
                                <a:lnTo>
                                  <a:pt x="110604" y="906614"/>
                                </a:lnTo>
                                <a:lnTo>
                                  <a:pt x="110604" y="0"/>
                                </a:lnTo>
                                <a:lnTo>
                                  <a:pt x="0" y="0"/>
                                </a:lnTo>
                                <a:lnTo>
                                  <a:pt x="0" y="906614"/>
                                </a:lnTo>
                                <a:close/>
                              </a:path>
                            </a:pathLst>
                          </a:custGeom>
                          <a:ln w="3175">
                            <a:solidFill>
                              <a:srgbClr val="FFFFFF"/>
                            </a:solidFill>
                            <a:prstDash val="solid"/>
                          </a:ln>
                        </wps:spPr>
                        <wps:bodyPr wrap="square" lIns="0" tIns="0" rIns="0" bIns="0" rtlCol="0">
                          <a:prstTxWarp prst="textNoShape">
                            <a:avLst/>
                          </a:prstTxWarp>
                          <a:noAutofit/>
                        </wps:bodyPr>
                      </wps:wsp>
                      <wps:wsp>
                        <wps:cNvPr id="271" name="Graphic 271"/>
                        <wps:cNvSpPr/>
                        <wps:spPr>
                          <a:xfrm>
                            <a:off x="1103218" y="1830844"/>
                            <a:ext cx="111125" cy="655320"/>
                          </a:xfrm>
                          <a:custGeom>
                            <a:avLst/>
                            <a:gdLst/>
                            <a:ahLst/>
                            <a:cxnLst/>
                            <a:rect l="l" t="t" r="r" b="b"/>
                            <a:pathLst>
                              <a:path w="111125" h="655320">
                                <a:moveTo>
                                  <a:pt x="110604" y="0"/>
                                </a:moveTo>
                                <a:lnTo>
                                  <a:pt x="0" y="0"/>
                                </a:lnTo>
                                <a:lnTo>
                                  <a:pt x="0" y="655281"/>
                                </a:lnTo>
                                <a:lnTo>
                                  <a:pt x="110604" y="655281"/>
                                </a:lnTo>
                                <a:lnTo>
                                  <a:pt x="110604" y="0"/>
                                </a:lnTo>
                                <a:close/>
                              </a:path>
                            </a:pathLst>
                          </a:custGeom>
                          <a:solidFill>
                            <a:srgbClr val="008FDD"/>
                          </a:solidFill>
                        </wps:spPr>
                        <wps:bodyPr wrap="square" lIns="0" tIns="0" rIns="0" bIns="0" rtlCol="0">
                          <a:prstTxWarp prst="textNoShape">
                            <a:avLst/>
                          </a:prstTxWarp>
                          <a:noAutofit/>
                        </wps:bodyPr>
                      </wps:wsp>
                      <wps:wsp>
                        <wps:cNvPr id="272" name="Graphic 272"/>
                        <wps:cNvSpPr/>
                        <wps:spPr>
                          <a:xfrm>
                            <a:off x="1103218" y="1830844"/>
                            <a:ext cx="111125" cy="655320"/>
                          </a:xfrm>
                          <a:custGeom>
                            <a:avLst/>
                            <a:gdLst/>
                            <a:ahLst/>
                            <a:cxnLst/>
                            <a:rect l="l" t="t" r="r" b="b"/>
                            <a:pathLst>
                              <a:path w="111125" h="655320">
                                <a:moveTo>
                                  <a:pt x="0" y="655281"/>
                                </a:moveTo>
                                <a:lnTo>
                                  <a:pt x="110604" y="655281"/>
                                </a:lnTo>
                                <a:lnTo>
                                  <a:pt x="110604" y="0"/>
                                </a:lnTo>
                                <a:lnTo>
                                  <a:pt x="0" y="0"/>
                                </a:lnTo>
                                <a:lnTo>
                                  <a:pt x="0" y="655281"/>
                                </a:lnTo>
                                <a:close/>
                              </a:path>
                            </a:pathLst>
                          </a:custGeom>
                          <a:ln w="3175">
                            <a:solidFill>
                              <a:srgbClr val="FFFFFF"/>
                            </a:solidFill>
                            <a:prstDash val="solid"/>
                          </a:ln>
                        </wps:spPr>
                        <wps:bodyPr wrap="square" lIns="0" tIns="0" rIns="0" bIns="0" rtlCol="0">
                          <a:prstTxWarp prst="textNoShape">
                            <a:avLst/>
                          </a:prstTxWarp>
                          <a:noAutofit/>
                        </wps:bodyPr>
                      </wps:wsp>
                      <wps:wsp>
                        <wps:cNvPr id="273" name="Graphic 273"/>
                        <wps:cNvSpPr/>
                        <wps:spPr>
                          <a:xfrm>
                            <a:off x="1213822" y="1821865"/>
                            <a:ext cx="111125" cy="664845"/>
                          </a:xfrm>
                          <a:custGeom>
                            <a:avLst/>
                            <a:gdLst/>
                            <a:ahLst/>
                            <a:cxnLst/>
                            <a:rect l="l" t="t" r="r" b="b"/>
                            <a:pathLst>
                              <a:path w="111125" h="664845">
                                <a:moveTo>
                                  <a:pt x="110604" y="0"/>
                                </a:moveTo>
                                <a:lnTo>
                                  <a:pt x="0" y="0"/>
                                </a:lnTo>
                                <a:lnTo>
                                  <a:pt x="0" y="664260"/>
                                </a:lnTo>
                                <a:lnTo>
                                  <a:pt x="110604" y="664260"/>
                                </a:lnTo>
                                <a:lnTo>
                                  <a:pt x="110604" y="0"/>
                                </a:lnTo>
                                <a:close/>
                              </a:path>
                            </a:pathLst>
                          </a:custGeom>
                          <a:solidFill>
                            <a:srgbClr val="008FDD"/>
                          </a:solidFill>
                        </wps:spPr>
                        <wps:bodyPr wrap="square" lIns="0" tIns="0" rIns="0" bIns="0" rtlCol="0">
                          <a:prstTxWarp prst="textNoShape">
                            <a:avLst/>
                          </a:prstTxWarp>
                          <a:noAutofit/>
                        </wps:bodyPr>
                      </wps:wsp>
                      <wps:wsp>
                        <wps:cNvPr id="274" name="Graphic 274"/>
                        <wps:cNvSpPr/>
                        <wps:spPr>
                          <a:xfrm>
                            <a:off x="1213824" y="1821865"/>
                            <a:ext cx="111125" cy="664845"/>
                          </a:xfrm>
                          <a:custGeom>
                            <a:avLst/>
                            <a:gdLst/>
                            <a:ahLst/>
                            <a:cxnLst/>
                            <a:rect l="l" t="t" r="r" b="b"/>
                            <a:pathLst>
                              <a:path w="111125" h="664845">
                                <a:moveTo>
                                  <a:pt x="0" y="664260"/>
                                </a:moveTo>
                                <a:lnTo>
                                  <a:pt x="110604" y="664260"/>
                                </a:lnTo>
                                <a:lnTo>
                                  <a:pt x="110604" y="0"/>
                                </a:lnTo>
                                <a:lnTo>
                                  <a:pt x="0" y="0"/>
                                </a:lnTo>
                                <a:lnTo>
                                  <a:pt x="0" y="664260"/>
                                </a:lnTo>
                                <a:close/>
                              </a:path>
                            </a:pathLst>
                          </a:custGeom>
                          <a:ln w="3175">
                            <a:solidFill>
                              <a:srgbClr val="FFFFFF"/>
                            </a:solidFill>
                            <a:prstDash val="solid"/>
                          </a:ln>
                        </wps:spPr>
                        <wps:bodyPr wrap="square" lIns="0" tIns="0" rIns="0" bIns="0" rtlCol="0">
                          <a:prstTxWarp prst="textNoShape">
                            <a:avLst/>
                          </a:prstTxWarp>
                          <a:noAutofit/>
                        </wps:bodyPr>
                      </wps:wsp>
                      <wps:wsp>
                        <wps:cNvPr id="275" name="Graphic 275"/>
                        <wps:cNvSpPr/>
                        <wps:spPr>
                          <a:xfrm>
                            <a:off x="1324427" y="1965490"/>
                            <a:ext cx="111125" cy="520700"/>
                          </a:xfrm>
                          <a:custGeom>
                            <a:avLst/>
                            <a:gdLst/>
                            <a:ahLst/>
                            <a:cxnLst/>
                            <a:rect l="l" t="t" r="r" b="b"/>
                            <a:pathLst>
                              <a:path w="111125" h="520700">
                                <a:moveTo>
                                  <a:pt x="110604" y="0"/>
                                </a:moveTo>
                                <a:lnTo>
                                  <a:pt x="0" y="0"/>
                                </a:lnTo>
                                <a:lnTo>
                                  <a:pt x="0" y="520636"/>
                                </a:lnTo>
                                <a:lnTo>
                                  <a:pt x="110604" y="520636"/>
                                </a:lnTo>
                                <a:lnTo>
                                  <a:pt x="110604" y="0"/>
                                </a:lnTo>
                                <a:close/>
                              </a:path>
                            </a:pathLst>
                          </a:custGeom>
                          <a:solidFill>
                            <a:srgbClr val="008FDD"/>
                          </a:solidFill>
                        </wps:spPr>
                        <wps:bodyPr wrap="square" lIns="0" tIns="0" rIns="0" bIns="0" rtlCol="0">
                          <a:prstTxWarp prst="textNoShape">
                            <a:avLst/>
                          </a:prstTxWarp>
                          <a:noAutofit/>
                        </wps:bodyPr>
                      </wps:wsp>
                      <wps:wsp>
                        <wps:cNvPr id="276" name="Graphic 276"/>
                        <wps:cNvSpPr/>
                        <wps:spPr>
                          <a:xfrm>
                            <a:off x="1324427" y="1965490"/>
                            <a:ext cx="111125" cy="520700"/>
                          </a:xfrm>
                          <a:custGeom>
                            <a:avLst/>
                            <a:gdLst/>
                            <a:ahLst/>
                            <a:cxnLst/>
                            <a:rect l="l" t="t" r="r" b="b"/>
                            <a:pathLst>
                              <a:path w="111125" h="520700">
                                <a:moveTo>
                                  <a:pt x="0" y="520636"/>
                                </a:moveTo>
                                <a:lnTo>
                                  <a:pt x="110604" y="520636"/>
                                </a:lnTo>
                                <a:lnTo>
                                  <a:pt x="110604" y="0"/>
                                </a:lnTo>
                                <a:lnTo>
                                  <a:pt x="0" y="0"/>
                                </a:lnTo>
                                <a:lnTo>
                                  <a:pt x="0" y="520636"/>
                                </a:lnTo>
                                <a:close/>
                              </a:path>
                            </a:pathLst>
                          </a:custGeom>
                          <a:ln w="3175">
                            <a:solidFill>
                              <a:srgbClr val="FFFFFF"/>
                            </a:solidFill>
                            <a:prstDash val="solid"/>
                          </a:ln>
                        </wps:spPr>
                        <wps:bodyPr wrap="square" lIns="0" tIns="0" rIns="0" bIns="0" rtlCol="0">
                          <a:prstTxWarp prst="textNoShape">
                            <a:avLst/>
                          </a:prstTxWarp>
                          <a:noAutofit/>
                        </wps:bodyPr>
                      </wps:wsp>
                      <wps:wsp>
                        <wps:cNvPr id="277" name="Graphic 277"/>
                        <wps:cNvSpPr/>
                        <wps:spPr>
                          <a:xfrm>
                            <a:off x="1435044" y="2252738"/>
                            <a:ext cx="111125" cy="233679"/>
                          </a:xfrm>
                          <a:custGeom>
                            <a:avLst/>
                            <a:gdLst/>
                            <a:ahLst/>
                            <a:cxnLst/>
                            <a:rect l="l" t="t" r="r" b="b"/>
                            <a:pathLst>
                              <a:path w="111125" h="233679">
                                <a:moveTo>
                                  <a:pt x="110604" y="0"/>
                                </a:moveTo>
                                <a:lnTo>
                                  <a:pt x="0" y="0"/>
                                </a:lnTo>
                                <a:lnTo>
                                  <a:pt x="0" y="233387"/>
                                </a:lnTo>
                                <a:lnTo>
                                  <a:pt x="110604" y="233387"/>
                                </a:lnTo>
                                <a:lnTo>
                                  <a:pt x="110604" y="0"/>
                                </a:lnTo>
                                <a:close/>
                              </a:path>
                            </a:pathLst>
                          </a:custGeom>
                          <a:solidFill>
                            <a:srgbClr val="008FDD"/>
                          </a:solidFill>
                        </wps:spPr>
                        <wps:bodyPr wrap="square" lIns="0" tIns="0" rIns="0" bIns="0" rtlCol="0">
                          <a:prstTxWarp prst="textNoShape">
                            <a:avLst/>
                          </a:prstTxWarp>
                          <a:noAutofit/>
                        </wps:bodyPr>
                      </wps:wsp>
                      <wps:wsp>
                        <wps:cNvPr id="278" name="Graphic 278"/>
                        <wps:cNvSpPr/>
                        <wps:spPr>
                          <a:xfrm>
                            <a:off x="1435044" y="2252738"/>
                            <a:ext cx="111125" cy="233679"/>
                          </a:xfrm>
                          <a:custGeom>
                            <a:avLst/>
                            <a:gdLst/>
                            <a:ahLst/>
                            <a:cxnLst/>
                            <a:rect l="l" t="t" r="r" b="b"/>
                            <a:pathLst>
                              <a:path w="111125" h="233679">
                                <a:moveTo>
                                  <a:pt x="0" y="233387"/>
                                </a:moveTo>
                                <a:lnTo>
                                  <a:pt x="110604" y="233387"/>
                                </a:lnTo>
                                <a:lnTo>
                                  <a:pt x="110604" y="0"/>
                                </a:lnTo>
                                <a:lnTo>
                                  <a:pt x="0" y="0"/>
                                </a:lnTo>
                                <a:lnTo>
                                  <a:pt x="0" y="233387"/>
                                </a:lnTo>
                                <a:close/>
                              </a:path>
                            </a:pathLst>
                          </a:custGeom>
                          <a:ln w="3175">
                            <a:solidFill>
                              <a:srgbClr val="FFFFFF"/>
                            </a:solidFill>
                            <a:prstDash val="solid"/>
                          </a:ln>
                        </wps:spPr>
                        <wps:bodyPr wrap="square" lIns="0" tIns="0" rIns="0" bIns="0" rtlCol="0">
                          <a:prstTxWarp prst="textNoShape">
                            <a:avLst/>
                          </a:prstTxWarp>
                          <a:noAutofit/>
                        </wps:bodyPr>
                      </wps:wsp>
                      <wps:wsp>
                        <wps:cNvPr id="279" name="Graphic 279"/>
                        <wps:cNvSpPr/>
                        <wps:spPr>
                          <a:xfrm>
                            <a:off x="1545648" y="2136051"/>
                            <a:ext cx="111125" cy="350520"/>
                          </a:xfrm>
                          <a:custGeom>
                            <a:avLst/>
                            <a:gdLst/>
                            <a:ahLst/>
                            <a:cxnLst/>
                            <a:rect l="l" t="t" r="r" b="b"/>
                            <a:pathLst>
                              <a:path w="111125" h="350520">
                                <a:moveTo>
                                  <a:pt x="110604" y="0"/>
                                </a:moveTo>
                                <a:lnTo>
                                  <a:pt x="0" y="0"/>
                                </a:lnTo>
                                <a:lnTo>
                                  <a:pt x="0" y="350075"/>
                                </a:lnTo>
                                <a:lnTo>
                                  <a:pt x="110604" y="350075"/>
                                </a:lnTo>
                                <a:lnTo>
                                  <a:pt x="110604" y="0"/>
                                </a:lnTo>
                                <a:close/>
                              </a:path>
                            </a:pathLst>
                          </a:custGeom>
                          <a:solidFill>
                            <a:srgbClr val="008FDD"/>
                          </a:solidFill>
                        </wps:spPr>
                        <wps:bodyPr wrap="square" lIns="0" tIns="0" rIns="0" bIns="0" rtlCol="0">
                          <a:prstTxWarp prst="textNoShape">
                            <a:avLst/>
                          </a:prstTxWarp>
                          <a:noAutofit/>
                        </wps:bodyPr>
                      </wps:wsp>
                      <wps:wsp>
                        <wps:cNvPr id="280" name="Graphic 280"/>
                        <wps:cNvSpPr/>
                        <wps:spPr>
                          <a:xfrm>
                            <a:off x="1545648" y="2136051"/>
                            <a:ext cx="111125" cy="350520"/>
                          </a:xfrm>
                          <a:custGeom>
                            <a:avLst/>
                            <a:gdLst/>
                            <a:ahLst/>
                            <a:cxnLst/>
                            <a:rect l="l" t="t" r="r" b="b"/>
                            <a:pathLst>
                              <a:path w="111125" h="350520">
                                <a:moveTo>
                                  <a:pt x="0" y="350075"/>
                                </a:moveTo>
                                <a:lnTo>
                                  <a:pt x="110604" y="350075"/>
                                </a:lnTo>
                                <a:lnTo>
                                  <a:pt x="110604" y="0"/>
                                </a:lnTo>
                                <a:lnTo>
                                  <a:pt x="0" y="0"/>
                                </a:lnTo>
                                <a:lnTo>
                                  <a:pt x="0" y="350075"/>
                                </a:lnTo>
                                <a:close/>
                              </a:path>
                            </a:pathLst>
                          </a:custGeom>
                          <a:ln w="3175">
                            <a:solidFill>
                              <a:srgbClr val="FFFFFF"/>
                            </a:solidFill>
                            <a:prstDash val="solid"/>
                          </a:ln>
                        </wps:spPr>
                        <wps:bodyPr wrap="square" lIns="0" tIns="0" rIns="0" bIns="0" rtlCol="0">
                          <a:prstTxWarp prst="textNoShape">
                            <a:avLst/>
                          </a:prstTxWarp>
                          <a:noAutofit/>
                        </wps:bodyPr>
                      </wps:wsp>
                      <wps:wsp>
                        <wps:cNvPr id="281" name="Graphic 281"/>
                        <wps:cNvSpPr/>
                        <wps:spPr>
                          <a:xfrm>
                            <a:off x="1656252" y="2252738"/>
                            <a:ext cx="111125" cy="233679"/>
                          </a:xfrm>
                          <a:custGeom>
                            <a:avLst/>
                            <a:gdLst/>
                            <a:ahLst/>
                            <a:cxnLst/>
                            <a:rect l="l" t="t" r="r" b="b"/>
                            <a:pathLst>
                              <a:path w="111125" h="233679">
                                <a:moveTo>
                                  <a:pt x="110604" y="0"/>
                                </a:moveTo>
                                <a:lnTo>
                                  <a:pt x="0" y="0"/>
                                </a:lnTo>
                                <a:lnTo>
                                  <a:pt x="0" y="233387"/>
                                </a:lnTo>
                                <a:lnTo>
                                  <a:pt x="110604" y="233387"/>
                                </a:lnTo>
                                <a:lnTo>
                                  <a:pt x="110604" y="0"/>
                                </a:lnTo>
                                <a:close/>
                              </a:path>
                            </a:pathLst>
                          </a:custGeom>
                          <a:solidFill>
                            <a:srgbClr val="008FDD"/>
                          </a:solidFill>
                        </wps:spPr>
                        <wps:bodyPr wrap="square" lIns="0" tIns="0" rIns="0" bIns="0" rtlCol="0">
                          <a:prstTxWarp prst="textNoShape">
                            <a:avLst/>
                          </a:prstTxWarp>
                          <a:noAutofit/>
                        </wps:bodyPr>
                      </wps:wsp>
                      <wps:wsp>
                        <wps:cNvPr id="282" name="Graphic 282"/>
                        <wps:cNvSpPr/>
                        <wps:spPr>
                          <a:xfrm>
                            <a:off x="1656252" y="2252738"/>
                            <a:ext cx="111125" cy="233679"/>
                          </a:xfrm>
                          <a:custGeom>
                            <a:avLst/>
                            <a:gdLst/>
                            <a:ahLst/>
                            <a:cxnLst/>
                            <a:rect l="l" t="t" r="r" b="b"/>
                            <a:pathLst>
                              <a:path w="111125" h="233679">
                                <a:moveTo>
                                  <a:pt x="0" y="233387"/>
                                </a:moveTo>
                                <a:lnTo>
                                  <a:pt x="110604" y="233387"/>
                                </a:lnTo>
                                <a:lnTo>
                                  <a:pt x="110604" y="0"/>
                                </a:lnTo>
                                <a:lnTo>
                                  <a:pt x="0" y="0"/>
                                </a:lnTo>
                                <a:lnTo>
                                  <a:pt x="0" y="233387"/>
                                </a:lnTo>
                                <a:close/>
                              </a:path>
                            </a:pathLst>
                          </a:custGeom>
                          <a:ln w="3175">
                            <a:solidFill>
                              <a:srgbClr val="FFFFFF"/>
                            </a:solidFill>
                            <a:prstDash val="solid"/>
                          </a:ln>
                        </wps:spPr>
                        <wps:bodyPr wrap="square" lIns="0" tIns="0" rIns="0" bIns="0" rtlCol="0">
                          <a:prstTxWarp prst="textNoShape">
                            <a:avLst/>
                          </a:prstTxWarp>
                          <a:noAutofit/>
                        </wps:bodyPr>
                      </wps:wsp>
                      <wps:wsp>
                        <wps:cNvPr id="283" name="Graphic 283"/>
                        <wps:cNvSpPr/>
                        <wps:spPr>
                          <a:xfrm>
                            <a:off x="1766869" y="2279662"/>
                            <a:ext cx="111125" cy="207010"/>
                          </a:xfrm>
                          <a:custGeom>
                            <a:avLst/>
                            <a:gdLst/>
                            <a:ahLst/>
                            <a:cxnLst/>
                            <a:rect l="l" t="t" r="r" b="b"/>
                            <a:pathLst>
                              <a:path w="111125" h="207010">
                                <a:moveTo>
                                  <a:pt x="110604" y="0"/>
                                </a:moveTo>
                                <a:lnTo>
                                  <a:pt x="0" y="0"/>
                                </a:lnTo>
                                <a:lnTo>
                                  <a:pt x="0" y="206463"/>
                                </a:lnTo>
                                <a:lnTo>
                                  <a:pt x="110604" y="206463"/>
                                </a:lnTo>
                                <a:lnTo>
                                  <a:pt x="110604" y="0"/>
                                </a:lnTo>
                                <a:close/>
                              </a:path>
                            </a:pathLst>
                          </a:custGeom>
                          <a:solidFill>
                            <a:srgbClr val="008FDD"/>
                          </a:solidFill>
                        </wps:spPr>
                        <wps:bodyPr wrap="square" lIns="0" tIns="0" rIns="0" bIns="0" rtlCol="0">
                          <a:prstTxWarp prst="textNoShape">
                            <a:avLst/>
                          </a:prstTxWarp>
                          <a:noAutofit/>
                        </wps:bodyPr>
                      </wps:wsp>
                      <wps:wsp>
                        <wps:cNvPr id="284" name="Graphic 284"/>
                        <wps:cNvSpPr/>
                        <wps:spPr>
                          <a:xfrm>
                            <a:off x="1766871" y="2279662"/>
                            <a:ext cx="111125" cy="207010"/>
                          </a:xfrm>
                          <a:custGeom>
                            <a:avLst/>
                            <a:gdLst/>
                            <a:ahLst/>
                            <a:cxnLst/>
                            <a:rect l="l" t="t" r="r" b="b"/>
                            <a:pathLst>
                              <a:path w="111125" h="207010">
                                <a:moveTo>
                                  <a:pt x="0" y="206463"/>
                                </a:moveTo>
                                <a:lnTo>
                                  <a:pt x="110604" y="206463"/>
                                </a:lnTo>
                                <a:lnTo>
                                  <a:pt x="110604" y="0"/>
                                </a:lnTo>
                                <a:lnTo>
                                  <a:pt x="0" y="0"/>
                                </a:lnTo>
                                <a:lnTo>
                                  <a:pt x="0" y="206463"/>
                                </a:lnTo>
                                <a:close/>
                              </a:path>
                            </a:pathLst>
                          </a:custGeom>
                          <a:ln w="3175">
                            <a:solidFill>
                              <a:srgbClr val="FFFFFF"/>
                            </a:solidFill>
                            <a:prstDash val="solid"/>
                          </a:ln>
                        </wps:spPr>
                        <wps:bodyPr wrap="square" lIns="0" tIns="0" rIns="0" bIns="0" rtlCol="0">
                          <a:prstTxWarp prst="textNoShape">
                            <a:avLst/>
                          </a:prstTxWarp>
                          <a:noAutofit/>
                        </wps:bodyPr>
                      </wps:wsp>
                      <wps:wsp>
                        <wps:cNvPr id="285" name="Graphic 285"/>
                        <wps:cNvSpPr/>
                        <wps:spPr>
                          <a:xfrm>
                            <a:off x="1877473" y="2360460"/>
                            <a:ext cx="111125" cy="125730"/>
                          </a:xfrm>
                          <a:custGeom>
                            <a:avLst/>
                            <a:gdLst/>
                            <a:ahLst/>
                            <a:cxnLst/>
                            <a:rect l="l" t="t" r="r" b="b"/>
                            <a:pathLst>
                              <a:path w="111125" h="125730">
                                <a:moveTo>
                                  <a:pt x="110604" y="0"/>
                                </a:moveTo>
                                <a:lnTo>
                                  <a:pt x="0" y="0"/>
                                </a:lnTo>
                                <a:lnTo>
                                  <a:pt x="0" y="125666"/>
                                </a:lnTo>
                                <a:lnTo>
                                  <a:pt x="110604" y="125666"/>
                                </a:lnTo>
                                <a:lnTo>
                                  <a:pt x="110604" y="0"/>
                                </a:lnTo>
                                <a:close/>
                              </a:path>
                            </a:pathLst>
                          </a:custGeom>
                          <a:solidFill>
                            <a:srgbClr val="008FDD"/>
                          </a:solidFill>
                        </wps:spPr>
                        <wps:bodyPr wrap="square" lIns="0" tIns="0" rIns="0" bIns="0" rtlCol="0">
                          <a:prstTxWarp prst="textNoShape">
                            <a:avLst/>
                          </a:prstTxWarp>
                          <a:noAutofit/>
                        </wps:bodyPr>
                      </wps:wsp>
                      <wps:wsp>
                        <wps:cNvPr id="286" name="Graphic 286"/>
                        <wps:cNvSpPr/>
                        <wps:spPr>
                          <a:xfrm>
                            <a:off x="1877473" y="2360460"/>
                            <a:ext cx="111125" cy="125730"/>
                          </a:xfrm>
                          <a:custGeom>
                            <a:avLst/>
                            <a:gdLst/>
                            <a:ahLst/>
                            <a:cxnLst/>
                            <a:rect l="l" t="t" r="r" b="b"/>
                            <a:pathLst>
                              <a:path w="111125" h="125730">
                                <a:moveTo>
                                  <a:pt x="0" y="125666"/>
                                </a:moveTo>
                                <a:lnTo>
                                  <a:pt x="110604" y="125666"/>
                                </a:lnTo>
                                <a:lnTo>
                                  <a:pt x="110604" y="0"/>
                                </a:lnTo>
                                <a:lnTo>
                                  <a:pt x="0" y="0"/>
                                </a:lnTo>
                                <a:lnTo>
                                  <a:pt x="0" y="125666"/>
                                </a:lnTo>
                                <a:close/>
                              </a:path>
                            </a:pathLst>
                          </a:custGeom>
                          <a:ln w="3175">
                            <a:solidFill>
                              <a:srgbClr val="FFFFFF"/>
                            </a:solidFill>
                            <a:prstDash val="solid"/>
                          </a:ln>
                        </wps:spPr>
                        <wps:bodyPr wrap="square" lIns="0" tIns="0" rIns="0" bIns="0" rtlCol="0">
                          <a:prstTxWarp prst="textNoShape">
                            <a:avLst/>
                          </a:prstTxWarp>
                          <a:noAutofit/>
                        </wps:bodyPr>
                      </wps:wsp>
                      <wps:wsp>
                        <wps:cNvPr id="287" name="Graphic 287"/>
                        <wps:cNvSpPr/>
                        <wps:spPr>
                          <a:xfrm>
                            <a:off x="1988078" y="2378405"/>
                            <a:ext cx="111125" cy="107950"/>
                          </a:xfrm>
                          <a:custGeom>
                            <a:avLst/>
                            <a:gdLst/>
                            <a:ahLst/>
                            <a:cxnLst/>
                            <a:rect l="l" t="t" r="r" b="b"/>
                            <a:pathLst>
                              <a:path w="111125" h="107950">
                                <a:moveTo>
                                  <a:pt x="110604" y="0"/>
                                </a:moveTo>
                                <a:lnTo>
                                  <a:pt x="0" y="0"/>
                                </a:lnTo>
                                <a:lnTo>
                                  <a:pt x="0" y="107721"/>
                                </a:lnTo>
                                <a:lnTo>
                                  <a:pt x="110604" y="107721"/>
                                </a:lnTo>
                                <a:lnTo>
                                  <a:pt x="110604" y="0"/>
                                </a:lnTo>
                                <a:close/>
                              </a:path>
                            </a:pathLst>
                          </a:custGeom>
                          <a:solidFill>
                            <a:srgbClr val="008FDD"/>
                          </a:solidFill>
                        </wps:spPr>
                        <wps:bodyPr wrap="square" lIns="0" tIns="0" rIns="0" bIns="0" rtlCol="0">
                          <a:prstTxWarp prst="textNoShape">
                            <a:avLst/>
                          </a:prstTxWarp>
                          <a:noAutofit/>
                        </wps:bodyPr>
                      </wps:wsp>
                      <wps:wsp>
                        <wps:cNvPr id="288" name="Graphic 288"/>
                        <wps:cNvSpPr/>
                        <wps:spPr>
                          <a:xfrm>
                            <a:off x="1988079" y="2378405"/>
                            <a:ext cx="111125" cy="107950"/>
                          </a:xfrm>
                          <a:custGeom>
                            <a:avLst/>
                            <a:gdLst/>
                            <a:ahLst/>
                            <a:cxnLst/>
                            <a:rect l="l" t="t" r="r" b="b"/>
                            <a:pathLst>
                              <a:path w="111125" h="107950">
                                <a:moveTo>
                                  <a:pt x="0" y="107721"/>
                                </a:moveTo>
                                <a:lnTo>
                                  <a:pt x="110604" y="107721"/>
                                </a:lnTo>
                                <a:lnTo>
                                  <a:pt x="110604" y="0"/>
                                </a:lnTo>
                                <a:lnTo>
                                  <a:pt x="0" y="0"/>
                                </a:lnTo>
                                <a:lnTo>
                                  <a:pt x="0" y="107721"/>
                                </a:lnTo>
                                <a:close/>
                              </a:path>
                            </a:pathLst>
                          </a:custGeom>
                          <a:ln w="3175">
                            <a:solidFill>
                              <a:srgbClr val="FFFFFF"/>
                            </a:solidFill>
                            <a:prstDash val="solid"/>
                          </a:ln>
                        </wps:spPr>
                        <wps:bodyPr wrap="square" lIns="0" tIns="0" rIns="0" bIns="0" rtlCol="0">
                          <a:prstTxWarp prst="textNoShape">
                            <a:avLst/>
                          </a:prstTxWarp>
                          <a:noAutofit/>
                        </wps:bodyPr>
                      </wps:wsp>
                      <wps:wsp>
                        <wps:cNvPr id="289" name="Graphic 289"/>
                        <wps:cNvSpPr/>
                        <wps:spPr>
                          <a:xfrm>
                            <a:off x="2098695" y="2423286"/>
                            <a:ext cx="111125" cy="62865"/>
                          </a:xfrm>
                          <a:custGeom>
                            <a:avLst/>
                            <a:gdLst/>
                            <a:ahLst/>
                            <a:cxnLst/>
                            <a:rect l="l" t="t" r="r" b="b"/>
                            <a:pathLst>
                              <a:path w="111125" h="62865">
                                <a:moveTo>
                                  <a:pt x="110604" y="0"/>
                                </a:moveTo>
                                <a:lnTo>
                                  <a:pt x="0" y="0"/>
                                </a:lnTo>
                                <a:lnTo>
                                  <a:pt x="0" y="62839"/>
                                </a:lnTo>
                                <a:lnTo>
                                  <a:pt x="110604" y="62839"/>
                                </a:lnTo>
                                <a:lnTo>
                                  <a:pt x="110604" y="0"/>
                                </a:lnTo>
                                <a:close/>
                              </a:path>
                            </a:pathLst>
                          </a:custGeom>
                          <a:solidFill>
                            <a:srgbClr val="008FDD"/>
                          </a:solidFill>
                        </wps:spPr>
                        <wps:bodyPr wrap="square" lIns="0" tIns="0" rIns="0" bIns="0" rtlCol="0">
                          <a:prstTxWarp prst="textNoShape">
                            <a:avLst/>
                          </a:prstTxWarp>
                          <a:noAutofit/>
                        </wps:bodyPr>
                      </wps:wsp>
                      <wps:wsp>
                        <wps:cNvPr id="290" name="Graphic 290"/>
                        <wps:cNvSpPr/>
                        <wps:spPr>
                          <a:xfrm>
                            <a:off x="2098695" y="2423286"/>
                            <a:ext cx="111125" cy="62865"/>
                          </a:xfrm>
                          <a:custGeom>
                            <a:avLst/>
                            <a:gdLst/>
                            <a:ahLst/>
                            <a:cxnLst/>
                            <a:rect l="l" t="t" r="r" b="b"/>
                            <a:pathLst>
                              <a:path w="111125" h="62865">
                                <a:moveTo>
                                  <a:pt x="0" y="62839"/>
                                </a:moveTo>
                                <a:lnTo>
                                  <a:pt x="110604" y="62839"/>
                                </a:lnTo>
                                <a:lnTo>
                                  <a:pt x="110604" y="0"/>
                                </a:lnTo>
                                <a:lnTo>
                                  <a:pt x="0" y="0"/>
                                </a:lnTo>
                                <a:lnTo>
                                  <a:pt x="0" y="62839"/>
                                </a:lnTo>
                                <a:close/>
                              </a:path>
                            </a:pathLst>
                          </a:custGeom>
                          <a:ln w="3175">
                            <a:solidFill>
                              <a:srgbClr val="FFFFFF"/>
                            </a:solidFill>
                            <a:prstDash val="solid"/>
                          </a:ln>
                        </wps:spPr>
                        <wps:bodyPr wrap="square" lIns="0" tIns="0" rIns="0" bIns="0" rtlCol="0">
                          <a:prstTxWarp prst="textNoShape">
                            <a:avLst/>
                          </a:prstTxWarp>
                          <a:noAutofit/>
                        </wps:bodyPr>
                      </wps:wsp>
                      <wps:wsp>
                        <wps:cNvPr id="291" name="Graphic 291"/>
                        <wps:cNvSpPr/>
                        <wps:spPr>
                          <a:xfrm>
                            <a:off x="2209299" y="2279662"/>
                            <a:ext cx="111125" cy="207010"/>
                          </a:xfrm>
                          <a:custGeom>
                            <a:avLst/>
                            <a:gdLst/>
                            <a:ahLst/>
                            <a:cxnLst/>
                            <a:rect l="l" t="t" r="r" b="b"/>
                            <a:pathLst>
                              <a:path w="111125" h="207010">
                                <a:moveTo>
                                  <a:pt x="110604" y="0"/>
                                </a:moveTo>
                                <a:lnTo>
                                  <a:pt x="0" y="0"/>
                                </a:lnTo>
                                <a:lnTo>
                                  <a:pt x="0" y="206463"/>
                                </a:lnTo>
                                <a:lnTo>
                                  <a:pt x="110604" y="206463"/>
                                </a:lnTo>
                                <a:lnTo>
                                  <a:pt x="110604" y="0"/>
                                </a:lnTo>
                                <a:close/>
                              </a:path>
                            </a:pathLst>
                          </a:custGeom>
                          <a:solidFill>
                            <a:srgbClr val="008FDD"/>
                          </a:solidFill>
                        </wps:spPr>
                        <wps:bodyPr wrap="square" lIns="0" tIns="0" rIns="0" bIns="0" rtlCol="0">
                          <a:prstTxWarp prst="textNoShape">
                            <a:avLst/>
                          </a:prstTxWarp>
                          <a:noAutofit/>
                        </wps:bodyPr>
                      </wps:wsp>
                      <wps:wsp>
                        <wps:cNvPr id="292" name="Graphic 292"/>
                        <wps:cNvSpPr/>
                        <wps:spPr>
                          <a:xfrm>
                            <a:off x="2209300" y="2279662"/>
                            <a:ext cx="111125" cy="207010"/>
                          </a:xfrm>
                          <a:custGeom>
                            <a:avLst/>
                            <a:gdLst/>
                            <a:ahLst/>
                            <a:cxnLst/>
                            <a:rect l="l" t="t" r="r" b="b"/>
                            <a:pathLst>
                              <a:path w="111125" h="207010">
                                <a:moveTo>
                                  <a:pt x="0" y="206463"/>
                                </a:moveTo>
                                <a:lnTo>
                                  <a:pt x="110604" y="206463"/>
                                </a:lnTo>
                                <a:lnTo>
                                  <a:pt x="110604" y="0"/>
                                </a:lnTo>
                                <a:lnTo>
                                  <a:pt x="0" y="0"/>
                                </a:lnTo>
                                <a:lnTo>
                                  <a:pt x="0" y="206463"/>
                                </a:lnTo>
                                <a:close/>
                              </a:path>
                            </a:pathLst>
                          </a:custGeom>
                          <a:ln w="3175">
                            <a:solidFill>
                              <a:srgbClr val="FFFFFF"/>
                            </a:solidFill>
                            <a:prstDash val="solid"/>
                          </a:ln>
                        </wps:spPr>
                        <wps:bodyPr wrap="square" lIns="0" tIns="0" rIns="0" bIns="0" rtlCol="0">
                          <a:prstTxWarp prst="textNoShape">
                            <a:avLst/>
                          </a:prstTxWarp>
                          <a:noAutofit/>
                        </wps:bodyPr>
                      </wps:wsp>
                      <wps:wsp>
                        <wps:cNvPr id="293" name="Graphic 293"/>
                        <wps:cNvSpPr/>
                        <wps:spPr>
                          <a:xfrm>
                            <a:off x="2319903" y="2432265"/>
                            <a:ext cx="111125" cy="53975"/>
                          </a:xfrm>
                          <a:custGeom>
                            <a:avLst/>
                            <a:gdLst/>
                            <a:ahLst/>
                            <a:cxnLst/>
                            <a:rect l="l" t="t" r="r" b="b"/>
                            <a:pathLst>
                              <a:path w="111125" h="53975">
                                <a:moveTo>
                                  <a:pt x="110604" y="0"/>
                                </a:moveTo>
                                <a:lnTo>
                                  <a:pt x="0" y="0"/>
                                </a:lnTo>
                                <a:lnTo>
                                  <a:pt x="0" y="53860"/>
                                </a:lnTo>
                                <a:lnTo>
                                  <a:pt x="110604" y="53860"/>
                                </a:lnTo>
                                <a:lnTo>
                                  <a:pt x="110604" y="0"/>
                                </a:lnTo>
                                <a:close/>
                              </a:path>
                            </a:pathLst>
                          </a:custGeom>
                          <a:solidFill>
                            <a:srgbClr val="008FDD"/>
                          </a:solidFill>
                        </wps:spPr>
                        <wps:bodyPr wrap="square" lIns="0" tIns="0" rIns="0" bIns="0" rtlCol="0">
                          <a:prstTxWarp prst="textNoShape">
                            <a:avLst/>
                          </a:prstTxWarp>
                          <a:noAutofit/>
                        </wps:bodyPr>
                      </wps:wsp>
                      <wps:wsp>
                        <wps:cNvPr id="294" name="Graphic 294"/>
                        <wps:cNvSpPr/>
                        <wps:spPr>
                          <a:xfrm>
                            <a:off x="2319903" y="2432265"/>
                            <a:ext cx="111125" cy="53975"/>
                          </a:xfrm>
                          <a:custGeom>
                            <a:avLst/>
                            <a:gdLst/>
                            <a:ahLst/>
                            <a:cxnLst/>
                            <a:rect l="l" t="t" r="r" b="b"/>
                            <a:pathLst>
                              <a:path w="111125" h="53975">
                                <a:moveTo>
                                  <a:pt x="0" y="53860"/>
                                </a:moveTo>
                                <a:lnTo>
                                  <a:pt x="110604" y="53860"/>
                                </a:lnTo>
                                <a:lnTo>
                                  <a:pt x="110604" y="0"/>
                                </a:lnTo>
                                <a:lnTo>
                                  <a:pt x="0" y="0"/>
                                </a:lnTo>
                                <a:lnTo>
                                  <a:pt x="0" y="53860"/>
                                </a:lnTo>
                                <a:close/>
                              </a:path>
                            </a:pathLst>
                          </a:custGeom>
                          <a:ln w="3175">
                            <a:solidFill>
                              <a:srgbClr val="FFFFFF"/>
                            </a:solidFill>
                            <a:prstDash val="solid"/>
                          </a:ln>
                        </wps:spPr>
                        <wps:bodyPr wrap="square" lIns="0" tIns="0" rIns="0" bIns="0" rtlCol="0">
                          <a:prstTxWarp prst="textNoShape">
                            <a:avLst/>
                          </a:prstTxWarp>
                          <a:noAutofit/>
                        </wps:bodyPr>
                      </wps:wsp>
                      <wps:wsp>
                        <wps:cNvPr id="295" name="Graphic 295"/>
                        <wps:cNvSpPr/>
                        <wps:spPr>
                          <a:xfrm>
                            <a:off x="2430520" y="2441244"/>
                            <a:ext cx="111125" cy="45085"/>
                          </a:xfrm>
                          <a:custGeom>
                            <a:avLst/>
                            <a:gdLst/>
                            <a:ahLst/>
                            <a:cxnLst/>
                            <a:rect l="l" t="t" r="r" b="b"/>
                            <a:pathLst>
                              <a:path w="111125" h="45085">
                                <a:moveTo>
                                  <a:pt x="110604" y="0"/>
                                </a:moveTo>
                                <a:lnTo>
                                  <a:pt x="0" y="0"/>
                                </a:lnTo>
                                <a:lnTo>
                                  <a:pt x="0" y="44881"/>
                                </a:lnTo>
                                <a:lnTo>
                                  <a:pt x="110604" y="44881"/>
                                </a:lnTo>
                                <a:lnTo>
                                  <a:pt x="110604" y="0"/>
                                </a:lnTo>
                                <a:close/>
                              </a:path>
                            </a:pathLst>
                          </a:custGeom>
                          <a:solidFill>
                            <a:srgbClr val="008FDD"/>
                          </a:solidFill>
                        </wps:spPr>
                        <wps:bodyPr wrap="square" lIns="0" tIns="0" rIns="0" bIns="0" rtlCol="0">
                          <a:prstTxWarp prst="textNoShape">
                            <a:avLst/>
                          </a:prstTxWarp>
                          <a:noAutofit/>
                        </wps:bodyPr>
                      </wps:wsp>
                      <wps:wsp>
                        <wps:cNvPr id="296" name="Graphic 296"/>
                        <wps:cNvSpPr/>
                        <wps:spPr>
                          <a:xfrm>
                            <a:off x="2430520" y="2441244"/>
                            <a:ext cx="111125" cy="45085"/>
                          </a:xfrm>
                          <a:custGeom>
                            <a:avLst/>
                            <a:gdLst/>
                            <a:ahLst/>
                            <a:cxnLst/>
                            <a:rect l="l" t="t" r="r" b="b"/>
                            <a:pathLst>
                              <a:path w="111125" h="45085">
                                <a:moveTo>
                                  <a:pt x="0" y="44881"/>
                                </a:moveTo>
                                <a:lnTo>
                                  <a:pt x="110604" y="44881"/>
                                </a:lnTo>
                                <a:lnTo>
                                  <a:pt x="110604" y="0"/>
                                </a:lnTo>
                                <a:lnTo>
                                  <a:pt x="0" y="0"/>
                                </a:lnTo>
                                <a:lnTo>
                                  <a:pt x="0" y="44881"/>
                                </a:lnTo>
                                <a:close/>
                              </a:path>
                            </a:pathLst>
                          </a:custGeom>
                          <a:ln w="3175">
                            <a:solidFill>
                              <a:srgbClr val="FFFFFF"/>
                            </a:solidFill>
                            <a:prstDash val="solid"/>
                          </a:ln>
                        </wps:spPr>
                        <wps:bodyPr wrap="square" lIns="0" tIns="0" rIns="0" bIns="0" rtlCol="0">
                          <a:prstTxWarp prst="textNoShape">
                            <a:avLst/>
                          </a:prstTxWarp>
                          <a:noAutofit/>
                        </wps:bodyPr>
                      </wps:wsp>
                      <wps:wsp>
                        <wps:cNvPr id="297" name="Graphic 297"/>
                        <wps:cNvSpPr/>
                        <wps:spPr>
                          <a:xfrm>
                            <a:off x="2541125" y="2423286"/>
                            <a:ext cx="111125" cy="62865"/>
                          </a:xfrm>
                          <a:custGeom>
                            <a:avLst/>
                            <a:gdLst/>
                            <a:ahLst/>
                            <a:cxnLst/>
                            <a:rect l="l" t="t" r="r" b="b"/>
                            <a:pathLst>
                              <a:path w="111125" h="62865">
                                <a:moveTo>
                                  <a:pt x="110604" y="0"/>
                                </a:moveTo>
                                <a:lnTo>
                                  <a:pt x="0" y="0"/>
                                </a:lnTo>
                                <a:lnTo>
                                  <a:pt x="0" y="62839"/>
                                </a:lnTo>
                                <a:lnTo>
                                  <a:pt x="110604" y="62839"/>
                                </a:lnTo>
                                <a:lnTo>
                                  <a:pt x="110604" y="0"/>
                                </a:lnTo>
                                <a:close/>
                              </a:path>
                            </a:pathLst>
                          </a:custGeom>
                          <a:solidFill>
                            <a:srgbClr val="008FDD"/>
                          </a:solidFill>
                        </wps:spPr>
                        <wps:bodyPr wrap="square" lIns="0" tIns="0" rIns="0" bIns="0" rtlCol="0">
                          <a:prstTxWarp prst="textNoShape">
                            <a:avLst/>
                          </a:prstTxWarp>
                          <a:noAutofit/>
                        </wps:bodyPr>
                      </wps:wsp>
                      <wps:wsp>
                        <wps:cNvPr id="298" name="Graphic 298"/>
                        <wps:cNvSpPr/>
                        <wps:spPr>
                          <a:xfrm>
                            <a:off x="2541126" y="2423286"/>
                            <a:ext cx="111125" cy="62865"/>
                          </a:xfrm>
                          <a:custGeom>
                            <a:avLst/>
                            <a:gdLst/>
                            <a:ahLst/>
                            <a:cxnLst/>
                            <a:rect l="l" t="t" r="r" b="b"/>
                            <a:pathLst>
                              <a:path w="111125" h="62865">
                                <a:moveTo>
                                  <a:pt x="0" y="62839"/>
                                </a:moveTo>
                                <a:lnTo>
                                  <a:pt x="110604" y="62839"/>
                                </a:lnTo>
                                <a:lnTo>
                                  <a:pt x="110604" y="0"/>
                                </a:lnTo>
                                <a:lnTo>
                                  <a:pt x="0" y="0"/>
                                </a:lnTo>
                                <a:lnTo>
                                  <a:pt x="0" y="62839"/>
                                </a:lnTo>
                                <a:close/>
                              </a:path>
                            </a:pathLst>
                          </a:custGeom>
                          <a:ln w="3175">
                            <a:solidFill>
                              <a:srgbClr val="FFFFFF"/>
                            </a:solidFill>
                            <a:prstDash val="solid"/>
                          </a:ln>
                        </wps:spPr>
                        <wps:bodyPr wrap="square" lIns="0" tIns="0" rIns="0" bIns="0" rtlCol="0">
                          <a:prstTxWarp prst="textNoShape">
                            <a:avLst/>
                          </a:prstTxWarp>
                          <a:noAutofit/>
                        </wps:bodyPr>
                      </wps:wsp>
                      <wps:wsp>
                        <wps:cNvPr id="299" name="Graphic 299"/>
                        <wps:cNvSpPr/>
                        <wps:spPr>
                          <a:xfrm>
                            <a:off x="2651729" y="2477147"/>
                            <a:ext cx="111125" cy="9525"/>
                          </a:xfrm>
                          <a:custGeom>
                            <a:avLst/>
                            <a:gdLst/>
                            <a:ahLst/>
                            <a:cxnLst/>
                            <a:rect l="l" t="t" r="r" b="b"/>
                            <a:pathLst>
                              <a:path w="111125" h="9525">
                                <a:moveTo>
                                  <a:pt x="110604" y="0"/>
                                </a:moveTo>
                                <a:lnTo>
                                  <a:pt x="0" y="0"/>
                                </a:lnTo>
                                <a:lnTo>
                                  <a:pt x="0" y="8978"/>
                                </a:lnTo>
                                <a:lnTo>
                                  <a:pt x="110604" y="8978"/>
                                </a:lnTo>
                                <a:lnTo>
                                  <a:pt x="110604" y="0"/>
                                </a:lnTo>
                                <a:close/>
                              </a:path>
                            </a:pathLst>
                          </a:custGeom>
                          <a:solidFill>
                            <a:srgbClr val="008FDD"/>
                          </a:solidFill>
                        </wps:spPr>
                        <wps:bodyPr wrap="square" lIns="0" tIns="0" rIns="0" bIns="0" rtlCol="0">
                          <a:prstTxWarp prst="textNoShape">
                            <a:avLst/>
                          </a:prstTxWarp>
                          <a:noAutofit/>
                        </wps:bodyPr>
                      </wps:wsp>
                      <wps:wsp>
                        <wps:cNvPr id="300" name="Graphic 300"/>
                        <wps:cNvSpPr/>
                        <wps:spPr>
                          <a:xfrm>
                            <a:off x="2651729" y="2477147"/>
                            <a:ext cx="111125" cy="9525"/>
                          </a:xfrm>
                          <a:custGeom>
                            <a:avLst/>
                            <a:gdLst/>
                            <a:ahLst/>
                            <a:cxnLst/>
                            <a:rect l="l" t="t" r="r" b="b"/>
                            <a:pathLst>
                              <a:path w="111125" h="9525">
                                <a:moveTo>
                                  <a:pt x="0" y="8978"/>
                                </a:moveTo>
                                <a:lnTo>
                                  <a:pt x="110604" y="8978"/>
                                </a:lnTo>
                                <a:lnTo>
                                  <a:pt x="110604" y="0"/>
                                </a:lnTo>
                                <a:lnTo>
                                  <a:pt x="0" y="0"/>
                                </a:lnTo>
                                <a:lnTo>
                                  <a:pt x="0" y="8978"/>
                                </a:lnTo>
                                <a:close/>
                              </a:path>
                            </a:pathLst>
                          </a:custGeom>
                          <a:ln w="3175">
                            <a:solidFill>
                              <a:srgbClr val="FFFFFF"/>
                            </a:solidFill>
                            <a:prstDash val="solid"/>
                          </a:ln>
                        </wps:spPr>
                        <wps:bodyPr wrap="square" lIns="0" tIns="0" rIns="0" bIns="0" rtlCol="0">
                          <a:prstTxWarp prst="textNoShape">
                            <a:avLst/>
                          </a:prstTxWarp>
                          <a:noAutofit/>
                        </wps:bodyPr>
                      </wps:wsp>
                      <wps:wsp>
                        <wps:cNvPr id="301" name="Graphic 301"/>
                        <wps:cNvSpPr/>
                        <wps:spPr>
                          <a:xfrm>
                            <a:off x="2762333" y="2468168"/>
                            <a:ext cx="111125" cy="18415"/>
                          </a:xfrm>
                          <a:custGeom>
                            <a:avLst/>
                            <a:gdLst/>
                            <a:ahLst/>
                            <a:cxnLst/>
                            <a:rect l="l" t="t" r="r" b="b"/>
                            <a:pathLst>
                              <a:path w="111125" h="18415">
                                <a:moveTo>
                                  <a:pt x="110604" y="0"/>
                                </a:moveTo>
                                <a:lnTo>
                                  <a:pt x="0" y="0"/>
                                </a:lnTo>
                                <a:lnTo>
                                  <a:pt x="0" y="17957"/>
                                </a:lnTo>
                                <a:lnTo>
                                  <a:pt x="110604" y="17957"/>
                                </a:lnTo>
                                <a:lnTo>
                                  <a:pt x="110604" y="0"/>
                                </a:lnTo>
                                <a:close/>
                              </a:path>
                            </a:pathLst>
                          </a:custGeom>
                          <a:solidFill>
                            <a:srgbClr val="008FDD"/>
                          </a:solidFill>
                        </wps:spPr>
                        <wps:bodyPr wrap="square" lIns="0" tIns="0" rIns="0" bIns="0" rtlCol="0">
                          <a:prstTxWarp prst="textNoShape">
                            <a:avLst/>
                          </a:prstTxWarp>
                          <a:noAutofit/>
                        </wps:bodyPr>
                      </wps:wsp>
                      <wps:wsp>
                        <wps:cNvPr id="302" name="Graphic 302"/>
                        <wps:cNvSpPr/>
                        <wps:spPr>
                          <a:xfrm>
                            <a:off x="2762333" y="2468168"/>
                            <a:ext cx="111125" cy="18415"/>
                          </a:xfrm>
                          <a:custGeom>
                            <a:avLst/>
                            <a:gdLst/>
                            <a:ahLst/>
                            <a:cxnLst/>
                            <a:rect l="l" t="t" r="r" b="b"/>
                            <a:pathLst>
                              <a:path w="111125" h="18415">
                                <a:moveTo>
                                  <a:pt x="0" y="17957"/>
                                </a:moveTo>
                                <a:lnTo>
                                  <a:pt x="110604" y="17957"/>
                                </a:lnTo>
                                <a:lnTo>
                                  <a:pt x="110604" y="0"/>
                                </a:lnTo>
                                <a:lnTo>
                                  <a:pt x="0" y="0"/>
                                </a:lnTo>
                                <a:lnTo>
                                  <a:pt x="0" y="17957"/>
                                </a:lnTo>
                                <a:close/>
                              </a:path>
                            </a:pathLst>
                          </a:custGeom>
                          <a:ln w="3175">
                            <a:solidFill>
                              <a:srgbClr val="FFFFFF"/>
                            </a:solidFill>
                            <a:prstDash val="solid"/>
                          </a:ln>
                        </wps:spPr>
                        <wps:bodyPr wrap="square" lIns="0" tIns="0" rIns="0" bIns="0" rtlCol="0">
                          <a:prstTxWarp prst="textNoShape">
                            <a:avLst/>
                          </a:prstTxWarp>
                          <a:noAutofit/>
                        </wps:bodyPr>
                      </wps:wsp>
                      <wps:wsp>
                        <wps:cNvPr id="303" name="Graphic 303"/>
                        <wps:cNvSpPr/>
                        <wps:spPr>
                          <a:xfrm>
                            <a:off x="2872950" y="2459202"/>
                            <a:ext cx="111125" cy="27305"/>
                          </a:xfrm>
                          <a:custGeom>
                            <a:avLst/>
                            <a:gdLst/>
                            <a:ahLst/>
                            <a:cxnLst/>
                            <a:rect l="l" t="t" r="r" b="b"/>
                            <a:pathLst>
                              <a:path w="111125" h="27305">
                                <a:moveTo>
                                  <a:pt x="110604" y="0"/>
                                </a:moveTo>
                                <a:lnTo>
                                  <a:pt x="0" y="0"/>
                                </a:lnTo>
                                <a:lnTo>
                                  <a:pt x="0" y="26923"/>
                                </a:lnTo>
                                <a:lnTo>
                                  <a:pt x="110604" y="26923"/>
                                </a:lnTo>
                                <a:lnTo>
                                  <a:pt x="110604" y="0"/>
                                </a:lnTo>
                                <a:close/>
                              </a:path>
                            </a:pathLst>
                          </a:custGeom>
                          <a:solidFill>
                            <a:srgbClr val="008FDD"/>
                          </a:solidFill>
                        </wps:spPr>
                        <wps:bodyPr wrap="square" lIns="0" tIns="0" rIns="0" bIns="0" rtlCol="0">
                          <a:prstTxWarp prst="textNoShape">
                            <a:avLst/>
                          </a:prstTxWarp>
                          <a:noAutofit/>
                        </wps:bodyPr>
                      </wps:wsp>
                      <wps:wsp>
                        <wps:cNvPr id="304" name="Graphic 304"/>
                        <wps:cNvSpPr/>
                        <wps:spPr>
                          <a:xfrm>
                            <a:off x="2872950" y="2459202"/>
                            <a:ext cx="111125" cy="27305"/>
                          </a:xfrm>
                          <a:custGeom>
                            <a:avLst/>
                            <a:gdLst/>
                            <a:ahLst/>
                            <a:cxnLst/>
                            <a:rect l="l" t="t" r="r" b="b"/>
                            <a:pathLst>
                              <a:path w="111125" h="27305">
                                <a:moveTo>
                                  <a:pt x="0" y="26923"/>
                                </a:moveTo>
                                <a:lnTo>
                                  <a:pt x="110604" y="26923"/>
                                </a:lnTo>
                                <a:lnTo>
                                  <a:pt x="110604" y="0"/>
                                </a:lnTo>
                                <a:lnTo>
                                  <a:pt x="0" y="0"/>
                                </a:lnTo>
                                <a:lnTo>
                                  <a:pt x="0" y="26923"/>
                                </a:lnTo>
                                <a:close/>
                              </a:path>
                            </a:pathLst>
                          </a:custGeom>
                          <a:ln w="3175">
                            <a:solidFill>
                              <a:srgbClr val="FFFFFF"/>
                            </a:solidFill>
                            <a:prstDash val="solid"/>
                          </a:ln>
                        </wps:spPr>
                        <wps:bodyPr wrap="square" lIns="0" tIns="0" rIns="0" bIns="0" rtlCol="0">
                          <a:prstTxWarp prst="textNoShape">
                            <a:avLst/>
                          </a:prstTxWarp>
                          <a:noAutofit/>
                        </wps:bodyPr>
                      </wps:wsp>
                      <wps:wsp>
                        <wps:cNvPr id="305" name="Graphic 305"/>
                        <wps:cNvSpPr/>
                        <wps:spPr>
                          <a:xfrm>
                            <a:off x="2983555" y="2450223"/>
                            <a:ext cx="111125" cy="36195"/>
                          </a:xfrm>
                          <a:custGeom>
                            <a:avLst/>
                            <a:gdLst/>
                            <a:ahLst/>
                            <a:cxnLst/>
                            <a:rect l="l" t="t" r="r" b="b"/>
                            <a:pathLst>
                              <a:path w="111125" h="36195">
                                <a:moveTo>
                                  <a:pt x="110604" y="0"/>
                                </a:moveTo>
                                <a:lnTo>
                                  <a:pt x="0" y="0"/>
                                </a:lnTo>
                                <a:lnTo>
                                  <a:pt x="0" y="35902"/>
                                </a:lnTo>
                                <a:lnTo>
                                  <a:pt x="110604" y="35902"/>
                                </a:lnTo>
                                <a:lnTo>
                                  <a:pt x="110604" y="0"/>
                                </a:lnTo>
                                <a:close/>
                              </a:path>
                            </a:pathLst>
                          </a:custGeom>
                          <a:solidFill>
                            <a:srgbClr val="008FDD"/>
                          </a:solidFill>
                        </wps:spPr>
                        <wps:bodyPr wrap="square" lIns="0" tIns="0" rIns="0" bIns="0" rtlCol="0">
                          <a:prstTxWarp prst="textNoShape">
                            <a:avLst/>
                          </a:prstTxWarp>
                          <a:noAutofit/>
                        </wps:bodyPr>
                      </wps:wsp>
                      <wps:wsp>
                        <wps:cNvPr id="306" name="Graphic 306"/>
                        <wps:cNvSpPr/>
                        <wps:spPr>
                          <a:xfrm>
                            <a:off x="2983556" y="2450223"/>
                            <a:ext cx="111125" cy="36195"/>
                          </a:xfrm>
                          <a:custGeom>
                            <a:avLst/>
                            <a:gdLst/>
                            <a:ahLst/>
                            <a:cxnLst/>
                            <a:rect l="l" t="t" r="r" b="b"/>
                            <a:pathLst>
                              <a:path w="111125" h="36195">
                                <a:moveTo>
                                  <a:pt x="0" y="35902"/>
                                </a:moveTo>
                                <a:lnTo>
                                  <a:pt x="110604" y="35902"/>
                                </a:lnTo>
                                <a:lnTo>
                                  <a:pt x="110604" y="0"/>
                                </a:lnTo>
                                <a:lnTo>
                                  <a:pt x="0" y="0"/>
                                </a:lnTo>
                                <a:lnTo>
                                  <a:pt x="0" y="35902"/>
                                </a:lnTo>
                                <a:close/>
                              </a:path>
                            </a:pathLst>
                          </a:custGeom>
                          <a:ln w="3175">
                            <a:solidFill>
                              <a:srgbClr val="FFFFFF"/>
                            </a:solidFill>
                            <a:prstDash val="solid"/>
                          </a:ln>
                        </wps:spPr>
                        <wps:bodyPr wrap="square" lIns="0" tIns="0" rIns="0" bIns="0" rtlCol="0">
                          <a:prstTxWarp prst="textNoShape">
                            <a:avLst/>
                          </a:prstTxWarp>
                          <a:noAutofit/>
                        </wps:bodyPr>
                      </wps:wsp>
                      <wps:wsp>
                        <wps:cNvPr id="307" name="Graphic 307"/>
                        <wps:cNvSpPr/>
                        <wps:spPr>
                          <a:xfrm>
                            <a:off x="3094172" y="2459202"/>
                            <a:ext cx="111125" cy="27305"/>
                          </a:xfrm>
                          <a:custGeom>
                            <a:avLst/>
                            <a:gdLst/>
                            <a:ahLst/>
                            <a:cxnLst/>
                            <a:rect l="l" t="t" r="r" b="b"/>
                            <a:pathLst>
                              <a:path w="111125" h="27305">
                                <a:moveTo>
                                  <a:pt x="110604" y="0"/>
                                </a:moveTo>
                                <a:lnTo>
                                  <a:pt x="0" y="0"/>
                                </a:lnTo>
                                <a:lnTo>
                                  <a:pt x="0" y="26923"/>
                                </a:lnTo>
                                <a:lnTo>
                                  <a:pt x="110604" y="26923"/>
                                </a:lnTo>
                                <a:lnTo>
                                  <a:pt x="110604" y="0"/>
                                </a:lnTo>
                                <a:close/>
                              </a:path>
                            </a:pathLst>
                          </a:custGeom>
                          <a:solidFill>
                            <a:srgbClr val="008FDD"/>
                          </a:solidFill>
                        </wps:spPr>
                        <wps:bodyPr wrap="square" lIns="0" tIns="0" rIns="0" bIns="0" rtlCol="0">
                          <a:prstTxWarp prst="textNoShape">
                            <a:avLst/>
                          </a:prstTxWarp>
                          <a:noAutofit/>
                        </wps:bodyPr>
                      </wps:wsp>
                      <wps:wsp>
                        <wps:cNvPr id="308" name="Graphic 308"/>
                        <wps:cNvSpPr/>
                        <wps:spPr>
                          <a:xfrm>
                            <a:off x="3094172" y="2459202"/>
                            <a:ext cx="111125" cy="27305"/>
                          </a:xfrm>
                          <a:custGeom>
                            <a:avLst/>
                            <a:gdLst/>
                            <a:ahLst/>
                            <a:cxnLst/>
                            <a:rect l="l" t="t" r="r" b="b"/>
                            <a:pathLst>
                              <a:path w="111125" h="27305">
                                <a:moveTo>
                                  <a:pt x="0" y="26923"/>
                                </a:moveTo>
                                <a:lnTo>
                                  <a:pt x="110604" y="26923"/>
                                </a:lnTo>
                                <a:lnTo>
                                  <a:pt x="110604" y="0"/>
                                </a:lnTo>
                                <a:lnTo>
                                  <a:pt x="0" y="0"/>
                                </a:lnTo>
                                <a:lnTo>
                                  <a:pt x="0" y="26923"/>
                                </a:lnTo>
                                <a:close/>
                              </a:path>
                            </a:pathLst>
                          </a:custGeom>
                          <a:ln w="3175">
                            <a:solidFill>
                              <a:srgbClr val="FFFFFF"/>
                            </a:solidFill>
                            <a:prstDash val="solid"/>
                          </a:ln>
                        </wps:spPr>
                        <wps:bodyPr wrap="square" lIns="0" tIns="0" rIns="0" bIns="0" rtlCol="0">
                          <a:prstTxWarp prst="textNoShape">
                            <a:avLst/>
                          </a:prstTxWarp>
                          <a:noAutofit/>
                        </wps:bodyPr>
                      </wps:wsp>
                      <wps:wsp>
                        <wps:cNvPr id="309" name="Graphic 309"/>
                        <wps:cNvSpPr/>
                        <wps:spPr>
                          <a:xfrm>
                            <a:off x="3204776" y="2450223"/>
                            <a:ext cx="111125" cy="36195"/>
                          </a:xfrm>
                          <a:custGeom>
                            <a:avLst/>
                            <a:gdLst/>
                            <a:ahLst/>
                            <a:cxnLst/>
                            <a:rect l="l" t="t" r="r" b="b"/>
                            <a:pathLst>
                              <a:path w="111125" h="36195">
                                <a:moveTo>
                                  <a:pt x="110604" y="0"/>
                                </a:moveTo>
                                <a:lnTo>
                                  <a:pt x="0" y="0"/>
                                </a:lnTo>
                                <a:lnTo>
                                  <a:pt x="0" y="35902"/>
                                </a:lnTo>
                                <a:lnTo>
                                  <a:pt x="110604" y="35902"/>
                                </a:lnTo>
                                <a:lnTo>
                                  <a:pt x="110604" y="0"/>
                                </a:lnTo>
                                <a:close/>
                              </a:path>
                            </a:pathLst>
                          </a:custGeom>
                          <a:solidFill>
                            <a:srgbClr val="008FDD"/>
                          </a:solidFill>
                        </wps:spPr>
                        <wps:bodyPr wrap="square" lIns="0" tIns="0" rIns="0" bIns="0" rtlCol="0">
                          <a:prstTxWarp prst="textNoShape">
                            <a:avLst/>
                          </a:prstTxWarp>
                          <a:noAutofit/>
                        </wps:bodyPr>
                      </wps:wsp>
                      <wps:wsp>
                        <wps:cNvPr id="310" name="Graphic 310"/>
                        <wps:cNvSpPr/>
                        <wps:spPr>
                          <a:xfrm>
                            <a:off x="3204776" y="2450223"/>
                            <a:ext cx="111125" cy="36195"/>
                          </a:xfrm>
                          <a:custGeom>
                            <a:avLst/>
                            <a:gdLst/>
                            <a:ahLst/>
                            <a:cxnLst/>
                            <a:rect l="l" t="t" r="r" b="b"/>
                            <a:pathLst>
                              <a:path w="111125" h="36195">
                                <a:moveTo>
                                  <a:pt x="0" y="35902"/>
                                </a:moveTo>
                                <a:lnTo>
                                  <a:pt x="110604" y="35902"/>
                                </a:lnTo>
                                <a:lnTo>
                                  <a:pt x="110604" y="0"/>
                                </a:lnTo>
                                <a:lnTo>
                                  <a:pt x="0" y="0"/>
                                </a:lnTo>
                                <a:lnTo>
                                  <a:pt x="0" y="35902"/>
                                </a:lnTo>
                                <a:close/>
                              </a:path>
                            </a:pathLst>
                          </a:custGeom>
                          <a:ln w="3175">
                            <a:solidFill>
                              <a:srgbClr val="FFFFFF"/>
                            </a:solidFill>
                            <a:prstDash val="solid"/>
                          </a:ln>
                        </wps:spPr>
                        <wps:bodyPr wrap="square" lIns="0" tIns="0" rIns="0" bIns="0" rtlCol="0">
                          <a:prstTxWarp prst="textNoShape">
                            <a:avLst/>
                          </a:prstTxWarp>
                          <a:noAutofit/>
                        </wps:bodyPr>
                      </wps:wsp>
                      <wps:wsp>
                        <wps:cNvPr id="311" name="Graphic 311"/>
                        <wps:cNvSpPr/>
                        <wps:spPr>
                          <a:xfrm>
                            <a:off x="3315380" y="2450223"/>
                            <a:ext cx="111125" cy="36195"/>
                          </a:xfrm>
                          <a:custGeom>
                            <a:avLst/>
                            <a:gdLst/>
                            <a:ahLst/>
                            <a:cxnLst/>
                            <a:rect l="l" t="t" r="r" b="b"/>
                            <a:pathLst>
                              <a:path w="111125" h="36195">
                                <a:moveTo>
                                  <a:pt x="110604" y="0"/>
                                </a:moveTo>
                                <a:lnTo>
                                  <a:pt x="0" y="0"/>
                                </a:lnTo>
                                <a:lnTo>
                                  <a:pt x="0" y="35902"/>
                                </a:lnTo>
                                <a:lnTo>
                                  <a:pt x="110604" y="35902"/>
                                </a:lnTo>
                                <a:lnTo>
                                  <a:pt x="110604" y="0"/>
                                </a:lnTo>
                                <a:close/>
                              </a:path>
                            </a:pathLst>
                          </a:custGeom>
                          <a:solidFill>
                            <a:srgbClr val="008FDD"/>
                          </a:solidFill>
                        </wps:spPr>
                        <wps:bodyPr wrap="square" lIns="0" tIns="0" rIns="0" bIns="0" rtlCol="0">
                          <a:prstTxWarp prst="textNoShape">
                            <a:avLst/>
                          </a:prstTxWarp>
                          <a:noAutofit/>
                        </wps:bodyPr>
                      </wps:wsp>
                      <wps:wsp>
                        <wps:cNvPr id="312" name="Graphic 312"/>
                        <wps:cNvSpPr/>
                        <wps:spPr>
                          <a:xfrm>
                            <a:off x="3315380" y="2450223"/>
                            <a:ext cx="111125" cy="36195"/>
                          </a:xfrm>
                          <a:custGeom>
                            <a:avLst/>
                            <a:gdLst/>
                            <a:ahLst/>
                            <a:cxnLst/>
                            <a:rect l="l" t="t" r="r" b="b"/>
                            <a:pathLst>
                              <a:path w="111125" h="36195">
                                <a:moveTo>
                                  <a:pt x="0" y="35902"/>
                                </a:moveTo>
                                <a:lnTo>
                                  <a:pt x="110604" y="35902"/>
                                </a:lnTo>
                                <a:lnTo>
                                  <a:pt x="110604" y="0"/>
                                </a:lnTo>
                                <a:lnTo>
                                  <a:pt x="0" y="0"/>
                                </a:lnTo>
                                <a:lnTo>
                                  <a:pt x="0" y="35902"/>
                                </a:lnTo>
                                <a:close/>
                              </a:path>
                            </a:pathLst>
                          </a:custGeom>
                          <a:ln w="3175">
                            <a:solidFill>
                              <a:srgbClr val="FFFFFF"/>
                            </a:solidFill>
                            <a:prstDash val="solid"/>
                          </a:ln>
                        </wps:spPr>
                        <wps:bodyPr wrap="square" lIns="0" tIns="0" rIns="0" bIns="0" rtlCol="0">
                          <a:prstTxWarp prst="textNoShape">
                            <a:avLst/>
                          </a:prstTxWarp>
                          <a:noAutofit/>
                        </wps:bodyPr>
                      </wps:wsp>
                      <wps:wsp>
                        <wps:cNvPr id="313" name="Graphic 313"/>
                        <wps:cNvSpPr/>
                        <wps:spPr>
                          <a:xfrm>
                            <a:off x="3425985" y="2477147"/>
                            <a:ext cx="111125" cy="9525"/>
                          </a:xfrm>
                          <a:custGeom>
                            <a:avLst/>
                            <a:gdLst/>
                            <a:ahLst/>
                            <a:cxnLst/>
                            <a:rect l="l" t="t" r="r" b="b"/>
                            <a:pathLst>
                              <a:path w="111125" h="9525">
                                <a:moveTo>
                                  <a:pt x="110604" y="0"/>
                                </a:moveTo>
                                <a:lnTo>
                                  <a:pt x="0" y="0"/>
                                </a:lnTo>
                                <a:lnTo>
                                  <a:pt x="0" y="8978"/>
                                </a:lnTo>
                                <a:lnTo>
                                  <a:pt x="110604" y="8978"/>
                                </a:lnTo>
                                <a:lnTo>
                                  <a:pt x="110604" y="0"/>
                                </a:lnTo>
                                <a:close/>
                              </a:path>
                            </a:pathLst>
                          </a:custGeom>
                          <a:solidFill>
                            <a:srgbClr val="008FDD"/>
                          </a:solidFill>
                        </wps:spPr>
                        <wps:bodyPr wrap="square" lIns="0" tIns="0" rIns="0" bIns="0" rtlCol="0">
                          <a:prstTxWarp prst="textNoShape">
                            <a:avLst/>
                          </a:prstTxWarp>
                          <a:noAutofit/>
                        </wps:bodyPr>
                      </wps:wsp>
                      <wps:wsp>
                        <wps:cNvPr id="314" name="Graphic 314"/>
                        <wps:cNvSpPr/>
                        <wps:spPr>
                          <a:xfrm>
                            <a:off x="3425985" y="2477147"/>
                            <a:ext cx="111125" cy="9525"/>
                          </a:xfrm>
                          <a:custGeom>
                            <a:avLst/>
                            <a:gdLst/>
                            <a:ahLst/>
                            <a:cxnLst/>
                            <a:rect l="l" t="t" r="r" b="b"/>
                            <a:pathLst>
                              <a:path w="111125" h="9525">
                                <a:moveTo>
                                  <a:pt x="0" y="8978"/>
                                </a:moveTo>
                                <a:lnTo>
                                  <a:pt x="110604" y="8978"/>
                                </a:lnTo>
                                <a:lnTo>
                                  <a:pt x="110604" y="0"/>
                                </a:lnTo>
                                <a:lnTo>
                                  <a:pt x="0" y="0"/>
                                </a:lnTo>
                                <a:lnTo>
                                  <a:pt x="0" y="8978"/>
                                </a:lnTo>
                                <a:close/>
                              </a:path>
                            </a:pathLst>
                          </a:custGeom>
                          <a:ln w="3175">
                            <a:solidFill>
                              <a:srgbClr val="FFFFFF"/>
                            </a:solidFill>
                            <a:prstDash val="solid"/>
                          </a:ln>
                        </wps:spPr>
                        <wps:bodyPr wrap="square" lIns="0" tIns="0" rIns="0" bIns="0" rtlCol="0">
                          <a:prstTxWarp prst="textNoShape">
                            <a:avLst/>
                          </a:prstTxWarp>
                          <a:noAutofit/>
                        </wps:bodyPr>
                      </wps:wsp>
                      <wps:wsp>
                        <wps:cNvPr id="315" name="Graphic 315"/>
                        <wps:cNvSpPr/>
                        <wps:spPr>
                          <a:xfrm>
                            <a:off x="3536600" y="2486129"/>
                            <a:ext cx="111125" cy="1270"/>
                          </a:xfrm>
                          <a:custGeom>
                            <a:avLst/>
                            <a:gdLst/>
                            <a:ahLst/>
                            <a:cxnLst/>
                            <a:rect l="l" t="t" r="r" b="b"/>
                            <a:pathLst>
                              <a:path w="111125" h="0">
                                <a:moveTo>
                                  <a:pt x="110604" y="0"/>
                                </a:moveTo>
                                <a:lnTo>
                                  <a:pt x="0" y="0"/>
                                </a:lnTo>
                              </a:path>
                            </a:pathLst>
                          </a:custGeom>
                          <a:solidFill>
                            <a:srgbClr val="008FDD"/>
                          </a:solidFill>
                        </wps:spPr>
                        <wps:bodyPr wrap="square" lIns="0" tIns="0" rIns="0" bIns="0" rtlCol="0">
                          <a:prstTxWarp prst="textNoShape">
                            <a:avLst/>
                          </a:prstTxWarp>
                          <a:noAutofit/>
                        </wps:bodyPr>
                      </wps:wsp>
                      <wps:wsp>
                        <wps:cNvPr id="316" name="Graphic 316"/>
                        <wps:cNvSpPr/>
                        <wps:spPr>
                          <a:xfrm>
                            <a:off x="3536599" y="2486124"/>
                            <a:ext cx="111125" cy="1270"/>
                          </a:xfrm>
                          <a:custGeom>
                            <a:avLst/>
                            <a:gdLst/>
                            <a:ahLst/>
                            <a:cxnLst/>
                            <a:rect l="l" t="t" r="r" b="b"/>
                            <a:pathLst>
                              <a:path w="111125" h="0">
                                <a:moveTo>
                                  <a:pt x="0" y="0"/>
                                </a:moveTo>
                                <a:lnTo>
                                  <a:pt x="110604"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317" name="Graphic 317"/>
                        <wps:cNvSpPr/>
                        <wps:spPr>
                          <a:xfrm>
                            <a:off x="3647206" y="2477147"/>
                            <a:ext cx="111125" cy="9525"/>
                          </a:xfrm>
                          <a:custGeom>
                            <a:avLst/>
                            <a:gdLst/>
                            <a:ahLst/>
                            <a:cxnLst/>
                            <a:rect l="l" t="t" r="r" b="b"/>
                            <a:pathLst>
                              <a:path w="111125" h="9525">
                                <a:moveTo>
                                  <a:pt x="110591" y="0"/>
                                </a:moveTo>
                                <a:lnTo>
                                  <a:pt x="0" y="0"/>
                                </a:lnTo>
                                <a:lnTo>
                                  <a:pt x="0" y="8978"/>
                                </a:lnTo>
                                <a:lnTo>
                                  <a:pt x="110591" y="8978"/>
                                </a:lnTo>
                                <a:lnTo>
                                  <a:pt x="110591" y="0"/>
                                </a:lnTo>
                                <a:close/>
                              </a:path>
                            </a:pathLst>
                          </a:custGeom>
                          <a:solidFill>
                            <a:srgbClr val="008FDD"/>
                          </a:solidFill>
                        </wps:spPr>
                        <wps:bodyPr wrap="square" lIns="0" tIns="0" rIns="0" bIns="0" rtlCol="0">
                          <a:prstTxWarp prst="textNoShape">
                            <a:avLst/>
                          </a:prstTxWarp>
                          <a:noAutofit/>
                        </wps:bodyPr>
                      </wps:wsp>
                      <wps:wsp>
                        <wps:cNvPr id="318" name="Graphic 318"/>
                        <wps:cNvSpPr/>
                        <wps:spPr>
                          <a:xfrm>
                            <a:off x="3647206" y="2477147"/>
                            <a:ext cx="111125" cy="9525"/>
                          </a:xfrm>
                          <a:custGeom>
                            <a:avLst/>
                            <a:gdLst/>
                            <a:ahLst/>
                            <a:cxnLst/>
                            <a:rect l="l" t="t" r="r" b="b"/>
                            <a:pathLst>
                              <a:path w="111125" h="9525">
                                <a:moveTo>
                                  <a:pt x="0" y="8978"/>
                                </a:moveTo>
                                <a:lnTo>
                                  <a:pt x="110604" y="8978"/>
                                </a:lnTo>
                                <a:lnTo>
                                  <a:pt x="110604" y="0"/>
                                </a:lnTo>
                                <a:lnTo>
                                  <a:pt x="0" y="0"/>
                                </a:lnTo>
                                <a:lnTo>
                                  <a:pt x="0" y="8978"/>
                                </a:lnTo>
                                <a:close/>
                              </a:path>
                            </a:pathLst>
                          </a:custGeom>
                          <a:ln w="3175">
                            <a:solidFill>
                              <a:srgbClr val="FFFFFF"/>
                            </a:solidFill>
                            <a:prstDash val="solid"/>
                          </a:ln>
                        </wps:spPr>
                        <wps:bodyPr wrap="square" lIns="0" tIns="0" rIns="0" bIns="0" rtlCol="0">
                          <a:prstTxWarp prst="textNoShape">
                            <a:avLst/>
                          </a:prstTxWarp>
                          <a:noAutofit/>
                        </wps:bodyPr>
                      </wps:wsp>
                      <wps:wsp>
                        <wps:cNvPr id="319" name="Graphic 319"/>
                        <wps:cNvSpPr/>
                        <wps:spPr>
                          <a:xfrm>
                            <a:off x="3757810" y="2477147"/>
                            <a:ext cx="111125" cy="9525"/>
                          </a:xfrm>
                          <a:custGeom>
                            <a:avLst/>
                            <a:gdLst/>
                            <a:ahLst/>
                            <a:cxnLst/>
                            <a:rect l="l" t="t" r="r" b="b"/>
                            <a:pathLst>
                              <a:path w="111125" h="9525">
                                <a:moveTo>
                                  <a:pt x="110604" y="0"/>
                                </a:moveTo>
                                <a:lnTo>
                                  <a:pt x="0" y="0"/>
                                </a:lnTo>
                                <a:lnTo>
                                  <a:pt x="0" y="8978"/>
                                </a:lnTo>
                                <a:lnTo>
                                  <a:pt x="110604" y="8978"/>
                                </a:lnTo>
                                <a:lnTo>
                                  <a:pt x="110604" y="0"/>
                                </a:lnTo>
                                <a:close/>
                              </a:path>
                            </a:pathLst>
                          </a:custGeom>
                          <a:solidFill>
                            <a:srgbClr val="008FDD"/>
                          </a:solidFill>
                        </wps:spPr>
                        <wps:bodyPr wrap="square" lIns="0" tIns="0" rIns="0" bIns="0" rtlCol="0">
                          <a:prstTxWarp prst="textNoShape">
                            <a:avLst/>
                          </a:prstTxWarp>
                          <a:noAutofit/>
                        </wps:bodyPr>
                      </wps:wsp>
                      <wps:wsp>
                        <wps:cNvPr id="320" name="Graphic 320"/>
                        <wps:cNvSpPr/>
                        <wps:spPr>
                          <a:xfrm>
                            <a:off x="3757811" y="2477147"/>
                            <a:ext cx="111125" cy="9525"/>
                          </a:xfrm>
                          <a:custGeom>
                            <a:avLst/>
                            <a:gdLst/>
                            <a:ahLst/>
                            <a:cxnLst/>
                            <a:rect l="l" t="t" r="r" b="b"/>
                            <a:pathLst>
                              <a:path w="111125" h="9525">
                                <a:moveTo>
                                  <a:pt x="0" y="8978"/>
                                </a:moveTo>
                                <a:lnTo>
                                  <a:pt x="110604" y="8978"/>
                                </a:lnTo>
                                <a:lnTo>
                                  <a:pt x="110604" y="0"/>
                                </a:lnTo>
                                <a:lnTo>
                                  <a:pt x="0" y="0"/>
                                </a:lnTo>
                                <a:lnTo>
                                  <a:pt x="0" y="8978"/>
                                </a:lnTo>
                                <a:close/>
                              </a:path>
                            </a:pathLst>
                          </a:custGeom>
                          <a:ln w="3175">
                            <a:solidFill>
                              <a:srgbClr val="FFFFFF"/>
                            </a:solidFill>
                            <a:prstDash val="solid"/>
                          </a:ln>
                        </wps:spPr>
                        <wps:bodyPr wrap="square" lIns="0" tIns="0" rIns="0" bIns="0" rtlCol="0">
                          <a:prstTxWarp prst="textNoShape">
                            <a:avLst/>
                          </a:prstTxWarp>
                          <a:noAutofit/>
                        </wps:bodyPr>
                      </wps:wsp>
                      <wps:wsp>
                        <wps:cNvPr id="321" name="Graphic 321"/>
                        <wps:cNvSpPr/>
                        <wps:spPr>
                          <a:xfrm>
                            <a:off x="3868425" y="2486129"/>
                            <a:ext cx="111125" cy="1270"/>
                          </a:xfrm>
                          <a:custGeom>
                            <a:avLst/>
                            <a:gdLst/>
                            <a:ahLst/>
                            <a:cxnLst/>
                            <a:rect l="l" t="t" r="r" b="b"/>
                            <a:pathLst>
                              <a:path w="111125" h="0">
                                <a:moveTo>
                                  <a:pt x="110604" y="0"/>
                                </a:moveTo>
                                <a:lnTo>
                                  <a:pt x="0" y="0"/>
                                </a:lnTo>
                              </a:path>
                            </a:pathLst>
                          </a:custGeom>
                          <a:solidFill>
                            <a:srgbClr val="008FDD"/>
                          </a:solidFill>
                        </wps:spPr>
                        <wps:bodyPr wrap="square" lIns="0" tIns="0" rIns="0" bIns="0" rtlCol="0">
                          <a:prstTxWarp prst="textNoShape">
                            <a:avLst/>
                          </a:prstTxWarp>
                          <a:noAutofit/>
                        </wps:bodyPr>
                      </wps:wsp>
                      <wps:wsp>
                        <wps:cNvPr id="322" name="Graphic 322"/>
                        <wps:cNvSpPr/>
                        <wps:spPr>
                          <a:xfrm>
                            <a:off x="3868426" y="2486124"/>
                            <a:ext cx="111125" cy="1270"/>
                          </a:xfrm>
                          <a:custGeom>
                            <a:avLst/>
                            <a:gdLst/>
                            <a:ahLst/>
                            <a:cxnLst/>
                            <a:rect l="l" t="t" r="r" b="b"/>
                            <a:pathLst>
                              <a:path w="111125" h="0">
                                <a:moveTo>
                                  <a:pt x="0" y="0"/>
                                </a:moveTo>
                                <a:lnTo>
                                  <a:pt x="110604"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323" name="Graphic 323"/>
                        <wps:cNvSpPr/>
                        <wps:spPr>
                          <a:xfrm>
                            <a:off x="3979033" y="2486129"/>
                            <a:ext cx="111125" cy="1270"/>
                          </a:xfrm>
                          <a:custGeom>
                            <a:avLst/>
                            <a:gdLst/>
                            <a:ahLst/>
                            <a:cxnLst/>
                            <a:rect l="l" t="t" r="r" b="b"/>
                            <a:pathLst>
                              <a:path w="111125" h="0">
                                <a:moveTo>
                                  <a:pt x="110604" y="0"/>
                                </a:moveTo>
                                <a:lnTo>
                                  <a:pt x="0" y="0"/>
                                </a:lnTo>
                              </a:path>
                            </a:pathLst>
                          </a:custGeom>
                          <a:solidFill>
                            <a:srgbClr val="008FDD"/>
                          </a:solidFill>
                        </wps:spPr>
                        <wps:bodyPr wrap="square" lIns="0" tIns="0" rIns="0" bIns="0" rtlCol="0">
                          <a:prstTxWarp prst="textNoShape">
                            <a:avLst/>
                          </a:prstTxWarp>
                          <a:noAutofit/>
                        </wps:bodyPr>
                      </wps:wsp>
                      <wps:wsp>
                        <wps:cNvPr id="324" name="Graphic 324"/>
                        <wps:cNvSpPr/>
                        <wps:spPr>
                          <a:xfrm>
                            <a:off x="3979034" y="2486124"/>
                            <a:ext cx="111125" cy="1270"/>
                          </a:xfrm>
                          <a:custGeom>
                            <a:avLst/>
                            <a:gdLst/>
                            <a:ahLst/>
                            <a:cxnLst/>
                            <a:rect l="l" t="t" r="r" b="b"/>
                            <a:pathLst>
                              <a:path w="111125" h="0">
                                <a:moveTo>
                                  <a:pt x="0" y="0"/>
                                </a:moveTo>
                                <a:lnTo>
                                  <a:pt x="110604"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325" name="Graphic 325"/>
                        <wps:cNvSpPr/>
                        <wps:spPr>
                          <a:xfrm>
                            <a:off x="4089636" y="2477147"/>
                            <a:ext cx="111125" cy="9525"/>
                          </a:xfrm>
                          <a:custGeom>
                            <a:avLst/>
                            <a:gdLst/>
                            <a:ahLst/>
                            <a:cxnLst/>
                            <a:rect l="l" t="t" r="r" b="b"/>
                            <a:pathLst>
                              <a:path w="111125" h="9525">
                                <a:moveTo>
                                  <a:pt x="110591" y="0"/>
                                </a:moveTo>
                                <a:lnTo>
                                  <a:pt x="0" y="0"/>
                                </a:lnTo>
                                <a:lnTo>
                                  <a:pt x="0" y="8978"/>
                                </a:lnTo>
                                <a:lnTo>
                                  <a:pt x="110591" y="8978"/>
                                </a:lnTo>
                                <a:lnTo>
                                  <a:pt x="110591" y="0"/>
                                </a:lnTo>
                                <a:close/>
                              </a:path>
                            </a:pathLst>
                          </a:custGeom>
                          <a:solidFill>
                            <a:srgbClr val="008FDD"/>
                          </a:solidFill>
                        </wps:spPr>
                        <wps:bodyPr wrap="square" lIns="0" tIns="0" rIns="0" bIns="0" rtlCol="0">
                          <a:prstTxWarp prst="textNoShape">
                            <a:avLst/>
                          </a:prstTxWarp>
                          <a:noAutofit/>
                        </wps:bodyPr>
                      </wps:wsp>
                      <wps:wsp>
                        <wps:cNvPr id="326" name="Graphic 326"/>
                        <wps:cNvSpPr/>
                        <wps:spPr>
                          <a:xfrm>
                            <a:off x="4089636" y="2477147"/>
                            <a:ext cx="111125" cy="9525"/>
                          </a:xfrm>
                          <a:custGeom>
                            <a:avLst/>
                            <a:gdLst/>
                            <a:ahLst/>
                            <a:cxnLst/>
                            <a:rect l="l" t="t" r="r" b="b"/>
                            <a:pathLst>
                              <a:path w="111125" h="9525">
                                <a:moveTo>
                                  <a:pt x="0" y="8978"/>
                                </a:moveTo>
                                <a:lnTo>
                                  <a:pt x="110604" y="8978"/>
                                </a:lnTo>
                                <a:lnTo>
                                  <a:pt x="110604" y="0"/>
                                </a:lnTo>
                                <a:lnTo>
                                  <a:pt x="0" y="0"/>
                                </a:lnTo>
                                <a:lnTo>
                                  <a:pt x="0" y="8978"/>
                                </a:lnTo>
                                <a:close/>
                              </a:path>
                            </a:pathLst>
                          </a:custGeom>
                          <a:ln w="3175">
                            <a:solidFill>
                              <a:srgbClr val="FFFFFF"/>
                            </a:solidFill>
                            <a:prstDash val="solid"/>
                          </a:ln>
                        </wps:spPr>
                        <wps:bodyPr wrap="square" lIns="0" tIns="0" rIns="0" bIns="0" rtlCol="0">
                          <a:prstTxWarp prst="textNoShape">
                            <a:avLst/>
                          </a:prstTxWarp>
                          <a:noAutofit/>
                        </wps:bodyPr>
                      </wps:wsp>
                      <wps:wsp>
                        <wps:cNvPr id="327" name="Graphic 327"/>
                        <wps:cNvSpPr/>
                        <wps:spPr>
                          <a:xfrm>
                            <a:off x="4200253" y="2477147"/>
                            <a:ext cx="111125" cy="9525"/>
                          </a:xfrm>
                          <a:custGeom>
                            <a:avLst/>
                            <a:gdLst/>
                            <a:ahLst/>
                            <a:cxnLst/>
                            <a:rect l="l" t="t" r="r" b="b"/>
                            <a:pathLst>
                              <a:path w="111125" h="9525">
                                <a:moveTo>
                                  <a:pt x="110604" y="0"/>
                                </a:moveTo>
                                <a:lnTo>
                                  <a:pt x="0" y="0"/>
                                </a:lnTo>
                                <a:lnTo>
                                  <a:pt x="0" y="8978"/>
                                </a:lnTo>
                                <a:lnTo>
                                  <a:pt x="110604" y="8978"/>
                                </a:lnTo>
                                <a:lnTo>
                                  <a:pt x="110604" y="0"/>
                                </a:lnTo>
                                <a:close/>
                              </a:path>
                            </a:pathLst>
                          </a:custGeom>
                          <a:solidFill>
                            <a:srgbClr val="008FDD"/>
                          </a:solidFill>
                        </wps:spPr>
                        <wps:bodyPr wrap="square" lIns="0" tIns="0" rIns="0" bIns="0" rtlCol="0">
                          <a:prstTxWarp prst="textNoShape">
                            <a:avLst/>
                          </a:prstTxWarp>
                          <a:noAutofit/>
                        </wps:bodyPr>
                      </wps:wsp>
                      <wps:wsp>
                        <wps:cNvPr id="328" name="Graphic 328"/>
                        <wps:cNvSpPr/>
                        <wps:spPr>
                          <a:xfrm>
                            <a:off x="4200253" y="2477147"/>
                            <a:ext cx="111125" cy="9525"/>
                          </a:xfrm>
                          <a:custGeom>
                            <a:avLst/>
                            <a:gdLst/>
                            <a:ahLst/>
                            <a:cxnLst/>
                            <a:rect l="l" t="t" r="r" b="b"/>
                            <a:pathLst>
                              <a:path w="111125" h="9525">
                                <a:moveTo>
                                  <a:pt x="0" y="8978"/>
                                </a:moveTo>
                                <a:lnTo>
                                  <a:pt x="110604" y="8978"/>
                                </a:lnTo>
                                <a:lnTo>
                                  <a:pt x="110604" y="0"/>
                                </a:lnTo>
                                <a:lnTo>
                                  <a:pt x="0" y="0"/>
                                </a:lnTo>
                                <a:lnTo>
                                  <a:pt x="0" y="8978"/>
                                </a:lnTo>
                                <a:close/>
                              </a:path>
                            </a:pathLst>
                          </a:custGeom>
                          <a:ln w="3175">
                            <a:solidFill>
                              <a:srgbClr val="FFFFFF"/>
                            </a:solidFill>
                            <a:prstDash val="solid"/>
                          </a:ln>
                        </wps:spPr>
                        <wps:bodyPr wrap="square" lIns="0" tIns="0" rIns="0" bIns="0" rtlCol="0">
                          <a:prstTxWarp prst="textNoShape">
                            <a:avLst/>
                          </a:prstTxWarp>
                          <a:noAutofit/>
                        </wps:bodyPr>
                      </wps:wsp>
                      <wps:wsp>
                        <wps:cNvPr id="329" name="Graphic 329"/>
                        <wps:cNvSpPr/>
                        <wps:spPr>
                          <a:xfrm>
                            <a:off x="4310857" y="2486129"/>
                            <a:ext cx="111125" cy="1270"/>
                          </a:xfrm>
                          <a:custGeom>
                            <a:avLst/>
                            <a:gdLst/>
                            <a:ahLst/>
                            <a:cxnLst/>
                            <a:rect l="l" t="t" r="r" b="b"/>
                            <a:pathLst>
                              <a:path w="111125" h="0">
                                <a:moveTo>
                                  <a:pt x="110604" y="0"/>
                                </a:moveTo>
                                <a:lnTo>
                                  <a:pt x="0" y="0"/>
                                </a:lnTo>
                              </a:path>
                            </a:pathLst>
                          </a:custGeom>
                          <a:solidFill>
                            <a:srgbClr val="008FDD"/>
                          </a:solidFill>
                        </wps:spPr>
                        <wps:bodyPr wrap="square" lIns="0" tIns="0" rIns="0" bIns="0" rtlCol="0">
                          <a:prstTxWarp prst="textNoShape">
                            <a:avLst/>
                          </a:prstTxWarp>
                          <a:noAutofit/>
                        </wps:bodyPr>
                      </wps:wsp>
                      <wps:wsp>
                        <wps:cNvPr id="330" name="Graphic 330"/>
                        <wps:cNvSpPr/>
                        <wps:spPr>
                          <a:xfrm>
                            <a:off x="4310858" y="2486124"/>
                            <a:ext cx="111125" cy="1270"/>
                          </a:xfrm>
                          <a:custGeom>
                            <a:avLst/>
                            <a:gdLst/>
                            <a:ahLst/>
                            <a:cxnLst/>
                            <a:rect l="l" t="t" r="r" b="b"/>
                            <a:pathLst>
                              <a:path w="111125" h="0">
                                <a:moveTo>
                                  <a:pt x="0" y="0"/>
                                </a:moveTo>
                                <a:lnTo>
                                  <a:pt x="110604"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331" name="Graphic 331"/>
                        <wps:cNvSpPr/>
                        <wps:spPr>
                          <a:xfrm>
                            <a:off x="4421465" y="2486129"/>
                            <a:ext cx="111125" cy="1270"/>
                          </a:xfrm>
                          <a:custGeom>
                            <a:avLst/>
                            <a:gdLst/>
                            <a:ahLst/>
                            <a:cxnLst/>
                            <a:rect l="l" t="t" r="r" b="b"/>
                            <a:pathLst>
                              <a:path w="111125" h="0">
                                <a:moveTo>
                                  <a:pt x="110604" y="0"/>
                                </a:moveTo>
                                <a:lnTo>
                                  <a:pt x="0" y="0"/>
                                </a:lnTo>
                              </a:path>
                            </a:pathLst>
                          </a:custGeom>
                          <a:solidFill>
                            <a:srgbClr val="008FDD"/>
                          </a:solidFill>
                        </wps:spPr>
                        <wps:bodyPr wrap="square" lIns="0" tIns="0" rIns="0" bIns="0" rtlCol="0">
                          <a:prstTxWarp prst="textNoShape">
                            <a:avLst/>
                          </a:prstTxWarp>
                          <a:noAutofit/>
                        </wps:bodyPr>
                      </wps:wsp>
                      <wps:wsp>
                        <wps:cNvPr id="332" name="Graphic 332"/>
                        <wps:cNvSpPr/>
                        <wps:spPr>
                          <a:xfrm>
                            <a:off x="4421468" y="2486124"/>
                            <a:ext cx="111125" cy="1270"/>
                          </a:xfrm>
                          <a:custGeom>
                            <a:avLst/>
                            <a:gdLst/>
                            <a:ahLst/>
                            <a:cxnLst/>
                            <a:rect l="l" t="t" r="r" b="b"/>
                            <a:pathLst>
                              <a:path w="111125" h="0">
                                <a:moveTo>
                                  <a:pt x="0" y="0"/>
                                </a:moveTo>
                                <a:lnTo>
                                  <a:pt x="110604"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333" name="Graphic 333"/>
                        <wps:cNvSpPr/>
                        <wps:spPr>
                          <a:xfrm>
                            <a:off x="4532073" y="2486129"/>
                            <a:ext cx="111125" cy="1270"/>
                          </a:xfrm>
                          <a:custGeom>
                            <a:avLst/>
                            <a:gdLst/>
                            <a:ahLst/>
                            <a:cxnLst/>
                            <a:rect l="l" t="t" r="r" b="b"/>
                            <a:pathLst>
                              <a:path w="111125" h="0">
                                <a:moveTo>
                                  <a:pt x="110604" y="0"/>
                                </a:moveTo>
                                <a:lnTo>
                                  <a:pt x="0" y="0"/>
                                </a:lnTo>
                              </a:path>
                            </a:pathLst>
                          </a:custGeom>
                          <a:solidFill>
                            <a:srgbClr val="008FDD"/>
                          </a:solidFill>
                        </wps:spPr>
                        <wps:bodyPr wrap="square" lIns="0" tIns="0" rIns="0" bIns="0" rtlCol="0">
                          <a:prstTxWarp prst="textNoShape">
                            <a:avLst/>
                          </a:prstTxWarp>
                          <a:noAutofit/>
                        </wps:bodyPr>
                      </wps:wsp>
                      <wps:wsp>
                        <wps:cNvPr id="334" name="Graphic 334"/>
                        <wps:cNvSpPr/>
                        <wps:spPr>
                          <a:xfrm>
                            <a:off x="4532077" y="2486124"/>
                            <a:ext cx="111125" cy="1270"/>
                          </a:xfrm>
                          <a:custGeom>
                            <a:avLst/>
                            <a:gdLst/>
                            <a:ahLst/>
                            <a:cxnLst/>
                            <a:rect l="l" t="t" r="r" b="b"/>
                            <a:pathLst>
                              <a:path w="111125" h="0">
                                <a:moveTo>
                                  <a:pt x="0" y="0"/>
                                </a:moveTo>
                                <a:lnTo>
                                  <a:pt x="110604"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335" name="Graphic 335"/>
                        <wps:cNvSpPr/>
                        <wps:spPr>
                          <a:xfrm>
                            <a:off x="4642683" y="2477147"/>
                            <a:ext cx="111125" cy="9525"/>
                          </a:xfrm>
                          <a:custGeom>
                            <a:avLst/>
                            <a:gdLst/>
                            <a:ahLst/>
                            <a:cxnLst/>
                            <a:rect l="l" t="t" r="r" b="b"/>
                            <a:pathLst>
                              <a:path w="111125" h="9525">
                                <a:moveTo>
                                  <a:pt x="110604" y="0"/>
                                </a:moveTo>
                                <a:lnTo>
                                  <a:pt x="0" y="0"/>
                                </a:lnTo>
                                <a:lnTo>
                                  <a:pt x="0" y="8978"/>
                                </a:lnTo>
                                <a:lnTo>
                                  <a:pt x="110604" y="8978"/>
                                </a:lnTo>
                                <a:lnTo>
                                  <a:pt x="110604" y="0"/>
                                </a:lnTo>
                                <a:close/>
                              </a:path>
                            </a:pathLst>
                          </a:custGeom>
                          <a:solidFill>
                            <a:srgbClr val="008FDD"/>
                          </a:solidFill>
                        </wps:spPr>
                        <wps:bodyPr wrap="square" lIns="0" tIns="0" rIns="0" bIns="0" rtlCol="0">
                          <a:prstTxWarp prst="textNoShape">
                            <a:avLst/>
                          </a:prstTxWarp>
                          <a:noAutofit/>
                        </wps:bodyPr>
                      </wps:wsp>
                      <wps:wsp>
                        <wps:cNvPr id="336" name="Graphic 336"/>
                        <wps:cNvSpPr/>
                        <wps:spPr>
                          <a:xfrm>
                            <a:off x="4642683" y="2477147"/>
                            <a:ext cx="111125" cy="9525"/>
                          </a:xfrm>
                          <a:custGeom>
                            <a:avLst/>
                            <a:gdLst/>
                            <a:ahLst/>
                            <a:cxnLst/>
                            <a:rect l="l" t="t" r="r" b="b"/>
                            <a:pathLst>
                              <a:path w="111125" h="9525">
                                <a:moveTo>
                                  <a:pt x="0" y="8978"/>
                                </a:moveTo>
                                <a:lnTo>
                                  <a:pt x="110604" y="8978"/>
                                </a:lnTo>
                                <a:lnTo>
                                  <a:pt x="110604" y="0"/>
                                </a:lnTo>
                                <a:lnTo>
                                  <a:pt x="0" y="0"/>
                                </a:lnTo>
                                <a:lnTo>
                                  <a:pt x="0" y="8978"/>
                                </a:lnTo>
                                <a:close/>
                              </a:path>
                            </a:pathLst>
                          </a:custGeom>
                          <a:ln w="3175">
                            <a:solidFill>
                              <a:srgbClr val="FFFFFF"/>
                            </a:solidFill>
                            <a:prstDash val="solid"/>
                          </a:ln>
                        </wps:spPr>
                        <wps:bodyPr wrap="square" lIns="0" tIns="0" rIns="0" bIns="0" rtlCol="0">
                          <a:prstTxWarp prst="textNoShape">
                            <a:avLst/>
                          </a:prstTxWarp>
                          <a:noAutofit/>
                        </wps:bodyPr>
                      </wps:wsp>
                      <wps:wsp>
                        <wps:cNvPr id="337" name="Graphic 337"/>
                        <wps:cNvSpPr/>
                        <wps:spPr>
                          <a:xfrm>
                            <a:off x="1177502" y="690839"/>
                            <a:ext cx="1270" cy="1795780"/>
                          </a:xfrm>
                          <a:custGeom>
                            <a:avLst/>
                            <a:gdLst/>
                            <a:ahLst/>
                            <a:cxnLst/>
                            <a:rect l="l" t="t" r="r" b="b"/>
                            <a:pathLst>
                              <a:path w="0" h="1795780">
                                <a:moveTo>
                                  <a:pt x="0" y="1795284"/>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338" name="Graphic 338"/>
                        <wps:cNvSpPr/>
                        <wps:spPr>
                          <a:xfrm>
                            <a:off x="1033807" y="2460724"/>
                            <a:ext cx="1270" cy="25400"/>
                          </a:xfrm>
                          <a:custGeom>
                            <a:avLst/>
                            <a:gdLst/>
                            <a:ahLst/>
                            <a:cxnLst/>
                            <a:rect l="l" t="t" r="r" b="b"/>
                            <a:pathLst>
                              <a:path w="0" h="25400">
                                <a:moveTo>
                                  <a:pt x="0" y="2540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339" name="Graphic 339"/>
                        <wps:cNvSpPr/>
                        <wps:spPr>
                          <a:xfrm>
                            <a:off x="1033807" y="735479"/>
                            <a:ext cx="1270" cy="1687195"/>
                          </a:xfrm>
                          <a:custGeom>
                            <a:avLst/>
                            <a:gdLst/>
                            <a:ahLst/>
                            <a:cxnLst/>
                            <a:rect l="l" t="t" r="r" b="b"/>
                            <a:pathLst>
                              <a:path w="0" h="1687195">
                                <a:moveTo>
                                  <a:pt x="0" y="1686763"/>
                                </a:moveTo>
                                <a:lnTo>
                                  <a:pt x="0" y="0"/>
                                </a:lnTo>
                              </a:path>
                            </a:pathLst>
                          </a:custGeom>
                          <a:ln w="12700">
                            <a:solidFill>
                              <a:srgbClr val="231F20"/>
                            </a:solidFill>
                            <a:prstDash val="sysDash"/>
                          </a:ln>
                        </wps:spPr>
                        <wps:bodyPr wrap="square" lIns="0" tIns="0" rIns="0" bIns="0" rtlCol="0">
                          <a:prstTxWarp prst="textNoShape">
                            <a:avLst/>
                          </a:prstTxWarp>
                          <a:noAutofit/>
                        </wps:bodyPr>
                      </wps:wsp>
                      <wps:wsp>
                        <wps:cNvPr id="340" name="Graphic 340"/>
                        <wps:cNvSpPr/>
                        <wps:spPr>
                          <a:xfrm>
                            <a:off x="1033807" y="690835"/>
                            <a:ext cx="1270" cy="25400"/>
                          </a:xfrm>
                          <a:custGeom>
                            <a:avLst/>
                            <a:gdLst/>
                            <a:ahLst/>
                            <a:cxnLst/>
                            <a:rect l="l" t="t" r="r" b="b"/>
                            <a:pathLst>
                              <a:path w="0" h="25400">
                                <a:moveTo>
                                  <a:pt x="0" y="25399"/>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341" name="Graphic 341"/>
                        <wps:cNvSpPr/>
                        <wps:spPr>
                          <a:xfrm>
                            <a:off x="273892" y="2486124"/>
                            <a:ext cx="4415790" cy="1270"/>
                          </a:xfrm>
                          <a:custGeom>
                            <a:avLst/>
                            <a:gdLst/>
                            <a:ahLst/>
                            <a:cxnLst/>
                            <a:rect l="l" t="t" r="r" b="b"/>
                            <a:pathLst>
                              <a:path w="4415790" h="0">
                                <a:moveTo>
                                  <a:pt x="0" y="0"/>
                                </a:moveTo>
                                <a:lnTo>
                                  <a:pt x="4415764" y="0"/>
                                </a:lnTo>
                              </a:path>
                            </a:pathLst>
                          </a:custGeom>
                          <a:ln w="6350">
                            <a:solidFill>
                              <a:srgbClr val="FFFFFF"/>
                            </a:solidFill>
                            <a:prstDash val="solid"/>
                          </a:ln>
                        </wps:spPr>
                        <wps:bodyPr wrap="square" lIns="0" tIns="0" rIns="0" bIns="0" rtlCol="0">
                          <a:prstTxWarp prst="textNoShape">
                            <a:avLst/>
                          </a:prstTxWarp>
                          <a:noAutofit/>
                        </wps:bodyPr>
                      </wps:wsp>
                      <wps:wsp>
                        <wps:cNvPr id="342" name="Textbox 342"/>
                        <wps:cNvSpPr txBox="1"/>
                        <wps:spPr>
                          <a:xfrm>
                            <a:off x="76379" y="66855"/>
                            <a:ext cx="4542790" cy="765810"/>
                          </a:xfrm>
                          <a:prstGeom prst="rect">
                            <a:avLst/>
                          </a:prstGeom>
                        </wps:spPr>
                        <wps:txbx>
                          <w:txbxContent>
                            <w:p>
                              <w:pPr>
                                <w:tabs>
                                  <w:tab w:pos="799" w:val="left" w:leader="none"/>
                                </w:tabs>
                                <w:spacing w:line="261" w:lineRule="auto" w:before="3"/>
                                <w:ind w:left="800" w:right="18" w:hanging="800"/>
                                <w:jc w:val="left"/>
                                <w:rPr>
                                  <w:rFonts w:ascii="Arial" w:hAnsi="Arial"/>
                                  <w:b/>
                                  <w:sz w:val="16"/>
                                </w:rPr>
                              </w:pPr>
                              <w:r>
                                <w:rPr>
                                  <w:rFonts w:ascii="Arial" w:hAnsi="Arial"/>
                                  <w:color w:val="FFFFFF"/>
                                  <w:w w:val="105"/>
                                  <w:sz w:val="16"/>
                                </w:rPr>
                                <w:t>Figure </w:t>
                              </w:r>
                              <w:r>
                                <w:rPr>
                                  <w:rFonts w:ascii="Arial" w:hAnsi="Arial"/>
                                  <w:b/>
                                  <w:color w:val="FFFFFF"/>
                                  <w:w w:val="105"/>
                                  <w:sz w:val="16"/>
                                </w:rPr>
                                <w:t>2</w:t>
                              </w:r>
                              <w:r>
                                <w:rPr>
                                  <w:rFonts w:ascii="Arial" w:hAnsi="Arial"/>
                                  <w:b/>
                                  <w:color w:val="FFFFFF"/>
                                  <w:sz w:val="16"/>
                                </w:rPr>
                                <w:tab/>
                              </w:r>
                              <w:r>
                                <w:rPr>
                                  <w:rFonts w:ascii="Arial" w:hAnsi="Arial"/>
                                  <w:b/>
                                  <w:color w:val="FFFFFF"/>
                                  <w:w w:val="105"/>
                                  <w:sz w:val="16"/>
                                </w:rPr>
                                <w:t>Dispersion of time spent at port: Long tail distribution of containers in the port of Algiers, Algeria, May–October 2022</w:t>
                              </w:r>
                            </w:p>
                            <w:p>
                              <w:pPr>
                                <w:spacing w:line="240" w:lineRule="auto" w:before="72"/>
                                <w:rPr>
                                  <w:rFonts w:ascii="Arial"/>
                                  <w:b/>
                                  <w:sz w:val="16"/>
                                </w:rPr>
                              </w:pPr>
                            </w:p>
                            <w:p>
                              <w:pPr>
                                <w:spacing w:before="0"/>
                                <w:ind w:left="0" w:right="0" w:firstLine="0"/>
                                <w:jc w:val="left"/>
                                <w:rPr>
                                  <w:rFonts w:ascii="Arial"/>
                                  <w:sz w:val="14"/>
                                </w:rPr>
                              </w:pPr>
                              <w:r>
                                <w:rPr>
                                  <w:rFonts w:ascii="Arial"/>
                                  <w:color w:val="231F20"/>
                                  <w:w w:val="80"/>
                                  <w:sz w:val="14"/>
                                </w:rPr>
                                <w:t>Number</w:t>
                              </w:r>
                              <w:r>
                                <w:rPr>
                                  <w:rFonts w:ascii="Arial"/>
                                  <w:color w:val="231F20"/>
                                  <w:spacing w:val="-2"/>
                                  <w:w w:val="80"/>
                                  <w:sz w:val="14"/>
                                </w:rPr>
                                <w:t> </w:t>
                              </w:r>
                              <w:r>
                                <w:rPr>
                                  <w:rFonts w:ascii="Arial"/>
                                  <w:color w:val="231F20"/>
                                  <w:w w:val="80"/>
                                  <w:sz w:val="14"/>
                                </w:rPr>
                                <w:t>of</w:t>
                              </w:r>
                              <w:r>
                                <w:rPr>
                                  <w:rFonts w:ascii="Arial"/>
                                  <w:color w:val="231F20"/>
                                  <w:spacing w:val="-1"/>
                                  <w:w w:val="80"/>
                                  <w:sz w:val="14"/>
                                </w:rPr>
                                <w:t> </w:t>
                              </w:r>
                              <w:r>
                                <w:rPr>
                                  <w:rFonts w:ascii="Arial"/>
                                  <w:color w:val="231F20"/>
                                  <w:spacing w:val="-2"/>
                                  <w:w w:val="80"/>
                                  <w:sz w:val="14"/>
                                </w:rPr>
                                <w:t>consignments</w:t>
                              </w:r>
                            </w:p>
                            <w:p>
                              <w:pPr>
                                <w:spacing w:line="149" w:lineRule="exact" w:before="86"/>
                                <w:ind w:left="0" w:right="0" w:firstLine="0"/>
                                <w:jc w:val="left"/>
                                <w:rPr>
                                  <w:rFonts w:ascii="Arial"/>
                                  <w:sz w:val="14"/>
                                </w:rPr>
                              </w:pPr>
                              <w:r>
                                <w:rPr>
                                  <w:rFonts w:ascii="Arial"/>
                                  <w:color w:val="231F20"/>
                                  <w:spacing w:val="-5"/>
                                  <w:sz w:val="14"/>
                                </w:rPr>
                                <w:t>200</w:t>
                              </w:r>
                            </w:p>
                            <w:p>
                              <w:pPr>
                                <w:tabs>
                                  <w:tab w:pos="1793" w:val="left" w:leader="none"/>
                                </w:tabs>
                                <w:spacing w:line="148" w:lineRule="exact" w:before="0"/>
                                <w:ind w:left="1058" w:right="0" w:firstLine="0"/>
                                <w:jc w:val="left"/>
                                <w:rPr>
                                  <w:rFonts w:ascii="Arial"/>
                                  <w:sz w:val="14"/>
                                </w:rPr>
                              </w:pPr>
                              <w:r>
                                <w:rPr>
                                  <w:rFonts w:ascii="Arial"/>
                                  <w:color w:val="231F20"/>
                                  <w:spacing w:val="-2"/>
                                  <w:sz w:val="14"/>
                                </w:rPr>
                                <w:t>Median</w:t>
                              </w:r>
                              <w:r>
                                <w:rPr>
                                  <w:rFonts w:ascii="Arial"/>
                                  <w:color w:val="231F20"/>
                                  <w:sz w:val="14"/>
                                </w:rPr>
                                <w:tab/>
                              </w:r>
                              <w:r>
                                <w:rPr>
                                  <w:rFonts w:ascii="Arial"/>
                                  <w:color w:val="231F20"/>
                                  <w:spacing w:val="-4"/>
                                  <w:sz w:val="14"/>
                                </w:rPr>
                                <w:t>Mean</w:t>
                              </w:r>
                            </w:p>
                          </w:txbxContent>
                        </wps:txbx>
                        <wps:bodyPr wrap="square" lIns="0" tIns="0" rIns="0" bIns="0" rtlCol="0">
                          <a:noAutofit/>
                        </wps:bodyPr>
                      </wps:wsp>
                      <wps:wsp>
                        <wps:cNvPr id="343" name="Textbox 343"/>
                        <wps:cNvSpPr txBox="1"/>
                        <wps:spPr>
                          <a:xfrm>
                            <a:off x="76734" y="1093038"/>
                            <a:ext cx="14097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150</w:t>
                              </w:r>
                            </w:p>
                          </w:txbxContent>
                        </wps:txbx>
                        <wps:bodyPr wrap="square" lIns="0" tIns="0" rIns="0" bIns="0" rtlCol="0">
                          <a:noAutofit/>
                        </wps:bodyPr>
                      </wps:wsp>
                      <wps:wsp>
                        <wps:cNvPr id="344" name="Textbox 344"/>
                        <wps:cNvSpPr txBox="1"/>
                        <wps:spPr>
                          <a:xfrm>
                            <a:off x="76734" y="1541894"/>
                            <a:ext cx="14097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100</w:t>
                              </w:r>
                            </w:p>
                          </w:txbxContent>
                        </wps:txbx>
                        <wps:bodyPr wrap="square" lIns="0" tIns="0" rIns="0" bIns="0" rtlCol="0">
                          <a:noAutofit/>
                        </wps:bodyPr>
                      </wps:wsp>
                      <wps:wsp>
                        <wps:cNvPr id="345" name="Textbox 345"/>
                        <wps:cNvSpPr txBox="1"/>
                        <wps:spPr>
                          <a:xfrm>
                            <a:off x="119406" y="1990750"/>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50</w:t>
                              </w:r>
                            </w:p>
                          </w:txbxContent>
                        </wps:txbx>
                        <wps:bodyPr wrap="square" lIns="0" tIns="0" rIns="0" bIns="0" rtlCol="0">
                          <a:noAutofit/>
                        </wps:bodyPr>
                      </wps:wsp>
                      <wps:wsp>
                        <wps:cNvPr id="346" name="Textbox 346"/>
                        <wps:cNvSpPr txBox="1"/>
                        <wps:spPr>
                          <a:xfrm>
                            <a:off x="162078" y="2439606"/>
                            <a:ext cx="146685" cy="165100"/>
                          </a:xfrm>
                          <a:prstGeom prst="rect">
                            <a:avLst/>
                          </a:prstGeom>
                        </wps:spPr>
                        <wps:txbx>
                          <w:txbxContent>
                            <w:p>
                              <w:pPr>
                                <w:spacing w:line="235" w:lineRule="auto" w:before="0"/>
                                <w:ind w:left="0" w:right="0" w:firstLine="0"/>
                                <w:jc w:val="left"/>
                                <w:rPr>
                                  <w:rFonts w:ascii="Arial"/>
                                  <w:sz w:val="14"/>
                                </w:rPr>
                              </w:pPr>
                              <w:r>
                                <w:rPr>
                                  <w:rFonts w:ascii="Arial"/>
                                  <w:color w:val="231F20"/>
                                  <w:sz w:val="14"/>
                                </w:rPr>
                                <w:t>0</w:t>
                              </w:r>
                              <w:r>
                                <w:rPr>
                                  <w:rFonts w:ascii="Arial"/>
                                  <w:color w:val="231F20"/>
                                  <w:spacing w:val="23"/>
                                  <w:sz w:val="14"/>
                                </w:rPr>
                                <w:t> </w:t>
                              </w:r>
                              <w:r>
                                <w:rPr>
                                  <w:rFonts w:ascii="Arial"/>
                                  <w:color w:val="231F20"/>
                                  <w:spacing w:val="-10"/>
                                  <w:position w:val="-9"/>
                                  <w:sz w:val="14"/>
                                </w:rPr>
                                <w:t>0</w:t>
                              </w:r>
                            </w:p>
                          </w:txbxContent>
                        </wps:txbx>
                        <wps:bodyPr wrap="square" lIns="0" tIns="0" rIns="0" bIns="0" rtlCol="0">
                          <a:noAutofit/>
                        </wps:bodyPr>
                      </wps:wsp>
                      <wps:wsp>
                        <wps:cNvPr id="347" name="Textbox 347"/>
                        <wps:cNvSpPr txBox="1"/>
                        <wps:spPr>
                          <a:xfrm>
                            <a:off x="1123306" y="2503547"/>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20</w:t>
                              </w:r>
                            </w:p>
                          </w:txbxContent>
                        </wps:txbx>
                        <wps:bodyPr wrap="square" lIns="0" tIns="0" rIns="0" bIns="0" rtlCol="0">
                          <a:noAutofit/>
                        </wps:bodyPr>
                      </wps:wsp>
                      <wps:wsp>
                        <wps:cNvPr id="348" name="Textbox 348"/>
                        <wps:cNvSpPr txBox="1"/>
                        <wps:spPr>
                          <a:xfrm>
                            <a:off x="2014973" y="2503547"/>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40</w:t>
                              </w:r>
                            </w:p>
                          </w:txbxContent>
                        </wps:txbx>
                        <wps:bodyPr wrap="square" lIns="0" tIns="0" rIns="0" bIns="0" rtlCol="0">
                          <a:noAutofit/>
                        </wps:bodyPr>
                      </wps:wsp>
                      <wps:wsp>
                        <wps:cNvPr id="349" name="Textbox 349"/>
                        <wps:cNvSpPr txBox="1"/>
                        <wps:spPr>
                          <a:xfrm>
                            <a:off x="2906640" y="2503547"/>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60</w:t>
                              </w:r>
                            </w:p>
                          </w:txbxContent>
                        </wps:txbx>
                        <wps:bodyPr wrap="square" lIns="0" tIns="0" rIns="0" bIns="0" rtlCol="0">
                          <a:noAutofit/>
                        </wps:bodyPr>
                      </wps:wsp>
                      <wps:wsp>
                        <wps:cNvPr id="350" name="Textbox 350"/>
                        <wps:cNvSpPr txBox="1"/>
                        <wps:spPr>
                          <a:xfrm>
                            <a:off x="3798307" y="2503547"/>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80</w:t>
                              </w:r>
                            </w:p>
                          </w:txbxContent>
                        </wps:txbx>
                        <wps:bodyPr wrap="square" lIns="0" tIns="0" rIns="0" bIns="0" rtlCol="0">
                          <a:noAutofit/>
                        </wps:bodyPr>
                      </wps:wsp>
                      <wps:wsp>
                        <wps:cNvPr id="351" name="Textbox 351"/>
                        <wps:cNvSpPr txBox="1"/>
                        <wps:spPr>
                          <a:xfrm>
                            <a:off x="4668549" y="2503547"/>
                            <a:ext cx="14097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100</w:t>
                              </w:r>
                            </w:p>
                          </w:txbxContent>
                        </wps:txbx>
                        <wps:bodyPr wrap="square" lIns="0" tIns="0" rIns="0" bIns="0" rtlCol="0">
                          <a:noAutofit/>
                        </wps:bodyPr>
                      </wps:wsp>
                      <wps:wsp>
                        <wps:cNvPr id="352" name="Textbox 352"/>
                        <wps:cNvSpPr txBox="1"/>
                        <wps:spPr>
                          <a:xfrm>
                            <a:off x="76385" y="2630547"/>
                            <a:ext cx="2814320" cy="393065"/>
                          </a:xfrm>
                          <a:prstGeom prst="rect">
                            <a:avLst/>
                          </a:prstGeom>
                        </wps:spPr>
                        <wps:txbx>
                          <w:txbxContent>
                            <w:p>
                              <w:pPr>
                                <w:spacing w:line="159" w:lineRule="exact" w:before="0"/>
                                <w:ind w:left="0" w:right="18" w:firstLine="0"/>
                                <w:jc w:val="right"/>
                                <w:rPr>
                                  <w:rFonts w:ascii="Arial"/>
                                  <w:sz w:val="14"/>
                                </w:rPr>
                              </w:pPr>
                              <w:r>
                                <w:rPr>
                                  <w:rFonts w:ascii="Arial"/>
                                  <w:color w:val="231F20"/>
                                  <w:w w:val="80"/>
                                  <w:sz w:val="14"/>
                                </w:rPr>
                                <w:t>Import</w:t>
                              </w:r>
                              <w:r>
                                <w:rPr>
                                  <w:rFonts w:ascii="Arial"/>
                                  <w:color w:val="231F20"/>
                                  <w:spacing w:val="-7"/>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7"/>
                                  <w:sz w:val="14"/>
                                </w:rPr>
                                <w:t> </w:t>
                              </w:r>
                              <w:r>
                                <w:rPr>
                                  <w:rFonts w:ascii="Arial"/>
                                  <w:color w:val="231F20"/>
                                  <w:spacing w:val="-2"/>
                                  <w:w w:val="80"/>
                                  <w:sz w:val="14"/>
                                </w:rPr>
                                <w:t>(days)</w:t>
                              </w:r>
                            </w:p>
                            <w:p>
                              <w:pPr>
                                <w:spacing w:line="240" w:lineRule="auto" w:before="12"/>
                                <w:rPr>
                                  <w:rFonts w:ascii="Arial"/>
                                  <w:sz w:val="14"/>
                                </w:rPr>
                              </w:pPr>
                            </w:p>
                            <w:p>
                              <w:pPr>
                                <w:spacing w:before="0"/>
                                <w:ind w:left="0" w:right="0" w:firstLine="0"/>
                                <w:jc w:val="left"/>
                                <w:rPr>
                                  <w:rFonts w:ascii="Arial"/>
                                  <w:sz w:val="12"/>
                                </w:rPr>
                              </w:pPr>
                              <w:r>
                                <w:rPr>
                                  <w:rFonts w:ascii="Arial"/>
                                  <w:i/>
                                  <w:color w:val="231F20"/>
                                  <w:w w:val="75"/>
                                  <w:sz w:val="12"/>
                                </w:rPr>
                                <w:t>Source:</w:t>
                              </w:r>
                              <w:r>
                                <w:rPr>
                                  <w:rFonts w:ascii="Arial"/>
                                  <w:i/>
                                  <w:color w:val="231F20"/>
                                  <w:spacing w:val="-2"/>
                                  <w:sz w:val="12"/>
                                </w:rPr>
                                <w:t> </w:t>
                              </w:r>
                              <w:r>
                                <w:rPr>
                                  <w:rFonts w:ascii="Arial"/>
                                  <w:color w:val="231F20"/>
                                  <w:w w:val="75"/>
                                  <w:sz w:val="12"/>
                                </w:rPr>
                                <w:t>World</w:t>
                              </w:r>
                              <w:r>
                                <w:rPr>
                                  <w:rFonts w:ascii="Arial"/>
                                  <w:color w:val="231F20"/>
                                  <w:spacing w:val="5"/>
                                  <w:sz w:val="12"/>
                                </w:rPr>
                                <w:t> </w:t>
                              </w:r>
                              <w:r>
                                <w:rPr>
                                  <w:rFonts w:ascii="Arial"/>
                                  <w:color w:val="231F20"/>
                                  <w:w w:val="75"/>
                                  <w:sz w:val="12"/>
                                </w:rPr>
                                <w:t>Bank</w:t>
                              </w:r>
                              <w:r>
                                <w:rPr>
                                  <w:rFonts w:ascii="Arial"/>
                                  <w:color w:val="231F20"/>
                                  <w:spacing w:val="4"/>
                                  <w:sz w:val="12"/>
                                </w:rPr>
                                <w:t> </w:t>
                              </w:r>
                              <w:r>
                                <w:rPr>
                                  <w:rFonts w:ascii="Arial"/>
                                  <w:color w:val="231F20"/>
                                  <w:w w:val="75"/>
                                  <w:sz w:val="12"/>
                                </w:rPr>
                                <w:t>estimates</w:t>
                              </w:r>
                              <w:r>
                                <w:rPr>
                                  <w:rFonts w:ascii="Arial"/>
                                  <w:color w:val="231F20"/>
                                  <w:spacing w:val="4"/>
                                  <w:sz w:val="12"/>
                                </w:rPr>
                                <w:t> </w:t>
                              </w:r>
                              <w:r>
                                <w:rPr>
                                  <w:rFonts w:ascii="Arial"/>
                                  <w:color w:val="231F20"/>
                                  <w:w w:val="75"/>
                                  <w:sz w:val="12"/>
                                </w:rPr>
                                <w:t>based</w:t>
                              </w:r>
                              <w:r>
                                <w:rPr>
                                  <w:rFonts w:ascii="Arial"/>
                                  <w:color w:val="231F20"/>
                                  <w:spacing w:val="4"/>
                                  <w:sz w:val="12"/>
                                </w:rPr>
                                <w:t> </w:t>
                              </w:r>
                              <w:r>
                                <w:rPr>
                                  <w:rFonts w:ascii="Arial"/>
                                  <w:color w:val="231F20"/>
                                  <w:w w:val="75"/>
                                  <w:sz w:val="12"/>
                                </w:rPr>
                                <w:t>on</w:t>
                              </w:r>
                              <w:r>
                                <w:rPr>
                                  <w:rFonts w:ascii="Arial"/>
                                  <w:color w:val="231F20"/>
                                  <w:spacing w:val="-1"/>
                                  <w:sz w:val="12"/>
                                </w:rPr>
                                <w:t> </w:t>
                              </w:r>
                              <w:r>
                                <w:rPr>
                                  <w:rFonts w:ascii="Arial"/>
                                  <w:color w:val="231F20"/>
                                  <w:w w:val="75"/>
                                  <w:sz w:val="12"/>
                                </w:rPr>
                                <w:t>TradeLens</w:t>
                              </w:r>
                              <w:r>
                                <w:rPr>
                                  <w:rFonts w:ascii="Arial"/>
                                  <w:color w:val="231F20"/>
                                  <w:spacing w:val="5"/>
                                  <w:sz w:val="12"/>
                                </w:rPr>
                                <w:t> </w:t>
                              </w:r>
                              <w:r>
                                <w:rPr>
                                  <w:rFonts w:ascii="Arial"/>
                                  <w:color w:val="231F20"/>
                                  <w:spacing w:val="-2"/>
                                  <w:w w:val="75"/>
                                  <w:sz w:val="12"/>
                                </w:rPr>
                                <w:t>data.</w:t>
                              </w:r>
                            </w:p>
                            <w:p>
                              <w:pPr>
                                <w:spacing w:before="3"/>
                                <w:ind w:left="0" w:right="0" w:firstLine="0"/>
                                <w:jc w:val="left"/>
                                <w:rPr>
                                  <w:rFonts w:ascii="Arial"/>
                                  <w:sz w:val="12"/>
                                </w:rPr>
                              </w:pPr>
                              <w:r>
                                <w:rPr>
                                  <w:rFonts w:ascii="Arial"/>
                                  <w:i/>
                                  <w:color w:val="231F20"/>
                                  <w:w w:val="80"/>
                                  <w:sz w:val="12"/>
                                </w:rPr>
                                <w:t>Note:</w:t>
                              </w:r>
                              <w:r>
                                <w:rPr>
                                  <w:rFonts w:ascii="Arial"/>
                                  <w:i/>
                                  <w:color w:val="231F20"/>
                                  <w:spacing w:val="-3"/>
                                  <w:w w:val="80"/>
                                  <w:sz w:val="12"/>
                                </w:rPr>
                                <w:t> </w:t>
                              </w:r>
                              <w:r>
                                <w:rPr>
                                  <w:rFonts w:ascii="Arial"/>
                                  <w:color w:val="231F20"/>
                                  <w:w w:val="80"/>
                                  <w:sz w:val="12"/>
                                </w:rPr>
                                <w:t>Consignments</w:t>
                              </w:r>
                              <w:r>
                                <w:rPr>
                                  <w:rFonts w:ascii="Arial"/>
                                  <w:color w:val="231F20"/>
                                  <w:spacing w:val="-1"/>
                                  <w:w w:val="80"/>
                                  <w:sz w:val="12"/>
                                </w:rPr>
                                <w:t> </w:t>
                              </w:r>
                              <w:r>
                                <w:rPr>
                                  <w:rFonts w:ascii="Arial"/>
                                  <w:color w:val="231F20"/>
                                  <w:w w:val="80"/>
                                  <w:sz w:val="12"/>
                                </w:rPr>
                                <w:t>with</w:t>
                              </w:r>
                              <w:r>
                                <w:rPr>
                                  <w:rFonts w:ascii="Arial"/>
                                  <w:color w:val="231F20"/>
                                  <w:spacing w:val="-6"/>
                                  <w:sz w:val="12"/>
                                </w:rPr>
                                <w:t> </w:t>
                              </w:r>
                              <w:r>
                                <w:rPr>
                                  <w:rFonts w:ascii="Arial"/>
                                  <w:color w:val="231F20"/>
                                  <w:w w:val="80"/>
                                  <w:sz w:val="12"/>
                                </w:rPr>
                                <w:t>an</w:t>
                              </w:r>
                              <w:r>
                                <w:rPr>
                                  <w:rFonts w:ascii="Arial"/>
                                  <w:color w:val="231F20"/>
                                  <w:spacing w:val="-1"/>
                                  <w:w w:val="80"/>
                                  <w:sz w:val="12"/>
                                </w:rPr>
                                <w:t> </w:t>
                              </w:r>
                              <w:r>
                                <w:rPr>
                                  <w:rFonts w:ascii="Arial"/>
                                  <w:color w:val="231F20"/>
                                  <w:w w:val="80"/>
                                  <w:sz w:val="12"/>
                                </w:rPr>
                                <w:t>import</w:t>
                              </w:r>
                              <w:r>
                                <w:rPr>
                                  <w:rFonts w:ascii="Arial"/>
                                  <w:color w:val="231F20"/>
                                  <w:spacing w:val="-6"/>
                                  <w:sz w:val="12"/>
                                </w:rPr>
                                <w:t> </w:t>
                              </w:r>
                              <w:r>
                                <w:rPr>
                                  <w:rFonts w:ascii="Arial"/>
                                  <w:color w:val="231F20"/>
                                  <w:w w:val="80"/>
                                  <w:sz w:val="12"/>
                                </w:rPr>
                                <w:t>dwell</w:t>
                              </w:r>
                              <w:r>
                                <w:rPr>
                                  <w:rFonts w:ascii="Arial"/>
                                  <w:color w:val="231F20"/>
                                  <w:spacing w:val="-7"/>
                                  <w:sz w:val="12"/>
                                </w:rPr>
                                <w:t> </w:t>
                              </w:r>
                              <w:r>
                                <w:rPr>
                                  <w:rFonts w:ascii="Arial"/>
                                  <w:color w:val="231F20"/>
                                  <w:w w:val="80"/>
                                  <w:sz w:val="12"/>
                                </w:rPr>
                                <w:t>time</w:t>
                              </w:r>
                              <w:r>
                                <w:rPr>
                                  <w:rFonts w:ascii="Arial"/>
                                  <w:color w:val="231F20"/>
                                  <w:spacing w:val="-6"/>
                                  <w:sz w:val="12"/>
                                </w:rPr>
                                <w:t> </w:t>
                              </w:r>
                              <w:r>
                                <w:rPr>
                                  <w:rFonts w:ascii="Arial"/>
                                  <w:color w:val="231F20"/>
                                  <w:w w:val="80"/>
                                  <w:sz w:val="12"/>
                                </w:rPr>
                                <w:t>of</w:t>
                              </w:r>
                              <w:r>
                                <w:rPr>
                                  <w:rFonts w:ascii="Arial"/>
                                  <w:color w:val="231F20"/>
                                  <w:spacing w:val="-7"/>
                                  <w:sz w:val="12"/>
                                </w:rPr>
                                <w:t> </w:t>
                              </w:r>
                              <w:r>
                                <w:rPr>
                                  <w:rFonts w:ascii="Arial"/>
                                  <w:color w:val="231F20"/>
                                  <w:w w:val="80"/>
                                  <w:sz w:val="12"/>
                                </w:rPr>
                                <w:t>more</w:t>
                              </w:r>
                              <w:r>
                                <w:rPr>
                                  <w:rFonts w:ascii="Arial"/>
                                  <w:color w:val="231F20"/>
                                  <w:spacing w:val="-6"/>
                                  <w:sz w:val="12"/>
                                </w:rPr>
                                <w:t> </w:t>
                              </w:r>
                              <w:r>
                                <w:rPr>
                                  <w:rFonts w:ascii="Arial"/>
                                  <w:color w:val="231F20"/>
                                  <w:w w:val="80"/>
                                  <w:sz w:val="12"/>
                                </w:rPr>
                                <w:t>than</w:t>
                              </w:r>
                              <w:r>
                                <w:rPr>
                                  <w:rFonts w:ascii="Arial"/>
                                  <w:color w:val="231F20"/>
                                  <w:spacing w:val="-7"/>
                                  <w:sz w:val="12"/>
                                </w:rPr>
                                <w:t> </w:t>
                              </w:r>
                              <w:r>
                                <w:rPr>
                                  <w:rFonts w:ascii="Arial"/>
                                  <w:color w:val="231F20"/>
                                  <w:w w:val="80"/>
                                  <w:sz w:val="12"/>
                                </w:rPr>
                                <w:t>100</w:t>
                              </w:r>
                              <w:r>
                                <w:rPr>
                                  <w:rFonts w:ascii="Arial"/>
                                  <w:color w:val="231F20"/>
                                  <w:spacing w:val="-6"/>
                                  <w:sz w:val="12"/>
                                </w:rPr>
                                <w:t> </w:t>
                              </w:r>
                              <w:r>
                                <w:rPr>
                                  <w:rFonts w:ascii="Arial"/>
                                  <w:color w:val="231F20"/>
                                  <w:w w:val="80"/>
                                  <w:sz w:val="12"/>
                                </w:rPr>
                                <w:t>days</w:t>
                              </w:r>
                              <w:r>
                                <w:rPr>
                                  <w:rFonts w:ascii="Arial"/>
                                  <w:color w:val="231F20"/>
                                  <w:spacing w:val="-7"/>
                                  <w:sz w:val="12"/>
                                </w:rPr>
                                <w:t> </w:t>
                              </w:r>
                              <w:r>
                                <w:rPr>
                                  <w:rFonts w:ascii="Arial"/>
                                  <w:color w:val="231F20"/>
                                  <w:w w:val="80"/>
                                  <w:sz w:val="12"/>
                                </w:rPr>
                                <w:t>are</w:t>
                              </w:r>
                              <w:r>
                                <w:rPr>
                                  <w:rFonts w:ascii="Arial"/>
                                  <w:color w:val="231F20"/>
                                  <w:spacing w:val="-6"/>
                                  <w:sz w:val="12"/>
                                </w:rPr>
                                <w:t> </w:t>
                              </w:r>
                              <w:r>
                                <w:rPr>
                                  <w:rFonts w:ascii="Arial"/>
                                  <w:color w:val="231F20"/>
                                  <w:spacing w:val="-2"/>
                                  <w:w w:val="80"/>
                                  <w:sz w:val="12"/>
                                </w:rPr>
                                <w:t>excluded.</w:t>
                              </w:r>
                            </w:p>
                          </w:txbxContent>
                        </wps:txbx>
                        <wps:bodyPr wrap="square" lIns="0" tIns="0" rIns="0" bIns="0" rtlCol="0">
                          <a:noAutofit/>
                        </wps:bodyPr>
                      </wps:wsp>
                    </wpg:wgp>
                  </a:graphicData>
                </a:graphic>
              </wp:inline>
            </w:drawing>
          </mc:Choice>
          <mc:Fallback>
            <w:pict>
              <v:group style="width:384.05pt;height:245.4pt;mso-position-horizontal-relative:char;mso-position-vertical-relative:line" id="docshapegroup198" coordorigin="0,0" coordsize="7681,4908">
                <v:shape style="position:absolute;left:0;top:606;width:7680;height:4301" id="docshape199" coordorigin="0,606" coordsize="7680,4301" path="m7680,606l0,606,0,4789,10,4835,36,4873,74,4898,119,4907,7556,4907,7602,4899,7642,4875,7670,4838,7680,4789,7680,606xe" filled="true" fillcolor="#dfeaf7" stroked="false">
                  <v:path arrowok="t"/>
                  <v:fill type="solid"/>
                </v:shape>
                <v:shape style="position:absolute;left:432;top:3915;width:7021;height:2" id="docshape200" coordorigin="432,3915" coordsize="7021,0" path="m432,3915l7453,3915m432,3915l7453,3915e" filled="false" stroked="true" strokeweight=".5pt" strokecolor="#ffffff">
                  <v:path arrowok="t"/>
                  <v:stroke dashstyle="solid"/>
                </v:shape>
                <v:shape style="position:absolute;left:432;top:1794;width:7021;height:1414" id="docshape201" coordorigin="432,1795" coordsize="7021,1414" path="m432,3208l1041,3208m2260,3208l7453,3208m432,2502l1041,2502m1389,2502l1563,2502m1737,2502l7453,2502m432,1795l1041,1795m1215,1795l7453,1795e" filled="false" stroked="true" strokeweight=".5pt" strokecolor="#ffffff">
                  <v:path arrowok="t"/>
                  <v:stroke dashstyle="solid"/>
                </v:shape>
                <v:line style="position:absolute" from="432,1088" to="7453,1088" stroked="true" strokeweight=".5pt" strokecolor="#ffffff">
                  <v:stroke dashstyle="solid"/>
                </v:line>
                <v:shape style="position:absolute;left:0;top:0;width:807;height:565" id="docshape202" coordorigin="0,0" coordsize="807,565" path="m807,0l120,0,74,5,36,23,10,59,0,120,0,565,807,565,807,0xe" filled="true" fillcolor="#008fdd" stroked="false">
                  <v:path arrowok="t"/>
                  <v:fill type="solid"/>
                </v:shape>
                <v:shape style="position:absolute;left:806;top:0;width:6873;height:565" id="docshape203" coordorigin="807,0" coordsize="6873,565" path="m7559,0l807,0,807,565,7679,565,7679,120,7671,80,7646,41,7608,12,7559,0xe" filled="true" fillcolor="#808285" stroked="false">
                  <v:path arrowok="t"/>
                  <v:fill type="solid"/>
                </v:shape>
                <v:line style="position:absolute" from="807,0" to="807,579" stroked="true" strokeweight="2pt" strokecolor="#ffffff">
                  <v:stroke dashstyle="solid"/>
                </v:line>
                <v:rect style="position:absolute;left:518;top:3646;width:175;height:269" id="docshape204" filled="true" fillcolor="#008fdd" stroked="false">
                  <v:fill type="solid"/>
                </v:rect>
                <v:rect style="position:absolute;left:518;top:3646;width:175;height:269" id="docshape205" filled="false" stroked="true" strokeweight=".25pt" strokecolor="#ffffff">
                  <v:stroke dashstyle="solid"/>
                </v:rect>
                <v:rect style="position:absolute;left:692;top:3533;width:175;height:382" id="docshape206" filled="true" fillcolor="#008fdd" stroked="false">
                  <v:fill type="solid"/>
                </v:rect>
                <v:rect style="position:absolute;left:692;top:3533;width:175;height:382" id="docshape207" filled="false" stroked="true" strokeweight=".25pt" strokecolor="#ffffff">
                  <v:stroke dashstyle="solid"/>
                </v:rect>
                <v:rect style="position:absolute;left:866;top:3377;width:175;height:538" id="docshape208" filled="true" fillcolor="#008fdd" stroked="false">
                  <v:fill type="solid"/>
                </v:rect>
                <v:rect style="position:absolute;left:866;top:3377;width:175;height:538" id="docshape209" filled="false" stroked="true" strokeweight=".25pt" strokecolor="#ffffff">
                  <v:stroke dashstyle="solid"/>
                </v:rect>
                <v:rect style="position:absolute;left:1040;top:1639;width:175;height:2276" id="docshape210" filled="true" fillcolor="#008fdd" stroked="false">
                  <v:fill type="solid"/>
                </v:rect>
                <v:rect style="position:absolute;left:1040;top:1639;width:175;height:2276" id="docshape211" filled="false" stroked="true" strokeweight=".25pt" strokecolor="#ffffff">
                  <v:stroke dashstyle="solid"/>
                </v:rect>
                <v:rect style="position:absolute;left:1214;top:2176;width:175;height:1739" id="docshape212" filled="true" fillcolor="#008fdd" stroked="false">
                  <v:fill type="solid"/>
                </v:rect>
                <v:rect style="position:absolute;left:1214;top:2176;width:175;height:1739" id="docshape213" filled="false" stroked="true" strokeweight=".25pt" strokecolor="#ffffff">
                  <v:stroke dashstyle="solid"/>
                </v:rect>
                <v:rect style="position:absolute;left:1388;top:2897;width:175;height:1018" id="docshape214" filled="true" fillcolor="#008fdd" stroked="false">
                  <v:fill type="solid"/>
                </v:rect>
                <v:rect style="position:absolute;left:1388;top:2897;width:175;height:1018" id="docshape215" filled="false" stroked="true" strokeweight=".25pt" strokecolor="#ffffff">
                  <v:stroke dashstyle="solid"/>
                </v:rect>
                <v:rect style="position:absolute;left:1563;top:2487;width:175;height:1428" id="docshape216" filled="true" fillcolor="#008fdd" stroked="false">
                  <v:fill type="solid"/>
                </v:rect>
                <v:rect style="position:absolute;left:1563;top:2487;width:175;height:1428" id="docshape217" filled="false" stroked="true" strokeweight=".25pt" strokecolor="#ffffff">
                  <v:stroke dashstyle="solid"/>
                </v:rect>
                <v:rect style="position:absolute;left:1737;top:2883;width:175;height:1032" id="docshape218" filled="true" fillcolor="#008fdd" stroked="false">
                  <v:fill type="solid"/>
                </v:rect>
                <v:rect style="position:absolute;left:1737;top:2883;width:175;height:1032" id="docshape219" filled="false" stroked="true" strokeweight=".25pt" strokecolor="#ffffff">
                  <v:stroke dashstyle="solid"/>
                </v:rect>
                <v:rect style="position:absolute;left:1911;top:2869;width:175;height:1047" id="docshape220" filled="true" fillcolor="#008fdd" stroked="false">
                  <v:fill type="solid"/>
                </v:rect>
                <v:rect style="position:absolute;left:1911;top:2869;width:175;height:1047" id="docshape221" filled="false" stroked="true" strokeweight=".25pt" strokecolor="#ffffff">
                  <v:stroke dashstyle="solid"/>
                </v:rect>
                <v:rect style="position:absolute;left:2085;top:3095;width:175;height:820" id="docshape222" filled="true" fillcolor="#008fdd" stroked="false">
                  <v:fill type="solid"/>
                </v:rect>
                <v:rect style="position:absolute;left:2085;top:3095;width:175;height:820" id="docshape223" filled="false" stroked="true" strokeweight=".25pt" strokecolor="#ffffff">
                  <v:stroke dashstyle="solid"/>
                </v:rect>
                <v:rect style="position:absolute;left:2259;top:3547;width:175;height:368" id="docshape224" filled="true" fillcolor="#008fdd" stroked="false">
                  <v:fill type="solid"/>
                </v:rect>
                <v:rect style="position:absolute;left:2259;top:3547;width:175;height:368" id="docshape225" filled="false" stroked="true" strokeweight=".25pt" strokecolor="#ffffff">
                  <v:stroke dashstyle="solid"/>
                </v:rect>
                <v:rect style="position:absolute;left:2434;top:3363;width:175;height:552" id="docshape226" filled="true" fillcolor="#008fdd" stroked="false">
                  <v:fill type="solid"/>
                </v:rect>
                <v:rect style="position:absolute;left:2434;top:3363;width:175;height:552" id="docshape227" filled="false" stroked="true" strokeweight=".25pt" strokecolor="#ffffff">
                  <v:stroke dashstyle="solid"/>
                </v:rect>
                <v:rect style="position:absolute;left:2608;top:3547;width:175;height:368" id="docshape228" filled="true" fillcolor="#008fdd" stroked="false">
                  <v:fill type="solid"/>
                </v:rect>
                <v:rect style="position:absolute;left:2608;top:3547;width:175;height:368" id="docshape229" filled="false" stroked="true" strokeweight=".25pt" strokecolor="#ffffff">
                  <v:stroke dashstyle="solid"/>
                </v:rect>
                <v:rect style="position:absolute;left:2782;top:3590;width:175;height:326" id="docshape230" filled="true" fillcolor="#008fdd" stroked="false">
                  <v:fill type="solid"/>
                </v:rect>
                <v:rect style="position:absolute;left:2782;top:3590;width:175;height:326" id="docshape231" filled="false" stroked="true" strokeweight=".25pt" strokecolor="#ffffff">
                  <v:stroke dashstyle="solid"/>
                </v:rect>
                <v:rect style="position:absolute;left:2956;top:3717;width:175;height:198" id="docshape232" filled="true" fillcolor="#008fdd" stroked="false">
                  <v:fill type="solid"/>
                </v:rect>
                <v:rect style="position:absolute;left:2956;top:3717;width:175;height:198" id="docshape233" filled="false" stroked="true" strokeweight=".25pt" strokecolor="#ffffff">
                  <v:stroke dashstyle="solid"/>
                </v:rect>
                <v:rect style="position:absolute;left:3130;top:3745;width:175;height:170" id="docshape234" filled="true" fillcolor="#008fdd" stroked="false">
                  <v:fill type="solid"/>
                </v:rect>
                <v:rect style="position:absolute;left:3130;top:3745;width:175;height:170" id="docshape235" filled="false" stroked="true" strokeweight=".25pt" strokecolor="#ffffff">
                  <v:stroke dashstyle="solid"/>
                </v:rect>
                <v:rect style="position:absolute;left:3305;top:3816;width:175;height:99" id="docshape236" filled="true" fillcolor="#008fdd" stroked="false">
                  <v:fill type="solid"/>
                </v:rect>
                <v:rect style="position:absolute;left:3305;top:3816;width:175;height:99" id="docshape237" filled="false" stroked="true" strokeweight=".25pt" strokecolor="#ffffff">
                  <v:stroke dashstyle="solid"/>
                </v:rect>
                <v:rect style="position:absolute;left:3479;top:3590;width:175;height:326" id="docshape238" filled="true" fillcolor="#008fdd" stroked="false">
                  <v:fill type="solid"/>
                </v:rect>
                <v:rect style="position:absolute;left:3479;top:3590;width:175;height:326" id="docshape239" filled="false" stroked="true" strokeweight=".25pt" strokecolor="#ffffff">
                  <v:stroke dashstyle="solid"/>
                </v:rect>
                <v:rect style="position:absolute;left:3653;top:3830;width:175;height:85" id="docshape240" filled="true" fillcolor="#008fdd" stroked="false">
                  <v:fill type="solid"/>
                </v:rect>
                <v:rect style="position:absolute;left:3653;top:3830;width:175;height:85" id="docshape241" filled="false" stroked="true" strokeweight=".25pt" strokecolor="#ffffff">
                  <v:stroke dashstyle="solid"/>
                </v:rect>
                <v:rect style="position:absolute;left:3827;top:3844;width:175;height:71" id="docshape242" filled="true" fillcolor="#008fdd" stroked="false">
                  <v:fill type="solid"/>
                </v:rect>
                <v:rect style="position:absolute;left:3827;top:3844;width:175;height:71" id="docshape243" filled="false" stroked="true" strokeweight=".25pt" strokecolor="#ffffff">
                  <v:stroke dashstyle="solid"/>
                </v:rect>
                <v:rect style="position:absolute;left:4001;top:3816;width:175;height:99" id="docshape244" filled="true" fillcolor="#008fdd" stroked="false">
                  <v:fill type="solid"/>
                </v:rect>
                <v:rect style="position:absolute;left:4001;top:3816;width:175;height:99" id="docshape245" filled="false" stroked="true" strokeweight=".25pt" strokecolor="#ffffff">
                  <v:stroke dashstyle="solid"/>
                </v:rect>
                <v:rect style="position:absolute;left:4175;top:3901;width:175;height:15" id="docshape246" filled="true" fillcolor="#008fdd" stroked="false">
                  <v:fill type="solid"/>
                </v:rect>
                <v:rect style="position:absolute;left:4175;top:3901;width:175;height:15" id="docshape247" filled="false" stroked="true" strokeweight=".25pt" strokecolor="#ffffff">
                  <v:stroke dashstyle="solid"/>
                </v:rect>
                <v:rect style="position:absolute;left:4350;top:3886;width:175;height:29" id="docshape248" filled="true" fillcolor="#008fdd" stroked="false">
                  <v:fill type="solid"/>
                </v:rect>
                <v:rect style="position:absolute;left:4350;top:3886;width:175;height:29" id="docshape249" filled="false" stroked="true" strokeweight=".25pt" strokecolor="#ffffff">
                  <v:stroke dashstyle="solid"/>
                </v:rect>
                <v:rect style="position:absolute;left:4524;top:3872;width:175;height:43" id="docshape250" filled="true" fillcolor="#008fdd" stroked="false">
                  <v:fill type="solid"/>
                </v:rect>
                <v:rect style="position:absolute;left:4524;top:3872;width:175;height:43" id="docshape251" filled="false" stroked="true" strokeweight=".25pt" strokecolor="#ffffff">
                  <v:stroke dashstyle="solid"/>
                </v:rect>
                <v:rect style="position:absolute;left:4698;top:3858;width:175;height:57" id="docshape252" filled="true" fillcolor="#008fdd" stroked="false">
                  <v:fill type="solid"/>
                </v:rect>
                <v:rect style="position:absolute;left:4698;top:3858;width:175;height:57" id="docshape253" filled="false" stroked="true" strokeweight=".25pt" strokecolor="#ffffff">
                  <v:stroke dashstyle="solid"/>
                </v:rect>
                <v:rect style="position:absolute;left:4872;top:3872;width:175;height:43" id="docshape254" filled="true" fillcolor="#008fdd" stroked="false">
                  <v:fill type="solid"/>
                </v:rect>
                <v:rect style="position:absolute;left:4872;top:3872;width:175;height:43" id="docshape255" filled="false" stroked="true" strokeweight=".25pt" strokecolor="#ffffff">
                  <v:stroke dashstyle="solid"/>
                </v:rect>
                <v:rect style="position:absolute;left:5046;top:3858;width:175;height:57" id="docshape256" filled="true" fillcolor="#008fdd" stroked="false">
                  <v:fill type="solid"/>
                </v:rect>
                <v:rect style="position:absolute;left:5046;top:3858;width:175;height:57" id="docshape257" filled="false" stroked="true" strokeweight=".25pt" strokecolor="#ffffff">
                  <v:stroke dashstyle="solid"/>
                </v:rect>
                <v:rect style="position:absolute;left:5221;top:3858;width:175;height:57" id="docshape258" filled="true" fillcolor="#008fdd" stroked="false">
                  <v:fill type="solid"/>
                </v:rect>
                <v:rect style="position:absolute;left:5221;top:3858;width:175;height:57" id="docshape259" filled="false" stroked="true" strokeweight=".25pt" strokecolor="#ffffff">
                  <v:stroke dashstyle="solid"/>
                </v:rect>
                <v:rect style="position:absolute;left:5395;top:3901;width:175;height:15" id="docshape260" filled="true" fillcolor="#008fdd" stroked="false">
                  <v:fill type="solid"/>
                </v:rect>
                <v:rect style="position:absolute;left:5395;top:3901;width:175;height:15" id="docshape261" filled="false" stroked="true" strokeweight=".25pt" strokecolor="#ffffff">
                  <v:stroke dashstyle="solid"/>
                </v:rect>
                <v:shape style="position:absolute;left:5569;top:3915;width:175;height:2" id="docshape262" coordorigin="5569,3915" coordsize="175,0" path="m5744,3915l5569,3915e" filled="true" fillcolor="#008fdd" stroked="false">
                  <v:path arrowok="t"/>
                  <v:fill type="solid"/>
                </v:shape>
                <v:shape style="position:absolute;left:5569;top:3915;width:175;height:2" id="docshape263" coordorigin="5569,3915" coordsize="175,0" path="m5569,3915l5744,3915,5569,3915xe" filled="false" stroked="true" strokeweight=".25pt" strokecolor="#ffffff">
                  <v:path arrowok="t"/>
                  <v:stroke dashstyle="solid"/>
                </v:shape>
                <v:rect style="position:absolute;left:5743;top:3901;width:175;height:15" id="docshape264" filled="true" fillcolor="#008fdd" stroked="false">
                  <v:fill type="solid"/>
                </v:rect>
                <v:rect style="position:absolute;left:5743;top:3901;width:175;height:15" id="docshape265" filled="false" stroked="true" strokeweight=".25pt" strokecolor="#ffffff">
                  <v:stroke dashstyle="solid"/>
                </v:rect>
                <v:rect style="position:absolute;left:5917;top:3901;width:175;height:15" id="docshape266" filled="true" fillcolor="#008fdd" stroked="false">
                  <v:fill type="solid"/>
                </v:rect>
                <v:rect style="position:absolute;left:5917;top:3901;width:175;height:15" id="docshape267" filled="false" stroked="true" strokeweight=".25pt" strokecolor="#ffffff">
                  <v:stroke dashstyle="solid"/>
                </v:rect>
                <v:shape style="position:absolute;left:6092;top:3915;width:175;height:2" id="docshape268" coordorigin="6092,3915" coordsize="175,0" path="m6266,3915l6092,3915e" filled="true" fillcolor="#008fdd" stroked="false">
                  <v:path arrowok="t"/>
                  <v:fill type="solid"/>
                </v:shape>
                <v:shape style="position:absolute;left:6092;top:3915;width:175;height:2" id="docshape269" coordorigin="6092,3915" coordsize="175,0" path="m6092,3915l6266,3915,6092,3915xe" filled="false" stroked="true" strokeweight=".25pt" strokecolor="#ffffff">
                  <v:path arrowok="t"/>
                  <v:stroke dashstyle="solid"/>
                </v:shape>
                <v:shape style="position:absolute;left:6266;top:3915;width:175;height:2" id="docshape270" coordorigin="6266,3915" coordsize="175,0" path="m6440,3915l6266,3915e" filled="true" fillcolor="#008fdd" stroked="false">
                  <v:path arrowok="t"/>
                  <v:fill type="solid"/>
                </v:shape>
                <v:shape style="position:absolute;left:6266;top:3915;width:175;height:2" id="docshape271" coordorigin="6266,3915" coordsize="175,0" path="m6266,3915l6440,3915,6266,3915xe" filled="false" stroked="true" strokeweight=".25pt" strokecolor="#ffffff">
                  <v:path arrowok="t"/>
                  <v:stroke dashstyle="solid"/>
                </v:shape>
                <v:rect style="position:absolute;left:6440;top:3901;width:175;height:15" id="docshape272" filled="true" fillcolor="#008fdd" stroked="false">
                  <v:fill type="solid"/>
                </v:rect>
                <v:rect style="position:absolute;left:6440;top:3901;width:175;height:15" id="docshape273" filled="false" stroked="true" strokeweight=".25pt" strokecolor="#ffffff">
                  <v:stroke dashstyle="solid"/>
                </v:rect>
                <v:rect style="position:absolute;left:6614;top:3901;width:175;height:15" id="docshape274" filled="true" fillcolor="#008fdd" stroked="false">
                  <v:fill type="solid"/>
                </v:rect>
                <v:rect style="position:absolute;left:6614;top:3901;width:175;height:15" id="docshape275" filled="false" stroked="true" strokeweight=".25pt" strokecolor="#ffffff">
                  <v:stroke dashstyle="solid"/>
                </v:rect>
                <v:shape style="position:absolute;left:6788;top:3915;width:175;height:2" id="docshape276" coordorigin="6789,3915" coordsize="175,0" path="m6963,3915l6789,3915e" filled="true" fillcolor="#008fdd" stroked="false">
                  <v:path arrowok="t"/>
                  <v:fill type="solid"/>
                </v:shape>
                <v:shape style="position:absolute;left:6788;top:3915;width:175;height:2" id="docshape277" coordorigin="6789,3915" coordsize="175,0" path="m6789,3915l6963,3915,6789,3915xe" filled="false" stroked="true" strokeweight=".25pt" strokecolor="#ffffff">
                  <v:path arrowok="t"/>
                  <v:stroke dashstyle="solid"/>
                </v:shape>
                <v:shape style="position:absolute;left:6962;top:3915;width:175;height:2" id="docshape278" coordorigin="6963,3915" coordsize="175,0" path="m7137,3915l6963,3915e" filled="true" fillcolor="#008fdd" stroked="false">
                  <v:path arrowok="t"/>
                  <v:fill type="solid"/>
                </v:shape>
                <v:shape style="position:absolute;left:6962;top:3915;width:175;height:2" id="docshape279" coordorigin="6963,3915" coordsize="175,0" path="m6963,3915l7137,3915,6963,3915xe" filled="false" stroked="true" strokeweight=".25pt" strokecolor="#ffffff">
                  <v:path arrowok="t"/>
                  <v:stroke dashstyle="solid"/>
                </v:shape>
                <v:shape style="position:absolute;left:7137;top:3915;width:175;height:2" id="docshape280" coordorigin="7137,3915" coordsize="175,0" path="m7311,3915l7137,3915e" filled="true" fillcolor="#008fdd" stroked="false">
                  <v:path arrowok="t"/>
                  <v:fill type="solid"/>
                </v:shape>
                <v:shape style="position:absolute;left:7137;top:3915;width:175;height:2" id="docshape281" coordorigin="7137,3915" coordsize="175,0" path="m7137,3915l7311,3915,7137,3915xe" filled="false" stroked="true" strokeweight=".25pt" strokecolor="#ffffff">
                  <v:path arrowok="t"/>
                  <v:stroke dashstyle="solid"/>
                </v:shape>
                <v:rect style="position:absolute;left:7311;top:3901;width:175;height:15" id="docshape282" filled="true" fillcolor="#008fdd" stroked="false">
                  <v:fill type="solid"/>
                </v:rect>
                <v:rect style="position:absolute;left:7311;top:3901;width:175;height:15" id="docshape283" filled="false" stroked="true" strokeweight=".25pt" strokecolor="#ffffff">
                  <v:stroke dashstyle="solid"/>
                </v:rect>
                <v:line style="position:absolute" from="1854,3915" to="1854,1088" stroked="true" strokeweight="1pt" strokecolor="#231f20">
                  <v:stroke dashstyle="solid"/>
                </v:line>
                <v:line style="position:absolute" from="1628,3915" to="1628,3875" stroked="true" strokeweight="1pt" strokecolor="#231f20">
                  <v:stroke dashstyle="solid"/>
                </v:line>
                <v:line style="position:absolute" from="1628,3815" to="1628,1158" stroked="true" strokeweight="1pt" strokecolor="#231f20">
                  <v:stroke dashstyle="shortdash"/>
                </v:line>
                <v:line style="position:absolute" from="1628,1128" to="1628,1088" stroked="true" strokeweight="1pt" strokecolor="#231f20">
                  <v:stroke dashstyle="solid"/>
                </v:line>
                <v:line style="position:absolute" from="431,3915" to="7385,3915" stroked="true" strokeweight=".5pt" strokecolor="#ffffff">
                  <v:stroke dashstyle="solid"/>
                </v:line>
                <v:shape style="position:absolute;left:120;top:105;width:7154;height:1206" type="#_x0000_t202" id="docshape284" filled="false" stroked="false">
                  <v:textbox inset="0,0,0,0">
                    <w:txbxContent>
                      <w:p>
                        <w:pPr>
                          <w:tabs>
                            <w:tab w:pos="799" w:val="left" w:leader="none"/>
                          </w:tabs>
                          <w:spacing w:line="261" w:lineRule="auto" w:before="3"/>
                          <w:ind w:left="800" w:right="18" w:hanging="800"/>
                          <w:jc w:val="left"/>
                          <w:rPr>
                            <w:rFonts w:ascii="Arial" w:hAnsi="Arial"/>
                            <w:b/>
                            <w:sz w:val="16"/>
                          </w:rPr>
                        </w:pPr>
                        <w:r>
                          <w:rPr>
                            <w:rFonts w:ascii="Arial" w:hAnsi="Arial"/>
                            <w:color w:val="FFFFFF"/>
                            <w:w w:val="105"/>
                            <w:sz w:val="16"/>
                          </w:rPr>
                          <w:t>Figure </w:t>
                        </w:r>
                        <w:r>
                          <w:rPr>
                            <w:rFonts w:ascii="Arial" w:hAnsi="Arial"/>
                            <w:b/>
                            <w:color w:val="FFFFFF"/>
                            <w:w w:val="105"/>
                            <w:sz w:val="16"/>
                          </w:rPr>
                          <w:t>2</w:t>
                        </w:r>
                        <w:r>
                          <w:rPr>
                            <w:rFonts w:ascii="Arial" w:hAnsi="Arial"/>
                            <w:b/>
                            <w:color w:val="FFFFFF"/>
                            <w:sz w:val="16"/>
                          </w:rPr>
                          <w:tab/>
                        </w:r>
                        <w:r>
                          <w:rPr>
                            <w:rFonts w:ascii="Arial" w:hAnsi="Arial"/>
                            <w:b/>
                            <w:color w:val="FFFFFF"/>
                            <w:w w:val="105"/>
                            <w:sz w:val="16"/>
                          </w:rPr>
                          <w:t>Dispersion of time spent at port: Long tail distribution of containers in the port of Algiers, Algeria, May–October 2022</w:t>
                        </w:r>
                      </w:p>
                      <w:p>
                        <w:pPr>
                          <w:spacing w:line="240" w:lineRule="auto" w:before="72"/>
                          <w:rPr>
                            <w:rFonts w:ascii="Arial"/>
                            <w:b/>
                            <w:sz w:val="16"/>
                          </w:rPr>
                        </w:pPr>
                      </w:p>
                      <w:p>
                        <w:pPr>
                          <w:spacing w:before="0"/>
                          <w:ind w:left="0" w:right="0" w:firstLine="0"/>
                          <w:jc w:val="left"/>
                          <w:rPr>
                            <w:rFonts w:ascii="Arial"/>
                            <w:sz w:val="14"/>
                          </w:rPr>
                        </w:pPr>
                        <w:r>
                          <w:rPr>
                            <w:rFonts w:ascii="Arial"/>
                            <w:color w:val="231F20"/>
                            <w:w w:val="80"/>
                            <w:sz w:val="14"/>
                          </w:rPr>
                          <w:t>Number</w:t>
                        </w:r>
                        <w:r>
                          <w:rPr>
                            <w:rFonts w:ascii="Arial"/>
                            <w:color w:val="231F20"/>
                            <w:spacing w:val="-2"/>
                            <w:w w:val="80"/>
                            <w:sz w:val="14"/>
                          </w:rPr>
                          <w:t> </w:t>
                        </w:r>
                        <w:r>
                          <w:rPr>
                            <w:rFonts w:ascii="Arial"/>
                            <w:color w:val="231F20"/>
                            <w:w w:val="80"/>
                            <w:sz w:val="14"/>
                          </w:rPr>
                          <w:t>of</w:t>
                        </w:r>
                        <w:r>
                          <w:rPr>
                            <w:rFonts w:ascii="Arial"/>
                            <w:color w:val="231F20"/>
                            <w:spacing w:val="-1"/>
                            <w:w w:val="80"/>
                            <w:sz w:val="14"/>
                          </w:rPr>
                          <w:t> </w:t>
                        </w:r>
                        <w:r>
                          <w:rPr>
                            <w:rFonts w:ascii="Arial"/>
                            <w:color w:val="231F20"/>
                            <w:spacing w:val="-2"/>
                            <w:w w:val="80"/>
                            <w:sz w:val="14"/>
                          </w:rPr>
                          <w:t>consignments</w:t>
                        </w:r>
                      </w:p>
                      <w:p>
                        <w:pPr>
                          <w:spacing w:line="149" w:lineRule="exact" w:before="86"/>
                          <w:ind w:left="0" w:right="0" w:firstLine="0"/>
                          <w:jc w:val="left"/>
                          <w:rPr>
                            <w:rFonts w:ascii="Arial"/>
                            <w:sz w:val="14"/>
                          </w:rPr>
                        </w:pPr>
                        <w:r>
                          <w:rPr>
                            <w:rFonts w:ascii="Arial"/>
                            <w:color w:val="231F20"/>
                            <w:spacing w:val="-5"/>
                            <w:sz w:val="14"/>
                          </w:rPr>
                          <w:t>200</w:t>
                        </w:r>
                      </w:p>
                      <w:p>
                        <w:pPr>
                          <w:tabs>
                            <w:tab w:pos="1793" w:val="left" w:leader="none"/>
                          </w:tabs>
                          <w:spacing w:line="148" w:lineRule="exact" w:before="0"/>
                          <w:ind w:left="1058" w:right="0" w:firstLine="0"/>
                          <w:jc w:val="left"/>
                          <w:rPr>
                            <w:rFonts w:ascii="Arial"/>
                            <w:sz w:val="14"/>
                          </w:rPr>
                        </w:pPr>
                        <w:r>
                          <w:rPr>
                            <w:rFonts w:ascii="Arial"/>
                            <w:color w:val="231F20"/>
                            <w:spacing w:val="-2"/>
                            <w:sz w:val="14"/>
                          </w:rPr>
                          <w:t>Median</w:t>
                        </w:r>
                        <w:r>
                          <w:rPr>
                            <w:rFonts w:ascii="Arial"/>
                            <w:color w:val="231F20"/>
                            <w:sz w:val="14"/>
                          </w:rPr>
                          <w:tab/>
                        </w:r>
                        <w:r>
                          <w:rPr>
                            <w:rFonts w:ascii="Arial"/>
                            <w:color w:val="231F20"/>
                            <w:spacing w:val="-4"/>
                            <w:sz w:val="14"/>
                          </w:rPr>
                          <w:t>Mean</w:t>
                        </w:r>
                      </w:p>
                    </w:txbxContent>
                  </v:textbox>
                  <w10:wrap type="none"/>
                </v:shape>
                <v:shape style="position:absolute;left:120;top:1721;width:222;height:159" type="#_x0000_t202" id="docshape285" filled="false" stroked="false">
                  <v:textbox inset="0,0,0,0">
                    <w:txbxContent>
                      <w:p>
                        <w:pPr>
                          <w:spacing w:line="158" w:lineRule="exact" w:before="0"/>
                          <w:ind w:left="0" w:right="0" w:firstLine="0"/>
                          <w:jc w:val="left"/>
                          <w:rPr>
                            <w:rFonts w:ascii="Arial"/>
                            <w:sz w:val="14"/>
                          </w:rPr>
                        </w:pPr>
                        <w:r>
                          <w:rPr>
                            <w:rFonts w:ascii="Arial"/>
                            <w:color w:val="231F20"/>
                            <w:spacing w:val="-9"/>
                            <w:sz w:val="14"/>
                          </w:rPr>
                          <w:t>150</w:t>
                        </w:r>
                      </w:p>
                    </w:txbxContent>
                  </v:textbox>
                  <w10:wrap type="none"/>
                </v:shape>
                <v:shape style="position:absolute;left:120;top:2428;width:222;height:159" type="#_x0000_t202" id="docshape286" filled="false" stroked="false">
                  <v:textbox inset="0,0,0,0">
                    <w:txbxContent>
                      <w:p>
                        <w:pPr>
                          <w:spacing w:line="158" w:lineRule="exact" w:before="0"/>
                          <w:ind w:left="0" w:right="0" w:firstLine="0"/>
                          <w:jc w:val="left"/>
                          <w:rPr>
                            <w:rFonts w:ascii="Arial"/>
                            <w:sz w:val="14"/>
                          </w:rPr>
                        </w:pPr>
                        <w:r>
                          <w:rPr>
                            <w:rFonts w:ascii="Arial"/>
                            <w:color w:val="231F20"/>
                            <w:spacing w:val="-9"/>
                            <w:sz w:val="14"/>
                          </w:rPr>
                          <w:t>100</w:t>
                        </w:r>
                      </w:p>
                    </w:txbxContent>
                  </v:textbox>
                  <w10:wrap type="none"/>
                </v:shape>
                <v:shape style="position:absolute;left:188;top:3135;width:155;height:159" type="#_x0000_t202" id="docshape287" filled="false" stroked="false">
                  <v:textbox inset="0,0,0,0">
                    <w:txbxContent>
                      <w:p>
                        <w:pPr>
                          <w:spacing w:line="158" w:lineRule="exact" w:before="0"/>
                          <w:ind w:left="0" w:right="0" w:firstLine="0"/>
                          <w:jc w:val="left"/>
                          <w:rPr>
                            <w:rFonts w:ascii="Arial"/>
                            <w:sz w:val="14"/>
                          </w:rPr>
                        </w:pPr>
                        <w:r>
                          <w:rPr>
                            <w:rFonts w:ascii="Arial"/>
                            <w:color w:val="231F20"/>
                            <w:spacing w:val="-7"/>
                            <w:sz w:val="14"/>
                          </w:rPr>
                          <w:t>50</w:t>
                        </w:r>
                      </w:p>
                    </w:txbxContent>
                  </v:textbox>
                  <w10:wrap type="none"/>
                </v:shape>
                <v:shape style="position:absolute;left:255;top:3841;width:231;height:260" type="#_x0000_t202" id="docshape288" filled="false" stroked="false">
                  <v:textbox inset="0,0,0,0">
                    <w:txbxContent>
                      <w:p>
                        <w:pPr>
                          <w:spacing w:line="235" w:lineRule="auto" w:before="0"/>
                          <w:ind w:left="0" w:right="0" w:firstLine="0"/>
                          <w:jc w:val="left"/>
                          <w:rPr>
                            <w:rFonts w:ascii="Arial"/>
                            <w:sz w:val="14"/>
                          </w:rPr>
                        </w:pPr>
                        <w:r>
                          <w:rPr>
                            <w:rFonts w:ascii="Arial"/>
                            <w:color w:val="231F20"/>
                            <w:sz w:val="14"/>
                          </w:rPr>
                          <w:t>0</w:t>
                        </w:r>
                        <w:r>
                          <w:rPr>
                            <w:rFonts w:ascii="Arial"/>
                            <w:color w:val="231F20"/>
                            <w:spacing w:val="23"/>
                            <w:sz w:val="14"/>
                          </w:rPr>
                          <w:t> </w:t>
                        </w:r>
                        <w:r>
                          <w:rPr>
                            <w:rFonts w:ascii="Arial"/>
                            <w:color w:val="231F20"/>
                            <w:spacing w:val="-10"/>
                            <w:position w:val="-9"/>
                            <w:sz w:val="14"/>
                          </w:rPr>
                          <w:t>0</w:t>
                        </w:r>
                      </w:p>
                    </w:txbxContent>
                  </v:textbox>
                  <w10:wrap type="none"/>
                </v:shape>
                <v:shape style="position:absolute;left:1768;top:3942;width:155;height:159" type="#_x0000_t202" id="docshape289" filled="false" stroked="false">
                  <v:textbox inset="0,0,0,0">
                    <w:txbxContent>
                      <w:p>
                        <w:pPr>
                          <w:spacing w:line="158" w:lineRule="exact" w:before="0"/>
                          <w:ind w:left="0" w:right="0" w:firstLine="0"/>
                          <w:jc w:val="left"/>
                          <w:rPr>
                            <w:rFonts w:ascii="Arial"/>
                            <w:sz w:val="14"/>
                          </w:rPr>
                        </w:pPr>
                        <w:r>
                          <w:rPr>
                            <w:rFonts w:ascii="Arial"/>
                            <w:color w:val="231F20"/>
                            <w:spacing w:val="-7"/>
                            <w:sz w:val="14"/>
                          </w:rPr>
                          <w:t>20</w:t>
                        </w:r>
                      </w:p>
                    </w:txbxContent>
                  </v:textbox>
                  <w10:wrap type="none"/>
                </v:shape>
                <v:shape style="position:absolute;left:3173;top:3942;width:155;height:159" type="#_x0000_t202" id="docshape290" filled="false" stroked="false">
                  <v:textbox inset="0,0,0,0">
                    <w:txbxContent>
                      <w:p>
                        <w:pPr>
                          <w:spacing w:line="158" w:lineRule="exact" w:before="0"/>
                          <w:ind w:left="0" w:right="0" w:firstLine="0"/>
                          <w:jc w:val="left"/>
                          <w:rPr>
                            <w:rFonts w:ascii="Arial"/>
                            <w:sz w:val="14"/>
                          </w:rPr>
                        </w:pPr>
                        <w:r>
                          <w:rPr>
                            <w:rFonts w:ascii="Arial"/>
                            <w:color w:val="231F20"/>
                            <w:spacing w:val="-7"/>
                            <w:sz w:val="14"/>
                          </w:rPr>
                          <w:t>40</w:t>
                        </w:r>
                      </w:p>
                    </w:txbxContent>
                  </v:textbox>
                  <w10:wrap type="none"/>
                </v:shape>
                <v:shape style="position:absolute;left:4577;top:3942;width:155;height:159" type="#_x0000_t202" id="docshape291" filled="false" stroked="false">
                  <v:textbox inset="0,0,0,0">
                    <w:txbxContent>
                      <w:p>
                        <w:pPr>
                          <w:spacing w:line="158" w:lineRule="exact" w:before="0"/>
                          <w:ind w:left="0" w:right="0" w:firstLine="0"/>
                          <w:jc w:val="left"/>
                          <w:rPr>
                            <w:rFonts w:ascii="Arial"/>
                            <w:sz w:val="14"/>
                          </w:rPr>
                        </w:pPr>
                        <w:r>
                          <w:rPr>
                            <w:rFonts w:ascii="Arial"/>
                            <w:color w:val="231F20"/>
                            <w:spacing w:val="-7"/>
                            <w:sz w:val="14"/>
                          </w:rPr>
                          <w:t>60</w:t>
                        </w:r>
                      </w:p>
                    </w:txbxContent>
                  </v:textbox>
                  <w10:wrap type="none"/>
                </v:shape>
                <v:shape style="position:absolute;left:5981;top:3942;width:155;height:159" type="#_x0000_t202" id="docshape292" filled="false" stroked="false">
                  <v:textbox inset="0,0,0,0">
                    <w:txbxContent>
                      <w:p>
                        <w:pPr>
                          <w:spacing w:line="158" w:lineRule="exact" w:before="0"/>
                          <w:ind w:left="0" w:right="0" w:firstLine="0"/>
                          <w:jc w:val="left"/>
                          <w:rPr>
                            <w:rFonts w:ascii="Arial"/>
                            <w:sz w:val="14"/>
                          </w:rPr>
                        </w:pPr>
                        <w:r>
                          <w:rPr>
                            <w:rFonts w:ascii="Arial"/>
                            <w:color w:val="231F20"/>
                            <w:spacing w:val="-7"/>
                            <w:sz w:val="14"/>
                          </w:rPr>
                          <w:t>80</w:t>
                        </w:r>
                      </w:p>
                    </w:txbxContent>
                  </v:textbox>
                  <w10:wrap type="none"/>
                </v:shape>
                <v:shape style="position:absolute;left:7352;top:3942;width:222;height:159" type="#_x0000_t202" id="docshape293" filled="false" stroked="false">
                  <v:textbox inset="0,0,0,0">
                    <w:txbxContent>
                      <w:p>
                        <w:pPr>
                          <w:spacing w:line="158" w:lineRule="exact" w:before="0"/>
                          <w:ind w:left="0" w:right="0" w:firstLine="0"/>
                          <w:jc w:val="left"/>
                          <w:rPr>
                            <w:rFonts w:ascii="Arial"/>
                            <w:sz w:val="14"/>
                          </w:rPr>
                        </w:pPr>
                        <w:r>
                          <w:rPr>
                            <w:rFonts w:ascii="Arial"/>
                            <w:color w:val="231F20"/>
                            <w:spacing w:val="-9"/>
                            <w:sz w:val="14"/>
                          </w:rPr>
                          <w:t>100</w:t>
                        </w:r>
                      </w:p>
                    </w:txbxContent>
                  </v:textbox>
                  <w10:wrap type="none"/>
                </v:shape>
                <v:shape style="position:absolute;left:120;top:4142;width:4432;height:619" type="#_x0000_t202" id="docshape294" filled="false" stroked="false">
                  <v:textbox inset="0,0,0,0">
                    <w:txbxContent>
                      <w:p>
                        <w:pPr>
                          <w:spacing w:line="159" w:lineRule="exact" w:before="0"/>
                          <w:ind w:left="0" w:right="18" w:firstLine="0"/>
                          <w:jc w:val="right"/>
                          <w:rPr>
                            <w:rFonts w:ascii="Arial"/>
                            <w:sz w:val="14"/>
                          </w:rPr>
                        </w:pPr>
                        <w:r>
                          <w:rPr>
                            <w:rFonts w:ascii="Arial"/>
                            <w:color w:val="231F20"/>
                            <w:w w:val="80"/>
                            <w:sz w:val="14"/>
                          </w:rPr>
                          <w:t>Import</w:t>
                        </w:r>
                        <w:r>
                          <w:rPr>
                            <w:rFonts w:ascii="Arial"/>
                            <w:color w:val="231F20"/>
                            <w:spacing w:val="-7"/>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7"/>
                            <w:sz w:val="14"/>
                          </w:rPr>
                          <w:t> </w:t>
                        </w:r>
                        <w:r>
                          <w:rPr>
                            <w:rFonts w:ascii="Arial"/>
                            <w:color w:val="231F20"/>
                            <w:spacing w:val="-2"/>
                            <w:w w:val="80"/>
                            <w:sz w:val="14"/>
                          </w:rPr>
                          <w:t>(days)</w:t>
                        </w:r>
                      </w:p>
                      <w:p>
                        <w:pPr>
                          <w:spacing w:line="240" w:lineRule="auto" w:before="12"/>
                          <w:rPr>
                            <w:rFonts w:ascii="Arial"/>
                            <w:sz w:val="14"/>
                          </w:rPr>
                        </w:pPr>
                      </w:p>
                      <w:p>
                        <w:pPr>
                          <w:spacing w:before="0"/>
                          <w:ind w:left="0" w:right="0" w:firstLine="0"/>
                          <w:jc w:val="left"/>
                          <w:rPr>
                            <w:rFonts w:ascii="Arial"/>
                            <w:sz w:val="12"/>
                          </w:rPr>
                        </w:pPr>
                        <w:r>
                          <w:rPr>
                            <w:rFonts w:ascii="Arial"/>
                            <w:i/>
                            <w:color w:val="231F20"/>
                            <w:w w:val="75"/>
                            <w:sz w:val="12"/>
                          </w:rPr>
                          <w:t>Source:</w:t>
                        </w:r>
                        <w:r>
                          <w:rPr>
                            <w:rFonts w:ascii="Arial"/>
                            <w:i/>
                            <w:color w:val="231F20"/>
                            <w:spacing w:val="-2"/>
                            <w:sz w:val="12"/>
                          </w:rPr>
                          <w:t> </w:t>
                        </w:r>
                        <w:r>
                          <w:rPr>
                            <w:rFonts w:ascii="Arial"/>
                            <w:color w:val="231F20"/>
                            <w:w w:val="75"/>
                            <w:sz w:val="12"/>
                          </w:rPr>
                          <w:t>World</w:t>
                        </w:r>
                        <w:r>
                          <w:rPr>
                            <w:rFonts w:ascii="Arial"/>
                            <w:color w:val="231F20"/>
                            <w:spacing w:val="5"/>
                            <w:sz w:val="12"/>
                          </w:rPr>
                          <w:t> </w:t>
                        </w:r>
                        <w:r>
                          <w:rPr>
                            <w:rFonts w:ascii="Arial"/>
                            <w:color w:val="231F20"/>
                            <w:w w:val="75"/>
                            <w:sz w:val="12"/>
                          </w:rPr>
                          <w:t>Bank</w:t>
                        </w:r>
                        <w:r>
                          <w:rPr>
                            <w:rFonts w:ascii="Arial"/>
                            <w:color w:val="231F20"/>
                            <w:spacing w:val="4"/>
                            <w:sz w:val="12"/>
                          </w:rPr>
                          <w:t> </w:t>
                        </w:r>
                        <w:r>
                          <w:rPr>
                            <w:rFonts w:ascii="Arial"/>
                            <w:color w:val="231F20"/>
                            <w:w w:val="75"/>
                            <w:sz w:val="12"/>
                          </w:rPr>
                          <w:t>estimates</w:t>
                        </w:r>
                        <w:r>
                          <w:rPr>
                            <w:rFonts w:ascii="Arial"/>
                            <w:color w:val="231F20"/>
                            <w:spacing w:val="4"/>
                            <w:sz w:val="12"/>
                          </w:rPr>
                          <w:t> </w:t>
                        </w:r>
                        <w:r>
                          <w:rPr>
                            <w:rFonts w:ascii="Arial"/>
                            <w:color w:val="231F20"/>
                            <w:w w:val="75"/>
                            <w:sz w:val="12"/>
                          </w:rPr>
                          <w:t>based</w:t>
                        </w:r>
                        <w:r>
                          <w:rPr>
                            <w:rFonts w:ascii="Arial"/>
                            <w:color w:val="231F20"/>
                            <w:spacing w:val="4"/>
                            <w:sz w:val="12"/>
                          </w:rPr>
                          <w:t> </w:t>
                        </w:r>
                        <w:r>
                          <w:rPr>
                            <w:rFonts w:ascii="Arial"/>
                            <w:color w:val="231F20"/>
                            <w:w w:val="75"/>
                            <w:sz w:val="12"/>
                          </w:rPr>
                          <w:t>on</w:t>
                        </w:r>
                        <w:r>
                          <w:rPr>
                            <w:rFonts w:ascii="Arial"/>
                            <w:color w:val="231F20"/>
                            <w:spacing w:val="-1"/>
                            <w:sz w:val="12"/>
                          </w:rPr>
                          <w:t> </w:t>
                        </w:r>
                        <w:r>
                          <w:rPr>
                            <w:rFonts w:ascii="Arial"/>
                            <w:color w:val="231F20"/>
                            <w:w w:val="75"/>
                            <w:sz w:val="12"/>
                          </w:rPr>
                          <w:t>TradeLens</w:t>
                        </w:r>
                        <w:r>
                          <w:rPr>
                            <w:rFonts w:ascii="Arial"/>
                            <w:color w:val="231F20"/>
                            <w:spacing w:val="5"/>
                            <w:sz w:val="12"/>
                          </w:rPr>
                          <w:t> </w:t>
                        </w:r>
                        <w:r>
                          <w:rPr>
                            <w:rFonts w:ascii="Arial"/>
                            <w:color w:val="231F20"/>
                            <w:spacing w:val="-2"/>
                            <w:w w:val="75"/>
                            <w:sz w:val="12"/>
                          </w:rPr>
                          <w:t>data.</w:t>
                        </w:r>
                      </w:p>
                      <w:p>
                        <w:pPr>
                          <w:spacing w:before="3"/>
                          <w:ind w:left="0" w:right="0" w:firstLine="0"/>
                          <w:jc w:val="left"/>
                          <w:rPr>
                            <w:rFonts w:ascii="Arial"/>
                            <w:sz w:val="12"/>
                          </w:rPr>
                        </w:pPr>
                        <w:r>
                          <w:rPr>
                            <w:rFonts w:ascii="Arial"/>
                            <w:i/>
                            <w:color w:val="231F20"/>
                            <w:w w:val="80"/>
                            <w:sz w:val="12"/>
                          </w:rPr>
                          <w:t>Note:</w:t>
                        </w:r>
                        <w:r>
                          <w:rPr>
                            <w:rFonts w:ascii="Arial"/>
                            <w:i/>
                            <w:color w:val="231F20"/>
                            <w:spacing w:val="-3"/>
                            <w:w w:val="80"/>
                            <w:sz w:val="12"/>
                          </w:rPr>
                          <w:t> </w:t>
                        </w:r>
                        <w:r>
                          <w:rPr>
                            <w:rFonts w:ascii="Arial"/>
                            <w:color w:val="231F20"/>
                            <w:w w:val="80"/>
                            <w:sz w:val="12"/>
                          </w:rPr>
                          <w:t>Consignments</w:t>
                        </w:r>
                        <w:r>
                          <w:rPr>
                            <w:rFonts w:ascii="Arial"/>
                            <w:color w:val="231F20"/>
                            <w:spacing w:val="-1"/>
                            <w:w w:val="80"/>
                            <w:sz w:val="12"/>
                          </w:rPr>
                          <w:t> </w:t>
                        </w:r>
                        <w:r>
                          <w:rPr>
                            <w:rFonts w:ascii="Arial"/>
                            <w:color w:val="231F20"/>
                            <w:w w:val="80"/>
                            <w:sz w:val="12"/>
                          </w:rPr>
                          <w:t>with</w:t>
                        </w:r>
                        <w:r>
                          <w:rPr>
                            <w:rFonts w:ascii="Arial"/>
                            <w:color w:val="231F20"/>
                            <w:spacing w:val="-6"/>
                            <w:sz w:val="12"/>
                          </w:rPr>
                          <w:t> </w:t>
                        </w:r>
                        <w:r>
                          <w:rPr>
                            <w:rFonts w:ascii="Arial"/>
                            <w:color w:val="231F20"/>
                            <w:w w:val="80"/>
                            <w:sz w:val="12"/>
                          </w:rPr>
                          <w:t>an</w:t>
                        </w:r>
                        <w:r>
                          <w:rPr>
                            <w:rFonts w:ascii="Arial"/>
                            <w:color w:val="231F20"/>
                            <w:spacing w:val="-1"/>
                            <w:w w:val="80"/>
                            <w:sz w:val="12"/>
                          </w:rPr>
                          <w:t> </w:t>
                        </w:r>
                        <w:r>
                          <w:rPr>
                            <w:rFonts w:ascii="Arial"/>
                            <w:color w:val="231F20"/>
                            <w:w w:val="80"/>
                            <w:sz w:val="12"/>
                          </w:rPr>
                          <w:t>import</w:t>
                        </w:r>
                        <w:r>
                          <w:rPr>
                            <w:rFonts w:ascii="Arial"/>
                            <w:color w:val="231F20"/>
                            <w:spacing w:val="-6"/>
                            <w:sz w:val="12"/>
                          </w:rPr>
                          <w:t> </w:t>
                        </w:r>
                        <w:r>
                          <w:rPr>
                            <w:rFonts w:ascii="Arial"/>
                            <w:color w:val="231F20"/>
                            <w:w w:val="80"/>
                            <w:sz w:val="12"/>
                          </w:rPr>
                          <w:t>dwell</w:t>
                        </w:r>
                        <w:r>
                          <w:rPr>
                            <w:rFonts w:ascii="Arial"/>
                            <w:color w:val="231F20"/>
                            <w:spacing w:val="-7"/>
                            <w:sz w:val="12"/>
                          </w:rPr>
                          <w:t> </w:t>
                        </w:r>
                        <w:r>
                          <w:rPr>
                            <w:rFonts w:ascii="Arial"/>
                            <w:color w:val="231F20"/>
                            <w:w w:val="80"/>
                            <w:sz w:val="12"/>
                          </w:rPr>
                          <w:t>time</w:t>
                        </w:r>
                        <w:r>
                          <w:rPr>
                            <w:rFonts w:ascii="Arial"/>
                            <w:color w:val="231F20"/>
                            <w:spacing w:val="-6"/>
                            <w:sz w:val="12"/>
                          </w:rPr>
                          <w:t> </w:t>
                        </w:r>
                        <w:r>
                          <w:rPr>
                            <w:rFonts w:ascii="Arial"/>
                            <w:color w:val="231F20"/>
                            <w:w w:val="80"/>
                            <w:sz w:val="12"/>
                          </w:rPr>
                          <w:t>of</w:t>
                        </w:r>
                        <w:r>
                          <w:rPr>
                            <w:rFonts w:ascii="Arial"/>
                            <w:color w:val="231F20"/>
                            <w:spacing w:val="-7"/>
                            <w:sz w:val="12"/>
                          </w:rPr>
                          <w:t> </w:t>
                        </w:r>
                        <w:r>
                          <w:rPr>
                            <w:rFonts w:ascii="Arial"/>
                            <w:color w:val="231F20"/>
                            <w:w w:val="80"/>
                            <w:sz w:val="12"/>
                          </w:rPr>
                          <w:t>more</w:t>
                        </w:r>
                        <w:r>
                          <w:rPr>
                            <w:rFonts w:ascii="Arial"/>
                            <w:color w:val="231F20"/>
                            <w:spacing w:val="-6"/>
                            <w:sz w:val="12"/>
                          </w:rPr>
                          <w:t> </w:t>
                        </w:r>
                        <w:r>
                          <w:rPr>
                            <w:rFonts w:ascii="Arial"/>
                            <w:color w:val="231F20"/>
                            <w:w w:val="80"/>
                            <w:sz w:val="12"/>
                          </w:rPr>
                          <w:t>than</w:t>
                        </w:r>
                        <w:r>
                          <w:rPr>
                            <w:rFonts w:ascii="Arial"/>
                            <w:color w:val="231F20"/>
                            <w:spacing w:val="-7"/>
                            <w:sz w:val="12"/>
                          </w:rPr>
                          <w:t> </w:t>
                        </w:r>
                        <w:r>
                          <w:rPr>
                            <w:rFonts w:ascii="Arial"/>
                            <w:color w:val="231F20"/>
                            <w:w w:val="80"/>
                            <w:sz w:val="12"/>
                          </w:rPr>
                          <w:t>100</w:t>
                        </w:r>
                        <w:r>
                          <w:rPr>
                            <w:rFonts w:ascii="Arial"/>
                            <w:color w:val="231F20"/>
                            <w:spacing w:val="-6"/>
                            <w:sz w:val="12"/>
                          </w:rPr>
                          <w:t> </w:t>
                        </w:r>
                        <w:r>
                          <w:rPr>
                            <w:rFonts w:ascii="Arial"/>
                            <w:color w:val="231F20"/>
                            <w:w w:val="80"/>
                            <w:sz w:val="12"/>
                          </w:rPr>
                          <w:t>days</w:t>
                        </w:r>
                        <w:r>
                          <w:rPr>
                            <w:rFonts w:ascii="Arial"/>
                            <w:color w:val="231F20"/>
                            <w:spacing w:val="-7"/>
                            <w:sz w:val="12"/>
                          </w:rPr>
                          <w:t> </w:t>
                        </w:r>
                        <w:r>
                          <w:rPr>
                            <w:rFonts w:ascii="Arial"/>
                            <w:color w:val="231F20"/>
                            <w:w w:val="80"/>
                            <w:sz w:val="12"/>
                          </w:rPr>
                          <w:t>are</w:t>
                        </w:r>
                        <w:r>
                          <w:rPr>
                            <w:rFonts w:ascii="Arial"/>
                            <w:color w:val="231F20"/>
                            <w:spacing w:val="-6"/>
                            <w:sz w:val="12"/>
                          </w:rPr>
                          <w:t> </w:t>
                        </w:r>
                        <w:r>
                          <w:rPr>
                            <w:rFonts w:ascii="Arial"/>
                            <w:color w:val="231F20"/>
                            <w:spacing w:val="-2"/>
                            <w:w w:val="80"/>
                            <w:sz w:val="12"/>
                          </w:rPr>
                          <w:t>excluded.</w:t>
                        </w:r>
                      </w:p>
                    </w:txbxContent>
                  </v:textbox>
                  <w10:wrap type="none"/>
                </v:shape>
              </v:group>
            </w:pict>
          </mc:Fallback>
        </mc:AlternateContent>
      </w:r>
      <w:r>
        <w:rPr>
          <w:sz w:val="20"/>
        </w:rPr>
      </w:r>
    </w:p>
    <w:p>
      <w:pPr>
        <w:spacing w:after="0"/>
        <w:rPr>
          <w:sz w:val="20"/>
        </w:rPr>
        <w:sectPr>
          <w:type w:val="continuous"/>
          <w:pgSz w:w="12240" w:h="15840"/>
          <w:pgMar w:header="370" w:footer="548" w:top="1140" w:bottom="280" w:left="0" w:right="540"/>
        </w:sectPr>
      </w:pPr>
    </w:p>
    <w:p>
      <w:pPr>
        <w:pStyle w:val="BodyText"/>
        <w:rPr>
          <w:sz w:val="20"/>
        </w:rPr>
      </w:pPr>
    </w:p>
    <w:p>
      <w:pPr>
        <w:pStyle w:val="BodyText"/>
        <w:rPr>
          <w:sz w:val="20"/>
        </w:rPr>
      </w:pPr>
    </w:p>
    <w:p>
      <w:pPr>
        <w:pStyle w:val="BodyText"/>
        <w:spacing w:before="140"/>
        <w:rPr>
          <w:sz w:val="20"/>
        </w:rPr>
      </w:pPr>
    </w:p>
    <w:p>
      <w:pPr>
        <w:pStyle w:val="BodyText"/>
        <w:ind w:left="1200"/>
        <w:rPr>
          <w:sz w:val="20"/>
        </w:rPr>
      </w:pPr>
      <w:r>
        <w:rPr>
          <w:sz w:val="20"/>
        </w:rPr>
        <mc:AlternateContent>
          <mc:Choice Requires="wps">
            <w:drawing>
              <wp:inline distT="0" distB="0" distL="0" distR="0">
                <wp:extent cx="6553200" cy="3910329"/>
                <wp:effectExtent l="0" t="9525" r="0" b="4445"/>
                <wp:docPr id="353" name="Group 353"/>
                <wp:cNvGraphicFramePr>
                  <a:graphicFrameLocks/>
                </wp:cNvGraphicFramePr>
                <a:graphic>
                  <a:graphicData uri="http://schemas.microsoft.com/office/word/2010/wordprocessingGroup">
                    <wpg:wgp>
                      <wpg:cNvPr id="353" name="Group 353"/>
                      <wpg:cNvGrpSpPr/>
                      <wpg:grpSpPr>
                        <a:xfrm>
                          <a:off x="0" y="0"/>
                          <a:ext cx="6553200" cy="3910329"/>
                          <a:chExt cx="6553200" cy="3910329"/>
                        </a:xfrm>
                      </wpg:grpSpPr>
                      <wps:wsp>
                        <wps:cNvPr id="354" name="Graphic 354"/>
                        <wps:cNvSpPr/>
                        <wps:spPr>
                          <a:xfrm>
                            <a:off x="201" y="258093"/>
                            <a:ext cx="6553200" cy="3651885"/>
                          </a:xfrm>
                          <a:custGeom>
                            <a:avLst/>
                            <a:gdLst/>
                            <a:ahLst/>
                            <a:cxnLst/>
                            <a:rect l="l" t="t" r="r" b="b"/>
                            <a:pathLst>
                              <a:path w="6553200" h="3651885">
                                <a:moveTo>
                                  <a:pt x="6552996" y="0"/>
                                </a:moveTo>
                                <a:lnTo>
                                  <a:pt x="0" y="0"/>
                                </a:lnTo>
                                <a:lnTo>
                                  <a:pt x="0" y="3576954"/>
                                </a:lnTo>
                                <a:lnTo>
                                  <a:pt x="6086" y="3605709"/>
                                </a:lnTo>
                                <a:lnTo>
                                  <a:pt x="6159" y="3606053"/>
                                </a:lnTo>
                                <a:lnTo>
                                  <a:pt x="22693" y="3629813"/>
                                </a:lnTo>
                                <a:lnTo>
                                  <a:pt x="46682" y="3645833"/>
                                </a:lnTo>
                                <a:lnTo>
                                  <a:pt x="75209" y="3651707"/>
                                </a:lnTo>
                                <a:lnTo>
                                  <a:pt x="6474117" y="3651707"/>
                                </a:lnTo>
                                <a:lnTo>
                                  <a:pt x="6503217" y="3646452"/>
                                </a:lnTo>
                                <a:lnTo>
                                  <a:pt x="6505063" y="3645357"/>
                                </a:lnTo>
                                <a:lnTo>
                                  <a:pt x="75209" y="3645357"/>
                                </a:lnTo>
                                <a:lnTo>
                                  <a:pt x="48703" y="3639884"/>
                                </a:lnTo>
                                <a:lnTo>
                                  <a:pt x="26782" y="3625062"/>
                                </a:lnTo>
                                <a:lnTo>
                                  <a:pt x="11860" y="3603287"/>
                                </a:lnTo>
                                <a:lnTo>
                                  <a:pt x="6350" y="3576954"/>
                                </a:lnTo>
                                <a:lnTo>
                                  <a:pt x="6350" y="6350"/>
                                </a:lnTo>
                                <a:lnTo>
                                  <a:pt x="6552996" y="6350"/>
                                </a:lnTo>
                                <a:lnTo>
                                  <a:pt x="6552996" y="0"/>
                                </a:lnTo>
                                <a:close/>
                              </a:path>
                              <a:path w="6553200" h="3651885">
                                <a:moveTo>
                                  <a:pt x="6552996" y="6350"/>
                                </a:moveTo>
                                <a:lnTo>
                                  <a:pt x="6546646" y="6350"/>
                                </a:lnTo>
                                <a:lnTo>
                                  <a:pt x="6546646" y="3576954"/>
                                </a:lnTo>
                                <a:lnTo>
                                  <a:pt x="6540327" y="3605709"/>
                                </a:lnTo>
                                <a:lnTo>
                                  <a:pt x="6523750" y="3627215"/>
                                </a:lnTo>
                                <a:lnTo>
                                  <a:pt x="6500489" y="3640691"/>
                                </a:lnTo>
                                <a:lnTo>
                                  <a:pt x="6474117" y="3645357"/>
                                </a:lnTo>
                                <a:lnTo>
                                  <a:pt x="6505063" y="3645357"/>
                                </a:lnTo>
                                <a:lnTo>
                                  <a:pt x="6528468" y="3631466"/>
                                </a:lnTo>
                                <a:lnTo>
                                  <a:pt x="6546263" y="3607912"/>
                                </a:lnTo>
                                <a:lnTo>
                                  <a:pt x="6552996" y="3576954"/>
                                </a:lnTo>
                                <a:lnTo>
                                  <a:pt x="6552996" y="6350"/>
                                </a:lnTo>
                                <a:close/>
                              </a:path>
                            </a:pathLst>
                          </a:custGeom>
                          <a:solidFill>
                            <a:srgbClr val="90BAE8"/>
                          </a:solidFill>
                        </wps:spPr>
                        <wps:bodyPr wrap="square" lIns="0" tIns="0" rIns="0" bIns="0" rtlCol="0">
                          <a:prstTxWarp prst="textNoShape">
                            <a:avLst/>
                          </a:prstTxWarp>
                          <a:noAutofit/>
                        </wps:bodyPr>
                      </wps:wsp>
                      <wps:wsp>
                        <wps:cNvPr id="355" name="Graphic 355"/>
                        <wps:cNvSpPr/>
                        <wps:spPr>
                          <a:xfrm>
                            <a:off x="0" y="0"/>
                            <a:ext cx="512445" cy="231775"/>
                          </a:xfrm>
                          <a:custGeom>
                            <a:avLst/>
                            <a:gdLst/>
                            <a:ahLst/>
                            <a:cxnLst/>
                            <a:rect l="l" t="t" r="r" b="b"/>
                            <a:pathLst>
                              <a:path w="512445" h="231775">
                                <a:moveTo>
                                  <a:pt x="512178" y="0"/>
                                </a:moveTo>
                                <a:lnTo>
                                  <a:pt x="76200" y="0"/>
                                </a:lnTo>
                                <a:lnTo>
                                  <a:pt x="47213" y="3058"/>
                                </a:lnTo>
                                <a:lnTo>
                                  <a:pt x="22917" y="14506"/>
                                </a:lnTo>
                                <a:lnTo>
                                  <a:pt x="6212" y="37751"/>
                                </a:lnTo>
                                <a:lnTo>
                                  <a:pt x="0" y="76200"/>
                                </a:lnTo>
                                <a:lnTo>
                                  <a:pt x="0" y="231775"/>
                                </a:lnTo>
                                <a:lnTo>
                                  <a:pt x="512178" y="231775"/>
                                </a:lnTo>
                                <a:lnTo>
                                  <a:pt x="512178" y="0"/>
                                </a:lnTo>
                                <a:close/>
                              </a:path>
                            </a:pathLst>
                          </a:custGeom>
                          <a:solidFill>
                            <a:srgbClr val="008FDD"/>
                          </a:solidFill>
                        </wps:spPr>
                        <wps:bodyPr wrap="square" lIns="0" tIns="0" rIns="0" bIns="0" rtlCol="0">
                          <a:prstTxWarp prst="textNoShape">
                            <a:avLst/>
                          </a:prstTxWarp>
                          <a:noAutofit/>
                        </wps:bodyPr>
                      </wps:wsp>
                      <wps:wsp>
                        <wps:cNvPr id="356" name="Graphic 356"/>
                        <wps:cNvSpPr/>
                        <wps:spPr>
                          <a:xfrm>
                            <a:off x="512183" y="0"/>
                            <a:ext cx="6040755" cy="231775"/>
                          </a:xfrm>
                          <a:custGeom>
                            <a:avLst/>
                            <a:gdLst/>
                            <a:ahLst/>
                            <a:cxnLst/>
                            <a:rect l="l" t="t" r="r" b="b"/>
                            <a:pathLst>
                              <a:path w="6040755" h="231775">
                                <a:moveTo>
                                  <a:pt x="5964123" y="0"/>
                                </a:moveTo>
                                <a:lnTo>
                                  <a:pt x="0" y="0"/>
                                </a:lnTo>
                                <a:lnTo>
                                  <a:pt x="0" y="231775"/>
                                </a:lnTo>
                                <a:lnTo>
                                  <a:pt x="6040323" y="231775"/>
                                </a:lnTo>
                                <a:lnTo>
                                  <a:pt x="6040323" y="76200"/>
                                </a:lnTo>
                                <a:lnTo>
                                  <a:pt x="6034817" y="50979"/>
                                </a:lnTo>
                                <a:lnTo>
                                  <a:pt x="6019292" y="26265"/>
                                </a:lnTo>
                                <a:lnTo>
                                  <a:pt x="5995231" y="7468"/>
                                </a:lnTo>
                                <a:lnTo>
                                  <a:pt x="5964123" y="0"/>
                                </a:lnTo>
                                <a:close/>
                              </a:path>
                            </a:pathLst>
                          </a:custGeom>
                          <a:solidFill>
                            <a:srgbClr val="808285"/>
                          </a:solidFill>
                        </wps:spPr>
                        <wps:bodyPr wrap="square" lIns="0" tIns="0" rIns="0" bIns="0" rtlCol="0">
                          <a:prstTxWarp prst="textNoShape">
                            <a:avLst/>
                          </a:prstTxWarp>
                          <a:noAutofit/>
                        </wps:bodyPr>
                      </wps:wsp>
                      <wps:wsp>
                        <wps:cNvPr id="357" name="Graphic 357"/>
                        <wps:cNvSpPr/>
                        <wps:spPr>
                          <a:xfrm>
                            <a:off x="512179"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pic:pic>
                        <pic:nvPicPr>
                          <pic:cNvPr id="358" name="Image 358"/>
                          <pic:cNvPicPr/>
                        </pic:nvPicPr>
                        <pic:blipFill>
                          <a:blip r:embed="rId46" cstate="print"/>
                          <a:stretch>
                            <a:fillRect/>
                          </a:stretch>
                        </pic:blipFill>
                        <pic:spPr>
                          <a:xfrm>
                            <a:off x="86000" y="3454362"/>
                            <a:ext cx="284711" cy="122485"/>
                          </a:xfrm>
                          <a:prstGeom prst="rect">
                            <a:avLst/>
                          </a:prstGeom>
                        </pic:spPr>
                      </pic:pic>
                      <wps:wsp>
                        <wps:cNvPr id="359" name="Graphic 359"/>
                        <wps:cNvSpPr/>
                        <wps:spPr>
                          <a:xfrm>
                            <a:off x="4394846" y="2969323"/>
                            <a:ext cx="1718310" cy="422275"/>
                          </a:xfrm>
                          <a:custGeom>
                            <a:avLst/>
                            <a:gdLst/>
                            <a:ahLst/>
                            <a:cxnLst/>
                            <a:rect l="l" t="t" r="r" b="b"/>
                            <a:pathLst>
                              <a:path w="1718310" h="422275">
                                <a:moveTo>
                                  <a:pt x="6972" y="420674"/>
                                </a:moveTo>
                                <a:lnTo>
                                  <a:pt x="5689" y="420116"/>
                                </a:lnTo>
                                <a:lnTo>
                                  <a:pt x="4292" y="418592"/>
                                </a:lnTo>
                                <a:lnTo>
                                  <a:pt x="1778" y="417842"/>
                                </a:lnTo>
                                <a:lnTo>
                                  <a:pt x="952" y="417029"/>
                                </a:lnTo>
                                <a:lnTo>
                                  <a:pt x="101" y="417195"/>
                                </a:lnTo>
                                <a:lnTo>
                                  <a:pt x="0" y="417487"/>
                                </a:lnTo>
                                <a:lnTo>
                                  <a:pt x="127" y="418223"/>
                                </a:lnTo>
                                <a:lnTo>
                                  <a:pt x="762" y="418452"/>
                                </a:lnTo>
                                <a:lnTo>
                                  <a:pt x="673" y="421068"/>
                                </a:lnTo>
                                <a:lnTo>
                                  <a:pt x="1041" y="421906"/>
                                </a:lnTo>
                                <a:lnTo>
                                  <a:pt x="2743" y="422033"/>
                                </a:lnTo>
                                <a:lnTo>
                                  <a:pt x="4902" y="421093"/>
                                </a:lnTo>
                                <a:lnTo>
                                  <a:pt x="6197" y="421005"/>
                                </a:lnTo>
                                <a:lnTo>
                                  <a:pt x="6972" y="420674"/>
                                </a:lnTo>
                                <a:close/>
                              </a:path>
                              <a:path w="1718310" h="422275">
                                <a:moveTo>
                                  <a:pt x="1717763" y="838"/>
                                </a:moveTo>
                                <a:lnTo>
                                  <a:pt x="1717687" y="622"/>
                                </a:lnTo>
                                <a:lnTo>
                                  <a:pt x="1717497" y="431"/>
                                </a:lnTo>
                                <a:lnTo>
                                  <a:pt x="1717319" y="114"/>
                                </a:lnTo>
                                <a:lnTo>
                                  <a:pt x="1717090" y="0"/>
                                </a:lnTo>
                                <a:lnTo>
                                  <a:pt x="1716659" y="317"/>
                                </a:lnTo>
                                <a:lnTo>
                                  <a:pt x="1716900" y="266"/>
                                </a:lnTo>
                                <a:lnTo>
                                  <a:pt x="1716824" y="546"/>
                                </a:lnTo>
                                <a:lnTo>
                                  <a:pt x="1716570" y="762"/>
                                </a:lnTo>
                                <a:lnTo>
                                  <a:pt x="1716392" y="952"/>
                                </a:lnTo>
                                <a:lnTo>
                                  <a:pt x="1716290" y="1181"/>
                                </a:lnTo>
                                <a:lnTo>
                                  <a:pt x="1716201" y="1447"/>
                                </a:lnTo>
                                <a:lnTo>
                                  <a:pt x="1716074" y="1714"/>
                                </a:lnTo>
                                <a:lnTo>
                                  <a:pt x="1716443" y="1485"/>
                                </a:lnTo>
                                <a:lnTo>
                                  <a:pt x="1716595" y="1536"/>
                                </a:lnTo>
                                <a:lnTo>
                                  <a:pt x="1716608" y="1778"/>
                                </a:lnTo>
                                <a:lnTo>
                                  <a:pt x="1716506" y="2146"/>
                                </a:lnTo>
                                <a:lnTo>
                                  <a:pt x="1716633" y="1955"/>
                                </a:lnTo>
                                <a:lnTo>
                                  <a:pt x="1716811" y="1816"/>
                                </a:lnTo>
                                <a:lnTo>
                                  <a:pt x="1717090" y="1663"/>
                                </a:lnTo>
                                <a:lnTo>
                                  <a:pt x="1717497" y="1257"/>
                                </a:lnTo>
                                <a:lnTo>
                                  <a:pt x="1717763" y="838"/>
                                </a:lnTo>
                                <a:close/>
                              </a:path>
                            </a:pathLst>
                          </a:custGeom>
                          <a:solidFill>
                            <a:srgbClr val="E1E2E3"/>
                          </a:solidFill>
                        </wps:spPr>
                        <wps:bodyPr wrap="square" lIns="0" tIns="0" rIns="0" bIns="0" rtlCol="0">
                          <a:prstTxWarp prst="textNoShape">
                            <a:avLst/>
                          </a:prstTxWarp>
                          <a:noAutofit/>
                        </wps:bodyPr>
                      </wps:wsp>
                      <pic:pic>
                        <pic:nvPicPr>
                          <pic:cNvPr id="360" name="Image 360"/>
                          <pic:cNvPicPr/>
                        </pic:nvPicPr>
                        <pic:blipFill>
                          <a:blip r:embed="rId47" cstate="print"/>
                          <a:stretch>
                            <a:fillRect/>
                          </a:stretch>
                        </pic:blipFill>
                        <pic:spPr>
                          <a:xfrm>
                            <a:off x="225370" y="388287"/>
                            <a:ext cx="6240630" cy="3160816"/>
                          </a:xfrm>
                          <a:prstGeom prst="rect">
                            <a:avLst/>
                          </a:prstGeom>
                        </pic:spPr>
                      </pic:pic>
                      <wps:wsp>
                        <wps:cNvPr id="361" name="Graphic 361"/>
                        <wps:cNvSpPr/>
                        <wps:spPr>
                          <a:xfrm>
                            <a:off x="295188" y="2103837"/>
                            <a:ext cx="6150610" cy="179705"/>
                          </a:xfrm>
                          <a:custGeom>
                            <a:avLst/>
                            <a:gdLst/>
                            <a:ahLst/>
                            <a:cxnLst/>
                            <a:rect l="l" t="t" r="r" b="b"/>
                            <a:pathLst>
                              <a:path w="6150610" h="179705">
                                <a:moveTo>
                                  <a:pt x="6118237" y="18999"/>
                                </a:moveTo>
                                <a:lnTo>
                                  <a:pt x="6117474" y="18999"/>
                                </a:lnTo>
                                <a:lnTo>
                                  <a:pt x="6117051" y="19519"/>
                                </a:lnTo>
                                <a:lnTo>
                                  <a:pt x="6117637" y="19519"/>
                                </a:lnTo>
                                <a:lnTo>
                                  <a:pt x="6118237" y="18999"/>
                                </a:lnTo>
                                <a:close/>
                              </a:path>
                              <a:path w="6150610" h="179705">
                                <a:moveTo>
                                  <a:pt x="6122250" y="50444"/>
                                </a:moveTo>
                                <a:lnTo>
                                  <a:pt x="6121810" y="50444"/>
                                </a:lnTo>
                                <a:lnTo>
                                  <a:pt x="6122673" y="51828"/>
                                </a:lnTo>
                                <a:lnTo>
                                  <a:pt x="6122962" y="51828"/>
                                </a:lnTo>
                                <a:lnTo>
                                  <a:pt x="6122250" y="50444"/>
                                </a:lnTo>
                                <a:close/>
                              </a:path>
                              <a:path w="6150610" h="179705">
                                <a:moveTo>
                                  <a:pt x="6124727" y="76377"/>
                                </a:moveTo>
                                <a:lnTo>
                                  <a:pt x="6124318" y="76377"/>
                                </a:lnTo>
                                <a:lnTo>
                                  <a:pt x="6124028" y="77228"/>
                                </a:lnTo>
                                <a:lnTo>
                                  <a:pt x="6122847" y="79197"/>
                                </a:lnTo>
                                <a:lnTo>
                                  <a:pt x="6123329" y="79197"/>
                                </a:lnTo>
                                <a:lnTo>
                                  <a:pt x="6124428" y="77228"/>
                                </a:lnTo>
                                <a:lnTo>
                                  <a:pt x="6124727" y="76377"/>
                                </a:lnTo>
                                <a:close/>
                              </a:path>
                              <a:path w="6150610" h="179705">
                                <a:moveTo>
                                  <a:pt x="6124213" y="74930"/>
                                </a:moveTo>
                                <a:lnTo>
                                  <a:pt x="6123749" y="74930"/>
                                </a:lnTo>
                                <a:lnTo>
                                  <a:pt x="6124473" y="75920"/>
                                </a:lnTo>
                                <a:lnTo>
                                  <a:pt x="6124318" y="76377"/>
                                </a:lnTo>
                                <a:lnTo>
                                  <a:pt x="6124473" y="75920"/>
                                </a:lnTo>
                                <a:lnTo>
                                  <a:pt x="6124854" y="75628"/>
                                </a:lnTo>
                                <a:lnTo>
                                  <a:pt x="6124213" y="74930"/>
                                </a:lnTo>
                                <a:close/>
                              </a:path>
                              <a:path w="6150610" h="179705">
                                <a:moveTo>
                                  <a:pt x="6123863" y="74549"/>
                                </a:moveTo>
                                <a:lnTo>
                                  <a:pt x="6123237" y="74549"/>
                                </a:lnTo>
                                <a:lnTo>
                                  <a:pt x="6123394" y="74930"/>
                                </a:lnTo>
                                <a:lnTo>
                                  <a:pt x="6123482" y="75145"/>
                                </a:lnTo>
                                <a:lnTo>
                                  <a:pt x="6123907" y="75145"/>
                                </a:lnTo>
                                <a:lnTo>
                                  <a:pt x="6123749" y="74930"/>
                                </a:lnTo>
                                <a:lnTo>
                                  <a:pt x="6124213" y="74930"/>
                                </a:lnTo>
                                <a:lnTo>
                                  <a:pt x="6123863" y="74549"/>
                                </a:lnTo>
                                <a:close/>
                              </a:path>
                              <a:path w="6150610" h="179705">
                                <a:moveTo>
                                  <a:pt x="6149688" y="119938"/>
                                </a:moveTo>
                                <a:lnTo>
                                  <a:pt x="6149276" y="119938"/>
                                </a:lnTo>
                                <a:lnTo>
                                  <a:pt x="6149708" y="123405"/>
                                </a:lnTo>
                                <a:lnTo>
                                  <a:pt x="6149416" y="124244"/>
                                </a:lnTo>
                                <a:lnTo>
                                  <a:pt x="6150209" y="124244"/>
                                </a:lnTo>
                                <a:lnTo>
                                  <a:pt x="6150000" y="122097"/>
                                </a:lnTo>
                                <a:lnTo>
                                  <a:pt x="6149688" y="119938"/>
                                </a:lnTo>
                                <a:close/>
                              </a:path>
                              <a:path w="6150610" h="179705">
                                <a:moveTo>
                                  <a:pt x="6148247" y="118414"/>
                                </a:moveTo>
                                <a:lnTo>
                                  <a:pt x="6148019" y="118414"/>
                                </a:lnTo>
                                <a:lnTo>
                                  <a:pt x="6148476" y="119456"/>
                                </a:lnTo>
                                <a:lnTo>
                                  <a:pt x="6149108" y="119456"/>
                                </a:lnTo>
                                <a:lnTo>
                                  <a:pt x="6148247" y="118414"/>
                                </a:lnTo>
                                <a:close/>
                              </a:path>
                              <a:path w="6150610" h="179705">
                                <a:moveTo>
                                  <a:pt x="249847" y="51943"/>
                                </a:moveTo>
                                <a:lnTo>
                                  <a:pt x="248983" y="52590"/>
                                </a:lnTo>
                                <a:lnTo>
                                  <a:pt x="251713" y="55587"/>
                                </a:lnTo>
                                <a:lnTo>
                                  <a:pt x="254356" y="56870"/>
                                </a:lnTo>
                                <a:lnTo>
                                  <a:pt x="256006" y="56870"/>
                                </a:lnTo>
                                <a:lnTo>
                                  <a:pt x="253339" y="54025"/>
                                </a:lnTo>
                                <a:lnTo>
                                  <a:pt x="251485" y="54025"/>
                                </a:lnTo>
                                <a:lnTo>
                                  <a:pt x="250228" y="53022"/>
                                </a:lnTo>
                                <a:lnTo>
                                  <a:pt x="249847" y="51943"/>
                                </a:lnTo>
                                <a:close/>
                              </a:path>
                              <a:path w="6150610" h="179705">
                                <a:moveTo>
                                  <a:pt x="251523" y="49390"/>
                                </a:moveTo>
                                <a:lnTo>
                                  <a:pt x="250760" y="49390"/>
                                </a:lnTo>
                                <a:lnTo>
                                  <a:pt x="252818" y="51460"/>
                                </a:lnTo>
                                <a:lnTo>
                                  <a:pt x="252310" y="51943"/>
                                </a:lnTo>
                                <a:lnTo>
                                  <a:pt x="251565" y="53822"/>
                                </a:lnTo>
                                <a:lnTo>
                                  <a:pt x="251485" y="54025"/>
                                </a:lnTo>
                                <a:lnTo>
                                  <a:pt x="253339" y="54025"/>
                                </a:lnTo>
                                <a:lnTo>
                                  <a:pt x="253442" y="51943"/>
                                </a:lnTo>
                                <a:lnTo>
                                  <a:pt x="253517" y="51460"/>
                                </a:lnTo>
                                <a:lnTo>
                                  <a:pt x="253606" y="50888"/>
                                </a:lnTo>
                                <a:lnTo>
                                  <a:pt x="251523" y="49390"/>
                                </a:lnTo>
                                <a:close/>
                              </a:path>
                              <a:path w="6150610" h="179705">
                                <a:moveTo>
                                  <a:pt x="221415" y="977"/>
                                </a:moveTo>
                                <a:lnTo>
                                  <a:pt x="220624" y="977"/>
                                </a:lnTo>
                                <a:lnTo>
                                  <a:pt x="220825" y="1397"/>
                                </a:lnTo>
                                <a:lnTo>
                                  <a:pt x="220941" y="1638"/>
                                </a:lnTo>
                                <a:lnTo>
                                  <a:pt x="221787" y="1638"/>
                                </a:lnTo>
                                <a:lnTo>
                                  <a:pt x="221415" y="977"/>
                                </a:lnTo>
                                <a:close/>
                              </a:path>
                              <a:path w="6150610" h="179705">
                                <a:moveTo>
                                  <a:pt x="220865" y="0"/>
                                </a:moveTo>
                                <a:lnTo>
                                  <a:pt x="219557" y="0"/>
                                </a:lnTo>
                                <a:lnTo>
                                  <a:pt x="219284" y="508"/>
                                </a:lnTo>
                                <a:lnTo>
                                  <a:pt x="219189" y="685"/>
                                </a:lnTo>
                                <a:lnTo>
                                  <a:pt x="219697" y="1397"/>
                                </a:lnTo>
                                <a:lnTo>
                                  <a:pt x="219809" y="685"/>
                                </a:lnTo>
                                <a:lnTo>
                                  <a:pt x="219837" y="508"/>
                                </a:lnTo>
                                <a:lnTo>
                                  <a:pt x="221151" y="508"/>
                                </a:lnTo>
                                <a:lnTo>
                                  <a:pt x="220865" y="0"/>
                                </a:lnTo>
                                <a:close/>
                              </a:path>
                              <a:path w="6150610" h="179705">
                                <a:moveTo>
                                  <a:pt x="171" y="178562"/>
                                </a:moveTo>
                                <a:lnTo>
                                  <a:pt x="0" y="178219"/>
                                </a:lnTo>
                                <a:lnTo>
                                  <a:pt x="431" y="179082"/>
                                </a:lnTo>
                                <a:lnTo>
                                  <a:pt x="380" y="178562"/>
                                </a:lnTo>
                                <a:lnTo>
                                  <a:pt x="171" y="178562"/>
                                </a:lnTo>
                                <a:close/>
                              </a:path>
                            </a:pathLst>
                          </a:custGeom>
                          <a:solidFill>
                            <a:srgbClr val="E1E2E3"/>
                          </a:solidFill>
                        </wps:spPr>
                        <wps:bodyPr wrap="square" lIns="0" tIns="0" rIns="0" bIns="0" rtlCol="0">
                          <a:prstTxWarp prst="textNoShape">
                            <a:avLst/>
                          </a:prstTxWarp>
                          <a:noAutofit/>
                        </wps:bodyPr>
                      </wps:wsp>
                      <wps:wsp>
                        <wps:cNvPr id="362" name="Graphic 362"/>
                        <wps:cNvSpPr/>
                        <wps:spPr>
                          <a:xfrm>
                            <a:off x="4335228" y="2649333"/>
                            <a:ext cx="8890" cy="12065"/>
                          </a:xfrm>
                          <a:custGeom>
                            <a:avLst/>
                            <a:gdLst/>
                            <a:ahLst/>
                            <a:cxnLst/>
                            <a:rect l="l" t="t" r="r" b="b"/>
                            <a:pathLst>
                              <a:path w="8890" h="12065">
                                <a:moveTo>
                                  <a:pt x="7023" y="0"/>
                                </a:moveTo>
                                <a:lnTo>
                                  <a:pt x="5613" y="139"/>
                                </a:lnTo>
                                <a:lnTo>
                                  <a:pt x="4406" y="1422"/>
                                </a:lnTo>
                                <a:lnTo>
                                  <a:pt x="3683" y="3365"/>
                                </a:lnTo>
                                <a:lnTo>
                                  <a:pt x="2349" y="4216"/>
                                </a:lnTo>
                                <a:lnTo>
                                  <a:pt x="1714" y="5194"/>
                                </a:lnTo>
                                <a:lnTo>
                                  <a:pt x="1003" y="7619"/>
                                </a:lnTo>
                                <a:lnTo>
                                  <a:pt x="876" y="9131"/>
                                </a:lnTo>
                                <a:lnTo>
                                  <a:pt x="0" y="9588"/>
                                </a:lnTo>
                                <a:lnTo>
                                  <a:pt x="114" y="10083"/>
                                </a:lnTo>
                                <a:lnTo>
                                  <a:pt x="927" y="11290"/>
                                </a:lnTo>
                                <a:lnTo>
                                  <a:pt x="3340" y="11556"/>
                                </a:lnTo>
                                <a:lnTo>
                                  <a:pt x="5600" y="10972"/>
                                </a:lnTo>
                                <a:lnTo>
                                  <a:pt x="6692" y="9867"/>
                                </a:lnTo>
                                <a:lnTo>
                                  <a:pt x="7188" y="8420"/>
                                </a:lnTo>
                                <a:lnTo>
                                  <a:pt x="8255" y="7518"/>
                                </a:lnTo>
                                <a:lnTo>
                                  <a:pt x="8775" y="4991"/>
                                </a:lnTo>
                                <a:lnTo>
                                  <a:pt x="8128" y="2425"/>
                                </a:lnTo>
                                <a:lnTo>
                                  <a:pt x="7023" y="0"/>
                                </a:lnTo>
                                <a:close/>
                              </a:path>
                            </a:pathLst>
                          </a:custGeom>
                          <a:solidFill>
                            <a:srgbClr val="ADCEB6"/>
                          </a:solidFill>
                        </wps:spPr>
                        <wps:bodyPr wrap="square" lIns="0" tIns="0" rIns="0" bIns="0" rtlCol="0">
                          <a:prstTxWarp prst="textNoShape">
                            <a:avLst/>
                          </a:prstTxWarp>
                          <a:noAutofit/>
                        </wps:bodyPr>
                      </wps:wsp>
                      <wps:wsp>
                        <wps:cNvPr id="363" name="Graphic 363"/>
                        <wps:cNvSpPr/>
                        <wps:spPr>
                          <a:xfrm>
                            <a:off x="419683" y="2219159"/>
                            <a:ext cx="5892165" cy="539750"/>
                          </a:xfrm>
                          <a:custGeom>
                            <a:avLst/>
                            <a:gdLst/>
                            <a:ahLst/>
                            <a:cxnLst/>
                            <a:rect l="l" t="t" r="r" b="b"/>
                            <a:pathLst>
                              <a:path w="5892165" h="539750">
                                <a:moveTo>
                                  <a:pt x="2692" y="497662"/>
                                </a:moveTo>
                                <a:lnTo>
                                  <a:pt x="2463" y="496582"/>
                                </a:lnTo>
                                <a:lnTo>
                                  <a:pt x="1016" y="494626"/>
                                </a:lnTo>
                                <a:lnTo>
                                  <a:pt x="584" y="494741"/>
                                </a:lnTo>
                                <a:lnTo>
                                  <a:pt x="0" y="495376"/>
                                </a:lnTo>
                                <a:lnTo>
                                  <a:pt x="177" y="497611"/>
                                </a:lnTo>
                                <a:lnTo>
                                  <a:pt x="1574" y="499249"/>
                                </a:lnTo>
                                <a:lnTo>
                                  <a:pt x="2692" y="497662"/>
                                </a:lnTo>
                                <a:close/>
                              </a:path>
                              <a:path w="5892165" h="539750">
                                <a:moveTo>
                                  <a:pt x="192506" y="539115"/>
                                </a:moveTo>
                                <a:lnTo>
                                  <a:pt x="192468" y="538886"/>
                                </a:lnTo>
                                <a:lnTo>
                                  <a:pt x="192100" y="538060"/>
                                </a:lnTo>
                                <a:lnTo>
                                  <a:pt x="191427" y="537603"/>
                                </a:lnTo>
                                <a:lnTo>
                                  <a:pt x="190703" y="537616"/>
                                </a:lnTo>
                                <a:lnTo>
                                  <a:pt x="190487" y="538010"/>
                                </a:lnTo>
                                <a:lnTo>
                                  <a:pt x="190588" y="538746"/>
                                </a:lnTo>
                                <a:lnTo>
                                  <a:pt x="190741" y="538975"/>
                                </a:lnTo>
                                <a:lnTo>
                                  <a:pt x="191223" y="539038"/>
                                </a:lnTo>
                                <a:lnTo>
                                  <a:pt x="191973" y="539165"/>
                                </a:lnTo>
                                <a:lnTo>
                                  <a:pt x="192506" y="539115"/>
                                </a:lnTo>
                                <a:close/>
                              </a:path>
                              <a:path w="5892165" h="539750">
                                <a:moveTo>
                                  <a:pt x="5891619" y="723"/>
                                </a:moveTo>
                                <a:lnTo>
                                  <a:pt x="5891581" y="203"/>
                                </a:lnTo>
                                <a:lnTo>
                                  <a:pt x="5891276" y="0"/>
                                </a:lnTo>
                                <a:lnTo>
                                  <a:pt x="5890831" y="254"/>
                                </a:lnTo>
                                <a:lnTo>
                                  <a:pt x="5890704" y="914"/>
                                </a:lnTo>
                                <a:lnTo>
                                  <a:pt x="5890869" y="1524"/>
                                </a:lnTo>
                                <a:lnTo>
                                  <a:pt x="5891263" y="1638"/>
                                </a:lnTo>
                                <a:lnTo>
                                  <a:pt x="5891619" y="723"/>
                                </a:lnTo>
                                <a:close/>
                              </a:path>
                            </a:pathLst>
                          </a:custGeom>
                          <a:solidFill>
                            <a:srgbClr val="E1E2E3"/>
                          </a:solidFill>
                        </wps:spPr>
                        <wps:bodyPr wrap="square" lIns="0" tIns="0" rIns="0" bIns="0" rtlCol="0">
                          <a:prstTxWarp prst="textNoShape">
                            <a:avLst/>
                          </a:prstTxWarp>
                          <a:noAutofit/>
                        </wps:bodyPr>
                      </wps:wsp>
                      <wps:wsp>
                        <wps:cNvPr id="364" name="Graphic 364"/>
                        <wps:cNvSpPr/>
                        <wps:spPr>
                          <a:xfrm>
                            <a:off x="323296" y="2570907"/>
                            <a:ext cx="27305" cy="15240"/>
                          </a:xfrm>
                          <a:custGeom>
                            <a:avLst/>
                            <a:gdLst/>
                            <a:ahLst/>
                            <a:cxnLst/>
                            <a:rect l="l" t="t" r="r" b="b"/>
                            <a:pathLst>
                              <a:path w="27305" h="15240">
                                <a:moveTo>
                                  <a:pt x="7240" y="0"/>
                                </a:moveTo>
                                <a:lnTo>
                                  <a:pt x="4319" y="673"/>
                                </a:lnTo>
                                <a:lnTo>
                                  <a:pt x="1880" y="1955"/>
                                </a:lnTo>
                                <a:lnTo>
                                  <a:pt x="0" y="1955"/>
                                </a:lnTo>
                                <a:lnTo>
                                  <a:pt x="1004" y="3505"/>
                                </a:lnTo>
                                <a:lnTo>
                                  <a:pt x="2960" y="5181"/>
                                </a:lnTo>
                                <a:lnTo>
                                  <a:pt x="6173" y="8991"/>
                                </a:lnTo>
                                <a:lnTo>
                                  <a:pt x="7126" y="9156"/>
                                </a:lnTo>
                                <a:lnTo>
                                  <a:pt x="9577" y="8305"/>
                                </a:lnTo>
                                <a:lnTo>
                                  <a:pt x="11608" y="8305"/>
                                </a:lnTo>
                                <a:lnTo>
                                  <a:pt x="11558" y="5715"/>
                                </a:lnTo>
                                <a:lnTo>
                                  <a:pt x="9856" y="2413"/>
                                </a:lnTo>
                                <a:lnTo>
                                  <a:pt x="7240" y="0"/>
                                </a:lnTo>
                                <a:close/>
                              </a:path>
                              <a:path w="27305" h="15240">
                                <a:moveTo>
                                  <a:pt x="11608" y="8305"/>
                                </a:moveTo>
                                <a:lnTo>
                                  <a:pt x="9577" y="8305"/>
                                </a:lnTo>
                                <a:lnTo>
                                  <a:pt x="11700" y="8991"/>
                                </a:lnTo>
                                <a:lnTo>
                                  <a:pt x="11608" y="8305"/>
                                </a:lnTo>
                                <a:close/>
                              </a:path>
                              <a:path w="27305" h="15240">
                                <a:moveTo>
                                  <a:pt x="17959" y="8623"/>
                                </a:moveTo>
                                <a:lnTo>
                                  <a:pt x="15914" y="9232"/>
                                </a:lnTo>
                                <a:lnTo>
                                  <a:pt x="15147" y="10274"/>
                                </a:lnTo>
                                <a:lnTo>
                                  <a:pt x="15774" y="11493"/>
                                </a:lnTo>
                                <a:lnTo>
                                  <a:pt x="18521" y="13931"/>
                                </a:lnTo>
                                <a:lnTo>
                                  <a:pt x="19511" y="13931"/>
                                </a:lnTo>
                                <a:lnTo>
                                  <a:pt x="21997" y="14909"/>
                                </a:lnTo>
                                <a:lnTo>
                                  <a:pt x="26709" y="14579"/>
                                </a:lnTo>
                                <a:lnTo>
                                  <a:pt x="26607" y="13931"/>
                                </a:lnTo>
                                <a:lnTo>
                                  <a:pt x="26061" y="12750"/>
                                </a:lnTo>
                                <a:lnTo>
                                  <a:pt x="25071" y="12052"/>
                                </a:lnTo>
                                <a:lnTo>
                                  <a:pt x="24082" y="12052"/>
                                </a:lnTo>
                                <a:lnTo>
                                  <a:pt x="22874" y="10274"/>
                                </a:lnTo>
                                <a:lnTo>
                                  <a:pt x="17959" y="8623"/>
                                </a:lnTo>
                                <a:close/>
                              </a:path>
                            </a:pathLst>
                          </a:custGeom>
                          <a:solidFill>
                            <a:srgbClr val="ADCEB6"/>
                          </a:solidFill>
                        </wps:spPr>
                        <wps:bodyPr wrap="square" lIns="0" tIns="0" rIns="0" bIns="0" rtlCol="0">
                          <a:prstTxWarp prst="textNoShape">
                            <a:avLst/>
                          </a:prstTxWarp>
                          <a:noAutofit/>
                        </wps:bodyPr>
                      </wps:wsp>
                      <wps:wsp>
                        <wps:cNvPr id="365" name="Graphic 365"/>
                        <wps:cNvSpPr/>
                        <wps:spPr>
                          <a:xfrm>
                            <a:off x="4327004" y="2307031"/>
                            <a:ext cx="3175" cy="5080"/>
                          </a:xfrm>
                          <a:custGeom>
                            <a:avLst/>
                            <a:gdLst/>
                            <a:ahLst/>
                            <a:cxnLst/>
                            <a:rect l="l" t="t" r="r" b="b"/>
                            <a:pathLst>
                              <a:path w="3175" h="5080">
                                <a:moveTo>
                                  <a:pt x="1308" y="0"/>
                                </a:moveTo>
                                <a:lnTo>
                                  <a:pt x="0" y="1117"/>
                                </a:lnTo>
                                <a:lnTo>
                                  <a:pt x="571" y="2031"/>
                                </a:lnTo>
                                <a:lnTo>
                                  <a:pt x="1676" y="3022"/>
                                </a:lnTo>
                                <a:lnTo>
                                  <a:pt x="1892" y="4356"/>
                                </a:lnTo>
                                <a:lnTo>
                                  <a:pt x="2730" y="5041"/>
                                </a:lnTo>
                                <a:lnTo>
                                  <a:pt x="2730" y="2984"/>
                                </a:lnTo>
                                <a:lnTo>
                                  <a:pt x="1308" y="0"/>
                                </a:lnTo>
                                <a:close/>
                              </a:path>
                            </a:pathLst>
                          </a:custGeom>
                          <a:solidFill>
                            <a:srgbClr val="63A074"/>
                          </a:solidFill>
                        </wps:spPr>
                        <wps:bodyPr wrap="square" lIns="0" tIns="0" rIns="0" bIns="0" rtlCol="0">
                          <a:prstTxWarp prst="textNoShape">
                            <a:avLst/>
                          </a:prstTxWarp>
                          <a:noAutofit/>
                        </wps:bodyPr>
                      </wps:wsp>
                      <wps:wsp>
                        <wps:cNvPr id="366" name="Graphic 366"/>
                        <wps:cNvSpPr/>
                        <wps:spPr>
                          <a:xfrm>
                            <a:off x="346454" y="1983815"/>
                            <a:ext cx="4448175" cy="803910"/>
                          </a:xfrm>
                          <a:custGeom>
                            <a:avLst/>
                            <a:gdLst/>
                            <a:ahLst/>
                            <a:cxnLst/>
                            <a:rect l="l" t="t" r="r" b="b"/>
                            <a:pathLst>
                              <a:path w="4448175" h="803910">
                                <a:moveTo>
                                  <a:pt x="1905" y="728281"/>
                                </a:moveTo>
                                <a:lnTo>
                                  <a:pt x="508" y="728281"/>
                                </a:lnTo>
                                <a:lnTo>
                                  <a:pt x="1587" y="729119"/>
                                </a:lnTo>
                                <a:lnTo>
                                  <a:pt x="1892" y="729119"/>
                                </a:lnTo>
                                <a:lnTo>
                                  <a:pt x="1905" y="728281"/>
                                </a:lnTo>
                                <a:close/>
                              </a:path>
                              <a:path w="4448175" h="803910">
                                <a:moveTo>
                                  <a:pt x="2108" y="726630"/>
                                </a:moveTo>
                                <a:lnTo>
                                  <a:pt x="215" y="726630"/>
                                </a:lnTo>
                                <a:lnTo>
                                  <a:pt x="38" y="727494"/>
                                </a:lnTo>
                                <a:lnTo>
                                  <a:pt x="0" y="727697"/>
                                </a:lnTo>
                                <a:lnTo>
                                  <a:pt x="1930" y="727697"/>
                                </a:lnTo>
                                <a:lnTo>
                                  <a:pt x="1930" y="727494"/>
                                </a:lnTo>
                                <a:lnTo>
                                  <a:pt x="2108" y="726630"/>
                                </a:lnTo>
                                <a:close/>
                              </a:path>
                              <a:path w="4448175" h="803910">
                                <a:moveTo>
                                  <a:pt x="10833" y="799020"/>
                                </a:moveTo>
                                <a:lnTo>
                                  <a:pt x="10807" y="796531"/>
                                </a:lnTo>
                                <a:lnTo>
                                  <a:pt x="10731" y="795921"/>
                                </a:lnTo>
                                <a:lnTo>
                                  <a:pt x="10655" y="795693"/>
                                </a:lnTo>
                                <a:lnTo>
                                  <a:pt x="10541" y="795312"/>
                                </a:lnTo>
                                <a:lnTo>
                                  <a:pt x="9791" y="795693"/>
                                </a:lnTo>
                                <a:lnTo>
                                  <a:pt x="9880" y="796531"/>
                                </a:lnTo>
                                <a:lnTo>
                                  <a:pt x="9639" y="796531"/>
                                </a:lnTo>
                                <a:lnTo>
                                  <a:pt x="8851" y="796226"/>
                                </a:lnTo>
                                <a:lnTo>
                                  <a:pt x="9436" y="795921"/>
                                </a:lnTo>
                                <a:lnTo>
                                  <a:pt x="8001" y="795312"/>
                                </a:lnTo>
                                <a:lnTo>
                                  <a:pt x="6743" y="795312"/>
                                </a:lnTo>
                                <a:lnTo>
                                  <a:pt x="6172" y="794956"/>
                                </a:lnTo>
                                <a:lnTo>
                                  <a:pt x="5892" y="794118"/>
                                </a:lnTo>
                                <a:lnTo>
                                  <a:pt x="5676" y="794956"/>
                                </a:lnTo>
                                <a:lnTo>
                                  <a:pt x="5689" y="795312"/>
                                </a:lnTo>
                                <a:lnTo>
                                  <a:pt x="6680" y="796531"/>
                                </a:lnTo>
                                <a:lnTo>
                                  <a:pt x="9613" y="798029"/>
                                </a:lnTo>
                                <a:lnTo>
                                  <a:pt x="10833" y="799020"/>
                                </a:lnTo>
                                <a:close/>
                              </a:path>
                              <a:path w="4448175" h="803910">
                                <a:moveTo>
                                  <a:pt x="16941" y="803541"/>
                                </a:moveTo>
                                <a:lnTo>
                                  <a:pt x="15316" y="799668"/>
                                </a:lnTo>
                                <a:lnTo>
                                  <a:pt x="15138" y="799668"/>
                                </a:lnTo>
                                <a:lnTo>
                                  <a:pt x="14859" y="800976"/>
                                </a:lnTo>
                                <a:lnTo>
                                  <a:pt x="15328" y="801801"/>
                                </a:lnTo>
                                <a:lnTo>
                                  <a:pt x="16941" y="803541"/>
                                </a:lnTo>
                                <a:close/>
                              </a:path>
                              <a:path w="4448175" h="803910">
                                <a:moveTo>
                                  <a:pt x="4410075" y="18973"/>
                                </a:moveTo>
                                <a:lnTo>
                                  <a:pt x="4409440" y="17259"/>
                                </a:lnTo>
                                <a:lnTo>
                                  <a:pt x="4409148" y="16929"/>
                                </a:lnTo>
                                <a:lnTo>
                                  <a:pt x="4407103" y="16065"/>
                                </a:lnTo>
                                <a:lnTo>
                                  <a:pt x="4407586" y="16929"/>
                                </a:lnTo>
                                <a:lnTo>
                                  <a:pt x="4408538" y="17805"/>
                                </a:lnTo>
                                <a:lnTo>
                                  <a:pt x="4410075" y="18973"/>
                                </a:lnTo>
                                <a:close/>
                              </a:path>
                              <a:path w="4448175" h="803910">
                                <a:moveTo>
                                  <a:pt x="4410087" y="4114"/>
                                </a:moveTo>
                                <a:lnTo>
                                  <a:pt x="4408983" y="3035"/>
                                </a:lnTo>
                                <a:lnTo>
                                  <a:pt x="4408513" y="1790"/>
                                </a:lnTo>
                                <a:lnTo>
                                  <a:pt x="4408449" y="1638"/>
                                </a:lnTo>
                                <a:lnTo>
                                  <a:pt x="4408094" y="1638"/>
                                </a:lnTo>
                                <a:lnTo>
                                  <a:pt x="4407941" y="1790"/>
                                </a:lnTo>
                                <a:lnTo>
                                  <a:pt x="4407751" y="2247"/>
                                </a:lnTo>
                                <a:lnTo>
                                  <a:pt x="4407878" y="2565"/>
                                </a:lnTo>
                                <a:lnTo>
                                  <a:pt x="4408005" y="2882"/>
                                </a:lnTo>
                                <a:lnTo>
                                  <a:pt x="4408995" y="4381"/>
                                </a:lnTo>
                                <a:lnTo>
                                  <a:pt x="4410087" y="4114"/>
                                </a:lnTo>
                                <a:close/>
                              </a:path>
                              <a:path w="4448175" h="803910">
                                <a:moveTo>
                                  <a:pt x="4447972" y="62877"/>
                                </a:moveTo>
                                <a:lnTo>
                                  <a:pt x="4447552" y="56794"/>
                                </a:lnTo>
                                <a:lnTo>
                                  <a:pt x="4446600" y="53619"/>
                                </a:lnTo>
                                <a:lnTo>
                                  <a:pt x="4445927" y="52806"/>
                                </a:lnTo>
                                <a:lnTo>
                                  <a:pt x="4444466" y="49174"/>
                                </a:lnTo>
                                <a:lnTo>
                                  <a:pt x="4443590" y="47840"/>
                                </a:lnTo>
                                <a:lnTo>
                                  <a:pt x="4443425" y="47244"/>
                                </a:lnTo>
                                <a:lnTo>
                                  <a:pt x="4443425" y="46545"/>
                                </a:lnTo>
                                <a:lnTo>
                                  <a:pt x="4443146" y="45669"/>
                                </a:lnTo>
                                <a:lnTo>
                                  <a:pt x="4440136" y="40652"/>
                                </a:lnTo>
                                <a:lnTo>
                                  <a:pt x="4438561" y="38036"/>
                                </a:lnTo>
                                <a:lnTo>
                                  <a:pt x="4438269" y="37388"/>
                                </a:lnTo>
                                <a:lnTo>
                                  <a:pt x="4438167" y="35852"/>
                                </a:lnTo>
                                <a:lnTo>
                                  <a:pt x="4436935" y="30962"/>
                                </a:lnTo>
                                <a:lnTo>
                                  <a:pt x="4436186" y="30048"/>
                                </a:lnTo>
                                <a:lnTo>
                                  <a:pt x="4435119" y="29806"/>
                                </a:lnTo>
                                <a:lnTo>
                                  <a:pt x="4434243" y="29311"/>
                                </a:lnTo>
                                <a:lnTo>
                                  <a:pt x="4433989" y="28321"/>
                                </a:lnTo>
                                <a:lnTo>
                                  <a:pt x="4433938" y="26987"/>
                                </a:lnTo>
                                <a:lnTo>
                                  <a:pt x="4433481" y="25781"/>
                                </a:lnTo>
                                <a:lnTo>
                                  <a:pt x="4429798" y="19685"/>
                                </a:lnTo>
                                <a:lnTo>
                                  <a:pt x="4429112" y="19138"/>
                                </a:lnTo>
                                <a:lnTo>
                                  <a:pt x="4428312" y="18821"/>
                                </a:lnTo>
                                <a:lnTo>
                                  <a:pt x="4427867" y="17805"/>
                                </a:lnTo>
                                <a:lnTo>
                                  <a:pt x="4427779" y="17614"/>
                                </a:lnTo>
                                <a:lnTo>
                                  <a:pt x="4427372" y="16230"/>
                                </a:lnTo>
                                <a:lnTo>
                                  <a:pt x="4423651" y="9931"/>
                                </a:lnTo>
                                <a:lnTo>
                                  <a:pt x="4421416" y="7772"/>
                                </a:lnTo>
                                <a:lnTo>
                                  <a:pt x="4417238" y="3759"/>
                                </a:lnTo>
                                <a:lnTo>
                                  <a:pt x="4414901" y="457"/>
                                </a:lnTo>
                                <a:lnTo>
                                  <a:pt x="4414786" y="292"/>
                                </a:lnTo>
                                <a:lnTo>
                                  <a:pt x="4413491" y="0"/>
                                </a:lnTo>
                                <a:lnTo>
                                  <a:pt x="4409973" y="0"/>
                                </a:lnTo>
                                <a:lnTo>
                                  <a:pt x="4409833" y="292"/>
                                </a:lnTo>
                                <a:lnTo>
                                  <a:pt x="4409719" y="1790"/>
                                </a:lnTo>
                                <a:lnTo>
                                  <a:pt x="4410138" y="2565"/>
                                </a:lnTo>
                                <a:lnTo>
                                  <a:pt x="4411523" y="3759"/>
                                </a:lnTo>
                                <a:lnTo>
                                  <a:pt x="4411865" y="3759"/>
                                </a:lnTo>
                                <a:lnTo>
                                  <a:pt x="4415206" y="4483"/>
                                </a:lnTo>
                                <a:lnTo>
                                  <a:pt x="4417568" y="5867"/>
                                </a:lnTo>
                                <a:lnTo>
                                  <a:pt x="4418469" y="7416"/>
                                </a:lnTo>
                                <a:lnTo>
                                  <a:pt x="4417390" y="7416"/>
                                </a:lnTo>
                                <a:lnTo>
                                  <a:pt x="4416539" y="7772"/>
                                </a:lnTo>
                                <a:lnTo>
                                  <a:pt x="4415396" y="7124"/>
                                </a:lnTo>
                                <a:lnTo>
                                  <a:pt x="4414253" y="6159"/>
                                </a:lnTo>
                                <a:lnTo>
                                  <a:pt x="4412246" y="5283"/>
                                </a:lnTo>
                                <a:lnTo>
                                  <a:pt x="4412678" y="7124"/>
                                </a:lnTo>
                                <a:lnTo>
                                  <a:pt x="4412754" y="7416"/>
                                </a:lnTo>
                                <a:lnTo>
                                  <a:pt x="4412831" y="7772"/>
                                </a:lnTo>
                                <a:lnTo>
                                  <a:pt x="4412907" y="8089"/>
                                </a:lnTo>
                                <a:lnTo>
                                  <a:pt x="4413135" y="9931"/>
                                </a:lnTo>
                                <a:lnTo>
                                  <a:pt x="4413262" y="10947"/>
                                </a:lnTo>
                                <a:lnTo>
                                  <a:pt x="4413135" y="13614"/>
                                </a:lnTo>
                                <a:lnTo>
                                  <a:pt x="4412742" y="16065"/>
                                </a:lnTo>
                                <a:lnTo>
                                  <a:pt x="4412704" y="16230"/>
                                </a:lnTo>
                                <a:lnTo>
                                  <a:pt x="4410659" y="20675"/>
                                </a:lnTo>
                                <a:lnTo>
                                  <a:pt x="4410722" y="21869"/>
                                </a:lnTo>
                                <a:lnTo>
                                  <a:pt x="4411167" y="24257"/>
                                </a:lnTo>
                                <a:lnTo>
                                  <a:pt x="4411142" y="25781"/>
                                </a:lnTo>
                                <a:lnTo>
                                  <a:pt x="4410062" y="31737"/>
                                </a:lnTo>
                                <a:lnTo>
                                  <a:pt x="4409910" y="34175"/>
                                </a:lnTo>
                                <a:lnTo>
                                  <a:pt x="4409872" y="39966"/>
                                </a:lnTo>
                                <a:lnTo>
                                  <a:pt x="4409491" y="40652"/>
                                </a:lnTo>
                                <a:lnTo>
                                  <a:pt x="4408843" y="39966"/>
                                </a:lnTo>
                                <a:lnTo>
                                  <a:pt x="4408817" y="39598"/>
                                </a:lnTo>
                                <a:lnTo>
                                  <a:pt x="4408716" y="38036"/>
                                </a:lnTo>
                                <a:lnTo>
                                  <a:pt x="4408640" y="36944"/>
                                </a:lnTo>
                                <a:lnTo>
                                  <a:pt x="4408563" y="35852"/>
                                </a:lnTo>
                                <a:lnTo>
                                  <a:pt x="4408462" y="34404"/>
                                </a:lnTo>
                                <a:lnTo>
                                  <a:pt x="4408195" y="35852"/>
                                </a:lnTo>
                                <a:lnTo>
                                  <a:pt x="4408170" y="39966"/>
                                </a:lnTo>
                                <a:lnTo>
                                  <a:pt x="4409402" y="45669"/>
                                </a:lnTo>
                                <a:lnTo>
                                  <a:pt x="4410278" y="50457"/>
                                </a:lnTo>
                                <a:lnTo>
                                  <a:pt x="4412500" y="67551"/>
                                </a:lnTo>
                                <a:lnTo>
                                  <a:pt x="4414355" y="73075"/>
                                </a:lnTo>
                                <a:lnTo>
                                  <a:pt x="4415688" y="78054"/>
                                </a:lnTo>
                                <a:lnTo>
                                  <a:pt x="4417504" y="82829"/>
                                </a:lnTo>
                                <a:lnTo>
                                  <a:pt x="4420717" y="86042"/>
                                </a:lnTo>
                                <a:lnTo>
                                  <a:pt x="4424832" y="87388"/>
                                </a:lnTo>
                                <a:lnTo>
                                  <a:pt x="4428845" y="86664"/>
                                </a:lnTo>
                                <a:lnTo>
                                  <a:pt x="4433100" y="84162"/>
                                </a:lnTo>
                                <a:lnTo>
                                  <a:pt x="4438904" y="81483"/>
                                </a:lnTo>
                                <a:lnTo>
                                  <a:pt x="4447857" y="65582"/>
                                </a:lnTo>
                                <a:lnTo>
                                  <a:pt x="4447972" y="62877"/>
                                </a:lnTo>
                                <a:close/>
                              </a:path>
                            </a:pathLst>
                          </a:custGeom>
                          <a:solidFill>
                            <a:srgbClr val="ADCEB6"/>
                          </a:solidFill>
                        </wps:spPr>
                        <wps:bodyPr wrap="square" lIns="0" tIns="0" rIns="0" bIns="0" rtlCol="0">
                          <a:prstTxWarp prst="textNoShape">
                            <a:avLst/>
                          </a:prstTxWarp>
                          <a:noAutofit/>
                        </wps:bodyPr>
                      </wps:wsp>
                      <pic:pic>
                        <pic:nvPicPr>
                          <pic:cNvPr id="367" name="Image 367"/>
                          <pic:cNvPicPr/>
                        </pic:nvPicPr>
                        <pic:blipFill>
                          <a:blip r:embed="rId48" cstate="print"/>
                          <a:stretch>
                            <a:fillRect/>
                          </a:stretch>
                        </pic:blipFill>
                        <pic:spPr>
                          <a:xfrm>
                            <a:off x="609630" y="456642"/>
                            <a:ext cx="5666187" cy="3068175"/>
                          </a:xfrm>
                          <a:prstGeom prst="rect">
                            <a:avLst/>
                          </a:prstGeom>
                        </pic:spPr>
                      </pic:pic>
                      <wps:wsp>
                        <wps:cNvPr id="368" name="Graphic 368"/>
                        <wps:cNvSpPr/>
                        <wps:spPr>
                          <a:xfrm>
                            <a:off x="362915" y="2590236"/>
                            <a:ext cx="4445" cy="3175"/>
                          </a:xfrm>
                          <a:custGeom>
                            <a:avLst/>
                            <a:gdLst/>
                            <a:ahLst/>
                            <a:cxnLst/>
                            <a:rect l="l" t="t" r="r" b="b"/>
                            <a:pathLst>
                              <a:path w="4445" h="3175">
                                <a:moveTo>
                                  <a:pt x="1828" y="0"/>
                                </a:moveTo>
                                <a:lnTo>
                                  <a:pt x="1435" y="533"/>
                                </a:lnTo>
                                <a:lnTo>
                                  <a:pt x="0" y="1612"/>
                                </a:lnTo>
                                <a:lnTo>
                                  <a:pt x="1244" y="2819"/>
                                </a:lnTo>
                                <a:lnTo>
                                  <a:pt x="1917" y="2540"/>
                                </a:lnTo>
                                <a:lnTo>
                                  <a:pt x="2870" y="596"/>
                                </a:lnTo>
                                <a:lnTo>
                                  <a:pt x="3987" y="114"/>
                                </a:lnTo>
                                <a:lnTo>
                                  <a:pt x="1828" y="0"/>
                                </a:lnTo>
                                <a:close/>
                              </a:path>
                            </a:pathLst>
                          </a:custGeom>
                          <a:solidFill>
                            <a:srgbClr val="028549"/>
                          </a:solidFill>
                        </wps:spPr>
                        <wps:bodyPr wrap="square" lIns="0" tIns="0" rIns="0" bIns="0" rtlCol="0">
                          <a:prstTxWarp prst="textNoShape">
                            <a:avLst/>
                          </a:prstTxWarp>
                          <a:noAutofit/>
                        </wps:bodyPr>
                      </wps:wsp>
                      <wps:wsp>
                        <wps:cNvPr id="369" name="Graphic 369"/>
                        <wps:cNvSpPr/>
                        <wps:spPr>
                          <a:xfrm>
                            <a:off x="6327829" y="2008771"/>
                            <a:ext cx="55880" cy="40640"/>
                          </a:xfrm>
                          <a:custGeom>
                            <a:avLst/>
                            <a:gdLst/>
                            <a:ahLst/>
                            <a:cxnLst/>
                            <a:rect l="l" t="t" r="r" b="b"/>
                            <a:pathLst>
                              <a:path w="55880" h="40640">
                                <a:moveTo>
                                  <a:pt x="23279" y="34963"/>
                                </a:moveTo>
                                <a:lnTo>
                                  <a:pt x="22785" y="35991"/>
                                </a:lnTo>
                                <a:lnTo>
                                  <a:pt x="22021" y="36868"/>
                                </a:lnTo>
                                <a:lnTo>
                                  <a:pt x="22007" y="37122"/>
                                </a:lnTo>
                                <a:lnTo>
                                  <a:pt x="21882" y="39281"/>
                                </a:lnTo>
                                <a:lnTo>
                                  <a:pt x="21738" y="39966"/>
                                </a:lnTo>
                                <a:lnTo>
                                  <a:pt x="21704" y="40132"/>
                                </a:lnTo>
                                <a:lnTo>
                                  <a:pt x="22047" y="40132"/>
                                </a:lnTo>
                                <a:lnTo>
                                  <a:pt x="22098" y="39966"/>
                                </a:lnTo>
                                <a:lnTo>
                                  <a:pt x="22440" y="37122"/>
                                </a:lnTo>
                                <a:lnTo>
                                  <a:pt x="23253" y="35991"/>
                                </a:lnTo>
                                <a:lnTo>
                                  <a:pt x="23279" y="34963"/>
                                </a:lnTo>
                                <a:close/>
                              </a:path>
                              <a:path w="55880" h="40640">
                                <a:moveTo>
                                  <a:pt x="1621" y="381"/>
                                </a:moveTo>
                                <a:lnTo>
                                  <a:pt x="0" y="0"/>
                                </a:lnTo>
                                <a:lnTo>
                                  <a:pt x="2755" y="647"/>
                                </a:lnTo>
                                <a:lnTo>
                                  <a:pt x="1621" y="381"/>
                                </a:lnTo>
                                <a:close/>
                              </a:path>
                              <a:path w="55880" h="40640">
                                <a:moveTo>
                                  <a:pt x="54951" y="7277"/>
                                </a:moveTo>
                                <a:lnTo>
                                  <a:pt x="54406" y="7277"/>
                                </a:lnTo>
                                <a:lnTo>
                                  <a:pt x="55250" y="7975"/>
                                </a:lnTo>
                                <a:lnTo>
                                  <a:pt x="55626" y="7975"/>
                                </a:lnTo>
                                <a:lnTo>
                                  <a:pt x="54951" y="7277"/>
                                </a:lnTo>
                                <a:close/>
                              </a:path>
                              <a:path w="55880" h="40640">
                                <a:moveTo>
                                  <a:pt x="52171" y="6045"/>
                                </a:moveTo>
                                <a:lnTo>
                                  <a:pt x="52685" y="7137"/>
                                </a:lnTo>
                                <a:lnTo>
                                  <a:pt x="54816" y="7137"/>
                                </a:lnTo>
                                <a:lnTo>
                                  <a:pt x="54302" y="6604"/>
                                </a:lnTo>
                                <a:lnTo>
                                  <a:pt x="52920" y="6604"/>
                                </a:lnTo>
                                <a:lnTo>
                                  <a:pt x="52171" y="6045"/>
                                </a:lnTo>
                                <a:close/>
                              </a:path>
                              <a:path w="55880" h="40640">
                                <a:moveTo>
                                  <a:pt x="42405" y="3009"/>
                                </a:moveTo>
                                <a:lnTo>
                                  <a:pt x="42214" y="3454"/>
                                </a:lnTo>
                                <a:lnTo>
                                  <a:pt x="43446" y="4673"/>
                                </a:lnTo>
                                <a:lnTo>
                                  <a:pt x="45662" y="5676"/>
                                </a:lnTo>
                                <a:lnTo>
                                  <a:pt x="46558" y="5676"/>
                                </a:lnTo>
                                <a:lnTo>
                                  <a:pt x="47244" y="5308"/>
                                </a:lnTo>
                                <a:lnTo>
                                  <a:pt x="46044" y="5308"/>
                                </a:lnTo>
                                <a:lnTo>
                                  <a:pt x="43459" y="3886"/>
                                </a:lnTo>
                                <a:lnTo>
                                  <a:pt x="42405" y="3009"/>
                                </a:lnTo>
                                <a:close/>
                              </a:path>
                              <a:path w="55880" h="40640">
                                <a:moveTo>
                                  <a:pt x="48704" y="4457"/>
                                </a:moveTo>
                                <a:lnTo>
                                  <a:pt x="45473" y="5308"/>
                                </a:lnTo>
                                <a:lnTo>
                                  <a:pt x="47244" y="5308"/>
                                </a:lnTo>
                                <a:lnTo>
                                  <a:pt x="48285" y="4889"/>
                                </a:lnTo>
                                <a:lnTo>
                                  <a:pt x="48704" y="4457"/>
                                </a:lnTo>
                                <a:close/>
                              </a:path>
                            </a:pathLst>
                          </a:custGeom>
                          <a:solidFill>
                            <a:srgbClr val="E1E2E3"/>
                          </a:solidFill>
                        </wps:spPr>
                        <wps:bodyPr wrap="square" lIns="0" tIns="0" rIns="0" bIns="0" rtlCol="0">
                          <a:prstTxWarp prst="textNoShape">
                            <a:avLst/>
                          </a:prstTxWarp>
                          <a:noAutofit/>
                        </wps:bodyPr>
                      </wps:wsp>
                      <wps:wsp>
                        <wps:cNvPr id="370" name="Textbox 370"/>
                        <wps:cNvSpPr txBox="1"/>
                        <wps:spPr>
                          <a:xfrm>
                            <a:off x="76380" y="66848"/>
                            <a:ext cx="258445" cy="120650"/>
                          </a:xfrm>
                          <a:prstGeom prst="rect">
                            <a:avLst/>
                          </a:prstGeom>
                        </wps:spPr>
                        <wps:txbx>
                          <w:txbxContent>
                            <w:p>
                              <w:pPr>
                                <w:spacing w:before="3"/>
                                <w:ind w:left="0" w:right="0" w:firstLine="0"/>
                                <w:jc w:val="left"/>
                                <w:rPr>
                                  <w:rFonts w:ascii="Arial"/>
                                  <w:b/>
                                  <w:sz w:val="16"/>
                                </w:rPr>
                              </w:pPr>
                              <w:bookmarkStart w:name="_bookmark8" w:id="9"/>
                              <w:bookmarkEnd w:id="9"/>
                              <w:r>
                                <w:rPr/>
                              </w:r>
                              <w:r>
                                <w:rPr>
                                  <w:rFonts w:ascii="Arial"/>
                                  <w:color w:val="FFFFFF"/>
                                  <w:w w:val="85"/>
                                  <w:sz w:val="16"/>
                                </w:rPr>
                                <w:t>Map</w:t>
                              </w:r>
                              <w:r>
                                <w:rPr>
                                  <w:rFonts w:ascii="Arial"/>
                                  <w:color w:val="FFFFFF"/>
                                  <w:spacing w:val="-4"/>
                                  <w:sz w:val="16"/>
                                </w:rPr>
                                <w:t> </w:t>
                              </w:r>
                              <w:r>
                                <w:rPr>
                                  <w:rFonts w:ascii="Arial"/>
                                  <w:b/>
                                  <w:color w:val="FFFFFF"/>
                                  <w:spacing w:val="-10"/>
                                  <w:sz w:val="16"/>
                                </w:rPr>
                                <w:t>1</w:t>
                              </w:r>
                            </w:p>
                          </w:txbxContent>
                        </wps:txbx>
                        <wps:bodyPr wrap="square" lIns="0" tIns="0" rIns="0" bIns="0" rtlCol="0">
                          <a:noAutofit/>
                        </wps:bodyPr>
                      </wps:wsp>
                      <wps:wsp>
                        <wps:cNvPr id="371" name="Textbox 371"/>
                        <wps:cNvSpPr txBox="1"/>
                        <wps:spPr>
                          <a:xfrm>
                            <a:off x="584380" y="67864"/>
                            <a:ext cx="3848735" cy="120650"/>
                          </a:xfrm>
                          <a:prstGeom prst="rect">
                            <a:avLst/>
                          </a:prstGeom>
                        </wps:spPr>
                        <wps:txbx>
                          <w:txbxContent>
                            <w:p>
                              <w:pPr>
                                <w:spacing w:before="2"/>
                                <w:ind w:left="0" w:right="0" w:firstLine="0"/>
                                <w:jc w:val="left"/>
                                <w:rPr>
                                  <w:rFonts w:ascii="Arial" w:hAnsi="Arial"/>
                                  <w:b/>
                                  <w:sz w:val="16"/>
                                </w:rPr>
                              </w:pPr>
                              <w:r>
                                <w:rPr>
                                  <w:rFonts w:ascii="Arial" w:hAnsi="Arial"/>
                                  <w:b/>
                                  <w:color w:val="FFFFFF"/>
                                  <w:w w:val="105"/>
                                  <w:sz w:val="16"/>
                                </w:rPr>
                                <w:t>Mean</w:t>
                              </w:r>
                              <w:r>
                                <w:rPr>
                                  <w:rFonts w:ascii="Arial" w:hAnsi="Arial"/>
                                  <w:b/>
                                  <w:color w:val="FFFFFF"/>
                                  <w:spacing w:val="3"/>
                                  <w:w w:val="105"/>
                                  <w:sz w:val="16"/>
                                </w:rPr>
                                <w:t> </w:t>
                              </w:r>
                              <w:r>
                                <w:rPr>
                                  <w:rFonts w:ascii="Arial" w:hAnsi="Arial"/>
                                  <w:b/>
                                  <w:color w:val="FFFFFF"/>
                                  <w:w w:val="105"/>
                                  <w:sz w:val="16"/>
                                </w:rPr>
                                <w:t>import</w:t>
                              </w:r>
                              <w:r>
                                <w:rPr>
                                  <w:rFonts w:ascii="Arial" w:hAnsi="Arial"/>
                                  <w:b/>
                                  <w:color w:val="FFFFFF"/>
                                  <w:spacing w:val="3"/>
                                  <w:w w:val="105"/>
                                  <w:sz w:val="16"/>
                                </w:rPr>
                                <w:t> </w:t>
                              </w:r>
                              <w:r>
                                <w:rPr>
                                  <w:rFonts w:ascii="Arial" w:hAnsi="Arial"/>
                                  <w:b/>
                                  <w:color w:val="FFFFFF"/>
                                  <w:w w:val="105"/>
                                  <w:sz w:val="16"/>
                                </w:rPr>
                                <w:t>dwell</w:t>
                              </w:r>
                              <w:r>
                                <w:rPr>
                                  <w:rFonts w:ascii="Arial" w:hAnsi="Arial"/>
                                  <w:b/>
                                  <w:color w:val="FFFFFF"/>
                                  <w:spacing w:val="3"/>
                                  <w:w w:val="105"/>
                                  <w:sz w:val="16"/>
                                </w:rPr>
                                <w:t> </w:t>
                              </w:r>
                              <w:r>
                                <w:rPr>
                                  <w:rFonts w:ascii="Arial" w:hAnsi="Arial"/>
                                  <w:b/>
                                  <w:color w:val="FFFFFF"/>
                                  <w:w w:val="105"/>
                                  <w:sz w:val="16"/>
                                </w:rPr>
                                <w:t>time</w:t>
                              </w:r>
                              <w:r>
                                <w:rPr>
                                  <w:rFonts w:ascii="Arial" w:hAnsi="Arial"/>
                                  <w:b/>
                                  <w:color w:val="FFFFFF"/>
                                  <w:spacing w:val="3"/>
                                  <w:w w:val="105"/>
                                  <w:sz w:val="16"/>
                                </w:rPr>
                                <w:t> </w:t>
                              </w:r>
                              <w:r>
                                <w:rPr>
                                  <w:rFonts w:ascii="Arial" w:hAnsi="Arial"/>
                                  <w:b/>
                                  <w:color w:val="FFFFFF"/>
                                  <w:w w:val="105"/>
                                  <w:sz w:val="16"/>
                                </w:rPr>
                                <w:t>of</w:t>
                              </w:r>
                              <w:r>
                                <w:rPr>
                                  <w:rFonts w:ascii="Arial" w:hAnsi="Arial"/>
                                  <w:b/>
                                  <w:color w:val="FFFFFF"/>
                                  <w:spacing w:val="4"/>
                                  <w:w w:val="105"/>
                                  <w:sz w:val="16"/>
                                </w:rPr>
                                <w:t> </w:t>
                              </w:r>
                              <w:r>
                                <w:rPr>
                                  <w:rFonts w:ascii="Arial" w:hAnsi="Arial"/>
                                  <w:b/>
                                  <w:color w:val="FFFFFF"/>
                                  <w:w w:val="105"/>
                                  <w:sz w:val="16"/>
                                </w:rPr>
                                <w:t>containers</w:t>
                              </w:r>
                              <w:r>
                                <w:rPr>
                                  <w:rFonts w:ascii="Arial" w:hAnsi="Arial"/>
                                  <w:b/>
                                  <w:color w:val="FFFFFF"/>
                                  <w:spacing w:val="3"/>
                                  <w:w w:val="105"/>
                                  <w:sz w:val="16"/>
                                </w:rPr>
                                <w:t> </w:t>
                              </w:r>
                              <w:r>
                                <w:rPr>
                                  <w:rFonts w:ascii="Arial" w:hAnsi="Arial"/>
                                  <w:b/>
                                  <w:color w:val="FFFFFF"/>
                                  <w:w w:val="105"/>
                                  <w:sz w:val="16"/>
                                </w:rPr>
                                <w:t>around</w:t>
                              </w:r>
                              <w:r>
                                <w:rPr>
                                  <w:rFonts w:ascii="Arial" w:hAnsi="Arial"/>
                                  <w:b/>
                                  <w:color w:val="FFFFFF"/>
                                  <w:spacing w:val="3"/>
                                  <w:w w:val="105"/>
                                  <w:sz w:val="16"/>
                                </w:rPr>
                                <w:t> </w:t>
                              </w:r>
                              <w:r>
                                <w:rPr>
                                  <w:rFonts w:ascii="Arial" w:hAnsi="Arial"/>
                                  <w:b/>
                                  <w:color w:val="FFFFFF"/>
                                  <w:w w:val="105"/>
                                  <w:sz w:val="16"/>
                                </w:rPr>
                                <w:t>the</w:t>
                              </w:r>
                              <w:r>
                                <w:rPr>
                                  <w:rFonts w:ascii="Arial" w:hAnsi="Arial"/>
                                  <w:b/>
                                  <w:color w:val="FFFFFF"/>
                                  <w:spacing w:val="3"/>
                                  <w:w w:val="105"/>
                                  <w:sz w:val="16"/>
                                </w:rPr>
                                <w:t> </w:t>
                              </w:r>
                              <w:r>
                                <w:rPr>
                                  <w:rFonts w:ascii="Arial" w:hAnsi="Arial"/>
                                  <w:b/>
                                  <w:color w:val="FFFFFF"/>
                                  <w:w w:val="105"/>
                                  <w:sz w:val="16"/>
                                </w:rPr>
                                <w:t>world,</w:t>
                              </w:r>
                              <w:r>
                                <w:rPr>
                                  <w:rFonts w:ascii="Arial" w:hAnsi="Arial"/>
                                  <w:b/>
                                  <w:color w:val="FFFFFF"/>
                                  <w:spacing w:val="3"/>
                                  <w:w w:val="105"/>
                                  <w:sz w:val="16"/>
                                </w:rPr>
                                <w:t> </w:t>
                              </w:r>
                              <w:r>
                                <w:rPr>
                                  <w:rFonts w:ascii="Arial" w:hAnsi="Arial"/>
                                  <w:b/>
                                  <w:color w:val="FFFFFF"/>
                                  <w:w w:val="105"/>
                                  <w:sz w:val="16"/>
                                </w:rPr>
                                <w:t>May–October</w:t>
                              </w:r>
                              <w:r>
                                <w:rPr>
                                  <w:rFonts w:ascii="Arial" w:hAnsi="Arial"/>
                                  <w:b/>
                                  <w:color w:val="FFFFFF"/>
                                  <w:spacing w:val="4"/>
                                  <w:w w:val="105"/>
                                  <w:sz w:val="16"/>
                                </w:rPr>
                                <w:t> </w:t>
                              </w:r>
                              <w:r>
                                <w:rPr>
                                  <w:rFonts w:ascii="Arial" w:hAnsi="Arial"/>
                                  <w:b/>
                                  <w:color w:val="FFFFFF"/>
                                  <w:spacing w:val="-4"/>
                                  <w:w w:val="105"/>
                                  <w:sz w:val="16"/>
                                </w:rPr>
                                <w:t>2022</w:t>
                              </w:r>
                            </w:p>
                          </w:txbxContent>
                        </wps:txbx>
                        <wps:bodyPr wrap="square" lIns="0" tIns="0" rIns="0" bIns="0" rtlCol="0">
                          <a:noAutofit/>
                        </wps:bodyPr>
                      </wps:wsp>
                      <wps:wsp>
                        <wps:cNvPr id="372" name="Textbox 372"/>
                        <wps:cNvSpPr txBox="1"/>
                        <wps:spPr>
                          <a:xfrm>
                            <a:off x="76386" y="3693866"/>
                            <a:ext cx="959485" cy="91440"/>
                          </a:xfrm>
                          <a:prstGeom prst="rect">
                            <a:avLst/>
                          </a:prstGeom>
                        </wps:spPr>
                        <wps:txbx>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1"/>
                                  <w:w w:val="75"/>
                                  <w:sz w:val="12"/>
                                </w:rPr>
                                <w:t> </w:t>
                              </w:r>
                              <w:r>
                                <w:rPr>
                                  <w:rFonts w:ascii="Arial"/>
                                  <w:color w:val="231F20"/>
                                  <w:w w:val="75"/>
                                  <w:sz w:val="12"/>
                                </w:rPr>
                                <w:t>TradeLens</w:t>
                              </w:r>
                              <w:r>
                                <w:rPr>
                                  <w:rFonts w:ascii="Arial"/>
                                  <w:color w:val="231F20"/>
                                  <w:spacing w:val="-3"/>
                                  <w:sz w:val="12"/>
                                </w:rPr>
                                <w:t> </w:t>
                              </w:r>
                              <w:r>
                                <w:rPr>
                                  <w:rFonts w:ascii="Arial"/>
                                  <w:color w:val="231F20"/>
                                  <w:w w:val="75"/>
                                  <w:sz w:val="12"/>
                                </w:rPr>
                                <w:t>and</w:t>
                              </w:r>
                              <w:r>
                                <w:rPr>
                                  <w:rFonts w:ascii="Arial"/>
                                  <w:color w:val="231F20"/>
                                  <w:spacing w:val="-1"/>
                                  <w:w w:val="75"/>
                                  <w:sz w:val="12"/>
                                </w:rPr>
                                <w:t> </w:t>
                              </w:r>
                              <w:r>
                                <w:rPr>
                                  <w:rFonts w:ascii="Arial"/>
                                  <w:color w:val="231F20"/>
                                  <w:w w:val="75"/>
                                  <w:sz w:val="12"/>
                                </w:rPr>
                                <w:t>World</w:t>
                              </w:r>
                              <w:r>
                                <w:rPr>
                                  <w:rFonts w:ascii="Arial"/>
                                  <w:color w:val="231F20"/>
                                  <w:spacing w:val="-3"/>
                                  <w:sz w:val="12"/>
                                </w:rPr>
                                <w:t> </w:t>
                              </w:r>
                              <w:r>
                                <w:rPr>
                                  <w:rFonts w:ascii="Arial"/>
                                  <w:color w:val="231F20"/>
                                  <w:spacing w:val="-2"/>
                                  <w:w w:val="75"/>
                                  <w:sz w:val="12"/>
                                </w:rPr>
                                <w:t>Bank.</w:t>
                              </w:r>
                            </w:p>
                          </w:txbxContent>
                        </wps:txbx>
                        <wps:bodyPr wrap="square" lIns="0" tIns="0" rIns="0" bIns="0" rtlCol="0">
                          <a:noAutofit/>
                        </wps:bodyPr>
                      </wps:wsp>
                    </wpg:wgp>
                  </a:graphicData>
                </a:graphic>
              </wp:inline>
            </w:drawing>
          </mc:Choice>
          <mc:Fallback>
            <w:pict>
              <v:group style="width:516pt;height:307.9pt;mso-position-horizontal-relative:char;mso-position-vertical-relative:line" id="docshapegroup295" coordorigin="0,0" coordsize="10320,6158">
                <v:shape style="position:absolute;left:0;top:406;width:10320;height:5751" id="docshape296" coordorigin="0,406" coordsize="10320,5751" path="m10320,406l0,406,0,6039,10,6085,10,6085,36,6123,74,6148,119,6157,10196,6157,10242,6149,10245,6147,119,6147,77,6139,42,6115,19,6081,10,6039,10,416,10320,416,10320,406xm10320,416l10310,416,10310,6039,10300,6085,10274,6119,10237,6140,10196,6147,10245,6147,10281,6125,10309,6088,10320,6039,10320,416xe" filled="true" fillcolor="#90bae8" stroked="false">
                  <v:path arrowok="t"/>
                  <v:fill type="solid"/>
                </v:shape>
                <v:shape style="position:absolute;left:0;top:0;width:807;height:365" id="docshape297" coordorigin="0,0" coordsize="807,365" path="m807,0l120,0,74,5,36,23,10,59,0,120,0,365,807,365,807,0xe" filled="true" fillcolor="#008fdd" stroked="false">
                  <v:path arrowok="t"/>
                  <v:fill type="solid"/>
                </v:shape>
                <v:shape style="position:absolute;left:806;top:0;width:9513;height:365" id="docshape298" coordorigin="807,0" coordsize="9513,365" path="m10199,0l807,0,807,365,10319,365,10319,120,10310,80,10286,41,10248,12,10199,0xe" filled="true" fillcolor="#808285" stroked="false">
                  <v:path arrowok="t"/>
                  <v:fill type="solid"/>
                </v:shape>
                <v:line style="position:absolute" from="807,0" to="807,379" stroked="true" strokeweight="2pt" strokecolor="#ffffff">
                  <v:stroke dashstyle="solid"/>
                </v:line>
                <v:shape style="position:absolute;left:135;top:5439;width:449;height:193" type="#_x0000_t75" id="docshape299" stroked="false">
                  <v:imagedata r:id="rId46" o:title=""/>
                </v:shape>
                <v:shape style="position:absolute;left:6921;top:4676;width:2706;height:665" id="docshape300" coordorigin="6921,4676" coordsize="2706,665" path="m6932,5339l6930,5338,6928,5335,6924,5334,6923,5333,6921,5333,6921,5334,6921,5335,6922,5335,6922,5339,6923,5341,6925,5341,6929,5339,6931,5339,6932,5339xm9626,4677l9626,4677,9626,4677,9625,4676,9625,4676,9624,4677,9625,4677,9625,4677,9625,4677,9624,4677,9624,4678,9624,4678,9624,4678,9623,4679,9624,4679,9624,4678,9624,4679,9624,4679,9624,4679,9624,4679,9624,4679,9625,4679,9625,4679,9625,4679,9626,4678,9626,4677xe" filled="true" fillcolor="#e1e2e3" stroked="false">
                  <v:path arrowok="t"/>
                  <v:fill type="solid"/>
                </v:shape>
                <v:shape style="position:absolute;left:354;top:611;width:9828;height:4978" type="#_x0000_t75" id="docshape301" stroked="false">
                  <v:imagedata r:id="rId47" o:title=""/>
                </v:shape>
                <v:shape style="position:absolute;left:464;top:3313;width:9686;height:283" id="docshape302" coordorigin="465,3313" coordsize="9686,283" path="m10100,3343l10099,3343,10098,3344,10099,3344,10100,3343xm10106,3393l10106,3393,10107,3395,10107,3395,10106,3393xm10110,3433l10109,3433,10109,3435,10107,3438,10108,3438,10110,3435,10110,3433xm10109,3431l10109,3431,10110,3433,10109,3433,10110,3433,10110,3432,10109,3431xm10109,3431l10108,3431,10108,3431,10108,3431,10109,3431,10109,3431,10109,3431,10109,3431xm10149,3502l10149,3502,10149,3507,10149,3509,10150,3509,10150,3505,10149,3502xm10147,3500l10147,3500,10148,3501,10148,3501,10147,3500xm858,3395l857,3396,861,3401,865,3403,868,3403,864,3398,861,3398,859,3397,858,3395xm861,3391l860,3391,863,3394,862,3395,861,3398,861,3398,864,3398,864,3395,864,3394,864,3393,861,3391xm814,3315l812,3315,813,3315,813,3316,814,3316,814,3315xm813,3313l811,3313,810,3314,810,3314,811,3315,811,3314,811,3314,813,3314,813,3313xm465,3594l465,3594,466,3595,465,3594,465,3594xe" filled="true" fillcolor="#e1e2e3" stroked="false">
                  <v:path arrowok="t"/>
                  <v:fill type="solid"/>
                </v:shape>
                <v:shape style="position:absolute;left:6827;top:4172;width:14;height:19" id="docshape303" coordorigin="6827,4172" coordsize="14,19" path="m6838,4172l6836,4172,6834,4174,6833,4177,6831,4179,6830,4180,6829,4184,6829,4187,6827,4187,6827,4188,6829,4190,6832,4190,6836,4189,6838,4188,6838,4185,6840,4184,6841,4180,6840,4176,6838,4172xe" filled="true" fillcolor="#adceb6" stroked="false">
                  <v:path arrowok="t"/>
                  <v:fill type="solid"/>
                </v:shape>
                <v:shape style="position:absolute;left:660;top:3494;width:9279;height:850" id="docshape304" coordorigin="661,3495" coordsize="9279,850" path="m665,4278l665,4277,663,4274,662,4274,661,4275,661,4278,663,4281,665,4278xm964,4344l964,4343,963,4342,962,4341,961,4341,961,4342,961,4343,961,4344,962,4344,963,4344,964,4344xm9939,3496l9939,3495,9939,3495,9938,3495,9938,3496,9938,3497,9938,3497,9939,3496xe" filled="true" fillcolor="#e1e2e3" stroked="false">
                  <v:path arrowok="t"/>
                  <v:fill type="solid"/>
                </v:shape>
                <v:shape style="position:absolute;left:509;top:4048;width:43;height:24" id="docshape305" coordorigin="509,4049" coordsize="43,24" path="m521,4049l516,4050,512,4052,509,4052,511,4054,514,4057,519,4063,520,4063,524,4062,527,4062,527,4058,525,4052,521,4049xm527,4062l524,4062,528,4063,527,4062xm537,4062l534,4063,533,4065,534,4067,538,4071,540,4071,544,4072,551,4072,551,4071,550,4069,549,4068,547,4068,545,4065,537,4062xe" filled="true" fillcolor="#adceb6" stroked="false">
                  <v:path arrowok="t"/>
                  <v:fill type="solid"/>
                </v:shape>
                <v:shape style="position:absolute;left:6814;top:3633;width:5;height:8" id="docshape306" coordorigin="6814,3633" coordsize="5,8" path="m6816,3633l6814,3635,6815,3636,6817,3638,6817,3640,6818,3641,6818,3638,6816,3633xe" filled="true" fillcolor="#63a074" stroked="false">
                  <v:path arrowok="t"/>
                  <v:fill type="solid"/>
                </v:shape>
                <v:shape style="position:absolute;left:545;top:3124;width:7005;height:1266" id="docshape307" coordorigin="546,3124" coordsize="7005,1266" path="m549,4271l546,4271,548,4272,549,4272,549,4271xm549,4268l546,4268,546,4270,546,4270,549,4270,549,4270,549,4268xm563,4382l563,4378,562,4378,562,4377,562,4377,561,4377,561,4378,561,4378,560,4378,560,4378,558,4377,556,4377,555,4376,555,4375,555,4376,555,4377,556,4378,561,4381,563,4382xm572,4390l570,4383,569,4383,569,4385,570,4387,572,4390xm7491,3154l7490,3151,7489,3151,7486,3149,7487,3151,7488,3152,7491,3154xm7491,3131l7489,3129,7488,3127,7488,3127,7487,3127,7487,3127,7487,3128,7487,3128,7487,3129,7489,3131,7491,3131xm7550,3223l7550,3214,7548,3209,7547,3207,7545,3202,7543,3199,7543,3199,7543,3197,7543,3196,7538,3188,7535,3184,7535,3183,7535,3181,7533,3173,7532,3171,7530,3171,7529,3170,7528,3169,7528,3167,7527,3165,7522,3155,7521,3154,7519,3154,7519,3152,7518,3152,7518,3150,7512,3140,7508,3136,7502,3130,7498,3125,7498,3125,7496,3124,7490,3124,7490,3125,7490,3127,7491,3128,7493,3130,7493,3130,7499,3131,7502,3133,7504,3136,7502,3136,7501,3136,7499,3135,7497,3134,7494,3132,7495,3135,7495,3136,7495,3136,7495,3137,7495,3140,7496,3141,7495,3146,7495,3149,7495,3150,7492,3157,7492,3159,7492,3162,7492,3165,7491,3174,7490,3178,7490,3187,7490,3188,7489,3187,7489,3186,7488,3184,7488,3182,7488,3181,7488,3178,7488,3181,7488,3187,7490,3196,7491,3204,7494,3230,7497,3239,7499,3247,7502,3255,7507,3260,7514,3262,7520,3261,7527,3257,7536,3252,7538,3251,7545,3244,7547,3241,7548,3238,7549,3233,7550,3227,7550,3223xe" filled="true" fillcolor="#adceb6" stroked="false">
                  <v:path arrowok="t"/>
                  <v:fill type="solid"/>
                </v:shape>
                <v:shape style="position:absolute;left:960;top:719;width:8924;height:4832" type="#_x0000_t75" id="docshape308" stroked="false">
                  <v:imagedata r:id="rId48" o:title=""/>
                </v:shape>
                <v:shape style="position:absolute;left:571;top:4079;width:7;height:5" id="docshape309" coordorigin="572,4079" coordsize="7,5" path="m574,4079l574,4080,572,4082,573,4084,575,4083,576,4080,578,4079,574,4079xe" filled="true" fillcolor="#028549" stroked="false">
                  <v:path arrowok="t"/>
                  <v:fill type="solid"/>
                </v:shape>
                <v:shape style="position:absolute;left:9965;top:3163;width:88;height:64" id="docshape310" coordorigin="9965,3163" coordsize="88,64" path="m10002,3218l10001,3220,10000,3221,10000,3222,10000,3225,9999,3226,9999,3227,10000,3227,10000,3226,10000,3222,10002,3220,10002,3218xm9968,3164l9965,3163,9969,3164,9968,3164xm10052,3175l10051,3175,10052,3176,10053,3176,10052,3175xm10047,3173l10048,3175,10051,3175,10051,3174,10048,3174,10047,3173xm10032,3168l10032,3169,10034,3171,10037,3172,10038,3172,10039,3172,10038,3172,10034,3170,10032,3168xm10042,3170l10037,3172,10039,3172,10041,3171,10042,3170xe" filled="true" fillcolor="#e1e2e3" stroked="false">
                  <v:path arrowok="t"/>
                  <v:fill type="solid"/>
                </v:shape>
                <v:shape style="position:absolute;left:120;top:105;width:407;height:190" type="#_x0000_t202" id="docshape311" filled="false" stroked="false">
                  <v:textbox inset="0,0,0,0">
                    <w:txbxContent>
                      <w:p>
                        <w:pPr>
                          <w:spacing w:before="3"/>
                          <w:ind w:left="0" w:right="0" w:firstLine="0"/>
                          <w:jc w:val="left"/>
                          <w:rPr>
                            <w:rFonts w:ascii="Arial"/>
                            <w:b/>
                            <w:sz w:val="16"/>
                          </w:rPr>
                        </w:pPr>
                        <w:bookmarkStart w:name="_bookmark8" w:id="10"/>
                        <w:bookmarkEnd w:id="10"/>
                        <w:r>
                          <w:rPr/>
                        </w:r>
                        <w:r>
                          <w:rPr>
                            <w:rFonts w:ascii="Arial"/>
                            <w:color w:val="FFFFFF"/>
                            <w:w w:val="85"/>
                            <w:sz w:val="16"/>
                          </w:rPr>
                          <w:t>Map</w:t>
                        </w:r>
                        <w:r>
                          <w:rPr>
                            <w:rFonts w:ascii="Arial"/>
                            <w:color w:val="FFFFFF"/>
                            <w:spacing w:val="-4"/>
                            <w:sz w:val="16"/>
                          </w:rPr>
                          <w:t> </w:t>
                        </w:r>
                        <w:r>
                          <w:rPr>
                            <w:rFonts w:ascii="Arial"/>
                            <w:b/>
                            <w:color w:val="FFFFFF"/>
                            <w:spacing w:val="-10"/>
                            <w:sz w:val="16"/>
                          </w:rPr>
                          <w:t>1</w:t>
                        </w:r>
                      </w:p>
                    </w:txbxContent>
                  </v:textbox>
                  <w10:wrap type="none"/>
                </v:shape>
                <v:shape style="position:absolute;left:920;top:106;width:6061;height:190" type="#_x0000_t202" id="docshape312" filled="false" stroked="false">
                  <v:textbox inset="0,0,0,0">
                    <w:txbxContent>
                      <w:p>
                        <w:pPr>
                          <w:spacing w:before="2"/>
                          <w:ind w:left="0" w:right="0" w:firstLine="0"/>
                          <w:jc w:val="left"/>
                          <w:rPr>
                            <w:rFonts w:ascii="Arial" w:hAnsi="Arial"/>
                            <w:b/>
                            <w:sz w:val="16"/>
                          </w:rPr>
                        </w:pPr>
                        <w:r>
                          <w:rPr>
                            <w:rFonts w:ascii="Arial" w:hAnsi="Arial"/>
                            <w:b/>
                            <w:color w:val="FFFFFF"/>
                            <w:w w:val="105"/>
                            <w:sz w:val="16"/>
                          </w:rPr>
                          <w:t>Mean</w:t>
                        </w:r>
                        <w:r>
                          <w:rPr>
                            <w:rFonts w:ascii="Arial" w:hAnsi="Arial"/>
                            <w:b/>
                            <w:color w:val="FFFFFF"/>
                            <w:spacing w:val="3"/>
                            <w:w w:val="105"/>
                            <w:sz w:val="16"/>
                          </w:rPr>
                          <w:t> </w:t>
                        </w:r>
                        <w:r>
                          <w:rPr>
                            <w:rFonts w:ascii="Arial" w:hAnsi="Arial"/>
                            <w:b/>
                            <w:color w:val="FFFFFF"/>
                            <w:w w:val="105"/>
                            <w:sz w:val="16"/>
                          </w:rPr>
                          <w:t>import</w:t>
                        </w:r>
                        <w:r>
                          <w:rPr>
                            <w:rFonts w:ascii="Arial" w:hAnsi="Arial"/>
                            <w:b/>
                            <w:color w:val="FFFFFF"/>
                            <w:spacing w:val="3"/>
                            <w:w w:val="105"/>
                            <w:sz w:val="16"/>
                          </w:rPr>
                          <w:t> </w:t>
                        </w:r>
                        <w:r>
                          <w:rPr>
                            <w:rFonts w:ascii="Arial" w:hAnsi="Arial"/>
                            <w:b/>
                            <w:color w:val="FFFFFF"/>
                            <w:w w:val="105"/>
                            <w:sz w:val="16"/>
                          </w:rPr>
                          <w:t>dwell</w:t>
                        </w:r>
                        <w:r>
                          <w:rPr>
                            <w:rFonts w:ascii="Arial" w:hAnsi="Arial"/>
                            <w:b/>
                            <w:color w:val="FFFFFF"/>
                            <w:spacing w:val="3"/>
                            <w:w w:val="105"/>
                            <w:sz w:val="16"/>
                          </w:rPr>
                          <w:t> </w:t>
                        </w:r>
                        <w:r>
                          <w:rPr>
                            <w:rFonts w:ascii="Arial" w:hAnsi="Arial"/>
                            <w:b/>
                            <w:color w:val="FFFFFF"/>
                            <w:w w:val="105"/>
                            <w:sz w:val="16"/>
                          </w:rPr>
                          <w:t>time</w:t>
                        </w:r>
                        <w:r>
                          <w:rPr>
                            <w:rFonts w:ascii="Arial" w:hAnsi="Arial"/>
                            <w:b/>
                            <w:color w:val="FFFFFF"/>
                            <w:spacing w:val="3"/>
                            <w:w w:val="105"/>
                            <w:sz w:val="16"/>
                          </w:rPr>
                          <w:t> </w:t>
                        </w:r>
                        <w:r>
                          <w:rPr>
                            <w:rFonts w:ascii="Arial" w:hAnsi="Arial"/>
                            <w:b/>
                            <w:color w:val="FFFFFF"/>
                            <w:w w:val="105"/>
                            <w:sz w:val="16"/>
                          </w:rPr>
                          <w:t>of</w:t>
                        </w:r>
                        <w:r>
                          <w:rPr>
                            <w:rFonts w:ascii="Arial" w:hAnsi="Arial"/>
                            <w:b/>
                            <w:color w:val="FFFFFF"/>
                            <w:spacing w:val="4"/>
                            <w:w w:val="105"/>
                            <w:sz w:val="16"/>
                          </w:rPr>
                          <w:t> </w:t>
                        </w:r>
                        <w:r>
                          <w:rPr>
                            <w:rFonts w:ascii="Arial" w:hAnsi="Arial"/>
                            <w:b/>
                            <w:color w:val="FFFFFF"/>
                            <w:w w:val="105"/>
                            <w:sz w:val="16"/>
                          </w:rPr>
                          <w:t>containers</w:t>
                        </w:r>
                        <w:r>
                          <w:rPr>
                            <w:rFonts w:ascii="Arial" w:hAnsi="Arial"/>
                            <w:b/>
                            <w:color w:val="FFFFFF"/>
                            <w:spacing w:val="3"/>
                            <w:w w:val="105"/>
                            <w:sz w:val="16"/>
                          </w:rPr>
                          <w:t> </w:t>
                        </w:r>
                        <w:r>
                          <w:rPr>
                            <w:rFonts w:ascii="Arial" w:hAnsi="Arial"/>
                            <w:b/>
                            <w:color w:val="FFFFFF"/>
                            <w:w w:val="105"/>
                            <w:sz w:val="16"/>
                          </w:rPr>
                          <w:t>around</w:t>
                        </w:r>
                        <w:r>
                          <w:rPr>
                            <w:rFonts w:ascii="Arial" w:hAnsi="Arial"/>
                            <w:b/>
                            <w:color w:val="FFFFFF"/>
                            <w:spacing w:val="3"/>
                            <w:w w:val="105"/>
                            <w:sz w:val="16"/>
                          </w:rPr>
                          <w:t> </w:t>
                        </w:r>
                        <w:r>
                          <w:rPr>
                            <w:rFonts w:ascii="Arial" w:hAnsi="Arial"/>
                            <w:b/>
                            <w:color w:val="FFFFFF"/>
                            <w:w w:val="105"/>
                            <w:sz w:val="16"/>
                          </w:rPr>
                          <w:t>the</w:t>
                        </w:r>
                        <w:r>
                          <w:rPr>
                            <w:rFonts w:ascii="Arial" w:hAnsi="Arial"/>
                            <w:b/>
                            <w:color w:val="FFFFFF"/>
                            <w:spacing w:val="3"/>
                            <w:w w:val="105"/>
                            <w:sz w:val="16"/>
                          </w:rPr>
                          <w:t> </w:t>
                        </w:r>
                        <w:r>
                          <w:rPr>
                            <w:rFonts w:ascii="Arial" w:hAnsi="Arial"/>
                            <w:b/>
                            <w:color w:val="FFFFFF"/>
                            <w:w w:val="105"/>
                            <w:sz w:val="16"/>
                          </w:rPr>
                          <w:t>world,</w:t>
                        </w:r>
                        <w:r>
                          <w:rPr>
                            <w:rFonts w:ascii="Arial" w:hAnsi="Arial"/>
                            <w:b/>
                            <w:color w:val="FFFFFF"/>
                            <w:spacing w:val="3"/>
                            <w:w w:val="105"/>
                            <w:sz w:val="16"/>
                          </w:rPr>
                          <w:t> </w:t>
                        </w:r>
                        <w:r>
                          <w:rPr>
                            <w:rFonts w:ascii="Arial" w:hAnsi="Arial"/>
                            <w:b/>
                            <w:color w:val="FFFFFF"/>
                            <w:w w:val="105"/>
                            <w:sz w:val="16"/>
                          </w:rPr>
                          <w:t>May–October</w:t>
                        </w:r>
                        <w:r>
                          <w:rPr>
                            <w:rFonts w:ascii="Arial" w:hAnsi="Arial"/>
                            <w:b/>
                            <w:color w:val="FFFFFF"/>
                            <w:spacing w:val="4"/>
                            <w:w w:val="105"/>
                            <w:sz w:val="16"/>
                          </w:rPr>
                          <w:t> </w:t>
                        </w:r>
                        <w:r>
                          <w:rPr>
                            <w:rFonts w:ascii="Arial" w:hAnsi="Arial"/>
                            <w:b/>
                            <w:color w:val="FFFFFF"/>
                            <w:spacing w:val="-4"/>
                            <w:w w:val="105"/>
                            <w:sz w:val="16"/>
                          </w:rPr>
                          <w:t>2022</w:t>
                        </w:r>
                      </w:p>
                    </w:txbxContent>
                  </v:textbox>
                  <w10:wrap type="none"/>
                </v:shape>
                <v:shape style="position:absolute;left:120;top:5817;width:1511;height:144" type="#_x0000_t202" id="docshape313" filled="false" stroked="false">
                  <v:textbox inset="0,0,0,0">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1"/>
                            <w:w w:val="75"/>
                            <w:sz w:val="12"/>
                          </w:rPr>
                          <w:t> </w:t>
                        </w:r>
                        <w:r>
                          <w:rPr>
                            <w:rFonts w:ascii="Arial"/>
                            <w:color w:val="231F20"/>
                            <w:w w:val="75"/>
                            <w:sz w:val="12"/>
                          </w:rPr>
                          <w:t>TradeLens</w:t>
                        </w:r>
                        <w:r>
                          <w:rPr>
                            <w:rFonts w:ascii="Arial"/>
                            <w:color w:val="231F20"/>
                            <w:spacing w:val="-3"/>
                            <w:sz w:val="12"/>
                          </w:rPr>
                          <w:t> </w:t>
                        </w:r>
                        <w:r>
                          <w:rPr>
                            <w:rFonts w:ascii="Arial"/>
                            <w:color w:val="231F20"/>
                            <w:w w:val="75"/>
                            <w:sz w:val="12"/>
                          </w:rPr>
                          <w:t>and</w:t>
                        </w:r>
                        <w:r>
                          <w:rPr>
                            <w:rFonts w:ascii="Arial"/>
                            <w:color w:val="231F20"/>
                            <w:spacing w:val="-1"/>
                            <w:w w:val="75"/>
                            <w:sz w:val="12"/>
                          </w:rPr>
                          <w:t> </w:t>
                        </w:r>
                        <w:r>
                          <w:rPr>
                            <w:rFonts w:ascii="Arial"/>
                            <w:color w:val="231F20"/>
                            <w:w w:val="75"/>
                            <w:sz w:val="12"/>
                          </w:rPr>
                          <w:t>World</w:t>
                        </w:r>
                        <w:r>
                          <w:rPr>
                            <w:rFonts w:ascii="Arial"/>
                            <w:color w:val="231F20"/>
                            <w:spacing w:val="-3"/>
                            <w:sz w:val="12"/>
                          </w:rPr>
                          <w:t> </w:t>
                        </w:r>
                        <w:r>
                          <w:rPr>
                            <w:rFonts w:ascii="Arial"/>
                            <w:color w:val="231F20"/>
                            <w:spacing w:val="-2"/>
                            <w:w w:val="75"/>
                            <w:sz w:val="12"/>
                          </w:rPr>
                          <w:t>Bank.</w:t>
                        </w:r>
                      </w:p>
                    </w:txbxContent>
                  </v:textbox>
                  <w10:wrap type="none"/>
                </v:shape>
              </v:group>
            </w:pict>
          </mc:Fallback>
        </mc:AlternateContent>
      </w:r>
      <w:r>
        <w:rPr>
          <w:sz w:val="20"/>
        </w:rPr>
      </w:r>
    </w:p>
    <w:p>
      <w:pPr>
        <w:pStyle w:val="BodyText"/>
        <w:spacing w:before="9"/>
        <w:rPr>
          <w:sz w:val="15"/>
        </w:rPr>
      </w:pPr>
    </w:p>
    <w:p>
      <w:pPr>
        <w:spacing w:after="0"/>
        <w:rPr>
          <w:sz w:val="15"/>
        </w:rPr>
        <w:sectPr>
          <w:pgSz w:w="12240" w:h="15840"/>
          <w:pgMar w:header="370" w:footer="548" w:top="560" w:bottom="740" w:left="0" w:right="540"/>
        </w:sectPr>
      </w:pPr>
    </w:p>
    <w:p>
      <w:pPr>
        <w:spacing w:line="280" w:lineRule="auto" w:before="106"/>
        <w:ind w:left="1200" w:right="30" w:firstLine="0"/>
        <w:jc w:val="left"/>
        <w:rPr>
          <w:rFonts w:ascii="Arial"/>
          <w:b/>
          <w:sz w:val="20"/>
        </w:rPr>
      </w:pPr>
      <w:r>
        <w:rPr>
          <w:rFonts w:ascii="Arial"/>
          <w:b/>
          <w:color w:val="231F20"/>
          <w:w w:val="105"/>
          <w:sz w:val="20"/>
        </w:rPr>
        <w:t>Landlocked developing countries and the importance of connectivity</w:t>
      </w:r>
    </w:p>
    <w:p>
      <w:pPr>
        <w:pStyle w:val="BodyText"/>
        <w:spacing w:before="33"/>
        <w:rPr>
          <w:rFonts w:ascii="Arial"/>
          <w:b/>
          <w:sz w:val="20"/>
        </w:rPr>
      </w:pPr>
    </w:p>
    <w:p>
      <w:pPr>
        <w:pStyle w:val="BodyText"/>
        <w:spacing w:line="268" w:lineRule="auto"/>
        <w:ind w:left="1200"/>
        <w:jc w:val="both"/>
      </w:pPr>
      <w:r>
        <w:rPr>
          <w:color w:val="231F20"/>
          <w:w w:val="90"/>
        </w:rPr>
        <w:t>Landlocked</w:t>
      </w:r>
      <w:r>
        <w:rPr>
          <w:color w:val="231F20"/>
          <w:spacing w:val="-1"/>
          <w:w w:val="90"/>
        </w:rPr>
        <w:t> </w:t>
      </w:r>
      <w:r>
        <w:rPr>
          <w:color w:val="231F20"/>
          <w:w w:val="90"/>
        </w:rPr>
        <w:t>developing</w:t>
      </w:r>
      <w:r>
        <w:rPr>
          <w:color w:val="231F20"/>
          <w:spacing w:val="-1"/>
          <w:w w:val="90"/>
        </w:rPr>
        <w:t> </w:t>
      </w:r>
      <w:r>
        <w:rPr>
          <w:color w:val="231F20"/>
          <w:w w:val="90"/>
        </w:rPr>
        <w:t>countries</w:t>
      </w:r>
      <w:r>
        <w:rPr>
          <w:color w:val="231F20"/>
          <w:spacing w:val="-1"/>
          <w:w w:val="90"/>
        </w:rPr>
        <w:t> </w:t>
      </w:r>
      <w:r>
        <w:rPr>
          <w:color w:val="231F20"/>
          <w:w w:val="90"/>
        </w:rPr>
        <w:t>are</w:t>
      </w:r>
      <w:r>
        <w:rPr>
          <w:color w:val="231F20"/>
          <w:spacing w:val="-1"/>
          <w:w w:val="90"/>
        </w:rPr>
        <w:t> </w:t>
      </w:r>
      <w:r>
        <w:rPr>
          <w:color w:val="231F20"/>
          <w:w w:val="90"/>
        </w:rPr>
        <w:t>logistically constrained.</w:t>
      </w:r>
      <w:r>
        <w:rPr>
          <w:color w:val="231F20"/>
          <w:spacing w:val="-8"/>
          <w:w w:val="90"/>
        </w:rPr>
        <w:t> </w:t>
      </w:r>
      <w:r>
        <w:rPr>
          <w:color w:val="231F20"/>
          <w:w w:val="90"/>
        </w:rPr>
        <w:t>They</w:t>
      </w:r>
      <w:r>
        <w:rPr>
          <w:color w:val="231F20"/>
          <w:spacing w:val="-8"/>
          <w:w w:val="90"/>
        </w:rPr>
        <w:t> </w:t>
      </w:r>
      <w:r>
        <w:rPr>
          <w:color w:val="231F20"/>
          <w:w w:val="90"/>
        </w:rPr>
        <w:t>may</w:t>
      </w:r>
      <w:r>
        <w:rPr>
          <w:color w:val="231F20"/>
          <w:spacing w:val="-8"/>
          <w:w w:val="90"/>
        </w:rPr>
        <w:t> </w:t>
      </w:r>
      <w:r>
        <w:rPr>
          <w:color w:val="231F20"/>
          <w:w w:val="90"/>
        </w:rPr>
        <w:t>have</w:t>
      </w:r>
      <w:r>
        <w:rPr>
          <w:color w:val="231F20"/>
          <w:spacing w:val="-8"/>
          <w:w w:val="90"/>
        </w:rPr>
        <w:t> </w:t>
      </w:r>
      <w:r>
        <w:rPr>
          <w:color w:val="231F20"/>
          <w:w w:val="90"/>
        </w:rPr>
        <w:t>short</w:t>
      </w:r>
      <w:r>
        <w:rPr>
          <w:color w:val="231F20"/>
          <w:spacing w:val="-8"/>
          <w:w w:val="90"/>
        </w:rPr>
        <w:t> </w:t>
      </w:r>
      <w:r>
        <w:rPr>
          <w:color w:val="231F20"/>
          <w:w w:val="90"/>
        </w:rPr>
        <w:t>delays</w:t>
      </w:r>
      <w:r>
        <w:rPr>
          <w:color w:val="231F20"/>
          <w:spacing w:val="-8"/>
          <w:w w:val="90"/>
        </w:rPr>
        <w:t> </w:t>
      </w:r>
      <w:r>
        <w:rPr>
          <w:color w:val="231F20"/>
          <w:w w:val="90"/>
        </w:rPr>
        <w:t>at</w:t>
      </w:r>
      <w:r>
        <w:rPr>
          <w:color w:val="231F20"/>
          <w:spacing w:val="-8"/>
          <w:w w:val="90"/>
        </w:rPr>
        <w:t> </w:t>
      </w:r>
      <w:r>
        <w:rPr>
          <w:color w:val="231F20"/>
          <w:w w:val="90"/>
        </w:rPr>
        <w:t>desti- </w:t>
      </w:r>
      <w:r>
        <w:rPr>
          <w:color w:val="231F20"/>
          <w:spacing w:val="-6"/>
        </w:rPr>
        <w:t>nations (for imports) but longer delays on tran- </w:t>
      </w:r>
      <w:r>
        <w:rPr>
          <w:color w:val="231F20"/>
        </w:rPr>
        <w:t>sit</w:t>
      </w:r>
      <w:r>
        <w:rPr>
          <w:color w:val="231F20"/>
          <w:spacing w:val="-14"/>
        </w:rPr>
        <w:t> </w:t>
      </w:r>
      <w:r>
        <w:rPr>
          <w:color w:val="231F20"/>
        </w:rPr>
        <w:t>corridors</w:t>
      </w:r>
      <w:r>
        <w:rPr>
          <w:color w:val="231F20"/>
          <w:spacing w:val="-13"/>
        </w:rPr>
        <w:t> </w:t>
      </w:r>
      <w:r>
        <w:rPr>
          <w:color w:val="231F20"/>
        </w:rPr>
        <w:t>and</w:t>
      </w:r>
      <w:r>
        <w:rPr>
          <w:color w:val="231F20"/>
          <w:spacing w:val="-13"/>
        </w:rPr>
        <w:t> </w:t>
      </w:r>
      <w:r>
        <w:rPr>
          <w:color w:val="231F20"/>
        </w:rPr>
        <w:t>at</w:t>
      </w:r>
      <w:r>
        <w:rPr>
          <w:color w:val="231F20"/>
          <w:spacing w:val="-13"/>
        </w:rPr>
        <w:t> </w:t>
      </w:r>
      <w:r>
        <w:rPr>
          <w:color w:val="231F20"/>
        </w:rPr>
        <w:t>the</w:t>
      </w:r>
      <w:r>
        <w:rPr>
          <w:color w:val="231F20"/>
          <w:spacing w:val="-13"/>
        </w:rPr>
        <w:t> </w:t>
      </w:r>
      <w:r>
        <w:rPr>
          <w:color w:val="231F20"/>
        </w:rPr>
        <w:t>port</w:t>
      </w:r>
      <w:r>
        <w:rPr>
          <w:color w:val="231F20"/>
          <w:spacing w:val="-13"/>
        </w:rPr>
        <w:t> </w:t>
      </w:r>
      <w:r>
        <w:rPr>
          <w:color w:val="231F20"/>
        </w:rPr>
        <w:t>of</w:t>
      </w:r>
      <w:r>
        <w:rPr>
          <w:color w:val="231F20"/>
          <w:spacing w:val="-13"/>
        </w:rPr>
        <w:t> </w:t>
      </w:r>
      <w:r>
        <w:rPr>
          <w:color w:val="231F20"/>
        </w:rPr>
        <w:t>entry.</w:t>
      </w:r>
      <w:r>
        <w:rPr>
          <w:color w:val="231F20"/>
          <w:spacing w:val="-13"/>
        </w:rPr>
        <w:t> </w:t>
      </w:r>
      <w:r>
        <w:rPr>
          <w:color w:val="231F20"/>
        </w:rPr>
        <w:t>On</w:t>
      </w:r>
      <w:r>
        <w:rPr>
          <w:color w:val="231F20"/>
          <w:spacing w:val="-14"/>
        </w:rPr>
        <w:t> </w:t>
      </w:r>
      <w:r>
        <w:rPr>
          <w:color w:val="231F20"/>
        </w:rPr>
        <w:t>aver- </w:t>
      </w:r>
      <w:r>
        <w:rPr>
          <w:color w:val="231F20"/>
          <w:spacing w:val="-2"/>
        </w:rPr>
        <w:t>age,</w:t>
      </w:r>
      <w:r>
        <w:rPr>
          <w:color w:val="231F20"/>
          <w:spacing w:val="-12"/>
        </w:rPr>
        <w:t> </w:t>
      </w:r>
      <w:r>
        <w:rPr>
          <w:color w:val="231F20"/>
          <w:spacing w:val="-2"/>
        </w:rPr>
        <w:t>the</w:t>
      </w:r>
      <w:r>
        <w:rPr>
          <w:color w:val="231F20"/>
          <w:spacing w:val="-11"/>
        </w:rPr>
        <w:t> </w:t>
      </w:r>
      <w:r>
        <w:rPr>
          <w:color w:val="231F20"/>
          <w:spacing w:val="-2"/>
        </w:rPr>
        <w:t>dwell</w:t>
      </w:r>
      <w:r>
        <w:rPr>
          <w:color w:val="231F20"/>
          <w:spacing w:val="-11"/>
        </w:rPr>
        <w:t> </w:t>
      </w:r>
      <w:r>
        <w:rPr>
          <w:color w:val="231F20"/>
          <w:spacing w:val="-2"/>
        </w:rPr>
        <w:t>time</w:t>
      </w:r>
      <w:r>
        <w:rPr>
          <w:color w:val="231F20"/>
          <w:spacing w:val="-11"/>
        </w:rPr>
        <w:t> </w:t>
      </w:r>
      <w:r>
        <w:rPr>
          <w:color w:val="231F20"/>
          <w:spacing w:val="-2"/>
        </w:rPr>
        <w:t>at</w:t>
      </w:r>
      <w:r>
        <w:rPr>
          <w:color w:val="231F20"/>
          <w:spacing w:val="-11"/>
        </w:rPr>
        <w:t> </w:t>
      </w:r>
      <w:r>
        <w:rPr>
          <w:color w:val="231F20"/>
          <w:spacing w:val="-2"/>
        </w:rPr>
        <w:t>the</w:t>
      </w:r>
      <w:r>
        <w:rPr>
          <w:color w:val="231F20"/>
          <w:spacing w:val="-11"/>
        </w:rPr>
        <w:t> </w:t>
      </w:r>
      <w:r>
        <w:rPr>
          <w:color w:val="231F20"/>
          <w:spacing w:val="-2"/>
        </w:rPr>
        <w:t>same</w:t>
      </w:r>
      <w:r>
        <w:rPr>
          <w:color w:val="231F20"/>
          <w:spacing w:val="-11"/>
        </w:rPr>
        <w:t> </w:t>
      </w:r>
      <w:r>
        <w:rPr>
          <w:color w:val="231F20"/>
          <w:spacing w:val="-2"/>
        </w:rPr>
        <w:t>port</w:t>
      </w:r>
      <w:r>
        <w:rPr>
          <w:color w:val="231F20"/>
          <w:spacing w:val="-11"/>
        </w:rPr>
        <w:t> </w:t>
      </w:r>
      <w:r>
        <w:rPr>
          <w:color w:val="231F20"/>
          <w:spacing w:val="-2"/>
        </w:rPr>
        <w:t>of</w:t>
      </w:r>
      <w:r>
        <w:rPr>
          <w:color w:val="231F20"/>
          <w:spacing w:val="-12"/>
        </w:rPr>
        <w:t> </w:t>
      </w:r>
      <w:r>
        <w:rPr>
          <w:color w:val="231F20"/>
          <w:spacing w:val="-2"/>
        </w:rPr>
        <w:t>entry</w:t>
      </w:r>
      <w:r>
        <w:rPr>
          <w:color w:val="231F20"/>
          <w:spacing w:val="-11"/>
        </w:rPr>
        <w:t> </w:t>
      </w:r>
      <w:r>
        <w:rPr>
          <w:color w:val="231F20"/>
          <w:spacing w:val="-2"/>
        </w:rPr>
        <w:t>is </w:t>
      </w:r>
      <w:r>
        <w:rPr>
          <w:color w:val="231F20"/>
          <w:spacing w:val="-4"/>
        </w:rPr>
        <w:t>substantially</w:t>
      </w:r>
      <w:r>
        <w:rPr>
          <w:color w:val="231F20"/>
          <w:spacing w:val="-10"/>
        </w:rPr>
        <w:t> </w:t>
      </w:r>
      <w:r>
        <w:rPr>
          <w:color w:val="231F20"/>
          <w:spacing w:val="-4"/>
        </w:rPr>
        <w:t>longer</w:t>
      </w:r>
      <w:r>
        <w:rPr>
          <w:color w:val="231F20"/>
          <w:spacing w:val="-9"/>
        </w:rPr>
        <w:t> </w:t>
      </w:r>
      <w:r>
        <w:rPr>
          <w:color w:val="231F20"/>
          <w:spacing w:val="-4"/>
        </w:rPr>
        <w:t>for</w:t>
      </w:r>
      <w:r>
        <w:rPr>
          <w:color w:val="231F20"/>
          <w:spacing w:val="-9"/>
        </w:rPr>
        <w:t> </w:t>
      </w:r>
      <w:r>
        <w:rPr>
          <w:color w:val="231F20"/>
          <w:spacing w:val="-4"/>
        </w:rPr>
        <w:t>landlocked</w:t>
      </w:r>
      <w:r>
        <w:rPr>
          <w:color w:val="231F20"/>
          <w:spacing w:val="-9"/>
        </w:rPr>
        <w:t> </w:t>
      </w:r>
      <w:r>
        <w:rPr>
          <w:color w:val="231F20"/>
          <w:spacing w:val="-4"/>
        </w:rPr>
        <w:t>developing </w:t>
      </w:r>
      <w:r>
        <w:rPr>
          <w:color w:val="231F20"/>
        </w:rPr>
        <w:t>countries than for their coastal transit coun- </w:t>
      </w:r>
      <w:r>
        <w:rPr>
          <w:color w:val="231F20"/>
          <w:spacing w:val="-2"/>
        </w:rPr>
        <w:t>tries.</w:t>
      </w:r>
      <w:r>
        <w:rPr>
          <w:color w:val="231F20"/>
          <w:spacing w:val="-4"/>
        </w:rPr>
        <w:t> </w:t>
      </w:r>
      <w:r>
        <w:rPr>
          <w:color w:val="231F20"/>
          <w:spacing w:val="-2"/>
        </w:rPr>
        <w:t>Addressing</w:t>
      </w:r>
      <w:r>
        <w:rPr>
          <w:color w:val="231F20"/>
          <w:spacing w:val="-4"/>
        </w:rPr>
        <w:t> </w:t>
      </w:r>
      <w:r>
        <w:rPr>
          <w:color w:val="231F20"/>
          <w:spacing w:val="-2"/>
        </w:rPr>
        <w:t>these</w:t>
      </w:r>
      <w:r>
        <w:rPr>
          <w:color w:val="231F20"/>
          <w:spacing w:val="-4"/>
        </w:rPr>
        <w:t> </w:t>
      </w:r>
      <w:r>
        <w:rPr>
          <w:color w:val="231F20"/>
          <w:spacing w:val="-2"/>
        </w:rPr>
        <w:t>bottlenecks</w:t>
      </w:r>
      <w:r>
        <w:rPr>
          <w:color w:val="231F20"/>
          <w:spacing w:val="-4"/>
        </w:rPr>
        <w:t> </w:t>
      </w:r>
      <w:r>
        <w:rPr>
          <w:color w:val="231F20"/>
          <w:spacing w:val="-2"/>
        </w:rPr>
        <w:t>is</w:t>
      </w:r>
      <w:r>
        <w:rPr>
          <w:color w:val="231F20"/>
          <w:spacing w:val="-4"/>
        </w:rPr>
        <w:t> </w:t>
      </w:r>
      <w:r>
        <w:rPr>
          <w:color w:val="231F20"/>
          <w:spacing w:val="-2"/>
        </w:rPr>
        <w:t>beyond </w:t>
      </w:r>
      <w:r>
        <w:rPr>
          <w:color w:val="231F20"/>
          <w:w w:val="90"/>
        </w:rPr>
        <w:t>the</w:t>
      </w:r>
      <w:r>
        <w:rPr>
          <w:color w:val="231F20"/>
          <w:spacing w:val="-1"/>
          <w:w w:val="90"/>
        </w:rPr>
        <w:t> </w:t>
      </w:r>
      <w:r>
        <w:rPr>
          <w:color w:val="231F20"/>
          <w:w w:val="90"/>
        </w:rPr>
        <w:t>scope</w:t>
      </w:r>
      <w:r>
        <w:rPr>
          <w:color w:val="231F20"/>
          <w:spacing w:val="-1"/>
          <w:w w:val="90"/>
        </w:rPr>
        <w:t> </w:t>
      </w:r>
      <w:r>
        <w:rPr>
          <w:color w:val="231F20"/>
          <w:w w:val="90"/>
        </w:rPr>
        <w:t>of</w:t>
      </w:r>
      <w:r>
        <w:rPr>
          <w:color w:val="231F20"/>
          <w:spacing w:val="-1"/>
          <w:w w:val="90"/>
        </w:rPr>
        <w:t> </w:t>
      </w:r>
      <w:r>
        <w:rPr>
          <w:color w:val="231F20"/>
          <w:w w:val="90"/>
        </w:rPr>
        <w:t>unilateral</w:t>
      </w:r>
      <w:r>
        <w:rPr>
          <w:color w:val="231F20"/>
          <w:spacing w:val="-1"/>
          <w:w w:val="90"/>
        </w:rPr>
        <w:t> </w:t>
      </w:r>
      <w:r>
        <w:rPr>
          <w:color w:val="231F20"/>
          <w:w w:val="90"/>
        </w:rPr>
        <w:t>interventions</w:t>
      </w:r>
      <w:r>
        <w:rPr>
          <w:color w:val="231F20"/>
          <w:spacing w:val="-1"/>
          <w:w w:val="90"/>
        </w:rPr>
        <w:t> </w:t>
      </w:r>
      <w:r>
        <w:rPr>
          <w:color w:val="231F20"/>
          <w:w w:val="90"/>
        </w:rPr>
        <w:t>and</w:t>
      </w:r>
      <w:r>
        <w:rPr>
          <w:color w:val="231F20"/>
          <w:spacing w:val="-1"/>
          <w:w w:val="90"/>
        </w:rPr>
        <w:t> </w:t>
      </w:r>
      <w:r>
        <w:rPr>
          <w:color w:val="231F20"/>
          <w:w w:val="90"/>
        </w:rPr>
        <w:t>requires coordinated</w:t>
      </w:r>
      <w:r>
        <w:rPr>
          <w:color w:val="231F20"/>
          <w:spacing w:val="-5"/>
          <w:w w:val="90"/>
        </w:rPr>
        <w:t> </w:t>
      </w:r>
      <w:r>
        <w:rPr>
          <w:color w:val="231F20"/>
          <w:w w:val="90"/>
        </w:rPr>
        <w:t>interventions</w:t>
      </w:r>
      <w:r>
        <w:rPr>
          <w:color w:val="231F20"/>
          <w:spacing w:val="-5"/>
          <w:w w:val="90"/>
        </w:rPr>
        <w:t> </w:t>
      </w:r>
      <w:r>
        <w:rPr>
          <w:color w:val="231F20"/>
          <w:w w:val="90"/>
        </w:rPr>
        <w:t>across</w:t>
      </w:r>
      <w:r>
        <w:rPr>
          <w:color w:val="231F20"/>
          <w:spacing w:val="-5"/>
          <w:w w:val="90"/>
        </w:rPr>
        <w:t> </w:t>
      </w:r>
      <w:r>
        <w:rPr>
          <w:color w:val="231F20"/>
          <w:w w:val="90"/>
        </w:rPr>
        <w:t>borders,</w:t>
      </w:r>
      <w:r>
        <w:rPr>
          <w:color w:val="231F20"/>
          <w:spacing w:val="-5"/>
          <w:w w:val="90"/>
        </w:rPr>
        <w:t> </w:t>
      </w:r>
      <w:r>
        <w:rPr>
          <w:color w:val="231F20"/>
          <w:w w:val="90"/>
        </w:rPr>
        <w:t>such</w:t>
      </w:r>
      <w:r>
        <w:rPr>
          <w:color w:val="231F20"/>
          <w:spacing w:val="-5"/>
          <w:w w:val="90"/>
        </w:rPr>
        <w:t> </w:t>
      </w:r>
      <w:r>
        <w:rPr>
          <w:color w:val="231F20"/>
          <w:w w:val="90"/>
        </w:rPr>
        <w:t>as </w:t>
      </w:r>
      <w:r>
        <w:rPr>
          <w:color w:val="231F20"/>
          <w:spacing w:val="-8"/>
        </w:rPr>
        <w:t>robust</w:t>
      </w:r>
      <w:r>
        <w:rPr>
          <w:color w:val="231F20"/>
          <w:spacing w:val="-1"/>
        </w:rPr>
        <w:t> </w:t>
      </w:r>
      <w:r>
        <w:rPr>
          <w:color w:val="231F20"/>
          <w:spacing w:val="-8"/>
        </w:rPr>
        <w:t>transit</w:t>
      </w:r>
      <w:r>
        <w:rPr>
          <w:color w:val="231F20"/>
          <w:spacing w:val="-1"/>
        </w:rPr>
        <w:t> </w:t>
      </w:r>
      <w:r>
        <w:rPr>
          <w:color w:val="231F20"/>
          <w:spacing w:val="-8"/>
        </w:rPr>
        <w:t>regimes</w:t>
      </w:r>
      <w:r>
        <w:rPr>
          <w:color w:val="231F20"/>
          <w:spacing w:val="-1"/>
        </w:rPr>
        <w:t> </w:t>
      </w:r>
      <w:r>
        <w:rPr>
          <w:color w:val="231F20"/>
          <w:spacing w:val="-8"/>
        </w:rPr>
        <w:t>similar</w:t>
      </w:r>
      <w:r>
        <w:rPr>
          <w:color w:val="231F20"/>
          <w:spacing w:val="-1"/>
        </w:rPr>
        <w:t> </w:t>
      </w:r>
      <w:r>
        <w:rPr>
          <w:color w:val="231F20"/>
          <w:spacing w:val="-8"/>
        </w:rPr>
        <w:t>to</w:t>
      </w:r>
      <w:r>
        <w:rPr>
          <w:color w:val="231F20"/>
          <w:spacing w:val="-1"/>
        </w:rPr>
        <w:t> </w:t>
      </w:r>
      <w:r>
        <w:rPr>
          <w:color w:val="231F20"/>
          <w:spacing w:val="-8"/>
        </w:rPr>
        <w:t>the</w:t>
      </w:r>
      <w:r>
        <w:rPr>
          <w:color w:val="231F20"/>
          <w:spacing w:val="-1"/>
        </w:rPr>
        <w:t> </w:t>
      </w:r>
      <w:r>
        <w:rPr>
          <w:color w:val="231F20"/>
          <w:spacing w:val="-8"/>
        </w:rPr>
        <w:t>ones</w:t>
      </w:r>
      <w:r>
        <w:rPr>
          <w:color w:val="231F20"/>
          <w:spacing w:val="-1"/>
        </w:rPr>
        <w:t> </w:t>
      </w:r>
      <w:r>
        <w:rPr>
          <w:color w:val="231F20"/>
          <w:spacing w:val="-8"/>
        </w:rPr>
        <w:t>imple- </w:t>
      </w:r>
      <w:r>
        <w:rPr>
          <w:color w:val="231F20"/>
          <w:spacing w:val="-2"/>
        </w:rPr>
        <w:t>mented</w:t>
      </w:r>
      <w:r>
        <w:rPr>
          <w:color w:val="231F20"/>
          <w:spacing w:val="-8"/>
        </w:rPr>
        <w:t> </w:t>
      </w:r>
      <w:r>
        <w:rPr>
          <w:color w:val="231F20"/>
          <w:spacing w:val="-2"/>
        </w:rPr>
        <w:t>in</w:t>
      </w:r>
      <w:r>
        <w:rPr>
          <w:color w:val="231F20"/>
          <w:spacing w:val="-8"/>
        </w:rPr>
        <w:t> </w:t>
      </w:r>
      <w:r>
        <w:rPr>
          <w:color w:val="231F20"/>
          <w:spacing w:val="-2"/>
        </w:rPr>
        <w:t>Europe</w:t>
      </w:r>
      <w:r>
        <w:rPr>
          <w:color w:val="231F20"/>
          <w:spacing w:val="-8"/>
        </w:rPr>
        <w:t> </w:t>
      </w:r>
      <w:r>
        <w:rPr>
          <w:color w:val="231F20"/>
          <w:spacing w:val="-2"/>
        </w:rPr>
        <w:t>(Transports</w:t>
      </w:r>
      <w:r>
        <w:rPr>
          <w:color w:val="231F20"/>
          <w:spacing w:val="-8"/>
        </w:rPr>
        <w:t> </w:t>
      </w:r>
      <w:r>
        <w:rPr>
          <w:color w:val="231F20"/>
          <w:spacing w:val="-2"/>
        </w:rPr>
        <w:t>Internationaux </w:t>
      </w:r>
      <w:r>
        <w:rPr>
          <w:color w:val="231F20"/>
        </w:rPr>
        <w:t>Routiers</w:t>
      </w:r>
      <w:r>
        <w:rPr>
          <w:color w:val="231F20"/>
          <w:spacing w:val="-15"/>
        </w:rPr>
        <w:t> </w:t>
      </w:r>
      <w:r>
        <w:rPr>
          <w:color w:val="231F20"/>
        </w:rPr>
        <w:t>and</w:t>
      </w:r>
      <w:r>
        <w:rPr>
          <w:color w:val="231F20"/>
          <w:spacing w:val="-15"/>
        </w:rPr>
        <w:t> </w:t>
      </w:r>
      <w:r>
        <w:rPr>
          <w:color w:val="231F20"/>
        </w:rPr>
        <w:t>the</w:t>
      </w:r>
      <w:r>
        <w:rPr>
          <w:color w:val="231F20"/>
          <w:spacing w:val="-15"/>
        </w:rPr>
        <w:t> </w:t>
      </w:r>
      <w:r>
        <w:rPr>
          <w:color w:val="231F20"/>
        </w:rPr>
        <w:t>European</w:t>
      </w:r>
      <w:r>
        <w:rPr>
          <w:color w:val="231F20"/>
          <w:spacing w:val="-15"/>
        </w:rPr>
        <w:t> </w:t>
      </w:r>
      <w:r>
        <w:rPr>
          <w:color w:val="231F20"/>
        </w:rPr>
        <w:t>transit</w:t>
      </w:r>
      <w:r>
        <w:rPr>
          <w:color w:val="231F20"/>
          <w:spacing w:val="-15"/>
        </w:rPr>
        <w:t> </w:t>
      </w:r>
      <w:r>
        <w:rPr>
          <w:color w:val="231F20"/>
        </w:rPr>
        <w:t>system).</w:t>
      </w:r>
    </w:p>
    <w:p>
      <w:pPr>
        <w:pStyle w:val="BodyText"/>
        <w:spacing w:line="268" w:lineRule="auto"/>
        <w:ind w:left="1200" w:firstLine="300"/>
        <w:jc w:val="both"/>
      </w:pPr>
      <w:r>
        <w:rPr>
          <w:color w:val="231F20"/>
        </w:rPr>
        <w:t>Connectivity,</w:t>
      </w:r>
      <w:r>
        <w:rPr>
          <w:color w:val="231F20"/>
          <w:spacing w:val="-14"/>
        </w:rPr>
        <w:t> </w:t>
      </w:r>
      <w:r>
        <w:rPr>
          <w:color w:val="231F20"/>
        </w:rPr>
        <w:t>measured</w:t>
      </w:r>
      <w:r>
        <w:rPr>
          <w:color w:val="231F20"/>
          <w:spacing w:val="-13"/>
        </w:rPr>
        <w:t> </w:t>
      </w:r>
      <w:r>
        <w:rPr>
          <w:color w:val="231F20"/>
        </w:rPr>
        <w:t>as</w:t>
      </w:r>
      <w:r>
        <w:rPr>
          <w:color w:val="231F20"/>
          <w:spacing w:val="-13"/>
        </w:rPr>
        <w:t> </w:t>
      </w:r>
      <w:r>
        <w:rPr>
          <w:color w:val="231F20"/>
        </w:rPr>
        <w:t>the</w:t>
      </w:r>
      <w:r>
        <w:rPr>
          <w:color w:val="231F20"/>
          <w:spacing w:val="-13"/>
        </w:rPr>
        <w:t> </w:t>
      </w:r>
      <w:r>
        <w:rPr>
          <w:color w:val="231F20"/>
        </w:rPr>
        <w:t>number</w:t>
      </w:r>
      <w:r>
        <w:rPr>
          <w:color w:val="231F20"/>
          <w:spacing w:val="-13"/>
        </w:rPr>
        <w:t> </w:t>
      </w:r>
      <w:r>
        <w:rPr>
          <w:color w:val="231F20"/>
        </w:rPr>
        <w:t>of transport connections, is associated with lo- gistics</w:t>
      </w:r>
      <w:r>
        <w:rPr>
          <w:color w:val="231F20"/>
          <w:spacing w:val="-14"/>
        </w:rPr>
        <w:t> </w:t>
      </w:r>
      <w:r>
        <w:rPr>
          <w:color w:val="231F20"/>
        </w:rPr>
        <w:t>performance,</w:t>
      </w:r>
      <w:r>
        <w:rPr>
          <w:color w:val="231F20"/>
          <w:spacing w:val="-13"/>
        </w:rPr>
        <w:t> </w:t>
      </w:r>
      <w:r>
        <w:rPr>
          <w:color w:val="231F20"/>
        </w:rPr>
        <w:t>irrespective</w:t>
      </w:r>
      <w:r>
        <w:rPr>
          <w:color w:val="231F20"/>
          <w:spacing w:val="-13"/>
        </w:rPr>
        <w:t> </w:t>
      </w:r>
      <w:r>
        <w:rPr>
          <w:color w:val="231F20"/>
        </w:rPr>
        <w:t>of</w:t>
      </w:r>
      <w:r>
        <w:rPr>
          <w:color w:val="231F20"/>
          <w:spacing w:val="-13"/>
        </w:rPr>
        <w:t> </w:t>
      </w:r>
      <w:r>
        <w:rPr>
          <w:color w:val="231F20"/>
        </w:rPr>
        <w:t>transport mode.</w:t>
      </w:r>
      <w:r>
        <w:rPr>
          <w:color w:val="231F20"/>
          <w:position w:val="7"/>
          <w:sz w:val="14"/>
        </w:rPr>
        <w:t>6</w:t>
      </w:r>
      <w:r>
        <w:rPr>
          <w:color w:val="231F20"/>
          <w:spacing w:val="13"/>
          <w:position w:val="7"/>
          <w:sz w:val="14"/>
        </w:rPr>
        <w:t> </w:t>
      </w:r>
      <w:r>
        <w:rPr>
          <w:color w:val="231F20"/>
        </w:rPr>
        <w:t>Having</w:t>
      </w:r>
      <w:r>
        <w:rPr>
          <w:color w:val="231F20"/>
          <w:spacing w:val="-4"/>
        </w:rPr>
        <w:t> </w:t>
      </w:r>
      <w:r>
        <w:rPr>
          <w:color w:val="231F20"/>
        </w:rPr>
        <w:t>more</w:t>
      </w:r>
      <w:r>
        <w:rPr>
          <w:color w:val="231F20"/>
          <w:spacing w:val="-4"/>
        </w:rPr>
        <w:t> </w:t>
      </w:r>
      <w:r>
        <w:rPr>
          <w:color w:val="231F20"/>
        </w:rPr>
        <w:t>connectivity</w:t>
      </w:r>
      <w:r>
        <w:rPr>
          <w:color w:val="231F20"/>
          <w:spacing w:val="-4"/>
        </w:rPr>
        <w:t> </w:t>
      </w:r>
      <w:r>
        <w:rPr>
          <w:color w:val="231F20"/>
        </w:rPr>
        <w:t>options</w:t>
      </w:r>
      <w:r>
        <w:rPr>
          <w:color w:val="231F20"/>
          <w:spacing w:val="-4"/>
        </w:rPr>
        <w:t> </w:t>
      </w:r>
      <w:r>
        <w:rPr>
          <w:color w:val="231F20"/>
        </w:rPr>
        <w:t>is </w:t>
      </w:r>
      <w:r>
        <w:rPr>
          <w:color w:val="231F20"/>
          <w:w w:val="90"/>
        </w:rPr>
        <w:t>positively associated with logistics performance </w:t>
      </w:r>
      <w:r>
        <w:rPr>
          <w:color w:val="231F20"/>
          <w:spacing w:val="-2"/>
        </w:rPr>
        <w:t>through,</w:t>
      </w:r>
      <w:r>
        <w:rPr>
          <w:color w:val="231F20"/>
          <w:spacing w:val="-8"/>
        </w:rPr>
        <w:t> </w:t>
      </w:r>
      <w:r>
        <w:rPr>
          <w:color w:val="231F20"/>
          <w:spacing w:val="-2"/>
        </w:rPr>
        <w:t>for</w:t>
      </w:r>
      <w:r>
        <w:rPr>
          <w:color w:val="231F20"/>
          <w:spacing w:val="-8"/>
        </w:rPr>
        <w:t> </w:t>
      </w:r>
      <w:r>
        <w:rPr>
          <w:color w:val="231F20"/>
          <w:spacing w:val="-2"/>
        </w:rPr>
        <w:t>example,</w:t>
      </w:r>
      <w:r>
        <w:rPr>
          <w:color w:val="231F20"/>
          <w:spacing w:val="-8"/>
        </w:rPr>
        <w:t> </w:t>
      </w:r>
      <w:r>
        <w:rPr>
          <w:color w:val="231F20"/>
          <w:spacing w:val="-2"/>
        </w:rPr>
        <w:t>increasing</w:t>
      </w:r>
      <w:r>
        <w:rPr>
          <w:color w:val="231F20"/>
          <w:spacing w:val="-8"/>
        </w:rPr>
        <w:t> </w:t>
      </w:r>
      <w:r>
        <w:rPr>
          <w:color w:val="231F20"/>
          <w:spacing w:val="-2"/>
        </w:rPr>
        <w:t>competition </w:t>
      </w:r>
      <w:r>
        <w:rPr>
          <w:color w:val="231F20"/>
          <w:w w:val="90"/>
        </w:rPr>
        <w:t>for logistics services, higher hard and soft trade </w:t>
      </w:r>
      <w:r>
        <w:rPr>
          <w:color w:val="231F20"/>
        </w:rPr>
        <w:t>infrastructure</w:t>
      </w:r>
      <w:r>
        <w:rPr>
          <w:color w:val="231F20"/>
          <w:spacing w:val="-14"/>
        </w:rPr>
        <w:t> </w:t>
      </w:r>
      <w:r>
        <w:rPr>
          <w:color w:val="231F20"/>
        </w:rPr>
        <w:t>investments</w:t>
      </w:r>
      <w:r>
        <w:rPr>
          <w:color w:val="231F20"/>
          <w:spacing w:val="-13"/>
        </w:rPr>
        <w:t> </w:t>
      </w:r>
      <w:r>
        <w:rPr>
          <w:color w:val="231F20"/>
        </w:rPr>
        <w:t>(such</w:t>
      </w:r>
      <w:r>
        <w:rPr>
          <w:color w:val="231F20"/>
          <w:spacing w:val="-13"/>
        </w:rPr>
        <w:t> </w:t>
      </w:r>
      <w:r>
        <w:rPr>
          <w:color w:val="231F20"/>
        </w:rPr>
        <w:t>as</w:t>
      </w:r>
      <w:r>
        <w:rPr>
          <w:color w:val="231F20"/>
          <w:spacing w:val="-13"/>
        </w:rPr>
        <w:t> </w:t>
      </w:r>
      <w:r>
        <w:rPr>
          <w:color w:val="231F20"/>
        </w:rPr>
        <w:t>ports</w:t>
      </w:r>
      <w:r>
        <w:rPr>
          <w:color w:val="231F20"/>
          <w:spacing w:val="-13"/>
        </w:rPr>
        <w:t> </w:t>
      </w:r>
      <w:r>
        <w:rPr>
          <w:color w:val="231F20"/>
        </w:rPr>
        <w:t>and </w:t>
      </w:r>
      <w:r>
        <w:rPr>
          <w:color w:val="231F20"/>
          <w:spacing w:val="-4"/>
        </w:rPr>
        <w:t>information</w:t>
      </w:r>
      <w:r>
        <w:rPr>
          <w:color w:val="231F20"/>
          <w:spacing w:val="-6"/>
        </w:rPr>
        <w:t> </w:t>
      </w:r>
      <w:r>
        <w:rPr>
          <w:color w:val="231F20"/>
          <w:spacing w:val="-4"/>
        </w:rPr>
        <w:t>technology</w:t>
      </w:r>
      <w:r>
        <w:rPr>
          <w:color w:val="231F20"/>
          <w:spacing w:val="-5"/>
        </w:rPr>
        <w:t> </w:t>
      </w:r>
      <w:r>
        <w:rPr>
          <w:color w:val="231F20"/>
          <w:spacing w:val="-4"/>
        </w:rPr>
        <w:t>systems),</w:t>
      </w:r>
      <w:r>
        <w:rPr>
          <w:color w:val="231F20"/>
          <w:spacing w:val="-5"/>
        </w:rPr>
        <w:t> </w:t>
      </w:r>
      <w:r>
        <w:rPr>
          <w:color w:val="231F20"/>
          <w:spacing w:val="-4"/>
        </w:rPr>
        <w:t>the</w:t>
      </w:r>
      <w:r>
        <w:rPr>
          <w:color w:val="231F20"/>
          <w:spacing w:val="-5"/>
        </w:rPr>
        <w:t> </w:t>
      </w:r>
      <w:r>
        <w:rPr>
          <w:color w:val="231F20"/>
          <w:spacing w:val="-4"/>
        </w:rPr>
        <w:t>growing</w:t>
      </w:r>
    </w:p>
    <w:p>
      <w:pPr>
        <w:pStyle w:val="BodyText"/>
        <w:spacing w:line="268" w:lineRule="auto" w:before="97"/>
        <w:ind w:left="199" w:right="2819"/>
        <w:jc w:val="both"/>
      </w:pPr>
      <w:r>
        <w:rPr/>
        <w:br w:type="column"/>
      </w:r>
      <w:r>
        <w:rPr>
          <w:color w:val="231F20"/>
          <w:w w:val="90"/>
        </w:rPr>
        <w:t>presence of global logistics operators, and expo- </w:t>
      </w:r>
      <w:r>
        <w:rPr>
          <w:color w:val="231F20"/>
        </w:rPr>
        <w:t>sure to best practices.</w:t>
      </w:r>
    </w:p>
    <w:p>
      <w:pPr>
        <w:pStyle w:val="BodyText"/>
        <w:spacing w:line="268" w:lineRule="auto"/>
        <w:ind w:left="199" w:right="2817" w:firstLine="300"/>
        <w:jc w:val="both"/>
      </w:pPr>
      <w:r>
        <w:rPr>
          <w:color w:val="231F20"/>
          <w:spacing w:val="-4"/>
        </w:rPr>
        <w:t>Transport</w:t>
      </w:r>
      <w:r>
        <w:rPr>
          <w:color w:val="231F20"/>
          <w:spacing w:val="-10"/>
        </w:rPr>
        <w:t> </w:t>
      </w:r>
      <w:r>
        <w:rPr>
          <w:color w:val="231F20"/>
          <w:spacing w:val="-4"/>
        </w:rPr>
        <w:t>connectivity</w:t>
      </w:r>
      <w:r>
        <w:rPr>
          <w:color w:val="231F20"/>
          <w:spacing w:val="-9"/>
        </w:rPr>
        <w:t> </w:t>
      </w:r>
      <w:r>
        <w:rPr>
          <w:color w:val="231F20"/>
          <w:spacing w:val="-4"/>
        </w:rPr>
        <w:t>is</w:t>
      </w:r>
      <w:r>
        <w:rPr>
          <w:color w:val="231F20"/>
          <w:spacing w:val="-9"/>
        </w:rPr>
        <w:t> </w:t>
      </w:r>
      <w:r>
        <w:rPr>
          <w:color w:val="231F20"/>
          <w:spacing w:val="-4"/>
        </w:rPr>
        <w:t>driven</w:t>
      </w:r>
      <w:r>
        <w:rPr>
          <w:color w:val="231F20"/>
          <w:spacing w:val="-9"/>
        </w:rPr>
        <w:t> </w:t>
      </w:r>
      <w:r>
        <w:rPr>
          <w:color w:val="231F20"/>
          <w:spacing w:val="-4"/>
        </w:rPr>
        <w:t>largely</w:t>
      </w:r>
      <w:r>
        <w:rPr>
          <w:color w:val="231F20"/>
          <w:spacing w:val="-9"/>
        </w:rPr>
        <w:t> </w:t>
      </w:r>
      <w:r>
        <w:rPr>
          <w:color w:val="231F20"/>
          <w:spacing w:val="-4"/>
        </w:rPr>
        <w:t>by </w:t>
      </w:r>
      <w:r>
        <w:rPr>
          <w:color w:val="231F20"/>
          <w:spacing w:val="-8"/>
        </w:rPr>
        <w:t>economies</w:t>
      </w:r>
      <w:r>
        <w:rPr>
          <w:color w:val="231F20"/>
          <w:spacing w:val="-2"/>
        </w:rPr>
        <w:t> </w:t>
      </w:r>
      <w:r>
        <w:rPr>
          <w:color w:val="231F20"/>
          <w:spacing w:val="-8"/>
        </w:rPr>
        <w:t>of</w:t>
      </w:r>
      <w:r>
        <w:rPr>
          <w:color w:val="231F20"/>
          <w:spacing w:val="-2"/>
        </w:rPr>
        <w:t> </w:t>
      </w:r>
      <w:r>
        <w:rPr>
          <w:color w:val="231F20"/>
          <w:spacing w:val="-8"/>
        </w:rPr>
        <w:t>scale</w:t>
      </w:r>
      <w:r>
        <w:rPr>
          <w:color w:val="231F20"/>
          <w:spacing w:val="-2"/>
        </w:rPr>
        <w:t> </w:t>
      </w:r>
      <w:r>
        <w:rPr>
          <w:color w:val="231F20"/>
          <w:spacing w:val="-8"/>
        </w:rPr>
        <w:t>and</w:t>
      </w:r>
      <w:r>
        <w:rPr>
          <w:color w:val="231F20"/>
          <w:spacing w:val="-2"/>
        </w:rPr>
        <w:t> </w:t>
      </w:r>
      <w:r>
        <w:rPr>
          <w:color w:val="231F20"/>
          <w:spacing w:val="-8"/>
        </w:rPr>
        <w:t>the</w:t>
      </w:r>
      <w:r>
        <w:rPr>
          <w:color w:val="231F20"/>
          <w:spacing w:val="-2"/>
        </w:rPr>
        <w:t> </w:t>
      </w:r>
      <w:r>
        <w:rPr>
          <w:color w:val="231F20"/>
          <w:spacing w:val="-8"/>
        </w:rPr>
        <w:t>geography</w:t>
      </w:r>
      <w:r>
        <w:rPr>
          <w:color w:val="231F20"/>
          <w:spacing w:val="-2"/>
        </w:rPr>
        <w:t> </w:t>
      </w:r>
      <w:r>
        <w:rPr>
          <w:color w:val="231F20"/>
          <w:spacing w:val="-8"/>
        </w:rPr>
        <w:t>of</w:t>
      </w:r>
      <w:r>
        <w:rPr>
          <w:color w:val="231F20"/>
          <w:spacing w:val="-2"/>
        </w:rPr>
        <w:t> </w:t>
      </w:r>
      <w:r>
        <w:rPr>
          <w:color w:val="231F20"/>
          <w:spacing w:val="-8"/>
        </w:rPr>
        <w:t>global networks.</w:t>
      </w:r>
      <w:r>
        <w:rPr>
          <w:color w:val="231F20"/>
        </w:rPr>
        <w:t> </w:t>
      </w:r>
      <w:r>
        <w:rPr>
          <w:color w:val="231F20"/>
          <w:spacing w:val="-8"/>
        </w:rPr>
        <w:t>Conversely,</w:t>
      </w:r>
      <w:r>
        <w:rPr>
          <w:color w:val="231F20"/>
        </w:rPr>
        <w:t> </w:t>
      </w:r>
      <w:r>
        <w:rPr>
          <w:color w:val="231F20"/>
          <w:spacing w:val="-8"/>
        </w:rPr>
        <w:t>countries</w:t>
      </w:r>
      <w:r>
        <w:rPr>
          <w:color w:val="231F20"/>
        </w:rPr>
        <w:t> </w:t>
      </w:r>
      <w:r>
        <w:rPr>
          <w:color w:val="231F20"/>
          <w:spacing w:val="-8"/>
        </w:rPr>
        <w:t>with</w:t>
      </w:r>
      <w:r>
        <w:rPr>
          <w:color w:val="231F20"/>
        </w:rPr>
        <w:t> </w:t>
      </w:r>
      <w:r>
        <w:rPr>
          <w:color w:val="231F20"/>
          <w:spacing w:val="-8"/>
        </w:rPr>
        <w:t>few</w:t>
      </w:r>
      <w:r>
        <w:rPr>
          <w:color w:val="231F20"/>
        </w:rPr>
        <w:t> </w:t>
      </w:r>
      <w:r>
        <w:rPr>
          <w:color w:val="231F20"/>
          <w:spacing w:val="-8"/>
        </w:rPr>
        <w:t>mari- </w:t>
      </w:r>
      <w:r>
        <w:rPr>
          <w:color w:val="231F20"/>
          <w:w w:val="90"/>
        </w:rPr>
        <w:t>time connections, such as small maritime econo- </w:t>
      </w:r>
      <w:r>
        <w:rPr>
          <w:color w:val="231F20"/>
          <w:spacing w:val="-4"/>
        </w:rPr>
        <w:t>mies,</w:t>
      </w:r>
      <w:r>
        <w:rPr>
          <w:color w:val="231F20"/>
          <w:spacing w:val="-5"/>
        </w:rPr>
        <w:t> </w:t>
      </w:r>
      <w:r>
        <w:rPr>
          <w:color w:val="231F20"/>
          <w:spacing w:val="-4"/>
        </w:rPr>
        <w:t>trade</w:t>
      </w:r>
      <w:r>
        <w:rPr>
          <w:color w:val="231F20"/>
          <w:spacing w:val="-5"/>
        </w:rPr>
        <w:t> </w:t>
      </w:r>
      <w:r>
        <w:rPr>
          <w:color w:val="231F20"/>
          <w:spacing w:val="-4"/>
        </w:rPr>
        <w:t>through</w:t>
      </w:r>
      <w:r>
        <w:rPr>
          <w:color w:val="231F20"/>
          <w:spacing w:val="-5"/>
        </w:rPr>
        <w:t> </w:t>
      </w:r>
      <w:r>
        <w:rPr>
          <w:color w:val="231F20"/>
          <w:spacing w:val="-4"/>
        </w:rPr>
        <w:t>a</w:t>
      </w:r>
      <w:r>
        <w:rPr>
          <w:color w:val="231F20"/>
          <w:spacing w:val="-5"/>
        </w:rPr>
        <w:t> </w:t>
      </w:r>
      <w:r>
        <w:rPr>
          <w:color w:val="231F20"/>
          <w:spacing w:val="-4"/>
        </w:rPr>
        <w:t>chain</w:t>
      </w:r>
      <w:r>
        <w:rPr>
          <w:color w:val="231F20"/>
          <w:spacing w:val="-5"/>
        </w:rPr>
        <w:t> </w:t>
      </w:r>
      <w:r>
        <w:rPr>
          <w:color w:val="231F20"/>
          <w:spacing w:val="-4"/>
        </w:rPr>
        <w:t>of</w:t>
      </w:r>
      <w:r>
        <w:rPr>
          <w:color w:val="231F20"/>
          <w:spacing w:val="-5"/>
        </w:rPr>
        <w:t> </w:t>
      </w:r>
      <w:r>
        <w:rPr>
          <w:color w:val="231F20"/>
          <w:spacing w:val="-4"/>
        </w:rPr>
        <w:t>container</w:t>
      </w:r>
      <w:r>
        <w:rPr>
          <w:color w:val="231F20"/>
          <w:spacing w:val="-5"/>
        </w:rPr>
        <w:t> </w:t>
      </w:r>
      <w:r>
        <w:rPr>
          <w:color w:val="231F20"/>
          <w:spacing w:val="-4"/>
        </w:rPr>
        <w:t>trans- </w:t>
      </w:r>
      <w:r>
        <w:rPr>
          <w:color w:val="231F20"/>
        </w:rPr>
        <w:t>shipment ports. Transshipment hubs have a </w:t>
      </w:r>
      <w:r>
        <w:rPr>
          <w:color w:val="231F20"/>
          <w:spacing w:val="-6"/>
        </w:rPr>
        <w:t>similar</w:t>
      </w:r>
      <w:r>
        <w:rPr>
          <w:color w:val="231F20"/>
          <w:spacing w:val="-8"/>
        </w:rPr>
        <w:t> </w:t>
      </w:r>
      <w:r>
        <w:rPr>
          <w:color w:val="231F20"/>
          <w:spacing w:val="-6"/>
        </w:rPr>
        <w:t>dispersion</w:t>
      </w:r>
      <w:r>
        <w:rPr>
          <w:color w:val="231F20"/>
          <w:spacing w:val="-7"/>
        </w:rPr>
        <w:t> </w:t>
      </w:r>
      <w:r>
        <w:rPr>
          <w:color w:val="231F20"/>
          <w:spacing w:val="-6"/>
        </w:rPr>
        <w:t>in</w:t>
      </w:r>
      <w:r>
        <w:rPr>
          <w:color w:val="231F20"/>
          <w:spacing w:val="-7"/>
        </w:rPr>
        <w:t> </w:t>
      </w:r>
      <w:r>
        <w:rPr>
          <w:color w:val="231F20"/>
          <w:spacing w:val="-6"/>
        </w:rPr>
        <w:t>port</w:t>
      </w:r>
      <w:r>
        <w:rPr>
          <w:color w:val="231F20"/>
          <w:spacing w:val="-7"/>
        </w:rPr>
        <w:t> </w:t>
      </w:r>
      <w:r>
        <w:rPr>
          <w:color w:val="231F20"/>
          <w:spacing w:val="-6"/>
        </w:rPr>
        <w:t>dwell</w:t>
      </w:r>
      <w:r>
        <w:rPr>
          <w:color w:val="231F20"/>
          <w:spacing w:val="-7"/>
        </w:rPr>
        <w:t> </w:t>
      </w:r>
      <w:r>
        <w:rPr>
          <w:color w:val="231F20"/>
          <w:spacing w:val="-6"/>
        </w:rPr>
        <w:t>time</w:t>
      </w:r>
      <w:r>
        <w:rPr>
          <w:color w:val="231F20"/>
          <w:spacing w:val="-7"/>
        </w:rPr>
        <w:t> </w:t>
      </w:r>
      <w:r>
        <w:rPr>
          <w:color w:val="231F20"/>
          <w:spacing w:val="-6"/>
        </w:rPr>
        <w:t>as</w:t>
      </w:r>
      <w:r>
        <w:rPr>
          <w:color w:val="231F20"/>
          <w:spacing w:val="-7"/>
        </w:rPr>
        <w:t> </w:t>
      </w:r>
      <w:r>
        <w:rPr>
          <w:color w:val="231F20"/>
          <w:spacing w:val="-6"/>
        </w:rPr>
        <w:t>destina- </w:t>
      </w:r>
      <w:r>
        <w:rPr>
          <w:color w:val="231F20"/>
          <w:w w:val="90"/>
        </w:rPr>
        <w:t>tion</w:t>
      </w:r>
      <w:r>
        <w:rPr>
          <w:color w:val="231F20"/>
          <w:spacing w:val="-5"/>
          <w:w w:val="90"/>
        </w:rPr>
        <w:t> </w:t>
      </w:r>
      <w:r>
        <w:rPr>
          <w:color w:val="231F20"/>
          <w:w w:val="90"/>
        </w:rPr>
        <w:t>ports.</w:t>
      </w:r>
      <w:r>
        <w:rPr>
          <w:color w:val="231F20"/>
          <w:spacing w:val="-5"/>
          <w:w w:val="90"/>
        </w:rPr>
        <w:t> </w:t>
      </w:r>
      <w:r>
        <w:rPr>
          <w:color w:val="231F20"/>
          <w:w w:val="90"/>
        </w:rPr>
        <w:t>Small</w:t>
      </w:r>
      <w:r>
        <w:rPr>
          <w:color w:val="231F20"/>
          <w:spacing w:val="-5"/>
          <w:w w:val="90"/>
        </w:rPr>
        <w:t> </w:t>
      </w:r>
      <w:r>
        <w:rPr>
          <w:color w:val="231F20"/>
          <w:w w:val="90"/>
        </w:rPr>
        <w:t>maritime</w:t>
      </w:r>
      <w:r>
        <w:rPr>
          <w:color w:val="231F20"/>
          <w:spacing w:val="-5"/>
          <w:w w:val="90"/>
        </w:rPr>
        <w:t> </w:t>
      </w:r>
      <w:r>
        <w:rPr>
          <w:color w:val="231F20"/>
          <w:w w:val="90"/>
        </w:rPr>
        <w:t>economies</w:t>
      </w:r>
      <w:r>
        <w:rPr>
          <w:color w:val="231F20"/>
          <w:spacing w:val="-5"/>
          <w:w w:val="90"/>
        </w:rPr>
        <w:t> </w:t>
      </w:r>
      <w:r>
        <w:rPr>
          <w:color w:val="231F20"/>
          <w:w w:val="90"/>
        </w:rPr>
        <w:t>experience not</w:t>
      </w:r>
      <w:r>
        <w:rPr>
          <w:color w:val="231F20"/>
          <w:spacing w:val="-7"/>
          <w:w w:val="90"/>
        </w:rPr>
        <w:t> </w:t>
      </w:r>
      <w:r>
        <w:rPr>
          <w:color w:val="231F20"/>
          <w:w w:val="90"/>
        </w:rPr>
        <w:t>only</w:t>
      </w:r>
      <w:r>
        <w:rPr>
          <w:color w:val="231F20"/>
          <w:spacing w:val="-7"/>
          <w:w w:val="90"/>
        </w:rPr>
        <w:t> </w:t>
      </w:r>
      <w:r>
        <w:rPr>
          <w:color w:val="231F20"/>
          <w:w w:val="90"/>
        </w:rPr>
        <w:t>longer</w:t>
      </w:r>
      <w:r>
        <w:rPr>
          <w:color w:val="231F20"/>
          <w:spacing w:val="-7"/>
          <w:w w:val="90"/>
        </w:rPr>
        <w:t> </w:t>
      </w:r>
      <w:r>
        <w:rPr>
          <w:color w:val="231F20"/>
          <w:w w:val="90"/>
        </w:rPr>
        <w:t>lead</w:t>
      </w:r>
      <w:r>
        <w:rPr>
          <w:color w:val="231F20"/>
          <w:spacing w:val="-7"/>
          <w:w w:val="90"/>
        </w:rPr>
        <w:t> </w:t>
      </w:r>
      <w:r>
        <w:rPr>
          <w:color w:val="231F20"/>
          <w:w w:val="90"/>
        </w:rPr>
        <w:t>time</w:t>
      </w:r>
      <w:r>
        <w:rPr>
          <w:color w:val="231F20"/>
          <w:spacing w:val="-7"/>
          <w:w w:val="90"/>
        </w:rPr>
        <w:t> </w:t>
      </w:r>
      <w:r>
        <w:rPr>
          <w:color w:val="231F20"/>
          <w:w w:val="90"/>
        </w:rPr>
        <w:t>to</w:t>
      </w:r>
      <w:r>
        <w:rPr>
          <w:color w:val="231F20"/>
          <w:spacing w:val="-7"/>
          <w:w w:val="90"/>
        </w:rPr>
        <w:t> </w:t>
      </w:r>
      <w:r>
        <w:rPr>
          <w:color w:val="231F20"/>
          <w:w w:val="90"/>
        </w:rPr>
        <w:t>trade</w:t>
      </w:r>
      <w:r>
        <w:rPr>
          <w:color w:val="231F20"/>
          <w:spacing w:val="-7"/>
          <w:w w:val="90"/>
        </w:rPr>
        <w:t> </w:t>
      </w:r>
      <w:r>
        <w:rPr>
          <w:color w:val="231F20"/>
          <w:w w:val="90"/>
        </w:rPr>
        <w:t>but</w:t>
      </w:r>
      <w:r>
        <w:rPr>
          <w:color w:val="231F20"/>
          <w:spacing w:val="-7"/>
          <w:w w:val="90"/>
        </w:rPr>
        <w:t> </w:t>
      </w:r>
      <w:r>
        <w:rPr>
          <w:color w:val="231F20"/>
          <w:w w:val="90"/>
        </w:rPr>
        <w:t>also</w:t>
      </w:r>
      <w:r>
        <w:rPr>
          <w:color w:val="231F20"/>
          <w:spacing w:val="-7"/>
          <w:w w:val="90"/>
        </w:rPr>
        <w:t> </w:t>
      </w:r>
      <w:r>
        <w:rPr>
          <w:color w:val="231F20"/>
          <w:w w:val="90"/>
        </w:rPr>
        <w:t>less</w:t>
      </w:r>
      <w:r>
        <w:rPr>
          <w:color w:val="231F20"/>
          <w:spacing w:val="-7"/>
          <w:w w:val="90"/>
        </w:rPr>
        <w:t> </w:t>
      </w:r>
      <w:r>
        <w:rPr>
          <w:color w:val="231F20"/>
          <w:w w:val="90"/>
        </w:rPr>
        <w:t>re- </w:t>
      </w:r>
      <w:r>
        <w:rPr>
          <w:color w:val="231F20"/>
          <w:spacing w:val="-6"/>
        </w:rPr>
        <w:t>liable connections, contributing to lower logis- tics performance. This is due to dependence on </w:t>
      </w:r>
      <w:r>
        <w:rPr>
          <w:color w:val="231F20"/>
          <w:w w:val="90"/>
        </w:rPr>
        <w:t>only</w:t>
      </w:r>
      <w:r>
        <w:rPr>
          <w:color w:val="231F20"/>
          <w:spacing w:val="-3"/>
          <w:w w:val="90"/>
        </w:rPr>
        <w:t> </w:t>
      </w:r>
      <w:r>
        <w:rPr>
          <w:color w:val="231F20"/>
          <w:w w:val="90"/>
        </w:rPr>
        <w:t>a</w:t>
      </w:r>
      <w:r>
        <w:rPr>
          <w:color w:val="231F20"/>
          <w:spacing w:val="-3"/>
          <w:w w:val="90"/>
        </w:rPr>
        <w:t> </w:t>
      </w:r>
      <w:r>
        <w:rPr>
          <w:color w:val="231F20"/>
          <w:w w:val="90"/>
        </w:rPr>
        <w:t>few</w:t>
      </w:r>
      <w:r>
        <w:rPr>
          <w:color w:val="231F20"/>
          <w:spacing w:val="-3"/>
          <w:w w:val="90"/>
        </w:rPr>
        <w:t> </w:t>
      </w:r>
      <w:r>
        <w:rPr>
          <w:color w:val="231F20"/>
          <w:w w:val="90"/>
        </w:rPr>
        <w:t>transshipment</w:t>
      </w:r>
      <w:r>
        <w:rPr>
          <w:color w:val="231F20"/>
          <w:spacing w:val="-3"/>
          <w:w w:val="90"/>
        </w:rPr>
        <w:t> </w:t>
      </w:r>
      <w:r>
        <w:rPr>
          <w:color w:val="231F20"/>
          <w:w w:val="90"/>
        </w:rPr>
        <w:t>hubs,</w:t>
      </w:r>
      <w:r>
        <w:rPr>
          <w:color w:val="231F20"/>
          <w:spacing w:val="-3"/>
          <w:w w:val="90"/>
        </w:rPr>
        <w:t> </w:t>
      </w:r>
      <w:r>
        <w:rPr>
          <w:color w:val="231F20"/>
          <w:w w:val="90"/>
        </w:rPr>
        <w:t>which</w:t>
      </w:r>
      <w:r>
        <w:rPr>
          <w:color w:val="231F20"/>
          <w:spacing w:val="-3"/>
          <w:w w:val="90"/>
        </w:rPr>
        <w:t> </w:t>
      </w:r>
      <w:r>
        <w:rPr>
          <w:color w:val="231F20"/>
          <w:w w:val="90"/>
        </w:rPr>
        <w:t>are</w:t>
      </w:r>
      <w:r>
        <w:rPr>
          <w:color w:val="231F20"/>
          <w:spacing w:val="-3"/>
          <w:w w:val="90"/>
        </w:rPr>
        <w:t> </w:t>
      </w:r>
      <w:r>
        <w:rPr>
          <w:color w:val="231F20"/>
          <w:w w:val="90"/>
        </w:rPr>
        <w:t>able</w:t>
      </w:r>
      <w:r>
        <w:rPr>
          <w:color w:val="231F20"/>
          <w:spacing w:val="-3"/>
          <w:w w:val="90"/>
        </w:rPr>
        <w:t> </w:t>
      </w:r>
      <w:r>
        <w:rPr>
          <w:color w:val="231F20"/>
          <w:w w:val="90"/>
        </w:rPr>
        <w:t>to charge</w:t>
      </w:r>
      <w:r>
        <w:rPr>
          <w:color w:val="231F20"/>
          <w:spacing w:val="-7"/>
          <w:w w:val="90"/>
        </w:rPr>
        <w:t> </w:t>
      </w:r>
      <w:r>
        <w:rPr>
          <w:color w:val="231F20"/>
          <w:w w:val="90"/>
        </w:rPr>
        <w:t>markups;</w:t>
      </w:r>
      <w:r>
        <w:rPr>
          <w:color w:val="231F20"/>
          <w:spacing w:val="-7"/>
          <w:w w:val="90"/>
        </w:rPr>
        <w:t> </w:t>
      </w:r>
      <w:r>
        <w:rPr>
          <w:color w:val="231F20"/>
          <w:w w:val="90"/>
        </w:rPr>
        <w:t>the</w:t>
      </w:r>
      <w:r>
        <w:rPr>
          <w:color w:val="231F20"/>
          <w:spacing w:val="-8"/>
          <w:w w:val="90"/>
        </w:rPr>
        <w:t> </w:t>
      </w:r>
      <w:r>
        <w:rPr>
          <w:color w:val="231F20"/>
          <w:w w:val="90"/>
        </w:rPr>
        <w:t>higher</w:t>
      </w:r>
      <w:r>
        <w:rPr>
          <w:color w:val="231F20"/>
          <w:spacing w:val="-7"/>
          <w:w w:val="90"/>
        </w:rPr>
        <w:t> </w:t>
      </w:r>
      <w:r>
        <w:rPr>
          <w:color w:val="231F20"/>
          <w:w w:val="90"/>
        </w:rPr>
        <w:t>cost</w:t>
      </w:r>
      <w:r>
        <w:rPr>
          <w:color w:val="231F20"/>
          <w:spacing w:val="-7"/>
          <w:w w:val="90"/>
        </w:rPr>
        <w:t> </w:t>
      </w:r>
      <w:r>
        <w:rPr>
          <w:color w:val="231F20"/>
          <w:w w:val="90"/>
        </w:rPr>
        <w:t>of</w:t>
      </w:r>
      <w:r>
        <w:rPr>
          <w:color w:val="231F20"/>
          <w:spacing w:val="-7"/>
          <w:w w:val="90"/>
        </w:rPr>
        <w:t> </w:t>
      </w:r>
      <w:r>
        <w:rPr>
          <w:color w:val="231F20"/>
          <w:w w:val="90"/>
        </w:rPr>
        <w:t>going</w:t>
      </w:r>
      <w:r>
        <w:rPr>
          <w:color w:val="231F20"/>
          <w:spacing w:val="-8"/>
          <w:w w:val="90"/>
        </w:rPr>
        <w:t> </w:t>
      </w:r>
      <w:r>
        <w:rPr>
          <w:color w:val="231F20"/>
          <w:w w:val="90"/>
        </w:rPr>
        <w:t>through </w:t>
      </w:r>
      <w:r>
        <w:rPr>
          <w:color w:val="231F20"/>
          <w:spacing w:val="-6"/>
        </w:rPr>
        <w:t>a</w:t>
      </w:r>
      <w:r>
        <w:rPr>
          <w:color w:val="231F20"/>
          <w:spacing w:val="-8"/>
        </w:rPr>
        <w:t> </w:t>
      </w:r>
      <w:r>
        <w:rPr>
          <w:color w:val="231F20"/>
          <w:spacing w:val="-6"/>
        </w:rPr>
        <w:t>transshipment</w:t>
      </w:r>
      <w:r>
        <w:rPr>
          <w:color w:val="231F20"/>
          <w:spacing w:val="-7"/>
        </w:rPr>
        <w:t> </w:t>
      </w:r>
      <w:r>
        <w:rPr>
          <w:color w:val="231F20"/>
          <w:spacing w:val="-6"/>
        </w:rPr>
        <w:t>hub</w:t>
      </w:r>
      <w:r>
        <w:rPr>
          <w:color w:val="231F20"/>
          <w:spacing w:val="-7"/>
        </w:rPr>
        <w:t> </w:t>
      </w:r>
      <w:r>
        <w:rPr>
          <w:color w:val="231F20"/>
          <w:spacing w:val="-6"/>
        </w:rPr>
        <w:t>than</w:t>
      </w:r>
      <w:r>
        <w:rPr>
          <w:color w:val="231F20"/>
          <w:spacing w:val="-7"/>
        </w:rPr>
        <w:t> </w:t>
      </w:r>
      <w:r>
        <w:rPr>
          <w:color w:val="231F20"/>
          <w:spacing w:val="-6"/>
        </w:rPr>
        <w:t>exporting</w:t>
      </w:r>
      <w:r>
        <w:rPr>
          <w:color w:val="231F20"/>
          <w:spacing w:val="-7"/>
        </w:rPr>
        <w:t> </w:t>
      </w:r>
      <w:r>
        <w:rPr>
          <w:color w:val="231F20"/>
          <w:spacing w:val="-6"/>
        </w:rPr>
        <w:t>from</w:t>
      </w:r>
      <w:r>
        <w:rPr>
          <w:color w:val="231F20"/>
          <w:spacing w:val="-7"/>
        </w:rPr>
        <w:t> </w:t>
      </w:r>
      <w:r>
        <w:rPr>
          <w:color w:val="231F20"/>
          <w:spacing w:val="-6"/>
        </w:rPr>
        <w:t>a</w:t>
      </w:r>
      <w:r>
        <w:rPr>
          <w:color w:val="231F20"/>
          <w:spacing w:val="-7"/>
        </w:rPr>
        <w:t> </w:t>
      </w:r>
      <w:r>
        <w:rPr>
          <w:color w:val="231F20"/>
          <w:spacing w:val="-6"/>
        </w:rPr>
        <w:t>full- </w:t>
      </w:r>
      <w:r>
        <w:rPr>
          <w:color w:val="231F20"/>
          <w:w w:val="90"/>
        </w:rPr>
        <w:t>fledged</w:t>
      </w:r>
      <w:r>
        <w:rPr>
          <w:color w:val="231F20"/>
          <w:spacing w:val="-4"/>
          <w:w w:val="90"/>
        </w:rPr>
        <w:t> </w:t>
      </w:r>
      <w:r>
        <w:rPr>
          <w:color w:val="231F20"/>
          <w:w w:val="90"/>
        </w:rPr>
        <w:t>port;</w:t>
      </w:r>
      <w:r>
        <w:rPr>
          <w:color w:val="231F20"/>
          <w:spacing w:val="-4"/>
          <w:w w:val="90"/>
        </w:rPr>
        <w:t> </w:t>
      </w:r>
      <w:r>
        <w:rPr>
          <w:color w:val="231F20"/>
          <w:w w:val="90"/>
        </w:rPr>
        <w:t>and—chiefly—the</w:t>
      </w:r>
      <w:r>
        <w:rPr>
          <w:color w:val="231F20"/>
          <w:spacing w:val="-4"/>
          <w:w w:val="90"/>
        </w:rPr>
        <w:t> </w:t>
      </w:r>
      <w:r>
        <w:rPr>
          <w:color w:val="231F20"/>
          <w:w w:val="90"/>
        </w:rPr>
        <w:t>extra</w:t>
      </w:r>
      <w:r>
        <w:rPr>
          <w:color w:val="231F20"/>
          <w:spacing w:val="-4"/>
          <w:w w:val="90"/>
        </w:rPr>
        <w:t> </w:t>
      </w:r>
      <w:r>
        <w:rPr>
          <w:color w:val="231F20"/>
          <w:w w:val="90"/>
        </w:rPr>
        <w:t>delays</w:t>
      </w:r>
      <w:r>
        <w:rPr>
          <w:color w:val="231F20"/>
          <w:spacing w:val="-4"/>
          <w:w w:val="90"/>
        </w:rPr>
        <w:t> </w:t>
      </w:r>
      <w:r>
        <w:rPr>
          <w:color w:val="231F20"/>
          <w:w w:val="90"/>
        </w:rPr>
        <w:t>and </w:t>
      </w:r>
      <w:r>
        <w:rPr>
          <w:color w:val="231F20"/>
          <w:spacing w:val="-2"/>
        </w:rPr>
        <w:t>lower</w:t>
      </w:r>
      <w:r>
        <w:rPr>
          <w:color w:val="231F20"/>
          <w:spacing w:val="-17"/>
        </w:rPr>
        <w:t> </w:t>
      </w:r>
      <w:r>
        <w:rPr>
          <w:color w:val="231F20"/>
          <w:spacing w:val="-2"/>
        </w:rPr>
        <w:t>reliability</w:t>
      </w:r>
      <w:r>
        <w:rPr>
          <w:color w:val="231F20"/>
          <w:spacing w:val="-17"/>
        </w:rPr>
        <w:t> </w:t>
      </w:r>
      <w:r>
        <w:rPr>
          <w:color w:val="231F20"/>
          <w:spacing w:val="-2"/>
        </w:rPr>
        <w:t>induced</w:t>
      </w:r>
      <w:r>
        <w:rPr>
          <w:color w:val="231F20"/>
          <w:spacing w:val="-17"/>
        </w:rPr>
        <w:t> </w:t>
      </w:r>
      <w:r>
        <w:rPr>
          <w:color w:val="231F20"/>
          <w:spacing w:val="-2"/>
        </w:rPr>
        <w:t>by</w:t>
      </w:r>
      <w:r>
        <w:rPr>
          <w:color w:val="231F20"/>
          <w:spacing w:val="-17"/>
        </w:rPr>
        <w:t> </w:t>
      </w:r>
      <w:r>
        <w:rPr>
          <w:color w:val="231F20"/>
          <w:spacing w:val="-2"/>
        </w:rPr>
        <w:t>transshipment.</w:t>
      </w:r>
    </w:p>
    <w:p>
      <w:pPr>
        <w:pStyle w:val="BodyText"/>
        <w:spacing w:before="29"/>
      </w:pPr>
    </w:p>
    <w:p>
      <w:pPr>
        <w:spacing w:line="280" w:lineRule="auto" w:before="0"/>
        <w:ind w:left="199" w:right="2929" w:firstLine="0"/>
        <w:jc w:val="left"/>
        <w:rPr>
          <w:rFonts w:ascii="Arial"/>
          <w:b/>
          <w:sz w:val="20"/>
        </w:rPr>
      </w:pPr>
      <w:r>
        <w:rPr>
          <w:rFonts w:ascii="Arial"/>
          <w:b/>
          <w:color w:val="231F20"/>
          <w:w w:val="105"/>
          <w:sz w:val="20"/>
        </w:rPr>
        <w:t>Mounting regulatory and demand pressure toward environmental </w:t>
      </w:r>
      <w:r>
        <w:rPr>
          <w:rFonts w:ascii="Arial"/>
          <w:b/>
          <w:color w:val="231F20"/>
          <w:spacing w:val="-2"/>
          <w:w w:val="105"/>
          <w:sz w:val="20"/>
        </w:rPr>
        <w:t>sustainability</w:t>
      </w:r>
    </w:p>
    <w:p>
      <w:pPr>
        <w:pStyle w:val="BodyText"/>
        <w:spacing w:before="34"/>
        <w:rPr>
          <w:rFonts w:ascii="Arial"/>
          <w:b/>
          <w:sz w:val="20"/>
        </w:rPr>
      </w:pPr>
    </w:p>
    <w:p>
      <w:pPr>
        <w:pStyle w:val="BodyText"/>
        <w:spacing w:line="268" w:lineRule="auto"/>
        <w:ind w:left="199" w:right="2817"/>
        <w:jc w:val="both"/>
      </w:pPr>
      <w:r>
        <w:rPr>
          <w:color w:val="231F20"/>
          <w:spacing w:val="-2"/>
        </w:rPr>
        <w:t>As</w:t>
      </w:r>
      <w:r>
        <w:rPr>
          <w:color w:val="231F20"/>
          <w:spacing w:val="-12"/>
        </w:rPr>
        <w:t> </w:t>
      </w:r>
      <w:r>
        <w:rPr>
          <w:color w:val="231F20"/>
          <w:spacing w:val="-2"/>
        </w:rPr>
        <w:t>in</w:t>
      </w:r>
      <w:r>
        <w:rPr>
          <w:color w:val="231F20"/>
          <w:spacing w:val="-11"/>
        </w:rPr>
        <w:t> </w:t>
      </w:r>
      <w:r>
        <w:rPr>
          <w:color w:val="231F20"/>
          <w:spacing w:val="-2"/>
        </w:rPr>
        <w:t>2018,</w:t>
      </w:r>
      <w:r>
        <w:rPr>
          <w:color w:val="231F20"/>
          <w:spacing w:val="-11"/>
        </w:rPr>
        <w:t> </w:t>
      </w:r>
      <w:r>
        <w:rPr>
          <w:color w:val="231F20"/>
          <w:spacing w:val="-2"/>
        </w:rPr>
        <w:t>the</w:t>
      </w:r>
      <w:r>
        <w:rPr>
          <w:color w:val="231F20"/>
          <w:spacing w:val="-11"/>
        </w:rPr>
        <w:t> </w:t>
      </w:r>
      <w:r>
        <w:rPr>
          <w:color w:val="231F20"/>
          <w:spacing w:val="-2"/>
        </w:rPr>
        <w:t>LPI</w:t>
      </w:r>
      <w:r>
        <w:rPr>
          <w:color w:val="231F20"/>
          <w:spacing w:val="-11"/>
        </w:rPr>
        <w:t> </w:t>
      </w:r>
      <w:r>
        <w:rPr>
          <w:color w:val="231F20"/>
          <w:spacing w:val="-2"/>
        </w:rPr>
        <w:t>survey</w:t>
      </w:r>
      <w:r>
        <w:rPr>
          <w:color w:val="231F20"/>
          <w:spacing w:val="-11"/>
        </w:rPr>
        <w:t> </w:t>
      </w:r>
      <w:r>
        <w:rPr>
          <w:color w:val="231F20"/>
          <w:spacing w:val="-2"/>
        </w:rPr>
        <w:t>links</w:t>
      </w:r>
      <w:r>
        <w:rPr>
          <w:color w:val="231F20"/>
          <w:spacing w:val="-11"/>
        </w:rPr>
        <w:t> </w:t>
      </w:r>
      <w:r>
        <w:rPr>
          <w:color w:val="231F20"/>
          <w:spacing w:val="-2"/>
        </w:rPr>
        <w:t>environmen- </w:t>
      </w:r>
      <w:r>
        <w:rPr>
          <w:color w:val="231F20"/>
          <w:spacing w:val="-4"/>
        </w:rPr>
        <w:t>tal</w:t>
      </w:r>
      <w:r>
        <w:rPr>
          <w:color w:val="231F20"/>
        </w:rPr>
        <w:t> </w:t>
      </w:r>
      <w:r>
        <w:rPr>
          <w:color w:val="231F20"/>
          <w:spacing w:val="-4"/>
        </w:rPr>
        <w:t>sustainability</w:t>
      </w:r>
      <w:r>
        <w:rPr>
          <w:color w:val="231F20"/>
          <w:spacing w:val="1"/>
        </w:rPr>
        <w:t> </w:t>
      </w:r>
      <w:r>
        <w:rPr>
          <w:color w:val="231F20"/>
          <w:spacing w:val="-4"/>
        </w:rPr>
        <w:t>and</w:t>
      </w:r>
      <w:r>
        <w:rPr>
          <w:color w:val="231F20"/>
          <w:spacing w:val="1"/>
        </w:rPr>
        <w:t> </w:t>
      </w:r>
      <w:r>
        <w:rPr>
          <w:color w:val="231F20"/>
          <w:spacing w:val="-4"/>
        </w:rPr>
        <w:t>logistics</w:t>
      </w:r>
      <w:r>
        <w:rPr>
          <w:color w:val="231F20"/>
          <w:spacing w:val="1"/>
        </w:rPr>
        <w:t> </w:t>
      </w:r>
      <w:r>
        <w:rPr>
          <w:color w:val="231F20"/>
          <w:spacing w:val="-4"/>
        </w:rPr>
        <w:t>performance</w:t>
      </w:r>
      <w:r>
        <w:rPr>
          <w:color w:val="231F20"/>
          <w:spacing w:val="1"/>
        </w:rPr>
        <w:t> </w:t>
      </w:r>
      <w:r>
        <w:rPr>
          <w:color w:val="231F20"/>
          <w:spacing w:val="-5"/>
        </w:rPr>
        <w:t>by</w:t>
      </w:r>
    </w:p>
    <w:p>
      <w:pPr>
        <w:spacing w:after="0" w:line="268" w:lineRule="auto"/>
        <w:jc w:val="both"/>
        <w:sectPr>
          <w:type w:val="continuous"/>
          <w:pgSz w:w="12240" w:h="15840"/>
          <w:pgMar w:header="370" w:footer="548" w:top="1140" w:bottom="280" w:left="0" w:right="540"/>
          <w:cols w:num="2" w:equalWidth="0">
            <w:col w:w="4921" w:space="40"/>
            <w:col w:w="6739"/>
          </w:cols>
        </w:sectPr>
      </w:pPr>
    </w:p>
    <w:p>
      <w:pPr>
        <w:pStyle w:val="BodyText"/>
        <w:rPr>
          <w:sz w:val="20"/>
        </w:rPr>
      </w:pPr>
    </w:p>
    <w:p>
      <w:pPr>
        <w:pStyle w:val="BodyText"/>
        <w:rPr>
          <w:sz w:val="20"/>
        </w:rPr>
      </w:pPr>
    </w:p>
    <w:p>
      <w:pPr>
        <w:pStyle w:val="BodyText"/>
        <w:spacing w:before="37"/>
        <w:rPr>
          <w:sz w:val="20"/>
        </w:rPr>
      </w:pPr>
    </w:p>
    <w:p>
      <w:pPr>
        <w:spacing w:after="0"/>
        <w:rPr>
          <w:sz w:val="20"/>
        </w:rPr>
        <w:sectPr>
          <w:pgSz w:w="12240" w:h="15840"/>
          <w:pgMar w:header="370" w:footer="548" w:top="560" w:bottom="740" w:left="0" w:right="540"/>
        </w:sectPr>
      </w:pPr>
    </w:p>
    <w:p>
      <w:pPr>
        <w:pStyle w:val="BodyText"/>
        <w:spacing w:line="268" w:lineRule="auto" w:before="97"/>
        <w:ind w:left="3360" w:right="1"/>
        <w:jc w:val="both"/>
      </w:pPr>
      <w:bookmarkStart w:name="_bookmark9" w:id="11"/>
      <w:bookmarkEnd w:id="11"/>
      <w:r>
        <w:rPr/>
      </w:r>
      <w:r>
        <w:rPr>
          <w:color w:val="231F20"/>
          <w:spacing w:val="-2"/>
          <w:w w:val="90"/>
        </w:rPr>
        <w:t>asking</w:t>
      </w:r>
      <w:r>
        <w:rPr>
          <w:color w:val="231F20"/>
          <w:spacing w:val="-6"/>
          <w:w w:val="90"/>
        </w:rPr>
        <w:t> </w:t>
      </w:r>
      <w:r>
        <w:rPr>
          <w:color w:val="231F20"/>
          <w:spacing w:val="-2"/>
          <w:w w:val="90"/>
        </w:rPr>
        <w:t>how</w:t>
      </w:r>
      <w:r>
        <w:rPr>
          <w:color w:val="231F20"/>
          <w:spacing w:val="-6"/>
          <w:w w:val="90"/>
        </w:rPr>
        <w:t> </w:t>
      </w:r>
      <w:r>
        <w:rPr>
          <w:color w:val="231F20"/>
          <w:spacing w:val="-2"/>
          <w:w w:val="90"/>
        </w:rPr>
        <w:t>often</w:t>
      </w:r>
      <w:r>
        <w:rPr>
          <w:color w:val="231F20"/>
          <w:spacing w:val="-6"/>
          <w:w w:val="90"/>
        </w:rPr>
        <w:t> </w:t>
      </w:r>
      <w:r>
        <w:rPr>
          <w:color w:val="231F20"/>
          <w:spacing w:val="-2"/>
          <w:w w:val="90"/>
        </w:rPr>
        <w:t>shippers</w:t>
      </w:r>
      <w:r>
        <w:rPr>
          <w:color w:val="231F20"/>
          <w:spacing w:val="-6"/>
          <w:w w:val="90"/>
        </w:rPr>
        <w:t> </w:t>
      </w:r>
      <w:r>
        <w:rPr>
          <w:color w:val="231F20"/>
          <w:spacing w:val="-2"/>
          <w:w w:val="90"/>
        </w:rPr>
        <w:t>have</w:t>
      </w:r>
      <w:r>
        <w:rPr>
          <w:color w:val="231F20"/>
          <w:spacing w:val="-6"/>
          <w:w w:val="90"/>
        </w:rPr>
        <w:t> </w:t>
      </w:r>
      <w:r>
        <w:rPr>
          <w:color w:val="231F20"/>
          <w:spacing w:val="-2"/>
          <w:w w:val="90"/>
        </w:rPr>
        <w:t>asked</w:t>
      </w:r>
      <w:r>
        <w:rPr>
          <w:color w:val="231F20"/>
          <w:spacing w:val="-6"/>
          <w:w w:val="90"/>
        </w:rPr>
        <w:t> </w:t>
      </w:r>
      <w:r>
        <w:rPr>
          <w:color w:val="231F20"/>
          <w:spacing w:val="-2"/>
          <w:w w:val="90"/>
        </w:rPr>
        <w:t>for</w:t>
      </w:r>
      <w:r>
        <w:rPr>
          <w:color w:val="231F20"/>
          <w:spacing w:val="-6"/>
          <w:w w:val="90"/>
        </w:rPr>
        <w:t> </w:t>
      </w:r>
      <w:r>
        <w:rPr>
          <w:color w:val="231F20"/>
          <w:spacing w:val="-2"/>
          <w:w w:val="90"/>
        </w:rPr>
        <w:t>environ- </w:t>
      </w:r>
      <w:r>
        <w:rPr>
          <w:color w:val="231F20"/>
          <w:spacing w:val="-4"/>
        </w:rPr>
        <w:t>mentally</w:t>
      </w:r>
      <w:r>
        <w:rPr>
          <w:color w:val="231F20"/>
          <w:spacing w:val="-10"/>
        </w:rPr>
        <w:t> </w:t>
      </w:r>
      <w:r>
        <w:rPr>
          <w:color w:val="231F20"/>
          <w:spacing w:val="-4"/>
        </w:rPr>
        <w:t>friendly</w:t>
      </w:r>
      <w:r>
        <w:rPr>
          <w:color w:val="231F20"/>
          <w:spacing w:val="-9"/>
        </w:rPr>
        <w:t> </w:t>
      </w:r>
      <w:r>
        <w:rPr>
          <w:color w:val="231F20"/>
          <w:spacing w:val="-4"/>
        </w:rPr>
        <w:t>options</w:t>
      </w:r>
      <w:r>
        <w:rPr>
          <w:color w:val="231F20"/>
          <w:spacing w:val="-9"/>
        </w:rPr>
        <w:t> </w:t>
      </w:r>
      <w:r>
        <w:rPr>
          <w:color w:val="231F20"/>
          <w:spacing w:val="-4"/>
        </w:rPr>
        <w:t>when</w:t>
      </w:r>
      <w:r>
        <w:rPr>
          <w:color w:val="231F20"/>
          <w:spacing w:val="-9"/>
        </w:rPr>
        <w:t> </w:t>
      </w:r>
      <w:r>
        <w:rPr>
          <w:color w:val="231F20"/>
          <w:spacing w:val="-4"/>
        </w:rPr>
        <w:t>sending</w:t>
      </w:r>
      <w:r>
        <w:rPr>
          <w:color w:val="231F20"/>
          <w:spacing w:val="-9"/>
        </w:rPr>
        <w:t> </w:t>
      </w:r>
      <w:r>
        <w:rPr>
          <w:color w:val="231F20"/>
          <w:spacing w:val="-4"/>
        </w:rPr>
        <w:t>goods to</w:t>
      </w:r>
      <w:r>
        <w:rPr>
          <w:color w:val="231F20"/>
          <w:spacing w:val="-10"/>
        </w:rPr>
        <w:t> </w:t>
      </w:r>
      <w:r>
        <w:rPr>
          <w:color w:val="231F20"/>
          <w:spacing w:val="-4"/>
        </w:rPr>
        <w:t>the</w:t>
      </w:r>
      <w:r>
        <w:rPr>
          <w:color w:val="231F20"/>
          <w:spacing w:val="-9"/>
        </w:rPr>
        <w:t> </w:t>
      </w:r>
      <w:r>
        <w:rPr>
          <w:color w:val="231F20"/>
          <w:spacing w:val="-4"/>
        </w:rPr>
        <w:t>surveyed</w:t>
      </w:r>
      <w:r>
        <w:rPr>
          <w:color w:val="231F20"/>
          <w:spacing w:val="-9"/>
        </w:rPr>
        <w:t> </w:t>
      </w:r>
      <w:r>
        <w:rPr>
          <w:color w:val="231F20"/>
          <w:spacing w:val="-4"/>
        </w:rPr>
        <w:t>countries.</w:t>
      </w:r>
      <w:r>
        <w:rPr>
          <w:color w:val="231F20"/>
          <w:spacing w:val="-4"/>
          <w:position w:val="7"/>
          <w:sz w:val="14"/>
        </w:rPr>
        <w:t>7</w:t>
      </w:r>
      <w:r>
        <w:rPr>
          <w:color w:val="231F20"/>
          <w:spacing w:val="-5"/>
          <w:position w:val="7"/>
          <w:sz w:val="14"/>
        </w:rPr>
        <w:t> </w:t>
      </w:r>
      <w:r>
        <w:rPr>
          <w:color w:val="231F20"/>
          <w:spacing w:val="-4"/>
        </w:rPr>
        <w:t>The</w:t>
      </w:r>
      <w:r>
        <w:rPr>
          <w:color w:val="231F20"/>
          <w:spacing w:val="-9"/>
        </w:rPr>
        <w:t> </w:t>
      </w:r>
      <w:r>
        <w:rPr>
          <w:color w:val="231F20"/>
          <w:spacing w:val="-4"/>
        </w:rPr>
        <w:t>wording</w:t>
      </w:r>
      <w:r>
        <w:rPr>
          <w:color w:val="231F20"/>
          <w:spacing w:val="-9"/>
        </w:rPr>
        <w:t> </w:t>
      </w:r>
      <w:r>
        <w:rPr>
          <w:color w:val="231F20"/>
          <w:spacing w:val="-4"/>
        </w:rPr>
        <w:t>in</w:t>
      </w:r>
      <w:r>
        <w:rPr>
          <w:color w:val="231F20"/>
          <w:spacing w:val="-9"/>
        </w:rPr>
        <w:t> </w:t>
      </w:r>
      <w:r>
        <w:rPr>
          <w:color w:val="231F20"/>
          <w:spacing w:val="-4"/>
        </w:rPr>
        <w:t>this </w:t>
      </w:r>
      <w:r>
        <w:rPr>
          <w:color w:val="231F20"/>
          <w:w w:val="90"/>
        </w:rPr>
        <w:t>question</w:t>
      </w:r>
      <w:r>
        <w:rPr>
          <w:color w:val="231F20"/>
          <w:spacing w:val="-8"/>
          <w:w w:val="90"/>
        </w:rPr>
        <w:t> </w:t>
      </w:r>
      <w:r>
        <w:rPr>
          <w:color w:val="231F20"/>
          <w:w w:val="90"/>
        </w:rPr>
        <w:t>is</w:t>
      </w:r>
      <w:r>
        <w:rPr>
          <w:color w:val="231F20"/>
          <w:spacing w:val="-8"/>
          <w:w w:val="90"/>
        </w:rPr>
        <w:t> </w:t>
      </w:r>
      <w:r>
        <w:rPr>
          <w:color w:val="231F20"/>
          <w:w w:val="90"/>
        </w:rPr>
        <w:t>general</w:t>
      </w:r>
      <w:r>
        <w:rPr>
          <w:color w:val="231F20"/>
          <w:spacing w:val="-8"/>
          <w:w w:val="90"/>
        </w:rPr>
        <w:t> </w:t>
      </w:r>
      <w:r>
        <w:rPr>
          <w:color w:val="231F20"/>
          <w:w w:val="90"/>
        </w:rPr>
        <w:t>because</w:t>
      </w:r>
      <w:r>
        <w:rPr>
          <w:color w:val="231F20"/>
          <w:spacing w:val="-8"/>
          <w:w w:val="90"/>
        </w:rPr>
        <w:t> </w:t>
      </w:r>
      <w:r>
        <w:rPr>
          <w:color w:val="231F20"/>
          <w:w w:val="90"/>
        </w:rPr>
        <w:t>of</w:t>
      </w:r>
      <w:r>
        <w:rPr>
          <w:color w:val="231F20"/>
          <w:spacing w:val="-8"/>
          <w:w w:val="90"/>
        </w:rPr>
        <w:t> </w:t>
      </w:r>
      <w:r>
        <w:rPr>
          <w:color w:val="231F20"/>
          <w:w w:val="90"/>
        </w:rPr>
        <w:t>the</w:t>
      </w:r>
      <w:r>
        <w:rPr>
          <w:color w:val="231F20"/>
          <w:spacing w:val="-8"/>
          <w:w w:val="90"/>
        </w:rPr>
        <w:t> </w:t>
      </w:r>
      <w:r>
        <w:rPr>
          <w:color w:val="231F20"/>
          <w:w w:val="90"/>
        </w:rPr>
        <w:t>numerous</w:t>
      </w:r>
      <w:r>
        <w:rPr>
          <w:color w:val="231F20"/>
          <w:spacing w:val="-8"/>
          <w:w w:val="90"/>
        </w:rPr>
        <w:t> </w:t>
      </w:r>
      <w:r>
        <w:rPr>
          <w:color w:val="231F20"/>
          <w:w w:val="90"/>
        </w:rPr>
        <w:t>ship- </w:t>
      </w:r>
      <w:r>
        <w:rPr>
          <w:color w:val="231F20"/>
          <w:spacing w:val="-8"/>
        </w:rPr>
        <w:t>ping</w:t>
      </w:r>
      <w:r>
        <w:rPr>
          <w:color w:val="231F20"/>
          <w:spacing w:val="-6"/>
        </w:rPr>
        <w:t> </w:t>
      </w:r>
      <w:r>
        <w:rPr>
          <w:color w:val="231F20"/>
          <w:spacing w:val="-8"/>
        </w:rPr>
        <w:t>options</w:t>
      </w:r>
      <w:r>
        <w:rPr>
          <w:color w:val="231F20"/>
          <w:spacing w:val="-5"/>
        </w:rPr>
        <w:t> </w:t>
      </w:r>
      <w:r>
        <w:rPr>
          <w:color w:val="231F20"/>
          <w:spacing w:val="-8"/>
        </w:rPr>
        <w:t>and</w:t>
      </w:r>
      <w:r>
        <w:rPr>
          <w:color w:val="231F20"/>
          <w:spacing w:val="-5"/>
        </w:rPr>
        <w:t> </w:t>
      </w:r>
      <w:r>
        <w:rPr>
          <w:color w:val="231F20"/>
          <w:spacing w:val="-8"/>
        </w:rPr>
        <w:t>ways</w:t>
      </w:r>
      <w:r>
        <w:rPr>
          <w:color w:val="231F20"/>
          <w:spacing w:val="-5"/>
        </w:rPr>
        <w:t> </w:t>
      </w:r>
      <w:r>
        <w:rPr>
          <w:color w:val="231F20"/>
          <w:spacing w:val="-8"/>
        </w:rPr>
        <w:t>to</w:t>
      </w:r>
      <w:r>
        <w:rPr>
          <w:color w:val="231F20"/>
          <w:spacing w:val="-5"/>
        </w:rPr>
        <w:t> </w:t>
      </w:r>
      <w:r>
        <w:rPr>
          <w:color w:val="231F20"/>
          <w:spacing w:val="-8"/>
        </w:rPr>
        <w:t>measure</w:t>
      </w:r>
      <w:r>
        <w:rPr>
          <w:color w:val="231F20"/>
          <w:spacing w:val="-5"/>
        </w:rPr>
        <w:t> </w:t>
      </w:r>
      <w:r>
        <w:rPr>
          <w:color w:val="231F20"/>
          <w:spacing w:val="-8"/>
        </w:rPr>
        <w:t>their</w:t>
      </w:r>
      <w:r>
        <w:rPr>
          <w:color w:val="231F20"/>
          <w:spacing w:val="-5"/>
        </w:rPr>
        <w:t> </w:t>
      </w:r>
      <w:r>
        <w:rPr>
          <w:color w:val="231F20"/>
          <w:spacing w:val="-8"/>
        </w:rPr>
        <w:t>environ- </w:t>
      </w:r>
      <w:r>
        <w:rPr>
          <w:color w:val="231F20"/>
          <w:w w:val="90"/>
        </w:rPr>
        <w:t>mental</w:t>
      </w:r>
      <w:r>
        <w:rPr>
          <w:color w:val="231F20"/>
          <w:spacing w:val="-2"/>
          <w:w w:val="90"/>
        </w:rPr>
        <w:t> </w:t>
      </w:r>
      <w:r>
        <w:rPr>
          <w:color w:val="231F20"/>
          <w:w w:val="90"/>
        </w:rPr>
        <w:t>impact.</w:t>
      </w:r>
      <w:r>
        <w:rPr>
          <w:color w:val="231F20"/>
          <w:spacing w:val="-2"/>
          <w:w w:val="90"/>
        </w:rPr>
        <w:t> </w:t>
      </w:r>
      <w:r>
        <w:rPr>
          <w:color w:val="231F20"/>
          <w:w w:val="90"/>
        </w:rPr>
        <w:t>Environmentally</w:t>
      </w:r>
      <w:r>
        <w:rPr>
          <w:color w:val="231F20"/>
          <w:spacing w:val="-2"/>
          <w:w w:val="90"/>
        </w:rPr>
        <w:t> </w:t>
      </w:r>
      <w:r>
        <w:rPr>
          <w:color w:val="231F20"/>
          <w:w w:val="90"/>
        </w:rPr>
        <w:t>friendly</w:t>
      </w:r>
      <w:r>
        <w:rPr>
          <w:color w:val="231F20"/>
          <w:spacing w:val="-2"/>
          <w:w w:val="90"/>
        </w:rPr>
        <w:t> </w:t>
      </w:r>
      <w:r>
        <w:rPr>
          <w:color w:val="231F20"/>
          <w:w w:val="90"/>
        </w:rPr>
        <w:t>options </w:t>
      </w:r>
      <w:r>
        <w:rPr>
          <w:color w:val="231F20"/>
          <w:spacing w:val="-6"/>
        </w:rPr>
        <w:t>in</w:t>
      </w:r>
      <w:r>
        <w:rPr>
          <w:color w:val="231F20"/>
          <w:spacing w:val="-7"/>
        </w:rPr>
        <w:t> </w:t>
      </w:r>
      <w:r>
        <w:rPr>
          <w:color w:val="231F20"/>
          <w:spacing w:val="-6"/>
        </w:rPr>
        <w:t>logistics</w:t>
      </w:r>
      <w:r>
        <w:rPr>
          <w:color w:val="231F20"/>
          <w:spacing w:val="-7"/>
        </w:rPr>
        <w:t> </w:t>
      </w:r>
      <w:r>
        <w:rPr>
          <w:color w:val="231F20"/>
          <w:spacing w:val="-6"/>
        </w:rPr>
        <w:t>range</w:t>
      </w:r>
      <w:r>
        <w:rPr>
          <w:color w:val="231F20"/>
          <w:spacing w:val="-7"/>
        </w:rPr>
        <w:t> </w:t>
      </w:r>
      <w:r>
        <w:rPr>
          <w:color w:val="231F20"/>
          <w:spacing w:val="-6"/>
        </w:rPr>
        <w:t>from</w:t>
      </w:r>
      <w:r>
        <w:rPr>
          <w:color w:val="231F20"/>
          <w:spacing w:val="-7"/>
        </w:rPr>
        <w:t> </w:t>
      </w:r>
      <w:r>
        <w:rPr>
          <w:color w:val="231F20"/>
          <w:spacing w:val="-6"/>
        </w:rPr>
        <w:t>shorter</w:t>
      </w:r>
      <w:r>
        <w:rPr>
          <w:color w:val="231F20"/>
          <w:spacing w:val="-7"/>
        </w:rPr>
        <w:t> </w:t>
      </w:r>
      <w:r>
        <w:rPr>
          <w:color w:val="231F20"/>
          <w:spacing w:val="-6"/>
        </w:rPr>
        <w:t>routes,</w:t>
      </w:r>
      <w:r>
        <w:rPr>
          <w:color w:val="231F20"/>
          <w:spacing w:val="-7"/>
        </w:rPr>
        <w:t> </w:t>
      </w:r>
      <w:r>
        <w:rPr>
          <w:color w:val="231F20"/>
          <w:spacing w:val="-6"/>
        </w:rPr>
        <w:t>source</w:t>
      </w:r>
      <w:r>
        <w:rPr>
          <w:color w:val="231F20"/>
          <w:spacing w:val="-7"/>
        </w:rPr>
        <w:t> </w:t>
      </w:r>
      <w:r>
        <w:rPr>
          <w:color w:val="231F20"/>
          <w:spacing w:val="-6"/>
        </w:rPr>
        <w:t>of </w:t>
      </w:r>
      <w:r>
        <w:rPr>
          <w:color w:val="231F20"/>
          <w:w w:val="90"/>
        </w:rPr>
        <w:t>propulsion, or better capacity utilization to mini- mize</w:t>
      </w:r>
      <w:r>
        <w:rPr>
          <w:color w:val="231F20"/>
          <w:spacing w:val="-6"/>
          <w:w w:val="90"/>
        </w:rPr>
        <w:t> </w:t>
      </w:r>
      <w:r>
        <w:rPr>
          <w:color w:val="231F20"/>
          <w:w w:val="90"/>
        </w:rPr>
        <w:t>transport</w:t>
      </w:r>
      <w:r>
        <w:rPr>
          <w:color w:val="231F20"/>
          <w:spacing w:val="-6"/>
          <w:w w:val="90"/>
        </w:rPr>
        <w:t> </w:t>
      </w:r>
      <w:r>
        <w:rPr>
          <w:color w:val="231F20"/>
          <w:w w:val="90"/>
        </w:rPr>
        <w:t>emissions.</w:t>
      </w:r>
      <w:r>
        <w:rPr>
          <w:color w:val="231F20"/>
          <w:spacing w:val="-6"/>
          <w:w w:val="90"/>
        </w:rPr>
        <w:t> </w:t>
      </w:r>
      <w:r>
        <w:rPr>
          <w:color w:val="231F20"/>
          <w:w w:val="90"/>
        </w:rPr>
        <w:t>Therefore,</w:t>
      </w:r>
      <w:r>
        <w:rPr>
          <w:color w:val="231F20"/>
          <w:spacing w:val="-6"/>
          <w:w w:val="90"/>
        </w:rPr>
        <w:t> </w:t>
      </w:r>
      <w:r>
        <w:rPr>
          <w:color w:val="231F20"/>
          <w:w w:val="90"/>
        </w:rPr>
        <w:t>the</w:t>
      </w:r>
      <w:r>
        <w:rPr>
          <w:color w:val="231F20"/>
          <w:spacing w:val="-6"/>
          <w:w w:val="90"/>
        </w:rPr>
        <w:t> </w:t>
      </w:r>
      <w:r>
        <w:rPr>
          <w:color w:val="231F20"/>
          <w:w w:val="90"/>
        </w:rPr>
        <w:t>findings </w:t>
      </w:r>
      <w:r>
        <w:rPr>
          <w:color w:val="231F20"/>
          <w:spacing w:val="-2"/>
        </w:rPr>
        <w:t>are</w:t>
      </w:r>
      <w:r>
        <w:rPr>
          <w:color w:val="231F20"/>
          <w:spacing w:val="-10"/>
        </w:rPr>
        <w:t> </w:t>
      </w:r>
      <w:r>
        <w:rPr>
          <w:color w:val="231F20"/>
          <w:spacing w:val="-2"/>
        </w:rPr>
        <w:t>indicative</w:t>
      </w:r>
      <w:r>
        <w:rPr>
          <w:color w:val="231F20"/>
          <w:spacing w:val="-10"/>
        </w:rPr>
        <w:t> </w:t>
      </w:r>
      <w:r>
        <w:rPr>
          <w:color w:val="231F20"/>
          <w:spacing w:val="-2"/>
        </w:rPr>
        <w:t>of</w:t>
      </w:r>
      <w:r>
        <w:rPr>
          <w:color w:val="231F20"/>
          <w:spacing w:val="-10"/>
        </w:rPr>
        <w:t> </w:t>
      </w:r>
      <w:r>
        <w:rPr>
          <w:color w:val="231F20"/>
          <w:spacing w:val="-2"/>
        </w:rPr>
        <w:t>the</w:t>
      </w:r>
      <w:r>
        <w:rPr>
          <w:color w:val="231F20"/>
          <w:spacing w:val="-10"/>
        </w:rPr>
        <w:t> </w:t>
      </w:r>
      <w:r>
        <w:rPr>
          <w:color w:val="231F20"/>
          <w:spacing w:val="-2"/>
        </w:rPr>
        <w:t>prevalence</w:t>
      </w:r>
      <w:r>
        <w:rPr>
          <w:color w:val="231F20"/>
          <w:spacing w:val="-10"/>
        </w:rPr>
        <w:t> </w:t>
      </w:r>
      <w:r>
        <w:rPr>
          <w:color w:val="231F20"/>
          <w:spacing w:val="-2"/>
        </w:rPr>
        <w:t>of</w:t>
      </w:r>
      <w:r>
        <w:rPr>
          <w:color w:val="231F20"/>
          <w:spacing w:val="-10"/>
        </w:rPr>
        <w:t> </w:t>
      </w:r>
      <w:r>
        <w:rPr>
          <w:color w:val="231F20"/>
          <w:spacing w:val="-2"/>
        </w:rPr>
        <w:t>such</w:t>
      </w:r>
      <w:r>
        <w:rPr>
          <w:color w:val="231F20"/>
          <w:spacing w:val="-10"/>
        </w:rPr>
        <w:t> </w:t>
      </w:r>
      <w:r>
        <w:rPr>
          <w:color w:val="231F20"/>
          <w:spacing w:val="-2"/>
        </w:rPr>
        <w:t>needs </w:t>
      </w:r>
      <w:r>
        <w:rPr>
          <w:color w:val="231F20"/>
          <w:spacing w:val="-4"/>
        </w:rPr>
        <w:t>among</w:t>
      </w:r>
      <w:r>
        <w:rPr>
          <w:color w:val="231F20"/>
          <w:spacing w:val="-10"/>
        </w:rPr>
        <w:t> </w:t>
      </w:r>
      <w:r>
        <w:rPr>
          <w:color w:val="231F20"/>
          <w:spacing w:val="-4"/>
        </w:rPr>
        <w:t>shippers,</w:t>
      </w:r>
      <w:r>
        <w:rPr>
          <w:color w:val="231F20"/>
          <w:spacing w:val="-9"/>
        </w:rPr>
        <w:t> </w:t>
      </w:r>
      <w:r>
        <w:rPr>
          <w:color w:val="231F20"/>
          <w:spacing w:val="-4"/>
        </w:rPr>
        <w:t>as</w:t>
      </w:r>
      <w:r>
        <w:rPr>
          <w:color w:val="231F20"/>
          <w:spacing w:val="-9"/>
        </w:rPr>
        <w:t> </w:t>
      </w:r>
      <w:r>
        <w:rPr>
          <w:color w:val="231F20"/>
          <w:spacing w:val="-4"/>
        </w:rPr>
        <w:t>encountered</w:t>
      </w:r>
      <w:r>
        <w:rPr>
          <w:color w:val="231F20"/>
          <w:spacing w:val="-9"/>
        </w:rPr>
        <w:t> </w:t>
      </w:r>
      <w:r>
        <w:rPr>
          <w:color w:val="231F20"/>
          <w:spacing w:val="-4"/>
        </w:rPr>
        <w:t>by</w:t>
      </w:r>
      <w:r>
        <w:rPr>
          <w:color w:val="231F20"/>
          <w:spacing w:val="-9"/>
        </w:rPr>
        <w:t> </w:t>
      </w:r>
      <w:r>
        <w:rPr>
          <w:color w:val="231F20"/>
          <w:spacing w:val="-4"/>
        </w:rPr>
        <w:t>freight</w:t>
      </w:r>
      <w:r>
        <w:rPr>
          <w:color w:val="231F20"/>
          <w:spacing w:val="-9"/>
        </w:rPr>
        <w:t> </w:t>
      </w:r>
      <w:r>
        <w:rPr>
          <w:color w:val="231F20"/>
          <w:spacing w:val="-4"/>
        </w:rPr>
        <w:t>for- warding</w:t>
      </w:r>
      <w:r>
        <w:rPr>
          <w:color w:val="231F20"/>
          <w:spacing w:val="-9"/>
        </w:rPr>
        <w:t> </w:t>
      </w:r>
      <w:r>
        <w:rPr>
          <w:color w:val="231F20"/>
          <w:spacing w:val="-4"/>
        </w:rPr>
        <w:t>and</w:t>
      </w:r>
      <w:r>
        <w:rPr>
          <w:color w:val="231F20"/>
          <w:spacing w:val="-9"/>
        </w:rPr>
        <w:t> </w:t>
      </w:r>
      <w:r>
        <w:rPr>
          <w:color w:val="231F20"/>
          <w:spacing w:val="-4"/>
        </w:rPr>
        <w:t>logistics</w:t>
      </w:r>
      <w:r>
        <w:rPr>
          <w:color w:val="231F20"/>
          <w:spacing w:val="-9"/>
        </w:rPr>
        <w:t> </w:t>
      </w:r>
      <w:r>
        <w:rPr>
          <w:color w:val="231F20"/>
          <w:spacing w:val="-4"/>
        </w:rPr>
        <w:t>professionals.</w:t>
      </w:r>
    </w:p>
    <w:p>
      <w:pPr>
        <w:pStyle w:val="BodyText"/>
        <w:spacing w:line="266" w:lineRule="auto"/>
        <w:ind w:left="3360" w:firstLine="300"/>
        <w:jc w:val="both"/>
      </w:pPr>
      <w:r>
        <w:rPr>
          <w:color w:val="231F20"/>
          <w:w w:val="90"/>
        </w:rPr>
        <w:t>Almost 75 percent of shippers had asked for such</w:t>
      </w:r>
      <w:r>
        <w:rPr>
          <w:color w:val="231F20"/>
          <w:spacing w:val="-8"/>
          <w:w w:val="90"/>
        </w:rPr>
        <w:t> </w:t>
      </w:r>
      <w:r>
        <w:rPr>
          <w:color w:val="231F20"/>
          <w:w w:val="90"/>
        </w:rPr>
        <w:t>options</w:t>
      </w:r>
      <w:r>
        <w:rPr>
          <w:color w:val="231F20"/>
          <w:spacing w:val="-8"/>
          <w:w w:val="90"/>
        </w:rPr>
        <w:t> </w:t>
      </w:r>
      <w:r>
        <w:rPr>
          <w:color w:val="231F20"/>
          <w:w w:val="90"/>
        </w:rPr>
        <w:t>“often”</w:t>
      </w:r>
      <w:r>
        <w:rPr>
          <w:color w:val="231F20"/>
          <w:spacing w:val="-8"/>
          <w:w w:val="90"/>
        </w:rPr>
        <w:t> </w:t>
      </w:r>
      <w:r>
        <w:rPr>
          <w:color w:val="231F20"/>
          <w:w w:val="90"/>
        </w:rPr>
        <w:t>or</w:t>
      </w:r>
      <w:r>
        <w:rPr>
          <w:color w:val="231F20"/>
          <w:spacing w:val="-8"/>
          <w:w w:val="90"/>
        </w:rPr>
        <w:t> </w:t>
      </w:r>
      <w:r>
        <w:rPr>
          <w:color w:val="231F20"/>
          <w:w w:val="90"/>
        </w:rPr>
        <w:t>“nearly</w:t>
      </w:r>
      <w:r>
        <w:rPr>
          <w:color w:val="231F20"/>
          <w:spacing w:val="-8"/>
          <w:w w:val="90"/>
        </w:rPr>
        <w:t> </w:t>
      </w:r>
      <w:r>
        <w:rPr>
          <w:color w:val="231F20"/>
          <w:w w:val="90"/>
        </w:rPr>
        <w:t>always”</w:t>
      </w:r>
      <w:r>
        <w:rPr>
          <w:color w:val="231F20"/>
          <w:spacing w:val="-8"/>
          <w:w w:val="90"/>
        </w:rPr>
        <w:t> </w:t>
      </w:r>
      <w:r>
        <w:rPr>
          <w:color w:val="231F20"/>
          <w:w w:val="90"/>
        </w:rPr>
        <w:t>when</w:t>
      </w:r>
      <w:r>
        <w:rPr>
          <w:color w:val="231F20"/>
          <w:spacing w:val="-8"/>
          <w:w w:val="90"/>
        </w:rPr>
        <w:t> </w:t>
      </w:r>
      <w:r>
        <w:rPr>
          <w:color w:val="231F20"/>
          <w:w w:val="90"/>
        </w:rPr>
        <w:t>ex- </w:t>
      </w:r>
      <w:r>
        <w:rPr>
          <w:color w:val="231F20"/>
          <w:spacing w:val="-6"/>
        </w:rPr>
        <w:t>porting</w:t>
      </w:r>
      <w:r>
        <w:rPr>
          <w:color w:val="231F20"/>
          <w:spacing w:val="-7"/>
        </w:rPr>
        <w:t> </w:t>
      </w:r>
      <w:r>
        <w:rPr>
          <w:color w:val="231F20"/>
          <w:spacing w:val="-6"/>
        </w:rPr>
        <w:t>to</w:t>
      </w:r>
      <w:r>
        <w:rPr>
          <w:color w:val="231F20"/>
          <w:spacing w:val="-7"/>
        </w:rPr>
        <w:t> </w:t>
      </w:r>
      <w:r>
        <w:rPr>
          <w:color w:val="231F20"/>
          <w:spacing w:val="-6"/>
        </w:rPr>
        <w:t>countries</w:t>
      </w:r>
      <w:r>
        <w:rPr>
          <w:color w:val="231F20"/>
          <w:spacing w:val="-7"/>
        </w:rPr>
        <w:t> </w:t>
      </w:r>
      <w:r>
        <w:rPr>
          <w:color w:val="231F20"/>
          <w:spacing w:val="-6"/>
        </w:rPr>
        <w:t>in</w:t>
      </w:r>
      <w:r>
        <w:rPr>
          <w:color w:val="231F20"/>
          <w:spacing w:val="-7"/>
        </w:rPr>
        <w:t> </w:t>
      </w:r>
      <w:r>
        <w:rPr>
          <w:color w:val="231F20"/>
          <w:spacing w:val="-6"/>
        </w:rPr>
        <w:t>the</w:t>
      </w:r>
      <w:r>
        <w:rPr>
          <w:color w:val="231F20"/>
          <w:spacing w:val="-7"/>
        </w:rPr>
        <w:t> </w:t>
      </w:r>
      <w:r>
        <w:rPr>
          <w:color w:val="231F20"/>
          <w:spacing w:val="-6"/>
        </w:rPr>
        <w:t>top</w:t>
      </w:r>
      <w:r>
        <w:rPr>
          <w:color w:val="231F20"/>
          <w:spacing w:val="-7"/>
        </w:rPr>
        <w:t> </w:t>
      </w:r>
      <w:r>
        <w:rPr>
          <w:color w:val="231F20"/>
          <w:spacing w:val="-6"/>
        </w:rPr>
        <w:t>two</w:t>
      </w:r>
      <w:r>
        <w:rPr>
          <w:color w:val="231F20"/>
          <w:spacing w:val="-7"/>
        </w:rPr>
        <w:t> </w:t>
      </w:r>
      <w:r>
        <w:rPr>
          <w:color w:val="231F20"/>
          <w:spacing w:val="-6"/>
        </w:rPr>
        <w:t>performance </w:t>
      </w:r>
      <w:r>
        <w:rPr>
          <w:color w:val="231F20"/>
          <w:w w:val="90"/>
        </w:rPr>
        <w:t>quintiles.</w:t>
      </w:r>
      <w:r>
        <w:rPr>
          <w:color w:val="231F20"/>
          <w:w w:val="90"/>
          <w:position w:val="7"/>
          <w:sz w:val="14"/>
        </w:rPr>
        <w:t>8</w:t>
      </w:r>
      <w:r>
        <w:rPr>
          <w:color w:val="231F20"/>
          <w:spacing w:val="6"/>
          <w:position w:val="7"/>
          <w:sz w:val="14"/>
        </w:rPr>
        <w:t> </w:t>
      </w:r>
      <w:r>
        <w:rPr>
          <w:color w:val="231F20"/>
          <w:w w:val="90"/>
        </w:rPr>
        <w:t>The</w:t>
      </w:r>
      <w:r>
        <w:rPr>
          <w:color w:val="231F20"/>
          <w:spacing w:val="-7"/>
          <w:w w:val="90"/>
        </w:rPr>
        <w:t> </w:t>
      </w:r>
      <w:r>
        <w:rPr>
          <w:color w:val="231F20"/>
          <w:w w:val="90"/>
        </w:rPr>
        <w:t>share</w:t>
      </w:r>
      <w:r>
        <w:rPr>
          <w:color w:val="231F20"/>
          <w:spacing w:val="-7"/>
          <w:w w:val="90"/>
        </w:rPr>
        <w:t> </w:t>
      </w:r>
      <w:r>
        <w:rPr>
          <w:color w:val="231F20"/>
          <w:w w:val="90"/>
        </w:rPr>
        <w:t>was</w:t>
      </w:r>
      <w:r>
        <w:rPr>
          <w:color w:val="231F20"/>
          <w:spacing w:val="-7"/>
          <w:w w:val="90"/>
        </w:rPr>
        <w:t> </w:t>
      </w:r>
      <w:r>
        <w:rPr>
          <w:color w:val="231F20"/>
          <w:w w:val="90"/>
        </w:rPr>
        <w:t>slightly</w:t>
      </w:r>
      <w:r>
        <w:rPr>
          <w:color w:val="231F20"/>
          <w:spacing w:val="-7"/>
          <w:w w:val="90"/>
        </w:rPr>
        <w:t> </w:t>
      </w:r>
      <w:r>
        <w:rPr>
          <w:color w:val="231F20"/>
          <w:w w:val="90"/>
        </w:rPr>
        <w:t>over</w:t>
      </w:r>
      <w:r>
        <w:rPr>
          <w:color w:val="231F20"/>
          <w:spacing w:val="-7"/>
          <w:w w:val="90"/>
        </w:rPr>
        <w:t> </w:t>
      </w:r>
      <w:r>
        <w:rPr>
          <w:color w:val="231F20"/>
          <w:w w:val="90"/>
        </w:rPr>
        <w:t>20</w:t>
      </w:r>
      <w:r>
        <w:rPr>
          <w:color w:val="231F20"/>
          <w:spacing w:val="-7"/>
          <w:w w:val="90"/>
        </w:rPr>
        <w:t> </w:t>
      </w:r>
      <w:r>
        <w:rPr>
          <w:color w:val="231F20"/>
          <w:w w:val="90"/>
        </w:rPr>
        <w:t>percent </w:t>
      </w:r>
      <w:r>
        <w:rPr>
          <w:color w:val="231F20"/>
          <w:spacing w:val="-4"/>
        </w:rPr>
        <w:t>when</w:t>
      </w:r>
      <w:r>
        <w:rPr>
          <w:color w:val="231F20"/>
          <w:spacing w:val="-9"/>
        </w:rPr>
        <w:t> </w:t>
      </w:r>
      <w:r>
        <w:rPr>
          <w:color w:val="231F20"/>
          <w:spacing w:val="-4"/>
        </w:rPr>
        <w:t>exporting</w:t>
      </w:r>
      <w:r>
        <w:rPr>
          <w:color w:val="231F20"/>
          <w:spacing w:val="-9"/>
        </w:rPr>
        <w:t> </w:t>
      </w:r>
      <w:r>
        <w:rPr>
          <w:color w:val="231F20"/>
          <w:spacing w:val="-4"/>
        </w:rPr>
        <w:t>to</w:t>
      </w:r>
      <w:r>
        <w:rPr>
          <w:color w:val="231F20"/>
          <w:spacing w:val="-9"/>
        </w:rPr>
        <w:t> </w:t>
      </w:r>
      <w:r>
        <w:rPr>
          <w:color w:val="231F20"/>
          <w:spacing w:val="-4"/>
        </w:rPr>
        <w:t>countries</w:t>
      </w:r>
      <w:r>
        <w:rPr>
          <w:color w:val="231F20"/>
          <w:spacing w:val="-9"/>
        </w:rPr>
        <w:t> </w:t>
      </w:r>
      <w:r>
        <w:rPr>
          <w:color w:val="231F20"/>
          <w:spacing w:val="-4"/>
        </w:rPr>
        <w:t>in</w:t>
      </w:r>
      <w:r>
        <w:rPr>
          <w:color w:val="231F20"/>
          <w:spacing w:val="-9"/>
        </w:rPr>
        <w:t> </w:t>
      </w:r>
      <w:r>
        <w:rPr>
          <w:color w:val="231F20"/>
          <w:spacing w:val="-4"/>
        </w:rPr>
        <w:t>the</w:t>
      </w:r>
      <w:r>
        <w:rPr>
          <w:color w:val="231F20"/>
          <w:spacing w:val="-9"/>
        </w:rPr>
        <w:t> </w:t>
      </w:r>
      <w:r>
        <w:rPr>
          <w:color w:val="231F20"/>
          <w:spacing w:val="-4"/>
        </w:rPr>
        <w:t>middle</w:t>
      </w:r>
      <w:r>
        <w:rPr>
          <w:color w:val="231F20"/>
          <w:spacing w:val="-9"/>
        </w:rPr>
        <w:t> </w:t>
      </w:r>
      <w:r>
        <w:rPr>
          <w:color w:val="231F20"/>
          <w:spacing w:val="-4"/>
        </w:rPr>
        <w:t>per- </w:t>
      </w:r>
      <w:r>
        <w:rPr>
          <w:color w:val="231F20"/>
        </w:rPr>
        <w:t>formance</w:t>
      </w:r>
      <w:r>
        <w:rPr>
          <w:color w:val="231F20"/>
          <w:spacing w:val="-12"/>
        </w:rPr>
        <w:t> </w:t>
      </w:r>
      <w:r>
        <w:rPr>
          <w:color w:val="231F20"/>
        </w:rPr>
        <w:t>quintile</w:t>
      </w:r>
      <w:r>
        <w:rPr>
          <w:color w:val="231F20"/>
          <w:spacing w:val="-12"/>
        </w:rPr>
        <w:t> </w:t>
      </w:r>
      <w:r>
        <w:rPr>
          <w:color w:val="231F20"/>
        </w:rPr>
        <w:t>and</w:t>
      </w:r>
      <w:r>
        <w:rPr>
          <w:color w:val="231F20"/>
          <w:spacing w:val="-12"/>
        </w:rPr>
        <w:t> </w:t>
      </w:r>
      <w:r>
        <w:rPr>
          <w:color w:val="231F20"/>
        </w:rPr>
        <w:t>well</w:t>
      </w:r>
      <w:r>
        <w:rPr>
          <w:color w:val="231F20"/>
          <w:spacing w:val="-12"/>
        </w:rPr>
        <w:t> </w:t>
      </w:r>
      <w:r>
        <w:rPr>
          <w:color w:val="231F20"/>
        </w:rPr>
        <w:t>below</w:t>
      </w:r>
      <w:r>
        <w:rPr>
          <w:color w:val="231F20"/>
          <w:spacing w:val="-12"/>
        </w:rPr>
        <w:t> </w:t>
      </w:r>
      <w:r>
        <w:rPr>
          <w:color w:val="231F20"/>
        </w:rPr>
        <w:t>10</w:t>
      </w:r>
      <w:r>
        <w:rPr>
          <w:color w:val="231F20"/>
          <w:spacing w:val="-12"/>
        </w:rPr>
        <w:t> </w:t>
      </w:r>
      <w:r>
        <w:rPr>
          <w:color w:val="231F20"/>
        </w:rPr>
        <w:t>percent to</w:t>
      </w:r>
      <w:r>
        <w:rPr>
          <w:color w:val="231F20"/>
          <w:spacing w:val="18"/>
        </w:rPr>
        <w:t> </w:t>
      </w:r>
      <w:r>
        <w:rPr>
          <w:color w:val="231F20"/>
        </w:rPr>
        <w:t>countries</w:t>
      </w:r>
      <w:r>
        <w:rPr>
          <w:color w:val="231F20"/>
          <w:spacing w:val="18"/>
        </w:rPr>
        <w:t> </w:t>
      </w:r>
      <w:r>
        <w:rPr>
          <w:color w:val="231F20"/>
        </w:rPr>
        <w:t>to</w:t>
      </w:r>
      <w:r>
        <w:rPr>
          <w:color w:val="231F20"/>
          <w:spacing w:val="18"/>
        </w:rPr>
        <w:t> </w:t>
      </w:r>
      <w:r>
        <w:rPr>
          <w:color w:val="231F20"/>
        </w:rPr>
        <w:t>the</w:t>
      </w:r>
      <w:r>
        <w:rPr>
          <w:color w:val="231F20"/>
          <w:spacing w:val="19"/>
        </w:rPr>
        <w:t> </w:t>
      </w:r>
      <w:r>
        <w:rPr>
          <w:color w:val="231F20"/>
        </w:rPr>
        <w:t>two</w:t>
      </w:r>
      <w:r>
        <w:rPr>
          <w:color w:val="231F20"/>
          <w:spacing w:val="18"/>
        </w:rPr>
        <w:t> </w:t>
      </w:r>
      <w:r>
        <w:rPr>
          <w:color w:val="231F20"/>
        </w:rPr>
        <w:t>lowest</w:t>
      </w:r>
      <w:r>
        <w:rPr>
          <w:color w:val="231F20"/>
          <w:spacing w:val="18"/>
        </w:rPr>
        <w:t> </w:t>
      </w:r>
      <w:r>
        <w:rPr>
          <w:color w:val="231F20"/>
          <w:spacing w:val="-2"/>
        </w:rPr>
        <w:t>performance</w:t>
      </w:r>
    </w:p>
    <w:p>
      <w:pPr>
        <w:pStyle w:val="BodyText"/>
        <w:spacing w:line="268" w:lineRule="auto" w:before="97"/>
        <w:ind w:left="196" w:right="657"/>
        <w:jc w:val="both"/>
      </w:pPr>
      <w:r>
        <w:rPr/>
        <w:br w:type="column"/>
      </w:r>
      <w:r>
        <w:rPr>
          <w:color w:val="231F20"/>
          <w:spacing w:val="-4"/>
        </w:rPr>
        <w:t>quintiles.</w:t>
      </w:r>
      <w:r>
        <w:rPr>
          <w:color w:val="231F20"/>
          <w:spacing w:val="-10"/>
        </w:rPr>
        <w:t> </w:t>
      </w:r>
      <w:r>
        <w:rPr>
          <w:color w:val="231F20"/>
          <w:spacing w:val="-4"/>
        </w:rPr>
        <w:t>Despite</w:t>
      </w:r>
      <w:r>
        <w:rPr>
          <w:color w:val="231F20"/>
          <w:spacing w:val="-9"/>
        </w:rPr>
        <w:t> </w:t>
      </w:r>
      <w:r>
        <w:rPr>
          <w:color w:val="231F20"/>
          <w:spacing w:val="-4"/>
        </w:rPr>
        <w:t>the</w:t>
      </w:r>
      <w:r>
        <w:rPr>
          <w:color w:val="231F20"/>
          <w:spacing w:val="-9"/>
        </w:rPr>
        <w:t> </w:t>
      </w:r>
      <w:r>
        <w:rPr>
          <w:color w:val="231F20"/>
          <w:spacing w:val="-4"/>
        </w:rPr>
        <w:t>variation,</w:t>
      </w:r>
      <w:r>
        <w:rPr>
          <w:color w:val="231F20"/>
          <w:spacing w:val="-9"/>
        </w:rPr>
        <w:t> </w:t>
      </w:r>
      <w:r>
        <w:rPr>
          <w:color w:val="231F20"/>
          <w:spacing w:val="-4"/>
        </w:rPr>
        <w:t>demand</w:t>
      </w:r>
      <w:r>
        <w:rPr>
          <w:color w:val="231F20"/>
          <w:spacing w:val="-9"/>
        </w:rPr>
        <w:t> </w:t>
      </w:r>
      <w:r>
        <w:rPr>
          <w:color w:val="231F20"/>
          <w:spacing w:val="-4"/>
        </w:rPr>
        <w:t>forces </w:t>
      </w:r>
      <w:r>
        <w:rPr>
          <w:color w:val="231F20"/>
          <w:spacing w:val="-6"/>
        </w:rPr>
        <w:t>are</w:t>
      </w:r>
      <w:r>
        <w:rPr>
          <w:color w:val="231F20"/>
          <w:spacing w:val="-8"/>
        </w:rPr>
        <w:t> </w:t>
      </w:r>
      <w:r>
        <w:rPr>
          <w:color w:val="231F20"/>
          <w:spacing w:val="-6"/>
        </w:rPr>
        <w:t>an</w:t>
      </w:r>
      <w:r>
        <w:rPr>
          <w:color w:val="231F20"/>
          <w:spacing w:val="-7"/>
        </w:rPr>
        <w:t> </w:t>
      </w:r>
      <w:r>
        <w:rPr>
          <w:color w:val="231F20"/>
          <w:spacing w:val="-6"/>
        </w:rPr>
        <w:t>important</w:t>
      </w:r>
      <w:r>
        <w:rPr>
          <w:color w:val="231F20"/>
          <w:spacing w:val="-7"/>
        </w:rPr>
        <w:t> </w:t>
      </w:r>
      <w:r>
        <w:rPr>
          <w:color w:val="231F20"/>
          <w:spacing w:val="-6"/>
        </w:rPr>
        <w:t>factor</w:t>
      </w:r>
      <w:r>
        <w:rPr>
          <w:color w:val="231F20"/>
          <w:spacing w:val="-7"/>
        </w:rPr>
        <w:t> </w:t>
      </w:r>
      <w:r>
        <w:rPr>
          <w:color w:val="231F20"/>
          <w:spacing w:val="-6"/>
        </w:rPr>
        <w:t>pushing</w:t>
      </w:r>
      <w:r>
        <w:rPr>
          <w:color w:val="231F20"/>
          <w:spacing w:val="-7"/>
        </w:rPr>
        <w:t> </w:t>
      </w:r>
      <w:r>
        <w:rPr>
          <w:color w:val="231F20"/>
          <w:spacing w:val="-6"/>
        </w:rPr>
        <w:t>logistics</w:t>
      </w:r>
      <w:r>
        <w:rPr>
          <w:color w:val="231F20"/>
          <w:spacing w:val="-7"/>
        </w:rPr>
        <w:t> </w:t>
      </w:r>
      <w:r>
        <w:rPr>
          <w:color w:val="231F20"/>
          <w:spacing w:val="-6"/>
        </w:rPr>
        <w:t>opera- </w:t>
      </w:r>
      <w:r>
        <w:rPr>
          <w:color w:val="231F20"/>
          <w:spacing w:val="-2"/>
        </w:rPr>
        <w:t>tions</w:t>
      </w:r>
      <w:r>
        <w:rPr>
          <w:color w:val="231F20"/>
          <w:spacing w:val="-9"/>
        </w:rPr>
        <w:t> </w:t>
      </w:r>
      <w:r>
        <w:rPr>
          <w:color w:val="231F20"/>
          <w:spacing w:val="-2"/>
        </w:rPr>
        <w:t>in</w:t>
      </w:r>
      <w:r>
        <w:rPr>
          <w:color w:val="231F20"/>
          <w:spacing w:val="-9"/>
        </w:rPr>
        <w:t> </w:t>
      </w:r>
      <w:r>
        <w:rPr>
          <w:color w:val="231F20"/>
          <w:spacing w:val="-2"/>
        </w:rPr>
        <w:t>a</w:t>
      </w:r>
      <w:r>
        <w:rPr>
          <w:color w:val="231F20"/>
          <w:spacing w:val="-9"/>
        </w:rPr>
        <w:t> </w:t>
      </w:r>
      <w:r>
        <w:rPr>
          <w:color w:val="231F20"/>
          <w:spacing w:val="-2"/>
        </w:rPr>
        <w:t>more</w:t>
      </w:r>
      <w:r>
        <w:rPr>
          <w:color w:val="231F20"/>
          <w:spacing w:val="-9"/>
        </w:rPr>
        <w:t> </w:t>
      </w:r>
      <w:r>
        <w:rPr>
          <w:color w:val="231F20"/>
          <w:spacing w:val="-2"/>
        </w:rPr>
        <w:t>sustainable</w:t>
      </w:r>
      <w:r>
        <w:rPr>
          <w:color w:val="231F20"/>
          <w:spacing w:val="-9"/>
        </w:rPr>
        <w:t> </w:t>
      </w:r>
      <w:r>
        <w:rPr>
          <w:color w:val="231F20"/>
          <w:spacing w:val="-2"/>
        </w:rPr>
        <w:t>direction</w:t>
      </w:r>
      <w:r>
        <w:rPr>
          <w:color w:val="231F20"/>
          <w:spacing w:val="-9"/>
        </w:rPr>
        <w:t> </w:t>
      </w:r>
      <w:r>
        <w:rPr>
          <w:color w:val="231F20"/>
          <w:spacing w:val="-2"/>
        </w:rPr>
        <w:t>(also</w:t>
      </w:r>
      <w:r>
        <w:rPr>
          <w:color w:val="231F20"/>
          <w:spacing w:val="-9"/>
        </w:rPr>
        <w:t> </w:t>
      </w:r>
      <w:r>
        <w:rPr>
          <w:color w:val="231F20"/>
          <w:spacing w:val="-2"/>
        </w:rPr>
        <w:t>see </w:t>
      </w:r>
      <w:r>
        <w:rPr>
          <w:color w:val="231F20"/>
        </w:rPr>
        <w:t>map A6.1 in appendix 6).</w:t>
      </w:r>
    </w:p>
    <w:p>
      <w:pPr>
        <w:pStyle w:val="BodyText"/>
        <w:spacing w:line="268" w:lineRule="auto"/>
        <w:ind w:left="196" w:right="655" w:firstLine="300"/>
        <w:jc w:val="both"/>
      </w:pPr>
      <w:r>
        <w:rPr>
          <w:color w:val="231F20"/>
        </w:rPr>
        <w:t>This trend is in line with the increasing number</w:t>
      </w:r>
      <w:r>
        <w:rPr>
          <w:color w:val="231F20"/>
          <w:spacing w:val="-9"/>
        </w:rPr>
        <w:t> </w:t>
      </w:r>
      <w:r>
        <w:rPr>
          <w:color w:val="231F20"/>
        </w:rPr>
        <w:t>of</w:t>
      </w:r>
      <w:r>
        <w:rPr>
          <w:color w:val="231F20"/>
          <w:spacing w:val="-9"/>
        </w:rPr>
        <w:t> </w:t>
      </w:r>
      <w:r>
        <w:rPr>
          <w:color w:val="231F20"/>
        </w:rPr>
        <w:t>global</w:t>
      </w:r>
      <w:r>
        <w:rPr>
          <w:color w:val="231F20"/>
          <w:spacing w:val="-9"/>
        </w:rPr>
        <w:t> </w:t>
      </w:r>
      <w:r>
        <w:rPr>
          <w:color w:val="231F20"/>
        </w:rPr>
        <w:t>and</w:t>
      </w:r>
      <w:r>
        <w:rPr>
          <w:color w:val="231F20"/>
          <w:spacing w:val="-9"/>
        </w:rPr>
        <w:t> </w:t>
      </w:r>
      <w:r>
        <w:rPr>
          <w:color w:val="231F20"/>
        </w:rPr>
        <w:t>national</w:t>
      </w:r>
      <w:r>
        <w:rPr>
          <w:color w:val="231F20"/>
          <w:spacing w:val="-9"/>
        </w:rPr>
        <w:t> </w:t>
      </w:r>
      <w:r>
        <w:rPr>
          <w:color w:val="231F20"/>
        </w:rPr>
        <w:t>commitments </w:t>
      </w:r>
      <w:r>
        <w:rPr>
          <w:color w:val="231F20"/>
          <w:w w:val="90"/>
        </w:rPr>
        <w:t>to reduce logistics-related greenhouse gas emis- </w:t>
      </w:r>
      <w:r>
        <w:rPr>
          <w:color w:val="231F20"/>
        </w:rPr>
        <w:t>sions</w:t>
      </w:r>
      <w:r>
        <w:rPr>
          <w:color w:val="231F20"/>
          <w:spacing w:val="-14"/>
        </w:rPr>
        <w:t> </w:t>
      </w:r>
      <w:r>
        <w:rPr>
          <w:color w:val="231F20"/>
        </w:rPr>
        <w:t>and</w:t>
      </w:r>
      <w:r>
        <w:rPr>
          <w:color w:val="231F20"/>
          <w:spacing w:val="-13"/>
        </w:rPr>
        <w:t> </w:t>
      </w:r>
      <w:r>
        <w:rPr>
          <w:color w:val="231F20"/>
        </w:rPr>
        <w:t>other</w:t>
      </w:r>
      <w:r>
        <w:rPr>
          <w:color w:val="231F20"/>
          <w:spacing w:val="-13"/>
        </w:rPr>
        <w:t> </w:t>
      </w:r>
      <w:r>
        <w:rPr>
          <w:color w:val="231F20"/>
        </w:rPr>
        <w:t>harmful</w:t>
      </w:r>
      <w:r>
        <w:rPr>
          <w:color w:val="231F20"/>
          <w:spacing w:val="-13"/>
        </w:rPr>
        <w:t> </w:t>
      </w:r>
      <w:r>
        <w:rPr>
          <w:color w:val="231F20"/>
        </w:rPr>
        <w:t>emissions,</w:t>
      </w:r>
      <w:r>
        <w:rPr>
          <w:color w:val="231F20"/>
          <w:spacing w:val="-13"/>
        </w:rPr>
        <w:t> </w:t>
      </w:r>
      <w:r>
        <w:rPr>
          <w:color w:val="231F20"/>
        </w:rPr>
        <w:t>for</w:t>
      </w:r>
      <w:r>
        <w:rPr>
          <w:color w:val="231F20"/>
          <w:spacing w:val="-13"/>
        </w:rPr>
        <w:t> </w:t>
      </w:r>
      <w:r>
        <w:rPr>
          <w:color w:val="231F20"/>
        </w:rPr>
        <w:t>which </w:t>
      </w:r>
      <w:r>
        <w:rPr>
          <w:color w:val="231F20"/>
          <w:spacing w:val="-4"/>
        </w:rPr>
        <w:t>targets</w:t>
      </w:r>
      <w:r>
        <w:rPr>
          <w:color w:val="231F20"/>
          <w:spacing w:val="-10"/>
        </w:rPr>
        <w:t> </w:t>
      </w:r>
      <w:r>
        <w:rPr>
          <w:color w:val="231F20"/>
          <w:spacing w:val="-4"/>
        </w:rPr>
        <w:t>are</w:t>
      </w:r>
      <w:r>
        <w:rPr>
          <w:color w:val="231F20"/>
          <w:spacing w:val="-9"/>
        </w:rPr>
        <w:t> </w:t>
      </w:r>
      <w:r>
        <w:rPr>
          <w:color w:val="231F20"/>
          <w:spacing w:val="-4"/>
        </w:rPr>
        <w:t>becoming</w:t>
      </w:r>
      <w:r>
        <w:rPr>
          <w:color w:val="231F20"/>
          <w:spacing w:val="-9"/>
        </w:rPr>
        <w:t> </w:t>
      </w:r>
      <w:r>
        <w:rPr>
          <w:color w:val="231F20"/>
          <w:spacing w:val="-4"/>
        </w:rPr>
        <w:t>ever</w:t>
      </w:r>
      <w:r>
        <w:rPr>
          <w:color w:val="231F20"/>
          <w:spacing w:val="-9"/>
        </w:rPr>
        <w:t> </w:t>
      </w:r>
      <w:r>
        <w:rPr>
          <w:color w:val="231F20"/>
          <w:spacing w:val="-4"/>
        </w:rPr>
        <w:t>more</w:t>
      </w:r>
      <w:r>
        <w:rPr>
          <w:color w:val="231F20"/>
          <w:spacing w:val="-9"/>
        </w:rPr>
        <w:t> </w:t>
      </w:r>
      <w:r>
        <w:rPr>
          <w:color w:val="231F20"/>
          <w:spacing w:val="-4"/>
        </w:rPr>
        <w:t>challenging</w:t>
      </w:r>
      <w:r>
        <w:rPr>
          <w:color w:val="231F20"/>
          <w:spacing w:val="-9"/>
        </w:rPr>
        <w:t> </w:t>
      </w:r>
      <w:r>
        <w:rPr>
          <w:color w:val="231F20"/>
          <w:spacing w:val="-4"/>
        </w:rPr>
        <w:t>in </w:t>
      </w:r>
      <w:r>
        <w:rPr>
          <w:color w:val="231F20"/>
          <w:spacing w:val="-6"/>
        </w:rPr>
        <w:t>all transport modes. This regulatory pressure is </w:t>
      </w:r>
      <w:r>
        <w:rPr>
          <w:color w:val="231F20"/>
          <w:spacing w:val="-2"/>
        </w:rPr>
        <w:t>mounting</w:t>
      </w:r>
      <w:r>
        <w:rPr>
          <w:color w:val="231F20"/>
          <w:spacing w:val="-12"/>
        </w:rPr>
        <w:t> </w:t>
      </w:r>
      <w:r>
        <w:rPr>
          <w:color w:val="231F20"/>
          <w:spacing w:val="-2"/>
        </w:rPr>
        <w:t>in</w:t>
      </w:r>
      <w:r>
        <w:rPr>
          <w:color w:val="231F20"/>
          <w:spacing w:val="-11"/>
        </w:rPr>
        <w:t> </w:t>
      </w:r>
      <w:r>
        <w:rPr>
          <w:color w:val="231F20"/>
          <w:spacing w:val="-2"/>
        </w:rPr>
        <w:t>air,</w:t>
      </w:r>
      <w:r>
        <w:rPr>
          <w:color w:val="231F20"/>
          <w:spacing w:val="-11"/>
        </w:rPr>
        <w:t> </w:t>
      </w:r>
      <w:r>
        <w:rPr>
          <w:color w:val="231F20"/>
          <w:spacing w:val="-2"/>
        </w:rPr>
        <w:t>road,</w:t>
      </w:r>
      <w:r>
        <w:rPr>
          <w:color w:val="231F20"/>
          <w:spacing w:val="-11"/>
        </w:rPr>
        <w:t> </w:t>
      </w:r>
      <w:r>
        <w:rPr>
          <w:color w:val="231F20"/>
          <w:spacing w:val="-2"/>
        </w:rPr>
        <w:t>and</w:t>
      </w:r>
      <w:r>
        <w:rPr>
          <w:color w:val="231F20"/>
          <w:spacing w:val="-11"/>
        </w:rPr>
        <w:t> </w:t>
      </w:r>
      <w:r>
        <w:rPr>
          <w:color w:val="231F20"/>
          <w:spacing w:val="-2"/>
        </w:rPr>
        <w:t>maritime</w:t>
      </w:r>
      <w:r>
        <w:rPr>
          <w:color w:val="231F20"/>
          <w:spacing w:val="-11"/>
        </w:rPr>
        <w:t> </w:t>
      </w:r>
      <w:r>
        <w:rPr>
          <w:color w:val="231F20"/>
          <w:spacing w:val="-2"/>
        </w:rPr>
        <w:t>transport. </w:t>
      </w:r>
      <w:r>
        <w:rPr>
          <w:color w:val="231F20"/>
        </w:rPr>
        <w:t>It</w:t>
      </w:r>
      <w:r>
        <w:rPr>
          <w:color w:val="231F20"/>
          <w:spacing w:val="-14"/>
        </w:rPr>
        <w:t> </w:t>
      </w:r>
      <w:r>
        <w:rPr>
          <w:color w:val="231F20"/>
        </w:rPr>
        <w:t>drives</w:t>
      </w:r>
      <w:r>
        <w:rPr>
          <w:color w:val="231F20"/>
          <w:spacing w:val="-13"/>
        </w:rPr>
        <w:t> </w:t>
      </w:r>
      <w:r>
        <w:rPr>
          <w:color w:val="231F20"/>
        </w:rPr>
        <w:t>the</w:t>
      </w:r>
      <w:r>
        <w:rPr>
          <w:color w:val="231F20"/>
          <w:spacing w:val="-13"/>
        </w:rPr>
        <w:t> </w:t>
      </w:r>
      <w:r>
        <w:rPr>
          <w:color w:val="231F20"/>
        </w:rPr>
        <w:t>change</w:t>
      </w:r>
      <w:r>
        <w:rPr>
          <w:color w:val="231F20"/>
          <w:spacing w:val="-13"/>
        </w:rPr>
        <w:t> </w:t>
      </w:r>
      <w:r>
        <w:rPr>
          <w:color w:val="231F20"/>
        </w:rPr>
        <w:t>to</w:t>
      </w:r>
      <w:r>
        <w:rPr>
          <w:color w:val="231F20"/>
          <w:spacing w:val="-13"/>
        </w:rPr>
        <w:t> </w:t>
      </w:r>
      <w:r>
        <w:rPr>
          <w:color w:val="231F20"/>
        </w:rPr>
        <w:t>more</w:t>
      </w:r>
      <w:r>
        <w:rPr>
          <w:color w:val="231F20"/>
          <w:spacing w:val="-13"/>
        </w:rPr>
        <w:t> </w:t>
      </w:r>
      <w:r>
        <w:rPr>
          <w:color w:val="231F20"/>
        </w:rPr>
        <w:t>environmentally </w:t>
      </w:r>
      <w:r>
        <w:rPr>
          <w:color w:val="231F20"/>
          <w:w w:val="90"/>
        </w:rPr>
        <w:t>friendly</w:t>
      </w:r>
      <w:r>
        <w:rPr>
          <w:color w:val="231F20"/>
          <w:spacing w:val="-5"/>
          <w:w w:val="90"/>
        </w:rPr>
        <w:t> </w:t>
      </w:r>
      <w:r>
        <w:rPr>
          <w:color w:val="231F20"/>
          <w:w w:val="90"/>
        </w:rPr>
        <w:t>logistics</w:t>
      </w:r>
      <w:r>
        <w:rPr>
          <w:color w:val="231F20"/>
          <w:spacing w:val="-5"/>
          <w:w w:val="90"/>
        </w:rPr>
        <w:t> </w:t>
      </w:r>
      <w:r>
        <w:rPr>
          <w:color w:val="231F20"/>
          <w:w w:val="90"/>
        </w:rPr>
        <w:t>processes</w:t>
      </w:r>
      <w:r>
        <w:rPr>
          <w:color w:val="231F20"/>
          <w:spacing w:val="-5"/>
          <w:w w:val="90"/>
        </w:rPr>
        <w:t> </w:t>
      </w:r>
      <w:r>
        <w:rPr>
          <w:color w:val="231F20"/>
          <w:w w:val="90"/>
        </w:rPr>
        <w:t>and</w:t>
      </w:r>
      <w:r>
        <w:rPr>
          <w:color w:val="231F20"/>
          <w:spacing w:val="-5"/>
          <w:w w:val="90"/>
        </w:rPr>
        <w:t> </w:t>
      </w:r>
      <w:r>
        <w:rPr>
          <w:color w:val="231F20"/>
          <w:w w:val="90"/>
        </w:rPr>
        <w:t>equipment,</w:t>
      </w:r>
      <w:r>
        <w:rPr>
          <w:color w:val="231F20"/>
          <w:spacing w:val="-5"/>
          <w:w w:val="90"/>
        </w:rPr>
        <w:t> </w:t>
      </w:r>
      <w:r>
        <w:rPr>
          <w:color w:val="231F20"/>
          <w:w w:val="90"/>
        </w:rPr>
        <w:t>espe- cially</w:t>
      </w:r>
      <w:r>
        <w:rPr>
          <w:color w:val="231F20"/>
          <w:spacing w:val="-1"/>
          <w:w w:val="90"/>
        </w:rPr>
        <w:t> </w:t>
      </w:r>
      <w:r>
        <w:rPr>
          <w:color w:val="231F20"/>
          <w:w w:val="90"/>
        </w:rPr>
        <w:t>when</w:t>
      </w:r>
      <w:r>
        <w:rPr>
          <w:color w:val="231F20"/>
          <w:spacing w:val="-1"/>
          <w:w w:val="90"/>
        </w:rPr>
        <w:t> </w:t>
      </w:r>
      <w:r>
        <w:rPr>
          <w:color w:val="231F20"/>
          <w:w w:val="90"/>
        </w:rPr>
        <w:t>they</w:t>
      </w:r>
      <w:r>
        <w:rPr>
          <w:color w:val="231F20"/>
          <w:spacing w:val="-1"/>
          <w:w w:val="90"/>
        </w:rPr>
        <w:t> </w:t>
      </w:r>
      <w:r>
        <w:rPr>
          <w:color w:val="231F20"/>
          <w:w w:val="90"/>
        </w:rPr>
        <w:t>can</w:t>
      </w:r>
      <w:r>
        <w:rPr>
          <w:color w:val="231F20"/>
          <w:spacing w:val="-1"/>
          <w:w w:val="90"/>
        </w:rPr>
        <w:t> </w:t>
      </w:r>
      <w:r>
        <w:rPr>
          <w:color w:val="231F20"/>
          <w:w w:val="90"/>
        </w:rPr>
        <w:t>generate</w:t>
      </w:r>
      <w:r>
        <w:rPr>
          <w:color w:val="231F20"/>
          <w:spacing w:val="-1"/>
          <w:w w:val="90"/>
        </w:rPr>
        <w:t> </w:t>
      </w:r>
      <w:r>
        <w:rPr>
          <w:color w:val="231F20"/>
          <w:w w:val="90"/>
        </w:rPr>
        <w:t>economic</w:t>
      </w:r>
      <w:r>
        <w:rPr>
          <w:color w:val="231F20"/>
          <w:spacing w:val="-1"/>
          <w:w w:val="90"/>
        </w:rPr>
        <w:t> </w:t>
      </w:r>
      <w:r>
        <w:rPr>
          <w:color w:val="231F20"/>
          <w:w w:val="90"/>
        </w:rPr>
        <w:t>savings. The pressure from demand forces is gaining mo- </w:t>
      </w:r>
      <w:r>
        <w:rPr>
          <w:color w:val="231F20"/>
          <w:spacing w:val="-6"/>
        </w:rPr>
        <w:t>mentum,</w:t>
      </w:r>
      <w:r>
        <w:rPr>
          <w:color w:val="231F20"/>
          <w:spacing w:val="-8"/>
        </w:rPr>
        <w:t> </w:t>
      </w:r>
      <w:r>
        <w:rPr>
          <w:color w:val="231F20"/>
          <w:spacing w:val="-6"/>
        </w:rPr>
        <w:t>particularly</w:t>
      </w:r>
      <w:r>
        <w:rPr>
          <w:color w:val="231F20"/>
          <w:spacing w:val="-7"/>
        </w:rPr>
        <w:t> </w:t>
      </w:r>
      <w:r>
        <w:rPr>
          <w:color w:val="231F20"/>
          <w:spacing w:val="-6"/>
        </w:rPr>
        <w:t>in</w:t>
      </w:r>
      <w:r>
        <w:rPr>
          <w:color w:val="231F20"/>
          <w:spacing w:val="-7"/>
        </w:rPr>
        <w:t> </w:t>
      </w:r>
      <w:r>
        <w:rPr>
          <w:color w:val="231F20"/>
          <w:spacing w:val="-6"/>
        </w:rPr>
        <w:t>high-income</w:t>
      </w:r>
      <w:r>
        <w:rPr>
          <w:color w:val="231F20"/>
          <w:spacing w:val="-7"/>
        </w:rPr>
        <w:t> </w:t>
      </w:r>
      <w:r>
        <w:rPr>
          <w:color w:val="231F20"/>
          <w:spacing w:val="-6"/>
        </w:rPr>
        <w:t>countries. For</w:t>
      </w:r>
      <w:r>
        <w:rPr>
          <w:color w:val="231F20"/>
          <w:spacing w:val="-8"/>
        </w:rPr>
        <w:t> </w:t>
      </w:r>
      <w:r>
        <w:rPr>
          <w:color w:val="231F20"/>
          <w:spacing w:val="-6"/>
        </w:rPr>
        <w:t>policymakers</w:t>
      </w:r>
      <w:r>
        <w:rPr>
          <w:color w:val="231F20"/>
          <w:spacing w:val="-7"/>
        </w:rPr>
        <w:t> </w:t>
      </w:r>
      <w:r>
        <w:rPr>
          <w:color w:val="231F20"/>
          <w:spacing w:val="-6"/>
        </w:rPr>
        <w:t>this</w:t>
      </w:r>
      <w:r>
        <w:rPr>
          <w:color w:val="231F20"/>
          <w:spacing w:val="-7"/>
        </w:rPr>
        <w:t> </w:t>
      </w:r>
      <w:r>
        <w:rPr>
          <w:color w:val="231F20"/>
          <w:spacing w:val="-6"/>
        </w:rPr>
        <w:t>means</w:t>
      </w:r>
      <w:r>
        <w:rPr>
          <w:color w:val="231F20"/>
          <w:spacing w:val="-7"/>
        </w:rPr>
        <w:t> </w:t>
      </w:r>
      <w:r>
        <w:rPr>
          <w:color w:val="231F20"/>
          <w:spacing w:val="-6"/>
        </w:rPr>
        <w:t>that</w:t>
      </w:r>
      <w:r>
        <w:rPr>
          <w:color w:val="231F20"/>
          <w:spacing w:val="-7"/>
        </w:rPr>
        <w:t> </w:t>
      </w:r>
      <w:r>
        <w:rPr>
          <w:color w:val="231F20"/>
          <w:spacing w:val="-6"/>
        </w:rPr>
        <w:t>the</w:t>
      </w:r>
      <w:r>
        <w:rPr>
          <w:color w:val="231F20"/>
          <w:spacing w:val="-7"/>
        </w:rPr>
        <w:t> </w:t>
      </w:r>
      <w:r>
        <w:rPr>
          <w:color w:val="231F20"/>
          <w:spacing w:val="-6"/>
        </w:rPr>
        <w:t>search</w:t>
      </w:r>
      <w:r>
        <w:rPr>
          <w:color w:val="231F20"/>
          <w:spacing w:val="-7"/>
        </w:rPr>
        <w:t> </w:t>
      </w:r>
      <w:r>
        <w:rPr>
          <w:color w:val="231F20"/>
          <w:spacing w:val="-6"/>
        </w:rPr>
        <w:t>for </w:t>
      </w:r>
      <w:r>
        <w:rPr>
          <w:color w:val="231F20"/>
          <w:spacing w:val="-4"/>
        </w:rPr>
        <w:t>implementable</w:t>
      </w:r>
      <w:r>
        <w:rPr>
          <w:color w:val="231F20"/>
          <w:spacing w:val="-10"/>
        </w:rPr>
        <w:t> </w:t>
      </w:r>
      <w:r>
        <w:rPr>
          <w:color w:val="231F20"/>
          <w:spacing w:val="-4"/>
        </w:rPr>
        <w:t>“green</w:t>
      </w:r>
      <w:r>
        <w:rPr>
          <w:color w:val="231F20"/>
          <w:spacing w:val="-9"/>
        </w:rPr>
        <w:t> </w:t>
      </w:r>
      <w:r>
        <w:rPr>
          <w:color w:val="231F20"/>
          <w:spacing w:val="-4"/>
        </w:rPr>
        <w:t>logistics”</w:t>
      </w:r>
      <w:r>
        <w:rPr>
          <w:color w:val="231F20"/>
          <w:spacing w:val="-9"/>
        </w:rPr>
        <w:t> </w:t>
      </w:r>
      <w:r>
        <w:rPr>
          <w:color w:val="231F20"/>
          <w:spacing w:val="-4"/>
        </w:rPr>
        <w:t>policies</w:t>
      </w:r>
      <w:r>
        <w:rPr>
          <w:color w:val="231F20"/>
          <w:spacing w:val="-9"/>
        </w:rPr>
        <w:t> </w:t>
      </w:r>
      <w:r>
        <w:rPr>
          <w:color w:val="231F20"/>
          <w:spacing w:val="-4"/>
        </w:rPr>
        <w:t>is</w:t>
      </w:r>
      <w:r>
        <w:rPr>
          <w:color w:val="231F20"/>
          <w:spacing w:val="-9"/>
        </w:rPr>
        <w:t> </w:t>
      </w:r>
      <w:r>
        <w:rPr>
          <w:color w:val="231F20"/>
          <w:spacing w:val="-4"/>
        </w:rPr>
        <w:t>be- </w:t>
      </w:r>
      <w:r>
        <w:rPr>
          <w:color w:val="231F20"/>
        </w:rPr>
        <w:t>coming more important.</w:t>
      </w:r>
    </w:p>
    <w:p>
      <w:pPr>
        <w:spacing w:after="0" w:line="268" w:lineRule="auto"/>
        <w:jc w:val="both"/>
        <w:sectPr>
          <w:type w:val="continuous"/>
          <w:pgSz w:w="12240" w:h="15840"/>
          <w:pgMar w:header="370" w:footer="548" w:top="1140" w:bottom="280" w:left="0" w:right="540"/>
          <w:cols w:num="2" w:equalWidth="0">
            <w:col w:w="7084" w:space="40"/>
            <w:col w:w="4576"/>
          </w:cols>
        </w:sectPr>
      </w:pPr>
    </w:p>
    <w:p>
      <w:pPr>
        <w:pStyle w:val="Heading1"/>
        <w:spacing w:line="230" w:lineRule="auto" w:before="120"/>
        <w:ind w:right="615"/>
        <w:jc w:val="both"/>
      </w:pPr>
      <w:r>
        <w:rPr/>
        <mc:AlternateContent>
          <mc:Choice Requires="wps">
            <w:drawing>
              <wp:anchor distT="0" distB="0" distL="0" distR="0" allowOverlap="1" layoutInCell="1" locked="0" behindDoc="0" simplePos="0" relativeHeight="15738880">
                <wp:simplePos x="0" y="0"/>
                <wp:positionH relativeFrom="page">
                  <wp:posOffset>1542031</wp:posOffset>
                </wp:positionH>
                <wp:positionV relativeFrom="paragraph">
                  <wp:posOffset>306637</wp:posOffset>
                </wp:positionV>
                <wp:extent cx="159385" cy="570230"/>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159385" cy="570230"/>
                        </a:xfrm>
                        <a:prstGeom prst="rect">
                          <a:avLst/>
                        </a:prstGeom>
                      </wps:spPr>
                      <wps:txbx>
                        <w:txbxContent>
                          <w:p>
                            <w:pPr>
                              <w:spacing w:before="28"/>
                              <w:ind w:left="20" w:right="0" w:firstLine="0"/>
                              <w:jc w:val="left"/>
                              <w:rPr>
                                <w:rFonts w:ascii="Arial"/>
                                <w:b/>
                                <w:sz w:val="17"/>
                              </w:rPr>
                            </w:pPr>
                            <w:r>
                              <w:rPr>
                                <w:rFonts w:ascii="Arial"/>
                                <w:b/>
                                <w:color w:val="231F20"/>
                                <w:spacing w:val="-2"/>
                                <w:sz w:val="17"/>
                              </w:rPr>
                              <w:t>CHAPTER</w:t>
                            </w:r>
                          </w:p>
                        </w:txbxContent>
                      </wps:txbx>
                      <wps:bodyPr wrap="square" lIns="0" tIns="0" rIns="0" bIns="0" rtlCol="0" vert="vert270">
                        <a:noAutofit/>
                      </wps:bodyPr>
                    </wps:wsp>
                  </a:graphicData>
                </a:graphic>
              </wp:anchor>
            </w:drawing>
          </mc:Choice>
          <mc:Fallback>
            <w:pict>
              <v:shape style="position:absolute;margin-left:121.4198pt;margin-top:24.144697pt;width:12.55pt;height:44.9pt;mso-position-horizontal-relative:page;mso-position-vertical-relative:paragraph;z-index:15738880" type="#_x0000_t202" id="docshape317" filled="false" stroked="false">
                <v:textbox inset="0,0,0,0" style="layout-flow:vertical;mso-layout-flow-alt:bottom-to-top">
                  <w:txbxContent>
                    <w:p>
                      <w:pPr>
                        <w:spacing w:before="28"/>
                        <w:ind w:left="20" w:right="0" w:firstLine="0"/>
                        <w:jc w:val="left"/>
                        <w:rPr>
                          <w:rFonts w:ascii="Arial"/>
                          <w:b/>
                          <w:sz w:val="17"/>
                        </w:rPr>
                      </w:pPr>
                      <w:r>
                        <w:rPr>
                          <w:rFonts w:ascii="Arial"/>
                          <w:b/>
                          <w:color w:val="231F20"/>
                          <w:spacing w:val="-2"/>
                          <w:sz w:val="17"/>
                        </w:rPr>
                        <w:t>CHAPTER</w:t>
                      </w:r>
                    </w:p>
                  </w:txbxContent>
                </v:textbox>
                <w10:wrap type="none"/>
              </v:shape>
            </w:pict>
          </mc:Fallback>
        </mc:AlternateContent>
      </w:r>
      <w:r>
        <w:rPr/>
        <mc:AlternateContent>
          <mc:Choice Requires="wps">
            <w:drawing>
              <wp:anchor distT="0" distB="0" distL="0" distR="0" allowOverlap="1" layoutInCell="1" locked="0" behindDoc="0" simplePos="0" relativeHeight="15739392">
                <wp:simplePos x="0" y="0"/>
                <wp:positionH relativeFrom="page">
                  <wp:posOffset>1737370</wp:posOffset>
                </wp:positionH>
                <wp:positionV relativeFrom="paragraph">
                  <wp:posOffset>112268</wp:posOffset>
                </wp:positionV>
                <wp:extent cx="548640" cy="942340"/>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548640" cy="942340"/>
                        </a:xfrm>
                        <a:prstGeom prst="rect">
                          <a:avLst/>
                        </a:prstGeom>
                      </wps:spPr>
                      <wps:txbx>
                        <w:txbxContent>
                          <w:p>
                            <w:pPr>
                              <w:spacing w:before="57"/>
                              <w:ind w:left="0" w:right="0" w:firstLine="0"/>
                              <w:jc w:val="left"/>
                              <w:rPr>
                                <w:rFonts w:ascii="Arial"/>
                                <w:b/>
                                <w:sz w:val="120"/>
                              </w:rPr>
                            </w:pPr>
                            <w:r>
                              <w:rPr>
                                <w:rFonts w:ascii="Arial"/>
                                <w:b/>
                                <w:color w:val="008FDD"/>
                                <w:spacing w:val="-10"/>
                                <w:w w:val="125"/>
                                <w:sz w:val="120"/>
                              </w:rPr>
                              <w:t>1</w:t>
                            </w:r>
                          </w:p>
                        </w:txbxContent>
                      </wps:txbx>
                      <wps:bodyPr wrap="square" lIns="0" tIns="0" rIns="0" bIns="0" rtlCol="0">
                        <a:noAutofit/>
                      </wps:bodyPr>
                    </wps:wsp>
                  </a:graphicData>
                </a:graphic>
              </wp:anchor>
            </w:drawing>
          </mc:Choice>
          <mc:Fallback>
            <w:pict>
              <v:shape style="position:absolute;margin-left:136.800797pt;margin-top:8.84pt;width:43.2pt;height:74.2pt;mso-position-horizontal-relative:page;mso-position-vertical-relative:paragraph;z-index:15739392" type="#_x0000_t202" id="docshape318" filled="false" stroked="false">
                <v:textbox inset="0,0,0,0">
                  <w:txbxContent>
                    <w:p>
                      <w:pPr>
                        <w:spacing w:before="57"/>
                        <w:ind w:left="0" w:right="0" w:firstLine="0"/>
                        <w:jc w:val="left"/>
                        <w:rPr>
                          <w:rFonts w:ascii="Arial"/>
                          <w:b/>
                          <w:sz w:val="120"/>
                        </w:rPr>
                      </w:pPr>
                      <w:r>
                        <w:rPr>
                          <w:rFonts w:ascii="Arial"/>
                          <w:b/>
                          <w:color w:val="008FDD"/>
                          <w:spacing w:val="-10"/>
                          <w:w w:val="125"/>
                          <w:sz w:val="120"/>
                        </w:rPr>
                        <w:t>1</w:t>
                      </w:r>
                    </w:p>
                  </w:txbxContent>
                </v:textbox>
                <w10:wrap type="none"/>
              </v:shape>
            </w:pict>
          </mc:Fallback>
        </mc:AlternateContent>
      </w:r>
      <w:bookmarkStart w:name="_bookmark11" w:id="12"/>
      <w:bookmarkEnd w:id="12"/>
      <w:r>
        <w:rPr>
          <w:b w:val="0"/>
        </w:rPr>
      </w:r>
      <w:bookmarkStart w:name="_bookmark10" w:id="13"/>
      <w:bookmarkEnd w:id="13"/>
      <w:r>
        <w:rPr>
          <w:b w:val="0"/>
        </w:rPr>
      </w:r>
      <w:r>
        <w:rPr>
          <w:color w:val="231F20"/>
        </w:rPr>
        <w:t>Key changes in global supply chains </w:t>
      </w:r>
      <w:r>
        <w:rPr>
          <w:color w:val="231F20"/>
          <w:w w:val="110"/>
        </w:rPr>
        <w:t>since</w:t>
      </w:r>
      <w:r>
        <w:rPr>
          <w:color w:val="231F20"/>
          <w:spacing w:val="-22"/>
          <w:w w:val="110"/>
        </w:rPr>
        <w:t> </w:t>
      </w:r>
      <w:r>
        <w:rPr>
          <w:color w:val="231F20"/>
          <w:w w:val="110"/>
        </w:rPr>
        <w:t>2018</w:t>
      </w:r>
      <w:r>
        <w:rPr>
          <w:color w:val="231F20"/>
          <w:spacing w:val="-22"/>
          <w:w w:val="110"/>
        </w:rPr>
        <w:t> </w:t>
      </w:r>
      <w:r>
        <w:rPr>
          <w:color w:val="231F20"/>
          <w:w w:val="110"/>
        </w:rPr>
        <w:t>and</w:t>
      </w:r>
      <w:r>
        <w:rPr>
          <w:color w:val="231F20"/>
          <w:spacing w:val="-22"/>
          <w:w w:val="110"/>
        </w:rPr>
        <w:t> </w:t>
      </w:r>
      <w:r>
        <w:rPr>
          <w:color w:val="231F20"/>
          <w:w w:val="110"/>
        </w:rPr>
        <w:t>implications</w:t>
      </w:r>
      <w:r>
        <w:rPr>
          <w:color w:val="231F20"/>
          <w:spacing w:val="-22"/>
          <w:w w:val="110"/>
        </w:rPr>
        <w:t> </w:t>
      </w:r>
      <w:r>
        <w:rPr>
          <w:color w:val="231F20"/>
          <w:w w:val="110"/>
        </w:rPr>
        <w:t>for</w:t>
      </w:r>
      <w:r>
        <w:rPr>
          <w:color w:val="231F20"/>
          <w:spacing w:val="-22"/>
          <w:w w:val="110"/>
        </w:rPr>
        <w:t> </w:t>
      </w:r>
      <w:r>
        <w:rPr>
          <w:color w:val="231F20"/>
          <w:w w:val="110"/>
        </w:rPr>
        <w:t>the 2023 Logistics Performance Index</w:t>
      </w:r>
    </w:p>
    <w:p>
      <w:pPr>
        <w:pStyle w:val="BodyText"/>
        <w:rPr>
          <w:rFonts w:ascii="Arial"/>
          <w:b/>
          <w:sz w:val="14"/>
        </w:rPr>
      </w:pPr>
      <w:r>
        <w:rPr/>
        <mc:AlternateContent>
          <mc:Choice Requires="wps">
            <w:drawing>
              <wp:anchor distT="0" distB="0" distL="0" distR="0" allowOverlap="1" layoutInCell="1" locked="0" behindDoc="1" simplePos="0" relativeHeight="487597056">
                <wp:simplePos x="0" y="0"/>
                <wp:positionH relativeFrom="page">
                  <wp:posOffset>762000</wp:posOffset>
                </wp:positionH>
                <wp:positionV relativeFrom="paragraph">
                  <wp:posOffset>117673</wp:posOffset>
                </wp:positionV>
                <wp:extent cx="1524000" cy="171450"/>
                <wp:effectExtent l="0" t="0" r="0" b="0"/>
                <wp:wrapTopAndBottom/>
                <wp:docPr id="378" name="Graphic 378"/>
                <wp:cNvGraphicFramePr>
                  <a:graphicFrameLocks/>
                </wp:cNvGraphicFramePr>
                <a:graphic>
                  <a:graphicData uri="http://schemas.microsoft.com/office/word/2010/wordprocessingShape">
                    <wps:wsp>
                      <wps:cNvPr id="378" name="Graphic 378"/>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9.265625pt;width:120pt;height:13.5pt;mso-position-horizontal-relative:page;mso-position-vertical-relative:paragraph;z-index:-15719424;mso-wrap-distance-left:0;mso-wrap-distance-right:0" id="docshape319"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597568">
                <wp:simplePos x="0" y="0"/>
                <wp:positionH relativeFrom="page">
                  <wp:posOffset>2438400</wp:posOffset>
                </wp:positionH>
                <wp:positionV relativeFrom="paragraph">
                  <wp:posOffset>117673</wp:posOffset>
                </wp:positionV>
                <wp:extent cx="4876800" cy="171450"/>
                <wp:effectExtent l="0" t="0" r="0" b="0"/>
                <wp:wrapTopAndBottom/>
                <wp:docPr id="379" name="Graphic 379"/>
                <wp:cNvGraphicFramePr>
                  <a:graphicFrameLocks/>
                </wp:cNvGraphicFramePr>
                <a:graphic>
                  <a:graphicData uri="http://schemas.microsoft.com/office/word/2010/wordprocessingShape">
                    <wps:wsp>
                      <wps:cNvPr id="379" name="Graphic 379"/>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9.265625pt;width:384pt;height:13.5pt;mso-position-horizontal-relative:page;mso-position-vertical-relative:paragraph;z-index:-15718912;mso-wrap-distance-left:0;mso-wrap-distance-right:0" id="docshape320" filled="true" fillcolor="#c9dcf3" stroked="false">
                <v:fill type="solid"/>
                <w10:wrap type="topAndBottom"/>
              </v:rect>
            </w:pict>
          </mc:Fallback>
        </mc:AlternateConten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37"/>
        <w:rPr>
          <w:rFonts w:ascii="Arial"/>
          <w:b/>
          <w:sz w:val="20"/>
        </w:rPr>
      </w:pPr>
    </w:p>
    <w:p>
      <w:pPr>
        <w:spacing w:after="0"/>
        <w:rPr>
          <w:rFonts w:ascii="Arial"/>
          <w:sz w:val="20"/>
        </w:rPr>
        <w:sectPr>
          <w:headerReference w:type="default" r:id="rId49"/>
          <w:footerReference w:type="default" r:id="rId50"/>
          <w:footerReference w:type="even" r:id="rId51"/>
          <w:pgSz w:w="12240" w:h="15840"/>
          <w:pgMar w:header="0" w:footer="548" w:top="500" w:bottom="740" w:left="0" w:right="540"/>
          <w:pgNumType w:start="7"/>
        </w:sectPr>
      </w:pPr>
    </w:p>
    <w:p>
      <w:pPr>
        <w:pStyle w:val="BodyText"/>
        <w:spacing w:line="268" w:lineRule="auto" w:before="97"/>
        <w:ind w:left="3840"/>
        <w:jc w:val="both"/>
      </w:pPr>
      <w:r>
        <w:rPr>
          <w:color w:val="231F20"/>
          <w:w w:val="90"/>
        </w:rPr>
        <w:t>This seventh edition of </w:t>
      </w:r>
      <w:r>
        <w:rPr>
          <w:i/>
          <w:color w:val="231F20"/>
          <w:w w:val="90"/>
        </w:rPr>
        <w:t>Connecting to Compete </w:t>
      </w:r>
      <w:r>
        <w:rPr>
          <w:color w:val="231F20"/>
          <w:spacing w:val="-6"/>
        </w:rPr>
        <w:t>complements the Logistics Performance Index </w:t>
      </w:r>
      <w:r>
        <w:rPr>
          <w:color w:val="231F20"/>
          <w:spacing w:val="-2"/>
        </w:rPr>
        <w:t>(LPI)</w:t>
      </w:r>
      <w:r>
        <w:rPr>
          <w:color w:val="231F20"/>
          <w:spacing w:val="-12"/>
        </w:rPr>
        <w:t> </w:t>
      </w:r>
      <w:r>
        <w:rPr>
          <w:color w:val="231F20"/>
          <w:spacing w:val="-2"/>
        </w:rPr>
        <w:t>survey</w:t>
      </w:r>
      <w:r>
        <w:rPr>
          <w:color w:val="231F20"/>
          <w:spacing w:val="-11"/>
        </w:rPr>
        <w:t> </w:t>
      </w:r>
      <w:r>
        <w:rPr>
          <w:color w:val="231F20"/>
          <w:spacing w:val="-2"/>
        </w:rPr>
        <w:t>results</w:t>
      </w:r>
      <w:r>
        <w:rPr>
          <w:color w:val="231F20"/>
          <w:spacing w:val="-11"/>
        </w:rPr>
        <w:t> </w:t>
      </w:r>
      <w:r>
        <w:rPr>
          <w:color w:val="231F20"/>
          <w:spacing w:val="-2"/>
        </w:rPr>
        <w:t>with</w:t>
      </w:r>
      <w:r>
        <w:rPr>
          <w:color w:val="231F20"/>
          <w:spacing w:val="-11"/>
        </w:rPr>
        <w:t> </w:t>
      </w:r>
      <w:r>
        <w:rPr>
          <w:color w:val="231F20"/>
          <w:spacing w:val="-2"/>
        </w:rPr>
        <w:t>information</w:t>
      </w:r>
      <w:r>
        <w:rPr>
          <w:color w:val="231F20"/>
          <w:spacing w:val="-11"/>
        </w:rPr>
        <w:t> </w:t>
      </w:r>
      <w:r>
        <w:rPr>
          <w:color w:val="231F20"/>
          <w:spacing w:val="-2"/>
        </w:rPr>
        <w:t>derived </w:t>
      </w:r>
      <w:r>
        <w:rPr>
          <w:color w:val="231F20"/>
          <w:spacing w:val="-4"/>
        </w:rPr>
        <w:t>from</w:t>
      </w:r>
      <w:r>
        <w:rPr>
          <w:color w:val="231F20"/>
          <w:spacing w:val="-7"/>
        </w:rPr>
        <w:t> </w:t>
      </w:r>
      <w:r>
        <w:rPr>
          <w:color w:val="231F20"/>
          <w:spacing w:val="-4"/>
        </w:rPr>
        <w:t>a</w:t>
      </w:r>
      <w:r>
        <w:rPr>
          <w:color w:val="231F20"/>
          <w:spacing w:val="-7"/>
        </w:rPr>
        <w:t> </w:t>
      </w:r>
      <w:r>
        <w:rPr>
          <w:color w:val="231F20"/>
          <w:spacing w:val="-4"/>
        </w:rPr>
        <w:t>Big</w:t>
      </w:r>
      <w:r>
        <w:rPr>
          <w:color w:val="231F20"/>
          <w:spacing w:val="-7"/>
        </w:rPr>
        <w:t> </w:t>
      </w:r>
      <w:r>
        <w:rPr>
          <w:color w:val="231F20"/>
          <w:spacing w:val="-4"/>
        </w:rPr>
        <w:t>Data</w:t>
      </w:r>
      <w:r>
        <w:rPr>
          <w:color w:val="231F20"/>
          <w:spacing w:val="-7"/>
        </w:rPr>
        <w:t> </w:t>
      </w:r>
      <w:r>
        <w:rPr>
          <w:color w:val="231F20"/>
          <w:spacing w:val="-4"/>
        </w:rPr>
        <w:t>approach</w:t>
      </w:r>
      <w:r>
        <w:rPr>
          <w:color w:val="231F20"/>
          <w:spacing w:val="-7"/>
        </w:rPr>
        <w:t> </w:t>
      </w:r>
      <w:r>
        <w:rPr>
          <w:color w:val="231F20"/>
          <w:spacing w:val="-4"/>
        </w:rPr>
        <w:t>using</w:t>
      </w:r>
      <w:r>
        <w:rPr>
          <w:color w:val="231F20"/>
          <w:spacing w:val="-7"/>
        </w:rPr>
        <w:t> </w:t>
      </w:r>
      <w:r>
        <w:rPr>
          <w:color w:val="231F20"/>
          <w:spacing w:val="-4"/>
        </w:rPr>
        <w:t>technological </w:t>
      </w:r>
      <w:r>
        <w:rPr>
          <w:color w:val="231F20"/>
          <w:w w:val="90"/>
        </w:rPr>
        <w:t>advances in tracking shipments across different </w:t>
      </w:r>
      <w:r>
        <w:rPr>
          <w:color w:val="231F20"/>
          <w:spacing w:val="-4"/>
        </w:rPr>
        <w:t>modes</w:t>
      </w:r>
      <w:r>
        <w:rPr>
          <w:color w:val="231F20"/>
          <w:spacing w:val="-10"/>
        </w:rPr>
        <w:t> </w:t>
      </w:r>
      <w:r>
        <w:rPr>
          <w:color w:val="231F20"/>
          <w:spacing w:val="-4"/>
        </w:rPr>
        <w:t>of</w:t>
      </w:r>
      <w:r>
        <w:rPr>
          <w:color w:val="231F20"/>
          <w:spacing w:val="-9"/>
        </w:rPr>
        <w:t> </w:t>
      </w:r>
      <w:r>
        <w:rPr>
          <w:color w:val="231F20"/>
          <w:spacing w:val="-4"/>
        </w:rPr>
        <w:t>transport.</w:t>
      </w:r>
      <w:r>
        <w:rPr>
          <w:color w:val="231F20"/>
          <w:spacing w:val="-9"/>
        </w:rPr>
        <w:t> </w:t>
      </w:r>
      <w:r>
        <w:rPr>
          <w:color w:val="231F20"/>
          <w:spacing w:val="-4"/>
        </w:rPr>
        <w:t>A</w:t>
      </w:r>
      <w:r>
        <w:rPr>
          <w:color w:val="231F20"/>
          <w:spacing w:val="-9"/>
        </w:rPr>
        <w:t> </w:t>
      </w:r>
      <w:r>
        <w:rPr>
          <w:color w:val="231F20"/>
          <w:spacing w:val="-4"/>
        </w:rPr>
        <w:t>deeper</w:t>
      </w:r>
      <w:r>
        <w:rPr>
          <w:color w:val="231F20"/>
          <w:spacing w:val="-9"/>
        </w:rPr>
        <w:t> </w:t>
      </w:r>
      <w:r>
        <w:rPr>
          <w:color w:val="231F20"/>
          <w:spacing w:val="-4"/>
        </w:rPr>
        <w:t>understanding</w:t>
      </w:r>
      <w:r>
        <w:rPr>
          <w:color w:val="231F20"/>
          <w:spacing w:val="-9"/>
        </w:rPr>
        <w:t> </w:t>
      </w:r>
      <w:r>
        <w:rPr>
          <w:color w:val="231F20"/>
          <w:spacing w:val="-4"/>
        </w:rPr>
        <w:t>of logistics</w:t>
      </w:r>
      <w:r>
        <w:rPr>
          <w:color w:val="231F20"/>
          <w:spacing w:val="-7"/>
        </w:rPr>
        <w:t> </w:t>
      </w:r>
      <w:r>
        <w:rPr>
          <w:color w:val="231F20"/>
          <w:spacing w:val="-4"/>
        </w:rPr>
        <w:t>processes</w:t>
      </w:r>
      <w:r>
        <w:rPr>
          <w:color w:val="231F20"/>
          <w:spacing w:val="-7"/>
        </w:rPr>
        <w:t> </w:t>
      </w:r>
      <w:r>
        <w:rPr>
          <w:color w:val="231F20"/>
          <w:spacing w:val="-4"/>
        </w:rPr>
        <w:t>at</w:t>
      </w:r>
      <w:r>
        <w:rPr>
          <w:color w:val="231F20"/>
          <w:spacing w:val="-7"/>
        </w:rPr>
        <w:t> </w:t>
      </w:r>
      <w:r>
        <w:rPr>
          <w:color w:val="231F20"/>
          <w:spacing w:val="-4"/>
        </w:rPr>
        <w:t>the</w:t>
      </w:r>
      <w:r>
        <w:rPr>
          <w:color w:val="231F20"/>
          <w:spacing w:val="-7"/>
        </w:rPr>
        <w:t> </w:t>
      </w:r>
      <w:r>
        <w:rPr>
          <w:color w:val="231F20"/>
          <w:spacing w:val="-4"/>
        </w:rPr>
        <w:t>micro</w:t>
      </w:r>
      <w:r>
        <w:rPr>
          <w:color w:val="231F20"/>
          <w:spacing w:val="-7"/>
        </w:rPr>
        <w:t> </w:t>
      </w:r>
      <w:r>
        <w:rPr>
          <w:color w:val="231F20"/>
          <w:spacing w:val="-4"/>
        </w:rPr>
        <w:t>level</w:t>
      </w:r>
      <w:r>
        <w:rPr>
          <w:color w:val="231F20"/>
          <w:spacing w:val="-7"/>
        </w:rPr>
        <w:t> </w:t>
      </w:r>
      <w:r>
        <w:rPr>
          <w:color w:val="231F20"/>
          <w:spacing w:val="-4"/>
        </w:rPr>
        <w:t>is</w:t>
      </w:r>
      <w:r>
        <w:rPr>
          <w:color w:val="231F20"/>
          <w:spacing w:val="-7"/>
        </w:rPr>
        <w:t> </w:t>
      </w:r>
      <w:r>
        <w:rPr>
          <w:color w:val="231F20"/>
          <w:spacing w:val="-4"/>
        </w:rPr>
        <w:t>impor- </w:t>
      </w:r>
      <w:r>
        <w:rPr>
          <w:color w:val="231F20"/>
          <w:w w:val="90"/>
        </w:rPr>
        <w:t>tant in light of changing realities on the ground. </w:t>
      </w:r>
      <w:r>
        <w:rPr>
          <w:color w:val="231F20"/>
          <w:spacing w:val="-4"/>
        </w:rPr>
        <w:t>Since</w:t>
      </w:r>
      <w:r>
        <w:rPr>
          <w:color w:val="231F20"/>
          <w:spacing w:val="-6"/>
        </w:rPr>
        <w:t> </w:t>
      </w:r>
      <w:r>
        <w:rPr>
          <w:color w:val="231F20"/>
          <w:spacing w:val="-4"/>
        </w:rPr>
        <w:t>its</w:t>
      </w:r>
      <w:r>
        <w:rPr>
          <w:color w:val="231F20"/>
          <w:spacing w:val="-6"/>
        </w:rPr>
        <w:t> </w:t>
      </w:r>
      <w:r>
        <w:rPr>
          <w:color w:val="231F20"/>
          <w:spacing w:val="-4"/>
        </w:rPr>
        <w:t>launch</w:t>
      </w:r>
      <w:r>
        <w:rPr>
          <w:color w:val="231F20"/>
          <w:spacing w:val="-6"/>
        </w:rPr>
        <w:t> </w:t>
      </w:r>
      <w:r>
        <w:rPr>
          <w:color w:val="231F20"/>
          <w:spacing w:val="-4"/>
        </w:rPr>
        <w:t>in</w:t>
      </w:r>
      <w:r>
        <w:rPr>
          <w:color w:val="231F20"/>
          <w:spacing w:val="-6"/>
        </w:rPr>
        <w:t> </w:t>
      </w:r>
      <w:r>
        <w:rPr>
          <w:color w:val="231F20"/>
          <w:spacing w:val="-4"/>
        </w:rPr>
        <w:t>2007,</w:t>
      </w:r>
      <w:r>
        <w:rPr>
          <w:color w:val="231F20"/>
          <w:spacing w:val="-6"/>
        </w:rPr>
        <w:t> </w:t>
      </w:r>
      <w:r>
        <w:rPr>
          <w:color w:val="231F20"/>
          <w:spacing w:val="-4"/>
        </w:rPr>
        <w:t>the</w:t>
      </w:r>
      <w:r>
        <w:rPr>
          <w:color w:val="231F20"/>
          <w:spacing w:val="-6"/>
        </w:rPr>
        <w:t> </w:t>
      </w:r>
      <w:r>
        <w:rPr>
          <w:color w:val="231F20"/>
          <w:spacing w:val="-4"/>
        </w:rPr>
        <w:t>LPI</w:t>
      </w:r>
      <w:r>
        <w:rPr>
          <w:color w:val="231F20"/>
          <w:spacing w:val="-6"/>
        </w:rPr>
        <w:t> </w:t>
      </w:r>
      <w:r>
        <w:rPr>
          <w:color w:val="231F20"/>
          <w:spacing w:val="-4"/>
        </w:rPr>
        <w:t>has</w:t>
      </w:r>
      <w:r>
        <w:rPr>
          <w:color w:val="231F20"/>
          <w:spacing w:val="-6"/>
        </w:rPr>
        <w:t> </w:t>
      </w:r>
      <w:r>
        <w:rPr>
          <w:color w:val="231F20"/>
          <w:spacing w:val="-4"/>
        </w:rPr>
        <w:t>provided </w:t>
      </w:r>
      <w:r>
        <w:rPr>
          <w:color w:val="231F20"/>
          <w:spacing w:val="-6"/>
        </w:rPr>
        <w:t>a simple assessment by professional sources of </w:t>
      </w:r>
      <w:r>
        <w:rPr>
          <w:color w:val="231F20"/>
        </w:rPr>
        <w:t>how</w:t>
      </w:r>
      <w:r>
        <w:rPr>
          <w:color w:val="231F20"/>
          <w:spacing w:val="-8"/>
        </w:rPr>
        <w:t> </w:t>
      </w:r>
      <w:r>
        <w:rPr>
          <w:color w:val="231F20"/>
        </w:rPr>
        <w:t>easy</w:t>
      </w:r>
      <w:r>
        <w:rPr>
          <w:color w:val="231F20"/>
          <w:spacing w:val="-8"/>
        </w:rPr>
        <w:t> </w:t>
      </w:r>
      <w:r>
        <w:rPr>
          <w:color w:val="231F20"/>
        </w:rPr>
        <w:t>it</w:t>
      </w:r>
      <w:r>
        <w:rPr>
          <w:color w:val="231F20"/>
          <w:spacing w:val="-8"/>
        </w:rPr>
        <w:t> </w:t>
      </w:r>
      <w:r>
        <w:rPr>
          <w:color w:val="231F20"/>
        </w:rPr>
        <w:t>is</w:t>
      </w:r>
      <w:r>
        <w:rPr>
          <w:color w:val="231F20"/>
          <w:spacing w:val="-8"/>
        </w:rPr>
        <w:t> </w:t>
      </w:r>
      <w:r>
        <w:rPr>
          <w:color w:val="231F20"/>
        </w:rPr>
        <w:t>to</w:t>
      </w:r>
      <w:r>
        <w:rPr>
          <w:color w:val="231F20"/>
          <w:spacing w:val="-8"/>
        </w:rPr>
        <w:t> </w:t>
      </w:r>
      <w:r>
        <w:rPr>
          <w:color w:val="231F20"/>
        </w:rPr>
        <w:t>export</w:t>
      </w:r>
      <w:r>
        <w:rPr>
          <w:color w:val="231F20"/>
          <w:spacing w:val="-8"/>
        </w:rPr>
        <w:t> </w:t>
      </w:r>
      <w:r>
        <w:rPr>
          <w:color w:val="231F20"/>
        </w:rPr>
        <w:t>to</w:t>
      </w:r>
      <w:r>
        <w:rPr>
          <w:color w:val="231F20"/>
          <w:spacing w:val="-8"/>
        </w:rPr>
        <w:t> </w:t>
      </w:r>
      <w:r>
        <w:rPr>
          <w:color w:val="231F20"/>
        </w:rPr>
        <w:t>a</w:t>
      </w:r>
      <w:r>
        <w:rPr>
          <w:color w:val="231F20"/>
          <w:spacing w:val="-8"/>
        </w:rPr>
        <w:t> </w:t>
      </w:r>
      <w:r>
        <w:rPr>
          <w:color w:val="231F20"/>
        </w:rPr>
        <w:t>target</w:t>
      </w:r>
      <w:r>
        <w:rPr>
          <w:color w:val="231F20"/>
          <w:spacing w:val="-8"/>
        </w:rPr>
        <w:t> </w:t>
      </w:r>
      <w:r>
        <w:rPr>
          <w:color w:val="231F20"/>
        </w:rPr>
        <w:t>country</w:t>
      </w:r>
      <w:r>
        <w:rPr>
          <w:color w:val="231F20"/>
          <w:spacing w:val="-8"/>
        </w:rPr>
        <w:t> </w:t>
      </w:r>
      <w:r>
        <w:rPr>
          <w:color w:val="231F20"/>
        </w:rPr>
        <w:t>in </w:t>
      </w:r>
      <w:r>
        <w:rPr>
          <w:color w:val="231F20"/>
          <w:spacing w:val="-4"/>
        </w:rPr>
        <w:t>terms</w:t>
      </w:r>
      <w:r>
        <w:rPr>
          <w:color w:val="231F20"/>
          <w:spacing w:val="-7"/>
        </w:rPr>
        <w:t> </w:t>
      </w:r>
      <w:r>
        <w:rPr>
          <w:color w:val="231F20"/>
          <w:spacing w:val="-4"/>
        </w:rPr>
        <w:t>of</w:t>
      </w:r>
      <w:r>
        <w:rPr>
          <w:color w:val="231F20"/>
          <w:spacing w:val="-7"/>
        </w:rPr>
        <w:t> </w:t>
      </w:r>
      <w:r>
        <w:rPr>
          <w:color w:val="231F20"/>
          <w:spacing w:val="-4"/>
        </w:rPr>
        <w:t>the</w:t>
      </w:r>
      <w:r>
        <w:rPr>
          <w:color w:val="231F20"/>
          <w:spacing w:val="-7"/>
        </w:rPr>
        <w:t> </w:t>
      </w:r>
      <w:r>
        <w:rPr>
          <w:color w:val="231F20"/>
          <w:spacing w:val="-4"/>
        </w:rPr>
        <w:t>quality</w:t>
      </w:r>
      <w:r>
        <w:rPr>
          <w:color w:val="231F20"/>
          <w:spacing w:val="-7"/>
        </w:rPr>
        <w:t> </w:t>
      </w:r>
      <w:r>
        <w:rPr>
          <w:color w:val="231F20"/>
          <w:spacing w:val="-4"/>
        </w:rPr>
        <w:t>of</w:t>
      </w:r>
      <w:r>
        <w:rPr>
          <w:color w:val="231F20"/>
          <w:spacing w:val="-7"/>
        </w:rPr>
        <w:t> </w:t>
      </w:r>
      <w:r>
        <w:rPr>
          <w:color w:val="231F20"/>
          <w:spacing w:val="-4"/>
        </w:rPr>
        <w:t>infrastructure,</w:t>
      </w:r>
      <w:r>
        <w:rPr>
          <w:color w:val="231F20"/>
          <w:spacing w:val="-7"/>
        </w:rPr>
        <w:t> </w:t>
      </w:r>
      <w:r>
        <w:rPr>
          <w:color w:val="231F20"/>
          <w:spacing w:val="-4"/>
        </w:rPr>
        <w:t>the</w:t>
      </w:r>
      <w:r>
        <w:rPr>
          <w:color w:val="231F20"/>
          <w:spacing w:val="-7"/>
        </w:rPr>
        <w:t> </w:t>
      </w:r>
      <w:r>
        <w:rPr>
          <w:color w:val="231F20"/>
          <w:spacing w:val="-4"/>
        </w:rPr>
        <w:t>qual- </w:t>
      </w:r>
      <w:r>
        <w:rPr>
          <w:color w:val="231F20"/>
        </w:rPr>
        <w:t>ity</w:t>
      </w:r>
      <w:r>
        <w:rPr>
          <w:color w:val="231F20"/>
          <w:spacing w:val="-14"/>
        </w:rPr>
        <w:t> </w:t>
      </w:r>
      <w:r>
        <w:rPr>
          <w:color w:val="231F20"/>
        </w:rPr>
        <w:t>and</w:t>
      </w:r>
      <w:r>
        <w:rPr>
          <w:color w:val="231F20"/>
          <w:spacing w:val="-13"/>
        </w:rPr>
        <w:t> </w:t>
      </w:r>
      <w:r>
        <w:rPr>
          <w:color w:val="231F20"/>
        </w:rPr>
        <w:t>availability</w:t>
      </w:r>
      <w:r>
        <w:rPr>
          <w:color w:val="231F20"/>
          <w:spacing w:val="-13"/>
        </w:rPr>
        <w:t> </w:t>
      </w:r>
      <w:r>
        <w:rPr>
          <w:color w:val="231F20"/>
        </w:rPr>
        <w:t>of</w:t>
      </w:r>
      <w:r>
        <w:rPr>
          <w:color w:val="231F20"/>
          <w:spacing w:val="-13"/>
        </w:rPr>
        <w:t> </w:t>
      </w:r>
      <w:r>
        <w:rPr>
          <w:color w:val="231F20"/>
        </w:rPr>
        <w:t>logistics</w:t>
      </w:r>
      <w:r>
        <w:rPr>
          <w:color w:val="231F20"/>
          <w:spacing w:val="-13"/>
        </w:rPr>
        <w:t> </w:t>
      </w:r>
      <w:r>
        <w:rPr>
          <w:color w:val="231F20"/>
        </w:rPr>
        <w:t>activities,</w:t>
      </w:r>
      <w:r>
        <w:rPr>
          <w:color w:val="231F20"/>
          <w:spacing w:val="-13"/>
        </w:rPr>
        <w:t> </w:t>
      </w:r>
      <w:r>
        <w:rPr>
          <w:color w:val="231F20"/>
        </w:rPr>
        <w:t>and </w:t>
      </w:r>
      <w:r>
        <w:rPr>
          <w:color w:val="231F20"/>
          <w:spacing w:val="-6"/>
        </w:rPr>
        <w:t>public</w:t>
      </w:r>
      <w:r>
        <w:rPr>
          <w:color w:val="231F20"/>
          <w:spacing w:val="-8"/>
        </w:rPr>
        <w:t> </w:t>
      </w:r>
      <w:r>
        <w:rPr>
          <w:color w:val="231F20"/>
          <w:spacing w:val="-6"/>
        </w:rPr>
        <w:t>sector</w:t>
      </w:r>
      <w:r>
        <w:rPr>
          <w:color w:val="231F20"/>
          <w:spacing w:val="-7"/>
        </w:rPr>
        <w:t> </w:t>
      </w:r>
      <w:r>
        <w:rPr>
          <w:color w:val="231F20"/>
          <w:spacing w:val="-6"/>
        </w:rPr>
        <w:t>bottlenecks.</w:t>
      </w:r>
      <w:r>
        <w:rPr>
          <w:color w:val="231F20"/>
          <w:spacing w:val="-7"/>
        </w:rPr>
        <w:t> </w:t>
      </w:r>
      <w:r>
        <w:rPr>
          <w:color w:val="231F20"/>
          <w:spacing w:val="-6"/>
        </w:rPr>
        <w:t>The</w:t>
      </w:r>
      <w:r>
        <w:rPr>
          <w:color w:val="231F20"/>
          <w:spacing w:val="-7"/>
        </w:rPr>
        <w:t> </w:t>
      </w:r>
      <w:r>
        <w:rPr>
          <w:color w:val="231F20"/>
          <w:spacing w:val="-6"/>
        </w:rPr>
        <w:t>LPI</w:t>
      </w:r>
      <w:r>
        <w:rPr>
          <w:color w:val="231F20"/>
          <w:spacing w:val="-7"/>
        </w:rPr>
        <w:t> </w:t>
      </w:r>
      <w:r>
        <w:rPr>
          <w:color w:val="231F20"/>
          <w:spacing w:val="-6"/>
        </w:rPr>
        <w:t>and</w:t>
      </w:r>
      <w:r>
        <w:rPr>
          <w:color w:val="231F20"/>
          <w:spacing w:val="-7"/>
        </w:rPr>
        <w:t> </w:t>
      </w:r>
      <w:r>
        <w:rPr>
          <w:color w:val="231F20"/>
          <w:spacing w:val="-6"/>
        </w:rPr>
        <w:t>its</w:t>
      </w:r>
      <w:r>
        <w:rPr>
          <w:color w:val="231F20"/>
          <w:spacing w:val="-7"/>
        </w:rPr>
        <w:t> </w:t>
      </w:r>
      <w:r>
        <w:rPr>
          <w:color w:val="231F20"/>
          <w:spacing w:val="-6"/>
        </w:rPr>
        <w:t>com- </w:t>
      </w:r>
      <w:r>
        <w:rPr>
          <w:color w:val="231F20"/>
        </w:rPr>
        <w:t>ponents</w:t>
      </w:r>
      <w:r>
        <w:rPr>
          <w:color w:val="231F20"/>
          <w:spacing w:val="-4"/>
        </w:rPr>
        <w:t> </w:t>
      </w:r>
      <w:r>
        <w:rPr>
          <w:color w:val="231F20"/>
        </w:rPr>
        <w:t>are</w:t>
      </w:r>
      <w:r>
        <w:rPr>
          <w:color w:val="231F20"/>
          <w:spacing w:val="-4"/>
        </w:rPr>
        <w:t> </w:t>
      </w:r>
      <w:r>
        <w:rPr>
          <w:color w:val="231F20"/>
        </w:rPr>
        <w:t>best</w:t>
      </w:r>
      <w:r>
        <w:rPr>
          <w:color w:val="231F20"/>
          <w:spacing w:val="-4"/>
        </w:rPr>
        <w:t> </w:t>
      </w:r>
      <w:r>
        <w:rPr>
          <w:color w:val="231F20"/>
        </w:rPr>
        <w:t>interpreted</w:t>
      </w:r>
      <w:r>
        <w:rPr>
          <w:color w:val="231F20"/>
          <w:spacing w:val="-4"/>
        </w:rPr>
        <w:t> </w:t>
      </w:r>
      <w:r>
        <w:rPr>
          <w:color w:val="231F20"/>
        </w:rPr>
        <w:t>as</w:t>
      </w:r>
      <w:r>
        <w:rPr>
          <w:color w:val="231F20"/>
          <w:spacing w:val="-4"/>
        </w:rPr>
        <w:t> </w:t>
      </w:r>
      <w:r>
        <w:rPr>
          <w:color w:val="231F20"/>
        </w:rPr>
        <w:t>a</w:t>
      </w:r>
      <w:r>
        <w:rPr>
          <w:color w:val="231F20"/>
          <w:spacing w:val="-4"/>
        </w:rPr>
        <w:t> </w:t>
      </w:r>
      <w:r>
        <w:rPr>
          <w:color w:val="231F20"/>
        </w:rPr>
        <w:t>snapshot</w:t>
      </w:r>
      <w:r>
        <w:rPr>
          <w:color w:val="231F20"/>
          <w:spacing w:val="-4"/>
        </w:rPr>
        <w:t> </w:t>
      </w:r>
      <w:r>
        <w:rPr>
          <w:color w:val="231F20"/>
        </w:rPr>
        <w:t>of </w:t>
      </w:r>
      <w:r>
        <w:rPr>
          <w:color w:val="231F20"/>
          <w:w w:val="90"/>
        </w:rPr>
        <w:t>where a country stands on logistics with respect to its peers or comparators. As such, it can serve </w:t>
      </w:r>
      <w:r>
        <w:rPr>
          <w:color w:val="231F20"/>
          <w:spacing w:val="-8"/>
        </w:rPr>
        <w:t>as an</w:t>
      </w:r>
      <w:r>
        <w:rPr>
          <w:color w:val="231F20"/>
          <w:spacing w:val="-5"/>
        </w:rPr>
        <w:t> </w:t>
      </w:r>
      <w:r>
        <w:rPr>
          <w:color w:val="231F20"/>
          <w:spacing w:val="-8"/>
        </w:rPr>
        <w:t>entry</w:t>
      </w:r>
      <w:r>
        <w:rPr>
          <w:color w:val="231F20"/>
          <w:spacing w:val="-5"/>
        </w:rPr>
        <w:t> </w:t>
      </w:r>
      <w:r>
        <w:rPr>
          <w:color w:val="231F20"/>
          <w:spacing w:val="-8"/>
        </w:rPr>
        <w:t>point</w:t>
      </w:r>
      <w:r>
        <w:rPr>
          <w:color w:val="231F20"/>
          <w:spacing w:val="-5"/>
        </w:rPr>
        <w:t> </w:t>
      </w:r>
      <w:r>
        <w:rPr>
          <w:color w:val="231F20"/>
          <w:spacing w:val="-8"/>
        </w:rPr>
        <w:t>to</w:t>
      </w:r>
      <w:r>
        <w:rPr>
          <w:color w:val="231F20"/>
          <w:spacing w:val="-5"/>
        </w:rPr>
        <w:t> </w:t>
      </w:r>
      <w:r>
        <w:rPr>
          <w:color w:val="231F20"/>
          <w:spacing w:val="-8"/>
        </w:rPr>
        <w:t>a</w:t>
      </w:r>
      <w:r>
        <w:rPr>
          <w:color w:val="231F20"/>
          <w:spacing w:val="-5"/>
        </w:rPr>
        <w:t> </w:t>
      </w:r>
      <w:r>
        <w:rPr>
          <w:color w:val="231F20"/>
          <w:spacing w:val="-8"/>
        </w:rPr>
        <w:t>more</w:t>
      </w:r>
      <w:r>
        <w:rPr>
          <w:color w:val="231F20"/>
          <w:spacing w:val="-5"/>
        </w:rPr>
        <w:t> </w:t>
      </w:r>
      <w:r>
        <w:rPr>
          <w:color w:val="231F20"/>
          <w:spacing w:val="-8"/>
        </w:rPr>
        <w:t>comprehensive</w:t>
      </w:r>
      <w:r>
        <w:rPr>
          <w:color w:val="231F20"/>
          <w:spacing w:val="-5"/>
        </w:rPr>
        <w:t> </w:t>
      </w:r>
      <w:r>
        <w:rPr>
          <w:color w:val="231F20"/>
          <w:spacing w:val="-8"/>
        </w:rPr>
        <w:t>mea- </w:t>
      </w:r>
      <w:r>
        <w:rPr>
          <w:color w:val="231F20"/>
          <w:spacing w:val="-4"/>
        </w:rPr>
        <w:t>surement</w:t>
      </w:r>
      <w:r>
        <w:rPr>
          <w:color w:val="231F20"/>
          <w:spacing w:val="-13"/>
        </w:rPr>
        <w:t> </w:t>
      </w:r>
      <w:r>
        <w:rPr>
          <w:color w:val="231F20"/>
          <w:spacing w:val="-4"/>
        </w:rPr>
        <w:t>of</w:t>
      </w:r>
      <w:r>
        <w:rPr>
          <w:color w:val="231F20"/>
          <w:spacing w:val="-13"/>
        </w:rPr>
        <w:t> </w:t>
      </w:r>
      <w:r>
        <w:rPr>
          <w:color w:val="231F20"/>
          <w:spacing w:val="-4"/>
        </w:rPr>
        <w:t>a</w:t>
      </w:r>
      <w:r>
        <w:rPr>
          <w:color w:val="231F20"/>
          <w:spacing w:val="-13"/>
        </w:rPr>
        <w:t> </w:t>
      </w:r>
      <w:r>
        <w:rPr>
          <w:color w:val="231F20"/>
          <w:spacing w:val="-4"/>
        </w:rPr>
        <w:t>country’s</w:t>
      </w:r>
      <w:r>
        <w:rPr>
          <w:color w:val="231F20"/>
          <w:spacing w:val="-13"/>
        </w:rPr>
        <w:t> </w:t>
      </w:r>
      <w:r>
        <w:rPr>
          <w:color w:val="231F20"/>
          <w:spacing w:val="-4"/>
        </w:rPr>
        <w:t>logistics</w:t>
      </w:r>
      <w:r>
        <w:rPr>
          <w:color w:val="231F20"/>
          <w:spacing w:val="-13"/>
        </w:rPr>
        <w:t> </w:t>
      </w:r>
      <w:r>
        <w:rPr>
          <w:color w:val="231F20"/>
          <w:spacing w:val="-4"/>
        </w:rPr>
        <w:t>performance.</w:t>
      </w:r>
    </w:p>
    <w:p>
      <w:pPr>
        <w:pStyle w:val="BodyText"/>
        <w:spacing w:before="28"/>
      </w:pPr>
    </w:p>
    <w:p>
      <w:pPr>
        <w:spacing w:line="280" w:lineRule="auto" w:before="0"/>
        <w:ind w:left="3840" w:right="56" w:firstLine="0"/>
        <w:jc w:val="left"/>
        <w:rPr>
          <w:rFonts w:ascii="Arial"/>
          <w:b/>
          <w:sz w:val="20"/>
        </w:rPr>
      </w:pPr>
      <w:r>
        <w:rPr>
          <w:rFonts w:ascii="Arial"/>
          <w:b/>
          <w:color w:val="231F20"/>
          <w:w w:val="105"/>
          <w:sz w:val="20"/>
        </w:rPr>
        <w:t>Understanding logistics</w:t>
      </w:r>
      <w:r>
        <w:rPr>
          <w:rFonts w:ascii="Arial"/>
          <w:b/>
          <w:color w:val="231F20"/>
          <w:spacing w:val="40"/>
          <w:w w:val="105"/>
          <w:sz w:val="20"/>
        </w:rPr>
        <w:t> </w:t>
      </w:r>
      <w:r>
        <w:rPr>
          <w:rFonts w:ascii="Arial"/>
          <w:b/>
          <w:color w:val="231F20"/>
          <w:w w:val="105"/>
          <w:sz w:val="20"/>
        </w:rPr>
        <w:t>performance and its determinants is now more important than ever</w:t>
      </w:r>
    </w:p>
    <w:p>
      <w:pPr>
        <w:pStyle w:val="BodyText"/>
        <w:spacing w:before="34"/>
        <w:rPr>
          <w:rFonts w:ascii="Arial"/>
          <w:b/>
          <w:sz w:val="20"/>
        </w:rPr>
      </w:pPr>
    </w:p>
    <w:p>
      <w:pPr>
        <w:pStyle w:val="BodyText"/>
        <w:spacing w:line="268" w:lineRule="auto"/>
        <w:ind w:left="3840"/>
        <w:jc w:val="both"/>
      </w:pPr>
      <w:r>
        <w:rPr>
          <w:color w:val="231F20"/>
        </w:rPr>
        <w:t>Measuring</w:t>
      </w:r>
      <w:r>
        <w:rPr>
          <w:color w:val="231F20"/>
          <w:spacing w:val="-10"/>
        </w:rPr>
        <w:t> </w:t>
      </w:r>
      <w:r>
        <w:rPr>
          <w:color w:val="231F20"/>
        </w:rPr>
        <w:t>logistics</w:t>
      </w:r>
      <w:r>
        <w:rPr>
          <w:color w:val="231F20"/>
          <w:spacing w:val="-10"/>
        </w:rPr>
        <w:t> </w:t>
      </w:r>
      <w:r>
        <w:rPr>
          <w:color w:val="231F20"/>
        </w:rPr>
        <w:t>performance</w:t>
      </w:r>
      <w:r>
        <w:rPr>
          <w:color w:val="231F20"/>
          <w:spacing w:val="-10"/>
        </w:rPr>
        <w:t> </w:t>
      </w:r>
      <w:r>
        <w:rPr>
          <w:color w:val="231F20"/>
        </w:rPr>
        <w:t>and</w:t>
      </w:r>
      <w:r>
        <w:rPr>
          <w:color w:val="231F20"/>
          <w:spacing w:val="-10"/>
        </w:rPr>
        <w:t> </w:t>
      </w:r>
      <w:r>
        <w:rPr>
          <w:color w:val="231F20"/>
        </w:rPr>
        <w:t>under- </w:t>
      </w:r>
      <w:r>
        <w:rPr>
          <w:color w:val="231F20"/>
          <w:spacing w:val="-6"/>
        </w:rPr>
        <w:t>standing its determinants are now more impor- </w:t>
      </w:r>
      <w:r>
        <w:rPr>
          <w:color w:val="231F20"/>
        </w:rPr>
        <w:t>tant</w:t>
      </w:r>
      <w:r>
        <w:rPr>
          <w:color w:val="231F20"/>
          <w:spacing w:val="-10"/>
        </w:rPr>
        <w:t> </w:t>
      </w:r>
      <w:r>
        <w:rPr>
          <w:color w:val="231F20"/>
        </w:rPr>
        <w:t>than</w:t>
      </w:r>
      <w:r>
        <w:rPr>
          <w:color w:val="231F20"/>
          <w:spacing w:val="-10"/>
        </w:rPr>
        <w:t> </w:t>
      </w:r>
      <w:r>
        <w:rPr>
          <w:color w:val="231F20"/>
        </w:rPr>
        <w:t>ever</w:t>
      </w:r>
      <w:r>
        <w:rPr>
          <w:color w:val="231F20"/>
          <w:spacing w:val="-10"/>
        </w:rPr>
        <w:t> </w:t>
      </w:r>
      <w:r>
        <w:rPr>
          <w:color w:val="231F20"/>
        </w:rPr>
        <w:t>against</w:t>
      </w:r>
      <w:r>
        <w:rPr>
          <w:color w:val="231F20"/>
          <w:spacing w:val="-10"/>
        </w:rPr>
        <w:t> </w:t>
      </w:r>
      <w:r>
        <w:rPr>
          <w:color w:val="231F20"/>
        </w:rPr>
        <w:t>a</w:t>
      </w:r>
      <w:r>
        <w:rPr>
          <w:color w:val="231F20"/>
          <w:spacing w:val="-10"/>
        </w:rPr>
        <w:t> </w:t>
      </w:r>
      <w:r>
        <w:rPr>
          <w:color w:val="231F20"/>
        </w:rPr>
        <w:t>background</w:t>
      </w:r>
      <w:r>
        <w:rPr>
          <w:color w:val="231F20"/>
          <w:spacing w:val="-10"/>
        </w:rPr>
        <w:t> </w:t>
      </w:r>
      <w:r>
        <w:rPr>
          <w:color w:val="231F20"/>
        </w:rPr>
        <w:t>of</w:t>
      </w:r>
      <w:r>
        <w:rPr>
          <w:color w:val="231F20"/>
          <w:spacing w:val="-10"/>
        </w:rPr>
        <w:t> </w:t>
      </w:r>
      <w:r>
        <w:rPr>
          <w:color w:val="231F20"/>
        </w:rPr>
        <w:t>major </w:t>
      </w:r>
      <w:r>
        <w:rPr>
          <w:color w:val="231F20"/>
          <w:w w:val="90"/>
        </w:rPr>
        <w:t>changes in global markets since 2018 due to the </w:t>
      </w:r>
      <w:r>
        <w:rPr>
          <w:color w:val="231F20"/>
          <w:spacing w:val="-8"/>
        </w:rPr>
        <w:t>COVID-19</w:t>
      </w:r>
      <w:r>
        <w:rPr>
          <w:color w:val="231F20"/>
        </w:rPr>
        <w:t> </w:t>
      </w:r>
      <w:r>
        <w:rPr>
          <w:color w:val="231F20"/>
          <w:spacing w:val="-8"/>
        </w:rPr>
        <w:t>pandemic,</w:t>
      </w:r>
      <w:r>
        <w:rPr>
          <w:color w:val="231F20"/>
        </w:rPr>
        <w:t> </w:t>
      </w:r>
      <w:r>
        <w:rPr>
          <w:color w:val="231F20"/>
          <w:spacing w:val="-8"/>
        </w:rPr>
        <w:t>subsequent</w:t>
      </w:r>
      <w:r>
        <w:rPr>
          <w:color w:val="231F20"/>
        </w:rPr>
        <w:t> </w:t>
      </w:r>
      <w:r>
        <w:rPr>
          <w:color w:val="231F20"/>
          <w:spacing w:val="-8"/>
        </w:rPr>
        <w:t>shipping</w:t>
      </w:r>
      <w:r>
        <w:rPr>
          <w:color w:val="231F20"/>
        </w:rPr>
        <w:t> </w:t>
      </w:r>
      <w:r>
        <w:rPr>
          <w:color w:val="231F20"/>
          <w:spacing w:val="-8"/>
        </w:rPr>
        <w:t>and </w:t>
      </w:r>
      <w:r>
        <w:rPr>
          <w:color w:val="231F20"/>
          <w:spacing w:val="-2"/>
        </w:rPr>
        <w:t>air</w:t>
      </w:r>
      <w:r>
        <w:rPr>
          <w:color w:val="231F20"/>
          <w:spacing w:val="-4"/>
        </w:rPr>
        <w:t> </w:t>
      </w:r>
      <w:r>
        <w:rPr>
          <w:color w:val="231F20"/>
          <w:spacing w:val="-2"/>
        </w:rPr>
        <w:t>freight</w:t>
      </w:r>
      <w:r>
        <w:rPr>
          <w:color w:val="231F20"/>
          <w:spacing w:val="-4"/>
        </w:rPr>
        <w:t> </w:t>
      </w:r>
      <w:r>
        <w:rPr>
          <w:color w:val="231F20"/>
          <w:spacing w:val="-2"/>
        </w:rPr>
        <w:t>disruptions</w:t>
      </w:r>
      <w:r>
        <w:rPr>
          <w:color w:val="231F20"/>
          <w:spacing w:val="-4"/>
        </w:rPr>
        <w:t> </w:t>
      </w:r>
      <w:r>
        <w:rPr>
          <w:color w:val="231F20"/>
          <w:spacing w:val="-2"/>
        </w:rPr>
        <w:t>(the</w:t>
      </w:r>
      <w:r>
        <w:rPr>
          <w:color w:val="231F20"/>
          <w:spacing w:val="-4"/>
        </w:rPr>
        <w:t> </w:t>
      </w:r>
      <w:r>
        <w:rPr>
          <w:color w:val="231F20"/>
          <w:spacing w:val="-2"/>
        </w:rPr>
        <w:t>latter</w:t>
      </w:r>
      <w:r>
        <w:rPr>
          <w:color w:val="231F20"/>
          <w:spacing w:val="-4"/>
        </w:rPr>
        <w:t> </w:t>
      </w:r>
      <w:r>
        <w:rPr>
          <w:color w:val="231F20"/>
          <w:spacing w:val="-2"/>
        </w:rPr>
        <w:t>from</w:t>
      </w:r>
      <w:r>
        <w:rPr>
          <w:color w:val="231F20"/>
          <w:spacing w:val="-4"/>
        </w:rPr>
        <w:t> </w:t>
      </w:r>
      <w:r>
        <w:rPr>
          <w:color w:val="231F20"/>
          <w:spacing w:val="-2"/>
        </w:rPr>
        <w:t>restric- </w:t>
      </w:r>
      <w:r>
        <w:rPr>
          <w:color w:val="231F20"/>
          <w:spacing w:val="-4"/>
        </w:rPr>
        <w:t>tions</w:t>
      </w:r>
      <w:r>
        <w:rPr>
          <w:color w:val="231F20"/>
          <w:spacing w:val="-5"/>
        </w:rPr>
        <w:t> </w:t>
      </w:r>
      <w:r>
        <w:rPr>
          <w:color w:val="231F20"/>
          <w:spacing w:val="-4"/>
        </w:rPr>
        <w:t>imposed</w:t>
      </w:r>
      <w:r>
        <w:rPr>
          <w:color w:val="231F20"/>
          <w:spacing w:val="-5"/>
        </w:rPr>
        <w:t> </w:t>
      </w:r>
      <w:r>
        <w:rPr>
          <w:color w:val="231F20"/>
          <w:spacing w:val="-4"/>
        </w:rPr>
        <w:t>on</w:t>
      </w:r>
      <w:r>
        <w:rPr>
          <w:color w:val="231F20"/>
          <w:spacing w:val="-5"/>
        </w:rPr>
        <w:t> </w:t>
      </w:r>
      <w:r>
        <w:rPr>
          <w:color w:val="231F20"/>
          <w:spacing w:val="-4"/>
        </w:rPr>
        <w:t>passenger</w:t>
      </w:r>
      <w:r>
        <w:rPr>
          <w:color w:val="231F20"/>
          <w:spacing w:val="-5"/>
        </w:rPr>
        <w:t> </w:t>
      </w:r>
      <w:r>
        <w:rPr>
          <w:color w:val="231F20"/>
          <w:spacing w:val="-4"/>
        </w:rPr>
        <w:t>air</w:t>
      </w:r>
      <w:r>
        <w:rPr>
          <w:color w:val="231F20"/>
          <w:spacing w:val="-5"/>
        </w:rPr>
        <w:t> </w:t>
      </w:r>
      <w:r>
        <w:rPr>
          <w:color w:val="231F20"/>
          <w:spacing w:val="-4"/>
        </w:rPr>
        <w:t>transport),</w:t>
      </w:r>
      <w:r>
        <w:rPr>
          <w:color w:val="231F20"/>
          <w:spacing w:val="-5"/>
        </w:rPr>
        <w:t> </w:t>
      </w:r>
      <w:r>
        <w:rPr>
          <w:color w:val="231F20"/>
          <w:spacing w:val="-4"/>
        </w:rPr>
        <w:t>and </w:t>
      </w:r>
      <w:r>
        <w:rPr>
          <w:color w:val="231F20"/>
          <w:w w:val="90"/>
        </w:rPr>
        <w:t>Russia’s</w:t>
      </w:r>
      <w:r>
        <w:rPr>
          <w:color w:val="231F20"/>
          <w:spacing w:val="-8"/>
          <w:w w:val="90"/>
        </w:rPr>
        <w:t> </w:t>
      </w:r>
      <w:r>
        <w:rPr>
          <w:color w:val="231F20"/>
          <w:w w:val="90"/>
        </w:rPr>
        <w:t>invasion</w:t>
      </w:r>
      <w:r>
        <w:rPr>
          <w:color w:val="231F20"/>
          <w:spacing w:val="-8"/>
          <w:w w:val="90"/>
        </w:rPr>
        <w:t> </w:t>
      </w:r>
      <w:r>
        <w:rPr>
          <w:color w:val="231F20"/>
          <w:w w:val="90"/>
        </w:rPr>
        <w:t>of</w:t>
      </w:r>
      <w:r>
        <w:rPr>
          <w:color w:val="231F20"/>
          <w:spacing w:val="-8"/>
          <w:w w:val="90"/>
        </w:rPr>
        <w:t> </w:t>
      </w:r>
      <w:r>
        <w:rPr>
          <w:color w:val="231F20"/>
          <w:w w:val="90"/>
        </w:rPr>
        <w:t>Ukraine</w:t>
      </w:r>
      <w:r>
        <w:rPr>
          <w:color w:val="231F20"/>
          <w:spacing w:val="-8"/>
          <w:w w:val="90"/>
        </w:rPr>
        <w:t> </w:t>
      </w:r>
      <w:r>
        <w:rPr>
          <w:color w:val="231F20"/>
          <w:w w:val="90"/>
        </w:rPr>
        <w:t>(see</w:t>
      </w:r>
      <w:r>
        <w:rPr>
          <w:color w:val="231F20"/>
          <w:spacing w:val="-8"/>
          <w:w w:val="90"/>
        </w:rPr>
        <w:t> </w:t>
      </w:r>
      <w:r>
        <w:rPr>
          <w:color w:val="231F20"/>
          <w:w w:val="90"/>
        </w:rPr>
        <w:t>also</w:t>
      </w:r>
      <w:r>
        <w:rPr>
          <w:color w:val="231F20"/>
          <w:spacing w:val="-8"/>
          <w:w w:val="90"/>
        </w:rPr>
        <w:t> </w:t>
      </w:r>
      <w:r>
        <w:rPr>
          <w:color w:val="231F20"/>
          <w:w w:val="90"/>
        </w:rPr>
        <w:t>box</w:t>
      </w:r>
      <w:r>
        <w:rPr>
          <w:color w:val="231F20"/>
          <w:spacing w:val="-7"/>
          <w:w w:val="90"/>
        </w:rPr>
        <w:t> </w:t>
      </w:r>
      <w:r>
        <w:rPr>
          <w:color w:val="231F20"/>
          <w:w w:val="90"/>
        </w:rPr>
        <w:t>1.1</w:t>
      </w:r>
      <w:r>
        <w:rPr>
          <w:color w:val="231F20"/>
          <w:spacing w:val="-8"/>
          <w:w w:val="90"/>
        </w:rPr>
        <w:t> </w:t>
      </w:r>
      <w:r>
        <w:rPr>
          <w:color w:val="231F20"/>
          <w:w w:val="90"/>
        </w:rPr>
        <w:t>on </w:t>
      </w:r>
      <w:r>
        <w:rPr>
          <w:color w:val="231F20"/>
          <w:spacing w:val="-4"/>
        </w:rPr>
        <w:t>vaccine</w:t>
      </w:r>
      <w:r>
        <w:rPr>
          <w:color w:val="231F20"/>
          <w:spacing w:val="-10"/>
        </w:rPr>
        <w:t> </w:t>
      </w:r>
      <w:r>
        <w:rPr>
          <w:color w:val="231F20"/>
          <w:spacing w:val="-4"/>
        </w:rPr>
        <w:t>logistics).</w:t>
      </w:r>
      <w:r>
        <w:rPr>
          <w:color w:val="231F20"/>
          <w:spacing w:val="-9"/>
        </w:rPr>
        <w:t> </w:t>
      </w:r>
      <w:r>
        <w:rPr>
          <w:color w:val="231F20"/>
          <w:spacing w:val="-4"/>
        </w:rPr>
        <w:t>During</w:t>
      </w:r>
      <w:r>
        <w:rPr>
          <w:color w:val="231F20"/>
          <w:spacing w:val="-9"/>
        </w:rPr>
        <w:t> </w:t>
      </w:r>
      <w:r>
        <w:rPr>
          <w:color w:val="231F20"/>
          <w:spacing w:val="-4"/>
        </w:rPr>
        <w:t>the</w:t>
      </w:r>
      <w:r>
        <w:rPr>
          <w:color w:val="231F20"/>
          <w:spacing w:val="-9"/>
        </w:rPr>
        <w:t> </w:t>
      </w:r>
      <w:r>
        <w:rPr>
          <w:color w:val="231F20"/>
          <w:spacing w:val="-4"/>
        </w:rPr>
        <w:t>COVID-19</w:t>
      </w:r>
      <w:r>
        <w:rPr>
          <w:color w:val="231F20"/>
          <w:spacing w:val="-9"/>
        </w:rPr>
        <w:t> </w:t>
      </w:r>
      <w:r>
        <w:rPr>
          <w:color w:val="231F20"/>
          <w:spacing w:val="-4"/>
        </w:rPr>
        <w:t>pan- </w:t>
      </w:r>
      <w:r>
        <w:rPr>
          <w:color w:val="231F20"/>
          <w:spacing w:val="-2"/>
        </w:rPr>
        <w:t>demic,</w:t>
      </w:r>
      <w:r>
        <w:rPr>
          <w:color w:val="231F20"/>
          <w:spacing w:val="-12"/>
        </w:rPr>
        <w:t> </w:t>
      </w:r>
      <w:r>
        <w:rPr>
          <w:color w:val="231F20"/>
          <w:spacing w:val="-2"/>
        </w:rPr>
        <w:t>demand</w:t>
      </w:r>
      <w:r>
        <w:rPr>
          <w:color w:val="231F20"/>
          <w:spacing w:val="-11"/>
        </w:rPr>
        <w:t> </w:t>
      </w:r>
      <w:r>
        <w:rPr>
          <w:color w:val="231F20"/>
          <w:spacing w:val="-2"/>
        </w:rPr>
        <w:t>for</w:t>
      </w:r>
      <w:r>
        <w:rPr>
          <w:color w:val="231F20"/>
          <w:spacing w:val="-11"/>
        </w:rPr>
        <w:t> </w:t>
      </w:r>
      <w:r>
        <w:rPr>
          <w:color w:val="231F20"/>
          <w:spacing w:val="-2"/>
        </w:rPr>
        <w:t>some</w:t>
      </w:r>
      <w:r>
        <w:rPr>
          <w:color w:val="231F20"/>
          <w:spacing w:val="-11"/>
        </w:rPr>
        <w:t> </w:t>
      </w:r>
      <w:r>
        <w:rPr>
          <w:color w:val="231F20"/>
          <w:spacing w:val="-2"/>
        </w:rPr>
        <w:t>types</w:t>
      </w:r>
      <w:r>
        <w:rPr>
          <w:color w:val="231F20"/>
          <w:spacing w:val="-11"/>
        </w:rPr>
        <w:t> </w:t>
      </w:r>
      <w:r>
        <w:rPr>
          <w:color w:val="231F20"/>
          <w:spacing w:val="-2"/>
        </w:rPr>
        <w:t>of</w:t>
      </w:r>
      <w:r>
        <w:rPr>
          <w:color w:val="231F20"/>
          <w:spacing w:val="-11"/>
        </w:rPr>
        <w:t> </w:t>
      </w:r>
      <w:r>
        <w:rPr>
          <w:color w:val="231F20"/>
          <w:spacing w:val="-2"/>
        </w:rPr>
        <w:t>goods,</w:t>
      </w:r>
      <w:r>
        <w:rPr>
          <w:color w:val="231F20"/>
          <w:spacing w:val="-11"/>
        </w:rPr>
        <w:t> </w:t>
      </w:r>
      <w:r>
        <w:rPr>
          <w:color w:val="231F20"/>
          <w:spacing w:val="-2"/>
        </w:rPr>
        <w:t>such </w:t>
      </w:r>
      <w:r>
        <w:rPr>
          <w:color w:val="231F20"/>
          <w:w w:val="90"/>
        </w:rPr>
        <w:t>as electronics and home appliances, rose, while </w:t>
      </w:r>
      <w:r>
        <w:rPr>
          <w:color w:val="231F20"/>
        </w:rPr>
        <w:t>production and transport capacity fell. For </w:t>
      </w:r>
      <w:r>
        <w:rPr>
          <w:color w:val="231F20"/>
          <w:spacing w:val="-4"/>
        </w:rPr>
        <w:t>example,</w:t>
      </w:r>
      <w:r>
        <w:rPr>
          <w:color w:val="231F20"/>
          <w:spacing w:val="-10"/>
        </w:rPr>
        <w:t> </w:t>
      </w:r>
      <w:r>
        <w:rPr>
          <w:color w:val="231F20"/>
          <w:spacing w:val="-4"/>
        </w:rPr>
        <w:t>the</w:t>
      </w:r>
      <w:r>
        <w:rPr>
          <w:color w:val="231F20"/>
          <w:spacing w:val="-9"/>
        </w:rPr>
        <w:t> </w:t>
      </w:r>
      <w:r>
        <w:rPr>
          <w:color w:val="231F20"/>
          <w:spacing w:val="-4"/>
        </w:rPr>
        <w:t>demand</w:t>
      </w:r>
      <w:r>
        <w:rPr>
          <w:color w:val="231F20"/>
          <w:spacing w:val="-9"/>
        </w:rPr>
        <w:t> </w:t>
      </w:r>
      <w:r>
        <w:rPr>
          <w:color w:val="231F20"/>
          <w:spacing w:val="-4"/>
        </w:rPr>
        <w:t>for</w:t>
      </w:r>
      <w:r>
        <w:rPr>
          <w:color w:val="231F20"/>
          <w:spacing w:val="-9"/>
        </w:rPr>
        <w:t> </w:t>
      </w:r>
      <w:r>
        <w:rPr>
          <w:color w:val="231F20"/>
          <w:spacing w:val="-4"/>
        </w:rPr>
        <w:t>microchips,</w:t>
      </w:r>
      <w:r>
        <w:rPr>
          <w:color w:val="231F20"/>
          <w:spacing w:val="-9"/>
        </w:rPr>
        <w:t> </w:t>
      </w:r>
      <w:r>
        <w:rPr>
          <w:color w:val="231F20"/>
          <w:spacing w:val="-4"/>
        </w:rPr>
        <w:t>a</w:t>
      </w:r>
      <w:r>
        <w:rPr>
          <w:color w:val="231F20"/>
          <w:spacing w:val="-9"/>
        </w:rPr>
        <w:t> </w:t>
      </w:r>
      <w:r>
        <w:rPr>
          <w:color w:val="231F20"/>
          <w:spacing w:val="-4"/>
        </w:rPr>
        <w:t>crucial </w:t>
      </w:r>
      <w:r>
        <w:rPr>
          <w:color w:val="231F20"/>
        </w:rPr>
        <w:t>component</w:t>
      </w:r>
      <w:r>
        <w:rPr>
          <w:color w:val="231F20"/>
          <w:spacing w:val="-14"/>
        </w:rPr>
        <w:t> </w:t>
      </w:r>
      <w:r>
        <w:rPr>
          <w:color w:val="231F20"/>
        </w:rPr>
        <w:t>in</w:t>
      </w:r>
      <w:r>
        <w:rPr>
          <w:color w:val="231F20"/>
          <w:spacing w:val="-13"/>
        </w:rPr>
        <w:t> </w:t>
      </w:r>
      <w:r>
        <w:rPr>
          <w:color w:val="231F20"/>
        </w:rPr>
        <w:t>electronics</w:t>
      </w:r>
      <w:r>
        <w:rPr>
          <w:color w:val="231F20"/>
          <w:spacing w:val="-13"/>
        </w:rPr>
        <w:t> </w:t>
      </w:r>
      <w:r>
        <w:rPr>
          <w:color w:val="231F20"/>
        </w:rPr>
        <w:t>and</w:t>
      </w:r>
      <w:r>
        <w:rPr>
          <w:color w:val="231F20"/>
          <w:spacing w:val="-13"/>
        </w:rPr>
        <w:t> </w:t>
      </w:r>
      <w:r>
        <w:rPr>
          <w:color w:val="231F20"/>
        </w:rPr>
        <w:t>most</w:t>
      </w:r>
      <w:r>
        <w:rPr>
          <w:color w:val="231F20"/>
          <w:spacing w:val="-13"/>
        </w:rPr>
        <w:t> </w:t>
      </w:r>
      <w:r>
        <w:rPr>
          <w:color w:val="231F20"/>
        </w:rPr>
        <w:t>manufac- </w:t>
      </w:r>
      <w:r>
        <w:rPr>
          <w:color w:val="231F20"/>
          <w:spacing w:val="-2"/>
        </w:rPr>
        <w:t>turing</w:t>
      </w:r>
      <w:r>
        <w:rPr>
          <w:color w:val="231F20"/>
          <w:spacing w:val="-12"/>
        </w:rPr>
        <w:t> </w:t>
      </w:r>
      <w:r>
        <w:rPr>
          <w:color w:val="231F20"/>
          <w:spacing w:val="-2"/>
        </w:rPr>
        <w:t>industries,</w:t>
      </w:r>
      <w:r>
        <w:rPr>
          <w:color w:val="231F20"/>
          <w:spacing w:val="-11"/>
        </w:rPr>
        <w:t> </w:t>
      </w:r>
      <w:r>
        <w:rPr>
          <w:color w:val="231F20"/>
          <w:spacing w:val="-2"/>
        </w:rPr>
        <w:t>surged,</w:t>
      </w:r>
      <w:r>
        <w:rPr>
          <w:color w:val="231F20"/>
          <w:spacing w:val="-11"/>
        </w:rPr>
        <w:t> </w:t>
      </w:r>
      <w:r>
        <w:rPr>
          <w:color w:val="231F20"/>
          <w:spacing w:val="-2"/>
        </w:rPr>
        <w:t>but</w:t>
      </w:r>
      <w:r>
        <w:rPr>
          <w:color w:val="231F20"/>
          <w:spacing w:val="-11"/>
        </w:rPr>
        <w:t> </w:t>
      </w:r>
      <w:r>
        <w:rPr>
          <w:color w:val="231F20"/>
          <w:spacing w:val="-2"/>
        </w:rPr>
        <w:t>their</w:t>
      </w:r>
      <w:r>
        <w:rPr>
          <w:color w:val="231F20"/>
          <w:spacing w:val="-11"/>
        </w:rPr>
        <w:t> </w:t>
      </w:r>
      <w:r>
        <w:rPr>
          <w:color w:val="231F20"/>
          <w:spacing w:val="-2"/>
        </w:rPr>
        <w:t>supply</w:t>
      </w:r>
      <w:r>
        <w:rPr>
          <w:color w:val="231F20"/>
          <w:spacing w:val="-11"/>
        </w:rPr>
        <w:t> </w:t>
      </w:r>
      <w:r>
        <w:rPr>
          <w:color w:val="231F20"/>
          <w:spacing w:val="-2"/>
        </w:rPr>
        <w:t>was </w:t>
      </w:r>
      <w:r>
        <w:rPr>
          <w:color w:val="231F20"/>
        </w:rPr>
        <w:t>hampered</w:t>
      </w:r>
      <w:r>
        <w:rPr>
          <w:color w:val="231F20"/>
          <w:spacing w:val="-1"/>
        </w:rPr>
        <w:t> </w:t>
      </w:r>
      <w:r>
        <w:rPr>
          <w:color w:val="231F20"/>
        </w:rPr>
        <w:t>by</w:t>
      </w:r>
      <w:r>
        <w:rPr>
          <w:color w:val="231F20"/>
          <w:spacing w:val="-1"/>
        </w:rPr>
        <w:t> </w:t>
      </w:r>
      <w:r>
        <w:rPr>
          <w:color w:val="231F20"/>
        </w:rPr>
        <w:t>droughts</w:t>
      </w:r>
      <w:r>
        <w:rPr>
          <w:color w:val="231F20"/>
          <w:spacing w:val="-1"/>
        </w:rPr>
        <w:t> </w:t>
      </w:r>
      <w:r>
        <w:rPr>
          <w:color w:val="231F20"/>
        </w:rPr>
        <w:t>and</w:t>
      </w:r>
      <w:r>
        <w:rPr>
          <w:color w:val="231F20"/>
          <w:spacing w:val="-1"/>
        </w:rPr>
        <w:t> </w:t>
      </w:r>
      <w:r>
        <w:rPr>
          <w:color w:val="231F20"/>
        </w:rPr>
        <w:t>accidents</w:t>
      </w:r>
      <w:r>
        <w:rPr>
          <w:color w:val="231F20"/>
          <w:spacing w:val="-1"/>
        </w:rPr>
        <w:t> </w:t>
      </w:r>
      <w:r>
        <w:rPr>
          <w:color w:val="231F20"/>
        </w:rPr>
        <w:t>in</w:t>
      </w:r>
      <w:r>
        <w:rPr>
          <w:color w:val="231F20"/>
          <w:spacing w:val="-1"/>
        </w:rPr>
        <w:t> </w:t>
      </w:r>
      <w:r>
        <w:rPr>
          <w:color w:val="231F20"/>
        </w:rPr>
        <w:t>sev- </w:t>
      </w:r>
      <w:r>
        <w:rPr>
          <w:color w:val="231F20"/>
          <w:spacing w:val="-4"/>
        </w:rPr>
        <w:t>eral</w:t>
      </w:r>
      <w:r>
        <w:rPr>
          <w:color w:val="231F20"/>
          <w:spacing w:val="-9"/>
        </w:rPr>
        <w:t> </w:t>
      </w:r>
      <w:r>
        <w:rPr>
          <w:color w:val="231F20"/>
          <w:spacing w:val="-4"/>
        </w:rPr>
        <w:t>major</w:t>
      </w:r>
      <w:r>
        <w:rPr>
          <w:color w:val="231F20"/>
          <w:spacing w:val="-8"/>
        </w:rPr>
        <w:t> </w:t>
      </w:r>
      <w:r>
        <w:rPr>
          <w:color w:val="231F20"/>
          <w:spacing w:val="-4"/>
        </w:rPr>
        <w:t>production</w:t>
      </w:r>
      <w:r>
        <w:rPr>
          <w:color w:val="231F20"/>
          <w:spacing w:val="-9"/>
        </w:rPr>
        <w:t> </w:t>
      </w:r>
      <w:r>
        <w:rPr>
          <w:color w:val="231F20"/>
          <w:spacing w:val="-4"/>
        </w:rPr>
        <w:t>sites—in</w:t>
      </w:r>
      <w:r>
        <w:rPr>
          <w:color w:val="231F20"/>
          <w:spacing w:val="-8"/>
        </w:rPr>
        <w:t> </w:t>
      </w:r>
      <w:r>
        <w:rPr>
          <w:color w:val="231F20"/>
          <w:spacing w:val="-4"/>
        </w:rPr>
        <w:t>addition</w:t>
      </w:r>
      <w:r>
        <w:rPr>
          <w:color w:val="231F20"/>
          <w:spacing w:val="-9"/>
        </w:rPr>
        <w:t> </w:t>
      </w:r>
      <w:r>
        <w:rPr>
          <w:color w:val="231F20"/>
          <w:spacing w:val="-4"/>
        </w:rPr>
        <w:t>to</w:t>
      </w:r>
      <w:r>
        <w:rPr>
          <w:color w:val="231F20"/>
          <w:spacing w:val="-8"/>
        </w:rPr>
        <w:t> </w:t>
      </w:r>
      <w:r>
        <w:rPr>
          <w:color w:val="231F20"/>
          <w:spacing w:val="-5"/>
        </w:rPr>
        <w:t>the</w:t>
      </w:r>
    </w:p>
    <w:p>
      <w:pPr>
        <w:pStyle w:val="BodyText"/>
        <w:spacing w:line="268" w:lineRule="auto" w:before="97"/>
        <w:ind w:left="199" w:right="177"/>
        <w:jc w:val="both"/>
      </w:pPr>
      <w:r>
        <w:rPr/>
        <w:br w:type="column"/>
      </w:r>
      <w:r>
        <w:rPr>
          <w:color w:val="231F20"/>
          <w:spacing w:val="-6"/>
        </w:rPr>
        <w:t>effects of the pandemic. In many countries, the pandemic also affected the availability of truck </w:t>
      </w:r>
      <w:r>
        <w:rPr>
          <w:color w:val="231F20"/>
          <w:w w:val="90"/>
        </w:rPr>
        <w:t>drivers, train engineers, and port and warehouse </w:t>
      </w:r>
      <w:r>
        <w:rPr>
          <w:color w:val="231F20"/>
        </w:rPr>
        <w:t>workers,</w:t>
      </w:r>
      <w:r>
        <w:rPr>
          <w:color w:val="231F20"/>
          <w:spacing w:val="-14"/>
        </w:rPr>
        <w:t> </w:t>
      </w:r>
      <w:r>
        <w:rPr>
          <w:color w:val="231F20"/>
        </w:rPr>
        <w:t>and</w:t>
      </w:r>
      <w:r>
        <w:rPr>
          <w:color w:val="231F20"/>
          <w:spacing w:val="-13"/>
        </w:rPr>
        <w:t> </w:t>
      </w:r>
      <w:r>
        <w:rPr>
          <w:color w:val="231F20"/>
        </w:rPr>
        <w:t>it</w:t>
      </w:r>
      <w:r>
        <w:rPr>
          <w:color w:val="231F20"/>
          <w:spacing w:val="-13"/>
        </w:rPr>
        <w:t> </w:t>
      </w:r>
      <w:r>
        <w:rPr>
          <w:color w:val="231F20"/>
        </w:rPr>
        <w:t>complicated</w:t>
      </w:r>
      <w:r>
        <w:rPr>
          <w:color w:val="231F20"/>
          <w:spacing w:val="-13"/>
        </w:rPr>
        <w:t> </w:t>
      </w:r>
      <w:r>
        <w:rPr>
          <w:color w:val="231F20"/>
        </w:rPr>
        <w:t>crew</w:t>
      </w:r>
      <w:r>
        <w:rPr>
          <w:color w:val="231F20"/>
          <w:spacing w:val="-13"/>
        </w:rPr>
        <w:t> </w:t>
      </w:r>
      <w:r>
        <w:rPr>
          <w:color w:val="231F20"/>
        </w:rPr>
        <w:t>changes</w:t>
      </w:r>
      <w:r>
        <w:rPr>
          <w:color w:val="231F20"/>
          <w:spacing w:val="-13"/>
        </w:rPr>
        <w:t> </w:t>
      </w:r>
      <w:r>
        <w:rPr>
          <w:color w:val="231F20"/>
        </w:rPr>
        <w:t>on </w:t>
      </w:r>
      <w:r>
        <w:rPr>
          <w:color w:val="231F20"/>
          <w:spacing w:val="-4"/>
        </w:rPr>
        <w:t>seagoing vessels. Some countries also applied </w:t>
      </w:r>
      <w:r>
        <w:rPr>
          <w:color w:val="231F20"/>
        </w:rPr>
        <w:t>strict zero-COVID policies, with extensive local</w:t>
      </w:r>
      <w:r>
        <w:rPr>
          <w:color w:val="231F20"/>
          <w:spacing w:val="-14"/>
        </w:rPr>
        <w:t> </w:t>
      </w:r>
      <w:r>
        <w:rPr>
          <w:color w:val="231F20"/>
        </w:rPr>
        <w:t>lockdowns.</w:t>
      </w:r>
    </w:p>
    <w:p>
      <w:pPr>
        <w:pStyle w:val="BodyText"/>
        <w:spacing w:line="268" w:lineRule="auto"/>
        <w:ind w:left="199" w:right="177" w:firstLine="300"/>
        <w:jc w:val="both"/>
      </w:pPr>
      <w:r>
        <w:rPr>
          <w:color w:val="231F20"/>
          <w:spacing w:val="-2"/>
        </w:rPr>
        <w:t>Energy</w:t>
      </w:r>
      <w:r>
        <w:rPr>
          <w:color w:val="231F20"/>
          <w:spacing w:val="-12"/>
        </w:rPr>
        <w:t> </w:t>
      </w:r>
      <w:r>
        <w:rPr>
          <w:color w:val="231F20"/>
          <w:spacing w:val="-2"/>
        </w:rPr>
        <w:t>and</w:t>
      </w:r>
      <w:r>
        <w:rPr>
          <w:color w:val="231F20"/>
          <w:spacing w:val="-11"/>
        </w:rPr>
        <w:t> </w:t>
      </w:r>
      <w:r>
        <w:rPr>
          <w:color w:val="231F20"/>
          <w:spacing w:val="-2"/>
        </w:rPr>
        <w:t>food</w:t>
      </w:r>
      <w:r>
        <w:rPr>
          <w:color w:val="231F20"/>
          <w:spacing w:val="-11"/>
        </w:rPr>
        <w:t> </w:t>
      </w:r>
      <w:r>
        <w:rPr>
          <w:color w:val="231F20"/>
          <w:spacing w:val="-2"/>
        </w:rPr>
        <w:t>prices</w:t>
      </w:r>
      <w:r>
        <w:rPr>
          <w:color w:val="231F20"/>
          <w:spacing w:val="-11"/>
        </w:rPr>
        <w:t> </w:t>
      </w:r>
      <w:r>
        <w:rPr>
          <w:color w:val="231F20"/>
          <w:spacing w:val="-2"/>
        </w:rPr>
        <w:t>increased</w:t>
      </w:r>
      <w:r>
        <w:rPr>
          <w:color w:val="231F20"/>
          <w:spacing w:val="-11"/>
        </w:rPr>
        <w:t> </w:t>
      </w:r>
      <w:r>
        <w:rPr>
          <w:color w:val="231F20"/>
          <w:spacing w:val="-2"/>
        </w:rPr>
        <w:t>because of</w:t>
      </w:r>
      <w:r>
        <w:rPr>
          <w:color w:val="231F20"/>
          <w:spacing w:val="-12"/>
        </w:rPr>
        <w:t> </w:t>
      </w:r>
      <w:r>
        <w:rPr>
          <w:color w:val="231F20"/>
          <w:spacing w:val="-2"/>
        </w:rPr>
        <w:t>discontinued</w:t>
      </w:r>
      <w:r>
        <w:rPr>
          <w:color w:val="231F20"/>
          <w:spacing w:val="-11"/>
        </w:rPr>
        <w:t> </w:t>
      </w:r>
      <w:r>
        <w:rPr>
          <w:color w:val="231F20"/>
          <w:spacing w:val="-2"/>
        </w:rPr>
        <w:t>exports</w:t>
      </w:r>
      <w:r>
        <w:rPr>
          <w:color w:val="231F20"/>
          <w:spacing w:val="-11"/>
        </w:rPr>
        <w:t> </w:t>
      </w:r>
      <w:r>
        <w:rPr>
          <w:color w:val="231F20"/>
          <w:spacing w:val="-2"/>
        </w:rPr>
        <w:t>from</w:t>
      </w:r>
      <w:r>
        <w:rPr>
          <w:color w:val="231F20"/>
          <w:spacing w:val="-11"/>
        </w:rPr>
        <w:t> </w:t>
      </w:r>
      <w:r>
        <w:rPr>
          <w:color w:val="231F20"/>
          <w:spacing w:val="-2"/>
        </w:rPr>
        <w:t>Belarus,</w:t>
      </w:r>
      <w:r>
        <w:rPr>
          <w:color w:val="231F20"/>
          <w:spacing w:val="-11"/>
        </w:rPr>
        <w:t> </w:t>
      </w:r>
      <w:r>
        <w:rPr>
          <w:color w:val="231F20"/>
          <w:spacing w:val="-2"/>
        </w:rPr>
        <w:t>Russia, </w:t>
      </w:r>
      <w:r>
        <w:rPr>
          <w:color w:val="231F20"/>
          <w:spacing w:val="-8"/>
        </w:rPr>
        <w:t>and</w:t>
      </w:r>
      <w:r>
        <w:rPr>
          <w:color w:val="231F20"/>
          <w:spacing w:val="-6"/>
        </w:rPr>
        <w:t> </w:t>
      </w:r>
      <w:r>
        <w:rPr>
          <w:color w:val="231F20"/>
          <w:spacing w:val="-8"/>
        </w:rPr>
        <w:t>Ukraine</w:t>
      </w:r>
      <w:r>
        <w:rPr>
          <w:color w:val="231F20"/>
          <w:spacing w:val="-5"/>
        </w:rPr>
        <w:t> </w:t>
      </w:r>
      <w:r>
        <w:rPr>
          <w:color w:val="231F20"/>
          <w:spacing w:val="-8"/>
        </w:rPr>
        <w:t>in</w:t>
      </w:r>
      <w:r>
        <w:rPr>
          <w:color w:val="231F20"/>
          <w:spacing w:val="-5"/>
        </w:rPr>
        <w:t> </w:t>
      </w:r>
      <w:r>
        <w:rPr>
          <w:color w:val="231F20"/>
          <w:spacing w:val="-8"/>
        </w:rPr>
        <w:t>the</w:t>
      </w:r>
      <w:r>
        <w:rPr>
          <w:color w:val="231F20"/>
          <w:spacing w:val="-5"/>
        </w:rPr>
        <w:t> </w:t>
      </w:r>
      <w:r>
        <w:rPr>
          <w:color w:val="231F20"/>
          <w:spacing w:val="-8"/>
        </w:rPr>
        <w:t>wake</w:t>
      </w:r>
      <w:r>
        <w:rPr>
          <w:color w:val="231F20"/>
          <w:spacing w:val="-5"/>
        </w:rPr>
        <w:t> </w:t>
      </w:r>
      <w:r>
        <w:rPr>
          <w:color w:val="231F20"/>
          <w:spacing w:val="-8"/>
        </w:rPr>
        <w:t>of</w:t>
      </w:r>
      <w:r>
        <w:rPr>
          <w:color w:val="231F20"/>
          <w:spacing w:val="-5"/>
        </w:rPr>
        <w:t> </w:t>
      </w:r>
      <w:r>
        <w:rPr>
          <w:color w:val="231F20"/>
          <w:spacing w:val="-8"/>
        </w:rPr>
        <w:t>Russia’s</w:t>
      </w:r>
      <w:r>
        <w:rPr>
          <w:color w:val="231F20"/>
          <w:spacing w:val="-5"/>
        </w:rPr>
        <w:t> </w:t>
      </w:r>
      <w:r>
        <w:rPr>
          <w:color w:val="231F20"/>
          <w:spacing w:val="-8"/>
        </w:rPr>
        <w:t>invasion</w:t>
      </w:r>
      <w:r>
        <w:rPr>
          <w:color w:val="231F20"/>
          <w:spacing w:val="-5"/>
        </w:rPr>
        <w:t> </w:t>
      </w:r>
      <w:r>
        <w:rPr>
          <w:color w:val="231F20"/>
          <w:spacing w:val="-8"/>
        </w:rPr>
        <w:t>of </w:t>
      </w:r>
      <w:r>
        <w:rPr>
          <w:color w:val="231F20"/>
          <w:spacing w:val="-6"/>
        </w:rPr>
        <w:t>Ukraine. This generated cascading effects such </w:t>
      </w:r>
      <w:r>
        <w:rPr>
          <w:color w:val="231F20"/>
          <w:spacing w:val="-8"/>
        </w:rPr>
        <w:t>as</w:t>
      </w:r>
      <w:r>
        <w:rPr>
          <w:color w:val="231F20"/>
          <w:spacing w:val="-6"/>
        </w:rPr>
        <w:t> </w:t>
      </w:r>
      <w:r>
        <w:rPr>
          <w:color w:val="231F20"/>
          <w:spacing w:val="-8"/>
        </w:rPr>
        <w:t>exports</w:t>
      </w:r>
      <w:r>
        <w:rPr>
          <w:color w:val="231F20"/>
          <w:spacing w:val="-5"/>
        </w:rPr>
        <w:t> </w:t>
      </w:r>
      <w:r>
        <w:rPr>
          <w:color w:val="231F20"/>
          <w:spacing w:val="-8"/>
        </w:rPr>
        <w:t>bans</w:t>
      </w:r>
      <w:r>
        <w:rPr>
          <w:color w:val="231F20"/>
          <w:spacing w:val="-5"/>
        </w:rPr>
        <w:t> </w:t>
      </w:r>
      <w:r>
        <w:rPr>
          <w:color w:val="231F20"/>
          <w:spacing w:val="-8"/>
        </w:rPr>
        <w:t>and</w:t>
      </w:r>
      <w:r>
        <w:rPr>
          <w:color w:val="231F20"/>
          <w:spacing w:val="-5"/>
        </w:rPr>
        <w:t> </w:t>
      </w:r>
      <w:r>
        <w:rPr>
          <w:color w:val="231F20"/>
          <w:spacing w:val="-8"/>
        </w:rPr>
        <w:t>overshooting</w:t>
      </w:r>
      <w:r>
        <w:rPr>
          <w:color w:val="231F20"/>
          <w:spacing w:val="-5"/>
        </w:rPr>
        <w:t> </w:t>
      </w:r>
      <w:r>
        <w:rPr>
          <w:color w:val="231F20"/>
          <w:spacing w:val="-8"/>
        </w:rPr>
        <w:t>demand.</w:t>
      </w:r>
      <w:r>
        <w:rPr>
          <w:color w:val="231F20"/>
          <w:spacing w:val="-5"/>
        </w:rPr>
        <w:t> </w:t>
      </w:r>
      <w:r>
        <w:rPr>
          <w:color w:val="231F20"/>
          <w:spacing w:val="-8"/>
        </w:rPr>
        <w:t>Con- </w:t>
      </w:r>
      <w:r>
        <w:rPr>
          <w:color w:val="231F20"/>
          <w:w w:val="90"/>
        </w:rPr>
        <w:t>tainer shipping was affected when most services </w:t>
      </w:r>
      <w:r>
        <w:rPr>
          <w:color w:val="231F20"/>
          <w:spacing w:val="-6"/>
        </w:rPr>
        <w:t>to</w:t>
      </w:r>
      <w:r>
        <w:rPr>
          <w:color w:val="231F20"/>
          <w:spacing w:val="-8"/>
        </w:rPr>
        <w:t> </w:t>
      </w:r>
      <w:r>
        <w:rPr>
          <w:color w:val="231F20"/>
          <w:spacing w:val="-6"/>
        </w:rPr>
        <w:t>and</w:t>
      </w:r>
      <w:r>
        <w:rPr>
          <w:color w:val="231F20"/>
          <w:spacing w:val="-7"/>
        </w:rPr>
        <w:t> </w:t>
      </w:r>
      <w:r>
        <w:rPr>
          <w:color w:val="231F20"/>
          <w:spacing w:val="-6"/>
        </w:rPr>
        <w:t>from</w:t>
      </w:r>
      <w:r>
        <w:rPr>
          <w:color w:val="231F20"/>
          <w:spacing w:val="-7"/>
        </w:rPr>
        <w:t> </w:t>
      </w:r>
      <w:r>
        <w:rPr>
          <w:color w:val="231F20"/>
          <w:spacing w:val="-6"/>
        </w:rPr>
        <w:t>Russia</w:t>
      </w:r>
      <w:r>
        <w:rPr>
          <w:color w:val="231F20"/>
          <w:spacing w:val="-7"/>
        </w:rPr>
        <w:t> </w:t>
      </w:r>
      <w:r>
        <w:rPr>
          <w:color w:val="231F20"/>
          <w:spacing w:val="-6"/>
        </w:rPr>
        <w:t>were</w:t>
      </w:r>
      <w:r>
        <w:rPr>
          <w:color w:val="231F20"/>
          <w:spacing w:val="-7"/>
        </w:rPr>
        <w:t> </w:t>
      </w:r>
      <w:r>
        <w:rPr>
          <w:color w:val="231F20"/>
          <w:spacing w:val="-6"/>
        </w:rPr>
        <w:t>discontinued.</w:t>
      </w:r>
      <w:r>
        <w:rPr>
          <w:color w:val="231F20"/>
          <w:spacing w:val="-7"/>
        </w:rPr>
        <w:t> </w:t>
      </w:r>
      <w:r>
        <w:rPr>
          <w:color w:val="231F20"/>
          <w:spacing w:val="-6"/>
        </w:rPr>
        <w:t>Russia’s </w:t>
      </w:r>
      <w:r>
        <w:rPr>
          <w:color w:val="231F20"/>
          <w:spacing w:val="-2"/>
        </w:rPr>
        <w:t>and</w:t>
      </w:r>
      <w:r>
        <w:rPr>
          <w:color w:val="231F20"/>
          <w:spacing w:val="-12"/>
        </w:rPr>
        <w:t> </w:t>
      </w:r>
      <w:r>
        <w:rPr>
          <w:color w:val="231F20"/>
          <w:spacing w:val="-2"/>
        </w:rPr>
        <w:t>Belarus’s</w:t>
      </w:r>
      <w:r>
        <w:rPr>
          <w:color w:val="231F20"/>
          <w:spacing w:val="-11"/>
        </w:rPr>
        <w:t> </w:t>
      </w:r>
      <w:r>
        <w:rPr>
          <w:color w:val="231F20"/>
          <w:spacing w:val="-2"/>
        </w:rPr>
        <w:t>trade</w:t>
      </w:r>
      <w:r>
        <w:rPr>
          <w:color w:val="231F20"/>
          <w:spacing w:val="-11"/>
        </w:rPr>
        <w:t> </w:t>
      </w:r>
      <w:r>
        <w:rPr>
          <w:color w:val="231F20"/>
          <w:spacing w:val="-2"/>
        </w:rPr>
        <w:t>and</w:t>
      </w:r>
      <w:r>
        <w:rPr>
          <w:color w:val="231F20"/>
          <w:spacing w:val="-11"/>
        </w:rPr>
        <w:t> </w:t>
      </w:r>
      <w:r>
        <w:rPr>
          <w:color w:val="231F20"/>
          <w:spacing w:val="-2"/>
        </w:rPr>
        <w:t>transport</w:t>
      </w:r>
      <w:r>
        <w:rPr>
          <w:color w:val="231F20"/>
          <w:spacing w:val="-11"/>
        </w:rPr>
        <w:t> </w:t>
      </w:r>
      <w:r>
        <w:rPr>
          <w:color w:val="231F20"/>
          <w:spacing w:val="-2"/>
        </w:rPr>
        <w:t>connections </w:t>
      </w:r>
      <w:r>
        <w:rPr>
          <w:color w:val="231F20"/>
          <w:spacing w:val="-2"/>
          <w:w w:val="90"/>
        </w:rPr>
        <w:t>with</w:t>
      </w:r>
      <w:r>
        <w:rPr>
          <w:color w:val="231F20"/>
          <w:spacing w:val="-5"/>
          <w:w w:val="90"/>
        </w:rPr>
        <w:t> </w:t>
      </w:r>
      <w:r>
        <w:rPr>
          <w:color w:val="231F20"/>
          <w:spacing w:val="-2"/>
          <w:w w:val="90"/>
        </w:rPr>
        <w:t>Europe</w:t>
      </w:r>
      <w:r>
        <w:rPr>
          <w:color w:val="231F20"/>
          <w:spacing w:val="-5"/>
          <w:w w:val="90"/>
        </w:rPr>
        <w:t> </w:t>
      </w:r>
      <w:r>
        <w:rPr>
          <w:color w:val="231F20"/>
          <w:spacing w:val="-2"/>
          <w:w w:val="90"/>
        </w:rPr>
        <w:t>were</w:t>
      </w:r>
      <w:r>
        <w:rPr>
          <w:color w:val="231F20"/>
          <w:spacing w:val="-5"/>
          <w:w w:val="90"/>
        </w:rPr>
        <w:t> </w:t>
      </w:r>
      <w:r>
        <w:rPr>
          <w:color w:val="231F20"/>
          <w:spacing w:val="-2"/>
          <w:w w:val="90"/>
        </w:rPr>
        <w:t>largely</w:t>
      </w:r>
      <w:r>
        <w:rPr>
          <w:color w:val="231F20"/>
          <w:spacing w:val="-5"/>
          <w:w w:val="90"/>
        </w:rPr>
        <w:t> </w:t>
      </w:r>
      <w:r>
        <w:rPr>
          <w:color w:val="231F20"/>
          <w:spacing w:val="-2"/>
          <w:w w:val="90"/>
        </w:rPr>
        <w:t>cut</w:t>
      </w:r>
      <w:r>
        <w:rPr>
          <w:color w:val="231F20"/>
          <w:spacing w:val="-5"/>
          <w:w w:val="90"/>
        </w:rPr>
        <w:t> </w:t>
      </w:r>
      <w:r>
        <w:rPr>
          <w:color w:val="231F20"/>
          <w:spacing w:val="-2"/>
          <w:w w:val="90"/>
        </w:rPr>
        <w:t>off,</w:t>
      </w:r>
      <w:r>
        <w:rPr>
          <w:color w:val="231F20"/>
          <w:spacing w:val="-5"/>
          <w:w w:val="90"/>
        </w:rPr>
        <w:t> </w:t>
      </w:r>
      <w:r>
        <w:rPr>
          <w:color w:val="231F20"/>
          <w:spacing w:val="-2"/>
          <w:w w:val="90"/>
        </w:rPr>
        <w:t>including</w:t>
      </w:r>
      <w:r>
        <w:rPr>
          <w:color w:val="231F20"/>
          <w:spacing w:val="-5"/>
          <w:w w:val="90"/>
        </w:rPr>
        <w:t> </w:t>
      </w:r>
      <w:r>
        <w:rPr>
          <w:color w:val="231F20"/>
          <w:spacing w:val="-2"/>
          <w:w w:val="90"/>
        </w:rPr>
        <w:t>flights </w:t>
      </w:r>
      <w:r>
        <w:rPr>
          <w:color w:val="231F20"/>
          <w:w w:val="90"/>
        </w:rPr>
        <w:t>over Russian airspace and container rail services </w:t>
      </w:r>
      <w:r>
        <w:rPr>
          <w:color w:val="231F20"/>
          <w:spacing w:val="-2"/>
        </w:rPr>
        <w:t>between</w:t>
      </w:r>
      <w:r>
        <w:rPr>
          <w:color w:val="231F20"/>
          <w:spacing w:val="-16"/>
        </w:rPr>
        <w:t> </w:t>
      </w:r>
      <w:r>
        <w:rPr>
          <w:color w:val="231F20"/>
          <w:spacing w:val="-2"/>
        </w:rPr>
        <w:t>Europe</w:t>
      </w:r>
      <w:r>
        <w:rPr>
          <w:color w:val="231F20"/>
          <w:spacing w:val="-16"/>
        </w:rPr>
        <w:t> </w:t>
      </w:r>
      <w:r>
        <w:rPr>
          <w:color w:val="231F20"/>
          <w:spacing w:val="-2"/>
        </w:rPr>
        <w:t>and</w:t>
      </w:r>
      <w:r>
        <w:rPr>
          <w:color w:val="231F20"/>
          <w:spacing w:val="-16"/>
        </w:rPr>
        <w:t> </w:t>
      </w:r>
      <w:r>
        <w:rPr>
          <w:color w:val="231F20"/>
          <w:spacing w:val="-2"/>
        </w:rPr>
        <w:t>Asia</w:t>
      </w:r>
      <w:r>
        <w:rPr>
          <w:color w:val="231F20"/>
          <w:spacing w:val="-16"/>
        </w:rPr>
        <w:t> </w:t>
      </w:r>
      <w:r>
        <w:rPr>
          <w:color w:val="231F20"/>
          <w:spacing w:val="-2"/>
        </w:rPr>
        <w:t>through</w:t>
      </w:r>
      <w:r>
        <w:rPr>
          <w:color w:val="231F20"/>
          <w:spacing w:val="-16"/>
        </w:rPr>
        <w:t> </w:t>
      </w:r>
      <w:r>
        <w:rPr>
          <w:color w:val="231F20"/>
          <w:spacing w:val="-2"/>
        </w:rPr>
        <w:t>Russia.</w:t>
      </w:r>
    </w:p>
    <w:p>
      <w:pPr>
        <w:pStyle w:val="BodyText"/>
        <w:spacing w:before="28"/>
      </w:pPr>
    </w:p>
    <w:p>
      <w:pPr>
        <w:spacing w:line="280" w:lineRule="auto" w:before="0"/>
        <w:ind w:left="199" w:right="22" w:firstLine="0"/>
        <w:jc w:val="left"/>
        <w:rPr>
          <w:rFonts w:ascii="Arial" w:hAnsi="Arial"/>
          <w:b/>
          <w:sz w:val="20"/>
        </w:rPr>
      </w:pPr>
      <w:r>
        <w:rPr>
          <w:rFonts w:ascii="Arial" w:hAnsi="Arial"/>
          <w:b/>
          <w:color w:val="231F20"/>
          <w:w w:val="105"/>
          <w:sz w:val="20"/>
        </w:rPr>
        <w:t>Container shipping disruptions in </w:t>
      </w:r>
      <w:r>
        <w:rPr>
          <w:rFonts w:ascii="Arial" w:hAnsi="Arial"/>
          <w:b/>
          <w:color w:val="231F20"/>
          <w:spacing w:val="-2"/>
          <w:w w:val="105"/>
          <w:sz w:val="20"/>
        </w:rPr>
        <w:t>2020–22</w:t>
      </w:r>
    </w:p>
    <w:p>
      <w:pPr>
        <w:pStyle w:val="BodyText"/>
        <w:spacing w:before="34"/>
        <w:rPr>
          <w:rFonts w:ascii="Arial"/>
          <w:b/>
          <w:sz w:val="20"/>
        </w:rPr>
      </w:pPr>
    </w:p>
    <w:p>
      <w:pPr>
        <w:pStyle w:val="BodyText"/>
        <w:spacing w:line="268" w:lineRule="auto"/>
        <w:ind w:left="199" w:right="177"/>
        <w:jc w:val="both"/>
      </w:pPr>
      <w:r>
        <w:rPr>
          <w:color w:val="231F20"/>
          <w:w w:val="90"/>
        </w:rPr>
        <w:t>Container</w:t>
      </w:r>
      <w:r>
        <w:rPr>
          <w:color w:val="231F20"/>
          <w:spacing w:val="-2"/>
          <w:w w:val="90"/>
        </w:rPr>
        <w:t> </w:t>
      </w:r>
      <w:r>
        <w:rPr>
          <w:color w:val="231F20"/>
          <w:w w:val="90"/>
        </w:rPr>
        <w:t>ships</w:t>
      </w:r>
      <w:r>
        <w:rPr>
          <w:color w:val="231F20"/>
          <w:spacing w:val="-2"/>
          <w:w w:val="90"/>
        </w:rPr>
        <w:t> </w:t>
      </w:r>
      <w:r>
        <w:rPr>
          <w:color w:val="231F20"/>
          <w:w w:val="90"/>
        </w:rPr>
        <w:t>carry</w:t>
      </w:r>
      <w:r>
        <w:rPr>
          <w:color w:val="231F20"/>
          <w:spacing w:val="-2"/>
          <w:w w:val="90"/>
        </w:rPr>
        <w:t> </w:t>
      </w:r>
      <w:r>
        <w:rPr>
          <w:color w:val="231F20"/>
          <w:w w:val="90"/>
        </w:rPr>
        <w:t>over</w:t>
      </w:r>
      <w:r>
        <w:rPr>
          <w:color w:val="231F20"/>
          <w:spacing w:val="-2"/>
          <w:w w:val="90"/>
        </w:rPr>
        <w:t> </w:t>
      </w:r>
      <w:r>
        <w:rPr>
          <w:color w:val="231F20"/>
          <w:w w:val="90"/>
        </w:rPr>
        <w:t>half</w:t>
      </w:r>
      <w:r>
        <w:rPr>
          <w:color w:val="231F20"/>
          <w:spacing w:val="-2"/>
          <w:w w:val="90"/>
        </w:rPr>
        <w:t> </w:t>
      </w:r>
      <w:r>
        <w:rPr>
          <w:color w:val="231F20"/>
          <w:w w:val="90"/>
        </w:rPr>
        <w:t>of</w:t>
      </w:r>
      <w:r>
        <w:rPr>
          <w:color w:val="231F20"/>
          <w:spacing w:val="-2"/>
          <w:w w:val="90"/>
        </w:rPr>
        <w:t> </w:t>
      </w:r>
      <w:r>
        <w:rPr>
          <w:color w:val="231F20"/>
          <w:w w:val="90"/>
        </w:rPr>
        <w:t>world</w:t>
      </w:r>
      <w:r>
        <w:rPr>
          <w:color w:val="231F20"/>
          <w:spacing w:val="-2"/>
          <w:w w:val="90"/>
        </w:rPr>
        <w:t> </w:t>
      </w:r>
      <w:r>
        <w:rPr>
          <w:color w:val="231F20"/>
          <w:w w:val="90"/>
        </w:rPr>
        <w:t>trade</w:t>
      </w:r>
      <w:r>
        <w:rPr>
          <w:color w:val="231F20"/>
          <w:spacing w:val="-2"/>
          <w:w w:val="90"/>
        </w:rPr>
        <w:t> </w:t>
      </w:r>
      <w:r>
        <w:rPr>
          <w:color w:val="231F20"/>
          <w:w w:val="90"/>
        </w:rPr>
        <w:t>by value</w:t>
      </w:r>
      <w:r>
        <w:rPr>
          <w:color w:val="231F20"/>
          <w:spacing w:val="-1"/>
          <w:w w:val="90"/>
        </w:rPr>
        <w:t> </w:t>
      </w:r>
      <w:r>
        <w:rPr>
          <w:color w:val="231F20"/>
          <w:w w:val="90"/>
        </w:rPr>
        <w:t>and,</w:t>
      </w:r>
      <w:r>
        <w:rPr>
          <w:color w:val="231F20"/>
          <w:spacing w:val="-1"/>
          <w:w w:val="90"/>
        </w:rPr>
        <w:t> </w:t>
      </w:r>
      <w:r>
        <w:rPr>
          <w:color w:val="231F20"/>
          <w:w w:val="90"/>
        </w:rPr>
        <w:t>until</w:t>
      </w:r>
      <w:r>
        <w:rPr>
          <w:color w:val="231F20"/>
          <w:spacing w:val="-1"/>
          <w:w w:val="90"/>
        </w:rPr>
        <w:t> </w:t>
      </w:r>
      <w:r>
        <w:rPr>
          <w:color w:val="231F20"/>
          <w:w w:val="90"/>
        </w:rPr>
        <w:t>early</w:t>
      </w:r>
      <w:r>
        <w:rPr>
          <w:color w:val="231F20"/>
          <w:spacing w:val="-1"/>
          <w:w w:val="90"/>
        </w:rPr>
        <w:t> </w:t>
      </w:r>
      <w:r>
        <w:rPr>
          <w:color w:val="231F20"/>
          <w:w w:val="90"/>
        </w:rPr>
        <w:t>2020,</w:t>
      </w:r>
      <w:r>
        <w:rPr>
          <w:color w:val="231F20"/>
          <w:spacing w:val="-1"/>
          <w:w w:val="90"/>
        </w:rPr>
        <w:t> </w:t>
      </w:r>
      <w:r>
        <w:rPr>
          <w:color w:val="231F20"/>
          <w:w w:val="90"/>
        </w:rPr>
        <w:t>offered</w:t>
      </w:r>
      <w:r>
        <w:rPr>
          <w:color w:val="231F20"/>
          <w:spacing w:val="-1"/>
          <w:w w:val="90"/>
        </w:rPr>
        <w:t> </w:t>
      </w:r>
      <w:r>
        <w:rPr>
          <w:color w:val="231F20"/>
          <w:w w:val="90"/>
        </w:rPr>
        <w:t>high</w:t>
      </w:r>
      <w:r>
        <w:rPr>
          <w:color w:val="231F20"/>
          <w:spacing w:val="-1"/>
          <w:w w:val="90"/>
        </w:rPr>
        <w:t> </w:t>
      </w:r>
      <w:r>
        <w:rPr>
          <w:color w:val="231F20"/>
          <w:w w:val="90"/>
        </w:rPr>
        <w:t>reliabil- </w:t>
      </w:r>
      <w:r>
        <w:rPr>
          <w:color w:val="231F20"/>
          <w:spacing w:val="-4"/>
        </w:rPr>
        <w:t>ity</w:t>
      </w:r>
      <w:r>
        <w:rPr>
          <w:color w:val="231F20"/>
          <w:spacing w:val="-10"/>
        </w:rPr>
        <w:t> </w:t>
      </w:r>
      <w:r>
        <w:rPr>
          <w:color w:val="231F20"/>
          <w:spacing w:val="-4"/>
        </w:rPr>
        <w:t>at</w:t>
      </w:r>
      <w:r>
        <w:rPr>
          <w:color w:val="231F20"/>
          <w:spacing w:val="-9"/>
        </w:rPr>
        <w:t> </w:t>
      </w:r>
      <w:r>
        <w:rPr>
          <w:color w:val="231F20"/>
          <w:spacing w:val="-4"/>
        </w:rPr>
        <w:t>low</w:t>
      </w:r>
      <w:r>
        <w:rPr>
          <w:color w:val="231F20"/>
          <w:spacing w:val="-9"/>
        </w:rPr>
        <w:t> </w:t>
      </w:r>
      <w:r>
        <w:rPr>
          <w:color w:val="231F20"/>
          <w:spacing w:val="-4"/>
        </w:rPr>
        <w:t>freight</w:t>
      </w:r>
      <w:r>
        <w:rPr>
          <w:color w:val="231F20"/>
          <w:spacing w:val="-9"/>
        </w:rPr>
        <w:t> </w:t>
      </w:r>
      <w:r>
        <w:rPr>
          <w:color w:val="231F20"/>
          <w:spacing w:val="-4"/>
        </w:rPr>
        <w:t>rates.</w:t>
      </w:r>
      <w:r>
        <w:rPr>
          <w:color w:val="231F20"/>
          <w:spacing w:val="-9"/>
        </w:rPr>
        <w:t> </w:t>
      </w:r>
      <w:r>
        <w:rPr>
          <w:color w:val="231F20"/>
          <w:spacing w:val="-4"/>
        </w:rPr>
        <w:t>Since</w:t>
      </w:r>
      <w:r>
        <w:rPr>
          <w:color w:val="231F20"/>
          <w:spacing w:val="-9"/>
        </w:rPr>
        <w:t> </w:t>
      </w:r>
      <w:r>
        <w:rPr>
          <w:color w:val="231F20"/>
          <w:spacing w:val="-4"/>
        </w:rPr>
        <w:t>then,</w:t>
      </w:r>
      <w:r>
        <w:rPr>
          <w:color w:val="231F20"/>
          <w:spacing w:val="-9"/>
        </w:rPr>
        <w:t> </w:t>
      </w:r>
      <w:r>
        <w:rPr>
          <w:color w:val="231F20"/>
          <w:spacing w:val="-4"/>
        </w:rPr>
        <w:t>freight</w:t>
      </w:r>
      <w:r>
        <w:rPr>
          <w:color w:val="231F20"/>
          <w:spacing w:val="-9"/>
        </w:rPr>
        <w:t> </w:t>
      </w:r>
      <w:r>
        <w:rPr>
          <w:color w:val="231F20"/>
          <w:spacing w:val="-4"/>
        </w:rPr>
        <w:t>rates </w:t>
      </w:r>
      <w:r>
        <w:rPr>
          <w:color w:val="231F20"/>
          <w:w w:val="90"/>
        </w:rPr>
        <w:t>have soared to unprecedented levels, and capac- ity constraints in seaports, vessels, and container </w:t>
      </w:r>
      <w:r>
        <w:rPr>
          <w:color w:val="231F20"/>
          <w:spacing w:val="-4"/>
        </w:rPr>
        <w:t>availability</w:t>
      </w:r>
      <w:r>
        <w:rPr>
          <w:color w:val="231F20"/>
          <w:spacing w:val="-10"/>
        </w:rPr>
        <w:t> </w:t>
      </w:r>
      <w:r>
        <w:rPr>
          <w:color w:val="231F20"/>
          <w:spacing w:val="-4"/>
        </w:rPr>
        <w:t>have</w:t>
      </w:r>
      <w:r>
        <w:rPr>
          <w:color w:val="231F20"/>
          <w:spacing w:val="-9"/>
        </w:rPr>
        <w:t> </w:t>
      </w:r>
      <w:r>
        <w:rPr>
          <w:color w:val="231F20"/>
          <w:spacing w:val="-4"/>
        </w:rPr>
        <w:t>become</w:t>
      </w:r>
      <w:r>
        <w:rPr>
          <w:color w:val="231F20"/>
          <w:spacing w:val="-9"/>
        </w:rPr>
        <w:t> </w:t>
      </w:r>
      <w:r>
        <w:rPr>
          <w:color w:val="231F20"/>
          <w:spacing w:val="-4"/>
        </w:rPr>
        <w:t>endemic.</w:t>
      </w:r>
      <w:r>
        <w:rPr>
          <w:color w:val="231F20"/>
          <w:spacing w:val="-9"/>
        </w:rPr>
        <w:t> </w:t>
      </w:r>
      <w:r>
        <w:rPr>
          <w:color w:val="231F20"/>
          <w:spacing w:val="-4"/>
        </w:rPr>
        <w:t>As</w:t>
      </w:r>
      <w:r>
        <w:rPr>
          <w:color w:val="231F20"/>
          <w:spacing w:val="-9"/>
        </w:rPr>
        <w:t> </w:t>
      </w:r>
      <w:r>
        <w:rPr>
          <w:color w:val="231F20"/>
          <w:spacing w:val="-4"/>
        </w:rPr>
        <w:t>a</w:t>
      </w:r>
      <w:r>
        <w:rPr>
          <w:color w:val="231F20"/>
          <w:spacing w:val="-9"/>
        </w:rPr>
        <w:t> </w:t>
      </w:r>
      <w:r>
        <w:rPr>
          <w:color w:val="231F20"/>
          <w:spacing w:val="-4"/>
        </w:rPr>
        <w:t>result, </w:t>
      </w:r>
      <w:r>
        <w:rPr>
          <w:color w:val="231F20"/>
          <w:spacing w:val="-6"/>
        </w:rPr>
        <w:t>service</w:t>
      </w:r>
      <w:r>
        <w:rPr>
          <w:color w:val="231F20"/>
          <w:spacing w:val="-8"/>
        </w:rPr>
        <w:t> </w:t>
      </w:r>
      <w:r>
        <w:rPr>
          <w:color w:val="231F20"/>
          <w:spacing w:val="-6"/>
        </w:rPr>
        <w:t>reliability</w:t>
      </w:r>
      <w:r>
        <w:rPr>
          <w:color w:val="231F20"/>
          <w:spacing w:val="-7"/>
        </w:rPr>
        <w:t> </w:t>
      </w:r>
      <w:r>
        <w:rPr>
          <w:color w:val="231F20"/>
          <w:spacing w:val="-6"/>
        </w:rPr>
        <w:t>plummeted</w:t>
      </w:r>
      <w:r>
        <w:rPr>
          <w:color w:val="231F20"/>
          <w:spacing w:val="-7"/>
        </w:rPr>
        <w:t> </w:t>
      </w:r>
      <w:r>
        <w:rPr>
          <w:color w:val="231F20"/>
          <w:spacing w:val="-6"/>
        </w:rPr>
        <w:t>to</w:t>
      </w:r>
      <w:r>
        <w:rPr>
          <w:color w:val="231F20"/>
          <w:spacing w:val="-7"/>
        </w:rPr>
        <w:t> </w:t>
      </w:r>
      <w:r>
        <w:rPr>
          <w:color w:val="231F20"/>
          <w:spacing w:val="-6"/>
        </w:rPr>
        <w:t>an</w:t>
      </w:r>
      <w:r>
        <w:rPr>
          <w:color w:val="231F20"/>
          <w:spacing w:val="-7"/>
        </w:rPr>
        <w:t> </w:t>
      </w:r>
      <w:r>
        <w:rPr>
          <w:color w:val="231F20"/>
          <w:spacing w:val="-6"/>
        </w:rPr>
        <w:t>all-time</w:t>
      </w:r>
      <w:r>
        <w:rPr>
          <w:color w:val="231F20"/>
          <w:spacing w:val="-7"/>
        </w:rPr>
        <w:t> </w:t>
      </w:r>
      <w:r>
        <w:rPr>
          <w:color w:val="231F20"/>
          <w:spacing w:val="-6"/>
        </w:rPr>
        <w:t>low toward</w:t>
      </w:r>
      <w:r>
        <w:rPr>
          <w:color w:val="231F20"/>
          <w:spacing w:val="-7"/>
        </w:rPr>
        <w:t> </w:t>
      </w:r>
      <w:r>
        <w:rPr>
          <w:color w:val="231F20"/>
          <w:spacing w:val="-6"/>
        </w:rPr>
        <w:t>the</w:t>
      </w:r>
      <w:r>
        <w:rPr>
          <w:color w:val="231F20"/>
          <w:spacing w:val="-7"/>
        </w:rPr>
        <w:t> </w:t>
      </w:r>
      <w:r>
        <w:rPr>
          <w:color w:val="231F20"/>
          <w:spacing w:val="-6"/>
        </w:rPr>
        <w:t>end</w:t>
      </w:r>
      <w:r>
        <w:rPr>
          <w:color w:val="231F20"/>
          <w:spacing w:val="-7"/>
        </w:rPr>
        <w:t> </w:t>
      </w:r>
      <w:r>
        <w:rPr>
          <w:color w:val="231F20"/>
          <w:spacing w:val="-6"/>
        </w:rPr>
        <w:t>of</w:t>
      </w:r>
      <w:r>
        <w:rPr>
          <w:color w:val="231F20"/>
          <w:spacing w:val="-7"/>
        </w:rPr>
        <w:t> </w:t>
      </w:r>
      <w:r>
        <w:rPr>
          <w:color w:val="231F20"/>
          <w:spacing w:val="-6"/>
        </w:rPr>
        <w:t>2021</w:t>
      </w:r>
      <w:r>
        <w:rPr>
          <w:color w:val="231F20"/>
          <w:spacing w:val="-7"/>
        </w:rPr>
        <w:t> </w:t>
      </w:r>
      <w:r>
        <w:rPr>
          <w:color w:val="231F20"/>
          <w:spacing w:val="-6"/>
        </w:rPr>
        <w:t>(figure</w:t>
      </w:r>
      <w:r>
        <w:rPr>
          <w:color w:val="231F20"/>
          <w:spacing w:val="-7"/>
        </w:rPr>
        <w:t> </w:t>
      </w:r>
      <w:r>
        <w:rPr>
          <w:color w:val="231F20"/>
          <w:spacing w:val="-6"/>
        </w:rPr>
        <w:t>1.1).</w:t>
      </w:r>
      <w:r>
        <w:rPr>
          <w:color w:val="231F20"/>
          <w:spacing w:val="-7"/>
        </w:rPr>
        <w:t> </w:t>
      </w:r>
      <w:r>
        <w:rPr>
          <w:color w:val="231F20"/>
          <w:spacing w:val="-6"/>
        </w:rPr>
        <w:t>In</w:t>
      </w:r>
      <w:r>
        <w:rPr>
          <w:color w:val="231F20"/>
          <w:spacing w:val="-7"/>
        </w:rPr>
        <w:t> </w:t>
      </w:r>
      <w:r>
        <w:rPr>
          <w:color w:val="231F20"/>
          <w:spacing w:val="-6"/>
        </w:rPr>
        <w:t>summer 2022,</w:t>
      </w:r>
      <w:r>
        <w:rPr>
          <w:color w:val="231F20"/>
          <w:spacing w:val="-8"/>
        </w:rPr>
        <w:t> </w:t>
      </w:r>
      <w:r>
        <w:rPr>
          <w:color w:val="231F20"/>
          <w:spacing w:val="-6"/>
        </w:rPr>
        <w:t>about</w:t>
      </w:r>
      <w:r>
        <w:rPr>
          <w:color w:val="231F20"/>
          <w:spacing w:val="-7"/>
        </w:rPr>
        <w:t> </w:t>
      </w:r>
      <w:r>
        <w:rPr>
          <w:color w:val="231F20"/>
          <w:spacing w:val="-6"/>
        </w:rPr>
        <w:t>12</w:t>
      </w:r>
      <w:r>
        <w:rPr>
          <w:color w:val="231F20"/>
          <w:spacing w:val="-7"/>
        </w:rPr>
        <w:t> </w:t>
      </w:r>
      <w:r>
        <w:rPr>
          <w:color w:val="231F20"/>
          <w:spacing w:val="-6"/>
        </w:rPr>
        <w:t>percent</w:t>
      </w:r>
      <w:r>
        <w:rPr>
          <w:color w:val="231F20"/>
          <w:spacing w:val="-7"/>
        </w:rPr>
        <w:t> </w:t>
      </w:r>
      <w:r>
        <w:rPr>
          <w:color w:val="231F20"/>
          <w:spacing w:val="-6"/>
        </w:rPr>
        <w:t>of</w:t>
      </w:r>
      <w:r>
        <w:rPr>
          <w:color w:val="231F20"/>
          <w:spacing w:val="-7"/>
        </w:rPr>
        <w:t> </w:t>
      </w:r>
      <w:r>
        <w:rPr>
          <w:color w:val="231F20"/>
          <w:spacing w:val="-6"/>
        </w:rPr>
        <w:t>the</w:t>
      </w:r>
      <w:r>
        <w:rPr>
          <w:color w:val="231F20"/>
          <w:spacing w:val="-7"/>
        </w:rPr>
        <w:t> </w:t>
      </w:r>
      <w:r>
        <w:rPr>
          <w:color w:val="231F20"/>
          <w:spacing w:val="-6"/>
        </w:rPr>
        <w:t>world’s</w:t>
      </w:r>
      <w:r>
        <w:rPr>
          <w:color w:val="231F20"/>
          <w:spacing w:val="-7"/>
        </w:rPr>
        <w:t> </w:t>
      </w:r>
      <w:r>
        <w:rPr>
          <w:color w:val="231F20"/>
          <w:spacing w:val="-6"/>
        </w:rPr>
        <w:t>container </w:t>
      </w:r>
      <w:r>
        <w:rPr>
          <w:color w:val="231F20"/>
          <w:spacing w:val="-4"/>
        </w:rPr>
        <w:t>carrying</w:t>
      </w:r>
      <w:r>
        <w:rPr>
          <w:color w:val="231F20"/>
          <w:spacing w:val="-8"/>
        </w:rPr>
        <w:t> </w:t>
      </w:r>
      <w:r>
        <w:rPr>
          <w:color w:val="231F20"/>
          <w:spacing w:val="-4"/>
        </w:rPr>
        <w:t>capacity</w:t>
      </w:r>
      <w:r>
        <w:rPr>
          <w:color w:val="231F20"/>
          <w:spacing w:val="-8"/>
        </w:rPr>
        <w:t> </w:t>
      </w:r>
      <w:r>
        <w:rPr>
          <w:color w:val="231F20"/>
          <w:spacing w:val="-4"/>
        </w:rPr>
        <w:t>was</w:t>
      </w:r>
      <w:r>
        <w:rPr>
          <w:color w:val="231F20"/>
          <w:spacing w:val="-8"/>
        </w:rPr>
        <w:t> </w:t>
      </w:r>
      <w:r>
        <w:rPr>
          <w:color w:val="231F20"/>
          <w:spacing w:val="-4"/>
        </w:rPr>
        <w:t>onboard</w:t>
      </w:r>
      <w:r>
        <w:rPr>
          <w:color w:val="231F20"/>
          <w:spacing w:val="-8"/>
        </w:rPr>
        <w:t> </w:t>
      </w:r>
      <w:r>
        <w:rPr>
          <w:color w:val="231F20"/>
          <w:spacing w:val="-4"/>
        </w:rPr>
        <w:t>vessels</w:t>
      </w:r>
      <w:r>
        <w:rPr>
          <w:color w:val="231F20"/>
          <w:spacing w:val="-8"/>
        </w:rPr>
        <w:t> </w:t>
      </w:r>
      <w:r>
        <w:rPr>
          <w:color w:val="231F20"/>
          <w:spacing w:val="-4"/>
        </w:rPr>
        <w:t>outside </w:t>
      </w:r>
      <w:r>
        <w:rPr>
          <w:color w:val="231F20"/>
          <w:w w:val="90"/>
        </w:rPr>
        <w:t>seaports waiting to be unloaded.</w:t>
      </w:r>
      <w:r>
        <w:rPr>
          <w:color w:val="231F20"/>
          <w:w w:val="90"/>
          <w:position w:val="7"/>
          <w:sz w:val="14"/>
        </w:rPr>
        <w:t>9</w:t>
      </w:r>
      <w:r>
        <w:rPr>
          <w:color w:val="231F20"/>
          <w:spacing w:val="18"/>
          <w:position w:val="7"/>
          <w:sz w:val="14"/>
        </w:rPr>
        <w:t> </w:t>
      </w:r>
      <w:r>
        <w:rPr>
          <w:color w:val="231F20"/>
          <w:w w:val="90"/>
        </w:rPr>
        <w:t>Many of these bottlenecks could be traced to port lockdowns in </w:t>
      </w:r>
      <w:r>
        <w:rPr>
          <w:color w:val="231F20"/>
          <w:spacing w:val="-6"/>
        </w:rPr>
        <w:t>East Asia or productivity constraints on the US </w:t>
      </w:r>
      <w:r>
        <w:rPr>
          <w:color w:val="231F20"/>
          <w:w w:val="90"/>
        </w:rPr>
        <w:t>West Coast, but with global impacts on shipping capacity and cascading effects along the supply </w:t>
      </w:r>
      <w:r>
        <w:rPr>
          <w:color w:val="231F20"/>
          <w:spacing w:val="-8"/>
        </w:rPr>
        <w:t>chains.</w:t>
      </w:r>
      <w:r>
        <w:rPr>
          <w:color w:val="231F20"/>
          <w:spacing w:val="-5"/>
        </w:rPr>
        <w:t> </w:t>
      </w:r>
      <w:r>
        <w:rPr>
          <w:color w:val="231F20"/>
          <w:spacing w:val="-8"/>
        </w:rPr>
        <w:t>Toward</w:t>
      </w:r>
      <w:r>
        <w:rPr>
          <w:color w:val="231F20"/>
          <w:spacing w:val="-5"/>
        </w:rPr>
        <w:t> </w:t>
      </w:r>
      <w:r>
        <w:rPr>
          <w:color w:val="231F20"/>
          <w:spacing w:val="-8"/>
        </w:rPr>
        <w:t>the</w:t>
      </w:r>
      <w:r>
        <w:rPr>
          <w:color w:val="231F20"/>
          <w:spacing w:val="-5"/>
        </w:rPr>
        <w:t> </w:t>
      </w:r>
      <w:r>
        <w:rPr>
          <w:color w:val="231F20"/>
          <w:spacing w:val="-8"/>
        </w:rPr>
        <w:t>end</w:t>
      </w:r>
      <w:r>
        <w:rPr>
          <w:color w:val="231F20"/>
          <w:spacing w:val="-5"/>
        </w:rPr>
        <w:t> </w:t>
      </w:r>
      <w:r>
        <w:rPr>
          <w:color w:val="231F20"/>
          <w:spacing w:val="-8"/>
        </w:rPr>
        <w:t>of</w:t>
      </w:r>
      <w:r>
        <w:rPr>
          <w:color w:val="231F20"/>
          <w:spacing w:val="-5"/>
        </w:rPr>
        <w:t> </w:t>
      </w:r>
      <w:r>
        <w:rPr>
          <w:color w:val="231F20"/>
          <w:spacing w:val="-8"/>
        </w:rPr>
        <w:t>2022,</w:t>
      </w:r>
      <w:r>
        <w:rPr>
          <w:color w:val="231F20"/>
          <w:spacing w:val="-5"/>
        </w:rPr>
        <w:t> </w:t>
      </w:r>
      <w:r>
        <w:rPr>
          <w:color w:val="231F20"/>
          <w:spacing w:val="-8"/>
        </w:rPr>
        <w:t>these</w:t>
      </w:r>
      <w:r>
        <w:rPr>
          <w:color w:val="231F20"/>
          <w:spacing w:val="-5"/>
        </w:rPr>
        <w:t> </w:t>
      </w:r>
      <w:r>
        <w:rPr>
          <w:color w:val="231F20"/>
          <w:spacing w:val="-8"/>
        </w:rPr>
        <w:t>problems </w:t>
      </w:r>
      <w:r>
        <w:rPr>
          <w:color w:val="231F20"/>
          <w:spacing w:val="-4"/>
        </w:rPr>
        <w:t>eased</w:t>
      </w:r>
      <w:r>
        <w:rPr>
          <w:color w:val="231F20"/>
          <w:spacing w:val="-9"/>
        </w:rPr>
        <w:t> </w:t>
      </w:r>
      <w:r>
        <w:rPr>
          <w:color w:val="231F20"/>
          <w:spacing w:val="-4"/>
        </w:rPr>
        <w:t>considerably,</w:t>
      </w:r>
      <w:r>
        <w:rPr>
          <w:color w:val="231F20"/>
          <w:spacing w:val="-9"/>
        </w:rPr>
        <w:t> </w:t>
      </w:r>
      <w:r>
        <w:rPr>
          <w:color w:val="231F20"/>
          <w:spacing w:val="-4"/>
        </w:rPr>
        <w:t>and</w:t>
      </w:r>
      <w:r>
        <w:rPr>
          <w:color w:val="231F20"/>
          <w:spacing w:val="-9"/>
        </w:rPr>
        <w:t> </w:t>
      </w:r>
      <w:r>
        <w:rPr>
          <w:color w:val="231F20"/>
          <w:spacing w:val="-4"/>
        </w:rPr>
        <w:t>container</w:t>
      </w:r>
      <w:r>
        <w:rPr>
          <w:color w:val="231F20"/>
          <w:spacing w:val="-9"/>
        </w:rPr>
        <w:t> </w:t>
      </w:r>
      <w:r>
        <w:rPr>
          <w:color w:val="231F20"/>
          <w:spacing w:val="-4"/>
        </w:rPr>
        <w:t>freight</w:t>
      </w:r>
      <w:r>
        <w:rPr>
          <w:color w:val="231F20"/>
          <w:spacing w:val="-9"/>
        </w:rPr>
        <w:t> </w:t>
      </w:r>
      <w:r>
        <w:rPr>
          <w:color w:val="231F20"/>
          <w:spacing w:val="-4"/>
        </w:rPr>
        <w:t>rates </w:t>
      </w:r>
      <w:r>
        <w:rPr>
          <w:color w:val="231F20"/>
          <w:spacing w:val="-6"/>
        </w:rPr>
        <w:t>are returning to pre–COVID-19 pandemic lev- </w:t>
      </w:r>
      <w:r>
        <w:rPr>
          <w:color w:val="231F20"/>
        </w:rPr>
        <w:t>els as demand drops.</w:t>
      </w:r>
    </w:p>
    <w:p>
      <w:pPr>
        <w:spacing w:after="0" w:line="268" w:lineRule="auto"/>
        <w:jc w:val="both"/>
        <w:sectPr>
          <w:type w:val="continuous"/>
          <w:pgSz w:w="12240" w:h="15840"/>
          <w:pgMar w:header="0" w:footer="548" w:top="1140" w:bottom="280" w:left="0" w:right="540"/>
          <w:cols w:num="2" w:equalWidth="0">
            <w:col w:w="7561" w:space="40"/>
            <w:col w:w="4099"/>
          </w:cols>
        </w:sectPr>
      </w:pPr>
    </w:p>
    <w:p>
      <w:pPr>
        <w:pStyle w:val="BodyText"/>
        <w:rPr>
          <w:sz w:val="16"/>
        </w:rPr>
      </w:pPr>
    </w:p>
    <w:p>
      <w:pPr>
        <w:pStyle w:val="BodyText"/>
        <w:rPr>
          <w:sz w:val="16"/>
        </w:rPr>
      </w:pPr>
    </w:p>
    <w:p>
      <w:pPr>
        <w:pStyle w:val="BodyText"/>
        <w:rPr>
          <w:sz w:val="16"/>
        </w:rPr>
      </w:pPr>
    </w:p>
    <w:p>
      <w:pPr>
        <w:pStyle w:val="BodyText"/>
        <w:spacing w:before="178"/>
        <w:rPr>
          <w:sz w:val="16"/>
        </w:rPr>
      </w:pPr>
    </w:p>
    <w:p>
      <w:pPr>
        <w:spacing w:before="0"/>
        <w:ind w:left="0" w:right="1786" w:firstLine="0"/>
        <w:jc w:val="center"/>
        <w:rPr>
          <w:rFonts w:ascii="Arial"/>
          <w:b/>
          <w:sz w:val="16"/>
        </w:rPr>
      </w:pPr>
      <w:r>
        <w:rPr/>
        <mc:AlternateContent>
          <mc:Choice Requires="wps">
            <w:drawing>
              <wp:anchor distT="0" distB="0" distL="0" distR="0" allowOverlap="1" layoutInCell="1" locked="0" behindDoc="1" simplePos="0" relativeHeight="466740736">
                <wp:simplePos x="0" y="0"/>
                <wp:positionH relativeFrom="page">
                  <wp:posOffset>2095500</wp:posOffset>
                </wp:positionH>
                <wp:positionV relativeFrom="paragraph">
                  <wp:posOffset>-142200</wp:posOffset>
                </wp:positionV>
                <wp:extent cx="4953000" cy="4133850"/>
                <wp:effectExtent l="0" t="0" r="0" b="0"/>
                <wp:wrapNone/>
                <wp:docPr id="381" name="Group 381"/>
                <wp:cNvGraphicFramePr>
                  <a:graphicFrameLocks/>
                </wp:cNvGraphicFramePr>
                <a:graphic>
                  <a:graphicData uri="http://schemas.microsoft.com/office/word/2010/wordprocessingGroup">
                    <wpg:wgp>
                      <wpg:cNvPr id="381" name="Group 381"/>
                      <wpg:cNvGrpSpPr/>
                      <wpg:grpSpPr>
                        <a:xfrm>
                          <a:off x="0" y="0"/>
                          <a:ext cx="4953000" cy="4133850"/>
                          <a:chExt cx="4953000" cy="4133850"/>
                        </a:xfrm>
                      </wpg:grpSpPr>
                      <wps:wsp>
                        <wps:cNvPr id="382" name="Graphic 382"/>
                        <wps:cNvSpPr/>
                        <wps:spPr>
                          <a:xfrm>
                            <a:off x="19050" y="19050"/>
                            <a:ext cx="4914900" cy="4095750"/>
                          </a:xfrm>
                          <a:custGeom>
                            <a:avLst/>
                            <a:gdLst/>
                            <a:ahLst/>
                            <a:cxnLst/>
                            <a:rect l="l" t="t" r="r" b="b"/>
                            <a:pathLst>
                              <a:path w="4914900" h="4095750">
                                <a:moveTo>
                                  <a:pt x="4819650" y="0"/>
                                </a:moveTo>
                                <a:lnTo>
                                  <a:pt x="95250" y="0"/>
                                </a:lnTo>
                                <a:lnTo>
                                  <a:pt x="58212" y="7497"/>
                                </a:lnTo>
                                <a:lnTo>
                                  <a:pt x="27932" y="27932"/>
                                </a:lnTo>
                                <a:lnTo>
                                  <a:pt x="7497" y="58212"/>
                                </a:lnTo>
                                <a:lnTo>
                                  <a:pt x="0" y="95250"/>
                                </a:lnTo>
                                <a:lnTo>
                                  <a:pt x="0" y="4000500"/>
                                </a:lnTo>
                                <a:lnTo>
                                  <a:pt x="7497" y="4037537"/>
                                </a:lnTo>
                                <a:lnTo>
                                  <a:pt x="27932" y="4067817"/>
                                </a:lnTo>
                                <a:lnTo>
                                  <a:pt x="58212" y="4088252"/>
                                </a:lnTo>
                                <a:lnTo>
                                  <a:pt x="95250" y="4095750"/>
                                </a:lnTo>
                                <a:lnTo>
                                  <a:pt x="4819650" y="4095750"/>
                                </a:lnTo>
                                <a:lnTo>
                                  <a:pt x="4856687" y="4088252"/>
                                </a:lnTo>
                                <a:lnTo>
                                  <a:pt x="4886967" y="4067817"/>
                                </a:lnTo>
                                <a:lnTo>
                                  <a:pt x="4907402" y="4037537"/>
                                </a:lnTo>
                                <a:lnTo>
                                  <a:pt x="4914900" y="4000500"/>
                                </a:lnTo>
                                <a:lnTo>
                                  <a:pt x="4914900" y="95250"/>
                                </a:lnTo>
                                <a:lnTo>
                                  <a:pt x="4907402" y="58212"/>
                                </a:lnTo>
                                <a:lnTo>
                                  <a:pt x="4886967" y="27932"/>
                                </a:lnTo>
                                <a:lnTo>
                                  <a:pt x="4856687" y="7497"/>
                                </a:lnTo>
                                <a:lnTo>
                                  <a:pt x="4819650" y="0"/>
                                </a:lnTo>
                                <a:close/>
                              </a:path>
                            </a:pathLst>
                          </a:custGeom>
                          <a:solidFill>
                            <a:srgbClr val="E9F1FA"/>
                          </a:solidFill>
                        </wps:spPr>
                        <wps:bodyPr wrap="square" lIns="0" tIns="0" rIns="0" bIns="0" rtlCol="0">
                          <a:prstTxWarp prst="textNoShape">
                            <a:avLst/>
                          </a:prstTxWarp>
                          <a:noAutofit/>
                        </wps:bodyPr>
                      </wps:wsp>
                      <wps:wsp>
                        <wps:cNvPr id="383" name="Graphic 383"/>
                        <wps:cNvSpPr/>
                        <wps:spPr>
                          <a:xfrm>
                            <a:off x="152400" y="50800"/>
                            <a:ext cx="4781550" cy="254000"/>
                          </a:xfrm>
                          <a:custGeom>
                            <a:avLst/>
                            <a:gdLst/>
                            <a:ahLst/>
                            <a:cxnLst/>
                            <a:rect l="l" t="t" r="r" b="b"/>
                            <a:pathLst>
                              <a:path w="4781550" h="254000">
                                <a:moveTo>
                                  <a:pt x="4756198" y="0"/>
                                </a:moveTo>
                                <a:lnTo>
                                  <a:pt x="0" y="0"/>
                                </a:lnTo>
                                <a:lnTo>
                                  <a:pt x="0" y="254000"/>
                                </a:lnTo>
                                <a:lnTo>
                                  <a:pt x="4781550" y="254000"/>
                                </a:lnTo>
                                <a:lnTo>
                                  <a:pt x="4781550" y="63500"/>
                                </a:lnTo>
                                <a:lnTo>
                                  <a:pt x="4774053" y="26462"/>
                                </a:lnTo>
                                <a:lnTo>
                                  <a:pt x="4756198" y="0"/>
                                </a:lnTo>
                                <a:close/>
                              </a:path>
                            </a:pathLst>
                          </a:custGeom>
                          <a:solidFill>
                            <a:srgbClr val="808285"/>
                          </a:solidFill>
                        </wps:spPr>
                        <wps:bodyPr wrap="square" lIns="0" tIns="0" rIns="0" bIns="0" rtlCol="0">
                          <a:prstTxWarp prst="textNoShape">
                            <a:avLst/>
                          </a:prstTxWarp>
                          <a:noAutofit/>
                        </wps:bodyPr>
                      </wps:wsp>
                      <wps:wsp>
                        <wps:cNvPr id="384" name="Graphic 384"/>
                        <wps:cNvSpPr/>
                        <wps:spPr>
                          <a:xfrm>
                            <a:off x="546100" y="50798"/>
                            <a:ext cx="1270" cy="254635"/>
                          </a:xfrm>
                          <a:custGeom>
                            <a:avLst/>
                            <a:gdLst/>
                            <a:ahLst/>
                            <a:cxnLst/>
                            <a:rect l="l" t="t" r="r" b="b"/>
                            <a:pathLst>
                              <a:path w="0" h="254635">
                                <a:moveTo>
                                  <a:pt x="0" y="25415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385" name="Graphic 385"/>
                        <wps:cNvSpPr/>
                        <wps:spPr>
                          <a:xfrm>
                            <a:off x="38100" y="50951"/>
                            <a:ext cx="495300" cy="254000"/>
                          </a:xfrm>
                          <a:custGeom>
                            <a:avLst/>
                            <a:gdLst/>
                            <a:ahLst/>
                            <a:cxnLst/>
                            <a:rect l="l" t="t" r="r" b="b"/>
                            <a:pathLst>
                              <a:path w="495300" h="254000">
                                <a:moveTo>
                                  <a:pt x="0" y="254000"/>
                                </a:moveTo>
                                <a:lnTo>
                                  <a:pt x="495300" y="254000"/>
                                </a:lnTo>
                                <a:lnTo>
                                  <a:pt x="495300" y="0"/>
                                </a:lnTo>
                                <a:lnTo>
                                  <a:pt x="0" y="0"/>
                                </a:lnTo>
                                <a:lnTo>
                                  <a:pt x="0" y="254000"/>
                                </a:lnTo>
                                <a:close/>
                              </a:path>
                            </a:pathLst>
                          </a:custGeom>
                          <a:solidFill>
                            <a:srgbClr val="008FDD"/>
                          </a:solidFill>
                        </wps:spPr>
                        <wps:bodyPr wrap="square" lIns="0" tIns="0" rIns="0" bIns="0" rtlCol="0">
                          <a:prstTxWarp prst="textNoShape">
                            <a:avLst/>
                          </a:prstTxWarp>
                          <a:noAutofit/>
                        </wps:bodyPr>
                      </wps:wsp>
                      <wps:wsp>
                        <wps:cNvPr id="386" name="Graphic 386"/>
                        <wps:cNvSpPr/>
                        <wps:spPr>
                          <a:xfrm>
                            <a:off x="19050" y="19050"/>
                            <a:ext cx="4914900" cy="4095750"/>
                          </a:xfrm>
                          <a:custGeom>
                            <a:avLst/>
                            <a:gdLst/>
                            <a:ahLst/>
                            <a:cxnLst/>
                            <a:rect l="l" t="t" r="r" b="b"/>
                            <a:pathLst>
                              <a:path w="4914900" h="4095750">
                                <a:moveTo>
                                  <a:pt x="95250" y="0"/>
                                </a:moveTo>
                                <a:lnTo>
                                  <a:pt x="58212" y="7497"/>
                                </a:lnTo>
                                <a:lnTo>
                                  <a:pt x="27932" y="27932"/>
                                </a:lnTo>
                                <a:lnTo>
                                  <a:pt x="7497" y="58212"/>
                                </a:lnTo>
                                <a:lnTo>
                                  <a:pt x="0" y="95250"/>
                                </a:lnTo>
                                <a:lnTo>
                                  <a:pt x="0" y="4000500"/>
                                </a:lnTo>
                                <a:lnTo>
                                  <a:pt x="7497" y="4037537"/>
                                </a:lnTo>
                                <a:lnTo>
                                  <a:pt x="27932" y="4067817"/>
                                </a:lnTo>
                                <a:lnTo>
                                  <a:pt x="58212" y="4088252"/>
                                </a:lnTo>
                                <a:lnTo>
                                  <a:pt x="95250" y="4095750"/>
                                </a:lnTo>
                                <a:lnTo>
                                  <a:pt x="4819650" y="4095750"/>
                                </a:lnTo>
                                <a:lnTo>
                                  <a:pt x="4856687" y="4088252"/>
                                </a:lnTo>
                                <a:lnTo>
                                  <a:pt x="4886967" y="4067817"/>
                                </a:lnTo>
                                <a:lnTo>
                                  <a:pt x="4907402" y="4037537"/>
                                </a:lnTo>
                                <a:lnTo>
                                  <a:pt x="4914900" y="4000500"/>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387" name="Textbox 387"/>
                        <wps:cNvSpPr txBox="1"/>
                        <wps:spPr>
                          <a:xfrm>
                            <a:off x="38100" y="50951"/>
                            <a:ext cx="495300" cy="254000"/>
                          </a:xfrm>
                          <a:prstGeom prst="rect">
                            <a:avLst/>
                          </a:prstGeom>
                        </wps:spPr>
                        <wps:txbx>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4"/>
                                  <w:w w:val="90"/>
                                  <w:sz w:val="16"/>
                                </w:rPr>
                                <w:t> </w:t>
                              </w:r>
                              <w:r>
                                <w:rPr>
                                  <w:rFonts w:ascii="Arial"/>
                                  <w:b/>
                                  <w:color w:val="FFFFFF"/>
                                  <w:spacing w:val="-5"/>
                                  <w:w w:val="90"/>
                                  <w:sz w:val="16"/>
                                </w:rPr>
                                <w:t>1.1</w:t>
                              </w:r>
                            </w:p>
                          </w:txbxContent>
                        </wps:txbx>
                        <wps:bodyPr wrap="square" lIns="0" tIns="0" rIns="0" bIns="0" rtlCol="0">
                          <a:noAutofit/>
                        </wps:bodyPr>
                      </wps:wsp>
                    </wpg:wgp>
                  </a:graphicData>
                </a:graphic>
              </wp:anchor>
            </w:drawing>
          </mc:Choice>
          <mc:Fallback>
            <w:pict>
              <v:group style="position:absolute;margin-left:165pt;margin-top:-11.196875pt;width:390pt;height:325.5pt;mso-position-horizontal-relative:page;mso-position-vertical-relative:paragraph;z-index:-36575744" id="docshapegroup322" coordorigin="3300,-224" coordsize="7800,6510">
                <v:shape style="position:absolute;left:3330;top:-194;width:7740;height:6450" id="docshape323" coordorigin="3330,-194" coordsize="7740,6450" path="m10920,-194l3480,-194,3422,-182,3374,-150,3342,-102,3330,-44,3330,6106,3342,6164,3374,6212,3422,6244,3480,6256,10920,6256,10978,6244,11026,6212,11058,6164,11070,6106,11070,-44,11058,-102,11026,-150,10978,-182,10920,-194xe" filled="true" fillcolor="#e9f1fa" stroked="false">
                  <v:path arrowok="t"/>
                  <v:fill type="solid"/>
                </v:shape>
                <v:shape style="position:absolute;left:3540;top:-144;width:7530;height:400" id="docshape324" coordorigin="3540,-144" coordsize="7530,400" path="m11030,-144l3540,-144,3540,256,11070,256,11070,-44,11058,-102,11030,-144xe" filled="true" fillcolor="#808285" stroked="false">
                  <v:path arrowok="t"/>
                  <v:fill type="solid"/>
                </v:shape>
                <v:line style="position:absolute" from="4160,256" to="4160,-144" stroked="true" strokeweight="2pt" strokecolor="#ffffff">
                  <v:stroke dashstyle="solid"/>
                </v:line>
                <v:rect style="position:absolute;left:3360;top:-144;width:780;height:400" id="docshape325" filled="true" fillcolor="#008fdd" stroked="false">
                  <v:fill type="solid"/>
                </v:rect>
                <v:shape style="position:absolute;left:3330;top:-194;width:7740;height:6450" id="docshape326" coordorigin="3330,-194" coordsize="7740,6450" path="m3480,-194l3422,-182,3374,-150,3342,-102,3330,-44,3330,6106,3342,6164,3374,6212,3422,6244,3480,6256,10920,6256,10978,6244,11026,6212,11058,6164,11070,6106,11070,-44,11058,-102,11026,-150,10978,-182,10920,-194,3480,-194xe" filled="false" stroked="true" strokeweight="3pt" strokecolor="#ffffff">
                  <v:path arrowok="t"/>
                  <v:stroke dashstyle="solid"/>
                </v:shape>
                <v:shape style="position:absolute;left:3360;top:-144;width:780;height:400" type="#_x0000_t202" id="docshape327" filled="false" stroked="false">
                  <v:textbox inset="0,0,0,0">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4"/>
                            <w:w w:val="90"/>
                            <w:sz w:val="16"/>
                          </w:rPr>
                          <w:t> </w:t>
                        </w:r>
                        <w:r>
                          <w:rPr>
                            <w:rFonts w:ascii="Arial"/>
                            <w:b/>
                            <w:color w:val="FFFFFF"/>
                            <w:spacing w:val="-5"/>
                            <w:w w:val="90"/>
                            <w:sz w:val="16"/>
                          </w:rPr>
                          <w:t>1.1</w:t>
                        </w:r>
                      </w:p>
                    </w:txbxContent>
                  </v:textbox>
                  <w10:wrap type="none"/>
                </v:shape>
                <w10:wrap type="none"/>
              </v:group>
            </w:pict>
          </mc:Fallback>
        </mc:AlternateContent>
      </w:r>
      <w:r>
        <w:rPr>
          <w:rFonts w:ascii="Arial"/>
          <w:b/>
          <w:color w:val="FFFFFF"/>
          <w:w w:val="105"/>
          <w:sz w:val="16"/>
        </w:rPr>
        <w:t>Vaccine</w:t>
      </w:r>
      <w:r>
        <w:rPr>
          <w:rFonts w:ascii="Arial"/>
          <w:b/>
          <w:color w:val="FFFFFF"/>
          <w:spacing w:val="7"/>
          <w:w w:val="105"/>
          <w:sz w:val="16"/>
        </w:rPr>
        <w:t> </w:t>
      </w:r>
      <w:r>
        <w:rPr>
          <w:rFonts w:ascii="Arial"/>
          <w:b/>
          <w:color w:val="FFFFFF"/>
          <w:spacing w:val="-2"/>
          <w:w w:val="105"/>
          <w:sz w:val="16"/>
        </w:rPr>
        <w:t>logistics</w:t>
      </w:r>
    </w:p>
    <w:p>
      <w:pPr>
        <w:pStyle w:val="BodyText"/>
        <w:spacing w:before="2"/>
        <w:rPr>
          <w:rFonts w:ascii="Arial"/>
          <w:b/>
          <w:sz w:val="18"/>
        </w:rPr>
      </w:pPr>
    </w:p>
    <w:p>
      <w:pPr>
        <w:spacing w:after="0"/>
        <w:rPr>
          <w:rFonts w:ascii="Arial"/>
          <w:sz w:val="18"/>
        </w:rPr>
        <w:sectPr>
          <w:headerReference w:type="even" r:id="rId52"/>
          <w:pgSz w:w="12240" w:h="15840"/>
          <w:pgMar w:header="370" w:footer="0" w:top="560" w:bottom="740" w:left="0" w:right="540"/>
        </w:sectPr>
      </w:pPr>
    </w:p>
    <w:p>
      <w:pPr>
        <w:spacing w:line="352" w:lineRule="auto" w:before="103"/>
        <w:ind w:left="3540" w:right="0" w:firstLine="0"/>
        <w:jc w:val="both"/>
        <w:rPr>
          <w:rFonts w:ascii="Arial" w:hAnsi="Arial"/>
          <w:sz w:val="16"/>
        </w:rPr>
      </w:pPr>
      <w:r>
        <w:rPr>
          <w:rFonts w:ascii="Arial" w:hAnsi="Arial"/>
          <w:color w:val="231F20"/>
          <w:sz w:val="16"/>
        </w:rPr>
        <w:t>Vaccines are vital public health products, even more so during the global COVID-19 pandemic. But many vaccines have special handling re- quirements that require substantial logistics ca- pacity in sending and receiving countries. For instance, some COVID-19 vaccines have cold chain supply requirements—high-level logistics competence that many countries lack.</w:t>
      </w:r>
    </w:p>
    <w:p>
      <w:pPr>
        <w:spacing w:line="352" w:lineRule="auto" w:before="0"/>
        <w:ind w:left="3540" w:right="2" w:firstLine="300"/>
        <w:jc w:val="both"/>
        <w:rPr>
          <w:rFonts w:ascii="Arial" w:hAnsi="Arial"/>
          <w:sz w:val="16"/>
        </w:rPr>
      </w:pPr>
      <w:r>
        <w:rPr/>
        <mc:AlternateContent>
          <mc:Choice Requires="wps">
            <w:drawing>
              <wp:anchor distT="0" distB="0" distL="0" distR="0" allowOverlap="1" layoutInCell="1" locked="0" behindDoc="1" simplePos="0" relativeHeight="466741248">
                <wp:simplePos x="0" y="0"/>
                <wp:positionH relativeFrom="page">
                  <wp:posOffset>2133605</wp:posOffset>
                </wp:positionH>
                <wp:positionV relativeFrom="paragraph">
                  <wp:posOffset>2518689</wp:posOffset>
                </wp:positionV>
                <wp:extent cx="4876800" cy="3365500"/>
                <wp:effectExtent l="0" t="0" r="0" b="0"/>
                <wp:wrapNone/>
                <wp:docPr id="388" name="Group 388"/>
                <wp:cNvGraphicFramePr>
                  <a:graphicFrameLocks/>
                </wp:cNvGraphicFramePr>
                <a:graphic>
                  <a:graphicData uri="http://schemas.microsoft.com/office/word/2010/wordprocessingGroup">
                    <wpg:wgp>
                      <wpg:cNvPr id="388" name="Group 388"/>
                      <wpg:cNvGrpSpPr/>
                      <wpg:grpSpPr>
                        <a:xfrm>
                          <a:off x="0" y="0"/>
                          <a:ext cx="4876800" cy="3365500"/>
                          <a:chExt cx="4876800" cy="3365500"/>
                        </a:xfrm>
                      </wpg:grpSpPr>
                      <wps:wsp>
                        <wps:cNvPr id="389" name="Graphic 389"/>
                        <wps:cNvSpPr/>
                        <wps:spPr>
                          <a:xfrm>
                            <a:off x="198" y="386742"/>
                            <a:ext cx="4876800" cy="2978785"/>
                          </a:xfrm>
                          <a:custGeom>
                            <a:avLst/>
                            <a:gdLst/>
                            <a:ahLst/>
                            <a:cxnLst/>
                            <a:rect l="l" t="t" r="r" b="b"/>
                            <a:pathLst>
                              <a:path w="4876800" h="2978785">
                                <a:moveTo>
                                  <a:pt x="4876596" y="0"/>
                                </a:moveTo>
                                <a:lnTo>
                                  <a:pt x="0" y="0"/>
                                </a:lnTo>
                                <a:lnTo>
                                  <a:pt x="0" y="2903855"/>
                                </a:lnTo>
                                <a:lnTo>
                                  <a:pt x="6159" y="2932953"/>
                                </a:lnTo>
                                <a:lnTo>
                                  <a:pt x="22693" y="2956713"/>
                                </a:lnTo>
                                <a:lnTo>
                                  <a:pt x="46682" y="2972733"/>
                                </a:lnTo>
                                <a:lnTo>
                                  <a:pt x="75209" y="2978607"/>
                                </a:lnTo>
                                <a:lnTo>
                                  <a:pt x="4797717" y="2978607"/>
                                </a:lnTo>
                                <a:lnTo>
                                  <a:pt x="4826817" y="2973352"/>
                                </a:lnTo>
                                <a:lnTo>
                                  <a:pt x="4852068" y="2958366"/>
                                </a:lnTo>
                                <a:lnTo>
                                  <a:pt x="4869863" y="2934812"/>
                                </a:lnTo>
                                <a:lnTo>
                                  <a:pt x="4876596" y="2903855"/>
                                </a:lnTo>
                                <a:lnTo>
                                  <a:pt x="4876596" y="0"/>
                                </a:lnTo>
                                <a:close/>
                              </a:path>
                            </a:pathLst>
                          </a:custGeom>
                          <a:solidFill>
                            <a:srgbClr val="DFEAF7"/>
                          </a:solidFill>
                        </wps:spPr>
                        <wps:bodyPr wrap="square" lIns="0" tIns="0" rIns="0" bIns="0" rtlCol="0">
                          <a:prstTxWarp prst="textNoShape">
                            <a:avLst/>
                          </a:prstTxWarp>
                          <a:noAutofit/>
                        </wps:bodyPr>
                      </wps:wsp>
                      <wps:wsp>
                        <wps:cNvPr id="390" name="Graphic 390"/>
                        <wps:cNvSpPr/>
                        <wps:spPr>
                          <a:xfrm>
                            <a:off x="0" y="1649"/>
                            <a:ext cx="512445" cy="358775"/>
                          </a:xfrm>
                          <a:custGeom>
                            <a:avLst/>
                            <a:gdLst/>
                            <a:ahLst/>
                            <a:cxnLst/>
                            <a:rect l="l" t="t" r="r" b="b"/>
                            <a:pathLst>
                              <a:path w="512445" h="358775">
                                <a:moveTo>
                                  <a:pt x="512178" y="0"/>
                                </a:moveTo>
                                <a:lnTo>
                                  <a:pt x="76200" y="0"/>
                                </a:lnTo>
                                <a:lnTo>
                                  <a:pt x="47213" y="3058"/>
                                </a:lnTo>
                                <a:lnTo>
                                  <a:pt x="22917" y="14506"/>
                                </a:lnTo>
                                <a:lnTo>
                                  <a:pt x="6212" y="37751"/>
                                </a:lnTo>
                                <a:lnTo>
                                  <a:pt x="0" y="76200"/>
                                </a:lnTo>
                                <a:lnTo>
                                  <a:pt x="0" y="358775"/>
                                </a:lnTo>
                                <a:lnTo>
                                  <a:pt x="512178" y="358775"/>
                                </a:lnTo>
                                <a:lnTo>
                                  <a:pt x="512178" y="0"/>
                                </a:lnTo>
                                <a:close/>
                              </a:path>
                            </a:pathLst>
                          </a:custGeom>
                          <a:solidFill>
                            <a:srgbClr val="008FDD"/>
                          </a:solidFill>
                        </wps:spPr>
                        <wps:bodyPr wrap="square" lIns="0" tIns="0" rIns="0" bIns="0" rtlCol="0">
                          <a:prstTxWarp prst="textNoShape">
                            <a:avLst/>
                          </a:prstTxWarp>
                          <a:noAutofit/>
                        </wps:bodyPr>
                      </wps:wsp>
                      <wps:wsp>
                        <wps:cNvPr id="391" name="Graphic 391"/>
                        <wps:cNvSpPr/>
                        <wps:spPr>
                          <a:xfrm>
                            <a:off x="512182" y="1649"/>
                            <a:ext cx="4364355" cy="358775"/>
                          </a:xfrm>
                          <a:custGeom>
                            <a:avLst/>
                            <a:gdLst/>
                            <a:ahLst/>
                            <a:cxnLst/>
                            <a:rect l="l" t="t" r="r" b="b"/>
                            <a:pathLst>
                              <a:path w="4364355" h="358775">
                                <a:moveTo>
                                  <a:pt x="4287723" y="0"/>
                                </a:moveTo>
                                <a:lnTo>
                                  <a:pt x="0" y="0"/>
                                </a:lnTo>
                                <a:lnTo>
                                  <a:pt x="0" y="358775"/>
                                </a:lnTo>
                                <a:lnTo>
                                  <a:pt x="4363923" y="358775"/>
                                </a:lnTo>
                                <a:lnTo>
                                  <a:pt x="4363923" y="76200"/>
                                </a:lnTo>
                                <a:lnTo>
                                  <a:pt x="4358417" y="50979"/>
                                </a:lnTo>
                                <a:lnTo>
                                  <a:pt x="4342892" y="26265"/>
                                </a:lnTo>
                                <a:lnTo>
                                  <a:pt x="4318831" y="7468"/>
                                </a:lnTo>
                                <a:lnTo>
                                  <a:pt x="4287723" y="0"/>
                                </a:lnTo>
                                <a:close/>
                              </a:path>
                            </a:pathLst>
                          </a:custGeom>
                          <a:solidFill>
                            <a:srgbClr val="808285"/>
                          </a:solidFill>
                        </wps:spPr>
                        <wps:bodyPr wrap="square" lIns="0" tIns="0" rIns="0" bIns="0" rtlCol="0">
                          <a:prstTxWarp prst="textNoShape">
                            <a:avLst/>
                          </a:prstTxWarp>
                          <a:noAutofit/>
                        </wps:bodyPr>
                      </wps:wsp>
                      <wps:wsp>
                        <wps:cNvPr id="392" name="Graphic 392"/>
                        <wps:cNvSpPr/>
                        <wps:spPr>
                          <a:xfrm>
                            <a:off x="512179" y="0"/>
                            <a:ext cx="1270" cy="360680"/>
                          </a:xfrm>
                          <a:custGeom>
                            <a:avLst/>
                            <a:gdLst/>
                            <a:ahLst/>
                            <a:cxnLst/>
                            <a:rect l="l" t="t" r="r" b="b"/>
                            <a:pathLst>
                              <a:path w="0" h="360680">
                                <a:moveTo>
                                  <a:pt x="0" y="0"/>
                                </a:moveTo>
                                <a:lnTo>
                                  <a:pt x="0" y="360426"/>
                                </a:lnTo>
                              </a:path>
                            </a:pathLst>
                          </a:custGeom>
                          <a:ln w="25400">
                            <a:solidFill>
                              <a:srgbClr val="FFFFFF"/>
                            </a:solidFill>
                            <a:prstDash val="solid"/>
                          </a:ln>
                        </wps:spPr>
                        <wps:bodyPr wrap="square" lIns="0" tIns="0" rIns="0" bIns="0" rtlCol="0">
                          <a:prstTxWarp prst="textNoShape">
                            <a:avLst/>
                          </a:prstTxWarp>
                          <a:noAutofit/>
                        </wps:bodyPr>
                      </wps:wsp>
                      <wps:wsp>
                        <wps:cNvPr id="393" name="Graphic 393"/>
                        <wps:cNvSpPr/>
                        <wps:spPr>
                          <a:xfrm>
                            <a:off x="388153" y="2968111"/>
                            <a:ext cx="4072254" cy="1270"/>
                          </a:xfrm>
                          <a:custGeom>
                            <a:avLst/>
                            <a:gdLst/>
                            <a:ahLst/>
                            <a:cxnLst/>
                            <a:rect l="l" t="t" r="r" b="b"/>
                            <a:pathLst>
                              <a:path w="4072254" h="0">
                                <a:moveTo>
                                  <a:pt x="0" y="0"/>
                                </a:moveTo>
                                <a:lnTo>
                                  <a:pt x="4072102" y="0"/>
                                </a:lnTo>
                              </a:path>
                            </a:pathLst>
                          </a:custGeom>
                          <a:ln w="6350">
                            <a:solidFill>
                              <a:srgbClr val="FFFFFF"/>
                            </a:solidFill>
                            <a:prstDash val="solid"/>
                          </a:ln>
                        </wps:spPr>
                        <wps:bodyPr wrap="square" lIns="0" tIns="0" rIns="0" bIns="0" rtlCol="0">
                          <a:prstTxWarp prst="textNoShape">
                            <a:avLst/>
                          </a:prstTxWarp>
                          <a:noAutofit/>
                        </wps:bodyPr>
                      </wps:wsp>
                      <wps:wsp>
                        <wps:cNvPr id="394" name="Graphic 394"/>
                        <wps:cNvSpPr/>
                        <wps:spPr>
                          <a:xfrm>
                            <a:off x="388153" y="2968111"/>
                            <a:ext cx="4072254" cy="1270"/>
                          </a:xfrm>
                          <a:custGeom>
                            <a:avLst/>
                            <a:gdLst/>
                            <a:ahLst/>
                            <a:cxnLst/>
                            <a:rect l="l" t="t" r="r" b="b"/>
                            <a:pathLst>
                              <a:path w="4072254" h="0">
                                <a:moveTo>
                                  <a:pt x="0" y="0"/>
                                </a:moveTo>
                                <a:lnTo>
                                  <a:pt x="4072102" y="0"/>
                                </a:lnTo>
                              </a:path>
                            </a:pathLst>
                          </a:custGeom>
                          <a:ln w="6350">
                            <a:solidFill>
                              <a:srgbClr val="FFFFFF"/>
                            </a:solidFill>
                            <a:prstDash val="solid"/>
                          </a:ln>
                        </wps:spPr>
                        <wps:bodyPr wrap="square" lIns="0" tIns="0" rIns="0" bIns="0" rtlCol="0">
                          <a:prstTxWarp prst="textNoShape">
                            <a:avLst/>
                          </a:prstTxWarp>
                          <a:noAutofit/>
                        </wps:bodyPr>
                      </wps:wsp>
                      <wps:wsp>
                        <wps:cNvPr id="395" name="Graphic 395"/>
                        <wps:cNvSpPr/>
                        <wps:spPr>
                          <a:xfrm>
                            <a:off x="388153" y="2610068"/>
                            <a:ext cx="4072254" cy="1270"/>
                          </a:xfrm>
                          <a:custGeom>
                            <a:avLst/>
                            <a:gdLst/>
                            <a:ahLst/>
                            <a:cxnLst/>
                            <a:rect l="l" t="t" r="r" b="b"/>
                            <a:pathLst>
                              <a:path w="4072254" h="0">
                                <a:moveTo>
                                  <a:pt x="0" y="0"/>
                                </a:moveTo>
                                <a:lnTo>
                                  <a:pt x="4072102" y="0"/>
                                </a:lnTo>
                              </a:path>
                            </a:pathLst>
                          </a:custGeom>
                          <a:ln w="6350">
                            <a:solidFill>
                              <a:srgbClr val="FFFFFF"/>
                            </a:solidFill>
                            <a:prstDash val="solid"/>
                          </a:ln>
                        </wps:spPr>
                        <wps:bodyPr wrap="square" lIns="0" tIns="0" rIns="0" bIns="0" rtlCol="0">
                          <a:prstTxWarp prst="textNoShape">
                            <a:avLst/>
                          </a:prstTxWarp>
                          <a:noAutofit/>
                        </wps:bodyPr>
                      </wps:wsp>
                      <wps:wsp>
                        <wps:cNvPr id="396" name="Graphic 396"/>
                        <wps:cNvSpPr/>
                        <wps:spPr>
                          <a:xfrm>
                            <a:off x="388153" y="2252024"/>
                            <a:ext cx="4072254" cy="1270"/>
                          </a:xfrm>
                          <a:custGeom>
                            <a:avLst/>
                            <a:gdLst/>
                            <a:ahLst/>
                            <a:cxnLst/>
                            <a:rect l="l" t="t" r="r" b="b"/>
                            <a:pathLst>
                              <a:path w="4072254" h="0">
                                <a:moveTo>
                                  <a:pt x="0" y="0"/>
                                </a:moveTo>
                                <a:lnTo>
                                  <a:pt x="4072102" y="0"/>
                                </a:lnTo>
                              </a:path>
                            </a:pathLst>
                          </a:custGeom>
                          <a:ln w="6350">
                            <a:solidFill>
                              <a:srgbClr val="FFFFFF"/>
                            </a:solidFill>
                            <a:prstDash val="solid"/>
                          </a:ln>
                        </wps:spPr>
                        <wps:bodyPr wrap="square" lIns="0" tIns="0" rIns="0" bIns="0" rtlCol="0">
                          <a:prstTxWarp prst="textNoShape">
                            <a:avLst/>
                          </a:prstTxWarp>
                          <a:noAutofit/>
                        </wps:bodyPr>
                      </wps:wsp>
                      <wps:wsp>
                        <wps:cNvPr id="397" name="Graphic 397"/>
                        <wps:cNvSpPr/>
                        <wps:spPr>
                          <a:xfrm>
                            <a:off x="388153" y="1893981"/>
                            <a:ext cx="4072254" cy="1270"/>
                          </a:xfrm>
                          <a:custGeom>
                            <a:avLst/>
                            <a:gdLst/>
                            <a:ahLst/>
                            <a:cxnLst/>
                            <a:rect l="l" t="t" r="r" b="b"/>
                            <a:pathLst>
                              <a:path w="4072254" h="0">
                                <a:moveTo>
                                  <a:pt x="0" y="0"/>
                                </a:moveTo>
                                <a:lnTo>
                                  <a:pt x="4072102" y="0"/>
                                </a:lnTo>
                              </a:path>
                            </a:pathLst>
                          </a:custGeom>
                          <a:ln w="6350">
                            <a:solidFill>
                              <a:srgbClr val="FFFFFF"/>
                            </a:solidFill>
                            <a:prstDash val="solid"/>
                          </a:ln>
                        </wps:spPr>
                        <wps:bodyPr wrap="square" lIns="0" tIns="0" rIns="0" bIns="0" rtlCol="0">
                          <a:prstTxWarp prst="textNoShape">
                            <a:avLst/>
                          </a:prstTxWarp>
                          <a:noAutofit/>
                        </wps:bodyPr>
                      </wps:wsp>
                      <wps:wsp>
                        <wps:cNvPr id="398" name="Graphic 398"/>
                        <wps:cNvSpPr/>
                        <wps:spPr>
                          <a:xfrm>
                            <a:off x="388153" y="1535938"/>
                            <a:ext cx="4072254" cy="1270"/>
                          </a:xfrm>
                          <a:custGeom>
                            <a:avLst/>
                            <a:gdLst/>
                            <a:ahLst/>
                            <a:cxnLst/>
                            <a:rect l="l" t="t" r="r" b="b"/>
                            <a:pathLst>
                              <a:path w="4072254" h="0">
                                <a:moveTo>
                                  <a:pt x="0" y="0"/>
                                </a:moveTo>
                                <a:lnTo>
                                  <a:pt x="4072102" y="0"/>
                                </a:lnTo>
                              </a:path>
                            </a:pathLst>
                          </a:custGeom>
                          <a:ln w="6350">
                            <a:solidFill>
                              <a:srgbClr val="FFFFFF"/>
                            </a:solidFill>
                            <a:prstDash val="solid"/>
                          </a:ln>
                        </wps:spPr>
                        <wps:bodyPr wrap="square" lIns="0" tIns="0" rIns="0" bIns="0" rtlCol="0">
                          <a:prstTxWarp prst="textNoShape">
                            <a:avLst/>
                          </a:prstTxWarp>
                          <a:noAutofit/>
                        </wps:bodyPr>
                      </wps:wsp>
                      <wps:wsp>
                        <wps:cNvPr id="399" name="Graphic 399"/>
                        <wps:cNvSpPr/>
                        <wps:spPr>
                          <a:xfrm>
                            <a:off x="388153" y="1177894"/>
                            <a:ext cx="4072254" cy="1270"/>
                          </a:xfrm>
                          <a:custGeom>
                            <a:avLst/>
                            <a:gdLst/>
                            <a:ahLst/>
                            <a:cxnLst/>
                            <a:rect l="l" t="t" r="r" b="b"/>
                            <a:pathLst>
                              <a:path w="4072254" h="0">
                                <a:moveTo>
                                  <a:pt x="0" y="0"/>
                                </a:moveTo>
                                <a:lnTo>
                                  <a:pt x="4072102" y="0"/>
                                </a:lnTo>
                              </a:path>
                            </a:pathLst>
                          </a:custGeom>
                          <a:ln w="6350">
                            <a:solidFill>
                              <a:srgbClr val="FFFFFF"/>
                            </a:solidFill>
                            <a:prstDash val="solid"/>
                          </a:ln>
                        </wps:spPr>
                        <wps:bodyPr wrap="square" lIns="0" tIns="0" rIns="0" bIns="0" rtlCol="0">
                          <a:prstTxWarp prst="textNoShape">
                            <a:avLst/>
                          </a:prstTxWarp>
                          <a:noAutofit/>
                        </wps:bodyPr>
                      </wps:wsp>
                      <wps:wsp>
                        <wps:cNvPr id="400" name="Graphic 400"/>
                        <wps:cNvSpPr/>
                        <wps:spPr>
                          <a:xfrm>
                            <a:off x="388153" y="819851"/>
                            <a:ext cx="4072254" cy="1270"/>
                          </a:xfrm>
                          <a:custGeom>
                            <a:avLst/>
                            <a:gdLst/>
                            <a:ahLst/>
                            <a:cxnLst/>
                            <a:rect l="l" t="t" r="r" b="b"/>
                            <a:pathLst>
                              <a:path w="4072254" h="0">
                                <a:moveTo>
                                  <a:pt x="0" y="0"/>
                                </a:moveTo>
                                <a:lnTo>
                                  <a:pt x="4072102" y="0"/>
                                </a:lnTo>
                              </a:path>
                            </a:pathLst>
                          </a:custGeom>
                          <a:ln w="6350">
                            <a:solidFill>
                              <a:srgbClr val="FFFFFF"/>
                            </a:solidFill>
                            <a:prstDash val="solid"/>
                          </a:ln>
                        </wps:spPr>
                        <wps:bodyPr wrap="square" lIns="0" tIns="0" rIns="0" bIns="0" rtlCol="0">
                          <a:prstTxWarp prst="textNoShape">
                            <a:avLst/>
                          </a:prstTxWarp>
                          <a:noAutofit/>
                        </wps:bodyPr>
                      </wps:wsp>
                      <wps:wsp>
                        <wps:cNvPr id="401" name="Graphic 401"/>
                        <wps:cNvSpPr/>
                        <wps:spPr>
                          <a:xfrm>
                            <a:off x="793365" y="1056763"/>
                            <a:ext cx="2976245" cy="1217295"/>
                          </a:xfrm>
                          <a:custGeom>
                            <a:avLst/>
                            <a:gdLst/>
                            <a:ahLst/>
                            <a:cxnLst/>
                            <a:rect l="l" t="t" r="r" b="b"/>
                            <a:pathLst>
                              <a:path w="2976245" h="1217295">
                                <a:moveTo>
                                  <a:pt x="0" y="399221"/>
                                </a:moveTo>
                                <a:lnTo>
                                  <a:pt x="41287" y="372107"/>
                                </a:lnTo>
                                <a:lnTo>
                                  <a:pt x="53837" y="383050"/>
                                </a:lnTo>
                                <a:lnTo>
                                  <a:pt x="71604" y="399787"/>
                                </a:lnTo>
                                <a:lnTo>
                                  <a:pt x="93135" y="411723"/>
                                </a:lnTo>
                                <a:lnTo>
                                  <a:pt x="145634" y="381819"/>
                                </a:lnTo>
                                <a:lnTo>
                                  <a:pt x="178909" y="339627"/>
                                </a:lnTo>
                                <a:lnTo>
                                  <a:pt x="211325" y="293339"/>
                                </a:lnTo>
                                <a:lnTo>
                                  <a:pt x="237401" y="254607"/>
                                </a:lnTo>
                                <a:lnTo>
                                  <a:pt x="266211" y="195852"/>
                                </a:lnTo>
                                <a:lnTo>
                                  <a:pt x="275459" y="173466"/>
                                </a:lnTo>
                                <a:lnTo>
                                  <a:pt x="285572" y="159699"/>
                                </a:lnTo>
                                <a:lnTo>
                                  <a:pt x="295704" y="154296"/>
                                </a:lnTo>
                                <a:lnTo>
                                  <a:pt x="304706" y="156026"/>
                                </a:lnTo>
                                <a:lnTo>
                                  <a:pt x="315320" y="166372"/>
                                </a:lnTo>
                                <a:lnTo>
                                  <a:pt x="330288" y="186814"/>
                                </a:lnTo>
                                <a:lnTo>
                                  <a:pt x="353059" y="225545"/>
                                </a:lnTo>
                                <a:lnTo>
                                  <a:pt x="381257" y="279176"/>
                                </a:lnTo>
                                <a:lnTo>
                                  <a:pt x="408916" y="331820"/>
                                </a:lnTo>
                                <a:lnTo>
                                  <a:pt x="430072" y="367586"/>
                                </a:lnTo>
                                <a:lnTo>
                                  <a:pt x="441063" y="382874"/>
                                </a:lnTo>
                                <a:lnTo>
                                  <a:pt x="445766" y="385947"/>
                                </a:lnTo>
                                <a:lnTo>
                                  <a:pt x="449503" y="378709"/>
                                </a:lnTo>
                                <a:lnTo>
                                  <a:pt x="457593" y="363065"/>
                                </a:lnTo>
                                <a:lnTo>
                                  <a:pt x="472779" y="332879"/>
                                </a:lnTo>
                                <a:lnTo>
                                  <a:pt x="491783" y="289344"/>
                                </a:lnTo>
                                <a:lnTo>
                                  <a:pt x="510895" y="245386"/>
                                </a:lnTo>
                                <a:lnTo>
                                  <a:pt x="526402" y="213928"/>
                                </a:lnTo>
                                <a:lnTo>
                                  <a:pt x="535115" y="198819"/>
                                </a:lnTo>
                                <a:lnTo>
                                  <a:pt x="539740" y="193029"/>
                                </a:lnTo>
                                <a:lnTo>
                                  <a:pt x="545436" y="193170"/>
                                </a:lnTo>
                                <a:lnTo>
                                  <a:pt x="557364" y="195856"/>
                                </a:lnTo>
                                <a:lnTo>
                                  <a:pt x="577687" y="203691"/>
                                </a:lnTo>
                                <a:lnTo>
                                  <a:pt x="603386" y="217318"/>
                                </a:lnTo>
                                <a:lnTo>
                                  <a:pt x="631881" y="230380"/>
                                </a:lnTo>
                                <a:lnTo>
                                  <a:pt x="660590" y="236522"/>
                                </a:lnTo>
                                <a:lnTo>
                                  <a:pt x="690130" y="234478"/>
                                </a:lnTo>
                                <a:lnTo>
                                  <a:pt x="721444" y="227487"/>
                                </a:lnTo>
                                <a:lnTo>
                                  <a:pt x="781011" y="200365"/>
                                </a:lnTo>
                                <a:lnTo>
                                  <a:pt x="810522" y="174277"/>
                                </a:lnTo>
                                <a:lnTo>
                                  <a:pt x="840786" y="139643"/>
                                </a:lnTo>
                                <a:lnTo>
                                  <a:pt x="864384" y="109386"/>
                                </a:lnTo>
                                <a:lnTo>
                                  <a:pt x="873899" y="96428"/>
                                </a:lnTo>
                                <a:lnTo>
                                  <a:pt x="895379" y="70443"/>
                                </a:lnTo>
                                <a:lnTo>
                                  <a:pt x="916266" y="43891"/>
                                </a:lnTo>
                                <a:lnTo>
                                  <a:pt x="935753" y="21011"/>
                                </a:lnTo>
                                <a:lnTo>
                                  <a:pt x="953033" y="6042"/>
                                </a:lnTo>
                                <a:lnTo>
                                  <a:pt x="966771" y="0"/>
                                </a:lnTo>
                                <a:lnTo>
                                  <a:pt x="977766" y="668"/>
                                </a:lnTo>
                                <a:lnTo>
                                  <a:pt x="988437" y="7412"/>
                                </a:lnTo>
                                <a:lnTo>
                                  <a:pt x="1001204" y="19593"/>
                                </a:lnTo>
                                <a:lnTo>
                                  <a:pt x="1017277" y="41343"/>
                                </a:lnTo>
                                <a:lnTo>
                                  <a:pt x="1035180" y="71568"/>
                                </a:lnTo>
                                <a:lnTo>
                                  <a:pt x="1053296" y="101793"/>
                                </a:lnTo>
                                <a:lnTo>
                                  <a:pt x="1070013" y="123543"/>
                                </a:lnTo>
                                <a:lnTo>
                                  <a:pt x="1083617" y="134770"/>
                                </a:lnTo>
                                <a:lnTo>
                                  <a:pt x="1095392" y="139924"/>
                                </a:lnTo>
                                <a:lnTo>
                                  <a:pt x="1108241" y="140275"/>
                                </a:lnTo>
                                <a:lnTo>
                                  <a:pt x="1125067" y="137093"/>
                                </a:lnTo>
                                <a:lnTo>
                                  <a:pt x="1148613" y="125940"/>
                                </a:lnTo>
                                <a:lnTo>
                                  <a:pt x="1176674" y="107725"/>
                                </a:lnTo>
                                <a:lnTo>
                                  <a:pt x="1204734" y="91766"/>
                                </a:lnTo>
                                <a:lnTo>
                                  <a:pt x="1228280" y="87386"/>
                                </a:lnTo>
                                <a:lnTo>
                                  <a:pt x="1244462" y="96569"/>
                                </a:lnTo>
                                <a:lnTo>
                                  <a:pt x="1256236" y="114506"/>
                                </a:lnTo>
                                <a:lnTo>
                                  <a:pt x="1267796" y="140349"/>
                                </a:lnTo>
                                <a:lnTo>
                                  <a:pt x="1283335" y="173250"/>
                                </a:lnTo>
                                <a:lnTo>
                                  <a:pt x="1306124" y="219751"/>
                                </a:lnTo>
                                <a:lnTo>
                                  <a:pt x="1333219" y="278044"/>
                                </a:lnTo>
                                <a:lnTo>
                                  <a:pt x="1359453" y="334785"/>
                                </a:lnTo>
                                <a:lnTo>
                                  <a:pt x="1379664" y="376628"/>
                                </a:lnTo>
                                <a:lnTo>
                                  <a:pt x="1390656" y="400705"/>
                                </a:lnTo>
                                <a:lnTo>
                                  <a:pt x="1395791" y="413909"/>
                                </a:lnTo>
                                <a:lnTo>
                                  <a:pt x="1399743" y="417512"/>
                                </a:lnTo>
                                <a:lnTo>
                                  <a:pt x="1407185" y="412785"/>
                                </a:lnTo>
                                <a:lnTo>
                                  <a:pt x="1420197" y="393893"/>
                                </a:lnTo>
                                <a:lnTo>
                                  <a:pt x="1436004" y="362220"/>
                                </a:lnTo>
                                <a:lnTo>
                                  <a:pt x="1452026" y="329843"/>
                                </a:lnTo>
                                <a:lnTo>
                                  <a:pt x="1465681" y="308836"/>
                                </a:lnTo>
                                <a:lnTo>
                                  <a:pt x="1474684" y="307883"/>
                                </a:lnTo>
                                <a:lnTo>
                                  <a:pt x="1480945" y="318721"/>
                                </a:lnTo>
                                <a:lnTo>
                                  <a:pt x="1488175" y="328004"/>
                                </a:lnTo>
                                <a:lnTo>
                                  <a:pt x="1500085" y="322386"/>
                                </a:lnTo>
                                <a:lnTo>
                                  <a:pt x="1519462" y="292768"/>
                                </a:lnTo>
                                <a:lnTo>
                                  <a:pt x="1543734" y="248106"/>
                                </a:lnTo>
                                <a:lnTo>
                                  <a:pt x="1568546" y="202170"/>
                                </a:lnTo>
                                <a:lnTo>
                                  <a:pt x="1589544" y="168729"/>
                                </a:lnTo>
                                <a:lnTo>
                                  <a:pt x="1605186" y="151043"/>
                                </a:lnTo>
                                <a:lnTo>
                                  <a:pt x="1617926" y="141899"/>
                                </a:lnTo>
                                <a:lnTo>
                                  <a:pt x="1629374" y="139392"/>
                                </a:lnTo>
                                <a:lnTo>
                                  <a:pt x="1641144" y="141615"/>
                                </a:lnTo>
                                <a:lnTo>
                                  <a:pt x="1676386" y="169050"/>
                                </a:lnTo>
                                <a:lnTo>
                                  <a:pt x="1701042" y="241911"/>
                                </a:lnTo>
                                <a:lnTo>
                                  <a:pt x="1713759" y="296616"/>
                                </a:lnTo>
                                <a:lnTo>
                                  <a:pt x="1726806" y="357212"/>
                                </a:lnTo>
                                <a:lnTo>
                                  <a:pt x="1739520" y="416433"/>
                                </a:lnTo>
                                <a:lnTo>
                                  <a:pt x="1751241" y="467014"/>
                                </a:lnTo>
                                <a:lnTo>
                                  <a:pt x="1763929" y="519162"/>
                                </a:lnTo>
                                <a:lnTo>
                                  <a:pt x="1775326" y="565590"/>
                                </a:lnTo>
                                <a:lnTo>
                                  <a:pt x="1786724" y="605662"/>
                                </a:lnTo>
                                <a:lnTo>
                                  <a:pt x="1814331" y="661763"/>
                                </a:lnTo>
                                <a:lnTo>
                                  <a:pt x="1846746" y="687467"/>
                                </a:lnTo>
                                <a:lnTo>
                                  <a:pt x="1861337" y="702015"/>
                                </a:lnTo>
                                <a:lnTo>
                                  <a:pt x="1873569" y="720552"/>
                                </a:lnTo>
                                <a:lnTo>
                                  <a:pt x="1884349" y="740150"/>
                                </a:lnTo>
                                <a:lnTo>
                                  <a:pt x="1894805" y="761019"/>
                                </a:lnTo>
                                <a:lnTo>
                                  <a:pt x="1906066" y="783371"/>
                                </a:lnTo>
                                <a:lnTo>
                                  <a:pt x="1918247" y="805115"/>
                                </a:lnTo>
                                <a:lnTo>
                                  <a:pt x="1930801" y="826862"/>
                                </a:lnTo>
                                <a:lnTo>
                                  <a:pt x="1943891" y="852848"/>
                                </a:lnTo>
                                <a:lnTo>
                                  <a:pt x="1957679" y="887308"/>
                                </a:lnTo>
                                <a:lnTo>
                                  <a:pt x="1972597" y="938680"/>
                                </a:lnTo>
                                <a:lnTo>
                                  <a:pt x="1988427" y="1002268"/>
                                </a:lnTo>
                                <a:lnTo>
                                  <a:pt x="2004365" y="1062608"/>
                                </a:lnTo>
                                <a:lnTo>
                                  <a:pt x="2019604" y="1104237"/>
                                </a:lnTo>
                                <a:lnTo>
                                  <a:pt x="2034098" y="1122244"/>
                                </a:lnTo>
                                <a:lnTo>
                                  <a:pt x="2048213" y="1125139"/>
                                </a:lnTo>
                                <a:lnTo>
                                  <a:pt x="2061786" y="1117583"/>
                                </a:lnTo>
                                <a:lnTo>
                                  <a:pt x="2074659" y="1104237"/>
                                </a:lnTo>
                                <a:lnTo>
                                  <a:pt x="2085112" y="1079628"/>
                                </a:lnTo>
                                <a:lnTo>
                                  <a:pt x="2093795" y="1043510"/>
                                </a:lnTo>
                                <a:lnTo>
                                  <a:pt x="2104091" y="1008380"/>
                                </a:lnTo>
                                <a:lnTo>
                                  <a:pt x="2119388" y="986736"/>
                                </a:lnTo>
                                <a:lnTo>
                                  <a:pt x="2142420" y="985218"/>
                                </a:lnTo>
                                <a:lnTo>
                                  <a:pt x="2170777" y="996058"/>
                                </a:lnTo>
                                <a:lnTo>
                                  <a:pt x="2200104" y="1010146"/>
                                </a:lnTo>
                                <a:lnTo>
                                  <a:pt x="2226043" y="1018372"/>
                                </a:lnTo>
                                <a:lnTo>
                                  <a:pt x="2247707" y="1015299"/>
                                </a:lnTo>
                                <a:lnTo>
                                  <a:pt x="2267327" y="1006789"/>
                                </a:lnTo>
                                <a:lnTo>
                                  <a:pt x="2285229" y="1000680"/>
                                </a:lnTo>
                                <a:lnTo>
                                  <a:pt x="2301735" y="1004808"/>
                                </a:lnTo>
                                <a:lnTo>
                                  <a:pt x="2315768" y="1025043"/>
                                </a:lnTo>
                                <a:lnTo>
                                  <a:pt x="2327541" y="1055938"/>
                                </a:lnTo>
                                <a:lnTo>
                                  <a:pt x="2339314" y="1088387"/>
                                </a:lnTo>
                                <a:lnTo>
                                  <a:pt x="2353348" y="1113279"/>
                                </a:lnTo>
                                <a:lnTo>
                                  <a:pt x="2369929" y="1128990"/>
                                </a:lnTo>
                                <a:lnTo>
                                  <a:pt x="2387965" y="1140111"/>
                                </a:lnTo>
                                <a:lnTo>
                                  <a:pt x="2407615" y="1146855"/>
                                </a:lnTo>
                                <a:lnTo>
                                  <a:pt x="2429040" y="1149436"/>
                                </a:lnTo>
                                <a:lnTo>
                                  <a:pt x="2451617" y="1143219"/>
                                </a:lnTo>
                                <a:lnTo>
                                  <a:pt x="2475484" y="1129660"/>
                                </a:lnTo>
                                <a:lnTo>
                                  <a:pt x="2501931" y="1118080"/>
                                </a:lnTo>
                                <a:lnTo>
                                  <a:pt x="2532253" y="1117800"/>
                                </a:lnTo>
                                <a:lnTo>
                                  <a:pt x="2570208" y="1138204"/>
                                </a:lnTo>
                                <a:lnTo>
                                  <a:pt x="2613967" y="1172028"/>
                                </a:lnTo>
                                <a:lnTo>
                                  <a:pt x="2656436" y="1203591"/>
                                </a:lnTo>
                                <a:lnTo>
                                  <a:pt x="2690520" y="1217216"/>
                                </a:lnTo>
                                <a:lnTo>
                                  <a:pt x="2712778" y="1203731"/>
                                </a:lnTo>
                                <a:lnTo>
                                  <a:pt x="2727507" y="1173158"/>
                                </a:lnTo>
                                <a:lnTo>
                                  <a:pt x="2739224" y="1138629"/>
                                </a:lnTo>
                                <a:lnTo>
                                  <a:pt x="2752445" y="1113279"/>
                                </a:lnTo>
                                <a:lnTo>
                                  <a:pt x="2768093" y="1099827"/>
                                </a:lnTo>
                                <a:lnTo>
                                  <a:pt x="2783847" y="1091530"/>
                                </a:lnTo>
                                <a:lnTo>
                                  <a:pt x="2799385" y="1087329"/>
                                </a:lnTo>
                                <a:lnTo>
                                  <a:pt x="2814383" y="1086164"/>
                                </a:lnTo>
                                <a:lnTo>
                                  <a:pt x="2827418" y="1092625"/>
                                </a:lnTo>
                                <a:lnTo>
                                  <a:pt x="2839108" y="1105651"/>
                                </a:lnTo>
                                <a:lnTo>
                                  <a:pt x="2852197" y="1115713"/>
                                </a:lnTo>
                                <a:lnTo>
                                  <a:pt x="2869425" y="1113279"/>
                                </a:lnTo>
                                <a:lnTo>
                                  <a:pt x="2891855" y="1095004"/>
                                </a:lnTo>
                                <a:lnTo>
                                  <a:pt x="2917913" y="1066246"/>
                                </a:lnTo>
                                <a:lnTo>
                                  <a:pt x="2946392" y="1030499"/>
                                </a:lnTo>
                                <a:lnTo>
                                  <a:pt x="2976079" y="991257"/>
                                </a:lnTo>
                              </a:path>
                            </a:pathLst>
                          </a:custGeom>
                          <a:ln w="25399">
                            <a:solidFill>
                              <a:srgbClr val="008FDD"/>
                            </a:solidFill>
                            <a:prstDash val="solid"/>
                          </a:ln>
                        </wps:spPr>
                        <wps:bodyPr wrap="square" lIns="0" tIns="0" rIns="0" bIns="0" rtlCol="0">
                          <a:prstTxWarp prst="textNoShape">
                            <a:avLst/>
                          </a:prstTxWarp>
                          <a:noAutofit/>
                        </wps:bodyPr>
                      </wps:wsp>
                      <wps:wsp>
                        <wps:cNvPr id="402" name="Graphic 402"/>
                        <wps:cNvSpPr/>
                        <wps:spPr>
                          <a:xfrm>
                            <a:off x="776161" y="1153186"/>
                            <a:ext cx="2993390" cy="1003300"/>
                          </a:xfrm>
                          <a:custGeom>
                            <a:avLst/>
                            <a:gdLst/>
                            <a:ahLst/>
                            <a:cxnLst/>
                            <a:rect l="l" t="t" r="r" b="b"/>
                            <a:pathLst>
                              <a:path w="2993390" h="1003300">
                                <a:moveTo>
                                  <a:pt x="0" y="872236"/>
                                </a:moveTo>
                                <a:lnTo>
                                  <a:pt x="19933" y="876399"/>
                                </a:lnTo>
                                <a:lnTo>
                                  <a:pt x="39460" y="878447"/>
                                </a:lnTo>
                                <a:lnTo>
                                  <a:pt x="58180" y="876259"/>
                                </a:lnTo>
                                <a:lnTo>
                                  <a:pt x="75692" y="867714"/>
                                </a:lnTo>
                                <a:lnTo>
                                  <a:pt x="91363" y="844939"/>
                                </a:lnTo>
                                <a:lnTo>
                                  <a:pt x="105581" y="811503"/>
                                </a:lnTo>
                                <a:lnTo>
                                  <a:pt x="119476" y="782445"/>
                                </a:lnTo>
                                <a:lnTo>
                                  <a:pt x="134175" y="772807"/>
                                </a:lnTo>
                                <a:lnTo>
                                  <a:pt x="150602" y="792933"/>
                                </a:lnTo>
                                <a:lnTo>
                                  <a:pt x="167941" y="832689"/>
                                </a:lnTo>
                                <a:lnTo>
                                  <a:pt x="184742" y="876401"/>
                                </a:lnTo>
                                <a:lnTo>
                                  <a:pt x="199555" y="908392"/>
                                </a:lnTo>
                                <a:lnTo>
                                  <a:pt x="211330" y="924455"/>
                                </a:lnTo>
                                <a:lnTo>
                                  <a:pt x="221060" y="932964"/>
                                </a:lnTo>
                                <a:lnTo>
                                  <a:pt x="230360" y="937096"/>
                                </a:lnTo>
                                <a:lnTo>
                                  <a:pt x="240842" y="940028"/>
                                </a:lnTo>
                                <a:lnTo>
                                  <a:pt x="252857" y="939747"/>
                                </a:lnTo>
                                <a:lnTo>
                                  <a:pt x="265571" y="935510"/>
                                </a:lnTo>
                                <a:lnTo>
                                  <a:pt x="278820" y="932402"/>
                                </a:lnTo>
                                <a:lnTo>
                                  <a:pt x="292442" y="935507"/>
                                </a:lnTo>
                                <a:lnTo>
                                  <a:pt x="306663" y="950970"/>
                                </a:lnTo>
                                <a:lnTo>
                                  <a:pt x="321476" y="974485"/>
                                </a:lnTo>
                                <a:lnTo>
                                  <a:pt x="336396" y="995459"/>
                                </a:lnTo>
                                <a:lnTo>
                                  <a:pt x="350939" y="1003300"/>
                                </a:lnTo>
                                <a:lnTo>
                                  <a:pt x="364861" y="991155"/>
                                </a:lnTo>
                                <a:lnTo>
                                  <a:pt x="378460" y="966015"/>
                                </a:lnTo>
                                <a:lnTo>
                                  <a:pt x="392058" y="938052"/>
                                </a:lnTo>
                                <a:lnTo>
                                  <a:pt x="405980" y="917435"/>
                                </a:lnTo>
                                <a:lnTo>
                                  <a:pt x="419314" y="905427"/>
                                </a:lnTo>
                                <a:lnTo>
                                  <a:pt x="432219" y="897093"/>
                                </a:lnTo>
                                <a:lnTo>
                                  <a:pt x="446628" y="893278"/>
                                </a:lnTo>
                                <a:lnTo>
                                  <a:pt x="464477" y="894829"/>
                                </a:lnTo>
                                <a:lnTo>
                                  <a:pt x="487458" y="906871"/>
                                </a:lnTo>
                                <a:lnTo>
                                  <a:pt x="514149" y="927314"/>
                                </a:lnTo>
                                <a:lnTo>
                                  <a:pt x="541808" y="946201"/>
                                </a:lnTo>
                                <a:lnTo>
                                  <a:pt x="567690" y="953579"/>
                                </a:lnTo>
                                <a:lnTo>
                                  <a:pt x="590460" y="944082"/>
                                </a:lnTo>
                                <a:lnTo>
                                  <a:pt x="611776" y="923925"/>
                                </a:lnTo>
                                <a:lnTo>
                                  <a:pt x="633414" y="900519"/>
                                </a:lnTo>
                                <a:lnTo>
                                  <a:pt x="657148" y="881278"/>
                                </a:lnTo>
                                <a:lnTo>
                                  <a:pt x="718004" y="853311"/>
                                </a:lnTo>
                                <a:lnTo>
                                  <a:pt x="770686" y="836079"/>
                                </a:lnTo>
                                <a:lnTo>
                                  <a:pt x="785521" y="832692"/>
                                </a:lnTo>
                                <a:lnTo>
                                  <a:pt x="787697" y="837566"/>
                                </a:lnTo>
                                <a:lnTo>
                                  <a:pt x="794766" y="849642"/>
                                </a:lnTo>
                                <a:lnTo>
                                  <a:pt x="808742" y="875735"/>
                                </a:lnTo>
                                <a:lnTo>
                                  <a:pt x="826160" y="912631"/>
                                </a:lnTo>
                                <a:lnTo>
                                  <a:pt x="845083" y="947408"/>
                                </a:lnTo>
                                <a:lnTo>
                                  <a:pt x="863574" y="967143"/>
                                </a:lnTo>
                                <a:lnTo>
                                  <a:pt x="884788" y="963116"/>
                                </a:lnTo>
                                <a:lnTo>
                                  <a:pt x="908526" y="943981"/>
                                </a:lnTo>
                                <a:lnTo>
                                  <a:pt x="927854" y="922869"/>
                                </a:lnTo>
                                <a:lnTo>
                                  <a:pt x="935837" y="912914"/>
                                </a:lnTo>
                                <a:lnTo>
                                  <a:pt x="960051" y="894305"/>
                                </a:lnTo>
                                <a:lnTo>
                                  <a:pt x="987223" y="873085"/>
                                </a:lnTo>
                                <a:lnTo>
                                  <a:pt x="1013645" y="853701"/>
                                </a:lnTo>
                                <a:lnTo>
                                  <a:pt x="1035608" y="840600"/>
                                </a:lnTo>
                                <a:lnTo>
                                  <a:pt x="1051120" y="837597"/>
                                </a:lnTo>
                                <a:lnTo>
                                  <a:pt x="1062489" y="841446"/>
                                </a:lnTo>
                                <a:lnTo>
                                  <a:pt x="1072461" y="846002"/>
                                </a:lnTo>
                                <a:lnTo>
                                  <a:pt x="1083779" y="845121"/>
                                </a:lnTo>
                                <a:lnTo>
                                  <a:pt x="1096571" y="833646"/>
                                </a:lnTo>
                                <a:lnTo>
                                  <a:pt x="1109581" y="816027"/>
                                </a:lnTo>
                                <a:lnTo>
                                  <a:pt x="1123450" y="800524"/>
                                </a:lnTo>
                                <a:lnTo>
                                  <a:pt x="1138821" y="795401"/>
                                </a:lnTo>
                                <a:lnTo>
                                  <a:pt x="1157101" y="806596"/>
                                </a:lnTo>
                                <a:lnTo>
                                  <a:pt x="1177529" y="828452"/>
                                </a:lnTo>
                                <a:lnTo>
                                  <a:pt x="1197527" y="851861"/>
                                </a:lnTo>
                                <a:lnTo>
                                  <a:pt x="1214513" y="867714"/>
                                </a:lnTo>
                                <a:lnTo>
                                  <a:pt x="1227092" y="873858"/>
                                </a:lnTo>
                                <a:lnTo>
                                  <a:pt x="1236876" y="875058"/>
                                </a:lnTo>
                                <a:lnTo>
                                  <a:pt x="1245801" y="872586"/>
                                </a:lnTo>
                                <a:lnTo>
                                  <a:pt x="1290559" y="840922"/>
                                </a:lnTo>
                                <a:lnTo>
                                  <a:pt x="1319427" y="794634"/>
                                </a:lnTo>
                                <a:lnTo>
                                  <a:pt x="1336441" y="759253"/>
                                </a:lnTo>
                                <a:lnTo>
                                  <a:pt x="1353562" y="722744"/>
                                </a:lnTo>
                                <a:lnTo>
                                  <a:pt x="1369339" y="691464"/>
                                </a:lnTo>
                                <a:lnTo>
                                  <a:pt x="1383290" y="662863"/>
                                </a:lnTo>
                                <a:lnTo>
                                  <a:pt x="1396222" y="634971"/>
                                </a:lnTo>
                                <a:lnTo>
                                  <a:pt x="1408615" y="614990"/>
                                </a:lnTo>
                                <a:lnTo>
                                  <a:pt x="1420952" y="610120"/>
                                </a:lnTo>
                                <a:lnTo>
                                  <a:pt x="1431540" y="632994"/>
                                </a:lnTo>
                                <a:lnTo>
                                  <a:pt x="1440732" y="676208"/>
                                </a:lnTo>
                                <a:lnTo>
                                  <a:pt x="1452077" y="716884"/>
                                </a:lnTo>
                                <a:lnTo>
                                  <a:pt x="1469123" y="732142"/>
                                </a:lnTo>
                                <a:lnTo>
                                  <a:pt x="1488801" y="711821"/>
                                </a:lnTo>
                                <a:lnTo>
                                  <a:pt x="1512747" y="669553"/>
                                </a:lnTo>
                                <a:lnTo>
                                  <a:pt x="1538897" y="621177"/>
                                </a:lnTo>
                                <a:lnTo>
                                  <a:pt x="1565184" y="582527"/>
                                </a:lnTo>
                                <a:lnTo>
                                  <a:pt x="1612692" y="591313"/>
                                </a:lnTo>
                                <a:lnTo>
                                  <a:pt x="1636004" y="637589"/>
                                </a:lnTo>
                                <a:lnTo>
                                  <a:pt x="1658408" y="694171"/>
                                </a:lnTo>
                                <a:lnTo>
                                  <a:pt x="1678830" y="746958"/>
                                </a:lnTo>
                                <a:lnTo>
                                  <a:pt x="1696199" y="781850"/>
                                </a:lnTo>
                                <a:lnTo>
                                  <a:pt x="1712353" y="797841"/>
                                </a:lnTo>
                                <a:lnTo>
                                  <a:pt x="1723937" y="797947"/>
                                </a:lnTo>
                                <a:lnTo>
                                  <a:pt x="1733695" y="790004"/>
                                </a:lnTo>
                                <a:lnTo>
                                  <a:pt x="1744370" y="781850"/>
                                </a:lnTo>
                                <a:lnTo>
                                  <a:pt x="1755604" y="774153"/>
                                </a:lnTo>
                                <a:lnTo>
                                  <a:pt x="1766301" y="763208"/>
                                </a:lnTo>
                                <a:lnTo>
                                  <a:pt x="1778072" y="750283"/>
                                </a:lnTo>
                                <a:lnTo>
                                  <a:pt x="1792528" y="736650"/>
                                </a:lnTo>
                                <a:lnTo>
                                  <a:pt x="1811319" y="722424"/>
                                </a:lnTo>
                                <a:lnTo>
                                  <a:pt x="1833173" y="706996"/>
                                </a:lnTo>
                                <a:lnTo>
                                  <a:pt x="1855349" y="690577"/>
                                </a:lnTo>
                                <a:lnTo>
                                  <a:pt x="1890369" y="659577"/>
                                </a:lnTo>
                                <a:lnTo>
                                  <a:pt x="1916391" y="629425"/>
                                </a:lnTo>
                                <a:lnTo>
                                  <a:pt x="1948771" y="561268"/>
                                </a:lnTo>
                                <a:lnTo>
                                  <a:pt x="1966475" y="515874"/>
                                </a:lnTo>
                                <a:lnTo>
                                  <a:pt x="1985421" y="465210"/>
                                </a:lnTo>
                                <a:lnTo>
                                  <a:pt x="2004319" y="414107"/>
                                </a:lnTo>
                                <a:lnTo>
                                  <a:pt x="2021880" y="367400"/>
                                </a:lnTo>
                                <a:lnTo>
                                  <a:pt x="2036813" y="329920"/>
                                </a:lnTo>
                                <a:lnTo>
                                  <a:pt x="2054364" y="286066"/>
                                </a:lnTo>
                                <a:lnTo>
                                  <a:pt x="2068420" y="250829"/>
                                </a:lnTo>
                                <a:lnTo>
                                  <a:pt x="2080433" y="228020"/>
                                </a:lnTo>
                                <a:lnTo>
                                  <a:pt x="2091855" y="221449"/>
                                </a:lnTo>
                                <a:lnTo>
                                  <a:pt x="2101726" y="236953"/>
                                </a:lnTo>
                                <a:lnTo>
                                  <a:pt x="2109711" y="270884"/>
                                </a:lnTo>
                                <a:lnTo>
                                  <a:pt x="2118229" y="312864"/>
                                </a:lnTo>
                                <a:lnTo>
                                  <a:pt x="2129701" y="352513"/>
                                </a:lnTo>
                                <a:lnTo>
                                  <a:pt x="2145669" y="393716"/>
                                </a:lnTo>
                                <a:lnTo>
                                  <a:pt x="2164541" y="439793"/>
                                </a:lnTo>
                                <a:lnTo>
                                  <a:pt x="2184059" y="479513"/>
                                </a:lnTo>
                                <a:lnTo>
                                  <a:pt x="2201964" y="501650"/>
                                </a:lnTo>
                                <a:lnTo>
                                  <a:pt x="2216742" y="501577"/>
                                </a:lnTo>
                                <a:lnTo>
                                  <a:pt x="2229910" y="485828"/>
                                </a:lnTo>
                                <a:lnTo>
                                  <a:pt x="2243726" y="459912"/>
                                </a:lnTo>
                                <a:lnTo>
                                  <a:pt x="2260447" y="429336"/>
                                </a:lnTo>
                                <a:lnTo>
                                  <a:pt x="2282383" y="390993"/>
                                </a:lnTo>
                                <a:lnTo>
                                  <a:pt x="2307759" y="343473"/>
                                </a:lnTo>
                                <a:lnTo>
                                  <a:pt x="2332704" y="294821"/>
                                </a:lnTo>
                                <a:lnTo>
                                  <a:pt x="2353348" y="253085"/>
                                </a:lnTo>
                                <a:lnTo>
                                  <a:pt x="2380008" y="194056"/>
                                </a:lnTo>
                                <a:lnTo>
                                  <a:pt x="2398077" y="144627"/>
                                </a:lnTo>
                                <a:lnTo>
                                  <a:pt x="2409469" y="84459"/>
                                </a:lnTo>
                                <a:lnTo>
                                  <a:pt x="2414440" y="58722"/>
                                </a:lnTo>
                                <a:lnTo>
                                  <a:pt x="2422156" y="45199"/>
                                </a:lnTo>
                                <a:lnTo>
                                  <a:pt x="2433335" y="50140"/>
                                </a:lnTo>
                                <a:lnTo>
                                  <a:pt x="2446667" y="68359"/>
                                </a:lnTo>
                                <a:lnTo>
                                  <a:pt x="2461504" y="89685"/>
                                </a:lnTo>
                                <a:lnTo>
                                  <a:pt x="2477198" y="103949"/>
                                </a:lnTo>
                                <a:lnTo>
                                  <a:pt x="2494458" y="107232"/>
                                </a:lnTo>
                                <a:lnTo>
                                  <a:pt x="2513330" y="105359"/>
                                </a:lnTo>
                                <a:lnTo>
                                  <a:pt x="2532201" y="102781"/>
                                </a:lnTo>
                                <a:lnTo>
                                  <a:pt x="2549461" y="103949"/>
                                </a:lnTo>
                                <a:lnTo>
                                  <a:pt x="2564751" y="113303"/>
                                </a:lnTo>
                                <a:lnTo>
                                  <a:pt x="2578915" y="127390"/>
                                </a:lnTo>
                                <a:lnTo>
                                  <a:pt x="2592113" y="138796"/>
                                </a:lnTo>
                                <a:lnTo>
                                  <a:pt x="2604503" y="140106"/>
                                </a:lnTo>
                                <a:lnTo>
                                  <a:pt x="2615226" y="126473"/>
                                </a:lnTo>
                                <a:lnTo>
                                  <a:pt x="2624499" y="102817"/>
                                </a:lnTo>
                                <a:lnTo>
                                  <a:pt x="2634096" y="76339"/>
                                </a:lnTo>
                                <a:lnTo>
                                  <a:pt x="2645791" y="54241"/>
                                </a:lnTo>
                                <a:lnTo>
                                  <a:pt x="2660844" y="35384"/>
                                </a:lnTo>
                                <a:lnTo>
                                  <a:pt x="2678045" y="16952"/>
                                </a:lnTo>
                                <a:lnTo>
                                  <a:pt x="2695461" y="3605"/>
                                </a:lnTo>
                                <a:lnTo>
                                  <a:pt x="2711157" y="0"/>
                                </a:lnTo>
                                <a:lnTo>
                                  <a:pt x="2724167" y="11160"/>
                                </a:lnTo>
                                <a:lnTo>
                                  <a:pt x="2735672" y="33335"/>
                                </a:lnTo>
                                <a:lnTo>
                                  <a:pt x="2746962" y="58051"/>
                                </a:lnTo>
                                <a:lnTo>
                                  <a:pt x="2759329" y="76835"/>
                                </a:lnTo>
                                <a:lnTo>
                                  <a:pt x="2773308" y="82553"/>
                                </a:lnTo>
                                <a:lnTo>
                                  <a:pt x="2788148" y="81353"/>
                                </a:lnTo>
                                <a:lnTo>
                                  <a:pt x="2803202" y="84671"/>
                                </a:lnTo>
                                <a:lnTo>
                                  <a:pt x="2817825" y="103949"/>
                                </a:lnTo>
                                <a:lnTo>
                                  <a:pt x="2828889" y="138405"/>
                                </a:lnTo>
                                <a:lnTo>
                                  <a:pt x="2839595" y="186347"/>
                                </a:lnTo>
                                <a:lnTo>
                                  <a:pt x="2850273" y="239206"/>
                                </a:lnTo>
                                <a:lnTo>
                                  <a:pt x="2861253" y="288413"/>
                                </a:lnTo>
                                <a:lnTo>
                                  <a:pt x="2872867" y="325399"/>
                                </a:lnTo>
                                <a:lnTo>
                                  <a:pt x="2905550" y="367766"/>
                                </a:lnTo>
                                <a:lnTo>
                                  <a:pt x="2938233" y="384149"/>
                                </a:lnTo>
                                <a:lnTo>
                                  <a:pt x="2952847" y="391246"/>
                                </a:lnTo>
                                <a:lnTo>
                                  <a:pt x="2966732" y="395163"/>
                                </a:lnTo>
                                <a:lnTo>
                                  <a:pt x="2980131" y="396961"/>
                                </a:lnTo>
                                <a:lnTo>
                                  <a:pt x="2993288" y="397700"/>
                                </a:lnTo>
                              </a:path>
                            </a:pathLst>
                          </a:custGeom>
                          <a:ln w="25400">
                            <a:solidFill>
                              <a:srgbClr val="76AEE5"/>
                            </a:solidFill>
                            <a:prstDash val="solid"/>
                          </a:ln>
                        </wps:spPr>
                        <wps:bodyPr wrap="square" lIns="0" tIns="0" rIns="0" bIns="0" rtlCol="0">
                          <a:prstTxWarp prst="textNoShape">
                            <a:avLst/>
                          </a:prstTxWarp>
                          <a:noAutofit/>
                        </wps:bodyPr>
                      </wps:wsp>
                      <wps:wsp>
                        <wps:cNvPr id="403" name="Graphic 403"/>
                        <wps:cNvSpPr/>
                        <wps:spPr>
                          <a:xfrm>
                            <a:off x="730782" y="1110806"/>
                            <a:ext cx="3247390" cy="1649730"/>
                          </a:xfrm>
                          <a:custGeom>
                            <a:avLst/>
                            <a:gdLst/>
                            <a:ahLst/>
                            <a:cxnLst/>
                            <a:rect l="l" t="t" r="r" b="b"/>
                            <a:pathLst>
                              <a:path w="3247390" h="1649730">
                                <a:moveTo>
                                  <a:pt x="0" y="1649669"/>
                                </a:moveTo>
                                <a:lnTo>
                                  <a:pt x="2377" y="1645342"/>
                                </a:lnTo>
                                <a:lnTo>
                                  <a:pt x="5414" y="1640486"/>
                                </a:lnTo>
                                <a:lnTo>
                                  <a:pt x="9774" y="1634574"/>
                                </a:lnTo>
                                <a:lnTo>
                                  <a:pt x="16116" y="1627075"/>
                                </a:lnTo>
                                <a:lnTo>
                                  <a:pt x="25211" y="1616198"/>
                                </a:lnTo>
                                <a:lnTo>
                                  <a:pt x="36509" y="1602780"/>
                                </a:lnTo>
                                <a:lnTo>
                                  <a:pt x="48688" y="1590210"/>
                                </a:lnTo>
                                <a:lnTo>
                                  <a:pt x="60426" y="1581876"/>
                                </a:lnTo>
                                <a:lnTo>
                                  <a:pt x="71316" y="1579193"/>
                                </a:lnTo>
                                <a:lnTo>
                                  <a:pt x="82081" y="1580184"/>
                                </a:lnTo>
                                <a:lnTo>
                                  <a:pt x="93096" y="1583151"/>
                                </a:lnTo>
                                <a:lnTo>
                                  <a:pt x="104736" y="1586397"/>
                                </a:lnTo>
                                <a:lnTo>
                                  <a:pt x="116887" y="1589648"/>
                                </a:lnTo>
                                <a:lnTo>
                                  <a:pt x="157111" y="1604469"/>
                                </a:lnTo>
                                <a:lnTo>
                                  <a:pt x="193119" y="1623683"/>
                                </a:lnTo>
                                <a:lnTo>
                                  <a:pt x="211218" y="1632650"/>
                                </a:lnTo>
                                <a:lnTo>
                                  <a:pt x="225602" y="1636105"/>
                                </a:lnTo>
                                <a:lnTo>
                                  <a:pt x="232590" y="1631093"/>
                                </a:lnTo>
                                <a:lnTo>
                                  <a:pt x="234667" y="1620290"/>
                                </a:lnTo>
                                <a:lnTo>
                                  <a:pt x="238254" y="1608359"/>
                                </a:lnTo>
                                <a:lnTo>
                                  <a:pt x="249770" y="1599961"/>
                                </a:lnTo>
                                <a:lnTo>
                                  <a:pt x="273693" y="1597134"/>
                                </a:lnTo>
                                <a:lnTo>
                                  <a:pt x="305669" y="1597133"/>
                                </a:lnTo>
                                <a:lnTo>
                                  <a:pt x="338903" y="1597416"/>
                                </a:lnTo>
                                <a:lnTo>
                                  <a:pt x="366598" y="1595440"/>
                                </a:lnTo>
                                <a:lnTo>
                                  <a:pt x="403107" y="1583578"/>
                                </a:lnTo>
                                <a:lnTo>
                                  <a:pt x="443807" y="1559569"/>
                                </a:lnTo>
                                <a:lnTo>
                                  <a:pt x="454979" y="1549683"/>
                                </a:lnTo>
                                <a:lnTo>
                                  <a:pt x="466276" y="1541209"/>
                                </a:lnTo>
                                <a:lnTo>
                                  <a:pt x="479399" y="1536689"/>
                                </a:lnTo>
                                <a:lnTo>
                                  <a:pt x="496143" y="1537924"/>
                                </a:lnTo>
                                <a:lnTo>
                                  <a:pt x="515154" y="1543182"/>
                                </a:lnTo>
                                <a:lnTo>
                                  <a:pt x="533411" y="1549712"/>
                                </a:lnTo>
                                <a:lnTo>
                                  <a:pt x="547890" y="1554761"/>
                                </a:lnTo>
                                <a:lnTo>
                                  <a:pt x="557331" y="1556282"/>
                                </a:lnTo>
                                <a:lnTo>
                                  <a:pt x="563499" y="1556178"/>
                                </a:lnTo>
                                <a:lnTo>
                                  <a:pt x="567903" y="1557626"/>
                                </a:lnTo>
                                <a:lnTo>
                                  <a:pt x="572058" y="1563804"/>
                                </a:lnTo>
                                <a:lnTo>
                                  <a:pt x="575742" y="1580749"/>
                                </a:lnTo>
                                <a:lnTo>
                                  <a:pt x="578356" y="1605039"/>
                                </a:lnTo>
                                <a:lnTo>
                                  <a:pt x="580843" y="1625660"/>
                                </a:lnTo>
                                <a:lnTo>
                                  <a:pt x="584149" y="1631596"/>
                                </a:lnTo>
                                <a:lnTo>
                                  <a:pt x="587485" y="1613482"/>
                                </a:lnTo>
                                <a:lnTo>
                                  <a:pt x="590696" y="1579338"/>
                                </a:lnTo>
                                <a:lnTo>
                                  <a:pt x="595668" y="1544205"/>
                                </a:lnTo>
                                <a:lnTo>
                                  <a:pt x="604291" y="1523126"/>
                                </a:lnTo>
                                <a:lnTo>
                                  <a:pt x="618955" y="1523267"/>
                                </a:lnTo>
                                <a:lnTo>
                                  <a:pt x="638025" y="1535556"/>
                                </a:lnTo>
                                <a:lnTo>
                                  <a:pt x="657348" y="1550669"/>
                                </a:lnTo>
                                <a:lnTo>
                                  <a:pt x="672769" y="1559283"/>
                                </a:lnTo>
                                <a:lnTo>
                                  <a:pt x="681425" y="1557939"/>
                                </a:lnTo>
                                <a:lnTo>
                                  <a:pt x="686115" y="1551937"/>
                                </a:lnTo>
                                <a:lnTo>
                                  <a:pt x="691184" y="1545090"/>
                                </a:lnTo>
                                <a:lnTo>
                                  <a:pt x="700976" y="1541211"/>
                                </a:lnTo>
                                <a:lnTo>
                                  <a:pt x="717717" y="1540184"/>
                                </a:lnTo>
                                <a:lnTo>
                                  <a:pt x="738741" y="1540358"/>
                                </a:lnTo>
                                <a:lnTo>
                                  <a:pt x="761025" y="1543216"/>
                                </a:lnTo>
                                <a:lnTo>
                                  <a:pt x="781545" y="1550240"/>
                                </a:lnTo>
                                <a:lnTo>
                                  <a:pt x="800365" y="1565174"/>
                                </a:lnTo>
                                <a:lnTo>
                                  <a:pt x="818810" y="1586113"/>
                                </a:lnTo>
                                <a:lnTo>
                                  <a:pt x="835744" y="1606063"/>
                                </a:lnTo>
                                <a:lnTo>
                                  <a:pt x="850036" y="1618033"/>
                                </a:lnTo>
                                <a:lnTo>
                                  <a:pt x="859410" y="1618103"/>
                                </a:lnTo>
                                <a:lnTo>
                                  <a:pt x="865136" y="1610689"/>
                                </a:lnTo>
                                <a:lnTo>
                                  <a:pt x="871367" y="1601299"/>
                                </a:lnTo>
                                <a:lnTo>
                                  <a:pt x="882256" y="1595440"/>
                                </a:lnTo>
                                <a:lnTo>
                                  <a:pt x="903689" y="1594876"/>
                                </a:lnTo>
                                <a:lnTo>
                                  <a:pt x="931860" y="1596571"/>
                                </a:lnTo>
                                <a:lnTo>
                                  <a:pt x="956381" y="1598831"/>
                                </a:lnTo>
                                <a:lnTo>
                                  <a:pt x="966863" y="1599961"/>
                                </a:lnTo>
                                <a:lnTo>
                                  <a:pt x="990245" y="1601405"/>
                                </a:lnTo>
                                <a:lnTo>
                                  <a:pt x="1014950" y="1603063"/>
                                </a:lnTo>
                                <a:lnTo>
                                  <a:pt x="1037767" y="1604297"/>
                                </a:lnTo>
                                <a:lnTo>
                                  <a:pt x="1055484" y="1604469"/>
                                </a:lnTo>
                                <a:lnTo>
                                  <a:pt x="1065497" y="1602953"/>
                                </a:lnTo>
                                <a:lnTo>
                                  <a:pt x="1070094" y="1600235"/>
                                </a:lnTo>
                                <a:lnTo>
                                  <a:pt x="1073431" y="1597377"/>
                                </a:lnTo>
                                <a:lnTo>
                                  <a:pt x="1079665" y="1595440"/>
                                </a:lnTo>
                                <a:lnTo>
                                  <a:pt x="1089480" y="1594379"/>
                                </a:lnTo>
                                <a:lnTo>
                                  <a:pt x="1100809" y="1593744"/>
                                </a:lnTo>
                                <a:lnTo>
                                  <a:pt x="1113649" y="1593957"/>
                                </a:lnTo>
                                <a:lnTo>
                                  <a:pt x="1166021" y="1602213"/>
                                </a:lnTo>
                                <a:lnTo>
                                  <a:pt x="1208575" y="1623081"/>
                                </a:lnTo>
                                <a:lnTo>
                                  <a:pt x="1214868" y="1645607"/>
                                </a:lnTo>
                                <a:lnTo>
                                  <a:pt x="1220660" y="1649669"/>
                                </a:lnTo>
                                <a:lnTo>
                                  <a:pt x="1263060" y="1615241"/>
                                </a:lnTo>
                                <a:lnTo>
                                  <a:pt x="1272025" y="1603625"/>
                                </a:lnTo>
                                <a:lnTo>
                                  <a:pt x="1272024" y="1603801"/>
                                </a:lnTo>
                                <a:lnTo>
                                  <a:pt x="1277061" y="1604469"/>
                                </a:lnTo>
                                <a:lnTo>
                                  <a:pt x="1289589" y="1607898"/>
                                </a:lnTo>
                                <a:lnTo>
                                  <a:pt x="1306772" y="1613796"/>
                                </a:lnTo>
                                <a:lnTo>
                                  <a:pt x="1325213" y="1617291"/>
                                </a:lnTo>
                                <a:lnTo>
                                  <a:pt x="1341513" y="1613512"/>
                                </a:lnTo>
                                <a:lnTo>
                                  <a:pt x="1354452" y="1597094"/>
                                </a:lnTo>
                                <a:lnTo>
                                  <a:pt x="1365940" y="1571992"/>
                                </a:lnTo>
                                <a:lnTo>
                                  <a:pt x="1377302" y="1547314"/>
                                </a:lnTo>
                                <a:lnTo>
                                  <a:pt x="1389862" y="1532168"/>
                                </a:lnTo>
                                <a:lnTo>
                                  <a:pt x="1406949" y="1531568"/>
                                </a:lnTo>
                                <a:lnTo>
                                  <a:pt x="1426871" y="1539793"/>
                                </a:lnTo>
                                <a:lnTo>
                                  <a:pt x="1443396" y="1549854"/>
                                </a:lnTo>
                                <a:lnTo>
                                  <a:pt x="1450289" y="1554761"/>
                                </a:lnTo>
                                <a:lnTo>
                                  <a:pt x="1470209" y="1562673"/>
                                </a:lnTo>
                                <a:lnTo>
                                  <a:pt x="1514584" y="1580186"/>
                                </a:lnTo>
                                <a:lnTo>
                                  <a:pt x="1553175" y="1589966"/>
                                </a:lnTo>
                                <a:lnTo>
                                  <a:pt x="1585972" y="1592014"/>
                                </a:lnTo>
                                <a:lnTo>
                                  <a:pt x="1599349" y="1590918"/>
                                </a:lnTo>
                                <a:lnTo>
                                  <a:pt x="1649455" y="1554943"/>
                                </a:lnTo>
                                <a:lnTo>
                                  <a:pt x="1671861" y="1530754"/>
                                </a:lnTo>
                                <a:lnTo>
                                  <a:pt x="1694269" y="1507272"/>
                                </a:lnTo>
                                <a:lnTo>
                                  <a:pt x="1712150" y="1491490"/>
                                </a:lnTo>
                                <a:lnTo>
                                  <a:pt x="1723887" y="1486796"/>
                                </a:lnTo>
                                <a:lnTo>
                                  <a:pt x="1732037" y="1488950"/>
                                </a:lnTo>
                                <a:lnTo>
                                  <a:pt x="1738298" y="1493505"/>
                                </a:lnTo>
                                <a:lnTo>
                                  <a:pt x="1744370" y="1496011"/>
                                </a:lnTo>
                                <a:lnTo>
                                  <a:pt x="1748750" y="1497848"/>
                                </a:lnTo>
                                <a:lnTo>
                                  <a:pt x="1751176" y="1500532"/>
                                </a:lnTo>
                                <a:lnTo>
                                  <a:pt x="1755237" y="1499826"/>
                                </a:lnTo>
                                <a:lnTo>
                                  <a:pt x="1764525" y="1491490"/>
                                </a:lnTo>
                                <a:lnTo>
                                  <a:pt x="1782556" y="1470167"/>
                                </a:lnTo>
                                <a:lnTo>
                                  <a:pt x="1806570" y="1439522"/>
                                </a:lnTo>
                                <a:lnTo>
                                  <a:pt x="1830710" y="1408876"/>
                                </a:lnTo>
                                <a:lnTo>
                                  <a:pt x="1849120" y="1387553"/>
                                </a:lnTo>
                                <a:lnTo>
                                  <a:pt x="1858748" y="1379428"/>
                                </a:lnTo>
                                <a:lnTo>
                                  <a:pt x="1863218" y="1379073"/>
                                </a:lnTo>
                                <a:lnTo>
                                  <a:pt x="1866681" y="1381828"/>
                                </a:lnTo>
                                <a:lnTo>
                                  <a:pt x="1873288" y="1383032"/>
                                </a:lnTo>
                                <a:lnTo>
                                  <a:pt x="1884589" y="1382747"/>
                                </a:lnTo>
                                <a:lnTo>
                                  <a:pt x="1898218" y="1383029"/>
                                </a:lnTo>
                                <a:lnTo>
                                  <a:pt x="1912475" y="1382182"/>
                                </a:lnTo>
                                <a:lnTo>
                                  <a:pt x="1949080" y="1364954"/>
                                </a:lnTo>
                                <a:lnTo>
                                  <a:pt x="1978977" y="1315415"/>
                                </a:lnTo>
                                <a:lnTo>
                                  <a:pt x="1994715" y="1257016"/>
                                </a:lnTo>
                                <a:lnTo>
                                  <a:pt x="2009538" y="1189225"/>
                                </a:lnTo>
                                <a:lnTo>
                                  <a:pt x="2016555" y="1149997"/>
                                </a:lnTo>
                                <a:lnTo>
                                  <a:pt x="2023445" y="1112039"/>
                                </a:lnTo>
                                <a:lnTo>
                                  <a:pt x="2030399" y="1080226"/>
                                </a:lnTo>
                                <a:lnTo>
                                  <a:pt x="2037927" y="1057388"/>
                                </a:lnTo>
                                <a:lnTo>
                                  <a:pt x="2045765" y="1040408"/>
                                </a:lnTo>
                                <a:lnTo>
                                  <a:pt x="2052972" y="1025262"/>
                                </a:lnTo>
                                <a:lnTo>
                                  <a:pt x="2058606" y="1007925"/>
                                </a:lnTo>
                                <a:lnTo>
                                  <a:pt x="2061187" y="985397"/>
                                </a:lnTo>
                                <a:lnTo>
                                  <a:pt x="2061627" y="960468"/>
                                </a:lnTo>
                                <a:lnTo>
                                  <a:pt x="2062569" y="937802"/>
                                </a:lnTo>
                                <a:lnTo>
                                  <a:pt x="2066658" y="922060"/>
                                </a:lnTo>
                                <a:lnTo>
                                  <a:pt x="2074908" y="915174"/>
                                </a:lnTo>
                                <a:lnTo>
                                  <a:pt x="2085800" y="914431"/>
                                </a:lnTo>
                                <a:lnTo>
                                  <a:pt x="2098201" y="917502"/>
                                </a:lnTo>
                                <a:lnTo>
                                  <a:pt x="2110981" y="922060"/>
                                </a:lnTo>
                                <a:lnTo>
                                  <a:pt x="2124226" y="928660"/>
                                </a:lnTo>
                                <a:lnTo>
                                  <a:pt x="2138419" y="938156"/>
                                </a:lnTo>
                                <a:lnTo>
                                  <a:pt x="2152993" y="948640"/>
                                </a:lnTo>
                                <a:lnTo>
                                  <a:pt x="2167382" y="958204"/>
                                </a:lnTo>
                                <a:lnTo>
                                  <a:pt x="2182047" y="967811"/>
                                </a:lnTo>
                                <a:lnTo>
                                  <a:pt x="2197092" y="977980"/>
                                </a:lnTo>
                                <a:lnTo>
                                  <a:pt x="2211382" y="986170"/>
                                </a:lnTo>
                                <a:lnTo>
                                  <a:pt x="2223782" y="989840"/>
                                </a:lnTo>
                                <a:lnTo>
                                  <a:pt x="2232876" y="992176"/>
                                </a:lnTo>
                                <a:lnTo>
                                  <a:pt x="2239640" y="993237"/>
                                </a:lnTo>
                                <a:lnTo>
                                  <a:pt x="2246530" y="985822"/>
                                </a:lnTo>
                                <a:lnTo>
                                  <a:pt x="2256002" y="962726"/>
                                </a:lnTo>
                                <a:lnTo>
                                  <a:pt x="2266863" y="925308"/>
                                </a:lnTo>
                                <a:lnTo>
                                  <a:pt x="2279884" y="872885"/>
                                </a:lnTo>
                                <a:lnTo>
                                  <a:pt x="2293516" y="815220"/>
                                </a:lnTo>
                                <a:lnTo>
                                  <a:pt x="2306214" y="762072"/>
                                </a:lnTo>
                                <a:lnTo>
                                  <a:pt x="2316429" y="723204"/>
                                </a:lnTo>
                                <a:lnTo>
                                  <a:pt x="2325025" y="702693"/>
                                </a:lnTo>
                                <a:lnTo>
                                  <a:pt x="2330786" y="700329"/>
                                </a:lnTo>
                                <a:lnTo>
                                  <a:pt x="2335413" y="698106"/>
                                </a:lnTo>
                                <a:lnTo>
                                  <a:pt x="2340610" y="678017"/>
                                </a:lnTo>
                                <a:lnTo>
                                  <a:pt x="2345248" y="641713"/>
                                </a:lnTo>
                                <a:lnTo>
                                  <a:pt x="2349695" y="593335"/>
                                </a:lnTo>
                                <a:lnTo>
                                  <a:pt x="2354239" y="539609"/>
                                </a:lnTo>
                                <a:lnTo>
                                  <a:pt x="2359170" y="487257"/>
                                </a:lnTo>
                                <a:lnTo>
                                  <a:pt x="2364778" y="443003"/>
                                </a:lnTo>
                                <a:lnTo>
                                  <a:pt x="2372992" y="399223"/>
                                </a:lnTo>
                                <a:lnTo>
                                  <a:pt x="2382150" y="361657"/>
                                </a:lnTo>
                                <a:lnTo>
                                  <a:pt x="2401036" y="298389"/>
                                </a:lnTo>
                                <a:lnTo>
                                  <a:pt x="2419418" y="246700"/>
                                </a:lnTo>
                                <a:lnTo>
                                  <a:pt x="2437295" y="208003"/>
                                </a:lnTo>
                                <a:lnTo>
                                  <a:pt x="2452906" y="189640"/>
                                </a:lnTo>
                                <a:lnTo>
                                  <a:pt x="2460712" y="182048"/>
                                </a:lnTo>
                                <a:lnTo>
                                  <a:pt x="2469527" y="167325"/>
                                </a:lnTo>
                                <a:lnTo>
                                  <a:pt x="2480224" y="140422"/>
                                </a:lnTo>
                                <a:lnTo>
                                  <a:pt x="2492182" y="105752"/>
                                </a:lnTo>
                                <a:lnTo>
                                  <a:pt x="2503890" y="71363"/>
                                </a:lnTo>
                                <a:lnTo>
                                  <a:pt x="2513838" y="45303"/>
                                </a:lnTo>
                                <a:lnTo>
                                  <a:pt x="2521770" y="30512"/>
                                </a:lnTo>
                                <a:lnTo>
                                  <a:pt x="2528441" y="22427"/>
                                </a:lnTo>
                                <a:lnTo>
                                  <a:pt x="2533853" y="17871"/>
                                </a:lnTo>
                                <a:lnTo>
                                  <a:pt x="2538006" y="13667"/>
                                </a:lnTo>
                                <a:lnTo>
                                  <a:pt x="2539579" y="7698"/>
                                </a:lnTo>
                                <a:lnTo>
                                  <a:pt x="2539014" y="2083"/>
                                </a:lnTo>
                                <a:lnTo>
                                  <a:pt x="2538950" y="0"/>
                                </a:lnTo>
                                <a:lnTo>
                                  <a:pt x="2560669" y="40217"/>
                                </a:lnTo>
                                <a:lnTo>
                                  <a:pt x="2582316" y="85981"/>
                                </a:lnTo>
                                <a:lnTo>
                                  <a:pt x="2599191" y="124389"/>
                                </a:lnTo>
                                <a:lnTo>
                                  <a:pt x="2610931" y="171806"/>
                                </a:lnTo>
                                <a:lnTo>
                                  <a:pt x="2608257" y="183425"/>
                                </a:lnTo>
                                <a:lnTo>
                                  <a:pt x="2605709" y="193772"/>
                                </a:lnTo>
                                <a:lnTo>
                                  <a:pt x="2606497" y="203481"/>
                                </a:lnTo>
                                <a:lnTo>
                                  <a:pt x="2638717" y="235117"/>
                                </a:lnTo>
                                <a:lnTo>
                                  <a:pt x="2647454" y="239638"/>
                                </a:lnTo>
                                <a:lnTo>
                                  <a:pt x="2650134" y="237378"/>
                                </a:lnTo>
                                <a:lnTo>
                                  <a:pt x="2658859" y="230596"/>
                                </a:lnTo>
                                <a:lnTo>
                                  <a:pt x="2691091" y="194439"/>
                                </a:lnTo>
                                <a:lnTo>
                                  <a:pt x="2715013" y="162526"/>
                                </a:lnTo>
                                <a:lnTo>
                                  <a:pt x="2726876" y="146460"/>
                                </a:lnTo>
                                <a:lnTo>
                                  <a:pt x="2735402" y="135689"/>
                                </a:lnTo>
                                <a:lnTo>
                                  <a:pt x="2739246" y="131839"/>
                                </a:lnTo>
                                <a:lnTo>
                                  <a:pt x="2739940" y="132582"/>
                                </a:lnTo>
                                <a:lnTo>
                                  <a:pt x="2739375" y="136009"/>
                                </a:lnTo>
                                <a:lnTo>
                                  <a:pt x="2739440" y="140210"/>
                                </a:lnTo>
                                <a:lnTo>
                                  <a:pt x="2739687" y="145506"/>
                                </a:lnTo>
                                <a:lnTo>
                                  <a:pt x="2739434" y="152639"/>
                                </a:lnTo>
                                <a:lnTo>
                                  <a:pt x="2740190" y="160336"/>
                                </a:lnTo>
                                <a:lnTo>
                                  <a:pt x="2770471" y="187236"/>
                                </a:lnTo>
                                <a:lnTo>
                                  <a:pt x="2779725" y="189918"/>
                                </a:lnTo>
                                <a:lnTo>
                                  <a:pt x="2787152" y="185721"/>
                                </a:lnTo>
                                <a:lnTo>
                                  <a:pt x="2793822" y="176648"/>
                                </a:lnTo>
                                <a:lnTo>
                                  <a:pt x="2800492" y="169692"/>
                                </a:lnTo>
                                <a:lnTo>
                                  <a:pt x="2826553" y="206871"/>
                                </a:lnTo>
                                <a:lnTo>
                                  <a:pt x="2844177" y="262232"/>
                                </a:lnTo>
                                <a:lnTo>
                                  <a:pt x="2852486" y="335668"/>
                                </a:lnTo>
                                <a:lnTo>
                                  <a:pt x="2856547" y="374505"/>
                                </a:lnTo>
                                <a:lnTo>
                                  <a:pt x="2878360" y="431599"/>
                                </a:lnTo>
                                <a:lnTo>
                                  <a:pt x="2914744" y="467545"/>
                                </a:lnTo>
                                <a:lnTo>
                                  <a:pt x="2941118" y="485941"/>
                                </a:lnTo>
                                <a:lnTo>
                                  <a:pt x="2944360" y="484459"/>
                                </a:lnTo>
                                <a:lnTo>
                                  <a:pt x="2948927" y="483682"/>
                                </a:lnTo>
                                <a:lnTo>
                                  <a:pt x="2955031" y="482621"/>
                                </a:lnTo>
                                <a:lnTo>
                                  <a:pt x="2961514" y="480291"/>
                                </a:lnTo>
                                <a:lnTo>
                                  <a:pt x="2968752" y="479656"/>
                                </a:lnTo>
                                <a:lnTo>
                                  <a:pt x="2998776" y="508818"/>
                                </a:lnTo>
                                <a:lnTo>
                                  <a:pt x="3021431" y="542432"/>
                                </a:lnTo>
                                <a:lnTo>
                                  <a:pt x="3047683" y="591792"/>
                                </a:lnTo>
                                <a:lnTo>
                                  <a:pt x="3057690" y="610224"/>
                                </a:lnTo>
                                <a:lnTo>
                                  <a:pt x="3069650" y="630099"/>
                                </a:lnTo>
                                <a:lnTo>
                                  <a:pt x="3082872" y="651176"/>
                                </a:lnTo>
                                <a:lnTo>
                                  <a:pt x="3096596" y="673243"/>
                                </a:lnTo>
                                <a:lnTo>
                                  <a:pt x="3110064" y="696089"/>
                                </a:lnTo>
                                <a:lnTo>
                                  <a:pt x="3123727" y="718617"/>
                                </a:lnTo>
                                <a:lnTo>
                                  <a:pt x="3137766" y="741284"/>
                                </a:lnTo>
                                <a:lnTo>
                                  <a:pt x="3151048" y="766210"/>
                                </a:lnTo>
                                <a:lnTo>
                                  <a:pt x="3171470" y="831563"/>
                                </a:lnTo>
                                <a:lnTo>
                                  <a:pt x="3178803" y="872625"/>
                                </a:lnTo>
                                <a:lnTo>
                                  <a:pt x="3185003" y="914679"/>
                                </a:lnTo>
                                <a:lnTo>
                                  <a:pt x="3190633" y="953696"/>
                                </a:lnTo>
                                <a:lnTo>
                                  <a:pt x="3195703" y="988362"/>
                                </a:lnTo>
                                <a:lnTo>
                                  <a:pt x="3203572" y="1052617"/>
                                </a:lnTo>
                                <a:lnTo>
                                  <a:pt x="3208763" y="1120056"/>
                                </a:lnTo>
                                <a:lnTo>
                                  <a:pt x="3209772" y="1157061"/>
                                </a:lnTo>
                                <a:lnTo>
                                  <a:pt x="3211286" y="1190675"/>
                                </a:lnTo>
                                <a:lnTo>
                                  <a:pt x="3214814" y="1215811"/>
                                </a:lnTo>
                                <a:lnTo>
                                  <a:pt x="3220884" y="1230361"/>
                                </a:lnTo>
                                <a:lnTo>
                                  <a:pt x="3228657" y="1237281"/>
                                </a:lnTo>
                                <a:lnTo>
                                  <a:pt x="3237563" y="1239114"/>
                                </a:lnTo>
                                <a:lnTo>
                                  <a:pt x="3247034" y="1238404"/>
                                </a:lnTo>
                              </a:path>
                            </a:pathLst>
                          </a:custGeom>
                          <a:ln w="25399">
                            <a:solidFill>
                              <a:srgbClr val="231F20"/>
                            </a:solidFill>
                            <a:prstDash val="solid"/>
                          </a:ln>
                        </wps:spPr>
                        <wps:bodyPr wrap="square" lIns="0" tIns="0" rIns="0" bIns="0" rtlCol="0">
                          <a:prstTxWarp prst="textNoShape">
                            <a:avLst/>
                          </a:prstTxWarp>
                          <a:noAutofit/>
                        </wps:bodyPr>
                      </wps:wsp>
                      <wps:wsp>
                        <wps:cNvPr id="404" name="Graphic 404"/>
                        <wps:cNvSpPr/>
                        <wps:spPr>
                          <a:xfrm>
                            <a:off x="4696014" y="585094"/>
                            <a:ext cx="1270" cy="129539"/>
                          </a:xfrm>
                          <a:custGeom>
                            <a:avLst/>
                            <a:gdLst/>
                            <a:ahLst/>
                            <a:cxnLst/>
                            <a:rect l="l" t="t" r="r" b="b"/>
                            <a:pathLst>
                              <a:path w="0" h="129539">
                                <a:moveTo>
                                  <a:pt x="0" y="0"/>
                                </a:moveTo>
                                <a:lnTo>
                                  <a:pt x="0" y="129514"/>
                                </a:lnTo>
                              </a:path>
                            </a:pathLst>
                          </a:custGeom>
                          <a:solidFill>
                            <a:srgbClr val="FFFFFF"/>
                          </a:solidFill>
                        </wps:spPr>
                        <wps:bodyPr wrap="square" lIns="0" tIns="0" rIns="0" bIns="0" rtlCol="0">
                          <a:prstTxWarp prst="textNoShape">
                            <a:avLst/>
                          </a:prstTxWarp>
                          <a:noAutofit/>
                        </wps:bodyPr>
                      </wps:wsp>
                      <wps:wsp>
                        <wps:cNvPr id="405" name="Graphic 405"/>
                        <wps:cNvSpPr/>
                        <wps:spPr>
                          <a:xfrm>
                            <a:off x="4696010" y="585096"/>
                            <a:ext cx="1270" cy="129539"/>
                          </a:xfrm>
                          <a:custGeom>
                            <a:avLst/>
                            <a:gdLst/>
                            <a:ahLst/>
                            <a:cxnLst/>
                            <a:rect l="l" t="t" r="r" b="b"/>
                            <a:pathLst>
                              <a:path w="0" h="129539">
                                <a:moveTo>
                                  <a:pt x="0" y="0"/>
                                </a:moveTo>
                                <a:lnTo>
                                  <a:pt x="0" y="129514"/>
                                </a:lnTo>
                              </a:path>
                            </a:pathLst>
                          </a:custGeom>
                          <a:ln w="3175">
                            <a:solidFill>
                              <a:srgbClr val="231F20"/>
                            </a:solidFill>
                            <a:prstDash val="solid"/>
                          </a:ln>
                        </wps:spPr>
                        <wps:bodyPr wrap="square" lIns="0" tIns="0" rIns="0" bIns="0" rtlCol="0">
                          <a:prstTxWarp prst="textNoShape">
                            <a:avLst/>
                          </a:prstTxWarp>
                          <a:noAutofit/>
                        </wps:bodyPr>
                      </wps:wsp>
                      <wps:wsp>
                        <wps:cNvPr id="406" name="Textbox 406"/>
                        <wps:cNvSpPr txBox="1"/>
                        <wps:spPr>
                          <a:xfrm>
                            <a:off x="76380" y="68503"/>
                            <a:ext cx="4313555" cy="248920"/>
                          </a:xfrm>
                          <a:prstGeom prst="rect">
                            <a:avLst/>
                          </a:prstGeom>
                        </wps:spPr>
                        <wps:txbx>
                          <w:txbxContent>
                            <w:p>
                              <w:pPr>
                                <w:spacing w:line="261" w:lineRule="auto" w:before="0"/>
                                <w:ind w:left="800" w:right="18" w:hanging="800"/>
                                <w:jc w:val="left"/>
                                <w:rPr>
                                  <w:rFonts w:ascii="Arial" w:hAnsi="Arial"/>
                                  <w:b/>
                                  <w:sz w:val="16"/>
                                </w:rPr>
                              </w:pPr>
                              <w:r>
                                <w:rPr>
                                  <w:rFonts w:ascii="Arial" w:hAnsi="Arial"/>
                                  <w:color w:val="FFFFFF"/>
                                  <w:w w:val="105"/>
                                  <w:sz w:val="16"/>
                                </w:rPr>
                                <w:t>Figure</w:t>
                              </w:r>
                              <w:r>
                                <w:rPr>
                                  <w:rFonts w:ascii="Arial" w:hAnsi="Arial"/>
                                  <w:color w:val="FFFFFF"/>
                                  <w:spacing w:val="-10"/>
                                  <w:w w:val="105"/>
                                  <w:sz w:val="16"/>
                                </w:rPr>
                                <w:t> </w:t>
                              </w:r>
                              <w:r>
                                <w:rPr>
                                  <w:rFonts w:ascii="Arial" w:hAnsi="Arial"/>
                                  <w:b/>
                                  <w:color w:val="FFFFFF"/>
                                  <w:w w:val="105"/>
                                  <w:sz w:val="16"/>
                                </w:rPr>
                                <w:t>1.1</w:t>
                              </w:r>
                              <w:r>
                                <w:rPr>
                                  <w:rFonts w:ascii="Arial" w:hAnsi="Arial"/>
                                  <w:b/>
                                  <w:color w:val="FFFFFF"/>
                                  <w:spacing w:val="73"/>
                                  <w:w w:val="150"/>
                                  <w:sz w:val="16"/>
                                </w:rPr>
                                <w:t> </w:t>
                              </w:r>
                              <w:r>
                                <w:rPr>
                                  <w:rFonts w:ascii="Arial" w:hAnsi="Arial"/>
                                  <w:b/>
                                  <w:color w:val="FFFFFF"/>
                                  <w:w w:val="105"/>
                                  <w:sz w:val="16"/>
                                </w:rPr>
                                <w:t>Container</w:t>
                              </w:r>
                              <w:r>
                                <w:rPr>
                                  <w:rFonts w:ascii="Arial" w:hAnsi="Arial"/>
                                  <w:b/>
                                  <w:color w:val="FFFFFF"/>
                                  <w:spacing w:val="-10"/>
                                  <w:w w:val="105"/>
                                  <w:sz w:val="16"/>
                                </w:rPr>
                                <w:t> </w:t>
                              </w:r>
                              <w:r>
                                <w:rPr>
                                  <w:rFonts w:ascii="Arial" w:hAnsi="Arial"/>
                                  <w:b/>
                                  <w:color w:val="FFFFFF"/>
                                  <w:w w:val="105"/>
                                  <w:sz w:val="16"/>
                                </w:rPr>
                                <w:t>shipping</w:t>
                              </w:r>
                              <w:r>
                                <w:rPr>
                                  <w:rFonts w:ascii="Arial" w:hAnsi="Arial"/>
                                  <w:b/>
                                  <w:color w:val="FFFFFF"/>
                                  <w:spacing w:val="-11"/>
                                  <w:w w:val="105"/>
                                  <w:sz w:val="16"/>
                                </w:rPr>
                                <w:t> </w:t>
                              </w:r>
                              <w:r>
                                <w:rPr>
                                  <w:rFonts w:ascii="Arial" w:hAnsi="Arial"/>
                                  <w:b/>
                                  <w:color w:val="FFFFFF"/>
                                  <w:w w:val="105"/>
                                  <w:sz w:val="16"/>
                                </w:rPr>
                                <w:t>schedule</w:t>
                              </w:r>
                              <w:r>
                                <w:rPr>
                                  <w:rFonts w:ascii="Arial" w:hAnsi="Arial"/>
                                  <w:b/>
                                  <w:color w:val="FFFFFF"/>
                                  <w:spacing w:val="-10"/>
                                  <w:w w:val="105"/>
                                  <w:sz w:val="16"/>
                                </w:rPr>
                                <w:t> </w:t>
                              </w:r>
                              <w:r>
                                <w:rPr>
                                  <w:rFonts w:ascii="Arial" w:hAnsi="Arial"/>
                                  <w:b/>
                                  <w:color w:val="FFFFFF"/>
                                  <w:w w:val="105"/>
                                  <w:sz w:val="16"/>
                                </w:rPr>
                                <w:t>reliability,</w:t>
                              </w:r>
                              <w:r>
                                <w:rPr>
                                  <w:rFonts w:ascii="Arial" w:hAnsi="Arial"/>
                                  <w:b/>
                                  <w:color w:val="FFFFFF"/>
                                  <w:spacing w:val="-11"/>
                                  <w:w w:val="105"/>
                                  <w:sz w:val="16"/>
                                </w:rPr>
                                <w:t> </w:t>
                              </w:r>
                              <w:r>
                                <w:rPr>
                                  <w:rFonts w:ascii="Arial" w:hAnsi="Arial"/>
                                  <w:b/>
                                  <w:color w:val="FFFFFF"/>
                                  <w:w w:val="105"/>
                                  <w:sz w:val="16"/>
                                </w:rPr>
                                <w:t>average</w:t>
                              </w:r>
                              <w:r>
                                <w:rPr>
                                  <w:rFonts w:ascii="Arial" w:hAnsi="Arial"/>
                                  <w:b/>
                                  <w:color w:val="FFFFFF"/>
                                  <w:spacing w:val="-10"/>
                                  <w:w w:val="105"/>
                                  <w:sz w:val="16"/>
                                </w:rPr>
                                <w:t> </w:t>
                              </w:r>
                              <w:r>
                                <w:rPr>
                                  <w:rFonts w:ascii="Arial" w:hAnsi="Arial"/>
                                  <w:b/>
                                  <w:color w:val="FFFFFF"/>
                                  <w:w w:val="105"/>
                                  <w:sz w:val="16"/>
                                </w:rPr>
                                <w:t>delay</w:t>
                              </w:r>
                              <w:r>
                                <w:rPr>
                                  <w:rFonts w:ascii="Arial" w:hAnsi="Arial"/>
                                  <w:b/>
                                  <w:color w:val="FFFFFF"/>
                                  <w:spacing w:val="-11"/>
                                  <w:w w:val="105"/>
                                  <w:sz w:val="16"/>
                                </w:rPr>
                                <w:t> </w:t>
                              </w:r>
                              <w:r>
                                <w:rPr>
                                  <w:rFonts w:ascii="Arial" w:hAnsi="Arial"/>
                                  <w:b/>
                                  <w:color w:val="FFFFFF"/>
                                  <w:w w:val="105"/>
                                  <w:sz w:val="16"/>
                                </w:rPr>
                                <w:t>for</w:t>
                              </w:r>
                              <w:r>
                                <w:rPr>
                                  <w:rFonts w:ascii="Arial" w:hAnsi="Arial"/>
                                  <w:b/>
                                  <w:color w:val="FFFFFF"/>
                                  <w:spacing w:val="-10"/>
                                  <w:w w:val="105"/>
                                  <w:sz w:val="16"/>
                                </w:rPr>
                                <w:t> </w:t>
                              </w:r>
                              <w:r>
                                <w:rPr>
                                  <w:rFonts w:ascii="Arial" w:hAnsi="Arial"/>
                                  <w:b/>
                                  <w:color w:val="FFFFFF"/>
                                  <w:w w:val="105"/>
                                  <w:sz w:val="16"/>
                                </w:rPr>
                                <w:t>late</w:t>
                              </w:r>
                              <w:r>
                                <w:rPr>
                                  <w:rFonts w:ascii="Arial" w:hAnsi="Arial"/>
                                  <w:b/>
                                  <w:color w:val="FFFFFF"/>
                                  <w:spacing w:val="-11"/>
                                  <w:w w:val="105"/>
                                  <w:sz w:val="16"/>
                                </w:rPr>
                                <w:t> </w:t>
                              </w:r>
                              <w:r>
                                <w:rPr>
                                  <w:rFonts w:ascii="Arial" w:hAnsi="Arial"/>
                                  <w:b/>
                                  <w:color w:val="FFFFFF"/>
                                  <w:w w:val="105"/>
                                  <w:sz w:val="16"/>
                                </w:rPr>
                                <w:t>arrivals,</w:t>
                              </w:r>
                              <w:r>
                                <w:rPr>
                                  <w:rFonts w:ascii="Arial" w:hAnsi="Arial"/>
                                  <w:b/>
                                  <w:color w:val="FFFFFF"/>
                                  <w:spacing w:val="-10"/>
                                  <w:w w:val="105"/>
                                  <w:sz w:val="16"/>
                                </w:rPr>
                                <w:t> </w:t>
                              </w:r>
                              <w:r>
                                <w:rPr>
                                  <w:rFonts w:ascii="Arial" w:hAnsi="Arial"/>
                                  <w:b/>
                                  <w:color w:val="FFFFFF"/>
                                  <w:w w:val="105"/>
                                  <w:sz w:val="16"/>
                                </w:rPr>
                                <w:t>and spot rates, June 2018–22</w:t>
                              </w:r>
                            </w:p>
                          </w:txbxContent>
                        </wps:txbx>
                        <wps:bodyPr wrap="square" lIns="0" tIns="0" rIns="0" bIns="0" rtlCol="0">
                          <a:noAutofit/>
                        </wps:bodyPr>
                      </wps:wsp>
                      <wps:wsp>
                        <wps:cNvPr id="407" name="Textbox 407"/>
                        <wps:cNvSpPr txBox="1"/>
                        <wps:spPr>
                          <a:xfrm>
                            <a:off x="76391" y="514055"/>
                            <a:ext cx="2363470" cy="507365"/>
                          </a:xfrm>
                          <a:prstGeom prst="rect">
                            <a:avLst/>
                          </a:prstGeom>
                        </wps:spPr>
                        <wps:txbx>
                          <w:txbxContent>
                            <w:p>
                              <w:pPr>
                                <w:spacing w:before="0"/>
                                <w:ind w:left="0" w:right="1057" w:firstLine="0"/>
                                <w:jc w:val="left"/>
                                <w:rPr>
                                  <w:rFonts w:ascii="Arial"/>
                                  <w:sz w:val="14"/>
                                </w:rPr>
                              </w:pPr>
                              <w:r>
                                <w:rPr>
                                  <w:rFonts w:ascii="Arial"/>
                                  <w:color w:val="231F20"/>
                                  <w:w w:val="80"/>
                                  <w:sz w:val="14"/>
                                </w:rPr>
                                <w:t>Container</w:t>
                              </w:r>
                              <w:r>
                                <w:rPr>
                                  <w:rFonts w:ascii="Arial"/>
                                  <w:color w:val="231F20"/>
                                  <w:spacing w:val="-2"/>
                                  <w:w w:val="80"/>
                                  <w:sz w:val="14"/>
                                </w:rPr>
                                <w:t> </w:t>
                              </w:r>
                              <w:r>
                                <w:rPr>
                                  <w:rFonts w:ascii="Arial"/>
                                  <w:color w:val="231F20"/>
                                  <w:w w:val="80"/>
                                  <w:sz w:val="14"/>
                                </w:rPr>
                                <w:t>shipping</w:t>
                              </w:r>
                              <w:r>
                                <w:rPr>
                                  <w:rFonts w:ascii="Arial"/>
                                  <w:color w:val="231F20"/>
                                  <w:spacing w:val="-2"/>
                                  <w:w w:val="80"/>
                                  <w:sz w:val="14"/>
                                </w:rPr>
                                <w:t> </w:t>
                              </w:r>
                              <w:r>
                                <w:rPr>
                                  <w:rFonts w:ascii="Arial"/>
                                  <w:color w:val="231F20"/>
                                  <w:w w:val="80"/>
                                  <w:sz w:val="14"/>
                                </w:rPr>
                                <w:t>spot</w:t>
                              </w:r>
                              <w:r>
                                <w:rPr>
                                  <w:rFonts w:ascii="Arial"/>
                                  <w:color w:val="231F20"/>
                                  <w:spacing w:val="-2"/>
                                  <w:w w:val="80"/>
                                  <w:sz w:val="14"/>
                                </w:rPr>
                                <w:t> </w:t>
                              </w:r>
                              <w:r>
                                <w:rPr>
                                  <w:rFonts w:ascii="Arial"/>
                                  <w:color w:val="231F20"/>
                                  <w:w w:val="80"/>
                                  <w:sz w:val="14"/>
                                </w:rPr>
                                <w:t>rate,</w:t>
                              </w:r>
                              <w:r>
                                <w:rPr>
                                  <w:rFonts w:ascii="Arial"/>
                                  <w:color w:val="231F20"/>
                                  <w:spacing w:val="-4"/>
                                  <w:w w:val="80"/>
                                  <w:sz w:val="14"/>
                                </w:rPr>
                                <w:t> </w:t>
                              </w:r>
                              <w:r>
                                <w:rPr>
                                  <w:rFonts w:ascii="Arial"/>
                                  <w:color w:val="231F20"/>
                                  <w:w w:val="80"/>
                                  <w:sz w:val="14"/>
                                </w:rPr>
                                <w:t>40-foot</w:t>
                              </w:r>
                              <w:r>
                                <w:rPr>
                                  <w:rFonts w:ascii="Arial"/>
                                  <w:color w:val="231F20"/>
                                  <w:spacing w:val="-1"/>
                                  <w:w w:val="80"/>
                                  <w:sz w:val="14"/>
                                </w:rPr>
                                <w:t> </w:t>
                              </w:r>
                              <w:r>
                                <w:rPr>
                                  <w:rFonts w:ascii="Arial"/>
                                  <w:color w:val="231F20"/>
                                  <w:w w:val="80"/>
                                  <w:sz w:val="14"/>
                                </w:rPr>
                                <w:t>equivalent</w:t>
                              </w:r>
                              <w:r>
                                <w:rPr>
                                  <w:rFonts w:ascii="Arial"/>
                                  <w:color w:val="231F20"/>
                                  <w:spacing w:val="-2"/>
                                  <w:w w:val="80"/>
                                  <w:sz w:val="14"/>
                                </w:rPr>
                                <w:t> </w:t>
                              </w:r>
                              <w:r>
                                <w:rPr>
                                  <w:rFonts w:ascii="Arial"/>
                                  <w:color w:val="231F20"/>
                                  <w:w w:val="80"/>
                                  <w:sz w:val="14"/>
                                </w:rPr>
                                <w:t>unit</w:t>
                              </w:r>
                              <w:r>
                                <w:rPr>
                                  <w:rFonts w:ascii="Arial"/>
                                  <w:color w:val="231F20"/>
                                  <w:spacing w:val="40"/>
                                  <w:sz w:val="14"/>
                                </w:rPr>
                                <w:t> </w:t>
                              </w:r>
                              <w:r>
                                <w:rPr>
                                  <w:rFonts w:ascii="Arial"/>
                                  <w:color w:val="231F20"/>
                                  <w:w w:val="85"/>
                                  <w:sz w:val="14"/>
                                </w:rPr>
                                <w:t>on</w:t>
                              </w:r>
                              <w:r>
                                <w:rPr>
                                  <w:rFonts w:ascii="Arial"/>
                                  <w:color w:val="231F20"/>
                                  <w:spacing w:val="-1"/>
                                  <w:w w:val="85"/>
                                  <w:sz w:val="14"/>
                                </w:rPr>
                                <w:t> </w:t>
                              </w:r>
                              <w:r>
                                <w:rPr>
                                  <w:rFonts w:ascii="Arial"/>
                                  <w:color w:val="231F20"/>
                                  <w:w w:val="85"/>
                                  <w:sz w:val="14"/>
                                </w:rPr>
                                <w:t>seven</w:t>
                              </w:r>
                              <w:r>
                                <w:rPr>
                                  <w:rFonts w:ascii="Arial"/>
                                  <w:color w:val="231F20"/>
                                  <w:spacing w:val="-1"/>
                                  <w:w w:val="85"/>
                                  <w:sz w:val="14"/>
                                </w:rPr>
                                <w:t> </w:t>
                              </w:r>
                              <w:r>
                                <w:rPr>
                                  <w:rFonts w:ascii="Arial"/>
                                  <w:color w:val="231F20"/>
                                  <w:w w:val="85"/>
                                  <w:sz w:val="14"/>
                                </w:rPr>
                                <w:t>main</w:t>
                              </w:r>
                              <w:r>
                                <w:rPr>
                                  <w:rFonts w:ascii="Arial"/>
                                  <w:color w:val="231F20"/>
                                  <w:spacing w:val="-1"/>
                                  <w:w w:val="85"/>
                                  <w:sz w:val="14"/>
                                </w:rPr>
                                <w:t> </w:t>
                              </w:r>
                              <w:r>
                                <w:rPr>
                                  <w:rFonts w:ascii="Arial"/>
                                  <w:color w:val="231F20"/>
                                  <w:w w:val="85"/>
                                  <w:sz w:val="14"/>
                                </w:rPr>
                                <w:t>trades</w:t>
                              </w:r>
                              <w:r>
                                <w:rPr>
                                  <w:rFonts w:ascii="Arial"/>
                                  <w:color w:val="231F20"/>
                                  <w:spacing w:val="-1"/>
                                  <w:w w:val="85"/>
                                  <w:sz w:val="14"/>
                                </w:rPr>
                                <w:t> </w:t>
                              </w:r>
                              <w:r>
                                <w:rPr>
                                  <w:rFonts w:ascii="Arial"/>
                                  <w:color w:val="231F20"/>
                                  <w:w w:val="85"/>
                                  <w:sz w:val="14"/>
                                </w:rPr>
                                <w:t>(US$)</w:t>
                              </w:r>
                            </w:p>
                            <w:p>
                              <w:pPr>
                                <w:spacing w:before="96"/>
                                <w:ind w:left="21" w:right="0" w:firstLine="0"/>
                                <w:jc w:val="left"/>
                                <w:rPr>
                                  <w:rFonts w:ascii="Arial"/>
                                  <w:sz w:val="14"/>
                                </w:rPr>
                              </w:pPr>
                              <w:r>
                                <w:rPr>
                                  <w:rFonts w:ascii="Arial"/>
                                  <w:color w:val="231F20"/>
                                  <w:spacing w:val="-2"/>
                                  <w:w w:val="95"/>
                                  <w:sz w:val="14"/>
                                </w:rPr>
                                <w:t>12,000</w:t>
                              </w:r>
                            </w:p>
                            <w:p>
                              <w:pPr>
                                <w:spacing w:before="58"/>
                                <w:ind w:left="2149" w:right="0" w:firstLine="0"/>
                                <w:jc w:val="left"/>
                                <w:rPr>
                                  <w:rFonts w:ascii="Arial"/>
                                  <w:sz w:val="14"/>
                                </w:rPr>
                              </w:pPr>
                              <w:r>
                                <w:rPr>
                                  <w:rFonts w:ascii="Arial"/>
                                  <w:color w:val="231F20"/>
                                  <w:w w:val="80"/>
                                  <w:sz w:val="14"/>
                                </w:rPr>
                                <w:t>Schedule</w:t>
                              </w:r>
                              <w:r>
                                <w:rPr>
                                  <w:rFonts w:ascii="Arial"/>
                                  <w:color w:val="231F20"/>
                                  <w:spacing w:val="9"/>
                                  <w:sz w:val="14"/>
                                </w:rPr>
                                <w:t> </w:t>
                              </w:r>
                              <w:r>
                                <w:rPr>
                                  <w:rFonts w:ascii="Arial"/>
                                  <w:color w:val="231F20"/>
                                  <w:w w:val="80"/>
                                  <w:sz w:val="14"/>
                                </w:rPr>
                                <w:t>reliability</w:t>
                              </w:r>
                              <w:r>
                                <w:rPr>
                                  <w:rFonts w:ascii="Arial"/>
                                  <w:color w:val="231F20"/>
                                  <w:spacing w:val="9"/>
                                  <w:sz w:val="14"/>
                                </w:rPr>
                                <w:t> </w:t>
                              </w:r>
                              <w:r>
                                <w:rPr>
                                  <w:rFonts w:ascii="Arial"/>
                                  <w:color w:val="231F20"/>
                                  <w:w w:val="80"/>
                                  <w:sz w:val="14"/>
                                </w:rPr>
                                <w:t>(right</w:t>
                              </w:r>
                              <w:r>
                                <w:rPr>
                                  <w:rFonts w:ascii="Arial"/>
                                  <w:color w:val="231F20"/>
                                  <w:spacing w:val="9"/>
                                  <w:sz w:val="14"/>
                                </w:rPr>
                                <w:t> </w:t>
                              </w:r>
                              <w:r>
                                <w:rPr>
                                  <w:rFonts w:ascii="Arial"/>
                                  <w:color w:val="231F20"/>
                                  <w:spacing w:val="-2"/>
                                  <w:w w:val="80"/>
                                  <w:sz w:val="14"/>
                                </w:rPr>
                                <w:t>axis)</w:t>
                              </w:r>
                            </w:p>
                          </w:txbxContent>
                        </wps:txbx>
                        <wps:bodyPr wrap="square" lIns="0" tIns="0" rIns="0" bIns="0" rtlCol="0">
                          <a:noAutofit/>
                        </wps:bodyPr>
                      </wps:wsp>
                      <wps:wsp>
                        <wps:cNvPr id="408" name="Textbox 408"/>
                        <wps:cNvSpPr txBox="1"/>
                        <wps:spPr>
                          <a:xfrm>
                            <a:off x="3473349" y="463293"/>
                            <a:ext cx="1299845" cy="377825"/>
                          </a:xfrm>
                          <a:prstGeom prst="rect">
                            <a:avLst/>
                          </a:prstGeom>
                        </wps:spPr>
                        <wps:txbx>
                          <w:txbxContent>
                            <w:p>
                              <w:pPr>
                                <w:spacing w:line="159" w:lineRule="exact" w:before="0"/>
                                <w:ind w:left="905" w:right="0" w:firstLine="0"/>
                                <w:jc w:val="left"/>
                                <w:rPr>
                                  <w:rFonts w:ascii="Arial"/>
                                  <w:sz w:val="14"/>
                                </w:rPr>
                              </w:pPr>
                              <w:r>
                                <w:rPr>
                                  <w:rFonts w:ascii="Arial"/>
                                  <w:color w:val="231F20"/>
                                  <w:w w:val="75"/>
                                  <w:sz w:val="14"/>
                                </w:rPr>
                                <w:t>Schedule</w:t>
                              </w:r>
                              <w:r>
                                <w:rPr>
                                  <w:rFonts w:ascii="Arial"/>
                                  <w:color w:val="231F20"/>
                                  <w:spacing w:val="13"/>
                                  <w:sz w:val="14"/>
                                </w:rPr>
                                <w:t> </w:t>
                              </w:r>
                              <w:r>
                                <w:rPr>
                                  <w:rFonts w:ascii="Arial"/>
                                  <w:color w:val="231F20"/>
                                  <w:w w:val="75"/>
                                  <w:sz w:val="14"/>
                                </w:rPr>
                                <w:t>reliability</w:t>
                              </w:r>
                              <w:r>
                                <w:rPr>
                                  <w:rFonts w:ascii="Arial"/>
                                  <w:color w:val="231F20"/>
                                  <w:spacing w:val="14"/>
                                  <w:sz w:val="14"/>
                                </w:rPr>
                                <w:t> </w:t>
                              </w:r>
                              <w:r>
                                <w:rPr>
                                  <w:rFonts w:ascii="Arial"/>
                                  <w:color w:val="231F20"/>
                                  <w:spacing w:val="-5"/>
                                  <w:w w:val="75"/>
                                  <w:sz w:val="14"/>
                                </w:rPr>
                                <w:t>(%)</w:t>
                              </w:r>
                            </w:p>
                            <w:p>
                              <w:pPr>
                                <w:spacing w:before="79"/>
                                <w:ind w:left="0" w:right="0" w:firstLine="0"/>
                                <w:jc w:val="left"/>
                                <w:rPr>
                                  <w:rFonts w:ascii="Arial"/>
                                  <w:sz w:val="14"/>
                                </w:rPr>
                              </w:pPr>
                              <w:r>
                                <w:rPr>
                                  <w:rFonts w:ascii="Arial"/>
                                  <w:color w:val="231F20"/>
                                  <w:w w:val="75"/>
                                  <w:sz w:val="14"/>
                                </w:rPr>
                                <w:t>Average</w:t>
                              </w:r>
                              <w:r>
                                <w:rPr>
                                  <w:rFonts w:ascii="Arial"/>
                                  <w:color w:val="231F20"/>
                                  <w:spacing w:val="2"/>
                                  <w:sz w:val="14"/>
                                </w:rPr>
                                <w:t> </w:t>
                              </w:r>
                              <w:r>
                                <w:rPr>
                                  <w:rFonts w:ascii="Arial"/>
                                  <w:color w:val="231F20"/>
                                  <w:w w:val="75"/>
                                  <w:sz w:val="14"/>
                                </w:rPr>
                                <w:t>delay</w:t>
                              </w:r>
                              <w:r>
                                <w:rPr>
                                  <w:rFonts w:ascii="Arial"/>
                                  <w:color w:val="231F20"/>
                                  <w:spacing w:val="2"/>
                                  <w:sz w:val="14"/>
                                </w:rPr>
                                <w:t> </w:t>
                              </w:r>
                              <w:r>
                                <w:rPr>
                                  <w:rFonts w:ascii="Arial"/>
                                  <w:color w:val="231F20"/>
                                  <w:w w:val="75"/>
                                  <w:sz w:val="14"/>
                                </w:rPr>
                                <w:t>for</w:t>
                              </w:r>
                              <w:r>
                                <w:rPr>
                                  <w:rFonts w:ascii="Arial"/>
                                  <w:color w:val="231F20"/>
                                  <w:spacing w:val="3"/>
                                  <w:sz w:val="14"/>
                                </w:rPr>
                                <w:t> </w:t>
                              </w:r>
                              <w:r>
                                <w:rPr>
                                  <w:rFonts w:ascii="Arial"/>
                                  <w:color w:val="231F20"/>
                                  <w:w w:val="75"/>
                                  <w:sz w:val="14"/>
                                </w:rPr>
                                <w:t>late</w:t>
                              </w:r>
                              <w:r>
                                <w:rPr>
                                  <w:rFonts w:ascii="Arial"/>
                                  <w:color w:val="231F20"/>
                                  <w:spacing w:val="2"/>
                                  <w:sz w:val="14"/>
                                </w:rPr>
                                <w:t> </w:t>
                              </w:r>
                              <w:r>
                                <w:rPr>
                                  <w:rFonts w:ascii="Arial"/>
                                  <w:color w:val="231F20"/>
                                  <w:w w:val="75"/>
                                  <w:sz w:val="14"/>
                                </w:rPr>
                                <w:t>arrivals</w:t>
                              </w:r>
                              <w:r>
                                <w:rPr>
                                  <w:rFonts w:ascii="Arial"/>
                                  <w:color w:val="231F20"/>
                                  <w:spacing w:val="3"/>
                                  <w:sz w:val="14"/>
                                </w:rPr>
                                <w:t> </w:t>
                              </w:r>
                              <w:r>
                                <w:rPr>
                                  <w:rFonts w:ascii="Arial"/>
                                  <w:color w:val="231F20"/>
                                  <w:spacing w:val="-2"/>
                                  <w:w w:val="75"/>
                                  <w:sz w:val="14"/>
                                </w:rPr>
                                <w:t>(days)</w:t>
                              </w:r>
                            </w:p>
                            <w:p>
                              <w:pPr>
                                <w:spacing w:line="160" w:lineRule="exact" w:before="35"/>
                                <w:ind w:left="1648" w:right="0" w:firstLine="0"/>
                                <w:jc w:val="left"/>
                                <w:rPr>
                                  <w:rFonts w:ascii="Arial"/>
                                  <w:sz w:val="14"/>
                                </w:rPr>
                              </w:pPr>
                              <w:r>
                                <w:rPr>
                                  <w:rFonts w:ascii="Arial"/>
                                  <w:color w:val="231F20"/>
                                  <w:w w:val="90"/>
                                  <w:sz w:val="14"/>
                                </w:rPr>
                                <w:t>10</w:t>
                              </w:r>
                              <w:r>
                                <w:rPr>
                                  <w:rFonts w:ascii="Arial"/>
                                  <w:color w:val="231F20"/>
                                  <w:spacing w:val="-2"/>
                                  <w:w w:val="95"/>
                                  <w:sz w:val="14"/>
                                </w:rPr>
                                <w:t> </w:t>
                              </w:r>
                              <w:r>
                                <w:rPr>
                                  <w:rFonts w:ascii="Arial"/>
                                  <w:color w:val="231F20"/>
                                  <w:spacing w:val="-5"/>
                                  <w:w w:val="95"/>
                                  <w:sz w:val="14"/>
                                </w:rPr>
                                <w:t>100</w:t>
                              </w:r>
                            </w:p>
                          </w:txbxContent>
                        </wps:txbx>
                        <wps:bodyPr wrap="square" lIns="0" tIns="0" rIns="0" bIns="0" rtlCol="0">
                          <a:noAutofit/>
                        </wps:bodyPr>
                      </wps:wsp>
                      <wps:wsp>
                        <wps:cNvPr id="409" name="Textbox 409"/>
                        <wps:cNvSpPr txBox="1"/>
                        <wps:spPr>
                          <a:xfrm>
                            <a:off x="89828" y="1138599"/>
                            <a:ext cx="24765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2"/>
                                  <w:w w:val="90"/>
                                  <w:sz w:val="14"/>
                                </w:rPr>
                                <w:t>10,000</w:t>
                              </w:r>
                            </w:p>
                          </w:txbxContent>
                        </wps:txbx>
                        <wps:bodyPr wrap="square" lIns="0" tIns="0" rIns="0" bIns="0" rtlCol="0">
                          <a:noAutofit/>
                        </wps:bodyPr>
                      </wps:wsp>
                      <wps:wsp>
                        <wps:cNvPr id="410" name="Textbox 410"/>
                        <wps:cNvSpPr txBox="1"/>
                        <wps:spPr>
                          <a:xfrm>
                            <a:off x="132500" y="1496599"/>
                            <a:ext cx="205104"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2"/>
                                  <w:w w:val="90"/>
                                  <w:sz w:val="14"/>
                                </w:rPr>
                                <w:t>8,000</w:t>
                              </w:r>
                            </w:p>
                          </w:txbxContent>
                        </wps:txbx>
                        <wps:bodyPr wrap="square" lIns="0" tIns="0" rIns="0" bIns="0" rtlCol="0">
                          <a:noAutofit/>
                        </wps:bodyPr>
                      </wps:wsp>
                      <wps:wsp>
                        <wps:cNvPr id="411" name="Textbox 411"/>
                        <wps:cNvSpPr txBox="1"/>
                        <wps:spPr>
                          <a:xfrm>
                            <a:off x="945655" y="1617571"/>
                            <a:ext cx="1355090" cy="102235"/>
                          </a:xfrm>
                          <a:prstGeom prst="rect">
                            <a:avLst/>
                          </a:prstGeom>
                        </wps:spPr>
                        <wps:txbx>
                          <w:txbxContent>
                            <w:p>
                              <w:pPr>
                                <w:spacing w:line="160" w:lineRule="exact" w:before="0"/>
                                <w:ind w:left="0" w:right="0" w:firstLine="0"/>
                                <w:jc w:val="left"/>
                                <w:rPr>
                                  <w:rFonts w:ascii="Arial"/>
                                  <w:sz w:val="14"/>
                                </w:rPr>
                              </w:pPr>
                              <w:r>
                                <w:rPr>
                                  <w:rFonts w:ascii="Arial"/>
                                  <w:color w:val="231F20"/>
                                  <w:w w:val="80"/>
                                  <w:sz w:val="14"/>
                                </w:rPr>
                                <w:t>Average</w:t>
                              </w:r>
                              <w:r>
                                <w:rPr>
                                  <w:rFonts w:ascii="Arial"/>
                                  <w:color w:val="231F20"/>
                                  <w:spacing w:val="2"/>
                                  <w:sz w:val="14"/>
                                </w:rPr>
                                <w:t> </w:t>
                              </w:r>
                              <w:r>
                                <w:rPr>
                                  <w:rFonts w:ascii="Arial"/>
                                  <w:color w:val="231F20"/>
                                  <w:w w:val="80"/>
                                  <w:sz w:val="14"/>
                                </w:rPr>
                                <w:t>delay</w:t>
                              </w:r>
                              <w:r>
                                <w:rPr>
                                  <w:rFonts w:ascii="Arial"/>
                                  <w:color w:val="231F20"/>
                                  <w:spacing w:val="3"/>
                                  <w:sz w:val="14"/>
                                </w:rPr>
                                <w:t> </w:t>
                              </w:r>
                              <w:r>
                                <w:rPr>
                                  <w:rFonts w:ascii="Arial"/>
                                  <w:color w:val="231F20"/>
                                  <w:w w:val="80"/>
                                  <w:sz w:val="14"/>
                                </w:rPr>
                                <w:t>for</w:t>
                              </w:r>
                              <w:r>
                                <w:rPr>
                                  <w:rFonts w:ascii="Arial"/>
                                  <w:color w:val="231F20"/>
                                  <w:spacing w:val="3"/>
                                  <w:sz w:val="14"/>
                                </w:rPr>
                                <w:t> </w:t>
                              </w:r>
                              <w:r>
                                <w:rPr>
                                  <w:rFonts w:ascii="Arial"/>
                                  <w:color w:val="231F20"/>
                                  <w:w w:val="80"/>
                                  <w:sz w:val="14"/>
                                </w:rPr>
                                <w:t>late</w:t>
                              </w:r>
                              <w:r>
                                <w:rPr>
                                  <w:rFonts w:ascii="Arial"/>
                                  <w:color w:val="231F20"/>
                                  <w:spacing w:val="3"/>
                                  <w:sz w:val="14"/>
                                </w:rPr>
                                <w:t> </w:t>
                              </w:r>
                              <w:r>
                                <w:rPr>
                                  <w:rFonts w:ascii="Arial"/>
                                  <w:color w:val="231F20"/>
                                  <w:w w:val="80"/>
                                  <w:sz w:val="14"/>
                                </w:rPr>
                                <w:t>arrivals</w:t>
                              </w:r>
                              <w:r>
                                <w:rPr>
                                  <w:rFonts w:ascii="Arial"/>
                                  <w:color w:val="231F20"/>
                                  <w:spacing w:val="2"/>
                                  <w:sz w:val="14"/>
                                </w:rPr>
                                <w:t> </w:t>
                              </w:r>
                              <w:r>
                                <w:rPr>
                                  <w:rFonts w:ascii="Arial"/>
                                  <w:color w:val="231F20"/>
                                  <w:w w:val="80"/>
                                  <w:sz w:val="14"/>
                                </w:rPr>
                                <w:t>(right</w:t>
                              </w:r>
                              <w:r>
                                <w:rPr>
                                  <w:rFonts w:ascii="Arial"/>
                                  <w:color w:val="231F20"/>
                                  <w:spacing w:val="3"/>
                                  <w:sz w:val="14"/>
                                </w:rPr>
                                <w:t> </w:t>
                              </w:r>
                              <w:r>
                                <w:rPr>
                                  <w:rFonts w:ascii="Arial"/>
                                  <w:color w:val="231F20"/>
                                  <w:spacing w:val="-2"/>
                                  <w:w w:val="80"/>
                                  <w:sz w:val="14"/>
                                </w:rPr>
                                <w:t>axis)</w:t>
                              </w:r>
                            </w:p>
                          </w:txbxContent>
                        </wps:txbx>
                        <wps:bodyPr wrap="square" lIns="0" tIns="0" rIns="0" bIns="0" rtlCol="0">
                          <a:noAutofit/>
                        </wps:bodyPr>
                      </wps:wsp>
                      <wps:wsp>
                        <wps:cNvPr id="412" name="Textbox 412"/>
                        <wps:cNvSpPr txBox="1"/>
                        <wps:spPr>
                          <a:xfrm>
                            <a:off x="132500" y="1854599"/>
                            <a:ext cx="205104"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2"/>
                                  <w:w w:val="90"/>
                                  <w:sz w:val="14"/>
                                </w:rPr>
                                <w:t>6,000</w:t>
                              </w:r>
                            </w:p>
                          </w:txbxContent>
                        </wps:txbx>
                        <wps:bodyPr wrap="square" lIns="0" tIns="0" rIns="0" bIns="0" rtlCol="0">
                          <a:noAutofit/>
                        </wps:bodyPr>
                      </wps:wsp>
                      <wps:wsp>
                        <wps:cNvPr id="413" name="Textbox 413"/>
                        <wps:cNvSpPr txBox="1"/>
                        <wps:spPr>
                          <a:xfrm>
                            <a:off x="132500" y="2212600"/>
                            <a:ext cx="205104"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2"/>
                                  <w:w w:val="90"/>
                                  <w:sz w:val="14"/>
                                </w:rPr>
                                <w:t>4,000</w:t>
                              </w:r>
                            </w:p>
                          </w:txbxContent>
                        </wps:txbx>
                        <wps:bodyPr wrap="square" lIns="0" tIns="0" rIns="0" bIns="0" rtlCol="0">
                          <a:noAutofit/>
                        </wps:bodyPr>
                      </wps:wsp>
                      <wps:wsp>
                        <wps:cNvPr id="414" name="Textbox 414"/>
                        <wps:cNvSpPr txBox="1"/>
                        <wps:spPr>
                          <a:xfrm>
                            <a:off x="132500" y="2570600"/>
                            <a:ext cx="205104"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2"/>
                                  <w:w w:val="90"/>
                                  <w:sz w:val="14"/>
                                </w:rPr>
                                <w:t>2,000</w:t>
                              </w:r>
                            </w:p>
                          </w:txbxContent>
                        </wps:txbx>
                        <wps:bodyPr wrap="square" lIns="0" tIns="0" rIns="0" bIns="0" rtlCol="0">
                          <a:noAutofit/>
                        </wps:bodyPr>
                      </wps:wsp>
                      <wps:wsp>
                        <wps:cNvPr id="415" name="Textbox 415"/>
                        <wps:cNvSpPr txBox="1"/>
                        <wps:spPr>
                          <a:xfrm>
                            <a:off x="500800" y="2800118"/>
                            <a:ext cx="1257935" cy="102235"/>
                          </a:xfrm>
                          <a:prstGeom prst="rect">
                            <a:avLst/>
                          </a:prstGeom>
                        </wps:spPr>
                        <wps:txbx>
                          <w:txbxContent>
                            <w:p>
                              <w:pPr>
                                <w:spacing w:line="160" w:lineRule="exact" w:before="0"/>
                                <w:ind w:left="0" w:right="0" w:firstLine="0"/>
                                <w:jc w:val="left"/>
                                <w:rPr>
                                  <w:rFonts w:ascii="Arial"/>
                                  <w:sz w:val="14"/>
                                </w:rPr>
                              </w:pPr>
                              <w:r>
                                <w:rPr>
                                  <w:rFonts w:ascii="Arial"/>
                                  <w:color w:val="231F20"/>
                                  <w:w w:val="80"/>
                                  <w:sz w:val="14"/>
                                </w:rPr>
                                <w:t>Container</w:t>
                              </w:r>
                              <w:r>
                                <w:rPr>
                                  <w:rFonts w:ascii="Arial"/>
                                  <w:color w:val="231F20"/>
                                  <w:spacing w:val="4"/>
                                  <w:sz w:val="14"/>
                                </w:rPr>
                                <w:t> </w:t>
                              </w:r>
                              <w:r>
                                <w:rPr>
                                  <w:rFonts w:ascii="Arial"/>
                                  <w:color w:val="231F20"/>
                                  <w:w w:val="80"/>
                                  <w:sz w:val="14"/>
                                </w:rPr>
                                <w:t>shipping</w:t>
                              </w:r>
                              <w:r>
                                <w:rPr>
                                  <w:rFonts w:ascii="Arial"/>
                                  <w:color w:val="231F20"/>
                                  <w:spacing w:val="5"/>
                                  <w:sz w:val="14"/>
                                </w:rPr>
                                <w:t> </w:t>
                              </w:r>
                              <w:r>
                                <w:rPr>
                                  <w:rFonts w:ascii="Arial"/>
                                  <w:color w:val="231F20"/>
                                  <w:w w:val="80"/>
                                  <w:sz w:val="14"/>
                                </w:rPr>
                                <w:t>spot</w:t>
                              </w:r>
                              <w:r>
                                <w:rPr>
                                  <w:rFonts w:ascii="Arial"/>
                                  <w:color w:val="231F20"/>
                                  <w:spacing w:val="5"/>
                                  <w:sz w:val="14"/>
                                </w:rPr>
                                <w:t> </w:t>
                              </w:r>
                              <w:r>
                                <w:rPr>
                                  <w:rFonts w:ascii="Arial"/>
                                  <w:color w:val="231F20"/>
                                  <w:w w:val="80"/>
                                  <w:sz w:val="14"/>
                                </w:rPr>
                                <w:t>rate</w:t>
                              </w:r>
                              <w:r>
                                <w:rPr>
                                  <w:rFonts w:ascii="Arial"/>
                                  <w:color w:val="231F20"/>
                                  <w:spacing w:val="4"/>
                                  <w:sz w:val="14"/>
                                </w:rPr>
                                <w:t> </w:t>
                              </w:r>
                              <w:r>
                                <w:rPr>
                                  <w:rFonts w:ascii="Arial"/>
                                  <w:color w:val="231F20"/>
                                  <w:w w:val="80"/>
                                  <w:sz w:val="14"/>
                                </w:rPr>
                                <w:t>(left</w:t>
                              </w:r>
                              <w:r>
                                <w:rPr>
                                  <w:rFonts w:ascii="Arial"/>
                                  <w:color w:val="231F20"/>
                                  <w:spacing w:val="5"/>
                                  <w:sz w:val="14"/>
                                </w:rPr>
                                <w:t> </w:t>
                              </w:r>
                              <w:r>
                                <w:rPr>
                                  <w:rFonts w:ascii="Arial"/>
                                  <w:color w:val="231F20"/>
                                  <w:spacing w:val="-2"/>
                                  <w:w w:val="80"/>
                                  <w:sz w:val="14"/>
                                </w:rPr>
                                <w:t>axis)</w:t>
                              </w:r>
                            </w:p>
                          </w:txbxContent>
                        </wps:txbx>
                        <wps:bodyPr wrap="square" lIns="0" tIns="0" rIns="0" bIns="0" rtlCol="0">
                          <a:noAutofit/>
                        </wps:bodyPr>
                      </wps:wsp>
                      <wps:wsp>
                        <wps:cNvPr id="416" name="Textbox 416"/>
                        <wps:cNvSpPr txBox="1"/>
                        <wps:spPr>
                          <a:xfrm>
                            <a:off x="281849" y="2928642"/>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w w:val="95"/>
                                  <w:sz w:val="14"/>
                                </w:rPr>
                                <w:t>0</w:t>
                              </w:r>
                            </w:p>
                          </w:txbxContent>
                        </wps:txbx>
                        <wps:bodyPr wrap="square" lIns="0" tIns="0" rIns="0" bIns="0" rtlCol="0">
                          <a:noAutofit/>
                        </wps:bodyPr>
                      </wps:wsp>
                      <wps:wsp>
                        <wps:cNvPr id="417" name="Textbox 417"/>
                        <wps:cNvSpPr txBox="1"/>
                        <wps:spPr>
                          <a:xfrm>
                            <a:off x="642247" y="3005165"/>
                            <a:ext cx="18351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4"/>
                                  <w:w w:val="90"/>
                                  <w:sz w:val="14"/>
                                </w:rPr>
                                <w:t>2018</w:t>
                              </w:r>
                            </w:p>
                          </w:txbxContent>
                        </wps:txbx>
                        <wps:bodyPr wrap="square" lIns="0" tIns="0" rIns="0" bIns="0" rtlCol="0">
                          <a:noAutofit/>
                        </wps:bodyPr>
                      </wps:wsp>
                      <wps:wsp>
                        <wps:cNvPr id="418" name="Textbox 418"/>
                        <wps:cNvSpPr txBox="1"/>
                        <wps:spPr>
                          <a:xfrm>
                            <a:off x="1320910" y="3005165"/>
                            <a:ext cx="18351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4"/>
                                  <w:w w:val="90"/>
                                  <w:sz w:val="14"/>
                                </w:rPr>
                                <w:t>2019</w:t>
                              </w:r>
                            </w:p>
                          </w:txbxContent>
                        </wps:txbx>
                        <wps:bodyPr wrap="square" lIns="0" tIns="0" rIns="0" bIns="0" rtlCol="0">
                          <a:noAutofit/>
                        </wps:bodyPr>
                      </wps:wsp>
                      <wps:wsp>
                        <wps:cNvPr id="419" name="Textbox 419"/>
                        <wps:cNvSpPr txBox="1"/>
                        <wps:spPr>
                          <a:xfrm>
                            <a:off x="1999573" y="3005165"/>
                            <a:ext cx="18351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4"/>
                                  <w:w w:val="90"/>
                                  <w:sz w:val="14"/>
                                </w:rPr>
                                <w:t>2020</w:t>
                              </w:r>
                            </w:p>
                          </w:txbxContent>
                        </wps:txbx>
                        <wps:bodyPr wrap="square" lIns="0" tIns="0" rIns="0" bIns="0" rtlCol="0">
                          <a:noAutofit/>
                        </wps:bodyPr>
                      </wps:wsp>
                      <wps:wsp>
                        <wps:cNvPr id="420" name="Textbox 420"/>
                        <wps:cNvSpPr txBox="1"/>
                        <wps:spPr>
                          <a:xfrm>
                            <a:off x="2678235" y="3005165"/>
                            <a:ext cx="18351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4"/>
                                  <w:w w:val="90"/>
                                  <w:sz w:val="14"/>
                                </w:rPr>
                                <w:t>2021</w:t>
                              </w:r>
                            </w:p>
                          </w:txbxContent>
                        </wps:txbx>
                        <wps:bodyPr wrap="square" lIns="0" tIns="0" rIns="0" bIns="0" rtlCol="0">
                          <a:noAutofit/>
                        </wps:bodyPr>
                      </wps:wsp>
                      <wps:wsp>
                        <wps:cNvPr id="421" name="Textbox 421"/>
                        <wps:cNvSpPr txBox="1"/>
                        <wps:spPr>
                          <a:xfrm>
                            <a:off x="3356898" y="3005165"/>
                            <a:ext cx="18351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4"/>
                                  <w:w w:val="90"/>
                                  <w:sz w:val="14"/>
                                </w:rPr>
                                <w:t>2022</w:t>
                              </w:r>
                            </w:p>
                          </w:txbxContent>
                        </wps:txbx>
                        <wps:bodyPr wrap="square" lIns="0" tIns="0" rIns="0" bIns="0" rtlCol="0">
                          <a:noAutofit/>
                        </wps:bodyPr>
                      </wps:wsp>
                      <wps:wsp>
                        <wps:cNvPr id="422" name="Textbox 422"/>
                        <wps:cNvSpPr txBox="1"/>
                        <wps:spPr>
                          <a:xfrm>
                            <a:off x="4035561" y="3005165"/>
                            <a:ext cx="18351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4"/>
                                  <w:w w:val="90"/>
                                  <w:sz w:val="14"/>
                                </w:rPr>
                                <w:t>2023</w:t>
                              </w:r>
                            </w:p>
                          </w:txbxContent>
                        </wps:txbx>
                        <wps:bodyPr wrap="square" lIns="0" tIns="0" rIns="0" bIns="0" rtlCol="0">
                          <a:noAutofit/>
                        </wps:bodyPr>
                      </wps:wsp>
                      <wps:wsp>
                        <wps:cNvPr id="423" name="Textbox 423"/>
                        <wps:cNvSpPr txBox="1"/>
                        <wps:spPr>
                          <a:xfrm>
                            <a:off x="76385" y="3193870"/>
                            <a:ext cx="3361054" cy="91440"/>
                          </a:xfrm>
                          <a:prstGeom prst="rect">
                            <a:avLst/>
                          </a:prstGeom>
                        </wps:spPr>
                        <wps:txbx>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Data</w:t>
                              </w:r>
                              <w:r>
                                <w:rPr>
                                  <w:rFonts w:ascii="Arial"/>
                                  <w:color w:val="231F20"/>
                                  <w:spacing w:val="1"/>
                                  <w:sz w:val="12"/>
                                </w:rPr>
                                <w:t> </w:t>
                              </w:r>
                              <w:r>
                                <w:rPr>
                                  <w:rFonts w:ascii="Arial"/>
                                  <w:color w:val="231F20"/>
                                  <w:w w:val="75"/>
                                  <w:sz w:val="12"/>
                                </w:rPr>
                                <w:t>on</w:t>
                              </w:r>
                              <w:r>
                                <w:rPr>
                                  <w:rFonts w:ascii="Arial"/>
                                  <w:color w:val="231F20"/>
                                  <w:spacing w:val="1"/>
                                  <w:sz w:val="12"/>
                                </w:rPr>
                                <w:t> </w:t>
                              </w:r>
                              <w:r>
                                <w:rPr>
                                  <w:rFonts w:ascii="Arial"/>
                                  <w:color w:val="231F20"/>
                                  <w:w w:val="75"/>
                                  <w:sz w:val="12"/>
                                </w:rPr>
                                <w:t>schedule</w:t>
                              </w:r>
                              <w:r>
                                <w:rPr>
                                  <w:rFonts w:ascii="Arial"/>
                                  <w:color w:val="231F20"/>
                                  <w:spacing w:val="1"/>
                                  <w:sz w:val="12"/>
                                </w:rPr>
                                <w:t> </w:t>
                              </w:r>
                              <w:r>
                                <w:rPr>
                                  <w:rFonts w:ascii="Arial"/>
                                  <w:color w:val="231F20"/>
                                  <w:w w:val="75"/>
                                  <w:sz w:val="12"/>
                                </w:rPr>
                                <w:t>reliability</w:t>
                              </w:r>
                              <w:r>
                                <w:rPr>
                                  <w:rFonts w:ascii="Arial"/>
                                  <w:color w:val="231F20"/>
                                  <w:spacing w:val="1"/>
                                  <w:sz w:val="12"/>
                                </w:rPr>
                                <w:t> </w:t>
                              </w:r>
                              <w:r>
                                <w:rPr>
                                  <w:rFonts w:ascii="Arial"/>
                                  <w:color w:val="231F20"/>
                                  <w:w w:val="75"/>
                                  <w:sz w:val="12"/>
                                </w:rPr>
                                <w:t>and</w:t>
                              </w:r>
                              <w:r>
                                <w:rPr>
                                  <w:rFonts w:ascii="Arial"/>
                                  <w:color w:val="231F20"/>
                                  <w:spacing w:val="2"/>
                                  <w:sz w:val="12"/>
                                </w:rPr>
                                <w:t> </w:t>
                              </w:r>
                              <w:r>
                                <w:rPr>
                                  <w:rFonts w:ascii="Arial"/>
                                  <w:color w:val="231F20"/>
                                  <w:w w:val="75"/>
                                  <w:sz w:val="12"/>
                                </w:rPr>
                                <w:t>delays,</w:t>
                              </w:r>
                              <w:r>
                                <w:rPr>
                                  <w:rFonts w:ascii="Arial"/>
                                  <w:color w:val="231F20"/>
                                  <w:spacing w:val="-6"/>
                                  <w:sz w:val="12"/>
                                </w:rPr>
                                <w:t> </w:t>
                              </w:r>
                              <w:r>
                                <w:rPr>
                                  <w:rFonts w:ascii="Arial"/>
                                  <w:color w:val="231F20"/>
                                  <w:w w:val="75"/>
                                  <w:sz w:val="12"/>
                                </w:rPr>
                                <w:t>Sea-Intelligence;</w:t>
                              </w:r>
                              <w:r>
                                <w:rPr>
                                  <w:rFonts w:ascii="Arial"/>
                                  <w:color w:val="231F20"/>
                                  <w:spacing w:val="2"/>
                                  <w:sz w:val="12"/>
                                </w:rPr>
                                <w:t> </w:t>
                              </w:r>
                              <w:r>
                                <w:rPr>
                                  <w:rFonts w:ascii="Arial"/>
                                  <w:color w:val="231F20"/>
                                  <w:w w:val="75"/>
                                  <w:sz w:val="12"/>
                                </w:rPr>
                                <w:t>data</w:t>
                              </w:r>
                              <w:r>
                                <w:rPr>
                                  <w:rFonts w:ascii="Arial"/>
                                  <w:color w:val="231F20"/>
                                  <w:spacing w:val="1"/>
                                  <w:sz w:val="12"/>
                                </w:rPr>
                                <w:t> </w:t>
                              </w:r>
                              <w:r>
                                <w:rPr>
                                  <w:rFonts w:ascii="Arial"/>
                                  <w:color w:val="231F20"/>
                                  <w:w w:val="75"/>
                                  <w:sz w:val="12"/>
                                </w:rPr>
                                <w:t>on</w:t>
                              </w:r>
                              <w:r>
                                <w:rPr>
                                  <w:rFonts w:ascii="Arial"/>
                                  <w:color w:val="231F20"/>
                                  <w:spacing w:val="1"/>
                                  <w:sz w:val="12"/>
                                </w:rPr>
                                <w:t> </w:t>
                              </w:r>
                              <w:r>
                                <w:rPr>
                                  <w:rFonts w:ascii="Arial"/>
                                  <w:color w:val="231F20"/>
                                  <w:w w:val="75"/>
                                  <w:sz w:val="12"/>
                                </w:rPr>
                                <w:t>spot</w:t>
                              </w:r>
                              <w:r>
                                <w:rPr>
                                  <w:rFonts w:ascii="Arial"/>
                                  <w:color w:val="231F20"/>
                                  <w:spacing w:val="1"/>
                                  <w:sz w:val="12"/>
                                </w:rPr>
                                <w:t> </w:t>
                              </w:r>
                              <w:r>
                                <w:rPr>
                                  <w:rFonts w:ascii="Arial"/>
                                  <w:color w:val="231F20"/>
                                  <w:w w:val="75"/>
                                  <w:sz w:val="12"/>
                                </w:rPr>
                                <w:t>rates,</w:t>
                              </w:r>
                              <w:r>
                                <w:rPr>
                                  <w:rFonts w:ascii="Arial"/>
                                  <w:color w:val="231F20"/>
                                  <w:spacing w:val="-5"/>
                                  <w:sz w:val="12"/>
                                </w:rPr>
                                <w:t> </w:t>
                              </w:r>
                              <w:r>
                                <w:rPr>
                                  <w:rFonts w:ascii="Arial"/>
                                  <w:color w:val="231F20"/>
                                  <w:w w:val="75"/>
                                  <w:sz w:val="12"/>
                                </w:rPr>
                                <w:t>Drewry</w:t>
                              </w:r>
                              <w:r>
                                <w:rPr>
                                  <w:rFonts w:ascii="Arial"/>
                                  <w:color w:val="231F20"/>
                                  <w:spacing w:val="-5"/>
                                  <w:sz w:val="12"/>
                                </w:rPr>
                                <w:t> </w:t>
                              </w:r>
                              <w:r>
                                <w:rPr>
                                  <w:rFonts w:ascii="Arial"/>
                                  <w:color w:val="231F20"/>
                                  <w:w w:val="75"/>
                                  <w:sz w:val="12"/>
                                </w:rPr>
                                <w:t>World</w:t>
                              </w:r>
                              <w:r>
                                <w:rPr>
                                  <w:rFonts w:ascii="Arial"/>
                                  <w:color w:val="231F20"/>
                                  <w:spacing w:val="1"/>
                                  <w:sz w:val="12"/>
                                </w:rPr>
                                <w:t> </w:t>
                              </w:r>
                              <w:r>
                                <w:rPr>
                                  <w:rFonts w:ascii="Arial"/>
                                  <w:color w:val="231F20"/>
                                  <w:w w:val="75"/>
                                  <w:sz w:val="12"/>
                                </w:rPr>
                                <w:t>Container</w:t>
                              </w:r>
                              <w:r>
                                <w:rPr>
                                  <w:rFonts w:ascii="Arial"/>
                                  <w:color w:val="231F20"/>
                                  <w:spacing w:val="1"/>
                                  <w:sz w:val="12"/>
                                </w:rPr>
                                <w:t> </w:t>
                              </w:r>
                              <w:r>
                                <w:rPr>
                                  <w:rFonts w:ascii="Arial"/>
                                  <w:color w:val="231F20"/>
                                  <w:w w:val="75"/>
                                  <w:sz w:val="12"/>
                                </w:rPr>
                                <w:t>Composite</w:t>
                              </w:r>
                              <w:r>
                                <w:rPr>
                                  <w:rFonts w:ascii="Arial"/>
                                  <w:color w:val="231F20"/>
                                  <w:spacing w:val="1"/>
                                  <w:sz w:val="12"/>
                                </w:rPr>
                                <w:t> </w:t>
                              </w:r>
                              <w:r>
                                <w:rPr>
                                  <w:rFonts w:ascii="Arial"/>
                                  <w:color w:val="231F20"/>
                                  <w:spacing w:val="-2"/>
                                  <w:w w:val="75"/>
                                  <w:sz w:val="12"/>
                                </w:rPr>
                                <w:t>Index.</w:t>
                              </w:r>
                            </w:p>
                          </w:txbxContent>
                        </wps:txbx>
                        <wps:bodyPr wrap="square" lIns="0" tIns="0" rIns="0" bIns="0" rtlCol="0">
                          <a:noAutofit/>
                        </wps:bodyPr>
                      </wps:wsp>
                    </wpg:wgp>
                  </a:graphicData>
                </a:graphic>
              </wp:anchor>
            </w:drawing>
          </mc:Choice>
          <mc:Fallback>
            <w:pict>
              <v:group style="position:absolute;margin-left:168.000397pt;margin-top:198.321976pt;width:384pt;height:265pt;mso-position-horizontal-relative:page;mso-position-vertical-relative:paragraph;z-index:-36575232" id="docshapegroup328" coordorigin="3360,3966" coordsize="7680,5300">
                <v:shape style="position:absolute;left:3360;top:4575;width:7680;height:4691" id="docshape329" coordorigin="3360,4575" coordsize="7680,4691" path="m11040,4575l3360,4575,3360,9148,3370,9194,3396,9232,3434,9257,3479,9266,10916,9266,10962,9258,11001,9234,11029,9197,11040,9148,11040,4575xe" filled="true" fillcolor="#dfeaf7" stroked="false">
                  <v:path arrowok="t"/>
                  <v:fill type="solid"/>
                </v:shape>
                <v:shape style="position:absolute;left:3360;top:3969;width:807;height:565" id="docshape330" coordorigin="3360,3969" coordsize="807,565" path="m4167,3969l3480,3969,3434,3974,3396,3992,3370,4028,3360,4089,3360,4534,4167,4534,4167,3969xe" filled="true" fillcolor="#008fdd" stroked="false">
                  <v:path arrowok="t"/>
                  <v:fill type="solid"/>
                </v:shape>
                <v:shape style="position:absolute;left:4166;top:3969;width:6873;height:565" id="docshape331" coordorigin="4167,3969" coordsize="6873,565" path="m10919,3969l4167,3969,4167,4534,11039,4534,11039,4089,11030,4049,11006,4010,10968,3981,10919,3969xe" filled="true" fillcolor="#808285" stroked="false">
                  <v:path arrowok="t"/>
                  <v:fill type="solid"/>
                </v:shape>
                <v:line style="position:absolute" from="4167,3966" to="4167,4534" stroked="true" strokeweight="2pt" strokecolor="#ffffff">
                  <v:stroke dashstyle="solid"/>
                </v:line>
                <v:line style="position:absolute" from="3971,8641" to="10384,8641" stroked="true" strokeweight=".5pt" strokecolor="#ffffff">
                  <v:stroke dashstyle="solid"/>
                </v:line>
                <v:line style="position:absolute" from="3971,8641" to="10384,8641" stroked="true" strokeweight=".5pt" strokecolor="#ffffff">
                  <v:stroke dashstyle="solid"/>
                </v:line>
                <v:line style="position:absolute" from="3971,8077" to="10384,8077" stroked="true" strokeweight=".5pt" strokecolor="#ffffff">
                  <v:stroke dashstyle="solid"/>
                </v:line>
                <v:line style="position:absolute" from="3971,7513" to="10384,7513" stroked="true" strokeweight=".5pt" strokecolor="#ffffff">
                  <v:stroke dashstyle="solid"/>
                </v:line>
                <v:line style="position:absolute" from="3971,6949" to="10384,6949" stroked="true" strokeweight=".5pt" strokecolor="#ffffff">
                  <v:stroke dashstyle="solid"/>
                </v:line>
                <v:line style="position:absolute" from="3971,6385" to="10384,6385" stroked="true" strokeweight=".5pt" strokecolor="#ffffff">
                  <v:stroke dashstyle="solid"/>
                </v:line>
                <v:line style="position:absolute" from="3971,5821" to="10384,5821" stroked="true" strokeweight=".5pt" strokecolor="#ffffff">
                  <v:stroke dashstyle="solid"/>
                </v:line>
                <v:line style="position:absolute" from="3971,5258" to="10384,5258" stroked="true" strokeweight=".5pt" strokecolor="#ffffff">
                  <v:stroke dashstyle="solid"/>
                </v:line>
                <v:shape style="position:absolute;left:4609;top:5630;width:4687;height:1917" id="docshape332" coordorigin="4609,5631" coordsize="4687,1917" path="m4609,6259l4674,6217,4694,6234,4722,6260,4756,6279,4839,6232,4891,6165,4942,6093,4983,6032,5029,5939,5043,5904,5059,5882,5075,5874,5089,5876,5106,5893,5130,5925,5165,5986,5210,6070,5253,6153,5287,6210,5304,6234,5311,6238,5317,6227,5330,6202,5354,6155,5384,6086,5414,6017,5438,5968,5452,5944,5459,5935,5468,5935,5487,5939,5519,5951,5560,5973,5604,5993,5650,6003,5696,6000,5746,5989,5839,5946,5886,5905,5933,5851,5971,5803,5986,5782,6019,5742,6052,5700,6083,5664,6110,5640,6132,5631,6149,5632,6166,5642,6186,5661,6211,5696,6240,5743,6268,5791,6294,5825,6316,5843,6334,5851,6355,5852,6381,5847,6418,5829,6462,5800,6507,5775,6544,5768,6569,5783,6588,5811,6606,5852,6630,5903,6666,5977,6709,6068,6750,6158,6782,6224,6799,6262,6807,6282,6814,6288,6825,6281,6846,6251,6871,6201,6896,6150,6918,6117,6932,6115,6942,6133,6953,6147,6972,6138,7002,6092,7040,6021,7080,5949,7113,5896,7137,5868,7157,5854,7175,5850,7194,5854,7249,5897,7288,6012,7308,6098,7329,6193,7349,6286,7367,6366,7387,6448,7405,6521,7423,6584,7467,6673,7518,6713,7541,6736,7560,6765,7577,6796,7593,6829,7611,6864,7630,6899,7650,6933,7671,6974,7692,7028,7716,7109,7741,7209,7766,7304,7790,7370,7813,7398,7835,7403,7856,7391,7877,7370,7893,7331,7907,7274,7923,7219,7947,7185,7983,7182,8028,7199,8074,7221,8115,7234,8149,7230,8180,7216,8208,7207,8234,7213,8256,7245,8275,7294,8293,7345,8315,7384,8342,7409,8370,7426,8401,7437,8435,7441,8470,7431,8508,7410,8549,7391,8597,7391,8657,7423,8726,7476,8793,7526,8846,7548,8881,7526,8905,7478,8923,7424,8944,7384,8969,7363,8993,7350,9018,7343,9042,7341,9062,7351,9080,7372,9101,7388,9128,7384,9164,7355,9205,7310,9249,7253,9296,7192e" filled="false" stroked="true" strokeweight="2.0pt" strokecolor="#008fdd">
                  <v:path arrowok="t"/>
                  <v:stroke dashstyle="solid"/>
                </v:shape>
                <v:shape style="position:absolute;left:4582;top:5782;width:4714;height:1580" id="docshape333" coordorigin="4582,5782" coordsize="4714,1580" path="m4582,7156l4614,7163,4644,7166,4674,7162,4702,7149,4726,7113,4749,7060,4770,7015,4794,7000,4819,7031,4847,7094,4873,7163,4897,7213,4915,7238,4930,7252,4945,7258,4962,7263,4981,7262,5001,7256,5021,7251,5043,7256,5065,7280,5089,7317,5112,7350,5135,7362,5157,7343,5178,7304,5200,7260,5222,7227,5243,7208,5263,7195,5286,7189,5314,7192,5350,7211,5392,7243,5436,7273,5476,7284,5512,7269,5546,7237,5580,7201,5617,7170,5713,7126,5796,7099,5819,7094,5823,7101,5834,7121,5856,7162,5883,7220,5913,7274,5942,7306,5976,7299,6013,7269,6043,7236,6056,7220,6094,7191,6137,7157,6179,7127,6213,7106,6238,7102,6256,7108,6271,7115,6289,7113,6309,7095,6330,7068,6352,7043,6376,7035,6405,7053,6437,7087,6468,7124,6495,7149,6515,7159,6530,7161,6544,7157,6615,7107,6660,7034,6687,6978,6714,6921,6739,6871,6761,6826,6781,6782,6801,6751,6820,6743,6837,6779,6851,6847,6869,6911,6896,6935,6927,6903,6965,6837,7006,6761,7047,6700,7122,6714,7159,6787,7194,6876,7226,6959,7253,7014,7279,7039,7297,7039,7313,7027,7329,7014,7347,7002,7364,6984,7382,6964,7405,6943,7435,6920,7469,6896,7504,6870,7559,6821,7600,6774,7651,6666,7679,6595,7709,6515,7739,6435,7766,6361,7790,6302,7818,6233,7840,6177,7859,6142,7877,6131,7892,6156,7905,6209,7918,6275,7936,6338,7961,6403,7991,6475,8022,6538,8050,6572,8073,6572,8094,6548,8116,6507,8142,6459,8177,6398,8217,6323,8256,6247,8288,6181,8330,6088,8359,6010,8377,5915,8385,5875,8397,5854,8414,5861,8435,5890,8459,5924,8483,5946,8511,5951,8540,5948,8570,5944,8597,5946,8621,5961,8644,5983,8664,6001,8684,6003,8701,5982,8715,5944,8730,5903,8749,5868,8773,5838,8800,5809,8827,5788,8852,5782,8872,5800,8890,5835,8908,5874,8928,5903,8950,5912,8973,5911,8997,5916,9020,5946,9037,6000,9054,6076,9071,6159,9088,6237,9107,6295,9158,6362,9209,6387,9232,6399,9254,6405,9275,6408,9296,6409e" filled="false" stroked="true" strokeweight="2pt" strokecolor="#76aee5">
                  <v:path arrowok="t"/>
                  <v:stroke dashstyle="solid"/>
                </v:shape>
                <v:shape style="position:absolute;left:4510;top:5715;width:5114;height:2598" id="docshape334" coordorigin="4511,5716" coordsize="5114,2598" path="m4511,8314l4515,8307,4519,8299,4526,8290,4536,8278,4551,8261,4568,8240,4588,8220,4606,8207,4623,8203,4640,8204,4657,8209,4676,8214,4695,8219,4758,8242,4815,8273,4843,8287,4866,8292,4877,8284,4880,8267,4886,8249,4904,8235,4942,8231,4992,8231,5045,8231,5088,8228,5146,8210,5210,8172,5227,8156,5245,8143,5266,8136,5292,8138,5322,8146,5351,8156,5374,8164,5389,8167,5398,8166,5405,8169,5412,8178,5418,8205,5422,8243,5426,8276,5431,8285,5436,8257,5441,8203,5449,8148,5462,8114,5486,8115,5516,8134,5546,8158,5570,8171,5584,8169,5591,8160,5599,8149,5615,8143,5641,8141,5674,8142,5709,8146,5742,8157,5771,8181,5800,8214,5827,8245,5849,8264,5864,8264,5873,8252,5883,8237,5900,8228,5934,8227,5978,8230,6017,8234,6033,8235,6070,8238,6109,8240,6145,8242,6173,8242,6189,8240,6196,8236,6201,8231,6211,8228,6227,8227,6244,8226,6265,8226,6347,8239,6414,8272,6424,8307,6433,8314,6500,8259,6514,8241,6514,8241,6522,8242,6542,8248,6569,8257,6598,8263,6623,8257,6644,8231,6662,8191,6680,8152,6700,8129,6727,8128,6758,8141,6784,8156,6795,8164,6826,8177,6896,8204,6957,8220,7008,8223,7030,8221,7108,8164,7144,8126,7179,8089,7207,8065,7226,8057,7238,8061,7248,8068,7258,8072,7265,8075,7269,8079,7275,8078,7290,8065,7318,8031,7356,7983,7394,7934,7423,7901,7438,7888,7445,7888,7451,7892,7461,7894,7479,7893,7500,7894,7523,7892,7580,7865,7627,7787,7652,7695,7675,7589,7687,7527,7697,7467,7708,7417,7720,7381,7733,7354,7744,7330,7753,7303,7757,7268,7758,7228,7759,7193,7765,7168,7778,7157,7796,7156,7815,7161,7835,7168,7856,7178,7878,7193,7901,7210,7924,7225,7947,7240,7971,7256,7993,7269,8013,7275,8027,7278,8038,7280,8049,7268,8064,7232,8081,7173,8101,7090,8123,7000,8143,6916,8159,6855,8172,6822,8181,6819,8189,6815,8197,6783,8204,6726,8211,6650,8218,6566,8226,6483,8235,6413,8248,6344,8262,6285,8292,6186,8321,6104,8349,6043,8374,6014,8386,6002,8400,5979,8417,5937,8436,5882,8454,5828,8470,5787,8482,5764,8493,5751,8501,5744,8508,5737,8510,5728,8509,5719,8509,5716,8543,5779,8577,5851,8604,5912,8623,5986,8618,6005,8614,6021,8616,6036,8666,6086,8680,6093,8684,6090,8698,6079,8749,6022,8786,5972,8805,5946,8819,5929,8825,5923,8826,5925,8825,5930,8825,5937,8825,5945,8825,5956,8826,5968,8874,6011,8888,6015,8900,6008,8911,5994,8921,5983,8962,6042,8990,6129,9003,6244,9009,6306,9044,6395,9101,6452,9143,6481,9148,6479,9155,6477,9164,6476,9175,6472,9186,6471,9233,6517,9269,6570,9310,6648,9326,6677,9345,6708,9366,6741,9387,6776,9409,6812,9430,6847,9452,6883,9473,6922,9505,7025,9517,7090,9527,7156,9535,7218,9543,7272,9556,7373,9564,7480,9566,7538,9568,7591,9574,7630,9583,7653,9595,7664,9609,7667,9624,7666e" filled="false" stroked="true" strokeweight="2.0pt" strokecolor="#231f20">
                  <v:path arrowok="t"/>
                  <v:stroke dashstyle="solid"/>
                </v:shape>
                <v:shape style="position:absolute;left:10755;top:4887;width:2;height:204" id="docshape335" coordorigin="10755,4888" coordsize="0,204" path="m10755,4888l10755,5092e" filled="true" fillcolor="#ffffff" stroked="false">
                  <v:path arrowok="t"/>
                  <v:fill type="solid"/>
                </v:shape>
                <v:line style="position:absolute" from="10755,4888" to="10755,5092" stroked="true" strokeweight=".25pt" strokecolor="#231f20">
                  <v:stroke dashstyle="solid"/>
                </v:line>
                <v:shape style="position:absolute;left:3480;top:4074;width:6793;height:392" type="#_x0000_t202" id="docshape336" filled="false" stroked="false">
                  <v:textbox inset="0,0,0,0">
                    <w:txbxContent>
                      <w:p>
                        <w:pPr>
                          <w:spacing w:line="261" w:lineRule="auto" w:before="0"/>
                          <w:ind w:left="800" w:right="18" w:hanging="800"/>
                          <w:jc w:val="left"/>
                          <w:rPr>
                            <w:rFonts w:ascii="Arial" w:hAnsi="Arial"/>
                            <w:b/>
                            <w:sz w:val="16"/>
                          </w:rPr>
                        </w:pPr>
                        <w:r>
                          <w:rPr>
                            <w:rFonts w:ascii="Arial" w:hAnsi="Arial"/>
                            <w:color w:val="FFFFFF"/>
                            <w:w w:val="105"/>
                            <w:sz w:val="16"/>
                          </w:rPr>
                          <w:t>Figure</w:t>
                        </w:r>
                        <w:r>
                          <w:rPr>
                            <w:rFonts w:ascii="Arial" w:hAnsi="Arial"/>
                            <w:color w:val="FFFFFF"/>
                            <w:spacing w:val="-10"/>
                            <w:w w:val="105"/>
                            <w:sz w:val="16"/>
                          </w:rPr>
                          <w:t> </w:t>
                        </w:r>
                        <w:r>
                          <w:rPr>
                            <w:rFonts w:ascii="Arial" w:hAnsi="Arial"/>
                            <w:b/>
                            <w:color w:val="FFFFFF"/>
                            <w:w w:val="105"/>
                            <w:sz w:val="16"/>
                          </w:rPr>
                          <w:t>1.1</w:t>
                        </w:r>
                        <w:r>
                          <w:rPr>
                            <w:rFonts w:ascii="Arial" w:hAnsi="Arial"/>
                            <w:b/>
                            <w:color w:val="FFFFFF"/>
                            <w:spacing w:val="73"/>
                            <w:w w:val="150"/>
                            <w:sz w:val="16"/>
                          </w:rPr>
                          <w:t> </w:t>
                        </w:r>
                        <w:r>
                          <w:rPr>
                            <w:rFonts w:ascii="Arial" w:hAnsi="Arial"/>
                            <w:b/>
                            <w:color w:val="FFFFFF"/>
                            <w:w w:val="105"/>
                            <w:sz w:val="16"/>
                          </w:rPr>
                          <w:t>Container</w:t>
                        </w:r>
                        <w:r>
                          <w:rPr>
                            <w:rFonts w:ascii="Arial" w:hAnsi="Arial"/>
                            <w:b/>
                            <w:color w:val="FFFFFF"/>
                            <w:spacing w:val="-10"/>
                            <w:w w:val="105"/>
                            <w:sz w:val="16"/>
                          </w:rPr>
                          <w:t> </w:t>
                        </w:r>
                        <w:r>
                          <w:rPr>
                            <w:rFonts w:ascii="Arial" w:hAnsi="Arial"/>
                            <w:b/>
                            <w:color w:val="FFFFFF"/>
                            <w:w w:val="105"/>
                            <w:sz w:val="16"/>
                          </w:rPr>
                          <w:t>shipping</w:t>
                        </w:r>
                        <w:r>
                          <w:rPr>
                            <w:rFonts w:ascii="Arial" w:hAnsi="Arial"/>
                            <w:b/>
                            <w:color w:val="FFFFFF"/>
                            <w:spacing w:val="-11"/>
                            <w:w w:val="105"/>
                            <w:sz w:val="16"/>
                          </w:rPr>
                          <w:t> </w:t>
                        </w:r>
                        <w:r>
                          <w:rPr>
                            <w:rFonts w:ascii="Arial" w:hAnsi="Arial"/>
                            <w:b/>
                            <w:color w:val="FFFFFF"/>
                            <w:w w:val="105"/>
                            <w:sz w:val="16"/>
                          </w:rPr>
                          <w:t>schedule</w:t>
                        </w:r>
                        <w:r>
                          <w:rPr>
                            <w:rFonts w:ascii="Arial" w:hAnsi="Arial"/>
                            <w:b/>
                            <w:color w:val="FFFFFF"/>
                            <w:spacing w:val="-10"/>
                            <w:w w:val="105"/>
                            <w:sz w:val="16"/>
                          </w:rPr>
                          <w:t> </w:t>
                        </w:r>
                        <w:r>
                          <w:rPr>
                            <w:rFonts w:ascii="Arial" w:hAnsi="Arial"/>
                            <w:b/>
                            <w:color w:val="FFFFFF"/>
                            <w:w w:val="105"/>
                            <w:sz w:val="16"/>
                          </w:rPr>
                          <w:t>reliability,</w:t>
                        </w:r>
                        <w:r>
                          <w:rPr>
                            <w:rFonts w:ascii="Arial" w:hAnsi="Arial"/>
                            <w:b/>
                            <w:color w:val="FFFFFF"/>
                            <w:spacing w:val="-11"/>
                            <w:w w:val="105"/>
                            <w:sz w:val="16"/>
                          </w:rPr>
                          <w:t> </w:t>
                        </w:r>
                        <w:r>
                          <w:rPr>
                            <w:rFonts w:ascii="Arial" w:hAnsi="Arial"/>
                            <w:b/>
                            <w:color w:val="FFFFFF"/>
                            <w:w w:val="105"/>
                            <w:sz w:val="16"/>
                          </w:rPr>
                          <w:t>average</w:t>
                        </w:r>
                        <w:r>
                          <w:rPr>
                            <w:rFonts w:ascii="Arial" w:hAnsi="Arial"/>
                            <w:b/>
                            <w:color w:val="FFFFFF"/>
                            <w:spacing w:val="-10"/>
                            <w:w w:val="105"/>
                            <w:sz w:val="16"/>
                          </w:rPr>
                          <w:t> </w:t>
                        </w:r>
                        <w:r>
                          <w:rPr>
                            <w:rFonts w:ascii="Arial" w:hAnsi="Arial"/>
                            <w:b/>
                            <w:color w:val="FFFFFF"/>
                            <w:w w:val="105"/>
                            <w:sz w:val="16"/>
                          </w:rPr>
                          <w:t>delay</w:t>
                        </w:r>
                        <w:r>
                          <w:rPr>
                            <w:rFonts w:ascii="Arial" w:hAnsi="Arial"/>
                            <w:b/>
                            <w:color w:val="FFFFFF"/>
                            <w:spacing w:val="-11"/>
                            <w:w w:val="105"/>
                            <w:sz w:val="16"/>
                          </w:rPr>
                          <w:t> </w:t>
                        </w:r>
                        <w:r>
                          <w:rPr>
                            <w:rFonts w:ascii="Arial" w:hAnsi="Arial"/>
                            <w:b/>
                            <w:color w:val="FFFFFF"/>
                            <w:w w:val="105"/>
                            <w:sz w:val="16"/>
                          </w:rPr>
                          <w:t>for</w:t>
                        </w:r>
                        <w:r>
                          <w:rPr>
                            <w:rFonts w:ascii="Arial" w:hAnsi="Arial"/>
                            <w:b/>
                            <w:color w:val="FFFFFF"/>
                            <w:spacing w:val="-10"/>
                            <w:w w:val="105"/>
                            <w:sz w:val="16"/>
                          </w:rPr>
                          <w:t> </w:t>
                        </w:r>
                        <w:r>
                          <w:rPr>
                            <w:rFonts w:ascii="Arial" w:hAnsi="Arial"/>
                            <w:b/>
                            <w:color w:val="FFFFFF"/>
                            <w:w w:val="105"/>
                            <w:sz w:val="16"/>
                          </w:rPr>
                          <w:t>late</w:t>
                        </w:r>
                        <w:r>
                          <w:rPr>
                            <w:rFonts w:ascii="Arial" w:hAnsi="Arial"/>
                            <w:b/>
                            <w:color w:val="FFFFFF"/>
                            <w:spacing w:val="-11"/>
                            <w:w w:val="105"/>
                            <w:sz w:val="16"/>
                          </w:rPr>
                          <w:t> </w:t>
                        </w:r>
                        <w:r>
                          <w:rPr>
                            <w:rFonts w:ascii="Arial" w:hAnsi="Arial"/>
                            <w:b/>
                            <w:color w:val="FFFFFF"/>
                            <w:w w:val="105"/>
                            <w:sz w:val="16"/>
                          </w:rPr>
                          <w:t>arrivals,</w:t>
                        </w:r>
                        <w:r>
                          <w:rPr>
                            <w:rFonts w:ascii="Arial" w:hAnsi="Arial"/>
                            <w:b/>
                            <w:color w:val="FFFFFF"/>
                            <w:spacing w:val="-10"/>
                            <w:w w:val="105"/>
                            <w:sz w:val="16"/>
                          </w:rPr>
                          <w:t> </w:t>
                        </w:r>
                        <w:r>
                          <w:rPr>
                            <w:rFonts w:ascii="Arial" w:hAnsi="Arial"/>
                            <w:b/>
                            <w:color w:val="FFFFFF"/>
                            <w:w w:val="105"/>
                            <w:sz w:val="16"/>
                          </w:rPr>
                          <w:t>and spot rates, June 2018–22</w:t>
                        </w:r>
                      </w:p>
                    </w:txbxContent>
                  </v:textbox>
                  <w10:wrap type="none"/>
                </v:shape>
                <v:shape style="position:absolute;left:3480;top:4775;width:3722;height:799" type="#_x0000_t202" id="docshape337" filled="false" stroked="false">
                  <v:textbox inset="0,0,0,0">
                    <w:txbxContent>
                      <w:p>
                        <w:pPr>
                          <w:spacing w:before="0"/>
                          <w:ind w:left="0" w:right="1057" w:firstLine="0"/>
                          <w:jc w:val="left"/>
                          <w:rPr>
                            <w:rFonts w:ascii="Arial"/>
                            <w:sz w:val="14"/>
                          </w:rPr>
                        </w:pPr>
                        <w:r>
                          <w:rPr>
                            <w:rFonts w:ascii="Arial"/>
                            <w:color w:val="231F20"/>
                            <w:w w:val="80"/>
                            <w:sz w:val="14"/>
                          </w:rPr>
                          <w:t>Container</w:t>
                        </w:r>
                        <w:r>
                          <w:rPr>
                            <w:rFonts w:ascii="Arial"/>
                            <w:color w:val="231F20"/>
                            <w:spacing w:val="-2"/>
                            <w:w w:val="80"/>
                            <w:sz w:val="14"/>
                          </w:rPr>
                          <w:t> </w:t>
                        </w:r>
                        <w:r>
                          <w:rPr>
                            <w:rFonts w:ascii="Arial"/>
                            <w:color w:val="231F20"/>
                            <w:w w:val="80"/>
                            <w:sz w:val="14"/>
                          </w:rPr>
                          <w:t>shipping</w:t>
                        </w:r>
                        <w:r>
                          <w:rPr>
                            <w:rFonts w:ascii="Arial"/>
                            <w:color w:val="231F20"/>
                            <w:spacing w:val="-2"/>
                            <w:w w:val="80"/>
                            <w:sz w:val="14"/>
                          </w:rPr>
                          <w:t> </w:t>
                        </w:r>
                        <w:r>
                          <w:rPr>
                            <w:rFonts w:ascii="Arial"/>
                            <w:color w:val="231F20"/>
                            <w:w w:val="80"/>
                            <w:sz w:val="14"/>
                          </w:rPr>
                          <w:t>spot</w:t>
                        </w:r>
                        <w:r>
                          <w:rPr>
                            <w:rFonts w:ascii="Arial"/>
                            <w:color w:val="231F20"/>
                            <w:spacing w:val="-2"/>
                            <w:w w:val="80"/>
                            <w:sz w:val="14"/>
                          </w:rPr>
                          <w:t> </w:t>
                        </w:r>
                        <w:r>
                          <w:rPr>
                            <w:rFonts w:ascii="Arial"/>
                            <w:color w:val="231F20"/>
                            <w:w w:val="80"/>
                            <w:sz w:val="14"/>
                          </w:rPr>
                          <w:t>rate,</w:t>
                        </w:r>
                        <w:r>
                          <w:rPr>
                            <w:rFonts w:ascii="Arial"/>
                            <w:color w:val="231F20"/>
                            <w:spacing w:val="-4"/>
                            <w:w w:val="80"/>
                            <w:sz w:val="14"/>
                          </w:rPr>
                          <w:t> </w:t>
                        </w:r>
                        <w:r>
                          <w:rPr>
                            <w:rFonts w:ascii="Arial"/>
                            <w:color w:val="231F20"/>
                            <w:w w:val="80"/>
                            <w:sz w:val="14"/>
                          </w:rPr>
                          <w:t>40-foot</w:t>
                        </w:r>
                        <w:r>
                          <w:rPr>
                            <w:rFonts w:ascii="Arial"/>
                            <w:color w:val="231F20"/>
                            <w:spacing w:val="-1"/>
                            <w:w w:val="80"/>
                            <w:sz w:val="14"/>
                          </w:rPr>
                          <w:t> </w:t>
                        </w:r>
                        <w:r>
                          <w:rPr>
                            <w:rFonts w:ascii="Arial"/>
                            <w:color w:val="231F20"/>
                            <w:w w:val="80"/>
                            <w:sz w:val="14"/>
                          </w:rPr>
                          <w:t>equivalent</w:t>
                        </w:r>
                        <w:r>
                          <w:rPr>
                            <w:rFonts w:ascii="Arial"/>
                            <w:color w:val="231F20"/>
                            <w:spacing w:val="-2"/>
                            <w:w w:val="80"/>
                            <w:sz w:val="14"/>
                          </w:rPr>
                          <w:t> </w:t>
                        </w:r>
                        <w:r>
                          <w:rPr>
                            <w:rFonts w:ascii="Arial"/>
                            <w:color w:val="231F20"/>
                            <w:w w:val="80"/>
                            <w:sz w:val="14"/>
                          </w:rPr>
                          <w:t>unit</w:t>
                        </w:r>
                        <w:r>
                          <w:rPr>
                            <w:rFonts w:ascii="Arial"/>
                            <w:color w:val="231F20"/>
                            <w:spacing w:val="40"/>
                            <w:sz w:val="14"/>
                          </w:rPr>
                          <w:t> </w:t>
                        </w:r>
                        <w:r>
                          <w:rPr>
                            <w:rFonts w:ascii="Arial"/>
                            <w:color w:val="231F20"/>
                            <w:w w:val="85"/>
                            <w:sz w:val="14"/>
                          </w:rPr>
                          <w:t>on</w:t>
                        </w:r>
                        <w:r>
                          <w:rPr>
                            <w:rFonts w:ascii="Arial"/>
                            <w:color w:val="231F20"/>
                            <w:spacing w:val="-1"/>
                            <w:w w:val="85"/>
                            <w:sz w:val="14"/>
                          </w:rPr>
                          <w:t> </w:t>
                        </w:r>
                        <w:r>
                          <w:rPr>
                            <w:rFonts w:ascii="Arial"/>
                            <w:color w:val="231F20"/>
                            <w:w w:val="85"/>
                            <w:sz w:val="14"/>
                          </w:rPr>
                          <w:t>seven</w:t>
                        </w:r>
                        <w:r>
                          <w:rPr>
                            <w:rFonts w:ascii="Arial"/>
                            <w:color w:val="231F20"/>
                            <w:spacing w:val="-1"/>
                            <w:w w:val="85"/>
                            <w:sz w:val="14"/>
                          </w:rPr>
                          <w:t> </w:t>
                        </w:r>
                        <w:r>
                          <w:rPr>
                            <w:rFonts w:ascii="Arial"/>
                            <w:color w:val="231F20"/>
                            <w:w w:val="85"/>
                            <w:sz w:val="14"/>
                          </w:rPr>
                          <w:t>main</w:t>
                        </w:r>
                        <w:r>
                          <w:rPr>
                            <w:rFonts w:ascii="Arial"/>
                            <w:color w:val="231F20"/>
                            <w:spacing w:val="-1"/>
                            <w:w w:val="85"/>
                            <w:sz w:val="14"/>
                          </w:rPr>
                          <w:t> </w:t>
                        </w:r>
                        <w:r>
                          <w:rPr>
                            <w:rFonts w:ascii="Arial"/>
                            <w:color w:val="231F20"/>
                            <w:w w:val="85"/>
                            <w:sz w:val="14"/>
                          </w:rPr>
                          <w:t>trades</w:t>
                        </w:r>
                        <w:r>
                          <w:rPr>
                            <w:rFonts w:ascii="Arial"/>
                            <w:color w:val="231F20"/>
                            <w:spacing w:val="-1"/>
                            <w:w w:val="85"/>
                            <w:sz w:val="14"/>
                          </w:rPr>
                          <w:t> </w:t>
                        </w:r>
                        <w:r>
                          <w:rPr>
                            <w:rFonts w:ascii="Arial"/>
                            <w:color w:val="231F20"/>
                            <w:w w:val="85"/>
                            <w:sz w:val="14"/>
                          </w:rPr>
                          <w:t>(US$)</w:t>
                        </w:r>
                      </w:p>
                      <w:p>
                        <w:pPr>
                          <w:spacing w:before="96"/>
                          <w:ind w:left="21" w:right="0" w:firstLine="0"/>
                          <w:jc w:val="left"/>
                          <w:rPr>
                            <w:rFonts w:ascii="Arial"/>
                            <w:sz w:val="14"/>
                          </w:rPr>
                        </w:pPr>
                        <w:r>
                          <w:rPr>
                            <w:rFonts w:ascii="Arial"/>
                            <w:color w:val="231F20"/>
                            <w:spacing w:val="-2"/>
                            <w:w w:val="95"/>
                            <w:sz w:val="14"/>
                          </w:rPr>
                          <w:t>12,000</w:t>
                        </w:r>
                      </w:p>
                      <w:p>
                        <w:pPr>
                          <w:spacing w:before="58"/>
                          <w:ind w:left="2149" w:right="0" w:firstLine="0"/>
                          <w:jc w:val="left"/>
                          <w:rPr>
                            <w:rFonts w:ascii="Arial"/>
                            <w:sz w:val="14"/>
                          </w:rPr>
                        </w:pPr>
                        <w:r>
                          <w:rPr>
                            <w:rFonts w:ascii="Arial"/>
                            <w:color w:val="231F20"/>
                            <w:w w:val="80"/>
                            <w:sz w:val="14"/>
                          </w:rPr>
                          <w:t>Schedule</w:t>
                        </w:r>
                        <w:r>
                          <w:rPr>
                            <w:rFonts w:ascii="Arial"/>
                            <w:color w:val="231F20"/>
                            <w:spacing w:val="9"/>
                            <w:sz w:val="14"/>
                          </w:rPr>
                          <w:t> </w:t>
                        </w:r>
                        <w:r>
                          <w:rPr>
                            <w:rFonts w:ascii="Arial"/>
                            <w:color w:val="231F20"/>
                            <w:w w:val="80"/>
                            <w:sz w:val="14"/>
                          </w:rPr>
                          <w:t>reliability</w:t>
                        </w:r>
                        <w:r>
                          <w:rPr>
                            <w:rFonts w:ascii="Arial"/>
                            <w:color w:val="231F20"/>
                            <w:spacing w:val="9"/>
                            <w:sz w:val="14"/>
                          </w:rPr>
                          <w:t> </w:t>
                        </w:r>
                        <w:r>
                          <w:rPr>
                            <w:rFonts w:ascii="Arial"/>
                            <w:color w:val="231F20"/>
                            <w:w w:val="80"/>
                            <w:sz w:val="14"/>
                          </w:rPr>
                          <w:t>(right</w:t>
                        </w:r>
                        <w:r>
                          <w:rPr>
                            <w:rFonts w:ascii="Arial"/>
                            <w:color w:val="231F20"/>
                            <w:spacing w:val="9"/>
                            <w:sz w:val="14"/>
                          </w:rPr>
                          <w:t> </w:t>
                        </w:r>
                        <w:r>
                          <w:rPr>
                            <w:rFonts w:ascii="Arial"/>
                            <w:color w:val="231F20"/>
                            <w:spacing w:val="-2"/>
                            <w:w w:val="80"/>
                            <w:sz w:val="14"/>
                          </w:rPr>
                          <w:t>axis)</w:t>
                        </w:r>
                      </w:p>
                    </w:txbxContent>
                  </v:textbox>
                  <w10:wrap type="none"/>
                </v:shape>
                <v:shape style="position:absolute;left:8829;top:4696;width:2047;height:595" type="#_x0000_t202" id="docshape338" filled="false" stroked="false">
                  <v:textbox inset="0,0,0,0">
                    <w:txbxContent>
                      <w:p>
                        <w:pPr>
                          <w:spacing w:line="159" w:lineRule="exact" w:before="0"/>
                          <w:ind w:left="905" w:right="0" w:firstLine="0"/>
                          <w:jc w:val="left"/>
                          <w:rPr>
                            <w:rFonts w:ascii="Arial"/>
                            <w:sz w:val="14"/>
                          </w:rPr>
                        </w:pPr>
                        <w:r>
                          <w:rPr>
                            <w:rFonts w:ascii="Arial"/>
                            <w:color w:val="231F20"/>
                            <w:w w:val="75"/>
                            <w:sz w:val="14"/>
                          </w:rPr>
                          <w:t>Schedule</w:t>
                        </w:r>
                        <w:r>
                          <w:rPr>
                            <w:rFonts w:ascii="Arial"/>
                            <w:color w:val="231F20"/>
                            <w:spacing w:val="13"/>
                            <w:sz w:val="14"/>
                          </w:rPr>
                          <w:t> </w:t>
                        </w:r>
                        <w:r>
                          <w:rPr>
                            <w:rFonts w:ascii="Arial"/>
                            <w:color w:val="231F20"/>
                            <w:w w:val="75"/>
                            <w:sz w:val="14"/>
                          </w:rPr>
                          <w:t>reliability</w:t>
                        </w:r>
                        <w:r>
                          <w:rPr>
                            <w:rFonts w:ascii="Arial"/>
                            <w:color w:val="231F20"/>
                            <w:spacing w:val="14"/>
                            <w:sz w:val="14"/>
                          </w:rPr>
                          <w:t> </w:t>
                        </w:r>
                        <w:r>
                          <w:rPr>
                            <w:rFonts w:ascii="Arial"/>
                            <w:color w:val="231F20"/>
                            <w:spacing w:val="-5"/>
                            <w:w w:val="75"/>
                            <w:sz w:val="14"/>
                          </w:rPr>
                          <w:t>(%)</w:t>
                        </w:r>
                      </w:p>
                      <w:p>
                        <w:pPr>
                          <w:spacing w:before="79"/>
                          <w:ind w:left="0" w:right="0" w:firstLine="0"/>
                          <w:jc w:val="left"/>
                          <w:rPr>
                            <w:rFonts w:ascii="Arial"/>
                            <w:sz w:val="14"/>
                          </w:rPr>
                        </w:pPr>
                        <w:r>
                          <w:rPr>
                            <w:rFonts w:ascii="Arial"/>
                            <w:color w:val="231F20"/>
                            <w:w w:val="75"/>
                            <w:sz w:val="14"/>
                          </w:rPr>
                          <w:t>Average</w:t>
                        </w:r>
                        <w:r>
                          <w:rPr>
                            <w:rFonts w:ascii="Arial"/>
                            <w:color w:val="231F20"/>
                            <w:spacing w:val="2"/>
                            <w:sz w:val="14"/>
                          </w:rPr>
                          <w:t> </w:t>
                        </w:r>
                        <w:r>
                          <w:rPr>
                            <w:rFonts w:ascii="Arial"/>
                            <w:color w:val="231F20"/>
                            <w:w w:val="75"/>
                            <w:sz w:val="14"/>
                          </w:rPr>
                          <w:t>delay</w:t>
                        </w:r>
                        <w:r>
                          <w:rPr>
                            <w:rFonts w:ascii="Arial"/>
                            <w:color w:val="231F20"/>
                            <w:spacing w:val="2"/>
                            <w:sz w:val="14"/>
                          </w:rPr>
                          <w:t> </w:t>
                        </w:r>
                        <w:r>
                          <w:rPr>
                            <w:rFonts w:ascii="Arial"/>
                            <w:color w:val="231F20"/>
                            <w:w w:val="75"/>
                            <w:sz w:val="14"/>
                          </w:rPr>
                          <w:t>for</w:t>
                        </w:r>
                        <w:r>
                          <w:rPr>
                            <w:rFonts w:ascii="Arial"/>
                            <w:color w:val="231F20"/>
                            <w:spacing w:val="3"/>
                            <w:sz w:val="14"/>
                          </w:rPr>
                          <w:t> </w:t>
                        </w:r>
                        <w:r>
                          <w:rPr>
                            <w:rFonts w:ascii="Arial"/>
                            <w:color w:val="231F20"/>
                            <w:w w:val="75"/>
                            <w:sz w:val="14"/>
                          </w:rPr>
                          <w:t>late</w:t>
                        </w:r>
                        <w:r>
                          <w:rPr>
                            <w:rFonts w:ascii="Arial"/>
                            <w:color w:val="231F20"/>
                            <w:spacing w:val="2"/>
                            <w:sz w:val="14"/>
                          </w:rPr>
                          <w:t> </w:t>
                        </w:r>
                        <w:r>
                          <w:rPr>
                            <w:rFonts w:ascii="Arial"/>
                            <w:color w:val="231F20"/>
                            <w:w w:val="75"/>
                            <w:sz w:val="14"/>
                          </w:rPr>
                          <w:t>arrivals</w:t>
                        </w:r>
                        <w:r>
                          <w:rPr>
                            <w:rFonts w:ascii="Arial"/>
                            <w:color w:val="231F20"/>
                            <w:spacing w:val="3"/>
                            <w:sz w:val="14"/>
                          </w:rPr>
                          <w:t> </w:t>
                        </w:r>
                        <w:r>
                          <w:rPr>
                            <w:rFonts w:ascii="Arial"/>
                            <w:color w:val="231F20"/>
                            <w:spacing w:val="-2"/>
                            <w:w w:val="75"/>
                            <w:sz w:val="14"/>
                          </w:rPr>
                          <w:t>(days)</w:t>
                        </w:r>
                      </w:p>
                      <w:p>
                        <w:pPr>
                          <w:spacing w:line="160" w:lineRule="exact" w:before="35"/>
                          <w:ind w:left="1648" w:right="0" w:firstLine="0"/>
                          <w:jc w:val="left"/>
                          <w:rPr>
                            <w:rFonts w:ascii="Arial"/>
                            <w:sz w:val="14"/>
                          </w:rPr>
                        </w:pPr>
                        <w:r>
                          <w:rPr>
                            <w:rFonts w:ascii="Arial"/>
                            <w:color w:val="231F20"/>
                            <w:w w:val="90"/>
                            <w:sz w:val="14"/>
                          </w:rPr>
                          <w:t>10</w:t>
                        </w:r>
                        <w:r>
                          <w:rPr>
                            <w:rFonts w:ascii="Arial"/>
                            <w:color w:val="231F20"/>
                            <w:spacing w:val="-2"/>
                            <w:w w:val="95"/>
                            <w:sz w:val="14"/>
                          </w:rPr>
                          <w:t> </w:t>
                        </w:r>
                        <w:r>
                          <w:rPr>
                            <w:rFonts w:ascii="Arial"/>
                            <w:color w:val="231F20"/>
                            <w:spacing w:val="-5"/>
                            <w:w w:val="95"/>
                            <w:sz w:val="14"/>
                          </w:rPr>
                          <w:t>100</w:t>
                        </w:r>
                      </w:p>
                    </w:txbxContent>
                  </v:textbox>
                  <w10:wrap type="none"/>
                </v:shape>
                <v:shape style="position:absolute;left:3501;top:5759;width:390;height:159" type="#_x0000_t202" id="docshape339" filled="false" stroked="false">
                  <v:textbox inset="0,0,0,0">
                    <w:txbxContent>
                      <w:p>
                        <w:pPr>
                          <w:spacing w:line="158" w:lineRule="exact" w:before="0"/>
                          <w:ind w:left="0" w:right="0" w:firstLine="0"/>
                          <w:jc w:val="left"/>
                          <w:rPr>
                            <w:rFonts w:ascii="Arial"/>
                            <w:sz w:val="14"/>
                          </w:rPr>
                        </w:pPr>
                        <w:r>
                          <w:rPr>
                            <w:rFonts w:ascii="Arial"/>
                            <w:color w:val="231F20"/>
                            <w:spacing w:val="-2"/>
                            <w:w w:val="90"/>
                            <w:sz w:val="14"/>
                          </w:rPr>
                          <w:t>10,000</w:t>
                        </w:r>
                      </w:p>
                    </w:txbxContent>
                  </v:textbox>
                  <w10:wrap type="none"/>
                </v:shape>
                <v:shape style="position:absolute;left:3568;top:6323;width:323;height:159" type="#_x0000_t202" id="docshape340" filled="false" stroked="false">
                  <v:textbox inset="0,0,0,0">
                    <w:txbxContent>
                      <w:p>
                        <w:pPr>
                          <w:spacing w:line="158" w:lineRule="exact" w:before="0"/>
                          <w:ind w:left="0" w:right="0" w:firstLine="0"/>
                          <w:jc w:val="left"/>
                          <w:rPr>
                            <w:rFonts w:ascii="Arial"/>
                            <w:sz w:val="14"/>
                          </w:rPr>
                        </w:pPr>
                        <w:r>
                          <w:rPr>
                            <w:rFonts w:ascii="Arial"/>
                            <w:color w:val="231F20"/>
                            <w:spacing w:val="-2"/>
                            <w:w w:val="90"/>
                            <w:sz w:val="14"/>
                          </w:rPr>
                          <w:t>8,000</w:t>
                        </w:r>
                      </w:p>
                    </w:txbxContent>
                  </v:textbox>
                  <w10:wrap type="none"/>
                </v:shape>
                <v:shape style="position:absolute;left:4849;top:6513;width:2134;height:161" type="#_x0000_t202" id="docshape341" filled="false" stroked="false">
                  <v:textbox inset="0,0,0,0">
                    <w:txbxContent>
                      <w:p>
                        <w:pPr>
                          <w:spacing w:line="160" w:lineRule="exact" w:before="0"/>
                          <w:ind w:left="0" w:right="0" w:firstLine="0"/>
                          <w:jc w:val="left"/>
                          <w:rPr>
                            <w:rFonts w:ascii="Arial"/>
                            <w:sz w:val="14"/>
                          </w:rPr>
                        </w:pPr>
                        <w:r>
                          <w:rPr>
                            <w:rFonts w:ascii="Arial"/>
                            <w:color w:val="231F20"/>
                            <w:w w:val="80"/>
                            <w:sz w:val="14"/>
                          </w:rPr>
                          <w:t>Average</w:t>
                        </w:r>
                        <w:r>
                          <w:rPr>
                            <w:rFonts w:ascii="Arial"/>
                            <w:color w:val="231F20"/>
                            <w:spacing w:val="2"/>
                            <w:sz w:val="14"/>
                          </w:rPr>
                          <w:t> </w:t>
                        </w:r>
                        <w:r>
                          <w:rPr>
                            <w:rFonts w:ascii="Arial"/>
                            <w:color w:val="231F20"/>
                            <w:w w:val="80"/>
                            <w:sz w:val="14"/>
                          </w:rPr>
                          <w:t>delay</w:t>
                        </w:r>
                        <w:r>
                          <w:rPr>
                            <w:rFonts w:ascii="Arial"/>
                            <w:color w:val="231F20"/>
                            <w:spacing w:val="3"/>
                            <w:sz w:val="14"/>
                          </w:rPr>
                          <w:t> </w:t>
                        </w:r>
                        <w:r>
                          <w:rPr>
                            <w:rFonts w:ascii="Arial"/>
                            <w:color w:val="231F20"/>
                            <w:w w:val="80"/>
                            <w:sz w:val="14"/>
                          </w:rPr>
                          <w:t>for</w:t>
                        </w:r>
                        <w:r>
                          <w:rPr>
                            <w:rFonts w:ascii="Arial"/>
                            <w:color w:val="231F20"/>
                            <w:spacing w:val="3"/>
                            <w:sz w:val="14"/>
                          </w:rPr>
                          <w:t> </w:t>
                        </w:r>
                        <w:r>
                          <w:rPr>
                            <w:rFonts w:ascii="Arial"/>
                            <w:color w:val="231F20"/>
                            <w:w w:val="80"/>
                            <w:sz w:val="14"/>
                          </w:rPr>
                          <w:t>late</w:t>
                        </w:r>
                        <w:r>
                          <w:rPr>
                            <w:rFonts w:ascii="Arial"/>
                            <w:color w:val="231F20"/>
                            <w:spacing w:val="3"/>
                            <w:sz w:val="14"/>
                          </w:rPr>
                          <w:t> </w:t>
                        </w:r>
                        <w:r>
                          <w:rPr>
                            <w:rFonts w:ascii="Arial"/>
                            <w:color w:val="231F20"/>
                            <w:w w:val="80"/>
                            <w:sz w:val="14"/>
                          </w:rPr>
                          <w:t>arrivals</w:t>
                        </w:r>
                        <w:r>
                          <w:rPr>
                            <w:rFonts w:ascii="Arial"/>
                            <w:color w:val="231F20"/>
                            <w:spacing w:val="2"/>
                            <w:sz w:val="14"/>
                          </w:rPr>
                          <w:t> </w:t>
                        </w:r>
                        <w:r>
                          <w:rPr>
                            <w:rFonts w:ascii="Arial"/>
                            <w:color w:val="231F20"/>
                            <w:w w:val="80"/>
                            <w:sz w:val="14"/>
                          </w:rPr>
                          <w:t>(right</w:t>
                        </w:r>
                        <w:r>
                          <w:rPr>
                            <w:rFonts w:ascii="Arial"/>
                            <w:color w:val="231F20"/>
                            <w:spacing w:val="3"/>
                            <w:sz w:val="14"/>
                          </w:rPr>
                          <w:t> </w:t>
                        </w:r>
                        <w:r>
                          <w:rPr>
                            <w:rFonts w:ascii="Arial"/>
                            <w:color w:val="231F20"/>
                            <w:spacing w:val="-2"/>
                            <w:w w:val="80"/>
                            <w:sz w:val="14"/>
                          </w:rPr>
                          <w:t>axis)</w:t>
                        </w:r>
                      </w:p>
                    </w:txbxContent>
                  </v:textbox>
                  <w10:wrap type="none"/>
                </v:shape>
                <v:shape style="position:absolute;left:3568;top:6887;width:323;height:159" type="#_x0000_t202" id="docshape342" filled="false" stroked="false">
                  <v:textbox inset="0,0,0,0">
                    <w:txbxContent>
                      <w:p>
                        <w:pPr>
                          <w:spacing w:line="158" w:lineRule="exact" w:before="0"/>
                          <w:ind w:left="0" w:right="0" w:firstLine="0"/>
                          <w:jc w:val="left"/>
                          <w:rPr>
                            <w:rFonts w:ascii="Arial"/>
                            <w:sz w:val="14"/>
                          </w:rPr>
                        </w:pPr>
                        <w:r>
                          <w:rPr>
                            <w:rFonts w:ascii="Arial"/>
                            <w:color w:val="231F20"/>
                            <w:spacing w:val="-2"/>
                            <w:w w:val="90"/>
                            <w:sz w:val="14"/>
                          </w:rPr>
                          <w:t>6,000</w:t>
                        </w:r>
                      </w:p>
                    </w:txbxContent>
                  </v:textbox>
                  <w10:wrap type="none"/>
                </v:shape>
                <v:shape style="position:absolute;left:3568;top:7450;width:323;height:159" type="#_x0000_t202" id="docshape343" filled="false" stroked="false">
                  <v:textbox inset="0,0,0,0">
                    <w:txbxContent>
                      <w:p>
                        <w:pPr>
                          <w:spacing w:line="158" w:lineRule="exact" w:before="0"/>
                          <w:ind w:left="0" w:right="0" w:firstLine="0"/>
                          <w:jc w:val="left"/>
                          <w:rPr>
                            <w:rFonts w:ascii="Arial"/>
                            <w:sz w:val="14"/>
                          </w:rPr>
                        </w:pPr>
                        <w:r>
                          <w:rPr>
                            <w:rFonts w:ascii="Arial"/>
                            <w:color w:val="231F20"/>
                            <w:spacing w:val="-2"/>
                            <w:w w:val="90"/>
                            <w:sz w:val="14"/>
                          </w:rPr>
                          <w:t>4,000</w:t>
                        </w:r>
                      </w:p>
                    </w:txbxContent>
                  </v:textbox>
                  <w10:wrap type="none"/>
                </v:shape>
                <v:shape style="position:absolute;left:3568;top:8014;width:323;height:159" type="#_x0000_t202" id="docshape344" filled="false" stroked="false">
                  <v:textbox inset="0,0,0,0">
                    <w:txbxContent>
                      <w:p>
                        <w:pPr>
                          <w:spacing w:line="158" w:lineRule="exact" w:before="0"/>
                          <w:ind w:left="0" w:right="0" w:firstLine="0"/>
                          <w:jc w:val="left"/>
                          <w:rPr>
                            <w:rFonts w:ascii="Arial"/>
                            <w:sz w:val="14"/>
                          </w:rPr>
                        </w:pPr>
                        <w:r>
                          <w:rPr>
                            <w:rFonts w:ascii="Arial"/>
                            <w:color w:val="231F20"/>
                            <w:spacing w:val="-2"/>
                            <w:w w:val="90"/>
                            <w:sz w:val="14"/>
                          </w:rPr>
                          <w:t>2,000</w:t>
                        </w:r>
                      </w:p>
                    </w:txbxContent>
                  </v:textbox>
                  <w10:wrap type="none"/>
                </v:shape>
                <v:shape style="position:absolute;left:4148;top:8376;width:1981;height:161" type="#_x0000_t202" id="docshape345" filled="false" stroked="false">
                  <v:textbox inset="0,0,0,0">
                    <w:txbxContent>
                      <w:p>
                        <w:pPr>
                          <w:spacing w:line="160" w:lineRule="exact" w:before="0"/>
                          <w:ind w:left="0" w:right="0" w:firstLine="0"/>
                          <w:jc w:val="left"/>
                          <w:rPr>
                            <w:rFonts w:ascii="Arial"/>
                            <w:sz w:val="14"/>
                          </w:rPr>
                        </w:pPr>
                        <w:r>
                          <w:rPr>
                            <w:rFonts w:ascii="Arial"/>
                            <w:color w:val="231F20"/>
                            <w:w w:val="80"/>
                            <w:sz w:val="14"/>
                          </w:rPr>
                          <w:t>Container</w:t>
                        </w:r>
                        <w:r>
                          <w:rPr>
                            <w:rFonts w:ascii="Arial"/>
                            <w:color w:val="231F20"/>
                            <w:spacing w:val="4"/>
                            <w:sz w:val="14"/>
                          </w:rPr>
                          <w:t> </w:t>
                        </w:r>
                        <w:r>
                          <w:rPr>
                            <w:rFonts w:ascii="Arial"/>
                            <w:color w:val="231F20"/>
                            <w:w w:val="80"/>
                            <w:sz w:val="14"/>
                          </w:rPr>
                          <w:t>shipping</w:t>
                        </w:r>
                        <w:r>
                          <w:rPr>
                            <w:rFonts w:ascii="Arial"/>
                            <w:color w:val="231F20"/>
                            <w:spacing w:val="5"/>
                            <w:sz w:val="14"/>
                          </w:rPr>
                          <w:t> </w:t>
                        </w:r>
                        <w:r>
                          <w:rPr>
                            <w:rFonts w:ascii="Arial"/>
                            <w:color w:val="231F20"/>
                            <w:w w:val="80"/>
                            <w:sz w:val="14"/>
                          </w:rPr>
                          <w:t>spot</w:t>
                        </w:r>
                        <w:r>
                          <w:rPr>
                            <w:rFonts w:ascii="Arial"/>
                            <w:color w:val="231F20"/>
                            <w:spacing w:val="5"/>
                            <w:sz w:val="14"/>
                          </w:rPr>
                          <w:t> </w:t>
                        </w:r>
                        <w:r>
                          <w:rPr>
                            <w:rFonts w:ascii="Arial"/>
                            <w:color w:val="231F20"/>
                            <w:w w:val="80"/>
                            <w:sz w:val="14"/>
                          </w:rPr>
                          <w:t>rate</w:t>
                        </w:r>
                        <w:r>
                          <w:rPr>
                            <w:rFonts w:ascii="Arial"/>
                            <w:color w:val="231F20"/>
                            <w:spacing w:val="4"/>
                            <w:sz w:val="14"/>
                          </w:rPr>
                          <w:t> </w:t>
                        </w:r>
                        <w:r>
                          <w:rPr>
                            <w:rFonts w:ascii="Arial"/>
                            <w:color w:val="231F20"/>
                            <w:w w:val="80"/>
                            <w:sz w:val="14"/>
                          </w:rPr>
                          <w:t>(left</w:t>
                        </w:r>
                        <w:r>
                          <w:rPr>
                            <w:rFonts w:ascii="Arial"/>
                            <w:color w:val="231F20"/>
                            <w:spacing w:val="5"/>
                            <w:sz w:val="14"/>
                          </w:rPr>
                          <w:t> </w:t>
                        </w:r>
                        <w:r>
                          <w:rPr>
                            <w:rFonts w:ascii="Arial"/>
                            <w:color w:val="231F20"/>
                            <w:spacing w:val="-2"/>
                            <w:w w:val="80"/>
                            <w:sz w:val="14"/>
                          </w:rPr>
                          <w:t>axis)</w:t>
                        </w:r>
                      </w:p>
                    </w:txbxContent>
                  </v:textbox>
                  <w10:wrap type="none"/>
                </v:shape>
                <v:shape style="position:absolute;left:3803;top:8578;width:88;height:159" type="#_x0000_t202" id="docshape346" filled="false" stroked="false">
                  <v:textbox inset="0,0,0,0">
                    <w:txbxContent>
                      <w:p>
                        <w:pPr>
                          <w:spacing w:line="158" w:lineRule="exact" w:before="0"/>
                          <w:ind w:left="0" w:right="0" w:firstLine="0"/>
                          <w:jc w:val="left"/>
                          <w:rPr>
                            <w:rFonts w:ascii="Arial"/>
                            <w:sz w:val="14"/>
                          </w:rPr>
                        </w:pPr>
                        <w:r>
                          <w:rPr>
                            <w:rFonts w:ascii="Arial"/>
                            <w:color w:val="231F20"/>
                            <w:spacing w:val="-10"/>
                            <w:w w:val="95"/>
                            <w:sz w:val="14"/>
                          </w:rPr>
                          <w:t>0</w:t>
                        </w:r>
                      </w:p>
                    </w:txbxContent>
                  </v:textbox>
                  <w10:wrap type="none"/>
                </v:shape>
                <v:shape style="position:absolute;left:4371;top:8698;width:289;height:159" type="#_x0000_t202" id="docshape347" filled="false" stroked="false">
                  <v:textbox inset="0,0,0,0">
                    <w:txbxContent>
                      <w:p>
                        <w:pPr>
                          <w:spacing w:line="158" w:lineRule="exact" w:before="0"/>
                          <w:ind w:left="0" w:right="0" w:firstLine="0"/>
                          <w:jc w:val="left"/>
                          <w:rPr>
                            <w:rFonts w:ascii="Arial"/>
                            <w:sz w:val="14"/>
                          </w:rPr>
                        </w:pPr>
                        <w:r>
                          <w:rPr>
                            <w:rFonts w:ascii="Arial"/>
                            <w:color w:val="231F20"/>
                            <w:spacing w:val="-4"/>
                            <w:w w:val="90"/>
                            <w:sz w:val="14"/>
                          </w:rPr>
                          <w:t>2018</w:t>
                        </w:r>
                      </w:p>
                    </w:txbxContent>
                  </v:textbox>
                  <w10:wrap type="none"/>
                </v:shape>
                <v:shape style="position:absolute;left:5440;top:8698;width:289;height:159" type="#_x0000_t202" id="docshape348" filled="false" stroked="false">
                  <v:textbox inset="0,0,0,0">
                    <w:txbxContent>
                      <w:p>
                        <w:pPr>
                          <w:spacing w:line="158" w:lineRule="exact" w:before="0"/>
                          <w:ind w:left="0" w:right="0" w:firstLine="0"/>
                          <w:jc w:val="left"/>
                          <w:rPr>
                            <w:rFonts w:ascii="Arial"/>
                            <w:sz w:val="14"/>
                          </w:rPr>
                        </w:pPr>
                        <w:r>
                          <w:rPr>
                            <w:rFonts w:ascii="Arial"/>
                            <w:color w:val="231F20"/>
                            <w:spacing w:val="-4"/>
                            <w:w w:val="90"/>
                            <w:sz w:val="14"/>
                          </w:rPr>
                          <w:t>2019</w:t>
                        </w:r>
                      </w:p>
                    </w:txbxContent>
                  </v:textbox>
                  <w10:wrap type="none"/>
                </v:shape>
                <v:shape style="position:absolute;left:6508;top:8698;width:289;height:159" type="#_x0000_t202" id="docshape349" filled="false" stroked="false">
                  <v:textbox inset="0,0,0,0">
                    <w:txbxContent>
                      <w:p>
                        <w:pPr>
                          <w:spacing w:line="158" w:lineRule="exact" w:before="0"/>
                          <w:ind w:left="0" w:right="0" w:firstLine="0"/>
                          <w:jc w:val="left"/>
                          <w:rPr>
                            <w:rFonts w:ascii="Arial"/>
                            <w:sz w:val="14"/>
                          </w:rPr>
                        </w:pPr>
                        <w:r>
                          <w:rPr>
                            <w:rFonts w:ascii="Arial"/>
                            <w:color w:val="231F20"/>
                            <w:spacing w:val="-4"/>
                            <w:w w:val="90"/>
                            <w:sz w:val="14"/>
                          </w:rPr>
                          <w:t>2020</w:t>
                        </w:r>
                      </w:p>
                    </w:txbxContent>
                  </v:textbox>
                  <w10:wrap type="none"/>
                </v:shape>
                <v:shape style="position:absolute;left:7577;top:8698;width:289;height:159" type="#_x0000_t202" id="docshape350" filled="false" stroked="false">
                  <v:textbox inset="0,0,0,0">
                    <w:txbxContent>
                      <w:p>
                        <w:pPr>
                          <w:spacing w:line="158" w:lineRule="exact" w:before="0"/>
                          <w:ind w:left="0" w:right="0" w:firstLine="0"/>
                          <w:jc w:val="left"/>
                          <w:rPr>
                            <w:rFonts w:ascii="Arial"/>
                            <w:sz w:val="14"/>
                          </w:rPr>
                        </w:pPr>
                        <w:r>
                          <w:rPr>
                            <w:rFonts w:ascii="Arial"/>
                            <w:color w:val="231F20"/>
                            <w:spacing w:val="-4"/>
                            <w:w w:val="90"/>
                            <w:sz w:val="14"/>
                          </w:rPr>
                          <w:t>2021</w:t>
                        </w:r>
                      </w:p>
                    </w:txbxContent>
                  </v:textbox>
                  <w10:wrap type="none"/>
                </v:shape>
                <v:shape style="position:absolute;left:8646;top:8698;width:289;height:159" type="#_x0000_t202" id="docshape351" filled="false" stroked="false">
                  <v:textbox inset="0,0,0,0">
                    <w:txbxContent>
                      <w:p>
                        <w:pPr>
                          <w:spacing w:line="158" w:lineRule="exact" w:before="0"/>
                          <w:ind w:left="0" w:right="0" w:firstLine="0"/>
                          <w:jc w:val="left"/>
                          <w:rPr>
                            <w:rFonts w:ascii="Arial"/>
                            <w:sz w:val="14"/>
                          </w:rPr>
                        </w:pPr>
                        <w:r>
                          <w:rPr>
                            <w:rFonts w:ascii="Arial"/>
                            <w:color w:val="231F20"/>
                            <w:spacing w:val="-4"/>
                            <w:w w:val="90"/>
                            <w:sz w:val="14"/>
                          </w:rPr>
                          <w:t>2022</w:t>
                        </w:r>
                      </w:p>
                    </w:txbxContent>
                  </v:textbox>
                  <w10:wrap type="none"/>
                </v:shape>
                <v:shape style="position:absolute;left:9715;top:8698;width:289;height:159" type="#_x0000_t202" id="docshape352" filled="false" stroked="false">
                  <v:textbox inset="0,0,0,0">
                    <w:txbxContent>
                      <w:p>
                        <w:pPr>
                          <w:spacing w:line="158" w:lineRule="exact" w:before="0"/>
                          <w:ind w:left="0" w:right="0" w:firstLine="0"/>
                          <w:jc w:val="left"/>
                          <w:rPr>
                            <w:rFonts w:ascii="Arial"/>
                            <w:sz w:val="14"/>
                          </w:rPr>
                        </w:pPr>
                        <w:r>
                          <w:rPr>
                            <w:rFonts w:ascii="Arial"/>
                            <w:color w:val="231F20"/>
                            <w:spacing w:val="-4"/>
                            <w:w w:val="90"/>
                            <w:sz w:val="14"/>
                          </w:rPr>
                          <w:t>2023</w:t>
                        </w:r>
                      </w:p>
                    </w:txbxContent>
                  </v:textbox>
                  <w10:wrap type="none"/>
                </v:shape>
                <v:shape style="position:absolute;left:3480;top:8996;width:5293;height:144" type="#_x0000_t202" id="docshape353" filled="false" stroked="false">
                  <v:textbox inset="0,0,0,0">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Data</w:t>
                        </w:r>
                        <w:r>
                          <w:rPr>
                            <w:rFonts w:ascii="Arial"/>
                            <w:color w:val="231F20"/>
                            <w:spacing w:val="1"/>
                            <w:sz w:val="12"/>
                          </w:rPr>
                          <w:t> </w:t>
                        </w:r>
                        <w:r>
                          <w:rPr>
                            <w:rFonts w:ascii="Arial"/>
                            <w:color w:val="231F20"/>
                            <w:w w:val="75"/>
                            <w:sz w:val="12"/>
                          </w:rPr>
                          <w:t>on</w:t>
                        </w:r>
                        <w:r>
                          <w:rPr>
                            <w:rFonts w:ascii="Arial"/>
                            <w:color w:val="231F20"/>
                            <w:spacing w:val="1"/>
                            <w:sz w:val="12"/>
                          </w:rPr>
                          <w:t> </w:t>
                        </w:r>
                        <w:r>
                          <w:rPr>
                            <w:rFonts w:ascii="Arial"/>
                            <w:color w:val="231F20"/>
                            <w:w w:val="75"/>
                            <w:sz w:val="12"/>
                          </w:rPr>
                          <w:t>schedule</w:t>
                        </w:r>
                        <w:r>
                          <w:rPr>
                            <w:rFonts w:ascii="Arial"/>
                            <w:color w:val="231F20"/>
                            <w:spacing w:val="1"/>
                            <w:sz w:val="12"/>
                          </w:rPr>
                          <w:t> </w:t>
                        </w:r>
                        <w:r>
                          <w:rPr>
                            <w:rFonts w:ascii="Arial"/>
                            <w:color w:val="231F20"/>
                            <w:w w:val="75"/>
                            <w:sz w:val="12"/>
                          </w:rPr>
                          <w:t>reliability</w:t>
                        </w:r>
                        <w:r>
                          <w:rPr>
                            <w:rFonts w:ascii="Arial"/>
                            <w:color w:val="231F20"/>
                            <w:spacing w:val="1"/>
                            <w:sz w:val="12"/>
                          </w:rPr>
                          <w:t> </w:t>
                        </w:r>
                        <w:r>
                          <w:rPr>
                            <w:rFonts w:ascii="Arial"/>
                            <w:color w:val="231F20"/>
                            <w:w w:val="75"/>
                            <w:sz w:val="12"/>
                          </w:rPr>
                          <w:t>and</w:t>
                        </w:r>
                        <w:r>
                          <w:rPr>
                            <w:rFonts w:ascii="Arial"/>
                            <w:color w:val="231F20"/>
                            <w:spacing w:val="2"/>
                            <w:sz w:val="12"/>
                          </w:rPr>
                          <w:t> </w:t>
                        </w:r>
                        <w:r>
                          <w:rPr>
                            <w:rFonts w:ascii="Arial"/>
                            <w:color w:val="231F20"/>
                            <w:w w:val="75"/>
                            <w:sz w:val="12"/>
                          </w:rPr>
                          <w:t>delays,</w:t>
                        </w:r>
                        <w:r>
                          <w:rPr>
                            <w:rFonts w:ascii="Arial"/>
                            <w:color w:val="231F20"/>
                            <w:spacing w:val="-6"/>
                            <w:sz w:val="12"/>
                          </w:rPr>
                          <w:t> </w:t>
                        </w:r>
                        <w:r>
                          <w:rPr>
                            <w:rFonts w:ascii="Arial"/>
                            <w:color w:val="231F20"/>
                            <w:w w:val="75"/>
                            <w:sz w:val="12"/>
                          </w:rPr>
                          <w:t>Sea-Intelligence;</w:t>
                        </w:r>
                        <w:r>
                          <w:rPr>
                            <w:rFonts w:ascii="Arial"/>
                            <w:color w:val="231F20"/>
                            <w:spacing w:val="2"/>
                            <w:sz w:val="12"/>
                          </w:rPr>
                          <w:t> </w:t>
                        </w:r>
                        <w:r>
                          <w:rPr>
                            <w:rFonts w:ascii="Arial"/>
                            <w:color w:val="231F20"/>
                            <w:w w:val="75"/>
                            <w:sz w:val="12"/>
                          </w:rPr>
                          <w:t>data</w:t>
                        </w:r>
                        <w:r>
                          <w:rPr>
                            <w:rFonts w:ascii="Arial"/>
                            <w:color w:val="231F20"/>
                            <w:spacing w:val="1"/>
                            <w:sz w:val="12"/>
                          </w:rPr>
                          <w:t> </w:t>
                        </w:r>
                        <w:r>
                          <w:rPr>
                            <w:rFonts w:ascii="Arial"/>
                            <w:color w:val="231F20"/>
                            <w:w w:val="75"/>
                            <w:sz w:val="12"/>
                          </w:rPr>
                          <w:t>on</w:t>
                        </w:r>
                        <w:r>
                          <w:rPr>
                            <w:rFonts w:ascii="Arial"/>
                            <w:color w:val="231F20"/>
                            <w:spacing w:val="1"/>
                            <w:sz w:val="12"/>
                          </w:rPr>
                          <w:t> </w:t>
                        </w:r>
                        <w:r>
                          <w:rPr>
                            <w:rFonts w:ascii="Arial"/>
                            <w:color w:val="231F20"/>
                            <w:w w:val="75"/>
                            <w:sz w:val="12"/>
                          </w:rPr>
                          <w:t>spot</w:t>
                        </w:r>
                        <w:r>
                          <w:rPr>
                            <w:rFonts w:ascii="Arial"/>
                            <w:color w:val="231F20"/>
                            <w:spacing w:val="1"/>
                            <w:sz w:val="12"/>
                          </w:rPr>
                          <w:t> </w:t>
                        </w:r>
                        <w:r>
                          <w:rPr>
                            <w:rFonts w:ascii="Arial"/>
                            <w:color w:val="231F20"/>
                            <w:w w:val="75"/>
                            <w:sz w:val="12"/>
                          </w:rPr>
                          <w:t>rates,</w:t>
                        </w:r>
                        <w:r>
                          <w:rPr>
                            <w:rFonts w:ascii="Arial"/>
                            <w:color w:val="231F20"/>
                            <w:spacing w:val="-5"/>
                            <w:sz w:val="12"/>
                          </w:rPr>
                          <w:t> </w:t>
                        </w:r>
                        <w:r>
                          <w:rPr>
                            <w:rFonts w:ascii="Arial"/>
                            <w:color w:val="231F20"/>
                            <w:w w:val="75"/>
                            <w:sz w:val="12"/>
                          </w:rPr>
                          <w:t>Drewry</w:t>
                        </w:r>
                        <w:r>
                          <w:rPr>
                            <w:rFonts w:ascii="Arial"/>
                            <w:color w:val="231F20"/>
                            <w:spacing w:val="-5"/>
                            <w:sz w:val="12"/>
                          </w:rPr>
                          <w:t> </w:t>
                        </w:r>
                        <w:r>
                          <w:rPr>
                            <w:rFonts w:ascii="Arial"/>
                            <w:color w:val="231F20"/>
                            <w:w w:val="75"/>
                            <w:sz w:val="12"/>
                          </w:rPr>
                          <w:t>World</w:t>
                        </w:r>
                        <w:r>
                          <w:rPr>
                            <w:rFonts w:ascii="Arial"/>
                            <w:color w:val="231F20"/>
                            <w:spacing w:val="1"/>
                            <w:sz w:val="12"/>
                          </w:rPr>
                          <w:t> </w:t>
                        </w:r>
                        <w:r>
                          <w:rPr>
                            <w:rFonts w:ascii="Arial"/>
                            <w:color w:val="231F20"/>
                            <w:w w:val="75"/>
                            <w:sz w:val="12"/>
                          </w:rPr>
                          <w:t>Container</w:t>
                        </w:r>
                        <w:r>
                          <w:rPr>
                            <w:rFonts w:ascii="Arial"/>
                            <w:color w:val="231F20"/>
                            <w:spacing w:val="1"/>
                            <w:sz w:val="12"/>
                          </w:rPr>
                          <w:t> </w:t>
                        </w:r>
                        <w:r>
                          <w:rPr>
                            <w:rFonts w:ascii="Arial"/>
                            <w:color w:val="231F20"/>
                            <w:w w:val="75"/>
                            <w:sz w:val="12"/>
                          </w:rPr>
                          <w:t>Composite</w:t>
                        </w:r>
                        <w:r>
                          <w:rPr>
                            <w:rFonts w:ascii="Arial"/>
                            <w:color w:val="231F20"/>
                            <w:spacing w:val="1"/>
                            <w:sz w:val="12"/>
                          </w:rPr>
                          <w:t> </w:t>
                        </w:r>
                        <w:r>
                          <w:rPr>
                            <w:rFonts w:ascii="Arial"/>
                            <w:color w:val="231F20"/>
                            <w:spacing w:val="-2"/>
                            <w:w w:val="75"/>
                            <w:sz w:val="12"/>
                          </w:rPr>
                          <w:t>Index.</w:t>
                        </w:r>
                      </w:p>
                    </w:txbxContent>
                  </v:textbox>
                  <w10:wrap type="none"/>
                </v:shape>
                <w10:wrap type="none"/>
              </v:group>
            </w:pict>
          </mc:Fallback>
        </mc:AlternateContent>
      </w:r>
      <w:r>
        <w:rPr>
          <w:rFonts w:ascii="Arial" w:hAnsi="Arial"/>
          <w:color w:val="231F20"/>
          <w:sz w:val="16"/>
        </w:rPr>
        <w:t>Logistics bottlenecks can contribute to slow movement of vaccines to and within countries. Better logistics performance is associated with higher</w:t>
      </w:r>
      <w:r>
        <w:rPr>
          <w:rFonts w:ascii="Arial" w:hAnsi="Arial"/>
          <w:color w:val="231F20"/>
          <w:spacing w:val="-3"/>
          <w:sz w:val="16"/>
        </w:rPr>
        <w:t> </w:t>
      </w:r>
      <w:r>
        <w:rPr>
          <w:rFonts w:ascii="Arial" w:hAnsi="Arial"/>
          <w:color w:val="231F20"/>
          <w:sz w:val="16"/>
        </w:rPr>
        <w:t>vaccination</w:t>
      </w:r>
      <w:r>
        <w:rPr>
          <w:rFonts w:ascii="Arial" w:hAnsi="Arial"/>
          <w:color w:val="231F20"/>
          <w:spacing w:val="-3"/>
          <w:sz w:val="16"/>
        </w:rPr>
        <w:t> </w:t>
      </w:r>
      <w:r>
        <w:rPr>
          <w:rFonts w:ascii="Arial" w:hAnsi="Arial"/>
          <w:color w:val="231F20"/>
          <w:sz w:val="16"/>
        </w:rPr>
        <w:t>rates,</w:t>
      </w:r>
      <w:r>
        <w:rPr>
          <w:rFonts w:ascii="Arial" w:hAnsi="Arial"/>
          <w:color w:val="231F20"/>
          <w:spacing w:val="-3"/>
          <w:sz w:val="16"/>
        </w:rPr>
        <w:t> </w:t>
      </w:r>
      <w:r>
        <w:rPr>
          <w:rFonts w:ascii="Arial" w:hAnsi="Arial"/>
          <w:color w:val="231F20"/>
          <w:sz w:val="16"/>
        </w:rPr>
        <w:t>even</w:t>
      </w:r>
      <w:r>
        <w:rPr>
          <w:rFonts w:ascii="Arial" w:hAnsi="Arial"/>
          <w:color w:val="231F20"/>
          <w:spacing w:val="-3"/>
          <w:sz w:val="16"/>
        </w:rPr>
        <w:t> </w:t>
      </w:r>
      <w:r>
        <w:rPr>
          <w:rFonts w:ascii="Arial" w:hAnsi="Arial"/>
          <w:color w:val="231F20"/>
          <w:sz w:val="16"/>
        </w:rPr>
        <w:t>after</w:t>
      </w:r>
      <w:r>
        <w:rPr>
          <w:rFonts w:ascii="Arial" w:hAnsi="Arial"/>
          <w:color w:val="231F20"/>
          <w:spacing w:val="-3"/>
          <w:sz w:val="16"/>
        </w:rPr>
        <w:t> </w:t>
      </w:r>
      <w:r>
        <w:rPr>
          <w:rFonts w:ascii="Arial" w:hAnsi="Arial"/>
          <w:color w:val="231F20"/>
          <w:sz w:val="16"/>
        </w:rPr>
        <w:t>per</w:t>
      </w:r>
      <w:r>
        <w:rPr>
          <w:rFonts w:ascii="Arial" w:hAnsi="Arial"/>
          <w:color w:val="231F20"/>
          <w:spacing w:val="-3"/>
          <w:sz w:val="16"/>
        </w:rPr>
        <w:t> </w:t>
      </w:r>
      <w:r>
        <w:rPr>
          <w:rFonts w:ascii="Arial" w:hAnsi="Arial"/>
          <w:color w:val="231F20"/>
          <w:sz w:val="16"/>
        </w:rPr>
        <w:t>capita</w:t>
      </w:r>
      <w:r>
        <w:rPr>
          <w:rFonts w:ascii="Arial" w:hAnsi="Arial"/>
          <w:color w:val="231F20"/>
          <w:spacing w:val="-3"/>
          <w:sz w:val="16"/>
        </w:rPr>
        <w:t> </w:t>
      </w:r>
      <w:r>
        <w:rPr>
          <w:rFonts w:ascii="Arial" w:hAnsi="Arial"/>
          <w:color w:val="231F20"/>
          <w:sz w:val="16"/>
        </w:rPr>
        <w:t>in- </w:t>
      </w:r>
      <w:r>
        <w:rPr>
          <w:rFonts w:ascii="Arial" w:hAnsi="Arial"/>
          <w:color w:val="231F20"/>
          <w:spacing w:val="-4"/>
          <w:sz w:val="16"/>
        </w:rPr>
        <w:t>come and government spending on health are con- </w:t>
      </w:r>
      <w:r>
        <w:rPr>
          <w:rFonts w:ascii="Arial" w:hAnsi="Arial"/>
          <w:color w:val="231F20"/>
          <w:sz w:val="16"/>
        </w:rPr>
        <w:t>trolled</w:t>
      </w:r>
      <w:r>
        <w:rPr>
          <w:rFonts w:ascii="Arial" w:hAnsi="Arial"/>
          <w:color w:val="231F20"/>
          <w:spacing w:val="-12"/>
          <w:sz w:val="16"/>
        </w:rPr>
        <w:t> </w:t>
      </w:r>
      <w:r>
        <w:rPr>
          <w:rFonts w:ascii="Arial" w:hAnsi="Arial"/>
          <w:color w:val="231F20"/>
          <w:sz w:val="16"/>
        </w:rPr>
        <w:t>for.</w:t>
      </w:r>
      <w:r>
        <w:rPr>
          <w:rFonts w:ascii="Arial" w:hAnsi="Arial"/>
          <w:color w:val="231F20"/>
          <w:position w:val="5"/>
          <w:sz w:val="10"/>
        </w:rPr>
        <w:t>1</w:t>
      </w:r>
      <w:r>
        <w:rPr>
          <w:rFonts w:ascii="Arial" w:hAnsi="Arial"/>
          <w:color w:val="231F20"/>
          <w:spacing w:val="-7"/>
          <w:position w:val="5"/>
          <w:sz w:val="10"/>
        </w:rPr>
        <w:t> </w:t>
      </w:r>
      <w:r>
        <w:rPr>
          <w:rFonts w:ascii="Arial" w:hAnsi="Arial"/>
          <w:color w:val="231F20"/>
          <w:sz w:val="16"/>
        </w:rPr>
        <w:t>A</w:t>
      </w:r>
      <w:r>
        <w:rPr>
          <w:rFonts w:ascii="Arial" w:hAnsi="Arial"/>
          <w:color w:val="231F20"/>
          <w:spacing w:val="-11"/>
          <w:sz w:val="16"/>
        </w:rPr>
        <w:t> </w:t>
      </w:r>
      <w:r>
        <w:rPr>
          <w:rFonts w:ascii="Arial" w:hAnsi="Arial"/>
          <w:color w:val="231F20"/>
          <w:sz w:val="16"/>
        </w:rPr>
        <w:t>review</w:t>
      </w:r>
      <w:r>
        <w:rPr>
          <w:rFonts w:ascii="Arial" w:hAnsi="Arial"/>
          <w:color w:val="231F20"/>
          <w:spacing w:val="-11"/>
          <w:sz w:val="16"/>
        </w:rPr>
        <w:t> </w:t>
      </w:r>
      <w:r>
        <w:rPr>
          <w:rFonts w:ascii="Arial" w:hAnsi="Arial"/>
          <w:color w:val="231F20"/>
          <w:sz w:val="16"/>
        </w:rPr>
        <w:t>of</w:t>
      </w:r>
      <w:r>
        <w:rPr>
          <w:rFonts w:ascii="Arial" w:hAnsi="Arial"/>
          <w:color w:val="231F20"/>
          <w:spacing w:val="-11"/>
          <w:sz w:val="16"/>
        </w:rPr>
        <w:t> </w:t>
      </w:r>
      <w:r>
        <w:rPr>
          <w:rFonts w:ascii="Arial" w:hAnsi="Arial"/>
          <w:color w:val="231F20"/>
          <w:sz w:val="16"/>
        </w:rPr>
        <w:t>a</w:t>
      </w:r>
      <w:r>
        <w:rPr>
          <w:rFonts w:ascii="Arial" w:hAnsi="Arial"/>
          <w:color w:val="231F20"/>
          <w:spacing w:val="-11"/>
          <w:sz w:val="16"/>
        </w:rPr>
        <w:t> </w:t>
      </w:r>
      <w:r>
        <w:rPr>
          <w:rFonts w:ascii="Arial" w:hAnsi="Arial"/>
          <w:color w:val="231F20"/>
          <w:sz w:val="16"/>
        </w:rPr>
        <w:t>range</w:t>
      </w:r>
      <w:r>
        <w:rPr>
          <w:rFonts w:ascii="Arial" w:hAnsi="Arial"/>
          <w:color w:val="231F20"/>
          <w:spacing w:val="-11"/>
          <w:sz w:val="16"/>
        </w:rPr>
        <w:t> </w:t>
      </w:r>
      <w:r>
        <w:rPr>
          <w:rFonts w:ascii="Arial" w:hAnsi="Arial"/>
          <w:color w:val="231F20"/>
          <w:sz w:val="16"/>
        </w:rPr>
        <w:t>of</w:t>
      </w:r>
      <w:r>
        <w:rPr>
          <w:rFonts w:ascii="Arial" w:hAnsi="Arial"/>
          <w:color w:val="231F20"/>
          <w:spacing w:val="-11"/>
          <w:sz w:val="16"/>
        </w:rPr>
        <w:t> </w:t>
      </w:r>
      <w:r>
        <w:rPr>
          <w:rFonts w:ascii="Arial" w:hAnsi="Arial"/>
          <w:color w:val="231F20"/>
          <w:sz w:val="16"/>
        </w:rPr>
        <w:t>studies</w:t>
      </w:r>
      <w:r>
        <w:rPr>
          <w:rFonts w:ascii="Arial" w:hAnsi="Arial"/>
          <w:color w:val="231F20"/>
          <w:spacing w:val="-11"/>
          <w:sz w:val="16"/>
        </w:rPr>
        <w:t> </w:t>
      </w:r>
      <w:r>
        <w:rPr>
          <w:rFonts w:ascii="Arial" w:hAnsi="Arial"/>
          <w:color w:val="231F20"/>
          <w:sz w:val="16"/>
        </w:rPr>
        <w:t>on</w:t>
      </w:r>
      <w:r>
        <w:rPr>
          <w:rFonts w:ascii="Arial" w:hAnsi="Arial"/>
          <w:color w:val="231F20"/>
          <w:spacing w:val="-11"/>
          <w:sz w:val="16"/>
        </w:rPr>
        <w:t> </w:t>
      </w:r>
      <w:r>
        <w:rPr>
          <w:rFonts w:ascii="Arial" w:hAnsi="Arial"/>
          <w:color w:val="231F20"/>
          <w:sz w:val="16"/>
        </w:rPr>
        <w:t>logis- tics requirements concluded that an efficient and resilient supply chain—which depends on strong logistics—was</w:t>
      </w:r>
      <w:r>
        <w:rPr>
          <w:rFonts w:ascii="Arial" w:hAnsi="Arial"/>
          <w:color w:val="231F20"/>
          <w:spacing w:val="-12"/>
          <w:sz w:val="16"/>
        </w:rPr>
        <w:t> </w:t>
      </w:r>
      <w:r>
        <w:rPr>
          <w:rFonts w:ascii="Arial" w:hAnsi="Arial"/>
          <w:color w:val="231F20"/>
          <w:sz w:val="16"/>
        </w:rPr>
        <w:t>vital</w:t>
      </w:r>
      <w:r>
        <w:rPr>
          <w:rFonts w:ascii="Arial" w:hAnsi="Arial"/>
          <w:color w:val="231F20"/>
          <w:spacing w:val="-11"/>
          <w:sz w:val="16"/>
        </w:rPr>
        <w:t> </w:t>
      </w:r>
      <w:r>
        <w:rPr>
          <w:rFonts w:ascii="Arial" w:hAnsi="Arial"/>
          <w:color w:val="231F20"/>
          <w:sz w:val="16"/>
        </w:rPr>
        <w:t>to</w:t>
      </w:r>
      <w:r>
        <w:rPr>
          <w:rFonts w:ascii="Arial" w:hAnsi="Arial"/>
          <w:color w:val="231F20"/>
          <w:spacing w:val="-11"/>
          <w:sz w:val="16"/>
        </w:rPr>
        <w:t> </w:t>
      </w:r>
      <w:r>
        <w:rPr>
          <w:rFonts w:ascii="Arial" w:hAnsi="Arial"/>
          <w:color w:val="231F20"/>
          <w:sz w:val="16"/>
        </w:rPr>
        <w:t>ensuring</w:t>
      </w:r>
      <w:r>
        <w:rPr>
          <w:rFonts w:ascii="Arial" w:hAnsi="Arial"/>
          <w:color w:val="231F20"/>
          <w:spacing w:val="-11"/>
          <w:sz w:val="16"/>
        </w:rPr>
        <w:t> </w:t>
      </w:r>
      <w:r>
        <w:rPr>
          <w:rFonts w:ascii="Arial" w:hAnsi="Arial"/>
          <w:color w:val="231F20"/>
          <w:sz w:val="16"/>
        </w:rPr>
        <w:t>that</w:t>
      </w:r>
      <w:r>
        <w:rPr>
          <w:rFonts w:ascii="Arial" w:hAnsi="Arial"/>
          <w:color w:val="231F20"/>
          <w:spacing w:val="-11"/>
          <w:sz w:val="16"/>
        </w:rPr>
        <w:t> </w:t>
      </w:r>
      <w:r>
        <w:rPr>
          <w:rFonts w:ascii="Arial" w:hAnsi="Arial"/>
          <w:color w:val="231F20"/>
          <w:sz w:val="16"/>
        </w:rPr>
        <w:t>the</w:t>
      </w:r>
      <w:r>
        <w:rPr>
          <w:rFonts w:ascii="Arial" w:hAnsi="Arial"/>
          <w:color w:val="231F20"/>
          <w:spacing w:val="-11"/>
          <w:sz w:val="16"/>
        </w:rPr>
        <w:t> </w:t>
      </w:r>
      <w:r>
        <w:rPr>
          <w:rFonts w:ascii="Arial" w:hAnsi="Arial"/>
          <w:color w:val="231F20"/>
          <w:sz w:val="16"/>
        </w:rPr>
        <w:t>COVID-19 vaccines reached their target populations.</w:t>
      </w:r>
      <w:r>
        <w:rPr>
          <w:rFonts w:ascii="Arial" w:hAnsi="Arial"/>
          <w:color w:val="231F20"/>
          <w:position w:val="5"/>
          <w:sz w:val="10"/>
        </w:rPr>
        <w:t>2</w:t>
      </w:r>
      <w:r>
        <w:rPr>
          <w:rFonts w:ascii="Arial" w:hAnsi="Arial"/>
          <w:color w:val="231F20"/>
          <w:spacing w:val="35"/>
          <w:position w:val="5"/>
          <w:sz w:val="10"/>
        </w:rPr>
        <w:t> </w:t>
      </w:r>
      <w:r>
        <w:rPr>
          <w:rFonts w:ascii="Arial" w:hAnsi="Arial"/>
          <w:color w:val="231F20"/>
          <w:sz w:val="16"/>
        </w:rPr>
        <w:t>Effi- cient</w:t>
      </w:r>
      <w:r>
        <w:rPr>
          <w:rFonts w:ascii="Arial" w:hAnsi="Arial"/>
          <w:color w:val="231F20"/>
          <w:spacing w:val="-11"/>
          <w:sz w:val="16"/>
        </w:rPr>
        <w:t> </w:t>
      </w:r>
      <w:r>
        <w:rPr>
          <w:rFonts w:ascii="Arial" w:hAnsi="Arial"/>
          <w:color w:val="231F20"/>
          <w:sz w:val="16"/>
        </w:rPr>
        <w:t>cold</w:t>
      </w:r>
      <w:r>
        <w:rPr>
          <w:rFonts w:ascii="Arial" w:hAnsi="Arial"/>
          <w:color w:val="231F20"/>
          <w:spacing w:val="-11"/>
          <w:sz w:val="16"/>
        </w:rPr>
        <w:t> </w:t>
      </w:r>
      <w:r>
        <w:rPr>
          <w:rFonts w:ascii="Arial" w:hAnsi="Arial"/>
          <w:color w:val="231F20"/>
          <w:sz w:val="16"/>
        </w:rPr>
        <w:t>chain</w:t>
      </w:r>
      <w:r>
        <w:rPr>
          <w:rFonts w:ascii="Arial" w:hAnsi="Arial"/>
          <w:color w:val="231F20"/>
          <w:spacing w:val="-11"/>
          <w:sz w:val="16"/>
        </w:rPr>
        <w:t> </w:t>
      </w:r>
      <w:r>
        <w:rPr>
          <w:rFonts w:ascii="Arial" w:hAnsi="Arial"/>
          <w:color w:val="231F20"/>
          <w:sz w:val="16"/>
        </w:rPr>
        <w:t>management</w:t>
      </w:r>
      <w:r>
        <w:rPr>
          <w:rFonts w:ascii="Arial" w:hAnsi="Arial"/>
          <w:color w:val="231F20"/>
          <w:spacing w:val="-11"/>
          <w:sz w:val="16"/>
        </w:rPr>
        <w:t> </w:t>
      </w:r>
      <w:r>
        <w:rPr>
          <w:rFonts w:ascii="Arial" w:hAnsi="Arial"/>
          <w:color w:val="231F20"/>
          <w:sz w:val="16"/>
        </w:rPr>
        <w:t>depends</w:t>
      </w:r>
      <w:r>
        <w:rPr>
          <w:rFonts w:ascii="Arial" w:hAnsi="Arial"/>
          <w:color w:val="231F20"/>
          <w:spacing w:val="-11"/>
          <w:sz w:val="16"/>
        </w:rPr>
        <w:t> </w:t>
      </w:r>
      <w:r>
        <w:rPr>
          <w:rFonts w:ascii="Arial" w:hAnsi="Arial"/>
          <w:color w:val="231F20"/>
          <w:sz w:val="16"/>
        </w:rPr>
        <w:t>on</w:t>
      </w:r>
      <w:r>
        <w:rPr>
          <w:rFonts w:ascii="Arial" w:hAnsi="Arial"/>
          <w:color w:val="231F20"/>
          <w:spacing w:val="-11"/>
          <w:sz w:val="16"/>
        </w:rPr>
        <w:t> </w:t>
      </w:r>
      <w:r>
        <w:rPr>
          <w:rFonts w:ascii="Arial" w:hAnsi="Arial"/>
          <w:color w:val="231F20"/>
          <w:sz w:val="16"/>
        </w:rPr>
        <w:t>regula- tory</w:t>
      </w:r>
      <w:r>
        <w:rPr>
          <w:rFonts w:ascii="Arial" w:hAnsi="Arial"/>
          <w:color w:val="231F20"/>
          <w:spacing w:val="-6"/>
          <w:sz w:val="16"/>
        </w:rPr>
        <w:t> </w:t>
      </w:r>
      <w:r>
        <w:rPr>
          <w:rFonts w:ascii="Arial" w:hAnsi="Arial"/>
          <w:color w:val="231F20"/>
          <w:sz w:val="16"/>
        </w:rPr>
        <w:t>requirements,</w:t>
      </w:r>
      <w:r>
        <w:rPr>
          <w:rFonts w:ascii="Arial" w:hAnsi="Arial"/>
          <w:color w:val="231F20"/>
          <w:spacing w:val="-5"/>
          <w:sz w:val="16"/>
        </w:rPr>
        <w:t> </w:t>
      </w:r>
      <w:r>
        <w:rPr>
          <w:rFonts w:ascii="Arial" w:hAnsi="Arial"/>
          <w:color w:val="231F20"/>
          <w:sz w:val="16"/>
        </w:rPr>
        <w:t>logistics</w:t>
      </w:r>
      <w:r>
        <w:rPr>
          <w:rFonts w:ascii="Arial" w:hAnsi="Arial"/>
          <w:color w:val="231F20"/>
          <w:spacing w:val="-5"/>
          <w:sz w:val="16"/>
        </w:rPr>
        <w:t> </w:t>
      </w:r>
      <w:r>
        <w:rPr>
          <w:rFonts w:ascii="Arial" w:hAnsi="Arial"/>
          <w:color w:val="231F20"/>
          <w:sz w:val="16"/>
        </w:rPr>
        <w:t>performance,</w:t>
      </w:r>
      <w:r>
        <w:rPr>
          <w:rFonts w:ascii="Arial" w:hAnsi="Arial"/>
          <w:color w:val="231F20"/>
          <w:spacing w:val="-5"/>
          <w:sz w:val="16"/>
        </w:rPr>
        <w:t> </w:t>
      </w:r>
      <w:r>
        <w:rPr>
          <w:rFonts w:ascii="Arial" w:hAnsi="Arial"/>
          <w:color w:val="231F20"/>
          <w:sz w:val="16"/>
        </w:rPr>
        <w:t>and</w:t>
      </w:r>
      <w:r>
        <w:rPr>
          <w:rFonts w:ascii="Arial" w:hAnsi="Arial"/>
          <w:color w:val="231F20"/>
          <w:spacing w:val="-5"/>
          <w:sz w:val="16"/>
        </w:rPr>
        <w:t> </w:t>
      </w:r>
      <w:r>
        <w:rPr>
          <w:rFonts w:ascii="Arial" w:hAnsi="Arial"/>
          <w:color w:val="231F20"/>
          <w:sz w:val="16"/>
        </w:rPr>
        <w:t>the chemical stability of the goods being moved.</w:t>
      </w:r>
    </w:p>
    <w:p>
      <w:pPr>
        <w:spacing w:line="352" w:lineRule="auto" w:before="103"/>
        <w:ind w:left="315" w:right="834" w:firstLine="300"/>
        <w:jc w:val="both"/>
        <w:rPr>
          <w:rFonts w:ascii="Arial"/>
          <w:sz w:val="10"/>
        </w:rPr>
      </w:pPr>
      <w:r>
        <w:rPr/>
        <w:br w:type="column"/>
      </w:r>
      <w:r>
        <w:rPr>
          <w:rFonts w:ascii="Arial"/>
          <w:color w:val="231F20"/>
          <w:sz w:val="16"/>
        </w:rPr>
        <w:t>The</w:t>
      </w:r>
      <w:r>
        <w:rPr>
          <w:rFonts w:ascii="Arial"/>
          <w:color w:val="231F20"/>
          <w:spacing w:val="38"/>
          <w:sz w:val="16"/>
        </w:rPr>
        <w:t> </w:t>
      </w:r>
      <w:r>
        <w:rPr>
          <w:rFonts w:ascii="Arial"/>
          <w:color w:val="231F20"/>
          <w:sz w:val="16"/>
        </w:rPr>
        <w:t>capacity</w:t>
      </w:r>
      <w:r>
        <w:rPr>
          <w:rFonts w:ascii="Arial"/>
          <w:color w:val="231F20"/>
          <w:spacing w:val="38"/>
          <w:sz w:val="16"/>
        </w:rPr>
        <w:t> </w:t>
      </w:r>
      <w:r>
        <w:rPr>
          <w:rFonts w:ascii="Arial"/>
          <w:color w:val="231F20"/>
          <w:sz w:val="16"/>
        </w:rPr>
        <w:t>of</w:t>
      </w:r>
      <w:r>
        <w:rPr>
          <w:rFonts w:ascii="Arial"/>
          <w:color w:val="231F20"/>
          <w:spacing w:val="38"/>
          <w:sz w:val="16"/>
        </w:rPr>
        <w:t> </w:t>
      </w:r>
      <w:r>
        <w:rPr>
          <w:rFonts w:ascii="Arial"/>
          <w:color w:val="231F20"/>
          <w:sz w:val="16"/>
        </w:rPr>
        <w:t>logistics</w:t>
      </w:r>
      <w:r>
        <w:rPr>
          <w:rFonts w:ascii="Arial"/>
          <w:color w:val="231F20"/>
          <w:spacing w:val="38"/>
          <w:sz w:val="16"/>
        </w:rPr>
        <w:t> </w:t>
      </w:r>
      <w:r>
        <w:rPr>
          <w:rFonts w:ascii="Arial"/>
          <w:color w:val="231F20"/>
          <w:sz w:val="16"/>
        </w:rPr>
        <w:t>service</w:t>
      </w:r>
      <w:r>
        <w:rPr>
          <w:rFonts w:ascii="Arial"/>
          <w:color w:val="231F20"/>
          <w:spacing w:val="38"/>
          <w:sz w:val="16"/>
        </w:rPr>
        <w:t> </w:t>
      </w:r>
      <w:r>
        <w:rPr>
          <w:rFonts w:ascii="Arial"/>
          <w:color w:val="231F20"/>
          <w:sz w:val="16"/>
        </w:rPr>
        <w:t>providers is a key determinant of cold chain supply per- formance for vaccines.</w:t>
      </w:r>
      <w:r>
        <w:rPr>
          <w:rFonts w:ascii="Arial"/>
          <w:color w:val="231F20"/>
          <w:position w:val="5"/>
          <w:sz w:val="10"/>
        </w:rPr>
        <w:t>3</w:t>
      </w:r>
      <w:r>
        <w:rPr>
          <w:rFonts w:ascii="Arial"/>
          <w:color w:val="231F20"/>
          <w:spacing w:val="40"/>
          <w:position w:val="5"/>
          <w:sz w:val="10"/>
        </w:rPr>
        <w:t> </w:t>
      </w:r>
      <w:r>
        <w:rPr>
          <w:rFonts w:ascii="Arial"/>
          <w:color w:val="231F20"/>
          <w:sz w:val="16"/>
        </w:rPr>
        <w:t>Targeted investment along with strategic planning can mitigate the challenges posed by cold chain supply require- ments for vaccines.</w:t>
      </w:r>
      <w:r>
        <w:rPr>
          <w:rFonts w:ascii="Arial"/>
          <w:color w:val="231F20"/>
          <w:position w:val="5"/>
          <w:sz w:val="10"/>
        </w:rPr>
        <w:t>4</w:t>
      </w:r>
    </w:p>
    <w:p>
      <w:pPr>
        <w:spacing w:line="352" w:lineRule="auto" w:before="0"/>
        <w:ind w:left="315" w:right="837" w:firstLine="300"/>
        <w:jc w:val="both"/>
        <w:rPr>
          <w:rFonts w:ascii="Arial"/>
          <w:sz w:val="16"/>
        </w:rPr>
      </w:pPr>
      <w:r>
        <w:rPr>
          <w:rFonts w:ascii="Arial"/>
          <w:color w:val="231F20"/>
          <w:sz w:val="16"/>
        </w:rPr>
        <w:t>The COVID-19 pandemic has resulted in huge losses, including in lives and livelihoods, around the world. Ensuring that vaccines are widely distributed on an ongoing basis is impor- tant</w:t>
      </w:r>
      <w:r>
        <w:rPr>
          <w:rFonts w:ascii="Arial"/>
          <w:color w:val="231F20"/>
          <w:spacing w:val="-3"/>
          <w:sz w:val="16"/>
        </w:rPr>
        <w:t> </w:t>
      </w:r>
      <w:r>
        <w:rPr>
          <w:rFonts w:ascii="Arial"/>
          <w:color w:val="231F20"/>
          <w:sz w:val="16"/>
        </w:rPr>
        <w:t>not</w:t>
      </w:r>
      <w:r>
        <w:rPr>
          <w:rFonts w:ascii="Arial"/>
          <w:color w:val="231F20"/>
          <w:spacing w:val="-3"/>
          <w:sz w:val="16"/>
        </w:rPr>
        <w:t> </w:t>
      </w:r>
      <w:r>
        <w:rPr>
          <w:rFonts w:ascii="Arial"/>
          <w:color w:val="231F20"/>
          <w:sz w:val="16"/>
        </w:rPr>
        <w:t>only</w:t>
      </w:r>
      <w:r>
        <w:rPr>
          <w:rFonts w:ascii="Arial"/>
          <w:color w:val="231F20"/>
          <w:spacing w:val="-3"/>
          <w:sz w:val="16"/>
        </w:rPr>
        <w:t> </w:t>
      </w:r>
      <w:r>
        <w:rPr>
          <w:rFonts w:ascii="Arial"/>
          <w:color w:val="231F20"/>
          <w:sz w:val="16"/>
        </w:rPr>
        <w:t>from</w:t>
      </w:r>
      <w:r>
        <w:rPr>
          <w:rFonts w:ascii="Arial"/>
          <w:color w:val="231F20"/>
          <w:spacing w:val="-3"/>
          <w:sz w:val="16"/>
        </w:rPr>
        <w:t> </w:t>
      </w:r>
      <w:r>
        <w:rPr>
          <w:rFonts w:ascii="Arial"/>
          <w:color w:val="231F20"/>
          <w:sz w:val="16"/>
        </w:rPr>
        <w:t>an</w:t>
      </w:r>
      <w:r>
        <w:rPr>
          <w:rFonts w:ascii="Arial"/>
          <w:color w:val="231F20"/>
          <w:spacing w:val="-3"/>
          <w:sz w:val="16"/>
        </w:rPr>
        <w:t> </w:t>
      </w:r>
      <w:r>
        <w:rPr>
          <w:rFonts w:ascii="Arial"/>
          <w:color w:val="231F20"/>
          <w:sz w:val="16"/>
        </w:rPr>
        <w:t>equity</w:t>
      </w:r>
      <w:r>
        <w:rPr>
          <w:rFonts w:ascii="Arial"/>
          <w:color w:val="231F20"/>
          <w:spacing w:val="-3"/>
          <w:sz w:val="16"/>
        </w:rPr>
        <w:t> </w:t>
      </w:r>
      <w:r>
        <w:rPr>
          <w:rFonts w:ascii="Arial"/>
          <w:color w:val="231F20"/>
          <w:sz w:val="16"/>
        </w:rPr>
        <w:t>point</w:t>
      </w:r>
      <w:r>
        <w:rPr>
          <w:rFonts w:ascii="Arial"/>
          <w:color w:val="231F20"/>
          <w:spacing w:val="-3"/>
          <w:sz w:val="16"/>
        </w:rPr>
        <w:t> </w:t>
      </w:r>
      <w:r>
        <w:rPr>
          <w:rFonts w:ascii="Arial"/>
          <w:color w:val="231F20"/>
          <w:sz w:val="16"/>
        </w:rPr>
        <w:t>of</w:t>
      </w:r>
      <w:r>
        <w:rPr>
          <w:rFonts w:ascii="Arial"/>
          <w:color w:val="231F20"/>
          <w:spacing w:val="-3"/>
          <w:sz w:val="16"/>
        </w:rPr>
        <w:t> </w:t>
      </w:r>
      <w:r>
        <w:rPr>
          <w:rFonts w:ascii="Arial"/>
          <w:color w:val="231F20"/>
          <w:sz w:val="16"/>
        </w:rPr>
        <w:t>view</w:t>
      </w:r>
      <w:r>
        <w:rPr>
          <w:rFonts w:ascii="Arial"/>
          <w:color w:val="231F20"/>
          <w:spacing w:val="-3"/>
          <w:sz w:val="16"/>
        </w:rPr>
        <w:t> </w:t>
      </w:r>
      <w:r>
        <w:rPr>
          <w:rFonts w:ascii="Arial"/>
          <w:color w:val="231F20"/>
          <w:sz w:val="16"/>
        </w:rPr>
        <w:t>but</w:t>
      </w:r>
      <w:r>
        <w:rPr>
          <w:rFonts w:ascii="Arial"/>
          <w:color w:val="231F20"/>
          <w:spacing w:val="-3"/>
          <w:sz w:val="16"/>
        </w:rPr>
        <w:t> </w:t>
      </w:r>
      <w:r>
        <w:rPr>
          <w:rFonts w:ascii="Arial"/>
          <w:color w:val="231F20"/>
          <w:sz w:val="16"/>
        </w:rPr>
        <w:t>also as part of support to the global economy. Given the special requirements of vaccines, logistics service providers can play an important role in realizing this vision.</w:t>
      </w:r>
    </w:p>
    <w:p>
      <w:pPr>
        <w:pStyle w:val="BodyText"/>
        <w:spacing w:before="97"/>
        <w:rPr>
          <w:rFonts w:ascii="Arial"/>
          <w:sz w:val="16"/>
        </w:rPr>
      </w:pPr>
    </w:p>
    <w:p>
      <w:pPr>
        <w:spacing w:before="1"/>
        <w:ind w:left="315" w:right="0" w:firstLine="0"/>
        <w:jc w:val="left"/>
        <w:rPr>
          <w:rFonts w:ascii="Arial"/>
          <w:b/>
          <w:sz w:val="14"/>
        </w:rPr>
      </w:pPr>
      <w:r>
        <w:rPr>
          <w:rFonts w:ascii="Arial"/>
          <w:b/>
          <w:color w:val="231F20"/>
          <w:spacing w:val="-2"/>
          <w:sz w:val="14"/>
        </w:rPr>
        <w:t>Notes</w:t>
      </w:r>
    </w:p>
    <w:p>
      <w:pPr>
        <w:pStyle w:val="ListParagraph"/>
        <w:numPr>
          <w:ilvl w:val="0"/>
          <w:numId w:val="9"/>
        </w:numPr>
        <w:tabs>
          <w:tab w:pos="464" w:val="left" w:leader="none"/>
        </w:tabs>
        <w:spacing w:line="240" w:lineRule="auto" w:before="109" w:after="0"/>
        <w:ind w:left="464" w:right="0" w:hanging="149"/>
        <w:jc w:val="left"/>
        <w:rPr>
          <w:sz w:val="14"/>
        </w:rPr>
      </w:pPr>
      <w:r>
        <w:rPr>
          <w:color w:val="231F20"/>
          <w:sz w:val="14"/>
        </w:rPr>
        <w:t>Helble</w:t>
      </w:r>
      <w:r>
        <w:rPr>
          <w:color w:val="231F20"/>
          <w:spacing w:val="8"/>
          <w:sz w:val="14"/>
        </w:rPr>
        <w:t> </w:t>
      </w:r>
      <w:r>
        <w:rPr>
          <w:color w:val="231F20"/>
          <w:sz w:val="14"/>
        </w:rPr>
        <w:t>and</w:t>
      </w:r>
      <w:r>
        <w:rPr>
          <w:color w:val="231F20"/>
          <w:spacing w:val="8"/>
          <w:sz w:val="14"/>
        </w:rPr>
        <w:t> </w:t>
      </w:r>
      <w:r>
        <w:rPr>
          <w:color w:val="231F20"/>
          <w:sz w:val="14"/>
        </w:rPr>
        <w:t>Shepherd</w:t>
      </w:r>
      <w:r>
        <w:rPr>
          <w:color w:val="231F20"/>
          <w:spacing w:val="8"/>
          <w:sz w:val="14"/>
        </w:rPr>
        <w:t> </w:t>
      </w:r>
      <w:r>
        <w:rPr>
          <w:color w:val="231F20"/>
          <w:spacing w:val="-4"/>
          <w:sz w:val="14"/>
        </w:rPr>
        <w:t>2017.</w:t>
      </w:r>
    </w:p>
    <w:p>
      <w:pPr>
        <w:pStyle w:val="ListParagraph"/>
        <w:numPr>
          <w:ilvl w:val="0"/>
          <w:numId w:val="9"/>
        </w:numPr>
        <w:tabs>
          <w:tab w:pos="468" w:val="left" w:leader="none"/>
        </w:tabs>
        <w:spacing w:line="240" w:lineRule="auto" w:before="109" w:after="0"/>
        <w:ind w:left="468" w:right="0" w:hanging="153"/>
        <w:jc w:val="left"/>
        <w:rPr>
          <w:sz w:val="14"/>
        </w:rPr>
      </w:pPr>
      <w:r>
        <w:rPr>
          <w:color w:val="231F20"/>
          <w:sz w:val="14"/>
        </w:rPr>
        <w:t>Fahrni</w:t>
      </w:r>
      <w:r>
        <w:rPr>
          <w:color w:val="231F20"/>
          <w:spacing w:val="4"/>
          <w:sz w:val="14"/>
        </w:rPr>
        <w:t> </w:t>
      </w:r>
      <w:r>
        <w:rPr>
          <w:color w:val="231F20"/>
          <w:sz w:val="14"/>
        </w:rPr>
        <w:t>and</w:t>
      </w:r>
      <w:r>
        <w:rPr>
          <w:color w:val="231F20"/>
          <w:spacing w:val="5"/>
          <w:sz w:val="14"/>
        </w:rPr>
        <w:t> </w:t>
      </w:r>
      <w:r>
        <w:rPr>
          <w:color w:val="231F20"/>
          <w:sz w:val="14"/>
        </w:rPr>
        <w:t>others</w:t>
      </w:r>
      <w:r>
        <w:rPr>
          <w:color w:val="231F20"/>
          <w:spacing w:val="5"/>
          <w:sz w:val="14"/>
        </w:rPr>
        <w:t> </w:t>
      </w:r>
      <w:r>
        <w:rPr>
          <w:color w:val="231F20"/>
          <w:spacing w:val="-4"/>
          <w:sz w:val="14"/>
        </w:rPr>
        <w:t>2022.</w:t>
      </w:r>
    </w:p>
    <w:p>
      <w:pPr>
        <w:pStyle w:val="ListParagraph"/>
        <w:numPr>
          <w:ilvl w:val="0"/>
          <w:numId w:val="9"/>
        </w:numPr>
        <w:tabs>
          <w:tab w:pos="471" w:val="left" w:leader="none"/>
        </w:tabs>
        <w:spacing w:line="240" w:lineRule="auto" w:before="109" w:after="0"/>
        <w:ind w:left="471" w:right="0" w:hanging="156"/>
        <w:jc w:val="left"/>
        <w:rPr>
          <w:sz w:val="14"/>
        </w:rPr>
      </w:pPr>
      <w:r>
        <w:rPr>
          <w:color w:val="231F20"/>
          <w:sz w:val="14"/>
        </w:rPr>
        <w:t>Pambudi</w:t>
      </w:r>
      <w:r>
        <w:rPr>
          <w:color w:val="231F20"/>
          <w:spacing w:val="10"/>
          <w:sz w:val="14"/>
        </w:rPr>
        <w:t> </w:t>
      </w:r>
      <w:r>
        <w:rPr>
          <w:color w:val="231F20"/>
          <w:sz w:val="14"/>
        </w:rPr>
        <w:t>and</w:t>
      </w:r>
      <w:r>
        <w:rPr>
          <w:color w:val="231F20"/>
          <w:spacing w:val="11"/>
          <w:sz w:val="14"/>
        </w:rPr>
        <w:t> </w:t>
      </w:r>
      <w:r>
        <w:rPr>
          <w:color w:val="231F20"/>
          <w:sz w:val="14"/>
        </w:rPr>
        <w:t>others</w:t>
      </w:r>
      <w:r>
        <w:rPr>
          <w:color w:val="231F20"/>
          <w:spacing w:val="10"/>
          <w:sz w:val="14"/>
        </w:rPr>
        <w:t> </w:t>
      </w:r>
      <w:r>
        <w:rPr>
          <w:color w:val="231F20"/>
          <w:spacing w:val="-4"/>
          <w:sz w:val="14"/>
        </w:rPr>
        <w:t>2021.</w:t>
      </w:r>
    </w:p>
    <w:p>
      <w:pPr>
        <w:pStyle w:val="ListParagraph"/>
        <w:numPr>
          <w:ilvl w:val="0"/>
          <w:numId w:val="9"/>
        </w:numPr>
        <w:tabs>
          <w:tab w:pos="470" w:val="left" w:leader="none"/>
        </w:tabs>
        <w:spacing w:line="240" w:lineRule="auto" w:before="109" w:after="0"/>
        <w:ind w:left="470" w:right="0" w:hanging="155"/>
        <w:jc w:val="left"/>
        <w:rPr>
          <w:sz w:val="14"/>
        </w:rPr>
      </w:pPr>
      <w:r>
        <w:rPr>
          <w:color w:val="231F20"/>
          <w:sz w:val="14"/>
        </w:rPr>
        <w:t>Fleming,</w:t>
      </w:r>
      <w:r>
        <w:rPr>
          <w:color w:val="231F20"/>
          <w:spacing w:val="9"/>
          <w:sz w:val="14"/>
        </w:rPr>
        <w:t> </w:t>
      </w:r>
      <w:r>
        <w:rPr>
          <w:color w:val="231F20"/>
          <w:sz w:val="14"/>
        </w:rPr>
        <w:t>Okebukola,</w:t>
      </w:r>
      <w:r>
        <w:rPr>
          <w:color w:val="231F20"/>
          <w:spacing w:val="9"/>
          <w:sz w:val="14"/>
        </w:rPr>
        <w:t> </w:t>
      </w:r>
      <w:r>
        <w:rPr>
          <w:color w:val="231F20"/>
          <w:sz w:val="14"/>
        </w:rPr>
        <w:t>and</w:t>
      </w:r>
      <w:r>
        <w:rPr>
          <w:color w:val="231F20"/>
          <w:spacing w:val="9"/>
          <w:sz w:val="14"/>
        </w:rPr>
        <w:t> </w:t>
      </w:r>
      <w:r>
        <w:rPr>
          <w:color w:val="231F20"/>
          <w:sz w:val="14"/>
        </w:rPr>
        <w:t>Skiba</w:t>
      </w:r>
      <w:r>
        <w:rPr>
          <w:color w:val="231F20"/>
          <w:spacing w:val="9"/>
          <w:sz w:val="14"/>
        </w:rPr>
        <w:t> </w:t>
      </w:r>
      <w:r>
        <w:rPr>
          <w:color w:val="231F20"/>
          <w:spacing w:val="-4"/>
          <w:sz w:val="14"/>
        </w:rPr>
        <w:t>2021.</w:t>
      </w:r>
    </w:p>
    <w:p>
      <w:pPr>
        <w:spacing w:after="0" w:line="240" w:lineRule="auto"/>
        <w:jc w:val="left"/>
        <w:rPr>
          <w:sz w:val="14"/>
        </w:rPr>
        <w:sectPr>
          <w:type w:val="continuous"/>
          <w:pgSz w:w="12240" w:h="15840"/>
          <w:pgMar w:header="370" w:footer="0" w:top="1140" w:bottom="280" w:left="0" w:right="540"/>
          <w:cols w:num="2" w:equalWidth="0">
            <w:col w:w="7025" w:space="40"/>
            <w:col w:w="4635"/>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21"/>
        <w:rPr>
          <w:rFonts w:ascii="Arial"/>
          <w:sz w:val="20"/>
        </w:rPr>
      </w:pPr>
    </w:p>
    <w:tbl>
      <w:tblPr>
        <w:tblW w:w="0" w:type="auto"/>
        <w:jc w:val="left"/>
        <w:tblInd w:w="105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
        <w:gridCol w:w="239"/>
      </w:tblGrid>
      <w:tr>
        <w:trPr>
          <w:trHeight w:val="251" w:hRule="atLeast"/>
        </w:trPr>
        <w:tc>
          <w:tcPr>
            <w:tcW w:w="172" w:type="dxa"/>
          </w:tcPr>
          <w:p>
            <w:pPr>
              <w:pStyle w:val="TableParagraph"/>
              <w:spacing w:line="160" w:lineRule="exact" w:before="0"/>
              <w:ind w:right="2"/>
              <w:rPr>
                <w:sz w:val="14"/>
              </w:rPr>
            </w:pPr>
            <w:r>
              <w:rPr>
                <w:color w:val="231F20"/>
                <w:spacing w:val="-10"/>
                <w:w w:val="95"/>
                <w:sz w:val="14"/>
              </w:rPr>
              <w:t>9</w:t>
            </w:r>
          </w:p>
        </w:tc>
        <w:tc>
          <w:tcPr>
            <w:tcW w:w="239" w:type="dxa"/>
          </w:tcPr>
          <w:p>
            <w:pPr>
              <w:pStyle w:val="TableParagraph"/>
              <w:spacing w:line="159" w:lineRule="exact" w:before="0"/>
              <w:ind w:left="4"/>
              <w:rPr>
                <w:sz w:val="14"/>
              </w:rPr>
            </w:pPr>
            <w:r>
              <w:rPr>
                <w:color w:val="231F20"/>
                <w:spacing w:val="-5"/>
                <w:w w:val="95"/>
                <w:sz w:val="14"/>
              </w:rPr>
              <w:t>90</w:t>
            </w:r>
          </w:p>
        </w:tc>
      </w:tr>
      <w:tr>
        <w:trPr>
          <w:trHeight w:val="344" w:hRule="atLeast"/>
        </w:trPr>
        <w:tc>
          <w:tcPr>
            <w:tcW w:w="172" w:type="dxa"/>
          </w:tcPr>
          <w:p>
            <w:pPr>
              <w:pStyle w:val="TableParagraph"/>
              <w:spacing w:before="92"/>
              <w:ind w:right="2"/>
              <w:rPr>
                <w:sz w:val="14"/>
              </w:rPr>
            </w:pPr>
            <w:r>
              <w:rPr>
                <w:color w:val="231F20"/>
                <w:spacing w:val="-10"/>
                <w:w w:val="95"/>
                <w:sz w:val="14"/>
              </w:rPr>
              <w:t>8</w:t>
            </w:r>
          </w:p>
        </w:tc>
        <w:tc>
          <w:tcPr>
            <w:tcW w:w="239" w:type="dxa"/>
          </w:tcPr>
          <w:p>
            <w:pPr>
              <w:pStyle w:val="TableParagraph"/>
              <w:spacing w:before="91"/>
              <w:ind w:left="4"/>
              <w:rPr>
                <w:sz w:val="14"/>
              </w:rPr>
            </w:pPr>
            <w:r>
              <w:rPr>
                <w:color w:val="231F20"/>
                <w:spacing w:val="-5"/>
                <w:w w:val="95"/>
                <w:sz w:val="14"/>
              </w:rPr>
              <w:t>80</w:t>
            </w:r>
          </w:p>
        </w:tc>
      </w:tr>
      <w:tr>
        <w:trPr>
          <w:trHeight w:val="344" w:hRule="atLeast"/>
        </w:trPr>
        <w:tc>
          <w:tcPr>
            <w:tcW w:w="172" w:type="dxa"/>
          </w:tcPr>
          <w:p>
            <w:pPr>
              <w:pStyle w:val="TableParagraph"/>
              <w:spacing w:before="92"/>
              <w:ind w:right="2"/>
              <w:rPr>
                <w:sz w:val="14"/>
              </w:rPr>
            </w:pPr>
            <w:r>
              <w:rPr>
                <w:color w:val="231F20"/>
                <w:spacing w:val="-10"/>
                <w:w w:val="95"/>
                <w:sz w:val="14"/>
              </w:rPr>
              <w:t>7</w:t>
            </w:r>
          </w:p>
        </w:tc>
        <w:tc>
          <w:tcPr>
            <w:tcW w:w="239" w:type="dxa"/>
          </w:tcPr>
          <w:p>
            <w:pPr>
              <w:pStyle w:val="TableParagraph"/>
              <w:spacing w:before="91"/>
              <w:ind w:left="4"/>
              <w:rPr>
                <w:sz w:val="14"/>
              </w:rPr>
            </w:pPr>
            <w:r>
              <w:rPr>
                <w:color w:val="231F20"/>
                <w:spacing w:val="-5"/>
                <w:w w:val="95"/>
                <w:sz w:val="14"/>
              </w:rPr>
              <w:t>70</w:t>
            </w:r>
          </w:p>
        </w:tc>
      </w:tr>
      <w:tr>
        <w:trPr>
          <w:trHeight w:val="344" w:hRule="atLeast"/>
        </w:trPr>
        <w:tc>
          <w:tcPr>
            <w:tcW w:w="172" w:type="dxa"/>
          </w:tcPr>
          <w:p>
            <w:pPr>
              <w:pStyle w:val="TableParagraph"/>
              <w:spacing w:before="92"/>
              <w:ind w:right="2"/>
              <w:rPr>
                <w:sz w:val="14"/>
              </w:rPr>
            </w:pPr>
            <w:r>
              <w:rPr>
                <w:color w:val="231F20"/>
                <w:spacing w:val="-10"/>
                <w:w w:val="95"/>
                <w:sz w:val="14"/>
              </w:rPr>
              <w:t>6</w:t>
            </w:r>
          </w:p>
        </w:tc>
        <w:tc>
          <w:tcPr>
            <w:tcW w:w="239" w:type="dxa"/>
          </w:tcPr>
          <w:p>
            <w:pPr>
              <w:pStyle w:val="TableParagraph"/>
              <w:spacing w:before="91"/>
              <w:ind w:left="4"/>
              <w:rPr>
                <w:sz w:val="14"/>
              </w:rPr>
            </w:pPr>
            <w:r>
              <w:rPr>
                <w:color w:val="231F20"/>
                <w:spacing w:val="-5"/>
                <w:w w:val="95"/>
                <w:sz w:val="14"/>
              </w:rPr>
              <w:t>60</w:t>
            </w:r>
          </w:p>
        </w:tc>
      </w:tr>
      <w:tr>
        <w:trPr>
          <w:trHeight w:val="344" w:hRule="atLeast"/>
        </w:trPr>
        <w:tc>
          <w:tcPr>
            <w:tcW w:w="172" w:type="dxa"/>
          </w:tcPr>
          <w:p>
            <w:pPr>
              <w:pStyle w:val="TableParagraph"/>
              <w:spacing w:before="92"/>
              <w:ind w:right="2"/>
              <w:rPr>
                <w:sz w:val="14"/>
              </w:rPr>
            </w:pPr>
            <w:r>
              <w:rPr>
                <w:color w:val="231F20"/>
                <w:spacing w:val="-10"/>
                <w:w w:val="95"/>
                <w:sz w:val="14"/>
              </w:rPr>
              <w:t>5</w:t>
            </w:r>
          </w:p>
        </w:tc>
        <w:tc>
          <w:tcPr>
            <w:tcW w:w="239" w:type="dxa"/>
          </w:tcPr>
          <w:p>
            <w:pPr>
              <w:pStyle w:val="TableParagraph"/>
              <w:spacing w:before="91"/>
              <w:ind w:left="4"/>
              <w:rPr>
                <w:sz w:val="14"/>
              </w:rPr>
            </w:pPr>
            <w:r>
              <w:rPr>
                <w:color w:val="231F20"/>
                <w:spacing w:val="-5"/>
                <w:w w:val="95"/>
                <w:sz w:val="14"/>
              </w:rPr>
              <w:t>50</w:t>
            </w:r>
          </w:p>
        </w:tc>
      </w:tr>
      <w:tr>
        <w:trPr>
          <w:trHeight w:val="344" w:hRule="atLeast"/>
        </w:trPr>
        <w:tc>
          <w:tcPr>
            <w:tcW w:w="172" w:type="dxa"/>
          </w:tcPr>
          <w:p>
            <w:pPr>
              <w:pStyle w:val="TableParagraph"/>
              <w:spacing w:before="92"/>
              <w:ind w:right="2"/>
              <w:rPr>
                <w:sz w:val="14"/>
              </w:rPr>
            </w:pPr>
            <w:r>
              <w:rPr>
                <w:color w:val="231F20"/>
                <w:spacing w:val="-10"/>
                <w:w w:val="95"/>
                <w:sz w:val="14"/>
              </w:rPr>
              <w:t>4</w:t>
            </w:r>
          </w:p>
        </w:tc>
        <w:tc>
          <w:tcPr>
            <w:tcW w:w="239" w:type="dxa"/>
          </w:tcPr>
          <w:p>
            <w:pPr>
              <w:pStyle w:val="TableParagraph"/>
              <w:spacing w:before="91"/>
              <w:ind w:left="4"/>
              <w:rPr>
                <w:sz w:val="14"/>
              </w:rPr>
            </w:pPr>
            <w:r>
              <w:rPr>
                <w:color w:val="231F20"/>
                <w:spacing w:val="-5"/>
                <w:w w:val="95"/>
                <w:sz w:val="14"/>
              </w:rPr>
              <w:t>40</w:t>
            </w:r>
          </w:p>
        </w:tc>
      </w:tr>
      <w:tr>
        <w:trPr>
          <w:trHeight w:val="344" w:hRule="atLeast"/>
        </w:trPr>
        <w:tc>
          <w:tcPr>
            <w:tcW w:w="172" w:type="dxa"/>
          </w:tcPr>
          <w:p>
            <w:pPr>
              <w:pStyle w:val="TableParagraph"/>
              <w:spacing w:before="92"/>
              <w:ind w:right="2"/>
              <w:rPr>
                <w:sz w:val="14"/>
              </w:rPr>
            </w:pPr>
            <w:r>
              <w:rPr>
                <w:color w:val="231F20"/>
                <w:spacing w:val="-10"/>
                <w:w w:val="95"/>
                <w:sz w:val="14"/>
              </w:rPr>
              <w:t>3</w:t>
            </w:r>
          </w:p>
        </w:tc>
        <w:tc>
          <w:tcPr>
            <w:tcW w:w="239" w:type="dxa"/>
          </w:tcPr>
          <w:p>
            <w:pPr>
              <w:pStyle w:val="TableParagraph"/>
              <w:spacing w:before="91"/>
              <w:ind w:left="4"/>
              <w:rPr>
                <w:sz w:val="14"/>
              </w:rPr>
            </w:pPr>
            <w:r>
              <w:rPr>
                <w:color w:val="231F20"/>
                <w:spacing w:val="-5"/>
                <w:w w:val="95"/>
                <w:sz w:val="14"/>
              </w:rPr>
              <w:t>30</w:t>
            </w:r>
          </w:p>
        </w:tc>
      </w:tr>
      <w:tr>
        <w:trPr>
          <w:trHeight w:val="344" w:hRule="atLeast"/>
        </w:trPr>
        <w:tc>
          <w:tcPr>
            <w:tcW w:w="172" w:type="dxa"/>
          </w:tcPr>
          <w:p>
            <w:pPr>
              <w:pStyle w:val="TableParagraph"/>
              <w:spacing w:before="92"/>
              <w:ind w:right="2"/>
              <w:rPr>
                <w:sz w:val="14"/>
              </w:rPr>
            </w:pPr>
            <w:r>
              <w:rPr>
                <w:color w:val="231F20"/>
                <w:spacing w:val="-10"/>
                <w:w w:val="95"/>
                <w:sz w:val="14"/>
              </w:rPr>
              <w:t>2</w:t>
            </w:r>
          </w:p>
        </w:tc>
        <w:tc>
          <w:tcPr>
            <w:tcW w:w="239" w:type="dxa"/>
          </w:tcPr>
          <w:p>
            <w:pPr>
              <w:pStyle w:val="TableParagraph"/>
              <w:spacing w:before="91"/>
              <w:ind w:left="4"/>
              <w:rPr>
                <w:sz w:val="14"/>
              </w:rPr>
            </w:pPr>
            <w:r>
              <w:rPr>
                <w:color w:val="231F20"/>
                <w:spacing w:val="-5"/>
                <w:w w:val="95"/>
                <w:sz w:val="14"/>
              </w:rPr>
              <w:t>20</w:t>
            </w:r>
          </w:p>
        </w:tc>
      </w:tr>
      <w:tr>
        <w:trPr>
          <w:trHeight w:val="344" w:hRule="atLeast"/>
        </w:trPr>
        <w:tc>
          <w:tcPr>
            <w:tcW w:w="172" w:type="dxa"/>
          </w:tcPr>
          <w:p>
            <w:pPr>
              <w:pStyle w:val="TableParagraph"/>
              <w:spacing w:before="92"/>
              <w:ind w:right="2"/>
              <w:rPr>
                <w:sz w:val="14"/>
              </w:rPr>
            </w:pPr>
            <w:r>
              <w:rPr>
                <w:color w:val="231F20"/>
                <w:spacing w:val="-10"/>
                <w:w w:val="95"/>
                <w:sz w:val="14"/>
              </w:rPr>
              <w:t>1</w:t>
            </w:r>
          </w:p>
        </w:tc>
        <w:tc>
          <w:tcPr>
            <w:tcW w:w="239" w:type="dxa"/>
          </w:tcPr>
          <w:p>
            <w:pPr>
              <w:pStyle w:val="TableParagraph"/>
              <w:spacing w:before="91"/>
              <w:ind w:left="4"/>
              <w:rPr>
                <w:sz w:val="14"/>
              </w:rPr>
            </w:pPr>
            <w:r>
              <w:rPr>
                <w:color w:val="231F20"/>
                <w:spacing w:val="-5"/>
                <w:w w:val="95"/>
                <w:sz w:val="14"/>
              </w:rPr>
              <w:t>10</w:t>
            </w:r>
          </w:p>
        </w:tc>
      </w:tr>
      <w:tr>
        <w:trPr>
          <w:trHeight w:val="251" w:hRule="atLeast"/>
        </w:trPr>
        <w:tc>
          <w:tcPr>
            <w:tcW w:w="172" w:type="dxa"/>
          </w:tcPr>
          <w:p>
            <w:pPr>
              <w:pStyle w:val="TableParagraph"/>
              <w:spacing w:line="140" w:lineRule="exact" w:before="92"/>
              <w:ind w:right="2"/>
              <w:rPr>
                <w:sz w:val="14"/>
              </w:rPr>
            </w:pPr>
            <w:r>
              <w:rPr>
                <w:color w:val="231F20"/>
                <w:spacing w:val="-10"/>
                <w:w w:val="95"/>
                <w:sz w:val="14"/>
              </w:rPr>
              <w:t>0</w:t>
            </w:r>
          </w:p>
        </w:tc>
        <w:tc>
          <w:tcPr>
            <w:tcW w:w="239" w:type="dxa"/>
          </w:tcPr>
          <w:p>
            <w:pPr>
              <w:pStyle w:val="TableParagraph"/>
              <w:spacing w:line="140" w:lineRule="exact" w:before="91"/>
              <w:ind w:left="71"/>
              <w:rPr>
                <w:sz w:val="14"/>
              </w:rPr>
            </w:pPr>
            <w:r>
              <w:rPr>
                <w:color w:val="231F20"/>
                <w:spacing w:val="-10"/>
                <w:w w:val="95"/>
                <w:sz w:val="14"/>
              </w:rPr>
              <w:t>0</w:t>
            </w:r>
          </w:p>
        </w:tc>
      </w:tr>
    </w:tbl>
    <w:p>
      <w:pPr>
        <w:spacing w:after="0" w:line="140" w:lineRule="exact"/>
        <w:rPr>
          <w:sz w:val="14"/>
        </w:rPr>
        <w:sectPr>
          <w:type w:val="continuous"/>
          <w:pgSz w:w="12240" w:h="15840"/>
          <w:pgMar w:header="370" w:footer="0" w:top="1140" w:bottom="280" w:left="0" w:right="540"/>
        </w:sectPr>
      </w:pPr>
    </w:p>
    <w:p>
      <w:pPr>
        <w:spacing w:before="87"/>
        <w:ind w:left="5963" w:right="0" w:firstLine="0"/>
        <w:jc w:val="left"/>
        <w:rPr>
          <w:rFonts w:ascii="Arial"/>
          <w:sz w:val="12"/>
        </w:rPr>
      </w:pPr>
      <w:bookmarkStart w:name="_bookmark13" w:id="14"/>
      <w:bookmarkEnd w:id="14"/>
      <w:r>
        <w:rPr/>
      </w:r>
      <w:bookmarkStart w:name="_bookmark12" w:id="15"/>
      <w:bookmarkEnd w:id="15"/>
      <w:r>
        <w:rPr/>
      </w:r>
      <w:r>
        <w:rPr>
          <w:rFonts w:ascii="Arial"/>
          <w:color w:val="008FDD"/>
          <w:w w:val="105"/>
          <w:sz w:val="12"/>
        </w:rPr>
        <w:t>Chapter</w:t>
      </w:r>
      <w:r>
        <w:rPr>
          <w:rFonts w:ascii="Arial"/>
          <w:color w:val="008FDD"/>
          <w:spacing w:val="19"/>
          <w:w w:val="105"/>
          <w:sz w:val="12"/>
        </w:rPr>
        <w:t> </w:t>
      </w:r>
      <w:r>
        <w:rPr>
          <w:rFonts w:ascii="Arial"/>
          <w:color w:val="008FDD"/>
          <w:w w:val="105"/>
          <w:sz w:val="12"/>
        </w:rPr>
        <w:t>1</w:t>
      </w:r>
      <w:r>
        <w:rPr>
          <w:rFonts w:ascii="Arial"/>
          <w:color w:val="008FDD"/>
          <w:spacing w:val="43"/>
          <w:w w:val="105"/>
          <w:sz w:val="12"/>
        </w:rPr>
        <w:t>  </w:t>
      </w:r>
      <w:r>
        <w:rPr>
          <w:rFonts w:ascii="Arial"/>
          <w:color w:val="008FDD"/>
          <w:w w:val="105"/>
          <w:sz w:val="12"/>
        </w:rPr>
        <w:t>Key</w:t>
      </w:r>
      <w:r>
        <w:rPr>
          <w:rFonts w:ascii="Arial"/>
          <w:color w:val="008FDD"/>
          <w:spacing w:val="19"/>
          <w:w w:val="105"/>
          <w:sz w:val="12"/>
        </w:rPr>
        <w:t> </w:t>
      </w:r>
      <w:r>
        <w:rPr>
          <w:rFonts w:ascii="Arial"/>
          <w:color w:val="008FDD"/>
          <w:w w:val="105"/>
          <w:sz w:val="12"/>
        </w:rPr>
        <w:t>changes</w:t>
      </w:r>
      <w:r>
        <w:rPr>
          <w:rFonts w:ascii="Arial"/>
          <w:color w:val="008FDD"/>
          <w:spacing w:val="19"/>
          <w:w w:val="105"/>
          <w:sz w:val="12"/>
        </w:rPr>
        <w:t> </w:t>
      </w:r>
      <w:r>
        <w:rPr>
          <w:rFonts w:ascii="Arial"/>
          <w:color w:val="008FDD"/>
          <w:w w:val="105"/>
          <w:sz w:val="12"/>
        </w:rPr>
        <w:t>in</w:t>
      </w:r>
      <w:r>
        <w:rPr>
          <w:rFonts w:ascii="Arial"/>
          <w:color w:val="008FDD"/>
          <w:spacing w:val="19"/>
          <w:w w:val="105"/>
          <w:sz w:val="12"/>
        </w:rPr>
        <w:t> </w:t>
      </w:r>
      <w:r>
        <w:rPr>
          <w:rFonts w:ascii="Arial"/>
          <w:color w:val="008FDD"/>
          <w:w w:val="105"/>
          <w:sz w:val="12"/>
        </w:rPr>
        <w:t>global</w:t>
      </w:r>
      <w:r>
        <w:rPr>
          <w:rFonts w:ascii="Arial"/>
          <w:color w:val="008FDD"/>
          <w:spacing w:val="20"/>
          <w:w w:val="105"/>
          <w:sz w:val="12"/>
        </w:rPr>
        <w:t> </w:t>
      </w:r>
      <w:r>
        <w:rPr>
          <w:rFonts w:ascii="Arial"/>
          <w:color w:val="008FDD"/>
          <w:w w:val="105"/>
          <w:sz w:val="12"/>
        </w:rPr>
        <w:t>supply</w:t>
      </w:r>
      <w:r>
        <w:rPr>
          <w:rFonts w:ascii="Arial"/>
          <w:color w:val="008FDD"/>
          <w:spacing w:val="19"/>
          <w:w w:val="105"/>
          <w:sz w:val="12"/>
        </w:rPr>
        <w:t> </w:t>
      </w:r>
      <w:r>
        <w:rPr>
          <w:rFonts w:ascii="Arial"/>
          <w:color w:val="008FDD"/>
          <w:w w:val="105"/>
          <w:sz w:val="12"/>
        </w:rPr>
        <w:t>chains</w:t>
      </w:r>
      <w:r>
        <w:rPr>
          <w:rFonts w:ascii="Arial"/>
          <w:color w:val="008FDD"/>
          <w:spacing w:val="19"/>
          <w:w w:val="105"/>
          <w:sz w:val="12"/>
        </w:rPr>
        <w:t> </w:t>
      </w:r>
      <w:r>
        <w:rPr>
          <w:rFonts w:ascii="Arial"/>
          <w:color w:val="008FDD"/>
          <w:w w:val="105"/>
          <w:sz w:val="12"/>
        </w:rPr>
        <w:t>since</w:t>
      </w:r>
      <w:r>
        <w:rPr>
          <w:rFonts w:ascii="Arial"/>
          <w:color w:val="008FDD"/>
          <w:spacing w:val="19"/>
          <w:w w:val="105"/>
          <w:sz w:val="12"/>
        </w:rPr>
        <w:t> </w:t>
      </w:r>
      <w:r>
        <w:rPr>
          <w:rFonts w:ascii="Arial"/>
          <w:color w:val="008FDD"/>
          <w:w w:val="105"/>
          <w:sz w:val="12"/>
        </w:rPr>
        <w:t>2018</w:t>
      </w:r>
      <w:r>
        <w:rPr>
          <w:rFonts w:ascii="Arial"/>
          <w:color w:val="008FDD"/>
          <w:spacing w:val="19"/>
          <w:w w:val="105"/>
          <w:sz w:val="12"/>
        </w:rPr>
        <w:t> </w:t>
      </w:r>
      <w:r>
        <w:rPr>
          <w:rFonts w:ascii="Arial"/>
          <w:color w:val="008FDD"/>
          <w:w w:val="105"/>
          <w:sz w:val="12"/>
        </w:rPr>
        <w:t>and</w:t>
      </w:r>
      <w:r>
        <w:rPr>
          <w:rFonts w:ascii="Arial"/>
          <w:color w:val="008FDD"/>
          <w:spacing w:val="19"/>
          <w:w w:val="105"/>
          <w:sz w:val="12"/>
        </w:rPr>
        <w:t> </w:t>
      </w:r>
      <w:r>
        <w:rPr>
          <w:rFonts w:ascii="Arial"/>
          <w:color w:val="008FDD"/>
          <w:w w:val="105"/>
          <w:sz w:val="12"/>
        </w:rPr>
        <w:t>implications</w:t>
      </w:r>
      <w:r>
        <w:rPr>
          <w:rFonts w:ascii="Arial"/>
          <w:color w:val="008FDD"/>
          <w:spacing w:val="20"/>
          <w:w w:val="105"/>
          <w:sz w:val="12"/>
        </w:rPr>
        <w:t> </w:t>
      </w:r>
      <w:r>
        <w:rPr>
          <w:rFonts w:ascii="Arial"/>
          <w:color w:val="008FDD"/>
          <w:w w:val="105"/>
          <w:sz w:val="12"/>
        </w:rPr>
        <w:t>for</w:t>
      </w:r>
      <w:r>
        <w:rPr>
          <w:rFonts w:ascii="Arial"/>
          <w:color w:val="008FDD"/>
          <w:spacing w:val="19"/>
          <w:w w:val="105"/>
          <w:sz w:val="12"/>
        </w:rPr>
        <w:t> </w:t>
      </w:r>
      <w:r>
        <w:rPr>
          <w:rFonts w:ascii="Arial"/>
          <w:color w:val="008FDD"/>
          <w:w w:val="105"/>
          <w:sz w:val="12"/>
        </w:rPr>
        <w:t>the</w:t>
      </w:r>
      <w:r>
        <w:rPr>
          <w:rFonts w:ascii="Arial"/>
          <w:color w:val="008FDD"/>
          <w:spacing w:val="19"/>
          <w:w w:val="105"/>
          <w:sz w:val="12"/>
        </w:rPr>
        <w:t> </w:t>
      </w:r>
      <w:r>
        <w:rPr>
          <w:rFonts w:ascii="Arial"/>
          <w:color w:val="008FDD"/>
          <w:w w:val="105"/>
          <w:sz w:val="12"/>
        </w:rPr>
        <w:t>2023</w:t>
      </w:r>
      <w:r>
        <w:rPr>
          <w:rFonts w:ascii="Arial"/>
          <w:color w:val="008FDD"/>
          <w:spacing w:val="19"/>
          <w:w w:val="105"/>
          <w:sz w:val="12"/>
        </w:rPr>
        <w:t> </w:t>
      </w:r>
      <w:r>
        <w:rPr>
          <w:rFonts w:ascii="Arial"/>
          <w:color w:val="008FDD"/>
          <w:spacing w:val="-5"/>
          <w:w w:val="105"/>
          <w:sz w:val="12"/>
        </w:rPr>
        <w:t>LPI</w:t>
      </w:r>
    </w:p>
    <w:p>
      <w:pPr>
        <w:pStyle w:val="BodyText"/>
        <w:rPr>
          <w:rFonts w:ascii="Arial"/>
          <w:sz w:val="20"/>
        </w:rPr>
      </w:pPr>
    </w:p>
    <w:p>
      <w:pPr>
        <w:pStyle w:val="BodyText"/>
        <w:rPr>
          <w:rFonts w:ascii="Arial"/>
          <w:sz w:val="20"/>
        </w:rPr>
      </w:pPr>
    </w:p>
    <w:p>
      <w:pPr>
        <w:pStyle w:val="BodyText"/>
        <w:spacing w:before="42"/>
        <w:rPr>
          <w:rFonts w:ascii="Arial"/>
          <w:sz w:val="20"/>
        </w:rPr>
      </w:pPr>
    </w:p>
    <w:p>
      <w:pPr>
        <w:spacing w:after="0"/>
        <w:rPr>
          <w:rFonts w:ascii="Arial"/>
          <w:sz w:val="20"/>
        </w:rPr>
        <w:sectPr>
          <w:headerReference w:type="default" r:id="rId53"/>
          <w:pgSz w:w="12240" w:h="15840"/>
          <w:pgMar w:header="0" w:footer="0" w:top="340" w:bottom="740" w:left="0" w:right="540"/>
        </w:sectPr>
      </w:pPr>
    </w:p>
    <w:p>
      <w:pPr>
        <w:spacing w:line="280" w:lineRule="auto" w:before="105"/>
        <w:ind w:left="1200" w:right="0" w:firstLine="0"/>
        <w:jc w:val="left"/>
        <w:rPr>
          <w:rFonts w:ascii="Arial" w:hAnsi="Arial"/>
          <w:b/>
          <w:sz w:val="20"/>
        </w:rPr>
      </w:pPr>
      <w:r>
        <w:rPr>
          <w:rFonts w:ascii="Arial" w:hAnsi="Arial"/>
          <w:b/>
          <w:color w:val="231F20"/>
          <w:w w:val="105"/>
          <w:sz w:val="20"/>
        </w:rPr>
        <w:t>Air freight market disruptions in </w:t>
      </w:r>
      <w:r>
        <w:rPr>
          <w:rFonts w:ascii="Arial" w:hAnsi="Arial"/>
          <w:b/>
          <w:color w:val="231F20"/>
          <w:spacing w:val="-2"/>
          <w:w w:val="105"/>
          <w:sz w:val="20"/>
        </w:rPr>
        <w:t>2020–22</w:t>
      </w:r>
    </w:p>
    <w:p>
      <w:pPr>
        <w:pStyle w:val="BodyText"/>
        <w:spacing w:before="33"/>
        <w:rPr>
          <w:rFonts w:ascii="Arial"/>
          <w:b/>
          <w:sz w:val="20"/>
        </w:rPr>
      </w:pPr>
    </w:p>
    <w:p>
      <w:pPr>
        <w:pStyle w:val="BodyText"/>
        <w:spacing w:line="268" w:lineRule="auto" w:before="1"/>
        <w:ind w:left="1200"/>
        <w:jc w:val="both"/>
      </w:pPr>
      <w:r>
        <w:rPr>
          <w:color w:val="231F20"/>
        </w:rPr>
        <w:t>Approximately US$6 </w:t>
      </w:r>
      <w:r>
        <w:rPr>
          <w:color w:val="231F20"/>
          <w:spacing w:val="9"/>
        </w:rPr>
        <w:t>trillion</w:t>
      </w:r>
      <w:r>
        <w:rPr>
          <w:color w:val="231F20"/>
          <w:spacing w:val="9"/>
        </w:rPr>
        <w:t> </w:t>
      </w:r>
      <w:r>
        <w:rPr>
          <w:color w:val="231F20"/>
        </w:rPr>
        <w:t>worth of </w:t>
      </w:r>
      <w:r>
        <w:rPr>
          <w:color w:val="231F20"/>
          <w:spacing w:val="-6"/>
        </w:rPr>
        <w:t>goods—35</w:t>
      </w:r>
      <w:r>
        <w:rPr>
          <w:color w:val="231F20"/>
          <w:spacing w:val="-8"/>
        </w:rPr>
        <w:t> </w:t>
      </w:r>
      <w:r>
        <w:rPr>
          <w:color w:val="231F20"/>
          <w:spacing w:val="-6"/>
        </w:rPr>
        <w:t>percent</w:t>
      </w:r>
      <w:r>
        <w:rPr>
          <w:color w:val="231F20"/>
          <w:spacing w:val="-7"/>
        </w:rPr>
        <w:t> </w:t>
      </w:r>
      <w:r>
        <w:rPr>
          <w:color w:val="231F20"/>
          <w:spacing w:val="-6"/>
        </w:rPr>
        <w:t>of</w:t>
      </w:r>
      <w:r>
        <w:rPr>
          <w:color w:val="231F20"/>
          <w:spacing w:val="-7"/>
        </w:rPr>
        <w:t> </w:t>
      </w:r>
      <w:r>
        <w:rPr>
          <w:color w:val="231F20"/>
          <w:spacing w:val="-6"/>
        </w:rPr>
        <w:t>world</w:t>
      </w:r>
      <w:r>
        <w:rPr>
          <w:color w:val="231F20"/>
          <w:spacing w:val="-7"/>
        </w:rPr>
        <w:t> </w:t>
      </w:r>
      <w:r>
        <w:rPr>
          <w:color w:val="231F20"/>
          <w:spacing w:val="-6"/>
        </w:rPr>
        <w:t>trade</w:t>
      </w:r>
      <w:r>
        <w:rPr>
          <w:color w:val="231F20"/>
          <w:spacing w:val="-7"/>
        </w:rPr>
        <w:t> </w:t>
      </w:r>
      <w:r>
        <w:rPr>
          <w:color w:val="231F20"/>
          <w:spacing w:val="-6"/>
        </w:rPr>
        <w:t>by</w:t>
      </w:r>
      <w:r>
        <w:rPr>
          <w:color w:val="231F20"/>
          <w:spacing w:val="-7"/>
        </w:rPr>
        <w:t> </w:t>
      </w:r>
      <w:r>
        <w:rPr>
          <w:color w:val="231F20"/>
          <w:spacing w:val="-6"/>
        </w:rPr>
        <w:t>value—is transported each year as air freight.</w:t>
      </w:r>
      <w:r>
        <w:rPr>
          <w:color w:val="231F20"/>
          <w:spacing w:val="-6"/>
          <w:position w:val="7"/>
          <w:sz w:val="14"/>
        </w:rPr>
        <w:t>10</w:t>
      </w:r>
      <w:r>
        <w:rPr>
          <w:color w:val="231F20"/>
          <w:spacing w:val="12"/>
          <w:position w:val="7"/>
          <w:sz w:val="14"/>
        </w:rPr>
        <w:t> </w:t>
      </w:r>
      <w:r>
        <w:rPr>
          <w:color w:val="231F20"/>
          <w:spacing w:val="-6"/>
        </w:rPr>
        <w:t>The over- </w:t>
      </w:r>
      <w:r>
        <w:rPr>
          <w:color w:val="231F20"/>
        </w:rPr>
        <w:t>all demand for international air freight has </w:t>
      </w:r>
      <w:r>
        <w:rPr>
          <w:color w:val="231F20"/>
          <w:spacing w:val="-4"/>
        </w:rPr>
        <w:t>been</w:t>
      </w:r>
      <w:r>
        <w:rPr>
          <w:color w:val="231F20"/>
          <w:spacing w:val="-10"/>
        </w:rPr>
        <w:t> </w:t>
      </w:r>
      <w:r>
        <w:rPr>
          <w:color w:val="231F20"/>
          <w:spacing w:val="-4"/>
        </w:rPr>
        <w:t>stable</w:t>
      </w:r>
      <w:r>
        <w:rPr>
          <w:color w:val="231F20"/>
          <w:spacing w:val="-9"/>
        </w:rPr>
        <w:t> </w:t>
      </w:r>
      <w:r>
        <w:rPr>
          <w:color w:val="231F20"/>
          <w:spacing w:val="-4"/>
        </w:rPr>
        <w:t>since</w:t>
      </w:r>
      <w:r>
        <w:rPr>
          <w:color w:val="231F20"/>
          <w:spacing w:val="-9"/>
        </w:rPr>
        <w:t> </w:t>
      </w:r>
      <w:r>
        <w:rPr>
          <w:color w:val="231F20"/>
          <w:spacing w:val="-4"/>
        </w:rPr>
        <w:t>2018.</w:t>
      </w:r>
      <w:r>
        <w:rPr>
          <w:color w:val="231F20"/>
          <w:spacing w:val="-9"/>
        </w:rPr>
        <w:t> </w:t>
      </w:r>
      <w:r>
        <w:rPr>
          <w:color w:val="231F20"/>
          <w:spacing w:val="-4"/>
        </w:rPr>
        <w:t>Variation</w:t>
      </w:r>
      <w:r>
        <w:rPr>
          <w:color w:val="231F20"/>
          <w:spacing w:val="-9"/>
        </w:rPr>
        <w:t> </w:t>
      </w:r>
      <w:r>
        <w:rPr>
          <w:color w:val="231F20"/>
          <w:spacing w:val="-4"/>
        </w:rPr>
        <w:t>in</w:t>
      </w:r>
      <w:r>
        <w:rPr>
          <w:color w:val="231F20"/>
          <w:spacing w:val="-9"/>
        </w:rPr>
        <w:t> </w:t>
      </w:r>
      <w:r>
        <w:rPr>
          <w:color w:val="231F20"/>
          <w:spacing w:val="-4"/>
        </w:rPr>
        <w:t>the</w:t>
      </w:r>
      <w:r>
        <w:rPr>
          <w:color w:val="231F20"/>
          <w:spacing w:val="-9"/>
        </w:rPr>
        <w:t> </w:t>
      </w:r>
      <w:r>
        <w:rPr>
          <w:color w:val="231F20"/>
          <w:spacing w:val="-4"/>
        </w:rPr>
        <w:t>supply </w:t>
      </w:r>
      <w:r>
        <w:rPr>
          <w:color w:val="231F20"/>
          <w:w w:val="90"/>
        </w:rPr>
        <w:t>by widebody passenger aircraft, which is offset only</w:t>
      </w:r>
      <w:r>
        <w:rPr>
          <w:color w:val="231F20"/>
          <w:spacing w:val="-1"/>
          <w:w w:val="90"/>
        </w:rPr>
        <w:t> </w:t>
      </w:r>
      <w:r>
        <w:rPr>
          <w:color w:val="231F20"/>
          <w:w w:val="90"/>
        </w:rPr>
        <w:t>partly</w:t>
      </w:r>
      <w:r>
        <w:rPr>
          <w:color w:val="231F20"/>
          <w:spacing w:val="-1"/>
          <w:w w:val="90"/>
        </w:rPr>
        <w:t> </w:t>
      </w:r>
      <w:r>
        <w:rPr>
          <w:color w:val="231F20"/>
          <w:w w:val="90"/>
        </w:rPr>
        <w:t>by</w:t>
      </w:r>
      <w:r>
        <w:rPr>
          <w:color w:val="231F20"/>
          <w:spacing w:val="-1"/>
          <w:w w:val="90"/>
        </w:rPr>
        <w:t> </w:t>
      </w:r>
      <w:r>
        <w:rPr>
          <w:color w:val="231F20"/>
          <w:w w:val="90"/>
        </w:rPr>
        <w:t>changes</w:t>
      </w:r>
      <w:r>
        <w:rPr>
          <w:color w:val="231F20"/>
          <w:spacing w:val="-1"/>
          <w:w w:val="90"/>
        </w:rPr>
        <w:t> </w:t>
      </w:r>
      <w:r>
        <w:rPr>
          <w:color w:val="231F20"/>
          <w:w w:val="90"/>
        </w:rPr>
        <w:t>in</w:t>
      </w:r>
      <w:r>
        <w:rPr>
          <w:color w:val="231F20"/>
          <w:spacing w:val="-1"/>
          <w:w w:val="90"/>
        </w:rPr>
        <w:t> </w:t>
      </w:r>
      <w:r>
        <w:rPr>
          <w:color w:val="231F20"/>
          <w:w w:val="90"/>
        </w:rPr>
        <w:t>the</w:t>
      </w:r>
      <w:r>
        <w:rPr>
          <w:color w:val="231F20"/>
          <w:spacing w:val="-1"/>
          <w:w w:val="90"/>
        </w:rPr>
        <w:t> </w:t>
      </w:r>
      <w:r>
        <w:rPr>
          <w:color w:val="231F20"/>
          <w:w w:val="90"/>
        </w:rPr>
        <w:t>capacity</w:t>
      </w:r>
      <w:r>
        <w:rPr>
          <w:color w:val="231F20"/>
          <w:spacing w:val="-1"/>
          <w:w w:val="90"/>
        </w:rPr>
        <w:t> </w:t>
      </w:r>
      <w:r>
        <w:rPr>
          <w:color w:val="231F20"/>
          <w:w w:val="90"/>
        </w:rPr>
        <w:t>offered</w:t>
      </w:r>
      <w:r>
        <w:rPr>
          <w:color w:val="231F20"/>
          <w:spacing w:val="-1"/>
          <w:w w:val="90"/>
        </w:rPr>
        <w:t> </w:t>
      </w:r>
      <w:r>
        <w:rPr>
          <w:color w:val="231F20"/>
          <w:w w:val="90"/>
        </w:rPr>
        <w:t>by dedicated</w:t>
      </w:r>
      <w:r>
        <w:rPr>
          <w:color w:val="231F20"/>
          <w:spacing w:val="-6"/>
          <w:w w:val="90"/>
        </w:rPr>
        <w:t> </w:t>
      </w:r>
      <w:r>
        <w:rPr>
          <w:color w:val="231F20"/>
          <w:w w:val="90"/>
        </w:rPr>
        <w:t>air</w:t>
      </w:r>
      <w:r>
        <w:rPr>
          <w:color w:val="231F20"/>
          <w:spacing w:val="-6"/>
          <w:w w:val="90"/>
        </w:rPr>
        <w:t> </w:t>
      </w:r>
      <w:r>
        <w:rPr>
          <w:color w:val="231F20"/>
          <w:w w:val="90"/>
        </w:rPr>
        <w:t>freighters,</w:t>
      </w:r>
      <w:r>
        <w:rPr>
          <w:color w:val="231F20"/>
          <w:spacing w:val="-6"/>
          <w:w w:val="90"/>
        </w:rPr>
        <w:t> </w:t>
      </w:r>
      <w:r>
        <w:rPr>
          <w:color w:val="231F20"/>
          <w:w w:val="90"/>
        </w:rPr>
        <w:t>seems</w:t>
      </w:r>
      <w:r>
        <w:rPr>
          <w:color w:val="231F20"/>
          <w:spacing w:val="-6"/>
          <w:w w:val="90"/>
        </w:rPr>
        <w:t> </w:t>
      </w:r>
      <w:r>
        <w:rPr>
          <w:color w:val="231F20"/>
          <w:w w:val="90"/>
        </w:rPr>
        <w:t>to</w:t>
      </w:r>
      <w:r>
        <w:rPr>
          <w:color w:val="231F20"/>
          <w:spacing w:val="-6"/>
          <w:w w:val="90"/>
        </w:rPr>
        <w:t> </w:t>
      </w:r>
      <w:r>
        <w:rPr>
          <w:color w:val="231F20"/>
          <w:w w:val="90"/>
        </w:rPr>
        <w:t>drive</w:t>
      </w:r>
      <w:r>
        <w:rPr>
          <w:color w:val="231F20"/>
          <w:spacing w:val="-6"/>
          <w:w w:val="90"/>
        </w:rPr>
        <w:t> </w:t>
      </w:r>
      <w:r>
        <w:rPr>
          <w:color w:val="231F20"/>
          <w:w w:val="90"/>
        </w:rPr>
        <w:t>air</w:t>
      </w:r>
      <w:r>
        <w:rPr>
          <w:color w:val="231F20"/>
          <w:spacing w:val="-6"/>
          <w:w w:val="90"/>
        </w:rPr>
        <w:t> </w:t>
      </w:r>
      <w:r>
        <w:rPr>
          <w:color w:val="231F20"/>
          <w:w w:val="90"/>
        </w:rPr>
        <w:t>freight </w:t>
      </w:r>
      <w:r>
        <w:rPr>
          <w:color w:val="231F20"/>
          <w:spacing w:val="-8"/>
        </w:rPr>
        <w:t>pricing.</w:t>
      </w:r>
      <w:r>
        <w:rPr>
          <w:color w:val="231F20"/>
          <w:spacing w:val="-4"/>
        </w:rPr>
        <w:t> </w:t>
      </w:r>
      <w:r>
        <w:rPr>
          <w:color w:val="231F20"/>
          <w:spacing w:val="-8"/>
        </w:rPr>
        <w:t>Before</w:t>
      </w:r>
      <w:r>
        <w:rPr>
          <w:color w:val="231F20"/>
          <w:spacing w:val="-4"/>
        </w:rPr>
        <w:t> </w:t>
      </w:r>
      <w:r>
        <w:rPr>
          <w:color w:val="231F20"/>
          <w:spacing w:val="-8"/>
        </w:rPr>
        <w:t>the</w:t>
      </w:r>
      <w:r>
        <w:rPr>
          <w:color w:val="231F20"/>
          <w:spacing w:val="-4"/>
        </w:rPr>
        <w:t> </w:t>
      </w:r>
      <w:r>
        <w:rPr>
          <w:color w:val="231F20"/>
          <w:spacing w:val="-8"/>
        </w:rPr>
        <w:t>COVID-19</w:t>
      </w:r>
      <w:r>
        <w:rPr>
          <w:color w:val="231F20"/>
          <w:spacing w:val="-4"/>
        </w:rPr>
        <w:t> </w:t>
      </w:r>
      <w:r>
        <w:rPr>
          <w:color w:val="231F20"/>
          <w:spacing w:val="-8"/>
        </w:rPr>
        <w:t>pandemic,</w:t>
      </w:r>
      <w:r>
        <w:rPr>
          <w:color w:val="231F20"/>
          <w:spacing w:val="-4"/>
        </w:rPr>
        <w:t> </w:t>
      </w:r>
      <w:r>
        <w:rPr>
          <w:color w:val="231F20"/>
          <w:spacing w:val="-8"/>
        </w:rPr>
        <w:t>about </w:t>
      </w:r>
      <w:r>
        <w:rPr>
          <w:color w:val="231F20"/>
          <w:spacing w:val="-6"/>
        </w:rPr>
        <w:t>half of air freight was carried in scheduled pas- senger aircraft. Ad hoc fluctuations in rates can </w:t>
      </w:r>
      <w:r>
        <w:rPr>
          <w:color w:val="231F20"/>
          <w:w w:val="90"/>
        </w:rPr>
        <w:t>happen due to a sudden local change in demand. </w:t>
      </w:r>
      <w:r>
        <w:rPr>
          <w:color w:val="231F20"/>
        </w:rPr>
        <w:t>Attracted by higher rates, nonscheduled </w:t>
      </w:r>
      <w:r>
        <w:rPr>
          <w:color w:val="231F20"/>
          <w:w w:val="90"/>
        </w:rPr>
        <w:t>freighter capacity usually takes several weeks to </w:t>
      </w:r>
      <w:r>
        <w:rPr>
          <w:color w:val="231F20"/>
          <w:spacing w:val="-4"/>
        </w:rPr>
        <w:t>adjust</w:t>
      </w:r>
      <w:r>
        <w:rPr>
          <w:color w:val="231F20"/>
          <w:spacing w:val="-10"/>
        </w:rPr>
        <w:t> </w:t>
      </w:r>
      <w:r>
        <w:rPr>
          <w:color w:val="231F20"/>
          <w:spacing w:val="-4"/>
        </w:rPr>
        <w:t>supply</w:t>
      </w:r>
      <w:r>
        <w:rPr>
          <w:color w:val="231F20"/>
          <w:spacing w:val="-9"/>
        </w:rPr>
        <w:t> </w:t>
      </w:r>
      <w:r>
        <w:rPr>
          <w:color w:val="231F20"/>
          <w:spacing w:val="-4"/>
        </w:rPr>
        <w:t>and</w:t>
      </w:r>
      <w:r>
        <w:rPr>
          <w:color w:val="231F20"/>
          <w:spacing w:val="-9"/>
        </w:rPr>
        <w:t> </w:t>
      </w:r>
      <w:r>
        <w:rPr>
          <w:color w:val="231F20"/>
          <w:spacing w:val="-4"/>
        </w:rPr>
        <w:t>push</w:t>
      </w:r>
      <w:r>
        <w:rPr>
          <w:color w:val="231F20"/>
          <w:spacing w:val="-9"/>
        </w:rPr>
        <w:t> </w:t>
      </w:r>
      <w:r>
        <w:rPr>
          <w:color w:val="231F20"/>
          <w:spacing w:val="-4"/>
        </w:rPr>
        <w:t>prices</w:t>
      </w:r>
      <w:r>
        <w:rPr>
          <w:color w:val="231F20"/>
          <w:spacing w:val="-9"/>
        </w:rPr>
        <w:t> </w:t>
      </w:r>
      <w:r>
        <w:rPr>
          <w:color w:val="231F20"/>
          <w:spacing w:val="-4"/>
        </w:rPr>
        <w:t>to</w:t>
      </w:r>
      <w:r>
        <w:rPr>
          <w:color w:val="231F20"/>
          <w:spacing w:val="-9"/>
        </w:rPr>
        <w:t> </w:t>
      </w:r>
      <w:r>
        <w:rPr>
          <w:color w:val="231F20"/>
          <w:spacing w:val="-4"/>
        </w:rPr>
        <w:t>a</w:t>
      </w:r>
      <w:r>
        <w:rPr>
          <w:color w:val="231F20"/>
          <w:spacing w:val="-9"/>
        </w:rPr>
        <w:t> </w:t>
      </w:r>
      <w:r>
        <w:rPr>
          <w:color w:val="231F20"/>
          <w:spacing w:val="-4"/>
        </w:rPr>
        <w:t>new</w:t>
      </w:r>
      <w:r>
        <w:rPr>
          <w:color w:val="231F20"/>
          <w:spacing w:val="-9"/>
        </w:rPr>
        <w:t> </w:t>
      </w:r>
      <w:r>
        <w:rPr>
          <w:color w:val="231F20"/>
          <w:spacing w:val="-4"/>
        </w:rPr>
        <w:t>equilib- </w:t>
      </w:r>
      <w:r>
        <w:rPr>
          <w:color w:val="231F20"/>
          <w:w w:val="90"/>
        </w:rPr>
        <w:t>rium (figure 1.2). Since January 2022, air freight prices have declined due to increased passenger widebody aircraft capacity on many routes. This </w:t>
      </w:r>
      <w:r>
        <w:rPr>
          <w:color w:val="231F20"/>
          <w:spacing w:val="-4"/>
        </w:rPr>
        <w:t>happened</w:t>
      </w:r>
      <w:r>
        <w:rPr>
          <w:color w:val="231F20"/>
          <w:spacing w:val="-5"/>
        </w:rPr>
        <w:t> </w:t>
      </w:r>
      <w:r>
        <w:rPr>
          <w:color w:val="231F20"/>
          <w:spacing w:val="-4"/>
        </w:rPr>
        <w:t>first</w:t>
      </w:r>
      <w:r>
        <w:rPr>
          <w:color w:val="231F20"/>
          <w:spacing w:val="-5"/>
        </w:rPr>
        <w:t> </w:t>
      </w:r>
      <w:r>
        <w:rPr>
          <w:color w:val="231F20"/>
          <w:spacing w:val="-4"/>
        </w:rPr>
        <w:t>on</w:t>
      </w:r>
      <w:r>
        <w:rPr>
          <w:color w:val="231F20"/>
          <w:spacing w:val="-5"/>
        </w:rPr>
        <w:t> </w:t>
      </w:r>
      <w:r>
        <w:rPr>
          <w:color w:val="231F20"/>
          <w:spacing w:val="-4"/>
        </w:rPr>
        <w:t>transatlantic</w:t>
      </w:r>
      <w:r>
        <w:rPr>
          <w:color w:val="231F20"/>
          <w:spacing w:val="-5"/>
        </w:rPr>
        <w:t> </w:t>
      </w:r>
      <w:r>
        <w:rPr>
          <w:color w:val="231F20"/>
          <w:spacing w:val="-4"/>
        </w:rPr>
        <w:t>routes</w:t>
      </w:r>
      <w:r>
        <w:rPr>
          <w:color w:val="231F20"/>
          <w:spacing w:val="-5"/>
        </w:rPr>
        <w:t> </w:t>
      </w:r>
      <w:r>
        <w:rPr>
          <w:color w:val="231F20"/>
          <w:spacing w:val="-4"/>
        </w:rPr>
        <w:t>and</w:t>
      </w:r>
      <w:r>
        <w:rPr>
          <w:color w:val="231F20"/>
          <w:spacing w:val="-5"/>
        </w:rPr>
        <w:t> </w:t>
      </w:r>
      <w:r>
        <w:rPr>
          <w:color w:val="231F20"/>
          <w:spacing w:val="-4"/>
        </w:rPr>
        <w:t>later </w:t>
      </w:r>
      <w:r>
        <w:rPr>
          <w:color w:val="231F20"/>
        </w:rPr>
        <w:t>on</w:t>
      </w:r>
      <w:r>
        <w:rPr>
          <w:color w:val="231F20"/>
          <w:spacing w:val="-5"/>
        </w:rPr>
        <w:t> </w:t>
      </w:r>
      <w:r>
        <w:rPr>
          <w:color w:val="231F20"/>
        </w:rPr>
        <w:t>most</w:t>
      </w:r>
      <w:r>
        <w:rPr>
          <w:color w:val="231F20"/>
          <w:spacing w:val="-5"/>
        </w:rPr>
        <w:t> </w:t>
      </w:r>
      <w:r>
        <w:rPr>
          <w:color w:val="231F20"/>
        </w:rPr>
        <w:t>Europe–Asia</w:t>
      </w:r>
      <w:r>
        <w:rPr>
          <w:color w:val="231F20"/>
          <w:spacing w:val="-5"/>
        </w:rPr>
        <w:t> </w:t>
      </w:r>
      <w:r>
        <w:rPr>
          <w:color w:val="231F20"/>
        </w:rPr>
        <w:t>routes.</w:t>
      </w:r>
    </w:p>
    <w:p>
      <w:pPr>
        <w:pStyle w:val="BodyText"/>
        <w:spacing w:before="23"/>
      </w:pPr>
    </w:p>
    <w:p>
      <w:pPr>
        <w:spacing w:before="0"/>
        <w:ind w:left="1200" w:right="0" w:firstLine="0"/>
        <w:jc w:val="left"/>
        <w:rPr>
          <w:rFonts w:ascii="Arial"/>
          <w:b/>
          <w:sz w:val="20"/>
        </w:rPr>
      </w:pPr>
      <w:r>
        <w:rPr>
          <w:rFonts w:ascii="Arial"/>
          <w:b/>
          <w:color w:val="231F20"/>
          <w:w w:val="105"/>
          <w:sz w:val="20"/>
        </w:rPr>
        <w:t>The</w:t>
      </w:r>
      <w:r>
        <w:rPr>
          <w:rFonts w:ascii="Arial"/>
          <w:b/>
          <w:color w:val="231F20"/>
          <w:spacing w:val="16"/>
          <w:w w:val="105"/>
          <w:sz w:val="20"/>
        </w:rPr>
        <w:t> </w:t>
      </w:r>
      <w:r>
        <w:rPr>
          <w:rFonts w:ascii="Arial"/>
          <w:b/>
          <w:color w:val="231F20"/>
          <w:w w:val="105"/>
          <w:sz w:val="20"/>
        </w:rPr>
        <w:t>rapid</w:t>
      </w:r>
      <w:r>
        <w:rPr>
          <w:rFonts w:ascii="Arial"/>
          <w:b/>
          <w:color w:val="231F20"/>
          <w:spacing w:val="16"/>
          <w:w w:val="105"/>
          <w:sz w:val="20"/>
        </w:rPr>
        <w:t> </w:t>
      </w:r>
      <w:r>
        <w:rPr>
          <w:rFonts w:ascii="Arial"/>
          <w:b/>
          <w:color w:val="231F20"/>
          <w:w w:val="105"/>
          <w:sz w:val="20"/>
        </w:rPr>
        <w:t>emergence</w:t>
      </w:r>
      <w:r>
        <w:rPr>
          <w:rFonts w:ascii="Arial"/>
          <w:b/>
          <w:color w:val="231F20"/>
          <w:spacing w:val="17"/>
          <w:w w:val="105"/>
          <w:sz w:val="20"/>
        </w:rPr>
        <w:t> </w:t>
      </w:r>
      <w:r>
        <w:rPr>
          <w:rFonts w:ascii="Arial"/>
          <w:b/>
          <w:color w:val="231F20"/>
          <w:spacing w:val="-5"/>
          <w:w w:val="105"/>
          <w:sz w:val="20"/>
        </w:rPr>
        <w:t>of</w:t>
      </w:r>
    </w:p>
    <w:p>
      <w:pPr>
        <w:spacing w:line="280" w:lineRule="auto" w:before="40"/>
        <w:ind w:left="1200" w:right="96" w:firstLine="0"/>
        <w:jc w:val="left"/>
        <w:rPr>
          <w:rFonts w:ascii="Arial"/>
          <w:b/>
          <w:sz w:val="20"/>
        </w:rPr>
      </w:pPr>
      <w:r>
        <w:rPr>
          <w:rFonts w:ascii="Arial"/>
          <w:b/>
          <w:color w:val="231F20"/>
          <w:w w:val="105"/>
          <w:sz w:val="20"/>
        </w:rPr>
        <w:t>e-commerce as an important channel for cross-border trade</w:t>
      </w:r>
    </w:p>
    <w:p>
      <w:pPr>
        <w:pStyle w:val="BodyText"/>
        <w:spacing w:before="33"/>
        <w:rPr>
          <w:rFonts w:ascii="Arial"/>
          <w:b/>
          <w:sz w:val="20"/>
        </w:rPr>
      </w:pPr>
    </w:p>
    <w:p>
      <w:pPr>
        <w:pStyle w:val="BodyText"/>
        <w:spacing w:line="268" w:lineRule="auto"/>
        <w:ind w:left="1200" w:right="6"/>
        <w:jc w:val="both"/>
      </w:pPr>
      <w:r>
        <w:rPr>
          <w:color w:val="231F20"/>
        </w:rPr>
        <w:t>The</w:t>
      </w:r>
      <w:r>
        <w:rPr>
          <w:color w:val="231F20"/>
          <w:spacing w:val="-14"/>
        </w:rPr>
        <w:t> </w:t>
      </w:r>
      <w:r>
        <w:rPr>
          <w:color w:val="231F20"/>
        </w:rPr>
        <w:t>volume</w:t>
      </w:r>
      <w:r>
        <w:rPr>
          <w:color w:val="231F20"/>
          <w:spacing w:val="-13"/>
        </w:rPr>
        <w:t> </w:t>
      </w:r>
      <w:r>
        <w:rPr>
          <w:color w:val="231F20"/>
        </w:rPr>
        <w:t>of</w:t>
      </w:r>
      <w:r>
        <w:rPr>
          <w:color w:val="231F20"/>
          <w:spacing w:val="-13"/>
        </w:rPr>
        <w:t> </w:t>
      </w:r>
      <w:r>
        <w:rPr>
          <w:color w:val="231F20"/>
        </w:rPr>
        <w:t>e-commerce</w:t>
      </w:r>
      <w:r>
        <w:rPr>
          <w:color w:val="231F20"/>
          <w:spacing w:val="-13"/>
        </w:rPr>
        <w:t> </w:t>
      </w:r>
      <w:r>
        <w:rPr>
          <w:color w:val="231F20"/>
        </w:rPr>
        <w:t>has</w:t>
      </w:r>
      <w:r>
        <w:rPr>
          <w:color w:val="231F20"/>
          <w:spacing w:val="-13"/>
        </w:rPr>
        <w:t> </w:t>
      </w:r>
      <w:r>
        <w:rPr>
          <w:color w:val="231F20"/>
        </w:rPr>
        <w:t>surged</w:t>
      </w:r>
      <w:r>
        <w:rPr>
          <w:color w:val="231F20"/>
          <w:spacing w:val="-13"/>
        </w:rPr>
        <w:t> </w:t>
      </w:r>
      <w:r>
        <w:rPr>
          <w:color w:val="231F20"/>
        </w:rPr>
        <w:t>in</w:t>
      </w:r>
      <w:r>
        <w:rPr>
          <w:color w:val="231F20"/>
          <w:spacing w:val="-13"/>
        </w:rPr>
        <w:t> </w:t>
      </w:r>
      <w:r>
        <w:rPr>
          <w:color w:val="231F20"/>
        </w:rPr>
        <w:t>the </w:t>
      </w:r>
      <w:r>
        <w:rPr>
          <w:color w:val="231F20"/>
          <w:w w:val="90"/>
        </w:rPr>
        <w:t>past</w:t>
      </w:r>
      <w:r>
        <w:rPr>
          <w:color w:val="231F20"/>
          <w:spacing w:val="-1"/>
        </w:rPr>
        <w:t> </w:t>
      </w:r>
      <w:r>
        <w:rPr>
          <w:color w:val="231F20"/>
          <w:w w:val="90"/>
        </w:rPr>
        <w:t>decade.</w:t>
      </w:r>
      <w:r>
        <w:rPr>
          <w:color w:val="231F20"/>
        </w:rPr>
        <w:t> </w:t>
      </w:r>
      <w:r>
        <w:rPr>
          <w:color w:val="231F20"/>
          <w:w w:val="90"/>
        </w:rPr>
        <w:t>By</w:t>
      </w:r>
      <w:r>
        <w:rPr>
          <w:color w:val="231F20"/>
        </w:rPr>
        <w:t> </w:t>
      </w:r>
      <w:r>
        <w:rPr>
          <w:color w:val="231F20"/>
          <w:w w:val="90"/>
        </w:rPr>
        <w:t>2030,</w:t>
      </w:r>
      <w:r>
        <w:rPr>
          <w:color w:val="231F20"/>
        </w:rPr>
        <w:t> </w:t>
      </w:r>
      <w:r>
        <w:rPr>
          <w:color w:val="231F20"/>
          <w:w w:val="90"/>
        </w:rPr>
        <w:t>cross-border</w:t>
      </w:r>
      <w:r>
        <w:rPr>
          <w:color w:val="231F20"/>
        </w:rPr>
        <w:t> </w:t>
      </w:r>
      <w:r>
        <w:rPr>
          <w:color w:val="231F20"/>
          <w:w w:val="90"/>
        </w:rPr>
        <w:t>e-</w:t>
      </w:r>
      <w:r>
        <w:rPr>
          <w:color w:val="231F20"/>
          <w:spacing w:val="-2"/>
          <w:w w:val="90"/>
        </w:rPr>
        <w:t>commerce</w:t>
      </w:r>
    </w:p>
    <w:p>
      <w:pPr>
        <w:pStyle w:val="BodyText"/>
        <w:spacing w:line="266" w:lineRule="auto" w:before="97"/>
        <w:ind w:left="191" w:right="2817"/>
        <w:jc w:val="both"/>
      </w:pPr>
      <w:r>
        <w:rPr/>
        <w:br w:type="column"/>
      </w:r>
      <w:r>
        <w:rPr>
          <w:color w:val="231F20"/>
        </w:rPr>
        <w:t>in goods is expected to grow to US$1– US$2 trillion in merchandise value from its current</w:t>
      </w:r>
      <w:r>
        <w:rPr>
          <w:color w:val="231F20"/>
          <w:spacing w:val="-13"/>
        </w:rPr>
        <w:t> </w:t>
      </w:r>
      <w:r>
        <w:rPr>
          <w:color w:val="231F20"/>
        </w:rPr>
        <w:t>US$300</w:t>
      </w:r>
      <w:r>
        <w:rPr>
          <w:color w:val="231F20"/>
          <w:spacing w:val="-13"/>
        </w:rPr>
        <w:t> </w:t>
      </w:r>
      <w:r>
        <w:rPr>
          <w:color w:val="231F20"/>
        </w:rPr>
        <w:t>billion,</w:t>
      </w:r>
      <w:r>
        <w:rPr>
          <w:color w:val="231F20"/>
          <w:spacing w:val="-13"/>
        </w:rPr>
        <w:t> </w:t>
      </w:r>
      <w:r>
        <w:rPr>
          <w:color w:val="231F20"/>
        </w:rPr>
        <w:t>resulting</w:t>
      </w:r>
      <w:r>
        <w:rPr>
          <w:color w:val="231F20"/>
          <w:spacing w:val="-13"/>
        </w:rPr>
        <w:t> </w:t>
      </w:r>
      <w:r>
        <w:rPr>
          <w:color w:val="231F20"/>
        </w:rPr>
        <w:t>in</w:t>
      </w:r>
      <w:r>
        <w:rPr>
          <w:color w:val="231F20"/>
          <w:spacing w:val="-13"/>
        </w:rPr>
        <w:t> </w:t>
      </w:r>
      <w:r>
        <w:rPr>
          <w:color w:val="231F20"/>
        </w:rPr>
        <w:t>substan- tial</w:t>
      </w:r>
      <w:r>
        <w:rPr>
          <w:color w:val="231F20"/>
          <w:spacing w:val="-10"/>
        </w:rPr>
        <w:t> </w:t>
      </w:r>
      <w:r>
        <w:rPr>
          <w:color w:val="231F20"/>
        </w:rPr>
        <w:t>changes</w:t>
      </w:r>
      <w:r>
        <w:rPr>
          <w:color w:val="231F20"/>
          <w:spacing w:val="-10"/>
        </w:rPr>
        <w:t> </w:t>
      </w:r>
      <w:r>
        <w:rPr>
          <w:color w:val="231F20"/>
        </w:rPr>
        <w:t>in</w:t>
      </w:r>
      <w:r>
        <w:rPr>
          <w:color w:val="231F20"/>
          <w:spacing w:val="-10"/>
        </w:rPr>
        <w:t> </w:t>
      </w:r>
      <w:r>
        <w:rPr>
          <w:color w:val="231F20"/>
        </w:rPr>
        <w:t>supply</w:t>
      </w:r>
      <w:r>
        <w:rPr>
          <w:color w:val="231F20"/>
          <w:spacing w:val="-10"/>
        </w:rPr>
        <w:t> </w:t>
      </w:r>
      <w:r>
        <w:rPr>
          <w:color w:val="231F20"/>
        </w:rPr>
        <w:t>chains.</w:t>
      </w:r>
      <w:r>
        <w:rPr>
          <w:color w:val="231F20"/>
          <w:position w:val="7"/>
          <w:sz w:val="14"/>
        </w:rPr>
        <w:t>11</w:t>
      </w:r>
      <w:r>
        <w:rPr>
          <w:color w:val="231F20"/>
          <w:spacing w:val="6"/>
          <w:position w:val="7"/>
          <w:sz w:val="14"/>
        </w:rPr>
        <w:t> </w:t>
      </w:r>
      <w:r>
        <w:rPr>
          <w:color w:val="231F20"/>
        </w:rPr>
        <w:t>E-commerce </w:t>
      </w:r>
      <w:r>
        <w:rPr>
          <w:color w:val="231F20"/>
          <w:spacing w:val="-4"/>
        </w:rPr>
        <w:t>was</w:t>
      </w:r>
      <w:r>
        <w:rPr>
          <w:color w:val="231F20"/>
          <w:spacing w:val="-9"/>
        </w:rPr>
        <w:t> </w:t>
      </w:r>
      <w:r>
        <w:rPr>
          <w:color w:val="231F20"/>
          <w:spacing w:val="-4"/>
        </w:rPr>
        <w:t>equivalent</w:t>
      </w:r>
      <w:r>
        <w:rPr>
          <w:color w:val="231F20"/>
          <w:spacing w:val="-9"/>
        </w:rPr>
        <w:t> </w:t>
      </w:r>
      <w:r>
        <w:rPr>
          <w:color w:val="231F20"/>
          <w:spacing w:val="-4"/>
        </w:rPr>
        <w:t>to</w:t>
      </w:r>
      <w:r>
        <w:rPr>
          <w:color w:val="231F20"/>
          <w:spacing w:val="-9"/>
        </w:rPr>
        <w:t> </w:t>
      </w:r>
      <w:r>
        <w:rPr>
          <w:color w:val="231F20"/>
          <w:spacing w:val="-4"/>
        </w:rPr>
        <w:t>30</w:t>
      </w:r>
      <w:r>
        <w:rPr>
          <w:color w:val="231F20"/>
          <w:spacing w:val="-9"/>
        </w:rPr>
        <w:t> </w:t>
      </w:r>
      <w:r>
        <w:rPr>
          <w:color w:val="231F20"/>
          <w:spacing w:val="-4"/>
        </w:rPr>
        <w:t>percent</w:t>
      </w:r>
      <w:r>
        <w:rPr>
          <w:color w:val="231F20"/>
          <w:spacing w:val="-9"/>
        </w:rPr>
        <w:t> </w:t>
      </w:r>
      <w:r>
        <w:rPr>
          <w:color w:val="231F20"/>
          <w:spacing w:val="-4"/>
        </w:rPr>
        <w:t>of</w:t>
      </w:r>
      <w:r>
        <w:rPr>
          <w:color w:val="231F20"/>
          <w:spacing w:val="-9"/>
        </w:rPr>
        <w:t> </w:t>
      </w:r>
      <w:r>
        <w:rPr>
          <w:color w:val="231F20"/>
          <w:spacing w:val="-4"/>
        </w:rPr>
        <w:t>global</w:t>
      </w:r>
      <w:r>
        <w:rPr>
          <w:color w:val="231F20"/>
          <w:spacing w:val="-9"/>
        </w:rPr>
        <w:t> </w:t>
      </w:r>
      <w:r>
        <w:rPr>
          <w:color w:val="231F20"/>
          <w:spacing w:val="-4"/>
        </w:rPr>
        <w:t>GDP</w:t>
      </w:r>
      <w:r>
        <w:rPr>
          <w:color w:val="231F20"/>
          <w:spacing w:val="-9"/>
        </w:rPr>
        <w:t> </w:t>
      </w:r>
      <w:r>
        <w:rPr>
          <w:color w:val="231F20"/>
          <w:spacing w:val="-4"/>
        </w:rPr>
        <w:t>in 2019,</w:t>
      </w:r>
      <w:r>
        <w:rPr>
          <w:color w:val="231F20"/>
          <w:spacing w:val="-4"/>
          <w:position w:val="7"/>
          <w:sz w:val="14"/>
        </w:rPr>
        <w:t>12</w:t>
      </w:r>
      <w:r>
        <w:rPr>
          <w:color w:val="231F20"/>
          <w:spacing w:val="-5"/>
          <w:position w:val="7"/>
          <w:sz w:val="14"/>
        </w:rPr>
        <w:t> </w:t>
      </w:r>
      <w:r>
        <w:rPr>
          <w:color w:val="231F20"/>
          <w:spacing w:val="-4"/>
        </w:rPr>
        <w:t>so</w:t>
      </w:r>
      <w:r>
        <w:rPr>
          <w:color w:val="231F20"/>
          <w:spacing w:val="-9"/>
        </w:rPr>
        <w:t> </w:t>
      </w:r>
      <w:r>
        <w:rPr>
          <w:color w:val="231F20"/>
          <w:spacing w:val="-4"/>
        </w:rPr>
        <w:t>its</w:t>
      </w:r>
      <w:r>
        <w:rPr>
          <w:color w:val="231F20"/>
          <w:spacing w:val="-9"/>
        </w:rPr>
        <w:t> </w:t>
      </w:r>
      <w:r>
        <w:rPr>
          <w:color w:val="231F20"/>
          <w:spacing w:val="-4"/>
        </w:rPr>
        <w:t>role</w:t>
      </w:r>
      <w:r>
        <w:rPr>
          <w:color w:val="231F20"/>
          <w:spacing w:val="-10"/>
        </w:rPr>
        <w:t> </w:t>
      </w:r>
      <w:r>
        <w:rPr>
          <w:color w:val="231F20"/>
          <w:spacing w:val="-4"/>
        </w:rPr>
        <w:t>and</w:t>
      </w:r>
      <w:r>
        <w:rPr>
          <w:color w:val="231F20"/>
          <w:spacing w:val="-9"/>
        </w:rPr>
        <w:t> </w:t>
      </w:r>
      <w:r>
        <w:rPr>
          <w:color w:val="231F20"/>
          <w:spacing w:val="-4"/>
        </w:rPr>
        <w:t>importance</w:t>
      </w:r>
      <w:r>
        <w:rPr>
          <w:color w:val="231F20"/>
          <w:spacing w:val="-9"/>
        </w:rPr>
        <w:t> </w:t>
      </w:r>
      <w:r>
        <w:rPr>
          <w:color w:val="231F20"/>
          <w:spacing w:val="-4"/>
        </w:rPr>
        <w:t>in</w:t>
      </w:r>
      <w:r>
        <w:rPr>
          <w:color w:val="231F20"/>
          <w:spacing w:val="-9"/>
        </w:rPr>
        <w:t> </w:t>
      </w:r>
      <w:r>
        <w:rPr>
          <w:color w:val="231F20"/>
          <w:spacing w:val="-4"/>
        </w:rPr>
        <w:t>economic </w:t>
      </w:r>
      <w:r>
        <w:rPr>
          <w:color w:val="231F20"/>
          <w:w w:val="90"/>
        </w:rPr>
        <w:t>development cannot be overlooked. Most cross- </w:t>
      </w:r>
      <w:r>
        <w:rPr>
          <w:color w:val="231F20"/>
          <w:spacing w:val="-2"/>
        </w:rPr>
        <w:t>border</w:t>
      </w:r>
      <w:r>
        <w:rPr>
          <w:color w:val="231F20"/>
          <w:spacing w:val="-5"/>
        </w:rPr>
        <w:t> </w:t>
      </w:r>
      <w:r>
        <w:rPr>
          <w:color w:val="231F20"/>
          <w:spacing w:val="-2"/>
        </w:rPr>
        <w:t>e-commerce</w:t>
      </w:r>
      <w:r>
        <w:rPr>
          <w:color w:val="231F20"/>
          <w:spacing w:val="-5"/>
        </w:rPr>
        <w:t> </w:t>
      </w:r>
      <w:r>
        <w:rPr>
          <w:color w:val="231F20"/>
          <w:spacing w:val="-2"/>
        </w:rPr>
        <w:t>depends</w:t>
      </w:r>
      <w:r>
        <w:rPr>
          <w:color w:val="231F20"/>
          <w:spacing w:val="-5"/>
        </w:rPr>
        <w:t> </w:t>
      </w:r>
      <w:r>
        <w:rPr>
          <w:color w:val="231F20"/>
          <w:spacing w:val="-2"/>
        </w:rPr>
        <w:t>on</w:t>
      </w:r>
      <w:r>
        <w:rPr>
          <w:color w:val="231F20"/>
          <w:spacing w:val="-5"/>
        </w:rPr>
        <w:t> </w:t>
      </w:r>
      <w:r>
        <w:rPr>
          <w:color w:val="231F20"/>
          <w:spacing w:val="-2"/>
        </w:rPr>
        <w:t>postal-parcel </w:t>
      </w:r>
      <w:r>
        <w:rPr>
          <w:color w:val="231F20"/>
          <w:spacing w:val="-6"/>
        </w:rPr>
        <w:t>services</w:t>
      </w:r>
      <w:r>
        <w:rPr>
          <w:color w:val="231F20"/>
          <w:spacing w:val="-8"/>
        </w:rPr>
        <w:t> </w:t>
      </w:r>
      <w:r>
        <w:rPr>
          <w:color w:val="231F20"/>
          <w:spacing w:val="-6"/>
        </w:rPr>
        <w:t>provided</w:t>
      </w:r>
      <w:r>
        <w:rPr>
          <w:color w:val="231F20"/>
          <w:spacing w:val="-7"/>
        </w:rPr>
        <w:t> </w:t>
      </w:r>
      <w:r>
        <w:rPr>
          <w:color w:val="231F20"/>
          <w:spacing w:val="-6"/>
        </w:rPr>
        <w:t>by</w:t>
      </w:r>
      <w:r>
        <w:rPr>
          <w:color w:val="231F20"/>
          <w:spacing w:val="-7"/>
        </w:rPr>
        <w:t> </w:t>
      </w:r>
      <w:r>
        <w:rPr>
          <w:color w:val="231F20"/>
          <w:spacing w:val="-6"/>
        </w:rPr>
        <w:t>members</w:t>
      </w:r>
      <w:r>
        <w:rPr>
          <w:color w:val="231F20"/>
          <w:spacing w:val="-7"/>
        </w:rPr>
        <w:t> </w:t>
      </w:r>
      <w:r>
        <w:rPr>
          <w:color w:val="231F20"/>
          <w:spacing w:val="-6"/>
        </w:rPr>
        <w:t>of</w:t>
      </w:r>
      <w:r>
        <w:rPr>
          <w:color w:val="231F20"/>
          <w:spacing w:val="-7"/>
        </w:rPr>
        <w:t> </w:t>
      </w:r>
      <w:r>
        <w:rPr>
          <w:color w:val="231F20"/>
          <w:spacing w:val="-6"/>
        </w:rPr>
        <w:t>the</w:t>
      </w:r>
      <w:r>
        <w:rPr>
          <w:color w:val="231F20"/>
          <w:spacing w:val="-7"/>
        </w:rPr>
        <w:t> </w:t>
      </w:r>
      <w:r>
        <w:rPr>
          <w:color w:val="231F20"/>
          <w:spacing w:val="-6"/>
        </w:rPr>
        <w:t>Universal </w:t>
      </w:r>
      <w:r>
        <w:rPr>
          <w:color w:val="231F20"/>
          <w:spacing w:val="-4"/>
        </w:rPr>
        <w:t>Postal</w:t>
      </w:r>
      <w:r>
        <w:rPr>
          <w:color w:val="231F20"/>
          <w:spacing w:val="-10"/>
        </w:rPr>
        <w:t> </w:t>
      </w:r>
      <w:r>
        <w:rPr>
          <w:color w:val="231F20"/>
          <w:spacing w:val="-4"/>
        </w:rPr>
        <w:t>Union</w:t>
      </w:r>
      <w:r>
        <w:rPr>
          <w:color w:val="231F20"/>
          <w:spacing w:val="-9"/>
        </w:rPr>
        <w:t> </w:t>
      </w:r>
      <w:r>
        <w:rPr>
          <w:color w:val="231F20"/>
          <w:spacing w:val="-4"/>
        </w:rPr>
        <w:t>(a</w:t>
      </w:r>
      <w:r>
        <w:rPr>
          <w:color w:val="231F20"/>
          <w:spacing w:val="-9"/>
        </w:rPr>
        <w:t> </w:t>
      </w:r>
      <w:r>
        <w:rPr>
          <w:color w:val="231F20"/>
          <w:spacing w:val="-4"/>
        </w:rPr>
        <w:t>specialized</w:t>
      </w:r>
      <w:r>
        <w:rPr>
          <w:color w:val="231F20"/>
          <w:spacing w:val="-9"/>
        </w:rPr>
        <w:t> </w:t>
      </w:r>
      <w:r>
        <w:rPr>
          <w:color w:val="231F20"/>
          <w:spacing w:val="-4"/>
        </w:rPr>
        <w:t>UN</w:t>
      </w:r>
      <w:r>
        <w:rPr>
          <w:color w:val="231F20"/>
          <w:spacing w:val="-9"/>
        </w:rPr>
        <w:t> </w:t>
      </w:r>
      <w:r>
        <w:rPr>
          <w:color w:val="231F20"/>
          <w:spacing w:val="-4"/>
        </w:rPr>
        <w:t>agency)</w:t>
      </w:r>
      <w:r>
        <w:rPr>
          <w:color w:val="231F20"/>
          <w:spacing w:val="-9"/>
        </w:rPr>
        <w:t> </w:t>
      </w:r>
      <w:r>
        <w:rPr>
          <w:color w:val="231F20"/>
          <w:spacing w:val="-4"/>
        </w:rPr>
        <w:t>or</w:t>
      </w:r>
      <w:r>
        <w:rPr>
          <w:color w:val="231F20"/>
          <w:spacing w:val="-9"/>
        </w:rPr>
        <w:t> </w:t>
      </w:r>
      <w:r>
        <w:rPr>
          <w:color w:val="231F20"/>
          <w:spacing w:val="-4"/>
        </w:rPr>
        <w:t>the </w:t>
      </w:r>
      <w:r>
        <w:rPr>
          <w:color w:val="231F20"/>
          <w:w w:val="90"/>
        </w:rPr>
        <w:t>networks of global express operators (for exam- </w:t>
      </w:r>
      <w:r>
        <w:rPr>
          <w:color w:val="231F20"/>
        </w:rPr>
        <w:t>ple, DHL, FedEx, and UPS).</w:t>
      </w:r>
    </w:p>
    <w:p>
      <w:pPr>
        <w:pStyle w:val="BodyText"/>
        <w:spacing w:line="266" w:lineRule="auto" w:before="14"/>
        <w:ind w:left="191" w:right="2817" w:firstLine="300"/>
        <w:jc w:val="both"/>
        <w:rPr>
          <w:sz w:val="14"/>
        </w:rPr>
      </w:pPr>
      <w:r>
        <w:rPr>
          <w:color w:val="231F20"/>
        </w:rPr>
        <w:t>Universal</w:t>
      </w:r>
      <w:r>
        <w:rPr>
          <w:color w:val="231F20"/>
          <w:spacing w:val="-3"/>
        </w:rPr>
        <w:t> </w:t>
      </w:r>
      <w:r>
        <w:rPr>
          <w:color w:val="231F20"/>
        </w:rPr>
        <w:t>Postal</w:t>
      </w:r>
      <w:r>
        <w:rPr>
          <w:color w:val="231F20"/>
          <w:spacing w:val="-3"/>
        </w:rPr>
        <w:t> </w:t>
      </w:r>
      <w:r>
        <w:rPr>
          <w:color w:val="231F20"/>
        </w:rPr>
        <w:t>Union</w:t>
      </w:r>
      <w:r>
        <w:rPr>
          <w:color w:val="231F20"/>
          <w:spacing w:val="-3"/>
        </w:rPr>
        <w:t> </w:t>
      </w:r>
      <w:r>
        <w:rPr>
          <w:color w:val="231F20"/>
        </w:rPr>
        <w:t>members</w:t>
      </w:r>
      <w:r>
        <w:rPr>
          <w:color w:val="231F20"/>
          <w:spacing w:val="-3"/>
        </w:rPr>
        <w:t> </w:t>
      </w:r>
      <w:r>
        <w:rPr>
          <w:color w:val="231F20"/>
        </w:rPr>
        <w:t>handle </w:t>
      </w:r>
      <w:r>
        <w:rPr>
          <w:color w:val="231F20"/>
          <w:spacing w:val="-2"/>
        </w:rPr>
        <w:t>two-thirds</w:t>
      </w:r>
      <w:r>
        <w:rPr>
          <w:color w:val="231F20"/>
          <w:spacing w:val="-12"/>
        </w:rPr>
        <w:t> </w:t>
      </w:r>
      <w:r>
        <w:rPr>
          <w:color w:val="231F20"/>
          <w:spacing w:val="-2"/>
        </w:rPr>
        <w:t>of</w:t>
      </w:r>
      <w:r>
        <w:rPr>
          <w:color w:val="231F20"/>
          <w:spacing w:val="-11"/>
        </w:rPr>
        <w:t> </w:t>
      </w:r>
      <w:r>
        <w:rPr>
          <w:color w:val="231F20"/>
          <w:spacing w:val="-2"/>
        </w:rPr>
        <w:t>cross-border</w:t>
      </w:r>
      <w:r>
        <w:rPr>
          <w:color w:val="231F20"/>
          <w:spacing w:val="-11"/>
        </w:rPr>
        <w:t> </w:t>
      </w:r>
      <w:r>
        <w:rPr>
          <w:color w:val="231F20"/>
          <w:spacing w:val="-2"/>
        </w:rPr>
        <w:t>deliveries</w:t>
      </w:r>
      <w:r>
        <w:rPr>
          <w:color w:val="231F20"/>
          <w:spacing w:val="-11"/>
        </w:rPr>
        <w:t> </w:t>
      </w:r>
      <w:r>
        <w:rPr>
          <w:color w:val="231F20"/>
          <w:spacing w:val="-2"/>
        </w:rPr>
        <w:t>of</w:t>
      </w:r>
      <w:r>
        <w:rPr>
          <w:color w:val="231F20"/>
          <w:spacing w:val="-11"/>
        </w:rPr>
        <w:t> </w:t>
      </w:r>
      <w:r>
        <w:rPr>
          <w:color w:val="231F20"/>
          <w:spacing w:val="-2"/>
        </w:rPr>
        <w:t>letter- </w:t>
      </w:r>
      <w:r>
        <w:rPr>
          <w:color w:val="231F20"/>
          <w:spacing w:val="-6"/>
        </w:rPr>
        <w:t>parcel items (up to 2 kilograms). Therefore, in- </w:t>
      </w:r>
      <w:r>
        <w:rPr>
          <w:color w:val="231F20"/>
          <w:spacing w:val="-4"/>
        </w:rPr>
        <w:t>formation</w:t>
      </w:r>
      <w:r>
        <w:rPr>
          <w:color w:val="231F20"/>
          <w:spacing w:val="-9"/>
        </w:rPr>
        <w:t> </w:t>
      </w:r>
      <w:r>
        <w:rPr>
          <w:color w:val="231F20"/>
          <w:spacing w:val="-4"/>
        </w:rPr>
        <w:t>collected</w:t>
      </w:r>
      <w:r>
        <w:rPr>
          <w:color w:val="231F20"/>
          <w:spacing w:val="-9"/>
        </w:rPr>
        <w:t> </w:t>
      </w:r>
      <w:r>
        <w:rPr>
          <w:color w:val="231F20"/>
          <w:spacing w:val="-4"/>
        </w:rPr>
        <w:t>by</w:t>
      </w:r>
      <w:r>
        <w:rPr>
          <w:color w:val="231F20"/>
          <w:spacing w:val="-9"/>
        </w:rPr>
        <w:t> </w:t>
      </w:r>
      <w:r>
        <w:rPr>
          <w:color w:val="231F20"/>
          <w:spacing w:val="-4"/>
        </w:rPr>
        <w:t>the</w:t>
      </w:r>
      <w:r>
        <w:rPr>
          <w:color w:val="231F20"/>
          <w:spacing w:val="-9"/>
        </w:rPr>
        <w:t> </w:t>
      </w:r>
      <w:r>
        <w:rPr>
          <w:color w:val="231F20"/>
          <w:spacing w:val="-4"/>
        </w:rPr>
        <w:t>union</w:t>
      </w:r>
      <w:r>
        <w:rPr>
          <w:color w:val="231F20"/>
          <w:spacing w:val="-9"/>
        </w:rPr>
        <w:t> </w:t>
      </w:r>
      <w:r>
        <w:rPr>
          <w:color w:val="231F20"/>
          <w:spacing w:val="-4"/>
        </w:rPr>
        <w:t>is</w:t>
      </w:r>
      <w:r>
        <w:rPr>
          <w:color w:val="231F20"/>
          <w:spacing w:val="-9"/>
        </w:rPr>
        <w:t> </w:t>
      </w:r>
      <w:r>
        <w:rPr>
          <w:color w:val="231F20"/>
          <w:spacing w:val="-4"/>
        </w:rPr>
        <w:t>a</w:t>
      </w:r>
      <w:r>
        <w:rPr>
          <w:color w:val="231F20"/>
          <w:spacing w:val="-9"/>
        </w:rPr>
        <w:t> </w:t>
      </w:r>
      <w:r>
        <w:rPr>
          <w:color w:val="231F20"/>
          <w:spacing w:val="-4"/>
        </w:rPr>
        <w:t>source</w:t>
      </w:r>
      <w:r>
        <w:rPr>
          <w:color w:val="231F20"/>
          <w:spacing w:val="-9"/>
        </w:rPr>
        <w:t> </w:t>
      </w:r>
      <w:r>
        <w:rPr>
          <w:color w:val="231F20"/>
          <w:spacing w:val="-4"/>
        </w:rPr>
        <w:t>of </w:t>
      </w:r>
      <w:r>
        <w:rPr>
          <w:color w:val="231F20"/>
          <w:spacing w:val="-6"/>
        </w:rPr>
        <w:t>comprehensive</w:t>
      </w:r>
      <w:r>
        <w:rPr>
          <w:color w:val="231F20"/>
          <w:spacing w:val="-8"/>
        </w:rPr>
        <w:t> </w:t>
      </w:r>
      <w:r>
        <w:rPr>
          <w:color w:val="231F20"/>
          <w:spacing w:val="-6"/>
        </w:rPr>
        <w:t>data</w:t>
      </w:r>
      <w:r>
        <w:rPr>
          <w:color w:val="231F20"/>
          <w:spacing w:val="-7"/>
        </w:rPr>
        <w:t> </w:t>
      </w:r>
      <w:r>
        <w:rPr>
          <w:color w:val="231F20"/>
          <w:spacing w:val="-6"/>
        </w:rPr>
        <w:t>for</w:t>
      </w:r>
      <w:r>
        <w:rPr>
          <w:color w:val="231F20"/>
          <w:spacing w:val="-7"/>
        </w:rPr>
        <w:t> </w:t>
      </w:r>
      <w:r>
        <w:rPr>
          <w:color w:val="231F20"/>
          <w:spacing w:val="-6"/>
        </w:rPr>
        <w:t>more</w:t>
      </w:r>
      <w:r>
        <w:rPr>
          <w:color w:val="231F20"/>
          <w:spacing w:val="-7"/>
        </w:rPr>
        <w:t> </w:t>
      </w:r>
      <w:r>
        <w:rPr>
          <w:color w:val="231F20"/>
          <w:spacing w:val="-6"/>
        </w:rPr>
        <w:t>than</w:t>
      </w:r>
      <w:r>
        <w:rPr>
          <w:color w:val="231F20"/>
          <w:spacing w:val="-7"/>
        </w:rPr>
        <w:t> </w:t>
      </w:r>
      <w:r>
        <w:rPr>
          <w:color w:val="231F20"/>
          <w:spacing w:val="-6"/>
        </w:rPr>
        <w:t>190</w:t>
      </w:r>
      <w:r>
        <w:rPr>
          <w:color w:val="231F20"/>
          <w:spacing w:val="-7"/>
        </w:rPr>
        <w:t> </w:t>
      </w:r>
      <w:r>
        <w:rPr>
          <w:color w:val="231F20"/>
          <w:spacing w:val="-6"/>
        </w:rPr>
        <w:t>member </w:t>
      </w:r>
      <w:r>
        <w:rPr>
          <w:color w:val="231F20"/>
          <w:spacing w:val="-4"/>
        </w:rPr>
        <w:t>countries.</w:t>
      </w:r>
      <w:r>
        <w:rPr>
          <w:color w:val="231F20"/>
          <w:spacing w:val="-10"/>
        </w:rPr>
        <w:t> </w:t>
      </w:r>
      <w:r>
        <w:rPr>
          <w:color w:val="231F20"/>
          <w:spacing w:val="-4"/>
        </w:rPr>
        <w:t>It</w:t>
      </w:r>
      <w:r>
        <w:rPr>
          <w:color w:val="231F20"/>
          <w:spacing w:val="-9"/>
        </w:rPr>
        <w:t> </w:t>
      </w:r>
      <w:r>
        <w:rPr>
          <w:color w:val="231F20"/>
          <w:spacing w:val="-4"/>
        </w:rPr>
        <w:t>is</w:t>
      </w:r>
      <w:r>
        <w:rPr>
          <w:color w:val="231F20"/>
          <w:spacing w:val="-9"/>
        </w:rPr>
        <w:t> </w:t>
      </w:r>
      <w:r>
        <w:rPr>
          <w:color w:val="231F20"/>
          <w:spacing w:val="-4"/>
        </w:rPr>
        <w:t>probably</w:t>
      </w:r>
      <w:r>
        <w:rPr>
          <w:color w:val="231F20"/>
          <w:spacing w:val="-9"/>
        </w:rPr>
        <w:t> </w:t>
      </w:r>
      <w:r>
        <w:rPr>
          <w:color w:val="231F20"/>
          <w:spacing w:val="-4"/>
        </w:rPr>
        <w:t>the</w:t>
      </w:r>
      <w:r>
        <w:rPr>
          <w:color w:val="231F20"/>
          <w:spacing w:val="-9"/>
        </w:rPr>
        <w:t> </w:t>
      </w:r>
      <w:r>
        <w:rPr>
          <w:color w:val="231F20"/>
          <w:spacing w:val="-4"/>
        </w:rPr>
        <w:t>best</w:t>
      </w:r>
      <w:r>
        <w:rPr>
          <w:color w:val="231F20"/>
          <w:spacing w:val="-9"/>
        </w:rPr>
        <w:t> </w:t>
      </w:r>
      <w:r>
        <w:rPr>
          <w:color w:val="231F20"/>
          <w:spacing w:val="-4"/>
        </w:rPr>
        <w:t>unified</w:t>
      </w:r>
      <w:r>
        <w:rPr>
          <w:color w:val="231F20"/>
          <w:spacing w:val="-9"/>
        </w:rPr>
        <w:t> </w:t>
      </w:r>
      <w:r>
        <w:rPr>
          <w:color w:val="231F20"/>
          <w:spacing w:val="-4"/>
        </w:rPr>
        <w:t>source </w:t>
      </w:r>
      <w:r>
        <w:rPr>
          <w:color w:val="231F20"/>
        </w:rPr>
        <w:t>of</w:t>
      </w:r>
      <w:r>
        <w:rPr>
          <w:color w:val="231F20"/>
          <w:spacing w:val="-10"/>
        </w:rPr>
        <w:t> </w:t>
      </w:r>
      <w:r>
        <w:rPr>
          <w:color w:val="231F20"/>
        </w:rPr>
        <w:t>information</w:t>
      </w:r>
      <w:r>
        <w:rPr>
          <w:color w:val="231F20"/>
          <w:spacing w:val="-10"/>
        </w:rPr>
        <w:t> </w:t>
      </w:r>
      <w:r>
        <w:rPr>
          <w:color w:val="231F20"/>
        </w:rPr>
        <w:t>on</w:t>
      </w:r>
      <w:r>
        <w:rPr>
          <w:color w:val="231F20"/>
          <w:spacing w:val="-10"/>
        </w:rPr>
        <w:t> </w:t>
      </w:r>
      <w:r>
        <w:rPr>
          <w:color w:val="231F20"/>
        </w:rPr>
        <w:t>e-commerce</w:t>
      </w:r>
      <w:r>
        <w:rPr>
          <w:color w:val="231F20"/>
          <w:spacing w:val="-10"/>
        </w:rPr>
        <w:t> </w:t>
      </w:r>
      <w:r>
        <w:rPr>
          <w:color w:val="231F20"/>
        </w:rPr>
        <w:t>trade.</w:t>
      </w:r>
      <w:r>
        <w:rPr>
          <w:color w:val="231F20"/>
          <w:position w:val="7"/>
          <w:sz w:val="14"/>
        </w:rPr>
        <w:t>13</w:t>
      </w:r>
    </w:p>
    <w:p>
      <w:pPr>
        <w:pStyle w:val="BodyText"/>
        <w:spacing w:before="46"/>
      </w:pPr>
    </w:p>
    <w:p>
      <w:pPr>
        <w:spacing w:line="280" w:lineRule="auto" w:before="0"/>
        <w:ind w:left="191" w:right="2979" w:firstLine="0"/>
        <w:jc w:val="left"/>
        <w:rPr>
          <w:rFonts w:ascii="Arial"/>
          <w:b/>
          <w:sz w:val="20"/>
        </w:rPr>
      </w:pPr>
      <w:r>
        <w:rPr>
          <w:rFonts w:ascii="Arial"/>
          <w:b/>
          <w:color w:val="231F20"/>
          <w:w w:val="105"/>
          <w:sz w:val="20"/>
        </w:rPr>
        <w:t>The 2023 LPI measures structural factors of performance rather than supply chain disruptions</w:t>
      </w:r>
    </w:p>
    <w:p>
      <w:pPr>
        <w:pStyle w:val="BodyText"/>
        <w:spacing w:before="34"/>
        <w:rPr>
          <w:rFonts w:ascii="Arial"/>
          <w:b/>
          <w:sz w:val="20"/>
        </w:rPr>
      </w:pPr>
    </w:p>
    <w:p>
      <w:pPr>
        <w:pStyle w:val="BodyText"/>
        <w:spacing w:line="268" w:lineRule="auto"/>
        <w:ind w:left="191" w:right="2817"/>
        <w:jc w:val="both"/>
      </w:pPr>
      <w:r>
        <w:rPr>
          <w:color w:val="231F20"/>
          <w:spacing w:val="-4"/>
        </w:rPr>
        <w:t>The</w:t>
      </w:r>
      <w:r>
        <w:rPr>
          <w:color w:val="231F20"/>
          <w:spacing w:val="-9"/>
        </w:rPr>
        <w:t> </w:t>
      </w:r>
      <w:r>
        <w:rPr>
          <w:color w:val="231F20"/>
          <w:spacing w:val="-4"/>
        </w:rPr>
        <w:t>recent</w:t>
      </w:r>
      <w:r>
        <w:rPr>
          <w:color w:val="231F20"/>
          <w:spacing w:val="-9"/>
        </w:rPr>
        <w:t> </w:t>
      </w:r>
      <w:r>
        <w:rPr>
          <w:color w:val="231F20"/>
          <w:spacing w:val="-4"/>
        </w:rPr>
        <w:t>supply</w:t>
      </w:r>
      <w:r>
        <w:rPr>
          <w:color w:val="231F20"/>
          <w:spacing w:val="-9"/>
        </w:rPr>
        <w:t> </w:t>
      </w:r>
      <w:r>
        <w:rPr>
          <w:color w:val="231F20"/>
          <w:spacing w:val="-4"/>
        </w:rPr>
        <w:t>chain</w:t>
      </w:r>
      <w:r>
        <w:rPr>
          <w:color w:val="231F20"/>
          <w:spacing w:val="-9"/>
        </w:rPr>
        <w:t> </w:t>
      </w:r>
      <w:r>
        <w:rPr>
          <w:color w:val="231F20"/>
          <w:spacing w:val="-4"/>
        </w:rPr>
        <w:t>crisis</w:t>
      </w:r>
      <w:r>
        <w:rPr>
          <w:color w:val="231F20"/>
          <w:spacing w:val="-9"/>
        </w:rPr>
        <w:t> </w:t>
      </w:r>
      <w:r>
        <w:rPr>
          <w:color w:val="231F20"/>
          <w:spacing w:val="-4"/>
        </w:rPr>
        <w:t>did</w:t>
      </w:r>
      <w:r>
        <w:rPr>
          <w:color w:val="231F20"/>
          <w:spacing w:val="-9"/>
        </w:rPr>
        <w:t> </w:t>
      </w:r>
      <w:r>
        <w:rPr>
          <w:color w:val="231F20"/>
          <w:spacing w:val="-4"/>
        </w:rPr>
        <w:t>not</w:t>
      </w:r>
      <w:r>
        <w:rPr>
          <w:color w:val="231F20"/>
          <w:spacing w:val="-9"/>
        </w:rPr>
        <w:t> </w:t>
      </w:r>
      <w:r>
        <w:rPr>
          <w:color w:val="231F20"/>
          <w:spacing w:val="-4"/>
        </w:rPr>
        <w:t>substan- </w:t>
      </w:r>
      <w:r>
        <w:rPr>
          <w:color w:val="231F20"/>
          <w:w w:val="90"/>
        </w:rPr>
        <w:t>tially</w:t>
      </w:r>
      <w:r>
        <w:rPr>
          <w:color w:val="231F20"/>
          <w:spacing w:val="-6"/>
          <w:w w:val="90"/>
        </w:rPr>
        <w:t> </w:t>
      </w:r>
      <w:r>
        <w:rPr>
          <w:color w:val="231F20"/>
          <w:w w:val="90"/>
        </w:rPr>
        <w:t>change</w:t>
      </w:r>
      <w:r>
        <w:rPr>
          <w:color w:val="231F20"/>
          <w:spacing w:val="-6"/>
          <w:w w:val="90"/>
        </w:rPr>
        <w:t> </w:t>
      </w:r>
      <w:r>
        <w:rPr>
          <w:color w:val="231F20"/>
          <w:w w:val="90"/>
        </w:rPr>
        <w:t>the</w:t>
      </w:r>
      <w:r>
        <w:rPr>
          <w:color w:val="231F20"/>
          <w:spacing w:val="-6"/>
          <w:w w:val="90"/>
        </w:rPr>
        <w:t> </w:t>
      </w:r>
      <w:r>
        <w:rPr>
          <w:color w:val="231F20"/>
          <w:w w:val="90"/>
        </w:rPr>
        <w:t>relative</w:t>
      </w:r>
      <w:r>
        <w:rPr>
          <w:color w:val="231F20"/>
          <w:spacing w:val="-6"/>
          <w:w w:val="90"/>
        </w:rPr>
        <w:t> </w:t>
      </w:r>
      <w:r>
        <w:rPr>
          <w:color w:val="231F20"/>
          <w:w w:val="90"/>
        </w:rPr>
        <w:t>pattern</w:t>
      </w:r>
      <w:r>
        <w:rPr>
          <w:color w:val="231F20"/>
          <w:spacing w:val="-6"/>
          <w:w w:val="90"/>
        </w:rPr>
        <w:t> </w:t>
      </w:r>
      <w:r>
        <w:rPr>
          <w:color w:val="231F20"/>
          <w:w w:val="90"/>
        </w:rPr>
        <w:t>or</w:t>
      </w:r>
      <w:r>
        <w:rPr>
          <w:color w:val="231F20"/>
          <w:spacing w:val="-6"/>
          <w:w w:val="90"/>
        </w:rPr>
        <w:t> </w:t>
      </w:r>
      <w:r>
        <w:rPr>
          <w:color w:val="231F20"/>
          <w:w w:val="90"/>
        </w:rPr>
        <w:t>even</w:t>
      </w:r>
      <w:r>
        <w:rPr>
          <w:color w:val="231F20"/>
          <w:spacing w:val="-6"/>
          <w:w w:val="90"/>
        </w:rPr>
        <w:t> </w:t>
      </w:r>
      <w:r>
        <w:rPr>
          <w:color w:val="231F20"/>
          <w:w w:val="90"/>
        </w:rPr>
        <w:t>absolute scores</w:t>
      </w:r>
      <w:r>
        <w:rPr>
          <w:color w:val="231F20"/>
          <w:spacing w:val="-8"/>
          <w:w w:val="90"/>
        </w:rPr>
        <w:t> </w:t>
      </w:r>
      <w:r>
        <w:rPr>
          <w:color w:val="231F20"/>
          <w:w w:val="90"/>
        </w:rPr>
        <w:t>in</w:t>
      </w:r>
      <w:r>
        <w:rPr>
          <w:color w:val="231F20"/>
          <w:spacing w:val="-8"/>
          <w:w w:val="90"/>
        </w:rPr>
        <w:t> </w:t>
      </w:r>
      <w:r>
        <w:rPr>
          <w:color w:val="231F20"/>
          <w:w w:val="90"/>
        </w:rPr>
        <w:t>the</w:t>
      </w:r>
      <w:r>
        <w:rPr>
          <w:color w:val="231F20"/>
          <w:spacing w:val="-8"/>
          <w:w w:val="90"/>
        </w:rPr>
        <w:t> </w:t>
      </w:r>
      <w:r>
        <w:rPr>
          <w:color w:val="231F20"/>
          <w:w w:val="90"/>
        </w:rPr>
        <w:t>2023</w:t>
      </w:r>
      <w:r>
        <w:rPr>
          <w:color w:val="231F20"/>
          <w:spacing w:val="-8"/>
          <w:w w:val="90"/>
        </w:rPr>
        <w:t> </w:t>
      </w:r>
      <w:r>
        <w:rPr>
          <w:color w:val="231F20"/>
          <w:w w:val="90"/>
        </w:rPr>
        <w:t>LPI</w:t>
      </w:r>
      <w:r>
        <w:rPr>
          <w:color w:val="231F20"/>
          <w:spacing w:val="-8"/>
          <w:w w:val="90"/>
        </w:rPr>
        <w:t> </w:t>
      </w:r>
      <w:r>
        <w:rPr>
          <w:color w:val="231F20"/>
          <w:w w:val="90"/>
        </w:rPr>
        <w:t>across</w:t>
      </w:r>
      <w:r>
        <w:rPr>
          <w:color w:val="231F20"/>
          <w:spacing w:val="-8"/>
          <w:w w:val="90"/>
        </w:rPr>
        <w:t> </w:t>
      </w:r>
      <w:r>
        <w:rPr>
          <w:color w:val="231F20"/>
          <w:w w:val="90"/>
        </w:rPr>
        <w:t>countries</w:t>
      </w:r>
      <w:r>
        <w:rPr>
          <w:color w:val="231F20"/>
          <w:spacing w:val="-8"/>
          <w:w w:val="90"/>
        </w:rPr>
        <w:t> </w:t>
      </w:r>
      <w:r>
        <w:rPr>
          <w:color w:val="231F20"/>
          <w:w w:val="90"/>
        </w:rPr>
        <w:t>compared </w:t>
      </w:r>
      <w:r>
        <w:rPr>
          <w:color w:val="231F20"/>
          <w:spacing w:val="-2"/>
          <w:w w:val="90"/>
        </w:rPr>
        <w:t>with previous editions, except for a slight deterio- </w:t>
      </w:r>
      <w:r>
        <w:rPr>
          <w:color w:val="231F20"/>
          <w:spacing w:val="-4"/>
        </w:rPr>
        <w:t>ration</w:t>
      </w:r>
      <w:r>
        <w:rPr>
          <w:color w:val="231F20"/>
          <w:spacing w:val="-10"/>
        </w:rPr>
        <w:t> </w:t>
      </w:r>
      <w:r>
        <w:rPr>
          <w:color w:val="231F20"/>
          <w:spacing w:val="-4"/>
        </w:rPr>
        <w:t>of</w:t>
      </w:r>
      <w:r>
        <w:rPr>
          <w:color w:val="231F20"/>
          <w:spacing w:val="-9"/>
        </w:rPr>
        <w:t> </w:t>
      </w:r>
      <w:r>
        <w:rPr>
          <w:color w:val="231F20"/>
          <w:spacing w:val="-4"/>
        </w:rPr>
        <w:t>the</w:t>
      </w:r>
      <w:r>
        <w:rPr>
          <w:color w:val="231F20"/>
          <w:spacing w:val="-9"/>
        </w:rPr>
        <w:t> </w:t>
      </w:r>
      <w:r>
        <w:rPr>
          <w:color w:val="231F20"/>
          <w:spacing w:val="-4"/>
        </w:rPr>
        <w:t>timeliness</w:t>
      </w:r>
      <w:r>
        <w:rPr>
          <w:color w:val="231F20"/>
          <w:spacing w:val="-9"/>
        </w:rPr>
        <w:t> </w:t>
      </w:r>
      <w:r>
        <w:rPr>
          <w:color w:val="231F20"/>
          <w:spacing w:val="-4"/>
        </w:rPr>
        <w:t>component</w:t>
      </w:r>
      <w:r>
        <w:rPr>
          <w:color w:val="231F20"/>
          <w:spacing w:val="-9"/>
        </w:rPr>
        <w:t> </w:t>
      </w:r>
      <w:r>
        <w:rPr>
          <w:color w:val="231F20"/>
          <w:spacing w:val="-4"/>
        </w:rPr>
        <w:t>since</w:t>
      </w:r>
      <w:r>
        <w:rPr>
          <w:color w:val="231F20"/>
          <w:spacing w:val="-9"/>
        </w:rPr>
        <w:t> </w:t>
      </w:r>
      <w:r>
        <w:rPr>
          <w:color w:val="231F20"/>
          <w:spacing w:val="-4"/>
        </w:rPr>
        <w:t>2018. </w:t>
      </w:r>
      <w:r>
        <w:rPr>
          <w:color w:val="231F20"/>
          <w:spacing w:val="-2"/>
        </w:rPr>
        <w:t>This</w:t>
      </w:r>
      <w:r>
        <w:rPr>
          <w:color w:val="231F20"/>
          <w:spacing w:val="-3"/>
        </w:rPr>
        <w:t> </w:t>
      </w:r>
      <w:r>
        <w:rPr>
          <w:color w:val="231F20"/>
          <w:spacing w:val="-2"/>
        </w:rPr>
        <w:t>may</w:t>
      </w:r>
      <w:r>
        <w:rPr>
          <w:color w:val="231F20"/>
          <w:spacing w:val="-3"/>
        </w:rPr>
        <w:t> </w:t>
      </w:r>
      <w:r>
        <w:rPr>
          <w:color w:val="231F20"/>
          <w:spacing w:val="-2"/>
        </w:rPr>
        <w:t>seem odd,</w:t>
      </w:r>
      <w:r>
        <w:rPr>
          <w:color w:val="231F20"/>
          <w:spacing w:val="-3"/>
        </w:rPr>
        <w:t> </w:t>
      </w:r>
      <w:r>
        <w:rPr>
          <w:color w:val="231F20"/>
          <w:spacing w:val="-2"/>
        </w:rPr>
        <w:t>given</w:t>
      </w:r>
      <w:r>
        <w:rPr>
          <w:color w:val="231F20"/>
          <w:spacing w:val="-3"/>
        </w:rPr>
        <w:t> </w:t>
      </w:r>
      <w:r>
        <w:rPr>
          <w:color w:val="231F20"/>
          <w:spacing w:val="-2"/>
        </w:rPr>
        <w:t>the severity</w:t>
      </w:r>
      <w:r>
        <w:rPr>
          <w:color w:val="231F20"/>
          <w:spacing w:val="-3"/>
        </w:rPr>
        <w:t> </w:t>
      </w:r>
      <w:r>
        <w:rPr>
          <w:color w:val="231F20"/>
          <w:spacing w:val="-2"/>
        </w:rPr>
        <w:t>of</w:t>
      </w:r>
      <w:r>
        <w:rPr>
          <w:color w:val="231F20"/>
          <w:spacing w:val="-3"/>
        </w:rPr>
        <w:t> </w:t>
      </w:r>
      <w:r>
        <w:rPr>
          <w:color w:val="231F20"/>
          <w:spacing w:val="-5"/>
        </w:rPr>
        <w:t>the</w:t>
      </w:r>
    </w:p>
    <w:p>
      <w:pPr>
        <w:spacing w:after="0" w:line="268" w:lineRule="auto"/>
        <w:jc w:val="both"/>
        <w:sectPr>
          <w:type w:val="continuous"/>
          <w:pgSz w:w="12240" w:h="15840"/>
          <w:pgMar w:header="0" w:footer="0" w:top="1140" w:bottom="280" w:left="0" w:right="540"/>
          <w:cols w:num="2" w:equalWidth="0">
            <w:col w:w="4929" w:space="40"/>
            <w:col w:w="6731"/>
          </w:cols>
        </w:sectPr>
      </w:pPr>
    </w:p>
    <w:p>
      <w:pPr>
        <w:pStyle w:val="BodyText"/>
        <w:spacing w:before="6" w:after="1"/>
        <w:rPr>
          <w:sz w:val="18"/>
        </w:rPr>
      </w:pPr>
    </w:p>
    <w:p>
      <w:pPr>
        <w:pStyle w:val="BodyText"/>
        <w:ind w:left="1200"/>
        <w:rPr>
          <w:sz w:val="20"/>
        </w:rPr>
      </w:pPr>
      <w:r>
        <w:rPr>
          <w:sz w:val="20"/>
        </w:rPr>
        <mc:AlternateContent>
          <mc:Choice Requires="wps">
            <w:drawing>
              <wp:inline distT="0" distB="0" distL="0" distR="0">
                <wp:extent cx="4876800" cy="3238500"/>
                <wp:effectExtent l="0" t="9525" r="0" b="9525"/>
                <wp:docPr id="424" name="Group 424"/>
                <wp:cNvGraphicFramePr>
                  <a:graphicFrameLocks/>
                </wp:cNvGraphicFramePr>
                <a:graphic>
                  <a:graphicData uri="http://schemas.microsoft.com/office/word/2010/wordprocessingGroup">
                    <wpg:wgp>
                      <wpg:cNvPr id="424" name="Group 424"/>
                      <wpg:cNvGrpSpPr/>
                      <wpg:grpSpPr>
                        <a:xfrm>
                          <a:off x="0" y="0"/>
                          <a:ext cx="4876800" cy="3238500"/>
                          <a:chExt cx="4876800" cy="3238500"/>
                        </a:xfrm>
                      </wpg:grpSpPr>
                      <wps:wsp>
                        <wps:cNvPr id="425" name="Graphic 425"/>
                        <wps:cNvSpPr/>
                        <wps:spPr>
                          <a:xfrm>
                            <a:off x="198" y="259752"/>
                            <a:ext cx="4876800" cy="2978785"/>
                          </a:xfrm>
                          <a:custGeom>
                            <a:avLst/>
                            <a:gdLst/>
                            <a:ahLst/>
                            <a:cxnLst/>
                            <a:rect l="l" t="t" r="r" b="b"/>
                            <a:pathLst>
                              <a:path w="4876800" h="2978785">
                                <a:moveTo>
                                  <a:pt x="4876597" y="0"/>
                                </a:moveTo>
                                <a:lnTo>
                                  <a:pt x="0" y="0"/>
                                </a:lnTo>
                                <a:lnTo>
                                  <a:pt x="0" y="2903855"/>
                                </a:lnTo>
                                <a:lnTo>
                                  <a:pt x="6159" y="2932950"/>
                                </a:lnTo>
                                <a:lnTo>
                                  <a:pt x="22682" y="2956712"/>
                                </a:lnTo>
                                <a:lnTo>
                                  <a:pt x="46672" y="2972727"/>
                                </a:lnTo>
                                <a:lnTo>
                                  <a:pt x="75209" y="2978607"/>
                                </a:lnTo>
                                <a:lnTo>
                                  <a:pt x="4797717" y="2978607"/>
                                </a:lnTo>
                                <a:lnTo>
                                  <a:pt x="4826813" y="2973349"/>
                                </a:lnTo>
                                <a:lnTo>
                                  <a:pt x="4852060" y="2958363"/>
                                </a:lnTo>
                                <a:lnTo>
                                  <a:pt x="4869853" y="2934805"/>
                                </a:lnTo>
                                <a:lnTo>
                                  <a:pt x="4876597" y="2903855"/>
                                </a:lnTo>
                                <a:lnTo>
                                  <a:pt x="4876597" y="0"/>
                                </a:lnTo>
                                <a:close/>
                              </a:path>
                            </a:pathLst>
                          </a:custGeom>
                          <a:solidFill>
                            <a:srgbClr val="DFEAF7"/>
                          </a:solidFill>
                        </wps:spPr>
                        <wps:bodyPr wrap="square" lIns="0" tIns="0" rIns="0" bIns="0" rtlCol="0">
                          <a:prstTxWarp prst="textNoShape">
                            <a:avLst/>
                          </a:prstTxWarp>
                          <a:noAutofit/>
                        </wps:bodyPr>
                      </wps:wsp>
                      <wps:wsp>
                        <wps:cNvPr id="426" name="Graphic 426"/>
                        <wps:cNvSpPr/>
                        <wps:spPr>
                          <a:xfrm>
                            <a:off x="260141" y="565861"/>
                            <a:ext cx="4378960" cy="2148840"/>
                          </a:xfrm>
                          <a:custGeom>
                            <a:avLst/>
                            <a:gdLst/>
                            <a:ahLst/>
                            <a:cxnLst/>
                            <a:rect l="l" t="t" r="r" b="b"/>
                            <a:pathLst>
                              <a:path w="4378960" h="2148840">
                                <a:moveTo>
                                  <a:pt x="1958924" y="0"/>
                                </a:moveTo>
                                <a:lnTo>
                                  <a:pt x="0" y="0"/>
                                </a:lnTo>
                                <a:lnTo>
                                  <a:pt x="0" y="2148255"/>
                                </a:lnTo>
                                <a:lnTo>
                                  <a:pt x="1958924" y="2148255"/>
                                </a:lnTo>
                                <a:lnTo>
                                  <a:pt x="1958924" y="0"/>
                                </a:lnTo>
                                <a:close/>
                              </a:path>
                              <a:path w="4378960" h="2148840">
                                <a:moveTo>
                                  <a:pt x="4378807" y="0"/>
                                </a:moveTo>
                                <a:lnTo>
                                  <a:pt x="3802646" y="0"/>
                                </a:lnTo>
                                <a:lnTo>
                                  <a:pt x="3802646" y="2148255"/>
                                </a:lnTo>
                                <a:lnTo>
                                  <a:pt x="4378807" y="2148255"/>
                                </a:lnTo>
                                <a:lnTo>
                                  <a:pt x="4378807" y="0"/>
                                </a:lnTo>
                                <a:close/>
                              </a:path>
                            </a:pathLst>
                          </a:custGeom>
                          <a:solidFill>
                            <a:srgbClr val="C9DCF3"/>
                          </a:solidFill>
                        </wps:spPr>
                        <wps:bodyPr wrap="square" lIns="0" tIns="0" rIns="0" bIns="0" rtlCol="0">
                          <a:prstTxWarp prst="textNoShape">
                            <a:avLst/>
                          </a:prstTxWarp>
                          <a:noAutofit/>
                        </wps:bodyPr>
                      </wps:wsp>
                      <wps:wsp>
                        <wps:cNvPr id="427" name="Graphic 427"/>
                        <wps:cNvSpPr/>
                        <wps:spPr>
                          <a:xfrm>
                            <a:off x="4059622" y="562676"/>
                            <a:ext cx="6350" cy="6350"/>
                          </a:xfrm>
                          <a:custGeom>
                            <a:avLst/>
                            <a:gdLst/>
                            <a:ahLst/>
                            <a:cxnLst/>
                            <a:rect l="l" t="t" r="r" b="b"/>
                            <a:pathLst>
                              <a:path w="6350" h="6350">
                                <a:moveTo>
                                  <a:pt x="0" y="3175"/>
                                </a:moveTo>
                                <a:lnTo>
                                  <a:pt x="929" y="929"/>
                                </a:lnTo>
                                <a:lnTo>
                                  <a:pt x="3175" y="0"/>
                                </a:lnTo>
                                <a:lnTo>
                                  <a:pt x="5420" y="929"/>
                                </a:lnTo>
                                <a:lnTo>
                                  <a:pt x="6350" y="3175"/>
                                </a:lnTo>
                                <a:lnTo>
                                  <a:pt x="5420" y="5420"/>
                                </a:lnTo>
                                <a:lnTo>
                                  <a:pt x="3175" y="6350"/>
                                </a:lnTo>
                                <a:lnTo>
                                  <a:pt x="929" y="5420"/>
                                </a:lnTo>
                                <a:lnTo>
                                  <a:pt x="0" y="3175"/>
                                </a:lnTo>
                                <a:close/>
                              </a:path>
                            </a:pathLst>
                          </a:custGeom>
                          <a:solidFill>
                            <a:srgbClr val="231F20"/>
                          </a:solidFill>
                        </wps:spPr>
                        <wps:bodyPr wrap="square" lIns="0" tIns="0" rIns="0" bIns="0" rtlCol="0">
                          <a:prstTxWarp prst="textNoShape">
                            <a:avLst/>
                          </a:prstTxWarp>
                          <a:noAutofit/>
                        </wps:bodyPr>
                      </wps:wsp>
                      <wps:wsp>
                        <wps:cNvPr id="428" name="Graphic 428"/>
                        <wps:cNvSpPr/>
                        <wps:spPr>
                          <a:xfrm>
                            <a:off x="4062797" y="591125"/>
                            <a:ext cx="1270" cy="2110740"/>
                          </a:xfrm>
                          <a:custGeom>
                            <a:avLst/>
                            <a:gdLst/>
                            <a:ahLst/>
                            <a:cxnLst/>
                            <a:rect l="l" t="t" r="r" b="b"/>
                            <a:pathLst>
                              <a:path w="0" h="2110740">
                                <a:moveTo>
                                  <a:pt x="0" y="0"/>
                                </a:moveTo>
                                <a:lnTo>
                                  <a:pt x="0" y="2110346"/>
                                </a:lnTo>
                              </a:path>
                            </a:pathLst>
                          </a:custGeom>
                          <a:ln w="6350">
                            <a:solidFill>
                              <a:srgbClr val="231F20"/>
                            </a:solidFill>
                            <a:prstDash val="dot"/>
                          </a:ln>
                        </wps:spPr>
                        <wps:bodyPr wrap="square" lIns="0" tIns="0" rIns="0" bIns="0" rtlCol="0">
                          <a:prstTxWarp prst="textNoShape">
                            <a:avLst/>
                          </a:prstTxWarp>
                          <a:noAutofit/>
                        </wps:bodyPr>
                      </wps:wsp>
                      <wps:wsp>
                        <wps:cNvPr id="429" name="Graphic 429"/>
                        <wps:cNvSpPr/>
                        <wps:spPr>
                          <a:xfrm>
                            <a:off x="2215891" y="562686"/>
                            <a:ext cx="1850389" cy="2155190"/>
                          </a:xfrm>
                          <a:custGeom>
                            <a:avLst/>
                            <a:gdLst/>
                            <a:ahLst/>
                            <a:cxnLst/>
                            <a:rect l="l" t="t" r="r" b="b"/>
                            <a:pathLst>
                              <a:path w="1850389" h="2155190">
                                <a:moveTo>
                                  <a:pt x="6350" y="3175"/>
                                </a:moveTo>
                                <a:lnTo>
                                  <a:pt x="5410" y="927"/>
                                </a:lnTo>
                                <a:lnTo>
                                  <a:pt x="3175" y="0"/>
                                </a:lnTo>
                                <a:lnTo>
                                  <a:pt x="927" y="927"/>
                                </a:lnTo>
                                <a:lnTo>
                                  <a:pt x="0" y="3175"/>
                                </a:lnTo>
                                <a:lnTo>
                                  <a:pt x="927" y="5410"/>
                                </a:lnTo>
                                <a:lnTo>
                                  <a:pt x="3175" y="6350"/>
                                </a:lnTo>
                                <a:lnTo>
                                  <a:pt x="5410" y="5410"/>
                                </a:lnTo>
                                <a:lnTo>
                                  <a:pt x="6350" y="3175"/>
                                </a:lnTo>
                                <a:close/>
                              </a:path>
                              <a:path w="1850389" h="2155190">
                                <a:moveTo>
                                  <a:pt x="1850072" y="2151430"/>
                                </a:moveTo>
                                <a:lnTo>
                                  <a:pt x="1849145" y="2149183"/>
                                </a:lnTo>
                                <a:lnTo>
                                  <a:pt x="1846897" y="2148255"/>
                                </a:lnTo>
                                <a:lnTo>
                                  <a:pt x="1844649" y="2149183"/>
                                </a:lnTo>
                                <a:lnTo>
                                  <a:pt x="1843722" y="2151430"/>
                                </a:lnTo>
                                <a:lnTo>
                                  <a:pt x="1844649" y="2153678"/>
                                </a:lnTo>
                                <a:lnTo>
                                  <a:pt x="1846897" y="2154605"/>
                                </a:lnTo>
                                <a:lnTo>
                                  <a:pt x="1849145" y="2153678"/>
                                </a:lnTo>
                                <a:lnTo>
                                  <a:pt x="1850072" y="2151430"/>
                                </a:lnTo>
                                <a:close/>
                              </a:path>
                            </a:pathLst>
                          </a:custGeom>
                          <a:solidFill>
                            <a:srgbClr val="231F20"/>
                          </a:solidFill>
                        </wps:spPr>
                        <wps:bodyPr wrap="square" lIns="0" tIns="0" rIns="0" bIns="0" rtlCol="0">
                          <a:prstTxWarp prst="textNoShape">
                            <a:avLst/>
                          </a:prstTxWarp>
                          <a:noAutofit/>
                        </wps:bodyPr>
                      </wps:wsp>
                      <wps:wsp>
                        <wps:cNvPr id="430" name="Graphic 430"/>
                        <wps:cNvSpPr/>
                        <wps:spPr>
                          <a:xfrm>
                            <a:off x="2219067" y="591125"/>
                            <a:ext cx="1270" cy="2110740"/>
                          </a:xfrm>
                          <a:custGeom>
                            <a:avLst/>
                            <a:gdLst/>
                            <a:ahLst/>
                            <a:cxnLst/>
                            <a:rect l="l" t="t" r="r" b="b"/>
                            <a:pathLst>
                              <a:path w="0" h="2110740">
                                <a:moveTo>
                                  <a:pt x="0" y="0"/>
                                </a:moveTo>
                                <a:lnTo>
                                  <a:pt x="0" y="2110346"/>
                                </a:lnTo>
                              </a:path>
                            </a:pathLst>
                          </a:custGeom>
                          <a:ln w="6350">
                            <a:solidFill>
                              <a:srgbClr val="231F20"/>
                            </a:solidFill>
                            <a:prstDash val="dot"/>
                          </a:ln>
                        </wps:spPr>
                        <wps:bodyPr wrap="square" lIns="0" tIns="0" rIns="0" bIns="0" rtlCol="0">
                          <a:prstTxWarp prst="textNoShape">
                            <a:avLst/>
                          </a:prstTxWarp>
                          <a:noAutofit/>
                        </wps:bodyPr>
                      </wps:wsp>
                      <wps:wsp>
                        <wps:cNvPr id="431" name="Graphic 431"/>
                        <wps:cNvSpPr/>
                        <wps:spPr>
                          <a:xfrm>
                            <a:off x="2215892" y="2710936"/>
                            <a:ext cx="6350" cy="6350"/>
                          </a:xfrm>
                          <a:custGeom>
                            <a:avLst/>
                            <a:gdLst/>
                            <a:ahLst/>
                            <a:cxnLst/>
                            <a:rect l="l" t="t" r="r" b="b"/>
                            <a:pathLst>
                              <a:path w="6350" h="6350">
                                <a:moveTo>
                                  <a:pt x="0" y="3174"/>
                                </a:moveTo>
                                <a:lnTo>
                                  <a:pt x="929" y="929"/>
                                </a:lnTo>
                                <a:lnTo>
                                  <a:pt x="3175" y="0"/>
                                </a:lnTo>
                                <a:lnTo>
                                  <a:pt x="5420" y="929"/>
                                </a:lnTo>
                                <a:lnTo>
                                  <a:pt x="6350" y="3174"/>
                                </a:lnTo>
                                <a:lnTo>
                                  <a:pt x="5420" y="5420"/>
                                </a:lnTo>
                                <a:lnTo>
                                  <a:pt x="3175" y="6349"/>
                                </a:lnTo>
                                <a:lnTo>
                                  <a:pt x="929" y="5420"/>
                                </a:lnTo>
                                <a:lnTo>
                                  <a:pt x="0" y="3174"/>
                                </a:lnTo>
                                <a:close/>
                              </a:path>
                            </a:pathLst>
                          </a:custGeom>
                          <a:solidFill>
                            <a:srgbClr val="231F20"/>
                          </a:solidFill>
                        </wps:spPr>
                        <wps:bodyPr wrap="square" lIns="0" tIns="0" rIns="0" bIns="0" rtlCol="0">
                          <a:prstTxWarp prst="textNoShape">
                            <a:avLst/>
                          </a:prstTxWarp>
                          <a:noAutofit/>
                        </wps:bodyPr>
                      </wps:wsp>
                      <wps:wsp>
                        <wps:cNvPr id="432" name="Graphic 432"/>
                        <wps:cNvSpPr/>
                        <wps:spPr>
                          <a:xfrm>
                            <a:off x="0" y="1649"/>
                            <a:ext cx="512445" cy="231775"/>
                          </a:xfrm>
                          <a:custGeom>
                            <a:avLst/>
                            <a:gdLst/>
                            <a:ahLst/>
                            <a:cxnLst/>
                            <a:rect l="l" t="t" r="r" b="b"/>
                            <a:pathLst>
                              <a:path w="512445" h="231775">
                                <a:moveTo>
                                  <a:pt x="512178" y="0"/>
                                </a:moveTo>
                                <a:lnTo>
                                  <a:pt x="76200" y="0"/>
                                </a:lnTo>
                                <a:lnTo>
                                  <a:pt x="47213" y="3058"/>
                                </a:lnTo>
                                <a:lnTo>
                                  <a:pt x="22917" y="14506"/>
                                </a:lnTo>
                                <a:lnTo>
                                  <a:pt x="6212" y="37751"/>
                                </a:lnTo>
                                <a:lnTo>
                                  <a:pt x="0" y="76200"/>
                                </a:lnTo>
                                <a:lnTo>
                                  <a:pt x="0" y="231775"/>
                                </a:lnTo>
                                <a:lnTo>
                                  <a:pt x="512178" y="231775"/>
                                </a:lnTo>
                                <a:lnTo>
                                  <a:pt x="512178" y="0"/>
                                </a:lnTo>
                                <a:close/>
                              </a:path>
                            </a:pathLst>
                          </a:custGeom>
                          <a:solidFill>
                            <a:srgbClr val="008FDD"/>
                          </a:solidFill>
                        </wps:spPr>
                        <wps:bodyPr wrap="square" lIns="0" tIns="0" rIns="0" bIns="0" rtlCol="0">
                          <a:prstTxWarp prst="textNoShape">
                            <a:avLst/>
                          </a:prstTxWarp>
                          <a:noAutofit/>
                        </wps:bodyPr>
                      </wps:wsp>
                      <wps:wsp>
                        <wps:cNvPr id="433" name="Graphic 433"/>
                        <wps:cNvSpPr/>
                        <wps:spPr>
                          <a:xfrm>
                            <a:off x="512182" y="1649"/>
                            <a:ext cx="4364355" cy="231775"/>
                          </a:xfrm>
                          <a:custGeom>
                            <a:avLst/>
                            <a:gdLst/>
                            <a:ahLst/>
                            <a:cxnLst/>
                            <a:rect l="l" t="t" r="r" b="b"/>
                            <a:pathLst>
                              <a:path w="4364355" h="231775">
                                <a:moveTo>
                                  <a:pt x="4287723" y="0"/>
                                </a:moveTo>
                                <a:lnTo>
                                  <a:pt x="0" y="0"/>
                                </a:lnTo>
                                <a:lnTo>
                                  <a:pt x="0" y="231775"/>
                                </a:lnTo>
                                <a:lnTo>
                                  <a:pt x="4363923" y="231775"/>
                                </a:lnTo>
                                <a:lnTo>
                                  <a:pt x="4363923" y="76200"/>
                                </a:lnTo>
                                <a:lnTo>
                                  <a:pt x="4358417" y="50979"/>
                                </a:lnTo>
                                <a:lnTo>
                                  <a:pt x="4342892" y="26265"/>
                                </a:lnTo>
                                <a:lnTo>
                                  <a:pt x="4318831" y="7468"/>
                                </a:lnTo>
                                <a:lnTo>
                                  <a:pt x="4287723" y="0"/>
                                </a:lnTo>
                                <a:close/>
                              </a:path>
                            </a:pathLst>
                          </a:custGeom>
                          <a:solidFill>
                            <a:srgbClr val="808285"/>
                          </a:solidFill>
                        </wps:spPr>
                        <wps:bodyPr wrap="square" lIns="0" tIns="0" rIns="0" bIns="0" rtlCol="0">
                          <a:prstTxWarp prst="textNoShape">
                            <a:avLst/>
                          </a:prstTxWarp>
                          <a:noAutofit/>
                        </wps:bodyPr>
                      </wps:wsp>
                      <wps:wsp>
                        <wps:cNvPr id="434" name="Graphic 434"/>
                        <wps:cNvSpPr/>
                        <wps:spPr>
                          <a:xfrm>
                            <a:off x="512179" y="0"/>
                            <a:ext cx="1270" cy="233679"/>
                          </a:xfrm>
                          <a:custGeom>
                            <a:avLst/>
                            <a:gdLst/>
                            <a:ahLst/>
                            <a:cxnLst/>
                            <a:rect l="l" t="t" r="r" b="b"/>
                            <a:pathLst>
                              <a:path w="0" h="233679">
                                <a:moveTo>
                                  <a:pt x="0" y="0"/>
                                </a:moveTo>
                                <a:lnTo>
                                  <a:pt x="0" y="233426"/>
                                </a:lnTo>
                              </a:path>
                            </a:pathLst>
                          </a:custGeom>
                          <a:ln w="25400">
                            <a:solidFill>
                              <a:srgbClr val="FFFFFF"/>
                            </a:solidFill>
                            <a:prstDash val="solid"/>
                          </a:ln>
                        </wps:spPr>
                        <wps:bodyPr wrap="square" lIns="0" tIns="0" rIns="0" bIns="0" rtlCol="0">
                          <a:prstTxWarp prst="textNoShape">
                            <a:avLst/>
                          </a:prstTxWarp>
                          <a:noAutofit/>
                        </wps:bodyPr>
                      </wps:wsp>
                      <wps:wsp>
                        <wps:cNvPr id="435" name="Graphic 435"/>
                        <wps:cNvSpPr/>
                        <wps:spPr>
                          <a:xfrm>
                            <a:off x="260156" y="2714111"/>
                            <a:ext cx="4378960" cy="1270"/>
                          </a:xfrm>
                          <a:custGeom>
                            <a:avLst/>
                            <a:gdLst/>
                            <a:ahLst/>
                            <a:cxnLst/>
                            <a:rect l="l" t="t" r="r" b="b"/>
                            <a:pathLst>
                              <a:path w="4378960" h="0">
                                <a:moveTo>
                                  <a:pt x="0" y="0"/>
                                </a:moveTo>
                                <a:lnTo>
                                  <a:pt x="4378794" y="0"/>
                                </a:lnTo>
                              </a:path>
                            </a:pathLst>
                          </a:custGeom>
                          <a:ln w="6350">
                            <a:solidFill>
                              <a:srgbClr val="FFFFFF"/>
                            </a:solidFill>
                            <a:prstDash val="solid"/>
                          </a:ln>
                        </wps:spPr>
                        <wps:bodyPr wrap="square" lIns="0" tIns="0" rIns="0" bIns="0" rtlCol="0">
                          <a:prstTxWarp prst="textNoShape">
                            <a:avLst/>
                          </a:prstTxWarp>
                          <a:noAutofit/>
                        </wps:bodyPr>
                      </wps:wsp>
                      <wps:wsp>
                        <wps:cNvPr id="436" name="Graphic 436"/>
                        <wps:cNvSpPr/>
                        <wps:spPr>
                          <a:xfrm>
                            <a:off x="260156" y="2714111"/>
                            <a:ext cx="4378960" cy="1270"/>
                          </a:xfrm>
                          <a:custGeom>
                            <a:avLst/>
                            <a:gdLst/>
                            <a:ahLst/>
                            <a:cxnLst/>
                            <a:rect l="l" t="t" r="r" b="b"/>
                            <a:pathLst>
                              <a:path w="4378960" h="0">
                                <a:moveTo>
                                  <a:pt x="0" y="0"/>
                                </a:moveTo>
                                <a:lnTo>
                                  <a:pt x="4378794" y="0"/>
                                </a:lnTo>
                              </a:path>
                            </a:pathLst>
                          </a:custGeom>
                          <a:ln w="6350">
                            <a:solidFill>
                              <a:srgbClr val="FFFFFF"/>
                            </a:solidFill>
                            <a:prstDash val="solid"/>
                          </a:ln>
                        </wps:spPr>
                        <wps:bodyPr wrap="square" lIns="0" tIns="0" rIns="0" bIns="0" rtlCol="0">
                          <a:prstTxWarp prst="textNoShape">
                            <a:avLst/>
                          </a:prstTxWarp>
                          <a:noAutofit/>
                        </wps:bodyPr>
                      </wps:wsp>
                      <wps:wsp>
                        <wps:cNvPr id="437" name="Graphic 437"/>
                        <wps:cNvSpPr/>
                        <wps:spPr>
                          <a:xfrm>
                            <a:off x="260156" y="2284459"/>
                            <a:ext cx="4378960" cy="1270"/>
                          </a:xfrm>
                          <a:custGeom>
                            <a:avLst/>
                            <a:gdLst/>
                            <a:ahLst/>
                            <a:cxnLst/>
                            <a:rect l="l" t="t" r="r" b="b"/>
                            <a:pathLst>
                              <a:path w="4378960" h="0">
                                <a:moveTo>
                                  <a:pt x="0" y="0"/>
                                </a:moveTo>
                                <a:lnTo>
                                  <a:pt x="4378794" y="0"/>
                                </a:lnTo>
                              </a:path>
                            </a:pathLst>
                          </a:custGeom>
                          <a:ln w="6350">
                            <a:solidFill>
                              <a:srgbClr val="FFFFFF"/>
                            </a:solidFill>
                            <a:prstDash val="solid"/>
                          </a:ln>
                        </wps:spPr>
                        <wps:bodyPr wrap="square" lIns="0" tIns="0" rIns="0" bIns="0" rtlCol="0">
                          <a:prstTxWarp prst="textNoShape">
                            <a:avLst/>
                          </a:prstTxWarp>
                          <a:noAutofit/>
                        </wps:bodyPr>
                      </wps:wsp>
                      <wps:wsp>
                        <wps:cNvPr id="438" name="Graphic 438"/>
                        <wps:cNvSpPr/>
                        <wps:spPr>
                          <a:xfrm>
                            <a:off x="260156" y="1854807"/>
                            <a:ext cx="4378960" cy="1270"/>
                          </a:xfrm>
                          <a:custGeom>
                            <a:avLst/>
                            <a:gdLst/>
                            <a:ahLst/>
                            <a:cxnLst/>
                            <a:rect l="l" t="t" r="r" b="b"/>
                            <a:pathLst>
                              <a:path w="4378960" h="0">
                                <a:moveTo>
                                  <a:pt x="0" y="0"/>
                                </a:moveTo>
                                <a:lnTo>
                                  <a:pt x="4378794" y="0"/>
                                </a:lnTo>
                              </a:path>
                            </a:pathLst>
                          </a:custGeom>
                          <a:ln w="6350">
                            <a:solidFill>
                              <a:srgbClr val="FFFFFF"/>
                            </a:solidFill>
                            <a:prstDash val="solid"/>
                          </a:ln>
                        </wps:spPr>
                        <wps:bodyPr wrap="square" lIns="0" tIns="0" rIns="0" bIns="0" rtlCol="0">
                          <a:prstTxWarp prst="textNoShape">
                            <a:avLst/>
                          </a:prstTxWarp>
                          <a:noAutofit/>
                        </wps:bodyPr>
                      </wps:wsp>
                      <wps:wsp>
                        <wps:cNvPr id="439" name="Graphic 439"/>
                        <wps:cNvSpPr/>
                        <wps:spPr>
                          <a:xfrm>
                            <a:off x="260156" y="1425155"/>
                            <a:ext cx="4378960" cy="1270"/>
                          </a:xfrm>
                          <a:custGeom>
                            <a:avLst/>
                            <a:gdLst/>
                            <a:ahLst/>
                            <a:cxnLst/>
                            <a:rect l="l" t="t" r="r" b="b"/>
                            <a:pathLst>
                              <a:path w="4378960" h="0">
                                <a:moveTo>
                                  <a:pt x="0" y="0"/>
                                </a:moveTo>
                                <a:lnTo>
                                  <a:pt x="4378794" y="0"/>
                                </a:lnTo>
                              </a:path>
                            </a:pathLst>
                          </a:custGeom>
                          <a:ln w="6350">
                            <a:solidFill>
                              <a:srgbClr val="FFFFFF"/>
                            </a:solidFill>
                            <a:prstDash val="solid"/>
                          </a:ln>
                        </wps:spPr>
                        <wps:bodyPr wrap="square" lIns="0" tIns="0" rIns="0" bIns="0" rtlCol="0">
                          <a:prstTxWarp prst="textNoShape">
                            <a:avLst/>
                          </a:prstTxWarp>
                          <a:noAutofit/>
                        </wps:bodyPr>
                      </wps:wsp>
                      <wps:wsp>
                        <wps:cNvPr id="440" name="Graphic 440"/>
                        <wps:cNvSpPr/>
                        <wps:spPr>
                          <a:xfrm>
                            <a:off x="260156" y="995503"/>
                            <a:ext cx="4378960" cy="1270"/>
                          </a:xfrm>
                          <a:custGeom>
                            <a:avLst/>
                            <a:gdLst/>
                            <a:ahLst/>
                            <a:cxnLst/>
                            <a:rect l="l" t="t" r="r" b="b"/>
                            <a:pathLst>
                              <a:path w="4378960" h="0">
                                <a:moveTo>
                                  <a:pt x="0" y="0"/>
                                </a:moveTo>
                                <a:lnTo>
                                  <a:pt x="4378794" y="0"/>
                                </a:lnTo>
                              </a:path>
                            </a:pathLst>
                          </a:custGeom>
                          <a:ln w="6350">
                            <a:solidFill>
                              <a:srgbClr val="FFFFFF"/>
                            </a:solidFill>
                            <a:prstDash val="solid"/>
                          </a:ln>
                        </wps:spPr>
                        <wps:bodyPr wrap="square" lIns="0" tIns="0" rIns="0" bIns="0" rtlCol="0">
                          <a:prstTxWarp prst="textNoShape">
                            <a:avLst/>
                          </a:prstTxWarp>
                          <a:noAutofit/>
                        </wps:bodyPr>
                      </wps:wsp>
                      <wps:wsp>
                        <wps:cNvPr id="441" name="Graphic 441"/>
                        <wps:cNvSpPr/>
                        <wps:spPr>
                          <a:xfrm>
                            <a:off x="260156" y="565851"/>
                            <a:ext cx="4378960" cy="1270"/>
                          </a:xfrm>
                          <a:custGeom>
                            <a:avLst/>
                            <a:gdLst/>
                            <a:ahLst/>
                            <a:cxnLst/>
                            <a:rect l="l" t="t" r="r" b="b"/>
                            <a:pathLst>
                              <a:path w="4378960" h="0">
                                <a:moveTo>
                                  <a:pt x="0" y="0"/>
                                </a:moveTo>
                                <a:lnTo>
                                  <a:pt x="4378794" y="0"/>
                                </a:lnTo>
                              </a:path>
                            </a:pathLst>
                          </a:custGeom>
                          <a:ln w="6350">
                            <a:solidFill>
                              <a:srgbClr val="FFFFFF"/>
                            </a:solidFill>
                            <a:prstDash val="solid"/>
                          </a:ln>
                        </wps:spPr>
                        <wps:bodyPr wrap="square" lIns="0" tIns="0" rIns="0" bIns="0" rtlCol="0">
                          <a:prstTxWarp prst="textNoShape">
                            <a:avLst/>
                          </a:prstTxWarp>
                          <a:noAutofit/>
                        </wps:bodyPr>
                      </wps:wsp>
                      <wps:wsp>
                        <wps:cNvPr id="442" name="Graphic 442"/>
                        <wps:cNvSpPr/>
                        <wps:spPr>
                          <a:xfrm>
                            <a:off x="381158" y="1954156"/>
                            <a:ext cx="4153535" cy="464820"/>
                          </a:xfrm>
                          <a:custGeom>
                            <a:avLst/>
                            <a:gdLst/>
                            <a:ahLst/>
                            <a:cxnLst/>
                            <a:rect l="l" t="t" r="r" b="b"/>
                            <a:pathLst>
                              <a:path w="4153535" h="464820">
                                <a:moveTo>
                                  <a:pt x="0" y="197091"/>
                                </a:moveTo>
                                <a:lnTo>
                                  <a:pt x="78828" y="298450"/>
                                </a:lnTo>
                                <a:lnTo>
                                  <a:pt x="154851" y="81661"/>
                                </a:lnTo>
                                <a:lnTo>
                                  <a:pt x="230873" y="129514"/>
                                </a:lnTo>
                                <a:lnTo>
                                  <a:pt x="312521" y="106997"/>
                                </a:lnTo>
                                <a:lnTo>
                                  <a:pt x="380098" y="135153"/>
                                </a:lnTo>
                                <a:lnTo>
                                  <a:pt x="461746" y="115443"/>
                                </a:lnTo>
                                <a:lnTo>
                                  <a:pt x="543394" y="123888"/>
                                </a:lnTo>
                                <a:lnTo>
                                  <a:pt x="610971" y="109804"/>
                                </a:lnTo>
                                <a:lnTo>
                                  <a:pt x="692619" y="47866"/>
                                </a:lnTo>
                                <a:lnTo>
                                  <a:pt x="853097" y="84467"/>
                                </a:lnTo>
                                <a:lnTo>
                                  <a:pt x="915047" y="222427"/>
                                </a:lnTo>
                                <a:lnTo>
                                  <a:pt x="996696" y="360387"/>
                                </a:lnTo>
                                <a:lnTo>
                                  <a:pt x="1081163" y="84467"/>
                                </a:lnTo>
                                <a:lnTo>
                                  <a:pt x="1154366" y="197091"/>
                                </a:lnTo>
                                <a:lnTo>
                                  <a:pt x="1236014" y="146418"/>
                                </a:lnTo>
                                <a:lnTo>
                                  <a:pt x="1306398" y="188645"/>
                                </a:lnTo>
                                <a:lnTo>
                                  <a:pt x="1388046" y="149225"/>
                                </a:lnTo>
                                <a:lnTo>
                                  <a:pt x="1458442" y="168935"/>
                                </a:lnTo>
                                <a:lnTo>
                                  <a:pt x="1542897" y="166116"/>
                                </a:lnTo>
                                <a:lnTo>
                                  <a:pt x="1610474" y="92913"/>
                                </a:lnTo>
                                <a:lnTo>
                                  <a:pt x="1694942" y="67576"/>
                                </a:lnTo>
                                <a:lnTo>
                                  <a:pt x="1768144" y="98552"/>
                                </a:lnTo>
                                <a:lnTo>
                                  <a:pt x="1922995" y="374472"/>
                                </a:lnTo>
                                <a:lnTo>
                                  <a:pt x="1999018" y="261848"/>
                                </a:lnTo>
                                <a:lnTo>
                                  <a:pt x="2077847" y="464566"/>
                                </a:lnTo>
                                <a:lnTo>
                                  <a:pt x="2148243" y="332232"/>
                                </a:lnTo>
                                <a:lnTo>
                                  <a:pt x="2229891" y="326605"/>
                                </a:lnTo>
                                <a:lnTo>
                                  <a:pt x="2303094" y="281559"/>
                                </a:lnTo>
                                <a:lnTo>
                                  <a:pt x="2387561" y="287185"/>
                                </a:lnTo>
                                <a:lnTo>
                                  <a:pt x="2469210" y="216801"/>
                                </a:lnTo>
                                <a:lnTo>
                                  <a:pt x="2536774" y="137960"/>
                                </a:lnTo>
                                <a:lnTo>
                                  <a:pt x="2694444" y="81661"/>
                                </a:lnTo>
                                <a:lnTo>
                                  <a:pt x="2778912" y="166116"/>
                                </a:lnTo>
                                <a:lnTo>
                                  <a:pt x="2852115" y="267474"/>
                                </a:lnTo>
                                <a:lnTo>
                                  <a:pt x="2922498" y="25349"/>
                                </a:lnTo>
                                <a:lnTo>
                                  <a:pt x="2998520" y="64757"/>
                                </a:lnTo>
                                <a:lnTo>
                                  <a:pt x="3080169" y="53505"/>
                                </a:lnTo>
                                <a:lnTo>
                                  <a:pt x="3156191" y="84467"/>
                                </a:lnTo>
                                <a:lnTo>
                                  <a:pt x="3232213" y="47866"/>
                                </a:lnTo>
                                <a:lnTo>
                                  <a:pt x="3302596" y="90106"/>
                                </a:lnTo>
                                <a:lnTo>
                                  <a:pt x="3384245" y="90106"/>
                                </a:lnTo>
                                <a:lnTo>
                                  <a:pt x="3465893" y="61950"/>
                                </a:lnTo>
                                <a:lnTo>
                                  <a:pt x="3536289" y="8445"/>
                                </a:lnTo>
                                <a:lnTo>
                                  <a:pt x="3617937" y="0"/>
                                </a:lnTo>
                                <a:lnTo>
                                  <a:pt x="3685501" y="112623"/>
                                </a:lnTo>
                                <a:lnTo>
                                  <a:pt x="3767162" y="236512"/>
                                </a:lnTo>
                                <a:lnTo>
                                  <a:pt x="3845991" y="92913"/>
                                </a:lnTo>
                                <a:lnTo>
                                  <a:pt x="3922014" y="185826"/>
                                </a:lnTo>
                                <a:lnTo>
                                  <a:pt x="4012107" y="180200"/>
                                </a:lnTo>
                                <a:lnTo>
                                  <a:pt x="4153230" y="188645"/>
                                </a:lnTo>
                              </a:path>
                            </a:pathLst>
                          </a:custGeom>
                          <a:ln w="25400">
                            <a:solidFill>
                              <a:srgbClr val="5AA2E2"/>
                            </a:solidFill>
                            <a:prstDash val="solid"/>
                          </a:ln>
                        </wps:spPr>
                        <wps:bodyPr wrap="square" lIns="0" tIns="0" rIns="0" bIns="0" rtlCol="0">
                          <a:prstTxWarp prst="textNoShape">
                            <a:avLst/>
                          </a:prstTxWarp>
                          <a:noAutofit/>
                        </wps:bodyPr>
                      </wps:wsp>
                      <wps:wsp>
                        <wps:cNvPr id="443" name="Graphic 443"/>
                        <wps:cNvSpPr/>
                        <wps:spPr>
                          <a:xfrm>
                            <a:off x="381158" y="698322"/>
                            <a:ext cx="4153535" cy="1113155"/>
                          </a:xfrm>
                          <a:custGeom>
                            <a:avLst/>
                            <a:gdLst/>
                            <a:ahLst/>
                            <a:cxnLst/>
                            <a:rect l="l" t="t" r="r" b="b"/>
                            <a:pathLst>
                              <a:path w="4153535" h="1113155">
                                <a:moveTo>
                                  <a:pt x="0" y="241173"/>
                                </a:moveTo>
                                <a:lnTo>
                                  <a:pt x="78828" y="484390"/>
                                </a:lnTo>
                                <a:lnTo>
                                  <a:pt x="147142" y="184861"/>
                                </a:lnTo>
                                <a:lnTo>
                                  <a:pt x="225983" y="224282"/>
                                </a:lnTo>
                                <a:lnTo>
                                  <a:pt x="299186" y="139814"/>
                                </a:lnTo>
                                <a:lnTo>
                                  <a:pt x="378015" y="173596"/>
                                </a:lnTo>
                                <a:lnTo>
                                  <a:pt x="445592" y="89141"/>
                                </a:lnTo>
                                <a:lnTo>
                                  <a:pt x="530059" y="60985"/>
                                </a:lnTo>
                                <a:lnTo>
                                  <a:pt x="608888" y="145440"/>
                                </a:lnTo>
                                <a:lnTo>
                                  <a:pt x="682091" y="83502"/>
                                </a:lnTo>
                                <a:lnTo>
                                  <a:pt x="766559" y="145440"/>
                                </a:lnTo>
                                <a:lnTo>
                                  <a:pt x="850290" y="95846"/>
                                </a:lnTo>
                                <a:lnTo>
                                  <a:pt x="931938" y="253517"/>
                                </a:lnTo>
                                <a:lnTo>
                                  <a:pt x="1002322" y="459054"/>
                                </a:lnTo>
                                <a:lnTo>
                                  <a:pt x="1081849" y="113309"/>
                                </a:lnTo>
                                <a:lnTo>
                                  <a:pt x="1150645" y="180086"/>
                                </a:lnTo>
                                <a:lnTo>
                                  <a:pt x="1229550" y="119380"/>
                                </a:lnTo>
                                <a:lnTo>
                                  <a:pt x="1310474" y="133540"/>
                                </a:lnTo>
                                <a:lnTo>
                                  <a:pt x="1387360" y="0"/>
                                </a:lnTo>
                                <a:lnTo>
                                  <a:pt x="1458175" y="8102"/>
                                </a:lnTo>
                                <a:lnTo>
                                  <a:pt x="1537093" y="105219"/>
                                </a:lnTo>
                                <a:lnTo>
                                  <a:pt x="1615998" y="32385"/>
                                </a:lnTo>
                                <a:lnTo>
                                  <a:pt x="1692884" y="87007"/>
                                </a:lnTo>
                                <a:lnTo>
                                  <a:pt x="1771789" y="32385"/>
                                </a:lnTo>
                                <a:lnTo>
                                  <a:pt x="1861058" y="281673"/>
                                </a:lnTo>
                                <a:lnTo>
                                  <a:pt x="1923542" y="570572"/>
                                </a:lnTo>
                                <a:lnTo>
                                  <a:pt x="2002447" y="617118"/>
                                </a:lnTo>
                                <a:lnTo>
                                  <a:pt x="2079332" y="1112824"/>
                                </a:lnTo>
                                <a:lnTo>
                                  <a:pt x="2152180" y="819442"/>
                                </a:lnTo>
                                <a:lnTo>
                                  <a:pt x="2231085" y="829564"/>
                                </a:lnTo>
                                <a:lnTo>
                                  <a:pt x="2307971" y="720305"/>
                                </a:lnTo>
                                <a:lnTo>
                                  <a:pt x="2386876" y="683882"/>
                                </a:lnTo>
                                <a:lnTo>
                                  <a:pt x="2459723" y="669721"/>
                                </a:lnTo>
                                <a:lnTo>
                                  <a:pt x="2538628" y="515950"/>
                                </a:lnTo>
                                <a:lnTo>
                                  <a:pt x="2613494" y="481558"/>
                                </a:lnTo>
                                <a:lnTo>
                                  <a:pt x="2696451" y="386461"/>
                                </a:lnTo>
                                <a:lnTo>
                                  <a:pt x="2775356" y="637349"/>
                                </a:lnTo>
                                <a:lnTo>
                                  <a:pt x="2848190" y="766838"/>
                                </a:lnTo>
                                <a:lnTo>
                                  <a:pt x="2927108" y="384429"/>
                                </a:lnTo>
                                <a:lnTo>
                                  <a:pt x="2997923" y="432993"/>
                                </a:lnTo>
                                <a:lnTo>
                                  <a:pt x="3074809" y="406692"/>
                                </a:lnTo>
                                <a:lnTo>
                                  <a:pt x="3151695" y="418833"/>
                                </a:lnTo>
                                <a:lnTo>
                                  <a:pt x="3236671" y="258991"/>
                                </a:lnTo>
                                <a:lnTo>
                                  <a:pt x="3301415" y="319684"/>
                                </a:lnTo>
                                <a:lnTo>
                                  <a:pt x="3386391" y="323735"/>
                                </a:lnTo>
                                <a:lnTo>
                                  <a:pt x="3461258" y="208407"/>
                                </a:lnTo>
                                <a:lnTo>
                                  <a:pt x="3540163" y="234708"/>
                                </a:lnTo>
                                <a:lnTo>
                                  <a:pt x="3619068" y="151752"/>
                                </a:lnTo>
                                <a:lnTo>
                                  <a:pt x="3689896" y="426923"/>
                                </a:lnTo>
                                <a:lnTo>
                                  <a:pt x="3769969" y="599821"/>
                                </a:lnTo>
                                <a:lnTo>
                                  <a:pt x="3841635" y="360159"/>
                                </a:lnTo>
                                <a:lnTo>
                                  <a:pt x="3924592" y="432993"/>
                                </a:lnTo>
                                <a:lnTo>
                                  <a:pt x="3995407" y="339915"/>
                                </a:lnTo>
                                <a:lnTo>
                                  <a:pt x="4070273" y="291363"/>
                                </a:lnTo>
                                <a:lnTo>
                                  <a:pt x="4153230" y="196265"/>
                                </a:lnTo>
                              </a:path>
                            </a:pathLst>
                          </a:custGeom>
                          <a:ln w="25400">
                            <a:solidFill>
                              <a:srgbClr val="008FDD"/>
                            </a:solidFill>
                            <a:prstDash val="solid"/>
                          </a:ln>
                        </wps:spPr>
                        <wps:bodyPr wrap="square" lIns="0" tIns="0" rIns="0" bIns="0" rtlCol="0">
                          <a:prstTxWarp prst="textNoShape">
                            <a:avLst/>
                          </a:prstTxWarp>
                          <a:noAutofit/>
                        </wps:bodyPr>
                      </wps:wsp>
                      <wps:wsp>
                        <wps:cNvPr id="444" name="Graphic 444"/>
                        <wps:cNvSpPr/>
                        <wps:spPr>
                          <a:xfrm>
                            <a:off x="381158" y="740679"/>
                            <a:ext cx="4153535" cy="1242060"/>
                          </a:xfrm>
                          <a:custGeom>
                            <a:avLst/>
                            <a:gdLst/>
                            <a:ahLst/>
                            <a:cxnLst/>
                            <a:rect l="l" t="t" r="r" b="b"/>
                            <a:pathLst>
                              <a:path w="4153535" h="1242060">
                                <a:moveTo>
                                  <a:pt x="0" y="1165618"/>
                                </a:moveTo>
                                <a:lnTo>
                                  <a:pt x="73202" y="1154353"/>
                                </a:lnTo>
                                <a:lnTo>
                                  <a:pt x="146405" y="1162799"/>
                                </a:lnTo>
                                <a:lnTo>
                                  <a:pt x="225602" y="1143088"/>
                                </a:lnTo>
                                <a:lnTo>
                                  <a:pt x="295630" y="1171244"/>
                                </a:lnTo>
                                <a:lnTo>
                                  <a:pt x="391350" y="1157173"/>
                                </a:lnTo>
                                <a:lnTo>
                                  <a:pt x="467372" y="1159992"/>
                                </a:lnTo>
                                <a:lnTo>
                                  <a:pt x="543394" y="1171244"/>
                                </a:lnTo>
                                <a:lnTo>
                                  <a:pt x="613778" y="1137462"/>
                                </a:lnTo>
                                <a:lnTo>
                                  <a:pt x="692619" y="1123391"/>
                                </a:lnTo>
                                <a:lnTo>
                                  <a:pt x="765822" y="1086789"/>
                                </a:lnTo>
                                <a:lnTo>
                                  <a:pt x="839025" y="1112126"/>
                                </a:lnTo>
                                <a:lnTo>
                                  <a:pt x="918933" y="1180769"/>
                                </a:lnTo>
                                <a:lnTo>
                                  <a:pt x="996696" y="1213485"/>
                                </a:lnTo>
                                <a:lnTo>
                                  <a:pt x="1151547" y="1196594"/>
                                </a:lnTo>
                                <a:lnTo>
                                  <a:pt x="1227569" y="1210665"/>
                                </a:lnTo>
                                <a:lnTo>
                                  <a:pt x="1326108" y="1219111"/>
                                </a:lnTo>
                                <a:lnTo>
                                  <a:pt x="1449984" y="1236002"/>
                                </a:lnTo>
                                <a:lnTo>
                                  <a:pt x="1534452" y="1238821"/>
                                </a:lnTo>
                                <a:lnTo>
                                  <a:pt x="1627365" y="1210665"/>
                                </a:lnTo>
                                <a:lnTo>
                                  <a:pt x="1692478" y="1179334"/>
                                </a:lnTo>
                                <a:lnTo>
                                  <a:pt x="1838528" y="1224749"/>
                                </a:lnTo>
                                <a:lnTo>
                                  <a:pt x="1923719" y="1241640"/>
                                </a:lnTo>
                                <a:lnTo>
                                  <a:pt x="1996198" y="1038923"/>
                                </a:lnTo>
                                <a:lnTo>
                                  <a:pt x="2075027" y="368833"/>
                                </a:lnTo>
                                <a:lnTo>
                                  <a:pt x="2153869" y="284365"/>
                                </a:lnTo>
                                <a:lnTo>
                                  <a:pt x="2229891" y="636308"/>
                                </a:lnTo>
                                <a:lnTo>
                                  <a:pt x="2303094" y="754557"/>
                                </a:lnTo>
                                <a:lnTo>
                                  <a:pt x="2455125" y="763003"/>
                                </a:lnTo>
                                <a:lnTo>
                                  <a:pt x="2539593" y="706691"/>
                                </a:lnTo>
                                <a:lnTo>
                                  <a:pt x="2615615" y="557466"/>
                                </a:lnTo>
                                <a:lnTo>
                                  <a:pt x="2691625" y="565912"/>
                                </a:lnTo>
                                <a:lnTo>
                                  <a:pt x="2771546" y="627849"/>
                                </a:lnTo>
                                <a:lnTo>
                                  <a:pt x="2849295" y="261835"/>
                                </a:lnTo>
                                <a:lnTo>
                                  <a:pt x="2914053" y="419506"/>
                                </a:lnTo>
                                <a:lnTo>
                                  <a:pt x="2995701" y="467372"/>
                                </a:lnTo>
                                <a:lnTo>
                                  <a:pt x="3077362" y="346303"/>
                                </a:lnTo>
                                <a:lnTo>
                                  <a:pt x="3142119" y="419506"/>
                                </a:lnTo>
                                <a:lnTo>
                                  <a:pt x="3305416" y="389255"/>
                                </a:lnTo>
                                <a:lnTo>
                                  <a:pt x="3378619" y="386435"/>
                                </a:lnTo>
                                <a:lnTo>
                                  <a:pt x="3459911" y="312521"/>
                                </a:lnTo>
                                <a:lnTo>
                                  <a:pt x="3540175" y="137960"/>
                                </a:lnTo>
                                <a:lnTo>
                                  <a:pt x="3615842" y="0"/>
                                </a:lnTo>
                                <a:lnTo>
                                  <a:pt x="3691140" y="191452"/>
                                </a:lnTo>
                                <a:lnTo>
                                  <a:pt x="3767162" y="121069"/>
                                </a:lnTo>
                                <a:lnTo>
                                  <a:pt x="3837546" y="213969"/>
                                </a:lnTo>
                                <a:lnTo>
                                  <a:pt x="3924820" y="143586"/>
                                </a:lnTo>
                                <a:lnTo>
                                  <a:pt x="4009288" y="228053"/>
                                </a:lnTo>
                                <a:lnTo>
                                  <a:pt x="4068419" y="306882"/>
                                </a:lnTo>
                                <a:lnTo>
                                  <a:pt x="4153230" y="464553"/>
                                </a:lnTo>
                              </a:path>
                            </a:pathLst>
                          </a:custGeom>
                          <a:ln w="25400">
                            <a:solidFill>
                              <a:srgbClr val="231F20"/>
                            </a:solidFill>
                            <a:prstDash val="solid"/>
                          </a:ln>
                        </wps:spPr>
                        <wps:bodyPr wrap="square" lIns="0" tIns="0" rIns="0" bIns="0" rtlCol="0">
                          <a:prstTxWarp prst="textNoShape">
                            <a:avLst/>
                          </a:prstTxWarp>
                          <a:noAutofit/>
                        </wps:bodyPr>
                      </wps:wsp>
                      <wps:wsp>
                        <wps:cNvPr id="445" name="Textbox 445"/>
                        <wps:cNvSpPr txBox="1"/>
                        <wps:spPr>
                          <a:xfrm>
                            <a:off x="76380" y="68503"/>
                            <a:ext cx="4696460" cy="558800"/>
                          </a:xfrm>
                          <a:prstGeom prst="rect">
                            <a:avLst/>
                          </a:prstGeom>
                        </wps:spPr>
                        <wps:txbx>
                          <w:txbxContent>
                            <w:p>
                              <w:pPr>
                                <w:spacing w:before="3"/>
                                <w:ind w:left="0" w:right="0" w:firstLine="0"/>
                                <w:jc w:val="left"/>
                                <w:rPr>
                                  <w:rFonts w:ascii="Arial" w:hAnsi="Arial"/>
                                  <w:b/>
                                  <w:sz w:val="16"/>
                                </w:rPr>
                              </w:pPr>
                              <w:r>
                                <w:rPr>
                                  <w:rFonts w:ascii="Arial" w:hAnsi="Arial"/>
                                  <w:color w:val="FFFFFF"/>
                                  <w:sz w:val="16"/>
                                </w:rPr>
                                <w:t>Figure</w:t>
                              </w:r>
                              <w:r>
                                <w:rPr>
                                  <w:rFonts w:ascii="Arial" w:hAnsi="Arial"/>
                                  <w:color w:val="FFFFFF"/>
                                  <w:spacing w:val="10"/>
                                  <w:sz w:val="16"/>
                                </w:rPr>
                                <w:t> </w:t>
                              </w:r>
                              <w:r>
                                <w:rPr>
                                  <w:rFonts w:ascii="Arial" w:hAnsi="Arial"/>
                                  <w:b/>
                                  <w:color w:val="FFFFFF"/>
                                  <w:sz w:val="16"/>
                                </w:rPr>
                                <w:t>1.2</w:t>
                              </w:r>
                              <w:r>
                                <w:rPr>
                                  <w:rFonts w:ascii="Arial" w:hAnsi="Arial"/>
                                  <w:b/>
                                  <w:color w:val="FFFFFF"/>
                                  <w:spacing w:val="61"/>
                                  <w:sz w:val="16"/>
                                </w:rPr>
                                <w:t>  </w:t>
                              </w:r>
                              <w:r>
                                <w:rPr>
                                  <w:rFonts w:ascii="Arial" w:hAnsi="Arial"/>
                                  <w:b/>
                                  <w:color w:val="FFFFFF"/>
                                  <w:sz w:val="16"/>
                                </w:rPr>
                                <w:t>Global</w:t>
                              </w:r>
                              <w:r>
                                <w:rPr>
                                  <w:rFonts w:ascii="Arial" w:hAnsi="Arial"/>
                                  <w:b/>
                                  <w:color w:val="FFFFFF"/>
                                  <w:spacing w:val="11"/>
                                  <w:sz w:val="16"/>
                                </w:rPr>
                                <w:t> </w:t>
                              </w:r>
                              <w:r>
                                <w:rPr>
                                  <w:rFonts w:ascii="Arial" w:hAnsi="Arial"/>
                                  <w:b/>
                                  <w:color w:val="FFFFFF"/>
                                  <w:sz w:val="16"/>
                                </w:rPr>
                                <w:t>air</w:t>
                              </w:r>
                              <w:r>
                                <w:rPr>
                                  <w:rFonts w:ascii="Arial" w:hAnsi="Arial"/>
                                  <w:b/>
                                  <w:color w:val="FFFFFF"/>
                                  <w:spacing w:val="11"/>
                                  <w:sz w:val="16"/>
                                </w:rPr>
                                <w:t> </w:t>
                              </w:r>
                              <w:r>
                                <w:rPr>
                                  <w:rFonts w:ascii="Arial" w:hAnsi="Arial"/>
                                  <w:b/>
                                  <w:color w:val="FFFFFF"/>
                                  <w:sz w:val="16"/>
                                </w:rPr>
                                <w:t>freight</w:t>
                              </w:r>
                              <w:r>
                                <w:rPr>
                                  <w:rFonts w:ascii="Arial" w:hAnsi="Arial"/>
                                  <w:b/>
                                  <w:color w:val="FFFFFF"/>
                                  <w:spacing w:val="10"/>
                                  <w:sz w:val="16"/>
                                </w:rPr>
                                <w:t> </w:t>
                              </w:r>
                              <w:r>
                                <w:rPr>
                                  <w:rFonts w:ascii="Arial" w:hAnsi="Arial"/>
                                  <w:b/>
                                  <w:color w:val="FFFFFF"/>
                                  <w:sz w:val="16"/>
                                </w:rPr>
                                <w:t>supply,</w:t>
                              </w:r>
                              <w:r>
                                <w:rPr>
                                  <w:rFonts w:ascii="Arial" w:hAnsi="Arial"/>
                                  <w:b/>
                                  <w:color w:val="FFFFFF"/>
                                  <w:spacing w:val="11"/>
                                  <w:sz w:val="16"/>
                                </w:rPr>
                                <w:t> </w:t>
                              </w:r>
                              <w:r>
                                <w:rPr>
                                  <w:rFonts w:ascii="Arial" w:hAnsi="Arial"/>
                                  <w:b/>
                                  <w:color w:val="FFFFFF"/>
                                  <w:sz w:val="16"/>
                                </w:rPr>
                                <w:t>demand,</w:t>
                              </w:r>
                              <w:r>
                                <w:rPr>
                                  <w:rFonts w:ascii="Arial" w:hAnsi="Arial"/>
                                  <w:b/>
                                  <w:color w:val="FFFFFF"/>
                                  <w:spacing w:val="11"/>
                                  <w:sz w:val="16"/>
                                </w:rPr>
                                <w:t> </w:t>
                              </w:r>
                              <w:r>
                                <w:rPr>
                                  <w:rFonts w:ascii="Arial" w:hAnsi="Arial"/>
                                  <w:b/>
                                  <w:color w:val="FFFFFF"/>
                                  <w:sz w:val="16"/>
                                </w:rPr>
                                <w:t>and</w:t>
                              </w:r>
                              <w:r>
                                <w:rPr>
                                  <w:rFonts w:ascii="Arial" w:hAnsi="Arial"/>
                                  <w:b/>
                                  <w:color w:val="FFFFFF"/>
                                  <w:spacing w:val="10"/>
                                  <w:sz w:val="16"/>
                                </w:rPr>
                                <w:t> </w:t>
                              </w:r>
                              <w:r>
                                <w:rPr>
                                  <w:rFonts w:ascii="Arial" w:hAnsi="Arial"/>
                                  <w:b/>
                                  <w:color w:val="FFFFFF"/>
                                  <w:sz w:val="16"/>
                                </w:rPr>
                                <w:t>prices,</w:t>
                              </w:r>
                              <w:r>
                                <w:rPr>
                                  <w:rFonts w:ascii="Arial" w:hAnsi="Arial"/>
                                  <w:b/>
                                  <w:color w:val="FFFFFF"/>
                                  <w:spacing w:val="11"/>
                                  <w:sz w:val="16"/>
                                </w:rPr>
                                <w:t> </w:t>
                              </w:r>
                              <w:r>
                                <w:rPr>
                                  <w:rFonts w:ascii="Arial" w:hAnsi="Arial"/>
                                  <w:b/>
                                  <w:color w:val="FFFFFF"/>
                                  <w:sz w:val="16"/>
                                </w:rPr>
                                <w:t>January</w:t>
                              </w:r>
                              <w:r>
                                <w:rPr>
                                  <w:rFonts w:ascii="Arial" w:hAnsi="Arial"/>
                                  <w:b/>
                                  <w:color w:val="FFFFFF"/>
                                  <w:spacing w:val="11"/>
                                  <w:sz w:val="16"/>
                                </w:rPr>
                                <w:t> </w:t>
                              </w:r>
                              <w:r>
                                <w:rPr>
                                  <w:rFonts w:ascii="Arial" w:hAnsi="Arial"/>
                                  <w:b/>
                                  <w:color w:val="FFFFFF"/>
                                  <w:sz w:val="16"/>
                                </w:rPr>
                                <w:t>2018–July</w:t>
                              </w:r>
                              <w:r>
                                <w:rPr>
                                  <w:rFonts w:ascii="Arial" w:hAnsi="Arial"/>
                                  <w:b/>
                                  <w:color w:val="FFFFFF"/>
                                  <w:spacing w:val="10"/>
                                  <w:sz w:val="16"/>
                                </w:rPr>
                                <w:t> </w:t>
                              </w:r>
                              <w:r>
                                <w:rPr>
                                  <w:rFonts w:ascii="Arial" w:hAnsi="Arial"/>
                                  <w:b/>
                                  <w:color w:val="FFFFFF"/>
                                  <w:spacing w:val="-4"/>
                                  <w:sz w:val="16"/>
                                </w:rPr>
                                <w:t>2022</w:t>
                              </w:r>
                            </w:p>
                            <w:p>
                              <w:pPr>
                                <w:spacing w:line="240" w:lineRule="auto" w:before="89"/>
                                <w:rPr>
                                  <w:rFonts w:ascii="Arial"/>
                                  <w:b/>
                                  <w:sz w:val="16"/>
                                </w:rPr>
                              </w:pPr>
                            </w:p>
                            <w:p>
                              <w:pPr>
                                <w:tabs>
                                  <w:tab w:pos="6479" w:val="left" w:leader="none"/>
                                </w:tabs>
                                <w:spacing w:before="0"/>
                                <w:ind w:left="0" w:right="0" w:firstLine="0"/>
                                <w:jc w:val="left"/>
                                <w:rPr>
                                  <w:rFonts w:ascii="Arial"/>
                                  <w:sz w:val="14"/>
                                </w:rPr>
                              </w:pPr>
                              <w:r>
                                <w:rPr>
                                  <w:rFonts w:ascii="Arial"/>
                                  <w:color w:val="231F20"/>
                                  <w:w w:val="75"/>
                                  <w:sz w:val="14"/>
                                </w:rPr>
                                <w:t>Demand</w:t>
                              </w:r>
                              <w:r>
                                <w:rPr>
                                  <w:rFonts w:ascii="Arial"/>
                                  <w:color w:val="231F20"/>
                                  <w:spacing w:val="7"/>
                                  <w:sz w:val="14"/>
                                </w:rPr>
                                <w:t> </w:t>
                              </w:r>
                              <w:r>
                                <w:rPr>
                                  <w:rFonts w:ascii="Arial"/>
                                  <w:color w:val="231F20"/>
                                  <w:w w:val="75"/>
                                  <w:sz w:val="14"/>
                                </w:rPr>
                                <w:t>or</w:t>
                              </w:r>
                              <w:r>
                                <w:rPr>
                                  <w:rFonts w:ascii="Arial"/>
                                  <w:color w:val="231F20"/>
                                  <w:spacing w:val="7"/>
                                  <w:sz w:val="14"/>
                                </w:rPr>
                                <w:t> </w:t>
                              </w:r>
                              <w:r>
                                <w:rPr>
                                  <w:rFonts w:ascii="Arial"/>
                                  <w:color w:val="231F20"/>
                                  <w:w w:val="75"/>
                                  <w:sz w:val="14"/>
                                </w:rPr>
                                <w:t>supply</w:t>
                              </w:r>
                              <w:r>
                                <w:rPr>
                                  <w:rFonts w:ascii="Arial"/>
                                  <w:color w:val="231F20"/>
                                  <w:spacing w:val="8"/>
                                  <w:sz w:val="14"/>
                                </w:rPr>
                                <w:t> </w:t>
                              </w:r>
                              <w:r>
                                <w:rPr>
                                  <w:rFonts w:ascii="Arial"/>
                                  <w:color w:val="231F20"/>
                                  <w:w w:val="75"/>
                                  <w:sz w:val="14"/>
                                </w:rPr>
                                <w:t>(billions</w:t>
                              </w:r>
                              <w:r>
                                <w:rPr>
                                  <w:rFonts w:ascii="Arial"/>
                                  <w:color w:val="231F20"/>
                                  <w:spacing w:val="7"/>
                                  <w:sz w:val="14"/>
                                </w:rPr>
                                <w:t> </w:t>
                              </w:r>
                              <w:r>
                                <w:rPr>
                                  <w:rFonts w:ascii="Arial"/>
                                  <w:color w:val="231F20"/>
                                  <w:w w:val="75"/>
                                  <w:sz w:val="14"/>
                                </w:rPr>
                                <w:t>of</w:t>
                              </w:r>
                              <w:r>
                                <w:rPr>
                                  <w:rFonts w:ascii="Arial"/>
                                  <w:color w:val="231F20"/>
                                  <w:spacing w:val="7"/>
                                  <w:sz w:val="14"/>
                                </w:rPr>
                                <w:t> </w:t>
                              </w:r>
                              <w:r>
                                <w:rPr>
                                  <w:rFonts w:ascii="Arial"/>
                                  <w:color w:val="231F20"/>
                                  <w:w w:val="75"/>
                                  <w:sz w:val="14"/>
                                </w:rPr>
                                <w:t>cargo</w:t>
                              </w:r>
                              <w:r>
                                <w:rPr>
                                  <w:rFonts w:ascii="Arial"/>
                                  <w:color w:val="231F20"/>
                                  <w:spacing w:val="8"/>
                                  <w:sz w:val="14"/>
                                </w:rPr>
                                <w:t> </w:t>
                              </w:r>
                              <w:r>
                                <w:rPr>
                                  <w:rFonts w:ascii="Arial"/>
                                  <w:color w:val="231F20"/>
                                  <w:w w:val="75"/>
                                  <w:sz w:val="14"/>
                                </w:rPr>
                                <w:t>ton-</w:t>
                              </w:r>
                              <w:r>
                                <w:rPr>
                                  <w:rFonts w:ascii="Arial"/>
                                  <w:color w:val="231F20"/>
                                  <w:spacing w:val="-5"/>
                                  <w:w w:val="75"/>
                                  <w:sz w:val="14"/>
                                </w:rPr>
                                <w:t>km)</w:t>
                              </w:r>
                              <w:r>
                                <w:rPr>
                                  <w:rFonts w:ascii="Arial"/>
                                  <w:color w:val="231F20"/>
                                  <w:sz w:val="14"/>
                                </w:rPr>
                                <w:tab/>
                              </w:r>
                              <w:r>
                                <w:rPr>
                                  <w:rFonts w:ascii="Arial"/>
                                  <w:color w:val="231F20"/>
                                  <w:w w:val="75"/>
                                  <w:sz w:val="14"/>
                                </w:rPr>
                                <w:t>Price</w:t>
                              </w:r>
                              <w:r>
                                <w:rPr>
                                  <w:rFonts w:ascii="Arial"/>
                                  <w:color w:val="231F20"/>
                                  <w:spacing w:val="1"/>
                                  <w:sz w:val="14"/>
                                </w:rPr>
                                <w:t> </w:t>
                              </w:r>
                              <w:r>
                                <w:rPr>
                                  <w:rFonts w:ascii="Arial"/>
                                  <w:color w:val="231F20"/>
                                  <w:w w:val="75"/>
                                  <w:sz w:val="14"/>
                                </w:rPr>
                                <w:t>per</w:t>
                              </w:r>
                              <w:r>
                                <w:rPr>
                                  <w:rFonts w:ascii="Arial"/>
                                  <w:color w:val="231F20"/>
                                  <w:spacing w:val="1"/>
                                  <w:sz w:val="14"/>
                                </w:rPr>
                                <w:t> </w:t>
                              </w:r>
                              <w:r>
                                <w:rPr>
                                  <w:rFonts w:ascii="Arial"/>
                                  <w:color w:val="231F20"/>
                                  <w:w w:val="75"/>
                                  <w:sz w:val="14"/>
                                </w:rPr>
                                <w:t>kg</w:t>
                              </w:r>
                              <w:r>
                                <w:rPr>
                                  <w:rFonts w:ascii="Arial"/>
                                  <w:color w:val="231F20"/>
                                  <w:spacing w:val="1"/>
                                  <w:sz w:val="14"/>
                                </w:rPr>
                                <w:t> </w:t>
                              </w:r>
                              <w:r>
                                <w:rPr>
                                  <w:rFonts w:ascii="Arial"/>
                                  <w:color w:val="231F20"/>
                                  <w:spacing w:val="-2"/>
                                  <w:w w:val="75"/>
                                  <w:sz w:val="14"/>
                                </w:rPr>
                                <w:t>(US$)</w:t>
                              </w:r>
                            </w:p>
                            <w:p>
                              <w:pPr>
                                <w:tabs>
                                  <w:tab w:pos="7295" w:val="left" w:leader="none"/>
                                </w:tabs>
                                <w:spacing w:line="160" w:lineRule="exact" w:before="98"/>
                                <w:ind w:left="47" w:right="0" w:firstLine="0"/>
                                <w:jc w:val="left"/>
                                <w:rPr>
                                  <w:rFonts w:ascii="Arial"/>
                                  <w:sz w:val="14"/>
                                </w:rPr>
                              </w:pPr>
                              <w:r>
                                <w:rPr>
                                  <w:rFonts w:ascii="Arial"/>
                                  <w:color w:val="231F20"/>
                                  <w:spacing w:val="-5"/>
                                  <w:sz w:val="14"/>
                                </w:rPr>
                                <w:t>50</w:t>
                              </w:r>
                              <w:r>
                                <w:rPr>
                                  <w:rFonts w:ascii="Arial"/>
                                  <w:color w:val="231F20"/>
                                  <w:sz w:val="14"/>
                                </w:rPr>
                                <w:tab/>
                              </w:r>
                              <w:r>
                                <w:rPr>
                                  <w:rFonts w:ascii="Arial"/>
                                  <w:color w:val="231F20"/>
                                  <w:spacing w:val="-10"/>
                                  <w:sz w:val="14"/>
                                </w:rPr>
                                <w:t>5</w:t>
                              </w:r>
                            </w:p>
                          </w:txbxContent>
                        </wps:txbx>
                        <wps:bodyPr wrap="square" lIns="0" tIns="0" rIns="0" bIns="0" rtlCol="0">
                          <a:noAutofit/>
                        </wps:bodyPr>
                      </wps:wsp>
                      <wps:wsp>
                        <wps:cNvPr id="446" name="Textbox 446"/>
                        <wps:cNvSpPr txBox="1"/>
                        <wps:spPr>
                          <a:xfrm>
                            <a:off x="106404" y="956028"/>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40</w:t>
                              </w:r>
                            </w:p>
                          </w:txbxContent>
                        </wps:txbx>
                        <wps:bodyPr wrap="square" lIns="0" tIns="0" rIns="0" bIns="0" rtlCol="0">
                          <a:noAutofit/>
                        </wps:bodyPr>
                      </wps:wsp>
                      <wps:wsp>
                        <wps:cNvPr id="447" name="Textbox 447"/>
                        <wps:cNvSpPr txBox="1"/>
                        <wps:spPr>
                          <a:xfrm>
                            <a:off x="4709250" y="956028"/>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4</w:t>
                              </w:r>
                            </w:p>
                          </w:txbxContent>
                        </wps:txbx>
                        <wps:bodyPr wrap="square" lIns="0" tIns="0" rIns="0" bIns="0" rtlCol="0">
                          <a:noAutofit/>
                        </wps:bodyPr>
                      </wps:wsp>
                      <wps:wsp>
                        <wps:cNvPr id="448" name="Textbox 448"/>
                        <wps:cNvSpPr txBox="1"/>
                        <wps:spPr>
                          <a:xfrm>
                            <a:off x="106404" y="1385681"/>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30</w:t>
                              </w:r>
                            </w:p>
                          </w:txbxContent>
                        </wps:txbx>
                        <wps:bodyPr wrap="square" lIns="0" tIns="0" rIns="0" bIns="0" rtlCol="0">
                          <a:noAutofit/>
                        </wps:bodyPr>
                      </wps:wsp>
                      <wps:wsp>
                        <wps:cNvPr id="449" name="Textbox 449"/>
                        <wps:cNvSpPr txBox="1"/>
                        <wps:spPr>
                          <a:xfrm>
                            <a:off x="4709250" y="1385681"/>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3</w:t>
                              </w:r>
                            </w:p>
                          </w:txbxContent>
                        </wps:txbx>
                        <wps:bodyPr wrap="square" lIns="0" tIns="0" rIns="0" bIns="0" rtlCol="0">
                          <a:noAutofit/>
                        </wps:bodyPr>
                      </wps:wsp>
                      <wps:wsp>
                        <wps:cNvPr id="450" name="Textbox 450"/>
                        <wps:cNvSpPr txBox="1"/>
                        <wps:spPr>
                          <a:xfrm>
                            <a:off x="106404" y="1815335"/>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20</w:t>
                              </w:r>
                            </w:p>
                          </w:txbxContent>
                        </wps:txbx>
                        <wps:bodyPr wrap="square" lIns="0" tIns="0" rIns="0" bIns="0" rtlCol="0">
                          <a:noAutofit/>
                        </wps:bodyPr>
                      </wps:wsp>
                      <wps:wsp>
                        <wps:cNvPr id="451" name="Textbox 451"/>
                        <wps:cNvSpPr txBox="1"/>
                        <wps:spPr>
                          <a:xfrm>
                            <a:off x="4709250" y="1815335"/>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2</w:t>
                              </w:r>
                            </w:p>
                          </w:txbxContent>
                        </wps:txbx>
                        <wps:bodyPr wrap="square" lIns="0" tIns="0" rIns="0" bIns="0" rtlCol="0">
                          <a:noAutofit/>
                        </wps:bodyPr>
                      </wps:wsp>
                      <wps:wsp>
                        <wps:cNvPr id="452" name="Textbox 452"/>
                        <wps:cNvSpPr txBox="1"/>
                        <wps:spPr>
                          <a:xfrm>
                            <a:off x="106404" y="22449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10</w:t>
                              </w:r>
                            </w:p>
                          </w:txbxContent>
                        </wps:txbx>
                        <wps:bodyPr wrap="square" lIns="0" tIns="0" rIns="0" bIns="0" rtlCol="0">
                          <a:noAutofit/>
                        </wps:bodyPr>
                      </wps:wsp>
                      <wps:wsp>
                        <wps:cNvPr id="453" name="Textbox 453"/>
                        <wps:cNvSpPr txBox="1"/>
                        <wps:spPr>
                          <a:xfrm>
                            <a:off x="4709250" y="2244989"/>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1</w:t>
                              </w:r>
                            </w:p>
                          </w:txbxContent>
                        </wps:txbx>
                        <wps:bodyPr wrap="square" lIns="0" tIns="0" rIns="0" bIns="0" rtlCol="0">
                          <a:noAutofit/>
                        </wps:bodyPr>
                      </wps:wsp>
                      <wps:wsp>
                        <wps:cNvPr id="454" name="Textbox 454"/>
                        <wps:cNvSpPr txBox="1"/>
                        <wps:spPr>
                          <a:xfrm>
                            <a:off x="149076" y="2674642"/>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0</w:t>
                              </w:r>
                            </w:p>
                          </w:txbxContent>
                        </wps:txbx>
                        <wps:bodyPr wrap="square" lIns="0" tIns="0" rIns="0" bIns="0" rtlCol="0">
                          <a:noAutofit/>
                        </wps:bodyPr>
                      </wps:wsp>
                      <wps:wsp>
                        <wps:cNvPr id="455" name="Textbox 455"/>
                        <wps:cNvSpPr txBox="1"/>
                        <wps:spPr>
                          <a:xfrm>
                            <a:off x="4709250" y="2674642"/>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0</w:t>
                              </w:r>
                            </w:p>
                          </w:txbxContent>
                        </wps:txbx>
                        <wps:bodyPr wrap="square" lIns="0" tIns="0" rIns="0" bIns="0" rtlCol="0">
                          <a:noAutofit/>
                        </wps:bodyPr>
                      </wps:wsp>
                      <wps:wsp>
                        <wps:cNvPr id="456" name="Textbox 456"/>
                        <wps:cNvSpPr txBox="1"/>
                        <wps:spPr>
                          <a:xfrm>
                            <a:off x="76385" y="2751165"/>
                            <a:ext cx="4525645" cy="407670"/>
                          </a:xfrm>
                          <a:prstGeom prst="rect">
                            <a:avLst/>
                          </a:prstGeom>
                        </wps:spPr>
                        <wps:txbx>
                          <w:txbxContent>
                            <w:p>
                              <w:pPr>
                                <w:tabs>
                                  <w:tab w:pos="1787" w:val="left" w:leader="none"/>
                                  <w:tab w:pos="3239" w:val="left" w:leader="none"/>
                                  <w:tab w:pos="4691" w:val="left" w:leader="none"/>
                                  <w:tab w:pos="6412" w:val="right" w:leader="none"/>
                                </w:tabs>
                                <w:spacing w:before="0"/>
                                <w:ind w:left="336" w:right="22" w:firstLine="30"/>
                                <w:jc w:val="left"/>
                                <w:rPr>
                                  <w:rFonts w:ascii="Arial"/>
                                  <w:sz w:val="14"/>
                                </w:rPr>
                              </w:pPr>
                              <w:r>
                                <w:rPr>
                                  <w:rFonts w:ascii="Arial"/>
                                  <w:color w:val="231F20"/>
                                  <w:sz w:val="14"/>
                                </w:rPr>
                                <w:t>Jan.</w:t>
                              </w:r>
                              <w:r>
                                <w:rPr>
                                  <w:rFonts w:ascii="Arial"/>
                                  <w:color w:val="231F20"/>
                                  <w:spacing w:val="57"/>
                                  <w:sz w:val="14"/>
                                </w:rPr>
                                <w:t> </w:t>
                              </w:r>
                              <w:r>
                                <w:rPr>
                                  <w:rFonts w:ascii="Arial"/>
                                  <w:color w:val="231F20"/>
                                  <w:sz w:val="14"/>
                                </w:rPr>
                                <w:t>Apr.</w:t>
                              </w:r>
                              <w:r>
                                <w:rPr>
                                  <w:rFonts w:ascii="Arial"/>
                                  <w:color w:val="231F20"/>
                                  <w:spacing w:val="66"/>
                                  <w:sz w:val="14"/>
                                </w:rPr>
                                <w:t> </w:t>
                              </w:r>
                              <w:r>
                                <w:rPr>
                                  <w:rFonts w:ascii="Arial"/>
                                  <w:color w:val="231F20"/>
                                  <w:sz w:val="14"/>
                                </w:rPr>
                                <w:t>July</w:t>
                              </w:r>
                              <w:r>
                                <w:rPr>
                                  <w:rFonts w:ascii="Arial"/>
                                  <w:color w:val="231F20"/>
                                  <w:spacing w:val="67"/>
                                  <w:sz w:val="14"/>
                                </w:rPr>
                                <w:t> </w:t>
                              </w:r>
                              <w:r>
                                <w:rPr>
                                  <w:rFonts w:ascii="Arial"/>
                                  <w:color w:val="231F20"/>
                                  <w:sz w:val="14"/>
                                </w:rPr>
                                <w:t>Oct.</w:t>
                              </w:r>
                              <w:r>
                                <w:rPr>
                                  <w:rFonts w:ascii="Arial"/>
                                  <w:color w:val="231F20"/>
                                  <w:spacing w:val="57"/>
                                  <w:sz w:val="14"/>
                                </w:rPr>
                                <w:t> </w:t>
                              </w:r>
                              <w:r>
                                <w:rPr>
                                  <w:rFonts w:ascii="Arial"/>
                                  <w:color w:val="231F20"/>
                                  <w:sz w:val="14"/>
                                </w:rPr>
                                <w:t>Jan.</w:t>
                              </w:r>
                              <w:r>
                                <w:rPr>
                                  <w:rFonts w:ascii="Arial"/>
                                  <w:color w:val="231F20"/>
                                  <w:spacing w:val="57"/>
                                  <w:sz w:val="14"/>
                                </w:rPr>
                                <w:t> </w:t>
                              </w:r>
                              <w:r>
                                <w:rPr>
                                  <w:rFonts w:ascii="Arial"/>
                                  <w:color w:val="231F20"/>
                                  <w:sz w:val="14"/>
                                </w:rPr>
                                <w:t>Apr.</w:t>
                              </w:r>
                              <w:r>
                                <w:rPr>
                                  <w:rFonts w:ascii="Arial"/>
                                  <w:color w:val="231F20"/>
                                  <w:spacing w:val="66"/>
                                  <w:sz w:val="14"/>
                                </w:rPr>
                                <w:t> </w:t>
                              </w:r>
                              <w:r>
                                <w:rPr>
                                  <w:rFonts w:ascii="Arial"/>
                                  <w:color w:val="231F20"/>
                                  <w:sz w:val="14"/>
                                </w:rPr>
                                <w:t>July</w:t>
                              </w:r>
                              <w:r>
                                <w:rPr>
                                  <w:rFonts w:ascii="Arial"/>
                                  <w:color w:val="231F20"/>
                                  <w:spacing w:val="67"/>
                                  <w:sz w:val="14"/>
                                </w:rPr>
                                <w:t> </w:t>
                              </w:r>
                              <w:r>
                                <w:rPr>
                                  <w:rFonts w:ascii="Arial"/>
                                  <w:color w:val="231F20"/>
                                  <w:sz w:val="14"/>
                                </w:rPr>
                                <w:t>Oct.</w:t>
                              </w:r>
                              <w:r>
                                <w:rPr>
                                  <w:rFonts w:ascii="Arial"/>
                                  <w:color w:val="231F20"/>
                                  <w:spacing w:val="57"/>
                                  <w:sz w:val="14"/>
                                </w:rPr>
                                <w:t> </w:t>
                              </w:r>
                              <w:r>
                                <w:rPr>
                                  <w:rFonts w:ascii="Arial"/>
                                  <w:color w:val="231F20"/>
                                  <w:sz w:val="14"/>
                                </w:rPr>
                                <w:t>Jan.</w:t>
                              </w:r>
                              <w:r>
                                <w:rPr>
                                  <w:rFonts w:ascii="Arial"/>
                                  <w:color w:val="231F20"/>
                                  <w:spacing w:val="57"/>
                                  <w:sz w:val="14"/>
                                </w:rPr>
                                <w:t> </w:t>
                              </w:r>
                              <w:r>
                                <w:rPr>
                                  <w:rFonts w:ascii="Arial"/>
                                  <w:color w:val="231F20"/>
                                  <w:sz w:val="14"/>
                                </w:rPr>
                                <w:t>Apr.</w:t>
                              </w:r>
                              <w:r>
                                <w:rPr>
                                  <w:rFonts w:ascii="Arial"/>
                                  <w:color w:val="231F20"/>
                                  <w:spacing w:val="66"/>
                                  <w:sz w:val="14"/>
                                </w:rPr>
                                <w:t> </w:t>
                              </w:r>
                              <w:r>
                                <w:rPr>
                                  <w:rFonts w:ascii="Arial"/>
                                  <w:color w:val="231F20"/>
                                  <w:sz w:val="14"/>
                                </w:rPr>
                                <w:t>July</w:t>
                              </w:r>
                              <w:r>
                                <w:rPr>
                                  <w:rFonts w:ascii="Arial"/>
                                  <w:color w:val="231F20"/>
                                  <w:spacing w:val="67"/>
                                  <w:sz w:val="14"/>
                                </w:rPr>
                                <w:t> </w:t>
                              </w:r>
                              <w:r>
                                <w:rPr>
                                  <w:rFonts w:ascii="Arial"/>
                                  <w:color w:val="231F20"/>
                                  <w:sz w:val="14"/>
                                </w:rPr>
                                <w:t>Oct.</w:t>
                              </w:r>
                              <w:r>
                                <w:rPr>
                                  <w:rFonts w:ascii="Arial"/>
                                  <w:color w:val="231F20"/>
                                  <w:spacing w:val="57"/>
                                  <w:sz w:val="14"/>
                                </w:rPr>
                                <w:t> </w:t>
                              </w:r>
                              <w:r>
                                <w:rPr>
                                  <w:rFonts w:ascii="Arial"/>
                                  <w:color w:val="231F20"/>
                                  <w:sz w:val="14"/>
                                </w:rPr>
                                <w:t>Jan.</w:t>
                              </w:r>
                              <w:r>
                                <w:rPr>
                                  <w:rFonts w:ascii="Arial"/>
                                  <w:color w:val="231F20"/>
                                  <w:spacing w:val="57"/>
                                  <w:sz w:val="14"/>
                                </w:rPr>
                                <w:t> </w:t>
                              </w:r>
                              <w:r>
                                <w:rPr>
                                  <w:rFonts w:ascii="Arial"/>
                                  <w:color w:val="231F20"/>
                                  <w:sz w:val="14"/>
                                </w:rPr>
                                <w:t>Apr.</w:t>
                              </w:r>
                              <w:r>
                                <w:rPr>
                                  <w:rFonts w:ascii="Arial"/>
                                  <w:color w:val="231F20"/>
                                  <w:spacing w:val="66"/>
                                  <w:sz w:val="14"/>
                                </w:rPr>
                                <w:t> </w:t>
                              </w:r>
                              <w:r>
                                <w:rPr>
                                  <w:rFonts w:ascii="Arial"/>
                                  <w:color w:val="231F20"/>
                                  <w:sz w:val="14"/>
                                </w:rPr>
                                <w:t>July</w:t>
                              </w:r>
                              <w:r>
                                <w:rPr>
                                  <w:rFonts w:ascii="Arial"/>
                                  <w:color w:val="231F20"/>
                                  <w:spacing w:val="67"/>
                                  <w:sz w:val="14"/>
                                </w:rPr>
                                <w:t> </w:t>
                              </w:r>
                              <w:r>
                                <w:rPr>
                                  <w:rFonts w:ascii="Arial"/>
                                  <w:color w:val="231F20"/>
                                  <w:sz w:val="14"/>
                                </w:rPr>
                                <w:t>Oct.</w:t>
                              </w:r>
                              <w:r>
                                <w:rPr>
                                  <w:rFonts w:ascii="Arial"/>
                                  <w:color w:val="231F20"/>
                                  <w:spacing w:val="57"/>
                                  <w:sz w:val="14"/>
                                </w:rPr>
                                <w:t> </w:t>
                              </w:r>
                              <w:r>
                                <w:rPr>
                                  <w:rFonts w:ascii="Arial"/>
                                  <w:color w:val="231F20"/>
                                  <w:sz w:val="14"/>
                                </w:rPr>
                                <w:t>Jan.</w:t>
                              </w:r>
                              <w:r>
                                <w:rPr>
                                  <w:rFonts w:ascii="Arial"/>
                                  <w:color w:val="231F20"/>
                                  <w:spacing w:val="57"/>
                                  <w:sz w:val="14"/>
                                </w:rPr>
                                <w:t> </w:t>
                              </w:r>
                              <w:r>
                                <w:rPr>
                                  <w:rFonts w:ascii="Arial"/>
                                  <w:color w:val="231F20"/>
                                  <w:sz w:val="14"/>
                                </w:rPr>
                                <w:t>Apr.</w:t>
                              </w:r>
                              <w:r>
                                <w:rPr>
                                  <w:rFonts w:ascii="Arial"/>
                                  <w:color w:val="231F20"/>
                                  <w:spacing w:val="66"/>
                                  <w:sz w:val="14"/>
                                </w:rPr>
                                <w:t> </w:t>
                              </w:r>
                              <w:r>
                                <w:rPr>
                                  <w:rFonts w:ascii="Arial"/>
                                  <w:color w:val="231F20"/>
                                  <w:sz w:val="14"/>
                                </w:rPr>
                                <w:t>July</w:t>
                              </w:r>
                              <w:r>
                                <w:rPr>
                                  <w:rFonts w:ascii="Arial"/>
                                  <w:color w:val="231F20"/>
                                  <w:spacing w:val="40"/>
                                  <w:sz w:val="14"/>
                                </w:rPr>
                                <w:t> </w:t>
                              </w:r>
                              <w:r>
                                <w:rPr>
                                  <w:rFonts w:ascii="Arial"/>
                                  <w:color w:val="231F20"/>
                                  <w:spacing w:val="-4"/>
                                  <w:sz w:val="14"/>
                                </w:rPr>
                                <w:t>2018</w:t>
                              </w:r>
                              <w:r>
                                <w:rPr>
                                  <w:rFonts w:ascii="Arial"/>
                                  <w:color w:val="231F20"/>
                                  <w:sz w:val="14"/>
                                </w:rPr>
                                <w:tab/>
                              </w:r>
                              <w:r>
                                <w:rPr>
                                  <w:rFonts w:ascii="Arial"/>
                                  <w:color w:val="231F20"/>
                                  <w:spacing w:val="-4"/>
                                  <w:sz w:val="14"/>
                                </w:rPr>
                                <w:t>2019</w:t>
                              </w:r>
                              <w:r>
                                <w:rPr>
                                  <w:rFonts w:ascii="Arial"/>
                                  <w:color w:val="231F20"/>
                                  <w:sz w:val="14"/>
                                </w:rPr>
                                <w:tab/>
                              </w:r>
                              <w:r>
                                <w:rPr>
                                  <w:rFonts w:ascii="Arial"/>
                                  <w:color w:val="231F20"/>
                                  <w:spacing w:val="-4"/>
                                  <w:sz w:val="14"/>
                                </w:rPr>
                                <w:t>2020</w:t>
                              </w:r>
                              <w:r>
                                <w:rPr>
                                  <w:rFonts w:ascii="Arial"/>
                                  <w:color w:val="231F20"/>
                                  <w:sz w:val="14"/>
                                </w:rPr>
                                <w:tab/>
                              </w:r>
                              <w:r>
                                <w:rPr>
                                  <w:rFonts w:ascii="Arial"/>
                                  <w:color w:val="231F20"/>
                                  <w:spacing w:val="-4"/>
                                  <w:sz w:val="14"/>
                                </w:rPr>
                                <w:t>2021</w:t>
                              </w:r>
                              <w:r>
                                <w:rPr>
                                  <w:rFonts w:ascii="Arial"/>
                                  <w:color w:val="231F20"/>
                                  <w:sz w:val="14"/>
                                </w:rPr>
                                <w:tab/>
                              </w:r>
                              <w:r>
                                <w:rPr>
                                  <w:rFonts w:ascii="Arial"/>
                                  <w:color w:val="231F20"/>
                                  <w:spacing w:val="-4"/>
                                  <w:sz w:val="14"/>
                                </w:rPr>
                                <w:t>2022</w:t>
                              </w:r>
                            </w:p>
                            <w:p>
                              <w:pPr>
                                <w:spacing w:line="240" w:lineRule="auto" w:before="12"/>
                                <w:rPr>
                                  <w:rFonts w:ascii="Arial"/>
                                  <w:sz w:val="14"/>
                                </w:rPr>
                              </w:pPr>
                            </w:p>
                            <w:p>
                              <w:pPr>
                                <w:spacing w:before="1"/>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Dewulf</w:t>
                              </w:r>
                              <w:r>
                                <w:rPr>
                                  <w:rFonts w:ascii="Arial"/>
                                  <w:color w:val="231F20"/>
                                  <w:spacing w:val="-1"/>
                                  <w:sz w:val="12"/>
                                </w:rPr>
                                <w:t> </w:t>
                              </w:r>
                              <w:r>
                                <w:rPr>
                                  <w:rFonts w:ascii="Arial"/>
                                  <w:color w:val="231F20"/>
                                  <w:w w:val="75"/>
                                  <w:sz w:val="12"/>
                                </w:rPr>
                                <w:t>and</w:t>
                              </w:r>
                              <w:r>
                                <w:rPr>
                                  <w:rFonts w:ascii="Arial"/>
                                  <w:color w:val="231F20"/>
                                  <w:spacing w:val="-7"/>
                                  <w:sz w:val="12"/>
                                </w:rPr>
                                <w:t> </w:t>
                              </w:r>
                              <w:r>
                                <w:rPr>
                                  <w:rFonts w:ascii="Arial"/>
                                  <w:color w:val="231F20"/>
                                  <w:w w:val="75"/>
                                  <w:sz w:val="12"/>
                                </w:rPr>
                                <w:t>Van</w:t>
                              </w:r>
                              <w:r>
                                <w:rPr>
                                  <w:rFonts w:ascii="Arial"/>
                                  <w:color w:val="231F20"/>
                                  <w:spacing w:val="-1"/>
                                  <w:sz w:val="12"/>
                                </w:rPr>
                                <w:t> </w:t>
                              </w:r>
                              <w:r>
                                <w:rPr>
                                  <w:rFonts w:ascii="Arial"/>
                                  <w:color w:val="231F20"/>
                                  <w:w w:val="75"/>
                                  <w:sz w:val="12"/>
                                </w:rPr>
                                <w:t>Broekstaele</w:t>
                              </w:r>
                              <w:r>
                                <w:rPr>
                                  <w:rFonts w:ascii="Arial"/>
                                  <w:color w:val="231F20"/>
                                  <w:spacing w:val="-1"/>
                                  <w:sz w:val="12"/>
                                </w:rPr>
                                <w:t> </w:t>
                              </w:r>
                              <w:r>
                                <w:rPr>
                                  <w:rFonts w:ascii="Arial"/>
                                  <w:color w:val="231F20"/>
                                  <w:w w:val="75"/>
                                  <w:sz w:val="12"/>
                                </w:rPr>
                                <w:t>(2022)</w:t>
                              </w:r>
                              <w:r>
                                <w:rPr>
                                  <w:rFonts w:ascii="Arial"/>
                                  <w:color w:val="231F20"/>
                                  <w:spacing w:val="-1"/>
                                  <w:sz w:val="12"/>
                                </w:rPr>
                                <w:t> </w:t>
                              </w:r>
                              <w:r>
                                <w:rPr>
                                  <w:rFonts w:ascii="Arial"/>
                                  <w:color w:val="231F20"/>
                                  <w:w w:val="75"/>
                                  <w:sz w:val="12"/>
                                </w:rPr>
                                <w:t>based</w:t>
                              </w:r>
                              <w:r>
                                <w:rPr>
                                  <w:rFonts w:ascii="Arial"/>
                                  <w:color w:val="231F20"/>
                                  <w:spacing w:val="-1"/>
                                  <w:sz w:val="12"/>
                                </w:rPr>
                                <w:t> </w:t>
                              </w:r>
                              <w:r>
                                <w:rPr>
                                  <w:rFonts w:ascii="Arial"/>
                                  <w:color w:val="231F20"/>
                                  <w:w w:val="75"/>
                                  <w:sz w:val="12"/>
                                </w:rPr>
                                <w:t>on</w:t>
                              </w:r>
                              <w:r>
                                <w:rPr>
                                  <w:rFonts w:ascii="Arial"/>
                                  <w:color w:val="231F20"/>
                                  <w:spacing w:val="-1"/>
                                  <w:sz w:val="12"/>
                                </w:rPr>
                                <w:t> </w:t>
                              </w:r>
                              <w:r>
                                <w:rPr>
                                  <w:rFonts w:ascii="Arial"/>
                                  <w:color w:val="231F20"/>
                                  <w:w w:val="75"/>
                                  <w:sz w:val="12"/>
                                </w:rPr>
                                <w:t>data</w:t>
                              </w:r>
                              <w:r>
                                <w:rPr>
                                  <w:rFonts w:ascii="Arial"/>
                                  <w:color w:val="231F20"/>
                                  <w:spacing w:val="-1"/>
                                  <w:sz w:val="12"/>
                                </w:rPr>
                                <w:t> </w:t>
                              </w:r>
                              <w:r>
                                <w:rPr>
                                  <w:rFonts w:ascii="Arial"/>
                                  <w:color w:val="231F20"/>
                                  <w:w w:val="75"/>
                                  <w:sz w:val="12"/>
                                </w:rPr>
                                <w:t>from</w:t>
                              </w:r>
                              <w:r>
                                <w:rPr>
                                  <w:rFonts w:ascii="Arial"/>
                                  <w:color w:val="231F20"/>
                                  <w:spacing w:val="-1"/>
                                  <w:sz w:val="12"/>
                                </w:rPr>
                                <w:t> </w:t>
                              </w:r>
                              <w:r>
                                <w:rPr>
                                  <w:rFonts w:ascii="Arial"/>
                                  <w:color w:val="231F20"/>
                                  <w:w w:val="75"/>
                                  <w:sz w:val="12"/>
                                </w:rPr>
                                <w:t>the</w:t>
                              </w:r>
                              <w:r>
                                <w:rPr>
                                  <w:rFonts w:ascii="Arial"/>
                                  <w:color w:val="231F20"/>
                                  <w:spacing w:val="-1"/>
                                  <w:sz w:val="12"/>
                                </w:rPr>
                                <w:t> </w:t>
                              </w:r>
                              <w:r>
                                <w:rPr>
                                  <w:rFonts w:ascii="Arial"/>
                                  <w:color w:val="231F20"/>
                                  <w:w w:val="75"/>
                                  <w:sz w:val="12"/>
                                </w:rPr>
                                <w:t>Freightos</w:t>
                              </w:r>
                              <w:r>
                                <w:rPr>
                                  <w:rFonts w:ascii="Arial"/>
                                  <w:color w:val="231F20"/>
                                  <w:spacing w:val="-7"/>
                                  <w:sz w:val="12"/>
                                </w:rPr>
                                <w:t> </w:t>
                              </w:r>
                              <w:r>
                                <w:rPr>
                                  <w:rFonts w:ascii="Arial"/>
                                  <w:color w:val="231F20"/>
                                  <w:w w:val="75"/>
                                  <w:sz w:val="12"/>
                                </w:rPr>
                                <w:t>Air</w:t>
                              </w:r>
                              <w:r>
                                <w:rPr>
                                  <w:rFonts w:ascii="Arial"/>
                                  <w:color w:val="231F20"/>
                                  <w:spacing w:val="-1"/>
                                  <w:sz w:val="12"/>
                                </w:rPr>
                                <w:t> </w:t>
                              </w:r>
                              <w:r>
                                <w:rPr>
                                  <w:rFonts w:ascii="Arial"/>
                                  <w:color w:val="231F20"/>
                                  <w:w w:val="75"/>
                                  <w:sz w:val="12"/>
                                </w:rPr>
                                <w:t>Index,</w:t>
                              </w:r>
                              <w:r>
                                <w:rPr>
                                  <w:rFonts w:ascii="Arial"/>
                                  <w:color w:val="231F20"/>
                                  <w:spacing w:val="-7"/>
                                  <w:sz w:val="12"/>
                                </w:rPr>
                                <w:t> </w:t>
                              </w:r>
                              <w:r>
                                <w:rPr>
                                  <w:rFonts w:ascii="Arial"/>
                                  <w:color w:val="231F20"/>
                                  <w:w w:val="75"/>
                                  <w:sz w:val="12"/>
                                </w:rPr>
                                <w:t>Cargo</w:t>
                              </w:r>
                              <w:r>
                                <w:rPr>
                                  <w:rFonts w:ascii="Arial"/>
                                  <w:color w:val="231F20"/>
                                  <w:spacing w:val="-1"/>
                                  <w:sz w:val="12"/>
                                </w:rPr>
                                <w:t> </w:t>
                              </w:r>
                              <w:r>
                                <w:rPr>
                                  <w:rFonts w:ascii="Arial"/>
                                  <w:color w:val="231F20"/>
                                  <w:w w:val="75"/>
                                  <w:sz w:val="12"/>
                                </w:rPr>
                                <w:t>iQ</w:t>
                              </w:r>
                              <w:r>
                                <w:rPr>
                                  <w:rFonts w:ascii="Arial"/>
                                  <w:color w:val="231F20"/>
                                  <w:spacing w:val="-1"/>
                                  <w:sz w:val="12"/>
                                </w:rPr>
                                <w:t> </w:t>
                              </w:r>
                              <w:r>
                                <w:rPr>
                                  <w:rFonts w:ascii="Arial"/>
                                  <w:color w:val="231F20"/>
                                  <w:w w:val="75"/>
                                  <w:sz w:val="12"/>
                                </w:rPr>
                                <w:t>(supported</w:t>
                              </w:r>
                              <w:r>
                                <w:rPr>
                                  <w:rFonts w:ascii="Arial"/>
                                  <w:color w:val="231F20"/>
                                  <w:spacing w:val="-1"/>
                                  <w:sz w:val="12"/>
                                </w:rPr>
                                <w:t> </w:t>
                              </w:r>
                              <w:r>
                                <w:rPr>
                                  <w:rFonts w:ascii="Arial"/>
                                  <w:color w:val="231F20"/>
                                  <w:w w:val="75"/>
                                  <w:sz w:val="12"/>
                                </w:rPr>
                                <w:t>by</w:t>
                              </w:r>
                              <w:r>
                                <w:rPr>
                                  <w:rFonts w:ascii="Arial"/>
                                  <w:color w:val="231F20"/>
                                  <w:spacing w:val="-1"/>
                                  <w:sz w:val="12"/>
                                </w:rPr>
                                <w:t> </w:t>
                              </w:r>
                              <w:r>
                                <w:rPr>
                                  <w:rFonts w:ascii="Arial"/>
                                  <w:color w:val="231F20"/>
                                  <w:w w:val="75"/>
                                  <w:sz w:val="12"/>
                                </w:rPr>
                                <w:t>the</w:t>
                              </w:r>
                              <w:r>
                                <w:rPr>
                                  <w:rFonts w:ascii="Arial"/>
                                  <w:color w:val="231F20"/>
                                  <w:spacing w:val="-1"/>
                                  <w:sz w:val="12"/>
                                </w:rPr>
                                <w:t> </w:t>
                              </w:r>
                              <w:r>
                                <w:rPr>
                                  <w:rFonts w:ascii="Arial"/>
                                  <w:color w:val="231F20"/>
                                  <w:w w:val="75"/>
                                  <w:sz w:val="12"/>
                                </w:rPr>
                                <w:t>International</w:t>
                              </w:r>
                              <w:r>
                                <w:rPr>
                                  <w:rFonts w:ascii="Arial"/>
                                  <w:color w:val="231F20"/>
                                  <w:spacing w:val="-7"/>
                                  <w:sz w:val="12"/>
                                </w:rPr>
                                <w:t> </w:t>
                              </w:r>
                              <w:r>
                                <w:rPr>
                                  <w:rFonts w:ascii="Arial"/>
                                  <w:color w:val="231F20"/>
                                  <w:w w:val="75"/>
                                  <w:sz w:val="12"/>
                                </w:rPr>
                                <w:t>Air</w:t>
                              </w:r>
                              <w:r>
                                <w:rPr>
                                  <w:rFonts w:ascii="Arial"/>
                                  <w:color w:val="231F20"/>
                                  <w:spacing w:val="-7"/>
                                  <w:sz w:val="12"/>
                                </w:rPr>
                                <w:t> </w:t>
                              </w:r>
                              <w:r>
                                <w:rPr>
                                  <w:rFonts w:ascii="Arial"/>
                                  <w:color w:val="231F20"/>
                                  <w:w w:val="75"/>
                                  <w:sz w:val="12"/>
                                </w:rPr>
                                <w:t>Transport</w:t>
                              </w:r>
                              <w:r>
                                <w:rPr>
                                  <w:rFonts w:ascii="Arial"/>
                                  <w:color w:val="231F20"/>
                                  <w:spacing w:val="-7"/>
                                  <w:sz w:val="12"/>
                                </w:rPr>
                                <w:t> </w:t>
                              </w:r>
                              <w:r>
                                <w:rPr>
                                  <w:rFonts w:ascii="Arial"/>
                                  <w:color w:val="231F20"/>
                                  <w:w w:val="75"/>
                                  <w:sz w:val="12"/>
                                </w:rPr>
                                <w:t>Association),</w:t>
                              </w:r>
                              <w:r>
                                <w:rPr>
                                  <w:rFonts w:ascii="Arial"/>
                                  <w:color w:val="231F20"/>
                                  <w:spacing w:val="-7"/>
                                  <w:sz w:val="12"/>
                                </w:rPr>
                                <w:t> </w:t>
                              </w:r>
                              <w:r>
                                <w:rPr>
                                  <w:rFonts w:ascii="Arial"/>
                                  <w:color w:val="231F20"/>
                                  <w:w w:val="75"/>
                                  <w:sz w:val="12"/>
                                </w:rPr>
                                <w:t>and</w:t>
                              </w:r>
                              <w:r>
                                <w:rPr>
                                  <w:rFonts w:ascii="Arial"/>
                                  <w:color w:val="231F20"/>
                                  <w:spacing w:val="-7"/>
                                  <w:sz w:val="12"/>
                                </w:rPr>
                                <w:t> </w:t>
                              </w:r>
                              <w:r>
                                <w:rPr>
                                  <w:rFonts w:ascii="Arial"/>
                                  <w:color w:val="231F20"/>
                                  <w:spacing w:val="-2"/>
                                  <w:w w:val="75"/>
                                  <w:sz w:val="12"/>
                                </w:rPr>
                                <w:t>WorldACD.</w:t>
                              </w:r>
                            </w:p>
                          </w:txbxContent>
                        </wps:txbx>
                        <wps:bodyPr wrap="square" lIns="0" tIns="0" rIns="0" bIns="0" rtlCol="0">
                          <a:noAutofit/>
                        </wps:bodyPr>
                      </wps:wsp>
                      <wps:wsp>
                        <wps:cNvPr id="457" name="Textbox 457"/>
                        <wps:cNvSpPr txBox="1"/>
                        <wps:spPr>
                          <a:xfrm>
                            <a:off x="4065972" y="2287634"/>
                            <a:ext cx="573405" cy="423545"/>
                          </a:xfrm>
                          <a:prstGeom prst="rect">
                            <a:avLst/>
                          </a:prstGeom>
                        </wps:spPr>
                        <wps:txbx>
                          <w:txbxContent>
                            <w:p>
                              <w:pPr>
                                <w:spacing w:line="240" w:lineRule="auto" w:before="0"/>
                                <w:rPr>
                                  <w:sz w:val="14"/>
                                </w:rPr>
                              </w:pPr>
                            </w:p>
                            <w:p>
                              <w:pPr>
                                <w:spacing w:line="240" w:lineRule="auto" w:before="119"/>
                                <w:rPr>
                                  <w:sz w:val="14"/>
                                </w:rPr>
                              </w:pPr>
                            </w:p>
                            <w:p>
                              <w:pPr>
                                <w:spacing w:before="0"/>
                                <w:ind w:left="56" w:right="0" w:firstLine="0"/>
                                <w:jc w:val="left"/>
                                <w:rPr>
                                  <w:rFonts w:ascii="Arial"/>
                                  <w:sz w:val="14"/>
                                </w:rPr>
                              </w:pPr>
                              <w:r>
                                <w:rPr>
                                  <w:rFonts w:ascii="Arial"/>
                                  <w:color w:val="231F20"/>
                                  <w:w w:val="80"/>
                                  <w:sz w:val="14"/>
                                </w:rPr>
                                <w:t>After</w:t>
                              </w:r>
                              <w:r>
                                <w:rPr>
                                  <w:rFonts w:ascii="Arial"/>
                                  <w:color w:val="231F20"/>
                                  <w:spacing w:val="-7"/>
                                  <w:sz w:val="14"/>
                                </w:rPr>
                                <w:t> </w:t>
                              </w:r>
                              <w:r>
                                <w:rPr>
                                  <w:rFonts w:ascii="Arial"/>
                                  <w:color w:val="231F20"/>
                                  <w:w w:val="80"/>
                                  <w:sz w:val="14"/>
                                </w:rPr>
                                <w:t>COVID-</w:t>
                              </w:r>
                              <w:r>
                                <w:rPr>
                                  <w:rFonts w:ascii="Arial"/>
                                  <w:color w:val="231F20"/>
                                  <w:spacing w:val="-5"/>
                                  <w:w w:val="80"/>
                                  <w:sz w:val="14"/>
                                </w:rPr>
                                <w:t>19</w:t>
                              </w:r>
                            </w:p>
                          </w:txbxContent>
                        </wps:txbx>
                        <wps:bodyPr wrap="square" lIns="0" tIns="0" rIns="0" bIns="0" rtlCol="0">
                          <a:noAutofit/>
                        </wps:bodyPr>
                      </wps:wsp>
                      <wps:wsp>
                        <wps:cNvPr id="458" name="Textbox 458"/>
                        <wps:cNvSpPr txBox="1"/>
                        <wps:spPr>
                          <a:xfrm>
                            <a:off x="2222242" y="2287634"/>
                            <a:ext cx="1837689" cy="423545"/>
                          </a:xfrm>
                          <a:prstGeom prst="rect">
                            <a:avLst/>
                          </a:prstGeom>
                        </wps:spPr>
                        <wps:txbx>
                          <w:txbxContent>
                            <w:p>
                              <w:pPr>
                                <w:spacing w:line="240" w:lineRule="auto" w:before="0"/>
                                <w:rPr>
                                  <w:sz w:val="14"/>
                                </w:rPr>
                              </w:pPr>
                            </w:p>
                            <w:p>
                              <w:pPr>
                                <w:spacing w:line="240" w:lineRule="auto" w:before="119"/>
                                <w:rPr>
                                  <w:sz w:val="14"/>
                                </w:rPr>
                              </w:pPr>
                            </w:p>
                            <w:p>
                              <w:pPr>
                                <w:spacing w:before="0"/>
                                <w:ind w:left="0" w:right="0" w:firstLine="0"/>
                                <w:jc w:val="center"/>
                                <w:rPr>
                                  <w:rFonts w:ascii="Arial"/>
                                  <w:sz w:val="14"/>
                                </w:rPr>
                              </w:pPr>
                              <w:r>
                                <w:rPr>
                                  <w:rFonts w:ascii="Arial"/>
                                  <w:color w:val="231F20"/>
                                  <w:w w:val="80"/>
                                  <w:sz w:val="14"/>
                                </w:rPr>
                                <w:t>During</w:t>
                              </w:r>
                              <w:r>
                                <w:rPr>
                                  <w:rFonts w:ascii="Arial"/>
                                  <w:color w:val="231F20"/>
                                  <w:spacing w:val="-4"/>
                                  <w:sz w:val="14"/>
                                </w:rPr>
                                <w:t> </w:t>
                              </w:r>
                              <w:r>
                                <w:rPr>
                                  <w:rFonts w:ascii="Arial"/>
                                  <w:color w:val="231F20"/>
                                  <w:w w:val="80"/>
                                  <w:sz w:val="14"/>
                                </w:rPr>
                                <w:t>COVID-</w:t>
                              </w:r>
                              <w:r>
                                <w:rPr>
                                  <w:rFonts w:ascii="Arial"/>
                                  <w:color w:val="231F20"/>
                                  <w:spacing w:val="-5"/>
                                  <w:w w:val="80"/>
                                  <w:sz w:val="14"/>
                                </w:rPr>
                                <w:t>19</w:t>
                              </w:r>
                            </w:p>
                          </w:txbxContent>
                        </wps:txbx>
                        <wps:bodyPr wrap="square" lIns="0" tIns="0" rIns="0" bIns="0" rtlCol="0">
                          <a:noAutofit/>
                        </wps:bodyPr>
                      </wps:wsp>
                      <wps:wsp>
                        <wps:cNvPr id="459" name="Textbox 459"/>
                        <wps:cNvSpPr txBox="1"/>
                        <wps:spPr>
                          <a:xfrm>
                            <a:off x="260154" y="2287634"/>
                            <a:ext cx="1955800" cy="423545"/>
                          </a:xfrm>
                          <a:prstGeom prst="rect">
                            <a:avLst/>
                          </a:prstGeom>
                        </wps:spPr>
                        <wps:txbx>
                          <w:txbxContent>
                            <w:p>
                              <w:pPr>
                                <w:spacing w:line="240" w:lineRule="auto" w:before="0"/>
                                <w:rPr>
                                  <w:sz w:val="14"/>
                                </w:rPr>
                              </w:pPr>
                            </w:p>
                            <w:p>
                              <w:pPr>
                                <w:spacing w:line="240" w:lineRule="auto" w:before="119"/>
                                <w:rPr>
                                  <w:sz w:val="14"/>
                                </w:rPr>
                              </w:pPr>
                            </w:p>
                            <w:p>
                              <w:pPr>
                                <w:spacing w:before="0"/>
                                <w:ind w:left="4" w:right="0" w:firstLine="0"/>
                                <w:jc w:val="center"/>
                                <w:rPr>
                                  <w:rFonts w:ascii="Arial"/>
                                  <w:sz w:val="14"/>
                                </w:rPr>
                              </w:pPr>
                              <w:r>
                                <w:rPr>
                                  <w:rFonts w:ascii="Arial"/>
                                  <w:color w:val="231F20"/>
                                  <w:w w:val="75"/>
                                  <w:sz w:val="14"/>
                                </w:rPr>
                                <w:t>Before</w:t>
                              </w:r>
                              <w:r>
                                <w:rPr>
                                  <w:rFonts w:ascii="Arial"/>
                                  <w:color w:val="231F20"/>
                                  <w:spacing w:val="33"/>
                                  <w:sz w:val="14"/>
                                </w:rPr>
                                <w:t> </w:t>
                              </w:r>
                              <w:r>
                                <w:rPr>
                                  <w:rFonts w:ascii="Arial"/>
                                  <w:color w:val="231F20"/>
                                  <w:w w:val="75"/>
                                  <w:sz w:val="14"/>
                                </w:rPr>
                                <w:t>COVID-</w:t>
                              </w:r>
                              <w:r>
                                <w:rPr>
                                  <w:rFonts w:ascii="Arial"/>
                                  <w:color w:val="231F20"/>
                                  <w:spacing w:val="-5"/>
                                  <w:w w:val="75"/>
                                  <w:sz w:val="14"/>
                                </w:rPr>
                                <w:t>19</w:t>
                              </w:r>
                            </w:p>
                          </w:txbxContent>
                        </wps:txbx>
                        <wps:bodyPr wrap="square" lIns="0" tIns="0" rIns="0" bIns="0" rtlCol="0">
                          <a:noAutofit/>
                        </wps:bodyPr>
                      </wps:wsp>
                      <wps:wsp>
                        <wps:cNvPr id="460" name="Textbox 460"/>
                        <wps:cNvSpPr txBox="1"/>
                        <wps:spPr>
                          <a:xfrm>
                            <a:off x="260154" y="1857982"/>
                            <a:ext cx="1955800" cy="423545"/>
                          </a:xfrm>
                          <a:prstGeom prst="rect">
                            <a:avLst/>
                          </a:prstGeom>
                        </wps:spPr>
                        <wps:txbx>
                          <w:txbxContent>
                            <w:p>
                              <w:pPr>
                                <w:spacing w:line="240" w:lineRule="auto" w:before="0"/>
                                <w:rPr>
                                  <w:sz w:val="14"/>
                                </w:rPr>
                              </w:pPr>
                            </w:p>
                            <w:p>
                              <w:pPr>
                                <w:spacing w:line="240" w:lineRule="auto" w:before="120"/>
                                <w:rPr>
                                  <w:sz w:val="14"/>
                                </w:rPr>
                              </w:pPr>
                            </w:p>
                            <w:p>
                              <w:pPr>
                                <w:spacing w:before="0"/>
                                <w:ind w:left="624" w:right="0" w:firstLine="0"/>
                                <w:jc w:val="left"/>
                                <w:rPr>
                                  <w:rFonts w:ascii="Arial"/>
                                  <w:sz w:val="14"/>
                                </w:rPr>
                              </w:pPr>
                              <w:r>
                                <w:rPr>
                                  <w:rFonts w:ascii="Arial"/>
                                  <w:color w:val="231F20"/>
                                  <w:w w:val="80"/>
                                  <w:sz w:val="14"/>
                                </w:rPr>
                                <w:t>Demand</w:t>
                              </w:r>
                              <w:r>
                                <w:rPr>
                                  <w:rFonts w:ascii="Arial"/>
                                  <w:color w:val="231F20"/>
                                  <w:spacing w:val="-1"/>
                                  <w:sz w:val="14"/>
                                </w:rPr>
                                <w:t> </w:t>
                              </w:r>
                              <w:r>
                                <w:rPr>
                                  <w:rFonts w:ascii="Arial"/>
                                  <w:color w:val="231F20"/>
                                  <w:w w:val="80"/>
                                  <w:sz w:val="14"/>
                                </w:rPr>
                                <w:t>(left</w:t>
                              </w:r>
                              <w:r>
                                <w:rPr>
                                  <w:rFonts w:ascii="Arial"/>
                                  <w:color w:val="231F20"/>
                                  <w:spacing w:val="1"/>
                                  <w:sz w:val="14"/>
                                </w:rPr>
                                <w:t> </w:t>
                              </w:r>
                              <w:r>
                                <w:rPr>
                                  <w:rFonts w:ascii="Arial"/>
                                  <w:color w:val="231F20"/>
                                  <w:spacing w:val="-2"/>
                                  <w:w w:val="80"/>
                                  <w:sz w:val="14"/>
                                </w:rPr>
                                <w:t>axis)</w:t>
                              </w:r>
                            </w:p>
                          </w:txbxContent>
                        </wps:txbx>
                        <wps:bodyPr wrap="square" lIns="0" tIns="0" rIns="0" bIns="0" rtlCol="0">
                          <a:noAutofit/>
                        </wps:bodyPr>
                      </wps:wsp>
                      <wps:wsp>
                        <wps:cNvPr id="461" name="Textbox 461"/>
                        <wps:cNvSpPr txBox="1"/>
                        <wps:spPr>
                          <a:xfrm>
                            <a:off x="260154" y="1428330"/>
                            <a:ext cx="1955800" cy="423545"/>
                          </a:xfrm>
                          <a:prstGeom prst="rect">
                            <a:avLst/>
                          </a:prstGeom>
                        </wps:spPr>
                        <wps:txbx>
                          <w:txbxContent>
                            <w:p>
                              <w:pPr>
                                <w:spacing w:line="240" w:lineRule="auto" w:before="0"/>
                                <w:rPr>
                                  <w:sz w:val="14"/>
                                </w:rPr>
                              </w:pPr>
                            </w:p>
                            <w:p>
                              <w:pPr>
                                <w:spacing w:line="240" w:lineRule="auto" w:before="120"/>
                                <w:rPr>
                                  <w:sz w:val="14"/>
                                </w:rPr>
                              </w:pPr>
                            </w:p>
                            <w:p>
                              <w:pPr>
                                <w:spacing w:before="0"/>
                                <w:ind w:left="438" w:right="0" w:firstLine="0"/>
                                <w:jc w:val="left"/>
                                <w:rPr>
                                  <w:rFonts w:ascii="Arial"/>
                                  <w:sz w:val="14"/>
                                </w:rPr>
                              </w:pPr>
                              <w:r>
                                <w:rPr>
                                  <w:rFonts w:ascii="Arial"/>
                                  <w:color w:val="231F20"/>
                                  <w:w w:val="80"/>
                                  <w:sz w:val="14"/>
                                </w:rPr>
                                <w:t>Price</w:t>
                              </w:r>
                              <w:r>
                                <w:rPr>
                                  <w:rFonts w:ascii="Arial"/>
                                  <w:color w:val="231F20"/>
                                  <w:spacing w:val="-1"/>
                                  <w:sz w:val="14"/>
                                </w:rPr>
                                <w:t> </w:t>
                              </w:r>
                              <w:r>
                                <w:rPr>
                                  <w:rFonts w:ascii="Arial"/>
                                  <w:color w:val="231F20"/>
                                  <w:w w:val="80"/>
                                  <w:sz w:val="14"/>
                                </w:rPr>
                                <w:t>(right</w:t>
                              </w:r>
                              <w:r>
                                <w:rPr>
                                  <w:rFonts w:ascii="Arial"/>
                                  <w:color w:val="231F20"/>
                                  <w:spacing w:val="2"/>
                                  <w:sz w:val="14"/>
                                </w:rPr>
                                <w:t> </w:t>
                              </w:r>
                              <w:r>
                                <w:rPr>
                                  <w:rFonts w:ascii="Arial"/>
                                  <w:color w:val="231F20"/>
                                  <w:spacing w:val="-2"/>
                                  <w:w w:val="80"/>
                                  <w:sz w:val="14"/>
                                </w:rPr>
                                <w:t>axis)</w:t>
                              </w:r>
                            </w:p>
                          </w:txbxContent>
                        </wps:txbx>
                        <wps:bodyPr wrap="square" lIns="0" tIns="0" rIns="0" bIns="0" rtlCol="0">
                          <a:noAutofit/>
                        </wps:bodyPr>
                      </wps:wsp>
                      <wps:wsp>
                        <wps:cNvPr id="462" name="Textbox 462"/>
                        <wps:cNvSpPr txBox="1"/>
                        <wps:spPr>
                          <a:xfrm>
                            <a:off x="260154" y="998678"/>
                            <a:ext cx="1955800" cy="423545"/>
                          </a:xfrm>
                          <a:prstGeom prst="rect">
                            <a:avLst/>
                          </a:prstGeom>
                        </wps:spPr>
                        <wps:txbx>
                          <w:txbxContent>
                            <w:p>
                              <w:pPr>
                                <w:spacing w:before="57"/>
                                <w:ind w:left="791" w:right="0" w:firstLine="0"/>
                                <w:jc w:val="left"/>
                                <w:rPr>
                                  <w:rFonts w:ascii="Arial"/>
                                  <w:sz w:val="14"/>
                                </w:rPr>
                              </w:pPr>
                              <w:r>
                                <w:rPr>
                                  <w:rFonts w:ascii="Arial"/>
                                  <w:color w:val="231F20"/>
                                  <w:w w:val="80"/>
                                  <w:sz w:val="14"/>
                                </w:rPr>
                                <w:t>Supply</w:t>
                              </w:r>
                              <w:r>
                                <w:rPr>
                                  <w:rFonts w:ascii="Arial"/>
                                  <w:color w:val="231F20"/>
                                  <w:spacing w:val="-2"/>
                                  <w:sz w:val="14"/>
                                </w:rPr>
                                <w:t> </w:t>
                              </w:r>
                              <w:r>
                                <w:rPr>
                                  <w:rFonts w:ascii="Arial"/>
                                  <w:color w:val="231F20"/>
                                  <w:w w:val="80"/>
                                  <w:sz w:val="14"/>
                                </w:rPr>
                                <w:t>(left</w:t>
                              </w:r>
                              <w:r>
                                <w:rPr>
                                  <w:rFonts w:ascii="Arial"/>
                                  <w:color w:val="231F20"/>
                                  <w:spacing w:val="1"/>
                                  <w:sz w:val="14"/>
                                </w:rPr>
                                <w:t> </w:t>
                              </w:r>
                              <w:r>
                                <w:rPr>
                                  <w:rFonts w:ascii="Arial"/>
                                  <w:color w:val="231F20"/>
                                  <w:spacing w:val="-2"/>
                                  <w:w w:val="80"/>
                                  <w:sz w:val="14"/>
                                </w:rPr>
                                <w:t>axis)</w:t>
                              </w:r>
                            </w:p>
                          </w:txbxContent>
                        </wps:txbx>
                        <wps:bodyPr wrap="square" lIns="0" tIns="0" rIns="0" bIns="0" rtlCol="0">
                          <a:noAutofit/>
                        </wps:bodyPr>
                      </wps:wsp>
                    </wpg:wgp>
                  </a:graphicData>
                </a:graphic>
              </wp:inline>
            </w:drawing>
          </mc:Choice>
          <mc:Fallback>
            <w:pict>
              <v:group style="width:384pt;height:255pt;mso-position-horizontal-relative:char;mso-position-vertical-relative:line" id="docshapegroup354" coordorigin="0,0" coordsize="7680,5100">
                <v:shape style="position:absolute;left:0;top:409;width:7680;height:4691" id="docshape355" coordorigin="0,409" coordsize="7680,4691" path="m7680,409l0,409,0,4982,10,5028,36,5065,74,5091,119,5100,7556,5100,7602,5091,7641,5068,7669,5031,7680,4982,7680,409xe" filled="true" fillcolor="#dfeaf7" stroked="false">
                  <v:path arrowok="t"/>
                  <v:fill type="solid"/>
                </v:shape>
                <v:shape style="position:absolute;left:409;top:891;width:6896;height:3384" id="docshape356" coordorigin="410,891" coordsize="6896,3384" path="m3495,891l410,891,410,4274,3495,4274,3495,891xm7305,891l6398,891,6398,4274,7305,4274,7305,891xe" filled="true" fillcolor="#c9dcf3" stroked="false">
                  <v:path arrowok="t"/>
                  <v:fill type="solid"/>
                </v:shape>
                <v:shape style="position:absolute;left:6393;top:886;width:10;height:10" id="docshape357" coordorigin="6393,886" coordsize="10,10" path="m6393,891l6395,888,6398,886,6402,888,6403,891,6402,895,6398,896,6395,895,6393,891xe" filled="true" fillcolor="#231f20" stroked="false">
                  <v:path arrowok="t"/>
                  <v:fill type="solid"/>
                </v:shape>
                <v:line style="position:absolute" from="6398,931" to="6398,4254" stroked="true" strokeweight=".5pt" strokecolor="#231f20">
                  <v:stroke dashstyle="dot"/>
                </v:line>
                <v:shape style="position:absolute;left:3489;top:886;width:2914;height:3394" id="docshape358" coordorigin="3490,886" coordsize="2914,3394" path="m3500,891l3498,888,3495,886,3491,888,3490,891,3491,895,3495,896,3498,895,3500,891xm6403,4274l6402,4271,6398,4269,6395,4271,6393,4274,6395,4278,6398,4279,6402,4278,6403,4274xe" filled="true" fillcolor="#231f20" stroked="false">
                  <v:path arrowok="t"/>
                  <v:fill type="solid"/>
                </v:shape>
                <v:line style="position:absolute" from="3495,931" to="3495,4254" stroked="true" strokeweight=".5pt" strokecolor="#231f20">
                  <v:stroke dashstyle="dot"/>
                </v:line>
                <v:shape style="position:absolute;left:3489;top:4269;width:10;height:10" id="docshape359" coordorigin="3490,4269" coordsize="10,10" path="m3490,4274l3491,4271,3495,4269,3498,4271,3500,4274,3498,4278,3495,4279,3491,4278,3490,4274xe" filled="true" fillcolor="#231f20" stroked="false">
                  <v:path arrowok="t"/>
                  <v:fill type="solid"/>
                </v:shape>
                <v:shape style="position:absolute;left:0;top:2;width:807;height:365" id="docshape360" coordorigin="0,3" coordsize="807,365" path="m807,3l120,3,74,7,36,25,10,62,0,123,0,368,807,368,807,3xe" filled="true" fillcolor="#008fdd" stroked="false">
                  <v:path arrowok="t"/>
                  <v:fill type="solid"/>
                </v:shape>
                <v:shape style="position:absolute;left:806;top:2;width:6873;height:365" id="docshape361" coordorigin="807,3" coordsize="6873,365" path="m7559,3l807,3,807,368,7679,368,7679,123,7670,83,7646,44,7608,14,7559,3xe" filled="true" fillcolor="#808285" stroked="false">
                  <v:path arrowok="t"/>
                  <v:fill type="solid"/>
                </v:shape>
                <v:line style="position:absolute" from="807,0" to="807,368" stroked="true" strokeweight="2pt" strokecolor="#ffffff">
                  <v:stroke dashstyle="solid"/>
                </v:line>
                <v:line style="position:absolute" from="410,4274" to="7305,4274" stroked="true" strokeweight=".5pt" strokecolor="#ffffff">
                  <v:stroke dashstyle="solid"/>
                </v:line>
                <v:line style="position:absolute" from="410,4274" to="7305,4274" stroked="true" strokeweight=".5pt" strokecolor="#ffffff">
                  <v:stroke dashstyle="solid"/>
                </v:line>
                <v:line style="position:absolute" from="410,3598" to="7305,3598" stroked="true" strokeweight=".5pt" strokecolor="#ffffff">
                  <v:stroke dashstyle="solid"/>
                </v:line>
                <v:line style="position:absolute" from="410,2921" to="7305,2921" stroked="true" strokeweight=".5pt" strokecolor="#ffffff">
                  <v:stroke dashstyle="solid"/>
                </v:line>
                <v:line style="position:absolute" from="410,2244" to="7305,2244" stroked="true" strokeweight=".5pt" strokecolor="#ffffff">
                  <v:stroke dashstyle="solid"/>
                </v:line>
                <v:line style="position:absolute" from="410,1568" to="7305,1568" stroked="true" strokeweight=".5pt" strokecolor="#ffffff">
                  <v:stroke dashstyle="solid"/>
                </v:line>
                <v:line style="position:absolute" from="410,891" to="7305,891" stroked="true" strokeweight=".5pt" strokecolor="#ffffff">
                  <v:stroke dashstyle="solid"/>
                </v:line>
                <v:shape style="position:absolute;left:600;top:3077;width:6541;height:732" id="docshape362" coordorigin="600,3077" coordsize="6541,732" path="m600,3388l724,3547,844,3206,964,3281,1092,3246,1199,3290,1327,3259,1456,3273,1562,3250,1691,3153,1944,3210,2041,3428,2170,3645,2303,3210,2418,3388,2547,3308,2658,3374,2786,3312,2897,3343,3030,3339,3136,3224,3269,3184,3385,3233,3629,3667,3748,3490,3872,3809,3983,3601,4112,3592,4227,3521,4360,3530,4489,3419,4595,3295,4843,3206,4976,3339,5092,3499,5203,3117,5322,3179,5451,3162,5571,3210,5690,3153,5801,3219,5930,3219,6058,3175,6169,3091,6298,3077,6404,3255,6533,3450,6657,3224,6777,3370,6919,3361,7141,3374e" filled="false" stroked="true" strokeweight="2pt" strokecolor="#5aa2e2">
                  <v:path arrowok="t"/>
                  <v:stroke dashstyle="solid"/>
                </v:shape>
                <v:shape style="position:absolute;left:600;top:1099;width:6541;height:1753" id="docshape363" coordorigin="600,1100" coordsize="6541,1753" path="m600,1480l724,1863,832,1391,956,1453,1071,1320,1196,1373,1302,1240,1435,1196,1559,1329,1674,1231,1807,1329,1939,1251,2068,1499,2179,1823,2304,1278,2412,1383,2537,1288,2664,1310,2785,1100,2897,1112,3021,1265,3145,1151,3266,1237,3390,1151,3531,1543,3629,1998,3754,2072,3875,2852,3990,2390,4114,2406,4235,2234,4359,2177,4474,2154,4598,1912,4716,1858,4847,1708,4971,2103,5086,2307,5210,1705,5321,1782,5442,1740,5564,1759,5697,1508,5799,1603,5933,1610,6051,1428,6175,1469,6300,1339,6411,1772,6537,2044,6650,1667,6781,1782,6892,1635,7010,1559,7141,1409e" filled="false" stroked="true" strokeweight="2pt" strokecolor="#008fdd">
                  <v:path arrowok="t"/>
                  <v:stroke dashstyle="solid"/>
                </v:shape>
                <v:shape style="position:absolute;left:600;top:1166;width:6541;height:1956" id="docshape364" coordorigin="600,1166" coordsize="6541,1956" path="m600,3002l716,2984,831,2998,956,2967,1066,3011,1217,2989,1336,2993,1456,3011,1567,2958,1691,2936,1806,2878,1922,2918,2047,3026,2170,3077,2414,3051,2533,3073,2689,3086,2884,3113,3017,3117,3163,3073,3266,3024,3496,3095,3630,3122,3744,2803,3868,1747,3992,1614,4112,2168,4227,2355,4467,2368,4600,2279,4719,2044,4839,2058,4965,2155,5087,1579,5189,1827,5318,1902,5446,1712,5548,1827,5806,1779,5921,1775,6049,1659,6175,1384,6294,1166,6413,1468,6533,1357,6644,1503,6781,1393,6914,1526,7007,1650,7141,1898e" filled="false" stroked="true" strokeweight="2pt" strokecolor="#231f20">
                  <v:path arrowok="t"/>
                  <v:stroke dashstyle="solid"/>
                </v:shape>
                <v:shape style="position:absolute;left:120;top:107;width:7396;height:880" type="#_x0000_t202" id="docshape365" filled="false" stroked="false">
                  <v:textbox inset="0,0,0,0">
                    <w:txbxContent>
                      <w:p>
                        <w:pPr>
                          <w:spacing w:before="3"/>
                          <w:ind w:left="0" w:right="0" w:firstLine="0"/>
                          <w:jc w:val="left"/>
                          <w:rPr>
                            <w:rFonts w:ascii="Arial" w:hAnsi="Arial"/>
                            <w:b/>
                            <w:sz w:val="16"/>
                          </w:rPr>
                        </w:pPr>
                        <w:r>
                          <w:rPr>
                            <w:rFonts w:ascii="Arial" w:hAnsi="Arial"/>
                            <w:color w:val="FFFFFF"/>
                            <w:sz w:val="16"/>
                          </w:rPr>
                          <w:t>Figure</w:t>
                        </w:r>
                        <w:r>
                          <w:rPr>
                            <w:rFonts w:ascii="Arial" w:hAnsi="Arial"/>
                            <w:color w:val="FFFFFF"/>
                            <w:spacing w:val="10"/>
                            <w:sz w:val="16"/>
                          </w:rPr>
                          <w:t> </w:t>
                        </w:r>
                        <w:r>
                          <w:rPr>
                            <w:rFonts w:ascii="Arial" w:hAnsi="Arial"/>
                            <w:b/>
                            <w:color w:val="FFFFFF"/>
                            <w:sz w:val="16"/>
                          </w:rPr>
                          <w:t>1.2</w:t>
                        </w:r>
                        <w:r>
                          <w:rPr>
                            <w:rFonts w:ascii="Arial" w:hAnsi="Arial"/>
                            <w:b/>
                            <w:color w:val="FFFFFF"/>
                            <w:spacing w:val="61"/>
                            <w:sz w:val="16"/>
                          </w:rPr>
                          <w:t>  </w:t>
                        </w:r>
                        <w:r>
                          <w:rPr>
                            <w:rFonts w:ascii="Arial" w:hAnsi="Arial"/>
                            <w:b/>
                            <w:color w:val="FFFFFF"/>
                            <w:sz w:val="16"/>
                          </w:rPr>
                          <w:t>Global</w:t>
                        </w:r>
                        <w:r>
                          <w:rPr>
                            <w:rFonts w:ascii="Arial" w:hAnsi="Arial"/>
                            <w:b/>
                            <w:color w:val="FFFFFF"/>
                            <w:spacing w:val="11"/>
                            <w:sz w:val="16"/>
                          </w:rPr>
                          <w:t> </w:t>
                        </w:r>
                        <w:r>
                          <w:rPr>
                            <w:rFonts w:ascii="Arial" w:hAnsi="Arial"/>
                            <w:b/>
                            <w:color w:val="FFFFFF"/>
                            <w:sz w:val="16"/>
                          </w:rPr>
                          <w:t>air</w:t>
                        </w:r>
                        <w:r>
                          <w:rPr>
                            <w:rFonts w:ascii="Arial" w:hAnsi="Arial"/>
                            <w:b/>
                            <w:color w:val="FFFFFF"/>
                            <w:spacing w:val="11"/>
                            <w:sz w:val="16"/>
                          </w:rPr>
                          <w:t> </w:t>
                        </w:r>
                        <w:r>
                          <w:rPr>
                            <w:rFonts w:ascii="Arial" w:hAnsi="Arial"/>
                            <w:b/>
                            <w:color w:val="FFFFFF"/>
                            <w:sz w:val="16"/>
                          </w:rPr>
                          <w:t>freight</w:t>
                        </w:r>
                        <w:r>
                          <w:rPr>
                            <w:rFonts w:ascii="Arial" w:hAnsi="Arial"/>
                            <w:b/>
                            <w:color w:val="FFFFFF"/>
                            <w:spacing w:val="10"/>
                            <w:sz w:val="16"/>
                          </w:rPr>
                          <w:t> </w:t>
                        </w:r>
                        <w:r>
                          <w:rPr>
                            <w:rFonts w:ascii="Arial" w:hAnsi="Arial"/>
                            <w:b/>
                            <w:color w:val="FFFFFF"/>
                            <w:sz w:val="16"/>
                          </w:rPr>
                          <w:t>supply,</w:t>
                        </w:r>
                        <w:r>
                          <w:rPr>
                            <w:rFonts w:ascii="Arial" w:hAnsi="Arial"/>
                            <w:b/>
                            <w:color w:val="FFFFFF"/>
                            <w:spacing w:val="11"/>
                            <w:sz w:val="16"/>
                          </w:rPr>
                          <w:t> </w:t>
                        </w:r>
                        <w:r>
                          <w:rPr>
                            <w:rFonts w:ascii="Arial" w:hAnsi="Arial"/>
                            <w:b/>
                            <w:color w:val="FFFFFF"/>
                            <w:sz w:val="16"/>
                          </w:rPr>
                          <w:t>demand,</w:t>
                        </w:r>
                        <w:r>
                          <w:rPr>
                            <w:rFonts w:ascii="Arial" w:hAnsi="Arial"/>
                            <w:b/>
                            <w:color w:val="FFFFFF"/>
                            <w:spacing w:val="11"/>
                            <w:sz w:val="16"/>
                          </w:rPr>
                          <w:t> </w:t>
                        </w:r>
                        <w:r>
                          <w:rPr>
                            <w:rFonts w:ascii="Arial" w:hAnsi="Arial"/>
                            <w:b/>
                            <w:color w:val="FFFFFF"/>
                            <w:sz w:val="16"/>
                          </w:rPr>
                          <w:t>and</w:t>
                        </w:r>
                        <w:r>
                          <w:rPr>
                            <w:rFonts w:ascii="Arial" w:hAnsi="Arial"/>
                            <w:b/>
                            <w:color w:val="FFFFFF"/>
                            <w:spacing w:val="10"/>
                            <w:sz w:val="16"/>
                          </w:rPr>
                          <w:t> </w:t>
                        </w:r>
                        <w:r>
                          <w:rPr>
                            <w:rFonts w:ascii="Arial" w:hAnsi="Arial"/>
                            <w:b/>
                            <w:color w:val="FFFFFF"/>
                            <w:sz w:val="16"/>
                          </w:rPr>
                          <w:t>prices,</w:t>
                        </w:r>
                        <w:r>
                          <w:rPr>
                            <w:rFonts w:ascii="Arial" w:hAnsi="Arial"/>
                            <w:b/>
                            <w:color w:val="FFFFFF"/>
                            <w:spacing w:val="11"/>
                            <w:sz w:val="16"/>
                          </w:rPr>
                          <w:t> </w:t>
                        </w:r>
                        <w:r>
                          <w:rPr>
                            <w:rFonts w:ascii="Arial" w:hAnsi="Arial"/>
                            <w:b/>
                            <w:color w:val="FFFFFF"/>
                            <w:sz w:val="16"/>
                          </w:rPr>
                          <w:t>January</w:t>
                        </w:r>
                        <w:r>
                          <w:rPr>
                            <w:rFonts w:ascii="Arial" w:hAnsi="Arial"/>
                            <w:b/>
                            <w:color w:val="FFFFFF"/>
                            <w:spacing w:val="11"/>
                            <w:sz w:val="16"/>
                          </w:rPr>
                          <w:t> </w:t>
                        </w:r>
                        <w:r>
                          <w:rPr>
                            <w:rFonts w:ascii="Arial" w:hAnsi="Arial"/>
                            <w:b/>
                            <w:color w:val="FFFFFF"/>
                            <w:sz w:val="16"/>
                          </w:rPr>
                          <w:t>2018–July</w:t>
                        </w:r>
                        <w:r>
                          <w:rPr>
                            <w:rFonts w:ascii="Arial" w:hAnsi="Arial"/>
                            <w:b/>
                            <w:color w:val="FFFFFF"/>
                            <w:spacing w:val="10"/>
                            <w:sz w:val="16"/>
                          </w:rPr>
                          <w:t> </w:t>
                        </w:r>
                        <w:r>
                          <w:rPr>
                            <w:rFonts w:ascii="Arial" w:hAnsi="Arial"/>
                            <w:b/>
                            <w:color w:val="FFFFFF"/>
                            <w:spacing w:val="-4"/>
                            <w:sz w:val="16"/>
                          </w:rPr>
                          <w:t>2022</w:t>
                        </w:r>
                      </w:p>
                      <w:p>
                        <w:pPr>
                          <w:spacing w:line="240" w:lineRule="auto" w:before="89"/>
                          <w:rPr>
                            <w:rFonts w:ascii="Arial"/>
                            <w:b/>
                            <w:sz w:val="16"/>
                          </w:rPr>
                        </w:pPr>
                      </w:p>
                      <w:p>
                        <w:pPr>
                          <w:tabs>
                            <w:tab w:pos="6479" w:val="left" w:leader="none"/>
                          </w:tabs>
                          <w:spacing w:before="0"/>
                          <w:ind w:left="0" w:right="0" w:firstLine="0"/>
                          <w:jc w:val="left"/>
                          <w:rPr>
                            <w:rFonts w:ascii="Arial"/>
                            <w:sz w:val="14"/>
                          </w:rPr>
                        </w:pPr>
                        <w:r>
                          <w:rPr>
                            <w:rFonts w:ascii="Arial"/>
                            <w:color w:val="231F20"/>
                            <w:w w:val="75"/>
                            <w:sz w:val="14"/>
                          </w:rPr>
                          <w:t>Demand</w:t>
                        </w:r>
                        <w:r>
                          <w:rPr>
                            <w:rFonts w:ascii="Arial"/>
                            <w:color w:val="231F20"/>
                            <w:spacing w:val="7"/>
                            <w:sz w:val="14"/>
                          </w:rPr>
                          <w:t> </w:t>
                        </w:r>
                        <w:r>
                          <w:rPr>
                            <w:rFonts w:ascii="Arial"/>
                            <w:color w:val="231F20"/>
                            <w:w w:val="75"/>
                            <w:sz w:val="14"/>
                          </w:rPr>
                          <w:t>or</w:t>
                        </w:r>
                        <w:r>
                          <w:rPr>
                            <w:rFonts w:ascii="Arial"/>
                            <w:color w:val="231F20"/>
                            <w:spacing w:val="7"/>
                            <w:sz w:val="14"/>
                          </w:rPr>
                          <w:t> </w:t>
                        </w:r>
                        <w:r>
                          <w:rPr>
                            <w:rFonts w:ascii="Arial"/>
                            <w:color w:val="231F20"/>
                            <w:w w:val="75"/>
                            <w:sz w:val="14"/>
                          </w:rPr>
                          <w:t>supply</w:t>
                        </w:r>
                        <w:r>
                          <w:rPr>
                            <w:rFonts w:ascii="Arial"/>
                            <w:color w:val="231F20"/>
                            <w:spacing w:val="8"/>
                            <w:sz w:val="14"/>
                          </w:rPr>
                          <w:t> </w:t>
                        </w:r>
                        <w:r>
                          <w:rPr>
                            <w:rFonts w:ascii="Arial"/>
                            <w:color w:val="231F20"/>
                            <w:w w:val="75"/>
                            <w:sz w:val="14"/>
                          </w:rPr>
                          <w:t>(billions</w:t>
                        </w:r>
                        <w:r>
                          <w:rPr>
                            <w:rFonts w:ascii="Arial"/>
                            <w:color w:val="231F20"/>
                            <w:spacing w:val="7"/>
                            <w:sz w:val="14"/>
                          </w:rPr>
                          <w:t> </w:t>
                        </w:r>
                        <w:r>
                          <w:rPr>
                            <w:rFonts w:ascii="Arial"/>
                            <w:color w:val="231F20"/>
                            <w:w w:val="75"/>
                            <w:sz w:val="14"/>
                          </w:rPr>
                          <w:t>of</w:t>
                        </w:r>
                        <w:r>
                          <w:rPr>
                            <w:rFonts w:ascii="Arial"/>
                            <w:color w:val="231F20"/>
                            <w:spacing w:val="7"/>
                            <w:sz w:val="14"/>
                          </w:rPr>
                          <w:t> </w:t>
                        </w:r>
                        <w:r>
                          <w:rPr>
                            <w:rFonts w:ascii="Arial"/>
                            <w:color w:val="231F20"/>
                            <w:w w:val="75"/>
                            <w:sz w:val="14"/>
                          </w:rPr>
                          <w:t>cargo</w:t>
                        </w:r>
                        <w:r>
                          <w:rPr>
                            <w:rFonts w:ascii="Arial"/>
                            <w:color w:val="231F20"/>
                            <w:spacing w:val="8"/>
                            <w:sz w:val="14"/>
                          </w:rPr>
                          <w:t> </w:t>
                        </w:r>
                        <w:r>
                          <w:rPr>
                            <w:rFonts w:ascii="Arial"/>
                            <w:color w:val="231F20"/>
                            <w:w w:val="75"/>
                            <w:sz w:val="14"/>
                          </w:rPr>
                          <w:t>ton-</w:t>
                        </w:r>
                        <w:r>
                          <w:rPr>
                            <w:rFonts w:ascii="Arial"/>
                            <w:color w:val="231F20"/>
                            <w:spacing w:val="-5"/>
                            <w:w w:val="75"/>
                            <w:sz w:val="14"/>
                          </w:rPr>
                          <w:t>km)</w:t>
                        </w:r>
                        <w:r>
                          <w:rPr>
                            <w:rFonts w:ascii="Arial"/>
                            <w:color w:val="231F20"/>
                            <w:sz w:val="14"/>
                          </w:rPr>
                          <w:tab/>
                        </w:r>
                        <w:r>
                          <w:rPr>
                            <w:rFonts w:ascii="Arial"/>
                            <w:color w:val="231F20"/>
                            <w:w w:val="75"/>
                            <w:sz w:val="14"/>
                          </w:rPr>
                          <w:t>Price</w:t>
                        </w:r>
                        <w:r>
                          <w:rPr>
                            <w:rFonts w:ascii="Arial"/>
                            <w:color w:val="231F20"/>
                            <w:spacing w:val="1"/>
                            <w:sz w:val="14"/>
                          </w:rPr>
                          <w:t> </w:t>
                        </w:r>
                        <w:r>
                          <w:rPr>
                            <w:rFonts w:ascii="Arial"/>
                            <w:color w:val="231F20"/>
                            <w:w w:val="75"/>
                            <w:sz w:val="14"/>
                          </w:rPr>
                          <w:t>per</w:t>
                        </w:r>
                        <w:r>
                          <w:rPr>
                            <w:rFonts w:ascii="Arial"/>
                            <w:color w:val="231F20"/>
                            <w:spacing w:val="1"/>
                            <w:sz w:val="14"/>
                          </w:rPr>
                          <w:t> </w:t>
                        </w:r>
                        <w:r>
                          <w:rPr>
                            <w:rFonts w:ascii="Arial"/>
                            <w:color w:val="231F20"/>
                            <w:w w:val="75"/>
                            <w:sz w:val="14"/>
                          </w:rPr>
                          <w:t>kg</w:t>
                        </w:r>
                        <w:r>
                          <w:rPr>
                            <w:rFonts w:ascii="Arial"/>
                            <w:color w:val="231F20"/>
                            <w:spacing w:val="1"/>
                            <w:sz w:val="14"/>
                          </w:rPr>
                          <w:t> </w:t>
                        </w:r>
                        <w:r>
                          <w:rPr>
                            <w:rFonts w:ascii="Arial"/>
                            <w:color w:val="231F20"/>
                            <w:spacing w:val="-2"/>
                            <w:w w:val="75"/>
                            <w:sz w:val="14"/>
                          </w:rPr>
                          <w:t>(US$)</w:t>
                        </w:r>
                      </w:p>
                      <w:p>
                        <w:pPr>
                          <w:tabs>
                            <w:tab w:pos="7295" w:val="left" w:leader="none"/>
                          </w:tabs>
                          <w:spacing w:line="160" w:lineRule="exact" w:before="98"/>
                          <w:ind w:left="47" w:right="0" w:firstLine="0"/>
                          <w:jc w:val="left"/>
                          <w:rPr>
                            <w:rFonts w:ascii="Arial"/>
                            <w:sz w:val="14"/>
                          </w:rPr>
                        </w:pPr>
                        <w:r>
                          <w:rPr>
                            <w:rFonts w:ascii="Arial"/>
                            <w:color w:val="231F20"/>
                            <w:spacing w:val="-5"/>
                            <w:sz w:val="14"/>
                          </w:rPr>
                          <w:t>50</w:t>
                        </w:r>
                        <w:r>
                          <w:rPr>
                            <w:rFonts w:ascii="Arial"/>
                            <w:color w:val="231F20"/>
                            <w:sz w:val="14"/>
                          </w:rPr>
                          <w:tab/>
                        </w:r>
                        <w:r>
                          <w:rPr>
                            <w:rFonts w:ascii="Arial"/>
                            <w:color w:val="231F20"/>
                            <w:spacing w:val="-10"/>
                            <w:sz w:val="14"/>
                          </w:rPr>
                          <w:t>5</w:t>
                        </w:r>
                      </w:p>
                    </w:txbxContent>
                  </v:textbox>
                  <w10:wrap type="none"/>
                </v:shape>
                <v:shape style="position:absolute;left:167;top:1505;width:155;height:159" type="#_x0000_t202" id="docshape366" filled="false" stroked="false">
                  <v:textbox inset="0,0,0,0">
                    <w:txbxContent>
                      <w:p>
                        <w:pPr>
                          <w:spacing w:line="158" w:lineRule="exact" w:before="0"/>
                          <w:ind w:left="0" w:right="0" w:firstLine="0"/>
                          <w:jc w:val="left"/>
                          <w:rPr>
                            <w:rFonts w:ascii="Arial"/>
                            <w:sz w:val="14"/>
                          </w:rPr>
                        </w:pPr>
                        <w:r>
                          <w:rPr>
                            <w:rFonts w:ascii="Arial"/>
                            <w:color w:val="231F20"/>
                            <w:spacing w:val="-7"/>
                            <w:sz w:val="14"/>
                          </w:rPr>
                          <w:t>40</w:t>
                        </w:r>
                      </w:p>
                    </w:txbxContent>
                  </v:textbox>
                  <w10:wrap type="none"/>
                </v:shape>
                <v:shape style="position:absolute;left:7416;top:1505;width:88;height:159" type="#_x0000_t202" id="docshape367" filled="false" stroked="false">
                  <v:textbox inset="0,0,0,0">
                    <w:txbxContent>
                      <w:p>
                        <w:pPr>
                          <w:spacing w:line="158" w:lineRule="exact" w:before="0"/>
                          <w:ind w:left="0" w:right="0" w:firstLine="0"/>
                          <w:jc w:val="left"/>
                          <w:rPr>
                            <w:rFonts w:ascii="Arial"/>
                            <w:sz w:val="14"/>
                          </w:rPr>
                        </w:pPr>
                        <w:r>
                          <w:rPr>
                            <w:rFonts w:ascii="Arial"/>
                            <w:color w:val="231F20"/>
                            <w:spacing w:val="-10"/>
                            <w:sz w:val="14"/>
                          </w:rPr>
                          <w:t>4</w:t>
                        </w:r>
                      </w:p>
                    </w:txbxContent>
                  </v:textbox>
                  <w10:wrap type="none"/>
                </v:shape>
                <v:shape style="position:absolute;left:167;top:2182;width:155;height:159" type="#_x0000_t202" id="docshape368" filled="false" stroked="false">
                  <v:textbox inset="0,0,0,0">
                    <w:txbxContent>
                      <w:p>
                        <w:pPr>
                          <w:spacing w:line="158" w:lineRule="exact" w:before="0"/>
                          <w:ind w:left="0" w:right="0" w:firstLine="0"/>
                          <w:jc w:val="left"/>
                          <w:rPr>
                            <w:rFonts w:ascii="Arial"/>
                            <w:sz w:val="14"/>
                          </w:rPr>
                        </w:pPr>
                        <w:r>
                          <w:rPr>
                            <w:rFonts w:ascii="Arial"/>
                            <w:color w:val="231F20"/>
                            <w:spacing w:val="-7"/>
                            <w:sz w:val="14"/>
                          </w:rPr>
                          <w:t>30</w:t>
                        </w:r>
                      </w:p>
                    </w:txbxContent>
                  </v:textbox>
                  <w10:wrap type="none"/>
                </v:shape>
                <v:shape style="position:absolute;left:7416;top:2182;width:88;height:159" type="#_x0000_t202" id="docshape369" filled="false" stroked="false">
                  <v:textbox inset="0,0,0,0">
                    <w:txbxContent>
                      <w:p>
                        <w:pPr>
                          <w:spacing w:line="158" w:lineRule="exact" w:before="0"/>
                          <w:ind w:left="0" w:right="0" w:firstLine="0"/>
                          <w:jc w:val="left"/>
                          <w:rPr>
                            <w:rFonts w:ascii="Arial"/>
                            <w:sz w:val="14"/>
                          </w:rPr>
                        </w:pPr>
                        <w:r>
                          <w:rPr>
                            <w:rFonts w:ascii="Arial"/>
                            <w:color w:val="231F20"/>
                            <w:spacing w:val="-10"/>
                            <w:sz w:val="14"/>
                          </w:rPr>
                          <w:t>3</w:t>
                        </w:r>
                      </w:p>
                    </w:txbxContent>
                  </v:textbox>
                  <w10:wrap type="none"/>
                </v:shape>
                <v:shape style="position:absolute;left:167;top:2858;width:155;height:159" type="#_x0000_t202" id="docshape370" filled="false" stroked="false">
                  <v:textbox inset="0,0,0,0">
                    <w:txbxContent>
                      <w:p>
                        <w:pPr>
                          <w:spacing w:line="158" w:lineRule="exact" w:before="0"/>
                          <w:ind w:left="0" w:right="0" w:firstLine="0"/>
                          <w:jc w:val="left"/>
                          <w:rPr>
                            <w:rFonts w:ascii="Arial"/>
                            <w:sz w:val="14"/>
                          </w:rPr>
                        </w:pPr>
                        <w:r>
                          <w:rPr>
                            <w:rFonts w:ascii="Arial"/>
                            <w:color w:val="231F20"/>
                            <w:spacing w:val="-7"/>
                            <w:sz w:val="14"/>
                          </w:rPr>
                          <w:t>20</w:t>
                        </w:r>
                      </w:p>
                    </w:txbxContent>
                  </v:textbox>
                  <w10:wrap type="none"/>
                </v:shape>
                <v:shape style="position:absolute;left:7416;top:2858;width:88;height:159" type="#_x0000_t202" id="docshape371" filled="false" stroked="false">
                  <v:textbox inset="0,0,0,0">
                    <w:txbxContent>
                      <w:p>
                        <w:pPr>
                          <w:spacing w:line="158" w:lineRule="exact" w:before="0"/>
                          <w:ind w:left="0" w:right="0" w:firstLine="0"/>
                          <w:jc w:val="left"/>
                          <w:rPr>
                            <w:rFonts w:ascii="Arial"/>
                            <w:sz w:val="14"/>
                          </w:rPr>
                        </w:pPr>
                        <w:r>
                          <w:rPr>
                            <w:rFonts w:ascii="Arial"/>
                            <w:color w:val="231F20"/>
                            <w:spacing w:val="-10"/>
                            <w:sz w:val="14"/>
                          </w:rPr>
                          <w:t>2</w:t>
                        </w:r>
                      </w:p>
                    </w:txbxContent>
                  </v:textbox>
                  <w10:wrap type="none"/>
                </v:shape>
                <v:shape style="position:absolute;left:167;top:3535;width:155;height:159" type="#_x0000_t202" id="docshape372" filled="false" stroked="false">
                  <v:textbox inset="0,0,0,0">
                    <w:txbxContent>
                      <w:p>
                        <w:pPr>
                          <w:spacing w:line="158" w:lineRule="exact" w:before="0"/>
                          <w:ind w:left="0" w:right="0" w:firstLine="0"/>
                          <w:jc w:val="left"/>
                          <w:rPr>
                            <w:rFonts w:ascii="Arial"/>
                            <w:sz w:val="14"/>
                          </w:rPr>
                        </w:pPr>
                        <w:r>
                          <w:rPr>
                            <w:rFonts w:ascii="Arial"/>
                            <w:color w:val="231F20"/>
                            <w:spacing w:val="-7"/>
                            <w:sz w:val="14"/>
                          </w:rPr>
                          <w:t>10</w:t>
                        </w:r>
                      </w:p>
                    </w:txbxContent>
                  </v:textbox>
                  <w10:wrap type="none"/>
                </v:shape>
                <v:shape style="position:absolute;left:7416;top:3535;width:88;height:159" type="#_x0000_t202" id="docshape373" filled="false" stroked="false">
                  <v:textbox inset="0,0,0,0">
                    <w:txbxContent>
                      <w:p>
                        <w:pPr>
                          <w:spacing w:line="158" w:lineRule="exact" w:before="0"/>
                          <w:ind w:left="0" w:right="0" w:firstLine="0"/>
                          <w:jc w:val="left"/>
                          <w:rPr>
                            <w:rFonts w:ascii="Arial"/>
                            <w:sz w:val="14"/>
                          </w:rPr>
                        </w:pPr>
                        <w:r>
                          <w:rPr>
                            <w:rFonts w:ascii="Arial"/>
                            <w:color w:val="231F20"/>
                            <w:spacing w:val="-10"/>
                            <w:sz w:val="14"/>
                          </w:rPr>
                          <w:t>1</w:t>
                        </w:r>
                      </w:p>
                    </w:txbxContent>
                  </v:textbox>
                  <w10:wrap type="none"/>
                </v:shape>
                <v:shape style="position:absolute;left:234;top:4212;width:88;height:159" type="#_x0000_t202" id="docshape374" filled="false" stroked="false">
                  <v:textbox inset="0,0,0,0">
                    <w:txbxContent>
                      <w:p>
                        <w:pPr>
                          <w:spacing w:line="158" w:lineRule="exact" w:before="0"/>
                          <w:ind w:left="0" w:right="0" w:firstLine="0"/>
                          <w:jc w:val="left"/>
                          <w:rPr>
                            <w:rFonts w:ascii="Arial"/>
                            <w:sz w:val="14"/>
                          </w:rPr>
                        </w:pPr>
                        <w:r>
                          <w:rPr>
                            <w:rFonts w:ascii="Arial"/>
                            <w:color w:val="231F20"/>
                            <w:spacing w:val="-10"/>
                            <w:sz w:val="14"/>
                          </w:rPr>
                          <w:t>0</w:t>
                        </w:r>
                      </w:p>
                    </w:txbxContent>
                  </v:textbox>
                  <w10:wrap type="none"/>
                </v:shape>
                <v:shape style="position:absolute;left:7416;top:4212;width:88;height:159" type="#_x0000_t202" id="docshape375" filled="false" stroked="false">
                  <v:textbox inset="0,0,0,0">
                    <w:txbxContent>
                      <w:p>
                        <w:pPr>
                          <w:spacing w:line="158" w:lineRule="exact" w:before="0"/>
                          <w:ind w:left="0" w:right="0" w:firstLine="0"/>
                          <w:jc w:val="left"/>
                          <w:rPr>
                            <w:rFonts w:ascii="Arial"/>
                            <w:sz w:val="14"/>
                          </w:rPr>
                        </w:pPr>
                        <w:r>
                          <w:rPr>
                            <w:rFonts w:ascii="Arial"/>
                            <w:color w:val="231F20"/>
                            <w:spacing w:val="-10"/>
                            <w:sz w:val="14"/>
                          </w:rPr>
                          <w:t>0</w:t>
                        </w:r>
                      </w:p>
                    </w:txbxContent>
                  </v:textbox>
                  <w10:wrap type="none"/>
                </v:shape>
                <v:shape style="position:absolute;left:120;top:4332;width:7127;height:642" type="#_x0000_t202" id="docshape376" filled="false" stroked="false">
                  <v:textbox inset="0,0,0,0">
                    <w:txbxContent>
                      <w:p>
                        <w:pPr>
                          <w:tabs>
                            <w:tab w:pos="1787" w:val="left" w:leader="none"/>
                            <w:tab w:pos="3239" w:val="left" w:leader="none"/>
                            <w:tab w:pos="4691" w:val="left" w:leader="none"/>
                            <w:tab w:pos="6412" w:val="right" w:leader="none"/>
                          </w:tabs>
                          <w:spacing w:before="0"/>
                          <w:ind w:left="336" w:right="22" w:firstLine="30"/>
                          <w:jc w:val="left"/>
                          <w:rPr>
                            <w:rFonts w:ascii="Arial"/>
                            <w:sz w:val="14"/>
                          </w:rPr>
                        </w:pPr>
                        <w:r>
                          <w:rPr>
                            <w:rFonts w:ascii="Arial"/>
                            <w:color w:val="231F20"/>
                            <w:sz w:val="14"/>
                          </w:rPr>
                          <w:t>Jan.</w:t>
                        </w:r>
                        <w:r>
                          <w:rPr>
                            <w:rFonts w:ascii="Arial"/>
                            <w:color w:val="231F20"/>
                            <w:spacing w:val="57"/>
                            <w:sz w:val="14"/>
                          </w:rPr>
                          <w:t> </w:t>
                        </w:r>
                        <w:r>
                          <w:rPr>
                            <w:rFonts w:ascii="Arial"/>
                            <w:color w:val="231F20"/>
                            <w:sz w:val="14"/>
                          </w:rPr>
                          <w:t>Apr.</w:t>
                        </w:r>
                        <w:r>
                          <w:rPr>
                            <w:rFonts w:ascii="Arial"/>
                            <w:color w:val="231F20"/>
                            <w:spacing w:val="66"/>
                            <w:sz w:val="14"/>
                          </w:rPr>
                          <w:t> </w:t>
                        </w:r>
                        <w:r>
                          <w:rPr>
                            <w:rFonts w:ascii="Arial"/>
                            <w:color w:val="231F20"/>
                            <w:sz w:val="14"/>
                          </w:rPr>
                          <w:t>July</w:t>
                        </w:r>
                        <w:r>
                          <w:rPr>
                            <w:rFonts w:ascii="Arial"/>
                            <w:color w:val="231F20"/>
                            <w:spacing w:val="67"/>
                            <w:sz w:val="14"/>
                          </w:rPr>
                          <w:t> </w:t>
                        </w:r>
                        <w:r>
                          <w:rPr>
                            <w:rFonts w:ascii="Arial"/>
                            <w:color w:val="231F20"/>
                            <w:sz w:val="14"/>
                          </w:rPr>
                          <w:t>Oct.</w:t>
                        </w:r>
                        <w:r>
                          <w:rPr>
                            <w:rFonts w:ascii="Arial"/>
                            <w:color w:val="231F20"/>
                            <w:spacing w:val="57"/>
                            <w:sz w:val="14"/>
                          </w:rPr>
                          <w:t> </w:t>
                        </w:r>
                        <w:r>
                          <w:rPr>
                            <w:rFonts w:ascii="Arial"/>
                            <w:color w:val="231F20"/>
                            <w:sz w:val="14"/>
                          </w:rPr>
                          <w:t>Jan.</w:t>
                        </w:r>
                        <w:r>
                          <w:rPr>
                            <w:rFonts w:ascii="Arial"/>
                            <w:color w:val="231F20"/>
                            <w:spacing w:val="57"/>
                            <w:sz w:val="14"/>
                          </w:rPr>
                          <w:t> </w:t>
                        </w:r>
                        <w:r>
                          <w:rPr>
                            <w:rFonts w:ascii="Arial"/>
                            <w:color w:val="231F20"/>
                            <w:sz w:val="14"/>
                          </w:rPr>
                          <w:t>Apr.</w:t>
                        </w:r>
                        <w:r>
                          <w:rPr>
                            <w:rFonts w:ascii="Arial"/>
                            <w:color w:val="231F20"/>
                            <w:spacing w:val="66"/>
                            <w:sz w:val="14"/>
                          </w:rPr>
                          <w:t> </w:t>
                        </w:r>
                        <w:r>
                          <w:rPr>
                            <w:rFonts w:ascii="Arial"/>
                            <w:color w:val="231F20"/>
                            <w:sz w:val="14"/>
                          </w:rPr>
                          <w:t>July</w:t>
                        </w:r>
                        <w:r>
                          <w:rPr>
                            <w:rFonts w:ascii="Arial"/>
                            <w:color w:val="231F20"/>
                            <w:spacing w:val="67"/>
                            <w:sz w:val="14"/>
                          </w:rPr>
                          <w:t> </w:t>
                        </w:r>
                        <w:r>
                          <w:rPr>
                            <w:rFonts w:ascii="Arial"/>
                            <w:color w:val="231F20"/>
                            <w:sz w:val="14"/>
                          </w:rPr>
                          <w:t>Oct.</w:t>
                        </w:r>
                        <w:r>
                          <w:rPr>
                            <w:rFonts w:ascii="Arial"/>
                            <w:color w:val="231F20"/>
                            <w:spacing w:val="57"/>
                            <w:sz w:val="14"/>
                          </w:rPr>
                          <w:t> </w:t>
                        </w:r>
                        <w:r>
                          <w:rPr>
                            <w:rFonts w:ascii="Arial"/>
                            <w:color w:val="231F20"/>
                            <w:sz w:val="14"/>
                          </w:rPr>
                          <w:t>Jan.</w:t>
                        </w:r>
                        <w:r>
                          <w:rPr>
                            <w:rFonts w:ascii="Arial"/>
                            <w:color w:val="231F20"/>
                            <w:spacing w:val="57"/>
                            <w:sz w:val="14"/>
                          </w:rPr>
                          <w:t> </w:t>
                        </w:r>
                        <w:r>
                          <w:rPr>
                            <w:rFonts w:ascii="Arial"/>
                            <w:color w:val="231F20"/>
                            <w:sz w:val="14"/>
                          </w:rPr>
                          <w:t>Apr.</w:t>
                        </w:r>
                        <w:r>
                          <w:rPr>
                            <w:rFonts w:ascii="Arial"/>
                            <w:color w:val="231F20"/>
                            <w:spacing w:val="66"/>
                            <w:sz w:val="14"/>
                          </w:rPr>
                          <w:t> </w:t>
                        </w:r>
                        <w:r>
                          <w:rPr>
                            <w:rFonts w:ascii="Arial"/>
                            <w:color w:val="231F20"/>
                            <w:sz w:val="14"/>
                          </w:rPr>
                          <w:t>July</w:t>
                        </w:r>
                        <w:r>
                          <w:rPr>
                            <w:rFonts w:ascii="Arial"/>
                            <w:color w:val="231F20"/>
                            <w:spacing w:val="67"/>
                            <w:sz w:val="14"/>
                          </w:rPr>
                          <w:t> </w:t>
                        </w:r>
                        <w:r>
                          <w:rPr>
                            <w:rFonts w:ascii="Arial"/>
                            <w:color w:val="231F20"/>
                            <w:sz w:val="14"/>
                          </w:rPr>
                          <w:t>Oct.</w:t>
                        </w:r>
                        <w:r>
                          <w:rPr>
                            <w:rFonts w:ascii="Arial"/>
                            <w:color w:val="231F20"/>
                            <w:spacing w:val="57"/>
                            <w:sz w:val="14"/>
                          </w:rPr>
                          <w:t> </w:t>
                        </w:r>
                        <w:r>
                          <w:rPr>
                            <w:rFonts w:ascii="Arial"/>
                            <w:color w:val="231F20"/>
                            <w:sz w:val="14"/>
                          </w:rPr>
                          <w:t>Jan.</w:t>
                        </w:r>
                        <w:r>
                          <w:rPr>
                            <w:rFonts w:ascii="Arial"/>
                            <w:color w:val="231F20"/>
                            <w:spacing w:val="57"/>
                            <w:sz w:val="14"/>
                          </w:rPr>
                          <w:t> </w:t>
                        </w:r>
                        <w:r>
                          <w:rPr>
                            <w:rFonts w:ascii="Arial"/>
                            <w:color w:val="231F20"/>
                            <w:sz w:val="14"/>
                          </w:rPr>
                          <w:t>Apr.</w:t>
                        </w:r>
                        <w:r>
                          <w:rPr>
                            <w:rFonts w:ascii="Arial"/>
                            <w:color w:val="231F20"/>
                            <w:spacing w:val="66"/>
                            <w:sz w:val="14"/>
                          </w:rPr>
                          <w:t> </w:t>
                        </w:r>
                        <w:r>
                          <w:rPr>
                            <w:rFonts w:ascii="Arial"/>
                            <w:color w:val="231F20"/>
                            <w:sz w:val="14"/>
                          </w:rPr>
                          <w:t>July</w:t>
                        </w:r>
                        <w:r>
                          <w:rPr>
                            <w:rFonts w:ascii="Arial"/>
                            <w:color w:val="231F20"/>
                            <w:spacing w:val="67"/>
                            <w:sz w:val="14"/>
                          </w:rPr>
                          <w:t> </w:t>
                        </w:r>
                        <w:r>
                          <w:rPr>
                            <w:rFonts w:ascii="Arial"/>
                            <w:color w:val="231F20"/>
                            <w:sz w:val="14"/>
                          </w:rPr>
                          <w:t>Oct.</w:t>
                        </w:r>
                        <w:r>
                          <w:rPr>
                            <w:rFonts w:ascii="Arial"/>
                            <w:color w:val="231F20"/>
                            <w:spacing w:val="57"/>
                            <w:sz w:val="14"/>
                          </w:rPr>
                          <w:t> </w:t>
                        </w:r>
                        <w:r>
                          <w:rPr>
                            <w:rFonts w:ascii="Arial"/>
                            <w:color w:val="231F20"/>
                            <w:sz w:val="14"/>
                          </w:rPr>
                          <w:t>Jan.</w:t>
                        </w:r>
                        <w:r>
                          <w:rPr>
                            <w:rFonts w:ascii="Arial"/>
                            <w:color w:val="231F20"/>
                            <w:spacing w:val="57"/>
                            <w:sz w:val="14"/>
                          </w:rPr>
                          <w:t> </w:t>
                        </w:r>
                        <w:r>
                          <w:rPr>
                            <w:rFonts w:ascii="Arial"/>
                            <w:color w:val="231F20"/>
                            <w:sz w:val="14"/>
                          </w:rPr>
                          <w:t>Apr.</w:t>
                        </w:r>
                        <w:r>
                          <w:rPr>
                            <w:rFonts w:ascii="Arial"/>
                            <w:color w:val="231F20"/>
                            <w:spacing w:val="66"/>
                            <w:sz w:val="14"/>
                          </w:rPr>
                          <w:t> </w:t>
                        </w:r>
                        <w:r>
                          <w:rPr>
                            <w:rFonts w:ascii="Arial"/>
                            <w:color w:val="231F20"/>
                            <w:sz w:val="14"/>
                          </w:rPr>
                          <w:t>July</w:t>
                        </w:r>
                        <w:r>
                          <w:rPr>
                            <w:rFonts w:ascii="Arial"/>
                            <w:color w:val="231F20"/>
                            <w:spacing w:val="40"/>
                            <w:sz w:val="14"/>
                          </w:rPr>
                          <w:t> </w:t>
                        </w:r>
                        <w:r>
                          <w:rPr>
                            <w:rFonts w:ascii="Arial"/>
                            <w:color w:val="231F20"/>
                            <w:spacing w:val="-4"/>
                            <w:sz w:val="14"/>
                          </w:rPr>
                          <w:t>2018</w:t>
                        </w:r>
                        <w:r>
                          <w:rPr>
                            <w:rFonts w:ascii="Arial"/>
                            <w:color w:val="231F20"/>
                            <w:sz w:val="14"/>
                          </w:rPr>
                          <w:tab/>
                        </w:r>
                        <w:r>
                          <w:rPr>
                            <w:rFonts w:ascii="Arial"/>
                            <w:color w:val="231F20"/>
                            <w:spacing w:val="-4"/>
                            <w:sz w:val="14"/>
                          </w:rPr>
                          <w:t>2019</w:t>
                        </w:r>
                        <w:r>
                          <w:rPr>
                            <w:rFonts w:ascii="Arial"/>
                            <w:color w:val="231F20"/>
                            <w:sz w:val="14"/>
                          </w:rPr>
                          <w:tab/>
                        </w:r>
                        <w:r>
                          <w:rPr>
                            <w:rFonts w:ascii="Arial"/>
                            <w:color w:val="231F20"/>
                            <w:spacing w:val="-4"/>
                            <w:sz w:val="14"/>
                          </w:rPr>
                          <w:t>2020</w:t>
                        </w:r>
                        <w:r>
                          <w:rPr>
                            <w:rFonts w:ascii="Arial"/>
                            <w:color w:val="231F20"/>
                            <w:sz w:val="14"/>
                          </w:rPr>
                          <w:tab/>
                        </w:r>
                        <w:r>
                          <w:rPr>
                            <w:rFonts w:ascii="Arial"/>
                            <w:color w:val="231F20"/>
                            <w:spacing w:val="-4"/>
                            <w:sz w:val="14"/>
                          </w:rPr>
                          <w:t>2021</w:t>
                        </w:r>
                        <w:r>
                          <w:rPr>
                            <w:rFonts w:ascii="Arial"/>
                            <w:color w:val="231F20"/>
                            <w:sz w:val="14"/>
                          </w:rPr>
                          <w:tab/>
                        </w:r>
                        <w:r>
                          <w:rPr>
                            <w:rFonts w:ascii="Arial"/>
                            <w:color w:val="231F20"/>
                            <w:spacing w:val="-4"/>
                            <w:sz w:val="14"/>
                          </w:rPr>
                          <w:t>2022</w:t>
                        </w:r>
                      </w:p>
                      <w:p>
                        <w:pPr>
                          <w:spacing w:line="240" w:lineRule="auto" w:before="12"/>
                          <w:rPr>
                            <w:rFonts w:ascii="Arial"/>
                            <w:sz w:val="14"/>
                          </w:rPr>
                        </w:pPr>
                      </w:p>
                      <w:p>
                        <w:pPr>
                          <w:spacing w:before="1"/>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Dewulf</w:t>
                        </w:r>
                        <w:r>
                          <w:rPr>
                            <w:rFonts w:ascii="Arial"/>
                            <w:color w:val="231F20"/>
                            <w:spacing w:val="-1"/>
                            <w:sz w:val="12"/>
                          </w:rPr>
                          <w:t> </w:t>
                        </w:r>
                        <w:r>
                          <w:rPr>
                            <w:rFonts w:ascii="Arial"/>
                            <w:color w:val="231F20"/>
                            <w:w w:val="75"/>
                            <w:sz w:val="12"/>
                          </w:rPr>
                          <w:t>and</w:t>
                        </w:r>
                        <w:r>
                          <w:rPr>
                            <w:rFonts w:ascii="Arial"/>
                            <w:color w:val="231F20"/>
                            <w:spacing w:val="-7"/>
                            <w:sz w:val="12"/>
                          </w:rPr>
                          <w:t> </w:t>
                        </w:r>
                        <w:r>
                          <w:rPr>
                            <w:rFonts w:ascii="Arial"/>
                            <w:color w:val="231F20"/>
                            <w:w w:val="75"/>
                            <w:sz w:val="12"/>
                          </w:rPr>
                          <w:t>Van</w:t>
                        </w:r>
                        <w:r>
                          <w:rPr>
                            <w:rFonts w:ascii="Arial"/>
                            <w:color w:val="231F20"/>
                            <w:spacing w:val="-1"/>
                            <w:sz w:val="12"/>
                          </w:rPr>
                          <w:t> </w:t>
                        </w:r>
                        <w:r>
                          <w:rPr>
                            <w:rFonts w:ascii="Arial"/>
                            <w:color w:val="231F20"/>
                            <w:w w:val="75"/>
                            <w:sz w:val="12"/>
                          </w:rPr>
                          <w:t>Broekstaele</w:t>
                        </w:r>
                        <w:r>
                          <w:rPr>
                            <w:rFonts w:ascii="Arial"/>
                            <w:color w:val="231F20"/>
                            <w:spacing w:val="-1"/>
                            <w:sz w:val="12"/>
                          </w:rPr>
                          <w:t> </w:t>
                        </w:r>
                        <w:r>
                          <w:rPr>
                            <w:rFonts w:ascii="Arial"/>
                            <w:color w:val="231F20"/>
                            <w:w w:val="75"/>
                            <w:sz w:val="12"/>
                          </w:rPr>
                          <w:t>(2022)</w:t>
                        </w:r>
                        <w:r>
                          <w:rPr>
                            <w:rFonts w:ascii="Arial"/>
                            <w:color w:val="231F20"/>
                            <w:spacing w:val="-1"/>
                            <w:sz w:val="12"/>
                          </w:rPr>
                          <w:t> </w:t>
                        </w:r>
                        <w:r>
                          <w:rPr>
                            <w:rFonts w:ascii="Arial"/>
                            <w:color w:val="231F20"/>
                            <w:w w:val="75"/>
                            <w:sz w:val="12"/>
                          </w:rPr>
                          <w:t>based</w:t>
                        </w:r>
                        <w:r>
                          <w:rPr>
                            <w:rFonts w:ascii="Arial"/>
                            <w:color w:val="231F20"/>
                            <w:spacing w:val="-1"/>
                            <w:sz w:val="12"/>
                          </w:rPr>
                          <w:t> </w:t>
                        </w:r>
                        <w:r>
                          <w:rPr>
                            <w:rFonts w:ascii="Arial"/>
                            <w:color w:val="231F20"/>
                            <w:w w:val="75"/>
                            <w:sz w:val="12"/>
                          </w:rPr>
                          <w:t>on</w:t>
                        </w:r>
                        <w:r>
                          <w:rPr>
                            <w:rFonts w:ascii="Arial"/>
                            <w:color w:val="231F20"/>
                            <w:spacing w:val="-1"/>
                            <w:sz w:val="12"/>
                          </w:rPr>
                          <w:t> </w:t>
                        </w:r>
                        <w:r>
                          <w:rPr>
                            <w:rFonts w:ascii="Arial"/>
                            <w:color w:val="231F20"/>
                            <w:w w:val="75"/>
                            <w:sz w:val="12"/>
                          </w:rPr>
                          <w:t>data</w:t>
                        </w:r>
                        <w:r>
                          <w:rPr>
                            <w:rFonts w:ascii="Arial"/>
                            <w:color w:val="231F20"/>
                            <w:spacing w:val="-1"/>
                            <w:sz w:val="12"/>
                          </w:rPr>
                          <w:t> </w:t>
                        </w:r>
                        <w:r>
                          <w:rPr>
                            <w:rFonts w:ascii="Arial"/>
                            <w:color w:val="231F20"/>
                            <w:w w:val="75"/>
                            <w:sz w:val="12"/>
                          </w:rPr>
                          <w:t>from</w:t>
                        </w:r>
                        <w:r>
                          <w:rPr>
                            <w:rFonts w:ascii="Arial"/>
                            <w:color w:val="231F20"/>
                            <w:spacing w:val="-1"/>
                            <w:sz w:val="12"/>
                          </w:rPr>
                          <w:t> </w:t>
                        </w:r>
                        <w:r>
                          <w:rPr>
                            <w:rFonts w:ascii="Arial"/>
                            <w:color w:val="231F20"/>
                            <w:w w:val="75"/>
                            <w:sz w:val="12"/>
                          </w:rPr>
                          <w:t>the</w:t>
                        </w:r>
                        <w:r>
                          <w:rPr>
                            <w:rFonts w:ascii="Arial"/>
                            <w:color w:val="231F20"/>
                            <w:spacing w:val="-1"/>
                            <w:sz w:val="12"/>
                          </w:rPr>
                          <w:t> </w:t>
                        </w:r>
                        <w:r>
                          <w:rPr>
                            <w:rFonts w:ascii="Arial"/>
                            <w:color w:val="231F20"/>
                            <w:w w:val="75"/>
                            <w:sz w:val="12"/>
                          </w:rPr>
                          <w:t>Freightos</w:t>
                        </w:r>
                        <w:r>
                          <w:rPr>
                            <w:rFonts w:ascii="Arial"/>
                            <w:color w:val="231F20"/>
                            <w:spacing w:val="-7"/>
                            <w:sz w:val="12"/>
                          </w:rPr>
                          <w:t> </w:t>
                        </w:r>
                        <w:r>
                          <w:rPr>
                            <w:rFonts w:ascii="Arial"/>
                            <w:color w:val="231F20"/>
                            <w:w w:val="75"/>
                            <w:sz w:val="12"/>
                          </w:rPr>
                          <w:t>Air</w:t>
                        </w:r>
                        <w:r>
                          <w:rPr>
                            <w:rFonts w:ascii="Arial"/>
                            <w:color w:val="231F20"/>
                            <w:spacing w:val="-1"/>
                            <w:sz w:val="12"/>
                          </w:rPr>
                          <w:t> </w:t>
                        </w:r>
                        <w:r>
                          <w:rPr>
                            <w:rFonts w:ascii="Arial"/>
                            <w:color w:val="231F20"/>
                            <w:w w:val="75"/>
                            <w:sz w:val="12"/>
                          </w:rPr>
                          <w:t>Index,</w:t>
                        </w:r>
                        <w:r>
                          <w:rPr>
                            <w:rFonts w:ascii="Arial"/>
                            <w:color w:val="231F20"/>
                            <w:spacing w:val="-7"/>
                            <w:sz w:val="12"/>
                          </w:rPr>
                          <w:t> </w:t>
                        </w:r>
                        <w:r>
                          <w:rPr>
                            <w:rFonts w:ascii="Arial"/>
                            <w:color w:val="231F20"/>
                            <w:w w:val="75"/>
                            <w:sz w:val="12"/>
                          </w:rPr>
                          <w:t>Cargo</w:t>
                        </w:r>
                        <w:r>
                          <w:rPr>
                            <w:rFonts w:ascii="Arial"/>
                            <w:color w:val="231F20"/>
                            <w:spacing w:val="-1"/>
                            <w:sz w:val="12"/>
                          </w:rPr>
                          <w:t> </w:t>
                        </w:r>
                        <w:r>
                          <w:rPr>
                            <w:rFonts w:ascii="Arial"/>
                            <w:color w:val="231F20"/>
                            <w:w w:val="75"/>
                            <w:sz w:val="12"/>
                          </w:rPr>
                          <w:t>iQ</w:t>
                        </w:r>
                        <w:r>
                          <w:rPr>
                            <w:rFonts w:ascii="Arial"/>
                            <w:color w:val="231F20"/>
                            <w:spacing w:val="-1"/>
                            <w:sz w:val="12"/>
                          </w:rPr>
                          <w:t> </w:t>
                        </w:r>
                        <w:r>
                          <w:rPr>
                            <w:rFonts w:ascii="Arial"/>
                            <w:color w:val="231F20"/>
                            <w:w w:val="75"/>
                            <w:sz w:val="12"/>
                          </w:rPr>
                          <w:t>(supported</w:t>
                        </w:r>
                        <w:r>
                          <w:rPr>
                            <w:rFonts w:ascii="Arial"/>
                            <w:color w:val="231F20"/>
                            <w:spacing w:val="-1"/>
                            <w:sz w:val="12"/>
                          </w:rPr>
                          <w:t> </w:t>
                        </w:r>
                        <w:r>
                          <w:rPr>
                            <w:rFonts w:ascii="Arial"/>
                            <w:color w:val="231F20"/>
                            <w:w w:val="75"/>
                            <w:sz w:val="12"/>
                          </w:rPr>
                          <w:t>by</w:t>
                        </w:r>
                        <w:r>
                          <w:rPr>
                            <w:rFonts w:ascii="Arial"/>
                            <w:color w:val="231F20"/>
                            <w:spacing w:val="-1"/>
                            <w:sz w:val="12"/>
                          </w:rPr>
                          <w:t> </w:t>
                        </w:r>
                        <w:r>
                          <w:rPr>
                            <w:rFonts w:ascii="Arial"/>
                            <w:color w:val="231F20"/>
                            <w:w w:val="75"/>
                            <w:sz w:val="12"/>
                          </w:rPr>
                          <w:t>the</w:t>
                        </w:r>
                        <w:r>
                          <w:rPr>
                            <w:rFonts w:ascii="Arial"/>
                            <w:color w:val="231F20"/>
                            <w:spacing w:val="-1"/>
                            <w:sz w:val="12"/>
                          </w:rPr>
                          <w:t> </w:t>
                        </w:r>
                        <w:r>
                          <w:rPr>
                            <w:rFonts w:ascii="Arial"/>
                            <w:color w:val="231F20"/>
                            <w:w w:val="75"/>
                            <w:sz w:val="12"/>
                          </w:rPr>
                          <w:t>International</w:t>
                        </w:r>
                        <w:r>
                          <w:rPr>
                            <w:rFonts w:ascii="Arial"/>
                            <w:color w:val="231F20"/>
                            <w:spacing w:val="-7"/>
                            <w:sz w:val="12"/>
                          </w:rPr>
                          <w:t> </w:t>
                        </w:r>
                        <w:r>
                          <w:rPr>
                            <w:rFonts w:ascii="Arial"/>
                            <w:color w:val="231F20"/>
                            <w:w w:val="75"/>
                            <w:sz w:val="12"/>
                          </w:rPr>
                          <w:t>Air</w:t>
                        </w:r>
                        <w:r>
                          <w:rPr>
                            <w:rFonts w:ascii="Arial"/>
                            <w:color w:val="231F20"/>
                            <w:spacing w:val="-7"/>
                            <w:sz w:val="12"/>
                          </w:rPr>
                          <w:t> </w:t>
                        </w:r>
                        <w:r>
                          <w:rPr>
                            <w:rFonts w:ascii="Arial"/>
                            <w:color w:val="231F20"/>
                            <w:w w:val="75"/>
                            <w:sz w:val="12"/>
                          </w:rPr>
                          <w:t>Transport</w:t>
                        </w:r>
                        <w:r>
                          <w:rPr>
                            <w:rFonts w:ascii="Arial"/>
                            <w:color w:val="231F20"/>
                            <w:spacing w:val="-7"/>
                            <w:sz w:val="12"/>
                          </w:rPr>
                          <w:t> </w:t>
                        </w:r>
                        <w:r>
                          <w:rPr>
                            <w:rFonts w:ascii="Arial"/>
                            <w:color w:val="231F20"/>
                            <w:w w:val="75"/>
                            <w:sz w:val="12"/>
                          </w:rPr>
                          <w:t>Association),</w:t>
                        </w:r>
                        <w:r>
                          <w:rPr>
                            <w:rFonts w:ascii="Arial"/>
                            <w:color w:val="231F20"/>
                            <w:spacing w:val="-7"/>
                            <w:sz w:val="12"/>
                          </w:rPr>
                          <w:t> </w:t>
                        </w:r>
                        <w:r>
                          <w:rPr>
                            <w:rFonts w:ascii="Arial"/>
                            <w:color w:val="231F20"/>
                            <w:w w:val="75"/>
                            <w:sz w:val="12"/>
                          </w:rPr>
                          <w:t>and</w:t>
                        </w:r>
                        <w:r>
                          <w:rPr>
                            <w:rFonts w:ascii="Arial"/>
                            <w:color w:val="231F20"/>
                            <w:spacing w:val="-7"/>
                            <w:sz w:val="12"/>
                          </w:rPr>
                          <w:t> </w:t>
                        </w:r>
                        <w:r>
                          <w:rPr>
                            <w:rFonts w:ascii="Arial"/>
                            <w:color w:val="231F20"/>
                            <w:spacing w:val="-2"/>
                            <w:w w:val="75"/>
                            <w:sz w:val="12"/>
                          </w:rPr>
                          <w:t>WorldACD.</w:t>
                        </w:r>
                      </w:p>
                    </w:txbxContent>
                  </v:textbox>
                  <w10:wrap type="none"/>
                </v:shape>
                <v:shape style="position:absolute;left:6403;top:3602;width:903;height:667" type="#_x0000_t202" id="docshape377" filled="false" stroked="false">
                  <v:textbox inset="0,0,0,0">
                    <w:txbxContent>
                      <w:p>
                        <w:pPr>
                          <w:spacing w:line="240" w:lineRule="auto" w:before="0"/>
                          <w:rPr>
                            <w:sz w:val="14"/>
                          </w:rPr>
                        </w:pPr>
                      </w:p>
                      <w:p>
                        <w:pPr>
                          <w:spacing w:line="240" w:lineRule="auto" w:before="119"/>
                          <w:rPr>
                            <w:sz w:val="14"/>
                          </w:rPr>
                        </w:pPr>
                      </w:p>
                      <w:p>
                        <w:pPr>
                          <w:spacing w:before="0"/>
                          <w:ind w:left="56" w:right="0" w:firstLine="0"/>
                          <w:jc w:val="left"/>
                          <w:rPr>
                            <w:rFonts w:ascii="Arial"/>
                            <w:sz w:val="14"/>
                          </w:rPr>
                        </w:pPr>
                        <w:r>
                          <w:rPr>
                            <w:rFonts w:ascii="Arial"/>
                            <w:color w:val="231F20"/>
                            <w:w w:val="80"/>
                            <w:sz w:val="14"/>
                          </w:rPr>
                          <w:t>After</w:t>
                        </w:r>
                        <w:r>
                          <w:rPr>
                            <w:rFonts w:ascii="Arial"/>
                            <w:color w:val="231F20"/>
                            <w:spacing w:val="-7"/>
                            <w:sz w:val="14"/>
                          </w:rPr>
                          <w:t> </w:t>
                        </w:r>
                        <w:r>
                          <w:rPr>
                            <w:rFonts w:ascii="Arial"/>
                            <w:color w:val="231F20"/>
                            <w:w w:val="80"/>
                            <w:sz w:val="14"/>
                          </w:rPr>
                          <w:t>COVID-</w:t>
                        </w:r>
                        <w:r>
                          <w:rPr>
                            <w:rFonts w:ascii="Arial"/>
                            <w:color w:val="231F20"/>
                            <w:spacing w:val="-5"/>
                            <w:w w:val="80"/>
                            <w:sz w:val="14"/>
                          </w:rPr>
                          <w:t>19</w:t>
                        </w:r>
                      </w:p>
                    </w:txbxContent>
                  </v:textbox>
                  <w10:wrap type="none"/>
                </v:shape>
                <v:shape style="position:absolute;left:3499;top:3602;width:2894;height:667" type="#_x0000_t202" id="docshape378" filled="false" stroked="false">
                  <v:textbox inset="0,0,0,0">
                    <w:txbxContent>
                      <w:p>
                        <w:pPr>
                          <w:spacing w:line="240" w:lineRule="auto" w:before="0"/>
                          <w:rPr>
                            <w:sz w:val="14"/>
                          </w:rPr>
                        </w:pPr>
                      </w:p>
                      <w:p>
                        <w:pPr>
                          <w:spacing w:line="240" w:lineRule="auto" w:before="119"/>
                          <w:rPr>
                            <w:sz w:val="14"/>
                          </w:rPr>
                        </w:pPr>
                      </w:p>
                      <w:p>
                        <w:pPr>
                          <w:spacing w:before="0"/>
                          <w:ind w:left="0" w:right="0" w:firstLine="0"/>
                          <w:jc w:val="center"/>
                          <w:rPr>
                            <w:rFonts w:ascii="Arial"/>
                            <w:sz w:val="14"/>
                          </w:rPr>
                        </w:pPr>
                        <w:r>
                          <w:rPr>
                            <w:rFonts w:ascii="Arial"/>
                            <w:color w:val="231F20"/>
                            <w:w w:val="80"/>
                            <w:sz w:val="14"/>
                          </w:rPr>
                          <w:t>During</w:t>
                        </w:r>
                        <w:r>
                          <w:rPr>
                            <w:rFonts w:ascii="Arial"/>
                            <w:color w:val="231F20"/>
                            <w:spacing w:val="-4"/>
                            <w:sz w:val="14"/>
                          </w:rPr>
                          <w:t> </w:t>
                        </w:r>
                        <w:r>
                          <w:rPr>
                            <w:rFonts w:ascii="Arial"/>
                            <w:color w:val="231F20"/>
                            <w:w w:val="80"/>
                            <w:sz w:val="14"/>
                          </w:rPr>
                          <w:t>COVID-</w:t>
                        </w:r>
                        <w:r>
                          <w:rPr>
                            <w:rFonts w:ascii="Arial"/>
                            <w:color w:val="231F20"/>
                            <w:spacing w:val="-5"/>
                            <w:w w:val="80"/>
                            <w:sz w:val="14"/>
                          </w:rPr>
                          <w:t>19</w:t>
                        </w:r>
                      </w:p>
                    </w:txbxContent>
                  </v:textbox>
                  <w10:wrap type="none"/>
                </v:shape>
                <v:shape style="position:absolute;left:409;top:3602;width:3080;height:667" type="#_x0000_t202" id="docshape379" filled="false" stroked="false">
                  <v:textbox inset="0,0,0,0">
                    <w:txbxContent>
                      <w:p>
                        <w:pPr>
                          <w:spacing w:line="240" w:lineRule="auto" w:before="0"/>
                          <w:rPr>
                            <w:sz w:val="14"/>
                          </w:rPr>
                        </w:pPr>
                      </w:p>
                      <w:p>
                        <w:pPr>
                          <w:spacing w:line="240" w:lineRule="auto" w:before="119"/>
                          <w:rPr>
                            <w:sz w:val="14"/>
                          </w:rPr>
                        </w:pPr>
                      </w:p>
                      <w:p>
                        <w:pPr>
                          <w:spacing w:before="0"/>
                          <w:ind w:left="4" w:right="0" w:firstLine="0"/>
                          <w:jc w:val="center"/>
                          <w:rPr>
                            <w:rFonts w:ascii="Arial"/>
                            <w:sz w:val="14"/>
                          </w:rPr>
                        </w:pPr>
                        <w:r>
                          <w:rPr>
                            <w:rFonts w:ascii="Arial"/>
                            <w:color w:val="231F20"/>
                            <w:w w:val="75"/>
                            <w:sz w:val="14"/>
                          </w:rPr>
                          <w:t>Before</w:t>
                        </w:r>
                        <w:r>
                          <w:rPr>
                            <w:rFonts w:ascii="Arial"/>
                            <w:color w:val="231F20"/>
                            <w:spacing w:val="33"/>
                            <w:sz w:val="14"/>
                          </w:rPr>
                          <w:t> </w:t>
                        </w:r>
                        <w:r>
                          <w:rPr>
                            <w:rFonts w:ascii="Arial"/>
                            <w:color w:val="231F20"/>
                            <w:w w:val="75"/>
                            <w:sz w:val="14"/>
                          </w:rPr>
                          <w:t>COVID-</w:t>
                        </w:r>
                        <w:r>
                          <w:rPr>
                            <w:rFonts w:ascii="Arial"/>
                            <w:color w:val="231F20"/>
                            <w:spacing w:val="-5"/>
                            <w:w w:val="75"/>
                            <w:sz w:val="14"/>
                          </w:rPr>
                          <w:t>19</w:t>
                        </w:r>
                      </w:p>
                    </w:txbxContent>
                  </v:textbox>
                  <w10:wrap type="none"/>
                </v:shape>
                <v:shape style="position:absolute;left:409;top:2925;width:3080;height:667" type="#_x0000_t202" id="docshape380" filled="false" stroked="false">
                  <v:textbox inset="0,0,0,0">
                    <w:txbxContent>
                      <w:p>
                        <w:pPr>
                          <w:spacing w:line="240" w:lineRule="auto" w:before="0"/>
                          <w:rPr>
                            <w:sz w:val="14"/>
                          </w:rPr>
                        </w:pPr>
                      </w:p>
                      <w:p>
                        <w:pPr>
                          <w:spacing w:line="240" w:lineRule="auto" w:before="120"/>
                          <w:rPr>
                            <w:sz w:val="14"/>
                          </w:rPr>
                        </w:pPr>
                      </w:p>
                      <w:p>
                        <w:pPr>
                          <w:spacing w:before="0"/>
                          <w:ind w:left="624" w:right="0" w:firstLine="0"/>
                          <w:jc w:val="left"/>
                          <w:rPr>
                            <w:rFonts w:ascii="Arial"/>
                            <w:sz w:val="14"/>
                          </w:rPr>
                        </w:pPr>
                        <w:r>
                          <w:rPr>
                            <w:rFonts w:ascii="Arial"/>
                            <w:color w:val="231F20"/>
                            <w:w w:val="80"/>
                            <w:sz w:val="14"/>
                          </w:rPr>
                          <w:t>Demand</w:t>
                        </w:r>
                        <w:r>
                          <w:rPr>
                            <w:rFonts w:ascii="Arial"/>
                            <w:color w:val="231F20"/>
                            <w:spacing w:val="-1"/>
                            <w:sz w:val="14"/>
                          </w:rPr>
                          <w:t> </w:t>
                        </w:r>
                        <w:r>
                          <w:rPr>
                            <w:rFonts w:ascii="Arial"/>
                            <w:color w:val="231F20"/>
                            <w:w w:val="80"/>
                            <w:sz w:val="14"/>
                          </w:rPr>
                          <w:t>(left</w:t>
                        </w:r>
                        <w:r>
                          <w:rPr>
                            <w:rFonts w:ascii="Arial"/>
                            <w:color w:val="231F20"/>
                            <w:spacing w:val="1"/>
                            <w:sz w:val="14"/>
                          </w:rPr>
                          <w:t> </w:t>
                        </w:r>
                        <w:r>
                          <w:rPr>
                            <w:rFonts w:ascii="Arial"/>
                            <w:color w:val="231F20"/>
                            <w:spacing w:val="-2"/>
                            <w:w w:val="80"/>
                            <w:sz w:val="14"/>
                          </w:rPr>
                          <w:t>axis)</w:t>
                        </w:r>
                      </w:p>
                    </w:txbxContent>
                  </v:textbox>
                  <w10:wrap type="none"/>
                </v:shape>
                <v:shape style="position:absolute;left:409;top:2249;width:3080;height:667" type="#_x0000_t202" id="docshape381" filled="false" stroked="false">
                  <v:textbox inset="0,0,0,0">
                    <w:txbxContent>
                      <w:p>
                        <w:pPr>
                          <w:spacing w:line="240" w:lineRule="auto" w:before="0"/>
                          <w:rPr>
                            <w:sz w:val="14"/>
                          </w:rPr>
                        </w:pPr>
                      </w:p>
                      <w:p>
                        <w:pPr>
                          <w:spacing w:line="240" w:lineRule="auto" w:before="120"/>
                          <w:rPr>
                            <w:sz w:val="14"/>
                          </w:rPr>
                        </w:pPr>
                      </w:p>
                      <w:p>
                        <w:pPr>
                          <w:spacing w:before="0"/>
                          <w:ind w:left="438" w:right="0" w:firstLine="0"/>
                          <w:jc w:val="left"/>
                          <w:rPr>
                            <w:rFonts w:ascii="Arial"/>
                            <w:sz w:val="14"/>
                          </w:rPr>
                        </w:pPr>
                        <w:r>
                          <w:rPr>
                            <w:rFonts w:ascii="Arial"/>
                            <w:color w:val="231F20"/>
                            <w:w w:val="80"/>
                            <w:sz w:val="14"/>
                          </w:rPr>
                          <w:t>Price</w:t>
                        </w:r>
                        <w:r>
                          <w:rPr>
                            <w:rFonts w:ascii="Arial"/>
                            <w:color w:val="231F20"/>
                            <w:spacing w:val="-1"/>
                            <w:sz w:val="14"/>
                          </w:rPr>
                          <w:t> </w:t>
                        </w:r>
                        <w:r>
                          <w:rPr>
                            <w:rFonts w:ascii="Arial"/>
                            <w:color w:val="231F20"/>
                            <w:w w:val="80"/>
                            <w:sz w:val="14"/>
                          </w:rPr>
                          <w:t>(right</w:t>
                        </w:r>
                        <w:r>
                          <w:rPr>
                            <w:rFonts w:ascii="Arial"/>
                            <w:color w:val="231F20"/>
                            <w:spacing w:val="2"/>
                            <w:sz w:val="14"/>
                          </w:rPr>
                          <w:t> </w:t>
                        </w:r>
                        <w:r>
                          <w:rPr>
                            <w:rFonts w:ascii="Arial"/>
                            <w:color w:val="231F20"/>
                            <w:spacing w:val="-2"/>
                            <w:w w:val="80"/>
                            <w:sz w:val="14"/>
                          </w:rPr>
                          <w:t>axis)</w:t>
                        </w:r>
                      </w:p>
                    </w:txbxContent>
                  </v:textbox>
                  <w10:wrap type="none"/>
                </v:shape>
                <v:shape style="position:absolute;left:409;top:1572;width:3080;height:667" type="#_x0000_t202" id="docshape382" filled="false" stroked="false">
                  <v:textbox inset="0,0,0,0">
                    <w:txbxContent>
                      <w:p>
                        <w:pPr>
                          <w:spacing w:before="57"/>
                          <w:ind w:left="791" w:right="0" w:firstLine="0"/>
                          <w:jc w:val="left"/>
                          <w:rPr>
                            <w:rFonts w:ascii="Arial"/>
                            <w:sz w:val="14"/>
                          </w:rPr>
                        </w:pPr>
                        <w:r>
                          <w:rPr>
                            <w:rFonts w:ascii="Arial"/>
                            <w:color w:val="231F20"/>
                            <w:w w:val="80"/>
                            <w:sz w:val="14"/>
                          </w:rPr>
                          <w:t>Supply</w:t>
                        </w:r>
                        <w:r>
                          <w:rPr>
                            <w:rFonts w:ascii="Arial"/>
                            <w:color w:val="231F20"/>
                            <w:spacing w:val="-2"/>
                            <w:sz w:val="14"/>
                          </w:rPr>
                          <w:t> </w:t>
                        </w:r>
                        <w:r>
                          <w:rPr>
                            <w:rFonts w:ascii="Arial"/>
                            <w:color w:val="231F20"/>
                            <w:w w:val="80"/>
                            <w:sz w:val="14"/>
                          </w:rPr>
                          <w:t>(left</w:t>
                        </w:r>
                        <w:r>
                          <w:rPr>
                            <w:rFonts w:ascii="Arial"/>
                            <w:color w:val="231F20"/>
                            <w:spacing w:val="1"/>
                            <w:sz w:val="14"/>
                          </w:rPr>
                          <w:t> </w:t>
                        </w:r>
                        <w:r>
                          <w:rPr>
                            <w:rFonts w:ascii="Arial"/>
                            <w:color w:val="231F20"/>
                            <w:spacing w:val="-2"/>
                            <w:w w:val="80"/>
                            <w:sz w:val="14"/>
                          </w:rPr>
                          <w:t>axis)</w:t>
                        </w:r>
                      </w:p>
                    </w:txbxContent>
                  </v:textbox>
                  <w10:wrap type="none"/>
                </v:shape>
              </v:group>
            </w:pict>
          </mc:Fallback>
        </mc:AlternateContent>
      </w:r>
      <w:r>
        <w:rPr>
          <w:sz w:val="20"/>
        </w:rPr>
      </w:r>
    </w:p>
    <w:p>
      <w:pPr>
        <w:spacing w:after="0"/>
        <w:rPr>
          <w:sz w:val="20"/>
        </w:rPr>
        <w:sectPr>
          <w:type w:val="continuous"/>
          <w:pgSz w:w="12240" w:h="15840"/>
          <w:pgMar w:header="0" w:footer="0" w:top="1140" w:bottom="280" w:left="0" w:right="540"/>
        </w:sectPr>
      </w:pPr>
    </w:p>
    <w:p>
      <w:pPr>
        <w:pStyle w:val="BodyText"/>
        <w:rPr>
          <w:sz w:val="20"/>
        </w:rPr>
      </w:pPr>
    </w:p>
    <w:p>
      <w:pPr>
        <w:pStyle w:val="BodyText"/>
        <w:rPr>
          <w:sz w:val="20"/>
        </w:rPr>
      </w:pPr>
    </w:p>
    <w:p>
      <w:pPr>
        <w:pStyle w:val="BodyText"/>
        <w:spacing w:before="37"/>
        <w:rPr>
          <w:sz w:val="20"/>
        </w:rPr>
      </w:pPr>
    </w:p>
    <w:p>
      <w:pPr>
        <w:spacing w:after="0"/>
        <w:rPr>
          <w:sz w:val="20"/>
        </w:rPr>
        <w:sectPr>
          <w:headerReference w:type="even" r:id="rId54"/>
          <w:footerReference w:type="even" r:id="rId55"/>
          <w:footerReference w:type="default" r:id="rId56"/>
          <w:pgSz w:w="12240" w:h="15840"/>
          <w:pgMar w:header="370" w:footer="548" w:top="560" w:bottom="740" w:left="0" w:right="540"/>
          <w:pgNumType w:start="10"/>
        </w:sectPr>
      </w:pPr>
    </w:p>
    <w:p>
      <w:pPr>
        <w:pStyle w:val="BodyText"/>
        <w:spacing w:line="268" w:lineRule="auto" w:before="97"/>
        <w:ind w:left="3360"/>
        <w:jc w:val="both"/>
      </w:pPr>
      <w:r>
        <w:rPr>
          <w:color w:val="231F20"/>
          <w:w w:val="90"/>
        </w:rPr>
        <w:t>impacts</w:t>
      </w:r>
      <w:r>
        <w:rPr>
          <w:color w:val="231F20"/>
          <w:spacing w:val="-8"/>
          <w:w w:val="90"/>
        </w:rPr>
        <w:t> </w:t>
      </w:r>
      <w:r>
        <w:rPr>
          <w:color w:val="231F20"/>
          <w:w w:val="90"/>
        </w:rPr>
        <w:t>on</w:t>
      </w:r>
      <w:r>
        <w:rPr>
          <w:color w:val="231F20"/>
          <w:spacing w:val="-8"/>
          <w:w w:val="90"/>
        </w:rPr>
        <w:t> </w:t>
      </w:r>
      <w:r>
        <w:rPr>
          <w:color w:val="231F20"/>
          <w:w w:val="90"/>
        </w:rPr>
        <w:t>container</w:t>
      </w:r>
      <w:r>
        <w:rPr>
          <w:color w:val="231F20"/>
          <w:spacing w:val="-8"/>
          <w:w w:val="90"/>
        </w:rPr>
        <w:t> </w:t>
      </w:r>
      <w:r>
        <w:rPr>
          <w:color w:val="231F20"/>
          <w:w w:val="90"/>
        </w:rPr>
        <w:t>shipping</w:t>
      </w:r>
      <w:r>
        <w:rPr>
          <w:color w:val="231F20"/>
          <w:spacing w:val="-8"/>
          <w:w w:val="90"/>
        </w:rPr>
        <w:t> </w:t>
      </w:r>
      <w:r>
        <w:rPr>
          <w:color w:val="231F20"/>
          <w:w w:val="90"/>
        </w:rPr>
        <w:t>freight</w:t>
      </w:r>
      <w:r>
        <w:rPr>
          <w:color w:val="231F20"/>
          <w:spacing w:val="-8"/>
          <w:w w:val="90"/>
        </w:rPr>
        <w:t> </w:t>
      </w:r>
      <w:r>
        <w:rPr>
          <w:color w:val="231F20"/>
          <w:w w:val="90"/>
        </w:rPr>
        <w:t>and</w:t>
      </w:r>
      <w:r>
        <w:rPr>
          <w:color w:val="231F20"/>
          <w:spacing w:val="-7"/>
          <w:w w:val="90"/>
        </w:rPr>
        <w:t> </w:t>
      </w:r>
      <w:r>
        <w:rPr>
          <w:color w:val="231F20"/>
          <w:w w:val="90"/>
        </w:rPr>
        <w:t>service </w:t>
      </w:r>
      <w:r>
        <w:rPr>
          <w:color w:val="231F20"/>
          <w:spacing w:val="-2"/>
        </w:rPr>
        <w:t>levels,</w:t>
      </w:r>
      <w:r>
        <w:rPr>
          <w:color w:val="231F20"/>
          <w:spacing w:val="-9"/>
        </w:rPr>
        <w:t> </w:t>
      </w:r>
      <w:r>
        <w:rPr>
          <w:color w:val="231F20"/>
          <w:spacing w:val="-2"/>
        </w:rPr>
        <w:t>changes</w:t>
      </w:r>
      <w:r>
        <w:rPr>
          <w:color w:val="231F20"/>
          <w:spacing w:val="-9"/>
        </w:rPr>
        <w:t> </w:t>
      </w:r>
      <w:r>
        <w:rPr>
          <w:color w:val="231F20"/>
          <w:spacing w:val="-2"/>
        </w:rPr>
        <w:t>in</w:t>
      </w:r>
      <w:r>
        <w:rPr>
          <w:color w:val="231F20"/>
          <w:spacing w:val="-9"/>
        </w:rPr>
        <w:t> </w:t>
      </w:r>
      <w:r>
        <w:rPr>
          <w:color w:val="231F20"/>
          <w:spacing w:val="-2"/>
        </w:rPr>
        <w:t>air</w:t>
      </w:r>
      <w:r>
        <w:rPr>
          <w:color w:val="231F20"/>
          <w:spacing w:val="-9"/>
        </w:rPr>
        <w:t> </w:t>
      </w:r>
      <w:r>
        <w:rPr>
          <w:color w:val="231F20"/>
          <w:spacing w:val="-2"/>
        </w:rPr>
        <w:t>freight</w:t>
      </w:r>
      <w:r>
        <w:rPr>
          <w:color w:val="231F20"/>
          <w:spacing w:val="-9"/>
        </w:rPr>
        <w:t> </w:t>
      </w:r>
      <w:r>
        <w:rPr>
          <w:color w:val="231F20"/>
          <w:spacing w:val="-2"/>
        </w:rPr>
        <w:t>markets,</w:t>
      </w:r>
      <w:r>
        <w:rPr>
          <w:color w:val="231F20"/>
          <w:spacing w:val="-9"/>
        </w:rPr>
        <w:t> </w:t>
      </w:r>
      <w:r>
        <w:rPr>
          <w:color w:val="231F20"/>
          <w:spacing w:val="-2"/>
        </w:rPr>
        <w:t>various </w:t>
      </w:r>
      <w:r>
        <w:rPr>
          <w:color w:val="231F20"/>
        </w:rPr>
        <w:t>restrictions</w:t>
      </w:r>
      <w:r>
        <w:rPr>
          <w:color w:val="231F20"/>
          <w:spacing w:val="-14"/>
        </w:rPr>
        <w:t> </w:t>
      </w:r>
      <w:r>
        <w:rPr>
          <w:color w:val="231F20"/>
        </w:rPr>
        <w:t>during</w:t>
      </w:r>
      <w:r>
        <w:rPr>
          <w:color w:val="231F20"/>
          <w:spacing w:val="-13"/>
        </w:rPr>
        <w:t> </w:t>
      </w:r>
      <w:r>
        <w:rPr>
          <w:color w:val="231F20"/>
        </w:rPr>
        <w:t>the</w:t>
      </w:r>
      <w:r>
        <w:rPr>
          <w:color w:val="231F20"/>
          <w:spacing w:val="-13"/>
        </w:rPr>
        <w:t> </w:t>
      </w:r>
      <w:r>
        <w:rPr>
          <w:color w:val="231F20"/>
        </w:rPr>
        <w:t>COVID-19</w:t>
      </w:r>
      <w:r>
        <w:rPr>
          <w:color w:val="231F20"/>
          <w:spacing w:val="-13"/>
        </w:rPr>
        <w:t> </w:t>
      </w:r>
      <w:r>
        <w:rPr>
          <w:color w:val="231F20"/>
        </w:rPr>
        <w:t>pandemic, </w:t>
      </w:r>
      <w:r>
        <w:rPr>
          <w:color w:val="231F20"/>
          <w:w w:val="90"/>
        </w:rPr>
        <w:t>and discontinued trade relations and cargo lanes. </w:t>
      </w:r>
      <w:r>
        <w:rPr>
          <w:color w:val="231F20"/>
          <w:spacing w:val="-6"/>
        </w:rPr>
        <w:t>One possible explanation is the global scope of </w:t>
      </w:r>
      <w:r>
        <w:rPr>
          <w:color w:val="231F20"/>
          <w:spacing w:val="-4"/>
        </w:rPr>
        <w:t>the</w:t>
      </w:r>
      <w:r>
        <w:rPr>
          <w:color w:val="231F20"/>
          <w:spacing w:val="-10"/>
        </w:rPr>
        <w:t> </w:t>
      </w:r>
      <w:r>
        <w:rPr>
          <w:color w:val="231F20"/>
          <w:spacing w:val="-4"/>
        </w:rPr>
        <w:t>supply</w:t>
      </w:r>
      <w:r>
        <w:rPr>
          <w:color w:val="231F20"/>
          <w:spacing w:val="-9"/>
        </w:rPr>
        <w:t> </w:t>
      </w:r>
      <w:r>
        <w:rPr>
          <w:color w:val="231F20"/>
          <w:spacing w:val="-4"/>
        </w:rPr>
        <w:t>chain</w:t>
      </w:r>
      <w:r>
        <w:rPr>
          <w:color w:val="231F20"/>
          <w:spacing w:val="-9"/>
        </w:rPr>
        <w:t> </w:t>
      </w:r>
      <w:r>
        <w:rPr>
          <w:color w:val="231F20"/>
          <w:spacing w:val="-4"/>
        </w:rPr>
        <w:t>crisis.</w:t>
      </w:r>
      <w:r>
        <w:rPr>
          <w:color w:val="231F20"/>
          <w:spacing w:val="-9"/>
        </w:rPr>
        <w:t> </w:t>
      </w:r>
      <w:r>
        <w:rPr>
          <w:color w:val="231F20"/>
          <w:spacing w:val="-4"/>
        </w:rPr>
        <w:t>With</w:t>
      </w:r>
      <w:r>
        <w:rPr>
          <w:color w:val="231F20"/>
          <w:spacing w:val="-9"/>
        </w:rPr>
        <w:t> </w:t>
      </w:r>
      <w:r>
        <w:rPr>
          <w:color w:val="231F20"/>
          <w:spacing w:val="-4"/>
        </w:rPr>
        <w:t>practically</w:t>
      </w:r>
      <w:r>
        <w:rPr>
          <w:color w:val="231F20"/>
          <w:spacing w:val="-9"/>
        </w:rPr>
        <w:t> </w:t>
      </w:r>
      <w:r>
        <w:rPr>
          <w:color w:val="231F20"/>
          <w:spacing w:val="-4"/>
        </w:rPr>
        <w:t>every- </w:t>
      </w:r>
      <w:r>
        <w:rPr>
          <w:color w:val="231F20"/>
          <w:w w:val="90"/>
        </w:rPr>
        <w:t>body</w:t>
      </w:r>
      <w:r>
        <w:rPr>
          <w:color w:val="231F20"/>
          <w:spacing w:val="-8"/>
          <w:w w:val="90"/>
        </w:rPr>
        <w:t> </w:t>
      </w:r>
      <w:r>
        <w:rPr>
          <w:color w:val="231F20"/>
          <w:w w:val="90"/>
        </w:rPr>
        <w:t>affected</w:t>
      </w:r>
      <w:r>
        <w:rPr>
          <w:color w:val="231F20"/>
          <w:spacing w:val="-8"/>
          <w:w w:val="90"/>
        </w:rPr>
        <w:t> </w:t>
      </w:r>
      <w:r>
        <w:rPr>
          <w:color w:val="231F20"/>
          <w:w w:val="90"/>
        </w:rPr>
        <w:t>by</w:t>
      </w:r>
      <w:r>
        <w:rPr>
          <w:color w:val="231F20"/>
          <w:spacing w:val="-8"/>
          <w:w w:val="90"/>
        </w:rPr>
        <w:t> </w:t>
      </w:r>
      <w:r>
        <w:rPr>
          <w:color w:val="231F20"/>
          <w:w w:val="90"/>
        </w:rPr>
        <w:t>disruptions</w:t>
      </w:r>
      <w:r>
        <w:rPr>
          <w:color w:val="231F20"/>
          <w:spacing w:val="-8"/>
          <w:w w:val="90"/>
        </w:rPr>
        <w:t> </w:t>
      </w:r>
      <w:r>
        <w:rPr>
          <w:color w:val="231F20"/>
          <w:w w:val="90"/>
        </w:rPr>
        <w:t>beyond</w:t>
      </w:r>
      <w:r>
        <w:rPr>
          <w:color w:val="231F20"/>
          <w:spacing w:val="-8"/>
          <w:w w:val="90"/>
        </w:rPr>
        <w:t> </w:t>
      </w:r>
      <w:r>
        <w:rPr>
          <w:color w:val="231F20"/>
          <w:w w:val="90"/>
        </w:rPr>
        <w:t>their</w:t>
      </w:r>
      <w:r>
        <w:rPr>
          <w:color w:val="231F20"/>
          <w:spacing w:val="-8"/>
          <w:w w:val="90"/>
        </w:rPr>
        <w:t> </w:t>
      </w:r>
      <w:r>
        <w:rPr>
          <w:color w:val="231F20"/>
          <w:w w:val="90"/>
        </w:rPr>
        <w:t>control almost</w:t>
      </w:r>
      <w:r>
        <w:rPr>
          <w:color w:val="231F20"/>
          <w:spacing w:val="-6"/>
          <w:w w:val="90"/>
        </w:rPr>
        <w:t> </w:t>
      </w:r>
      <w:r>
        <w:rPr>
          <w:color w:val="231F20"/>
          <w:w w:val="90"/>
        </w:rPr>
        <w:t>simultaneously,</w:t>
      </w:r>
      <w:r>
        <w:rPr>
          <w:color w:val="231F20"/>
          <w:spacing w:val="-6"/>
          <w:w w:val="90"/>
        </w:rPr>
        <w:t> </w:t>
      </w:r>
      <w:r>
        <w:rPr>
          <w:color w:val="231F20"/>
          <w:w w:val="90"/>
        </w:rPr>
        <w:t>it</w:t>
      </w:r>
      <w:r>
        <w:rPr>
          <w:color w:val="231F20"/>
          <w:spacing w:val="-6"/>
          <w:w w:val="90"/>
        </w:rPr>
        <w:t> </w:t>
      </w:r>
      <w:r>
        <w:rPr>
          <w:color w:val="231F20"/>
          <w:w w:val="90"/>
        </w:rPr>
        <w:t>is</w:t>
      </w:r>
      <w:r>
        <w:rPr>
          <w:color w:val="231F20"/>
          <w:spacing w:val="-6"/>
          <w:w w:val="90"/>
        </w:rPr>
        <w:t> </w:t>
      </w:r>
      <w:r>
        <w:rPr>
          <w:color w:val="231F20"/>
          <w:w w:val="90"/>
        </w:rPr>
        <w:t>difficult</w:t>
      </w:r>
      <w:r>
        <w:rPr>
          <w:color w:val="231F20"/>
          <w:spacing w:val="-6"/>
          <w:w w:val="90"/>
        </w:rPr>
        <w:t> </w:t>
      </w:r>
      <w:r>
        <w:rPr>
          <w:color w:val="231F20"/>
          <w:w w:val="90"/>
        </w:rPr>
        <w:t>to</w:t>
      </w:r>
      <w:r>
        <w:rPr>
          <w:color w:val="231F20"/>
          <w:spacing w:val="-6"/>
          <w:w w:val="90"/>
        </w:rPr>
        <w:t> </w:t>
      </w:r>
      <w:r>
        <w:rPr>
          <w:color w:val="231F20"/>
          <w:w w:val="90"/>
        </w:rPr>
        <w:t>assign</w:t>
      </w:r>
      <w:r>
        <w:rPr>
          <w:color w:val="231F20"/>
          <w:spacing w:val="-6"/>
          <w:w w:val="90"/>
        </w:rPr>
        <w:t> </w:t>
      </w:r>
      <w:r>
        <w:rPr>
          <w:color w:val="231F20"/>
          <w:w w:val="90"/>
        </w:rPr>
        <w:t>the </w:t>
      </w:r>
      <w:r>
        <w:rPr>
          <w:color w:val="231F20"/>
        </w:rPr>
        <w:t>impact</w:t>
      </w:r>
      <w:r>
        <w:rPr>
          <w:color w:val="231F20"/>
          <w:spacing w:val="-14"/>
        </w:rPr>
        <w:t> </w:t>
      </w:r>
      <w:r>
        <w:rPr>
          <w:color w:val="231F20"/>
        </w:rPr>
        <w:t>on</w:t>
      </w:r>
      <w:r>
        <w:rPr>
          <w:color w:val="231F20"/>
          <w:spacing w:val="-14"/>
        </w:rPr>
        <w:t> </w:t>
      </w:r>
      <w:r>
        <w:rPr>
          <w:color w:val="231F20"/>
        </w:rPr>
        <w:t>individual</w:t>
      </w:r>
      <w:r>
        <w:rPr>
          <w:color w:val="231F20"/>
          <w:spacing w:val="-14"/>
        </w:rPr>
        <w:t> </w:t>
      </w:r>
      <w:r>
        <w:rPr>
          <w:color w:val="231F20"/>
        </w:rPr>
        <w:t>countries.</w:t>
      </w:r>
    </w:p>
    <w:p>
      <w:pPr>
        <w:pStyle w:val="BodyText"/>
        <w:spacing w:line="268" w:lineRule="auto"/>
        <w:ind w:left="3360" w:firstLine="300"/>
        <w:jc w:val="both"/>
      </w:pPr>
      <w:r>
        <w:rPr>
          <w:color w:val="231F20"/>
          <w:spacing w:val="-4"/>
        </w:rPr>
        <w:t>In</w:t>
      </w:r>
      <w:r>
        <w:rPr>
          <w:color w:val="231F20"/>
          <w:spacing w:val="-6"/>
        </w:rPr>
        <w:t> </w:t>
      </w:r>
      <w:r>
        <w:rPr>
          <w:color w:val="231F20"/>
          <w:spacing w:val="-4"/>
        </w:rPr>
        <w:t>addition,</w:t>
      </w:r>
      <w:r>
        <w:rPr>
          <w:color w:val="231F20"/>
          <w:spacing w:val="-6"/>
        </w:rPr>
        <w:t> </w:t>
      </w:r>
      <w:r>
        <w:rPr>
          <w:color w:val="231F20"/>
          <w:spacing w:val="-4"/>
        </w:rPr>
        <w:t>the</w:t>
      </w:r>
      <w:r>
        <w:rPr>
          <w:color w:val="231F20"/>
          <w:spacing w:val="-6"/>
        </w:rPr>
        <w:t> </w:t>
      </w:r>
      <w:r>
        <w:rPr>
          <w:color w:val="231F20"/>
          <w:spacing w:val="-4"/>
        </w:rPr>
        <w:t>survey</w:t>
      </w:r>
      <w:r>
        <w:rPr>
          <w:color w:val="231F20"/>
          <w:spacing w:val="-6"/>
        </w:rPr>
        <w:t> </w:t>
      </w:r>
      <w:r>
        <w:rPr>
          <w:color w:val="231F20"/>
          <w:spacing w:val="-4"/>
        </w:rPr>
        <w:t>data</w:t>
      </w:r>
      <w:r>
        <w:rPr>
          <w:color w:val="231F20"/>
          <w:spacing w:val="-6"/>
        </w:rPr>
        <w:t> </w:t>
      </w:r>
      <w:r>
        <w:rPr>
          <w:color w:val="231F20"/>
          <w:spacing w:val="-4"/>
        </w:rPr>
        <w:t>were</w:t>
      </w:r>
      <w:r>
        <w:rPr>
          <w:color w:val="231F20"/>
          <w:spacing w:val="-6"/>
        </w:rPr>
        <w:t> </w:t>
      </w:r>
      <w:r>
        <w:rPr>
          <w:color w:val="231F20"/>
          <w:spacing w:val="-4"/>
        </w:rPr>
        <w:t>collected </w:t>
      </w:r>
      <w:r>
        <w:rPr>
          <w:color w:val="231F20"/>
        </w:rPr>
        <w:t>when supply chain disruptions had already greatly</w:t>
      </w:r>
      <w:r>
        <w:rPr>
          <w:color w:val="231F20"/>
          <w:spacing w:val="-7"/>
        </w:rPr>
        <w:t> </w:t>
      </w:r>
      <w:r>
        <w:rPr>
          <w:color w:val="231F20"/>
        </w:rPr>
        <w:t>diminished.</w:t>
      </w:r>
      <w:r>
        <w:rPr>
          <w:color w:val="231F20"/>
          <w:spacing w:val="-7"/>
        </w:rPr>
        <w:t> </w:t>
      </w:r>
      <w:r>
        <w:rPr>
          <w:color w:val="231F20"/>
        </w:rPr>
        <w:t>For</w:t>
      </w:r>
      <w:r>
        <w:rPr>
          <w:color w:val="231F20"/>
          <w:spacing w:val="-7"/>
        </w:rPr>
        <w:t> </w:t>
      </w:r>
      <w:r>
        <w:rPr>
          <w:color w:val="231F20"/>
        </w:rPr>
        <w:t>example,</w:t>
      </w:r>
      <w:r>
        <w:rPr>
          <w:color w:val="231F20"/>
          <w:spacing w:val="-7"/>
        </w:rPr>
        <w:t> </w:t>
      </w:r>
      <w:r>
        <w:rPr>
          <w:color w:val="231F20"/>
        </w:rPr>
        <w:t>the</w:t>
      </w:r>
      <w:r>
        <w:rPr>
          <w:color w:val="231F20"/>
          <w:spacing w:val="-7"/>
        </w:rPr>
        <w:t> </w:t>
      </w:r>
      <w:r>
        <w:rPr>
          <w:color w:val="231F20"/>
        </w:rPr>
        <w:t>Global </w:t>
      </w:r>
      <w:r>
        <w:rPr>
          <w:color w:val="231F20"/>
          <w:w w:val="90"/>
        </w:rPr>
        <w:t>Supply Chain Pressure Index, a composite mea- </w:t>
      </w:r>
      <w:r>
        <w:rPr>
          <w:color w:val="231F20"/>
          <w:spacing w:val="-6"/>
        </w:rPr>
        <w:t>sure of global supply chain disruptions, peaked </w:t>
      </w:r>
      <w:r>
        <w:rPr>
          <w:color w:val="231F20"/>
        </w:rPr>
        <w:t>at</w:t>
      </w:r>
      <w:r>
        <w:rPr>
          <w:color w:val="231F20"/>
          <w:spacing w:val="-14"/>
        </w:rPr>
        <w:t> </w:t>
      </w:r>
      <w:r>
        <w:rPr>
          <w:color w:val="231F20"/>
        </w:rPr>
        <w:t>4.3</w:t>
      </w:r>
      <w:r>
        <w:rPr>
          <w:color w:val="231F20"/>
          <w:spacing w:val="-13"/>
        </w:rPr>
        <w:t> </w:t>
      </w:r>
      <w:r>
        <w:rPr>
          <w:color w:val="231F20"/>
        </w:rPr>
        <w:t>standard</w:t>
      </w:r>
      <w:r>
        <w:rPr>
          <w:color w:val="231F20"/>
          <w:spacing w:val="-13"/>
        </w:rPr>
        <w:t> </w:t>
      </w:r>
      <w:r>
        <w:rPr>
          <w:color w:val="231F20"/>
        </w:rPr>
        <w:t>deviations</w:t>
      </w:r>
      <w:r>
        <w:rPr>
          <w:color w:val="231F20"/>
          <w:spacing w:val="-13"/>
        </w:rPr>
        <w:t> </w:t>
      </w:r>
      <w:r>
        <w:rPr>
          <w:color w:val="231F20"/>
        </w:rPr>
        <w:t>above</w:t>
      </w:r>
      <w:r>
        <w:rPr>
          <w:color w:val="231F20"/>
          <w:spacing w:val="-13"/>
        </w:rPr>
        <w:t> </w:t>
      </w:r>
      <w:r>
        <w:rPr>
          <w:color w:val="231F20"/>
        </w:rPr>
        <w:t>its</w:t>
      </w:r>
      <w:r>
        <w:rPr>
          <w:color w:val="231F20"/>
          <w:spacing w:val="-13"/>
        </w:rPr>
        <w:t> </w:t>
      </w:r>
      <w:r>
        <w:rPr>
          <w:color w:val="231F20"/>
        </w:rPr>
        <w:t>historical mean at the end of 2021, declined to 2.8 in March 2022, temporarily increased in April 2022</w:t>
      </w:r>
      <w:r>
        <w:rPr>
          <w:color w:val="231F20"/>
          <w:spacing w:val="-3"/>
        </w:rPr>
        <w:t> </w:t>
      </w:r>
      <w:r>
        <w:rPr>
          <w:color w:val="231F20"/>
        </w:rPr>
        <w:t>due</w:t>
      </w:r>
      <w:r>
        <w:rPr>
          <w:color w:val="231F20"/>
          <w:spacing w:val="-3"/>
        </w:rPr>
        <w:t> </w:t>
      </w:r>
      <w:r>
        <w:rPr>
          <w:color w:val="231F20"/>
        </w:rPr>
        <w:t>primarily</w:t>
      </w:r>
      <w:r>
        <w:rPr>
          <w:color w:val="231F20"/>
          <w:spacing w:val="-3"/>
        </w:rPr>
        <w:t> </w:t>
      </w:r>
      <w:r>
        <w:rPr>
          <w:color w:val="231F20"/>
        </w:rPr>
        <w:t>to</w:t>
      </w:r>
      <w:r>
        <w:rPr>
          <w:color w:val="231F20"/>
          <w:spacing w:val="-3"/>
        </w:rPr>
        <w:t> </w:t>
      </w:r>
      <w:r>
        <w:rPr>
          <w:color w:val="231F20"/>
        </w:rPr>
        <w:t>COVID-19</w:t>
      </w:r>
      <w:r>
        <w:rPr>
          <w:color w:val="231F20"/>
          <w:spacing w:val="-3"/>
        </w:rPr>
        <w:t> </w:t>
      </w:r>
      <w:r>
        <w:rPr>
          <w:color w:val="231F20"/>
        </w:rPr>
        <w:t>pandemic </w:t>
      </w:r>
      <w:r>
        <w:rPr>
          <w:color w:val="231F20"/>
          <w:spacing w:val="-2"/>
        </w:rPr>
        <w:t>lockdowns</w:t>
      </w:r>
      <w:r>
        <w:rPr>
          <w:color w:val="231F20"/>
          <w:spacing w:val="-7"/>
        </w:rPr>
        <w:t> </w:t>
      </w:r>
      <w:r>
        <w:rPr>
          <w:color w:val="231F20"/>
          <w:spacing w:val="-2"/>
        </w:rPr>
        <w:t>in</w:t>
      </w:r>
      <w:r>
        <w:rPr>
          <w:color w:val="231F20"/>
          <w:spacing w:val="-7"/>
        </w:rPr>
        <w:t> </w:t>
      </w:r>
      <w:r>
        <w:rPr>
          <w:color w:val="231F20"/>
          <w:spacing w:val="-2"/>
        </w:rPr>
        <w:t>China</w:t>
      </w:r>
      <w:r>
        <w:rPr>
          <w:color w:val="231F20"/>
          <w:spacing w:val="-7"/>
        </w:rPr>
        <w:t> </w:t>
      </w:r>
      <w:r>
        <w:rPr>
          <w:color w:val="231F20"/>
          <w:spacing w:val="-2"/>
        </w:rPr>
        <w:t>and</w:t>
      </w:r>
      <w:r>
        <w:rPr>
          <w:color w:val="231F20"/>
          <w:spacing w:val="-7"/>
        </w:rPr>
        <w:t> </w:t>
      </w:r>
      <w:r>
        <w:rPr>
          <w:color w:val="231F20"/>
          <w:spacing w:val="-2"/>
        </w:rPr>
        <w:t>Russia’s</w:t>
      </w:r>
      <w:r>
        <w:rPr>
          <w:color w:val="231F20"/>
          <w:spacing w:val="-7"/>
        </w:rPr>
        <w:t> </w:t>
      </w:r>
      <w:r>
        <w:rPr>
          <w:color w:val="231F20"/>
          <w:spacing w:val="-2"/>
        </w:rPr>
        <w:t>invasion</w:t>
      </w:r>
      <w:r>
        <w:rPr>
          <w:color w:val="231F20"/>
          <w:spacing w:val="-7"/>
        </w:rPr>
        <w:t> </w:t>
      </w:r>
      <w:r>
        <w:rPr>
          <w:color w:val="231F20"/>
          <w:spacing w:val="-2"/>
        </w:rPr>
        <w:t>of </w:t>
      </w:r>
      <w:r>
        <w:rPr>
          <w:color w:val="231F20"/>
        </w:rPr>
        <w:t>Ukraine,</w:t>
      </w:r>
      <w:r>
        <w:rPr>
          <w:color w:val="231F20"/>
          <w:spacing w:val="-11"/>
        </w:rPr>
        <w:t> </w:t>
      </w:r>
      <w:r>
        <w:rPr>
          <w:color w:val="231F20"/>
        </w:rPr>
        <w:t>then</w:t>
      </w:r>
      <w:r>
        <w:rPr>
          <w:color w:val="231F20"/>
          <w:spacing w:val="-9"/>
        </w:rPr>
        <w:t> </w:t>
      </w:r>
      <w:r>
        <w:rPr>
          <w:color w:val="231F20"/>
        </w:rPr>
        <w:t>declined</w:t>
      </w:r>
      <w:r>
        <w:rPr>
          <w:color w:val="231F20"/>
          <w:spacing w:val="-9"/>
        </w:rPr>
        <w:t> </w:t>
      </w:r>
      <w:r>
        <w:rPr>
          <w:color w:val="231F20"/>
        </w:rPr>
        <w:t>for</w:t>
      </w:r>
      <w:r>
        <w:rPr>
          <w:color w:val="231F20"/>
          <w:spacing w:val="-9"/>
        </w:rPr>
        <w:t> </w:t>
      </w:r>
      <w:r>
        <w:rPr>
          <w:color w:val="231F20"/>
        </w:rPr>
        <w:t>five</w:t>
      </w:r>
      <w:r>
        <w:rPr>
          <w:color w:val="231F20"/>
          <w:spacing w:val="-9"/>
        </w:rPr>
        <w:t> </w:t>
      </w:r>
      <w:r>
        <w:rPr>
          <w:color w:val="231F20"/>
        </w:rPr>
        <w:t>months</w:t>
      </w:r>
      <w:r>
        <w:rPr>
          <w:color w:val="231F20"/>
          <w:spacing w:val="-9"/>
        </w:rPr>
        <w:t> </w:t>
      </w:r>
      <w:r>
        <w:rPr>
          <w:color w:val="231F20"/>
        </w:rPr>
        <w:t>to</w:t>
      </w:r>
      <w:r>
        <w:rPr>
          <w:color w:val="231F20"/>
          <w:spacing w:val="-9"/>
        </w:rPr>
        <w:t> </w:t>
      </w:r>
      <w:r>
        <w:rPr>
          <w:color w:val="231F20"/>
        </w:rPr>
        <w:t>al- most</w:t>
      </w:r>
      <w:r>
        <w:rPr>
          <w:color w:val="231F20"/>
          <w:spacing w:val="-11"/>
        </w:rPr>
        <w:t> </w:t>
      </w:r>
      <w:r>
        <w:rPr>
          <w:color w:val="231F20"/>
        </w:rPr>
        <w:t>normal</w:t>
      </w:r>
      <w:r>
        <w:rPr>
          <w:color w:val="231F20"/>
          <w:spacing w:val="-11"/>
        </w:rPr>
        <w:t> </w:t>
      </w:r>
      <w:r>
        <w:rPr>
          <w:color w:val="231F20"/>
        </w:rPr>
        <w:t>levels</w:t>
      </w:r>
      <w:r>
        <w:rPr>
          <w:color w:val="231F20"/>
          <w:spacing w:val="-11"/>
        </w:rPr>
        <w:t> </w:t>
      </w:r>
      <w:r>
        <w:rPr>
          <w:color w:val="231F20"/>
        </w:rPr>
        <w:t>(0.9)</w:t>
      </w:r>
      <w:r>
        <w:rPr>
          <w:color w:val="231F20"/>
          <w:spacing w:val="-11"/>
        </w:rPr>
        <w:t> </w:t>
      </w:r>
      <w:r>
        <w:rPr>
          <w:color w:val="231F20"/>
        </w:rPr>
        <w:t>in</w:t>
      </w:r>
      <w:r>
        <w:rPr>
          <w:color w:val="231F20"/>
          <w:spacing w:val="-11"/>
        </w:rPr>
        <w:t> </w:t>
      </w:r>
      <w:r>
        <w:rPr>
          <w:color w:val="231F20"/>
        </w:rPr>
        <w:t>September</w:t>
      </w:r>
      <w:r>
        <w:rPr>
          <w:color w:val="231F20"/>
          <w:spacing w:val="-11"/>
        </w:rPr>
        <w:t> </w:t>
      </w:r>
      <w:r>
        <w:rPr>
          <w:color w:val="231F20"/>
        </w:rPr>
        <w:t>2022, </w:t>
      </w:r>
      <w:r>
        <w:rPr>
          <w:color w:val="231F20"/>
          <w:spacing w:val="-4"/>
        </w:rPr>
        <w:t>when</w:t>
      </w:r>
      <w:r>
        <w:rPr>
          <w:color w:val="231F20"/>
          <w:spacing w:val="-10"/>
        </w:rPr>
        <w:t> </w:t>
      </w:r>
      <w:r>
        <w:rPr>
          <w:color w:val="231F20"/>
          <w:spacing w:val="-4"/>
        </w:rPr>
        <w:t>the</w:t>
      </w:r>
      <w:r>
        <w:rPr>
          <w:color w:val="231F20"/>
          <w:spacing w:val="-9"/>
        </w:rPr>
        <w:t> </w:t>
      </w:r>
      <w:r>
        <w:rPr>
          <w:color w:val="231F20"/>
          <w:spacing w:val="-4"/>
        </w:rPr>
        <w:t>LPI</w:t>
      </w:r>
      <w:r>
        <w:rPr>
          <w:color w:val="231F20"/>
          <w:spacing w:val="-9"/>
        </w:rPr>
        <w:t> </w:t>
      </w:r>
      <w:r>
        <w:rPr>
          <w:color w:val="231F20"/>
          <w:spacing w:val="-4"/>
        </w:rPr>
        <w:t>survey</w:t>
      </w:r>
      <w:r>
        <w:rPr>
          <w:color w:val="231F20"/>
          <w:spacing w:val="-9"/>
        </w:rPr>
        <w:t> </w:t>
      </w:r>
      <w:r>
        <w:rPr>
          <w:color w:val="231F20"/>
          <w:spacing w:val="-4"/>
        </w:rPr>
        <w:t>went</w:t>
      </w:r>
      <w:r>
        <w:rPr>
          <w:color w:val="231F20"/>
          <w:spacing w:val="-9"/>
        </w:rPr>
        <w:t> </w:t>
      </w:r>
      <w:r>
        <w:rPr>
          <w:color w:val="231F20"/>
          <w:spacing w:val="-4"/>
        </w:rPr>
        <w:t>live.</w:t>
      </w:r>
      <w:r>
        <w:rPr>
          <w:color w:val="231F20"/>
          <w:spacing w:val="-9"/>
        </w:rPr>
        <w:t> </w:t>
      </w:r>
      <w:r>
        <w:rPr>
          <w:color w:val="231F20"/>
          <w:spacing w:val="-4"/>
        </w:rPr>
        <w:t>This</w:t>
      </w:r>
      <w:r>
        <w:rPr>
          <w:color w:val="231F20"/>
          <w:spacing w:val="-9"/>
        </w:rPr>
        <w:t> </w:t>
      </w:r>
      <w:r>
        <w:rPr>
          <w:color w:val="231F20"/>
          <w:spacing w:val="-4"/>
        </w:rPr>
        <w:t>may</w:t>
      </w:r>
      <w:r>
        <w:rPr>
          <w:color w:val="231F20"/>
          <w:spacing w:val="-9"/>
        </w:rPr>
        <w:t> </w:t>
      </w:r>
      <w:r>
        <w:rPr>
          <w:color w:val="231F20"/>
          <w:spacing w:val="-4"/>
        </w:rPr>
        <w:t>have </w:t>
      </w:r>
      <w:r>
        <w:rPr>
          <w:color w:val="231F20"/>
          <w:w w:val="90"/>
        </w:rPr>
        <w:t>contributed</w:t>
      </w:r>
      <w:r>
        <w:rPr>
          <w:color w:val="231F20"/>
          <w:spacing w:val="3"/>
        </w:rPr>
        <w:t> </w:t>
      </w:r>
      <w:r>
        <w:rPr>
          <w:color w:val="231F20"/>
          <w:w w:val="90"/>
        </w:rPr>
        <w:t>to</w:t>
      </w:r>
      <w:r>
        <w:rPr>
          <w:color w:val="231F20"/>
          <w:spacing w:val="3"/>
        </w:rPr>
        <w:t> </w:t>
      </w:r>
      <w:r>
        <w:rPr>
          <w:color w:val="231F20"/>
          <w:w w:val="90"/>
        </w:rPr>
        <w:t>recency</w:t>
      </w:r>
      <w:r>
        <w:rPr>
          <w:color w:val="231F20"/>
          <w:spacing w:val="3"/>
        </w:rPr>
        <w:t> </w:t>
      </w:r>
      <w:r>
        <w:rPr>
          <w:color w:val="231F20"/>
          <w:w w:val="90"/>
        </w:rPr>
        <w:t>bias</w:t>
      </w:r>
      <w:r>
        <w:rPr>
          <w:color w:val="231F20"/>
          <w:spacing w:val="3"/>
        </w:rPr>
        <w:t> </w:t>
      </w:r>
      <w:r>
        <w:rPr>
          <w:color w:val="231F20"/>
          <w:w w:val="90"/>
        </w:rPr>
        <w:t>among</w:t>
      </w:r>
      <w:r>
        <w:rPr>
          <w:color w:val="231F20"/>
          <w:spacing w:val="3"/>
        </w:rPr>
        <w:t> </w:t>
      </w:r>
      <w:r>
        <w:rPr>
          <w:color w:val="231F20"/>
          <w:spacing w:val="-2"/>
          <w:w w:val="90"/>
        </w:rPr>
        <w:t>respondents.</w:t>
      </w:r>
    </w:p>
    <w:p>
      <w:pPr>
        <w:pStyle w:val="BodyText"/>
        <w:spacing w:line="268" w:lineRule="auto" w:before="97"/>
        <w:ind w:left="199" w:right="653" w:firstLine="300"/>
        <w:jc w:val="both"/>
      </w:pPr>
      <w:r>
        <w:rPr/>
        <w:br w:type="column"/>
      </w:r>
      <w:r>
        <w:rPr>
          <w:color w:val="231F20"/>
        </w:rPr>
        <w:t>Further, four of the six LPI components reflect</w:t>
      </w:r>
      <w:r>
        <w:rPr>
          <w:color w:val="231F20"/>
          <w:spacing w:val="-8"/>
        </w:rPr>
        <w:t> </w:t>
      </w:r>
      <w:r>
        <w:rPr>
          <w:color w:val="231F20"/>
        </w:rPr>
        <w:t>deep</w:t>
      </w:r>
      <w:r>
        <w:rPr>
          <w:color w:val="231F20"/>
          <w:spacing w:val="-8"/>
        </w:rPr>
        <w:t> </w:t>
      </w:r>
      <w:r>
        <w:rPr>
          <w:color w:val="231F20"/>
        </w:rPr>
        <w:t>structural</w:t>
      </w:r>
      <w:r>
        <w:rPr>
          <w:color w:val="231F20"/>
          <w:spacing w:val="-8"/>
        </w:rPr>
        <w:t> </w:t>
      </w:r>
      <w:r>
        <w:rPr>
          <w:color w:val="231F20"/>
        </w:rPr>
        <w:t>factors</w:t>
      </w:r>
      <w:r>
        <w:rPr>
          <w:color w:val="231F20"/>
          <w:spacing w:val="-8"/>
        </w:rPr>
        <w:t> </w:t>
      </w:r>
      <w:r>
        <w:rPr>
          <w:color w:val="231F20"/>
        </w:rPr>
        <w:t>that</w:t>
      </w:r>
      <w:r>
        <w:rPr>
          <w:color w:val="231F20"/>
          <w:spacing w:val="-8"/>
        </w:rPr>
        <w:t> </w:t>
      </w:r>
      <w:r>
        <w:rPr>
          <w:color w:val="231F20"/>
        </w:rPr>
        <w:t>are</w:t>
      </w:r>
      <w:r>
        <w:rPr>
          <w:color w:val="231F20"/>
          <w:spacing w:val="-8"/>
        </w:rPr>
        <w:t> </w:t>
      </w:r>
      <w:r>
        <w:rPr>
          <w:color w:val="231F20"/>
        </w:rPr>
        <w:t>not</w:t>
      </w:r>
      <w:r>
        <w:rPr>
          <w:color w:val="231F20"/>
          <w:spacing w:val="-8"/>
        </w:rPr>
        <w:t> </w:t>
      </w:r>
      <w:r>
        <w:rPr>
          <w:color w:val="231F20"/>
        </w:rPr>
        <w:t>di- </w:t>
      </w:r>
      <w:r>
        <w:rPr>
          <w:color w:val="231F20"/>
          <w:spacing w:val="-6"/>
        </w:rPr>
        <w:t>rectly affected by the recent supply chain crisis </w:t>
      </w:r>
      <w:r>
        <w:rPr>
          <w:color w:val="231F20"/>
          <w:spacing w:val="-2"/>
        </w:rPr>
        <w:t>(ease</w:t>
      </w:r>
      <w:r>
        <w:rPr>
          <w:color w:val="231F20"/>
          <w:spacing w:val="-9"/>
        </w:rPr>
        <w:t> </w:t>
      </w:r>
      <w:r>
        <w:rPr>
          <w:color w:val="231F20"/>
          <w:spacing w:val="-2"/>
        </w:rPr>
        <w:t>of</w:t>
      </w:r>
      <w:r>
        <w:rPr>
          <w:color w:val="231F20"/>
          <w:spacing w:val="-9"/>
        </w:rPr>
        <w:t> </w:t>
      </w:r>
      <w:r>
        <w:rPr>
          <w:color w:val="231F20"/>
          <w:spacing w:val="-2"/>
        </w:rPr>
        <w:t>working</w:t>
      </w:r>
      <w:r>
        <w:rPr>
          <w:color w:val="231F20"/>
          <w:spacing w:val="-9"/>
        </w:rPr>
        <w:t> </w:t>
      </w:r>
      <w:r>
        <w:rPr>
          <w:color w:val="231F20"/>
          <w:spacing w:val="-2"/>
        </w:rPr>
        <w:t>with</w:t>
      </w:r>
      <w:r>
        <w:rPr>
          <w:color w:val="231F20"/>
          <w:spacing w:val="-9"/>
        </w:rPr>
        <w:t> </w:t>
      </w:r>
      <w:r>
        <w:rPr>
          <w:color w:val="231F20"/>
          <w:spacing w:val="-2"/>
        </w:rPr>
        <w:t>customs</w:t>
      </w:r>
      <w:r>
        <w:rPr>
          <w:color w:val="231F20"/>
          <w:spacing w:val="-9"/>
        </w:rPr>
        <w:t> </w:t>
      </w:r>
      <w:r>
        <w:rPr>
          <w:color w:val="231F20"/>
          <w:spacing w:val="-2"/>
        </w:rPr>
        <w:t>and</w:t>
      </w:r>
      <w:r>
        <w:rPr>
          <w:color w:val="231F20"/>
          <w:spacing w:val="-9"/>
        </w:rPr>
        <w:t> </w:t>
      </w:r>
      <w:r>
        <w:rPr>
          <w:color w:val="231F20"/>
          <w:spacing w:val="-2"/>
        </w:rPr>
        <w:t>other</w:t>
      </w:r>
      <w:r>
        <w:rPr>
          <w:color w:val="231F20"/>
          <w:spacing w:val="-9"/>
        </w:rPr>
        <w:t> </w:t>
      </w:r>
      <w:r>
        <w:rPr>
          <w:color w:val="231F20"/>
          <w:spacing w:val="-2"/>
        </w:rPr>
        <w:t>bor- der</w:t>
      </w:r>
      <w:r>
        <w:rPr>
          <w:color w:val="231F20"/>
          <w:spacing w:val="-10"/>
        </w:rPr>
        <w:t> </w:t>
      </w:r>
      <w:r>
        <w:rPr>
          <w:color w:val="231F20"/>
          <w:spacing w:val="-2"/>
        </w:rPr>
        <w:t>agencies,</w:t>
      </w:r>
      <w:r>
        <w:rPr>
          <w:color w:val="231F20"/>
          <w:spacing w:val="-10"/>
        </w:rPr>
        <w:t> </w:t>
      </w:r>
      <w:r>
        <w:rPr>
          <w:color w:val="231F20"/>
          <w:spacing w:val="-2"/>
        </w:rPr>
        <w:t>infrastructure,</w:t>
      </w:r>
      <w:r>
        <w:rPr>
          <w:color w:val="231F20"/>
          <w:spacing w:val="-10"/>
        </w:rPr>
        <w:t> </w:t>
      </w:r>
      <w:r>
        <w:rPr>
          <w:color w:val="231F20"/>
          <w:spacing w:val="-2"/>
        </w:rPr>
        <w:t>logistics</w:t>
      </w:r>
      <w:r>
        <w:rPr>
          <w:color w:val="231F20"/>
          <w:spacing w:val="-10"/>
        </w:rPr>
        <w:t> </w:t>
      </w:r>
      <w:r>
        <w:rPr>
          <w:color w:val="231F20"/>
          <w:spacing w:val="-2"/>
        </w:rPr>
        <w:t>services quality,</w:t>
      </w:r>
      <w:r>
        <w:rPr>
          <w:color w:val="231F20"/>
          <w:spacing w:val="-12"/>
        </w:rPr>
        <w:t> </w:t>
      </w:r>
      <w:r>
        <w:rPr>
          <w:color w:val="231F20"/>
          <w:spacing w:val="-2"/>
        </w:rPr>
        <w:t>and</w:t>
      </w:r>
      <w:r>
        <w:rPr>
          <w:color w:val="231F20"/>
          <w:spacing w:val="-11"/>
        </w:rPr>
        <w:t> </w:t>
      </w:r>
      <w:r>
        <w:rPr>
          <w:color w:val="231F20"/>
          <w:spacing w:val="-2"/>
        </w:rPr>
        <w:t>the</w:t>
      </w:r>
      <w:r>
        <w:rPr>
          <w:color w:val="231F20"/>
          <w:spacing w:val="-11"/>
        </w:rPr>
        <w:t> </w:t>
      </w:r>
      <w:r>
        <w:rPr>
          <w:color w:val="231F20"/>
          <w:spacing w:val="-2"/>
        </w:rPr>
        <w:t>ability</w:t>
      </w:r>
      <w:r>
        <w:rPr>
          <w:color w:val="231F20"/>
          <w:spacing w:val="-11"/>
        </w:rPr>
        <w:t> </w:t>
      </w:r>
      <w:r>
        <w:rPr>
          <w:color w:val="231F20"/>
          <w:spacing w:val="-2"/>
        </w:rPr>
        <w:t>to</w:t>
      </w:r>
      <w:r>
        <w:rPr>
          <w:color w:val="231F20"/>
          <w:spacing w:val="-11"/>
        </w:rPr>
        <w:t> </w:t>
      </w:r>
      <w:r>
        <w:rPr>
          <w:color w:val="231F20"/>
          <w:spacing w:val="-2"/>
        </w:rPr>
        <w:t>track</w:t>
      </w:r>
      <w:r>
        <w:rPr>
          <w:color w:val="231F20"/>
          <w:spacing w:val="-11"/>
        </w:rPr>
        <w:t> </w:t>
      </w:r>
      <w:r>
        <w:rPr>
          <w:color w:val="231F20"/>
          <w:spacing w:val="-2"/>
        </w:rPr>
        <w:t>and</w:t>
      </w:r>
      <w:r>
        <w:rPr>
          <w:color w:val="231F20"/>
          <w:spacing w:val="-11"/>
        </w:rPr>
        <w:t> </w:t>
      </w:r>
      <w:r>
        <w:rPr>
          <w:color w:val="231F20"/>
          <w:spacing w:val="-2"/>
        </w:rPr>
        <w:t>trace</w:t>
      </w:r>
      <w:r>
        <w:rPr>
          <w:color w:val="231F20"/>
          <w:spacing w:val="-11"/>
        </w:rPr>
        <w:t> </w:t>
      </w:r>
      <w:r>
        <w:rPr>
          <w:color w:val="231F20"/>
          <w:spacing w:val="-2"/>
        </w:rPr>
        <w:t>ship- </w:t>
      </w:r>
      <w:r>
        <w:rPr>
          <w:color w:val="231F20"/>
          <w:spacing w:val="-8"/>
        </w:rPr>
        <w:t>ments).</w:t>
      </w:r>
      <w:r>
        <w:rPr>
          <w:color w:val="231F20"/>
          <w:spacing w:val="-6"/>
        </w:rPr>
        <w:t> </w:t>
      </w:r>
      <w:r>
        <w:rPr>
          <w:color w:val="231F20"/>
          <w:spacing w:val="-8"/>
        </w:rPr>
        <w:t>Performance</w:t>
      </w:r>
      <w:r>
        <w:rPr>
          <w:color w:val="231F20"/>
          <w:spacing w:val="-5"/>
        </w:rPr>
        <w:t> </w:t>
      </w:r>
      <w:r>
        <w:rPr>
          <w:color w:val="231F20"/>
          <w:spacing w:val="-8"/>
        </w:rPr>
        <w:t>on</w:t>
      </w:r>
      <w:r>
        <w:rPr>
          <w:color w:val="231F20"/>
          <w:spacing w:val="-5"/>
        </w:rPr>
        <w:t> </w:t>
      </w:r>
      <w:r>
        <w:rPr>
          <w:color w:val="231F20"/>
          <w:spacing w:val="-8"/>
        </w:rPr>
        <w:t>these</w:t>
      </w:r>
      <w:r>
        <w:rPr>
          <w:color w:val="231F20"/>
          <w:spacing w:val="-5"/>
        </w:rPr>
        <w:t> </w:t>
      </w:r>
      <w:r>
        <w:rPr>
          <w:color w:val="231F20"/>
          <w:spacing w:val="-8"/>
        </w:rPr>
        <w:t>metrics</w:t>
      </w:r>
      <w:r>
        <w:rPr>
          <w:color w:val="231F20"/>
          <w:spacing w:val="-5"/>
        </w:rPr>
        <w:t> </w:t>
      </w:r>
      <w:r>
        <w:rPr>
          <w:color w:val="231F20"/>
          <w:spacing w:val="-8"/>
        </w:rPr>
        <w:t>may</w:t>
      </w:r>
      <w:r>
        <w:rPr>
          <w:color w:val="231F20"/>
          <w:spacing w:val="-5"/>
        </w:rPr>
        <w:t> </w:t>
      </w:r>
      <w:r>
        <w:rPr>
          <w:color w:val="231F20"/>
          <w:spacing w:val="-8"/>
        </w:rPr>
        <w:t>have </w:t>
      </w:r>
      <w:r>
        <w:rPr>
          <w:color w:val="231F20"/>
        </w:rPr>
        <w:t>improved due to policy reforms and private </w:t>
      </w:r>
      <w:r>
        <w:rPr>
          <w:color w:val="231F20"/>
          <w:spacing w:val="-4"/>
        </w:rPr>
        <w:t>sector capacity building over time, despite the </w:t>
      </w:r>
      <w:r>
        <w:rPr>
          <w:color w:val="231F20"/>
          <w:w w:val="90"/>
        </w:rPr>
        <w:t>constraints imposed by recent conditions. These </w:t>
      </w:r>
      <w:r>
        <w:rPr>
          <w:color w:val="231F20"/>
          <w:spacing w:val="-4"/>
        </w:rPr>
        <w:t>factors</w:t>
      </w:r>
      <w:r>
        <w:rPr>
          <w:color w:val="231F20"/>
          <w:spacing w:val="-9"/>
        </w:rPr>
        <w:t> </w:t>
      </w:r>
      <w:r>
        <w:rPr>
          <w:color w:val="231F20"/>
          <w:spacing w:val="-4"/>
        </w:rPr>
        <w:t>also</w:t>
      </w:r>
      <w:r>
        <w:rPr>
          <w:color w:val="231F20"/>
          <w:spacing w:val="-9"/>
        </w:rPr>
        <w:t> </w:t>
      </w:r>
      <w:r>
        <w:rPr>
          <w:color w:val="231F20"/>
          <w:spacing w:val="-4"/>
        </w:rPr>
        <w:t>improve</w:t>
      </w:r>
      <w:r>
        <w:rPr>
          <w:color w:val="231F20"/>
          <w:spacing w:val="-9"/>
        </w:rPr>
        <w:t> </w:t>
      </w:r>
      <w:r>
        <w:rPr>
          <w:color w:val="231F20"/>
          <w:spacing w:val="-4"/>
        </w:rPr>
        <w:t>resilience</w:t>
      </w:r>
      <w:r>
        <w:rPr>
          <w:color w:val="231F20"/>
          <w:spacing w:val="-9"/>
        </w:rPr>
        <w:t> </w:t>
      </w:r>
      <w:r>
        <w:rPr>
          <w:color w:val="231F20"/>
          <w:spacing w:val="-4"/>
        </w:rPr>
        <w:t>against</w:t>
      </w:r>
      <w:r>
        <w:rPr>
          <w:color w:val="231F20"/>
          <w:spacing w:val="-9"/>
        </w:rPr>
        <w:t> </w:t>
      </w:r>
      <w:r>
        <w:rPr>
          <w:color w:val="231F20"/>
          <w:spacing w:val="-4"/>
        </w:rPr>
        <w:t>shocks.</w:t>
      </w:r>
    </w:p>
    <w:p>
      <w:pPr>
        <w:pStyle w:val="BodyText"/>
        <w:spacing w:line="268" w:lineRule="auto"/>
        <w:ind w:left="199" w:right="656" w:firstLine="300"/>
        <w:jc w:val="both"/>
      </w:pPr>
      <w:r>
        <w:rPr>
          <w:color w:val="231F20"/>
          <w:w w:val="90"/>
        </w:rPr>
        <w:t>New indicators based on tracking data, such </w:t>
      </w:r>
      <w:r>
        <w:rPr>
          <w:color w:val="231F20"/>
          <w:spacing w:val="-2"/>
        </w:rPr>
        <w:t>as</w:t>
      </w:r>
      <w:r>
        <w:rPr>
          <w:color w:val="231F20"/>
          <w:spacing w:val="-12"/>
        </w:rPr>
        <w:t> </w:t>
      </w:r>
      <w:r>
        <w:rPr>
          <w:color w:val="231F20"/>
          <w:spacing w:val="-2"/>
        </w:rPr>
        <w:t>the</w:t>
      </w:r>
      <w:r>
        <w:rPr>
          <w:color w:val="231F20"/>
          <w:spacing w:val="-11"/>
        </w:rPr>
        <w:t> </w:t>
      </w:r>
      <w:r>
        <w:rPr>
          <w:color w:val="231F20"/>
          <w:spacing w:val="-2"/>
        </w:rPr>
        <w:t>time</w:t>
      </w:r>
      <w:r>
        <w:rPr>
          <w:color w:val="231F20"/>
          <w:spacing w:val="-11"/>
        </w:rPr>
        <w:t> </w:t>
      </w:r>
      <w:r>
        <w:rPr>
          <w:color w:val="231F20"/>
          <w:spacing w:val="-2"/>
        </w:rPr>
        <w:t>containers</w:t>
      </w:r>
      <w:r>
        <w:rPr>
          <w:color w:val="231F20"/>
          <w:spacing w:val="-11"/>
        </w:rPr>
        <w:t> </w:t>
      </w:r>
      <w:r>
        <w:rPr>
          <w:color w:val="231F20"/>
          <w:spacing w:val="-2"/>
        </w:rPr>
        <w:t>stay</w:t>
      </w:r>
      <w:r>
        <w:rPr>
          <w:color w:val="231F20"/>
          <w:spacing w:val="-11"/>
        </w:rPr>
        <w:t> </w:t>
      </w:r>
      <w:r>
        <w:rPr>
          <w:color w:val="231F20"/>
          <w:spacing w:val="-2"/>
        </w:rPr>
        <w:t>in</w:t>
      </w:r>
      <w:r>
        <w:rPr>
          <w:color w:val="231F20"/>
          <w:spacing w:val="-11"/>
        </w:rPr>
        <w:t> </w:t>
      </w:r>
      <w:r>
        <w:rPr>
          <w:color w:val="231F20"/>
          <w:spacing w:val="-2"/>
        </w:rPr>
        <w:t>ports</w:t>
      </w:r>
      <w:r>
        <w:rPr>
          <w:color w:val="231F20"/>
          <w:spacing w:val="-11"/>
        </w:rPr>
        <w:t> </w:t>
      </w:r>
      <w:r>
        <w:rPr>
          <w:color w:val="231F20"/>
          <w:spacing w:val="-2"/>
        </w:rPr>
        <w:t>or</w:t>
      </w:r>
      <w:r>
        <w:rPr>
          <w:color w:val="231F20"/>
          <w:spacing w:val="-11"/>
        </w:rPr>
        <w:t> </w:t>
      </w:r>
      <w:r>
        <w:rPr>
          <w:color w:val="231F20"/>
          <w:spacing w:val="-2"/>
        </w:rPr>
        <w:t>airports, </w:t>
      </w:r>
      <w:r>
        <w:rPr>
          <w:color w:val="231F20"/>
        </w:rPr>
        <w:t>look</w:t>
      </w:r>
      <w:r>
        <w:rPr>
          <w:color w:val="231F20"/>
          <w:spacing w:val="-10"/>
        </w:rPr>
        <w:t> </w:t>
      </w:r>
      <w:r>
        <w:rPr>
          <w:color w:val="231F20"/>
        </w:rPr>
        <w:t>at</w:t>
      </w:r>
      <w:r>
        <w:rPr>
          <w:color w:val="231F20"/>
          <w:spacing w:val="-10"/>
        </w:rPr>
        <w:t> </w:t>
      </w:r>
      <w:r>
        <w:rPr>
          <w:color w:val="231F20"/>
        </w:rPr>
        <w:t>the</w:t>
      </w:r>
      <w:r>
        <w:rPr>
          <w:color w:val="231F20"/>
          <w:spacing w:val="-10"/>
        </w:rPr>
        <w:t> </w:t>
      </w:r>
      <w:r>
        <w:rPr>
          <w:color w:val="231F20"/>
        </w:rPr>
        <w:t>speed</w:t>
      </w:r>
      <w:r>
        <w:rPr>
          <w:color w:val="231F20"/>
          <w:spacing w:val="-10"/>
        </w:rPr>
        <w:t> </w:t>
      </w:r>
      <w:r>
        <w:rPr>
          <w:color w:val="231F20"/>
        </w:rPr>
        <w:t>of</w:t>
      </w:r>
      <w:r>
        <w:rPr>
          <w:color w:val="231F20"/>
          <w:spacing w:val="-10"/>
        </w:rPr>
        <w:t> </w:t>
      </w:r>
      <w:r>
        <w:rPr>
          <w:color w:val="231F20"/>
        </w:rPr>
        <w:t>trade.</w:t>
      </w:r>
      <w:r>
        <w:rPr>
          <w:color w:val="231F20"/>
          <w:spacing w:val="-10"/>
        </w:rPr>
        <w:t> </w:t>
      </w:r>
      <w:r>
        <w:rPr>
          <w:color w:val="231F20"/>
        </w:rPr>
        <w:t>By</w:t>
      </w:r>
      <w:r>
        <w:rPr>
          <w:color w:val="231F20"/>
          <w:spacing w:val="-10"/>
        </w:rPr>
        <w:t> </w:t>
      </w:r>
      <w:r>
        <w:rPr>
          <w:color w:val="231F20"/>
        </w:rPr>
        <w:t>nature</w:t>
      </w:r>
      <w:r>
        <w:rPr>
          <w:color w:val="231F20"/>
          <w:spacing w:val="-10"/>
        </w:rPr>
        <w:t> </w:t>
      </w:r>
      <w:r>
        <w:rPr>
          <w:color w:val="231F20"/>
        </w:rPr>
        <w:t>they</w:t>
      </w:r>
      <w:r>
        <w:rPr>
          <w:color w:val="231F20"/>
          <w:spacing w:val="-10"/>
        </w:rPr>
        <w:t> </w:t>
      </w:r>
      <w:r>
        <w:rPr>
          <w:color w:val="231F20"/>
        </w:rPr>
        <w:t>are </w:t>
      </w:r>
      <w:r>
        <w:rPr>
          <w:color w:val="231F20"/>
          <w:spacing w:val="-4"/>
        </w:rPr>
        <w:t>more</w:t>
      </w:r>
      <w:r>
        <w:rPr>
          <w:color w:val="231F20"/>
          <w:spacing w:val="-10"/>
        </w:rPr>
        <w:t> </w:t>
      </w:r>
      <w:r>
        <w:rPr>
          <w:color w:val="231F20"/>
          <w:spacing w:val="-4"/>
        </w:rPr>
        <w:t>affected</w:t>
      </w:r>
      <w:r>
        <w:rPr>
          <w:color w:val="231F20"/>
          <w:spacing w:val="-9"/>
        </w:rPr>
        <w:t> </w:t>
      </w:r>
      <w:r>
        <w:rPr>
          <w:color w:val="231F20"/>
          <w:spacing w:val="-4"/>
        </w:rPr>
        <w:t>by</w:t>
      </w:r>
      <w:r>
        <w:rPr>
          <w:color w:val="231F20"/>
          <w:spacing w:val="-9"/>
        </w:rPr>
        <w:t> </w:t>
      </w:r>
      <w:r>
        <w:rPr>
          <w:color w:val="231F20"/>
          <w:spacing w:val="-4"/>
        </w:rPr>
        <w:t>major</w:t>
      </w:r>
      <w:r>
        <w:rPr>
          <w:color w:val="231F20"/>
          <w:spacing w:val="-9"/>
        </w:rPr>
        <w:t> </w:t>
      </w:r>
      <w:r>
        <w:rPr>
          <w:color w:val="231F20"/>
          <w:spacing w:val="-4"/>
        </w:rPr>
        <w:t>disruptions</w:t>
      </w:r>
      <w:r>
        <w:rPr>
          <w:color w:val="231F20"/>
          <w:spacing w:val="-9"/>
        </w:rPr>
        <w:t> </w:t>
      </w:r>
      <w:r>
        <w:rPr>
          <w:color w:val="231F20"/>
          <w:spacing w:val="-4"/>
        </w:rPr>
        <w:t>such</w:t>
      </w:r>
      <w:r>
        <w:rPr>
          <w:color w:val="231F20"/>
          <w:spacing w:val="-9"/>
        </w:rPr>
        <w:t> </w:t>
      </w:r>
      <w:r>
        <w:rPr>
          <w:color w:val="231F20"/>
          <w:spacing w:val="-4"/>
        </w:rPr>
        <w:t>as</w:t>
      </w:r>
      <w:r>
        <w:rPr>
          <w:color w:val="231F20"/>
          <w:spacing w:val="-9"/>
        </w:rPr>
        <w:t> </w:t>
      </w:r>
      <w:r>
        <w:rPr>
          <w:color w:val="231F20"/>
          <w:spacing w:val="-4"/>
        </w:rPr>
        <w:t>the </w:t>
      </w:r>
      <w:r>
        <w:rPr>
          <w:color w:val="231F20"/>
          <w:w w:val="90"/>
        </w:rPr>
        <w:t>recent ones than the survey-based LPI. With the </w:t>
      </w:r>
      <w:r>
        <w:rPr>
          <w:color w:val="231F20"/>
          <w:spacing w:val="-8"/>
        </w:rPr>
        <w:t>exception</w:t>
      </w:r>
      <w:r>
        <w:rPr>
          <w:color w:val="231F20"/>
          <w:spacing w:val="-3"/>
        </w:rPr>
        <w:t> </w:t>
      </w:r>
      <w:r>
        <w:rPr>
          <w:color w:val="231F20"/>
          <w:spacing w:val="-8"/>
        </w:rPr>
        <w:t>of</w:t>
      </w:r>
      <w:r>
        <w:rPr>
          <w:color w:val="231F20"/>
          <w:spacing w:val="-3"/>
        </w:rPr>
        <w:t> </w:t>
      </w:r>
      <w:r>
        <w:rPr>
          <w:color w:val="231F20"/>
          <w:spacing w:val="-8"/>
        </w:rPr>
        <w:t>the</w:t>
      </w:r>
      <w:r>
        <w:rPr>
          <w:color w:val="231F20"/>
          <w:spacing w:val="-3"/>
        </w:rPr>
        <w:t> </w:t>
      </w:r>
      <w:r>
        <w:rPr>
          <w:color w:val="231F20"/>
          <w:spacing w:val="-8"/>
        </w:rPr>
        <w:t>postal</w:t>
      </w:r>
      <w:r>
        <w:rPr>
          <w:color w:val="231F20"/>
          <w:spacing w:val="-3"/>
        </w:rPr>
        <w:t> </w:t>
      </w:r>
      <w:r>
        <w:rPr>
          <w:color w:val="231F20"/>
          <w:spacing w:val="-8"/>
        </w:rPr>
        <w:t>data</w:t>
      </w:r>
      <w:r>
        <w:rPr>
          <w:color w:val="231F20"/>
          <w:spacing w:val="-3"/>
        </w:rPr>
        <w:t> </w:t>
      </w:r>
      <w:r>
        <w:rPr>
          <w:color w:val="231F20"/>
          <w:spacing w:val="-8"/>
        </w:rPr>
        <w:t>(which</w:t>
      </w:r>
      <w:r>
        <w:rPr>
          <w:color w:val="231F20"/>
          <w:spacing w:val="-3"/>
        </w:rPr>
        <w:t> </w:t>
      </w:r>
      <w:r>
        <w:rPr>
          <w:color w:val="231F20"/>
          <w:spacing w:val="-8"/>
        </w:rPr>
        <w:t>is</w:t>
      </w:r>
      <w:r>
        <w:rPr>
          <w:color w:val="231F20"/>
          <w:spacing w:val="-3"/>
        </w:rPr>
        <w:t> </w:t>
      </w:r>
      <w:r>
        <w:rPr>
          <w:color w:val="231F20"/>
          <w:spacing w:val="-8"/>
        </w:rPr>
        <w:t>for</w:t>
      </w:r>
      <w:r>
        <w:rPr>
          <w:color w:val="231F20"/>
          <w:spacing w:val="-3"/>
        </w:rPr>
        <w:t> </w:t>
      </w:r>
      <w:r>
        <w:rPr>
          <w:color w:val="231F20"/>
          <w:spacing w:val="-8"/>
        </w:rPr>
        <w:t>2019), </w:t>
      </w:r>
      <w:r>
        <w:rPr>
          <w:color w:val="231F20"/>
          <w:w w:val="90"/>
        </w:rPr>
        <w:t>the</w:t>
      </w:r>
      <w:r>
        <w:rPr>
          <w:color w:val="231F20"/>
          <w:spacing w:val="-4"/>
          <w:w w:val="90"/>
        </w:rPr>
        <w:t> </w:t>
      </w:r>
      <w:r>
        <w:rPr>
          <w:color w:val="231F20"/>
          <w:w w:val="90"/>
        </w:rPr>
        <w:t>data</w:t>
      </w:r>
      <w:r>
        <w:rPr>
          <w:color w:val="231F20"/>
          <w:spacing w:val="-4"/>
          <w:w w:val="90"/>
        </w:rPr>
        <w:t> </w:t>
      </w:r>
      <w:r>
        <w:rPr>
          <w:color w:val="231F20"/>
          <w:w w:val="90"/>
        </w:rPr>
        <w:t>cover</w:t>
      </w:r>
      <w:r>
        <w:rPr>
          <w:color w:val="231F20"/>
          <w:spacing w:val="-4"/>
          <w:w w:val="90"/>
        </w:rPr>
        <w:t> </w:t>
      </w:r>
      <w:r>
        <w:rPr>
          <w:color w:val="231F20"/>
          <w:w w:val="90"/>
        </w:rPr>
        <w:t>the</w:t>
      </w:r>
      <w:r>
        <w:rPr>
          <w:color w:val="231F20"/>
          <w:spacing w:val="-4"/>
          <w:w w:val="90"/>
        </w:rPr>
        <w:t> </w:t>
      </w:r>
      <w:r>
        <w:rPr>
          <w:color w:val="231F20"/>
          <w:w w:val="90"/>
        </w:rPr>
        <w:t>same</w:t>
      </w:r>
      <w:r>
        <w:rPr>
          <w:color w:val="231F20"/>
          <w:spacing w:val="-4"/>
          <w:w w:val="90"/>
        </w:rPr>
        <w:t> </w:t>
      </w:r>
      <w:r>
        <w:rPr>
          <w:color w:val="231F20"/>
          <w:w w:val="90"/>
        </w:rPr>
        <w:t>period</w:t>
      </w:r>
      <w:r>
        <w:rPr>
          <w:color w:val="231F20"/>
          <w:spacing w:val="-4"/>
          <w:w w:val="90"/>
        </w:rPr>
        <w:t> </w:t>
      </w:r>
      <w:r>
        <w:rPr>
          <w:color w:val="231F20"/>
          <w:w w:val="90"/>
        </w:rPr>
        <w:t>as</w:t>
      </w:r>
      <w:r>
        <w:rPr>
          <w:color w:val="231F20"/>
          <w:spacing w:val="-4"/>
          <w:w w:val="90"/>
        </w:rPr>
        <w:t> </w:t>
      </w:r>
      <w:r>
        <w:rPr>
          <w:color w:val="231F20"/>
          <w:w w:val="90"/>
        </w:rPr>
        <w:t>the</w:t>
      </w:r>
      <w:r>
        <w:rPr>
          <w:color w:val="231F20"/>
          <w:spacing w:val="-4"/>
          <w:w w:val="90"/>
        </w:rPr>
        <w:t> </w:t>
      </w:r>
      <w:r>
        <w:rPr>
          <w:color w:val="231F20"/>
          <w:w w:val="90"/>
        </w:rPr>
        <w:t>LPI</w:t>
      </w:r>
      <w:r>
        <w:rPr>
          <w:color w:val="231F20"/>
          <w:spacing w:val="-4"/>
          <w:w w:val="90"/>
        </w:rPr>
        <w:t> </w:t>
      </w:r>
      <w:r>
        <w:rPr>
          <w:color w:val="231F20"/>
          <w:w w:val="90"/>
        </w:rPr>
        <w:t>survey, </w:t>
      </w:r>
      <w:r>
        <w:rPr>
          <w:color w:val="231F20"/>
          <w:spacing w:val="-4"/>
        </w:rPr>
        <w:t>mid-2022.</w:t>
      </w:r>
      <w:r>
        <w:rPr>
          <w:color w:val="231F20"/>
          <w:spacing w:val="-6"/>
        </w:rPr>
        <w:t> </w:t>
      </w:r>
      <w:r>
        <w:rPr>
          <w:color w:val="231F20"/>
          <w:spacing w:val="-4"/>
        </w:rPr>
        <w:t>The</w:t>
      </w:r>
      <w:r>
        <w:rPr>
          <w:color w:val="231F20"/>
          <w:spacing w:val="-6"/>
        </w:rPr>
        <w:t> </w:t>
      </w:r>
      <w:r>
        <w:rPr>
          <w:color w:val="231F20"/>
          <w:spacing w:val="-4"/>
        </w:rPr>
        <w:t>results</w:t>
      </w:r>
      <w:r>
        <w:rPr>
          <w:color w:val="231F20"/>
          <w:spacing w:val="-6"/>
        </w:rPr>
        <w:t> </w:t>
      </w:r>
      <w:r>
        <w:rPr>
          <w:color w:val="231F20"/>
          <w:spacing w:val="-4"/>
        </w:rPr>
        <w:t>are</w:t>
      </w:r>
      <w:r>
        <w:rPr>
          <w:color w:val="231F20"/>
          <w:spacing w:val="-6"/>
        </w:rPr>
        <w:t> </w:t>
      </w:r>
      <w:r>
        <w:rPr>
          <w:color w:val="231F20"/>
          <w:spacing w:val="-4"/>
        </w:rPr>
        <w:t>likely</w:t>
      </w:r>
      <w:r>
        <w:rPr>
          <w:color w:val="231F20"/>
          <w:spacing w:val="-6"/>
        </w:rPr>
        <w:t> </w:t>
      </w:r>
      <w:r>
        <w:rPr>
          <w:color w:val="231F20"/>
          <w:spacing w:val="-4"/>
        </w:rPr>
        <w:t>to</w:t>
      </w:r>
      <w:r>
        <w:rPr>
          <w:color w:val="231F20"/>
          <w:spacing w:val="-6"/>
        </w:rPr>
        <w:t> </w:t>
      </w:r>
      <w:r>
        <w:rPr>
          <w:color w:val="231F20"/>
          <w:spacing w:val="-4"/>
        </w:rPr>
        <w:t>be</w:t>
      </w:r>
      <w:r>
        <w:rPr>
          <w:color w:val="231F20"/>
          <w:spacing w:val="-6"/>
        </w:rPr>
        <w:t> </w:t>
      </w:r>
      <w:r>
        <w:rPr>
          <w:color w:val="231F20"/>
          <w:spacing w:val="-4"/>
        </w:rPr>
        <w:t>affected </w:t>
      </w:r>
      <w:r>
        <w:rPr>
          <w:color w:val="231F20"/>
          <w:spacing w:val="-6"/>
        </w:rPr>
        <w:t>by the tail of the supply chain crisis or Russia’s </w:t>
      </w:r>
      <w:r>
        <w:rPr>
          <w:color w:val="231F20"/>
          <w:spacing w:val="-8"/>
        </w:rPr>
        <w:t>invasion</w:t>
      </w:r>
      <w:r>
        <w:rPr>
          <w:color w:val="231F20"/>
          <w:spacing w:val="-3"/>
        </w:rPr>
        <w:t> </w:t>
      </w:r>
      <w:r>
        <w:rPr>
          <w:color w:val="231F20"/>
          <w:spacing w:val="-8"/>
        </w:rPr>
        <w:t>of</w:t>
      </w:r>
      <w:r>
        <w:rPr>
          <w:color w:val="231F20"/>
          <w:spacing w:val="-3"/>
        </w:rPr>
        <w:t> </w:t>
      </w:r>
      <w:r>
        <w:rPr>
          <w:color w:val="231F20"/>
          <w:spacing w:val="-8"/>
        </w:rPr>
        <w:t>Ukraine</w:t>
      </w:r>
      <w:r>
        <w:rPr>
          <w:color w:val="231F20"/>
          <w:spacing w:val="-3"/>
        </w:rPr>
        <w:t> </w:t>
      </w:r>
      <w:r>
        <w:rPr>
          <w:color w:val="231F20"/>
          <w:spacing w:val="-8"/>
        </w:rPr>
        <w:t>(see</w:t>
      </w:r>
      <w:r>
        <w:rPr>
          <w:color w:val="231F20"/>
          <w:spacing w:val="-3"/>
        </w:rPr>
        <w:t> </w:t>
      </w:r>
      <w:r>
        <w:rPr>
          <w:color w:val="231F20"/>
          <w:spacing w:val="-8"/>
        </w:rPr>
        <w:t>map</w:t>
      </w:r>
      <w:r>
        <w:rPr>
          <w:color w:val="231F20"/>
          <w:spacing w:val="-3"/>
        </w:rPr>
        <w:t> </w:t>
      </w:r>
      <w:r>
        <w:rPr>
          <w:color w:val="231F20"/>
          <w:spacing w:val="-8"/>
        </w:rPr>
        <w:t>1</w:t>
      </w:r>
      <w:r>
        <w:rPr>
          <w:color w:val="231F20"/>
          <w:spacing w:val="-3"/>
        </w:rPr>
        <w:t> </w:t>
      </w:r>
      <w:r>
        <w:rPr>
          <w:color w:val="231F20"/>
          <w:spacing w:val="-8"/>
        </w:rPr>
        <w:t>in</w:t>
      </w:r>
      <w:r>
        <w:rPr>
          <w:color w:val="231F20"/>
          <w:spacing w:val="-3"/>
        </w:rPr>
        <w:t> </w:t>
      </w:r>
      <w:r>
        <w:rPr>
          <w:color w:val="231F20"/>
          <w:spacing w:val="-8"/>
        </w:rPr>
        <w:t>the</w:t>
      </w:r>
      <w:r>
        <w:rPr>
          <w:color w:val="231F20"/>
          <w:spacing w:val="-3"/>
        </w:rPr>
        <w:t> </w:t>
      </w:r>
      <w:r>
        <w:rPr>
          <w:color w:val="231F20"/>
          <w:spacing w:val="-8"/>
        </w:rPr>
        <w:t>executive </w:t>
      </w:r>
      <w:r>
        <w:rPr>
          <w:color w:val="231F20"/>
          <w:spacing w:val="-6"/>
        </w:rPr>
        <w:t>summary).</w:t>
      </w:r>
      <w:r>
        <w:rPr>
          <w:color w:val="231F20"/>
          <w:spacing w:val="-8"/>
        </w:rPr>
        <w:t> </w:t>
      </w:r>
      <w:r>
        <w:rPr>
          <w:color w:val="231F20"/>
          <w:spacing w:val="-6"/>
        </w:rPr>
        <w:t>Unfortunately,</w:t>
      </w:r>
      <w:r>
        <w:rPr>
          <w:color w:val="231F20"/>
          <w:spacing w:val="-7"/>
        </w:rPr>
        <w:t> </w:t>
      </w:r>
      <w:r>
        <w:rPr>
          <w:color w:val="231F20"/>
          <w:spacing w:val="-6"/>
        </w:rPr>
        <w:t>precrisis</w:t>
      </w:r>
      <w:r>
        <w:rPr>
          <w:color w:val="231F20"/>
          <w:spacing w:val="-7"/>
        </w:rPr>
        <w:t> </w:t>
      </w:r>
      <w:r>
        <w:rPr>
          <w:color w:val="231F20"/>
          <w:spacing w:val="-6"/>
        </w:rPr>
        <w:t>data</w:t>
      </w:r>
      <w:r>
        <w:rPr>
          <w:color w:val="231F20"/>
          <w:spacing w:val="-7"/>
        </w:rPr>
        <w:t> </w:t>
      </w:r>
      <w:r>
        <w:rPr>
          <w:color w:val="231F20"/>
          <w:spacing w:val="-6"/>
        </w:rPr>
        <w:t>are</w:t>
      </w:r>
      <w:r>
        <w:rPr>
          <w:color w:val="231F20"/>
          <w:spacing w:val="-7"/>
        </w:rPr>
        <w:t> </w:t>
      </w:r>
      <w:r>
        <w:rPr>
          <w:color w:val="231F20"/>
          <w:spacing w:val="-6"/>
        </w:rPr>
        <w:t>not </w:t>
      </w:r>
      <w:r>
        <w:rPr>
          <w:color w:val="231F20"/>
        </w:rPr>
        <w:t>available</w:t>
      </w:r>
      <w:r>
        <w:rPr>
          <w:color w:val="231F20"/>
          <w:spacing w:val="-9"/>
        </w:rPr>
        <w:t> </w:t>
      </w:r>
      <w:r>
        <w:rPr>
          <w:color w:val="231F20"/>
        </w:rPr>
        <w:t>for</w:t>
      </w:r>
      <w:r>
        <w:rPr>
          <w:color w:val="231F20"/>
          <w:spacing w:val="-9"/>
        </w:rPr>
        <w:t> </w:t>
      </w:r>
      <w:r>
        <w:rPr>
          <w:color w:val="231F20"/>
        </w:rPr>
        <w:t>comparison.</w:t>
      </w:r>
    </w:p>
    <w:p>
      <w:pPr>
        <w:spacing w:after="0" w:line="268" w:lineRule="auto"/>
        <w:jc w:val="both"/>
        <w:sectPr>
          <w:type w:val="continuous"/>
          <w:pgSz w:w="12240" w:h="15840"/>
          <w:pgMar w:header="370" w:footer="548" w:top="1140" w:bottom="280" w:left="0" w:right="540"/>
          <w:cols w:num="2" w:equalWidth="0">
            <w:col w:w="7081" w:space="40"/>
            <w:col w:w="4579"/>
          </w:cols>
        </w:sectPr>
      </w:pPr>
    </w:p>
    <w:p>
      <w:pPr>
        <w:pStyle w:val="BodyText"/>
        <w:rPr>
          <w:sz w:val="16"/>
        </w:rPr>
      </w:pPr>
    </w:p>
    <w:p>
      <w:pPr>
        <w:pStyle w:val="BodyText"/>
        <w:spacing w:before="21"/>
        <w:rPr>
          <w:sz w:val="16"/>
        </w:rPr>
      </w:pPr>
    </w:p>
    <w:p>
      <w:pPr>
        <w:spacing w:before="0"/>
        <w:ind w:left="4259" w:right="0" w:firstLine="0"/>
        <w:jc w:val="left"/>
        <w:rPr>
          <w:rFonts w:ascii="Arial"/>
          <w:b/>
          <w:sz w:val="16"/>
        </w:rPr>
      </w:pPr>
      <w:r>
        <w:rPr/>
        <mc:AlternateContent>
          <mc:Choice Requires="wps">
            <w:drawing>
              <wp:anchor distT="0" distB="0" distL="0" distR="0" allowOverlap="1" layoutInCell="1" locked="0" behindDoc="1" simplePos="0" relativeHeight="466742272">
                <wp:simplePos x="0" y="0"/>
                <wp:positionH relativeFrom="page">
                  <wp:posOffset>2095500</wp:posOffset>
                </wp:positionH>
                <wp:positionV relativeFrom="paragraph">
                  <wp:posOffset>-129172</wp:posOffset>
                </wp:positionV>
                <wp:extent cx="4953000" cy="2381250"/>
                <wp:effectExtent l="0" t="0" r="0" b="0"/>
                <wp:wrapNone/>
                <wp:docPr id="467" name="Group 467"/>
                <wp:cNvGraphicFramePr>
                  <a:graphicFrameLocks/>
                </wp:cNvGraphicFramePr>
                <a:graphic>
                  <a:graphicData uri="http://schemas.microsoft.com/office/word/2010/wordprocessingGroup">
                    <wpg:wgp>
                      <wpg:cNvPr id="467" name="Group 467"/>
                      <wpg:cNvGrpSpPr/>
                      <wpg:grpSpPr>
                        <a:xfrm>
                          <a:off x="0" y="0"/>
                          <a:ext cx="4953000" cy="2381250"/>
                          <a:chExt cx="4953000" cy="2381250"/>
                        </a:xfrm>
                      </wpg:grpSpPr>
                      <wps:wsp>
                        <wps:cNvPr id="468" name="Graphic 468"/>
                        <wps:cNvSpPr/>
                        <wps:spPr>
                          <a:xfrm>
                            <a:off x="19050" y="19050"/>
                            <a:ext cx="4914900" cy="2343150"/>
                          </a:xfrm>
                          <a:custGeom>
                            <a:avLst/>
                            <a:gdLst/>
                            <a:ahLst/>
                            <a:cxnLst/>
                            <a:rect l="l" t="t" r="r" b="b"/>
                            <a:pathLst>
                              <a:path w="4914900" h="2343150">
                                <a:moveTo>
                                  <a:pt x="4819650" y="0"/>
                                </a:moveTo>
                                <a:lnTo>
                                  <a:pt x="95250" y="0"/>
                                </a:lnTo>
                                <a:lnTo>
                                  <a:pt x="58212" y="7497"/>
                                </a:lnTo>
                                <a:lnTo>
                                  <a:pt x="27932" y="27932"/>
                                </a:lnTo>
                                <a:lnTo>
                                  <a:pt x="7497" y="58212"/>
                                </a:lnTo>
                                <a:lnTo>
                                  <a:pt x="0" y="95250"/>
                                </a:lnTo>
                                <a:lnTo>
                                  <a:pt x="0" y="2247900"/>
                                </a:lnTo>
                                <a:lnTo>
                                  <a:pt x="7497" y="2284942"/>
                                </a:lnTo>
                                <a:lnTo>
                                  <a:pt x="27932" y="2315222"/>
                                </a:lnTo>
                                <a:lnTo>
                                  <a:pt x="58212" y="2335653"/>
                                </a:lnTo>
                                <a:lnTo>
                                  <a:pt x="95250" y="2343150"/>
                                </a:lnTo>
                                <a:lnTo>
                                  <a:pt x="4819650" y="2343150"/>
                                </a:lnTo>
                                <a:lnTo>
                                  <a:pt x="4856687" y="2335653"/>
                                </a:lnTo>
                                <a:lnTo>
                                  <a:pt x="4886967" y="2315222"/>
                                </a:lnTo>
                                <a:lnTo>
                                  <a:pt x="4907402" y="2284942"/>
                                </a:lnTo>
                                <a:lnTo>
                                  <a:pt x="4914900" y="2247900"/>
                                </a:lnTo>
                                <a:lnTo>
                                  <a:pt x="4914900" y="95250"/>
                                </a:lnTo>
                                <a:lnTo>
                                  <a:pt x="4907402" y="58212"/>
                                </a:lnTo>
                                <a:lnTo>
                                  <a:pt x="4886967" y="27932"/>
                                </a:lnTo>
                                <a:lnTo>
                                  <a:pt x="4856687" y="7497"/>
                                </a:lnTo>
                                <a:lnTo>
                                  <a:pt x="4819650" y="0"/>
                                </a:lnTo>
                                <a:close/>
                              </a:path>
                            </a:pathLst>
                          </a:custGeom>
                          <a:solidFill>
                            <a:srgbClr val="E9F1FA"/>
                          </a:solidFill>
                        </wps:spPr>
                        <wps:bodyPr wrap="square" lIns="0" tIns="0" rIns="0" bIns="0" rtlCol="0">
                          <a:prstTxWarp prst="textNoShape">
                            <a:avLst/>
                          </a:prstTxWarp>
                          <a:noAutofit/>
                        </wps:bodyPr>
                      </wps:wsp>
                      <wps:wsp>
                        <wps:cNvPr id="469" name="Graphic 469"/>
                        <wps:cNvSpPr/>
                        <wps:spPr>
                          <a:xfrm>
                            <a:off x="152400" y="38100"/>
                            <a:ext cx="4781550" cy="254000"/>
                          </a:xfrm>
                          <a:custGeom>
                            <a:avLst/>
                            <a:gdLst/>
                            <a:ahLst/>
                            <a:cxnLst/>
                            <a:rect l="l" t="t" r="r" b="b"/>
                            <a:pathLst>
                              <a:path w="4781550" h="254000">
                                <a:moveTo>
                                  <a:pt x="4740466" y="0"/>
                                </a:moveTo>
                                <a:lnTo>
                                  <a:pt x="0" y="0"/>
                                </a:lnTo>
                                <a:lnTo>
                                  <a:pt x="0" y="254000"/>
                                </a:lnTo>
                                <a:lnTo>
                                  <a:pt x="4781550" y="254000"/>
                                </a:lnTo>
                                <a:lnTo>
                                  <a:pt x="4781550" y="76200"/>
                                </a:lnTo>
                                <a:lnTo>
                                  <a:pt x="4774053" y="39157"/>
                                </a:lnTo>
                                <a:lnTo>
                                  <a:pt x="4753622" y="8877"/>
                                </a:lnTo>
                                <a:lnTo>
                                  <a:pt x="4740466" y="0"/>
                                </a:lnTo>
                                <a:close/>
                              </a:path>
                            </a:pathLst>
                          </a:custGeom>
                          <a:solidFill>
                            <a:srgbClr val="808285"/>
                          </a:solidFill>
                        </wps:spPr>
                        <wps:bodyPr wrap="square" lIns="0" tIns="0" rIns="0" bIns="0" rtlCol="0">
                          <a:prstTxWarp prst="textNoShape">
                            <a:avLst/>
                          </a:prstTxWarp>
                          <a:noAutofit/>
                        </wps:bodyPr>
                      </wps:wsp>
                      <wps:wsp>
                        <wps:cNvPr id="470" name="Graphic 470"/>
                        <wps:cNvSpPr/>
                        <wps:spPr>
                          <a:xfrm>
                            <a:off x="546100" y="38098"/>
                            <a:ext cx="1270" cy="254635"/>
                          </a:xfrm>
                          <a:custGeom>
                            <a:avLst/>
                            <a:gdLst/>
                            <a:ahLst/>
                            <a:cxnLst/>
                            <a:rect l="l" t="t" r="r" b="b"/>
                            <a:pathLst>
                              <a:path w="0" h="254635">
                                <a:moveTo>
                                  <a:pt x="0" y="25415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471" name="Graphic 471"/>
                        <wps:cNvSpPr/>
                        <wps:spPr>
                          <a:xfrm>
                            <a:off x="38100" y="38251"/>
                            <a:ext cx="495300" cy="254000"/>
                          </a:xfrm>
                          <a:custGeom>
                            <a:avLst/>
                            <a:gdLst/>
                            <a:ahLst/>
                            <a:cxnLst/>
                            <a:rect l="l" t="t" r="r" b="b"/>
                            <a:pathLst>
                              <a:path w="495300" h="254000">
                                <a:moveTo>
                                  <a:pt x="0" y="254000"/>
                                </a:moveTo>
                                <a:lnTo>
                                  <a:pt x="495300" y="254000"/>
                                </a:lnTo>
                                <a:lnTo>
                                  <a:pt x="495300" y="0"/>
                                </a:lnTo>
                                <a:lnTo>
                                  <a:pt x="0" y="0"/>
                                </a:lnTo>
                                <a:lnTo>
                                  <a:pt x="0" y="254000"/>
                                </a:lnTo>
                                <a:close/>
                              </a:path>
                            </a:pathLst>
                          </a:custGeom>
                          <a:solidFill>
                            <a:srgbClr val="008FDD"/>
                          </a:solidFill>
                        </wps:spPr>
                        <wps:bodyPr wrap="square" lIns="0" tIns="0" rIns="0" bIns="0" rtlCol="0">
                          <a:prstTxWarp prst="textNoShape">
                            <a:avLst/>
                          </a:prstTxWarp>
                          <a:noAutofit/>
                        </wps:bodyPr>
                      </wps:wsp>
                      <wps:wsp>
                        <wps:cNvPr id="472" name="Graphic 472"/>
                        <wps:cNvSpPr/>
                        <wps:spPr>
                          <a:xfrm>
                            <a:off x="19050" y="19050"/>
                            <a:ext cx="4914900" cy="2343150"/>
                          </a:xfrm>
                          <a:custGeom>
                            <a:avLst/>
                            <a:gdLst/>
                            <a:ahLst/>
                            <a:cxnLst/>
                            <a:rect l="l" t="t" r="r" b="b"/>
                            <a:pathLst>
                              <a:path w="4914900" h="2343150">
                                <a:moveTo>
                                  <a:pt x="95250" y="0"/>
                                </a:moveTo>
                                <a:lnTo>
                                  <a:pt x="58212" y="7497"/>
                                </a:lnTo>
                                <a:lnTo>
                                  <a:pt x="27932" y="27932"/>
                                </a:lnTo>
                                <a:lnTo>
                                  <a:pt x="7497" y="58212"/>
                                </a:lnTo>
                                <a:lnTo>
                                  <a:pt x="0" y="95250"/>
                                </a:lnTo>
                                <a:lnTo>
                                  <a:pt x="0" y="2247900"/>
                                </a:lnTo>
                                <a:lnTo>
                                  <a:pt x="7497" y="2284942"/>
                                </a:lnTo>
                                <a:lnTo>
                                  <a:pt x="27932" y="2315222"/>
                                </a:lnTo>
                                <a:lnTo>
                                  <a:pt x="58212" y="2335653"/>
                                </a:lnTo>
                                <a:lnTo>
                                  <a:pt x="95250" y="2343150"/>
                                </a:lnTo>
                                <a:lnTo>
                                  <a:pt x="4819650" y="2343150"/>
                                </a:lnTo>
                                <a:lnTo>
                                  <a:pt x="4856687" y="2335653"/>
                                </a:lnTo>
                                <a:lnTo>
                                  <a:pt x="4886967" y="2315222"/>
                                </a:lnTo>
                                <a:lnTo>
                                  <a:pt x="4907402" y="2284942"/>
                                </a:lnTo>
                                <a:lnTo>
                                  <a:pt x="4914900" y="2247900"/>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473" name="Textbox 473"/>
                        <wps:cNvSpPr txBox="1"/>
                        <wps:spPr>
                          <a:xfrm>
                            <a:off x="38100" y="38251"/>
                            <a:ext cx="495300" cy="254000"/>
                          </a:xfrm>
                          <a:prstGeom prst="rect">
                            <a:avLst/>
                          </a:prstGeom>
                        </wps:spPr>
                        <wps:txbx>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4"/>
                                  <w:w w:val="90"/>
                                  <w:sz w:val="16"/>
                                </w:rPr>
                                <w:t> </w:t>
                              </w:r>
                              <w:r>
                                <w:rPr>
                                  <w:rFonts w:ascii="Arial"/>
                                  <w:b/>
                                  <w:color w:val="FFFFFF"/>
                                  <w:spacing w:val="-5"/>
                                  <w:w w:val="90"/>
                                  <w:sz w:val="16"/>
                                </w:rPr>
                                <w:t>1.2</w:t>
                              </w:r>
                            </w:p>
                          </w:txbxContent>
                        </wps:txbx>
                        <wps:bodyPr wrap="square" lIns="0" tIns="0" rIns="0" bIns="0" rtlCol="0">
                          <a:noAutofit/>
                        </wps:bodyPr>
                      </wps:wsp>
                    </wpg:wgp>
                  </a:graphicData>
                </a:graphic>
              </wp:anchor>
            </w:drawing>
          </mc:Choice>
          <mc:Fallback>
            <w:pict>
              <v:group style="position:absolute;margin-left:165pt;margin-top:-10.171094pt;width:390pt;height:187.5pt;mso-position-horizontal-relative:page;mso-position-vertical-relative:paragraph;z-index:-36574208" id="docshapegroup387" coordorigin="3300,-203" coordsize="7800,3750">
                <v:shape style="position:absolute;left:3330;top:-174;width:7740;height:3690" id="docshape388" coordorigin="3330,-173" coordsize="7740,3690" path="m10920,-173l3480,-173,3422,-162,3374,-129,3342,-82,3330,-23,3330,3367,3342,3425,3374,3473,3422,3505,3480,3517,10920,3517,10978,3505,11026,3473,11058,3425,11070,3367,11070,-23,11058,-82,11026,-129,10978,-162,10920,-173xe" filled="true" fillcolor="#e9f1fa" stroked="false">
                  <v:path arrowok="t"/>
                  <v:fill type="solid"/>
                </v:shape>
                <v:shape style="position:absolute;left:3540;top:-144;width:7530;height:400" id="docshape389" coordorigin="3540,-143" coordsize="7530,400" path="m11005,-143l3540,-143,3540,257,11070,257,11070,-23,11058,-82,11026,-129,11005,-143xe" filled="true" fillcolor="#808285" stroked="false">
                  <v:path arrowok="t"/>
                  <v:fill type="solid"/>
                </v:shape>
                <v:line style="position:absolute" from="4160,257" to="4160,-143" stroked="true" strokeweight="2pt" strokecolor="#ffffff">
                  <v:stroke dashstyle="solid"/>
                </v:line>
                <v:rect style="position:absolute;left:3360;top:-144;width:780;height:400" id="docshape390" filled="true" fillcolor="#008fdd" stroked="false">
                  <v:fill type="solid"/>
                </v:rect>
                <v:shape style="position:absolute;left:3330;top:-174;width:7740;height:3690" id="docshape391" coordorigin="3330,-173" coordsize="7740,3690" path="m3480,-173l3422,-162,3374,-129,3342,-82,3330,-23,3330,3367,3342,3425,3374,3473,3422,3505,3480,3517,10920,3517,10978,3505,11026,3473,11058,3425,11070,3367,11070,-23,11058,-82,11026,-129,10978,-162,10920,-173,3480,-173xe" filled="false" stroked="true" strokeweight="3pt" strokecolor="#ffffff">
                  <v:path arrowok="t"/>
                  <v:stroke dashstyle="solid"/>
                </v:shape>
                <v:shape style="position:absolute;left:3360;top:-144;width:780;height:400" type="#_x0000_t202" id="docshape392" filled="false" stroked="false">
                  <v:textbox inset="0,0,0,0">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4"/>
                            <w:w w:val="90"/>
                            <w:sz w:val="16"/>
                          </w:rPr>
                          <w:t> </w:t>
                        </w:r>
                        <w:r>
                          <w:rPr>
                            <w:rFonts w:ascii="Arial"/>
                            <w:b/>
                            <w:color w:val="FFFFFF"/>
                            <w:spacing w:val="-5"/>
                            <w:w w:val="90"/>
                            <w:sz w:val="16"/>
                          </w:rPr>
                          <w:t>1.2</w:t>
                        </w:r>
                      </w:p>
                    </w:txbxContent>
                  </v:textbox>
                  <w10:wrap type="none"/>
                </v:shape>
                <w10:wrap type="none"/>
              </v:group>
            </w:pict>
          </mc:Fallback>
        </mc:AlternateContent>
      </w:r>
      <w:r>
        <w:rPr>
          <w:rFonts w:ascii="Arial"/>
          <w:b/>
          <w:color w:val="FFFFFF"/>
          <w:w w:val="105"/>
          <w:sz w:val="16"/>
        </w:rPr>
        <w:t>The</w:t>
      </w:r>
      <w:r>
        <w:rPr>
          <w:rFonts w:ascii="Arial"/>
          <w:b/>
          <w:color w:val="FFFFFF"/>
          <w:spacing w:val="7"/>
          <w:w w:val="105"/>
          <w:sz w:val="16"/>
        </w:rPr>
        <w:t> </w:t>
      </w:r>
      <w:r>
        <w:rPr>
          <w:rFonts w:ascii="Arial"/>
          <w:b/>
          <w:color w:val="FFFFFF"/>
          <w:w w:val="105"/>
          <w:sz w:val="16"/>
        </w:rPr>
        <w:t>2023</w:t>
      </w:r>
      <w:r>
        <w:rPr>
          <w:rFonts w:ascii="Arial"/>
          <w:b/>
          <w:color w:val="FFFFFF"/>
          <w:spacing w:val="8"/>
          <w:w w:val="105"/>
          <w:sz w:val="16"/>
        </w:rPr>
        <w:t> </w:t>
      </w:r>
      <w:r>
        <w:rPr>
          <w:rFonts w:ascii="Arial"/>
          <w:b/>
          <w:color w:val="FFFFFF"/>
          <w:w w:val="105"/>
          <w:sz w:val="16"/>
        </w:rPr>
        <w:t>LPI</w:t>
      </w:r>
      <w:r>
        <w:rPr>
          <w:rFonts w:ascii="Arial"/>
          <w:b/>
          <w:color w:val="FFFFFF"/>
          <w:spacing w:val="8"/>
          <w:w w:val="105"/>
          <w:sz w:val="16"/>
        </w:rPr>
        <w:t> </w:t>
      </w:r>
      <w:r>
        <w:rPr>
          <w:rFonts w:ascii="Arial"/>
          <w:b/>
          <w:color w:val="FFFFFF"/>
          <w:w w:val="105"/>
          <w:sz w:val="16"/>
        </w:rPr>
        <w:t>survey</w:t>
      </w:r>
      <w:r>
        <w:rPr>
          <w:rFonts w:ascii="Arial"/>
          <w:b/>
          <w:color w:val="FFFFFF"/>
          <w:spacing w:val="8"/>
          <w:w w:val="105"/>
          <w:sz w:val="16"/>
        </w:rPr>
        <w:t> </w:t>
      </w:r>
      <w:r>
        <w:rPr>
          <w:rFonts w:ascii="Arial"/>
          <w:b/>
          <w:color w:val="FFFFFF"/>
          <w:w w:val="105"/>
          <w:sz w:val="16"/>
        </w:rPr>
        <w:t>question</w:t>
      </w:r>
      <w:r>
        <w:rPr>
          <w:rFonts w:ascii="Arial"/>
          <w:b/>
          <w:color w:val="FFFFFF"/>
          <w:spacing w:val="8"/>
          <w:w w:val="105"/>
          <w:sz w:val="16"/>
        </w:rPr>
        <w:t> </w:t>
      </w:r>
      <w:r>
        <w:rPr>
          <w:rFonts w:ascii="Arial"/>
          <w:b/>
          <w:color w:val="FFFFFF"/>
          <w:w w:val="105"/>
          <w:sz w:val="16"/>
        </w:rPr>
        <w:t>on</w:t>
      </w:r>
      <w:r>
        <w:rPr>
          <w:rFonts w:ascii="Arial"/>
          <w:b/>
          <w:color w:val="FFFFFF"/>
          <w:spacing w:val="8"/>
          <w:w w:val="105"/>
          <w:sz w:val="16"/>
        </w:rPr>
        <w:t> </w:t>
      </w:r>
      <w:r>
        <w:rPr>
          <w:rFonts w:ascii="Arial"/>
          <w:b/>
          <w:color w:val="FFFFFF"/>
          <w:w w:val="105"/>
          <w:sz w:val="16"/>
        </w:rPr>
        <w:t>supply</w:t>
      </w:r>
      <w:r>
        <w:rPr>
          <w:rFonts w:ascii="Arial"/>
          <w:b/>
          <w:color w:val="FFFFFF"/>
          <w:spacing w:val="8"/>
          <w:w w:val="105"/>
          <w:sz w:val="16"/>
        </w:rPr>
        <w:t> </w:t>
      </w:r>
      <w:r>
        <w:rPr>
          <w:rFonts w:ascii="Arial"/>
          <w:b/>
          <w:color w:val="FFFFFF"/>
          <w:w w:val="105"/>
          <w:sz w:val="16"/>
        </w:rPr>
        <w:t>chain</w:t>
      </w:r>
      <w:r>
        <w:rPr>
          <w:rFonts w:ascii="Arial"/>
          <w:b/>
          <w:color w:val="FFFFFF"/>
          <w:spacing w:val="8"/>
          <w:w w:val="105"/>
          <w:sz w:val="16"/>
        </w:rPr>
        <w:t> </w:t>
      </w:r>
      <w:r>
        <w:rPr>
          <w:rFonts w:ascii="Arial"/>
          <w:b/>
          <w:color w:val="FFFFFF"/>
          <w:spacing w:val="-2"/>
          <w:w w:val="105"/>
          <w:sz w:val="16"/>
        </w:rPr>
        <w:t>disruptions</w:t>
      </w:r>
    </w:p>
    <w:p>
      <w:pPr>
        <w:pStyle w:val="BodyText"/>
        <w:spacing w:before="9"/>
        <w:rPr>
          <w:rFonts w:ascii="Arial"/>
          <w:b/>
          <w:sz w:val="14"/>
        </w:rPr>
      </w:pPr>
    </w:p>
    <w:p>
      <w:pPr>
        <w:spacing w:after="0"/>
        <w:rPr>
          <w:rFonts w:ascii="Arial"/>
          <w:sz w:val="14"/>
        </w:rPr>
        <w:sectPr>
          <w:type w:val="continuous"/>
          <w:pgSz w:w="12240" w:h="15840"/>
          <w:pgMar w:header="370" w:footer="548" w:top="1140" w:bottom="280" w:left="0" w:right="540"/>
        </w:sectPr>
      </w:pPr>
    </w:p>
    <w:p>
      <w:pPr>
        <w:spacing w:line="352" w:lineRule="auto" w:before="102"/>
        <w:ind w:left="3540" w:right="0" w:firstLine="0"/>
        <w:jc w:val="both"/>
        <w:rPr>
          <w:rFonts w:ascii="Arial" w:hAnsi="Arial"/>
          <w:sz w:val="16"/>
        </w:rPr>
      </w:pPr>
      <w:r>
        <w:rPr>
          <w:rFonts w:ascii="Arial" w:hAnsi="Arial"/>
          <w:color w:val="231F20"/>
          <w:sz w:val="16"/>
        </w:rPr>
        <w:t>This year’s survey included a question on dis- ruptions in logistics operations since 2019. The effects were far from equal across countries. Among respondents dealing with exports to</w:t>
      </w:r>
      <w:r>
        <w:rPr>
          <w:rFonts w:ascii="Arial" w:hAnsi="Arial"/>
          <w:color w:val="231F20"/>
          <w:spacing w:val="80"/>
          <w:sz w:val="16"/>
        </w:rPr>
        <w:t> </w:t>
      </w:r>
      <w:r>
        <w:rPr>
          <w:rFonts w:ascii="Arial" w:hAnsi="Arial"/>
          <w:color w:val="231F20"/>
          <w:sz w:val="16"/>
        </w:rPr>
        <w:t>high-income</w:t>
      </w:r>
      <w:r>
        <w:rPr>
          <w:rFonts w:ascii="Arial" w:hAnsi="Arial"/>
          <w:color w:val="231F20"/>
          <w:spacing w:val="40"/>
          <w:sz w:val="16"/>
        </w:rPr>
        <w:t> </w:t>
      </w:r>
      <w:r>
        <w:rPr>
          <w:rFonts w:ascii="Arial" w:hAnsi="Arial"/>
          <w:color w:val="231F20"/>
          <w:sz w:val="16"/>
        </w:rPr>
        <w:t>countries,</w:t>
      </w:r>
      <w:r>
        <w:rPr>
          <w:rFonts w:ascii="Arial" w:hAnsi="Arial"/>
          <w:color w:val="231F20"/>
          <w:spacing w:val="40"/>
          <w:sz w:val="16"/>
        </w:rPr>
        <w:t> </w:t>
      </w:r>
      <w:r>
        <w:rPr>
          <w:rFonts w:ascii="Arial" w:hAnsi="Arial"/>
          <w:color w:val="231F20"/>
          <w:sz w:val="16"/>
        </w:rPr>
        <w:t>13</w:t>
      </w:r>
      <w:r>
        <w:rPr>
          <w:rFonts w:ascii="Arial" w:hAnsi="Arial"/>
          <w:color w:val="231F20"/>
          <w:spacing w:val="40"/>
          <w:sz w:val="16"/>
        </w:rPr>
        <w:t> </w:t>
      </w:r>
      <w:r>
        <w:rPr>
          <w:rFonts w:ascii="Arial" w:hAnsi="Arial"/>
          <w:color w:val="231F20"/>
          <w:sz w:val="16"/>
        </w:rPr>
        <w:t>percent</w:t>
      </w:r>
      <w:r>
        <w:rPr>
          <w:rFonts w:ascii="Arial" w:hAnsi="Arial"/>
          <w:color w:val="231F20"/>
          <w:spacing w:val="40"/>
          <w:sz w:val="16"/>
        </w:rPr>
        <w:t> </w:t>
      </w:r>
      <w:r>
        <w:rPr>
          <w:rFonts w:ascii="Arial" w:hAnsi="Arial"/>
          <w:color w:val="231F20"/>
          <w:sz w:val="16"/>
        </w:rPr>
        <w:t>reported that</w:t>
      </w:r>
      <w:r>
        <w:rPr>
          <w:rFonts w:ascii="Arial" w:hAnsi="Arial"/>
          <w:color w:val="231F20"/>
          <w:spacing w:val="37"/>
          <w:sz w:val="16"/>
        </w:rPr>
        <w:t> </w:t>
      </w:r>
      <w:r>
        <w:rPr>
          <w:rFonts w:ascii="Arial" w:hAnsi="Arial"/>
          <w:color w:val="231F20"/>
          <w:sz w:val="16"/>
        </w:rPr>
        <w:t>operations</w:t>
      </w:r>
      <w:r>
        <w:rPr>
          <w:rFonts w:ascii="Arial" w:hAnsi="Arial"/>
          <w:color w:val="231F20"/>
          <w:spacing w:val="37"/>
          <w:sz w:val="16"/>
        </w:rPr>
        <w:t> </w:t>
      </w:r>
      <w:r>
        <w:rPr>
          <w:rFonts w:ascii="Arial" w:hAnsi="Arial"/>
          <w:color w:val="231F20"/>
          <w:sz w:val="16"/>
        </w:rPr>
        <w:t>had</w:t>
      </w:r>
      <w:r>
        <w:rPr>
          <w:rFonts w:ascii="Arial" w:hAnsi="Arial"/>
          <w:color w:val="231F20"/>
          <w:spacing w:val="37"/>
          <w:sz w:val="16"/>
        </w:rPr>
        <w:t> </w:t>
      </w:r>
      <w:r>
        <w:rPr>
          <w:rFonts w:ascii="Arial" w:hAnsi="Arial"/>
          <w:color w:val="231F20"/>
          <w:sz w:val="16"/>
        </w:rPr>
        <w:t>suffered</w:t>
      </w:r>
      <w:r>
        <w:rPr>
          <w:rFonts w:ascii="Arial" w:hAnsi="Arial"/>
          <w:color w:val="231F20"/>
          <w:spacing w:val="37"/>
          <w:sz w:val="16"/>
        </w:rPr>
        <w:t> </w:t>
      </w:r>
      <w:r>
        <w:rPr>
          <w:rFonts w:ascii="Arial" w:hAnsi="Arial"/>
          <w:color w:val="231F20"/>
          <w:sz w:val="16"/>
        </w:rPr>
        <w:t>major</w:t>
      </w:r>
      <w:r>
        <w:rPr>
          <w:rFonts w:ascii="Arial" w:hAnsi="Arial"/>
          <w:color w:val="231F20"/>
          <w:spacing w:val="36"/>
          <w:sz w:val="16"/>
        </w:rPr>
        <w:t> </w:t>
      </w:r>
      <w:r>
        <w:rPr>
          <w:rFonts w:ascii="Arial" w:hAnsi="Arial"/>
          <w:color w:val="231F20"/>
          <w:sz w:val="16"/>
        </w:rPr>
        <w:t>disruptions or had been discontinued. The same was true</w:t>
      </w:r>
      <w:r>
        <w:rPr>
          <w:rFonts w:ascii="Arial" w:hAnsi="Arial"/>
          <w:color w:val="231F20"/>
          <w:spacing w:val="80"/>
          <w:sz w:val="16"/>
        </w:rPr>
        <w:t> </w:t>
      </w:r>
      <w:r>
        <w:rPr>
          <w:rFonts w:ascii="Arial" w:hAnsi="Arial"/>
          <w:color w:val="231F20"/>
          <w:sz w:val="16"/>
        </w:rPr>
        <w:t>for</w:t>
      </w:r>
      <w:r>
        <w:rPr>
          <w:rFonts w:ascii="Arial" w:hAnsi="Arial"/>
          <w:color w:val="231F20"/>
          <w:sz w:val="16"/>
        </w:rPr>
        <w:t> 59 percent of those exporting to middle- income countries and for 75 percent of respon- dents exporting to low-income countries. When examined</w:t>
      </w:r>
      <w:r>
        <w:rPr>
          <w:rFonts w:ascii="Arial" w:hAnsi="Arial"/>
          <w:color w:val="231F20"/>
          <w:spacing w:val="36"/>
          <w:sz w:val="16"/>
        </w:rPr>
        <w:t> </w:t>
      </w:r>
      <w:r>
        <w:rPr>
          <w:rFonts w:ascii="Arial" w:hAnsi="Arial"/>
          <w:color w:val="231F20"/>
          <w:sz w:val="16"/>
        </w:rPr>
        <w:t>bilaterally</w:t>
      </w:r>
      <w:r>
        <w:rPr>
          <w:rFonts w:ascii="Arial" w:hAnsi="Arial"/>
          <w:color w:val="231F20"/>
          <w:spacing w:val="36"/>
          <w:sz w:val="16"/>
        </w:rPr>
        <w:t> </w:t>
      </w:r>
      <w:r>
        <w:rPr>
          <w:rFonts w:ascii="Arial" w:hAnsi="Arial"/>
          <w:color w:val="231F20"/>
          <w:sz w:val="16"/>
        </w:rPr>
        <w:t>by</w:t>
      </w:r>
      <w:r>
        <w:rPr>
          <w:rFonts w:ascii="Arial" w:hAnsi="Arial"/>
          <w:color w:val="231F20"/>
          <w:spacing w:val="37"/>
          <w:sz w:val="16"/>
        </w:rPr>
        <w:t> </w:t>
      </w:r>
      <w:r>
        <w:rPr>
          <w:rFonts w:ascii="Arial" w:hAnsi="Arial"/>
          <w:color w:val="231F20"/>
          <w:sz w:val="16"/>
        </w:rPr>
        <w:t>destination,</w:t>
      </w:r>
      <w:r>
        <w:rPr>
          <w:rFonts w:ascii="Arial" w:hAnsi="Arial"/>
          <w:color w:val="231F20"/>
          <w:spacing w:val="36"/>
          <w:sz w:val="16"/>
        </w:rPr>
        <w:t> </w:t>
      </w:r>
      <w:r>
        <w:rPr>
          <w:rFonts w:ascii="Arial" w:hAnsi="Arial"/>
          <w:color w:val="231F20"/>
          <w:spacing w:val="-2"/>
          <w:sz w:val="16"/>
        </w:rPr>
        <w:t>shipments</w:t>
      </w:r>
    </w:p>
    <w:p>
      <w:pPr>
        <w:spacing w:line="352" w:lineRule="auto" w:before="102"/>
        <w:ind w:left="319" w:right="839" w:firstLine="0"/>
        <w:jc w:val="both"/>
        <w:rPr>
          <w:rFonts w:ascii="Arial"/>
          <w:sz w:val="16"/>
        </w:rPr>
      </w:pPr>
      <w:r>
        <w:rPr/>
        <w:br w:type="column"/>
      </w:r>
      <w:r>
        <w:rPr>
          <w:rFonts w:ascii="Arial"/>
          <w:color w:val="231F20"/>
          <w:sz w:val="16"/>
        </w:rPr>
        <w:t>to high-income countries appeared to be the</w:t>
      </w:r>
      <w:r>
        <w:rPr>
          <w:rFonts w:ascii="Arial"/>
          <w:color w:val="231F20"/>
          <w:spacing w:val="40"/>
          <w:sz w:val="16"/>
        </w:rPr>
        <w:t> </w:t>
      </w:r>
      <w:r>
        <w:rPr>
          <w:rFonts w:ascii="Arial"/>
          <w:color w:val="231F20"/>
          <w:sz w:val="16"/>
        </w:rPr>
        <w:t>least disrupted, and shipments to low-income countries the most (see also map A6.2 in ap- pendix 6).</w:t>
      </w:r>
    </w:p>
    <w:p>
      <w:pPr>
        <w:spacing w:line="352" w:lineRule="auto" w:before="0"/>
        <w:ind w:left="319" w:right="837" w:firstLine="300"/>
        <w:jc w:val="both"/>
        <w:rPr>
          <w:rFonts w:ascii="Arial"/>
          <w:sz w:val="16"/>
        </w:rPr>
      </w:pPr>
      <w:r>
        <w:rPr>
          <w:rFonts w:ascii="Arial"/>
          <w:color w:val="231F20"/>
          <w:sz w:val="16"/>
        </w:rPr>
        <w:t>In summary, respondents in low-scoring en- vironments</w:t>
      </w:r>
      <w:r>
        <w:rPr>
          <w:rFonts w:ascii="Arial"/>
          <w:color w:val="231F20"/>
          <w:spacing w:val="-4"/>
          <w:sz w:val="16"/>
        </w:rPr>
        <w:t> </w:t>
      </w:r>
      <w:r>
        <w:rPr>
          <w:rFonts w:ascii="Arial"/>
          <w:color w:val="231F20"/>
          <w:sz w:val="16"/>
        </w:rPr>
        <w:t>appear</w:t>
      </w:r>
      <w:r>
        <w:rPr>
          <w:rFonts w:ascii="Arial"/>
          <w:color w:val="231F20"/>
          <w:spacing w:val="-4"/>
          <w:sz w:val="16"/>
        </w:rPr>
        <w:t> </w:t>
      </w:r>
      <w:r>
        <w:rPr>
          <w:rFonts w:ascii="Arial"/>
          <w:color w:val="231F20"/>
          <w:sz w:val="16"/>
        </w:rPr>
        <w:t>to</w:t>
      </w:r>
      <w:r>
        <w:rPr>
          <w:rFonts w:ascii="Arial"/>
          <w:color w:val="231F20"/>
          <w:spacing w:val="-4"/>
          <w:sz w:val="16"/>
        </w:rPr>
        <w:t> </w:t>
      </w:r>
      <w:r>
        <w:rPr>
          <w:rFonts w:ascii="Arial"/>
          <w:color w:val="231F20"/>
          <w:sz w:val="16"/>
        </w:rPr>
        <w:t>perceive</w:t>
      </w:r>
      <w:r>
        <w:rPr>
          <w:rFonts w:ascii="Arial"/>
          <w:color w:val="231F20"/>
          <w:spacing w:val="-4"/>
          <w:sz w:val="16"/>
        </w:rPr>
        <w:t> </w:t>
      </w:r>
      <w:r>
        <w:rPr>
          <w:rFonts w:ascii="Arial"/>
          <w:color w:val="231F20"/>
          <w:sz w:val="16"/>
        </w:rPr>
        <w:t>conditions</w:t>
      </w:r>
      <w:r>
        <w:rPr>
          <w:rFonts w:ascii="Arial"/>
          <w:color w:val="231F20"/>
          <w:spacing w:val="-4"/>
          <w:sz w:val="16"/>
        </w:rPr>
        <w:t> </w:t>
      </w:r>
      <w:r>
        <w:rPr>
          <w:rFonts w:ascii="Arial"/>
          <w:color w:val="231F20"/>
          <w:sz w:val="16"/>
        </w:rPr>
        <w:t>abroad as much better, whereas those in high-scoring environments perceive them as much worse.</w:t>
      </w:r>
      <w:r>
        <w:rPr>
          <w:rFonts w:ascii="Arial"/>
          <w:color w:val="231F20"/>
          <w:spacing w:val="40"/>
          <w:sz w:val="16"/>
        </w:rPr>
        <w:t> </w:t>
      </w:r>
      <w:r>
        <w:rPr>
          <w:rFonts w:ascii="Arial"/>
          <w:color w:val="231F20"/>
          <w:sz w:val="16"/>
        </w:rPr>
        <w:t>The order and direction of ratings are consistent when analyzed by income group (see table 2.1</w:t>
      </w:r>
      <w:r>
        <w:rPr>
          <w:rFonts w:ascii="Arial"/>
          <w:color w:val="231F20"/>
          <w:spacing w:val="80"/>
          <w:sz w:val="16"/>
        </w:rPr>
        <w:t> </w:t>
      </w:r>
      <w:r>
        <w:rPr>
          <w:rFonts w:ascii="Arial"/>
          <w:color w:val="231F20"/>
          <w:sz w:val="16"/>
        </w:rPr>
        <w:t>in chapter 2).</w:t>
      </w:r>
    </w:p>
    <w:p>
      <w:pPr>
        <w:spacing w:after="0" w:line="352" w:lineRule="auto"/>
        <w:jc w:val="both"/>
        <w:rPr>
          <w:rFonts w:ascii="Arial"/>
          <w:sz w:val="16"/>
        </w:rPr>
        <w:sectPr>
          <w:type w:val="continuous"/>
          <w:pgSz w:w="12240" w:h="15840"/>
          <w:pgMar w:header="370" w:footer="548" w:top="1140" w:bottom="280" w:left="0" w:right="540"/>
          <w:cols w:num="2" w:equalWidth="0">
            <w:col w:w="7021" w:space="40"/>
            <w:col w:w="4639"/>
          </w:cols>
        </w:sectPr>
      </w:pPr>
    </w:p>
    <w:p>
      <w:pPr>
        <w:pStyle w:val="Heading1"/>
        <w:spacing w:before="144"/>
        <w:ind w:left="2556"/>
        <w:jc w:val="center"/>
      </w:pPr>
      <w:r>
        <w:rPr/>
        <mc:AlternateContent>
          <mc:Choice Requires="wps">
            <w:drawing>
              <wp:anchor distT="0" distB="0" distL="0" distR="0" allowOverlap="1" layoutInCell="1" locked="0" behindDoc="1" simplePos="0" relativeHeight="487601152">
                <wp:simplePos x="0" y="0"/>
                <wp:positionH relativeFrom="page">
                  <wp:posOffset>762000</wp:posOffset>
                </wp:positionH>
                <wp:positionV relativeFrom="paragraph">
                  <wp:posOffset>977900</wp:posOffset>
                </wp:positionV>
                <wp:extent cx="1524000" cy="171450"/>
                <wp:effectExtent l="0" t="0" r="0" b="0"/>
                <wp:wrapTopAndBottom/>
                <wp:docPr id="474" name="Graphic 474"/>
                <wp:cNvGraphicFramePr>
                  <a:graphicFrameLocks/>
                </wp:cNvGraphicFramePr>
                <a:graphic>
                  <a:graphicData uri="http://schemas.microsoft.com/office/word/2010/wordprocessingShape">
                    <wps:wsp>
                      <wps:cNvPr id="474" name="Graphic 474"/>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77pt;width:120pt;height:13.5pt;mso-position-horizontal-relative:page;mso-position-vertical-relative:paragraph;z-index:-15715328;mso-wrap-distance-left:0;mso-wrap-distance-right:0" id="docshape393"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601664">
                <wp:simplePos x="0" y="0"/>
                <wp:positionH relativeFrom="page">
                  <wp:posOffset>2438400</wp:posOffset>
                </wp:positionH>
                <wp:positionV relativeFrom="paragraph">
                  <wp:posOffset>977900</wp:posOffset>
                </wp:positionV>
                <wp:extent cx="4876800" cy="171450"/>
                <wp:effectExtent l="0" t="0" r="0" b="0"/>
                <wp:wrapTopAndBottom/>
                <wp:docPr id="475" name="Graphic 475"/>
                <wp:cNvGraphicFramePr>
                  <a:graphicFrameLocks/>
                </wp:cNvGraphicFramePr>
                <a:graphic>
                  <a:graphicData uri="http://schemas.microsoft.com/office/word/2010/wordprocessingShape">
                    <wps:wsp>
                      <wps:cNvPr id="475" name="Graphic 475"/>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77pt;width:384pt;height:13.5pt;mso-position-horizontal-relative:page;mso-position-vertical-relative:paragraph;z-index:-15714816;mso-wrap-distance-left:0;mso-wrap-distance-right:0" id="docshape394" filled="true" fillcolor="#c9dcf3" stroked="false">
                <v:fill type="solid"/>
                <w10:wrap type="topAndBottom"/>
              </v:rect>
            </w:pict>
          </mc:Fallback>
        </mc:AlternateContent>
      </w:r>
      <w:r>
        <w:rPr/>
        <mc:AlternateContent>
          <mc:Choice Requires="wps">
            <w:drawing>
              <wp:anchor distT="0" distB="0" distL="0" distR="0" allowOverlap="1" layoutInCell="1" locked="0" behindDoc="0" simplePos="0" relativeHeight="15742976">
                <wp:simplePos x="0" y="0"/>
                <wp:positionH relativeFrom="page">
                  <wp:posOffset>1542031</wp:posOffset>
                </wp:positionH>
                <wp:positionV relativeFrom="paragraph">
                  <wp:posOffset>249487</wp:posOffset>
                </wp:positionV>
                <wp:extent cx="159385" cy="570230"/>
                <wp:effectExtent l="0" t="0" r="0" b="0"/>
                <wp:wrapNone/>
                <wp:docPr id="476" name="Textbox 476"/>
                <wp:cNvGraphicFramePr>
                  <a:graphicFrameLocks/>
                </wp:cNvGraphicFramePr>
                <a:graphic>
                  <a:graphicData uri="http://schemas.microsoft.com/office/word/2010/wordprocessingShape">
                    <wps:wsp>
                      <wps:cNvPr id="476" name="Textbox 476"/>
                      <wps:cNvSpPr txBox="1"/>
                      <wps:spPr>
                        <a:xfrm>
                          <a:off x="0" y="0"/>
                          <a:ext cx="159385" cy="570230"/>
                        </a:xfrm>
                        <a:prstGeom prst="rect">
                          <a:avLst/>
                        </a:prstGeom>
                      </wps:spPr>
                      <wps:txbx>
                        <w:txbxContent>
                          <w:p>
                            <w:pPr>
                              <w:spacing w:before="28"/>
                              <w:ind w:left="20" w:right="0" w:firstLine="0"/>
                              <w:jc w:val="left"/>
                              <w:rPr>
                                <w:rFonts w:ascii="Arial"/>
                                <w:b/>
                                <w:sz w:val="17"/>
                              </w:rPr>
                            </w:pPr>
                            <w:r>
                              <w:rPr>
                                <w:rFonts w:ascii="Arial"/>
                                <w:b/>
                                <w:color w:val="231F20"/>
                                <w:spacing w:val="-2"/>
                                <w:sz w:val="17"/>
                              </w:rPr>
                              <w:t>CHAPTER</w:t>
                            </w:r>
                          </w:p>
                        </w:txbxContent>
                      </wps:txbx>
                      <wps:bodyPr wrap="square" lIns="0" tIns="0" rIns="0" bIns="0" rtlCol="0" vert="vert270">
                        <a:noAutofit/>
                      </wps:bodyPr>
                    </wps:wsp>
                  </a:graphicData>
                </a:graphic>
              </wp:anchor>
            </w:drawing>
          </mc:Choice>
          <mc:Fallback>
            <w:pict>
              <v:shape style="position:absolute;margin-left:121.4198pt;margin-top:19.644697pt;width:12.55pt;height:44.9pt;mso-position-horizontal-relative:page;mso-position-vertical-relative:paragraph;z-index:15742976" type="#_x0000_t202" id="docshape395" filled="false" stroked="false">
                <v:textbox inset="0,0,0,0" style="layout-flow:vertical;mso-layout-flow-alt:bottom-to-top">
                  <w:txbxContent>
                    <w:p>
                      <w:pPr>
                        <w:spacing w:before="28"/>
                        <w:ind w:left="20" w:right="0" w:firstLine="0"/>
                        <w:jc w:val="left"/>
                        <w:rPr>
                          <w:rFonts w:ascii="Arial"/>
                          <w:b/>
                          <w:sz w:val="17"/>
                        </w:rPr>
                      </w:pPr>
                      <w:r>
                        <w:rPr>
                          <w:rFonts w:ascii="Arial"/>
                          <w:b/>
                          <w:color w:val="231F20"/>
                          <w:spacing w:val="-2"/>
                          <w:sz w:val="17"/>
                        </w:rPr>
                        <w:t>CHAPTER</w:t>
                      </w:r>
                    </w:p>
                  </w:txbxContent>
                </v:textbox>
                <w10:wrap type="none"/>
              </v:shape>
            </w:pict>
          </mc:Fallback>
        </mc:AlternateContent>
      </w:r>
      <w:bookmarkStart w:name="_bookmark14" w:id="16"/>
      <w:bookmarkEnd w:id="16"/>
      <w:r>
        <w:rPr>
          <w:b w:val="0"/>
        </w:rPr>
      </w:r>
      <w:r>
        <w:rPr>
          <w:color w:val="008FDD"/>
          <w:spacing w:val="-2"/>
          <w:w w:val="110"/>
          <w:sz w:val="120"/>
        </w:rPr>
        <w:t>2</w:t>
      </w:r>
      <w:r>
        <w:rPr>
          <w:color w:val="008FDD"/>
          <w:spacing w:val="-122"/>
          <w:w w:val="110"/>
          <w:sz w:val="120"/>
        </w:rPr>
        <w:t> </w:t>
      </w:r>
      <w:r>
        <w:rPr>
          <w:color w:val="231F20"/>
          <w:spacing w:val="-2"/>
          <w:w w:val="110"/>
        </w:rPr>
        <w:t>The</w:t>
      </w:r>
      <w:r>
        <w:rPr>
          <w:color w:val="231F20"/>
          <w:spacing w:val="-26"/>
          <w:w w:val="110"/>
        </w:rPr>
        <w:t> </w:t>
      </w:r>
      <w:r>
        <w:rPr>
          <w:color w:val="231F20"/>
          <w:spacing w:val="-2"/>
          <w:w w:val="110"/>
        </w:rPr>
        <w:t>2023</w:t>
      </w:r>
      <w:r>
        <w:rPr>
          <w:color w:val="231F20"/>
          <w:spacing w:val="-27"/>
          <w:w w:val="110"/>
        </w:rPr>
        <w:t> </w:t>
      </w:r>
      <w:r>
        <w:rPr>
          <w:color w:val="231F20"/>
          <w:spacing w:val="-2"/>
          <w:w w:val="110"/>
        </w:rPr>
        <w:t>Logistics</w:t>
      </w:r>
      <w:r>
        <w:rPr>
          <w:color w:val="231F20"/>
          <w:spacing w:val="-27"/>
          <w:w w:val="110"/>
        </w:rPr>
        <w:t> </w:t>
      </w:r>
      <w:r>
        <w:rPr>
          <w:color w:val="231F20"/>
          <w:spacing w:val="-2"/>
          <w:w w:val="110"/>
        </w:rPr>
        <w:t>Performance</w:t>
      </w:r>
      <w:r>
        <w:rPr>
          <w:color w:val="231F20"/>
          <w:spacing w:val="-26"/>
          <w:w w:val="110"/>
        </w:rPr>
        <w:t> </w:t>
      </w:r>
      <w:r>
        <w:rPr>
          <w:color w:val="231F20"/>
          <w:spacing w:val="-2"/>
          <w:w w:val="110"/>
        </w:rPr>
        <w:t>Index</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17"/>
        <w:rPr>
          <w:rFonts w:ascii="Arial"/>
          <w:b/>
          <w:sz w:val="20"/>
        </w:rPr>
      </w:pPr>
    </w:p>
    <w:p>
      <w:pPr>
        <w:spacing w:after="0"/>
        <w:rPr>
          <w:rFonts w:ascii="Arial"/>
          <w:sz w:val="20"/>
        </w:rPr>
        <w:sectPr>
          <w:headerReference w:type="default" r:id="rId57"/>
          <w:pgSz w:w="12240" w:h="15840"/>
          <w:pgMar w:header="0" w:footer="0" w:top="320" w:bottom="740" w:left="0" w:right="540"/>
        </w:sectPr>
      </w:pPr>
    </w:p>
    <w:p>
      <w:pPr>
        <w:pStyle w:val="BodyText"/>
        <w:spacing w:line="268" w:lineRule="auto" w:before="97"/>
        <w:ind w:left="3840"/>
        <w:jc w:val="both"/>
      </w:pPr>
      <w:r>
        <w:rPr>
          <w:color w:val="231F20"/>
        </w:rPr>
        <w:t>This chapter focuses on reporting and inter- </w:t>
      </w:r>
      <w:r>
        <w:rPr>
          <w:color w:val="231F20"/>
          <w:spacing w:val="-2"/>
        </w:rPr>
        <w:t>preting</w:t>
      </w:r>
      <w:r>
        <w:rPr>
          <w:color w:val="231F20"/>
          <w:spacing w:val="-8"/>
        </w:rPr>
        <w:t> </w:t>
      </w:r>
      <w:r>
        <w:rPr>
          <w:color w:val="231F20"/>
          <w:spacing w:val="-2"/>
        </w:rPr>
        <w:t>findings</w:t>
      </w:r>
      <w:r>
        <w:rPr>
          <w:color w:val="231F20"/>
          <w:spacing w:val="-8"/>
        </w:rPr>
        <w:t> </w:t>
      </w:r>
      <w:r>
        <w:rPr>
          <w:color w:val="231F20"/>
          <w:spacing w:val="-2"/>
        </w:rPr>
        <w:t>from</w:t>
      </w:r>
      <w:r>
        <w:rPr>
          <w:color w:val="231F20"/>
          <w:spacing w:val="-8"/>
        </w:rPr>
        <w:t> </w:t>
      </w:r>
      <w:r>
        <w:rPr>
          <w:color w:val="231F20"/>
          <w:spacing w:val="-2"/>
        </w:rPr>
        <w:t>the</w:t>
      </w:r>
      <w:r>
        <w:rPr>
          <w:color w:val="231F20"/>
          <w:spacing w:val="-8"/>
        </w:rPr>
        <w:t> </w:t>
      </w:r>
      <w:r>
        <w:rPr>
          <w:color w:val="231F20"/>
          <w:spacing w:val="-2"/>
        </w:rPr>
        <w:t>2023</w:t>
      </w:r>
      <w:r>
        <w:rPr>
          <w:color w:val="231F20"/>
          <w:spacing w:val="-8"/>
        </w:rPr>
        <w:t> </w:t>
      </w:r>
      <w:r>
        <w:rPr>
          <w:color w:val="231F20"/>
          <w:spacing w:val="-2"/>
        </w:rPr>
        <w:t>Logistics</w:t>
      </w:r>
      <w:r>
        <w:rPr>
          <w:color w:val="231F20"/>
          <w:spacing w:val="-8"/>
        </w:rPr>
        <w:t> </w:t>
      </w:r>
      <w:r>
        <w:rPr>
          <w:color w:val="231F20"/>
          <w:spacing w:val="-2"/>
        </w:rPr>
        <w:t>Per- </w:t>
      </w:r>
      <w:r>
        <w:rPr>
          <w:color w:val="231F20"/>
          <w:w w:val="90"/>
        </w:rPr>
        <w:t>formance Index (LPI) survey, taking account of new realities in the logistics marketplace, policy </w:t>
      </w:r>
      <w:r>
        <w:rPr>
          <w:color w:val="231F20"/>
        </w:rPr>
        <w:t>environment, and international setting. The </w:t>
      </w:r>
      <w:r>
        <w:rPr>
          <w:color w:val="231F20"/>
          <w:spacing w:val="-6"/>
        </w:rPr>
        <w:t>methodology</w:t>
      </w:r>
      <w:r>
        <w:rPr>
          <w:color w:val="231F20"/>
          <w:spacing w:val="-10"/>
        </w:rPr>
        <w:t> </w:t>
      </w:r>
      <w:r>
        <w:rPr>
          <w:color w:val="231F20"/>
          <w:spacing w:val="-6"/>
        </w:rPr>
        <w:t>of</w:t>
      </w:r>
      <w:r>
        <w:rPr>
          <w:color w:val="231F20"/>
          <w:spacing w:val="-7"/>
        </w:rPr>
        <w:t> </w:t>
      </w:r>
      <w:r>
        <w:rPr>
          <w:color w:val="231F20"/>
          <w:spacing w:val="-6"/>
        </w:rPr>
        <w:t>this</w:t>
      </w:r>
      <w:r>
        <w:rPr>
          <w:color w:val="231F20"/>
          <w:spacing w:val="-7"/>
        </w:rPr>
        <w:t> </w:t>
      </w:r>
      <w:r>
        <w:rPr>
          <w:color w:val="231F20"/>
          <w:spacing w:val="-6"/>
        </w:rPr>
        <w:t>part</w:t>
      </w:r>
      <w:r>
        <w:rPr>
          <w:color w:val="231F20"/>
          <w:spacing w:val="-7"/>
        </w:rPr>
        <w:t> </w:t>
      </w:r>
      <w:r>
        <w:rPr>
          <w:color w:val="231F20"/>
          <w:spacing w:val="-6"/>
        </w:rPr>
        <w:t>of</w:t>
      </w:r>
      <w:r>
        <w:rPr>
          <w:color w:val="231F20"/>
          <w:spacing w:val="-7"/>
        </w:rPr>
        <w:t> </w:t>
      </w:r>
      <w:r>
        <w:rPr>
          <w:color w:val="231F20"/>
          <w:spacing w:val="-6"/>
        </w:rPr>
        <w:t>the</w:t>
      </w:r>
      <w:r>
        <w:rPr>
          <w:color w:val="231F20"/>
          <w:spacing w:val="-7"/>
        </w:rPr>
        <w:t> </w:t>
      </w:r>
      <w:r>
        <w:rPr>
          <w:color w:val="231F20"/>
          <w:spacing w:val="-6"/>
        </w:rPr>
        <w:t>report</w:t>
      </w:r>
      <w:r>
        <w:rPr>
          <w:color w:val="231F20"/>
          <w:spacing w:val="-7"/>
        </w:rPr>
        <w:t> </w:t>
      </w:r>
      <w:r>
        <w:rPr>
          <w:color w:val="231F20"/>
          <w:spacing w:val="-6"/>
        </w:rPr>
        <w:t>is</w:t>
      </w:r>
      <w:r>
        <w:rPr>
          <w:color w:val="231F20"/>
          <w:spacing w:val="-7"/>
        </w:rPr>
        <w:t> </w:t>
      </w:r>
      <w:r>
        <w:rPr>
          <w:color w:val="231F20"/>
          <w:spacing w:val="-6"/>
        </w:rPr>
        <w:t>largely </w:t>
      </w:r>
      <w:r>
        <w:rPr>
          <w:color w:val="231F20"/>
          <w:spacing w:val="-4"/>
        </w:rPr>
        <w:t>unchanged</w:t>
      </w:r>
      <w:r>
        <w:rPr>
          <w:color w:val="231F20"/>
          <w:spacing w:val="-8"/>
        </w:rPr>
        <w:t> </w:t>
      </w:r>
      <w:r>
        <w:rPr>
          <w:color w:val="231F20"/>
          <w:spacing w:val="-4"/>
        </w:rPr>
        <w:t>from</w:t>
      </w:r>
      <w:r>
        <w:rPr>
          <w:color w:val="231F20"/>
          <w:spacing w:val="-8"/>
        </w:rPr>
        <w:t> </w:t>
      </w:r>
      <w:r>
        <w:rPr>
          <w:color w:val="231F20"/>
          <w:spacing w:val="-4"/>
        </w:rPr>
        <w:t>previous</w:t>
      </w:r>
      <w:r>
        <w:rPr>
          <w:color w:val="231F20"/>
          <w:spacing w:val="-8"/>
        </w:rPr>
        <w:t> </w:t>
      </w:r>
      <w:r>
        <w:rPr>
          <w:color w:val="231F20"/>
          <w:spacing w:val="-4"/>
        </w:rPr>
        <w:t>editions.</w:t>
      </w:r>
      <w:r>
        <w:rPr>
          <w:color w:val="231F20"/>
          <w:spacing w:val="-8"/>
        </w:rPr>
        <w:t> </w:t>
      </w:r>
      <w:r>
        <w:rPr>
          <w:color w:val="231F20"/>
          <w:spacing w:val="-4"/>
        </w:rPr>
        <w:t>The</w:t>
      </w:r>
      <w:r>
        <w:rPr>
          <w:color w:val="231F20"/>
          <w:spacing w:val="-8"/>
        </w:rPr>
        <w:t> </w:t>
      </w:r>
      <w:r>
        <w:rPr>
          <w:color w:val="231F20"/>
          <w:spacing w:val="-4"/>
        </w:rPr>
        <w:t>scores </w:t>
      </w:r>
      <w:r>
        <w:rPr>
          <w:color w:val="231F20"/>
        </w:rPr>
        <w:t>and ranks of the 2023 LPI presented before </w:t>
      </w:r>
      <w:r>
        <w:rPr>
          <w:color w:val="231F20"/>
          <w:spacing w:val="-4"/>
        </w:rPr>
        <w:t>the</w:t>
      </w:r>
      <w:r>
        <w:rPr>
          <w:color w:val="231F20"/>
          <w:spacing w:val="-8"/>
        </w:rPr>
        <w:t> </w:t>
      </w:r>
      <w:r>
        <w:rPr>
          <w:color w:val="231F20"/>
          <w:spacing w:val="-4"/>
        </w:rPr>
        <w:t>executive</w:t>
      </w:r>
      <w:r>
        <w:rPr>
          <w:color w:val="231F20"/>
          <w:spacing w:val="-8"/>
        </w:rPr>
        <w:t> </w:t>
      </w:r>
      <w:r>
        <w:rPr>
          <w:color w:val="231F20"/>
          <w:spacing w:val="-4"/>
        </w:rPr>
        <w:t>summary</w:t>
      </w:r>
      <w:r>
        <w:rPr>
          <w:color w:val="231F20"/>
          <w:spacing w:val="-8"/>
        </w:rPr>
        <w:t> </w:t>
      </w:r>
      <w:r>
        <w:rPr>
          <w:color w:val="231F20"/>
          <w:spacing w:val="-4"/>
        </w:rPr>
        <w:t>and</w:t>
      </w:r>
      <w:r>
        <w:rPr>
          <w:color w:val="231F20"/>
          <w:spacing w:val="-8"/>
        </w:rPr>
        <w:t> </w:t>
      </w:r>
      <w:r>
        <w:rPr>
          <w:color w:val="231F20"/>
          <w:spacing w:val="-4"/>
        </w:rPr>
        <w:t>in</w:t>
      </w:r>
      <w:r>
        <w:rPr>
          <w:color w:val="231F20"/>
          <w:spacing w:val="-8"/>
        </w:rPr>
        <w:t> </w:t>
      </w:r>
      <w:r>
        <w:rPr>
          <w:color w:val="231F20"/>
          <w:spacing w:val="-4"/>
        </w:rPr>
        <w:t>appendix</w:t>
      </w:r>
      <w:r>
        <w:rPr>
          <w:color w:val="231F20"/>
          <w:spacing w:val="-8"/>
        </w:rPr>
        <w:t> </w:t>
      </w:r>
      <w:r>
        <w:rPr>
          <w:color w:val="231F20"/>
          <w:spacing w:val="-4"/>
        </w:rPr>
        <w:t>1</w:t>
      </w:r>
      <w:r>
        <w:rPr>
          <w:color w:val="231F20"/>
          <w:spacing w:val="-8"/>
        </w:rPr>
        <w:t> </w:t>
      </w:r>
      <w:r>
        <w:rPr>
          <w:color w:val="231F20"/>
          <w:spacing w:val="-4"/>
        </w:rPr>
        <w:t>rely </w:t>
      </w:r>
      <w:r>
        <w:rPr>
          <w:color w:val="231F20"/>
          <w:w w:val="90"/>
        </w:rPr>
        <w:t>exclusively on the LPI survey. Box 2.1 summa- </w:t>
      </w:r>
      <w:r>
        <w:rPr>
          <w:color w:val="231F20"/>
          <w:spacing w:val="-4"/>
        </w:rPr>
        <w:t>rizes</w:t>
      </w:r>
      <w:r>
        <w:rPr>
          <w:color w:val="231F20"/>
          <w:spacing w:val="-7"/>
        </w:rPr>
        <w:t> </w:t>
      </w:r>
      <w:r>
        <w:rPr>
          <w:color w:val="231F20"/>
          <w:spacing w:val="-4"/>
        </w:rPr>
        <w:t>the</w:t>
      </w:r>
      <w:r>
        <w:rPr>
          <w:color w:val="231F20"/>
          <w:spacing w:val="-7"/>
        </w:rPr>
        <w:t> </w:t>
      </w:r>
      <w:r>
        <w:rPr>
          <w:color w:val="231F20"/>
          <w:spacing w:val="-4"/>
        </w:rPr>
        <w:t>survey-based</w:t>
      </w:r>
      <w:r>
        <w:rPr>
          <w:color w:val="231F20"/>
          <w:spacing w:val="-7"/>
        </w:rPr>
        <w:t> </w:t>
      </w:r>
      <w:r>
        <w:rPr>
          <w:color w:val="231F20"/>
          <w:spacing w:val="-4"/>
        </w:rPr>
        <w:t>LPI’s</w:t>
      </w:r>
      <w:r>
        <w:rPr>
          <w:color w:val="231F20"/>
          <w:spacing w:val="-7"/>
        </w:rPr>
        <w:t> </w:t>
      </w:r>
      <w:r>
        <w:rPr>
          <w:color w:val="231F20"/>
          <w:spacing w:val="-4"/>
        </w:rPr>
        <w:t>key</w:t>
      </w:r>
      <w:r>
        <w:rPr>
          <w:color w:val="231F20"/>
          <w:spacing w:val="-7"/>
        </w:rPr>
        <w:t> </w:t>
      </w:r>
      <w:r>
        <w:rPr>
          <w:color w:val="231F20"/>
          <w:spacing w:val="-4"/>
        </w:rPr>
        <w:t>features.</w:t>
      </w:r>
    </w:p>
    <w:p>
      <w:pPr>
        <w:pStyle w:val="BodyText"/>
        <w:spacing w:before="32"/>
      </w:pPr>
    </w:p>
    <w:p>
      <w:pPr>
        <w:spacing w:before="0"/>
        <w:ind w:left="3840" w:right="0" w:firstLine="0"/>
        <w:jc w:val="both"/>
        <w:rPr>
          <w:rFonts w:ascii="Arial"/>
          <w:b/>
          <w:sz w:val="20"/>
        </w:rPr>
      </w:pPr>
      <w:r>
        <w:rPr>
          <w:rFonts w:ascii="Arial"/>
          <w:b/>
          <w:color w:val="231F20"/>
          <w:w w:val="105"/>
          <w:sz w:val="20"/>
        </w:rPr>
        <w:t>How</w:t>
      </w:r>
      <w:r>
        <w:rPr>
          <w:rFonts w:ascii="Arial"/>
          <w:b/>
          <w:color w:val="231F20"/>
          <w:spacing w:val="14"/>
          <w:w w:val="105"/>
          <w:sz w:val="20"/>
        </w:rPr>
        <w:t> </w:t>
      </w:r>
      <w:r>
        <w:rPr>
          <w:rFonts w:ascii="Arial"/>
          <w:b/>
          <w:color w:val="231F20"/>
          <w:w w:val="105"/>
          <w:sz w:val="20"/>
        </w:rPr>
        <w:t>to</w:t>
      </w:r>
      <w:r>
        <w:rPr>
          <w:rFonts w:ascii="Arial"/>
          <w:b/>
          <w:color w:val="231F20"/>
          <w:spacing w:val="14"/>
          <w:w w:val="105"/>
          <w:sz w:val="20"/>
        </w:rPr>
        <w:t> </w:t>
      </w:r>
      <w:r>
        <w:rPr>
          <w:rFonts w:ascii="Arial"/>
          <w:b/>
          <w:color w:val="231F20"/>
          <w:w w:val="105"/>
          <w:sz w:val="20"/>
        </w:rPr>
        <w:t>interpret</w:t>
      </w:r>
      <w:r>
        <w:rPr>
          <w:rFonts w:ascii="Arial"/>
          <w:b/>
          <w:color w:val="231F20"/>
          <w:spacing w:val="15"/>
          <w:w w:val="105"/>
          <w:sz w:val="20"/>
        </w:rPr>
        <w:t> </w:t>
      </w:r>
      <w:r>
        <w:rPr>
          <w:rFonts w:ascii="Arial"/>
          <w:b/>
          <w:color w:val="231F20"/>
          <w:w w:val="105"/>
          <w:sz w:val="20"/>
        </w:rPr>
        <w:t>the</w:t>
      </w:r>
      <w:r>
        <w:rPr>
          <w:rFonts w:ascii="Arial"/>
          <w:b/>
          <w:color w:val="231F20"/>
          <w:spacing w:val="14"/>
          <w:w w:val="105"/>
          <w:sz w:val="20"/>
        </w:rPr>
        <w:t> </w:t>
      </w:r>
      <w:r>
        <w:rPr>
          <w:rFonts w:ascii="Arial"/>
          <w:b/>
          <w:color w:val="231F20"/>
          <w:spacing w:val="-5"/>
          <w:w w:val="105"/>
          <w:sz w:val="20"/>
        </w:rPr>
        <w:t>LPI</w:t>
      </w:r>
    </w:p>
    <w:p>
      <w:pPr>
        <w:pStyle w:val="BodyText"/>
        <w:spacing w:before="71"/>
        <w:rPr>
          <w:rFonts w:ascii="Arial"/>
          <w:b/>
          <w:sz w:val="20"/>
        </w:rPr>
      </w:pPr>
    </w:p>
    <w:p>
      <w:pPr>
        <w:pStyle w:val="BodyText"/>
        <w:spacing w:line="268" w:lineRule="auto"/>
        <w:ind w:left="3840"/>
        <w:jc w:val="right"/>
      </w:pPr>
      <w:r>
        <w:rPr>
          <w:color w:val="231F20"/>
          <w:spacing w:val="-2"/>
        </w:rPr>
        <w:t>This</w:t>
      </w:r>
      <w:r>
        <w:rPr>
          <w:color w:val="231F20"/>
          <w:spacing w:val="-6"/>
        </w:rPr>
        <w:t> </w:t>
      </w:r>
      <w:r>
        <w:rPr>
          <w:color w:val="231F20"/>
          <w:spacing w:val="-2"/>
        </w:rPr>
        <w:t>edition</w:t>
      </w:r>
      <w:r>
        <w:rPr>
          <w:color w:val="231F20"/>
          <w:spacing w:val="-6"/>
        </w:rPr>
        <w:t> </w:t>
      </w:r>
      <w:r>
        <w:rPr>
          <w:color w:val="231F20"/>
          <w:spacing w:val="-2"/>
        </w:rPr>
        <w:t>differs</w:t>
      </w:r>
      <w:r>
        <w:rPr>
          <w:color w:val="231F20"/>
          <w:spacing w:val="-6"/>
        </w:rPr>
        <w:t> </w:t>
      </w:r>
      <w:r>
        <w:rPr>
          <w:color w:val="231F20"/>
          <w:spacing w:val="-2"/>
        </w:rPr>
        <w:t>from</w:t>
      </w:r>
      <w:r>
        <w:rPr>
          <w:color w:val="231F20"/>
          <w:spacing w:val="-6"/>
        </w:rPr>
        <w:t> </w:t>
      </w:r>
      <w:r>
        <w:rPr>
          <w:color w:val="231F20"/>
          <w:spacing w:val="-2"/>
        </w:rPr>
        <w:t>previous</w:t>
      </w:r>
      <w:r>
        <w:rPr>
          <w:color w:val="231F20"/>
          <w:spacing w:val="-6"/>
        </w:rPr>
        <w:t> </w:t>
      </w:r>
      <w:r>
        <w:rPr>
          <w:color w:val="231F20"/>
          <w:spacing w:val="-2"/>
        </w:rPr>
        <w:t>editions</w:t>
      </w:r>
      <w:r>
        <w:rPr>
          <w:color w:val="231F20"/>
          <w:spacing w:val="-6"/>
        </w:rPr>
        <w:t> </w:t>
      </w:r>
      <w:r>
        <w:rPr>
          <w:color w:val="231F20"/>
          <w:spacing w:val="-2"/>
        </w:rPr>
        <w:t>of </w:t>
      </w:r>
      <w:r>
        <w:rPr>
          <w:i/>
          <w:color w:val="231F20"/>
          <w:spacing w:val="-6"/>
        </w:rPr>
        <w:t>Connecting</w:t>
      </w:r>
      <w:r>
        <w:rPr>
          <w:i/>
          <w:color w:val="231F20"/>
          <w:spacing w:val="-8"/>
        </w:rPr>
        <w:t> </w:t>
      </w:r>
      <w:r>
        <w:rPr>
          <w:i/>
          <w:color w:val="231F20"/>
          <w:spacing w:val="-6"/>
        </w:rPr>
        <w:t>to</w:t>
      </w:r>
      <w:r>
        <w:rPr>
          <w:i/>
          <w:color w:val="231F20"/>
          <w:spacing w:val="-7"/>
        </w:rPr>
        <w:t> </w:t>
      </w:r>
      <w:r>
        <w:rPr>
          <w:i/>
          <w:color w:val="231F20"/>
          <w:spacing w:val="-6"/>
        </w:rPr>
        <w:t>Compete</w:t>
      </w:r>
      <w:r>
        <w:rPr>
          <w:i/>
          <w:color w:val="231F20"/>
          <w:spacing w:val="-7"/>
        </w:rPr>
        <w:t> </w:t>
      </w:r>
      <w:r>
        <w:rPr>
          <w:color w:val="231F20"/>
          <w:spacing w:val="-6"/>
        </w:rPr>
        <w:t>in</w:t>
      </w:r>
      <w:r>
        <w:rPr>
          <w:color w:val="231F20"/>
          <w:spacing w:val="-7"/>
        </w:rPr>
        <w:t> </w:t>
      </w:r>
      <w:r>
        <w:rPr>
          <w:color w:val="231F20"/>
          <w:spacing w:val="-6"/>
        </w:rPr>
        <w:t>how</w:t>
      </w:r>
      <w:r>
        <w:rPr>
          <w:color w:val="231F20"/>
          <w:spacing w:val="-7"/>
        </w:rPr>
        <w:t> </w:t>
      </w:r>
      <w:r>
        <w:rPr>
          <w:color w:val="231F20"/>
          <w:spacing w:val="-6"/>
        </w:rPr>
        <w:t>it</w:t>
      </w:r>
      <w:r>
        <w:rPr>
          <w:color w:val="231F20"/>
          <w:spacing w:val="-7"/>
        </w:rPr>
        <w:t> </w:t>
      </w:r>
      <w:r>
        <w:rPr>
          <w:color w:val="231F20"/>
          <w:spacing w:val="-6"/>
        </w:rPr>
        <w:t>presents</w:t>
      </w:r>
      <w:r>
        <w:rPr>
          <w:color w:val="231F20"/>
          <w:spacing w:val="-7"/>
        </w:rPr>
        <w:t> </w:t>
      </w:r>
      <w:r>
        <w:rPr>
          <w:color w:val="231F20"/>
          <w:spacing w:val="-6"/>
        </w:rPr>
        <w:t>data. </w:t>
      </w:r>
      <w:r>
        <w:rPr>
          <w:color w:val="231F20"/>
        </w:rPr>
        <w:t>Previous</w:t>
      </w:r>
      <w:r>
        <w:rPr>
          <w:color w:val="231F20"/>
          <w:spacing w:val="30"/>
        </w:rPr>
        <w:t> </w:t>
      </w:r>
      <w:r>
        <w:rPr>
          <w:color w:val="231F20"/>
        </w:rPr>
        <w:t>reports</w:t>
      </w:r>
      <w:r>
        <w:rPr>
          <w:color w:val="231F20"/>
          <w:spacing w:val="30"/>
        </w:rPr>
        <w:t> </w:t>
      </w:r>
      <w:r>
        <w:rPr>
          <w:color w:val="231F20"/>
        </w:rPr>
        <w:t>presented</w:t>
      </w:r>
      <w:r>
        <w:rPr>
          <w:color w:val="231F20"/>
          <w:spacing w:val="30"/>
        </w:rPr>
        <w:t> </w:t>
      </w:r>
      <w:r>
        <w:rPr>
          <w:color w:val="231F20"/>
        </w:rPr>
        <w:t>LPI</w:t>
      </w:r>
      <w:r>
        <w:rPr>
          <w:color w:val="231F20"/>
          <w:spacing w:val="30"/>
        </w:rPr>
        <w:t> </w:t>
      </w:r>
      <w:r>
        <w:rPr>
          <w:color w:val="231F20"/>
        </w:rPr>
        <w:t>scores</w:t>
      </w:r>
      <w:r>
        <w:rPr>
          <w:color w:val="231F20"/>
          <w:spacing w:val="30"/>
        </w:rPr>
        <w:t> </w:t>
      </w:r>
      <w:r>
        <w:rPr>
          <w:color w:val="231F20"/>
        </w:rPr>
        <w:t>and </w:t>
      </w:r>
      <w:r>
        <w:rPr>
          <w:color w:val="231F20"/>
          <w:spacing w:val="-4"/>
        </w:rPr>
        <w:t>ranks,</w:t>
      </w:r>
      <w:r>
        <w:rPr>
          <w:color w:val="231F20"/>
          <w:spacing w:val="-10"/>
        </w:rPr>
        <w:t> </w:t>
      </w:r>
      <w:r>
        <w:rPr>
          <w:color w:val="231F20"/>
          <w:spacing w:val="-4"/>
        </w:rPr>
        <w:t>along</w:t>
      </w:r>
      <w:r>
        <w:rPr>
          <w:color w:val="231F20"/>
          <w:spacing w:val="-9"/>
        </w:rPr>
        <w:t> </w:t>
      </w:r>
      <w:r>
        <w:rPr>
          <w:color w:val="231F20"/>
          <w:spacing w:val="-4"/>
        </w:rPr>
        <w:t>with</w:t>
      </w:r>
      <w:r>
        <w:rPr>
          <w:color w:val="231F20"/>
          <w:spacing w:val="-9"/>
        </w:rPr>
        <w:t> </w:t>
      </w:r>
      <w:r>
        <w:rPr>
          <w:color w:val="231F20"/>
          <w:spacing w:val="-4"/>
        </w:rPr>
        <w:t>confidence</w:t>
      </w:r>
      <w:r>
        <w:rPr>
          <w:color w:val="231F20"/>
          <w:spacing w:val="-9"/>
        </w:rPr>
        <w:t> </w:t>
      </w:r>
      <w:r>
        <w:rPr>
          <w:color w:val="231F20"/>
          <w:spacing w:val="-4"/>
        </w:rPr>
        <w:t>intervals</w:t>
      </w:r>
      <w:r>
        <w:rPr>
          <w:color w:val="231F20"/>
          <w:spacing w:val="-9"/>
        </w:rPr>
        <w:t> </w:t>
      </w:r>
      <w:r>
        <w:rPr>
          <w:color w:val="231F20"/>
          <w:spacing w:val="-4"/>
        </w:rPr>
        <w:t>for</w:t>
      </w:r>
      <w:r>
        <w:rPr>
          <w:color w:val="231F20"/>
          <w:spacing w:val="-9"/>
        </w:rPr>
        <w:t> </w:t>
      </w:r>
      <w:r>
        <w:rPr>
          <w:color w:val="231F20"/>
          <w:spacing w:val="-4"/>
        </w:rPr>
        <w:t>both </w:t>
      </w:r>
      <w:r>
        <w:rPr>
          <w:color w:val="231F20"/>
          <w:spacing w:val="-8"/>
        </w:rPr>
        <w:t>(box</w:t>
      </w:r>
      <w:r>
        <w:rPr>
          <w:color w:val="231F20"/>
        </w:rPr>
        <w:t> </w:t>
      </w:r>
      <w:r>
        <w:rPr>
          <w:color w:val="231F20"/>
          <w:spacing w:val="-8"/>
        </w:rPr>
        <w:t>2.2).</w:t>
      </w:r>
      <w:r>
        <w:rPr>
          <w:color w:val="231F20"/>
        </w:rPr>
        <w:t> </w:t>
      </w:r>
      <w:r>
        <w:rPr>
          <w:color w:val="231F20"/>
          <w:spacing w:val="-8"/>
        </w:rPr>
        <w:t>Scores</w:t>
      </w:r>
      <w:r>
        <w:rPr>
          <w:color w:val="231F20"/>
        </w:rPr>
        <w:t> </w:t>
      </w:r>
      <w:r>
        <w:rPr>
          <w:color w:val="231F20"/>
          <w:spacing w:val="-8"/>
        </w:rPr>
        <w:t>and</w:t>
      </w:r>
      <w:r>
        <w:rPr>
          <w:color w:val="231F20"/>
        </w:rPr>
        <w:t> </w:t>
      </w:r>
      <w:r>
        <w:rPr>
          <w:color w:val="231F20"/>
          <w:spacing w:val="-8"/>
        </w:rPr>
        <w:t>confidence</w:t>
      </w:r>
      <w:r>
        <w:rPr>
          <w:color w:val="231F20"/>
        </w:rPr>
        <w:t> </w:t>
      </w:r>
      <w:r>
        <w:rPr>
          <w:color w:val="231F20"/>
          <w:spacing w:val="-8"/>
        </w:rPr>
        <w:t>intervals</w:t>
      </w:r>
      <w:r>
        <w:rPr>
          <w:color w:val="231F20"/>
        </w:rPr>
        <w:t> </w:t>
      </w:r>
      <w:r>
        <w:rPr>
          <w:color w:val="231F20"/>
          <w:spacing w:val="-8"/>
        </w:rPr>
        <w:t>were </w:t>
      </w:r>
      <w:r>
        <w:rPr>
          <w:color w:val="231F20"/>
        </w:rPr>
        <w:t>rounded</w:t>
      </w:r>
      <w:r>
        <w:rPr>
          <w:color w:val="231F20"/>
          <w:spacing w:val="-10"/>
        </w:rPr>
        <w:t> </w:t>
      </w:r>
      <w:r>
        <w:rPr>
          <w:color w:val="231F20"/>
        </w:rPr>
        <w:t>to</w:t>
      </w:r>
      <w:r>
        <w:rPr>
          <w:color w:val="231F20"/>
          <w:spacing w:val="-10"/>
        </w:rPr>
        <w:t> </w:t>
      </w:r>
      <w:r>
        <w:rPr>
          <w:color w:val="231F20"/>
        </w:rPr>
        <w:t>two</w:t>
      </w:r>
      <w:r>
        <w:rPr>
          <w:color w:val="231F20"/>
          <w:spacing w:val="-10"/>
        </w:rPr>
        <w:t> </w:t>
      </w:r>
      <w:r>
        <w:rPr>
          <w:color w:val="231F20"/>
        </w:rPr>
        <w:t>decimal</w:t>
      </w:r>
      <w:r>
        <w:rPr>
          <w:color w:val="231F20"/>
          <w:spacing w:val="-10"/>
        </w:rPr>
        <w:t> </w:t>
      </w:r>
      <w:r>
        <w:rPr>
          <w:color w:val="231F20"/>
        </w:rPr>
        <w:t>places,</w:t>
      </w:r>
      <w:r>
        <w:rPr>
          <w:color w:val="231F20"/>
          <w:spacing w:val="-10"/>
        </w:rPr>
        <w:t> </w:t>
      </w:r>
      <w:r>
        <w:rPr>
          <w:color w:val="231F20"/>
        </w:rPr>
        <w:t>and</w:t>
      </w:r>
      <w:r>
        <w:rPr>
          <w:color w:val="231F20"/>
          <w:spacing w:val="-10"/>
        </w:rPr>
        <w:t> </w:t>
      </w:r>
      <w:r>
        <w:rPr>
          <w:color w:val="231F20"/>
        </w:rPr>
        <w:t>rankings </w:t>
      </w:r>
      <w:r>
        <w:rPr>
          <w:color w:val="231F20"/>
          <w:w w:val="90"/>
        </w:rPr>
        <w:t>were based on those rounded figures. While raw results of this kind are useful for some purposes, </w:t>
      </w:r>
      <w:r>
        <w:rPr>
          <w:color w:val="231F20"/>
          <w:spacing w:val="-6"/>
        </w:rPr>
        <w:t>they</w:t>
      </w:r>
      <w:r>
        <w:rPr>
          <w:color w:val="231F20"/>
          <w:spacing w:val="-10"/>
        </w:rPr>
        <w:t> </w:t>
      </w:r>
      <w:r>
        <w:rPr>
          <w:color w:val="231F20"/>
          <w:spacing w:val="-6"/>
        </w:rPr>
        <w:t>risk</w:t>
      </w:r>
      <w:r>
        <w:rPr>
          <w:color w:val="231F20"/>
          <w:spacing w:val="-8"/>
        </w:rPr>
        <w:t> </w:t>
      </w:r>
      <w:r>
        <w:rPr>
          <w:color w:val="231F20"/>
          <w:spacing w:val="-6"/>
        </w:rPr>
        <w:t>overinterpretation.</w:t>
      </w:r>
      <w:r>
        <w:rPr>
          <w:color w:val="231F20"/>
          <w:spacing w:val="-8"/>
        </w:rPr>
        <w:t> </w:t>
      </w:r>
      <w:r>
        <w:rPr>
          <w:color w:val="231F20"/>
          <w:spacing w:val="-6"/>
        </w:rPr>
        <w:t>LPI</w:t>
      </w:r>
      <w:r>
        <w:rPr>
          <w:color w:val="231F20"/>
          <w:spacing w:val="-8"/>
        </w:rPr>
        <w:t> </w:t>
      </w:r>
      <w:r>
        <w:rPr>
          <w:color w:val="231F20"/>
          <w:spacing w:val="-6"/>
        </w:rPr>
        <w:t>scores</w:t>
      </w:r>
      <w:r>
        <w:rPr>
          <w:color w:val="231F20"/>
          <w:spacing w:val="-8"/>
        </w:rPr>
        <w:t> </w:t>
      </w:r>
      <w:r>
        <w:rPr>
          <w:color w:val="231F20"/>
          <w:spacing w:val="-6"/>
        </w:rPr>
        <w:t>reflect</w:t>
      </w:r>
      <w:r>
        <w:rPr>
          <w:color w:val="231F20"/>
          <w:spacing w:val="-8"/>
        </w:rPr>
        <w:t> </w:t>
      </w:r>
      <w:r>
        <w:rPr>
          <w:color w:val="231F20"/>
          <w:spacing w:val="-6"/>
        </w:rPr>
        <w:t>a </w:t>
      </w:r>
      <w:r>
        <w:rPr>
          <w:color w:val="231F20"/>
          <w:w w:val="90"/>
        </w:rPr>
        <w:t>survey-based</w:t>
      </w:r>
      <w:r>
        <w:rPr>
          <w:color w:val="231F20"/>
          <w:spacing w:val="-18"/>
          <w:w w:val="90"/>
        </w:rPr>
        <w:t> </w:t>
      </w:r>
      <w:r>
        <w:rPr>
          <w:color w:val="231F20"/>
          <w:w w:val="90"/>
        </w:rPr>
        <w:t>quantification</w:t>
      </w:r>
      <w:r>
        <w:rPr>
          <w:color w:val="231F20"/>
          <w:spacing w:val="-16"/>
          <w:w w:val="90"/>
        </w:rPr>
        <w:t> </w:t>
      </w:r>
      <w:r>
        <w:rPr>
          <w:color w:val="231F20"/>
          <w:w w:val="90"/>
        </w:rPr>
        <w:t>of</w:t>
      </w:r>
      <w:r>
        <w:rPr>
          <w:color w:val="231F20"/>
          <w:spacing w:val="-16"/>
          <w:w w:val="90"/>
        </w:rPr>
        <w:t> </w:t>
      </w:r>
      <w:r>
        <w:rPr>
          <w:color w:val="231F20"/>
          <w:w w:val="90"/>
        </w:rPr>
        <w:t>qualitative</w:t>
      </w:r>
      <w:r>
        <w:rPr>
          <w:color w:val="231F20"/>
          <w:spacing w:val="-15"/>
          <w:w w:val="90"/>
        </w:rPr>
        <w:t> </w:t>
      </w:r>
      <w:r>
        <w:rPr>
          <w:color w:val="231F20"/>
          <w:w w:val="90"/>
        </w:rPr>
        <w:t>percep- </w:t>
      </w:r>
      <w:r>
        <w:rPr>
          <w:color w:val="231F20"/>
          <w:spacing w:val="-8"/>
        </w:rPr>
        <w:t>tions</w:t>
      </w:r>
      <w:r>
        <w:rPr>
          <w:color w:val="231F20"/>
          <w:spacing w:val="-24"/>
        </w:rPr>
        <w:t> </w:t>
      </w:r>
      <w:r>
        <w:rPr>
          <w:color w:val="231F20"/>
          <w:spacing w:val="-8"/>
        </w:rPr>
        <w:t>and</w:t>
      </w:r>
      <w:r>
        <w:rPr>
          <w:color w:val="231F20"/>
          <w:spacing w:val="-22"/>
        </w:rPr>
        <w:t> </w:t>
      </w:r>
      <w:r>
        <w:rPr>
          <w:color w:val="231F20"/>
          <w:spacing w:val="-8"/>
        </w:rPr>
        <w:t>are</w:t>
      </w:r>
      <w:r>
        <w:rPr>
          <w:color w:val="231F20"/>
          <w:spacing w:val="-22"/>
        </w:rPr>
        <w:t> </w:t>
      </w:r>
      <w:r>
        <w:rPr>
          <w:color w:val="231F20"/>
          <w:spacing w:val="-8"/>
        </w:rPr>
        <w:t>thus</w:t>
      </w:r>
      <w:r>
        <w:rPr>
          <w:color w:val="231F20"/>
          <w:spacing w:val="-22"/>
        </w:rPr>
        <w:t> </w:t>
      </w:r>
      <w:r>
        <w:rPr>
          <w:color w:val="231F20"/>
          <w:spacing w:val="-8"/>
        </w:rPr>
        <w:t>subject</w:t>
      </w:r>
      <w:r>
        <w:rPr>
          <w:color w:val="231F20"/>
          <w:spacing w:val="-22"/>
        </w:rPr>
        <w:t> </w:t>
      </w:r>
      <w:r>
        <w:rPr>
          <w:color w:val="231F20"/>
          <w:spacing w:val="-8"/>
        </w:rPr>
        <w:t>to</w:t>
      </w:r>
      <w:r>
        <w:rPr>
          <w:color w:val="231F20"/>
          <w:spacing w:val="-22"/>
        </w:rPr>
        <w:t> </w:t>
      </w:r>
      <w:r>
        <w:rPr>
          <w:color w:val="231F20"/>
          <w:spacing w:val="-8"/>
        </w:rPr>
        <w:t>concerns</w:t>
      </w:r>
      <w:r>
        <w:rPr>
          <w:color w:val="231F20"/>
          <w:spacing w:val="-22"/>
        </w:rPr>
        <w:t> </w:t>
      </w:r>
      <w:r>
        <w:rPr>
          <w:color w:val="231F20"/>
          <w:spacing w:val="-8"/>
        </w:rPr>
        <w:t>about</w:t>
      </w:r>
      <w:r>
        <w:rPr>
          <w:color w:val="231F20"/>
          <w:spacing w:val="-22"/>
        </w:rPr>
        <w:t> </w:t>
      </w:r>
      <w:r>
        <w:rPr>
          <w:color w:val="231F20"/>
          <w:spacing w:val="-8"/>
        </w:rPr>
        <w:t>noise. </w:t>
      </w:r>
      <w:r>
        <w:rPr>
          <w:color w:val="231F20"/>
        </w:rPr>
        <w:t>Similarly,</w:t>
      </w:r>
      <w:r>
        <w:rPr>
          <w:color w:val="231F20"/>
          <w:spacing w:val="-13"/>
        </w:rPr>
        <w:t> </w:t>
      </w:r>
      <w:r>
        <w:rPr>
          <w:color w:val="231F20"/>
        </w:rPr>
        <w:t>sampling</w:t>
      </w:r>
      <w:r>
        <w:rPr>
          <w:color w:val="231F20"/>
          <w:spacing w:val="-13"/>
        </w:rPr>
        <w:t> </w:t>
      </w:r>
      <w:r>
        <w:rPr>
          <w:color w:val="231F20"/>
        </w:rPr>
        <w:t>is</w:t>
      </w:r>
      <w:r>
        <w:rPr>
          <w:color w:val="231F20"/>
          <w:spacing w:val="-13"/>
        </w:rPr>
        <w:t> </w:t>
      </w:r>
      <w:r>
        <w:rPr>
          <w:color w:val="231F20"/>
        </w:rPr>
        <w:t>nonrandom</w:t>
      </w:r>
      <w:r>
        <w:rPr>
          <w:color w:val="231F20"/>
          <w:spacing w:val="-13"/>
        </w:rPr>
        <w:t> </w:t>
      </w:r>
      <w:r>
        <w:rPr>
          <w:color w:val="231F20"/>
        </w:rPr>
        <w:t>since</w:t>
      </w:r>
      <w:r>
        <w:rPr>
          <w:color w:val="231F20"/>
          <w:spacing w:val="-13"/>
        </w:rPr>
        <w:t> </w:t>
      </w:r>
      <w:r>
        <w:rPr>
          <w:color w:val="231F20"/>
        </w:rPr>
        <w:t>re- </w:t>
      </w:r>
      <w:r>
        <w:rPr>
          <w:color w:val="231F20"/>
          <w:spacing w:val="-6"/>
        </w:rPr>
        <w:t>spondents</w:t>
      </w:r>
      <w:r>
        <w:rPr>
          <w:color w:val="231F20"/>
          <w:spacing w:val="-9"/>
        </w:rPr>
        <w:t> </w:t>
      </w:r>
      <w:r>
        <w:rPr>
          <w:color w:val="231F20"/>
          <w:spacing w:val="-6"/>
        </w:rPr>
        <w:t>choose</w:t>
      </w:r>
      <w:r>
        <w:rPr>
          <w:color w:val="231F20"/>
          <w:spacing w:val="-9"/>
        </w:rPr>
        <w:t> </w:t>
      </w:r>
      <w:r>
        <w:rPr>
          <w:color w:val="231F20"/>
          <w:spacing w:val="-6"/>
        </w:rPr>
        <w:t>whether</w:t>
      </w:r>
      <w:r>
        <w:rPr>
          <w:color w:val="231F20"/>
          <w:spacing w:val="-9"/>
        </w:rPr>
        <w:t> </w:t>
      </w:r>
      <w:r>
        <w:rPr>
          <w:color w:val="231F20"/>
          <w:spacing w:val="-6"/>
        </w:rPr>
        <w:t>to</w:t>
      </w:r>
      <w:r>
        <w:rPr>
          <w:color w:val="231F20"/>
          <w:spacing w:val="-9"/>
        </w:rPr>
        <w:t> </w:t>
      </w:r>
      <w:r>
        <w:rPr>
          <w:color w:val="231F20"/>
          <w:spacing w:val="-6"/>
        </w:rPr>
        <w:t>participate.</w:t>
      </w:r>
      <w:r>
        <w:rPr>
          <w:color w:val="231F20"/>
          <w:spacing w:val="-9"/>
        </w:rPr>
        <w:t> </w:t>
      </w:r>
      <w:r>
        <w:rPr>
          <w:color w:val="231F20"/>
          <w:spacing w:val="-6"/>
        </w:rPr>
        <w:t>Issues </w:t>
      </w:r>
      <w:r>
        <w:rPr>
          <w:color w:val="231F20"/>
          <w:spacing w:val="-4"/>
        </w:rPr>
        <w:t>such</w:t>
      </w:r>
      <w:r>
        <w:rPr>
          <w:color w:val="231F20"/>
          <w:spacing w:val="-6"/>
        </w:rPr>
        <w:t> </w:t>
      </w:r>
      <w:r>
        <w:rPr>
          <w:color w:val="231F20"/>
          <w:spacing w:val="-4"/>
        </w:rPr>
        <w:t>as</w:t>
      </w:r>
      <w:r>
        <w:rPr>
          <w:color w:val="231F20"/>
          <w:spacing w:val="-6"/>
        </w:rPr>
        <w:t> </w:t>
      </w:r>
      <w:r>
        <w:rPr>
          <w:color w:val="231F20"/>
          <w:spacing w:val="-4"/>
        </w:rPr>
        <w:t>these</w:t>
      </w:r>
      <w:r>
        <w:rPr>
          <w:color w:val="231F20"/>
          <w:spacing w:val="-6"/>
        </w:rPr>
        <w:t> </w:t>
      </w:r>
      <w:r>
        <w:rPr>
          <w:color w:val="231F20"/>
          <w:spacing w:val="-4"/>
        </w:rPr>
        <w:t>create</w:t>
      </w:r>
      <w:r>
        <w:rPr>
          <w:color w:val="231F20"/>
          <w:spacing w:val="-6"/>
        </w:rPr>
        <w:t> </w:t>
      </w:r>
      <w:r>
        <w:rPr>
          <w:color w:val="231F20"/>
          <w:spacing w:val="-4"/>
        </w:rPr>
        <w:t>difficulties</w:t>
      </w:r>
      <w:r>
        <w:rPr>
          <w:color w:val="231F20"/>
          <w:spacing w:val="-6"/>
        </w:rPr>
        <w:t> </w:t>
      </w:r>
      <w:r>
        <w:rPr>
          <w:color w:val="231F20"/>
          <w:spacing w:val="-4"/>
        </w:rPr>
        <w:t>when</w:t>
      </w:r>
      <w:r>
        <w:rPr>
          <w:color w:val="231F20"/>
          <w:spacing w:val="-6"/>
        </w:rPr>
        <w:t> </w:t>
      </w:r>
      <w:r>
        <w:rPr>
          <w:color w:val="231F20"/>
          <w:spacing w:val="-4"/>
        </w:rPr>
        <w:t>compar- </w:t>
      </w:r>
      <w:r>
        <w:rPr>
          <w:color w:val="231F20"/>
          <w:spacing w:val="-6"/>
        </w:rPr>
        <w:t>ing small changes between countries. An addi- </w:t>
      </w:r>
      <w:r>
        <w:rPr>
          <w:color w:val="231F20"/>
          <w:w w:val="90"/>
        </w:rPr>
        <w:t>tional issue relates to year-on-year comparisons, </w:t>
      </w:r>
      <w:r>
        <w:rPr>
          <w:color w:val="231F20"/>
        </w:rPr>
        <w:t>which</w:t>
      </w:r>
      <w:r>
        <w:rPr>
          <w:color w:val="231F20"/>
          <w:spacing w:val="-11"/>
        </w:rPr>
        <w:t> </w:t>
      </w:r>
      <w:r>
        <w:rPr>
          <w:color w:val="231F20"/>
        </w:rPr>
        <w:t>suffer</w:t>
      </w:r>
      <w:r>
        <w:rPr>
          <w:color w:val="231F20"/>
          <w:spacing w:val="-11"/>
        </w:rPr>
        <w:t> </w:t>
      </w:r>
      <w:r>
        <w:rPr>
          <w:color w:val="231F20"/>
        </w:rPr>
        <w:t>from</w:t>
      </w:r>
      <w:r>
        <w:rPr>
          <w:color w:val="231F20"/>
          <w:spacing w:val="-11"/>
        </w:rPr>
        <w:t> </w:t>
      </w:r>
      <w:r>
        <w:rPr>
          <w:color w:val="231F20"/>
        </w:rPr>
        <w:t>the</w:t>
      </w:r>
      <w:r>
        <w:rPr>
          <w:color w:val="231F20"/>
          <w:spacing w:val="-11"/>
        </w:rPr>
        <w:t> </w:t>
      </w:r>
      <w:r>
        <w:rPr>
          <w:color w:val="231F20"/>
        </w:rPr>
        <w:t>limitation</w:t>
      </w:r>
      <w:r>
        <w:rPr>
          <w:color w:val="231F20"/>
          <w:spacing w:val="-11"/>
        </w:rPr>
        <w:t> </w:t>
      </w:r>
      <w:r>
        <w:rPr>
          <w:color w:val="231F20"/>
        </w:rPr>
        <w:t>that</w:t>
      </w:r>
      <w:r>
        <w:rPr>
          <w:color w:val="231F20"/>
          <w:spacing w:val="-11"/>
        </w:rPr>
        <w:t> </w:t>
      </w:r>
      <w:r>
        <w:rPr>
          <w:color w:val="231F20"/>
        </w:rPr>
        <w:t>respon- </w:t>
      </w:r>
      <w:r>
        <w:rPr>
          <w:color w:val="231F20"/>
          <w:spacing w:val="-4"/>
        </w:rPr>
        <w:t>dents grade performance</w:t>
      </w:r>
      <w:r>
        <w:rPr>
          <w:color w:val="231F20"/>
          <w:spacing w:val="-3"/>
        </w:rPr>
        <w:t> </w:t>
      </w:r>
      <w:r>
        <w:rPr>
          <w:color w:val="231F20"/>
          <w:spacing w:val="-4"/>
        </w:rPr>
        <w:t>on a</w:t>
      </w:r>
      <w:r>
        <w:rPr>
          <w:color w:val="231F20"/>
          <w:spacing w:val="-3"/>
        </w:rPr>
        <w:t> </w:t>
      </w:r>
      <w:r>
        <w:rPr>
          <w:color w:val="231F20"/>
          <w:spacing w:val="-4"/>
        </w:rPr>
        <w:t>qualitative </w:t>
      </w:r>
      <w:r>
        <w:rPr>
          <w:color w:val="231F20"/>
          <w:spacing w:val="-6"/>
        </w:rPr>
        <w:t>scale</w:t>
      </w:r>
    </w:p>
    <w:p>
      <w:pPr>
        <w:pStyle w:val="BodyText"/>
        <w:spacing w:line="233" w:lineRule="exact"/>
        <w:ind w:left="3840"/>
        <w:jc w:val="both"/>
      </w:pPr>
      <w:r>
        <w:rPr>
          <w:color w:val="231F20"/>
          <w:w w:val="90"/>
        </w:rPr>
        <w:t>that</w:t>
      </w:r>
      <w:r>
        <w:rPr>
          <w:color w:val="231F20"/>
          <w:spacing w:val="11"/>
        </w:rPr>
        <w:t> </w:t>
      </w:r>
      <w:r>
        <w:rPr>
          <w:color w:val="231F20"/>
          <w:w w:val="90"/>
        </w:rPr>
        <w:t>could</w:t>
      </w:r>
      <w:r>
        <w:rPr>
          <w:color w:val="231F20"/>
          <w:spacing w:val="11"/>
        </w:rPr>
        <w:t> </w:t>
      </w:r>
      <w:r>
        <w:rPr>
          <w:color w:val="231F20"/>
          <w:w w:val="90"/>
        </w:rPr>
        <w:t>suffer</w:t>
      </w:r>
      <w:r>
        <w:rPr>
          <w:color w:val="231F20"/>
          <w:spacing w:val="12"/>
        </w:rPr>
        <w:t> </w:t>
      </w:r>
      <w:r>
        <w:rPr>
          <w:color w:val="231F20"/>
          <w:w w:val="90"/>
        </w:rPr>
        <w:t>from</w:t>
      </w:r>
      <w:r>
        <w:rPr>
          <w:color w:val="231F20"/>
          <w:spacing w:val="11"/>
        </w:rPr>
        <w:t> </w:t>
      </w:r>
      <w:r>
        <w:rPr>
          <w:color w:val="231F20"/>
          <w:w w:val="90"/>
        </w:rPr>
        <w:t>indexing</w:t>
      </w:r>
      <w:r>
        <w:rPr>
          <w:color w:val="231F20"/>
          <w:spacing w:val="12"/>
        </w:rPr>
        <w:t> </w:t>
      </w:r>
      <w:r>
        <w:rPr>
          <w:color w:val="231F20"/>
          <w:spacing w:val="-2"/>
          <w:w w:val="90"/>
        </w:rPr>
        <w:t>issues.</w:t>
      </w:r>
    </w:p>
    <w:p>
      <w:pPr>
        <w:pStyle w:val="BodyText"/>
        <w:spacing w:line="268" w:lineRule="auto" w:before="29"/>
        <w:ind w:left="3840" w:firstLine="300"/>
        <w:jc w:val="both"/>
      </w:pPr>
      <w:r>
        <w:rPr>
          <w:color w:val="231F20"/>
          <w:w w:val="90"/>
        </w:rPr>
        <w:t>The approach this year differs. First, scores and confidence intervals are rounded to a single </w:t>
      </w:r>
      <w:r>
        <w:rPr>
          <w:color w:val="231F20"/>
          <w:spacing w:val="-4"/>
        </w:rPr>
        <w:t>decimal</w:t>
      </w:r>
      <w:r>
        <w:rPr>
          <w:color w:val="231F20"/>
          <w:spacing w:val="-5"/>
        </w:rPr>
        <w:t> </w:t>
      </w:r>
      <w:r>
        <w:rPr>
          <w:color w:val="231F20"/>
          <w:spacing w:val="-4"/>
        </w:rPr>
        <w:t>place.</w:t>
      </w:r>
      <w:r>
        <w:rPr>
          <w:color w:val="231F20"/>
          <w:spacing w:val="-5"/>
        </w:rPr>
        <w:t> </w:t>
      </w:r>
      <w:r>
        <w:rPr>
          <w:color w:val="231F20"/>
          <w:spacing w:val="-4"/>
        </w:rPr>
        <w:t>The</w:t>
      </w:r>
      <w:r>
        <w:rPr>
          <w:color w:val="231F20"/>
          <w:spacing w:val="-5"/>
        </w:rPr>
        <w:t> </w:t>
      </w:r>
      <w:r>
        <w:rPr>
          <w:color w:val="231F20"/>
          <w:spacing w:val="-4"/>
        </w:rPr>
        <w:t>rationale</w:t>
      </w:r>
      <w:r>
        <w:rPr>
          <w:color w:val="231F20"/>
          <w:spacing w:val="-5"/>
        </w:rPr>
        <w:t> </w:t>
      </w:r>
      <w:r>
        <w:rPr>
          <w:color w:val="231F20"/>
          <w:spacing w:val="-4"/>
        </w:rPr>
        <w:t>for</w:t>
      </w:r>
      <w:r>
        <w:rPr>
          <w:color w:val="231F20"/>
          <w:spacing w:val="-5"/>
        </w:rPr>
        <w:t> </w:t>
      </w:r>
      <w:r>
        <w:rPr>
          <w:color w:val="231F20"/>
          <w:spacing w:val="-4"/>
        </w:rPr>
        <w:t>this</w:t>
      </w:r>
      <w:r>
        <w:rPr>
          <w:color w:val="231F20"/>
          <w:spacing w:val="-5"/>
        </w:rPr>
        <w:t> </w:t>
      </w:r>
      <w:r>
        <w:rPr>
          <w:color w:val="231F20"/>
          <w:spacing w:val="-4"/>
        </w:rPr>
        <w:t>change</w:t>
      </w:r>
      <w:r>
        <w:rPr>
          <w:color w:val="231F20"/>
          <w:spacing w:val="-5"/>
        </w:rPr>
        <w:t> </w:t>
      </w:r>
      <w:r>
        <w:rPr>
          <w:color w:val="231F20"/>
          <w:spacing w:val="-4"/>
        </w:rPr>
        <w:t>is </w:t>
      </w:r>
      <w:r>
        <w:rPr>
          <w:color w:val="231F20"/>
          <w:spacing w:val="-6"/>
        </w:rPr>
        <w:t>that</w:t>
      </w:r>
      <w:r>
        <w:rPr>
          <w:color w:val="231F20"/>
          <w:spacing w:val="-8"/>
        </w:rPr>
        <w:t> </w:t>
      </w:r>
      <w:r>
        <w:rPr>
          <w:color w:val="231F20"/>
          <w:spacing w:val="-6"/>
        </w:rPr>
        <w:t>the</w:t>
      </w:r>
      <w:r>
        <w:rPr>
          <w:color w:val="231F20"/>
          <w:spacing w:val="-7"/>
        </w:rPr>
        <w:t> </w:t>
      </w:r>
      <w:r>
        <w:rPr>
          <w:color w:val="231F20"/>
          <w:spacing w:val="-6"/>
        </w:rPr>
        <w:t>survey</w:t>
      </w:r>
      <w:r>
        <w:rPr>
          <w:color w:val="231F20"/>
          <w:spacing w:val="-7"/>
        </w:rPr>
        <w:t> </w:t>
      </w:r>
      <w:r>
        <w:rPr>
          <w:color w:val="231F20"/>
          <w:spacing w:val="-6"/>
        </w:rPr>
        <w:t>uses</w:t>
      </w:r>
      <w:r>
        <w:rPr>
          <w:color w:val="231F20"/>
          <w:spacing w:val="-7"/>
        </w:rPr>
        <w:t> </w:t>
      </w:r>
      <w:r>
        <w:rPr>
          <w:color w:val="231F20"/>
          <w:spacing w:val="-6"/>
        </w:rPr>
        <w:t>whole</w:t>
      </w:r>
      <w:r>
        <w:rPr>
          <w:color w:val="231F20"/>
          <w:spacing w:val="-7"/>
        </w:rPr>
        <w:t> </w:t>
      </w:r>
      <w:r>
        <w:rPr>
          <w:color w:val="231F20"/>
          <w:spacing w:val="-6"/>
        </w:rPr>
        <w:t>numbers</w:t>
      </w:r>
      <w:r>
        <w:rPr>
          <w:color w:val="231F20"/>
          <w:spacing w:val="-7"/>
        </w:rPr>
        <w:t> </w:t>
      </w:r>
      <w:r>
        <w:rPr>
          <w:color w:val="231F20"/>
          <w:spacing w:val="-6"/>
        </w:rPr>
        <w:t>on</w:t>
      </w:r>
      <w:r>
        <w:rPr>
          <w:color w:val="231F20"/>
          <w:spacing w:val="-7"/>
        </w:rPr>
        <w:t> </w:t>
      </w:r>
      <w:r>
        <w:rPr>
          <w:color w:val="231F20"/>
          <w:spacing w:val="-6"/>
        </w:rPr>
        <w:t>a</w:t>
      </w:r>
      <w:r>
        <w:rPr>
          <w:color w:val="231F20"/>
          <w:spacing w:val="-7"/>
        </w:rPr>
        <w:t> </w:t>
      </w:r>
      <w:r>
        <w:rPr>
          <w:color w:val="231F20"/>
          <w:spacing w:val="-6"/>
        </w:rPr>
        <w:t>Likert </w:t>
      </w:r>
      <w:r>
        <w:rPr>
          <w:color w:val="231F20"/>
          <w:w w:val="90"/>
        </w:rPr>
        <w:t>scale for country ratings, so countries with sim- </w:t>
      </w:r>
      <w:r>
        <w:rPr>
          <w:color w:val="231F20"/>
          <w:spacing w:val="-2"/>
        </w:rPr>
        <w:t>ilar</w:t>
      </w:r>
      <w:r>
        <w:rPr>
          <w:color w:val="231F20"/>
          <w:spacing w:val="-12"/>
        </w:rPr>
        <w:t> </w:t>
      </w:r>
      <w:r>
        <w:rPr>
          <w:color w:val="231F20"/>
          <w:spacing w:val="-2"/>
        </w:rPr>
        <w:t>but</w:t>
      </w:r>
      <w:r>
        <w:rPr>
          <w:color w:val="231F20"/>
          <w:spacing w:val="-11"/>
        </w:rPr>
        <w:t> </w:t>
      </w:r>
      <w:r>
        <w:rPr>
          <w:color w:val="231F20"/>
          <w:spacing w:val="-2"/>
        </w:rPr>
        <w:t>not</w:t>
      </w:r>
      <w:r>
        <w:rPr>
          <w:color w:val="231F20"/>
          <w:spacing w:val="-11"/>
        </w:rPr>
        <w:t> </w:t>
      </w:r>
      <w:r>
        <w:rPr>
          <w:color w:val="231F20"/>
          <w:spacing w:val="-2"/>
        </w:rPr>
        <w:t>identical</w:t>
      </w:r>
      <w:r>
        <w:rPr>
          <w:color w:val="231F20"/>
          <w:spacing w:val="-11"/>
        </w:rPr>
        <w:t> </w:t>
      </w:r>
      <w:r>
        <w:rPr>
          <w:color w:val="231F20"/>
          <w:spacing w:val="-2"/>
        </w:rPr>
        <w:t>response</w:t>
      </w:r>
      <w:r>
        <w:rPr>
          <w:color w:val="231F20"/>
          <w:spacing w:val="-11"/>
        </w:rPr>
        <w:t> </w:t>
      </w:r>
      <w:r>
        <w:rPr>
          <w:color w:val="231F20"/>
          <w:spacing w:val="-2"/>
        </w:rPr>
        <w:t>patterns</w:t>
      </w:r>
      <w:r>
        <w:rPr>
          <w:color w:val="231F20"/>
          <w:spacing w:val="-11"/>
        </w:rPr>
        <w:t> </w:t>
      </w:r>
      <w:r>
        <w:rPr>
          <w:color w:val="231F20"/>
          <w:spacing w:val="-2"/>
        </w:rPr>
        <w:t>receive </w:t>
      </w:r>
      <w:r>
        <w:rPr>
          <w:color w:val="231F20"/>
        </w:rPr>
        <w:t>identical</w:t>
      </w:r>
      <w:r>
        <w:rPr>
          <w:color w:val="231F20"/>
          <w:spacing w:val="-14"/>
        </w:rPr>
        <w:t> </w:t>
      </w:r>
      <w:r>
        <w:rPr>
          <w:color w:val="231F20"/>
        </w:rPr>
        <w:t>scores.</w:t>
      </w:r>
    </w:p>
    <w:p>
      <w:pPr>
        <w:pStyle w:val="BodyText"/>
        <w:spacing w:line="268" w:lineRule="auto" w:before="97"/>
        <w:ind w:left="199" w:right="177" w:firstLine="300"/>
        <w:jc w:val="both"/>
      </w:pPr>
      <w:r>
        <w:rPr/>
        <w:br w:type="column"/>
      </w:r>
      <w:r>
        <w:rPr>
          <w:color w:val="231F20"/>
          <w:spacing w:val="-4"/>
        </w:rPr>
        <w:t>Second,</w:t>
      </w:r>
      <w:r>
        <w:rPr>
          <w:color w:val="231F20"/>
          <w:spacing w:val="-7"/>
        </w:rPr>
        <w:t> </w:t>
      </w:r>
      <w:r>
        <w:rPr>
          <w:color w:val="231F20"/>
          <w:spacing w:val="-4"/>
        </w:rPr>
        <w:t>the</w:t>
      </w:r>
      <w:r>
        <w:rPr>
          <w:color w:val="231F20"/>
          <w:spacing w:val="-7"/>
        </w:rPr>
        <w:t> </w:t>
      </w:r>
      <w:r>
        <w:rPr>
          <w:color w:val="231F20"/>
          <w:spacing w:val="-4"/>
        </w:rPr>
        <w:t>presentation</w:t>
      </w:r>
      <w:r>
        <w:rPr>
          <w:color w:val="231F20"/>
          <w:spacing w:val="-7"/>
        </w:rPr>
        <w:t> </w:t>
      </w:r>
      <w:r>
        <w:rPr>
          <w:color w:val="231F20"/>
          <w:spacing w:val="-4"/>
        </w:rPr>
        <w:t>of</w:t>
      </w:r>
      <w:r>
        <w:rPr>
          <w:color w:val="231F20"/>
          <w:spacing w:val="-7"/>
        </w:rPr>
        <w:t> </w:t>
      </w:r>
      <w:r>
        <w:rPr>
          <w:color w:val="231F20"/>
          <w:spacing w:val="-4"/>
        </w:rPr>
        <w:t>results</w:t>
      </w:r>
      <w:r>
        <w:rPr>
          <w:color w:val="231F20"/>
          <w:spacing w:val="-7"/>
        </w:rPr>
        <w:t> </w:t>
      </w:r>
      <w:r>
        <w:rPr>
          <w:color w:val="231F20"/>
          <w:spacing w:val="-4"/>
        </w:rPr>
        <w:t>focuses </w:t>
      </w:r>
      <w:r>
        <w:rPr>
          <w:color w:val="231F20"/>
          <w:spacing w:val="-6"/>
        </w:rPr>
        <w:t>more</w:t>
      </w:r>
      <w:r>
        <w:rPr>
          <w:color w:val="231F20"/>
          <w:spacing w:val="-8"/>
        </w:rPr>
        <w:t> </w:t>
      </w:r>
      <w:r>
        <w:rPr>
          <w:color w:val="231F20"/>
          <w:spacing w:val="-6"/>
        </w:rPr>
        <w:t>on</w:t>
      </w:r>
      <w:r>
        <w:rPr>
          <w:color w:val="231F20"/>
          <w:spacing w:val="-7"/>
        </w:rPr>
        <w:t> </w:t>
      </w:r>
      <w:r>
        <w:rPr>
          <w:color w:val="231F20"/>
          <w:spacing w:val="-6"/>
        </w:rPr>
        <w:t>groups</w:t>
      </w:r>
      <w:r>
        <w:rPr>
          <w:color w:val="231F20"/>
          <w:spacing w:val="-7"/>
        </w:rPr>
        <w:t> </w:t>
      </w:r>
      <w:r>
        <w:rPr>
          <w:color w:val="231F20"/>
          <w:spacing w:val="-6"/>
        </w:rPr>
        <w:t>of</w:t>
      </w:r>
      <w:r>
        <w:rPr>
          <w:color w:val="231F20"/>
          <w:spacing w:val="-7"/>
        </w:rPr>
        <w:t> </w:t>
      </w:r>
      <w:r>
        <w:rPr>
          <w:color w:val="231F20"/>
          <w:spacing w:val="-6"/>
        </w:rPr>
        <w:t>countries</w:t>
      </w:r>
      <w:r>
        <w:rPr>
          <w:color w:val="231F20"/>
          <w:spacing w:val="-7"/>
        </w:rPr>
        <w:t> </w:t>
      </w:r>
      <w:r>
        <w:rPr>
          <w:color w:val="231F20"/>
          <w:spacing w:val="-6"/>
        </w:rPr>
        <w:t>with</w:t>
      </w:r>
      <w:r>
        <w:rPr>
          <w:color w:val="231F20"/>
          <w:spacing w:val="-7"/>
        </w:rPr>
        <w:t> </w:t>
      </w:r>
      <w:r>
        <w:rPr>
          <w:color w:val="231F20"/>
          <w:spacing w:val="-6"/>
        </w:rPr>
        <w:t>broadly</w:t>
      </w:r>
      <w:r>
        <w:rPr>
          <w:color w:val="231F20"/>
          <w:spacing w:val="-7"/>
        </w:rPr>
        <w:t> </w:t>
      </w:r>
      <w:r>
        <w:rPr>
          <w:color w:val="231F20"/>
          <w:spacing w:val="-6"/>
        </w:rPr>
        <w:t>simi- </w:t>
      </w:r>
      <w:r>
        <w:rPr>
          <w:color w:val="231F20"/>
        </w:rPr>
        <w:t>lar</w:t>
      </w:r>
      <w:r>
        <w:rPr>
          <w:color w:val="231F20"/>
          <w:spacing w:val="-7"/>
        </w:rPr>
        <w:t> </w:t>
      </w:r>
      <w:r>
        <w:rPr>
          <w:color w:val="231F20"/>
        </w:rPr>
        <w:t>performance</w:t>
      </w:r>
      <w:r>
        <w:rPr>
          <w:color w:val="231F20"/>
          <w:spacing w:val="-7"/>
        </w:rPr>
        <w:t> </w:t>
      </w:r>
      <w:r>
        <w:rPr>
          <w:color w:val="231F20"/>
        </w:rPr>
        <w:t>than</w:t>
      </w:r>
      <w:r>
        <w:rPr>
          <w:color w:val="231F20"/>
          <w:spacing w:val="-7"/>
        </w:rPr>
        <w:t> </w:t>
      </w:r>
      <w:r>
        <w:rPr>
          <w:color w:val="231F20"/>
        </w:rPr>
        <w:t>on</w:t>
      </w:r>
      <w:r>
        <w:rPr>
          <w:color w:val="231F20"/>
          <w:spacing w:val="-7"/>
        </w:rPr>
        <w:t> </w:t>
      </w:r>
      <w:r>
        <w:rPr>
          <w:color w:val="231F20"/>
        </w:rPr>
        <w:t>small</w:t>
      </w:r>
      <w:r>
        <w:rPr>
          <w:color w:val="231F20"/>
          <w:spacing w:val="-7"/>
        </w:rPr>
        <w:t> </w:t>
      </w:r>
      <w:r>
        <w:rPr>
          <w:color w:val="231F20"/>
        </w:rPr>
        <w:t>differences</w:t>
      </w:r>
      <w:r>
        <w:rPr>
          <w:color w:val="231F20"/>
          <w:spacing w:val="-7"/>
        </w:rPr>
        <w:t> </w:t>
      </w:r>
      <w:r>
        <w:rPr>
          <w:color w:val="231F20"/>
        </w:rPr>
        <w:t>in scores</w:t>
      </w:r>
      <w:r>
        <w:rPr>
          <w:color w:val="231F20"/>
          <w:spacing w:val="-12"/>
        </w:rPr>
        <w:t> </w:t>
      </w:r>
      <w:r>
        <w:rPr>
          <w:color w:val="231F20"/>
        </w:rPr>
        <w:t>between</w:t>
      </w:r>
      <w:r>
        <w:rPr>
          <w:color w:val="231F20"/>
          <w:spacing w:val="-12"/>
        </w:rPr>
        <w:t> </w:t>
      </w:r>
      <w:r>
        <w:rPr>
          <w:color w:val="231F20"/>
        </w:rPr>
        <w:t>countries.</w:t>
      </w:r>
      <w:r>
        <w:rPr>
          <w:color w:val="231F20"/>
          <w:spacing w:val="-12"/>
        </w:rPr>
        <w:t> </w:t>
      </w:r>
      <w:r>
        <w:rPr>
          <w:color w:val="231F20"/>
        </w:rPr>
        <w:t>Where</w:t>
      </w:r>
      <w:r>
        <w:rPr>
          <w:color w:val="231F20"/>
          <w:spacing w:val="-12"/>
        </w:rPr>
        <w:t> </w:t>
      </w:r>
      <w:r>
        <w:rPr>
          <w:color w:val="231F20"/>
        </w:rPr>
        <w:t>it</w:t>
      </w:r>
      <w:r>
        <w:rPr>
          <w:color w:val="231F20"/>
          <w:spacing w:val="-12"/>
        </w:rPr>
        <w:t> </w:t>
      </w:r>
      <w:r>
        <w:rPr>
          <w:color w:val="231F20"/>
        </w:rPr>
        <w:t>is</w:t>
      </w:r>
      <w:r>
        <w:rPr>
          <w:color w:val="231F20"/>
          <w:spacing w:val="-12"/>
        </w:rPr>
        <w:t> </w:t>
      </w:r>
      <w:r>
        <w:rPr>
          <w:color w:val="231F20"/>
        </w:rPr>
        <w:t>impor- </w:t>
      </w:r>
      <w:r>
        <w:rPr>
          <w:color w:val="231F20"/>
          <w:spacing w:val="-4"/>
        </w:rPr>
        <w:t>tant</w:t>
      </w:r>
      <w:r>
        <w:rPr>
          <w:color w:val="231F20"/>
          <w:spacing w:val="-7"/>
        </w:rPr>
        <w:t> </w:t>
      </w:r>
      <w:r>
        <w:rPr>
          <w:color w:val="231F20"/>
          <w:spacing w:val="-4"/>
        </w:rPr>
        <w:t>from</w:t>
      </w:r>
      <w:r>
        <w:rPr>
          <w:color w:val="231F20"/>
          <w:spacing w:val="-7"/>
        </w:rPr>
        <w:t> </w:t>
      </w:r>
      <w:r>
        <w:rPr>
          <w:color w:val="231F20"/>
          <w:spacing w:val="-4"/>
        </w:rPr>
        <w:t>a</w:t>
      </w:r>
      <w:r>
        <w:rPr>
          <w:color w:val="231F20"/>
          <w:spacing w:val="-7"/>
        </w:rPr>
        <w:t> </w:t>
      </w:r>
      <w:r>
        <w:rPr>
          <w:color w:val="231F20"/>
          <w:spacing w:val="-4"/>
        </w:rPr>
        <w:t>policy</w:t>
      </w:r>
      <w:r>
        <w:rPr>
          <w:color w:val="231F20"/>
          <w:spacing w:val="-7"/>
        </w:rPr>
        <w:t> </w:t>
      </w:r>
      <w:r>
        <w:rPr>
          <w:color w:val="231F20"/>
          <w:spacing w:val="-4"/>
        </w:rPr>
        <w:t>perspective</w:t>
      </w:r>
      <w:r>
        <w:rPr>
          <w:color w:val="231F20"/>
          <w:spacing w:val="-7"/>
        </w:rPr>
        <w:t> </w:t>
      </w:r>
      <w:r>
        <w:rPr>
          <w:color w:val="231F20"/>
          <w:spacing w:val="-4"/>
        </w:rPr>
        <w:t>to</w:t>
      </w:r>
      <w:r>
        <w:rPr>
          <w:color w:val="231F20"/>
          <w:spacing w:val="-7"/>
        </w:rPr>
        <w:t> </w:t>
      </w:r>
      <w:r>
        <w:rPr>
          <w:color w:val="231F20"/>
          <w:spacing w:val="-4"/>
        </w:rPr>
        <w:t>highlight</w:t>
      </w:r>
      <w:r>
        <w:rPr>
          <w:color w:val="231F20"/>
          <w:spacing w:val="-7"/>
        </w:rPr>
        <w:t> </w:t>
      </w:r>
      <w:r>
        <w:rPr>
          <w:color w:val="231F20"/>
          <w:spacing w:val="-4"/>
        </w:rPr>
        <w:t>dif- ferences</w:t>
      </w:r>
      <w:r>
        <w:rPr>
          <w:color w:val="231F20"/>
          <w:spacing w:val="-5"/>
        </w:rPr>
        <w:t> </w:t>
      </w:r>
      <w:r>
        <w:rPr>
          <w:color w:val="231F20"/>
          <w:spacing w:val="-4"/>
        </w:rPr>
        <w:t>across</w:t>
      </w:r>
      <w:r>
        <w:rPr>
          <w:color w:val="231F20"/>
          <w:spacing w:val="-5"/>
        </w:rPr>
        <w:t> </w:t>
      </w:r>
      <w:r>
        <w:rPr>
          <w:color w:val="231F20"/>
          <w:spacing w:val="-4"/>
        </w:rPr>
        <w:t>countries,</w:t>
      </w:r>
      <w:r>
        <w:rPr>
          <w:color w:val="231F20"/>
          <w:spacing w:val="-5"/>
        </w:rPr>
        <w:t> </w:t>
      </w:r>
      <w:r>
        <w:rPr>
          <w:color w:val="231F20"/>
          <w:spacing w:val="-4"/>
        </w:rPr>
        <w:t>the</w:t>
      </w:r>
      <w:r>
        <w:rPr>
          <w:color w:val="231F20"/>
          <w:spacing w:val="-5"/>
        </w:rPr>
        <w:t> </w:t>
      </w:r>
      <w:r>
        <w:rPr>
          <w:color w:val="231F20"/>
          <w:spacing w:val="-4"/>
        </w:rPr>
        <w:t>analysis</w:t>
      </w:r>
      <w:r>
        <w:rPr>
          <w:color w:val="231F20"/>
          <w:spacing w:val="-5"/>
        </w:rPr>
        <w:t> </w:t>
      </w:r>
      <w:r>
        <w:rPr>
          <w:color w:val="231F20"/>
          <w:spacing w:val="-4"/>
        </w:rPr>
        <w:t>focuses on</w:t>
      </w:r>
      <w:r>
        <w:rPr>
          <w:color w:val="231F20"/>
          <w:spacing w:val="-9"/>
        </w:rPr>
        <w:t> </w:t>
      </w:r>
      <w:r>
        <w:rPr>
          <w:color w:val="231F20"/>
          <w:spacing w:val="-4"/>
        </w:rPr>
        <w:t>those</w:t>
      </w:r>
      <w:r>
        <w:rPr>
          <w:color w:val="231F20"/>
          <w:spacing w:val="-9"/>
        </w:rPr>
        <w:t> </w:t>
      </w:r>
      <w:r>
        <w:rPr>
          <w:color w:val="231F20"/>
          <w:spacing w:val="-4"/>
        </w:rPr>
        <w:t>differences</w:t>
      </w:r>
      <w:r>
        <w:rPr>
          <w:color w:val="231F20"/>
          <w:spacing w:val="-9"/>
        </w:rPr>
        <w:t> </w:t>
      </w:r>
      <w:r>
        <w:rPr>
          <w:color w:val="231F20"/>
          <w:spacing w:val="-4"/>
        </w:rPr>
        <w:t>at</w:t>
      </w:r>
      <w:r>
        <w:rPr>
          <w:color w:val="231F20"/>
          <w:spacing w:val="-9"/>
        </w:rPr>
        <w:t> </w:t>
      </w:r>
      <w:r>
        <w:rPr>
          <w:color w:val="231F20"/>
          <w:spacing w:val="-4"/>
        </w:rPr>
        <w:t>the</w:t>
      </w:r>
      <w:r>
        <w:rPr>
          <w:color w:val="231F20"/>
          <w:spacing w:val="-9"/>
        </w:rPr>
        <w:t> </w:t>
      </w:r>
      <w:r>
        <w:rPr>
          <w:color w:val="231F20"/>
          <w:spacing w:val="-4"/>
        </w:rPr>
        <w:t>country</w:t>
      </w:r>
      <w:r>
        <w:rPr>
          <w:color w:val="231F20"/>
          <w:spacing w:val="-9"/>
        </w:rPr>
        <w:t> </w:t>
      </w:r>
      <w:r>
        <w:rPr>
          <w:color w:val="231F20"/>
          <w:spacing w:val="-4"/>
        </w:rPr>
        <w:t>group</w:t>
      </w:r>
      <w:r>
        <w:rPr>
          <w:color w:val="231F20"/>
          <w:spacing w:val="-9"/>
        </w:rPr>
        <w:t> </w:t>
      </w:r>
      <w:r>
        <w:rPr>
          <w:color w:val="231F20"/>
          <w:spacing w:val="-4"/>
        </w:rPr>
        <w:t>level </w:t>
      </w:r>
      <w:r>
        <w:rPr>
          <w:color w:val="231F20"/>
        </w:rPr>
        <w:t>rather</w:t>
      </w:r>
      <w:r>
        <w:rPr>
          <w:color w:val="231F20"/>
          <w:spacing w:val="-6"/>
        </w:rPr>
        <w:t> </w:t>
      </w:r>
      <w:r>
        <w:rPr>
          <w:color w:val="231F20"/>
        </w:rPr>
        <w:t>than</w:t>
      </w:r>
      <w:r>
        <w:rPr>
          <w:color w:val="231F20"/>
          <w:spacing w:val="-6"/>
        </w:rPr>
        <w:t> </w:t>
      </w:r>
      <w:r>
        <w:rPr>
          <w:color w:val="231F20"/>
        </w:rPr>
        <w:t>at</w:t>
      </w:r>
      <w:r>
        <w:rPr>
          <w:color w:val="231F20"/>
          <w:spacing w:val="-6"/>
        </w:rPr>
        <w:t> </w:t>
      </w:r>
      <w:r>
        <w:rPr>
          <w:color w:val="231F20"/>
        </w:rPr>
        <w:t>the</w:t>
      </w:r>
      <w:r>
        <w:rPr>
          <w:color w:val="231F20"/>
          <w:spacing w:val="-6"/>
        </w:rPr>
        <w:t> </w:t>
      </w:r>
      <w:r>
        <w:rPr>
          <w:color w:val="231F20"/>
        </w:rPr>
        <w:t>individual</w:t>
      </w:r>
      <w:r>
        <w:rPr>
          <w:color w:val="231F20"/>
          <w:spacing w:val="-6"/>
        </w:rPr>
        <w:t> </w:t>
      </w:r>
      <w:r>
        <w:rPr>
          <w:color w:val="231F20"/>
        </w:rPr>
        <w:t>country</w:t>
      </w:r>
      <w:r>
        <w:rPr>
          <w:color w:val="231F20"/>
          <w:spacing w:val="-6"/>
        </w:rPr>
        <w:t> </w:t>
      </w:r>
      <w:r>
        <w:rPr>
          <w:color w:val="231F20"/>
        </w:rPr>
        <w:t>level.</w:t>
      </w:r>
    </w:p>
    <w:p>
      <w:pPr>
        <w:pStyle w:val="BodyText"/>
        <w:spacing w:line="268" w:lineRule="auto"/>
        <w:ind w:left="199" w:right="177" w:firstLine="300"/>
        <w:jc w:val="both"/>
      </w:pPr>
      <w:r>
        <w:rPr>
          <w:color w:val="231F20"/>
          <w:spacing w:val="-6"/>
        </w:rPr>
        <w:t>This approach still allows for summarizing </w:t>
      </w:r>
      <w:r>
        <w:rPr>
          <w:color w:val="231F20"/>
          <w:w w:val="90"/>
        </w:rPr>
        <w:t>broad</w:t>
      </w:r>
      <w:r>
        <w:rPr>
          <w:color w:val="231F20"/>
          <w:spacing w:val="-4"/>
          <w:w w:val="90"/>
        </w:rPr>
        <w:t> </w:t>
      </w:r>
      <w:r>
        <w:rPr>
          <w:color w:val="231F20"/>
          <w:w w:val="90"/>
        </w:rPr>
        <w:t>trends</w:t>
      </w:r>
      <w:r>
        <w:rPr>
          <w:color w:val="231F20"/>
          <w:spacing w:val="-4"/>
          <w:w w:val="90"/>
        </w:rPr>
        <w:t> </w:t>
      </w:r>
      <w:r>
        <w:rPr>
          <w:color w:val="231F20"/>
          <w:w w:val="90"/>
        </w:rPr>
        <w:t>across</w:t>
      </w:r>
      <w:r>
        <w:rPr>
          <w:color w:val="231F20"/>
          <w:spacing w:val="-4"/>
          <w:w w:val="90"/>
        </w:rPr>
        <w:t> </w:t>
      </w:r>
      <w:r>
        <w:rPr>
          <w:color w:val="231F20"/>
          <w:w w:val="90"/>
        </w:rPr>
        <w:t>geographic</w:t>
      </w:r>
      <w:r>
        <w:rPr>
          <w:color w:val="231F20"/>
          <w:spacing w:val="-4"/>
          <w:w w:val="90"/>
        </w:rPr>
        <w:t> </w:t>
      </w:r>
      <w:r>
        <w:rPr>
          <w:color w:val="231F20"/>
          <w:w w:val="90"/>
        </w:rPr>
        <w:t>areas</w:t>
      </w:r>
      <w:r>
        <w:rPr>
          <w:color w:val="231F20"/>
          <w:spacing w:val="-4"/>
          <w:w w:val="90"/>
        </w:rPr>
        <w:t> </w:t>
      </w:r>
      <w:r>
        <w:rPr>
          <w:color w:val="231F20"/>
          <w:w w:val="90"/>
        </w:rPr>
        <w:t>and</w:t>
      </w:r>
      <w:r>
        <w:rPr>
          <w:color w:val="231F20"/>
          <w:spacing w:val="-4"/>
          <w:w w:val="90"/>
        </w:rPr>
        <w:t> </w:t>
      </w:r>
      <w:r>
        <w:rPr>
          <w:color w:val="231F20"/>
          <w:w w:val="90"/>
        </w:rPr>
        <w:t>income </w:t>
      </w:r>
      <w:r>
        <w:rPr>
          <w:color w:val="231F20"/>
          <w:spacing w:val="-6"/>
        </w:rPr>
        <w:t>groups, which the following sections do. But it reduces</w:t>
      </w:r>
      <w:r>
        <w:rPr>
          <w:color w:val="231F20"/>
          <w:spacing w:val="-7"/>
        </w:rPr>
        <w:t> </w:t>
      </w:r>
      <w:r>
        <w:rPr>
          <w:color w:val="231F20"/>
          <w:spacing w:val="-6"/>
        </w:rPr>
        <w:t>the</w:t>
      </w:r>
      <w:r>
        <w:rPr>
          <w:color w:val="231F20"/>
          <w:spacing w:val="-7"/>
        </w:rPr>
        <w:t> </w:t>
      </w:r>
      <w:r>
        <w:rPr>
          <w:color w:val="231F20"/>
          <w:spacing w:val="-6"/>
        </w:rPr>
        <w:t>likelihood</w:t>
      </w:r>
      <w:r>
        <w:rPr>
          <w:color w:val="231F20"/>
          <w:spacing w:val="-7"/>
        </w:rPr>
        <w:t> </w:t>
      </w:r>
      <w:r>
        <w:rPr>
          <w:color w:val="231F20"/>
          <w:spacing w:val="-6"/>
        </w:rPr>
        <w:t>of</w:t>
      </w:r>
      <w:r>
        <w:rPr>
          <w:color w:val="231F20"/>
          <w:spacing w:val="-7"/>
        </w:rPr>
        <w:t> </w:t>
      </w:r>
      <w:r>
        <w:rPr>
          <w:color w:val="231F20"/>
          <w:spacing w:val="-6"/>
        </w:rPr>
        <w:t>users</w:t>
      </w:r>
      <w:r>
        <w:rPr>
          <w:color w:val="231F20"/>
          <w:spacing w:val="-7"/>
        </w:rPr>
        <w:t> </w:t>
      </w:r>
      <w:r>
        <w:rPr>
          <w:color w:val="231F20"/>
          <w:spacing w:val="-6"/>
        </w:rPr>
        <w:t>overinterpreting </w:t>
      </w:r>
      <w:r>
        <w:rPr>
          <w:color w:val="231F20"/>
          <w:w w:val="90"/>
        </w:rPr>
        <w:t>scores and rankings. The intention is to shift the focus to policy-relevant differences across coun- tries from survey-based scores and rankings that </w:t>
      </w:r>
      <w:r>
        <w:rPr>
          <w:color w:val="231F20"/>
          <w:spacing w:val="-4"/>
        </w:rPr>
        <w:t>can</w:t>
      </w:r>
      <w:r>
        <w:rPr>
          <w:color w:val="231F20"/>
          <w:spacing w:val="-7"/>
        </w:rPr>
        <w:t> </w:t>
      </w:r>
      <w:r>
        <w:rPr>
          <w:color w:val="231F20"/>
          <w:spacing w:val="-4"/>
        </w:rPr>
        <w:t>vary</w:t>
      </w:r>
      <w:r>
        <w:rPr>
          <w:color w:val="231F20"/>
          <w:spacing w:val="-7"/>
        </w:rPr>
        <w:t> </w:t>
      </w:r>
      <w:r>
        <w:rPr>
          <w:color w:val="231F20"/>
          <w:spacing w:val="-4"/>
        </w:rPr>
        <w:t>due</w:t>
      </w:r>
      <w:r>
        <w:rPr>
          <w:color w:val="231F20"/>
          <w:spacing w:val="-7"/>
        </w:rPr>
        <w:t> </w:t>
      </w:r>
      <w:r>
        <w:rPr>
          <w:color w:val="231F20"/>
          <w:spacing w:val="-4"/>
        </w:rPr>
        <w:t>in</w:t>
      </w:r>
      <w:r>
        <w:rPr>
          <w:color w:val="231F20"/>
          <w:spacing w:val="-7"/>
        </w:rPr>
        <w:t> </w:t>
      </w:r>
      <w:r>
        <w:rPr>
          <w:color w:val="231F20"/>
          <w:spacing w:val="-4"/>
        </w:rPr>
        <w:t>part</w:t>
      </w:r>
      <w:r>
        <w:rPr>
          <w:color w:val="231F20"/>
          <w:spacing w:val="-7"/>
        </w:rPr>
        <w:t> </w:t>
      </w:r>
      <w:r>
        <w:rPr>
          <w:color w:val="231F20"/>
          <w:spacing w:val="-4"/>
        </w:rPr>
        <w:t>to</w:t>
      </w:r>
      <w:r>
        <w:rPr>
          <w:color w:val="231F20"/>
          <w:spacing w:val="-7"/>
        </w:rPr>
        <w:t> </w:t>
      </w:r>
      <w:r>
        <w:rPr>
          <w:color w:val="231F20"/>
          <w:spacing w:val="-4"/>
        </w:rPr>
        <w:t>sampling</w:t>
      </w:r>
      <w:r>
        <w:rPr>
          <w:color w:val="231F20"/>
          <w:spacing w:val="-7"/>
        </w:rPr>
        <w:t> </w:t>
      </w:r>
      <w:r>
        <w:rPr>
          <w:color w:val="231F20"/>
          <w:spacing w:val="-4"/>
        </w:rPr>
        <w:t>and</w:t>
      </w:r>
      <w:r>
        <w:rPr>
          <w:color w:val="231F20"/>
          <w:spacing w:val="-7"/>
        </w:rPr>
        <w:t> </w:t>
      </w:r>
      <w:r>
        <w:rPr>
          <w:color w:val="231F20"/>
          <w:spacing w:val="-4"/>
        </w:rPr>
        <w:t>measure- </w:t>
      </w:r>
      <w:r>
        <w:rPr>
          <w:color w:val="231F20"/>
          <w:spacing w:val="-2"/>
        </w:rPr>
        <w:t>ment</w:t>
      </w:r>
      <w:r>
        <w:rPr>
          <w:color w:val="231F20"/>
          <w:spacing w:val="-12"/>
        </w:rPr>
        <w:t> </w:t>
      </w:r>
      <w:r>
        <w:rPr>
          <w:color w:val="231F20"/>
          <w:spacing w:val="-2"/>
        </w:rPr>
        <w:t>error</w:t>
      </w:r>
      <w:r>
        <w:rPr>
          <w:color w:val="231F20"/>
          <w:spacing w:val="-11"/>
        </w:rPr>
        <w:t> </w:t>
      </w:r>
      <w:r>
        <w:rPr>
          <w:color w:val="231F20"/>
          <w:spacing w:val="-2"/>
        </w:rPr>
        <w:t>and</w:t>
      </w:r>
      <w:r>
        <w:rPr>
          <w:color w:val="231F20"/>
          <w:spacing w:val="-11"/>
        </w:rPr>
        <w:t> </w:t>
      </w:r>
      <w:r>
        <w:rPr>
          <w:color w:val="231F20"/>
          <w:spacing w:val="-2"/>
        </w:rPr>
        <w:t>perhaps</w:t>
      </w:r>
      <w:r>
        <w:rPr>
          <w:color w:val="231F20"/>
          <w:spacing w:val="-11"/>
        </w:rPr>
        <w:t> </w:t>
      </w:r>
      <w:r>
        <w:rPr>
          <w:color w:val="231F20"/>
          <w:spacing w:val="-2"/>
        </w:rPr>
        <w:t>exceptional</w:t>
      </w:r>
      <w:r>
        <w:rPr>
          <w:color w:val="231F20"/>
          <w:spacing w:val="-11"/>
        </w:rPr>
        <w:t> </w:t>
      </w:r>
      <w:r>
        <w:rPr>
          <w:color w:val="231F20"/>
          <w:spacing w:val="-2"/>
        </w:rPr>
        <w:t>situations </w:t>
      </w:r>
      <w:r>
        <w:rPr>
          <w:color w:val="231F20"/>
        </w:rPr>
        <w:t>such as the COVID-19 pandemic.</w:t>
      </w:r>
    </w:p>
    <w:p>
      <w:pPr>
        <w:pStyle w:val="BodyText"/>
        <w:spacing w:line="268" w:lineRule="auto"/>
        <w:ind w:left="199" w:right="176" w:firstLine="300"/>
        <w:jc w:val="both"/>
      </w:pPr>
      <w:r>
        <w:rPr>
          <w:color w:val="231F20"/>
          <w:spacing w:val="-2"/>
        </w:rPr>
        <w:t>As</w:t>
      </w:r>
      <w:r>
        <w:rPr>
          <w:color w:val="231F20"/>
          <w:spacing w:val="-11"/>
        </w:rPr>
        <w:t> </w:t>
      </w:r>
      <w:r>
        <w:rPr>
          <w:color w:val="231F20"/>
          <w:spacing w:val="-2"/>
        </w:rPr>
        <w:t>before,</w:t>
      </w:r>
      <w:r>
        <w:rPr>
          <w:color w:val="231F20"/>
          <w:spacing w:val="-11"/>
        </w:rPr>
        <w:t> </w:t>
      </w:r>
      <w:r>
        <w:rPr>
          <w:color w:val="231F20"/>
          <w:spacing w:val="-2"/>
        </w:rPr>
        <w:t>the</w:t>
      </w:r>
      <w:r>
        <w:rPr>
          <w:color w:val="231F20"/>
          <w:spacing w:val="-11"/>
        </w:rPr>
        <w:t> </w:t>
      </w:r>
      <w:r>
        <w:rPr>
          <w:color w:val="231F20"/>
          <w:spacing w:val="-2"/>
        </w:rPr>
        <w:t>main</w:t>
      </w:r>
      <w:r>
        <w:rPr>
          <w:color w:val="231F20"/>
          <w:spacing w:val="-11"/>
        </w:rPr>
        <w:t> </w:t>
      </w:r>
      <w:r>
        <w:rPr>
          <w:color w:val="231F20"/>
          <w:spacing w:val="-2"/>
        </w:rPr>
        <w:t>caveat</w:t>
      </w:r>
      <w:r>
        <w:rPr>
          <w:color w:val="231F20"/>
          <w:spacing w:val="-11"/>
        </w:rPr>
        <w:t> </w:t>
      </w:r>
      <w:r>
        <w:rPr>
          <w:color w:val="231F20"/>
          <w:spacing w:val="-2"/>
        </w:rPr>
        <w:t>is</w:t>
      </w:r>
      <w:r>
        <w:rPr>
          <w:color w:val="231F20"/>
          <w:spacing w:val="-11"/>
        </w:rPr>
        <w:t> </w:t>
      </w:r>
      <w:r>
        <w:rPr>
          <w:color w:val="231F20"/>
          <w:spacing w:val="-2"/>
        </w:rPr>
        <w:t>that</w:t>
      </w:r>
      <w:r>
        <w:rPr>
          <w:color w:val="231F20"/>
          <w:spacing w:val="-11"/>
        </w:rPr>
        <w:t> </w:t>
      </w:r>
      <w:r>
        <w:rPr>
          <w:color w:val="231F20"/>
          <w:spacing w:val="-2"/>
        </w:rPr>
        <w:t>this</w:t>
      </w:r>
      <w:r>
        <w:rPr>
          <w:color w:val="231F20"/>
          <w:spacing w:val="-11"/>
        </w:rPr>
        <w:t> </w:t>
      </w:r>
      <w:r>
        <w:rPr>
          <w:color w:val="231F20"/>
          <w:spacing w:val="-2"/>
        </w:rPr>
        <w:t>part </w:t>
      </w:r>
      <w:r>
        <w:rPr>
          <w:color w:val="231F20"/>
          <w:w w:val="90"/>
        </w:rPr>
        <w:t>of</w:t>
      </w:r>
      <w:r>
        <w:rPr>
          <w:color w:val="231F20"/>
          <w:spacing w:val="-6"/>
          <w:w w:val="90"/>
        </w:rPr>
        <w:t> </w:t>
      </w:r>
      <w:r>
        <w:rPr>
          <w:color w:val="231F20"/>
          <w:w w:val="90"/>
        </w:rPr>
        <w:t>the</w:t>
      </w:r>
      <w:r>
        <w:rPr>
          <w:color w:val="231F20"/>
          <w:spacing w:val="-6"/>
          <w:w w:val="90"/>
        </w:rPr>
        <w:t> </w:t>
      </w:r>
      <w:r>
        <w:rPr>
          <w:color w:val="231F20"/>
          <w:w w:val="90"/>
        </w:rPr>
        <w:t>LPI</w:t>
      </w:r>
      <w:r>
        <w:rPr>
          <w:color w:val="231F20"/>
          <w:spacing w:val="-6"/>
          <w:w w:val="90"/>
        </w:rPr>
        <w:t> </w:t>
      </w:r>
      <w:r>
        <w:rPr>
          <w:color w:val="231F20"/>
          <w:w w:val="90"/>
        </w:rPr>
        <w:t>is</w:t>
      </w:r>
      <w:r>
        <w:rPr>
          <w:color w:val="231F20"/>
          <w:spacing w:val="-6"/>
          <w:w w:val="90"/>
        </w:rPr>
        <w:t> </w:t>
      </w:r>
      <w:r>
        <w:rPr>
          <w:color w:val="231F20"/>
          <w:w w:val="90"/>
        </w:rPr>
        <w:t>based</w:t>
      </w:r>
      <w:r>
        <w:rPr>
          <w:color w:val="231F20"/>
          <w:spacing w:val="-6"/>
          <w:w w:val="90"/>
        </w:rPr>
        <w:t> </w:t>
      </w:r>
      <w:r>
        <w:rPr>
          <w:color w:val="231F20"/>
          <w:w w:val="90"/>
        </w:rPr>
        <w:t>on</w:t>
      </w:r>
      <w:r>
        <w:rPr>
          <w:color w:val="231F20"/>
          <w:spacing w:val="-6"/>
          <w:w w:val="90"/>
        </w:rPr>
        <w:t> </w:t>
      </w:r>
      <w:r>
        <w:rPr>
          <w:color w:val="231F20"/>
          <w:w w:val="90"/>
        </w:rPr>
        <w:t>a</w:t>
      </w:r>
      <w:r>
        <w:rPr>
          <w:color w:val="231F20"/>
          <w:spacing w:val="-6"/>
          <w:w w:val="90"/>
        </w:rPr>
        <w:t> </w:t>
      </w:r>
      <w:r>
        <w:rPr>
          <w:color w:val="231F20"/>
          <w:w w:val="90"/>
        </w:rPr>
        <w:t>survey.</w:t>
      </w:r>
      <w:r>
        <w:rPr>
          <w:color w:val="231F20"/>
          <w:spacing w:val="-6"/>
          <w:w w:val="90"/>
        </w:rPr>
        <w:t> </w:t>
      </w:r>
      <w:r>
        <w:rPr>
          <w:color w:val="231F20"/>
          <w:w w:val="90"/>
        </w:rPr>
        <w:t>So,</w:t>
      </w:r>
      <w:r>
        <w:rPr>
          <w:color w:val="231F20"/>
          <w:spacing w:val="-6"/>
          <w:w w:val="90"/>
        </w:rPr>
        <w:t> </w:t>
      </w:r>
      <w:r>
        <w:rPr>
          <w:color w:val="231F20"/>
          <w:w w:val="90"/>
        </w:rPr>
        <w:t>country-level </w:t>
      </w:r>
      <w:r>
        <w:rPr>
          <w:color w:val="231F20"/>
        </w:rPr>
        <w:t>outcomes</w:t>
      </w:r>
      <w:r>
        <w:rPr>
          <w:color w:val="231F20"/>
          <w:spacing w:val="-12"/>
        </w:rPr>
        <w:t> </w:t>
      </w:r>
      <w:r>
        <w:rPr>
          <w:color w:val="231F20"/>
        </w:rPr>
        <w:t>can</w:t>
      </w:r>
      <w:r>
        <w:rPr>
          <w:color w:val="231F20"/>
          <w:spacing w:val="-12"/>
        </w:rPr>
        <w:t> </w:t>
      </w:r>
      <w:r>
        <w:rPr>
          <w:color w:val="231F20"/>
        </w:rPr>
        <w:t>be</w:t>
      </w:r>
      <w:r>
        <w:rPr>
          <w:color w:val="231F20"/>
          <w:spacing w:val="-12"/>
        </w:rPr>
        <w:t> </w:t>
      </w:r>
      <w:r>
        <w:rPr>
          <w:color w:val="231F20"/>
        </w:rPr>
        <w:t>affected</w:t>
      </w:r>
      <w:r>
        <w:rPr>
          <w:color w:val="231F20"/>
          <w:spacing w:val="-12"/>
        </w:rPr>
        <w:t> </w:t>
      </w:r>
      <w:r>
        <w:rPr>
          <w:color w:val="231F20"/>
        </w:rPr>
        <w:t>by</w:t>
      </w:r>
      <w:r>
        <w:rPr>
          <w:color w:val="231F20"/>
          <w:spacing w:val="-12"/>
        </w:rPr>
        <w:t> </w:t>
      </w:r>
      <w:r>
        <w:rPr>
          <w:color w:val="231F20"/>
        </w:rPr>
        <w:t>low</w:t>
      </w:r>
      <w:r>
        <w:rPr>
          <w:color w:val="231F20"/>
          <w:spacing w:val="-12"/>
        </w:rPr>
        <w:t> </w:t>
      </w:r>
      <w:r>
        <w:rPr>
          <w:color w:val="231F20"/>
        </w:rPr>
        <w:t>numbers</w:t>
      </w:r>
      <w:r>
        <w:rPr>
          <w:color w:val="231F20"/>
          <w:spacing w:val="-12"/>
        </w:rPr>
        <w:t> </w:t>
      </w:r>
      <w:r>
        <w:rPr>
          <w:color w:val="231F20"/>
        </w:rPr>
        <w:t>of </w:t>
      </w:r>
      <w:r>
        <w:rPr>
          <w:color w:val="231F20"/>
          <w:spacing w:val="-2"/>
        </w:rPr>
        <w:t>respondents,</w:t>
      </w:r>
      <w:r>
        <w:rPr>
          <w:color w:val="231F20"/>
          <w:spacing w:val="-12"/>
        </w:rPr>
        <w:t> </w:t>
      </w:r>
      <w:r>
        <w:rPr>
          <w:color w:val="231F20"/>
          <w:spacing w:val="-2"/>
        </w:rPr>
        <w:t>which</w:t>
      </w:r>
      <w:r>
        <w:rPr>
          <w:color w:val="231F20"/>
          <w:spacing w:val="-11"/>
        </w:rPr>
        <w:t> </w:t>
      </w:r>
      <w:r>
        <w:rPr>
          <w:color w:val="231F20"/>
          <w:spacing w:val="-2"/>
        </w:rPr>
        <w:t>is</w:t>
      </w:r>
      <w:r>
        <w:rPr>
          <w:color w:val="231F20"/>
          <w:spacing w:val="-11"/>
        </w:rPr>
        <w:t> </w:t>
      </w:r>
      <w:r>
        <w:rPr>
          <w:color w:val="231F20"/>
          <w:spacing w:val="-2"/>
        </w:rPr>
        <w:t>the</w:t>
      </w:r>
      <w:r>
        <w:rPr>
          <w:color w:val="231F20"/>
          <w:spacing w:val="-11"/>
        </w:rPr>
        <w:t> </w:t>
      </w:r>
      <w:r>
        <w:rPr>
          <w:color w:val="231F20"/>
          <w:spacing w:val="-2"/>
        </w:rPr>
        <w:t>case</w:t>
      </w:r>
      <w:r>
        <w:rPr>
          <w:color w:val="231F20"/>
          <w:spacing w:val="-11"/>
        </w:rPr>
        <w:t> </w:t>
      </w:r>
      <w:r>
        <w:rPr>
          <w:color w:val="231F20"/>
          <w:spacing w:val="-2"/>
        </w:rPr>
        <w:t>for</w:t>
      </w:r>
      <w:r>
        <w:rPr>
          <w:color w:val="231F20"/>
          <w:spacing w:val="-11"/>
        </w:rPr>
        <w:t> </w:t>
      </w:r>
      <w:r>
        <w:rPr>
          <w:color w:val="231F20"/>
          <w:spacing w:val="-2"/>
        </w:rPr>
        <w:t>some</w:t>
      </w:r>
      <w:r>
        <w:rPr>
          <w:color w:val="231F20"/>
          <w:spacing w:val="-11"/>
        </w:rPr>
        <w:t> </w:t>
      </w:r>
      <w:r>
        <w:rPr>
          <w:color w:val="231F20"/>
          <w:spacing w:val="-2"/>
        </w:rPr>
        <w:t>small </w:t>
      </w:r>
      <w:r>
        <w:rPr>
          <w:color w:val="231F20"/>
        </w:rPr>
        <w:t>and</w:t>
      </w:r>
      <w:r>
        <w:rPr>
          <w:color w:val="231F20"/>
          <w:spacing w:val="-3"/>
        </w:rPr>
        <w:t> </w:t>
      </w:r>
      <w:r>
        <w:rPr>
          <w:color w:val="231F20"/>
        </w:rPr>
        <w:t>low-income</w:t>
      </w:r>
      <w:r>
        <w:rPr>
          <w:color w:val="231F20"/>
          <w:spacing w:val="-3"/>
        </w:rPr>
        <w:t> </w:t>
      </w:r>
      <w:r>
        <w:rPr>
          <w:color w:val="231F20"/>
        </w:rPr>
        <w:t>countries.</w:t>
      </w:r>
      <w:r>
        <w:rPr>
          <w:color w:val="231F20"/>
          <w:spacing w:val="-3"/>
        </w:rPr>
        <w:t> </w:t>
      </w:r>
      <w:r>
        <w:rPr>
          <w:color w:val="231F20"/>
        </w:rPr>
        <w:t>Efforts</w:t>
      </w:r>
      <w:r>
        <w:rPr>
          <w:color w:val="231F20"/>
          <w:spacing w:val="-3"/>
        </w:rPr>
        <w:t> </w:t>
      </w:r>
      <w:r>
        <w:rPr>
          <w:color w:val="231F20"/>
        </w:rPr>
        <w:t>to</w:t>
      </w:r>
      <w:r>
        <w:rPr>
          <w:color w:val="231F20"/>
          <w:spacing w:val="-3"/>
        </w:rPr>
        <w:t> </w:t>
      </w:r>
      <w:r>
        <w:rPr>
          <w:color w:val="231F20"/>
        </w:rPr>
        <w:t>collect </w:t>
      </w:r>
      <w:r>
        <w:rPr>
          <w:color w:val="231F20"/>
          <w:spacing w:val="-4"/>
        </w:rPr>
        <w:t>the</w:t>
      </w:r>
      <w:r>
        <w:rPr>
          <w:color w:val="231F20"/>
          <w:spacing w:val="-6"/>
        </w:rPr>
        <w:t> </w:t>
      </w:r>
      <w:r>
        <w:rPr>
          <w:color w:val="231F20"/>
          <w:spacing w:val="-4"/>
        </w:rPr>
        <w:t>maximum</w:t>
      </w:r>
      <w:r>
        <w:rPr>
          <w:color w:val="231F20"/>
          <w:spacing w:val="-6"/>
        </w:rPr>
        <w:t> </w:t>
      </w:r>
      <w:r>
        <w:rPr>
          <w:color w:val="231F20"/>
          <w:spacing w:val="-4"/>
        </w:rPr>
        <w:t>amount</w:t>
      </w:r>
      <w:r>
        <w:rPr>
          <w:color w:val="231F20"/>
          <w:spacing w:val="-6"/>
        </w:rPr>
        <w:t> </w:t>
      </w:r>
      <w:r>
        <w:rPr>
          <w:color w:val="231F20"/>
          <w:spacing w:val="-4"/>
        </w:rPr>
        <w:t>of</w:t>
      </w:r>
      <w:r>
        <w:rPr>
          <w:color w:val="231F20"/>
          <w:spacing w:val="-6"/>
        </w:rPr>
        <w:t> </w:t>
      </w:r>
      <w:r>
        <w:rPr>
          <w:color w:val="231F20"/>
          <w:spacing w:val="-4"/>
        </w:rPr>
        <w:t>information</w:t>
      </w:r>
      <w:r>
        <w:rPr>
          <w:color w:val="231F20"/>
          <w:spacing w:val="-6"/>
        </w:rPr>
        <w:t> </w:t>
      </w:r>
      <w:r>
        <w:rPr>
          <w:color w:val="231F20"/>
          <w:spacing w:val="-4"/>
        </w:rPr>
        <w:t>on</w:t>
      </w:r>
      <w:r>
        <w:rPr>
          <w:color w:val="231F20"/>
          <w:spacing w:val="-6"/>
        </w:rPr>
        <w:t> </w:t>
      </w:r>
      <w:r>
        <w:rPr>
          <w:color w:val="231F20"/>
          <w:spacing w:val="-4"/>
        </w:rPr>
        <w:t>these countries</w:t>
      </w:r>
      <w:r>
        <w:rPr>
          <w:color w:val="231F20"/>
          <w:spacing w:val="-9"/>
        </w:rPr>
        <w:t> </w:t>
      </w:r>
      <w:r>
        <w:rPr>
          <w:color w:val="231F20"/>
          <w:spacing w:val="-4"/>
        </w:rPr>
        <w:t>do</w:t>
      </w:r>
      <w:r>
        <w:rPr>
          <w:color w:val="231F20"/>
          <w:spacing w:val="-9"/>
        </w:rPr>
        <w:t> </w:t>
      </w:r>
      <w:r>
        <w:rPr>
          <w:color w:val="231F20"/>
          <w:spacing w:val="-4"/>
        </w:rPr>
        <w:t>not</w:t>
      </w:r>
      <w:r>
        <w:rPr>
          <w:color w:val="231F20"/>
          <w:spacing w:val="-9"/>
        </w:rPr>
        <w:t> </w:t>
      </w:r>
      <w:r>
        <w:rPr>
          <w:color w:val="231F20"/>
          <w:spacing w:val="-4"/>
        </w:rPr>
        <w:t>always</w:t>
      </w:r>
      <w:r>
        <w:rPr>
          <w:color w:val="231F20"/>
          <w:spacing w:val="-9"/>
        </w:rPr>
        <w:t> </w:t>
      </w:r>
      <w:r>
        <w:rPr>
          <w:color w:val="231F20"/>
          <w:spacing w:val="-4"/>
        </w:rPr>
        <w:t>pay</w:t>
      </w:r>
      <w:r>
        <w:rPr>
          <w:color w:val="231F20"/>
          <w:spacing w:val="-9"/>
        </w:rPr>
        <w:t> </w:t>
      </w:r>
      <w:r>
        <w:rPr>
          <w:color w:val="231F20"/>
          <w:spacing w:val="-4"/>
        </w:rPr>
        <w:t>off.</w:t>
      </w:r>
      <w:r>
        <w:rPr>
          <w:color w:val="231F20"/>
          <w:spacing w:val="-9"/>
        </w:rPr>
        <w:t> </w:t>
      </w:r>
      <w:r>
        <w:rPr>
          <w:color w:val="231F20"/>
          <w:spacing w:val="-4"/>
        </w:rPr>
        <w:t>This</w:t>
      </w:r>
      <w:r>
        <w:rPr>
          <w:color w:val="231F20"/>
          <w:spacing w:val="-9"/>
        </w:rPr>
        <w:t> </w:t>
      </w:r>
      <w:r>
        <w:rPr>
          <w:color w:val="231F20"/>
          <w:spacing w:val="-4"/>
        </w:rPr>
        <w:t>dynamic </w:t>
      </w:r>
      <w:r>
        <w:rPr>
          <w:color w:val="231F20"/>
        </w:rPr>
        <w:t>is</w:t>
      </w:r>
      <w:r>
        <w:rPr>
          <w:color w:val="231F20"/>
          <w:spacing w:val="-5"/>
        </w:rPr>
        <w:t> </w:t>
      </w:r>
      <w:r>
        <w:rPr>
          <w:color w:val="231F20"/>
        </w:rPr>
        <w:t>an</w:t>
      </w:r>
      <w:r>
        <w:rPr>
          <w:color w:val="231F20"/>
          <w:spacing w:val="-5"/>
        </w:rPr>
        <w:t> </w:t>
      </w:r>
      <w:r>
        <w:rPr>
          <w:color w:val="231F20"/>
        </w:rPr>
        <w:t>additional</w:t>
      </w:r>
      <w:r>
        <w:rPr>
          <w:color w:val="231F20"/>
          <w:spacing w:val="-5"/>
        </w:rPr>
        <w:t> </w:t>
      </w:r>
      <w:r>
        <w:rPr>
          <w:color w:val="231F20"/>
        </w:rPr>
        <w:t>reason</w:t>
      </w:r>
      <w:r>
        <w:rPr>
          <w:color w:val="231F20"/>
          <w:spacing w:val="-5"/>
        </w:rPr>
        <w:t> </w:t>
      </w:r>
      <w:r>
        <w:rPr>
          <w:color w:val="231F20"/>
        </w:rPr>
        <w:t>for</w:t>
      </w:r>
      <w:r>
        <w:rPr>
          <w:color w:val="231F20"/>
          <w:spacing w:val="-5"/>
        </w:rPr>
        <w:t> </w:t>
      </w:r>
      <w:r>
        <w:rPr>
          <w:color w:val="231F20"/>
        </w:rPr>
        <w:t>presenting</w:t>
      </w:r>
      <w:r>
        <w:rPr>
          <w:color w:val="231F20"/>
          <w:spacing w:val="-5"/>
        </w:rPr>
        <w:t> </w:t>
      </w:r>
      <w:r>
        <w:rPr>
          <w:color w:val="231F20"/>
        </w:rPr>
        <w:t>results </w:t>
      </w:r>
      <w:r>
        <w:rPr>
          <w:color w:val="231F20"/>
          <w:spacing w:val="-2"/>
        </w:rPr>
        <w:t>by</w:t>
      </w:r>
      <w:r>
        <w:rPr>
          <w:color w:val="231F20"/>
          <w:spacing w:val="-8"/>
        </w:rPr>
        <w:t> </w:t>
      </w:r>
      <w:r>
        <w:rPr>
          <w:color w:val="231F20"/>
          <w:spacing w:val="-2"/>
        </w:rPr>
        <w:t>country</w:t>
      </w:r>
      <w:r>
        <w:rPr>
          <w:color w:val="231F20"/>
          <w:spacing w:val="-8"/>
        </w:rPr>
        <w:t> </w:t>
      </w:r>
      <w:r>
        <w:rPr>
          <w:color w:val="231F20"/>
          <w:spacing w:val="-2"/>
        </w:rPr>
        <w:t>group</w:t>
      </w:r>
      <w:r>
        <w:rPr>
          <w:color w:val="231F20"/>
          <w:spacing w:val="-8"/>
        </w:rPr>
        <w:t> </w:t>
      </w:r>
      <w:r>
        <w:rPr>
          <w:color w:val="231F20"/>
          <w:spacing w:val="-2"/>
        </w:rPr>
        <w:t>rather</w:t>
      </w:r>
      <w:r>
        <w:rPr>
          <w:color w:val="231F20"/>
          <w:spacing w:val="-8"/>
        </w:rPr>
        <w:t> </w:t>
      </w:r>
      <w:r>
        <w:rPr>
          <w:color w:val="231F20"/>
          <w:spacing w:val="-2"/>
        </w:rPr>
        <w:t>than</w:t>
      </w:r>
      <w:r>
        <w:rPr>
          <w:color w:val="231F20"/>
          <w:spacing w:val="-8"/>
        </w:rPr>
        <w:t> </w:t>
      </w:r>
      <w:r>
        <w:rPr>
          <w:color w:val="231F20"/>
          <w:spacing w:val="-2"/>
        </w:rPr>
        <w:t>individually.</w:t>
      </w:r>
      <w:r>
        <w:rPr>
          <w:color w:val="231F20"/>
          <w:spacing w:val="-8"/>
        </w:rPr>
        <w:t> </w:t>
      </w:r>
      <w:r>
        <w:rPr>
          <w:color w:val="231F20"/>
          <w:spacing w:val="-2"/>
        </w:rPr>
        <w:t>As </w:t>
      </w:r>
      <w:r>
        <w:rPr>
          <w:color w:val="231F20"/>
          <w:spacing w:val="-6"/>
        </w:rPr>
        <w:t>a</w:t>
      </w:r>
      <w:r>
        <w:rPr>
          <w:color w:val="231F20"/>
          <w:spacing w:val="-7"/>
        </w:rPr>
        <w:t> </w:t>
      </w:r>
      <w:r>
        <w:rPr>
          <w:color w:val="231F20"/>
          <w:spacing w:val="-6"/>
        </w:rPr>
        <w:t>perception-based</w:t>
      </w:r>
      <w:r>
        <w:rPr>
          <w:color w:val="231F20"/>
          <w:spacing w:val="-7"/>
        </w:rPr>
        <w:t> </w:t>
      </w:r>
      <w:r>
        <w:rPr>
          <w:color w:val="231F20"/>
          <w:spacing w:val="-6"/>
        </w:rPr>
        <w:t>indicator,</w:t>
      </w:r>
      <w:r>
        <w:rPr>
          <w:color w:val="231F20"/>
          <w:spacing w:val="-7"/>
        </w:rPr>
        <w:t> </w:t>
      </w:r>
      <w:r>
        <w:rPr>
          <w:color w:val="231F20"/>
          <w:spacing w:val="-6"/>
        </w:rPr>
        <w:t>the</w:t>
      </w:r>
      <w:r>
        <w:rPr>
          <w:color w:val="231F20"/>
          <w:spacing w:val="-7"/>
        </w:rPr>
        <w:t> </w:t>
      </w:r>
      <w:r>
        <w:rPr>
          <w:color w:val="231F20"/>
          <w:spacing w:val="-6"/>
        </w:rPr>
        <w:t>LPI</w:t>
      </w:r>
      <w:r>
        <w:rPr>
          <w:color w:val="231F20"/>
          <w:spacing w:val="-7"/>
        </w:rPr>
        <w:t> </w:t>
      </w:r>
      <w:r>
        <w:rPr>
          <w:color w:val="231F20"/>
          <w:spacing w:val="-6"/>
        </w:rPr>
        <w:t>might</w:t>
      </w:r>
      <w:r>
        <w:rPr>
          <w:color w:val="231F20"/>
          <w:spacing w:val="-7"/>
        </w:rPr>
        <w:t> </w:t>
      </w:r>
      <w:r>
        <w:rPr>
          <w:color w:val="231F20"/>
          <w:spacing w:val="-6"/>
        </w:rPr>
        <w:t>ex- </w:t>
      </w:r>
      <w:r>
        <w:rPr>
          <w:color w:val="231F20"/>
          <w:spacing w:val="-4"/>
        </w:rPr>
        <w:t>hibit differences from county-level indicators. </w:t>
      </w:r>
      <w:r>
        <w:rPr>
          <w:color w:val="231F20"/>
          <w:spacing w:val="-2"/>
        </w:rPr>
        <w:t>Likewise,</w:t>
      </w:r>
      <w:r>
        <w:rPr>
          <w:color w:val="231F20"/>
          <w:spacing w:val="-8"/>
        </w:rPr>
        <w:t> </w:t>
      </w:r>
      <w:r>
        <w:rPr>
          <w:color w:val="231F20"/>
          <w:spacing w:val="-2"/>
        </w:rPr>
        <w:t>the</w:t>
      </w:r>
      <w:r>
        <w:rPr>
          <w:color w:val="231F20"/>
          <w:spacing w:val="-8"/>
        </w:rPr>
        <w:t> </w:t>
      </w:r>
      <w:r>
        <w:rPr>
          <w:color w:val="231F20"/>
          <w:spacing w:val="-2"/>
        </w:rPr>
        <w:t>LPI</w:t>
      </w:r>
      <w:r>
        <w:rPr>
          <w:color w:val="231F20"/>
          <w:spacing w:val="-8"/>
        </w:rPr>
        <w:t> </w:t>
      </w:r>
      <w:r>
        <w:rPr>
          <w:color w:val="231F20"/>
          <w:spacing w:val="-2"/>
        </w:rPr>
        <w:t>does</w:t>
      </w:r>
      <w:r>
        <w:rPr>
          <w:color w:val="231F20"/>
          <w:spacing w:val="-8"/>
        </w:rPr>
        <w:t> </w:t>
      </w:r>
      <w:r>
        <w:rPr>
          <w:color w:val="231F20"/>
          <w:spacing w:val="-2"/>
        </w:rPr>
        <w:t>not</w:t>
      </w:r>
      <w:r>
        <w:rPr>
          <w:color w:val="231F20"/>
          <w:spacing w:val="-8"/>
        </w:rPr>
        <w:t> </w:t>
      </w:r>
      <w:r>
        <w:rPr>
          <w:color w:val="231F20"/>
          <w:spacing w:val="-2"/>
        </w:rPr>
        <w:t>measure</w:t>
      </w:r>
      <w:r>
        <w:rPr>
          <w:color w:val="231F20"/>
          <w:spacing w:val="-8"/>
        </w:rPr>
        <w:t> </w:t>
      </w:r>
      <w:r>
        <w:rPr>
          <w:color w:val="231F20"/>
          <w:spacing w:val="-2"/>
        </w:rPr>
        <w:t>reforms.</w:t>
      </w:r>
    </w:p>
    <w:p>
      <w:pPr>
        <w:pStyle w:val="BodyText"/>
        <w:spacing w:before="23"/>
      </w:pPr>
    </w:p>
    <w:p>
      <w:pPr>
        <w:spacing w:before="0"/>
        <w:ind w:left="199" w:right="0" w:firstLine="0"/>
        <w:jc w:val="both"/>
        <w:rPr>
          <w:rFonts w:ascii="Arial"/>
          <w:b/>
          <w:sz w:val="20"/>
        </w:rPr>
      </w:pPr>
      <w:r>
        <w:rPr>
          <w:rFonts w:ascii="Arial"/>
          <w:b/>
          <w:color w:val="231F20"/>
          <w:w w:val="105"/>
          <w:sz w:val="20"/>
        </w:rPr>
        <w:t>Features</w:t>
      </w:r>
      <w:r>
        <w:rPr>
          <w:rFonts w:ascii="Arial"/>
          <w:b/>
          <w:color w:val="231F20"/>
          <w:spacing w:val="19"/>
          <w:w w:val="105"/>
          <w:sz w:val="20"/>
        </w:rPr>
        <w:t> </w:t>
      </w:r>
      <w:r>
        <w:rPr>
          <w:rFonts w:ascii="Arial"/>
          <w:b/>
          <w:color w:val="231F20"/>
          <w:w w:val="105"/>
          <w:sz w:val="20"/>
        </w:rPr>
        <w:t>of</w:t>
      </w:r>
      <w:r>
        <w:rPr>
          <w:rFonts w:ascii="Arial"/>
          <w:b/>
          <w:color w:val="231F20"/>
          <w:spacing w:val="20"/>
          <w:w w:val="105"/>
          <w:sz w:val="20"/>
        </w:rPr>
        <w:t> </w:t>
      </w:r>
      <w:r>
        <w:rPr>
          <w:rFonts w:ascii="Arial"/>
          <w:b/>
          <w:color w:val="231F20"/>
          <w:w w:val="105"/>
          <w:sz w:val="20"/>
        </w:rPr>
        <w:t>the</w:t>
      </w:r>
      <w:r>
        <w:rPr>
          <w:rFonts w:ascii="Arial"/>
          <w:b/>
          <w:color w:val="231F20"/>
          <w:spacing w:val="20"/>
          <w:w w:val="105"/>
          <w:sz w:val="20"/>
        </w:rPr>
        <w:t> </w:t>
      </w:r>
      <w:r>
        <w:rPr>
          <w:rFonts w:ascii="Arial"/>
          <w:b/>
          <w:color w:val="231F20"/>
          <w:w w:val="105"/>
          <w:sz w:val="20"/>
        </w:rPr>
        <w:t>2023</w:t>
      </w:r>
      <w:r>
        <w:rPr>
          <w:rFonts w:ascii="Arial"/>
          <w:b/>
          <w:color w:val="231F20"/>
          <w:spacing w:val="19"/>
          <w:w w:val="105"/>
          <w:sz w:val="20"/>
        </w:rPr>
        <w:t> </w:t>
      </w:r>
      <w:r>
        <w:rPr>
          <w:rFonts w:ascii="Arial"/>
          <w:b/>
          <w:color w:val="231F20"/>
          <w:spacing w:val="-2"/>
          <w:w w:val="105"/>
          <w:sz w:val="20"/>
        </w:rPr>
        <w:t>survey</w:t>
      </w:r>
    </w:p>
    <w:p>
      <w:pPr>
        <w:pStyle w:val="BodyText"/>
        <w:spacing w:before="71"/>
        <w:rPr>
          <w:rFonts w:ascii="Arial"/>
          <w:b/>
          <w:sz w:val="20"/>
        </w:rPr>
      </w:pPr>
    </w:p>
    <w:p>
      <w:pPr>
        <w:pStyle w:val="BodyText"/>
        <w:spacing w:line="268" w:lineRule="auto" w:before="1"/>
        <w:ind w:left="199" w:right="177"/>
        <w:jc w:val="both"/>
      </w:pPr>
      <w:r>
        <w:rPr>
          <w:color w:val="231F20"/>
        </w:rPr>
        <w:t>The 2023 LPI survey employed broadly the </w:t>
      </w:r>
      <w:r>
        <w:rPr>
          <w:color w:val="231F20"/>
          <w:spacing w:val="-6"/>
        </w:rPr>
        <w:t>same</w:t>
      </w:r>
      <w:r>
        <w:rPr>
          <w:color w:val="231F20"/>
          <w:spacing w:val="-8"/>
        </w:rPr>
        <w:t> </w:t>
      </w:r>
      <w:r>
        <w:rPr>
          <w:color w:val="231F20"/>
          <w:spacing w:val="-6"/>
        </w:rPr>
        <w:t>methodology</w:t>
      </w:r>
      <w:r>
        <w:rPr>
          <w:color w:val="231F20"/>
          <w:spacing w:val="-7"/>
        </w:rPr>
        <w:t> </w:t>
      </w:r>
      <w:r>
        <w:rPr>
          <w:color w:val="231F20"/>
          <w:spacing w:val="-6"/>
        </w:rPr>
        <w:t>as</w:t>
      </w:r>
      <w:r>
        <w:rPr>
          <w:color w:val="231F20"/>
          <w:spacing w:val="-7"/>
        </w:rPr>
        <w:t> </w:t>
      </w:r>
      <w:r>
        <w:rPr>
          <w:color w:val="231F20"/>
          <w:spacing w:val="-6"/>
        </w:rPr>
        <w:t>the</w:t>
      </w:r>
      <w:r>
        <w:rPr>
          <w:color w:val="231F20"/>
          <w:spacing w:val="-7"/>
        </w:rPr>
        <w:t> </w:t>
      </w:r>
      <w:r>
        <w:rPr>
          <w:color w:val="231F20"/>
          <w:spacing w:val="-6"/>
        </w:rPr>
        <w:t>previous</w:t>
      </w:r>
      <w:r>
        <w:rPr>
          <w:color w:val="231F20"/>
          <w:spacing w:val="-7"/>
        </w:rPr>
        <w:t> </w:t>
      </w:r>
      <w:r>
        <w:rPr>
          <w:color w:val="231F20"/>
          <w:spacing w:val="-6"/>
        </w:rPr>
        <w:t>six</w:t>
      </w:r>
      <w:r>
        <w:rPr>
          <w:color w:val="231F20"/>
          <w:spacing w:val="-7"/>
        </w:rPr>
        <w:t> </w:t>
      </w:r>
      <w:r>
        <w:rPr>
          <w:color w:val="231F20"/>
          <w:spacing w:val="-6"/>
        </w:rPr>
        <w:t>editions</w:t>
      </w:r>
      <w:r>
        <w:rPr>
          <w:i/>
          <w:color w:val="231F20"/>
          <w:spacing w:val="-6"/>
        </w:rPr>
        <w:t>, </w:t>
      </w:r>
      <w:r>
        <w:rPr>
          <w:color w:val="231F20"/>
          <w:spacing w:val="-6"/>
        </w:rPr>
        <w:t>though</w:t>
      </w:r>
      <w:r>
        <w:rPr>
          <w:color w:val="231F20"/>
          <w:spacing w:val="-8"/>
        </w:rPr>
        <w:t> </w:t>
      </w:r>
      <w:r>
        <w:rPr>
          <w:color w:val="231F20"/>
          <w:spacing w:val="-6"/>
        </w:rPr>
        <w:t>with</w:t>
      </w:r>
      <w:r>
        <w:rPr>
          <w:color w:val="231F20"/>
          <w:spacing w:val="-7"/>
        </w:rPr>
        <w:t> </w:t>
      </w:r>
      <w:r>
        <w:rPr>
          <w:color w:val="231F20"/>
          <w:spacing w:val="-6"/>
        </w:rPr>
        <w:t>a</w:t>
      </w:r>
      <w:r>
        <w:rPr>
          <w:color w:val="231F20"/>
          <w:spacing w:val="-7"/>
        </w:rPr>
        <w:t> </w:t>
      </w:r>
      <w:r>
        <w:rPr>
          <w:color w:val="231F20"/>
          <w:spacing w:val="-6"/>
        </w:rPr>
        <w:t>simplified</w:t>
      </w:r>
      <w:r>
        <w:rPr>
          <w:color w:val="231F20"/>
          <w:spacing w:val="-7"/>
        </w:rPr>
        <w:t> </w:t>
      </w:r>
      <w:r>
        <w:rPr>
          <w:color w:val="231F20"/>
          <w:spacing w:val="-6"/>
        </w:rPr>
        <w:t>approach</w:t>
      </w:r>
      <w:r>
        <w:rPr>
          <w:color w:val="231F20"/>
          <w:spacing w:val="-7"/>
        </w:rPr>
        <w:t> </w:t>
      </w:r>
      <w:r>
        <w:rPr>
          <w:color w:val="231F20"/>
          <w:spacing w:val="-6"/>
        </w:rPr>
        <w:t>for</w:t>
      </w:r>
      <w:r>
        <w:rPr>
          <w:color w:val="231F20"/>
          <w:spacing w:val="-7"/>
        </w:rPr>
        <w:t> </w:t>
      </w:r>
      <w:r>
        <w:rPr>
          <w:color w:val="231F20"/>
          <w:spacing w:val="-6"/>
        </w:rPr>
        <w:t>the</w:t>
      </w:r>
      <w:r>
        <w:rPr>
          <w:color w:val="231F20"/>
          <w:spacing w:val="-7"/>
        </w:rPr>
        <w:t> </w:t>
      </w:r>
      <w:r>
        <w:rPr>
          <w:color w:val="231F20"/>
          <w:spacing w:val="-6"/>
        </w:rPr>
        <w:t>ques- </w:t>
      </w:r>
      <w:r>
        <w:rPr>
          <w:color w:val="231F20"/>
        </w:rPr>
        <w:t>tionnaire. Until 2018, the questionnaire had two</w:t>
      </w:r>
      <w:r>
        <w:rPr>
          <w:color w:val="231F20"/>
          <w:spacing w:val="-4"/>
        </w:rPr>
        <w:t> </w:t>
      </w:r>
      <w:r>
        <w:rPr>
          <w:color w:val="231F20"/>
        </w:rPr>
        <w:t>parts:</w:t>
      </w:r>
      <w:r>
        <w:rPr>
          <w:color w:val="231F20"/>
          <w:spacing w:val="-4"/>
        </w:rPr>
        <w:t> </w:t>
      </w:r>
      <w:r>
        <w:rPr>
          <w:color w:val="231F20"/>
        </w:rPr>
        <w:t>international</w:t>
      </w:r>
      <w:r>
        <w:rPr>
          <w:color w:val="231F20"/>
          <w:spacing w:val="-4"/>
        </w:rPr>
        <w:t> </w:t>
      </w:r>
      <w:r>
        <w:rPr>
          <w:color w:val="231F20"/>
        </w:rPr>
        <w:t>and</w:t>
      </w:r>
      <w:r>
        <w:rPr>
          <w:color w:val="231F20"/>
          <w:spacing w:val="-4"/>
        </w:rPr>
        <w:t> </w:t>
      </w:r>
      <w:r>
        <w:rPr>
          <w:color w:val="231F20"/>
        </w:rPr>
        <w:t>domestic.</w:t>
      </w:r>
      <w:r>
        <w:rPr>
          <w:color w:val="231F20"/>
          <w:spacing w:val="-4"/>
        </w:rPr>
        <w:t> </w:t>
      </w:r>
      <w:r>
        <w:rPr>
          <w:color w:val="231F20"/>
        </w:rPr>
        <w:t>In</w:t>
      </w:r>
      <w:r>
        <w:rPr>
          <w:color w:val="231F20"/>
          <w:spacing w:val="-4"/>
        </w:rPr>
        <w:t> </w:t>
      </w:r>
      <w:r>
        <w:rPr>
          <w:color w:val="231F20"/>
        </w:rPr>
        <w:t>the </w:t>
      </w:r>
      <w:r>
        <w:rPr>
          <w:color w:val="231F20"/>
          <w:spacing w:val="-6"/>
        </w:rPr>
        <w:t>international questionnaire, respondents evalu- </w:t>
      </w:r>
      <w:r>
        <w:rPr>
          <w:color w:val="231F20"/>
          <w:w w:val="90"/>
        </w:rPr>
        <w:t>ated</w:t>
      </w:r>
      <w:r>
        <w:rPr>
          <w:color w:val="231F20"/>
          <w:spacing w:val="-3"/>
          <w:w w:val="90"/>
        </w:rPr>
        <w:t> </w:t>
      </w:r>
      <w:r>
        <w:rPr>
          <w:color w:val="231F20"/>
          <w:w w:val="90"/>
        </w:rPr>
        <w:t>six</w:t>
      </w:r>
      <w:r>
        <w:rPr>
          <w:color w:val="231F20"/>
          <w:spacing w:val="-2"/>
          <w:w w:val="90"/>
        </w:rPr>
        <w:t> </w:t>
      </w:r>
      <w:r>
        <w:rPr>
          <w:color w:val="231F20"/>
          <w:w w:val="90"/>
        </w:rPr>
        <w:t>indicators</w:t>
      </w:r>
      <w:r>
        <w:rPr>
          <w:color w:val="231F20"/>
          <w:spacing w:val="-3"/>
          <w:w w:val="90"/>
        </w:rPr>
        <w:t> </w:t>
      </w:r>
      <w:r>
        <w:rPr>
          <w:color w:val="231F20"/>
          <w:w w:val="90"/>
        </w:rPr>
        <w:t>of</w:t>
      </w:r>
      <w:r>
        <w:rPr>
          <w:color w:val="231F20"/>
          <w:spacing w:val="-2"/>
          <w:w w:val="90"/>
        </w:rPr>
        <w:t> </w:t>
      </w:r>
      <w:r>
        <w:rPr>
          <w:color w:val="231F20"/>
          <w:w w:val="90"/>
        </w:rPr>
        <w:t>logistics</w:t>
      </w:r>
      <w:r>
        <w:rPr>
          <w:color w:val="231F20"/>
          <w:spacing w:val="-2"/>
          <w:w w:val="90"/>
        </w:rPr>
        <w:t> </w:t>
      </w:r>
      <w:r>
        <w:rPr>
          <w:color w:val="231F20"/>
          <w:w w:val="90"/>
        </w:rPr>
        <w:t>performance</w:t>
      </w:r>
      <w:r>
        <w:rPr>
          <w:color w:val="231F20"/>
          <w:spacing w:val="-3"/>
          <w:w w:val="90"/>
        </w:rPr>
        <w:t> </w:t>
      </w:r>
      <w:r>
        <w:rPr>
          <w:color w:val="231F20"/>
          <w:w w:val="90"/>
        </w:rPr>
        <w:t>in</w:t>
      </w:r>
      <w:r>
        <w:rPr>
          <w:color w:val="231F20"/>
          <w:spacing w:val="-2"/>
          <w:w w:val="90"/>
        </w:rPr>
        <w:t> </w:t>
      </w:r>
      <w:r>
        <w:rPr>
          <w:color w:val="231F20"/>
          <w:spacing w:val="-5"/>
          <w:w w:val="90"/>
        </w:rPr>
        <w:t>up</w:t>
      </w:r>
    </w:p>
    <w:p>
      <w:pPr>
        <w:spacing w:after="0" w:line="268" w:lineRule="auto"/>
        <w:jc w:val="both"/>
        <w:sectPr>
          <w:type w:val="continuous"/>
          <w:pgSz w:w="12240" w:h="15840"/>
          <w:pgMar w:header="0" w:footer="0" w:top="1140" w:bottom="280" w:left="0" w:right="540"/>
          <w:cols w:num="2" w:equalWidth="0">
            <w:col w:w="7561" w:space="40"/>
            <w:col w:w="4099"/>
          </w:cols>
        </w:sect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54"/>
        <w:rPr>
          <w:sz w:val="16"/>
        </w:rPr>
      </w:pPr>
    </w:p>
    <w:p>
      <w:pPr>
        <w:spacing w:before="0"/>
        <w:ind w:left="1619" w:right="0" w:firstLine="0"/>
        <w:jc w:val="left"/>
        <w:rPr>
          <w:rFonts w:ascii="Arial"/>
          <w:b/>
          <w:sz w:val="16"/>
        </w:rPr>
      </w:pPr>
      <w:r>
        <w:rPr/>
        <mc:AlternateContent>
          <mc:Choice Requires="wps">
            <w:drawing>
              <wp:anchor distT="0" distB="0" distL="0" distR="0" allowOverlap="1" layoutInCell="1" locked="0" behindDoc="1" simplePos="0" relativeHeight="466744320">
                <wp:simplePos x="0" y="0"/>
                <wp:positionH relativeFrom="page">
                  <wp:posOffset>419100</wp:posOffset>
                </wp:positionH>
                <wp:positionV relativeFrom="paragraph">
                  <wp:posOffset>-142190</wp:posOffset>
                </wp:positionV>
                <wp:extent cx="6629400" cy="5295900"/>
                <wp:effectExtent l="0" t="0" r="0" b="0"/>
                <wp:wrapNone/>
                <wp:docPr id="482" name="Group 482"/>
                <wp:cNvGraphicFramePr>
                  <a:graphicFrameLocks/>
                </wp:cNvGraphicFramePr>
                <a:graphic>
                  <a:graphicData uri="http://schemas.microsoft.com/office/word/2010/wordprocessingGroup">
                    <wpg:wgp>
                      <wpg:cNvPr id="482" name="Group 482"/>
                      <wpg:cNvGrpSpPr/>
                      <wpg:grpSpPr>
                        <a:xfrm>
                          <a:off x="0" y="0"/>
                          <a:ext cx="6629400" cy="5295900"/>
                          <a:chExt cx="6629400" cy="5295900"/>
                        </a:xfrm>
                      </wpg:grpSpPr>
                      <wps:wsp>
                        <wps:cNvPr id="483" name="Graphic 483"/>
                        <wps:cNvSpPr/>
                        <wps:spPr>
                          <a:xfrm>
                            <a:off x="19050" y="19050"/>
                            <a:ext cx="6591300" cy="5257800"/>
                          </a:xfrm>
                          <a:custGeom>
                            <a:avLst/>
                            <a:gdLst/>
                            <a:ahLst/>
                            <a:cxnLst/>
                            <a:rect l="l" t="t" r="r" b="b"/>
                            <a:pathLst>
                              <a:path w="6591300" h="5257800">
                                <a:moveTo>
                                  <a:pt x="6496050" y="0"/>
                                </a:moveTo>
                                <a:lnTo>
                                  <a:pt x="95250" y="0"/>
                                </a:lnTo>
                                <a:lnTo>
                                  <a:pt x="58207" y="7497"/>
                                </a:lnTo>
                                <a:lnTo>
                                  <a:pt x="27927" y="27932"/>
                                </a:lnTo>
                                <a:lnTo>
                                  <a:pt x="7496" y="58212"/>
                                </a:lnTo>
                                <a:lnTo>
                                  <a:pt x="0" y="95250"/>
                                </a:lnTo>
                                <a:lnTo>
                                  <a:pt x="0" y="5162550"/>
                                </a:lnTo>
                                <a:lnTo>
                                  <a:pt x="7496" y="5199592"/>
                                </a:lnTo>
                                <a:lnTo>
                                  <a:pt x="27927" y="5229872"/>
                                </a:lnTo>
                                <a:lnTo>
                                  <a:pt x="58207" y="5250303"/>
                                </a:lnTo>
                                <a:lnTo>
                                  <a:pt x="95250" y="5257800"/>
                                </a:lnTo>
                                <a:lnTo>
                                  <a:pt x="6496050" y="5257800"/>
                                </a:lnTo>
                                <a:lnTo>
                                  <a:pt x="6533087" y="5250303"/>
                                </a:lnTo>
                                <a:lnTo>
                                  <a:pt x="6563367" y="5229872"/>
                                </a:lnTo>
                                <a:lnTo>
                                  <a:pt x="6583802" y="5199592"/>
                                </a:lnTo>
                                <a:lnTo>
                                  <a:pt x="6591300" y="5162550"/>
                                </a:lnTo>
                                <a:lnTo>
                                  <a:pt x="6591300" y="95250"/>
                                </a:lnTo>
                                <a:lnTo>
                                  <a:pt x="6583802" y="58212"/>
                                </a:lnTo>
                                <a:lnTo>
                                  <a:pt x="6563367" y="27932"/>
                                </a:lnTo>
                                <a:lnTo>
                                  <a:pt x="6533087" y="7497"/>
                                </a:lnTo>
                                <a:lnTo>
                                  <a:pt x="6496050" y="0"/>
                                </a:lnTo>
                                <a:close/>
                              </a:path>
                            </a:pathLst>
                          </a:custGeom>
                          <a:solidFill>
                            <a:srgbClr val="E9F1FA"/>
                          </a:solidFill>
                        </wps:spPr>
                        <wps:bodyPr wrap="square" lIns="0" tIns="0" rIns="0" bIns="0" rtlCol="0">
                          <a:prstTxWarp prst="textNoShape">
                            <a:avLst/>
                          </a:prstTxWarp>
                          <a:noAutofit/>
                        </wps:bodyPr>
                      </wps:wsp>
                      <wps:wsp>
                        <wps:cNvPr id="484" name="Graphic 484"/>
                        <wps:cNvSpPr/>
                        <wps:spPr>
                          <a:xfrm>
                            <a:off x="152400" y="50800"/>
                            <a:ext cx="6457950" cy="254000"/>
                          </a:xfrm>
                          <a:custGeom>
                            <a:avLst/>
                            <a:gdLst/>
                            <a:ahLst/>
                            <a:cxnLst/>
                            <a:rect l="l" t="t" r="r" b="b"/>
                            <a:pathLst>
                              <a:path w="6457950" h="254000">
                                <a:moveTo>
                                  <a:pt x="6432602" y="0"/>
                                </a:moveTo>
                                <a:lnTo>
                                  <a:pt x="0" y="0"/>
                                </a:lnTo>
                                <a:lnTo>
                                  <a:pt x="0" y="254000"/>
                                </a:lnTo>
                                <a:lnTo>
                                  <a:pt x="6457950" y="254000"/>
                                </a:lnTo>
                                <a:lnTo>
                                  <a:pt x="6457950" y="63500"/>
                                </a:lnTo>
                                <a:lnTo>
                                  <a:pt x="6450453" y="26457"/>
                                </a:lnTo>
                                <a:lnTo>
                                  <a:pt x="6432602" y="0"/>
                                </a:lnTo>
                                <a:close/>
                              </a:path>
                            </a:pathLst>
                          </a:custGeom>
                          <a:solidFill>
                            <a:srgbClr val="808285"/>
                          </a:solidFill>
                        </wps:spPr>
                        <wps:bodyPr wrap="square" lIns="0" tIns="0" rIns="0" bIns="0" rtlCol="0">
                          <a:prstTxWarp prst="textNoShape">
                            <a:avLst/>
                          </a:prstTxWarp>
                          <a:noAutofit/>
                        </wps:bodyPr>
                      </wps:wsp>
                      <wps:wsp>
                        <wps:cNvPr id="485" name="Graphic 485"/>
                        <wps:cNvSpPr/>
                        <wps:spPr>
                          <a:xfrm>
                            <a:off x="546100" y="50798"/>
                            <a:ext cx="1270" cy="254635"/>
                          </a:xfrm>
                          <a:custGeom>
                            <a:avLst/>
                            <a:gdLst/>
                            <a:ahLst/>
                            <a:cxnLst/>
                            <a:rect l="l" t="t" r="r" b="b"/>
                            <a:pathLst>
                              <a:path w="0" h="254635">
                                <a:moveTo>
                                  <a:pt x="0" y="25415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486" name="Graphic 486"/>
                        <wps:cNvSpPr/>
                        <wps:spPr>
                          <a:xfrm>
                            <a:off x="38100" y="50951"/>
                            <a:ext cx="495300" cy="254000"/>
                          </a:xfrm>
                          <a:custGeom>
                            <a:avLst/>
                            <a:gdLst/>
                            <a:ahLst/>
                            <a:cxnLst/>
                            <a:rect l="l" t="t" r="r" b="b"/>
                            <a:pathLst>
                              <a:path w="495300" h="254000">
                                <a:moveTo>
                                  <a:pt x="0" y="254000"/>
                                </a:moveTo>
                                <a:lnTo>
                                  <a:pt x="495300" y="254000"/>
                                </a:lnTo>
                                <a:lnTo>
                                  <a:pt x="495300" y="0"/>
                                </a:lnTo>
                                <a:lnTo>
                                  <a:pt x="0" y="0"/>
                                </a:lnTo>
                                <a:lnTo>
                                  <a:pt x="0" y="254000"/>
                                </a:lnTo>
                                <a:close/>
                              </a:path>
                            </a:pathLst>
                          </a:custGeom>
                          <a:solidFill>
                            <a:srgbClr val="008FDD"/>
                          </a:solidFill>
                        </wps:spPr>
                        <wps:bodyPr wrap="square" lIns="0" tIns="0" rIns="0" bIns="0" rtlCol="0">
                          <a:prstTxWarp prst="textNoShape">
                            <a:avLst/>
                          </a:prstTxWarp>
                          <a:noAutofit/>
                        </wps:bodyPr>
                      </wps:wsp>
                      <wps:wsp>
                        <wps:cNvPr id="487" name="Graphic 487"/>
                        <wps:cNvSpPr/>
                        <wps:spPr>
                          <a:xfrm>
                            <a:off x="3771900" y="1629693"/>
                            <a:ext cx="2362200" cy="2340610"/>
                          </a:xfrm>
                          <a:custGeom>
                            <a:avLst/>
                            <a:gdLst/>
                            <a:ahLst/>
                            <a:cxnLst/>
                            <a:rect l="l" t="t" r="r" b="b"/>
                            <a:pathLst>
                              <a:path w="2362200" h="2340610">
                                <a:moveTo>
                                  <a:pt x="2362200" y="0"/>
                                </a:moveTo>
                                <a:lnTo>
                                  <a:pt x="0" y="0"/>
                                </a:lnTo>
                                <a:lnTo>
                                  <a:pt x="0" y="2265680"/>
                                </a:lnTo>
                                <a:lnTo>
                                  <a:pt x="6159" y="2294778"/>
                                </a:lnTo>
                                <a:lnTo>
                                  <a:pt x="22693" y="2318538"/>
                                </a:lnTo>
                                <a:lnTo>
                                  <a:pt x="46682" y="2334558"/>
                                </a:lnTo>
                                <a:lnTo>
                                  <a:pt x="75209" y="2340432"/>
                                </a:lnTo>
                                <a:lnTo>
                                  <a:pt x="2283320" y="2340432"/>
                                </a:lnTo>
                                <a:lnTo>
                                  <a:pt x="2312420" y="2335177"/>
                                </a:lnTo>
                                <a:lnTo>
                                  <a:pt x="2337671" y="2320191"/>
                                </a:lnTo>
                                <a:lnTo>
                                  <a:pt x="2355466" y="2296637"/>
                                </a:lnTo>
                                <a:lnTo>
                                  <a:pt x="2362200" y="2265680"/>
                                </a:lnTo>
                                <a:lnTo>
                                  <a:pt x="2362200" y="0"/>
                                </a:lnTo>
                                <a:close/>
                              </a:path>
                            </a:pathLst>
                          </a:custGeom>
                          <a:solidFill>
                            <a:srgbClr val="D4E3F5"/>
                          </a:solidFill>
                        </wps:spPr>
                        <wps:bodyPr wrap="square" lIns="0" tIns="0" rIns="0" bIns="0" rtlCol="0">
                          <a:prstTxWarp prst="textNoShape">
                            <a:avLst/>
                          </a:prstTxWarp>
                          <a:noAutofit/>
                        </wps:bodyPr>
                      </wps:wsp>
                      <wps:wsp>
                        <wps:cNvPr id="488" name="Graphic 488"/>
                        <wps:cNvSpPr/>
                        <wps:spPr>
                          <a:xfrm>
                            <a:off x="3825255" y="1722970"/>
                            <a:ext cx="762000" cy="1377950"/>
                          </a:xfrm>
                          <a:custGeom>
                            <a:avLst/>
                            <a:gdLst/>
                            <a:ahLst/>
                            <a:cxnLst/>
                            <a:rect l="l" t="t" r="r" b="b"/>
                            <a:pathLst>
                              <a:path w="762000" h="1377950">
                                <a:moveTo>
                                  <a:pt x="762000" y="1301750"/>
                                </a:moveTo>
                                <a:lnTo>
                                  <a:pt x="755987" y="1331337"/>
                                </a:lnTo>
                                <a:lnTo>
                                  <a:pt x="739616" y="1355566"/>
                                </a:lnTo>
                                <a:lnTo>
                                  <a:pt x="715387" y="1371937"/>
                                </a:lnTo>
                                <a:lnTo>
                                  <a:pt x="685800" y="1377950"/>
                                </a:lnTo>
                                <a:lnTo>
                                  <a:pt x="76200" y="1377950"/>
                                </a:lnTo>
                                <a:lnTo>
                                  <a:pt x="46612" y="1371937"/>
                                </a:lnTo>
                                <a:lnTo>
                                  <a:pt x="22383" y="1355566"/>
                                </a:lnTo>
                                <a:lnTo>
                                  <a:pt x="6012" y="1331337"/>
                                </a:lnTo>
                                <a:lnTo>
                                  <a:pt x="0" y="1301750"/>
                                </a:lnTo>
                                <a:lnTo>
                                  <a:pt x="0" y="76200"/>
                                </a:lnTo>
                                <a:lnTo>
                                  <a:pt x="6012" y="46612"/>
                                </a:lnTo>
                                <a:lnTo>
                                  <a:pt x="22383" y="22383"/>
                                </a:lnTo>
                                <a:lnTo>
                                  <a:pt x="46612" y="6012"/>
                                </a:lnTo>
                                <a:lnTo>
                                  <a:pt x="76200" y="0"/>
                                </a:lnTo>
                                <a:lnTo>
                                  <a:pt x="685800" y="0"/>
                                </a:lnTo>
                                <a:lnTo>
                                  <a:pt x="715387" y="6012"/>
                                </a:lnTo>
                                <a:lnTo>
                                  <a:pt x="739616" y="22383"/>
                                </a:lnTo>
                                <a:lnTo>
                                  <a:pt x="755987" y="46612"/>
                                </a:lnTo>
                                <a:lnTo>
                                  <a:pt x="762000" y="76200"/>
                                </a:lnTo>
                                <a:lnTo>
                                  <a:pt x="762000" y="1301750"/>
                                </a:lnTo>
                                <a:close/>
                              </a:path>
                            </a:pathLst>
                          </a:custGeom>
                          <a:ln w="12700">
                            <a:solidFill>
                              <a:srgbClr val="FFFFFF"/>
                            </a:solidFill>
                            <a:prstDash val="solid"/>
                          </a:ln>
                        </wps:spPr>
                        <wps:bodyPr wrap="square" lIns="0" tIns="0" rIns="0" bIns="0" rtlCol="0">
                          <a:prstTxWarp prst="textNoShape">
                            <a:avLst/>
                          </a:prstTxWarp>
                          <a:noAutofit/>
                        </wps:bodyPr>
                      </wps:wsp>
                      <wps:wsp>
                        <wps:cNvPr id="489" name="Graphic 489"/>
                        <wps:cNvSpPr/>
                        <wps:spPr>
                          <a:xfrm>
                            <a:off x="5318745" y="1722970"/>
                            <a:ext cx="762000" cy="1377950"/>
                          </a:xfrm>
                          <a:custGeom>
                            <a:avLst/>
                            <a:gdLst/>
                            <a:ahLst/>
                            <a:cxnLst/>
                            <a:rect l="l" t="t" r="r" b="b"/>
                            <a:pathLst>
                              <a:path w="762000" h="1377950">
                                <a:moveTo>
                                  <a:pt x="762000" y="1301750"/>
                                </a:moveTo>
                                <a:lnTo>
                                  <a:pt x="755987" y="1331337"/>
                                </a:lnTo>
                                <a:lnTo>
                                  <a:pt x="739616" y="1355566"/>
                                </a:lnTo>
                                <a:lnTo>
                                  <a:pt x="715387" y="1371937"/>
                                </a:lnTo>
                                <a:lnTo>
                                  <a:pt x="685800" y="1377950"/>
                                </a:lnTo>
                                <a:lnTo>
                                  <a:pt x="76200" y="1377950"/>
                                </a:lnTo>
                                <a:lnTo>
                                  <a:pt x="46612" y="1371937"/>
                                </a:lnTo>
                                <a:lnTo>
                                  <a:pt x="22383" y="1355566"/>
                                </a:lnTo>
                                <a:lnTo>
                                  <a:pt x="6012" y="1331337"/>
                                </a:lnTo>
                                <a:lnTo>
                                  <a:pt x="0" y="1301750"/>
                                </a:lnTo>
                                <a:lnTo>
                                  <a:pt x="0" y="76200"/>
                                </a:lnTo>
                                <a:lnTo>
                                  <a:pt x="6012" y="46612"/>
                                </a:lnTo>
                                <a:lnTo>
                                  <a:pt x="22383" y="22383"/>
                                </a:lnTo>
                                <a:lnTo>
                                  <a:pt x="46612" y="6012"/>
                                </a:lnTo>
                                <a:lnTo>
                                  <a:pt x="76200" y="0"/>
                                </a:lnTo>
                                <a:lnTo>
                                  <a:pt x="685800" y="0"/>
                                </a:lnTo>
                                <a:lnTo>
                                  <a:pt x="715387" y="6012"/>
                                </a:lnTo>
                                <a:lnTo>
                                  <a:pt x="739616" y="22383"/>
                                </a:lnTo>
                                <a:lnTo>
                                  <a:pt x="755987" y="46612"/>
                                </a:lnTo>
                                <a:lnTo>
                                  <a:pt x="762000" y="76200"/>
                                </a:lnTo>
                                <a:lnTo>
                                  <a:pt x="762000" y="1301750"/>
                                </a:lnTo>
                                <a:close/>
                              </a:path>
                            </a:pathLst>
                          </a:custGeom>
                          <a:ln w="12700">
                            <a:solidFill>
                              <a:srgbClr val="FFFFFF"/>
                            </a:solidFill>
                            <a:prstDash val="solid"/>
                          </a:ln>
                        </wps:spPr>
                        <wps:bodyPr wrap="square" lIns="0" tIns="0" rIns="0" bIns="0" rtlCol="0">
                          <a:prstTxWarp prst="textNoShape">
                            <a:avLst/>
                          </a:prstTxWarp>
                          <a:noAutofit/>
                        </wps:bodyPr>
                      </wps:wsp>
                      <wps:wsp>
                        <wps:cNvPr id="490" name="Graphic 490"/>
                        <wps:cNvSpPr/>
                        <wps:spPr>
                          <a:xfrm>
                            <a:off x="3771701" y="1371600"/>
                            <a:ext cx="2362200" cy="231775"/>
                          </a:xfrm>
                          <a:custGeom>
                            <a:avLst/>
                            <a:gdLst/>
                            <a:ahLst/>
                            <a:cxnLst/>
                            <a:rect l="l" t="t" r="r" b="b"/>
                            <a:pathLst>
                              <a:path w="2362200" h="231775">
                                <a:moveTo>
                                  <a:pt x="2285504" y="0"/>
                                </a:moveTo>
                                <a:lnTo>
                                  <a:pt x="76200" y="0"/>
                                </a:lnTo>
                                <a:lnTo>
                                  <a:pt x="47218" y="3058"/>
                                </a:lnTo>
                                <a:lnTo>
                                  <a:pt x="22921" y="14506"/>
                                </a:lnTo>
                                <a:lnTo>
                                  <a:pt x="6214" y="37751"/>
                                </a:lnTo>
                                <a:lnTo>
                                  <a:pt x="0" y="76200"/>
                                </a:lnTo>
                                <a:lnTo>
                                  <a:pt x="0" y="231775"/>
                                </a:lnTo>
                                <a:lnTo>
                                  <a:pt x="2361704" y="231775"/>
                                </a:lnTo>
                                <a:lnTo>
                                  <a:pt x="2361704" y="76200"/>
                                </a:lnTo>
                                <a:lnTo>
                                  <a:pt x="2356199" y="50979"/>
                                </a:lnTo>
                                <a:lnTo>
                                  <a:pt x="2340673" y="26265"/>
                                </a:lnTo>
                                <a:lnTo>
                                  <a:pt x="2316613" y="7468"/>
                                </a:lnTo>
                                <a:lnTo>
                                  <a:pt x="2285504" y="0"/>
                                </a:lnTo>
                                <a:close/>
                              </a:path>
                            </a:pathLst>
                          </a:custGeom>
                          <a:solidFill>
                            <a:srgbClr val="808285"/>
                          </a:solidFill>
                        </wps:spPr>
                        <wps:bodyPr wrap="square" lIns="0" tIns="0" rIns="0" bIns="0" rtlCol="0">
                          <a:prstTxWarp prst="textNoShape">
                            <a:avLst/>
                          </a:prstTxWarp>
                          <a:noAutofit/>
                        </wps:bodyPr>
                      </wps:wsp>
                      <pic:pic>
                        <pic:nvPicPr>
                          <pic:cNvPr id="491" name="Image 491"/>
                          <pic:cNvPicPr/>
                        </pic:nvPicPr>
                        <pic:blipFill>
                          <a:blip r:embed="rId62" cstate="print"/>
                          <a:stretch>
                            <a:fillRect/>
                          </a:stretch>
                        </pic:blipFill>
                        <pic:spPr>
                          <a:xfrm>
                            <a:off x="5495388" y="2301643"/>
                            <a:ext cx="180606" cy="180594"/>
                          </a:xfrm>
                          <a:prstGeom prst="rect">
                            <a:avLst/>
                          </a:prstGeom>
                        </pic:spPr>
                      </pic:pic>
                      <pic:pic>
                        <pic:nvPicPr>
                          <pic:cNvPr id="492" name="Image 492"/>
                          <pic:cNvPicPr/>
                        </pic:nvPicPr>
                        <pic:blipFill>
                          <a:blip r:embed="rId63" cstate="print"/>
                          <a:stretch>
                            <a:fillRect/>
                          </a:stretch>
                        </pic:blipFill>
                        <pic:spPr>
                          <a:xfrm>
                            <a:off x="5495401" y="1831068"/>
                            <a:ext cx="180581" cy="180594"/>
                          </a:xfrm>
                          <a:prstGeom prst="rect">
                            <a:avLst/>
                          </a:prstGeom>
                        </pic:spPr>
                      </pic:pic>
                      <pic:pic>
                        <pic:nvPicPr>
                          <pic:cNvPr id="493" name="Image 493"/>
                          <pic:cNvPicPr/>
                        </pic:nvPicPr>
                        <pic:blipFill>
                          <a:blip r:embed="rId64" cstate="print"/>
                          <a:stretch>
                            <a:fillRect/>
                          </a:stretch>
                        </pic:blipFill>
                        <pic:spPr>
                          <a:xfrm>
                            <a:off x="5495401" y="2772163"/>
                            <a:ext cx="180581" cy="180594"/>
                          </a:xfrm>
                          <a:prstGeom prst="rect">
                            <a:avLst/>
                          </a:prstGeom>
                        </pic:spPr>
                      </pic:pic>
                      <wps:wsp>
                        <wps:cNvPr id="494" name="Graphic 494"/>
                        <wps:cNvSpPr/>
                        <wps:spPr>
                          <a:xfrm>
                            <a:off x="4953000" y="2391940"/>
                            <a:ext cx="446405" cy="1270"/>
                          </a:xfrm>
                          <a:custGeom>
                            <a:avLst/>
                            <a:gdLst/>
                            <a:ahLst/>
                            <a:cxnLst/>
                            <a:rect l="l" t="t" r="r" b="b"/>
                            <a:pathLst>
                              <a:path w="446405" h="0">
                                <a:moveTo>
                                  <a:pt x="0" y="0"/>
                                </a:moveTo>
                                <a:lnTo>
                                  <a:pt x="445808" y="0"/>
                                </a:lnTo>
                              </a:path>
                            </a:pathLst>
                          </a:custGeom>
                          <a:ln w="25400">
                            <a:solidFill>
                              <a:srgbClr val="231F20"/>
                            </a:solidFill>
                            <a:prstDash val="solid"/>
                          </a:ln>
                        </wps:spPr>
                        <wps:bodyPr wrap="square" lIns="0" tIns="0" rIns="0" bIns="0" rtlCol="0">
                          <a:prstTxWarp prst="textNoShape">
                            <a:avLst/>
                          </a:prstTxWarp>
                          <a:noAutofit/>
                        </wps:bodyPr>
                      </wps:wsp>
                      <wps:wsp>
                        <wps:cNvPr id="495" name="Graphic 495"/>
                        <wps:cNvSpPr/>
                        <wps:spPr>
                          <a:xfrm>
                            <a:off x="5383982" y="2341006"/>
                            <a:ext cx="88265" cy="101600"/>
                          </a:xfrm>
                          <a:custGeom>
                            <a:avLst/>
                            <a:gdLst/>
                            <a:ahLst/>
                            <a:cxnLst/>
                            <a:rect l="l" t="t" r="r" b="b"/>
                            <a:pathLst>
                              <a:path w="88265" h="101600">
                                <a:moveTo>
                                  <a:pt x="0" y="0"/>
                                </a:moveTo>
                                <a:lnTo>
                                  <a:pt x="0" y="101307"/>
                                </a:lnTo>
                                <a:lnTo>
                                  <a:pt x="87731" y="50660"/>
                                </a:lnTo>
                                <a:lnTo>
                                  <a:pt x="0" y="0"/>
                                </a:lnTo>
                                <a:close/>
                              </a:path>
                            </a:pathLst>
                          </a:custGeom>
                          <a:solidFill>
                            <a:srgbClr val="231F20"/>
                          </a:solidFill>
                        </wps:spPr>
                        <wps:bodyPr wrap="square" lIns="0" tIns="0" rIns="0" bIns="0" rtlCol="0">
                          <a:prstTxWarp prst="textNoShape">
                            <a:avLst/>
                          </a:prstTxWarp>
                          <a:noAutofit/>
                        </wps:bodyPr>
                      </wps:wsp>
                      <wps:wsp>
                        <wps:cNvPr id="496" name="Graphic 496"/>
                        <wps:cNvSpPr/>
                        <wps:spPr>
                          <a:xfrm>
                            <a:off x="4953000" y="1971113"/>
                            <a:ext cx="451484" cy="421005"/>
                          </a:xfrm>
                          <a:custGeom>
                            <a:avLst/>
                            <a:gdLst/>
                            <a:ahLst/>
                            <a:cxnLst/>
                            <a:rect l="l" t="t" r="r" b="b"/>
                            <a:pathLst>
                              <a:path w="451484" h="421005">
                                <a:moveTo>
                                  <a:pt x="0" y="420827"/>
                                </a:moveTo>
                                <a:lnTo>
                                  <a:pt x="451002" y="0"/>
                                </a:lnTo>
                              </a:path>
                            </a:pathLst>
                          </a:custGeom>
                          <a:ln w="25400">
                            <a:solidFill>
                              <a:srgbClr val="231F20"/>
                            </a:solidFill>
                            <a:prstDash val="solid"/>
                          </a:ln>
                        </wps:spPr>
                        <wps:bodyPr wrap="square" lIns="0" tIns="0" rIns="0" bIns="0" rtlCol="0">
                          <a:prstTxWarp prst="textNoShape">
                            <a:avLst/>
                          </a:prstTxWarp>
                          <a:noAutofit/>
                        </wps:bodyPr>
                      </wps:wsp>
                      <wps:wsp>
                        <wps:cNvPr id="497" name="Graphic 497"/>
                        <wps:cNvSpPr/>
                        <wps:spPr>
                          <a:xfrm>
                            <a:off x="5358412" y="1921161"/>
                            <a:ext cx="99060" cy="97155"/>
                          </a:xfrm>
                          <a:custGeom>
                            <a:avLst/>
                            <a:gdLst/>
                            <a:ahLst/>
                            <a:cxnLst/>
                            <a:rect l="l" t="t" r="r" b="b"/>
                            <a:pathLst>
                              <a:path w="99060" h="97155">
                                <a:moveTo>
                                  <a:pt x="98704" y="0"/>
                                </a:moveTo>
                                <a:lnTo>
                                  <a:pt x="0" y="22821"/>
                                </a:lnTo>
                                <a:lnTo>
                                  <a:pt x="69113" y="96888"/>
                                </a:lnTo>
                                <a:lnTo>
                                  <a:pt x="98704" y="0"/>
                                </a:lnTo>
                                <a:close/>
                              </a:path>
                            </a:pathLst>
                          </a:custGeom>
                          <a:solidFill>
                            <a:srgbClr val="231F20"/>
                          </a:solidFill>
                        </wps:spPr>
                        <wps:bodyPr wrap="square" lIns="0" tIns="0" rIns="0" bIns="0" rtlCol="0">
                          <a:prstTxWarp prst="textNoShape">
                            <a:avLst/>
                          </a:prstTxWarp>
                          <a:noAutofit/>
                        </wps:bodyPr>
                      </wps:wsp>
                      <wps:wsp>
                        <wps:cNvPr id="498" name="Graphic 498"/>
                        <wps:cNvSpPr/>
                        <wps:spPr>
                          <a:xfrm>
                            <a:off x="4320303" y="1921371"/>
                            <a:ext cx="329565" cy="211454"/>
                          </a:xfrm>
                          <a:custGeom>
                            <a:avLst/>
                            <a:gdLst/>
                            <a:ahLst/>
                            <a:cxnLst/>
                            <a:rect l="l" t="t" r="r" b="b"/>
                            <a:pathLst>
                              <a:path w="329565" h="211454">
                                <a:moveTo>
                                  <a:pt x="329450" y="211404"/>
                                </a:moveTo>
                                <a:lnTo>
                                  <a:pt x="0" y="0"/>
                                </a:lnTo>
                              </a:path>
                            </a:pathLst>
                          </a:custGeom>
                          <a:ln w="25400">
                            <a:solidFill>
                              <a:srgbClr val="231F20"/>
                            </a:solidFill>
                            <a:prstDash val="solid"/>
                          </a:ln>
                        </wps:spPr>
                        <wps:bodyPr wrap="square" lIns="0" tIns="0" rIns="0" bIns="0" rtlCol="0">
                          <a:prstTxWarp prst="textNoShape">
                            <a:avLst/>
                          </a:prstTxWarp>
                          <a:noAutofit/>
                        </wps:bodyPr>
                      </wps:wsp>
                      <wps:wsp>
                        <wps:cNvPr id="499" name="Graphic 499"/>
                        <wps:cNvSpPr/>
                        <wps:spPr>
                          <a:xfrm>
                            <a:off x="4609772" y="2082375"/>
                            <a:ext cx="101600" cy="90170"/>
                          </a:xfrm>
                          <a:custGeom>
                            <a:avLst/>
                            <a:gdLst/>
                            <a:ahLst/>
                            <a:cxnLst/>
                            <a:rect l="l" t="t" r="r" b="b"/>
                            <a:pathLst>
                              <a:path w="101600" h="90170">
                                <a:moveTo>
                                  <a:pt x="54711" y="0"/>
                                </a:moveTo>
                                <a:lnTo>
                                  <a:pt x="0" y="85267"/>
                                </a:lnTo>
                                <a:lnTo>
                                  <a:pt x="101193" y="90017"/>
                                </a:lnTo>
                                <a:lnTo>
                                  <a:pt x="54711" y="0"/>
                                </a:lnTo>
                                <a:close/>
                              </a:path>
                            </a:pathLst>
                          </a:custGeom>
                          <a:solidFill>
                            <a:srgbClr val="231F20"/>
                          </a:solidFill>
                        </wps:spPr>
                        <wps:bodyPr wrap="square" lIns="0" tIns="0" rIns="0" bIns="0" rtlCol="0">
                          <a:prstTxWarp prst="textNoShape">
                            <a:avLst/>
                          </a:prstTxWarp>
                          <a:noAutofit/>
                        </wps:bodyPr>
                      </wps:wsp>
                      <wps:wsp>
                        <wps:cNvPr id="500" name="Graphic 500"/>
                        <wps:cNvSpPr/>
                        <wps:spPr>
                          <a:xfrm>
                            <a:off x="4320312" y="2391925"/>
                            <a:ext cx="240665" cy="1270"/>
                          </a:xfrm>
                          <a:custGeom>
                            <a:avLst/>
                            <a:gdLst/>
                            <a:ahLst/>
                            <a:cxnLst/>
                            <a:rect l="l" t="t" r="r" b="b"/>
                            <a:pathLst>
                              <a:path w="240665" h="635">
                                <a:moveTo>
                                  <a:pt x="240131" y="12"/>
                                </a:moveTo>
                                <a:lnTo>
                                  <a:pt x="0" y="0"/>
                                </a:lnTo>
                              </a:path>
                            </a:pathLst>
                          </a:custGeom>
                          <a:ln w="25400">
                            <a:solidFill>
                              <a:srgbClr val="231F20"/>
                            </a:solidFill>
                            <a:prstDash val="solid"/>
                          </a:ln>
                        </wps:spPr>
                        <wps:bodyPr wrap="square" lIns="0" tIns="0" rIns="0" bIns="0" rtlCol="0">
                          <a:prstTxWarp prst="textNoShape">
                            <a:avLst/>
                          </a:prstTxWarp>
                          <a:noAutofit/>
                        </wps:bodyPr>
                      </wps:wsp>
                      <wps:wsp>
                        <wps:cNvPr id="501" name="Graphic 501"/>
                        <wps:cNvSpPr/>
                        <wps:spPr>
                          <a:xfrm>
                            <a:off x="4545623" y="2341563"/>
                            <a:ext cx="88265" cy="101600"/>
                          </a:xfrm>
                          <a:custGeom>
                            <a:avLst/>
                            <a:gdLst/>
                            <a:ahLst/>
                            <a:cxnLst/>
                            <a:rect l="l" t="t" r="r" b="b"/>
                            <a:pathLst>
                              <a:path w="88265" h="101600">
                                <a:moveTo>
                                  <a:pt x="0" y="0"/>
                                </a:moveTo>
                                <a:lnTo>
                                  <a:pt x="0" y="101307"/>
                                </a:lnTo>
                                <a:lnTo>
                                  <a:pt x="87731" y="50660"/>
                                </a:lnTo>
                                <a:lnTo>
                                  <a:pt x="0" y="0"/>
                                </a:lnTo>
                                <a:close/>
                              </a:path>
                            </a:pathLst>
                          </a:custGeom>
                          <a:solidFill>
                            <a:srgbClr val="231F20"/>
                          </a:solidFill>
                        </wps:spPr>
                        <wps:bodyPr wrap="square" lIns="0" tIns="0" rIns="0" bIns="0" rtlCol="0">
                          <a:prstTxWarp prst="textNoShape">
                            <a:avLst/>
                          </a:prstTxWarp>
                          <a:noAutofit/>
                        </wps:bodyPr>
                      </wps:wsp>
                      <wps:wsp>
                        <wps:cNvPr id="502" name="Graphic 502"/>
                        <wps:cNvSpPr/>
                        <wps:spPr>
                          <a:xfrm>
                            <a:off x="4320312" y="2649197"/>
                            <a:ext cx="330200" cy="213360"/>
                          </a:xfrm>
                          <a:custGeom>
                            <a:avLst/>
                            <a:gdLst/>
                            <a:ahLst/>
                            <a:cxnLst/>
                            <a:rect l="l" t="t" r="r" b="b"/>
                            <a:pathLst>
                              <a:path w="330200" h="213360">
                                <a:moveTo>
                                  <a:pt x="329590" y="0"/>
                                </a:moveTo>
                                <a:lnTo>
                                  <a:pt x="0" y="213258"/>
                                </a:lnTo>
                              </a:path>
                            </a:pathLst>
                          </a:custGeom>
                          <a:ln w="25400">
                            <a:solidFill>
                              <a:srgbClr val="231F20"/>
                            </a:solidFill>
                            <a:prstDash val="solid"/>
                          </a:ln>
                        </wps:spPr>
                        <wps:bodyPr wrap="square" lIns="0" tIns="0" rIns="0" bIns="0" rtlCol="0">
                          <a:prstTxWarp prst="textNoShape">
                            <a:avLst/>
                          </a:prstTxWarp>
                          <a:noAutofit/>
                        </wps:bodyPr>
                      </wps:wsp>
                      <wps:wsp>
                        <wps:cNvPr id="503" name="Graphic 503"/>
                        <wps:cNvSpPr/>
                        <wps:spPr>
                          <a:xfrm>
                            <a:off x="4610092" y="2609827"/>
                            <a:ext cx="101600" cy="90805"/>
                          </a:xfrm>
                          <a:custGeom>
                            <a:avLst/>
                            <a:gdLst/>
                            <a:ahLst/>
                            <a:cxnLst/>
                            <a:rect l="l" t="t" r="r" b="b"/>
                            <a:pathLst>
                              <a:path w="101600" h="90805">
                                <a:moveTo>
                                  <a:pt x="101180" y="0"/>
                                </a:moveTo>
                                <a:lnTo>
                                  <a:pt x="0" y="5130"/>
                                </a:lnTo>
                                <a:lnTo>
                                  <a:pt x="55041" y="90195"/>
                                </a:lnTo>
                                <a:lnTo>
                                  <a:pt x="101180" y="0"/>
                                </a:lnTo>
                                <a:close/>
                              </a:path>
                            </a:pathLst>
                          </a:custGeom>
                          <a:solidFill>
                            <a:srgbClr val="231F20"/>
                          </a:solidFill>
                        </wps:spPr>
                        <wps:bodyPr wrap="square" lIns="0" tIns="0" rIns="0" bIns="0" rtlCol="0">
                          <a:prstTxWarp prst="textNoShape">
                            <a:avLst/>
                          </a:prstTxWarp>
                          <a:noAutofit/>
                        </wps:bodyPr>
                      </wps:wsp>
                      <wps:wsp>
                        <wps:cNvPr id="504" name="Graphic 504"/>
                        <wps:cNvSpPr/>
                        <wps:spPr>
                          <a:xfrm>
                            <a:off x="4953000" y="2391940"/>
                            <a:ext cx="451484" cy="421005"/>
                          </a:xfrm>
                          <a:custGeom>
                            <a:avLst/>
                            <a:gdLst/>
                            <a:ahLst/>
                            <a:cxnLst/>
                            <a:rect l="l" t="t" r="r" b="b"/>
                            <a:pathLst>
                              <a:path w="451484" h="421005">
                                <a:moveTo>
                                  <a:pt x="0" y="0"/>
                                </a:moveTo>
                                <a:lnTo>
                                  <a:pt x="450989" y="420776"/>
                                </a:lnTo>
                              </a:path>
                            </a:pathLst>
                          </a:custGeom>
                          <a:ln w="25400">
                            <a:solidFill>
                              <a:srgbClr val="231F20"/>
                            </a:solidFill>
                            <a:prstDash val="solid"/>
                          </a:ln>
                        </wps:spPr>
                        <wps:bodyPr wrap="square" lIns="0" tIns="0" rIns="0" bIns="0" rtlCol="0">
                          <a:prstTxWarp prst="textNoShape">
                            <a:avLst/>
                          </a:prstTxWarp>
                          <a:noAutofit/>
                        </wps:bodyPr>
                      </wps:wsp>
                      <wps:wsp>
                        <wps:cNvPr id="505" name="Graphic 505"/>
                        <wps:cNvSpPr/>
                        <wps:spPr>
                          <a:xfrm>
                            <a:off x="5358791" y="2765361"/>
                            <a:ext cx="99060" cy="97155"/>
                          </a:xfrm>
                          <a:custGeom>
                            <a:avLst/>
                            <a:gdLst/>
                            <a:ahLst/>
                            <a:cxnLst/>
                            <a:rect l="l" t="t" r="r" b="b"/>
                            <a:pathLst>
                              <a:path w="99060" h="97155">
                                <a:moveTo>
                                  <a:pt x="69113" y="0"/>
                                </a:moveTo>
                                <a:lnTo>
                                  <a:pt x="0" y="74079"/>
                                </a:lnTo>
                                <a:lnTo>
                                  <a:pt x="98704" y="96901"/>
                                </a:lnTo>
                                <a:lnTo>
                                  <a:pt x="69113" y="0"/>
                                </a:lnTo>
                                <a:close/>
                              </a:path>
                            </a:pathLst>
                          </a:custGeom>
                          <a:solidFill>
                            <a:srgbClr val="231F20"/>
                          </a:solidFill>
                        </wps:spPr>
                        <wps:bodyPr wrap="square" lIns="0" tIns="0" rIns="0" bIns="0" rtlCol="0">
                          <a:prstTxWarp prst="textNoShape">
                            <a:avLst/>
                          </a:prstTxWarp>
                          <a:noAutofit/>
                        </wps:bodyPr>
                      </wps:wsp>
                      <wps:wsp>
                        <wps:cNvPr id="506" name="Graphic 506"/>
                        <wps:cNvSpPr/>
                        <wps:spPr>
                          <a:xfrm>
                            <a:off x="4649801" y="2088721"/>
                            <a:ext cx="606425" cy="606425"/>
                          </a:xfrm>
                          <a:custGeom>
                            <a:avLst/>
                            <a:gdLst/>
                            <a:ahLst/>
                            <a:cxnLst/>
                            <a:rect l="l" t="t" r="r" b="b"/>
                            <a:pathLst>
                              <a:path w="606425" h="606425">
                                <a:moveTo>
                                  <a:pt x="303199" y="0"/>
                                </a:moveTo>
                                <a:lnTo>
                                  <a:pt x="254016" y="3968"/>
                                </a:lnTo>
                                <a:lnTo>
                                  <a:pt x="207361" y="15456"/>
                                </a:lnTo>
                                <a:lnTo>
                                  <a:pt x="163857" y="33840"/>
                                </a:lnTo>
                                <a:lnTo>
                                  <a:pt x="124129" y="58497"/>
                                </a:lnTo>
                                <a:lnTo>
                                  <a:pt x="88801" y="88801"/>
                                </a:lnTo>
                                <a:lnTo>
                                  <a:pt x="58497" y="124129"/>
                                </a:lnTo>
                                <a:lnTo>
                                  <a:pt x="33840" y="163857"/>
                                </a:lnTo>
                                <a:lnTo>
                                  <a:pt x="15456" y="207361"/>
                                </a:lnTo>
                                <a:lnTo>
                                  <a:pt x="3968" y="254016"/>
                                </a:lnTo>
                                <a:lnTo>
                                  <a:pt x="0" y="303199"/>
                                </a:lnTo>
                                <a:lnTo>
                                  <a:pt x="3968" y="352379"/>
                                </a:lnTo>
                                <a:lnTo>
                                  <a:pt x="15456" y="399033"/>
                                </a:lnTo>
                                <a:lnTo>
                                  <a:pt x="33840" y="442536"/>
                                </a:lnTo>
                                <a:lnTo>
                                  <a:pt x="58497" y="482264"/>
                                </a:lnTo>
                                <a:lnTo>
                                  <a:pt x="88801" y="517593"/>
                                </a:lnTo>
                                <a:lnTo>
                                  <a:pt x="124129" y="547898"/>
                                </a:lnTo>
                                <a:lnTo>
                                  <a:pt x="163857" y="572556"/>
                                </a:lnTo>
                                <a:lnTo>
                                  <a:pt x="207361" y="590941"/>
                                </a:lnTo>
                                <a:lnTo>
                                  <a:pt x="254016" y="602431"/>
                                </a:lnTo>
                                <a:lnTo>
                                  <a:pt x="303199" y="606399"/>
                                </a:lnTo>
                                <a:lnTo>
                                  <a:pt x="352382" y="602431"/>
                                </a:lnTo>
                                <a:lnTo>
                                  <a:pt x="399038" y="590941"/>
                                </a:lnTo>
                                <a:lnTo>
                                  <a:pt x="442541" y="572556"/>
                                </a:lnTo>
                                <a:lnTo>
                                  <a:pt x="482269" y="547898"/>
                                </a:lnTo>
                                <a:lnTo>
                                  <a:pt x="517598" y="517593"/>
                                </a:lnTo>
                                <a:lnTo>
                                  <a:pt x="547902" y="482264"/>
                                </a:lnTo>
                                <a:lnTo>
                                  <a:pt x="572558" y="442536"/>
                                </a:lnTo>
                                <a:lnTo>
                                  <a:pt x="590943" y="399033"/>
                                </a:lnTo>
                                <a:lnTo>
                                  <a:pt x="602431" y="352379"/>
                                </a:lnTo>
                                <a:lnTo>
                                  <a:pt x="606399" y="303199"/>
                                </a:lnTo>
                                <a:lnTo>
                                  <a:pt x="602431" y="254016"/>
                                </a:lnTo>
                                <a:lnTo>
                                  <a:pt x="590943" y="207361"/>
                                </a:lnTo>
                                <a:lnTo>
                                  <a:pt x="572558" y="163857"/>
                                </a:lnTo>
                                <a:lnTo>
                                  <a:pt x="547902" y="124129"/>
                                </a:lnTo>
                                <a:lnTo>
                                  <a:pt x="517598" y="88801"/>
                                </a:lnTo>
                                <a:lnTo>
                                  <a:pt x="482269" y="58497"/>
                                </a:lnTo>
                                <a:lnTo>
                                  <a:pt x="442541" y="33840"/>
                                </a:lnTo>
                                <a:lnTo>
                                  <a:pt x="399038" y="15456"/>
                                </a:lnTo>
                                <a:lnTo>
                                  <a:pt x="352382" y="3968"/>
                                </a:lnTo>
                                <a:lnTo>
                                  <a:pt x="303199" y="0"/>
                                </a:lnTo>
                                <a:close/>
                              </a:path>
                            </a:pathLst>
                          </a:custGeom>
                          <a:solidFill>
                            <a:srgbClr val="FFFFFF"/>
                          </a:solidFill>
                        </wps:spPr>
                        <wps:bodyPr wrap="square" lIns="0" tIns="0" rIns="0" bIns="0" rtlCol="0">
                          <a:prstTxWarp prst="textNoShape">
                            <a:avLst/>
                          </a:prstTxWarp>
                          <a:noAutofit/>
                        </wps:bodyPr>
                      </wps:wsp>
                      <wps:wsp>
                        <wps:cNvPr id="507" name="Graphic 507"/>
                        <wps:cNvSpPr/>
                        <wps:spPr>
                          <a:xfrm>
                            <a:off x="4649801" y="2088721"/>
                            <a:ext cx="606425" cy="606425"/>
                          </a:xfrm>
                          <a:custGeom>
                            <a:avLst/>
                            <a:gdLst/>
                            <a:ahLst/>
                            <a:cxnLst/>
                            <a:rect l="l" t="t" r="r" b="b"/>
                            <a:pathLst>
                              <a:path w="606425" h="606425">
                                <a:moveTo>
                                  <a:pt x="606399" y="303199"/>
                                </a:moveTo>
                                <a:lnTo>
                                  <a:pt x="602431" y="352379"/>
                                </a:lnTo>
                                <a:lnTo>
                                  <a:pt x="590943" y="399033"/>
                                </a:lnTo>
                                <a:lnTo>
                                  <a:pt x="572558" y="442536"/>
                                </a:lnTo>
                                <a:lnTo>
                                  <a:pt x="547902" y="482264"/>
                                </a:lnTo>
                                <a:lnTo>
                                  <a:pt x="517598" y="517593"/>
                                </a:lnTo>
                                <a:lnTo>
                                  <a:pt x="482269" y="547898"/>
                                </a:lnTo>
                                <a:lnTo>
                                  <a:pt x="442541" y="572556"/>
                                </a:lnTo>
                                <a:lnTo>
                                  <a:pt x="399038" y="590941"/>
                                </a:lnTo>
                                <a:lnTo>
                                  <a:pt x="352382" y="602431"/>
                                </a:lnTo>
                                <a:lnTo>
                                  <a:pt x="303199" y="606399"/>
                                </a:lnTo>
                                <a:lnTo>
                                  <a:pt x="254016" y="602431"/>
                                </a:lnTo>
                                <a:lnTo>
                                  <a:pt x="207361" y="590941"/>
                                </a:lnTo>
                                <a:lnTo>
                                  <a:pt x="163857" y="572556"/>
                                </a:lnTo>
                                <a:lnTo>
                                  <a:pt x="124129" y="547898"/>
                                </a:lnTo>
                                <a:lnTo>
                                  <a:pt x="88801" y="517593"/>
                                </a:lnTo>
                                <a:lnTo>
                                  <a:pt x="58497" y="482264"/>
                                </a:lnTo>
                                <a:lnTo>
                                  <a:pt x="33840" y="442536"/>
                                </a:lnTo>
                                <a:lnTo>
                                  <a:pt x="15456" y="399033"/>
                                </a:lnTo>
                                <a:lnTo>
                                  <a:pt x="3968" y="352379"/>
                                </a:lnTo>
                                <a:lnTo>
                                  <a:pt x="0" y="303199"/>
                                </a:lnTo>
                                <a:lnTo>
                                  <a:pt x="3968" y="254016"/>
                                </a:lnTo>
                                <a:lnTo>
                                  <a:pt x="15456" y="207361"/>
                                </a:lnTo>
                                <a:lnTo>
                                  <a:pt x="33840" y="163857"/>
                                </a:lnTo>
                                <a:lnTo>
                                  <a:pt x="58497" y="124129"/>
                                </a:lnTo>
                                <a:lnTo>
                                  <a:pt x="88801" y="88801"/>
                                </a:lnTo>
                                <a:lnTo>
                                  <a:pt x="124129" y="58497"/>
                                </a:lnTo>
                                <a:lnTo>
                                  <a:pt x="163857" y="33840"/>
                                </a:lnTo>
                                <a:lnTo>
                                  <a:pt x="207361" y="15456"/>
                                </a:lnTo>
                                <a:lnTo>
                                  <a:pt x="254016" y="3968"/>
                                </a:lnTo>
                                <a:lnTo>
                                  <a:pt x="303199" y="0"/>
                                </a:lnTo>
                                <a:lnTo>
                                  <a:pt x="352382" y="3968"/>
                                </a:lnTo>
                                <a:lnTo>
                                  <a:pt x="399038" y="15456"/>
                                </a:lnTo>
                                <a:lnTo>
                                  <a:pt x="442541" y="33840"/>
                                </a:lnTo>
                                <a:lnTo>
                                  <a:pt x="482269" y="58497"/>
                                </a:lnTo>
                                <a:lnTo>
                                  <a:pt x="517598" y="88801"/>
                                </a:lnTo>
                                <a:lnTo>
                                  <a:pt x="547902" y="124129"/>
                                </a:lnTo>
                                <a:lnTo>
                                  <a:pt x="572558" y="163857"/>
                                </a:lnTo>
                                <a:lnTo>
                                  <a:pt x="590943" y="207361"/>
                                </a:lnTo>
                                <a:lnTo>
                                  <a:pt x="602431" y="254016"/>
                                </a:lnTo>
                                <a:lnTo>
                                  <a:pt x="606399" y="303199"/>
                                </a:lnTo>
                                <a:close/>
                              </a:path>
                            </a:pathLst>
                          </a:custGeom>
                          <a:ln w="25399">
                            <a:solidFill>
                              <a:srgbClr val="231F20"/>
                            </a:solidFill>
                            <a:prstDash val="solid"/>
                          </a:ln>
                        </wps:spPr>
                        <wps:bodyPr wrap="square" lIns="0" tIns="0" rIns="0" bIns="0" rtlCol="0">
                          <a:prstTxWarp prst="textNoShape">
                            <a:avLst/>
                          </a:prstTxWarp>
                          <a:noAutofit/>
                        </wps:bodyPr>
                      </wps:wsp>
                      <pic:pic>
                        <pic:nvPicPr>
                          <pic:cNvPr id="508" name="Image 508"/>
                          <pic:cNvPicPr/>
                        </pic:nvPicPr>
                        <pic:blipFill>
                          <a:blip r:embed="rId65" cstate="print"/>
                          <a:stretch>
                            <a:fillRect/>
                          </a:stretch>
                        </pic:blipFill>
                        <pic:spPr>
                          <a:xfrm>
                            <a:off x="4230001" y="2301643"/>
                            <a:ext cx="180606" cy="180594"/>
                          </a:xfrm>
                          <a:prstGeom prst="rect">
                            <a:avLst/>
                          </a:prstGeom>
                        </pic:spPr>
                      </pic:pic>
                      <pic:pic>
                        <pic:nvPicPr>
                          <pic:cNvPr id="509" name="Image 509"/>
                          <pic:cNvPicPr/>
                        </pic:nvPicPr>
                        <pic:blipFill>
                          <a:blip r:embed="rId66" cstate="print"/>
                          <a:stretch>
                            <a:fillRect/>
                          </a:stretch>
                        </pic:blipFill>
                        <pic:spPr>
                          <a:xfrm>
                            <a:off x="4230001" y="1831068"/>
                            <a:ext cx="180606" cy="180594"/>
                          </a:xfrm>
                          <a:prstGeom prst="rect">
                            <a:avLst/>
                          </a:prstGeom>
                        </pic:spPr>
                      </pic:pic>
                      <pic:pic>
                        <pic:nvPicPr>
                          <pic:cNvPr id="510" name="Image 510"/>
                          <pic:cNvPicPr/>
                        </pic:nvPicPr>
                        <pic:blipFill>
                          <a:blip r:embed="rId67" cstate="print"/>
                          <a:stretch>
                            <a:fillRect/>
                          </a:stretch>
                        </pic:blipFill>
                        <pic:spPr>
                          <a:xfrm>
                            <a:off x="4230001" y="2772163"/>
                            <a:ext cx="180606" cy="180594"/>
                          </a:xfrm>
                          <a:prstGeom prst="rect">
                            <a:avLst/>
                          </a:prstGeom>
                        </pic:spPr>
                      </pic:pic>
                      <wps:wsp>
                        <wps:cNvPr id="511" name="Graphic 511"/>
                        <wps:cNvSpPr/>
                        <wps:spPr>
                          <a:xfrm>
                            <a:off x="3926573" y="3065614"/>
                            <a:ext cx="2127885" cy="789305"/>
                          </a:xfrm>
                          <a:custGeom>
                            <a:avLst/>
                            <a:gdLst/>
                            <a:ahLst/>
                            <a:cxnLst/>
                            <a:rect l="l" t="t" r="r" b="b"/>
                            <a:pathLst>
                              <a:path w="2127885" h="789305">
                                <a:moveTo>
                                  <a:pt x="861085" y="250901"/>
                                </a:moveTo>
                                <a:lnTo>
                                  <a:pt x="430555" y="0"/>
                                </a:lnTo>
                                <a:lnTo>
                                  <a:pt x="0" y="250901"/>
                                </a:lnTo>
                                <a:lnTo>
                                  <a:pt x="111798" y="250901"/>
                                </a:lnTo>
                                <a:lnTo>
                                  <a:pt x="111798" y="789127"/>
                                </a:lnTo>
                                <a:lnTo>
                                  <a:pt x="749287" y="789127"/>
                                </a:lnTo>
                                <a:lnTo>
                                  <a:pt x="749287" y="250901"/>
                                </a:lnTo>
                                <a:lnTo>
                                  <a:pt x="861085" y="250901"/>
                                </a:lnTo>
                                <a:close/>
                              </a:path>
                              <a:path w="2127885" h="789305">
                                <a:moveTo>
                                  <a:pt x="2127758" y="250901"/>
                                </a:moveTo>
                                <a:lnTo>
                                  <a:pt x="1697215" y="0"/>
                                </a:lnTo>
                                <a:lnTo>
                                  <a:pt x="1266672" y="250901"/>
                                </a:lnTo>
                                <a:lnTo>
                                  <a:pt x="1378458" y="250901"/>
                                </a:lnTo>
                                <a:lnTo>
                                  <a:pt x="1378458" y="789127"/>
                                </a:lnTo>
                                <a:lnTo>
                                  <a:pt x="2015947" y="789127"/>
                                </a:lnTo>
                                <a:lnTo>
                                  <a:pt x="2015947" y="250901"/>
                                </a:lnTo>
                                <a:lnTo>
                                  <a:pt x="2127758" y="250901"/>
                                </a:lnTo>
                                <a:close/>
                              </a:path>
                            </a:pathLst>
                          </a:custGeom>
                          <a:solidFill>
                            <a:srgbClr val="FFFFFF"/>
                          </a:solidFill>
                        </wps:spPr>
                        <wps:bodyPr wrap="square" lIns="0" tIns="0" rIns="0" bIns="0" rtlCol="0">
                          <a:prstTxWarp prst="textNoShape">
                            <a:avLst/>
                          </a:prstTxWarp>
                          <a:noAutofit/>
                        </wps:bodyPr>
                      </wps:wsp>
                      <wps:wsp>
                        <wps:cNvPr id="512" name="Graphic 512"/>
                        <wps:cNvSpPr/>
                        <wps:spPr>
                          <a:xfrm>
                            <a:off x="19050" y="19050"/>
                            <a:ext cx="6591300" cy="5257800"/>
                          </a:xfrm>
                          <a:custGeom>
                            <a:avLst/>
                            <a:gdLst/>
                            <a:ahLst/>
                            <a:cxnLst/>
                            <a:rect l="l" t="t" r="r" b="b"/>
                            <a:pathLst>
                              <a:path w="6591300" h="5257800">
                                <a:moveTo>
                                  <a:pt x="95250" y="0"/>
                                </a:moveTo>
                                <a:lnTo>
                                  <a:pt x="58207" y="7497"/>
                                </a:lnTo>
                                <a:lnTo>
                                  <a:pt x="27927" y="27932"/>
                                </a:lnTo>
                                <a:lnTo>
                                  <a:pt x="7496" y="58212"/>
                                </a:lnTo>
                                <a:lnTo>
                                  <a:pt x="0" y="95250"/>
                                </a:lnTo>
                                <a:lnTo>
                                  <a:pt x="0" y="5162550"/>
                                </a:lnTo>
                                <a:lnTo>
                                  <a:pt x="7496" y="5199592"/>
                                </a:lnTo>
                                <a:lnTo>
                                  <a:pt x="27927" y="5229872"/>
                                </a:lnTo>
                                <a:lnTo>
                                  <a:pt x="58207" y="5250303"/>
                                </a:lnTo>
                                <a:lnTo>
                                  <a:pt x="95250" y="5257800"/>
                                </a:lnTo>
                                <a:lnTo>
                                  <a:pt x="6496050" y="5257800"/>
                                </a:lnTo>
                                <a:lnTo>
                                  <a:pt x="6533087" y="5250303"/>
                                </a:lnTo>
                                <a:lnTo>
                                  <a:pt x="6563367" y="5229872"/>
                                </a:lnTo>
                                <a:lnTo>
                                  <a:pt x="6583802" y="5199592"/>
                                </a:lnTo>
                                <a:lnTo>
                                  <a:pt x="6591300" y="5162550"/>
                                </a:lnTo>
                                <a:lnTo>
                                  <a:pt x="6591300" y="95250"/>
                                </a:lnTo>
                                <a:lnTo>
                                  <a:pt x="6583802" y="58212"/>
                                </a:lnTo>
                                <a:lnTo>
                                  <a:pt x="6563367" y="27932"/>
                                </a:lnTo>
                                <a:lnTo>
                                  <a:pt x="6533087" y="7497"/>
                                </a:lnTo>
                                <a:lnTo>
                                  <a:pt x="64960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pt;margin-top:-11.196094pt;width:522pt;height:417pt;mso-position-horizontal-relative:page;mso-position-vertical-relative:paragraph;z-index:-36572160" id="docshapegroup401" coordorigin="660,-224" coordsize="10440,8340">
                <v:shape style="position:absolute;left:690;top:-194;width:10380;height:8280" id="docshape402" coordorigin="690,-194" coordsize="10380,8280" path="m10920,-194l840,-194,782,-182,734,-150,702,-102,690,-44,690,7936,702,7994,734,8042,782,8074,840,8086,10920,8086,10978,8074,11026,8042,11058,7994,11070,7936,11070,-44,11058,-102,11026,-150,10978,-182,10920,-194xe" filled="true" fillcolor="#e9f1fa" stroked="false">
                  <v:path arrowok="t"/>
                  <v:fill type="solid"/>
                </v:shape>
                <v:shape style="position:absolute;left:900;top:-144;width:10170;height:400" id="docshape403" coordorigin="900,-144" coordsize="10170,400" path="m11030,-144l900,-144,900,256,11070,256,11070,-44,11058,-102,11030,-144xe" filled="true" fillcolor="#808285" stroked="false">
                  <v:path arrowok="t"/>
                  <v:fill type="solid"/>
                </v:shape>
                <v:line style="position:absolute" from="1520,256" to="1520,-144" stroked="true" strokeweight="2pt" strokecolor="#ffffff">
                  <v:stroke dashstyle="solid"/>
                </v:line>
                <v:rect style="position:absolute;left:720;top:-144;width:780;height:400" id="docshape404" filled="true" fillcolor="#008fdd" stroked="false">
                  <v:fill type="solid"/>
                </v:rect>
                <v:shape style="position:absolute;left:6600;top:2342;width:3720;height:3686" id="docshape405" coordorigin="6600,2343" coordsize="3720,3686" path="m10320,2343l6600,2343,6600,5911,6610,5956,6636,5994,6674,6019,6718,6028,10196,6028,10242,6020,10281,5996,10309,5959,10320,5911,10320,2343xe" filled="true" fillcolor="#d4e3f5" stroked="false">
                  <v:path arrowok="t"/>
                  <v:fill type="solid"/>
                </v:shape>
                <v:shape style="position:absolute;left:6684;top:2489;width:1200;height:2170" id="docshape406" coordorigin="6684,2489" coordsize="1200,2170" path="m7884,4539l7875,4586,7849,4624,7811,4650,7764,4659,6804,4659,6757,4650,6719,4624,6693,4586,6684,4539,6684,2609,6693,2563,6719,2525,6757,2499,6804,2489,7764,2489,7811,2499,7849,2525,7875,2563,7884,2609,7884,4539xe" filled="false" stroked="true" strokeweight="1pt" strokecolor="#ffffff">
                  <v:path arrowok="t"/>
                  <v:stroke dashstyle="solid"/>
                </v:shape>
                <v:shape style="position:absolute;left:9035;top:2489;width:1200;height:2170" id="docshape407" coordorigin="9036,2489" coordsize="1200,2170" path="m10236,4539l10227,4586,10201,4624,10163,4650,10116,4659,9156,4659,9109,4650,9071,4624,9045,4586,9036,4539,9036,2609,9045,2563,9071,2525,9109,2499,9156,2489,10116,2489,10163,2499,10201,2525,10227,2563,10236,2609,10236,4539xe" filled="false" stroked="true" strokeweight="1pt" strokecolor="#ffffff">
                  <v:path arrowok="t"/>
                  <v:stroke dashstyle="solid"/>
                </v:shape>
                <v:shape style="position:absolute;left:6599;top:1936;width:3720;height:365" id="docshape408" coordorigin="6600,1936" coordsize="3720,365" path="m10199,1936l6720,1936,6674,1941,6636,1959,6609,1996,6600,2056,6600,2301,10319,2301,10319,2056,10310,2016,10286,1977,10248,1948,10199,1936xe" filled="true" fillcolor="#808285" stroked="false">
                  <v:path arrowok="t"/>
                  <v:fill type="solid"/>
                </v:shape>
                <v:shape style="position:absolute;left:9314;top:3400;width:285;height:285" type="#_x0000_t75" id="docshape409" stroked="false">
                  <v:imagedata r:id="rId62" o:title=""/>
                </v:shape>
                <v:shape style="position:absolute;left:9314;top:2659;width:285;height:285" type="#_x0000_t75" id="docshape410" stroked="false">
                  <v:imagedata r:id="rId63" o:title=""/>
                </v:shape>
                <v:shape style="position:absolute;left:9314;top:4141;width:285;height:285" type="#_x0000_t75" id="docshape411" stroked="false">
                  <v:imagedata r:id="rId64" o:title=""/>
                </v:shape>
                <v:line style="position:absolute" from="8460,3543" to="9162,3543" stroked="true" strokeweight="2pt" strokecolor="#231f20">
                  <v:stroke dashstyle="solid"/>
                </v:line>
                <v:shape style="position:absolute;left:9138;top:3462;width:139;height:160" id="docshape412" coordorigin="9139,3463" coordsize="139,160" path="m9139,3463l9139,3622,9277,3542,9139,3463xe" filled="true" fillcolor="#231f20" stroked="false">
                  <v:path arrowok="t"/>
                  <v:fill type="solid"/>
                </v:shape>
                <v:line style="position:absolute" from="8460,3543" to="9170,2880" stroked="true" strokeweight="2pt" strokecolor="#231f20">
                  <v:stroke dashstyle="solid"/>
                </v:line>
                <v:shape style="position:absolute;left:9098;top:2801;width:156;height:153" id="docshape413" coordorigin="9098,2802" coordsize="156,153" path="m9254,2802l9098,2837,9207,2954,9254,2802xe" filled="true" fillcolor="#231f20" stroked="false">
                  <v:path arrowok="t"/>
                  <v:fill type="solid"/>
                </v:shape>
                <v:line style="position:absolute" from="7982,3135" to="7464,2802" stroked="true" strokeweight="2pt" strokecolor="#231f20">
                  <v:stroke dashstyle="solid"/>
                </v:line>
                <v:shape style="position:absolute;left:7919;top:3055;width:160;height:142" id="docshape414" coordorigin="7919,3055" coordsize="160,142" path="m8006,3055l7919,3190,8079,3197,8006,3055xe" filled="true" fillcolor="#231f20" stroked="false">
                  <v:path arrowok="t"/>
                  <v:fill type="solid"/>
                </v:shape>
                <v:line style="position:absolute" from="7842,3543" to="7464,3543" stroked="true" strokeweight="2pt" strokecolor="#231f20">
                  <v:stroke dashstyle="solid"/>
                </v:line>
                <v:shape style="position:absolute;left:7818;top:3463;width:139;height:160" id="docshape415" coordorigin="7818,3464" coordsize="139,160" path="m7818,3464l7818,3623,7957,3543,7818,3464xe" filled="true" fillcolor="#231f20" stroked="false">
                  <v:path arrowok="t"/>
                  <v:fill type="solid"/>
                </v:shape>
                <v:line style="position:absolute" from="7983,3948" to="7464,4284" stroked="true" strokeweight="2pt" strokecolor="#231f20">
                  <v:stroke dashstyle="solid"/>
                </v:line>
                <v:shape style="position:absolute;left:7919;top:3886;width:160;height:143" id="docshape416" coordorigin="7920,3886" coordsize="160,143" path="m8079,3886l7920,3894,8007,4028,8079,3886xe" filled="true" fillcolor="#231f20" stroked="false">
                  <v:path arrowok="t"/>
                  <v:fill type="solid"/>
                </v:shape>
                <v:line style="position:absolute" from="8460,3543" to="9170,4206" stroked="true" strokeweight="2pt" strokecolor="#231f20">
                  <v:stroke dashstyle="solid"/>
                </v:line>
                <v:shape style="position:absolute;left:9099;top:4130;width:156;height:153" id="docshape417" coordorigin="9099,4131" coordsize="156,153" path="m9208,4131l9099,4248,9254,4284,9208,4131xe" filled="true" fillcolor="#231f20" stroked="false">
                  <v:path arrowok="t"/>
                  <v:fill type="solid"/>
                </v:shape>
                <v:shape style="position:absolute;left:7982;top:3065;width:955;height:955" id="docshape418" coordorigin="7983,3065" coordsize="955,955" path="m8460,3065l8383,3072,8309,3090,8241,3119,8178,3158,8122,3205,8075,3261,8036,3323,8007,3392,7989,3465,7983,3543,7989,3620,8007,3694,8036,3762,8075,3825,8122,3881,8178,3928,8241,3967,8309,3996,8383,4014,8460,4020,8537,4014,8611,3996,8679,3967,8742,3928,8798,3881,8845,3825,8884,3762,8913,3694,8931,3620,8937,3543,8931,3465,8913,3392,8884,3323,8845,3261,8798,3205,8742,3158,8679,3119,8611,3090,8537,3072,8460,3065xe" filled="true" fillcolor="#ffffff" stroked="false">
                  <v:path arrowok="t"/>
                  <v:fill type="solid"/>
                </v:shape>
                <v:shape style="position:absolute;left:7982;top:3065;width:955;height:955" id="docshape419" coordorigin="7983,3065" coordsize="955,955" path="m8937,3543l8931,3620,8913,3694,8884,3762,8845,3825,8798,3881,8742,3928,8679,3967,8611,3996,8537,4014,8460,4020,8383,4014,8309,3996,8241,3967,8178,3928,8122,3881,8075,3825,8036,3762,8007,3694,7989,3620,7983,3543,7989,3465,8007,3392,8036,3323,8075,3261,8122,3205,8178,3158,8241,3119,8309,3090,8383,3072,8460,3065,8537,3072,8611,3090,8679,3119,8742,3158,8798,3205,8845,3261,8884,3323,8913,3392,8931,3465,8937,3543xe" filled="false" stroked="true" strokeweight="2.0pt" strokecolor="#231f20">
                  <v:path arrowok="t"/>
                  <v:stroke dashstyle="solid"/>
                </v:shape>
                <v:shape style="position:absolute;left:7321;top:3400;width:285;height:285" type="#_x0000_t75" id="docshape420" stroked="false">
                  <v:imagedata r:id="rId65" o:title=""/>
                </v:shape>
                <v:shape style="position:absolute;left:7321;top:2659;width:285;height:285" type="#_x0000_t75" id="docshape421" stroked="false">
                  <v:imagedata r:id="rId66" o:title=""/>
                </v:shape>
                <v:shape style="position:absolute;left:7321;top:4141;width:285;height:285" type="#_x0000_t75" id="docshape422" stroked="false">
                  <v:imagedata r:id="rId67" o:title=""/>
                </v:shape>
                <v:shape style="position:absolute;left:6843;top:4603;width:3351;height:1243" id="docshape423" coordorigin="6844,4604" coordsize="3351,1243" path="m8200,4999l7522,4604,6844,4999,7020,4999,7020,5847,8024,5847,8024,4999,8200,4999xm10194,4999l9516,4604,8838,4999,9014,4999,9014,5847,10018,5847,10018,4999,10194,4999xe" filled="true" fillcolor="#ffffff" stroked="false">
                  <v:path arrowok="t"/>
                  <v:fill type="solid"/>
                </v:shape>
                <v:shape style="position:absolute;left:690;top:-194;width:10380;height:8280" id="docshape424" coordorigin="690,-194" coordsize="10380,8280" path="m840,-194l782,-182,734,-150,702,-102,690,-44,690,7936,702,7994,734,8042,782,8074,840,8086,10920,8086,10978,8074,11026,8042,11058,7994,11070,7936,11070,-44,11058,-102,11026,-150,10978,-182,10920,-194,840,-194xe" filled="false" stroked="true" strokeweight="3pt" strokecolor="#ffffff">
                  <v:path arrowok="t"/>
                  <v:stroke dashstyle="solid"/>
                </v:shape>
                <w10:wrap type="none"/>
              </v:group>
            </w:pict>
          </mc:Fallback>
        </mc:AlternateContent>
      </w:r>
      <w:r>
        <w:rPr/>
        <mc:AlternateContent>
          <mc:Choice Requires="wps">
            <w:drawing>
              <wp:anchor distT="0" distB="0" distL="0" distR="0" allowOverlap="1" layoutInCell="1" locked="0" behindDoc="0" simplePos="0" relativeHeight="15744000">
                <wp:simplePos x="0" y="0"/>
                <wp:positionH relativeFrom="page">
                  <wp:posOffset>457200</wp:posOffset>
                </wp:positionH>
                <wp:positionV relativeFrom="paragraph">
                  <wp:posOffset>-91239</wp:posOffset>
                </wp:positionV>
                <wp:extent cx="495300" cy="254000"/>
                <wp:effectExtent l="0" t="0" r="0" b="0"/>
                <wp:wrapNone/>
                <wp:docPr id="513" name="Textbox 513"/>
                <wp:cNvGraphicFramePr>
                  <a:graphicFrameLocks/>
                </wp:cNvGraphicFramePr>
                <a:graphic>
                  <a:graphicData uri="http://schemas.microsoft.com/office/word/2010/wordprocessingShape">
                    <wps:wsp>
                      <wps:cNvPr id="513" name="Textbox 513"/>
                      <wps:cNvSpPr txBox="1"/>
                      <wps:spPr>
                        <a:xfrm>
                          <a:off x="0" y="0"/>
                          <a:ext cx="495300" cy="254000"/>
                        </a:xfrm>
                        <a:prstGeom prst="rect">
                          <a:avLst/>
                        </a:prstGeom>
                      </wps:spPr>
                      <wps:txbx>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2"/>
                                <w:w w:val="85"/>
                                <w:sz w:val="16"/>
                              </w:rPr>
                              <w:t> </w:t>
                            </w:r>
                            <w:r>
                              <w:rPr>
                                <w:rFonts w:ascii="Arial"/>
                                <w:b/>
                                <w:color w:val="FFFFFF"/>
                                <w:spacing w:val="-5"/>
                                <w:w w:val="85"/>
                                <w:sz w:val="16"/>
                              </w:rPr>
                              <w:t>2.1</w:t>
                            </w:r>
                          </w:p>
                        </w:txbxContent>
                      </wps:txbx>
                      <wps:bodyPr wrap="square" lIns="0" tIns="0" rIns="0" bIns="0" rtlCol="0">
                        <a:noAutofit/>
                      </wps:bodyPr>
                    </wps:wsp>
                  </a:graphicData>
                </a:graphic>
              </wp:anchor>
            </w:drawing>
          </mc:Choice>
          <mc:Fallback>
            <w:pict>
              <v:shape style="position:absolute;margin-left:36pt;margin-top:-7.184194pt;width:39pt;height:20pt;mso-position-horizontal-relative:page;mso-position-vertical-relative:paragraph;z-index:15744000" type="#_x0000_t202" id="docshape425" filled="false" stroked="false">
                <v:textbox inset="0,0,0,0">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2"/>
                          <w:w w:val="85"/>
                          <w:sz w:val="16"/>
                        </w:rPr>
                        <w:t> </w:t>
                      </w:r>
                      <w:r>
                        <w:rPr>
                          <w:rFonts w:ascii="Arial"/>
                          <w:b/>
                          <w:color w:val="FFFFFF"/>
                          <w:spacing w:val="-5"/>
                          <w:w w:val="85"/>
                          <w:sz w:val="16"/>
                        </w:rPr>
                        <w:t>2.1</w:t>
                      </w:r>
                    </w:p>
                  </w:txbxContent>
                </v:textbox>
                <w10:wrap type="none"/>
              </v:shape>
            </w:pict>
          </mc:Fallback>
        </mc:AlternateContent>
      </w:r>
      <w:bookmarkStart w:name="_bookmark16" w:id="17"/>
      <w:bookmarkEnd w:id="17"/>
      <w:r>
        <w:rPr/>
      </w:r>
      <w:bookmarkStart w:name="_bookmark15" w:id="18"/>
      <w:bookmarkEnd w:id="18"/>
      <w:r>
        <w:rPr/>
      </w:r>
      <w:r>
        <w:rPr>
          <w:rFonts w:ascii="Arial"/>
          <w:b/>
          <w:color w:val="FFFFFF"/>
          <w:w w:val="105"/>
          <w:sz w:val="16"/>
        </w:rPr>
        <w:t>The</w:t>
      </w:r>
      <w:r>
        <w:rPr>
          <w:rFonts w:ascii="Arial"/>
          <w:b/>
          <w:color w:val="FFFFFF"/>
          <w:spacing w:val="6"/>
          <w:w w:val="105"/>
          <w:sz w:val="16"/>
        </w:rPr>
        <w:t> </w:t>
      </w:r>
      <w:r>
        <w:rPr>
          <w:rFonts w:ascii="Arial"/>
          <w:b/>
          <w:color w:val="FFFFFF"/>
          <w:w w:val="105"/>
          <w:sz w:val="16"/>
        </w:rPr>
        <w:t>six</w:t>
      </w:r>
      <w:r>
        <w:rPr>
          <w:rFonts w:ascii="Arial"/>
          <w:b/>
          <w:color w:val="FFFFFF"/>
          <w:spacing w:val="6"/>
          <w:w w:val="105"/>
          <w:sz w:val="16"/>
        </w:rPr>
        <w:t> </w:t>
      </w:r>
      <w:r>
        <w:rPr>
          <w:rFonts w:ascii="Arial"/>
          <w:b/>
          <w:color w:val="FFFFFF"/>
          <w:w w:val="105"/>
          <w:sz w:val="16"/>
        </w:rPr>
        <w:t>components</w:t>
      </w:r>
      <w:r>
        <w:rPr>
          <w:rFonts w:ascii="Arial"/>
          <w:b/>
          <w:color w:val="FFFFFF"/>
          <w:spacing w:val="7"/>
          <w:w w:val="105"/>
          <w:sz w:val="16"/>
        </w:rPr>
        <w:t> </w:t>
      </w:r>
      <w:r>
        <w:rPr>
          <w:rFonts w:ascii="Arial"/>
          <w:b/>
          <w:color w:val="FFFFFF"/>
          <w:w w:val="105"/>
          <w:sz w:val="16"/>
        </w:rPr>
        <w:t>of</w:t>
      </w:r>
      <w:r>
        <w:rPr>
          <w:rFonts w:ascii="Arial"/>
          <w:b/>
          <w:color w:val="FFFFFF"/>
          <w:spacing w:val="6"/>
          <w:w w:val="105"/>
          <w:sz w:val="16"/>
        </w:rPr>
        <w:t> </w:t>
      </w:r>
      <w:r>
        <w:rPr>
          <w:rFonts w:ascii="Arial"/>
          <w:b/>
          <w:color w:val="FFFFFF"/>
          <w:w w:val="105"/>
          <w:sz w:val="16"/>
        </w:rPr>
        <w:t>the</w:t>
      </w:r>
      <w:r>
        <w:rPr>
          <w:rFonts w:ascii="Arial"/>
          <w:b/>
          <w:color w:val="FFFFFF"/>
          <w:spacing w:val="7"/>
          <w:w w:val="105"/>
          <w:sz w:val="16"/>
        </w:rPr>
        <w:t> </w:t>
      </w:r>
      <w:r>
        <w:rPr>
          <w:rFonts w:ascii="Arial"/>
          <w:b/>
          <w:color w:val="FFFFFF"/>
          <w:spacing w:val="-5"/>
          <w:w w:val="105"/>
          <w:sz w:val="16"/>
        </w:rPr>
        <w:t>LPI</w:t>
      </w:r>
    </w:p>
    <w:p>
      <w:pPr>
        <w:pStyle w:val="BodyText"/>
        <w:rPr>
          <w:rFonts w:ascii="Arial"/>
          <w:b/>
          <w:sz w:val="13"/>
        </w:rPr>
      </w:pPr>
    </w:p>
    <w:p>
      <w:pPr>
        <w:spacing w:after="0"/>
        <w:rPr>
          <w:rFonts w:ascii="Arial"/>
          <w:sz w:val="13"/>
        </w:rPr>
        <w:sectPr>
          <w:headerReference w:type="even" r:id="rId58"/>
          <w:headerReference w:type="default" r:id="rId59"/>
          <w:footerReference w:type="even" r:id="rId60"/>
          <w:footerReference w:type="default" r:id="rId61"/>
          <w:pgSz w:w="12240" w:h="15840"/>
          <w:pgMar w:header="370" w:footer="548" w:top="560" w:bottom="740" w:left="0" w:right="540"/>
          <w:pgNumType w:start="12"/>
        </w:sectPr>
      </w:pPr>
    </w:p>
    <w:p>
      <w:pPr>
        <w:spacing w:line="352" w:lineRule="auto" w:before="102"/>
        <w:ind w:left="900" w:right="0" w:firstLine="0"/>
        <w:jc w:val="left"/>
        <w:rPr>
          <w:rFonts w:ascii="Arial" w:hAnsi="Arial"/>
          <w:sz w:val="16"/>
        </w:rPr>
      </w:pPr>
      <w:r>
        <w:rPr>
          <w:rFonts w:ascii="Arial" w:hAnsi="Arial"/>
          <w:color w:val="231F20"/>
          <w:sz w:val="16"/>
        </w:rPr>
        <w:t>The</w:t>
      </w:r>
      <w:r>
        <w:rPr>
          <w:rFonts w:ascii="Arial" w:hAnsi="Arial"/>
          <w:color w:val="231F20"/>
          <w:spacing w:val="-10"/>
          <w:sz w:val="16"/>
        </w:rPr>
        <w:t> </w:t>
      </w:r>
      <w:r>
        <w:rPr>
          <w:rFonts w:ascii="Arial" w:hAnsi="Arial"/>
          <w:color w:val="231F20"/>
          <w:sz w:val="16"/>
        </w:rPr>
        <w:t>World</w:t>
      </w:r>
      <w:r>
        <w:rPr>
          <w:rFonts w:ascii="Arial" w:hAnsi="Arial"/>
          <w:color w:val="231F20"/>
          <w:spacing w:val="-10"/>
          <w:sz w:val="16"/>
        </w:rPr>
        <w:t> </w:t>
      </w:r>
      <w:r>
        <w:rPr>
          <w:rFonts w:ascii="Arial" w:hAnsi="Arial"/>
          <w:color w:val="231F20"/>
          <w:sz w:val="16"/>
        </w:rPr>
        <w:t>Bank’s</w:t>
      </w:r>
      <w:r>
        <w:rPr>
          <w:rFonts w:ascii="Arial" w:hAnsi="Arial"/>
          <w:color w:val="231F20"/>
          <w:spacing w:val="-10"/>
          <w:sz w:val="16"/>
        </w:rPr>
        <w:t> </w:t>
      </w:r>
      <w:r>
        <w:rPr>
          <w:rFonts w:ascii="Arial" w:hAnsi="Arial"/>
          <w:color w:val="231F20"/>
          <w:sz w:val="16"/>
        </w:rPr>
        <w:t>Logistics</w:t>
      </w:r>
      <w:r>
        <w:rPr>
          <w:rFonts w:ascii="Arial" w:hAnsi="Arial"/>
          <w:color w:val="231F20"/>
          <w:spacing w:val="-10"/>
          <w:sz w:val="16"/>
        </w:rPr>
        <w:t> </w:t>
      </w:r>
      <w:r>
        <w:rPr>
          <w:rFonts w:ascii="Arial" w:hAnsi="Arial"/>
          <w:color w:val="231F20"/>
          <w:sz w:val="16"/>
        </w:rPr>
        <w:t>Performance</w:t>
      </w:r>
      <w:r>
        <w:rPr>
          <w:rFonts w:ascii="Arial" w:hAnsi="Arial"/>
          <w:color w:val="231F20"/>
          <w:spacing w:val="-10"/>
          <w:sz w:val="16"/>
        </w:rPr>
        <w:t> </w:t>
      </w:r>
      <w:r>
        <w:rPr>
          <w:rFonts w:ascii="Arial" w:hAnsi="Arial"/>
          <w:color w:val="231F20"/>
          <w:sz w:val="16"/>
        </w:rPr>
        <w:t>Index</w:t>
      </w:r>
      <w:r>
        <w:rPr>
          <w:rFonts w:ascii="Arial" w:hAnsi="Arial"/>
          <w:color w:val="231F20"/>
          <w:spacing w:val="-10"/>
          <w:sz w:val="16"/>
        </w:rPr>
        <w:t> </w:t>
      </w:r>
      <w:r>
        <w:rPr>
          <w:rFonts w:ascii="Arial" w:hAnsi="Arial"/>
          <w:color w:val="231F20"/>
          <w:sz w:val="16"/>
        </w:rPr>
        <w:t>(LPI)</w:t>
      </w:r>
      <w:r>
        <w:rPr>
          <w:rFonts w:ascii="Arial" w:hAnsi="Arial"/>
          <w:color w:val="231F20"/>
          <w:spacing w:val="-10"/>
          <w:sz w:val="16"/>
        </w:rPr>
        <w:t> </w:t>
      </w:r>
      <w:r>
        <w:rPr>
          <w:rFonts w:ascii="Arial" w:hAnsi="Arial"/>
          <w:color w:val="231F20"/>
          <w:sz w:val="16"/>
        </w:rPr>
        <w:t>analyzes</w:t>
      </w:r>
      <w:r>
        <w:rPr>
          <w:rFonts w:ascii="Arial" w:hAnsi="Arial"/>
          <w:color w:val="231F20"/>
          <w:spacing w:val="-10"/>
          <w:sz w:val="16"/>
        </w:rPr>
        <w:t> </w:t>
      </w:r>
      <w:r>
        <w:rPr>
          <w:rFonts w:ascii="Arial" w:hAnsi="Arial"/>
          <w:color w:val="231F20"/>
          <w:sz w:val="16"/>
        </w:rPr>
        <w:t>coun- tries through six components:</w:t>
      </w:r>
    </w:p>
    <w:p>
      <w:pPr>
        <w:pStyle w:val="ListParagraph"/>
        <w:numPr>
          <w:ilvl w:val="0"/>
          <w:numId w:val="10"/>
        </w:numPr>
        <w:tabs>
          <w:tab w:pos="1438" w:val="left" w:leader="none"/>
          <w:tab w:pos="1440" w:val="left" w:leader="none"/>
        </w:tabs>
        <w:spacing w:line="352" w:lineRule="auto" w:before="0" w:after="0"/>
        <w:ind w:left="1440" w:right="0" w:hanging="240"/>
        <w:jc w:val="left"/>
        <w:rPr>
          <w:sz w:val="16"/>
        </w:rPr>
      </w:pPr>
      <w:r>
        <w:rPr>
          <w:color w:val="231F20"/>
          <w:sz w:val="16"/>
        </w:rPr>
        <w:t>The</w:t>
      </w:r>
      <w:r>
        <w:rPr>
          <w:color w:val="231F20"/>
          <w:spacing w:val="80"/>
          <w:sz w:val="16"/>
        </w:rPr>
        <w:t> </w:t>
      </w:r>
      <w:r>
        <w:rPr>
          <w:color w:val="231F20"/>
          <w:sz w:val="16"/>
        </w:rPr>
        <w:t>efficiency</w:t>
      </w:r>
      <w:r>
        <w:rPr>
          <w:color w:val="231F20"/>
          <w:spacing w:val="80"/>
          <w:sz w:val="16"/>
        </w:rPr>
        <w:t> </w:t>
      </w:r>
      <w:r>
        <w:rPr>
          <w:color w:val="231F20"/>
          <w:sz w:val="16"/>
        </w:rPr>
        <w:t>of</w:t>
      </w:r>
      <w:r>
        <w:rPr>
          <w:color w:val="231F20"/>
          <w:spacing w:val="80"/>
          <w:sz w:val="16"/>
        </w:rPr>
        <w:t> </w:t>
      </w:r>
      <w:r>
        <w:rPr>
          <w:color w:val="231F20"/>
          <w:sz w:val="16"/>
        </w:rPr>
        <w:t>customs</w:t>
      </w:r>
      <w:r>
        <w:rPr>
          <w:color w:val="231F20"/>
          <w:spacing w:val="80"/>
          <w:sz w:val="16"/>
        </w:rPr>
        <w:t> </w:t>
      </w:r>
      <w:r>
        <w:rPr>
          <w:color w:val="231F20"/>
          <w:sz w:val="16"/>
        </w:rPr>
        <w:t>and</w:t>
      </w:r>
      <w:r>
        <w:rPr>
          <w:color w:val="231F20"/>
          <w:spacing w:val="80"/>
          <w:sz w:val="16"/>
        </w:rPr>
        <w:t> </w:t>
      </w:r>
      <w:r>
        <w:rPr>
          <w:color w:val="231F20"/>
          <w:sz w:val="16"/>
        </w:rPr>
        <w:t>border</w:t>
      </w:r>
      <w:r>
        <w:rPr>
          <w:color w:val="231F20"/>
          <w:spacing w:val="80"/>
          <w:sz w:val="16"/>
        </w:rPr>
        <w:t> </w:t>
      </w:r>
      <w:r>
        <w:rPr>
          <w:color w:val="231F20"/>
          <w:sz w:val="16"/>
        </w:rPr>
        <w:t>management </w:t>
      </w:r>
      <w:r>
        <w:rPr>
          <w:color w:val="231F20"/>
          <w:spacing w:val="-2"/>
          <w:sz w:val="16"/>
        </w:rPr>
        <w:t>clearance.</w:t>
      </w:r>
    </w:p>
    <w:p>
      <w:pPr>
        <w:pStyle w:val="ListParagraph"/>
        <w:numPr>
          <w:ilvl w:val="0"/>
          <w:numId w:val="10"/>
        </w:numPr>
        <w:tabs>
          <w:tab w:pos="1439" w:val="left" w:leader="none"/>
        </w:tabs>
        <w:spacing w:line="183" w:lineRule="exact" w:before="0" w:after="0"/>
        <w:ind w:left="1439" w:right="0" w:hanging="239"/>
        <w:jc w:val="left"/>
        <w:rPr>
          <w:sz w:val="16"/>
        </w:rPr>
      </w:pPr>
      <w:r>
        <w:rPr>
          <w:color w:val="231F20"/>
          <w:sz w:val="16"/>
        </w:rPr>
        <w:t>The</w:t>
      </w:r>
      <w:r>
        <w:rPr>
          <w:color w:val="231F20"/>
          <w:spacing w:val="15"/>
          <w:sz w:val="16"/>
        </w:rPr>
        <w:t> </w:t>
      </w:r>
      <w:r>
        <w:rPr>
          <w:color w:val="231F20"/>
          <w:sz w:val="16"/>
        </w:rPr>
        <w:t>quality</w:t>
      </w:r>
      <w:r>
        <w:rPr>
          <w:color w:val="231F20"/>
          <w:spacing w:val="15"/>
          <w:sz w:val="16"/>
        </w:rPr>
        <w:t> </w:t>
      </w:r>
      <w:r>
        <w:rPr>
          <w:color w:val="231F20"/>
          <w:sz w:val="16"/>
        </w:rPr>
        <w:t>of</w:t>
      </w:r>
      <w:r>
        <w:rPr>
          <w:color w:val="231F20"/>
          <w:spacing w:val="15"/>
          <w:sz w:val="16"/>
        </w:rPr>
        <w:t> </w:t>
      </w:r>
      <w:r>
        <w:rPr>
          <w:color w:val="231F20"/>
          <w:sz w:val="16"/>
        </w:rPr>
        <w:t>trade-</w:t>
      </w:r>
      <w:r>
        <w:rPr>
          <w:color w:val="231F20"/>
          <w:spacing w:val="15"/>
          <w:sz w:val="16"/>
        </w:rPr>
        <w:t> </w:t>
      </w:r>
      <w:r>
        <w:rPr>
          <w:color w:val="231F20"/>
          <w:sz w:val="16"/>
        </w:rPr>
        <w:t>and</w:t>
      </w:r>
      <w:r>
        <w:rPr>
          <w:color w:val="231F20"/>
          <w:spacing w:val="15"/>
          <w:sz w:val="16"/>
        </w:rPr>
        <w:t> </w:t>
      </w:r>
      <w:r>
        <w:rPr>
          <w:color w:val="231F20"/>
          <w:sz w:val="16"/>
        </w:rPr>
        <w:t>transport-related</w:t>
      </w:r>
      <w:r>
        <w:rPr>
          <w:color w:val="231F20"/>
          <w:spacing w:val="15"/>
          <w:sz w:val="16"/>
        </w:rPr>
        <w:t> </w:t>
      </w:r>
      <w:r>
        <w:rPr>
          <w:color w:val="231F20"/>
          <w:spacing w:val="-2"/>
          <w:sz w:val="16"/>
        </w:rPr>
        <w:t>infrastructure.</w:t>
      </w:r>
    </w:p>
    <w:p>
      <w:pPr>
        <w:pStyle w:val="ListParagraph"/>
        <w:numPr>
          <w:ilvl w:val="0"/>
          <w:numId w:val="10"/>
        </w:numPr>
        <w:tabs>
          <w:tab w:pos="1440" w:val="left" w:leader="none"/>
        </w:tabs>
        <w:spacing w:line="352" w:lineRule="auto" w:before="85" w:after="0"/>
        <w:ind w:left="1440" w:right="0" w:hanging="240"/>
        <w:jc w:val="left"/>
        <w:rPr>
          <w:sz w:val="16"/>
        </w:rPr>
      </w:pPr>
      <w:r>
        <w:rPr>
          <w:color w:val="231F20"/>
          <w:sz w:val="16"/>
        </w:rPr>
        <w:t>The</w:t>
      </w:r>
      <w:r>
        <w:rPr>
          <w:color w:val="231F20"/>
          <w:spacing w:val="40"/>
          <w:sz w:val="16"/>
        </w:rPr>
        <w:t> </w:t>
      </w:r>
      <w:r>
        <w:rPr>
          <w:color w:val="231F20"/>
          <w:sz w:val="16"/>
        </w:rPr>
        <w:t>ease</w:t>
      </w:r>
      <w:r>
        <w:rPr>
          <w:color w:val="231F20"/>
          <w:spacing w:val="40"/>
          <w:sz w:val="16"/>
        </w:rPr>
        <w:t> </w:t>
      </w:r>
      <w:r>
        <w:rPr>
          <w:color w:val="231F20"/>
          <w:sz w:val="16"/>
        </w:rPr>
        <w:t>of</w:t>
      </w:r>
      <w:r>
        <w:rPr>
          <w:color w:val="231F20"/>
          <w:spacing w:val="40"/>
          <w:sz w:val="16"/>
        </w:rPr>
        <w:t> </w:t>
      </w:r>
      <w:r>
        <w:rPr>
          <w:color w:val="231F20"/>
          <w:sz w:val="16"/>
        </w:rPr>
        <w:t>arranging</w:t>
      </w:r>
      <w:r>
        <w:rPr>
          <w:color w:val="231F20"/>
          <w:spacing w:val="40"/>
          <w:sz w:val="16"/>
        </w:rPr>
        <w:t> </w:t>
      </w:r>
      <w:r>
        <w:rPr>
          <w:color w:val="231F20"/>
          <w:sz w:val="16"/>
        </w:rPr>
        <w:t>competitively</w:t>
      </w:r>
      <w:r>
        <w:rPr>
          <w:color w:val="231F20"/>
          <w:spacing w:val="40"/>
          <w:sz w:val="16"/>
        </w:rPr>
        <w:t> </w:t>
      </w:r>
      <w:r>
        <w:rPr>
          <w:color w:val="231F20"/>
          <w:sz w:val="16"/>
        </w:rPr>
        <w:t>priced</w:t>
      </w:r>
      <w:r>
        <w:rPr>
          <w:color w:val="231F20"/>
          <w:spacing w:val="40"/>
          <w:sz w:val="16"/>
        </w:rPr>
        <w:t> </w:t>
      </w:r>
      <w:r>
        <w:rPr>
          <w:color w:val="231F20"/>
          <w:sz w:val="16"/>
        </w:rPr>
        <w:t>international </w:t>
      </w:r>
      <w:r>
        <w:rPr>
          <w:color w:val="231F20"/>
          <w:spacing w:val="-2"/>
          <w:sz w:val="16"/>
        </w:rPr>
        <w:t>shipments.</w:t>
      </w:r>
    </w:p>
    <w:p>
      <w:pPr>
        <w:pStyle w:val="ListParagraph"/>
        <w:numPr>
          <w:ilvl w:val="0"/>
          <w:numId w:val="10"/>
        </w:numPr>
        <w:tabs>
          <w:tab w:pos="1439" w:val="left" w:leader="none"/>
        </w:tabs>
        <w:spacing w:line="183" w:lineRule="exact" w:before="0" w:after="0"/>
        <w:ind w:left="1439" w:right="0" w:hanging="239"/>
        <w:jc w:val="left"/>
        <w:rPr>
          <w:sz w:val="16"/>
        </w:rPr>
      </w:pPr>
      <w:r>
        <w:rPr>
          <w:color w:val="231F20"/>
          <w:sz w:val="16"/>
        </w:rPr>
        <w:t>The</w:t>
      </w:r>
      <w:r>
        <w:rPr>
          <w:color w:val="231F20"/>
          <w:spacing w:val="13"/>
          <w:sz w:val="16"/>
        </w:rPr>
        <w:t> </w:t>
      </w:r>
      <w:r>
        <w:rPr>
          <w:color w:val="231F20"/>
          <w:sz w:val="16"/>
        </w:rPr>
        <w:t>competence</w:t>
      </w:r>
      <w:r>
        <w:rPr>
          <w:color w:val="231F20"/>
          <w:spacing w:val="14"/>
          <w:sz w:val="16"/>
        </w:rPr>
        <w:t> </w:t>
      </w:r>
      <w:r>
        <w:rPr>
          <w:color w:val="231F20"/>
          <w:sz w:val="16"/>
        </w:rPr>
        <w:t>and</w:t>
      </w:r>
      <w:r>
        <w:rPr>
          <w:color w:val="231F20"/>
          <w:spacing w:val="14"/>
          <w:sz w:val="16"/>
        </w:rPr>
        <w:t> </w:t>
      </w:r>
      <w:r>
        <w:rPr>
          <w:color w:val="231F20"/>
          <w:sz w:val="16"/>
        </w:rPr>
        <w:t>quality</w:t>
      </w:r>
      <w:r>
        <w:rPr>
          <w:color w:val="231F20"/>
          <w:spacing w:val="14"/>
          <w:sz w:val="16"/>
        </w:rPr>
        <w:t> </w:t>
      </w:r>
      <w:r>
        <w:rPr>
          <w:color w:val="231F20"/>
          <w:sz w:val="16"/>
        </w:rPr>
        <w:t>of</w:t>
      </w:r>
      <w:r>
        <w:rPr>
          <w:color w:val="231F20"/>
          <w:spacing w:val="13"/>
          <w:sz w:val="16"/>
        </w:rPr>
        <w:t> </w:t>
      </w:r>
      <w:r>
        <w:rPr>
          <w:color w:val="231F20"/>
          <w:sz w:val="16"/>
        </w:rPr>
        <w:t>logistics</w:t>
      </w:r>
      <w:r>
        <w:rPr>
          <w:color w:val="231F20"/>
          <w:spacing w:val="14"/>
          <w:sz w:val="16"/>
        </w:rPr>
        <w:t> </w:t>
      </w:r>
      <w:r>
        <w:rPr>
          <w:color w:val="231F20"/>
          <w:spacing w:val="-2"/>
          <w:sz w:val="16"/>
        </w:rPr>
        <w:t>services.</w:t>
      </w:r>
    </w:p>
    <w:p>
      <w:pPr>
        <w:spacing w:line="352" w:lineRule="auto" w:before="102"/>
        <w:ind w:left="319" w:right="837" w:firstLine="0"/>
        <w:jc w:val="both"/>
        <w:rPr>
          <w:rFonts w:ascii="Arial"/>
          <w:sz w:val="16"/>
        </w:rPr>
      </w:pPr>
      <w:r>
        <w:rPr/>
        <w:br w:type="column"/>
      </w:r>
      <w:r>
        <w:rPr>
          <w:rFonts w:ascii="Arial"/>
          <w:color w:val="231F20"/>
          <w:sz w:val="16"/>
        </w:rPr>
        <w:t>target markets. While the pool of participants is not constant over time (due to staffing and organizational changes in the industry), participating logistics professionals is central to the quality and credibility</w:t>
      </w:r>
      <w:r>
        <w:rPr>
          <w:rFonts w:ascii="Arial"/>
          <w:color w:val="231F20"/>
          <w:spacing w:val="-5"/>
          <w:sz w:val="16"/>
        </w:rPr>
        <w:t> </w:t>
      </w:r>
      <w:r>
        <w:rPr>
          <w:rFonts w:ascii="Arial"/>
          <w:color w:val="231F20"/>
          <w:sz w:val="16"/>
        </w:rPr>
        <w:t>of</w:t>
      </w:r>
      <w:r>
        <w:rPr>
          <w:rFonts w:ascii="Arial"/>
          <w:color w:val="231F20"/>
          <w:spacing w:val="-5"/>
          <w:sz w:val="16"/>
        </w:rPr>
        <w:t> </w:t>
      </w:r>
      <w:r>
        <w:rPr>
          <w:rFonts w:ascii="Arial"/>
          <w:color w:val="231F20"/>
          <w:sz w:val="16"/>
        </w:rPr>
        <w:t>the</w:t>
      </w:r>
      <w:r>
        <w:rPr>
          <w:rFonts w:ascii="Arial"/>
          <w:color w:val="231F20"/>
          <w:spacing w:val="-5"/>
          <w:sz w:val="16"/>
        </w:rPr>
        <w:t> </w:t>
      </w:r>
      <w:r>
        <w:rPr>
          <w:rFonts w:ascii="Arial"/>
          <w:color w:val="231F20"/>
          <w:sz w:val="16"/>
        </w:rPr>
        <w:t>LPI,</w:t>
      </w:r>
      <w:r>
        <w:rPr>
          <w:rFonts w:ascii="Arial"/>
          <w:color w:val="231F20"/>
          <w:spacing w:val="-5"/>
          <w:sz w:val="16"/>
        </w:rPr>
        <w:t> </w:t>
      </w:r>
      <w:r>
        <w:rPr>
          <w:rFonts w:ascii="Arial"/>
          <w:color w:val="231F20"/>
          <w:sz w:val="16"/>
        </w:rPr>
        <w:t>and</w:t>
      </w:r>
      <w:r>
        <w:rPr>
          <w:rFonts w:ascii="Arial"/>
          <w:color w:val="231F20"/>
          <w:spacing w:val="-5"/>
          <w:sz w:val="16"/>
        </w:rPr>
        <w:t> </w:t>
      </w:r>
      <w:r>
        <w:rPr>
          <w:rFonts w:ascii="Arial"/>
          <w:color w:val="231F20"/>
          <w:sz w:val="16"/>
        </w:rPr>
        <w:t>their</w:t>
      </w:r>
      <w:r>
        <w:rPr>
          <w:rFonts w:ascii="Arial"/>
          <w:color w:val="231F20"/>
          <w:spacing w:val="-5"/>
          <w:sz w:val="16"/>
        </w:rPr>
        <w:t> </w:t>
      </w:r>
      <w:r>
        <w:rPr>
          <w:rFonts w:ascii="Arial"/>
          <w:color w:val="231F20"/>
          <w:sz w:val="16"/>
        </w:rPr>
        <w:t>involvement</w:t>
      </w:r>
      <w:r>
        <w:rPr>
          <w:rFonts w:ascii="Arial"/>
          <w:color w:val="231F20"/>
          <w:spacing w:val="-5"/>
          <w:sz w:val="16"/>
        </w:rPr>
        <w:t> </w:t>
      </w:r>
      <w:r>
        <w:rPr>
          <w:rFonts w:ascii="Arial"/>
          <w:color w:val="231F20"/>
          <w:sz w:val="16"/>
        </w:rPr>
        <w:t>and</w:t>
      </w:r>
      <w:r>
        <w:rPr>
          <w:rFonts w:ascii="Arial"/>
          <w:color w:val="231F20"/>
          <w:spacing w:val="-5"/>
          <w:sz w:val="16"/>
        </w:rPr>
        <w:t> </w:t>
      </w:r>
      <w:r>
        <w:rPr>
          <w:rFonts w:ascii="Arial"/>
          <w:color w:val="231F20"/>
          <w:sz w:val="16"/>
        </w:rPr>
        <w:t>feedback</w:t>
      </w:r>
      <w:r>
        <w:rPr>
          <w:rFonts w:ascii="Arial"/>
          <w:color w:val="231F20"/>
          <w:spacing w:val="-5"/>
          <w:sz w:val="16"/>
        </w:rPr>
        <w:t> </w:t>
      </w:r>
      <w:r>
        <w:rPr>
          <w:rFonts w:ascii="Arial"/>
          <w:color w:val="231F20"/>
          <w:sz w:val="16"/>
        </w:rPr>
        <w:t>have</w:t>
      </w:r>
      <w:r>
        <w:rPr>
          <w:rFonts w:ascii="Arial"/>
          <w:color w:val="231F20"/>
          <w:spacing w:val="-5"/>
          <w:sz w:val="16"/>
        </w:rPr>
        <w:t> </w:t>
      </w:r>
      <w:r>
        <w:rPr>
          <w:rFonts w:ascii="Arial"/>
          <w:color w:val="231F20"/>
          <w:sz w:val="16"/>
        </w:rPr>
        <w:t>been essential in developing and refining the survey over time.</w:t>
      </w:r>
    </w:p>
    <w:p>
      <w:pPr>
        <w:pStyle w:val="BodyText"/>
        <w:spacing w:before="73"/>
        <w:rPr>
          <w:rFonts w:ascii="Arial"/>
          <w:sz w:val="16"/>
        </w:rPr>
      </w:pPr>
    </w:p>
    <w:p>
      <w:pPr>
        <w:spacing w:before="0"/>
        <w:ind w:left="979" w:right="0" w:firstLine="0"/>
        <w:jc w:val="left"/>
        <w:rPr>
          <w:rFonts w:ascii="Arial"/>
          <w:b/>
          <w:sz w:val="16"/>
        </w:rPr>
      </w:pPr>
      <w:r>
        <w:rPr>
          <w:rFonts w:ascii="Arial"/>
          <w:b/>
          <w:color w:val="FFFFFF"/>
          <w:w w:val="105"/>
          <w:sz w:val="16"/>
        </w:rPr>
        <w:t>Input</w:t>
      </w:r>
      <w:r>
        <w:rPr>
          <w:rFonts w:ascii="Arial"/>
          <w:b/>
          <w:color w:val="FFFFFF"/>
          <w:spacing w:val="-5"/>
          <w:w w:val="105"/>
          <w:sz w:val="16"/>
        </w:rPr>
        <w:t> </w:t>
      </w:r>
      <w:r>
        <w:rPr>
          <w:rFonts w:ascii="Arial"/>
          <w:b/>
          <w:color w:val="FFFFFF"/>
          <w:w w:val="105"/>
          <w:sz w:val="16"/>
        </w:rPr>
        <w:t>and</w:t>
      </w:r>
      <w:r>
        <w:rPr>
          <w:rFonts w:ascii="Arial"/>
          <w:b/>
          <w:color w:val="FFFFFF"/>
          <w:spacing w:val="-4"/>
          <w:w w:val="105"/>
          <w:sz w:val="16"/>
        </w:rPr>
        <w:t> </w:t>
      </w:r>
      <w:r>
        <w:rPr>
          <w:rFonts w:ascii="Arial"/>
          <w:b/>
          <w:color w:val="FFFFFF"/>
          <w:w w:val="105"/>
          <w:sz w:val="16"/>
        </w:rPr>
        <w:t>outcome</w:t>
      </w:r>
      <w:r>
        <w:rPr>
          <w:rFonts w:ascii="Arial"/>
          <w:b/>
          <w:color w:val="FFFFFF"/>
          <w:spacing w:val="-5"/>
          <w:w w:val="105"/>
          <w:sz w:val="16"/>
        </w:rPr>
        <w:t> </w:t>
      </w:r>
      <w:r>
        <w:rPr>
          <w:rFonts w:ascii="Arial"/>
          <w:b/>
          <w:color w:val="FFFFFF"/>
          <w:w w:val="105"/>
          <w:sz w:val="16"/>
        </w:rPr>
        <w:t>LPI</w:t>
      </w:r>
      <w:r>
        <w:rPr>
          <w:rFonts w:ascii="Arial"/>
          <w:b/>
          <w:color w:val="FFFFFF"/>
          <w:spacing w:val="-4"/>
          <w:w w:val="105"/>
          <w:sz w:val="16"/>
        </w:rPr>
        <w:t> </w:t>
      </w:r>
      <w:r>
        <w:rPr>
          <w:rFonts w:ascii="Arial"/>
          <w:b/>
          <w:color w:val="FFFFFF"/>
          <w:spacing w:val="-2"/>
          <w:w w:val="105"/>
          <w:sz w:val="16"/>
        </w:rPr>
        <w:t>indicators</w:t>
      </w:r>
    </w:p>
    <w:p>
      <w:pPr>
        <w:spacing w:after="0"/>
        <w:jc w:val="left"/>
        <w:rPr>
          <w:rFonts w:ascii="Arial"/>
          <w:sz w:val="16"/>
        </w:rPr>
        <w:sectPr>
          <w:type w:val="continuous"/>
          <w:pgSz w:w="12240" w:h="15840"/>
          <w:pgMar w:header="370" w:footer="548" w:top="1140" w:bottom="280" w:left="0" w:right="540"/>
          <w:cols w:num="2" w:equalWidth="0">
            <w:col w:w="5701" w:space="40"/>
            <w:col w:w="5959"/>
          </w:cols>
        </w:sectPr>
      </w:pPr>
    </w:p>
    <w:p>
      <w:pPr>
        <w:pStyle w:val="ListParagraph"/>
        <w:numPr>
          <w:ilvl w:val="0"/>
          <w:numId w:val="10"/>
        </w:numPr>
        <w:tabs>
          <w:tab w:pos="1439" w:val="left" w:leader="none"/>
        </w:tabs>
        <w:spacing w:line="240" w:lineRule="auto" w:before="86" w:after="0"/>
        <w:ind w:left="1439" w:right="0" w:hanging="239"/>
        <w:jc w:val="both"/>
        <w:rPr>
          <w:sz w:val="16"/>
        </w:rPr>
      </w:pPr>
      <w:r>
        <w:rPr>
          <w:color w:val="231F20"/>
          <w:sz w:val="16"/>
        </w:rPr>
        <w:t>The</w:t>
      </w:r>
      <w:r>
        <w:rPr>
          <w:color w:val="231F20"/>
          <w:spacing w:val="8"/>
          <w:sz w:val="16"/>
        </w:rPr>
        <w:t> </w:t>
      </w:r>
      <w:r>
        <w:rPr>
          <w:color w:val="231F20"/>
          <w:sz w:val="16"/>
        </w:rPr>
        <w:t>ability</w:t>
      </w:r>
      <w:r>
        <w:rPr>
          <w:color w:val="231F20"/>
          <w:spacing w:val="8"/>
          <w:sz w:val="16"/>
        </w:rPr>
        <w:t> </w:t>
      </w:r>
      <w:r>
        <w:rPr>
          <w:color w:val="231F20"/>
          <w:sz w:val="16"/>
        </w:rPr>
        <w:t>to</w:t>
      </w:r>
      <w:r>
        <w:rPr>
          <w:color w:val="231F20"/>
          <w:spacing w:val="8"/>
          <w:sz w:val="16"/>
        </w:rPr>
        <w:t> </w:t>
      </w:r>
      <w:r>
        <w:rPr>
          <w:color w:val="231F20"/>
          <w:sz w:val="16"/>
        </w:rPr>
        <w:t>track</w:t>
      </w:r>
      <w:r>
        <w:rPr>
          <w:color w:val="231F20"/>
          <w:spacing w:val="8"/>
          <w:sz w:val="16"/>
        </w:rPr>
        <w:t> </w:t>
      </w:r>
      <w:r>
        <w:rPr>
          <w:color w:val="231F20"/>
          <w:sz w:val="16"/>
        </w:rPr>
        <w:t>and</w:t>
      </w:r>
      <w:r>
        <w:rPr>
          <w:color w:val="231F20"/>
          <w:spacing w:val="8"/>
          <w:sz w:val="16"/>
        </w:rPr>
        <w:t> </w:t>
      </w:r>
      <w:r>
        <w:rPr>
          <w:color w:val="231F20"/>
          <w:sz w:val="16"/>
        </w:rPr>
        <w:t>trace</w:t>
      </w:r>
      <w:r>
        <w:rPr>
          <w:color w:val="231F20"/>
          <w:spacing w:val="8"/>
          <w:sz w:val="16"/>
        </w:rPr>
        <w:t> </w:t>
      </w:r>
      <w:r>
        <w:rPr>
          <w:color w:val="231F20"/>
          <w:spacing w:val="-2"/>
          <w:sz w:val="16"/>
        </w:rPr>
        <w:t>consignments.</w:t>
      </w:r>
    </w:p>
    <w:p>
      <w:pPr>
        <w:pStyle w:val="ListParagraph"/>
        <w:numPr>
          <w:ilvl w:val="0"/>
          <w:numId w:val="10"/>
        </w:numPr>
        <w:tabs>
          <w:tab w:pos="1440" w:val="left" w:leader="none"/>
        </w:tabs>
        <w:spacing w:line="352" w:lineRule="auto" w:before="86" w:after="0"/>
        <w:ind w:left="1440" w:right="38" w:hanging="240"/>
        <w:jc w:val="both"/>
        <w:rPr>
          <w:sz w:val="16"/>
        </w:rPr>
      </w:pPr>
      <w:r>
        <w:rPr>
          <w:color w:val="231F20"/>
          <w:sz w:val="16"/>
        </w:rPr>
        <w:t>The frequency with which shipments reach consignees within the scheduled or expected delivery time.</w:t>
      </w:r>
    </w:p>
    <w:p>
      <w:pPr>
        <w:spacing w:line="352" w:lineRule="auto" w:before="0"/>
        <w:ind w:left="900" w:right="38" w:firstLine="300"/>
        <w:jc w:val="both"/>
        <w:rPr>
          <w:rFonts w:ascii="Arial"/>
          <w:sz w:val="16"/>
        </w:rPr>
      </w:pPr>
      <w:r>
        <w:rPr>
          <w:rFonts w:ascii="Arial"/>
          <w:color w:val="231F20"/>
          <w:sz w:val="16"/>
        </w:rPr>
        <w:t>The indicators were chosen based on theoretical and empiri-</w:t>
      </w:r>
      <w:r>
        <w:rPr>
          <w:rFonts w:ascii="Arial"/>
          <w:color w:val="231F20"/>
          <w:spacing w:val="40"/>
          <w:sz w:val="16"/>
        </w:rPr>
        <w:t> </w:t>
      </w:r>
      <w:r>
        <w:rPr>
          <w:rFonts w:ascii="Arial"/>
          <w:color w:val="231F20"/>
          <w:sz w:val="16"/>
        </w:rPr>
        <w:t>cal research and the practical experience of logistics professionals involved in international freight forwarding. The figure maps the six LPI indicators to two main categories:</w:t>
      </w:r>
    </w:p>
    <w:p>
      <w:pPr>
        <w:pStyle w:val="ListParagraph"/>
        <w:numPr>
          <w:ilvl w:val="1"/>
          <w:numId w:val="10"/>
        </w:numPr>
        <w:tabs>
          <w:tab w:pos="1440" w:val="left" w:leader="none"/>
        </w:tabs>
        <w:spacing w:line="352" w:lineRule="auto" w:before="0" w:after="0"/>
        <w:ind w:left="1440" w:right="38" w:hanging="240"/>
        <w:jc w:val="both"/>
        <w:rPr>
          <w:sz w:val="16"/>
        </w:rPr>
      </w:pPr>
      <w:r>
        <w:rPr>
          <w:color w:val="231F20"/>
          <w:sz w:val="16"/>
        </w:rPr>
        <w:t>Areas</w:t>
      </w:r>
      <w:r>
        <w:rPr>
          <w:color w:val="231F20"/>
          <w:spacing w:val="-7"/>
          <w:sz w:val="16"/>
        </w:rPr>
        <w:t> </w:t>
      </w:r>
      <w:r>
        <w:rPr>
          <w:color w:val="231F20"/>
          <w:sz w:val="16"/>
        </w:rPr>
        <w:t>for</w:t>
      </w:r>
      <w:r>
        <w:rPr>
          <w:color w:val="231F20"/>
          <w:spacing w:val="-7"/>
          <w:sz w:val="16"/>
        </w:rPr>
        <w:t> </w:t>
      </w:r>
      <w:r>
        <w:rPr>
          <w:color w:val="231F20"/>
          <w:sz w:val="16"/>
        </w:rPr>
        <w:t>policy</w:t>
      </w:r>
      <w:r>
        <w:rPr>
          <w:color w:val="231F20"/>
          <w:spacing w:val="-7"/>
          <w:sz w:val="16"/>
        </w:rPr>
        <w:t> </w:t>
      </w:r>
      <w:r>
        <w:rPr>
          <w:color w:val="231F20"/>
          <w:sz w:val="16"/>
        </w:rPr>
        <w:t>regulation,</w:t>
      </w:r>
      <w:r>
        <w:rPr>
          <w:color w:val="231F20"/>
          <w:spacing w:val="-7"/>
          <w:sz w:val="16"/>
        </w:rPr>
        <w:t> </w:t>
      </w:r>
      <w:r>
        <w:rPr>
          <w:color w:val="231F20"/>
          <w:sz w:val="16"/>
        </w:rPr>
        <w:t>indicating</w:t>
      </w:r>
      <w:r>
        <w:rPr>
          <w:color w:val="231F20"/>
          <w:spacing w:val="-7"/>
          <w:sz w:val="16"/>
        </w:rPr>
        <w:t> </w:t>
      </w:r>
      <w:r>
        <w:rPr>
          <w:color w:val="231F20"/>
          <w:sz w:val="16"/>
        </w:rPr>
        <w:t>main</w:t>
      </w:r>
      <w:r>
        <w:rPr>
          <w:color w:val="231F20"/>
          <w:spacing w:val="-7"/>
          <w:sz w:val="16"/>
        </w:rPr>
        <w:t> </w:t>
      </w:r>
      <w:r>
        <w:rPr>
          <w:color w:val="231F20"/>
          <w:sz w:val="16"/>
        </w:rPr>
        <w:t>inputs</w:t>
      </w:r>
      <w:r>
        <w:rPr>
          <w:color w:val="231F20"/>
          <w:spacing w:val="-7"/>
          <w:sz w:val="16"/>
        </w:rPr>
        <w:t> </w:t>
      </w:r>
      <w:r>
        <w:rPr>
          <w:color w:val="231F20"/>
          <w:sz w:val="16"/>
        </w:rPr>
        <w:t>to</w:t>
      </w:r>
      <w:r>
        <w:rPr>
          <w:color w:val="231F20"/>
          <w:spacing w:val="-7"/>
          <w:sz w:val="16"/>
        </w:rPr>
        <w:t> </w:t>
      </w:r>
      <w:r>
        <w:rPr>
          <w:color w:val="231F20"/>
          <w:sz w:val="16"/>
        </w:rPr>
        <w:t>the</w:t>
      </w:r>
      <w:r>
        <w:rPr>
          <w:color w:val="231F20"/>
          <w:spacing w:val="-7"/>
          <w:sz w:val="16"/>
        </w:rPr>
        <w:t> </w:t>
      </w:r>
      <w:r>
        <w:rPr>
          <w:color w:val="231F20"/>
          <w:sz w:val="16"/>
        </w:rPr>
        <w:t>sup- ply chain: customs, infrastructure, and services (indicators</w:t>
      </w:r>
      <w:r>
        <w:rPr>
          <w:color w:val="231F20"/>
          <w:spacing w:val="40"/>
          <w:sz w:val="16"/>
        </w:rPr>
        <w:t> </w:t>
      </w:r>
      <w:r>
        <w:rPr>
          <w:color w:val="231F20"/>
          <w:sz w:val="16"/>
        </w:rPr>
        <w:t>1, 2, and 4 above).</w:t>
      </w:r>
    </w:p>
    <w:p>
      <w:pPr>
        <w:spacing w:line="240" w:lineRule="auto" w:before="7"/>
        <w:rPr>
          <w:rFonts w:ascii="Arial"/>
          <w:sz w:val="14"/>
        </w:rPr>
      </w:pPr>
      <w:r>
        <w:rPr/>
        <w:br w:type="column"/>
      </w:r>
      <w:r>
        <w:rPr>
          <w:rFonts w:ascii="Arial"/>
          <w:sz w:val="14"/>
        </w:rPr>
      </w:r>
    </w:p>
    <w:p>
      <w:pPr>
        <w:spacing w:before="1"/>
        <w:ind w:left="0" w:right="0" w:firstLine="0"/>
        <w:jc w:val="right"/>
        <w:rPr>
          <w:rFonts w:ascii="Arial"/>
          <w:sz w:val="14"/>
        </w:rPr>
      </w:pPr>
      <w:r>
        <w:rPr>
          <w:rFonts w:ascii="Arial"/>
          <w:color w:val="231F20"/>
          <w:spacing w:val="-2"/>
          <w:w w:val="90"/>
          <w:sz w:val="14"/>
        </w:rPr>
        <w:t>Customs</w:t>
      </w:r>
    </w:p>
    <w:p>
      <w:pPr>
        <w:pStyle w:val="BodyText"/>
        <w:rPr>
          <w:rFonts w:ascii="Arial"/>
          <w:sz w:val="14"/>
        </w:rPr>
      </w:pPr>
    </w:p>
    <w:p>
      <w:pPr>
        <w:pStyle w:val="BodyText"/>
        <w:rPr>
          <w:rFonts w:ascii="Arial"/>
          <w:sz w:val="14"/>
        </w:rPr>
      </w:pPr>
    </w:p>
    <w:p>
      <w:pPr>
        <w:pStyle w:val="BodyText"/>
        <w:spacing w:before="80"/>
        <w:rPr>
          <w:rFonts w:ascii="Arial"/>
          <w:sz w:val="14"/>
        </w:rPr>
      </w:pPr>
    </w:p>
    <w:p>
      <w:pPr>
        <w:spacing w:line="208" w:lineRule="auto" w:before="0"/>
        <w:ind w:left="900" w:right="0" w:firstLine="173"/>
        <w:jc w:val="right"/>
        <w:rPr>
          <w:rFonts w:ascii="Arial"/>
          <w:sz w:val="14"/>
        </w:rPr>
      </w:pPr>
      <w:r>
        <w:rPr>
          <w:rFonts w:ascii="Arial"/>
          <w:color w:val="231F20"/>
          <w:spacing w:val="-2"/>
          <w:w w:val="80"/>
          <w:sz w:val="14"/>
        </w:rPr>
        <w:t>Infra-</w:t>
      </w:r>
      <w:r>
        <w:rPr>
          <w:rFonts w:ascii="Arial"/>
          <w:color w:val="231F20"/>
          <w:spacing w:val="40"/>
          <w:sz w:val="14"/>
        </w:rPr>
        <w:t> </w:t>
      </w:r>
      <w:r>
        <w:rPr>
          <w:rFonts w:ascii="Arial"/>
          <w:color w:val="231F20"/>
          <w:spacing w:val="-2"/>
          <w:w w:val="80"/>
          <w:sz w:val="14"/>
        </w:rPr>
        <w:t>structure</w:t>
      </w:r>
    </w:p>
    <w:p>
      <w:pPr>
        <w:pStyle w:val="BodyText"/>
        <w:rPr>
          <w:rFonts w:ascii="Arial"/>
          <w:sz w:val="14"/>
        </w:rPr>
      </w:pPr>
    </w:p>
    <w:p>
      <w:pPr>
        <w:pStyle w:val="BodyText"/>
        <w:rPr>
          <w:rFonts w:ascii="Arial"/>
          <w:sz w:val="14"/>
        </w:rPr>
      </w:pPr>
    </w:p>
    <w:p>
      <w:pPr>
        <w:pStyle w:val="BodyText"/>
        <w:spacing w:before="89"/>
        <w:rPr>
          <w:rFonts w:ascii="Arial"/>
          <w:sz w:val="14"/>
        </w:rPr>
      </w:pPr>
    </w:p>
    <w:p>
      <w:pPr>
        <w:spacing w:line="208" w:lineRule="auto" w:before="1"/>
        <w:ind w:left="1019" w:right="0" w:hanging="96"/>
        <w:jc w:val="right"/>
        <w:rPr>
          <w:rFonts w:ascii="Arial"/>
          <w:sz w:val="14"/>
        </w:rPr>
      </w:pPr>
      <w:r>
        <w:rPr>
          <w:rFonts w:ascii="Arial"/>
          <w:color w:val="231F20"/>
          <w:spacing w:val="-2"/>
          <w:w w:val="75"/>
          <w:sz w:val="14"/>
        </w:rPr>
        <w:t>Services</w:t>
      </w:r>
      <w:r>
        <w:rPr>
          <w:rFonts w:ascii="Arial"/>
          <w:color w:val="231F20"/>
          <w:spacing w:val="40"/>
          <w:sz w:val="14"/>
        </w:rPr>
        <w:t> </w:t>
      </w:r>
      <w:r>
        <w:rPr>
          <w:rFonts w:ascii="Arial"/>
          <w:color w:val="231F20"/>
          <w:spacing w:val="-2"/>
          <w:w w:val="75"/>
          <w:sz w:val="14"/>
        </w:rPr>
        <w:t>quality</w:t>
      </w:r>
    </w:p>
    <w:p>
      <w:pPr>
        <w:spacing w:line="240" w:lineRule="auto" w:before="0"/>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82"/>
        <w:rPr>
          <w:rFonts w:ascii="Arial"/>
          <w:sz w:val="14"/>
        </w:rPr>
      </w:pPr>
    </w:p>
    <w:p>
      <w:pPr>
        <w:spacing w:line="160" w:lineRule="exact" w:before="0"/>
        <w:ind w:left="30" w:right="0" w:firstLine="0"/>
        <w:jc w:val="center"/>
        <w:rPr>
          <w:rFonts w:ascii="Arial"/>
          <w:b/>
          <w:sz w:val="14"/>
        </w:rPr>
      </w:pPr>
      <w:r>
        <w:rPr>
          <w:rFonts w:ascii="Arial"/>
          <w:b/>
          <w:color w:val="231F20"/>
          <w:spacing w:val="-4"/>
          <w:w w:val="105"/>
          <w:sz w:val="14"/>
        </w:rPr>
        <w:t>Areas</w:t>
      </w:r>
      <w:r>
        <w:rPr>
          <w:rFonts w:ascii="Arial"/>
          <w:b/>
          <w:color w:val="231F20"/>
          <w:spacing w:val="40"/>
          <w:w w:val="105"/>
          <w:sz w:val="14"/>
        </w:rPr>
        <w:t> </w:t>
      </w:r>
      <w:r>
        <w:rPr>
          <w:rFonts w:ascii="Arial"/>
          <w:b/>
          <w:color w:val="231F20"/>
          <w:spacing w:val="-4"/>
          <w:w w:val="105"/>
          <w:sz w:val="14"/>
        </w:rPr>
        <w:t>for</w:t>
      </w:r>
      <w:r>
        <w:rPr>
          <w:rFonts w:ascii="Arial"/>
          <w:b/>
          <w:color w:val="231F20"/>
          <w:spacing w:val="40"/>
          <w:w w:val="105"/>
          <w:sz w:val="14"/>
        </w:rPr>
        <w:t> </w:t>
      </w:r>
      <w:r>
        <w:rPr>
          <w:rFonts w:ascii="Arial"/>
          <w:b/>
          <w:color w:val="231F20"/>
          <w:spacing w:val="-2"/>
          <w:sz w:val="14"/>
        </w:rPr>
        <w:t>policy</w:t>
      </w:r>
    </w:p>
    <w:p>
      <w:pPr>
        <w:spacing w:line="240" w:lineRule="auto" w:before="0"/>
        <w:rPr>
          <w:rFonts w:ascii="Arial"/>
          <w:b/>
          <w:sz w:val="14"/>
        </w:rPr>
      </w:pPr>
      <w:r>
        <w:rPr/>
        <w:br w:type="column"/>
      </w:r>
      <w:r>
        <w:rPr>
          <w:rFonts w:ascii="Arial"/>
          <w:b/>
          <w:sz w:val="14"/>
        </w:rPr>
      </w:r>
    </w:p>
    <w:p>
      <w:pPr>
        <w:pStyle w:val="BodyText"/>
        <w:rPr>
          <w:rFonts w:ascii="Arial"/>
          <w:b/>
          <w:sz w:val="14"/>
        </w:rPr>
      </w:pPr>
    </w:p>
    <w:p>
      <w:pPr>
        <w:pStyle w:val="BodyText"/>
        <w:rPr>
          <w:rFonts w:ascii="Arial"/>
          <w:b/>
          <w:sz w:val="14"/>
        </w:rPr>
      </w:pPr>
    </w:p>
    <w:p>
      <w:pPr>
        <w:pStyle w:val="BodyText"/>
        <w:spacing w:before="59"/>
        <w:rPr>
          <w:rFonts w:ascii="Arial"/>
          <w:b/>
          <w:sz w:val="14"/>
        </w:rPr>
      </w:pPr>
    </w:p>
    <w:p>
      <w:pPr>
        <w:spacing w:before="1"/>
        <w:ind w:left="414" w:right="0" w:firstLine="0"/>
        <w:jc w:val="center"/>
        <w:rPr>
          <w:rFonts w:ascii="Arial"/>
          <w:b/>
          <w:sz w:val="14"/>
        </w:rPr>
      </w:pPr>
      <w:r>
        <w:rPr>
          <w:rFonts w:ascii="Arial"/>
          <w:b/>
          <w:color w:val="231F20"/>
          <w:spacing w:val="-2"/>
          <w:w w:val="105"/>
          <w:sz w:val="14"/>
        </w:rPr>
        <w:t>Supply</w:t>
      </w:r>
      <w:r>
        <w:rPr>
          <w:rFonts w:ascii="Arial"/>
          <w:b/>
          <w:color w:val="231F20"/>
          <w:spacing w:val="40"/>
          <w:w w:val="105"/>
          <w:sz w:val="14"/>
        </w:rPr>
        <w:t> </w:t>
      </w:r>
      <w:r>
        <w:rPr>
          <w:rFonts w:ascii="Arial"/>
          <w:b/>
          <w:color w:val="231F20"/>
          <w:spacing w:val="-2"/>
          <w:w w:val="105"/>
          <w:sz w:val="14"/>
        </w:rPr>
        <w:t>chain</w:t>
      </w:r>
      <w:r>
        <w:rPr>
          <w:rFonts w:ascii="Arial"/>
          <w:b/>
          <w:color w:val="231F20"/>
          <w:spacing w:val="40"/>
          <w:w w:val="105"/>
          <w:sz w:val="14"/>
        </w:rPr>
        <w:t> </w:t>
      </w:r>
      <w:r>
        <w:rPr>
          <w:rFonts w:ascii="Arial"/>
          <w:b/>
          <w:color w:val="231F20"/>
          <w:spacing w:val="-2"/>
          <w:w w:val="105"/>
          <w:sz w:val="14"/>
        </w:rPr>
        <w:t>service</w:t>
      </w:r>
      <w:r>
        <w:rPr>
          <w:rFonts w:ascii="Arial"/>
          <w:b/>
          <w:color w:val="231F20"/>
          <w:spacing w:val="40"/>
          <w:w w:val="105"/>
          <w:sz w:val="14"/>
        </w:rPr>
        <w:t> </w:t>
      </w:r>
      <w:r>
        <w:rPr>
          <w:rFonts w:ascii="Arial"/>
          <w:b/>
          <w:color w:val="231F20"/>
          <w:spacing w:val="-2"/>
          <w:sz w:val="14"/>
        </w:rPr>
        <w:t>delivery</w:t>
      </w:r>
    </w:p>
    <w:p>
      <w:pPr>
        <w:spacing w:line="240" w:lineRule="auto" w:before="7"/>
        <w:rPr>
          <w:rFonts w:ascii="Arial"/>
          <w:b/>
          <w:sz w:val="14"/>
        </w:rPr>
      </w:pPr>
      <w:r>
        <w:rPr/>
        <w:br w:type="column"/>
      </w:r>
      <w:r>
        <w:rPr>
          <w:rFonts w:ascii="Arial"/>
          <w:b/>
          <w:sz w:val="14"/>
        </w:rPr>
      </w:r>
    </w:p>
    <w:p>
      <w:pPr>
        <w:spacing w:before="1"/>
        <w:ind w:left="857" w:right="0" w:firstLine="0"/>
        <w:jc w:val="left"/>
        <w:rPr>
          <w:rFonts w:ascii="Arial"/>
          <w:sz w:val="14"/>
        </w:rPr>
      </w:pPr>
      <w:r>
        <w:rPr>
          <w:rFonts w:ascii="Arial"/>
          <w:color w:val="231F20"/>
          <w:spacing w:val="-2"/>
          <w:w w:val="90"/>
          <w:sz w:val="14"/>
        </w:rPr>
        <w:t>Timeliness</w:t>
      </w:r>
    </w:p>
    <w:p>
      <w:pPr>
        <w:pStyle w:val="BodyText"/>
        <w:rPr>
          <w:rFonts w:ascii="Arial"/>
          <w:sz w:val="14"/>
        </w:rPr>
      </w:pPr>
    </w:p>
    <w:p>
      <w:pPr>
        <w:pStyle w:val="BodyText"/>
        <w:rPr>
          <w:rFonts w:ascii="Arial"/>
          <w:sz w:val="14"/>
        </w:rPr>
      </w:pPr>
    </w:p>
    <w:p>
      <w:pPr>
        <w:pStyle w:val="BodyText"/>
        <w:spacing w:before="10"/>
        <w:rPr>
          <w:rFonts w:ascii="Arial"/>
          <w:sz w:val="14"/>
        </w:rPr>
      </w:pPr>
    </w:p>
    <w:p>
      <w:pPr>
        <w:spacing w:line="208" w:lineRule="auto" w:before="0"/>
        <w:ind w:left="857" w:right="1553" w:firstLine="0"/>
        <w:jc w:val="left"/>
        <w:rPr>
          <w:rFonts w:ascii="Arial"/>
          <w:sz w:val="14"/>
        </w:rPr>
      </w:pPr>
      <w:r>
        <w:rPr>
          <w:rFonts w:ascii="Arial"/>
          <w:color w:val="231F20"/>
          <w:spacing w:val="-2"/>
          <w:w w:val="90"/>
          <w:sz w:val="14"/>
        </w:rPr>
        <w:t>Inter-</w:t>
      </w:r>
      <w:r>
        <w:rPr>
          <w:rFonts w:ascii="Arial"/>
          <w:color w:val="231F20"/>
          <w:spacing w:val="40"/>
          <w:sz w:val="14"/>
        </w:rPr>
        <w:t> </w:t>
      </w:r>
      <w:r>
        <w:rPr>
          <w:rFonts w:ascii="Arial"/>
          <w:color w:val="231F20"/>
          <w:spacing w:val="-2"/>
          <w:w w:val="90"/>
          <w:sz w:val="14"/>
        </w:rPr>
        <w:t>national</w:t>
      </w:r>
      <w:r>
        <w:rPr>
          <w:rFonts w:ascii="Arial"/>
          <w:color w:val="231F20"/>
          <w:spacing w:val="40"/>
          <w:sz w:val="14"/>
        </w:rPr>
        <w:t> </w:t>
      </w:r>
      <w:r>
        <w:rPr>
          <w:rFonts w:ascii="Arial"/>
          <w:color w:val="231F20"/>
          <w:spacing w:val="-2"/>
          <w:w w:val="80"/>
          <w:sz w:val="14"/>
        </w:rPr>
        <w:t>shipments</w:t>
      </w:r>
    </w:p>
    <w:p>
      <w:pPr>
        <w:pStyle w:val="BodyText"/>
        <w:rPr>
          <w:rFonts w:ascii="Arial"/>
          <w:sz w:val="14"/>
        </w:rPr>
      </w:pPr>
    </w:p>
    <w:p>
      <w:pPr>
        <w:pStyle w:val="BodyText"/>
        <w:rPr>
          <w:rFonts w:ascii="Arial"/>
          <w:sz w:val="14"/>
        </w:rPr>
      </w:pPr>
    </w:p>
    <w:p>
      <w:pPr>
        <w:pStyle w:val="BodyText"/>
        <w:spacing w:before="19"/>
        <w:rPr>
          <w:rFonts w:ascii="Arial"/>
          <w:sz w:val="14"/>
        </w:rPr>
      </w:pPr>
    </w:p>
    <w:p>
      <w:pPr>
        <w:spacing w:line="208" w:lineRule="auto" w:before="1"/>
        <w:ind w:left="857" w:right="1439" w:firstLine="0"/>
        <w:jc w:val="left"/>
        <w:rPr>
          <w:rFonts w:ascii="Arial"/>
          <w:sz w:val="14"/>
        </w:rPr>
      </w:pPr>
      <w:r>
        <w:rPr>
          <w:rFonts w:ascii="Arial"/>
          <w:color w:val="231F20"/>
          <w:spacing w:val="-2"/>
          <w:w w:val="90"/>
          <w:sz w:val="14"/>
        </w:rPr>
        <w:t>Tracking</w:t>
      </w:r>
      <w:r>
        <w:rPr>
          <w:rFonts w:ascii="Arial"/>
          <w:color w:val="231F20"/>
          <w:spacing w:val="40"/>
          <w:sz w:val="14"/>
        </w:rPr>
        <w:t> </w:t>
      </w:r>
      <w:r>
        <w:rPr>
          <w:rFonts w:ascii="Arial"/>
          <w:color w:val="231F20"/>
          <w:spacing w:val="-2"/>
          <w:w w:val="80"/>
          <w:sz w:val="14"/>
        </w:rPr>
        <w:t>and</w:t>
      </w:r>
      <w:r>
        <w:rPr>
          <w:rFonts w:ascii="Arial"/>
          <w:color w:val="231F20"/>
          <w:spacing w:val="-8"/>
          <w:sz w:val="14"/>
        </w:rPr>
        <w:t> </w:t>
      </w:r>
      <w:r>
        <w:rPr>
          <w:rFonts w:ascii="Arial"/>
          <w:color w:val="231F20"/>
          <w:spacing w:val="-2"/>
          <w:w w:val="80"/>
          <w:sz w:val="14"/>
        </w:rPr>
        <w:t>tracing</w:t>
      </w:r>
    </w:p>
    <w:p>
      <w:pPr>
        <w:pStyle w:val="BodyText"/>
        <w:spacing w:before="114"/>
        <w:rPr>
          <w:rFonts w:ascii="Arial"/>
          <w:sz w:val="14"/>
        </w:rPr>
      </w:pPr>
    </w:p>
    <w:p>
      <w:pPr>
        <w:spacing w:before="0"/>
        <w:ind w:left="291" w:right="1731" w:hanging="1"/>
        <w:jc w:val="center"/>
        <w:rPr>
          <w:rFonts w:ascii="Arial"/>
          <w:b/>
          <w:sz w:val="14"/>
        </w:rPr>
      </w:pPr>
      <w:r>
        <w:rPr>
          <w:rFonts w:ascii="Arial"/>
          <w:b/>
          <w:color w:val="231F20"/>
          <w:spacing w:val="-2"/>
          <w:w w:val="105"/>
          <w:sz w:val="14"/>
        </w:rPr>
        <w:t>Service</w:t>
      </w:r>
      <w:r>
        <w:rPr>
          <w:rFonts w:ascii="Arial"/>
          <w:b/>
          <w:color w:val="231F20"/>
          <w:spacing w:val="40"/>
          <w:w w:val="105"/>
          <w:sz w:val="14"/>
        </w:rPr>
        <w:t> </w:t>
      </w:r>
      <w:r>
        <w:rPr>
          <w:rFonts w:ascii="Arial"/>
          <w:b/>
          <w:color w:val="231F20"/>
          <w:spacing w:val="-2"/>
          <w:w w:val="105"/>
          <w:sz w:val="14"/>
        </w:rPr>
        <w:t>delivery</w:t>
      </w:r>
      <w:r>
        <w:rPr>
          <w:rFonts w:ascii="Arial"/>
          <w:b/>
          <w:color w:val="231F20"/>
          <w:spacing w:val="40"/>
          <w:w w:val="105"/>
          <w:sz w:val="14"/>
        </w:rPr>
        <w:t> </w:t>
      </w:r>
      <w:r>
        <w:rPr>
          <w:rFonts w:ascii="Arial"/>
          <w:b/>
          <w:color w:val="231F20"/>
          <w:spacing w:val="-2"/>
          <w:w w:val="105"/>
          <w:sz w:val="14"/>
        </w:rPr>
        <w:t>performance</w:t>
      </w:r>
    </w:p>
    <w:p>
      <w:pPr>
        <w:spacing w:after="0"/>
        <w:jc w:val="center"/>
        <w:rPr>
          <w:rFonts w:ascii="Arial"/>
          <w:sz w:val="14"/>
        </w:rPr>
        <w:sectPr>
          <w:type w:val="continuous"/>
          <w:pgSz w:w="12240" w:h="15840"/>
          <w:pgMar w:header="370" w:footer="548" w:top="1140" w:bottom="280" w:left="0" w:right="540"/>
          <w:cols w:num="5" w:equalWidth="0">
            <w:col w:w="5741" w:space="162"/>
            <w:col w:w="1341" w:space="39"/>
            <w:col w:w="446" w:space="40"/>
            <w:col w:w="967" w:space="39"/>
            <w:col w:w="2925"/>
          </w:cols>
        </w:sectPr>
      </w:pPr>
    </w:p>
    <w:p>
      <w:pPr>
        <w:pStyle w:val="ListParagraph"/>
        <w:numPr>
          <w:ilvl w:val="1"/>
          <w:numId w:val="10"/>
        </w:numPr>
        <w:tabs>
          <w:tab w:pos="1439" w:val="left" w:leader="none"/>
        </w:tabs>
        <w:spacing w:line="155" w:lineRule="exact" w:before="0" w:after="0"/>
        <w:ind w:left="1439" w:right="0" w:hanging="239"/>
        <w:jc w:val="left"/>
        <w:rPr>
          <w:sz w:val="16"/>
        </w:rPr>
      </w:pPr>
      <w:r>
        <w:rPr>
          <w:color w:val="231F20"/>
          <w:sz w:val="16"/>
        </w:rPr>
        <w:t>Supply</w:t>
      </w:r>
      <w:r>
        <w:rPr>
          <w:color w:val="231F20"/>
          <w:spacing w:val="27"/>
          <w:sz w:val="16"/>
        </w:rPr>
        <w:t> </w:t>
      </w:r>
      <w:r>
        <w:rPr>
          <w:color w:val="231F20"/>
          <w:sz w:val="16"/>
        </w:rPr>
        <w:t>chain</w:t>
      </w:r>
      <w:r>
        <w:rPr>
          <w:color w:val="231F20"/>
          <w:spacing w:val="27"/>
          <w:sz w:val="16"/>
        </w:rPr>
        <w:t> </w:t>
      </w:r>
      <w:r>
        <w:rPr>
          <w:color w:val="231F20"/>
          <w:sz w:val="16"/>
        </w:rPr>
        <w:t>performance</w:t>
      </w:r>
      <w:r>
        <w:rPr>
          <w:color w:val="231F20"/>
          <w:spacing w:val="28"/>
          <w:sz w:val="16"/>
        </w:rPr>
        <w:t> </w:t>
      </w:r>
      <w:r>
        <w:rPr>
          <w:color w:val="231F20"/>
          <w:sz w:val="16"/>
        </w:rPr>
        <w:t>outcomes:</w:t>
      </w:r>
      <w:r>
        <w:rPr>
          <w:color w:val="231F20"/>
          <w:spacing w:val="27"/>
          <w:sz w:val="16"/>
        </w:rPr>
        <w:t> </w:t>
      </w:r>
      <w:r>
        <w:rPr>
          <w:color w:val="231F20"/>
          <w:sz w:val="16"/>
        </w:rPr>
        <w:t>cost,</w:t>
      </w:r>
      <w:r>
        <w:rPr>
          <w:color w:val="231F20"/>
          <w:spacing w:val="27"/>
          <w:sz w:val="16"/>
        </w:rPr>
        <w:t> </w:t>
      </w:r>
      <w:r>
        <w:rPr>
          <w:color w:val="231F20"/>
          <w:sz w:val="16"/>
        </w:rPr>
        <w:t>reliability,</w:t>
      </w:r>
      <w:r>
        <w:rPr>
          <w:color w:val="231F20"/>
          <w:spacing w:val="28"/>
          <w:sz w:val="16"/>
        </w:rPr>
        <w:t> </w:t>
      </w:r>
      <w:r>
        <w:rPr>
          <w:color w:val="231F20"/>
          <w:spacing w:val="-5"/>
          <w:sz w:val="16"/>
        </w:rPr>
        <w:t>and</w:t>
      </w:r>
    </w:p>
    <w:p>
      <w:pPr>
        <w:spacing w:before="86"/>
        <w:ind w:left="1440" w:right="0" w:firstLine="0"/>
        <w:jc w:val="left"/>
        <w:rPr>
          <w:rFonts w:ascii="Arial"/>
          <w:sz w:val="16"/>
        </w:rPr>
      </w:pPr>
      <w:r>
        <w:rPr>
          <w:rFonts w:ascii="Arial"/>
          <w:color w:val="231F20"/>
          <w:sz w:val="16"/>
        </w:rPr>
        <w:t>time</w:t>
      </w:r>
      <w:r>
        <w:rPr>
          <w:rFonts w:ascii="Arial"/>
          <w:color w:val="231F20"/>
          <w:spacing w:val="4"/>
          <w:sz w:val="16"/>
        </w:rPr>
        <w:t> </w:t>
      </w:r>
      <w:r>
        <w:rPr>
          <w:rFonts w:ascii="Arial"/>
          <w:color w:val="231F20"/>
          <w:sz w:val="16"/>
        </w:rPr>
        <w:t>(indicators</w:t>
      </w:r>
      <w:r>
        <w:rPr>
          <w:rFonts w:ascii="Arial"/>
          <w:color w:val="231F20"/>
          <w:spacing w:val="4"/>
          <w:sz w:val="16"/>
        </w:rPr>
        <w:t> </w:t>
      </w:r>
      <w:r>
        <w:rPr>
          <w:rFonts w:ascii="Arial"/>
          <w:color w:val="231F20"/>
          <w:sz w:val="16"/>
        </w:rPr>
        <w:t>3,</w:t>
      </w:r>
      <w:r>
        <w:rPr>
          <w:rFonts w:ascii="Arial"/>
          <w:color w:val="231F20"/>
          <w:spacing w:val="5"/>
          <w:sz w:val="16"/>
        </w:rPr>
        <w:t> </w:t>
      </w:r>
      <w:r>
        <w:rPr>
          <w:rFonts w:ascii="Arial"/>
          <w:color w:val="231F20"/>
          <w:sz w:val="16"/>
        </w:rPr>
        <w:t>5,</w:t>
      </w:r>
      <w:r>
        <w:rPr>
          <w:rFonts w:ascii="Arial"/>
          <w:color w:val="231F20"/>
          <w:spacing w:val="5"/>
          <w:sz w:val="16"/>
        </w:rPr>
        <w:t> </w:t>
      </w:r>
      <w:r>
        <w:rPr>
          <w:rFonts w:ascii="Arial"/>
          <w:color w:val="231F20"/>
          <w:sz w:val="16"/>
        </w:rPr>
        <w:t>and</w:t>
      </w:r>
      <w:r>
        <w:rPr>
          <w:rFonts w:ascii="Arial"/>
          <w:color w:val="231F20"/>
          <w:spacing w:val="5"/>
          <w:sz w:val="16"/>
        </w:rPr>
        <w:t> </w:t>
      </w:r>
      <w:r>
        <w:rPr>
          <w:rFonts w:ascii="Arial"/>
          <w:color w:val="231F20"/>
          <w:sz w:val="16"/>
        </w:rPr>
        <w:t>6</w:t>
      </w:r>
      <w:r>
        <w:rPr>
          <w:rFonts w:ascii="Arial"/>
          <w:color w:val="231F20"/>
          <w:spacing w:val="4"/>
          <w:sz w:val="16"/>
        </w:rPr>
        <w:t> </w:t>
      </w:r>
      <w:r>
        <w:rPr>
          <w:rFonts w:ascii="Arial"/>
          <w:color w:val="231F20"/>
          <w:spacing w:val="-2"/>
          <w:sz w:val="16"/>
        </w:rPr>
        <w:t>above).</w:t>
      </w:r>
    </w:p>
    <w:p>
      <w:pPr>
        <w:spacing w:line="352" w:lineRule="auto" w:before="83"/>
        <w:ind w:left="900" w:right="0" w:firstLine="300"/>
        <w:jc w:val="left"/>
        <w:rPr>
          <w:rFonts w:ascii="Arial"/>
          <w:sz w:val="16"/>
        </w:rPr>
      </w:pPr>
      <w:r>
        <w:rPr>
          <w:rFonts w:ascii="Arial"/>
          <w:color w:val="231F20"/>
          <w:sz w:val="16"/>
        </w:rPr>
        <w:t>The LPI uses standard statistical techniques to aggregate the data</w:t>
      </w:r>
      <w:r>
        <w:rPr>
          <w:rFonts w:ascii="Arial"/>
          <w:color w:val="231F20"/>
          <w:spacing w:val="18"/>
          <w:sz w:val="16"/>
        </w:rPr>
        <w:t> </w:t>
      </w:r>
      <w:r>
        <w:rPr>
          <w:rFonts w:ascii="Arial"/>
          <w:color w:val="231F20"/>
          <w:sz w:val="16"/>
        </w:rPr>
        <w:t>into</w:t>
      </w:r>
      <w:r>
        <w:rPr>
          <w:rFonts w:ascii="Arial"/>
          <w:color w:val="231F20"/>
          <w:spacing w:val="19"/>
          <w:sz w:val="16"/>
        </w:rPr>
        <w:t> </w:t>
      </w:r>
      <w:r>
        <w:rPr>
          <w:rFonts w:ascii="Arial"/>
          <w:color w:val="231F20"/>
          <w:sz w:val="16"/>
        </w:rPr>
        <w:t>a</w:t>
      </w:r>
      <w:r>
        <w:rPr>
          <w:rFonts w:ascii="Arial"/>
          <w:color w:val="231F20"/>
          <w:spacing w:val="18"/>
          <w:sz w:val="16"/>
        </w:rPr>
        <w:t> </w:t>
      </w:r>
      <w:r>
        <w:rPr>
          <w:rFonts w:ascii="Arial"/>
          <w:color w:val="231F20"/>
          <w:sz w:val="16"/>
        </w:rPr>
        <w:t>single</w:t>
      </w:r>
      <w:r>
        <w:rPr>
          <w:rFonts w:ascii="Arial"/>
          <w:color w:val="231F20"/>
          <w:spacing w:val="19"/>
          <w:sz w:val="16"/>
        </w:rPr>
        <w:t> </w:t>
      </w:r>
      <w:r>
        <w:rPr>
          <w:rFonts w:ascii="Arial"/>
          <w:color w:val="231F20"/>
          <w:sz w:val="16"/>
        </w:rPr>
        <w:t>indicator,</w:t>
      </w:r>
      <w:r>
        <w:rPr>
          <w:rFonts w:ascii="Arial"/>
          <w:color w:val="231F20"/>
          <w:spacing w:val="19"/>
          <w:sz w:val="16"/>
        </w:rPr>
        <w:t> </w:t>
      </w:r>
      <w:r>
        <w:rPr>
          <w:rFonts w:ascii="Arial"/>
          <w:color w:val="231F20"/>
          <w:sz w:val="16"/>
        </w:rPr>
        <w:t>converting</w:t>
      </w:r>
      <w:r>
        <w:rPr>
          <w:rFonts w:ascii="Arial"/>
          <w:color w:val="231F20"/>
          <w:spacing w:val="18"/>
          <w:sz w:val="16"/>
        </w:rPr>
        <w:t> </w:t>
      </w:r>
      <w:r>
        <w:rPr>
          <w:rFonts w:ascii="Arial"/>
          <w:color w:val="231F20"/>
          <w:sz w:val="16"/>
        </w:rPr>
        <w:t>qualitative</w:t>
      </w:r>
      <w:r>
        <w:rPr>
          <w:rFonts w:ascii="Arial"/>
          <w:color w:val="231F20"/>
          <w:spacing w:val="19"/>
          <w:sz w:val="16"/>
        </w:rPr>
        <w:t> </w:t>
      </w:r>
      <w:r>
        <w:rPr>
          <w:rFonts w:ascii="Arial"/>
          <w:color w:val="231F20"/>
          <w:sz w:val="16"/>
        </w:rPr>
        <w:t>information</w:t>
      </w:r>
      <w:r>
        <w:rPr>
          <w:rFonts w:ascii="Arial"/>
          <w:color w:val="231F20"/>
          <w:spacing w:val="19"/>
          <w:sz w:val="16"/>
        </w:rPr>
        <w:t> </w:t>
      </w:r>
      <w:r>
        <w:rPr>
          <w:rFonts w:ascii="Arial"/>
          <w:color w:val="231F20"/>
          <w:spacing w:val="-4"/>
          <w:sz w:val="16"/>
        </w:rPr>
        <w:t>into</w:t>
      </w:r>
    </w:p>
    <w:p>
      <w:pPr>
        <w:spacing w:before="30"/>
        <w:ind w:left="1033" w:right="38" w:hanging="134"/>
        <w:jc w:val="left"/>
        <w:rPr>
          <w:rFonts w:ascii="Arial"/>
          <w:b/>
          <w:sz w:val="14"/>
        </w:rPr>
      </w:pPr>
      <w:r>
        <w:rPr/>
        <w:br w:type="column"/>
      </w:r>
      <w:r>
        <w:rPr>
          <w:rFonts w:ascii="Arial"/>
          <w:b/>
          <w:color w:val="231F20"/>
          <w:spacing w:val="-2"/>
          <w:w w:val="105"/>
          <w:sz w:val="14"/>
        </w:rPr>
        <w:t>regulations</w:t>
      </w:r>
      <w:r>
        <w:rPr>
          <w:rFonts w:ascii="Arial"/>
          <w:b/>
          <w:color w:val="231F20"/>
          <w:spacing w:val="40"/>
          <w:w w:val="105"/>
          <w:sz w:val="14"/>
        </w:rPr>
        <w:t> </w:t>
      </w:r>
      <w:r>
        <w:rPr>
          <w:rFonts w:ascii="Arial"/>
          <w:b/>
          <w:color w:val="008FDD"/>
          <w:spacing w:val="-2"/>
          <w:w w:val="105"/>
          <w:sz w:val="14"/>
        </w:rPr>
        <w:t>(inputs)</w:t>
      </w:r>
    </w:p>
    <w:p>
      <w:pPr>
        <w:spacing w:line="131" w:lineRule="exact" w:before="0"/>
        <w:ind w:left="900" w:right="0" w:firstLine="0"/>
        <w:jc w:val="left"/>
        <w:rPr>
          <w:rFonts w:ascii="Arial"/>
          <w:b/>
          <w:sz w:val="14"/>
        </w:rPr>
      </w:pPr>
      <w:r>
        <w:rPr/>
        <w:br w:type="column"/>
      </w:r>
      <w:r>
        <w:rPr>
          <w:rFonts w:ascii="Arial"/>
          <w:b/>
          <w:color w:val="008FDD"/>
          <w:spacing w:val="-2"/>
          <w:w w:val="105"/>
          <w:sz w:val="14"/>
        </w:rPr>
        <w:t>outcomes</w:t>
      </w:r>
    </w:p>
    <w:p>
      <w:pPr>
        <w:spacing w:before="0"/>
        <w:ind w:left="1011" w:right="1888" w:hanging="47"/>
        <w:jc w:val="left"/>
        <w:rPr>
          <w:rFonts w:ascii="Arial"/>
          <w:sz w:val="14"/>
        </w:rPr>
      </w:pPr>
      <w:r>
        <w:rPr>
          <w:rFonts w:ascii="Arial"/>
          <w:color w:val="231F20"/>
          <w:spacing w:val="-2"/>
          <w:w w:val="85"/>
          <w:sz w:val="14"/>
        </w:rPr>
        <w:t>Time,</w:t>
      </w:r>
      <w:r>
        <w:rPr>
          <w:rFonts w:ascii="Arial"/>
          <w:color w:val="231F20"/>
          <w:spacing w:val="-6"/>
          <w:w w:val="85"/>
          <w:sz w:val="14"/>
        </w:rPr>
        <w:t> </w:t>
      </w:r>
      <w:r>
        <w:rPr>
          <w:rFonts w:ascii="Arial"/>
          <w:color w:val="231F20"/>
          <w:spacing w:val="-2"/>
          <w:w w:val="85"/>
          <w:sz w:val="14"/>
        </w:rPr>
        <w:t>cost,</w:t>
      </w:r>
      <w:r>
        <w:rPr>
          <w:rFonts w:ascii="Arial"/>
          <w:color w:val="231F20"/>
          <w:spacing w:val="40"/>
          <w:sz w:val="14"/>
        </w:rPr>
        <w:t> </w:t>
      </w:r>
      <w:r>
        <w:rPr>
          <w:rFonts w:ascii="Arial"/>
          <w:color w:val="231F20"/>
          <w:spacing w:val="-2"/>
          <w:w w:val="95"/>
          <w:sz w:val="14"/>
        </w:rPr>
        <w:t>reliability</w:t>
      </w:r>
    </w:p>
    <w:p>
      <w:pPr>
        <w:spacing w:after="0"/>
        <w:jc w:val="left"/>
        <w:rPr>
          <w:rFonts w:ascii="Arial"/>
          <w:sz w:val="14"/>
        </w:rPr>
        <w:sectPr>
          <w:type w:val="continuous"/>
          <w:pgSz w:w="12240" w:h="15840"/>
          <w:pgMar w:header="370" w:footer="548" w:top="1140" w:bottom="280" w:left="0" w:right="540"/>
          <w:cols w:num="3" w:equalWidth="0">
            <w:col w:w="5741" w:space="487"/>
            <w:col w:w="1729" w:space="315"/>
            <w:col w:w="3428"/>
          </w:cols>
        </w:sectPr>
      </w:pPr>
    </w:p>
    <w:p>
      <w:pPr>
        <w:spacing w:line="352" w:lineRule="auto" w:before="2"/>
        <w:ind w:left="900" w:right="0" w:firstLine="0"/>
        <w:jc w:val="both"/>
        <w:rPr>
          <w:rFonts w:ascii="Arial" w:hAnsi="Arial"/>
          <w:sz w:val="16"/>
        </w:rPr>
      </w:pPr>
      <w:r>
        <w:rPr>
          <w:rFonts w:ascii="Arial" w:hAnsi="Arial"/>
          <w:color w:val="231F20"/>
          <w:sz w:val="16"/>
        </w:rPr>
        <w:t>quantitative information, before aggregating and weighting (see ap- pendix</w:t>
      </w:r>
      <w:r>
        <w:rPr>
          <w:rFonts w:ascii="Arial" w:hAnsi="Arial"/>
          <w:color w:val="231F20"/>
          <w:spacing w:val="-12"/>
          <w:sz w:val="16"/>
        </w:rPr>
        <w:t> </w:t>
      </w:r>
      <w:r>
        <w:rPr>
          <w:rFonts w:ascii="Arial" w:hAnsi="Arial"/>
          <w:color w:val="231F20"/>
          <w:sz w:val="16"/>
        </w:rPr>
        <w:t>5</w:t>
      </w:r>
      <w:r>
        <w:rPr>
          <w:rFonts w:ascii="Arial" w:hAnsi="Arial"/>
          <w:color w:val="231F20"/>
          <w:spacing w:val="-11"/>
          <w:sz w:val="16"/>
        </w:rPr>
        <w:t> </w:t>
      </w:r>
      <w:r>
        <w:rPr>
          <w:rFonts w:ascii="Arial" w:hAnsi="Arial"/>
          <w:color w:val="231F20"/>
          <w:sz w:val="16"/>
        </w:rPr>
        <w:t>for</w:t>
      </w:r>
      <w:r>
        <w:rPr>
          <w:rFonts w:ascii="Arial" w:hAnsi="Arial"/>
          <w:color w:val="231F20"/>
          <w:spacing w:val="-11"/>
          <w:sz w:val="16"/>
        </w:rPr>
        <w:t> </w:t>
      </w:r>
      <w:r>
        <w:rPr>
          <w:rFonts w:ascii="Arial" w:hAnsi="Arial"/>
          <w:color w:val="231F20"/>
          <w:sz w:val="16"/>
        </w:rPr>
        <w:t>details</w:t>
      </w:r>
      <w:r>
        <w:rPr>
          <w:rFonts w:ascii="Arial" w:hAnsi="Arial"/>
          <w:color w:val="231F20"/>
          <w:spacing w:val="-11"/>
          <w:sz w:val="16"/>
        </w:rPr>
        <w:t> </w:t>
      </w:r>
      <w:r>
        <w:rPr>
          <w:rFonts w:ascii="Arial" w:hAnsi="Arial"/>
          <w:color w:val="231F20"/>
          <w:sz w:val="16"/>
        </w:rPr>
        <w:t>of</w:t>
      </w:r>
      <w:r>
        <w:rPr>
          <w:rFonts w:ascii="Arial" w:hAnsi="Arial"/>
          <w:color w:val="231F20"/>
          <w:spacing w:val="-11"/>
          <w:sz w:val="16"/>
        </w:rPr>
        <w:t> </w:t>
      </w:r>
      <w:r>
        <w:rPr>
          <w:rFonts w:ascii="Arial" w:hAnsi="Arial"/>
          <w:color w:val="231F20"/>
          <w:sz w:val="16"/>
        </w:rPr>
        <w:t>the</w:t>
      </w:r>
      <w:r>
        <w:rPr>
          <w:rFonts w:ascii="Arial" w:hAnsi="Arial"/>
          <w:color w:val="231F20"/>
          <w:spacing w:val="-11"/>
          <w:sz w:val="16"/>
        </w:rPr>
        <w:t> </w:t>
      </w:r>
      <w:r>
        <w:rPr>
          <w:rFonts w:ascii="Arial" w:hAnsi="Arial"/>
          <w:color w:val="231F20"/>
          <w:sz w:val="16"/>
        </w:rPr>
        <w:t>methodology).</w:t>
      </w:r>
      <w:r>
        <w:rPr>
          <w:rFonts w:ascii="Arial" w:hAnsi="Arial"/>
          <w:color w:val="231F20"/>
          <w:position w:val="5"/>
          <w:sz w:val="10"/>
        </w:rPr>
        <w:t>1</w:t>
      </w:r>
      <w:r>
        <w:rPr>
          <w:rFonts w:ascii="Arial" w:hAnsi="Arial"/>
          <w:color w:val="231F20"/>
          <w:spacing w:val="6"/>
          <w:position w:val="5"/>
          <w:sz w:val="10"/>
        </w:rPr>
        <w:t> </w:t>
      </w:r>
      <w:r>
        <w:rPr>
          <w:rFonts w:ascii="Arial" w:hAnsi="Arial"/>
          <w:color w:val="231F20"/>
          <w:sz w:val="16"/>
        </w:rPr>
        <w:t>It</w:t>
      </w:r>
      <w:r>
        <w:rPr>
          <w:rFonts w:ascii="Arial" w:hAnsi="Arial"/>
          <w:color w:val="231F20"/>
          <w:spacing w:val="-12"/>
          <w:sz w:val="16"/>
        </w:rPr>
        <w:t> </w:t>
      </w:r>
      <w:r>
        <w:rPr>
          <w:rFonts w:ascii="Arial" w:hAnsi="Arial"/>
          <w:color w:val="231F20"/>
          <w:sz w:val="16"/>
        </w:rPr>
        <w:t>relies</w:t>
      </w:r>
      <w:r>
        <w:rPr>
          <w:rFonts w:ascii="Arial" w:hAnsi="Arial"/>
          <w:color w:val="231F20"/>
          <w:spacing w:val="-11"/>
          <w:sz w:val="16"/>
        </w:rPr>
        <w:t> </w:t>
      </w:r>
      <w:r>
        <w:rPr>
          <w:rFonts w:ascii="Arial" w:hAnsi="Arial"/>
          <w:color w:val="231F20"/>
          <w:sz w:val="16"/>
        </w:rPr>
        <w:t>on</w:t>
      </w:r>
      <w:r>
        <w:rPr>
          <w:rFonts w:ascii="Arial" w:hAnsi="Arial"/>
          <w:color w:val="231F20"/>
          <w:spacing w:val="-11"/>
          <w:sz w:val="16"/>
        </w:rPr>
        <w:t> </w:t>
      </w:r>
      <w:r>
        <w:rPr>
          <w:rFonts w:ascii="Arial" w:hAnsi="Arial"/>
          <w:color w:val="231F20"/>
          <w:sz w:val="16"/>
        </w:rPr>
        <w:t>an</w:t>
      </w:r>
      <w:r>
        <w:rPr>
          <w:rFonts w:ascii="Arial" w:hAnsi="Arial"/>
          <w:color w:val="231F20"/>
          <w:spacing w:val="-11"/>
          <w:sz w:val="16"/>
        </w:rPr>
        <w:t> </w:t>
      </w:r>
      <w:r>
        <w:rPr>
          <w:rFonts w:ascii="Arial" w:hAnsi="Arial"/>
          <w:color w:val="231F20"/>
          <w:sz w:val="16"/>
        </w:rPr>
        <w:t>online</w:t>
      </w:r>
      <w:r>
        <w:rPr>
          <w:rFonts w:ascii="Arial" w:hAnsi="Arial"/>
          <w:color w:val="231F20"/>
          <w:spacing w:val="-11"/>
          <w:sz w:val="16"/>
        </w:rPr>
        <w:t> </w:t>
      </w:r>
      <w:r>
        <w:rPr>
          <w:rFonts w:ascii="Arial" w:hAnsi="Arial"/>
          <w:color w:val="231F20"/>
          <w:sz w:val="16"/>
        </w:rPr>
        <w:t>survey of logistics professionals from multinational freight forwarders and the main express carriers. Their views matter because they directly affect</w:t>
      </w:r>
      <w:r>
        <w:rPr>
          <w:rFonts w:ascii="Arial" w:hAnsi="Arial"/>
          <w:color w:val="231F20"/>
          <w:spacing w:val="-2"/>
          <w:sz w:val="16"/>
        </w:rPr>
        <w:t> </w:t>
      </w:r>
      <w:r>
        <w:rPr>
          <w:rFonts w:ascii="Arial" w:hAnsi="Arial"/>
          <w:color w:val="231F20"/>
          <w:sz w:val="16"/>
        </w:rPr>
        <w:t>the</w:t>
      </w:r>
      <w:r>
        <w:rPr>
          <w:rFonts w:ascii="Arial" w:hAnsi="Arial"/>
          <w:color w:val="231F20"/>
          <w:spacing w:val="-2"/>
          <w:sz w:val="16"/>
        </w:rPr>
        <w:t> </w:t>
      </w:r>
      <w:r>
        <w:rPr>
          <w:rFonts w:ascii="Arial" w:hAnsi="Arial"/>
          <w:color w:val="231F20"/>
          <w:sz w:val="16"/>
        </w:rPr>
        <w:t>choice</w:t>
      </w:r>
      <w:r>
        <w:rPr>
          <w:rFonts w:ascii="Arial" w:hAnsi="Arial"/>
          <w:color w:val="231F20"/>
          <w:spacing w:val="-2"/>
          <w:sz w:val="16"/>
        </w:rPr>
        <w:t> </w:t>
      </w:r>
      <w:r>
        <w:rPr>
          <w:rFonts w:ascii="Arial" w:hAnsi="Arial"/>
          <w:color w:val="231F20"/>
          <w:sz w:val="16"/>
        </w:rPr>
        <w:t>of</w:t>
      </w:r>
      <w:r>
        <w:rPr>
          <w:rFonts w:ascii="Arial" w:hAnsi="Arial"/>
          <w:color w:val="231F20"/>
          <w:spacing w:val="-2"/>
          <w:sz w:val="16"/>
        </w:rPr>
        <w:t> </w:t>
      </w:r>
      <w:r>
        <w:rPr>
          <w:rFonts w:ascii="Arial" w:hAnsi="Arial"/>
          <w:color w:val="231F20"/>
          <w:sz w:val="16"/>
        </w:rPr>
        <w:t>shipping</w:t>
      </w:r>
      <w:r>
        <w:rPr>
          <w:rFonts w:ascii="Arial" w:hAnsi="Arial"/>
          <w:color w:val="231F20"/>
          <w:spacing w:val="-2"/>
          <w:sz w:val="16"/>
        </w:rPr>
        <w:t> </w:t>
      </w:r>
      <w:r>
        <w:rPr>
          <w:rFonts w:ascii="Arial" w:hAnsi="Arial"/>
          <w:color w:val="231F20"/>
          <w:sz w:val="16"/>
        </w:rPr>
        <w:t>routes</w:t>
      </w:r>
      <w:r>
        <w:rPr>
          <w:rFonts w:ascii="Arial" w:hAnsi="Arial"/>
          <w:color w:val="231F20"/>
          <w:spacing w:val="-2"/>
          <w:sz w:val="16"/>
        </w:rPr>
        <w:t> </w:t>
      </w:r>
      <w:r>
        <w:rPr>
          <w:rFonts w:ascii="Arial" w:hAnsi="Arial"/>
          <w:color w:val="231F20"/>
          <w:sz w:val="16"/>
        </w:rPr>
        <w:t>and</w:t>
      </w:r>
      <w:r>
        <w:rPr>
          <w:rFonts w:ascii="Arial" w:hAnsi="Arial"/>
          <w:color w:val="231F20"/>
          <w:spacing w:val="-2"/>
          <w:sz w:val="16"/>
        </w:rPr>
        <w:t> </w:t>
      </w:r>
      <w:r>
        <w:rPr>
          <w:rFonts w:ascii="Arial" w:hAnsi="Arial"/>
          <w:color w:val="231F20"/>
          <w:sz w:val="16"/>
        </w:rPr>
        <w:t>gateways,</w:t>
      </w:r>
      <w:r>
        <w:rPr>
          <w:rFonts w:ascii="Arial" w:hAnsi="Arial"/>
          <w:color w:val="231F20"/>
          <w:spacing w:val="-2"/>
          <w:sz w:val="16"/>
        </w:rPr>
        <w:t> </w:t>
      </w:r>
      <w:r>
        <w:rPr>
          <w:rFonts w:ascii="Arial" w:hAnsi="Arial"/>
          <w:color w:val="231F20"/>
          <w:sz w:val="16"/>
        </w:rPr>
        <w:t>thereby</w:t>
      </w:r>
      <w:r>
        <w:rPr>
          <w:rFonts w:ascii="Arial" w:hAnsi="Arial"/>
          <w:color w:val="231F20"/>
          <w:spacing w:val="-2"/>
          <w:sz w:val="16"/>
        </w:rPr>
        <w:t> </w:t>
      </w:r>
      <w:r>
        <w:rPr>
          <w:rFonts w:ascii="Arial" w:hAnsi="Arial"/>
          <w:color w:val="231F20"/>
          <w:sz w:val="16"/>
        </w:rPr>
        <w:t>influenc- ing</w:t>
      </w:r>
      <w:r>
        <w:rPr>
          <w:rFonts w:ascii="Arial" w:hAnsi="Arial"/>
          <w:color w:val="231F20"/>
          <w:spacing w:val="1"/>
          <w:sz w:val="16"/>
        </w:rPr>
        <w:t> </w:t>
      </w:r>
      <w:r>
        <w:rPr>
          <w:rFonts w:ascii="Arial" w:hAnsi="Arial"/>
          <w:color w:val="231F20"/>
          <w:sz w:val="16"/>
        </w:rPr>
        <w:t>firms’</w:t>
      </w:r>
      <w:r>
        <w:rPr>
          <w:rFonts w:ascii="Arial" w:hAnsi="Arial"/>
          <w:color w:val="231F20"/>
          <w:spacing w:val="2"/>
          <w:sz w:val="16"/>
        </w:rPr>
        <w:t> </w:t>
      </w:r>
      <w:r>
        <w:rPr>
          <w:rFonts w:ascii="Arial" w:hAnsi="Arial"/>
          <w:color w:val="231F20"/>
          <w:sz w:val="16"/>
        </w:rPr>
        <w:t>decisions</w:t>
      </w:r>
      <w:r>
        <w:rPr>
          <w:rFonts w:ascii="Arial" w:hAnsi="Arial"/>
          <w:color w:val="231F20"/>
          <w:spacing w:val="1"/>
          <w:sz w:val="16"/>
        </w:rPr>
        <w:t> </w:t>
      </w:r>
      <w:r>
        <w:rPr>
          <w:rFonts w:ascii="Arial" w:hAnsi="Arial"/>
          <w:color w:val="231F20"/>
          <w:sz w:val="16"/>
        </w:rPr>
        <w:t>on</w:t>
      </w:r>
      <w:r>
        <w:rPr>
          <w:rFonts w:ascii="Arial" w:hAnsi="Arial"/>
          <w:color w:val="231F20"/>
          <w:spacing w:val="2"/>
          <w:sz w:val="16"/>
        </w:rPr>
        <w:t> </w:t>
      </w:r>
      <w:r>
        <w:rPr>
          <w:rFonts w:ascii="Arial" w:hAnsi="Arial"/>
          <w:color w:val="231F20"/>
          <w:sz w:val="16"/>
        </w:rPr>
        <w:t>production</w:t>
      </w:r>
      <w:r>
        <w:rPr>
          <w:rFonts w:ascii="Arial" w:hAnsi="Arial"/>
          <w:color w:val="231F20"/>
          <w:spacing w:val="1"/>
          <w:sz w:val="16"/>
        </w:rPr>
        <w:t> </w:t>
      </w:r>
      <w:r>
        <w:rPr>
          <w:rFonts w:ascii="Arial" w:hAnsi="Arial"/>
          <w:color w:val="231F20"/>
          <w:sz w:val="16"/>
        </w:rPr>
        <w:t>location,</w:t>
      </w:r>
      <w:r>
        <w:rPr>
          <w:rFonts w:ascii="Arial" w:hAnsi="Arial"/>
          <w:color w:val="231F20"/>
          <w:spacing w:val="2"/>
          <w:sz w:val="16"/>
        </w:rPr>
        <w:t> </w:t>
      </w:r>
      <w:r>
        <w:rPr>
          <w:rFonts w:ascii="Arial" w:hAnsi="Arial"/>
          <w:color w:val="231F20"/>
          <w:sz w:val="16"/>
        </w:rPr>
        <w:t>choice</w:t>
      </w:r>
      <w:r>
        <w:rPr>
          <w:rFonts w:ascii="Arial" w:hAnsi="Arial"/>
          <w:color w:val="231F20"/>
          <w:spacing w:val="1"/>
          <w:sz w:val="16"/>
        </w:rPr>
        <w:t> </w:t>
      </w:r>
      <w:r>
        <w:rPr>
          <w:rFonts w:ascii="Arial" w:hAnsi="Arial"/>
          <w:color w:val="231F20"/>
          <w:sz w:val="16"/>
        </w:rPr>
        <w:t>of</w:t>
      </w:r>
      <w:r>
        <w:rPr>
          <w:rFonts w:ascii="Arial" w:hAnsi="Arial"/>
          <w:color w:val="231F20"/>
          <w:spacing w:val="2"/>
          <w:sz w:val="16"/>
        </w:rPr>
        <w:t> </w:t>
      </w:r>
      <w:r>
        <w:rPr>
          <w:rFonts w:ascii="Arial" w:hAnsi="Arial"/>
          <w:color w:val="231F20"/>
          <w:sz w:val="16"/>
        </w:rPr>
        <w:t>suppliers,</w:t>
      </w:r>
      <w:r>
        <w:rPr>
          <w:rFonts w:ascii="Arial" w:hAnsi="Arial"/>
          <w:color w:val="231F20"/>
          <w:spacing w:val="1"/>
          <w:sz w:val="16"/>
        </w:rPr>
        <w:t> </w:t>
      </w:r>
      <w:r>
        <w:rPr>
          <w:rFonts w:ascii="Arial" w:hAnsi="Arial"/>
          <w:color w:val="231F20"/>
          <w:spacing w:val="-5"/>
          <w:sz w:val="16"/>
        </w:rPr>
        <w:t>and</w:t>
      </w:r>
    </w:p>
    <w:p>
      <w:pPr>
        <w:spacing w:before="2"/>
        <w:ind w:left="619" w:right="0" w:firstLine="0"/>
        <w:jc w:val="left"/>
        <w:rPr>
          <w:rFonts w:ascii="Arial"/>
          <w:sz w:val="16"/>
        </w:rPr>
      </w:pPr>
      <w:r>
        <w:rPr/>
        <w:br w:type="column"/>
      </w:r>
      <w:r>
        <w:rPr>
          <w:rFonts w:ascii="Arial"/>
          <w:color w:val="231F20"/>
          <w:sz w:val="16"/>
        </w:rPr>
        <w:t>See</w:t>
      </w:r>
      <w:r>
        <w:rPr>
          <w:rFonts w:ascii="Arial"/>
          <w:color w:val="231F20"/>
          <w:spacing w:val="1"/>
          <w:sz w:val="16"/>
        </w:rPr>
        <w:t> </w:t>
      </w:r>
      <w:r>
        <w:rPr>
          <w:rFonts w:ascii="Arial"/>
          <w:color w:val="231F20"/>
          <w:sz w:val="16"/>
        </w:rPr>
        <w:t>the</w:t>
      </w:r>
      <w:r>
        <w:rPr>
          <w:rFonts w:ascii="Arial"/>
          <w:color w:val="231F20"/>
          <w:spacing w:val="2"/>
          <w:sz w:val="16"/>
        </w:rPr>
        <w:t> </w:t>
      </w:r>
      <w:r>
        <w:rPr>
          <w:rFonts w:ascii="Arial"/>
          <w:color w:val="231F20"/>
          <w:sz w:val="16"/>
        </w:rPr>
        <w:t>2023</w:t>
      </w:r>
      <w:r>
        <w:rPr>
          <w:rFonts w:ascii="Arial"/>
          <w:color w:val="231F20"/>
          <w:spacing w:val="1"/>
          <w:sz w:val="16"/>
        </w:rPr>
        <w:t> </w:t>
      </w:r>
      <w:r>
        <w:rPr>
          <w:rFonts w:ascii="Arial"/>
          <w:color w:val="231F20"/>
          <w:sz w:val="16"/>
        </w:rPr>
        <w:t>LPI</w:t>
      </w:r>
      <w:r>
        <w:rPr>
          <w:rFonts w:ascii="Arial"/>
          <w:color w:val="231F20"/>
          <w:spacing w:val="2"/>
          <w:sz w:val="16"/>
        </w:rPr>
        <w:t> </w:t>
      </w:r>
      <w:r>
        <w:rPr>
          <w:rFonts w:ascii="Arial"/>
          <w:color w:val="231F20"/>
          <w:sz w:val="16"/>
        </w:rPr>
        <w:t>questionnaire</w:t>
      </w:r>
      <w:r>
        <w:rPr>
          <w:rFonts w:ascii="Arial"/>
          <w:color w:val="231F20"/>
          <w:spacing w:val="2"/>
          <w:sz w:val="16"/>
        </w:rPr>
        <w:t> </w:t>
      </w:r>
      <w:r>
        <w:rPr>
          <w:rFonts w:ascii="Arial"/>
          <w:color w:val="231F20"/>
          <w:sz w:val="16"/>
        </w:rPr>
        <w:t>at </w:t>
      </w:r>
      <w:hyperlink r:id="rId68">
        <w:r>
          <w:rPr>
            <w:rFonts w:ascii="Arial"/>
            <w:color w:val="231F20"/>
            <w:spacing w:val="-2"/>
            <w:sz w:val="16"/>
          </w:rPr>
          <w:t>https://lpi.worldbank.org</w:t>
        </w:r>
      </w:hyperlink>
      <w:r>
        <w:rPr>
          <w:rFonts w:ascii="Arial"/>
          <w:color w:val="231F20"/>
          <w:spacing w:val="-2"/>
          <w:sz w:val="16"/>
        </w:rPr>
        <w:t>.</w:t>
      </w:r>
    </w:p>
    <w:p>
      <w:pPr>
        <w:pStyle w:val="BodyText"/>
        <w:rPr>
          <w:rFonts w:ascii="Arial"/>
          <w:sz w:val="16"/>
        </w:rPr>
      </w:pPr>
    </w:p>
    <w:p>
      <w:pPr>
        <w:pStyle w:val="BodyText"/>
        <w:spacing w:before="6"/>
        <w:rPr>
          <w:rFonts w:ascii="Arial"/>
          <w:sz w:val="16"/>
        </w:rPr>
      </w:pPr>
    </w:p>
    <w:p>
      <w:pPr>
        <w:spacing w:before="1"/>
        <w:ind w:left="319" w:right="0" w:firstLine="0"/>
        <w:jc w:val="left"/>
        <w:rPr>
          <w:rFonts w:ascii="Arial"/>
          <w:b/>
          <w:sz w:val="14"/>
        </w:rPr>
      </w:pPr>
      <w:r>
        <w:rPr>
          <w:rFonts w:ascii="Arial"/>
          <w:b/>
          <w:color w:val="231F20"/>
          <w:spacing w:val="-4"/>
          <w:w w:val="105"/>
          <w:sz w:val="14"/>
        </w:rPr>
        <w:t>Note</w:t>
      </w:r>
    </w:p>
    <w:p>
      <w:pPr>
        <w:spacing w:line="403" w:lineRule="auto" w:before="109"/>
        <w:ind w:left="319" w:right="881" w:firstLine="0"/>
        <w:jc w:val="left"/>
        <w:rPr>
          <w:rFonts w:ascii="Arial"/>
          <w:sz w:val="14"/>
        </w:rPr>
      </w:pPr>
      <w:r>
        <w:rPr>
          <w:rFonts w:ascii="Arial"/>
          <w:color w:val="231F20"/>
          <w:sz w:val="14"/>
        </w:rPr>
        <w:t>1. In all editions of the LPI, statistical aggregation has yielded an overall</w:t>
      </w:r>
      <w:r>
        <w:rPr>
          <w:rFonts w:ascii="Arial"/>
          <w:color w:val="231F20"/>
          <w:spacing w:val="40"/>
          <w:sz w:val="14"/>
        </w:rPr>
        <w:t> </w:t>
      </w:r>
      <w:r>
        <w:rPr>
          <w:rFonts w:ascii="Arial"/>
          <w:color w:val="231F20"/>
          <w:sz w:val="14"/>
        </w:rPr>
        <w:t>score that is close to the simple average of country scores across the six</w:t>
      </w:r>
      <w:r>
        <w:rPr>
          <w:rFonts w:ascii="Arial"/>
          <w:color w:val="231F20"/>
          <w:spacing w:val="40"/>
          <w:sz w:val="14"/>
        </w:rPr>
        <w:t> </w:t>
      </w:r>
      <w:r>
        <w:rPr>
          <w:rFonts w:ascii="Arial"/>
          <w:color w:val="231F20"/>
          <w:spacing w:val="-2"/>
          <w:sz w:val="14"/>
        </w:rPr>
        <w:t>components.</w:t>
      </w:r>
    </w:p>
    <w:p>
      <w:pPr>
        <w:spacing w:after="0" w:line="403" w:lineRule="auto"/>
        <w:jc w:val="left"/>
        <w:rPr>
          <w:rFonts w:ascii="Arial"/>
          <w:sz w:val="14"/>
        </w:rPr>
        <w:sectPr>
          <w:type w:val="continuous"/>
          <w:pgSz w:w="12240" w:h="15840"/>
          <w:pgMar w:header="370" w:footer="548" w:top="1140" w:bottom="280" w:left="0" w:right="540"/>
          <w:cols w:num="2" w:equalWidth="0">
            <w:col w:w="5701" w:space="40"/>
            <w:col w:w="5959"/>
          </w:cols>
        </w:sectPr>
      </w:pPr>
    </w:p>
    <w:p>
      <w:pPr>
        <w:pStyle w:val="BodyText"/>
        <w:rPr>
          <w:rFonts w:ascii="Arial"/>
          <w:sz w:val="20"/>
        </w:rPr>
      </w:pPr>
    </w:p>
    <w:p>
      <w:pPr>
        <w:pStyle w:val="BodyText"/>
        <w:spacing w:before="187"/>
        <w:rPr>
          <w:rFonts w:ascii="Arial"/>
          <w:sz w:val="20"/>
        </w:rPr>
      </w:pPr>
    </w:p>
    <w:p>
      <w:pPr>
        <w:spacing w:after="0"/>
        <w:rPr>
          <w:rFonts w:ascii="Arial"/>
          <w:sz w:val="20"/>
        </w:rPr>
        <w:sectPr>
          <w:type w:val="continuous"/>
          <w:pgSz w:w="12240" w:h="15840"/>
          <w:pgMar w:header="370" w:footer="548" w:top="1140" w:bottom="280" w:left="0" w:right="540"/>
        </w:sectPr>
      </w:pPr>
    </w:p>
    <w:p>
      <w:pPr>
        <w:pStyle w:val="BodyText"/>
        <w:spacing w:line="268" w:lineRule="auto" w:before="97"/>
        <w:ind w:left="3360"/>
        <w:jc w:val="both"/>
      </w:pPr>
      <w:r>
        <w:rPr>
          <w:color w:val="231F20"/>
          <w:spacing w:val="-6"/>
        </w:rPr>
        <w:t>to</w:t>
      </w:r>
      <w:r>
        <w:rPr>
          <w:color w:val="231F20"/>
          <w:spacing w:val="-8"/>
        </w:rPr>
        <w:t> </w:t>
      </w:r>
      <w:r>
        <w:rPr>
          <w:color w:val="231F20"/>
          <w:spacing w:val="-6"/>
        </w:rPr>
        <w:t>eight</w:t>
      </w:r>
      <w:r>
        <w:rPr>
          <w:color w:val="231F20"/>
          <w:spacing w:val="-7"/>
        </w:rPr>
        <w:t> </w:t>
      </w:r>
      <w:r>
        <w:rPr>
          <w:color w:val="231F20"/>
          <w:spacing w:val="-6"/>
        </w:rPr>
        <w:t>partner</w:t>
      </w:r>
      <w:r>
        <w:rPr>
          <w:color w:val="231F20"/>
          <w:spacing w:val="-7"/>
        </w:rPr>
        <w:t> </w:t>
      </w:r>
      <w:r>
        <w:rPr>
          <w:color w:val="231F20"/>
          <w:spacing w:val="-6"/>
        </w:rPr>
        <w:t>countries.</w:t>
      </w:r>
      <w:r>
        <w:rPr>
          <w:color w:val="231F20"/>
          <w:spacing w:val="-7"/>
        </w:rPr>
        <w:t> </w:t>
      </w:r>
      <w:r>
        <w:rPr>
          <w:color w:val="231F20"/>
          <w:spacing w:val="-6"/>
        </w:rPr>
        <w:t>In</w:t>
      </w:r>
      <w:r>
        <w:rPr>
          <w:color w:val="231F20"/>
          <w:spacing w:val="-7"/>
        </w:rPr>
        <w:t> </w:t>
      </w:r>
      <w:r>
        <w:rPr>
          <w:color w:val="231F20"/>
          <w:spacing w:val="-6"/>
        </w:rPr>
        <w:t>the</w:t>
      </w:r>
      <w:r>
        <w:rPr>
          <w:color w:val="231F20"/>
          <w:spacing w:val="-7"/>
        </w:rPr>
        <w:t> </w:t>
      </w:r>
      <w:r>
        <w:rPr>
          <w:color w:val="231F20"/>
          <w:spacing w:val="-6"/>
        </w:rPr>
        <w:t>domestic</w:t>
      </w:r>
      <w:r>
        <w:rPr>
          <w:color w:val="231F20"/>
          <w:spacing w:val="-7"/>
        </w:rPr>
        <w:t> </w:t>
      </w:r>
      <w:r>
        <w:rPr>
          <w:color w:val="231F20"/>
          <w:spacing w:val="-6"/>
        </w:rPr>
        <w:t>ques- tionnaire, respondents provided qualitative and </w:t>
      </w:r>
      <w:r>
        <w:rPr>
          <w:color w:val="231F20"/>
          <w:spacing w:val="-4"/>
        </w:rPr>
        <w:t>quantitative data for the logistics environment </w:t>
      </w:r>
      <w:r>
        <w:rPr>
          <w:color w:val="231F20"/>
        </w:rPr>
        <w:t>in</w:t>
      </w:r>
      <w:r>
        <w:rPr>
          <w:color w:val="231F20"/>
          <w:spacing w:val="-2"/>
        </w:rPr>
        <w:t> </w:t>
      </w:r>
      <w:r>
        <w:rPr>
          <w:color w:val="231F20"/>
        </w:rPr>
        <w:t>the</w:t>
      </w:r>
      <w:r>
        <w:rPr>
          <w:color w:val="231F20"/>
          <w:spacing w:val="-2"/>
        </w:rPr>
        <w:t> </w:t>
      </w:r>
      <w:r>
        <w:rPr>
          <w:color w:val="231F20"/>
        </w:rPr>
        <w:t>country</w:t>
      </w:r>
      <w:r>
        <w:rPr>
          <w:color w:val="231F20"/>
          <w:spacing w:val="-2"/>
        </w:rPr>
        <w:t> </w:t>
      </w:r>
      <w:r>
        <w:rPr>
          <w:color w:val="231F20"/>
        </w:rPr>
        <w:t>where</w:t>
      </w:r>
      <w:r>
        <w:rPr>
          <w:color w:val="231F20"/>
          <w:spacing w:val="-2"/>
        </w:rPr>
        <w:t> </w:t>
      </w:r>
      <w:r>
        <w:rPr>
          <w:color w:val="231F20"/>
        </w:rPr>
        <w:t>they</w:t>
      </w:r>
      <w:r>
        <w:rPr>
          <w:color w:val="231F20"/>
          <w:spacing w:val="-2"/>
        </w:rPr>
        <w:t> </w:t>
      </w:r>
      <w:r>
        <w:rPr>
          <w:color w:val="231F20"/>
        </w:rPr>
        <w:t>work.</w:t>
      </w:r>
    </w:p>
    <w:p>
      <w:pPr>
        <w:pStyle w:val="BodyText"/>
        <w:spacing w:line="268" w:lineRule="auto"/>
        <w:ind w:left="3360" w:firstLine="300"/>
        <w:jc w:val="both"/>
      </w:pPr>
      <w:r>
        <w:rPr>
          <w:color w:val="231F20"/>
          <w:spacing w:val="-6"/>
        </w:rPr>
        <w:t>The</w:t>
      </w:r>
      <w:r>
        <w:rPr>
          <w:color w:val="231F20"/>
          <w:spacing w:val="-8"/>
        </w:rPr>
        <w:t> </w:t>
      </w:r>
      <w:r>
        <w:rPr>
          <w:color w:val="231F20"/>
          <w:spacing w:val="-6"/>
        </w:rPr>
        <w:t>2023</w:t>
      </w:r>
      <w:r>
        <w:rPr>
          <w:color w:val="231F20"/>
          <w:spacing w:val="-7"/>
        </w:rPr>
        <w:t> </w:t>
      </w:r>
      <w:r>
        <w:rPr>
          <w:color w:val="231F20"/>
          <w:spacing w:val="-6"/>
        </w:rPr>
        <w:t>LPI</w:t>
      </w:r>
      <w:r>
        <w:rPr>
          <w:color w:val="231F20"/>
          <w:spacing w:val="-7"/>
        </w:rPr>
        <w:t> </w:t>
      </w:r>
      <w:r>
        <w:rPr>
          <w:color w:val="231F20"/>
          <w:spacing w:val="-6"/>
        </w:rPr>
        <w:t>survey</w:t>
      </w:r>
      <w:r>
        <w:rPr>
          <w:color w:val="231F20"/>
          <w:spacing w:val="-7"/>
        </w:rPr>
        <w:t> </w:t>
      </w:r>
      <w:r>
        <w:rPr>
          <w:color w:val="231F20"/>
          <w:spacing w:val="-6"/>
        </w:rPr>
        <w:t>used</w:t>
      </w:r>
      <w:r>
        <w:rPr>
          <w:color w:val="231F20"/>
          <w:spacing w:val="-7"/>
        </w:rPr>
        <w:t> </w:t>
      </w:r>
      <w:r>
        <w:rPr>
          <w:color w:val="231F20"/>
          <w:spacing w:val="-6"/>
        </w:rPr>
        <w:t>only</w:t>
      </w:r>
      <w:r>
        <w:rPr>
          <w:color w:val="231F20"/>
          <w:spacing w:val="-7"/>
        </w:rPr>
        <w:t> </w:t>
      </w:r>
      <w:r>
        <w:rPr>
          <w:color w:val="231F20"/>
          <w:spacing w:val="-6"/>
        </w:rPr>
        <w:t>the</w:t>
      </w:r>
      <w:r>
        <w:rPr>
          <w:color w:val="231F20"/>
          <w:spacing w:val="-7"/>
        </w:rPr>
        <w:t> </w:t>
      </w:r>
      <w:r>
        <w:rPr>
          <w:color w:val="231F20"/>
          <w:spacing w:val="-6"/>
        </w:rPr>
        <w:t>interna- </w:t>
      </w:r>
      <w:r>
        <w:rPr>
          <w:color w:val="231F20"/>
          <w:spacing w:val="-2"/>
        </w:rPr>
        <w:t>tional</w:t>
      </w:r>
      <w:r>
        <w:rPr>
          <w:color w:val="231F20"/>
          <w:spacing w:val="-12"/>
        </w:rPr>
        <w:t> </w:t>
      </w:r>
      <w:r>
        <w:rPr>
          <w:color w:val="231F20"/>
          <w:spacing w:val="-2"/>
        </w:rPr>
        <w:t>part</w:t>
      </w:r>
      <w:r>
        <w:rPr>
          <w:color w:val="231F20"/>
          <w:spacing w:val="-11"/>
        </w:rPr>
        <w:t> </w:t>
      </w:r>
      <w:r>
        <w:rPr>
          <w:color w:val="231F20"/>
          <w:spacing w:val="-2"/>
        </w:rPr>
        <w:t>of</w:t>
      </w:r>
      <w:r>
        <w:rPr>
          <w:color w:val="231F20"/>
          <w:spacing w:val="-11"/>
        </w:rPr>
        <w:t> </w:t>
      </w:r>
      <w:r>
        <w:rPr>
          <w:color w:val="231F20"/>
          <w:spacing w:val="-2"/>
        </w:rPr>
        <w:t>the</w:t>
      </w:r>
      <w:r>
        <w:rPr>
          <w:color w:val="231F20"/>
          <w:spacing w:val="-11"/>
        </w:rPr>
        <w:t> </w:t>
      </w:r>
      <w:r>
        <w:rPr>
          <w:color w:val="231F20"/>
          <w:spacing w:val="-2"/>
        </w:rPr>
        <w:t>survey,</w:t>
      </w:r>
      <w:r>
        <w:rPr>
          <w:color w:val="231F20"/>
          <w:spacing w:val="-11"/>
        </w:rPr>
        <w:t> </w:t>
      </w:r>
      <w:r>
        <w:rPr>
          <w:color w:val="231F20"/>
          <w:spacing w:val="-2"/>
        </w:rPr>
        <w:t>so</w:t>
      </w:r>
      <w:r>
        <w:rPr>
          <w:color w:val="231F20"/>
          <w:spacing w:val="-11"/>
        </w:rPr>
        <w:t> </w:t>
      </w:r>
      <w:r>
        <w:rPr>
          <w:color w:val="231F20"/>
          <w:spacing w:val="-2"/>
        </w:rPr>
        <w:t>comparisons</w:t>
      </w:r>
      <w:r>
        <w:rPr>
          <w:color w:val="231F20"/>
          <w:spacing w:val="-11"/>
        </w:rPr>
        <w:t> </w:t>
      </w:r>
      <w:r>
        <w:rPr>
          <w:color w:val="231F20"/>
          <w:spacing w:val="-2"/>
        </w:rPr>
        <w:t>over </w:t>
      </w:r>
      <w:r>
        <w:rPr>
          <w:color w:val="231F20"/>
          <w:spacing w:val="-4"/>
        </w:rPr>
        <w:t>time</w:t>
      </w:r>
      <w:r>
        <w:rPr>
          <w:color w:val="231F20"/>
          <w:spacing w:val="-6"/>
        </w:rPr>
        <w:t> </w:t>
      </w:r>
      <w:r>
        <w:rPr>
          <w:color w:val="231F20"/>
          <w:spacing w:val="-4"/>
        </w:rPr>
        <w:t>reflect</w:t>
      </w:r>
      <w:r>
        <w:rPr>
          <w:color w:val="231F20"/>
          <w:spacing w:val="-6"/>
        </w:rPr>
        <w:t> </w:t>
      </w:r>
      <w:r>
        <w:rPr>
          <w:color w:val="231F20"/>
          <w:spacing w:val="-4"/>
        </w:rPr>
        <w:t>solely</w:t>
      </w:r>
      <w:r>
        <w:rPr>
          <w:color w:val="231F20"/>
          <w:spacing w:val="-6"/>
        </w:rPr>
        <w:t> </w:t>
      </w:r>
      <w:r>
        <w:rPr>
          <w:color w:val="231F20"/>
          <w:spacing w:val="-4"/>
        </w:rPr>
        <w:t>that</w:t>
      </w:r>
      <w:r>
        <w:rPr>
          <w:color w:val="231F20"/>
          <w:spacing w:val="-6"/>
        </w:rPr>
        <w:t> </w:t>
      </w:r>
      <w:r>
        <w:rPr>
          <w:color w:val="231F20"/>
          <w:spacing w:val="-4"/>
        </w:rPr>
        <w:t>part.</w:t>
      </w:r>
      <w:r>
        <w:rPr>
          <w:color w:val="231F20"/>
          <w:spacing w:val="-6"/>
        </w:rPr>
        <w:t> </w:t>
      </w:r>
      <w:r>
        <w:rPr>
          <w:color w:val="231F20"/>
          <w:spacing w:val="-4"/>
        </w:rPr>
        <w:t>The</w:t>
      </w:r>
      <w:r>
        <w:rPr>
          <w:color w:val="231F20"/>
          <w:spacing w:val="-6"/>
        </w:rPr>
        <w:t> </w:t>
      </w:r>
      <w:r>
        <w:rPr>
          <w:color w:val="231F20"/>
          <w:spacing w:val="-4"/>
        </w:rPr>
        <w:t>domestic</w:t>
      </w:r>
      <w:r>
        <w:rPr>
          <w:color w:val="231F20"/>
          <w:spacing w:val="-6"/>
        </w:rPr>
        <w:t> </w:t>
      </w:r>
      <w:r>
        <w:rPr>
          <w:color w:val="231F20"/>
          <w:spacing w:val="-4"/>
        </w:rPr>
        <w:t>part </w:t>
      </w:r>
      <w:r>
        <w:rPr>
          <w:color w:val="231F20"/>
        </w:rPr>
        <w:t>was</w:t>
      </w:r>
      <w:r>
        <w:rPr>
          <w:color w:val="231F20"/>
          <w:spacing w:val="-14"/>
        </w:rPr>
        <w:t> </w:t>
      </w:r>
      <w:r>
        <w:rPr>
          <w:color w:val="231F20"/>
        </w:rPr>
        <w:t>cut</w:t>
      </w:r>
      <w:r>
        <w:rPr>
          <w:color w:val="231F20"/>
          <w:spacing w:val="-13"/>
        </w:rPr>
        <w:t> </w:t>
      </w:r>
      <w:r>
        <w:rPr>
          <w:color w:val="231F20"/>
        </w:rPr>
        <w:t>for</w:t>
      </w:r>
      <w:r>
        <w:rPr>
          <w:color w:val="231F20"/>
          <w:spacing w:val="-13"/>
        </w:rPr>
        <w:t> </w:t>
      </w:r>
      <w:r>
        <w:rPr>
          <w:color w:val="231F20"/>
        </w:rPr>
        <w:t>two</w:t>
      </w:r>
      <w:r>
        <w:rPr>
          <w:color w:val="231F20"/>
          <w:spacing w:val="-13"/>
        </w:rPr>
        <w:t> </w:t>
      </w:r>
      <w:r>
        <w:rPr>
          <w:color w:val="231F20"/>
        </w:rPr>
        <w:t>reasons.</w:t>
      </w:r>
      <w:r>
        <w:rPr>
          <w:color w:val="231F20"/>
          <w:spacing w:val="-13"/>
        </w:rPr>
        <w:t> </w:t>
      </w:r>
      <w:r>
        <w:rPr>
          <w:color w:val="231F20"/>
        </w:rPr>
        <w:t>First,</w:t>
      </w:r>
      <w:r>
        <w:rPr>
          <w:color w:val="231F20"/>
          <w:spacing w:val="-13"/>
        </w:rPr>
        <w:t> </w:t>
      </w:r>
      <w:r>
        <w:rPr>
          <w:color w:val="231F20"/>
        </w:rPr>
        <w:t>to</w:t>
      </w:r>
      <w:r>
        <w:rPr>
          <w:color w:val="231F20"/>
          <w:spacing w:val="-13"/>
        </w:rPr>
        <w:t> </w:t>
      </w:r>
      <w:r>
        <w:rPr>
          <w:color w:val="231F20"/>
        </w:rPr>
        <w:t>counter</w:t>
      </w:r>
      <w:r>
        <w:rPr>
          <w:color w:val="231F20"/>
          <w:spacing w:val="-13"/>
        </w:rPr>
        <w:t> </w:t>
      </w:r>
      <w:r>
        <w:rPr>
          <w:color w:val="231F20"/>
        </w:rPr>
        <w:t>sur- </w:t>
      </w:r>
      <w:r>
        <w:rPr>
          <w:color w:val="231F20"/>
          <w:w w:val="90"/>
        </w:rPr>
        <w:t>vey</w:t>
      </w:r>
      <w:r>
        <w:rPr>
          <w:color w:val="231F20"/>
          <w:spacing w:val="-4"/>
          <w:w w:val="90"/>
        </w:rPr>
        <w:t> </w:t>
      </w:r>
      <w:r>
        <w:rPr>
          <w:color w:val="231F20"/>
          <w:w w:val="90"/>
        </w:rPr>
        <w:t>fatigue</w:t>
      </w:r>
      <w:r>
        <w:rPr>
          <w:color w:val="231F20"/>
          <w:spacing w:val="-4"/>
          <w:w w:val="90"/>
        </w:rPr>
        <w:t> </w:t>
      </w:r>
      <w:r>
        <w:rPr>
          <w:color w:val="231F20"/>
          <w:w w:val="90"/>
        </w:rPr>
        <w:t>among</w:t>
      </w:r>
      <w:r>
        <w:rPr>
          <w:color w:val="231F20"/>
          <w:spacing w:val="-4"/>
          <w:w w:val="90"/>
        </w:rPr>
        <w:t> </w:t>
      </w:r>
      <w:r>
        <w:rPr>
          <w:color w:val="231F20"/>
          <w:w w:val="90"/>
        </w:rPr>
        <w:t>respondents.</w:t>
      </w:r>
      <w:r>
        <w:rPr>
          <w:color w:val="231F20"/>
          <w:spacing w:val="-4"/>
          <w:w w:val="90"/>
        </w:rPr>
        <w:t> </w:t>
      </w:r>
      <w:r>
        <w:rPr>
          <w:color w:val="231F20"/>
          <w:w w:val="90"/>
        </w:rPr>
        <w:t>Second,</w:t>
      </w:r>
      <w:r>
        <w:rPr>
          <w:color w:val="231F20"/>
          <w:spacing w:val="-4"/>
          <w:w w:val="90"/>
        </w:rPr>
        <w:t> </w:t>
      </w:r>
      <w:r>
        <w:rPr>
          <w:color w:val="231F20"/>
          <w:w w:val="90"/>
        </w:rPr>
        <w:t>because </w:t>
      </w:r>
      <w:r>
        <w:rPr>
          <w:color w:val="231F20"/>
          <w:spacing w:val="-2"/>
        </w:rPr>
        <w:t>most</w:t>
      </w:r>
      <w:r>
        <w:rPr>
          <w:color w:val="231F20"/>
          <w:spacing w:val="-9"/>
        </w:rPr>
        <w:t> </w:t>
      </w:r>
      <w:r>
        <w:rPr>
          <w:color w:val="231F20"/>
          <w:spacing w:val="-2"/>
        </w:rPr>
        <w:t>of</w:t>
      </w:r>
      <w:r>
        <w:rPr>
          <w:color w:val="231F20"/>
          <w:spacing w:val="-9"/>
        </w:rPr>
        <w:t> </w:t>
      </w:r>
      <w:r>
        <w:rPr>
          <w:color w:val="231F20"/>
          <w:spacing w:val="-2"/>
        </w:rPr>
        <w:t>the</w:t>
      </w:r>
      <w:r>
        <w:rPr>
          <w:color w:val="231F20"/>
          <w:spacing w:val="-9"/>
        </w:rPr>
        <w:t> </w:t>
      </w:r>
      <w:r>
        <w:rPr>
          <w:color w:val="231F20"/>
          <w:spacing w:val="-2"/>
        </w:rPr>
        <w:t>data</w:t>
      </w:r>
      <w:r>
        <w:rPr>
          <w:color w:val="231F20"/>
          <w:spacing w:val="-9"/>
        </w:rPr>
        <w:t> </w:t>
      </w:r>
      <w:r>
        <w:rPr>
          <w:color w:val="231F20"/>
          <w:spacing w:val="-2"/>
        </w:rPr>
        <w:t>covered</w:t>
      </w:r>
      <w:r>
        <w:rPr>
          <w:color w:val="231F20"/>
          <w:spacing w:val="-9"/>
        </w:rPr>
        <w:t> </w:t>
      </w:r>
      <w:r>
        <w:rPr>
          <w:color w:val="231F20"/>
          <w:spacing w:val="-2"/>
        </w:rPr>
        <w:t>by</w:t>
      </w:r>
      <w:r>
        <w:rPr>
          <w:color w:val="231F20"/>
          <w:spacing w:val="-9"/>
        </w:rPr>
        <w:t> </w:t>
      </w:r>
      <w:r>
        <w:rPr>
          <w:color w:val="231F20"/>
          <w:spacing w:val="-2"/>
        </w:rPr>
        <w:t>the</w:t>
      </w:r>
      <w:r>
        <w:rPr>
          <w:color w:val="231F20"/>
          <w:spacing w:val="-9"/>
        </w:rPr>
        <w:t> </w:t>
      </w:r>
      <w:r>
        <w:rPr>
          <w:color w:val="231F20"/>
          <w:spacing w:val="-2"/>
        </w:rPr>
        <w:t>domestic</w:t>
      </w:r>
      <w:r>
        <w:rPr>
          <w:color w:val="231F20"/>
          <w:spacing w:val="-9"/>
        </w:rPr>
        <w:t> </w:t>
      </w:r>
      <w:r>
        <w:rPr>
          <w:color w:val="231F20"/>
          <w:spacing w:val="-2"/>
        </w:rPr>
        <w:t>part </w:t>
      </w:r>
      <w:r>
        <w:rPr>
          <w:color w:val="231F20"/>
        </w:rPr>
        <w:t>of</w:t>
      </w:r>
      <w:r>
        <w:rPr>
          <w:color w:val="231F20"/>
          <w:spacing w:val="-13"/>
        </w:rPr>
        <w:t> </w:t>
      </w:r>
      <w:r>
        <w:rPr>
          <w:color w:val="231F20"/>
        </w:rPr>
        <w:t>the</w:t>
      </w:r>
      <w:r>
        <w:rPr>
          <w:color w:val="231F20"/>
          <w:spacing w:val="-13"/>
        </w:rPr>
        <w:t> </w:t>
      </w:r>
      <w:r>
        <w:rPr>
          <w:color w:val="231F20"/>
        </w:rPr>
        <w:t>survey</w:t>
      </w:r>
      <w:r>
        <w:rPr>
          <w:color w:val="231F20"/>
          <w:spacing w:val="-13"/>
        </w:rPr>
        <w:t> </w:t>
      </w:r>
      <w:r>
        <w:rPr>
          <w:color w:val="231F20"/>
        </w:rPr>
        <w:t>can</w:t>
      </w:r>
      <w:r>
        <w:rPr>
          <w:color w:val="231F20"/>
          <w:spacing w:val="-13"/>
        </w:rPr>
        <w:t> </w:t>
      </w:r>
      <w:r>
        <w:rPr>
          <w:color w:val="231F20"/>
        </w:rPr>
        <w:t>be</w:t>
      </w:r>
      <w:r>
        <w:rPr>
          <w:color w:val="231F20"/>
          <w:spacing w:val="-13"/>
        </w:rPr>
        <w:t> </w:t>
      </w:r>
      <w:r>
        <w:rPr>
          <w:color w:val="231F20"/>
        </w:rPr>
        <w:t>gleaned</w:t>
      </w:r>
      <w:r>
        <w:rPr>
          <w:color w:val="231F20"/>
          <w:spacing w:val="-13"/>
        </w:rPr>
        <w:t> </w:t>
      </w:r>
      <w:r>
        <w:rPr>
          <w:color w:val="231F20"/>
        </w:rPr>
        <w:t>more</w:t>
      </w:r>
      <w:r>
        <w:rPr>
          <w:color w:val="231F20"/>
          <w:spacing w:val="-13"/>
        </w:rPr>
        <w:t> </w:t>
      </w:r>
      <w:r>
        <w:rPr>
          <w:color w:val="231F20"/>
        </w:rPr>
        <w:t>easily</w:t>
      </w:r>
      <w:r>
        <w:rPr>
          <w:color w:val="231F20"/>
          <w:spacing w:val="-13"/>
        </w:rPr>
        <w:t> </w:t>
      </w:r>
      <w:r>
        <w:rPr>
          <w:color w:val="231F20"/>
        </w:rPr>
        <w:t>and </w:t>
      </w:r>
      <w:r>
        <w:rPr>
          <w:color w:val="231F20"/>
          <w:spacing w:val="-4"/>
        </w:rPr>
        <w:t>accurately</w:t>
      </w:r>
      <w:r>
        <w:rPr>
          <w:color w:val="231F20"/>
          <w:spacing w:val="-10"/>
        </w:rPr>
        <w:t> </w:t>
      </w:r>
      <w:r>
        <w:rPr>
          <w:color w:val="231F20"/>
          <w:spacing w:val="-4"/>
        </w:rPr>
        <w:t>from</w:t>
      </w:r>
      <w:r>
        <w:rPr>
          <w:color w:val="231F20"/>
          <w:spacing w:val="-9"/>
        </w:rPr>
        <w:t> </w:t>
      </w:r>
      <w:r>
        <w:rPr>
          <w:color w:val="231F20"/>
          <w:spacing w:val="-4"/>
        </w:rPr>
        <w:t>the</w:t>
      </w:r>
      <w:r>
        <w:rPr>
          <w:color w:val="231F20"/>
          <w:spacing w:val="-9"/>
        </w:rPr>
        <w:t> </w:t>
      </w:r>
      <w:r>
        <w:rPr>
          <w:color w:val="231F20"/>
          <w:spacing w:val="-4"/>
        </w:rPr>
        <w:t>new</w:t>
      </w:r>
      <w:r>
        <w:rPr>
          <w:color w:val="231F20"/>
          <w:spacing w:val="-9"/>
        </w:rPr>
        <w:t> </w:t>
      </w:r>
      <w:r>
        <w:rPr>
          <w:color w:val="231F20"/>
          <w:spacing w:val="-4"/>
        </w:rPr>
        <w:t>supply</w:t>
      </w:r>
      <w:r>
        <w:rPr>
          <w:color w:val="231F20"/>
          <w:spacing w:val="-9"/>
        </w:rPr>
        <w:t> </w:t>
      </w:r>
      <w:r>
        <w:rPr>
          <w:color w:val="231F20"/>
          <w:spacing w:val="-4"/>
        </w:rPr>
        <w:t>chain</w:t>
      </w:r>
      <w:r>
        <w:rPr>
          <w:color w:val="231F20"/>
          <w:spacing w:val="-9"/>
        </w:rPr>
        <w:t> </w:t>
      </w:r>
      <w:r>
        <w:rPr>
          <w:color w:val="231F20"/>
          <w:spacing w:val="-4"/>
        </w:rPr>
        <w:t>tracking </w:t>
      </w:r>
      <w:r>
        <w:rPr>
          <w:color w:val="231F20"/>
          <w:spacing w:val="-2"/>
        </w:rPr>
        <w:t>datasets</w:t>
      </w:r>
      <w:r>
        <w:rPr>
          <w:color w:val="231F20"/>
          <w:spacing w:val="-12"/>
        </w:rPr>
        <w:t> </w:t>
      </w:r>
      <w:r>
        <w:rPr>
          <w:color w:val="231F20"/>
          <w:spacing w:val="-2"/>
        </w:rPr>
        <w:t>in</w:t>
      </w:r>
      <w:r>
        <w:rPr>
          <w:color w:val="231F20"/>
          <w:spacing w:val="-11"/>
        </w:rPr>
        <w:t> </w:t>
      </w:r>
      <w:r>
        <w:rPr>
          <w:color w:val="231F20"/>
          <w:spacing w:val="-2"/>
        </w:rPr>
        <w:t>chapter</w:t>
      </w:r>
      <w:r>
        <w:rPr>
          <w:color w:val="231F20"/>
          <w:spacing w:val="-11"/>
        </w:rPr>
        <w:t> </w:t>
      </w:r>
      <w:r>
        <w:rPr>
          <w:color w:val="231F20"/>
          <w:spacing w:val="-2"/>
        </w:rPr>
        <w:t>3.</w:t>
      </w:r>
      <w:r>
        <w:rPr>
          <w:color w:val="231F20"/>
          <w:spacing w:val="-2"/>
          <w:position w:val="7"/>
          <w:sz w:val="14"/>
        </w:rPr>
        <w:t>14</w:t>
      </w:r>
      <w:r>
        <w:rPr>
          <w:color w:val="231F20"/>
          <w:position w:val="7"/>
          <w:sz w:val="14"/>
        </w:rPr>
        <w:t> </w:t>
      </w:r>
      <w:r>
        <w:rPr>
          <w:color w:val="231F20"/>
          <w:spacing w:val="-2"/>
        </w:rPr>
        <w:t>The</w:t>
      </w:r>
      <w:r>
        <w:rPr>
          <w:color w:val="231F20"/>
          <w:spacing w:val="-11"/>
        </w:rPr>
        <w:t> </w:t>
      </w:r>
      <w:r>
        <w:rPr>
          <w:color w:val="231F20"/>
          <w:spacing w:val="-2"/>
        </w:rPr>
        <w:t>2023</w:t>
      </w:r>
      <w:r>
        <w:rPr>
          <w:color w:val="231F20"/>
          <w:spacing w:val="-11"/>
        </w:rPr>
        <w:t> </w:t>
      </w:r>
      <w:r>
        <w:rPr>
          <w:color w:val="231F20"/>
          <w:spacing w:val="-2"/>
        </w:rPr>
        <w:t>survey,</w:t>
      </w:r>
      <w:r>
        <w:rPr>
          <w:color w:val="231F20"/>
          <w:spacing w:val="-11"/>
        </w:rPr>
        <w:t> </w:t>
      </w:r>
      <w:r>
        <w:rPr>
          <w:color w:val="231F20"/>
          <w:spacing w:val="-2"/>
        </w:rPr>
        <w:t>con- </w:t>
      </w:r>
      <w:r>
        <w:rPr>
          <w:color w:val="231F20"/>
          <w:spacing w:val="-8"/>
        </w:rPr>
        <w:t>ducted</w:t>
      </w:r>
      <w:r>
        <w:rPr>
          <w:color w:val="231F20"/>
          <w:spacing w:val="-6"/>
        </w:rPr>
        <w:t> </w:t>
      </w:r>
      <w:r>
        <w:rPr>
          <w:color w:val="231F20"/>
          <w:spacing w:val="-8"/>
        </w:rPr>
        <w:t>from</w:t>
      </w:r>
      <w:r>
        <w:rPr>
          <w:color w:val="231F20"/>
          <w:spacing w:val="-5"/>
        </w:rPr>
        <w:t> </w:t>
      </w:r>
      <w:r>
        <w:rPr>
          <w:color w:val="231F20"/>
          <w:spacing w:val="-8"/>
        </w:rPr>
        <w:t>September</w:t>
      </w:r>
      <w:r>
        <w:rPr>
          <w:color w:val="231F20"/>
          <w:spacing w:val="-5"/>
        </w:rPr>
        <w:t> </w:t>
      </w:r>
      <w:r>
        <w:rPr>
          <w:color w:val="231F20"/>
          <w:spacing w:val="-8"/>
        </w:rPr>
        <w:t>6</w:t>
      </w:r>
      <w:r>
        <w:rPr>
          <w:color w:val="231F20"/>
          <w:spacing w:val="-5"/>
        </w:rPr>
        <w:t> </w:t>
      </w:r>
      <w:r>
        <w:rPr>
          <w:color w:val="231F20"/>
          <w:spacing w:val="-8"/>
        </w:rPr>
        <w:t>to</w:t>
      </w:r>
      <w:r>
        <w:rPr>
          <w:color w:val="231F20"/>
          <w:spacing w:val="-5"/>
        </w:rPr>
        <w:t> </w:t>
      </w:r>
      <w:r>
        <w:rPr>
          <w:color w:val="231F20"/>
          <w:spacing w:val="-8"/>
        </w:rPr>
        <w:t>November</w:t>
      </w:r>
      <w:r>
        <w:rPr>
          <w:color w:val="231F20"/>
          <w:spacing w:val="-5"/>
        </w:rPr>
        <w:t> </w:t>
      </w:r>
      <w:r>
        <w:rPr>
          <w:color w:val="231F20"/>
          <w:spacing w:val="-8"/>
        </w:rPr>
        <w:t>5,</w:t>
      </w:r>
      <w:r>
        <w:rPr>
          <w:color w:val="231F20"/>
          <w:spacing w:val="-5"/>
        </w:rPr>
        <w:t> </w:t>
      </w:r>
      <w:r>
        <w:rPr>
          <w:color w:val="231F20"/>
          <w:spacing w:val="-8"/>
        </w:rPr>
        <w:t>2022, </w:t>
      </w:r>
      <w:r>
        <w:rPr>
          <w:color w:val="231F20"/>
          <w:w w:val="90"/>
        </w:rPr>
        <w:t>included 4,090 assessments of 139 countries by </w:t>
      </w:r>
      <w:r>
        <w:rPr>
          <w:color w:val="231F20"/>
        </w:rPr>
        <w:t>logistics</w:t>
      </w:r>
      <w:r>
        <w:rPr>
          <w:color w:val="231F20"/>
          <w:spacing w:val="-14"/>
        </w:rPr>
        <w:t> </w:t>
      </w:r>
      <w:r>
        <w:rPr>
          <w:color w:val="231F20"/>
        </w:rPr>
        <w:t>professionals.</w:t>
      </w:r>
    </w:p>
    <w:p>
      <w:pPr>
        <w:spacing w:before="105"/>
        <w:ind w:left="199" w:right="0" w:firstLine="0"/>
        <w:jc w:val="both"/>
        <w:rPr>
          <w:rFonts w:ascii="Arial"/>
          <w:b/>
          <w:sz w:val="20"/>
        </w:rPr>
      </w:pPr>
      <w:r>
        <w:rPr/>
        <w:br w:type="column"/>
      </w:r>
      <w:r>
        <w:rPr>
          <w:rFonts w:ascii="Arial"/>
          <w:b/>
          <w:color w:val="231F20"/>
          <w:w w:val="105"/>
          <w:sz w:val="20"/>
        </w:rPr>
        <w:t>Key</w:t>
      </w:r>
      <w:r>
        <w:rPr>
          <w:rFonts w:ascii="Arial"/>
          <w:b/>
          <w:color w:val="231F20"/>
          <w:spacing w:val="7"/>
          <w:w w:val="105"/>
          <w:sz w:val="20"/>
        </w:rPr>
        <w:t> </w:t>
      </w:r>
      <w:r>
        <w:rPr>
          <w:rFonts w:ascii="Arial"/>
          <w:b/>
          <w:color w:val="231F20"/>
          <w:w w:val="105"/>
          <w:sz w:val="20"/>
        </w:rPr>
        <w:t>findings</w:t>
      </w:r>
      <w:r>
        <w:rPr>
          <w:rFonts w:ascii="Arial"/>
          <w:b/>
          <w:color w:val="231F20"/>
          <w:spacing w:val="8"/>
          <w:w w:val="105"/>
          <w:sz w:val="20"/>
        </w:rPr>
        <w:t> </w:t>
      </w:r>
      <w:r>
        <w:rPr>
          <w:rFonts w:ascii="Arial"/>
          <w:b/>
          <w:color w:val="231F20"/>
          <w:w w:val="105"/>
          <w:sz w:val="20"/>
        </w:rPr>
        <w:t>of</w:t>
      </w:r>
      <w:r>
        <w:rPr>
          <w:rFonts w:ascii="Arial"/>
          <w:b/>
          <w:color w:val="231F20"/>
          <w:spacing w:val="7"/>
          <w:w w:val="105"/>
          <w:sz w:val="20"/>
        </w:rPr>
        <w:t> </w:t>
      </w:r>
      <w:r>
        <w:rPr>
          <w:rFonts w:ascii="Arial"/>
          <w:b/>
          <w:color w:val="231F20"/>
          <w:w w:val="105"/>
          <w:sz w:val="20"/>
        </w:rPr>
        <w:t>the</w:t>
      </w:r>
      <w:r>
        <w:rPr>
          <w:rFonts w:ascii="Arial"/>
          <w:b/>
          <w:color w:val="231F20"/>
          <w:spacing w:val="8"/>
          <w:w w:val="105"/>
          <w:sz w:val="20"/>
        </w:rPr>
        <w:t> </w:t>
      </w:r>
      <w:r>
        <w:rPr>
          <w:rFonts w:ascii="Arial"/>
          <w:b/>
          <w:color w:val="231F20"/>
          <w:w w:val="105"/>
          <w:sz w:val="20"/>
        </w:rPr>
        <w:t>2023</w:t>
      </w:r>
      <w:r>
        <w:rPr>
          <w:rFonts w:ascii="Arial"/>
          <w:b/>
          <w:color w:val="231F20"/>
          <w:spacing w:val="7"/>
          <w:w w:val="105"/>
          <w:sz w:val="20"/>
        </w:rPr>
        <w:t> </w:t>
      </w:r>
      <w:r>
        <w:rPr>
          <w:rFonts w:ascii="Arial"/>
          <w:b/>
          <w:color w:val="231F20"/>
          <w:w w:val="105"/>
          <w:sz w:val="20"/>
        </w:rPr>
        <w:t>LPI</w:t>
      </w:r>
      <w:r>
        <w:rPr>
          <w:rFonts w:ascii="Arial"/>
          <w:b/>
          <w:color w:val="231F20"/>
          <w:spacing w:val="8"/>
          <w:w w:val="105"/>
          <w:sz w:val="20"/>
        </w:rPr>
        <w:t> </w:t>
      </w:r>
      <w:r>
        <w:rPr>
          <w:rFonts w:ascii="Arial"/>
          <w:b/>
          <w:color w:val="231F20"/>
          <w:spacing w:val="-2"/>
          <w:w w:val="105"/>
          <w:sz w:val="20"/>
        </w:rPr>
        <w:t>survey</w:t>
      </w:r>
    </w:p>
    <w:p>
      <w:pPr>
        <w:pStyle w:val="BodyText"/>
        <w:spacing w:before="71"/>
        <w:rPr>
          <w:rFonts w:ascii="Arial"/>
          <w:b/>
          <w:sz w:val="20"/>
        </w:rPr>
      </w:pPr>
    </w:p>
    <w:p>
      <w:pPr>
        <w:pStyle w:val="BodyText"/>
        <w:spacing w:line="268" w:lineRule="auto" w:before="1"/>
        <w:ind w:left="199" w:right="657"/>
        <w:jc w:val="both"/>
      </w:pPr>
      <w:r>
        <w:rPr>
          <w:color w:val="231F20"/>
        </w:rPr>
        <w:t>Over</w:t>
      </w:r>
      <w:r>
        <w:rPr>
          <w:color w:val="231F20"/>
          <w:spacing w:val="-13"/>
        </w:rPr>
        <w:t> </w:t>
      </w:r>
      <w:r>
        <w:rPr>
          <w:color w:val="231F20"/>
        </w:rPr>
        <w:t>the</w:t>
      </w:r>
      <w:r>
        <w:rPr>
          <w:color w:val="231F20"/>
          <w:spacing w:val="-13"/>
        </w:rPr>
        <w:t> </w:t>
      </w:r>
      <w:r>
        <w:rPr>
          <w:color w:val="231F20"/>
        </w:rPr>
        <w:t>past</w:t>
      </w:r>
      <w:r>
        <w:rPr>
          <w:color w:val="231F20"/>
          <w:spacing w:val="-13"/>
        </w:rPr>
        <w:t> </w:t>
      </w:r>
      <w:r>
        <w:rPr>
          <w:color w:val="231F20"/>
        </w:rPr>
        <w:t>decade,</w:t>
      </w:r>
      <w:r>
        <w:rPr>
          <w:color w:val="231F20"/>
          <w:spacing w:val="-13"/>
        </w:rPr>
        <w:t> </w:t>
      </w:r>
      <w:r>
        <w:rPr>
          <w:color w:val="231F20"/>
        </w:rPr>
        <w:t>high-income</w:t>
      </w:r>
      <w:r>
        <w:rPr>
          <w:color w:val="231F20"/>
          <w:spacing w:val="-13"/>
        </w:rPr>
        <w:t> </w:t>
      </w:r>
      <w:r>
        <w:rPr>
          <w:color w:val="231F20"/>
        </w:rPr>
        <w:t>countries have occupied the top positions in the LPI </w:t>
      </w:r>
      <w:r>
        <w:rPr>
          <w:color w:val="231F20"/>
          <w:spacing w:val="-2"/>
        </w:rPr>
        <w:t>rankings</w:t>
      </w:r>
      <w:r>
        <w:rPr>
          <w:color w:val="231F20"/>
          <w:spacing w:val="-11"/>
        </w:rPr>
        <w:t> </w:t>
      </w:r>
      <w:r>
        <w:rPr>
          <w:color w:val="231F20"/>
          <w:spacing w:val="-2"/>
        </w:rPr>
        <w:t>(see</w:t>
      </w:r>
      <w:r>
        <w:rPr>
          <w:color w:val="231F20"/>
          <w:spacing w:val="-11"/>
        </w:rPr>
        <w:t> </w:t>
      </w:r>
      <w:r>
        <w:rPr>
          <w:color w:val="231F20"/>
          <w:spacing w:val="-2"/>
        </w:rPr>
        <w:t>table</w:t>
      </w:r>
      <w:r>
        <w:rPr>
          <w:color w:val="231F20"/>
          <w:spacing w:val="-11"/>
        </w:rPr>
        <w:t> </w:t>
      </w:r>
      <w:r>
        <w:rPr>
          <w:color w:val="231F20"/>
          <w:spacing w:val="-2"/>
        </w:rPr>
        <w:t>A3.1</w:t>
      </w:r>
      <w:r>
        <w:rPr>
          <w:color w:val="231F20"/>
          <w:spacing w:val="-11"/>
        </w:rPr>
        <w:t> </w:t>
      </w:r>
      <w:r>
        <w:rPr>
          <w:color w:val="231F20"/>
          <w:spacing w:val="-2"/>
        </w:rPr>
        <w:t>in</w:t>
      </w:r>
      <w:r>
        <w:rPr>
          <w:color w:val="231F20"/>
          <w:spacing w:val="-11"/>
        </w:rPr>
        <w:t> </w:t>
      </w:r>
      <w:r>
        <w:rPr>
          <w:color w:val="231F20"/>
          <w:spacing w:val="-2"/>
        </w:rPr>
        <w:t>appendix</w:t>
      </w:r>
      <w:r>
        <w:rPr>
          <w:color w:val="231F20"/>
          <w:spacing w:val="-11"/>
        </w:rPr>
        <w:t> </w:t>
      </w:r>
      <w:r>
        <w:rPr>
          <w:color w:val="231F20"/>
          <w:spacing w:val="-2"/>
        </w:rPr>
        <w:t>3).</w:t>
      </w:r>
      <w:r>
        <w:rPr>
          <w:color w:val="231F20"/>
          <w:spacing w:val="-11"/>
        </w:rPr>
        <w:t> </w:t>
      </w:r>
      <w:r>
        <w:rPr>
          <w:color w:val="231F20"/>
          <w:spacing w:val="-2"/>
        </w:rPr>
        <w:t>Geo- </w:t>
      </w:r>
      <w:r>
        <w:rPr>
          <w:color w:val="231F20"/>
        </w:rPr>
        <w:t>graphically, top scorers are concentrated in </w:t>
      </w:r>
      <w:r>
        <w:rPr>
          <w:color w:val="231F20"/>
          <w:w w:val="90"/>
        </w:rPr>
        <w:t>Europe, but East Asia and Pacific, North Amer- </w:t>
      </w:r>
      <w:r>
        <w:rPr>
          <w:color w:val="231F20"/>
          <w:spacing w:val="-2"/>
        </w:rPr>
        <w:t>ica,</w:t>
      </w:r>
      <w:r>
        <w:rPr>
          <w:color w:val="231F20"/>
          <w:spacing w:val="-10"/>
        </w:rPr>
        <w:t> </w:t>
      </w:r>
      <w:r>
        <w:rPr>
          <w:color w:val="231F20"/>
          <w:spacing w:val="-2"/>
        </w:rPr>
        <w:t>and</w:t>
      </w:r>
      <w:r>
        <w:rPr>
          <w:color w:val="231F20"/>
          <w:spacing w:val="-10"/>
        </w:rPr>
        <w:t> </w:t>
      </w:r>
      <w:r>
        <w:rPr>
          <w:color w:val="231F20"/>
          <w:spacing w:val="-2"/>
        </w:rPr>
        <w:t>the</w:t>
      </w:r>
      <w:r>
        <w:rPr>
          <w:color w:val="231F20"/>
          <w:spacing w:val="-10"/>
        </w:rPr>
        <w:t> </w:t>
      </w:r>
      <w:r>
        <w:rPr>
          <w:color w:val="231F20"/>
          <w:spacing w:val="-2"/>
        </w:rPr>
        <w:t>Middle</w:t>
      </w:r>
      <w:r>
        <w:rPr>
          <w:color w:val="231F20"/>
          <w:spacing w:val="-10"/>
        </w:rPr>
        <w:t> </w:t>
      </w:r>
      <w:r>
        <w:rPr>
          <w:color w:val="231F20"/>
          <w:spacing w:val="-2"/>
        </w:rPr>
        <w:t>East</w:t>
      </w:r>
      <w:r>
        <w:rPr>
          <w:color w:val="231F20"/>
          <w:spacing w:val="-10"/>
        </w:rPr>
        <w:t> </w:t>
      </w:r>
      <w:r>
        <w:rPr>
          <w:color w:val="231F20"/>
          <w:spacing w:val="-2"/>
        </w:rPr>
        <w:t>and</w:t>
      </w:r>
      <w:r>
        <w:rPr>
          <w:color w:val="231F20"/>
          <w:spacing w:val="-10"/>
        </w:rPr>
        <w:t> </w:t>
      </w:r>
      <w:r>
        <w:rPr>
          <w:color w:val="231F20"/>
          <w:spacing w:val="-2"/>
        </w:rPr>
        <w:t>North</w:t>
      </w:r>
      <w:r>
        <w:rPr>
          <w:color w:val="231F20"/>
          <w:spacing w:val="-10"/>
        </w:rPr>
        <w:t> </w:t>
      </w:r>
      <w:r>
        <w:rPr>
          <w:color w:val="231F20"/>
          <w:spacing w:val="-2"/>
        </w:rPr>
        <w:t>Africa</w:t>
      </w:r>
      <w:r>
        <w:rPr>
          <w:color w:val="231F20"/>
          <w:spacing w:val="-10"/>
        </w:rPr>
        <w:t> </w:t>
      </w:r>
      <w:r>
        <w:rPr>
          <w:color w:val="231F20"/>
          <w:spacing w:val="-2"/>
        </w:rPr>
        <w:t>are </w:t>
      </w:r>
      <w:r>
        <w:rPr>
          <w:color w:val="231F20"/>
          <w:spacing w:val="-4"/>
        </w:rPr>
        <w:t>also</w:t>
      </w:r>
      <w:r>
        <w:rPr>
          <w:color w:val="231F20"/>
          <w:spacing w:val="-9"/>
        </w:rPr>
        <w:t> </w:t>
      </w:r>
      <w:r>
        <w:rPr>
          <w:color w:val="231F20"/>
          <w:spacing w:val="-4"/>
        </w:rPr>
        <w:t>represented.</w:t>
      </w:r>
      <w:r>
        <w:rPr>
          <w:color w:val="231F20"/>
          <w:spacing w:val="-9"/>
        </w:rPr>
        <w:t> </w:t>
      </w:r>
      <w:r>
        <w:rPr>
          <w:color w:val="231F20"/>
          <w:spacing w:val="-4"/>
        </w:rPr>
        <w:t>There</w:t>
      </w:r>
      <w:r>
        <w:rPr>
          <w:color w:val="231F20"/>
          <w:spacing w:val="-9"/>
        </w:rPr>
        <w:t> </w:t>
      </w:r>
      <w:r>
        <w:rPr>
          <w:color w:val="231F20"/>
          <w:spacing w:val="-4"/>
        </w:rPr>
        <w:t>are</w:t>
      </w:r>
      <w:r>
        <w:rPr>
          <w:color w:val="231F20"/>
          <w:spacing w:val="-9"/>
        </w:rPr>
        <w:t> </w:t>
      </w:r>
      <w:r>
        <w:rPr>
          <w:color w:val="231F20"/>
          <w:spacing w:val="-4"/>
        </w:rPr>
        <w:t>12</w:t>
      </w:r>
      <w:r>
        <w:rPr>
          <w:color w:val="231F20"/>
          <w:spacing w:val="-9"/>
        </w:rPr>
        <w:t> </w:t>
      </w:r>
      <w:r>
        <w:rPr>
          <w:color w:val="231F20"/>
          <w:spacing w:val="-4"/>
        </w:rPr>
        <w:t>economies</w:t>
      </w:r>
      <w:r>
        <w:rPr>
          <w:color w:val="231F20"/>
          <w:spacing w:val="-9"/>
        </w:rPr>
        <w:t> </w:t>
      </w:r>
      <w:r>
        <w:rPr>
          <w:color w:val="231F20"/>
          <w:spacing w:val="-4"/>
        </w:rPr>
        <w:t>atop the</w:t>
      </w:r>
      <w:r>
        <w:rPr>
          <w:color w:val="231F20"/>
          <w:spacing w:val="-10"/>
        </w:rPr>
        <w:t> </w:t>
      </w:r>
      <w:r>
        <w:rPr>
          <w:color w:val="231F20"/>
          <w:spacing w:val="-4"/>
        </w:rPr>
        <w:t>logistics</w:t>
      </w:r>
      <w:r>
        <w:rPr>
          <w:color w:val="231F20"/>
          <w:spacing w:val="-9"/>
        </w:rPr>
        <w:t> </w:t>
      </w:r>
      <w:r>
        <w:rPr>
          <w:color w:val="231F20"/>
          <w:spacing w:val="-4"/>
        </w:rPr>
        <w:t>performance</w:t>
      </w:r>
      <w:r>
        <w:rPr>
          <w:color w:val="231F20"/>
          <w:spacing w:val="-9"/>
        </w:rPr>
        <w:t> </w:t>
      </w:r>
      <w:r>
        <w:rPr>
          <w:color w:val="231F20"/>
          <w:spacing w:val="-4"/>
        </w:rPr>
        <w:t>leaderboard</w:t>
      </w:r>
      <w:r>
        <w:rPr>
          <w:color w:val="231F20"/>
          <w:spacing w:val="-9"/>
        </w:rPr>
        <w:t> </w:t>
      </w:r>
      <w:r>
        <w:rPr>
          <w:color w:val="231F20"/>
          <w:spacing w:val="-4"/>
        </w:rPr>
        <w:t>in</w:t>
      </w:r>
      <w:r>
        <w:rPr>
          <w:color w:val="231F20"/>
          <w:spacing w:val="-9"/>
        </w:rPr>
        <w:t> </w:t>
      </w:r>
      <w:r>
        <w:rPr>
          <w:color w:val="231F20"/>
          <w:spacing w:val="-4"/>
        </w:rPr>
        <w:t>2023, </w:t>
      </w:r>
      <w:r>
        <w:rPr>
          <w:color w:val="231F20"/>
          <w:spacing w:val="-2"/>
        </w:rPr>
        <w:t>all</w:t>
      </w:r>
      <w:r>
        <w:rPr>
          <w:color w:val="231F20"/>
          <w:spacing w:val="-9"/>
        </w:rPr>
        <w:t> </w:t>
      </w:r>
      <w:r>
        <w:rPr>
          <w:color w:val="231F20"/>
          <w:spacing w:val="-2"/>
        </w:rPr>
        <w:t>with</w:t>
      </w:r>
      <w:r>
        <w:rPr>
          <w:color w:val="231F20"/>
          <w:spacing w:val="-9"/>
        </w:rPr>
        <w:t> </w:t>
      </w:r>
      <w:r>
        <w:rPr>
          <w:color w:val="231F20"/>
          <w:spacing w:val="-2"/>
        </w:rPr>
        <w:t>a</w:t>
      </w:r>
      <w:r>
        <w:rPr>
          <w:color w:val="231F20"/>
          <w:spacing w:val="-9"/>
        </w:rPr>
        <w:t> </w:t>
      </w:r>
      <w:r>
        <w:rPr>
          <w:color w:val="231F20"/>
          <w:spacing w:val="-2"/>
        </w:rPr>
        <w:t>score</w:t>
      </w:r>
      <w:r>
        <w:rPr>
          <w:color w:val="231F20"/>
          <w:spacing w:val="-9"/>
        </w:rPr>
        <w:t> </w:t>
      </w:r>
      <w:r>
        <w:rPr>
          <w:color w:val="231F20"/>
          <w:spacing w:val="-2"/>
        </w:rPr>
        <w:t>of</w:t>
      </w:r>
      <w:r>
        <w:rPr>
          <w:color w:val="231F20"/>
          <w:spacing w:val="-9"/>
        </w:rPr>
        <w:t> </w:t>
      </w:r>
      <w:r>
        <w:rPr>
          <w:color w:val="231F20"/>
          <w:spacing w:val="-2"/>
        </w:rPr>
        <w:t>4</w:t>
      </w:r>
      <w:r>
        <w:rPr>
          <w:color w:val="231F20"/>
          <w:spacing w:val="-9"/>
        </w:rPr>
        <w:t> </w:t>
      </w:r>
      <w:r>
        <w:rPr>
          <w:color w:val="231F20"/>
          <w:spacing w:val="-2"/>
        </w:rPr>
        <w:t>or</w:t>
      </w:r>
      <w:r>
        <w:rPr>
          <w:color w:val="231F20"/>
          <w:spacing w:val="-9"/>
        </w:rPr>
        <w:t> </w:t>
      </w:r>
      <w:r>
        <w:rPr>
          <w:color w:val="231F20"/>
          <w:spacing w:val="-2"/>
        </w:rPr>
        <w:t>higher,</w:t>
      </w:r>
      <w:r>
        <w:rPr>
          <w:color w:val="231F20"/>
          <w:spacing w:val="-9"/>
        </w:rPr>
        <w:t> </w:t>
      </w:r>
      <w:r>
        <w:rPr>
          <w:color w:val="231F20"/>
          <w:spacing w:val="-2"/>
        </w:rPr>
        <w:t>compared</w:t>
      </w:r>
      <w:r>
        <w:rPr>
          <w:color w:val="231F20"/>
          <w:spacing w:val="-9"/>
        </w:rPr>
        <w:t> </w:t>
      </w:r>
      <w:r>
        <w:rPr>
          <w:color w:val="231F20"/>
          <w:spacing w:val="-2"/>
        </w:rPr>
        <w:t>with </w:t>
      </w:r>
      <w:r>
        <w:rPr>
          <w:color w:val="231F20"/>
        </w:rPr>
        <w:t>11</w:t>
      </w:r>
      <w:r>
        <w:rPr>
          <w:color w:val="231F20"/>
          <w:spacing w:val="-10"/>
        </w:rPr>
        <w:t> </w:t>
      </w:r>
      <w:r>
        <w:rPr>
          <w:color w:val="231F20"/>
        </w:rPr>
        <w:t>in</w:t>
      </w:r>
      <w:r>
        <w:rPr>
          <w:color w:val="231F20"/>
          <w:spacing w:val="-10"/>
        </w:rPr>
        <w:t> </w:t>
      </w:r>
      <w:r>
        <w:rPr>
          <w:color w:val="231F20"/>
        </w:rPr>
        <w:t>2018.</w:t>
      </w:r>
      <w:r>
        <w:rPr>
          <w:color w:val="231F20"/>
          <w:spacing w:val="-10"/>
        </w:rPr>
        <w:t> </w:t>
      </w:r>
      <w:r>
        <w:rPr>
          <w:color w:val="231F20"/>
        </w:rPr>
        <w:t>These</w:t>
      </w:r>
      <w:r>
        <w:rPr>
          <w:color w:val="231F20"/>
          <w:spacing w:val="-10"/>
        </w:rPr>
        <w:t> </w:t>
      </w:r>
      <w:r>
        <w:rPr>
          <w:color w:val="231F20"/>
        </w:rPr>
        <w:t>economies</w:t>
      </w:r>
      <w:r>
        <w:rPr>
          <w:color w:val="231F20"/>
          <w:spacing w:val="-10"/>
        </w:rPr>
        <w:t> </w:t>
      </w:r>
      <w:r>
        <w:rPr>
          <w:color w:val="231F20"/>
        </w:rPr>
        <w:t>have</w:t>
      </w:r>
      <w:r>
        <w:rPr>
          <w:color w:val="231F20"/>
          <w:spacing w:val="-10"/>
        </w:rPr>
        <w:t> </w:t>
      </w:r>
      <w:r>
        <w:rPr>
          <w:color w:val="231F20"/>
        </w:rPr>
        <w:t>tradition- </w:t>
      </w:r>
      <w:r>
        <w:rPr>
          <w:color w:val="231F20"/>
          <w:spacing w:val="-4"/>
        </w:rPr>
        <w:t>ally dominated international supply chain net- </w:t>
      </w:r>
      <w:r>
        <w:rPr>
          <w:color w:val="231F20"/>
        </w:rPr>
        <w:t>works,</w:t>
      </w:r>
      <w:r>
        <w:rPr>
          <w:color w:val="231F20"/>
          <w:spacing w:val="-8"/>
        </w:rPr>
        <w:t> </w:t>
      </w:r>
      <w:r>
        <w:rPr>
          <w:color w:val="231F20"/>
        </w:rPr>
        <w:t>and</w:t>
      </w:r>
      <w:r>
        <w:rPr>
          <w:color w:val="231F20"/>
          <w:spacing w:val="-8"/>
        </w:rPr>
        <w:t> </w:t>
      </w:r>
      <w:r>
        <w:rPr>
          <w:color w:val="231F20"/>
        </w:rPr>
        <w:t>the</w:t>
      </w:r>
      <w:r>
        <w:rPr>
          <w:color w:val="231F20"/>
          <w:spacing w:val="-8"/>
        </w:rPr>
        <w:t> </w:t>
      </w:r>
      <w:r>
        <w:rPr>
          <w:color w:val="231F20"/>
        </w:rPr>
        <w:t>composition</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group</w:t>
      </w:r>
      <w:r>
        <w:rPr>
          <w:color w:val="231F20"/>
          <w:spacing w:val="-8"/>
        </w:rPr>
        <w:t> </w:t>
      </w:r>
      <w:r>
        <w:rPr>
          <w:color w:val="231F20"/>
        </w:rPr>
        <w:t>has </w:t>
      </w:r>
      <w:r>
        <w:rPr>
          <w:color w:val="231F20"/>
          <w:spacing w:val="-6"/>
        </w:rPr>
        <w:t>been steady over time. The recent supply chain </w:t>
      </w:r>
      <w:r>
        <w:rPr>
          <w:color w:val="231F20"/>
          <w:w w:val="90"/>
        </w:rPr>
        <w:t>crisis</w:t>
      </w:r>
      <w:r>
        <w:rPr>
          <w:color w:val="231F20"/>
          <w:spacing w:val="9"/>
        </w:rPr>
        <w:t> </w:t>
      </w:r>
      <w:r>
        <w:rPr>
          <w:color w:val="231F20"/>
          <w:w w:val="90"/>
        </w:rPr>
        <w:t>has</w:t>
      </w:r>
      <w:r>
        <w:rPr>
          <w:color w:val="231F20"/>
          <w:spacing w:val="10"/>
        </w:rPr>
        <w:t> </w:t>
      </w:r>
      <w:r>
        <w:rPr>
          <w:color w:val="231F20"/>
          <w:w w:val="90"/>
        </w:rPr>
        <w:t>not</w:t>
      </w:r>
      <w:r>
        <w:rPr>
          <w:color w:val="231F20"/>
          <w:spacing w:val="9"/>
        </w:rPr>
        <w:t> </w:t>
      </w:r>
      <w:r>
        <w:rPr>
          <w:color w:val="231F20"/>
          <w:w w:val="90"/>
        </w:rPr>
        <w:t>significantly</w:t>
      </w:r>
      <w:r>
        <w:rPr>
          <w:color w:val="231F20"/>
          <w:spacing w:val="10"/>
        </w:rPr>
        <w:t> </w:t>
      </w:r>
      <w:r>
        <w:rPr>
          <w:color w:val="231F20"/>
          <w:w w:val="90"/>
        </w:rPr>
        <w:t>changed</w:t>
      </w:r>
      <w:r>
        <w:rPr>
          <w:color w:val="231F20"/>
          <w:spacing w:val="9"/>
        </w:rPr>
        <w:t> </w:t>
      </w:r>
      <w:r>
        <w:rPr>
          <w:color w:val="231F20"/>
          <w:w w:val="90"/>
        </w:rPr>
        <w:t>this</w:t>
      </w:r>
      <w:r>
        <w:rPr>
          <w:color w:val="231F20"/>
          <w:spacing w:val="10"/>
        </w:rPr>
        <w:t> </w:t>
      </w:r>
      <w:r>
        <w:rPr>
          <w:color w:val="231F20"/>
          <w:spacing w:val="-2"/>
          <w:w w:val="90"/>
        </w:rPr>
        <w:t>relative</w:t>
      </w:r>
    </w:p>
    <w:p>
      <w:pPr>
        <w:spacing w:after="0" w:line="268" w:lineRule="auto"/>
        <w:jc w:val="both"/>
        <w:sectPr>
          <w:type w:val="continuous"/>
          <w:pgSz w:w="12240" w:h="15840"/>
          <w:pgMar w:header="370" w:footer="548" w:top="1140" w:bottom="280" w:left="0" w:right="540"/>
          <w:cols w:num="2" w:equalWidth="0">
            <w:col w:w="7081" w:space="40"/>
            <w:col w:w="4579"/>
          </w:cols>
        </w:sect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3"/>
        <w:rPr>
          <w:sz w:val="16"/>
        </w:rPr>
      </w:pPr>
    </w:p>
    <w:p>
      <w:pPr>
        <w:spacing w:before="0"/>
        <w:ind w:left="2099" w:right="0" w:firstLine="0"/>
        <w:jc w:val="left"/>
        <w:rPr>
          <w:rFonts w:ascii="Arial"/>
          <w:b/>
          <w:sz w:val="16"/>
        </w:rPr>
      </w:pPr>
      <w:r>
        <w:rPr/>
        <mc:AlternateContent>
          <mc:Choice Requires="wps">
            <w:drawing>
              <wp:anchor distT="0" distB="0" distL="0" distR="0" allowOverlap="1" layoutInCell="1" locked="0" behindDoc="1" simplePos="0" relativeHeight="466745344">
                <wp:simplePos x="0" y="0"/>
                <wp:positionH relativeFrom="page">
                  <wp:posOffset>723900</wp:posOffset>
                </wp:positionH>
                <wp:positionV relativeFrom="paragraph">
                  <wp:posOffset>-142058</wp:posOffset>
                </wp:positionV>
                <wp:extent cx="4953000" cy="2921635"/>
                <wp:effectExtent l="0" t="0" r="0" b="0"/>
                <wp:wrapNone/>
                <wp:docPr id="514" name="Group 514"/>
                <wp:cNvGraphicFramePr>
                  <a:graphicFrameLocks/>
                </wp:cNvGraphicFramePr>
                <a:graphic>
                  <a:graphicData uri="http://schemas.microsoft.com/office/word/2010/wordprocessingGroup">
                    <wpg:wgp>
                      <wpg:cNvPr id="514" name="Group 514"/>
                      <wpg:cNvGrpSpPr/>
                      <wpg:grpSpPr>
                        <a:xfrm>
                          <a:off x="0" y="0"/>
                          <a:ext cx="4953000" cy="2921635"/>
                          <a:chExt cx="4953000" cy="2921635"/>
                        </a:xfrm>
                      </wpg:grpSpPr>
                      <wps:wsp>
                        <wps:cNvPr id="515" name="Graphic 515"/>
                        <wps:cNvSpPr/>
                        <wps:spPr>
                          <a:xfrm>
                            <a:off x="19050" y="19050"/>
                            <a:ext cx="4914900" cy="2883535"/>
                          </a:xfrm>
                          <a:custGeom>
                            <a:avLst/>
                            <a:gdLst/>
                            <a:ahLst/>
                            <a:cxnLst/>
                            <a:rect l="l" t="t" r="r" b="b"/>
                            <a:pathLst>
                              <a:path w="4914900" h="2883535">
                                <a:moveTo>
                                  <a:pt x="4819650" y="0"/>
                                </a:moveTo>
                                <a:lnTo>
                                  <a:pt x="95250" y="0"/>
                                </a:lnTo>
                                <a:lnTo>
                                  <a:pt x="58212" y="7497"/>
                                </a:lnTo>
                                <a:lnTo>
                                  <a:pt x="27932" y="27932"/>
                                </a:lnTo>
                                <a:lnTo>
                                  <a:pt x="7497" y="58212"/>
                                </a:lnTo>
                                <a:lnTo>
                                  <a:pt x="0" y="95250"/>
                                </a:lnTo>
                                <a:lnTo>
                                  <a:pt x="0" y="2788158"/>
                                </a:lnTo>
                                <a:lnTo>
                                  <a:pt x="7497" y="2825195"/>
                                </a:lnTo>
                                <a:lnTo>
                                  <a:pt x="27932" y="2855475"/>
                                </a:lnTo>
                                <a:lnTo>
                                  <a:pt x="58212" y="2875910"/>
                                </a:lnTo>
                                <a:lnTo>
                                  <a:pt x="95250" y="2883408"/>
                                </a:lnTo>
                                <a:lnTo>
                                  <a:pt x="4819650" y="2883408"/>
                                </a:lnTo>
                                <a:lnTo>
                                  <a:pt x="4856687" y="2875910"/>
                                </a:lnTo>
                                <a:lnTo>
                                  <a:pt x="4886967" y="2855475"/>
                                </a:lnTo>
                                <a:lnTo>
                                  <a:pt x="4907402" y="2825195"/>
                                </a:lnTo>
                                <a:lnTo>
                                  <a:pt x="4914900" y="2788158"/>
                                </a:lnTo>
                                <a:lnTo>
                                  <a:pt x="4914900" y="95250"/>
                                </a:lnTo>
                                <a:lnTo>
                                  <a:pt x="4907402" y="58212"/>
                                </a:lnTo>
                                <a:lnTo>
                                  <a:pt x="4886967" y="27932"/>
                                </a:lnTo>
                                <a:lnTo>
                                  <a:pt x="4856687" y="7497"/>
                                </a:lnTo>
                                <a:lnTo>
                                  <a:pt x="4819650" y="0"/>
                                </a:lnTo>
                                <a:close/>
                              </a:path>
                            </a:pathLst>
                          </a:custGeom>
                          <a:solidFill>
                            <a:srgbClr val="E9F1FA"/>
                          </a:solidFill>
                        </wps:spPr>
                        <wps:bodyPr wrap="square" lIns="0" tIns="0" rIns="0" bIns="0" rtlCol="0">
                          <a:prstTxWarp prst="textNoShape">
                            <a:avLst/>
                          </a:prstTxWarp>
                          <a:noAutofit/>
                        </wps:bodyPr>
                      </wps:wsp>
                      <wps:wsp>
                        <wps:cNvPr id="516" name="Graphic 516"/>
                        <wps:cNvSpPr/>
                        <wps:spPr>
                          <a:xfrm>
                            <a:off x="152400" y="50794"/>
                            <a:ext cx="4781550" cy="254000"/>
                          </a:xfrm>
                          <a:custGeom>
                            <a:avLst/>
                            <a:gdLst/>
                            <a:ahLst/>
                            <a:cxnLst/>
                            <a:rect l="l" t="t" r="r" b="b"/>
                            <a:pathLst>
                              <a:path w="4781550" h="254000">
                                <a:moveTo>
                                  <a:pt x="4756194" y="0"/>
                                </a:moveTo>
                                <a:lnTo>
                                  <a:pt x="0" y="0"/>
                                </a:lnTo>
                                <a:lnTo>
                                  <a:pt x="0" y="254000"/>
                                </a:lnTo>
                                <a:lnTo>
                                  <a:pt x="4781549" y="254000"/>
                                </a:lnTo>
                                <a:lnTo>
                                  <a:pt x="4781550" y="63500"/>
                                </a:lnTo>
                                <a:lnTo>
                                  <a:pt x="4774053" y="26464"/>
                                </a:lnTo>
                                <a:lnTo>
                                  <a:pt x="4756194" y="0"/>
                                </a:lnTo>
                                <a:close/>
                              </a:path>
                            </a:pathLst>
                          </a:custGeom>
                          <a:solidFill>
                            <a:srgbClr val="808285"/>
                          </a:solidFill>
                        </wps:spPr>
                        <wps:bodyPr wrap="square" lIns="0" tIns="0" rIns="0" bIns="0" rtlCol="0">
                          <a:prstTxWarp prst="textNoShape">
                            <a:avLst/>
                          </a:prstTxWarp>
                          <a:noAutofit/>
                        </wps:bodyPr>
                      </wps:wsp>
                      <wps:wsp>
                        <wps:cNvPr id="517" name="Graphic 517"/>
                        <wps:cNvSpPr/>
                        <wps:spPr>
                          <a:xfrm>
                            <a:off x="546100" y="50798"/>
                            <a:ext cx="1270" cy="254635"/>
                          </a:xfrm>
                          <a:custGeom>
                            <a:avLst/>
                            <a:gdLst/>
                            <a:ahLst/>
                            <a:cxnLst/>
                            <a:rect l="l" t="t" r="r" b="b"/>
                            <a:pathLst>
                              <a:path w="0" h="254635">
                                <a:moveTo>
                                  <a:pt x="0" y="25415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518" name="Graphic 518"/>
                        <wps:cNvSpPr/>
                        <wps:spPr>
                          <a:xfrm>
                            <a:off x="38100" y="50951"/>
                            <a:ext cx="495300" cy="254000"/>
                          </a:xfrm>
                          <a:custGeom>
                            <a:avLst/>
                            <a:gdLst/>
                            <a:ahLst/>
                            <a:cxnLst/>
                            <a:rect l="l" t="t" r="r" b="b"/>
                            <a:pathLst>
                              <a:path w="495300" h="254000">
                                <a:moveTo>
                                  <a:pt x="0" y="254000"/>
                                </a:moveTo>
                                <a:lnTo>
                                  <a:pt x="495300" y="254000"/>
                                </a:lnTo>
                                <a:lnTo>
                                  <a:pt x="495300" y="0"/>
                                </a:lnTo>
                                <a:lnTo>
                                  <a:pt x="0" y="0"/>
                                </a:lnTo>
                                <a:lnTo>
                                  <a:pt x="0" y="254000"/>
                                </a:lnTo>
                                <a:close/>
                              </a:path>
                            </a:pathLst>
                          </a:custGeom>
                          <a:solidFill>
                            <a:srgbClr val="008FDD"/>
                          </a:solidFill>
                        </wps:spPr>
                        <wps:bodyPr wrap="square" lIns="0" tIns="0" rIns="0" bIns="0" rtlCol="0">
                          <a:prstTxWarp prst="textNoShape">
                            <a:avLst/>
                          </a:prstTxWarp>
                          <a:noAutofit/>
                        </wps:bodyPr>
                      </wps:wsp>
                      <wps:wsp>
                        <wps:cNvPr id="519" name="Graphic 519"/>
                        <wps:cNvSpPr/>
                        <wps:spPr>
                          <a:xfrm>
                            <a:off x="19050" y="19050"/>
                            <a:ext cx="4914900" cy="2883535"/>
                          </a:xfrm>
                          <a:custGeom>
                            <a:avLst/>
                            <a:gdLst/>
                            <a:ahLst/>
                            <a:cxnLst/>
                            <a:rect l="l" t="t" r="r" b="b"/>
                            <a:pathLst>
                              <a:path w="4914900" h="2883535">
                                <a:moveTo>
                                  <a:pt x="95250" y="0"/>
                                </a:moveTo>
                                <a:lnTo>
                                  <a:pt x="58212" y="7497"/>
                                </a:lnTo>
                                <a:lnTo>
                                  <a:pt x="27932" y="27932"/>
                                </a:lnTo>
                                <a:lnTo>
                                  <a:pt x="7497" y="58212"/>
                                </a:lnTo>
                                <a:lnTo>
                                  <a:pt x="0" y="95250"/>
                                </a:lnTo>
                                <a:lnTo>
                                  <a:pt x="0" y="2788158"/>
                                </a:lnTo>
                                <a:lnTo>
                                  <a:pt x="7497" y="2825195"/>
                                </a:lnTo>
                                <a:lnTo>
                                  <a:pt x="27932" y="2855475"/>
                                </a:lnTo>
                                <a:lnTo>
                                  <a:pt x="58212" y="2875910"/>
                                </a:lnTo>
                                <a:lnTo>
                                  <a:pt x="95250" y="2883408"/>
                                </a:lnTo>
                                <a:lnTo>
                                  <a:pt x="4819650" y="2883408"/>
                                </a:lnTo>
                                <a:lnTo>
                                  <a:pt x="4856687" y="2875910"/>
                                </a:lnTo>
                                <a:lnTo>
                                  <a:pt x="4886967" y="2855475"/>
                                </a:lnTo>
                                <a:lnTo>
                                  <a:pt x="4907402" y="2825195"/>
                                </a:lnTo>
                                <a:lnTo>
                                  <a:pt x="4914900" y="2788158"/>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520" name="Textbox 520"/>
                        <wps:cNvSpPr txBox="1"/>
                        <wps:spPr>
                          <a:xfrm>
                            <a:off x="38100" y="50951"/>
                            <a:ext cx="495300" cy="254000"/>
                          </a:xfrm>
                          <a:prstGeom prst="rect">
                            <a:avLst/>
                          </a:prstGeom>
                        </wps:spPr>
                        <wps:txbx>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6"/>
                                  <w:w w:val="95"/>
                                  <w:sz w:val="16"/>
                                </w:rPr>
                                <w:t> </w:t>
                              </w:r>
                              <w:r>
                                <w:rPr>
                                  <w:rFonts w:ascii="Arial"/>
                                  <w:b/>
                                  <w:color w:val="FFFFFF"/>
                                  <w:spacing w:val="-5"/>
                                  <w:w w:val="95"/>
                                  <w:sz w:val="16"/>
                                </w:rPr>
                                <w:t>2.2</w:t>
                              </w:r>
                            </w:p>
                          </w:txbxContent>
                        </wps:txbx>
                        <wps:bodyPr wrap="square" lIns="0" tIns="0" rIns="0" bIns="0" rtlCol="0">
                          <a:noAutofit/>
                        </wps:bodyPr>
                      </wps:wsp>
                    </wpg:wgp>
                  </a:graphicData>
                </a:graphic>
              </wp:anchor>
            </w:drawing>
          </mc:Choice>
          <mc:Fallback>
            <w:pict>
              <v:group style="position:absolute;margin-left:57pt;margin-top:-11.185694pt;width:390pt;height:230.05pt;mso-position-horizontal-relative:page;mso-position-vertical-relative:paragraph;z-index:-36571136" id="docshapegroup426" coordorigin="1140,-224" coordsize="7800,4601">
                <v:shape style="position:absolute;left:1170;top:-194;width:7740;height:4541" id="docshape427" coordorigin="1170,-194" coordsize="7740,4541" path="m8760,-194l1320,-194,1262,-182,1214,-150,1182,-102,1170,-44,1170,4197,1182,4255,1214,4303,1262,4335,1320,4347,8760,4347,8818,4335,8866,4303,8898,4255,8910,4197,8910,-44,8898,-102,8866,-150,8818,-182,8760,-194xe" filled="true" fillcolor="#e9f1fa" stroked="false">
                  <v:path arrowok="t"/>
                  <v:fill type="solid"/>
                </v:shape>
                <v:shape style="position:absolute;left:1380;top:-144;width:7530;height:400" id="docshape428" coordorigin="1380,-144" coordsize="7530,400" path="m8870,-144l1380,-144,1380,256,8910,256,8910,-44,8898,-102,8870,-144xe" filled="true" fillcolor="#808285" stroked="false">
                  <v:path arrowok="t"/>
                  <v:fill type="solid"/>
                </v:shape>
                <v:line style="position:absolute" from="2000,257" to="2000,-144" stroked="true" strokeweight="2pt" strokecolor="#ffffff">
                  <v:stroke dashstyle="solid"/>
                </v:line>
                <v:rect style="position:absolute;left:1200;top:-144;width:780;height:400" id="docshape429" filled="true" fillcolor="#008fdd" stroked="false">
                  <v:fill type="solid"/>
                </v:rect>
                <v:shape style="position:absolute;left:1170;top:-194;width:7740;height:4541" id="docshape430" coordorigin="1170,-194" coordsize="7740,4541" path="m1320,-194l1262,-182,1214,-150,1182,-102,1170,-44,1170,4197,1182,4255,1214,4303,1262,4335,1320,4347,8760,4347,8818,4335,8866,4303,8898,4255,8910,4197,8910,-44,8898,-102,8866,-150,8818,-182,8760,-194,1320,-194xe" filled="false" stroked="true" strokeweight="3pt" strokecolor="#ffffff">
                  <v:path arrowok="t"/>
                  <v:stroke dashstyle="solid"/>
                </v:shape>
                <v:shape style="position:absolute;left:1200;top:-144;width:780;height:400" type="#_x0000_t202" id="docshape431" filled="false" stroked="false">
                  <v:textbox inset="0,0,0,0">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6"/>
                            <w:w w:val="95"/>
                            <w:sz w:val="16"/>
                          </w:rPr>
                          <w:t> </w:t>
                        </w:r>
                        <w:r>
                          <w:rPr>
                            <w:rFonts w:ascii="Arial"/>
                            <w:b/>
                            <w:color w:val="FFFFFF"/>
                            <w:spacing w:val="-5"/>
                            <w:w w:val="95"/>
                            <w:sz w:val="16"/>
                          </w:rPr>
                          <w:t>2.2</w:t>
                        </w:r>
                      </w:p>
                    </w:txbxContent>
                  </v:textbox>
                  <w10:wrap type="none"/>
                </v:shape>
                <w10:wrap type="none"/>
              </v:group>
            </w:pict>
          </mc:Fallback>
        </mc:AlternateContent>
      </w:r>
      <w:bookmarkStart w:name="_bookmark17" w:id="19"/>
      <w:bookmarkEnd w:id="19"/>
      <w:r>
        <w:rPr/>
      </w:r>
      <w:r>
        <w:rPr>
          <w:rFonts w:ascii="Arial"/>
          <w:b/>
          <w:color w:val="FFFFFF"/>
          <w:w w:val="105"/>
          <w:sz w:val="16"/>
        </w:rPr>
        <w:t>How</w:t>
      </w:r>
      <w:r>
        <w:rPr>
          <w:rFonts w:ascii="Arial"/>
          <w:b/>
          <w:color w:val="FFFFFF"/>
          <w:spacing w:val="8"/>
          <w:w w:val="105"/>
          <w:sz w:val="16"/>
        </w:rPr>
        <w:t> </w:t>
      </w:r>
      <w:r>
        <w:rPr>
          <w:rFonts w:ascii="Arial"/>
          <w:b/>
          <w:color w:val="FFFFFF"/>
          <w:w w:val="105"/>
          <w:sz w:val="16"/>
        </w:rPr>
        <w:t>precise</w:t>
      </w:r>
      <w:r>
        <w:rPr>
          <w:rFonts w:ascii="Arial"/>
          <w:b/>
          <w:color w:val="FFFFFF"/>
          <w:spacing w:val="9"/>
          <w:w w:val="105"/>
          <w:sz w:val="16"/>
        </w:rPr>
        <w:t> </w:t>
      </w:r>
      <w:r>
        <w:rPr>
          <w:rFonts w:ascii="Arial"/>
          <w:b/>
          <w:color w:val="FFFFFF"/>
          <w:w w:val="105"/>
          <w:sz w:val="16"/>
        </w:rPr>
        <w:t>are</w:t>
      </w:r>
      <w:r>
        <w:rPr>
          <w:rFonts w:ascii="Arial"/>
          <w:b/>
          <w:color w:val="FFFFFF"/>
          <w:spacing w:val="9"/>
          <w:w w:val="105"/>
          <w:sz w:val="16"/>
        </w:rPr>
        <w:t> </w:t>
      </w:r>
      <w:r>
        <w:rPr>
          <w:rFonts w:ascii="Arial"/>
          <w:b/>
          <w:color w:val="FFFFFF"/>
          <w:w w:val="105"/>
          <w:sz w:val="16"/>
        </w:rPr>
        <w:t>LPI</w:t>
      </w:r>
      <w:r>
        <w:rPr>
          <w:rFonts w:ascii="Arial"/>
          <w:b/>
          <w:color w:val="FFFFFF"/>
          <w:spacing w:val="9"/>
          <w:w w:val="105"/>
          <w:sz w:val="16"/>
        </w:rPr>
        <w:t> </w:t>
      </w:r>
      <w:r>
        <w:rPr>
          <w:rFonts w:ascii="Arial"/>
          <w:b/>
          <w:color w:val="FFFFFF"/>
          <w:spacing w:val="-2"/>
          <w:w w:val="105"/>
          <w:sz w:val="16"/>
        </w:rPr>
        <w:t>scores?</w:t>
      </w:r>
    </w:p>
    <w:p>
      <w:pPr>
        <w:pStyle w:val="BodyText"/>
        <w:spacing w:before="6"/>
        <w:rPr>
          <w:rFonts w:ascii="Arial"/>
          <w:b/>
          <w:sz w:val="16"/>
        </w:rPr>
      </w:pPr>
    </w:p>
    <w:p>
      <w:pPr>
        <w:spacing w:after="0"/>
        <w:rPr>
          <w:rFonts w:ascii="Arial"/>
          <w:sz w:val="16"/>
        </w:rPr>
        <w:sectPr>
          <w:pgSz w:w="12240" w:h="15840"/>
          <w:pgMar w:header="370" w:footer="548" w:top="560" w:bottom="740" w:left="0" w:right="540"/>
        </w:sectPr>
      </w:pPr>
    </w:p>
    <w:p>
      <w:pPr>
        <w:spacing w:line="352" w:lineRule="auto" w:before="103"/>
        <w:ind w:left="1380" w:right="0" w:firstLine="0"/>
        <w:jc w:val="both"/>
        <w:rPr>
          <w:rFonts w:ascii="Arial"/>
          <w:sz w:val="16"/>
        </w:rPr>
      </w:pPr>
      <w:r>
        <w:rPr>
          <w:rFonts w:ascii="Arial"/>
          <w:color w:val="231F20"/>
          <w:sz w:val="16"/>
        </w:rPr>
        <w:t>Although the Logistics Performance Index (LPI) and its components offer the most comprehen- sive and comparable data on country logistics and trade facilitation environments, they have a narrow domain of validity because of the limited experience of survey respondents with respect</w:t>
      </w:r>
      <w:r>
        <w:rPr>
          <w:rFonts w:ascii="Arial"/>
          <w:color w:val="231F20"/>
          <w:spacing w:val="80"/>
          <w:sz w:val="16"/>
        </w:rPr>
        <w:t> </w:t>
      </w:r>
      <w:r>
        <w:rPr>
          <w:rFonts w:ascii="Arial"/>
          <w:color w:val="231F20"/>
          <w:sz w:val="16"/>
        </w:rPr>
        <w:t>to the countries they assess and because of the high dependence of the logistics of landlocked countries and small island states on the logistics of other countries.</w:t>
      </w:r>
    </w:p>
    <w:p>
      <w:pPr>
        <w:spacing w:line="352" w:lineRule="auto" w:before="0"/>
        <w:ind w:left="1380" w:right="0" w:firstLine="300"/>
        <w:jc w:val="both"/>
        <w:rPr>
          <w:rFonts w:ascii="Arial"/>
          <w:sz w:val="16"/>
        </w:rPr>
      </w:pPr>
      <w:r>
        <w:rPr>
          <w:rFonts w:ascii="Arial"/>
          <w:color w:val="231F20"/>
          <w:sz w:val="16"/>
        </w:rPr>
        <w:t>To account for the sampling error created</w:t>
      </w:r>
      <w:r>
        <w:rPr>
          <w:rFonts w:ascii="Arial"/>
          <w:color w:val="231F20"/>
          <w:spacing w:val="80"/>
          <w:sz w:val="16"/>
        </w:rPr>
        <w:t> </w:t>
      </w:r>
      <w:r>
        <w:rPr>
          <w:rFonts w:ascii="Arial"/>
          <w:color w:val="231F20"/>
          <w:sz w:val="16"/>
        </w:rPr>
        <w:t>by the survey-based dataset, LPI scores are presented with approximately 80 percent con- fidence</w:t>
      </w:r>
      <w:r>
        <w:rPr>
          <w:rFonts w:ascii="Arial"/>
          <w:color w:val="231F20"/>
          <w:spacing w:val="34"/>
          <w:sz w:val="16"/>
        </w:rPr>
        <w:t> </w:t>
      </w:r>
      <w:r>
        <w:rPr>
          <w:rFonts w:ascii="Arial"/>
          <w:color w:val="231F20"/>
          <w:sz w:val="16"/>
        </w:rPr>
        <w:t>intervals,</w:t>
      </w:r>
      <w:r>
        <w:rPr>
          <w:rFonts w:ascii="Arial"/>
          <w:color w:val="231F20"/>
          <w:spacing w:val="34"/>
          <w:sz w:val="16"/>
        </w:rPr>
        <w:t> </w:t>
      </w:r>
      <w:r>
        <w:rPr>
          <w:rFonts w:ascii="Arial"/>
          <w:color w:val="231F20"/>
          <w:sz w:val="16"/>
        </w:rPr>
        <w:t>which</w:t>
      </w:r>
      <w:r>
        <w:rPr>
          <w:rFonts w:ascii="Arial"/>
          <w:color w:val="231F20"/>
          <w:spacing w:val="34"/>
          <w:sz w:val="16"/>
        </w:rPr>
        <w:t> </w:t>
      </w:r>
      <w:r>
        <w:rPr>
          <w:rFonts w:ascii="Arial"/>
          <w:color w:val="231F20"/>
          <w:sz w:val="16"/>
        </w:rPr>
        <w:t>yield</w:t>
      </w:r>
      <w:r>
        <w:rPr>
          <w:rFonts w:ascii="Arial"/>
          <w:color w:val="231F20"/>
          <w:spacing w:val="34"/>
          <w:sz w:val="16"/>
        </w:rPr>
        <w:t> </w:t>
      </w:r>
      <w:r>
        <w:rPr>
          <w:rFonts w:ascii="Arial"/>
          <w:color w:val="231F20"/>
          <w:sz w:val="16"/>
        </w:rPr>
        <w:t>upper</w:t>
      </w:r>
      <w:r>
        <w:rPr>
          <w:rFonts w:ascii="Arial"/>
          <w:color w:val="231F20"/>
          <w:spacing w:val="34"/>
          <w:sz w:val="16"/>
        </w:rPr>
        <w:t> </w:t>
      </w:r>
      <w:r>
        <w:rPr>
          <w:rFonts w:ascii="Arial"/>
          <w:color w:val="231F20"/>
          <w:sz w:val="16"/>
        </w:rPr>
        <w:t>and</w:t>
      </w:r>
      <w:r>
        <w:rPr>
          <w:rFonts w:ascii="Arial"/>
          <w:color w:val="231F20"/>
          <w:spacing w:val="34"/>
          <w:sz w:val="16"/>
        </w:rPr>
        <w:t> </w:t>
      </w:r>
      <w:r>
        <w:rPr>
          <w:rFonts w:ascii="Arial"/>
          <w:color w:val="231F20"/>
          <w:spacing w:val="-4"/>
          <w:sz w:val="16"/>
        </w:rPr>
        <w:t>lower</w:t>
      </w:r>
    </w:p>
    <w:p>
      <w:pPr>
        <w:spacing w:line="352" w:lineRule="auto" w:before="103"/>
        <w:ind w:left="317" w:right="2997" w:firstLine="0"/>
        <w:jc w:val="both"/>
        <w:rPr>
          <w:rFonts w:ascii="Arial" w:hAnsi="Arial"/>
          <w:sz w:val="16"/>
        </w:rPr>
      </w:pPr>
      <w:r>
        <w:rPr/>
        <w:br w:type="column"/>
      </w:r>
      <w:r>
        <w:rPr>
          <w:rFonts w:ascii="Arial" w:hAnsi="Arial"/>
          <w:color w:val="231F20"/>
          <w:sz w:val="16"/>
        </w:rPr>
        <w:t>bounds</w:t>
      </w:r>
      <w:r>
        <w:rPr>
          <w:rFonts w:ascii="Arial" w:hAnsi="Arial"/>
          <w:color w:val="231F20"/>
          <w:spacing w:val="40"/>
          <w:sz w:val="16"/>
        </w:rPr>
        <w:t> </w:t>
      </w:r>
      <w:r>
        <w:rPr>
          <w:rFonts w:ascii="Arial" w:hAnsi="Arial"/>
          <w:color w:val="231F20"/>
          <w:sz w:val="16"/>
        </w:rPr>
        <w:t>for</w:t>
      </w:r>
      <w:r>
        <w:rPr>
          <w:rFonts w:ascii="Arial" w:hAnsi="Arial"/>
          <w:color w:val="231F20"/>
          <w:spacing w:val="40"/>
          <w:sz w:val="16"/>
        </w:rPr>
        <w:t> </w:t>
      </w:r>
      <w:r>
        <w:rPr>
          <w:rFonts w:ascii="Arial" w:hAnsi="Arial"/>
          <w:color w:val="231F20"/>
          <w:sz w:val="16"/>
        </w:rPr>
        <w:t>a</w:t>
      </w:r>
      <w:r>
        <w:rPr>
          <w:rFonts w:ascii="Arial" w:hAnsi="Arial"/>
          <w:color w:val="231F20"/>
          <w:spacing w:val="40"/>
          <w:sz w:val="16"/>
        </w:rPr>
        <w:t> </w:t>
      </w:r>
      <w:r>
        <w:rPr>
          <w:rFonts w:ascii="Arial" w:hAnsi="Arial"/>
          <w:color w:val="231F20"/>
          <w:sz w:val="16"/>
        </w:rPr>
        <w:t>country’s</w:t>
      </w:r>
      <w:r>
        <w:rPr>
          <w:rFonts w:ascii="Arial" w:hAnsi="Arial"/>
          <w:color w:val="231F20"/>
          <w:spacing w:val="40"/>
          <w:sz w:val="16"/>
        </w:rPr>
        <w:t> </w:t>
      </w:r>
      <w:r>
        <w:rPr>
          <w:rFonts w:ascii="Arial" w:hAnsi="Arial"/>
          <w:color w:val="231F20"/>
          <w:sz w:val="16"/>
        </w:rPr>
        <w:t>score</w:t>
      </w:r>
      <w:r>
        <w:rPr>
          <w:rFonts w:ascii="Arial" w:hAnsi="Arial"/>
          <w:color w:val="231F20"/>
          <w:spacing w:val="40"/>
          <w:sz w:val="16"/>
        </w:rPr>
        <w:t> </w:t>
      </w:r>
      <w:r>
        <w:rPr>
          <w:rFonts w:ascii="Arial" w:hAnsi="Arial"/>
          <w:color w:val="231F20"/>
          <w:sz w:val="16"/>
        </w:rPr>
        <w:t>(see</w:t>
      </w:r>
      <w:r>
        <w:rPr>
          <w:rFonts w:ascii="Arial" w:hAnsi="Arial"/>
          <w:color w:val="231F20"/>
          <w:spacing w:val="40"/>
          <w:sz w:val="16"/>
        </w:rPr>
        <w:t> </w:t>
      </w:r>
      <w:r>
        <w:rPr>
          <w:rFonts w:ascii="Arial" w:hAnsi="Arial"/>
          <w:color w:val="231F20"/>
          <w:sz w:val="16"/>
        </w:rPr>
        <w:t>appendix 5). Confidence intervals must be examined to determine whether a difference between two scores is statistically significant. An improve- ment in a country’s performance is considered statistically significant only if the lower bound of its 2023 score exceeds the upper bound of its 2018</w:t>
      </w:r>
      <w:r>
        <w:rPr>
          <w:rFonts w:ascii="Arial" w:hAnsi="Arial"/>
          <w:color w:val="231F20"/>
          <w:spacing w:val="-2"/>
          <w:sz w:val="16"/>
        </w:rPr>
        <w:t> </w:t>
      </w:r>
      <w:r>
        <w:rPr>
          <w:rFonts w:ascii="Arial" w:hAnsi="Arial"/>
          <w:color w:val="231F20"/>
          <w:sz w:val="16"/>
        </w:rPr>
        <w:t>score.</w:t>
      </w:r>
      <w:r>
        <w:rPr>
          <w:rFonts w:ascii="Arial" w:hAnsi="Arial"/>
          <w:color w:val="231F20"/>
          <w:spacing w:val="-2"/>
          <w:sz w:val="16"/>
        </w:rPr>
        <w:t> </w:t>
      </w:r>
      <w:r>
        <w:rPr>
          <w:rFonts w:ascii="Arial" w:hAnsi="Arial"/>
          <w:color w:val="231F20"/>
          <w:sz w:val="16"/>
        </w:rPr>
        <w:t>Because</w:t>
      </w:r>
      <w:r>
        <w:rPr>
          <w:rFonts w:ascii="Arial" w:hAnsi="Arial"/>
          <w:color w:val="231F20"/>
          <w:spacing w:val="-2"/>
          <w:sz w:val="16"/>
        </w:rPr>
        <w:t> </w:t>
      </w:r>
      <w:r>
        <w:rPr>
          <w:rFonts w:ascii="Arial" w:hAnsi="Arial"/>
          <w:color w:val="231F20"/>
          <w:sz w:val="16"/>
        </w:rPr>
        <w:t>of</w:t>
      </w:r>
      <w:r>
        <w:rPr>
          <w:rFonts w:ascii="Arial" w:hAnsi="Arial"/>
          <w:color w:val="231F20"/>
          <w:spacing w:val="-2"/>
          <w:sz w:val="16"/>
        </w:rPr>
        <w:t> </w:t>
      </w:r>
      <w:r>
        <w:rPr>
          <w:rFonts w:ascii="Arial" w:hAnsi="Arial"/>
          <w:color w:val="231F20"/>
          <w:sz w:val="16"/>
        </w:rPr>
        <w:t>the</w:t>
      </w:r>
      <w:r>
        <w:rPr>
          <w:rFonts w:ascii="Arial" w:hAnsi="Arial"/>
          <w:color w:val="231F20"/>
          <w:spacing w:val="-2"/>
          <w:sz w:val="16"/>
        </w:rPr>
        <w:t> </w:t>
      </w:r>
      <w:r>
        <w:rPr>
          <w:rFonts w:ascii="Arial" w:hAnsi="Arial"/>
          <w:color w:val="231F20"/>
          <w:sz w:val="16"/>
        </w:rPr>
        <w:t>LPI’s</w:t>
      </w:r>
      <w:r>
        <w:rPr>
          <w:rFonts w:ascii="Arial" w:hAnsi="Arial"/>
          <w:color w:val="231F20"/>
          <w:spacing w:val="-2"/>
          <w:sz w:val="16"/>
        </w:rPr>
        <w:t> </w:t>
      </w:r>
      <w:r>
        <w:rPr>
          <w:rFonts w:ascii="Arial" w:hAnsi="Arial"/>
          <w:color w:val="231F20"/>
          <w:sz w:val="16"/>
        </w:rPr>
        <w:t>narrow</w:t>
      </w:r>
      <w:r>
        <w:rPr>
          <w:rFonts w:ascii="Arial" w:hAnsi="Arial"/>
          <w:color w:val="231F20"/>
          <w:spacing w:val="-2"/>
          <w:sz w:val="16"/>
        </w:rPr>
        <w:t> </w:t>
      </w:r>
      <w:r>
        <w:rPr>
          <w:rFonts w:ascii="Arial" w:hAnsi="Arial"/>
          <w:color w:val="231F20"/>
          <w:sz w:val="16"/>
        </w:rPr>
        <w:t>domain of</w:t>
      </w:r>
      <w:r>
        <w:rPr>
          <w:rFonts w:ascii="Arial" w:hAnsi="Arial"/>
          <w:color w:val="231F20"/>
          <w:spacing w:val="40"/>
          <w:sz w:val="16"/>
        </w:rPr>
        <w:t> </w:t>
      </w:r>
      <w:r>
        <w:rPr>
          <w:rFonts w:ascii="Arial" w:hAnsi="Arial"/>
          <w:color w:val="231F20"/>
          <w:sz w:val="16"/>
        </w:rPr>
        <w:t>validity</w:t>
      </w:r>
      <w:r>
        <w:rPr>
          <w:rFonts w:ascii="Arial" w:hAnsi="Arial"/>
          <w:color w:val="231F20"/>
          <w:spacing w:val="40"/>
          <w:sz w:val="16"/>
        </w:rPr>
        <w:t> </w:t>
      </w:r>
      <w:r>
        <w:rPr>
          <w:rFonts w:ascii="Arial" w:hAnsi="Arial"/>
          <w:color w:val="231F20"/>
          <w:sz w:val="16"/>
        </w:rPr>
        <w:t>and</w:t>
      </w:r>
      <w:r>
        <w:rPr>
          <w:rFonts w:ascii="Arial" w:hAnsi="Arial"/>
          <w:color w:val="231F20"/>
          <w:spacing w:val="40"/>
          <w:sz w:val="16"/>
        </w:rPr>
        <w:t> </w:t>
      </w:r>
      <w:r>
        <w:rPr>
          <w:rFonts w:ascii="Arial" w:hAnsi="Arial"/>
          <w:color w:val="231F20"/>
          <w:sz w:val="16"/>
        </w:rPr>
        <w:t>the</w:t>
      </w:r>
      <w:r>
        <w:rPr>
          <w:rFonts w:ascii="Arial" w:hAnsi="Arial"/>
          <w:color w:val="231F20"/>
          <w:spacing w:val="40"/>
          <w:sz w:val="16"/>
        </w:rPr>
        <w:t> </w:t>
      </w:r>
      <w:r>
        <w:rPr>
          <w:rFonts w:ascii="Arial" w:hAnsi="Arial"/>
          <w:color w:val="231F20"/>
          <w:sz w:val="16"/>
        </w:rPr>
        <w:t>need</w:t>
      </w:r>
      <w:r>
        <w:rPr>
          <w:rFonts w:ascii="Arial" w:hAnsi="Arial"/>
          <w:color w:val="231F20"/>
          <w:spacing w:val="40"/>
          <w:sz w:val="16"/>
        </w:rPr>
        <w:t> </w:t>
      </w:r>
      <w:r>
        <w:rPr>
          <w:rFonts w:ascii="Arial" w:hAnsi="Arial"/>
          <w:color w:val="231F20"/>
          <w:sz w:val="16"/>
        </w:rPr>
        <w:t>for</w:t>
      </w:r>
      <w:r>
        <w:rPr>
          <w:rFonts w:ascii="Arial" w:hAnsi="Arial"/>
          <w:color w:val="231F20"/>
          <w:spacing w:val="40"/>
          <w:sz w:val="16"/>
        </w:rPr>
        <w:t> </w:t>
      </w:r>
      <w:r>
        <w:rPr>
          <w:rFonts w:ascii="Arial" w:hAnsi="Arial"/>
          <w:color w:val="231F20"/>
          <w:sz w:val="16"/>
        </w:rPr>
        <w:t>confidence</w:t>
      </w:r>
      <w:r>
        <w:rPr>
          <w:rFonts w:ascii="Arial" w:hAnsi="Arial"/>
          <w:color w:val="231F20"/>
          <w:spacing w:val="40"/>
          <w:sz w:val="16"/>
        </w:rPr>
        <w:t> </w:t>
      </w:r>
      <w:r>
        <w:rPr>
          <w:rFonts w:ascii="Arial" w:hAnsi="Arial"/>
          <w:color w:val="231F20"/>
          <w:sz w:val="16"/>
        </w:rPr>
        <w:t>inter- vals to account for sampling error, a country’s exact score might be less relevant to policy- makers than its proximity to others in a wider performance group or its statistically significant </w:t>
      </w:r>
      <w:r>
        <w:rPr>
          <w:rFonts w:ascii="Arial" w:hAnsi="Arial"/>
          <w:color w:val="231F20"/>
          <w:spacing w:val="-2"/>
          <w:sz w:val="16"/>
        </w:rPr>
        <w:t>improvement.</w:t>
      </w:r>
    </w:p>
    <w:p>
      <w:pPr>
        <w:spacing w:after="0" w:line="352" w:lineRule="auto"/>
        <w:jc w:val="both"/>
        <w:rPr>
          <w:rFonts w:ascii="Arial" w:hAnsi="Arial"/>
          <w:sz w:val="16"/>
        </w:rPr>
        <w:sectPr>
          <w:type w:val="continuous"/>
          <w:pgSz w:w="12240" w:h="15840"/>
          <w:pgMar w:header="370" w:footer="548" w:top="1140" w:bottom="280" w:left="0" w:right="540"/>
          <w:cols w:num="2" w:equalWidth="0">
            <w:col w:w="4863" w:space="40"/>
            <w:col w:w="6797"/>
          </w:cols>
        </w:sectPr>
      </w:pPr>
    </w:p>
    <w:p>
      <w:pPr>
        <w:pStyle w:val="BodyText"/>
        <w:spacing w:before="140"/>
        <w:rPr>
          <w:rFonts w:ascii="Arial"/>
          <w:sz w:val="20"/>
        </w:rPr>
      </w:pPr>
    </w:p>
    <w:p>
      <w:pPr>
        <w:spacing w:after="0"/>
        <w:rPr>
          <w:rFonts w:ascii="Arial"/>
          <w:sz w:val="20"/>
        </w:rPr>
        <w:sectPr>
          <w:type w:val="continuous"/>
          <w:pgSz w:w="12240" w:h="15840"/>
          <w:pgMar w:header="370" w:footer="548" w:top="1140" w:bottom="280" w:left="0" w:right="540"/>
        </w:sectPr>
      </w:pPr>
    </w:p>
    <w:p>
      <w:pPr>
        <w:pStyle w:val="BodyText"/>
        <w:spacing w:line="268" w:lineRule="auto" w:before="117"/>
        <w:ind w:left="1200" w:right="1"/>
        <w:jc w:val="both"/>
      </w:pPr>
      <w:r>
        <w:rPr>
          <w:color w:val="231F20"/>
          <w:spacing w:val="-2"/>
        </w:rPr>
        <w:t>pattern</w:t>
      </w:r>
      <w:r>
        <w:rPr>
          <w:color w:val="231F20"/>
          <w:spacing w:val="-12"/>
        </w:rPr>
        <w:t> </w:t>
      </w:r>
      <w:r>
        <w:rPr>
          <w:color w:val="231F20"/>
          <w:spacing w:val="-2"/>
        </w:rPr>
        <w:t>of</w:t>
      </w:r>
      <w:r>
        <w:rPr>
          <w:color w:val="231F20"/>
          <w:spacing w:val="-11"/>
        </w:rPr>
        <w:t> </w:t>
      </w:r>
      <w:r>
        <w:rPr>
          <w:color w:val="231F20"/>
          <w:spacing w:val="-2"/>
        </w:rPr>
        <w:t>results</w:t>
      </w:r>
      <w:r>
        <w:rPr>
          <w:color w:val="231F20"/>
          <w:spacing w:val="-11"/>
        </w:rPr>
        <w:t> </w:t>
      </w:r>
      <w:r>
        <w:rPr>
          <w:color w:val="231F20"/>
          <w:spacing w:val="-2"/>
        </w:rPr>
        <w:t>across</w:t>
      </w:r>
      <w:r>
        <w:rPr>
          <w:color w:val="231F20"/>
          <w:spacing w:val="-11"/>
        </w:rPr>
        <w:t> </w:t>
      </w:r>
      <w:r>
        <w:rPr>
          <w:color w:val="231F20"/>
          <w:spacing w:val="-2"/>
        </w:rPr>
        <w:t>countries</w:t>
      </w:r>
      <w:r>
        <w:rPr>
          <w:color w:val="231F20"/>
          <w:spacing w:val="-11"/>
        </w:rPr>
        <w:t> </w:t>
      </w:r>
      <w:r>
        <w:rPr>
          <w:color w:val="231F20"/>
          <w:spacing w:val="-2"/>
        </w:rPr>
        <w:t>because</w:t>
      </w:r>
      <w:r>
        <w:rPr>
          <w:color w:val="231F20"/>
          <w:spacing w:val="-11"/>
        </w:rPr>
        <w:t> </w:t>
      </w:r>
      <w:r>
        <w:rPr>
          <w:color w:val="231F20"/>
          <w:spacing w:val="-2"/>
        </w:rPr>
        <w:t>the </w:t>
      </w:r>
      <w:r>
        <w:rPr>
          <w:color w:val="231F20"/>
        </w:rPr>
        <w:t>crisis</w:t>
      </w:r>
      <w:r>
        <w:rPr>
          <w:color w:val="231F20"/>
          <w:spacing w:val="-12"/>
        </w:rPr>
        <w:t> </w:t>
      </w:r>
      <w:r>
        <w:rPr>
          <w:color w:val="231F20"/>
        </w:rPr>
        <w:t>is</w:t>
      </w:r>
      <w:r>
        <w:rPr>
          <w:color w:val="231F20"/>
          <w:spacing w:val="-12"/>
        </w:rPr>
        <w:t> </w:t>
      </w:r>
      <w:r>
        <w:rPr>
          <w:color w:val="231F20"/>
        </w:rPr>
        <w:t>global</w:t>
      </w:r>
      <w:r>
        <w:rPr>
          <w:color w:val="231F20"/>
          <w:spacing w:val="-12"/>
        </w:rPr>
        <w:t> </w:t>
      </w:r>
      <w:r>
        <w:rPr>
          <w:color w:val="231F20"/>
        </w:rPr>
        <w:t>in</w:t>
      </w:r>
      <w:r>
        <w:rPr>
          <w:color w:val="231F20"/>
          <w:spacing w:val="-12"/>
        </w:rPr>
        <w:t> </w:t>
      </w:r>
      <w:r>
        <w:rPr>
          <w:color w:val="231F20"/>
        </w:rPr>
        <w:t>scope.</w:t>
      </w:r>
    </w:p>
    <w:p>
      <w:pPr>
        <w:pStyle w:val="BodyText"/>
        <w:spacing w:line="268" w:lineRule="auto"/>
        <w:ind w:left="1200" w:firstLine="300"/>
        <w:jc w:val="both"/>
      </w:pPr>
      <w:r>
        <w:rPr>
          <w:color w:val="231F20"/>
        </w:rPr>
        <w:t>By contrast, the bottom 10 scorers</w:t>
      </w:r>
      <w:r>
        <w:rPr>
          <w:color w:val="231F20"/>
          <w:position w:val="7"/>
          <w:sz w:val="14"/>
        </w:rPr>
        <w:t>15</w:t>
      </w:r>
      <w:r>
        <w:rPr>
          <w:color w:val="231F20"/>
          <w:spacing w:val="25"/>
          <w:position w:val="7"/>
          <w:sz w:val="14"/>
        </w:rPr>
        <w:t> </w:t>
      </w:r>
      <w:r>
        <w:rPr>
          <w:color w:val="231F20"/>
        </w:rPr>
        <w:t>are </w:t>
      </w:r>
      <w:r>
        <w:rPr>
          <w:color w:val="231F20"/>
          <w:spacing w:val="-4"/>
        </w:rPr>
        <w:t>mostly</w:t>
      </w:r>
      <w:r>
        <w:rPr>
          <w:color w:val="231F20"/>
          <w:spacing w:val="-8"/>
        </w:rPr>
        <w:t> </w:t>
      </w:r>
      <w:r>
        <w:rPr>
          <w:color w:val="231F20"/>
          <w:spacing w:val="-4"/>
        </w:rPr>
        <w:t>low-income</w:t>
      </w:r>
      <w:r>
        <w:rPr>
          <w:color w:val="231F20"/>
          <w:spacing w:val="-8"/>
        </w:rPr>
        <w:t> </w:t>
      </w:r>
      <w:r>
        <w:rPr>
          <w:color w:val="231F20"/>
          <w:spacing w:val="-4"/>
        </w:rPr>
        <w:t>and</w:t>
      </w:r>
      <w:r>
        <w:rPr>
          <w:color w:val="231F20"/>
          <w:spacing w:val="-8"/>
        </w:rPr>
        <w:t> </w:t>
      </w:r>
      <w:r>
        <w:rPr>
          <w:color w:val="231F20"/>
          <w:spacing w:val="-4"/>
        </w:rPr>
        <w:t>lower-middle-income countries,</w:t>
      </w:r>
      <w:r>
        <w:rPr>
          <w:color w:val="231F20"/>
          <w:spacing w:val="-10"/>
        </w:rPr>
        <w:t> </w:t>
      </w:r>
      <w:r>
        <w:rPr>
          <w:color w:val="231F20"/>
          <w:spacing w:val="-4"/>
        </w:rPr>
        <w:t>all</w:t>
      </w:r>
      <w:r>
        <w:rPr>
          <w:color w:val="231F20"/>
          <w:spacing w:val="-9"/>
        </w:rPr>
        <w:t> </w:t>
      </w:r>
      <w:r>
        <w:rPr>
          <w:color w:val="231F20"/>
          <w:spacing w:val="-4"/>
        </w:rPr>
        <w:t>with</w:t>
      </w:r>
      <w:r>
        <w:rPr>
          <w:color w:val="231F20"/>
          <w:spacing w:val="-9"/>
        </w:rPr>
        <w:t> </w:t>
      </w:r>
      <w:r>
        <w:rPr>
          <w:color w:val="231F20"/>
          <w:spacing w:val="-4"/>
        </w:rPr>
        <w:t>an</w:t>
      </w:r>
      <w:r>
        <w:rPr>
          <w:color w:val="231F20"/>
          <w:spacing w:val="-9"/>
        </w:rPr>
        <w:t> </w:t>
      </w:r>
      <w:r>
        <w:rPr>
          <w:color w:val="231F20"/>
          <w:spacing w:val="-4"/>
        </w:rPr>
        <w:t>LPI</w:t>
      </w:r>
      <w:r>
        <w:rPr>
          <w:color w:val="231F20"/>
          <w:spacing w:val="-9"/>
        </w:rPr>
        <w:t> </w:t>
      </w:r>
      <w:r>
        <w:rPr>
          <w:color w:val="231F20"/>
          <w:spacing w:val="-4"/>
        </w:rPr>
        <w:t>score</w:t>
      </w:r>
      <w:r>
        <w:rPr>
          <w:color w:val="231F20"/>
          <w:spacing w:val="-9"/>
        </w:rPr>
        <w:t> </w:t>
      </w:r>
      <w:r>
        <w:rPr>
          <w:color w:val="231F20"/>
          <w:spacing w:val="-4"/>
        </w:rPr>
        <w:t>of</w:t>
      </w:r>
      <w:r>
        <w:rPr>
          <w:color w:val="231F20"/>
          <w:spacing w:val="-9"/>
        </w:rPr>
        <w:t> </w:t>
      </w:r>
      <w:r>
        <w:rPr>
          <w:color w:val="231F20"/>
          <w:spacing w:val="-4"/>
        </w:rPr>
        <w:t>2.2</w:t>
      </w:r>
      <w:r>
        <w:rPr>
          <w:color w:val="231F20"/>
          <w:spacing w:val="-9"/>
        </w:rPr>
        <w:t> </w:t>
      </w:r>
      <w:r>
        <w:rPr>
          <w:color w:val="231F20"/>
          <w:spacing w:val="-4"/>
        </w:rPr>
        <w:t>or</w:t>
      </w:r>
      <w:r>
        <w:rPr>
          <w:color w:val="231F20"/>
          <w:spacing w:val="-10"/>
        </w:rPr>
        <w:t> </w:t>
      </w:r>
      <w:r>
        <w:rPr>
          <w:color w:val="231F20"/>
          <w:spacing w:val="-4"/>
        </w:rPr>
        <w:t>lower </w:t>
      </w:r>
      <w:r>
        <w:rPr>
          <w:color w:val="231F20"/>
        </w:rPr>
        <w:t>(see</w:t>
      </w:r>
      <w:r>
        <w:rPr>
          <w:color w:val="231F20"/>
          <w:spacing w:val="-4"/>
        </w:rPr>
        <w:t> </w:t>
      </w:r>
      <w:r>
        <w:rPr>
          <w:color w:val="231F20"/>
        </w:rPr>
        <w:t>table</w:t>
      </w:r>
      <w:r>
        <w:rPr>
          <w:color w:val="231F20"/>
          <w:spacing w:val="-4"/>
        </w:rPr>
        <w:t> </w:t>
      </w:r>
      <w:r>
        <w:rPr>
          <w:color w:val="231F20"/>
        </w:rPr>
        <w:t>A3.2</w:t>
      </w:r>
      <w:r>
        <w:rPr>
          <w:color w:val="231F20"/>
          <w:spacing w:val="-4"/>
        </w:rPr>
        <w:t> </w:t>
      </w:r>
      <w:r>
        <w:rPr>
          <w:color w:val="231F20"/>
        </w:rPr>
        <w:t>in</w:t>
      </w:r>
      <w:r>
        <w:rPr>
          <w:color w:val="231F20"/>
          <w:spacing w:val="-4"/>
        </w:rPr>
        <w:t> </w:t>
      </w:r>
      <w:r>
        <w:rPr>
          <w:color w:val="231F20"/>
        </w:rPr>
        <w:t>appendix</w:t>
      </w:r>
      <w:r>
        <w:rPr>
          <w:color w:val="231F20"/>
          <w:spacing w:val="-4"/>
        </w:rPr>
        <w:t> </w:t>
      </w:r>
      <w:r>
        <w:rPr>
          <w:color w:val="231F20"/>
        </w:rPr>
        <w:t>3).</w:t>
      </w:r>
      <w:r>
        <w:rPr>
          <w:color w:val="231F20"/>
          <w:spacing w:val="-4"/>
        </w:rPr>
        <w:t> </w:t>
      </w:r>
      <w:r>
        <w:rPr>
          <w:color w:val="231F20"/>
        </w:rPr>
        <w:t>That</w:t>
      </w:r>
      <w:r>
        <w:rPr>
          <w:color w:val="231F20"/>
          <w:spacing w:val="-4"/>
        </w:rPr>
        <w:t> </w:t>
      </w:r>
      <w:r>
        <w:rPr>
          <w:color w:val="231F20"/>
        </w:rPr>
        <w:t>only</w:t>
      </w:r>
      <w:r>
        <w:rPr>
          <w:color w:val="231F20"/>
          <w:spacing w:val="-4"/>
        </w:rPr>
        <w:t> </w:t>
      </w:r>
      <w:r>
        <w:rPr>
          <w:color w:val="231F20"/>
        </w:rPr>
        <w:t>10 </w:t>
      </w:r>
      <w:r>
        <w:rPr>
          <w:color w:val="231F20"/>
          <w:spacing w:val="-4"/>
        </w:rPr>
        <w:t>countries</w:t>
      </w:r>
      <w:r>
        <w:rPr>
          <w:color w:val="231F20"/>
          <w:spacing w:val="-6"/>
        </w:rPr>
        <w:t> </w:t>
      </w:r>
      <w:r>
        <w:rPr>
          <w:color w:val="231F20"/>
          <w:spacing w:val="-4"/>
        </w:rPr>
        <w:t>meet</w:t>
      </w:r>
      <w:r>
        <w:rPr>
          <w:color w:val="231F20"/>
          <w:spacing w:val="-6"/>
        </w:rPr>
        <w:t> </w:t>
      </w:r>
      <w:r>
        <w:rPr>
          <w:color w:val="231F20"/>
          <w:spacing w:val="-4"/>
        </w:rPr>
        <w:t>this</w:t>
      </w:r>
      <w:r>
        <w:rPr>
          <w:color w:val="231F20"/>
          <w:spacing w:val="-6"/>
        </w:rPr>
        <w:t> </w:t>
      </w:r>
      <w:r>
        <w:rPr>
          <w:color w:val="231F20"/>
          <w:spacing w:val="-4"/>
        </w:rPr>
        <w:t>criterion</w:t>
      </w:r>
      <w:r>
        <w:rPr>
          <w:color w:val="231F20"/>
          <w:spacing w:val="-6"/>
        </w:rPr>
        <w:t> </w:t>
      </w:r>
      <w:r>
        <w:rPr>
          <w:color w:val="231F20"/>
          <w:spacing w:val="-4"/>
        </w:rPr>
        <w:t>is</w:t>
      </w:r>
      <w:r>
        <w:rPr>
          <w:color w:val="231F20"/>
          <w:spacing w:val="-6"/>
        </w:rPr>
        <w:t> </w:t>
      </w:r>
      <w:r>
        <w:rPr>
          <w:color w:val="231F20"/>
          <w:spacing w:val="-4"/>
        </w:rPr>
        <w:t>a</w:t>
      </w:r>
      <w:r>
        <w:rPr>
          <w:color w:val="231F20"/>
          <w:spacing w:val="-6"/>
        </w:rPr>
        <w:t> </w:t>
      </w:r>
      <w:r>
        <w:rPr>
          <w:color w:val="231F20"/>
          <w:spacing w:val="-4"/>
        </w:rPr>
        <w:t>major</w:t>
      </w:r>
      <w:r>
        <w:rPr>
          <w:color w:val="231F20"/>
          <w:spacing w:val="-6"/>
        </w:rPr>
        <w:t> </w:t>
      </w:r>
      <w:r>
        <w:rPr>
          <w:color w:val="231F20"/>
          <w:spacing w:val="-4"/>
        </w:rPr>
        <w:t>change from</w:t>
      </w:r>
      <w:r>
        <w:rPr>
          <w:color w:val="231F20"/>
          <w:spacing w:val="-9"/>
        </w:rPr>
        <w:t> </w:t>
      </w:r>
      <w:r>
        <w:rPr>
          <w:color w:val="231F20"/>
          <w:spacing w:val="-4"/>
        </w:rPr>
        <w:t>2018,</w:t>
      </w:r>
      <w:r>
        <w:rPr>
          <w:color w:val="231F20"/>
          <w:spacing w:val="-9"/>
        </w:rPr>
        <w:t> </w:t>
      </w:r>
      <w:r>
        <w:rPr>
          <w:color w:val="231F20"/>
          <w:spacing w:val="-4"/>
        </w:rPr>
        <w:t>when</w:t>
      </w:r>
      <w:r>
        <w:rPr>
          <w:color w:val="231F20"/>
          <w:spacing w:val="-9"/>
        </w:rPr>
        <w:t> </w:t>
      </w:r>
      <w:r>
        <w:rPr>
          <w:color w:val="231F20"/>
          <w:spacing w:val="-4"/>
        </w:rPr>
        <w:t>22</w:t>
      </w:r>
      <w:r>
        <w:rPr>
          <w:color w:val="231F20"/>
          <w:spacing w:val="-9"/>
        </w:rPr>
        <w:t> </w:t>
      </w:r>
      <w:r>
        <w:rPr>
          <w:color w:val="231F20"/>
          <w:spacing w:val="-4"/>
        </w:rPr>
        <w:t>countries</w:t>
      </w:r>
      <w:r>
        <w:rPr>
          <w:color w:val="231F20"/>
          <w:spacing w:val="-9"/>
        </w:rPr>
        <w:t> </w:t>
      </w:r>
      <w:r>
        <w:rPr>
          <w:color w:val="231F20"/>
          <w:spacing w:val="-4"/>
        </w:rPr>
        <w:t>did.</w:t>
      </w:r>
      <w:r>
        <w:rPr>
          <w:color w:val="231F20"/>
          <w:spacing w:val="-9"/>
        </w:rPr>
        <w:t> </w:t>
      </w:r>
      <w:r>
        <w:rPr>
          <w:color w:val="231F20"/>
          <w:spacing w:val="-4"/>
        </w:rPr>
        <w:t>It</w:t>
      </w:r>
      <w:r>
        <w:rPr>
          <w:color w:val="231F20"/>
          <w:spacing w:val="-9"/>
        </w:rPr>
        <w:t> </w:t>
      </w:r>
      <w:r>
        <w:rPr>
          <w:color w:val="231F20"/>
          <w:spacing w:val="-4"/>
        </w:rPr>
        <w:t>partly</w:t>
      </w:r>
      <w:r>
        <w:rPr>
          <w:color w:val="231F20"/>
          <w:spacing w:val="-9"/>
        </w:rPr>
        <w:t> </w:t>
      </w:r>
      <w:r>
        <w:rPr>
          <w:color w:val="231F20"/>
          <w:spacing w:val="-4"/>
        </w:rPr>
        <w:t>re- </w:t>
      </w:r>
      <w:r>
        <w:rPr>
          <w:color w:val="231F20"/>
          <w:w w:val="90"/>
        </w:rPr>
        <w:t>flects</w:t>
      </w:r>
      <w:r>
        <w:rPr>
          <w:color w:val="231F20"/>
          <w:spacing w:val="-8"/>
          <w:w w:val="90"/>
        </w:rPr>
        <w:t> </w:t>
      </w:r>
      <w:r>
        <w:rPr>
          <w:color w:val="231F20"/>
          <w:w w:val="90"/>
        </w:rPr>
        <w:t>a</w:t>
      </w:r>
      <w:r>
        <w:rPr>
          <w:color w:val="231F20"/>
          <w:spacing w:val="-8"/>
          <w:w w:val="90"/>
        </w:rPr>
        <w:t> </w:t>
      </w:r>
      <w:r>
        <w:rPr>
          <w:color w:val="231F20"/>
          <w:w w:val="90"/>
        </w:rPr>
        <w:t>smaller</w:t>
      </w:r>
      <w:r>
        <w:rPr>
          <w:color w:val="231F20"/>
          <w:spacing w:val="-8"/>
          <w:w w:val="90"/>
        </w:rPr>
        <w:t> </w:t>
      </w:r>
      <w:r>
        <w:rPr>
          <w:color w:val="231F20"/>
          <w:w w:val="90"/>
        </w:rPr>
        <w:t>survey</w:t>
      </w:r>
      <w:r>
        <w:rPr>
          <w:color w:val="231F20"/>
          <w:spacing w:val="-8"/>
          <w:w w:val="90"/>
        </w:rPr>
        <w:t> </w:t>
      </w:r>
      <w:r>
        <w:rPr>
          <w:color w:val="231F20"/>
          <w:w w:val="90"/>
        </w:rPr>
        <w:t>sample</w:t>
      </w:r>
      <w:r>
        <w:rPr>
          <w:color w:val="231F20"/>
          <w:spacing w:val="-8"/>
          <w:w w:val="90"/>
        </w:rPr>
        <w:t> </w:t>
      </w:r>
      <w:r>
        <w:rPr>
          <w:color w:val="231F20"/>
          <w:w w:val="90"/>
        </w:rPr>
        <w:t>(139</w:t>
      </w:r>
      <w:r>
        <w:rPr>
          <w:color w:val="231F20"/>
          <w:spacing w:val="-8"/>
          <w:w w:val="90"/>
        </w:rPr>
        <w:t> </w:t>
      </w:r>
      <w:r>
        <w:rPr>
          <w:color w:val="231F20"/>
          <w:w w:val="90"/>
        </w:rPr>
        <w:t>countries</w:t>
      </w:r>
      <w:r>
        <w:rPr>
          <w:color w:val="231F20"/>
          <w:spacing w:val="-8"/>
          <w:w w:val="90"/>
        </w:rPr>
        <w:t> </w:t>
      </w:r>
      <w:r>
        <w:rPr>
          <w:color w:val="231F20"/>
          <w:w w:val="90"/>
        </w:rPr>
        <w:t>ver- </w:t>
      </w:r>
      <w:r>
        <w:rPr>
          <w:color w:val="231F20"/>
          <w:spacing w:val="-8"/>
        </w:rPr>
        <w:t>sus</w:t>
      </w:r>
      <w:r>
        <w:rPr>
          <w:color w:val="231F20"/>
          <w:spacing w:val="-2"/>
        </w:rPr>
        <w:t> </w:t>
      </w:r>
      <w:r>
        <w:rPr>
          <w:color w:val="231F20"/>
          <w:spacing w:val="-8"/>
        </w:rPr>
        <w:t>160</w:t>
      </w:r>
      <w:r>
        <w:rPr>
          <w:color w:val="231F20"/>
          <w:spacing w:val="-3"/>
        </w:rPr>
        <w:t> </w:t>
      </w:r>
      <w:r>
        <w:rPr>
          <w:color w:val="231F20"/>
          <w:spacing w:val="-8"/>
        </w:rPr>
        <w:t>countries),</w:t>
      </w:r>
      <w:r>
        <w:rPr>
          <w:color w:val="231F20"/>
          <w:spacing w:val="-2"/>
        </w:rPr>
        <w:t> </w:t>
      </w:r>
      <w:r>
        <w:rPr>
          <w:color w:val="231F20"/>
          <w:spacing w:val="-8"/>
        </w:rPr>
        <w:t>but</w:t>
      </w:r>
      <w:r>
        <w:rPr>
          <w:color w:val="231F20"/>
          <w:spacing w:val="-2"/>
        </w:rPr>
        <w:t> </w:t>
      </w:r>
      <w:r>
        <w:rPr>
          <w:color w:val="231F20"/>
          <w:spacing w:val="-8"/>
        </w:rPr>
        <w:t>it</w:t>
      </w:r>
      <w:r>
        <w:rPr>
          <w:color w:val="231F20"/>
          <w:spacing w:val="-3"/>
        </w:rPr>
        <w:t> </w:t>
      </w:r>
      <w:r>
        <w:rPr>
          <w:color w:val="231F20"/>
          <w:spacing w:val="-8"/>
        </w:rPr>
        <w:t>could</w:t>
      </w:r>
      <w:r>
        <w:rPr>
          <w:color w:val="231F20"/>
          <w:spacing w:val="-2"/>
        </w:rPr>
        <w:t> </w:t>
      </w:r>
      <w:r>
        <w:rPr>
          <w:color w:val="231F20"/>
          <w:spacing w:val="-8"/>
        </w:rPr>
        <w:t>also</w:t>
      </w:r>
      <w:r>
        <w:rPr>
          <w:color w:val="231F20"/>
          <w:spacing w:val="-2"/>
        </w:rPr>
        <w:t> </w:t>
      </w:r>
      <w:r>
        <w:rPr>
          <w:color w:val="231F20"/>
          <w:spacing w:val="-8"/>
        </w:rPr>
        <w:t>be</w:t>
      </w:r>
      <w:r>
        <w:rPr>
          <w:color w:val="231F20"/>
          <w:spacing w:val="-2"/>
        </w:rPr>
        <w:t> </w:t>
      </w:r>
      <w:r>
        <w:rPr>
          <w:color w:val="231F20"/>
          <w:spacing w:val="-8"/>
        </w:rPr>
        <w:t>linked</w:t>
      </w:r>
      <w:r>
        <w:rPr>
          <w:color w:val="231F20"/>
          <w:spacing w:val="-3"/>
        </w:rPr>
        <w:t> </w:t>
      </w:r>
      <w:r>
        <w:rPr>
          <w:color w:val="231F20"/>
          <w:spacing w:val="-8"/>
        </w:rPr>
        <w:t>to </w:t>
      </w:r>
      <w:r>
        <w:rPr>
          <w:color w:val="231F20"/>
          <w:spacing w:val="-4"/>
        </w:rPr>
        <w:t>improvements in performance—a point revis- </w:t>
      </w:r>
      <w:r>
        <w:rPr>
          <w:color w:val="231F20"/>
          <w:spacing w:val="-6"/>
        </w:rPr>
        <w:t>ited below. Given that four of the six LPI com- </w:t>
      </w:r>
      <w:r>
        <w:rPr>
          <w:color w:val="231F20"/>
          <w:spacing w:val="-2"/>
        </w:rPr>
        <w:t>ponents</w:t>
      </w:r>
      <w:r>
        <w:rPr>
          <w:color w:val="231F20"/>
          <w:spacing w:val="-12"/>
        </w:rPr>
        <w:t> </w:t>
      </w:r>
      <w:r>
        <w:rPr>
          <w:color w:val="231F20"/>
          <w:spacing w:val="-2"/>
        </w:rPr>
        <w:t>reflect</w:t>
      </w:r>
      <w:r>
        <w:rPr>
          <w:color w:val="231F20"/>
          <w:spacing w:val="-11"/>
        </w:rPr>
        <w:t> </w:t>
      </w:r>
      <w:r>
        <w:rPr>
          <w:color w:val="231F20"/>
          <w:spacing w:val="-2"/>
        </w:rPr>
        <w:t>deep</w:t>
      </w:r>
      <w:r>
        <w:rPr>
          <w:color w:val="231F20"/>
          <w:spacing w:val="-11"/>
        </w:rPr>
        <w:t> </w:t>
      </w:r>
      <w:r>
        <w:rPr>
          <w:color w:val="231F20"/>
          <w:spacing w:val="-2"/>
        </w:rPr>
        <w:t>structural</w:t>
      </w:r>
      <w:r>
        <w:rPr>
          <w:color w:val="231F20"/>
          <w:spacing w:val="-11"/>
        </w:rPr>
        <w:t> </w:t>
      </w:r>
      <w:r>
        <w:rPr>
          <w:color w:val="231F20"/>
          <w:spacing w:val="-2"/>
        </w:rPr>
        <w:t>factors</w:t>
      </w:r>
      <w:r>
        <w:rPr>
          <w:color w:val="231F20"/>
          <w:spacing w:val="-11"/>
        </w:rPr>
        <w:t> </w:t>
      </w:r>
      <w:r>
        <w:rPr>
          <w:color w:val="231F20"/>
          <w:spacing w:val="-2"/>
        </w:rPr>
        <w:t>that</w:t>
      </w:r>
      <w:r>
        <w:rPr>
          <w:color w:val="231F20"/>
          <w:spacing w:val="-11"/>
        </w:rPr>
        <w:t> </w:t>
      </w:r>
      <w:r>
        <w:rPr>
          <w:color w:val="231F20"/>
          <w:spacing w:val="-2"/>
        </w:rPr>
        <w:t>are </w:t>
      </w:r>
      <w:r>
        <w:rPr>
          <w:color w:val="231F20"/>
          <w:spacing w:val="-4"/>
        </w:rPr>
        <w:t>not</w:t>
      </w:r>
      <w:r>
        <w:rPr>
          <w:color w:val="231F20"/>
          <w:spacing w:val="-10"/>
        </w:rPr>
        <w:t> </w:t>
      </w:r>
      <w:r>
        <w:rPr>
          <w:color w:val="231F20"/>
          <w:spacing w:val="-4"/>
        </w:rPr>
        <w:t>directly</w:t>
      </w:r>
      <w:r>
        <w:rPr>
          <w:color w:val="231F20"/>
          <w:spacing w:val="-9"/>
        </w:rPr>
        <w:t> </w:t>
      </w:r>
      <w:r>
        <w:rPr>
          <w:color w:val="231F20"/>
          <w:spacing w:val="-4"/>
        </w:rPr>
        <w:t>affected</w:t>
      </w:r>
      <w:r>
        <w:rPr>
          <w:color w:val="231F20"/>
          <w:spacing w:val="-9"/>
        </w:rPr>
        <w:t> </w:t>
      </w:r>
      <w:r>
        <w:rPr>
          <w:color w:val="231F20"/>
          <w:spacing w:val="-4"/>
        </w:rPr>
        <w:t>by</w:t>
      </w:r>
      <w:r>
        <w:rPr>
          <w:color w:val="231F20"/>
          <w:spacing w:val="-9"/>
        </w:rPr>
        <w:t> </w:t>
      </w:r>
      <w:r>
        <w:rPr>
          <w:color w:val="231F20"/>
          <w:spacing w:val="-4"/>
        </w:rPr>
        <w:t>the</w:t>
      </w:r>
      <w:r>
        <w:rPr>
          <w:color w:val="231F20"/>
          <w:spacing w:val="-9"/>
        </w:rPr>
        <w:t> </w:t>
      </w:r>
      <w:r>
        <w:rPr>
          <w:color w:val="231F20"/>
          <w:spacing w:val="-4"/>
        </w:rPr>
        <w:t>supply</w:t>
      </w:r>
      <w:r>
        <w:rPr>
          <w:color w:val="231F20"/>
          <w:spacing w:val="-9"/>
        </w:rPr>
        <w:t> </w:t>
      </w:r>
      <w:r>
        <w:rPr>
          <w:color w:val="231F20"/>
          <w:spacing w:val="-4"/>
        </w:rPr>
        <w:t>chain</w:t>
      </w:r>
      <w:r>
        <w:rPr>
          <w:color w:val="231F20"/>
          <w:spacing w:val="-9"/>
        </w:rPr>
        <w:t> </w:t>
      </w:r>
      <w:r>
        <w:rPr>
          <w:color w:val="231F20"/>
          <w:spacing w:val="-4"/>
        </w:rPr>
        <w:t>crisis, </w:t>
      </w:r>
      <w:r>
        <w:rPr>
          <w:color w:val="231F20"/>
          <w:w w:val="90"/>
        </w:rPr>
        <w:t>it is plausible that performance on these metrics </w:t>
      </w:r>
      <w:r>
        <w:rPr>
          <w:color w:val="231F20"/>
          <w:spacing w:val="-6"/>
        </w:rPr>
        <w:t>has</w:t>
      </w:r>
      <w:r>
        <w:rPr>
          <w:color w:val="231F20"/>
          <w:spacing w:val="-8"/>
        </w:rPr>
        <w:t> </w:t>
      </w:r>
      <w:r>
        <w:rPr>
          <w:color w:val="231F20"/>
          <w:spacing w:val="-6"/>
        </w:rPr>
        <w:t>improved</w:t>
      </w:r>
      <w:r>
        <w:rPr>
          <w:color w:val="231F20"/>
          <w:spacing w:val="-7"/>
        </w:rPr>
        <w:t> </w:t>
      </w:r>
      <w:r>
        <w:rPr>
          <w:color w:val="231F20"/>
          <w:spacing w:val="-6"/>
        </w:rPr>
        <w:t>due</w:t>
      </w:r>
      <w:r>
        <w:rPr>
          <w:color w:val="231F20"/>
          <w:spacing w:val="-7"/>
        </w:rPr>
        <w:t> </w:t>
      </w:r>
      <w:r>
        <w:rPr>
          <w:color w:val="231F20"/>
          <w:spacing w:val="-6"/>
        </w:rPr>
        <w:t>to</w:t>
      </w:r>
      <w:r>
        <w:rPr>
          <w:color w:val="231F20"/>
          <w:spacing w:val="-7"/>
        </w:rPr>
        <w:t> </w:t>
      </w:r>
      <w:r>
        <w:rPr>
          <w:color w:val="231F20"/>
          <w:spacing w:val="-6"/>
        </w:rPr>
        <w:t>policy</w:t>
      </w:r>
      <w:r>
        <w:rPr>
          <w:color w:val="231F20"/>
          <w:spacing w:val="-7"/>
        </w:rPr>
        <w:t> </w:t>
      </w:r>
      <w:r>
        <w:rPr>
          <w:color w:val="231F20"/>
          <w:spacing w:val="-6"/>
        </w:rPr>
        <w:t>reforms</w:t>
      </w:r>
      <w:r>
        <w:rPr>
          <w:color w:val="231F20"/>
          <w:spacing w:val="-7"/>
        </w:rPr>
        <w:t> </w:t>
      </w:r>
      <w:r>
        <w:rPr>
          <w:color w:val="231F20"/>
          <w:spacing w:val="-6"/>
        </w:rPr>
        <w:t>and</w:t>
      </w:r>
      <w:r>
        <w:rPr>
          <w:color w:val="231F20"/>
          <w:spacing w:val="-7"/>
        </w:rPr>
        <w:t> </w:t>
      </w:r>
      <w:r>
        <w:rPr>
          <w:color w:val="231F20"/>
          <w:spacing w:val="-6"/>
        </w:rPr>
        <w:t>private </w:t>
      </w:r>
      <w:r>
        <w:rPr>
          <w:color w:val="231F20"/>
          <w:spacing w:val="-4"/>
        </w:rPr>
        <w:t>sector capacity building over time, despite the </w:t>
      </w:r>
      <w:r>
        <w:rPr>
          <w:color w:val="231F20"/>
          <w:spacing w:val="-2"/>
        </w:rPr>
        <w:t>constraints</w:t>
      </w:r>
      <w:r>
        <w:rPr>
          <w:color w:val="231F20"/>
          <w:spacing w:val="-12"/>
        </w:rPr>
        <w:t> </w:t>
      </w:r>
      <w:r>
        <w:rPr>
          <w:color w:val="231F20"/>
          <w:spacing w:val="-2"/>
        </w:rPr>
        <w:t>imposed</w:t>
      </w:r>
      <w:r>
        <w:rPr>
          <w:color w:val="231F20"/>
          <w:spacing w:val="-11"/>
        </w:rPr>
        <w:t> </w:t>
      </w:r>
      <w:r>
        <w:rPr>
          <w:color w:val="231F20"/>
          <w:spacing w:val="-2"/>
        </w:rPr>
        <w:t>by</w:t>
      </w:r>
      <w:r>
        <w:rPr>
          <w:color w:val="231F20"/>
          <w:spacing w:val="-11"/>
        </w:rPr>
        <w:t> </w:t>
      </w:r>
      <w:r>
        <w:rPr>
          <w:color w:val="231F20"/>
          <w:spacing w:val="-2"/>
        </w:rPr>
        <w:t>recent</w:t>
      </w:r>
      <w:r>
        <w:rPr>
          <w:color w:val="231F20"/>
          <w:spacing w:val="-11"/>
        </w:rPr>
        <w:t> </w:t>
      </w:r>
      <w:r>
        <w:rPr>
          <w:color w:val="231F20"/>
          <w:spacing w:val="-2"/>
        </w:rPr>
        <w:t>conditions.</w:t>
      </w:r>
      <w:r>
        <w:rPr>
          <w:color w:val="231F20"/>
          <w:spacing w:val="-11"/>
        </w:rPr>
        <w:t> </w:t>
      </w:r>
      <w:r>
        <w:rPr>
          <w:color w:val="231F20"/>
          <w:spacing w:val="-2"/>
        </w:rPr>
        <w:t>For </w:t>
      </w:r>
      <w:r>
        <w:rPr>
          <w:color w:val="231F20"/>
        </w:rPr>
        <w:t>the</w:t>
      </w:r>
      <w:r>
        <w:rPr>
          <w:color w:val="231F20"/>
          <w:spacing w:val="-3"/>
        </w:rPr>
        <w:t> </w:t>
      </w:r>
      <w:r>
        <w:rPr>
          <w:color w:val="231F20"/>
        </w:rPr>
        <w:t>most</w:t>
      </w:r>
      <w:r>
        <w:rPr>
          <w:color w:val="231F20"/>
          <w:spacing w:val="-3"/>
        </w:rPr>
        <w:t> </w:t>
      </w:r>
      <w:r>
        <w:rPr>
          <w:color w:val="231F20"/>
        </w:rPr>
        <w:t>part,</w:t>
      </w:r>
      <w:r>
        <w:rPr>
          <w:color w:val="231F20"/>
          <w:spacing w:val="-3"/>
        </w:rPr>
        <w:t> </w:t>
      </w:r>
      <w:r>
        <w:rPr>
          <w:color w:val="231F20"/>
        </w:rPr>
        <w:t>the</w:t>
      </w:r>
      <w:r>
        <w:rPr>
          <w:color w:val="231F20"/>
          <w:spacing w:val="-3"/>
        </w:rPr>
        <w:t> </w:t>
      </w:r>
      <w:r>
        <w:rPr>
          <w:color w:val="231F20"/>
        </w:rPr>
        <w:t>countries</w:t>
      </w:r>
      <w:r>
        <w:rPr>
          <w:color w:val="231F20"/>
          <w:spacing w:val="-3"/>
        </w:rPr>
        <w:t> </w:t>
      </w:r>
      <w:r>
        <w:rPr>
          <w:color w:val="231F20"/>
        </w:rPr>
        <w:t>in</w:t>
      </w:r>
      <w:r>
        <w:rPr>
          <w:color w:val="231F20"/>
          <w:spacing w:val="-3"/>
        </w:rPr>
        <w:t> </w:t>
      </w:r>
      <w:r>
        <w:rPr>
          <w:color w:val="231F20"/>
        </w:rPr>
        <w:t>this</w:t>
      </w:r>
      <w:r>
        <w:rPr>
          <w:color w:val="231F20"/>
          <w:spacing w:val="-3"/>
        </w:rPr>
        <w:t> </w:t>
      </w:r>
      <w:r>
        <w:rPr>
          <w:color w:val="231F20"/>
        </w:rPr>
        <w:t>group</w:t>
      </w:r>
      <w:r>
        <w:rPr>
          <w:color w:val="231F20"/>
          <w:spacing w:val="-3"/>
        </w:rPr>
        <w:t> </w:t>
      </w:r>
      <w:r>
        <w:rPr>
          <w:color w:val="231F20"/>
        </w:rPr>
        <w:t>are </w:t>
      </w:r>
      <w:r>
        <w:rPr>
          <w:color w:val="231F20"/>
          <w:spacing w:val="-2"/>
        </w:rPr>
        <w:t>fragile</w:t>
      </w:r>
      <w:r>
        <w:rPr>
          <w:color w:val="231F20"/>
          <w:spacing w:val="-11"/>
        </w:rPr>
        <w:t> </w:t>
      </w:r>
      <w:r>
        <w:rPr>
          <w:color w:val="231F20"/>
          <w:spacing w:val="-2"/>
        </w:rPr>
        <w:t>economies</w:t>
      </w:r>
      <w:r>
        <w:rPr>
          <w:color w:val="231F20"/>
          <w:spacing w:val="-11"/>
        </w:rPr>
        <w:t> </w:t>
      </w:r>
      <w:r>
        <w:rPr>
          <w:color w:val="231F20"/>
          <w:spacing w:val="-2"/>
        </w:rPr>
        <w:t>affected</w:t>
      </w:r>
      <w:r>
        <w:rPr>
          <w:color w:val="231F20"/>
          <w:spacing w:val="-11"/>
        </w:rPr>
        <w:t> </w:t>
      </w:r>
      <w:r>
        <w:rPr>
          <w:color w:val="231F20"/>
          <w:spacing w:val="-2"/>
        </w:rPr>
        <w:t>by</w:t>
      </w:r>
      <w:r>
        <w:rPr>
          <w:color w:val="231F20"/>
          <w:spacing w:val="-11"/>
        </w:rPr>
        <w:t> </w:t>
      </w:r>
      <w:r>
        <w:rPr>
          <w:color w:val="231F20"/>
          <w:spacing w:val="-2"/>
        </w:rPr>
        <w:t>armed</w:t>
      </w:r>
      <w:r>
        <w:rPr>
          <w:color w:val="231F20"/>
          <w:spacing w:val="-11"/>
        </w:rPr>
        <w:t> </w:t>
      </w:r>
      <w:r>
        <w:rPr>
          <w:color w:val="231F20"/>
          <w:spacing w:val="-2"/>
        </w:rPr>
        <w:t>conflict, </w:t>
      </w:r>
      <w:r>
        <w:rPr>
          <w:color w:val="231F20"/>
          <w:w w:val="90"/>
        </w:rPr>
        <w:t>natural disasters, or political unrest or face chal- lenges of geography, such as being landlocked, or diseconomies of scale in connecting to global </w:t>
      </w:r>
      <w:r>
        <w:rPr>
          <w:color w:val="231F20"/>
          <w:spacing w:val="-6"/>
        </w:rPr>
        <w:t>supply chains, where countries are too small to be connected widely. There is more movement </w:t>
      </w:r>
      <w:r>
        <w:rPr>
          <w:color w:val="231F20"/>
          <w:spacing w:val="-2"/>
        </w:rPr>
        <w:t>in</w:t>
      </w:r>
      <w:r>
        <w:rPr>
          <w:color w:val="231F20"/>
          <w:spacing w:val="-12"/>
        </w:rPr>
        <w:t> </w:t>
      </w:r>
      <w:r>
        <w:rPr>
          <w:color w:val="231F20"/>
          <w:spacing w:val="-2"/>
        </w:rPr>
        <w:t>and</w:t>
      </w:r>
      <w:r>
        <w:rPr>
          <w:color w:val="231F20"/>
          <w:spacing w:val="-11"/>
        </w:rPr>
        <w:t> </w:t>
      </w:r>
      <w:r>
        <w:rPr>
          <w:color w:val="231F20"/>
          <w:spacing w:val="-2"/>
        </w:rPr>
        <w:t>out</w:t>
      </w:r>
      <w:r>
        <w:rPr>
          <w:color w:val="231F20"/>
          <w:spacing w:val="-11"/>
        </w:rPr>
        <w:t> </w:t>
      </w:r>
      <w:r>
        <w:rPr>
          <w:color w:val="231F20"/>
          <w:spacing w:val="-2"/>
        </w:rPr>
        <w:t>of</w:t>
      </w:r>
      <w:r>
        <w:rPr>
          <w:color w:val="231F20"/>
          <w:spacing w:val="-11"/>
        </w:rPr>
        <w:t> </w:t>
      </w:r>
      <w:r>
        <w:rPr>
          <w:color w:val="231F20"/>
          <w:spacing w:val="-2"/>
        </w:rPr>
        <w:t>the</w:t>
      </w:r>
      <w:r>
        <w:rPr>
          <w:color w:val="231F20"/>
          <w:spacing w:val="-11"/>
        </w:rPr>
        <w:t> </w:t>
      </w:r>
      <w:r>
        <w:rPr>
          <w:color w:val="231F20"/>
          <w:spacing w:val="-2"/>
        </w:rPr>
        <w:t>bottom</w:t>
      </w:r>
      <w:r>
        <w:rPr>
          <w:color w:val="231F20"/>
          <w:spacing w:val="-11"/>
        </w:rPr>
        <w:t> </w:t>
      </w:r>
      <w:r>
        <w:rPr>
          <w:color w:val="231F20"/>
          <w:spacing w:val="-2"/>
        </w:rPr>
        <w:t>group</w:t>
      </w:r>
      <w:r>
        <w:rPr>
          <w:color w:val="231F20"/>
          <w:spacing w:val="-11"/>
        </w:rPr>
        <w:t> </w:t>
      </w:r>
      <w:r>
        <w:rPr>
          <w:color w:val="231F20"/>
          <w:spacing w:val="-2"/>
        </w:rPr>
        <w:t>than</w:t>
      </w:r>
      <w:r>
        <w:rPr>
          <w:color w:val="231F20"/>
          <w:spacing w:val="-11"/>
        </w:rPr>
        <w:t> </w:t>
      </w:r>
      <w:r>
        <w:rPr>
          <w:color w:val="231F20"/>
          <w:spacing w:val="-2"/>
        </w:rPr>
        <w:t>in</w:t>
      </w:r>
      <w:r>
        <w:rPr>
          <w:color w:val="231F20"/>
          <w:spacing w:val="-12"/>
        </w:rPr>
        <w:t> </w:t>
      </w:r>
      <w:r>
        <w:rPr>
          <w:color w:val="231F20"/>
          <w:spacing w:val="-2"/>
        </w:rPr>
        <w:t>and</w:t>
      </w:r>
      <w:r>
        <w:rPr>
          <w:color w:val="231F20"/>
          <w:spacing w:val="-11"/>
        </w:rPr>
        <w:t> </w:t>
      </w:r>
      <w:r>
        <w:rPr>
          <w:color w:val="231F20"/>
          <w:spacing w:val="-2"/>
        </w:rPr>
        <w:t>out </w:t>
      </w:r>
      <w:r>
        <w:rPr>
          <w:color w:val="231F20"/>
        </w:rPr>
        <w:t>of the top group.</w:t>
      </w:r>
    </w:p>
    <w:p>
      <w:pPr>
        <w:pStyle w:val="BodyText"/>
        <w:spacing w:before="30"/>
      </w:pPr>
    </w:p>
    <w:p>
      <w:pPr>
        <w:spacing w:line="271" w:lineRule="auto" w:before="0"/>
        <w:ind w:left="1200" w:right="1" w:firstLine="0"/>
        <w:jc w:val="left"/>
        <w:rPr>
          <w:sz w:val="14"/>
        </w:rPr>
      </w:pPr>
      <w:r>
        <w:rPr>
          <w:rFonts w:ascii="Arial"/>
          <w:color w:val="008FDD"/>
          <w:sz w:val="19"/>
        </w:rPr>
        <w:t>Identifying logistics performance groups</w:t>
      </w:r>
      <w:r>
        <w:rPr>
          <w:rFonts w:ascii="Arial"/>
          <w:color w:val="008FDD"/>
          <w:spacing w:val="80"/>
          <w:sz w:val="19"/>
        </w:rPr>
        <w:t> </w:t>
      </w:r>
      <w:r>
        <w:rPr>
          <w:color w:val="231F20"/>
          <w:sz w:val="21"/>
        </w:rPr>
        <w:t>LPI</w:t>
      </w:r>
      <w:r>
        <w:rPr>
          <w:color w:val="231F20"/>
          <w:spacing w:val="-14"/>
          <w:sz w:val="21"/>
        </w:rPr>
        <w:t> </w:t>
      </w:r>
      <w:r>
        <w:rPr>
          <w:color w:val="231F20"/>
          <w:sz w:val="21"/>
        </w:rPr>
        <w:t>scores</w:t>
      </w:r>
      <w:r>
        <w:rPr>
          <w:color w:val="231F20"/>
          <w:spacing w:val="-13"/>
          <w:sz w:val="21"/>
        </w:rPr>
        <w:t> </w:t>
      </w:r>
      <w:r>
        <w:rPr>
          <w:color w:val="231F20"/>
          <w:sz w:val="21"/>
        </w:rPr>
        <w:t>are</w:t>
      </w:r>
      <w:r>
        <w:rPr>
          <w:color w:val="231F20"/>
          <w:spacing w:val="-13"/>
          <w:sz w:val="21"/>
        </w:rPr>
        <w:t> </w:t>
      </w:r>
      <w:r>
        <w:rPr>
          <w:color w:val="231F20"/>
          <w:sz w:val="21"/>
        </w:rPr>
        <w:t>broken</w:t>
      </w:r>
      <w:r>
        <w:rPr>
          <w:color w:val="231F20"/>
          <w:spacing w:val="-13"/>
          <w:sz w:val="21"/>
        </w:rPr>
        <w:t> </w:t>
      </w:r>
      <w:r>
        <w:rPr>
          <w:color w:val="231F20"/>
          <w:sz w:val="21"/>
        </w:rPr>
        <w:t>down</w:t>
      </w:r>
      <w:r>
        <w:rPr>
          <w:color w:val="231F20"/>
          <w:spacing w:val="-13"/>
          <w:sz w:val="21"/>
        </w:rPr>
        <w:t> </w:t>
      </w:r>
      <w:r>
        <w:rPr>
          <w:color w:val="231F20"/>
          <w:sz w:val="21"/>
        </w:rPr>
        <w:t>into</w:t>
      </w:r>
      <w:r>
        <w:rPr>
          <w:color w:val="231F20"/>
          <w:spacing w:val="-13"/>
          <w:sz w:val="21"/>
        </w:rPr>
        <w:t> </w:t>
      </w:r>
      <w:r>
        <w:rPr>
          <w:color w:val="231F20"/>
          <w:sz w:val="21"/>
        </w:rPr>
        <w:t>four</w:t>
      </w:r>
      <w:r>
        <w:rPr>
          <w:color w:val="231F20"/>
          <w:spacing w:val="-13"/>
          <w:sz w:val="21"/>
        </w:rPr>
        <w:t> </w:t>
      </w:r>
      <w:r>
        <w:rPr>
          <w:color w:val="231F20"/>
          <w:sz w:val="21"/>
        </w:rPr>
        <w:t>perfor- </w:t>
      </w:r>
      <w:r>
        <w:rPr>
          <w:color w:val="231F20"/>
          <w:spacing w:val="-2"/>
          <w:sz w:val="21"/>
        </w:rPr>
        <w:t>mance</w:t>
      </w:r>
      <w:r>
        <w:rPr>
          <w:color w:val="231F20"/>
          <w:spacing w:val="-10"/>
          <w:sz w:val="21"/>
        </w:rPr>
        <w:t> </w:t>
      </w:r>
      <w:r>
        <w:rPr>
          <w:color w:val="231F20"/>
          <w:spacing w:val="-2"/>
          <w:sz w:val="21"/>
        </w:rPr>
        <w:t>groups,</w:t>
      </w:r>
      <w:r>
        <w:rPr>
          <w:color w:val="231F20"/>
          <w:spacing w:val="-10"/>
          <w:sz w:val="21"/>
        </w:rPr>
        <w:t> </w:t>
      </w:r>
      <w:r>
        <w:rPr>
          <w:color w:val="231F20"/>
          <w:spacing w:val="-2"/>
          <w:sz w:val="21"/>
        </w:rPr>
        <w:t>based</w:t>
      </w:r>
      <w:r>
        <w:rPr>
          <w:color w:val="231F20"/>
          <w:spacing w:val="-10"/>
          <w:sz w:val="21"/>
        </w:rPr>
        <w:t> </w:t>
      </w:r>
      <w:r>
        <w:rPr>
          <w:color w:val="231F20"/>
          <w:spacing w:val="-2"/>
          <w:sz w:val="21"/>
        </w:rPr>
        <w:t>on</w:t>
      </w:r>
      <w:r>
        <w:rPr>
          <w:color w:val="231F20"/>
          <w:spacing w:val="-10"/>
          <w:sz w:val="21"/>
        </w:rPr>
        <w:t> </w:t>
      </w:r>
      <w:r>
        <w:rPr>
          <w:color w:val="231F20"/>
          <w:spacing w:val="-2"/>
          <w:sz w:val="21"/>
        </w:rPr>
        <w:t>score</w:t>
      </w:r>
      <w:r>
        <w:rPr>
          <w:color w:val="231F20"/>
          <w:spacing w:val="-10"/>
          <w:sz w:val="21"/>
        </w:rPr>
        <w:t> </w:t>
      </w:r>
      <w:r>
        <w:rPr>
          <w:color w:val="231F20"/>
          <w:spacing w:val="-2"/>
          <w:sz w:val="21"/>
        </w:rPr>
        <w:t>quintiles:</w:t>
      </w:r>
      <w:r>
        <w:rPr>
          <w:color w:val="231F20"/>
          <w:spacing w:val="-2"/>
          <w:position w:val="7"/>
          <w:sz w:val="14"/>
        </w:rPr>
        <w:t>16</w:t>
      </w:r>
    </w:p>
    <w:p>
      <w:pPr>
        <w:pStyle w:val="ListParagraph"/>
        <w:numPr>
          <w:ilvl w:val="0"/>
          <w:numId w:val="11"/>
        </w:numPr>
        <w:tabs>
          <w:tab w:pos="498" w:val="left" w:leader="none"/>
        </w:tabs>
        <w:spacing w:line="268" w:lineRule="auto" w:before="97" w:after="0"/>
        <w:ind w:left="498" w:right="2817" w:hanging="300"/>
        <w:jc w:val="both"/>
        <w:rPr>
          <w:rFonts w:ascii="Times New Roman" w:hAnsi="Times New Roman"/>
          <w:sz w:val="21"/>
        </w:rPr>
      </w:pPr>
      <w:r>
        <w:rPr/>
        <w:br w:type="column"/>
      </w:r>
      <w:r>
        <w:rPr>
          <w:rFonts w:ascii="Times New Roman" w:hAnsi="Times New Roman"/>
          <w:i/>
          <w:color w:val="231F20"/>
          <w:w w:val="90"/>
          <w:sz w:val="21"/>
        </w:rPr>
        <w:t>Poor</w:t>
      </w:r>
      <w:r>
        <w:rPr>
          <w:rFonts w:ascii="Times New Roman" w:hAnsi="Times New Roman"/>
          <w:i/>
          <w:color w:val="231F20"/>
          <w:spacing w:val="-8"/>
          <w:w w:val="90"/>
          <w:sz w:val="21"/>
        </w:rPr>
        <w:t> </w:t>
      </w:r>
      <w:r>
        <w:rPr>
          <w:rFonts w:ascii="Times New Roman" w:hAnsi="Times New Roman"/>
          <w:i/>
          <w:color w:val="231F20"/>
          <w:w w:val="90"/>
          <w:sz w:val="21"/>
        </w:rPr>
        <w:t>logistics</w:t>
      </w:r>
      <w:r>
        <w:rPr>
          <w:rFonts w:ascii="Times New Roman" w:hAnsi="Times New Roman"/>
          <w:i/>
          <w:color w:val="231F20"/>
          <w:spacing w:val="-8"/>
          <w:w w:val="90"/>
          <w:sz w:val="21"/>
        </w:rPr>
        <w:t> </w:t>
      </w:r>
      <w:r>
        <w:rPr>
          <w:rFonts w:ascii="Times New Roman" w:hAnsi="Times New Roman"/>
          <w:i/>
          <w:color w:val="231F20"/>
          <w:w w:val="90"/>
          <w:sz w:val="21"/>
        </w:rPr>
        <w:t>performers.</w:t>
      </w:r>
      <w:r>
        <w:rPr>
          <w:rFonts w:ascii="Times New Roman" w:hAnsi="Times New Roman"/>
          <w:i/>
          <w:color w:val="231F20"/>
          <w:spacing w:val="-8"/>
          <w:w w:val="90"/>
          <w:sz w:val="21"/>
        </w:rPr>
        <w:t> </w:t>
      </w:r>
      <w:r>
        <w:rPr>
          <w:rFonts w:ascii="Times New Roman" w:hAnsi="Times New Roman"/>
          <w:color w:val="231F20"/>
          <w:w w:val="90"/>
          <w:sz w:val="21"/>
        </w:rPr>
        <w:t>Countries</w:t>
      </w:r>
      <w:r>
        <w:rPr>
          <w:rFonts w:ascii="Times New Roman" w:hAnsi="Times New Roman"/>
          <w:color w:val="231F20"/>
          <w:spacing w:val="-8"/>
          <w:w w:val="90"/>
          <w:sz w:val="21"/>
        </w:rPr>
        <w:t> </w:t>
      </w:r>
      <w:r>
        <w:rPr>
          <w:rFonts w:ascii="Times New Roman" w:hAnsi="Times New Roman"/>
          <w:color w:val="231F20"/>
          <w:w w:val="90"/>
          <w:sz w:val="21"/>
        </w:rPr>
        <w:t>with</w:t>
      </w:r>
      <w:r>
        <w:rPr>
          <w:rFonts w:ascii="Times New Roman" w:hAnsi="Times New Roman"/>
          <w:color w:val="231F20"/>
          <w:spacing w:val="-8"/>
          <w:w w:val="90"/>
          <w:sz w:val="21"/>
        </w:rPr>
        <w:t> </w:t>
      </w:r>
      <w:r>
        <w:rPr>
          <w:rFonts w:ascii="Times New Roman" w:hAnsi="Times New Roman"/>
          <w:color w:val="231F20"/>
          <w:w w:val="90"/>
          <w:sz w:val="21"/>
        </w:rPr>
        <w:t>se- </w:t>
      </w:r>
      <w:r>
        <w:rPr>
          <w:rFonts w:ascii="Times New Roman" w:hAnsi="Times New Roman"/>
          <w:color w:val="231F20"/>
          <w:spacing w:val="-2"/>
          <w:sz w:val="21"/>
        </w:rPr>
        <w:t>vere</w:t>
      </w:r>
      <w:r>
        <w:rPr>
          <w:rFonts w:ascii="Times New Roman" w:hAnsi="Times New Roman"/>
          <w:color w:val="231F20"/>
          <w:spacing w:val="-12"/>
          <w:sz w:val="21"/>
        </w:rPr>
        <w:t> </w:t>
      </w:r>
      <w:r>
        <w:rPr>
          <w:rFonts w:ascii="Times New Roman" w:hAnsi="Times New Roman"/>
          <w:color w:val="231F20"/>
          <w:spacing w:val="-2"/>
          <w:sz w:val="21"/>
        </w:rPr>
        <w:t>logistics</w:t>
      </w:r>
      <w:r>
        <w:rPr>
          <w:rFonts w:ascii="Times New Roman" w:hAnsi="Times New Roman"/>
          <w:color w:val="231F20"/>
          <w:spacing w:val="-11"/>
          <w:sz w:val="21"/>
        </w:rPr>
        <w:t> </w:t>
      </w:r>
      <w:r>
        <w:rPr>
          <w:rFonts w:ascii="Times New Roman" w:hAnsi="Times New Roman"/>
          <w:color w:val="231F20"/>
          <w:spacing w:val="-2"/>
          <w:sz w:val="21"/>
        </w:rPr>
        <w:t>constraints,</w:t>
      </w:r>
      <w:r>
        <w:rPr>
          <w:rFonts w:ascii="Times New Roman" w:hAnsi="Times New Roman"/>
          <w:color w:val="231F20"/>
          <w:spacing w:val="-11"/>
          <w:sz w:val="21"/>
        </w:rPr>
        <w:t> </w:t>
      </w:r>
      <w:r>
        <w:rPr>
          <w:rFonts w:ascii="Times New Roman" w:hAnsi="Times New Roman"/>
          <w:color w:val="231F20"/>
          <w:spacing w:val="-2"/>
          <w:sz w:val="21"/>
        </w:rPr>
        <w:t>such</w:t>
      </w:r>
      <w:r>
        <w:rPr>
          <w:rFonts w:ascii="Times New Roman" w:hAnsi="Times New Roman"/>
          <w:color w:val="231F20"/>
          <w:spacing w:val="-11"/>
          <w:sz w:val="21"/>
        </w:rPr>
        <w:t> </w:t>
      </w:r>
      <w:r>
        <w:rPr>
          <w:rFonts w:ascii="Times New Roman" w:hAnsi="Times New Roman"/>
          <w:color w:val="231F20"/>
          <w:spacing w:val="-2"/>
          <w:sz w:val="21"/>
        </w:rPr>
        <w:t>as</w:t>
      </w:r>
      <w:r>
        <w:rPr>
          <w:rFonts w:ascii="Times New Roman" w:hAnsi="Times New Roman"/>
          <w:color w:val="231F20"/>
          <w:spacing w:val="-11"/>
          <w:sz w:val="21"/>
        </w:rPr>
        <w:t> </w:t>
      </w:r>
      <w:r>
        <w:rPr>
          <w:rFonts w:ascii="Times New Roman" w:hAnsi="Times New Roman"/>
          <w:color w:val="231F20"/>
          <w:spacing w:val="-2"/>
          <w:sz w:val="21"/>
        </w:rPr>
        <w:t>the</w:t>
      </w:r>
      <w:r>
        <w:rPr>
          <w:rFonts w:ascii="Times New Roman" w:hAnsi="Times New Roman"/>
          <w:color w:val="231F20"/>
          <w:spacing w:val="-11"/>
          <w:sz w:val="21"/>
        </w:rPr>
        <w:t> </w:t>
      </w:r>
      <w:r>
        <w:rPr>
          <w:rFonts w:ascii="Times New Roman" w:hAnsi="Times New Roman"/>
          <w:color w:val="231F20"/>
          <w:spacing w:val="-2"/>
          <w:sz w:val="21"/>
        </w:rPr>
        <w:t>least </w:t>
      </w:r>
      <w:r>
        <w:rPr>
          <w:rFonts w:ascii="Times New Roman" w:hAnsi="Times New Roman"/>
          <w:color w:val="231F20"/>
          <w:sz w:val="21"/>
        </w:rPr>
        <w:t>developed countries (43 countries in the bottom</w:t>
      </w:r>
      <w:r>
        <w:rPr>
          <w:rFonts w:ascii="Times New Roman" w:hAnsi="Times New Roman"/>
          <w:color w:val="231F20"/>
          <w:spacing w:val="-14"/>
          <w:sz w:val="21"/>
        </w:rPr>
        <w:t> </w:t>
      </w:r>
      <w:r>
        <w:rPr>
          <w:rFonts w:ascii="Times New Roman" w:hAnsi="Times New Roman"/>
          <w:color w:val="231F20"/>
          <w:sz w:val="21"/>
        </w:rPr>
        <w:t>quintile).</w:t>
      </w:r>
    </w:p>
    <w:p>
      <w:pPr>
        <w:pStyle w:val="ListParagraph"/>
        <w:numPr>
          <w:ilvl w:val="0"/>
          <w:numId w:val="11"/>
        </w:numPr>
        <w:tabs>
          <w:tab w:pos="497" w:val="left" w:leader="none"/>
        </w:tabs>
        <w:spacing w:line="240" w:lineRule="exact" w:before="0" w:after="0"/>
        <w:ind w:left="497" w:right="0" w:hanging="299"/>
        <w:jc w:val="both"/>
        <w:rPr>
          <w:rFonts w:ascii="Times New Roman" w:hAnsi="Times New Roman"/>
          <w:sz w:val="21"/>
        </w:rPr>
      </w:pPr>
      <w:r>
        <w:rPr>
          <w:rFonts w:ascii="Times New Roman" w:hAnsi="Times New Roman"/>
          <w:i/>
          <w:color w:val="231F20"/>
          <w:w w:val="90"/>
          <w:sz w:val="21"/>
        </w:rPr>
        <w:t>Partial</w:t>
      </w:r>
      <w:r>
        <w:rPr>
          <w:rFonts w:ascii="Times New Roman" w:hAnsi="Times New Roman"/>
          <w:i/>
          <w:color w:val="231F20"/>
          <w:spacing w:val="-1"/>
          <w:w w:val="90"/>
          <w:sz w:val="21"/>
        </w:rPr>
        <w:t> </w:t>
      </w:r>
      <w:r>
        <w:rPr>
          <w:rFonts w:ascii="Times New Roman" w:hAnsi="Times New Roman"/>
          <w:i/>
          <w:color w:val="231F20"/>
          <w:w w:val="90"/>
          <w:sz w:val="21"/>
        </w:rPr>
        <w:t>performers.</w:t>
      </w:r>
      <w:r>
        <w:rPr>
          <w:rFonts w:ascii="Times New Roman" w:hAnsi="Times New Roman"/>
          <w:i/>
          <w:color w:val="231F20"/>
          <w:spacing w:val="-5"/>
          <w:sz w:val="21"/>
        </w:rPr>
        <w:t> </w:t>
      </w:r>
      <w:r>
        <w:rPr>
          <w:rFonts w:ascii="Times New Roman" w:hAnsi="Times New Roman"/>
          <w:color w:val="231F20"/>
          <w:w w:val="90"/>
          <w:sz w:val="21"/>
        </w:rPr>
        <w:t>Countries</w:t>
      </w:r>
      <w:r>
        <w:rPr>
          <w:rFonts w:ascii="Times New Roman" w:hAnsi="Times New Roman"/>
          <w:color w:val="231F20"/>
          <w:spacing w:val="-5"/>
          <w:sz w:val="21"/>
        </w:rPr>
        <w:t> </w:t>
      </w:r>
      <w:r>
        <w:rPr>
          <w:rFonts w:ascii="Times New Roman" w:hAnsi="Times New Roman"/>
          <w:color w:val="231F20"/>
          <w:w w:val="90"/>
          <w:sz w:val="21"/>
        </w:rPr>
        <w:t>with</w:t>
      </w:r>
      <w:r>
        <w:rPr>
          <w:rFonts w:ascii="Times New Roman" w:hAnsi="Times New Roman"/>
          <w:color w:val="231F20"/>
          <w:spacing w:val="-5"/>
          <w:sz w:val="21"/>
        </w:rPr>
        <w:t> </w:t>
      </w:r>
      <w:r>
        <w:rPr>
          <w:rFonts w:ascii="Times New Roman" w:hAnsi="Times New Roman"/>
          <w:color w:val="231F20"/>
          <w:w w:val="90"/>
          <w:sz w:val="21"/>
        </w:rPr>
        <w:t>a</w:t>
      </w:r>
      <w:r>
        <w:rPr>
          <w:rFonts w:ascii="Times New Roman" w:hAnsi="Times New Roman"/>
          <w:color w:val="231F20"/>
          <w:spacing w:val="-6"/>
          <w:sz w:val="21"/>
        </w:rPr>
        <w:t> </w:t>
      </w:r>
      <w:r>
        <w:rPr>
          <w:rFonts w:ascii="Times New Roman" w:hAnsi="Times New Roman"/>
          <w:color w:val="231F20"/>
          <w:w w:val="90"/>
          <w:sz w:val="21"/>
        </w:rPr>
        <w:t>level</w:t>
      </w:r>
      <w:r>
        <w:rPr>
          <w:rFonts w:ascii="Times New Roman" w:hAnsi="Times New Roman"/>
          <w:color w:val="231F20"/>
          <w:spacing w:val="-5"/>
          <w:sz w:val="21"/>
        </w:rPr>
        <w:t> </w:t>
      </w:r>
      <w:r>
        <w:rPr>
          <w:rFonts w:ascii="Times New Roman" w:hAnsi="Times New Roman"/>
          <w:color w:val="231F20"/>
          <w:spacing w:val="-5"/>
          <w:w w:val="90"/>
          <w:sz w:val="21"/>
        </w:rPr>
        <w:t>of</w:t>
      </w:r>
    </w:p>
    <w:p>
      <w:pPr>
        <w:pStyle w:val="BodyText"/>
        <w:spacing w:line="268" w:lineRule="auto" w:before="29"/>
        <w:ind w:left="498" w:right="2817"/>
        <w:jc w:val="both"/>
      </w:pPr>
      <w:r>
        <w:rPr>
          <w:color w:val="231F20"/>
          <w:w w:val="90"/>
        </w:rPr>
        <w:t>logistics constraints most often seen in low- </w:t>
      </w:r>
      <w:r>
        <w:rPr>
          <w:color w:val="231F20"/>
        </w:rPr>
        <w:t>and middle-income countries (46 coun- </w:t>
      </w:r>
      <w:r>
        <w:rPr>
          <w:color w:val="231F20"/>
          <w:spacing w:val="-2"/>
        </w:rPr>
        <w:t>tries</w:t>
      </w:r>
      <w:r>
        <w:rPr>
          <w:color w:val="231F20"/>
          <w:spacing w:val="-9"/>
        </w:rPr>
        <w:t> </w:t>
      </w:r>
      <w:r>
        <w:rPr>
          <w:color w:val="231F20"/>
          <w:spacing w:val="-2"/>
        </w:rPr>
        <w:t>in</w:t>
      </w:r>
      <w:r>
        <w:rPr>
          <w:color w:val="231F20"/>
          <w:spacing w:val="-9"/>
        </w:rPr>
        <w:t> </w:t>
      </w:r>
      <w:r>
        <w:rPr>
          <w:color w:val="231F20"/>
          <w:spacing w:val="-2"/>
        </w:rPr>
        <w:t>the</w:t>
      </w:r>
      <w:r>
        <w:rPr>
          <w:color w:val="231F20"/>
          <w:spacing w:val="-9"/>
        </w:rPr>
        <w:t> </w:t>
      </w:r>
      <w:r>
        <w:rPr>
          <w:color w:val="231F20"/>
          <w:spacing w:val="-2"/>
        </w:rPr>
        <w:t>middle</w:t>
      </w:r>
      <w:r>
        <w:rPr>
          <w:color w:val="231F20"/>
          <w:spacing w:val="-9"/>
        </w:rPr>
        <w:t> </w:t>
      </w:r>
      <w:r>
        <w:rPr>
          <w:color w:val="231F20"/>
          <w:spacing w:val="-2"/>
        </w:rPr>
        <w:t>quintile</w:t>
      </w:r>
      <w:r>
        <w:rPr>
          <w:color w:val="231F20"/>
          <w:spacing w:val="-9"/>
        </w:rPr>
        <w:t> </w:t>
      </w:r>
      <w:r>
        <w:rPr>
          <w:color w:val="231F20"/>
          <w:spacing w:val="-2"/>
        </w:rPr>
        <w:t>and</w:t>
      </w:r>
      <w:r>
        <w:rPr>
          <w:color w:val="231F20"/>
          <w:spacing w:val="-9"/>
        </w:rPr>
        <w:t> </w:t>
      </w:r>
      <w:r>
        <w:rPr>
          <w:color w:val="231F20"/>
          <w:spacing w:val="-2"/>
        </w:rPr>
        <w:t>the</w:t>
      </w:r>
      <w:r>
        <w:rPr>
          <w:color w:val="231F20"/>
          <w:spacing w:val="-9"/>
        </w:rPr>
        <w:t> </w:t>
      </w:r>
      <w:r>
        <w:rPr>
          <w:color w:val="231F20"/>
          <w:spacing w:val="-2"/>
        </w:rPr>
        <w:t>second </w:t>
      </w:r>
      <w:r>
        <w:rPr>
          <w:color w:val="231F20"/>
        </w:rPr>
        <w:t>quintile from the bottom).</w:t>
      </w:r>
    </w:p>
    <w:p>
      <w:pPr>
        <w:pStyle w:val="ListParagraph"/>
        <w:numPr>
          <w:ilvl w:val="0"/>
          <w:numId w:val="11"/>
        </w:numPr>
        <w:tabs>
          <w:tab w:pos="497" w:val="left" w:leader="none"/>
        </w:tabs>
        <w:spacing w:line="240" w:lineRule="exact" w:before="0" w:after="0"/>
        <w:ind w:left="497" w:right="0" w:hanging="299"/>
        <w:jc w:val="both"/>
        <w:rPr>
          <w:rFonts w:ascii="Times New Roman" w:hAnsi="Times New Roman"/>
          <w:sz w:val="21"/>
        </w:rPr>
      </w:pPr>
      <w:r>
        <w:rPr>
          <w:rFonts w:ascii="Times New Roman" w:hAnsi="Times New Roman"/>
          <w:i/>
          <w:color w:val="231F20"/>
          <w:w w:val="90"/>
          <w:sz w:val="21"/>
        </w:rPr>
        <w:t>Consistent</w:t>
      </w:r>
      <w:r>
        <w:rPr>
          <w:rFonts w:ascii="Times New Roman" w:hAnsi="Times New Roman"/>
          <w:i/>
          <w:color w:val="231F20"/>
          <w:spacing w:val="18"/>
          <w:sz w:val="21"/>
        </w:rPr>
        <w:t> </w:t>
      </w:r>
      <w:r>
        <w:rPr>
          <w:rFonts w:ascii="Times New Roman" w:hAnsi="Times New Roman"/>
          <w:i/>
          <w:color w:val="231F20"/>
          <w:w w:val="90"/>
          <w:sz w:val="21"/>
        </w:rPr>
        <w:t>performers.</w:t>
      </w:r>
      <w:r>
        <w:rPr>
          <w:rFonts w:ascii="Times New Roman" w:hAnsi="Times New Roman"/>
          <w:i/>
          <w:color w:val="231F20"/>
          <w:spacing w:val="19"/>
          <w:sz w:val="21"/>
        </w:rPr>
        <w:t> </w:t>
      </w:r>
      <w:r>
        <w:rPr>
          <w:rFonts w:ascii="Times New Roman" w:hAnsi="Times New Roman"/>
          <w:color w:val="231F20"/>
          <w:w w:val="90"/>
          <w:sz w:val="21"/>
        </w:rPr>
        <w:t>Countries</w:t>
      </w:r>
      <w:r>
        <w:rPr>
          <w:rFonts w:ascii="Times New Roman" w:hAnsi="Times New Roman"/>
          <w:color w:val="231F20"/>
          <w:spacing w:val="18"/>
          <w:sz w:val="21"/>
        </w:rPr>
        <w:t> </w:t>
      </w:r>
      <w:r>
        <w:rPr>
          <w:rFonts w:ascii="Times New Roman" w:hAnsi="Times New Roman"/>
          <w:color w:val="231F20"/>
          <w:w w:val="90"/>
          <w:sz w:val="21"/>
        </w:rPr>
        <w:t>rated</w:t>
      </w:r>
      <w:r>
        <w:rPr>
          <w:rFonts w:ascii="Times New Roman" w:hAnsi="Times New Roman"/>
          <w:color w:val="231F20"/>
          <w:spacing w:val="19"/>
          <w:sz w:val="21"/>
        </w:rPr>
        <w:t> </w:t>
      </w:r>
      <w:r>
        <w:rPr>
          <w:rFonts w:ascii="Times New Roman" w:hAnsi="Times New Roman"/>
          <w:color w:val="231F20"/>
          <w:spacing w:val="-4"/>
          <w:w w:val="90"/>
          <w:sz w:val="21"/>
        </w:rPr>
        <w:t>bet-</w:t>
      </w:r>
    </w:p>
    <w:p>
      <w:pPr>
        <w:pStyle w:val="BodyText"/>
        <w:spacing w:line="268" w:lineRule="auto" w:before="28"/>
        <w:ind w:left="498" w:right="2817"/>
        <w:jc w:val="both"/>
      </w:pPr>
      <w:r>
        <w:rPr>
          <w:color w:val="231F20"/>
          <w:spacing w:val="-4"/>
        </w:rPr>
        <w:t>ter</w:t>
      </w:r>
      <w:r>
        <w:rPr>
          <w:color w:val="231F20"/>
          <w:spacing w:val="-10"/>
        </w:rPr>
        <w:t> </w:t>
      </w:r>
      <w:r>
        <w:rPr>
          <w:color w:val="231F20"/>
          <w:spacing w:val="-4"/>
        </w:rPr>
        <w:t>on</w:t>
      </w:r>
      <w:r>
        <w:rPr>
          <w:color w:val="231F20"/>
          <w:spacing w:val="-9"/>
        </w:rPr>
        <w:t> </w:t>
      </w:r>
      <w:r>
        <w:rPr>
          <w:color w:val="231F20"/>
          <w:spacing w:val="-4"/>
        </w:rPr>
        <w:t>logistics</w:t>
      </w:r>
      <w:r>
        <w:rPr>
          <w:color w:val="231F20"/>
          <w:spacing w:val="-9"/>
        </w:rPr>
        <w:t> </w:t>
      </w:r>
      <w:r>
        <w:rPr>
          <w:color w:val="231F20"/>
          <w:spacing w:val="-4"/>
        </w:rPr>
        <w:t>performance</w:t>
      </w:r>
      <w:r>
        <w:rPr>
          <w:color w:val="231F20"/>
          <w:spacing w:val="-9"/>
        </w:rPr>
        <w:t> </w:t>
      </w:r>
      <w:r>
        <w:rPr>
          <w:color w:val="231F20"/>
          <w:spacing w:val="-4"/>
        </w:rPr>
        <w:t>than</w:t>
      </w:r>
      <w:r>
        <w:rPr>
          <w:color w:val="231F20"/>
          <w:spacing w:val="-9"/>
        </w:rPr>
        <w:t> </w:t>
      </w:r>
      <w:r>
        <w:rPr>
          <w:color w:val="231F20"/>
          <w:spacing w:val="-4"/>
        </w:rPr>
        <w:t>most</w:t>
      </w:r>
      <w:r>
        <w:rPr>
          <w:color w:val="231F20"/>
          <w:spacing w:val="-9"/>
        </w:rPr>
        <w:t> </w:t>
      </w:r>
      <w:r>
        <w:rPr>
          <w:color w:val="231F20"/>
          <w:spacing w:val="-4"/>
        </w:rPr>
        <w:t>oth- </w:t>
      </w:r>
      <w:r>
        <w:rPr>
          <w:color w:val="231F20"/>
        </w:rPr>
        <w:t>ers</w:t>
      </w:r>
      <w:r>
        <w:rPr>
          <w:color w:val="231F20"/>
          <w:spacing w:val="-14"/>
        </w:rPr>
        <w:t> </w:t>
      </w:r>
      <w:r>
        <w:rPr>
          <w:color w:val="231F20"/>
        </w:rPr>
        <w:t>in</w:t>
      </w:r>
      <w:r>
        <w:rPr>
          <w:color w:val="231F20"/>
          <w:spacing w:val="-13"/>
        </w:rPr>
        <w:t> </w:t>
      </w:r>
      <w:r>
        <w:rPr>
          <w:color w:val="231F20"/>
        </w:rPr>
        <w:t>their</w:t>
      </w:r>
      <w:r>
        <w:rPr>
          <w:color w:val="231F20"/>
          <w:spacing w:val="-13"/>
        </w:rPr>
        <w:t> </w:t>
      </w:r>
      <w:r>
        <w:rPr>
          <w:color w:val="231F20"/>
        </w:rPr>
        <w:t>income</w:t>
      </w:r>
      <w:r>
        <w:rPr>
          <w:color w:val="231F20"/>
          <w:spacing w:val="-13"/>
        </w:rPr>
        <w:t> </w:t>
      </w:r>
      <w:r>
        <w:rPr>
          <w:color w:val="231F20"/>
        </w:rPr>
        <w:t>group</w:t>
      </w:r>
      <w:r>
        <w:rPr>
          <w:color w:val="231F20"/>
          <w:spacing w:val="-13"/>
        </w:rPr>
        <w:t> </w:t>
      </w:r>
      <w:r>
        <w:rPr>
          <w:color w:val="231F20"/>
        </w:rPr>
        <w:t>(25</w:t>
      </w:r>
      <w:r>
        <w:rPr>
          <w:color w:val="231F20"/>
          <w:spacing w:val="-13"/>
        </w:rPr>
        <w:t> </w:t>
      </w:r>
      <w:r>
        <w:rPr>
          <w:color w:val="231F20"/>
        </w:rPr>
        <w:t>countries</w:t>
      </w:r>
      <w:r>
        <w:rPr>
          <w:color w:val="231F20"/>
          <w:spacing w:val="-13"/>
        </w:rPr>
        <w:t> </w:t>
      </w:r>
      <w:r>
        <w:rPr>
          <w:color w:val="231F20"/>
        </w:rPr>
        <w:t>in the second</w:t>
      </w:r>
      <w:r>
        <w:rPr>
          <w:color w:val="231F20"/>
          <w:spacing w:val="-1"/>
        </w:rPr>
        <w:t> </w:t>
      </w:r>
      <w:r>
        <w:rPr>
          <w:color w:val="231F20"/>
        </w:rPr>
        <w:t>quintile from</w:t>
      </w:r>
      <w:r>
        <w:rPr>
          <w:color w:val="231F20"/>
          <w:spacing w:val="-1"/>
        </w:rPr>
        <w:t> </w:t>
      </w:r>
      <w:r>
        <w:rPr>
          <w:color w:val="231F20"/>
        </w:rPr>
        <w:t>the top).</w:t>
      </w:r>
    </w:p>
    <w:p>
      <w:pPr>
        <w:pStyle w:val="ListParagraph"/>
        <w:numPr>
          <w:ilvl w:val="0"/>
          <w:numId w:val="11"/>
        </w:numPr>
        <w:tabs>
          <w:tab w:pos="497" w:val="left" w:leader="none"/>
        </w:tabs>
        <w:spacing w:line="240" w:lineRule="exact" w:before="0" w:after="0"/>
        <w:ind w:left="497" w:right="0" w:hanging="299"/>
        <w:jc w:val="both"/>
        <w:rPr>
          <w:rFonts w:ascii="Times New Roman" w:hAnsi="Times New Roman"/>
          <w:sz w:val="21"/>
        </w:rPr>
      </w:pPr>
      <w:r>
        <w:rPr>
          <w:rFonts w:ascii="Times New Roman" w:hAnsi="Times New Roman"/>
          <w:i/>
          <w:color w:val="231F20"/>
          <w:spacing w:val="2"/>
          <w:w w:val="90"/>
          <w:sz w:val="21"/>
        </w:rPr>
        <w:t>Logistics-friendly.</w:t>
      </w:r>
      <w:r>
        <w:rPr>
          <w:rFonts w:ascii="Times New Roman" w:hAnsi="Times New Roman"/>
          <w:i/>
          <w:color w:val="231F20"/>
          <w:spacing w:val="74"/>
          <w:sz w:val="21"/>
        </w:rPr>
        <w:t> </w:t>
      </w:r>
      <w:r>
        <w:rPr>
          <w:rFonts w:ascii="Times New Roman" w:hAnsi="Times New Roman"/>
          <w:color w:val="231F20"/>
          <w:spacing w:val="2"/>
          <w:w w:val="90"/>
          <w:sz w:val="21"/>
        </w:rPr>
        <w:t>Top-performing</w:t>
      </w:r>
      <w:r>
        <w:rPr>
          <w:rFonts w:ascii="Times New Roman" w:hAnsi="Times New Roman"/>
          <w:color w:val="231F20"/>
          <w:spacing w:val="74"/>
          <w:sz w:val="21"/>
        </w:rPr>
        <w:t> </w:t>
      </w:r>
      <w:r>
        <w:rPr>
          <w:rFonts w:ascii="Times New Roman" w:hAnsi="Times New Roman"/>
          <w:color w:val="231F20"/>
          <w:spacing w:val="-2"/>
          <w:w w:val="90"/>
          <w:sz w:val="21"/>
        </w:rPr>
        <w:t>coun-</w:t>
      </w:r>
    </w:p>
    <w:p>
      <w:pPr>
        <w:pStyle w:val="BodyText"/>
        <w:spacing w:line="268" w:lineRule="auto" w:before="29"/>
        <w:ind w:left="498" w:right="2817"/>
        <w:jc w:val="both"/>
      </w:pPr>
      <w:r>
        <w:rPr>
          <w:color w:val="231F20"/>
          <w:spacing w:val="-4"/>
        </w:rPr>
        <w:t>tries,</w:t>
      </w:r>
      <w:r>
        <w:rPr>
          <w:color w:val="231F20"/>
          <w:spacing w:val="-10"/>
        </w:rPr>
        <w:t> </w:t>
      </w:r>
      <w:r>
        <w:rPr>
          <w:color w:val="231F20"/>
          <w:spacing w:val="-4"/>
        </w:rPr>
        <w:t>most</w:t>
      </w:r>
      <w:r>
        <w:rPr>
          <w:color w:val="231F20"/>
          <w:spacing w:val="-9"/>
        </w:rPr>
        <w:t> </w:t>
      </w:r>
      <w:r>
        <w:rPr>
          <w:color w:val="231F20"/>
          <w:spacing w:val="-4"/>
        </w:rPr>
        <w:t>of</w:t>
      </w:r>
      <w:r>
        <w:rPr>
          <w:color w:val="231F20"/>
          <w:spacing w:val="-9"/>
        </w:rPr>
        <w:t> </w:t>
      </w:r>
      <w:r>
        <w:rPr>
          <w:color w:val="231F20"/>
          <w:spacing w:val="-4"/>
        </w:rPr>
        <w:t>which</w:t>
      </w:r>
      <w:r>
        <w:rPr>
          <w:color w:val="231F20"/>
          <w:spacing w:val="-9"/>
        </w:rPr>
        <w:t> </w:t>
      </w:r>
      <w:r>
        <w:rPr>
          <w:color w:val="231F20"/>
          <w:spacing w:val="-4"/>
        </w:rPr>
        <w:t>are</w:t>
      </w:r>
      <w:r>
        <w:rPr>
          <w:color w:val="231F20"/>
          <w:spacing w:val="-9"/>
        </w:rPr>
        <w:t> </w:t>
      </w:r>
      <w:r>
        <w:rPr>
          <w:color w:val="231F20"/>
          <w:spacing w:val="-4"/>
        </w:rPr>
        <w:t>in</w:t>
      </w:r>
      <w:r>
        <w:rPr>
          <w:color w:val="231F20"/>
          <w:spacing w:val="-9"/>
        </w:rPr>
        <w:t> </w:t>
      </w:r>
      <w:r>
        <w:rPr>
          <w:color w:val="231F20"/>
          <w:spacing w:val="-4"/>
        </w:rPr>
        <w:t>the</w:t>
      </w:r>
      <w:r>
        <w:rPr>
          <w:color w:val="231F20"/>
          <w:spacing w:val="-9"/>
        </w:rPr>
        <w:t> </w:t>
      </w:r>
      <w:r>
        <w:rPr>
          <w:color w:val="231F20"/>
          <w:spacing w:val="-4"/>
        </w:rPr>
        <w:t>high-income </w:t>
      </w:r>
      <w:r>
        <w:rPr>
          <w:color w:val="231F20"/>
        </w:rPr>
        <w:t>group</w:t>
      </w:r>
      <w:r>
        <w:rPr>
          <w:color w:val="231F20"/>
          <w:spacing w:val="-6"/>
        </w:rPr>
        <w:t> </w:t>
      </w:r>
      <w:r>
        <w:rPr>
          <w:color w:val="231F20"/>
        </w:rPr>
        <w:t>(25</w:t>
      </w:r>
      <w:r>
        <w:rPr>
          <w:color w:val="231F20"/>
          <w:spacing w:val="-6"/>
        </w:rPr>
        <w:t> </w:t>
      </w:r>
      <w:r>
        <w:rPr>
          <w:color w:val="231F20"/>
        </w:rPr>
        <w:t>countries</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top</w:t>
      </w:r>
      <w:r>
        <w:rPr>
          <w:color w:val="231F20"/>
          <w:spacing w:val="-6"/>
        </w:rPr>
        <w:t> </w:t>
      </w:r>
      <w:r>
        <w:rPr>
          <w:color w:val="231F20"/>
        </w:rPr>
        <w:t>quintile).</w:t>
      </w:r>
    </w:p>
    <w:p>
      <w:pPr>
        <w:pStyle w:val="BodyText"/>
        <w:spacing w:before="18"/>
      </w:pPr>
    </w:p>
    <w:p>
      <w:pPr>
        <w:pStyle w:val="Heading2"/>
        <w:spacing w:line="256" w:lineRule="auto"/>
        <w:ind w:left="198" w:right="2817" w:firstLine="300"/>
      </w:pPr>
      <w:r>
        <w:rPr>
          <w:color w:val="231F20"/>
        </w:rPr>
        <w:t>The groups track relative performance for</w:t>
      </w:r>
      <w:r>
        <w:rPr>
          <w:color w:val="231F20"/>
          <w:spacing w:val="-9"/>
        </w:rPr>
        <w:t> </w:t>
      </w:r>
      <w:r>
        <w:rPr>
          <w:color w:val="231F20"/>
        </w:rPr>
        <w:t>the</w:t>
      </w:r>
      <w:r>
        <w:rPr>
          <w:color w:val="231F20"/>
          <w:spacing w:val="-9"/>
        </w:rPr>
        <w:t> </w:t>
      </w:r>
      <w:r>
        <w:rPr>
          <w:color w:val="231F20"/>
        </w:rPr>
        <w:t>set</w:t>
      </w:r>
      <w:r>
        <w:rPr>
          <w:color w:val="231F20"/>
          <w:spacing w:val="-9"/>
        </w:rPr>
        <w:t> </w:t>
      </w:r>
      <w:r>
        <w:rPr>
          <w:color w:val="231F20"/>
        </w:rPr>
        <w:t>of</w:t>
      </w:r>
      <w:r>
        <w:rPr>
          <w:color w:val="231F20"/>
          <w:spacing w:val="-9"/>
        </w:rPr>
        <w:t> </w:t>
      </w:r>
      <w:r>
        <w:rPr>
          <w:color w:val="231F20"/>
        </w:rPr>
        <w:t>countries</w:t>
      </w:r>
      <w:r>
        <w:rPr>
          <w:color w:val="231F20"/>
          <w:spacing w:val="-9"/>
        </w:rPr>
        <w:t> </w:t>
      </w:r>
      <w:r>
        <w:rPr>
          <w:color w:val="231F20"/>
        </w:rPr>
        <w:t>captured</w:t>
      </w:r>
      <w:r>
        <w:rPr>
          <w:color w:val="231F20"/>
          <w:spacing w:val="-9"/>
        </w:rPr>
        <w:t> </w:t>
      </w:r>
      <w:r>
        <w:rPr>
          <w:color w:val="231F20"/>
        </w:rPr>
        <w:t>in</w:t>
      </w:r>
      <w:r>
        <w:rPr>
          <w:color w:val="231F20"/>
          <w:spacing w:val="-9"/>
        </w:rPr>
        <w:t> </w:t>
      </w:r>
      <w:r>
        <w:rPr>
          <w:color w:val="231F20"/>
        </w:rPr>
        <w:t>a</w:t>
      </w:r>
      <w:r>
        <w:rPr>
          <w:color w:val="231F20"/>
          <w:spacing w:val="-9"/>
        </w:rPr>
        <w:t> </w:t>
      </w:r>
      <w:r>
        <w:rPr>
          <w:color w:val="231F20"/>
        </w:rPr>
        <w:t>single year</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LPI.</w:t>
      </w:r>
      <w:r>
        <w:rPr>
          <w:color w:val="231F20"/>
          <w:spacing w:val="-12"/>
        </w:rPr>
        <w:t> </w:t>
      </w:r>
      <w:r>
        <w:rPr>
          <w:color w:val="231F20"/>
        </w:rPr>
        <w:t>As</w:t>
      </w:r>
      <w:r>
        <w:rPr>
          <w:color w:val="231F20"/>
          <w:spacing w:val="-12"/>
        </w:rPr>
        <w:t> </w:t>
      </w:r>
      <w:r>
        <w:rPr>
          <w:color w:val="231F20"/>
        </w:rPr>
        <w:t>a</w:t>
      </w:r>
      <w:r>
        <w:rPr>
          <w:color w:val="231F20"/>
          <w:spacing w:val="-12"/>
        </w:rPr>
        <w:t> </w:t>
      </w:r>
      <w:r>
        <w:rPr>
          <w:color w:val="231F20"/>
        </w:rPr>
        <w:t>result,</w:t>
      </w:r>
      <w:r>
        <w:rPr>
          <w:color w:val="231F20"/>
          <w:spacing w:val="-12"/>
        </w:rPr>
        <w:t> </w:t>
      </w:r>
      <w:r>
        <w:rPr>
          <w:color w:val="231F20"/>
        </w:rPr>
        <w:t>average</w:t>
      </w:r>
      <w:r>
        <w:rPr>
          <w:color w:val="231F20"/>
          <w:spacing w:val="-12"/>
        </w:rPr>
        <w:t> </w:t>
      </w:r>
      <w:r>
        <w:rPr>
          <w:color w:val="231F20"/>
        </w:rPr>
        <w:t>scores </w:t>
      </w:r>
      <w:r>
        <w:rPr>
          <w:color w:val="231F20"/>
          <w:spacing w:val="-4"/>
        </w:rPr>
        <w:t>across</w:t>
      </w:r>
      <w:r>
        <w:rPr>
          <w:color w:val="231F20"/>
          <w:spacing w:val="-9"/>
        </w:rPr>
        <w:t> </w:t>
      </w:r>
      <w:r>
        <w:rPr>
          <w:color w:val="231F20"/>
          <w:spacing w:val="-4"/>
        </w:rPr>
        <w:t>groups</w:t>
      </w:r>
      <w:r>
        <w:rPr>
          <w:color w:val="231F20"/>
          <w:spacing w:val="-9"/>
        </w:rPr>
        <w:t> </w:t>
      </w:r>
      <w:r>
        <w:rPr>
          <w:color w:val="231F20"/>
          <w:spacing w:val="-4"/>
        </w:rPr>
        <w:t>as</w:t>
      </w:r>
      <w:r>
        <w:rPr>
          <w:color w:val="231F20"/>
          <w:spacing w:val="-9"/>
        </w:rPr>
        <w:t> </w:t>
      </w:r>
      <w:r>
        <w:rPr>
          <w:color w:val="231F20"/>
          <w:spacing w:val="-4"/>
        </w:rPr>
        <w:t>well</w:t>
      </w:r>
      <w:r>
        <w:rPr>
          <w:color w:val="231F20"/>
          <w:spacing w:val="-9"/>
        </w:rPr>
        <w:t> </w:t>
      </w:r>
      <w:r>
        <w:rPr>
          <w:color w:val="231F20"/>
          <w:spacing w:val="-4"/>
        </w:rPr>
        <w:t>as</w:t>
      </w:r>
      <w:r>
        <w:rPr>
          <w:color w:val="231F20"/>
          <w:spacing w:val="-9"/>
        </w:rPr>
        <w:t> </w:t>
      </w:r>
      <w:r>
        <w:rPr>
          <w:color w:val="231F20"/>
          <w:spacing w:val="-4"/>
        </w:rPr>
        <w:t>measures</w:t>
      </w:r>
      <w:r>
        <w:rPr>
          <w:color w:val="231F20"/>
          <w:spacing w:val="-9"/>
        </w:rPr>
        <w:t> </w:t>
      </w:r>
      <w:r>
        <w:rPr>
          <w:color w:val="231F20"/>
          <w:spacing w:val="-4"/>
        </w:rPr>
        <w:t>of</w:t>
      </w:r>
      <w:r>
        <w:rPr>
          <w:color w:val="231F20"/>
          <w:spacing w:val="-9"/>
        </w:rPr>
        <w:t> </w:t>
      </w:r>
      <w:r>
        <w:rPr>
          <w:color w:val="231F20"/>
          <w:spacing w:val="-4"/>
        </w:rPr>
        <w:t>disper- </w:t>
      </w:r>
      <w:r>
        <w:rPr>
          <w:color w:val="231F20"/>
          <w:spacing w:val="-8"/>
        </w:rPr>
        <w:t>sion</w:t>
      </w:r>
      <w:r>
        <w:rPr>
          <w:color w:val="231F20"/>
          <w:spacing w:val="-3"/>
        </w:rPr>
        <w:t> </w:t>
      </w:r>
      <w:r>
        <w:rPr>
          <w:color w:val="231F20"/>
          <w:spacing w:val="-8"/>
        </w:rPr>
        <w:t>within</w:t>
      </w:r>
      <w:r>
        <w:rPr>
          <w:color w:val="231F20"/>
          <w:spacing w:val="-3"/>
        </w:rPr>
        <w:t> </w:t>
      </w:r>
      <w:r>
        <w:rPr>
          <w:color w:val="231F20"/>
          <w:spacing w:val="-8"/>
        </w:rPr>
        <w:t>and</w:t>
      </w:r>
      <w:r>
        <w:rPr>
          <w:color w:val="231F20"/>
          <w:spacing w:val="-3"/>
        </w:rPr>
        <w:t> </w:t>
      </w:r>
      <w:r>
        <w:rPr>
          <w:color w:val="231F20"/>
          <w:spacing w:val="-8"/>
        </w:rPr>
        <w:t>across</w:t>
      </w:r>
      <w:r>
        <w:rPr>
          <w:color w:val="231F20"/>
          <w:spacing w:val="-3"/>
        </w:rPr>
        <w:t> </w:t>
      </w:r>
      <w:r>
        <w:rPr>
          <w:color w:val="231F20"/>
          <w:spacing w:val="-8"/>
        </w:rPr>
        <w:t>groups</w:t>
      </w:r>
      <w:r>
        <w:rPr>
          <w:color w:val="231F20"/>
          <w:spacing w:val="-3"/>
        </w:rPr>
        <w:t> </w:t>
      </w:r>
      <w:r>
        <w:rPr>
          <w:color w:val="231F20"/>
          <w:spacing w:val="-8"/>
        </w:rPr>
        <w:t>can</w:t>
      </w:r>
      <w:r>
        <w:rPr>
          <w:color w:val="231F20"/>
          <w:spacing w:val="-3"/>
        </w:rPr>
        <w:t> </w:t>
      </w:r>
      <w:r>
        <w:rPr>
          <w:color w:val="231F20"/>
          <w:spacing w:val="-8"/>
        </w:rPr>
        <w:t>be</w:t>
      </w:r>
      <w:r>
        <w:rPr>
          <w:color w:val="231F20"/>
          <w:spacing w:val="-3"/>
        </w:rPr>
        <w:t> </w:t>
      </w:r>
      <w:r>
        <w:rPr>
          <w:color w:val="231F20"/>
          <w:spacing w:val="-8"/>
        </w:rPr>
        <w:t>relevant </w:t>
      </w:r>
      <w:r>
        <w:rPr>
          <w:color w:val="231F20"/>
          <w:spacing w:val="-2"/>
        </w:rPr>
        <w:t>to</w:t>
      </w:r>
      <w:r>
        <w:rPr>
          <w:color w:val="231F20"/>
          <w:spacing w:val="-11"/>
        </w:rPr>
        <w:t> </w:t>
      </w:r>
      <w:r>
        <w:rPr>
          <w:color w:val="231F20"/>
          <w:spacing w:val="-2"/>
        </w:rPr>
        <w:t>understanding</w:t>
      </w:r>
      <w:r>
        <w:rPr>
          <w:color w:val="231F20"/>
          <w:spacing w:val="-11"/>
        </w:rPr>
        <w:t> </w:t>
      </w:r>
      <w:r>
        <w:rPr>
          <w:color w:val="231F20"/>
          <w:spacing w:val="-2"/>
        </w:rPr>
        <w:t>how</w:t>
      </w:r>
      <w:r>
        <w:rPr>
          <w:color w:val="231F20"/>
          <w:spacing w:val="-11"/>
        </w:rPr>
        <w:t> </w:t>
      </w:r>
      <w:r>
        <w:rPr>
          <w:color w:val="231F20"/>
          <w:spacing w:val="-2"/>
        </w:rPr>
        <w:t>countries</w:t>
      </w:r>
      <w:r>
        <w:rPr>
          <w:color w:val="231F20"/>
          <w:spacing w:val="-11"/>
        </w:rPr>
        <w:t> </w:t>
      </w:r>
      <w:r>
        <w:rPr>
          <w:color w:val="231F20"/>
          <w:spacing w:val="-2"/>
        </w:rPr>
        <w:t>compare</w:t>
      </w:r>
      <w:r>
        <w:rPr>
          <w:color w:val="231F20"/>
          <w:spacing w:val="-11"/>
        </w:rPr>
        <w:t> </w:t>
      </w:r>
      <w:r>
        <w:rPr>
          <w:color w:val="231F20"/>
          <w:spacing w:val="-2"/>
        </w:rPr>
        <w:t>in </w:t>
      </w:r>
      <w:r>
        <w:rPr>
          <w:color w:val="231F20"/>
          <w:spacing w:val="-4"/>
        </w:rPr>
        <w:t>a</w:t>
      </w:r>
      <w:r>
        <w:rPr>
          <w:color w:val="231F20"/>
          <w:spacing w:val="-8"/>
        </w:rPr>
        <w:t> </w:t>
      </w:r>
      <w:r>
        <w:rPr>
          <w:color w:val="231F20"/>
          <w:spacing w:val="-4"/>
        </w:rPr>
        <w:t>single</w:t>
      </w:r>
      <w:r>
        <w:rPr>
          <w:color w:val="231F20"/>
          <w:spacing w:val="-8"/>
        </w:rPr>
        <w:t> </w:t>
      </w:r>
      <w:r>
        <w:rPr>
          <w:color w:val="231F20"/>
          <w:spacing w:val="-4"/>
        </w:rPr>
        <w:t>year.</w:t>
      </w:r>
      <w:r>
        <w:rPr>
          <w:color w:val="231F20"/>
          <w:spacing w:val="-8"/>
        </w:rPr>
        <w:t> </w:t>
      </w:r>
      <w:r>
        <w:rPr>
          <w:color w:val="231F20"/>
          <w:spacing w:val="-4"/>
        </w:rPr>
        <w:t>Country</w:t>
      </w:r>
      <w:r>
        <w:rPr>
          <w:color w:val="231F20"/>
          <w:spacing w:val="-8"/>
        </w:rPr>
        <w:t> </w:t>
      </w:r>
      <w:r>
        <w:rPr>
          <w:color w:val="231F20"/>
          <w:spacing w:val="-4"/>
        </w:rPr>
        <w:t>scores</w:t>
      </w:r>
      <w:r>
        <w:rPr>
          <w:color w:val="231F20"/>
          <w:spacing w:val="-8"/>
        </w:rPr>
        <w:t> </w:t>
      </w:r>
      <w:r>
        <w:rPr>
          <w:color w:val="231F20"/>
          <w:spacing w:val="-4"/>
        </w:rPr>
        <w:t>are</w:t>
      </w:r>
      <w:r>
        <w:rPr>
          <w:color w:val="231F20"/>
          <w:spacing w:val="-8"/>
        </w:rPr>
        <w:t> </w:t>
      </w:r>
      <w:r>
        <w:rPr>
          <w:color w:val="231F20"/>
          <w:spacing w:val="-4"/>
        </w:rPr>
        <w:t>bunched</w:t>
      </w:r>
      <w:r>
        <w:rPr>
          <w:color w:val="231F20"/>
          <w:spacing w:val="-8"/>
        </w:rPr>
        <w:t> </w:t>
      </w:r>
      <w:r>
        <w:rPr>
          <w:color w:val="231F20"/>
          <w:spacing w:val="-4"/>
        </w:rPr>
        <w:t>at </w:t>
      </w:r>
      <w:r>
        <w:rPr>
          <w:color w:val="231F20"/>
          <w:spacing w:val="-6"/>
        </w:rPr>
        <w:t>the low and middle ranges (corresponding to the</w:t>
      </w:r>
      <w:r>
        <w:rPr>
          <w:color w:val="231F20"/>
          <w:spacing w:val="-8"/>
        </w:rPr>
        <w:t> </w:t>
      </w:r>
      <w:r>
        <w:rPr>
          <w:color w:val="231F20"/>
          <w:spacing w:val="-6"/>
        </w:rPr>
        <w:t>bottom</w:t>
      </w:r>
      <w:r>
        <w:rPr>
          <w:color w:val="231F20"/>
          <w:spacing w:val="-8"/>
        </w:rPr>
        <w:t> </w:t>
      </w:r>
      <w:r>
        <w:rPr>
          <w:color w:val="231F20"/>
          <w:spacing w:val="-6"/>
        </w:rPr>
        <w:t>three</w:t>
      </w:r>
      <w:r>
        <w:rPr>
          <w:color w:val="231F20"/>
          <w:spacing w:val="-8"/>
        </w:rPr>
        <w:t> </w:t>
      </w:r>
      <w:r>
        <w:rPr>
          <w:color w:val="231F20"/>
          <w:spacing w:val="-6"/>
        </w:rPr>
        <w:t>quintiles)—a</w:t>
      </w:r>
      <w:r>
        <w:rPr>
          <w:color w:val="231F20"/>
          <w:spacing w:val="-7"/>
        </w:rPr>
        <w:t> </w:t>
      </w:r>
      <w:r>
        <w:rPr>
          <w:color w:val="231F20"/>
          <w:spacing w:val="-6"/>
        </w:rPr>
        <w:t>key</w:t>
      </w:r>
      <w:r>
        <w:rPr>
          <w:color w:val="231F20"/>
          <w:spacing w:val="-8"/>
        </w:rPr>
        <w:t> </w:t>
      </w:r>
      <w:r>
        <w:rPr>
          <w:color w:val="231F20"/>
          <w:spacing w:val="-6"/>
        </w:rPr>
        <w:t>reason</w:t>
      </w:r>
      <w:r>
        <w:rPr>
          <w:color w:val="231F20"/>
          <w:spacing w:val="-8"/>
        </w:rPr>
        <w:t> </w:t>
      </w:r>
      <w:r>
        <w:rPr>
          <w:color w:val="231F20"/>
          <w:spacing w:val="-6"/>
        </w:rPr>
        <w:t>for the</w:t>
      </w:r>
      <w:r>
        <w:rPr>
          <w:color w:val="231F20"/>
          <w:spacing w:val="-8"/>
        </w:rPr>
        <w:t> </w:t>
      </w:r>
      <w:r>
        <w:rPr>
          <w:color w:val="231F20"/>
          <w:spacing w:val="-6"/>
        </w:rPr>
        <w:t>change</w:t>
      </w:r>
      <w:r>
        <w:rPr>
          <w:color w:val="231F20"/>
          <w:spacing w:val="-8"/>
        </w:rPr>
        <w:t> </w:t>
      </w:r>
      <w:r>
        <w:rPr>
          <w:color w:val="231F20"/>
          <w:spacing w:val="-6"/>
        </w:rPr>
        <w:t>in</w:t>
      </w:r>
      <w:r>
        <w:rPr>
          <w:color w:val="231F20"/>
          <w:spacing w:val="-8"/>
        </w:rPr>
        <w:t> </w:t>
      </w:r>
      <w:r>
        <w:rPr>
          <w:color w:val="231F20"/>
          <w:spacing w:val="-6"/>
        </w:rPr>
        <w:t>reporting</w:t>
      </w:r>
      <w:r>
        <w:rPr>
          <w:color w:val="231F20"/>
          <w:spacing w:val="-7"/>
        </w:rPr>
        <w:t> </w:t>
      </w:r>
      <w:r>
        <w:rPr>
          <w:color w:val="231F20"/>
          <w:spacing w:val="-6"/>
        </w:rPr>
        <w:t>practice</w:t>
      </w:r>
      <w:r>
        <w:rPr>
          <w:color w:val="231F20"/>
          <w:spacing w:val="-8"/>
        </w:rPr>
        <w:t> </w:t>
      </w:r>
      <w:r>
        <w:rPr>
          <w:color w:val="231F20"/>
          <w:spacing w:val="-6"/>
        </w:rPr>
        <w:t>with</w:t>
      </w:r>
      <w:r>
        <w:rPr>
          <w:color w:val="231F20"/>
          <w:spacing w:val="-8"/>
        </w:rPr>
        <w:t> </w:t>
      </w:r>
      <w:r>
        <w:rPr>
          <w:color w:val="231F20"/>
          <w:spacing w:val="-6"/>
        </w:rPr>
        <w:t>this</w:t>
      </w:r>
      <w:r>
        <w:rPr>
          <w:color w:val="231F20"/>
          <w:spacing w:val="-8"/>
        </w:rPr>
        <w:t> </w:t>
      </w:r>
      <w:r>
        <w:rPr>
          <w:color w:val="231F20"/>
          <w:spacing w:val="-6"/>
        </w:rPr>
        <w:t>edi- </w:t>
      </w:r>
      <w:r>
        <w:rPr>
          <w:color w:val="231F20"/>
          <w:spacing w:val="-8"/>
        </w:rPr>
        <w:t>tion</w:t>
      </w:r>
      <w:r>
        <w:rPr>
          <w:color w:val="231F20"/>
          <w:spacing w:val="-1"/>
        </w:rPr>
        <w:t> </w:t>
      </w:r>
      <w:r>
        <w:rPr>
          <w:color w:val="231F20"/>
          <w:spacing w:val="-8"/>
        </w:rPr>
        <w:t>(figure</w:t>
      </w:r>
      <w:r>
        <w:rPr>
          <w:color w:val="231F20"/>
          <w:spacing w:val="-1"/>
        </w:rPr>
        <w:t> </w:t>
      </w:r>
      <w:r>
        <w:rPr>
          <w:color w:val="231F20"/>
          <w:spacing w:val="-8"/>
        </w:rPr>
        <w:t>2.1).</w:t>
      </w:r>
      <w:r>
        <w:rPr>
          <w:color w:val="231F20"/>
          <w:spacing w:val="-1"/>
        </w:rPr>
        <w:t> </w:t>
      </w:r>
      <w:r>
        <w:rPr>
          <w:color w:val="231F20"/>
          <w:spacing w:val="-8"/>
        </w:rPr>
        <w:t>When</w:t>
      </w:r>
      <w:r>
        <w:rPr>
          <w:color w:val="231F20"/>
          <w:spacing w:val="-1"/>
        </w:rPr>
        <w:t> </w:t>
      </w:r>
      <w:r>
        <w:rPr>
          <w:color w:val="231F20"/>
          <w:spacing w:val="-8"/>
        </w:rPr>
        <w:t>countries</w:t>
      </w:r>
      <w:r>
        <w:rPr>
          <w:color w:val="231F20"/>
          <w:spacing w:val="-1"/>
        </w:rPr>
        <w:t> </w:t>
      </w:r>
      <w:r>
        <w:rPr>
          <w:color w:val="231F20"/>
          <w:spacing w:val="-8"/>
        </w:rPr>
        <w:t>are</w:t>
      </w:r>
      <w:r>
        <w:rPr>
          <w:color w:val="231F20"/>
          <w:spacing w:val="-1"/>
        </w:rPr>
        <w:t> </w:t>
      </w:r>
      <w:r>
        <w:rPr>
          <w:color w:val="231F20"/>
          <w:spacing w:val="-8"/>
        </w:rPr>
        <w:t>grouped </w:t>
      </w:r>
      <w:r>
        <w:rPr>
          <w:color w:val="231F20"/>
          <w:spacing w:val="-2"/>
          <w:w w:val="90"/>
        </w:rPr>
        <w:t>closely, it</w:t>
      </w:r>
      <w:r>
        <w:rPr>
          <w:color w:val="231F20"/>
          <w:spacing w:val="-3"/>
          <w:w w:val="90"/>
        </w:rPr>
        <w:t> </w:t>
      </w:r>
      <w:r>
        <w:rPr>
          <w:color w:val="231F20"/>
          <w:spacing w:val="-2"/>
          <w:w w:val="90"/>
        </w:rPr>
        <w:t>is more informative</w:t>
      </w:r>
      <w:r>
        <w:rPr>
          <w:color w:val="231F20"/>
          <w:spacing w:val="-3"/>
          <w:w w:val="90"/>
        </w:rPr>
        <w:t> </w:t>
      </w:r>
      <w:r>
        <w:rPr>
          <w:color w:val="231F20"/>
          <w:spacing w:val="-2"/>
          <w:w w:val="90"/>
        </w:rPr>
        <w:t>for policymakers </w:t>
      </w:r>
      <w:r>
        <w:rPr>
          <w:color w:val="231F20"/>
          <w:spacing w:val="-2"/>
        </w:rPr>
        <w:t>to</w:t>
      </w:r>
      <w:r>
        <w:rPr>
          <w:color w:val="231F20"/>
          <w:spacing w:val="-8"/>
        </w:rPr>
        <w:t> </w:t>
      </w:r>
      <w:r>
        <w:rPr>
          <w:color w:val="231F20"/>
          <w:spacing w:val="-2"/>
        </w:rPr>
        <w:t>focus</w:t>
      </w:r>
      <w:r>
        <w:rPr>
          <w:color w:val="231F20"/>
          <w:spacing w:val="-8"/>
        </w:rPr>
        <w:t> </w:t>
      </w:r>
      <w:r>
        <w:rPr>
          <w:color w:val="231F20"/>
          <w:spacing w:val="-2"/>
        </w:rPr>
        <w:t>on</w:t>
      </w:r>
      <w:r>
        <w:rPr>
          <w:color w:val="231F20"/>
          <w:spacing w:val="-8"/>
        </w:rPr>
        <w:t> </w:t>
      </w:r>
      <w:r>
        <w:rPr>
          <w:color w:val="231F20"/>
          <w:spacing w:val="-2"/>
        </w:rPr>
        <w:t>broadly</w:t>
      </w:r>
      <w:r>
        <w:rPr>
          <w:color w:val="231F20"/>
          <w:spacing w:val="-8"/>
        </w:rPr>
        <w:t> </w:t>
      </w:r>
      <w:r>
        <w:rPr>
          <w:color w:val="231F20"/>
          <w:spacing w:val="-2"/>
        </w:rPr>
        <w:t>defined</w:t>
      </w:r>
      <w:r>
        <w:rPr>
          <w:color w:val="231F20"/>
          <w:spacing w:val="-8"/>
        </w:rPr>
        <w:t> </w:t>
      </w:r>
      <w:r>
        <w:rPr>
          <w:color w:val="231F20"/>
          <w:spacing w:val="-2"/>
        </w:rPr>
        <w:t>country</w:t>
      </w:r>
      <w:r>
        <w:rPr>
          <w:color w:val="231F20"/>
          <w:spacing w:val="-8"/>
        </w:rPr>
        <w:t> </w:t>
      </w:r>
      <w:r>
        <w:rPr>
          <w:color w:val="231F20"/>
          <w:spacing w:val="-2"/>
        </w:rPr>
        <w:t>groups </w:t>
      </w:r>
      <w:r>
        <w:rPr>
          <w:color w:val="231F20"/>
          <w:spacing w:val="-4"/>
        </w:rPr>
        <w:t>than</w:t>
      </w:r>
      <w:r>
        <w:rPr>
          <w:color w:val="231F20"/>
          <w:spacing w:val="-10"/>
        </w:rPr>
        <w:t> </w:t>
      </w:r>
      <w:r>
        <w:rPr>
          <w:color w:val="231F20"/>
          <w:spacing w:val="-4"/>
        </w:rPr>
        <w:t>on</w:t>
      </w:r>
      <w:r>
        <w:rPr>
          <w:color w:val="231F20"/>
          <w:spacing w:val="-10"/>
        </w:rPr>
        <w:t> </w:t>
      </w:r>
      <w:r>
        <w:rPr>
          <w:color w:val="231F20"/>
          <w:spacing w:val="-4"/>
        </w:rPr>
        <w:t>individual</w:t>
      </w:r>
      <w:r>
        <w:rPr>
          <w:color w:val="231F20"/>
          <w:spacing w:val="-10"/>
        </w:rPr>
        <w:t> </w:t>
      </w:r>
      <w:r>
        <w:rPr>
          <w:color w:val="231F20"/>
          <w:spacing w:val="-4"/>
        </w:rPr>
        <w:t>country</w:t>
      </w:r>
      <w:r>
        <w:rPr>
          <w:color w:val="231F20"/>
          <w:spacing w:val="-10"/>
        </w:rPr>
        <w:t> </w:t>
      </w:r>
      <w:r>
        <w:rPr>
          <w:color w:val="231F20"/>
          <w:spacing w:val="-4"/>
        </w:rPr>
        <w:t>scores</w:t>
      </w:r>
      <w:r>
        <w:rPr>
          <w:color w:val="231F20"/>
          <w:spacing w:val="-10"/>
        </w:rPr>
        <w:t> </w:t>
      </w:r>
      <w:r>
        <w:rPr>
          <w:color w:val="231F20"/>
          <w:spacing w:val="-4"/>
        </w:rPr>
        <w:t>and</w:t>
      </w:r>
      <w:r>
        <w:rPr>
          <w:color w:val="231F20"/>
          <w:spacing w:val="-10"/>
        </w:rPr>
        <w:t> </w:t>
      </w:r>
      <w:r>
        <w:rPr>
          <w:color w:val="231F20"/>
          <w:spacing w:val="-4"/>
        </w:rPr>
        <w:t>ranks.</w:t>
      </w:r>
    </w:p>
    <w:p>
      <w:pPr>
        <w:spacing w:after="0" w:line="256" w:lineRule="auto"/>
        <w:sectPr>
          <w:type w:val="continuous"/>
          <w:pgSz w:w="12240" w:h="15840"/>
          <w:pgMar w:header="370" w:footer="548" w:top="1140" w:bottom="280" w:left="0" w:right="540"/>
          <w:cols w:num="2" w:equalWidth="0">
            <w:col w:w="4922" w:space="40"/>
            <w:col w:w="6738"/>
          </w:cols>
        </w:sectPr>
      </w:pPr>
    </w:p>
    <w:p>
      <w:pPr>
        <w:pStyle w:val="BodyText"/>
        <w:rPr>
          <w:sz w:val="20"/>
        </w:rPr>
      </w:pPr>
    </w:p>
    <w:p>
      <w:pPr>
        <w:pStyle w:val="BodyText"/>
        <w:rPr>
          <w:sz w:val="20"/>
        </w:rPr>
      </w:pPr>
    </w:p>
    <w:p>
      <w:pPr>
        <w:pStyle w:val="BodyText"/>
        <w:spacing w:before="140"/>
        <w:rPr>
          <w:sz w:val="20"/>
        </w:rPr>
      </w:pPr>
    </w:p>
    <w:p>
      <w:pPr>
        <w:pStyle w:val="BodyText"/>
        <w:ind w:left="3360"/>
        <w:rPr>
          <w:sz w:val="20"/>
        </w:rPr>
      </w:pPr>
      <w:r>
        <w:rPr>
          <w:sz w:val="20"/>
        </w:rPr>
        <mc:AlternateContent>
          <mc:Choice Requires="wps">
            <w:drawing>
              <wp:inline distT="0" distB="0" distL="0" distR="0">
                <wp:extent cx="4877435" cy="3192780"/>
                <wp:effectExtent l="0" t="9525" r="0" b="7619"/>
                <wp:docPr id="521" name="Group 521"/>
                <wp:cNvGraphicFramePr>
                  <a:graphicFrameLocks/>
                </wp:cNvGraphicFramePr>
                <a:graphic>
                  <a:graphicData uri="http://schemas.microsoft.com/office/word/2010/wordprocessingGroup">
                    <wpg:wgp>
                      <wpg:cNvPr id="521" name="Group 521"/>
                      <wpg:cNvGrpSpPr/>
                      <wpg:grpSpPr>
                        <a:xfrm>
                          <a:off x="0" y="0"/>
                          <a:ext cx="4877435" cy="3192780"/>
                          <a:chExt cx="4877435" cy="3192780"/>
                        </a:xfrm>
                      </wpg:grpSpPr>
                      <wps:wsp>
                        <wps:cNvPr id="522" name="Graphic 522"/>
                        <wps:cNvSpPr/>
                        <wps:spPr>
                          <a:xfrm>
                            <a:off x="198" y="385093"/>
                            <a:ext cx="4876800" cy="2807335"/>
                          </a:xfrm>
                          <a:custGeom>
                            <a:avLst/>
                            <a:gdLst/>
                            <a:ahLst/>
                            <a:cxnLst/>
                            <a:rect l="l" t="t" r="r" b="b"/>
                            <a:pathLst>
                              <a:path w="4876800" h="2807335">
                                <a:moveTo>
                                  <a:pt x="4876800" y="0"/>
                                </a:moveTo>
                                <a:lnTo>
                                  <a:pt x="0" y="0"/>
                                </a:lnTo>
                                <a:lnTo>
                                  <a:pt x="0" y="2732405"/>
                                </a:lnTo>
                                <a:lnTo>
                                  <a:pt x="6159" y="2761503"/>
                                </a:lnTo>
                                <a:lnTo>
                                  <a:pt x="22693" y="2785263"/>
                                </a:lnTo>
                                <a:lnTo>
                                  <a:pt x="46682" y="2801283"/>
                                </a:lnTo>
                                <a:lnTo>
                                  <a:pt x="75209" y="2807157"/>
                                </a:lnTo>
                                <a:lnTo>
                                  <a:pt x="4797920" y="2807157"/>
                                </a:lnTo>
                                <a:lnTo>
                                  <a:pt x="4827020" y="2801902"/>
                                </a:lnTo>
                                <a:lnTo>
                                  <a:pt x="4852271" y="2786916"/>
                                </a:lnTo>
                                <a:lnTo>
                                  <a:pt x="4870066" y="2763362"/>
                                </a:lnTo>
                                <a:lnTo>
                                  <a:pt x="4876800" y="2732405"/>
                                </a:lnTo>
                                <a:lnTo>
                                  <a:pt x="4876800" y="0"/>
                                </a:lnTo>
                                <a:close/>
                              </a:path>
                            </a:pathLst>
                          </a:custGeom>
                          <a:solidFill>
                            <a:srgbClr val="DFEAF7"/>
                          </a:solidFill>
                        </wps:spPr>
                        <wps:bodyPr wrap="square" lIns="0" tIns="0" rIns="0" bIns="0" rtlCol="0">
                          <a:prstTxWarp prst="textNoShape">
                            <a:avLst/>
                          </a:prstTxWarp>
                          <a:noAutofit/>
                        </wps:bodyPr>
                      </wps:wsp>
                      <wps:wsp>
                        <wps:cNvPr id="523" name="Graphic 523"/>
                        <wps:cNvSpPr/>
                        <wps:spPr>
                          <a:xfrm>
                            <a:off x="0" y="0"/>
                            <a:ext cx="512445" cy="358775"/>
                          </a:xfrm>
                          <a:custGeom>
                            <a:avLst/>
                            <a:gdLst/>
                            <a:ahLst/>
                            <a:cxnLst/>
                            <a:rect l="l" t="t" r="r" b="b"/>
                            <a:pathLst>
                              <a:path w="512445" h="358775">
                                <a:moveTo>
                                  <a:pt x="512178" y="0"/>
                                </a:moveTo>
                                <a:lnTo>
                                  <a:pt x="76200" y="0"/>
                                </a:lnTo>
                                <a:lnTo>
                                  <a:pt x="47213" y="3058"/>
                                </a:lnTo>
                                <a:lnTo>
                                  <a:pt x="22917" y="14506"/>
                                </a:lnTo>
                                <a:lnTo>
                                  <a:pt x="6212" y="37751"/>
                                </a:lnTo>
                                <a:lnTo>
                                  <a:pt x="0" y="76200"/>
                                </a:lnTo>
                                <a:lnTo>
                                  <a:pt x="0" y="358775"/>
                                </a:lnTo>
                                <a:lnTo>
                                  <a:pt x="512178" y="358775"/>
                                </a:lnTo>
                                <a:lnTo>
                                  <a:pt x="512178" y="0"/>
                                </a:lnTo>
                                <a:close/>
                              </a:path>
                            </a:pathLst>
                          </a:custGeom>
                          <a:solidFill>
                            <a:srgbClr val="008FDD"/>
                          </a:solidFill>
                        </wps:spPr>
                        <wps:bodyPr wrap="square" lIns="0" tIns="0" rIns="0" bIns="0" rtlCol="0">
                          <a:prstTxWarp prst="textNoShape">
                            <a:avLst/>
                          </a:prstTxWarp>
                          <a:noAutofit/>
                        </wps:bodyPr>
                      </wps:wsp>
                      <wps:wsp>
                        <wps:cNvPr id="524" name="Graphic 524"/>
                        <wps:cNvSpPr/>
                        <wps:spPr>
                          <a:xfrm>
                            <a:off x="512178" y="0"/>
                            <a:ext cx="4364355" cy="358775"/>
                          </a:xfrm>
                          <a:custGeom>
                            <a:avLst/>
                            <a:gdLst/>
                            <a:ahLst/>
                            <a:cxnLst/>
                            <a:rect l="l" t="t" r="r" b="b"/>
                            <a:pathLst>
                              <a:path w="4364355" h="358775">
                                <a:moveTo>
                                  <a:pt x="4287926" y="0"/>
                                </a:moveTo>
                                <a:lnTo>
                                  <a:pt x="0" y="0"/>
                                </a:lnTo>
                                <a:lnTo>
                                  <a:pt x="0" y="358775"/>
                                </a:lnTo>
                                <a:lnTo>
                                  <a:pt x="4364126" y="358775"/>
                                </a:lnTo>
                                <a:lnTo>
                                  <a:pt x="4364126" y="76200"/>
                                </a:lnTo>
                                <a:lnTo>
                                  <a:pt x="4358620" y="50979"/>
                                </a:lnTo>
                                <a:lnTo>
                                  <a:pt x="4343095" y="26265"/>
                                </a:lnTo>
                                <a:lnTo>
                                  <a:pt x="4319035" y="7468"/>
                                </a:lnTo>
                                <a:lnTo>
                                  <a:pt x="4287926" y="0"/>
                                </a:lnTo>
                                <a:close/>
                              </a:path>
                            </a:pathLst>
                          </a:custGeom>
                          <a:solidFill>
                            <a:srgbClr val="808285"/>
                          </a:solidFill>
                        </wps:spPr>
                        <wps:bodyPr wrap="square" lIns="0" tIns="0" rIns="0" bIns="0" rtlCol="0">
                          <a:prstTxWarp prst="textNoShape">
                            <a:avLst/>
                          </a:prstTxWarp>
                          <a:noAutofit/>
                        </wps:bodyPr>
                      </wps:wsp>
                      <wps:wsp>
                        <wps:cNvPr id="525" name="Graphic 525"/>
                        <wps:cNvSpPr/>
                        <wps:spPr>
                          <a:xfrm>
                            <a:off x="512179" y="0"/>
                            <a:ext cx="1270" cy="367665"/>
                          </a:xfrm>
                          <a:custGeom>
                            <a:avLst/>
                            <a:gdLst/>
                            <a:ahLst/>
                            <a:cxnLst/>
                            <a:rect l="l" t="t" r="r" b="b"/>
                            <a:pathLst>
                              <a:path w="0" h="367665">
                                <a:moveTo>
                                  <a:pt x="0" y="0"/>
                                </a:moveTo>
                                <a:lnTo>
                                  <a:pt x="0" y="367487"/>
                                </a:lnTo>
                              </a:path>
                            </a:pathLst>
                          </a:custGeom>
                          <a:ln w="25400">
                            <a:solidFill>
                              <a:srgbClr val="FFFFFF"/>
                            </a:solidFill>
                            <a:prstDash val="solid"/>
                          </a:ln>
                        </wps:spPr>
                        <wps:bodyPr wrap="square" lIns="0" tIns="0" rIns="0" bIns="0" rtlCol="0">
                          <a:prstTxWarp prst="textNoShape">
                            <a:avLst/>
                          </a:prstTxWarp>
                          <a:noAutofit/>
                        </wps:bodyPr>
                      </wps:wsp>
                      <wps:wsp>
                        <wps:cNvPr id="526" name="Graphic 526"/>
                        <wps:cNvSpPr/>
                        <wps:spPr>
                          <a:xfrm>
                            <a:off x="274403" y="2486124"/>
                            <a:ext cx="4458335" cy="1270"/>
                          </a:xfrm>
                          <a:custGeom>
                            <a:avLst/>
                            <a:gdLst/>
                            <a:ahLst/>
                            <a:cxnLst/>
                            <a:rect l="l" t="t" r="r" b="b"/>
                            <a:pathLst>
                              <a:path w="4458335" h="0">
                                <a:moveTo>
                                  <a:pt x="0" y="0"/>
                                </a:moveTo>
                                <a:lnTo>
                                  <a:pt x="4458093" y="0"/>
                                </a:lnTo>
                              </a:path>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527" name="Graphic 527"/>
                        <wps:cNvSpPr/>
                        <wps:spPr>
                          <a:xfrm>
                            <a:off x="274403" y="1139657"/>
                            <a:ext cx="4458335" cy="897890"/>
                          </a:xfrm>
                          <a:custGeom>
                            <a:avLst/>
                            <a:gdLst/>
                            <a:ahLst/>
                            <a:cxnLst/>
                            <a:rect l="l" t="t" r="r" b="b"/>
                            <a:pathLst>
                              <a:path w="4458335" h="897890">
                                <a:moveTo>
                                  <a:pt x="0" y="897644"/>
                                </a:moveTo>
                                <a:lnTo>
                                  <a:pt x="1246205" y="897644"/>
                                </a:lnTo>
                              </a:path>
                              <a:path w="4458335" h="897890">
                                <a:moveTo>
                                  <a:pt x="3434783" y="897644"/>
                                </a:moveTo>
                                <a:lnTo>
                                  <a:pt x="4458093" y="897644"/>
                                </a:lnTo>
                              </a:path>
                              <a:path w="4458335" h="897890">
                                <a:moveTo>
                                  <a:pt x="0" y="448821"/>
                                </a:moveTo>
                                <a:lnTo>
                                  <a:pt x="1489397" y="448821"/>
                                </a:lnTo>
                              </a:path>
                              <a:path w="4458335" h="897890">
                                <a:moveTo>
                                  <a:pt x="1975794" y="448821"/>
                                </a:moveTo>
                                <a:lnTo>
                                  <a:pt x="2218974" y="448821"/>
                                </a:lnTo>
                              </a:path>
                              <a:path w="4458335" h="897890">
                                <a:moveTo>
                                  <a:pt x="2462166" y="448821"/>
                                </a:moveTo>
                                <a:lnTo>
                                  <a:pt x="4458093" y="448821"/>
                                </a:lnTo>
                              </a:path>
                              <a:path w="4458335" h="897890">
                                <a:moveTo>
                                  <a:pt x="0" y="0"/>
                                </a:moveTo>
                                <a:lnTo>
                                  <a:pt x="1489397" y="0"/>
                                </a:lnTo>
                              </a:path>
                              <a:path w="4458335" h="897890">
                                <a:moveTo>
                                  <a:pt x="1732589"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528" name="Graphic 528"/>
                        <wps:cNvSpPr/>
                        <wps:spPr>
                          <a:xfrm>
                            <a:off x="274403" y="690835"/>
                            <a:ext cx="4458335" cy="1270"/>
                          </a:xfrm>
                          <a:custGeom>
                            <a:avLst/>
                            <a:gdLst/>
                            <a:ahLst/>
                            <a:cxnLst/>
                            <a:rect l="l" t="t" r="r" b="b"/>
                            <a:pathLst>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529" name="Graphic 529"/>
                        <wps:cNvSpPr/>
                        <wps:spPr>
                          <a:xfrm>
                            <a:off x="273893" y="2486124"/>
                            <a:ext cx="4415790" cy="1270"/>
                          </a:xfrm>
                          <a:custGeom>
                            <a:avLst/>
                            <a:gdLst/>
                            <a:ahLst/>
                            <a:cxnLst/>
                            <a:rect l="l" t="t" r="r" b="b"/>
                            <a:pathLst>
                              <a:path w="4415790" h="0">
                                <a:moveTo>
                                  <a:pt x="0" y="0"/>
                                </a:moveTo>
                                <a:lnTo>
                                  <a:pt x="4415764" y="0"/>
                                </a:lnTo>
                              </a:path>
                            </a:pathLst>
                          </a:custGeom>
                          <a:ln w="6350">
                            <a:solidFill>
                              <a:srgbClr val="FFFFFF"/>
                            </a:solidFill>
                            <a:prstDash val="solid"/>
                          </a:ln>
                        </wps:spPr>
                        <wps:bodyPr wrap="square" lIns="0" tIns="0" rIns="0" bIns="0" rtlCol="0">
                          <a:prstTxWarp prst="textNoShape">
                            <a:avLst/>
                          </a:prstTxWarp>
                          <a:noAutofit/>
                        </wps:bodyPr>
                      </wps:wsp>
                      <wps:wsp>
                        <wps:cNvPr id="530" name="Graphic 530"/>
                        <wps:cNvSpPr/>
                        <wps:spPr>
                          <a:xfrm>
                            <a:off x="1277404" y="2098624"/>
                            <a:ext cx="243204" cy="387985"/>
                          </a:xfrm>
                          <a:custGeom>
                            <a:avLst/>
                            <a:gdLst/>
                            <a:ahLst/>
                            <a:cxnLst/>
                            <a:rect l="l" t="t" r="r" b="b"/>
                            <a:pathLst>
                              <a:path w="243204" h="387985">
                                <a:moveTo>
                                  <a:pt x="243192" y="0"/>
                                </a:moveTo>
                                <a:lnTo>
                                  <a:pt x="0" y="0"/>
                                </a:lnTo>
                                <a:lnTo>
                                  <a:pt x="0" y="387489"/>
                                </a:lnTo>
                                <a:lnTo>
                                  <a:pt x="243192" y="387489"/>
                                </a:lnTo>
                                <a:lnTo>
                                  <a:pt x="243192" y="0"/>
                                </a:lnTo>
                                <a:close/>
                              </a:path>
                            </a:pathLst>
                          </a:custGeom>
                          <a:solidFill>
                            <a:srgbClr val="008FDD"/>
                          </a:solidFill>
                        </wps:spPr>
                        <wps:bodyPr wrap="square" lIns="0" tIns="0" rIns="0" bIns="0" rtlCol="0">
                          <a:prstTxWarp prst="textNoShape">
                            <a:avLst/>
                          </a:prstTxWarp>
                          <a:noAutofit/>
                        </wps:bodyPr>
                      </wps:wsp>
                      <wps:wsp>
                        <wps:cNvPr id="531" name="Graphic 531"/>
                        <wps:cNvSpPr/>
                        <wps:spPr>
                          <a:xfrm>
                            <a:off x="1277400" y="2098624"/>
                            <a:ext cx="243204" cy="387985"/>
                          </a:xfrm>
                          <a:custGeom>
                            <a:avLst/>
                            <a:gdLst/>
                            <a:ahLst/>
                            <a:cxnLst/>
                            <a:rect l="l" t="t" r="r" b="b"/>
                            <a:pathLst>
                              <a:path w="243204" h="387985">
                                <a:moveTo>
                                  <a:pt x="0" y="0"/>
                                </a:moveTo>
                                <a:lnTo>
                                  <a:pt x="243192" y="0"/>
                                </a:lnTo>
                                <a:lnTo>
                                  <a:pt x="243192" y="387489"/>
                                </a:lnTo>
                                <a:lnTo>
                                  <a:pt x="0" y="387489"/>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532" name="Graphic 532"/>
                        <wps:cNvSpPr/>
                        <wps:spPr>
                          <a:xfrm>
                            <a:off x="1520609" y="1775726"/>
                            <a:ext cx="243204" cy="710565"/>
                          </a:xfrm>
                          <a:custGeom>
                            <a:avLst/>
                            <a:gdLst/>
                            <a:ahLst/>
                            <a:cxnLst/>
                            <a:rect l="l" t="t" r="r" b="b"/>
                            <a:pathLst>
                              <a:path w="243204" h="710565">
                                <a:moveTo>
                                  <a:pt x="243192" y="0"/>
                                </a:moveTo>
                                <a:lnTo>
                                  <a:pt x="0" y="0"/>
                                </a:lnTo>
                                <a:lnTo>
                                  <a:pt x="0" y="710399"/>
                                </a:lnTo>
                                <a:lnTo>
                                  <a:pt x="243192" y="710399"/>
                                </a:lnTo>
                                <a:lnTo>
                                  <a:pt x="243192" y="0"/>
                                </a:lnTo>
                                <a:close/>
                              </a:path>
                            </a:pathLst>
                          </a:custGeom>
                          <a:solidFill>
                            <a:srgbClr val="008FDD"/>
                          </a:solidFill>
                        </wps:spPr>
                        <wps:bodyPr wrap="square" lIns="0" tIns="0" rIns="0" bIns="0" rtlCol="0">
                          <a:prstTxWarp prst="textNoShape">
                            <a:avLst/>
                          </a:prstTxWarp>
                          <a:noAutofit/>
                        </wps:bodyPr>
                      </wps:wsp>
                      <wps:wsp>
                        <wps:cNvPr id="533" name="Graphic 533"/>
                        <wps:cNvSpPr/>
                        <wps:spPr>
                          <a:xfrm>
                            <a:off x="1520605" y="1775726"/>
                            <a:ext cx="243204" cy="710565"/>
                          </a:xfrm>
                          <a:custGeom>
                            <a:avLst/>
                            <a:gdLst/>
                            <a:ahLst/>
                            <a:cxnLst/>
                            <a:rect l="l" t="t" r="r" b="b"/>
                            <a:pathLst>
                              <a:path w="243204" h="710565">
                                <a:moveTo>
                                  <a:pt x="0" y="0"/>
                                </a:moveTo>
                                <a:lnTo>
                                  <a:pt x="243192" y="0"/>
                                </a:lnTo>
                                <a:lnTo>
                                  <a:pt x="243192" y="710399"/>
                                </a:lnTo>
                                <a:lnTo>
                                  <a:pt x="0" y="710399"/>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534" name="Graphic 534"/>
                        <wps:cNvSpPr/>
                        <wps:spPr>
                          <a:xfrm>
                            <a:off x="1763801" y="807046"/>
                            <a:ext cx="243204" cy="1679575"/>
                          </a:xfrm>
                          <a:custGeom>
                            <a:avLst/>
                            <a:gdLst/>
                            <a:ahLst/>
                            <a:cxnLst/>
                            <a:rect l="l" t="t" r="r" b="b"/>
                            <a:pathLst>
                              <a:path w="243204" h="1679575">
                                <a:moveTo>
                                  <a:pt x="243192" y="0"/>
                                </a:moveTo>
                                <a:lnTo>
                                  <a:pt x="0" y="0"/>
                                </a:lnTo>
                                <a:lnTo>
                                  <a:pt x="0" y="1679079"/>
                                </a:lnTo>
                                <a:lnTo>
                                  <a:pt x="243192" y="1679079"/>
                                </a:lnTo>
                                <a:lnTo>
                                  <a:pt x="243192" y="0"/>
                                </a:lnTo>
                                <a:close/>
                              </a:path>
                            </a:pathLst>
                          </a:custGeom>
                          <a:solidFill>
                            <a:srgbClr val="008FDD"/>
                          </a:solidFill>
                        </wps:spPr>
                        <wps:bodyPr wrap="square" lIns="0" tIns="0" rIns="0" bIns="0" rtlCol="0">
                          <a:prstTxWarp prst="textNoShape">
                            <a:avLst/>
                          </a:prstTxWarp>
                          <a:noAutofit/>
                        </wps:bodyPr>
                      </wps:wsp>
                      <wps:wsp>
                        <wps:cNvPr id="535" name="Graphic 535"/>
                        <wps:cNvSpPr/>
                        <wps:spPr>
                          <a:xfrm>
                            <a:off x="1763797" y="807046"/>
                            <a:ext cx="243204" cy="1679575"/>
                          </a:xfrm>
                          <a:custGeom>
                            <a:avLst/>
                            <a:gdLst/>
                            <a:ahLst/>
                            <a:cxnLst/>
                            <a:rect l="l" t="t" r="r" b="b"/>
                            <a:pathLst>
                              <a:path w="243204" h="1679575">
                                <a:moveTo>
                                  <a:pt x="0" y="0"/>
                                </a:moveTo>
                                <a:lnTo>
                                  <a:pt x="243192" y="0"/>
                                </a:lnTo>
                                <a:lnTo>
                                  <a:pt x="243192" y="1679079"/>
                                </a:lnTo>
                                <a:lnTo>
                                  <a:pt x="0" y="1679079"/>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536" name="Graphic 536"/>
                        <wps:cNvSpPr/>
                        <wps:spPr>
                          <a:xfrm>
                            <a:off x="2007006" y="1323632"/>
                            <a:ext cx="243204" cy="1162685"/>
                          </a:xfrm>
                          <a:custGeom>
                            <a:avLst/>
                            <a:gdLst/>
                            <a:ahLst/>
                            <a:cxnLst/>
                            <a:rect l="l" t="t" r="r" b="b"/>
                            <a:pathLst>
                              <a:path w="243204" h="1162685">
                                <a:moveTo>
                                  <a:pt x="243192" y="0"/>
                                </a:moveTo>
                                <a:lnTo>
                                  <a:pt x="0" y="0"/>
                                </a:lnTo>
                                <a:lnTo>
                                  <a:pt x="0" y="1162494"/>
                                </a:lnTo>
                                <a:lnTo>
                                  <a:pt x="243192" y="1162494"/>
                                </a:lnTo>
                                <a:lnTo>
                                  <a:pt x="243192" y="0"/>
                                </a:lnTo>
                                <a:close/>
                              </a:path>
                            </a:pathLst>
                          </a:custGeom>
                          <a:solidFill>
                            <a:srgbClr val="008FDD"/>
                          </a:solidFill>
                        </wps:spPr>
                        <wps:bodyPr wrap="square" lIns="0" tIns="0" rIns="0" bIns="0" rtlCol="0">
                          <a:prstTxWarp prst="textNoShape">
                            <a:avLst/>
                          </a:prstTxWarp>
                          <a:noAutofit/>
                        </wps:bodyPr>
                      </wps:wsp>
                      <wps:wsp>
                        <wps:cNvPr id="537" name="Graphic 537"/>
                        <wps:cNvSpPr/>
                        <wps:spPr>
                          <a:xfrm>
                            <a:off x="2007002" y="1323632"/>
                            <a:ext cx="243204" cy="1162685"/>
                          </a:xfrm>
                          <a:custGeom>
                            <a:avLst/>
                            <a:gdLst/>
                            <a:ahLst/>
                            <a:cxnLst/>
                            <a:rect l="l" t="t" r="r" b="b"/>
                            <a:pathLst>
                              <a:path w="243204" h="1162685">
                                <a:moveTo>
                                  <a:pt x="0" y="0"/>
                                </a:moveTo>
                                <a:lnTo>
                                  <a:pt x="243192" y="0"/>
                                </a:lnTo>
                                <a:lnTo>
                                  <a:pt x="243192" y="1162494"/>
                                </a:lnTo>
                                <a:lnTo>
                                  <a:pt x="0" y="1162494"/>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538" name="Graphic 538"/>
                        <wps:cNvSpPr/>
                        <wps:spPr>
                          <a:xfrm>
                            <a:off x="2250185" y="1646631"/>
                            <a:ext cx="243204" cy="840105"/>
                          </a:xfrm>
                          <a:custGeom>
                            <a:avLst/>
                            <a:gdLst/>
                            <a:ahLst/>
                            <a:cxnLst/>
                            <a:rect l="l" t="t" r="r" b="b"/>
                            <a:pathLst>
                              <a:path w="243204" h="840105">
                                <a:moveTo>
                                  <a:pt x="243192" y="0"/>
                                </a:moveTo>
                                <a:lnTo>
                                  <a:pt x="0" y="0"/>
                                </a:lnTo>
                                <a:lnTo>
                                  <a:pt x="0" y="839495"/>
                                </a:lnTo>
                                <a:lnTo>
                                  <a:pt x="243192" y="839495"/>
                                </a:lnTo>
                                <a:lnTo>
                                  <a:pt x="243192" y="0"/>
                                </a:lnTo>
                                <a:close/>
                              </a:path>
                            </a:pathLst>
                          </a:custGeom>
                          <a:solidFill>
                            <a:srgbClr val="008FDD"/>
                          </a:solidFill>
                        </wps:spPr>
                        <wps:bodyPr wrap="square" lIns="0" tIns="0" rIns="0" bIns="0" rtlCol="0">
                          <a:prstTxWarp prst="textNoShape">
                            <a:avLst/>
                          </a:prstTxWarp>
                          <a:noAutofit/>
                        </wps:bodyPr>
                      </wps:wsp>
                      <wps:wsp>
                        <wps:cNvPr id="539" name="Graphic 539"/>
                        <wps:cNvSpPr/>
                        <wps:spPr>
                          <a:xfrm>
                            <a:off x="2250182" y="1646631"/>
                            <a:ext cx="243204" cy="840105"/>
                          </a:xfrm>
                          <a:custGeom>
                            <a:avLst/>
                            <a:gdLst/>
                            <a:ahLst/>
                            <a:cxnLst/>
                            <a:rect l="l" t="t" r="r" b="b"/>
                            <a:pathLst>
                              <a:path w="243204" h="840105">
                                <a:moveTo>
                                  <a:pt x="0" y="0"/>
                                </a:moveTo>
                                <a:lnTo>
                                  <a:pt x="243192" y="0"/>
                                </a:lnTo>
                                <a:lnTo>
                                  <a:pt x="243192" y="839495"/>
                                </a:lnTo>
                                <a:lnTo>
                                  <a:pt x="0" y="839495"/>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540" name="Graphic 540"/>
                        <wps:cNvSpPr/>
                        <wps:spPr>
                          <a:xfrm>
                            <a:off x="2493378" y="1517434"/>
                            <a:ext cx="243204" cy="969010"/>
                          </a:xfrm>
                          <a:custGeom>
                            <a:avLst/>
                            <a:gdLst/>
                            <a:ahLst/>
                            <a:cxnLst/>
                            <a:rect l="l" t="t" r="r" b="b"/>
                            <a:pathLst>
                              <a:path w="243204" h="969010">
                                <a:moveTo>
                                  <a:pt x="243192" y="0"/>
                                </a:moveTo>
                                <a:lnTo>
                                  <a:pt x="0" y="0"/>
                                </a:lnTo>
                                <a:lnTo>
                                  <a:pt x="0" y="968692"/>
                                </a:lnTo>
                                <a:lnTo>
                                  <a:pt x="243192" y="968692"/>
                                </a:lnTo>
                                <a:lnTo>
                                  <a:pt x="243192" y="0"/>
                                </a:lnTo>
                                <a:close/>
                              </a:path>
                            </a:pathLst>
                          </a:custGeom>
                          <a:solidFill>
                            <a:srgbClr val="008FDD"/>
                          </a:solidFill>
                        </wps:spPr>
                        <wps:bodyPr wrap="square" lIns="0" tIns="0" rIns="0" bIns="0" rtlCol="0">
                          <a:prstTxWarp prst="textNoShape">
                            <a:avLst/>
                          </a:prstTxWarp>
                          <a:noAutofit/>
                        </wps:bodyPr>
                      </wps:wsp>
                      <wps:wsp>
                        <wps:cNvPr id="541" name="Graphic 541"/>
                        <wps:cNvSpPr/>
                        <wps:spPr>
                          <a:xfrm>
                            <a:off x="2493374" y="1517434"/>
                            <a:ext cx="243204" cy="969010"/>
                          </a:xfrm>
                          <a:custGeom>
                            <a:avLst/>
                            <a:gdLst/>
                            <a:ahLst/>
                            <a:cxnLst/>
                            <a:rect l="l" t="t" r="r" b="b"/>
                            <a:pathLst>
                              <a:path w="243204" h="969010">
                                <a:moveTo>
                                  <a:pt x="0" y="0"/>
                                </a:moveTo>
                                <a:lnTo>
                                  <a:pt x="243192" y="0"/>
                                </a:lnTo>
                                <a:lnTo>
                                  <a:pt x="243192" y="968692"/>
                                </a:lnTo>
                                <a:lnTo>
                                  <a:pt x="0" y="968692"/>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542" name="Graphic 542"/>
                        <wps:cNvSpPr/>
                        <wps:spPr>
                          <a:xfrm>
                            <a:off x="2736583" y="1646631"/>
                            <a:ext cx="243204" cy="840105"/>
                          </a:xfrm>
                          <a:custGeom>
                            <a:avLst/>
                            <a:gdLst/>
                            <a:ahLst/>
                            <a:cxnLst/>
                            <a:rect l="l" t="t" r="r" b="b"/>
                            <a:pathLst>
                              <a:path w="243204" h="840105">
                                <a:moveTo>
                                  <a:pt x="243192" y="0"/>
                                </a:moveTo>
                                <a:lnTo>
                                  <a:pt x="0" y="0"/>
                                </a:lnTo>
                                <a:lnTo>
                                  <a:pt x="0" y="839495"/>
                                </a:lnTo>
                                <a:lnTo>
                                  <a:pt x="243192" y="839495"/>
                                </a:lnTo>
                                <a:lnTo>
                                  <a:pt x="243192" y="0"/>
                                </a:lnTo>
                                <a:close/>
                              </a:path>
                            </a:pathLst>
                          </a:custGeom>
                          <a:solidFill>
                            <a:srgbClr val="008FDD"/>
                          </a:solidFill>
                        </wps:spPr>
                        <wps:bodyPr wrap="square" lIns="0" tIns="0" rIns="0" bIns="0" rtlCol="0">
                          <a:prstTxWarp prst="textNoShape">
                            <a:avLst/>
                          </a:prstTxWarp>
                          <a:noAutofit/>
                        </wps:bodyPr>
                      </wps:wsp>
                      <wps:wsp>
                        <wps:cNvPr id="543" name="Graphic 543"/>
                        <wps:cNvSpPr/>
                        <wps:spPr>
                          <a:xfrm>
                            <a:off x="2736579" y="1646631"/>
                            <a:ext cx="243204" cy="840105"/>
                          </a:xfrm>
                          <a:custGeom>
                            <a:avLst/>
                            <a:gdLst/>
                            <a:ahLst/>
                            <a:cxnLst/>
                            <a:rect l="l" t="t" r="r" b="b"/>
                            <a:pathLst>
                              <a:path w="243204" h="840105">
                                <a:moveTo>
                                  <a:pt x="0" y="0"/>
                                </a:moveTo>
                                <a:lnTo>
                                  <a:pt x="243192" y="0"/>
                                </a:lnTo>
                                <a:lnTo>
                                  <a:pt x="243192" y="839495"/>
                                </a:lnTo>
                                <a:lnTo>
                                  <a:pt x="0" y="839495"/>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544" name="Graphic 544"/>
                        <wps:cNvSpPr/>
                        <wps:spPr>
                          <a:xfrm>
                            <a:off x="2979775" y="1711134"/>
                            <a:ext cx="243204" cy="775335"/>
                          </a:xfrm>
                          <a:custGeom>
                            <a:avLst/>
                            <a:gdLst/>
                            <a:ahLst/>
                            <a:cxnLst/>
                            <a:rect l="l" t="t" r="r" b="b"/>
                            <a:pathLst>
                              <a:path w="243204" h="775335">
                                <a:moveTo>
                                  <a:pt x="243027" y="0"/>
                                </a:moveTo>
                                <a:lnTo>
                                  <a:pt x="0" y="0"/>
                                </a:lnTo>
                                <a:lnTo>
                                  <a:pt x="0" y="774992"/>
                                </a:lnTo>
                                <a:lnTo>
                                  <a:pt x="243027" y="774992"/>
                                </a:lnTo>
                                <a:lnTo>
                                  <a:pt x="243027" y="0"/>
                                </a:lnTo>
                                <a:close/>
                              </a:path>
                            </a:pathLst>
                          </a:custGeom>
                          <a:solidFill>
                            <a:srgbClr val="008FDD"/>
                          </a:solidFill>
                        </wps:spPr>
                        <wps:bodyPr wrap="square" lIns="0" tIns="0" rIns="0" bIns="0" rtlCol="0">
                          <a:prstTxWarp prst="textNoShape">
                            <a:avLst/>
                          </a:prstTxWarp>
                          <a:noAutofit/>
                        </wps:bodyPr>
                      </wps:wsp>
                      <wps:wsp>
                        <wps:cNvPr id="545" name="Graphic 545"/>
                        <wps:cNvSpPr/>
                        <wps:spPr>
                          <a:xfrm>
                            <a:off x="2979771" y="1711134"/>
                            <a:ext cx="243204" cy="775335"/>
                          </a:xfrm>
                          <a:custGeom>
                            <a:avLst/>
                            <a:gdLst/>
                            <a:ahLst/>
                            <a:cxnLst/>
                            <a:rect l="l" t="t" r="r" b="b"/>
                            <a:pathLst>
                              <a:path w="243204" h="775335">
                                <a:moveTo>
                                  <a:pt x="0" y="0"/>
                                </a:moveTo>
                                <a:lnTo>
                                  <a:pt x="243027" y="0"/>
                                </a:lnTo>
                                <a:lnTo>
                                  <a:pt x="243027" y="774992"/>
                                </a:lnTo>
                                <a:lnTo>
                                  <a:pt x="0" y="774992"/>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546" name="Graphic 546"/>
                        <wps:cNvSpPr/>
                        <wps:spPr>
                          <a:xfrm>
                            <a:off x="3222802" y="1904923"/>
                            <a:ext cx="243204" cy="581660"/>
                          </a:xfrm>
                          <a:custGeom>
                            <a:avLst/>
                            <a:gdLst/>
                            <a:ahLst/>
                            <a:cxnLst/>
                            <a:rect l="l" t="t" r="r" b="b"/>
                            <a:pathLst>
                              <a:path w="243204" h="581660">
                                <a:moveTo>
                                  <a:pt x="243192" y="0"/>
                                </a:moveTo>
                                <a:lnTo>
                                  <a:pt x="0" y="0"/>
                                </a:lnTo>
                                <a:lnTo>
                                  <a:pt x="0" y="581190"/>
                                </a:lnTo>
                                <a:lnTo>
                                  <a:pt x="243192" y="581190"/>
                                </a:lnTo>
                                <a:lnTo>
                                  <a:pt x="243192" y="0"/>
                                </a:lnTo>
                                <a:close/>
                              </a:path>
                            </a:pathLst>
                          </a:custGeom>
                          <a:solidFill>
                            <a:srgbClr val="008FDD"/>
                          </a:solidFill>
                        </wps:spPr>
                        <wps:bodyPr wrap="square" lIns="0" tIns="0" rIns="0" bIns="0" rtlCol="0">
                          <a:prstTxWarp prst="textNoShape">
                            <a:avLst/>
                          </a:prstTxWarp>
                          <a:noAutofit/>
                        </wps:bodyPr>
                      </wps:wsp>
                      <wps:wsp>
                        <wps:cNvPr id="547" name="Graphic 547"/>
                        <wps:cNvSpPr/>
                        <wps:spPr>
                          <a:xfrm>
                            <a:off x="3222799" y="1904923"/>
                            <a:ext cx="243204" cy="581660"/>
                          </a:xfrm>
                          <a:custGeom>
                            <a:avLst/>
                            <a:gdLst/>
                            <a:ahLst/>
                            <a:cxnLst/>
                            <a:rect l="l" t="t" r="r" b="b"/>
                            <a:pathLst>
                              <a:path w="243204" h="581660">
                                <a:moveTo>
                                  <a:pt x="0" y="0"/>
                                </a:moveTo>
                                <a:lnTo>
                                  <a:pt x="243192" y="0"/>
                                </a:lnTo>
                                <a:lnTo>
                                  <a:pt x="243192" y="581190"/>
                                </a:lnTo>
                                <a:lnTo>
                                  <a:pt x="0" y="58119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548" name="Graphic 548"/>
                        <wps:cNvSpPr/>
                        <wps:spPr>
                          <a:xfrm>
                            <a:off x="3465995" y="1840331"/>
                            <a:ext cx="243204" cy="645795"/>
                          </a:xfrm>
                          <a:custGeom>
                            <a:avLst/>
                            <a:gdLst/>
                            <a:ahLst/>
                            <a:cxnLst/>
                            <a:rect l="l" t="t" r="r" b="b"/>
                            <a:pathLst>
                              <a:path w="243204" h="645795">
                                <a:moveTo>
                                  <a:pt x="243192" y="0"/>
                                </a:moveTo>
                                <a:lnTo>
                                  <a:pt x="0" y="0"/>
                                </a:lnTo>
                                <a:lnTo>
                                  <a:pt x="0" y="645795"/>
                                </a:lnTo>
                                <a:lnTo>
                                  <a:pt x="243192" y="645795"/>
                                </a:lnTo>
                                <a:lnTo>
                                  <a:pt x="243192" y="0"/>
                                </a:lnTo>
                                <a:close/>
                              </a:path>
                            </a:pathLst>
                          </a:custGeom>
                          <a:solidFill>
                            <a:srgbClr val="008FDD"/>
                          </a:solidFill>
                        </wps:spPr>
                        <wps:bodyPr wrap="square" lIns="0" tIns="0" rIns="0" bIns="0" rtlCol="0">
                          <a:prstTxWarp prst="textNoShape">
                            <a:avLst/>
                          </a:prstTxWarp>
                          <a:noAutofit/>
                        </wps:bodyPr>
                      </wps:wsp>
                      <wps:wsp>
                        <wps:cNvPr id="549" name="Graphic 549"/>
                        <wps:cNvSpPr/>
                        <wps:spPr>
                          <a:xfrm>
                            <a:off x="3465991" y="1840331"/>
                            <a:ext cx="243204" cy="645795"/>
                          </a:xfrm>
                          <a:custGeom>
                            <a:avLst/>
                            <a:gdLst/>
                            <a:ahLst/>
                            <a:cxnLst/>
                            <a:rect l="l" t="t" r="r" b="b"/>
                            <a:pathLst>
                              <a:path w="243204" h="645795">
                                <a:moveTo>
                                  <a:pt x="0" y="0"/>
                                </a:moveTo>
                                <a:lnTo>
                                  <a:pt x="243192" y="0"/>
                                </a:lnTo>
                                <a:lnTo>
                                  <a:pt x="243192" y="645795"/>
                                </a:lnTo>
                                <a:lnTo>
                                  <a:pt x="0" y="645795"/>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550" name="Graphic 550"/>
                        <wps:cNvSpPr/>
                        <wps:spPr>
                          <a:xfrm>
                            <a:off x="3709199" y="2098624"/>
                            <a:ext cx="243204" cy="387985"/>
                          </a:xfrm>
                          <a:custGeom>
                            <a:avLst/>
                            <a:gdLst/>
                            <a:ahLst/>
                            <a:cxnLst/>
                            <a:rect l="l" t="t" r="r" b="b"/>
                            <a:pathLst>
                              <a:path w="243204" h="387985">
                                <a:moveTo>
                                  <a:pt x="243192" y="0"/>
                                </a:moveTo>
                                <a:lnTo>
                                  <a:pt x="0" y="0"/>
                                </a:lnTo>
                                <a:lnTo>
                                  <a:pt x="0" y="387489"/>
                                </a:lnTo>
                                <a:lnTo>
                                  <a:pt x="243192" y="387489"/>
                                </a:lnTo>
                                <a:lnTo>
                                  <a:pt x="243192" y="0"/>
                                </a:lnTo>
                                <a:close/>
                              </a:path>
                            </a:pathLst>
                          </a:custGeom>
                          <a:solidFill>
                            <a:srgbClr val="008FDD"/>
                          </a:solidFill>
                        </wps:spPr>
                        <wps:bodyPr wrap="square" lIns="0" tIns="0" rIns="0" bIns="0" rtlCol="0">
                          <a:prstTxWarp prst="textNoShape">
                            <a:avLst/>
                          </a:prstTxWarp>
                          <a:noAutofit/>
                        </wps:bodyPr>
                      </wps:wsp>
                      <wps:wsp>
                        <wps:cNvPr id="551" name="Graphic 551"/>
                        <wps:cNvSpPr/>
                        <wps:spPr>
                          <a:xfrm>
                            <a:off x="3709196" y="2098624"/>
                            <a:ext cx="243204" cy="387985"/>
                          </a:xfrm>
                          <a:custGeom>
                            <a:avLst/>
                            <a:gdLst/>
                            <a:ahLst/>
                            <a:cxnLst/>
                            <a:rect l="l" t="t" r="r" b="b"/>
                            <a:pathLst>
                              <a:path w="243204" h="387985">
                                <a:moveTo>
                                  <a:pt x="0" y="0"/>
                                </a:moveTo>
                                <a:lnTo>
                                  <a:pt x="243192" y="0"/>
                                </a:lnTo>
                                <a:lnTo>
                                  <a:pt x="243192" y="387489"/>
                                </a:lnTo>
                                <a:lnTo>
                                  <a:pt x="0" y="387489"/>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552" name="Graphic 552"/>
                        <wps:cNvSpPr/>
                        <wps:spPr>
                          <a:xfrm>
                            <a:off x="1946239" y="2460724"/>
                            <a:ext cx="1270" cy="25400"/>
                          </a:xfrm>
                          <a:custGeom>
                            <a:avLst/>
                            <a:gdLst/>
                            <a:ahLst/>
                            <a:cxnLst/>
                            <a:rect l="l" t="t" r="r" b="b"/>
                            <a:pathLst>
                              <a:path w="0" h="25400">
                                <a:moveTo>
                                  <a:pt x="0" y="2540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53" name="Graphic 553"/>
                        <wps:cNvSpPr/>
                        <wps:spPr>
                          <a:xfrm>
                            <a:off x="1946239" y="735479"/>
                            <a:ext cx="1270" cy="1687195"/>
                          </a:xfrm>
                          <a:custGeom>
                            <a:avLst/>
                            <a:gdLst/>
                            <a:ahLst/>
                            <a:cxnLst/>
                            <a:rect l="l" t="t" r="r" b="b"/>
                            <a:pathLst>
                              <a:path w="0" h="1687195">
                                <a:moveTo>
                                  <a:pt x="0" y="1686763"/>
                                </a:moveTo>
                                <a:lnTo>
                                  <a:pt x="0" y="0"/>
                                </a:lnTo>
                              </a:path>
                            </a:pathLst>
                          </a:custGeom>
                          <a:ln w="12700">
                            <a:solidFill>
                              <a:srgbClr val="231F20"/>
                            </a:solidFill>
                            <a:prstDash val="sysDash"/>
                          </a:ln>
                        </wps:spPr>
                        <wps:bodyPr wrap="square" lIns="0" tIns="0" rIns="0" bIns="0" rtlCol="0">
                          <a:prstTxWarp prst="textNoShape">
                            <a:avLst/>
                          </a:prstTxWarp>
                          <a:noAutofit/>
                        </wps:bodyPr>
                      </wps:wsp>
                      <wps:wsp>
                        <wps:cNvPr id="554" name="Graphic 554"/>
                        <wps:cNvSpPr/>
                        <wps:spPr>
                          <a:xfrm>
                            <a:off x="1946239" y="690835"/>
                            <a:ext cx="1270" cy="25400"/>
                          </a:xfrm>
                          <a:custGeom>
                            <a:avLst/>
                            <a:gdLst/>
                            <a:ahLst/>
                            <a:cxnLst/>
                            <a:rect l="l" t="t" r="r" b="b"/>
                            <a:pathLst>
                              <a:path w="0" h="25400">
                                <a:moveTo>
                                  <a:pt x="0" y="2540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55" name="Graphic 555"/>
                        <wps:cNvSpPr/>
                        <wps:spPr>
                          <a:xfrm>
                            <a:off x="2726335" y="2460724"/>
                            <a:ext cx="1270" cy="25400"/>
                          </a:xfrm>
                          <a:custGeom>
                            <a:avLst/>
                            <a:gdLst/>
                            <a:ahLst/>
                            <a:cxnLst/>
                            <a:rect l="l" t="t" r="r" b="b"/>
                            <a:pathLst>
                              <a:path w="0" h="25400">
                                <a:moveTo>
                                  <a:pt x="0" y="2540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56" name="Graphic 556"/>
                        <wps:cNvSpPr/>
                        <wps:spPr>
                          <a:xfrm>
                            <a:off x="2726335" y="735479"/>
                            <a:ext cx="1270" cy="1687195"/>
                          </a:xfrm>
                          <a:custGeom>
                            <a:avLst/>
                            <a:gdLst/>
                            <a:ahLst/>
                            <a:cxnLst/>
                            <a:rect l="l" t="t" r="r" b="b"/>
                            <a:pathLst>
                              <a:path w="0" h="1687195">
                                <a:moveTo>
                                  <a:pt x="0" y="1686763"/>
                                </a:moveTo>
                                <a:lnTo>
                                  <a:pt x="0" y="0"/>
                                </a:lnTo>
                              </a:path>
                            </a:pathLst>
                          </a:custGeom>
                          <a:ln w="12700">
                            <a:solidFill>
                              <a:srgbClr val="231F20"/>
                            </a:solidFill>
                            <a:prstDash val="sysDash"/>
                          </a:ln>
                        </wps:spPr>
                        <wps:bodyPr wrap="square" lIns="0" tIns="0" rIns="0" bIns="0" rtlCol="0">
                          <a:prstTxWarp prst="textNoShape">
                            <a:avLst/>
                          </a:prstTxWarp>
                          <a:noAutofit/>
                        </wps:bodyPr>
                      </wps:wsp>
                      <wps:wsp>
                        <wps:cNvPr id="557" name="Graphic 557"/>
                        <wps:cNvSpPr/>
                        <wps:spPr>
                          <a:xfrm>
                            <a:off x="2726335" y="690835"/>
                            <a:ext cx="1270" cy="25400"/>
                          </a:xfrm>
                          <a:custGeom>
                            <a:avLst/>
                            <a:gdLst/>
                            <a:ahLst/>
                            <a:cxnLst/>
                            <a:rect l="l" t="t" r="r" b="b"/>
                            <a:pathLst>
                              <a:path w="0" h="25400">
                                <a:moveTo>
                                  <a:pt x="0" y="2540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58" name="Graphic 558"/>
                        <wps:cNvSpPr/>
                        <wps:spPr>
                          <a:xfrm>
                            <a:off x="3172278" y="2460724"/>
                            <a:ext cx="1270" cy="25400"/>
                          </a:xfrm>
                          <a:custGeom>
                            <a:avLst/>
                            <a:gdLst/>
                            <a:ahLst/>
                            <a:cxnLst/>
                            <a:rect l="l" t="t" r="r" b="b"/>
                            <a:pathLst>
                              <a:path w="0" h="25400">
                                <a:moveTo>
                                  <a:pt x="0" y="2540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59" name="Graphic 559"/>
                        <wps:cNvSpPr/>
                        <wps:spPr>
                          <a:xfrm>
                            <a:off x="3172278" y="735479"/>
                            <a:ext cx="1270" cy="1687195"/>
                          </a:xfrm>
                          <a:custGeom>
                            <a:avLst/>
                            <a:gdLst/>
                            <a:ahLst/>
                            <a:cxnLst/>
                            <a:rect l="l" t="t" r="r" b="b"/>
                            <a:pathLst>
                              <a:path w="0" h="1687195">
                                <a:moveTo>
                                  <a:pt x="0" y="1686763"/>
                                </a:moveTo>
                                <a:lnTo>
                                  <a:pt x="0" y="0"/>
                                </a:lnTo>
                              </a:path>
                            </a:pathLst>
                          </a:custGeom>
                          <a:ln w="12700">
                            <a:solidFill>
                              <a:srgbClr val="231F20"/>
                            </a:solidFill>
                            <a:prstDash val="sysDash"/>
                          </a:ln>
                        </wps:spPr>
                        <wps:bodyPr wrap="square" lIns="0" tIns="0" rIns="0" bIns="0" rtlCol="0">
                          <a:prstTxWarp prst="textNoShape">
                            <a:avLst/>
                          </a:prstTxWarp>
                          <a:noAutofit/>
                        </wps:bodyPr>
                      </wps:wsp>
                      <wps:wsp>
                        <wps:cNvPr id="560" name="Graphic 560"/>
                        <wps:cNvSpPr/>
                        <wps:spPr>
                          <a:xfrm>
                            <a:off x="3172278" y="690835"/>
                            <a:ext cx="1270" cy="25400"/>
                          </a:xfrm>
                          <a:custGeom>
                            <a:avLst/>
                            <a:gdLst/>
                            <a:ahLst/>
                            <a:cxnLst/>
                            <a:rect l="l" t="t" r="r" b="b"/>
                            <a:pathLst>
                              <a:path w="0" h="25400">
                                <a:moveTo>
                                  <a:pt x="0" y="2540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561" name="Textbox 561"/>
                        <wps:cNvSpPr txBox="1"/>
                        <wps:spPr>
                          <a:xfrm>
                            <a:off x="76380" y="66855"/>
                            <a:ext cx="4464050" cy="1127125"/>
                          </a:xfrm>
                          <a:prstGeom prst="rect">
                            <a:avLst/>
                          </a:prstGeom>
                        </wps:spPr>
                        <wps:txbx>
                          <w:txbxContent>
                            <w:p>
                              <w:pPr>
                                <w:spacing w:line="261" w:lineRule="auto" w:before="3"/>
                                <w:ind w:left="800" w:right="0" w:hanging="800"/>
                                <w:jc w:val="left"/>
                                <w:rPr>
                                  <w:rFonts w:ascii="Arial"/>
                                  <w:b/>
                                  <w:sz w:val="16"/>
                                </w:rPr>
                              </w:pPr>
                              <w:bookmarkStart w:name="_bookmark18" w:id="20"/>
                              <w:bookmarkEnd w:id="20"/>
                              <w:r>
                                <w:rPr/>
                              </w:r>
                              <w:r>
                                <w:rPr>
                                  <w:rFonts w:ascii="Arial"/>
                                  <w:color w:val="FFFFFF"/>
                                  <w:w w:val="105"/>
                                  <w:sz w:val="16"/>
                                </w:rPr>
                                <w:t>Figure</w:t>
                              </w:r>
                              <w:r>
                                <w:rPr>
                                  <w:rFonts w:ascii="Arial"/>
                                  <w:color w:val="FFFFFF"/>
                                  <w:spacing w:val="-7"/>
                                  <w:w w:val="105"/>
                                  <w:sz w:val="16"/>
                                </w:rPr>
                                <w:t> </w:t>
                              </w:r>
                              <w:r>
                                <w:rPr>
                                  <w:rFonts w:ascii="Arial"/>
                                  <w:b/>
                                  <w:color w:val="FFFFFF"/>
                                  <w:w w:val="105"/>
                                  <w:sz w:val="16"/>
                                </w:rPr>
                                <w:t>2.1</w:t>
                              </w:r>
                              <w:r>
                                <w:rPr>
                                  <w:rFonts w:ascii="Arial"/>
                                  <w:b/>
                                  <w:color w:val="FFFFFF"/>
                                  <w:spacing w:val="80"/>
                                  <w:w w:val="105"/>
                                  <w:sz w:val="16"/>
                                </w:rPr>
                                <w:t> </w:t>
                              </w:r>
                              <w:r>
                                <w:rPr>
                                  <w:rFonts w:ascii="Arial"/>
                                  <w:b/>
                                  <w:color w:val="FFFFFF"/>
                                  <w:w w:val="105"/>
                                  <w:sz w:val="16"/>
                                </w:rPr>
                                <w:t>Histogram</w:t>
                              </w:r>
                              <w:r>
                                <w:rPr>
                                  <w:rFonts w:ascii="Arial"/>
                                  <w:b/>
                                  <w:color w:val="FFFFFF"/>
                                  <w:spacing w:val="-7"/>
                                  <w:w w:val="105"/>
                                  <w:sz w:val="16"/>
                                </w:rPr>
                                <w:t> </w:t>
                              </w:r>
                              <w:r>
                                <w:rPr>
                                  <w:rFonts w:ascii="Arial"/>
                                  <w:b/>
                                  <w:color w:val="FFFFFF"/>
                                  <w:w w:val="105"/>
                                  <w:sz w:val="16"/>
                                </w:rPr>
                                <w:t>of</w:t>
                              </w:r>
                              <w:r>
                                <w:rPr>
                                  <w:rFonts w:ascii="Arial"/>
                                  <w:b/>
                                  <w:color w:val="FFFFFF"/>
                                  <w:spacing w:val="-7"/>
                                  <w:w w:val="105"/>
                                  <w:sz w:val="16"/>
                                </w:rPr>
                                <w:t> </w:t>
                              </w:r>
                              <w:r>
                                <w:rPr>
                                  <w:rFonts w:ascii="Arial"/>
                                  <w:b/>
                                  <w:color w:val="FFFFFF"/>
                                  <w:w w:val="105"/>
                                  <w:sz w:val="16"/>
                                </w:rPr>
                                <w:t>scores</w:t>
                              </w:r>
                              <w:r>
                                <w:rPr>
                                  <w:rFonts w:ascii="Arial"/>
                                  <w:b/>
                                  <w:color w:val="FFFFFF"/>
                                  <w:spacing w:val="-7"/>
                                  <w:w w:val="105"/>
                                  <w:sz w:val="16"/>
                                </w:rPr>
                                <w:t> </w:t>
                              </w:r>
                              <w:r>
                                <w:rPr>
                                  <w:rFonts w:ascii="Arial"/>
                                  <w:b/>
                                  <w:color w:val="FFFFFF"/>
                                  <w:w w:val="105"/>
                                  <w:sz w:val="16"/>
                                </w:rPr>
                                <w:t>of</w:t>
                              </w:r>
                              <w:r>
                                <w:rPr>
                                  <w:rFonts w:ascii="Arial"/>
                                  <w:b/>
                                  <w:color w:val="FFFFFF"/>
                                  <w:spacing w:val="-7"/>
                                  <w:w w:val="105"/>
                                  <w:sz w:val="16"/>
                                </w:rPr>
                                <w:t> </w:t>
                              </w:r>
                              <w:r>
                                <w:rPr>
                                  <w:rFonts w:ascii="Arial"/>
                                  <w:b/>
                                  <w:color w:val="FFFFFF"/>
                                  <w:w w:val="105"/>
                                  <w:sz w:val="16"/>
                                </w:rPr>
                                <w:t>the</w:t>
                              </w:r>
                              <w:r>
                                <w:rPr>
                                  <w:rFonts w:ascii="Arial"/>
                                  <w:b/>
                                  <w:color w:val="FFFFFF"/>
                                  <w:spacing w:val="-7"/>
                                  <w:w w:val="105"/>
                                  <w:sz w:val="16"/>
                                </w:rPr>
                                <w:t> </w:t>
                              </w:r>
                              <w:r>
                                <w:rPr>
                                  <w:rFonts w:ascii="Arial"/>
                                  <w:b/>
                                  <w:color w:val="FFFFFF"/>
                                  <w:w w:val="105"/>
                                  <w:sz w:val="16"/>
                                </w:rPr>
                                <w:t>139</w:t>
                              </w:r>
                              <w:r>
                                <w:rPr>
                                  <w:rFonts w:ascii="Arial"/>
                                  <w:b/>
                                  <w:color w:val="FFFFFF"/>
                                  <w:spacing w:val="-7"/>
                                  <w:w w:val="105"/>
                                  <w:sz w:val="16"/>
                                </w:rPr>
                                <w:t> </w:t>
                              </w:r>
                              <w:r>
                                <w:rPr>
                                  <w:rFonts w:ascii="Arial"/>
                                  <w:b/>
                                  <w:color w:val="FFFFFF"/>
                                  <w:w w:val="105"/>
                                  <w:sz w:val="16"/>
                                </w:rPr>
                                <w:t>countries</w:t>
                              </w:r>
                              <w:r>
                                <w:rPr>
                                  <w:rFonts w:ascii="Arial"/>
                                  <w:b/>
                                  <w:color w:val="FFFFFF"/>
                                  <w:spacing w:val="-7"/>
                                  <w:w w:val="105"/>
                                  <w:sz w:val="16"/>
                                </w:rPr>
                                <w:t> </w:t>
                              </w:r>
                              <w:r>
                                <w:rPr>
                                  <w:rFonts w:ascii="Arial"/>
                                  <w:b/>
                                  <w:color w:val="FFFFFF"/>
                                  <w:w w:val="105"/>
                                  <w:sz w:val="16"/>
                                </w:rPr>
                                <w:t>and</w:t>
                              </w:r>
                              <w:r>
                                <w:rPr>
                                  <w:rFonts w:ascii="Arial"/>
                                  <w:b/>
                                  <w:color w:val="FFFFFF"/>
                                  <w:spacing w:val="-7"/>
                                  <w:w w:val="105"/>
                                  <w:sz w:val="16"/>
                                </w:rPr>
                                <w:t> </w:t>
                              </w:r>
                              <w:r>
                                <w:rPr>
                                  <w:rFonts w:ascii="Arial"/>
                                  <w:b/>
                                  <w:color w:val="FFFFFF"/>
                                  <w:w w:val="105"/>
                                  <w:sz w:val="16"/>
                                </w:rPr>
                                <w:t>four</w:t>
                              </w:r>
                              <w:r>
                                <w:rPr>
                                  <w:rFonts w:ascii="Arial"/>
                                  <w:b/>
                                  <w:color w:val="FFFFFF"/>
                                  <w:spacing w:val="-7"/>
                                  <w:w w:val="105"/>
                                  <w:sz w:val="16"/>
                                </w:rPr>
                                <w:t> </w:t>
                              </w:r>
                              <w:r>
                                <w:rPr>
                                  <w:rFonts w:ascii="Arial"/>
                                  <w:b/>
                                  <w:color w:val="FFFFFF"/>
                                  <w:w w:val="105"/>
                                  <w:sz w:val="16"/>
                                </w:rPr>
                                <w:t>performance</w:t>
                              </w:r>
                              <w:r>
                                <w:rPr>
                                  <w:rFonts w:ascii="Arial"/>
                                  <w:b/>
                                  <w:color w:val="FFFFFF"/>
                                  <w:spacing w:val="-7"/>
                                  <w:w w:val="105"/>
                                  <w:sz w:val="16"/>
                                </w:rPr>
                                <w:t> </w:t>
                              </w:r>
                              <w:r>
                                <w:rPr>
                                  <w:rFonts w:ascii="Arial"/>
                                  <w:b/>
                                  <w:color w:val="FFFFFF"/>
                                  <w:w w:val="105"/>
                                  <w:sz w:val="16"/>
                                </w:rPr>
                                <w:t>groups</w:t>
                              </w:r>
                              <w:r>
                                <w:rPr>
                                  <w:rFonts w:ascii="Arial"/>
                                  <w:b/>
                                  <w:color w:val="FFFFFF"/>
                                  <w:spacing w:val="-7"/>
                                  <w:w w:val="105"/>
                                  <w:sz w:val="16"/>
                                </w:rPr>
                                <w:t> </w:t>
                              </w:r>
                              <w:r>
                                <w:rPr>
                                  <w:rFonts w:ascii="Arial"/>
                                  <w:b/>
                                  <w:color w:val="FFFFFF"/>
                                  <w:w w:val="105"/>
                                  <w:sz w:val="16"/>
                                </w:rPr>
                                <w:t>in</w:t>
                              </w:r>
                              <w:r>
                                <w:rPr>
                                  <w:rFonts w:ascii="Arial"/>
                                  <w:b/>
                                  <w:color w:val="FFFFFF"/>
                                  <w:spacing w:val="-7"/>
                                  <w:w w:val="105"/>
                                  <w:sz w:val="16"/>
                                </w:rPr>
                                <w:t> </w:t>
                              </w:r>
                              <w:r>
                                <w:rPr>
                                  <w:rFonts w:ascii="Arial"/>
                                  <w:b/>
                                  <w:color w:val="FFFFFF"/>
                                  <w:w w:val="105"/>
                                  <w:sz w:val="16"/>
                                </w:rPr>
                                <w:t>the 2023 LPI</w:t>
                              </w:r>
                            </w:p>
                            <w:p>
                              <w:pPr>
                                <w:spacing w:line="240" w:lineRule="auto" w:before="72"/>
                                <w:rPr>
                                  <w:rFonts w:ascii="Arial"/>
                                  <w:b/>
                                  <w:sz w:val="16"/>
                                </w:rPr>
                              </w:pPr>
                            </w:p>
                            <w:p>
                              <w:pPr>
                                <w:spacing w:before="0"/>
                                <w:ind w:left="0" w:right="0" w:firstLine="0"/>
                                <w:jc w:val="left"/>
                                <w:rPr>
                                  <w:rFonts w:ascii="Arial"/>
                                  <w:sz w:val="14"/>
                                </w:rPr>
                              </w:pPr>
                              <w:r>
                                <w:rPr>
                                  <w:rFonts w:ascii="Arial"/>
                                  <w:color w:val="231F20"/>
                                  <w:spacing w:val="-2"/>
                                  <w:sz w:val="14"/>
                                </w:rPr>
                                <w:t>Percent</w:t>
                              </w:r>
                            </w:p>
                            <w:p>
                              <w:pPr>
                                <w:spacing w:line="145" w:lineRule="exact" w:before="86"/>
                                <w:ind w:left="67" w:right="0" w:firstLine="0"/>
                                <w:jc w:val="left"/>
                                <w:rPr>
                                  <w:rFonts w:ascii="Arial"/>
                                  <w:sz w:val="14"/>
                                </w:rPr>
                              </w:pPr>
                              <w:r>
                                <w:rPr>
                                  <w:rFonts w:ascii="Arial"/>
                                  <w:color w:val="231F20"/>
                                  <w:spacing w:val="-5"/>
                                  <w:sz w:val="14"/>
                                </w:rPr>
                                <w:t>20</w:t>
                              </w:r>
                            </w:p>
                            <w:p>
                              <w:pPr>
                                <w:tabs>
                                  <w:tab w:pos="5851" w:val="left" w:leader="none"/>
                                </w:tabs>
                                <w:spacing w:line="144" w:lineRule="exact" w:before="0"/>
                                <w:ind w:left="1286" w:right="0" w:firstLine="0"/>
                                <w:jc w:val="left"/>
                                <w:rPr>
                                  <w:rFonts w:ascii="Arial"/>
                                  <w:sz w:val="14"/>
                                </w:rPr>
                              </w:pPr>
                              <w:r>
                                <w:rPr>
                                  <w:rFonts w:ascii="Arial"/>
                                  <w:color w:val="231F20"/>
                                  <w:w w:val="75"/>
                                  <w:sz w:val="14"/>
                                </w:rPr>
                                <w:t>Poor</w:t>
                              </w:r>
                              <w:r>
                                <w:rPr>
                                  <w:rFonts w:ascii="Arial"/>
                                  <w:color w:val="231F20"/>
                                  <w:sz w:val="14"/>
                                </w:rPr>
                                <w:t> </w:t>
                              </w:r>
                              <w:r>
                                <w:rPr>
                                  <w:rFonts w:ascii="Arial"/>
                                  <w:color w:val="231F20"/>
                                  <w:spacing w:val="-2"/>
                                  <w:sz w:val="14"/>
                                </w:rPr>
                                <w:t>logistics</w:t>
                              </w:r>
                              <w:r>
                                <w:rPr>
                                  <w:rFonts w:ascii="Arial"/>
                                  <w:color w:val="231F20"/>
                                  <w:sz w:val="14"/>
                                </w:rPr>
                                <w:tab/>
                              </w:r>
                              <w:r>
                                <w:rPr>
                                  <w:rFonts w:ascii="Arial"/>
                                  <w:color w:val="231F20"/>
                                  <w:spacing w:val="-2"/>
                                  <w:sz w:val="14"/>
                                </w:rPr>
                                <w:t>Logistics-</w:t>
                              </w:r>
                            </w:p>
                            <w:p>
                              <w:pPr>
                                <w:tabs>
                                  <w:tab w:pos="3273" w:val="left" w:leader="none"/>
                                  <w:tab w:pos="5912" w:val="left" w:leader="none"/>
                                </w:tabs>
                                <w:spacing w:line="161" w:lineRule="exact" w:before="0"/>
                                <w:ind w:left="1344" w:right="0" w:firstLine="0"/>
                                <w:jc w:val="left"/>
                                <w:rPr>
                                  <w:rFonts w:ascii="Arial"/>
                                  <w:sz w:val="14"/>
                                </w:rPr>
                              </w:pPr>
                              <w:r>
                                <w:rPr>
                                  <w:rFonts w:ascii="Arial"/>
                                  <w:color w:val="231F20"/>
                                  <w:spacing w:val="-2"/>
                                  <w:sz w:val="14"/>
                                </w:rPr>
                                <w:t>performers</w:t>
                              </w:r>
                              <w:r>
                                <w:rPr>
                                  <w:rFonts w:ascii="Arial"/>
                                  <w:color w:val="231F20"/>
                                  <w:sz w:val="14"/>
                                </w:rPr>
                                <w:tab/>
                              </w:r>
                              <w:r>
                                <w:rPr>
                                  <w:rFonts w:ascii="Arial"/>
                                  <w:color w:val="231F20"/>
                                  <w:spacing w:val="-2"/>
                                  <w:sz w:val="14"/>
                                </w:rPr>
                                <w:t>performers</w:t>
                              </w:r>
                              <w:r>
                                <w:rPr>
                                  <w:rFonts w:ascii="Arial"/>
                                  <w:color w:val="231F20"/>
                                  <w:sz w:val="14"/>
                                </w:rPr>
                                <w:tab/>
                              </w:r>
                              <w:r>
                                <w:rPr>
                                  <w:rFonts w:ascii="Arial"/>
                                  <w:color w:val="231F20"/>
                                  <w:spacing w:val="-2"/>
                                  <w:sz w:val="14"/>
                                </w:rPr>
                                <w:t>friendly</w:t>
                              </w:r>
                            </w:p>
                            <w:p>
                              <w:pPr>
                                <w:spacing w:line="240" w:lineRule="auto" w:before="97"/>
                                <w:rPr>
                                  <w:rFonts w:ascii="Arial"/>
                                  <w:sz w:val="14"/>
                                </w:rPr>
                              </w:pPr>
                            </w:p>
                            <w:p>
                              <w:pPr>
                                <w:spacing w:line="160" w:lineRule="exact" w:before="0"/>
                                <w:ind w:left="67" w:right="0" w:firstLine="0"/>
                                <w:jc w:val="left"/>
                                <w:rPr>
                                  <w:rFonts w:ascii="Arial"/>
                                  <w:sz w:val="14"/>
                                </w:rPr>
                              </w:pPr>
                              <w:r>
                                <w:rPr>
                                  <w:rFonts w:ascii="Arial"/>
                                  <w:color w:val="231F20"/>
                                  <w:spacing w:val="-5"/>
                                  <w:sz w:val="14"/>
                                </w:rPr>
                                <w:t>15</w:t>
                              </w:r>
                            </w:p>
                          </w:txbxContent>
                        </wps:txbx>
                        <wps:bodyPr wrap="square" lIns="0" tIns="0" rIns="0" bIns="0" rtlCol="0">
                          <a:noAutofit/>
                        </wps:bodyPr>
                      </wps:wsp>
                      <wps:wsp>
                        <wps:cNvPr id="562" name="Textbox 562"/>
                        <wps:cNvSpPr txBox="1"/>
                        <wps:spPr>
                          <a:xfrm>
                            <a:off x="119407" y="1541894"/>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10</w:t>
                              </w:r>
                            </w:p>
                          </w:txbxContent>
                        </wps:txbx>
                        <wps:bodyPr wrap="square" lIns="0" tIns="0" rIns="0" bIns="0" rtlCol="0">
                          <a:noAutofit/>
                        </wps:bodyPr>
                      </wps:wsp>
                      <wps:wsp>
                        <wps:cNvPr id="563" name="Textbox 563"/>
                        <wps:cNvSpPr txBox="1"/>
                        <wps:spPr>
                          <a:xfrm>
                            <a:off x="162079" y="1990750"/>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5</w:t>
                              </w:r>
                            </w:p>
                          </w:txbxContent>
                        </wps:txbx>
                        <wps:bodyPr wrap="square" lIns="0" tIns="0" rIns="0" bIns="0" rtlCol="0">
                          <a:noAutofit/>
                        </wps:bodyPr>
                      </wps:wsp>
                      <wps:wsp>
                        <wps:cNvPr id="564" name="Textbox 564"/>
                        <wps:cNvSpPr txBox="1"/>
                        <wps:spPr>
                          <a:xfrm>
                            <a:off x="76386" y="2439606"/>
                            <a:ext cx="4722495" cy="629920"/>
                          </a:xfrm>
                          <a:prstGeom prst="rect">
                            <a:avLst/>
                          </a:prstGeom>
                        </wps:spPr>
                        <wps:txbx>
                          <w:txbxContent>
                            <w:p>
                              <w:pPr>
                                <w:spacing w:line="260" w:lineRule="exact" w:before="0"/>
                                <w:ind w:left="134" w:right="0" w:firstLine="0"/>
                                <w:jc w:val="left"/>
                                <w:rPr>
                                  <w:rFonts w:ascii="Arial"/>
                                  <w:sz w:val="14"/>
                                </w:rPr>
                              </w:pPr>
                              <w:r>
                                <w:rPr>
                                  <w:rFonts w:ascii="Arial"/>
                                  <w:color w:val="231F20"/>
                                  <w:position w:val="10"/>
                                  <w:sz w:val="14"/>
                                </w:rPr>
                                <w:t>0</w:t>
                              </w:r>
                              <w:r>
                                <w:rPr>
                                  <w:rFonts w:ascii="Arial"/>
                                  <w:color w:val="231F20"/>
                                  <w:spacing w:val="-15"/>
                                  <w:position w:val="10"/>
                                  <w:sz w:val="14"/>
                                </w:rPr>
                                <w:t> </w:t>
                              </w:r>
                              <w:r>
                                <w:rPr>
                                  <w:rFonts w:ascii="Arial"/>
                                  <w:color w:val="231F20"/>
                                  <w:sz w:val="14"/>
                                </w:rPr>
                                <w:t>1.0</w:t>
                              </w:r>
                              <w:r>
                                <w:rPr>
                                  <w:rFonts w:ascii="Arial"/>
                                  <w:color w:val="231F20"/>
                                  <w:spacing w:val="36"/>
                                  <w:sz w:val="14"/>
                                </w:rPr>
                                <w:t>  </w:t>
                              </w:r>
                              <w:r>
                                <w:rPr>
                                  <w:rFonts w:ascii="Arial"/>
                                  <w:color w:val="231F20"/>
                                  <w:sz w:val="14"/>
                                </w:rPr>
                                <w:t>1.2</w:t>
                              </w:r>
                              <w:r>
                                <w:rPr>
                                  <w:rFonts w:ascii="Arial"/>
                                  <w:color w:val="231F20"/>
                                  <w:spacing w:val="38"/>
                                  <w:sz w:val="14"/>
                                </w:rPr>
                                <w:t>  </w:t>
                              </w:r>
                              <w:r>
                                <w:rPr>
                                  <w:rFonts w:ascii="Arial"/>
                                  <w:color w:val="231F20"/>
                                  <w:sz w:val="14"/>
                                </w:rPr>
                                <w:t>1.4</w:t>
                              </w:r>
                              <w:r>
                                <w:rPr>
                                  <w:rFonts w:ascii="Arial"/>
                                  <w:color w:val="231F20"/>
                                  <w:spacing w:val="38"/>
                                  <w:sz w:val="14"/>
                                </w:rPr>
                                <w:t>  </w:t>
                              </w:r>
                              <w:r>
                                <w:rPr>
                                  <w:rFonts w:ascii="Arial"/>
                                  <w:color w:val="231F20"/>
                                  <w:sz w:val="14"/>
                                </w:rPr>
                                <w:t>1.6</w:t>
                              </w:r>
                              <w:r>
                                <w:rPr>
                                  <w:rFonts w:ascii="Arial"/>
                                  <w:color w:val="231F20"/>
                                  <w:spacing w:val="38"/>
                                  <w:sz w:val="14"/>
                                </w:rPr>
                                <w:t>  </w:t>
                              </w:r>
                              <w:r>
                                <w:rPr>
                                  <w:rFonts w:ascii="Arial"/>
                                  <w:color w:val="231F20"/>
                                  <w:sz w:val="14"/>
                                </w:rPr>
                                <w:t>1.8</w:t>
                              </w:r>
                              <w:r>
                                <w:rPr>
                                  <w:rFonts w:ascii="Arial"/>
                                  <w:color w:val="231F20"/>
                                  <w:spacing w:val="39"/>
                                  <w:sz w:val="14"/>
                                </w:rPr>
                                <w:t>  </w:t>
                              </w:r>
                              <w:r>
                                <w:rPr>
                                  <w:rFonts w:ascii="Arial"/>
                                  <w:color w:val="231F20"/>
                                  <w:sz w:val="14"/>
                                </w:rPr>
                                <w:t>2.0</w:t>
                              </w:r>
                              <w:r>
                                <w:rPr>
                                  <w:rFonts w:ascii="Arial"/>
                                  <w:color w:val="231F20"/>
                                  <w:spacing w:val="38"/>
                                  <w:sz w:val="14"/>
                                </w:rPr>
                                <w:t>  </w:t>
                              </w:r>
                              <w:r>
                                <w:rPr>
                                  <w:rFonts w:ascii="Arial"/>
                                  <w:color w:val="231F20"/>
                                  <w:sz w:val="14"/>
                                </w:rPr>
                                <w:t>2.2</w:t>
                              </w:r>
                              <w:r>
                                <w:rPr>
                                  <w:rFonts w:ascii="Arial"/>
                                  <w:color w:val="231F20"/>
                                  <w:spacing w:val="38"/>
                                  <w:sz w:val="14"/>
                                </w:rPr>
                                <w:t>  </w:t>
                              </w:r>
                              <w:r>
                                <w:rPr>
                                  <w:rFonts w:ascii="Arial"/>
                                  <w:color w:val="231F20"/>
                                  <w:sz w:val="14"/>
                                </w:rPr>
                                <w:t>2.4</w:t>
                              </w:r>
                              <w:r>
                                <w:rPr>
                                  <w:rFonts w:ascii="Arial"/>
                                  <w:color w:val="231F20"/>
                                  <w:spacing w:val="38"/>
                                  <w:sz w:val="14"/>
                                </w:rPr>
                                <w:t>  </w:t>
                              </w:r>
                              <w:r>
                                <w:rPr>
                                  <w:rFonts w:ascii="Arial"/>
                                  <w:color w:val="231F20"/>
                                  <w:sz w:val="14"/>
                                </w:rPr>
                                <w:t>2.6</w:t>
                              </w:r>
                              <w:r>
                                <w:rPr>
                                  <w:rFonts w:ascii="Arial"/>
                                  <w:color w:val="231F20"/>
                                  <w:spacing w:val="39"/>
                                  <w:sz w:val="14"/>
                                </w:rPr>
                                <w:t>  </w:t>
                              </w:r>
                              <w:r>
                                <w:rPr>
                                  <w:rFonts w:ascii="Arial"/>
                                  <w:color w:val="231F20"/>
                                  <w:sz w:val="14"/>
                                </w:rPr>
                                <w:t>2.8</w:t>
                              </w:r>
                              <w:r>
                                <w:rPr>
                                  <w:rFonts w:ascii="Arial"/>
                                  <w:color w:val="231F20"/>
                                  <w:spacing w:val="39"/>
                                  <w:sz w:val="14"/>
                                </w:rPr>
                                <w:t>  </w:t>
                              </w:r>
                              <w:r>
                                <w:rPr>
                                  <w:rFonts w:ascii="Arial"/>
                                  <w:color w:val="231F20"/>
                                  <w:sz w:val="14"/>
                                </w:rPr>
                                <w:t>3.0</w:t>
                              </w:r>
                              <w:r>
                                <w:rPr>
                                  <w:rFonts w:ascii="Arial"/>
                                  <w:color w:val="231F20"/>
                                  <w:spacing w:val="38"/>
                                  <w:sz w:val="14"/>
                                </w:rPr>
                                <w:t>  </w:t>
                              </w:r>
                              <w:r>
                                <w:rPr>
                                  <w:rFonts w:ascii="Arial"/>
                                  <w:color w:val="231F20"/>
                                  <w:sz w:val="14"/>
                                </w:rPr>
                                <w:t>3.2</w:t>
                              </w:r>
                              <w:r>
                                <w:rPr>
                                  <w:rFonts w:ascii="Arial"/>
                                  <w:color w:val="231F20"/>
                                  <w:spacing w:val="38"/>
                                  <w:sz w:val="14"/>
                                </w:rPr>
                                <w:t>  </w:t>
                              </w:r>
                              <w:r>
                                <w:rPr>
                                  <w:rFonts w:ascii="Arial"/>
                                  <w:color w:val="231F20"/>
                                  <w:sz w:val="14"/>
                                </w:rPr>
                                <w:t>3.4</w:t>
                              </w:r>
                              <w:r>
                                <w:rPr>
                                  <w:rFonts w:ascii="Arial"/>
                                  <w:color w:val="231F20"/>
                                  <w:spacing w:val="38"/>
                                  <w:sz w:val="14"/>
                                </w:rPr>
                                <w:t>  </w:t>
                              </w:r>
                              <w:r>
                                <w:rPr>
                                  <w:rFonts w:ascii="Arial"/>
                                  <w:color w:val="231F20"/>
                                  <w:sz w:val="14"/>
                                </w:rPr>
                                <w:t>3.6</w:t>
                              </w:r>
                              <w:r>
                                <w:rPr>
                                  <w:rFonts w:ascii="Arial"/>
                                  <w:color w:val="231F20"/>
                                  <w:spacing w:val="38"/>
                                  <w:sz w:val="14"/>
                                </w:rPr>
                                <w:t>  </w:t>
                              </w:r>
                              <w:r>
                                <w:rPr>
                                  <w:rFonts w:ascii="Arial"/>
                                  <w:color w:val="231F20"/>
                                  <w:sz w:val="14"/>
                                </w:rPr>
                                <w:t>3.8</w:t>
                              </w:r>
                              <w:r>
                                <w:rPr>
                                  <w:rFonts w:ascii="Arial"/>
                                  <w:color w:val="231F20"/>
                                  <w:spacing w:val="38"/>
                                  <w:sz w:val="14"/>
                                </w:rPr>
                                <w:t>  </w:t>
                              </w:r>
                              <w:r>
                                <w:rPr>
                                  <w:rFonts w:ascii="Arial"/>
                                  <w:color w:val="231F20"/>
                                  <w:sz w:val="14"/>
                                </w:rPr>
                                <w:t>4.0</w:t>
                              </w:r>
                              <w:r>
                                <w:rPr>
                                  <w:rFonts w:ascii="Arial"/>
                                  <w:color w:val="231F20"/>
                                  <w:spacing w:val="39"/>
                                  <w:sz w:val="14"/>
                                </w:rPr>
                                <w:t>  </w:t>
                              </w:r>
                              <w:r>
                                <w:rPr>
                                  <w:rFonts w:ascii="Arial"/>
                                  <w:color w:val="231F20"/>
                                  <w:sz w:val="14"/>
                                </w:rPr>
                                <w:t>4.2</w:t>
                              </w:r>
                              <w:r>
                                <w:rPr>
                                  <w:rFonts w:ascii="Arial"/>
                                  <w:color w:val="231F20"/>
                                  <w:spacing w:val="38"/>
                                  <w:sz w:val="14"/>
                                </w:rPr>
                                <w:t>  </w:t>
                              </w:r>
                              <w:r>
                                <w:rPr>
                                  <w:rFonts w:ascii="Arial"/>
                                  <w:color w:val="231F20"/>
                                  <w:sz w:val="14"/>
                                </w:rPr>
                                <w:t>4.4</w:t>
                              </w:r>
                              <w:r>
                                <w:rPr>
                                  <w:rFonts w:ascii="Arial"/>
                                  <w:color w:val="231F20"/>
                                  <w:spacing w:val="38"/>
                                  <w:sz w:val="14"/>
                                </w:rPr>
                                <w:t>  </w:t>
                              </w:r>
                              <w:r>
                                <w:rPr>
                                  <w:rFonts w:ascii="Arial"/>
                                  <w:color w:val="231F20"/>
                                  <w:sz w:val="14"/>
                                </w:rPr>
                                <w:t>4.6</w:t>
                              </w:r>
                              <w:r>
                                <w:rPr>
                                  <w:rFonts w:ascii="Arial"/>
                                  <w:color w:val="231F20"/>
                                  <w:spacing w:val="38"/>
                                  <w:sz w:val="14"/>
                                </w:rPr>
                                <w:t>  </w:t>
                              </w:r>
                              <w:r>
                                <w:rPr>
                                  <w:rFonts w:ascii="Arial"/>
                                  <w:color w:val="231F20"/>
                                  <w:sz w:val="14"/>
                                </w:rPr>
                                <w:t>4.8</w:t>
                              </w:r>
                              <w:r>
                                <w:rPr>
                                  <w:rFonts w:ascii="Arial"/>
                                  <w:color w:val="231F20"/>
                                  <w:spacing w:val="38"/>
                                  <w:sz w:val="14"/>
                                </w:rPr>
                                <w:t>  </w:t>
                              </w:r>
                              <w:r>
                                <w:rPr>
                                  <w:rFonts w:ascii="Arial"/>
                                  <w:color w:val="231F20"/>
                                  <w:spacing w:val="-5"/>
                                  <w:sz w:val="14"/>
                                </w:rPr>
                                <w:t>5.0</w:t>
                              </w:r>
                            </w:p>
                            <w:p>
                              <w:pPr>
                                <w:spacing w:before="39"/>
                                <w:ind w:left="207" w:right="0" w:firstLine="0"/>
                                <w:jc w:val="center"/>
                                <w:rPr>
                                  <w:rFonts w:ascii="Arial"/>
                                  <w:sz w:val="14"/>
                                </w:rPr>
                              </w:pPr>
                              <w:r>
                                <w:rPr>
                                  <w:rFonts w:ascii="Arial"/>
                                  <w:color w:val="231F20"/>
                                  <w:w w:val="75"/>
                                  <w:sz w:val="14"/>
                                </w:rPr>
                                <w:t>Overall</w:t>
                              </w:r>
                              <w:r>
                                <w:rPr>
                                  <w:rFonts w:ascii="Arial"/>
                                  <w:color w:val="231F20"/>
                                  <w:spacing w:val="-7"/>
                                  <w:sz w:val="14"/>
                                </w:rPr>
                                <w:t> </w:t>
                              </w:r>
                              <w:r>
                                <w:rPr>
                                  <w:rFonts w:ascii="Arial"/>
                                  <w:color w:val="231F20"/>
                                  <w:w w:val="75"/>
                                  <w:sz w:val="14"/>
                                </w:rPr>
                                <w:t>LPI</w:t>
                              </w:r>
                              <w:r>
                                <w:rPr>
                                  <w:rFonts w:ascii="Arial"/>
                                  <w:color w:val="231F20"/>
                                  <w:spacing w:val="-7"/>
                                  <w:sz w:val="14"/>
                                </w:rPr>
                                <w:t> </w:t>
                              </w:r>
                              <w:r>
                                <w:rPr>
                                  <w:rFonts w:ascii="Arial"/>
                                  <w:color w:val="231F20"/>
                                  <w:spacing w:val="-2"/>
                                  <w:w w:val="75"/>
                                  <w:sz w:val="14"/>
                                </w:rPr>
                                <w:t>score</w:t>
                              </w:r>
                            </w:p>
                            <w:p>
                              <w:pPr>
                                <w:spacing w:before="113"/>
                                <w:ind w:left="0" w:right="0" w:firstLine="0"/>
                                <w:jc w:val="left"/>
                                <w:rPr>
                                  <w:rFonts w:ascii="Arial"/>
                                  <w:sz w:val="12"/>
                                </w:rPr>
                              </w:pPr>
                              <w:r>
                                <w:rPr>
                                  <w:rFonts w:ascii="Arial"/>
                                  <w:i/>
                                  <w:color w:val="231F20"/>
                                  <w:w w:val="75"/>
                                  <w:sz w:val="12"/>
                                </w:rPr>
                                <w:t>Source:</w:t>
                              </w:r>
                              <w:r>
                                <w:rPr>
                                  <w:rFonts w:ascii="Arial"/>
                                  <w:i/>
                                  <w:color w:val="231F20"/>
                                  <w:spacing w:val="9"/>
                                  <w:sz w:val="12"/>
                                </w:rPr>
                                <w:t> </w:t>
                              </w:r>
                              <w:r>
                                <w:rPr>
                                  <w:rFonts w:ascii="Arial"/>
                                  <w:color w:val="231F20"/>
                                  <w:w w:val="75"/>
                                  <w:sz w:val="12"/>
                                </w:rPr>
                                <w:t>2023</w:t>
                              </w:r>
                              <w:r>
                                <w:rPr>
                                  <w:rFonts w:ascii="Arial"/>
                                  <w:color w:val="231F20"/>
                                  <w:spacing w:val="16"/>
                                  <w:sz w:val="12"/>
                                </w:rPr>
                                <w:t> </w:t>
                              </w:r>
                              <w:r>
                                <w:rPr>
                                  <w:rFonts w:ascii="Arial"/>
                                  <w:color w:val="231F20"/>
                                  <w:w w:val="75"/>
                                  <w:sz w:val="12"/>
                                </w:rPr>
                                <w:t>Logistics</w:t>
                              </w:r>
                              <w:r>
                                <w:rPr>
                                  <w:rFonts w:ascii="Arial"/>
                                  <w:color w:val="231F20"/>
                                  <w:spacing w:val="16"/>
                                  <w:sz w:val="12"/>
                                </w:rPr>
                                <w:t> </w:t>
                              </w:r>
                              <w:r>
                                <w:rPr>
                                  <w:rFonts w:ascii="Arial"/>
                                  <w:color w:val="231F20"/>
                                  <w:w w:val="75"/>
                                  <w:sz w:val="12"/>
                                </w:rPr>
                                <w:t>Performance</w:t>
                              </w:r>
                              <w:r>
                                <w:rPr>
                                  <w:rFonts w:ascii="Arial"/>
                                  <w:color w:val="231F20"/>
                                  <w:spacing w:val="16"/>
                                  <w:sz w:val="12"/>
                                </w:rPr>
                                <w:t> </w:t>
                              </w:r>
                              <w:r>
                                <w:rPr>
                                  <w:rFonts w:ascii="Arial"/>
                                  <w:color w:val="231F20"/>
                                  <w:spacing w:val="-2"/>
                                  <w:w w:val="75"/>
                                  <w:sz w:val="12"/>
                                </w:rPr>
                                <w:t>Index.</w:t>
                              </w:r>
                            </w:p>
                            <w:p>
                              <w:pPr>
                                <w:spacing w:line="242" w:lineRule="auto" w:before="1"/>
                                <w:ind w:left="0" w:right="0" w:firstLine="0"/>
                                <w:jc w:val="left"/>
                                <w:rPr>
                                  <w:rFonts w:ascii="Arial"/>
                                  <w:sz w:val="12"/>
                                </w:rPr>
                              </w:pPr>
                              <w:r>
                                <w:rPr>
                                  <w:rFonts w:ascii="Arial"/>
                                  <w:i/>
                                  <w:color w:val="231F20"/>
                                  <w:w w:val="80"/>
                                  <w:sz w:val="12"/>
                                </w:rPr>
                                <w:t>Note:</w:t>
                              </w:r>
                              <w:r>
                                <w:rPr>
                                  <w:rFonts w:ascii="Arial"/>
                                  <w:i/>
                                  <w:color w:val="231F20"/>
                                  <w:spacing w:val="-3"/>
                                  <w:w w:val="80"/>
                                  <w:sz w:val="12"/>
                                </w:rPr>
                                <w:t> </w:t>
                              </w:r>
                              <w:r>
                                <w:rPr>
                                  <w:rFonts w:ascii="Arial"/>
                                  <w:color w:val="231F20"/>
                                  <w:w w:val="80"/>
                                  <w:sz w:val="12"/>
                                </w:rPr>
                                <w:t>Vertical</w:t>
                              </w:r>
                              <w:r>
                                <w:rPr>
                                  <w:rFonts w:ascii="Arial"/>
                                  <w:color w:val="231F20"/>
                                  <w:spacing w:val="-1"/>
                                  <w:w w:val="80"/>
                                  <w:sz w:val="12"/>
                                </w:rPr>
                                <w:t> </w:t>
                              </w:r>
                              <w:r>
                                <w:rPr>
                                  <w:rFonts w:ascii="Arial"/>
                                  <w:color w:val="231F20"/>
                                  <w:w w:val="80"/>
                                  <w:sz w:val="12"/>
                                </w:rPr>
                                <w:t>lines</w:t>
                              </w:r>
                              <w:r>
                                <w:rPr>
                                  <w:rFonts w:ascii="Arial"/>
                                  <w:color w:val="231F20"/>
                                  <w:spacing w:val="-2"/>
                                  <w:w w:val="80"/>
                                  <w:sz w:val="12"/>
                                </w:rPr>
                                <w:t> </w:t>
                              </w:r>
                              <w:r>
                                <w:rPr>
                                  <w:rFonts w:ascii="Arial"/>
                                  <w:color w:val="231F20"/>
                                  <w:w w:val="80"/>
                                  <w:sz w:val="12"/>
                                </w:rPr>
                                <w:t>correspond</w:t>
                              </w:r>
                              <w:r>
                                <w:rPr>
                                  <w:rFonts w:ascii="Arial"/>
                                  <w:color w:val="231F20"/>
                                  <w:spacing w:val="-2"/>
                                  <w:w w:val="80"/>
                                  <w:sz w:val="12"/>
                                </w:rPr>
                                <w:t> </w:t>
                              </w:r>
                              <w:r>
                                <w:rPr>
                                  <w:rFonts w:ascii="Arial"/>
                                  <w:color w:val="231F20"/>
                                  <w:w w:val="80"/>
                                  <w:sz w:val="12"/>
                                </w:rPr>
                                <w:t>to</w:t>
                              </w:r>
                              <w:r>
                                <w:rPr>
                                  <w:rFonts w:ascii="Arial"/>
                                  <w:color w:val="231F20"/>
                                  <w:spacing w:val="-1"/>
                                  <w:w w:val="80"/>
                                  <w:sz w:val="12"/>
                                </w:rPr>
                                <w:t> </w:t>
                              </w:r>
                              <w:r>
                                <w:rPr>
                                  <w:rFonts w:ascii="Arial"/>
                                  <w:color w:val="231F20"/>
                                  <w:w w:val="80"/>
                                  <w:sz w:val="12"/>
                                </w:rPr>
                                <w:t>score</w:t>
                              </w:r>
                              <w:r>
                                <w:rPr>
                                  <w:rFonts w:ascii="Arial"/>
                                  <w:color w:val="231F20"/>
                                  <w:spacing w:val="-2"/>
                                  <w:w w:val="80"/>
                                  <w:sz w:val="12"/>
                                </w:rPr>
                                <w:t> </w:t>
                              </w:r>
                              <w:r>
                                <w:rPr>
                                  <w:rFonts w:ascii="Arial"/>
                                  <w:color w:val="231F20"/>
                                  <w:w w:val="80"/>
                                  <w:sz w:val="12"/>
                                </w:rPr>
                                <w:t>cutoffs</w:t>
                              </w:r>
                              <w:r>
                                <w:rPr>
                                  <w:rFonts w:ascii="Arial"/>
                                  <w:color w:val="231F20"/>
                                  <w:spacing w:val="-2"/>
                                  <w:w w:val="80"/>
                                  <w:sz w:val="12"/>
                                </w:rPr>
                                <w:t> </w:t>
                              </w:r>
                              <w:r>
                                <w:rPr>
                                  <w:rFonts w:ascii="Arial"/>
                                  <w:color w:val="231F20"/>
                                  <w:w w:val="80"/>
                                  <w:sz w:val="12"/>
                                </w:rPr>
                                <w:t>for</w:t>
                              </w:r>
                              <w:r>
                                <w:rPr>
                                  <w:rFonts w:ascii="Arial"/>
                                  <w:color w:val="231F20"/>
                                  <w:spacing w:val="-1"/>
                                  <w:w w:val="80"/>
                                  <w:sz w:val="12"/>
                                </w:rPr>
                                <w:t> </w:t>
                              </w:r>
                              <w:r>
                                <w:rPr>
                                  <w:rFonts w:ascii="Arial"/>
                                  <w:color w:val="231F20"/>
                                  <w:w w:val="80"/>
                                  <w:sz w:val="12"/>
                                </w:rPr>
                                <w:t>the</w:t>
                              </w:r>
                              <w:r>
                                <w:rPr>
                                  <w:rFonts w:ascii="Arial"/>
                                  <w:color w:val="231F20"/>
                                  <w:spacing w:val="-2"/>
                                  <w:w w:val="80"/>
                                  <w:sz w:val="12"/>
                                </w:rPr>
                                <w:t> </w:t>
                              </w:r>
                              <w:r>
                                <w:rPr>
                                  <w:rFonts w:ascii="Arial"/>
                                  <w:color w:val="231F20"/>
                                  <w:w w:val="80"/>
                                  <w:sz w:val="12"/>
                                </w:rPr>
                                <w:t>four</w:t>
                              </w:r>
                              <w:r>
                                <w:rPr>
                                  <w:rFonts w:ascii="Arial"/>
                                  <w:color w:val="231F20"/>
                                  <w:spacing w:val="-2"/>
                                  <w:w w:val="80"/>
                                  <w:sz w:val="12"/>
                                </w:rPr>
                                <w:t> </w:t>
                              </w:r>
                              <w:r>
                                <w:rPr>
                                  <w:rFonts w:ascii="Arial"/>
                                  <w:color w:val="231F20"/>
                                  <w:w w:val="80"/>
                                  <w:sz w:val="12"/>
                                </w:rPr>
                                <w:t>performance</w:t>
                              </w:r>
                              <w:r>
                                <w:rPr>
                                  <w:rFonts w:ascii="Arial"/>
                                  <w:color w:val="231F20"/>
                                  <w:spacing w:val="-1"/>
                                  <w:w w:val="80"/>
                                  <w:sz w:val="12"/>
                                </w:rPr>
                                <w:t> </w:t>
                              </w:r>
                              <w:r>
                                <w:rPr>
                                  <w:rFonts w:ascii="Arial"/>
                                  <w:color w:val="231F20"/>
                                  <w:w w:val="80"/>
                                  <w:sz w:val="12"/>
                                </w:rPr>
                                <w:t>groups</w:t>
                              </w:r>
                              <w:r>
                                <w:rPr>
                                  <w:rFonts w:ascii="Arial"/>
                                  <w:color w:val="231F20"/>
                                  <w:spacing w:val="-2"/>
                                  <w:w w:val="80"/>
                                  <w:sz w:val="12"/>
                                </w:rPr>
                                <w:t> </w:t>
                              </w:r>
                              <w:r>
                                <w:rPr>
                                  <w:rFonts w:ascii="Arial"/>
                                  <w:color w:val="231F20"/>
                                  <w:w w:val="80"/>
                                  <w:sz w:val="12"/>
                                </w:rPr>
                                <w:t>identified</w:t>
                              </w:r>
                              <w:r>
                                <w:rPr>
                                  <w:rFonts w:ascii="Arial"/>
                                  <w:color w:val="231F20"/>
                                  <w:spacing w:val="-2"/>
                                  <w:w w:val="80"/>
                                  <w:sz w:val="12"/>
                                </w:rPr>
                                <w:t> </w:t>
                              </w:r>
                              <w:r>
                                <w:rPr>
                                  <w:rFonts w:ascii="Arial"/>
                                  <w:color w:val="231F20"/>
                                  <w:w w:val="80"/>
                                  <w:sz w:val="12"/>
                                </w:rPr>
                                <w:t>in</w:t>
                              </w:r>
                              <w:r>
                                <w:rPr>
                                  <w:rFonts w:ascii="Arial"/>
                                  <w:color w:val="231F20"/>
                                  <w:spacing w:val="-1"/>
                                  <w:w w:val="80"/>
                                  <w:sz w:val="12"/>
                                </w:rPr>
                                <w:t> </w:t>
                              </w:r>
                              <w:r>
                                <w:rPr>
                                  <w:rFonts w:ascii="Arial"/>
                                  <w:color w:val="231F20"/>
                                  <w:w w:val="80"/>
                                  <w:sz w:val="12"/>
                                </w:rPr>
                                <w:t>the</w:t>
                              </w:r>
                              <w:r>
                                <w:rPr>
                                  <w:rFonts w:ascii="Arial"/>
                                  <w:color w:val="231F20"/>
                                  <w:spacing w:val="-2"/>
                                  <w:w w:val="80"/>
                                  <w:sz w:val="12"/>
                                </w:rPr>
                                <w:t> </w:t>
                              </w:r>
                              <w:r>
                                <w:rPr>
                                  <w:rFonts w:ascii="Arial"/>
                                  <w:color w:val="231F20"/>
                                  <w:w w:val="80"/>
                                  <w:sz w:val="12"/>
                                </w:rPr>
                                <w:t>main</w:t>
                              </w:r>
                              <w:r>
                                <w:rPr>
                                  <w:rFonts w:ascii="Arial"/>
                                  <w:color w:val="231F20"/>
                                  <w:spacing w:val="-2"/>
                                  <w:w w:val="80"/>
                                  <w:sz w:val="12"/>
                                </w:rPr>
                                <w:t> </w:t>
                              </w:r>
                              <w:r>
                                <w:rPr>
                                  <w:rFonts w:ascii="Arial"/>
                                  <w:color w:val="231F20"/>
                                  <w:w w:val="80"/>
                                  <w:sz w:val="12"/>
                                </w:rPr>
                                <w:t>text.</w:t>
                              </w:r>
                              <w:r>
                                <w:rPr>
                                  <w:rFonts w:ascii="Arial"/>
                                  <w:color w:val="231F20"/>
                                  <w:spacing w:val="-2"/>
                                  <w:w w:val="80"/>
                                  <w:sz w:val="12"/>
                                </w:rPr>
                                <w:t> </w:t>
                              </w:r>
                              <w:r>
                                <w:rPr>
                                  <w:rFonts w:ascii="Arial"/>
                                  <w:color w:val="231F20"/>
                                  <w:w w:val="80"/>
                                  <w:sz w:val="12"/>
                                </w:rPr>
                                <w:t>Four</w:t>
                              </w:r>
                              <w:r>
                                <w:rPr>
                                  <w:rFonts w:ascii="Arial"/>
                                  <w:color w:val="231F20"/>
                                  <w:spacing w:val="-2"/>
                                  <w:w w:val="80"/>
                                  <w:sz w:val="12"/>
                                </w:rPr>
                                <w:t> </w:t>
                              </w:r>
                              <w:r>
                                <w:rPr>
                                  <w:rFonts w:ascii="Arial"/>
                                  <w:color w:val="231F20"/>
                                  <w:w w:val="80"/>
                                  <w:sz w:val="12"/>
                                </w:rPr>
                                <w:t>groups</w:t>
                              </w:r>
                              <w:r>
                                <w:rPr>
                                  <w:rFonts w:ascii="Arial"/>
                                  <w:color w:val="231F20"/>
                                  <w:spacing w:val="-1"/>
                                  <w:w w:val="80"/>
                                  <w:sz w:val="12"/>
                                </w:rPr>
                                <w:t> </w:t>
                              </w:r>
                              <w:r>
                                <w:rPr>
                                  <w:rFonts w:ascii="Arial"/>
                                  <w:color w:val="231F20"/>
                                  <w:w w:val="80"/>
                                  <w:sz w:val="12"/>
                                </w:rPr>
                                <w:t>are</w:t>
                              </w:r>
                              <w:r>
                                <w:rPr>
                                  <w:rFonts w:ascii="Arial"/>
                                  <w:color w:val="231F20"/>
                                  <w:spacing w:val="-2"/>
                                  <w:w w:val="80"/>
                                  <w:sz w:val="12"/>
                                </w:rPr>
                                <w:t> </w:t>
                              </w:r>
                              <w:r>
                                <w:rPr>
                                  <w:rFonts w:ascii="Arial"/>
                                  <w:color w:val="231F20"/>
                                  <w:w w:val="80"/>
                                  <w:sz w:val="12"/>
                                </w:rPr>
                                <w:t>displayed</w:t>
                              </w:r>
                              <w:r>
                                <w:rPr>
                                  <w:rFonts w:ascii="Arial"/>
                                  <w:color w:val="231F20"/>
                                  <w:spacing w:val="-1"/>
                                  <w:w w:val="80"/>
                                  <w:sz w:val="12"/>
                                </w:rPr>
                                <w:t> </w:t>
                              </w:r>
                              <w:r>
                                <w:rPr>
                                  <w:rFonts w:ascii="Arial"/>
                                  <w:color w:val="231F20"/>
                                  <w:w w:val="80"/>
                                  <w:sz w:val="12"/>
                                </w:rPr>
                                <w:t>because</w:t>
                              </w:r>
                              <w:r>
                                <w:rPr>
                                  <w:rFonts w:ascii="Arial"/>
                                  <w:color w:val="231F20"/>
                                  <w:spacing w:val="-2"/>
                                  <w:w w:val="80"/>
                                  <w:sz w:val="12"/>
                                </w:rPr>
                                <w:t> </w:t>
                              </w:r>
                              <w:r>
                                <w:rPr>
                                  <w:rFonts w:ascii="Arial"/>
                                  <w:color w:val="231F20"/>
                                  <w:w w:val="80"/>
                                  <w:sz w:val="12"/>
                                </w:rPr>
                                <w:t>the</w:t>
                              </w:r>
                              <w:r>
                                <w:rPr>
                                  <w:rFonts w:ascii="Arial"/>
                                  <w:color w:val="231F20"/>
                                  <w:spacing w:val="-1"/>
                                  <w:w w:val="80"/>
                                  <w:sz w:val="12"/>
                                </w:rPr>
                                <w:t> </w:t>
                              </w:r>
                              <w:r>
                                <w:rPr>
                                  <w:rFonts w:ascii="Arial"/>
                                  <w:color w:val="231F20"/>
                                  <w:w w:val="80"/>
                                  <w:sz w:val="12"/>
                                </w:rPr>
                                <w:t>partial</w:t>
                              </w:r>
                              <w:r>
                                <w:rPr>
                                  <w:rFonts w:ascii="Arial"/>
                                  <w:color w:val="231F20"/>
                                  <w:spacing w:val="-1"/>
                                  <w:w w:val="80"/>
                                  <w:sz w:val="12"/>
                                </w:rPr>
                                <w:t> </w:t>
                              </w:r>
                              <w:r>
                                <w:rPr>
                                  <w:rFonts w:ascii="Arial"/>
                                  <w:color w:val="231F20"/>
                                  <w:w w:val="80"/>
                                  <w:sz w:val="12"/>
                                </w:rPr>
                                <w:t>performers</w:t>
                              </w:r>
                              <w:r>
                                <w:rPr>
                                  <w:rFonts w:ascii="Arial"/>
                                  <w:color w:val="231F20"/>
                                  <w:spacing w:val="-2"/>
                                  <w:w w:val="80"/>
                                  <w:sz w:val="12"/>
                                </w:rPr>
                                <w:t> </w:t>
                              </w:r>
                              <w:r>
                                <w:rPr>
                                  <w:rFonts w:ascii="Arial"/>
                                  <w:color w:val="231F20"/>
                                  <w:w w:val="80"/>
                                  <w:sz w:val="12"/>
                                </w:rPr>
                                <w:t>group</w:t>
                              </w:r>
                              <w:r>
                                <w:rPr>
                                  <w:rFonts w:ascii="Arial"/>
                                  <w:color w:val="231F20"/>
                                  <w:spacing w:val="40"/>
                                  <w:sz w:val="12"/>
                                </w:rPr>
                                <w:t> </w:t>
                              </w:r>
                              <w:r>
                                <w:rPr>
                                  <w:rFonts w:ascii="Arial"/>
                                  <w:color w:val="231F20"/>
                                  <w:spacing w:val="-2"/>
                                  <w:w w:val="90"/>
                                  <w:sz w:val="12"/>
                                </w:rPr>
                                <w:t>includes</w:t>
                              </w:r>
                              <w:r>
                                <w:rPr>
                                  <w:rFonts w:ascii="Arial"/>
                                  <w:color w:val="231F20"/>
                                  <w:spacing w:val="-5"/>
                                  <w:w w:val="90"/>
                                  <w:sz w:val="12"/>
                                </w:rPr>
                                <w:t> </w:t>
                              </w:r>
                              <w:r>
                                <w:rPr>
                                  <w:rFonts w:ascii="Arial"/>
                                  <w:color w:val="231F20"/>
                                  <w:spacing w:val="-2"/>
                                  <w:w w:val="90"/>
                                  <w:sz w:val="12"/>
                                </w:rPr>
                                <w:t>two</w:t>
                              </w:r>
                              <w:r>
                                <w:rPr>
                                  <w:rFonts w:ascii="Arial"/>
                                  <w:color w:val="231F20"/>
                                  <w:spacing w:val="-3"/>
                                  <w:w w:val="90"/>
                                  <w:sz w:val="12"/>
                                </w:rPr>
                                <w:t> </w:t>
                              </w:r>
                              <w:r>
                                <w:rPr>
                                  <w:rFonts w:ascii="Arial"/>
                                  <w:color w:val="231F20"/>
                                  <w:spacing w:val="-2"/>
                                  <w:w w:val="90"/>
                                  <w:sz w:val="12"/>
                                </w:rPr>
                                <w:t>quintiles</w:t>
                              </w:r>
                              <w:r>
                                <w:rPr>
                                  <w:rFonts w:ascii="Arial"/>
                                  <w:color w:val="231F20"/>
                                  <w:spacing w:val="-3"/>
                                  <w:w w:val="90"/>
                                  <w:sz w:val="12"/>
                                </w:rPr>
                                <w:t> </w:t>
                              </w:r>
                              <w:r>
                                <w:rPr>
                                  <w:rFonts w:ascii="Arial"/>
                                  <w:color w:val="231F20"/>
                                  <w:spacing w:val="-2"/>
                                  <w:w w:val="90"/>
                                  <w:sz w:val="12"/>
                                </w:rPr>
                                <w:t>(the</w:t>
                              </w:r>
                              <w:r>
                                <w:rPr>
                                  <w:rFonts w:ascii="Arial"/>
                                  <w:color w:val="231F20"/>
                                  <w:spacing w:val="-3"/>
                                  <w:w w:val="90"/>
                                  <w:sz w:val="12"/>
                                </w:rPr>
                                <w:t> </w:t>
                              </w:r>
                              <w:r>
                                <w:rPr>
                                  <w:rFonts w:ascii="Arial"/>
                                  <w:color w:val="231F20"/>
                                  <w:spacing w:val="-2"/>
                                  <w:w w:val="90"/>
                                  <w:sz w:val="12"/>
                                </w:rPr>
                                <w:t>middle</w:t>
                              </w:r>
                              <w:r>
                                <w:rPr>
                                  <w:rFonts w:ascii="Arial"/>
                                  <w:color w:val="231F20"/>
                                  <w:spacing w:val="-3"/>
                                  <w:w w:val="90"/>
                                  <w:sz w:val="12"/>
                                </w:rPr>
                                <w:t> </w:t>
                              </w:r>
                              <w:r>
                                <w:rPr>
                                  <w:rFonts w:ascii="Arial"/>
                                  <w:color w:val="231F20"/>
                                  <w:spacing w:val="-2"/>
                                  <w:w w:val="90"/>
                                  <w:sz w:val="12"/>
                                </w:rPr>
                                <w:t>and</w:t>
                              </w:r>
                              <w:r>
                                <w:rPr>
                                  <w:rFonts w:ascii="Arial"/>
                                  <w:color w:val="231F20"/>
                                  <w:spacing w:val="-3"/>
                                  <w:w w:val="90"/>
                                  <w:sz w:val="12"/>
                                </w:rPr>
                                <w:t> </w:t>
                              </w:r>
                              <w:r>
                                <w:rPr>
                                  <w:rFonts w:ascii="Arial"/>
                                  <w:color w:val="231F20"/>
                                  <w:spacing w:val="-2"/>
                                  <w:w w:val="90"/>
                                  <w:sz w:val="12"/>
                                </w:rPr>
                                <w:t>the</w:t>
                              </w:r>
                              <w:r>
                                <w:rPr>
                                  <w:rFonts w:ascii="Arial"/>
                                  <w:color w:val="231F20"/>
                                  <w:spacing w:val="-3"/>
                                  <w:w w:val="90"/>
                                  <w:sz w:val="12"/>
                                </w:rPr>
                                <w:t> </w:t>
                              </w:r>
                              <w:r>
                                <w:rPr>
                                  <w:rFonts w:ascii="Arial"/>
                                  <w:color w:val="231F20"/>
                                  <w:spacing w:val="-2"/>
                                  <w:w w:val="90"/>
                                  <w:sz w:val="12"/>
                                </w:rPr>
                                <w:t>second</w:t>
                              </w:r>
                              <w:r>
                                <w:rPr>
                                  <w:rFonts w:ascii="Arial"/>
                                  <w:color w:val="231F20"/>
                                  <w:spacing w:val="-3"/>
                                  <w:w w:val="90"/>
                                  <w:sz w:val="12"/>
                                </w:rPr>
                                <w:t> </w:t>
                              </w:r>
                              <w:r>
                                <w:rPr>
                                  <w:rFonts w:ascii="Arial"/>
                                  <w:color w:val="231F20"/>
                                  <w:spacing w:val="-2"/>
                                  <w:w w:val="90"/>
                                  <w:sz w:val="12"/>
                                </w:rPr>
                                <w:t>from</w:t>
                              </w:r>
                              <w:r>
                                <w:rPr>
                                  <w:rFonts w:ascii="Arial"/>
                                  <w:color w:val="231F20"/>
                                  <w:spacing w:val="-3"/>
                                  <w:w w:val="90"/>
                                  <w:sz w:val="12"/>
                                </w:rPr>
                                <w:t> </w:t>
                              </w:r>
                              <w:r>
                                <w:rPr>
                                  <w:rFonts w:ascii="Arial"/>
                                  <w:color w:val="231F20"/>
                                  <w:spacing w:val="-2"/>
                                  <w:w w:val="90"/>
                                  <w:sz w:val="12"/>
                                </w:rPr>
                                <w:t>the</w:t>
                              </w:r>
                              <w:r>
                                <w:rPr>
                                  <w:rFonts w:ascii="Arial"/>
                                  <w:color w:val="231F20"/>
                                  <w:spacing w:val="-3"/>
                                  <w:w w:val="90"/>
                                  <w:sz w:val="12"/>
                                </w:rPr>
                                <w:t> </w:t>
                              </w:r>
                              <w:r>
                                <w:rPr>
                                  <w:rFonts w:ascii="Arial"/>
                                  <w:color w:val="231F20"/>
                                  <w:spacing w:val="-2"/>
                                  <w:w w:val="90"/>
                                  <w:sz w:val="12"/>
                                </w:rPr>
                                <w:t>bottom).</w:t>
                              </w:r>
                            </w:p>
                          </w:txbxContent>
                        </wps:txbx>
                        <wps:bodyPr wrap="square" lIns="0" tIns="0" rIns="0" bIns="0" rtlCol="0">
                          <a:noAutofit/>
                        </wps:bodyPr>
                      </wps:wsp>
                      <wps:wsp>
                        <wps:cNvPr id="565" name="Textbox 565"/>
                        <wps:cNvSpPr txBox="1"/>
                        <wps:spPr>
                          <a:xfrm>
                            <a:off x="2732685" y="694010"/>
                            <a:ext cx="433705" cy="442595"/>
                          </a:xfrm>
                          <a:prstGeom prst="rect">
                            <a:avLst/>
                          </a:prstGeom>
                        </wps:spPr>
                        <wps:txbx>
                          <w:txbxContent>
                            <w:p>
                              <w:pPr>
                                <w:spacing w:before="48"/>
                                <w:ind w:left="56" w:right="50" w:firstLine="14"/>
                                <w:jc w:val="left"/>
                                <w:rPr>
                                  <w:rFonts w:ascii="Arial"/>
                                  <w:sz w:val="14"/>
                                </w:rPr>
                              </w:pPr>
                              <w:r>
                                <w:rPr>
                                  <w:rFonts w:ascii="Arial"/>
                                  <w:color w:val="231F20"/>
                                  <w:spacing w:val="-2"/>
                                  <w:w w:val="85"/>
                                  <w:sz w:val="14"/>
                                </w:rPr>
                                <w:t>Consistent</w:t>
                              </w:r>
                              <w:r>
                                <w:rPr>
                                  <w:rFonts w:ascii="Arial"/>
                                  <w:color w:val="231F20"/>
                                  <w:spacing w:val="40"/>
                                  <w:sz w:val="14"/>
                                </w:rPr>
                                <w:t> </w:t>
                              </w:r>
                              <w:r>
                                <w:rPr>
                                  <w:rFonts w:ascii="Arial"/>
                                  <w:color w:val="231F20"/>
                                  <w:spacing w:val="-2"/>
                                  <w:w w:val="85"/>
                                  <w:sz w:val="14"/>
                                </w:rPr>
                                <w:t>performers</w:t>
                              </w:r>
                            </w:p>
                          </w:txbxContent>
                        </wps:txbx>
                        <wps:bodyPr wrap="square" lIns="0" tIns="0" rIns="0" bIns="0" rtlCol="0">
                          <a:noAutofit/>
                        </wps:bodyPr>
                      </wps:wsp>
                      <wps:wsp>
                        <wps:cNvPr id="566" name="Textbox 566"/>
                        <wps:cNvSpPr txBox="1"/>
                        <wps:spPr>
                          <a:xfrm>
                            <a:off x="1952589" y="694010"/>
                            <a:ext cx="767715" cy="113664"/>
                          </a:xfrm>
                          <a:prstGeom prst="rect">
                            <a:avLst/>
                          </a:prstGeom>
                        </wps:spPr>
                        <wps:txbx>
                          <w:txbxContent>
                            <w:p>
                              <w:pPr>
                                <w:spacing w:line="130" w:lineRule="exact" w:before="48"/>
                                <w:ind w:left="0" w:right="0" w:firstLine="0"/>
                                <w:jc w:val="center"/>
                                <w:rPr>
                                  <w:rFonts w:ascii="Arial"/>
                                  <w:sz w:val="14"/>
                                </w:rPr>
                              </w:pPr>
                              <w:r>
                                <w:rPr>
                                  <w:rFonts w:ascii="Arial"/>
                                  <w:color w:val="231F20"/>
                                  <w:spacing w:val="-2"/>
                                  <w:sz w:val="14"/>
                                </w:rPr>
                                <w:t>Partial</w:t>
                              </w:r>
                            </w:p>
                          </w:txbxContent>
                        </wps:txbx>
                        <wps:bodyPr wrap="square" lIns="0" tIns="0" rIns="0" bIns="0" rtlCol="0">
                          <a:noAutofit/>
                        </wps:bodyPr>
                      </wps:wsp>
                    </wpg:wgp>
                  </a:graphicData>
                </a:graphic>
              </wp:inline>
            </w:drawing>
          </mc:Choice>
          <mc:Fallback>
            <w:pict>
              <v:group style="width:384.05pt;height:251.4pt;mso-position-horizontal-relative:char;mso-position-vertical-relative:line" id="docshapegroup432" coordorigin="0,0" coordsize="7681,5028">
                <v:shape style="position:absolute;left:0;top:606;width:7680;height:4421" id="docshape433" coordorigin="0,606" coordsize="7680,4421" path="m7680,606l0,606,0,4909,10,4955,36,4993,74,5018,119,5027,7556,5027,7602,5019,7642,4995,7670,4958,7680,4909,7680,606xe" filled="true" fillcolor="#dfeaf7" stroked="false">
                  <v:path arrowok="t"/>
                  <v:fill type="solid"/>
                </v:shape>
                <v:shape style="position:absolute;left:0;top:0;width:807;height:565" id="docshape434" coordorigin="0,0" coordsize="807,565" path="m807,0l120,0,74,5,36,23,10,59,0,120,0,565,807,565,807,0xe" filled="true" fillcolor="#008fdd" stroked="false">
                  <v:path arrowok="t"/>
                  <v:fill type="solid"/>
                </v:shape>
                <v:shape style="position:absolute;left:806;top:0;width:6873;height:565" id="docshape435" coordorigin="807,0" coordsize="6873,565" path="m7559,0l807,0,807,565,7679,565,7679,120,7671,80,7646,41,7608,12,7559,0xe" filled="true" fillcolor="#808285" stroked="false">
                  <v:path arrowok="t"/>
                  <v:fill type="solid"/>
                </v:shape>
                <v:line style="position:absolute" from="807,0" to="807,579" stroked="true" strokeweight="2pt" strokecolor="#ffffff">
                  <v:stroke dashstyle="solid"/>
                </v:line>
                <v:shape style="position:absolute;left:432;top:3915;width:7021;height:2" id="docshape436" coordorigin="432,3915" coordsize="7021,0" path="m432,3915l7453,3915m432,3915l7453,3915e" filled="false" stroked="true" strokeweight=".5pt" strokecolor="#ffffff">
                  <v:path arrowok="t"/>
                  <v:stroke dashstyle="solid"/>
                </v:shape>
                <v:shape style="position:absolute;left:432;top:1794;width:7021;height:1414" id="docshape437" coordorigin="432,1795" coordsize="7021,1414" path="m432,3208l2395,3208m5841,3208l7453,3208m432,2502l2778,2502m3544,2502l3927,2502m4310,2502l7453,2502m432,1795l2778,1795m3161,1795l7453,1795e" filled="false" stroked="true" strokeweight=".5pt" strokecolor="#ffffff">
                  <v:path arrowok="t"/>
                  <v:stroke dashstyle="solid"/>
                </v:shape>
                <v:line style="position:absolute" from="432,1088" to="7453,1088" stroked="true" strokeweight=".5pt" strokecolor="#ffffff">
                  <v:stroke dashstyle="solid"/>
                </v:line>
                <v:line style="position:absolute" from="431,3915" to="7385,3915" stroked="true" strokeweight=".5pt" strokecolor="#ffffff">
                  <v:stroke dashstyle="solid"/>
                </v:line>
                <v:rect style="position:absolute;left:2011;top:3304;width:383;height:611" id="docshape438" filled="true" fillcolor="#008fdd" stroked="false">
                  <v:fill type="solid"/>
                </v:rect>
                <v:rect style="position:absolute;left:2011;top:3304;width:383;height:611" id="docshape439" filled="false" stroked="true" strokeweight=".25pt" strokecolor="#ffffff">
                  <v:stroke dashstyle="solid"/>
                </v:rect>
                <v:rect style="position:absolute;left:2394;top:2796;width:383;height:1119" id="docshape440" filled="true" fillcolor="#008fdd" stroked="false">
                  <v:fill type="solid"/>
                </v:rect>
                <v:rect style="position:absolute;left:2394;top:2796;width:383;height:1119" id="docshape441" filled="false" stroked="true" strokeweight=".25pt" strokecolor="#ffffff">
                  <v:stroke dashstyle="solid"/>
                </v:rect>
                <v:rect style="position:absolute;left:2777;top:1270;width:383;height:2645" id="docshape442" filled="true" fillcolor="#008fdd" stroked="false">
                  <v:fill type="solid"/>
                </v:rect>
                <v:rect style="position:absolute;left:2777;top:1270;width:383;height:2645" id="docshape443" filled="false" stroked="true" strokeweight=".25pt" strokecolor="#ffffff">
                  <v:stroke dashstyle="solid"/>
                </v:rect>
                <v:rect style="position:absolute;left:3160;top:2084;width:383;height:1831" id="docshape444" filled="true" fillcolor="#008fdd" stroked="false">
                  <v:fill type="solid"/>
                </v:rect>
                <v:rect style="position:absolute;left:3160;top:2084;width:383;height:1831" id="docshape445" filled="false" stroked="true" strokeweight=".25pt" strokecolor="#ffffff">
                  <v:stroke dashstyle="solid"/>
                </v:rect>
                <v:rect style="position:absolute;left:3543;top:2593;width:383;height:1323" id="docshape446" filled="true" fillcolor="#008fdd" stroked="false">
                  <v:fill type="solid"/>
                </v:rect>
                <v:rect style="position:absolute;left:3543;top:2593;width:383;height:1323" id="docshape447" filled="false" stroked="true" strokeweight=".25pt" strokecolor="#ffffff">
                  <v:stroke dashstyle="solid"/>
                </v:rect>
                <v:rect style="position:absolute;left:3926;top:2389;width:383;height:1526" id="docshape448" filled="true" fillcolor="#008fdd" stroked="false">
                  <v:fill type="solid"/>
                </v:rect>
                <v:rect style="position:absolute;left:3926;top:2389;width:383;height:1526" id="docshape449" filled="false" stroked="true" strokeweight=".25pt" strokecolor="#ffffff">
                  <v:stroke dashstyle="solid"/>
                </v:rect>
                <v:rect style="position:absolute;left:4309;top:2593;width:383;height:1323" id="docshape450" filled="true" fillcolor="#008fdd" stroked="false">
                  <v:fill type="solid"/>
                </v:rect>
                <v:rect style="position:absolute;left:4309;top:2593;width:383;height:1323" id="docshape451" filled="false" stroked="true" strokeweight=".25pt" strokecolor="#ffffff">
                  <v:stroke dashstyle="solid"/>
                </v:rect>
                <v:rect style="position:absolute;left:4692;top:2694;width:383;height:1221" id="docshape452" filled="true" fillcolor="#008fdd" stroked="false">
                  <v:fill type="solid"/>
                </v:rect>
                <v:rect style="position:absolute;left:4692;top:2694;width:383;height:1221" id="docshape453" filled="false" stroked="true" strokeweight=".25pt" strokecolor="#ffffff">
                  <v:stroke dashstyle="solid"/>
                </v:rect>
                <v:rect style="position:absolute;left:5075;top:2999;width:383;height:916" id="docshape454" filled="true" fillcolor="#008fdd" stroked="false">
                  <v:fill type="solid"/>
                </v:rect>
                <v:rect style="position:absolute;left:5075;top:2999;width:383;height:916" id="docshape455" filled="false" stroked="true" strokeweight=".25pt" strokecolor="#ffffff">
                  <v:stroke dashstyle="solid"/>
                </v:rect>
                <v:rect style="position:absolute;left:5458;top:2898;width:383;height:1017" id="docshape456" filled="true" fillcolor="#008fdd" stroked="false">
                  <v:fill type="solid"/>
                </v:rect>
                <v:rect style="position:absolute;left:5458;top:2898;width:383;height:1017" id="docshape457" filled="false" stroked="true" strokeweight=".25pt" strokecolor="#ffffff">
                  <v:stroke dashstyle="solid"/>
                </v:rect>
                <v:rect style="position:absolute;left:5841;top:3304;width:383;height:611" id="docshape458" filled="true" fillcolor="#008fdd" stroked="false">
                  <v:fill type="solid"/>
                </v:rect>
                <v:rect style="position:absolute;left:5841;top:3304;width:383;height:611" id="docshape459" filled="false" stroked="true" strokeweight=".25pt" strokecolor="#ffffff">
                  <v:stroke dashstyle="solid"/>
                </v:rect>
                <v:line style="position:absolute" from="3065,3915" to="3065,3875" stroked="true" strokeweight="1pt" strokecolor="#231f20">
                  <v:stroke dashstyle="solid"/>
                </v:line>
                <v:line style="position:absolute" from="3065,3815" to="3065,1158" stroked="true" strokeweight="1pt" strokecolor="#231f20">
                  <v:stroke dashstyle="shortdash"/>
                </v:line>
                <v:line style="position:absolute" from="3065,1128" to="3065,1088" stroked="true" strokeweight="1pt" strokecolor="#231f20">
                  <v:stroke dashstyle="solid"/>
                </v:line>
                <v:line style="position:absolute" from="4293,3915" to="4293,3875" stroked="true" strokeweight="1pt" strokecolor="#231f20">
                  <v:stroke dashstyle="solid"/>
                </v:line>
                <v:line style="position:absolute" from="4293,3815" to="4293,1158" stroked="true" strokeweight="1pt" strokecolor="#231f20">
                  <v:stroke dashstyle="shortdash"/>
                </v:line>
                <v:line style="position:absolute" from="4293,1128" to="4293,1088" stroked="true" strokeweight="1pt" strokecolor="#231f20">
                  <v:stroke dashstyle="solid"/>
                </v:line>
                <v:line style="position:absolute" from="4996,3915" to="4996,3875" stroked="true" strokeweight="1pt" strokecolor="#231f20">
                  <v:stroke dashstyle="solid"/>
                </v:line>
                <v:line style="position:absolute" from="4996,3815" to="4996,1158" stroked="true" strokeweight="1pt" strokecolor="#231f20">
                  <v:stroke dashstyle="shortdash"/>
                </v:line>
                <v:line style="position:absolute" from="4996,1128" to="4996,1088" stroked="true" strokeweight="1pt" strokecolor="#231f20">
                  <v:stroke dashstyle="solid"/>
                </v:line>
                <v:shape style="position:absolute;left:120;top:105;width:7030;height:1775" type="#_x0000_t202" id="docshape460" filled="false" stroked="false">
                  <v:textbox inset="0,0,0,0">
                    <w:txbxContent>
                      <w:p>
                        <w:pPr>
                          <w:spacing w:line="261" w:lineRule="auto" w:before="3"/>
                          <w:ind w:left="800" w:right="0" w:hanging="800"/>
                          <w:jc w:val="left"/>
                          <w:rPr>
                            <w:rFonts w:ascii="Arial"/>
                            <w:b/>
                            <w:sz w:val="16"/>
                          </w:rPr>
                        </w:pPr>
                        <w:bookmarkStart w:name="_bookmark18" w:id="21"/>
                        <w:bookmarkEnd w:id="21"/>
                        <w:r>
                          <w:rPr/>
                        </w:r>
                        <w:r>
                          <w:rPr>
                            <w:rFonts w:ascii="Arial"/>
                            <w:color w:val="FFFFFF"/>
                            <w:w w:val="105"/>
                            <w:sz w:val="16"/>
                          </w:rPr>
                          <w:t>Figure</w:t>
                        </w:r>
                        <w:r>
                          <w:rPr>
                            <w:rFonts w:ascii="Arial"/>
                            <w:color w:val="FFFFFF"/>
                            <w:spacing w:val="-7"/>
                            <w:w w:val="105"/>
                            <w:sz w:val="16"/>
                          </w:rPr>
                          <w:t> </w:t>
                        </w:r>
                        <w:r>
                          <w:rPr>
                            <w:rFonts w:ascii="Arial"/>
                            <w:b/>
                            <w:color w:val="FFFFFF"/>
                            <w:w w:val="105"/>
                            <w:sz w:val="16"/>
                          </w:rPr>
                          <w:t>2.1</w:t>
                        </w:r>
                        <w:r>
                          <w:rPr>
                            <w:rFonts w:ascii="Arial"/>
                            <w:b/>
                            <w:color w:val="FFFFFF"/>
                            <w:spacing w:val="80"/>
                            <w:w w:val="105"/>
                            <w:sz w:val="16"/>
                          </w:rPr>
                          <w:t> </w:t>
                        </w:r>
                        <w:r>
                          <w:rPr>
                            <w:rFonts w:ascii="Arial"/>
                            <w:b/>
                            <w:color w:val="FFFFFF"/>
                            <w:w w:val="105"/>
                            <w:sz w:val="16"/>
                          </w:rPr>
                          <w:t>Histogram</w:t>
                        </w:r>
                        <w:r>
                          <w:rPr>
                            <w:rFonts w:ascii="Arial"/>
                            <w:b/>
                            <w:color w:val="FFFFFF"/>
                            <w:spacing w:val="-7"/>
                            <w:w w:val="105"/>
                            <w:sz w:val="16"/>
                          </w:rPr>
                          <w:t> </w:t>
                        </w:r>
                        <w:r>
                          <w:rPr>
                            <w:rFonts w:ascii="Arial"/>
                            <w:b/>
                            <w:color w:val="FFFFFF"/>
                            <w:w w:val="105"/>
                            <w:sz w:val="16"/>
                          </w:rPr>
                          <w:t>of</w:t>
                        </w:r>
                        <w:r>
                          <w:rPr>
                            <w:rFonts w:ascii="Arial"/>
                            <w:b/>
                            <w:color w:val="FFFFFF"/>
                            <w:spacing w:val="-7"/>
                            <w:w w:val="105"/>
                            <w:sz w:val="16"/>
                          </w:rPr>
                          <w:t> </w:t>
                        </w:r>
                        <w:r>
                          <w:rPr>
                            <w:rFonts w:ascii="Arial"/>
                            <w:b/>
                            <w:color w:val="FFFFFF"/>
                            <w:w w:val="105"/>
                            <w:sz w:val="16"/>
                          </w:rPr>
                          <w:t>scores</w:t>
                        </w:r>
                        <w:r>
                          <w:rPr>
                            <w:rFonts w:ascii="Arial"/>
                            <w:b/>
                            <w:color w:val="FFFFFF"/>
                            <w:spacing w:val="-7"/>
                            <w:w w:val="105"/>
                            <w:sz w:val="16"/>
                          </w:rPr>
                          <w:t> </w:t>
                        </w:r>
                        <w:r>
                          <w:rPr>
                            <w:rFonts w:ascii="Arial"/>
                            <w:b/>
                            <w:color w:val="FFFFFF"/>
                            <w:w w:val="105"/>
                            <w:sz w:val="16"/>
                          </w:rPr>
                          <w:t>of</w:t>
                        </w:r>
                        <w:r>
                          <w:rPr>
                            <w:rFonts w:ascii="Arial"/>
                            <w:b/>
                            <w:color w:val="FFFFFF"/>
                            <w:spacing w:val="-7"/>
                            <w:w w:val="105"/>
                            <w:sz w:val="16"/>
                          </w:rPr>
                          <w:t> </w:t>
                        </w:r>
                        <w:r>
                          <w:rPr>
                            <w:rFonts w:ascii="Arial"/>
                            <w:b/>
                            <w:color w:val="FFFFFF"/>
                            <w:w w:val="105"/>
                            <w:sz w:val="16"/>
                          </w:rPr>
                          <w:t>the</w:t>
                        </w:r>
                        <w:r>
                          <w:rPr>
                            <w:rFonts w:ascii="Arial"/>
                            <w:b/>
                            <w:color w:val="FFFFFF"/>
                            <w:spacing w:val="-7"/>
                            <w:w w:val="105"/>
                            <w:sz w:val="16"/>
                          </w:rPr>
                          <w:t> </w:t>
                        </w:r>
                        <w:r>
                          <w:rPr>
                            <w:rFonts w:ascii="Arial"/>
                            <w:b/>
                            <w:color w:val="FFFFFF"/>
                            <w:w w:val="105"/>
                            <w:sz w:val="16"/>
                          </w:rPr>
                          <w:t>139</w:t>
                        </w:r>
                        <w:r>
                          <w:rPr>
                            <w:rFonts w:ascii="Arial"/>
                            <w:b/>
                            <w:color w:val="FFFFFF"/>
                            <w:spacing w:val="-7"/>
                            <w:w w:val="105"/>
                            <w:sz w:val="16"/>
                          </w:rPr>
                          <w:t> </w:t>
                        </w:r>
                        <w:r>
                          <w:rPr>
                            <w:rFonts w:ascii="Arial"/>
                            <w:b/>
                            <w:color w:val="FFFFFF"/>
                            <w:w w:val="105"/>
                            <w:sz w:val="16"/>
                          </w:rPr>
                          <w:t>countries</w:t>
                        </w:r>
                        <w:r>
                          <w:rPr>
                            <w:rFonts w:ascii="Arial"/>
                            <w:b/>
                            <w:color w:val="FFFFFF"/>
                            <w:spacing w:val="-7"/>
                            <w:w w:val="105"/>
                            <w:sz w:val="16"/>
                          </w:rPr>
                          <w:t> </w:t>
                        </w:r>
                        <w:r>
                          <w:rPr>
                            <w:rFonts w:ascii="Arial"/>
                            <w:b/>
                            <w:color w:val="FFFFFF"/>
                            <w:w w:val="105"/>
                            <w:sz w:val="16"/>
                          </w:rPr>
                          <w:t>and</w:t>
                        </w:r>
                        <w:r>
                          <w:rPr>
                            <w:rFonts w:ascii="Arial"/>
                            <w:b/>
                            <w:color w:val="FFFFFF"/>
                            <w:spacing w:val="-7"/>
                            <w:w w:val="105"/>
                            <w:sz w:val="16"/>
                          </w:rPr>
                          <w:t> </w:t>
                        </w:r>
                        <w:r>
                          <w:rPr>
                            <w:rFonts w:ascii="Arial"/>
                            <w:b/>
                            <w:color w:val="FFFFFF"/>
                            <w:w w:val="105"/>
                            <w:sz w:val="16"/>
                          </w:rPr>
                          <w:t>four</w:t>
                        </w:r>
                        <w:r>
                          <w:rPr>
                            <w:rFonts w:ascii="Arial"/>
                            <w:b/>
                            <w:color w:val="FFFFFF"/>
                            <w:spacing w:val="-7"/>
                            <w:w w:val="105"/>
                            <w:sz w:val="16"/>
                          </w:rPr>
                          <w:t> </w:t>
                        </w:r>
                        <w:r>
                          <w:rPr>
                            <w:rFonts w:ascii="Arial"/>
                            <w:b/>
                            <w:color w:val="FFFFFF"/>
                            <w:w w:val="105"/>
                            <w:sz w:val="16"/>
                          </w:rPr>
                          <w:t>performance</w:t>
                        </w:r>
                        <w:r>
                          <w:rPr>
                            <w:rFonts w:ascii="Arial"/>
                            <w:b/>
                            <w:color w:val="FFFFFF"/>
                            <w:spacing w:val="-7"/>
                            <w:w w:val="105"/>
                            <w:sz w:val="16"/>
                          </w:rPr>
                          <w:t> </w:t>
                        </w:r>
                        <w:r>
                          <w:rPr>
                            <w:rFonts w:ascii="Arial"/>
                            <w:b/>
                            <w:color w:val="FFFFFF"/>
                            <w:w w:val="105"/>
                            <w:sz w:val="16"/>
                          </w:rPr>
                          <w:t>groups</w:t>
                        </w:r>
                        <w:r>
                          <w:rPr>
                            <w:rFonts w:ascii="Arial"/>
                            <w:b/>
                            <w:color w:val="FFFFFF"/>
                            <w:spacing w:val="-7"/>
                            <w:w w:val="105"/>
                            <w:sz w:val="16"/>
                          </w:rPr>
                          <w:t> </w:t>
                        </w:r>
                        <w:r>
                          <w:rPr>
                            <w:rFonts w:ascii="Arial"/>
                            <w:b/>
                            <w:color w:val="FFFFFF"/>
                            <w:w w:val="105"/>
                            <w:sz w:val="16"/>
                          </w:rPr>
                          <w:t>in</w:t>
                        </w:r>
                        <w:r>
                          <w:rPr>
                            <w:rFonts w:ascii="Arial"/>
                            <w:b/>
                            <w:color w:val="FFFFFF"/>
                            <w:spacing w:val="-7"/>
                            <w:w w:val="105"/>
                            <w:sz w:val="16"/>
                          </w:rPr>
                          <w:t> </w:t>
                        </w:r>
                        <w:r>
                          <w:rPr>
                            <w:rFonts w:ascii="Arial"/>
                            <w:b/>
                            <w:color w:val="FFFFFF"/>
                            <w:w w:val="105"/>
                            <w:sz w:val="16"/>
                          </w:rPr>
                          <w:t>the 2023 LPI</w:t>
                        </w:r>
                      </w:p>
                      <w:p>
                        <w:pPr>
                          <w:spacing w:line="240" w:lineRule="auto" w:before="72"/>
                          <w:rPr>
                            <w:rFonts w:ascii="Arial"/>
                            <w:b/>
                            <w:sz w:val="16"/>
                          </w:rPr>
                        </w:pPr>
                      </w:p>
                      <w:p>
                        <w:pPr>
                          <w:spacing w:before="0"/>
                          <w:ind w:left="0" w:right="0" w:firstLine="0"/>
                          <w:jc w:val="left"/>
                          <w:rPr>
                            <w:rFonts w:ascii="Arial"/>
                            <w:sz w:val="14"/>
                          </w:rPr>
                        </w:pPr>
                        <w:r>
                          <w:rPr>
                            <w:rFonts w:ascii="Arial"/>
                            <w:color w:val="231F20"/>
                            <w:spacing w:val="-2"/>
                            <w:sz w:val="14"/>
                          </w:rPr>
                          <w:t>Percent</w:t>
                        </w:r>
                      </w:p>
                      <w:p>
                        <w:pPr>
                          <w:spacing w:line="145" w:lineRule="exact" w:before="86"/>
                          <w:ind w:left="67" w:right="0" w:firstLine="0"/>
                          <w:jc w:val="left"/>
                          <w:rPr>
                            <w:rFonts w:ascii="Arial"/>
                            <w:sz w:val="14"/>
                          </w:rPr>
                        </w:pPr>
                        <w:r>
                          <w:rPr>
                            <w:rFonts w:ascii="Arial"/>
                            <w:color w:val="231F20"/>
                            <w:spacing w:val="-5"/>
                            <w:sz w:val="14"/>
                          </w:rPr>
                          <w:t>20</w:t>
                        </w:r>
                      </w:p>
                      <w:p>
                        <w:pPr>
                          <w:tabs>
                            <w:tab w:pos="5851" w:val="left" w:leader="none"/>
                          </w:tabs>
                          <w:spacing w:line="144" w:lineRule="exact" w:before="0"/>
                          <w:ind w:left="1286" w:right="0" w:firstLine="0"/>
                          <w:jc w:val="left"/>
                          <w:rPr>
                            <w:rFonts w:ascii="Arial"/>
                            <w:sz w:val="14"/>
                          </w:rPr>
                        </w:pPr>
                        <w:r>
                          <w:rPr>
                            <w:rFonts w:ascii="Arial"/>
                            <w:color w:val="231F20"/>
                            <w:w w:val="75"/>
                            <w:sz w:val="14"/>
                          </w:rPr>
                          <w:t>Poor</w:t>
                        </w:r>
                        <w:r>
                          <w:rPr>
                            <w:rFonts w:ascii="Arial"/>
                            <w:color w:val="231F20"/>
                            <w:sz w:val="14"/>
                          </w:rPr>
                          <w:t> </w:t>
                        </w:r>
                        <w:r>
                          <w:rPr>
                            <w:rFonts w:ascii="Arial"/>
                            <w:color w:val="231F20"/>
                            <w:spacing w:val="-2"/>
                            <w:sz w:val="14"/>
                          </w:rPr>
                          <w:t>logistics</w:t>
                        </w:r>
                        <w:r>
                          <w:rPr>
                            <w:rFonts w:ascii="Arial"/>
                            <w:color w:val="231F20"/>
                            <w:sz w:val="14"/>
                          </w:rPr>
                          <w:tab/>
                        </w:r>
                        <w:r>
                          <w:rPr>
                            <w:rFonts w:ascii="Arial"/>
                            <w:color w:val="231F20"/>
                            <w:spacing w:val="-2"/>
                            <w:sz w:val="14"/>
                          </w:rPr>
                          <w:t>Logistics-</w:t>
                        </w:r>
                      </w:p>
                      <w:p>
                        <w:pPr>
                          <w:tabs>
                            <w:tab w:pos="3273" w:val="left" w:leader="none"/>
                            <w:tab w:pos="5912" w:val="left" w:leader="none"/>
                          </w:tabs>
                          <w:spacing w:line="161" w:lineRule="exact" w:before="0"/>
                          <w:ind w:left="1344" w:right="0" w:firstLine="0"/>
                          <w:jc w:val="left"/>
                          <w:rPr>
                            <w:rFonts w:ascii="Arial"/>
                            <w:sz w:val="14"/>
                          </w:rPr>
                        </w:pPr>
                        <w:r>
                          <w:rPr>
                            <w:rFonts w:ascii="Arial"/>
                            <w:color w:val="231F20"/>
                            <w:spacing w:val="-2"/>
                            <w:sz w:val="14"/>
                          </w:rPr>
                          <w:t>performers</w:t>
                        </w:r>
                        <w:r>
                          <w:rPr>
                            <w:rFonts w:ascii="Arial"/>
                            <w:color w:val="231F20"/>
                            <w:sz w:val="14"/>
                          </w:rPr>
                          <w:tab/>
                        </w:r>
                        <w:r>
                          <w:rPr>
                            <w:rFonts w:ascii="Arial"/>
                            <w:color w:val="231F20"/>
                            <w:spacing w:val="-2"/>
                            <w:sz w:val="14"/>
                          </w:rPr>
                          <w:t>performers</w:t>
                        </w:r>
                        <w:r>
                          <w:rPr>
                            <w:rFonts w:ascii="Arial"/>
                            <w:color w:val="231F20"/>
                            <w:sz w:val="14"/>
                          </w:rPr>
                          <w:tab/>
                        </w:r>
                        <w:r>
                          <w:rPr>
                            <w:rFonts w:ascii="Arial"/>
                            <w:color w:val="231F20"/>
                            <w:spacing w:val="-2"/>
                            <w:sz w:val="14"/>
                          </w:rPr>
                          <w:t>friendly</w:t>
                        </w:r>
                      </w:p>
                      <w:p>
                        <w:pPr>
                          <w:spacing w:line="240" w:lineRule="auto" w:before="97"/>
                          <w:rPr>
                            <w:rFonts w:ascii="Arial"/>
                            <w:sz w:val="14"/>
                          </w:rPr>
                        </w:pPr>
                      </w:p>
                      <w:p>
                        <w:pPr>
                          <w:spacing w:line="160" w:lineRule="exact" w:before="0"/>
                          <w:ind w:left="67" w:right="0" w:firstLine="0"/>
                          <w:jc w:val="left"/>
                          <w:rPr>
                            <w:rFonts w:ascii="Arial"/>
                            <w:sz w:val="14"/>
                          </w:rPr>
                        </w:pPr>
                        <w:r>
                          <w:rPr>
                            <w:rFonts w:ascii="Arial"/>
                            <w:color w:val="231F20"/>
                            <w:spacing w:val="-5"/>
                            <w:sz w:val="14"/>
                          </w:rPr>
                          <w:t>15</w:t>
                        </w:r>
                      </w:p>
                    </w:txbxContent>
                  </v:textbox>
                  <w10:wrap type="none"/>
                </v:shape>
                <v:shape style="position:absolute;left:188;top:2428;width:155;height:159" type="#_x0000_t202" id="docshape461" filled="false" stroked="false">
                  <v:textbox inset="0,0,0,0">
                    <w:txbxContent>
                      <w:p>
                        <w:pPr>
                          <w:spacing w:line="158" w:lineRule="exact" w:before="0"/>
                          <w:ind w:left="0" w:right="0" w:firstLine="0"/>
                          <w:jc w:val="left"/>
                          <w:rPr>
                            <w:rFonts w:ascii="Arial"/>
                            <w:sz w:val="14"/>
                          </w:rPr>
                        </w:pPr>
                        <w:r>
                          <w:rPr>
                            <w:rFonts w:ascii="Arial"/>
                            <w:color w:val="231F20"/>
                            <w:spacing w:val="-7"/>
                            <w:sz w:val="14"/>
                          </w:rPr>
                          <w:t>10</w:t>
                        </w:r>
                      </w:p>
                    </w:txbxContent>
                  </v:textbox>
                  <w10:wrap type="none"/>
                </v:shape>
                <v:shape style="position:absolute;left:255;top:3135;width:88;height:159" type="#_x0000_t202" id="docshape462" filled="false" stroked="false">
                  <v:textbox inset="0,0,0,0">
                    <w:txbxContent>
                      <w:p>
                        <w:pPr>
                          <w:spacing w:line="158" w:lineRule="exact" w:before="0"/>
                          <w:ind w:left="0" w:right="0" w:firstLine="0"/>
                          <w:jc w:val="left"/>
                          <w:rPr>
                            <w:rFonts w:ascii="Arial"/>
                            <w:sz w:val="14"/>
                          </w:rPr>
                        </w:pPr>
                        <w:r>
                          <w:rPr>
                            <w:rFonts w:ascii="Arial"/>
                            <w:color w:val="231F20"/>
                            <w:spacing w:val="-10"/>
                            <w:sz w:val="14"/>
                          </w:rPr>
                          <w:t>5</w:t>
                        </w:r>
                      </w:p>
                    </w:txbxContent>
                  </v:textbox>
                  <w10:wrap type="none"/>
                </v:shape>
                <v:shape style="position:absolute;left:120;top:3841;width:7437;height:992" type="#_x0000_t202" id="docshape463" filled="false" stroked="false">
                  <v:textbox inset="0,0,0,0">
                    <w:txbxContent>
                      <w:p>
                        <w:pPr>
                          <w:spacing w:line="260" w:lineRule="exact" w:before="0"/>
                          <w:ind w:left="134" w:right="0" w:firstLine="0"/>
                          <w:jc w:val="left"/>
                          <w:rPr>
                            <w:rFonts w:ascii="Arial"/>
                            <w:sz w:val="14"/>
                          </w:rPr>
                        </w:pPr>
                        <w:r>
                          <w:rPr>
                            <w:rFonts w:ascii="Arial"/>
                            <w:color w:val="231F20"/>
                            <w:position w:val="10"/>
                            <w:sz w:val="14"/>
                          </w:rPr>
                          <w:t>0</w:t>
                        </w:r>
                        <w:r>
                          <w:rPr>
                            <w:rFonts w:ascii="Arial"/>
                            <w:color w:val="231F20"/>
                            <w:spacing w:val="-15"/>
                            <w:position w:val="10"/>
                            <w:sz w:val="14"/>
                          </w:rPr>
                          <w:t> </w:t>
                        </w:r>
                        <w:r>
                          <w:rPr>
                            <w:rFonts w:ascii="Arial"/>
                            <w:color w:val="231F20"/>
                            <w:sz w:val="14"/>
                          </w:rPr>
                          <w:t>1.0</w:t>
                        </w:r>
                        <w:r>
                          <w:rPr>
                            <w:rFonts w:ascii="Arial"/>
                            <w:color w:val="231F20"/>
                            <w:spacing w:val="36"/>
                            <w:sz w:val="14"/>
                          </w:rPr>
                          <w:t>  </w:t>
                        </w:r>
                        <w:r>
                          <w:rPr>
                            <w:rFonts w:ascii="Arial"/>
                            <w:color w:val="231F20"/>
                            <w:sz w:val="14"/>
                          </w:rPr>
                          <w:t>1.2</w:t>
                        </w:r>
                        <w:r>
                          <w:rPr>
                            <w:rFonts w:ascii="Arial"/>
                            <w:color w:val="231F20"/>
                            <w:spacing w:val="38"/>
                            <w:sz w:val="14"/>
                          </w:rPr>
                          <w:t>  </w:t>
                        </w:r>
                        <w:r>
                          <w:rPr>
                            <w:rFonts w:ascii="Arial"/>
                            <w:color w:val="231F20"/>
                            <w:sz w:val="14"/>
                          </w:rPr>
                          <w:t>1.4</w:t>
                        </w:r>
                        <w:r>
                          <w:rPr>
                            <w:rFonts w:ascii="Arial"/>
                            <w:color w:val="231F20"/>
                            <w:spacing w:val="38"/>
                            <w:sz w:val="14"/>
                          </w:rPr>
                          <w:t>  </w:t>
                        </w:r>
                        <w:r>
                          <w:rPr>
                            <w:rFonts w:ascii="Arial"/>
                            <w:color w:val="231F20"/>
                            <w:sz w:val="14"/>
                          </w:rPr>
                          <w:t>1.6</w:t>
                        </w:r>
                        <w:r>
                          <w:rPr>
                            <w:rFonts w:ascii="Arial"/>
                            <w:color w:val="231F20"/>
                            <w:spacing w:val="38"/>
                            <w:sz w:val="14"/>
                          </w:rPr>
                          <w:t>  </w:t>
                        </w:r>
                        <w:r>
                          <w:rPr>
                            <w:rFonts w:ascii="Arial"/>
                            <w:color w:val="231F20"/>
                            <w:sz w:val="14"/>
                          </w:rPr>
                          <w:t>1.8</w:t>
                        </w:r>
                        <w:r>
                          <w:rPr>
                            <w:rFonts w:ascii="Arial"/>
                            <w:color w:val="231F20"/>
                            <w:spacing w:val="39"/>
                            <w:sz w:val="14"/>
                          </w:rPr>
                          <w:t>  </w:t>
                        </w:r>
                        <w:r>
                          <w:rPr>
                            <w:rFonts w:ascii="Arial"/>
                            <w:color w:val="231F20"/>
                            <w:sz w:val="14"/>
                          </w:rPr>
                          <w:t>2.0</w:t>
                        </w:r>
                        <w:r>
                          <w:rPr>
                            <w:rFonts w:ascii="Arial"/>
                            <w:color w:val="231F20"/>
                            <w:spacing w:val="38"/>
                            <w:sz w:val="14"/>
                          </w:rPr>
                          <w:t>  </w:t>
                        </w:r>
                        <w:r>
                          <w:rPr>
                            <w:rFonts w:ascii="Arial"/>
                            <w:color w:val="231F20"/>
                            <w:sz w:val="14"/>
                          </w:rPr>
                          <w:t>2.2</w:t>
                        </w:r>
                        <w:r>
                          <w:rPr>
                            <w:rFonts w:ascii="Arial"/>
                            <w:color w:val="231F20"/>
                            <w:spacing w:val="38"/>
                            <w:sz w:val="14"/>
                          </w:rPr>
                          <w:t>  </w:t>
                        </w:r>
                        <w:r>
                          <w:rPr>
                            <w:rFonts w:ascii="Arial"/>
                            <w:color w:val="231F20"/>
                            <w:sz w:val="14"/>
                          </w:rPr>
                          <w:t>2.4</w:t>
                        </w:r>
                        <w:r>
                          <w:rPr>
                            <w:rFonts w:ascii="Arial"/>
                            <w:color w:val="231F20"/>
                            <w:spacing w:val="38"/>
                            <w:sz w:val="14"/>
                          </w:rPr>
                          <w:t>  </w:t>
                        </w:r>
                        <w:r>
                          <w:rPr>
                            <w:rFonts w:ascii="Arial"/>
                            <w:color w:val="231F20"/>
                            <w:sz w:val="14"/>
                          </w:rPr>
                          <w:t>2.6</w:t>
                        </w:r>
                        <w:r>
                          <w:rPr>
                            <w:rFonts w:ascii="Arial"/>
                            <w:color w:val="231F20"/>
                            <w:spacing w:val="39"/>
                            <w:sz w:val="14"/>
                          </w:rPr>
                          <w:t>  </w:t>
                        </w:r>
                        <w:r>
                          <w:rPr>
                            <w:rFonts w:ascii="Arial"/>
                            <w:color w:val="231F20"/>
                            <w:sz w:val="14"/>
                          </w:rPr>
                          <w:t>2.8</w:t>
                        </w:r>
                        <w:r>
                          <w:rPr>
                            <w:rFonts w:ascii="Arial"/>
                            <w:color w:val="231F20"/>
                            <w:spacing w:val="39"/>
                            <w:sz w:val="14"/>
                          </w:rPr>
                          <w:t>  </w:t>
                        </w:r>
                        <w:r>
                          <w:rPr>
                            <w:rFonts w:ascii="Arial"/>
                            <w:color w:val="231F20"/>
                            <w:sz w:val="14"/>
                          </w:rPr>
                          <w:t>3.0</w:t>
                        </w:r>
                        <w:r>
                          <w:rPr>
                            <w:rFonts w:ascii="Arial"/>
                            <w:color w:val="231F20"/>
                            <w:spacing w:val="38"/>
                            <w:sz w:val="14"/>
                          </w:rPr>
                          <w:t>  </w:t>
                        </w:r>
                        <w:r>
                          <w:rPr>
                            <w:rFonts w:ascii="Arial"/>
                            <w:color w:val="231F20"/>
                            <w:sz w:val="14"/>
                          </w:rPr>
                          <w:t>3.2</w:t>
                        </w:r>
                        <w:r>
                          <w:rPr>
                            <w:rFonts w:ascii="Arial"/>
                            <w:color w:val="231F20"/>
                            <w:spacing w:val="38"/>
                            <w:sz w:val="14"/>
                          </w:rPr>
                          <w:t>  </w:t>
                        </w:r>
                        <w:r>
                          <w:rPr>
                            <w:rFonts w:ascii="Arial"/>
                            <w:color w:val="231F20"/>
                            <w:sz w:val="14"/>
                          </w:rPr>
                          <w:t>3.4</w:t>
                        </w:r>
                        <w:r>
                          <w:rPr>
                            <w:rFonts w:ascii="Arial"/>
                            <w:color w:val="231F20"/>
                            <w:spacing w:val="38"/>
                            <w:sz w:val="14"/>
                          </w:rPr>
                          <w:t>  </w:t>
                        </w:r>
                        <w:r>
                          <w:rPr>
                            <w:rFonts w:ascii="Arial"/>
                            <w:color w:val="231F20"/>
                            <w:sz w:val="14"/>
                          </w:rPr>
                          <w:t>3.6</w:t>
                        </w:r>
                        <w:r>
                          <w:rPr>
                            <w:rFonts w:ascii="Arial"/>
                            <w:color w:val="231F20"/>
                            <w:spacing w:val="38"/>
                            <w:sz w:val="14"/>
                          </w:rPr>
                          <w:t>  </w:t>
                        </w:r>
                        <w:r>
                          <w:rPr>
                            <w:rFonts w:ascii="Arial"/>
                            <w:color w:val="231F20"/>
                            <w:sz w:val="14"/>
                          </w:rPr>
                          <w:t>3.8</w:t>
                        </w:r>
                        <w:r>
                          <w:rPr>
                            <w:rFonts w:ascii="Arial"/>
                            <w:color w:val="231F20"/>
                            <w:spacing w:val="38"/>
                            <w:sz w:val="14"/>
                          </w:rPr>
                          <w:t>  </w:t>
                        </w:r>
                        <w:r>
                          <w:rPr>
                            <w:rFonts w:ascii="Arial"/>
                            <w:color w:val="231F20"/>
                            <w:sz w:val="14"/>
                          </w:rPr>
                          <w:t>4.0</w:t>
                        </w:r>
                        <w:r>
                          <w:rPr>
                            <w:rFonts w:ascii="Arial"/>
                            <w:color w:val="231F20"/>
                            <w:spacing w:val="39"/>
                            <w:sz w:val="14"/>
                          </w:rPr>
                          <w:t>  </w:t>
                        </w:r>
                        <w:r>
                          <w:rPr>
                            <w:rFonts w:ascii="Arial"/>
                            <w:color w:val="231F20"/>
                            <w:sz w:val="14"/>
                          </w:rPr>
                          <w:t>4.2</w:t>
                        </w:r>
                        <w:r>
                          <w:rPr>
                            <w:rFonts w:ascii="Arial"/>
                            <w:color w:val="231F20"/>
                            <w:spacing w:val="38"/>
                            <w:sz w:val="14"/>
                          </w:rPr>
                          <w:t>  </w:t>
                        </w:r>
                        <w:r>
                          <w:rPr>
                            <w:rFonts w:ascii="Arial"/>
                            <w:color w:val="231F20"/>
                            <w:sz w:val="14"/>
                          </w:rPr>
                          <w:t>4.4</w:t>
                        </w:r>
                        <w:r>
                          <w:rPr>
                            <w:rFonts w:ascii="Arial"/>
                            <w:color w:val="231F20"/>
                            <w:spacing w:val="38"/>
                            <w:sz w:val="14"/>
                          </w:rPr>
                          <w:t>  </w:t>
                        </w:r>
                        <w:r>
                          <w:rPr>
                            <w:rFonts w:ascii="Arial"/>
                            <w:color w:val="231F20"/>
                            <w:sz w:val="14"/>
                          </w:rPr>
                          <w:t>4.6</w:t>
                        </w:r>
                        <w:r>
                          <w:rPr>
                            <w:rFonts w:ascii="Arial"/>
                            <w:color w:val="231F20"/>
                            <w:spacing w:val="38"/>
                            <w:sz w:val="14"/>
                          </w:rPr>
                          <w:t>  </w:t>
                        </w:r>
                        <w:r>
                          <w:rPr>
                            <w:rFonts w:ascii="Arial"/>
                            <w:color w:val="231F20"/>
                            <w:sz w:val="14"/>
                          </w:rPr>
                          <w:t>4.8</w:t>
                        </w:r>
                        <w:r>
                          <w:rPr>
                            <w:rFonts w:ascii="Arial"/>
                            <w:color w:val="231F20"/>
                            <w:spacing w:val="38"/>
                            <w:sz w:val="14"/>
                          </w:rPr>
                          <w:t>  </w:t>
                        </w:r>
                        <w:r>
                          <w:rPr>
                            <w:rFonts w:ascii="Arial"/>
                            <w:color w:val="231F20"/>
                            <w:spacing w:val="-5"/>
                            <w:sz w:val="14"/>
                          </w:rPr>
                          <w:t>5.0</w:t>
                        </w:r>
                      </w:p>
                      <w:p>
                        <w:pPr>
                          <w:spacing w:before="39"/>
                          <w:ind w:left="207" w:right="0" w:firstLine="0"/>
                          <w:jc w:val="center"/>
                          <w:rPr>
                            <w:rFonts w:ascii="Arial"/>
                            <w:sz w:val="14"/>
                          </w:rPr>
                        </w:pPr>
                        <w:r>
                          <w:rPr>
                            <w:rFonts w:ascii="Arial"/>
                            <w:color w:val="231F20"/>
                            <w:w w:val="75"/>
                            <w:sz w:val="14"/>
                          </w:rPr>
                          <w:t>Overall</w:t>
                        </w:r>
                        <w:r>
                          <w:rPr>
                            <w:rFonts w:ascii="Arial"/>
                            <w:color w:val="231F20"/>
                            <w:spacing w:val="-7"/>
                            <w:sz w:val="14"/>
                          </w:rPr>
                          <w:t> </w:t>
                        </w:r>
                        <w:r>
                          <w:rPr>
                            <w:rFonts w:ascii="Arial"/>
                            <w:color w:val="231F20"/>
                            <w:w w:val="75"/>
                            <w:sz w:val="14"/>
                          </w:rPr>
                          <w:t>LPI</w:t>
                        </w:r>
                        <w:r>
                          <w:rPr>
                            <w:rFonts w:ascii="Arial"/>
                            <w:color w:val="231F20"/>
                            <w:spacing w:val="-7"/>
                            <w:sz w:val="14"/>
                          </w:rPr>
                          <w:t> </w:t>
                        </w:r>
                        <w:r>
                          <w:rPr>
                            <w:rFonts w:ascii="Arial"/>
                            <w:color w:val="231F20"/>
                            <w:spacing w:val="-2"/>
                            <w:w w:val="75"/>
                            <w:sz w:val="14"/>
                          </w:rPr>
                          <w:t>score</w:t>
                        </w:r>
                      </w:p>
                      <w:p>
                        <w:pPr>
                          <w:spacing w:before="113"/>
                          <w:ind w:left="0" w:right="0" w:firstLine="0"/>
                          <w:jc w:val="left"/>
                          <w:rPr>
                            <w:rFonts w:ascii="Arial"/>
                            <w:sz w:val="12"/>
                          </w:rPr>
                        </w:pPr>
                        <w:r>
                          <w:rPr>
                            <w:rFonts w:ascii="Arial"/>
                            <w:i/>
                            <w:color w:val="231F20"/>
                            <w:w w:val="75"/>
                            <w:sz w:val="12"/>
                          </w:rPr>
                          <w:t>Source:</w:t>
                        </w:r>
                        <w:r>
                          <w:rPr>
                            <w:rFonts w:ascii="Arial"/>
                            <w:i/>
                            <w:color w:val="231F20"/>
                            <w:spacing w:val="9"/>
                            <w:sz w:val="12"/>
                          </w:rPr>
                          <w:t> </w:t>
                        </w:r>
                        <w:r>
                          <w:rPr>
                            <w:rFonts w:ascii="Arial"/>
                            <w:color w:val="231F20"/>
                            <w:w w:val="75"/>
                            <w:sz w:val="12"/>
                          </w:rPr>
                          <w:t>2023</w:t>
                        </w:r>
                        <w:r>
                          <w:rPr>
                            <w:rFonts w:ascii="Arial"/>
                            <w:color w:val="231F20"/>
                            <w:spacing w:val="16"/>
                            <w:sz w:val="12"/>
                          </w:rPr>
                          <w:t> </w:t>
                        </w:r>
                        <w:r>
                          <w:rPr>
                            <w:rFonts w:ascii="Arial"/>
                            <w:color w:val="231F20"/>
                            <w:w w:val="75"/>
                            <w:sz w:val="12"/>
                          </w:rPr>
                          <w:t>Logistics</w:t>
                        </w:r>
                        <w:r>
                          <w:rPr>
                            <w:rFonts w:ascii="Arial"/>
                            <w:color w:val="231F20"/>
                            <w:spacing w:val="16"/>
                            <w:sz w:val="12"/>
                          </w:rPr>
                          <w:t> </w:t>
                        </w:r>
                        <w:r>
                          <w:rPr>
                            <w:rFonts w:ascii="Arial"/>
                            <w:color w:val="231F20"/>
                            <w:w w:val="75"/>
                            <w:sz w:val="12"/>
                          </w:rPr>
                          <w:t>Performance</w:t>
                        </w:r>
                        <w:r>
                          <w:rPr>
                            <w:rFonts w:ascii="Arial"/>
                            <w:color w:val="231F20"/>
                            <w:spacing w:val="16"/>
                            <w:sz w:val="12"/>
                          </w:rPr>
                          <w:t> </w:t>
                        </w:r>
                        <w:r>
                          <w:rPr>
                            <w:rFonts w:ascii="Arial"/>
                            <w:color w:val="231F20"/>
                            <w:spacing w:val="-2"/>
                            <w:w w:val="75"/>
                            <w:sz w:val="12"/>
                          </w:rPr>
                          <w:t>Index.</w:t>
                        </w:r>
                      </w:p>
                      <w:p>
                        <w:pPr>
                          <w:spacing w:line="242" w:lineRule="auto" w:before="1"/>
                          <w:ind w:left="0" w:right="0" w:firstLine="0"/>
                          <w:jc w:val="left"/>
                          <w:rPr>
                            <w:rFonts w:ascii="Arial"/>
                            <w:sz w:val="12"/>
                          </w:rPr>
                        </w:pPr>
                        <w:r>
                          <w:rPr>
                            <w:rFonts w:ascii="Arial"/>
                            <w:i/>
                            <w:color w:val="231F20"/>
                            <w:w w:val="80"/>
                            <w:sz w:val="12"/>
                          </w:rPr>
                          <w:t>Note:</w:t>
                        </w:r>
                        <w:r>
                          <w:rPr>
                            <w:rFonts w:ascii="Arial"/>
                            <w:i/>
                            <w:color w:val="231F20"/>
                            <w:spacing w:val="-3"/>
                            <w:w w:val="80"/>
                            <w:sz w:val="12"/>
                          </w:rPr>
                          <w:t> </w:t>
                        </w:r>
                        <w:r>
                          <w:rPr>
                            <w:rFonts w:ascii="Arial"/>
                            <w:color w:val="231F20"/>
                            <w:w w:val="80"/>
                            <w:sz w:val="12"/>
                          </w:rPr>
                          <w:t>Vertical</w:t>
                        </w:r>
                        <w:r>
                          <w:rPr>
                            <w:rFonts w:ascii="Arial"/>
                            <w:color w:val="231F20"/>
                            <w:spacing w:val="-1"/>
                            <w:w w:val="80"/>
                            <w:sz w:val="12"/>
                          </w:rPr>
                          <w:t> </w:t>
                        </w:r>
                        <w:r>
                          <w:rPr>
                            <w:rFonts w:ascii="Arial"/>
                            <w:color w:val="231F20"/>
                            <w:w w:val="80"/>
                            <w:sz w:val="12"/>
                          </w:rPr>
                          <w:t>lines</w:t>
                        </w:r>
                        <w:r>
                          <w:rPr>
                            <w:rFonts w:ascii="Arial"/>
                            <w:color w:val="231F20"/>
                            <w:spacing w:val="-2"/>
                            <w:w w:val="80"/>
                            <w:sz w:val="12"/>
                          </w:rPr>
                          <w:t> </w:t>
                        </w:r>
                        <w:r>
                          <w:rPr>
                            <w:rFonts w:ascii="Arial"/>
                            <w:color w:val="231F20"/>
                            <w:w w:val="80"/>
                            <w:sz w:val="12"/>
                          </w:rPr>
                          <w:t>correspond</w:t>
                        </w:r>
                        <w:r>
                          <w:rPr>
                            <w:rFonts w:ascii="Arial"/>
                            <w:color w:val="231F20"/>
                            <w:spacing w:val="-2"/>
                            <w:w w:val="80"/>
                            <w:sz w:val="12"/>
                          </w:rPr>
                          <w:t> </w:t>
                        </w:r>
                        <w:r>
                          <w:rPr>
                            <w:rFonts w:ascii="Arial"/>
                            <w:color w:val="231F20"/>
                            <w:w w:val="80"/>
                            <w:sz w:val="12"/>
                          </w:rPr>
                          <w:t>to</w:t>
                        </w:r>
                        <w:r>
                          <w:rPr>
                            <w:rFonts w:ascii="Arial"/>
                            <w:color w:val="231F20"/>
                            <w:spacing w:val="-1"/>
                            <w:w w:val="80"/>
                            <w:sz w:val="12"/>
                          </w:rPr>
                          <w:t> </w:t>
                        </w:r>
                        <w:r>
                          <w:rPr>
                            <w:rFonts w:ascii="Arial"/>
                            <w:color w:val="231F20"/>
                            <w:w w:val="80"/>
                            <w:sz w:val="12"/>
                          </w:rPr>
                          <w:t>score</w:t>
                        </w:r>
                        <w:r>
                          <w:rPr>
                            <w:rFonts w:ascii="Arial"/>
                            <w:color w:val="231F20"/>
                            <w:spacing w:val="-2"/>
                            <w:w w:val="80"/>
                            <w:sz w:val="12"/>
                          </w:rPr>
                          <w:t> </w:t>
                        </w:r>
                        <w:r>
                          <w:rPr>
                            <w:rFonts w:ascii="Arial"/>
                            <w:color w:val="231F20"/>
                            <w:w w:val="80"/>
                            <w:sz w:val="12"/>
                          </w:rPr>
                          <w:t>cutoffs</w:t>
                        </w:r>
                        <w:r>
                          <w:rPr>
                            <w:rFonts w:ascii="Arial"/>
                            <w:color w:val="231F20"/>
                            <w:spacing w:val="-2"/>
                            <w:w w:val="80"/>
                            <w:sz w:val="12"/>
                          </w:rPr>
                          <w:t> </w:t>
                        </w:r>
                        <w:r>
                          <w:rPr>
                            <w:rFonts w:ascii="Arial"/>
                            <w:color w:val="231F20"/>
                            <w:w w:val="80"/>
                            <w:sz w:val="12"/>
                          </w:rPr>
                          <w:t>for</w:t>
                        </w:r>
                        <w:r>
                          <w:rPr>
                            <w:rFonts w:ascii="Arial"/>
                            <w:color w:val="231F20"/>
                            <w:spacing w:val="-1"/>
                            <w:w w:val="80"/>
                            <w:sz w:val="12"/>
                          </w:rPr>
                          <w:t> </w:t>
                        </w:r>
                        <w:r>
                          <w:rPr>
                            <w:rFonts w:ascii="Arial"/>
                            <w:color w:val="231F20"/>
                            <w:w w:val="80"/>
                            <w:sz w:val="12"/>
                          </w:rPr>
                          <w:t>the</w:t>
                        </w:r>
                        <w:r>
                          <w:rPr>
                            <w:rFonts w:ascii="Arial"/>
                            <w:color w:val="231F20"/>
                            <w:spacing w:val="-2"/>
                            <w:w w:val="80"/>
                            <w:sz w:val="12"/>
                          </w:rPr>
                          <w:t> </w:t>
                        </w:r>
                        <w:r>
                          <w:rPr>
                            <w:rFonts w:ascii="Arial"/>
                            <w:color w:val="231F20"/>
                            <w:w w:val="80"/>
                            <w:sz w:val="12"/>
                          </w:rPr>
                          <w:t>four</w:t>
                        </w:r>
                        <w:r>
                          <w:rPr>
                            <w:rFonts w:ascii="Arial"/>
                            <w:color w:val="231F20"/>
                            <w:spacing w:val="-2"/>
                            <w:w w:val="80"/>
                            <w:sz w:val="12"/>
                          </w:rPr>
                          <w:t> </w:t>
                        </w:r>
                        <w:r>
                          <w:rPr>
                            <w:rFonts w:ascii="Arial"/>
                            <w:color w:val="231F20"/>
                            <w:w w:val="80"/>
                            <w:sz w:val="12"/>
                          </w:rPr>
                          <w:t>performance</w:t>
                        </w:r>
                        <w:r>
                          <w:rPr>
                            <w:rFonts w:ascii="Arial"/>
                            <w:color w:val="231F20"/>
                            <w:spacing w:val="-1"/>
                            <w:w w:val="80"/>
                            <w:sz w:val="12"/>
                          </w:rPr>
                          <w:t> </w:t>
                        </w:r>
                        <w:r>
                          <w:rPr>
                            <w:rFonts w:ascii="Arial"/>
                            <w:color w:val="231F20"/>
                            <w:w w:val="80"/>
                            <w:sz w:val="12"/>
                          </w:rPr>
                          <w:t>groups</w:t>
                        </w:r>
                        <w:r>
                          <w:rPr>
                            <w:rFonts w:ascii="Arial"/>
                            <w:color w:val="231F20"/>
                            <w:spacing w:val="-2"/>
                            <w:w w:val="80"/>
                            <w:sz w:val="12"/>
                          </w:rPr>
                          <w:t> </w:t>
                        </w:r>
                        <w:r>
                          <w:rPr>
                            <w:rFonts w:ascii="Arial"/>
                            <w:color w:val="231F20"/>
                            <w:w w:val="80"/>
                            <w:sz w:val="12"/>
                          </w:rPr>
                          <w:t>identified</w:t>
                        </w:r>
                        <w:r>
                          <w:rPr>
                            <w:rFonts w:ascii="Arial"/>
                            <w:color w:val="231F20"/>
                            <w:spacing w:val="-2"/>
                            <w:w w:val="80"/>
                            <w:sz w:val="12"/>
                          </w:rPr>
                          <w:t> </w:t>
                        </w:r>
                        <w:r>
                          <w:rPr>
                            <w:rFonts w:ascii="Arial"/>
                            <w:color w:val="231F20"/>
                            <w:w w:val="80"/>
                            <w:sz w:val="12"/>
                          </w:rPr>
                          <w:t>in</w:t>
                        </w:r>
                        <w:r>
                          <w:rPr>
                            <w:rFonts w:ascii="Arial"/>
                            <w:color w:val="231F20"/>
                            <w:spacing w:val="-1"/>
                            <w:w w:val="80"/>
                            <w:sz w:val="12"/>
                          </w:rPr>
                          <w:t> </w:t>
                        </w:r>
                        <w:r>
                          <w:rPr>
                            <w:rFonts w:ascii="Arial"/>
                            <w:color w:val="231F20"/>
                            <w:w w:val="80"/>
                            <w:sz w:val="12"/>
                          </w:rPr>
                          <w:t>the</w:t>
                        </w:r>
                        <w:r>
                          <w:rPr>
                            <w:rFonts w:ascii="Arial"/>
                            <w:color w:val="231F20"/>
                            <w:spacing w:val="-2"/>
                            <w:w w:val="80"/>
                            <w:sz w:val="12"/>
                          </w:rPr>
                          <w:t> </w:t>
                        </w:r>
                        <w:r>
                          <w:rPr>
                            <w:rFonts w:ascii="Arial"/>
                            <w:color w:val="231F20"/>
                            <w:w w:val="80"/>
                            <w:sz w:val="12"/>
                          </w:rPr>
                          <w:t>main</w:t>
                        </w:r>
                        <w:r>
                          <w:rPr>
                            <w:rFonts w:ascii="Arial"/>
                            <w:color w:val="231F20"/>
                            <w:spacing w:val="-2"/>
                            <w:w w:val="80"/>
                            <w:sz w:val="12"/>
                          </w:rPr>
                          <w:t> </w:t>
                        </w:r>
                        <w:r>
                          <w:rPr>
                            <w:rFonts w:ascii="Arial"/>
                            <w:color w:val="231F20"/>
                            <w:w w:val="80"/>
                            <w:sz w:val="12"/>
                          </w:rPr>
                          <w:t>text.</w:t>
                        </w:r>
                        <w:r>
                          <w:rPr>
                            <w:rFonts w:ascii="Arial"/>
                            <w:color w:val="231F20"/>
                            <w:spacing w:val="-2"/>
                            <w:w w:val="80"/>
                            <w:sz w:val="12"/>
                          </w:rPr>
                          <w:t> </w:t>
                        </w:r>
                        <w:r>
                          <w:rPr>
                            <w:rFonts w:ascii="Arial"/>
                            <w:color w:val="231F20"/>
                            <w:w w:val="80"/>
                            <w:sz w:val="12"/>
                          </w:rPr>
                          <w:t>Four</w:t>
                        </w:r>
                        <w:r>
                          <w:rPr>
                            <w:rFonts w:ascii="Arial"/>
                            <w:color w:val="231F20"/>
                            <w:spacing w:val="-2"/>
                            <w:w w:val="80"/>
                            <w:sz w:val="12"/>
                          </w:rPr>
                          <w:t> </w:t>
                        </w:r>
                        <w:r>
                          <w:rPr>
                            <w:rFonts w:ascii="Arial"/>
                            <w:color w:val="231F20"/>
                            <w:w w:val="80"/>
                            <w:sz w:val="12"/>
                          </w:rPr>
                          <w:t>groups</w:t>
                        </w:r>
                        <w:r>
                          <w:rPr>
                            <w:rFonts w:ascii="Arial"/>
                            <w:color w:val="231F20"/>
                            <w:spacing w:val="-1"/>
                            <w:w w:val="80"/>
                            <w:sz w:val="12"/>
                          </w:rPr>
                          <w:t> </w:t>
                        </w:r>
                        <w:r>
                          <w:rPr>
                            <w:rFonts w:ascii="Arial"/>
                            <w:color w:val="231F20"/>
                            <w:w w:val="80"/>
                            <w:sz w:val="12"/>
                          </w:rPr>
                          <w:t>are</w:t>
                        </w:r>
                        <w:r>
                          <w:rPr>
                            <w:rFonts w:ascii="Arial"/>
                            <w:color w:val="231F20"/>
                            <w:spacing w:val="-2"/>
                            <w:w w:val="80"/>
                            <w:sz w:val="12"/>
                          </w:rPr>
                          <w:t> </w:t>
                        </w:r>
                        <w:r>
                          <w:rPr>
                            <w:rFonts w:ascii="Arial"/>
                            <w:color w:val="231F20"/>
                            <w:w w:val="80"/>
                            <w:sz w:val="12"/>
                          </w:rPr>
                          <w:t>displayed</w:t>
                        </w:r>
                        <w:r>
                          <w:rPr>
                            <w:rFonts w:ascii="Arial"/>
                            <w:color w:val="231F20"/>
                            <w:spacing w:val="-1"/>
                            <w:w w:val="80"/>
                            <w:sz w:val="12"/>
                          </w:rPr>
                          <w:t> </w:t>
                        </w:r>
                        <w:r>
                          <w:rPr>
                            <w:rFonts w:ascii="Arial"/>
                            <w:color w:val="231F20"/>
                            <w:w w:val="80"/>
                            <w:sz w:val="12"/>
                          </w:rPr>
                          <w:t>because</w:t>
                        </w:r>
                        <w:r>
                          <w:rPr>
                            <w:rFonts w:ascii="Arial"/>
                            <w:color w:val="231F20"/>
                            <w:spacing w:val="-2"/>
                            <w:w w:val="80"/>
                            <w:sz w:val="12"/>
                          </w:rPr>
                          <w:t> </w:t>
                        </w:r>
                        <w:r>
                          <w:rPr>
                            <w:rFonts w:ascii="Arial"/>
                            <w:color w:val="231F20"/>
                            <w:w w:val="80"/>
                            <w:sz w:val="12"/>
                          </w:rPr>
                          <w:t>the</w:t>
                        </w:r>
                        <w:r>
                          <w:rPr>
                            <w:rFonts w:ascii="Arial"/>
                            <w:color w:val="231F20"/>
                            <w:spacing w:val="-1"/>
                            <w:w w:val="80"/>
                            <w:sz w:val="12"/>
                          </w:rPr>
                          <w:t> </w:t>
                        </w:r>
                        <w:r>
                          <w:rPr>
                            <w:rFonts w:ascii="Arial"/>
                            <w:color w:val="231F20"/>
                            <w:w w:val="80"/>
                            <w:sz w:val="12"/>
                          </w:rPr>
                          <w:t>partial</w:t>
                        </w:r>
                        <w:r>
                          <w:rPr>
                            <w:rFonts w:ascii="Arial"/>
                            <w:color w:val="231F20"/>
                            <w:spacing w:val="-1"/>
                            <w:w w:val="80"/>
                            <w:sz w:val="12"/>
                          </w:rPr>
                          <w:t> </w:t>
                        </w:r>
                        <w:r>
                          <w:rPr>
                            <w:rFonts w:ascii="Arial"/>
                            <w:color w:val="231F20"/>
                            <w:w w:val="80"/>
                            <w:sz w:val="12"/>
                          </w:rPr>
                          <w:t>performers</w:t>
                        </w:r>
                        <w:r>
                          <w:rPr>
                            <w:rFonts w:ascii="Arial"/>
                            <w:color w:val="231F20"/>
                            <w:spacing w:val="-2"/>
                            <w:w w:val="80"/>
                            <w:sz w:val="12"/>
                          </w:rPr>
                          <w:t> </w:t>
                        </w:r>
                        <w:r>
                          <w:rPr>
                            <w:rFonts w:ascii="Arial"/>
                            <w:color w:val="231F20"/>
                            <w:w w:val="80"/>
                            <w:sz w:val="12"/>
                          </w:rPr>
                          <w:t>group</w:t>
                        </w:r>
                        <w:r>
                          <w:rPr>
                            <w:rFonts w:ascii="Arial"/>
                            <w:color w:val="231F20"/>
                            <w:spacing w:val="40"/>
                            <w:sz w:val="12"/>
                          </w:rPr>
                          <w:t> </w:t>
                        </w:r>
                        <w:r>
                          <w:rPr>
                            <w:rFonts w:ascii="Arial"/>
                            <w:color w:val="231F20"/>
                            <w:spacing w:val="-2"/>
                            <w:w w:val="90"/>
                            <w:sz w:val="12"/>
                          </w:rPr>
                          <w:t>includes</w:t>
                        </w:r>
                        <w:r>
                          <w:rPr>
                            <w:rFonts w:ascii="Arial"/>
                            <w:color w:val="231F20"/>
                            <w:spacing w:val="-5"/>
                            <w:w w:val="90"/>
                            <w:sz w:val="12"/>
                          </w:rPr>
                          <w:t> </w:t>
                        </w:r>
                        <w:r>
                          <w:rPr>
                            <w:rFonts w:ascii="Arial"/>
                            <w:color w:val="231F20"/>
                            <w:spacing w:val="-2"/>
                            <w:w w:val="90"/>
                            <w:sz w:val="12"/>
                          </w:rPr>
                          <w:t>two</w:t>
                        </w:r>
                        <w:r>
                          <w:rPr>
                            <w:rFonts w:ascii="Arial"/>
                            <w:color w:val="231F20"/>
                            <w:spacing w:val="-3"/>
                            <w:w w:val="90"/>
                            <w:sz w:val="12"/>
                          </w:rPr>
                          <w:t> </w:t>
                        </w:r>
                        <w:r>
                          <w:rPr>
                            <w:rFonts w:ascii="Arial"/>
                            <w:color w:val="231F20"/>
                            <w:spacing w:val="-2"/>
                            <w:w w:val="90"/>
                            <w:sz w:val="12"/>
                          </w:rPr>
                          <w:t>quintiles</w:t>
                        </w:r>
                        <w:r>
                          <w:rPr>
                            <w:rFonts w:ascii="Arial"/>
                            <w:color w:val="231F20"/>
                            <w:spacing w:val="-3"/>
                            <w:w w:val="90"/>
                            <w:sz w:val="12"/>
                          </w:rPr>
                          <w:t> </w:t>
                        </w:r>
                        <w:r>
                          <w:rPr>
                            <w:rFonts w:ascii="Arial"/>
                            <w:color w:val="231F20"/>
                            <w:spacing w:val="-2"/>
                            <w:w w:val="90"/>
                            <w:sz w:val="12"/>
                          </w:rPr>
                          <w:t>(the</w:t>
                        </w:r>
                        <w:r>
                          <w:rPr>
                            <w:rFonts w:ascii="Arial"/>
                            <w:color w:val="231F20"/>
                            <w:spacing w:val="-3"/>
                            <w:w w:val="90"/>
                            <w:sz w:val="12"/>
                          </w:rPr>
                          <w:t> </w:t>
                        </w:r>
                        <w:r>
                          <w:rPr>
                            <w:rFonts w:ascii="Arial"/>
                            <w:color w:val="231F20"/>
                            <w:spacing w:val="-2"/>
                            <w:w w:val="90"/>
                            <w:sz w:val="12"/>
                          </w:rPr>
                          <w:t>middle</w:t>
                        </w:r>
                        <w:r>
                          <w:rPr>
                            <w:rFonts w:ascii="Arial"/>
                            <w:color w:val="231F20"/>
                            <w:spacing w:val="-3"/>
                            <w:w w:val="90"/>
                            <w:sz w:val="12"/>
                          </w:rPr>
                          <w:t> </w:t>
                        </w:r>
                        <w:r>
                          <w:rPr>
                            <w:rFonts w:ascii="Arial"/>
                            <w:color w:val="231F20"/>
                            <w:spacing w:val="-2"/>
                            <w:w w:val="90"/>
                            <w:sz w:val="12"/>
                          </w:rPr>
                          <w:t>and</w:t>
                        </w:r>
                        <w:r>
                          <w:rPr>
                            <w:rFonts w:ascii="Arial"/>
                            <w:color w:val="231F20"/>
                            <w:spacing w:val="-3"/>
                            <w:w w:val="90"/>
                            <w:sz w:val="12"/>
                          </w:rPr>
                          <w:t> </w:t>
                        </w:r>
                        <w:r>
                          <w:rPr>
                            <w:rFonts w:ascii="Arial"/>
                            <w:color w:val="231F20"/>
                            <w:spacing w:val="-2"/>
                            <w:w w:val="90"/>
                            <w:sz w:val="12"/>
                          </w:rPr>
                          <w:t>the</w:t>
                        </w:r>
                        <w:r>
                          <w:rPr>
                            <w:rFonts w:ascii="Arial"/>
                            <w:color w:val="231F20"/>
                            <w:spacing w:val="-3"/>
                            <w:w w:val="90"/>
                            <w:sz w:val="12"/>
                          </w:rPr>
                          <w:t> </w:t>
                        </w:r>
                        <w:r>
                          <w:rPr>
                            <w:rFonts w:ascii="Arial"/>
                            <w:color w:val="231F20"/>
                            <w:spacing w:val="-2"/>
                            <w:w w:val="90"/>
                            <w:sz w:val="12"/>
                          </w:rPr>
                          <w:t>second</w:t>
                        </w:r>
                        <w:r>
                          <w:rPr>
                            <w:rFonts w:ascii="Arial"/>
                            <w:color w:val="231F20"/>
                            <w:spacing w:val="-3"/>
                            <w:w w:val="90"/>
                            <w:sz w:val="12"/>
                          </w:rPr>
                          <w:t> </w:t>
                        </w:r>
                        <w:r>
                          <w:rPr>
                            <w:rFonts w:ascii="Arial"/>
                            <w:color w:val="231F20"/>
                            <w:spacing w:val="-2"/>
                            <w:w w:val="90"/>
                            <w:sz w:val="12"/>
                          </w:rPr>
                          <w:t>from</w:t>
                        </w:r>
                        <w:r>
                          <w:rPr>
                            <w:rFonts w:ascii="Arial"/>
                            <w:color w:val="231F20"/>
                            <w:spacing w:val="-3"/>
                            <w:w w:val="90"/>
                            <w:sz w:val="12"/>
                          </w:rPr>
                          <w:t> </w:t>
                        </w:r>
                        <w:r>
                          <w:rPr>
                            <w:rFonts w:ascii="Arial"/>
                            <w:color w:val="231F20"/>
                            <w:spacing w:val="-2"/>
                            <w:w w:val="90"/>
                            <w:sz w:val="12"/>
                          </w:rPr>
                          <w:t>the</w:t>
                        </w:r>
                        <w:r>
                          <w:rPr>
                            <w:rFonts w:ascii="Arial"/>
                            <w:color w:val="231F20"/>
                            <w:spacing w:val="-3"/>
                            <w:w w:val="90"/>
                            <w:sz w:val="12"/>
                          </w:rPr>
                          <w:t> </w:t>
                        </w:r>
                        <w:r>
                          <w:rPr>
                            <w:rFonts w:ascii="Arial"/>
                            <w:color w:val="231F20"/>
                            <w:spacing w:val="-2"/>
                            <w:w w:val="90"/>
                            <w:sz w:val="12"/>
                          </w:rPr>
                          <w:t>bottom).</w:t>
                        </w:r>
                      </w:p>
                    </w:txbxContent>
                  </v:textbox>
                  <w10:wrap type="none"/>
                </v:shape>
                <v:shape style="position:absolute;left:4303;top:1092;width:683;height:697" type="#_x0000_t202" id="docshape464" filled="false" stroked="false">
                  <v:textbox inset="0,0,0,0">
                    <w:txbxContent>
                      <w:p>
                        <w:pPr>
                          <w:spacing w:before="48"/>
                          <w:ind w:left="56" w:right="50" w:firstLine="14"/>
                          <w:jc w:val="left"/>
                          <w:rPr>
                            <w:rFonts w:ascii="Arial"/>
                            <w:sz w:val="14"/>
                          </w:rPr>
                        </w:pPr>
                        <w:r>
                          <w:rPr>
                            <w:rFonts w:ascii="Arial"/>
                            <w:color w:val="231F20"/>
                            <w:spacing w:val="-2"/>
                            <w:w w:val="85"/>
                            <w:sz w:val="14"/>
                          </w:rPr>
                          <w:t>Consistent</w:t>
                        </w:r>
                        <w:r>
                          <w:rPr>
                            <w:rFonts w:ascii="Arial"/>
                            <w:color w:val="231F20"/>
                            <w:spacing w:val="40"/>
                            <w:sz w:val="14"/>
                          </w:rPr>
                          <w:t> </w:t>
                        </w:r>
                        <w:r>
                          <w:rPr>
                            <w:rFonts w:ascii="Arial"/>
                            <w:color w:val="231F20"/>
                            <w:spacing w:val="-2"/>
                            <w:w w:val="85"/>
                            <w:sz w:val="14"/>
                          </w:rPr>
                          <w:t>performers</w:t>
                        </w:r>
                      </w:p>
                    </w:txbxContent>
                  </v:textbox>
                  <w10:wrap type="none"/>
                </v:shape>
                <v:shape style="position:absolute;left:3074;top:1092;width:1209;height:179" type="#_x0000_t202" id="docshape465" filled="false" stroked="false">
                  <v:textbox inset="0,0,0,0">
                    <w:txbxContent>
                      <w:p>
                        <w:pPr>
                          <w:spacing w:line="130" w:lineRule="exact" w:before="48"/>
                          <w:ind w:left="0" w:right="0" w:firstLine="0"/>
                          <w:jc w:val="center"/>
                          <w:rPr>
                            <w:rFonts w:ascii="Arial"/>
                            <w:sz w:val="14"/>
                          </w:rPr>
                        </w:pPr>
                        <w:r>
                          <w:rPr>
                            <w:rFonts w:ascii="Arial"/>
                            <w:color w:val="231F20"/>
                            <w:spacing w:val="-2"/>
                            <w:sz w:val="14"/>
                          </w:rPr>
                          <w:t>Partial</w:t>
                        </w:r>
                      </w:p>
                    </w:txbxContent>
                  </v:textbox>
                  <w10:wrap type="none"/>
                </v:shape>
              </v:group>
            </w:pict>
          </mc:Fallback>
        </mc:AlternateContent>
      </w:r>
      <w:r>
        <w:rPr>
          <w:sz w:val="20"/>
        </w:rPr>
      </w:r>
    </w:p>
    <w:p>
      <w:pPr>
        <w:pStyle w:val="BodyText"/>
        <w:spacing w:before="8"/>
        <w:rPr>
          <w:sz w:val="19"/>
        </w:rPr>
      </w:pPr>
    </w:p>
    <w:p>
      <w:pPr>
        <w:spacing w:after="0"/>
        <w:rPr>
          <w:sz w:val="19"/>
        </w:rPr>
        <w:sectPr>
          <w:pgSz w:w="12240" w:h="15840"/>
          <w:pgMar w:header="370" w:footer="548" w:top="560" w:bottom="740" w:left="0" w:right="540"/>
        </w:sectPr>
      </w:pPr>
    </w:p>
    <w:p>
      <w:pPr>
        <w:spacing w:line="297" w:lineRule="auto" w:before="115"/>
        <w:ind w:left="3360" w:right="20" w:firstLine="0"/>
        <w:jc w:val="left"/>
        <w:rPr>
          <w:rFonts w:ascii="Arial"/>
          <w:sz w:val="19"/>
        </w:rPr>
      </w:pPr>
      <w:r>
        <w:rPr>
          <w:rFonts w:ascii="Arial"/>
          <w:color w:val="008FDD"/>
          <w:w w:val="105"/>
          <w:sz w:val="19"/>
        </w:rPr>
        <w:t>Bilateral</w:t>
      </w:r>
      <w:r>
        <w:rPr>
          <w:rFonts w:ascii="Arial"/>
          <w:color w:val="008FDD"/>
          <w:spacing w:val="-9"/>
          <w:w w:val="105"/>
          <w:sz w:val="19"/>
        </w:rPr>
        <w:t> </w:t>
      </w:r>
      <w:r>
        <w:rPr>
          <w:rFonts w:ascii="Arial"/>
          <w:color w:val="008FDD"/>
          <w:w w:val="105"/>
          <w:sz w:val="19"/>
        </w:rPr>
        <w:t>LPI</w:t>
      </w:r>
      <w:r>
        <w:rPr>
          <w:rFonts w:ascii="Arial"/>
          <w:color w:val="008FDD"/>
          <w:spacing w:val="-9"/>
          <w:w w:val="105"/>
          <w:sz w:val="19"/>
        </w:rPr>
        <w:t> </w:t>
      </w:r>
      <w:r>
        <w:rPr>
          <w:rFonts w:ascii="Arial"/>
          <w:color w:val="008FDD"/>
          <w:w w:val="105"/>
          <w:sz w:val="19"/>
        </w:rPr>
        <w:t>assessments</w:t>
      </w:r>
      <w:r>
        <w:rPr>
          <w:rFonts w:ascii="Arial"/>
          <w:color w:val="008FDD"/>
          <w:spacing w:val="-9"/>
          <w:w w:val="105"/>
          <w:sz w:val="19"/>
        </w:rPr>
        <w:t> </w:t>
      </w:r>
      <w:r>
        <w:rPr>
          <w:rFonts w:ascii="Arial"/>
          <w:color w:val="008FDD"/>
          <w:w w:val="105"/>
          <w:sz w:val="19"/>
        </w:rPr>
        <w:t>between income groups</w:t>
      </w:r>
    </w:p>
    <w:p>
      <w:pPr>
        <w:pStyle w:val="BodyText"/>
        <w:spacing w:line="222" w:lineRule="exact"/>
        <w:ind w:left="3360"/>
        <w:jc w:val="both"/>
      </w:pPr>
      <w:r>
        <w:rPr>
          <w:color w:val="231F20"/>
        </w:rPr>
        <w:t>Given</w:t>
      </w:r>
      <w:r>
        <w:rPr>
          <w:color w:val="231F20"/>
          <w:spacing w:val="3"/>
        </w:rPr>
        <w:t> </w:t>
      </w:r>
      <w:r>
        <w:rPr>
          <w:color w:val="231F20"/>
        </w:rPr>
        <w:t>that</w:t>
      </w:r>
      <w:r>
        <w:rPr>
          <w:color w:val="231F20"/>
          <w:spacing w:val="3"/>
        </w:rPr>
        <w:t> </w:t>
      </w:r>
      <w:r>
        <w:rPr>
          <w:color w:val="231F20"/>
        </w:rPr>
        <w:t>the</w:t>
      </w:r>
      <w:r>
        <w:rPr>
          <w:color w:val="231F20"/>
          <w:spacing w:val="4"/>
        </w:rPr>
        <w:t> </w:t>
      </w:r>
      <w:r>
        <w:rPr>
          <w:color w:val="231F20"/>
        </w:rPr>
        <w:t>LPI</w:t>
      </w:r>
      <w:r>
        <w:rPr>
          <w:color w:val="231F20"/>
          <w:spacing w:val="3"/>
        </w:rPr>
        <w:t> </w:t>
      </w:r>
      <w:r>
        <w:rPr>
          <w:color w:val="231F20"/>
        </w:rPr>
        <w:t>assesses</w:t>
      </w:r>
      <w:r>
        <w:rPr>
          <w:color w:val="231F20"/>
          <w:spacing w:val="4"/>
        </w:rPr>
        <w:t> </w:t>
      </w:r>
      <w:r>
        <w:rPr>
          <w:color w:val="231F20"/>
        </w:rPr>
        <w:t>logistics</w:t>
      </w:r>
      <w:r>
        <w:rPr>
          <w:color w:val="231F20"/>
          <w:spacing w:val="3"/>
        </w:rPr>
        <w:t> </w:t>
      </w:r>
      <w:r>
        <w:rPr>
          <w:color w:val="231F20"/>
          <w:spacing w:val="-2"/>
        </w:rPr>
        <w:t>perfor-</w:t>
      </w:r>
    </w:p>
    <w:p>
      <w:pPr>
        <w:pStyle w:val="BodyText"/>
        <w:spacing w:line="268" w:lineRule="auto" w:before="29"/>
        <w:ind w:left="3360"/>
        <w:jc w:val="both"/>
      </w:pPr>
      <w:r>
        <w:rPr>
          <w:color w:val="231F20"/>
        </w:rPr>
        <w:t>mance by eliciting ratings from profession- als outside the country being scored, break- </w:t>
      </w:r>
      <w:r>
        <w:rPr>
          <w:color w:val="231F20"/>
          <w:spacing w:val="-2"/>
        </w:rPr>
        <w:t>ing</w:t>
      </w:r>
      <w:r>
        <w:rPr>
          <w:color w:val="231F20"/>
          <w:spacing w:val="-11"/>
        </w:rPr>
        <w:t> </w:t>
      </w:r>
      <w:r>
        <w:rPr>
          <w:color w:val="231F20"/>
          <w:spacing w:val="-2"/>
        </w:rPr>
        <w:t>results</w:t>
      </w:r>
      <w:r>
        <w:rPr>
          <w:color w:val="231F20"/>
          <w:spacing w:val="-11"/>
        </w:rPr>
        <w:t> </w:t>
      </w:r>
      <w:r>
        <w:rPr>
          <w:color w:val="231F20"/>
          <w:spacing w:val="-2"/>
        </w:rPr>
        <w:t>out</w:t>
      </w:r>
      <w:r>
        <w:rPr>
          <w:color w:val="231F20"/>
          <w:spacing w:val="-11"/>
        </w:rPr>
        <w:t> </w:t>
      </w:r>
      <w:r>
        <w:rPr>
          <w:color w:val="231F20"/>
          <w:spacing w:val="-2"/>
        </w:rPr>
        <w:t>bilaterally</w:t>
      </w:r>
      <w:r>
        <w:rPr>
          <w:color w:val="231F20"/>
          <w:spacing w:val="-11"/>
        </w:rPr>
        <w:t> </w:t>
      </w:r>
      <w:r>
        <w:rPr>
          <w:color w:val="231F20"/>
          <w:spacing w:val="-2"/>
        </w:rPr>
        <w:t>(that</w:t>
      </w:r>
      <w:r>
        <w:rPr>
          <w:color w:val="231F20"/>
          <w:spacing w:val="-11"/>
        </w:rPr>
        <w:t> </w:t>
      </w:r>
      <w:r>
        <w:rPr>
          <w:color w:val="231F20"/>
          <w:spacing w:val="-2"/>
        </w:rPr>
        <w:t>is,</w:t>
      </w:r>
      <w:r>
        <w:rPr>
          <w:color w:val="231F20"/>
          <w:spacing w:val="-11"/>
        </w:rPr>
        <w:t> </w:t>
      </w:r>
      <w:r>
        <w:rPr>
          <w:color w:val="231F20"/>
          <w:spacing w:val="-2"/>
        </w:rPr>
        <w:t>between</w:t>
      </w:r>
      <w:r>
        <w:rPr>
          <w:color w:val="231F20"/>
          <w:spacing w:val="-11"/>
        </w:rPr>
        <w:t> </w:t>
      </w:r>
      <w:r>
        <w:rPr>
          <w:color w:val="231F20"/>
          <w:spacing w:val="-2"/>
        </w:rPr>
        <w:t>the </w:t>
      </w:r>
      <w:r>
        <w:rPr>
          <w:color w:val="231F20"/>
          <w:spacing w:val="-6"/>
        </w:rPr>
        <w:t>respondent’s</w:t>
      </w:r>
      <w:r>
        <w:rPr>
          <w:color w:val="231F20"/>
          <w:spacing w:val="-7"/>
        </w:rPr>
        <w:t> </w:t>
      </w:r>
      <w:r>
        <w:rPr>
          <w:color w:val="231F20"/>
          <w:spacing w:val="-6"/>
        </w:rPr>
        <w:t>country</w:t>
      </w:r>
      <w:r>
        <w:rPr>
          <w:color w:val="231F20"/>
          <w:spacing w:val="-7"/>
        </w:rPr>
        <w:t> </w:t>
      </w:r>
      <w:r>
        <w:rPr>
          <w:color w:val="231F20"/>
          <w:spacing w:val="-6"/>
        </w:rPr>
        <w:t>and</w:t>
      </w:r>
      <w:r>
        <w:rPr>
          <w:color w:val="231F20"/>
          <w:spacing w:val="-7"/>
        </w:rPr>
        <w:t> </w:t>
      </w:r>
      <w:r>
        <w:rPr>
          <w:color w:val="231F20"/>
          <w:spacing w:val="-6"/>
        </w:rPr>
        <w:t>the</w:t>
      </w:r>
      <w:r>
        <w:rPr>
          <w:color w:val="231F20"/>
          <w:spacing w:val="-7"/>
        </w:rPr>
        <w:t> </w:t>
      </w:r>
      <w:r>
        <w:rPr>
          <w:color w:val="231F20"/>
          <w:spacing w:val="-6"/>
        </w:rPr>
        <w:t>assessed</w:t>
      </w:r>
      <w:r>
        <w:rPr>
          <w:color w:val="231F20"/>
          <w:spacing w:val="-7"/>
        </w:rPr>
        <w:t> </w:t>
      </w:r>
      <w:r>
        <w:rPr>
          <w:color w:val="231F20"/>
          <w:spacing w:val="-6"/>
        </w:rPr>
        <w:t>country) </w:t>
      </w:r>
      <w:r>
        <w:rPr>
          <w:color w:val="231F20"/>
        </w:rPr>
        <w:t>provides additional insight.</w:t>
      </w:r>
    </w:p>
    <w:p>
      <w:pPr>
        <w:pStyle w:val="BodyText"/>
        <w:spacing w:line="268" w:lineRule="auto"/>
        <w:ind w:left="3360" w:firstLine="300"/>
        <w:jc w:val="both"/>
      </w:pPr>
      <w:r>
        <w:rPr>
          <w:color w:val="231F20"/>
        </w:rPr>
        <w:t>Respondents from </w:t>
      </w:r>
      <w:r>
        <w:rPr>
          <w:color w:val="231F20"/>
          <w:spacing w:val="10"/>
        </w:rPr>
        <w:t>all</w:t>
      </w:r>
      <w:r>
        <w:rPr>
          <w:color w:val="231F20"/>
          <w:spacing w:val="10"/>
        </w:rPr>
        <w:t> </w:t>
      </w:r>
      <w:r>
        <w:rPr>
          <w:color w:val="231F20"/>
        </w:rPr>
        <w:t>income groups rated the high-income group the highest, followed by the upper-middle-income and lower middle-income groups, then the low- income</w:t>
      </w:r>
      <w:r>
        <w:rPr>
          <w:color w:val="231F20"/>
          <w:spacing w:val="-4"/>
        </w:rPr>
        <w:t> </w:t>
      </w:r>
      <w:r>
        <w:rPr>
          <w:color w:val="231F20"/>
        </w:rPr>
        <w:t>group</w:t>
      </w:r>
      <w:r>
        <w:rPr>
          <w:color w:val="231F20"/>
          <w:spacing w:val="-4"/>
        </w:rPr>
        <w:t> </w:t>
      </w:r>
      <w:r>
        <w:rPr>
          <w:color w:val="231F20"/>
        </w:rPr>
        <w:t>(table</w:t>
      </w:r>
      <w:r>
        <w:rPr>
          <w:color w:val="231F20"/>
          <w:spacing w:val="-4"/>
        </w:rPr>
        <w:t> </w:t>
      </w:r>
      <w:r>
        <w:rPr>
          <w:color w:val="231F20"/>
        </w:rPr>
        <w:t>2.1).</w:t>
      </w:r>
      <w:r>
        <w:rPr>
          <w:color w:val="231F20"/>
          <w:spacing w:val="-4"/>
        </w:rPr>
        <w:t> </w:t>
      </w:r>
      <w:r>
        <w:rPr>
          <w:color w:val="231F20"/>
        </w:rPr>
        <w:t>Hence,</w:t>
      </w:r>
      <w:r>
        <w:rPr>
          <w:color w:val="231F20"/>
          <w:spacing w:val="-4"/>
        </w:rPr>
        <w:t> </w:t>
      </w:r>
      <w:r>
        <w:rPr>
          <w:color w:val="231F20"/>
        </w:rPr>
        <w:t>ratings</w:t>
      </w:r>
      <w:r>
        <w:rPr>
          <w:color w:val="231F20"/>
          <w:spacing w:val="-4"/>
        </w:rPr>
        <w:t> </w:t>
      </w:r>
      <w:r>
        <w:rPr>
          <w:color w:val="231F20"/>
        </w:rPr>
        <w:t>are consistent in a rank order sense across in- come groups. However, income groups dif- </w:t>
      </w:r>
      <w:r>
        <w:rPr>
          <w:color w:val="231F20"/>
          <w:spacing w:val="-2"/>
        </w:rPr>
        <w:t>fer</w:t>
      </w:r>
      <w:r>
        <w:rPr>
          <w:color w:val="231F20"/>
          <w:spacing w:val="-11"/>
        </w:rPr>
        <w:t> </w:t>
      </w:r>
      <w:r>
        <w:rPr>
          <w:color w:val="231F20"/>
          <w:spacing w:val="-2"/>
        </w:rPr>
        <w:t>noticeably</w:t>
      </w:r>
      <w:r>
        <w:rPr>
          <w:color w:val="231F20"/>
          <w:spacing w:val="-11"/>
        </w:rPr>
        <w:t> </w:t>
      </w:r>
      <w:r>
        <w:rPr>
          <w:color w:val="231F20"/>
          <w:spacing w:val="-2"/>
        </w:rPr>
        <w:t>in</w:t>
      </w:r>
      <w:r>
        <w:rPr>
          <w:color w:val="231F20"/>
          <w:spacing w:val="-11"/>
        </w:rPr>
        <w:t> </w:t>
      </w:r>
      <w:r>
        <w:rPr>
          <w:color w:val="231F20"/>
          <w:spacing w:val="-2"/>
        </w:rPr>
        <w:t>the</w:t>
      </w:r>
      <w:r>
        <w:rPr>
          <w:color w:val="231F20"/>
          <w:spacing w:val="-11"/>
        </w:rPr>
        <w:t> </w:t>
      </w:r>
      <w:r>
        <w:rPr>
          <w:color w:val="231F20"/>
          <w:spacing w:val="-2"/>
        </w:rPr>
        <w:t>average</w:t>
      </w:r>
      <w:r>
        <w:rPr>
          <w:color w:val="231F20"/>
          <w:spacing w:val="-11"/>
        </w:rPr>
        <w:t> </w:t>
      </w:r>
      <w:r>
        <w:rPr>
          <w:color w:val="231F20"/>
          <w:spacing w:val="-2"/>
        </w:rPr>
        <w:t>scores</w:t>
      </w:r>
      <w:r>
        <w:rPr>
          <w:color w:val="231F20"/>
          <w:spacing w:val="-11"/>
        </w:rPr>
        <w:t> </w:t>
      </w:r>
      <w:r>
        <w:rPr>
          <w:color w:val="231F20"/>
          <w:spacing w:val="-2"/>
        </w:rPr>
        <w:t>they</w:t>
      </w:r>
      <w:r>
        <w:rPr>
          <w:color w:val="231F20"/>
          <w:spacing w:val="-11"/>
        </w:rPr>
        <w:t> </w:t>
      </w:r>
      <w:r>
        <w:rPr>
          <w:color w:val="231F20"/>
          <w:spacing w:val="-2"/>
        </w:rPr>
        <w:t>gave other</w:t>
      </w:r>
      <w:r>
        <w:rPr>
          <w:color w:val="231F20"/>
          <w:spacing w:val="-6"/>
        </w:rPr>
        <w:t> </w:t>
      </w:r>
      <w:r>
        <w:rPr>
          <w:color w:val="231F20"/>
          <w:spacing w:val="-2"/>
        </w:rPr>
        <w:t>groups:</w:t>
      </w:r>
      <w:r>
        <w:rPr>
          <w:color w:val="231F20"/>
          <w:spacing w:val="-5"/>
        </w:rPr>
        <w:t> </w:t>
      </w:r>
      <w:r>
        <w:rPr>
          <w:color w:val="231F20"/>
          <w:spacing w:val="-2"/>
        </w:rPr>
        <w:t>the</w:t>
      </w:r>
      <w:r>
        <w:rPr>
          <w:color w:val="231F20"/>
          <w:spacing w:val="-6"/>
        </w:rPr>
        <w:t> </w:t>
      </w:r>
      <w:r>
        <w:rPr>
          <w:color w:val="231F20"/>
          <w:spacing w:val="-2"/>
        </w:rPr>
        <w:t>low-income</w:t>
      </w:r>
      <w:r>
        <w:rPr>
          <w:color w:val="231F20"/>
          <w:spacing w:val="-5"/>
        </w:rPr>
        <w:t> </w:t>
      </w:r>
      <w:r>
        <w:rPr>
          <w:color w:val="231F20"/>
          <w:spacing w:val="-2"/>
        </w:rPr>
        <w:t>group</w:t>
      </w:r>
      <w:r>
        <w:rPr>
          <w:color w:val="231F20"/>
          <w:spacing w:val="-6"/>
        </w:rPr>
        <w:t> </w:t>
      </w:r>
      <w:r>
        <w:rPr>
          <w:color w:val="231F20"/>
          <w:spacing w:val="-2"/>
        </w:rPr>
        <w:t>gave</w:t>
      </w:r>
      <w:r>
        <w:rPr>
          <w:color w:val="231F20"/>
          <w:spacing w:val="-5"/>
        </w:rPr>
        <w:t> the</w:t>
      </w:r>
    </w:p>
    <w:p>
      <w:pPr>
        <w:pStyle w:val="BodyText"/>
        <w:rPr>
          <w:sz w:val="20"/>
        </w:rPr>
      </w:pPr>
    </w:p>
    <w:p>
      <w:pPr>
        <w:pStyle w:val="BodyText"/>
        <w:rPr>
          <w:sz w:val="20"/>
        </w:rPr>
      </w:pPr>
    </w:p>
    <w:p>
      <w:pPr>
        <w:pStyle w:val="BodyText"/>
        <w:rPr>
          <w:sz w:val="20"/>
        </w:rPr>
      </w:pPr>
    </w:p>
    <w:p>
      <w:pPr>
        <w:pStyle w:val="BodyText"/>
        <w:spacing w:before="151"/>
        <w:rPr>
          <w:sz w:val="20"/>
        </w:rPr>
      </w:pPr>
    </w:p>
    <w:tbl>
      <w:tblPr>
        <w:tblW w:w="0" w:type="auto"/>
        <w:jc w:val="left"/>
        <w:tblInd w:w="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2"/>
        <w:gridCol w:w="957"/>
        <w:gridCol w:w="979"/>
        <w:gridCol w:w="995"/>
        <w:gridCol w:w="948"/>
        <w:gridCol w:w="970"/>
      </w:tblGrid>
      <w:tr>
        <w:trPr>
          <w:trHeight w:val="209" w:hRule="atLeast"/>
        </w:trPr>
        <w:tc>
          <w:tcPr>
            <w:tcW w:w="6321" w:type="dxa"/>
            <w:gridSpan w:val="6"/>
          </w:tcPr>
          <w:p>
            <w:pPr>
              <w:pStyle w:val="TableParagraph"/>
              <w:spacing w:before="3"/>
              <w:ind w:left="501"/>
              <w:rPr>
                <w:b/>
                <w:sz w:val="14"/>
              </w:rPr>
            </w:pPr>
            <w:r>
              <w:rPr>
                <w:b/>
                <w:color w:val="231F20"/>
                <w:w w:val="80"/>
                <w:sz w:val="14"/>
              </w:rPr>
              <w:t>Assessed</w:t>
            </w:r>
            <w:r>
              <w:rPr>
                <w:b/>
                <w:color w:val="231F20"/>
                <w:spacing w:val="11"/>
                <w:sz w:val="14"/>
              </w:rPr>
              <w:t> </w:t>
            </w:r>
            <w:r>
              <w:rPr>
                <w:b/>
                <w:color w:val="231F20"/>
                <w:spacing w:val="-2"/>
                <w:w w:val="90"/>
                <w:sz w:val="14"/>
              </w:rPr>
              <w:t>country</w:t>
            </w:r>
          </w:p>
        </w:tc>
      </w:tr>
      <w:tr>
        <w:trPr>
          <w:trHeight w:val="409" w:hRule="atLeast"/>
        </w:trPr>
        <w:tc>
          <w:tcPr>
            <w:tcW w:w="1472" w:type="dxa"/>
            <w:tcBorders>
              <w:bottom w:val="single" w:sz="4" w:space="0" w:color="008FDD"/>
            </w:tcBorders>
          </w:tcPr>
          <w:p>
            <w:pPr>
              <w:pStyle w:val="TableParagraph"/>
              <w:spacing w:before="42"/>
              <w:jc w:val="left"/>
              <w:rPr>
                <w:rFonts w:ascii="Times New Roman"/>
                <w:sz w:val="14"/>
              </w:rPr>
            </w:pPr>
          </w:p>
          <w:p>
            <w:pPr>
              <w:pStyle w:val="TableParagraph"/>
              <w:spacing w:before="0"/>
              <w:ind w:left="80"/>
              <w:jc w:val="left"/>
              <w:rPr>
                <w:b/>
                <w:sz w:val="14"/>
              </w:rPr>
            </w:pPr>
            <w:r>
              <w:rPr>
                <w:b/>
                <w:color w:val="231F20"/>
                <w:w w:val="80"/>
                <w:sz w:val="14"/>
              </w:rPr>
              <w:t>Respondent’s</w:t>
            </w:r>
            <w:r>
              <w:rPr>
                <w:b/>
                <w:color w:val="231F20"/>
                <w:spacing w:val="21"/>
                <w:sz w:val="14"/>
              </w:rPr>
              <w:t> </w:t>
            </w:r>
            <w:r>
              <w:rPr>
                <w:b/>
                <w:color w:val="231F20"/>
                <w:spacing w:val="-2"/>
                <w:w w:val="90"/>
                <w:sz w:val="14"/>
              </w:rPr>
              <w:t>country</w:t>
            </w:r>
          </w:p>
        </w:tc>
        <w:tc>
          <w:tcPr>
            <w:tcW w:w="957" w:type="dxa"/>
            <w:tcBorders>
              <w:top w:val="single" w:sz="4" w:space="0" w:color="008FDD"/>
              <w:bottom w:val="single" w:sz="4" w:space="0" w:color="008FDD"/>
            </w:tcBorders>
          </w:tcPr>
          <w:p>
            <w:pPr>
              <w:pStyle w:val="TableParagraph"/>
              <w:spacing w:before="42"/>
              <w:jc w:val="left"/>
              <w:rPr>
                <w:rFonts w:ascii="Times New Roman"/>
                <w:sz w:val="14"/>
              </w:rPr>
            </w:pPr>
          </w:p>
          <w:p>
            <w:pPr>
              <w:pStyle w:val="TableParagraph"/>
              <w:spacing w:before="0"/>
              <w:ind w:left="18" w:right="6"/>
              <w:rPr>
                <w:b/>
                <w:sz w:val="14"/>
              </w:rPr>
            </w:pPr>
            <w:r>
              <w:rPr>
                <w:b/>
                <w:color w:val="231F20"/>
                <w:w w:val="80"/>
                <w:sz w:val="14"/>
              </w:rPr>
              <w:t>High</w:t>
            </w:r>
            <w:r>
              <w:rPr>
                <w:b/>
                <w:color w:val="231F20"/>
                <w:spacing w:val="-3"/>
                <w:sz w:val="14"/>
              </w:rPr>
              <w:t> </w:t>
            </w:r>
            <w:r>
              <w:rPr>
                <w:b/>
                <w:color w:val="231F20"/>
                <w:spacing w:val="-2"/>
                <w:w w:val="90"/>
                <w:sz w:val="14"/>
              </w:rPr>
              <w:t>income</w:t>
            </w:r>
          </w:p>
        </w:tc>
        <w:tc>
          <w:tcPr>
            <w:tcW w:w="979" w:type="dxa"/>
            <w:tcBorders>
              <w:top w:val="single" w:sz="4" w:space="0" w:color="008FDD"/>
              <w:bottom w:val="single" w:sz="4" w:space="0" w:color="008FDD"/>
            </w:tcBorders>
          </w:tcPr>
          <w:p>
            <w:pPr>
              <w:pStyle w:val="TableParagraph"/>
              <w:spacing w:before="43"/>
              <w:ind w:left="287" w:hanging="171"/>
              <w:jc w:val="left"/>
              <w:rPr>
                <w:b/>
                <w:sz w:val="14"/>
              </w:rPr>
            </w:pPr>
            <w:r>
              <w:rPr>
                <w:b/>
                <w:color w:val="231F20"/>
                <w:spacing w:val="-2"/>
                <w:w w:val="85"/>
                <w:sz w:val="14"/>
              </w:rPr>
              <w:t>Upper</w:t>
            </w:r>
            <w:r>
              <w:rPr>
                <w:b/>
                <w:color w:val="231F20"/>
                <w:spacing w:val="-8"/>
                <w:sz w:val="14"/>
              </w:rPr>
              <w:t> </w:t>
            </w:r>
            <w:r>
              <w:rPr>
                <w:b/>
                <w:color w:val="231F20"/>
                <w:spacing w:val="-2"/>
                <w:w w:val="85"/>
                <w:sz w:val="14"/>
              </w:rPr>
              <w:t>middle</w:t>
            </w:r>
            <w:r>
              <w:rPr>
                <w:b/>
                <w:color w:val="231F20"/>
                <w:spacing w:val="40"/>
                <w:sz w:val="14"/>
              </w:rPr>
              <w:t> </w:t>
            </w:r>
            <w:r>
              <w:rPr>
                <w:b/>
                <w:color w:val="231F20"/>
                <w:spacing w:val="-2"/>
                <w:w w:val="90"/>
                <w:sz w:val="14"/>
              </w:rPr>
              <w:t>income</w:t>
            </w:r>
          </w:p>
        </w:tc>
        <w:tc>
          <w:tcPr>
            <w:tcW w:w="995" w:type="dxa"/>
            <w:tcBorders>
              <w:top w:val="single" w:sz="4" w:space="0" w:color="008FDD"/>
              <w:bottom w:val="single" w:sz="4" w:space="0" w:color="008FDD"/>
            </w:tcBorders>
          </w:tcPr>
          <w:p>
            <w:pPr>
              <w:pStyle w:val="TableParagraph"/>
              <w:spacing w:before="43"/>
              <w:ind w:left="278" w:right="112" w:hanging="178"/>
              <w:jc w:val="left"/>
              <w:rPr>
                <w:b/>
                <w:sz w:val="14"/>
              </w:rPr>
            </w:pPr>
            <w:r>
              <w:rPr>
                <w:b/>
                <w:color w:val="231F20"/>
                <w:w w:val="85"/>
                <w:sz w:val="14"/>
              </w:rPr>
              <w:t>Lower</w:t>
            </w:r>
            <w:r>
              <w:rPr>
                <w:b/>
                <w:color w:val="231F20"/>
                <w:spacing w:val="-4"/>
                <w:w w:val="85"/>
                <w:sz w:val="14"/>
              </w:rPr>
              <w:t> </w:t>
            </w:r>
            <w:r>
              <w:rPr>
                <w:b/>
                <w:color w:val="231F20"/>
                <w:w w:val="85"/>
                <w:sz w:val="14"/>
              </w:rPr>
              <w:t>middle</w:t>
            </w:r>
            <w:r>
              <w:rPr>
                <w:b/>
                <w:color w:val="231F20"/>
                <w:spacing w:val="40"/>
                <w:sz w:val="14"/>
              </w:rPr>
              <w:t> </w:t>
            </w:r>
            <w:r>
              <w:rPr>
                <w:b/>
                <w:color w:val="231F20"/>
                <w:spacing w:val="-2"/>
                <w:w w:val="95"/>
                <w:sz w:val="14"/>
              </w:rPr>
              <w:t>income</w:t>
            </w:r>
          </w:p>
        </w:tc>
        <w:tc>
          <w:tcPr>
            <w:tcW w:w="948" w:type="dxa"/>
            <w:tcBorders>
              <w:top w:val="single" w:sz="4" w:space="0" w:color="008FDD"/>
              <w:bottom w:val="single" w:sz="4" w:space="0" w:color="008FDD"/>
            </w:tcBorders>
          </w:tcPr>
          <w:p>
            <w:pPr>
              <w:pStyle w:val="TableParagraph"/>
              <w:spacing w:before="42"/>
              <w:jc w:val="left"/>
              <w:rPr>
                <w:rFonts w:ascii="Times New Roman"/>
                <w:sz w:val="14"/>
              </w:rPr>
            </w:pPr>
          </w:p>
          <w:p>
            <w:pPr>
              <w:pStyle w:val="TableParagraph"/>
              <w:spacing w:before="0"/>
              <w:ind w:left="40" w:right="60"/>
              <w:rPr>
                <w:b/>
                <w:sz w:val="14"/>
              </w:rPr>
            </w:pPr>
            <w:r>
              <w:rPr>
                <w:b/>
                <w:color w:val="231F20"/>
                <w:w w:val="80"/>
                <w:sz w:val="14"/>
              </w:rPr>
              <w:t>Low</w:t>
            </w:r>
            <w:r>
              <w:rPr>
                <w:b/>
                <w:color w:val="231F20"/>
                <w:spacing w:val="2"/>
                <w:sz w:val="14"/>
              </w:rPr>
              <w:t> </w:t>
            </w:r>
            <w:r>
              <w:rPr>
                <w:b/>
                <w:color w:val="231F20"/>
                <w:spacing w:val="-2"/>
                <w:w w:val="90"/>
                <w:sz w:val="14"/>
              </w:rPr>
              <w:t>income</w:t>
            </w:r>
          </w:p>
        </w:tc>
        <w:tc>
          <w:tcPr>
            <w:tcW w:w="970" w:type="dxa"/>
            <w:tcBorders>
              <w:bottom w:val="single" w:sz="4" w:space="0" w:color="008FDD"/>
            </w:tcBorders>
          </w:tcPr>
          <w:p>
            <w:pPr>
              <w:pStyle w:val="TableParagraph"/>
              <w:spacing w:before="42"/>
              <w:jc w:val="left"/>
              <w:rPr>
                <w:rFonts w:ascii="Times New Roman"/>
                <w:sz w:val="14"/>
              </w:rPr>
            </w:pPr>
          </w:p>
          <w:p>
            <w:pPr>
              <w:pStyle w:val="TableParagraph"/>
              <w:spacing w:before="0"/>
              <w:ind w:left="33" w:right="34"/>
              <w:rPr>
                <w:b/>
                <w:sz w:val="14"/>
              </w:rPr>
            </w:pPr>
            <w:r>
              <w:rPr>
                <w:b/>
                <w:color w:val="231F20"/>
                <w:spacing w:val="-2"/>
                <w:w w:val="90"/>
                <w:sz w:val="14"/>
              </w:rPr>
              <w:t>Average</w:t>
            </w:r>
          </w:p>
        </w:tc>
      </w:tr>
      <w:tr>
        <w:trPr>
          <w:trHeight w:val="258" w:hRule="atLeast"/>
        </w:trPr>
        <w:tc>
          <w:tcPr>
            <w:tcW w:w="1472" w:type="dxa"/>
            <w:tcBorders>
              <w:top w:val="single" w:sz="4" w:space="0" w:color="008FDD"/>
            </w:tcBorders>
          </w:tcPr>
          <w:p>
            <w:pPr>
              <w:pStyle w:val="TableParagraph"/>
              <w:spacing w:before="47"/>
              <w:ind w:left="80"/>
              <w:jc w:val="left"/>
              <w:rPr>
                <w:sz w:val="14"/>
              </w:rPr>
            </w:pPr>
            <w:r>
              <w:rPr>
                <w:color w:val="231F20"/>
                <w:w w:val="75"/>
                <w:sz w:val="14"/>
              </w:rPr>
              <w:t>High</w:t>
            </w:r>
            <w:r>
              <w:rPr>
                <w:color w:val="231F20"/>
                <w:spacing w:val="2"/>
                <w:sz w:val="14"/>
              </w:rPr>
              <w:t> </w:t>
            </w:r>
            <w:r>
              <w:rPr>
                <w:color w:val="231F20"/>
                <w:spacing w:val="-2"/>
                <w:w w:val="90"/>
                <w:sz w:val="14"/>
              </w:rPr>
              <w:t>income</w:t>
            </w:r>
          </w:p>
        </w:tc>
        <w:tc>
          <w:tcPr>
            <w:tcW w:w="957" w:type="dxa"/>
            <w:tcBorders>
              <w:top w:val="single" w:sz="4" w:space="0" w:color="008FDD"/>
            </w:tcBorders>
          </w:tcPr>
          <w:p>
            <w:pPr>
              <w:pStyle w:val="TableParagraph"/>
              <w:spacing w:before="47"/>
              <w:ind w:left="12" w:right="18"/>
              <w:rPr>
                <w:sz w:val="14"/>
              </w:rPr>
            </w:pPr>
            <w:r>
              <w:rPr>
                <w:color w:val="231F20"/>
                <w:spacing w:val="-5"/>
                <w:w w:val="95"/>
                <w:sz w:val="14"/>
              </w:rPr>
              <w:t>3.7</w:t>
            </w:r>
          </w:p>
        </w:tc>
        <w:tc>
          <w:tcPr>
            <w:tcW w:w="979" w:type="dxa"/>
            <w:tcBorders>
              <w:top w:val="single" w:sz="4" w:space="0" w:color="008FDD"/>
            </w:tcBorders>
          </w:tcPr>
          <w:p>
            <w:pPr>
              <w:pStyle w:val="TableParagraph"/>
              <w:spacing w:before="47"/>
              <w:ind w:left="2" w:right="4"/>
              <w:rPr>
                <w:sz w:val="14"/>
              </w:rPr>
            </w:pPr>
            <w:r>
              <w:rPr>
                <w:color w:val="231F20"/>
                <w:spacing w:val="-5"/>
                <w:w w:val="95"/>
                <w:sz w:val="14"/>
              </w:rPr>
              <w:t>2.7</w:t>
            </w:r>
          </w:p>
        </w:tc>
        <w:tc>
          <w:tcPr>
            <w:tcW w:w="995" w:type="dxa"/>
            <w:tcBorders>
              <w:top w:val="single" w:sz="4" w:space="0" w:color="008FDD"/>
            </w:tcBorders>
          </w:tcPr>
          <w:p>
            <w:pPr>
              <w:pStyle w:val="TableParagraph"/>
              <w:spacing w:before="47"/>
              <w:ind w:left="17" w:right="51"/>
              <w:rPr>
                <w:sz w:val="14"/>
              </w:rPr>
            </w:pPr>
            <w:r>
              <w:rPr>
                <w:color w:val="231F20"/>
                <w:spacing w:val="-5"/>
                <w:w w:val="95"/>
                <w:sz w:val="14"/>
              </w:rPr>
              <w:t>2.4</w:t>
            </w:r>
          </w:p>
        </w:tc>
        <w:tc>
          <w:tcPr>
            <w:tcW w:w="948" w:type="dxa"/>
            <w:tcBorders>
              <w:top w:val="single" w:sz="4" w:space="0" w:color="008FDD"/>
            </w:tcBorders>
          </w:tcPr>
          <w:p>
            <w:pPr>
              <w:pStyle w:val="TableParagraph"/>
              <w:spacing w:before="47"/>
              <w:ind w:left="39" w:right="74"/>
              <w:rPr>
                <w:sz w:val="14"/>
              </w:rPr>
            </w:pPr>
            <w:r>
              <w:rPr>
                <w:color w:val="231F20"/>
                <w:spacing w:val="-5"/>
                <w:w w:val="95"/>
                <w:sz w:val="14"/>
              </w:rPr>
              <w:t>2.0</w:t>
            </w:r>
          </w:p>
        </w:tc>
        <w:tc>
          <w:tcPr>
            <w:tcW w:w="970" w:type="dxa"/>
            <w:tcBorders>
              <w:top w:val="single" w:sz="4" w:space="0" w:color="008FDD"/>
            </w:tcBorders>
          </w:tcPr>
          <w:p>
            <w:pPr>
              <w:pStyle w:val="TableParagraph"/>
              <w:spacing w:before="47"/>
              <w:ind w:left="14" w:right="34"/>
              <w:rPr>
                <w:sz w:val="14"/>
              </w:rPr>
            </w:pPr>
            <w:r>
              <w:rPr>
                <w:color w:val="231F20"/>
                <w:spacing w:val="-5"/>
                <w:w w:val="95"/>
                <w:sz w:val="14"/>
              </w:rPr>
              <w:t>2.7</w:t>
            </w:r>
          </w:p>
        </w:tc>
      </w:tr>
      <w:tr>
        <w:trPr>
          <w:trHeight w:val="259" w:hRule="atLeast"/>
        </w:trPr>
        <w:tc>
          <w:tcPr>
            <w:tcW w:w="1472" w:type="dxa"/>
            <w:shd w:val="clear" w:color="auto" w:fill="D4E3F5"/>
          </w:tcPr>
          <w:p>
            <w:pPr>
              <w:pStyle w:val="TableParagraph"/>
              <w:ind w:left="80"/>
              <w:jc w:val="left"/>
              <w:rPr>
                <w:sz w:val="14"/>
              </w:rPr>
            </w:pPr>
            <w:r>
              <w:rPr>
                <w:color w:val="231F20"/>
                <w:w w:val="75"/>
                <w:sz w:val="14"/>
              </w:rPr>
              <w:t>Upper</w:t>
            </w:r>
            <w:r>
              <w:rPr>
                <w:color w:val="231F20"/>
                <w:spacing w:val="13"/>
                <w:sz w:val="14"/>
              </w:rPr>
              <w:t> </w:t>
            </w:r>
            <w:r>
              <w:rPr>
                <w:color w:val="231F20"/>
                <w:w w:val="75"/>
                <w:sz w:val="14"/>
              </w:rPr>
              <w:t>middle</w:t>
            </w:r>
            <w:r>
              <w:rPr>
                <w:color w:val="231F20"/>
                <w:spacing w:val="13"/>
                <w:sz w:val="14"/>
              </w:rPr>
              <w:t> </w:t>
            </w:r>
            <w:r>
              <w:rPr>
                <w:color w:val="231F20"/>
                <w:spacing w:val="-2"/>
                <w:w w:val="75"/>
                <w:sz w:val="14"/>
              </w:rPr>
              <w:t>income</w:t>
            </w:r>
          </w:p>
        </w:tc>
        <w:tc>
          <w:tcPr>
            <w:tcW w:w="957" w:type="dxa"/>
            <w:shd w:val="clear" w:color="auto" w:fill="D4E3F5"/>
          </w:tcPr>
          <w:p>
            <w:pPr>
              <w:pStyle w:val="TableParagraph"/>
              <w:ind w:left="12" w:right="18"/>
              <w:rPr>
                <w:sz w:val="14"/>
              </w:rPr>
            </w:pPr>
            <w:r>
              <w:rPr>
                <w:color w:val="231F20"/>
                <w:spacing w:val="-5"/>
                <w:w w:val="95"/>
                <w:sz w:val="14"/>
              </w:rPr>
              <w:t>3.7</w:t>
            </w:r>
          </w:p>
        </w:tc>
        <w:tc>
          <w:tcPr>
            <w:tcW w:w="979" w:type="dxa"/>
            <w:shd w:val="clear" w:color="auto" w:fill="D4E3F5"/>
          </w:tcPr>
          <w:p>
            <w:pPr>
              <w:pStyle w:val="TableParagraph"/>
              <w:ind w:left="2" w:right="2"/>
              <w:rPr>
                <w:sz w:val="14"/>
              </w:rPr>
            </w:pPr>
            <w:r>
              <w:rPr>
                <w:color w:val="231F20"/>
                <w:spacing w:val="-5"/>
                <w:w w:val="95"/>
                <w:sz w:val="14"/>
              </w:rPr>
              <w:t>3.0</w:t>
            </w:r>
          </w:p>
        </w:tc>
        <w:tc>
          <w:tcPr>
            <w:tcW w:w="995" w:type="dxa"/>
            <w:shd w:val="clear" w:color="auto" w:fill="D4E3F5"/>
          </w:tcPr>
          <w:p>
            <w:pPr>
              <w:pStyle w:val="TableParagraph"/>
              <w:ind w:left="20" w:right="51"/>
              <w:rPr>
                <w:sz w:val="14"/>
              </w:rPr>
            </w:pPr>
            <w:r>
              <w:rPr>
                <w:color w:val="231F20"/>
                <w:spacing w:val="-5"/>
                <w:w w:val="95"/>
                <w:sz w:val="14"/>
              </w:rPr>
              <w:t>2.6</w:t>
            </w:r>
          </w:p>
        </w:tc>
        <w:tc>
          <w:tcPr>
            <w:tcW w:w="948" w:type="dxa"/>
            <w:shd w:val="clear" w:color="auto" w:fill="D4E3F5"/>
          </w:tcPr>
          <w:p>
            <w:pPr>
              <w:pStyle w:val="TableParagraph"/>
              <w:ind w:left="39" w:right="74"/>
              <w:rPr>
                <w:sz w:val="14"/>
              </w:rPr>
            </w:pPr>
            <w:r>
              <w:rPr>
                <w:color w:val="231F20"/>
                <w:spacing w:val="-5"/>
                <w:w w:val="95"/>
                <w:sz w:val="14"/>
              </w:rPr>
              <w:t>2.5</w:t>
            </w:r>
          </w:p>
        </w:tc>
        <w:tc>
          <w:tcPr>
            <w:tcW w:w="970" w:type="dxa"/>
            <w:shd w:val="clear" w:color="auto" w:fill="D4E3F5"/>
          </w:tcPr>
          <w:p>
            <w:pPr>
              <w:pStyle w:val="TableParagraph"/>
              <w:ind w:left="19" w:right="34"/>
              <w:rPr>
                <w:sz w:val="14"/>
              </w:rPr>
            </w:pPr>
            <w:r>
              <w:rPr>
                <w:color w:val="231F20"/>
                <w:spacing w:val="-5"/>
                <w:w w:val="95"/>
                <w:sz w:val="14"/>
              </w:rPr>
              <w:t>3.0</w:t>
            </w:r>
          </w:p>
        </w:tc>
      </w:tr>
      <w:tr>
        <w:trPr>
          <w:trHeight w:val="259" w:hRule="atLeast"/>
        </w:trPr>
        <w:tc>
          <w:tcPr>
            <w:tcW w:w="1472" w:type="dxa"/>
          </w:tcPr>
          <w:p>
            <w:pPr>
              <w:pStyle w:val="TableParagraph"/>
              <w:ind w:left="80"/>
              <w:jc w:val="left"/>
              <w:rPr>
                <w:sz w:val="14"/>
              </w:rPr>
            </w:pPr>
            <w:r>
              <w:rPr>
                <w:color w:val="231F20"/>
                <w:w w:val="80"/>
                <w:sz w:val="14"/>
              </w:rPr>
              <w:t>Lower</w:t>
            </w:r>
            <w:r>
              <w:rPr>
                <w:color w:val="231F20"/>
                <w:spacing w:val="-5"/>
                <w:sz w:val="14"/>
              </w:rPr>
              <w:t> </w:t>
            </w:r>
            <w:r>
              <w:rPr>
                <w:color w:val="231F20"/>
                <w:w w:val="80"/>
                <w:sz w:val="14"/>
              </w:rPr>
              <w:t>middle</w:t>
            </w:r>
            <w:r>
              <w:rPr>
                <w:color w:val="231F20"/>
                <w:spacing w:val="-4"/>
                <w:sz w:val="14"/>
              </w:rPr>
              <w:t> </w:t>
            </w:r>
            <w:r>
              <w:rPr>
                <w:color w:val="231F20"/>
                <w:spacing w:val="-2"/>
                <w:w w:val="80"/>
                <w:sz w:val="14"/>
              </w:rPr>
              <w:t>income</w:t>
            </w:r>
          </w:p>
        </w:tc>
        <w:tc>
          <w:tcPr>
            <w:tcW w:w="957" w:type="dxa"/>
          </w:tcPr>
          <w:p>
            <w:pPr>
              <w:pStyle w:val="TableParagraph"/>
              <w:ind w:left="12" w:right="13"/>
              <w:rPr>
                <w:sz w:val="14"/>
              </w:rPr>
            </w:pPr>
            <w:r>
              <w:rPr>
                <w:color w:val="231F20"/>
                <w:spacing w:val="-5"/>
                <w:w w:val="95"/>
                <w:sz w:val="14"/>
              </w:rPr>
              <w:t>3.8</w:t>
            </w:r>
          </w:p>
        </w:tc>
        <w:tc>
          <w:tcPr>
            <w:tcW w:w="979" w:type="dxa"/>
          </w:tcPr>
          <w:p>
            <w:pPr>
              <w:pStyle w:val="TableParagraph"/>
              <w:ind w:left="2" w:right="2"/>
              <w:rPr>
                <w:sz w:val="14"/>
              </w:rPr>
            </w:pPr>
            <w:r>
              <w:rPr>
                <w:color w:val="231F20"/>
                <w:spacing w:val="-5"/>
                <w:w w:val="95"/>
                <w:sz w:val="14"/>
              </w:rPr>
              <w:t>3.2</w:t>
            </w:r>
          </w:p>
        </w:tc>
        <w:tc>
          <w:tcPr>
            <w:tcW w:w="995" w:type="dxa"/>
          </w:tcPr>
          <w:p>
            <w:pPr>
              <w:pStyle w:val="TableParagraph"/>
              <w:ind w:right="51"/>
              <w:rPr>
                <w:sz w:val="14"/>
              </w:rPr>
            </w:pPr>
            <w:r>
              <w:rPr>
                <w:color w:val="231F20"/>
                <w:spacing w:val="-5"/>
                <w:w w:val="95"/>
                <w:sz w:val="14"/>
              </w:rPr>
              <w:t>3.1</w:t>
            </w:r>
          </w:p>
        </w:tc>
        <w:tc>
          <w:tcPr>
            <w:tcW w:w="948" w:type="dxa"/>
          </w:tcPr>
          <w:p>
            <w:pPr>
              <w:pStyle w:val="TableParagraph"/>
              <w:ind w:left="39" w:right="74"/>
              <w:rPr>
                <w:sz w:val="14"/>
              </w:rPr>
            </w:pPr>
            <w:r>
              <w:rPr>
                <w:color w:val="231F20"/>
                <w:spacing w:val="-5"/>
                <w:w w:val="95"/>
                <w:sz w:val="14"/>
              </w:rPr>
              <w:t>2.3</w:t>
            </w:r>
          </w:p>
        </w:tc>
        <w:tc>
          <w:tcPr>
            <w:tcW w:w="970" w:type="dxa"/>
          </w:tcPr>
          <w:p>
            <w:pPr>
              <w:pStyle w:val="TableParagraph"/>
              <w:ind w:right="34"/>
              <w:rPr>
                <w:sz w:val="14"/>
              </w:rPr>
            </w:pPr>
            <w:r>
              <w:rPr>
                <w:color w:val="231F20"/>
                <w:spacing w:val="-5"/>
                <w:w w:val="95"/>
                <w:sz w:val="14"/>
              </w:rPr>
              <w:t>3.1</w:t>
            </w:r>
          </w:p>
        </w:tc>
      </w:tr>
      <w:tr>
        <w:trPr>
          <w:trHeight w:val="254" w:hRule="atLeast"/>
        </w:trPr>
        <w:tc>
          <w:tcPr>
            <w:tcW w:w="1472" w:type="dxa"/>
            <w:tcBorders>
              <w:bottom w:val="single" w:sz="4" w:space="0" w:color="008FDD"/>
            </w:tcBorders>
            <w:shd w:val="clear" w:color="auto" w:fill="D4E3F5"/>
          </w:tcPr>
          <w:p>
            <w:pPr>
              <w:pStyle w:val="TableParagraph"/>
              <w:ind w:left="80"/>
              <w:jc w:val="left"/>
              <w:rPr>
                <w:sz w:val="14"/>
              </w:rPr>
            </w:pPr>
            <w:r>
              <w:rPr>
                <w:color w:val="231F20"/>
                <w:w w:val="75"/>
                <w:sz w:val="14"/>
              </w:rPr>
              <w:t>Low</w:t>
            </w:r>
            <w:r>
              <w:rPr>
                <w:color w:val="231F20"/>
                <w:spacing w:val="5"/>
                <w:sz w:val="14"/>
              </w:rPr>
              <w:t> </w:t>
            </w:r>
            <w:r>
              <w:rPr>
                <w:color w:val="231F20"/>
                <w:spacing w:val="-2"/>
                <w:w w:val="90"/>
                <w:sz w:val="14"/>
              </w:rPr>
              <w:t>income</w:t>
            </w:r>
          </w:p>
        </w:tc>
        <w:tc>
          <w:tcPr>
            <w:tcW w:w="957" w:type="dxa"/>
            <w:tcBorders>
              <w:bottom w:val="single" w:sz="4" w:space="0" w:color="008FDD"/>
            </w:tcBorders>
            <w:shd w:val="clear" w:color="auto" w:fill="D4E3F5"/>
          </w:tcPr>
          <w:p>
            <w:pPr>
              <w:pStyle w:val="TableParagraph"/>
              <w:ind w:left="12" w:right="13"/>
              <w:rPr>
                <w:sz w:val="14"/>
              </w:rPr>
            </w:pPr>
            <w:r>
              <w:rPr>
                <w:color w:val="231F20"/>
                <w:spacing w:val="-5"/>
                <w:w w:val="95"/>
                <w:sz w:val="14"/>
              </w:rPr>
              <w:t>4.3</w:t>
            </w:r>
          </w:p>
        </w:tc>
        <w:tc>
          <w:tcPr>
            <w:tcW w:w="979" w:type="dxa"/>
            <w:tcBorders>
              <w:bottom w:val="single" w:sz="4" w:space="0" w:color="008FDD"/>
            </w:tcBorders>
            <w:shd w:val="clear" w:color="auto" w:fill="D4E3F5"/>
          </w:tcPr>
          <w:p>
            <w:pPr>
              <w:pStyle w:val="TableParagraph"/>
              <w:ind w:left="4" w:right="2"/>
              <w:rPr>
                <w:sz w:val="14"/>
              </w:rPr>
            </w:pPr>
            <w:r>
              <w:rPr>
                <w:color w:val="231F20"/>
                <w:spacing w:val="-5"/>
                <w:w w:val="95"/>
                <w:sz w:val="14"/>
              </w:rPr>
              <w:t>4.2</w:t>
            </w:r>
          </w:p>
        </w:tc>
        <w:tc>
          <w:tcPr>
            <w:tcW w:w="995" w:type="dxa"/>
            <w:tcBorders>
              <w:bottom w:val="single" w:sz="4" w:space="0" w:color="008FDD"/>
            </w:tcBorders>
            <w:shd w:val="clear" w:color="auto" w:fill="D4E3F5"/>
          </w:tcPr>
          <w:p>
            <w:pPr>
              <w:pStyle w:val="TableParagraph"/>
              <w:ind w:left="16" w:right="51"/>
              <w:rPr>
                <w:sz w:val="14"/>
              </w:rPr>
            </w:pPr>
            <w:r>
              <w:rPr>
                <w:color w:val="231F20"/>
                <w:spacing w:val="-5"/>
                <w:w w:val="95"/>
                <w:sz w:val="14"/>
              </w:rPr>
              <w:t>3.4</w:t>
            </w:r>
          </w:p>
        </w:tc>
        <w:tc>
          <w:tcPr>
            <w:tcW w:w="948" w:type="dxa"/>
            <w:tcBorders>
              <w:bottom w:val="single" w:sz="4" w:space="0" w:color="008FDD"/>
            </w:tcBorders>
            <w:shd w:val="clear" w:color="auto" w:fill="D4E3F5"/>
          </w:tcPr>
          <w:p>
            <w:pPr>
              <w:pStyle w:val="TableParagraph"/>
              <w:ind w:left="39" w:right="75"/>
              <w:rPr>
                <w:sz w:val="14"/>
              </w:rPr>
            </w:pPr>
            <w:r>
              <w:rPr>
                <w:color w:val="231F20"/>
                <w:spacing w:val="-5"/>
                <w:w w:val="95"/>
                <w:sz w:val="14"/>
              </w:rPr>
              <w:t>2.9</w:t>
            </w:r>
          </w:p>
        </w:tc>
        <w:tc>
          <w:tcPr>
            <w:tcW w:w="970" w:type="dxa"/>
            <w:tcBorders>
              <w:bottom w:val="single" w:sz="4" w:space="0" w:color="008FDD"/>
            </w:tcBorders>
            <w:shd w:val="clear" w:color="auto" w:fill="D4E3F5"/>
          </w:tcPr>
          <w:p>
            <w:pPr>
              <w:pStyle w:val="TableParagraph"/>
              <w:ind w:left="14" w:right="34"/>
              <w:rPr>
                <w:sz w:val="14"/>
              </w:rPr>
            </w:pPr>
            <w:r>
              <w:rPr>
                <w:color w:val="231F20"/>
                <w:spacing w:val="-5"/>
                <w:w w:val="95"/>
                <w:sz w:val="14"/>
              </w:rPr>
              <w:t>3.7</w:t>
            </w:r>
          </w:p>
        </w:tc>
      </w:tr>
    </w:tbl>
    <w:p>
      <w:pPr>
        <w:pStyle w:val="BodyText"/>
        <w:spacing w:line="268" w:lineRule="auto" w:before="97"/>
        <w:ind w:left="198" w:right="654"/>
        <w:jc w:val="both"/>
      </w:pPr>
      <w:r>
        <w:rPr/>
        <w:br w:type="column"/>
      </w:r>
      <w:r>
        <w:rPr>
          <w:color w:val="231F20"/>
        </w:rPr>
        <w:t>highest average score (3.7), followed by the </w:t>
      </w:r>
      <w:r>
        <w:rPr>
          <w:color w:val="231F20"/>
          <w:spacing w:val="-2"/>
        </w:rPr>
        <w:t>lower-middle-income</w:t>
      </w:r>
      <w:r>
        <w:rPr>
          <w:color w:val="231F20"/>
          <w:spacing w:val="-4"/>
        </w:rPr>
        <w:t> </w:t>
      </w:r>
      <w:r>
        <w:rPr>
          <w:color w:val="231F20"/>
          <w:spacing w:val="-2"/>
        </w:rPr>
        <w:t>group</w:t>
      </w:r>
      <w:r>
        <w:rPr>
          <w:color w:val="231F20"/>
          <w:spacing w:val="-4"/>
        </w:rPr>
        <w:t> </w:t>
      </w:r>
      <w:r>
        <w:rPr>
          <w:color w:val="231F20"/>
          <w:spacing w:val="-2"/>
        </w:rPr>
        <w:t>(3.1),</w:t>
      </w:r>
      <w:r>
        <w:rPr>
          <w:color w:val="231F20"/>
          <w:spacing w:val="-4"/>
        </w:rPr>
        <w:t> </w:t>
      </w:r>
      <w:r>
        <w:rPr>
          <w:color w:val="231F20"/>
          <w:spacing w:val="-2"/>
        </w:rPr>
        <w:t>the</w:t>
      </w:r>
      <w:r>
        <w:rPr>
          <w:color w:val="231F20"/>
          <w:spacing w:val="-4"/>
        </w:rPr>
        <w:t> </w:t>
      </w:r>
      <w:r>
        <w:rPr>
          <w:color w:val="231F20"/>
          <w:spacing w:val="-2"/>
        </w:rPr>
        <w:t>upper- </w:t>
      </w:r>
      <w:r>
        <w:rPr>
          <w:color w:val="231F20"/>
        </w:rPr>
        <w:t>middle-income group (3.0), and the high- </w:t>
      </w:r>
      <w:r>
        <w:rPr>
          <w:color w:val="231F20"/>
          <w:spacing w:val="-2"/>
        </w:rPr>
        <w:t>income</w:t>
      </w:r>
      <w:r>
        <w:rPr>
          <w:color w:val="231F20"/>
          <w:spacing w:val="-6"/>
        </w:rPr>
        <w:t> </w:t>
      </w:r>
      <w:r>
        <w:rPr>
          <w:color w:val="231F20"/>
          <w:spacing w:val="-2"/>
        </w:rPr>
        <w:t>group</w:t>
      </w:r>
      <w:r>
        <w:rPr>
          <w:color w:val="231F20"/>
          <w:spacing w:val="-6"/>
        </w:rPr>
        <w:t> </w:t>
      </w:r>
      <w:r>
        <w:rPr>
          <w:color w:val="231F20"/>
          <w:spacing w:val="-2"/>
        </w:rPr>
        <w:t>(2.7).</w:t>
      </w:r>
      <w:r>
        <w:rPr>
          <w:color w:val="231F20"/>
          <w:spacing w:val="-6"/>
        </w:rPr>
        <w:t> </w:t>
      </w:r>
      <w:r>
        <w:rPr>
          <w:color w:val="231F20"/>
          <w:spacing w:val="-2"/>
        </w:rPr>
        <w:t>So,</w:t>
      </w:r>
      <w:r>
        <w:rPr>
          <w:color w:val="231F20"/>
          <w:spacing w:val="-6"/>
        </w:rPr>
        <w:t> </w:t>
      </w:r>
      <w:r>
        <w:rPr>
          <w:color w:val="231F20"/>
          <w:spacing w:val="-2"/>
        </w:rPr>
        <w:t>respondents’</w:t>
      </w:r>
      <w:r>
        <w:rPr>
          <w:color w:val="231F20"/>
          <w:spacing w:val="-6"/>
        </w:rPr>
        <w:t> </w:t>
      </w:r>
      <w:r>
        <w:rPr>
          <w:color w:val="231F20"/>
          <w:spacing w:val="-2"/>
        </w:rPr>
        <w:t>context affects</w:t>
      </w:r>
      <w:r>
        <w:rPr>
          <w:color w:val="231F20"/>
          <w:spacing w:val="-11"/>
        </w:rPr>
        <w:t> </w:t>
      </w:r>
      <w:r>
        <w:rPr>
          <w:color w:val="231F20"/>
          <w:spacing w:val="-2"/>
        </w:rPr>
        <w:t>how</w:t>
      </w:r>
      <w:r>
        <w:rPr>
          <w:color w:val="231F20"/>
          <w:spacing w:val="-10"/>
        </w:rPr>
        <w:t> </w:t>
      </w:r>
      <w:r>
        <w:rPr>
          <w:color w:val="231F20"/>
          <w:spacing w:val="-2"/>
        </w:rPr>
        <w:t>they</w:t>
      </w:r>
      <w:r>
        <w:rPr>
          <w:color w:val="231F20"/>
          <w:spacing w:val="-11"/>
        </w:rPr>
        <w:t> </w:t>
      </w:r>
      <w:r>
        <w:rPr>
          <w:color w:val="231F20"/>
          <w:spacing w:val="-2"/>
        </w:rPr>
        <w:t>score</w:t>
      </w:r>
      <w:r>
        <w:rPr>
          <w:color w:val="231F20"/>
          <w:spacing w:val="-11"/>
        </w:rPr>
        <w:t> </w:t>
      </w:r>
      <w:r>
        <w:rPr>
          <w:color w:val="231F20"/>
          <w:spacing w:val="-2"/>
        </w:rPr>
        <w:t>performance</w:t>
      </w:r>
      <w:r>
        <w:rPr>
          <w:color w:val="231F20"/>
          <w:spacing w:val="-11"/>
        </w:rPr>
        <w:t> </w:t>
      </w:r>
      <w:r>
        <w:rPr>
          <w:color w:val="231F20"/>
          <w:spacing w:val="-2"/>
        </w:rPr>
        <w:t>abroad.</w:t>
      </w:r>
      <w:r>
        <w:rPr>
          <w:color w:val="231F20"/>
          <w:spacing w:val="-2"/>
          <w:position w:val="7"/>
          <w:sz w:val="14"/>
        </w:rPr>
        <w:t>17</w:t>
      </w:r>
      <w:r>
        <w:rPr>
          <w:color w:val="231F20"/>
          <w:spacing w:val="40"/>
          <w:position w:val="7"/>
          <w:sz w:val="14"/>
        </w:rPr>
        <w:t> </w:t>
      </w:r>
      <w:r>
        <w:rPr>
          <w:color w:val="231F20"/>
          <w:spacing w:val="-2"/>
        </w:rPr>
        <w:t>These</w:t>
      </w:r>
      <w:r>
        <w:rPr>
          <w:color w:val="231F20"/>
          <w:spacing w:val="-9"/>
        </w:rPr>
        <w:t> </w:t>
      </w:r>
      <w:r>
        <w:rPr>
          <w:color w:val="231F20"/>
          <w:spacing w:val="-2"/>
        </w:rPr>
        <w:t>findings</w:t>
      </w:r>
      <w:r>
        <w:rPr>
          <w:color w:val="231F20"/>
          <w:spacing w:val="-9"/>
        </w:rPr>
        <w:t> </w:t>
      </w:r>
      <w:r>
        <w:rPr>
          <w:color w:val="231F20"/>
          <w:spacing w:val="-2"/>
        </w:rPr>
        <w:t>are</w:t>
      </w:r>
      <w:r>
        <w:rPr>
          <w:color w:val="231F20"/>
          <w:spacing w:val="-9"/>
        </w:rPr>
        <w:t> </w:t>
      </w:r>
      <w:r>
        <w:rPr>
          <w:color w:val="231F20"/>
          <w:spacing w:val="-2"/>
        </w:rPr>
        <w:t>consistent</w:t>
      </w:r>
      <w:r>
        <w:rPr>
          <w:color w:val="231F20"/>
          <w:spacing w:val="-9"/>
        </w:rPr>
        <w:t> </w:t>
      </w:r>
      <w:r>
        <w:rPr>
          <w:color w:val="231F20"/>
          <w:spacing w:val="-2"/>
        </w:rPr>
        <w:t>with</w:t>
      </w:r>
      <w:r>
        <w:rPr>
          <w:color w:val="231F20"/>
          <w:spacing w:val="-9"/>
        </w:rPr>
        <w:t> </w:t>
      </w:r>
      <w:r>
        <w:rPr>
          <w:color w:val="231F20"/>
          <w:spacing w:val="-2"/>
        </w:rPr>
        <w:t>a</w:t>
      </w:r>
      <w:r>
        <w:rPr>
          <w:color w:val="231F20"/>
          <w:spacing w:val="-9"/>
        </w:rPr>
        <w:t> </w:t>
      </w:r>
      <w:r>
        <w:rPr>
          <w:color w:val="231F20"/>
          <w:spacing w:val="-2"/>
        </w:rPr>
        <w:t>model</w:t>
      </w:r>
      <w:r>
        <w:rPr>
          <w:color w:val="231F20"/>
          <w:spacing w:val="-9"/>
        </w:rPr>
        <w:t> </w:t>
      </w:r>
      <w:r>
        <w:rPr>
          <w:color w:val="231F20"/>
          <w:spacing w:val="-2"/>
        </w:rPr>
        <w:t>of </w:t>
      </w:r>
      <w:r>
        <w:rPr>
          <w:color w:val="231F20"/>
        </w:rPr>
        <w:t>perception formation in which respondents </w:t>
      </w:r>
      <w:r>
        <w:rPr>
          <w:color w:val="231F20"/>
          <w:spacing w:val="-2"/>
        </w:rPr>
        <w:t>compare</w:t>
      </w:r>
      <w:r>
        <w:rPr>
          <w:color w:val="231F20"/>
          <w:spacing w:val="-8"/>
        </w:rPr>
        <w:t> </w:t>
      </w:r>
      <w:r>
        <w:rPr>
          <w:color w:val="231F20"/>
          <w:spacing w:val="-2"/>
        </w:rPr>
        <w:t>performance</w:t>
      </w:r>
      <w:r>
        <w:rPr>
          <w:color w:val="231F20"/>
          <w:spacing w:val="-8"/>
        </w:rPr>
        <w:t> </w:t>
      </w:r>
      <w:r>
        <w:rPr>
          <w:color w:val="231F20"/>
          <w:spacing w:val="-2"/>
        </w:rPr>
        <w:t>abroad</w:t>
      </w:r>
      <w:r>
        <w:rPr>
          <w:color w:val="231F20"/>
          <w:spacing w:val="-8"/>
        </w:rPr>
        <w:t> </w:t>
      </w:r>
      <w:r>
        <w:rPr>
          <w:color w:val="231F20"/>
          <w:spacing w:val="-2"/>
        </w:rPr>
        <w:t>to</w:t>
      </w:r>
      <w:r>
        <w:rPr>
          <w:color w:val="231F20"/>
          <w:spacing w:val="-8"/>
        </w:rPr>
        <w:t> </w:t>
      </w:r>
      <w:r>
        <w:rPr>
          <w:color w:val="231F20"/>
          <w:spacing w:val="-2"/>
        </w:rPr>
        <w:t>performance in</w:t>
      </w:r>
      <w:r>
        <w:rPr>
          <w:color w:val="231F20"/>
          <w:spacing w:val="-9"/>
        </w:rPr>
        <w:t> </w:t>
      </w:r>
      <w:r>
        <w:rPr>
          <w:color w:val="231F20"/>
          <w:spacing w:val="-2"/>
        </w:rPr>
        <w:t>their</w:t>
      </w:r>
      <w:r>
        <w:rPr>
          <w:color w:val="231F20"/>
          <w:spacing w:val="-9"/>
        </w:rPr>
        <w:t> </w:t>
      </w:r>
      <w:r>
        <w:rPr>
          <w:color w:val="231F20"/>
          <w:spacing w:val="-2"/>
        </w:rPr>
        <w:t>home</w:t>
      </w:r>
      <w:r>
        <w:rPr>
          <w:color w:val="231F20"/>
          <w:spacing w:val="-9"/>
        </w:rPr>
        <w:t> </w:t>
      </w:r>
      <w:r>
        <w:rPr>
          <w:color w:val="231F20"/>
          <w:spacing w:val="-2"/>
        </w:rPr>
        <w:t>country.</w:t>
      </w:r>
      <w:r>
        <w:rPr>
          <w:color w:val="231F20"/>
          <w:spacing w:val="-9"/>
        </w:rPr>
        <w:t> </w:t>
      </w:r>
      <w:r>
        <w:rPr>
          <w:color w:val="231F20"/>
          <w:spacing w:val="-2"/>
        </w:rPr>
        <w:t>This</w:t>
      </w:r>
      <w:r>
        <w:rPr>
          <w:color w:val="231F20"/>
          <w:spacing w:val="-9"/>
        </w:rPr>
        <w:t> </w:t>
      </w:r>
      <w:r>
        <w:rPr>
          <w:color w:val="231F20"/>
          <w:spacing w:val="-2"/>
        </w:rPr>
        <w:t>dynamic</w:t>
      </w:r>
      <w:r>
        <w:rPr>
          <w:color w:val="231F20"/>
          <w:spacing w:val="-9"/>
        </w:rPr>
        <w:t> </w:t>
      </w:r>
      <w:r>
        <w:rPr>
          <w:color w:val="231F20"/>
          <w:spacing w:val="-2"/>
        </w:rPr>
        <w:t>is</w:t>
      </w:r>
      <w:r>
        <w:rPr>
          <w:color w:val="231F20"/>
          <w:spacing w:val="-9"/>
        </w:rPr>
        <w:t> </w:t>
      </w:r>
      <w:r>
        <w:rPr>
          <w:color w:val="231F20"/>
          <w:spacing w:val="-2"/>
        </w:rPr>
        <w:t>an</w:t>
      </w:r>
      <w:r>
        <w:rPr>
          <w:color w:val="231F20"/>
          <w:spacing w:val="-9"/>
        </w:rPr>
        <w:t> </w:t>
      </w:r>
      <w:r>
        <w:rPr>
          <w:color w:val="231F20"/>
          <w:spacing w:val="-2"/>
        </w:rPr>
        <w:t>ad- </w:t>
      </w:r>
      <w:r>
        <w:rPr>
          <w:color w:val="231F20"/>
        </w:rPr>
        <w:t>ditional</w:t>
      </w:r>
      <w:r>
        <w:rPr>
          <w:color w:val="231F20"/>
          <w:spacing w:val="-12"/>
        </w:rPr>
        <w:t> </w:t>
      </w:r>
      <w:r>
        <w:rPr>
          <w:color w:val="231F20"/>
        </w:rPr>
        <w:t>reason</w:t>
      </w:r>
      <w:r>
        <w:rPr>
          <w:color w:val="231F20"/>
          <w:spacing w:val="-12"/>
        </w:rPr>
        <w:t> </w:t>
      </w:r>
      <w:r>
        <w:rPr>
          <w:color w:val="231F20"/>
        </w:rPr>
        <w:t>for</w:t>
      </w:r>
      <w:r>
        <w:rPr>
          <w:color w:val="231F20"/>
          <w:spacing w:val="-12"/>
        </w:rPr>
        <w:t> </w:t>
      </w:r>
      <w:r>
        <w:rPr>
          <w:color w:val="231F20"/>
        </w:rPr>
        <w:t>preferring</w:t>
      </w:r>
      <w:r>
        <w:rPr>
          <w:color w:val="231F20"/>
          <w:spacing w:val="-12"/>
        </w:rPr>
        <w:t> </w:t>
      </w:r>
      <w:r>
        <w:rPr>
          <w:color w:val="231F20"/>
        </w:rPr>
        <w:t>analysis</w:t>
      </w:r>
      <w:r>
        <w:rPr>
          <w:color w:val="231F20"/>
          <w:spacing w:val="-12"/>
        </w:rPr>
        <w:t> </w:t>
      </w:r>
      <w:r>
        <w:rPr>
          <w:color w:val="231F20"/>
        </w:rPr>
        <w:t>of</w:t>
      </w:r>
      <w:r>
        <w:rPr>
          <w:color w:val="231F20"/>
          <w:spacing w:val="-12"/>
        </w:rPr>
        <w:t> </w:t>
      </w:r>
      <w:r>
        <w:rPr>
          <w:color w:val="231F20"/>
        </w:rPr>
        <w:t>LPI </w:t>
      </w:r>
      <w:r>
        <w:rPr>
          <w:color w:val="231F20"/>
          <w:spacing w:val="-2"/>
        </w:rPr>
        <w:t>scores</w:t>
      </w:r>
      <w:r>
        <w:rPr>
          <w:color w:val="231F20"/>
          <w:spacing w:val="-12"/>
        </w:rPr>
        <w:t> </w:t>
      </w:r>
      <w:r>
        <w:rPr>
          <w:color w:val="231F20"/>
          <w:spacing w:val="-2"/>
        </w:rPr>
        <w:t>using</w:t>
      </w:r>
      <w:r>
        <w:rPr>
          <w:color w:val="231F20"/>
          <w:spacing w:val="-11"/>
        </w:rPr>
        <w:t> </w:t>
      </w:r>
      <w:r>
        <w:rPr>
          <w:color w:val="231F20"/>
          <w:spacing w:val="-2"/>
        </w:rPr>
        <w:t>broad</w:t>
      </w:r>
      <w:r>
        <w:rPr>
          <w:color w:val="231F20"/>
          <w:spacing w:val="-11"/>
        </w:rPr>
        <w:t> </w:t>
      </w:r>
      <w:r>
        <w:rPr>
          <w:color w:val="231F20"/>
          <w:spacing w:val="-2"/>
        </w:rPr>
        <w:t>country</w:t>
      </w:r>
      <w:r>
        <w:rPr>
          <w:color w:val="231F20"/>
          <w:spacing w:val="-11"/>
        </w:rPr>
        <w:t> </w:t>
      </w:r>
      <w:r>
        <w:rPr>
          <w:color w:val="231F20"/>
          <w:spacing w:val="-2"/>
        </w:rPr>
        <w:t>groups</w:t>
      </w:r>
      <w:r>
        <w:rPr>
          <w:color w:val="231F20"/>
          <w:spacing w:val="-11"/>
        </w:rPr>
        <w:t> </w:t>
      </w:r>
      <w:r>
        <w:rPr>
          <w:color w:val="231F20"/>
          <w:spacing w:val="-2"/>
        </w:rPr>
        <w:t>rather</w:t>
      </w:r>
      <w:r>
        <w:rPr>
          <w:color w:val="231F20"/>
          <w:spacing w:val="-11"/>
        </w:rPr>
        <w:t> </w:t>
      </w:r>
      <w:r>
        <w:rPr>
          <w:color w:val="231F20"/>
          <w:spacing w:val="-2"/>
        </w:rPr>
        <w:t>than </w:t>
      </w:r>
      <w:r>
        <w:rPr>
          <w:color w:val="231F20"/>
        </w:rPr>
        <w:t>high-precision</w:t>
      </w:r>
      <w:r>
        <w:rPr>
          <w:color w:val="231F20"/>
          <w:spacing w:val="-14"/>
        </w:rPr>
        <w:t> </w:t>
      </w:r>
      <w:r>
        <w:rPr>
          <w:color w:val="231F20"/>
        </w:rPr>
        <w:t>scores</w:t>
      </w:r>
      <w:r>
        <w:rPr>
          <w:color w:val="231F20"/>
          <w:spacing w:val="-13"/>
        </w:rPr>
        <w:t> </w:t>
      </w:r>
      <w:r>
        <w:rPr>
          <w:color w:val="231F20"/>
        </w:rPr>
        <w:t>and</w:t>
      </w:r>
      <w:r>
        <w:rPr>
          <w:color w:val="231F20"/>
          <w:spacing w:val="-13"/>
        </w:rPr>
        <w:t> </w:t>
      </w:r>
      <w:r>
        <w:rPr>
          <w:color w:val="231F20"/>
        </w:rPr>
        <w:t>limits</w:t>
      </w:r>
      <w:r>
        <w:rPr>
          <w:color w:val="231F20"/>
          <w:spacing w:val="-13"/>
        </w:rPr>
        <w:t> </w:t>
      </w:r>
      <w:r>
        <w:rPr>
          <w:color w:val="231F20"/>
        </w:rPr>
        <w:t>the</w:t>
      </w:r>
      <w:r>
        <w:rPr>
          <w:color w:val="231F20"/>
          <w:spacing w:val="-13"/>
        </w:rPr>
        <w:t> </w:t>
      </w:r>
      <w:r>
        <w:rPr>
          <w:color w:val="231F20"/>
        </w:rPr>
        <w:t>extent</w:t>
      </w:r>
      <w:r>
        <w:rPr>
          <w:color w:val="231F20"/>
          <w:spacing w:val="-13"/>
        </w:rPr>
        <w:t> </w:t>
      </w:r>
      <w:r>
        <w:rPr>
          <w:color w:val="231F20"/>
        </w:rPr>
        <w:t>to </w:t>
      </w:r>
      <w:r>
        <w:rPr>
          <w:color w:val="231F20"/>
          <w:w w:val="90"/>
        </w:rPr>
        <w:t>which differences in score can lead to concrete </w:t>
      </w:r>
      <w:r>
        <w:rPr>
          <w:color w:val="231F20"/>
        </w:rPr>
        <w:t>policy</w:t>
      </w:r>
      <w:r>
        <w:rPr>
          <w:color w:val="231F20"/>
          <w:spacing w:val="-2"/>
        </w:rPr>
        <w:t> </w:t>
      </w:r>
      <w:r>
        <w:rPr>
          <w:color w:val="231F20"/>
        </w:rPr>
        <w:t>interpretations.</w:t>
      </w:r>
    </w:p>
    <w:p>
      <w:pPr>
        <w:pStyle w:val="BodyText"/>
        <w:spacing w:before="35"/>
      </w:pPr>
    </w:p>
    <w:p>
      <w:pPr>
        <w:spacing w:line="297" w:lineRule="auto" w:before="0"/>
        <w:ind w:left="198" w:right="944" w:firstLine="0"/>
        <w:jc w:val="both"/>
        <w:rPr>
          <w:rFonts w:ascii="Arial"/>
          <w:sz w:val="19"/>
        </w:rPr>
      </w:pPr>
      <w:r>
        <w:rPr>
          <w:rFonts w:ascii="Arial"/>
          <w:color w:val="008FDD"/>
          <w:w w:val="105"/>
          <w:sz w:val="19"/>
        </w:rPr>
        <w:t>Strong overall logistics performance is driven by good performance across all LPI components</w:t>
      </w:r>
    </w:p>
    <w:p>
      <w:pPr>
        <w:pStyle w:val="BodyText"/>
        <w:spacing w:line="221" w:lineRule="exact"/>
        <w:ind w:left="198"/>
        <w:jc w:val="both"/>
      </w:pPr>
      <w:r>
        <w:rPr/>
        <mc:AlternateContent>
          <mc:Choice Requires="wps">
            <w:drawing>
              <wp:anchor distT="0" distB="0" distL="0" distR="0" allowOverlap="1" layoutInCell="1" locked="0" behindDoc="1" simplePos="0" relativeHeight="466746368">
                <wp:simplePos x="0" y="0"/>
                <wp:positionH relativeFrom="page">
                  <wp:posOffset>419100</wp:posOffset>
                </wp:positionH>
                <wp:positionV relativeFrom="paragraph">
                  <wp:posOffset>130963</wp:posOffset>
                </wp:positionV>
                <wp:extent cx="4114800" cy="1687195"/>
                <wp:effectExtent l="0" t="0" r="0" b="0"/>
                <wp:wrapNone/>
                <wp:docPr id="567" name="Group 567"/>
                <wp:cNvGraphicFramePr>
                  <a:graphicFrameLocks/>
                </wp:cNvGraphicFramePr>
                <a:graphic>
                  <a:graphicData uri="http://schemas.microsoft.com/office/word/2010/wordprocessingGroup">
                    <wpg:wgp>
                      <wpg:cNvPr id="567" name="Group 567"/>
                      <wpg:cNvGrpSpPr/>
                      <wpg:grpSpPr>
                        <a:xfrm>
                          <a:off x="0" y="0"/>
                          <a:ext cx="4114800" cy="1687195"/>
                          <a:chExt cx="4114800" cy="1687195"/>
                        </a:xfrm>
                      </wpg:grpSpPr>
                      <wps:wsp>
                        <wps:cNvPr id="568" name="Graphic 568"/>
                        <wps:cNvSpPr/>
                        <wps:spPr>
                          <a:xfrm>
                            <a:off x="63500" y="19050"/>
                            <a:ext cx="4032250" cy="226060"/>
                          </a:xfrm>
                          <a:custGeom>
                            <a:avLst/>
                            <a:gdLst/>
                            <a:ahLst/>
                            <a:cxnLst/>
                            <a:rect l="l" t="t" r="r" b="b"/>
                            <a:pathLst>
                              <a:path w="4032250" h="226060">
                                <a:moveTo>
                                  <a:pt x="3937000" y="0"/>
                                </a:moveTo>
                                <a:lnTo>
                                  <a:pt x="50800" y="0"/>
                                </a:lnTo>
                                <a:lnTo>
                                  <a:pt x="13762" y="7497"/>
                                </a:lnTo>
                                <a:lnTo>
                                  <a:pt x="0" y="16785"/>
                                </a:lnTo>
                                <a:lnTo>
                                  <a:pt x="0" y="225907"/>
                                </a:lnTo>
                                <a:lnTo>
                                  <a:pt x="4032249" y="225907"/>
                                </a:lnTo>
                                <a:lnTo>
                                  <a:pt x="4032250" y="95250"/>
                                </a:lnTo>
                                <a:lnTo>
                                  <a:pt x="4024753" y="58212"/>
                                </a:lnTo>
                                <a:lnTo>
                                  <a:pt x="4004322" y="27932"/>
                                </a:lnTo>
                                <a:lnTo>
                                  <a:pt x="3974042" y="7497"/>
                                </a:lnTo>
                                <a:lnTo>
                                  <a:pt x="3937000" y="0"/>
                                </a:lnTo>
                                <a:close/>
                              </a:path>
                            </a:pathLst>
                          </a:custGeom>
                          <a:solidFill>
                            <a:srgbClr val="808285"/>
                          </a:solidFill>
                        </wps:spPr>
                        <wps:bodyPr wrap="square" lIns="0" tIns="0" rIns="0" bIns="0" rtlCol="0">
                          <a:prstTxWarp prst="textNoShape">
                            <a:avLst/>
                          </a:prstTxWarp>
                          <a:noAutofit/>
                        </wps:bodyPr>
                      </wps:wsp>
                      <wps:wsp>
                        <wps:cNvPr id="569" name="Graphic 569"/>
                        <wps:cNvSpPr/>
                        <wps:spPr>
                          <a:xfrm>
                            <a:off x="546100" y="29057"/>
                            <a:ext cx="1270" cy="225425"/>
                          </a:xfrm>
                          <a:custGeom>
                            <a:avLst/>
                            <a:gdLst/>
                            <a:ahLst/>
                            <a:cxnLst/>
                            <a:rect l="l" t="t" r="r" b="b"/>
                            <a:pathLst>
                              <a:path w="0" h="225425">
                                <a:moveTo>
                                  <a:pt x="0" y="2249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570" name="Graphic 570"/>
                        <wps:cNvSpPr/>
                        <wps:spPr>
                          <a:xfrm>
                            <a:off x="38100" y="38100"/>
                            <a:ext cx="495300" cy="206375"/>
                          </a:xfrm>
                          <a:custGeom>
                            <a:avLst/>
                            <a:gdLst/>
                            <a:ahLst/>
                            <a:cxnLst/>
                            <a:rect l="l" t="t" r="r" b="b"/>
                            <a:pathLst>
                              <a:path w="495300" h="206375">
                                <a:moveTo>
                                  <a:pt x="0" y="206375"/>
                                </a:moveTo>
                                <a:lnTo>
                                  <a:pt x="495300" y="206375"/>
                                </a:lnTo>
                                <a:lnTo>
                                  <a:pt x="495300" y="0"/>
                                </a:lnTo>
                                <a:lnTo>
                                  <a:pt x="0" y="0"/>
                                </a:lnTo>
                                <a:lnTo>
                                  <a:pt x="0" y="206375"/>
                                </a:lnTo>
                                <a:close/>
                              </a:path>
                            </a:pathLst>
                          </a:custGeom>
                          <a:solidFill>
                            <a:srgbClr val="008FDD"/>
                          </a:solidFill>
                        </wps:spPr>
                        <wps:bodyPr wrap="square" lIns="0" tIns="0" rIns="0" bIns="0" rtlCol="0">
                          <a:prstTxWarp prst="textNoShape">
                            <a:avLst/>
                          </a:prstTxWarp>
                          <a:noAutofit/>
                        </wps:bodyPr>
                      </wps:wsp>
                      <wps:wsp>
                        <wps:cNvPr id="571" name="Graphic 571"/>
                        <wps:cNvSpPr/>
                        <wps:spPr>
                          <a:xfrm>
                            <a:off x="19050" y="19050"/>
                            <a:ext cx="4076700" cy="1649095"/>
                          </a:xfrm>
                          <a:custGeom>
                            <a:avLst/>
                            <a:gdLst/>
                            <a:ahLst/>
                            <a:cxnLst/>
                            <a:rect l="l" t="t" r="r" b="b"/>
                            <a:pathLst>
                              <a:path w="4076700" h="1649095">
                                <a:moveTo>
                                  <a:pt x="95250" y="0"/>
                                </a:moveTo>
                                <a:lnTo>
                                  <a:pt x="58212" y="7496"/>
                                </a:lnTo>
                                <a:lnTo>
                                  <a:pt x="27932" y="27927"/>
                                </a:lnTo>
                                <a:lnTo>
                                  <a:pt x="7497" y="58207"/>
                                </a:lnTo>
                                <a:lnTo>
                                  <a:pt x="0" y="95250"/>
                                </a:lnTo>
                                <a:lnTo>
                                  <a:pt x="0" y="1629892"/>
                                </a:lnTo>
                                <a:lnTo>
                                  <a:pt x="0" y="1648942"/>
                                </a:lnTo>
                                <a:lnTo>
                                  <a:pt x="19050" y="1648942"/>
                                </a:lnTo>
                                <a:lnTo>
                                  <a:pt x="4057650" y="1648942"/>
                                </a:lnTo>
                                <a:lnTo>
                                  <a:pt x="4076700" y="1648942"/>
                                </a:lnTo>
                                <a:lnTo>
                                  <a:pt x="4076700" y="1629892"/>
                                </a:lnTo>
                                <a:lnTo>
                                  <a:pt x="4076700" y="95250"/>
                                </a:lnTo>
                                <a:lnTo>
                                  <a:pt x="4069202" y="58207"/>
                                </a:lnTo>
                                <a:lnTo>
                                  <a:pt x="4048767" y="27927"/>
                                </a:lnTo>
                                <a:lnTo>
                                  <a:pt x="4018487" y="7496"/>
                                </a:lnTo>
                                <a:lnTo>
                                  <a:pt x="39814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572" name="Textbox 572"/>
                        <wps:cNvSpPr txBox="1"/>
                        <wps:spPr>
                          <a:xfrm>
                            <a:off x="622344" y="81178"/>
                            <a:ext cx="2722245" cy="120650"/>
                          </a:xfrm>
                          <a:prstGeom prst="rect">
                            <a:avLst/>
                          </a:prstGeom>
                        </wps:spPr>
                        <wps:txbx>
                          <w:txbxContent>
                            <w:p>
                              <w:pPr>
                                <w:spacing w:before="2"/>
                                <w:ind w:left="0" w:right="0" w:firstLine="0"/>
                                <w:jc w:val="left"/>
                                <w:rPr>
                                  <w:rFonts w:ascii="Arial"/>
                                  <w:b/>
                                  <w:sz w:val="16"/>
                                </w:rPr>
                              </w:pPr>
                              <w:r>
                                <w:rPr>
                                  <w:rFonts w:ascii="Arial"/>
                                  <w:b/>
                                  <w:color w:val="FFFFFF"/>
                                  <w:w w:val="105"/>
                                  <w:sz w:val="16"/>
                                </w:rPr>
                                <w:t>Bilateral</w:t>
                              </w:r>
                              <w:r>
                                <w:rPr>
                                  <w:rFonts w:ascii="Arial"/>
                                  <w:b/>
                                  <w:color w:val="FFFFFF"/>
                                  <w:spacing w:val="12"/>
                                  <w:w w:val="105"/>
                                  <w:sz w:val="16"/>
                                </w:rPr>
                                <w:t> </w:t>
                              </w:r>
                              <w:r>
                                <w:rPr>
                                  <w:rFonts w:ascii="Arial"/>
                                  <w:b/>
                                  <w:color w:val="FFFFFF"/>
                                  <w:w w:val="105"/>
                                  <w:sz w:val="16"/>
                                </w:rPr>
                                <w:t>LPI</w:t>
                              </w:r>
                              <w:r>
                                <w:rPr>
                                  <w:rFonts w:ascii="Arial"/>
                                  <w:b/>
                                  <w:color w:val="FFFFFF"/>
                                  <w:spacing w:val="13"/>
                                  <w:w w:val="105"/>
                                  <w:sz w:val="16"/>
                                </w:rPr>
                                <w:t> </w:t>
                              </w:r>
                              <w:r>
                                <w:rPr>
                                  <w:rFonts w:ascii="Arial"/>
                                  <w:b/>
                                  <w:color w:val="FFFFFF"/>
                                  <w:w w:val="105"/>
                                  <w:sz w:val="16"/>
                                </w:rPr>
                                <w:t>assessments</w:t>
                              </w:r>
                              <w:r>
                                <w:rPr>
                                  <w:rFonts w:ascii="Arial"/>
                                  <w:b/>
                                  <w:color w:val="FFFFFF"/>
                                  <w:spacing w:val="13"/>
                                  <w:w w:val="105"/>
                                  <w:sz w:val="16"/>
                                </w:rPr>
                                <w:t> </w:t>
                              </w:r>
                              <w:r>
                                <w:rPr>
                                  <w:rFonts w:ascii="Arial"/>
                                  <w:b/>
                                  <w:color w:val="FFFFFF"/>
                                  <w:w w:val="105"/>
                                  <w:sz w:val="16"/>
                                </w:rPr>
                                <w:t>in</w:t>
                              </w:r>
                              <w:r>
                                <w:rPr>
                                  <w:rFonts w:ascii="Arial"/>
                                  <w:b/>
                                  <w:color w:val="FFFFFF"/>
                                  <w:spacing w:val="12"/>
                                  <w:w w:val="105"/>
                                  <w:sz w:val="16"/>
                                </w:rPr>
                                <w:t> </w:t>
                              </w:r>
                              <w:r>
                                <w:rPr>
                                  <w:rFonts w:ascii="Arial"/>
                                  <w:b/>
                                  <w:color w:val="FFFFFF"/>
                                  <w:w w:val="105"/>
                                  <w:sz w:val="16"/>
                                </w:rPr>
                                <w:t>2023,</w:t>
                              </w:r>
                              <w:r>
                                <w:rPr>
                                  <w:rFonts w:ascii="Arial"/>
                                  <w:b/>
                                  <w:color w:val="FFFFFF"/>
                                  <w:spacing w:val="13"/>
                                  <w:w w:val="105"/>
                                  <w:sz w:val="16"/>
                                </w:rPr>
                                <w:t> </w:t>
                              </w:r>
                              <w:r>
                                <w:rPr>
                                  <w:rFonts w:ascii="Arial"/>
                                  <w:b/>
                                  <w:color w:val="FFFFFF"/>
                                  <w:w w:val="105"/>
                                  <w:sz w:val="16"/>
                                </w:rPr>
                                <w:t>by</w:t>
                              </w:r>
                              <w:r>
                                <w:rPr>
                                  <w:rFonts w:ascii="Arial"/>
                                  <w:b/>
                                  <w:color w:val="FFFFFF"/>
                                  <w:spacing w:val="13"/>
                                  <w:w w:val="105"/>
                                  <w:sz w:val="16"/>
                                </w:rPr>
                                <w:t> </w:t>
                              </w:r>
                              <w:r>
                                <w:rPr>
                                  <w:rFonts w:ascii="Arial"/>
                                  <w:b/>
                                  <w:color w:val="FFFFFF"/>
                                  <w:w w:val="105"/>
                                  <w:sz w:val="16"/>
                                </w:rPr>
                                <w:t>income</w:t>
                              </w:r>
                              <w:r>
                                <w:rPr>
                                  <w:rFonts w:ascii="Arial"/>
                                  <w:b/>
                                  <w:color w:val="FFFFFF"/>
                                  <w:spacing w:val="12"/>
                                  <w:w w:val="105"/>
                                  <w:sz w:val="16"/>
                                </w:rPr>
                                <w:t> </w:t>
                              </w:r>
                              <w:r>
                                <w:rPr>
                                  <w:rFonts w:ascii="Arial"/>
                                  <w:b/>
                                  <w:color w:val="FFFFFF"/>
                                  <w:spacing w:val="-2"/>
                                  <w:w w:val="105"/>
                                  <w:sz w:val="16"/>
                                </w:rPr>
                                <w:t>group</w:t>
                              </w:r>
                            </w:p>
                          </w:txbxContent>
                        </wps:txbx>
                        <wps:bodyPr wrap="square" lIns="0" tIns="0" rIns="0" bIns="0" rtlCol="0">
                          <a:noAutofit/>
                        </wps:bodyPr>
                      </wps:wsp>
                      <wps:wsp>
                        <wps:cNvPr id="573" name="Textbox 573"/>
                        <wps:cNvSpPr txBox="1"/>
                        <wps:spPr>
                          <a:xfrm>
                            <a:off x="63500" y="1552898"/>
                            <a:ext cx="1223010" cy="91440"/>
                          </a:xfrm>
                          <a:prstGeom prst="rect">
                            <a:avLst/>
                          </a:prstGeom>
                        </wps:spPr>
                        <wps:txbx>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2"/>
                                  <w:sz w:val="12"/>
                                </w:rPr>
                                <w:t> </w:t>
                              </w:r>
                              <w:r>
                                <w:rPr>
                                  <w:rFonts w:ascii="Arial"/>
                                  <w:color w:val="231F20"/>
                                  <w:w w:val="80"/>
                                  <w:sz w:val="12"/>
                                </w:rPr>
                                <w:t>2023</w:t>
                              </w:r>
                              <w:r>
                                <w:rPr>
                                  <w:rFonts w:ascii="Arial"/>
                                  <w:color w:val="231F20"/>
                                  <w:spacing w:val="3"/>
                                  <w:sz w:val="12"/>
                                </w:rPr>
                                <w:t> </w:t>
                              </w:r>
                              <w:r>
                                <w:rPr>
                                  <w:rFonts w:ascii="Arial"/>
                                  <w:color w:val="231F20"/>
                                  <w:w w:val="80"/>
                                  <w:sz w:val="12"/>
                                </w:rPr>
                                <w:t>Logistics</w:t>
                              </w:r>
                              <w:r>
                                <w:rPr>
                                  <w:rFonts w:ascii="Arial"/>
                                  <w:color w:val="231F20"/>
                                  <w:spacing w:val="3"/>
                                  <w:sz w:val="12"/>
                                </w:rPr>
                                <w:t> </w:t>
                              </w:r>
                              <w:r>
                                <w:rPr>
                                  <w:rFonts w:ascii="Arial"/>
                                  <w:color w:val="231F20"/>
                                  <w:w w:val="80"/>
                                  <w:sz w:val="12"/>
                                </w:rPr>
                                <w:t>Performance</w:t>
                              </w:r>
                              <w:r>
                                <w:rPr>
                                  <w:rFonts w:ascii="Arial"/>
                                  <w:color w:val="231F20"/>
                                  <w:spacing w:val="2"/>
                                  <w:sz w:val="12"/>
                                </w:rPr>
                                <w:t> </w:t>
                              </w:r>
                              <w:r>
                                <w:rPr>
                                  <w:rFonts w:ascii="Arial"/>
                                  <w:color w:val="231F20"/>
                                  <w:spacing w:val="-2"/>
                                  <w:w w:val="80"/>
                                  <w:sz w:val="12"/>
                                </w:rPr>
                                <w:t>Index.</w:t>
                              </w:r>
                            </w:p>
                          </w:txbxContent>
                        </wps:txbx>
                        <wps:bodyPr wrap="square" lIns="0" tIns="0" rIns="0" bIns="0" rtlCol="0">
                          <a:noAutofit/>
                        </wps:bodyPr>
                      </wps:wsp>
                      <wps:wsp>
                        <wps:cNvPr id="574" name="Textbox 574"/>
                        <wps:cNvSpPr txBox="1"/>
                        <wps:spPr>
                          <a:xfrm>
                            <a:off x="38100" y="38100"/>
                            <a:ext cx="495300" cy="206375"/>
                          </a:xfrm>
                          <a:prstGeom prst="rect">
                            <a:avLst/>
                          </a:prstGeom>
                        </wps:spPr>
                        <wps:txbx>
                          <w:txbxContent>
                            <w:p>
                              <w:pPr>
                                <w:spacing w:before="70"/>
                                <w:ind w:left="12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b/>
                                  <w:color w:val="FFFFFF"/>
                                  <w:spacing w:val="-5"/>
                                  <w:w w:val="90"/>
                                  <w:sz w:val="16"/>
                                </w:rPr>
                                <w:t>2.1</w:t>
                              </w:r>
                            </w:p>
                          </w:txbxContent>
                        </wps:txbx>
                        <wps:bodyPr wrap="square" lIns="0" tIns="0" rIns="0" bIns="0" rtlCol="0">
                          <a:noAutofit/>
                        </wps:bodyPr>
                      </wps:wsp>
                    </wpg:wgp>
                  </a:graphicData>
                </a:graphic>
              </wp:anchor>
            </w:drawing>
          </mc:Choice>
          <mc:Fallback>
            <w:pict>
              <v:group style="position:absolute;margin-left:33pt;margin-top:10.312060pt;width:324pt;height:132.85pt;mso-position-horizontal-relative:page;mso-position-vertical-relative:paragraph;z-index:-36570112" id="docshapegroup466" coordorigin="660,206" coordsize="6480,2657">
                <v:shape style="position:absolute;left:760;top:236;width:6350;height:356" id="docshape467" coordorigin="760,236" coordsize="6350,356" path="m6960,236l840,236,782,248,760,263,760,592,7110,592,7110,386,7098,328,7066,280,7018,248,6960,236xe" filled="true" fillcolor="#808285" stroked="false">
                  <v:path arrowok="t"/>
                  <v:fill type="solid"/>
                </v:shape>
                <v:line style="position:absolute" from="1520,606" to="1520,252" stroked="true" strokeweight="2pt" strokecolor="#ffffff">
                  <v:stroke dashstyle="solid"/>
                </v:line>
                <v:rect style="position:absolute;left:720;top:266;width:780;height:325" id="docshape468" filled="true" fillcolor="#008fdd" stroked="false">
                  <v:fill type="solid"/>
                </v:rect>
                <v:shape style="position:absolute;left:690;top:236;width:6420;height:2597" id="docshape469" coordorigin="690,236" coordsize="6420,2597" path="m840,236l782,248,734,280,702,328,690,386,690,2803,690,2833,720,2833,7080,2833,7110,2833,7110,2803,7110,386,7098,328,7066,280,7018,248,6960,236,840,236xe" filled="false" stroked="true" strokeweight="3pt" strokecolor="#ffffff">
                  <v:path arrowok="t"/>
                  <v:stroke dashstyle="solid"/>
                </v:shape>
                <v:shape style="position:absolute;left:1640;top:334;width:4287;height:190" type="#_x0000_t202" id="docshape470" filled="false" stroked="false">
                  <v:textbox inset="0,0,0,0">
                    <w:txbxContent>
                      <w:p>
                        <w:pPr>
                          <w:spacing w:before="2"/>
                          <w:ind w:left="0" w:right="0" w:firstLine="0"/>
                          <w:jc w:val="left"/>
                          <w:rPr>
                            <w:rFonts w:ascii="Arial"/>
                            <w:b/>
                            <w:sz w:val="16"/>
                          </w:rPr>
                        </w:pPr>
                        <w:r>
                          <w:rPr>
                            <w:rFonts w:ascii="Arial"/>
                            <w:b/>
                            <w:color w:val="FFFFFF"/>
                            <w:w w:val="105"/>
                            <w:sz w:val="16"/>
                          </w:rPr>
                          <w:t>Bilateral</w:t>
                        </w:r>
                        <w:r>
                          <w:rPr>
                            <w:rFonts w:ascii="Arial"/>
                            <w:b/>
                            <w:color w:val="FFFFFF"/>
                            <w:spacing w:val="12"/>
                            <w:w w:val="105"/>
                            <w:sz w:val="16"/>
                          </w:rPr>
                          <w:t> </w:t>
                        </w:r>
                        <w:r>
                          <w:rPr>
                            <w:rFonts w:ascii="Arial"/>
                            <w:b/>
                            <w:color w:val="FFFFFF"/>
                            <w:w w:val="105"/>
                            <w:sz w:val="16"/>
                          </w:rPr>
                          <w:t>LPI</w:t>
                        </w:r>
                        <w:r>
                          <w:rPr>
                            <w:rFonts w:ascii="Arial"/>
                            <w:b/>
                            <w:color w:val="FFFFFF"/>
                            <w:spacing w:val="13"/>
                            <w:w w:val="105"/>
                            <w:sz w:val="16"/>
                          </w:rPr>
                          <w:t> </w:t>
                        </w:r>
                        <w:r>
                          <w:rPr>
                            <w:rFonts w:ascii="Arial"/>
                            <w:b/>
                            <w:color w:val="FFFFFF"/>
                            <w:w w:val="105"/>
                            <w:sz w:val="16"/>
                          </w:rPr>
                          <w:t>assessments</w:t>
                        </w:r>
                        <w:r>
                          <w:rPr>
                            <w:rFonts w:ascii="Arial"/>
                            <w:b/>
                            <w:color w:val="FFFFFF"/>
                            <w:spacing w:val="13"/>
                            <w:w w:val="105"/>
                            <w:sz w:val="16"/>
                          </w:rPr>
                          <w:t> </w:t>
                        </w:r>
                        <w:r>
                          <w:rPr>
                            <w:rFonts w:ascii="Arial"/>
                            <w:b/>
                            <w:color w:val="FFFFFF"/>
                            <w:w w:val="105"/>
                            <w:sz w:val="16"/>
                          </w:rPr>
                          <w:t>in</w:t>
                        </w:r>
                        <w:r>
                          <w:rPr>
                            <w:rFonts w:ascii="Arial"/>
                            <w:b/>
                            <w:color w:val="FFFFFF"/>
                            <w:spacing w:val="12"/>
                            <w:w w:val="105"/>
                            <w:sz w:val="16"/>
                          </w:rPr>
                          <w:t> </w:t>
                        </w:r>
                        <w:r>
                          <w:rPr>
                            <w:rFonts w:ascii="Arial"/>
                            <w:b/>
                            <w:color w:val="FFFFFF"/>
                            <w:w w:val="105"/>
                            <w:sz w:val="16"/>
                          </w:rPr>
                          <w:t>2023,</w:t>
                        </w:r>
                        <w:r>
                          <w:rPr>
                            <w:rFonts w:ascii="Arial"/>
                            <w:b/>
                            <w:color w:val="FFFFFF"/>
                            <w:spacing w:val="13"/>
                            <w:w w:val="105"/>
                            <w:sz w:val="16"/>
                          </w:rPr>
                          <w:t> </w:t>
                        </w:r>
                        <w:r>
                          <w:rPr>
                            <w:rFonts w:ascii="Arial"/>
                            <w:b/>
                            <w:color w:val="FFFFFF"/>
                            <w:w w:val="105"/>
                            <w:sz w:val="16"/>
                          </w:rPr>
                          <w:t>by</w:t>
                        </w:r>
                        <w:r>
                          <w:rPr>
                            <w:rFonts w:ascii="Arial"/>
                            <w:b/>
                            <w:color w:val="FFFFFF"/>
                            <w:spacing w:val="13"/>
                            <w:w w:val="105"/>
                            <w:sz w:val="16"/>
                          </w:rPr>
                          <w:t> </w:t>
                        </w:r>
                        <w:r>
                          <w:rPr>
                            <w:rFonts w:ascii="Arial"/>
                            <w:b/>
                            <w:color w:val="FFFFFF"/>
                            <w:w w:val="105"/>
                            <w:sz w:val="16"/>
                          </w:rPr>
                          <w:t>income</w:t>
                        </w:r>
                        <w:r>
                          <w:rPr>
                            <w:rFonts w:ascii="Arial"/>
                            <w:b/>
                            <w:color w:val="FFFFFF"/>
                            <w:spacing w:val="12"/>
                            <w:w w:val="105"/>
                            <w:sz w:val="16"/>
                          </w:rPr>
                          <w:t> </w:t>
                        </w:r>
                        <w:r>
                          <w:rPr>
                            <w:rFonts w:ascii="Arial"/>
                            <w:b/>
                            <w:color w:val="FFFFFF"/>
                            <w:spacing w:val="-2"/>
                            <w:w w:val="105"/>
                            <w:sz w:val="16"/>
                          </w:rPr>
                          <w:t>group</w:t>
                        </w:r>
                      </w:p>
                    </w:txbxContent>
                  </v:textbox>
                  <w10:wrap type="none"/>
                </v:shape>
                <v:shape style="position:absolute;left:760;top:2651;width:1926;height:144" type="#_x0000_t202" id="docshape471" filled="false" stroked="false">
                  <v:textbox inset="0,0,0,0">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2"/>
                            <w:sz w:val="12"/>
                          </w:rPr>
                          <w:t> </w:t>
                        </w:r>
                        <w:r>
                          <w:rPr>
                            <w:rFonts w:ascii="Arial"/>
                            <w:color w:val="231F20"/>
                            <w:w w:val="80"/>
                            <w:sz w:val="12"/>
                          </w:rPr>
                          <w:t>2023</w:t>
                        </w:r>
                        <w:r>
                          <w:rPr>
                            <w:rFonts w:ascii="Arial"/>
                            <w:color w:val="231F20"/>
                            <w:spacing w:val="3"/>
                            <w:sz w:val="12"/>
                          </w:rPr>
                          <w:t> </w:t>
                        </w:r>
                        <w:r>
                          <w:rPr>
                            <w:rFonts w:ascii="Arial"/>
                            <w:color w:val="231F20"/>
                            <w:w w:val="80"/>
                            <w:sz w:val="12"/>
                          </w:rPr>
                          <w:t>Logistics</w:t>
                        </w:r>
                        <w:r>
                          <w:rPr>
                            <w:rFonts w:ascii="Arial"/>
                            <w:color w:val="231F20"/>
                            <w:spacing w:val="3"/>
                            <w:sz w:val="12"/>
                          </w:rPr>
                          <w:t> </w:t>
                        </w:r>
                        <w:r>
                          <w:rPr>
                            <w:rFonts w:ascii="Arial"/>
                            <w:color w:val="231F20"/>
                            <w:w w:val="80"/>
                            <w:sz w:val="12"/>
                          </w:rPr>
                          <w:t>Performance</w:t>
                        </w:r>
                        <w:r>
                          <w:rPr>
                            <w:rFonts w:ascii="Arial"/>
                            <w:color w:val="231F20"/>
                            <w:spacing w:val="2"/>
                            <w:sz w:val="12"/>
                          </w:rPr>
                          <w:t> </w:t>
                        </w:r>
                        <w:r>
                          <w:rPr>
                            <w:rFonts w:ascii="Arial"/>
                            <w:color w:val="231F20"/>
                            <w:spacing w:val="-2"/>
                            <w:w w:val="80"/>
                            <w:sz w:val="12"/>
                          </w:rPr>
                          <w:t>Index.</w:t>
                        </w:r>
                      </w:p>
                    </w:txbxContent>
                  </v:textbox>
                  <w10:wrap type="none"/>
                </v:shape>
                <v:shape style="position:absolute;left:720;top:266;width:780;height:325" type="#_x0000_t202" id="docshape472" filled="false" stroked="false">
                  <v:textbox inset="0,0,0,0">
                    <w:txbxContent>
                      <w:p>
                        <w:pPr>
                          <w:spacing w:before="70"/>
                          <w:ind w:left="12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b/>
                            <w:color w:val="FFFFFF"/>
                            <w:spacing w:val="-5"/>
                            <w:w w:val="90"/>
                            <w:sz w:val="16"/>
                          </w:rPr>
                          <w:t>2.1</w:t>
                        </w:r>
                      </w:p>
                    </w:txbxContent>
                  </v:textbox>
                  <w10:wrap type="none"/>
                </v:shape>
                <w10:wrap type="none"/>
              </v:group>
            </w:pict>
          </mc:Fallback>
        </mc:AlternateContent>
      </w:r>
      <w:r>
        <w:rPr>
          <w:color w:val="231F20"/>
        </w:rPr>
        <w:t>Performance</w:t>
      </w:r>
      <w:r>
        <w:rPr>
          <w:color w:val="231F20"/>
          <w:spacing w:val="14"/>
        </w:rPr>
        <w:t> </w:t>
      </w:r>
      <w:r>
        <w:rPr>
          <w:color w:val="231F20"/>
        </w:rPr>
        <w:t>on</w:t>
      </w:r>
      <w:r>
        <w:rPr>
          <w:color w:val="231F20"/>
          <w:spacing w:val="14"/>
        </w:rPr>
        <w:t> </w:t>
      </w:r>
      <w:r>
        <w:rPr>
          <w:color w:val="231F20"/>
        </w:rPr>
        <w:t>LPI</w:t>
      </w:r>
      <w:r>
        <w:rPr>
          <w:color w:val="231F20"/>
          <w:spacing w:val="15"/>
        </w:rPr>
        <w:t> </w:t>
      </w:r>
      <w:r>
        <w:rPr>
          <w:color w:val="231F20"/>
        </w:rPr>
        <w:t>components</w:t>
      </w:r>
      <w:r>
        <w:rPr>
          <w:color w:val="231F20"/>
          <w:spacing w:val="14"/>
        </w:rPr>
        <w:t> </w:t>
      </w:r>
      <w:r>
        <w:rPr>
          <w:color w:val="231F20"/>
        </w:rPr>
        <w:t>differs</w:t>
      </w:r>
      <w:r>
        <w:rPr>
          <w:color w:val="231F20"/>
          <w:spacing w:val="15"/>
        </w:rPr>
        <w:t> </w:t>
      </w:r>
      <w:r>
        <w:rPr>
          <w:color w:val="231F20"/>
          <w:spacing w:val="-5"/>
        </w:rPr>
        <w:t>by</w:t>
      </w:r>
    </w:p>
    <w:p>
      <w:pPr>
        <w:pStyle w:val="BodyText"/>
        <w:spacing w:line="268" w:lineRule="auto" w:before="29"/>
        <w:ind w:left="198" w:right="657"/>
        <w:jc w:val="both"/>
      </w:pPr>
      <w:r>
        <w:rPr>
          <w:color w:val="231F20"/>
          <w:spacing w:val="-6"/>
        </w:rPr>
        <w:t>overall</w:t>
      </w:r>
      <w:r>
        <w:rPr>
          <w:color w:val="231F20"/>
          <w:spacing w:val="-8"/>
        </w:rPr>
        <w:t> </w:t>
      </w:r>
      <w:r>
        <w:rPr>
          <w:color w:val="231F20"/>
          <w:spacing w:val="-6"/>
        </w:rPr>
        <w:t>LPI</w:t>
      </w:r>
      <w:r>
        <w:rPr>
          <w:color w:val="231F20"/>
          <w:spacing w:val="-7"/>
        </w:rPr>
        <w:t> </w:t>
      </w:r>
      <w:r>
        <w:rPr>
          <w:color w:val="231F20"/>
          <w:spacing w:val="-6"/>
        </w:rPr>
        <w:t>quintile.</w:t>
      </w:r>
      <w:r>
        <w:rPr>
          <w:color w:val="231F20"/>
          <w:spacing w:val="-7"/>
        </w:rPr>
        <w:t> </w:t>
      </w:r>
      <w:r>
        <w:rPr>
          <w:color w:val="231F20"/>
          <w:spacing w:val="-6"/>
        </w:rPr>
        <w:t>The</w:t>
      </w:r>
      <w:r>
        <w:rPr>
          <w:color w:val="231F20"/>
          <w:spacing w:val="-7"/>
        </w:rPr>
        <w:t> </w:t>
      </w:r>
      <w:r>
        <w:rPr>
          <w:color w:val="231F20"/>
          <w:spacing w:val="-6"/>
        </w:rPr>
        <w:t>timeliness</w:t>
      </w:r>
      <w:r>
        <w:rPr>
          <w:color w:val="231F20"/>
          <w:spacing w:val="-7"/>
        </w:rPr>
        <w:t> </w:t>
      </w:r>
      <w:r>
        <w:rPr>
          <w:color w:val="231F20"/>
          <w:spacing w:val="-6"/>
        </w:rPr>
        <w:t>component </w:t>
      </w:r>
      <w:r>
        <w:rPr>
          <w:color w:val="231F20"/>
        </w:rPr>
        <w:t>outperforms</w:t>
      </w:r>
      <w:r>
        <w:rPr>
          <w:color w:val="231F20"/>
          <w:spacing w:val="-13"/>
        </w:rPr>
        <w:t> </w:t>
      </w:r>
      <w:r>
        <w:rPr>
          <w:color w:val="231F20"/>
        </w:rPr>
        <w:t>the</w:t>
      </w:r>
      <w:r>
        <w:rPr>
          <w:color w:val="231F20"/>
          <w:spacing w:val="-13"/>
        </w:rPr>
        <w:t> </w:t>
      </w:r>
      <w:r>
        <w:rPr>
          <w:color w:val="231F20"/>
        </w:rPr>
        <w:t>others</w:t>
      </w:r>
      <w:r>
        <w:rPr>
          <w:color w:val="231F20"/>
          <w:spacing w:val="-13"/>
        </w:rPr>
        <w:t> </w:t>
      </w:r>
      <w:r>
        <w:rPr>
          <w:color w:val="231F20"/>
        </w:rPr>
        <w:t>in</w:t>
      </w:r>
      <w:r>
        <w:rPr>
          <w:color w:val="231F20"/>
          <w:spacing w:val="-13"/>
        </w:rPr>
        <w:t> </w:t>
      </w:r>
      <w:r>
        <w:rPr>
          <w:color w:val="231F20"/>
        </w:rPr>
        <w:t>all</w:t>
      </w:r>
      <w:r>
        <w:rPr>
          <w:color w:val="231F20"/>
          <w:spacing w:val="-13"/>
        </w:rPr>
        <w:t> </w:t>
      </w:r>
      <w:r>
        <w:rPr>
          <w:color w:val="231F20"/>
        </w:rPr>
        <w:t>quintiles</w:t>
      </w:r>
      <w:r>
        <w:rPr>
          <w:color w:val="231F20"/>
          <w:spacing w:val="-13"/>
        </w:rPr>
        <w:t> </w:t>
      </w:r>
      <w:r>
        <w:rPr>
          <w:color w:val="231F20"/>
        </w:rPr>
        <w:t>except </w:t>
      </w:r>
      <w:r>
        <w:rPr>
          <w:color w:val="231F20"/>
          <w:spacing w:val="-2"/>
        </w:rPr>
        <w:t>the</w:t>
      </w:r>
      <w:r>
        <w:rPr>
          <w:color w:val="231F20"/>
          <w:spacing w:val="-11"/>
        </w:rPr>
        <w:t> </w:t>
      </w:r>
      <w:r>
        <w:rPr>
          <w:color w:val="231F20"/>
          <w:spacing w:val="-2"/>
        </w:rPr>
        <w:t>top</w:t>
      </w:r>
      <w:r>
        <w:rPr>
          <w:color w:val="231F20"/>
          <w:spacing w:val="-11"/>
        </w:rPr>
        <w:t> </w:t>
      </w:r>
      <w:r>
        <w:rPr>
          <w:color w:val="231F20"/>
          <w:spacing w:val="-2"/>
        </w:rPr>
        <w:t>one</w:t>
      </w:r>
      <w:r>
        <w:rPr>
          <w:color w:val="231F20"/>
          <w:spacing w:val="-11"/>
        </w:rPr>
        <w:t> </w:t>
      </w:r>
      <w:r>
        <w:rPr>
          <w:color w:val="231F20"/>
          <w:spacing w:val="-2"/>
        </w:rPr>
        <w:t>(figure</w:t>
      </w:r>
      <w:r>
        <w:rPr>
          <w:color w:val="231F20"/>
          <w:spacing w:val="-11"/>
        </w:rPr>
        <w:t> </w:t>
      </w:r>
      <w:r>
        <w:rPr>
          <w:color w:val="231F20"/>
          <w:spacing w:val="-2"/>
        </w:rPr>
        <w:t>2.2).</w:t>
      </w:r>
      <w:r>
        <w:rPr>
          <w:color w:val="231F20"/>
          <w:spacing w:val="-11"/>
        </w:rPr>
        <w:t> </w:t>
      </w:r>
      <w:r>
        <w:rPr>
          <w:color w:val="231F20"/>
          <w:spacing w:val="-2"/>
        </w:rPr>
        <w:t>And</w:t>
      </w:r>
      <w:r>
        <w:rPr>
          <w:color w:val="231F20"/>
          <w:spacing w:val="-11"/>
        </w:rPr>
        <w:t> </w:t>
      </w:r>
      <w:r>
        <w:rPr>
          <w:color w:val="231F20"/>
          <w:spacing w:val="-2"/>
        </w:rPr>
        <w:t>the</w:t>
      </w:r>
      <w:r>
        <w:rPr>
          <w:color w:val="231F20"/>
          <w:spacing w:val="-11"/>
        </w:rPr>
        <w:t> </w:t>
      </w:r>
      <w:r>
        <w:rPr>
          <w:color w:val="231F20"/>
          <w:spacing w:val="-2"/>
        </w:rPr>
        <w:t>performance </w:t>
      </w:r>
      <w:r>
        <w:rPr>
          <w:color w:val="231F20"/>
          <w:spacing w:val="-6"/>
        </w:rPr>
        <w:t>of customs and border agencies and the quality </w:t>
      </w:r>
      <w:r>
        <w:rPr>
          <w:color w:val="231F20"/>
          <w:spacing w:val="-4"/>
        </w:rPr>
        <w:t>of</w:t>
      </w:r>
      <w:r>
        <w:rPr>
          <w:color w:val="231F20"/>
          <w:spacing w:val="-7"/>
        </w:rPr>
        <w:t> </w:t>
      </w:r>
      <w:r>
        <w:rPr>
          <w:color w:val="231F20"/>
          <w:spacing w:val="-4"/>
        </w:rPr>
        <w:t>trade</w:t>
      </w:r>
      <w:r>
        <w:rPr>
          <w:color w:val="231F20"/>
          <w:spacing w:val="-7"/>
        </w:rPr>
        <w:t> </w:t>
      </w:r>
      <w:r>
        <w:rPr>
          <w:color w:val="231F20"/>
          <w:spacing w:val="-4"/>
        </w:rPr>
        <w:t>and</w:t>
      </w:r>
      <w:r>
        <w:rPr>
          <w:color w:val="231F20"/>
          <w:spacing w:val="-7"/>
        </w:rPr>
        <w:t> </w:t>
      </w:r>
      <w:r>
        <w:rPr>
          <w:color w:val="231F20"/>
          <w:spacing w:val="-4"/>
        </w:rPr>
        <w:t>transport</w:t>
      </w:r>
      <w:r>
        <w:rPr>
          <w:color w:val="231F20"/>
          <w:spacing w:val="-7"/>
        </w:rPr>
        <w:t> </w:t>
      </w:r>
      <w:r>
        <w:rPr>
          <w:color w:val="231F20"/>
          <w:spacing w:val="-4"/>
        </w:rPr>
        <w:t>infrastructure</w:t>
      </w:r>
      <w:r>
        <w:rPr>
          <w:color w:val="231F20"/>
          <w:spacing w:val="-7"/>
        </w:rPr>
        <w:t> </w:t>
      </w:r>
      <w:r>
        <w:rPr>
          <w:color w:val="231F20"/>
          <w:spacing w:val="-4"/>
        </w:rPr>
        <w:t>are</w:t>
      </w:r>
      <w:r>
        <w:rPr>
          <w:color w:val="231F20"/>
          <w:spacing w:val="-7"/>
        </w:rPr>
        <w:t> </w:t>
      </w:r>
      <w:r>
        <w:rPr>
          <w:color w:val="231F20"/>
          <w:spacing w:val="-4"/>
        </w:rPr>
        <w:t>partic- ularly</w:t>
      </w:r>
      <w:r>
        <w:rPr>
          <w:color w:val="231F20"/>
          <w:spacing w:val="-10"/>
        </w:rPr>
        <w:t> </w:t>
      </w:r>
      <w:r>
        <w:rPr>
          <w:color w:val="231F20"/>
          <w:spacing w:val="-4"/>
        </w:rPr>
        <w:t>weak</w:t>
      </w:r>
      <w:r>
        <w:rPr>
          <w:color w:val="231F20"/>
          <w:spacing w:val="-9"/>
        </w:rPr>
        <w:t> </w:t>
      </w:r>
      <w:r>
        <w:rPr>
          <w:color w:val="231F20"/>
          <w:spacing w:val="-4"/>
        </w:rPr>
        <w:t>in</w:t>
      </w:r>
      <w:r>
        <w:rPr>
          <w:color w:val="231F20"/>
          <w:spacing w:val="-9"/>
        </w:rPr>
        <w:t> </w:t>
      </w:r>
      <w:r>
        <w:rPr>
          <w:color w:val="231F20"/>
          <w:spacing w:val="-4"/>
        </w:rPr>
        <w:t>the</w:t>
      </w:r>
      <w:r>
        <w:rPr>
          <w:color w:val="231F20"/>
          <w:spacing w:val="-9"/>
        </w:rPr>
        <w:t> </w:t>
      </w:r>
      <w:r>
        <w:rPr>
          <w:color w:val="231F20"/>
          <w:spacing w:val="-4"/>
        </w:rPr>
        <w:t>bottom</w:t>
      </w:r>
      <w:r>
        <w:rPr>
          <w:color w:val="231F20"/>
          <w:spacing w:val="-9"/>
        </w:rPr>
        <w:t> </w:t>
      </w:r>
      <w:r>
        <w:rPr>
          <w:color w:val="231F20"/>
          <w:spacing w:val="-4"/>
        </w:rPr>
        <w:t>quintile.</w:t>
      </w:r>
      <w:r>
        <w:rPr>
          <w:color w:val="231F20"/>
          <w:spacing w:val="-9"/>
        </w:rPr>
        <w:t> </w:t>
      </w:r>
      <w:r>
        <w:rPr>
          <w:color w:val="231F20"/>
          <w:spacing w:val="-4"/>
        </w:rPr>
        <w:t>The</w:t>
      </w:r>
      <w:r>
        <w:rPr>
          <w:color w:val="231F20"/>
          <w:spacing w:val="-9"/>
        </w:rPr>
        <w:t> </w:t>
      </w:r>
      <w:r>
        <w:rPr>
          <w:color w:val="231F20"/>
          <w:spacing w:val="-4"/>
        </w:rPr>
        <w:t>bottom </w:t>
      </w:r>
      <w:r>
        <w:rPr>
          <w:color w:val="231F20"/>
          <w:spacing w:val="-2"/>
        </w:rPr>
        <w:t>quintile</w:t>
      </w:r>
      <w:r>
        <w:rPr>
          <w:color w:val="231F20"/>
          <w:spacing w:val="-11"/>
        </w:rPr>
        <w:t> </w:t>
      </w:r>
      <w:r>
        <w:rPr>
          <w:color w:val="231F20"/>
          <w:spacing w:val="-2"/>
        </w:rPr>
        <w:t>is</w:t>
      </w:r>
      <w:r>
        <w:rPr>
          <w:color w:val="231F20"/>
          <w:spacing w:val="-11"/>
        </w:rPr>
        <w:t> </w:t>
      </w:r>
      <w:r>
        <w:rPr>
          <w:color w:val="231F20"/>
          <w:spacing w:val="-2"/>
        </w:rPr>
        <w:t>also</w:t>
      </w:r>
      <w:r>
        <w:rPr>
          <w:color w:val="231F20"/>
          <w:spacing w:val="-11"/>
        </w:rPr>
        <w:t> </w:t>
      </w:r>
      <w:r>
        <w:rPr>
          <w:color w:val="231F20"/>
          <w:spacing w:val="-2"/>
        </w:rPr>
        <w:t>characterized</w:t>
      </w:r>
      <w:r>
        <w:rPr>
          <w:color w:val="231F20"/>
          <w:spacing w:val="-11"/>
        </w:rPr>
        <w:t> </w:t>
      </w:r>
      <w:r>
        <w:rPr>
          <w:color w:val="231F20"/>
          <w:spacing w:val="-2"/>
        </w:rPr>
        <w:t>by</w:t>
      </w:r>
      <w:r>
        <w:rPr>
          <w:color w:val="231F20"/>
          <w:spacing w:val="-11"/>
        </w:rPr>
        <w:t> </w:t>
      </w:r>
      <w:r>
        <w:rPr>
          <w:color w:val="231F20"/>
          <w:spacing w:val="-2"/>
        </w:rPr>
        <w:t>lower</w:t>
      </w:r>
      <w:r>
        <w:rPr>
          <w:color w:val="231F20"/>
          <w:spacing w:val="-11"/>
        </w:rPr>
        <w:t> </w:t>
      </w:r>
      <w:r>
        <w:rPr>
          <w:color w:val="231F20"/>
          <w:spacing w:val="-2"/>
        </w:rPr>
        <w:t>quality </w:t>
      </w:r>
      <w:r>
        <w:rPr>
          <w:color w:val="231F20"/>
          <w:spacing w:val="-6"/>
        </w:rPr>
        <w:t>of logistics services. In the two top-performing </w:t>
      </w:r>
      <w:r>
        <w:rPr>
          <w:color w:val="231F20"/>
          <w:w w:val="90"/>
        </w:rPr>
        <w:t>quintiles, performance is more consistent across </w:t>
      </w:r>
      <w:r>
        <w:rPr>
          <w:color w:val="231F20"/>
        </w:rPr>
        <w:t>the six components.</w:t>
      </w:r>
    </w:p>
    <w:p>
      <w:pPr>
        <w:spacing w:after="0" w:line="268" w:lineRule="auto"/>
        <w:jc w:val="both"/>
        <w:sectPr>
          <w:type w:val="continuous"/>
          <w:pgSz w:w="12240" w:h="15840"/>
          <w:pgMar w:header="370" w:footer="548" w:top="1140" w:bottom="280" w:left="0" w:right="540"/>
          <w:cols w:num="2" w:equalWidth="0">
            <w:col w:w="7082" w:space="40"/>
            <w:col w:w="4578"/>
          </w:cols>
        </w:sectPr>
      </w:pPr>
    </w:p>
    <w:p>
      <w:pPr>
        <w:pStyle w:val="BodyText"/>
        <w:rPr>
          <w:sz w:val="20"/>
        </w:rPr>
      </w:pPr>
    </w:p>
    <w:p>
      <w:pPr>
        <w:pStyle w:val="BodyText"/>
        <w:spacing w:before="100"/>
        <w:rPr>
          <w:sz w:val="20"/>
        </w:rPr>
      </w:pPr>
    </w:p>
    <w:p>
      <w:pPr>
        <w:pStyle w:val="BodyText"/>
        <w:ind w:left="1199"/>
        <w:rPr>
          <w:sz w:val="20"/>
        </w:rPr>
      </w:pPr>
      <w:bookmarkStart w:name="_bookmark19" w:id="22"/>
      <w:bookmarkEnd w:id="22"/>
      <w:r>
        <w:rPr/>
      </w:r>
      <w:r>
        <w:rPr>
          <w:sz w:val="20"/>
        </w:rPr>
        <mc:AlternateContent>
          <mc:Choice Requires="wps">
            <w:drawing>
              <wp:inline distT="0" distB="0" distL="0" distR="0">
                <wp:extent cx="4877435" cy="2837180"/>
                <wp:effectExtent l="0" t="9525" r="0" b="1269"/>
                <wp:docPr id="575" name="Group 575"/>
                <wp:cNvGraphicFramePr>
                  <a:graphicFrameLocks/>
                </wp:cNvGraphicFramePr>
                <a:graphic>
                  <a:graphicData uri="http://schemas.microsoft.com/office/word/2010/wordprocessingGroup">
                    <wpg:wgp>
                      <wpg:cNvPr id="575" name="Group 575"/>
                      <wpg:cNvGrpSpPr/>
                      <wpg:grpSpPr>
                        <a:xfrm>
                          <a:off x="0" y="0"/>
                          <a:ext cx="4877435" cy="2837180"/>
                          <a:chExt cx="4877435" cy="2837180"/>
                        </a:xfrm>
                      </wpg:grpSpPr>
                      <wps:wsp>
                        <wps:cNvPr id="576" name="Graphic 576"/>
                        <wps:cNvSpPr/>
                        <wps:spPr>
                          <a:xfrm>
                            <a:off x="198" y="258093"/>
                            <a:ext cx="4876800" cy="2578735"/>
                          </a:xfrm>
                          <a:custGeom>
                            <a:avLst/>
                            <a:gdLst/>
                            <a:ahLst/>
                            <a:cxnLst/>
                            <a:rect l="l" t="t" r="r" b="b"/>
                            <a:pathLst>
                              <a:path w="4876800" h="2578735">
                                <a:moveTo>
                                  <a:pt x="4876800" y="0"/>
                                </a:moveTo>
                                <a:lnTo>
                                  <a:pt x="0" y="0"/>
                                </a:lnTo>
                                <a:lnTo>
                                  <a:pt x="0" y="2503805"/>
                                </a:lnTo>
                                <a:lnTo>
                                  <a:pt x="6159" y="2532903"/>
                                </a:lnTo>
                                <a:lnTo>
                                  <a:pt x="22693" y="2556663"/>
                                </a:lnTo>
                                <a:lnTo>
                                  <a:pt x="46682" y="2572683"/>
                                </a:lnTo>
                                <a:lnTo>
                                  <a:pt x="75209" y="2578557"/>
                                </a:lnTo>
                                <a:lnTo>
                                  <a:pt x="4797920" y="2578557"/>
                                </a:lnTo>
                                <a:lnTo>
                                  <a:pt x="4827020" y="2573302"/>
                                </a:lnTo>
                                <a:lnTo>
                                  <a:pt x="4852271" y="2558316"/>
                                </a:lnTo>
                                <a:lnTo>
                                  <a:pt x="4870066" y="2534762"/>
                                </a:lnTo>
                                <a:lnTo>
                                  <a:pt x="4876800" y="2503805"/>
                                </a:lnTo>
                                <a:lnTo>
                                  <a:pt x="4876800" y="0"/>
                                </a:lnTo>
                                <a:close/>
                              </a:path>
                            </a:pathLst>
                          </a:custGeom>
                          <a:solidFill>
                            <a:srgbClr val="DFEAF7"/>
                          </a:solidFill>
                        </wps:spPr>
                        <wps:bodyPr wrap="square" lIns="0" tIns="0" rIns="0" bIns="0" rtlCol="0">
                          <a:prstTxWarp prst="textNoShape">
                            <a:avLst/>
                          </a:prstTxWarp>
                          <a:noAutofit/>
                        </wps:bodyPr>
                      </wps:wsp>
                      <wps:wsp>
                        <wps:cNvPr id="577" name="Graphic 577"/>
                        <wps:cNvSpPr/>
                        <wps:spPr>
                          <a:xfrm>
                            <a:off x="0" y="0"/>
                            <a:ext cx="512445" cy="231775"/>
                          </a:xfrm>
                          <a:custGeom>
                            <a:avLst/>
                            <a:gdLst/>
                            <a:ahLst/>
                            <a:cxnLst/>
                            <a:rect l="l" t="t" r="r" b="b"/>
                            <a:pathLst>
                              <a:path w="512445" h="231775">
                                <a:moveTo>
                                  <a:pt x="512178" y="0"/>
                                </a:moveTo>
                                <a:lnTo>
                                  <a:pt x="76200" y="0"/>
                                </a:lnTo>
                                <a:lnTo>
                                  <a:pt x="47213" y="3058"/>
                                </a:lnTo>
                                <a:lnTo>
                                  <a:pt x="22917" y="14506"/>
                                </a:lnTo>
                                <a:lnTo>
                                  <a:pt x="6212" y="37751"/>
                                </a:lnTo>
                                <a:lnTo>
                                  <a:pt x="0" y="76200"/>
                                </a:lnTo>
                                <a:lnTo>
                                  <a:pt x="0" y="231775"/>
                                </a:lnTo>
                                <a:lnTo>
                                  <a:pt x="512178" y="231775"/>
                                </a:lnTo>
                                <a:lnTo>
                                  <a:pt x="512178" y="0"/>
                                </a:lnTo>
                                <a:close/>
                              </a:path>
                            </a:pathLst>
                          </a:custGeom>
                          <a:solidFill>
                            <a:srgbClr val="008FDD"/>
                          </a:solidFill>
                        </wps:spPr>
                        <wps:bodyPr wrap="square" lIns="0" tIns="0" rIns="0" bIns="0" rtlCol="0">
                          <a:prstTxWarp prst="textNoShape">
                            <a:avLst/>
                          </a:prstTxWarp>
                          <a:noAutofit/>
                        </wps:bodyPr>
                      </wps:wsp>
                      <wps:wsp>
                        <wps:cNvPr id="578" name="Graphic 578"/>
                        <wps:cNvSpPr/>
                        <wps:spPr>
                          <a:xfrm>
                            <a:off x="512178" y="0"/>
                            <a:ext cx="4364355" cy="231775"/>
                          </a:xfrm>
                          <a:custGeom>
                            <a:avLst/>
                            <a:gdLst/>
                            <a:ahLst/>
                            <a:cxnLst/>
                            <a:rect l="l" t="t" r="r" b="b"/>
                            <a:pathLst>
                              <a:path w="4364355" h="231775">
                                <a:moveTo>
                                  <a:pt x="4287926" y="0"/>
                                </a:moveTo>
                                <a:lnTo>
                                  <a:pt x="0" y="0"/>
                                </a:lnTo>
                                <a:lnTo>
                                  <a:pt x="0" y="231775"/>
                                </a:lnTo>
                                <a:lnTo>
                                  <a:pt x="4364126" y="231775"/>
                                </a:lnTo>
                                <a:lnTo>
                                  <a:pt x="4364126" y="76200"/>
                                </a:lnTo>
                                <a:lnTo>
                                  <a:pt x="4358620" y="50979"/>
                                </a:lnTo>
                                <a:lnTo>
                                  <a:pt x="4343095" y="26265"/>
                                </a:lnTo>
                                <a:lnTo>
                                  <a:pt x="4319035" y="7468"/>
                                </a:lnTo>
                                <a:lnTo>
                                  <a:pt x="4287926" y="0"/>
                                </a:lnTo>
                                <a:close/>
                              </a:path>
                            </a:pathLst>
                          </a:custGeom>
                          <a:solidFill>
                            <a:srgbClr val="808285"/>
                          </a:solidFill>
                        </wps:spPr>
                        <wps:bodyPr wrap="square" lIns="0" tIns="0" rIns="0" bIns="0" rtlCol="0">
                          <a:prstTxWarp prst="textNoShape">
                            <a:avLst/>
                          </a:prstTxWarp>
                          <a:noAutofit/>
                        </wps:bodyPr>
                      </wps:wsp>
                      <wps:wsp>
                        <wps:cNvPr id="579" name="Graphic 579"/>
                        <wps:cNvSpPr/>
                        <wps:spPr>
                          <a:xfrm>
                            <a:off x="512179"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wps:wsp>
                        <wps:cNvPr id="580" name="Graphic 580"/>
                        <wps:cNvSpPr/>
                        <wps:spPr>
                          <a:xfrm>
                            <a:off x="274403" y="2460724"/>
                            <a:ext cx="4458335" cy="1270"/>
                          </a:xfrm>
                          <a:custGeom>
                            <a:avLst/>
                            <a:gdLst/>
                            <a:ahLst/>
                            <a:cxnLst/>
                            <a:rect l="l" t="t" r="r" b="b"/>
                            <a:pathLst>
                              <a:path w="4458335" h="0">
                                <a:moveTo>
                                  <a:pt x="0" y="0"/>
                                </a:moveTo>
                                <a:lnTo>
                                  <a:pt x="4458093" y="0"/>
                                </a:lnTo>
                              </a:path>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581" name="Graphic 581"/>
                        <wps:cNvSpPr/>
                        <wps:spPr>
                          <a:xfrm>
                            <a:off x="274403" y="1114257"/>
                            <a:ext cx="4458335" cy="897890"/>
                          </a:xfrm>
                          <a:custGeom>
                            <a:avLst/>
                            <a:gdLst/>
                            <a:ahLst/>
                            <a:cxnLst/>
                            <a:rect l="l" t="t" r="r" b="b"/>
                            <a:pathLst>
                              <a:path w="4458335" h="897890">
                                <a:moveTo>
                                  <a:pt x="0" y="897644"/>
                                </a:moveTo>
                                <a:lnTo>
                                  <a:pt x="40944" y="897644"/>
                                </a:lnTo>
                              </a:path>
                              <a:path w="4458335" h="897890">
                                <a:moveTo>
                                  <a:pt x="844283" y="897644"/>
                                </a:moveTo>
                                <a:lnTo>
                                  <a:pt x="934110" y="897644"/>
                                </a:lnTo>
                              </a:path>
                              <a:path w="4458335" h="897890">
                                <a:moveTo>
                                  <a:pt x="1737448" y="897644"/>
                                </a:moveTo>
                                <a:lnTo>
                                  <a:pt x="1827263" y="897644"/>
                                </a:lnTo>
                              </a:path>
                              <a:path w="4458335" h="897890">
                                <a:moveTo>
                                  <a:pt x="2630766" y="897644"/>
                                </a:moveTo>
                                <a:lnTo>
                                  <a:pt x="2720416" y="897644"/>
                                </a:lnTo>
                              </a:path>
                              <a:path w="4458335" h="897890">
                                <a:moveTo>
                                  <a:pt x="3523932" y="897644"/>
                                </a:moveTo>
                                <a:lnTo>
                                  <a:pt x="3613581" y="897644"/>
                                </a:lnTo>
                              </a:path>
                              <a:path w="4458335" h="897890">
                                <a:moveTo>
                                  <a:pt x="4417098" y="897644"/>
                                </a:moveTo>
                                <a:lnTo>
                                  <a:pt x="4458093" y="897644"/>
                                </a:lnTo>
                              </a:path>
                              <a:path w="4458335" h="897890">
                                <a:moveTo>
                                  <a:pt x="0" y="448821"/>
                                </a:moveTo>
                                <a:lnTo>
                                  <a:pt x="2362936" y="448821"/>
                                </a:lnTo>
                              </a:path>
                              <a:path w="4458335" h="897890">
                                <a:moveTo>
                                  <a:pt x="2630766" y="448821"/>
                                </a:moveTo>
                                <a:lnTo>
                                  <a:pt x="2720416" y="448821"/>
                                </a:lnTo>
                              </a:path>
                              <a:path w="4458335" h="897890">
                                <a:moveTo>
                                  <a:pt x="3523932" y="448821"/>
                                </a:moveTo>
                                <a:lnTo>
                                  <a:pt x="3613581" y="448821"/>
                                </a:lnTo>
                              </a:path>
                              <a:path w="4458335" h="897890">
                                <a:moveTo>
                                  <a:pt x="4417098" y="448821"/>
                                </a:moveTo>
                                <a:lnTo>
                                  <a:pt x="4458093" y="448821"/>
                                </a:lnTo>
                              </a:path>
                              <a:path w="4458335" h="897890">
                                <a:moveTo>
                                  <a:pt x="0" y="0"/>
                                </a:moveTo>
                                <a:lnTo>
                                  <a:pt x="4149255" y="0"/>
                                </a:lnTo>
                              </a:path>
                              <a:path w="4458335" h="897890">
                                <a:moveTo>
                                  <a:pt x="4283176"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582" name="Graphic 582"/>
                        <wps:cNvSpPr/>
                        <wps:spPr>
                          <a:xfrm>
                            <a:off x="274403" y="665435"/>
                            <a:ext cx="4458335" cy="1270"/>
                          </a:xfrm>
                          <a:custGeom>
                            <a:avLst/>
                            <a:gdLst/>
                            <a:ahLst/>
                            <a:cxnLst/>
                            <a:rect l="l" t="t" r="r" b="b"/>
                            <a:pathLst>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583" name="Graphic 583"/>
                        <wps:cNvSpPr/>
                        <wps:spPr>
                          <a:xfrm>
                            <a:off x="4368388" y="386295"/>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BCBEC0"/>
                          </a:solidFill>
                        </wps:spPr>
                        <wps:bodyPr wrap="square" lIns="0" tIns="0" rIns="0" bIns="0" rtlCol="0">
                          <a:prstTxWarp prst="textNoShape">
                            <a:avLst/>
                          </a:prstTxWarp>
                          <a:noAutofit/>
                        </wps:bodyPr>
                      </wps:wsp>
                      <wps:wsp>
                        <wps:cNvPr id="584" name="Graphic 584"/>
                        <wps:cNvSpPr/>
                        <wps:spPr>
                          <a:xfrm>
                            <a:off x="1931588" y="386295"/>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231F20"/>
                          </a:solidFill>
                        </wps:spPr>
                        <wps:bodyPr wrap="square" lIns="0" tIns="0" rIns="0" bIns="0" rtlCol="0">
                          <a:prstTxWarp prst="textNoShape">
                            <a:avLst/>
                          </a:prstTxWarp>
                          <a:noAutofit/>
                        </wps:bodyPr>
                      </wps:wsp>
                      <wps:wsp>
                        <wps:cNvPr id="585" name="Graphic 585"/>
                        <wps:cNvSpPr/>
                        <wps:spPr>
                          <a:xfrm>
                            <a:off x="3175642" y="386295"/>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9CC0EA"/>
                          </a:solidFill>
                        </wps:spPr>
                        <wps:bodyPr wrap="square" lIns="0" tIns="0" rIns="0" bIns="0" rtlCol="0">
                          <a:prstTxWarp prst="textNoShape">
                            <a:avLst/>
                          </a:prstTxWarp>
                          <a:noAutofit/>
                        </wps:bodyPr>
                      </wps:wsp>
                      <wps:wsp>
                        <wps:cNvPr id="586" name="Graphic 586"/>
                        <wps:cNvSpPr/>
                        <wps:spPr>
                          <a:xfrm>
                            <a:off x="1502570" y="386295"/>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008FDD"/>
                          </a:solidFill>
                        </wps:spPr>
                        <wps:bodyPr wrap="square" lIns="0" tIns="0" rIns="0" bIns="0" rtlCol="0">
                          <a:prstTxWarp prst="textNoShape">
                            <a:avLst/>
                          </a:prstTxWarp>
                          <a:noAutofit/>
                        </wps:bodyPr>
                      </wps:wsp>
                      <wps:wsp>
                        <wps:cNvPr id="587" name="Graphic 587"/>
                        <wps:cNvSpPr/>
                        <wps:spPr>
                          <a:xfrm>
                            <a:off x="2505247" y="386295"/>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87666D"/>
                          </a:solidFill>
                        </wps:spPr>
                        <wps:bodyPr wrap="square" lIns="0" tIns="0" rIns="0" bIns="0" rtlCol="0">
                          <a:prstTxWarp prst="textNoShape">
                            <a:avLst/>
                          </a:prstTxWarp>
                          <a:noAutofit/>
                        </wps:bodyPr>
                      </wps:wsp>
                      <wps:wsp>
                        <wps:cNvPr id="588" name="Graphic 588"/>
                        <wps:cNvSpPr/>
                        <wps:spPr>
                          <a:xfrm>
                            <a:off x="3860782" y="386295"/>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691C32"/>
                          </a:solidFill>
                        </wps:spPr>
                        <wps:bodyPr wrap="square" lIns="0" tIns="0" rIns="0" bIns="0" rtlCol="0">
                          <a:prstTxWarp prst="textNoShape">
                            <a:avLst/>
                          </a:prstTxWarp>
                          <a:noAutofit/>
                        </wps:bodyPr>
                      </wps:wsp>
                      <wps:wsp>
                        <wps:cNvPr id="589" name="Graphic 589"/>
                        <wps:cNvSpPr/>
                        <wps:spPr>
                          <a:xfrm>
                            <a:off x="315348" y="1922183"/>
                            <a:ext cx="133985" cy="539115"/>
                          </a:xfrm>
                          <a:custGeom>
                            <a:avLst/>
                            <a:gdLst/>
                            <a:ahLst/>
                            <a:cxnLst/>
                            <a:rect l="l" t="t" r="r" b="b"/>
                            <a:pathLst>
                              <a:path w="133985" h="539115">
                                <a:moveTo>
                                  <a:pt x="133921" y="0"/>
                                </a:moveTo>
                                <a:lnTo>
                                  <a:pt x="0" y="0"/>
                                </a:lnTo>
                                <a:lnTo>
                                  <a:pt x="0" y="538543"/>
                                </a:lnTo>
                                <a:lnTo>
                                  <a:pt x="133921" y="538543"/>
                                </a:lnTo>
                                <a:lnTo>
                                  <a:pt x="133921" y="0"/>
                                </a:lnTo>
                                <a:close/>
                              </a:path>
                            </a:pathLst>
                          </a:custGeom>
                          <a:solidFill>
                            <a:srgbClr val="008FDD"/>
                          </a:solidFill>
                        </wps:spPr>
                        <wps:bodyPr wrap="square" lIns="0" tIns="0" rIns="0" bIns="0" rtlCol="0">
                          <a:prstTxWarp prst="textNoShape">
                            <a:avLst/>
                          </a:prstTxWarp>
                          <a:noAutofit/>
                        </wps:bodyPr>
                      </wps:wsp>
                      <wps:wsp>
                        <wps:cNvPr id="590" name="Graphic 590"/>
                        <wps:cNvSpPr/>
                        <wps:spPr>
                          <a:xfrm>
                            <a:off x="449270" y="1922183"/>
                            <a:ext cx="133985" cy="539115"/>
                          </a:xfrm>
                          <a:custGeom>
                            <a:avLst/>
                            <a:gdLst/>
                            <a:ahLst/>
                            <a:cxnLst/>
                            <a:rect l="l" t="t" r="r" b="b"/>
                            <a:pathLst>
                              <a:path w="133985" h="539115">
                                <a:moveTo>
                                  <a:pt x="133921" y="0"/>
                                </a:moveTo>
                                <a:lnTo>
                                  <a:pt x="0" y="0"/>
                                </a:lnTo>
                                <a:lnTo>
                                  <a:pt x="0" y="538543"/>
                                </a:lnTo>
                                <a:lnTo>
                                  <a:pt x="133921" y="538543"/>
                                </a:lnTo>
                                <a:lnTo>
                                  <a:pt x="133921" y="0"/>
                                </a:lnTo>
                                <a:close/>
                              </a:path>
                            </a:pathLst>
                          </a:custGeom>
                          <a:solidFill>
                            <a:srgbClr val="231F20"/>
                          </a:solidFill>
                        </wps:spPr>
                        <wps:bodyPr wrap="square" lIns="0" tIns="0" rIns="0" bIns="0" rtlCol="0">
                          <a:prstTxWarp prst="textNoShape">
                            <a:avLst/>
                          </a:prstTxWarp>
                          <a:noAutofit/>
                        </wps:bodyPr>
                      </wps:wsp>
                      <wps:wsp>
                        <wps:cNvPr id="591" name="Graphic 591"/>
                        <wps:cNvSpPr/>
                        <wps:spPr>
                          <a:xfrm>
                            <a:off x="583178" y="1832343"/>
                            <a:ext cx="133985" cy="628650"/>
                          </a:xfrm>
                          <a:custGeom>
                            <a:avLst/>
                            <a:gdLst/>
                            <a:ahLst/>
                            <a:cxnLst/>
                            <a:rect l="l" t="t" r="r" b="b"/>
                            <a:pathLst>
                              <a:path w="133985" h="628650">
                                <a:moveTo>
                                  <a:pt x="133756" y="0"/>
                                </a:moveTo>
                                <a:lnTo>
                                  <a:pt x="0" y="0"/>
                                </a:lnTo>
                                <a:lnTo>
                                  <a:pt x="0" y="628370"/>
                                </a:lnTo>
                                <a:lnTo>
                                  <a:pt x="133756" y="628370"/>
                                </a:lnTo>
                                <a:lnTo>
                                  <a:pt x="133756" y="0"/>
                                </a:lnTo>
                                <a:close/>
                              </a:path>
                            </a:pathLst>
                          </a:custGeom>
                          <a:solidFill>
                            <a:srgbClr val="87666D"/>
                          </a:solidFill>
                        </wps:spPr>
                        <wps:bodyPr wrap="square" lIns="0" tIns="0" rIns="0" bIns="0" rtlCol="0">
                          <a:prstTxWarp prst="textNoShape">
                            <a:avLst/>
                          </a:prstTxWarp>
                          <a:noAutofit/>
                        </wps:bodyPr>
                      </wps:wsp>
                      <wps:wsp>
                        <wps:cNvPr id="592" name="Graphic 592"/>
                        <wps:cNvSpPr/>
                        <wps:spPr>
                          <a:xfrm>
                            <a:off x="716935" y="1832343"/>
                            <a:ext cx="133985" cy="628650"/>
                          </a:xfrm>
                          <a:custGeom>
                            <a:avLst/>
                            <a:gdLst/>
                            <a:ahLst/>
                            <a:cxnLst/>
                            <a:rect l="l" t="t" r="r" b="b"/>
                            <a:pathLst>
                              <a:path w="133985" h="628650">
                                <a:moveTo>
                                  <a:pt x="133921" y="0"/>
                                </a:moveTo>
                                <a:lnTo>
                                  <a:pt x="0" y="0"/>
                                </a:lnTo>
                                <a:lnTo>
                                  <a:pt x="0" y="628370"/>
                                </a:lnTo>
                                <a:lnTo>
                                  <a:pt x="133921" y="628370"/>
                                </a:lnTo>
                                <a:lnTo>
                                  <a:pt x="133921" y="0"/>
                                </a:lnTo>
                                <a:close/>
                              </a:path>
                            </a:pathLst>
                          </a:custGeom>
                          <a:solidFill>
                            <a:srgbClr val="9CC0EA"/>
                          </a:solidFill>
                        </wps:spPr>
                        <wps:bodyPr wrap="square" lIns="0" tIns="0" rIns="0" bIns="0" rtlCol="0">
                          <a:prstTxWarp prst="textNoShape">
                            <a:avLst/>
                          </a:prstTxWarp>
                          <a:noAutofit/>
                        </wps:bodyPr>
                      </wps:wsp>
                      <wps:wsp>
                        <wps:cNvPr id="593" name="Graphic 593"/>
                        <wps:cNvSpPr/>
                        <wps:spPr>
                          <a:xfrm>
                            <a:off x="850856" y="1877326"/>
                            <a:ext cx="133985" cy="583565"/>
                          </a:xfrm>
                          <a:custGeom>
                            <a:avLst/>
                            <a:gdLst/>
                            <a:ahLst/>
                            <a:cxnLst/>
                            <a:rect l="l" t="t" r="r" b="b"/>
                            <a:pathLst>
                              <a:path w="133985" h="583565">
                                <a:moveTo>
                                  <a:pt x="133921" y="0"/>
                                </a:moveTo>
                                <a:lnTo>
                                  <a:pt x="0" y="0"/>
                                </a:lnTo>
                                <a:lnTo>
                                  <a:pt x="0" y="583399"/>
                                </a:lnTo>
                                <a:lnTo>
                                  <a:pt x="133921" y="583399"/>
                                </a:lnTo>
                                <a:lnTo>
                                  <a:pt x="133921" y="0"/>
                                </a:lnTo>
                                <a:close/>
                              </a:path>
                            </a:pathLst>
                          </a:custGeom>
                          <a:solidFill>
                            <a:srgbClr val="691C32"/>
                          </a:solidFill>
                        </wps:spPr>
                        <wps:bodyPr wrap="square" lIns="0" tIns="0" rIns="0" bIns="0" rtlCol="0">
                          <a:prstTxWarp prst="textNoShape">
                            <a:avLst/>
                          </a:prstTxWarp>
                          <a:noAutofit/>
                        </wps:bodyPr>
                      </wps:wsp>
                      <wps:wsp>
                        <wps:cNvPr id="594" name="Graphic 594"/>
                        <wps:cNvSpPr/>
                        <wps:spPr>
                          <a:xfrm>
                            <a:off x="984765" y="1742630"/>
                            <a:ext cx="133985" cy="718185"/>
                          </a:xfrm>
                          <a:custGeom>
                            <a:avLst/>
                            <a:gdLst/>
                            <a:ahLst/>
                            <a:cxnLst/>
                            <a:rect l="l" t="t" r="r" b="b"/>
                            <a:pathLst>
                              <a:path w="133985" h="718185">
                                <a:moveTo>
                                  <a:pt x="133921" y="0"/>
                                </a:moveTo>
                                <a:lnTo>
                                  <a:pt x="0" y="0"/>
                                </a:lnTo>
                                <a:lnTo>
                                  <a:pt x="0" y="718096"/>
                                </a:lnTo>
                                <a:lnTo>
                                  <a:pt x="133921" y="718096"/>
                                </a:lnTo>
                                <a:lnTo>
                                  <a:pt x="133921" y="0"/>
                                </a:lnTo>
                                <a:close/>
                              </a:path>
                            </a:pathLst>
                          </a:custGeom>
                          <a:solidFill>
                            <a:srgbClr val="BCBEC0"/>
                          </a:solidFill>
                        </wps:spPr>
                        <wps:bodyPr wrap="square" lIns="0" tIns="0" rIns="0" bIns="0" rtlCol="0">
                          <a:prstTxWarp prst="textNoShape">
                            <a:avLst/>
                          </a:prstTxWarp>
                          <a:noAutofit/>
                        </wps:bodyPr>
                      </wps:wsp>
                      <wps:wsp>
                        <wps:cNvPr id="595" name="Graphic 595"/>
                        <wps:cNvSpPr/>
                        <wps:spPr>
                          <a:xfrm>
                            <a:off x="1208514" y="1787499"/>
                            <a:ext cx="133985" cy="673735"/>
                          </a:xfrm>
                          <a:custGeom>
                            <a:avLst/>
                            <a:gdLst/>
                            <a:ahLst/>
                            <a:cxnLst/>
                            <a:rect l="l" t="t" r="r" b="b"/>
                            <a:pathLst>
                              <a:path w="133985" h="673735">
                                <a:moveTo>
                                  <a:pt x="133921" y="0"/>
                                </a:moveTo>
                                <a:lnTo>
                                  <a:pt x="0" y="0"/>
                                </a:lnTo>
                                <a:lnTo>
                                  <a:pt x="0" y="673239"/>
                                </a:lnTo>
                                <a:lnTo>
                                  <a:pt x="133921" y="673239"/>
                                </a:lnTo>
                                <a:lnTo>
                                  <a:pt x="133921" y="0"/>
                                </a:lnTo>
                                <a:close/>
                              </a:path>
                            </a:pathLst>
                          </a:custGeom>
                          <a:solidFill>
                            <a:srgbClr val="008FDD"/>
                          </a:solidFill>
                        </wps:spPr>
                        <wps:bodyPr wrap="square" lIns="0" tIns="0" rIns="0" bIns="0" rtlCol="0">
                          <a:prstTxWarp prst="textNoShape">
                            <a:avLst/>
                          </a:prstTxWarp>
                          <a:noAutofit/>
                        </wps:bodyPr>
                      </wps:wsp>
                      <wps:wsp>
                        <wps:cNvPr id="596" name="Graphic 596"/>
                        <wps:cNvSpPr/>
                        <wps:spPr>
                          <a:xfrm>
                            <a:off x="1342435" y="1832343"/>
                            <a:ext cx="133985" cy="628650"/>
                          </a:xfrm>
                          <a:custGeom>
                            <a:avLst/>
                            <a:gdLst/>
                            <a:ahLst/>
                            <a:cxnLst/>
                            <a:rect l="l" t="t" r="r" b="b"/>
                            <a:pathLst>
                              <a:path w="133985" h="628650">
                                <a:moveTo>
                                  <a:pt x="133921" y="0"/>
                                </a:moveTo>
                                <a:lnTo>
                                  <a:pt x="0" y="0"/>
                                </a:lnTo>
                                <a:lnTo>
                                  <a:pt x="0" y="628370"/>
                                </a:lnTo>
                                <a:lnTo>
                                  <a:pt x="133921" y="628370"/>
                                </a:lnTo>
                                <a:lnTo>
                                  <a:pt x="133921" y="0"/>
                                </a:lnTo>
                                <a:close/>
                              </a:path>
                            </a:pathLst>
                          </a:custGeom>
                          <a:solidFill>
                            <a:srgbClr val="231F20"/>
                          </a:solidFill>
                        </wps:spPr>
                        <wps:bodyPr wrap="square" lIns="0" tIns="0" rIns="0" bIns="0" rtlCol="0">
                          <a:prstTxWarp prst="textNoShape">
                            <a:avLst/>
                          </a:prstTxWarp>
                          <a:noAutofit/>
                        </wps:bodyPr>
                      </wps:wsp>
                      <wps:wsp>
                        <wps:cNvPr id="597" name="Graphic 597"/>
                        <wps:cNvSpPr/>
                        <wps:spPr>
                          <a:xfrm>
                            <a:off x="1476344" y="1742630"/>
                            <a:ext cx="133985" cy="718185"/>
                          </a:xfrm>
                          <a:custGeom>
                            <a:avLst/>
                            <a:gdLst/>
                            <a:ahLst/>
                            <a:cxnLst/>
                            <a:rect l="l" t="t" r="r" b="b"/>
                            <a:pathLst>
                              <a:path w="133985" h="718185">
                                <a:moveTo>
                                  <a:pt x="133921" y="0"/>
                                </a:moveTo>
                                <a:lnTo>
                                  <a:pt x="0" y="0"/>
                                </a:lnTo>
                                <a:lnTo>
                                  <a:pt x="0" y="718096"/>
                                </a:lnTo>
                                <a:lnTo>
                                  <a:pt x="133921" y="718096"/>
                                </a:lnTo>
                                <a:lnTo>
                                  <a:pt x="133921" y="0"/>
                                </a:lnTo>
                                <a:close/>
                              </a:path>
                            </a:pathLst>
                          </a:custGeom>
                          <a:solidFill>
                            <a:srgbClr val="87666D"/>
                          </a:solidFill>
                        </wps:spPr>
                        <wps:bodyPr wrap="square" lIns="0" tIns="0" rIns="0" bIns="0" rtlCol="0">
                          <a:prstTxWarp prst="textNoShape">
                            <a:avLst/>
                          </a:prstTxWarp>
                          <a:noAutofit/>
                        </wps:bodyPr>
                      </wps:wsp>
                      <wps:wsp>
                        <wps:cNvPr id="598" name="Graphic 598"/>
                        <wps:cNvSpPr/>
                        <wps:spPr>
                          <a:xfrm>
                            <a:off x="1610253" y="1742630"/>
                            <a:ext cx="133985" cy="718185"/>
                          </a:xfrm>
                          <a:custGeom>
                            <a:avLst/>
                            <a:gdLst/>
                            <a:ahLst/>
                            <a:cxnLst/>
                            <a:rect l="l" t="t" r="r" b="b"/>
                            <a:pathLst>
                              <a:path w="133985" h="718185">
                                <a:moveTo>
                                  <a:pt x="133921" y="0"/>
                                </a:moveTo>
                                <a:lnTo>
                                  <a:pt x="0" y="0"/>
                                </a:lnTo>
                                <a:lnTo>
                                  <a:pt x="0" y="718096"/>
                                </a:lnTo>
                                <a:lnTo>
                                  <a:pt x="133921" y="718096"/>
                                </a:lnTo>
                                <a:lnTo>
                                  <a:pt x="133921" y="0"/>
                                </a:lnTo>
                                <a:close/>
                              </a:path>
                            </a:pathLst>
                          </a:custGeom>
                          <a:solidFill>
                            <a:srgbClr val="9CC0EA"/>
                          </a:solidFill>
                        </wps:spPr>
                        <wps:bodyPr wrap="square" lIns="0" tIns="0" rIns="0" bIns="0" rtlCol="0">
                          <a:prstTxWarp prst="textNoShape">
                            <a:avLst/>
                          </a:prstTxWarp>
                          <a:noAutofit/>
                        </wps:bodyPr>
                      </wps:wsp>
                      <wps:wsp>
                        <wps:cNvPr id="599" name="Graphic 599"/>
                        <wps:cNvSpPr/>
                        <wps:spPr>
                          <a:xfrm>
                            <a:off x="1744174" y="1742630"/>
                            <a:ext cx="133985" cy="718185"/>
                          </a:xfrm>
                          <a:custGeom>
                            <a:avLst/>
                            <a:gdLst/>
                            <a:ahLst/>
                            <a:cxnLst/>
                            <a:rect l="l" t="t" r="r" b="b"/>
                            <a:pathLst>
                              <a:path w="133985" h="718185">
                                <a:moveTo>
                                  <a:pt x="133756" y="0"/>
                                </a:moveTo>
                                <a:lnTo>
                                  <a:pt x="0" y="0"/>
                                </a:lnTo>
                                <a:lnTo>
                                  <a:pt x="0" y="718096"/>
                                </a:lnTo>
                                <a:lnTo>
                                  <a:pt x="133756" y="718096"/>
                                </a:lnTo>
                                <a:lnTo>
                                  <a:pt x="133756" y="0"/>
                                </a:lnTo>
                                <a:close/>
                              </a:path>
                            </a:pathLst>
                          </a:custGeom>
                          <a:solidFill>
                            <a:srgbClr val="691C32"/>
                          </a:solidFill>
                        </wps:spPr>
                        <wps:bodyPr wrap="square" lIns="0" tIns="0" rIns="0" bIns="0" rtlCol="0">
                          <a:prstTxWarp prst="textNoShape">
                            <a:avLst/>
                          </a:prstTxWarp>
                          <a:noAutofit/>
                        </wps:bodyPr>
                      </wps:wsp>
                      <wps:wsp>
                        <wps:cNvPr id="600" name="Graphic 600"/>
                        <wps:cNvSpPr/>
                        <wps:spPr>
                          <a:xfrm>
                            <a:off x="1877931" y="1563077"/>
                            <a:ext cx="133985" cy="897890"/>
                          </a:xfrm>
                          <a:custGeom>
                            <a:avLst/>
                            <a:gdLst/>
                            <a:ahLst/>
                            <a:cxnLst/>
                            <a:rect l="l" t="t" r="r" b="b"/>
                            <a:pathLst>
                              <a:path w="133985" h="897890">
                                <a:moveTo>
                                  <a:pt x="133921" y="0"/>
                                </a:moveTo>
                                <a:lnTo>
                                  <a:pt x="0" y="0"/>
                                </a:lnTo>
                                <a:lnTo>
                                  <a:pt x="0" y="897648"/>
                                </a:lnTo>
                                <a:lnTo>
                                  <a:pt x="133921" y="897648"/>
                                </a:lnTo>
                                <a:lnTo>
                                  <a:pt x="133921" y="0"/>
                                </a:lnTo>
                                <a:close/>
                              </a:path>
                            </a:pathLst>
                          </a:custGeom>
                          <a:solidFill>
                            <a:srgbClr val="BCBEC0"/>
                          </a:solidFill>
                        </wps:spPr>
                        <wps:bodyPr wrap="square" lIns="0" tIns="0" rIns="0" bIns="0" rtlCol="0">
                          <a:prstTxWarp prst="textNoShape">
                            <a:avLst/>
                          </a:prstTxWarp>
                          <a:noAutofit/>
                        </wps:bodyPr>
                      </wps:wsp>
                      <wps:wsp>
                        <wps:cNvPr id="601" name="Graphic 601"/>
                        <wps:cNvSpPr/>
                        <wps:spPr>
                          <a:xfrm>
                            <a:off x="2101667" y="1697774"/>
                            <a:ext cx="133985" cy="763270"/>
                          </a:xfrm>
                          <a:custGeom>
                            <a:avLst/>
                            <a:gdLst/>
                            <a:ahLst/>
                            <a:cxnLst/>
                            <a:rect l="l" t="t" r="r" b="b"/>
                            <a:pathLst>
                              <a:path w="133985" h="763270">
                                <a:moveTo>
                                  <a:pt x="133921" y="0"/>
                                </a:moveTo>
                                <a:lnTo>
                                  <a:pt x="0" y="0"/>
                                </a:lnTo>
                                <a:lnTo>
                                  <a:pt x="0" y="762952"/>
                                </a:lnTo>
                                <a:lnTo>
                                  <a:pt x="133921" y="762952"/>
                                </a:lnTo>
                                <a:lnTo>
                                  <a:pt x="133921" y="0"/>
                                </a:lnTo>
                                <a:close/>
                              </a:path>
                            </a:pathLst>
                          </a:custGeom>
                          <a:solidFill>
                            <a:srgbClr val="008FDD"/>
                          </a:solidFill>
                        </wps:spPr>
                        <wps:bodyPr wrap="square" lIns="0" tIns="0" rIns="0" bIns="0" rtlCol="0">
                          <a:prstTxWarp prst="textNoShape">
                            <a:avLst/>
                          </a:prstTxWarp>
                          <a:noAutofit/>
                        </wps:bodyPr>
                      </wps:wsp>
                      <wps:wsp>
                        <wps:cNvPr id="602" name="Graphic 602"/>
                        <wps:cNvSpPr/>
                        <wps:spPr>
                          <a:xfrm>
                            <a:off x="2235575" y="1652917"/>
                            <a:ext cx="133985" cy="808355"/>
                          </a:xfrm>
                          <a:custGeom>
                            <a:avLst/>
                            <a:gdLst/>
                            <a:ahLst/>
                            <a:cxnLst/>
                            <a:rect l="l" t="t" r="r" b="b"/>
                            <a:pathLst>
                              <a:path w="133985" h="808355">
                                <a:moveTo>
                                  <a:pt x="133921" y="0"/>
                                </a:moveTo>
                                <a:lnTo>
                                  <a:pt x="0" y="0"/>
                                </a:lnTo>
                                <a:lnTo>
                                  <a:pt x="0" y="807808"/>
                                </a:lnTo>
                                <a:lnTo>
                                  <a:pt x="133921" y="807808"/>
                                </a:lnTo>
                                <a:lnTo>
                                  <a:pt x="133921" y="0"/>
                                </a:lnTo>
                                <a:close/>
                              </a:path>
                            </a:pathLst>
                          </a:custGeom>
                          <a:solidFill>
                            <a:srgbClr val="231F20"/>
                          </a:solidFill>
                        </wps:spPr>
                        <wps:bodyPr wrap="square" lIns="0" tIns="0" rIns="0" bIns="0" rtlCol="0">
                          <a:prstTxWarp prst="textNoShape">
                            <a:avLst/>
                          </a:prstTxWarp>
                          <a:noAutofit/>
                        </wps:bodyPr>
                      </wps:wsp>
                      <wps:wsp>
                        <wps:cNvPr id="603" name="Graphic 603"/>
                        <wps:cNvSpPr/>
                        <wps:spPr>
                          <a:xfrm>
                            <a:off x="2369497" y="1563077"/>
                            <a:ext cx="133985" cy="897890"/>
                          </a:xfrm>
                          <a:custGeom>
                            <a:avLst/>
                            <a:gdLst/>
                            <a:ahLst/>
                            <a:cxnLst/>
                            <a:rect l="l" t="t" r="r" b="b"/>
                            <a:pathLst>
                              <a:path w="133985" h="897890">
                                <a:moveTo>
                                  <a:pt x="133921" y="0"/>
                                </a:moveTo>
                                <a:lnTo>
                                  <a:pt x="0" y="0"/>
                                </a:lnTo>
                                <a:lnTo>
                                  <a:pt x="0" y="897648"/>
                                </a:lnTo>
                                <a:lnTo>
                                  <a:pt x="133921" y="897648"/>
                                </a:lnTo>
                                <a:lnTo>
                                  <a:pt x="133921" y="0"/>
                                </a:lnTo>
                                <a:close/>
                              </a:path>
                            </a:pathLst>
                          </a:custGeom>
                          <a:solidFill>
                            <a:srgbClr val="87666D"/>
                          </a:solidFill>
                        </wps:spPr>
                        <wps:bodyPr wrap="square" lIns="0" tIns="0" rIns="0" bIns="0" rtlCol="0">
                          <a:prstTxWarp prst="textNoShape">
                            <a:avLst/>
                          </a:prstTxWarp>
                          <a:noAutofit/>
                        </wps:bodyPr>
                      </wps:wsp>
                      <wps:wsp>
                        <wps:cNvPr id="604" name="Graphic 604"/>
                        <wps:cNvSpPr/>
                        <wps:spPr>
                          <a:xfrm>
                            <a:off x="2503418" y="1563077"/>
                            <a:ext cx="133985" cy="897890"/>
                          </a:xfrm>
                          <a:custGeom>
                            <a:avLst/>
                            <a:gdLst/>
                            <a:ahLst/>
                            <a:cxnLst/>
                            <a:rect l="l" t="t" r="r" b="b"/>
                            <a:pathLst>
                              <a:path w="133985" h="897890">
                                <a:moveTo>
                                  <a:pt x="133921" y="0"/>
                                </a:moveTo>
                                <a:lnTo>
                                  <a:pt x="0" y="0"/>
                                </a:lnTo>
                                <a:lnTo>
                                  <a:pt x="0" y="897648"/>
                                </a:lnTo>
                                <a:lnTo>
                                  <a:pt x="133921" y="897648"/>
                                </a:lnTo>
                                <a:lnTo>
                                  <a:pt x="133921" y="0"/>
                                </a:lnTo>
                                <a:close/>
                              </a:path>
                            </a:pathLst>
                          </a:custGeom>
                          <a:solidFill>
                            <a:srgbClr val="9CC0EA"/>
                          </a:solidFill>
                        </wps:spPr>
                        <wps:bodyPr wrap="square" lIns="0" tIns="0" rIns="0" bIns="0" rtlCol="0">
                          <a:prstTxWarp prst="textNoShape">
                            <a:avLst/>
                          </a:prstTxWarp>
                          <a:noAutofit/>
                        </wps:bodyPr>
                      </wps:wsp>
                      <wps:wsp>
                        <wps:cNvPr id="605" name="Graphic 605"/>
                        <wps:cNvSpPr/>
                        <wps:spPr>
                          <a:xfrm>
                            <a:off x="2637340" y="1518221"/>
                            <a:ext cx="133985" cy="942975"/>
                          </a:xfrm>
                          <a:custGeom>
                            <a:avLst/>
                            <a:gdLst/>
                            <a:ahLst/>
                            <a:cxnLst/>
                            <a:rect l="l" t="t" r="r" b="b"/>
                            <a:pathLst>
                              <a:path w="133985" h="942975">
                                <a:moveTo>
                                  <a:pt x="133921" y="0"/>
                                </a:moveTo>
                                <a:lnTo>
                                  <a:pt x="0" y="0"/>
                                </a:lnTo>
                                <a:lnTo>
                                  <a:pt x="0" y="942505"/>
                                </a:lnTo>
                                <a:lnTo>
                                  <a:pt x="133921" y="942505"/>
                                </a:lnTo>
                                <a:lnTo>
                                  <a:pt x="133921" y="0"/>
                                </a:lnTo>
                                <a:close/>
                              </a:path>
                            </a:pathLst>
                          </a:custGeom>
                          <a:solidFill>
                            <a:srgbClr val="691C32"/>
                          </a:solidFill>
                        </wps:spPr>
                        <wps:bodyPr wrap="square" lIns="0" tIns="0" rIns="0" bIns="0" rtlCol="0">
                          <a:prstTxWarp prst="textNoShape">
                            <a:avLst/>
                          </a:prstTxWarp>
                          <a:noAutofit/>
                        </wps:bodyPr>
                      </wps:wsp>
                      <wps:wsp>
                        <wps:cNvPr id="606" name="Graphic 606"/>
                        <wps:cNvSpPr/>
                        <wps:spPr>
                          <a:xfrm>
                            <a:off x="2771249" y="1428508"/>
                            <a:ext cx="133985" cy="1032510"/>
                          </a:xfrm>
                          <a:custGeom>
                            <a:avLst/>
                            <a:gdLst/>
                            <a:ahLst/>
                            <a:cxnLst/>
                            <a:rect l="l" t="t" r="r" b="b"/>
                            <a:pathLst>
                              <a:path w="133985" h="1032510">
                                <a:moveTo>
                                  <a:pt x="133921" y="0"/>
                                </a:moveTo>
                                <a:lnTo>
                                  <a:pt x="0" y="0"/>
                                </a:lnTo>
                                <a:lnTo>
                                  <a:pt x="0" y="1032217"/>
                                </a:lnTo>
                                <a:lnTo>
                                  <a:pt x="133921" y="1032217"/>
                                </a:lnTo>
                                <a:lnTo>
                                  <a:pt x="133921" y="0"/>
                                </a:lnTo>
                                <a:close/>
                              </a:path>
                            </a:pathLst>
                          </a:custGeom>
                          <a:solidFill>
                            <a:srgbClr val="BCBEC0"/>
                          </a:solidFill>
                        </wps:spPr>
                        <wps:bodyPr wrap="square" lIns="0" tIns="0" rIns="0" bIns="0" rtlCol="0">
                          <a:prstTxWarp prst="textNoShape">
                            <a:avLst/>
                          </a:prstTxWarp>
                          <a:noAutofit/>
                        </wps:bodyPr>
                      </wps:wsp>
                      <wps:wsp>
                        <wps:cNvPr id="607" name="Graphic 607"/>
                        <wps:cNvSpPr/>
                        <wps:spPr>
                          <a:xfrm>
                            <a:off x="2994820" y="1473365"/>
                            <a:ext cx="133985" cy="987425"/>
                          </a:xfrm>
                          <a:custGeom>
                            <a:avLst/>
                            <a:gdLst/>
                            <a:ahLst/>
                            <a:cxnLst/>
                            <a:rect l="l" t="t" r="r" b="b"/>
                            <a:pathLst>
                              <a:path w="133985" h="987425">
                                <a:moveTo>
                                  <a:pt x="133921" y="0"/>
                                </a:moveTo>
                                <a:lnTo>
                                  <a:pt x="0" y="0"/>
                                </a:lnTo>
                                <a:lnTo>
                                  <a:pt x="0" y="987374"/>
                                </a:lnTo>
                                <a:lnTo>
                                  <a:pt x="133921" y="987374"/>
                                </a:lnTo>
                                <a:lnTo>
                                  <a:pt x="133921" y="0"/>
                                </a:lnTo>
                                <a:close/>
                              </a:path>
                            </a:pathLst>
                          </a:custGeom>
                          <a:solidFill>
                            <a:srgbClr val="008FDD"/>
                          </a:solidFill>
                        </wps:spPr>
                        <wps:bodyPr wrap="square" lIns="0" tIns="0" rIns="0" bIns="0" rtlCol="0">
                          <a:prstTxWarp prst="textNoShape">
                            <a:avLst/>
                          </a:prstTxWarp>
                          <a:noAutofit/>
                        </wps:bodyPr>
                      </wps:wsp>
                      <wps:wsp>
                        <wps:cNvPr id="608" name="Graphic 608"/>
                        <wps:cNvSpPr/>
                        <wps:spPr>
                          <a:xfrm>
                            <a:off x="3128741" y="1338668"/>
                            <a:ext cx="133985" cy="1122680"/>
                          </a:xfrm>
                          <a:custGeom>
                            <a:avLst/>
                            <a:gdLst/>
                            <a:ahLst/>
                            <a:cxnLst/>
                            <a:rect l="l" t="t" r="r" b="b"/>
                            <a:pathLst>
                              <a:path w="133985" h="1122680">
                                <a:moveTo>
                                  <a:pt x="133921" y="0"/>
                                </a:moveTo>
                                <a:lnTo>
                                  <a:pt x="0" y="0"/>
                                </a:lnTo>
                                <a:lnTo>
                                  <a:pt x="0" y="1122057"/>
                                </a:lnTo>
                                <a:lnTo>
                                  <a:pt x="133921" y="1122057"/>
                                </a:lnTo>
                                <a:lnTo>
                                  <a:pt x="133921" y="0"/>
                                </a:lnTo>
                                <a:close/>
                              </a:path>
                            </a:pathLst>
                          </a:custGeom>
                          <a:solidFill>
                            <a:srgbClr val="231F20"/>
                          </a:solidFill>
                        </wps:spPr>
                        <wps:bodyPr wrap="square" lIns="0" tIns="0" rIns="0" bIns="0" rtlCol="0">
                          <a:prstTxWarp prst="textNoShape">
                            <a:avLst/>
                          </a:prstTxWarp>
                          <a:noAutofit/>
                        </wps:bodyPr>
                      </wps:wsp>
                      <wps:wsp>
                        <wps:cNvPr id="609" name="Graphic 609"/>
                        <wps:cNvSpPr/>
                        <wps:spPr>
                          <a:xfrm>
                            <a:off x="3262662" y="1428508"/>
                            <a:ext cx="133985" cy="1032510"/>
                          </a:xfrm>
                          <a:custGeom>
                            <a:avLst/>
                            <a:gdLst/>
                            <a:ahLst/>
                            <a:cxnLst/>
                            <a:rect l="l" t="t" r="r" b="b"/>
                            <a:pathLst>
                              <a:path w="133985" h="1032510">
                                <a:moveTo>
                                  <a:pt x="133921" y="0"/>
                                </a:moveTo>
                                <a:lnTo>
                                  <a:pt x="0" y="0"/>
                                </a:lnTo>
                                <a:lnTo>
                                  <a:pt x="0" y="1032217"/>
                                </a:lnTo>
                                <a:lnTo>
                                  <a:pt x="133921" y="1032217"/>
                                </a:lnTo>
                                <a:lnTo>
                                  <a:pt x="133921" y="0"/>
                                </a:lnTo>
                                <a:close/>
                              </a:path>
                            </a:pathLst>
                          </a:custGeom>
                          <a:solidFill>
                            <a:srgbClr val="87666D"/>
                          </a:solidFill>
                        </wps:spPr>
                        <wps:bodyPr wrap="square" lIns="0" tIns="0" rIns="0" bIns="0" rtlCol="0">
                          <a:prstTxWarp prst="textNoShape">
                            <a:avLst/>
                          </a:prstTxWarp>
                          <a:noAutofit/>
                        </wps:bodyPr>
                      </wps:wsp>
                      <wps:wsp>
                        <wps:cNvPr id="610" name="Graphic 610"/>
                        <wps:cNvSpPr/>
                        <wps:spPr>
                          <a:xfrm>
                            <a:off x="3396584" y="1338668"/>
                            <a:ext cx="133985" cy="1122680"/>
                          </a:xfrm>
                          <a:custGeom>
                            <a:avLst/>
                            <a:gdLst/>
                            <a:ahLst/>
                            <a:cxnLst/>
                            <a:rect l="l" t="t" r="r" b="b"/>
                            <a:pathLst>
                              <a:path w="133985" h="1122680">
                                <a:moveTo>
                                  <a:pt x="133921" y="0"/>
                                </a:moveTo>
                                <a:lnTo>
                                  <a:pt x="0" y="0"/>
                                </a:lnTo>
                                <a:lnTo>
                                  <a:pt x="0" y="1122057"/>
                                </a:lnTo>
                                <a:lnTo>
                                  <a:pt x="133921" y="1122057"/>
                                </a:lnTo>
                                <a:lnTo>
                                  <a:pt x="133921" y="0"/>
                                </a:lnTo>
                                <a:close/>
                              </a:path>
                            </a:pathLst>
                          </a:custGeom>
                          <a:solidFill>
                            <a:srgbClr val="9CC0EA"/>
                          </a:solidFill>
                        </wps:spPr>
                        <wps:bodyPr wrap="square" lIns="0" tIns="0" rIns="0" bIns="0" rtlCol="0">
                          <a:prstTxWarp prst="textNoShape">
                            <a:avLst/>
                          </a:prstTxWarp>
                          <a:noAutofit/>
                        </wps:bodyPr>
                      </wps:wsp>
                      <wps:wsp>
                        <wps:cNvPr id="611" name="Graphic 611"/>
                        <wps:cNvSpPr/>
                        <wps:spPr>
                          <a:xfrm>
                            <a:off x="3530506" y="1338668"/>
                            <a:ext cx="133985" cy="1122680"/>
                          </a:xfrm>
                          <a:custGeom>
                            <a:avLst/>
                            <a:gdLst/>
                            <a:ahLst/>
                            <a:cxnLst/>
                            <a:rect l="l" t="t" r="r" b="b"/>
                            <a:pathLst>
                              <a:path w="133985" h="1122680">
                                <a:moveTo>
                                  <a:pt x="133921" y="0"/>
                                </a:moveTo>
                                <a:lnTo>
                                  <a:pt x="0" y="0"/>
                                </a:lnTo>
                                <a:lnTo>
                                  <a:pt x="0" y="1122057"/>
                                </a:lnTo>
                                <a:lnTo>
                                  <a:pt x="133921" y="1122057"/>
                                </a:lnTo>
                                <a:lnTo>
                                  <a:pt x="133921" y="0"/>
                                </a:lnTo>
                                <a:close/>
                              </a:path>
                            </a:pathLst>
                          </a:custGeom>
                          <a:solidFill>
                            <a:srgbClr val="691C32"/>
                          </a:solidFill>
                        </wps:spPr>
                        <wps:bodyPr wrap="square" lIns="0" tIns="0" rIns="0" bIns="0" rtlCol="0">
                          <a:prstTxWarp prst="textNoShape">
                            <a:avLst/>
                          </a:prstTxWarp>
                          <a:noAutofit/>
                        </wps:bodyPr>
                      </wps:wsp>
                      <wps:wsp>
                        <wps:cNvPr id="612" name="Graphic 612"/>
                        <wps:cNvSpPr/>
                        <wps:spPr>
                          <a:xfrm>
                            <a:off x="3664414" y="1293812"/>
                            <a:ext cx="133985" cy="1167130"/>
                          </a:xfrm>
                          <a:custGeom>
                            <a:avLst/>
                            <a:gdLst/>
                            <a:ahLst/>
                            <a:cxnLst/>
                            <a:rect l="l" t="t" r="r" b="b"/>
                            <a:pathLst>
                              <a:path w="133985" h="1167130">
                                <a:moveTo>
                                  <a:pt x="133921" y="0"/>
                                </a:moveTo>
                                <a:lnTo>
                                  <a:pt x="0" y="0"/>
                                </a:lnTo>
                                <a:lnTo>
                                  <a:pt x="0" y="1166926"/>
                                </a:lnTo>
                                <a:lnTo>
                                  <a:pt x="133921" y="1166926"/>
                                </a:lnTo>
                                <a:lnTo>
                                  <a:pt x="133921" y="0"/>
                                </a:lnTo>
                                <a:close/>
                              </a:path>
                            </a:pathLst>
                          </a:custGeom>
                          <a:solidFill>
                            <a:srgbClr val="BCBEC0"/>
                          </a:solidFill>
                        </wps:spPr>
                        <wps:bodyPr wrap="square" lIns="0" tIns="0" rIns="0" bIns="0" rtlCol="0">
                          <a:prstTxWarp prst="textNoShape">
                            <a:avLst/>
                          </a:prstTxWarp>
                          <a:noAutofit/>
                        </wps:bodyPr>
                      </wps:wsp>
                      <wps:wsp>
                        <wps:cNvPr id="613" name="Graphic 613"/>
                        <wps:cNvSpPr/>
                        <wps:spPr>
                          <a:xfrm>
                            <a:off x="3887985" y="1204086"/>
                            <a:ext cx="133985" cy="1256665"/>
                          </a:xfrm>
                          <a:custGeom>
                            <a:avLst/>
                            <a:gdLst/>
                            <a:ahLst/>
                            <a:cxnLst/>
                            <a:rect l="l" t="t" r="r" b="b"/>
                            <a:pathLst>
                              <a:path w="133985" h="1256665">
                                <a:moveTo>
                                  <a:pt x="133921" y="0"/>
                                </a:moveTo>
                                <a:lnTo>
                                  <a:pt x="0" y="0"/>
                                </a:lnTo>
                                <a:lnTo>
                                  <a:pt x="0" y="1256639"/>
                                </a:lnTo>
                                <a:lnTo>
                                  <a:pt x="133921" y="1256639"/>
                                </a:lnTo>
                                <a:lnTo>
                                  <a:pt x="133921" y="0"/>
                                </a:lnTo>
                                <a:close/>
                              </a:path>
                            </a:pathLst>
                          </a:custGeom>
                          <a:solidFill>
                            <a:srgbClr val="008FDD"/>
                          </a:solidFill>
                        </wps:spPr>
                        <wps:bodyPr wrap="square" lIns="0" tIns="0" rIns="0" bIns="0" rtlCol="0">
                          <a:prstTxWarp prst="textNoShape">
                            <a:avLst/>
                          </a:prstTxWarp>
                          <a:noAutofit/>
                        </wps:bodyPr>
                      </wps:wsp>
                      <wps:wsp>
                        <wps:cNvPr id="614" name="Graphic 614"/>
                        <wps:cNvSpPr/>
                        <wps:spPr>
                          <a:xfrm>
                            <a:off x="4021907" y="1114259"/>
                            <a:ext cx="133985" cy="1346835"/>
                          </a:xfrm>
                          <a:custGeom>
                            <a:avLst/>
                            <a:gdLst/>
                            <a:ahLst/>
                            <a:cxnLst/>
                            <a:rect l="l" t="t" r="r" b="b"/>
                            <a:pathLst>
                              <a:path w="133985" h="1346835">
                                <a:moveTo>
                                  <a:pt x="133921" y="0"/>
                                </a:moveTo>
                                <a:lnTo>
                                  <a:pt x="0" y="0"/>
                                </a:lnTo>
                                <a:lnTo>
                                  <a:pt x="0" y="1346479"/>
                                </a:lnTo>
                                <a:lnTo>
                                  <a:pt x="133921" y="1346479"/>
                                </a:lnTo>
                                <a:lnTo>
                                  <a:pt x="133921" y="0"/>
                                </a:lnTo>
                                <a:close/>
                              </a:path>
                            </a:pathLst>
                          </a:custGeom>
                          <a:solidFill>
                            <a:srgbClr val="231F20"/>
                          </a:solidFill>
                        </wps:spPr>
                        <wps:bodyPr wrap="square" lIns="0" tIns="0" rIns="0" bIns="0" rtlCol="0">
                          <a:prstTxWarp prst="textNoShape">
                            <a:avLst/>
                          </a:prstTxWarp>
                          <a:noAutofit/>
                        </wps:bodyPr>
                      </wps:wsp>
                      <wps:wsp>
                        <wps:cNvPr id="615" name="Graphic 615"/>
                        <wps:cNvSpPr/>
                        <wps:spPr>
                          <a:xfrm>
                            <a:off x="4155828" y="1293812"/>
                            <a:ext cx="133985" cy="1167130"/>
                          </a:xfrm>
                          <a:custGeom>
                            <a:avLst/>
                            <a:gdLst/>
                            <a:ahLst/>
                            <a:cxnLst/>
                            <a:rect l="l" t="t" r="r" b="b"/>
                            <a:pathLst>
                              <a:path w="133985" h="1167130">
                                <a:moveTo>
                                  <a:pt x="133921" y="0"/>
                                </a:moveTo>
                                <a:lnTo>
                                  <a:pt x="0" y="0"/>
                                </a:lnTo>
                                <a:lnTo>
                                  <a:pt x="0" y="1166926"/>
                                </a:lnTo>
                                <a:lnTo>
                                  <a:pt x="133921" y="1166926"/>
                                </a:lnTo>
                                <a:lnTo>
                                  <a:pt x="133921" y="0"/>
                                </a:lnTo>
                                <a:close/>
                              </a:path>
                            </a:pathLst>
                          </a:custGeom>
                          <a:solidFill>
                            <a:srgbClr val="87666D"/>
                          </a:solidFill>
                        </wps:spPr>
                        <wps:bodyPr wrap="square" lIns="0" tIns="0" rIns="0" bIns="0" rtlCol="0">
                          <a:prstTxWarp prst="textNoShape">
                            <a:avLst/>
                          </a:prstTxWarp>
                          <a:noAutofit/>
                        </wps:bodyPr>
                      </wps:wsp>
                      <wps:wsp>
                        <wps:cNvPr id="616" name="Graphic 616"/>
                        <wps:cNvSpPr/>
                        <wps:spPr>
                          <a:xfrm>
                            <a:off x="4289750" y="1114259"/>
                            <a:ext cx="133985" cy="1346835"/>
                          </a:xfrm>
                          <a:custGeom>
                            <a:avLst/>
                            <a:gdLst/>
                            <a:ahLst/>
                            <a:cxnLst/>
                            <a:rect l="l" t="t" r="r" b="b"/>
                            <a:pathLst>
                              <a:path w="133985" h="1346835">
                                <a:moveTo>
                                  <a:pt x="133921" y="0"/>
                                </a:moveTo>
                                <a:lnTo>
                                  <a:pt x="0" y="0"/>
                                </a:lnTo>
                                <a:lnTo>
                                  <a:pt x="0" y="1346479"/>
                                </a:lnTo>
                                <a:lnTo>
                                  <a:pt x="133921" y="1346479"/>
                                </a:lnTo>
                                <a:lnTo>
                                  <a:pt x="133921" y="0"/>
                                </a:lnTo>
                                <a:close/>
                              </a:path>
                            </a:pathLst>
                          </a:custGeom>
                          <a:solidFill>
                            <a:srgbClr val="9CC0EA"/>
                          </a:solidFill>
                        </wps:spPr>
                        <wps:bodyPr wrap="square" lIns="0" tIns="0" rIns="0" bIns="0" rtlCol="0">
                          <a:prstTxWarp prst="textNoShape">
                            <a:avLst/>
                          </a:prstTxWarp>
                          <a:noAutofit/>
                        </wps:bodyPr>
                      </wps:wsp>
                      <wps:wsp>
                        <wps:cNvPr id="617" name="Graphic 617"/>
                        <wps:cNvSpPr/>
                        <wps:spPr>
                          <a:xfrm>
                            <a:off x="4423659" y="1069390"/>
                            <a:ext cx="133985" cy="1391920"/>
                          </a:xfrm>
                          <a:custGeom>
                            <a:avLst/>
                            <a:gdLst/>
                            <a:ahLst/>
                            <a:cxnLst/>
                            <a:rect l="l" t="t" r="r" b="b"/>
                            <a:pathLst>
                              <a:path w="133985" h="1391920">
                                <a:moveTo>
                                  <a:pt x="133921" y="0"/>
                                </a:moveTo>
                                <a:lnTo>
                                  <a:pt x="0" y="0"/>
                                </a:lnTo>
                                <a:lnTo>
                                  <a:pt x="0" y="1391323"/>
                                </a:lnTo>
                                <a:lnTo>
                                  <a:pt x="133921" y="1391323"/>
                                </a:lnTo>
                                <a:lnTo>
                                  <a:pt x="133921" y="0"/>
                                </a:lnTo>
                                <a:close/>
                              </a:path>
                            </a:pathLst>
                          </a:custGeom>
                          <a:solidFill>
                            <a:srgbClr val="691C32"/>
                          </a:solidFill>
                        </wps:spPr>
                        <wps:bodyPr wrap="square" lIns="0" tIns="0" rIns="0" bIns="0" rtlCol="0">
                          <a:prstTxWarp prst="textNoShape">
                            <a:avLst/>
                          </a:prstTxWarp>
                          <a:noAutofit/>
                        </wps:bodyPr>
                      </wps:wsp>
                      <wps:wsp>
                        <wps:cNvPr id="618" name="Graphic 618"/>
                        <wps:cNvSpPr/>
                        <wps:spPr>
                          <a:xfrm>
                            <a:off x="4557580" y="1114259"/>
                            <a:ext cx="133985" cy="1346835"/>
                          </a:xfrm>
                          <a:custGeom>
                            <a:avLst/>
                            <a:gdLst/>
                            <a:ahLst/>
                            <a:cxnLst/>
                            <a:rect l="l" t="t" r="r" b="b"/>
                            <a:pathLst>
                              <a:path w="133985" h="1346835">
                                <a:moveTo>
                                  <a:pt x="133921" y="0"/>
                                </a:moveTo>
                                <a:lnTo>
                                  <a:pt x="0" y="0"/>
                                </a:lnTo>
                                <a:lnTo>
                                  <a:pt x="0" y="1346479"/>
                                </a:lnTo>
                                <a:lnTo>
                                  <a:pt x="133921" y="1346479"/>
                                </a:lnTo>
                                <a:lnTo>
                                  <a:pt x="133921" y="0"/>
                                </a:lnTo>
                                <a:close/>
                              </a:path>
                            </a:pathLst>
                          </a:custGeom>
                          <a:solidFill>
                            <a:srgbClr val="BCBEC0"/>
                          </a:solidFill>
                        </wps:spPr>
                        <wps:bodyPr wrap="square" lIns="0" tIns="0" rIns="0" bIns="0" rtlCol="0">
                          <a:prstTxWarp prst="textNoShape">
                            <a:avLst/>
                          </a:prstTxWarp>
                          <a:noAutofit/>
                        </wps:bodyPr>
                      </wps:wsp>
                      <wps:wsp>
                        <wps:cNvPr id="619" name="Graphic 619"/>
                        <wps:cNvSpPr/>
                        <wps:spPr>
                          <a:xfrm>
                            <a:off x="273893" y="2460724"/>
                            <a:ext cx="4415790" cy="1270"/>
                          </a:xfrm>
                          <a:custGeom>
                            <a:avLst/>
                            <a:gdLst/>
                            <a:ahLst/>
                            <a:cxnLst/>
                            <a:rect l="l" t="t" r="r" b="b"/>
                            <a:pathLst>
                              <a:path w="4415790" h="0">
                                <a:moveTo>
                                  <a:pt x="0" y="0"/>
                                </a:moveTo>
                                <a:lnTo>
                                  <a:pt x="4415764" y="0"/>
                                </a:lnTo>
                              </a:path>
                            </a:pathLst>
                          </a:custGeom>
                          <a:ln w="6350">
                            <a:solidFill>
                              <a:srgbClr val="FFFFFF"/>
                            </a:solidFill>
                            <a:prstDash val="solid"/>
                          </a:ln>
                        </wps:spPr>
                        <wps:bodyPr wrap="square" lIns="0" tIns="0" rIns="0" bIns="0" rtlCol="0">
                          <a:prstTxWarp prst="textNoShape">
                            <a:avLst/>
                          </a:prstTxWarp>
                          <a:noAutofit/>
                        </wps:bodyPr>
                      </wps:wsp>
                      <wps:wsp>
                        <wps:cNvPr id="620" name="Textbox 620"/>
                        <wps:cNvSpPr txBox="1"/>
                        <wps:spPr>
                          <a:xfrm>
                            <a:off x="76380" y="66855"/>
                            <a:ext cx="3148330" cy="393700"/>
                          </a:xfrm>
                          <a:prstGeom prst="rect">
                            <a:avLst/>
                          </a:prstGeom>
                        </wps:spPr>
                        <wps:txbx>
                          <w:txbxContent>
                            <w:p>
                              <w:pPr>
                                <w:spacing w:before="3"/>
                                <w:ind w:left="0" w:right="0" w:firstLine="0"/>
                                <w:jc w:val="left"/>
                                <w:rPr>
                                  <w:rFonts w:ascii="Arial"/>
                                  <w:b/>
                                  <w:sz w:val="16"/>
                                </w:rPr>
                              </w:pPr>
                              <w:r>
                                <w:rPr>
                                  <w:rFonts w:ascii="Arial"/>
                                  <w:color w:val="FFFFFF"/>
                                  <w:sz w:val="16"/>
                                </w:rPr>
                                <w:t>Figure</w:t>
                              </w:r>
                              <w:r>
                                <w:rPr>
                                  <w:rFonts w:ascii="Arial"/>
                                  <w:color w:val="FFFFFF"/>
                                  <w:spacing w:val="5"/>
                                  <w:sz w:val="16"/>
                                </w:rPr>
                                <w:t> </w:t>
                              </w:r>
                              <w:r>
                                <w:rPr>
                                  <w:rFonts w:ascii="Arial"/>
                                  <w:b/>
                                  <w:color w:val="FFFFFF"/>
                                  <w:sz w:val="16"/>
                                </w:rPr>
                                <w:t>2.2</w:t>
                              </w:r>
                              <w:r>
                                <w:rPr>
                                  <w:rFonts w:ascii="Arial"/>
                                  <w:b/>
                                  <w:color w:val="FFFFFF"/>
                                  <w:spacing w:val="52"/>
                                  <w:sz w:val="16"/>
                                </w:rPr>
                                <w:t>  </w:t>
                              </w:r>
                              <w:r>
                                <w:rPr>
                                  <w:rFonts w:ascii="Arial"/>
                                  <w:b/>
                                  <w:color w:val="FFFFFF"/>
                                  <w:sz w:val="16"/>
                                </w:rPr>
                                <w:t>LPI</w:t>
                              </w:r>
                              <w:r>
                                <w:rPr>
                                  <w:rFonts w:ascii="Arial"/>
                                  <w:b/>
                                  <w:color w:val="FFFFFF"/>
                                  <w:spacing w:val="5"/>
                                  <w:sz w:val="16"/>
                                </w:rPr>
                                <w:t> </w:t>
                              </w:r>
                              <w:r>
                                <w:rPr>
                                  <w:rFonts w:ascii="Arial"/>
                                  <w:b/>
                                  <w:color w:val="FFFFFF"/>
                                  <w:sz w:val="16"/>
                                </w:rPr>
                                <w:t>component</w:t>
                              </w:r>
                              <w:r>
                                <w:rPr>
                                  <w:rFonts w:ascii="Arial"/>
                                  <w:b/>
                                  <w:color w:val="FFFFFF"/>
                                  <w:spacing w:val="6"/>
                                  <w:sz w:val="16"/>
                                </w:rPr>
                                <w:t> </w:t>
                              </w:r>
                              <w:r>
                                <w:rPr>
                                  <w:rFonts w:ascii="Arial"/>
                                  <w:b/>
                                  <w:color w:val="FFFFFF"/>
                                  <w:sz w:val="16"/>
                                </w:rPr>
                                <w:t>scores,</w:t>
                              </w:r>
                              <w:r>
                                <w:rPr>
                                  <w:rFonts w:ascii="Arial"/>
                                  <w:b/>
                                  <w:color w:val="FFFFFF"/>
                                  <w:spacing w:val="6"/>
                                  <w:sz w:val="16"/>
                                </w:rPr>
                                <w:t> </w:t>
                              </w:r>
                              <w:r>
                                <w:rPr>
                                  <w:rFonts w:ascii="Arial"/>
                                  <w:b/>
                                  <w:color w:val="FFFFFF"/>
                                  <w:sz w:val="16"/>
                                </w:rPr>
                                <w:t>by</w:t>
                              </w:r>
                              <w:r>
                                <w:rPr>
                                  <w:rFonts w:ascii="Arial"/>
                                  <w:b/>
                                  <w:color w:val="FFFFFF"/>
                                  <w:spacing w:val="6"/>
                                  <w:sz w:val="16"/>
                                </w:rPr>
                                <w:t> </w:t>
                              </w:r>
                              <w:r>
                                <w:rPr>
                                  <w:rFonts w:ascii="Arial"/>
                                  <w:b/>
                                  <w:color w:val="FFFFFF"/>
                                  <w:sz w:val="16"/>
                                </w:rPr>
                                <w:t>overall</w:t>
                              </w:r>
                              <w:r>
                                <w:rPr>
                                  <w:rFonts w:ascii="Arial"/>
                                  <w:b/>
                                  <w:color w:val="FFFFFF"/>
                                  <w:spacing w:val="5"/>
                                  <w:sz w:val="16"/>
                                </w:rPr>
                                <w:t> </w:t>
                              </w:r>
                              <w:r>
                                <w:rPr>
                                  <w:rFonts w:ascii="Arial"/>
                                  <w:b/>
                                  <w:color w:val="FFFFFF"/>
                                  <w:sz w:val="16"/>
                                </w:rPr>
                                <w:t>LPI</w:t>
                              </w:r>
                              <w:r>
                                <w:rPr>
                                  <w:rFonts w:ascii="Arial"/>
                                  <w:b/>
                                  <w:color w:val="FFFFFF"/>
                                  <w:spacing w:val="6"/>
                                  <w:sz w:val="16"/>
                                </w:rPr>
                                <w:t> </w:t>
                              </w:r>
                              <w:r>
                                <w:rPr>
                                  <w:rFonts w:ascii="Arial"/>
                                  <w:b/>
                                  <w:color w:val="FFFFFF"/>
                                  <w:sz w:val="16"/>
                                </w:rPr>
                                <w:t>quintile,</w:t>
                              </w:r>
                              <w:r>
                                <w:rPr>
                                  <w:rFonts w:ascii="Arial"/>
                                  <w:b/>
                                  <w:color w:val="FFFFFF"/>
                                  <w:spacing w:val="6"/>
                                  <w:sz w:val="16"/>
                                </w:rPr>
                                <w:t> </w:t>
                              </w:r>
                              <w:r>
                                <w:rPr>
                                  <w:rFonts w:ascii="Arial"/>
                                  <w:b/>
                                  <w:color w:val="FFFFFF"/>
                                  <w:spacing w:val="-4"/>
                                  <w:sz w:val="16"/>
                                </w:rPr>
                                <w:t>2023</w:t>
                              </w:r>
                            </w:p>
                            <w:p>
                              <w:pPr>
                                <w:spacing w:line="240" w:lineRule="auto" w:before="89"/>
                                <w:rPr>
                                  <w:rFonts w:ascii="Arial"/>
                                  <w:b/>
                                  <w:sz w:val="16"/>
                                </w:rPr>
                              </w:pPr>
                            </w:p>
                            <w:p>
                              <w:pPr>
                                <w:tabs>
                                  <w:tab w:pos="3043" w:val="left" w:leader="none"/>
                                </w:tabs>
                                <w:spacing w:line="160" w:lineRule="exact" w:before="0"/>
                                <w:ind w:left="2368" w:right="0" w:firstLine="0"/>
                                <w:jc w:val="left"/>
                                <w:rPr>
                                  <w:rFonts w:ascii="Arial"/>
                                  <w:sz w:val="14"/>
                                </w:rPr>
                              </w:pPr>
                              <w:r>
                                <w:rPr>
                                  <w:rFonts w:ascii="Arial"/>
                                  <w:color w:val="231F20"/>
                                  <w:spacing w:val="-2"/>
                                  <w:sz w:val="14"/>
                                </w:rPr>
                                <w:t>Customs</w:t>
                              </w:r>
                              <w:r>
                                <w:rPr>
                                  <w:rFonts w:ascii="Arial"/>
                                  <w:color w:val="231F20"/>
                                  <w:sz w:val="14"/>
                                </w:rPr>
                                <w:tab/>
                              </w:r>
                              <w:r>
                                <w:rPr>
                                  <w:rFonts w:ascii="Arial"/>
                                  <w:color w:val="231F20"/>
                                  <w:spacing w:val="-2"/>
                                  <w:sz w:val="14"/>
                                </w:rPr>
                                <w:t>Infrastructure</w:t>
                              </w:r>
                            </w:p>
                          </w:txbxContent>
                        </wps:txbx>
                        <wps:bodyPr wrap="square" lIns="0" tIns="0" rIns="0" bIns="0" rtlCol="0">
                          <a:noAutofit/>
                        </wps:bodyPr>
                      </wps:wsp>
                      <wps:wsp>
                        <wps:cNvPr id="621" name="Textbox 621"/>
                        <wps:cNvSpPr txBox="1"/>
                        <wps:spPr>
                          <a:xfrm>
                            <a:off x="76393" y="461605"/>
                            <a:ext cx="253365" cy="257810"/>
                          </a:xfrm>
                          <a:prstGeom prst="rect">
                            <a:avLst/>
                          </a:prstGeom>
                        </wps:spPr>
                        <wps:txbx>
                          <w:txbxContent>
                            <w:p>
                              <w:pPr>
                                <w:spacing w:line="159" w:lineRule="exact" w:before="0"/>
                                <w:ind w:left="0" w:right="18" w:firstLine="0"/>
                                <w:jc w:val="center"/>
                                <w:rPr>
                                  <w:rFonts w:ascii="Arial"/>
                                  <w:sz w:val="14"/>
                                </w:rPr>
                              </w:pPr>
                              <w:r>
                                <w:rPr>
                                  <w:rFonts w:ascii="Arial"/>
                                  <w:color w:val="231F20"/>
                                  <w:spacing w:val="-4"/>
                                  <w:w w:val="80"/>
                                  <w:sz w:val="14"/>
                                </w:rPr>
                                <w:t>Percent</w:t>
                              </w:r>
                            </w:p>
                            <w:p>
                              <w:pPr>
                                <w:spacing w:line="160" w:lineRule="exact" w:before="86"/>
                                <w:ind w:left="0" w:right="59" w:firstLine="0"/>
                                <w:jc w:val="center"/>
                                <w:rPr>
                                  <w:rFonts w:ascii="Arial"/>
                                  <w:sz w:val="14"/>
                                </w:rPr>
                              </w:pPr>
                              <w:r>
                                <w:rPr>
                                  <w:rFonts w:ascii="Arial"/>
                                  <w:color w:val="231F20"/>
                                  <w:spacing w:val="-10"/>
                                  <w:sz w:val="14"/>
                                </w:rPr>
                                <w:t>5</w:t>
                              </w:r>
                            </w:p>
                          </w:txbxContent>
                        </wps:txbx>
                        <wps:bodyPr wrap="square" lIns="0" tIns="0" rIns="0" bIns="0" rtlCol="0">
                          <a:noAutofit/>
                        </wps:bodyPr>
                      </wps:wsp>
                      <wps:wsp>
                        <wps:cNvPr id="622" name="Textbox 622"/>
                        <wps:cNvSpPr txBox="1"/>
                        <wps:spPr>
                          <a:xfrm>
                            <a:off x="2583023" y="360005"/>
                            <a:ext cx="1214755" cy="202565"/>
                          </a:xfrm>
                          <a:prstGeom prst="rect">
                            <a:avLst/>
                          </a:prstGeom>
                        </wps:spPr>
                        <wps:txbx>
                          <w:txbxContent>
                            <w:p>
                              <w:pPr>
                                <w:tabs>
                                  <w:tab w:pos="1055" w:val="left" w:leader="none"/>
                                </w:tabs>
                                <w:spacing w:before="0"/>
                                <w:ind w:left="0" w:right="18" w:firstLine="0"/>
                                <w:jc w:val="left"/>
                                <w:rPr>
                                  <w:rFonts w:ascii="Arial"/>
                                  <w:sz w:val="14"/>
                                </w:rPr>
                              </w:pPr>
                              <w:r>
                                <w:rPr>
                                  <w:rFonts w:ascii="Arial"/>
                                  <w:color w:val="231F20"/>
                                  <w:sz w:val="14"/>
                                </w:rPr>
                                <w:t>Ease</w:t>
                              </w:r>
                              <w:r>
                                <w:rPr>
                                  <w:rFonts w:ascii="Arial"/>
                                  <w:color w:val="231F20"/>
                                  <w:spacing w:val="-10"/>
                                  <w:sz w:val="14"/>
                                </w:rPr>
                                <w:t> </w:t>
                              </w:r>
                              <w:r>
                                <w:rPr>
                                  <w:rFonts w:ascii="Arial"/>
                                  <w:color w:val="231F20"/>
                                  <w:sz w:val="14"/>
                                </w:rPr>
                                <w:t>of</w:t>
                              </w:r>
                              <w:r>
                                <w:rPr>
                                  <w:rFonts w:ascii="Arial"/>
                                  <w:color w:val="231F20"/>
                                  <w:spacing w:val="-10"/>
                                  <w:sz w:val="14"/>
                                </w:rPr>
                                <w:t> </w:t>
                              </w:r>
                              <w:r>
                                <w:rPr>
                                  <w:rFonts w:ascii="Arial"/>
                                  <w:color w:val="231F20"/>
                                  <w:sz w:val="14"/>
                                </w:rPr>
                                <w:t>shipping</w:t>
                                <w:tab/>
                                <w:t>Quality</w:t>
                              </w:r>
                              <w:r>
                                <w:rPr>
                                  <w:rFonts w:ascii="Arial"/>
                                  <w:color w:val="231F20"/>
                                  <w:spacing w:val="-10"/>
                                  <w:sz w:val="14"/>
                                </w:rPr>
                                <w:t> </w:t>
                              </w:r>
                              <w:r>
                                <w:rPr>
                                  <w:rFonts w:ascii="Arial"/>
                                  <w:color w:val="231F20"/>
                                  <w:sz w:val="14"/>
                                </w:rPr>
                                <w:t>of</w:t>
                              </w:r>
                              <w:r>
                                <w:rPr>
                                  <w:rFonts w:ascii="Arial"/>
                                  <w:color w:val="231F20"/>
                                  <w:spacing w:val="40"/>
                                  <w:sz w:val="14"/>
                                </w:rPr>
                                <w:t> </w:t>
                              </w:r>
                              <w:r>
                                <w:rPr>
                                  <w:rFonts w:ascii="Arial"/>
                                  <w:color w:val="231F20"/>
                                  <w:spacing w:val="-2"/>
                                  <w:sz w:val="14"/>
                                </w:rPr>
                                <w:t>arrangements</w:t>
                              </w:r>
                              <w:r>
                                <w:rPr>
                                  <w:rFonts w:ascii="Arial"/>
                                  <w:color w:val="231F20"/>
                                  <w:sz w:val="14"/>
                                </w:rPr>
                                <w:tab/>
                              </w:r>
                              <w:r>
                                <w:rPr>
                                  <w:rFonts w:ascii="Arial"/>
                                  <w:color w:val="231F20"/>
                                  <w:spacing w:val="-2"/>
                                  <w:w w:val="80"/>
                                  <w:sz w:val="14"/>
                                </w:rPr>
                                <w:t>logistics</w:t>
                              </w:r>
                              <w:r>
                                <w:rPr>
                                  <w:rFonts w:ascii="Arial"/>
                                  <w:color w:val="231F20"/>
                                  <w:spacing w:val="-8"/>
                                  <w:sz w:val="14"/>
                                </w:rPr>
                                <w:t> </w:t>
                              </w:r>
                              <w:r>
                                <w:rPr>
                                  <w:rFonts w:ascii="Arial"/>
                                  <w:color w:val="231F20"/>
                                  <w:spacing w:val="-2"/>
                                  <w:w w:val="80"/>
                                  <w:sz w:val="14"/>
                                </w:rPr>
                                <w:t>services</w:t>
                              </w:r>
                            </w:p>
                          </w:txbxContent>
                        </wps:txbx>
                        <wps:bodyPr wrap="square" lIns="0" tIns="0" rIns="0" bIns="0" rtlCol="0">
                          <a:noAutofit/>
                        </wps:bodyPr>
                      </wps:wsp>
                      <wps:wsp>
                        <wps:cNvPr id="623" name="Textbox 623"/>
                        <wps:cNvSpPr txBox="1"/>
                        <wps:spPr>
                          <a:xfrm>
                            <a:off x="3938550" y="360005"/>
                            <a:ext cx="366395" cy="202565"/>
                          </a:xfrm>
                          <a:prstGeom prst="rect">
                            <a:avLst/>
                          </a:prstGeom>
                        </wps:spPr>
                        <wps:txbx>
                          <w:txbxContent>
                            <w:p>
                              <w:pPr>
                                <w:spacing w:before="0"/>
                                <w:ind w:left="0" w:right="0" w:firstLine="0"/>
                                <w:jc w:val="left"/>
                                <w:rPr>
                                  <w:rFonts w:ascii="Arial"/>
                                  <w:sz w:val="14"/>
                                </w:rPr>
                              </w:pPr>
                              <w:r>
                                <w:rPr>
                                  <w:rFonts w:ascii="Arial"/>
                                  <w:color w:val="231F20"/>
                                  <w:spacing w:val="-2"/>
                                  <w:w w:val="95"/>
                                  <w:sz w:val="14"/>
                                </w:rPr>
                                <w:t>Tracking</w:t>
                              </w:r>
                              <w:r>
                                <w:rPr>
                                  <w:rFonts w:ascii="Arial"/>
                                  <w:color w:val="231F20"/>
                                  <w:spacing w:val="40"/>
                                  <w:sz w:val="14"/>
                                </w:rPr>
                                <w:t> </w:t>
                              </w:r>
                              <w:r>
                                <w:rPr>
                                  <w:rFonts w:ascii="Arial"/>
                                  <w:color w:val="231F20"/>
                                  <w:spacing w:val="-2"/>
                                  <w:w w:val="80"/>
                                  <w:sz w:val="14"/>
                                </w:rPr>
                                <w:t>and</w:t>
                              </w:r>
                              <w:r>
                                <w:rPr>
                                  <w:rFonts w:ascii="Arial"/>
                                  <w:color w:val="231F20"/>
                                  <w:spacing w:val="-8"/>
                                  <w:sz w:val="14"/>
                                </w:rPr>
                                <w:t> </w:t>
                              </w:r>
                              <w:r>
                                <w:rPr>
                                  <w:rFonts w:ascii="Arial"/>
                                  <w:color w:val="231F20"/>
                                  <w:spacing w:val="-2"/>
                                  <w:w w:val="80"/>
                                  <w:sz w:val="14"/>
                                </w:rPr>
                                <w:t>tracing</w:t>
                              </w:r>
                            </w:p>
                          </w:txbxContent>
                        </wps:txbx>
                        <wps:bodyPr wrap="square" lIns="0" tIns="0" rIns="0" bIns="0" rtlCol="0">
                          <a:noAutofit/>
                        </wps:bodyPr>
                      </wps:wsp>
                      <wps:wsp>
                        <wps:cNvPr id="624" name="Textbox 624"/>
                        <wps:cNvSpPr txBox="1"/>
                        <wps:spPr>
                          <a:xfrm>
                            <a:off x="4446127" y="360015"/>
                            <a:ext cx="34544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2"/>
                                  <w:w w:val="80"/>
                                  <w:sz w:val="14"/>
                                </w:rPr>
                                <w:t>Timeliness</w:t>
                              </w:r>
                            </w:p>
                          </w:txbxContent>
                        </wps:txbx>
                        <wps:bodyPr wrap="square" lIns="0" tIns="0" rIns="0" bIns="0" rtlCol="0">
                          <a:noAutofit/>
                        </wps:bodyPr>
                      </wps:wsp>
                      <wps:wsp>
                        <wps:cNvPr id="625" name="Textbox 625"/>
                        <wps:cNvSpPr txBox="1"/>
                        <wps:spPr>
                          <a:xfrm>
                            <a:off x="162079" y="1067638"/>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4</w:t>
                              </w:r>
                            </w:p>
                          </w:txbxContent>
                        </wps:txbx>
                        <wps:bodyPr wrap="square" lIns="0" tIns="0" rIns="0" bIns="0" rtlCol="0">
                          <a:noAutofit/>
                        </wps:bodyPr>
                      </wps:wsp>
                      <wps:wsp>
                        <wps:cNvPr id="626" name="Textbox 626"/>
                        <wps:cNvSpPr txBox="1"/>
                        <wps:spPr>
                          <a:xfrm>
                            <a:off x="162079" y="1516494"/>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3</w:t>
                              </w:r>
                            </w:p>
                          </w:txbxContent>
                        </wps:txbx>
                        <wps:bodyPr wrap="square" lIns="0" tIns="0" rIns="0" bIns="0" rtlCol="0">
                          <a:noAutofit/>
                        </wps:bodyPr>
                      </wps:wsp>
                      <wps:wsp>
                        <wps:cNvPr id="627" name="Textbox 627"/>
                        <wps:cNvSpPr txBox="1"/>
                        <wps:spPr>
                          <a:xfrm>
                            <a:off x="162079" y="1965350"/>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2</w:t>
                              </w:r>
                            </w:p>
                          </w:txbxContent>
                        </wps:txbx>
                        <wps:bodyPr wrap="square" lIns="0" tIns="0" rIns="0" bIns="0" rtlCol="0">
                          <a:noAutofit/>
                        </wps:bodyPr>
                      </wps:wsp>
                      <wps:wsp>
                        <wps:cNvPr id="628" name="Textbox 628"/>
                        <wps:cNvSpPr txBox="1"/>
                        <wps:spPr>
                          <a:xfrm>
                            <a:off x="162079" y="2414206"/>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1</w:t>
                              </w:r>
                            </w:p>
                          </w:txbxContent>
                        </wps:txbx>
                        <wps:bodyPr wrap="square" lIns="0" tIns="0" rIns="0" bIns="0" rtlCol="0">
                          <a:noAutofit/>
                        </wps:bodyPr>
                      </wps:wsp>
                      <wps:wsp>
                        <wps:cNvPr id="629" name="Textbox 629"/>
                        <wps:cNvSpPr txBox="1"/>
                        <wps:spPr>
                          <a:xfrm>
                            <a:off x="484121" y="2478147"/>
                            <a:ext cx="485140" cy="100965"/>
                          </a:xfrm>
                          <a:prstGeom prst="rect">
                            <a:avLst/>
                          </a:prstGeom>
                        </wps:spPr>
                        <wps:txbx>
                          <w:txbxContent>
                            <w:p>
                              <w:pPr>
                                <w:spacing w:line="158" w:lineRule="exact" w:before="0"/>
                                <w:ind w:left="0" w:right="0" w:firstLine="0"/>
                                <w:jc w:val="left"/>
                                <w:rPr>
                                  <w:rFonts w:ascii="Arial"/>
                                  <w:sz w:val="14"/>
                                </w:rPr>
                              </w:pPr>
                              <w:r>
                                <w:rPr>
                                  <w:rFonts w:ascii="Arial"/>
                                  <w:color w:val="231F20"/>
                                  <w:w w:val="75"/>
                                  <w:sz w:val="14"/>
                                </w:rPr>
                                <w:t>Bottom</w:t>
                              </w:r>
                              <w:r>
                                <w:rPr>
                                  <w:rFonts w:ascii="Arial"/>
                                  <w:color w:val="231F20"/>
                                  <w:spacing w:val="11"/>
                                  <w:sz w:val="14"/>
                                </w:rPr>
                                <w:t> </w:t>
                              </w:r>
                              <w:r>
                                <w:rPr>
                                  <w:rFonts w:ascii="Arial"/>
                                  <w:color w:val="231F20"/>
                                  <w:spacing w:val="-2"/>
                                  <w:w w:val="85"/>
                                  <w:sz w:val="14"/>
                                </w:rPr>
                                <w:t>quintile</w:t>
                              </w:r>
                            </w:p>
                          </w:txbxContent>
                        </wps:txbx>
                        <wps:bodyPr wrap="square" lIns="0" tIns="0" rIns="0" bIns="0" rtlCol="0">
                          <a:noAutofit/>
                        </wps:bodyPr>
                      </wps:wsp>
                      <wps:wsp>
                        <wps:cNvPr id="630" name="Textbox 630"/>
                        <wps:cNvSpPr txBox="1"/>
                        <wps:spPr>
                          <a:xfrm>
                            <a:off x="1370987" y="2478147"/>
                            <a:ext cx="494665" cy="100965"/>
                          </a:xfrm>
                          <a:prstGeom prst="rect">
                            <a:avLst/>
                          </a:prstGeom>
                        </wps:spPr>
                        <wps:txbx>
                          <w:txbxContent>
                            <w:p>
                              <w:pPr>
                                <w:spacing w:line="158" w:lineRule="exact" w:before="0"/>
                                <w:ind w:left="0" w:right="0" w:firstLine="0"/>
                                <w:jc w:val="left"/>
                                <w:rPr>
                                  <w:rFonts w:ascii="Arial"/>
                                  <w:sz w:val="14"/>
                                </w:rPr>
                              </w:pPr>
                              <w:r>
                                <w:rPr>
                                  <w:rFonts w:ascii="Arial"/>
                                  <w:color w:val="231F20"/>
                                  <w:w w:val="75"/>
                                  <w:sz w:val="14"/>
                                </w:rPr>
                                <w:t>Second</w:t>
                              </w:r>
                              <w:r>
                                <w:rPr>
                                  <w:rFonts w:ascii="Arial"/>
                                  <w:color w:val="231F20"/>
                                  <w:spacing w:val="3"/>
                                  <w:sz w:val="14"/>
                                </w:rPr>
                                <w:t> </w:t>
                              </w:r>
                              <w:r>
                                <w:rPr>
                                  <w:rFonts w:ascii="Arial"/>
                                  <w:color w:val="231F20"/>
                                  <w:spacing w:val="-2"/>
                                  <w:w w:val="85"/>
                                  <w:sz w:val="14"/>
                                </w:rPr>
                                <w:t>quintile</w:t>
                              </w:r>
                            </w:p>
                          </w:txbxContent>
                        </wps:txbx>
                        <wps:bodyPr wrap="square" lIns="0" tIns="0" rIns="0" bIns="0" rtlCol="0">
                          <a:noAutofit/>
                        </wps:bodyPr>
                      </wps:wsp>
                      <wps:wsp>
                        <wps:cNvPr id="631" name="Textbox 631"/>
                        <wps:cNvSpPr txBox="1"/>
                        <wps:spPr>
                          <a:xfrm>
                            <a:off x="2299637" y="2478147"/>
                            <a:ext cx="420370" cy="100965"/>
                          </a:xfrm>
                          <a:prstGeom prst="rect">
                            <a:avLst/>
                          </a:prstGeom>
                        </wps:spPr>
                        <wps:txbx>
                          <w:txbxContent>
                            <w:p>
                              <w:pPr>
                                <w:spacing w:line="158" w:lineRule="exact" w:before="0"/>
                                <w:ind w:left="0" w:right="0" w:firstLine="0"/>
                                <w:jc w:val="left"/>
                                <w:rPr>
                                  <w:rFonts w:ascii="Arial"/>
                                  <w:sz w:val="14"/>
                                </w:rPr>
                              </w:pPr>
                              <w:r>
                                <w:rPr>
                                  <w:rFonts w:ascii="Arial"/>
                                  <w:color w:val="231F20"/>
                                  <w:w w:val="75"/>
                                  <w:sz w:val="14"/>
                                </w:rPr>
                                <w:t>Third</w:t>
                              </w:r>
                              <w:r>
                                <w:rPr>
                                  <w:rFonts w:ascii="Arial"/>
                                  <w:color w:val="231F20"/>
                                  <w:spacing w:val="3"/>
                                  <w:sz w:val="14"/>
                                </w:rPr>
                                <w:t> </w:t>
                              </w:r>
                              <w:r>
                                <w:rPr>
                                  <w:rFonts w:ascii="Arial"/>
                                  <w:color w:val="231F20"/>
                                  <w:spacing w:val="-2"/>
                                  <w:w w:val="85"/>
                                  <w:sz w:val="14"/>
                                </w:rPr>
                                <w:t>quintile</w:t>
                              </w:r>
                            </w:p>
                          </w:txbxContent>
                        </wps:txbx>
                        <wps:bodyPr wrap="square" lIns="0" tIns="0" rIns="0" bIns="0" rtlCol="0">
                          <a:noAutofit/>
                        </wps:bodyPr>
                      </wps:wsp>
                      <wps:wsp>
                        <wps:cNvPr id="632" name="Textbox 632"/>
                        <wps:cNvSpPr txBox="1"/>
                        <wps:spPr>
                          <a:xfrm>
                            <a:off x="3170590" y="2478147"/>
                            <a:ext cx="461645" cy="100965"/>
                          </a:xfrm>
                          <a:prstGeom prst="rect">
                            <a:avLst/>
                          </a:prstGeom>
                        </wps:spPr>
                        <wps:txbx>
                          <w:txbxContent>
                            <w:p>
                              <w:pPr>
                                <w:spacing w:line="158" w:lineRule="exact" w:before="0"/>
                                <w:ind w:left="0" w:right="0" w:firstLine="0"/>
                                <w:jc w:val="left"/>
                                <w:rPr>
                                  <w:rFonts w:ascii="Arial"/>
                                  <w:sz w:val="14"/>
                                </w:rPr>
                              </w:pPr>
                              <w:r>
                                <w:rPr>
                                  <w:rFonts w:ascii="Arial"/>
                                  <w:color w:val="231F20"/>
                                  <w:w w:val="75"/>
                                  <w:sz w:val="14"/>
                                </w:rPr>
                                <w:t>Fourth</w:t>
                              </w:r>
                              <w:r>
                                <w:rPr>
                                  <w:rFonts w:ascii="Arial"/>
                                  <w:color w:val="231F20"/>
                                  <w:spacing w:val="6"/>
                                  <w:sz w:val="14"/>
                                </w:rPr>
                                <w:t> </w:t>
                              </w:r>
                              <w:r>
                                <w:rPr>
                                  <w:rFonts w:ascii="Arial"/>
                                  <w:color w:val="231F20"/>
                                  <w:spacing w:val="-2"/>
                                  <w:w w:val="85"/>
                                  <w:sz w:val="14"/>
                                </w:rPr>
                                <w:t>quintile</w:t>
                              </w:r>
                            </w:p>
                          </w:txbxContent>
                        </wps:txbx>
                        <wps:bodyPr wrap="square" lIns="0" tIns="0" rIns="0" bIns="0" rtlCol="0">
                          <a:noAutofit/>
                        </wps:bodyPr>
                      </wps:wsp>
                      <wps:wsp>
                        <wps:cNvPr id="633" name="Textbox 633"/>
                        <wps:cNvSpPr txBox="1"/>
                        <wps:spPr>
                          <a:xfrm>
                            <a:off x="4107507" y="2478147"/>
                            <a:ext cx="37147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4"/>
                                  <w:w w:val="75"/>
                                  <w:sz w:val="14"/>
                                </w:rPr>
                                <w:t>Top</w:t>
                              </w:r>
                              <w:r>
                                <w:rPr>
                                  <w:rFonts w:ascii="Arial"/>
                                  <w:color w:val="231F20"/>
                                  <w:spacing w:val="-3"/>
                                  <w:sz w:val="14"/>
                                </w:rPr>
                                <w:t> </w:t>
                              </w:r>
                              <w:r>
                                <w:rPr>
                                  <w:rFonts w:ascii="Arial"/>
                                  <w:color w:val="231F20"/>
                                  <w:spacing w:val="-2"/>
                                  <w:w w:val="85"/>
                                  <w:sz w:val="14"/>
                                </w:rPr>
                                <w:t>quintile</w:t>
                              </w:r>
                            </w:p>
                          </w:txbxContent>
                        </wps:txbx>
                        <wps:bodyPr wrap="square" lIns="0" tIns="0" rIns="0" bIns="0" rtlCol="0">
                          <a:noAutofit/>
                        </wps:bodyPr>
                      </wps:wsp>
                      <wps:wsp>
                        <wps:cNvPr id="634" name="Textbox 634"/>
                        <wps:cNvSpPr txBox="1"/>
                        <wps:spPr>
                          <a:xfrm>
                            <a:off x="76386" y="2652471"/>
                            <a:ext cx="1178560" cy="91440"/>
                          </a:xfrm>
                          <a:prstGeom prst="rect">
                            <a:avLst/>
                          </a:prstGeom>
                        </wps:spPr>
                        <wps:txbx>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1"/>
                                  <w:w w:val="80"/>
                                  <w:sz w:val="12"/>
                                </w:rPr>
                                <w:t> </w:t>
                              </w:r>
                              <w:r>
                                <w:rPr>
                                  <w:rFonts w:ascii="Arial"/>
                                  <w:color w:val="231F20"/>
                                  <w:w w:val="80"/>
                                  <w:sz w:val="12"/>
                                </w:rPr>
                                <w:t>2023</w:t>
                              </w:r>
                              <w:r>
                                <w:rPr>
                                  <w:rFonts w:ascii="Arial"/>
                                  <w:color w:val="231F20"/>
                                  <w:spacing w:val="-1"/>
                                  <w:w w:val="80"/>
                                  <w:sz w:val="12"/>
                                </w:rPr>
                                <w:t> </w:t>
                              </w:r>
                              <w:r>
                                <w:rPr>
                                  <w:rFonts w:ascii="Arial"/>
                                  <w:color w:val="231F20"/>
                                  <w:w w:val="80"/>
                                  <w:sz w:val="12"/>
                                </w:rPr>
                                <w:t>Logistics</w:t>
                              </w:r>
                              <w:r>
                                <w:rPr>
                                  <w:rFonts w:ascii="Arial"/>
                                  <w:color w:val="231F20"/>
                                  <w:spacing w:val="-1"/>
                                  <w:w w:val="80"/>
                                  <w:sz w:val="12"/>
                                </w:rPr>
                                <w:t> </w:t>
                              </w:r>
                              <w:r>
                                <w:rPr>
                                  <w:rFonts w:ascii="Arial"/>
                                  <w:color w:val="231F20"/>
                                  <w:w w:val="80"/>
                                  <w:sz w:val="12"/>
                                </w:rPr>
                                <w:t>Performance</w:t>
                              </w:r>
                              <w:r>
                                <w:rPr>
                                  <w:rFonts w:ascii="Arial"/>
                                  <w:color w:val="231F20"/>
                                  <w:spacing w:val="-1"/>
                                  <w:w w:val="80"/>
                                  <w:sz w:val="12"/>
                                </w:rPr>
                                <w:t> </w:t>
                              </w:r>
                              <w:r>
                                <w:rPr>
                                  <w:rFonts w:ascii="Arial"/>
                                  <w:color w:val="231F20"/>
                                  <w:spacing w:val="-2"/>
                                  <w:w w:val="80"/>
                                  <w:sz w:val="12"/>
                                </w:rPr>
                                <w:t>Index.</w:t>
                              </w:r>
                            </w:p>
                          </w:txbxContent>
                        </wps:txbx>
                        <wps:bodyPr wrap="square" lIns="0" tIns="0" rIns="0" bIns="0" rtlCol="0">
                          <a:noAutofit/>
                        </wps:bodyPr>
                      </wps:wsp>
                    </wpg:wgp>
                  </a:graphicData>
                </a:graphic>
              </wp:inline>
            </w:drawing>
          </mc:Choice>
          <mc:Fallback>
            <w:pict>
              <v:group style="width:384.05pt;height:223.4pt;mso-position-horizontal-relative:char;mso-position-vertical-relative:line" id="docshapegroup473" coordorigin="0,0" coordsize="7681,4468">
                <v:shape style="position:absolute;left:0;top:406;width:7680;height:4061" id="docshape474" coordorigin="0,406" coordsize="7680,4061" path="m7680,406l0,406,0,4349,10,4395,36,4433,74,4458,119,4467,7556,4467,7602,4459,7642,4435,7670,4398,7680,4349,7680,406xe" filled="true" fillcolor="#dfeaf7" stroked="false">
                  <v:path arrowok="t"/>
                  <v:fill type="solid"/>
                </v:shape>
                <v:shape style="position:absolute;left:0;top:0;width:807;height:365" id="docshape475" coordorigin="0,0" coordsize="807,365" path="m807,0l120,0,74,5,36,23,10,59,0,120,0,365,807,365,807,0xe" filled="true" fillcolor="#008fdd" stroked="false">
                  <v:path arrowok="t"/>
                  <v:fill type="solid"/>
                </v:shape>
                <v:shape style="position:absolute;left:806;top:0;width:6873;height:365" id="docshape476" coordorigin="807,0" coordsize="6873,365" path="m7559,0l807,0,807,365,7679,365,7679,120,7671,80,7646,41,7608,12,7559,0xe" filled="true" fillcolor="#808285" stroked="false">
                  <v:path arrowok="t"/>
                  <v:fill type="solid"/>
                </v:shape>
                <v:line style="position:absolute" from="807,0" to="807,379" stroked="true" strokeweight="2pt" strokecolor="#ffffff">
                  <v:stroke dashstyle="solid"/>
                </v:line>
                <v:shape style="position:absolute;left:432;top:3875;width:7021;height:2" id="docshape477" coordorigin="432,3875" coordsize="7021,0" path="m432,3875l7453,3875m432,3875l7453,3875e" filled="false" stroked="true" strokeweight=".5pt" strokecolor="#ffffff">
                  <v:path arrowok="t"/>
                  <v:stroke dashstyle="solid"/>
                </v:shape>
                <v:shape style="position:absolute;left:432;top:1754;width:7021;height:1414" id="docshape478" coordorigin="432,1755" coordsize="7021,1414" path="m432,3168l497,3168m1762,3168l1903,3168m3168,3168l3310,3168m4575,3168l4716,3168m5982,3168l6123,3168m7388,3168l7453,3168m432,2462l4153,2462m4575,2462l4716,2462m5982,2462l6123,2462m7388,2462l7453,2462m432,1755l6966,1755m7177,1755l7453,1755e" filled="false" stroked="true" strokeweight=".5pt" strokecolor="#ffffff">
                  <v:path arrowok="t"/>
                  <v:stroke dashstyle="solid"/>
                </v:shape>
                <v:line style="position:absolute" from="432,1048" to="7453,1048" stroked="true" strokeweight=".5pt" strokecolor="#ffffff">
                  <v:stroke dashstyle="solid"/>
                </v:line>
                <v:rect style="position:absolute;left:6879;top:608;width:80;height:80" id="docshape479" filled="true" fillcolor="#bcbec0" stroked="false">
                  <v:fill type="solid"/>
                </v:rect>
                <v:rect style="position:absolute;left:3041;top:608;width:80;height:80" id="docshape480" filled="true" fillcolor="#231f20" stroked="false">
                  <v:fill type="solid"/>
                </v:rect>
                <v:rect style="position:absolute;left:5001;top:608;width:80;height:80" id="docshape481" filled="true" fillcolor="#9cc0ea" stroked="false">
                  <v:fill type="solid"/>
                </v:rect>
                <v:rect style="position:absolute;left:2366;top:608;width:80;height:80" id="docshape482" filled="true" fillcolor="#008fdd" stroked="false">
                  <v:fill type="solid"/>
                </v:rect>
                <v:rect style="position:absolute;left:3945;top:608;width:80;height:80" id="docshape483" filled="true" fillcolor="#87666d" stroked="false">
                  <v:fill type="solid"/>
                </v:rect>
                <v:rect style="position:absolute;left:6079;top:608;width:80;height:80" id="docshape484" filled="true" fillcolor="#691c32" stroked="false">
                  <v:fill type="solid"/>
                </v:rect>
                <v:rect style="position:absolute;left:496;top:3027;width:211;height:849" id="docshape485" filled="true" fillcolor="#008fdd" stroked="false">
                  <v:fill type="solid"/>
                </v:rect>
                <v:rect style="position:absolute;left:707;top:3027;width:211;height:849" id="docshape486" filled="true" fillcolor="#231f20" stroked="false">
                  <v:fill type="solid"/>
                </v:rect>
                <v:rect style="position:absolute;left:918;top:2885;width:211;height:990" id="docshape487" filled="true" fillcolor="#87666d" stroked="false">
                  <v:fill type="solid"/>
                </v:rect>
                <v:rect style="position:absolute;left:1129;top:2885;width:211;height:990" id="docshape488" filled="true" fillcolor="#9cc0ea" stroked="false">
                  <v:fill type="solid"/>
                </v:rect>
                <v:rect style="position:absolute;left:1339;top:2956;width:211;height:919" id="docshape489" filled="true" fillcolor="#691c32" stroked="false">
                  <v:fill type="solid"/>
                </v:rect>
                <v:rect style="position:absolute;left:1550;top:2744;width:211;height:1131" id="docshape490" filled="true" fillcolor="#bcbec0" stroked="false">
                  <v:fill type="solid"/>
                </v:rect>
                <v:rect style="position:absolute;left:1903;top:2814;width:211;height:1061" id="docshape491" filled="true" fillcolor="#008fdd" stroked="false">
                  <v:fill type="solid"/>
                </v:rect>
                <v:rect style="position:absolute;left:2114;top:2885;width:211;height:990" id="docshape492" filled="true" fillcolor="#231f20" stroked="false">
                  <v:fill type="solid"/>
                </v:rect>
                <v:rect style="position:absolute;left:2324;top:2744;width:211;height:1131" id="docshape493" filled="true" fillcolor="#87666d" stroked="false">
                  <v:fill type="solid"/>
                </v:rect>
                <v:rect style="position:absolute;left:2535;top:2744;width:211;height:1131" id="docshape494" filled="true" fillcolor="#9cc0ea" stroked="false">
                  <v:fill type="solid"/>
                </v:rect>
                <v:rect style="position:absolute;left:2746;top:2744;width:211;height:1131" id="docshape495" filled="true" fillcolor="#691c32" stroked="false">
                  <v:fill type="solid"/>
                </v:rect>
                <v:rect style="position:absolute;left:2957;top:2461;width:211;height:1414" id="docshape496" filled="true" fillcolor="#bcbec0" stroked="false">
                  <v:fill type="solid"/>
                </v:rect>
                <v:rect style="position:absolute;left:3309;top:2673;width:211;height:1202" id="docshape497" filled="true" fillcolor="#008fdd" stroked="false">
                  <v:fill type="solid"/>
                </v:rect>
                <v:rect style="position:absolute;left:3520;top:2603;width:211;height:1273" id="docshape498" filled="true" fillcolor="#231f20" stroked="false">
                  <v:fill type="solid"/>
                </v:rect>
                <v:rect style="position:absolute;left:3731;top:2461;width:211;height:1414" id="docshape499" filled="true" fillcolor="#87666d" stroked="false">
                  <v:fill type="solid"/>
                </v:rect>
                <v:rect style="position:absolute;left:3942;top:2461;width:211;height:1414" id="docshape500" filled="true" fillcolor="#9cc0ea" stroked="false">
                  <v:fill type="solid"/>
                </v:rect>
                <v:rect style="position:absolute;left:4153;top:2390;width:211;height:1485" id="docshape501" filled="true" fillcolor="#691c32" stroked="false">
                  <v:fill type="solid"/>
                </v:rect>
                <v:rect style="position:absolute;left:4364;top:2249;width:211;height:1626" id="docshape502" filled="true" fillcolor="#bcbec0" stroked="false">
                  <v:fill type="solid"/>
                </v:rect>
                <v:rect style="position:absolute;left:4716;top:2320;width:211;height:1555" id="docshape503" filled="true" fillcolor="#008fdd" stroked="false">
                  <v:fill type="solid"/>
                </v:rect>
                <v:rect style="position:absolute;left:4927;top:2108;width:211;height:1768" id="docshape504" filled="true" fillcolor="#231f20" stroked="false">
                  <v:fill type="solid"/>
                </v:rect>
                <v:rect style="position:absolute;left:5138;top:2249;width:211;height:1626" id="docshape505" filled="true" fillcolor="#87666d" stroked="false">
                  <v:fill type="solid"/>
                </v:rect>
                <v:rect style="position:absolute;left:5348;top:2108;width:211;height:1768" id="docshape506" filled="true" fillcolor="#9cc0ea" stroked="false">
                  <v:fill type="solid"/>
                </v:rect>
                <v:rect style="position:absolute;left:5559;top:2108;width:211;height:1768" id="docshape507" filled="true" fillcolor="#691c32" stroked="false">
                  <v:fill type="solid"/>
                </v:rect>
                <v:rect style="position:absolute;left:5770;top:2037;width:211;height:1838" id="docshape508" filled="true" fillcolor="#bcbec0" stroked="false">
                  <v:fill type="solid"/>
                </v:rect>
                <v:rect style="position:absolute;left:6122;top:1896;width:211;height:1979" id="docshape509" filled="true" fillcolor="#008fdd" stroked="false">
                  <v:fill type="solid"/>
                </v:rect>
                <v:rect style="position:absolute;left:6333;top:1754;width:211;height:2121" id="docshape510" filled="true" fillcolor="#231f20" stroked="false">
                  <v:fill type="solid"/>
                </v:rect>
                <v:rect style="position:absolute;left:6544;top:2037;width:211;height:1838" id="docshape511" filled="true" fillcolor="#87666d" stroked="false">
                  <v:fill type="solid"/>
                </v:rect>
                <v:rect style="position:absolute;left:6755;top:1754;width:211;height:2121" id="docshape512" filled="true" fillcolor="#9cc0ea" stroked="false">
                  <v:fill type="solid"/>
                </v:rect>
                <v:rect style="position:absolute;left:6966;top:1684;width:211;height:2192" id="docshape513" filled="true" fillcolor="#691c32" stroked="false">
                  <v:fill type="solid"/>
                </v:rect>
                <v:rect style="position:absolute;left:7177;top:1754;width:211;height:2121" id="docshape514" filled="true" fillcolor="#bcbec0" stroked="false">
                  <v:fill type="solid"/>
                </v:rect>
                <v:line style="position:absolute" from="431,3875" to="7385,3875" stroked="true" strokeweight=".5pt" strokecolor="#ffffff">
                  <v:stroke dashstyle="solid"/>
                </v:line>
                <v:shape style="position:absolute;left:120;top:105;width:4958;height:620" type="#_x0000_t202" id="docshape515" filled="false" stroked="false">
                  <v:textbox inset="0,0,0,0">
                    <w:txbxContent>
                      <w:p>
                        <w:pPr>
                          <w:spacing w:before="3"/>
                          <w:ind w:left="0" w:right="0" w:firstLine="0"/>
                          <w:jc w:val="left"/>
                          <w:rPr>
                            <w:rFonts w:ascii="Arial"/>
                            <w:b/>
                            <w:sz w:val="16"/>
                          </w:rPr>
                        </w:pPr>
                        <w:r>
                          <w:rPr>
                            <w:rFonts w:ascii="Arial"/>
                            <w:color w:val="FFFFFF"/>
                            <w:sz w:val="16"/>
                          </w:rPr>
                          <w:t>Figure</w:t>
                        </w:r>
                        <w:r>
                          <w:rPr>
                            <w:rFonts w:ascii="Arial"/>
                            <w:color w:val="FFFFFF"/>
                            <w:spacing w:val="5"/>
                            <w:sz w:val="16"/>
                          </w:rPr>
                          <w:t> </w:t>
                        </w:r>
                        <w:r>
                          <w:rPr>
                            <w:rFonts w:ascii="Arial"/>
                            <w:b/>
                            <w:color w:val="FFFFFF"/>
                            <w:sz w:val="16"/>
                          </w:rPr>
                          <w:t>2.2</w:t>
                        </w:r>
                        <w:r>
                          <w:rPr>
                            <w:rFonts w:ascii="Arial"/>
                            <w:b/>
                            <w:color w:val="FFFFFF"/>
                            <w:spacing w:val="52"/>
                            <w:sz w:val="16"/>
                          </w:rPr>
                          <w:t>  </w:t>
                        </w:r>
                        <w:r>
                          <w:rPr>
                            <w:rFonts w:ascii="Arial"/>
                            <w:b/>
                            <w:color w:val="FFFFFF"/>
                            <w:sz w:val="16"/>
                          </w:rPr>
                          <w:t>LPI</w:t>
                        </w:r>
                        <w:r>
                          <w:rPr>
                            <w:rFonts w:ascii="Arial"/>
                            <w:b/>
                            <w:color w:val="FFFFFF"/>
                            <w:spacing w:val="5"/>
                            <w:sz w:val="16"/>
                          </w:rPr>
                          <w:t> </w:t>
                        </w:r>
                        <w:r>
                          <w:rPr>
                            <w:rFonts w:ascii="Arial"/>
                            <w:b/>
                            <w:color w:val="FFFFFF"/>
                            <w:sz w:val="16"/>
                          </w:rPr>
                          <w:t>component</w:t>
                        </w:r>
                        <w:r>
                          <w:rPr>
                            <w:rFonts w:ascii="Arial"/>
                            <w:b/>
                            <w:color w:val="FFFFFF"/>
                            <w:spacing w:val="6"/>
                            <w:sz w:val="16"/>
                          </w:rPr>
                          <w:t> </w:t>
                        </w:r>
                        <w:r>
                          <w:rPr>
                            <w:rFonts w:ascii="Arial"/>
                            <w:b/>
                            <w:color w:val="FFFFFF"/>
                            <w:sz w:val="16"/>
                          </w:rPr>
                          <w:t>scores,</w:t>
                        </w:r>
                        <w:r>
                          <w:rPr>
                            <w:rFonts w:ascii="Arial"/>
                            <w:b/>
                            <w:color w:val="FFFFFF"/>
                            <w:spacing w:val="6"/>
                            <w:sz w:val="16"/>
                          </w:rPr>
                          <w:t> </w:t>
                        </w:r>
                        <w:r>
                          <w:rPr>
                            <w:rFonts w:ascii="Arial"/>
                            <w:b/>
                            <w:color w:val="FFFFFF"/>
                            <w:sz w:val="16"/>
                          </w:rPr>
                          <w:t>by</w:t>
                        </w:r>
                        <w:r>
                          <w:rPr>
                            <w:rFonts w:ascii="Arial"/>
                            <w:b/>
                            <w:color w:val="FFFFFF"/>
                            <w:spacing w:val="6"/>
                            <w:sz w:val="16"/>
                          </w:rPr>
                          <w:t> </w:t>
                        </w:r>
                        <w:r>
                          <w:rPr>
                            <w:rFonts w:ascii="Arial"/>
                            <w:b/>
                            <w:color w:val="FFFFFF"/>
                            <w:sz w:val="16"/>
                          </w:rPr>
                          <w:t>overall</w:t>
                        </w:r>
                        <w:r>
                          <w:rPr>
                            <w:rFonts w:ascii="Arial"/>
                            <w:b/>
                            <w:color w:val="FFFFFF"/>
                            <w:spacing w:val="5"/>
                            <w:sz w:val="16"/>
                          </w:rPr>
                          <w:t> </w:t>
                        </w:r>
                        <w:r>
                          <w:rPr>
                            <w:rFonts w:ascii="Arial"/>
                            <w:b/>
                            <w:color w:val="FFFFFF"/>
                            <w:sz w:val="16"/>
                          </w:rPr>
                          <w:t>LPI</w:t>
                        </w:r>
                        <w:r>
                          <w:rPr>
                            <w:rFonts w:ascii="Arial"/>
                            <w:b/>
                            <w:color w:val="FFFFFF"/>
                            <w:spacing w:val="6"/>
                            <w:sz w:val="16"/>
                          </w:rPr>
                          <w:t> </w:t>
                        </w:r>
                        <w:r>
                          <w:rPr>
                            <w:rFonts w:ascii="Arial"/>
                            <w:b/>
                            <w:color w:val="FFFFFF"/>
                            <w:sz w:val="16"/>
                          </w:rPr>
                          <w:t>quintile,</w:t>
                        </w:r>
                        <w:r>
                          <w:rPr>
                            <w:rFonts w:ascii="Arial"/>
                            <w:b/>
                            <w:color w:val="FFFFFF"/>
                            <w:spacing w:val="6"/>
                            <w:sz w:val="16"/>
                          </w:rPr>
                          <w:t> </w:t>
                        </w:r>
                        <w:r>
                          <w:rPr>
                            <w:rFonts w:ascii="Arial"/>
                            <w:b/>
                            <w:color w:val="FFFFFF"/>
                            <w:spacing w:val="-4"/>
                            <w:sz w:val="16"/>
                          </w:rPr>
                          <w:t>2023</w:t>
                        </w:r>
                      </w:p>
                      <w:p>
                        <w:pPr>
                          <w:spacing w:line="240" w:lineRule="auto" w:before="89"/>
                          <w:rPr>
                            <w:rFonts w:ascii="Arial"/>
                            <w:b/>
                            <w:sz w:val="16"/>
                          </w:rPr>
                        </w:pPr>
                      </w:p>
                      <w:p>
                        <w:pPr>
                          <w:tabs>
                            <w:tab w:pos="3043" w:val="left" w:leader="none"/>
                          </w:tabs>
                          <w:spacing w:line="160" w:lineRule="exact" w:before="0"/>
                          <w:ind w:left="2368" w:right="0" w:firstLine="0"/>
                          <w:jc w:val="left"/>
                          <w:rPr>
                            <w:rFonts w:ascii="Arial"/>
                            <w:sz w:val="14"/>
                          </w:rPr>
                        </w:pPr>
                        <w:r>
                          <w:rPr>
                            <w:rFonts w:ascii="Arial"/>
                            <w:color w:val="231F20"/>
                            <w:spacing w:val="-2"/>
                            <w:sz w:val="14"/>
                          </w:rPr>
                          <w:t>Customs</w:t>
                        </w:r>
                        <w:r>
                          <w:rPr>
                            <w:rFonts w:ascii="Arial"/>
                            <w:color w:val="231F20"/>
                            <w:sz w:val="14"/>
                          </w:rPr>
                          <w:tab/>
                        </w:r>
                        <w:r>
                          <w:rPr>
                            <w:rFonts w:ascii="Arial"/>
                            <w:color w:val="231F20"/>
                            <w:spacing w:val="-2"/>
                            <w:sz w:val="14"/>
                          </w:rPr>
                          <w:t>Infrastructure</w:t>
                        </w:r>
                      </w:p>
                    </w:txbxContent>
                  </v:textbox>
                  <w10:wrap type="none"/>
                </v:shape>
                <v:shape style="position:absolute;left:120;top:726;width:399;height:406" type="#_x0000_t202" id="docshape516" filled="false" stroked="false">
                  <v:textbox inset="0,0,0,0">
                    <w:txbxContent>
                      <w:p>
                        <w:pPr>
                          <w:spacing w:line="159" w:lineRule="exact" w:before="0"/>
                          <w:ind w:left="0" w:right="18" w:firstLine="0"/>
                          <w:jc w:val="center"/>
                          <w:rPr>
                            <w:rFonts w:ascii="Arial"/>
                            <w:sz w:val="14"/>
                          </w:rPr>
                        </w:pPr>
                        <w:r>
                          <w:rPr>
                            <w:rFonts w:ascii="Arial"/>
                            <w:color w:val="231F20"/>
                            <w:spacing w:val="-4"/>
                            <w:w w:val="80"/>
                            <w:sz w:val="14"/>
                          </w:rPr>
                          <w:t>Percent</w:t>
                        </w:r>
                      </w:p>
                      <w:p>
                        <w:pPr>
                          <w:spacing w:line="160" w:lineRule="exact" w:before="86"/>
                          <w:ind w:left="0" w:right="59" w:firstLine="0"/>
                          <w:jc w:val="center"/>
                          <w:rPr>
                            <w:rFonts w:ascii="Arial"/>
                            <w:sz w:val="14"/>
                          </w:rPr>
                        </w:pPr>
                        <w:r>
                          <w:rPr>
                            <w:rFonts w:ascii="Arial"/>
                            <w:color w:val="231F20"/>
                            <w:spacing w:val="-10"/>
                            <w:sz w:val="14"/>
                          </w:rPr>
                          <w:t>5</w:t>
                        </w:r>
                      </w:p>
                    </w:txbxContent>
                  </v:textbox>
                  <w10:wrap type="none"/>
                </v:shape>
                <v:shape style="position:absolute;left:4067;top:566;width:1913;height:319" type="#_x0000_t202" id="docshape517" filled="false" stroked="false">
                  <v:textbox inset="0,0,0,0">
                    <w:txbxContent>
                      <w:p>
                        <w:pPr>
                          <w:tabs>
                            <w:tab w:pos="1055" w:val="left" w:leader="none"/>
                          </w:tabs>
                          <w:spacing w:before="0"/>
                          <w:ind w:left="0" w:right="18" w:firstLine="0"/>
                          <w:jc w:val="left"/>
                          <w:rPr>
                            <w:rFonts w:ascii="Arial"/>
                            <w:sz w:val="14"/>
                          </w:rPr>
                        </w:pPr>
                        <w:r>
                          <w:rPr>
                            <w:rFonts w:ascii="Arial"/>
                            <w:color w:val="231F20"/>
                            <w:sz w:val="14"/>
                          </w:rPr>
                          <w:t>Ease</w:t>
                        </w:r>
                        <w:r>
                          <w:rPr>
                            <w:rFonts w:ascii="Arial"/>
                            <w:color w:val="231F20"/>
                            <w:spacing w:val="-10"/>
                            <w:sz w:val="14"/>
                          </w:rPr>
                          <w:t> </w:t>
                        </w:r>
                        <w:r>
                          <w:rPr>
                            <w:rFonts w:ascii="Arial"/>
                            <w:color w:val="231F20"/>
                            <w:sz w:val="14"/>
                          </w:rPr>
                          <w:t>of</w:t>
                        </w:r>
                        <w:r>
                          <w:rPr>
                            <w:rFonts w:ascii="Arial"/>
                            <w:color w:val="231F20"/>
                            <w:spacing w:val="-10"/>
                            <w:sz w:val="14"/>
                          </w:rPr>
                          <w:t> </w:t>
                        </w:r>
                        <w:r>
                          <w:rPr>
                            <w:rFonts w:ascii="Arial"/>
                            <w:color w:val="231F20"/>
                            <w:sz w:val="14"/>
                          </w:rPr>
                          <w:t>shipping</w:t>
                          <w:tab/>
                          <w:t>Quality</w:t>
                        </w:r>
                        <w:r>
                          <w:rPr>
                            <w:rFonts w:ascii="Arial"/>
                            <w:color w:val="231F20"/>
                            <w:spacing w:val="-10"/>
                            <w:sz w:val="14"/>
                          </w:rPr>
                          <w:t> </w:t>
                        </w:r>
                        <w:r>
                          <w:rPr>
                            <w:rFonts w:ascii="Arial"/>
                            <w:color w:val="231F20"/>
                            <w:sz w:val="14"/>
                          </w:rPr>
                          <w:t>of</w:t>
                        </w:r>
                        <w:r>
                          <w:rPr>
                            <w:rFonts w:ascii="Arial"/>
                            <w:color w:val="231F20"/>
                            <w:spacing w:val="40"/>
                            <w:sz w:val="14"/>
                          </w:rPr>
                          <w:t> </w:t>
                        </w:r>
                        <w:r>
                          <w:rPr>
                            <w:rFonts w:ascii="Arial"/>
                            <w:color w:val="231F20"/>
                            <w:spacing w:val="-2"/>
                            <w:sz w:val="14"/>
                          </w:rPr>
                          <w:t>arrangements</w:t>
                        </w:r>
                        <w:r>
                          <w:rPr>
                            <w:rFonts w:ascii="Arial"/>
                            <w:color w:val="231F20"/>
                            <w:sz w:val="14"/>
                          </w:rPr>
                          <w:tab/>
                        </w:r>
                        <w:r>
                          <w:rPr>
                            <w:rFonts w:ascii="Arial"/>
                            <w:color w:val="231F20"/>
                            <w:spacing w:val="-2"/>
                            <w:w w:val="80"/>
                            <w:sz w:val="14"/>
                          </w:rPr>
                          <w:t>logistics</w:t>
                        </w:r>
                        <w:r>
                          <w:rPr>
                            <w:rFonts w:ascii="Arial"/>
                            <w:color w:val="231F20"/>
                            <w:spacing w:val="-8"/>
                            <w:sz w:val="14"/>
                          </w:rPr>
                          <w:t> </w:t>
                        </w:r>
                        <w:r>
                          <w:rPr>
                            <w:rFonts w:ascii="Arial"/>
                            <w:color w:val="231F20"/>
                            <w:spacing w:val="-2"/>
                            <w:w w:val="80"/>
                            <w:sz w:val="14"/>
                          </w:rPr>
                          <w:t>services</w:t>
                        </w:r>
                      </w:p>
                    </w:txbxContent>
                  </v:textbox>
                  <w10:wrap type="none"/>
                </v:shape>
                <v:shape style="position:absolute;left:6202;top:566;width:577;height:319" type="#_x0000_t202" id="docshape518" filled="false" stroked="false">
                  <v:textbox inset="0,0,0,0">
                    <w:txbxContent>
                      <w:p>
                        <w:pPr>
                          <w:spacing w:before="0"/>
                          <w:ind w:left="0" w:right="0" w:firstLine="0"/>
                          <w:jc w:val="left"/>
                          <w:rPr>
                            <w:rFonts w:ascii="Arial"/>
                            <w:sz w:val="14"/>
                          </w:rPr>
                        </w:pPr>
                        <w:r>
                          <w:rPr>
                            <w:rFonts w:ascii="Arial"/>
                            <w:color w:val="231F20"/>
                            <w:spacing w:val="-2"/>
                            <w:w w:val="95"/>
                            <w:sz w:val="14"/>
                          </w:rPr>
                          <w:t>Tracking</w:t>
                        </w:r>
                        <w:r>
                          <w:rPr>
                            <w:rFonts w:ascii="Arial"/>
                            <w:color w:val="231F20"/>
                            <w:spacing w:val="40"/>
                            <w:sz w:val="14"/>
                          </w:rPr>
                          <w:t> </w:t>
                        </w:r>
                        <w:r>
                          <w:rPr>
                            <w:rFonts w:ascii="Arial"/>
                            <w:color w:val="231F20"/>
                            <w:spacing w:val="-2"/>
                            <w:w w:val="80"/>
                            <w:sz w:val="14"/>
                          </w:rPr>
                          <w:t>and</w:t>
                        </w:r>
                        <w:r>
                          <w:rPr>
                            <w:rFonts w:ascii="Arial"/>
                            <w:color w:val="231F20"/>
                            <w:spacing w:val="-8"/>
                            <w:sz w:val="14"/>
                          </w:rPr>
                          <w:t> </w:t>
                        </w:r>
                        <w:r>
                          <w:rPr>
                            <w:rFonts w:ascii="Arial"/>
                            <w:color w:val="231F20"/>
                            <w:spacing w:val="-2"/>
                            <w:w w:val="80"/>
                            <w:sz w:val="14"/>
                          </w:rPr>
                          <w:t>tracing</w:t>
                        </w:r>
                      </w:p>
                    </w:txbxContent>
                  </v:textbox>
                  <w10:wrap type="none"/>
                </v:shape>
                <v:shape style="position:absolute;left:7001;top:566;width:544;height:159" type="#_x0000_t202" id="docshape519" filled="false" stroked="false">
                  <v:textbox inset="0,0,0,0">
                    <w:txbxContent>
                      <w:p>
                        <w:pPr>
                          <w:spacing w:line="158" w:lineRule="exact" w:before="0"/>
                          <w:ind w:left="0" w:right="0" w:firstLine="0"/>
                          <w:jc w:val="left"/>
                          <w:rPr>
                            <w:rFonts w:ascii="Arial"/>
                            <w:sz w:val="14"/>
                          </w:rPr>
                        </w:pPr>
                        <w:r>
                          <w:rPr>
                            <w:rFonts w:ascii="Arial"/>
                            <w:color w:val="231F20"/>
                            <w:spacing w:val="-2"/>
                            <w:w w:val="80"/>
                            <w:sz w:val="14"/>
                          </w:rPr>
                          <w:t>Timeliness</w:t>
                        </w:r>
                      </w:p>
                    </w:txbxContent>
                  </v:textbox>
                  <w10:wrap type="none"/>
                </v:shape>
                <v:shape style="position:absolute;left:255;top:1681;width:88;height:159" type="#_x0000_t202" id="docshape520" filled="false" stroked="false">
                  <v:textbox inset="0,0,0,0">
                    <w:txbxContent>
                      <w:p>
                        <w:pPr>
                          <w:spacing w:line="158" w:lineRule="exact" w:before="0"/>
                          <w:ind w:left="0" w:right="0" w:firstLine="0"/>
                          <w:jc w:val="left"/>
                          <w:rPr>
                            <w:rFonts w:ascii="Arial"/>
                            <w:sz w:val="14"/>
                          </w:rPr>
                        </w:pPr>
                        <w:r>
                          <w:rPr>
                            <w:rFonts w:ascii="Arial"/>
                            <w:color w:val="231F20"/>
                            <w:spacing w:val="-10"/>
                            <w:sz w:val="14"/>
                          </w:rPr>
                          <w:t>4</w:t>
                        </w:r>
                      </w:p>
                    </w:txbxContent>
                  </v:textbox>
                  <w10:wrap type="none"/>
                </v:shape>
                <v:shape style="position:absolute;left:255;top:2388;width:88;height:159" type="#_x0000_t202" id="docshape521" filled="false" stroked="false">
                  <v:textbox inset="0,0,0,0">
                    <w:txbxContent>
                      <w:p>
                        <w:pPr>
                          <w:spacing w:line="158" w:lineRule="exact" w:before="0"/>
                          <w:ind w:left="0" w:right="0" w:firstLine="0"/>
                          <w:jc w:val="left"/>
                          <w:rPr>
                            <w:rFonts w:ascii="Arial"/>
                            <w:sz w:val="14"/>
                          </w:rPr>
                        </w:pPr>
                        <w:r>
                          <w:rPr>
                            <w:rFonts w:ascii="Arial"/>
                            <w:color w:val="231F20"/>
                            <w:spacing w:val="-10"/>
                            <w:sz w:val="14"/>
                          </w:rPr>
                          <w:t>3</w:t>
                        </w:r>
                      </w:p>
                    </w:txbxContent>
                  </v:textbox>
                  <w10:wrap type="none"/>
                </v:shape>
                <v:shape style="position:absolute;left:255;top:3095;width:88;height:159" type="#_x0000_t202" id="docshape522" filled="false" stroked="false">
                  <v:textbox inset="0,0,0,0">
                    <w:txbxContent>
                      <w:p>
                        <w:pPr>
                          <w:spacing w:line="158" w:lineRule="exact" w:before="0"/>
                          <w:ind w:left="0" w:right="0" w:firstLine="0"/>
                          <w:jc w:val="left"/>
                          <w:rPr>
                            <w:rFonts w:ascii="Arial"/>
                            <w:sz w:val="14"/>
                          </w:rPr>
                        </w:pPr>
                        <w:r>
                          <w:rPr>
                            <w:rFonts w:ascii="Arial"/>
                            <w:color w:val="231F20"/>
                            <w:spacing w:val="-10"/>
                            <w:sz w:val="14"/>
                          </w:rPr>
                          <w:t>2</w:t>
                        </w:r>
                      </w:p>
                    </w:txbxContent>
                  </v:textbox>
                  <w10:wrap type="none"/>
                </v:shape>
                <v:shape style="position:absolute;left:255;top:3801;width:88;height:159" type="#_x0000_t202" id="docshape523" filled="false" stroked="false">
                  <v:textbox inset="0,0,0,0">
                    <w:txbxContent>
                      <w:p>
                        <w:pPr>
                          <w:spacing w:line="158" w:lineRule="exact" w:before="0"/>
                          <w:ind w:left="0" w:right="0" w:firstLine="0"/>
                          <w:jc w:val="left"/>
                          <w:rPr>
                            <w:rFonts w:ascii="Arial"/>
                            <w:sz w:val="14"/>
                          </w:rPr>
                        </w:pPr>
                        <w:r>
                          <w:rPr>
                            <w:rFonts w:ascii="Arial"/>
                            <w:color w:val="231F20"/>
                            <w:spacing w:val="-10"/>
                            <w:sz w:val="14"/>
                          </w:rPr>
                          <w:t>1</w:t>
                        </w:r>
                      </w:p>
                    </w:txbxContent>
                  </v:textbox>
                  <w10:wrap type="none"/>
                </v:shape>
                <v:shape style="position:absolute;left:762;top:3902;width:764;height:159" type="#_x0000_t202" id="docshape524" filled="false" stroked="false">
                  <v:textbox inset="0,0,0,0">
                    <w:txbxContent>
                      <w:p>
                        <w:pPr>
                          <w:spacing w:line="158" w:lineRule="exact" w:before="0"/>
                          <w:ind w:left="0" w:right="0" w:firstLine="0"/>
                          <w:jc w:val="left"/>
                          <w:rPr>
                            <w:rFonts w:ascii="Arial"/>
                            <w:sz w:val="14"/>
                          </w:rPr>
                        </w:pPr>
                        <w:r>
                          <w:rPr>
                            <w:rFonts w:ascii="Arial"/>
                            <w:color w:val="231F20"/>
                            <w:w w:val="75"/>
                            <w:sz w:val="14"/>
                          </w:rPr>
                          <w:t>Bottom</w:t>
                        </w:r>
                        <w:r>
                          <w:rPr>
                            <w:rFonts w:ascii="Arial"/>
                            <w:color w:val="231F20"/>
                            <w:spacing w:val="11"/>
                            <w:sz w:val="14"/>
                          </w:rPr>
                          <w:t> </w:t>
                        </w:r>
                        <w:r>
                          <w:rPr>
                            <w:rFonts w:ascii="Arial"/>
                            <w:color w:val="231F20"/>
                            <w:spacing w:val="-2"/>
                            <w:w w:val="85"/>
                            <w:sz w:val="14"/>
                          </w:rPr>
                          <w:t>quintile</w:t>
                        </w:r>
                      </w:p>
                    </w:txbxContent>
                  </v:textbox>
                  <w10:wrap type="none"/>
                </v:shape>
                <v:shape style="position:absolute;left:2159;top:3902;width:779;height:159" type="#_x0000_t202" id="docshape525" filled="false" stroked="false">
                  <v:textbox inset="0,0,0,0">
                    <w:txbxContent>
                      <w:p>
                        <w:pPr>
                          <w:spacing w:line="158" w:lineRule="exact" w:before="0"/>
                          <w:ind w:left="0" w:right="0" w:firstLine="0"/>
                          <w:jc w:val="left"/>
                          <w:rPr>
                            <w:rFonts w:ascii="Arial"/>
                            <w:sz w:val="14"/>
                          </w:rPr>
                        </w:pPr>
                        <w:r>
                          <w:rPr>
                            <w:rFonts w:ascii="Arial"/>
                            <w:color w:val="231F20"/>
                            <w:w w:val="75"/>
                            <w:sz w:val="14"/>
                          </w:rPr>
                          <w:t>Second</w:t>
                        </w:r>
                        <w:r>
                          <w:rPr>
                            <w:rFonts w:ascii="Arial"/>
                            <w:color w:val="231F20"/>
                            <w:spacing w:val="3"/>
                            <w:sz w:val="14"/>
                          </w:rPr>
                          <w:t> </w:t>
                        </w:r>
                        <w:r>
                          <w:rPr>
                            <w:rFonts w:ascii="Arial"/>
                            <w:color w:val="231F20"/>
                            <w:spacing w:val="-2"/>
                            <w:w w:val="85"/>
                            <w:sz w:val="14"/>
                          </w:rPr>
                          <w:t>quintile</w:t>
                        </w:r>
                      </w:p>
                    </w:txbxContent>
                  </v:textbox>
                  <w10:wrap type="none"/>
                </v:shape>
                <v:shape style="position:absolute;left:3621;top:3902;width:662;height:159" type="#_x0000_t202" id="docshape526" filled="false" stroked="false">
                  <v:textbox inset="0,0,0,0">
                    <w:txbxContent>
                      <w:p>
                        <w:pPr>
                          <w:spacing w:line="158" w:lineRule="exact" w:before="0"/>
                          <w:ind w:left="0" w:right="0" w:firstLine="0"/>
                          <w:jc w:val="left"/>
                          <w:rPr>
                            <w:rFonts w:ascii="Arial"/>
                            <w:sz w:val="14"/>
                          </w:rPr>
                        </w:pPr>
                        <w:r>
                          <w:rPr>
                            <w:rFonts w:ascii="Arial"/>
                            <w:color w:val="231F20"/>
                            <w:w w:val="75"/>
                            <w:sz w:val="14"/>
                          </w:rPr>
                          <w:t>Third</w:t>
                        </w:r>
                        <w:r>
                          <w:rPr>
                            <w:rFonts w:ascii="Arial"/>
                            <w:color w:val="231F20"/>
                            <w:spacing w:val="3"/>
                            <w:sz w:val="14"/>
                          </w:rPr>
                          <w:t> </w:t>
                        </w:r>
                        <w:r>
                          <w:rPr>
                            <w:rFonts w:ascii="Arial"/>
                            <w:color w:val="231F20"/>
                            <w:spacing w:val="-2"/>
                            <w:w w:val="85"/>
                            <w:sz w:val="14"/>
                          </w:rPr>
                          <w:t>quintile</w:t>
                        </w:r>
                      </w:p>
                    </w:txbxContent>
                  </v:textbox>
                  <w10:wrap type="none"/>
                </v:shape>
                <v:shape style="position:absolute;left:4993;top:3902;width:727;height:159" type="#_x0000_t202" id="docshape527" filled="false" stroked="false">
                  <v:textbox inset="0,0,0,0">
                    <w:txbxContent>
                      <w:p>
                        <w:pPr>
                          <w:spacing w:line="158" w:lineRule="exact" w:before="0"/>
                          <w:ind w:left="0" w:right="0" w:firstLine="0"/>
                          <w:jc w:val="left"/>
                          <w:rPr>
                            <w:rFonts w:ascii="Arial"/>
                            <w:sz w:val="14"/>
                          </w:rPr>
                        </w:pPr>
                        <w:r>
                          <w:rPr>
                            <w:rFonts w:ascii="Arial"/>
                            <w:color w:val="231F20"/>
                            <w:w w:val="75"/>
                            <w:sz w:val="14"/>
                          </w:rPr>
                          <w:t>Fourth</w:t>
                        </w:r>
                        <w:r>
                          <w:rPr>
                            <w:rFonts w:ascii="Arial"/>
                            <w:color w:val="231F20"/>
                            <w:spacing w:val="6"/>
                            <w:sz w:val="14"/>
                          </w:rPr>
                          <w:t> </w:t>
                        </w:r>
                        <w:r>
                          <w:rPr>
                            <w:rFonts w:ascii="Arial"/>
                            <w:color w:val="231F20"/>
                            <w:spacing w:val="-2"/>
                            <w:w w:val="85"/>
                            <w:sz w:val="14"/>
                          </w:rPr>
                          <w:t>quintile</w:t>
                        </w:r>
                      </w:p>
                    </w:txbxContent>
                  </v:textbox>
                  <w10:wrap type="none"/>
                </v:shape>
                <v:shape style="position:absolute;left:6468;top:3902;width:585;height:159" type="#_x0000_t202" id="docshape528" filled="false" stroked="false">
                  <v:textbox inset="0,0,0,0">
                    <w:txbxContent>
                      <w:p>
                        <w:pPr>
                          <w:spacing w:line="158" w:lineRule="exact" w:before="0"/>
                          <w:ind w:left="0" w:right="0" w:firstLine="0"/>
                          <w:jc w:val="left"/>
                          <w:rPr>
                            <w:rFonts w:ascii="Arial"/>
                            <w:sz w:val="14"/>
                          </w:rPr>
                        </w:pPr>
                        <w:r>
                          <w:rPr>
                            <w:rFonts w:ascii="Arial"/>
                            <w:color w:val="231F20"/>
                            <w:spacing w:val="-4"/>
                            <w:w w:val="75"/>
                            <w:sz w:val="14"/>
                          </w:rPr>
                          <w:t>Top</w:t>
                        </w:r>
                        <w:r>
                          <w:rPr>
                            <w:rFonts w:ascii="Arial"/>
                            <w:color w:val="231F20"/>
                            <w:spacing w:val="-3"/>
                            <w:sz w:val="14"/>
                          </w:rPr>
                          <w:t> </w:t>
                        </w:r>
                        <w:r>
                          <w:rPr>
                            <w:rFonts w:ascii="Arial"/>
                            <w:color w:val="231F20"/>
                            <w:spacing w:val="-2"/>
                            <w:w w:val="85"/>
                            <w:sz w:val="14"/>
                          </w:rPr>
                          <w:t>quintile</w:t>
                        </w:r>
                      </w:p>
                    </w:txbxContent>
                  </v:textbox>
                  <w10:wrap type="none"/>
                </v:shape>
                <v:shape style="position:absolute;left:120;top:4177;width:1856;height:144" type="#_x0000_t202" id="docshape529" filled="false" stroked="false">
                  <v:textbox inset="0,0,0,0">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1"/>
                            <w:w w:val="80"/>
                            <w:sz w:val="12"/>
                          </w:rPr>
                          <w:t> </w:t>
                        </w:r>
                        <w:r>
                          <w:rPr>
                            <w:rFonts w:ascii="Arial"/>
                            <w:color w:val="231F20"/>
                            <w:w w:val="80"/>
                            <w:sz w:val="12"/>
                          </w:rPr>
                          <w:t>2023</w:t>
                        </w:r>
                        <w:r>
                          <w:rPr>
                            <w:rFonts w:ascii="Arial"/>
                            <w:color w:val="231F20"/>
                            <w:spacing w:val="-1"/>
                            <w:w w:val="80"/>
                            <w:sz w:val="12"/>
                          </w:rPr>
                          <w:t> </w:t>
                        </w:r>
                        <w:r>
                          <w:rPr>
                            <w:rFonts w:ascii="Arial"/>
                            <w:color w:val="231F20"/>
                            <w:w w:val="80"/>
                            <w:sz w:val="12"/>
                          </w:rPr>
                          <w:t>Logistics</w:t>
                        </w:r>
                        <w:r>
                          <w:rPr>
                            <w:rFonts w:ascii="Arial"/>
                            <w:color w:val="231F20"/>
                            <w:spacing w:val="-1"/>
                            <w:w w:val="80"/>
                            <w:sz w:val="12"/>
                          </w:rPr>
                          <w:t> </w:t>
                        </w:r>
                        <w:r>
                          <w:rPr>
                            <w:rFonts w:ascii="Arial"/>
                            <w:color w:val="231F20"/>
                            <w:w w:val="80"/>
                            <w:sz w:val="12"/>
                          </w:rPr>
                          <w:t>Performance</w:t>
                        </w:r>
                        <w:r>
                          <w:rPr>
                            <w:rFonts w:ascii="Arial"/>
                            <w:color w:val="231F20"/>
                            <w:spacing w:val="-1"/>
                            <w:w w:val="80"/>
                            <w:sz w:val="12"/>
                          </w:rPr>
                          <w:t> </w:t>
                        </w:r>
                        <w:r>
                          <w:rPr>
                            <w:rFonts w:ascii="Arial"/>
                            <w:color w:val="231F20"/>
                            <w:spacing w:val="-2"/>
                            <w:w w:val="80"/>
                            <w:sz w:val="12"/>
                          </w:rPr>
                          <w:t>Index.</w:t>
                        </w:r>
                      </w:p>
                    </w:txbxContent>
                  </v:textbox>
                  <w10:wrap type="none"/>
                </v:shape>
              </v:group>
            </w:pict>
          </mc:Fallback>
        </mc:AlternateContent>
      </w:r>
      <w:r>
        <w:rPr>
          <w:sz w:val="20"/>
        </w:rPr>
      </w:r>
    </w:p>
    <w:p>
      <w:pPr>
        <w:pStyle w:val="BodyText"/>
        <w:spacing w:before="12"/>
        <w:rPr>
          <w:sz w:val="20"/>
        </w:rPr>
      </w:pPr>
    </w:p>
    <w:p>
      <w:pPr>
        <w:spacing w:after="0"/>
        <w:rPr>
          <w:sz w:val="20"/>
        </w:rPr>
        <w:sectPr>
          <w:pgSz w:w="12240" w:h="15840"/>
          <w:pgMar w:header="370" w:footer="548" w:top="560" w:bottom="740" w:left="0" w:right="540"/>
        </w:sectPr>
      </w:pPr>
    </w:p>
    <w:p>
      <w:pPr>
        <w:spacing w:line="280" w:lineRule="auto" w:before="105"/>
        <w:ind w:left="1200" w:right="1" w:firstLine="0"/>
        <w:jc w:val="left"/>
        <w:rPr>
          <w:rFonts w:ascii="Arial" w:hAnsi="Arial"/>
          <w:b/>
          <w:sz w:val="20"/>
        </w:rPr>
      </w:pPr>
      <w:r>
        <w:rPr>
          <w:rFonts w:ascii="Arial" w:hAnsi="Arial"/>
          <w:b/>
          <w:color w:val="231F20"/>
          <w:w w:val="105"/>
          <w:sz w:val="20"/>
        </w:rPr>
        <w:t>The</w:t>
      </w:r>
      <w:r>
        <w:rPr>
          <w:rFonts w:ascii="Arial" w:hAnsi="Arial"/>
          <w:b/>
          <w:color w:val="231F20"/>
          <w:spacing w:val="-4"/>
          <w:w w:val="105"/>
          <w:sz w:val="20"/>
        </w:rPr>
        <w:t> </w:t>
      </w:r>
      <w:r>
        <w:rPr>
          <w:rFonts w:ascii="Arial" w:hAnsi="Arial"/>
          <w:b/>
          <w:color w:val="231F20"/>
          <w:w w:val="105"/>
          <w:sz w:val="20"/>
        </w:rPr>
        <w:t>dynamics</w:t>
      </w:r>
      <w:r>
        <w:rPr>
          <w:rFonts w:ascii="Arial" w:hAnsi="Arial"/>
          <w:b/>
          <w:color w:val="231F20"/>
          <w:spacing w:val="-4"/>
          <w:w w:val="105"/>
          <w:sz w:val="20"/>
        </w:rPr>
        <w:t> </w:t>
      </w:r>
      <w:r>
        <w:rPr>
          <w:rFonts w:ascii="Arial" w:hAnsi="Arial"/>
          <w:b/>
          <w:color w:val="231F20"/>
          <w:w w:val="105"/>
          <w:sz w:val="20"/>
        </w:rPr>
        <w:t>of</w:t>
      </w:r>
      <w:r>
        <w:rPr>
          <w:rFonts w:ascii="Arial" w:hAnsi="Arial"/>
          <w:b/>
          <w:color w:val="231F20"/>
          <w:spacing w:val="-4"/>
          <w:w w:val="105"/>
          <w:sz w:val="20"/>
        </w:rPr>
        <w:t> </w:t>
      </w:r>
      <w:r>
        <w:rPr>
          <w:rFonts w:ascii="Arial" w:hAnsi="Arial"/>
          <w:b/>
          <w:color w:val="231F20"/>
          <w:w w:val="105"/>
          <w:sz w:val="20"/>
        </w:rPr>
        <w:t>LPI</w:t>
      </w:r>
      <w:r>
        <w:rPr>
          <w:rFonts w:ascii="Arial" w:hAnsi="Arial"/>
          <w:b/>
          <w:color w:val="231F20"/>
          <w:spacing w:val="-4"/>
          <w:w w:val="105"/>
          <w:sz w:val="20"/>
        </w:rPr>
        <w:t> </w:t>
      </w:r>
      <w:r>
        <w:rPr>
          <w:rFonts w:ascii="Arial" w:hAnsi="Arial"/>
          <w:b/>
          <w:color w:val="231F20"/>
          <w:w w:val="105"/>
          <w:sz w:val="20"/>
        </w:rPr>
        <w:t>scores</w:t>
      </w:r>
      <w:r>
        <w:rPr>
          <w:rFonts w:ascii="Arial" w:hAnsi="Arial"/>
          <w:b/>
          <w:color w:val="231F20"/>
          <w:spacing w:val="-4"/>
          <w:w w:val="105"/>
          <w:sz w:val="20"/>
        </w:rPr>
        <w:t> </w:t>
      </w:r>
      <w:r>
        <w:rPr>
          <w:rFonts w:ascii="Arial" w:hAnsi="Arial"/>
          <w:b/>
          <w:color w:val="231F20"/>
          <w:w w:val="105"/>
          <w:sz w:val="20"/>
        </w:rPr>
        <w:t>over </w:t>
      </w:r>
      <w:r>
        <w:rPr>
          <w:rFonts w:ascii="Arial" w:hAnsi="Arial"/>
          <w:b/>
          <w:color w:val="231F20"/>
          <w:spacing w:val="-2"/>
          <w:w w:val="105"/>
          <w:sz w:val="20"/>
        </w:rPr>
        <w:t>2012–23</w:t>
      </w:r>
    </w:p>
    <w:p>
      <w:pPr>
        <w:pStyle w:val="BodyText"/>
        <w:spacing w:before="33"/>
        <w:rPr>
          <w:rFonts w:ascii="Arial"/>
          <w:b/>
          <w:sz w:val="20"/>
        </w:rPr>
      </w:pPr>
    </w:p>
    <w:p>
      <w:pPr>
        <w:pStyle w:val="BodyText"/>
        <w:spacing w:line="268" w:lineRule="auto" w:before="1"/>
        <w:ind w:left="1116"/>
        <w:jc w:val="right"/>
      </w:pPr>
      <w:r>
        <w:rPr>
          <w:color w:val="231F20"/>
          <w:spacing w:val="-8"/>
        </w:rPr>
        <w:t>Caution</w:t>
      </w:r>
      <w:r>
        <w:rPr>
          <w:color w:val="231F20"/>
          <w:spacing w:val="-21"/>
        </w:rPr>
        <w:t> </w:t>
      </w:r>
      <w:r>
        <w:rPr>
          <w:color w:val="231F20"/>
          <w:spacing w:val="-8"/>
        </w:rPr>
        <w:t>should</w:t>
      </w:r>
      <w:r>
        <w:rPr>
          <w:color w:val="231F20"/>
          <w:spacing w:val="-21"/>
        </w:rPr>
        <w:t> </w:t>
      </w:r>
      <w:r>
        <w:rPr>
          <w:color w:val="231F20"/>
          <w:spacing w:val="-8"/>
        </w:rPr>
        <w:t>be</w:t>
      </w:r>
      <w:r>
        <w:rPr>
          <w:color w:val="231F20"/>
          <w:spacing w:val="-21"/>
        </w:rPr>
        <w:t> </w:t>
      </w:r>
      <w:r>
        <w:rPr>
          <w:color w:val="231F20"/>
          <w:spacing w:val="-8"/>
        </w:rPr>
        <w:t>used</w:t>
      </w:r>
      <w:r>
        <w:rPr>
          <w:color w:val="231F20"/>
          <w:spacing w:val="-21"/>
        </w:rPr>
        <w:t> </w:t>
      </w:r>
      <w:r>
        <w:rPr>
          <w:color w:val="231F20"/>
          <w:spacing w:val="-8"/>
        </w:rPr>
        <w:t>in</w:t>
      </w:r>
      <w:r>
        <w:rPr>
          <w:color w:val="231F20"/>
          <w:spacing w:val="-21"/>
        </w:rPr>
        <w:t> </w:t>
      </w:r>
      <w:r>
        <w:rPr>
          <w:color w:val="231F20"/>
          <w:spacing w:val="-8"/>
        </w:rPr>
        <w:t>interpreting</w:t>
      </w:r>
      <w:r>
        <w:rPr>
          <w:color w:val="231F20"/>
          <w:spacing w:val="-21"/>
        </w:rPr>
        <w:t> </w:t>
      </w:r>
      <w:r>
        <w:rPr>
          <w:color w:val="231F20"/>
          <w:spacing w:val="-8"/>
        </w:rPr>
        <w:t>changes</w:t>
      </w:r>
      <w:r>
        <w:rPr>
          <w:color w:val="231F20"/>
          <w:spacing w:val="-21"/>
        </w:rPr>
        <w:t> </w:t>
      </w:r>
      <w:r>
        <w:rPr>
          <w:color w:val="231F20"/>
          <w:spacing w:val="-8"/>
        </w:rPr>
        <w:t>in </w:t>
      </w:r>
      <w:r>
        <w:rPr>
          <w:color w:val="231F20"/>
          <w:w w:val="90"/>
        </w:rPr>
        <w:t>scores</w:t>
      </w:r>
      <w:r>
        <w:rPr>
          <w:color w:val="231F20"/>
          <w:spacing w:val="-7"/>
          <w:w w:val="90"/>
        </w:rPr>
        <w:t> </w:t>
      </w:r>
      <w:r>
        <w:rPr>
          <w:color w:val="231F20"/>
          <w:w w:val="90"/>
        </w:rPr>
        <w:t>over</w:t>
      </w:r>
      <w:r>
        <w:rPr>
          <w:color w:val="231F20"/>
          <w:spacing w:val="-7"/>
          <w:w w:val="90"/>
        </w:rPr>
        <w:t> </w:t>
      </w:r>
      <w:r>
        <w:rPr>
          <w:color w:val="231F20"/>
          <w:w w:val="90"/>
        </w:rPr>
        <w:t>time.</w:t>
      </w:r>
      <w:r>
        <w:rPr>
          <w:color w:val="231F20"/>
          <w:spacing w:val="-7"/>
          <w:w w:val="90"/>
        </w:rPr>
        <w:t> </w:t>
      </w:r>
      <w:r>
        <w:rPr>
          <w:color w:val="231F20"/>
          <w:w w:val="90"/>
        </w:rPr>
        <w:t>But</w:t>
      </w:r>
      <w:r>
        <w:rPr>
          <w:color w:val="231F20"/>
          <w:spacing w:val="-7"/>
          <w:w w:val="90"/>
        </w:rPr>
        <w:t> </w:t>
      </w:r>
      <w:r>
        <w:rPr>
          <w:color w:val="231F20"/>
          <w:w w:val="90"/>
        </w:rPr>
        <w:t>examining</w:t>
      </w:r>
      <w:r>
        <w:rPr>
          <w:color w:val="231F20"/>
          <w:spacing w:val="-7"/>
          <w:w w:val="90"/>
        </w:rPr>
        <w:t> </w:t>
      </w:r>
      <w:r>
        <w:rPr>
          <w:color w:val="231F20"/>
          <w:w w:val="90"/>
        </w:rPr>
        <w:t>the</w:t>
      </w:r>
      <w:r>
        <w:rPr>
          <w:color w:val="231F20"/>
          <w:spacing w:val="-7"/>
          <w:w w:val="90"/>
        </w:rPr>
        <w:t> </w:t>
      </w:r>
      <w:r>
        <w:rPr>
          <w:color w:val="231F20"/>
          <w:w w:val="90"/>
        </w:rPr>
        <w:t>full</w:t>
      </w:r>
      <w:r>
        <w:rPr>
          <w:color w:val="231F20"/>
          <w:spacing w:val="-7"/>
          <w:w w:val="90"/>
        </w:rPr>
        <w:t> </w:t>
      </w:r>
      <w:r>
        <w:rPr>
          <w:color w:val="231F20"/>
          <w:w w:val="90"/>
        </w:rPr>
        <w:t>distribu- tion</w:t>
      </w:r>
      <w:r>
        <w:rPr>
          <w:color w:val="231F20"/>
          <w:spacing w:val="-7"/>
          <w:w w:val="90"/>
        </w:rPr>
        <w:t> </w:t>
      </w:r>
      <w:r>
        <w:rPr>
          <w:color w:val="231F20"/>
          <w:w w:val="90"/>
        </w:rPr>
        <w:t>of</w:t>
      </w:r>
      <w:r>
        <w:rPr>
          <w:color w:val="231F20"/>
          <w:spacing w:val="-7"/>
          <w:w w:val="90"/>
        </w:rPr>
        <w:t> </w:t>
      </w:r>
      <w:r>
        <w:rPr>
          <w:color w:val="231F20"/>
          <w:w w:val="90"/>
        </w:rPr>
        <w:t>scores</w:t>
      </w:r>
      <w:r>
        <w:rPr>
          <w:color w:val="231F20"/>
          <w:spacing w:val="-7"/>
          <w:w w:val="90"/>
        </w:rPr>
        <w:t> </w:t>
      </w:r>
      <w:r>
        <w:rPr>
          <w:color w:val="231F20"/>
          <w:w w:val="90"/>
        </w:rPr>
        <w:t>by</w:t>
      </w:r>
      <w:r>
        <w:rPr>
          <w:color w:val="231F20"/>
          <w:spacing w:val="-7"/>
          <w:w w:val="90"/>
        </w:rPr>
        <w:t> </w:t>
      </w:r>
      <w:r>
        <w:rPr>
          <w:color w:val="231F20"/>
          <w:w w:val="90"/>
        </w:rPr>
        <w:t>year</w:t>
      </w:r>
      <w:r>
        <w:rPr>
          <w:color w:val="231F20"/>
          <w:spacing w:val="-7"/>
          <w:w w:val="90"/>
        </w:rPr>
        <w:t> </w:t>
      </w:r>
      <w:r>
        <w:rPr>
          <w:color w:val="231F20"/>
          <w:w w:val="90"/>
        </w:rPr>
        <w:t>can</w:t>
      </w:r>
      <w:r>
        <w:rPr>
          <w:color w:val="231F20"/>
          <w:spacing w:val="-7"/>
          <w:w w:val="90"/>
        </w:rPr>
        <w:t> </w:t>
      </w:r>
      <w:r>
        <w:rPr>
          <w:color w:val="231F20"/>
          <w:w w:val="90"/>
        </w:rPr>
        <w:t>be</w:t>
      </w:r>
      <w:r>
        <w:rPr>
          <w:color w:val="231F20"/>
          <w:spacing w:val="-7"/>
          <w:w w:val="90"/>
        </w:rPr>
        <w:t> </w:t>
      </w:r>
      <w:r>
        <w:rPr>
          <w:color w:val="231F20"/>
          <w:w w:val="90"/>
        </w:rPr>
        <w:t>informative</w:t>
      </w:r>
      <w:r>
        <w:rPr>
          <w:color w:val="231F20"/>
          <w:spacing w:val="-7"/>
          <w:w w:val="90"/>
        </w:rPr>
        <w:t> </w:t>
      </w:r>
      <w:r>
        <w:rPr>
          <w:color w:val="231F20"/>
          <w:w w:val="90"/>
        </w:rPr>
        <w:t>because the</w:t>
      </w:r>
      <w:r>
        <w:rPr>
          <w:color w:val="231F20"/>
          <w:spacing w:val="-12"/>
          <w:w w:val="90"/>
        </w:rPr>
        <w:t> </w:t>
      </w:r>
      <w:r>
        <w:rPr>
          <w:color w:val="231F20"/>
          <w:w w:val="90"/>
        </w:rPr>
        <w:t>analysis</w:t>
      </w:r>
      <w:r>
        <w:rPr>
          <w:color w:val="231F20"/>
          <w:spacing w:val="-10"/>
          <w:w w:val="90"/>
        </w:rPr>
        <w:t> </w:t>
      </w:r>
      <w:r>
        <w:rPr>
          <w:color w:val="231F20"/>
          <w:w w:val="90"/>
        </w:rPr>
        <w:t>can</w:t>
      </w:r>
      <w:r>
        <w:rPr>
          <w:color w:val="231F20"/>
          <w:spacing w:val="-10"/>
          <w:w w:val="90"/>
        </w:rPr>
        <w:t> </w:t>
      </w:r>
      <w:r>
        <w:rPr>
          <w:color w:val="231F20"/>
          <w:w w:val="90"/>
        </w:rPr>
        <w:t>focus</w:t>
      </w:r>
      <w:r>
        <w:rPr>
          <w:color w:val="231F20"/>
          <w:spacing w:val="-9"/>
          <w:w w:val="90"/>
        </w:rPr>
        <w:t> </w:t>
      </w:r>
      <w:r>
        <w:rPr>
          <w:color w:val="231F20"/>
          <w:w w:val="90"/>
        </w:rPr>
        <w:t>on</w:t>
      </w:r>
      <w:r>
        <w:rPr>
          <w:color w:val="231F20"/>
          <w:spacing w:val="-10"/>
          <w:w w:val="90"/>
        </w:rPr>
        <w:t> </w:t>
      </w:r>
      <w:r>
        <w:rPr>
          <w:color w:val="231F20"/>
          <w:w w:val="90"/>
        </w:rPr>
        <w:t>such</w:t>
      </w:r>
      <w:r>
        <w:rPr>
          <w:color w:val="231F20"/>
          <w:spacing w:val="-10"/>
          <w:w w:val="90"/>
        </w:rPr>
        <w:t> </w:t>
      </w:r>
      <w:r>
        <w:rPr>
          <w:color w:val="231F20"/>
          <w:w w:val="90"/>
        </w:rPr>
        <w:t>issues</w:t>
      </w:r>
      <w:r>
        <w:rPr>
          <w:color w:val="231F20"/>
          <w:spacing w:val="-10"/>
          <w:w w:val="90"/>
        </w:rPr>
        <w:t> </w:t>
      </w:r>
      <w:r>
        <w:rPr>
          <w:color w:val="231F20"/>
          <w:w w:val="90"/>
        </w:rPr>
        <w:t>as</w:t>
      </w:r>
      <w:r>
        <w:rPr>
          <w:color w:val="231F20"/>
          <w:spacing w:val="-9"/>
          <w:w w:val="90"/>
        </w:rPr>
        <w:t> </w:t>
      </w:r>
      <w:r>
        <w:rPr>
          <w:color w:val="231F20"/>
          <w:w w:val="90"/>
        </w:rPr>
        <w:t>clustering </w:t>
      </w:r>
      <w:r>
        <w:rPr>
          <w:color w:val="231F20"/>
          <w:spacing w:val="-8"/>
        </w:rPr>
        <w:t>and</w:t>
      </w:r>
      <w:r>
        <w:rPr>
          <w:color w:val="231F20"/>
          <w:spacing w:val="-17"/>
        </w:rPr>
        <w:t> </w:t>
      </w:r>
      <w:r>
        <w:rPr>
          <w:color w:val="231F20"/>
          <w:spacing w:val="-8"/>
        </w:rPr>
        <w:t>dispersion</w:t>
      </w:r>
      <w:r>
        <w:rPr>
          <w:color w:val="231F20"/>
          <w:spacing w:val="-17"/>
        </w:rPr>
        <w:t> </w:t>
      </w:r>
      <w:r>
        <w:rPr>
          <w:color w:val="231F20"/>
          <w:spacing w:val="-8"/>
        </w:rPr>
        <w:t>at</w:t>
      </w:r>
      <w:r>
        <w:rPr>
          <w:color w:val="231F20"/>
          <w:spacing w:val="-17"/>
        </w:rPr>
        <w:t> </w:t>
      </w:r>
      <w:r>
        <w:rPr>
          <w:color w:val="231F20"/>
          <w:spacing w:val="-8"/>
        </w:rPr>
        <w:t>particular</w:t>
      </w:r>
      <w:r>
        <w:rPr>
          <w:color w:val="231F20"/>
          <w:spacing w:val="-17"/>
        </w:rPr>
        <w:t> </w:t>
      </w:r>
      <w:r>
        <w:rPr>
          <w:color w:val="231F20"/>
          <w:spacing w:val="-8"/>
        </w:rPr>
        <w:t>points.</w:t>
      </w:r>
      <w:r>
        <w:rPr>
          <w:color w:val="231F20"/>
          <w:spacing w:val="-17"/>
        </w:rPr>
        <w:t> </w:t>
      </w:r>
      <w:r>
        <w:rPr>
          <w:color w:val="231F20"/>
          <w:spacing w:val="-8"/>
        </w:rPr>
        <w:t>In</w:t>
      </w:r>
      <w:r>
        <w:rPr>
          <w:color w:val="231F20"/>
          <w:spacing w:val="-17"/>
        </w:rPr>
        <w:t> </w:t>
      </w:r>
      <w:r>
        <w:rPr>
          <w:color w:val="231F20"/>
          <w:spacing w:val="-8"/>
        </w:rPr>
        <w:t>general,</w:t>
      </w:r>
      <w:r>
        <w:rPr>
          <w:color w:val="231F20"/>
          <w:spacing w:val="-17"/>
        </w:rPr>
        <w:t> </w:t>
      </w:r>
      <w:r>
        <w:rPr>
          <w:color w:val="231F20"/>
          <w:spacing w:val="-8"/>
        </w:rPr>
        <w:t>the </w:t>
      </w:r>
      <w:r>
        <w:rPr>
          <w:color w:val="231F20"/>
          <w:spacing w:val="-6"/>
        </w:rPr>
        <w:t>most frequent LPI score has increased over the </w:t>
      </w:r>
      <w:r>
        <w:rPr>
          <w:color w:val="231F20"/>
          <w:spacing w:val="-4"/>
        </w:rPr>
        <w:t>past</w:t>
      </w:r>
      <w:r>
        <w:rPr>
          <w:color w:val="231F20"/>
          <w:spacing w:val="-10"/>
        </w:rPr>
        <w:t> </w:t>
      </w:r>
      <w:r>
        <w:rPr>
          <w:color w:val="231F20"/>
          <w:spacing w:val="-4"/>
        </w:rPr>
        <w:t>decade,</w:t>
      </w:r>
      <w:r>
        <w:rPr>
          <w:color w:val="231F20"/>
          <w:spacing w:val="-9"/>
        </w:rPr>
        <w:t> </w:t>
      </w:r>
      <w:r>
        <w:rPr>
          <w:color w:val="231F20"/>
          <w:spacing w:val="-4"/>
        </w:rPr>
        <w:t>which</w:t>
      </w:r>
      <w:r>
        <w:rPr>
          <w:color w:val="231F20"/>
          <w:spacing w:val="-9"/>
        </w:rPr>
        <w:t> </w:t>
      </w:r>
      <w:r>
        <w:rPr>
          <w:color w:val="231F20"/>
          <w:spacing w:val="-4"/>
        </w:rPr>
        <w:t>could</w:t>
      </w:r>
      <w:r>
        <w:rPr>
          <w:color w:val="231F20"/>
          <w:spacing w:val="-9"/>
        </w:rPr>
        <w:t> </w:t>
      </w:r>
      <w:r>
        <w:rPr>
          <w:color w:val="231F20"/>
          <w:spacing w:val="-4"/>
        </w:rPr>
        <w:t>signal</w:t>
      </w:r>
      <w:r>
        <w:rPr>
          <w:color w:val="231F20"/>
          <w:spacing w:val="-9"/>
        </w:rPr>
        <w:t> </w:t>
      </w:r>
      <w:r>
        <w:rPr>
          <w:color w:val="231F20"/>
          <w:spacing w:val="-4"/>
        </w:rPr>
        <w:t>a</w:t>
      </w:r>
      <w:r>
        <w:rPr>
          <w:color w:val="231F20"/>
          <w:spacing w:val="-9"/>
        </w:rPr>
        <w:t> </w:t>
      </w:r>
      <w:r>
        <w:rPr>
          <w:color w:val="231F20"/>
          <w:spacing w:val="-4"/>
        </w:rPr>
        <w:t>trend</w:t>
      </w:r>
      <w:r>
        <w:rPr>
          <w:color w:val="231F20"/>
          <w:spacing w:val="-9"/>
        </w:rPr>
        <w:t> </w:t>
      </w:r>
      <w:r>
        <w:rPr>
          <w:color w:val="231F20"/>
          <w:spacing w:val="-4"/>
        </w:rPr>
        <w:t>toward </w:t>
      </w:r>
      <w:r>
        <w:rPr>
          <w:color w:val="231F20"/>
          <w:w w:val="90"/>
        </w:rPr>
        <w:t>rising</w:t>
      </w:r>
      <w:r>
        <w:rPr>
          <w:color w:val="231F20"/>
          <w:spacing w:val="-8"/>
          <w:w w:val="90"/>
        </w:rPr>
        <w:t> </w:t>
      </w:r>
      <w:r>
        <w:rPr>
          <w:color w:val="231F20"/>
          <w:w w:val="90"/>
        </w:rPr>
        <w:t>scores,</w:t>
      </w:r>
      <w:r>
        <w:rPr>
          <w:color w:val="231F20"/>
          <w:spacing w:val="-8"/>
          <w:w w:val="90"/>
        </w:rPr>
        <w:t> </w:t>
      </w:r>
      <w:r>
        <w:rPr>
          <w:color w:val="231F20"/>
          <w:w w:val="90"/>
        </w:rPr>
        <w:t>subject</w:t>
      </w:r>
      <w:r>
        <w:rPr>
          <w:color w:val="231F20"/>
          <w:spacing w:val="-8"/>
          <w:w w:val="90"/>
        </w:rPr>
        <w:t> </w:t>
      </w:r>
      <w:r>
        <w:rPr>
          <w:color w:val="231F20"/>
          <w:w w:val="90"/>
        </w:rPr>
        <w:t>to</w:t>
      </w:r>
      <w:r>
        <w:rPr>
          <w:color w:val="231F20"/>
          <w:spacing w:val="-8"/>
          <w:w w:val="90"/>
        </w:rPr>
        <w:t> </w:t>
      </w:r>
      <w:r>
        <w:rPr>
          <w:color w:val="231F20"/>
          <w:w w:val="90"/>
        </w:rPr>
        <w:t>the</w:t>
      </w:r>
      <w:r>
        <w:rPr>
          <w:color w:val="231F20"/>
          <w:spacing w:val="-8"/>
          <w:w w:val="90"/>
        </w:rPr>
        <w:t> </w:t>
      </w:r>
      <w:r>
        <w:rPr>
          <w:color w:val="231F20"/>
          <w:w w:val="90"/>
        </w:rPr>
        <w:t>caveat</w:t>
      </w:r>
      <w:r>
        <w:rPr>
          <w:color w:val="231F20"/>
          <w:spacing w:val="-7"/>
          <w:w w:val="90"/>
        </w:rPr>
        <w:t> </w:t>
      </w:r>
      <w:r>
        <w:rPr>
          <w:color w:val="231F20"/>
          <w:w w:val="90"/>
        </w:rPr>
        <w:t>that</w:t>
      </w:r>
      <w:r>
        <w:rPr>
          <w:color w:val="231F20"/>
          <w:spacing w:val="-8"/>
          <w:w w:val="90"/>
        </w:rPr>
        <w:t> </w:t>
      </w:r>
      <w:r>
        <w:rPr>
          <w:color w:val="231F20"/>
          <w:w w:val="90"/>
        </w:rPr>
        <w:t>this</w:t>
      </w:r>
      <w:r>
        <w:rPr>
          <w:color w:val="231F20"/>
          <w:spacing w:val="-8"/>
          <w:w w:val="90"/>
        </w:rPr>
        <w:t> </w:t>
      </w:r>
      <w:r>
        <w:rPr>
          <w:color w:val="231F20"/>
          <w:w w:val="90"/>
        </w:rPr>
        <w:t>year’s sample</w:t>
      </w:r>
      <w:r>
        <w:rPr>
          <w:color w:val="231F20"/>
          <w:spacing w:val="-13"/>
          <w:w w:val="90"/>
        </w:rPr>
        <w:t> </w:t>
      </w:r>
      <w:r>
        <w:rPr>
          <w:color w:val="231F20"/>
          <w:w w:val="90"/>
        </w:rPr>
        <w:t>is</w:t>
      </w:r>
      <w:r>
        <w:rPr>
          <w:color w:val="231F20"/>
          <w:spacing w:val="-12"/>
          <w:w w:val="90"/>
        </w:rPr>
        <w:t> </w:t>
      </w:r>
      <w:r>
        <w:rPr>
          <w:color w:val="231F20"/>
          <w:w w:val="90"/>
        </w:rPr>
        <w:t>smaller</w:t>
      </w:r>
      <w:r>
        <w:rPr>
          <w:color w:val="231F20"/>
          <w:spacing w:val="-13"/>
          <w:w w:val="90"/>
        </w:rPr>
        <w:t> </w:t>
      </w:r>
      <w:r>
        <w:rPr>
          <w:color w:val="231F20"/>
          <w:w w:val="90"/>
        </w:rPr>
        <w:t>than</w:t>
      </w:r>
      <w:r>
        <w:rPr>
          <w:color w:val="231F20"/>
          <w:spacing w:val="-12"/>
          <w:w w:val="90"/>
        </w:rPr>
        <w:t> </w:t>
      </w:r>
      <w:r>
        <w:rPr>
          <w:color w:val="231F20"/>
          <w:w w:val="90"/>
        </w:rPr>
        <w:t>in</w:t>
      </w:r>
      <w:r>
        <w:rPr>
          <w:color w:val="231F20"/>
          <w:spacing w:val="-13"/>
          <w:w w:val="90"/>
        </w:rPr>
        <w:t> </w:t>
      </w:r>
      <w:r>
        <w:rPr>
          <w:color w:val="231F20"/>
          <w:w w:val="90"/>
        </w:rPr>
        <w:t>previous</w:t>
      </w:r>
      <w:r>
        <w:rPr>
          <w:color w:val="231F20"/>
          <w:spacing w:val="-12"/>
          <w:w w:val="90"/>
        </w:rPr>
        <w:t> </w:t>
      </w:r>
      <w:r>
        <w:rPr>
          <w:color w:val="231F20"/>
          <w:w w:val="90"/>
        </w:rPr>
        <w:t>years</w:t>
      </w:r>
      <w:r>
        <w:rPr>
          <w:color w:val="231F20"/>
          <w:spacing w:val="-13"/>
          <w:w w:val="90"/>
        </w:rPr>
        <w:t> </w:t>
      </w:r>
      <w:r>
        <w:rPr>
          <w:color w:val="231F20"/>
          <w:w w:val="90"/>
        </w:rPr>
        <w:t>and</w:t>
      </w:r>
      <w:r>
        <w:rPr>
          <w:color w:val="231F20"/>
          <w:spacing w:val="-12"/>
          <w:w w:val="90"/>
        </w:rPr>
        <w:t> </w:t>
      </w:r>
      <w:r>
        <w:rPr>
          <w:color w:val="231F20"/>
          <w:w w:val="90"/>
        </w:rPr>
        <w:t>lacks </w:t>
      </w:r>
      <w:r>
        <w:rPr>
          <w:color w:val="231F20"/>
          <w:spacing w:val="-2"/>
          <w:w w:val="90"/>
        </w:rPr>
        <w:t>some</w:t>
      </w:r>
      <w:r>
        <w:rPr>
          <w:color w:val="231F20"/>
          <w:spacing w:val="-10"/>
          <w:w w:val="90"/>
        </w:rPr>
        <w:t> </w:t>
      </w:r>
      <w:r>
        <w:rPr>
          <w:color w:val="231F20"/>
          <w:spacing w:val="-2"/>
          <w:w w:val="90"/>
        </w:rPr>
        <w:t>smaller,</w:t>
      </w:r>
      <w:r>
        <w:rPr>
          <w:color w:val="231F20"/>
          <w:spacing w:val="-10"/>
          <w:w w:val="90"/>
        </w:rPr>
        <w:t> </w:t>
      </w:r>
      <w:r>
        <w:rPr>
          <w:color w:val="231F20"/>
          <w:spacing w:val="-2"/>
          <w:w w:val="90"/>
        </w:rPr>
        <w:t>lower</w:t>
      </w:r>
      <w:r>
        <w:rPr>
          <w:color w:val="231F20"/>
          <w:spacing w:val="-10"/>
          <w:w w:val="90"/>
        </w:rPr>
        <w:t> </w:t>
      </w:r>
      <w:r>
        <w:rPr>
          <w:color w:val="231F20"/>
          <w:spacing w:val="-2"/>
          <w:w w:val="90"/>
        </w:rPr>
        <w:t>income</w:t>
      </w:r>
      <w:r>
        <w:rPr>
          <w:color w:val="231F20"/>
          <w:spacing w:val="-10"/>
          <w:w w:val="90"/>
        </w:rPr>
        <w:t> </w:t>
      </w:r>
      <w:r>
        <w:rPr>
          <w:color w:val="231F20"/>
          <w:spacing w:val="-2"/>
          <w:w w:val="90"/>
        </w:rPr>
        <w:t>countries</w:t>
      </w:r>
      <w:r>
        <w:rPr>
          <w:color w:val="231F20"/>
          <w:spacing w:val="-10"/>
          <w:w w:val="90"/>
        </w:rPr>
        <w:t> </w:t>
      </w:r>
      <w:r>
        <w:rPr>
          <w:color w:val="231F20"/>
          <w:spacing w:val="-2"/>
          <w:w w:val="90"/>
        </w:rPr>
        <w:t>(figure</w:t>
      </w:r>
      <w:r>
        <w:rPr>
          <w:color w:val="231F20"/>
          <w:spacing w:val="-10"/>
          <w:w w:val="90"/>
        </w:rPr>
        <w:t> </w:t>
      </w:r>
      <w:r>
        <w:rPr>
          <w:color w:val="231F20"/>
          <w:spacing w:val="-2"/>
          <w:w w:val="90"/>
        </w:rPr>
        <w:t>2.3). </w:t>
      </w:r>
      <w:r>
        <w:rPr>
          <w:color w:val="231F20"/>
          <w:spacing w:val="-2"/>
        </w:rPr>
        <w:t>The</w:t>
      </w:r>
      <w:r>
        <w:rPr>
          <w:color w:val="231F20"/>
          <w:spacing w:val="-10"/>
        </w:rPr>
        <w:t> </w:t>
      </w:r>
      <w:r>
        <w:rPr>
          <w:color w:val="231F20"/>
          <w:spacing w:val="-2"/>
        </w:rPr>
        <w:t>change</w:t>
      </w:r>
      <w:r>
        <w:rPr>
          <w:color w:val="231F20"/>
          <w:spacing w:val="-10"/>
        </w:rPr>
        <w:t> </w:t>
      </w:r>
      <w:r>
        <w:rPr>
          <w:color w:val="231F20"/>
          <w:spacing w:val="-2"/>
        </w:rPr>
        <w:t>is</w:t>
      </w:r>
      <w:r>
        <w:rPr>
          <w:color w:val="231F20"/>
          <w:spacing w:val="-10"/>
        </w:rPr>
        <w:t> </w:t>
      </w:r>
      <w:r>
        <w:rPr>
          <w:color w:val="231F20"/>
          <w:spacing w:val="-2"/>
        </w:rPr>
        <w:t>most</w:t>
      </w:r>
      <w:r>
        <w:rPr>
          <w:color w:val="231F20"/>
          <w:spacing w:val="-10"/>
        </w:rPr>
        <w:t> </w:t>
      </w:r>
      <w:r>
        <w:rPr>
          <w:color w:val="231F20"/>
          <w:spacing w:val="-2"/>
        </w:rPr>
        <w:t>pronounced</w:t>
      </w:r>
      <w:r>
        <w:rPr>
          <w:color w:val="231F20"/>
          <w:spacing w:val="-10"/>
        </w:rPr>
        <w:t> </w:t>
      </w:r>
      <w:r>
        <w:rPr>
          <w:color w:val="231F20"/>
          <w:spacing w:val="-2"/>
        </w:rPr>
        <w:t>from</w:t>
      </w:r>
      <w:r>
        <w:rPr>
          <w:color w:val="231F20"/>
          <w:spacing w:val="-10"/>
        </w:rPr>
        <w:t> </w:t>
      </w:r>
      <w:r>
        <w:rPr>
          <w:color w:val="231F20"/>
          <w:spacing w:val="-2"/>
        </w:rPr>
        <w:t>2018</w:t>
      </w:r>
      <w:r>
        <w:rPr>
          <w:color w:val="231F20"/>
          <w:spacing w:val="-10"/>
        </w:rPr>
        <w:t> </w:t>
      </w:r>
      <w:r>
        <w:rPr>
          <w:color w:val="231F20"/>
          <w:spacing w:val="-2"/>
        </w:rPr>
        <w:t>to </w:t>
      </w:r>
      <w:r>
        <w:rPr>
          <w:color w:val="231F20"/>
          <w:spacing w:val="-6"/>
        </w:rPr>
        <w:t>2023,</w:t>
      </w:r>
      <w:r>
        <w:rPr>
          <w:color w:val="231F20"/>
          <w:spacing w:val="-10"/>
        </w:rPr>
        <w:t> </w:t>
      </w:r>
      <w:r>
        <w:rPr>
          <w:color w:val="231F20"/>
          <w:spacing w:val="-6"/>
        </w:rPr>
        <w:t>in</w:t>
      </w:r>
      <w:r>
        <w:rPr>
          <w:color w:val="231F20"/>
          <w:spacing w:val="-7"/>
        </w:rPr>
        <w:t> </w:t>
      </w:r>
      <w:r>
        <w:rPr>
          <w:color w:val="231F20"/>
          <w:spacing w:val="-6"/>
        </w:rPr>
        <w:t>particular</w:t>
      </w:r>
      <w:r>
        <w:rPr>
          <w:color w:val="231F20"/>
          <w:spacing w:val="-7"/>
        </w:rPr>
        <w:t> </w:t>
      </w:r>
      <w:r>
        <w:rPr>
          <w:color w:val="231F20"/>
          <w:spacing w:val="-6"/>
        </w:rPr>
        <w:t>with</w:t>
      </w:r>
      <w:r>
        <w:rPr>
          <w:color w:val="231F20"/>
          <w:spacing w:val="-7"/>
        </w:rPr>
        <w:t> </w:t>
      </w:r>
      <w:r>
        <w:rPr>
          <w:color w:val="231F20"/>
          <w:spacing w:val="-6"/>
        </w:rPr>
        <w:t>the</w:t>
      </w:r>
      <w:r>
        <w:rPr>
          <w:color w:val="231F20"/>
          <w:spacing w:val="-7"/>
        </w:rPr>
        <w:t> </w:t>
      </w:r>
      <w:r>
        <w:rPr>
          <w:color w:val="231F20"/>
          <w:spacing w:val="-6"/>
        </w:rPr>
        <w:t>emergence</w:t>
      </w:r>
      <w:r>
        <w:rPr>
          <w:color w:val="231F20"/>
          <w:spacing w:val="-7"/>
        </w:rPr>
        <w:t> </w:t>
      </w:r>
      <w:r>
        <w:rPr>
          <w:color w:val="231F20"/>
          <w:spacing w:val="-6"/>
        </w:rPr>
        <w:t>of</w:t>
      </w:r>
      <w:r>
        <w:rPr>
          <w:color w:val="231F20"/>
          <w:spacing w:val="-7"/>
        </w:rPr>
        <w:t> </w:t>
      </w:r>
      <w:r>
        <w:rPr>
          <w:color w:val="231F20"/>
          <w:spacing w:val="-6"/>
        </w:rPr>
        <w:t>a</w:t>
      </w:r>
      <w:r>
        <w:rPr>
          <w:color w:val="231F20"/>
          <w:spacing w:val="-7"/>
        </w:rPr>
        <w:t> </w:t>
      </w:r>
      <w:r>
        <w:rPr>
          <w:color w:val="231F20"/>
          <w:spacing w:val="-6"/>
        </w:rPr>
        <w:t>sec- </w:t>
      </w:r>
      <w:r>
        <w:rPr>
          <w:color w:val="231F20"/>
          <w:w w:val="90"/>
        </w:rPr>
        <w:t>ondary,</w:t>
      </w:r>
      <w:r>
        <w:rPr>
          <w:color w:val="231F20"/>
          <w:spacing w:val="-17"/>
          <w:w w:val="90"/>
        </w:rPr>
        <w:t> </w:t>
      </w:r>
      <w:r>
        <w:rPr>
          <w:color w:val="231F20"/>
          <w:w w:val="90"/>
        </w:rPr>
        <w:t>smaller</w:t>
      </w:r>
      <w:r>
        <w:rPr>
          <w:color w:val="231F20"/>
          <w:spacing w:val="-17"/>
          <w:w w:val="90"/>
        </w:rPr>
        <w:t> </w:t>
      </w:r>
      <w:r>
        <w:rPr>
          <w:color w:val="231F20"/>
          <w:w w:val="90"/>
        </w:rPr>
        <w:t>peak</w:t>
      </w:r>
      <w:r>
        <w:rPr>
          <w:color w:val="231F20"/>
          <w:spacing w:val="-17"/>
          <w:w w:val="90"/>
        </w:rPr>
        <w:t> </w:t>
      </w:r>
      <w:r>
        <w:rPr>
          <w:color w:val="231F20"/>
          <w:w w:val="90"/>
        </w:rPr>
        <w:t>at</w:t>
      </w:r>
      <w:r>
        <w:rPr>
          <w:color w:val="231F20"/>
          <w:spacing w:val="-16"/>
          <w:w w:val="90"/>
        </w:rPr>
        <w:t> </w:t>
      </w:r>
      <w:r>
        <w:rPr>
          <w:color w:val="231F20"/>
          <w:w w:val="90"/>
        </w:rPr>
        <w:t>a</w:t>
      </w:r>
      <w:r>
        <w:rPr>
          <w:color w:val="231F20"/>
          <w:spacing w:val="-17"/>
          <w:w w:val="90"/>
        </w:rPr>
        <w:t> </w:t>
      </w:r>
      <w:r>
        <w:rPr>
          <w:color w:val="231F20"/>
          <w:w w:val="90"/>
        </w:rPr>
        <w:t>score</w:t>
      </w:r>
      <w:r>
        <w:rPr>
          <w:color w:val="231F20"/>
          <w:spacing w:val="-17"/>
          <w:w w:val="90"/>
        </w:rPr>
        <w:t> </w:t>
      </w:r>
      <w:r>
        <w:rPr>
          <w:color w:val="231F20"/>
          <w:w w:val="90"/>
        </w:rPr>
        <w:t>of</w:t>
      </w:r>
      <w:r>
        <w:rPr>
          <w:color w:val="231F20"/>
          <w:spacing w:val="-17"/>
          <w:w w:val="90"/>
        </w:rPr>
        <w:t> </w:t>
      </w:r>
      <w:r>
        <w:rPr>
          <w:color w:val="231F20"/>
          <w:w w:val="90"/>
        </w:rPr>
        <w:t>around</w:t>
      </w:r>
      <w:r>
        <w:rPr>
          <w:color w:val="231F20"/>
          <w:spacing w:val="-16"/>
          <w:w w:val="90"/>
        </w:rPr>
        <w:t> </w:t>
      </w:r>
      <w:r>
        <w:rPr>
          <w:color w:val="231F20"/>
          <w:w w:val="90"/>
        </w:rPr>
        <w:t>3.5.</w:t>
      </w:r>
      <w:r>
        <w:rPr>
          <w:color w:val="231F20"/>
          <w:spacing w:val="-17"/>
          <w:w w:val="90"/>
        </w:rPr>
        <w:t> </w:t>
      </w:r>
      <w:r>
        <w:rPr>
          <w:color w:val="231F20"/>
          <w:w w:val="90"/>
        </w:rPr>
        <w:t>This </w:t>
      </w:r>
      <w:r>
        <w:rPr>
          <w:color w:val="231F20"/>
          <w:spacing w:val="-4"/>
        </w:rPr>
        <w:t>finding</w:t>
      </w:r>
      <w:r>
        <w:rPr>
          <w:color w:val="231F20"/>
          <w:spacing w:val="-10"/>
        </w:rPr>
        <w:t> </w:t>
      </w:r>
      <w:r>
        <w:rPr>
          <w:color w:val="231F20"/>
          <w:spacing w:val="-4"/>
        </w:rPr>
        <w:t>is</w:t>
      </w:r>
      <w:r>
        <w:rPr>
          <w:color w:val="231F20"/>
          <w:spacing w:val="-9"/>
        </w:rPr>
        <w:t> </w:t>
      </w:r>
      <w:r>
        <w:rPr>
          <w:color w:val="231F20"/>
          <w:spacing w:val="-4"/>
        </w:rPr>
        <w:t>plausible</w:t>
      </w:r>
      <w:r>
        <w:rPr>
          <w:color w:val="231F20"/>
          <w:spacing w:val="-9"/>
        </w:rPr>
        <w:t> </w:t>
      </w:r>
      <w:r>
        <w:rPr>
          <w:color w:val="231F20"/>
          <w:spacing w:val="-4"/>
        </w:rPr>
        <w:t>because</w:t>
      </w:r>
      <w:r>
        <w:rPr>
          <w:color w:val="231F20"/>
          <w:spacing w:val="-9"/>
        </w:rPr>
        <w:t> </w:t>
      </w:r>
      <w:r>
        <w:rPr>
          <w:color w:val="231F20"/>
          <w:spacing w:val="-4"/>
        </w:rPr>
        <w:t>four</w:t>
      </w:r>
      <w:r>
        <w:rPr>
          <w:color w:val="231F20"/>
          <w:spacing w:val="-9"/>
        </w:rPr>
        <w:t> </w:t>
      </w:r>
      <w:r>
        <w:rPr>
          <w:color w:val="231F20"/>
          <w:spacing w:val="-4"/>
        </w:rPr>
        <w:t>of</w:t>
      </w:r>
      <w:r>
        <w:rPr>
          <w:color w:val="231F20"/>
          <w:spacing w:val="-9"/>
        </w:rPr>
        <w:t> </w:t>
      </w:r>
      <w:r>
        <w:rPr>
          <w:color w:val="231F20"/>
          <w:spacing w:val="-4"/>
        </w:rPr>
        <w:t>the</w:t>
      </w:r>
      <w:r>
        <w:rPr>
          <w:color w:val="231F20"/>
          <w:spacing w:val="-9"/>
        </w:rPr>
        <w:t> </w:t>
      </w:r>
      <w:r>
        <w:rPr>
          <w:color w:val="231F20"/>
          <w:spacing w:val="-4"/>
        </w:rPr>
        <w:t>six</w:t>
      </w:r>
      <w:r>
        <w:rPr>
          <w:color w:val="231F20"/>
          <w:spacing w:val="-9"/>
        </w:rPr>
        <w:t> </w:t>
      </w:r>
      <w:r>
        <w:rPr>
          <w:color w:val="231F20"/>
          <w:spacing w:val="-4"/>
        </w:rPr>
        <w:t>LPI </w:t>
      </w:r>
      <w:r>
        <w:rPr>
          <w:color w:val="231F20"/>
          <w:spacing w:val="-6"/>
        </w:rPr>
        <w:t>components</w:t>
      </w:r>
      <w:r>
        <w:rPr>
          <w:color w:val="231F20"/>
          <w:spacing w:val="-17"/>
        </w:rPr>
        <w:t> </w:t>
      </w:r>
      <w:r>
        <w:rPr>
          <w:color w:val="231F20"/>
          <w:spacing w:val="-6"/>
        </w:rPr>
        <w:t>relate</w:t>
      </w:r>
      <w:r>
        <w:rPr>
          <w:color w:val="231F20"/>
          <w:spacing w:val="-15"/>
        </w:rPr>
        <w:t> </w:t>
      </w:r>
      <w:r>
        <w:rPr>
          <w:color w:val="231F20"/>
          <w:spacing w:val="-6"/>
        </w:rPr>
        <w:t>to</w:t>
      </w:r>
      <w:r>
        <w:rPr>
          <w:color w:val="231F20"/>
          <w:spacing w:val="-15"/>
        </w:rPr>
        <w:t> </w:t>
      </w:r>
      <w:r>
        <w:rPr>
          <w:color w:val="231F20"/>
          <w:spacing w:val="-6"/>
        </w:rPr>
        <w:t>deep</w:t>
      </w:r>
      <w:r>
        <w:rPr>
          <w:color w:val="231F20"/>
          <w:spacing w:val="-15"/>
        </w:rPr>
        <w:t> </w:t>
      </w:r>
      <w:r>
        <w:rPr>
          <w:color w:val="231F20"/>
          <w:spacing w:val="-6"/>
        </w:rPr>
        <w:t>structural</w:t>
      </w:r>
      <w:r>
        <w:rPr>
          <w:color w:val="231F20"/>
          <w:spacing w:val="-15"/>
        </w:rPr>
        <w:t> </w:t>
      </w:r>
      <w:r>
        <w:rPr>
          <w:color w:val="231F20"/>
          <w:spacing w:val="-6"/>
        </w:rPr>
        <w:t>factors</w:t>
      </w:r>
      <w:r>
        <w:rPr>
          <w:color w:val="231F20"/>
          <w:spacing w:val="-15"/>
        </w:rPr>
        <w:t> </w:t>
      </w:r>
      <w:r>
        <w:rPr>
          <w:color w:val="231F20"/>
          <w:spacing w:val="-6"/>
        </w:rPr>
        <w:t>that </w:t>
      </w:r>
      <w:r>
        <w:rPr>
          <w:color w:val="231F20"/>
          <w:w w:val="90"/>
        </w:rPr>
        <w:t>are</w:t>
      </w:r>
      <w:r>
        <w:rPr>
          <w:color w:val="231F20"/>
          <w:spacing w:val="-17"/>
          <w:w w:val="90"/>
        </w:rPr>
        <w:t> </w:t>
      </w:r>
      <w:r>
        <w:rPr>
          <w:color w:val="231F20"/>
          <w:w w:val="90"/>
        </w:rPr>
        <w:t>not</w:t>
      </w:r>
      <w:r>
        <w:rPr>
          <w:color w:val="231F20"/>
          <w:spacing w:val="-17"/>
          <w:w w:val="90"/>
        </w:rPr>
        <w:t> </w:t>
      </w:r>
      <w:r>
        <w:rPr>
          <w:color w:val="231F20"/>
          <w:w w:val="90"/>
        </w:rPr>
        <w:t>directly</w:t>
      </w:r>
      <w:r>
        <w:rPr>
          <w:color w:val="231F20"/>
          <w:spacing w:val="-17"/>
          <w:w w:val="90"/>
        </w:rPr>
        <w:t> </w:t>
      </w:r>
      <w:r>
        <w:rPr>
          <w:color w:val="231F20"/>
          <w:w w:val="90"/>
        </w:rPr>
        <w:t>affected</w:t>
      </w:r>
      <w:r>
        <w:rPr>
          <w:color w:val="231F20"/>
          <w:spacing w:val="-16"/>
          <w:w w:val="90"/>
        </w:rPr>
        <w:t> </w:t>
      </w:r>
      <w:r>
        <w:rPr>
          <w:color w:val="231F20"/>
          <w:w w:val="90"/>
        </w:rPr>
        <w:t>by</w:t>
      </w:r>
      <w:r>
        <w:rPr>
          <w:color w:val="231F20"/>
          <w:spacing w:val="-17"/>
          <w:w w:val="90"/>
        </w:rPr>
        <w:t> </w:t>
      </w:r>
      <w:r>
        <w:rPr>
          <w:color w:val="231F20"/>
          <w:w w:val="90"/>
        </w:rPr>
        <w:t>the</w:t>
      </w:r>
      <w:r>
        <w:rPr>
          <w:color w:val="231F20"/>
          <w:spacing w:val="-17"/>
          <w:w w:val="90"/>
        </w:rPr>
        <w:t> </w:t>
      </w:r>
      <w:r>
        <w:rPr>
          <w:color w:val="231F20"/>
          <w:w w:val="90"/>
        </w:rPr>
        <w:t>supply</w:t>
      </w:r>
      <w:r>
        <w:rPr>
          <w:color w:val="231F20"/>
          <w:spacing w:val="-17"/>
          <w:w w:val="90"/>
        </w:rPr>
        <w:t> </w:t>
      </w:r>
      <w:r>
        <w:rPr>
          <w:color w:val="231F20"/>
          <w:w w:val="90"/>
        </w:rPr>
        <w:t>chain</w:t>
      </w:r>
      <w:r>
        <w:rPr>
          <w:color w:val="231F20"/>
          <w:spacing w:val="-16"/>
          <w:w w:val="90"/>
        </w:rPr>
        <w:t> </w:t>
      </w:r>
      <w:r>
        <w:rPr>
          <w:color w:val="231F20"/>
          <w:w w:val="90"/>
        </w:rPr>
        <w:t>crisis. </w:t>
      </w:r>
      <w:r>
        <w:rPr>
          <w:color w:val="231F20"/>
        </w:rPr>
        <w:t>This change means that the survey sample</w:t>
      </w:r>
      <w:r>
        <w:rPr>
          <w:color w:val="231F20"/>
        </w:rPr>
        <w:t> has</w:t>
      </w:r>
      <w:r>
        <w:rPr>
          <w:color w:val="231F20"/>
          <w:spacing w:val="-14"/>
        </w:rPr>
        <w:t> </w:t>
      </w:r>
      <w:r>
        <w:rPr>
          <w:color w:val="231F20"/>
        </w:rPr>
        <w:t>more</w:t>
      </w:r>
      <w:r>
        <w:rPr>
          <w:color w:val="231F20"/>
          <w:spacing w:val="-13"/>
        </w:rPr>
        <w:t> </w:t>
      </w:r>
      <w:r>
        <w:rPr>
          <w:color w:val="231F20"/>
        </w:rPr>
        <w:t>countries</w:t>
      </w:r>
      <w:r>
        <w:rPr>
          <w:color w:val="231F20"/>
          <w:spacing w:val="-13"/>
        </w:rPr>
        <w:t> </w:t>
      </w:r>
      <w:r>
        <w:rPr>
          <w:color w:val="231F20"/>
        </w:rPr>
        <w:t>with</w:t>
      </w:r>
      <w:r>
        <w:rPr>
          <w:color w:val="231F20"/>
          <w:spacing w:val="-13"/>
        </w:rPr>
        <w:t> </w:t>
      </w:r>
      <w:r>
        <w:rPr>
          <w:color w:val="231F20"/>
        </w:rPr>
        <w:t>strong</w:t>
      </w:r>
      <w:r>
        <w:rPr>
          <w:color w:val="231F20"/>
          <w:spacing w:val="-13"/>
        </w:rPr>
        <w:t> </w:t>
      </w:r>
      <w:r>
        <w:rPr>
          <w:color w:val="231F20"/>
        </w:rPr>
        <w:t>performance. Perhaps</w:t>
      </w:r>
      <w:r>
        <w:rPr>
          <w:color w:val="231F20"/>
          <w:spacing w:val="-7"/>
        </w:rPr>
        <w:t> </w:t>
      </w:r>
      <w:r>
        <w:rPr>
          <w:color w:val="231F20"/>
        </w:rPr>
        <w:t>more</w:t>
      </w:r>
      <w:r>
        <w:rPr>
          <w:color w:val="231F20"/>
          <w:spacing w:val="-7"/>
        </w:rPr>
        <w:t> </w:t>
      </w:r>
      <w:r>
        <w:rPr>
          <w:color w:val="231F20"/>
        </w:rPr>
        <w:t>importantly,</w:t>
      </w:r>
      <w:r>
        <w:rPr>
          <w:color w:val="231F20"/>
          <w:spacing w:val="-7"/>
        </w:rPr>
        <w:t> </w:t>
      </w:r>
      <w:r>
        <w:rPr>
          <w:color w:val="231F20"/>
        </w:rPr>
        <w:t>the</w:t>
      </w:r>
      <w:r>
        <w:rPr>
          <w:color w:val="231F20"/>
          <w:spacing w:val="-6"/>
        </w:rPr>
        <w:t> </w:t>
      </w:r>
      <w:r>
        <w:rPr>
          <w:color w:val="231F20"/>
        </w:rPr>
        <w:t>lowest</w:t>
      </w:r>
      <w:r>
        <w:rPr>
          <w:color w:val="231F20"/>
          <w:spacing w:val="-7"/>
        </w:rPr>
        <w:t> </w:t>
      </w:r>
      <w:r>
        <w:rPr>
          <w:color w:val="231F20"/>
        </w:rPr>
        <w:t>scores </w:t>
      </w:r>
      <w:r>
        <w:rPr>
          <w:color w:val="231F20"/>
          <w:spacing w:val="-6"/>
        </w:rPr>
        <w:t>have</w:t>
      </w:r>
      <w:r>
        <w:rPr>
          <w:color w:val="231F20"/>
          <w:spacing w:val="-8"/>
        </w:rPr>
        <w:t> </w:t>
      </w:r>
      <w:r>
        <w:rPr>
          <w:color w:val="231F20"/>
          <w:spacing w:val="-6"/>
        </w:rPr>
        <w:t>tended</w:t>
      </w:r>
      <w:r>
        <w:rPr>
          <w:color w:val="231F20"/>
          <w:spacing w:val="-8"/>
        </w:rPr>
        <w:t> </w:t>
      </w:r>
      <w:r>
        <w:rPr>
          <w:color w:val="231F20"/>
          <w:spacing w:val="-6"/>
        </w:rPr>
        <w:t>to</w:t>
      </w:r>
      <w:r>
        <w:rPr>
          <w:color w:val="231F20"/>
          <w:spacing w:val="-8"/>
        </w:rPr>
        <w:t> </w:t>
      </w:r>
      <w:r>
        <w:rPr>
          <w:color w:val="231F20"/>
          <w:spacing w:val="-6"/>
        </w:rPr>
        <w:t>increase,</w:t>
      </w:r>
      <w:r>
        <w:rPr>
          <w:color w:val="231F20"/>
          <w:spacing w:val="-8"/>
        </w:rPr>
        <w:t> </w:t>
      </w:r>
      <w:r>
        <w:rPr>
          <w:color w:val="231F20"/>
          <w:spacing w:val="-6"/>
        </w:rPr>
        <w:t>particularly</w:t>
      </w:r>
      <w:r>
        <w:rPr>
          <w:color w:val="231F20"/>
          <w:spacing w:val="-8"/>
        </w:rPr>
        <w:t> </w:t>
      </w:r>
      <w:r>
        <w:rPr>
          <w:color w:val="231F20"/>
          <w:spacing w:val="-6"/>
        </w:rPr>
        <w:t>from</w:t>
      </w:r>
      <w:r>
        <w:rPr>
          <w:color w:val="231F20"/>
          <w:spacing w:val="-8"/>
        </w:rPr>
        <w:t> </w:t>
      </w:r>
      <w:r>
        <w:rPr>
          <w:color w:val="231F20"/>
          <w:spacing w:val="-6"/>
        </w:rPr>
        <w:t>2016 </w:t>
      </w:r>
      <w:r>
        <w:rPr>
          <w:color w:val="231F20"/>
          <w:spacing w:val="-2"/>
        </w:rPr>
        <w:t>to</w:t>
      </w:r>
      <w:r>
        <w:rPr>
          <w:color w:val="231F20"/>
          <w:spacing w:val="-9"/>
        </w:rPr>
        <w:t> </w:t>
      </w:r>
      <w:r>
        <w:rPr>
          <w:color w:val="231F20"/>
          <w:spacing w:val="-2"/>
        </w:rPr>
        <w:t>2023.</w:t>
      </w:r>
      <w:r>
        <w:rPr>
          <w:color w:val="231F20"/>
          <w:spacing w:val="-9"/>
        </w:rPr>
        <w:t> </w:t>
      </w:r>
      <w:r>
        <w:rPr>
          <w:color w:val="231F20"/>
          <w:spacing w:val="-2"/>
        </w:rPr>
        <w:t>So,</w:t>
      </w:r>
      <w:r>
        <w:rPr>
          <w:color w:val="231F20"/>
          <w:spacing w:val="-9"/>
        </w:rPr>
        <w:t> </w:t>
      </w:r>
      <w:r>
        <w:rPr>
          <w:color w:val="231F20"/>
          <w:spacing w:val="-2"/>
        </w:rPr>
        <w:t>while</w:t>
      </w:r>
      <w:r>
        <w:rPr>
          <w:color w:val="231F20"/>
          <w:spacing w:val="-9"/>
        </w:rPr>
        <w:t> </w:t>
      </w:r>
      <w:r>
        <w:rPr>
          <w:color w:val="231F20"/>
          <w:spacing w:val="-2"/>
        </w:rPr>
        <w:t>there</w:t>
      </w:r>
      <w:r>
        <w:rPr>
          <w:color w:val="231F20"/>
          <w:spacing w:val="-9"/>
        </w:rPr>
        <w:t> </w:t>
      </w:r>
      <w:r>
        <w:rPr>
          <w:color w:val="231F20"/>
          <w:spacing w:val="-2"/>
        </w:rPr>
        <w:t>is</w:t>
      </w:r>
      <w:r>
        <w:rPr>
          <w:color w:val="231F20"/>
          <w:spacing w:val="-9"/>
        </w:rPr>
        <w:t> </w:t>
      </w:r>
      <w:r>
        <w:rPr>
          <w:color w:val="231F20"/>
          <w:spacing w:val="-2"/>
        </w:rPr>
        <w:t>still</w:t>
      </w:r>
      <w:r>
        <w:rPr>
          <w:color w:val="231F20"/>
          <w:spacing w:val="-9"/>
        </w:rPr>
        <w:t> </w:t>
      </w:r>
      <w:r>
        <w:rPr>
          <w:color w:val="231F20"/>
          <w:spacing w:val="-2"/>
        </w:rPr>
        <w:t>a</w:t>
      </w:r>
      <w:r>
        <w:rPr>
          <w:color w:val="231F20"/>
          <w:spacing w:val="-9"/>
        </w:rPr>
        <w:t> </w:t>
      </w:r>
      <w:r>
        <w:rPr>
          <w:color w:val="231F20"/>
          <w:spacing w:val="-2"/>
        </w:rPr>
        <w:t>considerable </w:t>
      </w:r>
      <w:r>
        <w:rPr>
          <w:color w:val="231F20"/>
        </w:rPr>
        <w:t>range</w:t>
      </w:r>
      <w:r>
        <w:rPr>
          <w:color w:val="231F20"/>
          <w:spacing w:val="16"/>
        </w:rPr>
        <w:t> </w:t>
      </w:r>
      <w:r>
        <w:rPr>
          <w:color w:val="231F20"/>
        </w:rPr>
        <w:t>of</w:t>
      </w:r>
      <w:r>
        <w:rPr>
          <w:color w:val="231F20"/>
          <w:spacing w:val="17"/>
        </w:rPr>
        <w:t> </w:t>
      </w:r>
      <w:r>
        <w:rPr>
          <w:color w:val="231F20"/>
        </w:rPr>
        <w:t>performance,</w:t>
      </w:r>
      <w:r>
        <w:rPr>
          <w:color w:val="231F20"/>
          <w:spacing w:val="16"/>
        </w:rPr>
        <w:t> </w:t>
      </w:r>
      <w:r>
        <w:rPr>
          <w:color w:val="231F20"/>
        </w:rPr>
        <w:t>countries</w:t>
      </w:r>
      <w:r>
        <w:rPr>
          <w:color w:val="231F20"/>
          <w:spacing w:val="17"/>
        </w:rPr>
        <w:t> </w:t>
      </w:r>
      <w:r>
        <w:rPr>
          <w:color w:val="231F20"/>
        </w:rPr>
        <w:t>with</w:t>
      </w:r>
      <w:r>
        <w:rPr>
          <w:color w:val="231F20"/>
          <w:spacing w:val="16"/>
        </w:rPr>
        <w:t> </w:t>
      </w:r>
      <w:r>
        <w:rPr>
          <w:color w:val="231F20"/>
          <w:spacing w:val="-4"/>
        </w:rPr>
        <w:t>lower</w:t>
      </w:r>
    </w:p>
    <w:p>
      <w:pPr>
        <w:pStyle w:val="BodyText"/>
        <w:spacing w:line="231" w:lineRule="exact"/>
        <w:ind w:left="1200"/>
      </w:pPr>
      <w:r>
        <w:rPr>
          <w:color w:val="231F20"/>
          <w:w w:val="90"/>
        </w:rPr>
        <w:t>scores</w:t>
      </w:r>
      <w:r>
        <w:rPr>
          <w:color w:val="231F20"/>
          <w:spacing w:val="-1"/>
          <w:w w:val="90"/>
        </w:rPr>
        <w:t> </w:t>
      </w:r>
      <w:r>
        <w:rPr>
          <w:color w:val="231F20"/>
          <w:w w:val="90"/>
        </w:rPr>
        <w:t>are</w:t>
      </w:r>
      <w:r>
        <w:rPr>
          <w:color w:val="231F20"/>
          <w:spacing w:val="-1"/>
          <w:w w:val="90"/>
        </w:rPr>
        <w:t> </w:t>
      </w:r>
      <w:r>
        <w:rPr>
          <w:color w:val="231F20"/>
          <w:w w:val="90"/>
        </w:rPr>
        <w:t>improving</w:t>
      </w:r>
      <w:r>
        <w:rPr>
          <w:color w:val="231F20"/>
          <w:spacing w:val="-5"/>
        </w:rPr>
        <w:t> </w:t>
      </w:r>
      <w:r>
        <w:rPr>
          <w:color w:val="231F20"/>
          <w:w w:val="90"/>
        </w:rPr>
        <w:t>over</w:t>
      </w:r>
      <w:r>
        <w:rPr>
          <w:color w:val="231F20"/>
          <w:spacing w:val="-1"/>
          <w:w w:val="90"/>
        </w:rPr>
        <w:t> </w:t>
      </w:r>
      <w:r>
        <w:rPr>
          <w:color w:val="231F20"/>
          <w:spacing w:val="-4"/>
          <w:w w:val="90"/>
        </w:rPr>
        <w:t>time.</w:t>
      </w:r>
    </w:p>
    <w:p>
      <w:pPr>
        <w:pStyle w:val="BodyText"/>
        <w:spacing w:before="65"/>
      </w:pPr>
    </w:p>
    <w:p>
      <w:pPr>
        <w:spacing w:line="280" w:lineRule="auto" w:before="0"/>
        <w:ind w:left="1200" w:right="1" w:firstLine="0"/>
        <w:jc w:val="left"/>
        <w:rPr>
          <w:rFonts w:ascii="Arial"/>
          <w:b/>
          <w:sz w:val="20"/>
        </w:rPr>
      </w:pPr>
      <w:r>
        <w:rPr>
          <w:rFonts w:ascii="Arial"/>
          <w:b/>
          <w:color w:val="231F20"/>
          <w:w w:val="105"/>
          <w:sz w:val="20"/>
        </w:rPr>
        <w:t>What is the impact of the supply chain crisis?</w:t>
      </w:r>
    </w:p>
    <w:p>
      <w:pPr>
        <w:pStyle w:val="BodyText"/>
        <w:spacing w:before="33"/>
        <w:rPr>
          <w:rFonts w:ascii="Arial"/>
          <w:b/>
          <w:sz w:val="20"/>
        </w:rPr>
      </w:pPr>
    </w:p>
    <w:p>
      <w:pPr>
        <w:pStyle w:val="BodyText"/>
        <w:spacing w:line="268" w:lineRule="auto"/>
        <w:ind w:left="1116"/>
        <w:jc w:val="right"/>
      </w:pPr>
      <w:r>
        <w:rPr>
          <w:color w:val="231F20"/>
        </w:rPr>
        <w:t>How is it possible to reconcile the apparent </w:t>
      </w:r>
      <w:r>
        <w:rPr>
          <w:color w:val="231F20"/>
          <w:w w:val="90"/>
        </w:rPr>
        <w:t>increase</w:t>
      </w:r>
      <w:r>
        <w:rPr>
          <w:color w:val="231F20"/>
          <w:spacing w:val="2"/>
        </w:rPr>
        <w:t> </w:t>
      </w:r>
      <w:r>
        <w:rPr>
          <w:color w:val="231F20"/>
          <w:w w:val="90"/>
        </w:rPr>
        <w:t>in</w:t>
      </w:r>
      <w:r>
        <w:rPr>
          <w:color w:val="231F20"/>
          <w:spacing w:val="3"/>
        </w:rPr>
        <w:t> </w:t>
      </w:r>
      <w:r>
        <w:rPr>
          <w:color w:val="231F20"/>
          <w:w w:val="90"/>
        </w:rPr>
        <w:t>LPI</w:t>
      </w:r>
      <w:r>
        <w:rPr>
          <w:color w:val="231F20"/>
          <w:spacing w:val="3"/>
        </w:rPr>
        <w:t> </w:t>
      </w:r>
      <w:r>
        <w:rPr>
          <w:color w:val="231F20"/>
          <w:w w:val="90"/>
        </w:rPr>
        <w:t>scores</w:t>
      </w:r>
      <w:r>
        <w:rPr>
          <w:color w:val="231F20"/>
          <w:spacing w:val="3"/>
        </w:rPr>
        <w:t> </w:t>
      </w:r>
      <w:r>
        <w:rPr>
          <w:color w:val="231F20"/>
          <w:w w:val="90"/>
        </w:rPr>
        <w:t>over</w:t>
      </w:r>
      <w:r>
        <w:rPr>
          <w:color w:val="231F20"/>
          <w:spacing w:val="3"/>
        </w:rPr>
        <w:t> </w:t>
      </w:r>
      <w:r>
        <w:rPr>
          <w:color w:val="231F20"/>
          <w:w w:val="90"/>
        </w:rPr>
        <w:t>time</w:t>
      </w:r>
      <w:r>
        <w:rPr>
          <w:color w:val="231F20"/>
          <w:spacing w:val="3"/>
        </w:rPr>
        <w:t> </w:t>
      </w:r>
      <w:r>
        <w:rPr>
          <w:color w:val="231F20"/>
          <w:w w:val="90"/>
        </w:rPr>
        <w:t>with</w:t>
      </w:r>
      <w:r>
        <w:rPr>
          <w:color w:val="231F20"/>
          <w:spacing w:val="3"/>
        </w:rPr>
        <w:t> </w:t>
      </w:r>
      <w:r>
        <w:rPr>
          <w:color w:val="231F20"/>
          <w:w w:val="90"/>
        </w:rPr>
        <w:t>the</w:t>
      </w:r>
      <w:r>
        <w:rPr>
          <w:color w:val="231F20"/>
          <w:spacing w:val="3"/>
        </w:rPr>
        <w:t> </w:t>
      </w:r>
      <w:r>
        <w:rPr>
          <w:color w:val="231F20"/>
          <w:spacing w:val="-2"/>
          <w:w w:val="90"/>
        </w:rPr>
        <w:t>recent</w:t>
      </w:r>
    </w:p>
    <w:p>
      <w:pPr>
        <w:pStyle w:val="BodyText"/>
        <w:spacing w:line="268" w:lineRule="auto" w:before="97"/>
        <w:ind w:left="198" w:right="2816"/>
        <w:jc w:val="right"/>
      </w:pPr>
      <w:r>
        <w:rPr/>
        <w:br w:type="column"/>
      </w:r>
      <w:r>
        <w:rPr>
          <w:color w:val="231F20"/>
          <w:spacing w:val="-4"/>
        </w:rPr>
        <w:t>supply</w:t>
      </w:r>
      <w:r>
        <w:rPr>
          <w:color w:val="231F20"/>
          <w:spacing w:val="-10"/>
        </w:rPr>
        <w:t> </w:t>
      </w:r>
      <w:r>
        <w:rPr>
          <w:color w:val="231F20"/>
          <w:spacing w:val="-4"/>
        </w:rPr>
        <w:t>chain</w:t>
      </w:r>
      <w:r>
        <w:rPr>
          <w:color w:val="231F20"/>
          <w:spacing w:val="-9"/>
        </w:rPr>
        <w:t> </w:t>
      </w:r>
      <w:r>
        <w:rPr>
          <w:color w:val="231F20"/>
          <w:spacing w:val="-4"/>
        </w:rPr>
        <w:t>crisis</w:t>
      </w:r>
      <w:r>
        <w:rPr>
          <w:color w:val="231F20"/>
          <w:spacing w:val="-9"/>
        </w:rPr>
        <w:t> </w:t>
      </w:r>
      <w:r>
        <w:rPr>
          <w:color w:val="231F20"/>
          <w:spacing w:val="-4"/>
        </w:rPr>
        <w:t>discussed</w:t>
      </w:r>
      <w:r>
        <w:rPr>
          <w:color w:val="231F20"/>
          <w:spacing w:val="-9"/>
        </w:rPr>
        <w:t> </w:t>
      </w:r>
      <w:r>
        <w:rPr>
          <w:color w:val="231F20"/>
          <w:spacing w:val="-4"/>
        </w:rPr>
        <w:t>in</w:t>
      </w:r>
      <w:r>
        <w:rPr>
          <w:color w:val="231F20"/>
          <w:spacing w:val="-9"/>
        </w:rPr>
        <w:t> </w:t>
      </w:r>
      <w:r>
        <w:rPr>
          <w:color w:val="231F20"/>
          <w:spacing w:val="-4"/>
        </w:rPr>
        <w:t>chapter</w:t>
      </w:r>
      <w:r>
        <w:rPr>
          <w:color w:val="231F20"/>
          <w:spacing w:val="-9"/>
        </w:rPr>
        <w:t> </w:t>
      </w:r>
      <w:r>
        <w:rPr>
          <w:color w:val="231F20"/>
          <w:spacing w:val="-4"/>
        </w:rPr>
        <w:t>1?</w:t>
      </w:r>
      <w:r>
        <w:rPr>
          <w:color w:val="231F20"/>
          <w:spacing w:val="-9"/>
        </w:rPr>
        <w:t> </w:t>
      </w:r>
      <w:r>
        <w:rPr>
          <w:color w:val="231F20"/>
          <w:spacing w:val="-4"/>
        </w:rPr>
        <w:t>The data</w:t>
      </w:r>
      <w:r>
        <w:rPr>
          <w:color w:val="231F20"/>
          <w:spacing w:val="-16"/>
        </w:rPr>
        <w:t> </w:t>
      </w:r>
      <w:r>
        <w:rPr>
          <w:color w:val="231F20"/>
          <w:spacing w:val="-4"/>
        </w:rPr>
        <w:t>collection</w:t>
      </w:r>
      <w:r>
        <w:rPr>
          <w:color w:val="231F20"/>
          <w:spacing w:val="-15"/>
        </w:rPr>
        <w:t> </w:t>
      </w:r>
      <w:r>
        <w:rPr>
          <w:color w:val="231F20"/>
          <w:spacing w:val="-4"/>
        </w:rPr>
        <w:t>for</w:t>
      </w:r>
      <w:r>
        <w:rPr>
          <w:color w:val="231F20"/>
          <w:spacing w:val="-16"/>
        </w:rPr>
        <w:t> </w:t>
      </w:r>
      <w:r>
        <w:rPr>
          <w:color w:val="231F20"/>
          <w:spacing w:val="-4"/>
        </w:rPr>
        <w:t>the</w:t>
      </w:r>
      <w:r>
        <w:rPr>
          <w:color w:val="231F20"/>
          <w:spacing w:val="-16"/>
        </w:rPr>
        <w:t> </w:t>
      </w:r>
      <w:r>
        <w:rPr>
          <w:color w:val="231F20"/>
          <w:spacing w:val="-4"/>
        </w:rPr>
        <w:t>LPI</w:t>
      </w:r>
      <w:r>
        <w:rPr>
          <w:color w:val="231F20"/>
          <w:spacing w:val="-16"/>
        </w:rPr>
        <w:t> </w:t>
      </w:r>
      <w:r>
        <w:rPr>
          <w:color w:val="231F20"/>
          <w:spacing w:val="-4"/>
        </w:rPr>
        <w:t>is</w:t>
      </w:r>
      <w:r>
        <w:rPr>
          <w:color w:val="231F20"/>
          <w:spacing w:val="-16"/>
        </w:rPr>
        <w:t> </w:t>
      </w:r>
      <w:r>
        <w:rPr>
          <w:color w:val="231F20"/>
          <w:spacing w:val="-4"/>
        </w:rPr>
        <w:t>part</w:t>
      </w:r>
      <w:r>
        <w:rPr>
          <w:color w:val="231F20"/>
          <w:spacing w:val="-16"/>
        </w:rPr>
        <w:t> </w:t>
      </w:r>
      <w:r>
        <w:rPr>
          <w:color w:val="231F20"/>
          <w:spacing w:val="-4"/>
        </w:rPr>
        <w:t>of</w:t>
      </w:r>
      <w:r>
        <w:rPr>
          <w:color w:val="231F20"/>
          <w:spacing w:val="-16"/>
        </w:rPr>
        <w:t> </w:t>
      </w:r>
      <w:r>
        <w:rPr>
          <w:color w:val="231F20"/>
          <w:spacing w:val="-4"/>
        </w:rPr>
        <w:t>the</w:t>
      </w:r>
      <w:r>
        <w:rPr>
          <w:color w:val="231F20"/>
          <w:spacing w:val="-16"/>
        </w:rPr>
        <w:t> </w:t>
      </w:r>
      <w:r>
        <w:rPr>
          <w:color w:val="231F20"/>
          <w:spacing w:val="-4"/>
        </w:rPr>
        <w:t>answer. </w:t>
      </w:r>
      <w:r>
        <w:rPr>
          <w:color w:val="231F20"/>
        </w:rPr>
        <w:t>Of</w:t>
      </w:r>
      <w:r>
        <w:rPr>
          <w:color w:val="231F20"/>
          <w:spacing w:val="-10"/>
        </w:rPr>
        <w:t> </w:t>
      </w:r>
      <w:r>
        <w:rPr>
          <w:color w:val="231F20"/>
        </w:rPr>
        <w:t>the</w:t>
      </w:r>
      <w:r>
        <w:rPr>
          <w:color w:val="231F20"/>
          <w:spacing w:val="-10"/>
        </w:rPr>
        <w:t> </w:t>
      </w:r>
      <w:r>
        <w:rPr>
          <w:color w:val="231F20"/>
        </w:rPr>
        <w:t>six</w:t>
      </w:r>
      <w:r>
        <w:rPr>
          <w:color w:val="231F20"/>
          <w:spacing w:val="-10"/>
        </w:rPr>
        <w:t> </w:t>
      </w:r>
      <w:r>
        <w:rPr>
          <w:color w:val="231F20"/>
        </w:rPr>
        <w:t>components</w:t>
      </w:r>
      <w:r>
        <w:rPr>
          <w:color w:val="231F20"/>
          <w:spacing w:val="-10"/>
        </w:rPr>
        <w:t> </w:t>
      </w:r>
      <w:r>
        <w:rPr>
          <w:color w:val="231F20"/>
        </w:rPr>
        <w:t>that</w:t>
      </w:r>
      <w:r>
        <w:rPr>
          <w:color w:val="231F20"/>
          <w:spacing w:val="-10"/>
        </w:rPr>
        <w:t> </w:t>
      </w:r>
      <w:r>
        <w:rPr>
          <w:color w:val="231F20"/>
        </w:rPr>
        <w:t>respondents</w:t>
      </w:r>
      <w:r>
        <w:rPr>
          <w:color w:val="231F20"/>
          <w:spacing w:val="-10"/>
        </w:rPr>
        <w:t> </w:t>
      </w:r>
      <w:r>
        <w:rPr>
          <w:color w:val="231F20"/>
        </w:rPr>
        <w:t>rate, </w:t>
      </w:r>
      <w:r>
        <w:rPr>
          <w:color w:val="231F20"/>
          <w:spacing w:val="-2"/>
        </w:rPr>
        <w:t>four</w:t>
      </w:r>
      <w:r>
        <w:rPr>
          <w:color w:val="231F20"/>
          <w:spacing w:val="-12"/>
        </w:rPr>
        <w:t> </w:t>
      </w:r>
      <w:r>
        <w:rPr>
          <w:color w:val="231F20"/>
          <w:spacing w:val="-2"/>
        </w:rPr>
        <w:t>relate</w:t>
      </w:r>
      <w:r>
        <w:rPr>
          <w:color w:val="231F20"/>
          <w:spacing w:val="-11"/>
        </w:rPr>
        <w:t> </w:t>
      </w:r>
      <w:r>
        <w:rPr>
          <w:color w:val="231F20"/>
          <w:spacing w:val="-2"/>
        </w:rPr>
        <w:t>to</w:t>
      </w:r>
      <w:r>
        <w:rPr>
          <w:color w:val="231F20"/>
          <w:spacing w:val="-11"/>
        </w:rPr>
        <w:t> </w:t>
      </w:r>
      <w:r>
        <w:rPr>
          <w:color w:val="231F20"/>
          <w:spacing w:val="-2"/>
        </w:rPr>
        <w:t>deep</w:t>
      </w:r>
      <w:r>
        <w:rPr>
          <w:color w:val="231F20"/>
          <w:spacing w:val="-11"/>
        </w:rPr>
        <w:t> </w:t>
      </w:r>
      <w:r>
        <w:rPr>
          <w:color w:val="231F20"/>
          <w:spacing w:val="-2"/>
        </w:rPr>
        <w:t>country</w:t>
      </w:r>
      <w:r>
        <w:rPr>
          <w:color w:val="231F20"/>
          <w:spacing w:val="-11"/>
        </w:rPr>
        <w:t> </w:t>
      </w:r>
      <w:r>
        <w:rPr>
          <w:color w:val="231F20"/>
          <w:spacing w:val="-2"/>
        </w:rPr>
        <w:t>characteristics</w:t>
      </w:r>
      <w:r>
        <w:rPr>
          <w:color w:val="231F20"/>
          <w:spacing w:val="-11"/>
        </w:rPr>
        <w:t> </w:t>
      </w:r>
      <w:r>
        <w:rPr>
          <w:color w:val="231F20"/>
          <w:spacing w:val="-2"/>
        </w:rPr>
        <w:t>that </w:t>
      </w:r>
      <w:r>
        <w:rPr>
          <w:color w:val="231F20"/>
          <w:spacing w:val="-6"/>
        </w:rPr>
        <w:t>were not affected by the crisis. Difficult supply </w:t>
      </w:r>
      <w:r>
        <w:rPr>
          <w:color w:val="231F20"/>
          <w:spacing w:val="-2"/>
        </w:rPr>
        <w:t>chain</w:t>
      </w:r>
      <w:r>
        <w:rPr>
          <w:color w:val="231F20"/>
          <w:spacing w:val="-12"/>
        </w:rPr>
        <w:t> </w:t>
      </w:r>
      <w:r>
        <w:rPr>
          <w:color w:val="231F20"/>
          <w:spacing w:val="-2"/>
        </w:rPr>
        <w:t>conditions</w:t>
      </w:r>
      <w:r>
        <w:rPr>
          <w:color w:val="231F20"/>
          <w:spacing w:val="-11"/>
        </w:rPr>
        <w:t> </w:t>
      </w:r>
      <w:r>
        <w:rPr>
          <w:color w:val="231F20"/>
          <w:spacing w:val="-2"/>
        </w:rPr>
        <w:t>were</w:t>
      </w:r>
      <w:r>
        <w:rPr>
          <w:color w:val="231F20"/>
          <w:spacing w:val="-11"/>
        </w:rPr>
        <w:t> </w:t>
      </w:r>
      <w:r>
        <w:rPr>
          <w:color w:val="231F20"/>
          <w:spacing w:val="-2"/>
        </w:rPr>
        <w:t>not</w:t>
      </w:r>
      <w:r>
        <w:rPr>
          <w:color w:val="231F20"/>
          <w:spacing w:val="-11"/>
        </w:rPr>
        <w:t> </w:t>
      </w:r>
      <w:r>
        <w:rPr>
          <w:color w:val="231F20"/>
          <w:spacing w:val="-2"/>
        </w:rPr>
        <w:t>related</w:t>
      </w:r>
      <w:r>
        <w:rPr>
          <w:color w:val="231F20"/>
          <w:spacing w:val="-11"/>
        </w:rPr>
        <w:t> </w:t>
      </w:r>
      <w:r>
        <w:rPr>
          <w:color w:val="231F20"/>
          <w:spacing w:val="-2"/>
        </w:rPr>
        <w:t>to</w:t>
      </w:r>
      <w:r>
        <w:rPr>
          <w:color w:val="231F20"/>
          <w:spacing w:val="-11"/>
        </w:rPr>
        <w:t> </w:t>
      </w:r>
      <w:r>
        <w:rPr>
          <w:color w:val="231F20"/>
          <w:spacing w:val="-2"/>
        </w:rPr>
        <w:t>problems </w:t>
      </w:r>
      <w:r>
        <w:rPr>
          <w:color w:val="231F20"/>
        </w:rPr>
        <w:t>with customs, deficiencies in infrastructure </w:t>
      </w:r>
      <w:r>
        <w:rPr>
          <w:color w:val="231F20"/>
          <w:w w:val="90"/>
        </w:rPr>
        <w:t>quality, a lack of quality logistics services pro- </w:t>
      </w:r>
      <w:r>
        <w:rPr>
          <w:color w:val="231F20"/>
        </w:rPr>
        <w:t>viders,</w:t>
      </w:r>
      <w:r>
        <w:rPr>
          <w:color w:val="231F20"/>
          <w:spacing w:val="-4"/>
        </w:rPr>
        <w:t> </w:t>
      </w:r>
      <w:r>
        <w:rPr>
          <w:color w:val="231F20"/>
        </w:rPr>
        <w:t>or</w:t>
      </w:r>
      <w:r>
        <w:rPr>
          <w:color w:val="231F20"/>
          <w:spacing w:val="-4"/>
        </w:rPr>
        <w:t> </w:t>
      </w:r>
      <w:r>
        <w:rPr>
          <w:color w:val="231F20"/>
        </w:rPr>
        <w:t>difficulties</w:t>
      </w:r>
      <w:r>
        <w:rPr>
          <w:color w:val="231F20"/>
          <w:spacing w:val="-4"/>
        </w:rPr>
        <w:t> </w:t>
      </w:r>
      <w:r>
        <w:rPr>
          <w:color w:val="231F20"/>
        </w:rPr>
        <w:t>in</w:t>
      </w:r>
      <w:r>
        <w:rPr>
          <w:color w:val="231F20"/>
          <w:spacing w:val="-4"/>
        </w:rPr>
        <w:t> </w:t>
      </w:r>
      <w:r>
        <w:rPr>
          <w:color w:val="231F20"/>
        </w:rPr>
        <w:t>tracking</w:t>
      </w:r>
      <w:r>
        <w:rPr>
          <w:color w:val="231F20"/>
          <w:spacing w:val="-4"/>
        </w:rPr>
        <w:t> </w:t>
      </w:r>
      <w:r>
        <w:rPr>
          <w:color w:val="231F20"/>
        </w:rPr>
        <w:t>and</w:t>
      </w:r>
      <w:r>
        <w:rPr>
          <w:color w:val="231F20"/>
          <w:spacing w:val="-4"/>
        </w:rPr>
        <w:t> </w:t>
      </w:r>
      <w:r>
        <w:rPr>
          <w:color w:val="231F20"/>
        </w:rPr>
        <w:t>tracing </w:t>
      </w:r>
      <w:r>
        <w:rPr>
          <w:color w:val="231F20"/>
          <w:spacing w:val="-6"/>
        </w:rPr>
        <w:t>shipments.</w:t>
      </w:r>
      <w:r>
        <w:rPr>
          <w:color w:val="231F20"/>
          <w:spacing w:val="-10"/>
        </w:rPr>
        <w:t> </w:t>
      </w:r>
      <w:r>
        <w:rPr>
          <w:color w:val="231F20"/>
          <w:spacing w:val="-6"/>
        </w:rPr>
        <w:t>The</w:t>
      </w:r>
      <w:r>
        <w:rPr>
          <w:color w:val="231F20"/>
          <w:spacing w:val="-8"/>
        </w:rPr>
        <w:t> </w:t>
      </w:r>
      <w:r>
        <w:rPr>
          <w:color w:val="231F20"/>
          <w:spacing w:val="-6"/>
        </w:rPr>
        <w:t>crisis</w:t>
      </w:r>
      <w:r>
        <w:rPr>
          <w:color w:val="231F20"/>
          <w:spacing w:val="-8"/>
        </w:rPr>
        <w:t> </w:t>
      </w:r>
      <w:r>
        <w:rPr>
          <w:color w:val="231F20"/>
          <w:spacing w:val="-6"/>
        </w:rPr>
        <w:t>was</w:t>
      </w:r>
      <w:r>
        <w:rPr>
          <w:color w:val="231F20"/>
          <w:spacing w:val="-8"/>
        </w:rPr>
        <w:t> </w:t>
      </w:r>
      <w:r>
        <w:rPr>
          <w:color w:val="231F20"/>
          <w:spacing w:val="-6"/>
        </w:rPr>
        <w:t>due</w:t>
      </w:r>
      <w:r>
        <w:rPr>
          <w:color w:val="231F20"/>
          <w:spacing w:val="-8"/>
        </w:rPr>
        <w:t> </w:t>
      </w:r>
      <w:r>
        <w:rPr>
          <w:color w:val="231F20"/>
          <w:spacing w:val="-6"/>
        </w:rPr>
        <w:t>to</w:t>
      </w:r>
      <w:r>
        <w:rPr>
          <w:color w:val="231F20"/>
          <w:spacing w:val="-8"/>
        </w:rPr>
        <w:t> </w:t>
      </w:r>
      <w:r>
        <w:rPr>
          <w:color w:val="231F20"/>
          <w:spacing w:val="-6"/>
        </w:rPr>
        <w:t>a</w:t>
      </w:r>
      <w:r>
        <w:rPr>
          <w:color w:val="231F20"/>
          <w:spacing w:val="-8"/>
        </w:rPr>
        <w:t> </w:t>
      </w:r>
      <w:r>
        <w:rPr>
          <w:color w:val="231F20"/>
          <w:spacing w:val="-6"/>
        </w:rPr>
        <w:t>combination </w:t>
      </w:r>
      <w:r>
        <w:rPr>
          <w:color w:val="231F20"/>
          <w:w w:val="90"/>
        </w:rPr>
        <w:t>of</w:t>
      </w:r>
      <w:r>
        <w:rPr>
          <w:color w:val="231F20"/>
          <w:spacing w:val="-3"/>
          <w:w w:val="90"/>
        </w:rPr>
        <w:t> </w:t>
      </w:r>
      <w:r>
        <w:rPr>
          <w:color w:val="231F20"/>
          <w:w w:val="90"/>
        </w:rPr>
        <w:t>supply-</w:t>
      </w:r>
      <w:r>
        <w:rPr>
          <w:color w:val="231F20"/>
          <w:spacing w:val="-3"/>
          <w:w w:val="90"/>
        </w:rPr>
        <w:t> </w:t>
      </w:r>
      <w:r>
        <w:rPr>
          <w:color w:val="231F20"/>
          <w:w w:val="90"/>
        </w:rPr>
        <w:t>and</w:t>
      </w:r>
      <w:r>
        <w:rPr>
          <w:color w:val="231F20"/>
          <w:spacing w:val="-3"/>
          <w:w w:val="90"/>
        </w:rPr>
        <w:t> </w:t>
      </w:r>
      <w:r>
        <w:rPr>
          <w:color w:val="231F20"/>
          <w:w w:val="90"/>
        </w:rPr>
        <w:t>demand-side</w:t>
      </w:r>
      <w:r>
        <w:rPr>
          <w:color w:val="231F20"/>
          <w:spacing w:val="-3"/>
          <w:w w:val="90"/>
        </w:rPr>
        <w:t> </w:t>
      </w:r>
      <w:r>
        <w:rPr>
          <w:color w:val="231F20"/>
          <w:w w:val="90"/>
        </w:rPr>
        <w:t>factors</w:t>
      </w:r>
      <w:r>
        <w:rPr>
          <w:color w:val="231F20"/>
          <w:spacing w:val="-3"/>
          <w:w w:val="90"/>
        </w:rPr>
        <w:t> </w:t>
      </w:r>
      <w:r>
        <w:rPr>
          <w:color w:val="231F20"/>
          <w:w w:val="90"/>
        </w:rPr>
        <w:t>related</w:t>
      </w:r>
      <w:r>
        <w:rPr>
          <w:color w:val="231F20"/>
          <w:spacing w:val="-3"/>
          <w:w w:val="90"/>
        </w:rPr>
        <w:t> </w:t>
      </w:r>
      <w:r>
        <w:rPr>
          <w:color w:val="231F20"/>
          <w:w w:val="90"/>
        </w:rPr>
        <w:t>to</w:t>
      </w:r>
      <w:r>
        <w:rPr>
          <w:color w:val="231F20"/>
          <w:spacing w:val="-3"/>
          <w:w w:val="90"/>
        </w:rPr>
        <w:t> </w:t>
      </w:r>
      <w:r>
        <w:rPr>
          <w:color w:val="231F20"/>
          <w:w w:val="90"/>
        </w:rPr>
        <w:t>the </w:t>
      </w:r>
      <w:r>
        <w:rPr>
          <w:color w:val="231F20"/>
          <w:spacing w:val="-2"/>
        </w:rPr>
        <w:t>COVID-19</w:t>
      </w:r>
      <w:r>
        <w:rPr>
          <w:color w:val="231F20"/>
          <w:spacing w:val="-13"/>
        </w:rPr>
        <w:t> </w:t>
      </w:r>
      <w:r>
        <w:rPr>
          <w:color w:val="231F20"/>
          <w:spacing w:val="-2"/>
        </w:rPr>
        <w:t>pandemic</w:t>
      </w:r>
      <w:r>
        <w:rPr>
          <w:color w:val="231F20"/>
          <w:spacing w:val="-13"/>
        </w:rPr>
        <w:t> </w:t>
      </w:r>
      <w:r>
        <w:rPr>
          <w:color w:val="231F20"/>
          <w:spacing w:val="-2"/>
        </w:rPr>
        <w:t>and</w:t>
      </w:r>
      <w:r>
        <w:rPr>
          <w:color w:val="231F20"/>
          <w:spacing w:val="-13"/>
        </w:rPr>
        <w:t> </w:t>
      </w:r>
      <w:r>
        <w:rPr>
          <w:color w:val="231F20"/>
          <w:spacing w:val="-2"/>
        </w:rPr>
        <w:t>efforts</w:t>
      </w:r>
      <w:r>
        <w:rPr>
          <w:color w:val="231F20"/>
          <w:spacing w:val="-13"/>
        </w:rPr>
        <w:t> </w:t>
      </w:r>
      <w:r>
        <w:rPr>
          <w:color w:val="231F20"/>
          <w:spacing w:val="-2"/>
        </w:rPr>
        <w:t>to</w:t>
      </w:r>
      <w:r>
        <w:rPr>
          <w:color w:val="231F20"/>
          <w:spacing w:val="-13"/>
        </w:rPr>
        <w:t> </w:t>
      </w:r>
      <w:r>
        <w:rPr>
          <w:color w:val="231F20"/>
          <w:spacing w:val="-2"/>
        </w:rPr>
        <w:t>control</w:t>
      </w:r>
      <w:r>
        <w:rPr>
          <w:color w:val="231F20"/>
          <w:spacing w:val="-13"/>
        </w:rPr>
        <w:t> </w:t>
      </w:r>
      <w:r>
        <w:rPr>
          <w:color w:val="231F20"/>
          <w:spacing w:val="-2"/>
        </w:rPr>
        <w:t>it. </w:t>
      </w:r>
      <w:r>
        <w:rPr>
          <w:color w:val="231F20"/>
        </w:rPr>
        <w:t>But data for one LPI component suggest</w:t>
      </w:r>
      <w:r>
        <w:rPr>
          <w:color w:val="231F20"/>
          <w:spacing w:val="40"/>
        </w:rPr>
        <w:t> </w:t>
      </w:r>
      <w:r>
        <w:rPr>
          <w:color w:val="231F20"/>
          <w:spacing w:val="-4"/>
        </w:rPr>
        <w:t>that</w:t>
      </w:r>
      <w:r>
        <w:rPr>
          <w:color w:val="231F20"/>
          <w:spacing w:val="-10"/>
        </w:rPr>
        <w:t> </w:t>
      </w:r>
      <w:r>
        <w:rPr>
          <w:color w:val="231F20"/>
          <w:spacing w:val="-4"/>
        </w:rPr>
        <w:t>LPI</w:t>
      </w:r>
      <w:r>
        <w:rPr>
          <w:color w:val="231F20"/>
          <w:spacing w:val="-9"/>
        </w:rPr>
        <w:t> </w:t>
      </w:r>
      <w:r>
        <w:rPr>
          <w:color w:val="231F20"/>
          <w:spacing w:val="-4"/>
        </w:rPr>
        <w:t>survey</w:t>
      </w:r>
      <w:r>
        <w:rPr>
          <w:color w:val="231F20"/>
          <w:spacing w:val="-9"/>
        </w:rPr>
        <w:t> </w:t>
      </w:r>
      <w:r>
        <w:rPr>
          <w:color w:val="231F20"/>
          <w:spacing w:val="-4"/>
        </w:rPr>
        <w:t>respondents</w:t>
      </w:r>
      <w:r>
        <w:rPr>
          <w:color w:val="231F20"/>
          <w:spacing w:val="-9"/>
        </w:rPr>
        <w:t> </w:t>
      </w:r>
      <w:r>
        <w:rPr>
          <w:color w:val="231F20"/>
          <w:spacing w:val="-4"/>
        </w:rPr>
        <w:t>were</w:t>
      </w:r>
      <w:r>
        <w:rPr>
          <w:color w:val="231F20"/>
          <w:spacing w:val="-9"/>
        </w:rPr>
        <w:t> </w:t>
      </w:r>
      <w:r>
        <w:rPr>
          <w:color w:val="231F20"/>
          <w:spacing w:val="-4"/>
        </w:rPr>
        <w:t>conscious</w:t>
      </w:r>
      <w:r>
        <w:rPr>
          <w:color w:val="231F20"/>
          <w:spacing w:val="-9"/>
        </w:rPr>
        <w:t> </w:t>
      </w:r>
      <w:r>
        <w:rPr>
          <w:color w:val="231F20"/>
          <w:spacing w:val="-4"/>
        </w:rPr>
        <w:t>of </w:t>
      </w:r>
      <w:r>
        <w:rPr>
          <w:color w:val="231F20"/>
          <w:w w:val="90"/>
        </w:rPr>
        <w:t>the new supply chain realities when rating coun- </w:t>
      </w:r>
      <w:r>
        <w:rPr>
          <w:color w:val="231F20"/>
          <w:spacing w:val="-4"/>
        </w:rPr>
        <w:t>tries.</w:t>
      </w:r>
      <w:r>
        <w:rPr>
          <w:color w:val="231F20"/>
          <w:spacing w:val="-10"/>
        </w:rPr>
        <w:t> </w:t>
      </w:r>
      <w:r>
        <w:rPr>
          <w:color w:val="231F20"/>
          <w:spacing w:val="-4"/>
        </w:rPr>
        <w:t>Ratings</w:t>
      </w:r>
      <w:r>
        <w:rPr>
          <w:color w:val="231F20"/>
          <w:spacing w:val="-10"/>
        </w:rPr>
        <w:t> </w:t>
      </w:r>
      <w:r>
        <w:rPr>
          <w:color w:val="231F20"/>
          <w:spacing w:val="-4"/>
        </w:rPr>
        <w:t>for</w:t>
      </w:r>
      <w:r>
        <w:rPr>
          <w:color w:val="231F20"/>
          <w:spacing w:val="-10"/>
        </w:rPr>
        <w:t> </w:t>
      </w:r>
      <w:r>
        <w:rPr>
          <w:color w:val="231F20"/>
          <w:spacing w:val="-4"/>
        </w:rPr>
        <w:t>the</w:t>
      </w:r>
      <w:r>
        <w:rPr>
          <w:color w:val="231F20"/>
          <w:spacing w:val="-10"/>
        </w:rPr>
        <w:t> </w:t>
      </w:r>
      <w:r>
        <w:rPr>
          <w:color w:val="231F20"/>
          <w:spacing w:val="-4"/>
        </w:rPr>
        <w:t>timeliness</w:t>
      </w:r>
      <w:r>
        <w:rPr>
          <w:color w:val="231F20"/>
          <w:spacing w:val="-10"/>
        </w:rPr>
        <w:t> </w:t>
      </w:r>
      <w:r>
        <w:rPr>
          <w:color w:val="231F20"/>
          <w:spacing w:val="-4"/>
        </w:rPr>
        <w:t>component</w:t>
      </w:r>
      <w:r>
        <w:rPr>
          <w:color w:val="231F20"/>
          <w:spacing w:val="-10"/>
        </w:rPr>
        <w:t> </w:t>
      </w:r>
      <w:r>
        <w:rPr>
          <w:color w:val="231F20"/>
          <w:spacing w:val="-4"/>
        </w:rPr>
        <w:t>fell </w:t>
      </w:r>
      <w:r>
        <w:rPr>
          <w:color w:val="231F20"/>
          <w:spacing w:val="-2"/>
        </w:rPr>
        <w:t>in</w:t>
      </w:r>
      <w:r>
        <w:rPr>
          <w:color w:val="231F20"/>
          <w:spacing w:val="-12"/>
        </w:rPr>
        <w:t> </w:t>
      </w:r>
      <w:r>
        <w:rPr>
          <w:color w:val="231F20"/>
          <w:spacing w:val="-2"/>
        </w:rPr>
        <w:t>all</w:t>
      </w:r>
      <w:r>
        <w:rPr>
          <w:color w:val="231F20"/>
          <w:spacing w:val="-11"/>
        </w:rPr>
        <w:t> </w:t>
      </w:r>
      <w:r>
        <w:rPr>
          <w:color w:val="231F20"/>
          <w:spacing w:val="-2"/>
        </w:rPr>
        <w:t>performance</w:t>
      </w:r>
      <w:r>
        <w:rPr>
          <w:color w:val="231F20"/>
          <w:spacing w:val="-11"/>
        </w:rPr>
        <w:t> </w:t>
      </w:r>
      <w:r>
        <w:rPr>
          <w:color w:val="231F20"/>
          <w:spacing w:val="-2"/>
        </w:rPr>
        <w:t>quintiles</w:t>
      </w:r>
      <w:r>
        <w:rPr>
          <w:color w:val="231F20"/>
          <w:spacing w:val="-11"/>
        </w:rPr>
        <w:t> </w:t>
      </w:r>
      <w:r>
        <w:rPr>
          <w:color w:val="231F20"/>
          <w:spacing w:val="-2"/>
        </w:rPr>
        <w:t>except</w:t>
      </w:r>
      <w:r>
        <w:rPr>
          <w:color w:val="231F20"/>
          <w:spacing w:val="-11"/>
        </w:rPr>
        <w:t> </w:t>
      </w:r>
      <w:r>
        <w:rPr>
          <w:color w:val="231F20"/>
          <w:spacing w:val="-2"/>
        </w:rPr>
        <w:t>the</w:t>
      </w:r>
      <w:r>
        <w:rPr>
          <w:color w:val="231F20"/>
          <w:spacing w:val="-11"/>
        </w:rPr>
        <w:t> </w:t>
      </w:r>
      <w:r>
        <w:rPr>
          <w:color w:val="231F20"/>
          <w:spacing w:val="-2"/>
        </w:rPr>
        <w:t>second </w:t>
      </w:r>
      <w:r>
        <w:rPr>
          <w:color w:val="231F20"/>
          <w:spacing w:val="-6"/>
        </w:rPr>
        <w:t>from</w:t>
      </w:r>
      <w:r>
        <w:rPr>
          <w:color w:val="231F20"/>
          <w:spacing w:val="-11"/>
        </w:rPr>
        <w:t> </w:t>
      </w:r>
      <w:r>
        <w:rPr>
          <w:color w:val="231F20"/>
          <w:spacing w:val="-6"/>
        </w:rPr>
        <w:t>the</w:t>
      </w:r>
      <w:r>
        <w:rPr>
          <w:color w:val="231F20"/>
          <w:spacing w:val="-11"/>
        </w:rPr>
        <w:t> </w:t>
      </w:r>
      <w:r>
        <w:rPr>
          <w:color w:val="231F20"/>
          <w:spacing w:val="-6"/>
        </w:rPr>
        <w:t>top</w:t>
      </w:r>
      <w:r>
        <w:rPr>
          <w:color w:val="231F20"/>
          <w:spacing w:val="-11"/>
        </w:rPr>
        <w:t> </w:t>
      </w:r>
      <w:r>
        <w:rPr>
          <w:color w:val="231F20"/>
          <w:spacing w:val="-6"/>
        </w:rPr>
        <w:t>between</w:t>
      </w:r>
      <w:r>
        <w:rPr>
          <w:color w:val="231F20"/>
          <w:spacing w:val="-11"/>
        </w:rPr>
        <w:t> </w:t>
      </w:r>
      <w:r>
        <w:rPr>
          <w:color w:val="231F20"/>
          <w:spacing w:val="-6"/>
        </w:rPr>
        <w:t>2018</w:t>
      </w:r>
      <w:r>
        <w:rPr>
          <w:color w:val="231F20"/>
          <w:spacing w:val="-11"/>
        </w:rPr>
        <w:t> </w:t>
      </w:r>
      <w:r>
        <w:rPr>
          <w:color w:val="231F20"/>
          <w:spacing w:val="-6"/>
        </w:rPr>
        <w:t>and</w:t>
      </w:r>
      <w:r>
        <w:rPr>
          <w:color w:val="231F20"/>
          <w:spacing w:val="-11"/>
        </w:rPr>
        <w:t> </w:t>
      </w:r>
      <w:r>
        <w:rPr>
          <w:color w:val="231F20"/>
          <w:spacing w:val="-6"/>
        </w:rPr>
        <w:t>2023</w:t>
      </w:r>
      <w:r>
        <w:rPr>
          <w:color w:val="231F20"/>
          <w:spacing w:val="-11"/>
        </w:rPr>
        <w:t> </w:t>
      </w:r>
      <w:r>
        <w:rPr>
          <w:color w:val="231F20"/>
          <w:spacing w:val="-6"/>
        </w:rPr>
        <w:t>(figure</w:t>
      </w:r>
      <w:r>
        <w:rPr>
          <w:color w:val="231F20"/>
          <w:spacing w:val="-11"/>
        </w:rPr>
        <w:t> </w:t>
      </w:r>
      <w:r>
        <w:rPr>
          <w:color w:val="231F20"/>
          <w:spacing w:val="-6"/>
        </w:rPr>
        <w:t>4). </w:t>
      </w:r>
      <w:r>
        <w:rPr>
          <w:color w:val="231F20"/>
          <w:w w:val="90"/>
        </w:rPr>
        <w:t>Given</w:t>
      </w:r>
      <w:r>
        <w:rPr>
          <w:color w:val="231F20"/>
          <w:spacing w:val="-2"/>
          <w:w w:val="90"/>
        </w:rPr>
        <w:t> </w:t>
      </w:r>
      <w:r>
        <w:rPr>
          <w:color w:val="231F20"/>
          <w:w w:val="90"/>
        </w:rPr>
        <w:t>that</w:t>
      </w:r>
      <w:r>
        <w:rPr>
          <w:color w:val="231F20"/>
          <w:spacing w:val="-2"/>
          <w:w w:val="90"/>
        </w:rPr>
        <w:t> </w:t>
      </w:r>
      <w:r>
        <w:rPr>
          <w:color w:val="231F20"/>
          <w:w w:val="90"/>
        </w:rPr>
        <w:t>a</w:t>
      </w:r>
      <w:r>
        <w:rPr>
          <w:color w:val="231F20"/>
          <w:spacing w:val="-2"/>
          <w:w w:val="90"/>
        </w:rPr>
        <w:t> </w:t>
      </w:r>
      <w:r>
        <w:rPr>
          <w:color w:val="231F20"/>
          <w:w w:val="90"/>
        </w:rPr>
        <w:t>key</w:t>
      </w:r>
      <w:r>
        <w:rPr>
          <w:color w:val="231F20"/>
          <w:spacing w:val="-2"/>
          <w:w w:val="90"/>
        </w:rPr>
        <w:t> </w:t>
      </w:r>
      <w:r>
        <w:rPr>
          <w:color w:val="231F20"/>
          <w:w w:val="90"/>
        </w:rPr>
        <w:t>aspect</w:t>
      </w:r>
      <w:r>
        <w:rPr>
          <w:color w:val="231F20"/>
          <w:spacing w:val="-2"/>
          <w:w w:val="90"/>
        </w:rPr>
        <w:t> </w:t>
      </w:r>
      <w:r>
        <w:rPr>
          <w:color w:val="231F20"/>
          <w:w w:val="90"/>
        </w:rPr>
        <w:t>of</w:t>
      </w:r>
      <w:r>
        <w:rPr>
          <w:color w:val="231F20"/>
          <w:spacing w:val="-2"/>
          <w:w w:val="90"/>
        </w:rPr>
        <w:t> </w:t>
      </w:r>
      <w:r>
        <w:rPr>
          <w:color w:val="231F20"/>
          <w:w w:val="90"/>
        </w:rPr>
        <w:t>the</w:t>
      </w:r>
      <w:r>
        <w:rPr>
          <w:color w:val="231F20"/>
          <w:spacing w:val="-2"/>
          <w:w w:val="90"/>
        </w:rPr>
        <w:t> </w:t>
      </w:r>
      <w:r>
        <w:rPr>
          <w:color w:val="231F20"/>
          <w:w w:val="90"/>
        </w:rPr>
        <w:t>supply</w:t>
      </w:r>
      <w:r>
        <w:rPr>
          <w:color w:val="231F20"/>
          <w:spacing w:val="-2"/>
          <w:w w:val="90"/>
        </w:rPr>
        <w:t> </w:t>
      </w:r>
      <w:r>
        <w:rPr>
          <w:color w:val="231F20"/>
          <w:w w:val="90"/>
        </w:rPr>
        <w:t>chain</w:t>
      </w:r>
      <w:r>
        <w:rPr>
          <w:color w:val="231F20"/>
          <w:spacing w:val="-2"/>
          <w:w w:val="90"/>
        </w:rPr>
        <w:t> </w:t>
      </w:r>
      <w:r>
        <w:rPr>
          <w:color w:val="231F20"/>
          <w:w w:val="90"/>
        </w:rPr>
        <w:t>crisis </w:t>
      </w:r>
      <w:r>
        <w:rPr>
          <w:color w:val="231F20"/>
          <w:spacing w:val="-4"/>
        </w:rPr>
        <w:t>was</w:t>
      </w:r>
      <w:r>
        <w:rPr>
          <w:color w:val="231F20"/>
          <w:spacing w:val="-10"/>
        </w:rPr>
        <w:t> </w:t>
      </w:r>
      <w:r>
        <w:rPr>
          <w:color w:val="231F20"/>
          <w:spacing w:val="-4"/>
        </w:rPr>
        <w:t>delays,</w:t>
      </w:r>
      <w:r>
        <w:rPr>
          <w:color w:val="231F20"/>
          <w:spacing w:val="-9"/>
        </w:rPr>
        <w:t> </w:t>
      </w:r>
      <w:r>
        <w:rPr>
          <w:color w:val="231F20"/>
          <w:spacing w:val="-4"/>
        </w:rPr>
        <w:t>this</w:t>
      </w:r>
      <w:r>
        <w:rPr>
          <w:color w:val="231F20"/>
          <w:spacing w:val="-9"/>
        </w:rPr>
        <w:t> </w:t>
      </w:r>
      <w:r>
        <w:rPr>
          <w:color w:val="231F20"/>
          <w:spacing w:val="-4"/>
        </w:rPr>
        <w:t>finding</w:t>
      </w:r>
      <w:r>
        <w:rPr>
          <w:color w:val="231F20"/>
          <w:spacing w:val="-9"/>
        </w:rPr>
        <w:t> </w:t>
      </w:r>
      <w:r>
        <w:rPr>
          <w:color w:val="231F20"/>
          <w:spacing w:val="-4"/>
        </w:rPr>
        <w:t>suggests</w:t>
      </w:r>
      <w:r>
        <w:rPr>
          <w:color w:val="231F20"/>
          <w:spacing w:val="-9"/>
        </w:rPr>
        <w:t> </w:t>
      </w:r>
      <w:r>
        <w:rPr>
          <w:color w:val="231F20"/>
          <w:spacing w:val="-4"/>
        </w:rPr>
        <w:t>that</w:t>
      </w:r>
      <w:r>
        <w:rPr>
          <w:color w:val="231F20"/>
          <w:spacing w:val="-9"/>
        </w:rPr>
        <w:t> </w:t>
      </w:r>
      <w:r>
        <w:rPr>
          <w:color w:val="231F20"/>
          <w:spacing w:val="-4"/>
        </w:rPr>
        <w:t>the</w:t>
      </w:r>
      <w:r>
        <w:rPr>
          <w:color w:val="231F20"/>
          <w:spacing w:val="-9"/>
        </w:rPr>
        <w:t> </w:t>
      </w:r>
      <w:r>
        <w:rPr>
          <w:color w:val="231F20"/>
          <w:spacing w:val="-4"/>
        </w:rPr>
        <w:t>time- liness</w:t>
      </w:r>
      <w:r>
        <w:rPr>
          <w:color w:val="231F20"/>
          <w:spacing w:val="-10"/>
        </w:rPr>
        <w:t> </w:t>
      </w:r>
      <w:r>
        <w:rPr>
          <w:color w:val="231F20"/>
          <w:spacing w:val="-4"/>
        </w:rPr>
        <w:t>component</w:t>
      </w:r>
      <w:r>
        <w:rPr>
          <w:color w:val="231F20"/>
          <w:spacing w:val="-9"/>
        </w:rPr>
        <w:t> </w:t>
      </w:r>
      <w:r>
        <w:rPr>
          <w:color w:val="231F20"/>
          <w:spacing w:val="-4"/>
        </w:rPr>
        <w:t>captures</w:t>
      </w:r>
      <w:r>
        <w:rPr>
          <w:color w:val="231F20"/>
          <w:spacing w:val="-9"/>
        </w:rPr>
        <w:t> </w:t>
      </w:r>
      <w:r>
        <w:rPr>
          <w:color w:val="231F20"/>
          <w:spacing w:val="-4"/>
        </w:rPr>
        <w:t>some</w:t>
      </w:r>
      <w:r>
        <w:rPr>
          <w:color w:val="231F20"/>
          <w:spacing w:val="-9"/>
        </w:rPr>
        <w:t> </w:t>
      </w:r>
      <w:r>
        <w:rPr>
          <w:color w:val="231F20"/>
          <w:spacing w:val="-4"/>
        </w:rPr>
        <w:t>of</w:t>
      </w:r>
      <w:r>
        <w:rPr>
          <w:color w:val="231F20"/>
          <w:spacing w:val="-9"/>
        </w:rPr>
        <w:t> </w:t>
      </w:r>
      <w:r>
        <w:rPr>
          <w:color w:val="231F20"/>
          <w:spacing w:val="-4"/>
        </w:rPr>
        <w:t>the</w:t>
      </w:r>
      <w:r>
        <w:rPr>
          <w:color w:val="231F20"/>
          <w:spacing w:val="-9"/>
        </w:rPr>
        <w:t> </w:t>
      </w:r>
      <w:r>
        <w:rPr>
          <w:color w:val="231F20"/>
          <w:spacing w:val="-4"/>
        </w:rPr>
        <w:t>disrup- </w:t>
      </w:r>
      <w:r>
        <w:rPr>
          <w:color w:val="231F20"/>
        </w:rPr>
        <w:t>tion,</w:t>
      </w:r>
      <w:r>
        <w:rPr>
          <w:color w:val="231F20"/>
          <w:spacing w:val="-14"/>
        </w:rPr>
        <w:t> </w:t>
      </w:r>
      <w:r>
        <w:rPr>
          <w:color w:val="231F20"/>
        </w:rPr>
        <w:t>subject</w:t>
      </w:r>
      <w:r>
        <w:rPr>
          <w:color w:val="231F20"/>
          <w:spacing w:val="-13"/>
        </w:rPr>
        <w:t> </w:t>
      </w:r>
      <w:r>
        <w:rPr>
          <w:color w:val="231F20"/>
        </w:rPr>
        <w:t>to</w:t>
      </w:r>
      <w:r>
        <w:rPr>
          <w:color w:val="231F20"/>
          <w:spacing w:val="-13"/>
        </w:rPr>
        <w:t> </w:t>
      </w:r>
      <w:r>
        <w:rPr>
          <w:color w:val="231F20"/>
        </w:rPr>
        <w:t>the</w:t>
      </w:r>
      <w:r>
        <w:rPr>
          <w:color w:val="231F20"/>
          <w:spacing w:val="-13"/>
        </w:rPr>
        <w:t> </w:t>
      </w:r>
      <w:r>
        <w:rPr>
          <w:color w:val="231F20"/>
        </w:rPr>
        <w:t>caveat</w:t>
      </w:r>
      <w:r>
        <w:rPr>
          <w:color w:val="231F20"/>
          <w:spacing w:val="-13"/>
        </w:rPr>
        <w:t> </w:t>
      </w:r>
      <w:r>
        <w:rPr>
          <w:color w:val="231F20"/>
        </w:rPr>
        <w:t>that</w:t>
      </w:r>
      <w:r>
        <w:rPr>
          <w:color w:val="231F20"/>
          <w:spacing w:val="-13"/>
        </w:rPr>
        <w:t> </w:t>
      </w:r>
      <w:r>
        <w:rPr>
          <w:color w:val="231F20"/>
        </w:rPr>
        <w:t>data</w:t>
      </w:r>
      <w:r>
        <w:rPr>
          <w:color w:val="231F20"/>
          <w:spacing w:val="-13"/>
        </w:rPr>
        <w:t> </w:t>
      </w:r>
      <w:r>
        <w:rPr>
          <w:color w:val="231F20"/>
        </w:rPr>
        <w:t>collection </w:t>
      </w:r>
      <w:r>
        <w:rPr>
          <w:color w:val="231F20"/>
          <w:w w:val="90"/>
        </w:rPr>
        <w:t>was</w:t>
      </w:r>
      <w:r>
        <w:rPr>
          <w:color w:val="231F20"/>
          <w:spacing w:val="-2"/>
        </w:rPr>
        <w:t> </w:t>
      </w:r>
      <w:r>
        <w:rPr>
          <w:color w:val="231F20"/>
          <w:w w:val="90"/>
        </w:rPr>
        <w:t>undertaken</w:t>
      </w:r>
      <w:r>
        <w:rPr>
          <w:color w:val="231F20"/>
          <w:spacing w:val="-1"/>
        </w:rPr>
        <w:t> </w:t>
      </w:r>
      <w:r>
        <w:rPr>
          <w:color w:val="231F20"/>
          <w:w w:val="90"/>
        </w:rPr>
        <w:t>as</w:t>
      </w:r>
      <w:r>
        <w:rPr>
          <w:color w:val="231F20"/>
          <w:spacing w:val="-2"/>
        </w:rPr>
        <w:t> </w:t>
      </w:r>
      <w:r>
        <w:rPr>
          <w:color w:val="231F20"/>
          <w:w w:val="90"/>
        </w:rPr>
        <w:t>crisis</w:t>
      </w:r>
      <w:r>
        <w:rPr>
          <w:color w:val="231F20"/>
          <w:spacing w:val="-1"/>
        </w:rPr>
        <w:t> </w:t>
      </w:r>
      <w:r>
        <w:rPr>
          <w:color w:val="231F20"/>
          <w:w w:val="90"/>
        </w:rPr>
        <w:t>conditions</w:t>
      </w:r>
      <w:r>
        <w:rPr>
          <w:color w:val="231F20"/>
          <w:spacing w:val="-2"/>
        </w:rPr>
        <w:t> </w:t>
      </w:r>
      <w:r>
        <w:rPr>
          <w:color w:val="231F20"/>
          <w:w w:val="90"/>
        </w:rPr>
        <w:t>were</w:t>
      </w:r>
      <w:r>
        <w:rPr>
          <w:color w:val="231F20"/>
          <w:spacing w:val="-1"/>
        </w:rPr>
        <w:t> </w:t>
      </w:r>
      <w:r>
        <w:rPr>
          <w:color w:val="231F20"/>
          <w:spacing w:val="-2"/>
          <w:w w:val="90"/>
        </w:rPr>
        <w:t>easing.</w:t>
      </w:r>
    </w:p>
    <w:p>
      <w:pPr>
        <w:pStyle w:val="BodyText"/>
        <w:spacing w:before="26"/>
      </w:pPr>
    </w:p>
    <w:p>
      <w:pPr>
        <w:spacing w:line="280" w:lineRule="auto" w:before="0"/>
        <w:ind w:left="198" w:right="2942" w:firstLine="0"/>
        <w:jc w:val="left"/>
        <w:rPr>
          <w:rFonts w:ascii="Arial"/>
          <w:b/>
          <w:sz w:val="20"/>
        </w:rPr>
      </w:pPr>
      <w:r>
        <w:rPr>
          <w:rFonts w:ascii="Arial"/>
          <w:b/>
          <w:color w:val="231F20"/>
          <w:w w:val="105"/>
          <w:sz w:val="20"/>
        </w:rPr>
        <w:t>Logistics performance is determined by more than income</w:t>
      </w:r>
    </w:p>
    <w:p>
      <w:pPr>
        <w:pStyle w:val="BodyText"/>
        <w:spacing w:before="33"/>
        <w:rPr>
          <w:rFonts w:ascii="Arial"/>
          <w:b/>
          <w:sz w:val="20"/>
        </w:rPr>
      </w:pPr>
    </w:p>
    <w:p>
      <w:pPr>
        <w:pStyle w:val="BodyText"/>
        <w:spacing w:line="268" w:lineRule="auto" w:before="1"/>
        <w:ind w:left="198" w:right="2817"/>
        <w:jc w:val="both"/>
      </w:pPr>
      <w:r>
        <w:rPr>
          <w:color w:val="231F20"/>
          <w:spacing w:val="-8"/>
        </w:rPr>
        <w:t>There</w:t>
      </w:r>
      <w:r>
        <w:rPr>
          <w:color w:val="231F20"/>
          <w:spacing w:val="-3"/>
        </w:rPr>
        <w:t> </w:t>
      </w:r>
      <w:r>
        <w:rPr>
          <w:color w:val="231F20"/>
          <w:spacing w:val="-8"/>
        </w:rPr>
        <w:t>is</w:t>
      </w:r>
      <w:r>
        <w:rPr>
          <w:color w:val="231F20"/>
          <w:spacing w:val="-3"/>
        </w:rPr>
        <w:t> </w:t>
      </w:r>
      <w:r>
        <w:rPr>
          <w:color w:val="231F20"/>
          <w:spacing w:val="-8"/>
        </w:rPr>
        <w:t>a</w:t>
      </w:r>
      <w:r>
        <w:rPr>
          <w:color w:val="231F20"/>
          <w:spacing w:val="-3"/>
        </w:rPr>
        <w:t> </w:t>
      </w:r>
      <w:r>
        <w:rPr>
          <w:color w:val="231F20"/>
          <w:spacing w:val="-8"/>
        </w:rPr>
        <w:t>noticeable</w:t>
      </w:r>
      <w:r>
        <w:rPr>
          <w:color w:val="231F20"/>
          <w:spacing w:val="-3"/>
        </w:rPr>
        <w:t> </w:t>
      </w:r>
      <w:r>
        <w:rPr>
          <w:color w:val="231F20"/>
          <w:spacing w:val="-8"/>
        </w:rPr>
        <w:t>gap</w:t>
      </w:r>
      <w:r>
        <w:rPr>
          <w:color w:val="231F20"/>
          <w:spacing w:val="-3"/>
        </w:rPr>
        <w:t> </w:t>
      </w:r>
      <w:r>
        <w:rPr>
          <w:color w:val="231F20"/>
          <w:spacing w:val="-8"/>
        </w:rPr>
        <w:t>in</w:t>
      </w:r>
      <w:r>
        <w:rPr>
          <w:color w:val="231F20"/>
          <w:spacing w:val="-3"/>
        </w:rPr>
        <w:t> </w:t>
      </w:r>
      <w:r>
        <w:rPr>
          <w:color w:val="231F20"/>
          <w:spacing w:val="-8"/>
        </w:rPr>
        <w:t>LPI</w:t>
      </w:r>
      <w:r>
        <w:rPr>
          <w:color w:val="231F20"/>
          <w:spacing w:val="-3"/>
        </w:rPr>
        <w:t> </w:t>
      </w:r>
      <w:r>
        <w:rPr>
          <w:color w:val="231F20"/>
          <w:spacing w:val="-8"/>
        </w:rPr>
        <w:t>scores</w:t>
      </w:r>
      <w:r>
        <w:rPr>
          <w:color w:val="231F20"/>
          <w:spacing w:val="-3"/>
        </w:rPr>
        <w:t> </w:t>
      </w:r>
      <w:r>
        <w:rPr>
          <w:color w:val="231F20"/>
          <w:spacing w:val="-8"/>
        </w:rPr>
        <w:t>between </w:t>
      </w:r>
      <w:r>
        <w:rPr>
          <w:color w:val="231F20"/>
        </w:rPr>
        <w:t>high-</w:t>
      </w:r>
      <w:r>
        <w:rPr>
          <w:color w:val="231F20"/>
          <w:spacing w:val="-12"/>
        </w:rPr>
        <w:t> </w:t>
      </w:r>
      <w:r>
        <w:rPr>
          <w:color w:val="231F20"/>
        </w:rPr>
        <w:t>and</w:t>
      </w:r>
      <w:r>
        <w:rPr>
          <w:color w:val="231F20"/>
          <w:spacing w:val="-12"/>
        </w:rPr>
        <w:t> </w:t>
      </w:r>
      <w:r>
        <w:rPr>
          <w:color w:val="231F20"/>
        </w:rPr>
        <w:t>low-income</w:t>
      </w:r>
      <w:r>
        <w:rPr>
          <w:color w:val="231F20"/>
          <w:spacing w:val="-12"/>
        </w:rPr>
        <w:t> </w:t>
      </w:r>
      <w:r>
        <w:rPr>
          <w:color w:val="231F20"/>
        </w:rPr>
        <w:t>countries</w:t>
      </w:r>
      <w:r>
        <w:rPr>
          <w:color w:val="231F20"/>
          <w:spacing w:val="-12"/>
        </w:rPr>
        <w:t> </w:t>
      </w:r>
      <w:r>
        <w:rPr>
          <w:color w:val="231F20"/>
        </w:rPr>
        <w:t>(figure</w:t>
      </w:r>
      <w:r>
        <w:rPr>
          <w:color w:val="231F20"/>
          <w:spacing w:val="-12"/>
        </w:rPr>
        <w:t> </w:t>
      </w:r>
      <w:r>
        <w:rPr>
          <w:color w:val="231F20"/>
        </w:rPr>
        <w:t>2.5). High-income countries have a much higher median LPI score than low-income coun- </w:t>
      </w:r>
      <w:r>
        <w:rPr>
          <w:color w:val="231F20"/>
          <w:spacing w:val="-6"/>
        </w:rPr>
        <w:t>tries.</w:t>
      </w:r>
      <w:r>
        <w:rPr>
          <w:color w:val="231F20"/>
          <w:spacing w:val="2"/>
        </w:rPr>
        <w:t> </w:t>
      </w:r>
      <w:r>
        <w:rPr>
          <w:color w:val="231F20"/>
          <w:spacing w:val="-6"/>
        </w:rPr>
        <w:t>Moreover,</w:t>
      </w:r>
      <w:r>
        <w:rPr>
          <w:color w:val="231F20"/>
          <w:spacing w:val="2"/>
        </w:rPr>
        <w:t> </w:t>
      </w:r>
      <w:r>
        <w:rPr>
          <w:color w:val="231F20"/>
          <w:spacing w:val="-6"/>
        </w:rPr>
        <w:t>among</w:t>
      </w:r>
      <w:r>
        <w:rPr>
          <w:color w:val="231F20"/>
          <w:spacing w:val="2"/>
        </w:rPr>
        <w:t> </w:t>
      </w:r>
      <w:r>
        <w:rPr>
          <w:color w:val="231F20"/>
          <w:spacing w:val="-6"/>
        </w:rPr>
        <w:t>the</w:t>
      </w:r>
      <w:r>
        <w:rPr>
          <w:color w:val="231F20"/>
          <w:spacing w:val="3"/>
        </w:rPr>
        <w:t> </w:t>
      </w:r>
      <w:r>
        <w:rPr>
          <w:color w:val="231F20"/>
          <w:spacing w:val="-6"/>
        </w:rPr>
        <w:t>33</w:t>
      </w:r>
      <w:r>
        <w:rPr>
          <w:color w:val="231F20"/>
          <w:spacing w:val="2"/>
        </w:rPr>
        <w:t> </w:t>
      </w:r>
      <w:r>
        <w:rPr>
          <w:color w:val="231F20"/>
          <w:spacing w:val="-6"/>
        </w:rPr>
        <w:t>top-performing</w:t>
      </w:r>
    </w:p>
    <w:p>
      <w:pPr>
        <w:spacing w:after="0" w:line="268" w:lineRule="auto"/>
        <w:jc w:val="both"/>
        <w:sectPr>
          <w:type w:val="continuous"/>
          <w:pgSz w:w="12240" w:h="15840"/>
          <w:pgMar w:header="370" w:footer="548" w:top="1140" w:bottom="280" w:left="0" w:right="540"/>
          <w:cols w:num="2" w:equalWidth="0">
            <w:col w:w="4922" w:space="40"/>
            <w:col w:w="6738"/>
          </w:cols>
        </w:sectPr>
      </w:pPr>
    </w:p>
    <w:p>
      <w:pPr>
        <w:pStyle w:val="BodyText"/>
        <w:rPr>
          <w:sz w:val="20"/>
        </w:rPr>
      </w:pPr>
    </w:p>
    <w:p>
      <w:pPr>
        <w:pStyle w:val="BodyText"/>
        <w:rPr>
          <w:sz w:val="20"/>
        </w:rPr>
      </w:pPr>
    </w:p>
    <w:p>
      <w:pPr>
        <w:pStyle w:val="BodyText"/>
        <w:spacing w:before="80"/>
        <w:rPr>
          <w:sz w:val="20"/>
        </w:rPr>
      </w:pPr>
    </w:p>
    <w:p>
      <w:pPr>
        <w:pStyle w:val="BodyText"/>
        <w:ind w:left="3360"/>
        <w:rPr>
          <w:sz w:val="20"/>
        </w:rPr>
      </w:pPr>
      <w:r>
        <w:rPr>
          <w:sz w:val="20"/>
        </w:rPr>
        <mc:AlternateContent>
          <mc:Choice Requires="wps">
            <w:drawing>
              <wp:inline distT="0" distB="0" distL="0" distR="0">
                <wp:extent cx="4876800" cy="3340100"/>
                <wp:effectExtent l="0" t="9525" r="0" b="3175"/>
                <wp:docPr id="635" name="Group 635"/>
                <wp:cNvGraphicFramePr>
                  <a:graphicFrameLocks/>
                </wp:cNvGraphicFramePr>
                <a:graphic>
                  <a:graphicData uri="http://schemas.microsoft.com/office/word/2010/wordprocessingGroup">
                    <wpg:wgp>
                      <wpg:cNvPr id="635" name="Group 635"/>
                      <wpg:cNvGrpSpPr/>
                      <wpg:grpSpPr>
                        <a:xfrm>
                          <a:off x="0" y="0"/>
                          <a:ext cx="4876800" cy="3340100"/>
                          <a:chExt cx="4876800" cy="3340100"/>
                        </a:xfrm>
                      </wpg:grpSpPr>
                      <wps:wsp>
                        <wps:cNvPr id="636" name="Graphic 636"/>
                        <wps:cNvSpPr/>
                        <wps:spPr>
                          <a:xfrm>
                            <a:off x="198" y="259744"/>
                            <a:ext cx="4876800" cy="3080385"/>
                          </a:xfrm>
                          <a:custGeom>
                            <a:avLst/>
                            <a:gdLst/>
                            <a:ahLst/>
                            <a:cxnLst/>
                            <a:rect l="l" t="t" r="r" b="b"/>
                            <a:pathLst>
                              <a:path w="4876800" h="3080385">
                                <a:moveTo>
                                  <a:pt x="4876596" y="0"/>
                                </a:moveTo>
                                <a:lnTo>
                                  <a:pt x="0" y="0"/>
                                </a:lnTo>
                                <a:lnTo>
                                  <a:pt x="0" y="3005455"/>
                                </a:lnTo>
                                <a:lnTo>
                                  <a:pt x="6159" y="3034553"/>
                                </a:lnTo>
                                <a:lnTo>
                                  <a:pt x="22693" y="3058313"/>
                                </a:lnTo>
                                <a:lnTo>
                                  <a:pt x="46682" y="3074333"/>
                                </a:lnTo>
                                <a:lnTo>
                                  <a:pt x="75209" y="3080207"/>
                                </a:lnTo>
                                <a:lnTo>
                                  <a:pt x="4797717" y="3080207"/>
                                </a:lnTo>
                                <a:lnTo>
                                  <a:pt x="4826817" y="3074952"/>
                                </a:lnTo>
                                <a:lnTo>
                                  <a:pt x="4852068" y="3059966"/>
                                </a:lnTo>
                                <a:lnTo>
                                  <a:pt x="4869863" y="3036412"/>
                                </a:lnTo>
                                <a:lnTo>
                                  <a:pt x="4876596" y="3005455"/>
                                </a:lnTo>
                                <a:lnTo>
                                  <a:pt x="4876596" y="0"/>
                                </a:lnTo>
                                <a:close/>
                              </a:path>
                            </a:pathLst>
                          </a:custGeom>
                          <a:solidFill>
                            <a:srgbClr val="DFEAF7"/>
                          </a:solidFill>
                        </wps:spPr>
                        <wps:bodyPr wrap="square" lIns="0" tIns="0" rIns="0" bIns="0" rtlCol="0">
                          <a:prstTxWarp prst="textNoShape">
                            <a:avLst/>
                          </a:prstTxWarp>
                          <a:noAutofit/>
                        </wps:bodyPr>
                      </wps:wsp>
                      <wps:wsp>
                        <wps:cNvPr id="637" name="Graphic 637"/>
                        <wps:cNvSpPr/>
                        <wps:spPr>
                          <a:xfrm>
                            <a:off x="260156" y="2714113"/>
                            <a:ext cx="4500245" cy="1270"/>
                          </a:xfrm>
                          <a:custGeom>
                            <a:avLst/>
                            <a:gdLst/>
                            <a:ahLst/>
                            <a:cxnLst/>
                            <a:rect l="l" t="t" r="r" b="b"/>
                            <a:pathLst>
                              <a:path w="4500245" h="0">
                                <a:moveTo>
                                  <a:pt x="0" y="0"/>
                                </a:moveTo>
                                <a:lnTo>
                                  <a:pt x="4499864" y="0"/>
                                </a:lnTo>
                              </a:path>
                              <a:path w="4500245" h="0">
                                <a:moveTo>
                                  <a:pt x="0" y="0"/>
                                </a:moveTo>
                                <a:lnTo>
                                  <a:pt x="4499864" y="0"/>
                                </a:lnTo>
                              </a:path>
                            </a:pathLst>
                          </a:custGeom>
                          <a:ln w="6350">
                            <a:solidFill>
                              <a:srgbClr val="FFFFFF"/>
                            </a:solidFill>
                            <a:prstDash val="solid"/>
                          </a:ln>
                        </wps:spPr>
                        <wps:bodyPr wrap="square" lIns="0" tIns="0" rIns="0" bIns="0" rtlCol="0">
                          <a:prstTxWarp prst="textNoShape">
                            <a:avLst/>
                          </a:prstTxWarp>
                          <a:noAutofit/>
                        </wps:bodyPr>
                      </wps:wsp>
                      <wps:wsp>
                        <wps:cNvPr id="638" name="Graphic 638"/>
                        <wps:cNvSpPr/>
                        <wps:spPr>
                          <a:xfrm>
                            <a:off x="260156" y="2177046"/>
                            <a:ext cx="4500245" cy="1270"/>
                          </a:xfrm>
                          <a:custGeom>
                            <a:avLst/>
                            <a:gdLst/>
                            <a:ahLst/>
                            <a:cxnLst/>
                            <a:rect l="l" t="t" r="r" b="b"/>
                            <a:pathLst>
                              <a:path w="4500245" h="0">
                                <a:moveTo>
                                  <a:pt x="0" y="0"/>
                                </a:moveTo>
                                <a:lnTo>
                                  <a:pt x="4499864" y="0"/>
                                </a:lnTo>
                              </a:path>
                            </a:pathLst>
                          </a:custGeom>
                          <a:ln w="6350">
                            <a:solidFill>
                              <a:srgbClr val="FFFFFF"/>
                            </a:solidFill>
                            <a:prstDash val="solid"/>
                          </a:ln>
                        </wps:spPr>
                        <wps:bodyPr wrap="square" lIns="0" tIns="0" rIns="0" bIns="0" rtlCol="0">
                          <a:prstTxWarp prst="textNoShape">
                            <a:avLst/>
                          </a:prstTxWarp>
                          <a:noAutofit/>
                        </wps:bodyPr>
                      </wps:wsp>
                      <wps:wsp>
                        <wps:cNvPr id="639" name="Graphic 639"/>
                        <wps:cNvSpPr/>
                        <wps:spPr>
                          <a:xfrm>
                            <a:off x="260156" y="1639981"/>
                            <a:ext cx="4500245" cy="1270"/>
                          </a:xfrm>
                          <a:custGeom>
                            <a:avLst/>
                            <a:gdLst/>
                            <a:ahLst/>
                            <a:cxnLst/>
                            <a:rect l="l" t="t" r="r" b="b"/>
                            <a:pathLst>
                              <a:path w="4500245" h="0">
                                <a:moveTo>
                                  <a:pt x="0" y="0"/>
                                </a:moveTo>
                                <a:lnTo>
                                  <a:pt x="4499864" y="0"/>
                                </a:lnTo>
                              </a:path>
                            </a:pathLst>
                          </a:custGeom>
                          <a:ln w="6350">
                            <a:solidFill>
                              <a:srgbClr val="FFFFFF"/>
                            </a:solidFill>
                            <a:prstDash val="solid"/>
                          </a:ln>
                        </wps:spPr>
                        <wps:bodyPr wrap="square" lIns="0" tIns="0" rIns="0" bIns="0" rtlCol="0">
                          <a:prstTxWarp prst="textNoShape">
                            <a:avLst/>
                          </a:prstTxWarp>
                          <a:noAutofit/>
                        </wps:bodyPr>
                      </wps:wsp>
                      <wps:wsp>
                        <wps:cNvPr id="640" name="Graphic 640"/>
                        <wps:cNvSpPr/>
                        <wps:spPr>
                          <a:xfrm>
                            <a:off x="260156" y="1102917"/>
                            <a:ext cx="4500245" cy="1270"/>
                          </a:xfrm>
                          <a:custGeom>
                            <a:avLst/>
                            <a:gdLst/>
                            <a:ahLst/>
                            <a:cxnLst/>
                            <a:rect l="l" t="t" r="r" b="b"/>
                            <a:pathLst>
                              <a:path w="4500245" h="0">
                                <a:moveTo>
                                  <a:pt x="0" y="0"/>
                                </a:moveTo>
                                <a:lnTo>
                                  <a:pt x="4499864" y="0"/>
                                </a:lnTo>
                              </a:path>
                            </a:pathLst>
                          </a:custGeom>
                          <a:ln w="6350">
                            <a:solidFill>
                              <a:srgbClr val="FFFFFF"/>
                            </a:solidFill>
                            <a:prstDash val="solid"/>
                          </a:ln>
                        </wps:spPr>
                        <wps:bodyPr wrap="square" lIns="0" tIns="0" rIns="0" bIns="0" rtlCol="0">
                          <a:prstTxWarp prst="textNoShape">
                            <a:avLst/>
                          </a:prstTxWarp>
                          <a:noAutofit/>
                        </wps:bodyPr>
                      </wps:wsp>
                      <wps:wsp>
                        <wps:cNvPr id="641" name="Graphic 641"/>
                        <wps:cNvSpPr/>
                        <wps:spPr>
                          <a:xfrm>
                            <a:off x="260156" y="565851"/>
                            <a:ext cx="4500245" cy="1270"/>
                          </a:xfrm>
                          <a:custGeom>
                            <a:avLst/>
                            <a:gdLst/>
                            <a:ahLst/>
                            <a:cxnLst/>
                            <a:rect l="l" t="t" r="r" b="b"/>
                            <a:pathLst>
                              <a:path w="4500245" h="0">
                                <a:moveTo>
                                  <a:pt x="0" y="0"/>
                                </a:moveTo>
                                <a:lnTo>
                                  <a:pt x="4499864" y="0"/>
                                </a:lnTo>
                              </a:path>
                            </a:pathLst>
                          </a:custGeom>
                          <a:ln w="6350">
                            <a:solidFill>
                              <a:srgbClr val="FFFFFF"/>
                            </a:solidFill>
                            <a:prstDash val="solid"/>
                          </a:ln>
                        </wps:spPr>
                        <wps:bodyPr wrap="square" lIns="0" tIns="0" rIns="0" bIns="0" rtlCol="0">
                          <a:prstTxWarp prst="textNoShape">
                            <a:avLst/>
                          </a:prstTxWarp>
                          <a:noAutofit/>
                        </wps:bodyPr>
                      </wps:wsp>
                      <pic:pic>
                        <pic:nvPicPr>
                          <pic:cNvPr id="642" name="Image 642"/>
                          <pic:cNvPicPr/>
                        </pic:nvPicPr>
                        <pic:blipFill>
                          <a:blip r:embed="rId69" cstate="print"/>
                          <a:stretch>
                            <a:fillRect/>
                          </a:stretch>
                        </pic:blipFill>
                        <pic:spPr>
                          <a:xfrm>
                            <a:off x="925037" y="834928"/>
                            <a:ext cx="2947744" cy="1803276"/>
                          </a:xfrm>
                          <a:prstGeom prst="rect">
                            <a:avLst/>
                          </a:prstGeom>
                        </pic:spPr>
                      </pic:pic>
                      <wps:wsp>
                        <wps:cNvPr id="643" name="Graphic 643"/>
                        <wps:cNvSpPr/>
                        <wps:spPr>
                          <a:xfrm>
                            <a:off x="0" y="1649"/>
                            <a:ext cx="512445" cy="231775"/>
                          </a:xfrm>
                          <a:custGeom>
                            <a:avLst/>
                            <a:gdLst/>
                            <a:ahLst/>
                            <a:cxnLst/>
                            <a:rect l="l" t="t" r="r" b="b"/>
                            <a:pathLst>
                              <a:path w="512445" h="231775">
                                <a:moveTo>
                                  <a:pt x="512178" y="0"/>
                                </a:moveTo>
                                <a:lnTo>
                                  <a:pt x="76200" y="0"/>
                                </a:lnTo>
                                <a:lnTo>
                                  <a:pt x="47213" y="3058"/>
                                </a:lnTo>
                                <a:lnTo>
                                  <a:pt x="22917" y="14506"/>
                                </a:lnTo>
                                <a:lnTo>
                                  <a:pt x="6212" y="37751"/>
                                </a:lnTo>
                                <a:lnTo>
                                  <a:pt x="0" y="76200"/>
                                </a:lnTo>
                                <a:lnTo>
                                  <a:pt x="0" y="231775"/>
                                </a:lnTo>
                                <a:lnTo>
                                  <a:pt x="512178" y="231775"/>
                                </a:lnTo>
                                <a:lnTo>
                                  <a:pt x="512178" y="0"/>
                                </a:lnTo>
                                <a:close/>
                              </a:path>
                            </a:pathLst>
                          </a:custGeom>
                          <a:solidFill>
                            <a:srgbClr val="008FDD"/>
                          </a:solidFill>
                        </wps:spPr>
                        <wps:bodyPr wrap="square" lIns="0" tIns="0" rIns="0" bIns="0" rtlCol="0">
                          <a:prstTxWarp prst="textNoShape">
                            <a:avLst/>
                          </a:prstTxWarp>
                          <a:noAutofit/>
                        </wps:bodyPr>
                      </wps:wsp>
                      <wps:wsp>
                        <wps:cNvPr id="644" name="Graphic 644"/>
                        <wps:cNvSpPr/>
                        <wps:spPr>
                          <a:xfrm>
                            <a:off x="512182" y="1649"/>
                            <a:ext cx="4364355" cy="231775"/>
                          </a:xfrm>
                          <a:custGeom>
                            <a:avLst/>
                            <a:gdLst/>
                            <a:ahLst/>
                            <a:cxnLst/>
                            <a:rect l="l" t="t" r="r" b="b"/>
                            <a:pathLst>
                              <a:path w="4364355" h="231775">
                                <a:moveTo>
                                  <a:pt x="4287723" y="0"/>
                                </a:moveTo>
                                <a:lnTo>
                                  <a:pt x="0" y="0"/>
                                </a:lnTo>
                                <a:lnTo>
                                  <a:pt x="0" y="231775"/>
                                </a:lnTo>
                                <a:lnTo>
                                  <a:pt x="4363923" y="231775"/>
                                </a:lnTo>
                                <a:lnTo>
                                  <a:pt x="4363923" y="76200"/>
                                </a:lnTo>
                                <a:lnTo>
                                  <a:pt x="4358417" y="50979"/>
                                </a:lnTo>
                                <a:lnTo>
                                  <a:pt x="4342892" y="26265"/>
                                </a:lnTo>
                                <a:lnTo>
                                  <a:pt x="4318831" y="7468"/>
                                </a:lnTo>
                                <a:lnTo>
                                  <a:pt x="4287723" y="0"/>
                                </a:lnTo>
                                <a:close/>
                              </a:path>
                            </a:pathLst>
                          </a:custGeom>
                          <a:solidFill>
                            <a:srgbClr val="808285"/>
                          </a:solidFill>
                        </wps:spPr>
                        <wps:bodyPr wrap="square" lIns="0" tIns="0" rIns="0" bIns="0" rtlCol="0">
                          <a:prstTxWarp prst="textNoShape">
                            <a:avLst/>
                          </a:prstTxWarp>
                          <a:noAutofit/>
                        </wps:bodyPr>
                      </wps:wsp>
                      <wps:wsp>
                        <wps:cNvPr id="645" name="Graphic 645"/>
                        <wps:cNvSpPr/>
                        <wps:spPr>
                          <a:xfrm>
                            <a:off x="512179" y="0"/>
                            <a:ext cx="1270" cy="233679"/>
                          </a:xfrm>
                          <a:custGeom>
                            <a:avLst/>
                            <a:gdLst/>
                            <a:ahLst/>
                            <a:cxnLst/>
                            <a:rect l="l" t="t" r="r" b="b"/>
                            <a:pathLst>
                              <a:path w="0" h="233679">
                                <a:moveTo>
                                  <a:pt x="0" y="0"/>
                                </a:moveTo>
                                <a:lnTo>
                                  <a:pt x="0" y="233426"/>
                                </a:lnTo>
                              </a:path>
                            </a:pathLst>
                          </a:custGeom>
                          <a:ln w="25400">
                            <a:solidFill>
                              <a:srgbClr val="FFFFFF"/>
                            </a:solidFill>
                            <a:prstDash val="solid"/>
                          </a:ln>
                        </wps:spPr>
                        <wps:bodyPr wrap="square" lIns="0" tIns="0" rIns="0" bIns="0" rtlCol="0">
                          <a:prstTxWarp prst="textNoShape">
                            <a:avLst/>
                          </a:prstTxWarp>
                          <a:noAutofit/>
                        </wps:bodyPr>
                      </wps:wsp>
                      <wps:wsp>
                        <wps:cNvPr id="646" name="Graphic 646"/>
                        <wps:cNvSpPr/>
                        <wps:spPr>
                          <a:xfrm>
                            <a:off x="4440274" y="413339"/>
                            <a:ext cx="95250" cy="1270"/>
                          </a:xfrm>
                          <a:custGeom>
                            <a:avLst/>
                            <a:gdLst/>
                            <a:ahLst/>
                            <a:cxnLst/>
                            <a:rect l="l" t="t" r="r" b="b"/>
                            <a:pathLst>
                              <a:path w="95250" h="0">
                                <a:moveTo>
                                  <a:pt x="0" y="0"/>
                                </a:moveTo>
                                <a:lnTo>
                                  <a:pt x="95250" y="0"/>
                                </a:lnTo>
                              </a:path>
                            </a:pathLst>
                          </a:custGeom>
                          <a:ln w="19050">
                            <a:solidFill>
                              <a:srgbClr val="008FDD"/>
                            </a:solidFill>
                            <a:prstDash val="solid"/>
                          </a:ln>
                        </wps:spPr>
                        <wps:bodyPr wrap="square" lIns="0" tIns="0" rIns="0" bIns="0" rtlCol="0">
                          <a:prstTxWarp prst="textNoShape">
                            <a:avLst/>
                          </a:prstTxWarp>
                          <a:noAutofit/>
                        </wps:bodyPr>
                      </wps:wsp>
                      <wps:wsp>
                        <wps:cNvPr id="647" name="Graphic 647"/>
                        <wps:cNvSpPr/>
                        <wps:spPr>
                          <a:xfrm>
                            <a:off x="4060179" y="413339"/>
                            <a:ext cx="95250" cy="1270"/>
                          </a:xfrm>
                          <a:custGeom>
                            <a:avLst/>
                            <a:gdLst/>
                            <a:ahLst/>
                            <a:cxnLst/>
                            <a:rect l="l" t="t" r="r" b="b"/>
                            <a:pathLst>
                              <a:path w="95250" h="0">
                                <a:moveTo>
                                  <a:pt x="0" y="0"/>
                                </a:moveTo>
                                <a:lnTo>
                                  <a:pt x="95250" y="0"/>
                                </a:lnTo>
                              </a:path>
                            </a:pathLst>
                          </a:custGeom>
                          <a:ln w="19050">
                            <a:solidFill>
                              <a:srgbClr val="231F20"/>
                            </a:solidFill>
                            <a:prstDash val="solid"/>
                          </a:ln>
                        </wps:spPr>
                        <wps:bodyPr wrap="square" lIns="0" tIns="0" rIns="0" bIns="0" rtlCol="0">
                          <a:prstTxWarp prst="textNoShape">
                            <a:avLst/>
                          </a:prstTxWarp>
                          <a:noAutofit/>
                        </wps:bodyPr>
                      </wps:wsp>
                      <wps:wsp>
                        <wps:cNvPr id="648" name="Graphic 648"/>
                        <wps:cNvSpPr/>
                        <wps:spPr>
                          <a:xfrm>
                            <a:off x="3680085" y="413339"/>
                            <a:ext cx="95250" cy="1270"/>
                          </a:xfrm>
                          <a:custGeom>
                            <a:avLst/>
                            <a:gdLst/>
                            <a:ahLst/>
                            <a:cxnLst/>
                            <a:rect l="l" t="t" r="r" b="b"/>
                            <a:pathLst>
                              <a:path w="95250" h="0">
                                <a:moveTo>
                                  <a:pt x="0" y="0"/>
                                </a:moveTo>
                                <a:lnTo>
                                  <a:pt x="95250" y="0"/>
                                </a:lnTo>
                              </a:path>
                            </a:pathLst>
                          </a:custGeom>
                          <a:ln w="19050">
                            <a:solidFill>
                              <a:srgbClr val="76AEE5"/>
                            </a:solidFill>
                            <a:prstDash val="solid"/>
                          </a:ln>
                        </wps:spPr>
                        <wps:bodyPr wrap="square" lIns="0" tIns="0" rIns="0" bIns="0" rtlCol="0">
                          <a:prstTxWarp prst="textNoShape">
                            <a:avLst/>
                          </a:prstTxWarp>
                          <a:noAutofit/>
                        </wps:bodyPr>
                      </wps:wsp>
                      <wps:wsp>
                        <wps:cNvPr id="649" name="Graphic 649"/>
                        <wps:cNvSpPr/>
                        <wps:spPr>
                          <a:xfrm>
                            <a:off x="3299991" y="413339"/>
                            <a:ext cx="95250" cy="1270"/>
                          </a:xfrm>
                          <a:custGeom>
                            <a:avLst/>
                            <a:gdLst/>
                            <a:ahLst/>
                            <a:cxnLst/>
                            <a:rect l="l" t="t" r="r" b="b"/>
                            <a:pathLst>
                              <a:path w="95250" h="0">
                                <a:moveTo>
                                  <a:pt x="0" y="0"/>
                                </a:moveTo>
                                <a:lnTo>
                                  <a:pt x="95250" y="0"/>
                                </a:lnTo>
                              </a:path>
                            </a:pathLst>
                          </a:custGeom>
                          <a:ln w="19050">
                            <a:solidFill>
                              <a:srgbClr val="808285"/>
                            </a:solidFill>
                            <a:prstDash val="solid"/>
                          </a:ln>
                        </wps:spPr>
                        <wps:bodyPr wrap="square" lIns="0" tIns="0" rIns="0" bIns="0" rtlCol="0">
                          <a:prstTxWarp prst="textNoShape">
                            <a:avLst/>
                          </a:prstTxWarp>
                          <a:noAutofit/>
                        </wps:bodyPr>
                      </wps:wsp>
                      <wps:wsp>
                        <wps:cNvPr id="650" name="Graphic 650"/>
                        <wps:cNvSpPr/>
                        <wps:spPr>
                          <a:xfrm>
                            <a:off x="2919896" y="413339"/>
                            <a:ext cx="95250" cy="1270"/>
                          </a:xfrm>
                          <a:custGeom>
                            <a:avLst/>
                            <a:gdLst/>
                            <a:ahLst/>
                            <a:cxnLst/>
                            <a:rect l="l" t="t" r="r" b="b"/>
                            <a:pathLst>
                              <a:path w="95250" h="0">
                                <a:moveTo>
                                  <a:pt x="0" y="0"/>
                                </a:moveTo>
                                <a:lnTo>
                                  <a:pt x="95250" y="0"/>
                                </a:lnTo>
                              </a:path>
                            </a:pathLst>
                          </a:custGeom>
                          <a:ln w="19050">
                            <a:solidFill>
                              <a:srgbClr val="A8979A"/>
                            </a:solidFill>
                            <a:prstDash val="solid"/>
                          </a:ln>
                        </wps:spPr>
                        <wps:bodyPr wrap="square" lIns="0" tIns="0" rIns="0" bIns="0" rtlCol="0">
                          <a:prstTxWarp prst="textNoShape">
                            <a:avLst/>
                          </a:prstTxWarp>
                          <a:noAutofit/>
                        </wps:bodyPr>
                      </wps:wsp>
                      <wps:wsp>
                        <wps:cNvPr id="651" name="Textbox 651"/>
                        <wps:cNvSpPr txBox="1"/>
                        <wps:spPr>
                          <a:xfrm>
                            <a:off x="76380" y="68503"/>
                            <a:ext cx="2318385" cy="558800"/>
                          </a:xfrm>
                          <a:prstGeom prst="rect">
                            <a:avLst/>
                          </a:prstGeom>
                        </wps:spPr>
                        <wps:txbx>
                          <w:txbxContent>
                            <w:p>
                              <w:pPr>
                                <w:spacing w:before="3"/>
                                <w:ind w:left="0" w:right="0" w:firstLine="0"/>
                                <w:jc w:val="left"/>
                                <w:rPr>
                                  <w:rFonts w:ascii="Arial" w:hAnsi="Arial"/>
                                  <w:b/>
                                  <w:sz w:val="16"/>
                                </w:rPr>
                              </w:pPr>
                              <w:r>
                                <w:rPr>
                                  <w:rFonts w:ascii="Arial" w:hAnsi="Arial"/>
                                  <w:color w:val="FFFFFF"/>
                                  <w:sz w:val="16"/>
                                </w:rPr>
                                <w:t>Figure </w:t>
                              </w:r>
                              <w:r>
                                <w:rPr>
                                  <w:rFonts w:ascii="Arial" w:hAnsi="Arial"/>
                                  <w:b/>
                                  <w:color w:val="FFFFFF"/>
                                  <w:sz w:val="16"/>
                                </w:rPr>
                                <w:t>2.3</w:t>
                              </w:r>
                              <w:r>
                                <w:rPr>
                                  <w:rFonts w:ascii="Arial" w:hAnsi="Arial"/>
                                  <w:b/>
                                  <w:color w:val="FFFFFF"/>
                                  <w:spacing w:val="41"/>
                                  <w:sz w:val="16"/>
                                </w:rPr>
                                <w:t>  </w:t>
                              </w:r>
                              <w:r>
                                <w:rPr>
                                  <w:rFonts w:ascii="Arial" w:hAnsi="Arial"/>
                                  <w:b/>
                                  <w:color w:val="FFFFFF"/>
                                  <w:sz w:val="16"/>
                                </w:rPr>
                                <w:t>Distribution</w:t>
                              </w:r>
                              <w:r>
                                <w:rPr>
                                  <w:rFonts w:ascii="Arial" w:hAnsi="Arial"/>
                                  <w:b/>
                                  <w:color w:val="FFFFFF"/>
                                  <w:spacing w:val="1"/>
                                  <w:sz w:val="16"/>
                                </w:rPr>
                                <w:t> </w:t>
                              </w:r>
                              <w:r>
                                <w:rPr>
                                  <w:rFonts w:ascii="Arial" w:hAnsi="Arial"/>
                                  <w:b/>
                                  <w:color w:val="FFFFFF"/>
                                  <w:sz w:val="16"/>
                                </w:rPr>
                                <w:t>of LPI</w:t>
                              </w:r>
                              <w:r>
                                <w:rPr>
                                  <w:rFonts w:ascii="Arial" w:hAnsi="Arial"/>
                                  <w:b/>
                                  <w:color w:val="FFFFFF"/>
                                  <w:spacing w:val="1"/>
                                  <w:sz w:val="16"/>
                                </w:rPr>
                                <w:t> </w:t>
                              </w:r>
                              <w:r>
                                <w:rPr>
                                  <w:rFonts w:ascii="Arial" w:hAnsi="Arial"/>
                                  <w:b/>
                                  <w:color w:val="FFFFFF"/>
                                  <w:sz w:val="16"/>
                                </w:rPr>
                                <w:t>scores, </w:t>
                              </w:r>
                              <w:r>
                                <w:rPr>
                                  <w:rFonts w:ascii="Arial" w:hAnsi="Arial"/>
                                  <w:b/>
                                  <w:color w:val="FFFFFF"/>
                                  <w:spacing w:val="-2"/>
                                  <w:sz w:val="16"/>
                                </w:rPr>
                                <w:t>2012–23</w:t>
                              </w:r>
                            </w:p>
                            <w:p>
                              <w:pPr>
                                <w:spacing w:line="260" w:lineRule="atLeast" w:before="172"/>
                                <w:ind w:left="10" w:right="2636" w:hanging="11"/>
                                <w:jc w:val="left"/>
                                <w:rPr>
                                  <w:rFonts w:ascii="Arial"/>
                                  <w:sz w:val="14"/>
                                </w:rPr>
                              </w:pPr>
                              <w:r>
                                <w:rPr>
                                  <w:rFonts w:ascii="Arial"/>
                                  <w:color w:val="231F20"/>
                                  <w:spacing w:val="-2"/>
                                  <w:w w:val="80"/>
                                  <w:sz w:val="14"/>
                                </w:rPr>
                                <w:t>Probability</w:t>
                              </w:r>
                              <w:r>
                                <w:rPr>
                                  <w:rFonts w:ascii="Arial"/>
                                  <w:color w:val="231F20"/>
                                  <w:spacing w:val="-8"/>
                                  <w:sz w:val="14"/>
                                </w:rPr>
                                <w:t> </w:t>
                              </w:r>
                              <w:r>
                                <w:rPr>
                                  <w:rFonts w:ascii="Arial"/>
                                  <w:color w:val="231F20"/>
                                  <w:spacing w:val="-2"/>
                                  <w:w w:val="80"/>
                                  <w:sz w:val="14"/>
                                </w:rPr>
                                <w:t>density</w:t>
                              </w:r>
                              <w:r>
                                <w:rPr>
                                  <w:rFonts w:ascii="Arial"/>
                                  <w:color w:val="231F20"/>
                                  <w:spacing w:val="40"/>
                                  <w:sz w:val="14"/>
                                </w:rPr>
                                <w:t> </w:t>
                              </w:r>
                              <w:r>
                                <w:rPr>
                                  <w:rFonts w:ascii="Arial"/>
                                  <w:color w:val="231F20"/>
                                  <w:spacing w:val="-4"/>
                                  <w:w w:val="90"/>
                                  <w:sz w:val="14"/>
                                </w:rPr>
                                <w:t>0.8</w:t>
                              </w:r>
                            </w:p>
                          </w:txbxContent>
                        </wps:txbx>
                        <wps:bodyPr wrap="square" lIns="0" tIns="0" rIns="0" bIns="0" rtlCol="0">
                          <a:noAutofit/>
                        </wps:bodyPr>
                      </wps:wsp>
                      <wps:wsp>
                        <wps:cNvPr id="652" name="Textbox 652"/>
                        <wps:cNvSpPr txBox="1"/>
                        <wps:spPr>
                          <a:xfrm>
                            <a:off x="3051639" y="361655"/>
                            <a:ext cx="1704339" cy="100965"/>
                          </a:xfrm>
                          <a:prstGeom prst="rect">
                            <a:avLst/>
                          </a:prstGeom>
                        </wps:spPr>
                        <wps:txbx>
                          <w:txbxContent>
                            <w:p>
                              <w:pPr>
                                <w:tabs>
                                  <w:tab w:pos="598" w:val="left" w:leader="none"/>
                                  <w:tab w:pos="1197" w:val="left" w:leader="none"/>
                                  <w:tab w:pos="1795" w:val="left" w:leader="none"/>
                                  <w:tab w:pos="2394" w:val="left" w:leader="none"/>
                                </w:tabs>
                                <w:spacing w:line="158" w:lineRule="exact" w:before="0"/>
                                <w:ind w:left="0" w:right="0" w:firstLine="0"/>
                                <w:jc w:val="left"/>
                                <w:rPr>
                                  <w:rFonts w:ascii="Arial"/>
                                  <w:sz w:val="14"/>
                                </w:rPr>
                              </w:pPr>
                              <w:r>
                                <w:rPr>
                                  <w:rFonts w:ascii="Arial"/>
                                  <w:color w:val="231F20"/>
                                  <w:spacing w:val="-4"/>
                                  <w:sz w:val="14"/>
                                </w:rPr>
                                <w:t>2012</w:t>
                              </w:r>
                              <w:r>
                                <w:rPr>
                                  <w:rFonts w:ascii="Arial"/>
                                  <w:color w:val="231F20"/>
                                  <w:sz w:val="14"/>
                                </w:rPr>
                                <w:tab/>
                              </w:r>
                              <w:r>
                                <w:rPr>
                                  <w:rFonts w:ascii="Arial"/>
                                  <w:color w:val="231F20"/>
                                  <w:spacing w:val="-4"/>
                                  <w:sz w:val="14"/>
                                </w:rPr>
                                <w:t>2014</w:t>
                              </w:r>
                              <w:r>
                                <w:rPr>
                                  <w:rFonts w:ascii="Arial"/>
                                  <w:color w:val="231F20"/>
                                  <w:sz w:val="14"/>
                                </w:rPr>
                                <w:tab/>
                              </w:r>
                              <w:r>
                                <w:rPr>
                                  <w:rFonts w:ascii="Arial"/>
                                  <w:color w:val="231F20"/>
                                  <w:spacing w:val="-4"/>
                                  <w:sz w:val="14"/>
                                </w:rPr>
                                <w:t>2016</w:t>
                              </w:r>
                              <w:r>
                                <w:rPr>
                                  <w:rFonts w:ascii="Arial"/>
                                  <w:color w:val="231F20"/>
                                  <w:sz w:val="14"/>
                                </w:rPr>
                                <w:tab/>
                              </w:r>
                              <w:r>
                                <w:rPr>
                                  <w:rFonts w:ascii="Arial"/>
                                  <w:color w:val="231F20"/>
                                  <w:spacing w:val="-4"/>
                                  <w:sz w:val="14"/>
                                </w:rPr>
                                <w:t>2018</w:t>
                              </w:r>
                              <w:r>
                                <w:rPr>
                                  <w:rFonts w:ascii="Arial"/>
                                  <w:color w:val="231F20"/>
                                  <w:sz w:val="14"/>
                                </w:rPr>
                                <w:tab/>
                              </w:r>
                              <w:r>
                                <w:rPr>
                                  <w:rFonts w:ascii="Arial"/>
                                  <w:color w:val="231F20"/>
                                  <w:spacing w:val="-9"/>
                                  <w:sz w:val="14"/>
                                </w:rPr>
                                <w:t>2023</w:t>
                              </w:r>
                            </w:p>
                          </w:txbxContent>
                        </wps:txbx>
                        <wps:bodyPr wrap="square" lIns="0" tIns="0" rIns="0" bIns="0" rtlCol="0">
                          <a:noAutofit/>
                        </wps:bodyPr>
                      </wps:wsp>
                      <wps:wsp>
                        <wps:cNvPr id="653" name="Textbox 653"/>
                        <wps:cNvSpPr txBox="1"/>
                        <wps:spPr>
                          <a:xfrm>
                            <a:off x="83176" y="1063509"/>
                            <a:ext cx="1193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0.6</w:t>
                              </w:r>
                            </w:p>
                          </w:txbxContent>
                        </wps:txbx>
                        <wps:bodyPr wrap="square" lIns="0" tIns="0" rIns="0" bIns="0" rtlCol="0">
                          <a:noAutofit/>
                        </wps:bodyPr>
                      </wps:wsp>
                      <wps:wsp>
                        <wps:cNvPr id="654" name="Textbox 654"/>
                        <wps:cNvSpPr txBox="1"/>
                        <wps:spPr>
                          <a:xfrm>
                            <a:off x="83176" y="1600554"/>
                            <a:ext cx="1193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0.4</w:t>
                              </w:r>
                            </w:p>
                          </w:txbxContent>
                        </wps:txbx>
                        <wps:bodyPr wrap="square" lIns="0" tIns="0" rIns="0" bIns="0" rtlCol="0">
                          <a:noAutofit/>
                        </wps:bodyPr>
                      </wps:wsp>
                      <wps:wsp>
                        <wps:cNvPr id="655" name="Textbox 655"/>
                        <wps:cNvSpPr txBox="1"/>
                        <wps:spPr>
                          <a:xfrm>
                            <a:off x="83176" y="2137599"/>
                            <a:ext cx="1193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0.2</w:t>
                              </w:r>
                            </w:p>
                          </w:txbxContent>
                        </wps:txbx>
                        <wps:bodyPr wrap="square" lIns="0" tIns="0" rIns="0" bIns="0" rtlCol="0">
                          <a:noAutofit/>
                        </wps:bodyPr>
                      </wps:wsp>
                      <wps:wsp>
                        <wps:cNvPr id="656" name="Textbox 656"/>
                        <wps:cNvSpPr txBox="1"/>
                        <wps:spPr>
                          <a:xfrm>
                            <a:off x="83176" y="2674644"/>
                            <a:ext cx="1193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0.0</w:t>
                              </w:r>
                            </w:p>
                          </w:txbxContent>
                        </wps:txbx>
                        <wps:bodyPr wrap="square" lIns="0" tIns="0" rIns="0" bIns="0" rtlCol="0">
                          <a:noAutofit/>
                        </wps:bodyPr>
                      </wps:wsp>
                      <wps:wsp>
                        <wps:cNvPr id="657" name="Textbox 657"/>
                        <wps:cNvSpPr txBox="1"/>
                        <wps:spPr>
                          <a:xfrm>
                            <a:off x="238813" y="2751165"/>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1</w:t>
                              </w:r>
                            </w:p>
                          </w:txbxContent>
                        </wps:txbx>
                        <wps:bodyPr wrap="square" lIns="0" tIns="0" rIns="0" bIns="0" rtlCol="0">
                          <a:noAutofit/>
                        </wps:bodyPr>
                      </wps:wsp>
                      <wps:wsp>
                        <wps:cNvPr id="658" name="Textbox 658"/>
                        <wps:cNvSpPr txBox="1"/>
                        <wps:spPr>
                          <a:xfrm>
                            <a:off x="1363753" y="2751165"/>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2</w:t>
                              </w:r>
                            </w:p>
                          </w:txbxContent>
                        </wps:txbx>
                        <wps:bodyPr wrap="square" lIns="0" tIns="0" rIns="0" bIns="0" rtlCol="0">
                          <a:noAutofit/>
                        </wps:bodyPr>
                      </wps:wsp>
                      <wps:wsp>
                        <wps:cNvPr id="659" name="Textbox 659"/>
                        <wps:cNvSpPr txBox="1"/>
                        <wps:spPr>
                          <a:xfrm>
                            <a:off x="2406105" y="2751165"/>
                            <a:ext cx="302260" cy="215265"/>
                          </a:xfrm>
                          <a:prstGeom prst="rect">
                            <a:avLst/>
                          </a:prstGeom>
                        </wps:spPr>
                        <wps:txbx>
                          <w:txbxContent>
                            <w:p>
                              <w:pPr>
                                <w:spacing w:line="159" w:lineRule="exact" w:before="0"/>
                                <w:ind w:left="130" w:right="0" w:firstLine="0"/>
                                <w:jc w:val="left"/>
                                <w:rPr>
                                  <w:rFonts w:ascii="Arial"/>
                                  <w:sz w:val="14"/>
                                </w:rPr>
                              </w:pPr>
                              <w:r>
                                <w:rPr>
                                  <w:rFonts w:ascii="Arial"/>
                                  <w:color w:val="231F20"/>
                                  <w:spacing w:val="-10"/>
                                  <w:sz w:val="14"/>
                                </w:rPr>
                                <w:t>3</w:t>
                              </w:r>
                            </w:p>
                            <w:p>
                              <w:pPr>
                                <w:spacing w:line="160" w:lineRule="exact" w:before="19"/>
                                <w:ind w:left="0" w:right="0" w:firstLine="0"/>
                                <w:jc w:val="left"/>
                                <w:rPr>
                                  <w:rFonts w:ascii="Arial"/>
                                  <w:sz w:val="14"/>
                                </w:rPr>
                              </w:pPr>
                              <w:r>
                                <w:rPr>
                                  <w:rFonts w:ascii="Arial"/>
                                  <w:color w:val="231F20"/>
                                  <w:w w:val="70"/>
                                  <w:sz w:val="14"/>
                                </w:rPr>
                                <w:t>LPI</w:t>
                              </w:r>
                              <w:r>
                                <w:rPr>
                                  <w:rFonts w:ascii="Arial"/>
                                  <w:color w:val="231F20"/>
                                  <w:spacing w:val="-2"/>
                                  <w:sz w:val="14"/>
                                </w:rPr>
                                <w:t> </w:t>
                              </w:r>
                              <w:r>
                                <w:rPr>
                                  <w:rFonts w:ascii="Arial"/>
                                  <w:color w:val="231F20"/>
                                  <w:spacing w:val="-2"/>
                                  <w:w w:val="85"/>
                                  <w:sz w:val="14"/>
                                </w:rPr>
                                <w:t>score</w:t>
                              </w:r>
                            </w:p>
                          </w:txbxContent>
                        </wps:txbx>
                        <wps:bodyPr wrap="square" lIns="0" tIns="0" rIns="0" bIns="0" rtlCol="0">
                          <a:noAutofit/>
                        </wps:bodyPr>
                      </wps:wsp>
                      <wps:wsp>
                        <wps:cNvPr id="660" name="Textbox 660"/>
                        <wps:cNvSpPr txBox="1"/>
                        <wps:spPr>
                          <a:xfrm>
                            <a:off x="3613635" y="2751165"/>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4</w:t>
                              </w:r>
                            </w:p>
                          </w:txbxContent>
                        </wps:txbx>
                        <wps:bodyPr wrap="square" lIns="0" tIns="0" rIns="0" bIns="0" rtlCol="0">
                          <a:noAutofit/>
                        </wps:bodyPr>
                      </wps:wsp>
                      <wps:wsp>
                        <wps:cNvPr id="661" name="Textbox 661"/>
                        <wps:cNvSpPr txBox="1"/>
                        <wps:spPr>
                          <a:xfrm>
                            <a:off x="4738664" y="2751165"/>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5</w:t>
                              </w:r>
                            </w:p>
                          </w:txbxContent>
                        </wps:txbx>
                        <wps:bodyPr wrap="square" lIns="0" tIns="0" rIns="0" bIns="0" rtlCol="0">
                          <a:noAutofit/>
                        </wps:bodyPr>
                      </wps:wsp>
                      <wps:wsp>
                        <wps:cNvPr id="662" name="Textbox 662"/>
                        <wps:cNvSpPr txBox="1"/>
                        <wps:spPr>
                          <a:xfrm>
                            <a:off x="76385" y="3066870"/>
                            <a:ext cx="2700655" cy="180340"/>
                          </a:xfrm>
                          <a:prstGeom prst="rect">
                            <a:avLst/>
                          </a:prstGeom>
                        </wps:spPr>
                        <wps:txbx>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5"/>
                                  <w:sz w:val="12"/>
                                </w:rPr>
                                <w:t> </w:t>
                              </w:r>
                              <w:r>
                                <w:rPr>
                                  <w:rFonts w:ascii="Arial"/>
                                  <w:color w:val="231F20"/>
                                  <w:w w:val="80"/>
                                  <w:sz w:val="12"/>
                                </w:rPr>
                                <w:t>2012,</w:t>
                              </w:r>
                              <w:r>
                                <w:rPr>
                                  <w:rFonts w:ascii="Arial"/>
                                  <w:color w:val="231F20"/>
                                  <w:spacing w:val="-3"/>
                                  <w:w w:val="80"/>
                                  <w:sz w:val="12"/>
                                </w:rPr>
                                <w:t> </w:t>
                              </w:r>
                              <w:r>
                                <w:rPr>
                                  <w:rFonts w:ascii="Arial"/>
                                  <w:color w:val="231F20"/>
                                  <w:w w:val="80"/>
                                  <w:sz w:val="12"/>
                                </w:rPr>
                                <w:t>2014,</w:t>
                              </w:r>
                              <w:r>
                                <w:rPr>
                                  <w:rFonts w:ascii="Arial"/>
                                  <w:color w:val="231F20"/>
                                  <w:spacing w:val="-3"/>
                                  <w:w w:val="80"/>
                                  <w:sz w:val="12"/>
                                </w:rPr>
                                <w:t> </w:t>
                              </w:r>
                              <w:r>
                                <w:rPr>
                                  <w:rFonts w:ascii="Arial"/>
                                  <w:color w:val="231F20"/>
                                  <w:w w:val="80"/>
                                  <w:sz w:val="12"/>
                                </w:rPr>
                                <w:t>2016,</w:t>
                              </w:r>
                              <w:r>
                                <w:rPr>
                                  <w:rFonts w:ascii="Arial"/>
                                  <w:color w:val="231F20"/>
                                  <w:spacing w:val="-3"/>
                                  <w:w w:val="80"/>
                                  <w:sz w:val="12"/>
                                </w:rPr>
                                <w:t> </w:t>
                              </w:r>
                              <w:r>
                                <w:rPr>
                                  <w:rFonts w:ascii="Arial"/>
                                  <w:color w:val="231F20"/>
                                  <w:w w:val="80"/>
                                  <w:sz w:val="12"/>
                                </w:rPr>
                                <w:t>2018,</w:t>
                              </w:r>
                              <w:r>
                                <w:rPr>
                                  <w:rFonts w:ascii="Arial"/>
                                  <w:color w:val="231F20"/>
                                  <w:spacing w:val="-3"/>
                                  <w:w w:val="80"/>
                                  <w:sz w:val="12"/>
                                </w:rPr>
                                <w:t> </w:t>
                              </w:r>
                              <w:r>
                                <w:rPr>
                                  <w:rFonts w:ascii="Arial"/>
                                  <w:color w:val="231F20"/>
                                  <w:w w:val="80"/>
                                  <w:sz w:val="12"/>
                                </w:rPr>
                                <w:t>and</w:t>
                              </w:r>
                              <w:r>
                                <w:rPr>
                                  <w:rFonts w:ascii="Arial"/>
                                  <w:color w:val="231F20"/>
                                  <w:spacing w:val="-5"/>
                                  <w:sz w:val="12"/>
                                </w:rPr>
                                <w:t> </w:t>
                              </w:r>
                              <w:r>
                                <w:rPr>
                                  <w:rFonts w:ascii="Arial"/>
                                  <w:color w:val="231F20"/>
                                  <w:w w:val="80"/>
                                  <w:sz w:val="12"/>
                                </w:rPr>
                                <w:t>2023</w:t>
                              </w:r>
                              <w:r>
                                <w:rPr>
                                  <w:rFonts w:ascii="Arial"/>
                                  <w:color w:val="231F20"/>
                                  <w:spacing w:val="-4"/>
                                  <w:sz w:val="12"/>
                                </w:rPr>
                                <w:t> </w:t>
                              </w:r>
                              <w:r>
                                <w:rPr>
                                  <w:rFonts w:ascii="Arial"/>
                                  <w:color w:val="231F20"/>
                                  <w:w w:val="80"/>
                                  <w:sz w:val="12"/>
                                </w:rPr>
                                <w:t>Logistics</w:t>
                              </w:r>
                              <w:r>
                                <w:rPr>
                                  <w:rFonts w:ascii="Arial"/>
                                  <w:color w:val="231F20"/>
                                  <w:spacing w:val="-5"/>
                                  <w:sz w:val="12"/>
                                </w:rPr>
                                <w:t> </w:t>
                              </w:r>
                              <w:r>
                                <w:rPr>
                                  <w:rFonts w:ascii="Arial"/>
                                  <w:color w:val="231F20"/>
                                  <w:w w:val="80"/>
                                  <w:sz w:val="12"/>
                                </w:rPr>
                                <w:t>Performance</w:t>
                              </w:r>
                              <w:r>
                                <w:rPr>
                                  <w:rFonts w:ascii="Arial"/>
                                  <w:color w:val="231F20"/>
                                  <w:spacing w:val="-4"/>
                                  <w:sz w:val="12"/>
                                </w:rPr>
                                <w:t> </w:t>
                              </w:r>
                              <w:r>
                                <w:rPr>
                                  <w:rFonts w:ascii="Arial"/>
                                  <w:color w:val="231F20"/>
                                  <w:spacing w:val="-2"/>
                                  <w:w w:val="80"/>
                                  <w:sz w:val="12"/>
                                </w:rPr>
                                <w:t>Index.</w:t>
                              </w:r>
                            </w:p>
                            <w:p>
                              <w:pPr>
                                <w:spacing w:before="2"/>
                                <w:ind w:left="0" w:right="0" w:firstLine="0"/>
                                <w:jc w:val="left"/>
                                <w:rPr>
                                  <w:rFonts w:ascii="Arial"/>
                                  <w:sz w:val="12"/>
                                </w:rPr>
                              </w:pPr>
                              <w:r>
                                <w:rPr>
                                  <w:rFonts w:ascii="Arial"/>
                                  <w:i/>
                                  <w:color w:val="231F20"/>
                                  <w:w w:val="75"/>
                                  <w:sz w:val="12"/>
                                </w:rPr>
                                <w:t>Note:</w:t>
                              </w:r>
                              <w:r>
                                <w:rPr>
                                  <w:rFonts w:ascii="Arial"/>
                                  <w:i/>
                                  <w:color w:val="231F20"/>
                                  <w:spacing w:val="-7"/>
                                  <w:sz w:val="12"/>
                                </w:rPr>
                                <w:t> </w:t>
                              </w:r>
                              <w:r>
                                <w:rPr>
                                  <w:rFonts w:ascii="Arial"/>
                                  <w:color w:val="231F20"/>
                                  <w:w w:val="75"/>
                                  <w:sz w:val="12"/>
                                </w:rPr>
                                <w:t>To</w:t>
                              </w:r>
                              <w:r>
                                <w:rPr>
                                  <w:rFonts w:ascii="Arial"/>
                                  <w:color w:val="231F20"/>
                                  <w:spacing w:val="-1"/>
                                  <w:sz w:val="12"/>
                                </w:rPr>
                                <w:t> </w:t>
                              </w:r>
                              <w:r>
                                <w:rPr>
                                  <w:rFonts w:ascii="Arial"/>
                                  <w:color w:val="231F20"/>
                                  <w:w w:val="75"/>
                                  <w:sz w:val="12"/>
                                </w:rPr>
                                <w:t>avoid</w:t>
                              </w:r>
                              <w:r>
                                <w:rPr>
                                  <w:rFonts w:ascii="Arial"/>
                                  <w:color w:val="231F20"/>
                                  <w:sz w:val="12"/>
                                </w:rPr>
                                <w:t> </w:t>
                              </w:r>
                              <w:r>
                                <w:rPr>
                                  <w:rFonts w:ascii="Arial"/>
                                  <w:color w:val="231F20"/>
                                  <w:w w:val="75"/>
                                  <w:sz w:val="12"/>
                                </w:rPr>
                                <w:t>composition</w:t>
                              </w:r>
                              <w:r>
                                <w:rPr>
                                  <w:rFonts w:ascii="Arial"/>
                                  <w:color w:val="231F20"/>
                                  <w:spacing w:val="-1"/>
                                  <w:sz w:val="12"/>
                                </w:rPr>
                                <w:t> </w:t>
                              </w:r>
                              <w:r>
                                <w:rPr>
                                  <w:rFonts w:ascii="Arial"/>
                                  <w:color w:val="231F20"/>
                                  <w:w w:val="75"/>
                                  <w:sz w:val="12"/>
                                </w:rPr>
                                <w:t>effects,</w:t>
                              </w:r>
                              <w:r>
                                <w:rPr>
                                  <w:rFonts w:ascii="Arial"/>
                                  <w:color w:val="231F20"/>
                                  <w:spacing w:val="-7"/>
                                  <w:sz w:val="12"/>
                                </w:rPr>
                                <w:t> </w:t>
                              </w:r>
                              <w:r>
                                <w:rPr>
                                  <w:rFonts w:ascii="Arial"/>
                                  <w:color w:val="231F20"/>
                                  <w:w w:val="75"/>
                                  <w:sz w:val="12"/>
                                </w:rPr>
                                <w:t>only</w:t>
                              </w:r>
                              <w:r>
                                <w:rPr>
                                  <w:rFonts w:ascii="Arial"/>
                                  <w:color w:val="231F20"/>
                                  <w:sz w:val="12"/>
                                </w:rPr>
                                <w:t> </w:t>
                              </w:r>
                              <w:r>
                                <w:rPr>
                                  <w:rFonts w:ascii="Arial"/>
                                  <w:color w:val="231F20"/>
                                  <w:w w:val="75"/>
                                  <w:sz w:val="12"/>
                                </w:rPr>
                                <w:t>countries</w:t>
                              </w:r>
                              <w:r>
                                <w:rPr>
                                  <w:rFonts w:ascii="Arial"/>
                                  <w:color w:val="231F20"/>
                                  <w:spacing w:val="-1"/>
                                  <w:sz w:val="12"/>
                                </w:rPr>
                                <w:t> </w:t>
                              </w:r>
                              <w:r>
                                <w:rPr>
                                  <w:rFonts w:ascii="Arial"/>
                                  <w:color w:val="231F20"/>
                                  <w:w w:val="75"/>
                                  <w:sz w:val="12"/>
                                </w:rPr>
                                <w:t>with</w:t>
                              </w:r>
                              <w:r>
                                <w:rPr>
                                  <w:rFonts w:ascii="Arial"/>
                                  <w:color w:val="231F20"/>
                                  <w:sz w:val="12"/>
                                </w:rPr>
                                <w:t> </w:t>
                              </w:r>
                              <w:r>
                                <w:rPr>
                                  <w:rFonts w:ascii="Arial"/>
                                  <w:color w:val="231F20"/>
                                  <w:w w:val="75"/>
                                  <w:sz w:val="12"/>
                                </w:rPr>
                                <w:t>scores</w:t>
                              </w:r>
                              <w:r>
                                <w:rPr>
                                  <w:rFonts w:ascii="Arial"/>
                                  <w:color w:val="231F20"/>
                                  <w:spacing w:val="-1"/>
                                  <w:sz w:val="12"/>
                                </w:rPr>
                                <w:t> </w:t>
                              </w:r>
                              <w:r>
                                <w:rPr>
                                  <w:rFonts w:ascii="Arial"/>
                                  <w:color w:val="231F20"/>
                                  <w:w w:val="75"/>
                                  <w:sz w:val="12"/>
                                </w:rPr>
                                <w:t>in</w:t>
                              </w:r>
                              <w:r>
                                <w:rPr>
                                  <w:rFonts w:ascii="Arial"/>
                                  <w:color w:val="231F20"/>
                                  <w:spacing w:val="-1"/>
                                  <w:sz w:val="12"/>
                                </w:rPr>
                                <w:t> </w:t>
                              </w:r>
                              <w:r>
                                <w:rPr>
                                  <w:rFonts w:ascii="Arial"/>
                                  <w:color w:val="231F20"/>
                                  <w:w w:val="75"/>
                                  <w:sz w:val="12"/>
                                </w:rPr>
                                <w:t>all</w:t>
                              </w:r>
                              <w:r>
                                <w:rPr>
                                  <w:rFonts w:ascii="Arial"/>
                                  <w:color w:val="231F20"/>
                                  <w:sz w:val="12"/>
                                </w:rPr>
                                <w:t> </w:t>
                              </w:r>
                              <w:r>
                                <w:rPr>
                                  <w:rFonts w:ascii="Arial"/>
                                  <w:color w:val="231F20"/>
                                  <w:w w:val="75"/>
                                  <w:sz w:val="12"/>
                                </w:rPr>
                                <w:t>years</w:t>
                              </w:r>
                              <w:r>
                                <w:rPr>
                                  <w:rFonts w:ascii="Arial"/>
                                  <w:color w:val="231F20"/>
                                  <w:spacing w:val="-1"/>
                                  <w:sz w:val="12"/>
                                </w:rPr>
                                <w:t> </w:t>
                              </w:r>
                              <w:r>
                                <w:rPr>
                                  <w:rFonts w:ascii="Arial"/>
                                  <w:color w:val="231F20"/>
                                  <w:w w:val="75"/>
                                  <w:sz w:val="12"/>
                                </w:rPr>
                                <w:t>are</w:t>
                              </w:r>
                              <w:r>
                                <w:rPr>
                                  <w:rFonts w:ascii="Arial"/>
                                  <w:color w:val="231F20"/>
                                  <w:spacing w:val="-1"/>
                                  <w:sz w:val="12"/>
                                </w:rPr>
                                <w:t> </w:t>
                              </w:r>
                              <w:r>
                                <w:rPr>
                                  <w:rFonts w:ascii="Arial"/>
                                  <w:color w:val="231F20"/>
                                  <w:w w:val="75"/>
                                  <w:sz w:val="12"/>
                                </w:rPr>
                                <w:t>included</w:t>
                              </w:r>
                              <w:r>
                                <w:rPr>
                                  <w:rFonts w:ascii="Arial"/>
                                  <w:color w:val="231F20"/>
                                  <w:sz w:val="12"/>
                                </w:rPr>
                                <w:t> </w:t>
                              </w:r>
                              <w:r>
                                <w:rPr>
                                  <w:rFonts w:ascii="Arial"/>
                                  <w:color w:val="231F20"/>
                                  <w:w w:val="75"/>
                                  <w:sz w:val="12"/>
                                </w:rPr>
                                <w:t>in</w:t>
                              </w:r>
                              <w:r>
                                <w:rPr>
                                  <w:rFonts w:ascii="Arial"/>
                                  <w:color w:val="231F20"/>
                                  <w:spacing w:val="-1"/>
                                  <w:sz w:val="12"/>
                                </w:rPr>
                                <w:t> </w:t>
                              </w:r>
                              <w:r>
                                <w:rPr>
                                  <w:rFonts w:ascii="Arial"/>
                                  <w:color w:val="231F20"/>
                                  <w:w w:val="75"/>
                                  <w:sz w:val="12"/>
                                </w:rPr>
                                <w:t>the</w:t>
                              </w:r>
                              <w:r>
                                <w:rPr>
                                  <w:rFonts w:ascii="Arial"/>
                                  <w:color w:val="231F20"/>
                                  <w:spacing w:val="-1"/>
                                  <w:sz w:val="12"/>
                                </w:rPr>
                                <w:t> </w:t>
                              </w:r>
                              <w:r>
                                <w:rPr>
                                  <w:rFonts w:ascii="Arial"/>
                                  <w:color w:val="231F20"/>
                                  <w:spacing w:val="-2"/>
                                  <w:w w:val="75"/>
                                  <w:sz w:val="12"/>
                                </w:rPr>
                                <w:t>analysis.</w:t>
                              </w:r>
                            </w:p>
                          </w:txbxContent>
                        </wps:txbx>
                        <wps:bodyPr wrap="square" lIns="0" tIns="0" rIns="0" bIns="0" rtlCol="0">
                          <a:noAutofit/>
                        </wps:bodyPr>
                      </wps:wsp>
                    </wpg:wgp>
                  </a:graphicData>
                </a:graphic>
              </wp:inline>
            </w:drawing>
          </mc:Choice>
          <mc:Fallback>
            <w:pict>
              <v:group style="width:384pt;height:263pt;mso-position-horizontal-relative:char;mso-position-vertical-relative:line" id="docshapegroup530" coordorigin="0,0" coordsize="7680,5260">
                <v:shape style="position:absolute;left:0;top:409;width:7680;height:4851" id="docshape531" coordorigin="0,409" coordsize="7680,4851" path="m7680,409l0,409,0,5142,10,5188,36,5225,74,5251,119,5260,7556,5260,7602,5251,7641,5228,7669,5191,7680,5142,7680,409xe" filled="true" fillcolor="#dfeaf7" stroked="false">
                  <v:path arrowok="t"/>
                  <v:fill type="solid"/>
                </v:shape>
                <v:shape style="position:absolute;left:409;top:4274;width:7087;height:2" id="docshape532" coordorigin="410,4274" coordsize="7087,0" path="m410,4274l7496,4274m410,4274l7496,4274e" filled="false" stroked="true" strokeweight=".5pt" strokecolor="#ffffff">
                  <v:path arrowok="t"/>
                  <v:stroke dashstyle="solid"/>
                </v:shape>
                <v:line style="position:absolute" from="410,3428" to="7496,3428" stroked="true" strokeweight=".5pt" strokecolor="#ffffff">
                  <v:stroke dashstyle="solid"/>
                </v:line>
                <v:line style="position:absolute" from="410,2583" to="7496,2583" stroked="true" strokeweight=".5pt" strokecolor="#ffffff">
                  <v:stroke dashstyle="solid"/>
                </v:line>
                <v:line style="position:absolute" from="410,1737" to="7496,1737" stroked="true" strokeweight=".5pt" strokecolor="#ffffff">
                  <v:stroke dashstyle="solid"/>
                </v:line>
                <v:line style="position:absolute" from="410,891" to="7496,891" stroked="true" strokeweight=".5pt" strokecolor="#ffffff">
                  <v:stroke dashstyle="solid"/>
                </v:line>
                <v:shape style="position:absolute;left:1456;top:1314;width:4643;height:2840" type="#_x0000_t75" id="docshape533" stroked="false">
                  <v:imagedata r:id="rId69" o:title=""/>
                </v:shape>
                <v:shape style="position:absolute;left:0;top:2;width:807;height:365" id="docshape534" coordorigin="0,3" coordsize="807,365" path="m807,3l120,3,74,7,36,25,10,62,0,123,0,368,807,368,807,3xe" filled="true" fillcolor="#008fdd" stroked="false">
                  <v:path arrowok="t"/>
                  <v:fill type="solid"/>
                </v:shape>
                <v:shape style="position:absolute;left:806;top:2;width:6873;height:365" id="docshape535" coordorigin="807,3" coordsize="6873,365" path="m7559,3l807,3,807,368,7679,368,7679,123,7670,83,7646,44,7608,14,7559,3xe" filled="true" fillcolor="#808285" stroked="false">
                  <v:path arrowok="t"/>
                  <v:fill type="solid"/>
                </v:shape>
                <v:line style="position:absolute" from="807,0" to="807,368" stroked="true" strokeweight="2pt" strokecolor="#ffffff">
                  <v:stroke dashstyle="solid"/>
                </v:line>
                <v:line style="position:absolute" from="6993,651" to="7143,651" stroked="true" strokeweight="1.5pt" strokecolor="#008fdd">
                  <v:stroke dashstyle="solid"/>
                </v:line>
                <v:line style="position:absolute" from="6394,651" to="6544,651" stroked="true" strokeweight="1.5pt" strokecolor="#231f20">
                  <v:stroke dashstyle="solid"/>
                </v:line>
                <v:line style="position:absolute" from="5795,651" to="5945,651" stroked="true" strokeweight="1.5pt" strokecolor="#76aee5">
                  <v:stroke dashstyle="solid"/>
                </v:line>
                <v:line style="position:absolute" from="5197,651" to="5347,651" stroked="true" strokeweight="1.5pt" strokecolor="#808285">
                  <v:stroke dashstyle="solid"/>
                </v:line>
                <v:line style="position:absolute" from="4598,651" to="4748,651" stroked="true" strokeweight="1.5pt" strokecolor="#a8979a">
                  <v:stroke dashstyle="solid"/>
                </v:line>
                <v:shape style="position:absolute;left:120;top:107;width:3651;height:880" type="#_x0000_t202" id="docshape536" filled="false" stroked="false">
                  <v:textbox inset="0,0,0,0">
                    <w:txbxContent>
                      <w:p>
                        <w:pPr>
                          <w:spacing w:before="3"/>
                          <w:ind w:left="0" w:right="0" w:firstLine="0"/>
                          <w:jc w:val="left"/>
                          <w:rPr>
                            <w:rFonts w:ascii="Arial" w:hAnsi="Arial"/>
                            <w:b/>
                            <w:sz w:val="16"/>
                          </w:rPr>
                        </w:pPr>
                        <w:r>
                          <w:rPr>
                            <w:rFonts w:ascii="Arial" w:hAnsi="Arial"/>
                            <w:color w:val="FFFFFF"/>
                            <w:sz w:val="16"/>
                          </w:rPr>
                          <w:t>Figure </w:t>
                        </w:r>
                        <w:r>
                          <w:rPr>
                            <w:rFonts w:ascii="Arial" w:hAnsi="Arial"/>
                            <w:b/>
                            <w:color w:val="FFFFFF"/>
                            <w:sz w:val="16"/>
                          </w:rPr>
                          <w:t>2.3</w:t>
                        </w:r>
                        <w:r>
                          <w:rPr>
                            <w:rFonts w:ascii="Arial" w:hAnsi="Arial"/>
                            <w:b/>
                            <w:color w:val="FFFFFF"/>
                            <w:spacing w:val="41"/>
                            <w:sz w:val="16"/>
                          </w:rPr>
                          <w:t>  </w:t>
                        </w:r>
                        <w:r>
                          <w:rPr>
                            <w:rFonts w:ascii="Arial" w:hAnsi="Arial"/>
                            <w:b/>
                            <w:color w:val="FFFFFF"/>
                            <w:sz w:val="16"/>
                          </w:rPr>
                          <w:t>Distribution</w:t>
                        </w:r>
                        <w:r>
                          <w:rPr>
                            <w:rFonts w:ascii="Arial" w:hAnsi="Arial"/>
                            <w:b/>
                            <w:color w:val="FFFFFF"/>
                            <w:spacing w:val="1"/>
                            <w:sz w:val="16"/>
                          </w:rPr>
                          <w:t> </w:t>
                        </w:r>
                        <w:r>
                          <w:rPr>
                            <w:rFonts w:ascii="Arial" w:hAnsi="Arial"/>
                            <w:b/>
                            <w:color w:val="FFFFFF"/>
                            <w:sz w:val="16"/>
                          </w:rPr>
                          <w:t>of LPI</w:t>
                        </w:r>
                        <w:r>
                          <w:rPr>
                            <w:rFonts w:ascii="Arial" w:hAnsi="Arial"/>
                            <w:b/>
                            <w:color w:val="FFFFFF"/>
                            <w:spacing w:val="1"/>
                            <w:sz w:val="16"/>
                          </w:rPr>
                          <w:t> </w:t>
                        </w:r>
                        <w:r>
                          <w:rPr>
                            <w:rFonts w:ascii="Arial" w:hAnsi="Arial"/>
                            <w:b/>
                            <w:color w:val="FFFFFF"/>
                            <w:sz w:val="16"/>
                          </w:rPr>
                          <w:t>scores, </w:t>
                        </w:r>
                        <w:r>
                          <w:rPr>
                            <w:rFonts w:ascii="Arial" w:hAnsi="Arial"/>
                            <w:b/>
                            <w:color w:val="FFFFFF"/>
                            <w:spacing w:val="-2"/>
                            <w:sz w:val="16"/>
                          </w:rPr>
                          <w:t>2012–23</w:t>
                        </w:r>
                      </w:p>
                      <w:p>
                        <w:pPr>
                          <w:spacing w:line="260" w:lineRule="atLeast" w:before="172"/>
                          <w:ind w:left="10" w:right="2636" w:hanging="11"/>
                          <w:jc w:val="left"/>
                          <w:rPr>
                            <w:rFonts w:ascii="Arial"/>
                            <w:sz w:val="14"/>
                          </w:rPr>
                        </w:pPr>
                        <w:r>
                          <w:rPr>
                            <w:rFonts w:ascii="Arial"/>
                            <w:color w:val="231F20"/>
                            <w:spacing w:val="-2"/>
                            <w:w w:val="80"/>
                            <w:sz w:val="14"/>
                          </w:rPr>
                          <w:t>Probability</w:t>
                        </w:r>
                        <w:r>
                          <w:rPr>
                            <w:rFonts w:ascii="Arial"/>
                            <w:color w:val="231F20"/>
                            <w:spacing w:val="-8"/>
                            <w:sz w:val="14"/>
                          </w:rPr>
                          <w:t> </w:t>
                        </w:r>
                        <w:r>
                          <w:rPr>
                            <w:rFonts w:ascii="Arial"/>
                            <w:color w:val="231F20"/>
                            <w:spacing w:val="-2"/>
                            <w:w w:val="80"/>
                            <w:sz w:val="14"/>
                          </w:rPr>
                          <w:t>density</w:t>
                        </w:r>
                        <w:r>
                          <w:rPr>
                            <w:rFonts w:ascii="Arial"/>
                            <w:color w:val="231F20"/>
                            <w:spacing w:val="40"/>
                            <w:sz w:val="14"/>
                          </w:rPr>
                          <w:t> </w:t>
                        </w:r>
                        <w:r>
                          <w:rPr>
                            <w:rFonts w:ascii="Arial"/>
                            <w:color w:val="231F20"/>
                            <w:spacing w:val="-4"/>
                            <w:w w:val="90"/>
                            <w:sz w:val="14"/>
                          </w:rPr>
                          <w:t>0.8</w:t>
                        </w:r>
                      </w:p>
                    </w:txbxContent>
                  </v:textbox>
                  <w10:wrap type="none"/>
                </v:shape>
                <v:shape style="position:absolute;left:4805;top:569;width:2684;height:159" type="#_x0000_t202" id="docshape537" filled="false" stroked="false">
                  <v:textbox inset="0,0,0,0">
                    <w:txbxContent>
                      <w:p>
                        <w:pPr>
                          <w:tabs>
                            <w:tab w:pos="598" w:val="left" w:leader="none"/>
                            <w:tab w:pos="1197" w:val="left" w:leader="none"/>
                            <w:tab w:pos="1795" w:val="left" w:leader="none"/>
                            <w:tab w:pos="2394" w:val="left" w:leader="none"/>
                          </w:tabs>
                          <w:spacing w:line="158" w:lineRule="exact" w:before="0"/>
                          <w:ind w:left="0" w:right="0" w:firstLine="0"/>
                          <w:jc w:val="left"/>
                          <w:rPr>
                            <w:rFonts w:ascii="Arial"/>
                            <w:sz w:val="14"/>
                          </w:rPr>
                        </w:pPr>
                        <w:r>
                          <w:rPr>
                            <w:rFonts w:ascii="Arial"/>
                            <w:color w:val="231F20"/>
                            <w:spacing w:val="-4"/>
                            <w:sz w:val="14"/>
                          </w:rPr>
                          <w:t>2012</w:t>
                        </w:r>
                        <w:r>
                          <w:rPr>
                            <w:rFonts w:ascii="Arial"/>
                            <w:color w:val="231F20"/>
                            <w:sz w:val="14"/>
                          </w:rPr>
                          <w:tab/>
                        </w:r>
                        <w:r>
                          <w:rPr>
                            <w:rFonts w:ascii="Arial"/>
                            <w:color w:val="231F20"/>
                            <w:spacing w:val="-4"/>
                            <w:sz w:val="14"/>
                          </w:rPr>
                          <w:t>2014</w:t>
                        </w:r>
                        <w:r>
                          <w:rPr>
                            <w:rFonts w:ascii="Arial"/>
                            <w:color w:val="231F20"/>
                            <w:sz w:val="14"/>
                          </w:rPr>
                          <w:tab/>
                        </w:r>
                        <w:r>
                          <w:rPr>
                            <w:rFonts w:ascii="Arial"/>
                            <w:color w:val="231F20"/>
                            <w:spacing w:val="-4"/>
                            <w:sz w:val="14"/>
                          </w:rPr>
                          <w:t>2016</w:t>
                        </w:r>
                        <w:r>
                          <w:rPr>
                            <w:rFonts w:ascii="Arial"/>
                            <w:color w:val="231F20"/>
                            <w:sz w:val="14"/>
                          </w:rPr>
                          <w:tab/>
                        </w:r>
                        <w:r>
                          <w:rPr>
                            <w:rFonts w:ascii="Arial"/>
                            <w:color w:val="231F20"/>
                            <w:spacing w:val="-4"/>
                            <w:sz w:val="14"/>
                          </w:rPr>
                          <w:t>2018</w:t>
                        </w:r>
                        <w:r>
                          <w:rPr>
                            <w:rFonts w:ascii="Arial"/>
                            <w:color w:val="231F20"/>
                            <w:sz w:val="14"/>
                          </w:rPr>
                          <w:tab/>
                        </w:r>
                        <w:r>
                          <w:rPr>
                            <w:rFonts w:ascii="Arial"/>
                            <w:color w:val="231F20"/>
                            <w:spacing w:val="-9"/>
                            <w:sz w:val="14"/>
                          </w:rPr>
                          <w:t>2023</w:t>
                        </w:r>
                      </w:p>
                    </w:txbxContent>
                  </v:textbox>
                  <w10:wrap type="none"/>
                </v:shape>
                <v:shape style="position:absolute;left:130;top:1674;width:188;height:159" type="#_x0000_t202" id="docshape538" filled="false" stroked="false">
                  <v:textbox inset="0,0,0,0">
                    <w:txbxContent>
                      <w:p>
                        <w:pPr>
                          <w:spacing w:line="158" w:lineRule="exact" w:before="0"/>
                          <w:ind w:left="0" w:right="0" w:firstLine="0"/>
                          <w:jc w:val="left"/>
                          <w:rPr>
                            <w:rFonts w:ascii="Arial"/>
                            <w:sz w:val="14"/>
                          </w:rPr>
                        </w:pPr>
                        <w:r>
                          <w:rPr>
                            <w:rFonts w:ascii="Arial"/>
                            <w:color w:val="231F20"/>
                            <w:spacing w:val="-7"/>
                            <w:sz w:val="14"/>
                          </w:rPr>
                          <w:t>0.6</w:t>
                        </w:r>
                      </w:p>
                    </w:txbxContent>
                  </v:textbox>
                  <w10:wrap type="none"/>
                </v:shape>
                <v:shape style="position:absolute;left:130;top:2520;width:188;height:159" type="#_x0000_t202" id="docshape539" filled="false" stroked="false">
                  <v:textbox inset="0,0,0,0">
                    <w:txbxContent>
                      <w:p>
                        <w:pPr>
                          <w:spacing w:line="158" w:lineRule="exact" w:before="0"/>
                          <w:ind w:left="0" w:right="0" w:firstLine="0"/>
                          <w:jc w:val="left"/>
                          <w:rPr>
                            <w:rFonts w:ascii="Arial"/>
                            <w:sz w:val="14"/>
                          </w:rPr>
                        </w:pPr>
                        <w:r>
                          <w:rPr>
                            <w:rFonts w:ascii="Arial"/>
                            <w:color w:val="231F20"/>
                            <w:spacing w:val="-7"/>
                            <w:sz w:val="14"/>
                          </w:rPr>
                          <w:t>0.4</w:t>
                        </w:r>
                      </w:p>
                    </w:txbxContent>
                  </v:textbox>
                  <w10:wrap type="none"/>
                </v:shape>
                <v:shape style="position:absolute;left:130;top:3366;width:188;height:159" type="#_x0000_t202" id="docshape540" filled="false" stroked="false">
                  <v:textbox inset="0,0,0,0">
                    <w:txbxContent>
                      <w:p>
                        <w:pPr>
                          <w:spacing w:line="158" w:lineRule="exact" w:before="0"/>
                          <w:ind w:left="0" w:right="0" w:firstLine="0"/>
                          <w:jc w:val="left"/>
                          <w:rPr>
                            <w:rFonts w:ascii="Arial"/>
                            <w:sz w:val="14"/>
                          </w:rPr>
                        </w:pPr>
                        <w:r>
                          <w:rPr>
                            <w:rFonts w:ascii="Arial"/>
                            <w:color w:val="231F20"/>
                            <w:spacing w:val="-7"/>
                            <w:sz w:val="14"/>
                          </w:rPr>
                          <w:t>0.2</w:t>
                        </w:r>
                      </w:p>
                    </w:txbxContent>
                  </v:textbox>
                  <w10:wrap type="none"/>
                </v:shape>
                <v:shape style="position:absolute;left:130;top:4212;width:188;height:159" type="#_x0000_t202" id="docshape541" filled="false" stroked="false">
                  <v:textbox inset="0,0,0,0">
                    <w:txbxContent>
                      <w:p>
                        <w:pPr>
                          <w:spacing w:line="158" w:lineRule="exact" w:before="0"/>
                          <w:ind w:left="0" w:right="0" w:firstLine="0"/>
                          <w:jc w:val="left"/>
                          <w:rPr>
                            <w:rFonts w:ascii="Arial"/>
                            <w:sz w:val="14"/>
                          </w:rPr>
                        </w:pPr>
                        <w:r>
                          <w:rPr>
                            <w:rFonts w:ascii="Arial"/>
                            <w:color w:val="231F20"/>
                            <w:spacing w:val="-7"/>
                            <w:sz w:val="14"/>
                          </w:rPr>
                          <w:t>0.0</w:t>
                        </w:r>
                      </w:p>
                    </w:txbxContent>
                  </v:textbox>
                  <w10:wrap type="none"/>
                </v:shape>
                <v:shape style="position:absolute;left:376;top:4332;width:88;height:159" type="#_x0000_t202" id="docshape542" filled="false" stroked="false">
                  <v:textbox inset="0,0,0,0">
                    <w:txbxContent>
                      <w:p>
                        <w:pPr>
                          <w:spacing w:line="158" w:lineRule="exact" w:before="0"/>
                          <w:ind w:left="0" w:right="0" w:firstLine="0"/>
                          <w:jc w:val="left"/>
                          <w:rPr>
                            <w:rFonts w:ascii="Arial"/>
                            <w:sz w:val="14"/>
                          </w:rPr>
                        </w:pPr>
                        <w:r>
                          <w:rPr>
                            <w:rFonts w:ascii="Arial"/>
                            <w:color w:val="231F20"/>
                            <w:spacing w:val="-10"/>
                            <w:sz w:val="14"/>
                          </w:rPr>
                          <w:t>1</w:t>
                        </w:r>
                      </w:p>
                    </w:txbxContent>
                  </v:textbox>
                  <w10:wrap type="none"/>
                </v:shape>
                <v:shape style="position:absolute;left:2147;top:4332;width:88;height:159" type="#_x0000_t202" id="docshape543" filled="false" stroked="false">
                  <v:textbox inset="0,0,0,0">
                    <w:txbxContent>
                      <w:p>
                        <w:pPr>
                          <w:spacing w:line="158" w:lineRule="exact" w:before="0"/>
                          <w:ind w:left="0" w:right="0" w:firstLine="0"/>
                          <w:jc w:val="left"/>
                          <w:rPr>
                            <w:rFonts w:ascii="Arial"/>
                            <w:sz w:val="14"/>
                          </w:rPr>
                        </w:pPr>
                        <w:r>
                          <w:rPr>
                            <w:rFonts w:ascii="Arial"/>
                            <w:color w:val="231F20"/>
                            <w:spacing w:val="-10"/>
                            <w:sz w:val="14"/>
                          </w:rPr>
                          <w:t>2</w:t>
                        </w:r>
                      </w:p>
                    </w:txbxContent>
                  </v:textbox>
                  <w10:wrap type="none"/>
                </v:shape>
                <v:shape style="position:absolute;left:3789;top:4332;width:476;height:339" type="#_x0000_t202" id="docshape544" filled="false" stroked="false">
                  <v:textbox inset="0,0,0,0">
                    <w:txbxContent>
                      <w:p>
                        <w:pPr>
                          <w:spacing w:line="159" w:lineRule="exact" w:before="0"/>
                          <w:ind w:left="130" w:right="0" w:firstLine="0"/>
                          <w:jc w:val="left"/>
                          <w:rPr>
                            <w:rFonts w:ascii="Arial"/>
                            <w:sz w:val="14"/>
                          </w:rPr>
                        </w:pPr>
                        <w:r>
                          <w:rPr>
                            <w:rFonts w:ascii="Arial"/>
                            <w:color w:val="231F20"/>
                            <w:spacing w:val="-10"/>
                            <w:sz w:val="14"/>
                          </w:rPr>
                          <w:t>3</w:t>
                        </w:r>
                      </w:p>
                      <w:p>
                        <w:pPr>
                          <w:spacing w:line="160" w:lineRule="exact" w:before="19"/>
                          <w:ind w:left="0" w:right="0" w:firstLine="0"/>
                          <w:jc w:val="left"/>
                          <w:rPr>
                            <w:rFonts w:ascii="Arial"/>
                            <w:sz w:val="14"/>
                          </w:rPr>
                        </w:pPr>
                        <w:r>
                          <w:rPr>
                            <w:rFonts w:ascii="Arial"/>
                            <w:color w:val="231F20"/>
                            <w:w w:val="70"/>
                            <w:sz w:val="14"/>
                          </w:rPr>
                          <w:t>LPI</w:t>
                        </w:r>
                        <w:r>
                          <w:rPr>
                            <w:rFonts w:ascii="Arial"/>
                            <w:color w:val="231F20"/>
                            <w:spacing w:val="-2"/>
                            <w:sz w:val="14"/>
                          </w:rPr>
                          <w:t> </w:t>
                        </w:r>
                        <w:r>
                          <w:rPr>
                            <w:rFonts w:ascii="Arial"/>
                            <w:color w:val="231F20"/>
                            <w:spacing w:val="-2"/>
                            <w:w w:val="85"/>
                            <w:sz w:val="14"/>
                          </w:rPr>
                          <w:t>score</w:t>
                        </w:r>
                      </w:p>
                    </w:txbxContent>
                  </v:textbox>
                  <w10:wrap type="none"/>
                </v:shape>
                <v:shape style="position:absolute;left:5690;top:4332;width:88;height:159" type="#_x0000_t202" id="docshape545" filled="false" stroked="false">
                  <v:textbox inset="0,0,0,0">
                    <w:txbxContent>
                      <w:p>
                        <w:pPr>
                          <w:spacing w:line="158" w:lineRule="exact" w:before="0"/>
                          <w:ind w:left="0" w:right="0" w:firstLine="0"/>
                          <w:jc w:val="left"/>
                          <w:rPr>
                            <w:rFonts w:ascii="Arial"/>
                            <w:sz w:val="14"/>
                          </w:rPr>
                        </w:pPr>
                        <w:r>
                          <w:rPr>
                            <w:rFonts w:ascii="Arial"/>
                            <w:color w:val="231F20"/>
                            <w:spacing w:val="-10"/>
                            <w:sz w:val="14"/>
                          </w:rPr>
                          <w:t>4</w:t>
                        </w:r>
                      </w:p>
                    </w:txbxContent>
                  </v:textbox>
                  <w10:wrap type="none"/>
                </v:shape>
                <v:shape style="position:absolute;left:7462;top:4332;width:88;height:159" type="#_x0000_t202" id="docshape546" filled="false" stroked="false">
                  <v:textbox inset="0,0,0,0">
                    <w:txbxContent>
                      <w:p>
                        <w:pPr>
                          <w:spacing w:line="158" w:lineRule="exact" w:before="0"/>
                          <w:ind w:left="0" w:right="0" w:firstLine="0"/>
                          <w:jc w:val="left"/>
                          <w:rPr>
                            <w:rFonts w:ascii="Arial"/>
                            <w:sz w:val="14"/>
                          </w:rPr>
                        </w:pPr>
                        <w:r>
                          <w:rPr>
                            <w:rFonts w:ascii="Arial"/>
                            <w:color w:val="231F20"/>
                            <w:spacing w:val="-10"/>
                            <w:sz w:val="14"/>
                          </w:rPr>
                          <w:t>5</w:t>
                        </w:r>
                      </w:p>
                    </w:txbxContent>
                  </v:textbox>
                  <w10:wrap type="none"/>
                </v:shape>
                <v:shape style="position:absolute;left:120;top:4829;width:4253;height:284" type="#_x0000_t202" id="docshape547" filled="false" stroked="false">
                  <v:textbox inset="0,0,0,0">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5"/>
                            <w:sz w:val="12"/>
                          </w:rPr>
                          <w:t> </w:t>
                        </w:r>
                        <w:r>
                          <w:rPr>
                            <w:rFonts w:ascii="Arial"/>
                            <w:color w:val="231F20"/>
                            <w:w w:val="80"/>
                            <w:sz w:val="12"/>
                          </w:rPr>
                          <w:t>2012,</w:t>
                        </w:r>
                        <w:r>
                          <w:rPr>
                            <w:rFonts w:ascii="Arial"/>
                            <w:color w:val="231F20"/>
                            <w:spacing w:val="-3"/>
                            <w:w w:val="80"/>
                            <w:sz w:val="12"/>
                          </w:rPr>
                          <w:t> </w:t>
                        </w:r>
                        <w:r>
                          <w:rPr>
                            <w:rFonts w:ascii="Arial"/>
                            <w:color w:val="231F20"/>
                            <w:w w:val="80"/>
                            <w:sz w:val="12"/>
                          </w:rPr>
                          <w:t>2014,</w:t>
                        </w:r>
                        <w:r>
                          <w:rPr>
                            <w:rFonts w:ascii="Arial"/>
                            <w:color w:val="231F20"/>
                            <w:spacing w:val="-3"/>
                            <w:w w:val="80"/>
                            <w:sz w:val="12"/>
                          </w:rPr>
                          <w:t> </w:t>
                        </w:r>
                        <w:r>
                          <w:rPr>
                            <w:rFonts w:ascii="Arial"/>
                            <w:color w:val="231F20"/>
                            <w:w w:val="80"/>
                            <w:sz w:val="12"/>
                          </w:rPr>
                          <w:t>2016,</w:t>
                        </w:r>
                        <w:r>
                          <w:rPr>
                            <w:rFonts w:ascii="Arial"/>
                            <w:color w:val="231F20"/>
                            <w:spacing w:val="-3"/>
                            <w:w w:val="80"/>
                            <w:sz w:val="12"/>
                          </w:rPr>
                          <w:t> </w:t>
                        </w:r>
                        <w:r>
                          <w:rPr>
                            <w:rFonts w:ascii="Arial"/>
                            <w:color w:val="231F20"/>
                            <w:w w:val="80"/>
                            <w:sz w:val="12"/>
                          </w:rPr>
                          <w:t>2018,</w:t>
                        </w:r>
                        <w:r>
                          <w:rPr>
                            <w:rFonts w:ascii="Arial"/>
                            <w:color w:val="231F20"/>
                            <w:spacing w:val="-3"/>
                            <w:w w:val="80"/>
                            <w:sz w:val="12"/>
                          </w:rPr>
                          <w:t> </w:t>
                        </w:r>
                        <w:r>
                          <w:rPr>
                            <w:rFonts w:ascii="Arial"/>
                            <w:color w:val="231F20"/>
                            <w:w w:val="80"/>
                            <w:sz w:val="12"/>
                          </w:rPr>
                          <w:t>and</w:t>
                        </w:r>
                        <w:r>
                          <w:rPr>
                            <w:rFonts w:ascii="Arial"/>
                            <w:color w:val="231F20"/>
                            <w:spacing w:val="-5"/>
                            <w:sz w:val="12"/>
                          </w:rPr>
                          <w:t> </w:t>
                        </w:r>
                        <w:r>
                          <w:rPr>
                            <w:rFonts w:ascii="Arial"/>
                            <w:color w:val="231F20"/>
                            <w:w w:val="80"/>
                            <w:sz w:val="12"/>
                          </w:rPr>
                          <w:t>2023</w:t>
                        </w:r>
                        <w:r>
                          <w:rPr>
                            <w:rFonts w:ascii="Arial"/>
                            <w:color w:val="231F20"/>
                            <w:spacing w:val="-4"/>
                            <w:sz w:val="12"/>
                          </w:rPr>
                          <w:t> </w:t>
                        </w:r>
                        <w:r>
                          <w:rPr>
                            <w:rFonts w:ascii="Arial"/>
                            <w:color w:val="231F20"/>
                            <w:w w:val="80"/>
                            <w:sz w:val="12"/>
                          </w:rPr>
                          <w:t>Logistics</w:t>
                        </w:r>
                        <w:r>
                          <w:rPr>
                            <w:rFonts w:ascii="Arial"/>
                            <w:color w:val="231F20"/>
                            <w:spacing w:val="-5"/>
                            <w:sz w:val="12"/>
                          </w:rPr>
                          <w:t> </w:t>
                        </w:r>
                        <w:r>
                          <w:rPr>
                            <w:rFonts w:ascii="Arial"/>
                            <w:color w:val="231F20"/>
                            <w:w w:val="80"/>
                            <w:sz w:val="12"/>
                          </w:rPr>
                          <w:t>Performance</w:t>
                        </w:r>
                        <w:r>
                          <w:rPr>
                            <w:rFonts w:ascii="Arial"/>
                            <w:color w:val="231F20"/>
                            <w:spacing w:val="-4"/>
                            <w:sz w:val="12"/>
                          </w:rPr>
                          <w:t> </w:t>
                        </w:r>
                        <w:r>
                          <w:rPr>
                            <w:rFonts w:ascii="Arial"/>
                            <w:color w:val="231F20"/>
                            <w:spacing w:val="-2"/>
                            <w:w w:val="80"/>
                            <w:sz w:val="12"/>
                          </w:rPr>
                          <w:t>Index.</w:t>
                        </w:r>
                      </w:p>
                      <w:p>
                        <w:pPr>
                          <w:spacing w:before="2"/>
                          <w:ind w:left="0" w:right="0" w:firstLine="0"/>
                          <w:jc w:val="left"/>
                          <w:rPr>
                            <w:rFonts w:ascii="Arial"/>
                            <w:sz w:val="12"/>
                          </w:rPr>
                        </w:pPr>
                        <w:r>
                          <w:rPr>
                            <w:rFonts w:ascii="Arial"/>
                            <w:i/>
                            <w:color w:val="231F20"/>
                            <w:w w:val="75"/>
                            <w:sz w:val="12"/>
                          </w:rPr>
                          <w:t>Note:</w:t>
                        </w:r>
                        <w:r>
                          <w:rPr>
                            <w:rFonts w:ascii="Arial"/>
                            <w:i/>
                            <w:color w:val="231F20"/>
                            <w:spacing w:val="-7"/>
                            <w:sz w:val="12"/>
                          </w:rPr>
                          <w:t> </w:t>
                        </w:r>
                        <w:r>
                          <w:rPr>
                            <w:rFonts w:ascii="Arial"/>
                            <w:color w:val="231F20"/>
                            <w:w w:val="75"/>
                            <w:sz w:val="12"/>
                          </w:rPr>
                          <w:t>To</w:t>
                        </w:r>
                        <w:r>
                          <w:rPr>
                            <w:rFonts w:ascii="Arial"/>
                            <w:color w:val="231F20"/>
                            <w:spacing w:val="-1"/>
                            <w:sz w:val="12"/>
                          </w:rPr>
                          <w:t> </w:t>
                        </w:r>
                        <w:r>
                          <w:rPr>
                            <w:rFonts w:ascii="Arial"/>
                            <w:color w:val="231F20"/>
                            <w:w w:val="75"/>
                            <w:sz w:val="12"/>
                          </w:rPr>
                          <w:t>avoid</w:t>
                        </w:r>
                        <w:r>
                          <w:rPr>
                            <w:rFonts w:ascii="Arial"/>
                            <w:color w:val="231F20"/>
                            <w:sz w:val="12"/>
                          </w:rPr>
                          <w:t> </w:t>
                        </w:r>
                        <w:r>
                          <w:rPr>
                            <w:rFonts w:ascii="Arial"/>
                            <w:color w:val="231F20"/>
                            <w:w w:val="75"/>
                            <w:sz w:val="12"/>
                          </w:rPr>
                          <w:t>composition</w:t>
                        </w:r>
                        <w:r>
                          <w:rPr>
                            <w:rFonts w:ascii="Arial"/>
                            <w:color w:val="231F20"/>
                            <w:spacing w:val="-1"/>
                            <w:sz w:val="12"/>
                          </w:rPr>
                          <w:t> </w:t>
                        </w:r>
                        <w:r>
                          <w:rPr>
                            <w:rFonts w:ascii="Arial"/>
                            <w:color w:val="231F20"/>
                            <w:w w:val="75"/>
                            <w:sz w:val="12"/>
                          </w:rPr>
                          <w:t>effects,</w:t>
                        </w:r>
                        <w:r>
                          <w:rPr>
                            <w:rFonts w:ascii="Arial"/>
                            <w:color w:val="231F20"/>
                            <w:spacing w:val="-7"/>
                            <w:sz w:val="12"/>
                          </w:rPr>
                          <w:t> </w:t>
                        </w:r>
                        <w:r>
                          <w:rPr>
                            <w:rFonts w:ascii="Arial"/>
                            <w:color w:val="231F20"/>
                            <w:w w:val="75"/>
                            <w:sz w:val="12"/>
                          </w:rPr>
                          <w:t>only</w:t>
                        </w:r>
                        <w:r>
                          <w:rPr>
                            <w:rFonts w:ascii="Arial"/>
                            <w:color w:val="231F20"/>
                            <w:sz w:val="12"/>
                          </w:rPr>
                          <w:t> </w:t>
                        </w:r>
                        <w:r>
                          <w:rPr>
                            <w:rFonts w:ascii="Arial"/>
                            <w:color w:val="231F20"/>
                            <w:w w:val="75"/>
                            <w:sz w:val="12"/>
                          </w:rPr>
                          <w:t>countries</w:t>
                        </w:r>
                        <w:r>
                          <w:rPr>
                            <w:rFonts w:ascii="Arial"/>
                            <w:color w:val="231F20"/>
                            <w:spacing w:val="-1"/>
                            <w:sz w:val="12"/>
                          </w:rPr>
                          <w:t> </w:t>
                        </w:r>
                        <w:r>
                          <w:rPr>
                            <w:rFonts w:ascii="Arial"/>
                            <w:color w:val="231F20"/>
                            <w:w w:val="75"/>
                            <w:sz w:val="12"/>
                          </w:rPr>
                          <w:t>with</w:t>
                        </w:r>
                        <w:r>
                          <w:rPr>
                            <w:rFonts w:ascii="Arial"/>
                            <w:color w:val="231F20"/>
                            <w:sz w:val="12"/>
                          </w:rPr>
                          <w:t> </w:t>
                        </w:r>
                        <w:r>
                          <w:rPr>
                            <w:rFonts w:ascii="Arial"/>
                            <w:color w:val="231F20"/>
                            <w:w w:val="75"/>
                            <w:sz w:val="12"/>
                          </w:rPr>
                          <w:t>scores</w:t>
                        </w:r>
                        <w:r>
                          <w:rPr>
                            <w:rFonts w:ascii="Arial"/>
                            <w:color w:val="231F20"/>
                            <w:spacing w:val="-1"/>
                            <w:sz w:val="12"/>
                          </w:rPr>
                          <w:t> </w:t>
                        </w:r>
                        <w:r>
                          <w:rPr>
                            <w:rFonts w:ascii="Arial"/>
                            <w:color w:val="231F20"/>
                            <w:w w:val="75"/>
                            <w:sz w:val="12"/>
                          </w:rPr>
                          <w:t>in</w:t>
                        </w:r>
                        <w:r>
                          <w:rPr>
                            <w:rFonts w:ascii="Arial"/>
                            <w:color w:val="231F20"/>
                            <w:spacing w:val="-1"/>
                            <w:sz w:val="12"/>
                          </w:rPr>
                          <w:t> </w:t>
                        </w:r>
                        <w:r>
                          <w:rPr>
                            <w:rFonts w:ascii="Arial"/>
                            <w:color w:val="231F20"/>
                            <w:w w:val="75"/>
                            <w:sz w:val="12"/>
                          </w:rPr>
                          <w:t>all</w:t>
                        </w:r>
                        <w:r>
                          <w:rPr>
                            <w:rFonts w:ascii="Arial"/>
                            <w:color w:val="231F20"/>
                            <w:sz w:val="12"/>
                          </w:rPr>
                          <w:t> </w:t>
                        </w:r>
                        <w:r>
                          <w:rPr>
                            <w:rFonts w:ascii="Arial"/>
                            <w:color w:val="231F20"/>
                            <w:w w:val="75"/>
                            <w:sz w:val="12"/>
                          </w:rPr>
                          <w:t>years</w:t>
                        </w:r>
                        <w:r>
                          <w:rPr>
                            <w:rFonts w:ascii="Arial"/>
                            <w:color w:val="231F20"/>
                            <w:spacing w:val="-1"/>
                            <w:sz w:val="12"/>
                          </w:rPr>
                          <w:t> </w:t>
                        </w:r>
                        <w:r>
                          <w:rPr>
                            <w:rFonts w:ascii="Arial"/>
                            <w:color w:val="231F20"/>
                            <w:w w:val="75"/>
                            <w:sz w:val="12"/>
                          </w:rPr>
                          <w:t>are</w:t>
                        </w:r>
                        <w:r>
                          <w:rPr>
                            <w:rFonts w:ascii="Arial"/>
                            <w:color w:val="231F20"/>
                            <w:spacing w:val="-1"/>
                            <w:sz w:val="12"/>
                          </w:rPr>
                          <w:t> </w:t>
                        </w:r>
                        <w:r>
                          <w:rPr>
                            <w:rFonts w:ascii="Arial"/>
                            <w:color w:val="231F20"/>
                            <w:w w:val="75"/>
                            <w:sz w:val="12"/>
                          </w:rPr>
                          <w:t>included</w:t>
                        </w:r>
                        <w:r>
                          <w:rPr>
                            <w:rFonts w:ascii="Arial"/>
                            <w:color w:val="231F20"/>
                            <w:sz w:val="12"/>
                          </w:rPr>
                          <w:t> </w:t>
                        </w:r>
                        <w:r>
                          <w:rPr>
                            <w:rFonts w:ascii="Arial"/>
                            <w:color w:val="231F20"/>
                            <w:w w:val="75"/>
                            <w:sz w:val="12"/>
                          </w:rPr>
                          <w:t>in</w:t>
                        </w:r>
                        <w:r>
                          <w:rPr>
                            <w:rFonts w:ascii="Arial"/>
                            <w:color w:val="231F20"/>
                            <w:spacing w:val="-1"/>
                            <w:sz w:val="12"/>
                          </w:rPr>
                          <w:t> </w:t>
                        </w:r>
                        <w:r>
                          <w:rPr>
                            <w:rFonts w:ascii="Arial"/>
                            <w:color w:val="231F20"/>
                            <w:w w:val="75"/>
                            <w:sz w:val="12"/>
                          </w:rPr>
                          <w:t>the</w:t>
                        </w:r>
                        <w:r>
                          <w:rPr>
                            <w:rFonts w:ascii="Arial"/>
                            <w:color w:val="231F20"/>
                            <w:spacing w:val="-1"/>
                            <w:sz w:val="12"/>
                          </w:rPr>
                          <w:t> </w:t>
                        </w:r>
                        <w:r>
                          <w:rPr>
                            <w:rFonts w:ascii="Arial"/>
                            <w:color w:val="231F20"/>
                            <w:spacing w:val="-2"/>
                            <w:w w:val="75"/>
                            <w:sz w:val="12"/>
                          </w:rPr>
                          <w:t>analysis.</w:t>
                        </w:r>
                      </w:p>
                    </w:txbxContent>
                  </v:textbox>
                  <w10:wrap type="none"/>
                </v:shape>
              </v:group>
            </w:pict>
          </mc:Fallback>
        </mc:AlternateContent>
      </w:r>
      <w:r>
        <w:rPr>
          <w:sz w:val="20"/>
        </w:rPr>
      </w:r>
    </w:p>
    <w:p>
      <w:pPr>
        <w:pStyle w:val="BodyText"/>
        <w:spacing w:before="102"/>
        <w:rPr>
          <w:sz w:val="20"/>
        </w:rPr>
      </w:pPr>
    </w:p>
    <w:p>
      <w:pPr>
        <w:spacing w:after="0"/>
        <w:rPr>
          <w:sz w:val="20"/>
        </w:rPr>
        <w:sectPr>
          <w:pgSz w:w="12240" w:h="15840"/>
          <w:pgMar w:header="370" w:footer="548" w:top="560" w:bottom="740" w:left="0" w:right="540"/>
        </w:sectPr>
      </w:pPr>
    </w:p>
    <w:p>
      <w:pPr>
        <w:pStyle w:val="BodyText"/>
        <w:spacing w:before="97"/>
        <w:ind w:left="3360"/>
        <w:jc w:val="both"/>
      </w:pPr>
      <w:r>
        <w:rPr>
          <w:color w:val="231F20"/>
          <w:spacing w:val="-2"/>
        </w:rPr>
        <w:t>countries</w:t>
      </w:r>
      <w:r>
        <w:rPr>
          <w:color w:val="231F20"/>
          <w:spacing w:val="-10"/>
        </w:rPr>
        <w:t> </w:t>
      </w:r>
      <w:r>
        <w:rPr>
          <w:color w:val="231F20"/>
          <w:spacing w:val="-2"/>
        </w:rPr>
        <w:t>in</w:t>
      </w:r>
      <w:r>
        <w:rPr>
          <w:color w:val="231F20"/>
          <w:spacing w:val="-9"/>
        </w:rPr>
        <w:t> </w:t>
      </w:r>
      <w:r>
        <w:rPr>
          <w:color w:val="231F20"/>
          <w:spacing w:val="-2"/>
        </w:rPr>
        <w:t>the</w:t>
      </w:r>
      <w:r>
        <w:rPr>
          <w:color w:val="231F20"/>
          <w:spacing w:val="-9"/>
        </w:rPr>
        <w:t> </w:t>
      </w:r>
      <w:r>
        <w:rPr>
          <w:color w:val="231F20"/>
          <w:spacing w:val="-2"/>
        </w:rPr>
        <w:t>2023</w:t>
      </w:r>
      <w:r>
        <w:rPr>
          <w:color w:val="231F20"/>
          <w:spacing w:val="-9"/>
        </w:rPr>
        <w:t> </w:t>
      </w:r>
      <w:r>
        <w:rPr>
          <w:color w:val="231F20"/>
          <w:spacing w:val="-2"/>
        </w:rPr>
        <w:t>LPI,</w:t>
      </w:r>
      <w:r>
        <w:rPr>
          <w:color w:val="231F20"/>
          <w:spacing w:val="-10"/>
        </w:rPr>
        <w:t> </w:t>
      </w:r>
      <w:r>
        <w:rPr>
          <w:color w:val="231F20"/>
          <w:spacing w:val="-2"/>
        </w:rPr>
        <w:t>30</w:t>
      </w:r>
      <w:r>
        <w:rPr>
          <w:color w:val="231F20"/>
          <w:spacing w:val="-9"/>
        </w:rPr>
        <w:t> </w:t>
      </w:r>
      <w:r>
        <w:rPr>
          <w:color w:val="231F20"/>
          <w:spacing w:val="-2"/>
        </w:rPr>
        <w:t>are</w:t>
      </w:r>
      <w:r>
        <w:rPr>
          <w:color w:val="231F20"/>
          <w:spacing w:val="-9"/>
        </w:rPr>
        <w:t> </w:t>
      </w:r>
      <w:r>
        <w:rPr>
          <w:color w:val="231F20"/>
          <w:spacing w:val="-2"/>
        </w:rPr>
        <w:t>high</w:t>
      </w:r>
      <w:r>
        <w:rPr>
          <w:color w:val="231F20"/>
          <w:spacing w:val="-9"/>
        </w:rPr>
        <w:t> </w:t>
      </w:r>
      <w:r>
        <w:rPr>
          <w:color w:val="231F20"/>
          <w:spacing w:val="-2"/>
        </w:rPr>
        <w:t>income</w:t>
      </w:r>
    </w:p>
    <w:p>
      <w:pPr>
        <w:pStyle w:val="BodyText"/>
        <w:spacing w:line="268" w:lineRule="auto" w:before="28"/>
        <w:ind w:left="3360"/>
        <w:jc w:val="both"/>
      </w:pPr>
      <w:r>
        <w:rPr>
          <w:color w:val="231F20"/>
        </w:rPr>
        <w:t>—a</w:t>
      </w:r>
      <w:r>
        <w:rPr>
          <w:color w:val="231F20"/>
          <w:spacing w:val="-4"/>
        </w:rPr>
        <w:t> </w:t>
      </w:r>
      <w:r>
        <w:rPr>
          <w:color w:val="231F20"/>
        </w:rPr>
        <w:t>finding</w:t>
      </w:r>
      <w:r>
        <w:rPr>
          <w:color w:val="231F20"/>
          <w:spacing w:val="-4"/>
        </w:rPr>
        <w:t> </w:t>
      </w:r>
      <w:r>
        <w:rPr>
          <w:color w:val="231F20"/>
        </w:rPr>
        <w:t>that</w:t>
      </w:r>
      <w:r>
        <w:rPr>
          <w:color w:val="231F20"/>
          <w:spacing w:val="-4"/>
        </w:rPr>
        <w:t> </w:t>
      </w:r>
      <w:r>
        <w:rPr>
          <w:color w:val="231F20"/>
        </w:rPr>
        <w:t>has</w:t>
      </w:r>
      <w:r>
        <w:rPr>
          <w:color w:val="231F20"/>
          <w:spacing w:val="-4"/>
        </w:rPr>
        <w:t> </w:t>
      </w:r>
      <w:r>
        <w:rPr>
          <w:color w:val="231F20"/>
        </w:rPr>
        <w:t>changed</w:t>
      </w:r>
      <w:r>
        <w:rPr>
          <w:color w:val="231F20"/>
          <w:spacing w:val="-4"/>
        </w:rPr>
        <w:t> </w:t>
      </w:r>
      <w:r>
        <w:rPr>
          <w:color w:val="231F20"/>
        </w:rPr>
        <w:t>little</w:t>
      </w:r>
      <w:r>
        <w:rPr>
          <w:color w:val="231F20"/>
          <w:spacing w:val="-4"/>
        </w:rPr>
        <w:t> </w:t>
      </w:r>
      <w:r>
        <w:rPr>
          <w:color w:val="231F20"/>
        </w:rPr>
        <w:t>from</w:t>
      </w:r>
      <w:r>
        <w:rPr>
          <w:color w:val="231F20"/>
          <w:spacing w:val="-4"/>
        </w:rPr>
        <w:t> </w:t>
      </w:r>
      <w:r>
        <w:rPr>
          <w:color w:val="231F20"/>
        </w:rPr>
        <w:t>past </w:t>
      </w:r>
      <w:r>
        <w:rPr>
          <w:color w:val="231F20"/>
          <w:spacing w:val="-2"/>
        </w:rPr>
        <w:t>LPI</w:t>
      </w:r>
      <w:r>
        <w:rPr>
          <w:color w:val="231F20"/>
          <w:spacing w:val="-11"/>
        </w:rPr>
        <w:t> </w:t>
      </w:r>
      <w:r>
        <w:rPr>
          <w:color w:val="231F20"/>
          <w:spacing w:val="-2"/>
        </w:rPr>
        <w:t>editions,</w:t>
      </w:r>
      <w:r>
        <w:rPr>
          <w:color w:val="231F20"/>
          <w:spacing w:val="-11"/>
        </w:rPr>
        <w:t> </w:t>
      </w:r>
      <w:r>
        <w:rPr>
          <w:color w:val="231F20"/>
          <w:spacing w:val="-2"/>
        </w:rPr>
        <w:t>despite</w:t>
      </w:r>
      <w:r>
        <w:rPr>
          <w:color w:val="231F20"/>
          <w:spacing w:val="-11"/>
        </w:rPr>
        <w:t> </w:t>
      </w:r>
      <w:r>
        <w:rPr>
          <w:color w:val="231F20"/>
          <w:spacing w:val="-2"/>
        </w:rPr>
        <w:t>the</w:t>
      </w:r>
      <w:r>
        <w:rPr>
          <w:color w:val="231F20"/>
          <w:spacing w:val="-11"/>
        </w:rPr>
        <w:t> </w:t>
      </w:r>
      <w:r>
        <w:rPr>
          <w:color w:val="231F20"/>
          <w:spacing w:val="-2"/>
        </w:rPr>
        <w:t>new</w:t>
      </w:r>
      <w:r>
        <w:rPr>
          <w:color w:val="231F20"/>
          <w:spacing w:val="-11"/>
        </w:rPr>
        <w:t> </w:t>
      </w:r>
      <w:r>
        <w:rPr>
          <w:color w:val="231F20"/>
          <w:spacing w:val="-2"/>
        </w:rPr>
        <w:t>reality</w:t>
      </w:r>
      <w:r>
        <w:rPr>
          <w:color w:val="231F20"/>
          <w:spacing w:val="-11"/>
        </w:rPr>
        <w:t> </w:t>
      </w:r>
      <w:r>
        <w:rPr>
          <w:color w:val="231F20"/>
          <w:spacing w:val="-2"/>
        </w:rPr>
        <w:t>of</w:t>
      </w:r>
      <w:r>
        <w:rPr>
          <w:color w:val="231F20"/>
          <w:spacing w:val="-11"/>
        </w:rPr>
        <w:t> </w:t>
      </w:r>
      <w:r>
        <w:rPr>
          <w:color w:val="231F20"/>
          <w:spacing w:val="-2"/>
        </w:rPr>
        <w:t>global </w:t>
      </w:r>
      <w:r>
        <w:rPr>
          <w:color w:val="231F20"/>
        </w:rPr>
        <w:t>trade. This point is about the distribution of scores</w:t>
      </w:r>
      <w:r>
        <w:rPr>
          <w:color w:val="231F20"/>
          <w:spacing w:val="-7"/>
        </w:rPr>
        <w:t> </w:t>
      </w:r>
      <w:r>
        <w:rPr>
          <w:color w:val="231F20"/>
        </w:rPr>
        <w:t>rather</w:t>
      </w:r>
      <w:r>
        <w:rPr>
          <w:color w:val="231F20"/>
          <w:spacing w:val="-7"/>
        </w:rPr>
        <w:t> </w:t>
      </w:r>
      <w:r>
        <w:rPr>
          <w:color w:val="231F20"/>
        </w:rPr>
        <w:t>than</w:t>
      </w:r>
      <w:r>
        <w:rPr>
          <w:color w:val="231F20"/>
          <w:spacing w:val="-7"/>
        </w:rPr>
        <w:t> </w:t>
      </w:r>
      <w:r>
        <w:rPr>
          <w:color w:val="231F20"/>
        </w:rPr>
        <w:t>absolute</w:t>
      </w:r>
      <w:r>
        <w:rPr>
          <w:color w:val="231F20"/>
          <w:spacing w:val="-7"/>
        </w:rPr>
        <w:t> </w:t>
      </w:r>
      <w:r>
        <w:rPr>
          <w:color w:val="231F20"/>
        </w:rPr>
        <w:t>levels</w:t>
      </w:r>
      <w:r>
        <w:rPr>
          <w:color w:val="231F20"/>
          <w:spacing w:val="-7"/>
        </w:rPr>
        <w:t> </w:t>
      </w:r>
      <w:r>
        <w:rPr>
          <w:color w:val="231F20"/>
        </w:rPr>
        <w:t>and</w:t>
      </w:r>
      <w:r>
        <w:rPr>
          <w:color w:val="231F20"/>
          <w:spacing w:val="-7"/>
        </w:rPr>
        <w:t> </w:t>
      </w:r>
      <w:r>
        <w:rPr>
          <w:color w:val="231F20"/>
        </w:rPr>
        <w:t>is</w:t>
      </w:r>
      <w:r>
        <w:rPr>
          <w:color w:val="231F20"/>
          <w:spacing w:val="-7"/>
        </w:rPr>
        <w:t> </w:t>
      </w:r>
      <w:r>
        <w:rPr>
          <w:color w:val="231F20"/>
        </w:rPr>
        <w:t>thus consistent</w:t>
      </w:r>
      <w:r>
        <w:rPr>
          <w:color w:val="231F20"/>
          <w:spacing w:val="-14"/>
        </w:rPr>
        <w:t> </w:t>
      </w:r>
      <w:r>
        <w:rPr>
          <w:color w:val="231F20"/>
        </w:rPr>
        <w:t>with</w:t>
      </w:r>
      <w:r>
        <w:rPr>
          <w:color w:val="231F20"/>
          <w:spacing w:val="-13"/>
        </w:rPr>
        <w:t> </w:t>
      </w:r>
      <w:r>
        <w:rPr>
          <w:color w:val="231F20"/>
        </w:rPr>
        <w:t>the</w:t>
      </w:r>
      <w:r>
        <w:rPr>
          <w:color w:val="231F20"/>
          <w:spacing w:val="-13"/>
        </w:rPr>
        <w:t> </w:t>
      </w:r>
      <w:r>
        <w:rPr>
          <w:color w:val="231F20"/>
        </w:rPr>
        <w:t>idea</w:t>
      </w:r>
      <w:r>
        <w:rPr>
          <w:color w:val="231F20"/>
          <w:spacing w:val="-13"/>
        </w:rPr>
        <w:t> </w:t>
      </w:r>
      <w:r>
        <w:rPr>
          <w:color w:val="231F20"/>
        </w:rPr>
        <w:t>that</w:t>
      </w:r>
      <w:r>
        <w:rPr>
          <w:color w:val="231F20"/>
          <w:spacing w:val="-13"/>
        </w:rPr>
        <w:t> </w:t>
      </w:r>
      <w:r>
        <w:rPr>
          <w:color w:val="231F20"/>
        </w:rPr>
        <w:t>the</w:t>
      </w:r>
      <w:r>
        <w:rPr>
          <w:color w:val="231F20"/>
          <w:spacing w:val="-13"/>
        </w:rPr>
        <w:t> </w:t>
      </w:r>
      <w:r>
        <w:rPr>
          <w:color w:val="231F20"/>
        </w:rPr>
        <w:t>supply</w:t>
      </w:r>
      <w:r>
        <w:rPr>
          <w:color w:val="231F20"/>
          <w:spacing w:val="-13"/>
        </w:rPr>
        <w:t> </w:t>
      </w:r>
      <w:r>
        <w:rPr>
          <w:color w:val="231F20"/>
        </w:rPr>
        <w:t>chain </w:t>
      </w:r>
      <w:r>
        <w:rPr>
          <w:color w:val="231F20"/>
          <w:w w:val="90"/>
        </w:rPr>
        <w:t>crisis is global in scope rather than affecting just </w:t>
      </w:r>
      <w:r>
        <w:rPr>
          <w:color w:val="231F20"/>
        </w:rPr>
        <w:t>a</w:t>
      </w:r>
      <w:r>
        <w:rPr>
          <w:color w:val="231F20"/>
          <w:spacing w:val="-14"/>
        </w:rPr>
        <w:t> </w:t>
      </w:r>
      <w:r>
        <w:rPr>
          <w:color w:val="231F20"/>
        </w:rPr>
        <w:t>small</w:t>
      </w:r>
      <w:r>
        <w:rPr>
          <w:color w:val="231F20"/>
          <w:spacing w:val="-13"/>
        </w:rPr>
        <w:t> </w:t>
      </w:r>
      <w:r>
        <w:rPr>
          <w:color w:val="231F20"/>
        </w:rPr>
        <w:t>number</w:t>
      </w:r>
      <w:r>
        <w:rPr>
          <w:color w:val="231F20"/>
          <w:spacing w:val="-13"/>
        </w:rPr>
        <w:t> </w:t>
      </w:r>
      <w:r>
        <w:rPr>
          <w:color w:val="231F20"/>
        </w:rPr>
        <w:t>of</w:t>
      </w:r>
      <w:r>
        <w:rPr>
          <w:color w:val="231F20"/>
          <w:spacing w:val="-13"/>
        </w:rPr>
        <w:t> </w:t>
      </w:r>
      <w:r>
        <w:rPr>
          <w:color w:val="231F20"/>
        </w:rPr>
        <w:t>countries</w:t>
      </w:r>
      <w:r>
        <w:rPr>
          <w:color w:val="231F20"/>
          <w:spacing w:val="-13"/>
        </w:rPr>
        <w:t> </w:t>
      </w:r>
      <w:r>
        <w:rPr>
          <w:color w:val="231F20"/>
        </w:rPr>
        <w:t>or</w:t>
      </w:r>
      <w:r>
        <w:rPr>
          <w:color w:val="231F20"/>
          <w:spacing w:val="-13"/>
        </w:rPr>
        <w:t> </w:t>
      </w:r>
      <w:r>
        <w:rPr>
          <w:color w:val="231F20"/>
        </w:rPr>
        <w:t>regions.</w:t>
      </w:r>
    </w:p>
    <w:p>
      <w:pPr>
        <w:pStyle w:val="BodyText"/>
        <w:spacing w:line="268" w:lineRule="auto" w:before="97"/>
        <w:ind w:left="199" w:right="659" w:firstLine="300"/>
        <w:jc w:val="both"/>
      </w:pPr>
      <w:r>
        <w:rPr/>
        <w:br w:type="column"/>
      </w:r>
      <w:r>
        <w:rPr>
          <w:color w:val="231F20"/>
        </w:rPr>
        <w:t>Nevertheless, countries can still outper- </w:t>
      </w:r>
      <w:r>
        <w:rPr>
          <w:color w:val="231F20"/>
          <w:spacing w:val="-4"/>
        </w:rPr>
        <w:t>form</w:t>
      </w:r>
      <w:r>
        <w:rPr>
          <w:color w:val="231F20"/>
          <w:spacing w:val="-10"/>
        </w:rPr>
        <w:t> </w:t>
      </w:r>
      <w:r>
        <w:rPr>
          <w:color w:val="231F20"/>
          <w:spacing w:val="-4"/>
        </w:rPr>
        <w:t>their</w:t>
      </w:r>
      <w:r>
        <w:rPr>
          <w:color w:val="231F20"/>
          <w:spacing w:val="-9"/>
        </w:rPr>
        <w:t> </w:t>
      </w:r>
      <w:r>
        <w:rPr>
          <w:color w:val="231F20"/>
          <w:spacing w:val="-4"/>
        </w:rPr>
        <w:t>income</w:t>
      </w:r>
      <w:r>
        <w:rPr>
          <w:color w:val="231F20"/>
          <w:spacing w:val="-9"/>
        </w:rPr>
        <w:t> </w:t>
      </w:r>
      <w:r>
        <w:rPr>
          <w:color w:val="231F20"/>
          <w:spacing w:val="-4"/>
        </w:rPr>
        <w:t>group</w:t>
      </w:r>
      <w:r>
        <w:rPr>
          <w:color w:val="231F20"/>
          <w:spacing w:val="-9"/>
        </w:rPr>
        <w:t> </w:t>
      </w:r>
      <w:r>
        <w:rPr>
          <w:color w:val="231F20"/>
          <w:spacing w:val="-4"/>
        </w:rPr>
        <w:t>peers</w:t>
      </w:r>
      <w:r>
        <w:rPr>
          <w:color w:val="231F20"/>
          <w:spacing w:val="-9"/>
        </w:rPr>
        <w:t> </w:t>
      </w:r>
      <w:r>
        <w:rPr>
          <w:color w:val="231F20"/>
          <w:spacing w:val="-4"/>
        </w:rPr>
        <w:t>despite</w:t>
      </w:r>
      <w:r>
        <w:rPr>
          <w:color w:val="231F20"/>
          <w:spacing w:val="-9"/>
        </w:rPr>
        <w:t> </w:t>
      </w:r>
      <w:r>
        <w:rPr>
          <w:color w:val="231F20"/>
          <w:spacing w:val="-4"/>
        </w:rPr>
        <w:t>the</w:t>
      </w:r>
      <w:r>
        <w:rPr>
          <w:color w:val="231F20"/>
          <w:spacing w:val="-9"/>
        </w:rPr>
        <w:t> </w:t>
      </w:r>
      <w:r>
        <w:rPr>
          <w:color w:val="231F20"/>
          <w:spacing w:val="-4"/>
        </w:rPr>
        <w:t>per- </w:t>
      </w:r>
      <w:r>
        <w:rPr>
          <w:color w:val="231F20"/>
          <w:spacing w:val="-6"/>
        </w:rPr>
        <w:t>formance</w:t>
      </w:r>
      <w:r>
        <w:rPr>
          <w:color w:val="231F20"/>
          <w:spacing w:val="-7"/>
        </w:rPr>
        <w:t> </w:t>
      </w:r>
      <w:r>
        <w:rPr>
          <w:color w:val="231F20"/>
          <w:spacing w:val="-6"/>
        </w:rPr>
        <w:t>gap,</w:t>
      </w:r>
      <w:r>
        <w:rPr>
          <w:color w:val="231F20"/>
          <w:spacing w:val="-7"/>
        </w:rPr>
        <w:t> </w:t>
      </w:r>
      <w:r>
        <w:rPr>
          <w:color w:val="231F20"/>
          <w:spacing w:val="-6"/>
        </w:rPr>
        <w:t>as</w:t>
      </w:r>
      <w:r>
        <w:rPr>
          <w:color w:val="231F20"/>
          <w:spacing w:val="-7"/>
        </w:rPr>
        <w:t> </w:t>
      </w:r>
      <w:r>
        <w:rPr>
          <w:color w:val="231F20"/>
          <w:spacing w:val="-6"/>
        </w:rPr>
        <w:t>indicated</w:t>
      </w:r>
      <w:r>
        <w:rPr>
          <w:color w:val="231F20"/>
          <w:spacing w:val="-7"/>
        </w:rPr>
        <w:t> </w:t>
      </w:r>
      <w:r>
        <w:rPr>
          <w:color w:val="231F20"/>
          <w:spacing w:val="-6"/>
        </w:rPr>
        <w:t>by</w:t>
      </w:r>
      <w:r>
        <w:rPr>
          <w:color w:val="231F20"/>
          <w:spacing w:val="-7"/>
        </w:rPr>
        <w:t> </w:t>
      </w:r>
      <w:r>
        <w:rPr>
          <w:color w:val="231F20"/>
          <w:spacing w:val="-6"/>
        </w:rPr>
        <w:t>the</w:t>
      </w:r>
      <w:r>
        <w:rPr>
          <w:color w:val="231F20"/>
          <w:spacing w:val="-7"/>
        </w:rPr>
        <w:t> </w:t>
      </w:r>
      <w:r>
        <w:rPr>
          <w:color w:val="231F20"/>
          <w:spacing w:val="-6"/>
        </w:rPr>
        <w:t>dispersion</w:t>
      </w:r>
      <w:r>
        <w:rPr>
          <w:color w:val="231F20"/>
          <w:spacing w:val="-7"/>
        </w:rPr>
        <w:t> </w:t>
      </w:r>
      <w:r>
        <w:rPr>
          <w:color w:val="231F20"/>
          <w:spacing w:val="-6"/>
        </w:rPr>
        <w:t>of </w:t>
      </w:r>
      <w:r>
        <w:rPr>
          <w:color w:val="231F20"/>
          <w:w w:val="90"/>
        </w:rPr>
        <w:t>scores within income groups (see figure 2.5). In </w:t>
      </w:r>
      <w:r>
        <w:rPr>
          <w:color w:val="231F20"/>
          <w:spacing w:val="-6"/>
        </w:rPr>
        <w:t>all</w:t>
      </w:r>
      <w:r>
        <w:rPr>
          <w:color w:val="231F20"/>
          <w:spacing w:val="-8"/>
        </w:rPr>
        <w:t> </w:t>
      </w:r>
      <w:r>
        <w:rPr>
          <w:color w:val="231F20"/>
          <w:spacing w:val="-6"/>
        </w:rPr>
        <w:t>groups,</w:t>
      </w:r>
      <w:r>
        <w:rPr>
          <w:color w:val="231F20"/>
          <w:spacing w:val="-7"/>
        </w:rPr>
        <w:t> </w:t>
      </w:r>
      <w:r>
        <w:rPr>
          <w:color w:val="231F20"/>
          <w:spacing w:val="-6"/>
        </w:rPr>
        <w:t>there</w:t>
      </w:r>
      <w:r>
        <w:rPr>
          <w:color w:val="231F20"/>
          <w:spacing w:val="-7"/>
        </w:rPr>
        <w:t> </w:t>
      </w:r>
      <w:r>
        <w:rPr>
          <w:color w:val="231F20"/>
          <w:spacing w:val="-6"/>
        </w:rPr>
        <w:t>is</w:t>
      </w:r>
      <w:r>
        <w:rPr>
          <w:color w:val="231F20"/>
          <w:spacing w:val="-7"/>
        </w:rPr>
        <w:t> </w:t>
      </w:r>
      <w:r>
        <w:rPr>
          <w:color w:val="231F20"/>
          <w:spacing w:val="-6"/>
        </w:rPr>
        <w:t>a</w:t>
      </w:r>
      <w:r>
        <w:rPr>
          <w:color w:val="231F20"/>
          <w:spacing w:val="-7"/>
        </w:rPr>
        <w:t> </w:t>
      </w:r>
      <w:r>
        <w:rPr>
          <w:color w:val="231F20"/>
          <w:spacing w:val="-6"/>
        </w:rPr>
        <w:t>wide</w:t>
      </w:r>
      <w:r>
        <w:rPr>
          <w:color w:val="231F20"/>
          <w:spacing w:val="-7"/>
        </w:rPr>
        <w:t> </w:t>
      </w:r>
      <w:r>
        <w:rPr>
          <w:color w:val="231F20"/>
          <w:spacing w:val="-6"/>
        </w:rPr>
        <w:t>range</w:t>
      </w:r>
      <w:r>
        <w:rPr>
          <w:color w:val="231F20"/>
          <w:spacing w:val="-7"/>
        </w:rPr>
        <w:t> </w:t>
      </w:r>
      <w:r>
        <w:rPr>
          <w:color w:val="231F20"/>
          <w:spacing w:val="-6"/>
        </w:rPr>
        <w:t>of</w:t>
      </w:r>
      <w:r>
        <w:rPr>
          <w:color w:val="231F20"/>
          <w:spacing w:val="-7"/>
        </w:rPr>
        <w:t> </w:t>
      </w:r>
      <w:r>
        <w:rPr>
          <w:color w:val="231F20"/>
          <w:spacing w:val="-6"/>
        </w:rPr>
        <w:t>country</w:t>
      </w:r>
      <w:r>
        <w:rPr>
          <w:color w:val="231F20"/>
          <w:spacing w:val="-8"/>
        </w:rPr>
        <w:t> </w:t>
      </w:r>
      <w:r>
        <w:rPr>
          <w:color w:val="231F20"/>
          <w:spacing w:val="-6"/>
        </w:rPr>
        <w:t>per- </w:t>
      </w:r>
      <w:r>
        <w:rPr>
          <w:color w:val="231F20"/>
          <w:spacing w:val="-4"/>
        </w:rPr>
        <w:t>formance.</w:t>
      </w:r>
      <w:r>
        <w:rPr>
          <w:color w:val="231F20"/>
          <w:spacing w:val="-6"/>
        </w:rPr>
        <w:t> </w:t>
      </w:r>
      <w:r>
        <w:rPr>
          <w:color w:val="231F20"/>
          <w:spacing w:val="-4"/>
        </w:rPr>
        <w:t>Clearly,</w:t>
      </w:r>
      <w:r>
        <w:rPr>
          <w:color w:val="231F20"/>
          <w:spacing w:val="-6"/>
        </w:rPr>
        <w:t> </w:t>
      </w:r>
      <w:r>
        <w:rPr>
          <w:color w:val="231F20"/>
          <w:spacing w:val="-4"/>
        </w:rPr>
        <w:t>a</w:t>
      </w:r>
      <w:r>
        <w:rPr>
          <w:color w:val="231F20"/>
          <w:spacing w:val="-6"/>
        </w:rPr>
        <w:t> </w:t>
      </w:r>
      <w:r>
        <w:rPr>
          <w:color w:val="231F20"/>
          <w:spacing w:val="-4"/>
        </w:rPr>
        <w:t>variety</w:t>
      </w:r>
      <w:r>
        <w:rPr>
          <w:color w:val="231F20"/>
          <w:spacing w:val="-6"/>
        </w:rPr>
        <w:t> </w:t>
      </w:r>
      <w:r>
        <w:rPr>
          <w:color w:val="231F20"/>
          <w:spacing w:val="-4"/>
        </w:rPr>
        <w:t>of</w:t>
      </w:r>
      <w:r>
        <w:rPr>
          <w:color w:val="231F20"/>
          <w:spacing w:val="-6"/>
        </w:rPr>
        <w:t> </w:t>
      </w:r>
      <w:r>
        <w:rPr>
          <w:color w:val="231F20"/>
          <w:spacing w:val="-4"/>
        </w:rPr>
        <w:t>factors</w:t>
      </w:r>
      <w:r>
        <w:rPr>
          <w:color w:val="231F20"/>
          <w:spacing w:val="-6"/>
        </w:rPr>
        <w:t> </w:t>
      </w:r>
      <w:r>
        <w:rPr>
          <w:color w:val="231F20"/>
          <w:spacing w:val="-4"/>
        </w:rPr>
        <w:t>beyond income,</w:t>
      </w:r>
      <w:r>
        <w:rPr>
          <w:color w:val="231F20"/>
          <w:spacing w:val="-10"/>
        </w:rPr>
        <w:t> </w:t>
      </w:r>
      <w:r>
        <w:rPr>
          <w:color w:val="231F20"/>
          <w:spacing w:val="-4"/>
        </w:rPr>
        <w:t>from</w:t>
      </w:r>
      <w:r>
        <w:rPr>
          <w:color w:val="231F20"/>
          <w:spacing w:val="-9"/>
        </w:rPr>
        <w:t> </w:t>
      </w:r>
      <w:r>
        <w:rPr>
          <w:color w:val="231F20"/>
          <w:spacing w:val="-4"/>
        </w:rPr>
        <w:t>policy</w:t>
      </w:r>
      <w:r>
        <w:rPr>
          <w:color w:val="231F20"/>
          <w:spacing w:val="-9"/>
        </w:rPr>
        <w:t> </w:t>
      </w:r>
      <w:r>
        <w:rPr>
          <w:color w:val="231F20"/>
          <w:spacing w:val="-4"/>
        </w:rPr>
        <w:t>to</w:t>
      </w:r>
      <w:r>
        <w:rPr>
          <w:color w:val="231F20"/>
          <w:spacing w:val="-9"/>
        </w:rPr>
        <w:t> </w:t>
      </w:r>
      <w:r>
        <w:rPr>
          <w:color w:val="231F20"/>
          <w:spacing w:val="-4"/>
        </w:rPr>
        <w:t>private</w:t>
      </w:r>
      <w:r>
        <w:rPr>
          <w:color w:val="231F20"/>
          <w:spacing w:val="-9"/>
        </w:rPr>
        <w:t> </w:t>
      </w:r>
      <w:r>
        <w:rPr>
          <w:color w:val="231F20"/>
          <w:spacing w:val="-4"/>
        </w:rPr>
        <w:t>sector</w:t>
      </w:r>
      <w:r>
        <w:rPr>
          <w:color w:val="231F20"/>
          <w:spacing w:val="-9"/>
        </w:rPr>
        <w:t> </w:t>
      </w:r>
      <w:r>
        <w:rPr>
          <w:color w:val="231F20"/>
          <w:spacing w:val="-4"/>
        </w:rPr>
        <w:t>develop- </w:t>
      </w:r>
      <w:r>
        <w:rPr>
          <w:color w:val="231F20"/>
        </w:rPr>
        <w:t>ment,</w:t>
      </w:r>
      <w:r>
        <w:rPr>
          <w:color w:val="231F20"/>
          <w:spacing w:val="-14"/>
        </w:rPr>
        <w:t> </w:t>
      </w:r>
      <w:r>
        <w:rPr>
          <w:color w:val="231F20"/>
        </w:rPr>
        <w:t>affect</w:t>
      </w:r>
      <w:r>
        <w:rPr>
          <w:color w:val="231F20"/>
          <w:spacing w:val="-13"/>
        </w:rPr>
        <w:t> </w:t>
      </w:r>
      <w:r>
        <w:rPr>
          <w:color w:val="231F20"/>
        </w:rPr>
        <w:t>logistics</w:t>
      </w:r>
      <w:r>
        <w:rPr>
          <w:color w:val="231F20"/>
          <w:spacing w:val="-13"/>
        </w:rPr>
        <w:t> </w:t>
      </w:r>
      <w:r>
        <w:rPr>
          <w:color w:val="231F20"/>
        </w:rPr>
        <w:t>performance.</w:t>
      </w:r>
    </w:p>
    <w:p>
      <w:pPr>
        <w:spacing w:after="0" w:line="268" w:lineRule="auto"/>
        <w:jc w:val="both"/>
        <w:sectPr>
          <w:type w:val="continuous"/>
          <w:pgSz w:w="12240" w:h="15840"/>
          <w:pgMar w:header="370" w:footer="548" w:top="1140" w:bottom="280" w:left="0" w:right="540"/>
          <w:cols w:num="2" w:equalWidth="0">
            <w:col w:w="7081" w:space="40"/>
            <w:col w:w="4579"/>
          </w:cols>
        </w:sectPr>
      </w:pPr>
    </w:p>
    <w:p>
      <w:pPr>
        <w:pStyle w:val="BodyText"/>
        <w:spacing w:before="42"/>
        <w:rPr>
          <w:sz w:val="20"/>
        </w:rPr>
      </w:pPr>
    </w:p>
    <w:p>
      <w:pPr>
        <w:tabs>
          <w:tab w:pos="7320" w:val="left" w:leader="none"/>
        </w:tabs>
        <w:spacing w:line="240" w:lineRule="auto"/>
        <w:ind w:left="720" w:right="0" w:firstLine="0"/>
        <w:rPr>
          <w:sz w:val="20"/>
        </w:rPr>
      </w:pPr>
      <w:r>
        <w:rPr>
          <w:position w:val="60"/>
          <w:sz w:val="20"/>
        </w:rPr>
        <mc:AlternateContent>
          <mc:Choice Requires="wps">
            <w:drawing>
              <wp:inline distT="0" distB="0" distL="0" distR="0">
                <wp:extent cx="4039235" cy="2735580"/>
                <wp:effectExtent l="0" t="9525" r="0" b="7619"/>
                <wp:docPr id="663" name="Group 663"/>
                <wp:cNvGraphicFramePr>
                  <a:graphicFrameLocks/>
                </wp:cNvGraphicFramePr>
                <a:graphic>
                  <a:graphicData uri="http://schemas.microsoft.com/office/word/2010/wordprocessingGroup">
                    <wpg:wgp>
                      <wpg:cNvPr id="663" name="Group 663"/>
                      <wpg:cNvGrpSpPr/>
                      <wpg:grpSpPr>
                        <a:xfrm>
                          <a:off x="0" y="0"/>
                          <a:ext cx="4039235" cy="2735580"/>
                          <a:chExt cx="4039235" cy="2735580"/>
                        </a:xfrm>
                      </wpg:grpSpPr>
                      <wps:wsp>
                        <wps:cNvPr id="664" name="Graphic 664"/>
                        <wps:cNvSpPr/>
                        <wps:spPr>
                          <a:xfrm>
                            <a:off x="198" y="258093"/>
                            <a:ext cx="4038600" cy="2477135"/>
                          </a:xfrm>
                          <a:custGeom>
                            <a:avLst/>
                            <a:gdLst/>
                            <a:ahLst/>
                            <a:cxnLst/>
                            <a:rect l="l" t="t" r="r" b="b"/>
                            <a:pathLst>
                              <a:path w="4038600" h="2477135">
                                <a:moveTo>
                                  <a:pt x="4038600" y="0"/>
                                </a:moveTo>
                                <a:lnTo>
                                  <a:pt x="0" y="0"/>
                                </a:lnTo>
                                <a:lnTo>
                                  <a:pt x="0" y="2402205"/>
                                </a:lnTo>
                                <a:lnTo>
                                  <a:pt x="6159" y="2431303"/>
                                </a:lnTo>
                                <a:lnTo>
                                  <a:pt x="22693" y="2455063"/>
                                </a:lnTo>
                                <a:lnTo>
                                  <a:pt x="46682" y="2471083"/>
                                </a:lnTo>
                                <a:lnTo>
                                  <a:pt x="75209" y="2476957"/>
                                </a:lnTo>
                                <a:lnTo>
                                  <a:pt x="3959720" y="2476957"/>
                                </a:lnTo>
                                <a:lnTo>
                                  <a:pt x="3988820" y="2471702"/>
                                </a:lnTo>
                                <a:lnTo>
                                  <a:pt x="4014071" y="2456716"/>
                                </a:lnTo>
                                <a:lnTo>
                                  <a:pt x="4031866" y="2433162"/>
                                </a:lnTo>
                                <a:lnTo>
                                  <a:pt x="4038600" y="2402205"/>
                                </a:lnTo>
                                <a:lnTo>
                                  <a:pt x="4038600" y="0"/>
                                </a:lnTo>
                                <a:close/>
                              </a:path>
                            </a:pathLst>
                          </a:custGeom>
                          <a:solidFill>
                            <a:srgbClr val="DFEAF7"/>
                          </a:solidFill>
                        </wps:spPr>
                        <wps:bodyPr wrap="square" lIns="0" tIns="0" rIns="0" bIns="0" rtlCol="0">
                          <a:prstTxWarp prst="textNoShape">
                            <a:avLst/>
                          </a:prstTxWarp>
                          <a:noAutofit/>
                        </wps:bodyPr>
                      </wps:wsp>
                      <wps:wsp>
                        <wps:cNvPr id="665" name="Graphic 665"/>
                        <wps:cNvSpPr/>
                        <wps:spPr>
                          <a:xfrm>
                            <a:off x="0" y="0"/>
                            <a:ext cx="512445" cy="231775"/>
                          </a:xfrm>
                          <a:custGeom>
                            <a:avLst/>
                            <a:gdLst/>
                            <a:ahLst/>
                            <a:cxnLst/>
                            <a:rect l="l" t="t" r="r" b="b"/>
                            <a:pathLst>
                              <a:path w="512445" h="231775">
                                <a:moveTo>
                                  <a:pt x="512178" y="0"/>
                                </a:moveTo>
                                <a:lnTo>
                                  <a:pt x="76200" y="0"/>
                                </a:lnTo>
                                <a:lnTo>
                                  <a:pt x="47213" y="3058"/>
                                </a:lnTo>
                                <a:lnTo>
                                  <a:pt x="22917" y="14506"/>
                                </a:lnTo>
                                <a:lnTo>
                                  <a:pt x="6212" y="37751"/>
                                </a:lnTo>
                                <a:lnTo>
                                  <a:pt x="0" y="76200"/>
                                </a:lnTo>
                                <a:lnTo>
                                  <a:pt x="0" y="231775"/>
                                </a:lnTo>
                                <a:lnTo>
                                  <a:pt x="512178" y="231775"/>
                                </a:lnTo>
                                <a:lnTo>
                                  <a:pt x="512178" y="0"/>
                                </a:lnTo>
                                <a:close/>
                              </a:path>
                            </a:pathLst>
                          </a:custGeom>
                          <a:solidFill>
                            <a:srgbClr val="008FDD"/>
                          </a:solidFill>
                        </wps:spPr>
                        <wps:bodyPr wrap="square" lIns="0" tIns="0" rIns="0" bIns="0" rtlCol="0">
                          <a:prstTxWarp prst="textNoShape">
                            <a:avLst/>
                          </a:prstTxWarp>
                          <a:noAutofit/>
                        </wps:bodyPr>
                      </wps:wsp>
                      <wps:wsp>
                        <wps:cNvPr id="666" name="Graphic 666"/>
                        <wps:cNvSpPr/>
                        <wps:spPr>
                          <a:xfrm>
                            <a:off x="512178" y="0"/>
                            <a:ext cx="3526154" cy="231775"/>
                          </a:xfrm>
                          <a:custGeom>
                            <a:avLst/>
                            <a:gdLst/>
                            <a:ahLst/>
                            <a:cxnLst/>
                            <a:rect l="l" t="t" r="r" b="b"/>
                            <a:pathLst>
                              <a:path w="3526154" h="231775">
                                <a:moveTo>
                                  <a:pt x="3449726" y="0"/>
                                </a:moveTo>
                                <a:lnTo>
                                  <a:pt x="0" y="0"/>
                                </a:lnTo>
                                <a:lnTo>
                                  <a:pt x="0" y="231775"/>
                                </a:lnTo>
                                <a:lnTo>
                                  <a:pt x="3525926" y="231775"/>
                                </a:lnTo>
                                <a:lnTo>
                                  <a:pt x="3525926" y="76200"/>
                                </a:lnTo>
                                <a:lnTo>
                                  <a:pt x="3520420" y="50979"/>
                                </a:lnTo>
                                <a:lnTo>
                                  <a:pt x="3504895" y="26265"/>
                                </a:lnTo>
                                <a:lnTo>
                                  <a:pt x="3480835" y="7468"/>
                                </a:lnTo>
                                <a:lnTo>
                                  <a:pt x="3449726" y="0"/>
                                </a:lnTo>
                                <a:close/>
                              </a:path>
                            </a:pathLst>
                          </a:custGeom>
                          <a:solidFill>
                            <a:srgbClr val="808285"/>
                          </a:solidFill>
                        </wps:spPr>
                        <wps:bodyPr wrap="square" lIns="0" tIns="0" rIns="0" bIns="0" rtlCol="0">
                          <a:prstTxWarp prst="textNoShape">
                            <a:avLst/>
                          </a:prstTxWarp>
                          <a:noAutofit/>
                        </wps:bodyPr>
                      </wps:wsp>
                      <wps:wsp>
                        <wps:cNvPr id="667" name="Graphic 667"/>
                        <wps:cNvSpPr/>
                        <wps:spPr>
                          <a:xfrm>
                            <a:off x="512179"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wps:wsp>
                        <wps:cNvPr id="668" name="Graphic 668"/>
                        <wps:cNvSpPr/>
                        <wps:spPr>
                          <a:xfrm>
                            <a:off x="274403" y="2359124"/>
                            <a:ext cx="3620135" cy="1270"/>
                          </a:xfrm>
                          <a:custGeom>
                            <a:avLst/>
                            <a:gdLst/>
                            <a:ahLst/>
                            <a:cxnLst/>
                            <a:rect l="l" t="t" r="r" b="b"/>
                            <a:pathLst>
                              <a:path w="3620135" h="0">
                                <a:moveTo>
                                  <a:pt x="0" y="0"/>
                                </a:moveTo>
                                <a:lnTo>
                                  <a:pt x="3619893" y="0"/>
                                </a:lnTo>
                              </a:path>
                              <a:path w="3620135" h="0">
                                <a:moveTo>
                                  <a:pt x="0" y="0"/>
                                </a:moveTo>
                                <a:lnTo>
                                  <a:pt x="3619893" y="0"/>
                                </a:lnTo>
                              </a:path>
                            </a:pathLst>
                          </a:custGeom>
                          <a:ln w="6350">
                            <a:solidFill>
                              <a:srgbClr val="FFFFFF"/>
                            </a:solidFill>
                            <a:prstDash val="solid"/>
                          </a:ln>
                        </wps:spPr>
                        <wps:bodyPr wrap="square" lIns="0" tIns="0" rIns="0" bIns="0" rtlCol="0">
                          <a:prstTxWarp prst="textNoShape">
                            <a:avLst/>
                          </a:prstTxWarp>
                          <a:noAutofit/>
                        </wps:bodyPr>
                      </wps:wsp>
                      <wps:wsp>
                        <wps:cNvPr id="669" name="Graphic 669"/>
                        <wps:cNvSpPr/>
                        <wps:spPr>
                          <a:xfrm>
                            <a:off x="274403" y="1012657"/>
                            <a:ext cx="3620135" cy="897890"/>
                          </a:xfrm>
                          <a:custGeom>
                            <a:avLst/>
                            <a:gdLst/>
                            <a:ahLst/>
                            <a:cxnLst/>
                            <a:rect l="l" t="t" r="r" b="b"/>
                            <a:pathLst>
                              <a:path w="3620135" h="897890">
                                <a:moveTo>
                                  <a:pt x="0" y="897644"/>
                                </a:moveTo>
                                <a:lnTo>
                                  <a:pt x="96575" y="897644"/>
                                </a:lnTo>
                              </a:path>
                              <a:path w="3620135" h="897890">
                                <a:moveTo>
                                  <a:pt x="637646" y="897644"/>
                                </a:moveTo>
                                <a:lnTo>
                                  <a:pt x="818964" y="897644"/>
                                </a:lnTo>
                              </a:path>
                              <a:path w="3620135" h="897890">
                                <a:moveTo>
                                  <a:pt x="1360048" y="897644"/>
                                </a:moveTo>
                                <a:lnTo>
                                  <a:pt x="1541238" y="897644"/>
                                </a:lnTo>
                              </a:path>
                              <a:path w="3620135" h="897890">
                                <a:moveTo>
                                  <a:pt x="2082309" y="897644"/>
                                </a:moveTo>
                                <a:lnTo>
                                  <a:pt x="2263614" y="897644"/>
                                </a:lnTo>
                              </a:path>
                              <a:path w="3620135" h="897890">
                                <a:moveTo>
                                  <a:pt x="2804698" y="897644"/>
                                </a:moveTo>
                                <a:lnTo>
                                  <a:pt x="2985889" y="897644"/>
                                </a:lnTo>
                              </a:path>
                              <a:path w="3620135" h="897890">
                                <a:moveTo>
                                  <a:pt x="3526960" y="897644"/>
                                </a:moveTo>
                                <a:lnTo>
                                  <a:pt x="3619893" y="897644"/>
                                </a:lnTo>
                              </a:path>
                              <a:path w="3620135" h="897890">
                                <a:moveTo>
                                  <a:pt x="0" y="448823"/>
                                </a:moveTo>
                                <a:lnTo>
                                  <a:pt x="818964" y="448823"/>
                                </a:lnTo>
                              </a:path>
                              <a:path w="3620135" h="897890">
                                <a:moveTo>
                                  <a:pt x="1360048" y="448823"/>
                                </a:moveTo>
                                <a:lnTo>
                                  <a:pt x="1541238" y="448823"/>
                                </a:lnTo>
                              </a:path>
                              <a:path w="3620135" h="897890">
                                <a:moveTo>
                                  <a:pt x="2082309" y="448823"/>
                                </a:moveTo>
                                <a:lnTo>
                                  <a:pt x="2263614" y="448823"/>
                                </a:lnTo>
                              </a:path>
                              <a:path w="3620135" h="897890">
                                <a:moveTo>
                                  <a:pt x="2804698" y="448823"/>
                                </a:moveTo>
                                <a:lnTo>
                                  <a:pt x="2985889" y="448823"/>
                                </a:lnTo>
                              </a:path>
                              <a:path w="3620135" h="897890">
                                <a:moveTo>
                                  <a:pt x="3526960" y="448823"/>
                                </a:moveTo>
                                <a:lnTo>
                                  <a:pt x="3619893" y="448823"/>
                                </a:lnTo>
                              </a:path>
                              <a:path w="3620135" h="897890">
                                <a:moveTo>
                                  <a:pt x="0" y="0"/>
                                </a:moveTo>
                                <a:lnTo>
                                  <a:pt x="2985889" y="0"/>
                                </a:lnTo>
                              </a:path>
                              <a:path w="3620135" h="897890">
                                <a:moveTo>
                                  <a:pt x="3526960" y="0"/>
                                </a:moveTo>
                                <a:lnTo>
                                  <a:pt x="3619893" y="0"/>
                                </a:lnTo>
                              </a:path>
                            </a:pathLst>
                          </a:custGeom>
                          <a:ln w="6350">
                            <a:solidFill>
                              <a:srgbClr val="FFFFFF"/>
                            </a:solidFill>
                            <a:prstDash val="solid"/>
                          </a:ln>
                        </wps:spPr>
                        <wps:bodyPr wrap="square" lIns="0" tIns="0" rIns="0" bIns="0" rtlCol="0">
                          <a:prstTxWarp prst="textNoShape">
                            <a:avLst/>
                          </a:prstTxWarp>
                          <a:noAutofit/>
                        </wps:bodyPr>
                      </wps:wsp>
                      <wps:wsp>
                        <wps:cNvPr id="670" name="Graphic 670"/>
                        <wps:cNvSpPr/>
                        <wps:spPr>
                          <a:xfrm>
                            <a:off x="274403" y="563835"/>
                            <a:ext cx="3620135" cy="1270"/>
                          </a:xfrm>
                          <a:custGeom>
                            <a:avLst/>
                            <a:gdLst/>
                            <a:ahLst/>
                            <a:cxnLst/>
                            <a:rect l="l" t="t" r="r" b="b"/>
                            <a:pathLst>
                              <a:path w="3620135" h="0">
                                <a:moveTo>
                                  <a:pt x="0" y="0"/>
                                </a:moveTo>
                                <a:lnTo>
                                  <a:pt x="3619893" y="0"/>
                                </a:lnTo>
                              </a:path>
                            </a:pathLst>
                          </a:custGeom>
                          <a:ln w="6350">
                            <a:solidFill>
                              <a:srgbClr val="FFFFFF"/>
                            </a:solidFill>
                            <a:prstDash val="solid"/>
                          </a:ln>
                        </wps:spPr>
                        <wps:bodyPr wrap="square" lIns="0" tIns="0" rIns="0" bIns="0" rtlCol="0">
                          <a:prstTxWarp prst="textNoShape">
                            <a:avLst/>
                          </a:prstTxWarp>
                          <a:noAutofit/>
                        </wps:bodyPr>
                      </wps:wsp>
                      <wps:wsp>
                        <wps:cNvPr id="671" name="Graphic 671"/>
                        <wps:cNvSpPr/>
                        <wps:spPr>
                          <a:xfrm>
                            <a:off x="3619487" y="386295"/>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008FDD"/>
                          </a:solidFill>
                        </wps:spPr>
                        <wps:bodyPr wrap="square" lIns="0" tIns="0" rIns="0" bIns="0" rtlCol="0">
                          <a:prstTxWarp prst="textNoShape">
                            <a:avLst/>
                          </a:prstTxWarp>
                          <a:noAutofit/>
                        </wps:bodyPr>
                      </wps:wsp>
                      <wps:wsp>
                        <wps:cNvPr id="672" name="Graphic 672"/>
                        <wps:cNvSpPr/>
                        <wps:spPr>
                          <a:xfrm>
                            <a:off x="370979" y="386295"/>
                            <a:ext cx="2974975" cy="1972945"/>
                          </a:xfrm>
                          <a:custGeom>
                            <a:avLst/>
                            <a:gdLst/>
                            <a:ahLst/>
                            <a:cxnLst/>
                            <a:rect l="l" t="t" r="r" b="b"/>
                            <a:pathLst>
                              <a:path w="2974975" h="1972945">
                                <a:moveTo>
                                  <a:pt x="270535" y="1162151"/>
                                </a:moveTo>
                                <a:lnTo>
                                  <a:pt x="0" y="1162151"/>
                                </a:lnTo>
                                <a:lnTo>
                                  <a:pt x="0" y="1972818"/>
                                </a:lnTo>
                                <a:lnTo>
                                  <a:pt x="270535" y="1972818"/>
                                </a:lnTo>
                                <a:lnTo>
                                  <a:pt x="270535" y="1162151"/>
                                </a:lnTo>
                                <a:close/>
                              </a:path>
                              <a:path w="2974975" h="1972945">
                                <a:moveTo>
                                  <a:pt x="2974657" y="0"/>
                                </a:moveTo>
                                <a:lnTo>
                                  <a:pt x="2923857" y="0"/>
                                </a:lnTo>
                                <a:lnTo>
                                  <a:pt x="2923857" y="50800"/>
                                </a:lnTo>
                                <a:lnTo>
                                  <a:pt x="2974657" y="50800"/>
                                </a:lnTo>
                                <a:lnTo>
                                  <a:pt x="2974657" y="0"/>
                                </a:lnTo>
                                <a:close/>
                              </a:path>
                            </a:pathLst>
                          </a:custGeom>
                          <a:solidFill>
                            <a:srgbClr val="76AEE5"/>
                          </a:solidFill>
                        </wps:spPr>
                        <wps:bodyPr wrap="square" lIns="0" tIns="0" rIns="0" bIns="0" rtlCol="0">
                          <a:prstTxWarp prst="textNoShape">
                            <a:avLst/>
                          </a:prstTxWarp>
                          <a:noAutofit/>
                        </wps:bodyPr>
                      </wps:wsp>
                      <wps:wsp>
                        <wps:cNvPr id="673" name="Graphic 673"/>
                        <wps:cNvSpPr/>
                        <wps:spPr>
                          <a:xfrm>
                            <a:off x="370975" y="1548447"/>
                            <a:ext cx="271145" cy="810895"/>
                          </a:xfrm>
                          <a:custGeom>
                            <a:avLst/>
                            <a:gdLst/>
                            <a:ahLst/>
                            <a:cxnLst/>
                            <a:rect l="l" t="t" r="r" b="b"/>
                            <a:pathLst>
                              <a:path w="271145" h="810895">
                                <a:moveTo>
                                  <a:pt x="0" y="0"/>
                                </a:moveTo>
                                <a:lnTo>
                                  <a:pt x="270535" y="0"/>
                                </a:lnTo>
                                <a:lnTo>
                                  <a:pt x="270535" y="810666"/>
                                </a:lnTo>
                                <a:lnTo>
                                  <a:pt x="0" y="810666"/>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674" name="Graphic 674"/>
                        <wps:cNvSpPr/>
                        <wps:spPr>
                          <a:xfrm>
                            <a:off x="1093368" y="1389176"/>
                            <a:ext cx="271145" cy="970280"/>
                          </a:xfrm>
                          <a:custGeom>
                            <a:avLst/>
                            <a:gdLst/>
                            <a:ahLst/>
                            <a:cxnLst/>
                            <a:rect l="l" t="t" r="r" b="b"/>
                            <a:pathLst>
                              <a:path w="271145" h="970280">
                                <a:moveTo>
                                  <a:pt x="270535" y="0"/>
                                </a:moveTo>
                                <a:lnTo>
                                  <a:pt x="0" y="0"/>
                                </a:lnTo>
                                <a:lnTo>
                                  <a:pt x="0" y="969937"/>
                                </a:lnTo>
                                <a:lnTo>
                                  <a:pt x="270535" y="969937"/>
                                </a:lnTo>
                                <a:lnTo>
                                  <a:pt x="270535" y="0"/>
                                </a:lnTo>
                                <a:close/>
                              </a:path>
                            </a:pathLst>
                          </a:custGeom>
                          <a:solidFill>
                            <a:srgbClr val="76AEE5"/>
                          </a:solidFill>
                        </wps:spPr>
                        <wps:bodyPr wrap="square" lIns="0" tIns="0" rIns="0" bIns="0" rtlCol="0">
                          <a:prstTxWarp prst="textNoShape">
                            <a:avLst/>
                          </a:prstTxWarp>
                          <a:noAutofit/>
                        </wps:bodyPr>
                      </wps:wsp>
                      <wps:wsp>
                        <wps:cNvPr id="675" name="Graphic 675"/>
                        <wps:cNvSpPr/>
                        <wps:spPr>
                          <a:xfrm>
                            <a:off x="1093364" y="1389176"/>
                            <a:ext cx="271145" cy="970280"/>
                          </a:xfrm>
                          <a:custGeom>
                            <a:avLst/>
                            <a:gdLst/>
                            <a:ahLst/>
                            <a:cxnLst/>
                            <a:rect l="l" t="t" r="r" b="b"/>
                            <a:pathLst>
                              <a:path w="271145" h="970280">
                                <a:moveTo>
                                  <a:pt x="0" y="0"/>
                                </a:moveTo>
                                <a:lnTo>
                                  <a:pt x="270535" y="0"/>
                                </a:lnTo>
                                <a:lnTo>
                                  <a:pt x="270535" y="969937"/>
                                </a:lnTo>
                                <a:lnTo>
                                  <a:pt x="0" y="969937"/>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676" name="Graphic 676"/>
                        <wps:cNvSpPr/>
                        <wps:spPr>
                          <a:xfrm>
                            <a:off x="1815642" y="1263129"/>
                            <a:ext cx="271145" cy="1096010"/>
                          </a:xfrm>
                          <a:custGeom>
                            <a:avLst/>
                            <a:gdLst/>
                            <a:ahLst/>
                            <a:cxnLst/>
                            <a:rect l="l" t="t" r="r" b="b"/>
                            <a:pathLst>
                              <a:path w="271145" h="1096010">
                                <a:moveTo>
                                  <a:pt x="270535" y="0"/>
                                </a:moveTo>
                                <a:lnTo>
                                  <a:pt x="0" y="0"/>
                                </a:lnTo>
                                <a:lnTo>
                                  <a:pt x="0" y="1095984"/>
                                </a:lnTo>
                                <a:lnTo>
                                  <a:pt x="270535" y="1095984"/>
                                </a:lnTo>
                                <a:lnTo>
                                  <a:pt x="270535" y="0"/>
                                </a:lnTo>
                                <a:close/>
                              </a:path>
                            </a:pathLst>
                          </a:custGeom>
                          <a:solidFill>
                            <a:srgbClr val="76AEE5"/>
                          </a:solidFill>
                        </wps:spPr>
                        <wps:bodyPr wrap="square" lIns="0" tIns="0" rIns="0" bIns="0" rtlCol="0">
                          <a:prstTxWarp prst="textNoShape">
                            <a:avLst/>
                          </a:prstTxWarp>
                          <a:noAutofit/>
                        </wps:bodyPr>
                      </wps:wsp>
                      <wps:wsp>
                        <wps:cNvPr id="677" name="Graphic 677"/>
                        <wps:cNvSpPr/>
                        <wps:spPr>
                          <a:xfrm>
                            <a:off x="1815638" y="1263129"/>
                            <a:ext cx="271145" cy="1096010"/>
                          </a:xfrm>
                          <a:custGeom>
                            <a:avLst/>
                            <a:gdLst/>
                            <a:ahLst/>
                            <a:cxnLst/>
                            <a:rect l="l" t="t" r="r" b="b"/>
                            <a:pathLst>
                              <a:path w="271145" h="1096010">
                                <a:moveTo>
                                  <a:pt x="0" y="0"/>
                                </a:moveTo>
                                <a:lnTo>
                                  <a:pt x="270535" y="0"/>
                                </a:lnTo>
                                <a:lnTo>
                                  <a:pt x="270535" y="1095984"/>
                                </a:lnTo>
                                <a:lnTo>
                                  <a:pt x="0" y="1095984"/>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678" name="Graphic 678"/>
                        <wps:cNvSpPr/>
                        <wps:spPr>
                          <a:xfrm>
                            <a:off x="2538018" y="1128344"/>
                            <a:ext cx="271145" cy="1231265"/>
                          </a:xfrm>
                          <a:custGeom>
                            <a:avLst/>
                            <a:gdLst/>
                            <a:ahLst/>
                            <a:cxnLst/>
                            <a:rect l="l" t="t" r="r" b="b"/>
                            <a:pathLst>
                              <a:path w="271145" h="1231265">
                                <a:moveTo>
                                  <a:pt x="270535" y="0"/>
                                </a:moveTo>
                                <a:lnTo>
                                  <a:pt x="0" y="0"/>
                                </a:lnTo>
                                <a:lnTo>
                                  <a:pt x="0" y="1230782"/>
                                </a:lnTo>
                                <a:lnTo>
                                  <a:pt x="270535" y="1230782"/>
                                </a:lnTo>
                                <a:lnTo>
                                  <a:pt x="270535" y="0"/>
                                </a:lnTo>
                                <a:close/>
                              </a:path>
                            </a:pathLst>
                          </a:custGeom>
                          <a:solidFill>
                            <a:srgbClr val="76AEE5"/>
                          </a:solidFill>
                        </wps:spPr>
                        <wps:bodyPr wrap="square" lIns="0" tIns="0" rIns="0" bIns="0" rtlCol="0">
                          <a:prstTxWarp prst="textNoShape">
                            <a:avLst/>
                          </a:prstTxWarp>
                          <a:noAutofit/>
                        </wps:bodyPr>
                      </wps:wsp>
                      <wps:wsp>
                        <wps:cNvPr id="679" name="Graphic 679"/>
                        <wps:cNvSpPr/>
                        <wps:spPr>
                          <a:xfrm>
                            <a:off x="2538015" y="1128344"/>
                            <a:ext cx="271145" cy="1231265"/>
                          </a:xfrm>
                          <a:custGeom>
                            <a:avLst/>
                            <a:gdLst/>
                            <a:ahLst/>
                            <a:cxnLst/>
                            <a:rect l="l" t="t" r="r" b="b"/>
                            <a:pathLst>
                              <a:path w="271145" h="1231265">
                                <a:moveTo>
                                  <a:pt x="0" y="0"/>
                                </a:moveTo>
                                <a:lnTo>
                                  <a:pt x="270535" y="0"/>
                                </a:lnTo>
                                <a:lnTo>
                                  <a:pt x="270535" y="1230782"/>
                                </a:lnTo>
                                <a:lnTo>
                                  <a:pt x="0" y="1230782"/>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680" name="Graphic 680"/>
                        <wps:cNvSpPr/>
                        <wps:spPr>
                          <a:xfrm>
                            <a:off x="3260293" y="887234"/>
                            <a:ext cx="271145" cy="1471930"/>
                          </a:xfrm>
                          <a:custGeom>
                            <a:avLst/>
                            <a:gdLst/>
                            <a:ahLst/>
                            <a:cxnLst/>
                            <a:rect l="l" t="t" r="r" b="b"/>
                            <a:pathLst>
                              <a:path w="271145" h="1471930">
                                <a:moveTo>
                                  <a:pt x="270535" y="0"/>
                                </a:moveTo>
                                <a:lnTo>
                                  <a:pt x="0" y="0"/>
                                </a:lnTo>
                                <a:lnTo>
                                  <a:pt x="0" y="1471891"/>
                                </a:lnTo>
                                <a:lnTo>
                                  <a:pt x="270535" y="1471891"/>
                                </a:lnTo>
                                <a:lnTo>
                                  <a:pt x="270535" y="0"/>
                                </a:lnTo>
                                <a:close/>
                              </a:path>
                            </a:pathLst>
                          </a:custGeom>
                          <a:solidFill>
                            <a:srgbClr val="76AEE5"/>
                          </a:solidFill>
                        </wps:spPr>
                        <wps:bodyPr wrap="square" lIns="0" tIns="0" rIns="0" bIns="0" rtlCol="0">
                          <a:prstTxWarp prst="textNoShape">
                            <a:avLst/>
                          </a:prstTxWarp>
                          <a:noAutofit/>
                        </wps:bodyPr>
                      </wps:wsp>
                      <wps:wsp>
                        <wps:cNvPr id="681" name="Graphic 681"/>
                        <wps:cNvSpPr/>
                        <wps:spPr>
                          <a:xfrm>
                            <a:off x="3260289" y="887234"/>
                            <a:ext cx="271145" cy="1471930"/>
                          </a:xfrm>
                          <a:custGeom>
                            <a:avLst/>
                            <a:gdLst/>
                            <a:ahLst/>
                            <a:cxnLst/>
                            <a:rect l="l" t="t" r="r" b="b"/>
                            <a:pathLst>
                              <a:path w="271145" h="1471930">
                                <a:moveTo>
                                  <a:pt x="0" y="0"/>
                                </a:moveTo>
                                <a:lnTo>
                                  <a:pt x="270535" y="0"/>
                                </a:lnTo>
                                <a:lnTo>
                                  <a:pt x="270535" y="1471891"/>
                                </a:lnTo>
                                <a:lnTo>
                                  <a:pt x="0" y="1471891"/>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682" name="Graphic 682"/>
                        <wps:cNvSpPr/>
                        <wps:spPr>
                          <a:xfrm>
                            <a:off x="1363916" y="1411935"/>
                            <a:ext cx="271145" cy="947419"/>
                          </a:xfrm>
                          <a:custGeom>
                            <a:avLst/>
                            <a:gdLst/>
                            <a:ahLst/>
                            <a:cxnLst/>
                            <a:rect l="l" t="t" r="r" b="b"/>
                            <a:pathLst>
                              <a:path w="271145" h="947419">
                                <a:moveTo>
                                  <a:pt x="270535" y="0"/>
                                </a:moveTo>
                                <a:lnTo>
                                  <a:pt x="0" y="0"/>
                                </a:lnTo>
                                <a:lnTo>
                                  <a:pt x="0" y="947178"/>
                                </a:lnTo>
                                <a:lnTo>
                                  <a:pt x="270535" y="947178"/>
                                </a:lnTo>
                                <a:lnTo>
                                  <a:pt x="270535" y="0"/>
                                </a:lnTo>
                                <a:close/>
                              </a:path>
                            </a:pathLst>
                          </a:custGeom>
                          <a:solidFill>
                            <a:srgbClr val="008FDD"/>
                          </a:solidFill>
                        </wps:spPr>
                        <wps:bodyPr wrap="square" lIns="0" tIns="0" rIns="0" bIns="0" rtlCol="0">
                          <a:prstTxWarp prst="textNoShape">
                            <a:avLst/>
                          </a:prstTxWarp>
                          <a:noAutofit/>
                        </wps:bodyPr>
                      </wps:wsp>
                      <wps:wsp>
                        <wps:cNvPr id="683" name="Graphic 683"/>
                        <wps:cNvSpPr/>
                        <wps:spPr>
                          <a:xfrm>
                            <a:off x="1363912" y="1411935"/>
                            <a:ext cx="271145" cy="947419"/>
                          </a:xfrm>
                          <a:custGeom>
                            <a:avLst/>
                            <a:gdLst/>
                            <a:ahLst/>
                            <a:cxnLst/>
                            <a:rect l="l" t="t" r="r" b="b"/>
                            <a:pathLst>
                              <a:path w="271145" h="947419">
                                <a:moveTo>
                                  <a:pt x="0" y="0"/>
                                </a:moveTo>
                                <a:lnTo>
                                  <a:pt x="270535" y="0"/>
                                </a:lnTo>
                                <a:lnTo>
                                  <a:pt x="270535" y="947178"/>
                                </a:lnTo>
                                <a:lnTo>
                                  <a:pt x="0" y="947178"/>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684" name="Graphic 684"/>
                        <wps:cNvSpPr/>
                        <wps:spPr>
                          <a:xfrm>
                            <a:off x="641515" y="1589100"/>
                            <a:ext cx="271145" cy="770255"/>
                          </a:xfrm>
                          <a:custGeom>
                            <a:avLst/>
                            <a:gdLst/>
                            <a:ahLst/>
                            <a:cxnLst/>
                            <a:rect l="l" t="t" r="r" b="b"/>
                            <a:pathLst>
                              <a:path w="271145" h="770255">
                                <a:moveTo>
                                  <a:pt x="270535" y="0"/>
                                </a:moveTo>
                                <a:lnTo>
                                  <a:pt x="0" y="0"/>
                                </a:lnTo>
                                <a:lnTo>
                                  <a:pt x="0" y="770026"/>
                                </a:lnTo>
                                <a:lnTo>
                                  <a:pt x="270535" y="770026"/>
                                </a:lnTo>
                                <a:lnTo>
                                  <a:pt x="270535" y="0"/>
                                </a:lnTo>
                                <a:close/>
                              </a:path>
                            </a:pathLst>
                          </a:custGeom>
                          <a:solidFill>
                            <a:srgbClr val="008FDD"/>
                          </a:solidFill>
                        </wps:spPr>
                        <wps:bodyPr wrap="square" lIns="0" tIns="0" rIns="0" bIns="0" rtlCol="0">
                          <a:prstTxWarp prst="textNoShape">
                            <a:avLst/>
                          </a:prstTxWarp>
                          <a:noAutofit/>
                        </wps:bodyPr>
                      </wps:wsp>
                      <wps:wsp>
                        <wps:cNvPr id="685" name="Graphic 685"/>
                        <wps:cNvSpPr/>
                        <wps:spPr>
                          <a:xfrm>
                            <a:off x="641511" y="1589100"/>
                            <a:ext cx="271145" cy="770255"/>
                          </a:xfrm>
                          <a:custGeom>
                            <a:avLst/>
                            <a:gdLst/>
                            <a:ahLst/>
                            <a:cxnLst/>
                            <a:rect l="l" t="t" r="r" b="b"/>
                            <a:pathLst>
                              <a:path w="271145" h="770255">
                                <a:moveTo>
                                  <a:pt x="0" y="0"/>
                                </a:moveTo>
                                <a:lnTo>
                                  <a:pt x="270535" y="0"/>
                                </a:lnTo>
                                <a:lnTo>
                                  <a:pt x="270535" y="770026"/>
                                </a:lnTo>
                                <a:lnTo>
                                  <a:pt x="0" y="770026"/>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686" name="Graphic 686"/>
                        <wps:cNvSpPr/>
                        <wps:spPr>
                          <a:xfrm>
                            <a:off x="2086178" y="1282649"/>
                            <a:ext cx="271145" cy="1076960"/>
                          </a:xfrm>
                          <a:custGeom>
                            <a:avLst/>
                            <a:gdLst/>
                            <a:ahLst/>
                            <a:cxnLst/>
                            <a:rect l="l" t="t" r="r" b="b"/>
                            <a:pathLst>
                              <a:path w="271145" h="1076960">
                                <a:moveTo>
                                  <a:pt x="270535" y="0"/>
                                </a:moveTo>
                                <a:lnTo>
                                  <a:pt x="0" y="0"/>
                                </a:lnTo>
                                <a:lnTo>
                                  <a:pt x="0" y="1076477"/>
                                </a:lnTo>
                                <a:lnTo>
                                  <a:pt x="270535" y="1076477"/>
                                </a:lnTo>
                                <a:lnTo>
                                  <a:pt x="270535" y="0"/>
                                </a:lnTo>
                                <a:close/>
                              </a:path>
                            </a:pathLst>
                          </a:custGeom>
                          <a:solidFill>
                            <a:srgbClr val="008FDD"/>
                          </a:solidFill>
                        </wps:spPr>
                        <wps:bodyPr wrap="square" lIns="0" tIns="0" rIns="0" bIns="0" rtlCol="0">
                          <a:prstTxWarp prst="textNoShape">
                            <a:avLst/>
                          </a:prstTxWarp>
                          <a:noAutofit/>
                        </wps:bodyPr>
                      </wps:wsp>
                      <wps:wsp>
                        <wps:cNvPr id="687" name="Graphic 687"/>
                        <wps:cNvSpPr/>
                        <wps:spPr>
                          <a:xfrm>
                            <a:off x="2086174" y="1282649"/>
                            <a:ext cx="271145" cy="1076960"/>
                          </a:xfrm>
                          <a:custGeom>
                            <a:avLst/>
                            <a:gdLst/>
                            <a:ahLst/>
                            <a:cxnLst/>
                            <a:rect l="l" t="t" r="r" b="b"/>
                            <a:pathLst>
                              <a:path w="271145" h="1076960">
                                <a:moveTo>
                                  <a:pt x="0" y="0"/>
                                </a:moveTo>
                                <a:lnTo>
                                  <a:pt x="270535" y="0"/>
                                </a:lnTo>
                                <a:lnTo>
                                  <a:pt x="270535" y="1076477"/>
                                </a:lnTo>
                                <a:lnTo>
                                  <a:pt x="0" y="1076477"/>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688" name="Graphic 688"/>
                        <wps:cNvSpPr/>
                        <wps:spPr>
                          <a:xfrm>
                            <a:off x="2808566" y="1127048"/>
                            <a:ext cx="271145" cy="1232535"/>
                          </a:xfrm>
                          <a:custGeom>
                            <a:avLst/>
                            <a:gdLst/>
                            <a:ahLst/>
                            <a:cxnLst/>
                            <a:rect l="l" t="t" r="r" b="b"/>
                            <a:pathLst>
                              <a:path w="271145" h="1232535">
                                <a:moveTo>
                                  <a:pt x="270535" y="0"/>
                                </a:moveTo>
                                <a:lnTo>
                                  <a:pt x="0" y="0"/>
                                </a:lnTo>
                                <a:lnTo>
                                  <a:pt x="0" y="1232077"/>
                                </a:lnTo>
                                <a:lnTo>
                                  <a:pt x="270535" y="1232077"/>
                                </a:lnTo>
                                <a:lnTo>
                                  <a:pt x="270535" y="0"/>
                                </a:lnTo>
                                <a:close/>
                              </a:path>
                            </a:pathLst>
                          </a:custGeom>
                          <a:solidFill>
                            <a:srgbClr val="008FDD"/>
                          </a:solidFill>
                        </wps:spPr>
                        <wps:bodyPr wrap="square" lIns="0" tIns="0" rIns="0" bIns="0" rtlCol="0">
                          <a:prstTxWarp prst="textNoShape">
                            <a:avLst/>
                          </a:prstTxWarp>
                          <a:noAutofit/>
                        </wps:bodyPr>
                      </wps:wsp>
                      <wps:wsp>
                        <wps:cNvPr id="689" name="Graphic 689"/>
                        <wps:cNvSpPr/>
                        <wps:spPr>
                          <a:xfrm>
                            <a:off x="2808563" y="1127048"/>
                            <a:ext cx="271145" cy="1232535"/>
                          </a:xfrm>
                          <a:custGeom>
                            <a:avLst/>
                            <a:gdLst/>
                            <a:ahLst/>
                            <a:cxnLst/>
                            <a:rect l="l" t="t" r="r" b="b"/>
                            <a:pathLst>
                              <a:path w="271145" h="1232535">
                                <a:moveTo>
                                  <a:pt x="0" y="0"/>
                                </a:moveTo>
                                <a:lnTo>
                                  <a:pt x="270535" y="0"/>
                                </a:lnTo>
                                <a:lnTo>
                                  <a:pt x="270535" y="1232077"/>
                                </a:lnTo>
                                <a:lnTo>
                                  <a:pt x="0" y="1232077"/>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690" name="Graphic 690"/>
                        <wps:cNvSpPr/>
                        <wps:spPr>
                          <a:xfrm>
                            <a:off x="3530828" y="931125"/>
                            <a:ext cx="271145" cy="1428115"/>
                          </a:xfrm>
                          <a:custGeom>
                            <a:avLst/>
                            <a:gdLst/>
                            <a:ahLst/>
                            <a:cxnLst/>
                            <a:rect l="l" t="t" r="r" b="b"/>
                            <a:pathLst>
                              <a:path w="271145" h="1428115">
                                <a:moveTo>
                                  <a:pt x="270535" y="0"/>
                                </a:moveTo>
                                <a:lnTo>
                                  <a:pt x="0" y="0"/>
                                </a:lnTo>
                                <a:lnTo>
                                  <a:pt x="0" y="1428000"/>
                                </a:lnTo>
                                <a:lnTo>
                                  <a:pt x="270535" y="1428000"/>
                                </a:lnTo>
                                <a:lnTo>
                                  <a:pt x="270535" y="0"/>
                                </a:lnTo>
                                <a:close/>
                              </a:path>
                            </a:pathLst>
                          </a:custGeom>
                          <a:solidFill>
                            <a:srgbClr val="008FDD"/>
                          </a:solidFill>
                        </wps:spPr>
                        <wps:bodyPr wrap="square" lIns="0" tIns="0" rIns="0" bIns="0" rtlCol="0">
                          <a:prstTxWarp prst="textNoShape">
                            <a:avLst/>
                          </a:prstTxWarp>
                          <a:noAutofit/>
                        </wps:bodyPr>
                      </wps:wsp>
                      <wps:wsp>
                        <wps:cNvPr id="691" name="Graphic 691"/>
                        <wps:cNvSpPr/>
                        <wps:spPr>
                          <a:xfrm>
                            <a:off x="3530824" y="931125"/>
                            <a:ext cx="271145" cy="1428115"/>
                          </a:xfrm>
                          <a:custGeom>
                            <a:avLst/>
                            <a:gdLst/>
                            <a:ahLst/>
                            <a:cxnLst/>
                            <a:rect l="l" t="t" r="r" b="b"/>
                            <a:pathLst>
                              <a:path w="271145" h="1428115">
                                <a:moveTo>
                                  <a:pt x="0" y="0"/>
                                </a:moveTo>
                                <a:lnTo>
                                  <a:pt x="270535" y="0"/>
                                </a:lnTo>
                                <a:lnTo>
                                  <a:pt x="270535" y="1428000"/>
                                </a:lnTo>
                                <a:lnTo>
                                  <a:pt x="0" y="142800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692" name="Graphic 692"/>
                        <wps:cNvSpPr/>
                        <wps:spPr>
                          <a:xfrm>
                            <a:off x="273893" y="2359124"/>
                            <a:ext cx="3620770" cy="1270"/>
                          </a:xfrm>
                          <a:custGeom>
                            <a:avLst/>
                            <a:gdLst/>
                            <a:ahLst/>
                            <a:cxnLst/>
                            <a:rect l="l" t="t" r="r" b="b"/>
                            <a:pathLst>
                              <a:path w="3620770" h="0">
                                <a:moveTo>
                                  <a:pt x="0" y="0"/>
                                </a:moveTo>
                                <a:lnTo>
                                  <a:pt x="3620401" y="0"/>
                                </a:lnTo>
                              </a:path>
                            </a:pathLst>
                          </a:custGeom>
                          <a:ln w="6350">
                            <a:solidFill>
                              <a:srgbClr val="FFFFFF"/>
                            </a:solidFill>
                            <a:prstDash val="solid"/>
                          </a:ln>
                        </wps:spPr>
                        <wps:bodyPr wrap="square" lIns="0" tIns="0" rIns="0" bIns="0" rtlCol="0">
                          <a:prstTxWarp prst="textNoShape">
                            <a:avLst/>
                          </a:prstTxWarp>
                          <a:noAutofit/>
                        </wps:bodyPr>
                      </wps:wsp>
                      <wps:wsp>
                        <wps:cNvPr id="693" name="Textbox 693"/>
                        <wps:cNvSpPr txBox="1"/>
                        <wps:spPr>
                          <a:xfrm>
                            <a:off x="76380" y="66855"/>
                            <a:ext cx="3009265" cy="551180"/>
                          </a:xfrm>
                          <a:prstGeom prst="rect">
                            <a:avLst/>
                          </a:prstGeom>
                        </wps:spPr>
                        <wps:txbx>
                          <w:txbxContent>
                            <w:p>
                              <w:pPr>
                                <w:spacing w:before="3"/>
                                <w:ind w:left="0" w:right="0" w:firstLine="0"/>
                                <w:jc w:val="left"/>
                                <w:rPr>
                                  <w:rFonts w:ascii="Arial"/>
                                  <w:b/>
                                  <w:sz w:val="16"/>
                                </w:rPr>
                              </w:pPr>
                              <w:r>
                                <w:rPr>
                                  <w:rFonts w:ascii="Arial"/>
                                  <w:color w:val="FFFFFF"/>
                                  <w:sz w:val="16"/>
                                </w:rPr>
                                <w:t>Figure</w:t>
                              </w:r>
                              <w:r>
                                <w:rPr>
                                  <w:rFonts w:ascii="Arial"/>
                                  <w:color w:val="FFFFFF"/>
                                  <w:spacing w:val="8"/>
                                  <w:sz w:val="16"/>
                                </w:rPr>
                                <w:t> </w:t>
                              </w:r>
                              <w:r>
                                <w:rPr>
                                  <w:rFonts w:ascii="Arial"/>
                                  <w:b/>
                                  <w:color w:val="FFFFFF"/>
                                  <w:sz w:val="16"/>
                                </w:rPr>
                                <w:t>2.4</w:t>
                              </w:r>
                              <w:r>
                                <w:rPr>
                                  <w:rFonts w:ascii="Arial"/>
                                  <w:b/>
                                  <w:color w:val="FFFFFF"/>
                                  <w:spacing w:val="56"/>
                                  <w:sz w:val="16"/>
                                </w:rPr>
                                <w:t>  </w:t>
                              </w:r>
                              <w:r>
                                <w:rPr>
                                  <w:rFonts w:ascii="Arial"/>
                                  <w:b/>
                                  <w:color w:val="FFFFFF"/>
                                  <w:sz w:val="16"/>
                                </w:rPr>
                                <w:t>Timeliness</w:t>
                              </w:r>
                              <w:r>
                                <w:rPr>
                                  <w:rFonts w:ascii="Arial"/>
                                  <w:b/>
                                  <w:color w:val="FFFFFF"/>
                                  <w:spacing w:val="9"/>
                                  <w:sz w:val="16"/>
                                </w:rPr>
                                <w:t> </w:t>
                              </w:r>
                              <w:r>
                                <w:rPr>
                                  <w:rFonts w:ascii="Arial"/>
                                  <w:b/>
                                  <w:color w:val="FFFFFF"/>
                                  <w:sz w:val="16"/>
                                </w:rPr>
                                <w:t>score,</w:t>
                              </w:r>
                              <w:r>
                                <w:rPr>
                                  <w:rFonts w:ascii="Arial"/>
                                  <w:b/>
                                  <w:color w:val="FFFFFF"/>
                                  <w:spacing w:val="8"/>
                                  <w:sz w:val="16"/>
                                </w:rPr>
                                <w:t> </w:t>
                              </w:r>
                              <w:r>
                                <w:rPr>
                                  <w:rFonts w:ascii="Arial"/>
                                  <w:b/>
                                  <w:color w:val="FFFFFF"/>
                                  <w:sz w:val="16"/>
                                </w:rPr>
                                <w:t>by</w:t>
                              </w:r>
                              <w:r>
                                <w:rPr>
                                  <w:rFonts w:ascii="Arial"/>
                                  <w:b/>
                                  <w:color w:val="FFFFFF"/>
                                  <w:spacing w:val="8"/>
                                  <w:sz w:val="16"/>
                                </w:rPr>
                                <w:t> </w:t>
                              </w:r>
                              <w:r>
                                <w:rPr>
                                  <w:rFonts w:ascii="Arial"/>
                                  <w:b/>
                                  <w:color w:val="FFFFFF"/>
                                  <w:sz w:val="16"/>
                                </w:rPr>
                                <w:t>LPI</w:t>
                              </w:r>
                              <w:r>
                                <w:rPr>
                                  <w:rFonts w:ascii="Arial"/>
                                  <w:b/>
                                  <w:color w:val="FFFFFF"/>
                                  <w:spacing w:val="9"/>
                                  <w:sz w:val="16"/>
                                </w:rPr>
                                <w:t> </w:t>
                              </w:r>
                              <w:r>
                                <w:rPr>
                                  <w:rFonts w:ascii="Arial"/>
                                  <w:b/>
                                  <w:color w:val="FFFFFF"/>
                                  <w:sz w:val="16"/>
                                </w:rPr>
                                <w:t>quintile,</w:t>
                              </w:r>
                              <w:r>
                                <w:rPr>
                                  <w:rFonts w:ascii="Arial"/>
                                  <w:b/>
                                  <w:color w:val="FFFFFF"/>
                                  <w:spacing w:val="8"/>
                                  <w:sz w:val="16"/>
                                </w:rPr>
                                <w:t> </w:t>
                              </w:r>
                              <w:r>
                                <w:rPr>
                                  <w:rFonts w:ascii="Arial"/>
                                  <w:b/>
                                  <w:color w:val="FFFFFF"/>
                                  <w:sz w:val="16"/>
                                </w:rPr>
                                <w:t>2018</w:t>
                              </w:r>
                              <w:r>
                                <w:rPr>
                                  <w:rFonts w:ascii="Arial"/>
                                  <w:b/>
                                  <w:color w:val="FFFFFF"/>
                                  <w:spacing w:val="8"/>
                                  <w:sz w:val="16"/>
                                </w:rPr>
                                <w:t> </w:t>
                              </w:r>
                              <w:r>
                                <w:rPr>
                                  <w:rFonts w:ascii="Arial"/>
                                  <w:b/>
                                  <w:color w:val="FFFFFF"/>
                                  <w:sz w:val="16"/>
                                </w:rPr>
                                <w:t>and</w:t>
                              </w:r>
                              <w:r>
                                <w:rPr>
                                  <w:rFonts w:ascii="Arial"/>
                                  <w:b/>
                                  <w:color w:val="FFFFFF"/>
                                  <w:spacing w:val="8"/>
                                  <w:sz w:val="16"/>
                                </w:rPr>
                                <w:t> </w:t>
                              </w:r>
                              <w:r>
                                <w:rPr>
                                  <w:rFonts w:ascii="Arial"/>
                                  <w:b/>
                                  <w:color w:val="FFFFFF"/>
                                  <w:spacing w:val="-4"/>
                                  <w:sz w:val="16"/>
                                </w:rPr>
                                <w:t>2023</w:t>
                              </w:r>
                            </w:p>
                            <w:p>
                              <w:pPr>
                                <w:spacing w:line="240" w:lineRule="auto" w:before="10"/>
                                <w:rPr>
                                  <w:rFonts w:ascii="Arial"/>
                                  <w:b/>
                                  <w:sz w:val="16"/>
                                </w:rPr>
                              </w:pPr>
                            </w:p>
                            <w:p>
                              <w:pPr>
                                <w:spacing w:line="240" w:lineRule="atLeast" w:before="0"/>
                                <w:ind w:left="155" w:right="3760" w:hanging="156"/>
                                <w:jc w:val="left"/>
                                <w:rPr>
                                  <w:rFonts w:ascii="Arial"/>
                                  <w:sz w:val="14"/>
                                </w:rPr>
                              </w:pPr>
                              <w:r>
                                <w:rPr>
                                  <w:rFonts w:ascii="Arial"/>
                                  <w:color w:val="231F20"/>
                                  <w:spacing w:val="-2"/>
                                  <w:w w:val="80"/>
                                  <w:sz w:val="14"/>
                                </w:rPr>
                                <w:t>Percentage</w:t>
                              </w:r>
                              <w:r>
                                <w:rPr>
                                  <w:rFonts w:ascii="Arial"/>
                                  <w:color w:val="231F20"/>
                                  <w:spacing w:val="-8"/>
                                  <w:sz w:val="14"/>
                                </w:rPr>
                                <w:t> </w:t>
                              </w:r>
                              <w:r>
                                <w:rPr>
                                  <w:rFonts w:ascii="Arial"/>
                                  <w:color w:val="231F20"/>
                                  <w:spacing w:val="-2"/>
                                  <w:w w:val="80"/>
                                  <w:sz w:val="14"/>
                                </w:rPr>
                                <w:t>change</w:t>
                              </w:r>
                              <w:r>
                                <w:rPr>
                                  <w:rFonts w:ascii="Arial"/>
                                  <w:color w:val="231F20"/>
                                  <w:spacing w:val="40"/>
                                  <w:sz w:val="14"/>
                                </w:rPr>
                                <w:t> </w:t>
                              </w:r>
                              <w:r>
                                <w:rPr>
                                  <w:rFonts w:ascii="Arial"/>
                                  <w:color w:val="231F20"/>
                                  <w:spacing w:val="-10"/>
                                  <w:w w:val="90"/>
                                  <w:sz w:val="14"/>
                                </w:rPr>
                                <w:t>5</w:t>
                              </w:r>
                            </w:p>
                          </w:txbxContent>
                        </wps:txbx>
                        <wps:bodyPr wrap="square" lIns="0" tIns="0" rIns="0" bIns="0" rtlCol="0">
                          <a:noAutofit/>
                        </wps:bodyPr>
                      </wps:wsp>
                      <wps:wsp>
                        <wps:cNvPr id="694" name="Textbox 694"/>
                        <wps:cNvSpPr txBox="1"/>
                        <wps:spPr>
                          <a:xfrm>
                            <a:off x="3372606" y="360005"/>
                            <a:ext cx="508634" cy="100965"/>
                          </a:xfrm>
                          <a:prstGeom prst="rect">
                            <a:avLst/>
                          </a:prstGeom>
                        </wps:spPr>
                        <wps:txbx>
                          <w:txbxContent>
                            <w:p>
                              <w:pPr>
                                <w:tabs>
                                  <w:tab w:pos="511" w:val="left" w:leader="none"/>
                                </w:tabs>
                                <w:spacing w:line="158" w:lineRule="exact" w:before="0"/>
                                <w:ind w:left="0" w:right="0" w:firstLine="0"/>
                                <w:jc w:val="left"/>
                                <w:rPr>
                                  <w:rFonts w:ascii="Arial"/>
                                  <w:sz w:val="14"/>
                                </w:rPr>
                              </w:pPr>
                              <w:r>
                                <w:rPr>
                                  <w:rFonts w:ascii="Arial"/>
                                  <w:color w:val="231F20"/>
                                  <w:spacing w:val="-4"/>
                                  <w:sz w:val="14"/>
                                </w:rPr>
                                <w:t>2018</w:t>
                              </w:r>
                              <w:r>
                                <w:rPr>
                                  <w:rFonts w:ascii="Arial"/>
                                  <w:color w:val="231F20"/>
                                  <w:sz w:val="14"/>
                                </w:rPr>
                                <w:tab/>
                              </w:r>
                              <w:r>
                                <w:rPr>
                                  <w:rFonts w:ascii="Arial"/>
                                  <w:color w:val="231F20"/>
                                  <w:spacing w:val="-9"/>
                                  <w:sz w:val="14"/>
                                </w:rPr>
                                <w:t>2023</w:t>
                              </w:r>
                            </w:p>
                          </w:txbxContent>
                        </wps:txbx>
                        <wps:bodyPr wrap="square" lIns="0" tIns="0" rIns="0" bIns="0" rtlCol="0">
                          <a:noAutofit/>
                        </wps:bodyPr>
                      </wps:wsp>
                      <wps:wsp>
                        <wps:cNvPr id="695" name="Textbox 695"/>
                        <wps:cNvSpPr txBox="1"/>
                        <wps:spPr>
                          <a:xfrm>
                            <a:off x="175177" y="966038"/>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4</w:t>
                              </w:r>
                            </w:p>
                          </w:txbxContent>
                        </wps:txbx>
                        <wps:bodyPr wrap="square" lIns="0" tIns="0" rIns="0" bIns="0" rtlCol="0">
                          <a:noAutofit/>
                        </wps:bodyPr>
                      </wps:wsp>
                      <wps:wsp>
                        <wps:cNvPr id="696" name="Textbox 696"/>
                        <wps:cNvSpPr txBox="1"/>
                        <wps:spPr>
                          <a:xfrm>
                            <a:off x="175177" y="1414894"/>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3</w:t>
                              </w:r>
                            </w:p>
                          </w:txbxContent>
                        </wps:txbx>
                        <wps:bodyPr wrap="square" lIns="0" tIns="0" rIns="0" bIns="0" rtlCol="0">
                          <a:noAutofit/>
                        </wps:bodyPr>
                      </wps:wsp>
                      <wps:wsp>
                        <wps:cNvPr id="697" name="Textbox 697"/>
                        <wps:cNvSpPr txBox="1"/>
                        <wps:spPr>
                          <a:xfrm>
                            <a:off x="175177" y="1863750"/>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2</w:t>
                              </w:r>
                            </w:p>
                          </w:txbxContent>
                        </wps:txbx>
                        <wps:bodyPr wrap="square" lIns="0" tIns="0" rIns="0" bIns="0" rtlCol="0">
                          <a:noAutofit/>
                        </wps:bodyPr>
                      </wps:wsp>
                      <wps:wsp>
                        <wps:cNvPr id="698" name="Textbox 698"/>
                        <wps:cNvSpPr txBox="1"/>
                        <wps:spPr>
                          <a:xfrm>
                            <a:off x="175177" y="2312606"/>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1</w:t>
                              </w:r>
                            </w:p>
                          </w:txbxContent>
                        </wps:txbx>
                        <wps:bodyPr wrap="square" lIns="0" tIns="0" rIns="0" bIns="0" rtlCol="0">
                          <a:noAutofit/>
                        </wps:bodyPr>
                      </wps:wsp>
                      <wps:wsp>
                        <wps:cNvPr id="699" name="Textbox 699"/>
                        <wps:cNvSpPr txBox="1"/>
                        <wps:spPr>
                          <a:xfrm>
                            <a:off x="400397" y="2376547"/>
                            <a:ext cx="1214120" cy="100965"/>
                          </a:xfrm>
                          <a:prstGeom prst="rect">
                            <a:avLst/>
                          </a:prstGeom>
                        </wps:spPr>
                        <wps:txbx>
                          <w:txbxContent>
                            <w:p>
                              <w:pPr>
                                <w:tabs>
                                  <w:tab w:pos="1132" w:val="left" w:leader="none"/>
                                </w:tabs>
                                <w:spacing w:line="158" w:lineRule="exact" w:before="0"/>
                                <w:ind w:left="0" w:right="0" w:firstLine="0"/>
                                <w:jc w:val="left"/>
                                <w:rPr>
                                  <w:rFonts w:ascii="Arial"/>
                                  <w:sz w:val="14"/>
                                </w:rPr>
                              </w:pPr>
                              <w:r>
                                <w:rPr>
                                  <w:rFonts w:ascii="Arial"/>
                                  <w:color w:val="231F20"/>
                                  <w:w w:val="75"/>
                                  <w:sz w:val="14"/>
                                </w:rPr>
                                <w:t>Bottom</w:t>
                              </w:r>
                              <w:r>
                                <w:rPr>
                                  <w:rFonts w:ascii="Arial"/>
                                  <w:color w:val="231F20"/>
                                  <w:spacing w:val="11"/>
                                  <w:sz w:val="14"/>
                                </w:rPr>
                                <w:t> </w:t>
                              </w:r>
                              <w:r>
                                <w:rPr>
                                  <w:rFonts w:ascii="Arial"/>
                                  <w:color w:val="231F20"/>
                                  <w:spacing w:val="-2"/>
                                  <w:w w:val="95"/>
                                  <w:sz w:val="14"/>
                                </w:rPr>
                                <w:t>quintile</w:t>
                              </w:r>
                              <w:r>
                                <w:rPr>
                                  <w:rFonts w:ascii="Arial"/>
                                  <w:color w:val="231F20"/>
                                  <w:sz w:val="14"/>
                                </w:rPr>
                                <w:tab/>
                              </w:r>
                              <w:r>
                                <w:rPr>
                                  <w:rFonts w:ascii="Arial"/>
                                  <w:color w:val="231F20"/>
                                  <w:w w:val="75"/>
                                  <w:sz w:val="14"/>
                                </w:rPr>
                                <w:t>Second</w:t>
                              </w:r>
                              <w:r>
                                <w:rPr>
                                  <w:rFonts w:ascii="Arial"/>
                                  <w:color w:val="231F20"/>
                                  <w:spacing w:val="3"/>
                                  <w:sz w:val="14"/>
                                </w:rPr>
                                <w:t> </w:t>
                              </w:r>
                              <w:r>
                                <w:rPr>
                                  <w:rFonts w:ascii="Arial"/>
                                  <w:color w:val="231F20"/>
                                  <w:spacing w:val="-2"/>
                                  <w:w w:val="85"/>
                                  <w:sz w:val="14"/>
                                </w:rPr>
                                <w:t>quintile</w:t>
                              </w:r>
                            </w:p>
                          </w:txbxContent>
                        </wps:txbx>
                        <wps:bodyPr wrap="square" lIns="0" tIns="0" rIns="0" bIns="0" rtlCol="0">
                          <a:noAutofit/>
                        </wps:bodyPr>
                      </wps:wsp>
                      <wps:wsp>
                        <wps:cNvPr id="700" name="Textbox 700"/>
                        <wps:cNvSpPr txBox="1"/>
                        <wps:spPr>
                          <a:xfrm>
                            <a:off x="1880582" y="2376547"/>
                            <a:ext cx="420370" cy="100965"/>
                          </a:xfrm>
                          <a:prstGeom prst="rect">
                            <a:avLst/>
                          </a:prstGeom>
                        </wps:spPr>
                        <wps:txbx>
                          <w:txbxContent>
                            <w:p>
                              <w:pPr>
                                <w:spacing w:line="158" w:lineRule="exact" w:before="0"/>
                                <w:ind w:left="0" w:right="0" w:firstLine="0"/>
                                <w:jc w:val="left"/>
                                <w:rPr>
                                  <w:rFonts w:ascii="Arial"/>
                                  <w:sz w:val="14"/>
                                </w:rPr>
                              </w:pPr>
                              <w:r>
                                <w:rPr>
                                  <w:rFonts w:ascii="Arial"/>
                                  <w:color w:val="231F20"/>
                                  <w:w w:val="75"/>
                                  <w:sz w:val="14"/>
                                </w:rPr>
                                <w:t>Third</w:t>
                              </w:r>
                              <w:r>
                                <w:rPr>
                                  <w:rFonts w:ascii="Arial"/>
                                  <w:color w:val="231F20"/>
                                  <w:spacing w:val="3"/>
                                  <w:sz w:val="14"/>
                                </w:rPr>
                                <w:t> </w:t>
                              </w:r>
                              <w:r>
                                <w:rPr>
                                  <w:rFonts w:ascii="Arial"/>
                                  <w:color w:val="231F20"/>
                                  <w:spacing w:val="-2"/>
                                  <w:w w:val="85"/>
                                  <w:sz w:val="14"/>
                                </w:rPr>
                                <w:t>quintile</w:t>
                              </w:r>
                            </w:p>
                          </w:txbxContent>
                        </wps:txbx>
                        <wps:bodyPr wrap="square" lIns="0" tIns="0" rIns="0" bIns="0" rtlCol="0">
                          <a:noAutofit/>
                        </wps:bodyPr>
                      </wps:wsp>
                      <wps:wsp>
                        <wps:cNvPr id="701" name="Textbox 701"/>
                        <wps:cNvSpPr txBox="1"/>
                        <wps:spPr>
                          <a:xfrm>
                            <a:off x="2583870" y="2376547"/>
                            <a:ext cx="461645" cy="100965"/>
                          </a:xfrm>
                          <a:prstGeom prst="rect">
                            <a:avLst/>
                          </a:prstGeom>
                        </wps:spPr>
                        <wps:txbx>
                          <w:txbxContent>
                            <w:p>
                              <w:pPr>
                                <w:spacing w:line="158" w:lineRule="exact" w:before="0"/>
                                <w:ind w:left="0" w:right="0" w:firstLine="0"/>
                                <w:jc w:val="left"/>
                                <w:rPr>
                                  <w:rFonts w:ascii="Arial"/>
                                  <w:sz w:val="14"/>
                                </w:rPr>
                              </w:pPr>
                              <w:r>
                                <w:rPr>
                                  <w:rFonts w:ascii="Arial"/>
                                  <w:color w:val="231F20"/>
                                  <w:w w:val="75"/>
                                  <w:sz w:val="14"/>
                                </w:rPr>
                                <w:t>Fourth</w:t>
                              </w:r>
                              <w:r>
                                <w:rPr>
                                  <w:rFonts w:ascii="Arial"/>
                                  <w:color w:val="231F20"/>
                                  <w:spacing w:val="6"/>
                                  <w:sz w:val="14"/>
                                </w:rPr>
                                <w:t> </w:t>
                              </w:r>
                              <w:r>
                                <w:rPr>
                                  <w:rFonts w:ascii="Arial"/>
                                  <w:color w:val="231F20"/>
                                  <w:spacing w:val="-2"/>
                                  <w:w w:val="85"/>
                                  <w:sz w:val="14"/>
                                </w:rPr>
                                <w:t>quintile</w:t>
                              </w:r>
                            </w:p>
                          </w:txbxContent>
                        </wps:txbx>
                        <wps:bodyPr wrap="square" lIns="0" tIns="0" rIns="0" bIns="0" rtlCol="0">
                          <a:noAutofit/>
                        </wps:bodyPr>
                      </wps:wsp>
                      <wps:wsp>
                        <wps:cNvPr id="702" name="Textbox 702"/>
                        <wps:cNvSpPr txBox="1"/>
                        <wps:spPr>
                          <a:xfrm>
                            <a:off x="3353122" y="2376547"/>
                            <a:ext cx="37147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4"/>
                                  <w:w w:val="75"/>
                                  <w:sz w:val="14"/>
                                </w:rPr>
                                <w:t>Top</w:t>
                              </w:r>
                              <w:r>
                                <w:rPr>
                                  <w:rFonts w:ascii="Arial"/>
                                  <w:color w:val="231F20"/>
                                  <w:spacing w:val="-3"/>
                                  <w:sz w:val="14"/>
                                </w:rPr>
                                <w:t> </w:t>
                              </w:r>
                              <w:r>
                                <w:rPr>
                                  <w:rFonts w:ascii="Arial"/>
                                  <w:color w:val="231F20"/>
                                  <w:spacing w:val="-2"/>
                                  <w:w w:val="85"/>
                                  <w:sz w:val="14"/>
                                </w:rPr>
                                <w:t>quintile</w:t>
                              </w:r>
                            </w:p>
                          </w:txbxContent>
                        </wps:txbx>
                        <wps:bodyPr wrap="square" lIns="0" tIns="0" rIns="0" bIns="0" rtlCol="0">
                          <a:noAutofit/>
                        </wps:bodyPr>
                      </wps:wsp>
                      <wps:wsp>
                        <wps:cNvPr id="703" name="Textbox 703"/>
                        <wps:cNvSpPr txBox="1"/>
                        <wps:spPr>
                          <a:xfrm>
                            <a:off x="76386" y="2550871"/>
                            <a:ext cx="1461770" cy="91440"/>
                          </a:xfrm>
                          <a:prstGeom prst="rect">
                            <a:avLst/>
                          </a:prstGeom>
                        </wps:spPr>
                        <wps:txbx>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5"/>
                                  <w:sz w:val="12"/>
                                </w:rPr>
                                <w:t> </w:t>
                              </w:r>
                              <w:r>
                                <w:rPr>
                                  <w:rFonts w:ascii="Arial"/>
                                  <w:color w:val="231F20"/>
                                  <w:w w:val="80"/>
                                  <w:sz w:val="12"/>
                                </w:rPr>
                                <w:t>2018</w:t>
                              </w:r>
                              <w:r>
                                <w:rPr>
                                  <w:rFonts w:ascii="Arial"/>
                                  <w:color w:val="231F20"/>
                                  <w:spacing w:val="-5"/>
                                  <w:sz w:val="12"/>
                                </w:rPr>
                                <w:t> </w:t>
                              </w:r>
                              <w:r>
                                <w:rPr>
                                  <w:rFonts w:ascii="Arial"/>
                                  <w:color w:val="231F20"/>
                                  <w:w w:val="80"/>
                                  <w:sz w:val="12"/>
                                </w:rPr>
                                <w:t>and</w:t>
                              </w:r>
                              <w:r>
                                <w:rPr>
                                  <w:rFonts w:ascii="Arial"/>
                                  <w:color w:val="231F20"/>
                                  <w:spacing w:val="-5"/>
                                  <w:sz w:val="12"/>
                                </w:rPr>
                                <w:t> </w:t>
                              </w:r>
                              <w:r>
                                <w:rPr>
                                  <w:rFonts w:ascii="Arial"/>
                                  <w:color w:val="231F20"/>
                                  <w:w w:val="80"/>
                                  <w:sz w:val="12"/>
                                </w:rPr>
                                <w:t>2023</w:t>
                              </w:r>
                              <w:r>
                                <w:rPr>
                                  <w:rFonts w:ascii="Arial"/>
                                  <w:color w:val="231F20"/>
                                  <w:spacing w:val="-5"/>
                                  <w:sz w:val="12"/>
                                </w:rPr>
                                <w:t> </w:t>
                              </w:r>
                              <w:r>
                                <w:rPr>
                                  <w:rFonts w:ascii="Arial"/>
                                  <w:color w:val="231F20"/>
                                  <w:w w:val="80"/>
                                  <w:sz w:val="12"/>
                                </w:rPr>
                                <w:t>Logistics</w:t>
                              </w:r>
                              <w:r>
                                <w:rPr>
                                  <w:rFonts w:ascii="Arial"/>
                                  <w:color w:val="231F20"/>
                                  <w:spacing w:val="-4"/>
                                  <w:sz w:val="12"/>
                                </w:rPr>
                                <w:t> </w:t>
                              </w:r>
                              <w:r>
                                <w:rPr>
                                  <w:rFonts w:ascii="Arial"/>
                                  <w:color w:val="231F20"/>
                                  <w:w w:val="80"/>
                                  <w:sz w:val="12"/>
                                </w:rPr>
                                <w:t>Performance</w:t>
                              </w:r>
                              <w:r>
                                <w:rPr>
                                  <w:rFonts w:ascii="Arial"/>
                                  <w:color w:val="231F20"/>
                                  <w:spacing w:val="-5"/>
                                  <w:sz w:val="12"/>
                                </w:rPr>
                                <w:t> </w:t>
                              </w:r>
                              <w:r>
                                <w:rPr>
                                  <w:rFonts w:ascii="Arial"/>
                                  <w:color w:val="231F20"/>
                                  <w:spacing w:val="-2"/>
                                  <w:w w:val="80"/>
                                  <w:sz w:val="12"/>
                                </w:rPr>
                                <w:t>Index.</w:t>
                              </w:r>
                            </w:p>
                          </w:txbxContent>
                        </wps:txbx>
                        <wps:bodyPr wrap="square" lIns="0" tIns="0" rIns="0" bIns="0" rtlCol="0">
                          <a:noAutofit/>
                        </wps:bodyPr>
                      </wps:wsp>
                    </wpg:wgp>
                  </a:graphicData>
                </a:graphic>
              </wp:inline>
            </w:drawing>
          </mc:Choice>
          <mc:Fallback>
            <w:pict>
              <v:group style="width:318.05pt;height:215.4pt;mso-position-horizontal-relative:char;mso-position-vertical-relative:line" id="docshapegroup548" coordorigin="0,0" coordsize="6361,4308">
                <v:shape style="position:absolute;left:0;top:406;width:6360;height:3901" id="docshape549" coordorigin="0,406" coordsize="6360,3901" path="m6360,406l0,406,0,4189,10,4235,36,4273,74,4298,119,4307,6236,4307,6282,4299,6322,4275,6350,4238,6360,4189,6360,406xe" filled="true" fillcolor="#dfeaf7" stroked="false">
                  <v:path arrowok="t"/>
                  <v:fill type="solid"/>
                </v:shape>
                <v:shape style="position:absolute;left:0;top:0;width:807;height:365" id="docshape550" coordorigin="0,0" coordsize="807,365" path="m807,0l120,0,74,5,36,23,10,59,0,120,0,365,807,365,807,0xe" filled="true" fillcolor="#008fdd" stroked="false">
                  <v:path arrowok="t"/>
                  <v:fill type="solid"/>
                </v:shape>
                <v:shape style="position:absolute;left:806;top:0;width:5553;height:365" id="docshape551" coordorigin="807,0" coordsize="5553,365" path="m6239,0l807,0,807,365,6359,365,6359,120,6351,80,6326,41,6288,12,6239,0xe" filled="true" fillcolor="#808285" stroked="false">
                  <v:path arrowok="t"/>
                  <v:fill type="solid"/>
                </v:shape>
                <v:line style="position:absolute" from="807,0" to="807,379" stroked="true" strokeweight="2pt" strokecolor="#ffffff">
                  <v:stroke dashstyle="solid"/>
                </v:line>
                <v:shape style="position:absolute;left:432;top:3715;width:5701;height:2" id="docshape552" coordorigin="432,3715" coordsize="5701,0" path="m432,3715l6133,3715m432,3715l6133,3715e" filled="false" stroked="true" strokeweight=".5pt" strokecolor="#ffffff">
                  <v:path arrowok="t"/>
                  <v:stroke dashstyle="solid"/>
                </v:shape>
                <v:shape style="position:absolute;left:432;top:1594;width:5701;height:1414" id="docshape553" coordorigin="432,1595" coordsize="5701,1414" path="m432,3008l584,3008m1436,3008l1722,3008m2574,3008l2859,3008m3711,3008l3997,3008m4849,3008l5134,3008m5986,3008l6133,3008m432,2302l1722,2302m2574,2302l2859,2302m3711,2302l3997,2302m4849,2302l5134,2302m5986,2302l6133,2302m432,1595l5134,1595m5986,1595l6133,1595e" filled="false" stroked="true" strokeweight=".5pt" strokecolor="#ffffff">
                  <v:path arrowok="t"/>
                  <v:stroke dashstyle="solid"/>
                </v:shape>
                <v:line style="position:absolute" from="432,888" to="6133,888" stroked="true" strokeweight=".5pt" strokecolor="#ffffff">
                  <v:stroke dashstyle="solid"/>
                </v:line>
                <v:rect style="position:absolute;left:5699;top:608;width:80;height:80" id="docshape554" filled="true" fillcolor="#008fdd" stroked="false">
                  <v:fill type="solid"/>
                </v:rect>
                <v:shape style="position:absolute;left:584;top:608;width:4685;height:3107" id="docshape555" coordorigin="584,608" coordsize="4685,3107" path="m1010,2438l584,2438,584,3715,1010,3715,1010,2438xm5269,608l5189,608,5189,688,5269,688,5269,608xe" filled="true" fillcolor="#76aee5" stroked="false">
                  <v:path arrowok="t"/>
                  <v:fill type="solid"/>
                </v:shape>
                <v:rect style="position:absolute;left:584;top:2438;width:427;height:1277" id="docshape556" filled="false" stroked="true" strokeweight=".25pt" strokecolor="#ffffff">
                  <v:stroke dashstyle="solid"/>
                </v:rect>
                <v:rect style="position:absolute;left:1721;top:2187;width:427;height:1528" id="docshape557" filled="true" fillcolor="#76aee5" stroked="false">
                  <v:fill type="solid"/>
                </v:rect>
                <v:rect style="position:absolute;left:1721;top:2187;width:427;height:1528" id="docshape558" filled="false" stroked="true" strokeweight=".25pt" strokecolor="#ffffff">
                  <v:stroke dashstyle="solid"/>
                </v:rect>
                <v:rect style="position:absolute;left:2859;top:1989;width:427;height:1726" id="docshape559" filled="true" fillcolor="#76aee5" stroked="false">
                  <v:fill type="solid"/>
                </v:rect>
                <v:rect style="position:absolute;left:2859;top:1989;width:427;height:1726" id="docshape560" filled="false" stroked="true" strokeweight=".25pt" strokecolor="#ffffff">
                  <v:stroke dashstyle="solid"/>
                </v:rect>
                <v:rect style="position:absolute;left:3996;top:1776;width:427;height:1939" id="docshape561" filled="true" fillcolor="#76aee5" stroked="false">
                  <v:fill type="solid"/>
                </v:rect>
                <v:rect style="position:absolute;left:3996;top:1776;width:427;height:1939" id="docshape562" filled="false" stroked="true" strokeweight=".25pt" strokecolor="#ffffff">
                  <v:stroke dashstyle="solid"/>
                </v:rect>
                <v:rect style="position:absolute;left:5134;top:1397;width:427;height:2318" id="docshape563" filled="true" fillcolor="#76aee5" stroked="false">
                  <v:fill type="solid"/>
                </v:rect>
                <v:rect style="position:absolute;left:5134;top:1397;width:427;height:2318" id="docshape564" filled="false" stroked="true" strokeweight=".25pt" strokecolor="#ffffff">
                  <v:stroke dashstyle="solid"/>
                </v:rect>
                <v:rect style="position:absolute;left:2147;top:2223;width:427;height:1492" id="docshape565" filled="true" fillcolor="#008fdd" stroked="false">
                  <v:fill type="solid"/>
                </v:rect>
                <v:rect style="position:absolute;left:2147;top:2223;width:427;height:1492" id="docshape566" filled="false" stroked="true" strokeweight=".25pt" strokecolor="#ffffff">
                  <v:stroke dashstyle="solid"/>
                </v:rect>
                <v:rect style="position:absolute;left:1010;top:2502;width:427;height:1213" id="docshape567" filled="true" fillcolor="#008fdd" stroked="false">
                  <v:fill type="solid"/>
                </v:rect>
                <v:rect style="position:absolute;left:1010;top:2502;width:427;height:1213" id="docshape568" filled="false" stroked="true" strokeweight=".25pt" strokecolor="#ffffff">
                  <v:stroke dashstyle="solid"/>
                </v:rect>
                <v:rect style="position:absolute;left:3285;top:2019;width:427;height:1696" id="docshape569" filled="true" fillcolor="#008fdd" stroked="false">
                  <v:fill type="solid"/>
                </v:rect>
                <v:rect style="position:absolute;left:3285;top:2019;width:427;height:1696" id="docshape570" filled="false" stroked="true" strokeweight=".25pt" strokecolor="#ffffff">
                  <v:stroke dashstyle="solid"/>
                </v:rect>
                <v:rect style="position:absolute;left:4422;top:1774;width:427;height:1941" id="docshape571" filled="true" fillcolor="#008fdd" stroked="false">
                  <v:fill type="solid"/>
                </v:rect>
                <v:rect style="position:absolute;left:4422;top:1774;width:427;height:1941" id="docshape572" filled="false" stroked="true" strokeweight=".25pt" strokecolor="#ffffff">
                  <v:stroke dashstyle="solid"/>
                </v:rect>
                <v:rect style="position:absolute;left:5560;top:1466;width:427;height:2249" id="docshape573" filled="true" fillcolor="#008fdd" stroked="false">
                  <v:fill type="solid"/>
                </v:rect>
                <v:rect style="position:absolute;left:5560;top:1466;width:427;height:2249" id="docshape574" filled="false" stroked="true" strokeweight=".25pt" strokecolor="#ffffff">
                  <v:stroke dashstyle="solid"/>
                </v:rect>
                <v:line style="position:absolute" from="431,3715" to="6133,3715" stroked="true" strokeweight=".5pt" strokecolor="#ffffff">
                  <v:stroke dashstyle="solid"/>
                </v:line>
                <v:shape style="position:absolute;left:120;top:105;width:4739;height:868" type="#_x0000_t202" id="docshape575" filled="false" stroked="false">
                  <v:textbox inset="0,0,0,0">
                    <w:txbxContent>
                      <w:p>
                        <w:pPr>
                          <w:spacing w:before="3"/>
                          <w:ind w:left="0" w:right="0" w:firstLine="0"/>
                          <w:jc w:val="left"/>
                          <w:rPr>
                            <w:rFonts w:ascii="Arial"/>
                            <w:b/>
                            <w:sz w:val="16"/>
                          </w:rPr>
                        </w:pPr>
                        <w:r>
                          <w:rPr>
                            <w:rFonts w:ascii="Arial"/>
                            <w:color w:val="FFFFFF"/>
                            <w:sz w:val="16"/>
                          </w:rPr>
                          <w:t>Figure</w:t>
                        </w:r>
                        <w:r>
                          <w:rPr>
                            <w:rFonts w:ascii="Arial"/>
                            <w:color w:val="FFFFFF"/>
                            <w:spacing w:val="8"/>
                            <w:sz w:val="16"/>
                          </w:rPr>
                          <w:t> </w:t>
                        </w:r>
                        <w:r>
                          <w:rPr>
                            <w:rFonts w:ascii="Arial"/>
                            <w:b/>
                            <w:color w:val="FFFFFF"/>
                            <w:sz w:val="16"/>
                          </w:rPr>
                          <w:t>2.4</w:t>
                        </w:r>
                        <w:r>
                          <w:rPr>
                            <w:rFonts w:ascii="Arial"/>
                            <w:b/>
                            <w:color w:val="FFFFFF"/>
                            <w:spacing w:val="56"/>
                            <w:sz w:val="16"/>
                          </w:rPr>
                          <w:t>  </w:t>
                        </w:r>
                        <w:r>
                          <w:rPr>
                            <w:rFonts w:ascii="Arial"/>
                            <w:b/>
                            <w:color w:val="FFFFFF"/>
                            <w:sz w:val="16"/>
                          </w:rPr>
                          <w:t>Timeliness</w:t>
                        </w:r>
                        <w:r>
                          <w:rPr>
                            <w:rFonts w:ascii="Arial"/>
                            <w:b/>
                            <w:color w:val="FFFFFF"/>
                            <w:spacing w:val="9"/>
                            <w:sz w:val="16"/>
                          </w:rPr>
                          <w:t> </w:t>
                        </w:r>
                        <w:r>
                          <w:rPr>
                            <w:rFonts w:ascii="Arial"/>
                            <w:b/>
                            <w:color w:val="FFFFFF"/>
                            <w:sz w:val="16"/>
                          </w:rPr>
                          <w:t>score,</w:t>
                        </w:r>
                        <w:r>
                          <w:rPr>
                            <w:rFonts w:ascii="Arial"/>
                            <w:b/>
                            <w:color w:val="FFFFFF"/>
                            <w:spacing w:val="8"/>
                            <w:sz w:val="16"/>
                          </w:rPr>
                          <w:t> </w:t>
                        </w:r>
                        <w:r>
                          <w:rPr>
                            <w:rFonts w:ascii="Arial"/>
                            <w:b/>
                            <w:color w:val="FFFFFF"/>
                            <w:sz w:val="16"/>
                          </w:rPr>
                          <w:t>by</w:t>
                        </w:r>
                        <w:r>
                          <w:rPr>
                            <w:rFonts w:ascii="Arial"/>
                            <w:b/>
                            <w:color w:val="FFFFFF"/>
                            <w:spacing w:val="8"/>
                            <w:sz w:val="16"/>
                          </w:rPr>
                          <w:t> </w:t>
                        </w:r>
                        <w:r>
                          <w:rPr>
                            <w:rFonts w:ascii="Arial"/>
                            <w:b/>
                            <w:color w:val="FFFFFF"/>
                            <w:sz w:val="16"/>
                          </w:rPr>
                          <w:t>LPI</w:t>
                        </w:r>
                        <w:r>
                          <w:rPr>
                            <w:rFonts w:ascii="Arial"/>
                            <w:b/>
                            <w:color w:val="FFFFFF"/>
                            <w:spacing w:val="9"/>
                            <w:sz w:val="16"/>
                          </w:rPr>
                          <w:t> </w:t>
                        </w:r>
                        <w:r>
                          <w:rPr>
                            <w:rFonts w:ascii="Arial"/>
                            <w:b/>
                            <w:color w:val="FFFFFF"/>
                            <w:sz w:val="16"/>
                          </w:rPr>
                          <w:t>quintile,</w:t>
                        </w:r>
                        <w:r>
                          <w:rPr>
                            <w:rFonts w:ascii="Arial"/>
                            <w:b/>
                            <w:color w:val="FFFFFF"/>
                            <w:spacing w:val="8"/>
                            <w:sz w:val="16"/>
                          </w:rPr>
                          <w:t> </w:t>
                        </w:r>
                        <w:r>
                          <w:rPr>
                            <w:rFonts w:ascii="Arial"/>
                            <w:b/>
                            <w:color w:val="FFFFFF"/>
                            <w:sz w:val="16"/>
                          </w:rPr>
                          <w:t>2018</w:t>
                        </w:r>
                        <w:r>
                          <w:rPr>
                            <w:rFonts w:ascii="Arial"/>
                            <w:b/>
                            <w:color w:val="FFFFFF"/>
                            <w:spacing w:val="8"/>
                            <w:sz w:val="16"/>
                          </w:rPr>
                          <w:t> </w:t>
                        </w:r>
                        <w:r>
                          <w:rPr>
                            <w:rFonts w:ascii="Arial"/>
                            <w:b/>
                            <w:color w:val="FFFFFF"/>
                            <w:sz w:val="16"/>
                          </w:rPr>
                          <w:t>and</w:t>
                        </w:r>
                        <w:r>
                          <w:rPr>
                            <w:rFonts w:ascii="Arial"/>
                            <w:b/>
                            <w:color w:val="FFFFFF"/>
                            <w:spacing w:val="8"/>
                            <w:sz w:val="16"/>
                          </w:rPr>
                          <w:t> </w:t>
                        </w:r>
                        <w:r>
                          <w:rPr>
                            <w:rFonts w:ascii="Arial"/>
                            <w:b/>
                            <w:color w:val="FFFFFF"/>
                            <w:spacing w:val="-4"/>
                            <w:sz w:val="16"/>
                          </w:rPr>
                          <w:t>2023</w:t>
                        </w:r>
                      </w:p>
                      <w:p>
                        <w:pPr>
                          <w:spacing w:line="240" w:lineRule="auto" w:before="10"/>
                          <w:rPr>
                            <w:rFonts w:ascii="Arial"/>
                            <w:b/>
                            <w:sz w:val="16"/>
                          </w:rPr>
                        </w:pPr>
                      </w:p>
                      <w:p>
                        <w:pPr>
                          <w:spacing w:line="240" w:lineRule="atLeast" w:before="0"/>
                          <w:ind w:left="155" w:right="3760" w:hanging="156"/>
                          <w:jc w:val="left"/>
                          <w:rPr>
                            <w:rFonts w:ascii="Arial"/>
                            <w:sz w:val="14"/>
                          </w:rPr>
                        </w:pPr>
                        <w:r>
                          <w:rPr>
                            <w:rFonts w:ascii="Arial"/>
                            <w:color w:val="231F20"/>
                            <w:spacing w:val="-2"/>
                            <w:w w:val="80"/>
                            <w:sz w:val="14"/>
                          </w:rPr>
                          <w:t>Percentage</w:t>
                        </w:r>
                        <w:r>
                          <w:rPr>
                            <w:rFonts w:ascii="Arial"/>
                            <w:color w:val="231F20"/>
                            <w:spacing w:val="-8"/>
                            <w:sz w:val="14"/>
                          </w:rPr>
                          <w:t> </w:t>
                        </w:r>
                        <w:r>
                          <w:rPr>
                            <w:rFonts w:ascii="Arial"/>
                            <w:color w:val="231F20"/>
                            <w:spacing w:val="-2"/>
                            <w:w w:val="80"/>
                            <w:sz w:val="14"/>
                          </w:rPr>
                          <w:t>change</w:t>
                        </w:r>
                        <w:r>
                          <w:rPr>
                            <w:rFonts w:ascii="Arial"/>
                            <w:color w:val="231F20"/>
                            <w:spacing w:val="40"/>
                            <w:sz w:val="14"/>
                          </w:rPr>
                          <w:t> </w:t>
                        </w:r>
                        <w:r>
                          <w:rPr>
                            <w:rFonts w:ascii="Arial"/>
                            <w:color w:val="231F20"/>
                            <w:spacing w:val="-10"/>
                            <w:w w:val="90"/>
                            <w:sz w:val="14"/>
                          </w:rPr>
                          <w:t>5</w:t>
                        </w:r>
                      </w:p>
                    </w:txbxContent>
                  </v:textbox>
                  <w10:wrap type="none"/>
                </v:shape>
                <v:shape style="position:absolute;left:5311;top:566;width:801;height:159" type="#_x0000_t202" id="docshape576" filled="false" stroked="false">
                  <v:textbox inset="0,0,0,0">
                    <w:txbxContent>
                      <w:p>
                        <w:pPr>
                          <w:tabs>
                            <w:tab w:pos="511" w:val="left" w:leader="none"/>
                          </w:tabs>
                          <w:spacing w:line="158" w:lineRule="exact" w:before="0"/>
                          <w:ind w:left="0" w:right="0" w:firstLine="0"/>
                          <w:jc w:val="left"/>
                          <w:rPr>
                            <w:rFonts w:ascii="Arial"/>
                            <w:sz w:val="14"/>
                          </w:rPr>
                        </w:pPr>
                        <w:r>
                          <w:rPr>
                            <w:rFonts w:ascii="Arial"/>
                            <w:color w:val="231F20"/>
                            <w:spacing w:val="-4"/>
                            <w:sz w:val="14"/>
                          </w:rPr>
                          <w:t>2018</w:t>
                        </w:r>
                        <w:r>
                          <w:rPr>
                            <w:rFonts w:ascii="Arial"/>
                            <w:color w:val="231F20"/>
                            <w:sz w:val="14"/>
                          </w:rPr>
                          <w:tab/>
                        </w:r>
                        <w:r>
                          <w:rPr>
                            <w:rFonts w:ascii="Arial"/>
                            <w:color w:val="231F20"/>
                            <w:spacing w:val="-9"/>
                            <w:sz w:val="14"/>
                          </w:rPr>
                          <w:t>2023</w:t>
                        </w:r>
                      </w:p>
                    </w:txbxContent>
                  </v:textbox>
                  <w10:wrap type="none"/>
                </v:shape>
                <v:shape style="position:absolute;left:275;top:1521;width:88;height:159" type="#_x0000_t202" id="docshape577" filled="false" stroked="false">
                  <v:textbox inset="0,0,0,0">
                    <w:txbxContent>
                      <w:p>
                        <w:pPr>
                          <w:spacing w:line="158" w:lineRule="exact" w:before="0"/>
                          <w:ind w:left="0" w:right="0" w:firstLine="0"/>
                          <w:jc w:val="left"/>
                          <w:rPr>
                            <w:rFonts w:ascii="Arial"/>
                            <w:sz w:val="14"/>
                          </w:rPr>
                        </w:pPr>
                        <w:r>
                          <w:rPr>
                            <w:rFonts w:ascii="Arial"/>
                            <w:color w:val="231F20"/>
                            <w:spacing w:val="-10"/>
                            <w:sz w:val="14"/>
                          </w:rPr>
                          <w:t>4</w:t>
                        </w:r>
                      </w:p>
                    </w:txbxContent>
                  </v:textbox>
                  <w10:wrap type="none"/>
                </v:shape>
                <v:shape style="position:absolute;left:275;top:2228;width:88;height:159" type="#_x0000_t202" id="docshape578" filled="false" stroked="false">
                  <v:textbox inset="0,0,0,0">
                    <w:txbxContent>
                      <w:p>
                        <w:pPr>
                          <w:spacing w:line="158" w:lineRule="exact" w:before="0"/>
                          <w:ind w:left="0" w:right="0" w:firstLine="0"/>
                          <w:jc w:val="left"/>
                          <w:rPr>
                            <w:rFonts w:ascii="Arial"/>
                            <w:sz w:val="14"/>
                          </w:rPr>
                        </w:pPr>
                        <w:r>
                          <w:rPr>
                            <w:rFonts w:ascii="Arial"/>
                            <w:color w:val="231F20"/>
                            <w:spacing w:val="-10"/>
                            <w:sz w:val="14"/>
                          </w:rPr>
                          <w:t>3</w:t>
                        </w:r>
                      </w:p>
                    </w:txbxContent>
                  </v:textbox>
                  <w10:wrap type="none"/>
                </v:shape>
                <v:shape style="position:absolute;left:275;top:2935;width:88;height:159" type="#_x0000_t202" id="docshape579" filled="false" stroked="false">
                  <v:textbox inset="0,0,0,0">
                    <w:txbxContent>
                      <w:p>
                        <w:pPr>
                          <w:spacing w:line="158" w:lineRule="exact" w:before="0"/>
                          <w:ind w:left="0" w:right="0" w:firstLine="0"/>
                          <w:jc w:val="left"/>
                          <w:rPr>
                            <w:rFonts w:ascii="Arial"/>
                            <w:sz w:val="14"/>
                          </w:rPr>
                        </w:pPr>
                        <w:r>
                          <w:rPr>
                            <w:rFonts w:ascii="Arial"/>
                            <w:color w:val="231F20"/>
                            <w:spacing w:val="-10"/>
                            <w:sz w:val="14"/>
                          </w:rPr>
                          <w:t>2</w:t>
                        </w:r>
                      </w:p>
                    </w:txbxContent>
                  </v:textbox>
                  <w10:wrap type="none"/>
                </v:shape>
                <v:shape style="position:absolute;left:275;top:3641;width:88;height:159" type="#_x0000_t202" id="docshape580" filled="false" stroked="false">
                  <v:textbox inset="0,0,0,0">
                    <w:txbxContent>
                      <w:p>
                        <w:pPr>
                          <w:spacing w:line="158" w:lineRule="exact" w:before="0"/>
                          <w:ind w:left="0" w:right="0" w:firstLine="0"/>
                          <w:jc w:val="left"/>
                          <w:rPr>
                            <w:rFonts w:ascii="Arial"/>
                            <w:sz w:val="14"/>
                          </w:rPr>
                        </w:pPr>
                        <w:r>
                          <w:rPr>
                            <w:rFonts w:ascii="Arial"/>
                            <w:color w:val="231F20"/>
                            <w:spacing w:val="-10"/>
                            <w:sz w:val="14"/>
                          </w:rPr>
                          <w:t>1</w:t>
                        </w:r>
                      </w:p>
                    </w:txbxContent>
                  </v:textbox>
                  <w10:wrap type="none"/>
                </v:shape>
                <v:shape style="position:absolute;left:630;top:3742;width:1912;height:159" type="#_x0000_t202" id="docshape581" filled="false" stroked="false">
                  <v:textbox inset="0,0,0,0">
                    <w:txbxContent>
                      <w:p>
                        <w:pPr>
                          <w:tabs>
                            <w:tab w:pos="1132" w:val="left" w:leader="none"/>
                          </w:tabs>
                          <w:spacing w:line="158" w:lineRule="exact" w:before="0"/>
                          <w:ind w:left="0" w:right="0" w:firstLine="0"/>
                          <w:jc w:val="left"/>
                          <w:rPr>
                            <w:rFonts w:ascii="Arial"/>
                            <w:sz w:val="14"/>
                          </w:rPr>
                        </w:pPr>
                        <w:r>
                          <w:rPr>
                            <w:rFonts w:ascii="Arial"/>
                            <w:color w:val="231F20"/>
                            <w:w w:val="75"/>
                            <w:sz w:val="14"/>
                          </w:rPr>
                          <w:t>Bottom</w:t>
                        </w:r>
                        <w:r>
                          <w:rPr>
                            <w:rFonts w:ascii="Arial"/>
                            <w:color w:val="231F20"/>
                            <w:spacing w:val="11"/>
                            <w:sz w:val="14"/>
                          </w:rPr>
                          <w:t> </w:t>
                        </w:r>
                        <w:r>
                          <w:rPr>
                            <w:rFonts w:ascii="Arial"/>
                            <w:color w:val="231F20"/>
                            <w:spacing w:val="-2"/>
                            <w:w w:val="95"/>
                            <w:sz w:val="14"/>
                          </w:rPr>
                          <w:t>quintile</w:t>
                        </w:r>
                        <w:r>
                          <w:rPr>
                            <w:rFonts w:ascii="Arial"/>
                            <w:color w:val="231F20"/>
                            <w:sz w:val="14"/>
                          </w:rPr>
                          <w:tab/>
                        </w:r>
                        <w:r>
                          <w:rPr>
                            <w:rFonts w:ascii="Arial"/>
                            <w:color w:val="231F20"/>
                            <w:w w:val="75"/>
                            <w:sz w:val="14"/>
                          </w:rPr>
                          <w:t>Second</w:t>
                        </w:r>
                        <w:r>
                          <w:rPr>
                            <w:rFonts w:ascii="Arial"/>
                            <w:color w:val="231F20"/>
                            <w:spacing w:val="3"/>
                            <w:sz w:val="14"/>
                          </w:rPr>
                          <w:t> </w:t>
                        </w:r>
                        <w:r>
                          <w:rPr>
                            <w:rFonts w:ascii="Arial"/>
                            <w:color w:val="231F20"/>
                            <w:spacing w:val="-2"/>
                            <w:w w:val="85"/>
                            <w:sz w:val="14"/>
                          </w:rPr>
                          <w:t>quintile</w:t>
                        </w:r>
                      </w:p>
                    </w:txbxContent>
                  </v:textbox>
                  <w10:wrap type="none"/>
                </v:shape>
                <v:shape style="position:absolute;left:2961;top:3742;width:662;height:159" type="#_x0000_t202" id="docshape582" filled="false" stroked="false">
                  <v:textbox inset="0,0,0,0">
                    <w:txbxContent>
                      <w:p>
                        <w:pPr>
                          <w:spacing w:line="158" w:lineRule="exact" w:before="0"/>
                          <w:ind w:left="0" w:right="0" w:firstLine="0"/>
                          <w:jc w:val="left"/>
                          <w:rPr>
                            <w:rFonts w:ascii="Arial"/>
                            <w:sz w:val="14"/>
                          </w:rPr>
                        </w:pPr>
                        <w:r>
                          <w:rPr>
                            <w:rFonts w:ascii="Arial"/>
                            <w:color w:val="231F20"/>
                            <w:w w:val="75"/>
                            <w:sz w:val="14"/>
                          </w:rPr>
                          <w:t>Third</w:t>
                        </w:r>
                        <w:r>
                          <w:rPr>
                            <w:rFonts w:ascii="Arial"/>
                            <w:color w:val="231F20"/>
                            <w:spacing w:val="3"/>
                            <w:sz w:val="14"/>
                          </w:rPr>
                          <w:t> </w:t>
                        </w:r>
                        <w:r>
                          <w:rPr>
                            <w:rFonts w:ascii="Arial"/>
                            <w:color w:val="231F20"/>
                            <w:spacing w:val="-2"/>
                            <w:w w:val="85"/>
                            <w:sz w:val="14"/>
                          </w:rPr>
                          <w:t>quintile</w:t>
                        </w:r>
                      </w:p>
                    </w:txbxContent>
                  </v:textbox>
                  <w10:wrap type="none"/>
                </v:shape>
                <v:shape style="position:absolute;left:4069;top:3742;width:727;height:159" type="#_x0000_t202" id="docshape583" filled="false" stroked="false">
                  <v:textbox inset="0,0,0,0">
                    <w:txbxContent>
                      <w:p>
                        <w:pPr>
                          <w:spacing w:line="158" w:lineRule="exact" w:before="0"/>
                          <w:ind w:left="0" w:right="0" w:firstLine="0"/>
                          <w:jc w:val="left"/>
                          <w:rPr>
                            <w:rFonts w:ascii="Arial"/>
                            <w:sz w:val="14"/>
                          </w:rPr>
                        </w:pPr>
                        <w:r>
                          <w:rPr>
                            <w:rFonts w:ascii="Arial"/>
                            <w:color w:val="231F20"/>
                            <w:w w:val="75"/>
                            <w:sz w:val="14"/>
                          </w:rPr>
                          <w:t>Fourth</w:t>
                        </w:r>
                        <w:r>
                          <w:rPr>
                            <w:rFonts w:ascii="Arial"/>
                            <w:color w:val="231F20"/>
                            <w:spacing w:val="6"/>
                            <w:sz w:val="14"/>
                          </w:rPr>
                          <w:t> </w:t>
                        </w:r>
                        <w:r>
                          <w:rPr>
                            <w:rFonts w:ascii="Arial"/>
                            <w:color w:val="231F20"/>
                            <w:spacing w:val="-2"/>
                            <w:w w:val="85"/>
                            <w:sz w:val="14"/>
                          </w:rPr>
                          <w:t>quintile</w:t>
                        </w:r>
                      </w:p>
                    </w:txbxContent>
                  </v:textbox>
                  <w10:wrap type="none"/>
                </v:shape>
                <v:shape style="position:absolute;left:5280;top:3742;width:585;height:159" type="#_x0000_t202" id="docshape584" filled="false" stroked="false">
                  <v:textbox inset="0,0,0,0">
                    <w:txbxContent>
                      <w:p>
                        <w:pPr>
                          <w:spacing w:line="158" w:lineRule="exact" w:before="0"/>
                          <w:ind w:left="0" w:right="0" w:firstLine="0"/>
                          <w:jc w:val="left"/>
                          <w:rPr>
                            <w:rFonts w:ascii="Arial"/>
                            <w:sz w:val="14"/>
                          </w:rPr>
                        </w:pPr>
                        <w:r>
                          <w:rPr>
                            <w:rFonts w:ascii="Arial"/>
                            <w:color w:val="231F20"/>
                            <w:spacing w:val="-4"/>
                            <w:w w:val="75"/>
                            <w:sz w:val="14"/>
                          </w:rPr>
                          <w:t>Top</w:t>
                        </w:r>
                        <w:r>
                          <w:rPr>
                            <w:rFonts w:ascii="Arial"/>
                            <w:color w:val="231F20"/>
                            <w:spacing w:val="-3"/>
                            <w:sz w:val="14"/>
                          </w:rPr>
                          <w:t> </w:t>
                        </w:r>
                        <w:r>
                          <w:rPr>
                            <w:rFonts w:ascii="Arial"/>
                            <w:color w:val="231F20"/>
                            <w:spacing w:val="-2"/>
                            <w:w w:val="85"/>
                            <w:sz w:val="14"/>
                          </w:rPr>
                          <w:t>quintile</w:t>
                        </w:r>
                      </w:p>
                    </w:txbxContent>
                  </v:textbox>
                  <w10:wrap type="none"/>
                </v:shape>
                <v:shape style="position:absolute;left:120;top:4017;width:2302;height:144" type="#_x0000_t202" id="docshape585" filled="false" stroked="false">
                  <v:textbox inset="0,0,0,0">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5"/>
                            <w:sz w:val="12"/>
                          </w:rPr>
                          <w:t> </w:t>
                        </w:r>
                        <w:r>
                          <w:rPr>
                            <w:rFonts w:ascii="Arial"/>
                            <w:color w:val="231F20"/>
                            <w:w w:val="80"/>
                            <w:sz w:val="12"/>
                          </w:rPr>
                          <w:t>2018</w:t>
                        </w:r>
                        <w:r>
                          <w:rPr>
                            <w:rFonts w:ascii="Arial"/>
                            <w:color w:val="231F20"/>
                            <w:spacing w:val="-5"/>
                            <w:sz w:val="12"/>
                          </w:rPr>
                          <w:t> </w:t>
                        </w:r>
                        <w:r>
                          <w:rPr>
                            <w:rFonts w:ascii="Arial"/>
                            <w:color w:val="231F20"/>
                            <w:w w:val="80"/>
                            <w:sz w:val="12"/>
                          </w:rPr>
                          <w:t>and</w:t>
                        </w:r>
                        <w:r>
                          <w:rPr>
                            <w:rFonts w:ascii="Arial"/>
                            <w:color w:val="231F20"/>
                            <w:spacing w:val="-5"/>
                            <w:sz w:val="12"/>
                          </w:rPr>
                          <w:t> </w:t>
                        </w:r>
                        <w:r>
                          <w:rPr>
                            <w:rFonts w:ascii="Arial"/>
                            <w:color w:val="231F20"/>
                            <w:w w:val="80"/>
                            <w:sz w:val="12"/>
                          </w:rPr>
                          <w:t>2023</w:t>
                        </w:r>
                        <w:r>
                          <w:rPr>
                            <w:rFonts w:ascii="Arial"/>
                            <w:color w:val="231F20"/>
                            <w:spacing w:val="-5"/>
                            <w:sz w:val="12"/>
                          </w:rPr>
                          <w:t> </w:t>
                        </w:r>
                        <w:r>
                          <w:rPr>
                            <w:rFonts w:ascii="Arial"/>
                            <w:color w:val="231F20"/>
                            <w:w w:val="80"/>
                            <w:sz w:val="12"/>
                          </w:rPr>
                          <w:t>Logistics</w:t>
                        </w:r>
                        <w:r>
                          <w:rPr>
                            <w:rFonts w:ascii="Arial"/>
                            <w:color w:val="231F20"/>
                            <w:spacing w:val="-4"/>
                            <w:sz w:val="12"/>
                          </w:rPr>
                          <w:t> </w:t>
                        </w:r>
                        <w:r>
                          <w:rPr>
                            <w:rFonts w:ascii="Arial"/>
                            <w:color w:val="231F20"/>
                            <w:w w:val="80"/>
                            <w:sz w:val="12"/>
                          </w:rPr>
                          <w:t>Performance</w:t>
                        </w:r>
                        <w:r>
                          <w:rPr>
                            <w:rFonts w:ascii="Arial"/>
                            <w:color w:val="231F20"/>
                            <w:spacing w:val="-5"/>
                            <w:sz w:val="12"/>
                          </w:rPr>
                          <w:t> </w:t>
                        </w:r>
                        <w:r>
                          <w:rPr>
                            <w:rFonts w:ascii="Arial"/>
                            <w:color w:val="231F20"/>
                            <w:spacing w:val="-2"/>
                            <w:w w:val="80"/>
                            <w:sz w:val="12"/>
                          </w:rPr>
                          <w:t>Index.</w:t>
                        </w:r>
                      </w:p>
                    </w:txbxContent>
                  </v:textbox>
                  <w10:wrap type="none"/>
                </v:shape>
              </v:group>
            </w:pict>
          </mc:Fallback>
        </mc:AlternateContent>
      </w:r>
      <w:r>
        <w:rPr>
          <w:position w:val="60"/>
          <w:sz w:val="20"/>
        </w:rPr>
      </w:r>
      <w:r>
        <w:rPr>
          <w:position w:val="60"/>
          <w:sz w:val="20"/>
        </w:rPr>
        <w:tab/>
      </w:r>
      <w:r>
        <w:rPr>
          <w:sz w:val="20"/>
        </w:rPr>
        <mc:AlternateContent>
          <mc:Choice Requires="wps">
            <w:drawing>
              <wp:inline distT="0" distB="0" distL="0" distR="0">
                <wp:extent cx="2362835" cy="3117850"/>
                <wp:effectExtent l="0" t="9525" r="0" b="6350"/>
                <wp:docPr id="704" name="Group 704"/>
                <wp:cNvGraphicFramePr>
                  <a:graphicFrameLocks/>
                </wp:cNvGraphicFramePr>
                <a:graphic>
                  <a:graphicData uri="http://schemas.microsoft.com/office/word/2010/wordprocessingGroup">
                    <wpg:wgp>
                      <wpg:cNvPr id="704" name="Group 704"/>
                      <wpg:cNvGrpSpPr/>
                      <wpg:grpSpPr>
                        <a:xfrm>
                          <a:off x="0" y="0"/>
                          <a:ext cx="2362835" cy="3117850"/>
                          <a:chExt cx="2362835" cy="3117850"/>
                        </a:xfrm>
                      </wpg:grpSpPr>
                      <wps:wsp>
                        <wps:cNvPr id="705" name="Graphic 705"/>
                        <wps:cNvSpPr/>
                        <wps:spPr>
                          <a:xfrm>
                            <a:off x="198" y="386736"/>
                            <a:ext cx="2362200" cy="2731135"/>
                          </a:xfrm>
                          <a:custGeom>
                            <a:avLst/>
                            <a:gdLst/>
                            <a:ahLst/>
                            <a:cxnLst/>
                            <a:rect l="l" t="t" r="r" b="b"/>
                            <a:pathLst>
                              <a:path w="2362200" h="2731135">
                                <a:moveTo>
                                  <a:pt x="2362200" y="0"/>
                                </a:moveTo>
                                <a:lnTo>
                                  <a:pt x="0" y="0"/>
                                </a:lnTo>
                                <a:lnTo>
                                  <a:pt x="0" y="2656205"/>
                                </a:lnTo>
                                <a:lnTo>
                                  <a:pt x="6159" y="2685303"/>
                                </a:lnTo>
                                <a:lnTo>
                                  <a:pt x="22693" y="2709063"/>
                                </a:lnTo>
                                <a:lnTo>
                                  <a:pt x="46682" y="2725083"/>
                                </a:lnTo>
                                <a:lnTo>
                                  <a:pt x="75209" y="2730957"/>
                                </a:lnTo>
                                <a:lnTo>
                                  <a:pt x="2283320" y="2730957"/>
                                </a:lnTo>
                                <a:lnTo>
                                  <a:pt x="2312420" y="2725702"/>
                                </a:lnTo>
                                <a:lnTo>
                                  <a:pt x="2337671" y="2710716"/>
                                </a:lnTo>
                                <a:lnTo>
                                  <a:pt x="2355466" y="2687162"/>
                                </a:lnTo>
                                <a:lnTo>
                                  <a:pt x="2362200" y="2656205"/>
                                </a:lnTo>
                                <a:lnTo>
                                  <a:pt x="2362200" y="0"/>
                                </a:lnTo>
                                <a:close/>
                              </a:path>
                            </a:pathLst>
                          </a:custGeom>
                          <a:solidFill>
                            <a:srgbClr val="DFEAF7"/>
                          </a:solidFill>
                        </wps:spPr>
                        <wps:bodyPr wrap="square" lIns="0" tIns="0" rIns="0" bIns="0" rtlCol="0">
                          <a:prstTxWarp prst="textNoShape">
                            <a:avLst/>
                          </a:prstTxWarp>
                          <a:noAutofit/>
                        </wps:bodyPr>
                      </wps:wsp>
                      <wps:wsp>
                        <wps:cNvPr id="706" name="Graphic 706"/>
                        <wps:cNvSpPr/>
                        <wps:spPr>
                          <a:xfrm>
                            <a:off x="219349" y="2497292"/>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707" name="Graphic 707"/>
                        <wps:cNvSpPr/>
                        <wps:spPr>
                          <a:xfrm>
                            <a:off x="219349" y="2042120"/>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708" name="Graphic 708"/>
                        <wps:cNvSpPr/>
                        <wps:spPr>
                          <a:xfrm>
                            <a:off x="219349" y="1586948"/>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709" name="Graphic 709"/>
                        <wps:cNvSpPr/>
                        <wps:spPr>
                          <a:xfrm>
                            <a:off x="219349" y="1131775"/>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710" name="Graphic 710"/>
                        <wps:cNvSpPr/>
                        <wps:spPr>
                          <a:xfrm>
                            <a:off x="219349" y="676603"/>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711" name="Graphic 711"/>
                        <wps:cNvSpPr/>
                        <wps:spPr>
                          <a:xfrm>
                            <a:off x="0" y="1643"/>
                            <a:ext cx="512445" cy="358775"/>
                          </a:xfrm>
                          <a:custGeom>
                            <a:avLst/>
                            <a:gdLst/>
                            <a:ahLst/>
                            <a:cxnLst/>
                            <a:rect l="l" t="t" r="r" b="b"/>
                            <a:pathLst>
                              <a:path w="512445" h="358775">
                                <a:moveTo>
                                  <a:pt x="512178" y="0"/>
                                </a:moveTo>
                                <a:lnTo>
                                  <a:pt x="76200" y="0"/>
                                </a:lnTo>
                                <a:lnTo>
                                  <a:pt x="47213" y="3058"/>
                                </a:lnTo>
                                <a:lnTo>
                                  <a:pt x="22917" y="14506"/>
                                </a:lnTo>
                                <a:lnTo>
                                  <a:pt x="6212" y="37751"/>
                                </a:lnTo>
                                <a:lnTo>
                                  <a:pt x="0" y="76200"/>
                                </a:lnTo>
                                <a:lnTo>
                                  <a:pt x="0" y="358775"/>
                                </a:lnTo>
                                <a:lnTo>
                                  <a:pt x="512178" y="358775"/>
                                </a:lnTo>
                                <a:lnTo>
                                  <a:pt x="512178" y="0"/>
                                </a:lnTo>
                                <a:close/>
                              </a:path>
                            </a:pathLst>
                          </a:custGeom>
                          <a:solidFill>
                            <a:srgbClr val="008FDD"/>
                          </a:solidFill>
                        </wps:spPr>
                        <wps:bodyPr wrap="square" lIns="0" tIns="0" rIns="0" bIns="0" rtlCol="0">
                          <a:prstTxWarp prst="textNoShape">
                            <a:avLst/>
                          </a:prstTxWarp>
                          <a:noAutofit/>
                        </wps:bodyPr>
                      </wps:wsp>
                      <wps:wsp>
                        <wps:cNvPr id="712" name="Graphic 712"/>
                        <wps:cNvSpPr/>
                        <wps:spPr>
                          <a:xfrm>
                            <a:off x="512178" y="1643"/>
                            <a:ext cx="1849755" cy="358775"/>
                          </a:xfrm>
                          <a:custGeom>
                            <a:avLst/>
                            <a:gdLst/>
                            <a:ahLst/>
                            <a:cxnLst/>
                            <a:rect l="l" t="t" r="r" b="b"/>
                            <a:pathLst>
                              <a:path w="1849755" h="358775">
                                <a:moveTo>
                                  <a:pt x="1773326" y="0"/>
                                </a:moveTo>
                                <a:lnTo>
                                  <a:pt x="0" y="0"/>
                                </a:lnTo>
                                <a:lnTo>
                                  <a:pt x="0" y="358775"/>
                                </a:lnTo>
                                <a:lnTo>
                                  <a:pt x="1849526" y="358775"/>
                                </a:lnTo>
                                <a:lnTo>
                                  <a:pt x="1849526" y="76200"/>
                                </a:lnTo>
                                <a:lnTo>
                                  <a:pt x="1844020" y="50979"/>
                                </a:lnTo>
                                <a:lnTo>
                                  <a:pt x="1828495" y="26265"/>
                                </a:lnTo>
                                <a:lnTo>
                                  <a:pt x="1804435" y="7468"/>
                                </a:lnTo>
                                <a:lnTo>
                                  <a:pt x="1773326" y="0"/>
                                </a:lnTo>
                                <a:close/>
                              </a:path>
                            </a:pathLst>
                          </a:custGeom>
                          <a:solidFill>
                            <a:srgbClr val="808285"/>
                          </a:solidFill>
                        </wps:spPr>
                        <wps:bodyPr wrap="square" lIns="0" tIns="0" rIns="0" bIns="0" rtlCol="0">
                          <a:prstTxWarp prst="textNoShape">
                            <a:avLst/>
                          </a:prstTxWarp>
                          <a:noAutofit/>
                        </wps:bodyPr>
                      </wps:wsp>
                      <wps:wsp>
                        <wps:cNvPr id="713" name="Graphic 713"/>
                        <wps:cNvSpPr/>
                        <wps:spPr>
                          <a:xfrm>
                            <a:off x="512179" y="0"/>
                            <a:ext cx="1270" cy="360680"/>
                          </a:xfrm>
                          <a:custGeom>
                            <a:avLst/>
                            <a:gdLst/>
                            <a:ahLst/>
                            <a:cxnLst/>
                            <a:rect l="l" t="t" r="r" b="b"/>
                            <a:pathLst>
                              <a:path w="0" h="360680">
                                <a:moveTo>
                                  <a:pt x="0" y="0"/>
                                </a:moveTo>
                                <a:lnTo>
                                  <a:pt x="0" y="360413"/>
                                </a:lnTo>
                              </a:path>
                            </a:pathLst>
                          </a:custGeom>
                          <a:ln w="25400">
                            <a:solidFill>
                              <a:srgbClr val="FFFFFF"/>
                            </a:solidFill>
                            <a:prstDash val="solid"/>
                          </a:ln>
                        </wps:spPr>
                        <wps:bodyPr wrap="square" lIns="0" tIns="0" rIns="0" bIns="0" rtlCol="0">
                          <a:prstTxWarp prst="textNoShape">
                            <a:avLst/>
                          </a:prstTxWarp>
                          <a:noAutofit/>
                        </wps:bodyPr>
                      </wps:wsp>
                      <wps:wsp>
                        <wps:cNvPr id="714" name="Graphic 714"/>
                        <wps:cNvSpPr/>
                        <wps:spPr>
                          <a:xfrm>
                            <a:off x="219348" y="2497292"/>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715" name="Graphic 715"/>
                        <wps:cNvSpPr/>
                        <wps:spPr>
                          <a:xfrm>
                            <a:off x="477742" y="1905878"/>
                            <a:ext cx="1270" cy="136525"/>
                          </a:xfrm>
                          <a:custGeom>
                            <a:avLst/>
                            <a:gdLst/>
                            <a:ahLst/>
                            <a:cxnLst/>
                            <a:rect l="l" t="t" r="r" b="b"/>
                            <a:pathLst>
                              <a:path w="0" h="136525">
                                <a:moveTo>
                                  <a:pt x="0" y="0"/>
                                </a:moveTo>
                                <a:lnTo>
                                  <a:pt x="0" y="136245"/>
                                </a:lnTo>
                              </a:path>
                            </a:pathLst>
                          </a:custGeom>
                          <a:ln w="6350">
                            <a:solidFill>
                              <a:srgbClr val="231F20"/>
                            </a:solidFill>
                            <a:prstDash val="solid"/>
                          </a:ln>
                        </wps:spPr>
                        <wps:bodyPr wrap="square" lIns="0" tIns="0" rIns="0" bIns="0" rtlCol="0">
                          <a:prstTxWarp prst="textNoShape">
                            <a:avLst/>
                          </a:prstTxWarp>
                          <a:noAutofit/>
                        </wps:bodyPr>
                      </wps:wsp>
                      <wps:wsp>
                        <wps:cNvPr id="716" name="Graphic 716"/>
                        <wps:cNvSpPr/>
                        <wps:spPr>
                          <a:xfrm>
                            <a:off x="477742" y="1678288"/>
                            <a:ext cx="1270" cy="136525"/>
                          </a:xfrm>
                          <a:custGeom>
                            <a:avLst/>
                            <a:gdLst/>
                            <a:ahLst/>
                            <a:cxnLst/>
                            <a:rect l="l" t="t" r="r" b="b"/>
                            <a:pathLst>
                              <a:path w="0" h="136525">
                                <a:moveTo>
                                  <a:pt x="0" y="13624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17" name="Graphic 717"/>
                        <wps:cNvSpPr/>
                        <wps:spPr>
                          <a:xfrm>
                            <a:off x="391257" y="2042120"/>
                            <a:ext cx="173355" cy="1270"/>
                          </a:xfrm>
                          <a:custGeom>
                            <a:avLst/>
                            <a:gdLst/>
                            <a:ahLst/>
                            <a:cxnLst/>
                            <a:rect l="l" t="t" r="r" b="b"/>
                            <a:pathLst>
                              <a:path w="173355" h="0">
                                <a:moveTo>
                                  <a:pt x="0" y="0"/>
                                </a:moveTo>
                                <a:lnTo>
                                  <a:pt x="172961" y="0"/>
                                </a:lnTo>
                              </a:path>
                            </a:pathLst>
                          </a:custGeom>
                          <a:ln w="6350">
                            <a:solidFill>
                              <a:srgbClr val="231F20"/>
                            </a:solidFill>
                            <a:prstDash val="solid"/>
                          </a:ln>
                        </wps:spPr>
                        <wps:bodyPr wrap="square" lIns="0" tIns="0" rIns="0" bIns="0" rtlCol="0">
                          <a:prstTxWarp prst="textNoShape">
                            <a:avLst/>
                          </a:prstTxWarp>
                          <a:noAutofit/>
                        </wps:bodyPr>
                      </wps:wsp>
                      <wps:wsp>
                        <wps:cNvPr id="718" name="Graphic 718"/>
                        <wps:cNvSpPr/>
                        <wps:spPr>
                          <a:xfrm>
                            <a:off x="391257" y="1678292"/>
                            <a:ext cx="173355" cy="1270"/>
                          </a:xfrm>
                          <a:custGeom>
                            <a:avLst/>
                            <a:gdLst/>
                            <a:ahLst/>
                            <a:cxnLst/>
                            <a:rect l="l" t="t" r="r" b="b"/>
                            <a:pathLst>
                              <a:path w="173355" h="0">
                                <a:moveTo>
                                  <a:pt x="0" y="0"/>
                                </a:moveTo>
                                <a:lnTo>
                                  <a:pt x="172961" y="0"/>
                                </a:lnTo>
                              </a:path>
                            </a:pathLst>
                          </a:custGeom>
                          <a:ln w="6350">
                            <a:solidFill>
                              <a:srgbClr val="231F20"/>
                            </a:solidFill>
                            <a:prstDash val="solid"/>
                          </a:ln>
                        </wps:spPr>
                        <wps:bodyPr wrap="square" lIns="0" tIns="0" rIns="0" bIns="0" rtlCol="0">
                          <a:prstTxWarp prst="textNoShape">
                            <a:avLst/>
                          </a:prstTxWarp>
                          <a:noAutofit/>
                        </wps:bodyPr>
                      </wps:wsp>
                      <wps:wsp>
                        <wps:cNvPr id="719" name="Graphic 719"/>
                        <wps:cNvSpPr/>
                        <wps:spPr>
                          <a:xfrm>
                            <a:off x="994335" y="1860205"/>
                            <a:ext cx="1270" cy="136525"/>
                          </a:xfrm>
                          <a:custGeom>
                            <a:avLst/>
                            <a:gdLst/>
                            <a:ahLst/>
                            <a:cxnLst/>
                            <a:rect l="l" t="t" r="r" b="b"/>
                            <a:pathLst>
                              <a:path w="0" h="136525">
                                <a:moveTo>
                                  <a:pt x="0" y="0"/>
                                </a:moveTo>
                                <a:lnTo>
                                  <a:pt x="0" y="136245"/>
                                </a:lnTo>
                              </a:path>
                            </a:pathLst>
                          </a:custGeom>
                          <a:ln w="6350">
                            <a:solidFill>
                              <a:srgbClr val="231F20"/>
                            </a:solidFill>
                            <a:prstDash val="solid"/>
                          </a:ln>
                        </wps:spPr>
                        <wps:bodyPr wrap="square" lIns="0" tIns="0" rIns="0" bIns="0" rtlCol="0">
                          <a:prstTxWarp prst="textNoShape">
                            <a:avLst/>
                          </a:prstTxWarp>
                          <a:noAutofit/>
                        </wps:bodyPr>
                      </wps:wsp>
                      <wps:wsp>
                        <wps:cNvPr id="720" name="Graphic 720"/>
                        <wps:cNvSpPr/>
                        <wps:spPr>
                          <a:xfrm>
                            <a:off x="994335" y="1405039"/>
                            <a:ext cx="1270" cy="273685"/>
                          </a:xfrm>
                          <a:custGeom>
                            <a:avLst/>
                            <a:gdLst/>
                            <a:ahLst/>
                            <a:cxnLst/>
                            <a:rect l="l" t="t" r="r" b="b"/>
                            <a:pathLst>
                              <a:path w="0" h="273685">
                                <a:moveTo>
                                  <a:pt x="0" y="273253"/>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21" name="Graphic 721"/>
                        <wps:cNvSpPr/>
                        <wps:spPr>
                          <a:xfrm>
                            <a:off x="907851" y="1996448"/>
                            <a:ext cx="173355" cy="1270"/>
                          </a:xfrm>
                          <a:custGeom>
                            <a:avLst/>
                            <a:gdLst/>
                            <a:ahLst/>
                            <a:cxnLst/>
                            <a:rect l="l" t="t" r="r" b="b"/>
                            <a:pathLst>
                              <a:path w="173355" h="0">
                                <a:moveTo>
                                  <a:pt x="0" y="0"/>
                                </a:moveTo>
                                <a:lnTo>
                                  <a:pt x="172961" y="0"/>
                                </a:lnTo>
                              </a:path>
                            </a:pathLst>
                          </a:custGeom>
                          <a:ln w="6350">
                            <a:solidFill>
                              <a:srgbClr val="231F20"/>
                            </a:solidFill>
                            <a:prstDash val="solid"/>
                          </a:ln>
                        </wps:spPr>
                        <wps:bodyPr wrap="square" lIns="0" tIns="0" rIns="0" bIns="0" rtlCol="0">
                          <a:prstTxWarp prst="textNoShape">
                            <a:avLst/>
                          </a:prstTxWarp>
                          <a:noAutofit/>
                        </wps:bodyPr>
                      </wps:wsp>
                      <wps:wsp>
                        <wps:cNvPr id="722" name="Graphic 722"/>
                        <wps:cNvSpPr/>
                        <wps:spPr>
                          <a:xfrm>
                            <a:off x="907851" y="1405034"/>
                            <a:ext cx="173355" cy="1270"/>
                          </a:xfrm>
                          <a:custGeom>
                            <a:avLst/>
                            <a:gdLst/>
                            <a:ahLst/>
                            <a:cxnLst/>
                            <a:rect l="l" t="t" r="r" b="b"/>
                            <a:pathLst>
                              <a:path w="173355" h="0">
                                <a:moveTo>
                                  <a:pt x="0" y="0"/>
                                </a:moveTo>
                                <a:lnTo>
                                  <a:pt x="172961" y="0"/>
                                </a:lnTo>
                              </a:path>
                            </a:pathLst>
                          </a:custGeom>
                          <a:ln w="6350">
                            <a:solidFill>
                              <a:srgbClr val="231F20"/>
                            </a:solidFill>
                            <a:prstDash val="solid"/>
                          </a:ln>
                        </wps:spPr>
                        <wps:bodyPr wrap="square" lIns="0" tIns="0" rIns="0" bIns="0" rtlCol="0">
                          <a:prstTxWarp prst="textNoShape">
                            <a:avLst/>
                          </a:prstTxWarp>
                          <a:noAutofit/>
                        </wps:bodyPr>
                      </wps:wsp>
                      <wps:wsp>
                        <wps:cNvPr id="723" name="Graphic 723"/>
                        <wps:cNvSpPr/>
                        <wps:spPr>
                          <a:xfrm>
                            <a:off x="1511504" y="1814534"/>
                            <a:ext cx="1270" cy="273685"/>
                          </a:xfrm>
                          <a:custGeom>
                            <a:avLst/>
                            <a:gdLst/>
                            <a:ahLst/>
                            <a:cxnLst/>
                            <a:rect l="l" t="t" r="r" b="b"/>
                            <a:pathLst>
                              <a:path w="0" h="273685">
                                <a:moveTo>
                                  <a:pt x="0" y="0"/>
                                </a:moveTo>
                                <a:lnTo>
                                  <a:pt x="0" y="273253"/>
                                </a:lnTo>
                              </a:path>
                            </a:pathLst>
                          </a:custGeom>
                          <a:ln w="6350">
                            <a:solidFill>
                              <a:srgbClr val="231F20"/>
                            </a:solidFill>
                            <a:prstDash val="solid"/>
                          </a:ln>
                        </wps:spPr>
                        <wps:bodyPr wrap="square" lIns="0" tIns="0" rIns="0" bIns="0" rtlCol="0">
                          <a:prstTxWarp prst="textNoShape">
                            <a:avLst/>
                          </a:prstTxWarp>
                          <a:noAutofit/>
                        </wps:bodyPr>
                      </wps:wsp>
                      <wps:wsp>
                        <wps:cNvPr id="724" name="Graphic 724"/>
                        <wps:cNvSpPr/>
                        <wps:spPr>
                          <a:xfrm>
                            <a:off x="1511504" y="1268013"/>
                            <a:ext cx="1270" cy="319405"/>
                          </a:xfrm>
                          <a:custGeom>
                            <a:avLst/>
                            <a:gdLst/>
                            <a:ahLst/>
                            <a:cxnLst/>
                            <a:rect l="l" t="t" r="r" b="b"/>
                            <a:pathLst>
                              <a:path w="0" h="319405">
                                <a:moveTo>
                                  <a:pt x="0" y="31893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25" name="Graphic 725"/>
                        <wps:cNvSpPr/>
                        <wps:spPr>
                          <a:xfrm>
                            <a:off x="1424444" y="2087792"/>
                            <a:ext cx="173990" cy="1270"/>
                          </a:xfrm>
                          <a:custGeom>
                            <a:avLst/>
                            <a:gdLst/>
                            <a:ahLst/>
                            <a:cxnLst/>
                            <a:rect l="l" t="t" r="r" b="b"/>
                            <a:pathLst>
                              <a:path w="173990" h="0">
                                <a:moveTo>
                                  <a:pt x="0" y="0"/>
                                </a:moveTo>
                                <a:lnTo>
                                  <a:pt x="173545" y="0"/>
                                </a:lnTo>
                              </a:path>
                            </a:pathLst>
                          </a:custGeom>
                          <a:ln w="6350">
                            <a:solidFill>
                              <a:srgbClr val="231F20"/>
                            </a:solidFill>
                            <a:prstDash val="solid"/>
                          </a:ln>
                        </wps:spPr>
                        <wps:bodyPr wrap="square" lIns="0" tIns="0" rIns="0" bIns="0" rtlCol="0">
                          <a:prstTxWarp prst="textNoShape">
                            <a:avLst/>
                          </a:prstTxWarp>
                          <a:noAutofit/>
                        </wps:bodyPr>
                      </wps:wsp>
                      <wps:wsp>
                        <wps:cNvPr id="726" name="Graphic 726"/>
                        <wps:cNvSpPr/>
                        <wps:spPr>
                          <a:xfrm>
                            <a:off x="1424444" y="1268017"/>
                            <a:ext cx="173990" cy="1270"/>
                          </a:xfrm>
                          <a:custGeom>
                            <a:avLst/>
                            <a:gdLst/>
                            <a:ahLst/>
                            <a:cxnLst/>
                            <a:rect l="l" t="t" r="r" b="b"/>
                            <a:pathLst>
                              <a:path w="173990" h="0">
                                <a:moveTo>
                                  <a:pt x="0" y="0"/>
                                </a:moveTo>
                                <a:lnTo>
                                  <a:pt x="173545" y="0"/>
                                </a:lnTo>
                              </a:path>
                            </a:pathLst>
                          </a:custGeom>
                          <a:ln w="6350">
                            <a:solidFill>
                              <a:srgbClr val="231F20"/>
                            </a:solidFill>
                            <a:prstDash val="solid"/>
                          </a:ln>
                        </wps:spPr>
                        <wps:bodyPr wrap="square" lIns="0" tIns="0" rIns="0" bIns="0" rtlCol="0">
                          <a:prstTxWarp prst="textNoShape">
                            <a:avLst/>
                          </a:prstTxWarp>
                          <a:noAutofit/>
                        </wps:bodyPr>
                      </wps:wsp>
                      <wps:wsp>
                        <wps:cNvPr id="727" name="Graphic 727"/>
                        <wps:cNvSpPr/>
                        <wps:spPr>
                          <a:xfrm>
                            <a:off x="2028097" y="1450705"/>
                            <a:ext cx="1270" cy="363855"/>
                          </a:xfrm>
                          <a:custGeom>
                            <a:avLst/>
                            <a:gdLst/>
                            <a:ahLst/>
                            <a:cxnLst/>
                            <a:rect l="l" t="t" r="r" b="b"/>
                            <a:pathLst>
                              <a:path w="0" h="363855">
                                <a:moveTo>
                                  <a:pt x="0" y="0"/>
                                </a:moveTo>
                                <a:lnTo>
                                  <a:pt x="0" y="363829"/>
                                </a:lnTo>
                              </a:path>
                            </a:pathLst>
                          </a:custGeom>
                          <a:ln w="6350">
                            <a:solidFill>
                              <a:srgbClr val="231F20"/>
                            </a:solidFill>
                            <a:prstDash val="solid"/>
                          </a:ln>
                        </wps:spPr>
                        <wps:bodyPr wrap="square" lIns="0" tIns="0" rIns="0" bIns="0" rtlCol="0">
                          <a:prstTxWarp prst="textNoShape">
                            <a:avLst/>
                          </a:prstTxWarp>
                          <a:noAutofit/>
                        </wps:bodyPr>
                      </wps:wsp>
                      <wps:wsp>
                        <wps:cNvPr id="728" name="Graphic 728"/>
                        <wps:cNvSpPr/>
                        <wps:spPr>
                          <a:xfrm>
                            <a:off x="2028097" y="994759"/>
                            <a:ext cx="1270" cy="182880"/>
                          </a:xfrm>
                          <a:custGeom>
                            <a:avLst/>
                            <a:gdLst/>
                            <a:ahLst/>
                            <a:cxnLst/>
                            <a:rect l="l" t="t" r="r" b="b"/>
                            <a:pathLst>
                              <a:path w="0" h="182880">
                                <a:moveTo>
                                  <a:pt x="0" y="18268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29" name="Graphic 729"/>
                        <wps:cNvSpPr/>
                        <wps:spPr>
                          <a:xfrm>
                            <a:off x="1941614" y="1814534"/>
                            <a:ext cx="173355" cy="1270"/>
                          </a:xfrm>
                          <a:custGeom>
                            <a:avLst/>
                            <a:gdLst/>
                            <a:ahLst/>
                            <a:cxnLst/>
                            <a:rect l="l" t="t" r="r" b="b"/>
                            <a:pathLst>
                              <a:path w="173355" h="0">
                                <a:moveTo>
                                  <a:pt x="0" y="0"/>
                                </a:moveTo>
                                <a:lnTo>
                                  <a:pt x="172961" y="0"/>
                                </a:lnTo>
                              </a:path>
                            </a:pathLst>
                          </a:custGeom>
                          <a:ln w="6350">
                            <a:solidFill>
                              <a:srgbClr val="231F20"/>
                            </a:solidFill>
                            <a:prstDash val="solid"/>
                          </a:ln>
                        </wps:spPr>
                        <wps:bodyPr wrap="square" lIns="0" tIns="0" rIns="0" bIns="0" rtlCol="0">
                          <a:prstTxWarp prst="textNoShape">
                            <a:avLst/>
                          </a:prstTxWarp>
                          <a:noAutofit/>
                        </wps:bodyPr>
                      </wps:wsp>
                      <wps:wsp>
                        <wps:cNvPr id="730" name="Graphic 730"/>
                        <wps:cNvSpPr/>
                        <wps:spPr>
                          <a:xfrm>
                            <a:off x="1941614" y="994760"/>
                            <a:ext cx="173355" cy="1270"/>
                          </a:xfrm>
                          <a:custGeom>
                            <a:avLst/>
                            <a:gdLst/>
                            <a:ahLst/>
                            <a:cxnLst/>
                            <a:rect l="l" t="t" r="r" b="b"/>
                            <a:pathLst>
                              <a:path w="173355" h="0">
                                <a:moveTo>
                                  <a:pt x="0" y="0"/>
                                </a:moveTo>
                                <a:lnTo>
                                  <a:pt x="172961" y="0"/>
                                </a:lnTo>
                              </a:path>
                            </a:pathLst>
                          </a:custGeom>
                          <a:ln w="6350">
                            <a:solidFill>
                              <a:srgbClr val="231F20"/>
                            </a:solidFill>
                            <a:prstDash val="solid"/>
                          </a:ln>
                        </wps:spPr>
                        <wps:bodyPr wrap="square" lIns="0" tIns="0" rIns="0" bIns="0" rtlCol="0">
                          <a:prstTxWarp prst="textNoShape">
                            <a:avLst/>
                          </a:prstTxWarp>
                          <a:noAutofit/>
                        </wps:bodyPr>
                      </wps:wsp>
                      <wps:wsp>
                        <wps:cNvPr id="731" name="Graphic 731"/>
                        <wps:cNvSpPr/>
                        <wps:spPr>
                          <a:xfrm>
                            <a:off x="458692" y="2068742"/>
                            <a:ext cx="38100" cy="38100"/>
                          </a:xfrm>
                          <a:custGeom>
                            <a:avLst/>
                            <a:gdLst/>
                            <a:ahLst/>
                            <a:cxnLst/>
                            <a:rect l="l" t="t" r="r" b="b"/>
                            <a:pathLst>
                              <a:path w="38100" h="38100">
                                <a:moveTo>
                                  <a:pt x="19050" y="0"/>
                                </a:moveTo>
                                <a:lnTo>
                                  <a:pt x="11637" y="1497"/>
                                </a:lnTo>
                                <a:lnTo>
                                  <a:pt x="5581" y="5581"/>
                                </a:lnTo>
                                <a:lnTo>
                                  <a:pt x="1497" y="11637"/>
                                </a:lnTo>
                                <a:lnTo>
                                  <a:pt x="0" y="19050"/>
                                </a:lnTo>
                                <a:lnTo>
                                  <a:pt x="1497" y="26462"/>
                                </a:lnTo>
                                <a:lnTo>
                                  <a:pt x="5581" y="32518"/>
                                </a:lnTo>
                                <a:lnTo>
                                  <a:pt x="11637" y="36602"/>
                                </a:lnTo>
                                <a:lnTo>
                                  <a:pt x="19050" y="38100"/>
                                </a:lnTo>
                                <a:lnTo>
                                  <a:pt x="26462" y="36602"/>
                                </a:lnTo>
                                <a:lnTo>
                                  <a:pt x="32518" y="32518"/>
                                </a:lnTo>
                                <a:lnTo>
                                  <a:pt x="36602" y="26462"/>
                                </a:lnTo>
                                <a:lnTo>
                                  <a:pt x="38100" y="19050"/>
                                </a:lnTo>
                                <a:lnTo>
                                  <a:pt x="36602" y="11637"/>
                                </a:lnTo>
                                <a:lnTo>
                                  <a:pt x="32518" y="5581"/>
                                </a:lnTo>
                                <a:lnTo>
                                  <a:pt x="26462" y="1497"/>
                                </a:lnTo>
                                <a:lnTo>
                                  <a:pt x="19050" y="0"/>
                                </a:lnTo>
                                <a:close/>
                              </a:path>
                            </a:pathLst>
                          </a:custGeom>
                          <a:solidFill>
                            <a:srgbClr val="008FDD"/>
                          </a:solidFill>
                        </wps:spPr>
                        <wps:bodyPr wrap="square" lIns="0" tIns="0" rIns="0" bIns="0" rtlCol="0">
                          <a:prstTxWarp prst="textNoShape">
                            <a:avLst/>
                          </a:prstTxWarp>
                          <a:noAutofit/>
                        </wps:bodyPr>
                      </wps:wsp>
                      <wps:wsp>
                        <wps:cNvPr id="732" name="Graphic 732"/>
                        <wps:cNvSpPr/>
                        <wps:spPr>
                          <a:xfrm>
                            <a:off x="458692" y="2068742"/>
                            <a:ext cx="38100" cy="38100"/>
                          </a:xfrm>
                          <a:custGeom>
                            <a:avLst/>
                            <a:gdLst/>
                            <a:ahLst/>
                            <a:cxnLst/>
                            <a:rect l="l" t="t" r="r" b="b"/>
                            <a:pathLst>
                              <a:path w="38100" h="38100">
                                <a:moveTo>
                                  <a:pt x="0" y="19050"/>
                                </a:moveTo>
                                <a:lnTo>
                                  <a:pt x="1497" y="26462"/>
                                </a:lnTo>
                                <a:lnTo>
                                  <a:pt x="5581" y="32518"/>
                                </a:lnTo>
                                <a:lnTo>
                                  <a:pt x="11637" y="36602"/>
                                </a:lnTo>
                                <a:lnTo>
                                  <a:pt x="19050" y="38100"/>
                                </a:lnTo>
                                <a:lnTo>
                                  <a:pt x="26462" y="36602"/>
                                </a:lnTo>
                                <a:lnTo>
                                  <a:pt x="32518" y="32518"/>
                                </a:lnTo>
                                <a:lnTo>
                                  <a:pt x="36602" y="26462"/>
                                </a:lnTo>
                                <a:lnTo>
                                  <a:pt x="38100" y="19050"/>
                                </a:lnTo>
                                <a:lnTo>
                                  <a:pt x="36602" y="11637"/>
                                </a:lnTo>
                                <a:lnTo>
                                  <a:pt x="32518" y="5581"/>
                                </a:lnTo>
                                <a:lnTo>
                                  <a:pt x="26462" y="1497"/>
                                </a:lnTo>
                                <a:lnTo>
                                  <a:pt x="19050" y="0"/>
                                </a:lnTo>
                                <a:lnTo>
                                  <a:pt x="11637" y="1497"/>
                                </a:lnTo>
                                <a:lnTo>
                                  <a:pt x="5581" y="5581"/>
                                </a:lnTo>
                                <a:lnTo>
                                  <a:pt x="1497" y="11637"/>
                                </a:lnTo>
                                <a:lnTo>
                                  <a:pt x="0" y="19050"/>
                                </a:lnTo>
                                <a:close/>
                              </a:path>
                            </a:pathLst>
                          </a:custGeom>
                          <a:ln w="3175">
                            <a:solidFill>
                              <a:srgbClr val="FFFFFF"/>
                            </a:solidFill>
                            <a:prstDash val="solid"/>
                          </a:ln>
                        </wps:spPr>
                        <wps:bodyPr wrap="square" lIns="0" tIns="0" rIns="0" bIns="0" rtlCol="0">
                          <a:prstTxWarp prst="textNoShape">
                            <a:avLst/>
                          </a:prstTxWarp>
                          <a:noAutofit/>
                        </wps:bodyPr>
                      </wps:wsp>
                      <wps:wsp>
                        <wps:cNvPr id="733" name="Graphic 733"/>
                        <wps:cNvSpPr/>
                        <wps:spPr>
                          <a:xfrm>
                            <a:off x="413918" y="1817623"/>
                            <a:ext cx="128270" cy="85725"/>
                          </a:xfrm>
                          <a:custGeom>
                            <a:avLst/>
                            <a:gdLst/>
                            <a:ahLst/>
                            <a:cxnLst/>
                            <a:rect l="l" t="t" r="r" b="b"/>
                            <a:pathLst>
                              <a:path w="128270" h="85725">
                                <a:moveTo>
                                  <a:pt x="127660" y="0"/>
                                </a:moveTo>
                                <a:lnTo>
                                  <a:pt x="0" y="0"/>
                                </a:lnTo>
                                <a:lnTo>
                                  <a:pt x="0" y="85153"/>
                                </a:lnTo>
                                <a:lnTo>
                                  <a:pt x="127660" y="85153"/>
                                </a:lnTo>
                                <a:lnTo>
                                  <a:pt x="127660" y="0"/>
                                </a:lnTo>
                                <a:close/>
                              </a:path>
                            </a:pathLst>
                          </a:custGeom>
                          <a:solidFill>
                            <a:srgbClr val="90BAE8"/>
                          </a:solidFill>
                        </wps:spPr>
                        <wps:bodyPr wrap="square" lIns="0" tIns="0" rIns="0" bIns="0" rtlCol="0">
                          <a:prstTxWarp prst="textNoShape">
                            <a:avLst/>
                          </a:prstTxWarp>
                          <a:noAutofit/>
                        </wps:bodyPr>
                      </wps:wsp>
                      <wps:wsp>
                        <wps:cNvPr id="734" name="Graphic 734"/>
                        <wps:cNvSpPr/>
                        <wps:spPr>
                          <a:xfrm>
                            <a:off x="413914" y="1817629"/>
                            <a:ext cx="128270" cy="85725"/>
                          </a:xfrm>
                          <a:custGeom>
                            <a:avLst/>
                            <a:gdLst/>
                            <a:ahLst/>
                            <a:cxnLst/>
                            <a:rect l="l" t="t" r="r" b="b"/>
                            <a:pathLst>
                              <a:path w="128270" h="85725">
                                <a:moveTo>
                                  <a:pt x="0" y="0"/>
                                </a:moveTo>
                                <a:lnTo>
                                  <a:pt x="127660" y="0"/>
                                </a:lnTo>
                                <a:lnTo>
                                  <a:pt x="127660" y="85153"/>
                                </a:lnTo>
                                <a:lnTo>
                                  <a:pt x="0" y="85153"/>
                                </a:lnTo>
                                <a:lnTo>
                                  <a:pt x="0" y="0"/>
                                </a:lnTo>
                                <a:close/>
                              </a:path>
                            </a:pathLst>
                          </a:custGeom>
                          <a:ln w="6349">
                            <a:solidFill>
                              <a:srgbClr val="008FDD"/>
                            </a:solidFill>
                            <a:prstDash val="solid"/>
                          </a:ln>
                        </wps:spPr>
                        <wps:bodyPr wrap="square" lIns="0" tIns="0" rIns="0" bIns="0" rtlCol="0">
                          <a:prstTxWarp prst="textNoShape">
                            <a:avLst/>
                          </a:prstTxWarp>
                          <a:noAutofit/>
                        </wps:bodyPr>
                      </wps:wsp>
                      <wps:wsp>
                        <wps:cNvPr id="735" name="Graphic 735"/>
                        <wps:cNvSpPr/>
                        <wps:spPr>
                          <a:xfrm>
                            <a:off x="930503" y="1681378"/>
                            <a:ext cx="128270" cy="175895"/>
                          </a:xfrm>
                          <a:custGeom>
                            <a:avLst/>
                            <a:gdLst/>
                            <a:ahLst/>
                            <a:cxnLst/>
                            <a:rect l="l" t="t" r="r" b="b"/>
                            <a:pathLst>
                              <a:path w="128270" h="175895">
                                <a:moveTo>
                                  <a:pt x="127660" y="0"/>
                                </a:moveTo>
                                <a:lnTo>
                                  <a:pt x="0" y="0"/>
                                </a:lnTo>
                                <a:lnTo>
                                  <a:pt x="0" y="175717"/>
                                </a:lnTo>
                                <a:lnTo>
                                  <a:pt x="127660" y="175717"/>
                                </a:lnTo>
                                <a:lnTo>
                                  <a:pt x="127660" y="0"/>
                                </a:lnTo>
                                <a:close/>
                              </a:path>
                            </a:pathLst>
                          </a:custGeom>
                          <a:solidFill>
                            <a:srgbClr val="90BAE8"/>
                          </a:solidFill>
                        </wps:spPr>
                        <wps:bodyPr wrap="square" lIns="0" tIns="0" rIns="0" bIns="0" rtlCol="0">
                          <a:prstTxWarp prst="textNoShape">
                            <a:avLst/>
                          </a:prstTxWarp>
                          <a:noAutofit/>
                        </wps:bodyPr>
                      </wps:wsp>
                      <wps:wsp>
                        <wps:cNvPr id="736" name="Graphic 736"/>
                        <wps:cNvSpPr/>
                        <wps:spPr>
                          <a:xfrm>
                            <a:off x="930499" y="1681383"/>
                            <a:ext cx="128270" cy="175895"/>
                          </a:xfrm>
                          <a:custGeom>
                            <a:avLst/>
                            <a:gdLst/>
                            <a:ahLst/>
                            <a:cxnLst/>
                            <a:rect l="l" t="t" r="r" b="b"/>
                            <a:pathLst>
                              <a:path w="128270" h="175895">
                                <a:moveTo>
                                  <a:pt x="0" y="0"/>
                                </a:moveTo>
                                <a:lnTo>
                                  <a:pt x="127660" y="0"/>
                                </a:lnTo>
                                <a:lnTo>
                                  <a:pt x="127660" y="175717"/>
                                </a:lnTo>
                                <a:lnTo>
                                  <a:pt x="0" y="175717"/>
                                </a:lnTo>
                                <a:lnTo>
                                  <a:pt x="0" y="0"/>
                                </a:lnTo>
                                <a:close/>
                              </a:path>
                            </a:pathLst>
                          </a:custGeom>
                          <a:ln w="6350">
                            <a:solidFill>
                              <a:srgbClr val="008FDD"/>
                            </a:solidFill>
                            <a:prstDash val="solid"/>
                          </a:ln>
                        </wps:spPr>
                        <wps:bodyPr wrap="square" lIns="0" tIns="0" rIns="0" bIns="0" rtlCol="0">
                          <a:prstTxWarp prst="textNoShape">
                            <a:avLst/>
                          </a:prstTxWarp>
                          <a:noAutofit/>
                        </wps:bodyPr>
                      </wps:wsp>
                      <wps:wsp>
                        <wps:cNvPr id="737" name="Graphic 737"/>
                        <wps:cNvSpPr/>
                        <wps:spPr>
                          <a:xfrm>
                            <a:off x="1447101" y="1590039"/>
                            <a:ext cx="128270" cy="221615"/>
                          </a:xfrm>
                          <a:custGeom>
                            <a:avLst/>
                            <a:gdLst/>
                            <a:ahLst/>
                            <a:cxnLst/>
                            <a:rect l="l" t="t" r="r" b="b"/>
                            <a:pathLst>
                              <a:path w="128270" h="221615">
                                <a:moveTo>
                                  <a:pt x="127952" y="0"/>
                                </a:moveTo>
                                <a:lnTo>
                                  <a:pt x="0" y="0"/>
                                </a:lnTo>
                                <a:lnTo>
                                  <a:pt x="0" y="221399"/>
                                </a:lnTo>
                                <a:lnTo>
                                  <a:pt x="127952" y="221399"/>
                                </a:lnTo>
                                <a:lnTo>
                                  <a:pt x="127952" y="0"/>
                                </a:lnTo>
                                <a:close/>
                              </a:path>
                            </a:pathLst>
                          </a:custGeom>
                          <a:solidFill>
                            <a:srgbClr val="90BAE8"/>
                          </a:solidFill>
                        </wps:spPr>
                        <wps:bodyPr wrap="square" lIns="0" tIns="0" rIns="0" bIns="0" rtlCol="0">
                          <a:prstTxWarp prst="textNoShape">
                            <a:avLst/>
                          </a:prstTxWarp>
                          <a:noAutofit/>
                        </wps:bodyPr>
                      </wps:wsp>
                      <wps:wsp>
                        <wps:cNvPr id="738" name="Graphic 738"/>
                        <wps:cNvSpPr/>
                        <wps:spPr>
                          <a:xfrm>
                            <a:off x="1447097" y="1590045"/>
                            <a:ext cx="128270" cy="221615"/>
                          </a:xfrm>
                          <a:custGeom>
                            <a:avLst/>
                            <a:gdLst/>
                            <a:ahLst/>
                            <a:cxnLst/>
                            <a:rect l="l" t="t" r="r" b="b"/>
                            <a:pathLst>
                              <a:path w="128270" h="221615">
                                <a:moveTo>
                                  <a:pt x="0" y="0"/>
                                </a:moveTo>
                                <a:lnTo>
                                  <a:pt x="127952" y="0"/>
                                </a:lnTo>
                                <a:lnTo>
                                  <a:pt x="127952" y="221399"/>
                                </a:lnTo>
                                <a:lnTo>
                                  <a:pt x="0" y="221399"/>
                                </a:lnTo>
                                <a:lnTo>
                                  <a:pt x="0" y="0"/>
                                </a:lnTo>
                                <a:close/>
                              </a:path>
                            </a:pathLst>
                          </a:custGeom>
                          <a:ln w="6349">
                            <a:solidFill>
                              <a:srgbClr val="008FDD"/>
                            </a:solidFill>
                            <a:prstDash val="solid"/>
                          </a:ln>
                        </wps:spPr>
                        <wps:bodyPr wrap="square" lIns="0" tIns="0" rIns="0" bIns="0" rtlCol="0">
                          <a:prstTxWarp prst="textNoShape">
                            <a:avLst/>
                          </a:prstTxWarp>
                          <a:noAutofit/>
                        </wps:bodyPr>
                      </wps:wsp>
                      <wps:wsp>
                        <wps:cNvPr id="739" name="Graphic 739"/>
                        <wps:cNvSpPr/>
                        <wps:spPr>
                          <a:xfrm>
                            <a:off x="1964270" y="1179766"/>
                            <a:ext cx="128270" cy="267335"/>
                          </a:xfrm>
                          <a:custGeom>
                            <a:avLst/>
                            <a:gdLst/>
                            <a:ahLst/>
                            <a:cxnLst/>
                            <a:rect l="l" t="t" r="r" b="b"/>
                            <a:pathLst>
                              <a:path w="128270" h="267335">
                                <a:moveTo>
                                  <a:pt x="127660" y="0"/>
                                </a:moveTo>
                                <a:lnTo>
                                  <a:pt x="0" y="0"/>
                                </a:lnTo>
                                <a:lnTo>
                                  <a:pt x="0" y="267068"/>
                                </a:lnTo>
                                <a:lnTo>
                                  <a:pt x="127660" y="267068"/>
                                </a:lnTo>
                                <a:lnTo>
                                  <a:pt x="127660" y="0"/>
                                </a:lnTo>
                                <a:close/>
                              </a:path>
                            </a:pathLst>
                          </a:custGeom>
                          <a:solidFill>
                            <a:srgbClr val="90BAE8"/>
                          </a:solidFill>
                        </wps:spPr>
                        <wps:bodyPr wrap="square" lIns="0" tIns="0" rIns="0" bIns="0" rtlCol="0">
                          <a:prstTxWarp prst="textNoShape">
                            <a:avLst/>
                          </a:prstTxWarp>
                          <a:noAutofit/>
                        </wps:bodyPr>
                      </wps:wsp>
                      <wps:wsp>
                        <wps:cNvPr id="740" name="Graphic 740"/>
                        <wps:cNvSpPr/>
                        <wps:spPr>
                          <a:xfrm>
                            <a:off x="1964267" y="1179771"/>
                            <a:ext cx="128270" cy="267335"/>
                          </a:xfrm>
                          <a:custGeom>
                            <a:avLst/>
                            <a:gdLst/>
                            <a:ahLst/>
                            <a:cxnLst/>
                            <a:rect l="l" t="t" r="r" b="b"/>
                            <a:pathLst>
                              <a:path w="128270" h="267335">
                                <a:moveTo>
                                  <a:pt x="0" y="0"/>
                                </a:moveTo>
                                <a:lnTo>
                                  <a:pt x="127660" y="0"/>
                                </a:lnTo>
                                <a:lnTo>
                                  <a:pt x="127660" y="267068"/>
                                </a:lnTo>
                                <a:lnTo>
                                  <a:pt x="0" y="267068"/>
                                </a:lnTo>
                                <a:lnTo>
                                  <a:pt x="0" y="0"/>
                                </a:lnTo>
                                <a:close/>
                              </a:path>
                            </a:pathLst>
                          </a:custGeom>
                          <a:ln w="6350">
                            <a:solidFill>
                              <a:srgbClr val="008FDD"/>
                            </a:solidFill>
                            <a:prstDash val="solid"/>
                          </a:ln>
                        </wps:spPr>
                        <wps:bodyPr wrap="square" lIns="0" tIns="0" rIns="0" bIns="0" rtlCol="0">
                          <a:prstTxWarp prst="textNoShape">
                            <a:avLst/>
                          </a:prstTxWarp>
                          <a:noAutofit/>
                        </wps:bodyPr>
                      </wps:wsp>
                      <wps:wsp>
                        <wps:cNvPr id="741" name="Graphic 741"/>
                        <wps:cNvSpPr/>
                        <wps:spPr>
                          <a:xfrm>
                            <a:off x="412748" y="1860205"/>
                            <a:ext cx="130175" cy="1270"/>
                          </a:xfrm>
                          <a:custGeom>
                            <a:avLst/>
                            <a:gdLst/>
                            <a:ahLst/>
                            <a:cxnLst/>
                            <a:rect l="l" t="t" r="r" b="b"/>
                            <a:pathLst>
                              <a:path w="130175" h="0">
                                <a:moveTo>
                                  <a:pt x="0" y="0"/>
                                </a:moveTo>
                                <a:lnTo>
                                  <a:pt x="129984" y="0"/>
                                </a:lnTo>
                              </a:path>
                            </a:pathLst>
                          </a:custGeom>
                          <a:ln w="6350">
                            <a:solidFill>
                              <a:srgbClr val="008FDD"/>
                            </a:solidFill>
                            <a:prstDash val="solid"/>
                          </a:ln>
                        </wps:spPr>
                        <wps:bodyPr wrap="square" lIns="0" tIns="0" rIns="0" bIns="0" rtlCol="0">
                          <a:prstTxWarp prst="textNoShape">
                            <a:avLst/>
                          </a:prstTxWarp>
                          <a:noAutofit/>
                        </wps:bodyPr>
                      </wps:wsp>
                      <wps:wsp>
                        <wps:cNvPr id="742" name="Graphic 742"/>
                        <wps:cNvSpPr/>
                        <wps:spPr>
                          <a:xfrm>
                            <a:off x="929341" y="1768862"/>
                            <a:ext cx="130175" cy="1270"/>
                          </a:xfrm>
                          <a:custGeom>
                            <a:avLst/>
                            <a:gdLst/>
                            <a:ahLst/>
                            <a:cxnLst/>
                            <a:rect l="l" t="t" r="r" b="b"/>
                            <a:pathLst>
                              <a:path w="130175" h="0">
                                <a:moveTo>
                                  <a:pt x="0" y="0"/>
                                </a:moveTo>
                                <a:lnTo>
                                  <a:pt x="129984" y="0"/>
                                </a:lnTo>
                              </a:path>
                            </a:pathLst>
                          </a:custGeom>
                          <a:ln w="6350">
                            <a:solidFill>
                              <a:srgbClr val="008FDD"/>
                            </a:solidFill>
                            <a:prstDash val="solid"/>
                          </a:ln>
                        </wps:spPr>
                        <wps:bodyPr wrap="square" lIns="0" tIns="0" rIns="0" bIns="0" rtlCol="0">
                          <a:prstTxWarp prst="textNoShape">
                            <a:avLst/>
                          </a:prstTxWarp>
                          <a:noAutofit/>
                        </wps:bodyPr>
                      </wps:wsp>
                      <wps:wsp>
                        <wps:cNvPr id="743" name="Graphic 743"/>
                        <wps:cNvSpPr/>
                        <wps:spPr>
                          <a:xfrm>
                            <a:off x="1446508" y="1723190"/>
                            <a:ext cx="130175" cy="1270"/>
                          </a:xfrm>
                          <a:custGeom>
                            <a:avLst/>
                            <a:gdLst/>
                            <a:ahLst/>
                            <a:cxnLst/>
                            <a:rect l="l" t="t" r="r" b="b"/>
                            <a:pathLst>
                              <a:path w="130175" h="0">
                                <a:moveTo>
                                  <a:pt x="0" y="0"/>
                                </a:moveTo>
                                <a:lnTo>
                                  <a:pt x="129984" y="0"/>
                                </a:lnTo>
                              </a:path>
                            </a:pathLst>
                          </a:custGeom>
                          <a:ln w="6350">
                            <a:solidFill>
                              <a:srgbClr val="008FDD"/>
                            </a:solidFill>
                            <a:prstDash val="solid"/>
                          </a:ln>
                        </wps:spPr>
                        <wps:bodyPr wrap="square" lIns="0" tIns="0" rIns="0" bIns="0" rtlCol="0">
                          <a:prstTxWarp prst="textNoShape">
                            <a:avLst/>
                          </a:prstTxWarp>
                          <a:noAutofit/>
                        </wps:bodyPr>
                      </wps:wsp>
                      <wps:wsp>
                        <wps:cNvPr id="744" name="Graphic 744"/>
                        <wps:cNvSpPr/>
                        <wps:spPr>
                          <a:xfrm>
                            <a:off x="1963104" y="1313690"/>
                            <a:ext cx="130175" cy="1270"/>
                          </a:xfrm>
                          <a:custGeom>
                            <a:avLst/>
                            <a:gdLst/>
                            <a:ahLst/>
                            <a:cxnLst/>
                            <a:rect l="l" t="t" r="r" b="b"/>
                            <a:pathLst>
                              <a:path w="130175" h="0">
                                <a:moveTo>
                                  <a:pt x="0" y="0"/>
                                </a:moveTo>
                                <a:lnTo>
                                  <a:pt x="129984" y="0"/>
                                </a:lnTo>
                              </a:path>
                            </a:pathLst>
                          </a:custGeom>
                          <a:ln w="6350">
                            <a:solidFill>
                              <a:srgbClr val="008FDD"/>
                            </a:solidFill>
                            <a:prstDash val="solid"/>
                          </a:ln>
                        </wps:spPr>
                        <wps:bodyPr wrap="square" lIns="0" tIns="0" rIns="0" bIns="0" rtlCol="0">
                          <a:prstTxWarp prst="textNoShape">
                            <a:avLst/>
                          </a:prstTxWarp>
                          <a:noAutofit/>
                        </wps:bodyPr>
                      </wps:wsp>
                      <wps:wsp>
                        <wps:cNvPr id="745" name="Textbox 745"/>
                        <wps:cNvSpPr txBox="1"/>
                        <wps:spPr>
                          <a:xfrm>
                            <a:off x="76380" y="43098"/>
                            <a:ext cx="2075814" cy="687070"/>
                          </a:xfrm>
                          <a:prstGeom prst="rect">
                            <a:avLst/>
                          </a:prstGeom>
                        </wps:spPr>
                        <wps:txbx>
                          <w:txbxContent>
                            <w:p>
                              <w:pPr>
                                <w:spacing w:line="261" w:lineRule="auto" w:before="3"/>
                                <w:ind w:left="800" w:right="0" w:hanging="800"/>
                                <w:jc w:val="left"/>
                                <w:rPr>
                                  <w:rFonts w:ascii="Arial"/>
                                  <w:b/>
                                  <w:sz w:val="16"/>
                                </w:rPr>
                              </w:pPr>
                              <w:r>
                                <w:rPr>
                                  <w:rFonts w:ascii="Arial"/>
                                  <w:color w:val="FFFFFF"/>
                                  <w:sz w:val="16"/>
                                </w:rPr>
                                <w:t>Figure </w:t>
                              </w:r>
                              <w:r>
                                <w:rPr>
                                  <w:rFonts w:ascii="Arial"/>
                                  <w:b/>
                                  <w:color w:val="FFFFFF"/>
                                  <w:sz w:val="16"/>
                                </w:rPr>
                                <w:t>2.5</w:t>
                              </w:r>
                              <w:r>
                                <w:rPr>
                                  <w:rFonts w:ascii="Arial"/>
                                  <w:b/>
                                  <w:color w:val="FFFFFF"/>
                                  <w:spacing w:val="80"/>
                                  <w:sz w:val="16"/>
                                </w:rPr>
                                <w:t> </w:t>
                              </w:r>
                              <w:r>
                                <w:rPr>
                                  <w:rFonts w:ascii="Arial"/>
                                  <w:b/>
                                  <w:color w:val="FFFFFF"/>
                                  <w:sz w:val="16"/>
                                </w:rPr>
                                <w:t>Distribution</w:t>
                              </w:r>
                              <w:r>
                                <w:rPr>
                                  <w:rFonts w:ascii="Arial"/>
                                  <w:b/>
                                  <w:color w:val="FFFFFF"/>
                                  <w:spacing w:val="-3"/>
                                  <w:sz w:val="16"/>
                                </w:rPr>
                                <w:t> </w:t>
                              </w:r>
                              <w:r>
                                <w:rPr>
                                  <w:rFonts w:ascii="Arial"/>
                                  <w:b/>
                                  <w:color w:val="FFFFFF"/>
                                  <w:sz w:val="16"/>
                                </w:rPr>
                                <w:t>of</w:t>
                              </w:r>
                              <w:r>
                                <w:rPr>
                                  <w:rFonts w:ascii="Arial"/>
                                  <w:b/>
                                  <w:color w:val="FFFFFF"/>
                                  <w:spacing w:val="-3"/>
                                  <w:sz w:val="16"/>
                                </w:rPr>
                                <w:t> </w:t>
                              </w:r>
                              <w:r>
                                <w:rPr>
                                  <w:rFonts w:ascii="Arial"/>
                                  <w:b/>
                                  <w:color w:val="FFFFFF"/>
                                  <w:sz w:val="16"/>
                                </w:rPr>
                                <w:t>2023</w:t>
                              </w:r>
                              <w:r>
                                <w:rPr>
                                  <w:rFonts w:ascii="Arial"/>
                                  <w:b/>
                                  <w:color w:val="FFFFFF"/>
                                  <w:spacing w:val="-3"/>
                                  <w:sz w:val="16"/>
                                </w:rPr>
                                <w:t> </w:t>
                              </w:r>
                              <w:r>
                                <w:rPr>
                                  <w:rFonts w:ascii="Arial"/>
                                  <w:b/>
                                  <w:color w:val="FFFFFF"/>
                                  <w:sz w:val="16"/>
                                </w:rPr>
                                <w:t>LPI</w:t>
                              </w:r>
                              <w:r>
                                <w:rPr>
                                  <w:rFonts w:ascii="Arial"/>
                                  <w:b/>
                                  <w:color w:val="FFFFFF"/>
                                  <w:spacing w:val="-3"/>
                                  <w:sz w:val="16"/>
                                </w:rPr>
                                <w:t> </w:t>
                              </w:r>
                              <w:r>
                                <w:rPr>
                                  <w:rFonts w:ascii="Arial"/>
                                  <w:b/>
                                  <w:color w:val="FFFFFF"/>
                                  <w:sz w:val="16"/>
                                </w:rPr>
                                <w:t>scores by income group</w:t>
                              </w:r>
                            </w:p>
                            <w:p>
                              <w:pPr>
                                <w:spacing w:line="240" w:lineRule="auto" w:before="53"/>
                                <w:rPr>
                                  <w:rFonts w:ascii="Arial"/>
                                  <w:b/>
                                  <w:sz w:val="16"/>
                                </w:rPr>
                              </w:pPr>
                            </w:p>
                            <w:p>
                              <w:pPr>
                                <w:spacing w:line="220" w:lineRule="atLeast" w:before="0"/>
                                <w:ind w:left="82" w:right="2807" w:hanging="83"/>
                                <w:jc w:val="left"/>
                                <w:rPr>
                                  <w:rFonts w:ascii="Arial"/>
                                  <w:sz w:val="14"/>
                                </w:rPr>
                              </w:pPr>
                              <w:r>
                                <w:rPr>
                                  <w:rFonts w:ascii="Arial"/>
                                  <w:color w:val="231F20"/>
                                  <w:spacing w:val="-4"/>
                                  <w:w w:val="80"/>
                                  <w:sz w:val="14"/>
                                </w:rPr>
                                <w:t>LPI</w:t>
                              </w:r>
                              <w:r>
                                <w:rPr>
                                  <w:rFonts w:ascii="Arial"/>
                                  <w:color w:val="231F20"/>
                                  <w:spacing w:val="-6"/>
                                  <w:sz w:val="14"/>
                                </w:rPr>
                                <w:t> </w:t>
                              </w:r>
                              <w:r>
                                <w:rPr>
                                  <w:rFonts w:ascii="Arial"/>
                                  <w:color w:val="231F20"/>
                                  <w:spacing w:val="-4"/>
                                  <w:w w:val="80"/>
                                  <w:sz w:val="14"/>
                                </w:rPr>
                                <w:t>score</w:t>
                              </w:r>
                              <w:r>
                                <w:rPr>
                                  <w:rFonts w:ascii="Arial"/>
                                  <w:color w:val="231F20"/>
                                  <w:spacing w:val="40"/>
                                  <w:sz w:val="14"/>
                                </w:rPr>
                                <w:t> </w:t>
                              </w:r>
                              <w:r>
                                <w:rPr>
                                  <w:rFonts w:ascii="Arial"/>
                                  <w:color w:val="231F20"/>
                                  <w:spacing w:val="-10"/>
                                  <w:w w:val="90"/>
                                  <w:sz w:val="14"/>
                                </w:rPr>
                                <w:t>5</w:t>
                              </w:r>
                            </w:p>
                          </w:txbxContent>
                        </wps:txbx>
                        <wps:bodyPr wrap="square" lIns="0" tIns="0" rIns="0" bIns="0" rtlCol="0">
                          <a:noAutofit/>
                        </wps:bodyPr>
                      </wps:wsp>
                      <wps:wsp>
                        <wps:cNvPr id="746" name="Textbox 746"/>
                        <wps:cNvSpPr txBox="1"/>
                        <wps:spPr>
                          <a:xfrm>
                            <a:off x="136550" y="1084341"/>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4</w:t>
                              </w:r>
                            </w:p>
                          </w:txbxContent>
                        </wps:txbx>
                        <wps:bodyPr wrap="square" lIns="0" tIns="0" rIns="0" bIns="0" rtlCol="0">
                          <a:noAutofit/>
                        </wps:bodyPr>
                      </wps:wsp>
                      <wps:wsp>
                        <wps:cNvPr id="747" name="Textbox 747"/>
                        <wps:cNvSpPr txBox="1"/>
                        <wps:spPr>
                          <a:xfrm>
                            <a:off x="136550" y="1539509"/>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3</w:t>
                              </w:r>
                            </w:p>
                          </w:txbxContent>
                        </wps:txbx>
                        <wps:bodyPr wrap="square" lIns="0" tIns="0" rIns="0" bIns="0" rtlCol="0">
                          <a:noAutofit/>
                        </wps:bodyPr>
                      </wps:wsp>
                      <wps:wsp>
                        <wps:cNvPr id="748" name="Textbox 748"/>
                        <wps:cNvSpPr txBox="1"/>
                        <wps:spPr>
                          <a:xfrm>
                            <a:off x="136550" y="1994677"/>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2</w:t>
                              </w:r>
                            </w:p>
                          </w:txbxContent>
                        </wps:txbx>
                        <wps:bodyPr wrap="square" lIns="0" tIns="0" rIns="0" bIns="0" rtlCol="0">
                          <a:noAutofit/>
                        </wps:bodyPr>
                      </wps:wsp>
                      <wps:wsp>
                        <wps:cNvPr id="749" name="Textbox 749"/>
                        <wps:cNvSpPr txBox="1"/>
                        <wps:spPr>
                          <a:xfrm>
                            <a:off x="76386" y="2449845"/>
                            <a:ext cx="2164715" cy="608330"/>
                          </a:xfrm>
                          <a:prstGeom prst="rect">
                            <a:avLst/>
                          </a:prstGeom>
                        </wps:spPr>
                        <wps:txbx>
                          <w:txbxContent>
                            <w:p>
                              <w:pPr>
                                <w:spacing w:line="139" w:lineRule="exact" w:before="0"/>
                                <w:ind w:left="94" w:right="0" w:firstLine="0"/>
                                <w:jc w:val="left"/>
                                <w:rPr>
                                  <w:rFonts w:ascii="Arial"/>
                                  <w:sz w:val="14"/>
                                </w:rPr>
                              </w:pPr>
                              <w:r>
                                <w:rPr>
                                  <w:rFonts w:ascii="Arial"/>
                                  <w:color w:val="231F20"/>
                                  <w:spacing w:val="-10"/>
                                  <w:sz w:val="14"/>
                                </w:rPr>
                                <w:t>1</w:t>
                              </w:r>
                            </w:p>
                            <w:p>
                              <w:pPr>
                                <w:tabs>
                                  <w:tab w:pos="1112" w:val="left" w:leader="none"/>
                                  <w:tab w:pos="2962" w:val="left" w:leader="none"/>
                                </w:tabs>
                                <w:spacing w:line="140" w:lineRule="exact" w:before="0"/>
                                <w:ind w:left="530" w:right="0" w:firstLine="0"/>
                                <w:jc w:val="left"/>
                                <w:rPr>
                                  <w:rFonts w:ascii="Arial"/>
                                  <w:sz w:val="14"/>
                                </w:rPr>
                              </w:pPr>
                              <w:r>
                                <w:rPr>
                                  <w:rFonts w:ascii="Arial"/>
                                  <w:color w:val="231F20"/>
                                  <w:spacing w:val="-5"/>
                                  <w:w w:val="90"/>
                                  <w:sz w:val="14"/>
                                </w:rPr>
                                <w:t>Low</w:t>
                              </w:r>
                              <w:r>
                                <w:rPr>
                                  <w:rFonts w:ascii="Arial"/>
                                  <w:color w:val="231F20"/>
                                  <w:sz w:val="14"/>
                                </w:rPr>
                                <w:tab/>
                              </w:r>
                              <w:r>
                                <w:rPr>
                                  <w:rFonts w:ascii="Arial"/>
                                  <w:color w:val="231F20"/>
                                  <w:w w:val="80"/>
                                  <w:sz w:val="14"/>
                                </w:rPr>
                                <w:t>Lower</w:t>
                              </w:r>
                              <w:r>
                                <w:rPr>
                                  <w:rFonts w:ascii="Arial"/>
                                  <w:color w:val="231F20"/>
                                  <w:spacing w:val="-2"/>
                                  <w:w w:val="80"/>
                                  <w:sz w:val="14"/>
                                </w:rPr>
                                <w:t> </w:t>
                              </w:r>
                              <w:r>
                                <w:rPr>
                                  <w:rFonts w:ascii="Arial"/>
                                  <w:color w:val="231F20"/>
                                  <w:w w:val="80"/>
                                  <w:sz w:val="14"/>
                                </w:rPr>
                                <w:t>middle</w:t>
                              </w:r>
                              <w:r>
                                <w:rPr>
                                  <w:rFonts w:ascii="Arial"/>
                                  <w:color w:val="231F20"/>
                                  <w:spacing w:val="76"/>
                                  <w:w w:val="150"/>
                                  <w:sz w:val="14"/>
                                </w:rPr>
                                <w:t> </w:t>
                              </w:r>
                              <w:r>
                                <w:rPr>
                                  <w:rFonts w:ascii="Arial"/>
                                  <w:color w:val="231F20"/>
                                  <w:w w:val="80"/>
                                  <w:sz w:val="14"/>
                                </w:rPr>
                                <w:t>Upper</w:t>
                              </w:r>
                              <w:r>
                                <w:rPr>
                                  <w:rFonts w:ascii="Arial"/>
                                  <w:color w:val="231F20"/>
                                  <w:spacing w:val="-1"/>
                                  <w:w w:val="80"/>
                                  <w:sz w:val="14"/>
                                </w:rPr>
                                <w:t> </w:t>
                              </w:r>
                              <w:r>
                                <w:rPr>
                                  <w:rFonts w:ascii="Arial"/>
                                  <w:color w:val="231F20"/>
                                  <w:spacing w:val="-2"/>
                                  <w:w w:val="80"/>
                                  <w:sz w:val="14"/>
                                </w:rPr>
                                <w:t>middle</w:t>
                              </w:r>
                              <w:r>
                                <w:rPr>
                                  <w:rFonts w:ascii="Arial"/>
                                  <w:color w:val="231F20"/>
                                  <w:sz w:val="14"/>
                                </w:rPr>
                                <w:tab/>
                              </w:r>
                              <w:r>
                                <w:rPr>
                                  <w:rFonts w:ascii="Arial"/>
                                  <w:color w:val="231F20"/>
                                  <w:spacing w:val="-4"/>
                                  <w:w w:val="90"/>
                                  <w:sz w:val="14"/>
                                </w:rPr>
                                <w:t>High</w:t>
                              </w:r>
                            </w:p>
                            <w:p>
                              <w:pPr>
                                <w:tabs>
                                  <w:tab w:pos="1265" w:val="left" w:leader="none"/>
                                  <w:tab w:pos="2079" w:val="left" w:leader="none"/>
                                  <w:tab w:pos="2893" w:val="left" w:leader="none"/>
                                </w:tabs>
                                <w:spacing w:line="161" w:lineRule="exact" w:before="0"/>
                                <w:ind w:left="451" w:right="0" w:firstLine="0"/>
                                <w:jc w:val="left"/>
                                <w:rPr>
                                  <w:rFonts w:ascii="Arial"/>
                                  <w:sz w:val="14"/>
                                </w:rPr>
                              </w:pPr>
                              <w:r>
                                <w:rPr>
                                  <w:rFonts w:ascii="Arial"/>
                                  <w:color w:val="231F20"/>
                                  <w:spacing w:val="-2"/>
                                  <w:sz w:val="14"/>
                                </w:rPr>
                                <w:t>income</w:t>
                              </w:r>
                              <w:r>
                                <w:rPr>
                                  <w:rFonts w:ascii="Arial"/>
                                  <w:color w:val="231F20"/>
                                  <w:sz w:val="14"/>
                                </w:rPr>
                                <w:tab/>
                              </w:r>
                              <w:r>
                                <w:rPr>
                                  <w:rFonts w:ascii="Arial"/>
                                  <w:color w:val="231F20"/>
                                  <w:spacing w:val="-2"/>
                                  <w:sz w:val="14"/>
                                </w:rPr>
                                <w:t>income</w:t>
                              </w:r>
                              <w:r>
                                <w:rPr>
                                  <w:rFonts w:ascii="Arial"/>
                                  <w:color w:val="231F20"/>
                                  <w:sz w:val="14"/>
                                </w:rPr>
                                <w:tab/>
                              </w:r>
                              <w:r>
                                <w:rPr>
                                  <w:rFonts w:ascii="Arial"/>
                                  <w:color w:val="231F20"/>
                                  <w:spacing w:val="-2"/>
                                  <w:sz w:val="14"/>
                                </w:rPr>
                                <w:t>income</w:t>
                              </w:r>
                              <w:r>
                                <w:rPr>
                                  <w:rFonts w:ascii="Arial"/>
                                  <w:color w:val="231F20"/>
                                  <w:sz w:val="14"/>
                                </w:rPr>
                                <w:tab/>
                              </w:r>
                              <w:r>
                                <w:rPr>
                                  <w:rFonts w:ascii="Arial"/>
                                  <w:color w:val="231F20"/>
                                  <w:spacing w:val="-2"/>
                                  <w:sz w:val="14"/>
                                </w:rPr>
                                <w:t>income</w:t>
                              </w:r>
                            </w:p>
                            <w:p>
                              <w:pPr>
                                <w:spacing w:before="101"/>
                                <w:ind w:left="0" w:right="0" w:firstLine="0"/>
                                <w:jc w:val="left"/>
                                <w:rPr>
                                  <w:rFonts w:ascii="Arial"/>
                                  <w:sz w:val="12"/>
                                </w:rPr>
                              </w:pPr>
                              <w:r>
                                <w:rPr>
                                  <w:rFonts w:ascii="Arial"/>
                                  <w:i/>
                                  <w:color w:val="231F20"/>
                                  <w:w w:val="80"/>
                                  <w:sz w:val="12"/>
                                </w:rPr>
                                <w:t>Source:</w:t>
                              </w:r>
                              <w:r>
                                <w:rPr>
                                  <w:rFonts w:ascii="Arial"/>
                                  <w:i/>
                                  <w:color w:val="231F20"/>
                                  <w:spacing w:val="-1"/>
                                  <w:w w:val="80"/>
                                  <w:sz w:val="12"/>
                                </w:rPr>
                                <w:t> </w:t>
                              </w:r>
                              <w:r>
                                <w:rPr>
                                  <w:rFonts w:ascii="Arial"/>
                                  <w:color w:val="231F20"/>
                                  <w:w w:val="80"/>
                                  <w:sz w:val="12"/>
                                </w:rPr>
                                <w:t>2023</w:t>
                              </w:r>
                              <w:r>
                                <w:rPr>
                                  <w:rFonts w:ascii="Arial"/>
                                  <w:color w:val="231F20"/>
                                  <w:spacing w:val="-1"/>
                                  <w:w w:val="80"/>
                                  <w:sz w:val="12"/>
                                </w:rPr>
                                <w:t> </w:t>
                              </w:r>
                              <w:r>
                                <w:rPr>
                                  <w:rFonts w:ascii="Arial"/>
                                  <w:color w:val="231F20"/>
                                  <w:w w:val="80"/>
                                  <w:sz w:val="12"/>
                                </w:rPr>
                                <w:t>Logistics</w:t>
                              </w:r>
                              <w:r>
                                <w:rPr>
                                  <w:rFonts w:ascii="Arial"/>
                                  <w:color w:val="231F20"/>
                                  <w:spacing w:val="-1"/>
                                  <w:w w:val="80"/>
                                  <w:sz w:val="12"/>
                                </w:rPr>
                                <w:t> </w:t>
                              </w:r>
                              <w:r>
                                <w:rPr>
                                  <w:rFonts w:ascii="Arial"/>
                                  <w:color w:val="231F20"/>
                                  <w:w w:val="80"/>
                                  <w:sz w:val="12"/>
                                </w:rPr>
                                <w:t>Performance</w:t>
                              </w:r>
                              <w:r>
                                <w:rPr>
                                  <w:rFonts w:ascii="Arial"/>
                                  <w:color w:val="231F20"/>
                                  <w:spacing w:val="-1"/>
                                  <w:w w:val="80"/>
                                  <w:sz w:val="12"/>
                                </w:rPr>
                                <w:t> </w:t>
                              </w:r>
                              <w:r>
                                <w:rPr>
                                  <w:rFonts w:ascii="Arial"/>
                                  <w:color w:val="231F20"/>
                                  <w:spacing w:val="-2"/>
                                  <w:w w:val="80"/>
                                  <w:sz w:val="12"/>
                                </w:rPr>
                                <w:t>Index.</w:t>
                              </w:r>
                            </w:p>
                            <w:p>
                              <w:pPr>
                                <w:spacing w:line="242" w:lineRule="auto" w:before="0"/>
                                <w:ind w:left="0" w:right="0" w:firstLine="0"/>
                                <w:jc w:val="left"/>
                                <w:rPr>
                                  <w:rFonts w:ascii="Arial"/>
                                  <w:sz w:val="12"/>
                                </w:rPr>
                              </w:pPr>
                              <w:r>
                                <w:rPr>
                                  <w:rFonts w:ascii="Arial"/>
                                  <w:i/>
                                  <w:color w:val="231F20"/>
                                  <w:spacing w:val="-2"/>
                                  <w:w w:val="80"/>
                                  <w:sz w:val="12"/>
                                </w:rPr>
                                <w:t>Note: </w:t>
                              </w:r>
                              <w:r>
                                <w:rPr>
                                  <w:rFonts w:ascii="Arial"/>
                                  <w:color w:val="231F20"/>
                                  <w:spacing w:val="-2"/>
                                  <w:w w:val="80"/>
                                  <w:sz w:val="12"/>
                                </w:rPr>
                                <w:t>The</w:t>
                              </w:r>
                              <w:r>
                                <w:rPr>
                                  <w:rFonts w:ascii="Arial"/>
                                  <w:color w:val="231F20"/>
                                  <w:spacing w:val="-2"/>
                                  <w:sz w:val="12"/>
                                </w:rPr>
                                <w:t> </w:t>
                              </w:r>
                              <w:r>
                                <w:rPr>
                                  <w:rFonts w:ascii="Arial"/>
                                  <w:color w:val="231F20"/>
                                  <w:spacing w:val="-2"/>
                                  <w:w w:val="80"/>
                                  <w:sz w:val="12"/>
                                </w:rPr>
                                <w:t>median</w:t>
                              </w:r>
                              <w:r>
                                <w:rPr>
                                  <w:rFonts w:ascii="Arial"/>
                                  <w:color w:val="231F20"/>
                                  <w:spacing w:val="-2"/>
                                  <w:sz w:val="12"/>
                                </w:rPr>
                                <w:t> </w:t>
                              </w:r>
                              <w:r>
                                <w:rPr>
                                  <w:rFonts w:ascii="Arial"/>
                                  <w:color w:val="231F20"/>
                                  <w:spacing w:val="-2"/>
                                  <w:w w:val="80"/>
                                  <w:sz w:val="12"/>
                                </w:rPr>
                                <w:t>is</w:t>
                              </w:r>
                              <w:r>
                                <w:rPr>
                                  <w:rFonts w:ascii="Arial"/>
                                  <w:color w:val="231F20"/>
                                  <w:spacing w:val="-2"/>
                                  <w:sz w:val="12"/>
                                </w:rPr>
                                <w:t> </w:t>
                              </w:r>
                              <w:r>
                                <w:rPr>
                                  <w:rFonts w:ascii="Arial"/>
                                  <w:color w:val="231F20"/>
                                  <w:spacing w:val="-2"/>
                                  <w:w w:val="80"/>
                                  <w:sz w:val="12"/>
                                </w:rPr>
                                <w:t>denoted</w:t>
                              </w:r>
                              <w:r>
                                <w:rPr>
                                  <w:rFonts w:ascii="Arial"/>
                                  <w:color w:val="231F20"/>
                                  <w:spacing w:val="-2"/>
                                  <w:sz w:val="12"/>
                                </w:rPr>
                                <w:t> </w:t>
                              </w:r>
                              <w:r>
                                <w:rPr>
                                  <w:rFonts w:ascii="Arial"/>
                                  <w:color w:val="231F20"/>
                                  <w:spacing w:val="-2"/>
                                  <w:w w:val="80"/>
                                  <w:sz w:val="12"/>
                                </w:rPr>
                                <w:t>by</w:t>
                              </w:r>
                              <w:r>
                                <w:rPr>
                                  <w:rFonts w:ascii="Arial"/>
                                  <w:color w:val="231F20"/>
                                  <w:spacing w:val="-2"/>
                                  <w:sz w:val="12"/>
                                </w:rPr>
                                <w:t> </w:t>
                              </w:r>
                              <w:r>
                                <w:rPr>
                                  <w:rFonts w:ascii="Arial"/>
                                  <w:color w:val="231F20"/>
                                  <w:spacing w:val="-2"/>
                                  <w:w w:val="80"/>
                                  <w:sz w:val="12"/>
                                </w:rPr>
                                <w:t>the</w:t>
                              </w:r>
                              <w:r>
                                <w:rPr>
                                  <w:rFonts w:ascii="Arial"/>
                                  <w:color w:val="231F20"/>
                                  <w:spacing w:val="-2"/>
                                  <w:sz w:val="12"/>
                                </w:rPr>
                                <w:t> </w:t>
                              </w:r>
                              <w:r>
                                <w:rPr>
                                  <w:rFonts w:ascii="Arial"/>
                                  <w:color w:val="231F20"/>
                                  <w:spacing w:val="-2"/>
                                  <w:w w:val="80"/>
                                  <w:sz w:val="12"/>
                                </w:rPr>
                                <w:t>bar</w:t>
                              </w:r>
                              <w:r>
                                <w:rPr>
                                  <w:rFonts w:ascii="Arial"/>
                                  <w:color w:val="231F20"/>
                                  <w:spacing w:val="-2"/>
                                  <w:sz w:val="12"/>
                                </w:rPr>
                                <w:t> </w:t>
                              </w:r>
                              <w:r>
                                <w:rPr>
                                  <w:rFonts w:ascii="Arial"/>
                                  <w:color w:val="231F20"/>
                                  <w:spacing w:val="-2"/>
                                  <w:w w:val="80"/>
                                  <w:sz w:val="12"/>
                                </w:rPr>
                                <w:t>in</w:t>
                              </w:r>
                              <w:r>
                                <w:rPr>
                                  <w:rFonts w:ascii="Arial"/>
                                  <w:color w:val="231F20"/>
                                  <w:spacing w:val="-2"/>
                                  <w:sz w:val="12"/>
                                </w:rPr>
                                <w:t> </w:t>
                              </w:r>
                              <w:r>
                                <w:rPr>
                                  <w:rFonts w:ascii="Arial"/>
                                  <w:color w:val="231F20"/>
                                  <w:spacing w:val="-2"/>
                                  <w:w w:val="80"/>
                                  <w:sz w:val="12"/>
                                </w:rPr>
                                <w:t>the</w:t>
                              </w:r>
                              <w:r>
                                <w:rPr>
                                  <w:rFonts w:ascii="Arial"/>
                                  <w:color w:val="231F20"/>
                                  <w:spacing w:val="-2"/>
                                  <w:sz w:val="12"/>
                                </w:rPr>
                                <w:t> </w:t>
                              </w:r>
                              <w:r>
                                <w:rPr>
                                  <w:rFonts w:ascii="Arial"/>
                                  <w:color w:val="231F20"/>
                                  <w:spacing w:val="-2"/>
                                  <w:w w:val="80"/>
                                  <w:sz w:val="12"/>
                                </w:rPr>
                                <w:t>square.</w:t>
                              </w:r>
                              <w:r>
                                <w:rPr>
                                  <w:rFonts w:ascii="Arial"/>
                                  <w:color w:val="231F20"/>
                                  <w:spacing w:val="-6"/>
                                  <w:w w:val="80"/>
                                  <w:sz w:val="12"/>
                                </w:rPr>
                                <w:t> </w:t>
                              </w:r>
                              <w:r>
                                <w:rPr>
                                  <w:rFonts w:ascii="Arial"/>
                                  <w:color w:val="231F20"/>
                                  <w:spacing w:val="-2"/>
                                  <w:w w:val="80"/>
                                  <w:sz w:val="12"/>
                                </w:rPr>
                                <w:t>The</w:t>
                              </w:r>
                              <w:r>
                                <w:rPr>
                                  <w:rFonts w:ascii="Arial"/>
                                  <w:color w:val="231F20"/>
                                  <w:spacing w:val="-2"/>
                                  <w:sz w:val="12"/>
                                </w:rPr>
                                <w:t> </w:t>
                              </w:r>
                              <w:r>
                                <w:rPr>
                                  <w:rFonts w:ascii="Arial"/>
                                  <w:color w:val="231F20"/>
                                  <w:spacing w:val="-2"/>
                                  <w:w w:val="80"/>
                                  <w:sz w:val="12"/>
                                </w:rPr>
                                <w:t>shaded</w:t>
                              </w:r>
                              <w:r>
                                <w:rPr>
                                  <w:rFonts w:ascii="Arial"/>
                                  <w:color w:val="231F20"/>
                                  <w:spacing w:val="-2"/>
                                  <w:sz w:val="12"/>
                                </w:rPr>
                                <w:t> </w:t>
                              </w:r>
                              <w:r>
                                <w:rPr>
                                  <w:rFonts w:ascii="Arial"/>
                                  <w:color w:val="231F20"/>
                                  <w:spacing w:val="-2"/>
                                  <w:w w:val="80"/>
                                  <w:sz w:val="12"/>
                                </w:rPr>
                                <w:t>areas</w:t>
                              </w:r>
                              <w:r>
                                <w:rPr>
                                  <w:rFonts w:ascii="Arial"/>
                                  <w:color w:val="231F20"/>
                                  <w:spacing w:val="-2"/>
                                  <w:sz w:val="12"/>
                                </w:rPr>
                                <w:t> </w:t>
                              </w:r>
                              <w:r>
                                <w:rPr>
                                  <w:rFonts w:ascii="Arial"/>
                                  <w:color w:val="231F20"/>
                                  <w:spacing w:val="-2"/>
                                  <w:w w:val="80"/>
                                  <w:sz w:val="12"/>
                                </w:rPr>
                                <w:t>are</w:t>
                              </w:r>
                              <w:r>
                                <w:rPr>
                                  <w:rFonts w:ascii="Arial"/>
                                  <w:color w:val="231F20"/>
                                  <w:spacing w:val="-2"/>
                                  <w:sz w:val="12"/>
                                </w:rPr>
                                <w:t> </w:t>
                              </w:r>
                              <w:r>
                                <w:rPr>
                                  <w:rFonts w:ascii="Arial"/>
                                  <w:color w:val="231F20"/>
                                  <w:spacing w:val="-2"/>
                                  <w:w w:val="80"/>
                                  <w:sz w:val="12"/>
                                </w:rPr>
                                <w:t>the</w:t>
                              </w:r>
                              <w:r>
                                <w:rPr>
                                  <w:rFonts w:ascii="Arial"/>
                                  <w:color w:val="231F20"/>
                                  <w:spacing w:val="40"/>
                                  <w:sz w:val="12"/>
                                </w:rPr>
                                <w:t> </w:t>
                              </w:r>
                              <w:r>
                                <w:rPr>
                                  <w:rFonts w:ascii="Arial"/>
                                  <w:color w:val="231F20"/>
                                  <w:w w:val="90"/>
                                  <w:sz w:val="12"/>
                                </w:rPr>
                                <w:t>middle 50 percent of scores.</w:t>
                              </w:r>
                            </w:p>
                          </w:txbxContent>
                        </wps:txbx>
                        <wps:bodyPr wrap="square" lIns="0" tIns="0" rIns="0" bIns="0" rtlCol="0">
                          <a:noAutofit/>
                        </wps:bodyPr>
                      </wps:wsp>
                    </wpg:wgp>
                  </a:graphicData>
                </a:graphic>
              </wp:inline>
            </w:drawing>
          </mc:Choice>
          <mc:Fallback>
            <w:pict>
              <v:group style="width:186.05pt;height:245.5pt;mso-position-horizontal-relative:char;mso-position-vertical-relative:line" id="docshapegroup586" coordorigin="0,0" coordsize="3721,4910">
                <v:shape style="position:absolute;left:0;top:609;width:3720;height:4301" id="docshape587" coordorigin="0,609" coordsize="3720,4301" path="m3720,609l0,609,0,4792,10,4838,36,4875,74,4901,119,4910,3596,4910,3642,4901,3682,4878,3710,4841,3720,4792,3720,609xe" filled="true" fillcolor="#dfeaf7" stroked="false">
                  <v:path arrowok="t"/>
                  <v:fill type="solid"/>
                </v:shape>
                <v:line style="position:absolute" from="345,3933" to="3601,3933" stroked="true" strokeweight=".5pt" strokecolor="#ffffff">
                  <v:stroke dashstyle="solid"/>
                </v:line>
                <v:line style="position:absolute" from="345,3216" to="3601,3216" stroked="true" strokeweight=".5pt" strokecolor="#ffffff">
                  <v:stroke dashstyle="solid"/>
                </v:line>
                <v:line style="position:absolute" from="345,2499" to="3601,2499" stroked="true" strokeweight=".5pt" strokecolor="#ffffff">
                  <v:stroke dashstyle="solid"/>
                </v:line>
                <v:line style="position:absolute" from="345,1782" to="3601,1782" stroked="true" strokeweight=".5pt" strokecolor="#ffffff">
                  <v:stroke dashstyle="solid"/>
                </v:line>
                <v:line style="position:absolute" from="345,1066" to="3601,1066" stroked="true" strokeweight=".5pt" strokecolor="#ffffff">
                  <v:stroke dashstyle="solid"/>
                </v:line>
                <v:shape style="position:absolute;left:0;top:2;width:807;height:565" id="docshape588" coordorigin="0,3" coordsize="807,565" path="m807,3l120,3,74,7,36,25,10,62,0,123,0,568,807,568,807,3xe" filled="true" fillcolor="#008fdd" stroked="false">
                  <v:path arrowok="t"/>
                  <v:fill type="solid"/>
                </v:shape>
                <v:shape style="position:absolute;left:806;top:2;width:2913;height:565" id="docshape589" coordorigin="807,3" coordsize="2913,565" path="m3599,3l807,3,807,568,3719,568,3719,123,3711,83,3686,44,3648,14,3599,3xe" filled="true" fillcolor="#808285" stroked="false">
                  <v:path arrowok="t"/>
                  <v:fill type="solid"/>
                </v:shape>
                <v:line style="position:absolute" from="807,0" to="807,568" stroked="true" strokeweight="2pt" strokecolor="#ffffff">
                  <v:stroke dashstyle="solid"/>
                </v:line>
                <v:line style="position:absolute" from="345,3933" to="3601,3933" stroked="true" strokeweight=".5pt" strokecolor="#ffffff">
                  <v:stroke dashstyle="solid"/>
                </v:line>
                <v:line style="position:absolute" from="752,3001" to="752,3216" stroked="true" strokeweight=".5pt" strokecolor="#231f20">
                  <v:stroke dashstyle="solid"/>
                </v:line>
                <v:line style="position:absolute" from="752,2858" to="752,2643" stroked="true" strokeweight=".5pt" strokecolor="#231f20">
                  <v:stroke dashstyle="solid"/>
                </v:line>
                <v:line style="position:absolute" from="616,3216" to="889,3216" stroked="true" strokeweight=".5pt" strokecolor="#231f20">
                  <v:stroke dashstyle="solid"/>
                </v:line>
                <v:line style="position:absolute" from="616,2643" to="889,2643" stroked="true" strokeweight=".5pt" strokecolor="#231f20">
                  <v:stroke dashstyle="solid"/>
                </v:line>
                <v:line style="position:absolute" from="1566,2929" to="1566,3144" stroked="true" strokeweight=".5pt" strokecolor="#231f20">
                  <v:stroke dashstyle="solid"/>
                </v:line>
                <v:line style="position:absolute" from="1566,2643" to="1566,2213" stroked="true" strokeweight=".5pt" strokecolor="#231f20">
                  <v:stroke dashstyle="solid"/>
                </v:line>
                <v:line style="position:absolute" from="1430,3144" to="1702,3144" stroked="true" strokeweight=".5pt" strokecolor="#231f20">
                  <v:stroke dashstyle="solid"/>
                </v:line>
                <v:line style="position:absolute" from="1430,2213" to="1702,2213" stroked="true" strokeweight=".5pt" strokecolor="#231f20">
                  <v:stroke dashstyle="solid"/>
                </v:line>
                <v:line style="position:absolute" from="2380,2858" to="2380,3288" stroked="true" strokeweight=".5pt" strokecolor="#231f20">
                  <v:stroke dashstyle="solid"/>
                </v:line>
                <v:line style="position:absolute" from="2380,2499" to="2380,1997" stroked="true" strokeweight=".5pt" strokecolor="#231f20">
                  <v:stroke dashstyle="solid"/>
                </v:line>
                <v:line style="position:absolute" from="2243,3288" to="2517,3288" stroked="true" strokeweight=".5pt" strokecolor="#231f20">
                  <v:stroke dashstyle="solid"/>
                </v:line>
                <v:line style="position:absolute" from="2243,1997" to="2517,1997" stroked="true" strokeweight=".5pt" strokecolor="#231f20">
                  <v:stroke dashstyle="solid"/>
                </v:line>
                <v:line style="position:absolute" from="3194,2285" to="3194,2858" stroked="true" strokeweight=".5pt" strokecolor="#231f20">
                  <v:stroke dashstyle="solid"/>
                </v:line>
                <v:line style="position:absolute" from="3194,1854" to="3194,1567" stroked="true" strokeweight=".5pt" strokecolor="#231f20">
                  <v:stroke dashstyle="solid"/>
                </v:line>
                <v:line style="position:absolute" from="3058,2858" to="3330,2858" stroked="true" strokeweight=".5pt" strokecolor="#231f20">
                  <v:stroke dashstyle="solid"/>
                </v:line>
                <v:line style="position:absolute" from="3058,1567" to="3330,1567" stroked="true" strokeweight=".5pt" strokecolor="#231f20">
                  <v:stroke dashstyle="solid"/>
                </v:line>
                <v:shape style="position:absolute;left:722;top:3257;width:60;height:60" id="docshape590" coordorigin="722,3258" coordsize="60,60" path="m752,3258l741,3260,731,3267,725,3276,722,3288,725,3300,731,3309,741,3316,752,3318,764,3316,774,3309,780,3300,782,3288,780,3276,774,3267,764,3260,752,3258xe" filled="true" fillcolor="#008fdd" stroked="false">
                  <v:path arrowok="t"/>
                  <v:fill type="solid"/>
                </v:shape>
                <v:shape style="position:absolute;left:722;top:3257;width:60;height:60" id="docshape591" coordorigin="722,3258" coordsize="60,60" path="m722,3288l725,3300,731,3309,741,3316,752,3318,764,3316,774,3309,780,3300,782,3288,780,3276,774,3267,764,3260,752,3258,741,3260,731,3267,725,3276,722,3288xe" filled="false" stroked="true" strokeweight=".25pt" strokecolor="#ffffff">
                  <v:path arrowok="t"/>
                  <v:stroke dashstyle="solid"/>
                </v:shape>
                <v:rect style="position:absolute;left:651;top:2862;width:202;height:135" id="docshape592" filled="true" fillcolor="#90bae8" stroked="false">
                  <v:fill type="solid"/>
                </v:rect>
                <v:rect style="position:absolute;left:651;top:2862;width:202;height:135" id="docshape593" filled="false" stroked="true" strokeweight=".5pt" strokecolor="#008fdd">
                  <v:stroke dashstyle="solid"/>
                </v:rect>
                <v:rect style="position:absolute;left:1465;top:2647;width:202;height:277" id="docshape594" filled="true" fillcolor="#90bae8" stroked="false">
                  <v:fill type="solid"/>
                </v:rect>
                <v:rect style="position:absolute;left:1465;top:2647;width:202;height:277" id="docshape595" filled="false" stroked="true" strokeweight=".5pt" strokecolor="#008fdd">
                  <v:stroke dashstyle="solid"/>
                </v:rect>
                <v:rect style="position:absolute;left:2278;top:2504;width:202;height:349" id="docshape596" filled="true" fillcolor="#90bae8" stroked="false">
                  <v:fill type="solid"/>
                </v:rect>
                <v:rect style="position:absolute;left:2278;top:2504;width:202;height:349" id="docshape597" filled="false" stroked="true" strokeweight=".5pt" strokecolor="#008fdd">
                  <v:stroke dashstyle="solid"/>
                </v:rect>
                <v:rect style="position:absolute;left:3093;top:1857;width:202;height:421" id="docshape598" filled="true" fillcolor="#90bae8" stroked="false">
                  <v:fill type="solid"/>
                </v:rect>
                <v:rect style="position:absolute;left:3093;top:1857;width:202;height:421" id="docshape599" filled="false" stroked="true" strokeweight=".5pt" strokecolor="#008fdd">
                  <v:stroke dashstyle="solid"/>
                </v:rect>
                <v:line style="position:absolute" from="650,2929" to="855,2929" stroked="true" strokeweight=".5pt" strokecolor="#008fdd">
                  <v:stroke dashstyle="solid"/>
                </v:line>
                <v:line style="position:absolute" from="1464,2786" to="1668,2786" stroked="true" strokeweight=".5pt" strokecolor="#008fdd">
                  <v:stroke dashstyle="solid"/>
                </v:line>
                <v:line style="position:absolute" from="2278,2714" to="2483,2714" stroked="true" strokeweight=".5pt" strokecolor="#008fdd">
                  <v:stroke dashstyle="solid"/>
                </v:line>
                <v:line style="position:absolute" from="3092,2069" to="3296,2069" stroked="true" strokeweight=".5pt" strokecolor="#008fdd">
                  <v:stroke dashstyle="solid"/>
                </v:line>
                <v:shape style="position:absolute;left:120;top:67;width:3269;height:1082" type="#_x0000_t202" id="docshape600" filled="false" stroked="false">
                  <v:textbox inset="0,0,0,0">
                    <w:txbxContent>
                      <w:p>
                        <w:pPr>
                          <w:spacing w:line="261" w:lineRule="auto" w:before="3"/>
                          <w:ind w:left="800" w:right="0" w:hanging="800"/>
                          <w:jc w:val="left"/>
                          <w:rPr>
                            <w:rFonts w:ascii="Arial"/>
                            <w:b/>
                            <w:sz w:val="16"/>
                          </w:rPr>
                        </w:pPr>
                        <w:r>
                          <w:rPr>
                            <w:rFonts w:ascii="Arial"/>
                            <w:color w:val="FFFFFF"/>
                            <w:sz w:val="16"/>
                          </w:rPr>
                          <w:t>Figure </w:t>
                        </w:r>
                        <w:r>
                          <w:rPr>
                            <w:rFonts w:ascii="Arial"/>
                            <w:b/>
                            <w:color w:val="FFFFFF"/>
                            <w:sz w:val="16"/>
                          </w:rPr>
                          <w:t>2.5</w:t>
                        </w:r>
                        <w:r>
                          <w:rPr>
                            <w:rFonts w:ascii="Arial"/>
                            <w:b/>
                            <w:color w:val="FFFFFF"/>
                            <w:spacing w:val="80"/>
                            <w:sz w:val="16"/>
                          </w:rPr>
                          <w:t> </w:t>
                        </w:r>
                        <w:r>
                          <w:rPr>
                            <w:rFonts w:ascii="Arial"/>
                            <w:b/>
                            <w:color w:val="FFFFFF"/>
                            <w:sz w:val="16"/>
                          </w:rPr>
                          <w:t>Distribution</w:t>
                        </w:r>
                        <w:r>
                          <w:rPr>
                            <w:rFonts w:ascii="Arial"/>
                            <w:b/>
                            <w:color w:val="FFFFFF"/>
                            <w:spacing w:val="-3"/>
                            <w:sz w:val="16"/>
                          </w:rPr>
                          <w:t> </w:t>
                        </w:r>
                        <w:r>
                          <w:rPr>
                            <w:rFonts w:ascii="Arial"/>
                            <w:b/>
                            <w:color w:val="FFFFFF"/>
                            <w:sz w:val="16"/>
                          </w:rPr>
                          <w:t>of</w:t>
                        </w:r>
                        <w:r>
                          <w:rPr>
                            <w:rFonts w:ascii="Arial"/>
                            <w:b/>
                            <w:color w:val="FFFFFF"/>
                            <w:spacing w:val="-3"/>
                            <w:sz w:val="16"/>
                          </w:rPr>
                          <w:t> </w:t>
                        </w:r>
                        <w:r>
                          <w:rPr>
                            <w:rFonts w:ascii="Arial"/>
                            <w:b/>
                            <w:color w:val="FFFFFF"/>
                            <w:sz w:val="16"/>
                          </w:rPr>
                          <w:t>2023</w:t>
                        </w:r>
                        <w:r>
                          <w:rPr>
                            <w:rFonts w:ascii="Arial"/>
                            <w:b/>
                            <w:color w:val="FFFFFF"/>
                            <w:spacing w:val="-3"/>
                            <w:sz w:val="16"/>
                          </w:rPr>
                          <w:t> </w:t>
                        </w:r>
                        <w:r>
                          <w:rPr>
                            <w:rFonts w:ascii="Arial"/>
                            <w:b/>
                            <w:color w:val="FFFFFF"/>
                            <w:sz w:val="16"/>
                          </w:rPr>
                          <w:t>LPI</w:t>
                        </w:r>
                        <w:r>
                          <w:rPr>
                            <w:rFonts w:ascii="Arial"/>
                            <w:b/>
                            <w:color w:val="FFFFFF"/>
                            <w:spacing w:val="-3"/>
                            <w:sz w:val="16"/>
                          </w:rPr>
                          <w:t> </w:t>
                        </w:r>
                        <w:r>
                          <w:rPr>
                            <w:rFonts w:ascii="Arial"/>
                            <w:b/>
                            <w:color w:val="FFFFFF"/>
                            <w:sz w:val="16"/>
                          </w:rPr>
                          <w:t>scores by income group</w:t>
                        </w:r>
                      </w:p>
                      <w:p>
                        <w:pPr>
                          <w:spacing w:line="240" w:lineRule="auto" w:before="53"/>
                          <w:rPr>
                            <w:rFonts w:ascii="Arial"/>
                            <w:b/>
                            <w:sz w:val="16"/>
                          </w:rPr>
                        </w:pPr>
                      </w:p>
                      <w:p>
                        <w:pPr>
                          <w:spacing w:line="220" w:lineRule="atLeast" w:before="0"/>
                          <w:ind w:left="82" w:right="2807" w:hanging="83"/>
                          <w:jc w:val="left"/>
                          <w:rPr>
                            <w:rFonts w:ascii="Arial"/>
                            <w:sz w:val="14"/>
                          </w:rPr>
                        </w:pPr>
                        <w:r>
                          <w:rPr>
                            <w:rFonts w:ascii="Arial"/>
                            <w:color w:val="231F20"/>
                            <w:spacing w:val="-4"/>
                            <w:w w:val="80"/>
                            <w:sz w:val="14"/>
                          </w:rPr>
                          <w:t>LPI</w:t>
                        </w:r>
                        <w:r>
                          <w:rPr>
                            <w:rFonts w:ascii="Arial"/>
                            <w:color w:val="231F20"/>
                            <w:spacing w:val="-6"/>
                            <w:sz w:val="14"/>
                          </w:rPr>
                          <w:t> </w:t>
                        </w:r>
                        <w:r>
                          <w:rPr>
                            <w:rFonts w:ascii="Arial"/>
                            <w:color w:val="231F20"/>
                            <w:spacing w:val="-4"/>
                            <w:w w:val="80"/>
                            <w:sz w:val="14"/>
                          </w:rPr>
                          <w:t>score</w:t>
                        </w:r>
                        <w:r>
                          <w:rPr>
                            <w:rFonts w:ascii="Arial"/>
                            <w:color w:val="231F20"/>
                            <w:spacing w:val="40"/>
                            <w:sz w:val="14"/>
                          </w:rPr>
                          <w:t> </w:t>
                        </w:r>
                        <w:r>
                          <w:rPr>
                            <w:rFonts w:ascii="Arial"/>
                            <w:color w:val="231F20"/>
                            <w:spacing w:val="-10"/>
                            <w:w w:val="90"/>
                            <w:sz w:val="14"/>
                          </w:rPr>
                          <w:t>5</w:t>
                        </w:r>
                      </w:p>
                    </w:txbxContent>
                  </v:textbox>
                  <w10:wrap type="none"/>
                </v:shape>
                <v:shape style="position:absolute;left:215;top:1707;width:88;height:159" type="#_x0000_t202" id="docshape601" filled="false" stroked="false">
                  <v:textbox inset="0,0,0,0">
                    <w:txbxContent>
                      <w:p>
                        <w:pPr>
                          <w:spacing w:line="158" w:lineRule="exact" w:before="0"/>
                          <w:ind w:left="0" w:right="0" w:firstLine="0"/>
                          <w:jc w:val="left"/>
                          <w:rPr>
                            <w:rFonts w:ascii="Arial"/>
                            <w:sz w:val="14"/>
                          </w:rPr>
                        </w:pPr>
                        <w:r>
                          <w:rPr>
                            <w:rFonts w:ascii="Arial"/>
                            <w:color w:val="231F20"/>
                            <w:spacing w:val="-10"/>
                            <w:sz w:val="14"/>
                          </w:rPr>
                          <w:t>4</w:t>
                        </w:r>
                      </w:p>
                    </w:txbxContent>
                  </v:textbox>
                  <w10:wrap type="none"/>
                </v:shape>
                <v:shape style="position:absolute;left:215;top:2424;width:88;height:159" type="#_x0000_t202" id="docshape602" filled="false" stroked="false">
                  <v:textbox inset="0,0,0,0">
                    <w:txbxContent>
                      <w:p>
                        <w:pPr>
                          <w:spacing w:line="158" w:lineRule="exact" w:before="0"/>
                          <w:ind w:left="0" w:right="0" w:firstLine="0"/>
                          <w:jc w:val="left"/>
                          <w:rPr>
                            <w:rFonts w:ascii="Arial"/>
                            <w:sz w:val="14"/>
                          </w:rPr>
                        </w:pPr>
                        <w:r>
                          <w:rPr>
                            <w:rFonts w:ascii="Arial"/>
                            <w:color w:val="231F20"/>
                            <w:spacing w:val="-10"/>
                            <w:sz w:val="14"/>
                          </w:rPr>
                          <w:t>3</w:t>
                        </w:r>
                      </w:p>
                    </w:txbxContent>
                  </v:textbox>
                  <w10:wrap type="none"/>
                </v:shape>
                <v:shape style="position:absolute;left:215;top:3141;width:88;height:159" type="#_x0000_t202" id="docshape603" filled="false" stroked="false">
                  <v:textbox inset="0,0,0,0">
                    <w:txbxContent>
                      <w:p>
                        <w:pPr>
                          <w:spacing w:line="158" w:lineRule="exact" w:before="0"/>
                          <w:ind w:left="0" w:right="0" w:firstLine="0"/>
                          <w:jc w:val="left"/>
                          <w:rPr>
                            <w:rFonts w:ascii="Arial"/>
                            <w:sz w:val="14"/>
                          </w:rPr>
                        </w:pPr>
                        <w:r>
                          <w:rPr>
                            <w:rFonts w:ascii="Arial"/>
                            <w:color w:val="231F20"/>
                            <w:spacing w:val="-10"/>
                            <w:sz w:val="14"/>
                          </w:rPr>
                          <w:t>2</w:t>
                        </w:r>
                      </w:p>
                    </w:txbxContent>
                  </v:textbox>
                  <w10:wrap type="none"/>
                </v:shape>
                <v:shape style="position:absolute;left:120;top:3858;width:3409;height:958" type="#_x0000_t202" id="docshape604" filled="false" stroked="false">
                  <v:textbox inset="0,0,0,0">
                    <w:txbxContent>
                      <w:p>
                        <w:pPr>
                          <w:spacing w:line="139" w:lineRule="exact" w:before="0"/>
                          <w:ind w:left="94" w:right="0" w:firstLine="0"/>
                          <w:jc w:val="left"/>
                          <w:rPr>
                            <w:rFonts w:ascii="Arial"/>
                            <w:sz w:val="14"/>
                          </w:rPr>
                        </w:pPr>
                        <w:r>
                          <w:rPr>
                            <w:rFonts w:ascii="Arial"/>
                            <w:color w:val="231F20"/>
                            <w:spacing w:val="-10"/>
                            <w:sz w:val="14"/>
                          </w:rPr>
                          <w:t>1</w:t>
                        </w:r>
                      </w:p>
                      <w:p>
                        <w:pPr>
                          <w:tabs>
                            <w:tab w:pos="1112" w:val="left" w:leader="none"/>
                            <w:tab w:pos="2962" w:val="left" w:leader="none"/>
                          </w:tabs>
                          <w:spacing w:line="140" w:lineRule="exact" w:before="0"/>
                          <w:ind w:left="530" w:right="0" w:firstLine="0"/>
                          <w:jc w:val="left"/>
                          <w:rPr>
                            <w:rFonts w:ascii="Arial"/>
                            <w:sz w:val="14"/>
                          </w:rPr>
                        </w:pPr>
                        <w:r>
                          <w:rPr>
                            <w:rFonts w:ascii="Arial"/>
                            <w:color w:val="231F20"/>
                            <w:spacing w:val="-5"/>
                            <w:w w:val="90"/>
                            <w:sz w:val="14"/>
                          </w:rPr>
                          <w:t>Low</w:t>
                        </w:r>
                        <w:r>
                          <w:rPr>
                            <w:rFonts w:ascii="Arial"/>
                            <w:color w:val="231F20"/>
                            <w:sz w:val="14"/>
                          </w:rPr>
                          <w:tab/>
                        </w:r>
                        <w:r>
                          <w:rPr>
                            <w:rFonts w:ascii="Arial"/>
                            <w:color w:val="231F20"/>
                            <w:w w:val="80"/>
                            <w:sz w:val="14"/>
                          </w:rPr>
                          <w:t>Lower</w:t>
                        </w:r>
                        <w:r>
                          <w:rPr>
                            <w:rFonts w:ascii="Arial"/>
                            <w:color w:val="231F20"/>
                            <w:spacing w:val="-2"/>
                            <w:w w:val="80"/>
                            <w:sz w:val="14"/>
                          </w:rPr>
                          <w:t> </w:t>
                        </w:r>
                        <w:r>
                          <w:rPr>
                            <w:rFonts w:ascii="Arial"/>
                            <w:color w:val="231F20"/>
                            <w:w w:val="80"/>
                            <w:sz w:val="14"/>
                          </w:rPr>
                          <w:t>middle</w:t>
                        </w:r>
                        <w:r>
                          <w:rPr>
                            <w:rFonts w:ascii="Arial"/>
                            <w:color w:val="231F20"/>
                            <w:spacing w:val="76"/>
                            <w:w w:val="150"/>
                            <w:sz w:val="14"/>
                          </w:rPr>
                          <w:t> </w:t>
                        </w:r>
                        <w:r>
                          <w:rPr>
                            <w:rFonts w:ascii="Arial"/>
                            <w:color w:val="231F20"/>
                            <w:w w:val="80"/>
                            <w:sz w:val="14"/>
                          </w:rPr>
                          <w:t>Upper</w:t>
                        </w:r>
                        <w:r>
                          <w:rPr>
                            <w:rFonts w:ascii="Arial"/>
                            <w:color w:val="231F20"/>
                            <w:spacing w:val="-1"/>
                            <w:w w:val="80"/>
                            <w:sz w:val="14"/>
                          </w:rPr>
                          <w:t> </w:t>
                        </w:r>
                        <w:r>
                          <w:rPr>
                            <w:rFonts w:ascii="Arial"/>
                            <w:color w:val="231F20"/>
                            <w:spacing w:val="-2"/>
                            <w:w w:val="80"/>
                            <w:sz w:val="14"/>
                          </w:rPr>
                          <w:t>middle</w:t>
                        </w:r>
                        <w:r>
                          <w:rPr>
                            <w:rFonts w:ascii="Arial"/>
                            <w:color w:val="231F20"/>
                            <w:sz w:val="14"/>
                          </w:rPr>
                          <w:tab/>
                        </w:r>
                        <w:r>
                          <w:rPr>
                            <w:rFonts w:ascii="Arial"/>
                            <w:color w:val="231F20"/>
                            <w:spacing w:val="-4"/>
                            <w:w w:val="90"/>
                            <w:sz w:val="14"/>
                          </w:rPr>
                          <w:t>High</w:t>
                        </w:r>
                      </w:p>
                      <w:p>
                        <w:pPr>
                          <w:tabs>
                            <w:tab w:pos="1265" w:val="left" w:leader="none"/>
                            <w:tab w:pos="2079" w:val="left" w:leader="none"/>
                            <w:tab w:pos="2893" w:val="left" w:leader="none"/>
                          </w:tabs>
                          <w:spacing w:line="161" w:lineRule="exact" w:before="0"/>
                          <w:ind w:left="451" w:right="0" w:firstLine="0"/>
                          <w:jc w:val="left"/>
                          <w:rPr>
                            <w:rFonts w:ascii="Arial"/>
                            <w:sz w:val="14"/>
                          </w:rPr>
                        </w:pPr>
                        <w:r>
                          <w:rPr>
                            <w:rFonts w:ascii="Arial"/>
                            <w:color w:val="231F20"/>
                            <w:spacing w:val="-2"/>
                            <w:sz w:val="14"/>
                          </w:rPr>
                          <w:t>income</w:t>
                        </w:r>
                        <w:r>
                          <w:rPr>
                            <w:rFonts w:ascii="Arial"/>
                            <w:color w:val="231F20"/>
                            <w:sz w:val="14"/>
                          </w:rPr>
                          <w:tab/>
                        </w:r>
                        <w:r>
                          <w:rPr>
                            <w:rFonts w:ascii="Arial"/>
                            <w:color w:val="231F20"/>
                            <w:spacing w:val="-2"/>
                            <w:sz w:val="14"/>
                          </w:rPr>
                          <w:t>income</w:t>
                        </w:r>
                        <w:r>
                          <w:rPr>
                            <w:rFonts w:ascii="Arial"/>
                            <w:color w:val="231F20"/>
                            <w:sz w:val="14"/>
                          </w:rPr>
                          <w:tab/>
                        </w:r>
                        <w:r>
                          <w:rPr>
                            <w:rFonts w:ascii="Arial"/>
                            <w:color w:val="231F20"/>
                            <w:spacing w:val="-2"/>
                            <w:sz w:val="14"/>
                          </w:rPr>
                          <w:t>income</w:t>
                        </w:r>
                        <w:r>
                          <w:rPr>
                            <w:rFonts w:ascii="Arial"/>
                            <w:color w:val="231F20"/>
                            <w:sz w:val="14"/>
                          </w:rPr>
                          <w:tab/>
                        </w:r>
                        <w:r>
                          <w:rPr>
                            <w:rFonts w:ascii="Arial"/>
                            <w:color w:val="231F20"/>
                            <w:spacing w:val="-2"/>
                            <w:sz w:val="14"/>
                          </w:rPr>
                          <w:t>income</w:t>
                        </w:r>
                      </w:p>
                      <w:p>
                        <w:pPr>
                          <w:spacing w:before="101"/>
                          <w:ind w:left="0" w:right="0" w:firstLine="0"/>
                          <w:jc w:val="left"/>
                          <w:rPr>
                            <w:rFonts w:ascii="Arial"/>
                            <w:sz w:val="12"/>
                          </w:rPr>
                        </w:pPr>
                        <w:r>
                          <w:rPr>
                            <w:rFonts w:ascii="Arial"/>
                            <w:i/>
                            <w:color w:val="231F20"/>
                            <w:w w:val="80"/>
                            <w:sz w:val="12"/>
                          </w:rPr>
                          <w:t>Source:</w:t>
                        </w:r>
                        <w:r>
                          <w:rPr>
                            <w:rFonts w:ascii="Arial"/>
                            <w:i/>
                            <w:color w:val="231F20"/>
                            <w:spacing w:val="-1"/>
                            <w:w w:val="80"/>
                            <w:sz w:val="12"/>
                          </w:rPr>
                          <w:t> </w:t>
                        </w:r>
                        <w:r>
                          <w:rPr>
                            <w:rFonts w:ascii="Arial"/>
                            <w:color w:val="231F20"/>
                            <w:w w:val="80"/>
                            <w:sz w:val="12"/>
                          </w:rPr>
                          <w:t>2023</w:t>
                        </w:r>
                        <w:r>
                          <w:rPr>
                            <w:rFonts w:ascii="Arial"/>
                            <w:color w:val="231F20"/>
                            <w:spacing w:val="-1"/>
                            <w:w w:val="80"/>
                            <w:sz w:val="12"/>
                          </w:rPr>
                          <w:t> </w:t>
                        </w:r>
                        <w:r>
                          <w:rPr>
                            <w:rFonts w:ascii="Arial"/>
                            <w:color w:val="231F20"/>
                            <w:w w:val="80"/>
                            <w:sz w:val="12"/>
                          </w:rPr>
                          <w:t>Logistics</w:t>
                        </w:r>
                        <w:r>
                          <w:rPr>
                            <w:rFonts w:ascii="Arial"/>
                            <w:color w:val="231F20"/>
                            <w:spacing w:val="-1"/>
                            <w:w w:val="80"/>
                            <w:sz w:val="12"/>
                          </w:rPr>
                          <w:t> </w:t>
                        </w:r>
                        <w:r>
                          <w:rPr>
                            <w:rFonts w:ascii="Arial"/>
                            <w:color w:val="231F20"/>
                            <w:w w:val="80"/>
                            <w:sz w:val="12"/>
                          </w:rPr>
                          <w:t>Performance</w:t>
                        </w:r>
                        <w:r>
                          <w:rPr>
                            <w:rFonts w:ascii="Arial"/>
                            <w:color w:val="231F20"/>
                            <w:spacing w:val="-1"/>
                            <w:w w:val="80"/>
                            <w:sz w:val="12"/>
                          </w:rPr>
                          <w:t> </w:t>
                        </w:r>
                        <w:r>
                          <w:rPr>
                            <w:rFonts w:ascii="Arial"/>
                            <w:color w:val="231F20"/>
                            <w:spacing w:val="-2"/>
                            <w:w w:val="80"/>
                            <w:sz w:val="12"/>
                          </w:rPr>
                          <w:t>Index.</w:t>
                        </w:r>
                      </w:p>
                      <w:p>
                        <w:pPr>
                          <w:spacing w:line="242" w:lineRule="auto" w:before="0"/>
                          <w:ind w:left="0" w:right="0" w:firstLine="0"/>
                          <w:jc w:val="left"/>
                          <w:rPr>
                            <w:rFonts w:ascii="Arial"/>
                            <w:sz w:val="12"/>
                          </w:rPr>
                        </w:pPr>
                        <w:r>
                          <w:rPr>
                            <w:rFonts w:ascii="Arial"/>
                            <w:i/>
                            <w:color w:val="231F20"/>
                            <w:spacing w:val="-2"/>
                            <w:w w:val="80"/>
                            <w:sz w:val="12"/>
                          </w:rPr>
                          <w:t>Note: </w:t>
                        </w:r>
                        <w:r>
                          <w:rPr>
                            <w:rFonts w:ascii="Arial"/>
                            <w:color w:val="231F20"/>
                            <w:spacing w:val="-2"/>
                            <w:w w:val="80"/>
                            <w:sz w:val="12"/>
                          </w:rPr>
                          <w:t>The</w:t>
                        </w:r>
                        <w:r>
                          <w:rPr>
                            <w:rFonts w:ascii="Arial"/>
                            <w:color w:val="231F20"/>
                            <w:spacing w:val="-2"/>
                            <w:sz w:val="12"/>
                          </w:rPr>
                          <w:t> </w:t>
                        </w:r>
                        <w:r>
                          <w:rPr>
                            <w:rFonts w:ascii="Arial"/>
                            <w:color w:val="231F20"/>
                            <w:spacing w:val="-2"/>
                            <w:w w:val="80"/>
                            <w:sz w:val="12"/>
                          </w:rPr>
                          <w:t>median</w:t>
                        </w:r>
                        <w:r>
                          <w:rPr>
                            <w:rFonts w:ascii="Arial"/>
                            <w:color w:val="231F20"/>
                            <w:spacing w:val="-2"/>
                            <w:sz w:val="12"/>
                          </w:rPr>
                          <w:t> </w:t>
                        </w:r>
                        <w:r>
                          <w:rPr>
                            <w:rFonts w:ascii="Arial"/>
                            <w:color w:val="231F20"/>
                            <w:spacing w:val="-2"/>
                            <w:w w:val="80"/>
                            <w:sz w:val="12"/>
                          </w:rPr>
                          <w:t>is</w:t>
                        </w:r>
                        <w:r>
                          <w:rPr>
                            <w:rFonts w:ascii="Arial"/>
                            <w:color w:val="231F20"/>
                            <w:spacing w:val="-2"/>
                            <w:sz w:val="12"/>
                          </w:rPr>
                          <w:t> </w:t>
                        </w:r>
                        <w:r>
                          <w:rPr>
                            <w:rFonts w:ascii="Arial"/>
                            <w:color w:val="231F20"/>
                            <w:spacing w:val="-2"/>
                            <w:w w:val="80"/>
                            <w:sz w:val="12"/>
                          </w:rPr>
                          <w:t>denoted</w:t>
                        </w:r>
                        <w:r>
                          <w:rPr>
                            <w:rFonts w:ascii="Arial"/>
                            <w:color w:val="231F20"/>
                            <w:spacing w:val="-2"/>
                            <w:sz w:val="12"/>
                          </w:rPr>
                          <w:t> </w:t>
                        </w:r>
                        <w:r>
                          <w:rPr>
                            <w:rFonts w:ascii="Arial"/>
                            <w:color w:val="231F20"/>
                            <w:spacing w:val="-2"/>
                            <w:w w:val="80"/>
                            <w:sz w:val="12"/>
                          </w:rPr>
                          <w:t>by</w:t>
                        </w:r>
                        <w:r>
                          <w:rPr>
                            <w:rFonts w:ascii="Arial"/>
                            <w:color w:val="231F20"/>
                            <w:spacing w:val="-2"/>
                            <w:sz w:val="12"/>
                          </w:rPr>
                          <w:t> </w:t>
                        </w:r>
                        <w:r>
                          <w:rPr>
                            <w:rFonts w:ascii="Arial"/>
                            <w:color w:val="231F20"/>
                            <w:spacing w:val="-2"/>
                            <w:w w:val="80"/>
                            <w:sz w:val="12"/>
                          </w:rPr>
                          <w:t>the</w:t>
                        </w:r>
                        <w:r>
                          <w:rPr>
                            <w:rFonts w:ascii="Arial"/>
                            <w:color w:val="231F20"/>
                            <w:spacing w:val="-2"/>
                            <w:sz w:val="12"/>
                          </w:rPr>
                          <w:t> </w:t>
                        </w:r>
                        <w:r>
                          <w:rPr>
                            <w:rFonts w:ascii="Arial"/>
                            <w:color w:val="231F20"/>
                            <w:spacing w:val="-2"/>
                            <w:w w:val="80"/>
                            <w:sz w:val="12"/>
                          </w:rPr>
                          <w:t>bar</w:t>
                        </w:r>
                        <w:r>
                          <w:rPr>
                            <w:rFonts w:ascii="Arial"/>
                            <w:color w:val="231F20"/>
                            <w:spacing w:val="-2"/>
                            <w:sz w:val="12"/>
                          </w:rPr>
                          <w:t> </w:t>
                        </w:r>
                        <w:r>
                          <w:rPr>
                            <w:rFonts w:ascii="Arial"/>
                            <w:color w:val="231F20"/>
                            <w:spacing w:val="-2"/>
                            <w:w w:val="80"/>
                            <w:sz w:val="12"/>
                          </w:rPr>
                          <w:t>in</w:t>
                        </w:r>
                        <w:r>
                          <w:rPr>
                            <w:rFonts w:ascii="Arial"/>
                            <w:color w:val="231F20"/>
                            <w:spacing w:val="-2"/>
                            <w:sz w:val="12"/>
                          </w:rPr>
                          <w:t> </w:t>
                        </w:r>
                        <w:r>
                          <w:rPr>
                            <w:rFonts w:ascii="Arial"/>
                            <w:color w:val="231F20"/>
                            <w:spacing w:val="-2"/>
                            <w:w w:val="80"/>
                            <w:sz w:val="12"/>
                          </w:rPr>
                          <w:t>the</w:t>
                        </w:r>
                        <w:r>
                          <w:rPr>
                            <w:rFonts w:ascii="Arial"/>
                            <w:color w:val="231F20"/>
                            <w:spacing w:val="-2"/>
                            <w:sz w:val="12"/>
                          </w:rPr>
                          <w:t> </w:t>
                        </w:r>
                        <w:r>
                          <w:rPr>
                            <w:rFonts w:ascii="Arial"/>
                            <w:color w:val="231F20"/>
                            <w:spacing w:val="-2"/>
                            <w:w w:val="80"/>
                            <w:sz w:val="12"/>
                          </w:rPr>
                          <w:t>square.</w:t>
                        </w:r>
                        <w:r>
                          <w:rPr>
                            <w:rFonts w:ascii="Arial"/>
                            <w:color w:val="231F20"/>
                            <w:spacing w:val="-6"/>
                            <w:w w:val="80"/>
                            <w:sz w:val="12"/>
                          </w:rPr>
                          <w:t> </w:t>
                        </w:r>
                        <w:r>
                          <w:rPr>
                            <w:rFonts w:ascii="Arial"/>
                            <w:color w:val="231F20"/>
                            <w:spacing w:val="-2"/>
                            <w:w w:val="80"/>
                            <w:sz w:val="12"/>
                          </w:rPr>
                          <w:t>The</w:t>
                        </w:r>
                        <w:r>
                          <w:rPr>
                            <w:rFonts w:ascii="Arial"/>
                            <w:color w:val="231F20"/>
                            <w:spacing w:val="-2"/>
                            <w:sz w:val="12"/>
                          </w:rPr>
                          <w:t> </w:t>
                        </w:r>
                        <w:r>
                          <w:rPr>
                            <w:rFonts w:ascii="Arial"/>
                            <w:color w:val="231F20"/>
                            <w:spacing w:val="-2"/>
                            <w:w w:val="80"/>
                            <w:sz w:val="12"/>
                          </w:rPr>
                          <w:t>shaded</w:t>
                        </w:r>
                        <w:r>
                          <w:rPr>
                            <w:rFonts w:ascii="Arial"/>
                            <w:color w:val="231F20"/>
                            <w:spacing w:val="-2"/>
                            <w:sz w:val="12"/>
                          </w:rPr>
                          <w:t> </w:t>
                        </w:r>
                        <w:r>
                          <w:rPr>
                            <w:rFonts w:ascii="Arial"/>
                            <w:color w:val="231F20"/>
                            <w:spacing w:val="-2"/>
                            <w:w w:val="80"/>
                            <w:sz w:val="12"/>
                          </w:rPr>
                          <w:t>areas</w:t>
                        </w:r>
                        <w:r>
                          <w:rPr>
                            <w:rFonts w:ascii="Arial"/>
                            <w:color w:val="231F20"/>
                            <w:spacing w:val="-2"/>
                            <w:sz w:val="12"/>
                          </w:rPr>
                          <w:t> </w:t>
                        </w:r>
                        <w:r>
                          <w:rPr>
                            <w:rFonts w:ascii="Arial"/>
                            <w:color w:val="231F20"/>
                            <w:spacing w:val="-2"/>
                            <w:w w:val="80"/>
                            <w:sz w:val="12"/>
                          </w:rPr>
                          <w:t>are</w:t>
                        </w:r>
                        <w:r>
                          <w:rPr>
                            <w:rFonts w:ascii="Arial"/>
                            <w:color w:val="231F20"/>
                            <w:spacing w:val="-2"/>
                            <w:sz w:val="12"/>
                          </w:rPr>
                          <w:t> </w:t>
                        </w:r>
                        <w:r>
                          <w:rPr>
                            <w:rFonts w:ascii="Arial"/>
                            <w:color w:val="231F20"/>
                            <w:spacing w:val="-2"/>
                            <w:w w:val="80"/>
                            <w:sz w:val="12"/>
                          </w:rPr>
                          <w:t>the</w:t>
                        </w:r>
                        <w:r>
                          <w:rPr>
                            <w:rFonts w:ascii="Arial"/>
                            <w:color w:val="231F20"/>
                            <w:spacing w:val="40"/>
                            <w:sz w:val="12"/>
                          </w:rPr>
                          <w:t> </w:t>
                        </w:r>
                        <w:r>
                          <w:rPr>
                            <w:rFonts w:ascii="Arial"/>
                            <w:color w:val="231F20"/>
                            <w:w w:val="90"/>
                            <w:sz w:val="12"/>
                          </w:rPr>
                          <w:t>middle 50 percent of scores.</w:t>
                        </w:r>
                      </w:p>
                    </w:txbxContent>
                  </v:textbox>
                  <w10:wrap type="none"/>
                </v:shape>
              </v:group>
            </w:pict>
          </mc:Fallback>
        </mc:AlternateContent>
      </w:r>
      <w:r>
        <w:rPr>
          <w:sz w:val="20"/>
        </w:rPr>
      </w:r>
    </w:p>
    <w:p>
      <w:pPr>
        <w:spacing w:after="0" w:line="240" w:lineRule="auto"/>
        <w:rPr>
          <w:sz w:val="20"/>
        </w:rPr>
        <w:sectPr>
          <w:type w:val="continuous"/>
          <w:pgSz w:w="12240" w:h="15840"/>
          <w:pgMar w:header="370" w:footer="548" w:top="1140" w:bottom="280" w:left="0" w:right="540"/>
        </w:sectPr>
      </w:pPr>
    </w:p>
    <w:p>
      <w:pPr>
        <w:pStyle w:val="BodyText"/>
        <w:spacing w:before="9"/>
        <w:rPr>
          <w:sz w:val="40"/>
        </w:rPr>
      </w:pPr>
    </w:p>
    <w:p>
      <w:pPr>
        <w:pStyle w:val="Heading1"/>
        <w:spacing w:line="230" w:lineRule="auto"/>
      </w:pPr>
      <w:r>
        <w:rPr/>
        <mc:AlternateContent>
          <mc:Choice Requires="wps">
            <w:drawing>
              <wp:anchor distT="0" distB="0" distL="0" distR="0" allowOverlap="1" layoutInCell="1" locked="0" behindDoc="0" simplePos="0" relativeHeight="15749120">
                <wp:simplePos x="0" y="0"/>
                <wp:positionH relativeFrom="page">
                  <wp:posOffset>1542031</wp:posOffset>
                </wp:positionH>
                <wp:positionV relativeFrom="paragraph">
                  <wp:posOffset>-48302</wp:posOffset>
                </wp:positionV>
                <wp:extent cx="159385" cy="570230"/>
                <wp:effectExtent l="0" t="0" r="0" b="0"/>
                <wp:wrapNone/>
                <wp:docPr id="753" name="Textbox 753"/>
                <wp:cNvGraphicFramePr>
                  <a:graphicFrameLocks/>
                </wp:cNvGraphicFramePr>
                <a:graphic>
                  <a:graphicData uri="http://schemas.microsoft.com/office/word/2010/wordprocessingShape">
                    <wps:wsp>
                      <wps:cNvPr id="753" name="Textbox 753"/>
                      <wps:cNvSpPr txBox="1"/>
                      <wps:spPr>
                        <a:xfrm>
                          <a:off x="0" y="0"/>
                          <a:ext cx="159385" cy="570230"/>
                        </a:xfrm>
                        <a:prstGeom prst="rect">
                          <a:avLst/>
                        </a:prstGeom>
                      </wps:spPr>
                      <wps:txbx>
                        <w:txbxContent>
                          <w:p>
                            <w:pPr>
                              <w:spacing w:before="28"/>
                              <w:ind w:left="20" w:right="0" w:firstLine="0"/>
                              <w:jc w:val="left"/>
                              <w:rPr>
                                <w:rFonts w:ascii="Arial"/>
                                <w:b/>
                                <w:sz w:val="17"/>
                              </w:rPr>
                            </w:pPr>
                            <w:r>
                              <w:rPr>
                                <w:rFonts w:ascii="Arial"/>
                                <w:b/>
                                <w:color w:val="231F20"/>
                                <w:spacing w:val="-2"/>
                                <w:sz w:val="17"/>
                              </w:rPr>
                              <w:t>CHAPTER</w:t>
                            </w:r>
                          </w:p>
                        </w:txbxContent>
                      </wps:txbx>
                      <wps:bodyPr wrap="square" lIns="0" tIns="0" rIns="0" bIns="0" rtlCol="0" vert="vert270">
                        <a:noAutofit/>
                      </wps:bodyPr>
                    </wps:wsp>
                  </a:graphicData>
                </a:graphic>
              </wp:anchor>
            </w:drawing>
          </mc:Choice>
          <mc:Fallback>
            <w:pict>
              <v:shape style="position:absolute;margin-left:121.4198pt;margin-top:-3.803349pt;width:12.55pt;height:44.9pt;mso-position-horizontal-relative:page;mso-position-vertical-relative:paragraph;z-index:15749120" type="#_x0000_t202" id="docshape608" filled="false" stroked="false">
                <v:textbox inset="0,0,0,0" style="layout-flow:vertical;mso-layout-flow-alt:bottom-to-top">
                  <w:txbxContent>
                    <w:p>
                      <w:pPr>
                        <w:spacing w:before="28"/>
                        <w:ind w:left="20" w:right="0" w:firstLine="0"/>
                        <w:jc w:val="left"/>
                        <w:rPr>
                          <w:rFonts w:ascii="Arial"/>
                          <w:b/>
                          <w:sz w:val="17"/>
                        </w:rPr>
                      </w:pPr>
                      <w:r>
                        <w:rPr>
                          <w:rFonts w:ascii="Arial"/>
                          <w:b/>
                          <w:color w:val="231F20"/>
                          <w:spacing w:val="-2"/>
                          <w:sz w:val="17"/>
                        </w:rPr>
                        <w:t>CHAPTER</w:t>
                      </w:r>
                    </w:p>
                  </w:txbxContent>
                </v:textbox>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1737370</wp:posOffset>
                </wp:positionH>
                <wp:positionV relativeFrom="paragraph">
                  <wp:posOffset>-242672</wp:posOffset>
                </wp:positionV>
                <wp:extent cx="548640" cy="942340"/>
                <wp:effectExtent l="0" t="0" r="0" b="0"/>
                <wp:wrapNone/>
                <wp:docPr id="754" name="Textbox 754"/>
                <wp:cNvGraphicFramePr>
                  <a:graphicFrameLocks/>
                </wp:cNvGraphicFramePr>
                <a:graphic>
                  <a:graphicData uri="http://schemas.microsoft.com/office/word/2010/wordprocessingShape">
                    <wps:wsp>
                      <wps:cNvPr id="754" name="Textbox 754"/>
                      <wps:cNvSpPr txBox="1"/>
                      <wps:spPr>
                        <a:xfrm>
                          <a:off x="0" y="0"/>
                          <a:ext cx="548640" cy="942340"/>
                        </a:xfrm>
                        <a:prstGeom prst="rect">
                          <a:avLst/>
                        </a:prstGeom>
                      </wps:spPr>
                      <wps:txbx>
                        <w:txbxContent>
                          <w:p>
                            <w:pPr>
                              <w:spacing w:before="57"/>
                              <w:ind w:left="0" w:right="0" w:firstLine="0"/>
                              <w:jc w:val="left"/>
                              <w:rPr>
                                <w:rFonts w:ascii="Arial"/>
                                <w:b/>
                                <w:sz w:val="120"/>
                              </w:rPr>
                            </w:pPr>
                            <w:r>
                              <w:rPr>
                                <w:rFonts w:ascii="Arial"/>
                                <w:b/>
                                <w:color w:val="008FDD"/>
                                <w:spacing w:val="-10"/>
                                <w:w w:val="125"/>
                                <w:sz w:val="120"/>
                              </w:rPr>
                              <w:t>3</w:t>
                            </w:r>
                          </w:p>
                        </w:txbxContent>
                      </wps:txbx>
                      <wps:bodyPr wrap="square" lIns="0" tIns="0" rIns="0" bIns="0" rtlCol="0">
                        <a:noAutofit/>
                      </wps:bodyPr>
                    </wps:wsp>
                  </a:graphicData>
                </a:graphic>
              </wp:anchor>
            </w:drawing>
          </mc:Choice>
          <mc:Fallback>
            <w:pict>
              <v:shape style="position:absolute;margin-left:136.800797pt;margin-top:-19.108047pt;width:43.2pt;height:74.2pt;mso-position-horizontal-relative:page;mso-position-vertical-relative:paragraph;z-index:15749632" type="#_x0000_t202" id="docshape609" filled="false" stroked="false">
                <v:textbox inset="0,0,0,0">
                  <w:txbxContent>
                    <w:p>
                      <w:pPr>
                        <w:spacing w:before="57"/>
                        <w:ind w:left="0" w:right="0" w:firstLine="0"/>
                        <w:jc w:val="left"/>
                        <w:rPr>
                          <w:rFonts w:ascii="Arial"/>
                          <w:b/>
                          <w:sz w:val="120"/>
                        </w:rPr>
                      </w:pPr>
                      <w:r>
                        <w:rPr>
                          <w:rFonts w:ascii="Arial"/>
                          <w:b/>
                          <w:color w:val="008FDD"/>
                          <w:spacing w:val="-10"/>
                          <w:w w:val="125"/>
                          <w:sz w:val="120"/>
                        </w:rPr>
                        <w:t>3</w:t>
                      </w:r>
                    </w:p>
                  </w:txbxContent>
                </v:textbox>
                <w10:wrap type="none"/>
              </v:shape>
            </w:pict>
          </mc:Fallback>
        </mc:AlternateContent>
      </w:r>
      <w:bookmarkStart w:name="_bookmark21" w:id="23"/>
      <w:bookmarkEnd w:id="23"/>
      <w:r>
        <w:rPr>
          <w:b w:val="0"/>
        </w:rPr>
      </w:r>
      <w:bookmarkStart w:name="_bookmark20" w:id="24"/>
      <w:bookmarkEnd w:id="24"/>
      <w:r>
        <w:rPr>
          <w:b w:val="0"/>
        </w:rPr>
      </w:r>
      <w:r>
        <w:rPr>
          <w:color w:val="231F20"/>
          <w:w w:val="105"/>
        </w:rPr>
        <w:t>Supply chain lead time around the world: Where are the delays?</w:t>
      </w:r>
    </w:p>
    <w:p>
      <w:pPr>
        <w:pStyle w:val="BodyText"/>
        <w:spacing w:before="1"/>
        <w:rPr>
          <w:rFonts w:ascii="Arial"/>
          <w:b/>
          <w:sz w:val="14"/>
        </w:rPr>
      </w:pPr>
      <w:r>
        <w:rPr/>
        <mc:AlternateContent>
          <mc:Choice Requires="wps">
            <w:drawing>
              <wp:anchor distT="0" distB="0" distL="0" distR="0" allowOverlap="1" layoutInCell="1" locked="0" behindDoc="1" simplePos="0" relativeHeight="487607296">
                <wp:simplePos x="0" y="0"/>
                <wp:positionH relativeFrom="page">
                  <wp:posOffset>762000</wp:posOffset>
                </wp:positionH>
                <wp:positionV relativeFrom="paragraph">
                  <wp:posOffset>118690</wp:posOffset>
                </wp:positionV>
                <wp:extent cx="1524000" cy="171450"/>
                <wp:effectExtent l="0" t="0" r="0" b="0"/>
                <wp:wrapTopAndBottom/>
                <wp:docPr id="755" name="Graphic 755"/>
                <wp:cNvGraphicFramePr>
                  <a:graphicFrameLocks/>
                </wp:cNvGraphicFramePr>
                <a:graphic>
                  <a:graphicData uri="http://schemas.microsoft.com/office/word/2010/wordprocessingShape">
                    <wps:wsp>
                      <wps:cNvPr id="755" name="Graphic 755"/>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9.345703pt;width:120pt;height:13.5pt;mso-position-horizontal-relative:page;mso-position-vertical-relative:paragraph;z-index:-15709184;mso-wrap-distance-left:0;mso-wrap-distance-right:0" id="docshape610"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607808">
                <wp:simplePos x="0" y="0"/>
                <wp:positionH relativeFrom="page">
                  <wp:posOffset>2438400</wp:posOffset>
                </wp:positionH>
                <wp:positionV relativeFrom="paragraph">
                  <wp:posOffset>118690</wp:posOffset>
                </wp:positionV>
                <wp:extent cx="4876800" cy="171450"/>
                <wp:effectExtent l="0" t="0" r="0" b="0"/>
                <wp:wrapTopAndBottom/>
                <wp:docPr id="756" name="Graphic 756"/>
                <wp:cNvGraphicFramePr>
                  <a:graphicFrameLocks/>
                </wp:cNvGraphicFramePr>
                <a:graphic>
                  <a:graphicData uri="http://schemas.microsoft.com/office/word/2010/wordprocessingShape">
                    <wps:wsp>
                      <wps:cNvPr id="756" name="Graphic 756"/>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9.345703pt;width:384pt;height:13.5pt;mso-position-horizontal-relative:page;mso-position-vertical-relative:paragraph;z-index:-15708672;mso-wrap-distance-left:0;mso-wrap-distance-right:0" id="docshape611" filled="true" fillcolor="#c9dcf3" stroked="false">
                <v:fill type="solid"/>
                <w10:wrap type="topAndBottom"/>
              </v:rect>
            </w:pict>
          </mc:Fallback>
        </mc:AlternateConten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17"/>
        <w:rPr>
          <w:rFonts w:ascii="Arial"/>
          <w:b/>
          <w:sz w:val="20"/>
        </w:rPr>
      </w:pPr>
    </w:p>
    <w:p>
      <w:pPr>
        <w:spacing w:after="0"/>
        <w:rPr>
          <w:rFonts w:ascii="Arial"/>
          <w:sz w:val="20"/>
        </w:rPr>
        <w:sectPr>
          <w:headerReference w:type="default" r:id="rId70"/>
          <w:footerReference w:type="default" r:id="rId71"/>
          <w:footerReference w:type="even" r:id="rId72"/>
          <w:pgSz w:w="12240" w:h="15840"/>
          <w:pgMar w:header="0" w:footer="548" w:top="320" w:bottom="740" w:left="0" w:right="540"/>
          <w:pgNumType w:start="17"/>
        </w:sectPr>
      </w:pPr>
    </w:p>
    <w:p>
      <w:pPr>
        <w:spacing w:line="261" w:lineRule="auto" w:before="97"/>
        <w:ind w:left="3840" w:right="0" w:firstLine="0"/>
        <w:jc w:val="right"/>
        <w:rPr>
          <w:sz w:val="22"/>
        </w:rPr>
      </w:pPr>
      <w:r>
        <w:rPr>
          <w:color w:val="231F20"/>
          <w:spacing w:val="-6"/>
          <w:sz w:val="21"/>
        </w:rPr>
        <w:t>The</w:t>
      </w:r>
      <w:r>
        <w:rPr>
          <w:color w:val="231F20"/>
          <w:spacing w:val="-19"/>
          <w:sz w:val="21"/>
        </w:rPr>
        <w:t> </w:t>
      </w:r>
      <w:r>
        <w:rPr>
          <w:color w:val="231F20"/>
          <w:spacing w:val="-6"/>
          <w:sz w:val="21"/>
        </w:rPr>
        <w:t>supply</w:t>
      </w:r>
      <w:r>
        <w:rPr>
          <w:color w:val="231F20"/>
          <w:spacing w:val="-17"/>
          <w:sz w:val="21"/>
        </w:rPr>
        <w:t> </w:t>
      </w:r>
      <w:r>
        <w:rPr>
          <w:color w:val="231F20"/>
          <w:spacing w:val="-6"/>
          <w:sz w:val="21"/>
        </w:rPr>
        <w:t>chain</w:t>
      </w:r>
      <w:r>
        <w:rPr>
          <w:color w:val="231F20"/>
          <w:spacing w:val="-17"/>
          <w:sz w:val="21"/>
        </w:rPr>
        <w:t> </w:t>
      </w:r>
      <w:r>
        <w:rPr>
          <w:color w:val="231F20"/>
          <w:spacing w:val="-6"/>
          <w:sz w:val="21"/>
        </w:rPr>
        <w:t>disruptions</w:t>
      </w:r>
      <w:r>
        <w:rPr>
          <w:color w:val="231F20"/>
          <w:spacing w:val="-17"/>
          <w:sz w:val="21"/>
        </w:rPr>
        <w:t> </w:t>
      </w:r>
      <w:r>
        <w:rPr>
          <w:color w:val="231F20"/>
          <w:spacing w:val="-6"/>
          <w:sz w:val="21"/>
        </w:rPr>
        <w:t>of</w:t>
      </w:r>
      <w:r>
        <w:rPr>
          <w:color w:val="231F20"/>
          <w:spacing w:val="-17"/>
          <w:sz w:val="21"/>
        </w:rPr>
        <w:t> </w:t>
      </w:r>
      <w:r>
        <w:rPr>
          <w:color w:val="231F20"/>
          <w:spacing w:val="-6"/>
          <w:sz w:val="21"/>
        </w:rPr>
        <w:t>2021–22</w:t>
      </w:r>
      <w:r>
        <w:rPr>
          <w:color w:val="231F20"/>
          <w:spacing w:val="-17"/>
          <w:sz w:val="21"/>
        </w:rPr>
        <w:t> </w:t>
      </w:r>
      <w:r>
        <w:rPr>
          <w:color w:val="231F20"/>
          <w:spacing w:val="-6"/>
          <w:sz w:val="21"/>
        </w:rPr>
        <w:t>under- </w:t>
      </w:r>
      <w:r>
        <w:rPr>
          <w:color w:val="231F20"/>
          <w:w w:val="90"/>
          <w:sz w:val="21"/>
        </w:rPr>
        <w:t>score the importance of reliability, which is cap- tured as “timeliness of delivery” in the Logistics </w:t>
      </w:r>
      <w:r>
        <w:rPr>
          <w:color w:val="231F20"/>
          <w:spacing w:val="-2"/>
          <w:sz w:val="21"/>
        </w:rPr>
        <w:t>Performance</w:t>
      </w:r>
      <w:r>
        <w:rPr>
          <w:color w:val="231F20"/>
          <w:spacing w:val="-6"/>
          <w:sz w:val="21"/>
        </w:rPr>
        <w:t> </w:t>
      </w:r>
      <w:r>
        <w:rPr>
          <w:color w:val="231F20"/>
          <w:spacing w:val="-2"/>
          <w:sz w:val="21"/>
        </w:rPr>
        <w:t>Index</w:t>
      </w:r>
      <w:r>
        <w:rPr>
          <w:color w:val="231F20"/>
          <w:spacing w:val="-6"/>
          <w:sz w:val="21"/>
        </w:rPr>
        <w:t> </w:t>
      </w:r>
      <w:r>
        <w:rPr>
          <w:color w:val="231F20"/>
          <w:spacing w:val="-2"/>
          <w:sz w:val="21"/>
        </w:rPr>
        <w:t>(LPI)</w:t>
      </w:r>
      <w:r>
        <w:rPr>
          <w:color w:val="231F20"/>
          <w:spacing w:val="-6"/>
          <w:sz w:val="21"/>
        </w:rPr>
        <w:t> </w:t>
      </w:r>
      <w:r>
        <w:rPr>
          <w:color w:val="231F20"/>
          <w:spacing w:val="-2"/>
          <w:sz w:val="21"/>
        </w:rPr>
        <w:t>survey</w:t>
      </w:r>
      <w:r>
        <w:rPr>
          <w:color w:val="231F20"/>
          <w:spacing w:val="-6"/>
          <w:sz w:val="21"/>
        </w:rPr>
        <w:t> </w:t>
      </w:r>
      <w:r>
        <w:rPr>
          <w:color w:val="231F20"/>
          <w:spacing w:val="-2"/>
          <w:sz w:val="21"/>
        </w:rPr>
        <w:t>(see</w:t>
      </w:r>
      <w:r>
        <w:rPr>
          <w:color w:val="231F20"/>
          <w:spacing w:val="-6"/>
          <w:sz w:val="21"/>
        </w:rPr>
        <w:t> </w:t>
      </w:r>
      <w:r>
        <w:rPr>
          <w:color w:val="231F20"/>
          <w:spacing w:val="-2"/>
          <w:sz w:val="21"/>
        </w:rPr>
        <w:t>chapter </w:t>
      </w:r>
      <w:r>
        <w:rPr>
          <w:color w:val="231F20"/>
          <w:sz w:val="21"/>
        </w:rPr>
        <w:t>2).</w:t>
      </w:r>
      <w:r>
        <w:rPr>
          <w:color w:val="231F20"/>
          <w:position w:val="7"/>
          <w:sz w:val="14"/>
        </w:rPr>
        <w:t>18</w:t>
      </w:r>
      <w:r>
        <w:rPr>
          <w:color w:val="231F20"/>
          <w:spacing w:val="5"/>
          <w:position w:val="7"/>
          <w:sz w:val="14"/>
        </w:rPr>
        <w:t> </w:t>
      </w:r>
      <w:r>
        <w:rPr>
          <w:color w:val="231F20"/>
          <w:sz w:val="21"/>
        </w:rPr>
        <w:t>During</w:t>
      </w:r>
      <w:r>
        <w:rPr>
          <w:color w:val="231F20"/>
          <w:spacing w:val="-12"/>
          <w:sz w:val="21"/>
        </w:rPr>
        <w:t> </w:t>
      </w:r>
      <w:r>
        <w:rPr>
          <w:color w:val="231F20"/>
          <w:sz w:val="21"/>
        </w:rPr>
        <w:t>this</w:t>
      </w:r>
      <w:r>
        <w:rPr>
          <w:color w:val="231F20"/>
          <w:spacing w:val="-12"/>
          <w:sz w:val="21"/>
        </w:rPr>
        <w:t> </w:t>
      </w:r>
      <w:r>
        <w:rPr>
          <w:color w:val="231F20"/>
          <w:sz w:val="21"/>
        </w:rPr>
        <w:t>recent</w:t>
      </w:r>
      <w:r>
        <w:rPr>
          <w:color w:val="231F20"/>
          <w:spacing w:val="-12"/>
          <w:sz w:val="21"/>
        </w:rPr>
        <w:t> </w:t>
      </w:r>
      <w:r>
        <w:rPr>
          <w:color w:val="231F20"/>
          <w:sz w:val="21"/>
        </w:rPr>
        <w:t>crisis,</w:t>
      </w:r>
      <w:r>
        <w:rPr>
          <w:color w:val="231F20"/>
          <w:spacing w:val="-12"/>
          <w:sz w:val="21"/>
        </w:rPr>
        <w:t> </w:t>
      </w:r>
      <w:r>
        <w:rPr>
          <w:color w:val="231F20"/>
          <w:sz w:val="21"/>
        </w:rPr>
        <w:t>firms</w:t>
      </w:r>
      <w:r>
        <w:rPr>
          <w:color w:val="231F20"/>
          <w:spacing w:val="-12"/>
          <w:sz w:val="21"/>
        </w:rPr>
        <w:t> </w:t>
      </w:r>
      <w:r>
        <w:rPr>
          <w:color w:val="231F20"/>
          <w:sz w:val="21"/>
        </w:rPr>
        <w:t>and</w:t>
      </w:r>
      <w:r>
        <w:rPr>
          <w:color w:val="231F20"/>
          <w:spacing w:val="-12"/>
          <w:sz w:val="21"/>
        </w:rPr>
        <w:t> </w:t>
      </w:r>
      <w:r>
        <w:rPr>
          <w:color w:val="231F20"/>
          <w:sz w:val="21"/>
        </w:rPr>
        <w:t>con- </w:t>
      </w:r>
      <w:r>
        <w:rPr>
          <w:color w:val="231F20"/>
          <w:w w:val="90"/>
          <w:sz w:val="21"/>
        </w:rPr>
        <w:t>sumers worldwide experienced goods not arriv- </w:t>
      </w:r>
      <w:r>
        <w:rPr>
          <w:color w:val="231F20"/>
          <w:sz w:val="21"/>
        </w:rPr>
        <w:t>ing</w:t>
      </w:r>
      <w:r>
        <w:rPr>
          <w:color w:val="231F20"/>
          <w:spacing w:val="-10"/>
          <w:sz w:val="21"/>
        </w:rPr>
        <w:t> </w:t>
      </w:r>
      <w:r>
        <w:rPr>
          <w:color w:val="231F20"/>
          <w:sz w:val="21"/>
        </w:rPr>
        <w:t>on</w:t>
      </w:r>
      <w:r>
        <w:rPr>
          <w:color w:val="231F20"/>
          <w:spacing w:val="-10"/>
          <w:sz w:val="21"/>
        </w:rPr>
        <w:t> </w:t>
      </w:r>
      <w:r>
        <w:rPr>
          <w:color w:val="231F20"/>
          <w:sz w:val="21"/>
        </w:rPr>
        <w:t>time</w:t>
      </w:r>
      <w:r>
        <w:rPr>
          <w:color w:val="231F20"/>
          <w:spacing w:val="-10"/>
          <w:sz w:val="21"/>
        </w:rPr>
        <w:t> </w:t>
      </w:r>
      <w:r>
        <w:rPr>
          <w:color w:val="231F20"/>
          <w:sz w:val="21"/>
        </w:rPr>
        <w:t>as</w:t>
      </w:r>
      <w:r>
        <w:rPr>
          <w:color w:val="231F20"/>
          <w:spacing w:val="-10"/>
          <w:sz w:val="21"/>
        </w:rPr>
        <w:t> </w:t>
      </w:r>
      <w:r>
        <w:rPr>
          <w:color w:val="231F20"/>
          <w:sz w:val="21"/>
        </w:rPr>
        <w:t>expected</w:t>
      </w:r>
      <w:r>
        <w:rPr>
          <w:color w:val="231F20"/>
          <w:spacing w:val="-10"/>
          <w:sz w:val="21"/>
        </w:rPr>
        <w:t> </w:t>
      </w:r>
      <w:r>
        <w:rPr>
          <w:color w:val="231F20"/>
          <w:sz w:val="21"/>
        </w:rPr>
        <w:t>due</w:t>
      </w:r>
      <w:r>
        <w:rPr>
          <w:color w:val="231F20"/>
          <w:spacing w:val="-10"/>
          <w:sz w:val="21"/>
        </w:rPr>
        <w:t> </w:t>
      </w:r>
      <w:r>
        <w:rPr>
          <w:color w:val="231F20"/>
          <w:sz w:val="21"/>
        </w:rPr>
        <w:t>to</w:t>
      </w:r>
      <w:r>
        <w:rPr>
          <w:color w:val="231F20"/>
          <w:spacing w:val="-10"/>
          <w:sz w:val="21"/>
        </w:rPr>
        <w:t> </w:t>
      </w:r>
      <w:r>
        <w:rPr>
          <w:color w:val="231F20"/>
          <w:sz w:val="21"/>
        </w:rPr>
        <w:t>disruptions</w:t>
      </w:r>
      <w:r>
        <w:rPr>
          <w:color w:val="231F20"/>
          <w:spacing w:val="-10"/>
          <w:sz w:val="21"/>
        </w:rPr>
        <w:t> </w:t>
      </w:r>
      <w:r>
        <w:rPr>
          <w:color w:val="231F20"/>
          <w:sz w:val="21"/>
        </w:rPr>
        <w:t>in </w:t>
      </w:r>
      <w:r>
        <w:rPr>
          <w:color w:val="231F20"/>
          <w:spacing w:val="-4"/>
          <w:sz w:val="21"/>
        </w:rPr>
        <w:t>vessel</w:t>
      </w:r>
      <w:r>
        <w:rPr>
          <w:color w:val="231F20"/>
          <w:spacing w:val="-7"/>
          <w:sz w:val="21"/>
        </w:rPr>
        <w:t> </w:t>
      </w:r>
      <w:r>
        <w:rPr>
          <w:color w:val="231F20"/>
          <w:spacing w:val="-4"/>
          <w:sz w:val="21"/>
        </w:rPr>
        <w:t>movements</w:t>
      </w:r>
      <w:r>
        <w:rPr>
          <w:color w:val="231F20"/>
          <w:spacing w:val="-7"/>
          <w:sz w:val="21"/>
        </w:rPr>
        <w:t> </w:t>
      </w:r>
      <w:r>
        <w:rPr>
          <w:color w:val="231F20"/>
          <w:spacing w:val="-4"/>
          <w:sz w:val="21"/>
        </w:rPr>
        <w:t>and</w:t>
      </w:r>
      <w:r>
        <w:rPr>
          <w:color w:val="231F20"/>
          <w:spacing w:val="-7"/>
          <w:sz w:val="21"/>
        </w:rPr>
        <w:t> </w:t>
      </w:r>
      <w:r>
        <w:rPr>
          <w:color w:val="231F20"/>
          <w:spacing w:val="-4"/>
          <w:sz w:val="21"/>
        </w:rPr>
        <w:t>to</w:t>
      </w:r>
      <w:r>
        <w:rPr>
          <w:color w:val="231F20"/>
          <w:spacing w:val="-7"/>
          <w:sz w:val="21"/>
        </w:rPr>
        <w:t> </w:t>
      </w:r>
      <w:r>
        <w:rPr>
          <w:color w:val="231F20"/>
          <w:spacing w:val="-4"/>
          <w:sz w:val="21"/>
        </w:rPr>
        <w:t>shipments</w:t>
      </w:r>
      <w:r>
        <w:rPr>
          <w:color w:val="231F20"/>
          <w:spacing w:val="-7"/>
          <w:sz w:val="21"/>
        </w:rPr>
        <w:t> </w:t>
      </w:r>
      <w:r>
        <w:rPr>
          <w:color w:val="231F20"/>
          <w:spacing w:val="-4"/>
          <w:sz w:val="21"/>
        </w:rPr>
        <w:t>staying</w:t>
      </w:r>
      <w:r>
        <w:rPr>
          <w:color w:val="231F20"/>
          <w:spacing w:val="-7"/>
          <w:sz w:val="21"/>
        </w:rPr>
        <w:t> </w:t>
      </w:r>
      <w:r>
        <w:rPr>
          <w:color w:val="231F20"/>
          <w:spacing w:val="-4"/>
          <w:sz w:val="21"/>
        </w:rPr>
        <w:t>at </w:t>
      </w:r>
      <w:r>
        <w:rPr>
          <w:color w:val="231F20"/>
          <w:w w:val="90"/>
          <w:sz w:val="21"/>
        </w:rPr>
        <w:t>hub and gateway facilities for longer than usual. </w:t>
      </w:r>
      <w:r>
        <w:rPr>
          <w:color w:val="231F20"/>
          <w:spacing w:val="-2"/>
          <w:sz w:val="22"/>
        </w:rPr>
        <w:t>In</w:t>
      </w:r>
      <w:r>
        <w:rPr>
          <w:color w:val="231F20"/>
          <w:spacing w:val="-18"/>
          <w:sz w:val="22"/>
        </w:rPr>
        <w:t> </w:t>
      </w:r>
      <w:r>
        <w:rPr>
          <w:color w:val="231F20"/>
          <w:spacing w:val="-2"/>
          <w:sz w:val="22"/>
        </w:rPr>
        <w:t>an</w:t>
      </w:r>
      <w:r>
        <w:rPr>
          <w:color w:val="231F20"/>
          <w:spacing w:val="-18"/>
          <w:sz w:val="22"/>
        </w:rPr>
        <w:t> </w:t>
      </w:r>
      <w:r>
        <w:rPr>
          <w:color w:val="231F20"/>
          <w:spacing w:val="-2"/>
          <w:sz w:val="22"/>
        </w:rPr>
        <w:t>environment</w:t>
      </w:r>
      <w:r>
        <w:rPr>
          <w:color w:val="231F20"/>
          <w:spacing w:val="-18"/>
          <w:sz w:val="22"/>
        </w:rPr>
        <w:t> </w:t>
      </w:r>
      <w:r>
        <w:rPr>
          <w:color w:val="231F20"/>
          <w:spacing w:val="-2"/>
          <w:sz w:val="22"/>
        </w:rPr>
        <w:t>of</w:t>
      </w:r>
      <w:r>
        <w:rPr>
          <w:color w:val="231F20"/>
          <w:spacing w:val="-18"/>
          <w:sz w:val="22"/>
        </w:rPr>
        <w:t> </w:t>
      </w:r>
      <w:r>
        <w:rPr>
          <w:color w:val="231F20"/>
          <w:spacing w:val="-2"/>
          <w:sz w:val="22"/>
        </w:rPr>
        <w:t>low</w:t>
      </w:r>
      <w:r>
        <w:rPr>
          <w:color w:val="231F20"/>
          <w:spacing w:val="-18"/>
          <w:sz w:val="22"/>
        </w:rPr>
        <w:t> </w:t>
      </w:r>
      <w:r>
        <w:rPr>
          <w:color w:val="231F20"/>
          <w:spacing w:val="-2"/>
          <w:sz w:val="22"/>
        </w:rPr>
        <w:t>inventory,</w:t>
      </w:r>
      <w:r>
        <w:rPr>
          <w:color w:val="231F20"/>
          <w:spacing w:val="-18"/>
          <w:sz w:val="22"/>
        </w:rPr>
        <w:t> </w:t>
      </w:r>
      <w:r>
        <w:rPr>
          <w:color w:val="231F20"/>
          <w:spacing w:val="-2"/>
          <w:sz w:val="22"/>
        </w:rPr>
        <w:t>unex- </w:t>
      </w:r>
      <w:r>
        <w:rPr>
          <w:color w:val="231F20"/>
          <w:w w:val="90"/>
          <w:sz w:val="22"/>
        </w:rPr>
        <w:t>pectedly long delivery times can translate into </w:t>
      </w:r>
      <w:r>
        <w:rPr>
          <w:color w:val="231F20"/>
          <w:spacing w:val="-6"/>
          <w:sz w:val="22"/>
        </w:rPr>
        <w:t>human</w:t>
      </w:r>
      <w:r>
        <w:rPr>
          <w:color w:val="231F20"/>
          <w:spacing w:val="-14"/>
          <w:sz w:val="22"/>
        </w:rPr>
        <w:t> </w:t>
      </w:r>
      <w:r>
        <w:rPr>
          <w:color w:val="231F20"/>
          <w:spacing w:val="-6"/>
          <w:sz w:val="22"/>
        </w:rPr>
        <w:t>hardship,</w:t>
      </w:r>
      <w:r>
        <w:rPr>
          <w:color w:val="231F20"/>
          <w:spacing w:val="-14"/>
          <w:sz w:val="22"/>
        </w:rPr>
        <w:t> </w:t>
      </w:r>
      <w:r>
        <w:rPr>
          <w:color w:val="231F20"/>
          <w:spacing w:val="-6"/>
          <w:sz w:val="22"/>
        </w:rPr>
        <w:t>as</w:t>
      </w:r>
      <w:r>
        <w:rPr>
          <w:color w:val="231F20"/>
          <w:spacing w:val="-14"/>
          <w:sz w:val="22"/>
        </w:rPr>
        <w:t> </w:t>
      </w:r>
      <w:r>
        <w:rPr>
          <w:color w:val="231F20"/>
          <w:spacing w:val="-6"/>
          <w:sz w:val="22"/>
        </w:rPr>
        <w:t>with</w:t>
      </w:r>
      <w:r>
        <w:rPr>
          <w:color w:val="231F20"/>
          <w:spacing w:val="-14"/>
          <w:sz w:val="22"/>
        </w:rPr>
        <w:t> </w:t>
      </w:r>
      <w:r>
        <w:rPr>
          <w:color w:val="231F20"/>
          <w:spacing w:val="-6"/>
          <w:sz w:val="22"/>
        </w:rPr>
        <w:t>the</w:t>
      </w:r>
      <w:r>
        <w:rPr>
          <w:color w:val="231F20"/>
          <w:spacing w:val="-14"/>
          <w:sz w:val="22"/>
        </w:rPr>
        <w:t> </w:t>
      </w:r>
      <w:r>
        <w:rPr>
          <w:color w:val="231F20"/>
          <w:spacing w:val="-6"/>
          <w:sz w:val="22"/>
        </w:rPr>
        <w:t>shortage</w:t>
      </w:r>
      <w:r>
        <w:rPr>
          <w:color w:val="231F20"/>
          <w:spacing w:val="-14"/>
          <w:sz w:val="22"/>
        </w:rPr>
        <w:t> </w:t>
      </w:r>
      <w:r>
        <w:rPr>
          <w:color w:val="231F20"/>
          <w:spacing w:val="-6"/>
          <w:sz w:val="22"/>
        </w:rPr>
        <w:t>of</w:t>
      </w:r>
      <w:r>
        <w:rPr>
          <w:color w:val="231F20"/>
          <w:spacing w:val="-14"/>
          <w:sz w:val="22"/>
        </w:rPr>
        <w:t> </w:t>
      </w:r>
      <w:r>
        <w:rPr>
          <w:color w:val="231F20"/>
          <w:spacing w:val="-6"/>
          <w:sz w:val="22"/>
        </w:rPr>
        <w:t>baby </w:t>
      </w:r>
      <w:r>
        <w:rPr>
          <w:color w:val="231F20"/>
          <w:spacing w:val="-4"/>
          <w:sz w:val="22"/>
        </w:rPr>
        <w:t>formula</w:t>
      </w:r>
      <w:r>
        <w:rPr>
          <w:color w:val="231F20"/>
          <w:spacing w:val="-8"/>
          <w:sz w:val="22"/>
        </w:rPr>
        <w:t> </w:t>
      </w:r>
      <w:r>
        <w:rPr>
          <w:color w:val="231F20"/>
          <w:spacing w:val="-4"/>
          <w:sz w:val="22"/>
        </w:rPr>
        <w:t>in</w:t>
      </w:r>
      <w:r>
        <w:rPr>
          <w:color w:val="231F20"/>
          <w:spacing w:val="-8"/>
          <w:sz w:val="22"/>
        </w:rPr>
        <w:t> </w:t>
      </w:r>
      <w:r>
        <w:rPr>
          <w:color w:val="231F20"/>
          <w:spacing w:val="-4"/>
          <w:sz w:val="22"/>
        </w:rPr>
        <w:t>the</w:t>
      </w:r>
      <w:r>
        <w:rPr>
          <w:color w:val="231F20"/>
          <w:spacing w:val="-8"/>
          <w:sz w:val="22"/>
        </w:rPr>
        <w:t> </w:t>
      </w:r>
      <w:r>
        <w:rPr>
          <w:color w:val="231F20"/>
          <w:spacing w:val="-4"/>
          <w:sz w:val="22"/>
        </w:rPr>
        <w:t>United</w:t>
      </w:r>
      <w:r>
        <w:rPr>
          <w:color w:val="231F20"/>
          <w:spacing w:val="-8"/>
          <w:sz w:val="22"/>
        </w:rPr>
        <w:t> </w:t>
      </w:r>
      <w:r>
        <w:rPr>
          <w:color w:val="231F20"/>
          <w:spacing w:val="-4"/>
          <w:sz w:val="22"/>
        </w:rPr>
        <w:t>States</w:t>
      </w:r>
      <w:r>
        <w:rPr>
          <w:color w:val="231F20"/>
          <w:spacing w:val="-4"/>
          <w:position w:val="7"/>
          <w:sz w:val="14"/>
        </w:rPr>
        <w:t>19</w:t>
      </w:r>
      <w:r>
        <w:rPr>
          <w:color w:val="231F20"/>
          <w:spacing w:val="12"/>
          <w:position w:val="7"/>
          <w:sz w:val="14"/>
        </w:rPr>
        <w:t> </w:t>
      </w:r>
      <w:r>
        <w:rPr>
          <w:color w:val="231F20"/>
          <w:spacing w:val="-4"/>
          <w:sz w:val="22"/>
        </w:rPr>
        <w:t>or</w:t>
      </w:r>
      <w:r>
        <w:rPr>
          <w:color w:val="231F20"/>
          <w:spacing w:val="-8"/>
          <w:sz w:val="22"/>
        </w:rPr>
        <w:t> </w:t>
      </w:r>
      <w:r>
        <w:rPr>
          <w:color w:val="231F20"/>
          <w:spacing w:val="-4"/>
          <w:sz w:val="22"/>
        </w:rPr>
        <w:t>fertilizer</w:t>
      </w:r>
      <w:r>
        <w:rPr>
          <w:color w:val="231F20"/>
          <w:spacing w:val="-8"/>
          <w:sz w:val="22"/>
        </w:rPr>
        <w:t> </w:t>
      </w:r>
      <w:r>
        <w:rPr>
          <w:color w:val="231F20"/>
          <w:spacing w:val="-4"/>
          <w:sz w:val="22"/>
        </w:rPr>
        <w:t>in </w:t>
      </w:r>
      <w:r>
        <w:rPr>
          <w:color w:val="231F20"/>
          <w:w w:val="90"/>
          <w:sz w:val="22"/>
        </w:rPr>
        <w:t>Sub-Saharan Africa.</w:t>
      </w:r>
      <w:r>
        <w:rPr>
          <w:color w:val="231F20"/>
          <w:w w:val="90"/>
          <w:position w:val="7"/>
          <w:sz w:val="14"/>
        </w:rPr>
        <w:t>20</w:t>
      </w:r>
      <w:r>
        <w:rPr>
          <w:color w:val="231F20"/>
          <w:position w:val="7"/>
          <w:sz w:val="14"/>
        </w:rPr>
        <w:t> </w:t>
      </w:r>
      <w:r>
        <w:rPr>
          <w:color w:val="231F20"/>
          <w:w w:val="90"/>
          <w:sz w:val="22"/>
        </w:rPr>
        <w:t>Addressing disruptions such</w:t>
      </w:r>
      <w:r>
        <w:rPr>
          <w:color w:val="231F20"/>
          <w:spacing w:val="-10"/>
          <w:w w:val="90"/>
          <w:sz w:val="22"/>
        </w:rPr>
        <w:t> </w:t>
      </w:r>
      <w:r>
        <w:rPr>
          <w:color w:val="231F20"/>
          <w:w w:val="90"/>
          <w:sz w:val="22"/>
        </w:rPr>
        <w:t>as</w:t>
      </w:r>
      <w:r>
        <w:rPr>
          <w:color w:val="231F20"/>
          <w:spacing w:val="-10"/>
          <w:w w:val="90"/>
          <w:sz w:val="22"/>
        </w:rPr>
        <w:t> </w:t>
      </w:r>
      <w:r>
        <w:rPr>
          <w:color w:val="231F20"/>
          <w:w w:val="90"/>
          <w:sz w:val="22"/>
        </w:rPr>
        <w:t>these</w:t>
      </w:r>
      <w:r>
        <w:rPr>
          <w:color w:val="231F20"/>
          <w:spacing w:val="-10"/>
          <w:w w:val="90"/>
          <w:sz w:val="22"/>
        </w:rPr>
        <w:t> </w:t>
      </w:r>
      <w:r>
        <w:rPr>
          <w:color w:val="231F20"/>
          <w:w w:val="90"/>
          <w:sz w:val="22"/>
        </w:rPr>
        <w:t>cuts</w:t>
      </w:r>
      <w:r>
        <w:rPr>
          <w:color w:val="231F20"/>
          <w:spacing w:val="-10"/>
          <w:w w:val="90"/>
          <w:sz w:val="22"/>
        </w:rPr>
        <w:t> </w:t>
      </w:r>
      <w:r>
        <w:rPr>
          <w:color w:val="231F20"/>
          <w:w w:val="90"/>
          <w:sz w:val="22"/>
        </w:rPr>
        <w:t>across</w:t>
      </w:r>
      <w:r>
        <w:rPr>
          <w:color w:val="231F20"/>
          <w:spacing w:val="-10"/>
          <w:w w:val="90"/>
          <w:sz w:val="22"/>
        </w:rPr>
        <w:t> </w:t>
      </w:r>
      <w:r>
        <w:rPr>
          <w:color w:val="231F20"/>
          <w:w w:val="90"/>
          <w:sz w:val="22"/>
        </w:rPr>
        <w:t>a</w:t>
      </w:r>
      <w:r>
        <w:rPr>
          <w:color w:val="231F20"/>
          <w:spacing w:val="-10"/>
          <w:w w:val="90"/>
          <w:sz w:val="22"/>
        </w:rPr>
        <w:t> </w:t>
      </w:r>
      <w:r>
        <w:rPr>
          <w:color w:val="231F20"/>
          <w:w w:val="90"/>
          <w:sz w:val="22"/>
        </w:rPr>
        <w:t>wide</w:t>
      </w:r>
      <w:r>
        <w:rPr>
          <w:color w:val="231F20"/>
          <w:spacing w:val="-10"/>
          <w:w w:val="90"/>
          <w:sz w:val="22"/>
        </w:rPr>
        <w:t> </w:t>
      </w:r>
      <w:r>
        <w:rPr>
          <w:color w:val="231F20"/>
          <w:w w:val="90"/>
          <w:sz w:val="22"/>
        </w:rPr>
        <w:t>range</w:t>
      </w:r>
      <w:r>
        <w:rPr>
          <w:color w:val="231F20"/>
          <w:spacing w:val="-10"/>
          <w:w w:val="90"/>
          <w:sz w:val="22"/>
        </w:rPr>
        <w:t> </w:t>
      </w:r>
      <w:r>
        <w:rPr>
          <w:color w:val="231F20"/>
          <w:w w:val="90"/>
          <w:sz w:val="22"/>
        </w:rPr>
        <w:t>of</w:t>
      </w:r>
      <w:r>
        <w:rPr>
          <w:color w:val="231F20"/>
          <w:spacing w:val="-10"/>
          <w:w w:val="90"/>
          <w:sz w:val="22"/>
        </w:rPr>
        <w:t> </w:t>
      </w:r>
      <w:r>
        <w:rPr>
          <w:color w:val="231F20"/>
          <w:w w:val="90"/>
          <w:sz w:val="22"/>
        </w:rPr>
        <w:t>policy </w:t>
      </w:r>
      <w:r>
        <w:rPr>
          <w:color w:val="231F20"/>
          <w:spacing w:val="-4"/>
          <w:sz w:val="22"/>
        </w:rPr>
        <w:t>areas</w:t>
      </w:r>
      <w:r>
        <w:rPr>
          <w:color w:val="231F20"/>
          <w:spacing w:val="-4"/>
          <w:sz w:val="21"/>
        </w:rPr>
        <w:t>,</w:t>
      </w:r>
      <w:r>
        <w:rPr>
          <w:color w:val="231F20"/>
          <w:spacing w:val="-10"/>
          <w:sz w:val="21"/>
        </w:rPr>
        <w:t> </w:t>
      </w:r>
      <w:r>
        <w:rPr>
          <w:color w:val="231F20"/>
          <w:spacing w:val="-4"/>
          <w:sz w:val="22"/>
        </w:rPr>
        <w:t>but</w:t>
      </w:r>
      <w:r>
        <w:rPr>
          <w:color w:val="231F20"/>
          <w:spacing w:val="-9"/>
          <w:sz w:val="22"/>
        </w:rPr>
        <w:t> </w:t>
      </w:r>
      <w:r>
        <w:rPr>
          <w:color w:val="231F20"/>
          <w:spacing w:val="-4"/>
          <w:sz w:val="22"/>
        </w:rPr>
        <w:t>focusing</w:t>
      </w:r>
      <w:r>
        <w:rPr>
          <w:color w:val="231F20"/>
          <w:spacing w:val="-10"/>
          <w:sz w:val="22"/>
        </w:rPr>
        <w:t> </w:t>
      </w:r>
      <w:r>
        <w:rPr>
          <w:color w:val="231F20"/>
          <w:spacing w:val="-4"/>
          <w:sz w:val="22"/>
        </w:rPr>
        <w:t>on</w:t>
      </w:r>
      <w:r>
        <w:rPr>
          <w:color w:val="231F20"/>
          <w:spacing w:val="-10"/>
          <w:sz w:val="22"/>
        </w:rPr>
        <w:t> </w:t>
      </w:r>
      <w:r>
        <w:rPr>
          <w:color w:val="231F20"/>
          <w:spacing w:val="-4"/>
          <w:sz w:val="22"/>
        </w:rPr>
        <w:t>supply</w:t>
      </w:r>
      <w:r>
        <w:rPr>
          <w:color w:val="231F20"/>
          <w:spacing w:val="-10"/>
          <w:sz w:val="22"/>
        </w:rPr>
        <w:t> </w:t>
      </w:r>
      <w:r>
        <w:rPr>
          <w:color w:val="231F20"/>
          <w:spacing w:val="-4"/>
          <w:sz w:val="22"/>
        </w:rPr>
        <w:t>chain</w:t>
      </w:r>
      <w:r>
        <w:rPr>
          <w:color w:val="231F20"/>
          <w:spacing w:val="-9"/>
          <w:sz w:val="22"/>
        </w:rPr>
        <w:t> </w:t>
      </w:r>
      <w:r>
        <w:rPr>
          <w:color w:val="231F20"/>
          <w:spacing w:val="-4"/>
          <w:sz w:val="22"/>
        </w:rPr>
        <w:t>manage- ment</w:t>
      </w:r>
      <w:r>
        <w:rPr>
          <w:color w:val="231F20"/>
          <w:spacing w:val="-17"/>
          <w:sz w:val="22"/>
        </w:rPr>
        <w:t> </w:t>
      </w:r>
      <w:r>
        <w:rPr>
          <w:color w:val="231F20"/>
          <w:spacing w:val="-4"/>
          <w:sz w:val="22"/>
        </w:rPr>
        <w:t>highlights</w:t>
      </w:r>
      <w:r>
        <w:rPr>
          <w:color w:val="231F20"/>
          <w:spacing w:val="-17"/>
          <w:sz w:val="22"/>
        </w:rPr>
        <w:t> </w:t>
      </w:r>
      <w:r>
        <w:rPr>
          <w:color w:val="231F20"/>
          <w:spacing w:val="-4"/>
          <w:sz w:val="22"/>
        </w:rPr>
        <w:t>the</w:t>
      </w:r>
      <w:r>
        <w:rPr>
          <w:color w:val="231F20"/>
          <w:spacing w:val="-17"/>
          <w:sz w:val="22"/>
        </w:rPr>
        <w:t> </w:t>
      </w:r>
      <w:r>
        <w:rPr>
          <w:color w:val="231F20"/>
          <w:spacing w:val="-4"/>
          <w:sz w:val="22"/>
        </w:rPr>
        <w:t>importance</w:t>
      </w:r>
      <w:r>
        <w:rPr>
          <w:color w:val="231F20"/>
          <w:spacing w:val="-17"/>
          <w:sz w:val="22"/>
        </w:rPr>
        <w:t> </w:t>
      </w:r>
      <w:r>
        <w:rPr>
          <w:color w:val="231F20"/>
          <w:spacing w:val="-4"/>
          <w:sz w:val="22"/>
        </w:rPr>
        <w:t>of</w:t>
      </w:r>
      <w:r>
        <w:rPr>
          <w:color w:val="231F20"/>
          <w:spacing w:val="-17"/>
          <w:sz w:val="22"/>
        </w:rPr>
        <w:t> </w:t>
      </w:r>
      <w:r>
        <w:rPr>
          <w:color w:val="231F20"/>
          <w:spacing w:val="-4"/>
          <w:sz w:val="22"/>
        </w:rPr>
        <w:t>time</w:t>
      </w:r>
      <w:r>
        <w:rPr>
          <w:color w:val="231F20"/>
          <w:spacing w:val="-17"/>
          <w:sz w:val="22"/>
        </w:rPr>
        <w:t> </w:t>
      </w:r>
      <w:r>
        <w:rPr>
          <w:color w:val="231F20"/>
          <w:spacing w:val="-4"/>
          <w:sz w:val="22"/>
        </w:rPr>
        <w:t>spent </w:t>
      </w:r>
      <w:r>
        <w:rPr>
          <w:color w:val="231F20"/>
          <w:sz w:val="22"/>
        </w:rPr>
        <w:t>at</w:t>
      </w:r>
      <w:r>
        <w:rPr>
          <w:color w:val="231F20"/>
          <w:spacing w:val="-13"/>
          <w:sz w:val="22"/>
        </w:rPr>
        <w:t> </w:t>
      </w:r>
      <w:r>
        <w:rPr>
          <w:color w:val="231F20"/>
          <w:sz w:val="22"/>
        </w:rPr>
        <w:t>maritime</w:t>
      </w:r>
      <w:r>
        <w:rPr>
          <w:color w:val="231F20"/>
          <w:spacing w:val="-13"/>
          <w:sz w:val="22"/>
        </w:rPr>
        <w:t> </w:t>
      </w:r>
      <w:r>
        <w:rPr>
          <w:color w:val="231F20"/>
          <w:sz w:val="22"/>
        </w:rPr>
        <w:t>or</w:t>
      </w:r>
      <w:r>
        <w:rPr>
          <w:color w:val="231F20"/>
          <w:spacing w:val="-13"/>
          <w:sz w:val="22"/>
        </w:rPr>
        <w:t> </w:t>
      </w:r>
      <w:r>
        <w:rPr>
          <w:color w:val="231F20"/>
          <w:sz w:val="22"/>
        </w:rPr>
        <w:t>aviation</w:t>
      </w:r>
      <w:r>
        <w:rPr>
          <w:color w:val="231F20"/>
          <w:spacing w:val="-12"/>
          <w:sz w:val="22"/>
        </w:rPr>
        <w:t> </w:t>
      </w:r>
      <w:r>
        <w:rPr>
          <w:color w:val="231F20"/>
          <w:sz w:val="22"/>
        </w:rPr>
        <w:t>hubs</w:t>
      </w:r>
      <w:r>
        <w:rPr>
          <w:color w:val="231F20"/>
          <w:spacing w:val="-13"/>
          <w:sz w:val="22"/>
        </w:rPr>
        <w:t> </w:t>
      </w:r>
      <w:r>
        <w:rPr>
          <w:color w:val="231F20"/>
          <w:sz w:val="22"/>
        </w:rPr>
        <w:t>and</w:t>
      </w:r>
      <w:r>
        <w:rPr>
          <w:color w:val="231F20"/>
          <w:spacing w:val="-13"/>
          <w:sz w:val="22"/>
        </w:rPr>
        <w:t> </w:t>
      </w:r>
      <w:r>
        <w:rPr>
          <w:color w:val="231F20"/>
          <w:sz w:val="22"/>
        </w:rPr>
        <w:t>gateways. </w:t>
      </w:r>
      <w:r>
        <w:rPr>
          <w:color w:val="231F20"/>
          <w:spacing w:val="-8"/>
          <w:sz w:val="22"/>
        </w:rPr>
        <w:t>This</w:t>
      </w:r>
      <w:r>
        <w:rPr>
          <w:color w:val="231F20"/>
          <w:spacing w:val="-10"/>
          <w:sz w:val="22"/>
        </w:rPr>
        <w:t> </w:t>
      </w:r>
      <w:r>
        <w:rPr>
          <w:color w:val="231F20"/>
          <w:spacing w:val="-8"/>
          <w:sz w:val="22"/>
        </w:rPr>
        <w:t>is</w:t>
      </w:r>
      <w:r>
        <w:rPr>
          <w:color w:val="231F20"/>
          <w:spacing w:val="-10"/>
          <w:sz w:val="22"/>
        </w:rPr>
        <w:t> </w:t>
      </w:r>
      <w:r>
        <w:rPr>
          <w:color w:val="231F20"/>
          <w:spacing w:val="-8"/>
          <w:sz w:val="22"/>
        </w:rPr>
        <w:t>one</w:t>
      </w:r>
      <w:r>
        <w:rPr>
          <w:color w:val="231F20"/>
          <w:spacing w:val="-10"/>
          <w:sz w:val="22"/>
        </w:rPr>
        <w:t> </w:t>
      </w:r>
      <w:r>
        <w:rPr>
          <w:color w:val="231F20"/>
          <w:spacing w:val="-8"/>
          <w:sz w:val="22"/>
        </w:rPr>
        <w:t>area</w:t>
      </w:r>
      <w:r>
        <w:rPr>
          <w:color w:val="231F20"/>
          <w:spacing w:val="-10"/>
          <w:sz w:val="22"/>
        </w:rPr>
        <w:t> </w:t>
      </w:r>
      <w:r>
        <w:rPr>
          <w:color w:val="231F20"/>
          <w:spacing w:val="-8"/>
          <w:sz w:val="22"/>
        </w:rPr>
        <w:t>where</w:t>
      </w:r>
      <w:r>
        <w:rPr>
          <w:color w:val="231F20"/>
          <w:spacing w:val="-10"/>
          <w:sz w:val="22"/>
        </w:rPr>
        <w:t> </w:t>
      </w:r>
      <w:r>
        <w:rPr>
          <w:color w:val="231F20"/>
          <w:spacing w:val="-8"/>
          <w:sz w:val="22"/>
        </w:rPr>
        <w:t>investments</w:t>
      </w:r>
      <w:r>
        <w:rPr>
          <w:color w:val="231F20"/>
          <w:spacing w:val="-10"/>
          <w:sz w:val="22"/>
        </w:rPr>
        <w:t> </w:t>
      </w:r>
      <w:r>
        <w:rPr>
          <w:color w:val="231F20"/>
          <w:spacing w:val="-8"/>
          <w:sz w:val="22"/>
        </w:rPr>
        <w:t>in</w:t>
      </w:r>
      <w:r>
        <w:rPr>
          <w:color w:val="231F20"/>
          <w:spacing w:val="-10"/>
          <w:sz w:val="22"/>
        </w:rPr>
        <w:t> </w:t>
      </w:r>
      <w:r>
        <w:rPr>
          <w:color w:val="231F20"/>
          <w:spacing w:val="-8"/>
          <w:sz w:val="22"/>
        </w:rPr>
        <w:t>produc- </w:t>
      </w:r>
      <w:r>
        <w:rPr>
          <w:color w:val="231F20"/>
          <w:spacing w:val="-2"/>
          <w:sz w:val="22"/>
        </w:rPr>
        <w:t>tivity,</w:t>
      </w:r>
      <w:r>
        <w:rPr>
          <w:color w:val="231F20"/>
          <w:spacing w:val="-12"/>
          <w:sz w:val="22"/>
        </w:rPr>
        <w:t> </w:t>
      </w:r>
      <w:r>
        <w:rPr>
          <w:color w:val="231F20"/>
          <w:spacing w:val="-2"/>
          <w:sz w:val="22"/>
        </w:rPr>
        <w:t>increasing</w:t>
      </w:r>
      <w:r>
        <w:rPr>
          <w:color w:val="231F20"/>
          <w:spacing w:val="-12"/>
          <w:sz w:val="22"/>
        </w:rPr>
        <w:t> </w:t>
      </w:r>
      <w:r>
        <w:rPr>
          <w:color w:val="231F20"/>
          <w:spacing w:val="-2"/>
          <w:sz w:val="22"/>
        </w:rPr>
        <w:t>the</w:t>
      </w:r>
      <w:r>
        <w:rPr>
          <w:color w:val="231F20"/>
          <w:spacing w:val="-12"/>
          <w:sz w:val="22"/>
        </w:rPr>
        <w:t> </w:t>
      </w:r>
      <w:r>
        <w:rPr>
          <w:color w:val="231F20"/>
          <w:spacing w:val="-2"/>
          <w:sz w:val="22"/>
        </w:rPr>
        <w:t>fluidity</w:t>
      </w:r>
      <w:r>
        <w:rPr>
          <w:color w:val="231F20"/>
          <w:spacing w:val="-11"/>
          <w:sz w:val="22"/>
        </w:rPr>
        <w:t> </w:t>
      </w:r>
      <w:r>
        <w:rPr>
          <w:color w:val="231F20"/>
          <w:spacing w:val="-2"/>
          <w:sz w:val="22"/>
        </w:rPr>
        <w:t>of</w:t>
      </w:r>
      <w:r>
        <w:rPr>
          <w:color w:val="231F20"/>
          <w:spacing w:val="-12"/>
          <w:sz w:val="22"/>
        </w:rPr>
        <w:t> </w:t>
      </w:r>
      <w:r>
        <w:rPr>
          <w:color w:val="231F20"/>
          <w:spacing w:val="-2"/>
          <w:sz w:val="22"/>
        </w:rPr>
        <w:t>information </w:t>
      </w:r>
      <w:r>
        <w:rPr>
          <w:color w:val="231F20"/>
          <w:w w:val="90"/>
          <w:sz w:val="22"/>
        </w:rPr>
        <w:t>flow,</w:t>
      </w:r>
      <w:r>
        <w:rPr>
          <w:color w:val="231F20"/>
          <w:spacing w:val="-12"/>
          <w:w w:val="90"/>
          <w:sz w:val="22"/>
        </w:rPr>
        <w:t> </w:t>
      </w:r>
      <w:r>
        <w:rPr>
          <w:color w:val="231F20"/>
          <w:w w:val="90"/>
          <w:sz w:val="22"/>
        </w:rPr>
        <w:t>and</w:t>
      </w:r>
      <w:r>
        <w:rPr>
          <w:color w:val="231F20"/>
          <w:spacing w:val="-11"/>
          <w:w w:val="90"/>
          <w:sz w:val="22"/>
        </w:rPr>
        <w:t> </w:t>
      </w:r>
      <w:r>
        <w:rPr>
          <w:color w:val="231F20"/>
          <w:w w:val="90"/>
          <w:sz w:val="22"/>
        </w:rPr>
        <w:t>enhancing</w:t>
      </w:r>
      <w:r>
        <w:rPr>
          <w:color w:val="231F20"/>
          <w:spacing w:val="-12"/>
          <w:w w:val="90"/>
          <w:sz w:val="22"/>
        </w:rPr>
        <w:t> </w:t>
      </w:r>
      <w:r>
        <w:rPr>
          <w:color w:val="231F20"/>
          <w:w w:val="90"/>
          <w:sz w:val="22"/>
        </w:rPr>
        <w:t>logistics</w:t>
      </w:r>
      <w:r>
        <w:rPr>
          <w:color w:val="231F20"/>
          <w:spacing w:val="-11"/>
          <w:w w:val="90"/>
          <w:sz w:val="22"/>
        </w:rPr>
        <w:t> </w:t>
      </w:r>
      <w:r>
        <w:rPr>
          <w:color w:val="231F20"/>
          <w:w w:val="90"/>
          <w:sz w:val="22"/>
        </w:rPr>
        <w:t>service</w:t>
      </w:r>
      <w:r>
        <w:rPr>
          <w:color w:val="231F20"/>
          <w:spacing w:val="-11"/>
          <w:w w:val="90"/>
          <w:sz w:val="22"/>
        </w:rPr>
        <w:t> </w:t>
      </w:r>
      <w:r>
        <w:rPr>
          <w:color w:val="231F20"/>
          <w:spacing w:val="-2"/>
          <w:w w:val="90"/>
          <w:sz w:val="22"/>
        </w:rPr>
        <w:t>provision</w:t>
      </w:r>
    </w:p>
    <w:p>
      <w:pPr>
        <w:pStyle w:val="Heading2"/>
        <w:spacing w:line="231" w:lineRule="exact"/>
        <w:ind w:left="3840"/>
      </w:pPr>
      <w:r>
        <w:rPr>
          <w:color w:val="231F20"/>
          <w:spacing w:val="-4"/>
        </w:rPr>
        <w:t>can</w:t>
      </w:r>
      <w:r>
        <w:rPr>
          <w:color w:val="231F20"/>
          <w:spacing w:val="-7"/>
        </w:rPr>
        <w:t> </w:t>
      </w:r>
      <w:r>
        <w:rPr>
          <w:color w:val="231F20"/>
          <w:spacing w:val="-4"/>
        </w:rPr>
        <w:t>contribute</w:t>
      </w:r>
      <w:r>
        <w:rPr>
          <w:color w:val="231F20"/>
          <w:spacing w:val="-6"/>
        </w:rPr>
        <w:t> </w:t>
      </w:r>
      <w:r>
        <w:rPr>
          <w:color w:val="231F20"/>
          <w:spacing w:val="-4"/>
        </w:rPr>
        <w:t>to</w:t>
      </w:r>
      <w:r>
        <w:rPr>
          <w:color w:val="231F20"/>
          <w:spacing w:val="-6"/>
        </w:rPr>
        <w:t> </w:t>
      </w:r>
      <w:r>
        <w:rPr>
          <w:color w:val="231F20"/>
          <w:spacing w:val="-4"/>
        </w:rPr>
        <w:t>better</w:t>
      </w:r>
      <w:r>
        <w:rPr>
          <w:color w:val="231F20"/>
          <w:spacing w:val="-6"/>
        </w:rPr>
        <w:t> </w:t>
      </w:r>
      <w:r>
        <w:rPr>
          <w:color w:val="231F20"/>
          <w:spacing w:val="-4"/>
        </w:rPr>
        <w:t>outcomes.</w:t>
      </w:r>
    </w:p>
    <w:p>
      <w:pPr>
        <w:pStyle w:val="BodyText"/>
        <w:spacing w:line="268" w:lineRule="auto" w:before="26"/>
        <w:ind w:left="3840" w:firstLine="300"/>
        <w:jc w:val="both"/>
      </w:pPr>
      <w:r>
        <w:rPr>
          <w:color w:val="231F20"/>
          <w:w w:val="90"/>
        </w:rPr>
        <w:t>The 2023 edition of </w:t>
      </w:r>
      <w:r>
        <w:rPr>
          <w:i/>
          <w:color w:val="231F20"/>
          <w:w w:val="90"/>
        </w:rPr>
        <w:t>Connecting to Compete </w:t>
      </w:r>
      <w:r>
        <w:rPr>
          <w:color w:val="231F20"/>
          <w:spacing w:val="-2"/>
        </w:rPr>
        <w:t>seeks</w:t>
      </w:r>
      <w:r>
        <w:rPr>
          <w:color w:val="231F20"/>
          <w:spacing w:val="-12"/>
        </w:rPr>
        <w:t> </w:t>
      </w:r>
      <w:r>
        <w:rPr>
          <w:color w:val="231F20"/>
          <w:spacing w:val="-2"/>
        </w:rPr>
        <w:t>to</w:t>
      </w:r>
      <w:r>
        <w:rPr>
          <w:color w:val="231F20"/>
          <w:spacing w:val="-11"/>
        </w:rPr>
        <w:t> </w:t>
      </w:r>
      <w:r>
        <w:rPr>
          <w:color w:val="231F20"/>
          <w:spacing w:val="-2"/>
        </w:rPr>
        <w:t>build</w:t>
      </w:r>
      <w:r>
        <w:rPr>
          <w:color w:val="231F20"/>
          <w:spacing w:val="-11"/>
        </w:rPr>
        <w:t> </w:t>
      </w:r>
      <w:r>
        <w:rPr>
          <w:color w:val="231F20"/>
          <w:spacing w:val="-2"/>
        </w:rPr>
        <w:t>understanding</w:t>
      </w:r>
      <w:r>
        <w:rPr>
          <w:color w:val="231F20"/>
          <w:spacing w:val="-11"/>
        </w:rPr>
        <w:t> </w:t>
      </w:r>
      <w:r>
        <w:rPr>
          <w:color w:val="231F20"/>
          <w:spacing w:val="-2"/>
        </w:rPr>
        <w:t>of</w:t>
      </w:r>
      <w:r>
        <w:rPr>
          <w:color w:val="231F20"/>
          <w:spacing w:val="-11"/>
        </w:rPr>
        <w:t> </w:t>
      </w:r>
      <w:r>
        <w:rPr>
          <w:color w:val="231F20"/>
          <w:spacing w:val="-2"/>
        </w:rPr>
        <w:t>these</w:t>
      </w:r>
      <w:r>
        <w:rPr>
          <w:color w:val="231F20"/>
          <w:spacing w:val="-11"/>
        </w:rPr>
        <w:t> </w:t>
      </w:r>
      <w:r>
        <w:rPr>
          <w:color w:val="231F20"/>
          <w:spacing w:val="-2"/>
        </w:rPr>
        <w:t>areas</w:t>
      </w:r>
      <w:r>
        <w:rPr>
          <w:color w:val="231F20"/>
          <w:spacing w:val="-11"/>
        </w:rPr>
        <w:t> </w:t>
      </w:r>
      <w:r>
        <w:rPr>
          <w:color w:val="231F20"/>
          <w:spacing w:val="-2"/>
        </w:rPr>
        <w:t>by bringing</w:t>
      </w:r>
      <w:r>
        <w:rPr>
          <w:color w:val="231F20"/>
          <w:spacing w:val="-8"/>
        </w:rPr>
        <w:t> </w:t>
      </w:r>
      <w:r>
        <w:rPr>
          <w:color w:val="231F20"/>
          <w:spacing w:val="-2"/>
        </w:rPr>
        <w:t>new</w:t>
      </w:r>
      <w:r>
        <w:rPr>
          <w:color w:val="231F20"/>
          <w:spacing w:val="-8"/>
        </w:rPr>
        <w:t> </w:t>
      </w:r>
      <w:r>
        <w:rPr>
          <w:color w:val="231F20"/>
          <w:spacing w:val="-2"/>
        </w:rPr>
        <w:t>information</w:t>
      </w:r>
      <w:r>
        <w:rPr>
          <w:color w:val="231F20"/>
          <w:spacing w:val="-8"/>
        </w:rPr>
        <w:t> </w:t>
      </w:r>
      <w:r>
        <w:rPr>
          <w:color w:val="231F20"/>
          <w:spacing w:val="-2"/>
        </w:rPr>
        <w:t>derived</w:t>
      </w:r>
      <w:r>
        <w:rPr>
          <w:color w:val="231F20"/>
          <w:spacing w:val="-8"/>
        </w:rPr>
        <w:t> </w:t>
      </w:r>
      <w:r>
        <w:rPr>
          <w:color w:val="231F20"/>
          <w:spacing w:val="-2"/>
        </w:rPr>
        <w:t>from</w:t>
      </w:r>
      <w:r>
        <w:rPr>
          <w:color w:val="231F20"/>
          <w:spacing w:val="-8"/>
        </w:rPr>
        <w:t> </w:t>
      </w:r>
      <w:r>
        <w:rPr>
          <w:color w:val="231F20"/>
          <w:spacing w:val="-2"/>
        </w:rPr>
        <w:t>a</w:t>
      </w:r>
      <w:r>
        <w:rPr>
          <w:color w:val="231F20"/>
          <w:spacing w:val="-8"/>
        </w:rPr>
        <w:t> </w:t>
      </w:r>
      <w:r>
        <w:rPr>
          <w:color w:val="231F20"/>
          <w:spacing w:val="-2"/>
        </w:rPr>
        <w:t>Big </w:t>
      </w:r>
      <w:r>
        <w:rPr>
          <w:color w:val="231F20"/>
          <w:spacing w:val="-4"/>
        </w:rPr>
        <w:t>Data</w:t>
      </w:r>
      <w:r>
        <w:rPr>
          <w:color w:val="231F20"/>
          <w:spacing w:val="-5"/>
        </w:rPr>
        <w:t> </w:t>
      </w:r>
      <w:r>
        <w:rPr>
          <w:color w:val="231F20"/>
          <w:spacing w:val="-4"/>
        </w:rPr>
        <w:t>approach.</w:t>
      </w:r>
      <w:r>
        <w:rPr>
          <w:color w:val="231F20"/>
          <w:spacing w:val="-5"/>
        </w:rPr>
        <w:t> </w:t>
      </w:r>
      <w:r>
        <w:rPr>
          <w:color w:val="231F20"/>
          <w:spacing w:val="-4"/>
        </w:rPr>
        <w:t>This</w:t>
      </w:r>
      <w:r>
        <w:rPr>
          <w:color w:val="231F20"/>
          <w:spacing w:val="-5"/>
        </w:rPr>
        <w:t> </w:t>
      </w:r>
      <w:r>
        <w:rPr>
          <w:color w:val="231F20"/>
          <w:spacing w:val="-4"/>
        </w:rPr>
        <w:t>chapter</w:t>
      </w:r>
      <w:r>
        <w:rPr>
          <w:color w:val="231F20"/>
          <w:spacing w:val="-5"/>
        </w:rPr>
        <w:t> </w:t>
      </w:r>
      <w:r>
        <w:rPr>
          <w:color w:val="231F20"/>
          <w:spacing w:val="-4"/>
        </w:rPr>
        <w:t>provides</w:t>
      </w:r>
      <w:r>
        <w:rPr>
          <w:color w:val="231F20"/>
          <w:spacing w:val="-6"/>
        </w:rPr>
        <w:t> </w:t>
      </w:r>
      <w:r>
        <w:rPr>
          <w:color w:val="231F20"/>
          <w:spacing w:val="-4"/>
        </w:rPr>
        <w:t>a</w:t>
      </w:r>
      <w:r>
        <w:rPr>
          <w:color w:val="231F20"/>
          <w:spacing w:val="-5"/>
        </w:rPr>
        <w:t> </w:t>
      </w:r>
      <w:r>
        <w:rPr>
          <w:color w:val="231F20"/>
          <w:spacing w:val="-4"/>
        </w:rPr>
        <w:t>global </w:t>
      </w:r>
      <w:r>
        <w:rPr>
          <w:color w:val="231F20"/>
          <w:w w:val="90"/>
        </w:rPr>
        <w:t>comparison of delays at ports and airports based </w:t>
      </w:r>
      <w:r>
        <w:rPr>
          <w:color w:val="231F20"/>
          <w:spacing w:val="-6"/>
        </w:rPr>
        <w:t>on massive numbers of observations represent- </w:t>
      </w:r>
      <w:r>
        <w:rPr>
          <w:color w:val="231F20"/>
          <w:w w:val="90"/>
        </w:rPr>
        <w:t>ing</w:t>
      </w:r>
      <w:r>
        <w:rPr>
          <w:color w:val="231F20"/>
          <w:spacing w:val="-1"/>
          <w:w w:val="90"/>
        </w:rPr>
        <w:t> </w:t>
      </w:r>
      <w:r>
        <w:rPr>
          <w:color w:val="231F20"/>
          <w:w w:val="90"/>
        </w:rPr>
        <w:t>a</w:t>
      </w:r>
      <w:r>
        <w:rPr>
          <w:color w:val="231F20"/>
          <w:spacing w:val="-1"/>
          <w:w w:val="90"/>
        </w:rPr>
        <w:t> </w:t>
      </w:r>
      <w:r>
        <w:rPr>
          <w:color w:val="231F20"/>
          <w:w w:val="90"/>
        </w:rPr>
        <w:t>substantial</w:t>
      </w:r>
      <w:r>
        <w:rPr>
          <w:color w:val="231F20"/>
          <w:spacing w:val="-1"/>
          <w:w w:val="90"/>
        </w:rPr>
        <w:t> </w:t>
      </w:r>
      <w:r>
        <w:rPr>
          <w:color w:val="231F20"/>
          <w:w w:val="90"/>
        </w:rPr>
        <w:t>share</w:t>
      </w:r>
      <w:r>
        <w:rPr>
          <w:color w:val="231F20"/>
          <w:spacing w:val="-1"/>
          <w:w w:val="90"/>
        </w:rPr>
        <w:t> </w:t>
      </w:r>
      <w:r>
        <w:rPr>
          <w:color w:val="231F20"/>
          <w:w w:val="90"/>
        </w:rPr>
        <w:t>of,</w:t>
      </w:r>
      <w:r>
        <w:rPr>
          <w:color w:val="231F20"/>
          <w:spacing w:val="-1"/>
          <w:w w:val="90"/>
        </w:rPr>
        <w:t> </w:t>
      </w:r>
      <w:r>
        <w:rPr>
          <w:color w:val="231F20"/>
          <w:w w:val="90"/>
        </w:rPr>
        <w:t>if</w:t>
      </w:r>
      <w:r>
        <w:rPr>
          <w:color w:val="231F20"/>
          <w:spacing w:val="-1"/>
          <w:w w:val="90"/>
        </w:rPr>
        <w:t> </w:t>
      </w:r>
      <w:r>
        <w:rPr>
          <w:color w:val="231F20"/>
          <w:w w:val="90"/>
        </w:rPr>
        <w:t>not</w:t>
      </w:r>
      <w:r>
        <w:rPr>
          <w:color w:val="231F20"/>
          <w:spacing w:val="-1"/>
          <w:w w:val="90"/>
        </w:rPr>
        <w:t> </w:t>
      </w:r>
      <w:r>
        <w:rPr>
          <w:color w:val="231F20"/>
          <w:w w:val="90"/>
        </w:rPr>
        <w:t>all,</w:t>
      </w:r>
      <w:r>
        <w:rPr>
          <w:color w:val="231F20"/>
          <w:spacing w:val="-1"/>
          <w:w w:val="90"/>
        </w:rPr>
        <w:t> </w:t>
      </w:r>
      <w:r>
        <w:rPr>
          <w:color w:val="231F20"/>
          <w:w w:val="90"/>
        </w:rPr>
        <w:t>actual</w:t>
      </w:r>
      <w:r>
        <w:rPr>
          <w:color w:val="231F20"/>
          <w:spacing w:val="-1"/>
          <w:w w:val="90"/>
        </w:rPr>
        <w:t> </w:t>
      </w:r>
      <w:r>
        <w:rPr>
          <w:color w:val="231F20"/>
          <w:w w:val="90"/>
        </w:rPr>
        <w:t>move- </w:t>
      </w:r>
      <w:r>
        <w:rPr>
          <w:color w:val="231F20"/>
          <w:spacing w:val="-6"/>
        </w:rPr>
        <w:t>ments. The data come from tracking sources in </w:t>
      </w:r>
      <w:r>
        <w:rPr>
          <w:color w:val="231F20"/>
          <w:w w:val="90"/>
        </w:rPr>
        <w:t>container shipping, aviation, and postal services. </w:t>
      </w:r>
      <w:r>
        <w:rPr>
          <w:color w:val="231F20"/>
          <w:spacing w:val="-4"/>
        </w:rPr>
        <w:t>Indicators,</w:t>
      </w:r>
      <w:r>
        <w:rPr>
          <w:color w:val="231F20"/>
          <w:spacing w:val="-10"/>
        </w:rPr>
        <w:t> </w:t>
      </w:r>
      <w:r>
        <w:rPr>
          <w:color w:val="231F20"/>
          <w:spacing w:val="-4"/>
        </w:rPr>
        <w:t>expressed</w:t>
      </w:r>
      <w:r>
        <w:rPr>
          <w:color w:val="231F20"/>
          <w:spacing w:val="-9"/>
        </w:rPr>
        <w:t> </w:t>
      </w:r>
      <w:r>
        <w:rPr>
          <w:color w:val="231F20"/>
          <w:spacing w:val="-4"/>
        </w:rPr>
        <w:t>as</w:t>
      </w:r>
      <w:r>
        <w:rPr>
          <w:color w:val="231F20"/>
          <w:spacing w:val="-9"/>
        </w:rPr>
        <w:t> </w:t>
      </w:r>
      <w:r>
        <w:rPr>
          <w:color w:val="231F20"/>
          <w:spacing w:val="-4"/>
        </w:rPr>
        <w:t>time</w:t>
      </w:r>
      <w:r>
        <w:rPr>
          <w:color w:val="231F20"/>
          <w:spacing w:val="-9"/>
        </w:rPr>
        <w:t> </w:t>
      </w:r>
      <w:r>
        <w:rPr>
          <w:color w:val="231F20"/>
          <w:spacing w:val="-4"/>
        </w:rPr>
        <w:t>in</w:t>
      </w:r>
      <w:r>
        <w:rPr>
          <w:color w:val="231F20"/>
          <w:spacing w:val="-9"/>
        </w:rPr>
        <w:t> </w:t>
      </w:r>
      <w:r>
        <w:rPr>
          <w:color w:val="231F20"/>
          <w:spacing w:val="-4"/>
        </w:rPr>
        <w:t>days</w:t>
      </w:r>
      <w:r>
        <w:rPr>
          <w:color w:val="231F20"/>
          <w:spacing w:val="-9"/>
        </w:rPr>
        <w:t> </w:t>
      </w:r>
      <w:r>
        <w:rPr>
          <w:color w:val="231F20"/>
          <w:spacing w:val="-4"/>
        </w:rPr>
        <w:t>or</w:t>
      </w:r>
      <w:r>
        <w:rPr>
          <w:color w:val="231F20"/>
          <w:spacing w:val="-9"/>
        </w:rPr>
        <w:t> </w:t>
      </w:r>
      <w:r>
        <w:rPr>
          <w:color w:val="231F20"/>
          <w:spacing w:val="-4"/>
        </w:rPr>
        <w:t>simple </w:t>
      </w:r>
      <w:r>
        <w:rPr>
          <w:color w:val="231F20"/>
          <w:spacing w:val="-2"/>
        </w:rPr>
        <w:t>counts,</w:t>
      </w:r>
      <w:r>
        <w:rPr>
          <w:color w:val="231F20"/>
          <w:spacing w:val="-10"/>
        </w:rPr>
        <w:t> </w:t>
      </w:r>
      <w:r>
        <w:rPr>
          <w:color w:val="231F20"/>
          <w:spacing w:val="-2"/>
        </w:rPr>
        <w:t>have</w:t>
      </w:r>
      <w:r>
        <w:rPr>
          <w:color w:val="231F20"/>
          <w:spacing w:val="-10"/>
        </w:rPr>
        <w:t> </w:t>
      </w:r>
      <w:r>
        <w:rPr>
          <w:color w:val="231F20"/>
          <w:spacing w:val="-2"/>
        </w:rPr>
        <w:t>intuitive</w:t>
      </w:r>
      <w:r>
        <w:rPr>
          <w:color w:val="231F20"/>
          <w:spacing w:val="-10"/>
        </w:rPr>
        <w:t> </w:t>
      </w:r>
      <w:r>
        <w:rPr>
          <w:color w:val="231F20"/>
          <w:spacing w:val="-2"/>
        </w:rPr>
        <w:t>meanings</w:t>
      </w:r>
      <w:r>
        <w:rPr>
          <w:color w:val="231F20"/>
          <w:spacing w:val="-10"/>
        </w:rPr>
        <w:t> </w:t>
      </w:r>
      <w:r>
        <w:rPr>
          <w:color w:val="231F20"/>
          <w:spacing w:val="-2"/>
        </w:rPr>
        <w:t>and</w:t>
      </w:r>
      <w:r>
        <w:rPr>
          <w:color w:val="231F20"/>
          <w:spacing w:val="-10"/>
        </w:rPr>
        <w:t> </w:t>
      </w:r>
      <w:r>
        <w:rPr>
          <w:color w:val="231F20"/>
          <w:spacing w:val="-2"/>
        </w:rPr>
        <w:t>are</w:t>
      </w:r>
      <w:r>
        <w:rPr>
          <w:color w:val="231F20"/>
          <w:spacing w:val="-10"/>
        </w:rPr>
        <w:t> </w:t>
      </w:r>
      <w:r>
        <w:rPr>
          <w:color w:val="231F20"/>
          <w:spacing w:val="-2"/>
        </w:rPr>
        <w:t>relat- </w:t>
      </w:r>
      <w:r>
        <w:rPr>
          <w:color w:val="231F20"/>
        </w:rPr>
        <w:t>able to policymakers and practitioners con- cerned</w:t>
      </w:r>
      <w:r>
        <w:rPr>
          <w:color w:val="231F20"/>
          <w:spacing w:val="-11"/>
        </w:rPr>
        <w:t> </w:t>
      </w:r>
      <w:r>
        <w:rPr>
          <w:color w:val="231F20"/>
        </w:rPr>
        <w:t>with</w:t>
      </w:r>
      <w:r>
        <w:rPr>
          <w:color w:val="231F20"/>
          <w:spacing w:val="-11"/>
        </w:rPr>
        <w:t> </w:t>
      </w:r>
      <w:r>
        <w:rPr>
          <w:color w:val="231F20"/>
        </w:rPr>
        <w:t>the</w:t>
      </w:r>
      <w:r>
        <w:rPr>
          <w:color w:val="231F20"/>
          <w:spacing w:val="-11"/>
        </w:rPr>
        <w:t> </w:t>
      </w:r>
      <w:r>
        <w:rPr>
          <w:color w:val="231F20"/>
        </w:rPr>
        <w:t>performance</w:t>
      </w:r>
      <w:r>
        <w:rPr>
          <w:color w:val="231F20"/>
          <w:spacing w:val="-11"/>
        </w:rPr>
        <w:t> </w:t>
      </w:r>
      <w:r>
        <w:rPr>
          <w:color w:val="231F20"/>
        </w:rPr>
        <w:t>of</w:t>
      </w:r>
      <w:r>
        <w:rPr>
          <w:color w:val="231F20"/>
          <w:spacing w:val="-11"/>
        </w:rPr>
        <w:t> </w:t>
      </w:r>
      <w:r>
        <w:rPr>
          <w:color w:val="231F20"/>
        </w:rPr>
        <w:t>key</w:t>
      </w:r>
      <w:r>
        <w:rPr>
          <w:color w:val="231F20"/>
          <w:spacing w:val="-11"/>
        </w:rPr>
        <w:t> </w:t>
      </w:r>
      <w:r>
        <w:rPr>
          <w:color w:val="231F20"/>
        </w:rPr>
        <w:t>logistics hubs</w:t>
      </w:r>
      <w:r>
        <w:rPr>
          <w:color w:val="231F20"/>
          <w:spacing w:val="-10"/>
        </w:rPr>
        <w:t> </w:t>
      </w:r>
      <w:r>
        <w:rPr>
          <w:color w:val="231F20"/>
        </w:rPr>
        <w:t>or</w:t>
      </w:r>
      <w:r>
        <w:rPr>
          <w:color w:val="231F20"/>
          <w:spacing w:val="-10"/>
        </w:rPr>
        <w:t> </w:t>
      </w:r>
      <w:r>
        <w:rPr>
          <w:color w:val="231F20"/>
        </w:rPr>
        <w:t>gateways,</w:t>
      </w:r>
      <w:r>
        <w:rPr>
          <w:color w:val="231F20"/>
          <w:spacing w:val="-10"/>
        </w:rPr>
        <w:t> </w:t>
      </w:r>
      <w:r>
        <w:rPr>
          <w:color w:val="231F20"/>
        </w:rPr>
        <w:t>such</w:t>
      </w:r>
      <w:r>
        <w:rPr>
          <w:color w:val="231F20"/>
          <w:spacing w:val="-10"/>
        </w:rPr>
        <w:t> </w:t>
      </w:r>
      <w:r>
        <w:rPr>
          <w:color w:val="231F20"/>
        </w:rPr>
        <w:t>as</w:t>
      </w:r>
      <w:r>
        <w:rPr>
          <w:color w:val="231F20"/>
          <w:spacing w:val="-10"/>
        </w:rPr>
        <w:t> </w:t>
      </w:r>
      <w:r>
        <w:rPr>
          <w:color w:val="231F20"/>
        </w:rPr>
        <w:t>ports</w:t>
      </w:r>
      <w:r>
        <w:rPr>
          <w:color w:val="231F20"/>
          <w:spacing w:val="-10"/>
        </w:rPr>
        <w:t> </w:t>
      </w:r>
      <w:r>
        <w:rPr>
          <w:color w:val="231F20"/>
        </w:rPr>
        <w:t>and</w:t>
      </w:r>
      <w:r>
        <w:rPr>
          <w:color w:val="231F20"/>
          <w:spacing w:val="-10"/>
        </w:rPr>
        <w:t> </w:t>
      </w:r>
      <w:r>
        <w:rPr>
          <w:color w:val="231F20"/>
        </w:rPr>
        <w:t>airports. </w:t>
      </w:r>
      <w:r>
        <w:rPr>
          <w:color w:val="231F20"/>
          <w:spacing w:val="-2"/>
        </w:rPr>
        <w:t>The</w:t>
      </w:r>
      <w:r>
        <w:rPr>
          <w:color w:val="231F20"/>
          <w:spacing w:val="-9"/>
        </w:rPr>
        <w:t> </w:t>
      </w:r>
      <w:r>
        <w:rPr>
          <w:color w:val="231F20"/>
          <w:spacing w:val="-2"/>
        </w:rPr>
        <w:t>analysis</w:t>
      </w:r>
      <w:r>
        <w:rPr>
          <w:color w:val="231F20"/>
          <w:spacing w:val="-9"/>
        </w:rPr>
        <w:t> </w:t>
      </w:r>
      <w:r>
        <w:rPr>
          <w:color w:val="231F20"/>
          <w:spacing w:val="-2"/>
        </w:rPr>
        <w:t>looks</w:t>
      </w:r>
      <w:r>
        <w:rPr>
          <w:color w:val="231F20"/>
          <w:spacing w:val="-9"/>
        </w:rPr>
        <w:t> </w:t>
      </w:r>
      <w:r>
        <w:rPr>
          <w:color w:val="231F20"/>
          <w:spacing w:val="-2"/>
        </w:rPr>
        <w:t>at</w:t>
      </w:r>
      <w:r>
        <w:rPr>
          <w:color w:val="231F20"/>
          <w:spacing w:val="-9"/>
        </w:rPr>
        <w:t> </w:t>
      </w:r>
      <w:r>
        <w:rPr>
          <w:color w:val="231F20"/>
          <w:spacing w:val="-2"/>
        </w:rPr>
        <w:t>the</w:t>
      </w:r>
      <w:r>
        <w:rPr>
          <w:color w:val="231F20"/>
          <w:spacing w:val="-9"/>
        </w:rPr>
        <w:t> </w:t>
      </w:r>
      <w:r>
        <w:rPr>
          <w:color w:val="231F20"/>
          <w:spacing w:val="-2"/>
        </w:rPr>
        <w:t>composition</w:t>
      </w:r>
      <w:r>
        <w:rPr>
          <w:color w:val="231F20"/>
          <w:spacing w:val="-9"/>
        </w:rPr>
        <w:t> </w:t>
      </w:r>
      <w:r>
        <w:rPr>
          <w:color w:val="231F20"/>
          <w:spacing w:val="-2"/>
        </w:rPr>
        <w:t>of</w:t>
      </w:r>
      <w:r>
        <w:rPr>
          <w:color w:val="231F20"/>
          <w:spacing w:val="-9"/>
        </w:rPr>
        <w:t> </w:t>
      </w:r>
      <w:r>
        <w:rPr>
          <w:color w:val="231F20"/>
          <w:spacing w:val="-2"/>
        </w:rPr>
        <w:t>total shipment</w:t>
      </w:r>
      <w:r>
        <w:rPr>
          <w:color w:val="231F20"/>
          <w:spacing w:val="-7"/>
        </w:rPr>
        <w:t> </w:t>
      </w:r>
      <w:r>
        <w:rPr>
          <w:color w:val="231F20"/>
          <w:spacing w:val="-2"/>
        </w:rPr>
        <w:t>times</w:t>
      </w:r>
      <w:r>
        <w:rPr>
          <w:color w:val="231F20"/>
          <w:spacing w:val="-7"/>
        </w:rPr>
        <w:t> </w:t>
      </w:r>
      <w:r>
        <w:rPr>
          <w:color w:val="231F20"/>
          <w:spacing w:val="-2"/>
        </w:rPr>
        <w:t>and</w:t>
      </w:r>
      <w:r>
        <w:rPr>
          <w:color w:val="231F20"/>
          <w:spacing w:val="-7"/>
        </w:rPr>
        <w:t> </w:t>
      </w:r>
      <w:r>
        <w:rPr>
          <w:color w:val="231F20"/>
          <w:spacing w:val="-2"/>
        </w:rPr>
        <w:t>their</w:t>
      </w:r>
      <w:r>
        <w:rPr>
          <w:color w:val="231F20"/>
          <w:spacing w:val="-7"/>
        </w:rPr>
        <w:t> </w:t>
      </w:r>
      <w:r>
        <w:rPr>
          <w:color w:val="231F20"/>
          <w:spacing w:val="-2"/>
        </w:rPr>
        <w:t>component</w:t>
      </w:r>
      <w:r>
        <w:rPr>
          <w:color w:val="231F20"/>
          <w:spacing w:val="-7"/>
        </w:rPr>
        <w:t> </w:t>
      </w:r>
      <w:r>
        <w:rPr>
          <w:color w:val="231F20"/>
          <w:spacing w:val="-2"/>
        </w:rPr>
        <w:t>parts,</w:t>
      </w:r>
      <w:r>
        <w:rPr>
          <w:color w:val="231F20"/>
          <w:spacing w:val="-7"/>
        </w:rPr>
        <w:t> </w:t>
      </w:r>
      <w:r>
        <w:rPr>
          <w:color w:val="231F20"/>
          <w:spacing w:val="-2"/>
        </w:rPr>
        <w:t>as </w:t>
      </w:r>
      <w:r>
        <w:rPr>
          <w:color w:val="231F20"/>
        </w:rPr>
        <w:t>well</w:t>
      </w:r>
      <w:r>
        <w:rPr>
          <w:color w:val="231F20"/>
          <w:spacing w:val="-13"/>
        </w:rPr>
        <w:t> </w:t>
      </w:r>
      <w:r>
        <w:rPr>
          <w:color w:val="231F20"/>
        </w:rPr>
        <w:t>as</w:t>
      </w:r>
      <w:r>
        <w:rPr>
          <w:color w:val="231F20"/>
          <w:spacing w:val="-13"/>
        </w:rPr>
        <w:t> </w:t>
      </w:r>
      <w:r>
        <w:rPr>
          <w:color w:val="231F20"/>
        </w:rPr>
        <w:t>the</w:t>
      </w:r>
      <w:r>
        <w:rPr>
          <w:color w:val="231F20"/>
          <w:spacing w:val="-13"/>
        </w:rPr>
        <w:t> </w:t>
      </w:r>
      <w:r>
        <w:rPr>
          <w:color w:val="231F20"/>
        </w:rPr>
        <w:t>reliability</w:t>
      </w:r>
      <w:r>
        <w:rPr>
          <w:color w:val="231F20"/>
          <w:spacing w:val="-13"/>
        </w:rPr>
        <w:t> </w:t>
      </w:r>
      <w:r>
        <w:rPr>
          <w:color w:val="231F20"/>
        </w:rPr>
        <w:t>of</w:t>
      </w:r>
      <w:r>
        <w:rPr>
          <w:color w:val="231F20"/>
          <w:spacing w:val="-13"/>
        </w:rPr>
        <w:t> </w:t>
      </w:r>
      <w:r>
        <w:rPr>
          <w:color w:val="231F20"/>
        </w:rPr>
        <w:t>delivery</w:t>
      </w:r>
      <w:r>
        <w:rPr>
          <w:color w:val="231F20"/>
          <w:spacing w:val="-13"/>
        </w:rPr>
        <w:t> </w:t>
      </w:r>
      <w:r>
        <w:rPr>
          <w:color w:val="231F20"/>
        </w:rPr>
        <w:t>times,</w:t>
      </w:r>
      <w:r>
        <w:rPr>
          <w:color w:val="231F20"/>
          <w:spacing w:val="-13"/>
        </w:rPr>
        <w:t> </w:t>
      </w:r>
      <w:r>
        <w:rPr>
          <w:color w:val="231F20"/>
        </w:rPr>
        <w:t>mea- sured</w:t>
      </w:r>
      <w:r>
        <w:rPr>
          <w:color w:val="231F20"/>
          <w:spacing w:val="-12"/>
        </w:rPr>
        <w:t> </w:t>
      </w:r>
      <w:r>
        <w:rPr>
          <w:color w:val="231F20"/>
        </w:rPr>
        <w:t>using</w:t>
      </w:r>
      <w:r>
        <w:rPr>
          <w:color w:val="231F20"/>
          <w:spacing w:val="-12"/>
        </w:rPr>
        <w:t> </w:t>
      </w:r>
      <w:r>
        <w:rPr>
          <w:color w:val="231F20"/>
        </w:rPr>
        <w:t>indicators</w:t>
      </w:r>
      <w:r>
        <w:rPr>
          <w:color w:val="231F20"/>
          <w:spacing w:val="-12"/>
        </w:rPr>
        <w:t> </w:t>
      </w:r>
      <w:r>
        <w:rPr>
          <w:color w:val="231F20"/>
        </w:rPr>
        <w:t>of</w:t>
      </w:r>
      <w:r>
        <w:rPr>
          <w:color w:val="231F20"/>
          <w:spacing w:val="-11"/>
        </w:rPr>
        <w:t> </w:t>
      </w:r>
      <w:r>
        <w:rPr>
          <w:color w:val="231F20"/>
        </w:rPr>
        <w:t>dispersion</w:t>
      </w:r>
      <w:r>
        <w:rPr>
          <w:color w:val="231F20"/>
          <w:spacing w:val="-12"/>
        </w:rPr>
        <w:t> </w:t>
      </w:r>
      <w:r>
        <w:rPr>
          <w:color w:val="231F20"/>
        </w:rPr>
        <w:t>around</w:t>
      </w:r>
      <w:r>
        <w:rPr>
          <w:color w:val="231F20"/>
          <w:spacing w:val="-12"/>
        </w:rPr>
        <w:t> </w:t>
      </w:r>
      <w:r>
        <w:rPr>
          <w:color w:val="231F20"/>
          <w:spacing w:val="-10"/>
        </w:rPr>
        <w:t>a</w:t>
      </w:r>
    </w:p>
    <w:p>
      <w:pPr>
        <w:pStyle w:val="BodyText"/>
        <w:spacing w:line="268" w:lineRule="auto" w:before="97"/>
        <w:ind w:left="198" w:right="177"/>
        <w:jc w:val="both"/>
      </w:pPr>
      <w:r>
        <w:rPr/>
        <w:br w:type="column"/>
      </w:r>
      <w:r>
        <w:rPr>
          <w:color w:val="231F20"/>
          <w:spacing w:val="-6"/>
        </w:rPr>
        <w:t>central tendency, such as the median (box 3.1). </w:t>
      </w:r>
      <w:r>
        <w:rPr>
          <w:color w:val="231F20"/>
          <w:w w:val="90"/>
        </w:rPr>
        <w:t>The analyses are aggregated at the country level </w:t>
      </w:r>
      <w:r>
        <w:rPr>
          <w:color w:val="231F20"/>
        </w:rPr>
        <w:t>to</w:t>
      </w:r>
      <w:r>
        <w:rPr>
          <w:color w:val="231F20"/>
          <w:spacing w:val="-14"/>
        </w:rPr>
        <w:t> </w:t>
      </w:r>
      <w:r>
        <w:rPr>
          <w:color w:val="231F20"/>
        </w:rPr>
        <w:t>be</w:t>
      </w:r>
      <w:r>
        <w:rPr>
          <w:color w:val="231F20"/>
          <w:spacing w:val="-13"/>
        </w:rPr>
        <w:t> </w:t>
      </w:r>
      <w:r>
        <w:rPr>
          <w:color w:val="231F20"/>
        </w:rPr>
        <w:t>relatable</w:t>
      </w:r>
      <w:r>
        <w:rPr>
          <w:color w:val="231F20"/>
          <w:spacing w:val="-13"/>
        </w:rPr>
        <w:t> </w:t>
      </w:r>
      <w:r>
        <w:rPr>
          <w:color w:val="231F20"/>
        </w:rPr>
        <w:t>to</w:t>
      </w:r>
      <w:r>
        <w:rPr>
          <w:color w:val="231F20"/>
          <w:spacing w:val="-13"/>
        </w:rPr>
        <w:t> </w:t>
      </w:r>
      <w:r>
        <w:rPr>
          <w:color w:val="231F20"/>
        </w:rPr>
        <w:t>the</w:t>
      </w:r>
      <w:r>
        <w:rPr>
          <w:color w:val="231F20"/>
          <w:spacing w:val="-13"/>
        </w:rPr>
        <w:t> </w:t>
      </w:r>
      <w:r>
        <w:rPr>
          <w:color w:val="231F20"/>
        </w:rPr>
        <w:t>LPI</w:t>
      </w:r>
      <w:r>
        <w:rPr>
          <w:color w:val="231F20"/>
          <w:spacing w:val="-13"/>
        </w:rPr>
        <w:t> </w:t>
      </w:r>
      <w:r>
        <w:rPr>
          <w:color w:val="231F20"/>
        </w:rPr>
        <w:t>survey</w:t>
      </w:r>
      <w:r>
        <w:rPr>
          <w:color w:val="231F20"/>
          <w:spacing w:val="-13"/>
        </w:rPr>
        <w:t> </w:t>
      </w:r>
      <w:r>
        <w:rPr>
          <w:color w:val="231F20"/>
        </w:rPr>
        <w:t>results.</w:t>
      </w:r>
    </w:p>
    <w:p>
      <w:pPr>
        <w:pStyle w:val="BodyText"/>
        <w:spacing w:before="35"/>
      </w:pPr>
    </w:p>
    <w:p>
      <w:pPr>
        <w:spacing w:line="280" w:lineRule="auto" w:before="0"/>
        <w:ind w:left="198" w:right="104" w:firstLine="0"/>
        <w:jc w:val="left"/>
        <w:rPr>
          <w:rFonts w:ascii="Arial"/>
          <w:b/>
          <w:sz w:val="20"/>
        </w:rPr>
      </w:pPr>
      <w:r>
        <w:rPr>
          <w:rFonts w:ascii="Arial"/>
          <w:b/>
          <w:color w:val="231F20"/>
          <w:w w:val="105"/>
          <w:sz w:val="20"/>
        </w:rPr>
        <w:t>Lead time dispersion and supply chain reliability</w:t>
      </w:r>
    </w:p>
    <w:p>
      <w:pPr>
        <w:pStyle w:val="BodyText"/>
        <w:spacing w:before="34"/>
        <w:rPr>
          <w:rFonts w:ascii="Arial"/>
          <w:b/>
          <w:sz w:val="20"/>
        </w:rPr>
      </w:pPr>
    </w:p>
    <w:p>
      <w:pPr>
        <w:pStyle w:val="BodyText"/>
        <w:spacing w:line="268" w:lineRule="auto"/>
        <w:ind w:left="198" w:right="176"/>
        <w:jc w:val="both"/>
      </w:pPr>
      <w:r>
        <w:rPr>
          <w:color w:val="231F20"/>
          <w:w w:val="90"/>
        </w:rPr>
        <w:t>Understanding the speed of trade, as well as the </w:t>
      </w:r>
      <w:r>
        <w:rPr>
          <w:color w:val="231F20"/>
          <w:spacing w:val="-4"/>
        </w:rPr>
        <w:t>magnitude</w:t>
      </w:r>
      <w:r>
        <w:rPr>
          <w:color w:val="231F20"/>
          <w:spacing w:val="-10"/>
        </w:rPr>
        <w:t> </w:t>
      </w:r>
      <w:r>
        <w:rPr>
          <w:color w:val="231F20"/>
          <w:spacing w:val="-4"/>
        </w:rPr>
        <w:t>and</w:t>
      </w:r>
      <w:r>
        <w:rPr>
          <w:color w:val="231F20"/>
          <w:spacing w:val="-9"/>
        </w:rPr>
        <w:t> </w:t>
      </w:r>
      <w:r>
        <w:rPr>
          <w:color w:val="231F20"/>
          <w:spacing w:val="-4"/>
        </w:rPr>
        <w:t>nature</w:t>
      </w:r>
      <w:r>
        <w:rPr>
          <w:color w:val="231F20"/>
          <w:spacing w:val="-9"/>
        </w:rPr>
        <w:t> </w:t>
      </w:r>
      <w:r>
        <w:rPr>
          <w:color w:val="231F20"/>
          <w:spacing w:val="-4"/>
        </w:rPr>
        <w:t>of</w:t>
      </w:r>
      <w:r>
        <w:rPr>
          <w:color w:val="231F20"/>
          <w:spacing w:val="-9"/>
        </w:rPr>
        <w:t> </w:t>
      </w:r>
      <w:r>
        <w:rPr>
          <w:color w:val="231F20"/>
          <w:spacing w:val="-4"/>
        </w:rPr>
        <w:t>delays,</w:t>
      </w:r>
      <w:r>
        <w:rPr>
          <w:color w:val="231F20"/>
          <w:spacing w:val="-9"/>
        </w:rPr>
        <w:t> </w:t>
      </w:r>
      <w:r>
        <w:rPr>
          <w:color w:val="231F20"/>
          <w:spacing w:val="-4"/>
        </w:rPr>
        <w:t>requires</w:t>
      </w:r>
      <w:r>
        <w:rPr>
          <w:color w:val="231F20"/>
          <w:spacing w:val="-9"/>
        </w:rPr>
        <w:t> </w:t>
      </w:r>
      <w:r>
        <w:rPr>
          <w:color w:val="231F20"/>
          <w:spacing w:val="-4"/>
        </w:rPr>
        <w:t>look- </w:t>
      </w:r>
      <w:r>
        <w:rPr>
          <w:color w:val="231F20"/>
          <w:w w:val="90"/>
        </w:rPr>
        <w:t>ing</w:t>
      </w:r>
      <w:r>
        <w:rPr>
          <w:color w:val="231F20"/>
          <w:spacing w:val="-4"/>
          <w:w w:val="90"/>
        </w:rPr>
        <w:t> </w:t>
      </w:r>
      <w:r>
        <w:rPr>
          <w:color w:val="231F20"/>
          <w:w w:val="90"/>
        </w:rPr>
        <w:t>beyond</w:t>
      </w:r>
      <w:r>
        <w:rPr>
          <w:color w:val="231F20"/>
          <w:spacing w:val="-4"/>
          <w:w w:val="90"/>
        </w:rPr>
        <w:t> </w:t>
      </w:r>
      <w:r>
        <w:rPr>
          <w:color w:val="231F20"/>
          <w:w w:val="90"/>
        </w:rPr>
        <w:t>averages.</w:t>
      </w:r>
      <w:r>
        <w:rPr>
          <w:color w:val="231F20"/>
          <w:spacing w:val="-4"/>
          <w:w w:val="90"/>
        </w:rPr>
        <w:t> </w:t>
      </w:r>
      <w:r>
        <w:rPr>
          <w:color w:val="231F20"/>
          <w:w w:val="90"/>
        </w:rPr>
        <w:t>Figure</w:t>
      </w:r>
      <w:r>
        <w:rPr>
          <w:color w:val="231F20"/>
          <w:spacing w:val="-4"/>
          <w:w w:val="90"/>
        </w:rPr>
        <w:t> </w:t>
      </w:r>
      <w:r>
        <w:rPr>
          <w:color w:val="231F20"/>
          <w:w w:val="90"/>
        </w:rPr>
        <w:t>3.1</w:t>
      </w:r>
      <w:r>
        <w:rPr>
          <w:color w:val="231F20"/>
          <w:spacing w:val="-4"/>
          <w:w w:val="90"/>
        </w:rPr>
        <w:t> </w:t>
      </w:r>
      <w:r>
        <w:rPr>
          <w:color w:val="231F20"/>
          <w:w w:val="90"/>
        </w:rPr>
        <w:t>breaks</w:t>
      </w:r>
      <w:r>
        <w:rPr>
          <w:color w:val="231F20"/>
          <w:spacing w:val="-4"/>
          <w:w w:val="90"/>
        </w:rPr>
        <w:t> </w:t>
      </w:r>
      <w:r>
        <w:rPr>
          <w:color w:val="231F20"/>
          <w:w w:val="90"/>
        </w:rPr>
        <w:t>down</w:t>
      </w:r>
      <w:r>
        <w:rPr>
          <w:color w:val="231F20"/>
          <w:spacing w:val="-4"/>
          <w:w w:val="90"/>
        </w:rPr>
        <w:t> </w:t>
      </w:r>
      <w:r>
        <w:rPr>
          <w:color w:val="231F20"/>
          <w:w w:val="90"/>
        </w:rPr>
        <w:t>the lead time of containers from entering the port of </w:t>
      </w:r>
      <w:r>
        <w:rPr>
          <w:color w:val="231F20"/>
          <w:spacing w:val="-2"/>
        </w:rPr>
        <w:t>origin</w:t>
      </w:r>
      <w:r>
        <w:rPr>
          <w:color w:val="231F20"/>
          <w:spacing w:val="-12"/>
        </w:rPr>
        <w:t> </w:t>
      </w:r>
      <w:r>
        <w:rPr>
          <w:color w:val="231F20"/>
          <w:spacing w:val="-2"/>
        </w:rPr>
        <w:t>to</w:t>
      </w:r>
      <w:r>
        <w:rPr>
          <w:color w:val="231F20"/>
          <w:spacing w:val="-11"/>
        </w:rPr>
        <w:t> </w:t>
      </w:r>
      <w:r>
        <w:rPr>
          <w:color w:val="231F20"/>
          <w:spacing w:val="-2"/>
        </w:rPr>
        <w:t>exiting</w:t>
      </w:r>
      <w:r>
        <w:rPr>
          <w:color w:val="231F20"/>
          <w:spacing w:val="-11"/>
        </w:rPr>
        <w:t> </w:t>
      </w:r>
      <w:r>
        <w:rPr>
          <w:color w:val="231F20"/>
          <w:spacing w:val="-2"/>
        </w:rPr>
        <w:t>the</w:t>
      </w:r>
      <w:r>
        <w:rPr>
          <w:color w:val="231F20"/>
          <w:spacing w:val="-11"/>
        </w:rPr>
        <w:t> </w:t>
      </w:r>
      <w:r>
        <w:rPr>
          <w:color w:val="231F20"/>
          <w:spacing w:val="-2"/>
        </w:rPr>
        <w:t>port</w:t>
      </w:r>
      <w:r>
        <w:rPr>
          <w:color w:val="231F20"/>
          <w:spacing w:val="-11"/>
        </w:rPr>
        <w:t> </w:t>
      </w:r>
      <w:r>
        <w:rPr>
          <w:color w:val="231F20"/>
          <w:spacing w:val="-2"/>
        </w:rPr>
        <w:t>of</w:t>
      </w:r>
      <w:r>
        <w:rPr>
          <w:color w:val="231F20"/>
          <w:spacing w:val="-11"/>
        </w:rPr>
        <w:t> </w:t>
      </w:r>
      <w:r>
        <w:rPr>
          <w:color w:val="231F20"/>
          <w:spacing w:val="-2"/>
        </w:rPr>
        <w:t>destination</w:t>
      </w:r>
      <w:r>
        <w:rPr>
          <w:color w:val="231F20"/>
          <w:spacing w:val="-11"/>
        </w:rPr>
        <w:t> </w:t>
      </w:r>
      <w:r>
        <w:rPr>
          <w:color w:val="231F20"/>
          <w:spacing w:val="-2"/>
        </w:rPr>
        <w:t>and</w:t>
      </w:r>
      <w:r>
        <w:rPr>
          <w:color w:val="231F20"/>
          <w:spacing w:val="-11"/>
        </w:rPr>
        <w:t> </w:t>
      </w:r>
      <w:r>
        <w:rPr>
          <w:color w:val="231F20"/>
          <w:spacing w:val="-2"/>
        </w:rPr>
        <w:t>its </w:t>
      </w:r>
      <w:r>
        <w:rPr>
          <w:color w:val="231F20"/>
          <w:w w:val="90"/>
        </w:rPr>
        <w:t>variability. Dwell time at hubs and gateways has </w:t>
      </w:r>
      <w:r>
        <w:rPr>
          <w:color w:val="231F20"/>
          <w:spacing w:val="-4"/>
        </w:rPr>
        <w:t>considerably</w:t>
      </w:r>
      <w:r>
        <w:rPr>
          <w:color w:val="231F20"/>
          <w:spacing w:val="-10"/>
        </w:rPr>
        <w:t> </w:t>
      </w:r>
      <w:r>
        <w:rPr>
          <w:color w:val="231F20"/>
          <w:spacing w:val="-4"/>
        </w:rPr>
        <w:t>more</w:t>
      </w:r>
      <w:r>
        <w:rPr>
          <w:color w:val="231F20"/>
          <w:spacing w:val="-9"/>
        </w:rPr>
        <w:t> </w:t>
      </w:r>
      <w:r>
        <w:rPr>
          <w:color w:val="231F20"/>
          <w:spacing w:val="-4"/>
        </w:rPr>
        <w:t>dispersion</w:t>
      </w:r>
      <w:r>
        <w:rPr>
          <w:color w:val="231F20"/>
          <w:spacing w:val="-9"/>
        </w:rPr>
        <w:t> </w:t>
      </w:r>
      <w:r>
        <w:rPr>
          <w:color w:val="231F20"/>
          <w:spacing w:val="-4"/>
        </w:rPr>
        <w:t>than</w:t>
      </w:r>
      <w:r>
        <w:rPr>
          <w:color w:val="231F20"/>
          <w:spacing w:val="-9"/>
        </w:rPr>
        <w:t> </w:t>
      </w:r>
      <w:r>
        <w:rPr>
          <w:color w:val="231F20"/>
          <w:spacing w:val="-4"/>
        </w:rPr>
        <w:t>is</w:t>
      </w:r>
      <w:r>
        <w:rPr>
          <w:color w:val="231F20"/>
          <w:spacing w:val="-9"/>
        </w:rPr>
        <w:t> </w:t>
      </w:r>
      <w:r>
        <w:rPr>
          <w:color w:val="231F20"/>
          <w:spacing w:val="-4"/>
        </w:rPr>
        <w:t>observed </w:t>
      </w:r>
      <w:r>
        <w:rPr>
          <w:color w:val="231F20"/>
        </w:rPr>
        <w:t>in</w:t>
      </w:r>
      <w:r>
        <w:rPr>
          <w:color w:val="231F20"/>
          <w:spacing w:val="-14"/>
        </w:rPr>
        <w:t> </w:t>
      </w:r>
      <w:r>
        <w:rPr>
          <w:color w:val="231F20"/>
        </w:rPr>
        <w:t>international</w:t>
      </w:r>
      <w:r>
        <w:rPr>
          <w:color w:val="231F20"/>
          <w:spacing w:val="-13"/>
        </w:rPr>
        <w:t> </w:t>
      </w:r>
      <w:r>
        <w:rPr>
          <w:color w:val="231F20"/>
        </w:rPr>
        <w:t>freight</w:t>
      </w:r>
      <w:r>
        <w:rPr>
          <w:color w:val="231F20"/>
          <w:spacing w:val="-13"/>
        </w:rPr>
        <w:t> </w:t>
      </w:r>
      <w:r>
        <w:rPr>
          <w:color w:val="231F20"/>
        </w:rPr>
        <w:t>transport.</w:t>
      </w:r>
      <w:r>
        <w:rPr>
          <w:color w:val="231F20"/>
          <w:spacing w:val="-13"/>
        </w:rPr>
        <w:t> </w:t>
      </w:r>
      <w:r>
        <w:rPr>
          <w:color w:val="231F20"/>
        </w:rPr>
        <w:t>On</w:t>
      </w:r>
      <w:r>
        <w:rPr>
          <w:color w:val="231F20"/>
          <w:spacing w:val="-13"/>
        </w:rPr>
        <w:t> </w:t>
      </w:r>
      <w:r>
        <w:rPr>
          <w:color w:val="231F20"/>
        </w:rPr>
        <w:t>average </w:t>
      </w:r>
      <w:r>
        <w:rPr>
          <w:color w:val="231F20"/>
          <w:spacing w:val="-4"/>
        </w:rPr>
        <w:t>across</w:t>
      </w:r>
      <w:r>
        <w:rPr>
          <w:color w:val="231F20"/>
          <w:spacing w:val="-10"/>
        </w:rPr>
        <w:t> </w:t>
      </w:r>
      <w:r>
        <w:rPr>
          <w:color w:val="231F20"/>
          <w:spacing w:val="-4"/>
        </w:rPr>
        <w:t>all</w:t>
      </w:r>
      <w:r>
        <w:rPr>
          <w:color w:val="231F20"/>
          <w:spacing w:val="-9"/>
        </w:rPr>
        <w:t> </w:t>
      </w:r>
      <w:r>
        <w:rPr>
          <w:color w:val="231F20"/>
          <w:spacing w:val="-4"/>
        </w:rPr>
        <w:t>potential</w:t>
      </w:r>
      <w:r>
        <w:rPr>
          <w:color w:val="231F20"/>
          <w:spacing w:val="-9"/>
        </w:rPr>
        <w:t> </w:t>
      </w:r>
      <w:r>
        <w:rPr>
          <w:color w:val="231F20"/>
          <w:spacing w:val="-4"/>
        </w:rPr>
        <w:t>routes,</w:t>
      </w:r>
      <w:r>
        <w:rPr>
          <w:color w:val="231F20"/>
          <w:spacing w:val="-9"/>
        </w:rPr>
        <w:t> </w:t>
      </w:r>
      <w:r>
        <w:rPr>
          <w:color w:val="231F20"/>
          <w:spacing w:val="-4"/>
        </w:rPr>
        <w:t>a</w:t>
      </w:r>
      <w:r>
        <w:rPr>
          <w:color w:val="231F20"/>
          <w:spacing w:val="-9"/>
        </w:rPr>
        <w:t> </w:t>
      </w:r>
      <w:r>
        <w:rPr>
          <w:color w:val="231F20"/>
          <w:spacing w:val="-4"/>
        </w:rPr>
        <w:t>container</w:t>
      </w:r>
      <w:r>
        <w:rPr>
          <w:color w:val="231F20"/>
          <w:spacing w:val="-9"/>
        </w:rPr>
        <w:t> </w:t>
      </w:r>
      <w:r>
        <w:rPr>
          <w:color w:val="231F20"/>
          <w:spacing w:val="-4"/>
        </w:rPr>
        <w:t>takes</w:t>
      </w:r>
      <w:r>
        <w:rPr>
          <w:color w:val="231F20"/>
          <w:spacing w:val="-9"/>
        </w:rPr>
        <w:t> </w:t>
      </w:r>
      <w:r>
        <w:rPr>
          <w:color w:val="231F20"/>
          <w:spacing w:val="-4"/>
        </w:rPr>
        <w:t>44 </w:t>
      </w:r>
      <w:r>
        <w:rPr>
          <w:color w:val="231F20"/>
        </w:rPr>
        <w:t>days</w:t>
      </w:r>
      <w:r>
        <w:rPr>
          <w:color w:val="231F20"/>
          <w:spacing w:val="-9"/>
        </w:rPr>
        <w:t> </w:t>
      </w:r>
      <w:r>
        <w:rPr>
          <w:color w:val="231F20"/>
        </w:rPr>
        <w:t>from</w:t>
      </w:r>
      <w:r>
        <w:rPr>
          <w:color w:val="231F20"/>
          <w:spacing w:val="-9"/>
        </w:rPr>
        <w:t> </w:t>
      </w:r>
      <w:r>
        <w:rPr>
          <w:color w:val="231F20"/>
        </w:rPr>
        <w:t>entering</w:t>
      </w:r>
      <w:r>
        <w:rPr>
          <w:color w:val="231F20"/>
          <w:spacing w:val="-9"/>
        </w:rPr>
        <w:t> </w:t>
      </w:r>
      <w:r>
        <w:rPr>
          <w:color w:val="231F20"/>
        </w:rPr>
        <w:t>the</w:t>
      </w:r>
      <w:r>
        <w:rPr>
          <w:color w:val="231F20"/>
          <w:spacing w:val="-9"/>
        </w:rPr>
        <w:t> </w:t>
      </w:r>
      <w:r>
        <w:rPr>
          <w:color w:val="231F20"/>
        </w:rPr>
        <w:t>port</w:t>
      </w:r>
      <w:r>
        <w:rPr>
          <w:color w:val="231F20"/>
          <w:spacing w:val="-9"/>
        </w:rPr>
        <w:t> </w:t>
      </w:r>
      <w:r>
        <w:rPr>
          <w:color w:val="231F20"/>
        </w:rPr>
        <w:t>of</w:t>
      </w:r>
      <w:r>
        <w:rPr>
          <w:color w:val="231F20"/>
          <w:spacing w:val="-9"/>
        </w:rPr>
        <w:t> </w:t>
      </w:r>
      <w:r>
        <w:rPr>
          <w:color w:val="231F20"/>
        </w:rPr>
        <w:t>export</w:t>
      </w:r>
      <w:r>
        <w:rPr>
          <w:color w:val="231F20"/>
          <w:spacing w:val="-9"/>
        </w:rPr>
        <w:t> </w:t>
      </w:r>
      <w:r>
        <w:rPr>
          <w:color w:val="231F20"/>
        </w:rPr>
        <w:t>to</w:t>
      </w:r>
      <w:r>
        <w:rPr>
          <w:color w:val="231F20"/>
          <w:spacing w:val="-9"/>
        </w:rPr>
        <w:t> </w:t>
      </w:r>
      <w:r>
        <w:rPr>
          <w:color w:val="231F20"/>
        </w:rPr>
        <w:t>exit- </w:t>
      </w:r>
      <w:r>
        <w:rPr>
          <w:color w:val="231F20"/>
          <w:spacing w:val="-4"/>
        </w:rPr>
        <w:t>ing</w:t>
      </w:r>
      <w:r>
        <w:rPr>
          <w:color w:val="231F20"/>
          <w:spacing w:val="-9"/>
        </w:rPr>
        <w:t> </w:t>
      </w:r>
      <w:r>
        <w:rPr>
          <w:color w:val="231F20"/>
          <w:spacing w:val="-4"/>
        </w:rPr>
        <w:t>the</w:t>
      </w:r>
      <w:r>
        <w:rPr>
          <w:color w:val="231F20"/>
          <w:spacing w:val="-9"/>
        </w:rPr>
        <w:t> </w:t>
      </w:r>
      <w:r>
        <w:rPr>
          <w:color w:val="231F20"/>
          <w:spacing w:val="-4"/>
        </w:rPr>
        <w:t>destination</w:t>
      </w:r>
      <w:r>
        <w:rPr>
          <w:color w:val="231F20"/>
          <w:spacing w:val="-9"/>
        </w:rPr>
        <w:t> </w:t>
      </w:r>
      <w:r>
        <w:rPr>
          <w:color w:val="231F20"/>
          <w:spacing w:val="-4"/>
        </w:rPr>
        <w:t>port,</w:t>
      </w:r>
      <w:r>
        <w:rPr>
          <w:color w:val="231F20"/>
          <w:spacing w:val="-9"/>
        </w:rPr>
        <w:t> </w:t>
      </w:r>
      <w:r>
        <w:rPr>
          <w:color w:val="231F20"/>
          <w:spacing w:val="-4"/>
        </w:rPr>
        <w:t>with</w:t>
      </w:r>
      <w:r>
        <w:rPr>
          <w:color w:val="231F20"/>
          <w:spacing w:val="-9"/>
        </w:rPr>
        <w:t> </w:t>
      </w:r>
      <w:r>
        <w:rPr>
          <w:color w:val="231F20"/>
          <w:spacing w:val="-4"/>
        </w:rPr>
        <w:t>a</w:t>
      </w:r>
      <w:r>
        <w:rPr>
          <w:color w:val="231F20"/>
          <w:spacing w:val="-9"/>
        </w:rPr>
        <w:t> </w:t>
      </w:r>
      <w:r>
        <w:rPr>
          <w:color w:val="231F20"/>
          <w:spacing w:val="-4"/>
        </w:rPr>
        <w:t>standard</w:t>
      </w:r>
      <w:r>
        <w:rPr>
          <w:color w:val="231F20"/>
          <w:spacing w:val="-9"/>
        </w:rPr>
        <w:t> </w:t>
      </w:r>
      <w:r>
        <w:rPr>
          <w:color w:val="231F20"/>
          <w:spacing w:val="-4"/>
        </w:rPr>
        <w:t>devia- </w:t>
      </w:r>
      <w:r>
        <w:rPr>
          <w:color w:val="231F20"/>
          <w:w w:val="90"/>
        </w:rPr>
        <w:t>tion of 10.5 days. Over 60 percent of this time is </w:t>
      </w:r>
      <w:r>
        <w:rPr>
          <w:color w:val="231F20"/>
          <w:spacing w:val="-6"/>
        </w:rPr>
        <w:t>spent on ships, with the rest split between stays </w:t>
      </w:r>
      <w:r>
        <w:rPr>
          <w:color w:val="231F20"/>
        </w:rPr>
        <w:t>at</w:t>
      </w:r>
      <w:r>
        <w:rPr>
          <w:color w:val="231F20"/>
          <w:spacing w:val="-4"/>
        </w:rPr>
        <w:t> </w:t>
      </w:r>
      <w:r>
        <w:rPr>
          <w:color w:val="231F20"/>
        </w:rPr>
        <w:t>ports</w:t>
      </w:r>
      <w:r>
        <w:rPr>
          <w:color w:val="231F20"/>
          <w:spacing w:val="-4"/>
        </w:rPr>
        <w:t> </w:t>
      </w:r>
      <w:r>
        <w:rPr>
          <w:color w:val="231F20"/>
        </w:rPr>
        <w:t>of</w:t>
      </w:r>
      <w:r>
        <w:rPr>
          <w:color w:val="231F20"/>
          <w:spacing w:val="-4"/>
        </w:rPr>
        <w:t> </w:t>
      </w:r>
      <w:r>
        <w:rPr>
          <w:color w:val="231F20"/>
        </w:rPr>
        <w:t>export,</w:t>
      </w:r>
      <w:r>
        <w:rPr>
          <w:color w:val="231F20"/>
          <w:spacing w:val="-4"/>
        </w:rPr>
        <w:t> </w:t>
      </w:r>
      <w:r>
        <w:rPr>
          <w:color w:val="231F20"/>
        </w:rPr>
        <w:t>import,</w:t>
      </w:r>
      <w:r>
        <w:rPr>
          <w:color w:val="231F20"/>
          <w:spacing w:val="-4"/>
        </w:rPr>
        <w:t> </w:t>
      </w:r>
      <w:r>
        <w:rPr>
          <w:color w:val="231F20"/>
        </w:rPr>
        <w:t>or</w:t>
      </w:r>
      <w:r>
        <w:rPr>
          <w:color w:val="231F20"/>
          <w:spacing w:val="-4"/>
        </w:rPr>
        <w:t> </w:t>
      </w:r>
      <w:r>
        <w:rPr>
          <w:color w:val="231F20"/>
        </w:rPr>
        <w:t>transshipment.</w:t>
      </w:r>
    </w:p>
    <w:p>
      <w:pPr>
        <w:pStyle w:val="BodyText"/>
        <w:spacing w:line="268" w:lineRule="auto"/>
        <w:ind w:left="198" w:right="178" w:firstLine="300"/>
        <w:jc w:val="both"/>
      </w:pPr>
      <w:r>
        <w:rPr>
          <w:color w:val="231F20"/>
          <w:spacing w:val="-2"/>
        </w:rPr>
        <w:t>Yet</w:t>
      </w:r>
      <w:r>
        <w:rPr>
          <w:color w:val="231F20"/>
          <w:spacing w:val="-12"/>
        </w:rPr>
        <w:t> </w:t>
      </w:r>
      <w:r>
        <w:rPr>
          <w:color w:val="231F20"/>
          <w:spacing w:val="-2"/>
        </w:rPr>
        <w:t>supply</w:t>
      </w:r>
      <w:r>
        <w:rPr>
          <w:color w:val="231F20"/>
          <w:spacing w:val="-11"/>
        </w:rPr>
        <w:t> </w:t>
      </w:r>
      <w:r>
        <w:rPr>
          <w:color w:val="231F20"/>
          <w:spacing w:val="-2"/>
        </w:rPr>
        <w:t>chain</w:t>
      </w:r>
      <w:r>
        <w:rPr>
          <w:color w:val="231F20"/>
          <w:spacing w:val="-11"/>
        </w:rPr>
        <w:t> </w:t>
      </w:r>
      <w:r>
        <w:rPr>
          <w:color w:val="231F20"/>
          <w:spacing w:val="-2"/>
        </w:rPr>
        <w:t>legs</w:t>
      </w:r>
      <w:r>
        <w:rPr>
          <w:color w:val="231F20"/>
          <w:spacing w:val="-11"/>
        </w:rPr>
        <w:t> </w:t>
      </w:r>
      <w:r>
        <w:rPr>
          <w:color w:val="231F20"/>
          <w:spacing w:val="-2"/>
        </w:rPr>
        <w:t>when</w:t>
      </w:r>
      <w:r>
        <w:rPr>
          <w:color w:val="231F20"/>
          <w:spacing w:val="-11"/>
        </w:rPr>
        <w:t> </w:t>
      </w:r>
      <w:r>
        <w:rPr>
          <w:color w:val="231F20"/>
          <w:spacing w:val="-2"/>
        </w:rPr>
        <w:t>containers</w:t>
      </w:r>
      <w:r>
        <w:rPr>
          <w:color w:val="231F20"/>
          <w:spacing w:val="-11"/>
        </w:rPr>
        <w:t> </w:t>
      </w:r>
      <w:r>
        <w:rPr>
          <w:color w:val="231F20"/>
          <w:spacing w:val="-2"/>
        </w:rPr>
        <w:t>are not</w:t>
      </w:r>
      <w:r>
        <w:rPr>
          <w:color w:val="231F20"/>
          <w:spacing w:val="-12"/>
        </w:rPr>
        <w:t> </w:t>
      </w:r>
      <w:r>
        <w:rPr>
          <w:color w:val="231F20"/>
          <w:spacing w:val="-2"/>
        </w:rPr>
        <w:t>in</w:t>
      </w:r>
      <w:r>
        <w:rPr>
          <w:color w:val="231F20"/>
          <w:spacing w:val="-11"/>
        </w:rPr>
        <w:t> </w:t>
      </w:r>
      <w:r>
        <w:rPr>
          <w:color w:val="231F20"/>
          <w:spacing w:val="-2"/>
        </w:rPr>
        <w:t>motion,</w:t>
      </w:r>
      <w:r>
        <w:rPr>
          <w:color w:val="231F20"/>
          <w:spacing w:val="-11"/>
        </w:rPr>
        <w:t> </w:t>
      </w:r>
      <w:r>
        <w:rPr>
          <w:color w:val="231F20"/>
          <w:spacing w:val="-2"/>
        </w:rPr>
        <w:t>especially</w:t>
      </w:r>
      <w:r>
        <w:rPr>
          <w:color w:val="231F20"/>
          <w:spacing w:val="-11"/>
        </w:rPr>
        <w:t> </w:t>
      </w:r>
      <w:r>
        <w:rPr>
          <w:color w:val="231F20"/>
          <w:spacing w:val="-2"/>
        </w:rPr>
        <w:t>at</w:t>
      </w:r>
      <w:r>
        <w:rPr>
          <w:color w:val="231F20"/>
          <w:spacing w:val="-11"/>
        </w:rPr>
        <w:t> </w:t>
      </w:r>
      <w:r>
        <w:rPr>
          <w:color w:val="231F20"/>
          <w:spacing w:val="-2"/>
        </w:rPr>
        <w:t>the</w:t>
      </w:r>
      <w:r>
        <w:rPr>
          <w:color w:val="231F20"/>
          <w:spacing w:val="-11"/>
        </w:rPr>
        <w:t> </w:t>
      </w:r>
      <w:r>
        <w:rPr>
          <w:color w:val="231F20"/>
          <w:spacing w:val="-2"/>
        </w:rPr>
        <w:t>port</w:t>
      </w:r>
      <w:r>
        <w:rPr>
          <w:color w:val="231F20"/>
          <w:spacing w:val="-11"/>
        </w:rPr>
        <w:t> </w:t>
      </w:r>
      <w:r>
        <w:rPr>
          <w:color w:val="231F20"/>
          <w:spacing w:val="-2"/>
        </w:rPr>
        <w:t>of</w:t>
      </w:r>
      <w:r>
        <w:rPr>
          <w:color w:val="231F20"/>
          <w:spacing w:val="-11"/>
        </w:rPr>
        <w:t> </w:t>
      </w:r>
      <w:r>
        <w:rPr>
          <w:color w:val="231F20"/>
          <w:spacing w:val="-2"/>
        </w:rPr>
        <w:t>import, </w:t>
      </w:r>
      <w:r>
        <w:rPr>
          <w:color w:val="231F20"/>
          <w:spacing w:val="-4"/>
        </w:rPr>
        <w:t>contribute</w:t>
      </w:r>
      <w:r>
        <w:rPr>
          <w:color w:val="231F20"/>
          <w:spacing w:val="-7"/>
        </w:rPr>
        <w:t> </w:t>
      </w:r>
      <w:r>
        <w:rPr>
          <w:color w:val="231F20"/>
          <w:spacing w:val="-4"/>
        </w:rPr>
        <w:t>disproportionately</w:t>
      </w:r>
      <w:r>
        <w:rPr>
          <w:color w:val="231F20"/>
          <w:spacing w:val="-7"/>
        </w:rPr>
        <w:t> </w:t>
      </w:r>
      <w:r>
        <w:rPr>
          <w:color w:val="231F20"/>
          <w:spacing w:val="-4"/>
        </w:rPr>
        <w:t>to</w:t>
      </w:r>
      <w:r>
        <w:rPr>
          <w:color w:val="231F20"/>
          <w:spacing w:val="-7"/>
        </w:rPr>
        <w:t> </w:t>
      </w:r>
      <w:r>
        <w:rPr>
          <w:color w:val="231F20"/>
          <w:spacing w:val="-4"/>
        </w:rPr>
        <w:t>the</w:t>
      </w:r>
      <w:r>
        <w:rPr>
          <w:color w:val="231F20"/>
          <w:spacing w:val="-7"/>
        </w:rPr>
        <w:t> </w:t>
      </w:r>
      <w:r>
        <w:rPr>
          <w:color w:val="231F20"/>
          <w:spacing w:val="-4"/>
        </w:rPr>
        <w:t>variability </w:t>
      </w:r>
      <w:r>
        <w:rPr>
          <w:color w:val="231F20"/>
          <w:spacing w:val="-6"/>
        </w:rPr>
        <w:t>of</w:t>
      </w:r>
      <w:r>
        <w:rPr>
          <w:color w:val="231F20"/>
          <w:spacing w:val="-8"/>
        </w:rPr>
        <w:t> </w:t>
      </w:r>
      <w:r>
        <w:rPr>
          <w:color w:val="231F20"/>
          <w:spacing w:val="-6"/>
        </w:rPr>
        <w:t>supply</w:t>
      </w:r>
      <w:r>
        <w:rPr>
          <w:color w:val="231F20"/>
          <w:spacing w:val="-7"/>
        </w:rPr>
        <w:t> </w:t>
      </w:r>
      <w:r>
        <w:rPr>
          <w:color w:val="231F20"/>
          <w:spacing w:val="-6"/>
        </w:rPr>
        <w:t>chain</w:t>
      </w:r>
      <w:r>
        <w:rPr>
          <w:color w:val="231F20"/>
          <w:spacing w:val="-7"/>
        </w:rPr>
        <w:t> </w:t>
      </w:r>
      <w:r>
        <w:rPr>
          <w:color w:val="231F20"/>
          <w:spacing w:val="-6"/>
        </w:rPr>
        <w:t>lead</w:t>
      </w:r>
      <w:r>
        <w:rPr>
          <w:color w:val="231F20"/>
          <w:spacing w:val="-7"/>
        </w:rPr>
        <w:t> </w:t>
      </w:r>
      <w:r>
        <w:rPr>
          <w:color w:val="231F20"/>
          <w:spacing w:val="-6"/>
        </w:rPr>
        <w:t>time.</w:t>
      </w:r>
      <w:r>
        <w:rPr>
          <w:color w:val="231F20"/>
          <w:spacing w:val="-7"/>
        </w:rPr>
        <w:t> </w:t>
      </w:r>
      <w:r>
        <w:rPr>
          <w:color w:val="231F20"/>
          <w:spacing w:val="-6"/>
        </w:rPr>
        <w:t>So,</w:t>
      </w:r>
      <w:r>
        <w:rPr>
          <w:color w:val="231F20"/>
          <w:spacing w:val="-7"/>
        </w:rPr>
        <w:t> </w:t>
      </w:r>
      <w:r>
        <w:rPr>
          <w:color w:val="231F20"/>
          <w:spacing w:val="-6"/>
        </w:rPr>
        <w:t>while</w:t>
      </w:r>
      <w:r>
        <w:rPr>
          <w:color w:val="231F20"/>
          <w:spacing w:val="-7"/>
        </w:rPr>
        <w:t> </w:t>
      </w:r>
      <w:r>
        <w:rPr>
          <w:color w:val="231F20"/>
          <w:spacing w:val="-6"/>
        </w:rPr>
        <w:t>the</w:t>
      </w:r>
      <w:r>
        <w:rPr>
          <w:color w:val="231F20"/>
          <w:spacing w:val="-7"/>
        </w:rPr>
        <w:t> </w:t>
      </w:r>
      <w:r>
        <w:rPr>
          <w:color w:val="231F20"/>
          <w:spacing w:val="-6"/>
        </w:rPr>
        <w:t>bulk</w:t>
      </w:r>
      <w:r>
        <w:rPr>
          <w:color w:val="231F20"/>
          <w:spacing w:val="-8"/>
        </w:rPr>
        <w:t> </w:t>
      </w:r>
      <w:r>
        <w:rPr>
          <w:color w:val="231F20"/>
          <w:spacing w:val="-6"/>
        </w:rPr>
        <w:t>of the time required to trade goods internationally </w:t>
      </w:r>
      <w:r>
        <w:rPr>
          <w:color w:val="231F20"/>
          <w:w w:val="90"/>
        </w:rPr>
        <w:t>is accounted for by shipping, the largest contrib- </w:t>
      </w:r>
      <w:r>
        <w:rPr>
          <w:color w:val="231F20"/>
          <w:spacing w:val="-2"/>
        </w:rPr>
        <w:t>utor</w:t>
      </w:r>
      <w:r>
        <w:rPr>
          <w:color w:val="231F20"/>
          <w:spacing w:val="-12"/>
        </w:rPr>
        <w:t> </w:t>
      </w:r>
      <w:r>
        <w:rPr>
          <w:color w:val="231F20"/>
          <w:spacing w:val="-2"/>
        </w:rPr>
        <w:t>to</w:t>
      </w:r>
      <w:r>
        <w:rPr>
          <w:color w:val="231F20"/>
          <w:spacing w:val="-11"/>
        </w:rPr>
        <w:t> </w:t>
      </w:r>
      <w:r>
        <w:rPr>
          <w:color w:val="231F20"/>
          <w:spacing w:val="-2"/>
        </w:rPr>
        <w:t>low</w:t>
      </w:r>
      <w:r>
        <w:rPr>
          <w:color w:val="231F20"/>
          <w:spacing w:val="-11"/>
        </w:rPr>
        <w:t> </w:t>
      </w:r>
      <w:r>
        <w:rPr>
          <w:color w:val="231F20"/>
          <w:spacing w:val="-2"/>
        </w:rPr>
        <w:t>reliability</w:t>
      </w:r>
      <w:r>
        <w:rPr>
          <w:color w:val="231F20"/>
          <w:spacing w:val="-11"/>
        </w:rPr>
        <w:t> </w:t>
      </w:r>
      <w:r>
        <w:rPr>
          <w:color w:val="231F20"/>
          <w:spacing w:val="-2"/>
        </w:rPr>
        <w:t>of</w:t>
      </w:r>
      <w:r>
        <w:rPr>
          <w:color w:val="231F20"/>
          <w:spacing w:val="-11"/>
        </w:rPr>
        <w:t> </w:t>
      </w:r>
      <w:r>
        <w:rPr>
          <w:color w:val="231F20"/>
          <w:spacing w:val="-2"/>
        </w:rPr>
        <w:t>delivery</w:t>
      </w:r>
      <w:r>
        <w:rPr>
          <w:color w:val="231F20"/>
          <w:spacing w:val="-11"/>
        </w:rPr>
        <w:t> </w:t>
      </w:r>
      <w:r>
        <w:rPr>
          <w:color w:val="231F20"/>
          <w:spacing w:val="-2"/>
        </w:rPr>
        <w:t>times</w:t>
      </w:r>
      <w:r>
        <w:rPr>
          <w:color w:val="231F20"/>
          <w:spacing w:val="-11"/>
        </w:rPr>
        <w:t> </w:t>
      </w:r>
      <w:r>
        <w:rPr>
          <w:color w:val="231F20"/>
          <w:spacing w:val="-2"/>
        </w:rPr>
        <w:t>is</w:t>
      </w:r>
      <w:r>
        <w:rPr>
          <w:color w:val="231F20"/>
          <w:spacing w:val="-11"/>
        </w:rPr>
        <w:t> </w:t>
      </w:r>
      <w:r>
        <w:rPr>
          <w:color w:val="231F20"/>
          <w:spacing w:val="-2"/>
        </w:rPr>
        <w:t>pro- </w:t>
      </w:r>
      <w:r>
        <w:rPr>
          <w:color w:val="231F20"/>
        </w:rPr>
        <w:t>cesses</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importing</w:t>
      </w:r>
      <w:r>
        <w:rPr>
          <w:color w:val="231F20"/>
          <w:spacing w:val="-4"/>
        </w:rPr>
        <w:t> </w:t>
      </w:r>
      <w:r>
        <w:rPr>
          <w:color w:val="231F20"/>
        </w:rPr>
        <w:t>country.</w:t>
      </w:r>
    </w:p>
    <w:p>
      <w:pPr>
        <w:pStyle w:val="BodyText"/>
        <w:spacing w:line="268" w:lineRule="auto"/>
        <w:ind w:left="198" w:right="177" w:firstLine="300"/>
        <w:jc w:val="both"/>
      </w:pPr>
      <w:r>
        <w:rPr>
          <w:color w:val="231F20"/>
          <w:spacing w:val="-2"/>
        </w:rPr>
        <w:t>Consistent</w:t>
      </w:r>
      <w:r>
        <w:rPr>
          <w:color w:val="231F20"/>
          <w:spacing w:val="-7"/>
        </w:rPr>
        <w:t> </w:t>
      </w:r>
      <w:r>
        <w:rPr>
          <w:color w:val="231F20"/>
          <w:spacing w:val="-2"/>
        </w:rPr>
        <w:t>with</w:t>
      </w:r>
      <w:r>
        <w:rPr>
          <w:color w:val="231F20"/>
          <w:spacing w:val="-7"/>
        </w:rPr>
        <w:t> </w:t>
      </w:r>
      <w:r>
        <w:rPr>
          <w:color w:val="231F20"/>
          <w:spacing w:val="-2"/>
        </w:rPr>
        <w:t>this</w:t>
      </w:r>
      <w:r>
        <w:rPr>
          <w:color w:val="231F20"/>
          <w:spacing w:val="-7"/>
        </w:rPr>
        <w:t> </w:t>
      </w:r>
      <w:r>
        <w:rPr>
          <w:color w:val="231F20"/>
          <w:spacing w:val="-2"/>
        </w:rPr>
        <w:t>analysis,</w:t>
      </w:r>
      <w:r>
        <w:rPr>
          <w:color w:val="231F20"/>
          <w:spacing w:val="-7"/>
        </w:rPr>
        <w:t> </w:t>
      </w:r>
      <w:r>
        <w:rPr>
          <w:color w:val="231F20"/>
          <w:spacing w:val="-2"/>
        </w:rPr>
        <w:t>each</w:t>
      </w:r>
      <w:r>
        <w:rPr>
          <w:color w:val="231F20"/>
          <w:spacing w:val="-7"/>
        </w:rPr>
        <w:t> </w:t>
      </w:r>
      <w:r>
        <w:rPr>
          <w:color w:val="231F20"/>
          <w:spacing w:val="-2"/>
        </w:rPr>
        <w:t>link</w:t>
      </w:r>
      <w:r>
        <w:rPr>
          <w:color w:val="231F20"/>
          <w:spacing w:val="-7"/>
        </w:rPr>
        <w:t> </w:t>
      </w:r>
      <w:r>
        <w:rPr>
          <w:color w:val="231F20"/>
          <w:spacing w:val="-2"/>
        </w:rPr>
        <w:t>of </w:t>
      </w:r>
      <w:r>
        <w:rPr>
          <w:color w:val="231F20"/>
        </w:rPr>
        <w:t>a</w:t>
      </w:r>
      <w:r>
        <w:rPr>
          <w:color w:val="231F20"/>
          <w:spacing w:val="-12"/>
        </w:rPr>
        <w:t> </w:t>
      </w:r>
      <w:r>
        <w:rPr>
          <w:color w:val="231F20"/>
        </w:rPr>
        <w:t>supply</w:t>
      </w:r>
      <w:r>
        <w:rPr>
          <w:color w:val="231F20"/>
          <w:spacing w:val="-12"/>
        </w:rPr>
        <w:t> </w:t>
      </w:r>
      <w:r>
        <w:rPr>
          <w:color w:val="231F20"/>
        </w:rPr>
        <w:t>chain</w:t>
      </w:r>
      <w:r>
        <w:rPr>
          <w:color w:val="231F20"/>
          <w:spacing w:val="-12"/>
        </w:rPr>
        <w:t> </w:t>
      </w:r>
      <w:r>
        <w:rPr>
          <w:color w:val="231F20"/>
        </w:rPr>
        <w:t>is</w:t>
      </w:r>
      <w:r>
        <w:rPr>
          <w:color w:val="231F20"/>
          <w:spacing w:val="-12"/>
        </w:rPr>
        <w:t> </w:t>
      </w:r>
      <w:r>
        <w:rPr>
          <w:color w:val="231F20"/>
        </w:rPr>
        <w:t>subject</w:t>
      </w:r>
      <w:r>
        <w:rPr>
          <w:color w:val="231F20"/>
          <w:spacing w:val="-12"/>
        </w:rPr>
        <w:t> </w:t>
      </w:r>
      <w:r>
        <w:rPr>
          <w:color w:val="231F20"/>
        </w:rPr>
        <w:t>to</w:t>
      </w:r>
      <w:r>
        <w:rPr>
          <w:color w:val="231F20"/>
          <w:spacing w:val="-12"/>
        </w:rPr>
        <w:t> </w:t>
      </w:r>
      <w:r>
        <w:rPr>
          <w:color w:val="231F20"/>
        </w:rPr>
        <w:t>some</w:t>
      </w:r>
      <w:r>
        <w:rPr>
          <w:color w:val="231F20"/>
          <w:spacing w:val="-12"/>
        </w:rPr>
        <w:t> </w:t>
      </w:r>
      <w:r>
        <w:rPr>
          <w:color w:val="231F20"/>
        </w:rPr>
        <w:t>uncertainty </w:t>
      </w:r>
      <w:r>
        <w:rPr>
          <w:color w:val="231F20"/>
          <w:spacing w:val="-2"/>
        </w:rPr>
        <w:t>due</w:t>
      </w:r>
      <w:r>
        <w:rPr>
          <w:color w:val="231F20"/>
          <w:spacing w:val="-10"/>
        </w:rPr>
        <w:t> </w:t>
      </w:r>
      <w:r>
        <w:rPr>
          <w:color w:val="231F20"/>
          <w:spacing w:val="-2"/>
        </w:rPr>
        <w:t>to</w:t>
      </w:r>
      <w:r>
        <w:rPr>
          <w:color w:val="231F20"/>
          <w:spacing w:val="-10"/>
        </w:rPr>
        <w:t> </w:t>
      </w:r>
      <w:r>
        <w:rPr>
          <w:color w:val="231F20"/>
          <w:spacing w:val="-2"/>
        </w:rPr>
        <w:t>factors</w:t>
      </w:r>
      <w:r>
        <w:rPr>
          <w:color w:val="231F20"/>
          <w:spacing w:val="-10"/>
        </w:rPr>
        <w:t> </w:t>
      </w:r>
      <w:r>
        <w:rPr>
          <w:color w:val="231F20"/>
          <w:spacing w:val="-2"/>
        </w:rPr>
        <w:t>such</w:t>
      </w:r>
      <w:r>
        <w:rPr>
          <w:color w:val="231F20"/>
          <w:spacing w:val="-10"/>
        </w:rPr>
        <w:t> </w:t>
      </w:r>
      <w:r>
        <w:rPr>
          <w:color w:val="231F20"/>
          <w:spacing w:val="-2"/>
        </w:rPr>
        <w:t>as</w:t>
      </w:r>
      <w:r>
        <w:rPr>
          <w:color w:val="231F20"/>
          <w:spacing w:val="-10"/>
        </w:rPr>
        <w:t> </w:t>
      </w:r>
      <w:r>
        <w:rPr>
          <w:color w:val="231F20"/>
          <w:spacing w:val="-2"/>
        </w:rPr>
        <w:t>operational</w:t>
      </w:r>
      <w:r>
        <w:rPr>
          <w:color w:val="231F20"/>
          <w:spacing w:val="-10"/>
        </w:rPr>
        <w:t> </w:t>
      </w:r>
      <w:r>
        <w:rPr>
          <w:color w:val="231F20"/>
          <w:spacing w:val="-2"/>
        </w:rPr>
        <w:t>constraints, </w:t>
      </w:r>
      <w:r>
        <w:rPr>
          <w:color w:val="231F20"/>
          <w:spacing w:val="-6"/>
        </w:rPr>
        <w:t>variations in productivity across operators, and process unreliability. One way of capturing the </w:t>
      </w:r>
      <w:r>
        <w:rPr>
          <w:color w:val="231F20"/>
        </w:rPr>
        <w:t>uncertainty</w:t>
      </w:r>
      <w:r>
        <w:rPr>
          <w:color w:val="231F20"/>
          <w:spacing w:val="-14"/>
        </w:rPr>
        <w:t> </w:t>
      </w:r>
      <w:r>
        <w:rPr>
          <w:color w:val="231F20"/>
        </w:rPr>
        <w:t>is</w:t>
      </w:r>
      <w:r>
        <w:rPr>
          <w:color w:val="231F20"/>
          <w:spacing w:val="-13"/>
        </w:rPr>
        <w:t> </w:t>
      </w:r>
      <w:r>
        <w:rPr>
          <w:color w:val="231F20"/>
        </w:rPr>
        <w:t>through</w:t>
      </w:r>
      <w:r>
        <w:rPr>
          <w:color w:val="231F20"/>
          <w:spacing w:val="-13"/>
        </w:rPr>
        <w:t> </w:t>
      </w:r>
      <w:r>
        <w:rPr>
          <w:color w:val="231F20"/>
        </w:rPr>
        <w:t>the</w:t>
      </w:r>
      <w:r>
        <w:rPr>
          <w:color w:val="231F20"/>
          <w:spacing w:val="-13"/>
        </w:rPr>
        <w:t> </w:t>
      </w:r>
      <w:r>
        <w:rPr>
          <w:color w:val="231F20"/>
        </w:rPr>
        <w:t>statistical</w:t>
      </w:r>
      <w:r>
        <w:rPr>
          <w:color w:val="231F20"/>
          <w:spacing w:val="-13"/>
        </w:rPr>
        <w:t> </w:t>
      </w:r>
      <w:r>
        <w:rPr>
          <w:color w:val="231F20"/>
        </w:rPr>
        <w:t>distribu- tion of lead time by link.</w:t>
      </w:r>
    </w:p>
    <w:p>
      <w:pPr>
        <w:pStyle w:val="BodyText"/>
        <w:spacing w:line="268" w:lineRule="auto"/>
        <w:ind w:left="198" w:right="174" w:firstLine="300"/>
        <w:jc w:val="both"/>
      </w:pPr>
      <w:r>
        <w:rPr>
          <w:color w:val="231F20"/>
          <w:spacing w:val="-2"/>
        </w:rPr>
        <w:t>While</w:t>
      </w:r>
      <w:r>
        <w:rPr>
          <w:color w:val="231F20"/>
          <w:spacing w:val="-12"/>
        </w:rPr>
        <w:t> </w:t>
      </w:r>
      <w:r>
        <w:rPr>
          <w:color w:val="231F20"/>
          <w:spacing w:val="-2"/>
        </w:rPr>
        <w:t>different</w:t>
      </w:r>
      <w:r>
        <w:rPr>
          <w:color w:val="231F20"/>
          <w:spacing w:val="-11"/>
        </w:rPr>
        <w:t> </w:t>
      </w:r>
      <w:r>
        <w:rPr>
          <w:color w:val="231F20"/>
          <w:spacing w:val="-2"/>
        </w:rPr>
        <w:t>links</w:t>
      </w:r>
      <w:r>
        <w:rPr>
          <w:color w:val="231F20"/>
          <w:spacing w:val="-11"/>
        </w:rPr>
        <w:t> </w:t>
      </w:r>
      <w:r>
        <w:rPr>
          <w:color w:val="231F20"/>
          <w:spacing w:val="-2"/>
        </w:rPr>
        <w:t>and</w:t>
      </w:r>
      <w:r>
        <w:rPr>
          <w:color w:val="231F20"/>
          <w:spacing w:val="-11"/>
        </w:rPr>
        <w:t> </w:t>
      </w:r>
      <w:r>
        <w:rPr>
          <w:color w:val="231F20"/>
          <w:spacing w:val="-2"/>
        </w:rPr>
        <w:t>modes</w:t>
      </w:r>
      <w:r>
        <w:rPr>
          <w:color w:val="231F20"/>
          <w:spacing w:val="-11"/>
        </w:rPr>
        <w:t> </w:t>
      </w:r>
      <w:r>
        <w:rPr>
          <w:color w:val="231F20"/>
          <w:spacing w:val="-2"/>
        </w:rPr>
        <w:t>have</w:t>
      </w:r>
      <w:r>
        <w:rPr>
          <w:color w:val="231F20"/>
          <w:spacing w:val="-11"/>
        </w:rPr>
        <w:t> </w:t>
      </w:r>
      <w:r>
        <w:rPr>
          <w:color w:val="231F20"/>
          <w:spacing w:val="-2"/>
        </w:rPr>
        <w:t>dis- </w:t>
      </w:r>
      <w:r>
        <w:rPr>
          <w:color w:val="231F20"/>
          <w:spacing w:val="-4"/>
        </w:rPr>
        <w:t>tinguishing</w:t>
      </w:r>
      <w:r>
        <w:rPr>
          <w:color w:val="231F20"/>
          <w:spacing w:val="-10"/>
        </w:rPr>
        <w:t> </w:t>
      </w:r>
      <w:r>
        <w:rPr>
          <w:color w:val="231F20"/>
          <w:spacing w:val="-4"/>
        </w:rPr>
        <w:t>features,</w:t>
      </w:r>
      <w:r>
        <w:rPr>
          <w:color w:val="231F20"/>
          <w:spacing w:val="-9"/>
        </w:rPr>
        <w:t> </w:t>
      </w:r>
      <w:r>
        <w:rPr>
          <w:color w:val="231F20"/>
          <w:spacing w:val="-4"/>
        </w:rPr>
        <w:t>there</w:t>
      </w:r>
      <w:r>
        <w:rPr>
          <w:color w:val="231F20"/>
          <w:spacing w:val="-9"/>
        </w:rPr>
        <w:t> </w:t>
      </w:r>
      <w:r>
        <w:rPr>
          <w:color w:val="231F20"/>
          <w:spacing w:val="-4"/>
        </w:rPr>
        <w:t>are</w:t>
      </w:r>
      <w:r>
        <w:rPr>
          <w:color w:val="231F20"/>
          <w:spacing w:val="-9"/>
        </w:rPr>
        <w:t> </w:t>
      </w:r>
      <w:r>
        <w:rPr>
          <w:color w:val="231F20"/>
          <w:spacing w:val="-4"/>
        </w:rPr>
        <w:t>also</w:t>
      </w:r>
      <w:r>
        <w:rPr>
          <w:color w:val="231F20"/>
          <w:spacing w:val="-9"/>
        </w:rPr>
        <w:t> </w:t>
      </w:r>
      <w:r>
        <w:rPr>
          <w:color w:val="231F20"/>
          <w:spacing w:val="-4"/>
        </w:rPr>
        <w:t>similarities. </w:t>
      </w:r>
      <w:r>
        <w:rPr>
          <w:color w:val="231F20"/>
          <w:spacing w:val="-6"/>
        </w:rPr>
        <w:t>Figure 3.2 shows the distribution of dwell time </w:t>
      </w:r>
      <w:r>
        <w:rPr>
          <w:color w:val="231F20"/>
        </w:rPr>
        <w:t>for</w:t>
      </w:r>
      <w:r>
        <w:rPr>
          <w:color w:val="231F20"/>
          <w:spacing w:val="6"/>
        </w:rPr>
        <w:t> </w:t>
      </w:r>
      <w:r>
        <w:rPr>
          <w:color w:val="231F20"/>
        </w:rPr>
        <w:t>Le</w:t>
      </w:r>
      <w:r>
        <w:rPr>
          <w:color w:val="231F20"/>
          <w:spacing w:val="7"/>
        </w:rPr>
        <w:t> </w:t>
      </w:r>
      <w:r>
        <w:rPr>
          <w:color w:val="231F20"/>
        </w:rPr>
        <w:t>Havre</w:t>
      </w:r>
      <w:r>
        <w:rPr>
          <w:color w:val="231F20"/>
          <w:spacing w:val="6"/>
        </w:rPr>
        <w:t> </w:t>
      </w:r>
      <w:r>
        <w:rPr>
          <w:color w:val="231F20"/>
        </w:rPr>
        <w:t>(a</w:t>
      </w:r>
      <w:r>
        <w:rPr>
          <w:color w:val="231F20"/>
          <w:spacing w:val="7"/>
        </w:rPr>
        <w:t> </w:t>
      </w:r>
      <w:r>
        <w:rPr>
          <w:color w:val="231F20"/>
        </w:rPr>
        <w:t>container</w:t>
      </w:r>
      <w:r>
        <w:rPr>
          <w:color w:val="231F20"/>
          <w:spacing w:val="6"/>
        </w:rPr>
        <w:t> </w:t>
      </w:r>
      <w:r>
        <w:rPr>
          <w:color w:val="231F20"/>
        </w:rPr>
        <w:t>port)</w:t>
      </w:r>
      <w:r>
        <w:rPr>
          <w:color w:val="231F20"/>
          <w:spacing w:val="7"/>
        </w:rPr>
        <w:t> </w:t>
      </w:r>
      <w:r>
        <w:rPr>
          <w:color w:val="231F20"/>
        </w:rPr>
        <w:t>in</w:t>
      </w:r>
      <w:r>
        <w:rPr>
          <w:color w:val="231F20"/>
          <w:spacing w:val="6"/>
        </w:rPr>
        <w:t> </w:t>
      </w:r>
      <w:r>
        <w:rPr>
          <w:color w:val="231F20"/>
        </w:rPr>
        <w:t>2022</w:t>
      </w:r>
      <w:r>
        <w:rPr>
          <w:color w:val="231F20"/>
          <w:spacing w:val="6"/>
        </w:rPr>
        <w:t> </w:t>
      </w:r>
      <w:r>
        <w:rPr>
          <w:color w:val="231F20"/>
          <w:spacing w:val="-5"/>
        </w:rPr>
        <w:t>and</w:t>
      </w:r>
    </w:p>
    <w:p>
      <w:pPr>
        <w:spacing w:after="0" w:line="268" w:lineRule="auto"/>
        <w:jc w:val="both"/>
        <w:sectPr>
          <w:type w:val="continuous"/>
          <w:pgSz w:w="12240" w:h="15840"/>
          <w:pgMar w:header="0" w:footer="548" w:top="1140" w:bottom="280" w:left="0" w:right="540"/>
          <w:cols w:num="2" w:equalWidth="0">
            <w:col w:w="7562" w:space="40"/>
            <w:col w:w="4098"/>
          </w:cols>
        </w:sectPr>
      </w:pPr>
    </w:p>
    <w:p>
      <w:pPr>
        <w:pStyle w:val="BodyText"/>
        <w:rPr>
          <w:sz w:val="16"/>
        </w:rPr>
      </w:pPr>
    </w:p>
    <w:p>
      <w:pPr>
        <w:pStyle w:val="BodyText"/>
        <w:rPr>
          <w:sz w:val="16"/>
        </w:rPr>
      </w:pPr>
    </w:p>
    <w:p>
      <w:pPr>
        <w:pStyle w:val="BodyText"/>
        <w:rPr>
          <w:sz w:val="16"/>
        </w:rPr>
      </w:pPr>
    </w:p>
    <w:p>
      <w:pPr>
        <w:pStyle w:val="BodyText"/>
        <w:spacing w:before="158"/>
        <w:rPr>
          <w:sz w:val="16"/>
        </w:rPr>
      </w:pPr>
    </w:p>
    <w:p>
      <w:pPr>
        <w:spacing w:before="0"/>
        <w:ind w:left="1619" w:right="0" w:firstLine="0"/>
        <w:jc w:val="left"/>
        <w:rPr>
          <w:rFonts w:ascii="Arial"/>
          <w:b/>
          <w:sz w:val="16"/>
        </w:rPr>
      </w:pPr>
      <w:r>
        <w:rPr/>
        <mc:AlternateContent>
          <mc:Choice Requires="wps">
            <w:drawing>
              <wp:anchor distT="0" distB="0" distL="0" distR="0" allowOverlap="1" layoutInCell="1" locked="0" behindDoc="0" simplePos="0" relativeHeight="15750656">
                <wp:simplePos x="0" y="0"/>
                <wp:positionH relativeFrom="page">
                  <wp:posOffset>457200</wp:posOffset>
                </wp:positionH>
                <wp:positionV relativeFrom="paragraph">
                  <wp:posOffset>-91249</wp:posOffset>
                </wp:positionV>
                <wp:extent cx="495300" cy="254000"/>
                <wp:effectExtent l="0" t="0" r="0" b="0"/>
                <wp:wrapNone/>
                <wp:docPr id="759" name="Textbox 759"/>
                <wp:cNvGraphicFramePr>
                  <a:graphicFrameLocks/>
                </wp:cNvGraphicFramePr>
                <a:graphic>
                  <a:graphicData uri="http://schemas.microsoft.com/office/word/2010/wordprocessingShape">
                    <wps:wsp>
                      <wps:cNvPr id="759" name="Textbox 759"/>
                      <wps:cNvSpPr txBox="1"/>
                      <wps:spPr>
                        <a:xfrm>
                          <a:off x="0" y="0"/>
                          <a:ext cx="495300" cy="254000"/>
                        </a:xfrm>
                        <a:prstGeom prst="rect">
                          <a:avLst/>
                        </a:prstGeom>
                      </wps:spPr>
                      <wps:txbx>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4"/>
                                <w:w w:val="90"/>
                                <w:sz w:val="16"/>
                              </w:rPr>
                              <w:t> </w:t>
                            </w:r>
                            <w:r>
                              <w:rPr>
                                <w:rFonts w:ascii="Arial"/>
                                <w:b/>
                                <w:color w:val="FFFFFF"/>
                                <w:spacing w:val="-5"/>
                                <w:w w:val="90"/>
                                <w:sz w:val="16"/>
                              </w:rPr>
                              <w:t>3.1</w:t>
                            </w:r>
                          </w:p>
                        </w:txbxContent>
                      </wps:txbx>
                      <wps:bodyPr wrap="square" lIns="0" tIns="0" rIns="0" bIns="0" rtlCol="0">
                        <a:noAutofit/>
                      </wps:bodyPr>
                    </wps:wsp>
                  </a:graphicData>
                </a:graphic>
              </wp:anchor>
            </w:drawing>
          </mc:Choice>
          <mc:Fallback>
            <w:pict>
              <v:shape style="position:absolute;margin-left:36pt;margin-top:-7.184975pt;width:39pt;height:20pt;mso-position-horizontal-relative:page;mso-position-vertical-relative:paragraph;z-index:15750656" type="#_x0000_t202" id="docshape614" filled="false" stroked="false">
                <v:textbox inset="0,0,0,0">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4"/>
                          <w:w w:val="90"/>
                          <w:sz w:val="16"/>
                        </w:rPr>
                        <w:t> </w:t>
                      </w:r>
                      <w:r>
                        <w:rPr>
                          <w:rFonts w:ascii="Arial"/>
                          <w:b/>
                          <w:color w:val="FFFFFF"/>
                          <w:spacing w:val="-5"/>
                          <w:w w:val="90"/>
                          <w:sz w:val="16"/>
                        </w:rPr>
                        <w:t>3.1</w:t>
                      </w:r>
                    </w:p>
                  </w:txbxContent>
                </v:textbox>
                <w10:wrap type="none"/>
              </v:shape>
            </w:pict>
          </mc:Fallback>
        </mc:AlternateContent>
      </w:r>
      <w:bookmarkStart w:name="_bookmark22" w:id="25"/>
      <w:bookmarkEnd w:id="25"/>
      <w:r>
        <w:rPr/>
      </w:r>
      <w:r>
        <w:rPr>
          <w:rFonts w:ascii="Arial"/>
          <w:b/>
          <w:color w:val="FFFFFF"/>
          <w:w w:val="105"/>
          <w:sz w:val="16"/>
        </w:rPr>
        <w:t>Measuring</w:t>
      </w:r>
      <w:r>
        <w:rPr>
          <w:rFonts w:ascii="Arial"/>
          <w:b/>
          <w:color w:val="FFFFFF"/>
          <w:spacing w:val="15"/>
          <w:w w:val="105"/>
          <w:sz w:val="16"/>
        </w:rPr>
        <w:t> </w:t>
      </w:r>
      <w:r>
        <w:rPr>
          <w:rFonts w:ascii="Arial"/>
          <w:b/>
          <w:color w:val="FFFFFF"/>
          <w:w w:val="105"/>
          <w:sz w:val="16"/>
        </w:rPr>
        <w:t>performance</w:t>
      </w:r>
      <w:r>
        <w:rPr>
          <w:rFonts w:ascii="Arial"/>
          <w:b/>
          <w:color w:val="FFFFFF"/>
          <w:spacing w:val="16"/>
          <w:w w:val="105"/>
          <w:sz w:val="16"/>
        </w:rPr>
        <w:t> </w:t>
      </w:r>
      <w:r>
        <w:rPr>
          <w:rFonts w:ascii="Arial"/>
          <w:b/>
          <w:color w:val="FFFFFF"/>
          <w:w w:val="105"/>
          <w:sz w:val="16"/>
        </w:rPr>
        <w:t>using</w:t>
      </w:r>
      <w:r>
        <w:rPr>
          <w:rFonts w:ascii="Arial"/>
          <w:b/>
          <w:color w:val="FFFFFF"/>
          <w:spacing w:val="16"/>
          <w:w w:val="105"/>
          <w:sz w:val="16"/>
        </w:rPr>
        <w:t> </w:t>
      </w:r>
      <w:r>
        <w:rPr>
          <w:rFonts w:ascii="Arial"/>
          <w:b/>
          <w:color w:val="FFFFFF"/>
          <w:w w:val="105"/>
          <w:sz w:val="16"/>
        </w:rPr>
        <w:t>tracking</w:t>
      </w:r>
      <w:r>
        <w:rPr>
          <w:rFonts w:ascii="Arial"/>
          <w:b/>
          <w:color w:val="FFFFFF"/>
          <w:spacing w:val="15"/>
          <w:w w:val="105"/>
          <w:sz w:val="16"/>
        </w:rPr>
        <w:t> </w:t>
      </w:r>
      <w:r>
        <w:rPr>
          <w:rFonts w:ascii="Arial"/>
          <w:b/>
          <w:color w:val="FFFFFF"/>
          <w:w w:val="105"/>
          <w:sz w:val="16"/>
        </w:rPr>
        <w:t>indicators:</w:t>
      </w:r>
      <w:r>
        <w:rPr>
          <w:rFonts w:ascii="Arial"/>
          <w:b/>
          <w:color w:val="FFFFFF"/>
          <w:spacing w:val="16"/>
          <w:w w:val="105"/>
          <w:sz w:val="16"/>
        </w:rPr>
        <w:t> </w:t>
      </w:r>
      <w:r>
        <w:rPr>
          <w:rFonts w:ascii="Arial"/>
          <w:b/>
          <w:color w:val="FFFFFF"/>
          <w:w w:val="105"/>
          <w:sz w:val="16"/>
        </w:rPr>
        <w:t>Sources</w:t>
      </w:r>
      <w:r>
        <w:rPr>
          <w:rFonts w:ascii="Arial"/>
          <w:b/>
          <w:color w:val="FFFFFF"/>
          <w:spacing w:val="16"/>
          <w:w w:val="105"/>
          <w:sz w:val="16"/>
        </w:rPr>
        <w:t> </w:t>
      </w:r>
      <w:r>
        <w:rPr>
          <w:rFonts w:ascii="Arial"/>
          <w:b/>
          <w:color w:val="FFFFFF"/>
          <w:w w:val="105"/>
          <w:sz w:val="16"/>
        </w:rPr>
        <w:t>and</w:t>
      </w:r>
      <w:r>
        <w:rPr>
          <w:rFonts w:ascii="Arial"/>
          <w:b/>
          <w:color w:val="FFFFFF"/>
          <w:spacing w:val="16"/>
          <w:w w:val="105"/>
          <w:sz w:val="16"/>
        </w:rPr>
        <w:t> </w:t>
      </w:r>
      <w:r>
        <w:rPr>
          <w:rFonts w:ascii="Arial"/>
          <w:b/>
          <w:color w:val="FFFFFF"/>
          <w:spacing w:val="-2"/>
          <w:w w:val="105"/>
          <w:sz w:val="16"/>
        </w:rPr>
        <w:t>definitions</w:t>
      </w:r>
    </w:p>
    <w:p>
      <w:pPr>
        <w:pStyle w:val="BodyText"/>
        <w:spacing w:before="11"/>
        <w:rPr>
          <w:rFonts w:ascii="Arial"/>
          <w:b/>
          <w:sz w:val="19"/>
        </w:rPr>
      </w:pPr>
    </w:p>
    <w:p>
      <w:pPr>
        <w:spacing w:after="0"/>
        <w:rPr>
          <w:rFonts w:ascii="Arial"/>
          <w:sz w:val="19"/>
        </w:rPr>
        <w:sectPr>
          <w:headerReference w:type="even" r:id="rId73"/>
          <w:headerReference w:type="default" r:id="rId74"/>
          <w:pgSz w:w="12240" w:h="15840"/>
          <w:pgMar w:header="370" w:footer="0" w:top="560" w:bottom="740" w:left="0" w:right="540"/>
        </w:sectPr>
      </w:pPr>
    </w:p>
    <w:p>
      <w:pPr>
        <w:spacing w:line="352" w:lineRule="auto" w:before="102"/>
        <w:ind w:left="900" w:right="1" w:firstLine="0"/>
        <w:jc w:val="both"/>
        <w:rPr>
          <w:rFonts w:ascii="Arial"/>
          <w:sz w:val="10"/>
        </w:rPr>
      </w:pPr>
      <w:r>
        <w:rPr>
          <w:rFonts w:ascii="Arial"/>
          <w:color w:val="231F20"/>
          <w:sz w:val="16"/>
        </w:rPr>
        <w:t>Since the first Logistics Performance Index (LPI) in 2007, the eco- system of supply chains and logistics services has changed radi- cally,</w:t>
      </w:r>
      <w:r>
        <w:rPr>
          <w:rFonts w:ascii="Arial"/>
          <w:color w:val="231F20"/>
          <w:spacing w:val="-1"/>
          <w:sz w:val="16"/>
        </w:rPr>
        <w:t> </w:t>
      </w:r>
      <w:r>
        <w:rPr>
          <w:rFonts w:ascii="Arial"/>
          <w:color w:val="231F20"/>
          <w:sz w:val="16"/>
        </w:rPr>
        <w:t>driven</w:t>
      </w:r>
      <w:r>
        <w:rPr>
          <w:rFonts w:ascii="Arial"/>
          <w:color w:val="231F20"/>
          <w:spacing w:val="-1"/>
          <w:sz w:val="16"/>
        </w:rPr>
        <w:t> </w:t>
      </w:r>
      <w:r>
        <w:rPr>
          <w:rFonts w:ascii="Arial"/>
          <w:color w:val="231F20"/>
          <w:sz w:val="16"/>
        </w:rPr>
        <w:t>largely</w:t>
      </w:r>
      <w:r>
        <w:rPr>
          <w:rFonts w:ascii="Arial"/>
          <w:color w:val="231F20"/>
          <w:spacing w:val="-1"/>
          <w:sz w:val="16"/>
        </w:rPr>
        <w:t> </w:t>
      </w:r>
      <w:r>
        <w:rPr>
          <w:rFonts w:ascii="Arial"/>
          <w:color w:val="231F20"/>
          <w:sz w:val="16"/>
        </w:rPr>
        <w:t>by</w:t>
      </w:r>
      <w:r>
        <w:rPr>
          <w:rFonts w:ascii="Arial"/>
          <w:color w:val="231F20"/>
          <w:spacing w:val="-1"/>
          <w:sz w:val="16"/>
        </w:rPr>
        <w:t> </w:t>
      </w:r>
      <w:r>
        <w:rPr>
          <w:rFonts w:ascii="Arial"/>
          <w:color w:val="231F20"/>
          <w:sz w:val="16"/>
        </w:rPr>
        <w:t>digitalization.</w:t>
      </w:r>
      <w:r>
        <w:rPr>
          <w:rFonts w:ascii="Arial"/>
          <w:color w:val="231F20"/>
          <w:spacing w:val="-1"/>
          <w:sz w:val="16"/>
        </w:rPr>
        <w:t> </w:t>
      </w:r>
      <w:r>
        <w:rPr>
          <w:rFonts w:ascii="Arial"/>
          <w:color w:val="231F20"/>
          <w:sz w:val="16"/>
        </w:rPr>
        <w:t>Through</w:t>
      </w:r>
      <w:r>
        <w:rPr>
          <w:rFonts w:ascii="Arial"/>
          <w:color w:val="231F20"/>
          <w:spacing w:val="-1"/>
          <w:sz w:val="16"/>
        </w:rPr>
        <w:t> </w:t>
      </w:r>
      <w:r>
        <w:rPr>
          <w:rFonts w:ascii="Arial"/>
          <w:color w:val="231F20"/>
          <w:sz w:val="16"/>
        </w:rPr>
        <w:t>this</w:t>
      </w:r>
      <w:r>
        <w:rPr>
          <w:rFonts w:ascii="Arial"/>
          <w:color w:val="231F20"/>
          <w:spacing w:val="-1"/>
          <w:sz w:val="16"/>
        </w:rPr>
        <w:t> </w:t>
      </w:r>
      <w:r>
        <w:rPr>
          <w:rFonts w:ascii="Arial"/>
          <w:color w:val="231F20"/>
          <w:sz w:val="16"/>
        </w:rPr>
        <w:t>process,</w:t>
      </w:r>
      <w:r>
        <w:rPr>
          <w:rFonts w:ascii="Arial"/>
          <w:color w:val="231F20"/>
          <w:spacing w:val="-1"/>
          <w:sz w:val="16"/>
        </w:rPr>
        <w:t> </w:t>
      </w:r>
      <w:r>
        <w:rPr>
          <w:rFonts w:ascii="Arial"/>
          <w:color w:val="231F20"/>
          <w:sz w:val="16"/>
        </w:rPr>
        <w:t>efficient, timely,</w:t>
      </w:r>
      <w:r>
        <w:rPr>
          <w:rFonts w:ascii="Arial"/>
          <w:color w:val="231F20"/>
          <w:spacing w:val="-1"/>
          <w:sz w:val="16"/>
        </w:rPr>
        <w:t> </w:t>
      </w:r>
      <w:r>
        <w:rPr>
          <w:rFonts w:ascii="Arial"/>
          <w:color w:val="231F20"/>
          <w:sz w:val="16"/>
        </w:rPr>
        <w:t>and</w:t>
      </w:r>
      <w:r>
        <w:rPr>
          <w:rFonts w:ascii="Arial"/>
          <w:color w:val="231F20"/>
          <w:spacing w:val="-1"/>
          <w:sz w:val="16"/>
        </w:rPr>
        <w:t> </w:t>
      </w:r>
      <w:r>
        <w:rPr>
          <w:rFonts w:ascii="Arial"/>
          <w:color w:val="231F20"/>
          <w:sz w:val="16"/>
        </w:rPr>
        <w:t>accurate</w:t>
      </w:r>
      <w:r>
        <w:rPr>
          <w:rFonts w:ascii="Arial"/>
          <w:color w:val="231F20"/>
          <w:spacing w:val="-1"/>
          <w:sz w:val="16"/>
        </w:rPr>
        <w:t> </w:t>
      </w:r>
      <w:r>
        <w:rPr>
          <w:rFonts w:ascii="Arial"/>
          <w:color w:val="231F20"/>
          <w:sz w:val="16"/>
        </w:rPr>
        <w:t>digitized</w:t>
      </w:r>
      <w:r>
        <w:rPr>
          <w:rFonts w:ascii="Arial"/>
          <w:color w:val="231F20"/>
          <w:spacing w:val="-1"/>
          <w:sz w:val="16"/>
        </w:rPr>
        <w:t> </w:t>
      </w:r>
      <w:r>
        <w:rPr>
          <w:rFonts w:ascii="Arial"/>
          <w:color w:val="231F20"/>
          <w:sz w:val="16"/>
        </w:rPr>
        <w:t>data</w:t>
      </w:r>
      <w:r>
        <w:rPr>
          <w:rFonts w:ascii="Arial"/>
          <w:color w:val="231F20"/>
          <w:spacing w:val="-1"/>
          <w:sz w:val="16"/>
        </w:rPr>
        <w:t> </w:t>
      </w:r>
      <w:r>
        <w:rPr>
          <w:rFonts w:ascii="Arial"/>
          <w:color w:val="231F20"/>
          <w:sz w:val="16"/>
        </w:rPr>
        <w:t>have</w:t>
      </w:r>
      <w:r>
        <w:rPr>
          <w:rFonts w:ascii="Arial"/>
          <w:color w:val="231F20"/>
          <w:spacing w:val="-1"/>
          <w:sz w:val="16"/>
        </w:rPr>
        <w:t> </w:t>
      </w:r>
      <w:r>
        <w:rPr>
          <w:rFonts w:ascii="Arial"/>
          <w:color w:val="231F20"/>
          <w:sz w:val="16"/>
        </w:rPr>
        <w:t>been</w:t>
      </w:r>
      <w:r>
        <w:rPr>
          <w:rFonts w:ascii="Arial"/>
          <w:color w:val="231F20"/>
          <w:spacing w:val="-1"/>
          <w:sz w:val="16"/>
        </w:rPr>
        <w:t> </w:t>
      </w:r>
      <w:r>
        <w:rPr>
          <w:rFonts w:ascii="Arial"/>
          <w:color w:val="231F20"/>
          <w:sz w:val="16"/>
        </w:rPr>
        <w:t>translated</w:t>
      </w:r>
      <w:r>
        <w:rPr>
          <w:rFonts w:ascii="Arial"/>
          <w:color w:val="231F20"/>
          <w:spacing w:val="-1"/>
          <w:sz w:val="16"/>
        </w:rPr>
        <w:t> </w:t>
      </w:r>
      <w:r>
        <w:rPr>
          <w:rFonts w:ascii="Arial"/>
          <w:color w:val="231F20"/>
          <w:sz w:val="16"/>
        </w:rPr>
        <w:t>into</w:t>
      </w:r>
      <w:r>
        <w:rPr>
          <w:rFonts w:ascii="Arial"/>
          <w:color w:val="231F20"/>
          <w:spacing w:val="-1"/>
          <w:sz w:val="16"/>
        </w:rPr>
        <w:t> </w:t>
      </w:r>
      <w:r>
        <w:rPr>
          <w:rFonts w:ascii="Arial"/>
          <w:color w:val="231F20"/>
          <w:sz w:val="16"/>
        </w:rPr>
        <w:t>knowl- edge that helps create highly interconnected, transparent, and flex- ible supply chain systems. The shift has improved operational ef- ficiency and reduced costs across supply chains.</w:t>
      </w:r>
      <w:r>
        <w:rPr>
          <w:rFonts w:ascii="Arial"/>
          <w:color w:val="231F20"/>
          <w:position w:val="5"/>
          <w:sz w:val="10"/>
        </w:rPr>
        <w:t>39</w:t>
      </w:r>
    </w:p>
    <w:p>
      <w:pPr>
        <w:spacing w:line="352" w:lineRule="auto" w:before="0"/>
        <w:ind w:left="900" w:right="0" w:firstLine="300"/>
        <w:jc w:val="both"/>
        <w:rPr>
          <w:rFonts w:ascii="Arial"/>
          <w:sz w:val="16"/>
        </w:rPr>
      </w:pPr>
      <w:r>
        <w:rPr>
          <w:rFonts w:ascii="Arial"/>
          <w:color w:val="231F20"/>
          <w:sz w:val="16"/>
        </w:rPr>
        <w:t>Digitalizing supply chain operations generates granular high- frequency</w:t>
      </w:r>
      <w:r>
        <w:rPr>
          <w:rFonts w:ascii="Arial"/>
          <w:color w:val="231F20"/>
          <w:spacing w:val="-3"/>
          <w:sz w:val="16"/>
        </w:rPr>
        <w:t> </w:t>
      </w:r>
      <w:r>
        <w:rPr>
          <w:rFonts w:ascii="Arial"/>
          <w:color w:val="231F20"/>
          <w:sz w:val="16"/>
        </w:rPr>
        <w:t>datasets</w:t>
      </w:r>
      <w:r>
        <w:rPr>
          <w:rFonts w:ascii="Arial"/>
          <w:color w:val="231F20"/>
          <w:spacing w:val="-3"/>
          <w:sz w:val="16"/>
        </w:rPr>
        <w:t> </w:t>
      </w:r>
      <w:r>
        <w:rPr>
          <w:rFonts w:ascii="Arial"/>
          <w:color w:val="231F20"/>
          <w:sz w:val="16"/>
        </w:rPr>
        <w:t>by</w:t>
      </w:r>
      <w:r>
        <w:rPr>
          <w:rFonts w:ascii="Arial"/>
          <w:color w:val="231F20"/>
          <w:spacing w:val="-3"/>
          <w:sz w:val="16"/>
        </w:rPr>
        <w:t> </w:t>
      </w:r>
      <w:r>
        <w:rPr>
          <w:rFonts w:ascii="Arial"/>
          <w:color w:val="231F20"/>
          <w:sz w:val="16"/>
        </w:rPr>
        <w:t>recording</w:t>
      </w:r>
      <w:r>
        <w:rPr>
          <w:rFonts w:ascii="Arial"/>
          <w:color w:val="231F20"/>
          <w:spacing w:val="-3"/>
          <w:sz w:val="16"/>
        </w:rPr>
        <w:t> </w:t>
      </w:r>
      <w:r>
        <w:rPr>
          <w:rFonts w:ascii="Arial"/>
          <w:color w:val="231F20"/>
          <w:sz w:val="16"/>
        </w:rPr>
        <w:t>data</w:t>
      </w:r>
      <w:r>
        <w:rPr>
          <w:rFonts w:ascii="Arial"/>
          <w:color w:val="231F20"/>
          <w:spacing w:val="-3"/>
          <w:sz w:val="16"/>
        </w:rPr>
        <w:t> </w:t>
      </w:r>
      <w:r>
        <w:rPr>
          <w:rFonts w:ascii="Arial"/>
          <w:color w:val="231F20"/>
          <w:sz w:val="16"/>
        </w:rPr>
        <w:t>at</w:t>
      </w:r>
      <w:r>
        <w:rPr>
          <w:rFonts w:ascii="Arial"/>
          <w:color w:val="231F20"/>
          <w:spacing w:val="-3"/>
          <w:sz w:val="16"/>
        </w:rPr>
        <w:t> </w:t>
      </w:r>
      <w:r>
        <w:rPr>
          <w:rFonts w:ascii="Arial"/>
          <w:color w:val="231F20"/>
          <w:sz w:val="16"/>
        </w:rPr>
        <w:t>each</w:t>
      </w:r>
      <w:r>
        <w:rPr>
          <w:rFonts w:ascii="Arial"/>
          <w:color w:val="231F20"/>
          <w:spacing w:val="-3"/>
          <w:sz w:val="16"/>
        </w:rPr>
        <w:t> </w:t>
      </w:r>
      <w:r>
        <w:rPr>
          <w:rFonts w:ascii="Arial"/>
          <w:color w:val="231F20"/>
          <w:sz w:val="16"/>
        </w:rPr>
        <w:t>step</w:t>
      </w:r>
      <w:r>
        <w:rPr>
          <w:rFonts w:ascii="Arial"/>
          <w:color w:val="231F20"/>
          <w:spacing w:val="-3"/>
          <w:sz w:val="16"/>
        </w:rPr>
        <w:t> </w:t>
      </w:r>
      <w:r>
        <w:rPr>
          <w:rFonts w:ascii="Arial"/>
          <w:color w:val="231F20"/>
          <w:sz w:val="16"/>
        </w:rPr>
        <w:t>in</w:t>
      </w:r>
      <w:r>
        <w:rPr>
          <w:rFonts w:ascii="Arial"/>
          <w:color w:val="231F20"/>
          <w:spacing w:val="-3"/>
          <w:sz w:val="16"/>
        </w:rPr>
        <w:t> </w:t>
      </w:r>
      <w:r>
        <w:rPr>
          <w:rFonts w:ascii="Arial"/>
          <w:color w:val="231F20"/>
          <w:sz w:val="16"/>
        </w:rPr>
        <w:t>a</w:t>
      </w:r>
      <w:r>
        <w:rPr>
          <w:rFonts w:ascii="Arial"/>
          <w:color w:val="231F20"/>
          <w:spacing w:val="-3"/>
          <w:sz w:val="16"/>
        </w:rPr>
        <w:t> </w:t>
      </w:r>
      <w:r>
        <w:rPr>
          <w:rFonts w:ascii="Arial"/>
          <w:color w:val="231F20"/>
          <w:sz w:val="16"/>
        </w:rPr>
        <w:t>supply</w:t>
      </w:r>
      <w:r>
        <w:rPr>
          <w:rFonts w:ascii="Arial"/>
          <w:color w:val="231F20"/>
          <w:spacing w:val="-3"/>
          <w:sz w:val="16"/>
        </w:rPr>
        <w:t> </w:t>
      </w:r>
      <w:r>
        <w:rPr>
          <w:rFonts w:ascii="Arial"/>
          <w:color w:val="231F20"/>
          <w:sz w:val="16"/>
        </w:rPr>
        <w:t>chain process (box figure). This Big Data approach also brings new busi- ness opportunities (relevant for the private sector) and analytical applications</w:t>
      </w:r>
      <w:r>
        <w:rPr>
          <w:rFonts w:ascii="Arial"/>
          <w:color w:val="231F20"/>
          <w:spacing w:val="-2"/>
          <w:sz w:val="16"/>
        </w:rPr>
        <w:t> </w:t>
      </w:r>
      <w:r>
        <w:rPr>
          <w:rFonts w:ascii="Arial"/>
          <w:color w:val="231F20"/>
          <w:sz w:val="16"/>
        </w:rPr>
        <w:t>(relevant</w:t>
      </w:r>
      <w:r>
        <w:rPr>
          <w:rFonts w:ascii="Arial"/>
          <w:color w:val="231F20"/>
          <w:spacing w:val="-2"/>
          <w:sz w:val="16"/>
        </w:rPr>
        <w:t> </w:t>
      </w:r>
      <w:r>
        <w:rPr>
          <w:rFonts w:ascii="Arial"/>
          <w:color w:val="231F20"/>
          <w:sz w:val="16"/>
        </w:rPr>
        <w:t>for</w:t>
      </w:r>
      <w:r>
        <w:rPr>
          <w:rFonts w:ascii="Arial"/>
          <w:color w:val="231F20"/>
          <w:spacing w:val="-2"/>
          <w:sz w:val="16"/>
        </w:rPr>
        <w:t> </w:t>
      </w:r>
      <w:r>
        <w:rPr>
          <w:rFonts w:ascii="Arial"/>
          <w:color w:val="231F20"/>
          <w:sz w:val="16"/>
        </w:rPr>
        <w:t>both</w:t>
      </w:r>
      <w:r>
        <w:rPr>
          <w:rFonts w:ascii="Arial"/>
          <w:color w:val="231F20"/>
          <w:spacing w:val="-2"/>
          <w:sz w:val="16"/>
        </w:rPr>
        <w:t> </w:t>
      </w:r>
      <w:r>
        <w:rPr>
          <w:rFonts w:ascii="Arial"/>
          <w:color w:val="231F20"/>
          <w:sz w:val="16"/>
        </w:rPr>
        <w:t>the</w:t>
      </w:r>
      <w:r>
        <w:rPr>
          <w:rFonts w:ascii="Arial"/>
          <w:color w:val="231F20"/>
          <w:spacing w:val="-2"/>
          <w:sz w:val="16"/>
        </w:rPr>
        <w:t> </w:t>
      </w:r>
      <w:r>
        <w:rPr>
          <w:rFonts w:ascii="Arial"/>
          <w:color w:val="231F20"/>
          <w:sz w:val="16"/>
        </w:rPr>
        <w:t>private</w:t>
      </w:r>
      <w:r>
        <w:rPr>
          <w:rFonts w:ascii="Arial"/>
          <w:color w:val="231F20"/>
          <w:spacing w:val="-2"/>
          <w:sz w:val="16"/>
        </w:rPr>
        <w:t> </w:t>
      </w:r>
      <w:r>
        <w:rPr>
          <w:rFonts w:ascii="Arial"/>
          <w:color w:val="231F20"/>
          <w:sz w:val="16"/>
        </w:rPr>
        <w:t>and</w:t>
      </w:r>
      <w:r>
        <w:rPr>
          <w:rFonts w:ascii="Arial"/>
          <w:color w:val="231F20"/>
          <w:spacing w:val="-2"/>
          <w:sz w:val="16"/>
        </w:rPr>
        <w:t> </w:t>
      </w:r>
      <w:r>
        <w:rPr>
          <w:rFonts w:ascii="Arial"/>
          <w:color w:val="231F20"/>
          <w:sz w:val="16"/>
        </w:rPr>
        <w:t>public</w:t>
      </w:r>
      <w:r>
        <w:rPr>
          <w:rFonts w:ascii="Arial"/>
          <w:color w:val="231F20"/>
          <w:spacing w:val="-2"/>
          <w:sz w:val="16"/>
        </w:rPr>
        <w:t> </w:t>
      </w:r>
      <w:r>
        <w:rPr>
          <w:rFonts w:ascii="Arial"/>
          <w:color w:val="231F20"/>
          <w:sz w:val="16"/>
        </w:rPr>
        <w:t>sectors),</w:t>
      </w:r>
      <w:r>
        <w:rPr>
          <w:rFonts w:ascii="Arial"/>
          <w:color w:val="231F20"/>
          <w:spacing w:val="-2"/>
          <w:sz w:val="16"/>
        </w:rPr>
        <w:t> </w:t>
      </w:r>
      <w:r>
        <w:rPr>
          <w:rFonts w:ascii="Arial"/>
          <w:color w:val="231F20"/>
          <w:sz w:val="16"/>
        </w:rPr>
        <w:t>which push technological innovation further.</w:t>
      </w:r>
    </w:p>
    <w:p>
      <w:pPr>
        <w:spacing w:line="352" w:lineRule="auto" w:before="0"/>
        <w:ind w:left="900" w:right="0" w:firstLine="300"/>
        <w:jc w:val="both"/>
        <w:rPr>
          <w:rFonts w:ascii="Arial" w:hAnsi="Arial"/>
          <w:sz w:val="16"/>
        </w:rPr>
      </w:pPr>
      <w:r>
        <w:rPr>
          <w:rFonts w:ascii="Arial" w:hAnsi="Arial"/>
          <w:color w:val="231F20"/>
          <w:sz w:val="16"/>
        </w:rPr>
        <w:t>The raw data consist of timestamps of events—such as arrival, departure, loading, and unloading—localized by the United Na-</w:t>
      </w:r>
      <w:r>
        <w:rPr>
          <w:rFonts w:ascii="Arial" w:hAnsi="Arial"/>
          <w:color w:val="231F20"/>
          <w:spacing w:val="40"/>
          <w:sz w:val="16"/>
        </w:rPr>
        <w:t> </w:t>
      </w:r>
      <w:r>
        <w:rPr>
          <w:rFonts w:ascii="Arial" w:hAnsi="Arial"/>
          <w:color w:val="231F20"/>
          <w:sz w:val="16"/>
        </w:rPr>
        <w:t>tions Code for Trade and Transport Locations (representing ports, airports, and other facilities). Container trips start with an empty container being sent for stuffing by the exporter and finish with the return of the empty container by the importer. Aviation and postal data have a similar structure, albeit with fewer steps and fewer modal options.</w:t>
      </w:r>
    </w:p>
    <w:p>
      <w:pPr>
        <w:spacing w:line="352" w:lineRule="auto" w:before="0"/>
        <w:ind w:left="900" w:right="0" w:firstLine="300"/>
        <w:jc w:val="both"/>
        <w:rPr>
          <w:rFonts w:ascii="Arial"/>
          <w:sz w:val="16"/>
        </w:rPr>
      </w:pPr>
      <w:r>
        <w:rPr>
          <w:rFonts w:ascii="Arial"/>
          <w:color w:val="231F20"/>
          <w:sz w:val="16"/>
        </w:rPr>
        <w:t>To</w:t>
      </w:r>
      <w:r>
        <w:rPr>
          <w:rFonts w:ascii="Arial"/>
          <w:color w:val="231F20"/>
          <w:spacing w:val="-1"/>
          <w:sz w:val="16"/>
        </w:rPr>
        <w:t> </w:t>
      </w:r>
      <w:r>
        <w:rPr>
          <w:rFonts w:ascii="Arial"/>
          <w:color w:val="231F20"/>
          <w:sz w:val="16"/>
        </w:rPr>
        <w:t>construct</w:t>
      </w:r>
      <w:r>
        <w:rPr>
          <w:rFonts w:ascii="Arial"/>
          <w:color w:val="231F20"/>
          <w:spacing w:val="-1"/>
          <w:sz w:val="16"/>
        </w:rPr>
        <w:t> </w:t>
      </w:r>
      <w:r>
        <w:rPr>
          <w:rFonts w:ascii="Arial"/>
          <w:color w:val="231F20"/>
          <w:sz w:val="16"/>
        </w:rPr>
        <w:t>a</w:t>
      </w:r>
      <w:r>
        <w:rPr>
          <w:rFonts w:ascii="Arial"/>
          <w:color w:val="231F20"/>
          <w:spacing w:val="-1"/>
          <w:sz w:val="16"/>
        </w:rPr>
        <w:t> </w:t>
      </w:r>
      <w:r>
        <w:rPr>
          <w:rFonts w:ascii="Arial"/>
          <w:color w:val="231F20"/>
          <w:sz w:val="16"/>
        </w:rPr>
        <w:t>new</w:t>
      </w:r>
      <w:r>
        <w:rPr>
          <w:rFonts w:ascii="Arial"/>
          <w:color w:val="231F20"/>
          <w:spacing w:val="-1"/>
          <w:sz w:val="16"/>
        </w:rPr>
        <w:t> </w:t>
      </w:r>
      <w:r>
        <w:rPr>
          <w:rFonts w:ascii="Arial"/>
          <w:color w:val="231F20"/>
          <w:sz w:val="16"/>
        </w:rPr>
        <w:t>set</w:t>
      </w:r>
      <w:r>
        <w:rPr>
          <w:rFonts w:ascii="Arial"/>
          <w:color w:val="231F20"/>
          <w:spacing w:val="-1"/>
          <w:sz w:val="16"/>
        </w:rPr>
        <w:t> </w:t>
      </w:r>
      <w:r>
        <w:rPr>
          <w:rFonts w:ascii="Arial"/>
          <w:color w:val="231F20"/>
          <w:sz w:val="16"/>
        </w:rPr>
        <w:t>of</w:t>
      </w:r>
      <w:r>
        <w:rPr>
          <w:rFonts w:ascii="Arial"/>
          <w:color w:val="231F20"/>
          <w:spacing w:val="-1"/>
          <w:sz w:val="16"/>
        </w:rPr>
        <w:t> </w:t>
      </w:r>
      <w:r>
        <w:rPr>
          <w:rFonts w:ascii="Arial"/>
          <w:color w:val="231F20"/>
          <w:sz w:val="16"/>
        </w:rPr>
        <w:t>indicators</w:t>
      </w:r>
      <w:r>
        <w:rPr>
          <w:rFonts w:ascii="Arial"/>
          <w:color w:val="231F20"/>
          <w:spacing w:val="-2"/>
          <w:sz w:val="16"/>
        </w:rPr>
        <w:t> </w:t>
      </w:r>
      <w:r>
        <w:rPr>
          <w:rFonts w:ascii="Arial"/>
          <w:color w:val="231F20"/>
          <w:sz w:val="16"/>
        </w:rPr>
        <w:t>for</w:t>
      </w:r>
      <w:r>
        <w:rPr>
          <w:rFonts w:ascii="Arial"/>
          <w:color w:val="231F20"/>
          <w:spacing w:val="-2"/>
          <w:sz w:val="16"/>
        </w:rPr>
        <w:t> </w:t>
      </w:r>
      <w:r>
        <w:rPr>
          <w:rFonts w:ascii="Arial"/>
          <w:color w:val="231F20"/>
          <w:sz w:val="16"/>
        </w:rPr>
        <w:t>the</w:t>
      </w:r>
      <w:r>
        <w:rPr>
          <w:rFonts w:ascii="Arial"/>
          <w:color w:val="231F20"/>
          <w:spacing w:val="-1"/>
          <w:sz w:val="16"/>
        </w:rPr>
        <w:t> </w:t>
      </w:r>
      <w:r>
        <w:rPr>
          <w:rFonts w:ascii="Arial"/>
          <w:color w:val="231F20"/>
          <w:sz w:val="16"/>
        </w:rPr>
        <w:t>2023</w:t>
      </w:r>
      <w:r>
        <w:rPr>
          <w:rFonts w:ascii="Arial"/>
          <w:color w:val="231F20"/>
          <w:spacing w:val="-1"/>
          <w:sz w:val="16"/>
        </w:rPr>
        <w:t> </w:t>
      </w:r>
      <w:r>
        <w:rPr>
          <w:rFonts w:ascii="Arial"/>
          <w:color w:val="231F20"/>
          <w:sz w:val="16"/>
        </w:rPr>
        <w:t>LPI,</w:t>
      </w:r>
      <w:r>
        <w:rPr>
          <w:rFonts w:ascii="Arial"/>
          <w:color w:val="231F20"/>
          <w:spacing w:val="-1"/>
          <w:sz w:val="16"/>
        </w:rPr>
        <w:t> </w:t>
      </w:r>
      <w:r>
        <w:rPr>
          <w:rFonts w:ascii="Arial"/>
          <w:color w:val="231F20"/>
          <w:sz w:val="16"/>
        </w:rPr>
        <w:t>the</w:t>
      </w:r>
      <w:r>
        <w:rPr>
          <w:rFonts w:ascii="Arial"/>
          <w:color w:val="231F20"/>
          <w:spacing w:val="-1"/>
          <w:sz w:val="16"/>
        </w:rPr>
        <w:t> </w:t>
      </w:r>
      <w:r>
        <w:rPr>
          <w:rFonts w:ascii="Arial"/>
          <w:color w:val="231F20"/>
          <w:sz w:val="16"/>
        </w:rPr>
        <w:t>World Bank collaborated with external data providers. The data consist of five high-frequency micro-level datasets: deployment of container liner</w:t>
      </w:r>
      <w:r>
        <w:rPr>
          <w:rFonts w:ascii="Arial"/>
          <w:color w:val="231F20"/>
          <w:spacing w:val="-8"/>
          <w:sz w:val="16"/>
        </w:rPr>
        <w:t> </w:t>
      </w:r>
      <w:r>
        <w:rPr>
          <w:rFonts w:ascii="Arial"/>
          <w:color w:val="231F20"/>
          <w:sz w:val="16"/>
        </w:rPr>
        <w:t>shipping</w:t>
      </w:r>
      <w:r>
        <w:rPr>
          <w:rFonts w:ascii="Arial"/>
          <w:color w:val="231F20"/>
          <w:spacing w:val="-8"/>
          <w:sz w:val="16"/>
        </w:rPr>
        <w:t> </w:t>
      </w:r>
      <w:r>
        <w:rPr>
          <w:rFonts w:ascii="Arial"/>
          <w:color w:val="231F20"/>
          <w:sz w:val="16"/>
        </w:rPr>
        <w:t>service</w:t>
      </w:r>
      <w:r>
        <w:rPr>
          <w:rFonts w:ascii="Arial"/>
          <w:color w:val="231F20"/>
          <w:spacing w:val="-8"/>
          <w:sz w:val="16"/>
        </w:rPr>
        <w:t> </w:t>
      </w:r>
      <w:r>
        <w:rPr>
          <w:rFonts w:ascii="Arial"/>
          <w:color w:val="231F20"/>
          <w:sz w:val="16"/>
        </w:rPr>
        <w:t>from</w:t>
      </w:r>
      <w:r>
        <w:rPr>
          <w:rFonts w:ascii="Arial"/>
          <w:color w:val="231F20"/>
          <w:spacing w:val="-8"/>
          <w:sz w:val="16"/>
        </w:rPr>
        <w:t> </w:t>
      </w:r>
      <w:r>
        <w:rPr>
          <w:rFonts w:ascii="Arial"/>
          <w:color w:val="231F20"/>
          <w:sz w:val="16"/>
        </w:rPr>
        <w:t>MDS</w:t>
      </w:r>
      <w:r>
        <w:rPr>
          <w:rFonts w:ascii="Arial"/>
          <w:color w:val="231F20"/>
          <w:spacing w:val="-8"/>
          <w:sz w:val="16"/>
        </w:rPr>
        <w:t> </w:t>
      </w:r>
      <w:r>
        <w:rPr>
          <w:rFonts w:ascii="Arial"/>
          <w:color w:val="231F20"/>
          <w:sz w:val="16"/>
        </w:rPr>
        <w:t>Transmodal,</w:t>
      </w:r>
      <w:r>
        <w:rPr>
          <w:rFonts w:ascii="Arial"/>
          <w:color w:val="231F20"/>
          <w:spacing w:val="-8"/>
          <w:sz w:val="16"/>
        </w:rPr>
        <w:t> </w:t>
      </w:r>
      <w:r>
        <w:rPr>
          <w:rFonts w:ascii="Arial"/>
          <w:color w:val="231F20"/>
          <w:sz w:val="16"/>
        </w:rPr>
        <w:t>air</w:t>
      </w:r>
      <w:r>
        <w:rPr>
          <w:rFonts w:ascii="Arial"/>
          <w:color w:val="231F20"/>
          <w:spacing w:val="-8"/>
          <w:sz w:val="16"/>
        </w:rPr>
        <w:t> </w:t>
      </w:r>
      <w:r>
        <w:rPr>
          <w:rFonts w:ascii="Arial"/>
          <w:color w:val="231F20"/>
          <w:sz w:val="16"/>
        </w:rPr>
        <w:t>cargo</w:t>
      </w:r>
      <w:r>
        <w:rPr>
          <w:rFonts w:ascii="Arial"/>
          <w:color w:val="231F20"/>
          <w:spacing w:val="-8"/>
          <w:sz w:val="16"/>
        </w:rPr>
        <w:t> </w:t>
      </w:r>
      <w:r>
        <w:rPr>
          <w:rFonts w:ascii="Arial"/>
          <w:color w:val="231F20"/>
          <w:sz w:val="16"/>
        </w:rPr>
        <w:t>tracking</w:t>
      </w:r>
      <w:r>
        <w:rPr>
          <w:rFonts w:ascii="Arial"/>
          <w:color w:val="231F20"/>
          <w:spacing w:val="-8"/>
          <w:sz w:val="16"/>
        </w:rPr>
        <w:t> </w:t>
      </w:r>
      <w:r>
        <w:rPr>
          <w:rFonts w:ascii="Arial"/>
          <w:color w:val="231F20"/>
          <w:sz w:val="16"/>
        </w:rPr>
        <w:t>from Cargo iQ (supported by the International Air Transport Associa- tion), flow of international parcels from the Universal Postal Union, granular information on consignment activities from TradeLens for containerized</w:t>
      </w:r>
      <w:r>
        <w:rPr>
          <w:rFonts w:ascii="Arial"/>
          <w:color w:val="231F20"/>
          <w:spacing w:val="20"/>
          <w:sz w:val="16"/>
        </w:rPr>
        <w:t> </w:t>
      </w:r>
      <w:r>
        <w:rPr>
          <w:rFonts w:ascii="Arial"/>
          <w:color w:val="231F20"/>
          <w:sz w:val="16"/>
        </w:rPr>
        <w:t>trade,</w:t>
      </w:r>
      <w:r>
        <w:rPr>
          <w:rFonts w:ascii="Arial"/>
          <w:color w:val="231F20"/>
          <w:spacing w:val="21"/>
          <w:sz w:val="16"/>
        </w:rPr>
        <w:t> </w:t>
      </w:r>
      <w:r>
        <w:rPr>
          <w:rFonts w:ascii="Arial"/>
          <w:color w:val="231F20"/>
          <w:sz w:val="16"/>
        </w:rPr>
        <w:t>and</w:t>
      </w:r>
      <w:r>
        <w:rPr>
          <w:rFonts w:ascii="Arial"/>
          <w:color w:val="231F20"/>
          <w:spacing w:val="20"/>
          <w:sz w:val="16"/>
        </w:rPr>
        <w:t> </w:t>
      </w:r>
      <w:r>
        <w:rPr>
          <w:rFonts w:ascii="Arial"/>
          <w:color w:val="231F20"/>
          <w:sz w:val="16"/>
        </w:rPr>
        <w:t>worldwide</w:t>
      </w:r>
      <w:r>
        <w:rPr>
          <w:rFonts w:ascii="Arial"/>
          <w:color w:val="231F20"/>
          <w:spacing w:val="21"/>
          <w:sz w:val="16"/>
        </w:rPr>
        <w:t> </w:t>
      </w:r>
      <w:r>
        <w:rPr>
          <w:rFonts w:ascii="Arial"/>
          <w:color w:val="231F20"/>
          <w:sz w:val="16"/>
        </w:rPr>
        <w:t>container</w:t>
      </w:r>
      <w:r>
        <w:rPr>
          <w:rFonts w:ascii="Arial"/>
          <w:color w:val="231F20"/>
          <w:spacing w:val="20"/>
          <w:sz w:val="16"/>
        </w:rPr>
        <w:t> </w:t>
      </w:r>
      <w:r>
        <w:rPr>
          <w:rFonts w:ascii="Arial"/>
          <w:color w:val="231F20"/>
          <w:sz w:val="16"/>
        </w:rPr>
        <w:t>ship</w:t>
      </w:r>
      <w:r>
        <w:rPr>
          <w:rFonts w:ascii="Arial"/>
          <w:color w:val="231F20"/>
          <w:spacing w:val="21"/>
          <w:sz w:val="16"/>
        </w:rPr>
        <w:t> </w:t>
      </w:r>
      <w:r>
        <w:rPr>
          <w:rFonts w:ascii="Arial"/>
          <w:color w:val="231F20"/>
          <w:sz w:val="16"/>
        </w:rPr>
        <w:t>port</w:t>
      </w:r>
      <w:r>
        <w:rPr>
          <w:rFonts w:ascii="Arial"/>
          <w:color w:val="231F20"/>
          <w:spacing w:val="20"/>
          <w:sz w:val="16"/>
        </w:rPr>
        <w:t> </w:t>
      </w:r>
      <w:r>
        <w:rPr>
          <w:rFonts w:ascii="Arial"/>
          <w:color w:val="231F20"/>
          <w:sz w:val="16"/>
        </w:rPr>
        <w:t>calls</w:t>
      </w:r>
      <w:r>
        <w:rPr>
          <w:rFonts w:ascii="Arial"/>
          <w:color w:val="231F20"/>
          <w:spacing w:val="21"/>
          <w:sz w:val="16"/>
        </w:rPr>
        <w:t> </w:t>
      </w:r>
      <w:r>
        <w:rPr>
          <w:rFonts w:ascii="Arial"/>
          <w:color w:val="231F20"/>
          <w:spacing w:val="-4"/>
          <w:sz w:val="16"/>
        </w:rPr>
        <w:t>from</w:t>
      </w:r>
    </w:p>
    <w:p>
      <w:pPr>
        <w:spacing w:line="352" w:lineRule="auto" w:before="102"/>
        <w:ind w:left="318" w:right="838" w:firstLine="0"/>
        <w:jc w:val="both"/>
        <w:rPr>
          <w:rFonts w:ascii="Arial"/>
          <w:sz w:val="16"/>
        </w:rPr>
      </w:pPr>
      <w:r>
        <w:rPr/>
        <w:br w:type="column"/>
      </w:r>
      <w:r>
        <w:rPr>
          <w:rFonts w:ascii="Arial"/>
          <w:color w:val="231F20"/>
          <w:sz w:val="16"/>
        </w:rPr>
        <w:t>an Automatic Identification System data provider (MarineTraffic) (box table 1).</w:t>
      </w:r>
    </w:p>
    <w:p>
      <w:pPr>
        <w:spacing w:line="352" w:lineRule="auto" w:before="0"/>
        <w:ind w:left="318" w:right="837" w:firstLine="300"/>
        <w:jc w:val="both"/>
        <w:rPr>
          <w:rFonts w:ascii="Arial"/>
          <w:sz w:val="16"/>
        </w:rPr>
      </w:pPr>
      <w:r>
        <w:rPr>
          <w:rFonts w:ascii="Arial"/>
          <w:color w:val="231F20"/>
          <w:sz w:val="16"/>
        </w:rPr>
        <w:t>These tracking data are exhaustive for long distance interna- tional trade and cover container trade, air cargo, and parcels but exclude bulk shipping. While the data are global in scope, they are less representative of intraregional trade due to the lack of cover- age of road and rail transport. High-precision tracking systems</w:t>
      </w:r>
      <w:r>
        <w:rPr>
          <w:rFonts w:ascii="Arial"/>
          <w:color w:val="231F20"/>
          <w:spacing w:val="80"/>
          <w:sz w:val="16"/>
        </w:rPr>
        <w:t> </w:t>
      </w:r>
      <w:r>
        <w:rPr>
          <w:rFonts w:ascii="Arial"/>
          <w:color w:val="231F20"/>
          <w:sz w:val="16"/>
        </w:rPr>
        <w:t>exist</w:t>
      </w:r>
      <w:r>
        <w:rPr>
          <w:rFonts w:ascii="Arial"/>
          <w:color w:val="231F20"/>
          <w:spacing w:val="24"/>
          <w:sz w:val="16"/>
        </w:rPr>
        <w:t> </w:t>
      </w:r>
      <w:r>
        <w:rPr>
          <w:rFonts w:ascii="Arial"/>
          <w:color w:val="231F20"/>
          <w:sz w:val="16"/>
        </w:rPr>
        <w:t>for trucks</w:t>
      </w:r>
      <w:r>
        <w:rPr>
          <w:rFonts w:ascii="Arial"/>
          <w:color w:val="231F20"/>
          <w:spacing w:val="24"/>
          <w:sz w:val="16"/>
        </w:rPr>
        <w:t> </w:t>
      </w:r>
      <w:r>
        <w:rPr>
          <w:rFonts w:ascii="Arial"/>
          <w:color w:val="231F20"/>
          <w:sz w:val="16"/>
        </w:rPr>
        <w:t>and</w:t>
      </w:r>
      <w:r>
        <w:rPr>
          <w:rFonts w:ascii="Arial"/>
          <w:color w:val="231F20"/>
          <w:spacing w:val="24"/>
          <w:sz w:val="16"/>
        </w:rPr>
        <w:t> </w:t>
      </w:r>
      <w:r>
        <w:rPr>
          <w:rFonts w:ascii="Arial"/>
          <w:color w:val="231F20"/>
          <w:sz w:val="16"/>
        </w:rPr>
        <w:t>freight</w:t>
      </w:r>
      <w:r>
        <w:rPr>
          <w:rFonts w:ascii="Arial"/>
          <w:color w:val="231F20"/>
          <w:spacing w:val="24"/>
          <w:sz w:val="16"/>
        </w:rPr>
        <w:t> </w:t>
      </w:r>
      <w:r>
        <w:rPr>
          <w:rFonts w:ascii="Arial"/>
          <w:color w:val="231F20"/>
          <w:sz w:val="16"/>
        </w:rPr>
        <w:t>trains</w:t>
      </w:r>
      <w:r>
        <w:rPr>
          <w:rFonts w:ascii="Arial"/>
          <w:color w:val="231F20"/>
          <w:spacing w:val="24"/>
          <w:sz w:val="16"/>
        </w:rPr>
        <w:t> </w:t>
      </w:r>
      <w:r>
        <w:rPr>
          <w:rFonts w:ascii="Arial"/>
          <w:color w:val="231F20"/>
          <w:sz w:val="16"/>
        </w:rPr>
        <w:t>at</w:t>
      </w:r>
      <w:r>
        <w:rPr>
          <w:rFonts w:ascii="Arial"/>
          <w:color w:val="231F20"/>
          <w:spacing w:val="24"/>
          <w:sz w:val="16"/>
        </w:rPr>
        <w:t> </w:t>
      </w:r>
      <w:r>
        <w:rPr>
          <w:rFonts w:ascii="Arial"/>
          <w:color w:val="231F20"/>
          <w:sz w:val="16"/>
        </w:rPr>
        <w:t>the</w:t>
      </w:r>
      <w:r>
        <w:rPr>
          <w:rFonts w:ascii="Arial"/>
          <w:color w:val="231F20"/>
          <w:spacing w:val="24"/>
          <w:sz w:val="16"/>
        </w:rPr>
        <w:t> </w:t>
      </w:r>
      <w:r>
        <w:rPr>
          <w:rFonts w:ascii="Arial"/>
          <w:color w:val="231F20"/>
          <w:sz w:val="16"/>
        </w:rPr>
        <w:t>country or regional</w:t>
      </w:r>
      <w:r>
        <w:rPr>
          <w:rFonts w:ascii="Arial"/>
          <w:color w:val="231F20"/>
          <w:spacing w:val="24"/>
          <w:sz w:val="16"/>
        </w:rPr>
        <w:t> </w:t>
      </w:r>
      <w:r>
        <w:rPr>
          <w:rFonts w:ascii="Arial"/>
          <w:color w:val="231F20"/>
          <w:sz w:val="16"/>
        </w:rPr>
        <w:t>level, but</w:t>
      </w:r>
      <w:r>
        <w:rPr>
          <w:rFonts w:ascii="Arial"/>
          <w:color w:val="231F20"/>
          <w:spacing w:val="22"/>
          <w:sz w:val="16"/>
        </w:rPr>
        <w:t> </w:t>
      </w:r>
      <w:r>
        <w:rPr>
          <w:rFonts w:ascii="Arial"/>
          <w:color w:val="231F20"/>
          <w:sz w:val="16"/>
        </w:rPr>
        <w:t>without</w:t>
      </w:r>
      <w:r>
        <w:rPr>
          <w:rFonts w:ascii="Arial"/>
          <w:color w:val="231F20"/>
          <w:spacing w:val="22"/>
          <w:sz w:val="16"/>
        </w:rPr>
        <w:t> </w:t>
      </w:r>
      <w:r>
        <w:rPr>
          <w:rFonts w:ascii="Arial"/>
          <w:color w:val="231F20"/>
          <w:sz w:val="16"/>
        </w:rPr>
        <w:t>a</w:t>
      </w:r>
      <w:r>
        <w:rPr>
          <w:rFonts w:ascii="Arial"/>
          <w:color w:val="231F20"/>
          <w:spacing w:val="22"/>
          <w:sz w:val="16"/>
        </w:rPr>
        <w:t> </w:t>
      </w:r>
      <w:r>
        <w:rPr>
          <w:rFonts w:ascii="Arial"/>
          <w:color w:val="231F20"/>
          <w:sz w:val="16"/>
        </w:rPr>
        <w:t>global</w:t>
      </w:r>
      <w:r>
        <w:rPr>
          <w:rFonts w:ascii="Arial"/>
          <w:color w:val="231F20"/>
          <w:spacing w:val="22"/>
          <w:sz w:val="16"/>
        </w:rPr>
        <w:t> </w:t>
      </w:r>
      <w:r>
        <w:rPr>
          <w:rFonts w:ascii="Arial"/>
          <w:color w:val="231F20"/>
          <w:sz w:val="16"/>
        </w:rPr>
        <w:t>repository,</w:t>
      </w:r>
      <w:r>
        <w:rPr>
          <w:rFonts w:ascii="Arial"/>
          <w:color w:val="231F20"/>
          <w:spacing w:val="22"/>
          <w:sz w:val="16"/>
        </w:rPr>
        <w:t> </w:t>
      </w:r>
      <w:r>
        <w:rPr>
          <w:rFonts w:ascii="Arial"/>
          <w:color w:val="231F20"/>
          <w:sz w:val="16"/>
        </w:rPr>
        <w:t>these</w:t>
      </w:r>
      <w:r>
        <w:rPr>
          <w:rFonts w:ascii="Arial"/>
          <w:color w:val="231F20"/>
          <w:spacing w:val="22"/>
          <w:sz w:val="16"/>
        </w:rPr>
        <w:t> </w:t>
      </w:r>
      <w:r>
        <w:rPr>
          <w:rFonts w:ascii="Arial"/>
          <w:color w:val="231F20"/>
          <w:sz w:val="16"/>
        </w:rPr>
        <w:t>modes</w:t>
      </w:r>
      <w:r>
        <w:rPr>
          <w:rFonts w:ascii="Arial"/>
          <w:color w:val="231F20"/>
          <w:spacing w:val="22"/>
          <w:sz w:val="16"/>
        </w:rPr>
        <w:t> </w:t>
      </w:r>
      <w:r>
        <w:rPr>
          <w:rFonts w:ascii="Arial"/>
          <w:color w:val="231F20"/>
          <w:sz w:val="16"/>
        </w:rPr>
        <w:t>cannot</w:t>
      </w:r>
      <w:r>
        <w:rPr>
          <w:rFonts w:ascii="Arial"/>
          <w:color w:val="231F20"/>
          <w:spacing w:val="22"/>
          <w:sz w:val="16"/>
        </w:rPr>
        <w:t> </w:t>
      </w:r>
      <w:r>
        <w:rPr>
          <w:rFonts w:ascii="Arial"/>
          <w:color w:val="231F20"/>
          <w:sz w:val="16"/>
        </w:rPr>
        <w:t>be</w:t>
      </w:r>
      <w:r>
        <w:rPr>
          <w:rFonts w:ascii="Arial"/>
          <w:color w:val="231F20"/>
          <w:spacing w:val="22"/>
          <w:sz w:val="16"/>
        </w:rPr>
        <w:t> </w:t>
      </w:r>
      <w:r>
        <w:rPr>
          <w:rFonts w:ascii="Arial"/>
          <w:color w:val="231F20"/>
          <w:sz w:val="16"/>
        </w:rPr>
        <w:t>analyzed in the same way as the others. Yet corridor performance informa- tion is available from container tracking data to and from inland destinations,</w:t>
      </w:r>
      <w:r>
        <w:rPr>
          <w:rFonts w:ascii="Arial"/>
          <w:color w:val="231F20"/>
          <w:spacing w:val="40"/>
          <w:sz w:val="16"/>
        </w:rPr>
        <w:t> </w:t>
      </w:r>
      <w:r>
        <w:rPr>
          <w:rFonts w:ascii="Arial"/>
          <w:color w:val="231F20"/>
          <w:sz w:val="16"/>
        </w:rPr>
        <w:t>which</w:t>
      </w:r>
      <w:r>
        <w:rPr>
          <w:rFonts w:ascii="Arial"/>
          <w:color w:val="231F20"/>
          <w:spacing w:val="40"/>
          <w:sz w:val="16"/>
        </w:rPr>
        <w:t> </w:t>
      </w:r>
      <w:r>
        <w:rPr>
          <w:rFonts w:ascii="Arial"/>
          <w:color w:val="231F20"/>
          <w:sz w:val="16"/>
        </w:rPr>
        <w:t>represents</w:t>
      </w:r>
      <w:r>
        <w:rPr>
          <w:rFonts w:ascii="Arial"/>
          <w:color w:val="231F20"/>
          <w:spacing w:val="40"/>
          <w:sz w:val="16"/>
        </w:rPr>
        <w:t> </w:t>
      </w:r>
      <w:r>
        <w:rPr>
          <w:rFonts w:ascii="Arial"/>
          <w:color w:val="231F20"/>
          <w:sz w:val="16"/>
        </w:rPr>
        <w:t>the</w:t>
      </w:r>
      <w:r>
        <w:rPr>
          <w:rFonts w:ascii="Arial"/>
          <w:color w:val="231F20"/>
          <w:spacing w:val="40"/>
          <w:sz w:val="16"/>
        </w:rPr>
        <w:t> </w:t>
      </w:r>
      <w:r>
        <w:rPr>
          <w:rFonts w:ascii="Arial"/>
          <w:color w:val="231F20"/>
          <w:sz w:val="16"/>
        </w:rPr>
        <w:t>trade</w:t>
      </w:r>
      <w:r>
        <w:rPr>
          <w:rFonts w:ascii="Arial"/>
          <w:color w:val="231F20"/>
          <w:spacing w:val="40"/>
          <w:sz w:val="16"/>
        </w:rPr>
        <w:t> </w:t>
      </w:r>
      <w:r>
        <w:rPr>
          <w:rFonts w:ascii="Arial"/>
          <w:color w:val="231F20"/>
          <w:sz w:val="16"/>
        </w:rPr>
        <w:t>of</w:t>
      </w:r>
      <w:r>
        <w:rPr>
          <w:rFonts w:ascii="Arial"/>
          <w:color w:val="231F20"/>
          <w:spacing w:val="40"/>
          <w:sz w:val="16"/>
        </w:rPr>
        <w:t> </w:t>
      </w:r>
      <w:r>
        <w:rPr>
          <w:rFonts w:ascii="Arial"/>
          <w:color w:val="231F20"/>
          <w:sz w:val="16"/>
        </w:rPr>
        <w:t>landlocked</w:t>
      </w:r>
      <w:r>
        <w:rPr>
          <w:rFonts w:ascii="Arial"/>
          <w:color w:val="231F20"/>
          <w:spacing w:val="40"/>
          <w:sz w:val="16"/>
        </w:rPr>
        <w:t> </w:t>
      </w:r>
      <w:r>
        <w:rPr>
          <w:rFonts w:ascii="Arial"/>
          <w:color w:val="231F20"/>
          <w:sz w:val="16"/>
        </w:rPr>
        <w:t>develop- ing countries.</w:t>
      </w:r>
    </w:p>
    <w:p>
      <w:pPr>
        <w:spacing w:line="352" w:lineRule="auto" w:before="0"/>
        <w:ind w:left="318" w:right="837" w:firstLine="300"/>
        <w:jc w:val="both"/>
        <w:rPr>
          <w:rFonts w:ascii="Arial"/>
          <w:sz w:val="16"/>
        </w:rPr>
      </w:pPr>
      <w:r>
        <w:rPr>
          <w:rFonts w:ascii="Arial"/>
          <w:color w:val="231F20"/>
          <w:sz w:val="16"/>
        </w:rPr>
        <w:t>The key performance indicators focus on the major aspects of the data that are important from an international trade perspective: dwell time (delays experienced at the same</w:t>
      </w:r>
      <w:r>
        <w:rPr>
          <w:rFonts w:ascii="Arial"/>
          <w:color w:val="231F20"/>
          <w:spacing w:val="-1"/>
          <w:sz w:val="16"/>
        </w:rPr>
        <w:t> </w:t>
      </w:r>
      <w:r>
        <w:rPr>
          <w:rFonts w:ascii="Arial"/>
          <w:color w:val="231F20"/>
          <w:sz w:val="16"/>
        </w:rPr>
        <w:t>place, such as at ports, airports, and inland facilities), connectivity information (such as the number</w:t>
      </w:r>
      <w:r>
        <w:rPr>
          <w:rFonts w:ascii="Arial"/>
          <w:color w:val="231F20"/>
          <w:spacing w:val="-6"/>
          <w:sz w:val="16"/>
        </w:rPr>
        <w:t> </w:t>
      </w:r>
      <w:r>
        <w:rPr>
          <w:rFonts w:ascii="Arial"/>
          <w:color w:val="231F20"/>
          <w:sz w:val="16"/>
        </w:rPr>
        <w:t>of</w:t>
      </w:r>
      <w:r>
        <w:rPr>
          <w:rFonts w:ascii="Arial"/>
          <w:color w:val="231F20"/>
          <w:spacing w:val="-6"/>
          <w:sz w:val="16"/>
        </w:rPr>
        <w:t> </w:t>
      </w:r>
      <w:r>
        <w:rPr>
          <w:rFonts w:ascii="Arial"/>
          <w:color w:val="231F20"/>
          <w:sz w:val="16"/>
        </w:rPr>
        <w:t>international</w:t>
      </w:r>
      <w:r>
        <w:rPr>
          <w:rFonts w:ascii="Arial"/>
          <w:color w:val="231F20"/>
          <w:spacing w:val="-6"/>
          <w:sz w:val="16"/>
        </w:rPr>
        <w:t> </w:t>
      </w:r>
      <w:r>
        <w:rPr>
          <w:rFonts w:ascii="Arial"/>
          <w:color w:val="231F20"/>
          <w:sz w:val="16"/>
        </w:rPr>
        <w:t>connections</w:t>
      </w:r>
      <w:r>
        <w:rPr>
          <w:rFonts w:ascii="Arial"/>
          <w:color w:val="231F20"/>
          <w:spacing w:val="-6"/>
          <w:sz w:val="16"/>
        </w:rPr>
        <w:t> </w:t>
      </w:r>
      <w:r>
        <w:rPr>
          <w:rFonts w:ascii="Arial"/>
          <w:color w:val="231F20"/>
          <w:sz w:val="16"/>
        </w:rPr>
        <w:t>at</w:t>
      </w:r>
      <w:r>
        <w:rPr>
          <w:rFonts w:ascii="Arial"/>
          <w:color w:val="231F20"/>
          <w:spacing w:val="-6"/>
          <w:sz w:val="16"/>
        </w:rPr>
        <w:t> </w:t>
      </w:r>
      <w:r>
        <w:rPr>
          <w:rFonts w:ascii="Arial"/>
          <w:color w:val="231F20"/>
          <w:sz w:val="16"/>
        </w:rPr>
        <w:t>the</w:t>
      </w:r>
      <w:r>
        <w:rPr>
          <w:rFonts w:ascii="Arial"/>
          <w:color w:val="231F20"/>
          <w:spacing w:val="-6"/>
          <w:sz w:val="16"/>
        </w:rPr>
        <w:t> </w:t>
      </w:r>
      <w:r>
        <w:rPr>
          <w:rFonts w:ascii="Arial"/>
          <w:color w:val="231F20"/>
          <w:sz w:val="16"/>
        </w:rPr>
        <w:t>origin</w:t>
      </w:r>
      <w:r>
        <w:rPr>
          <w:rFonts w:ascii="Arial"/>
          <w:color w:val="231F20"/>
          <w:spacing w:val="-6"/>
          <w:sz w:val="16"/>
        </w:rPr>
        <w:t> </w:t>
      </w:r>
      <w:r>
        <w:rPr>
          <w:rFonts w:ascii="Arial"/>
          <w:color w:val="231F20"/>
          <w:sz w:val="16"/>
        </w:rPr>
        <w:t>for</w:t>
      </w:r>
      <w:r>
        <w:rPr>
          <w:rFonts w:ascii="Arial"/>
          <w:color w:val="231F20"/>
          <w:spacing w:val="-6"/>
          <w:sz w:val="16"/>
        </w:rPr>
        <w:t> </w:t>
      </w:r>
      <w:r>
        <w:rPr>
          <w:rFonts w:ascii="Arial"/>
          <w:color w:val="231F20"/>
          <w:sz w:val="16"/>
        </w:rPr>
        <w:t>a</w:t>
      </w:r>
      <w:r>
        <w:rPr>
          <w:rFonts w:ascii="Arial"/>
          <w:color w:val="231F20"/>
          <w:spacing w:val="-6"/>
          <w:sz w:val="16"/>
        </w:rPr>
        <w:t> </w:t>
      </w:r>
      <w:r>
        <w:rPr>
          <w:rFonts w:ascii="Arial"/>
          <w:color w:val="231F20"/>
          <w:sz w:val="16"/>
        </w:rPr>
        <w:t>given</w:t>
      </w:r>
      <w:r>
        <w:rPr>
          <w:rFonts w:ascii="Arial"/>
          <w:color w:val="231F20"/>
          <w:spacing w:val="-6"/>
          <w:sz w:val="16"/>
        </w:rPr>
        <w:t> </w:t>
      </w:r>
      <w:r>
        <w:rPr>
          <w:rFonts w:ascii="Arial"/>
          <w:color w:val="231F20"/>
          <w:sz w:val="16"/>
        </w:rPr>
        <w:t>destina- tion), and trade corridor lead time (time differences between events at different locations) (box table 2; see appendix 4 for information</w:t>
      </w:r>
      <w:r>
        <w:rPr>
          <w:rFonts w:ascii="Arial"/>
          <w:color w:val="231F20"/>
          <w:spacing w:val="40"/>
          <w:sz w:val="16"/>
        </w:rPr>
        <w:t> </w:t>
      </w:r>
      <w:r>
        <w:rPr>
          <w:rFonts w:ascii="Arial"/>
          <w:color w:val="231F20"/>
          <w:sz w:val="16"/>
        </w:rPr>
        <w:t>on the source of data and indicator definitions).</w:t>
      </w:r>
    </w:p>
    <w:p>
      <w:pPr>
        <w:tabs>
          <w:tab w:pos="4302" w:val="left" w:leader="none"/>
        </w:tabs>
        <w:spacing w:line="352" w:lineRule="auto" w:before="0"/>
        <w:ind w:left="318" w:right="837" w:firstLine="300"/>
        <w:jc w:val="both"/>
        <w:rPr>
          <w:rFonts w:ascii="Arial" w:hAnsi="Arial"/>
          <w:i/>
          <w:sz w:val="16"/>
        </w:rPr>
      </w:pPr>
      <w:r>
        <w:rPr>
          <w:rFonts w:ascii="Arial" w:hAnsi="Arial"/>
          <w:color w:val="231F20"/>
          <w:sz w:val="16"/>
        </w:rPr>
        <w:t>The objective of the 2023 LPI is to provide an example of how these detailed micro-data can be used to measure performance, complement existing data including the “classic” LPI, offer policy- relevant insights, and give information to operators on their options for bringing goods to destination. There is scope to extend the ex- ercise to include a broader range of performance indicators and to inform future research that moves beyond measuring trade times only</w:t>
      </w:r>
      <w:r>
        <w:rPr>
          <w:rFonts w:ascii="Arial" w:hAnsi="Arial"/>
          <w:color w:val="231F20"/>
          <w:spacing w:val="2"/>
          <w:sz w:val="16"/>
        </w:rPr>
        <w:t> </w:t>
      </w:r>
      <w:r>
        <w:rPr>
          <w:rFonts w:ascii="Arial" w:hAnsi="Arial"/>
          <w:color w:val="231F20"/>
          <w:sz w:val="16"/>
        </w:rPr>
        <w:t>by</w:t>
      </w:r>
      <w:r>
        <w:rPr>
          <w:rFonts w:ascii="Arial" w:hAnsi="Arial"/>
          <w:color w:val="231F20"/>
          <w:spacing w:val="3"/>
          <w:sz w:val="16"/>
        </w:rPr>
        <w:t> </w:t>
      </w:r>
      <w:r>
        <w:rPr>
          <w:rFonts w:ascii="Arial" w:hAnsi="Arial"/>
          <w:color w:val="231F20"/>
          <w:sz w:val="16"/>
        </w:rPr>
        <w:t>averages</w:t>
      </w:r>
      <w:r>
        <w:rPr>
          <w:rFonts w:ascii="Arial" w:hAnsi="Arial"/>
          <w:color w:val="231F20"/>
          <w:spacing w:val="3"/>
          <w:sz w:val="16"/>
        </w:rPr>
        <w:t> </w:t>
      </w:r>
      <w:r>
        <w:rPr>
          <w:rFonts w:ascii="Arial" w:hAnsi="Arial"/>
          <w:color w:val="231F20"/>
          <w:sz w:val="16"/>
        </w:rPr>
        <w:t>or</w:t>
      </w:r>
      <w:r>
        <w:rPr>
          <w:rFonts w:ascii="Arial" w:hAnsi="Arial"/>
          <w:color w:val="231F20"/>
          <w:spacing w:val="3"/>
          <w:sz w:val="16"/>
        </w:rPr>
        <w:t> </w:t>
      </w:r>
      <w:r>
        <w:rPr>
          <w:rFonts w:ascii="Arial" w:hAnsi="Arial"/>
          <w:color w:val="231F20"/>
          <w:spacing w:val="-2"/>
          <w:sz w:val="16"/>
        </w:rPr>
        <w:t>medians.</w:t>
      </w:r>
      <w:r>
        <w:rPr>
          <w:rFonts w:ascii="Arial" w:hAnsi="Arial"/>
          <w:color w:val="231F20"/>
          <w:sz w:val="16"/>
        </w:rPr>
        <w:tab/>
      </w:r>
      <w:r>
        <w:rPr>
          <w:rFonts w:ascii="Arial" w:hAnsi="Arial"/>
          <w:i/>
          <w:color w:val="231F20"/>
          <w:spacing w:val="-2"/>
          <w:sz w:val="16"/>
        </w:rPr>
        <w:t>(continued)</w:t>
      </w:r>
    </w:p>
    <w:p>
      <w:pPr>
        <w:spacing w:after="0" w:line="352" w:lineRule="auto"/>
        <w:jc w:val="both"/>
        <w:rPr>
          <w:rFonts w:ascii="Arial" w:hAnsi="Arial"/>
          <w:sz w:val="16"/>
        </w:rPr>
        <w:sectPr>
          <w:type w:val="continuous"/>
          <w:pgSz w:w="12240" w:h="15840"/>
          <w:pgMar w:header="370" w:footer="0" w:top="1140" w:bottom="280" w:left="0" w:right="540"/>
          <w:cols w:num="2" w:equalWidth="0">
            <w:col w:w="5702" w:space="40"/>
            <w:col w:w="5958"/>
          </w:cols>
        </w:sectPr>
      </w:pPr>
    </w:p>
    <w:p>
      <w:pPr>
        <w:pStyle w:val="BodyText"/>
        <w:rPr>
          <w:rFonts w:ascii="Arial"/>
          <w:i/>
          <w:sz w:val="16"/>
        </w:rPr>
      </w:pPr>
    </w:p>
    <w:p>
      <w:pPr>
        <w:pStyle w:val="BodyText"/>
        <w:spacing w:before="148"/>
        <w:rPr>
          <w:rFonts w:ascii="Arial"/>
          <w:i/>
          <w:sz w:val="16"/>
        </w:rPr>
      </w:pPr>
    </w:p>
    <w:p>
      <w:pPr>
        <w:spacing w:before="0"/>
        <w:ind w:left="2160" w:right="0" w:firstLine="0"/>
        <w:jc w:val="left"/>
        <w:rPr>
          <w:rFonts w:ascii="Arial"/>
          <w:b/>
          <w:sz w:val="16"/>
        </w:rPr>
      </w:pPr>
      <w:r>
        <w:rPr>
          <w:rFonts w:ascii="Arial"/>
          <w:b/>
          <w:color w:val="FFFFFF"/>
          <w:w w:val="105"/>
          <w:sz w:val="16"/>
        </w:rPr>
        <w:t>Tracking</w:t>
      </w:r>
      <w:r>
        <w:rPr>
          <w:rFonts w:ascii="Arial"/>
          <w:b/>
          <w:color w:val="FFFFFF"/>
          <w:spacing w:val="-6"/>
          <w:w w:val="105"/>
          <w:sz w:val="16"/>
        </w:rPr>
        <w:t> </w:t>
      </w:r>
      <w:r>
        <w:rPr>
          <w:rFonts w:ascii="Arial"/>
          <w:b/>
          <w:color w:val="FFFFFF"/>
          <w:w w:val="105"/>
          <w:sz w:val="16"/>
        </w:rPr>
        <w:t>the</w:t>
      </w:r>
      <w:r>
        <w:rPr>
          <w:rFonts w:ascii="Arial"/>
          <w:b/>
          <w:color w:val="FFFFFF"/>
          <w:spacing w:val="-5"/>
          <w:w w:val="105"/>
          <w:sz w:val="16"/>
        </w:rPr>
        <w:t> </w:t>
      </w:r>
      <w:r>
        <w:rPr>
          <w:rFonts w:ascii="Arial"/>
          <w:b/>
          <w:color w:val="FFFFFF"/>
          <w:w w:val="105"/>
          <w:sz w:val="16"/>
        </w:rPr>
        <w:t>supply</w:t>
      </w:r>
      <w:r>
        <w:rPr>
          <w:rFonts w:ascii="Arial"/>
          <w:b/>
          <w:color w:val="FFFFFF"/>
          <w:spacing w:val="-5"/>
          <w:w w:val="105"/>
          <w:sz w:val="16"/>
        </w:rPr>
        <w:t> </w:t>
      </w:r>
      <w:r>
        <w:rPr>
          <w:rFonts w:ascii="Arial"/>
          <w:b/>
          <w:color w:val="FFFFFF"/>
          <w:w w:val="105"/>
          <w:sz w:val="16"/>
        </w:rPr>
        <w:t>chain</w:t>
      </w:r>
      <w:r>
        <w:rPr>
          <w:rFonts w:ascii="Arial"/>
          <w:b/>
          <w:color w:val="FFFFFF"/>
          <w:spacing w:val="-5"/>
          <w:w w:val="105"/>
          <w:sz w:val="16"/>
        </w:rPr>
        <w:t> </w:t>
      </w:r>
      <w:r>
        <w:rPr>
          <w:rFonts w:ascii="Arial"/>
          <w:b/>
          <w:color w:val="FFFFFF"/>
          <w:spacing w:val="-2"/>
          <w:w w:val="105"/>
          <w:sz w:val="16"/>
        </w:rPr>
        <w:t>steps</w:t>
      </w:r>
    </w:p>
    <w:p>
      <w:pPr>
        <w:pStyle w:val="BodyText"/>
        <w:spacing w:before="2"/>
        <w:rPr>
          <w:rFonts w:ascii="Arial"/>
          <w:b/>
          <w:sz w:val="15"/>
        </w:rPr>
      </w:pPr>
    </w:p>
    <w:p>
      <w:pPr>
        <w:spacing w:after="0"/>
        <w:rPr>
          <w:rFonts w:ascii="Arial"/>
          <w:sz w:val="15"/>
        </w:rPr>
        <w:sectPr>
          <w:type w:val="continuous"/>
          <w:pgSz w:w="12240" w:h="15840"/>
          <w:pgMar w:header="370" w:footer="0" w:top="1140" w:bottom="280" w:left="0" w:right="540"/>
        </w:sectPr>
      </w:pPr>
    </w:p>
    <w:p>
      <w:pPr>
        <w:spacing w:before="103"/>
        <w:ind w:left="2258" w:right="0" w:firstLine="0"/>
        <w:jc w:val="center"/>
        <w:rPr>
          <w:rFonts w:ascii="Arial"/>
          <w:b/>
          <w:sz w:val="12"/>
        </w:rPr>
      </w:pPr>
      <w:r>
        <w:rPr>
          <w:rFonts w:ascii="Arial"/>
          <w:b/>
          <w:color w:val="231F20"/>
          <w:w w:val="80"/>
          <w:sz w:val="12"/>
        </w:rPr>
        <w:t>Gate</w:t>
      </w:r>
      <w:r>
        <w:rPr>
          <w:rFonts w:ascii="Arial"/>
          <w:b/>
          <w:color w:val="231F20"/>
          <w:spacing w:val="-4"/>
          <w:sz w:val="12"/>
        </w:rPr>
        <w:t> </w:t>
      </w:r>
      <w:r>
        <w:rPr>
          <w:rFonts w:ascii="Arial"/>
          <w:b/>
          <w:color w:val="231F20"/>
          <w:w w:val="80"/>
          <w:sz w:val="12"/>
        </w:rPr>
        <w:t>out</w:t>
      </w:r>
      <w:r>
        <w:rPr>
          <w:rFonts w:ascii="Arial"/>
          <w:b/>
          <w:color w:val="231F20"/>
          <w:spacing w:val="-3"/>
          <w:sz w:val="12"/>
        </w:rPr>
        <w:t> </w:t>
      </w:r>
      <w:r>
        <w:rPr>
          <w:rFonts w:ascii="Arial"/>
          <w:b/>
          <w:color w:val="231F20"/>
          <w:spacing w:val="-2"/>
          <w:w w:val="80"/>
          <w:sz w:val="12"/>
        </w:rPr>
        <w:t>empty</w:t>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23"/>
        <w:rPr>
          <w:rFonts w:ascii="Arial"/>
          <w:b/>
          <w:sz w:val="12"/>
        </w:rPr>
      </w:pPr>
    </w:p>
    <w:p>
      <w:pPr>
        <w:spacing w:before="0"/>
        <w:ind w:left="2258" w:right="0" w:firstLine="0"/>
        <w:jc w:val="center"/>
        <w:rPr>
          <w:rFonts w:ascii="Arial"/>
          <w:b/>
          <w:sz w:val="12"/>
        </w:rPr>
      </w:pPr>
      <w:r>
        <w:rPr>
          <w:rFonts w:ascii="Arial"/>
          <w:b/>
          <w:color w:val="231F20"/>
          <w:w w:val="80"/>
          <w:sz w:val="12"/>
        </w:rPr>
        <w:t>Gate</w:t>
      </w:r>
      <w:r>
        <w:rPr>
          <w:rFonts w:ascii="Arial"/>
          <w:b/>
          <w:color w:val="231F20"/>
          <w:spacing w:val="-4"/>
          <w:sz w:val="12"/>
        </w:rPr>
        <w:t> </w:t>
      </w:r>
      <w:r>
        <w:rPr>
          <w:rFonts w:ascii="Arial"/>
          <w:b/>
          <w:color w:val="231F20"/>
          <w:w w:val="80"/>
          <w:sz w:val="12"/>
        </w:rPr>
        <w:t>in</w:t>
      </w:r>
      <w:r>
        <w:rPr>
          <w:rFonts w:ascii="Arial"/>
          <w:b/>
          <w:color w:val="231F20"/>
          <w:spacing w:val="-3"/>
          <w:sz w:val="12"/>
        </w:rPr>
        <w:t> </w:t>
      </w:r>
      <w:r>
        <w:rPr>
          <w:rFonts w:ascii="Arial"/>
          <w:b/>
          <w:color w:val="231F20"/>
          <w:spacing w:val="-4"/>
          <w:w w:val="80"/>
          <w:sz w:val="12"/>
        </w:rPr>
        <w:t>full</w:t>
      </w:r>
    </w:p>
    <w:p>
      <w:pPr>
        <w:spacing w:line="240" w:lineRule="auto" w:before="0"/>
        <w:rPr>
          <w:rFonts w:ascii="Arial"/>
          <w:b/>
          <w:sz w:val="12"/>
        </w:rPr>
      </w:pPr>
      <w:r>
        <w:rPr/>
        <w:br w:type="column"/>
      </w:r>
      <w:r>
        <w:rPr>
          <w:rFonts w:ascii="Arial"/>
          <w:b/>
          <w:sz w:val="12"/>
        </w:rPr>
      </w:r>
    </w:p>
    <w:p>
      <w:pPr>
        <w:pStyle w:val="BodyText"/>
        <w:spacing w:before="82"/>
        <w:rPr>
          <w:rFonts w:ascii="Arial"/>
          <w:b/>
          <w:sz w:val="12"/>
        </w:rPr>
      </w:pPr>
    </w:p>
    <w:p>
      <w:pPr>
        <w:pStyle w:val="ListParagraph"/>
        <w:numPr>
          <w:ilvl w:val="0"/>
          <w:numId w:val="12"/>
        </w:numPr>
        <w:tabs>
          <w:tab w:pos="475" w:val="left" w:leader="none"/>
        </w:tabs>
        <w:spacing w:line="240" w:lineRule="auto" w:before="0" w:after="0"/>
        <w:ind w:left="475" w:right="0" w:hanging="119"/>
        <w:jc w:val="left"/>
        <w:rPr>
          <w:sz w:val="12"/>
        </w:rPr>
      </w:pPr>
      <w:r>
        <w:rPr>
          <w:color w:val="231F20"/>
          <w:w w:val="80"/>
          <w:sz w:val="12"/>
        </w:rPr>
        <w:t>Gate</w:t>
      </w:r>
      <w:r>
        <w:rPr>
          <w:color w:val="231F20"/>
          <w:spacing w:val="-6"/>
          <w:sz w:val="12"/>
        </w:rPr>
        <w:t> </w:t>
      </w:r>
      <w:r>
        <w:rPr>
          <w:color w:val="231F20"/>
          <w:w w:val="80"/>
          <w:sz w:val="12"/>
        </w:rPr>
        <w:t>out</w:t>
      </w:r>
      <w:r>
        <w:rPr>
          <w:color w:val="231F20"/>
          <w:spacing w:val="-6"/>
          <w:sz w:val="12"/>
        </w:rPr>
        <w:t> </w:t>
      </w:r>
      <w:r>
        <w:rPr>
          <w:color w:val="231F20"/>
          <w:spacing w:val="-2"/>
          <w:w w:val="80"/>
          <w:sz w:val="12"/>
        </w:rPr>
        <w:t>(empty)</w:t>
      </w:r>
    </w:p>
    <w:p>
      <w:pPr>
        <w:pStyle w:val="ListParagraph"/>
        <w:numPr>
          <w:ilvl w:val="0"/>
          <w:numId w:val="12"/>
        </w:numPr>
        <w:tabs>
          <w:tab w:pos="475" w:val="left" w:leader="none"/>
        </w:tabs>
        <w:spacing w:line="240" w:lineRule="auto" w:before="102" w:after="0"/>
        <w:ind w:left="475" w:right="0" w:hanging="119"/>
        <w:jc w:val="left"/>
        <w:rPr>
          <w:sz w:val="12"/>
        </w:rPr>
      </w:pPr>
      <w:r>
        <w:rPr>
          <w:color w:val="231F20"/>
          <w:w w:val="80"/>
          <w:sz w:val="12"/>
        </w:rPr>
        <w:t>Gate</w:t>
      </w:r>
      <w:r>
        <w:rPr>
          <w:color w:val="231F20"/>
          <w:spacing w:val="-6"/>
          <w:sz w:val="12"/>
        </w:rPr>
        <w:t> </w:t>
      </w:r>
      <w:r>
        <w:rPr>
          <w:color w:val="231F20"/>
          <w:w w:val="80"/>
          <w:sz w:val="12"/>
        </w:rPr>
        <w:t>in</w:t>
      </w:r>
      <w:r>
        <w:rPr>
          <w:color w:val="231F20"/>
          <w:spacing w:val="-6"/>
          <w:sz w:val="12"/>
        </w:rPr>
        <w:t> </w:t>
      </w:r>
      <w:r>
        <w:rPr>
          <w:color w:val="231F20"/>
          <w:spacing w:val="-2"/>
          <w:w w:val="80"/>
          <w:sz w:val="12"/>
        </w:rPr>
        <w:t>(full)</w:t>
      </w:r>
    </w:p>
    <w:p>
      <w:pPr>
        <w:pStyle w:val="ListParagraph"/>
        <w:numPr>
          <w:ilvl w:val="0"/>
          <w:numId w:val="12"/>
        </w:numPr>
        <w:tabs>
          <w:tab w:pos="476" w:val="left" w:leader="none"/>
        </w:tabs>
        <w:spacing w:line="278" w:lineRule="auto" w:before="102" w:after="0"/>
        <w:ind w:left="476" w:right="263" w:hanging="120"/>
        <w:jc w:val="left"/>
        <w:rPr>
          <w:sz w:val="12"/>
        </w:rPr>
      </w:pPr>
      <w:r>
        <w:rPr>
          <w:color w:val="231F20"/>
          <w:spacing w:val="-4"/>
          <w:w w:val="85"/>
          <w:sz w:val="12"/>
        </w:rPr>
        <w:t>Loaded</w:t>
      </w:r>
      <w:r>
        <w:rPr>
          <w:color w:val="231F20"/>
          <w:spacing w:val="-5"/>
          <w:sz w:val="12"/>
        </w:rPr>
        <w:t> </w:t>
      </w:r>
      <w:r>
        <w:rPr>
          <w:color w:val="231F20"/>
          <w:spacing w:val="-4"/>
          <w:w w:val="85"/>
          <w:sz w:val="12"/>
        </w:rPr>
        <w:t>on</w:t>
      </w:r>
      <w:r>
        <w:rPr>
          <w:color w:val="231F20"/>
          <w:spacing w:val="-5"/>
          <w:sz w:val="12"/>
        </w:rPr>
        <w:t> </w:t>
      </w:r>
      <w:r>
        <w:rPr>
          <w:color w:val="231F20"/>
          <w:spacing w:val="-4"/>
          <w:w w:val="85"/>
          <w:sz w:val="12"/>
        </w:rPr>
        <w:t>vessel/</w:t>
      </w:r>
      <w:r>
        <w:rPr>
          <w:color w:val="231F20"/>
          <w:spacing w:val="40"/>
          <w:sz w:val="12"/>
        </w:rPr>
        <w:t> </w:t>
      </w:r>
      <w:r>
        <w:rPr>
          <w:color w:val="231F20"/>
          <w:spacing w:val="-2"/>
          <w:w w:val="90"/>
          <w:sz w:val="12"/>
        </w:rPr>
        <w:t>Departure</w:t>
      </w:r>
    </w:p>
    <w:p>
      <w:pPr>
        <w:pStyle w:val="BodyText"/>
        <w:spacing w:before="28"/>
        <w:rPr>
          <w:rFonts w:ascii="Arial"/>
          <w:sz w:val="12"/>
        </w:rPr>
      </w:pPr>
    </w:p>
    <w:p>
      <w:pPr>
        <w:spacing w:before="0"/>
        <w:ind w:left="714" w:right="0" w:firstLine="0"/>
        <w:jc w:val="left"/>
        <w:rPr>
          <w:rFonts w:ascii="Arial"/>
          <w:b/>
          <w:sz w:val="16"/>
        </w:rPr>
      </w:pPr>
      <w:r>
        <w:rPr>
          <w:rFonts w:ascii="Arial"/>
          <w:b/>
          <w:color w:val="231F20"/>
          <w:w w:val="80"/>
          <w:sz w:val="16"/>
        </w:rPr>
        <w:t>Export</w:t>
      </w:r>
      <w:r>
        <w:rPr>
          <w:rFonts w:ascii="Arial"/>
          <w:b/>
          <w:color w:val="231F20"/>
          <w:spacing w:val="-1"/>
          <w:w w:val="85"/>
          <w:sz w:val="16"/>
        </w:rPr>
        <w:t> </w:t>
      </w:r>
      <w:r>
        <w:rPr>
          <w:rFonts w:ascii="Arial"/>
          <w:b/>
          <w:color w:val="231F20"/>
          <w:spacing w:val="-5"/>
          <w:w w:val="85"/>
          <w:sz w:val="16"/>
        </w:rPr>
        <w:t>phase</w:t>
      </w:r>
    </w:p>
    <w:p>
      <w:pPr>
        <w:pStyle w:val="BodyText"/>
        <w:spacing w:before="25"/>
        <w:rPr>
          <w:rFonts w:ascii="Arial"/>
          <w:b/>
          <w:sz w:val="16"/>
        </w:rPr>
      </w:pPr>
    </w:p>
    <w:p>
      <w:pPr>
        <w:spacing w:line="161" w:lineRule="exact" w:before="1"/>
        <w:ind w:left="240" w:right="0" w:firstLine="0"/>
        <w:jc w:val="left"/>
        <w:rPr>
          <w:rFonts w:ascii="Arial"/>
          <w:b/>
          <w:sz w:val="16"/>
        </w:rPr>
      </w:pPr>
      <w:r>
        <w:rPr>
          <w:rFonts w:ascii="Arial"/>
          <w:b/>
          <w:color w:val="008FDD"/>
          <w:spacing w:val="-2"/>
          <w:w w:val="90"/>
          <w:sz w:val="16"/>
        </w:rPr>
        <w:t>Origin</w:t>
      </w:r>
    </w:p>
    <w:p>
      <w:pPr>
        <w:spacing w:line="240" w:lineRule="auto" w:before="85"/>
        <w:rPr>
          <w:rFonts w:ascii="Arial"/>
          <w:b/>
          <w:sz w:val="16"/>
        </w:rPr>
      </w:pPr>
      <w:r>
        <w:rPr/>
        <w:br w:type="column"/>
      </w:r>
      <w:r>
        <w:rPr>
          <w:rFonts w:ascii="Arial"/>
          <w:b/>
          <w:sz w:val="16"/>
        </w:rPr>
      </w:r>
    </w:p>
    <w:p>
      <w:pPr>
        <w:spacing w:before="0"/>
        <w:ind w:left="504" w:right="0" w:firstLine="0"/>
        <w:jc w:val="center"/>
        <w:rPr>
          <w:rFonts w:ascii="Arial"/>
          <w:b/>
          <w:sz w:val="16"/>
        </w:rPr>
      </w:pPr>
      <w:r>
        <w:rPr>
          <w:rFonts w:ascii="Arial"/>
          <w:b/>
          <w:color w:val="231F20"/>
          <w:w w:val="80"/>
          <w:sz w:val="16"/>
        </w:rPr>
        <w:t>Transshipment</w:t>
      </w:r>
      <w:r>
        <w:rPr>
          <w:rFonts w:ascii="Arial"/>
          <w:b/>
          <w:color w:val="231F20"/>
          <w:spacing w:val="10"/>
          <w:sz w:val="16"/>
        </w:rPr>
        <w:t> </w:t>
      </w:r>
      <w:r>
        <w:rPr>
          <w:rFonts w:ascii="Arial"/>
          <w:b/>
          <w:color w:val="231F20"/>
          <w:spacing w:val="-5"/>
          <w:w w:val="85"/>
          <w:sz w:val="16"/>
        </w:rPr>
        <w:t>phase</w:t>
      </w:r>
    </w:p>
    <w:p>
      <w:pPr>
        <w:pStyle w:val="BodyText"/>
        <w:spacing w:before="40"/>
        <w:rPr>
          <w:rFonts w:ascii="Arial"/>
          <w:b/>
          <w:sz w:val="16"/>
        </w:rPr>
      </w:pPr>
    </w:p>
    <w:p>
      <w:pPr>
        <w:pStyle w:val="ListParagraph"/>
        <w:numPr>
          <w:ilvl w:val="1"/>
          <w:numId w:val="12"/>
        </w:numPr>
        <w:tabs>
          <w:tab w:pos="819" w:val="left" w:leader="none"/>
        </w:tabs>
        <w:spacing w:line="240" w:lineRule="auto" w:before="0" w:after="0"/>
        <w:ind w:left="819" w:right="0" w:hanging="119"/>
        <w:jc w:val="left"/>
        <w:rPr>
          <w:sz w:val="12"/>
        </w:rPr>
      </w:pPr>
      <w:r>
        <w:rPr>
          <w:color w:val="231F20"/>
          <w:spacing w:val="-2"/>
          <w:w w:val="95"/>
          <w:sz w:val="12"/>
        </w:rPr>
        <w:t>Arrival/discharge</w:t>
      </w:r>
    </w:p>
    <w:p>
      <w:pPr>
        <w:pStyle w:val="ListParagraph"/>
        <w:numPr>
          <w:ilvl w:val="1"/>
          <w:numId w:val="12"/>
        </w:numPr>
        <w:tabs>
          <w:tab w:pos="819" w:val="left" w:leader="none"/>
        </w:tabs>
        <w:spacing w:line="240" w:lineRule="auto" w:before="102" w:after="0"/>
        <w:ind w:left="819" w:right="0" w:hanging="119"/>
        <w:jc w:val="left"/>
        <w:rPr>
          <w:sz w:val="12"/>
        </w:rPr>
      </w:pPr>
      <w:r>
        <w:rPr>
          <w:color w:val="231F20"/>
          <w:spacing w:val="-2"/>
          <w:w w:val="90"/>
          <w:sz w:val="12"/>
        </w:rPr>
        <w:t>Loaded/departure</w:t>
      </w:r>
    </w:p>
    <w:p>
      <w:pPr>
        <w:pStyle w:val="BodyText"/>
        <w:spacing w:before="118"/>
        <w:rPr>
          <w:rFonts w:ascii="Arial"/>
          <w:sz w:val="12"/>
        </w:rPr>
      </w:pPr>
    </w:p>
    <w:p>
      <w:pPr>
        <w:spacing w:line="208" w:lineRule="auto" w:before="1"/>
        <w:ind w:left="558" w:right="51" w:hanging="1"/>
        <w:jc w:val="center"/>
        <w:rPr>
          <w:rFonts w:ascii="Arial"/>
          <w:sz w:val="16"/>
        </w:rPr>
      </w:pPr>
      <w:r>
        <w:rPr>
          <w:rFonts w:ascii="Arial"/>
          <w:color w:val="008FDD"/>
          <w:w w:val="95"/>
          <w:sz w:val="16"/>
        </w:rPr>
        <w:t>Location</w:t>
      </w:r>
      <w:r>
        <w:rPr>
          <w:rFonts w:ascii="Arial"/>
          <w:color w:val="008FDD"/>
          <w:spacing w:val="-9"/>
          <w:w w:val="95"/>
          <w:sz w:val="16"/>
        </w:rPr>
        <w:t> </w:t>
      </w:r>
      <w:r>
        <w:rPr>
          <w:rFonts w:ascii="Arial"/>
          <w:color w:val="008FDD"/>
          <w:w w:val="95"/>
          <w:sz w:val="16"/>
        </w:rPr>
        <w:t>is</w:t>
      </w:r>
      <w:r>
        <w:rPr>
          <w:rFonts w:ascii="Arial"/>
          <w:color w:val="008FDD"/>
          <w:spacing w:val="-9"/>
          <w:w w:val="95"/>
          <w:sz w:val="16"/>
        </w:rPr>
        <w:t> </w:t>
      </w:r>
      <w:r>
        <w:rPr>
          <w:rFonts w:ascii="Arial"/>
          <w:color w:val="008FDD"/>
          <w:w w:val="95"/>
          <w:sz w:val="16"/>
        </w:rPr>
        <w:t>neither </w:t>
      </w:r>
      <w:r>
        <w:rPr>
          <w:rFonts w:ascii="Arial"/>
          <w:color w:val="008FDD"/>
          <w:w w:val="80"/>
          <w:sz w:val="16"/>
        </w:rPr>
        <w:t>origin</w:t>
      </w:r>
      <w:r>
        <w:rPr>
          <w:rFonts w:ascii="Arial"/>
          <w:color w:val="008FDD"/>
          <w:spacing w:val="4"/>
          <w:sz w:val="16"/>
        </w:rPr>
        <w:t> </w:t>
      </w:r>
      <w:r>
        <w:rPr>
          <w:rFonts w:ascii="Arial"/>
          <w:color w:val="008FDD"/>
          <w:w w:val="80"/>
          <w:sz w:val="16"/>
        </w:rPr>
        <w:t>nor</w:t>
      </w:r>
      <w:r>
        <w:rPr>
          <w:rFonts w:ascii="Arial"/>
          <w:color w:val="008FDD"/>
          <w:spacing w:val="4"/>
          <w:sz w:val="16"/>
        </w:rPr>
        <w:t> </w:t>
      </w:r>
      <w:r>
        <w:rPr>
          <w:rFonts w:ascii="Arial"/>
          <w:color w:val="008FDD"/>
          <w:spacing w:val="-2"/>
          <w:w w:val="80"/>
          <w:sz w:val="16"/>
        </w:rPr>
        <w:t>destination</w:t>
      </w:r>
    </w:p>
    <w:p>
      <w:pPr>
        <w:spacing w:line="240" w:lineRule="auto" w:before="0"/>
        <w:rPr>
          <w:rFonts w:ascii="Arial"/>
          <w:sz w:val="12"/>
        </w:rPr>
      </w:pPr>
      <w:r>
        <w:rPr/>
        <w:br w:type="column"/>
      </w:r>
      <w:r>
        <w:rPr>
          <w:rFonts w:ascii="Arial"/>
          <w:sz w:val="12"/>
        </w:rPr>
      </w:r>
    </w:p>
    <w:p>
      <w:pPr>
        <w:pStyle w:val="BodyText"/>
        <w:rPr>
          <w:rFonts w:ascii="Arial"/>
          <w:sz w:val="12"/>
        </w:rPr>
      </w:pPr>
    </w:p>
    <w:p>
      <w:pPr>
        <w:pStyle w:val="BodyText"/>
        <w:spacing w:before="98"/>
        <w:rPr>
          <w:rFonts w:ascii="Arial"/>
          <w:sz w:val="12"/>
        </w:rPr>
      </w:pPr>
    </w:p>
    <w:p>
      <w:pPr>
        <w:pStyle w:val="ListParagraph"/>
        <w:numPr>
          <w:ilvl w:val="1"/>
          <w:numId w:val="12"/>
        </w:numPr>
        <w:tabs>
          <w:tab w:pos="843" w:val="left" w:leader="none"/>
        </w:tabs>
        <w:spacing w:line="240" w:lineRule="auto" w:before="1" w:after="0"/>
        <w:ind w:left="843" w:right="0" w:hanging="119"/>
        <w:jc w:val="left"/>
        <w:rPr>
          <w:sz w:val="12"/>
        </w:rPr>
      </w:pPr>
      <w:r>
        <w:rPr>
          <w:color w:val="231F20"/>
          <w:spacing w:val="-2"/>
          <w:w w:val="95"/>
          <w:sz w:val="12"/>
        </w:rPr>
        <w:t>Arrival/discharge</w:t>
      </w:r>
    </w:p>
    <w:p>
      <w:pPr>
        <w:pStyle w:val="ListParagraph"/>
        <w:numPr>
          <w:ilvl w:val="1"/>
          <w:numId w:val="12"/>
        </w:numPr>
        <w:tabs>
          <w:tab w:pos="843" w:val="left" w:leader="none"/>
        </w:tabs>
        <w:spacing w:line="240" w:lineRule="auto" w:before="102" w:after="0"/>
        <w:ind w:left="843" w:right="0" w:hanging="119"/>
        <w:jc w:val="left"/>
        <w:rPr>
          <w:sz w:val="12"/>
        </w:rPr>
      </w:pPr>
      <w:r>
        <w:rPr>
          <w:color w:val="231F20"/>
          <w:w w:val="80"/>
          <w:sz w:val="12"/>
        </w:rPr>
        <w:t>Gate</w:t>
      </w:r>
      <w:r>
        <w:rPr>
          <w:color w:val="231F20"/>
          <w:spacing w:val="-6"/>
          <w:sz w:val="12"/>
        </w:rPr>
        <w:t> </w:t>
      </w:r>
      <w:r>
        <w:rPr>
          <w:color w:val="231F20"/>
          <w:w w:val="80"/>
          <w:sz w:val="12"/>
        </w:rPr>
        <w:t>out</w:t>
      </w:r>
      <w:r>
        <w:rPr>
          <w:color w:val="231F20"/>
          <w:spacing w:val="-6"/>
          <w:sz w:val="12"/>
        </w:rPr>
        <w:t> </w:t>
      </w:r>
      <w:r>
        <w:rPr>
          <w:color w:val="231F20"/>
          <w:spacing w:val="-2"/>
          <w:w w:val="80"/>
          <w:sz w:val="12"/>
        </w:rPr>
        <w:t>(full)</w:t>
      </w:r>
    </w:p>
    <w:p>
      <w:pPr>
        <w:pStyle w:val="ListParagraph"/>
        <w:numPr>
          <w:ilvl w:val="1"/>
          <w:numId w:val="12"/>
        </w:numPr>
        <w:tabs>
          <w:tab w:pos="843" w:val="left" w:leader="none"/>
        </w:tabs>
        <w:spacing w:line="240" w:lineRule="auto" w:before="102" w:after="0"/>
        <w:ind w:left="843" w:right="0" w:hanging="119"/>
        <w:jc w:val="left"/>
        <w:rPr>
          <w:sz w:val="12"/>
        </w:rPr>
      </w:pPr>
      <w:r>
        <w:rPr>
          <w:color w:val="231F20"/>
          <w:w w:val="80"/>
          <w:sz w:val="12"/>
        </w:rPr>
        <w:t>Gate</w:t>
      </w:r>
      <w:r>
        <w:rPr>
          <w:color w:val="231F20"/>
          <w:spacing w:val="-6"/>
          <w:sz w:val="12"/>
        </w:rPr>
        <w:t> </w:t>
      </w:r>
      <w:r>
        <w:rPr>
          <w:color w:val="231F20"/>
          <w:w w:val="80"/>
          <w:sz w:val="12"/>
        </w:rPr>
        <w:t>in</w:t>
      </w:r>
      <w:r>
        <w:rPr>
          <w:color w:val="231F20"/>
          <w:spacing w:val="-6"/>
          <w:sz w:val="12"/>
        </w:rPr>
        <w:t> </w:t>
      </w:r>
      <w:r>
        <w:rPr>
          <w:color w:val="231F20"/>
          <w:spacing w:val="-2"/>
          <w:w w:val="80"/>
          <w:sz w:val="12"/>
        </w:rPr>
        <w:t>(empty)</w:t>
      </w:r>
    </w:p>
    <w:p>
      <w:pPr>
        <w:pStyle w:val="BodyText"/>
        <w:spacing w:before="55"/>
        <w:rPr>
          <w:rFonts w:ascii="Arial"/>
          <w:sz w:val="12"/>
        </w:rPr>
      </w:pPr>
    </w:p>
    <w:p>
      <w:pPr>
        <w:spacing w:before="0"/>
        <w:ind w:left="1076" w:right="0" w:firstLine="0"/>
        <w:jc w:val="left"/>
        <w:rPr>
          <w:rFonts w:ascii="Arial"/>
          <w:b/>
          <w:sz w:val="16"/>
        </w:rPr>
      </w:pPr>
      <w:r>
        <w:rPr>
          <w:rFonts w:ascii="Arial"/>
          <w:b/>
          <w:color w:val="231F20"/>
          <w:w w:val="80"/>
          <w:sz w:val="16"/>
        </w:rPr>
        <w:t>Import</w:t>
      </w:r>
      <w:r>
        <w:rPr>
          <w:rFonts w:ascii="Arial"/>
          <w:b/>
          <w:color w:val="231F20"/>
          <w:spacing w:val="12"/>
          <w:sz w:val="16"/>
        </w:rPr>
        <w:t> </w:t>
      </w:r>
      <w:r>
        <w:rPr>
          <w:rFonts w:ascii="Arial"/>
          <w:b/>
          <w:color w:val="231F20"/>
          <w:spacing w:val="-2"/>
          <w:w w:val="95"/>
          <w:sz w:val="16"/>
        </w:rPr>
        <w:t>phase</w:t>
      </w:r>
    </w:p>
    <w:p>
      <w:pPr>
        <w:pStyle w:val="BodyText"/>
        <w:spacing w:before="25"/>
        <w:rPr>
          <w:rFonts w:ascii="Arial"/>
          <w:b/>
          <w:sz w:val="16"/>
        </w:rPr>
      </w:pPr>
    </w:p>
    <w:p>
      <w:pPr>
        <w:spacing w:line="161" w:lineRule="exact" w:before="1"/>
        <w:ind w:left="1334" w:right="0" w:firstLine="0"/>
        <w:jc w:val="left"/>
        <w:rPr>
          <w:rFonts w:ascii="Arial"/>
          <w:b/>
          <w:sz w:val="16"/>
        </w:rPr>
      </w:pPr>
      <w:r>
        <w:rPr>
          <w:rFonts w:ascii="Arial"/>
          <w:b/>
          <w:color w:val="008FDD"/>
          <w:spacing w:val="-2"/>
          <w:w w:val="80"/>
          <w:sz w:val="16"/>
        </w:rPr>
        <w:t>Destination</w:t>
      </w:r>
    </w:p>
    <w:p>
      <w:pPr>
        <w:spacing w:before="103"/>
        <w:ind w:left="240" w:right="0" w:firstLine="0"/>
        <w:jc w:val="left"/>
        <w:rPr>
          <w:rFonts w:ascii="Arial"/>
          <w:b/>
          <w:sz w:val="12"/>
        </w:rPr>
      </w:pPr>
      <w:r>
        <w:rPr/>
        <w:br w:type="column"/>
      </w:r>
      <w:r>
        <w:rPr>
          <w:rFonts w:ascii="Arial"/>
          <w:b/>
          <w:color w:val="231F20"/>
          <w:w w:val="80"/>
          <w:sz w:val="12"/>
        </w:rPr>
        <w:t>Gate</w:t>
      </w:r>
      <w:r>
        <w:rPr>
          <w:rFonts w:ascii="Arial"/>
          <w:b/>
          <w:color w:val="231F20"/>
          <w:spacing w:val="-4"/>
          <w:sz w:val="12"/>
        </w:rPr>
        <w:t> </w:t>
      </w:r>
      <w:r>
        <w:rPr>
          <w:rFonts w:ascii="Arial"/>
          <w:b/>
          <w:color w:val="231F20"/>
          <w:w w:val="80"/>
          <w:sz w:val="12"/>
        </w:rPr>
        <w:t>in</w:t>
      </w:r>
      <w:r>
        <w:rPr>
          <w:rFonts w:ascii="Arial"/>
          <w:b/>
          <w:color w:val="231F20"/>
          <w:spacing w:val="-3"/>
          <w:sz w:val="12"/>
        </w:rPr>
        <w:t> </w:t>
      </w:r>
      <w:r>
        <w:rPr>
          <w:rFonts w:ascii="Arial"/>
          <w:b/>
          <w:color w:val="231F20"/>
          <w:spacing w:val="-2"/>
          <w:w w:val="80"/>
          <w:sz w:val="12"/>
        </w:rPr>
        <w:t>empty</w:t>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23"/>
        <w:rPr>
          <w:rFonts w:ascii="Arial"/>
          <w:b/>
          <w:sz w:val="12"/>
        </w:rPr>
      </w:pPr>
    </w:p>
    <w:p>
      <w:pPr>
        <w:spacing w:before="0"/>
        <w:ind w:left="279" w:right="0" w:firstLine="0"/>
        <w:jc w:val="left"/>
        <w:rPr>
          <w:rFonts w:ascii="Arial"/>
          <w:b/>
          <w:sz w:val="12"/>
        </w:rPr>
      </w:pPr>
      <w:r>
        <w:rPr>
          <w:rFonts w:ascii="Arial"/>
          <w:b/>
          <w:color w:val="231F20"/>
          <w:w w:val="80"/>
          <w:sz w:val="12"/>
        </w:rPr>
        <w:t>Gate</w:t>
      </w:r>
      <w:r>
        <w:rPr>
          <w:rFonts w:ascii="Arial"/>
          <w:b/>
          <w:color w:val="231F20"/>
          <w:spacing w:val="-4"/>
          <w:sz w:val="12"/>
        </w:rPr>
        <w:t> </w:t>
      </w:r>
      <w:r>
        <w:rPr>
          <w:rFonts w:ascii="Arial"/>
          <w:b/>
          <w:color w:val="231F20"/>
          <w:w w:val="80"/>
          <w:sz w:val="12"/>
        </w:rPr>
        <w:t>out</w:t>
      </w:r>
      <w:r>
        <w:rPr>
          <w:rFonts w:ascii="Arial"/>
          <w:b/>
          <w:color w:val="231F20"/>
          <w:spacing w:val="-3"/>
          <w:sz w:val="12"/>
        </w:rPr>
        <w:t> </w:t>
      </w:r>
      <w:r>
        <w:rPr>
          <w:rFonts w:ascii="Arial"/>
          <w:b/>
          <w:color w:val="231F20"/>
          <w:spacing w:val="-4"/>
          <w:w w:val="80"/>
          <w:sz w:val="12"/>
        </w:rPr>
        <w:t>full</w:t>
      </w:r>
    </w:p>
    <w:p>
      <w:pPr>
        <w:spacing w:after="0"/>
        <w:jc w:val="left"/>
        <w:rPr>
          <w:rFonts w:ascii="Arial"/>
          <w:sz w:val="12"/>
        </w:rPr>
        <w:sectPr>
          <w:type w:val="continuous"/>
          <w:pgSz w:w="12240" w:h="15840"/>
          <w:pgMar w:header="370" w:footer="0" w:top="1140" w:bottom="280" w:left="0" w:right="540"/>
          <w:cols w:num="5" w:equalWidth="0">
            <w:col w:w="2981" w:space="40"/>
            <w:col w:w="1544" w:space="39"/>
            <w:col w:w="1864" w:space="39"/>
            <w:col w:w="2057" w:space="40"/>
            <w:col w:w="3096"/>
          </w:cols>
        </w:sectPr>
      </w:pPr>
    </w:p>
    <w:p>
      <w:pPr>
        <w:tabs>
          <w:tab w:pos="3481" w:val="left" w:leader="none"/>
        </w:tabs>
        <w:spacing w:line="183" w:lineRule="exact" w:before="0"/>
        <w:ind w:left="124" w:right="0" w:firstLine="0"/>
        <w:jc w:val="center"/>
        <w:rPr>
          <w:rFonts w:ascii="Arial"/>
          <w:sz w:val="16"/>
        </w:rPr>
      </w:pPr>
      <w:r>
        <w:rPr/>
        <mc:AlternateContent>
          <mc:Choice Requires="wps">
            <w:drawing>
              <wp:anchor distT="0" distB="0" distL="0" distR="0" allowOverlap="1" layoutInCell="1" locked="0" behindDoc="1" simplePos="0" relativeHeight="466750976">
                <wp:simplePos x="0" y="0"/>
                <wp:positionH relativeFrom="page">
                  <wp:posOffset>419100</wp:posOffset>
                </wp:positionH>
                <wp:positionV relativeFrom="page">
                  <wp:posOffset>800100</wp:posOffset>
                </wp:positionV>
                <wp:extent cx="6629400" cy="8439150"/>
                <wp:effectExtent l="0" t="0" r="0" b="0"/>
                <wp:wrapNone/>
                <wp:docPr id="760" name="Group 760"/>
                <wp:cNvGraphicFramePr>
                  <a:graphicFrameLocks/>
                </wp:cNvGraphicFramePr>
                <a:graphic>
                  <a:graphicData uri="http://schemas.microsoft.com/office/word/2010/wordprocessingGroup">
                    <wpg:wgp>
                      <wpg:cNvPr id="760" name="Group 760"/>
                      <wpg:cNvGrpSpPr/>
                      <wpg:grpSpPr>
                        <a:xfrm>
                          <a:off x="0" y="0"/>
                          <a:ext cx="6629400" cy="8439150"/>
                          <a:chExt cx="6629400" cy="8439150"/>
                        </a:xfrm>
                      </wpg:grpSpPr>
                      <wps:wsp>
                        <wps:cNvPr id="761" name="Graphic 761"/>
                        <wps:cNvSpPr/>
                        <wps:spPr>
                          <a:xfrm>
                            <a:off x="19050" y="19050"/>
                            <a:ext cx="6591300" cy="8401050"/>
                          </a:xfrm>
                          <a:custGeom>
                            <a:avLst/>
                            <a:gdLst/>
                            <a:ahLst/>
                            <a:cxnLst/>
                            <a:rect l="l" t="t" r="r" b="b"/>
                            <a:pathLst>
                              <a:path w="6591300" h="8401050">
                                <a:moveTo>
                                  <a:pt x="6496050" y="0"/>
                                </a:moveTo>
                                <a:lnTo>
                                  <a:pt x="95250" y="0"/>
                                </a:lnTo>
                                <a:lnTo>
                                  <a:pt x="58212" y="7497"/>
                                </a:lnTo>
                                <a:lnTo>
                                  <a:pt x="27932" y="27932"/>
                                </a:lnTo>
                                <a:lnTo>
                                  <a:pt x="7497" y="58212"/>
                                </a:lnTo>
                                <a:lnTo>
                                  <a:pt x="0" y="95250"/>
                                </a:lnTo>
                                <a:lnTo>
                                  <a:pt x="0" y="8305800"/>
                                </a:lnTo>
                                <a:lnTo>
                                  <a:pt x="7497" y="8342837"/>
                                </a:lnTo>
                                <a:lnTo>
                                  <a:pt x="27932" y="8373117"/>
                                </a:lnTo>
                                <a:lnTo>
                                  <a:pt x="58212" y="8393552"/>
                                </a:lnTo>
                                <a:lnTo>
                                  <a:pt x="95250" y="8401050"/>
                                </a:lnTo>
                                <a:lnTo>
                                  <a:pt x="6496050" y="8401050"/>
                                </a:lnTo>
                                <a:lnTo>
                                  <a:pt x="6533087" y="8393552"/>
                                </a:lnTo>
                                <a:lnTo>
                                  <a:pt x="6563367" y="8373117"/>
                                </a:lnTo>
                                <a:lnTo>
                                  <a:pt x="6583802" y="8342837"/>
                                </a:lnTo>
                                <a:lnTo>
                                  <a:pt x="6591300" y="8305800"/>
                                </a:lnTo>
                                <a:lnTo>
                                  <a:pt x="6591300" y="95250"/>
                                </a:lnTo>
                                <a:lnTo>
                                  <a:pt x="6583802" y="58212"/>
                                </a:lnTo>
                                <a:lnTo>
                                  <a:pt x="6563367" y="27932"/>
                                </a:lnTo>
                                <a:lnTo>
                                  <a:pt x="6533087" y="7497"/>
                                </a:lnTo>
                                <a:lnTo>
                                  <a:pt x="6496050" y="0"/>
                                </a:lnTo>
                                <a:close/>
                              </a:path>
                            </a:pathLst>
                          </a:custGeom>
                          <a:solidFill>
                            <a:srgbClr val="E9F1FA"/>
                          </a:solidFill>
                        </wps:spPr>
                        <wps:bodyPr wrap="square" lIns="0" tIns="0" rIns="0" bIns="0" rtlCol="0">
                          <a:prstTxWarp prst="textNoShape">
                            <a:avLst/>
                          </a:prstTxWarp>
                          <a:noAutofit/>
                        </wps:bodyPr>
                      </wps:wsp>
                      <wps:wsp>
                        <wps:cNvPr id="762" name="Graphic 762"/>
                        <wps:cNvSpPr/>
                        <wps:spPr>
                          <a:xfrm>
                            <a:off x="152400" y="38100"/>
                            <a:ext cx="6457950" cy="254000"/>
                          </a:xfrm>
                          <a:custGeom>
                            <a:avLst/>
                            <a:gdLst/>
                            <a:ahLst/>
                            <a:cxnLst/>
                            <a:rect l="l" t="t" r="r" b="b"/>
                            <a:pathLst>
                              <a:path w="6457950" h="254000">
                                <a:moveTo>
                                  <a:pt x="6416860" y="0"/>
                                </a:moveTo>
                                <a:lnTo>
                                  <a:pt x="0" y="0"/>
                                </a:lnTo>
                                <a:lnTo>
                                  <a:pt x="0" y="254000"/>
                                </a:lnTo>
                                <a:lnTo>
                                  <a:pt x="6457950" y="254000"/>
                                </a:lnTo>
                                <a:lnTo>
                                  <a:pt x="6457950" y="76200"/>
                                </a:lnTo>
                                <a:lnTo>
                                  <a:pt x="6450453" y="39162"/>
                                </a:lnTo>
                                <a:lnTo>
                                  <a:pt x="6430022" y="8882"/>
                                </a:lnTo>
                                <a:lnTo>
                                  <a:pt x="6416860" y="0"/>
                                </a:lnTo>
                                <a:close/>
                              </a:path>
                            </a:pathLst>
                          </a:custGeom>
                          <a:solidFill>
                            <a:srgbClr val="808285"/>
                          </a:solidFill>
                        </wps:spPr>
                        <wps:bodyPr wrap="square" lIns="0" tIns="0" rIns="0" bIns="0" rtlCol="0">
                          <a:prstTxWarp prst="textNoShape">
                            <a:avLst/>
                          </a:prstTxWarp>
                          <a:noAutofit/>
                        </wps:bodyPr>
                      </wps:wsp>
                      <wps:wsp>
                        <wps:cNvPr id="763" name="Graphic 763"/>
                        <wps:cNvSpPr/>
                        <wps:spPr>
                          <a:xfrm>
                            <a:off x="546100" y="38098"/>
                            <a:ext cx="1270" cy="254635"/>
                          </a:xfrm>
                          <a:custGeom>
                            <a:avLst/>
                            <a:gdLst/>
                            <a:ahLst/>
                            <a:cxnLst/>
                            <a:rect l="l" t="t" r="r" b="b"/>
                            <a:pathLst>
                              <a:path w="0" h="254635">
                                <a:moveTo>
                                  <a:pt x="0" y="25415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764" name="Graphic 764"/>
                        <wps:cNvSpPr/>
                        <wps:spPr>
                          <a:xfrm>
                            <a:off x="38100" y="38251"/>
                            <a:ext cx="495300" cy="254000"/>
                          </a:xfrm>
                          <a:custGeom>
                            <a:avLst/>
                            <a:gdLst/>
                            <a:ahLst/>
                            <a:cxnLst/>
                            <a:rect l="l" t="t" r="r" b="b"/>
                            <a:pathLst>
                              <a:path w="495300" h="254000">
                                <a:moveTo>
                                  <a:pt x="0" y="254000"/>
                                </a:moveTo>
                                <a:lnTo>
                                  <a:pt x="495300" y="254000"/>
                                </a:lnTo>
                                <a:lnTo>
                                  <a:pt x="495300" y="0"/>
                                </a:lnTo>
                                <a:lnTo>
                                  <a:pt x="0" y="0"/>
                                </a:lnTo>
                                <a:lnTo>
                                  <a:pt x="0" y="254000"/>
                                </a:lnTo>
                                <a:close/>
                              </a:path>
                            </a:pathLst>
                          </a:custGeom>
                          <a:solidFill>
                            <a:srgbClr val="008FDD"/>
                          </a:solidFill>
                        </wps:spPr>
                        <wps:bodyPr wrap="square" lIns="0" tIns="0" rIns="0" bIns="0" rtlCol="0">
                          <a:prstTxWarp prst="textNoShape">
                            <a:avLst/>
                          </a:prstTxWarp>
                          <a:noAutofit/>
                        </wps:bodyPr>
                      </wps:wsp>
                      <wps:wsp>
                        <wps:cNvPr id="765" name="Graphic 765"/>
                        <wps:cNvSpPr/>
                        <wps:spPr>
                          <a:xfrm>
                            <a:off x="19050" y="19050"/>
                            <a:ext cx="6591300" cy="8401050"/>
                          </a:xfrm>
                          <a:custGeom>
                            <a:avLst/>
                            <a:gdLst/>
                            <a:ahLst/>
                            <a:cxnLst/>
                            <a:rect l="l" t="t" r="r" b="b"/>
                            <a:pathLst>
                              <a:path w="6591300" h="8401050">
                                <a:moveTo>
                                  <a:pt x="95250" y="0"/>
                                </a:moveTo>
                                <a:lnTo>
                                  <a:pt x="58212" y="7497"/>
                                </a:lnTo>
                                <a:lnTo>
                                  <a:pt x="27932" y="27932"/>
                                </a:lnTo>
                                <a:lnTo>
                                  <a:pt x="7497" y="58212"/>
                                </a:lnTo>
                                <a:lnTo>
                                  <a:pt x="0" y="95250"/>
                                </a:lnTo>
                                <a:lnTo>
                                  <a:pt x="0" y="8305800"/>
                                </a:lnTo>
                                <a:lnTo>
                                  <a:pt x="7497" y="8342837"/>
                                </a:lnTo>
                                <a:lnTo>
                                  <a:pt x="27932" y="8373117"/>
                                </a:lnTo>
                                <a:lnTo>
                                  <a:pt x="58212" y="8393552"/>
                                </a:lnTo>
                                <a:lnTo>
                                  <a:pt x="95250" y="8401050"/>
                                </a:lnTo>
                                <a:lnTo>
                                  <a:pt x="6496050" y="8401050"/>
                                </a:lnTo>
                                <a:lnTo>
                                  <a:pt x="6533087" y="8393552"/>
                                </a:lnTo>
                                <a:lnTo>
                                  <a:pt x="6563367" y="8373117"/>
                                </a:lnTo>
                                <a:lnTo>
                                  <a:pt x="6583802" y="8342837"/>
                                </a:lnTo>
                                <a:lnTo>
                                  <a:pt x="6591300" y="8305800"/>
                                </a:lnTo>
                                <a:lnTo>
                                  <a:pt x="6591300" y="95250"/>
                                </a:lnTo>
                                <a:lnTo>
                                  <a:pt x="6583802" y="58212"/>
                                </a:lnTo>
                                <a:lnTo>
                                  <a:pt x="6563367" y="27932"/>
                                </a:lnTo>
                                <a:lnTo>
                                  <a:pt x="6533087" y="7497"/>
                                </a:lnTo>
                                <a:lnTo>
                                  <a:pt x="64960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766" name="Graphic 766"/>
                        <wps:cNvSpPr/>
                        <wps:spPr>
                          <a:xfrm>
                            <a:off x="876399" y="5954044"/>
                            <a:ext cx="4876800" cy="2164715"/>
                          </a:xfrm>
                          <a:custGeom>
                            <a:avLst/>
                            <a:gdLst/>
                            <a:ahLst/>
                            <a:cxnLst/>
                            <a:rect l="l" t="t" r="r" b="b"/>
                            <a:pathLst>
                              <a:path w="4876800" h="2164715">
                                <a:moveTo>
                                  <a:pt x="4876800" y="0"/>
                                </a:moveTo>
                                <a:lnTo>
                                  <a:pt x="0" y="0"/>
                                </a:lnTo>
                                <a:lnTo>
                                  <a:pt x="0" y="2089505"/>
                                </a:lnTo>
                                <a:lnTo>
                                  <a:pt x="6159" y="2118603"/>
                                </a:lnTo>
                                <a:lnTo>
                                  <a:pt x="22693" y="2142364"/>
                                </a:lnTo>
                                <a:lnTo>
                                  <a:pt x="46682" y="2158383"/>
                                </a:lnTo>
                                <a:lnTo>
                                  <a:pt x="75209" y="2164257"/>
                                </a:lnTo>
                                <a:lnTo>
                                  <a:pt x="4797920" y="2164257"/>
                                </a:lnTo>
                                <a:lnTo>
                                  <a:pt x="4827020" y="2159003"/>
                                </a:lnTo>
                                <a:lnTo>
                                  <a:pt x="4852271" y="2144017"/>
                                </a:lnTo>
                                <a:lnTo>
                                  <a:pt x="4870066" y="2120463"/>
                                </a:lnTo>
                                <a:lnTo>
                                  <a:pt x="4876800" y="2089505"/>
                                </a:lnTo>
                                <a:lnTo>
                                  <a:pt x="4876800" y="0"/>
                                </a:lnTo>
                                <a:close/>
                              </a:path>
                            </a:pathLst>
                          </a:custGeom>
                          <a:solidFill>
                            <a:srgbClr val="D4E3F5"/>
                          </a:solidFill>
                        </wps:spPr>
                        <wps:bodyPr wrap="square" lIns="0" tIns="0" rIns="0" bIns="0" rtlCol="0">
                          <a:prstTxWarp prst="textNoShape">
                            <a:avLst/>
                          </a:prstTxWarp>
                          <a:noAutofit/>
                        </wps:bodyPr>
                      </wps:wsp>
                      <wps:wsp>
                        <wps:cNvPr id="767" name="Graphic 767"/>
                        <wps:cNvSpPr/>
                        <wps:spPr>
                          <a:xfrm>
                            <a:off x="876200" y="5695950"/>
                            <a:ext cx="4876800" cy="231775"/>
                          </a:xfrm>
                          <a:custGeom>
                            <a:avLst/>
                            <a:gdLst/>
                            <a:ahLst/>
                            <a:cxnLst/>
                            <a:rect l="l" t="t" r="r" b="b"/>
                            <a:pathLst>
                              <a:path w="4876800" h="231775">
                                <a:moveTo>
                                  <a:pt x="4800104" y="0"/>
                                </a:moveTo>
                                <a:lnTo>
                                  <a:pt x="76200" y="0"/>
                                </a:lnTo>
                                <a:lnTo>
                                  <a:pt x="47218" y="3058"/>
                                </a:lnTo>
                                <a:lnTo>
                                  <a:pt x="22921" y="14506"/>
                                </a:lnTo>
                                <a:lnTo>
                                  <a:pt x="6214" y="37751"/>
                                </a:lnTo>
                                <a:lnTo>
                                  <a:pt x="0" y="76200"/>
                                </a:lnTo>
                                <a:lnTo>
                                  <a:pt x="0" y="231775"/>
                                </a:lnTo>
                                <a:lnTo>
                                  <a:pt x="4876304" y="231775"/>
                                </a:lnTo>
                                <a:lnTo>
                                  <a:pt x="4876304" y="76200"/>
                                </a:lnTo>
                                <a:lnTo>
                                  <a:pt x="4870799" y="50979"/>
                                </a:lnTo>
                                <a:lnTo>
                                  <a:pt x="4855273" y="26265"/>
                                </a:lnTo>
                                <a:lnTo>
                                  <a:pt x="4831213" y="7468"/>
                                </a:lnTo>
                                <a:lnTo>
                                  <a:pt x="4800104" y="0"/>
                                </a:lnTo>
                                <a:close/>
                              </a:path>
                            </a:pathLst>
                          </a:custGeom>
                          <a:solidFill>
                            <a:srgbClr val="808285"/>
                          </a:solidFill>
                        </wps:spPr>
                        <wps:bodyPr wrap="square" lIns="0" tIns="0" rIns="0" bIns="0" rtlCol="0">
                          <a:prstTxWarp prst="textNoShape">
                            <a:avLst/>
                          </a:prstTxWarp>
                          <a:noAutofit/>
                        </wps:bodyPr>
                      </wps:wsp>
                      <wps:wsp>
                        <wps:cNvPr id="768" name="Graphic 768"/>
                        <wps:cNvSpPr/>
                        <wps:spPr>
                          <a:xfrm>
                            <a:off x="5242736" y="6317538"/>
                            <a:ext cx="300990" cy="35560"/>
                          </a:xfrm>
                          <a:custGeom>
                            <a:avLst/>
                            <a:gdLst/>
                            <a:ahLst/>
                            <a:cxnLst/>
                            <a:rect l="l" t="t" r="r" b="b"/>
                            <a:pathLst>
                              <a:path w="300990" h="35560">
                                <a:moveTo>
                                  <a:pt x="0" y="0"/>
                                </a:moveTo>
                                <a:lnTo>
                                  <a:pt x="300863" y="0"/>
                                </a:lnTo>
                                <a:lnTo>
                                  <a:pt x="300863" y="35382"/>
                                </a:lnTo>
                                <a:lnTo>
                                  <a:pt x="287832" y="35382"/>
                                </a:lnTo>
                                <a:lnTo>
                                  <a:pt x="286370" y="28271"/>
                                </a:lnTo>
                                <a:lnTo>
                                  <a:pt x="282432" y="22594"/>
                                </a:lnTo>
                                <a:lnTo>
                                  <a:pt x="276688" y="18835"/>
                                </a:lnTo>
                                <a:lnTo>
                                  <a:pt x="269811" y="17475"/>
                                </a:lnTo>
                                <a:lnTo>
                                  <a:pt x="262740" y="18835"/>
                                </a:lnTo>
                                <a:lnTo>
                                  <a:pt x="256960" y="22594"/>
                                </a:lnTo>
                                <a:lnTo>
                                  <a:pt x="252993" y="28271"/>
                                </a:lnTo>
                                <a:lnTo>
                                  <a:pt x="251358" y="35382"/>
                                </a:lnTo>
                                <a:lnTo>
                                  <a:pt x="227025" y="35382"/>
                                </a:lnTo>
                                <a:lnTo>
                                  <a:pt x="225564" y="28271"/>
                                </a:lnTo>
                                <a:lnTo>
                                  <a:pt x="221624" y="22594"/>
                                </a:lnTo>
                                <a:lnTo>
                                  <a:pt x="215870" y="18835"/>
                                </a:lnTo>
                                <a:lnTo>
                                  <a:pt x="208965" y="17475"/>
                                </a:lnTo>
                                <a:lnTo>
                                  <a:pt x="201887" y="18835"/>
                                </a:lnTo>
                                <a:lnTo>
                                  <a:pt x="196103" y="22594"/>
                                </a:lnTo>
                                <a:lnTo>
                                  <a:pt x="192135" y="28271"/>
                                </a:lnTo>
                                <a:lnTo>
                                  <a:pt x="190500" y="35382"/>
                                </a:lnTo>
                                <a:lnTo>
                                  <a:pt x="73444" y="35382"/>
                                </a:lnTo>
                                <a:lnTo>
                                  <a:pt x="73444" y="25158"/>
                                </a:lnTo>
                                <a:lnTo>
                                  <a:pt x="65493" y="17475"/>
                                </a:lnTo>
                                <a:lnTo>
                                  <a:pt x="55435" y="17475"/>
                                </a:lnTo>
                                <a:lnTo>
                                  <a:pt x="48336" y="18835"/>
                                </a:lnTo>
                                <a:lnTo>
                                  <a:pt x="42598" y="22594"/>
                                </a:lnTo>
                                <a:lnTo>
                                  <a:pt x="38761" y="28271"/>
                                </a:lnTo>
                                <a:lnTo>
                                  <a:pt x="37363" y="35382"/>
                                </a:lnTo>
                                <a:lnTo>
                                  <a:pt x="0" y="35382"/>
                                </a:lnTo>
                                <a:lnTo>
                                  <a:pt x="0" y="0"/>
                                </a:lnTo>
                                <a:close/>
                              </a:path>
                            </a:pathLst>
                          </a:custGeom>
                          <a:ln w="9525">
                            <a:solidFill>
                              <a:srgbClr val="231F20"/>
                            </a:solidFill>
                            <a:prstDash val="solid"/>
                          </a:ln>
                        </wps:spPr>
                        <wps:bodyPr wrap="square" lIns="0" tIns="0" rIns="0" bIns="0" rtlCol="0">
                          <a:prstTxWarp prst="textNoShape">
                            <a:avLst/>
                          </a:prstTxWarp>
                          <a:noAutofit/>
                        </wps:bodyPr>
                      </wps:wsp>
                      <pic:pic>
                        <pic:nvPicPr>
                          <pic:cNvPr id="769" name="Image 769"/>
                          <pic:cNvPicPr/>
                        </pic:nvPicPr>
                        <pic:blipFill>
                          <a:blip r:embed="rId75" cstate="print"/>
                          <a:stretch>
                            <a:fillRect/>
                          </a:stretch>
                        </pic:blipFill>
                        <pic:spPr>
                          <a:xfrm>
                            <a:off x="5237970" y="6182287"/>
                            <a:ext cx="330794" cy="194590"/>
                          </a:xfrm>
                          <a:prstGeom prst="rect">
                            <a:avLst/>
                          </a:prstGeom>
                        </pic:spPr>
                      </pic:pic>
                      <wps:wsp>
                        <wps:cNvPr id="770" name="Graphic 770"/>
                        <wps:cNvSpPr/>
                        <wps:spPr>
                          <a:xfrm>
                            <a:off x="5242736" y="6317538"/>
                            <a:ext cx="300990" cy="35560"/>
                          </a:xfrm>
                          <a:custGeom>
                            <a:avLst/>
                            <a:gdLst/>
                            <a:ahLst/>
                            <a:cxnLst/>
                            <a:rect l="l" t="t" r="r" b="b"/>
                            <a:pathLst>
                              <a:path w="300990" h="35560">
                                <a:moveTo>
                                  <a:pt x="0" y="0"/>
                                </a:moveTo>
                                <a:lnTo>
                                  <a:pt x="300863" y="0"/>
                                </a:lnTo>
                                <a:lnTo>
                                  <a:pt x="300863" y="35382"/>
                                </a:lnTo>
                                <a:lnTo>
                                  <a:pt x="287832" y="35382"/>
                                </a:lnTo>
                                <a:lnTo>
                                  <a:pt x="286370" y="28271"/>
                                </a:lnTo>
                                <a:lnTo>
                                  <a:pt x="282432" y="22594"/>
                                </a:lnTo>
                                <a:lnTo>
                                  <a:pt x="276688" y="18835"/>
                                </a:lnTo>
                                <a:lnTo>
                                  <a:pt x="269811" y="17475"/>
                                </a:lnTo>
                                <a:lnTo>
                                  <a:pt x="262740" y="18835"/>
                                </a:lnTo>
                                <a:lnTo>
                                  <a:pt x="256960" y="22594"/>
                                </a:lnTo>
                                <a:lnTo>
                                  <a:pt x="252993" y="28271"/>
                                </a:lnTo>
                                <a:lnTo>
                                  <a:pt x="251358" y="35382"/>
                                </a:lnTo>
                                <a:lnTo>
                                  <a:pt x="227025" y="35382"/>
                                </a:lnTo>
                                <a:lnTo>
                                  <a:pt x="225564" y="28271"/>
                                </a:lnTo>
                                <a:lnTo>
                                  <a:pt x="221624" y="22594"/>
                                </a:lnTo>
                                <a:lnTo>
                                  <a:pt x="215870" y="18835"/>
                                </a:lnTo>
                                <a:lnTo>
                                  <a:pt x="208965" y="17475"/>
                                </a:lnTo>
                                <a:lnTo>
                                  <a:pt x="201887" y="18835"/>
                                </a:lnTo>
                                <a:lnTo>
                                  <a:pt x="196103" y="22594"/>
                                </a:lnTo>
                                <a:lnTo>
                                  <a:pt x="192135" y="28271"/>
                                </a:lnTo>
                                <a:lnTo>
                                  <a:pt x="190500" y="35382"/>
                                </a:lnTo>
                                <a:lnTo>
                                  <a:pt x="73444" y="35382"/>
                                </a:lnTo>
                                <a:lnTo>
                                  <a:pt x="73444" y="25158"/>
                                </a:lnTo>
                                <a:lnTo>
                                  <a:pt x="65493" y="17475"/>
                                </a:lnTo>
                                <a:lnTo>
                                  <a:pt x="55435" y="17475"/>
                                </a:lnTo>
                                <a:lnTo>
                                  <a:pt x="48336" y="18835"/>
                                </a:lnTo>
                                <a:lnTo>
                                  <a:pt x="42598" y="22594"/>
                                </a:lnTo>
                                <a:lnTo>
                                  <a:pt x="38761" y="28271"/>
                                </a:lnTo>
                                <a:lnTo>
                                  <a:pt x="37363" y="35382"/>
                                </a:lnTo>
                                <a:lnTo>
                                  <a:pt x="0" y="35382"/>
                                </a:lnTo>
                                <a:lnTo>
                                  <a:pt x="0" y="0"/>
                                </a:lnTo>
                                <a:close/>
                              </a:path>
                            </a:pathLst>
                          </a:custGeom>
                          <a:ln w="9525">
                            <a:solidFill>
                              <a:srgbClr val="231F20"/>
                            </a:solidFill>
                            <a:prstDash val="solid"/>
                          </a:ln>
                        </wps:spPr>
                        <wps:bodyPr wrap="square" lIns="0" tIns="0" rIns="0" bIns="0" rtlCol="0">
                          <a:prstTxWarp prst="textNoShape">
                            <a:avLst/>
                          </a:prstTxWarp>
                          <a:noAutofit/>
                        </wps:bodyPr>
                      </wps:wsp>
                      <wps:wsp>
                        <wps:cNvPr id="771" name="Graphic 771"/>
                        <wps:cNvSpPr/>
                        <wps:spPr>
                          <a:xfrm>
                            <a:off x="5494101" y="6352926"/>
                            <a:ext cx="36830" cy="19685"/>
                          </a:xfrm>
                          <a:custGeom>
                            <a:avLst/>
                            <a:gdLst/>
                            <a:ahLst/>
                            <a:cxnLst/>
                            <a:rect l="l" t="t" r="r" b="b"/>
                            <a:pathLst>
                              <a:path w="36830" h="19685">
                                <a:moveTo>
                                  <a:pt x="36461" y="0"/>
                                </a:moveTo>
                                <a:lnTo>
                                  <a:pt x="36461" y="431"/>
                                </a:lnTo>
                                <a:lnTo>
                                  <a:pt x="35064" y="7675"/>
                                </a:lnTo>
                                <a:lnTo>
                                  <a:pt x="31234" y="13644"/>
                                </a:lnTo>
                                <a:lnTo>
                                  <a:pt x="25515" y="17696"/>
                                </a:lnTo>
                                <a:lnTo>
                                  <a:pt x="18453" y="19189"/>
                                </a:lnTo>
                                <a:lnTo>
                                  <a:pt x="11321" y="17696"/>
                                </a:lnTo>
                                <a:lnTo>
                                  <a:pt x="5449" y="13644"/>
                                </a:lnTo>
                                <a:lnTo>
                                  <a:pt x="1467" y="7675"/>
                                </a:lnTo>
                                <a:lnTo>
                                  <a:pt x="0" y="431"/>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772" name="Graphic 772"/>
                        <wps:cNvSpPr/>
                        <wps:spPr>
                          <a:xfrm>
                            <a:off x="5433240" y="6352926"/>
                            <a:ext cx="36830" cy="19685"/>
                          </a:xfrm>
                          <a:custGeom>
                            <a:avLst/>
                            <a:gdLst/>
                            <a:ahLst/>
                            <a:cxnLst/>
                            <a:rect l="l" t="t" r="r" b="b"/>
                            <a:pathLst>
                              <a:path w="36830" h="19685">
                                <a:moveTo>
                                  <a:pt x="36525" y="0"/>
                                </a:moveTo>
                                <a:lnTo>
                                  <a:pt x="36525" y="431"/>
                                </a:lnTo>
                                <a:lnTo>
                                  <a:pt x="35117" y="7675"/>
                                </a:lnTo>
                                <a:lnTo>
                                  <a:pt x="31267" y="13644"/>
                                </a:lnTo>
                                <a:lnTo>
                                  <a:pt x="25530" y="17696"/>
                                </a:lnTo>
                                <a:lnTo>
                                  <a:pt x="18465" y="19189"/>
                                </a:lnTo>
                                <a:lnTo>
                                  <a:pt x="11331" y="17696"/>
                                </a:lnTo>
                                <a:lnTo>
                                  <a:pt x="5456" y="13644"/>
                                </a:lnTo>
                                <a:lnTo>
                                  <a:pt x="1469" y="7675"/>
                                </a:lnTo>
                                <a:lnTo>
                                  <a:pt x="0" y="431"/>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773" name="Graphic 773"/>
                        <wps:cNvSpPr/>
                        <wps:spPr>
                          <a:xfrm>
                            <a:off x="5279650" y="6352926"/>
                            <a:ext cx="36830" cy="19685"/>
                          </a:xfrm>
                          <a:custGeom>
                            <a:avLst/>
                            <a:gdLst/>
                            <a:ahLst/>
                            <a:cxnLst/>
                            <a:rect l="l" t="t" r="r" b="b"/>
                            <a:pathLst>
                              <a:path w="36830" h="19685">
                                <a:moveTo>
                                  <a:pt x="36525" y="0"/>
                                </a:moveTo>
                                <a:lnTo>
                                  <a:pt x="36525" y="431"/>
                                </a:lnTo>
                                <a:lnTo>
                                  <a:pt x="35127" y="7675"/>
                                </a:lnTo>
                                <a:lnTo>
                                  <a:pt x="31297" y="13644"/>
                                </a:lnTo>
                                <a:lnTo>
                                  <a:pt x="25579" y="17696"/>
                                </a:lnTo>
                                <a:lnTo>
                                  <a:pt x="18516" y="19189"/>
                                </a:lnTo>
                                <a:lnTo>
                                  <a:pt x="11353" y="17696"/>
                                </a:lnTo>
                                <a:lnTo>
                                  <a:pt x="5462" y="13644"/>
                                </a:lnTo>
                                <a:lnTo>
                                  <a:pt x="1469" y="7675"/>
                                </a:lnTo>
                                <a:lnTo>
                                  <a:pt x="0" y="431"/>
                                </a:lnTo>
                                <a:lnTo>
                                  <a:pt x="444" y="0"/>
                                </a:lnTo>
                              </a:path>
                            </a:pathLst>
                          </a:custGeom>
                          <a:ln w="9525">
                            <a:solidFill>
                              <a:srgbClr val="231F20"/>
                            </a:solidFill>
                            <a:prstDash val="solid"/>
                          </a:ln>
                        </wps:spPr>
                        <wps:bodyPr wrap="square" lIns="0" tIns="0" rIns="0" bIns="0" rtlCol="0">
                          <a:prstTxWarp prst="textNoShape">
                            <a:avLst/>
                          </a:prstTxWarp>
                          <a:noAutofit/>
                        </wps:bodyPr>
                      </wps:wsp>
                      <wps:wsp>
                        <wps:cNvPr id="774" name="Graphic 774"/>
                        <wps:cNvSpPr/>
                        <wps:spPr>
                          <a:xfrm>
                            <a:off x="5242732" y="6236086"/>
                            <a:ext cx="80645" cy="116839"/>
                          </a:xfrm>
                          <a:custGeom>
                            <a:avLst/>
                            <a:gdLst/>
                            <a:ahLst/>
                            <a:cxnLst/>
                            <a:rect l="l" t="t" r="r" b="b"/>
                            <a:pathLst>
                              <a:path w="80645" h="116839">
                                <a:moveTo>
                                  <a:pt x="36918" y="116840"/>
                                </a:moveTo>
                                <a:lnTo>
                                  <a:pt x="0" y="116840"/>
                                </a:lnTo>
                                <a:lnTo>
                                  <a:pt x="0" y="53301"/>
                                </a:lnTo>
                                <a:lnTo>
                                  <a:pt x="36918" y="0"/>
                                </a:lnTo>
                                <a:lnTo>
                                  <a:pt x="80606" y="0"/>
                                </a:lnTo>
                                <a:lnTo>
                                  <a:pt x="80606" y="116840"/>
                                </a:lnTo>
                              </a:path>
                            </a:pathLst>
                          </a:custGeom>
                          <a:ln w="9525">
                            <a:solidFill>
                              <a:srgbClr val="231F20"/>
                            </a:solidFill>
                            <a:prstDash val="solid"/>
                          </a:ln>
                        </wps:spPr>
                        <wps:bodyPr wrap="square" lIns="0" tIns="0" rIns="0" bIns="0" rtlCol="0">
                          <a:prstTxWarp prst="textNoShape">
                            <a:avLst/>
                          </a:prstTxWarp>
                          <a:noAutofit/>
                        </wps:bodyPr>
                      </wps:wsp>
                      <wps:wsp>
                        <wps:cNvPr id="775" name="Graphic 775"/>
                        <wps:cNvSpPr/>
                        <wps:spPr>
                          <a:xfrm>
                            <a:off x="5242732" y="6259970"/>
                            <a:ext cx="58419" cy="34290"/>
                          </a:xfrm>
                          <a:custGeom>
                            <a:avLst/>
                            <a:gdLst/>
                            <a:ahLst/>
                            <a:cxnLst/>
                            <a:rect l="l" t="t" r="r" b="b"/>
                            <a:pathLst>
                              <a:path w="58419" h="34290">
                                <a:moveTo>
                                  <a:pt x="20586" y="0"/>
                                </a:moveTo>
                                <a:lnTo>
                                  <a:pt x="57950" y="0"/>
                                </a:lnTo>
                                <a:lnTo>
                                  <a:pt x="57950" y="33693"/>
                                </a:lnTo>
                                <a:lnTo>
                                  <a:pt x="0" y="33693"/>
                                </a:lnTo>
                              </a:path>
                            </a:pathLst>
                          </a:custGeom>
                          <a:ln w="9524">
                            <a:solidFill>
                              <a:srgbClr val="231F20"/>
                            </a:solidFill>
                            <a:prstDash val="solid"/>
                          </a:ln>
                        </wps:spPr>
                        <wps:bodyPr wrap="square" lIns="0" tIns="0" rIns="0" bIns="0" rtlCol="0">
                          <a:prstTxWarp prst="textNoShape">
                            <a:avLst/>
                          </a:prstTxWarp>
                          <a:noAutofit/>
                        </wps:bodyPr>
                      </wps:wsp>
                      <wps:wsp>
                        <wps:cNvPr id="776" name="Graphic 776"/>
                        <wps:cNvSpPr/>
                        <wps:spPr>
                          <a:xfrm>
                            <a:off x="5543593" y="6340560"/>
                            <a:ext cx="25400" cy="1270"/>
                          </a:xfrm>
                          <a:custGeom>
                            <a:avLst/>
                            <a:gdLst/>
                            <a:ahLst/>
                            <a:cxnLst/>
                            <a:rect l="l" t="t" r="r" b="b"/>
                            <a:pathLst>
                              <a:path w="25400" h="0">
                                <a:moveTo>
                                  <a:pt x="25171" y="0"/>
                                </a:moveTo>
                                <a:lnTo>
                                  <a:pt x="25171" y="0"/>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777" name="Graphic 777"/>
                        <wps:cNvSpPr/>
                        <wps:spPr>
                          <a:xfrm>
                            <a:off x="5543594" y="6327342"/>
                            <a:ext cx="15240" cy="1270"/>
                          </a:xfrm>
                          <a:custGeom>
                            <a:avLst/>
                            <a:gdLst/>
                            <a:ahLst/>
                            <a:cxnLst/>
                            <a:rect l="l" t="t" r="r" b="b"/>
                            <a:pathLst>
                              <a:path w="15240" h="0">
                                <a:moveTo>
                                  <a:pt x="14655" y="0"/>
                                </a:moveTo>
                                <a:lnTo>
                                  <a:pt x="14655" y="0"/>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778" name="Graphic 778"/>
                        <wps:cNvSpPr/>
                        <wps:spPr>
                          <a:xfrm>
                            <a:off x="5242736" y="6334593"/>
                            <a:ext cx="22225" cy="1270"/>
                          </a:xfrm>
                          <a:custGeom>
                            <a:avLst/>
                            <a:gdLst/>
                            <a:ahLst/>
                            <a:cxnLst/>
                            <a:rect l="l" t="t" r="r" b="b"/>
                            <a:pathLst>
                              <a:path w="22225" h="0">
                                <a:moveTo>
                                  <a:pt x="0" y="0"/>
                                </a:moveTo>
                                <a:lnTo>
                                  <a:pt x="0" y="0"/>
                                </a:lnTo>
                                <a:lnTo>
                                  <a:pt x="21818" y="0"/>
                                </a:lnTo>
                              </a:path>
                            </a:pathLst>
                          </a:custGeom>
                          <a:ln w="9525">
                            <a:solidFill>
                              <a:srgbClr val="231F20"/>
                            </a:solidFill>
                            <a:prstDash val="solid"/>
                          </a:ln>
                        </wps:spPr>
                        <wps:bodyPr wrap="square" lIns="0" tIns="0" rIns="0" bIns="0" rtlCol="0">
                          <a:prstTxWarp prst="textNoShape">
                            <a:avLst/>
                          </a:prstTxWarp>
                          <a:noAutofit/>
                        </wps:bodyPr>
                      </wps:wsp>
                      <wps:wsp>
                        <wps:cNvPr id="779" name="Graphic 779"/>
                        <wps:cNvSpPr/>
                        <wps:spPr>
                          <a:xfrm>
                            <a:off x="5267901" y="6862340"/>
                            <a:ext cx="300990" cy="35560"/>
                          </a:xfrm>
                          <a:custGeom>
                            <a:avLst/>
                            <a:gdLst/>
                            <a:ahLst/>
                            <a:cxnLst/>
                            <a:rect l="l" t="t" r="r" b="b"/>
                            <a:pathLst>
                              <a:path w="300990" h="35560">
                                <a:moveTo>
                                  <a:pt x="300863" y="0"/>
                                </a:moveTo>
                                <a:lnTo>
                                  <a:pt x="0" y="0"/>
                                </a:lnTo>
                                <a:lnTo>
                                  <a:pt x="0" y="35382"/>
                                </a:lnTo>
                                <a:lnTo>
                                  <a:pt x="13030" y="35382"/>
                                </a:lnTo>
                                <a:lnTo>
                                  <a:pt x="14492" y="28271"/>
                                </a:lnTo>
                                <a:lnTo>
                                  <a:pt x="18430" y="22594"/>
                                </a:lnTo>
                                <a:lnTo>
                                  <a:pt x="24174" y="18835"/>
                                </a:lnTo>
                                <a:lnTo>
                                  <a:pt x="31051" y="17475"/>
                                </a:lnTo>
                                <a:lnTo>
                                  <a:pt x="38122" y="18835"/>
                                </a:lnTo>
                                <a:lnTo>
                                  <a:pt x="43902" y="22594"/>
                                </a:lnTo>
                                <a:lnTo>
                                  <a:pt x="47869" y="28271"/>
                                </a:lnTo>
                                <a:lnTo>
                                  <a:pt x="49504" y="35382"/>
                                </a:lnTo>
                                <a:lnTo>
                                  <a:pt x="73837" y="35382"/>
                                </a:lnTo>
                                <a:lnTo>
                                  <a:pt x="75298" y="28271"/>
                                </a:lnTo>
                                <a:lnTo>
                                  <a:pt x="79238" y="22594"/>
                                </a:lnTo>
                                <a:lnTo>
                                  <a:pt x="84992" y="18835"/>
                                </a:lnTo>
                                <a:lnTo>
                                  <a:pt x="91897" y="17475"/>
                                </a:lnTo>
                                <a:lnTo>
                                  <a:pt x="98975" y="18835"/>
                                </a:lnTo>
                                <a:lnTo>
                                  <a:pt x="104759" y="22594"/>
                                </a:lnTo>
                                <a:lnTo>
                                  <a:pt x="108727" y="28271"/>
                                </a:lnTo>
                                <a:lnTo>
                                  <a:pt x="110362" y="35382"/>
                                </a:lnTo>
                                <a:lnTo>
                                  <a:pt x="227418" y="35382"/>
                                </a:lnTo>
                                <a:lnTo>
                                  <a:pt x="228818" y="28271"/>
                                </a:lnTo>
                                <a:lnTo>
                                  <a:pt x="232652" y="22594"/>
                                </a:lnTo>
                                <a:lnTo>
                                  <a:pt x="238375" y="18835"/>
                                </a:lnTo>
                                <a:lnTo>
                                  <a:pt x="245440" y="17475"/>
                                </a:lnTo>
                                <a:lnTo>
                                  <a:pt x="252532" y="18835"/>
                                </a:lnTo>
                                <a:lnTo>
                                  <a:pt x="258265" y="22594"/>
                                </a:lnTo>
                                <a:lnTo>
                                  <a:pt x="262101" y="28271"/>
                                </a:lnTo>
                                <a:lnTo>
                                  <a:pt x="263499" y="35382"/>
                                </a:lnTo>
                                <a:lnTo>
                                  <a:pt x="300863" y="35382"/>
                                </a:lnTo>
                                <a:lnTo>
                                  <a:pt x="300863" y="0"/>
                                </a:lnTo>
                                <a:close/>
                              </a:path>
                            </a:pathLst>
                          </a:custGeom>
                          <a:ln w="9525">
                            <a:solidFill>
                              <a:srgbClr val="231F20"/>
                            </a:solidFill>
                            <a:prstDash val="solid"/>
                          </a:ln>
                        </wps:spPr>
                        <wps:bodyPr wrap="square" lIns="0" tIns="0" rIns="0" bIns="0" rtlCol="0">
                          <a:prstTxWarp prst="textNoShape">
                            <a:avLst/>
                          </a:prstTxWarp>
                          <a:noAutofit/>
                        </wps:bodyPr>
                      </wps:wsp>
                      <pic:pic>
                        <pic:nvPicPr>
                          <pic:cNvPr id="780" name="Image 780"/>
                          <pic:cNvPicPr/>
                        </pic:nvPicPr>
                        <pic:blipFill>
                          <a:blip r:embed="rId76" cstate="print"/>
                          <a:stretch>
                            <a:fillRect/>
                          </a:stretch>
                        </pic:blipFill>
                        <pic:spPr>
                          <a:xfrm>
                            <a:off x="5242736" y="6727088"/>
                            <a:ext cx="330795" cy="194591"/>
                          </a:xfrm>
                          <a:prstGeom prst="rect">
                            <a:avLst/>
                          </a:prstGeom>
                        </pic:spPr>
                      </pic:pic>
                      <wps:wsp>
                        <wps:cNvPr id="781" name="Graphic 781"/>
                        <wps:cNvSpPr/>
                        <wps:spPr>
                          <a:xfrm>
                            <a:off x="5267901" y="6862340"/>
                            <a:ext cx="300990" cy="35560"/>
                          </a:xfrm>
                          <a:custGeom>
                            <a:avLst/>
                            <a:gdLst/>
                            <a:ahLst/>
                            <a:cxnLst/>
                            <a:rect l="l" t="t" r="r" b="b"/>
                            <a:pathLst>
                              <a:path w="300990" h="35560">
                                <a:moveTo>
                                  <a:pt x="300863" y="0"/>
                                </a:moveTo>
                                <a:lnTo>
                                  <a:pt x="0" y="0"/>
                                </a:lnTo>
                                <a:lnTo>
                                  <a:pt x="0" y="35382"/>
                                </a:lnTo>
                                <a:lnTo>
                                  <a:pt x="13030" y="35382"/>
                                </a:lnTo>
                                <a:lnTo>
                                  <a:pt x="14492" y="28271"/>
                                </a:lnTo>
                                <a:lnTo>
                                  <a:pt x="18430" y="22594"/>
                                </a:lnTo>
                                <a:lnTo>
                                  <a:pt x="24174" y="18835"/>
                                </a:lnTo>
                                <a:lnTo>
                                  <a:pt x="31051" y="17475"/>
                                </a:lnTo>
                                <a:lnTo>
                                  <a:pt x="38122" y="18835"/>
                                </a:lnTo>
                                <a:lnTo>
                                  <a:pt x="43902" y="22594"/>
                                </a:lnTo>
                                <a:lnTo>
                                  <a:pt x="47869" y="28271"/>
                                </a:lnTo>
                                <a:lnTo>
                                  <a:pt x="49504" y="35382"/>
                                </a:lnTo>
                                <a:lnTo>
                                  <a:pt x="73837" y="35382"/>
                                </a:lnTo>
                                <a:lnTo>
                                  <a:pt x="75298" y="28271"/>
                                </a:lnTo>
                                <a:lnTo>
                                  <a:pt x="79238" y="22594"/>
                                </a:lnTo>
                                <a:lnTo>
                                  <a:pt x="84992" y="18835"/>
                                </a:lnTo>
                                <a:lnTo>
                                  <a:pt x="91897" y="17475"/>
                                </a:lnTo>
                                <a:lnTo>
                                  <a:pt x="98975" y="18835"/>
                                </a:lnTo>
                                <a:lnTo>
                                  <a:pt x="104759" y="22594"/>
                                </a:lnTo>
                                <a:lnTo>
                                  <a:pt x="108727" y="28271"/>
                                </a:lnTo>
                                <a:lnTo>
                                  <a:pt x="110362" y="35382"/>
                                </a:lnTo>
                                <a:lnTo>
                                  <a:pt x="227418" y="35382"/>
                                </a:lnTo>
                                <a:lnTo>
                                  <a:pt x="228818" y="28271"/>
                                </a:lnTo>
                                <a:lnTo>
                                  <a:pt x="232652" y="22594"/>
                                </a:lnTo>
                                <a:lnTo>
                                  <a:pt x="238375" y="18835"/>
                                </a:lnTo>
                                <a:lnTo>
                                  <a:pt x="245440" y="17475"/>
                                </a:lnTo>
                                <a:lnTo>
                                  <a:pt x="252532" y="18835"/>
                                </a:lnTo>
                                <a:lnTo>
                                  <a:pt x="258265" y="22594"/>
                                </a:lnTo>
                                <a:lnTo>
                                  <a:pt x="262101" y="28271"/>
                                </a:lnTo>
                                <a:lnTo>
                                  <a:pt x="263499" y="35382"/>
                                </a:lnTo>
                                <a:lnTo>
                                  <a:pt x="300863" y="35382"/>
                                </a:lnTo>
                                <a:lnTo>
                                  <a:pt x="300863" y="0"/>
                                </a:lnTo>
                                <a:close/>
                              </a:path>
                            </a:pathLst>
                          </a:custGeom>
                          <a:ln w="9525">
                            <a:solidFill>
                              <a:srgbClr val="231F20"/>
                            </a:solidFill>
                            <a:prstDash val="solid"/>
                          </a:ln>
                        </wps:spPr>
                        <wps:bodyPr wrap="square" lIns="0" tIns="0" rIns="0" bIns="0" rtlCol="0">
                          <a:prstTxWarp prst="textNoShape">
                            <a:avLst/>
                          </a:prstTxWarp>
                          <a:noAutofit/>
                        </wps:bodyPr>
                      </wps:wsp>
                      <wps:wsp>
                        <wps:cNvPr id="782" name="Graphic 782"/>
                        <wps:cNvSpPr/>
                        <wps:spPr>
                          <a:xfrm>
                            <a:off x="5280938" y="6897727"/>
                            <a:ext cx="36830" cy="19685"/>
                          </a:xfrm>
                          <a:custGeom>
                            <a:avLst/>
                            <a:gdLst/>
                            <a:ahLst/>
                            <a:cxnLst/>
                            <a:rect l="l" t="t" r="r" b="b"/>
                            <a:pathLst>
                              <a:path w="36830" h="19685">
                                <a:moveTo>
                                  <a:pt x="0" y="0"/>
                                </a:moveTo>
                                <a:lnTo>
                                  <a:pt x="0" y="431"/>
                                </a:lnTo>
                                <a:lnTo>
                                  <a:pt x="1397" y="7675"/>
                                </a:lnTo>
                                <a:lnTo>
                                  <a:pt x="5227" y="13644"/>
                                </a:lnTo>
                                <a:lnTo>
                                  <a:pt x="10946" y="17696"/>
                                </a:lnTo>
                                <a:lnTo>
                                  <a:pt x="18008" y="19189"/>
                                </a:lnTo>
                                <a:lnTo>
                                  <a:pt x="25140" y="17696"/>
                                </a:lnTo>
                                <a:lnTo>
                                  <a:pt x="31011" y="13644"/>
                                </a:lnTo>
                                <a:lnTo>
                                  <a:pt x="34994" y="7675"/>
                                </a:lnTo>
                                <a:lnTo>
                                  <a:pt x="36461" y="431"/>
                                </a:lnTo>
                                <a:lnTo>
                                  <a:pt x="36461" y="0"/>
                                </a:lnTo>
                              </a:path>
                            </a:pathLst>
                          </a:custGeom>
                          <a:ln w="9525">
                            <a:solidFill>
                              <a:srgbClr val="231F20"/>
                            </a:solidFill>
                            <a:prstDash val="solid"/>
                          </a:ln>
                        </wps:spPr>
                        <wps:bodyPr wrap="square" lIns="0" tIns="0" rIns="0" bIns="0" rtlCol="0">
                          <a:prstTxWarp prst="textNoShape">
                            <a:avLst/>
                          </a:prstTxWarp>
                          <a:noAutofit/>
                        </wps:bodyPr>
                      </wps:wsp>
                      <wps:wsp>
                        <wps:cNvPr id="783" name="Graphic 783"/>
                        <wps:cNvSpPr/>
                        <wps:spPr>
                          <a:xfrm>
                            <a:off x="5341736" y="6897727"/>
                            <a:ext cx="36830" cy="19685"/>
                          </a:xfrm>
                          <a:custGeom>
                            <a:avLst/>
                            <a:gdLst/>
                            <a:ahLst/>
                            <a:cxnLst/>
                            <a:rect l="l" t="t" r="r" b="b"/>
                            <a:pathLst>
                              <a:path w="36830" h="19685">
                                <a:moveTo>
                                  <a:pt x="0" y="0"/>
                                </a:moveTo>
                                <a:lnTo>
                                  <a:pt x="0" y="431"/>
                                </a:lnTo>
                                <a:lnTo>
                                  <a:pt x="1407" y="7675"/>
                                </a:lnTo>
                                <a:lnTo>
                                  <a:pt x="5257" y="13644"/>
                                </a:lnTo>
                                <a:lnTo>
                                  <a:pt x="10994" y="17696"/>
                                </a:lnTo>
                                <a:lnTo>
                                  <a:pt x="18059" y="19189"/>
                                </a:lnTo>
                                <a:lnTo>
                                  <a:pt x="25193" y="17696"/>
                                </a:lnTo>
                                <a:lnTo>
                                  <a:pt x="31068" y="13644"/>
                                </a:lnTo>
                                <a:lnTo>
                                  <a:pt x="35056" y="7675"/>
                                </a:lnTo>
                                <a:lnTo>
                                  <a:pt x="36525" y="431"/>
                                </a:lnTo>
                                <a:lnTo>
                                  <a:pt x="36525" y="0"/>
                                </a:lnTo>
                              </a:path>
                            </a:pathLst>
                          </a:custGeom>
                          <a:ln w="9525">
                            <a:solidFill>
                              <a:srgbClr val="231F20"/>
                            </a:solidFill>
                            <a:prstDash val="solid"/>
                          </a:ln>
                        </wps:spPr>
                        <wps:bodyPr wrap="square" lIns="0" tIns="0" rIns="0" bIns="0" rtlCol="0">
                          <a:prstTxWarp prst="textNoShape">
                            <a:avLst/>
                          </a:prstTxWarp>
                          <a:noAutofit/>
                        </wps:bodyPr>
                      </wps:wsp>
                      <wps:wsp>
                        <wps:cNvPr id="784" name="Graphic 784"/>
                        <wps:cNvSpPr/>
                        <wps:spPr>
                          <a:xfrm>
                            <a:off x="5495326" y="6897727"/>
                            <a:ext cx="36830" cy="19685"/>
                          </a:xfrm>
                          <a:custGeom>
                            <a:avLst/>
                            <a:gdLst/>
                            <a:ahLst/>
                            <a:cxnLst/>
                            <a:rect l="l" t="t" r="r" b="b"/>
                            <a:pathLst>
                              <a:path w="36830" h="19685">
                                <a:moveTo>
                                  <a:pt x="0" y="0"/>
                                </a:moveTo>
                                <a:lnTo>
                                  <a:pt x="0" y="431"/>
                                </a:lnTo>
                                <a:lnTo>
                                  <a:pt x="1397" y="7675"/>
                                </a:lnTo>
                                <a:lnTo>
                                  <a:pt x="5227" y="13644"/>
                                </a:lnTo>
                                <a:lnTo>
                                  <a:pt x="10946" y="17696"/>
                                </a:lnTo>
                                <a:lnTo>
                                  <a:pt x="18008" y="19189"/>
                                </a:lnTo>
                                <a:lnTo>
                                  <a:pt x="25171" y="17696"/>
                                </a:lnTo>
                                <a:lnTo>
                                  <a:pt x="31062" y="13644"/>
                                </a:lnTo>
                                <a:lnTo>
                                  <a:pt x="35055" y="7675"/>
                                </a:lnTo>
                                <a:lnTo>
                                  <a:pt x="36525" y="431"/>
                                </a:lnTo>
                                <a:lnTo>
                                  <a:pt x="36080" y="0"/>
                                </a:lnTo>
                              </a:path>
                            </a:pathLst>
                          </a:custGeom>
                          <a:ln w="9525">
                            <a:solidFill>
                              <a:srgbClr val="231F20"/>
                            </a:solidFill>
                            <a:prstDash val="solid"/>
                          </a:ln>
                        </wps:spPr>
                        <wps:bodyPr wrap="square" lIns="0" tIns="0" rIns="0" bIns="0" rtlCol="0">
                          <a:prstTxWarp prst="textNoShape">
                            <a:avLst/>
                          </a:prstTxWarp>
                          <a:noAutofit/>
                        </wps:bodyPr>
                      </wps:wsp>
                      <wps:wsp>
                        <wps:cNvPr id="785" name="Graphic 785"/>
                        <wps:cNvSpPr/>
                        <wps:spPr>
                          <a:xfrm>
                            <a:off x="5488161" y="6780888"/>
                            <a:ext cx="80645" cy="116839"/>
                          </a:xfrm>
                          <a:custGeom>
                            <a:avLst/>
                            <a:gdLst/>
                            <a:ahLst/>
                            <a:cxnLst/>
                            <a:rect l="l" t="t" r="r" b="b"/>
                            <a:pathLst>
                              <a:path w="80645" h="116839">
                                <a:moveTo>
                                  <a:pt x="43687" y="116839"/>
                                </a:moveTo>
                                <a:lnTo>
                                  <a:pt x="80606" y="116839"/>
                                </a:lnTo>
                                <a:lnTo>
                                  <a:pt x="80606" y="53301"/>
                                </a:lnTo>
                                <a:lnTo>
                                  <a:pt x="43687" y="0"/>
                                </a:lnTo>
                                <a:lnTo>
                                  <a:pt x="0" y="0"/>
                                </a:lnTo>
                                <a:lnTo>
                                  <a:pt x="0" y="116839"/>
                                </a:lnTo>
                              </a:path>
                            </a:pathLst>
                          </a:custGeom>
                          <a:ln w="9525">
                            <a:solidFill>
                              <a:srgbClr val="231F20"/>
                            </a:solidFill>
                            <a:prstDash val="solid"/>
                          </a:ln>
                        </wps:spPr>
                        <wps:bodyPr wrap="square" lIns="0" tIns="0" rIns="0" bIns="0" rtlCol="0">
                          <a:prstTxWarp prst="textNoShape">
                            <a:avLst/>
                          </a:prstTxWarp>
                          <a:noAutofit/>
                        </wps:bodyPr>
                      </wps:wsp>
                      <wps:wsp>
                        <wps:cNvPr id="786" name="Graphic 786"/>
                        <wps:cNvSpPr/>
                        <wps:spPr>
                          <a:xfrm>
                            <a:off x="5510819" y="6804773"/>
                            <a:ext cx="58419" cy="34290"/>
                          </a:xfrm>
                          <a:custGeom>
                            <a:avLst/>
                            <a:gdLst/>
                            <a:ahLst/>
                            <a:cxnLst/>
                            <a:rect l="l" t="t" r="r" b="b"/>
                            <a:pathLst>
                              <a:path w="58419" h="34290">
                                <a:moveTo>
                                  <a:pt x="37363" y="0"/>
                                </a:moveTo>
                                <a:lnTo>
                                  <a:pt x="0" y="0"/>
                                </a:lnTo>
                                <a:lnTo>
                                  <a:pt x="0" y="33693"/>
                                </a:lnTo>
                                <a:lnTo>
                                  <a:pt x="57950" y="33693"/>
                                </a:lnTo>
                              </a:path>
                            </a:pathLst>
                          </a:custGeom>
                          <a:ln w="9524">
                            <a:solidFill>
                              <a:srgbClr val="231F20"/>
                            </a:solidFill>
                            <a:prstDash val="solid"/>
                          </a:ln>
                        </wps:spPr>
                        <wps:bodyPr wrap="square" lIns="0" tIns="0" rIns="0" bIns="0" rtlCol="0">
                          <a:prstTxWarp prst="textNoShape">
                            <a:avLst/>
                          </a:prstTxWarp>
                          <a:noAutofit/>
                        </wps:bodyPr>
                      </wps:wsp>
                      <wps:wsp>
                        <wps:cNvPr id="787" name="Graphic 787"/>
                        <wps:cNvSpPr/>
                        <wps:spPr>
                          <a:xfrm>
                            <a:off x="5242736" y="6885361"/>
                            <a:ext cx="25400" cy="1270"/>
                          </a:xfrm>
                          <a:custGeom>
                            <a:avLst/>
                            <a:gdLst/>
                            <a:ahLst/>
                            <a:cxnLst/>
                            <a:rect l="l" t="t" r="r" b="b"/>
                            <a:pathLst>
                              <a:path w="25400" h="0">
                                <a:moveTo>
                                  <a:pt x="0" y="0"/>
                                </a:moveTo>
                                <a:lnTo>
                                  <a:pt x="0" y="0"/>
                                </a:lnTo>
                                <a:lnTo>
                                  <a:pt x="25171" y="0"/>
                                </a:lnTo>
                              </a:path>
                            </a:pathLst>
                          </a:custGeom>
                          <a:ln w="9525">
                            <a:solidFill>
                              <a:srgbClr val="231F20"/>
                            </a:solidFill>
                            <a:prstDash val="solid"/>
                          </a:ln>
                        </wps:spPr>
                        <wps:bodyPr wrap="square" lIns="0" tIns="0" rIns="0" bIns="0" rtlCol="0">
                          <a:prstTxWarp prst="textNoShape">
                            <a:avLst/>
                          </a:prstTxWarp>
                          <a:noAutofit/>
                        </wps:bodyPr>
                      </wps:wsp>
                      <wps:wsp>
                        <wps:cNvPr id="788" name="Graphic 788"/>
                        <wps:cNvSpPr/>
                        <wps:spPr>
                          <a:xfrm>
                            <a:off x="5253252" y="6872144"/>
                            <a:ext cx="15240" cy="1270"/>
                          </a:xfrm>
                          <a:custGeom>
                            <a:avLst/>
                            <a:gdLst/>
                            <a:ahLst/>
                            <a:cxnLst/>
                            <a:rect l="l" t="t" r="r" b="b"/>
                            <a:pathLst>
                              <a:path w="15240" h="0">
                                <a:moveTo>
                                  <a:pt x="0" y="0"/>
                                </a:moveTo>
                                <a:lnTo>
                                  <a:pt x="0" y="0"/>
                                </a:lnTo>
                                <a:lnTo>
                                  <a:pt x="14655" y="0"/>
                                </a:lnTo>
                              </a:path>
                            </a:pathLst>
                          </a:custGeom>
                          <a:ln w="9525">
                            <a:solidFill>
                              <a:srgbClr val="231F20"/>
                            </a:solidFill>
                            <a:prstDash val="solid"/>
                          </a:ln>
                        </wps:spPr>
                        <wps:bodyPr wrap="square" lIns="0" tIns="0" rIns="0" bIns="0" rtlCol="0">
                          <a:prstTxWarp prst="textNoShape">
                            <a:avLst/>
                          </a:prstTxWarp>
                          <a:noAutofit/>
                        </wps:bodyPr>
                      </wps:wsp>
                      <wps:wsp>
                        <wps:cNvPr id="789" name="Graphic 789"/>
                        <wps:cNvSpPr/>
                        <wps:spPr>
                          <a:xfrm>
                            <a:off x="5546945" y="6879395"/>
                            <a:ext cx="22225" cy="1270"/>
                          </a:xfrm>
                          <a:custGeom>
                            <a:avLst/>
                            <a:gdLst/>
                            <a:ahLst/>
                            <a:cxnLst/>
                            <a:rect l="l" t="t" r="r" b="b"/>
                            <a:pathLst>
                              <a:path w="22225" h="0">
                                <a:moveTo>
                                  <a:pt x="21818" y="0"/>
                                </a:moveTo>
                                <a:lnTo>
                                  <a:pt x="21818" y="0"/>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790" name="Graphic 790"/>
                        <wps:cNvSpPr/>
                        <wps:spPr>
                          <a:xfrm>
                            <a:off x="5213742" y="6488476"/>
                            <a:ext cx="384175" cy="95885"/>
                          </a:xfrm>
                          <a:custGeom>
                            <a:avLst/>
                            <a:gdLst/>
                            <a:ahLst/>
                            <a:cxnLst/>
                            <a:rect l="l" t="t" r="r" b="b"/>
                            <a:pathLst>
                              <a:path w="384175" h="95885">
                                <a:moveTo>
                                  <a:pt x="0" y="95376"/>
                                </a:moveTo>
                                <a:lnTo>
                                  <a:pt x="291134" y="95376"/>
                                </a:lnTo>
                                <a:lnTo>
                                  <a:pt x="335114" y="91613"/>
                                </a:lnTo>
                                <a:lnTo>
                                  <a:pt x="363766" y="81367"/>
                                </a:lnTo>
                                <a:lnTo>
                                  <a:pt x="379320" y="66203"/>
                                </a:lnTo>
                                <a:lnTo>
                                  <a:pt x="384009" y="47688"/>
                                </a:lnTo>
                                <a:lnTo>
                                  <a:pt x="379320" y="29173"/>
                                </a:lnTo>
                                <a:lnTo>
                                  <a:pt x="363766" y="14009"/>
                                </a:lnTo>
                                <a:lnTo>
                                  <a:pt x="335114" y="3763"/>
                                </a:lnTo>
                                <a:lnTo>
                                  <a:pt x="291134" y="0"/>
                                </a:lnTo>
                                <a:lnTo>
                                  <a:pt x="54686" y="0"/>
                                </a:lnTo>
                              </a:path>
                            </a:pathLst>
                          </a:custGeom>
                          <a:ln w="12700">
                            <a:solidFill>
                              <a:srgbClr val="231F20"/>
                            </a:solidFill>
                            <a:prstDash val="solid"/>
                          </a:ln>
                        </wps:spPr>
                        <wps:bodyPr wrap="square" lIns="0" tIns="0" rIns="0" bIns="0" rtlCol="0">
                          <a:prstTxWarp prst="textNoShape">
                            <a:avLst/>
                          </a:prstTxWarp>
                          <a:noAutofit/>
                        </wps:bodyPr>
                      </wps:wsp>
                      <wps:wsp>
                        <wps:cNvPr id="791" name="Graphic 791"/>
                        <wps:cNvSpPr/>
                        <wps:spPr>
                          <a:xfrm>
                            <a:off x="5213744" y="6450477"/>
                            <a:ext cx="66040" cy="76200"/>
                          </a:xfrm>
                          <a:custGeom>
                            <a:avLst/>
                            <a:gdLst/>
                            <a:ahLst/>
                            <a:cxnLst/>
                            <a:rect l="l" t="t" r="r" b="b"/>
                            <a:pathLst>
                              <a:path w="66040" h="76200">
                                <a:moveTo>
                                  <a:pt x="65798" y="0"/>
                                </a:moveTo>
                                <a:lnTo>
                                  <a:pt x="0" y="37998"/>
                                </a:lnTo>
                                <a:lnTo>
                                  <a:pt x="65798" y="75996"/>
                                </a:lnTo>
                                <a:lnTo>
                                  <a:pt x="65798" y="0"/>
                                </a:lnTo>
                                <a:close/>
                              </a:path>
                            </a:pathLst>
                          </a:custGeom>
                          <a:solidFill>
                            <a:srgbClr val="231F20"/>
                          </a:solidFill>
                        </wps:spPr>
                        <wps:bodyPr wrap="square" lIns="0" tIns="0" rIns="0" bIns="0" rtlCol="0">
                          <a:prstTxWarp prst="textNoShape">
                            <a:avLst/>
                          </a:prstTxWarp>
                          <a:noAutofit/>
                        </wps:bodyPr>
                      </wps:wsp>
                      <wps:wsp>
                        <wps:cNvPr id="792" name="Graphic 792"/>
                        <wps:cNvSpPr/>
                        <wps:spPr>
                          <a:xfrm>
                            <a:off x="1081256" y="6317538"/>
                            <a:ext cx="300990" cy="35560"/>
                          </a:xfrm>
                          <a:custGeom>
                            <a:avLst/>
                            <a:gdLst/>
                            <a:ahLst/>
                            <a:cxnLst/>
                            <a:rect l="l" t="t" r="r" b="b"/>
                            <a:pathLst>
                              <a:path w="300990" h="35560">
                                <a:moveTo>
                                  <a:pt x="0" y="0"/>
                                </a:moveTo>
                                <a:lnTo>
                                  <a:pt x="300863" y="0"/>
                                </a:lnTo>
                                <a:lnTo>
                                  <a:pt x="300863" y="35382"/>
                                </a:lnTo>
                                <a:lnTo>
                                  <a:pt x="287832" y="35382"/>
                                </a:lnTo>
                                <a:lnTo>
                                  <a:pt x="286370" y="28271"/>
                                </a:lnTo>
                                <a:lnTo>
                                  <a:pt x="282432" y="22594"/>
                                </a:lnTo>
                                <a:lnTo>
                                  <a:pt x="276688" y="18835"/>
                                </a:lnTo>
                                <a:lnTo>
                                  <a:pt x="269811" y="17475"/>
                                </a:lnTo>
                                <a:lnTo>
                                  <a:pt x="262740" y="18835"/>
                                </a:lnTo>
                                <a:lnTo>
                                  <a:pt x="256960" y="22594"/>
                                </a:lnTo>
                                <a:lnTo>
                                  <a:pt x="252993" y="28271"/>
                                </a:lnTo>
                                <a:lnTo>
                                  <a:pt x="251358" y="35382"/>
                                </a:lnTo>
                                <a:lnTo>
                                  <a:pt x="227025" y="35382"/>
                                </a:lnTo>
                                <a:lnTo>
                                  <a:pt x="225564" y="28271"/>
                                </a:lnTo>
                                <a:lnTo>
                                  <a:pt x="221624" y="22594"/>
                                </a:lnTo>
                                <a:lnTo>
                                  <a:pt x="215870" y="18835"/>
                                </a:lnTo>
                                <a:lnTo>
                                  <a:pt x="208965" y="17475"/>
                                </a:lnTo>
                                <a:lnTo>
                                  <a:pt x="201887" y="18835"/>
                                </a:lnTo>
                                <a:lnTo>
                                  <a:pt x="196103" y="22594"/>
                                </a:lnTo>
                                <a:lnTo>
                                  <a:pt x="192135" y="28271"/>
                                </a:lnTo>
                                <a:lnTo>
                                  <a:pt x="190500" y="35382"/>
                                </a:lnTo>
                                <a:lnTo>
                                  <a:pt x="73444" y="35382"/>
                                </a:lnTo>
                                <a:lnTo>
                                  <a:pt x="72044" y="28271"/>
                                </a:lnTo>
                                <a:lnTo>
                                  <a:pt x="68210" y="22594"/>
                                </a:lnTo>
                                <a:lnTo>
                                  <a:pt x="62487" y="18835"/>
                                </a:lnTo>
                                <a:lnTo>
                                  <a:pt x="55422" y="17475"/>
                                </a:lnTo>
                                <a:lnTo>
                                  <a:pt x="48330" y="18835"/>
                                </a:lnTo>
                                <a:lnTo>
                                  <a:pt x="42597" y="22594"/>
                                </a:lnTo>
                                <a:lnTo>
                                  <a:pt x="38761" y="28271"/>
                                </a:lnTo>
                                <a:lnTo>
                                  <a:pt x="37363" y="35382"/>
                                </a:lnTo>
                                <a:lnTo>
                                  <a:pt x="0" y="35382"/>
                                </a:lnTo>
                                <a:lnTo>
                                  <a:pt x="0" y="0"/>
                                </a:lnTo>
                                <a:close/>
                              </a:path>
                            </a:pathLst>
                          </a:custGeom>
                          <a:ln w="9525">
                            <a:solidFill>
                              <a:srgbClr val="231F20"/>
                            </a:solidFill>
                            <a:prstDash val="solid"/>
                          </a:ln>
                        </wps:spPr>
                        <wps:bodyPr wrap="square" lIns="0" tIns="0" rIns="0" bIns="0" rtlCol="0">
                          <a:prstTxWarp prst="textNoShape">
                            <a:avLst/>
                          </a:prstTxWarp>
                          <a:noAutofit/>
                        </wps:bodyPr>
                      </wps:wsp>
                      <pic:pic>
                        <pic:nvPicPr>
                          <pic:cNvPr id="793" name="Image 793"/>
                          <pic:cNvPicPr/>
                        </pic:nvPicPr>
                        <pic:blipFill>
                          <a:blip r:embed="rId77" cstate="print"/>
                          <a:stretch>
                            <a:fillRect/>
                          </a:stretch>
                        </pic:blipFill>
                        <pic:spPr>
                          <a:xfrm>
                            <a:off x="1076491" y="6182287"/>
                            <a:ext cx="330794" cy="194590"/>
                          </a:xfrm>
                          <a:prstGeom prst="rect">
                            <a:avLst/>
                          </a:prstGeom>
                        </pic:spPr>
                      </pic:pic>
                      <wps:wsp>
                        <wps:cNvPr id="794" name="Graphic 794"/>
                        <wps:cNvSpPr/>
                        <wps:spPr>
                          <a:xfrm>
                            <a:off x="1081256" y="6317538"/>
                            <a:ext cx="300990" cy="35560"/>
                          </a:xfrm>
                          <a:custGeom>
                            <a:avLst/>
                            <a:gdLst/>
                            <a:ahLst/>
                            <a:cxnLst/>
                            <a:rect l="l" t="t" r="r" b="b"/>
                            <a:pathLst>
                              <a:path w="300990" h="35560">
                                <a:moveTo>
                                  <a:pt x="0" y="0"/>
                                </a:moveTo>
                                <a:lnTo>
                                  <a:pt x="300863" y="0"/>
                                </a:lnTo>
                                <a:lnTo>
                                  <a:pt x="300863" y="35382"/>
                                </a:lnTo>
                                <a:lnTo>
                                  <a:pt x="287832" y="35382"/>
                                </a:lnTo>
                                <a:lnTo>
                                  <a:pt x="286370" y="28271"/>
                                </a:lnTo>
                                <a:lnTo>
                                  <a:pt x="282432" y="22594"/>
                                </a:lnTo>
                                <a:lnTo>
                                  <a:pt x="276688" y="18835"/>
                                </a:lnTo>
                                <a:lnTo>
                                  <a:pt x="269811" y="17475"/>
                                </a:lnTo>
                                <a:lnTo>
                                  <a:pt x="262740" y="18835"/>
                                </a:lnTo>
                                <a:lnTo>
                                  <a:pt x="256960" y="22594"/>
                                </a:lnTo>
                                <a:lnTo>
                                  <a:pt x="252993" y="28271"/>
                                </a:lnTo>
                                <a:lnTo>
                                  <a:pt x="251358" y="35382"/>
                                </a:lnTo>
                                <a:lnTo>
                                  <a:pt x="227025" y="35382"/>
                                </a:lnTo>
                                <a:lnTo>
                                  <a:pt x="225564" y="28271"/>
                                </a:lnTo>
                                <a:lnTo>
                                  <a:pt x="221624" y="22594"/>
                                </a:lnTo>
                                <a:lnTo>
                                  <a:pt x="215870" y="18835"/>
                                </a:lnTo>
                                <a:lnTo>
                                  <a:pt x="208965" y="17475"/>
                                </a:lnTo>
                                <a:lnTo>
                                  <a:pt x="201887" y="18835"/>
                                </a:lnTo>
                                <a:lnTo>
                                  <a:pt x="196103" y="22594"/>
                                </a:lnTo>
                                <a:lnTo>
                                  <a:pt x="192135" y="28271"/>
                                </a:lnTo>
                                <a:lnTo>
                                  <a:pt x="190500" y="35382"/>
                                </a:lnTo>
                                <a:lnTo>
                                  <a:pt x="73444" y="35382"/>
                                </a:lnTo>
                                <a:lnTo>
                                  <a:pt x="72044" y="28271"/>
                                </a:lnTo>
                                <a:lnTo>
                                  <a:pt x="68210" y="22594"/>
                                </a:lnTo>
                                <a:lnTo>
                                  <a:pt x="62487" y="18835"/>
                                </a:lnTo>
                                <a:lnTo>
                                  <a:pt x="55422" y="17475"/>
                                </a:lnTo>
                                <a:lnTo>
                                  <a:pt x="48330" y="18835"/>
                                </a:lnTo>
                                <a:lnTo>
                                  <a:pt x="42597" y="22594"/>
                                </a:lnTo>
                                <a:lnTo>
                                  <a:pt x="38761" y="28271"/>
                                </a:lnTo>
                                <a:lnTo>
                                  <a:pt x="37363" y="35382"/>
                                </a:lnTo>
                                <a:lnTo>
                                  <a:pt x="0" y="35382"/>
                                </a:lnTo>
                                <a:lnTo>
                                  <a:pt x="0" y="0"/>
                                </a:lnTo>
                                <a:close/>
                              </a:path>
                            </a:pathLst>
                          </a:custGeom>
                          <a:ln w="9525">
                            <a:solidFill>
                              <a:srgbClr val="231F20"/>
                            </a:solidFill>
                            <a:prstDash val="solid"/>
                          </a:ln>
                        </wps:spPr>
                        <wps:bodyPr wrap="square" lIns="0" tIns="0" rIns="0" bIns="0" rtlCol="0">
                          <a:prstTxWarp prst="textNoShape">
                            <a:avLst/>
                          </a:prstTxWarp>
                          <a:noAutofit/>
                        </wps:bodyPr>
                      </wps:wsp>
                      <wps:wsp>
                        <wps:cNvPr id="795" name="Graphic 795"/>
                        <wps:cNvSpPr/>
                        <wps:spPr>
                          <a:xfrm>
                            <a:off x="1332622" y="6352926"/>
                            <a:ext cx="36830" cy="19685"/>
                          </a:xfrm>
                          <a:custGeom>
                            <a:avLst/>
                            <a:gdLst/>
                            <a:ahLst/>
                            <a:cxnLst/>
                            <a:rect l="l" t="t" r="r" b="b"/>
                            <a:pathLst>
                              <a:path w="36830" h="19685">
                                <a:moveTo>
                                  <a:pt x="36461" y="0"/>
                                </a:moveTo>
                                <a:lnTo>
                                  <a:pt x="36461" y="431"/>
                                </a:lnTo>
                                <a:lnTo>
                                  <a:pt x="35064" y="7675"/>
                                </a:lnTo>
                                <a:lnTo>
                                  <a:pt x="31234" y="13644"/>
                                </a:lnTo>
                                <a:lnTo>
                                  <a:pt x="25515" y="17696"/>
                                </a:lnTo>
                                <a:lnTo>
                                  <a:pt x="18453" y="19189"/>
                                </a:lnTo>
                                <a:lnTo>
                                  <a:pt x="11321" y="17696"/>
                                </a:lnTo>
                                <a:lnTo>
                                  <a:pt x="5449" y="13644"/>
                                </a:lnTo>
                                <a:lnTo>
                                  <a:pt x="1467" y="7675"/>
                                </a:lnTo>
                                <a:lnTo>
                                  <a:pt x="0" y="431"/>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796" name="Graphic 796"/>
                        <wps:cNvSpPr/>
                        <wps:spPr>
                          <a:xfrm>
                            <a:off x="1271760" y="6352926"/>
                            <a:ext cx="36830" cy="19685"/>
                          </a:xfrm>
                          <a:custGeom>
                            <a:avLst/>
                            <a:gdLst/>
                            <a:ahLst/>
                            <a:cxnLst/>
                            <a:rect l="l" t="t" r="r" b="b"/>
                            <a:pathLst>
                              <a:path w="36830" h="19685">
                                <a:moveTo>
                                  <a:pt x="36525" y="0"/>
                                </a:moveTo>
                                <a:lnTo>
                                  <a:pt x="36525" y="431"/>
                                </a:lnTo>
                                <a:lnTo>
                                  <a:pt x="35117" y="7675"/>
                                </a:lnTo>
                                <a:lnTo>
                                  <a:pt x="31265" y="13644"/>
                                </a:lnTo>
                                <a:lnTo>
                                  <a:pt x="25525" y="17696"/>
                                </a:lnTo>
                                <a:lnTo>
                                  <a:pt x="18453" y="19189"/>
                                </a:lnTo>
                                <a:lnTo>
                                  <a:pt x="11326" y="17696"/>
                                </a:lnTo>
                                <a:lnTo>
                                  <a:pt x="5454" y="13644"/>
                                </a:lnTo>
                                <a:lnTo>
                                  <a:pt x="1468" y="7675"/>
                                </a:lnTo>
                                <a:lnTo>
                                  <a:pt x="0" y="431"/>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797" name="Graphic 797"/>
                        <wps:cNvSpPr/>
                        <wps:spPr>
                          <a:xfrm>
                            <a:off x="1118170" y="6352926"/>
                            <a:ext cx="36830" cy="19685"/>
                          </a:xfrm>
                          <a:custGeom>
                            <a:avLst/>
                            <a:gdLst/>
                            <a:ahLst/>
                            <a:cxnLst/>
                            <a:rect l="l" t="t" r="r" b="b"/>
                            <a:pathLst>
                              <a:path w="36830" h="19685">
                                <a:moveTo>
                                  <a:pt x="36525" y="0"/>
                                </a:moveTo>
                                <a:lnTo>
                                  <a:pt x="36525" y="431"/>
                                </a:lnTo>
                                <a:lnTo>
                                  <a:pt x="35127" y="7675"/>
                                </a:lnTo>
                                <a:lnTo>
                                  <a:pt x="31297" y="13644"/>
                                </a:lnTo>
                                <a:lnTo>
                                  <a:pt x="25579" y="17696"/>
                                </a:lnTo>
                                <a:lnTo>
                                  <a:pt x="18516" y="19189"/>
                                </a:lnTo>
                                <a:lnTo>
                                  <a:pt x="11353" y="17696"/>
                                </a:lnTo>
                                <a:lnTo>
                                  <a:pt x="5462" y="13644"/>
                                </a:lnTo>
                                <a:lnTo>
                                  <a:pt x="1469" y="7675"/>
                                </a:lnTo>
                                <a:lnTo>
                                  <a:pt x="0" y="431"/>
                                </a:lnTo>
                                <a:lnTo>
                                  <a:pt x="444" y="0"/>
                                </a:lnTo>
                              </a:path>
                            </a:pathLst>
                          </a:custGeom>
                          <a:ln w="9525">
                            <a:solidFill>
                              <a:srgbClr val="231F20"/>
                            </a:solidFill>
                            <a:prstDash val="solid"/>
                          </a:ln>
                        </wps:spPr>
                        <wps:bodyPr wrap="square" lIns="0" tIns="0" rIns="0" bIns="0" rtlCol="0">
                          <a:prstTxWarp prst="textNoShape">
                            <a:avLst/>
                          </a:prstTxWarp>
                          <a:noAutofit/>
                        </wps:bodyPr>
                      </wps:wsp>
                      <wps:wsp>
                        <wps:cNvPr id="798" name="Graphic 798"/>
                        <wps:cNvSpPr/>
                        <wps:spPr>
                          <a:xfrm>
                            <a:off x="1081253" y="6236086"/>
                            <a:ext cx="80645" cy="116839"/>
                          </a:xfrm>
                          <a:custGeom>
                            <a:avLst/>
                            <a:gdLst/>
                            <a:ahLst/>
                            <a:cxnLst/>
                            <a:rect l="l" t="t" r="r" b="b"/>
                            <a:pathLst>
                              <a:path w="80645" h="116839">
                                <a:moveTo>
                                  <a:pt x="36918" y="116840"/>
                                </a:moveTo>
                                <a:lnTo>
                                  <a:pt x="0" y="116840"/>
                                </a:lnTo>
                                <a:lnTo>
                                  <a:pt x="0" y="53301"/>
                                </a:lnTo>
                                <a:lnTo>
                                  <a:pt x="36918" y="0"/>
                                </a:lnTo>
                                <a:lnTo>
                                  <a:pt x="80606" y="0"/>
                                </a:lnTo>
                                <a:lnTo>
                                  <a:pt x="80606" y="116840"/>
                                </a:lnTo>
                              </a:path>
                            </a:pathLst>
                          </a:custGeom>
                          <a:ln w="9525">
                            <a:solidFill>
                              <a:srgbClr val="231F20"/>
                            </a:solidFill>
                            <a:prstDash val="solid"/>
                          </a:ln>
                        </wps:spPr>
                        <wps:bodyPr wrap="square" lIns="0" tIns="0" rIns="0" bIns="0" rtlCol="0">
                          <a:prstTxWarp prst="textNoShape">
                            <a:avLst/>
                          </a:prstTxWarp>
                          <a:noAutofit/>
                        </wps:bodyPr>
                      </wps:wsp>
                      <wps:wsp>
                        <wps:cNvPr id="799" name="Graphic 799"/>
                        <wps:cNvSpPr/>
                        <wps:spPr>
                          <a:xfrm>
                            <a:off x="1081253" y="6259970"/>
                            <a:ext cx="58419" cy="34290"/>
                          </a:xfrm>
                          <a:custGeom>
                            <a:avLst/>
                            <a:gdLst/>
                            <a:ahLst/>
                            <a:cxnLst/>
                            <a:rect l="l" t="t" r="r" b="b"/>
                            <a:pathLst>
                              <a:path w="58419" h="34290">
                                <a:moveTo>
                                  <a:pt x="20586" y="0"/>
                                </a:moveTo>
                                <a:lnTo>
                                  <a:pt x="57950" y="0"/>
                                </a:lnTo>
                                <a:lnTo>
                                  <a:pt x="57950" y="33693"/>
                                </a:lnTo>
                                <a:lnTo>
                                  <a:pt x="0" y="33693"/>
                                </a:lnTo>
                              </a:path>
                            </a:pathLst>
                          </a:custGeom>
                          <a:ln w="9524">
                            <a:solidFill>
                              <a:srgbClr val="231F20"/>
                            </a:solidFill>
                            <a:prstDash val="solid"/>
                          </a:ln>
                        </wps:spPr>
                        <wps:bodyPr wrap="square" lIns="0" tIns="0" rIns="0" bIns="0" rtlCol="0">
                          <a:prstTxWarp prst="textNoShape">
                            <a:avLst/>
                          </a:prstTxWarp>
                          <a:noAutofit/>
                        </wps:bodyPr>
                      </wps:wsp>
                      <wps:wsp>
                        <wps:cNvPr id="800" name="Graphic 800"/>
                        <wps:cNvSpPr/>
                        <wps:spPr>
                          <a:xfrm>
                            <a:off x="1382114" y="6340560"/>
                            <a:ext cx="25400" cy="1270"/>
                          </a:xfrm>
                          <a:custGeom>
                            <a:avLst/>
                            <a:gdLst/>
                            <a:ahLst/>
                            <a:cxnLst/>
                            <a:rect l="l" t="t" r="r" b="b"/>
                            <a:pathLst>
                              <a:path w="25400" h="0">
                                <a:moveTo>
                                  <a:pt x="25171" y="0"/>
                                </a:moveTo>
                                <a:lnTo>
                                  <a:pt x="25171" y="0"/>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01" name="Graphic 801"/>
                        <wps:cNvSpPr/>
                        <wps:spPr>
                          <a:xfrm>
                            <a:off x="1382114" y="6327342"/>
                            <a:ext cx="15240" cy="1270"/>
                          </a:xfrm>
                          <a:custGeom>
                            <a:avLst/>
                            <a:gdLst/>
                            <a:ahLst/>
                            <a:cxnLst/>
                            <a:rect l="l" t="t" r="r" b="b"/>
                            <a:pathLst>
                              <a:path w="15240" h="0">
                                <a:moveTo>
                                  <a:pt x="14655" y="0"/>
                                </a:moveTo>
                                <a:lnTo>
                                  <a:pt x="14655" y="0"/>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02" name="Graphic 802"/>
                        <wps:cNvSpPr/>
                        <wps:spPr>
                          <a:xfrm>
                            <a:off x="1081256" y="6334593"/>
                            <a:ext cx="22225" cy="1270"/>
                          </a:xfrm>
                          <a:custGeom>
                            <a:avLst/>
                            <a:gdLst/>
                            <a:ahLst/>
                            <a:cxnLst/>
                            <a:rect l="l" t="t" r="r" b="b"/>
                            <a:pathLst>
                              <a:path w="22225" h="0">
                                <a:moveTo>
                                  <a:pt x="0" y="0"/>
                                </a:moveTo>
                                <a:lnTo>
                                  <a:pt x="0" y="0"/>
                                </a:lnTo>
                                <a:lnTo>
                                  <a:pt x="21818" y="0"/>
                                </a:lnTo>
                              </a:path>
                            </a:pathLst>
                          </a:custGeom>
                          <a:ln w="9525">
                            <a:solidFill>
                              <a:srgbClr val="231F20"/>
                            </a:solidFill>
                            <a:prstDash val="solid"/>
                          </a:ln>
                        </wps:spPr>
                        <wps:bodyPr wrap="square" lIns="0" tIns="0" rIns="0" bIns="0" rtlCol="0">
                          <a:prstTxWarp prst="textNoShape">
                            <a:avLst/>
                          </a:prstTxWarp>
                          <a:noAutofit/>
                        </wps:bodyPr>
                      </wps:wsp>
                      <wps:wsp>
                        <wps:cNvPr id="803" name="Graphic 803"/>
                        <wps:cNvSpPr/>
                        <wps:spPr>
                          <a:xfrm>
                            <a:off x="1106418" y="6862340"/>
                            <a:ext cx="300990" cy="35560"/>
                          </a:xfrm>
                          <a:custGeom>
                            <a:avLst/>
                            <a:gdLst/>
                            <a:ahLst/>
                            <a:cxnLst/>
                            <a:rect l="l" t="t" r="r" b="b"/>
                            <a:pathLst>
                              <a:path w="300990" h="35560">
                                <a:moveTo>
                                  <a:pt x="300863" y="0"/>
                                </a:moveTo>
                                <a:lnTo>
                                  <a:pt x="0" y="0"/>
                                </a:lnTo>
                                <a:lnTo>
                                  <a:pt x="0" y="35382"/>
                                </a:lnTo>
                                <a:lnTo>
                                  <a:pt x="13030" y="35382"/>
                                </a:lnTo>
                                <a:lnTo>
                                  <a:pt x="14492" y="28271"/>
                                </a:lnTo>
                                <a:lnTo>
                                  <a:pt x="18430" y="22594"/>
                                </a:lnTo>
                                <a:lnTo>
                                  <a:pt x="24174" y="18835"/>
                                </a:lnTo>
                                <a:lnTo>
                                  <a:pt x="31051" y="17475"/>
                                </a:lnTo>
                                <a:lnTo>
                                  <a:pt x="38122" y="18835"/>
                                </a:lnTo>
                                <a:lnTo>
                                  <a:pt x="43902" y="22594"/>
                                </a:lnTo>
                                <a:lnTo>
                                  <a:pt x="47869" y="28271"/>
                                </a:lnTo>
                                <a:lnTo>
                                  <a:pt x="49504" y="35382"/>
                                </a:lnTo>
                                <a:lnTo>
                                  <a:pt x="73837" y="35382"/>
                                </a:lnTo>
                                <a:lnTo>
                                  <a:pt x="75298" y="28271"/>
                                </a:lnTo>
                                <a:lnTo>
                                  <a:pt x="79238" y="22594"/>
                                </a:lnTo>
                                <a:lnTo>
                                  <a:pt x="84992" y="18835"/>
                                </a:lnTo>
                                <a:lnTo>
                                  <a:pt x="91897" y="17475"/>
                                </a:lnTo>
                                <a:lnTo>
                                  <a:pt x="98975" y="18835"/>
                                </a:lnTo>
                                <a:lnTo>
                                  <a:pt x="104759" y="22594"/>
                                </a:lnTo>
                                <a:lnTo>
                                  <a:pt x="108727" y="28271"/>
                                </a:lnTo>
                                <a:lnTo>
                                  <a:pt x="110362" y="35382"/>
                                </a:lnTo>
                                <a:lnTo>
                                  <a:pt x="227418" y="35382"/>
                                </a:lnTo>
                                <a:lnTo>
                                  <a:pt x="228818" y="28271"/>
                                </a:lnTo>
                                <a:lnTo>
                                  <a:pt x="232652" y="22594"/>
                                </a:lnTo>
                                <a:lnTo>
                                  <a:pt x="238375" y="18835"/>
                                </a:lnTo>
                                <a:lnTo>
                                  <a:pt x="245440" y="17475"/>
                                </a:lnTo>
                                <a:lnTo>
                                  <a:pt x="252532" y="18835"/>
                                </a:lnTo>
                                <a:lnTo>
                                  <a:pt x="258265" y="22594"/>
                                </a:lnTo>
                                <a:lnTo>
                                  <a:pt x="262101" y="28271"/>
                                </a:lnTo>
                                <a:lnTo>
                                  <a:pt x="263499" y="35382"/>
                                </a:lnTo>
                                <a:lnTo>
                                  <a:pt x="300863" y="35382"/>
                                </a:lnTo>
                                <a:lnTo>
                                  <a:pt x="300863" y="0"/>
                                </a:lnTo>
                                <a:close/>
                              </a:path>
                            </a:pathLst>
                          </a:custGeom>
                          <a:ln w="9525">
                            <a:solidFill>
                              <a:srgbClr val="231F20"/>
                            </a:solidFill>
                            <a:prstDash val="solid"/>
                          </a:ln>
                        </wps:spPr>
                        <wps:bodyPr wrap="square" lIns="0" tIns="0" rIns="0" bIns="0" rtlCol="0">
                          <a:prstTxWarp prst="textNoShape">
                            <a:avLst/>
                          </a:prstTxWarp>
                          <a:noAutofit/>
                        </wps:bodyPr>
                      </wps:wsp>
                      <pic:pic>
                        <pic:nvPicPr>
                          <pic:cNvPr id="804" name="Image 804"/>
                          <pic:cNvPicPr/>
                        </pic:nvPicPr>
                        <pic:blipFill>
                          <a:blip r:embed="rId78" cstate="print"/>
                          <a:stretch>
                            <a:fillRect/>
                          </a:stretch>
                        </pic:blipFill>
                        <pic:spPr>
                          <a:xfrm>
                            <a:off x="1081253" y="6727088"/>
                            <a:ext cx="330794" cy="194591"/>
                          </a:xfrm>
                          <a:prstGeom prst="rect">
                            <a:avLst/>
                          </a:prstGeom>
                        </pic:spPr>
                      </pic:pic>
                      <wps:wsp>
                        <wps:cNvPr id="805" name="Graphic 805"/>
                        <wps:cNvSpPr/>
                        <wps:spPr>
                          <a:xfrm>
                            <a:off x="1106418" y="6862340"/>
                            <a:ext cx="300990" cy="35560"/>
                          </a:xfrm>
                          <a:custGeom>
                            <a:avLst/>
                            <a:gdLst/>
                            <a:ahLst/>
                            <a:cxnLst/>
                            <a:rect l="l" t="t" r="r" b="b"/>
                            <a:pathLst>
                              <a:path w="300990" h="35560">
                                <a:moveTo>
                                  <a:pt x="300863" y="0"/>
                                </a:moveTo>
                                <a:lnTo>
                                  <a:pt x="0" y="0"/>
                                </a:lnTo>
                                <a:lnTo>
                                  <a:pt x="0" y="35382"/>
                                </a:lnTo>
                                <a:lnTo>
                                  <a:pt x="13030" y="35382"/>
                                </a:lnTo>
                                <a:lnTo>
                                  <a:pt x="14492" y="28271"/>
                                </a:lnTo>
                                <a:lnTo>
                                  <a:pt x="18430" y="22594"/>
                                </a:lnTo>
                                <a:lnTo>
                                  <a:pt x="24174" y="18835"/>
                                </a:lnTo>
                                <a:lnTo>
                                  <a:pt x="31051" y="17475"/>
                                </a:lnTo>
                                <a:lnTo>
                                  <a:pt x="38122" y="18835"/>
                                </a:lnTo>
                                <a:lnTo>
                                  <a:pt x="43902" y="22594"/>
                                </a:lnTo>
                                <a:lnTo>
                                  <a:pt x="47869" y="28271"/>
                                </a:lnTo>
                                <a:lnTo>
                                  <a:pt x="49504" y="35382"/>
                                </a:lnTo>
                                <a:lnTo>
                                  <a:pt x="73837" y="35382"/>
                                </a:lnTo>
                                <a:lnTo>
                                  <a:pt x="75298" y="28271"/>
                                </a:lnTo>
                                <a:lnTo>
                                  <a:pt x="79238" y="22594"/>
                                </a:lnTo>
                                <a:lnTo>
                                  <a:pt x="84992" y="18835"/>
                                </a:lnTo>
                                <a:lnTo>
                                  <a:pt x="91897" y="17475"/>
                                </a:lnTo>
                                <a:lnTo>
                                  <a:pt x="98975" y="18835"/>
                                </a:lnTo>
                                <a:lnTo>
                                  <a:pt x="104759" y="22594"/>
                                </a:lnTo>
                                <a:lnTo>
                                  <a:pt x="108727" y="28271"/>
                                </a:lnTo>
                                <a:lnTo>
                                  <a:pt x="110362" y="35382"/>
                                </a:lnTo>
                                <a:lnTo>
                                  <a:pt x="227418" y="35382"/>
                                </a:lnTo>
                                <a:lnTo>
                                  <a:pt x="228818" y="28271"/>
                                </a:lnTo>
                                <a:lnTo>
                                  <a:pt x="232652" y="22594"/>
                                </a:lnTo>
                                <a:lnTo>
                                  <a:pt x="238375" y="18835"/>
                                </a:lnTo>
                                <a:lnTo>
                                  <a:pt x="245440" y="17475"/>
                                </a:lnTo>
                                <a:lnTo>
                                  <a:pt x="252532" y="18835"/>
                                </a:lnTo>
                                <a:lnTo>
                                  <a:pt x="258265" y="22594"/>
                                </a:lnTo>
                                <a:lnTo>
                                  <a:pt x="262101" y="28271"/>
                                </a:lnTo>
                                <a:lnTo>
                                  <a:pt x="263499" y="35382"/>
                                </a:lnTo>
                                <a:lnTo>
                                  <a:pt x="300863" y="35382"/>
                                </a:lnTo>
                                <a:lnTo>
                                  <a:pt x="300863" y="0"/>
                                </a:lnTo>
                                <a:close/>
                              </a:path>
                            </a:pathLst>
                          </a:custGeom>
                          <a:ln w="9525">
                            <a:solidFill>
                              <a:srgbClr val="231F20"/>
                            </a:solidFill>
                            <a:prstDash val="solid"/>
                          </a:ln>
                        </wps:spPr>
                        <wps:bodyPr wrap="square" lIns="0" tIns="0" rIns="0" bIns="0" rtlCol="0">
                          <a:prstTxWarp prst="textNoShape">
                            <a:avLst/>
                          </a:prstTxWarp>
                          <a:noAutofit/>
                        </wps:bodyPr>
                      </wps:wsp>
                      <wps:wsp>
                        <wps:cNvPr id="806" name="Graphic 806"/>
                        <wps:cNvSpPr/>
                        <wps:spPr>
                          <a:xfrm>
                            <a:off x="1119455" y="6897727"/>
                            <a:ext cx="36830" cy="19685"/>
                          </a:xfrm>
                          <a:custGeom>
                            <a:avLst/>
                            <a:gdLst/>
                            <a:ahLst/>
                            <a:cxnLst/>
                            <a:rect l="l" t="t" r="r" b="b"/>
                            <a:pathLst>
                              <a:path w="36830" h="19685">
                                <a:moveTo>
                                  <a:pt x="0" y="0"/>
                                </a:moveTo>
                                <a:lnTo>
                                  <a:pt x="0" y="431"/>
                                </a:lnTo>
                                <a:lnTo>
                                  <a:pt x="1397" y="7675"/>
                                </a:lnTo>
                                <a:lnTo>
                                  <a:pt x="5227" y="13644"/>
                                </a:lnTo>
                                <a:lnTo>
                                  <a:pt x="10946" y="17696"/>
                                </a:lnTo>
                                <a:lnTo>
                                  <a:pt x="18008" y="19189"/>
                                </a:lnTo>
                                <a:lnTo>
                                  <a:pt x="25140" y="17696"/>
                                </a:lnTo>
                                <a:lnTo>
                                  <a:pt x="31011" y="13644"/>
                                </a:lnTo>
                                <a:lnTo>
                                  <a:pt x="34994" y="7675"/>
                                </a:lnTo>
                                <a:lnTo>
                                  <a:pt x="36461" y="431"/>
                                </a:lnTo>
                                <a:lnTo>
                                  <a:pt x="36461" y="0"/>
                                </a:lnTo>
                              </a:path>
                            </a:pathLst>
                          </a:custGeom>
                          <a:ln w="9525">
                            <a:solidFill>
                              <a:srgbClr val="231F20"/>
                            </a:solidFill>
                            <a:prstDash val="solid"/>
                          </a:ln>
                        </wps:spPr>
                        <wps:bodyPr wrap="square" lIns="0" tIns="0" rIns="0" bIns="0" rtlCol="0">
                          <a:prstTxWarp prst="textNoShape">
                            <a:avLst/>
                          </a:prstTxWarp>
                          <a:noAutofit/>
                        </wps:bodyPr>
                      </wps:wsp>
                      <wps:wsp>
                        <wps:cNvPr id="807" name="Graphic 807"/>
                        <wps:cNvSpPr/>
                        <wps:spPr>
                          <a:xfrm>
                            <a:off x="1180254" y="6897727"/>
                            <a:ext cx="36830" cy="19685"/>
                          </a:xfrm>
                          <a:custGeom>
                            <a:avLst/>
                            <a:gdLst/>
                            <a:ahLst/>
                            <a:cxnLst/>
                            <a:rect l="l" t="t" r="r" b="b"/>
                            <a:pathLst>
                              <a:path w="36830" h="19685">
                                <a:moveTo>
                                  <a:pt x="0" y="0"/>
                                </a:moveTo>
                                <a:lnTo>
                                  <a:pt x="0" y="431"/>
                                </a:lnTo>
                                <a:lnTo>
                                  <a:pt x="1407" y="7675"/>
                                </a:lnTo>
                                <a:lnTo>
                                  <a:pt x="5259" y="13644"/>
                                </a:lnTo>
                                <a:lnTo>
                                  <a:pt x="10999" y="17696"/>
                                </a:lnTo>
                                <a:lnTo>
                                  <a:pt x="18072" y="19189"/>
                                </a:lnTo>
                                <a:lnTo>
                                  <a:pt x="25198" y="17696"/>
                                </a:lnTo>
                                <a:lnTo>
                                  <a:pt x="31070" y="13644"/>
                                </a:lnTo>
                                <a:lnTo>
                                  <a:pt x="35056" y="7675"/>
                                </a:lnTo>
                                <a:lnTo>
                                  <a:pt x="36525" y="431"/>
                                </a:lnTo>
                                <a:lnTo>
                                  <a:pt x="36525" y="0"/>
                                </a:lnTo>
                              </a:path>
                            </a:pathLst>
                          </a:custGeom>
                          <a:ln w="9525">
                            <a:solidFill>
                              <a:srgbClr val="231F20"/>
                            </a:solidFill>
                            <a:prstDash val="solid"/>
                          </a:ln>
                        </wps:spPr>
                        <wps:bodyPr wrap="square" lIns="0" tIns="0" rIns="0" bIns="0" rtlCol="0">
                          <a:prstTxWarp prst="textNoShape">
                            <a:avLst/>
                          </a:prstTxWarp>
                          <a:noAutofit/>
                        </wps:bodyPr>
                      </wps:wsp>
                      <wps:wsp>
                        <wps:cNvPr id="808" name="Graphic 808"/>
                        <wps:cNvSpPr/>
                        <wps:spPr>
                          <a:xfrm>
                            <a:off x="1333844" y="6897727"/>
                            <a:ext cx="36830" cy="19685"/>
                          </a:xfrm>
                          <a:custGeom>
                            <a:avLst/>
                            <a:gdLst/>
                            <a:ahLst/>
                            <a:cxnLst/>
                            <a:rect l="l" t="t" r="r" b="b"/>
                            <a:pathLst>
                              <a:path w="36830" h="19685">
                                <a:moveTo>
                                  <a:pt x="0" y="0"/>
                                </a:moveTo>
                                <a:lnTo>
                                  <a:pt x="0" y="431"/>
                                </a:lnTo>
                                <a:lnTo>
                                  <a:pt x="1397" y="7675"/>
                                </a:lnTo>
                                <a:lnTo>
                                  <a:pt x="5227" y="13644"/>
                                </a:lnTo>
                                <a:lnTo>
                                  <a:pt x="10946" y="17696"/>
                                </a:lnTo>
                                <a:lnTo>
                                  <a:pt x="18008" y="19189"/>
                                </a:lnTo>
                                <a:lnTo>
                                  <a:pt x="25171" y="17696"/>
                                </a:lnTo>
                                <a:lnTo>
                                  <a:pt x="31062" y="13644"/>
                                </a:lnTo>
                                <a:lnTo>
                                  <a:pt x="35055" y="7675"/>
                                </a:lnTo>
                                <a:lnTo>
                                  <a:pt x="36525" y="431"/>
                                </a:lnTo>
                                <a:lnTo>
                                  <a:pt x="36080" y="0"/>
                                </a:lnTo>
                              </a:path>
                            </a:pathLst>
                          </a:custGeom>
                          <a:ln w="9525">
                            <a:solidFill>
                              <a:srgbClr val="231F20"/>
                            </a:solidFill>
                            <a:prstDash val="solid"/>
                          </a:ln>
                        </wps:spPr>
                        <wps:bodyPr wrap="square" lIns="0" tIns="0" rIns="0" bIns="0" rtlCol="0">
                          <a:prstTxWarp prst="textNoShape">
                            <a:avLst/>
                          </a:prstTxWarp>
                          <a:noAutofit/>
                        </wps:bodyPr>
                      </wps:wsp>
                      <wps:wsp>
                        <wps:cNvPr id="809" name="Graphic 809"/>
                        <wps:cNvSpPr/>
                        <wps:spPr>
                          <a:xfrm>
                            <a:off x="1326678" y="6780888"/>
                            <a:ext cx="80645" cy="116839"/>
                          </a:xfrm>
                          <a:custGeom>
                            <a:avLst/>
                            <a:gdLst/>
                            <a:ahLst/>
                            <a:cxnLst/>
                            <a:rect l="l" t="t" r="r" b="b"/>
                            <a:pathLst>
                              <a:path w="80645" h="116839">
                                <a:moveTo>
                                  <a:pt x="43687" y="116839"/>
                                </a:moveTo>
                                <a:lnTo>
                                  <a:pt x="80606" y="116839"/>
                                </a:lnTo>
                                <a:lnTo>
                                  <a:pt x="80606" y="53301"/>
                                </a:lnTo>
                                <a:lnTo>
                                  <a:pt x="43687" y="0"/>
                                </a:lnTo>
                                <a:lnTo>
                                  <a:pt x="0" y="0"/>
                                </a:lnTo>
                                <a:lnTo>
                                  <a:pt x="0" y="116839"/>
                                </a:lnTo>
                              </a:path>
                            </a:pathLst>
                          </a:custGeom>
                          <a:ln w="9525">
                            <a:solidFill>
                              <a:srgbClr val="231F20"/>
                            </a:solidFill>
                            <a:prstDash val="solid"/>
                          </a:ln>
                        </wps:spPr>
                        <wps:bodyPr wrap="square" lIns="0" tIns="0" rIns="0" bIns="0" rtlCol="0">
                          <a:prstTxWarp prst="textNoShape">
                            <a:avLst/>
                          </a:prstTxWarp>
                          <a:noAutofit/>
                        </wps:bodyPr>
                      </wps:wsp>
                      <wps:wsp>
                        <wps:cNvPr id="810" name="Graphic 810"/>
                        <wps:cNvSpPr/>
                        <wps:spPr>
                          <a:xfrm>
                            <a:off x="1349335" y="6804773"/>
                            <a:ext cx="58419" cy="34290"/>
                          </a:xfrm>
                          <a:custGeom>
                            <a:avLst/>
                            <a:gdLst/>
                            <a:ahLst/>
                            <a:cxnLst/>
                            <a:rect l="l" t="t" r="r" b="b"/>
                            <a:pathLst>
                              <a:path w="58419" h="34290">
                                <a:moveTo>
                                  <a:pt x="37363" y="0"/>
                                </a:moveTo>
                                <a:lnTo>
                                  <a:pt x="0" y="0"/>
                                </a:lnTo>
                                <a:lnTo>
                                  <a:pt x="0" y="33693"/>
                                </a:lnTo>
                                <a:lnTo>
                                  <a:pt x="57950" y="33693"/>
                                </a:lnTo>
                              </a:path>
                            </a:pathLst>
                          </a:custGeom>
                          <a:ln w="9524">
                            <a:solidFill>
                              <a:srgbClr val="231F20"/>
                            </a:solidFill>
                            <a:prstDash val="solid"/>
                          </a:ln>
                        </wps:spPr>
                        <wps:bodyPr wrap="square" lIns="0" tIns="0" rIns="0" bIns="0" rtlCol="0">
                          <a:prstTxWarp prst="textNoShape">
                            <a:avLst/>
                          </a:prstTxWarp>
                          <a:noAutofit/>
                        </wps:bodyPr>
                      </wps:wsp>
                      <wps:wsp>
                        <wps:cNvPr id="811" name="Graphic 811"/>
                        <wps:cNvSpPr/>
                        <wps:spPr>
                          <a:xfrm>
                            <a:off x="1081253" y="6885361"/>
                            <a:ext cx="25400" cy="1270"/>
                          </a:xfrm>
                          <a:custGeom>
                            <a:avLst/>
                            <a:gdLst/>
                            <a:ahLst/>
                            <a:cxnLst/>
                            <a:rect l="l" t="t" r="r" b="b"/>
                            <a:pathLst>
                              <a:path w="25400" h="0">
                                <a:moveTo>
                                  <a:pt x="0" y="0"/>
                                </a:moveTo>
                                <a:lnTo>
                                  <a:pt x="0" y="0"/>
                                </a:lnTo>
                                <a:lnTo>
                                  <a:pt x="25171" y="0"/>
                                </a:lnTo>
                              </a:path>
                            </a:pathLst>
                          </a:custGeom>
                          <a:ln w="9525">
                            <a:solidFill>
                              <a:srgbClr val="231F20"/>
                            </a:solidFill>
                            <a:prstDash val="solid"/>
                          </a:ln>
                        </wps:spPr>
                        <wps:bodyPr wrap="square" lIns="0" tIns="0" rIns="0" bIns="0" rtlCol="0">
                          <a:prstTxWarp prst="textNoShape">
                            <a:avLst/>
                          </a:prstTxWarp>
                          <a:noAutofit/>
                        </wps:bodyPr>
                      </wps:wsp>
                      <wps:wsp>
                        <wps:cNvPr id="812" name="Graphic 812"/>
                        <wps:cNvSpPr/>
                        <wps:spPr>
                          <a:xfrm>
                            <a:off x="1091769" y="6872144"/>
                            <a:ext cx="15240" cy="1270"/>
                          </a:xfrm>
                          <a:custGeom>
                            <a:avLst/>
                            <a:gdLst/>
                            <a:ahLst/>
                            <a:cxnLst/>
                            <a:rect l="l" t="t" r="r" b="b"/>
                            <a:pathLst>
                              <a:path w="15240" h="0">
                                <a:moveTo>
                                  <a:pt x="0" y="0"/>
                                </a:moveTo>
                                <a:lnTo>
                                  <a:pt x="0" y="0"/>
                                </a:lnTo>
                                <a:lnTo>
                                  <a:pt x="14655" y="0"/>
                                </a:lnTo>
                              </a:path>
                            </a:pathLst>
                          </a:custGeom>
                          <a:ln w="9525">
                            <a:solidFill>
                              <a:srgbClr val="231F20"/>
                            </a:solidFill>
                            <a:prstDash val="solid"/>
                          </a:ln>
                        </wps:spPr>
                        <wps:bodyPr wrap="square" lIns="0" tIns="0" rIns="0" bIns="0" rtlCol="0">
                          <a:prstTxWarp prst="textNoShape">
                            <a:avLst/>
                          </a:prstTxWarp>
                          <a:noAutofit/>
                        </wps:bodyPr>
                      </wps:wsp>
                      <wps:wsp>
                        <wps:cNvPr id="813" name="Graphic 813"/>
                        <wps:cNvSpPr/>
                        <wps:spPr>
                          <a:xfrm>
                            <a:off x="1385463" y="6879395"/>
                            <a:ext cx="22225" cy="1270"/>
                          </a:xfrm>
                          <a:custGeom>
                            <a:avLst/>
                            <a:gdLst/>
                            <a:ahLst/>
                            <a:cxnLst/>
                            <a:rect l="l" t="t" r="r" b="b"/>
                            <a:pathLst>
                              <a:path w="22225" h="0">
                                <a:moveTo>
                                  <a:pt x="21818" y="0"/>
                                </a:moveTo>
                                <a:lnTo>
                                  <a:pt x="21818" y="0"/>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14" name="Graphic 814"/>
                        <wps:cNvSpPr/>
                        <wps:spPr>
                          <a:xfrm>
                            <a:off x="1052264" y="6488473"/>
                            <a:ext cx="384175" cy="95885"/>
                          </a:xfrm>
                          <a:custGeom>
                            <a:avLst/>
                            <a:gdLst/>
                            <a:ahLst/>
                            <a:cxnLst/>
                            <a:rect l="l" t="t" r="r" b="b"/>
                            <a:pathLst>
                              <a:path w="384175" h="95885">
                                <a:moveTo>
                                  <a:pt x="384009" y="0"/>
                                </a:moveTo>
                                <a:lnTo>
                                  <a:pt x="92875" y="0"/>
                                </a:lnTo>
                                <a:lnTo>
                                  <a:pt x="48895" y="3763"/>
                                </a:lnTo>
                                <a:lnTo>
                                  <a:pt x="20243" y="14009"/>
                                </a:lnTo>
                                <a:lnTo>
                                  <a:pt x="4689" y="29173"/>
                                </a:lnTo>
                                <a:lnTo>
                                  <a:pt x="0" y="47688"/>
                                </a:lnTo>
                                <a:lnTo>
                                  <a:pt x="4689" y="66203"/>
                                </a:lnTo>
                                <a:lnTo>
                                  <a:pt x="20243" y="81367"/>
                                </a:lnTo>
                                <a:lnTo>
                                  <a:pt x="48895" y="91613"/>
                                </a:lnTo>
                                <a:lnTo>
                                  <a:pt x="92875" y="95376"/>
                                </a:lnTo>
                                <a:lnTo>
                                  <a:pt x="329323" y="95376"/>
                                </a:lnTo>
                              </a:path>
                            </a:pathLst>
                          </a:custGeom>
                          <a:ln w="12700">
                            <a:solidFill>
                              <a:srgbClr val="231F20"/>
                            </a:solidFill>
                            <a:prstDash val="solid"/>
                          </a:ln>
                        </wps:spPr>
                        <wps:bodyPr wrap="square" lIns="0" tIns="0" rIns="0" bIns="0" rtlCol="0">
                          <a:prstTxWarp prst="textNoShape">
                            <a:avLst/>
                          </a:prstTxWarp>
                          <a:noAutofit/>
                        </wps:bodyPr>
                      </wps:wsp>
                      <wps:wsp>
                        <wps:cNvPr id="815" name="Graphic 815"/>
                        <wps:cNvSpPr/>
                        <wps:spPr>
                          <a:xfrm>
                            <a:off x="1370474" y="6545853"/>
                            <a:ext cx="66040" cy="76200"/>
                          </a:xfrm>
                          <a:custGeom>
                            <a:avLst/>
                            <a:gdLst/>
                            <a:ahLst/>
                            <a:cxnLst/>
                            <a:rect l="l" t="t" r="r" b="b"/>
                            <a:pathLst>
                              <a:path w="66040" h="76200">
                                <a:moveTo>
                                  <a:pt x="0" y="0"/>
                                </a:moveTo>
                                <a:lnTo>
                                  <a:pt x="0" y="75996"/>
                                </a:lnTo>
                                <a:lnTo>
                                  <a:pt x="65798" y="37998"/>
                                </a:lnTo>
                                <a:lnTo>
                                  <a:pt x="0" y="0"/>
                                </a:lnTo>
                                <a:close/>
                              </a:path>
                            </a:pathLst>
                          </a:custGeom>
                          <a:solidFill>
                            <a:srgbClr val="231F20"/>
                          </a:solidFill>
                        </wps:spPr>
                        <wps:bodyPr wrap="square" lIns="0" tIns="0" rIns="0" bIns="0" rtlCol="0">
                          <a:prstTxWarp prst="textNoShape">
                            <a:avLst/>
                          </a:prstTxWarp>
                          <a:noAutofit/>
                        </wps:bodyPr>
                      </wps:wsp>
                      <wps:wsp>
                        <wps:cNvPr id="816" name="Graphic 816"/>
                        <wps:cNvSpPr/>
                        <wps:spPr>
                          <a:xfrm>
                            <a:off x="1770872" y="7733553"/>
                            <a:ext cx="40005" cy="22225"/>
                          </a:xfrm>
                          <a:custGeom>
                            <a:avLst/>
                            <a:gdLst/>
                            <a:ahLst/>
                            <a:cxnLst/>
                            <a:rect l="l" t="t" r="r" b="b"/>
                            <a:pathLst>
                              <a:path w="40005" h="22225">
                                <a:moveTo>
                                  <a:pt x="39433" y="0"/>
                                </a:moveTo>
                                <a:lnTo>
                                  <a:pt x="37891" y="8142"/>
                                </a:lnTo>
                                <a:lnTo>
                                  <a:pt x="33681" y="15244"/>
                                </a:lnTo>
                                <a:lnTo>
                                  <a:pt x="27426" y="20268"/>
                                </a:lnTo>
                                <a:lnTo>
                                  <a:pt x="19748" y="22174"/>
                                </a:lnTo>
                                <a:lnTo>
                                  <a:pt x="12060" y="20268"/>
                                </a:lnTo>
                                <a:lnTo>
                                  <a:pt x="5783"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17" name="Graphic 817"/>
                        <wps:cNvSpPr/>
                        <wps:spPr>
                          <a:xfrm>
                            <a:off x="1731440" y="7733553"/>
                            <a:ext cx="40005" cy="22225"/>
                          </a:xfrm>
                          <a:custGeom>
                            <a:avLst/>
                            <a:gdLst/>
                            <a:ahLst/>
                            <a:cxnLst/>
                            <a:rect l="l" t="t" r="r" b="b"/>
                            <a:pathLst>
                              <a:path w="40005" h="22225">
                                <a:moveTo>
                                  <a:pt x="39433" y="0"/>
                                </a:moveTo>
                                <a:lnTo>
                                  <a:pt x="37891" y="8142"/>
                                </a:lnTo>
                                <a:lnTo>
                                  <a:pt x="33681" y="15244"/>
                                </a:lnTo>
                                <a:lnTo>
                                  <a:pt x="27426" y="20268"/>
                                </a:lnTo>
                                <a:lnTo>
                                  <a:pt x="19748" y="22174"/>
                                </a:lnTo>
                                <a:lnTo>
                                  <a:pt x="12060" y="20268"/>
                                </a:lnTo>
                                <a:lnTo>
                                  <a:pt x="5783"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18" name="Graphic 818"/>
                        <wps:cNvSpPr/>
                        <wps:spPr>
                          <a:xfrm>
                            <a:off x="1692008" y="7733553"/>
                            <a:ext cx="40005" cy="22225"/>
                          </a:xfrm>
                          <a:custGeom>
                            <a:avLst/>
                            <a:gdLst/>
                            <a:ahLst/>
                            <a:cxnLst/>
                            <a:rect l="l" t="t" r="r" b="b"/>
                            <a:pathLst>
                              <a:path w="40005" h="22225">
                                <a:moveTo>
                                  <a:pt x="39433" y="0"/>
                                </a:moveTo>
                                <a:lnTo>
                                  <a:pt x="37891" y="8142"/>
                                </a:lnTo>
                                <a:lnTo>
                                  <a:pt x="33681" y="15244"/>
                                </a:lnTo>
                                <a:lnTo>
                                  <a:pt x="27426" y="20268"/>
                                </a:lnTo>
                                <a:lnTo>
                                  <a:pt x="19748" y="22174"/>
                                </a:lnTo>
                                <a:lnTo>
                                  <a:pt x="12060" y="20268"/>
                                </a:lnTo>
                                <a:lnTo>
                                  <a:pt x="5783"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19" name="Graphic 819"/>
                        <wps:cNvSpPr/>
                        <wps:spPr>
                          <a:xfrm>
                            <a:off x="1652576" y="7733553"/>
                            <a:ext cx="40005" cy="22225"/>
                          </a:xfrm>
                          <a:custGeom>
                            <a:avLst/>
                            <a:gdLst/>
                            <a:ahLst/>
                            <a:cxnLst/>
                            <a:rect l="l" t="t" r="r" b="b"/>
                            <a:pathLst>
                              <a:path w="40005" h="22225">
                                <a:moveTo>
                                  <a:pt x="39433" y="0"/>
                                </a:moveTo>
                                <a:lnTo>
                                  <a:pt x="37881" y="8142"/>
                                </a:lnTo>
                                <a:lnTo>
                                  <a:pt x="33650" y="15244"/>
                                </a:lnTo>
                                <a:lnTo>
                                  <a:pt x="27373" y="20268"/>
                                </a:lnTo>
                                <a:lnTo>
                                  <a:pt x="19684" y="22174"/>
                                </a:lnTo>
                                <a:lnTo>
                                  <a:pt x="12012" y="20268"/>
                                </a:lnTo>
                                <a:lnTo>
                                  <a:pt x="5756" y="15244"/>
                                </a:lnTo>
                                <a:lnTo>
                                  <a:pt x="1543"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20" name="Graphic 820"/>
                        <wps:cNvSpPr/>
                        <wps:spPr>
                          <a:xfrm>
                            <a:off x="1613143" y="7733553"/>
                            <a:ext cx="40005" cy="22225"/>
                          </a:xfrm>
                          <a:custGeom>
                            <a:avLst/>
                            <a:gdLst/>
                            <a:ahLst/>
                            <a:cxnLst/>
                            <a:rect l="l" t="t" r="r" b="b"/>
                            <a:pathLst>
                              <a:path w="40005" h="22225">
                                <a:moveTo>
                                  <a:pt x="39433" y="0"/>
                                </a:moveTo>
                                <a:lnTo>
                                  <a:pt x="37881" y="8142"/>
                                </a:lnTo>
                                <a:lnTo>
                                  <a:pt x="33650" y="15244"/>
                                </a:lnTo>
                                <a:lnTo>
                                  <a:pt x="27373" y="20268"/>
                                </a:lnTo>
                                <a:lnTo>
                                  <a:pt x="19684" y="22174"/>
                                </a:lnTo>
                                <a:lnTo>
                                  <a:pt x="12012" y="20268"/>
                                </a:lnTo>
                                <a:lnTo>
                                  <a:pt x="5756" y="15244"/>
                                </a:lnTo>
                                <a:lnTo>
                                  <a:pt x="1543"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21" name="Graphic 821"/>
                        <wps:cNvSpPr/>
                        <wps:spPr>
                          <a:xfrm>
                            <a:off x="1573711" y="7733553"/>
                            <a:ext cx="40005" cy="22225"/>
                          </a:xfrm>
                          <a:custGeom>
                            <a:avLst/>
                            <a:gdLst/>
                            <a:ahLst/>
                            <a:cxnLst/>
                            <a:rect l="l" t="t" r="r" b="b"/>
                            <a:pathLst>
                              <a:path w="40005" h="22225">
                                <a:moveTo>
                                  <a:pt x="39433" y="0"/>
                                </a:moveTo>
                                <a:lnTo>
                                  <a:pt x="37881" y="8142"/>
                                </a:lnTo>
                                <a:lnTo>
                                  <a:pt x="33650" y="15244"/>
                                </a:lnTo>
                                <a:lnTo>
                                  <a:pt x="27373" y="20268"/>
                                </a:lnTo>
                                <a:lnTo>
                                  <a:pt x="19684" y="22174"/>
                                </a:lnTo>
                                <a:lnTo>
                                  <a:pt x="12012" y="20268"/>
                                </a:lnTo>
                                <a:lnTo>
                                  <a:pt x="5756" y="15244"/>
                                </a:lnTo>
                                <a:lnTo>
                                  <a:pt x="1543"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22" name="Graphic 822"/>
                        <wps:cNvSpPr/>
                        <wps:spPr>
                          <a:xfrm>
                            <a:off x="1534228" y="7733553"/>
                            <a:ext cx="40005" cy="22225"/>
                          </a:xfrm>
                          <a:custGeom>
                            <a:avLst/>
                            <a:gdLst/>
                            <a:ahLst/>
                            <a:cxnLst/>
                            <a:rect l="l" t="t" r="r" b="b"/>
                            <a:pathLst>
                              <a:path w="40005" h="22225">
                                <a:moveTo>
                                  <a:pt x="39484" y="0"/>
                                </a:moveTo>
                                <a:lnTo>
                                  <a:pt x="37932" y="8142"/>
                                </a:lnTo>
                                <a:lnTo>
                                  <a:pt x="33701" y="15244"/>
                                </a:lnTo>
                                <a:lnTo>
                                  <a:pt x="27423" y="20268"/>
                                </a:lnTo>
                                <a:lnTo>
                                  <a:pt x="19735" y="22174"/>
                                </a:lnTo>
                                <a:lnTo>
                                  <a:pt x="12055" y="20268"/>
                                </a:lnTo>
                                <a:lnTo>
                                  <a:pt x="5781"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23" name="Graphic 823"/>
                        <wps:cNvSpPr/>
                        <wps:spPr>
                          <a:xfrm>
                            <a:off x="1494791" y="7733553"/>
                            <a:ext cx="40005" cy="22225"/>
                          </a:xfrm>
                          <a:custGeom>
                            <a:avLst/>
                            <a:gdLst/>
                            <a:ahLst/>
                            <a:cxnLst/>
                            <a:rect l="l" t="t" r="r" b="b"/>
                            <a:pathLst>
                              <a:path w="40005" h="22225">
                                <a:moveTo>
                                  <a:pt x="39433" y="0"/>
                                </a:moveTo>
                                <a:lnTo>
                                  <a:pt x="37891" y="8142"/>
                                </a:lnTo>
                                <a:lnTo>
                                  <a:pt x="33681" y="15244"/>
                                </a:lnTo>
                                <a:lnTo>
                                  <a:pt x="27426" y="20268"/>
                                </a:lnTo>
                                <a:lnTo>
                                  <a:pt x="19748" y="22174"/>
                                </a:lnTo>
                                <a:lnTo>
                                  <a:pt x="12060" y="20268"/>
                                </a:lnTo>
                                <a:lnTo>
                                  <a:pt x="5783"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24" name="Graphic 824"/>
                        <wps:cNvSpPr/>
                        <wps:spPr>
                          <a:xfrm>
                            <a:off x="1455359" y="7733553"/>
                            <a:ext cx="40005" cy="22225"/>
                          </a:xfrm>
                          <a:custGeom>
                            <a:avLst/>
                            <a:gdLst/>
                            <a:ahLst/>
                            <a:cxnLst/>
                            <a:rect l="l" t="t" r="r" b="b"/>
                            <a:pathLst>
                              <a:path w="40005" h="22225">
                                <a:moveTo>
                                  <a:pt x="39433" y="0"/>
                                </a:moveTo>
                                <a:lnTo>
                                  <a:pt x="37891" y="8142"/>
                                </a:lnTo>
                                <a:lnTo>
                                  <a:pt x="33681" y="15244"/>
                                </a:lnTo>
                                <a:lnTo>
                                  <a:pt x="27426" y="20268"/>
                                </a:lnTo>
                                <a:lnTo>
                                  <a:pt x="19748" y="22174"/>
                                </a:lnTo>
                                <a:lnTo>
                                  <a:pt x="12060" y="20268"/>
                                </a:lnTo>
                                <a:lnTo>
                                  <a:pt x="5783"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25" name="Graphic 825"/>
                        <wps:cNvSpPr/>
                        <wps:spPr>
                          <a:xfrm>
                            <a:off x="1415926" y="7733553"/>
                            <a:ext cx="40005" cy="22225"/>
                          </a:xfrm>
                          <a:custGeom>
                            <a:avLst/>
                            <a:gdLst/>
                            <a:ahLst/>
                            <a:cxnLst/>
                            <a:rect l="l" t="t" r="r" b="b"/>
                            <a:pathLst>
                              <a:path w="40005" h="22225">
                                <a:moveTo>
                                  <a:pt x="39433" y="0"/>
                                </a:moveTo>
                                <a:lnTo>
                                  <a:pt x="37891" y="8142"/>
                                </a:lnTo>
                                <a:lnTo>
                                  <a:pt x="33681" y="15244"/>
                                </a:lnTo>
                                <a:lnTo>
                                  <a:pt x="27426" y="20268"/>
                                </a:lnTo>
                                <a:lnTo>
                                  <a:pt x="19748" y="22174"/>
                                </a:lnTo>
                                <a:lnTo>
                                  <a:pt x="12060" y="20268"/>
                                </a:lnTo>
                                <a:lnTo>
                                  <a:pt x="5783"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26" name="Graphic 826"/>
                        <wps:cNvSpPr/>
                        <wps:spPr>
                          <a:xfrm>
                            <a:off x="1427679" y="7684530"/>
                            <a:ext cx="371475" cy="60960"/>
                          </a:xfrm>
                          <a:custGeom>
                            <a:avLst/>
                            <a:gdLst/>
                            <a:ahLst/>
                            <a:cxnLst/>
                            <a:rect l="l" t="t" r="r" b="b"/>
                            <a:pathLst>
                              <a:path w="371475" h="60960">
                                <a:moveTo>
                                  <a:pt x="347687" y="59778"/>
                                </a:moveTo>
                                <a:lnTo>
                                  <a:pt x="370878" y="0"/>
                                </a:lnTo>
                                <a:lnTo>
                                  <a:pt x="193014" y="0"/>
                                </a:lnTo>
                                <a:lnTo>
                                  <a:pt x="185013" y="0"/>
                                </a:lnTo>
                                <a:lnTo>
                                  <a:pt x="0" y="0"/>
                                </a:lnTo>
                                <a:lnTo>
                                  <a:pt x="0" y="25590"/>
                                </a:lnTo>
                                <a:lnTo>
                                  <a:pt x="255" y="37166"/>
                                </a:lnTo>
                                <a:lnTo>
                                  <a:pt x="2047" y="44667"/>
                                </a:lnTo>
                                <a:lnTo>
                                  <a:pt x="6911" y="51370"/>
                                </a:lnTo>
                                <a:lnTo>
                                  <a:pt x="16383" y="60553"/>
                                </a:lnTo>
                              </a:path>
                            </a:pathLst>
                          </a:custGeom>
                          <a:ln w="9525">
                            <a:solidFill>
                              <a:srgbClr val="231F20"/>
                            </a:solidFill>
                            <a:prstDash val="solid"/>
                          </a:ln>
                        </wps:spPr>
                        <wps:bodyPr wrap="square" lIns="0" tIns="0" rIns="0" bIns="0" rtlCol="0">
                          <a:prstTxWarp prst="textNoShape">
                            <a:avLst/>
                          </a:prstTxWarp>
                          <a:noAutofit/>
                        </wps:bodyPr>
                      </wps:wsp>
                      <pic:pic>
                        <pic:nvPicPr>
                          <pic:cNvPr id="827" name="Image 827"/>
                          <pic:cNvPicPr/>
                        </pic:nvPicPr>
                        <pic:blipFill>
                          <a:blip r:embed="rId79" cstate="print"/>
                          <a:stretch>
                            <a:fillRect/>
                          </a:stretch>
                        </pic:blipFill>
                        <pic:spPr>
                          <a:xfrm>
                            <a:off x="1453561" y="7461873"/>
                            <a:ext cx="139179" cy="227418"/>
                          </a:xfrm>
                          <a:prstGeom prst="rect">
                            <a:avLst/>
                          </a:prstGeom>
                        </pic:spPr>
                      </pic:pic>
                      <wps:wsp>
                        <wps:cNvPr id="828" name="Graphic 828"/>
                        <wps:cNvSpPr/>
                        <wps:spPr>
                          <a:xfrm>
                            <a:off x="1618179" y="7509700"/>
                            <a:ext cx="153670" cy="87630"/>
                          </a:xfrm>
                          <a:custGeom>
                            <a:avLst/>
                            <a:gdLst/>
                            <a:ahLst/>
                            <a:cxnLst/>
                            <a:rect l="l" t="t" r="r" b="b"/>
                            <a:pathLst>
                              <a:path w="153670" h="87630">
                                <a:moveTo>
                                  <a:pt x="0" y="18338"/>
                                </a:moveTo>
                                <a:lnTo>
                                  <a:pt x="0" y="0"/>
                                </a:lnTo>
                                <a:lnTo>
                                  <a:pt x="18008" y="0"/>
                                </a:lnTo>
                                <a:lnTo>
                                  <a:pt x="36918" y="0"/>
                                </a:lnTo>
                                <a:lnTo>
                                  <a:pt x="153136" y="0"/>
                                </a:lnTo>
                                <a:lnTo>
                                  <a:pt x="153136" y="87414"/>
                                </a:lnTo>
                                <a:lnTo>
                                  <a:pt x="0" y="87414"/>
                                </a:lnTo>
                                <a:lnTo>
                                  <a:pt x="0" y="37528"/>
                                </a:lnTo>
                                <a:lnTo>
                                  <a:pt x="0" y="18338"/>
                                </a:lnTo>
                                <a:close/>
                              </a:path>
                            </a:pathLst>
                          </a:custGeom>
                          <a:ln w="9525">
                            <a:solidFill>
                              <a:srgbClr val="231F20"/>
                            </a:solidFill>
                            <a:prstDash val="solid"/>
                          </a:ln>
                        </wps:spPr>
                        <wps:bodyPr wrap="square" lIns="0" tIns="0" rIns="0" bIns="0" rtlCol="0">
                          <a:prstTxWarp prst="textNoShape">
                            <a:avLst/>
                          </a:prstTxWarp>
                          <a:noAutofit/>
                        </wps:bodyPr>
                      </wps:wsp>
                      <wps:wsp>
                        <wps:cNvPr id="829" name="Graphic 829"/>
                        <wps:cNvSpPr/>
                        <wps:spPr>
                          <a:xfrm>
                            <a:off x="1642508" y="7531875"/>
                            <a:ext cx="1270" cy="43180"/>
                          </a:xfrm>
                          <a:custGeom>
                            <a:avLst/>
                            <a:gdLst/>
                            <a:ahLst/>
                            <a:cxnLst/>
                            <a:rect l="l" t="t" r="r" b="b"/>
                            <a:pathLst>
                              <a:path w="0" h="43180">
                                <a:moveTo>
                                  <a:pt x="0" y="0"/>
                                </a:moveTo>
                                <a:lnTo>
                                  <a:pt x="0" y="0"/>
                                </a:lnTo>
                                <a:lnTo>
                                  <a:pt x="0" y="42646"/>
                                </a:lnTo>
                              </a:path>
                            </a:pathLst>
                          </a:custGeom>
                          <a:ln w="9525">
                            <a:solidFill>
                              <a:srgbClr val="231F20"/>
                            </a:solidFill>
                            <a:prstDash val="solid"/>
                          </a:ln>
                        </wps:spPr>
                        <wps:bodyPr wrap="square" lIns="0" tIns="0" rIns="0" bIns="0" rtlCol="0">
                          <a:prstTxWarp prst="textNoShape">
                            <a:avLst/>
                          </a:prstTxWarp>
                          <a:noAutofit/>
                        </wps:bodyPr>
                      </wps:wsp>
                      <wps:wsp>
                        <wps:cNvPr id="830" name="Graphic 830"/>
                        <wps:cNvSpPr/>
                        <wps:spPr>
                          <a:xfrm>
                            <a:off x="1663875" y="7532303"/>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31" name="Graphic 831"/>
                        <wps:cNvSpPr/>
                        <wps:spPr>
                          <a:xfrm>
                            <a:off x="1684458" y="7532303"/>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32" name="Graphic 832"/>
                        <wps:cNvSpPr/>
                        <wps:spPr>
                          <a:xfrm>
                            <a:off x="1705041" y="7532303"/>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33" name="Graphic 833"/>
                        <wps:cNvSpPr/>
                        <wps:spPr>
                          <a:xfrm>
                            <a:off x="1725176" y="7532303"/>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34" name="Graphic 834"/>
                        <wps:cNvSpPr/>
                        <wps:spPr>
                          <a:xfrm>
                            <a:off x="1746543" y="7532303"/>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35" name="Graphic 835"/>
                        <wps:cNvSpPr/>
                        <wps:spPr>
                          <a:xfrm>
                            <a:off x="1642508" y="7619289"/>
                            <a:ext cx="1270" cy="43180"/>
                          </a:xfrm>
                          <a:custGeom>
                            <a:avLst/>
                            <a:gdLst/>
                            <a:ahLst/>
                            <a:cxnLst/>
                            <a:rect l="l" t="t" r="r" b="b"/>
                            <a:pathLst>
                              <a:path w="0" h="43180">
                                <a:moveTo>
                                  <a:pt x="0" y="0"/>
                                </a:moveTo>
                                <a:lnTo>
                                  <a:pt x="0" y="0"/>
                                </a:lnTo>
                                <a:lnTo>
                                  <a:pt x="0" y="43065"/>
                                </a:lnTo>
                              </a:path>
                            </a:pathLst>
                          </a:custGeom>
                          <a:ln w="9525">
                            <a:solidFill>
                              <a:srgbClr val="231F20"/>
                            </a:solidFill>
                            <a:prstDash val="solid"/>
                          </a:ln>
                        </wps:spPr>
                        <wps:bodyPr wrap="square" lIns="0" tIns="0" rIns="0" bIns="0" rtlCol="0">
                          <a:prstTxWarp prst="textNoShape">
                            <a:avLst/>
                          </a:prstTxWarp>
                          <a:noAutofit/>
                        </wps:bodyPr>
                      </wps:wsp>
                      <wps:wsp>
                        <wps:cNvPr id="836" name="Graphic 836"/>
                        <wps:cNvSpPr/>
                        <wps:spPr>
                          <a:xfrm>
                            <a:off x="1663875" y="7620148"/>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37" name="Graphic 837"/>
                        <wps:cNvSpPr/>
                        <wps:spPr>
                          <a:xfrm>
                            <a:off x="1684458" y="7620148"/>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38" name="Graphic 838"/>
                        <wps:cNvSpPr/>
                        <wps:spPr>
                          <a:xfrm>
                            <a:off x="1705041" y="7620148"/>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39" name="Graphic 839"/>
                        <wps:cNvSpPr/>
                        <wps:spPr>
                          <a:xfrm>
                            <a:off x="1725176" y="7620148"/>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40" name="Graphic 840"/>
                        <wps:cNvSpPr/>
                        <wps:spPr>
                          <a:xfrm>
                            <a:off x="1746543" y="7620148"/>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41" name="Graphic 841"/>
                        <wps:cNvSpPr/>
                        <wps:spPr>
                          <a:xfrm>
                            <a:off x="1618179" y="7597123"/>
                            <a:ext cx="153670" cy="87630"/>
                          </a:xfrm>
                          <a:custGeom>
                            <a:avLst/>
                            <a:gdLst/>
                            <a:ahLst/>
                            <a:cxnLst/>
                            <a:rect l="l" t="t" r="r" b="b"/>
                            <a:pathLst>
                              <a:path w="153670" h="87630">
                                <a:moveTo>
                                  <a:pt x="0" y="33680"/>
                                </a:moveTo>
                                <a:lnTo>
                                  <a:pt x="0" y="33680"/>
                                </a:lnTo>
                                <a:lnTo>
                                  <a:pt x="0" y="0"/>
                                </a:lnTo>
                              </a:path>
                              <a:path w="153670" h="87630">
                                <a:moveTo>
                                  <a:pt x="153136" y="0"/>
                                </a:moveTo>
                                <a:lnTo>
                                  <a:pt x="153136" y="87414"/>
                                </a:lnTo>
                                <a:lnTo>
                                  <a:pt x="0" y="87414"/>
                                </a:lnTo>
                                <a:lnTo>
                                  <a:pt x="0" y="33680"/>
                                </a:lnTo>
                              </a:path>
                            </a:pathLst>
                          </a:custGeom>
                          <a:ln w="9525">
                            <a:solidFill>
                              <a:srgbClr val="231F20"/>
                            </a:solidFill>
                            <a:prstDash val="solid"/>
                          </a:ln>
                        </wps:spPr>
                        <wps:bodyPr wrap="square" lIns="0" tIns="0" rIns="0" bIns="0" rtlCol="0">
                          <a:prstTxWarp prst="textNoShape">
                            <a:avLst/>
                          </a:prstTxWarp>
                          <a:noAutofit/>
                        </wps:bodyPr>
                      </wps:wsp>
                      <pic:pic>
                        <pic:nvPicPr>
                          <pic:cNvPr id="842" name="Image 842"/>
                          <pic:cNvPicPr/>
                        </pic:nvPicPr>
                        <pic:blipFill>
                          <a:blip r:embed="rId80" cstate="print"/>
                          <a:stretch>
                            <a:fillRect/>
                          </a:stretch>
                        </pic:blipFill>
                        <pic:spPr>
                          <a:xfrm>
                            <a:off x="1085532" y="7459646"/>
                            <a:ext cx="248031" cy="303065"/>
                          </a:xfrm>
                          <a:prstGeom prst="rect">
                            <a:avLst/>
                          </a:prstGeom>
                        </pic:spPr>
                      </pic:pic>
                      <wps:wsp>
                        <wps:cNvPr id="843" name="Graphic 843"/>
                        <wps:cNvSpPr/>
                        <wps:spPr>
                          <a:xfrm>
                            <a:off x="5560653" y="7733553"/>
                            <a:ext cx="40005" cy="22225"/>
                          </a:xfrm>
                          <a:custGeom>
                            <a:avLst/>
                            <a:gdLst/>
                            <a:ahLst/>
                            <a:cxnLst/>
                            <a:rect l="l" t="t" r="r" b="b"/>
                            <a:pathLst>
                              <a:path w="40005" h="22225">
                                <a:moveTo>
                                  <a:pt x="39433" y="0"/>
                                </a:moveTo>
                                <a:lnTo>
                                  <a:pt x="37891" y="8142"/>
                                </a:lnTo>
                                <a:lnTo>
                                  <a:pt x="33681" y="15244"/>
                                </a:lnTo>
                                <a:lnTo>
                                  <a:pt x="27426" y="20268"/>
                                </a:lnTo>
                                <a:lnTo>
                                  <a:pt x="19748" y="22174"/>
                                </a:lnTo>
                                <a:lnTo>
                                  <a:pt x="12060" y="20268"/>
                                </a:lnTo>
                                <a:lnTo>
                                  <a:pt x="5783"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44" name="Graphic 844"/>
                        <wps:cNvSpPr/>
                        <wps:spPr>
                          <a:xfrm>
                            <a:off x="5521220" y="7733553"/>
                            <a:ext cx="40005" cy="22225"/>
                          </a:xfrm>
                          <a:custGeom>
                            <a:avLst/>
                            <a:gdLst/>
                            <a:ahLst/>
                            <a:cxnLst/>
                            <a:rect l="l" t="t" r="r" b="b"/>
                            <a:pathLst>
                              <a:path w="40005" h="22225">
                                <a:moveTo>
                                  <a:pt x="39433" y="0"/>
                                </a:moveTo>
                                <a:lnTo>
                                  <a:pt x="37891" y="8142"/>
                                </a:lnTo>
                                <a:lnTo>
                                  <a:pt x="33681" y="15244"/>
                                </a:lnTo>
                                <a:lnTo>
                                  <a:pt x="27426" y="20268"/>
                                </a:lnTo>
                                <a:lnTo>
                                  <a:pt x="19748" y="22174"/>
                                </a:lnTo>
                                <a:lnTo>
                                  <a:pt x="12060" y="20268"/>
                                </a:lnTo>
                                <a:lnTo>
                                  <a:pt x="5783"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45" name="Graphic 845"/>
                        <wps:cNvSpPr/>
                        <wps:spPr>
                          <a:xfrm>
                            <a:off x="5481788" y="7733553"/>
                            <a:ext cx="40005" cy="22225"/>
                          </a:xfrm>
                          <a:custGeom>
                            <a:avLst/>
                            <a:gdLst/>
                            <a:ahLst/>
                            <a:cxnLst/>
                            <a:rect l="l" t="t" r="r" b="b"/>
                            <a:pathLst>
                              <a:path w="40005" h="22225">
                                <a:moveTo>
                                  <a:pt x="39433" y="0"/>
                                </a:moveTo>
                                <a:lnTo>
                                  <a:pt x="37891" y="8142"/>
                                </a:lnTo>
                                <a:lnTo>
                                  <a:pt x="33681" y="15244"/>
                                </a:lnTo>
                                <a:lnTo>
                                  <a:pt x="27426" y="20268"/>
                                </a:lnTo>
                                <a:lnTo>
                                  <a:pt x="19748" y="22174"/>
                                </a:lnTo>
                                <a:lnTo>
                                  <a:pt x="12060" y="20268"/>
                                </a:lnTo>
                                <a:lnTo>
                                  <a:pt x="5783"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46" name="Graphic 846"/>
                        <wps:cNvSpPr/>
                        <wps:spPr>
                          <a:xfrm>
                            <a:off x="5442356" y="7733553"/>
                            <a:ext cx="40005" cy="22225"/>
                          </a:xfrm>
                          <a:custGeom>
                            <a:avLst/>
                            <a:gdLst/>
                            <a:ahLst/>
                            <a:cxnLst/>
                            <a:rect l="l" t="t" r="r" b="b"/>
                            <a:pathLst>
                              <a:path w="40005" h="22225">
                                <a:moveTo>
                                  <a:pt x="39433" y="0"/>
                                </a:moveTo>
                                <a:lnTo>
                                  <a:pt x="37881" y="8142"/>
                                </a:lnTo>
                                <a:lnTo>
                                  <a:pt x="33650" y="15244"/>
                                </a:lnTo>
                                <a:lnTo>
                                  <a:pt x="27373" y="20268"/>
                                </a:lnTo>
                                <a:lnTo>
                                  <a:pt x="19685" y="22174"/>
                                </a:lnTo>
                                <a:lnTo>
                                  <a:pt x="12012" y="20268"/>
                                </a:lnTo>
                                <a:lnTo>
                                  <a:pt x="5756" y="15244"/>
                                </a:lnTo>
                                <a:lnTo>
                                  <a:pt x="1543"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47" name="Graphic 847"/>
                        <wps:cNvSpPr/>
                        <wps:spPr>
                          <a:xfrm>
                            <a:off x="5402924" y="7733553"/>
                            <a:ext cx="40005" cy="22225"/>
                          </a:xfrm>
                          <a:custGeom>
                            <a:avLst/>
                            <a:gdLst/>
                            <a:ahLst/>
                            <a:cxnLst/>
                            <a:rect l="l" t="t" r="r" b="b"/>
                            <a:pathLst>
                              <a:path w="40005" h="22225">
                                <a:moveTo>
                                  <a:pt x="39433" y="0"/>
                                </a:moveTo>
                                <a:lnTo>
                                  <a:pt x="37881" y="8142"/>
                                </a:lnTo>
                                <a:lnTo>
                                  <a:pt x="33650" y="15244"/>
                                </a:lnTo>
                                <a:lnTo>
                                  <a:pt x="27373" y="20268"/>
                                </a:lnTo>
                                <a:lnTo>
                                  <a:pt x="19685" y="22174"/>
                                </a:lnTo>
                                <a:lnTo>
                                  <a:pt x="12012" y="20268"/>
                                </a:lnTo>
                                <a:lnTo>
                                  <a:pt x="5756" y="15244"/>
                                </a:lnTo>
                                <a:lnTo>
                                  <a:pt x="1543"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48" name="Graphic 848"/>
                        <wps:cNvSpPr/>
                        <wps:spPr>
                          <a:xfrm>
                            <a:off x="5363491" y="7733553"/>
                            <a:ext cx="40005" cy="22225"/>
                          </a:xfrm>
                          <a:custGeom>
                            <a:avLst/>
                            <a:gdLst/>
                            <a:ahLst/>
                            <a:cxnLst/>
                            <a:rect l="l" t="t" r="r" b="b"/>
                            <a:pathLst>
                              <a:path w="40005" h="22225">
                                <a:moveTo>
                                  <a:pt x="39433" y="0"/>
                                </a:moveTo>
                                <a:lnTo>
                                  <a:pt x="37881" y="8142"/>
                                </a:lnTo>
                                <a:lnTo>
                                  <a:pt x="33650" y="15244"/>
                                </a:lnTo>
                                <a:lnTo>
                                  <a:pt x="27373" y="20268"/>
                                </a:lnTo>
                                <a:lnTo>
                                  <a:pt x="19685" y="22174"/>
                                </a:lnTo>
                                <a:lnTo>
                                  <a:pt x="12012" y="20268"/>
                                </a:lnTo>
                                <a:lnTo>
                                  <a:pt x="5756" y="15244"/>
                                </a:lnTo>
                                <a:lnTo>
                                  <a:pt x="1543"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49" name="Graphic 849"/>
                        <wps:cNvSpPr/>
                        <wps:spPr>
                          <a:xfrm>
                            <a:off x="5324008" y="7733553"/>
                            <a:ext cx="40005" cy="22225"/>
                          </a:xfrm>
                          <a:custGeom>
                            <a:avLst/>
                            <a:gdLst/>
                            <a:ahLst/>
                            <a:cxnLst/>
                            <a:rect l="l" t="t" r="r" b="b"/>
                            <a:pathLst>
                              <a:path w="40005" h="22225">
                                <a:moveTo>
                                  <a:pt x="39484" y="0"/>
                                </a:moveTo>
                                <a:lnTo>
                                  <a:pt x="37932" y="8142"/>
                                </a:lnTo>
                                <a:lnTo>
                                  <a:pt x="33701" y="15244"/>
                                </a:lnTo>
                                <a:lnTo>
                                  <a:pt x="27423" y="20268"/>
                                </a:lnTo>
                                <a:lnTo>
                                  <a:pt x="19735" y="22174"/>
                                </a:lnTo>
                                <a:lnTo>
                                  <a:pt x="12055" y="20268"/>
                                </a:lnTo>
                                <a:lnTo>
                                  <a:pt x="5781"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50" name="Graphic 850"/>
                        <wps:cNvSpPr/>
                        <wps:spPr>
                          <a:xfrm>
                            <a:off x="5284571" y="7733553"/>
                            <a:ext cx="40005" cy="22225"/>
                          </a:xfrm>
                          <a:custGeom>
                            <a:avLst/>
                            <a:gdLst/>
                            <a:ahLst/>
                            <a:cxnLst/>
                            <a:rect l="l" t="t" r="r" b="b"/>
                            <a:pathLst>
                              <a:path w="40005" h="22225">
                                <a:moveTo>
                                  <a:pt x="39433" y="0"/>
                                </a:moveTo>
                                <a:lnTo>
                                  <a:pt x="37891" y="8142"/>
                                </a:lnTo>
                                <a:lnTo>
                                  <a:pt x="33681" y="15244"/>
                                </a:lnTo>
                                <a:lnTo>
                                  <a:pt x="27426" y="20268"/>
                                </a:lnTo>
                                <a:lnTo>
                                  <a:pt x="19748" y="22174"/>
                                </a:lnTo>
                                <a:lnTo>
                                  <a:pt x="12060" y="20268"/>
                                </a:lnTo>
                                <a:lnTo>
                                  <a:pt x="5783"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51" name="Graphic 851"/>
                        <wps:cNvSpPr/>
                        <wps:spPr>
                          <a:xfrm>
                            <a:off x="5245139" y="7733553"/>
                            <a:ext cx="40005" cy="22225"/>
                          </a:xfrm>
                          <a:custGeom>
                            <a:avLst/>
                            <a:gdLst/>
                            <a:ahLst/>
                            <a:cxnLst/>
                            <a:rect l="l" t="t" r="r" b="b"/>
                            <a:pathLst>
                              <a:path w="40005" h="22225">
                                <a:moveTo>
                                  <a:pt x="39433" y="0"/>
                                </a:moveTo>
                                <a:lnTo>
                                  <a:pt x="37891" y="8142"/>
                                </a:lnTo>
                                <a:lnTo>
                                  <a:pt x="33681" y="15244"/>
                                </a:lnTo>
                                <a:lnTo>
                                  <a:pt x="27426" y="20268"/>
                                </a:lnTo>
                                <a:lnTo>
                                  <a:pt x="19748" y="22174"/>
                                </a:lnTo>
                                <a:lnTo>
                                  <a:pt x="12060" y="20268"/>
                                </a:lnTo>
                                <a:lnTo>
                                  <a:pt x="5783"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52" name="Graphic 852"/>
                        <wps:cNvSpPr/>
                        <wps:spPr>
                          <a:xfrm>
                            <a:off x="5205707" y="7733553"/>
                            <a:ext cx="40005" cy="22225"/>
                          </a:xfrm>
                          <a:custGeom>
                            <a:avLst/>
                            <a:gdLst/>
                            <a:ahLst/>
                            <a:cxnLst/>
                            <a:rect l="l" t="t" r="r" b="b"/>
                            <a:pathLst>
                              <a:path w="40005" h="22225">
                                <a:moveTo>
                                  <a:pt x="39433" y="0"/>
                                </a:moveTo>
                                <a:lnTo>
                                  <a:pt x="37891" y="8142"/>
                                </a:lnTo>
                                <a:lnTo>
                                  <a:pt x="33681" y="15244"/>
                                </a:lnTo>
                                <a:lnTo>
                                  <a:pt x="27426" y="20268"/>
                                </a:lnTo>
                                <a:lnTo>
                                  <a:pt x="19748" y="22174"/>
                                </a:lnTo>
                                <a:lnTo>
                                  <a:pt x="12060" y="20268"/>
                                </a:lnTo>
                                <a:lnTo>
                                  <a:pt x="5783" y="15244"/>
                                </a:lnTo>
                                <a:lnTo>
                                  <a:pt x="1551" y="8142"/>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853" name="Graphic 853"/>
                        <wps:cNvSpPr/>
                        <wps:spPr>
                          <a:xfrm>
                            <a:off x="5217460" y="7684530"/>
                            <a:ext cx="371475" cy="60960"/>
                          </a:xfrm>
                          <a:custGeom>
                            <a:avLst/>
                            <a:gdLst/>
                            <a:ahLst/>
                            <a:cxnLst/>
                            <a:rect l="l" t="t" r="r" b="b"/>
                            <a:pathLst>
                              <a:path w="371475" h="60960">
                                <a:moveTo>
                                  <a:pt x="347687" y="59778"/>
                                </a:moveTo>
                                <a:lnTo>
                                  <a:pt x="370878" y="0"/>
                                </a:lnTo>
                                <a:lnTo>
                                  <a:pt x="193014" y="0"/>
                                </a:lnTo>
                                <a:lnTo>
                                  <a:pt x="185013" y="0"/>
                                </a:lnTo>
                                <a:lnTo>
                                  <a:pt x="0" y="0"/>
                                </a:lnTo>
                                <a:lnTo>
                                  <a:pt x="0" y="25590"/>
                                </a:lnTo>
                                <a:lnTo>
                                  <a:pt x="255" y="37166"/>
                                </a:lnTo>
                                <a:lnTo>
                                  <a:pt x="2047" y="44667"/>
                                </a:lnTo>
                                <a:lnTo>
                                  <a:pt x="6911" y="51370"/>
                                </a:lnTo>
                                <a:lnTo>
                                  <a:pt x="16383" y="60553"/>
                                </a:lnTo>
                              </a:path>
                            </a:pathLst>
                          </a:custGeom>
                          <a:ln w="9525">
                            <a:solidFill>
                              <a:srgbClr val="231F20"/>
                            </a:solidFill>
                            <a:prstDash val="solid"/>
                          </a:ln>
                        </wps:spPr>
                        <wps:bodyPr wrap="square" lIns="0" tIns="0" rIns="0" bIns="0" rtlCol="0">
                          <a:prstTxWarp prst="textNoShape">
                            <a:avLst/>
                          </a:prstTxWarp>
                          <a:noAutofit/>
                        </wps:bodyPr>
                      </wps:wsp>
                      <pic:pic>
                        <pic:nvPicPr>
                          <pic:cNvPr id="854" name="Image 854"/>
                          <pic:cNvPicPr/>
                        </pic:nvPicPr>
                        <pic:blipFill>
                          <a:blip r:embed="rId79" cstate="print"/>
                          <a:stretch>
                            <a:fillRect/>
                          </a:stretch>
                        </pic:blipFill>
                        <pic:spPr>
                          <a:xfrm>
                            <a:off x="5243343" y="7461873"/>
                            <a:ext cx="139179" cy="227418"/>
                          </a:xfrm>
                          <a:prstGeom prst="rect">
                            <a:avLst/>
                          </a:prstGeom>
                        </pic:spPr>
                      </pic:pic>
                      <wps:wsp>
                        <wps:cNvPr id="855" name="Graphic 855"/>
                        <wps:cNvSpPr/>
                        <wps:spPr>
                          <a:xfrm>
                            <a:off x="5407959" y="7509700"/>
                            <a:ext cx="153670" cy="87630"/>
                          </a:xfrm>
                          <a:custGeom>
                            <a:avLst/>
                            <a:gdLst/>
                            <a:ahLst/>
                            <a:cxnLst/>
                            <a:rect l="l" t="t" r="r" b="b"/>
                            <a:pathLst>
                              <a:path w="153670" h="87630">
                                <a:moveTo>
                                  <a:pt x="0" y="18338"/>
                                </a:moveTo>
                                <a:lnTo>
                                  <a:pt x="0" y="0"/>
                                </a:lnTo>
                                <a:lnTo>
                                  <a:pt x="18008" y="0"/>
                                </a:lnTo>
                                <a:lnTo>
                                  <a:pt x="36918" y="0"/>
                                </a:lnTo>
                                <a:lnTo>
                                  <a:pt x="153136" y="0"/>
                                </a:lnTo>
                                <a:lnTo>
                                  <a:pt x="153136" y="87414"/>
                                </a:lnTo>
                                <a:lnTo>
                                  <a:pt x="0" y="87414"/>
                                </a:lnTo>
                                <a:lnTo>
                                  <a:pt x="0" y="37528"/>
                                </a:lnTo>
                                <a:lnTo>
                                  <a:pt x="0" y="18338"/>
                                </a:lnTo>
                                <a:close/>
                              </a:path>
                            </a:pathLst>
                          </a:custGeom>
                          <a:ln w="9525">
                            <a:solidFill>
                              <a:srgbClr val="231F20"/>
                            </a:solidFill>
                            <a:prstDash val="solid"/>
                          </a:ln>
                        </wps:spPr>
                        <wps:bodyPr wrap="square" lIns="0" tIns="0" rIns="0" bIns="0" rtlCol="0">
                          <a:prstTxWarp prst="textNoShape">
                            <a:avLst/>
                          </a:prstTxWarp>
                          <a:noAutofit/>
                        </wps:bodyPr>
                      </wps:wsp>
                      <wps:wsp>
                        <wps:cNvPr id="856" name="Graphic 856"/>
                        <wps:cNvSpPr/>
                        <wps:spPr>
                          <a:xfrm>
                            <a:off x="5432290" y="7531875"/>
                            <a:ext cx="1270" cy="43180"/>
                          </a:xfrm>
                          <a:custGeom>
                            <a:avLst/>
                            <a:gdLst/>
                            <a:ahLst/>
                            <a:cxnLst/>
                            <a:rect l="l" t="t" r="r" b="b"/>
                            <a:pathLst>
                              <a:path w="0" h="43180">
                                <a:moveTo>
                                  <a:pt x="0" y="0"/>
                                </a:moveTo>
                                <a:lnTo>
                                  <a:pt x="0" y="0"/>
                                </a:lnTo>
                                <a:lnTo>
                                  <a:pt x="0" y="42646"/>
                                </a:lnTo>
                              </a:path>
                            </a:pathLst>
                          </a:custGeom>
                          <a:ln w="9525">
                            <a:solidFill>
                              <a:srgbClr val="231F20"/>
                            </a:solidFill>
                            <a:prstDash val="solid"/>
                          </a:ln>
                        </wps:spPr>
                        <wps:bodyPr wrap="square" lIns="0" tIns="0" rIns="0" bIns="0" rtlCol="0">
                          <a:prstTxWarp prst="textNoShape">
                            <a:avLst/>
                          </a:prstTxWarp>
                          <a:noAutofit/>
                        </wps:bodyPr>
                      </wps:wsp>
                      <wps:wsp>
                        <wps:cNvPr id="857" name="Graphic 857"/>
                        <wps:cNvSpPr/>
                        <wps:spPr>
                          <a:xfrm>
                            <a:off x="5453655" y="7532303"/>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58" name="Graphic 858"/>
                        <wps:cNvSpPr/>
                        <wps:spPr>
                          <a:xfrm>
                            <a:off x="5474238" y="7532303"/>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59" name="Graphic 859"/>
                        <wps:cNvSpPr/>
                        <wps:spPr>
                          <a:xfrm>
                            <a:off x="5494821" y="7532303"/>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60" name="Graphic 860"/>
                        <wps:cNvSpPr/>
                        <wps:spPr>
                          <a:xfrm>
                            <a:off x="5514957" y="7532303"/>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61" name="Graphic 861"/>
                        <wps:cNvSpPr/>
                        <wps:spPr>
                          <a:xfrm>
                            <a:off x="5536323" y="7532303"/>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62" name="Graphic 862"/>
                        <wps:cNvSpPr/>
                        <wps:spPr>
                          <a:xfrm>
                            <a:off x="5432290" y="7619289"/>
                            <a:ext cx="1270" cy="43180"/>
                          </a:xfrm>
                          <a:custGeom>
                            <a:avLst/>
                            <a:gdLst/>
                            <a:ahLst/>
                            <a:cxnLst/>
                            <a:rect l="l" t="t" r="r" b="b"/>
                            <a:pathLst>
                              <a:path w="0" h="43180">
                                <a:moveTo>
                                  <a:pt x="0" y="0"/>
                                </a:moveTo>
                                <a:lnTo>
                                  <a:pt x="0" y="0"/>
                                </a:lnTo>
                                <a:lnTo>
                                  <a:pt x="0" y="43065"/>
                                </a:lnTo>
                              </a:path>
                            </a:pathLst>
                          </a:custGeom>
                          <a:ln w="9525">
                            <a:solidFill>
                              <a:srgbClr val="231F20"/>
                            </a:solidFill>
                            <a:prstDash val="solid"/>
                          </a:ln>
                        </wps:spPr>
                        <wps:bodyPr wrap="square" lIns="0" tIns="0" rIns="0" bIns="0" rtlCol="0">
                          <a:prstTxWarp prst="textNoShape">
                            <a:avLst/>
                          </a:prstTxWarp>
                          <a:noAutofit/>
                        </wps:bodyPr>
                      </wps:wsp>
                      <wps:wsp>
                        <wps:cNvPr id="863" name="Graphic 863"/>
                        <wps:cNvSpPr/>
                        <wps:spPr>
                          <a:xfrm>
                            <a:off x="5453655" y="7620148"/>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64" name="Graphic 864"/>
                        <wps:cNvSpPr/>
                        <wps:spPr>
                          <a:xfrm>
                            <a:off x="5474238" y="7620148"/>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65" name="Graphic 865"/>
                        <wps:cNvSpPr/>
                        <wps:spPr>
                          <a:xfrm>
                            <a:off x="5494821" y="7620148"/>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66" name="Graphic 866"/>
                        <wps:cNvSpPr/>
                        <wps:spPr>
                          <a:xfrm>
                            <a:off x="5514957" y="7620148"/>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67" name="Graphic 867"/>
                        <wps:cNvSpPr/>
                        <wps:spPr>
                          <a:xfrm>
                            <a:off x="5536323" y="7620148"/>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868" name="Graphic 868"/>
                        <wps:cNvSpPr/>
                        <wps:spPr>
                          <a:xfrm>
                            <a:off x="5407959" y="7597123"/>
                            <a:ext cx="153670" cy="87630"/>
                          </a:xfrm>
                          <a:custGeom>
                            <a:avLst/>
                            <a:gdLst/>
                            <a:ahLst/>
                            <a:cxnLst/>
                            <a:rect l="l" t="t" r="r" b="b"/>
                            <a:pathLst>
                              <a:path w="153670" h="87630">
                                <a:moveTo>
                                  <a:pt x="0" y="33680"/>
                                </a:moveTo>
                                <a:lnTo>
                                  <a:pt x="0" y="33680"/>
                                </a:lnTo>
                                <a:lnTo>
                                  <a:pt x="0" y="0"/>
                                </a:lnTo>
                              </a:path>
                              <a:path w="153670" h="87630">
                                <a:moveTo>
                                  <a:pt x="153136" y="0"/>
                                </a:moveTo>
                                <a:lnTo>
                                  <a:pt x="153136" y="87414"/>
                                </a:lnTo>
                                <a:lnTo>
                                  <a:pt x="0" y="87414"/>
                                </a:lnTo>
                                <a:lnTo>
                                  <a:pt x="0" y="33680"/>
                                </a:lnTo>
                              </a:path>
                            </a:pathLst>
                          </a:custGeom>
                          <a:ln w="9525">
                            <a:solidFill>
                              <a:srgbClr val="231F20"/>
                            </a:solidFill>
                            <a:prstDash val="solid"/>
                          </a:ln>
                        </wps:spPr>
                        <wps:bodyPr wrap="square" lIns="0" tIns="0" rIns="0" bIns="0" rtlCol="0">
                          <a:prstTxWarp prst="textNoShape">
                            <a:avLst/>
                          </a:prstTxWarp>
                          <a:noAutofit/>
                        </wps:bodyPr>
                      </wps:wsp>
                      <pic:pic>
                        <pic:nvPicPr>
                          <pic:cNvPr id="869" name="Image 869"/>
                          <pic:cNvPicPr/>
                        </pic:nvPicPr>
                        <pic:blipFill>
                          <a:blip r:embed="rId81" cstate="print"/>
                          <a:stretch>
                            <a:fillRect/>
                          </a:stretch>
                        </pic:blipFill>
                        <pic:spPr>
                          <a:xfrm>
                            <a:off x="4875312" y="7459646"/>
                            <a:ext cx="248031" cy="303065"/>
                          </a:xfrm>
                          <a:prstGeom prst="rect">
                            <a:avLst/>
                          </a:prstGeom>
                        </pic:spPr>
                      </pic:pic>
                      <pic:pic>
                        <pic:nvPicPr>
                          <pic:cNvPr id="870" name="Image 870"/>
                          <pic:cNvPicPr/>
                        </pic:nvPicPr>
                        <pic:blipFill>
                          <a:blip r:embed="rId82" cstate="print"/>
                          <a:stretch>
                            <a:fillRect/>
                          </a:stretch>
                        </pic:blipFill>
                        <pic:spPr>
                          <a:xfrm>
                            <a:off x="5144349" y="7142788"/>
                            <a:ext cx="191461" cy="271920"/>
                          </a:xfrm>
                          <a:prstGeom prst="rect">
                            <a:avLst/>
                          </a:prstGeom>
                        </pic:spPr>
                      </pic:pic>
                      <wps:wsp>
                        <wps:cNvPr id="871" name="Graphic 871"/>
                        <wps:cNvSpPr/>
                        <wps:spPr>
                          <a:xfrm>
                            <a:off x="1392346" y="7184549"/>
                            <a:ext cx="95250" cy="230504"/>
                          </a:xfrm>
                          <a:custGeom>
                            <a:avLst/>
                            <a:gdLst/>
                            <a:ahLst/>
                            <a:cxnLst/>
                            <a:rect l="l" t="t" r="r" b="b"/>
                            <a:pathLst>
                              <a:path w="95250" h="230504">
                                <a:moveTo>
                                  <a:pt x="94678" y="0"/>
                                </a:moveTo>
                                <a:lnTo>
                                  <a:pt x="66035" y="26078"/>
                                </a:lnTo>
                                <a:lnTo>
                                  <a:pt x="37926" y="61474"/>
                                </a:lnTo>
                                <a:lnTo>
                                  <a:pt x="14671" y="106846"/>
                                </a:lnTo>
                                <a:lnTo>
                                  <a:pt x="589" y="162855"/>
                                </a:lnTo>
                                <a:lnTo>
                                  <a:pt x="0" y="230162"/>
                                </a:lnTo>
                              </a:path>
                            </a:pathLst>
                          </a:custGeom>
                          <a:ln w="25400">
                            <a:solidFill>
                              <a:srgbClr val="231F20"/>
                            </a:solidFill>
                            <a:prstDash val="solid"/>
                          </a:ln>
                        </wps:spPr>
                        <wps:bodyPr wrap="square" lIns="0" tIns="0" rIns="0" bIns="0" rtlCol="0">
                          <a:prstTxWarp prst="textNoShape">
                            <a:avLst/>
                          </a:prstTxWarp>
                          <a:noAutofit/>
                        </wps:bodyPr>
                      </wps:wsp>
                      <wps:wsp>
                        <wps:cNvPr id="872" name="Graphic 872"/>
                        <wps:cNvSpPr/>
                        <wps:spPr>
                          <a:xfrm>
                            <a:off x="1457455" y="7155492"/>
                            <a:ext cx="76200" cy="67945"/>
                          </a:xfrm>
                          <a:custGeom>
                            <a:avLst/>
                            <a:gdLst/>
                            <a:ahLst/>
                            <a:cxnLst/>
                            <a:rect l="l" t="t" r="r" b="b"/>
                            <a:pathLst>
                              <a:path w="76200" h="67945">
                                <a:moveTo>
                                  <a:pt x="75869" y="0"/>
                                </a:moveTo>
                                <a:lnTo>
                                  <a:pt x="0" y="4140"/>
                                </a:lnTo>
                                <a:lnTo>
                                  <a:pt x="41529" y="67779"/>
                                </a:lnTo>
                                <a:lnTo>
                                  <a:pt x="75869" y="0"/>
                                </a:lnTo>
                                <a:close/>
                              </a:path>
                            </a:pathLst>
                          </a:custGeom>
                          <a:solidFill>
                            <a:srgbClr val="231F20"/>
                          </a:solidFill>
                        </wps:spPr>
                        <wps:bodyPr wrap="square" lIns="0" tIns="0" rIns="0" bIns="0" rtlCol="0">
                          <a:prstTxWarp prst="textNoShape">
                            <a:avLst/>
                          </a:prstTxWarp>
                          <a:noAutofit/>
                        </wps:bodyPr>
                      </wps:wsp>
                      <wps:wsp>
                        <wps:cNvPr id="873" name="Graphic 873"/>
                        <wps:cNvSpPr/>
                        <wps:spPr>
                          <a:xfrm>
                            <a:off x="3727326" y="6481398"/>
                            <a:ext cx="248920" cy="38100"/>
                          </a:xfrm>
                          <a:custGeom>
                            <a:avLst/>
                            <a:gdLst/>
                            <a:ahLst/>
                            <a:cxnLst/>
                            <a:rect l="l" t="t" r="r" b="b"/>
                            <a:pathLst>
                              <a:path w="248920" h="38100">
                                <a:moveTo>
                                  <a:pt x="248704" y="9105"/>
                                </a:moveTo>
                                <a:lnTo>
                                  <a:pt x="213104" y="24382"/>
                                </a:lnTo>
                                <a:lnTo>
                                  <a:pt x="169247" y="35315"/>
                                </a:lnTo>
                                <a:lnTo>
                                  <a:pt x="118318" y="37698"/>
                                </a:lnTo>
                                <a:lnTo>
                                  <a:pt x="61507" y="27328"/>
                                </a:lnTo>
                                <a:lnTo>
                                  <a:pt x="0" y="0"/>
                                </a:lnTo>
                              </a:path>
                            </a:pathLst>
                          </a:custGeom>
                          <a:ln w="25400">
                            <a:solidFill>
                              <a:srgbClr val="231F20"/>
                            </a:solidFill>
                            <a:prstDash val="solid"/>
                          </a:ln>
                        </wps:spPr>
                        <wps:bodyPr wrap="square" lIns="0" tIns="0" rIns="0" bIns="0" rtlCol="0">
                          <a:prstTxWarp prst="textNoShape">
                            <a:avLst/>
                          </a:prstTxWarp>
                          <a:noAutofit/>
                        </wps:bodyPr>
                      </wps:wsp>
                      <wps:wsp>
                        <wps:cNvPr id="874" name="Graphic 874"/>
                        <wps:cNvSpPr/>
                        <wps:spPr>
                          <a:xfrm>
                            <a:off x="3945736" y="6460385"/>
                            <a:ext cx="76200" cy="67945"/>
                          </a:xfrm>
                          <a:custGeom>
                            <a:avLst/>
                            <a:gdLst/>
                            <a:ahLst/>
                            <a:cxnLst/>
                            <a:rect l="l" t="t" r="r" b="b"/>
                            <a:pathLst>
                              <a:path w="76200" h="67945">
                                <a:moveTo>
                                  <a:pt x="75920" y="0"/>
                                </a:moveTo>
                                <a:lnTo>
                                  <a:pt x="0" y="3200"/>
                                </a:lnTo>
                                <a:lnTo>
                                  <a:pt x="40741" y="67348"/>
                                </a:lnTo>
                                <a:lnTo>
                                  <a:pt x="75920" y="0"/>
                                </a:lnTo>
                                <a:close/>
                              </a:path>
                            </a:pathLst>
                          </a:custGeom>
                          <a:solidFill>
                            <a:srgbClr val="231F20"/>
                          </a:solidFill>
                        </wps:spPr>
                        <wps:bodyPr wrap="square" lIns="0" tIns="0" rIns="0" bIns="0" rtlCol="0">
                          <a:prstTxWarp prst="textNoShape">
                            <a:avLst/>
                          </a:prstTxWarp>
                          <a:noAutofit/>
                        </wps:bodyPr>
                      </wps:wsp>
                      <wps:wsp>
                        <wps:cNvPr id="875" name="Graphic 875"/>
                        <wps:cNvSpPr/>
                        <wps:spPr>
                          <a:xfrm>
                            <a:off x="2503387" y="6473531"/>
                            <a:ext cx="248920" cy="38100"/>
                          </a:xfrm>
                          <a:custGeom>
                            <a:avLst/>
                            <a:gdLst/>
                            <a:ahLst/>
                            <a:cxnLst/>
                            <a:rect l="l" t="t" r="r" b="b"/>
                            <a:pathLst>
                              <a:path w="248920" h="38100">
                                <a:moveTo>
                                  <a:pt x="248704" y="28592"/>
                                </a:moveTo>
                                <a:lnTo>
                                  <a:pt x="213104" y="13315"/>
                                </a:lnTo>
                                <a:lnTo>
                                  <a:pt x="169247" y="2383"/>
                                </a:lnTo>
                                <a:lnTo>
                                  <a:pt x="118318" y="0"/>
                                </a:lnTo>
                                <a:lnTo>
                                  <a:pt x="61507" y="10370"/>
                                </a:lnTo>
                                <a:lnTo>
                                  <a:pt x="0" y="37698"/>
                                </a:lnTo>
                              </a:path>
                            </a:pathLst>
                          </a:custGeom>
                          <a:ln w="25400">
                            <a:solidFill>
                              <a:srgbClr val="231F20"/>
                            </a:solidFill>
                            <a:prstDash val="solid"/>
                          </a:ln>
                        </wps:spPr>
                        <wps:bodyPr wrap="square" lIns="0" tIns="0" rIns="0" bIns="0" rtlCol="0">
                          <a:prstTxWarp prst="textNoShape">
                            <a:avLst/>
                          </a:prstTxWarp>
                          <a:noAutofit/>
                        </wps:bodyPr>
                      </wps:wsp>
                      <wps:wsp>
                        <wps:cNvPr id="876" name="Graphic 876"/>
                        <wps:cNvSpPr/>
                        <wps:spPr>
                          <a:xfrm>
                            <a:off x="2721790" y="6464891"/>
                            <a:ext cx="76200" cy="67945"/>
                          </a:xfrm>
                          <a:custGeom>
                            <a:avLst/>
                            <a:gdLst/>
                            <a:ahLst/>
                            <a:cxnLst/>
                            <a:rect l="l" t="t" r="r" b="b"/>
                            <a:pathLst>
                              <a:path w="76200" h="67945">
                                <a:moveTo>
                                  <a:pt x="40741" y="0"/>
                                </a:moveTo>
                                <a:lnTo>
                                  <a:pt x="0" y="64147"/>
                                </a:lnTo>
                                <a:lnTo>
                                  <a:pt x="75920" y="67348"/>
                                </a:lnTo>
                                <a:lnTo>
                                  <a:pt x="40741" y="0"/>
                                </a:lnTo>
                                <a:close/>
                              </a:path>
                            </a:pathLst>
                          </a:custGeom>
                          <a:solidFill>
                            <a:srgbClr val="231F20"/>
                          </a:solidFill>
                        </wps:spPr>
                        <wps:bodyPr wrap="square" lIns="0" tIns="0" rIns="0" bIns="0" rtlCol="0">
                          <a:prstTxWarp prst="textNoShape">
                            <a:avLst/>
                          </a:prstTxWarp>
                          <a:noAutofit/>
                        </wps:bodyPr>
                      </wps:wsp>
                      <wps:wsp>
                        <wps:cNvPr id="877" name="Graphic 877"/>
                        <wps:cNvSpPr/>
                        <wps:spPr>
                          <a:xfrm>
                            <a:off x="4108799" y="6237787"/>
                            <a:ext cx="742950" cy="618490"/>
                          </a:xfrm>
                          <a:custGeom>
                            <a:avLst/>
                            <a:gdLst/>
                            <a:ahLst/>
                            <a:cxnLst/>
                            <a:rect l="l" t="t" r="r" b="b"/>
                            <a:pathLst>
                              <a:path w="742950" h="618490">
                                <a:moveTo>
                                  <a:pt x="0" y="69443"/>
                                </a:moveTo>
                                <a:lnTo>
                                  <a:pt x="5835" y="42412"/>
                                </a:lnTo>
                                <a:lnTo>
                                  <a:pt x="21750" y="20339"/>
                                </a:lnTo>
                                <a:lnTo>
                                  <a:pt x="45353" y="5457"/>
                                </a:lnTo>
                                <a:lnTo>
                                  <a:pt x="74256" y="0"/>
                                </a:lnTo>
                                <a:lnTo>
                                  <a:pt x="668350" y="0"/>
                                </a:lnTo>
                                <a:lnTo>
                                  <a:pt x="697260" y="5457"/>
                                </a:lnTo>
                                <a:lnTo>
                                  <a:pt x="720867" y="20339"/>
                                </a:lnTo>
                                <a:lnTo>
                                  <a:pt x="736783" y="42412"/>
                                </a:lnTo>
                                <a:lnTo>
                                  <a:pt x="742619" y="69443"/>
                                </a:lnTo>
                                <a:lnTo>
                                  <a:pt x="742619" y="548500"/>
                                </a:lnTo>
                                <a:lnTo>
                                  <a:pt x="736783" y="575531"/>
                                </a:lnTo>
                                <a:lnTo>
                                  <a:pt x="720867" y="597604"/>
                                </a:lnTo>
                                <a:lnTo>
                                  <a:pt x="697260" y="612486"/>
                                </a:lnTo>
                                <a:lnTo>
                                  <a:pt x="668350" y="617943"/>
                                </a:lnTo>
                                <a:lnTo>
                                  <a:pt x="74256" y="617943"/>
                                </a:lnTo>
                                <a:lnTo>
                                  <a:pt x="45353" y="612486"/>
                                </a:lnTo>
                                <a:lnTo>
                                  <a:pt x="21750" y="597604"/>
                                </a:lnTo>
                                <a:lnTo>
                                  <a:pt x="5835" y="575531"/>
                                </a:lnTo>
                                <a:lnTo>
                                  <a:pt x="0" y="548500"/>
                                </a:lnTo>
                                <a:lnTo>
                                  <a:pt x="0" y="69443"/>
                                </a:lnTo>
                                <a:close/>
                              </a:path>
                            </a:pathLst>
                          </a:custGeom>
                          <a:ln w="19050">
                            <a:solidFill>
                              <a:srgbClr val="008FDD"/>
                            </a:solidFill>
                            <a:prstDash val="solid"/>
                          </a:ln>
                        </wps:spPr>
                        <wps:bodyPr wrap="square" lIns="0" tIns="0" rIns="0" bIns="0" rtlCol="0">
                          <a:prstTxWarp prst="textNoShape">
                            <a:avLst/>
                          </a:prstTxWarp>
                          <a:noAutofit/>
                        </wps:bodyPr>
                      </wps:wsp>
                      <wps:wsp>
                        <wps:cNvPr id="878" name="Graphic 878"/>
                        <wps:cNvSpPr/>
                        <wps:spPr>
                          <a:xfrm>
                            <a:off x="4314451" y="6782458"/>
                            <a:ext cx="698500" cy="231775"/>
                          </a:xfrm>
                          <a:custGeom>
                            <a:avLst/>
                            <a:gdLst/>
                            <a:ahLst/>
                            <a:cxnLst/>
                            <a:rect l="l" t="t" r="r" b="b"/>
                            <a:pathLst>
                              <a:path w="698500" h="231775">
                                <a:moveTo>
                                  <a:pt x="622046" y="0"/>
                                </a:moveTo>
                                <a:lnTo>
                                  <a:pt x="76200" y="0"/>
                                </a:lnTo>
                                <a:lnTo>
                                  <a:pt x="46612" y="6012"/>
                                </a:lnTo>
                                <a:lnTo>
                                  <a:pt x="22383" y="22383"/>
                                </a:lnTo>
                                <a:lnTo>
                                  <a:pt x="6012" y="46612"/>
                                </a:lnTo>
                                <a:lnTo>
                                  <a:pt x="0" y="76200"/>
                                </a:lnTo>
                                <a:lnTo>
                                  <a:pt x="0" y="155003"/>
                                </a:lnTo>
                                <a:lnTo>
                                  <a:pt x="6012" y="184590"/>
                                </a:lnTo>
                                <a:lnTo>
                                  <a:pt x="22383" y="208819"/>
                                </a:lnTo>
                                <a:lnTo>
                                  <a:pt x="46612" y="225190"/>
                                </a:lnTo>
                                <a:lnTo>
                                  <a:pt x="76200" y="231203"/>
                                </a:lnTo>
                                <a:lnTo>
                                  <a:pt x="622046" y="231203"/>
                                </a:lnTo>
                                <a:lnTo>
                                  <a:pt x="651633" y="225190"/>
                                </a:lnTo>
                                <a:lnTo>
                                  <a:pt x="675862" y="208819"/>
                                </a:lnTo>
                                <a:lnTo>
                                  <a:pt x="692233" y="184590"/>
                                </a:lnTo>
                                <a:lnTo>
                                  <a:pt x="698246" y="155003"/>
                                </a:lnTo>
                                <a:lnTo>
                                  <a:pt x="698246" y="76200"/>
                                </a:lnTo>
                                <a:lnTo>
                                  <a:pt x="692233" y="46612"/>
                                </a:lnTo>
                                <a:lnTo>
                                  <a:pt x="675862" y="22383"/>
                                </a:lnTo>
                                <a:lnTo>
                                  <a:pt x="651633" y="6012"/>
                                </a:lnTo>
                                <a:lnTo>
                                  <a:pt x="622046" y="0"/>
                                </a:lnTo>
                                <a:close/>
                              </a:path>
                            </a:pathLst>
                          </a:custGeom>
                          <a:solidFill>
                            <a:srgbClr val="FFFFFF"/>
                          </a:solidFill>
                        </wps:spPr>
                        <wps:bodyPr wrap="square" lIns="0" tIns="0" rIns="0" bIns="0" rtlCol="0">
                          <a:prstTxWarp prst="textNoShape">
                            <a:avLst/>
                          </a:prstTxWarp>
                          <a:noAutofit/>
                        </wps:bodyPr>
                      </wps:wsp>
                      <wps:wsp>
                        <wps:cNvPr id="879" name="Graphic 879"/>
                        <wps:cNvSpPr/>
                        <wps:spPr>
                          <a:xfrm>
                            <a:off x="4314451" y="6782458"/>
                            <a:ext cx="698500" cy="231775"/>
                          </a:xfrm>
                          <a:custGeom>
                            <a:avLst/>
                            <a:gdLst/>
                            <a:ahLst/>
                            <a:cxnLst/>
                            <a:rect l="l" t="t" r="r" b="b"/>
                            <a:pathLst>
                              <a:path w="698500" h="231775">
                                <a:moveTo>
                                  <a:pt x="698246" y="155003"/>
                                </a:moveTo>
                                <a:lnTo>
                                  <a:pt x="692233" y="184590"/>
                                </a:lnTo>
                                <a:lnTo>
                                  <a:pt x="675862" y="208819"/>
                                </a:lnTo>
                                <a:lnTo>
                                  <a:pt x="651633" y="225190"/>
                                </a:lnTo>
                                <a:lnTo>
                                  <a:pt x="622046" y="231203"/>
                                </a:lnTo>
                                <a:lnTo>
                                  <a:pt x="76200" y="231203"/>
                                </a:lnTo>
                                <a:lnTo>
                                  <a:pt x="46612" y="225190"/>
                                </a:lnTo>
                                <a:lnTo>
                                  <a:pt x="22383" y="208819"/>
                                </a:lnTo>
                                <a:lnTo>
                                  <a:pt x="6012" y="184590"/>
                                </a:lnTo>
                                <a:lnTo>
                                  <a:pt x="0" y="155003"/>
                                </a:lnTo>
                                <a:lnTo>
                                  <a:pt x="0" y="76200"/>
                                </a:lnTo>
                                <a:lnTo>
                                  <a:pt x="6012" y="46612"/>
                                </a:lnTo>
                                <a:lnTo>
                                  <a:pt x="22383" y="22383"/>
                                </a:lnTo>
                                <a:lnTo>
                                  <a:pt x="46612" y="6012"/>
                                </a:lnTo>
                                <a:lnTo>
                                  <a:pt x="76200" y="0"/>
                                </a:lnTo>
                                <a:lnTo>
                                  <a:pt x="622046" y="0"/>
                                </a:lnTo>
                                <a:lnTo>
                                  <a:pt x="651633" y="6012"/>
                                </a:lnTo>
                                <a:lnTo>
                                  <a:pt x="675862" y="22383"/>
                                </a:lnTo>
                                <a:lnTo>
                                  <a:pt x="692233" y="46612"/>
                                </a:lnTo>
                                <a:lnTo>
                                  <a:pt x="698246" y="76200"/>
                                </a:lnTo>
                                <a:lnTo>
                                  <a:pt x="698246" y="155003"/>
                                </a:lnTo>
                                <a:close/>
                              </a:path>
                            </a:pathLst>
                          </a:custGeom>
                          <a:ln w="12700">
                            <a:solidFill>
                              <a:srgbClr val="231F20"/>
                            </a:solidFill>
                            <a:prstDash val="solid"/>
                          </a:ln>
                        </wps:spPr>
                        <wps:bodyPr wrap="square" lIns="0" tIns="0" rIns="0" bIns="0" rtlCol="0">
                          <a:prstTxWarp prst="textNoShape">
                            <a:avLst/>
                          </a:prstTxWarp>
                          <a:noAutofit/>
                        </wps:bodyPr>
                      </wps:wsp>
                      <wps:wsp>
                        <wps:cNvPr id="880" name="Graphic 880"/>
                        <wps:cNvSpPr/>
                        <wps:spPr>
                          <a:xfrm>
                            <a:off x="2884858" y="6237787"/>
                            <a:ext cx="742950" cy="517525"/>
                          </a:xfrm>
                          <a:custGeom>
                            <a:avLst/>
                            <a:gdLst/>
                            <a:ahLst/>
                            <a:cxnLst/>
                            <a:rect l="l" t="t" r="r" b="b"/>
                            <a:pathLst>
                              <a:path w="742950" h="517525">
                                <a:moveTo>
                                  <a:pt x="0" y="69443"/>
                                </a:moveTo>
                                <a:lnTo>
                                  <a:pt x="5835" y="42412"/>
                                </a:lnTo>
                                <a:lnTo>
                                  <a:pt x="21750" y="20339"/>
                                </a:lnTo>
                                <a:lnTo>
                                  <a:pt x="45353" y="5457"/>
                                </a:lnTo>
                                <a:lnTo>
                                  <a:pt x="74256" y="0"/>
                                </a:lnTo>
                                <a:lnTo>
                                  <a:pt x="668350" y="0"/>
                                </a:lnTo>
                                <a:lnTo>
                                  <a:pt x="697260" y="5457"/>
                                </a:lnTo>
                                <a:lnTo>
                                  <a:pt x="720867" y="20339"/>
                                </a:lnTo>
                                <a:lnTo>
                                  <a:pt x="736783" y="42412"/>
                                </a:lnTo>
                                <a:lnTo>
                                  <a:pt x="742619" y="69443"/>
                                </a:lnTo>
                                <a:lnTo>
                                  <a:pt x="742619" y="447611"/>
                                </a:lnTo>
                                <a:lnTo>
                                  <a:pt x="736783" y="474642"/>
                                </a:lnTo>
                                <a:lnTo>
                                  <a:pt x="720867" y="496716"/>
                                </a:lnTo>
                                <a:lnTo>
                                  <a:pt x="697260" y="511598"/>
                                </a:lnTo>
                                <a:lnTo>
                                  <a:pt x="668350" y="517055"/>
                                </a:lnTo>
                                <a:lnTo>
                                  <a:pt x="74256" y="517055"/>
                                </a:lnTo>
                                <a:lnTo>
                                  <a:pt x="45353" y="511598"/>
                                </a:lnTo>
                                <a:lnTo>
                                  <a:pt x="21750" y="496716"/>
                                </a:lnTo>
                                <a:lnTo>
                                  <a:pt x="5835" y="474642"/>
                                </a:lnTo>
                                <a:lnTo>
                                  <a:pt x="0" y="447611"/>
                                </a:lnTo>
                                <a:lnTo>
                                  <a:pt x="0" y="69443"/>
                                </a:lnTo>
                                <a:close/>
                              </a:path>
                            </a:pathLst>
                          </a:custGeom>
                          <a:ln w="19050">
                            <a:solidFill>
                              <a:srgbClr val="008FDD"/>
                            </a:solidFill>
                            <a:prstDash val="solid"/>
                          </a:ln>
                        </wps:spPr>
                        <wps:bodyPr wrap="square" lIns="0" tIns="0" rIns="0" bIns="0" rtlCol="0">
                          <a:prstTxWarp prst="textNoShape">
                            <a:avLst/>
                          </a:prstTxWarp>
                          <a:noAutofit/>
                        </wps:bodyPr>
                      </wps:wsp>
                      <wps:wsp>
                        <wps:cNvPr id="881" name="Graphic 881"/>
                        <wps:cNvSpPr/>
                        <wps:spPr>
                          <a:xfrm>
                            <a:off x="2767397" y="6112366"/>
                            <a:ext cx="977900" cy="231775"/>
                          </a:xfrm>
                          <a:custGeom>
                            <a:avLst/>
                            <a:gdLst/>
                            <a:ahLst/>
                            <a:cxnLst/>
                            <a:rect l="l" t="t" r="r" b="b"/>
                            <a:pathLst>
                              <a:path w="977900" h="231775">
                                <a:moveTo>
                                  <a:pt x="901344" y="0"/>
                                </a:moveTo>
                                <a:lnTo>
                                  <a:pt x="76199" y="0"/>
                                </a:lnTo>
                                <a:lnTo>
                                  <a:pt x="46612" y="6012"/>
                                </a:lnTo>
                                <a:lnTo>
                                  <a:pt x="22383" y="22383"/>
                                </a:lnTo>
                                <a:lnTo>
                                  <a:pt x="6012" y="46612"/>
                                </a:lnTo>
                                <a:lnTo>
                                  <a:pt x="0" y="76200"/>
                                </a:lnTo>
                                <a:lnTo>
                                  <a:pt x="0" y="155003"/>
                                </a:lnTo>
                                <a:lnTo>
                                  <a:pt x="6012" y="184590"/>
                                </a:lnTo>
                                <a:lnTo>
                                  <a:pt x="22383" y="208819"/>
                                </a:lnTo>
                                <a:lnTo>
                                  <a:pt x="46612" y="225190"/>
                                </a:lnTo>
                                <a:lnTo>
                                  <a:pt x="76199" y="231203"/>
                                </a:lnTo>
                                <a:lnTo>
                                  <a:pt x="901344" y="231203"/>
                                </a:lnTo>
                                <a:lnTo>
                                  <a:pt x="930931" y="225190"/>
                                </a:lnTo>
                                <a:lnTo>
                                  <a:pt x="955160" y="208819"/>
                                </a:lnTo>
                                <a:lnTo>
                                  <a:pt x="971531" y="184590"/>
                                </a:lnTo>
                                <a:lnTo>
                                  <a:pt x="977544" y="155003"/>
                                </a:lnTo>
                                <a:lnTo>
                                  <a:pt x="977544" y="76200"/>
                                </a:lnTo>
                                <a:lnTo>
                                  <a:pt x="971531" y="46612"/>
                                </a:lnTo>
                                <a:lnTo>
                                  <a:pt x="955160" y="22383"/>
                                </a:lnTo>
                                <a:lnTo>
                                  <a:pt x="930931" y="6012"/>
                                </a:lnTo>
                                <a:lnTo>
                                  <a:pt x="901344" y="0"/>
                                </a:lnTo>
                                <a:close/>
                              </a:path>
                            </a:pathLst>
                          </a:custGeom>
                          <a:solidFill>
                            <a:srgbClr val="FFFFFF"/>
                          </a:solidFill>
                        </wps:spPr>
                        <wps:bodyPr wrap="square" lIns="0" tIns="0" rIns="0" bIns="0" rtlCol="0">
                          <a:prstTxWarp prst="textNoShape">
                            <a:avLst/>
                          </a:prstTxWarp>
                          <a:noAutofit/>
                        </wps:bodyPr>
                      </wps:wsp>
                      <wps:wsp>
                        <wps:cNvPr id="882" name="Graphic 882"/>
                        <wps:cNvSpPr/>
                        <wps:spPr>
                          <a:xfrm>
                            <a:off x="2767397" y="6112366"/>
                            <a:ext cx="977900" cy="231775"/>
                          </a:xfrm>
                          <a:custGeom>
                            <a:avLst/>
                            <a:gdLst/>
                            <a:ahLst/>
                            <a:cxnLst/>
                            <a:rect l="l" t="t" r="r" b="b"/>
                            <a:pathLst>
                              <a:path w="977900" h="231775">
                                <a:moveTo>
                                  <a:pt x="977544" y="155003"/>
                                </a:moveTo>
                                <a:lnTo>
                                  <a:pt x="971531" y="184590"/>
                                </a:lnTo>
                                <a:lnTo>
                                  <a:pt x="955160" y="208819"/>
                                </a:lnTo>
                                <a:lnTo>
                                  <a:pt x="930931" y="225190"/>
                                </a:lnTo>
                                <a:lnTo>
                                  <a:pt x="901344" y="231203"/>
                                </a:lnTo>
                                <a:lnTo>
                                  <a:pt x="76199" y="231203"/>
                                </a:lnTo>
                                <a:lnTo>
                                  <a:pt x="46612" y="225190"/>
                                </a:lnTo>
                                <a:lnTo>
                                  <a:pt x="22383" y="208819"/>
                                </a:lnTo>
                                <a:lnTo>
                                  <a:pt x="6012" y="184590"/>
                                </a:lnTo>
                                <a:lnTo>
                                  <a:pt x="0" y="155003"/>
                                </a:lnTo>
                                <a:lnTo>
                                  <a:pt x="0" y="76200"/>
                                </a:lnTo>
                                <a:lnTo>
                                  <a:pt x="6012" y="46612"/>
                                </a:lnTo>
                                <a:lnTo>
                                  <a:pt x="22383" y="22383"/>
                                </a:lnTo>
                                <a:lnTo>
                                  <a:pt x="46612" y="6012"/>
                                </a:lnTo>
                                <a:lnTo>
                                  <a:pt x="76199" y="0"/>
                                </a:lnTo>
                                <a:lnTo>
                                  <a:pt x="901344" y="0"/>
                                </a:lnTo>
                                <a:lnTo>
                                  <a:pt x="930931" y="6012"/>
                                </a:lnTo>
                                <a:lnTo>
                                  <a:pt x="955160" y="22383"/>
                                </a:lnTo>
                                <a:lnTo>
                                  <a:pt x="971531" y="46612"/>
                                </a:lnTo>
                                <a:lnTo>
                                  <a:pt x="977544" y="76200"/>
                                </a:lnTo>
                                <a:lnTo>
                                  <a:pt x="977544" y="155003"/>
                                </a:lnTo>
                                <a:close/>
                              </a:path>
                            </a:pathLst>
                          </a:custGeom>
                          <a:ln w="12700">
                            <a:solidFill>
                              <a:srgbClr val="231F20"/>
                            </a:solidFill>
                            <a:prstDash val="solid"/>
                          </a:ln>
                        </wps:spPr>
                        <wps:bodyPr wrap="square" lIns="0" tIns="0" rIns="0" bIns="0" rtlCol="0">
                          <a:prstTxWarp prst="textNoShape">
                            <a:avLst/>
                          </a:prstTxWarp>
                          <a:noAutofit/>
                        </wps:bodyPr>
                      </wps:wsp>
                      <wps:wsp>
                        <wps:cNvPr id="883" name="Graphic 883"/>
                        <wps:cNvSpPr/>
                        <wps:spPr>
                          <a:xfrm>
                            <a:off x="1660917" y="6165471"/>
                            <a:ext cx="742950" cy="690880"/>
                          </a:xfrm>
                          <a:custGeom>
                            <a:avLst/>
                            <a:gdLst/>
                            <a:ahLst/>
                            <a:cxnLst/>
                            <a:rect l="l" t="t" r="r" b="b"/>
                            <a:pathLst>
                              <a:path w="742950" h="690880">
                                <a:moveTo>
                                  <a:pt x="0" y="69443"/>
                                </a:moveTo>
                                <a:lnTo>
                                  <a:pt x="5835" y="42412"/>
                                </a:lnTo>
                                <a:lnTo>
                                  <a:pt x="21750" y="20339"/>
                                </a:lnTo>
                                <a:lnTo>
                                  <a:pt x="45353" y="5457"/>
                                </a:lnTo>
                                <a:lnTo>
                                  <a:pt x="74256" y="0"/>
                                </a:lnTo>
                                <a:lnTo>
                                  <a:pt x="668350" y="0"/>
                                </a:lnTo>
                                <a:lnTo>
                                  <a:pt x="697260" y="5457"/>
                                </a:lnTo>
                                <a:lnTo>
                                  <a:pt x="720867" y="20339"/>
                                </a:lnTo>
                                <a:lnTo>
                                  <a:pt x="736783" y="42412"/>
                                </a:lnTo>
                                <a:lnTo>
                                  <a:pt x="742619" y="69443"/>
                                </a:lnTo>
                                <a:lnTo>
                                  <a:pt x="742619" y="620814"/>
                                </a:lnTo>
                                <a:lnTo>
                                  <a:pt x="736783" y="647847"/>
                                </a:lnTo>
                                <a:lnTo>
                                  <a:pt x="720867" y="669925"/>
                                </a:lnTo>
                                <a:lnTo>
                                  <a:pt x="697260" y="684811"/>
                                </a:lnTo>
                                <a:lnTo>
                                  <a:pt x="668350" y="690270"/>
                                </a:lnTo>
                                <a:lnTo>
                                  <a:pt x="74256" y="690270"/>
                                </a:lnTo>
                                <a:lnTo>
                                  <a:pt x="45353" y="684811"/>
                                </a:lnTo>
                                <a:lnTo>
                                  <a:pt x="21750" y="669925"/>
                                </a:lnTo>
                                <a:lnTo>
                                  <a:pt x="5835" y="647847"/>
                                </a:lnTo>
                                <a:lnTo>
                                  <a:pt x="0" y="620814"/>
                                </a:lnTo>
                                <a:lnTo>
                                  <a:pt x="0" y="69443"/>
                                </a:lnTo>
                                <a:close/>
                              </a:path>
                            </a:pathLst>
                          </a:custGeom>
                          <a:ln w="19050">
                            <a:solidFill>
                              <a:srgbClr val="008FDD"/>
                            </a:solidFill>
                            <a:prstDash val="solid"/>
                          </a:ln>
                        </wps:spPr>
                        <wps:bodyPr wrap="square" lIns="0" tIns="0" rIns="0" bIns="0" rtlCol="0">
                          <a:prstTxWarp prst="textNoShape">
                            <a:avLst/>
                          </a:prstTxWarp>
                          <a:noAutofit/>
                        </wps:bodyPr>
                      </wps:wsp>
                      <wps:wsp>
                        <wps:cNvPr id="884" name="Graphic 884"/>
                        <wps:cNvSpPr/>
                        <wps:spPr>
                          <a:xfrm>
                            <a:off x="1866569" y="6782458"/>
                            <a:ext cx="698500" cy="231775"/>
                          </a:xfrm>
                          <a:custGeom>
                            <a:avLst/>
                            <a:gdLst/>
                            <a:ahLst/>
                            <a:cxnLst/>
                            <a:rect l="l" t="t" r="r" b="b"/>
                            <a:pathLst>
                              <a:path w="698500" h="231775">
                                <a:moveTo>
                                  <a:pt x="622045" y="0"/>
                                </a:moveTo>
                                <a:lnTo>
                                  <a:pt x="76199" y="0"/>
                                </a:lnTo>
                                <a:lnTo>
                                  <a:pt x="46612" y="6012"/>
                                </a:lnTo>
                                <a:lnTo>
                                  <a:pt x="22383" y="22383"/>
                                </a:lnTo>
                                <a:lnTo>
                                  <a:pt x="6012" y="46612"/>
                                </a:lnTo>
                                <a:lnTo>
                                  <a:pt x="0" y="76200"/>
                                </a:lnTo>
                                <a:lnTo>
                                  <a:pt x="0" y="155003"/>
                                </a:lnTo>
                                <a:lnTo>
                                  <a:pt x="6012" y="184590"/>
                                </a:lnTo>
                                <a:lnTo>
                                  <a:pt x="22383" y="208819"/>
                                </a:lnTo>
                                <a:lnTo>
                                  <a:pt x="46612" y="225190"/>
                                </a:lnTo>
                                <a:lnTo>
                                  <a:pt x="76199" y="231203"/>
                                </a:lnTo>
                                <a:lnTo>
                                  <a:pt x="622045" y="231203"/>
                                </a:lnTo>
                                <a:lnTo>
                                  <a:pt x="651633" y="225190"/>
                                </a:lnTo>
                                <a:lnTo>
                                  <a:pt x="675862" y="208819"/>
                                </a:lnTo>
                                <a:lnTo>
                                  <a:pt x="692233" y="184590"/>
                                </a:lnTo>
                                <a:lnTo>
                                  <a:pt x="698245" y="155003"/>
                                </a:lnTo>
                                <a:lnTo>
                                  <a:pt x="698245" y="76200"/>
                                </a:lnTo>
                                <a:lnTo>
                                  <a:pt x="692233" y="46612"/>
                                </a:lnTo>
                                <a:lnTo>
                                  <a:pt x="675862" y="22383"/>
                                </a:lnTo>
                                <a:lnTo>
                                  <a:pt x="651633" y="6012"/>
                                </a:lnTo>
                                <a:lnTo>
                                  <a:pt x="622045" y="0"/>
                                </a:lnTo>
                                <a:close/>
                              </a:path>
                            </a:pathLst>
                          </a:custGeom>
                          <a:solidFill>
                            <a:srgbClr val="FFFFFF"/>
                          </a:solidFill>
                        </wps:spPr>
                        <wps:bodyPr wrap="square" lIns="0" tIns="0" rIns="0" bIns="0" rtlCol="0">
                          <a:prstTxWarp prst="textNoShape">
                            <a:avLst/>
                          </a:prstTxWarp>
                          <a:noAutofit/>
                        </wps:bodyPr>
                      </wps:wsp>
                      <wps:wsp>
                        <wps:cNvPr id="885" name="Graphic 885"/>
                        <wps:cNvSpPr/>
                        <wps:spPr>
                          <a:xfrm>
                            <a:off x="1866569" y="6782458"/>
                            <a:ext cx="698500" cy="231775"/>
                          </a:xfrm>
                          <a:custGeom>
                            <a:avLst/>
                            <a:gdLst/>
                            <a:ahLst/>
                            <a:cxnLst/>
                            <a:rect l="l" t="t" r="r" b="b"/>
                            <a:pathLst>
                              <a:path w="698500" h="231775">
                                <a:moveTo>
                                  <a:pt x="698245" y="155003"/>
                                </a:moveTo>
                                <a:lnTo>
                                  <a:pt x="692233" y="184590"/>
                                </a:lnTo>
                                <a:lnTo>
                                  <a:pt x="675862" y="208819"/>
                                </a:lnTo>
                                <a:lnTo>
                                  <a:pt x="651633" y="225190"/>
                                </a:lnTo>
                                <a:lnTo>
                                  <a:pt x="622045" y="231203"/>
                                </a:lnTo>
                                <a:lnTo>
                                  <a:pt x="76199" y="231203"/>
                                </a:lnTo>
                                <a:lnTo>
                                  <a:pt x="46612" y="225190"/>
                                </a:lnTo>
                                <a:lnTo>
                                  <a:pt x="22383" y="208819"/>
                                </a:lnTo>
                                <a:lnTo>
                                  <a:pt x="6012" y="184590"/>
                                </a:lnTo>
                                <a:lnTo>
                                  <a:pt x="0" y="155003"/>
                                </a:lnTo>
                                <a:lnTo>
                                  <a:pt x="0" y="76200"/>
                                </a:lnTo>
                                <a:lnTo>
                                  <a:pt x="6012" y="46612"/>
                                </a:lnTo>
                                <a:lnTo>
                                  <a:pt x="22383" y="22383"/>
                                </a:lnTo>
                                <a:lnTo>
                                  <a:pt x="46612" y="6012"/>
                                </a:lnTo>
                                <a:lnTo>
                                  <a:pt x="76199" y="0"/>
                                </a:lnTo>
                                <a:lnTo>
                                  <a:pt x="622045" y="0"/>
                                </a:lnTo>
                                <a:lnTo>
                                  <a:pt x="651633" y="6012"/>
                                </a:lnTo>
                                <a:lnTo>
                                  <a:pt x="675862" y="22383"/>
                                </a:lnTo>
                                <a:lnTo>
                                  <a:pt x="692233" y="46612"/>
                                </a:lnTo>
                                <a:lnTo>
                                  <a:pt x="698245" y="76200"/>
                                </a:lnTo>
                                <a:lnTo>
                                  <a:pt x="698245" y="155003"/>
                                </a:lnTo>
                                <a:close/>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pt;margin-top:63pt;width:522pt;height:664.5pt;mso-position-horizontal-relative:page;mso-position-vertical-relative:page;z-index:-36565504" id="docshapegroup615" coordorigin="660,1260" coordsize="10440,13290">
                <v:shape style="position:absolute;left:690;top:1290;width:10380;height:13230" id="docshape616" coordorigin="690,1290" coordsize="10380,13230" path="m10920,1290l840,1290,782,1302,734,1334,702,1382,690,1440,690,14370,702,14428,734,14476,782,14508,840,14520,10920,14520,10978,14508,11026,14476,11058,14428,11070,14370,11070,1440,11058,1382,11026,1334,10978,1302,10920,1290xe" filled="true" fillcolor="#e9f1fa" stroked="false">
                  <v:path arrowok="t"/>
                  <v:fill type="solid"/>
                </v:shape>
                <v:shape style="position:absolute;left:900;top:1320;width:10170;height:400" id="docshape617" coordorigin="900,1320" coordsize="10170,400" path="m11005,1320l900,1320,900,1720,11070,1720,11070,1440,11058,1382,11026,1334,11005,1320xe" filled="true" fillcolor="#808285" stroked="false">
                  <v:path arrowok="t"/>
                  <v:fill type="solid"/>
                </v:shape>
                <v:line style="position:absolute" from="1520,1720" to="1520,1320" stroked="true" strokeweight="2pt" strokecolor="#ffffff">
                  <v:stroke dashstyle="solid"/>
                </v:line>
                <v:rect style="position:absolute;left:720;top:1320;width:780;height:400" id="docshape618" filled="true" fillcolor="#008fdd" stroked="false">
                  <v:fill type="solid"/>
                </v:rect>
                <v:shape style="position:absolute;left:690;top:1290;width:10380;height:13230" id="docshape619" coordorigin="690,1290" coordsize="10380,13230" path="m840,1290l782,1302,734,1334,702,1382,690,1440,690,14370,702,14428,734,14476,782,14508,840,14520,10920,14520,10978,14508,11026,14476,11058,14428,11070,14370,11070,1440,11058,1382,11026,1334,10978,1302,10920,1290,840,1290xe" filled="false" stroked="true" strokeweight="3pt" strokecolor="#ffffff">
                  <v:path arrowok="t"/>
                  <v:stroke dashstyle="solid"/>
                </v:shape>
                <v:shape style="position:absolute;left:2040;top:10636;width:7680;height:3409" id="docshape620" coordorigin="2040,10636" coordsize="7680,3409" path="m9720,10636l2040,10636,2040,13927,2050,13973,2076,14010,2114,14035,2159,14045,9596,14045,9642,14036,9682,14013,9710,13976,9720,13927,9720,10636xe" filled="true" fillcolor="#d4e3f5" stroked="false">
                  <v:path arrowok="t"/>
                  <v:fill type="solid"/>
                </v:shape>
                <v:shape style="position:absolute;left:2039;top:10230;width:7680;height:365" id="docshape621" coordorigin="2040,10230" coordsize="7680,365" path="m9599,10230l2160,10230,2114,10235,2076,10253,2050,10289,2040,10350,2040,10595,9719,10595,9719,10350,9710,10310,9686,10271,9648,10242,9599,10230xe" filled="true" fillcolor="#808285" stroked="false">
                  <v:path arrowok="t"/>
                  <v:fill type="solid"/>
                </v:shape>
                <v:shape style="position:absolute;left:8916;top:11208;width:474;height:56" id="docshape622" coordorigin="8916,11209" coordsize="474,56" path="m8916,11209l9390,11209,9390,11265,9370,11265,9367,11253,9361,11244,9352,11239,9341,11236,9330,11239,9321,11244,9315,11253,9312,11265,9274,11265,9271,11253,9265,11244,9256,11239,9245,11236,9234,11239,9225,11244,9219,11253,9216,11265,9032,11265,9032,11249,9019,11236,9004,11236,8992,11239,8983,11244,8977,11253,8975,11265,8916,11265,8916,11209xe" filled="false" stroked="true" strokeweight=".75pt" strokecolor="#231f20">
                  <v:path arrowok="t"/>
                  <v:stroke dashstyle="solid"/>
                </v:shape>
                <v:shape style="position:absolute;left:8908;top:10995;width:521;height:307" type="#_x0000_t75" id="docshape623" stroked="false">
                  <v:imagedata r:id="rId75" o:title=""/>
                </v:shape>
                <v:shape style="position:absolute;left:8916;top:11208;width:474;height:56" id="docshape624" coordorigin="8916,11209" coordsize="474,56" path="m8916,11209l9390,11209,9390,11265,9370,11265,9367,11253,9361,11244,9352,11239,9341,11236,9330,11239,9321,11244,9315,11253,9312,11265,9274,11265,9271,11253,9265,11244,9256,11239,9245,11236,9234,11239,9225,11244,9219,11253,9216,11265,9032,11265,9032,11249,9019,11236,9004,11236,8992,11239,8983,11244,8977,11253,8975,11265,8916,11265,8916,11209xe" filled="false" stroked="true" strokeweight=".75pt" strokecolor="#231f20">
                  <v:path arrowok="t"/>
                  <v:stroke dashstyle="solid"/>
                </v:shape>
                <v:shape style="position:absolute;left:9312;top:11264;width:58;height:31" id="docshape625" coordorigin="9312,11265" coordsize="58,31" path="m9370,11265l9370,11265,9367,11277,9361,11286,9352,11292,9341,11295,9330,11292,9321,11286,9314,11277,9312,11265,9312,11265e" filled="false" stroked="true" strokeweight=".75pt" strokecolor="#231f20">
                  <v:path arrowok="t"/>
                  <v:stroke dashstyle="solid"/>
                </v:shape>
                <v:shape style="position:absolute;left:9216;top:11264;width:58;height:31" id="docshape626" coordorigin="9216,11265" coordsize="58,31" path="m9274,11265l9274,11265,9272,11277,9266,11286,9256,11292,9245,11295,9234,11292,9225,11286,9219,11277,9216,11265,9216,11265e" filled="false" stroked="true" strokeweight=".75pt" strokecolor="#231f20">
                  <v:path arrowok="t"/>
                  <v:stroke dashstyle="solid"/>
                </v:shape>
                <v:shape style="position:absolute;left:8974;top:11264;width:58;height:31" id="docshape627" coordorigin="8974,11265" coordsize="58,31" path="m9032,11265l9032,11265,9030,11277,9024,11286,9015,11292,9004,11295,8992,11292,8983,11286,8977,11277,8974,11265,8975,11265e" filled="false" stroked="true" strokeweight=".75pt" strokecolor="#231f20">
                  <v:path arrowok="t"/>
                  <v:stroke dashstyle="solid"/>
                </v:shape>
                <v:shape style="position:absolute;left:8916;top:11080;width:127;height:184" id="docshape628" coordorigin="8916,11081" coordsize="127,184" path="m8974,11265l8916,11265,8916,11165,8974,11081,9043,11081,9043,11265e" filled="false" stroked="true" strokeweight=".75pt" strokecolor="#231f20">
                  <v:path arrowok="t"/>
                  <v:stroke dashstyle="solid"/>
                </v:shape>
                <v:shape style="position:absolute;left:8916;top:11118;width:92;height:54" id="docshape629" coordorigin="8916,11118" coordsize="92,54" path="m8949,11118l9008,11118,9008,11171,8916,11171e" filled="false" stroked="true" strokeweight=".75pt" strokecolor="#231f20">
                  <v:path arrowok="t"/>
                  <v:stroke dashstyle="solid"/>
                </v:shape>
                <v:shape style="position:absolute;left:9390;top:11245;width:40;height:2" id="docshape630" coordorigin="9390,11245" coordsize="40,0" path="m9430,11245l9430,11245,9390,11245e" filled="false" stroked="true" strokeweight=".75pt" strokecolor="#231f20">
                  <v:path arrowok="t"/>
                  <v:stroke dashstyle="solid"/>
                </v:shape>
                <v:shape style="position:absolute;left:9390;top:11224;width:24;height:2" id="docshape631" coordorigin="9390,11224" coordsize="24,0" path="m9413,11224l9413,11224,9390,11224e" filled="false" stroked="true" strokeweight=".75pt" strokecolor="#231f20">
                  <v:path arrowok="t"/>
                  <v:stroke dashstyle="solid"/>
                </v:shape>
                <v:shape style="position:absolute;left:8916;top:11235;width:35;height:2" id="docshape632" coordorigin="8916,11236" coordsize="35,0" path="m8916,11236l8916,11236,8951,11236e" filled="false" stroked="true" strokeweight=".75pt" strokecolor="#231f20">
                  <v:path arrowok="t"/>
                  <v:stroke dashstyle="solid"/>
                </v:shape>
                <v:shape style="position:absolute;left:8955;top:12066;width:474;height:56" id="docshape633" coordorigin="8956,12067" coordsize="474,56" path="m9430,12067l8956,12067,8956,12123,8976,12123,8979,12111,8985,12102,8994,12096,9005,12094,9016,12096,9025,12102,9031,12111,9034,12123,9072,12123,9074,12111,9081,12102,9090,12096,9101,12094,9112,12096,9121,12102,9127,12111,9130,12123,9314,12123,9316,12111,9322,12102,9331,12096,9342,12094,9354,12096,9363,12102,9369,12111,9371,12123,9430,12123,9430,12067xe" filled="false" stroked="true" strokeweight=".75pt" strokecolor="#231f20">
                  <v:path arrowok="t"/>
                  <v:stroke dashstyle="solid"/>
                </v:shape>
                <v:shape style="position:absolute;left:8916;top:11853;width:521;height:307" type="#_x0000_t75" id="docshape634" stroked="false">
                  <v:imagedata r:id="rId76" o:title=""/>
                </v:shape>
                <v:shape style="position:absolute;left:8955;top:12066;width:474;height:56" id="docshape635" coordorigin="8956,12067" coordsize="474,56" path="m9430,12067l8956,12067,8956,12123,8976,12123,8979,12111,8985,12102,8994,12096,9005,12094,9016,12096,9025,12102,9031,12111,9034,12123,9072,12123,9074,12111,9081,12102,9090,12096,9101,12094,9112,12096,9121,12102,9127,12111,9130,12123,9314,12123,9316,12111,9322,12102,9331,12096,9342,12094,9354,12096,9363,12102,9369,12111,9371,12123,9430,12123,9430,12067xe" filled="false" stroked="true" strokeweight=".75pt" strokecolor="#231f20">
                  <v:path arrowok="t"/>
                  <v:stroke dashstyle="solid"/>
                </v:shape>
                <v:shape style="position:absolute;left:8976;top:12122;width:58;height:31" id="docshape636" coordorigin="8976,12123" coordsize="58,31" path="m8976,12123l8976,12123,8979,12135,8985,12144,8994,12150,9005,12153,9016,12150,9025,12144,9032,12135,9034,12123,9034,12123e" filled="false" stroked="true" strokeweight=".75pt" strokecolor="#231f20">
                  <v:path arrowok="t"/>
                  <v:stroke dashstyle="solid"/>
                </v:shape>
                <v:shape style="position:absolute;left:9072;top:12122;width:58;height:31" id="docshape637" coordorigin="9072,12123" coordsize="58,31" path="m9072,12123l9072,12123,9074,12135,9080,12144,9089,12150,9101,12153,9112,12150,9121,12144,9127,12135,9130,12123,9130,12123e" filled="false" stroked="true" strokeweight=".75pt" strokecolor="#231f20">
                  <v:path arrowok="t"/>
                  <v:stroke dashstyle="solid"/>
                </v:shape>
                <v:shape style="position:absolute;left:9314;top:12122;width:58;height:31" id="docshape638" coordorigin="9314,12123" coordsize="58,31" path="m9314,12123l9314,12123,9316,12135,9322,12144,9331,12150,9342,12153,9354,12150,9363,12144,9369,12135,9372,12123,9371,12123e" filled="false" stroked="true" strokeweight=".75pt" strokecolor="#231f20">
                  <v:path arrowok="t"/>
                  <v:stroke dashstyle="solid"/>
                </v:shape>
                <v:shape style="position:absolute;left:9302;top:11938;width:127;height:184" id="docshape639" coordorigin="9303,11939" coordsize="127,184" path="m9372,12123l9430,12123,9430,12023,9372,11939,9303,11939,9303,12123e" filled="false" stroked="true" strokeweight=".75pt" strokecolor="#231f20">
                  <v:path arrowok="t"/>
                  <v:stroke dashstyle="solid"/>
                </v:shape>
                <v:shape style="position:absolute;left:9338;top:11976;width:92;height:54" id="docshape640" coordorigin="9338,11976" coordsize="92,54" path="m9397,11976l9338,11976,9338,12029,9430,12029e" filled="false" stroked="true" strokeweight=".75pt" strokecolor="#231f20">
                  <v:path arrowok="t"/>
                  <v:stroke dashstyle="solid"/>
                </v:shape>
                <v:shape style="position:absolute;left:8916;top:12103;width:40;height:2" id="docshape641" coordorigin="8916,12103" coordsize="40,0" path="m8916,12103l8916,12103,8956,12103e" filled="false" stroked="true" strokeweight=".75pt" strokecolor="#231f20">
                  <v:path arrowok="t"/>
                  <v:stroke dashstyle="solid"/>
                </v:shape>
                <v:shape style="position:absolute;left:8932;top:12082;width:24;height:2" id="docshape642" coordorigin="8933,12082" coordsize="24,0" path="m8933,12082l8933,12082,8956,12082e" filled="false" stroked="true" strokeweight=".75pt" strokecolor="#231f20">
                  <v:path arrowok="t"/>
                  <v:stroke dashstyle="solid"/>
                </v:shape>
                <v:shape style="position:absolute;left:9395;top:12093;width:35;height:2" id="docshape643" coordorigin="9395,12094" coordsize="35,0" path="m9430,12094l9430,12094,9395,12094e" filled="false" stroked="true" strokeweight=".75pt" strokecolor="#231f20">
                  <v:path arrowok="t"/>
                  <v:stroke dashstyle="solid"/>
                </v:shape>
                <v:shape style="position:absolute;left:8870;top:11478;width:605;height:151" id="docshape644" coordorigin="8871,11478" coordsize="605,151" path="m8871,11628l9329,11628,9398,11622,9443,11606,9468,11582,9475,11553,9468,11524,9443,11500,9398,11484,9329,11478,8957,11478e" filled="false" stroked="true" strokeweight="1pt" strokecolor="#231f20">
                  <v:path arrowok="t"/>
                  <v:stroke dashstyle="solid"/>
                </v:shape>
                <v:shape style="position:absolute;left:8870;top:11418;width:104;height:120" id="docshape645" coordorigin="8871,11418" coordsize="104,120" path="m8974,11418l8871,11478,8974,11538,8974,11418xe" filled="true" fillcolor="#231f20" stroked="false">
                  <v:path arrowok="t"/>
                  <v:fill type="solid"/>
                </v:shape>
                <v:shape style="position:absolute;left:2362;top:11208;width:474;height:56" id="docshape646" coordorigin="2363,11209" coordsize="474,56" path="m2363,11209l2837,11209,2837,11265,2816,11265,2814,11253,2808,11244,2798,11239,2788,11236,2777,11239,2767,11244,2761,11253,2759,11265,2720,11265,2718,11253,2712,11244,2703,11239,2692,11236,2681,11239,2672,11244,2665,11253,2663,11265,2478,11265,2476,11253,2470,11244,2461,11239,2450,11236,2439,11239,2430,11244,2424,11253,2422,11265,2363,11265,2363,11209xe" filled="false" stroked="true" strokeweight=".75pt" strokecolor="#231f20">
                  <v:path arrowok="t"/>
                  <v:stroke dashstyle="solid"/>
                </v:shape>
                <v:shape style="position:absolute;left:2355;top:10995;width:521;height:307" type="#_x0000_t75" id="docshape647" stroked="false">
                  <v:imagedata r:id="rId77" o:title=""/>
                </v:shape>
                <v:shape style="position:absolute;left:2362;top:11208;width:474;height:56" id="docshape648" coordorigin="2363,11209" coordsize="474,56" path="m2363,11209l2837,11209,2837,11265,2816,11265,2814,11253,2808,11244,2798,11239,2788,11236,2777,11239,2767,11244,2761,11253,2759,11265,2720,11265,2718,11253,2712,11244,2703,11239,2692,11236,2681,11239,2672,11244,2665,11253,2663,11265,2478,11265,2476,11253,2470,11244,2461,11239,2450,11236,2439,11239,2430,11244,2424,11253,2422,11265,2363,11265,2363,11209xe" filled="false" stroked="true" strokeweight=".75pt" strokecolor="#231f20">
                  <v:path arrowok="t"/>
                  <v:stroke dashstyle="solid"/>
                </v:shape>
                <v:shape style="position:absolute;left:2758;top:11264;width:58;height:31" id="docshape649" coordorigin="2759,11265" coordsize="58,31" path="m2816,11265l2816,11265,2814,11277,2808,11286,2799,11292,2788,11295,2776,11292,2767,11286,2761,11277,2759,11265,2759,11265e" filled="false" stroked="true" strokeweight=".75pt" strokecolor="#231f20">
                  <v:path arrowok="t"/>
                  <v:stroke dashstyle="solid"/>
                </v:shape>
                <v:shape style="position:absolute;left:2662;top:11264;width:58;height:31" id="docshape650" coordorigin="2663,11265" coordsize="58,31" path="m2720,11265l2720,11265,2718,11277,2712,11286,2703,11292,2692,11295,2681,11292,2671,11286,2665,11277,2663,11265,2663,11265e" filled="false" stroked="true" strokeweight=".75pt" strokecolor="#231f20">
                  <v:path arrowok="t"/>
                  <v:stroke dashstyle="solid"/>
                </v:shape>
                <v:shape style="position:absolute;left:2420;top:11264;width:58;height:31" id="docshape651" coordorigin="2421,11265" coordsize="58,31" path="m2478,11265l2478,11265,2476,11277,2470,11286,2461,11292,2450,11295,2439,11292,2430,11286,2423,11277,2421,11265,2422,11265e" filled="false" stroked="true" strokeweight=".75pt" strokecolor="#231f20">
                  <v:path arrowok="t"/>
                  <v:stroke dashstyle="solid"/>
                </v:shape>
                <v:shape style="position:absolute;left:2362;top:11080;width:127;height:184" id="docshape652" coordorigin="2363,11081" coordsize="127,184" path="m2421,11265l2363,11265,2363,11165,2421,11081,2490,11081,2490,11265e" filled="false" stroked="true" strokeweight=".75pt" strokecolor="#231f20">
                  <v:path arrowok="t"/>
                  <v:stroke dashstyle="solid"/>
                </v:shape>
                <v:shape style="position:absolute;left:2362;top:11118;width:92;height:54" id="docshape653" coordorigin="2363,11118" coordsize="92,54" path="m2395,11118l2454,11118,2454,11171,2363,11171e" filled="false" stroked="true" strokeweight=".75pt" strokecolor="#231f20">
                  <v:path arrowok="t"/>
                  <v:stroke dashstyle="solid"/>
                </v:shape>
                <v:shape style="position:absolute;left:2836;top:11245;width:40;height:2" id="docshape654" coordorigin="2837,11245" coordsize="40,0" path="m2876,11245l2876,11245,2837,11245e" filled="false" stroked="true" strokeweight=".75pt" strokecolor="#231f20">
                  <v:path arrowok="t"/>
                  <v:stroke dashstyle="solid"/>
                </v:shape>
                <v:shape style="position:absolute;left:2836;top:11224;width:24;height:2" id="docshape655" coordorigin="2837,11224" coordsize="24,0" path="m2860,11224l2860,11224,2837,11224e" filled="false" stroked="true" strokeweight=".75pt" strokecolor="#231f20">
                  <v:path arrowok="t"/>
                  <v:stroke dashstyle="solid"/>
                </v:shape>
                <v:shape style="position:absolute;left:2362;top:11235;width:35;height:2" id="docshape656" coordorigin="2363,11236" coordsize="35,0" path="m2363,11236l2363,11236,2397,11236e" filled="false" stroked="true" strokeweight=".75pt" strokecolor="#231f20">
                  <v:path arrowok="t"/>
                  <v:stroke dashstyle="solid"/>
                </v:shape>
                <v:shape style="position:absolute;left:2402;top:12066;width:474;height:56" id="docshape657" coordorigin="2402,12067" coordsize="474,56" path="m2876,12067l2402,12067,2402,12123,2423,12123,2425,12111,2431,12102,2440,12096,2451,12094,2462,12096,2472,12102,2478,12111,2480,12123,2519,12123,2521,12111,2527,12102,2536,12096,2547,12094,2558,12096,2567,12102,2574,12111,2576,12123,2761,12123,2763,12111,2769,12102,2778,12096,2789,12094,2800,12096,2809,12102,2815,12111,2817,12123,2876,12123,2876,12067xe" filled="false" stroked="true" strokeweight=".75pt" strokecolor="#231f20">
                  <v:path arrowok="t"/>
                  <v:stroke dashstyle="solid"/>
                </v:shape>
                <v:shape style="position:absolute;left:2362;top:11853;width:521;height:307" type="#_x0000_t75" id="docshape658" stroked="false">
                  <v:imagedata r:id="rId78" o:title=""/>
                </v:shape>
                <v:shape style="position:absolute;left:2402;top:12066;width:474;height:56" id="docshape659" coordorigin="2402,12067" coordsize="474,56" path="m2876,12067l2402,12067,2402,12123,2423,12123,2425,12111,2431,12102,2440,12096,2451,12094,2462,12096,2472,12102,2478,12111,2480,12123,2519,12123,2521,12111,2527,12102,2536,12096,2547,12094,2558,12096,2567,12102,2574,12111,2576,12123,2761,12123,2763,12111,2769,12102,2778,12096,2789,12094,2800,12096,2809,12102,2815,12111,2817,12123,2876,12123,2876,12067xe" filled="false" stroked="true" strokeweight=".75pt" strokecolor="#231f20">
                  <v:path arrowok="t"/>
                  <v:stroke dashstyle="solid"/>
                </v:shape>
                <v:shape style="position:absolute;left:2422;top:12122;width:58;height:31" id="docshape660" coordorigin="2423,12123" coordsize="58,31" path="m2423,12123l2423,12123,2425,12135,2431,12144,2440,12150,2451,12153,2463,12150,2472,12144,2478,12135,2480,12123,2480,12123e" filled="false" stroked="true" strokeweight=".75pt" strokecolor="#231f20">
                  <v:path arrowok="t"/>
                  <v:stroke dashstyle="solid"/>
                </v:shape>
                <v:shape style="position:absolute;left:2518;top:12122;width:58;height:31" id="docshape661" coordorigin="2519,12123" coordsize="58,31" path="m2519,12123l2519,12123,2521,12135,2527,12144,2536,12150,2547,12153,2558,12150,2568,12144,2574,12135,2576,12123,2576,12123e" filled="false" stroked="true" strokeweight=".75pt" strokecolor="#231f20">
                  <v:path arrowok="t"/>
                  <v:stroke dashstyle="solid"/>
                </v:shape>
                <v:shape style="position:absolute;left:2760;top:12122;width:58;height:31" id="docshape662" coordorigin="2761,12123" coordsize="58,31" path="m2761,12123l2761,12123,2763,12135,2769,12144,2778,12150,2789,12153,2800,12150,2809,12144,2816,12135,2818,12123,2817,12123e" filled="false" stroked="true" strokeweight=".75pt" strokecolor="#231f20">
                  <v:path arrowok="t"/>
                  <v:stroke dashstyle="solid"/>
                </v:shape>
                <v:shape style="position:absolute;left:2749;top:11938;width:127;height:184" id="docshape663" coordorigin="2749,11939" coordsize="127,184" path="m2818,12123l2876,12123,2876,12023,2818,11939,2749,11939,2749,12123e" filled="false" stroked="true" strokeweight=".75pt" strokecolor="#231f20">
                  <v:path arrowok="t"/>
                  <v:stroke dashstyle="solid"/>
                </v:shape>
                <v:shape style="position:absolute;left:2784;top:11976;width:92;height:54" id="docshape664" coordorigin="2785,11976" coordsize="92,54" path="m2844,11976l2785,11976,2785,12029,2876,12029e" filled="false" stroked="true" strokeweight=".75pt" strokecolor="#231f20">
                  <v:path arrowok="t"/>
                  <v:stroke dashstyle="solid"/>
                </v:shape>
                <v:shape style="position:absolute;left:2362;top:12103;width:40;height:2" id="docshape665" coordorigin="2363,12103" coordsize="40,0" path="m2363,12103l2363,12103,2402,12103e" filled="false" stroked="true" strokeweight=".75pt" strokecolor="#231f20">
                  <v:path arrowok="t"/>
                  <v:stroke dashstyle="solid"/>
                </v:shape>
                <v:shape style="position:absolute;left:2379;top:12082;width:24;height:2" id="docshape666" coordorigin="2379,12082" coordsize="24,0" path="m2379,12082l2379,12082,2402,12082e" filled="false" stroked="true" strokeweight=".75pt" strokecolor="#231f20">
                  <v:path arrowok="t"/>
                  <v:stroke dashstyle="solid"/>
                </v:shape>
                <v:shape style="position:absolute;left:2841;top:12093;width:35;height:2" id="docshape667" coordorigin="2842,12094" coordsize="35,0" path="m2876,12094l2876,12094,2842,12094e" filled="false" stroked="true" strokeweight=".75pt" strokecolor="#231f20">
                  <v:path arrowok="t"/>
                  <v:stroke dashstyle="solid"/>
                </v:shape>
                <v:shape style="position:absolute;left:2317;top:11478;width:605;height:151" id="docshape668" coordorigin="2317,11478" coordsize="605,151" path="m2922,11478l2463,11478,2394,11484,2349,11500,2324,11524,2317,11553,2324,11582,2349,11606,2394,11622,2463,11628,2836,11628e" filled="false" stroked="true" strokeweight="1pt" strokecolor="#231f20">
                  <v:path arrowok="t"/>
                  <v:stroke dashstyle="solid"/>
                </v:shape>
                <v:shape style="position:absolute;left:2818;top:11568;width:104;height:120" id="docshape669" coordorigin="2818,11568" coordsize="104,120" path="m2818,11568l2818,11688,2922,11628,2818,11568xe" filled="true" fillcolor="#231f20" stroked="false">
                  <v:path arrowok="t"/>
                  <v:fill type="solid"/>
                </v:shape>
                <v:shape style="position:absolute;left:3448;top:13438;width:63;height:35" id="docshape670" coordorigin="3449,13439" coordsize="63,35" path="m3511,13439l3508,13452,3502,13463,3492,13471,3480,13474,3468,13471,3458,13463,3451,13452,3449,13439e" filled="false" stroked="true" strokeweight=".75pt" strokecolor="#231f20">
                  <v:path arrowok="t"/>
                  <v:stroke dashstyle="solid"/>
                </v:shape>
                <v:shape style="position:absolute;left:3386;top:13438;width:63;height:35" id="docshape671" coordorigin="3387,13439" coordsize="63,35" path="m3449,13439l3446,13452,3440,13463,3430,13471,3418,13474,3406,13471,3396,13463,3389,13452,3387,13439e" filled="false" stroked="true" strokeweight=".75pt" strokecolor="#231f20">
                  <v:path arrowok="t"/>
                  <v:stroke dashstyle="solid"/>
                </v:shape>
                <v:shape style="position:absolute;left:3324;top:13438;width:63;height:35" id="docshape672" coordorigin="3325,13439" coordsize="63,35" path="m3387,13439l3384,13452,3378,13463,3368,13471,3356,13474,3344,13471,3334,13463,3327,13452,3325,13439e" filled="false" stroked="true" strokeweight=".75pt" strokecolor="#231f20">
                  <v:path arrowok="t"/>
                  <v:stroke dashstyle="solid"/>
                </v:shape>
                <v:shape style="position:absolute;left:3262;top:13438;width:63;height:35" id="docshape673" coordorigin="3262,13439" coordsize="63,35" path="m3325,13439l3322,13452,3315,13463,3306,13471,3293,13474,3281,13471,3272,13463,3265,13452,3262,13439e" filled="false" stroked="true" strokeweight=".75pt" strokecolor="#231f20">
                  <v:path arrowok="t"/>
                  <v:stroke dashstyle="solid"/>
                </v:shape>
                <v:shape style="position:absolute;left:3200;top:13438;width:63;height:35" id="docshape674" coordorigin="3200,13439" coordsize="63,35" path="m3262,13439l3260,13452,3253,13463,3243,13471,3231,13474,3219,13471,3209,13463,3203,13452,3200,13439e" filled="false" stroked="true" strokeweight=".75pt" strokecolor="#231f20">
                  <v:path arrowok="t"/>
                  <v:stroke dashstyle="solid"/>
                </v:shape>
                <v:shape style="position:absolute;left:3138;top:13438;width:63;height:35" id="docshape675" coordorigin="3138,13439" coordsize="63,35" path="m3200,13439l3198,13452,3191,13463,3181,13471,3169,13474,3157,13471,3147,13463,3141,13452,3138,13439e" filled="false" stroked="true" strokeweight=".75pt" strokecolor="#231f20">
                  <v:path arrowok="t"/>
                  <v:stroke dashstyle="solid"/>
                </v:shape>
                <v:shape style="position:absolute;left:3076;top:13438;width:63;height:35" id="docshape676" coordorigin="3076,13439" coordsize="63,35" path="m3138,13439l3136,13452,3129,13463,3119,13471,3107,13474,3095,13471,3085,13463,3079,13452,3076,13439e" filled="false" stroked="true" strokeweight=".75pt" strokecolor="#231f20">
                  <v:path arrowok="t"/>
                  <v:stroke dashstyle="solid"/>
                </v:shape>
                <v:shape style="position:absolute;left:3014;top:13438;width:63;height:35" id="docshape677" coordorigin="3014,13439" coordsize="63,35" path="m3076,13439l3074,13452,3067,13463,3057,13471,3045,13474,3033,13471,3023,13463,3016,13452,3014,13439e" filled="false" stroked="true" strokeweight=".75pt" strokecolor="#231f20">
                  <v:path arrowok="t"/>
                  <v:stroke dashstyle="solid"/>
                </v:shape>
                <v:shape style="position:absolute;left:2951;top:13438;width:63;height:35" id="docshape678" coordorigin="2952,13439" coordsize="63,35" path="m3014,13439l3012,13452,3005,13463,2995,13471,2983,13474,2971,13471,2961,13463,2954,13452,2952,13439e" filled="false" stroked="true" strokeweight=".75pt" strokecolor="#231f20">
                  <v:path arrowok="t"/>
                  <v:stroke dashstyle="solid"/>
                </v:shape>
                <v:shape style="position:absolute;left:2889;top:13438;width:63;height:35" id="docshape679" coordorigin="2890,13439" coordsize="63,35" path="m2952,13439l2949,13452,2943,13463,2933,13471,2921,13474,2909,13471,2899,13463,2892,13452,2890,13439e" filled="false" stroked="true" strokeweight=".75pt" strokecolor="#231f20">
                  <v:path arrowok="t"/>
                  <v:stroke dashstyle="solid"/>
                </v:shape>
                <v:shape style="position:absolute;left:2908;top:13361;width:585;height:96" id="docshape680" coordorigin="2908,13362" coordsize="585,96" path="m3456,13456l3492,13362,3212,13362,3200,13362,2908,13362,2908,13402,2909,13420,2912,13432,2919,13443,2934,13457e" filled="false" stroked="true" strokeweight=".75pt" strokecolor="#231f20">
                  <v:path arrowok="t"/>
                  <v:stroke dashstyle="solid"/>
                </v:shape>
                <v:shape style="position:absolute;left:2949;top:13010;width:220;height:359" type="#_x0000_t75" id="docshape681" stroked="false">
                  <v:imagedata r:id="rId79" o:title=""/>
                </v:shape>
                <v:shape style="position:absolute;left:3208;top:13086;width:242;height:138" id="docshape682" coordorigin="3208,13086" coordsize="242,138" path="m3208,13115l3208,13086,3237,13086,3266,13086,3449,13086,3449,13224,3208,13224,3208,13145,3208,13115xe" filled="false" stroked="true" strokeweight=".75pt" strokecolor="#231f20">
                  <v:path arrowok="t"/>
                  <v:stroke dashstyle="solid"/>
                </v:shape>
                <v:shape style="position:absolute;left:3246;top:13121;width:2;height:68" id="docshape683" coordorigin="3247,13121" coordsize="0,68" path="m3247,13121l3247,13121,3247,13188e" filled="false" stroked="true" strokeweight=".75pt" strokecolor="#231f20">
                  <v:path arrowok="t"/>
                  <v:stroke dashstyle="solid"/>
                </v:shape>
                <v:shape style="position:absolute;left:3280;top:13121;width:2;height:67" id="docshape684" coordorigin="3280,13122" coordsize="0,67" path="m3280,13122l3280,13122,3280,13188e" filled="false" stroked="true" strokeweight=".75pt" strokecolor="#231f20">
                  <v:path arrowok="t"/>
                  <v:stroke dashstyle="solid"/>
                </v:shape>
                <v:shape style="position:absolute;left:3312;top:13121;width:2;height:67" id="docshape685" coordorigin="3313,13122" coordsize="0,67" path="m3313,13122l3313,13122,3313,13188e" filled="false" stroked="true" strokeweight=".75pt" strokecolor="#231f20">
                  <v:path arrowok="t"/>
                  <v:stroke dashstyle="solid"/>
                </v:shape>
                <v:shape style="position:absolute;left:3345;top:13121;width:2;height:67" id="docshape686" coordorigin="3345,13122" coordsize="0,67" path="m3345,13122l3345,13122,3345,13188e" filled="false" stroked="true" strokeweight=".75pt" strokecolor="#231f20">
                  <v:path arrowok="t"/>
                  <v:stroke dashstyle="solid"/>
                </v:shape>
                <v:shape style="position:absolute;left:3376;top:13121;width:2;height:67" id="docshape687" coordorigin="3377,13122" coordsize="0,67" path="m3377,13122l3377,13122,3377,13188e" filled="false" stroked="true" strokeweight=".75pt" strokecolor="#231f20">
                  <v:path arrowok="t"/>
                  <v:stroke dashstyle="solid"/>
                </v:shape>
                <v:shape style="position:absolute;left:3410;top:13121;width:2;height:67" id="docshape688" coordorigin="3410,13122" coordsize="0,67" path="m3410,13122l3410,13122,3410,13188e" filled="false" stroked="true" strokeweight=".75pt" strokecolor="#231f20">
                  <v:path arrowok="t"/>
                  <v:stroke dashstyle="solid"/>
                </v:shape>
                <v:shape style="position:absolute;left:3246;top:13258;width:2;height:68" id="docshape689" coordorigin="3247,13259" coordsize="0,68" path="m3247,13259l3247,13259,3247,13327e" filled="false" stroked="true" strokeweight=".75pt" strokecolor="#231f20">
                  <v:path arrowok="t"/>
                  <v:stroke dashstyle="solid"/>
                </v:shape>
                <v:shape style="position:absolute;left:3280;top:13260;width:2;height:67" id="docshape690" coordorigin="3280,13260" coordsize="0,67" path="m3280,13260l3280,13260,3280,13327e" filled="false" stroked="true" strokeweight=".75pt" strokecolor="#231f20">
                  <v:path arrowok="t"/>
                  <v:stroke dashstyle="solid"/>
                </v:shape>
                <v:shape style="position:absolute;left:3312;top:13260;width:2;height:67" id="docshape691" coordorigin="3313,13260" coordsize="0,67" path="m3313,13260l3313,13260,3313,13327e" filled="false" stroked="true" strokeweight=".75pt" strokecolor="#231f20">
                  <v:path arrowok="t"/>
                  <v:stroke dashstyle="solid"/>
                </v:shape>
                <v:shape style="position:absolute;left:3345;top:13260;width:2;height:67" id="docshape692" coordorigin="3345,13260" coordsize="0,67" path="m3345,13260l3345,13260,3345,13327e" filled="false" stroked="true" strokeweight=".75pt" strokecolor="#231f20">
                  <v:path arrowok="t"/>
                  <v:stroke dashstyle="solid"/>
                </v:shape>
                <v:shape style="position:absolute;left:3376;top:13260;width:2;height:67" id="docshape693" coordorigin="3377,13260" coordsize="0,67" path="m3377,13260l3377,13260,3377,13327e" filled="false" stroked="true" strokeweight=".75pt" strokecolor="#231f20">
                  <v:path arrowok="t"/>
                  <v:stroke dashstyle="solid"/>
                </v:shape>
                <v:shape style="position:absolute;left:3410;top:13260;width:2;height:67" id="docshape694" coordorigin="3410,13260" coordsize="0,67" path="m3410,13260l3410,13260,3410,13327e" filled="false" stroked="true" strokeweight=".75pt" strokecolor="#231f20">
                  <v:path arrowok="t"/>
                  <v:stroke dashstyle="solid"/>
                </v:shape>
                <v:shape style="position:absolute;left:3208;top:13223;width:242;height:138" id="docshape695" coordorigin="3208,13224" coordsize="242,138" path="m3208,13277l3208,13277,3208,13224m3449,13224l3449,13224,3449,13362,3208,13362,3208,13277e" filled="false" stroked="true" strokeweight=".75pt" strokecolor="#231f20">
                  <v:path arrowok="t"/>
                  <v:stroke dashstyle="solid"/>
                </v:shape>
                <v:shape style="position:absolute;left:2369;top:13007;width:391;height:478" type="#_x0000_t75" id="docshape696" stroked="false">
                  <v:imagedata r:id="rId80" o:title=""/>
                </v:shape>
                <v:shape style="position:absolute;left:9416;top:13438;width:63;height:35" id="docshape697" coordorigin="9417,13439" coordsize="63,35" path="m9479,13439l9477,13452,9470,13463,9460,13471,9448,13474,9436,13471,9426,13463,9419,13452,9417,13439e" filled="false" stroked="true" strokeweight=".75pt" strokecolor="#231f20">
                  <v:path arrowok="t"/>
                  <v:stroke dashstyle="solid"/>
                </v:shape>
                <v:shape style="position:absolute;left:9354;top:13438;width:63;height:35" id="docshape698" coordorigin="9355,13439" coordsize="63,35" path="m9417,13439l9415,13452,9408,13463,9398,13471,9386,13474,9374,13471,9364,13463,9357,13452,9355,13439e" filled="false" stroked="true" strokeweight=".75pt" strokecolor="#231f20">
                  <v:path arrowok="t"/>
                  <v:stroke dashstyle="solid"/>
                </v:shape>
                <v:shape style="position:absolute;left:9292;top:13438;width:63;height:35" id="docshape699" coordorigin="9293,13439" coordsize="63,35" path="m9355,13439l9352,13452,9346,13463,9336,13471,9324,13474,9312,13471,9302,13463,9295,13452,9293,13439e" filled="false" stroked="true" strokeweight=".75pt" strokecolor="#231f20">
                  <v:path arrowok="t"/>
                  <v:stroke dashstyle="solid"/>
                </v:shape>
                <v:shape style="position:absolute;left:9230;top:13438;width:63;height:35" id="docshape700" coordorigin="9231,13439" coordsize="63,35" path="m9293,13439l9290,13452,9284,13463,9274,13471,9262,13474,9250,13471,9240,13463,9233,13452,9231,13439e" filled="false" stroked="true" strokeweight=".75pt" strokecolor="#231f20">
                  <v:path arrowok="t"/>
                  <v:stroke dashstyle="solid"/>
                </v:shape>
                <v:shape style="position:absolute;left:9168;top:13438;width:63;height:35" id="docshape701" coordorigin="9169,13439" coordsize="63,35" path="m9231,13439l9228,13452,9222,13463,9212,13471,9200,13474,9187,13471,9178,13463,9171,13452,9169,13439e" filled="false" stroked="true" strokeweight=".75pt" strokecolor="#231f20">
                  <v:path arrowok="t"/>
                  <v:stroke dashstyle="solid"/>
                </v:shape>
                <v:shape style="position:absolute;left:9106;top:13438;width:63;height:35" id="docshape702" coordorigin="9106,13439" coordsize="63,35" path="m9169,13439l9166,13452,9159,13463,9150,13471,9137,13474,9125,13471,9116,13463,9109,13452,9106,13439e" filled="false" stroked="true" strokeweight=".75pt" strokecolor="#231f20">
                  <v:path arrowok="t"/>
                  <v:stroke dashstyle="solid"/>
                </v:shape>
                <v:shape style="position:absolute;left:9044;top:13438;width:63;height:35" id="docshape703" coordorigin="9044,13439" coordsize="63,35" path="m9106,13439l9104,13452,9097,13463,9087,13471,9075,13474,9063,13471,9053,13463,9047,13452,9044,13439e" filled="false" stroked="true" strokeweight=".75pt" strokecolor="#231f20">
                  <v:path arrowok="t"/>
                  <v:stroke dashstyle="solid"/>
                </v:shape>
                <v:shape style="position:absolute;left:8982;top:13438;width:63;height:35" id="docshape704" coordorigin="8982,13439" coordsize="63,35" path="m9044,13439l9042,13452,9035,13463,9025,13471,9013,13474,9001,13471,8991,13463,8985,13452,8982,13439e" filled="false" stroked="true" strokeweight=".75pt" strokecolor="#231f20">
                  <v:path arrowok="t"/>
                  <v:stroke dashstyle="solid"/>
                </v:shape>
                <v:shape style="position:absolute;left:8920;top:13438;width:63;height:35" id="docshape705" coordorigin="8920,13439" coordsize="63,35" path="m8982,13439l8980,13452,8973,13463,8963,13471,8951,13474,8939,13471,8929,13463,8923,13452,8920,13439e" filled="false" stroked="true" strokeweight=".75pt" strokecolor="#231f20">
                  <v:path arrowok="t"/>
                  <v:stroke dashstyle="solid"/>
                </v:shape>
                <v:shape style="position:absolute;left:8857;top:13438;width:63;height:35" id="docshape706" coordorigin="8858,13439" coordsize="63,35" path="m8920,13439l8918,13452,8911,13463,8901,13471,8889,13474,8877,13471,8867,13463,8860,13452,8858,13439e" filled="false" stroked="true" strokeweight=".75pt" strokecolor="#231f20">
                  <v:path arrowok="t"/>
                  <v:stroke dashstyle="solid"/>
                </v:shape>
                <v:shape style="position:absolute;left:8876;top:13361;width:585;height:96" id="docshape707" coordorigin="8876,13362" coordsize="585,96" path="m9424,13456l9461,13362,9180,13362,9168,13362,8876,13362,8876,13402,8877,13420,8880,13432,8887,13443,8902,13457e" filled="false" stroked="true" strokeweight=".75pt" strokecolor="#231f20">
                  <v:path arrowok="t"/>
                  <v:stroke dashstyle="solid"/>
                </v:shape>
                <v:shape style="position:absolute;left:8917;top:13010;width:220;height:359" type="#_x0000_t75" id="docshape708" stroked="false">
                  <v:imagedata r:id="rId79" o:title=""/>
                </v:shape>
                <v:shape style="position:absolute;left:9176;top:13086;width:242;height:138" id="docshape709" coordorigin="9176,13086" coordsize="242,138" path="m9176,13115l9176,13086,9205,13086,9235,13086,9418,13086,9418,13224,9176,13224,9176,13145,9176,13115xe" filled="false" stroked="true" strokeweight=".75pt" strokecolor="#231f20">
                  <v:path arrowok="t"/>
                  <v:stroke dashstyle="solid"/>
                </v:shape>
                <v:shape style="position:absolute;left:9214;top:13121;width:2;height:68" id="docshape710" coordorigin="9215,13121" coordsize="0,68" path="m9215,13121l9215,13121,9215,13188e" filled="false" stroked="true" strokeweight=".75pt" strokecolor="#231f20">
                  <v:path arrowok="t"/>
                  <v:stroke dashstyle="solid"/>
                </v:shape>
                <v:shape style="position:absolute;left:9248;top:13121;width:2;height:67" id="docshape711" coordorigin="9248,13122" coordsize="0,67" path="m9248,13122l9248,13122,9248,13188e" filled="false" stroked="true" strokeweight=".75pt" strokecolor="#231f20">
                  <v:path arrowok="t"/>
                  <v:stroke dashstyle="solid"/>
                </v:shape>
                <v:shape style="position:absolute;left:9280;top:13121;width:2;height:67" id="docshape712" coordorigin="9281,13122" coordsize="0,67" path="m9281,13122l9281,13122,9281,13188e" filled="false" stroked="true" strokeweight=".75pt" strokecolor="#231f20">
                  <v:path arrowok="t"/>
                  <v:stroke dashstyle="solid"/>
                </v:shape>
                <v:shape style="position:absolute;left:9313;top:13121;width:2;height:67" id="docshape713" coordorigin="9313,13122" coordsize="0,67" path="m9313,13122l9313,13122,9313,13188e" filled="false" stroked="true" strokeweight=".75pt" strokecolor="#231f20">
                  <v:path arrowok="t"/>
                  <v:stroke dashstyle="solid"/>
                </v:shape>
                <v:shape style="position:absolute;left:9344;top:13121;width:2;height:67" id="docshape714" coordorigin="9345,13122" coordsize="0,67" path="m9345,13122l9345,13122,9345,13188e" filled="false" stroked="true" strokeweight=".75pt" strokecolor="#231f20">
                  <v:path arrowok="t"/>
                  <v:stroke dashstyle="solid"/>
                </v:shape>
                <v:shape style="position:absolute;left:9378;top:13121;width:2;height:67" id="docshape715" coordorigin="9379,13122" coordsize="0,67" path="m9379,13122l9379,13122,9379,13188e" filled="false" stroked="true" strokeweight=".75pt" strokecolor="#231f20">
                  <v:path arrowok="t"/>
                  <v:stroke dashstyle="solid"/>
                </v:shape>
                <v:shape style="position:absolute;left:9214;top:13258;width:2;height:68" id="docshape716" coordorigin="9215,13259" coordsize="0,68" path="m9215,13259l9215,13259,9215,13327e" filled="false" stroked="true" strokeweight=".75pt" strokecolor="#231f20">
                  <v:path arrowok="t"/>
                  <v:stroke dashstyle="solid"/>
                </v:shape>
                <v:shape style="position:absolute;left:9248;top:13260;width:2;height:67" id="docshape717" coordorigin="9248,13260" coordsize="0,67" path="m9248,13260l9248,13260,9248,13327e" filled="false" stroked="true" strokeweight=".75pt" strokecolor="#231f20">
                  <v:path arrowok="t"/>
                  <v:stroke dashstyle="solid"/>
                </v:shape>
                <v:shape style="position:absolute;left:9280;top:13260;width:2;height:67" id="docshape718" coordorigin="9281,13260" coordsize="0,67" path="m9281,13260l9281,13260,9281,13327e" filled="false" stroked="true" strokeweight=".75pt" strokecolor="#231f20">
                  <v:path arrowok="t"/>
                  <v:stroke dashstyle="solid"/>
                </v:shape>
                <v:shape style="position:absolute;left:9313;top:13260;width:2;height:67" id="docshape719" coordorigin="9313,13260" coordsize="0,67" path="m9313,13260l9313,13260,9313,13327e" filled="false" stroked="true" strokeweight=".75pt" strokecolor="#231f20">
                  <v:path arrowok="t"/>
                  <v:stroke dashstyle="solid"/>
                </v:shape>
                <v:shape style="position:absolute;left:9344;top:13260;width:2;height:67" id="docshape720" coordorigin="9345,13260" coordsize="0,67" path="m9345,13260l9345,13260,9345,13327e" filled="false" stroked="true" strokeweight=".75pt" strokecolor="#231f20">
                  <v:path arrowok="t"/>
                  <v:stroke dashstyle="solid"/>
                </v:shape>
                <v:shape style="position:absolute;left:9378;top:13260;width:2;height:67" id="docshape721" coordorigin="9379,13260" coordsize="0,67" path="m9379,13260l9379,13260,9379,13327e" filled="false" stroked="true" strokeweight=".75pt" strokecolor="#231f20">
                  <v:path arrowok="t"/>
                  <v:stroke dashstyle="solid"/>
                </v:shape>
                <v:shape style="position:absolute;left:9176;top:13223;width:242;height:138" id="docshape722" coordorigin="9176,13224" coordsize="242,138" path="m9176,13277l9176,13277,9176,13224m9418,13224l9418,13224,9418,13362,9176,13362,9176,13277e" filled="false" stroked="true" strokeweight=".75pt" strokecolor="#231f20">
                  <v:path arrowok="t"/>
                  <v:stroke dashstyle="solid"/>
                </v:shape>
                <v:shape style="position:absolute;left:8337;top:13007;width:391;height:478" type="#_x0000_t75" id="docshape723" stroked="false">
                  <v:imagedata r:id="rId81" o:title=""/>
                </v:shape>
                <v:shape style="position:absolute;left:8761;top:12508;width:302;height:429" type="#_x0000_t75" id="docshape724" stroked="false">
                  <v:imagedata r:id="rId82" o:title=""/>
                </v:shape>
                <v:shape style="position:absolute;left:2852;top:12574;width:150;height:363" id="docshape725" coordorigin="2853,12574" coordsize="150,363" path="m3002,12574l2957,12615,2912,12671,2876,12743,2854,12831,2853,12937e" filled="false" stroked="true" strokeweight="2pt" strokecolor="#231f20">
                  <v:path arrowok="t"/>
                  <v:stroke dashstyle="solid"/>
                </v:shape>
                <v:shape style="position:absolute;left:2955;top:12528;width:120;height:107" id="docshape726" coordorigin="2955,12528" coordsize="120,107" path="m3075,12528l2955,12535,3021,12635,3075,12528xe" filled="true" fillcolor="#231f20" stroked="false">
                  <v:path arrowok="t"/>
                  <v:fill type="solid"/>
                </v:shape>
                <v:shape style="position:absolute;left:6529;top:11466;width:392;height:60" id="docshape727" coordorigin="6530,11467" coordsize="392,60" path="m6921,11481l6865,11505,6796,11523,6716,11526,6627,11510,6530,11467e" filled="false" stroked="true" strokeweight="2pt" strokecolor="#231f20">
                  <v:path arrowok="t"/>
                  <v:stroke dashstyle="solid"/>
                </v:shape>
                <v:shape style="position:absolute;left:6873;top:11433;width:120;height:107" id="docshape728" coordorigin="6874,11434" coordsize="120,107" path="m6993,11434l6874,11439,6938,11540,6993,11434xe" filled="true" fillcolor="#231f20" stroked="false">
                  <v:path arrowok="t"/>
                  <v:fill type="solid"/>
                </v:shape>
                <v:shape style="position:absolute;left:4602;top:11454;width:392;height:60" id="docshape729" coordorigin="4602,11455" coordsize="392,60" path="m4994,11500l4938,11476,4869,11458,4789,11455,4699,11471,4602,11514e" filled="false" stroked="true" strokeweight="2pt" strokecolor="#231f20">
                  <v:path arrowok="t"/>
                  <v:stroke dashstyle="solid"/>
                </v:shape>
                <v:shape style="position:absolute;left:4946;top:11440;width:120;height:107" id="docshape730" coordorigin="4946,11441" coordsize="120,107" path="m5010,11441l4946,11542,5066,11547,5010,11441xe" filled="true" fillcolor="#231f20" stroked="false">
                  <v:path arrowok="t"/>
                  <v:fill type="solid"/>
                </v:shape>
                <v:shape style="position:absolute;left:7130;top:11083;width:1170;height:974" id="docshape731" coordorigin="7131,11083" coordsize="1170,974" path="m7131,11193l7140,11150,7165,11115,7202,11092,7247,11083,8183,11083,8229,11092,8266,11115,8291,11150,8300,11193,8300,11947,8291,11990,8266,12024,8229,12048,8183,12056,7247,12056,7202,12048,7165,12024,7140,11990,7131,11947,7131,11193xe" filled="false" stroked="true" strokeweight="1.5pt" strokecolor="#008fdd">
                  <v:path arrowok="t"/>
                  <v:stroke dashstyle="solid"/>
                </v:shape>
                <v:shape style="position:absolute;left:7454;top:11941;width:1100;height:365" id="docshape732" coordorigin="7454,11941" coordsize="1100,365" path="m8434,11941l7574,11941,7528,11951,7490,11976,7464,12014,7454,12061,7454,12185,7464,12232,7490,12270,7528,12296,7574,12305,8434,12305,8481,12296,8519,12270,8545,12232,8554,12185,8554,12061,8545,12014,8519,11976,8481,11951,8434,11941xe" filled="true" fillcolor="#ffffff" stroked="false">
                  <v:path arrowok="t"/>
                  <v:fill type="solid"/>
                </v:shape>
                <v:shape style="position:absolute;left:7454;top:11941;width:1100;height:365" id="docshape733" coordorigin="7454,11941" coordsize="1100,365" path="m8554,12185l8545,12232,8519,12270,8481,12296,8434,12305,7574,12305,7528,12296,7490,12270,7464,12232,7454,12185,7454,12061,7464,12014,7490,11976,7528,11951,7574,11941,8434,11941,8481,11951,8519,11976,8545,12014,8554,12061,8554,12185xe" filled="false" stroked="true" strokeweight="1pt" strokecolor="#231f20">
                  <v:path arrowok="t"/>
                  <v:stroke dashstyle="solid"/>
                </v:shape>
                <v:shape style="position:absolute;left:5203;top:11083;width:1170;height:815" id="docshape734" coordorigin="5203,11083" coordsize="1170,815" path="m5203,11193l5212,11150,5237,11115,5275,11092,5320,11083,6256,11083,6301,11092,6338,11115,6363,11150,6373,11193,6373,11788,6363,11831,6338,11866,6301,11889,6256,11898,5320,11898,5275,11889,5237,11866,5212,11831,5203,11788,5203,11193xe" filled="false" stroked="true" strokeweight="1.5pt" strokecolor="#008fdd">
                  <v:path arrowok="t"/>
                  <v:stroke dashstyle="solid"/>
                </v:shape>
                <v:shape style="position:absolute;left:5018;top:10885;width:1540;height:365" id="docshape735" coordorigin="5018,10886" coordsize="1540,365" path="m6438,10886l5138,10886,5092,10895,5053,10921,5028,10959,5018,11006,5018,11130,5028,11176,5053,11215,5092,11240,5138,11250,6438,11250,6484,11240,6522,11215,6548,11176,6558,11130,6558,11006,6548,10959,6522,10921,6484,10895,6438,10886xe" filled="true" fillcolor="#ffffff" stroked="false">
                  <v:path arrowok="t"/>
                  <v:fill type="solid"/>
                </v:shape>
                <v:shape style="position:absolute;left:5018;top:10885;width:1540;height:365" id="docshape736" coordorigin="5018,10886" coordsize="1540,365" path="m6558,11130l6548,11176,6522,11215,6484,11240,6438,11250,5138,11250,5092,11240,5053,11215,5028,11176,5018,11130,5018,11006,5028,10959,5053,10921,5092,10895,5138,10886,6438,10886,6484,10895,6522,10921,6548,10959,6558,11006,6558,11130xe" filled="false" stroked="true" strokeweight="1pt" strokecolor="#231f20">
                  <v:path arrowok="t"/>
                  <v:stroke dashstyle="solid"/>
                </v:shape>
                <v:shape style="position:absolute;left:3275;top:10969;width:1170;height:1088" id="docshape737" coordorigin="3276,10969" coordsize="1170,1088" path="m3276,11079l3285,11036,3310,11001,3347,10978,3393,10969,4328,10969,4374,10978,4411,11001,4436,11036,4445,11079,4445,11947,4436,11990,4411,12024,4374,12048,4328,12056,3393,12056,3347,12048,3310,12024,3285,11990,3276,11947,3276,11079xe" filled="false" stroked="true" strokeweight="1.5pt" strokecolor="#008fdd">
                  <v:path arrowok="t"/>
                  <v:stroke dashstyle="solid"/>
                </v:shape>
                <v:shape style="position:absolute;left:3599;top:11941;width:1100;height:365" id="docshape738" coordorigin="3599,11941" coordsize="1100,365" path="m4579,11941l3719,11941,3673,11951,3635,11976,3609,12014,3599,12061,3599,12185,3609,12232,3635,12270,3673,12296,3719,12305,4579,12305,4626,12296,4664,12270,4690,12232,4699,12185,4699,12061,4690,12014,4664,11976,4626,11951,4579,11941xe" filled="true" fillcolor="#ffffff" stroked="false">
                  <v:path arrowok="t"/>
                  <v:fill type="solid"/>
                </v:shape>
                <v:shape style="position:absolute;left:3599;top:11941;width:1100;height:365" id="docshape739" coordorigin="3599,11941" coordsize="1100,365" path="m4699,12185l4690,12232,4664,12270,4626,12296,4579,12305,3719,12305,3673,12296,3635,12270,3609,12232,3599,12185,3599,12061,3609,12014,3635,11976,3673,11951,3719,11941,4579,11941,4626,11951,4664,11976,4690,12014,4699,12061,4699,12185xe" filled="false" stroked="true" strokeweight="1pt" strokecolor="#231f20">
                  <v:path arrowok="t"/>
                  <v:stroke dashstyle="solid"/>
                </v:shape>
                <w10:wrap type="none"/>
              </v:group>
            </w:pict>
          </mc:Fallback>
        </mc:AlternateContent>
      </w:r>
      <w:r>
        <w:rPr>
          <w:rFonts w:ascii="Arial"/>
          <w:color w:val="008FDD"/>
          <w:w w:val="85"/>
          <w:sz w:val="16"/>
        </w:rPr>
        <w:t>Country/location</w:t>
      </w:r>
      <w:r>
        <w:rPr>
          <w:rFonts w:ascii="Arial"/>
          <w:color w:val="008FDD"/>
          <w:spacing w:val="-3"/>
          <w:w w:val="85"/>
          <w:sz w:val="16"/>
        </w:rPr>
        <w:t> </w:t>
      </w:r>
      <w:r>
        <w:rPr>
          <w:rFonts w:ascii="Arial"/>
          <w:color w:val="008FDD"/>
          <w:w w:val="85"/>
          <w:sz w:val="16"/>
        </w:rPr>
        <w:t>of</w:t>
      </w:r>
      <w:r>
        <w:rPr>
          <w:rFonts w:ascii="Arial"/>
          <w:color w:val="008FDD"/>
          <w:spacing w:val="-3"/>
          <w:w w:val="85"/>
          <w:sz w:val="16"/>
        </w:rPr>
        <w:t> </w:t>
      </w:r>
      <w:r>
        <w:rPr>
          <w:rFonts w:ascii="Arial"/>
          <w:color w:val="008FDD"/>
          <w:w w:val="85"/>
          <w:sz w:val="16"/>
        </w:rPr>
        <w:t>first</w:t>
      </w:r>
      <w:r>
        <w:rPr>
          <w:rFonts w:ascii="Arial"/>
          <w:color w:val="008FDD"/>
          <w:spacing w:val="-3"/>
          <w:w w:val="85"/>
          <w:sz w:val="16"/>
        </w:rPr>
        <w:t> </w:t>
      </w:r>
      <w:r>
        <w:rPr>
          <w:rFonts w:ascii="Arial"/>
          <w:color w:val="008FDD"/>
          <w:w w:val="85"/>
          <w:sz w:val="16"/>
        </w:rPr>
        <w:t>full</w:t>
      </w:r>
      <w:r>
        <w:rPr>
          <w:rFonts w:ascii="Arial"/>
          <w:color w:val="008FDD"/>
          <w:spacing w:val="-3"/>
          <w:w w:val="85"/>
          <w:sz w:val="16"/>
        </w:rPr>
        <w:t> </w:t>
      </w:r>
      <w:r>
        <w:rPr>
          <w:rFonts w:ascii="Arial"/>
          <w:color w:val="008FDD"/>
          <w:spacing w:val="-2"/>
          <w:w w:val="85"/>
          <w:sz w:val="16"/>
        </w:rPr>
        <w:t>event</w:t>
      </w:r>
      <w:r>
        <w:rPr>
          <w:rFonts w:ascii="Arial"/>
          <w:color w:val="008FDD"/>
          <w:sz w:val="16"/>
        </w:rPr>
        <w:tab/>
      </w:r>
      <w:r>
        <w:rPr>
          <w:rFonts w:ascii="Arial"/>
          <w:color w:val="008FDD"/>
          <w:w w:val="80"/>
          <w:sz w:val="16"/>
        </w:rPr>
        <w:t>Country/location</w:t>
      </w:r>
      <w:r>
        <w:rPr>
          <w:rFonts w:ascii="Arial"/>
          <w:color w:val="008FDD"/>
          <w:spacing w:val="9"/>
          <w:sz w:val="16"/>
        </w:rPr>
        <w:t> </w:t>
      </w:r>
      <w:r>
        <w:rPr>
          <w:rFonts w:ascii="Arial"/>
          <w:color w:val="008FDD"/>
          <w:w w:val="80"/>
          <w:sz w:val="16"/>
        </w:rPr>
        <w:t>of</w:t>
      </w:r>
      <w:r>
        <w:rPr>
          <w:rFonts w:ascii="Arial"/>
          <w:color w:val="008FDD"/>
          <w:spacing w:val="10"/>
          <w:sz w:val="16"/>
        </w:rPr>
        <w:t> </w:t>
      </w:r>
      <w:r>
        <w:rPr>
          <w:rFonts w:ascii="Arial"/>
          <w:color w:val="008FDD"/>
          <w:w w:val="80"/>
          <w:sz w:val="16"/>
        </w:rPr>
        <w:t>last</w:t>
      </w:r>
      <w:r>
        <w:rPr>
          <w:rFonts w:ascii="Arial"/>
          <w:color w:val="008FDD"/>
          <w:spacing w:val="9"/>
          <w:sz w:val="16"/>
        </w:rPr>
        <w:t> </w:t>
      </w:r>
      <w:r>
        <w:rPr>
          <w:rFonts w:ascii="Arial"/>
          <w:color w:val="008FDD"/>
          <w:w w:val="80"/>
          <w:sz w:val="16"/>
        </w:rPr>
        <w:t>full</w:t>
      </w:r>
      <w:r>
        <w:rPr>
          <w:rFonts w:ascii="Arial"/>
          <w:color w:val="008FDD"/>
          <w:spacing w:val="10"/>
          <w:sz w:val="16"/>
        </w:rPr>
        <w:t> </w:t>
      </w:r>
      <w:r>
        <w:rPr>
          <w:rFonts w:ascii="Arial"/>
          <w:color w:val="008FDD"/>
          <w:spacing w:val="-2"/>
          <w:w w:val="80"/>
          <w:sz w:val="16"/>
        </w:rPr>
        <w:t>event</w:t>
      </w: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rPr>
          <w:rFonts w:ascii="Arial"/>
          <w:sz w:val="12"/>
        </w:rPr>
      </w:pPr>
    </w:p>
    <w:p>
      <w:pPr>
        <w:pStyle w:val="BodyText"/>
        <w:spacing w:before="28"/>
        <w:rPr>
          <w:rFonts w:ascii="Arial"/>
          <w:sz w:val="12"/>
        </w:rPr>
      </w:pPr>
    </w:p>
    <w:p>
      <w:pPr>
        <w:spacing w:before="0"/>
        <w:ind w:left="2160" w:right="0" w:firstLine="0"/>
        <w:jc w:val="left"/>
        <w:rPr>
          <w:rFonts w:ascii="Arial"/>
          <w:sz w:val="12"/>
        </w:rPr>
      </w:pPr>
      <w:r>
        <w:rPr>
          <w:rFonts w:ascii="Arial"/>
          <w:i/>
          <w:color w:val="231F20"/>
          <w:w w:val="75"/>
          <w:sz w:val="12"/>
        </w:rPr>
        <w:t>Source:</w:t>
      </w:r>
      <w:r>
        <w:rPr>
          <w:rFonts w:ascii="Arial"/>
          <w:i/>
          <w:color w:val="231F20"/>
          <w:spacing w:val="-2"/>
          <w:sz w:val="12"/>
        </w:rPr>
        <w:t> </w:t>
      </w:r>
      <w:r>
        <w:rPr>
          <w:rFonts w:ascii="Arial"/>
          <w:color w:val="231F20"/>
          <w:w w:val="75"/>
          <w:sz w:val="12"/>
        </w:rPr>
        <w:t>World</w:t>
      </w:r>
      <w:r>
        <w:rPr>
          <w:rFonts w:ascii="Arial"/>
          <w:color w:val="231F20"/>
          <w:spacing w:val="4"/>
          <w:sz w:val="12"/>
        </w:rPr>
        <w:t> </w:t>
      </w:r>
      <w:r>
        <w:rPr>
          <w:rFonts w:ascii="Arial"/>
          <w:color w:val="231F20"/>
          <w:w w:val="75"/>
          <w:sz w:val="12"/>
        </w:rPr>
        <w:t>Bank</w:t>
      </w:r>
      <w:r>
        <w:rPr>
          <w:rFonts w:ascii="Arial"/>
          <w:color w:val="231F20"/>
          <w:spacing w:val="4"/>
          <w:sz w:val="12"/>
        </w:rPr>
        <w:t> </w:t>
      </w:r>
      <w:r>
        <w:rPr>
          <w:rFonts w:ascii="Arial"/>
          <w:color w:val="231F20"/>
          <w:w w:val="75"/>
          <w:sz w:val="12"/>
        </w:rPr>
        <w:t>elaboration</w:t>
      </w:r>
      <w:r>
        <w:rPr>
          <w:rFonts w:ascii="Arial"/>
          <w:color w:val="231F20"/>
          <w:spacing w:val="4"/>
          <w:sz w:val="12"/>
        </w:rPr>
        <w:t> </w:t>
      </w:r>
      <w:r>
        <w:rPr>
          <w:rFonts w:ascii="Arial"/>
          <w:color w:val="231F20"/>
          <w:w w:val="75"/>
          <w:sz w:val="12"/>
        </w:rPr>
        <w:t>based</w:t>
      </w:r>
      <w:r>
        <w:rPr>
          <w:rFonts w:ascii="Arial"/>
          <w:color w:val="231F20"/>
          <w:spacing w:val="4"/>
          <w:sz w:val="12"/>
        </w:rPr>
        <w:t> </w:t>
      </w:r>
      <w:r>
        <w:rPr>
          <w:rFonts w:ascii="Arial"/>
          <w:color w:val="231F20"/>
          <w:w w:val="75"/>
          <w:sz w:val="12"/>
        </w:rPr>
        <w:t>on</w:t>
      </w:r>
      <w:r>
        <w:rPr>
          <w:rFonts w:ascii="Arial"/>
          <w:color w:val="231F20"/>
          <w:spacing w:val="-2"/>
          <w:sz w:val="12"/>
        </w:rPr>
        <w:t> </w:t>
      </w:r>
      <w:r>
        <w:rPr>
          <w:rFonts w:ascii="Arial"/>
          <w:color w:val="231F20"/>
          <w:w w:val="75"/>
          <w:sz w:val="12"/>
        </w:rPr>
        <w:t>TradeLens</w:t>
      </w:r>
      <w:r>
        <w:rPr>
          <w:rFonts w:ascii="Arial"/>
          <w:color w:val="231F20"/>
          <w:spacing w:val="4"/>
          <w:sz w:val="12"/>
        </w:rPr>
        <w:t> </w:t>
      </w:r>
      <w:r>
        <w:rPr>
          <w:rFonts w:ascii="Arial"/>
          <w:color w:val="231F20"/>
          <w:spacing w:val="-2"/>
          <w:w w:val="75"/>
          <w:sz w:val="12"/>
        </w:rPr>
        <w:t>dataset.</w:t>
      </w:r>
    </w:p>
    <w:p>
      <w:pPr>
        <w:spacing w:after="0"/>
        <w:jc w:val="left"/>
        <w:rPr>
          <w:rFonts w:ascii="Arial"/>
          <w:sz w:val="12"/>
        </w:rPr>
        <w:sectPr>
          <w:type w:val="continuous"/>
          <w:pgSz w:w="12240" w:h="15840"/>
          <w:pgMar w:header="370" w:footer="0" w:top="1140" w:bottom="280" w:left="0" w:right="540"/>
        </w:sect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178"/>
        <w:rPr>
          <w:rFonts w:ascii="Arial"/>
          <w:sz w:val="16"/>
        </w:rPr>
      </w:pPr>
    </w:p>
    <w:p>
      <w:pPr>
        <w:spacing w:before="0"/>
        <w:ind w:left="2099" w:right="0" w:firstLine="0"/>
        <w:jc w:val="left"/>
        <w:rPr>
          <w:rFonts w:ascii="Arial"/>
          <w:sz w:val="16"/>
        </w:rPr>
      </w:pPr>
      <w:r>
        <w:rPr/>
        <mc:AlternateContent>
          <mc:Choice Requires="wps">
            <w:drawing>
              <wp:anchor distT="0" distB="0" distL="0" distR="0" allowOverlap="1" layoutInCell="1" locked="0" behindDoc="0" simplePos="0" relativeHeight="15751680">
                <wp:simplePos x="0" y="0"/>
                <wp:positionH relativeFrom="page">
                  <wp:posOffset>762000</wp:posOffset>
                </wp:positionH>
                <wp:positionV relativeFrom="paragraph">
                  <wp:posOffset>-91249</wp:posOffset>
                </wp:positionV>
                <wp:extent cx="495300" cy="254000"/>
                <wp:effectExtent l="0" t="0" r="0" b="0"/>
                <wp:wrapNone/>
                <wp:docPr id="889" name="Textbox 889"/>
                <wp:cNvGraphicFramePr>
                  <a:graphicFrameLocks/>
                </wp:cNvGraphicFramePr>
                <a:graphic>
                  <a:graphicData uri="http://schemas.microsoft.com/office/word/2010/wordprocessingShape">
                    <wps:wsp>
                      <wps:cNvPr id="889" name="Textbox 889"/>
                      <wps:cNvSpPr txBox="1"/>
                      <wps:spPr>
                        <a:xfrm>
                          <a:off x="0" y="0"/>
                          <a:ext cx="495300" cy="254000"/>
                        </a:xfrm>
                        <a:prstGeom prst="rect">
                          <a:avLst/>
                        </a:prstGeom>
                      </wps:spPr>
                      <wps:txbx>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4"/>
                                <w:w w:val="90"/>
                                <w:sz w:val="16"/>
                              </w:rPr>
                              <w:t> </w:t>
                            </w:r>
                            <w:r>
                              <w:rPr>
                                <w:rFonts w:ascii="Arial"/>
                                <w:b/>
                                <w:color w:val="FFFFFF"/>
                                <w:spacing w:val="-5"/>
                                <w:w w:val="90"/>
                                <w:sz w:val="16"/>
                              </w:rPr>
                              <w:t>3.1</w:t>
                            </w:r>
                          </w:p>
                        </w:txbxContent>
                      </wps:txbx>
                      <wps:bodyPr wrap="square" lIns="0" tIns="0" rIns="0" bIns="0" rtlCol="0">
                        <a:noAutofit/>
                      </wps:bodyPr>
                    </wps:wsp>
                  </a:graphicData>
                </a:graphic>
              </wp:anchor>
            </w:drawing>
          </mc:Choice>
          <mc:Fallback>
            <w:pict>
              <v:shape style="position:absolute;margin-left:60pt;margin-top:-7.184975pt;width:39pt;height:20pt;mso-position-horizontal-relative:page;mso-position-vertical-relative:paragraph;z-index:15751680" type="#_x0000_t202" id="docshape743" filled="false" stroked="false">
                <v:textbox inset="0,0,0,0">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4"/>
                          <w:w w:val="90"/>
                          <w:sz w:val="16"/>
                        </w:rPr>
                        <w:t> </w:t>
                      </w:r>
                      <w:r>
                        <w:rPr>
                          <w:rFonts w:ascii="Arial"/>
                          <w:b/>
                          <w:color w:val="FFFFFF"/>
                          <w:spacing w:val="-5"/>
                          <w:w w:val="90"/>
                          <w:sz w:val="16"/>
                        </w:rPr>
                        <w:t>3.1</w:t>
                      </w:r>
                    </w:p>
                  </w:txbxContent>
                </v:textbox>
                <w10:wrap type="none"/>
              </v:shape>
            </w:pict>
          </mc:Fallback>
        </mc:AlternateContent>
      </w:r>
      <w:r>
        <w:rPr>
          <w:rFonts w:ascii="Arial"/>
          <w:b/>
          <w:color w:val="FFFFFF"/>
          <w:w w:val="105"/>
          <w:sz w:val="16"/>
        </w:rPr>
        <w:t>Measuring</w:t>
      </w:r>
      <w:r>
        <w:rPr>
          <w:rFonts w:ascii="Arial"/>
          <w:b/>
          <w:color w:val="FFFFFF"/>
          <w:spacing w:val="15"/>
          <w:w w:val="105"/>
          <w:sz w:val="16"/>
        </w:rPr>
        <w:t> </w:t>
      </w:r>
      <w:r>
        <w:rPr>
          <w:rFonts w:ascii="Arial"/>
          <w:b/>
          <w:color w:val="FFFFFF"/>
          <w:w w:val="105"/>
          <w:sz w:val="16"/>
        </w:rPr>
        <w:t>performance</w:t>
      </w:r>
      <w:r>
        <w:rPr>
          <w:rFonts w:ascii="Arial"/>
          <w:b/>
          <w:color w:val="FFFFFF"/>
          <w:spacing w:val="16"/>
          <w:w w:val="105"/>
          <w:sz w:val="16"/>
        </w:rPr>
        <w:t> </w:t>
      </w:r>
      <w:r>
        <w:rPr>
          <w:rFonts w:ascii="Arial"/>
          <w:b/>
          <w:color w:val="FFFFFF"/>
          <w:w w:val="105"/>
          <w:sz w:val="16"/>
        </w:rPr>
        <w:t>using</w:t>
      </w:r>
      <w:r>
        <w:rPr>
          <w:rFonts w:ascii="Arial"/>
          <w:b/>
          <w:color w:val="FFFFFF"/>
          <w:spacing w:val="16"/>
          <w:w w:val="105"/>
          <w:sz w:val="16"/>
        </w:rPr>
        <w:t> </w:t>
      </w:r>
      <w:r>
        <w:rPr>
          <w:rFonts w:ascii="Arial"/>
          <w:b/>
          <w:color w:val="FFFFFF"/>
          <w:w w:val="105"/>
          <w:sz w:val="16"/>
        </w:rPr>
        <w:t>tracking</w:t>
      </w:r>
      <w:r>
        <w:rPr>
          <w:rFonts w:ascii="Arial"/>
          <w:b/>
          <w:color w:val="FFFFFF"/>
          <w:spacing w:val="16"/>
          <w:w w:val="105"/>
          <w:sz w:val="16"/>
        </w:rPr>
        <w:t> </w:t>
      </w:r>
      <w:r>
        <w:rPr>
          <w:rFonts w:ascii="Arial"/>
          <w:b/>
          <w:color w:val="FFFFFF"/>
          <w:w w:val="105"/>
          <w:sz w:val="16"/>
        </w:rPr>
        <w:t>indicators:</w:t>
      </w:r>
      <w:r>
        <w:rPr>
          <w:rFonts w:ascii="Arial"/>
          <w:b/>
          <w:color w:val="FFFFFF"/>
          <w:spacing w:val="16"/>
          <w:w w:val="105"/>
          <w:sz w:val="16"/>
        </w:rPr>
        <w:t> </w:t>
      </w:r>
      <w:r>
        <w:rPr>
          <w:rFonts w:ascii="Arial"/>
          <w:b/>
          <w:color w:val="FFFFFF"/>
          <w:w w:val="105"/>
          <w:sz w:val="16"/>
        </w:rPr>
        <w:t>Sources</w:t>
      </w:r>
      <w:r>
        <w:rPr>
          <w:rFonts w:ascii="Arial"/>
          <w:b/>
          <w:color w:val="FFFFFF"/>
          <w:spacing w:val="16"/>
          <w:w w:val="105"/>
          <w:sz w:val="16"/>
        </w:rPr>
        <w:t> </w:t>
      </w:r>
      <w:r>
        <w:rPr>
          <w:rFonts w:ascii="Arial"/>
          <w:b/>
          <w:color w:val="FFFFFF"/>
          <w:w w:val="105"/>
          <w:sz w:val="16"/>
        </w:rPr>
        <w:t>and</w:t>
      </w:r>
      <w:r>
        <w:rPr>
          <w:rFonts w:ascii="Arial"/>
          <w:b/>
          <w:color w:val="FFFFFF"/>
          <w:spacing w:val="16"/>
          <w:w w:val="105"/>
          <w:sz w:val="16"/>
        </w:rPr>
        <w:t> </w:t>
      </w:r>
      <w:r>
        <w:rPr>
          <w:rFonts w:ascii="Arial"/>
          <w:b/>
          <w:color w:val="FFFFFF"/>
          <w:w w:val="105"/>
          <w:sz w:val="16"/>
        </w:rPr>
        <w:t>definitions</w:t>
      </w:r>
      <w:r>
        <w:rPr>
          <w:rFonts w:ascii="Arial"/>
          <w:b/>
          <w:color w:val="FFFFFF"/>
          <w:spacing w:val="17"/>
          <w:w w:val="105"/>
          <w:sz w:val="16"/>
        </w:rPr>
        <w:t> </w:t>
      </w:r>
      <w:r>
        <w:rPr>
          <w:rFonts w:ascii="Arial"/>
          <w:color w:val="FFFFFF"/>
          <w:spacing w:val="-2"/>
          <w:w w:val="105"/>
          <w:sz w:val="16"/>
        </w:rPr>
        <w:t>(continued)</w:t>
      </w:r>
    </w:p>
    <w:p>
      <w:pPr>
        <w:pStyle w:val="BodyText"/>
        <w:spacing w:before="10"/>
        <w:rPr>
          <w:rFonts w:ascii="Arial"/>
          <w:sz w:val="17"/>
        </w:rPr>
      </w:pPr>
    </w:p>
    <w:p>
      <w:pPr>
        <w:spacing w:after="0"/>
        <w:rPr>
          <w:rFonts w:ascii="Arial"/>
          <w:sz w:val="17"/>
        </w:rPr>
        <w:sectPr>
          <w:footerReference w:type="default" r:id="rId83"/>
          <w:footerReference w:type="even" r:id="rId84"/>
          <w:pgSz w:w="12240" w:h="15840"/>
          <w:pgMar w:header="0" w:footer="548" w:top="560" w:bottom="740" w:left="0" w:right="540"/>
          <w:pgNumType w:start="19"/>
        </w:sectPr>
      </w:pPr>
    </w:p>
    <w:p>
      <w:pPr>
        <w:spacing w:line="352" w:lineRule="auto" w:before="106"/>
        <w:ind w:left="1380" w:right="0" w:firstLine="0"/>
        <w:jc w:val="both"/>
        <w:rPr>
          <w:rFonts w:ascii="Arial"/>
          <w:b/>
          <w:sz w:val="16"/>
        </w:rPr>
      </w:pPr>
      <w:r>
        <w:rPr/>
        <mc:AlternateContent>
          <mc:Choice Requires="wps">
            <w:drawing>
              <wp:anchor distT="0" distB="0" distL="0" distR="0" allowOverlap="1" layoutInCell="1" locked="0" behindDoc="1" simplePos="0" relativeHeight="466752000">
                <wp:simplePos x="0" y="0"/>
                <wp:positionH relativeFrom="page">
                  <wp:posOffset>723900</wp:posOffset>
                </wp:positionH>
                <wp:positionV relativeFrom="page">
                  <wp:posOffset>800100</wp:posOffset>
                </wp:positionV>
                <wp:extent cx="6629400" cy="8592185"/>
                <wp:effectExtent l="0" t="0" r="0" b="0"/>
                <wp:wrapNone/>
                <wp:docPr id="890" name="Group 890"/>
                <wp:cNvGraphicFramePr>
                  <a:graphicFrameLocks/>
                </wp:cNvGraphicFramePr>
                <a:graphic>
                  <a:graphicData uri="http://schemas.microsoft.com/office/word/2010/wordprocessingGroup">
                    <wpg:wgp>
                      <wpg:cNvPr id="890" name="Group 890"/>
                      <wpg:cNvGrpSpPr/>
                      <wpg:grpSpPr>
                        <a:xfrm>
                          <a:off x="0" y="0"/>
                          <a:ext cx="6629400" cy="8592185"/>
                          <a:chExt cx="6629400" cy="8592185"/>
                        </a:xfrm>
                      </wpg:grpSpPr>
                      <wps:wsp>
                        <wps:cNvPr id="891" name="Graphic 891"/>
                        <wps:cNvSpPr/>
                        <wps:spPr>
                          <a:xfrm>
                            <a:off x="19050" y="19050"/>
                            <a:ext cx="6591300" cy="8554085"/>
                          </a:xfrm>
                          <a:custGeom>
                            <a:avLst/>
                            <a:gdLst/>
                            <a:ahLst/>
                            <a:cxnLst/>
                            <a:rect l="l" t="t" r="r" b="b"/>
                            <a:pathLst>
                              <a:path w="6591300" h="8554085">
                                <a:moveTo>
                                  <a:pt x="6496050" y="0"/>
                                </a:moveTo>
                                <a:lnTo>
                                  <a:pt x="95250" y="0"/>
                                </a:lnTo>
                                <a:lnTo>
                                  <a:pt x="58212" y="7497"/>
                                </a:lnTo>
                                <a:lnTo>
                                  <a:pt x="27932" y="27932"/>
                                </a:lnTo>
                                <a:lnTo>
                                  <a:pt x="7497" y="58212"/>
                                </a:lnTo>
                                <a:lnTo>
                                  <a:pt x="0" y="95250"/>
                                </a:lnTo>
                                <a:lnTo>
                                  <a:pt x="0" y="8458733"/>
                                </a:lnTo>
                                <a:lnTo>
                                  <a:pt x="7497" y="8495776"/>
                                </a:lnTo>
                                <a:lnTo>
                                  <a:pt x="27932" y="8526056"/>
                                </a:lnTo>
                                <a:lnTo>
                                  <a:pt x="58212" y="8546487"/>
                                </a:lnTo>
                                <a:lnTo>
                                  <a:pt x="95250" y="8553983"/>
                                </a:lnTo>
                                <a:lnTo>
                                  <a:pt x="6496050" y="8553983"/>
                                </a:lnTo>
                                <a:lnTo>
                                  <a:pt x="6533087" y="8546487"/>
                                </a:lnTo>
                                <a:lnTo>
                                  <a:pt x="6563367" y="8526056"/>
                                </a:lnTo>
                                <a:lnTo>
                                  <a:pt x="6583802" y="8495776"/>
                                </a:lnTo>
                                <a:lnTo>
                                  <a:pt x="6591300" y="8458733"/>
                                </a:lnTo>
                                <a:lnTo>
                                  <a:pt x="6591300" y="95250"/>
                                </a:lnTo>
                                <a:lnTo>
                                  <a:pt x="6583802" y="58212"/>
                                </a:lnTo>
                                <a:lnTo>
                                  <a:pt x="6563367" y="27932"/>
                                </a:lnTo>
                                <a:lnTo>
                                  <a:pt x="6533087" y="7497"/>
                                </a:lnTo>
                                <a:lnTo>
                                  <a:pt x="6496050" y="0"/>
                                </a:lnTo>
                                <a:close/>
                              </a:path>
                            </a:pathLst>
                          </a:custGeom>
                          <a:solidFill>
                            <a:srgbClr val="E9F1FA"/>
                          </a:solidFill>
                        </wps:spPr>
                        <wps:bodyPr wrap="square" lIns="0" tIns="0" rIns="0" bIns="0" rtlCol="0">
                          <a:prstTxWarp prst="textNoShape">
                            <a:avLst/>
                          </a:prstTxWarp>
                          <a:noAutofit/>
                        </wps:bodyPr>
                      </wps:wsp>
                      <wps:wsp>
                        <wps:cNvPr id="892" name="Graphic 892"/>
                        <wps:cNvSpPr/>
                        <wps:spPr>
                          <a:xfrm>
                            <a:off x="152400" y="50800"/>
                            <a:ext cx="6457950" cy="254000"/>
                          </a:xfrm>
                          <a:custGeom>
                            <a:avLst/>
                            <a:gdLst/>
                            <a:ahLst/>
                            <a:cxnLst/>
                            <a:rect l="l" t="t" r="r" b="b"/>
                            <a:pathLst>
                              <a:path w="6457950" h="254000">
                                <a:moveTo>
                                  <a:pt x="6432594" y="0"/>
                                </a:moveTo>
                                <a:lnTo>
                                  <a:pt x="0" y="0"/>
                                </a:lnTo>
                                <a:lnTo>
                                  <a:pt x="0" y="254000"/>
                                </a:lnTo>
                                <a:lnTo>
                                  <a:pt x="6457950" y="254000"/>
                                </a:lnTo>
                                <a:lnTo>
                                  <a:pt x="6457950" y="63500"/>
                                </a:lnTo>
                                <a:lnTo>
                                  <a:pt x="6450452" y="26462"/>
                                </a:lnTo>
                                <a:lnTo>
                                  <a:pt x="6432594" y="0"/>
                                </a:lnTo>
                                <a:close/>
                              </a:path>
                            </a:pathLst>
                          </a:custGeom>
                          <a:solidFill>
                            <a:srgbClr val="808285"/>
                          </a:solidFill>
                        </wps:spPr>
                        <wps:bodyPr wrap="square" lIns="0" tIns="0" rIns="0" bIns="0" rtlCol="0">
                          <a:prstTxWarp prst="textNoShape">
                            <a:avLst/>
                          </a:prstTxWarp>
                          <a:noAutofit/>
                        </wps:bodyPr>
                      </wps:wsp>
                      <wps:wsp>
                        <wps:cNvPr id="893" name="Graphic 893"/>
                        <wps:cNvSpPr/>
                        <wps:spPr>
                          <a:xfrm>
                            <a:off x="546100" y="50798"/>
                            <a:ext cx="1270" cy="254635"/>
                          </a:xfrm>
                          <a:custGeom>
                            <a:avLst/>
                            <a:gdLst/>
                            <a:ahLst/>
                            <a:cxnLst/>
                            <a:rect l="l" t="t" r="r" b="b"/>
                            <a:pathLst>
                              <a:path w="0" h="254635">
                                <a:moveTo>
                                  <a:pt x="0" y="25415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894" name="Graphic 894"/>
                        <wps:cNvSpPr/>
                        <wps:spPr>
                          <a:xfrm>
                            <a:off x="38100" y="50951"/>
                            <a:ext cx="495300" cy="254000"/>
                          </a:xfrm>
                          <a:custGeom>
                            <a:avLst/>
                            <a:gdLst/>
                            <a:ahLst/>
                            <a:cxnLst/>
                            <a:rect l="l" t="t" r="r" b="b"/>
                            <a:pathLst>
                              <a:path w="495300" h="254000">
                                <a:moveTo>
                                  <a:pt x="0" y="254000"/>
                                </a:moveTo>
                                <a:lnTo>
                                  <a:pt x="495300" y="254000"/>
                                </a:lnTo>
                                <a:lnTo>
                                  <a:pt x="495300" y="0"/>
                                </a:lnTo>
                                <a:lnTo>
                                  <a:pt x="0" y="0"/>
                                </a:lnTo>
                                <a:lnTo>
                                  <a:pt x="0" y="254000"/>
                                </a:lnTo>
                                <a:close/>
                              </a:path>
                            </a:pathLst>
                          </a:custGeom>
                          <a:solidFill>
                            <a:srgbClr val="008FDD"/>
                          </a:solidFill>
                        </wps:spPr>
                        <wps:bodyPr wrap="square" lIns="0" tIns="0" rIns="0" bIns="0" rtlCol="0">
                          <a:prstTxWarp prst="textNoShape">
                            <a:avLst/>
                          </a:prstTxWarp>
                          <a:noAutofit/>
                        </wps:bodyPr>
                      </wps:wsp>
                      <wps:wsp>
                        <wps:cNvPr id="895" name="Graphic 895"/>
                        <wps:cNvSpPr/>
                        <wps:spPr>
                          <a:xfrm>
                            <a:off x="19050" y="19050"/>
                            <a:ext cx="6591300" cy="8554085"/>
                          </a:xfrm>
                          <a:custGeom>
                            <a:avLst/>
                            <a:gdLst/>
                            <a:ahLst/>
                            <a:cxnLst/>
                            <a:rect l="l" t="t" r="r" b="b"/>
                            <a:pathLst>
                              <a:path w="6591300" h="8554085">
                                <a:moveTo>
                                  <a:pt x="95250" y="0"/>
                                </a:moveTo>
                                <a:lnTo>
                                  <a:pt x="58212" y="7497"/>
                                </a:lnTo>
                                <a:lnTo>
                                  <a:pt x="27932" y="27932"/>
                                </a:lnTo>
                                <a:lnTo>
                                  <a:pt x="7497" y="58212"/>
                                </a:lnTo>
                                <a:lnTo>
                                  <a:pt x="0" y="95250"/>
                                </a:lnTo>
                                <a:lnTo>
                                  <a:pt x="0" y="8458733"/>
                                </a:lnTo>
                                <a:lnTo>
                                  <a:pt x="7497" y="8495776"/>
                                </a:lnTo>
                                <a:lnTo>
                                  <a:pt x="27932" y="8526056"/>
                                </a:lnTo>
                                <a:lnTo>
                                  <a:pt x="58212" y="8546487"/>
                                </a:lnTo>
                                <a:lnTo>
                                  <a:pt x="95250" y="8553983"/>
                                </a:lnTo>
                                <a:lnTo>
                                  <a:pt x="6496050" y="8553983"/>
                                </a:lnTo>
                                <a:lnTo>
                                  <a:pt x="6533087" y="8546487"/>
                                </a:lnTo>
                                <a:lnTo>
                                  <a:pt x="6563367" y="8526056"/>
                                </a:lnTo>
                                <a:lnTo>
                                  <a:pt x="6583802" y="8495776"/>
                                </a:lnTo>
                                <a:lnTo>
                                  <a:pt x="6591300" y="8458733"/>
                                </a:lnTo>
                                <a:lnTo>
                                  <a:pt x="6591300" y="95250"/>
                                </a:lnTo>
                                <a:lnTo>
                                  <a:pt x="6583802" y="58212"/>
                                </a:lnTo>
                                <a:lnTo>
                                  <a:pt x="6563367" y="27932"/>
                                </a:lnTo>
                                <a:lnTo>
                                  <a:pt x="6533087" y="7497"/>
                                </a:lnTo>
                                <a:lnTo>
                                  <a:pt x="64960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896" name="Graphic 896"/>
                        <wps:cNvSpPr/>
                        <wps:spPr>
                          <a:xfrm>
                            <a:off x="3435350" y="400050"/>
                            <a:ext cx="3136900" cy="3623945"/>
                          </a:xfrm>
                          <a:custGeom>
                            <a:avLst/>
                            <a:gdLst/>
                            <a:ahLst/>
                            <a:cxnLst/>
                            <a:rect l="l" t="t" r="r" b="b"/>
                            <a:pathLst>
                              <a:path w="3136900" h="3623945">
                                <a:moveTo>
                                  <a:pt x="3041650" y="0"/>
                                </a:moveTo>
                                <a:lnTo>
                                  <a:pt x="95250" y="0"/>
                                </a:lnTo>
                                <a:lnTo>
                                  <a:pt x="58212" y="7497"/>
                                </a:lnTo>
                                <a:lnTo>
                                  <a:pt x="27932" y="27932"/>
                                </a:lnTo>
                                <a:lnTo>
                                  <a:pt x="7497" y="58212"/>
                                </a:lnTo>
                                <a:lnTo>
                                  <a:pt x="0" y="95250"/>
                                </a:lnTo>
                                <a:lnTo>
                                  <a:pt x="0" y="3623792"/>
                                </a:lnTo>
                                <a:lnTo>
                                  <a:pt x="3136900" y="3623792"/>
                                </a:lnTo>
                                <a:lnTo>
                                  <a:pt x="3136900" y="95250"/>
                                </a:lnTo>
                                <a:lnTo>
                                  <a:pt x="3129402" y="58212"/>
                                </a:lnTo>
                                <a:lnTo>
                                  <a:pt x="3108967" y="27932"/>
                                </a:lnTo>
                                <a:lnTo>
                                  <a:pt x="3078687" y="7497"/>
                                </a:lnTo>
                                <a:lnTo>
                                  <a:pt x="3041650" y="0"/>
                                </a:lnTo>
                                <a:close/>
                              </a:path>
                            </a:pathLst>
                          </a:custGeom>
                          <a:solidFill>
                            <a:srgbClr val="FFFFFF"/>
                          </a:solidFill>
                        </wps:spPr>
                        <wps:bodyPr wrap="square" lIns="0" tIns="0" rIns="0" bIns="0" rtlCol="0">
                          <a:prstTxWarp prst="textNoShape">
                            <a:avLst/>
                          </a:prstTxWarp>
                          <a:noAutofit/>
                        </wps:bodyPr>
                      </wps:wsp>
                      <wps:wsp>
                        <wps:cNvPr id="897" name="Graphic 897"/>
                        <wps:cNvSpPr/>
                        <wps:spPr>
                          <a:xfrm>
                            <a:off x="3479800" y="400050"/>
                            <a:ext cx="3092450" cy="226060"/>
                          </a:xfrm>
                          <a:custGeom>
                            <a:avLst/>
                            <a:gdLst/>
                            <a:ahLst/>
                            <a:cxnLst/>
                            <a:rect l="l" t="t" r="r" b="b"/>
                            <a:pathLst>
                              <a:path w="3092450" h="226060">
                                <a:moveTo>
                                  <a:pt x="2997200" y="0"/>
                                </a:moveTo>
                                <a:lnTo>
                                  <a:pt x="50800" y="0"/>
                                </a:lnTo>
                                <a:lnTo>
                                  <a:pt x="13757" y="7496"/>
                                </a:lnTo>
                                <a:lnTo>
                                  <a:pt x="0" y="16778"/>
                                </a:lnTo>
                                <a:lnTo>
                                  <a:pt x="0" y="225907"/>
                                </a:lnTo>
                                <a:lnTo>
                                  <a:pt x="3092450" y="225907"/>
                                </a:lnTo>
                                <a:lnTo>
                                  <a:pt x="3092450" y="95250"/>
                                </a:lnTo>
                                <a:lnTo>
                                  <a:pt x="3084952" y="58207"/>
                                </a:lnTo>
                                <a:lnTo>
                                  <a:pt x="3064517" y="27927"/>
                                </a:lnTo>
                                <a:lnTo>
                                  <a:pt x="3034237" y="7496"/>
                                </a:lnTo>
                                <a:lnTo>
                                  <a:pt x="2997200" y="0"/>
                                </a:lnTo>
                                <a:close/>
                              </a:path>
                            </a:pathLst>
                          </a:custGeom>
                          <a:solidFill>
                            <a:srgbClr val="808285"/>
                          </a:solidFill>
                        </wps:spPr>
                        <wps:bodyPr wrap="square" lIns="0" tIns="0" rIns="0" bIns="0" rtlCol="0">
                          <a:prstTxWarp prst="textNoShape">
                            <a:avLst/>
                          </a:prstTxWarp>
                          <a:noAutofit/>
                        </wps:bodyPr>
                      </wps:wsp>
                      <wps:wsp>
                        <wps:cNvPr id="898" name="Graphic 898"/>
                        <wps:cNvSpPr/>
                        <wps:spPr>
                          <a:xfrm>
                            <a:off x="3994150" y="410057"/>
                            <a:ext cx="1270" cy="225425"/>
                          </a:xfrm>
                          <a:custGeom>
                            <a:avLst/>
                            <a:gdLst/>
                            <a:ahLst/>
                            <a:cxnLst/>
                            <a:rect l="l" t="t" r="r" b="b"/>
                            <a:pathLst>
                              <a:path w="0" h="225425">
                                <a:moveTo>
                                  <a:pt x="0" y="2249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899" name="Graphic 899"/>
                        <wps:cNvSpPr/>
                        <wps:spPr>
                          <a:xfrm>
                            <a:off x="3454400" y="419100"/>
                            <a:ext cx="527050" cy="206375"/>
                          </a:xfrm>
                          <a:custGeom>
                            <a:avLst/>
                            <a:gdLst/>
                            <a:ahLst/>
                            <a:cxnLst/>
                            <a:rect l="l" t="t" r="r" b="b"/>
                            <a:pathLst>
                              <a:path w="527050" h="206375">
                                <a:moveTo>
                                  <a:pt x="0" y="206375"/>
                                </a:moveTo>
                                <a:lnTo>
                                  <a:pt x="527050" y="206375"/>
                                </a:lnTo>
                                <a:lnTo>
                                  <a:pt x="527050" y="0"/>
                                </a:lnTo>
                                <a:lnTo>
                                  <a:pt x="0" y="0"/>
                                </a:lnTo>
                                <a:lnTo>
                                  <a:pt x="0" y="206375"/>
                                </a:lnTo>
                                <a:close/>
                              </a:path>
                            </a:pathLst>
                          </a:custGeom>
                          <a:solidFill>
                            <a:srgbClr val="008FDD"/>
                          </a:solidFill>
                        </wps:spPr>
                        <wps:bodyPr wrap="square" lIns="0" tIns="0" rIns="0" bIns="0" rtlCol="0">
                          <a:prstTxWarp prst="textNoShape">
                            <a:avLst/>
                          </a:prstTxWarp>
                          <a:noAutofit/>
                        </wps:bodyPr>
                      </wps:wsp>
                      <wps:wsp>
                        <wps:cNvPr id="900" name="Graphic 900"/>
                        <wps:cNvSpPr/>
                        <wps:spPr>
                          <a:xfrm>
                            <a:off x="3479800" y="647699"/>
                            <a:ext cx="3055620" cy="3329940"/>
                          </a:xfrm>
                          <a:custGeom>
                            <a:avLst/>
                            <a:gdLst/>
                            <a:ahLst/>
                            <a:cxnLst/>
                            <a:rect l="l" t="t" r="r" b="b"/>
                            <a:pathLst>
                              <a:path w="3055620" h="3329940">
                                <a:moveTo>
                                  <a:pt x="3055620" y="2961195"/>
                                </a:moveTo>
                                <a:lnTo>
                                  <a:pt x="1978660" y="2961195"/>
                                </a:lnTo>
                                <a:lnTo>
                                  <a:pt x="584200" y="2961195"/>
                                </a:lnTo>
                                <a:lnTo>
                                  <a:pt x="0" y="2961195"/>
                                </a:lnTo>
                                <a:lnTo>
                                  <a:pt x="0" y="3329470"/>
                                </a:lnTo>
                                <a:lnTo>
                                  <a:pt x="584200" y="3329470"/>
                                </a:lnTo>
                                <a:lnTo>
                                  <a:pt x="1978660" y="3329470"/>
                                </a:lnTo>
                                <a:lnTo>
                                  <a:pt x="3055620" y="3329470"/>
                                </a:lnTo>
                                <a:lnTo>
                                  <a:pt x="3055620" y="2961195"/>
                                </a:lnTo>
                                <a:close/>
                              </a:path>
                              <a:path w="3055620" h="3329940">
                                <a:moveTo>
                                  <a:pt x="3055620" y="1411846"/>
                                </a:moveTo>
                                <a:lnTo>
                                  <a:pt x="1978660" y="1411846"/>
                                </a:lnTo>
                                <a:lnTo>
                                  <a:pt x="584200" y="1411846"/>
                                </a:lnTo>
                                <a:lnTo>
                                  <a:pt x="0" y="1411846"/>
                                </a:lnTo>
                                <a:lnTo>
                                  <a:pt x="0" y="2084933"/>
                                </a:lnTo>
                                <a:lnTo>
                                  <a:pt x="584200" y="2084933"/>
                                </a:lnTo>
                                <a:lnTo>
                                  <a:pt x="1978660" y="2084933"/>
                                </a:lnTo>
                                <a:lnTo>
                                  <a:pt x="3055620" y="2084933"/>
                                </a:lnTo>
                                <a:lnTo>
                                  <a:pt x="3055620" y="1411846"/>
                                </a:lnTo>
                                <a:close/>
                              </a:path>
                              <a:path w="3055620" h="3329940">
                                <a:moveTo>
                                  <a:pt x="3055620" y="0"/>
                                </a:moveTo>
                                <a:lnTo>
                                  <a:pt x="1978660" y="0"/>
                                </a:lnTo>
                                <a:lnTo>
                                  <a:pt x="584200" y="0"/>
                                </a:lnTo>
                                <a:lnTo>
                                  <a:pt x="0" y="0"/>
                                </a:lnTo>
                                <a:lnTo>
                                  <a:pt x="0" y="266674"/>
                                </a:lnTo>
                                <a:lnTo>
                                  <a:pt x="0" y="840371"/>
                                </a:lnTo>
                                <a:lnTo>
                                  <a:pt x="584200" y="840371"/>
                                </a:lnTo>
                                <a:lnTo>
                                  <a:pt x="1978660" y="840371"/>
                                </a:lnTo>
                                <a:lnTo>
                                  <a:pt x="3055620" y="840371"/>
                                </a:lnTo>
                                <a:lnTo>
                                  <a:pt x="3055620" y="266674"/>
                                </a:lnTo>
                                <a:lnTo>
                                  <a:pt x="3055620" y="0"/>
                                </a:lnTo>
                                <a:close/>
                              </a:path>
                            </a:pathLst>
                          </a:custGeom>
                          <a:solidFill>
                            <a:srgbClr val="FFFFFF"/>
                          </a:solidFill>
                        </wps:spPr>
                        <wps:bodyPr wrap="square" lIns="0" tIns="0" rIns="0" bIns="0" rtlCol="0">
                          <a:prstTxWarp prst="textNoShape">
                            <a:avLst/>
                          </a:prstTxWarp>
                          <a:noAutofit/>
                        </wps:bodyPr>
                      </wps:wsp>
                      <wps:wsp>
                        <wps:cNvPr id="901" name="Graphic 901"/>
                        <wps:cNvSpPr/>
                        <wps:spPr>
                          <a:xfrm>
                            <a:off x="3435350" y="400050"/>
                            <a:ext cx="3136900" cy="3623945"/>
                          </a:xfrm>
                          <a:custGeom>
                            <a:avLst/>
                            <a:gdLst/>
                            <a:ahLst/>
                            <a:cxnLst/>
                            <a:rect l="l" t="t" r="r" b="b"/>
                            <a:pathLst>
                              <a:path w="3136900" h="3623945">
                                <a:moveTo>
                                  <a:pt x="95250" y="0"/>
                                </a:moveTo>
                                <a:lnTo>
                                  <a:pt x="58212" y="7497"/>
                                </a:lnTo>
                                <a:lnTo>
                                  <a:pt x="27932" y="27932"/>
                                </a:lnTo>
                                <a:lnTo>
                                  <a:pt x="7497" y="58212"/>
                                </a:lnTo>
                                <a:lnTo>
                                  <a:pt x="0" y="95250"/>
                                </a:lnTo>
                                <a:lnTo>
                                  <a:pt x="0" y="3604742"/>
                                </a:lnTo>
                                <a:lnTo>
                                  <a:pt x="0" y="3623792"/>
                                </a:lnTo>
                                <a:lnTo>
                                  <a:pt x="19050" y="3623792"/>
                                </a:lnTo>
                                <a:lnTo>
                                  <a:pt x="3117850" y="3623792"/>
                                </a:lnTo>
                                <a:lnTo>
                                  <a:pt x="3136900" y="3623792"/>
                                </a:lnTo>
                                <a:lnTo>
                                  <a:pt x="3136900" y="3604742"/>
                                </a:lnTo>
                                <a:lnTo>
                                  <a:pt x="3136900" y="95250"/>
                                </a:lnTo>
                                <a:lnTo>
                                  <a:pt x="3129402" y="58212"/>
                                </a:lnTo>
                                <a:lnTo>
                                  <a:pt x="3108967" y="27932"/>
                                </a:lnTo>
                                <a:lnTo>
                                  <a:pt x="3078687" y="7497"/>
                                </a:lnTo>
                                <a:lnTo>
                                  <a:pt x="3041650" y="0"/>
                                </a:lnTo>
                                <a:lnTo>
                                  <a:pt x="95250" y="0"/>
                                </a:lnTo>
                                <a:close/>
                              </a:path>
                            </a:pathLst>
                          </a:custGeom>
                          <a:ln w="38099">
                            <a:solidFill>
                              <a:srgbClr val="E9F1FA"/>
                            </a:solidFill>
                            <a:prstDash val="solid"/>
                          </a:ln>
                        </wps:spPr>
                        <wps:bodyPr wrap="square" lIns="0" tIns="0" rIns="0" bIns="0" rtlCol="0">
                          <a:prstTxWarp prst="textNoShape">
                            <a:avLst/>
                          </a:prstTxWarp>
                          <a:noAutofit/>
                        </wps:bodyPr>
                      </wps:wsp>
                      <wps:wsp>
                        <wps:cNvPr id="902" name="Graphic 902"/>
                        <wps:cNvSpPr/>
                        <wps:spPr>
                          <a:xfrm>
                            <a:off x="3435350" y="4171950"/>
                            <a:ext cx="3136900" cy="3189605"/>
                          </a:xfrm>
                          <a:custGeom>
                            <a:avLst/>
                            <a:gdLst/>
                            <a:ahLst/>
                            <a:cxnLst/>
                            <a:rect l="l" t="t" r="r" b="b"/>
                            <a:pathLst>
                              <a:path w="3136900" h="3189605">
                                <a:moveTo>
                                  <a:pt x="3041650" y="0"/>
                                </a:moveTo>
                                <a:lnTo>
                                  <a:pt x="95250" y="0"/>
                                </a:lnTo>
                                <a:lnTo>
                                  <a:pt x="58212" y="7497"/>
                                </a:lnTo>
                                <a:lnTo>
                                  <a:pt x="27932" y="27932"/>
                                </a:lnTo>
                                <a:lnTo>
                                  <a:pt x="7497" y="58212"/>
                                </a:lnTo>
                                <a:lnTo>
                                  <a:pt x="0" y="95250"/>
                                </a:lnTo>
                                <a:lnTo>
                                  <a:pt x="0" y="3189605"/>
                                </a:lnTo>
                                <a:lnTo>
                                  <a:pt x="3136900" y="3189605"/>
                                </a:lnTo>
                                <a:lnTo>
                                  <a:pt x="3136900" y="95250"/>
                                </a:lnTo>
                                <a:lnTo>
                                  <a:pt x="3129402" y="58212"/>
                                </a:lnTo>
                                <a:lnTo>
                                  <a:pt x="3108967" y="27932"/>
                                </a:lnTo>
                                <a:lnTo>
                                  <a:pt x="3078687" y="7497"/>
                                </a:lnTo>
                                <a:lnTo>
                                  <a:pt x="3041650" y="0"/>
                                </a:lnTo>
                                <a:close/>
                              </a:path>
                            </a:pathLst>
                          </a:custGeom>
                          <a:solidFill>
                            <a:srgbClr val="FFFFFF"/>
                          </a:solidFill>
                        </wps:spPr>
                        <wps:bodyPr wrap="square" lIns="0" tIns="0" rIns="0" bIns="0" rtlCol="0">
                          <a:prstTxWarp prst="textNoShape">
                            <a:avLst/>
                          </a:prstTxWarp>
                          <a:noAutofit/>
                        </wps:bodyPr>
                      </wps:wsp>
                      <wps:wsp>
                        <wps:cNvPr id="903" name="Graphic 903"/>
                        <wps:cNvSpPr/>
                        <wps:spPr>
                          <a:xfrm>
                            <a:off x="3479800" y="4171950"/>
                            <a:ext cx="3092450" cy="226060"/>
                          </a:xfrm>
                          <a:custGeom>
                            <a:avLst/>
                            <a:gdLst/>
                            <a:ahLst/>
                            <a:cxnLst/>
                            <a:rect l="l" t="t" r="r" b="b"/>
                            <a:pathLst>
                              <a:path w="3092450" h="226060">
                                <a:moveTo>
                                  <a:pt x="2997200" y="0"/>
                                </a:moveTo>
                                <a:lnTo>
                                  <a:pt x="50800" y="0"/>
                                </a:lnTo>
                                <a:lnTo>
                                  <a:pt x="13757" y="7496"/>
                                </a:lnTo>
                                <a:lnTo>
                                  <a:pt x="0" y="16778"/>
                                </a:lnTo>
                                <a:lnTo>
                                  <a:pt x="0" y="225907"/>
                                </a:lnTo>
                                <a:lnTo>
                                  <a:pt x="3092450" y="225907"/>
                                </a:lnTo>
                                <a:lnTo>
                                  <a:pt x="3092450" y="95250"/>
                                </a:lnTo>
                                <a:lnTo>
                                  <a:pt x="3084952" y="58207"/>
                                </a:lnTo>
                                <a:lnTo>
                                  <a:pt x="3064517" y="27927"/>
                                </a:lnTo>
                                <a:lnTo>
                                  <a:pt x="3034237" y="7496"/>
                                </a:lnTo>
                                <a:lnTo>
                                  <a:pt x="2997200" y="0"/>
                                </a:lnTo>
                                <a:close/>
                              </a:path>
                            </a:pathLst>
                          </a:custGeom>
                          <a:solidFill>
                            <a:srgbClr val="808285"/>
                          </a:solidFill>
                        </wps:spPr>
                        <wps:bodyPr wrap="square" lIns="0" tIns="0" rIns="0" bIns="0" rtlCol="0">
                          <a:prstTxWarp prst="textNoShape">
                            <a:avLst/>
                          </a:prstTxWarp>
                          <a:noAutofit/>
                        </wps:bodyPr>
                      </wps:wsp>
                      <wps:wsp>
                        <wps:cNvPr id="904" name="Graphic 904"/>
                        <wps:cNvSpPr/>
                        <wps:spPr>
                          <a:xfrm>
                            <a:off x="3994150" y="4181957"/>
                            <a:ext cx="1270" cy="225425"/>
                          </a:xfrm>
                          <a:custGeom>
                            <a:avLst/>
                            <a:gdLst/>
                            <a:ahLst/>
                            <a:cxnLst/>
                            <a:rect l="l" t="t" r="r" b="b"/>
                            <a:pathLst>
                              <a:path w="0" h="225425">
                                <a:moveTo>
                                  <a:pt x="0" y="2249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905" name="Graphic 905"/>
                        <wps:cNvSpPr/>
                        <wps:spPr>
                          <a:xfrm>
                            <a:off x="3454400" y="4191000"/>
                            <a:ext cx="527050" cy="206375"/>
                          </a:xfrm>
                          <a:custGeom>
                            <a:avLst/>
                            <a:gdLst/>
                            <a:ahLst/>
                            <a:cxnLst/>
                            <a:rect l="l" t="t" r="r" b="b"/>
                            <a:pathLst>
                              <a:path w="527050" h="206375">
                                <a:moveTo>
                                  <a:pt x="0" y="206375"/>
                                </a:moveTo>
                                <a:lnTo>
                                  <a:pt x="527050" y="206375"/>
                                </a:lnTo>
                                <a:lnTo>
                                  <a:pt x="527050" y="0"/>
                                </a:lnTo>
                                <a:lnTo>
                                  <a:pt x="0" y="0"/>
                                </a:lnTo>
                                <a:lnTo>
                                  <a:pt x="0" y="206375"/>
                                </a:lnTo>
                                <a:close/>
                              </a:path>
                            </a:pathLst>
                          </a:custGeom>
                          <a:solidFill>
                            <a:srgbClr val="008FDD"/>
                          </a:solidFill>
                        </wps:spPr>
                        <wps:bodyPr wrap="square" lIns="0" tIns="0" rIns="0" bIns="0" rtlCol="0">
                          <a:prstTxWarp prst="textNoShape">
                            <a:avLst/>
                          </a:prstTxWarp>
                          <a:noAutofit/>
                        </wps:bodyPr>
                      </wps:wsp>
                      <wps:wsp>
                        <wps:cNvPr id="906" name="Graphic 906"/>
                        <wps:cNvSpPr/>
                        <wps:spPr>
                          <a:xfrm>
                            <a:off x="3479800" y="4419599"/>
                            <a:ext cx="3048000" cy="2895600"/>
                          </a:xfrm>
                          <a:custGeom>
                            <a:avLst/>
                            <a:gdLst/>
                            <a:ahLst/>
                            <a:cxnLst/>
                            <a:rect l="l" t="t" r="r" b="b"/>
                            <a:pathLst>
                              <a:path w="3048000" h="2895600">
                                <a:moveTo>
                                  <a:pt x="3048000" y="2628608"/>
                                </a:moveTo>
                                <a:lnTo>
                                  <a:pt x="1356360" y="2628608"/>
                                </a:lnTo>
                                <a:lnTo>
                                  <a:pt x="815340" y="2628608"/>
                                </a:lnTo>
                                <a:lnTo>
                                  <a:pt x="0" y="2628608"/>
                                </a:lnTo>
                                <a:lnTo>
                                  <a:pt x="0" y="2895282"/>
                                </a:lnTo>
                                <a:lnTo>
                                  <a:pt x="815340" y="2895282"/>
                                </a:lnTo>
                                <a:lnTo>
                                  <a:pt x="1356360" y="2895282"/>
                                </a:lnTo>
                                <a:lnTo>
                                  <a:pt x="3048000" y="2895282"/>
                                </a:lnTo>
                                <a:lnTo>
                                  <a:pt x="3048000" y="2628608"/>
                                </a:lnTo>
                                <a:close/>
                              </a:path>
                              <a:path w="3048000" h="2895600">
                                <a:moveTo>
                                  <a:pt x="3048000" y="1892058"/>
                                </a:moveTo>
                                <a:lnTo>
                                  <a:pt x="1356360" y="1892058"/>
                                </a:lnTo>
                                <a:lnTo>
                                  <a:pt x="815340" y="1892058"/>
                                </a:lnTo>
                                <a:lnTo>
                                  <a:pt x="0" y="1892058"/>
                                </a:lnTo>
                                <a:lnTo>
                                  <a:pt x="0" y="2260333"/>
                                </a:lnTo>
                                <a:lnTo>
                                  <a:pt x="815340" y="2260333"/>
                                </a:lnTo>
                                <a:lnTo>
                                  <a:pt x="1356360" y="2260333"/>
                                </a:lnTo>
                                <a:lnTo>
                                  <a:pt x="3048000" y="2260333"/>
                                </a:lnTo>
                                <a:lnTo>
                                  <a:pt x="3048000" y="1892058"/>
                                </a:lnTo>
                                <a:close/>
                              </a:path>
                              <a:path w="3048000" h="2895600">
                                <a:moveTo>
                                  <a:pt x="3048000" y="1460309"/>
                                </a:moveTo>
                                <a:lnTo>
                                  <a:pt x="1356360" y="1460309"/>
                                </a:lnTo>
                                <a:lnTo>
                                  <a:pt x="815340" y="1460309"/>
                                </a:lnTo>
                                <a:lnTo>
                                  <a:pt x="0" y="1460309"/>
                                </a:lnTo>
                                <a:lnTo>
                                  <a:pt x="0" y="1726984"/>
                                </a:lnTo>
                                <a:lnTo>
                                  <a:pt x="815340" y="1726984"/>
                                </a:lnTo>
                                <a:lnTo>
                                  <a:pt x="1356360" y="1726984"/>
                                </a:lnTo>
                                <a:lnTo>
                                  <a:pt x="3048000" y="1726984"/>
                                </a:lnTo>
                                <a:lnTo>
                                  <a:pt x="3048000" y="1460309"/>
                                </a:lnTo>
                                <a:close/>
                              </a:path>
                              <a:path w="3048000" h="2895600">
                                <a:moveTo>
                                  <a:pt x="3048000" y="1028573"/>
                                </a:moveTo>
                                <a:lnTo>
                                  <a:pt x="0" y="1028573"/>
                                </a:lnTo>
                                <a:lnTo>
                                  <a:pt x="0" y="1193647"/>
                                </a:lnTo>
                                <a:lnTo>
                                  <a:pt x="3048000" y="1193647"/>
                                </a:lnTo>
                                <a:lnTo>
                                  <a:pt x="3048000" y="1028573"/>
                                </a:lnTo>
                                <a:close/>
                              </a:path>
                              <a:path w="3048000" h="2895600">
                                <a:moveTo>
                                  <a:pt x="3048000" y="596823"/>
                                </a:moveTo>
                                <a:lnTo>
                                  <a:pt x="1356360" y="596823"/>
                                </a:lnTo>
                                <a:lnTo>
                                  <a:pt x="815340" y="596823"/>
                                </a:lnTo>
                                <a:lnTo>
                                  <a:pt x="0" y="596823"/>
                                </a:lnTo>
                                <a:lnTo>
                                  <a:pt x="0" y="761898"/>
                                </a:lnTo>
                                <a:lnTo>
                                  <a:pt x="815340" y="761898"/>
                                </a:lnTo>
                                <a:lnTo>
                                  <a:pt x="1356360" y="761898"/>
                                </a:lnTo>
                                <a:lnTo>
                                  <a:pt x="3048000" y="761898"/>
                                </a:lnTo>
                                <a:lnTo>
                                  <a:pt x="3048000" y="596823"/>
                                </a:lnTo>
                                <a:close/>
                              </a:path>
                              <a:path w="3048000" h="2895600">
                                <a:moveTo>
                                  <a:pt x="3048000" y="0"/>
                                </a:moveTo>
                                <a:lnTo>
                                  <a:pt x="1356360" y="0"/>
                                </a:lnTo>
                                <a:lnTo>
                                  <a:pt x="815340" y="0"/>
                                </a:lnTo>
                                <a:lnTo>
                                  <a:pt x="0" y="0"/>
                                </a:lnTo>
                                <a:lnTo>
                                  <a:pt x="0" y="165074"/>
                                </a:lnTo>
                                <a:lnTo>
                                  <a:pt x="0" y="330149"/>
                                </a:lnTo>
                                <a:lnTo>
                                  <a:pt x="3048000" y="330149"/>
                                </a:lnTo>
                                <a:lnTo>
                                  <a:pt x="3048000" y="165074"/>
                                </a:lnTo>
                                <a:lnTo>
                                  <a:pt x="3048000" y="0"/>
                                </a:lnTo>
                                <a:close/>
                              </a:path>
                            </a:pathLst>
                          </a:custGeom>
                          <a:solidFill>
                            <a:srgbClr val="FFFFFF"/>
                          </a:solidFill>
                        </wps:spPr>
                        <wps:bodyPr wrap="square" lIns="0" tIns="0" rIns="0" bIns="0" rtlCol="0">
                          <a:prstTxWarp prst="textNoShape">
                            <a:avLst/>
                          </a:prstTxWarp>
                          <a:noAutofit/>
                        </wps:bodyPr>
                      </wps:wsp>
                      <wps:wsp>
                        <wps:cNvPr id="907" name="Graphic 907"/>
                        <wps:cNvSpPr/>
                        <wps:spPr>
                          <a:xfrm>
                            <a:off x="3435350" y="4171950"/>
                            <a:ext cx="3136900" cy="3189605"/>
                          </a:xfrm>
                          <a:custGeom>
                            <a:avLst/>
                            <a:gdLst/>
                            <a:ahLst/>
                            <a:cxnLst/>
                            <a:rect l="l" t="t" r="r" b="b"/>
                            <a:pathLst>
                              <a:path w="3136900" h="3189605">
                                <a:moveTo>
                                  <a:pt x="95250" y="0"/>
                                </a:moveTo>
                                <a:lnTo>
                                  <a:pt x="58212" y="7497"/>
                                </a:lnTo>
                                <a:lnTo>
                                  <a:pt x="27932" y="27932"/>
                                </a:lnTo>
                                <a:lnTo>
                                  <a:pt x="7497" y="58212"/>
                                </a:lnTo>
                                <a:lnTo>
                                  <a:pt x="0" y="95250"/>
                                </a:lnTo>
                                <a:lnTo>
                                  <a:pt x="0" y="3170555"/>
                                </a:lnTo>
                                <a:lnTo>
                                  <a:pt x="0" y="3189605"/>
                                </a:lnTo>
                                <a:lnTo>
                                  <a:pt x="19050" y="3189605"/>
                                </a:lnTo>
                                <a:lnTo>
                                  <a:pt x="3117850" y="3189605"/>
                                </a:lnTo>
                                <a:lnTo>
                                  <a:pt x="3136900" y="3189605"/>
                                </a:lnTo>
                                <a:lnTo>
                                  <a:pt x="3136900" y="3170555"/>
                                </a:lnTo>
                                <a:lnTo>
                                  <a:pt x="3136900" y="95250"/>
                                </a:lnTo>
                                <a:lnTo>
                                  <a:pt x="3129402" y="58212"/>
                                </a:lnTo>
                                <a:lnTo>
                                  <a:pt x="3108967" y="27932"/>
                                </a:lnTo>
                                <a:lnTo>
                                  <a:pt x="3078687" y="7497"/>
                                </a:lnTo>
                                <a:lnTo>
                                  <a:pt x="3041650" y="0"/>
                                </a:lnTo>
                                <a:lnTo>
                                  <a:pt x="95250" y="0"/>
                                </a:lnTo>
                                <a:close/>
                              </a:path>
                            </a:pathLst>
                          </a:custGeom>
                          <a:ln w="38100">
                            <a:solidFill>
                              <a:srgbClr val="E9F1F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7pt;margin-top:63pt;width:522pt;height:676.55pt;mso-position-horizontal-relative:page;mso-position-vertical-relative:page;z-index:-36564480" id="docshapegroup744" coordorigin="1140,1260" coordsize="10440,13531">
                <v:shape style="position:absolute;left:1170;top:1290;width:10380;height:13471" id="docshape745" coordorigin="1170,1290" coordsize="10380,13471" path="m11400,1290l1320,1290,1262,1302,1214,1334,1182,1382,1170,1440,1170,14611,1182,14669,1214,14717,1262,14749,1320,14761,11400,14761,11458,14749,11506,14717,11538,14669,11550,14611,11550,1440,11538,1382,11506,1334,11458,1302,11400,1290xe" filled="true" fillcolor="#e9f1fa" stroked="false">
                  <v:path arrowok="t"/>
                  <v:fill type="solid"/>
                </v:shape>
                <v:shape style="position:absolute;left:1380;top:1340;width:10170;height:400" id="docshape746" coordorigin="1380,1340" coordsize="10170,400" path="m11510,1340l1380,1340,1380,1740,11550,1740,11550,1440,11538,1382,11510,1340xe" filled="true" fillcolor="#808285" stroked="false">
                  <v:path arrowok="t"/>
                  <v:fill type="solid"/>
                </v:shape>
                <v:line style="position:absolute" from="2000,1740" to="2000,1340" stroked="true" strokeweight="2pt" strokecolor="#ffffff">
                  <v:stroke dashstyle="solid"/>
                </v:line>
                <v:rect style="position:absolute;left:1200;top:1340;width:780;height:400" id="docshape747" filled="true" fillcolor="#008fdd" stroked="false">
                  <v:fill type="solid"/>
                </v:rect>
                <v:shape style="position:absolute;left:1170;top:1290;width:10380;height:13471" id="docshape748" coordorigin="1170,1290" coordsize="10380,13471" path="m1320,1290l1262,1302,1214,1334,1182,1382,1170,1440,1170,14611,1182,14669,1214,14717,1262,14749,1320,14761,11400,14761,11458,14749,11506,14717,11538,14669,11550,14611,11550,1440,11538,1382,11506,1334,11458,1302,11400,1290,1320,1290xe" filled="false" stroked="true" strokeweight="3pt" strokecolor="#ffffff">
                  <v:path arrowok="t"/>
                  <v:stroke dashstyle="solid"/>
                </v:shape>
                <v:shape style="position:absolute;left:6550;top:1890;width:4940;height:5707" id="docshape749" coordorigin="6550,1890" coordsize="4940,5707" path="m11340,1890l6700,1890,6642,1902,6594,1934,6562,1982,6550,2040,6550,7597,11490,7597,11490,2040,11478,1982,11446,1934,11398,1902,11340,1890xe" filled="true" fillcolor="#ffffff" stroked="false">
                  <v:path arrowok="t"/>
                  <v:fill type="solid"/>
                </v:shape>
                <v:shape style="position:absolute;left:6620;top:1890;width:4870;height:356" id="docshape750" coordorigin="6620,1890" coordsize="4870,356" path="m11340,1890l6700,1890,6642,1902,6620,1916,6620,2246,11490,2246,11490,2040,11478,1982,11446,1934,11398,1902,11340,1890xe" filled="true" fillcolor="#808285" stroked="false">
                  <v:path arrowok="t"/>
                  <v:fill type="solid"/>
                </v:shape>
                <v:line style="position:absolute" from="7430,2260" to="7430,1906" stroked="true" strokeweight="2pt" strokecolor="#ffffff">
                  <v:stroke dashstyle="solid"/>
                </v:line>
                <v:rect style="position:absolute;left:6580;top:1920;width:830;height:325" id="docshape751" filled="true" fillcolor="#008fdd" stroked="false">
                  <v:fill type="solid"/>
                </v:rect>
                <v:shape style="position:absolute;left:6620;top:2280;width:4812;height:5244" id="docshape752" coordorigin="6620,2280" coordsize="4812,5244" path="m11432,6943l9736,6943,7540,6943,6620,6943,6620,7523,7540,7523,9736,7523,11432,7523,11432,6943xm11432,4503l9736,4503,7540,4503,6620,4503,6620,5563,7540,5563,9736,5563,11432,5563,11432,4503xm11432,2280l9736,2280,7540,2280,6620,2280,6620,2700,6620,3603,7540,3603,9736,3603,11432,3603,11432,2700,11432,2280xe" filled="true" fillcolor="#ffffff" stroked="false">
                  <v:path arrowok="t"/>
                  <v:fill type="solid"/>
                </v:shape>
                <v:shape style="position:absolute;left:6550;top:1890;width:4940;height:5707" id="docshape753" coordorigin="6550,1890" coordsize="4940,5707" path="m6700,1890l6642,1902,6594,1934,6562,1982,6550,2040,6550,7567,6550,7597,6580,7597,11460,7597,11490,7597,11490,7567,11490,2040,11478,1982,11446,1934,11398,1902,11340,1890,6700,1890xe" filled="false" stroked="true" strokeweight="3.0pt" strokecolor="#e9f1fa">
                  <v:path arrowok="t"/>
                  <v:stroke dashstyle="solid"/>
                </v:shape>
                <v:shape style="position:absolute;left:6550;top:7830;width:4940;height:5023" id="docshape754" coordorigin="6550,7830" coordsize="4940,5023" path="m11340,7830l6700,7830,6642,7842,6594,7874,6562,7922,6550,7980,6550,12853,11490,12853,11490,7980,11478,7922,11446,7874,11398,7842,11340,7830xe" filled="true" fillcolor="#ffffff" stroked="false">
                  <v:path arrowok="t"/>
                  <v:fill type="solid"/>
                </v:shape>
                <v:shape style="position:absolute;left:6620;top:7830;width:4870;height:356" id="docshape755" coordorigin="6620,7830" coordsize="4870,356" path="m11340,7830l6700,7830,6642,7842,6620,7856,6620,8186,11490,8186,11490,7980,11478,7922,11446,7874,11398,7842,11340,7830xe" filled="true" fillcolor="#808285" stroked="false">
                  <v:path arrowok="t"/>
                  <v:fill type="solid"/>
                </v:shape>
                <v:line style="position:absolute" from="7430,8200" to="7430,7846" stroked="true" strokeweight="2pt" strokecolor="#ffffff">
                  <v:stroke dashstyle="solid"/>
                </v:line>
                <v:rect style="position:absolute;left:6580;top:7860;width:830;height:325" id="docshape756" filled="true" fillcolor="#008fdd" stroked="false">
                  <v:fill type="solid"/>
                </v:rect>
                <v:shape style="position:absolute;left:6620;top:8220;width:4800;height:4560" id="docshape757" coordorigin="6620,8220" coordsize="4800,4560" path="m11420,12360l8756,12360,7904,12360,6620,12360,6620,12779,7904,12779,8756,12779,11420,12779,11420,12360xm11420,11200l8756,11200,7904,11200,6620,11200,6620,11780,7904,11780,8756,11780,11420,11780,11420,11200xm11420,10520l8756,10520,7904,10520,6620,10520,6620,10940,7904,10940,8756,10940,11420,10940,11420,10520xm11420,9840l6620,9840,6620,10100,11420,10100,11420,9840xm11420,9160l8756,9160,7904,9160,6620,9160,6620,9420,7904,9420,8756,9420,11420,9420,11420,9160xm11420,8220l8756,8220,7904,8220,6620,8220,6620,8480,6620,8740,11420,8740,11420,8480,11420,8220xe" filled="true" fillcolor="#ffffff" stroked="false">
                  <v:path arrowok="t"/>
                  <v:fill type="solid"/>
                </v:shape>
                <v:shape style="position:absolute;left:6550;top:7830;width:4940;height:5023" id="docshape758" coordorigin="6550,7830" coordsize="4940,5023" path="m6700,7830l6642,7842,6594,7874,6562,7922,6550,7980,6550,12823,6550,12853,6580,12853,11460,12853,11490,12853,11490,12823,11490,7980,11478,7922,11446,7874,11398,7842,11340,7830,6700,7830xe" filled="false" stroked="true" strokeweight="3pt" strokecolor="#e9f1fa">
                  <v:path arrowok="t"/>
                  <v:stroke dashstyle="solid"/>
                </v:shape>
                <w10:wrap type="none"/>
              </v:group>
            </w:pict>
          </mc:Fallback>
        </mc:AlternateContent>
      </w:r>
      <w:r>
        <w:rPr>
          <w:rFonts w:ascii="Arial"/>
          <w:b/>
          <w:color w:val="231F20"/>
          <w:sz w:val="16"/>
        </w:rPr>
        <w:t>Potential interpretation issues with tracking key performance </w:t>
      </w:r>
      <w:r>
        <w:rPr>
          <w:rFonts w:ascii="Arial"/>
          <w:b/>
          <w:color w:val="231F20"/>
          <w:spacing w:val="-2"/>
          <w:sz w:val="16"/>
        </w:rPr>
        <w:t>indicators</w:t>
      </w:r>
    </w:p>
    <w:p>
      <w:pPr>
        <w:spacing w:line="352" w:lineRule="auto" w:before="0"/>
        <w:ind w:left="1380" w:right="0" w:firstLine="300"/>
        <w:jc w:val="both"/>
        <w:rPr>
          <w:rFonts w:ascii="Arial"/>
          <w:sz w:val="16"/>
        </w:rPr>
      </w:pPr>
      <w:r>
        <w:rPr>
          <w:rFonts w:ascii="Arial"/>
          <w:color w:val="231F20"/>
          <w:sz w:val="16"/>
        </w:rPr>
        <w:t>The</w:t>
      </w:r>
      <w:r>
        <w:rPr>
          <w:rFonts w:ascii="Arial"/>
          <w:color w:val="231F20"/>
          <w:spacing w:val="-1"/>
          <w:sz w:val="16"/>
        </w:rPr>
        <w:t> </w:t>
      </w:r>
      <w:r>
        <w:rPr>
          <w:rFonts w:ascii="Arial"/>
          <w:color w:val="231F20"/>
          <w:sz w:val="16"/>
        </w:rPr>
        <w:t>key</w:t>
      </w:r>
      <w:r>
        <w:rPr>
          <w:rFonts w:ascii="Arial"/>
          <w:color w:val="231F20"/>
          <w:spacing w:val="-1"/>
          <w:sz w:val="16"/>
        </w:rPr>
        <w:t> </w:t>
      </w:r>
      <w:r>
        <w:rPr>
          <w:rFonts w:ascii="Arial"/>
          <w:color w:val="231F20"/>
          <w:sz w:val="16"/>
        </w:rPr>
        <w:t>performance</w:t>
      </w:r>
      <w:r>
        <w:rPr>
          <w:rFonts w:ascii="Arial"/>
          <w:color w:val="231F20"/>
          <w:spacing w:val="-1"/>
          <w:sz w:val="16"/>
        </w:rPr>
        <w:t> </w:t>
      </w:r>
      <w:r>
        <w:rPr>
          <w:rFonts w:ascii="Arial"/>
          <w:color w:val="231F20"/>
          <w:sz w:val="16"/>
        </w:rPr>
        <w:t>indicators</w:t>
      </w:r>
      <w:r>
        <w:rPr>
          <w:rFonts w:ascii="Arial"/>
          <w:color w:val="231F20"/>
          <w:spacing w:val="-1"/>
          <w:sz w:val="16"/>
        </w:rPr>
        <w:t> </w:t>
      </w:r>
      <w:r>
        <w:rPr>
          <w:rFonts w:ascii="Arial"/>
          <w:color w:val="231F20"/>
          <w:sz w:val="16"/>
        </w:rPr>
        <w:t>provide</w:t>
      </w:r>
      <w:r>
        <w:rPr>
          <w:rFonts w:ascii="Arial"/>
          <w:color w:val="231F20"/>
          <w:spacing w:val="-1"/>
          <w:sz w:val="16"/>
        </w:rPr>
        <w:t> </w:t>
      </w:r>
      <w:r>
        <w:rPr>
          <w:rFonts w:ascii="Arial"/>
          <w:color w:val="231F20"/>
          <w:sz w:val="16"/>
        </w:rPr>
        <w:t>a</w:t>
      </w:r>
      <w:r>
        <w:rPr>
          <w:rFonts w:ascii="Arial"/>
          <w:color w:val="231F20"/>
          <w:spacing w:val="-1"/>
          <w:sz w:val="16"/>
        </w:rPr>
        <w:t> </w:t>
      </w:r>
      <w:r>
        <w:rPr>
          <w:rFonts w:ascii="Arial"/>
          <w:color w:val="231F20"/>
          <w:sz w:val="16"/>
        </w:rPr>
        <w:t>wealth</w:t>
      </w:r>
      <w:r>
        <w:rPr>
          <w:rFonts w:ascii="Arial"/>
          <w:color w:val="231F20"/>
          <w:spacing w:val="-1"/>
          <w:sz w:val="16"/>
        </w:rPr>
        <w:t> </w:t>
      </w:r>
      <w:r>
        <w:rPr>
          <w:rFonts w:ascii="Arial"/>
          <w:color w:val="231F20"/>
          <w:sz w:val="16"/>
        </w:rPr>
        <w:t>of</w:t>
      </w:r>
      <w:r>
        <w:rPr>
          <w:rFonts w:ascii="Arial"/>
          <w:color w:val="231F20"/>
          <w:spacing w:val="-1"/>
          <w:sz w:val="16"/>
        </w:rPr>
        <w:t> </w:t>
      </w:r>
      <w:r>
        <w:rPr>
          <w:rFonts w:ascii="Arial"/>
          <w:color w:val="231F20"/>
          <w:sz w:val="16"/>
        </w:rPr>
        <w:t>information on supply chain transactions across several modes but are subject to limits that affect interpretation:</w:t>
      </w:r>
    </w:p>
    <w:p>
      <w:pPr>
        <w:spacing w:line="352" w:lineRule="auto" w:before="0"/>
        <w:ind w:left="1380" w:right="0" w:firstLine="300"/>
        <w:jc w:val="both"/>
        <w:rPr>
          <w:rFonts w:ascii="Arial"/>
          <w:sz w:val="16"/>
        </w:rPr>
      </w:pPr>
      <w:r>
        <w:rPr>
          <w:rFonts w:ascii="Arial"/>
          <w:color w:val="231F20"/>
          <w:sz w:val="16"/>
        </w:rPr>
        <w:t>Although the procedures to input timestamps are rigorously defined, the process is not fully automated in some countries and may depend on practices by local operators, more so for aviation and postal data than for maritime data. In agreement with the data partners, the data do not include countries where there is a strong suspicion of deficient recording.</w:t>
      </w:r>
    </w:p>
    <w:p>
      <w:pPr>
        <w:spacing w:line="352" w:lineRule="auto" w:before="0"/>
        <w:ind w:left="1380" w:right="0" w:firstLine="300"/>
        <w:jc w:val="both"/>
        <w:rPr>
          <w:rFonts w:ascii="Arial" w:hAnsi="Arial"/>
          <w:sz w:val="16"/>
        </w:rPr>
      </w:pPr>
      <w:r>
        <w:rPr>
          <w:rFonts w:ascii="Arial" w:hAnsi="Arial"/>
          <w:color w:val="231F20"/>
          <w:sz w:val="16"/>
        </w:rPr>
        <w:t>The postal data date from 2019 (the most recent year available at the time of report writing). All other data were collected over six months</w:t>
      </w:r>
      <w:r>
        <w:rPr>
          <w:rFonts w:ascii="Arial" w:hAnsi="Arial"/>
          <w:color w:val="231F20"/>
          <w:spacing w:val="-7"/>
          <w:sz w:val="16"/>
        </w:rPr>
        <w:t> </w:t>
      </w:r>
      <w:r>
        <w:rPr>
          <w:rFonts w:ascii="Arial" w:hAnsi="Arial"/>
          <w:color w:val="231F20"/>
          <w:sz w:val="16"/>
        </w:rPr>
        <w:t>in</w:t>
      </w:r>
      <w:r>
        <w:rPr>
          <w:rFonts w:ascii="Arial" w:hAnsi="Arial"/>
          <w:color w:val="231F20"/>
          <w:spacing w:val="-7"/>
          <w:sz w:val="16"/>
        </w:rPr>
        <w:t> </w:t>
      </w:r>
      <w:r>
        <w:rPr>
          <w:rFonts w:ascii="Arial" w:hAnsi="Arial"/>
          <w:color w:val="231F20"/>
          <w:sz w:val="16"/>
        </w:rPr>
        <w:t>mid-2022,</w:t>
      </w:r>
      <w:r>
        <w:rPr>
          <w:rFonts w:ascii="Arial" w:hAnsi="Arial"/>
          <w:color w:val="231F20"/>
          <w:spacing w:val="-7"/>
          <w:sz w:val="16"/>
        </w:rPr>
        <w:t> </w:t>
      </w:r>
      <w:r>
        <w:rPr>
          <w:rFonts w:ascii="Arial" w:hAnsi="Arial"/>
          <w:color w:val="231F20"/>
          <w:sz w:val="16"/>
        </w:rPr>
        <w:t>when</w:t>
      </w:r>
      <w:r>
        <w:rPr>
          <w:rFonts w:ascii="Arial" w:hAnsi="Arial"/>
          <w:color w:val="231F20"/>
          <w:spacing w:val="-7"/>
          <w:sz w:val="16"/>
        </w:rPr>
        <w:t> </w:t>
      </w:r>
      <w:r>
        <w:rPr>
          <w:rFonts w:ascii="Arial" w:hAnsi="Arial"/>
          <w:color w:val="231F20"/>
          <w:sz w:val="16"/>
        </w:rPr>
        <w:t>global</w:t>
      </w:r>
      <w:r>
        <w:rPr>
          <w:rFonts w:ascii="Arial" w:hAnsi="Arial"/>
          <w:color w:val="231F20"/>
          <w:spacing w:val="-7"/>
          <w:sz w:val="16"/>
        </w:rPr>
        <w:t> </w:t>
      </w:r>
      <w:r>
        <w:rPr>
          <w:rFonts w:ascii="Arial" w:hAnsi="Arial"/>
          <w:color w:val="231F20"/>
          <w:sz w:val="16"/>
        </w:rPr>
        <w:t>supply</w:t>
      </w:r>
      <w:r>
        <w:rPr>
          <w:rFonts w:ascii="Arial" w:hAnsi="Arial"/>
          <w:color w:val="231F20"/>
          <w:spacing w:val="-7"/>
          <w:sz w:val="16"/>
        </w:rPr>
        <w:t> </w:t>
      </w:r>
      <w:r>
        <w:rPr>
          <w:rFonts w:ascii="Arial" w:hAnsi="Arial"/>
          <w:color w:val="231F20"/>
          <w:sz w:val="16"/>
        </w:rPr>
        <w:t>chains</w:t>
      </w:r>
      <w:r>
        <w:rPr>
          <w:rFonts w:ascii="Arial" w:hAnsi="Arial"/>
          <w:color w:val="231F20"/>
          <w:spacing w:val="-7"/>
          <w:sz w:val="16"/>
        </w:rPr>
        <w:t> </w:t>
      </w:r>
      <w:r>
        <w:rPr>
          <w:rFonts w:ascii="Arial" w:hAnsi="Arial"/>
          <w:color w:val="231F20"/>
          <w:sz w:val="16"/>
        </w:rPr>
        <w:t>were</w:t>
      </w:r>
      <w:r>
        <w:rPr>
          <w:rFonts w:ascii="Arial" w:hAnsi="Arial"/>
          <w:color w:val="231F20"/>
          <w:spacing w:val="-8"/>
          <w:sz w:val="16"/>
        </w:rPr>
        <w:t> </w:t>
      </w:r>
      <w:r>
        <w:rPr>
          <w:rFonts w:ascii="Arial" w:hAnsi="Arial"/>
          <w:color w:val="231F20"/>
          <w:sz w:val="16"/>
        </w:rPr>
        <w:t>still</w:t>
      </w:r>
      <w:r>
        <w:rPr>
          <w:rFonts w:ascii="Arial" w:hAnsi="Arial"/>
          <w:color w:val="231F20"/>
          <w:spacing w:val="-7"/>
          <w:sz w:val="16"/>
        </w:rPr>
        <w:t> </w:t>
      </w:r>
      <w:r>
        <w:rPr>
          <w:rFonts w:ascii="Arial" w:hAnsi="Arial"/>
          <w:color w:val="231F20"/>
          <w:sz w:val="16"/>
        </w:rPr>
        <w:t>experienc- ing severe disruptions—for instance due to the ongoing effects of the COVID-19 pandemic and Russia’s invasion of Ukraine.</w:t>
      </w:r>
    </w:p>
    <w:p>
      <w:pPr>
        <w:spacing w:line="352" w:lineRule="auto" w:before="0"/>
        <w:ind w:left="1380" w:right="1" w:firstLine="300"/>
        <w:jc w:val="both"/>
        <w:rPr>
          <w:rFonts w:ascii="Arial"/>
          <w:sz w:val="16"/>
        </w:rPr>
      </w:pPr>
      <w:r>
        <w:rPr>
          <w:rFonts w:ascii="Arial"/>
          <w:color w:val="231F20"/>
          <w:sz w:val="16"/>
        </w:rPr>
        <w:t>There may be selection bias in the container tracking data (TradeLens). Economic operators with more efficient supply chains use advanced digital tracking solutions. This means that the con- tainer data, although massive, may underestimate delays.</w:t>
      </w:r>
    </w:p>
    <w:p>
      <w:pPr>
        <w:spacing w:line="352" w:lineRule="auto" w:before="0"/>
        <w:ind w:left="1380" w:right="0" w:firstLine="300"/>
        <w:jc w:val="both"/>
        <w:rPr>
          <w:rFonts w:ascii="Arial"/>
          <w:sz w:val="16"/>
        </w:rPr>
      </w:pPr>
      <w:r>
        <w:rPr>
          <w:rFonts w:ascii="Arial"/>
          <w:color w:val="231F20"/>
          <w:sz w:val="16"/>
        </w:rPr>
        <w:t>The tracking data cover the responsibility of international carri- ers, not logistics by shippers upstream or consignees downstream. Supply chain practices vary across the world. Inefficient practices, such as early stripping of containers or compulsory warehousing, may be imperfectly reflected in the key performance indicators,</w:t>
      </w:r>
      <w:r>
        <w:rPr>
          <w:rFonts w:ascii="Arial"/>
          <w:color w:val="231F20"/>
          <w:spacing w:val="40"/>
          <w:sz w:val="16"/>
        </w:rPr>
        <w:t> </w:t>
      </w:r>
      <w:r>
        <w:rPr>
          <w:rFonts w:ascii="Arial"/>
          <w:color w:val="231F20"/>
          <w:sz w:val="16"/>
        </w:rPr>
        <w:t>such that delays may be underestimated.</w:t>
      </w:r>
    </w:p>
    <w:p>
      <w:pPr>
        <w:spacing w:line="352" w:lineRule="auto" w:before="0"/>
        <w:ind w:left="1380" w:right="0" w:firstLine="300"/>
        <w:jc w:val="both"/>
        <w:rPr>
          <w:rFonts w:ascii="Arial"/>
          <w:sz w:val="16"/>
        </w:rPr>
      </w:pPr>
      <w:r>
        <w:rPr>
          <w:rFonts w:ascii="Arial"/>
          <w:color w:val="231F20"/>
          <w:sz w:val="16"/>
        </w:rPr>
        <w:t>The concepts used locally to measure delays may differ from the definitions used here to ensure global comparability. For in- stance, in many places, shipments are trucked from port terminals to satellite facilities in the same location. The key performance in- dicators merge the time spent at all facilities in the same port area, not just port terminals.</w:t>
      </w:r>
    </w:p>
    <w:p>
      <w:pPr>
        <w:spacing w:line="352" w:lineRule="auto" w:before="0"/>
        <w:ind w:left="1380" w:right="1" w:firstLine="300"/>
        <w:jc w:val="both"/>
        <w:rPr>
          <w:rFonts w:ascii="Arial"/>
          <w:sz w:val="16"/>
        </w:rPr>
      </w:pPr>
      <w:r>
        <w:rPr>
          <w:rFonts w:ascii="Arial"/>
          <w:color w:val="231F20"/>
          <w:sz w:val="16"/>
        </w:rPr>
        <w:t>The port dwell time statistics exclude transshipped containers</w:t>
      </w:r>
      <w:r>
        <w:rPr>
          <w:rFonts w:ascii="Arial"/>
          <w:color w:val="231F20"/>
          <w:spacing w:val="40"/>
          <w:sz w:val="16"/>
        </w:rPr>
        <w:t> </w:t>
      </w:r>
      <w:r>
        <w:rPr>
          <w:rFonts w:ascii="Arial"/>
          <w:color w:val="231F20"/>
          <w:sz w:val="16"/>
        </w:rPr>
        <w:t>to other destinations for ports of transshipment.</w:t>
      </w:r>
    </w:p>
    <w:p>
      <w:pPr>
        <w:spacing w:line="352" w:lineRule="auto" w:before="0"/>
        <w:ind w:left="1380" w:right="0" w:firstLine="300"/>
        <w:jc w:val="both"/>
        <w:rPr>
          <w:rFonts w:ascii="Arial"/>
          <w:sz w:val="16"/>
        </w:rPr>
      </w:pPr>
      <w:r>
        <w:rPr>
          <w:rFonts w:ascii="Arial"/>
          <w:color w:val="231F20"/>
          <w:sz w:val="16"/>
        </w:rPr>
        <w:t>These indicators measure different dimensions than indica-</w:t>
      </w:r>
      <w:r>
        <w:rPr>
          <w:rFonts w:ascii="Arial"/>
          <w:color w:val="231F20"/>
          <w:spacing w:val="80"/>
          <w:sz w:val="16"/>
        </w:rPr>
        <w:t> </w:t>
      </w:r>
      <w:r>
        <w:rPr>
          <w:rFonts w:ascii="Arial"/>
          <w:color w:val="231F20"/>
          <w:sz w:val="16"/>
        </w:rPr>
        <w:t>tors related to port and shipping already available from the World Bank and the United Nations Conference on Trade and Develop- ment (UNCTAD).</w:t>
      </w:r>
    </w:p>
    <w:p>
      <w:pPr>
        <w:spacing w:line="352" w:lineRule="auto" w:before="0"/>
        <w:ind w:left="1380" w:right="1" w:firstLine="300"/>
        <w:jc w:val="both"/>
        <w:rPr>
          <w:rFonts w:ascii="Arial"/>
          <w:sz w:val="16"/>
        </w:rPr>
      </w:pPr>
      <w:r>
        <w:rPr>
          <w:rFonts w:ascii="Arial"/>
          <w:color w:val="231F20"/>
          <w:sz w:val="16"/>
        </w:rPr>
        <w:t>The World Bank publishes the Container Port Performance Index, which measures the productivity of terminal handling op- erations.</w:t>
      </w:r>
      <w:r>
        <w:rPr>
          <w:rFonts w:ascii="Arial"/>
          <w:color w:val="231F20"/>
          <w:position w:val="5"/>
          <w:sz w:val="10"/>
        </w:rPr>
        <w:t>1</w:t>
      </w:r>
      <w:r>
        <w:rPr>
          <w:rFonts w:ascii="Arial"/>
          <w:color w:val="231F20"/>
          <w:spacing w:val="16"/>
          <w:position w:val="5"/>
          <w:sz w:val="10"/>
        </w:rPr>
        <w:t> </w:t>
      </w:r>
      <w:r>
        <w:rPr>
          <w:rFonts w:ascii="Arial"/>
          <w:color w:val="231F20"/>
          <w:sz w:val="16"/>
        </w:rPr>
        <w:t>Dwell</w:t>
      </w:r>
      <w:r>
        <w:rPr>
          <w:rFonts w:ascii="Arial"/>
          <w:color w:val="231F20"/>
          <w:spacing w:val="-1"/>
          <w:sz w:val="16"/>
        </w:rPr>
        <w:t> </w:t>
      </w:r>
      <w:r>
        <w:rPr>
          <w:rFonts w:ascii="Arial"/>
          <w:color w:val="231F20"/>
          <w:sz w:val="16"/>
        </w:rPr>
        <w:t>time</w:t>
      </w:r>
      <w:r>
        <w:rPr>
          <w:rFonts w:ascii="Arial"/>
          <w:color w:val="231F20"/>
          <w:spacing w:val="-1"/>
          <w:sz w:val="16"/>
        </w:rPr>
        <w:t> </w:t>
      </w:r>
      <w:r>
        <w:rPr>
          <w:rFonts w:ascii="Arial"/>
          <w:color w:val="231F20"/>
          <w:sz w:val="16"/>
        </w:rPr>
        <w:t>measures</w:t>
      </w:r>
      <w:r>
        <w:rPr>
          <w:rFonts w:ascii="Arial"/>
          <w:color w:val="231F20"/>
          <w:spacing w:val="-1"/>
          <w:sz w:val="16"/>
        </w:rPr>
        <w:t> </w:t>
      </w:r>
      <w:r>
        <w:rPr>
          <w:rFonts w:ascii="Arial"/>
          <w:color w:val="231F20"/>
          <w:sz w:val="16"/>
        </w:rPr>
        <w:t>how</w:t>
      </w:r>
      <w:r>
        <w:rPr>
          <w:rFonts w:ascii="Arial"/>
          <w:color w:val="231F20"/>
          <w:spacing w:val="-1"/>
          <w:sz w:val="16"/>
        </w:rPr>
        <w:t> </w:t>
      </w:r>
      <w:r>
        <w:rPr>
          <w:rFonts w:ascii="Arial"/>
          <w:color w:val="231F20"/>
          <w:sz w:val="16"/>
        </w:rPr>
        <w:t>long</w:t>
      </w:r>
      <w:r>
        <w:rPr>
          <w:rFonts w:ascii="Arial"/>
          <w:color w:val="231F20"/>
          <w:spacing w:val="-1"/>
          <w:sz w:val="16"/>
        </w:rPr>
        <w:t> </w:t>
      </w:r>
      <w:r>
        <w:rPr>
          <w:rFonts w:ascii="Arial"/>
          <w:color w:val="231F20"/>
          <w:sz w:val="16"/>
        </w:rPr>
        <w:t>containers</w:t>
      </w:r>
      <w:r>
        <w:rPr>
          <w:rFonts w:ascii="Arial"/>
          <w:color w:val="231F20"/>
          <w:spacing w:val="-1"/>
          <w:sz w:val="16"/>
        </w:rPr>
        <w:t> </w:t>
      </w:r>
      <w:r>
        <w:rPr>
          <w:rFonts w:ascii="Arial"/>
          <w:color w:val="231F20"/>
          <w:sz w:val="16"/>
        </w:rPr>
        <w:t>stay</w:t>
      </w:r>
      <w:r>
        <w:rPr>
          <w:rFonts w:ascii="Arial"/>
          <w:color w:val="231F20"/>
          <w:spacing w:val="-1"/>
          <w:sz w:val="16"/>
        </w:rPr>
        <w:t> </w:t>
      </w:r>
      <w:r>
        <w:rPr>
          <w:rFonts w:ascii="Arial"/>
          <w:color w:val="231F20"/>
          <w:sz w:val="16"/>
        </w:rPr>
        <w:t>at</w:t>
      </w:r>
      <w:r>
        <w:rPr>
          <w:rFonts w:ascii="Arial"/>
          <w:color w:val="231F20"/>
          <w:spacing w:val="-1"/>
          <w:sz w:val="16"/>
        </w:rPr>
        <w:t> </w:t>
      </w:r>
      <w:r>
        <w:rPr>
          <w:rFonts w:ascii="Arial"/>
          <w:color w:val="231F20"/>
          <w:sz w:val="16"/>
        </w:rPr>
        <w:t>the</w:t>
      </w:r>
      <w:r>
        <w:rPr>
          <w:rFonts w:ascii="Arial"/>
          <w:color w:val="231F20"/>
          <w:spacing w:val="-1"/>
          <w:sz w:val="16"/>
        </w:rPr>
        <w:t> </w:t>
      </w:r>
      <w:r>
        <w:rPr>
          <w:rFonts w:ascii="Arial"/>
          <w:color w:val="231F20"/>
          <w:sz w:val="16"/>
        </w:rPr>
        <w:t>port premises, which reflects other factors beyond productivity, includ- ing time to clear and incentives to remove containers fast.</w:t>
      </w:r>
    </w:p>
    <w:p>
      <w:pPr>
        <w:spacing w:line="352" w:lineRule="auto" w:before="0"/>
        <w:ind w:left="1380" w:right="0" w:firstLine="300"/>
        <w:jc w:val="both"/>
        <w:rPr>
          <w:rFonts w:ascii="Arial"/>
          <w:sz w:val="16"/>
        </w:rPr>
      </w:pPr>
      <w:r>
        <w:rPr>
          <w:rFonts w:ascii="Arial"/>
          <w:color w:val="231F20"/>
          <w:sz w:val="16"/>
        </w:rPr>
        <w:t>UNCTAD publishes the Liner</w:t>
      </w:r>
      <w:r>
        <w:rPr>
          <w:rFonts w:ascii="Arial"/>
          <w:color w:val="231F20"/>
          <w:sz w:val="16"/>
        </w:rPr>
        <w:t> Shipping Connectivity Index, which averages several components, including the number of mari- time</w:t>
      </w:r>
      <w:r>
        <w:rPr>
          <w:rFonts w:ascii="Arial"/>
          <w:color w:val="231F20"/>
          <w:spacing w:val="23"/>
          <w:sz w:val="16"/>
        </w:rPr>
        <w:t> </w:t>
      </w:r>
      <w:r>
        <w:rPr>
          <w:rFonts w:ascii="Arial"/>
          <w:color w:val="231F20"/>
          <w:sz w:val="16"/>
        </w:rPr>
        <w:t>connections</w:t>
      </w:r>
      <w:r>
        <w:rPr>
          <w:rFonts w:ascii="Arial"/>
          <w:color w:val="231F20"/>
          <w:spacing w:val="24"/>
          <w:sz w:val="16"/>
        </w:rPr>
        <w:t> </w:t>
      </w:r>
      <w:r>
        <w:rPr>
          <w:rFonts w:ascii="Arial"/>
          <w:color w:val="231F20"/>
          <w:sz w:val="16"/>
        </w:rPr>
        <w:t>proposed</w:t>
      </w:r>
      <w:r>
        <w:rPr>
          <w:rFonts w:ascii="Arial"/>
          <w:color w:val="231F20"/>
          <w:spacing w:val="23"/>
          <w:sz w:val="16"/>
        </w:rPr>
        <w:t> </w:t>
      </w:r>
      <w:r>
        <w:rPr>
          <w:rFonts w:ascii="Arial"/>
          <w:color w:val="231F20"/>
          <w:sz w:val="16"/>
        </w:rPr>
        <w:t>here</w:t>
      </w:r>
      <w:r>
        <w:rPr>
          <w:rFonts w:ascii="Arial"/>
          <w:color w:val="231F20"/>
          <w:spacing w:val="24"/>
          <w:sz w:val="16"/>
        </w:rPr>
        <w:t> </w:t>
      </w:r>
      <w:r>
        <w:rPr>
          <w:rFonts w:ascii="Arial"/>
          <w:color w:val="231F20"/>
          <w:sz w:val="16"/>
        </w:rPr>
        <w:t>in</w:t>
      </w:r>
      <w:r>
        <w:rPr>
          <w:rFonts w:ascii="Arial"/>
          <w:color w:val="231F20"/>
          <w:spacing w:val="23"/>
          <w:sz w:val="16"/>
        </w:rPr>
        <w:t> </w:t>
      </w:r>
      <w:r>
        <w:rPr>
          <w:rFonts w:ascii="Arial"/>
          <w:color w:val="231F20"/>
          <w:sz w:val="16"/>
        </w:rPr>
        <w:t>the</w:t>
      </w:r>
      <w:r>
        <w:rPr>
          <w:rFonts w:ascii="Arial"/>
          <w:color w:val="231F20"/>
          <w:spacing w:val="24"/>
          <w:sz w:val="16"/>
        </w:rPr>
        <w:t> </w:t>
      </w:r>
      <w:r>
        <w:rPr>
          <w:rFonts w:ascii="Arial"/>
          <w:color w:val="231F20"/>
          <w:sz w:val="16"/>
        </w:rPr>
        <w:t>LPI</w:t>
      </w:r>
      <w:r>
        <w:rPr>
          <w:rFonts w:ascii="Arial"/>
          <w:color w:val="231F20"/>
          <w:spacing w:val="23"/>
          <w:sz w:val="16"/>
        </w:rPr>
        <w:t> </w:t>
      </w:r>
      <w:r>
        <w:rPr>
          <w:rFonts w:ascii="Arial"/>
          <w:color w:val="231F20"/>
          <w:sz w:val="16"/>
        </w:rPr>
        <w:t>2023,</w:t>
      </w:r>
      <w:r>
        <w:rPr>
          <w:rFonts w:ascii="Arial"/>
          <w:color w:val="231F20"/>
          <w:spacing w:val="24"/>
          <w:sz w:val="16"/>
        </w:rPr>
        <w:t> </w:t>
      </w:r>
      <w:r>
        <w:rPr>
          <w:rFonts w:ascii="Arial"/>
          <w:color w:val="231F20"/>
          <w:sz w:val="16"/>
        </w:rPr>
        <w:t>from</w:t>
      </w:r>
      <w:r>
        <w:rPr>
          <w:rFonts w:ascii="Arial"/>
          <w:color w:val="231F20"/>
          <w:spacing w:val="23"/>
          <w:sz w:val="16"/>
        </w:rPr>
        <w:t> </w:t>
      </w:r>
      <w:r>
        <w:rPr>
          <w:rFonts w:ascii="Arial"/>
          <w:color w:val="231F20"/>
          <w:sz w:val="16"/>
        </w:rPr>
        <w:t>the</w:t>
      </w:r>
      <w:r>
        <w:rPr>
          <w:rFonts w:ascii="Arial"/>
          <w:color w:val="231F20"/>
          <w:spacing w:val="24"/>
          <w:sz w:val="16"/>
        </w:rPr>
        <w:t> </w:t>
      </w:r>
      <w:r>
        <w:rPr>
          <w:rFonts w:ascii="Arial"/>
          <w:color w:val="231F20"/>
          <w:spacing w:val="-4"/>
          <w:sz w:val="16"/>
        </w:rPr>
        <w:t>same</w:t>
      </w:r>
    </w:p>
    <w:p>
      <w:pPr>
        <w:spacing w:before="116"/>
        <w:ind w:left="1318" w:right="0" w:firstLine="0"/>
        <w:jc w:val="left"/>
        <w:rPr>
          <w:rFonts w:ascii="Arial"/>
          <w:b/>
          <w:sz w:val="16"/>
        </w:rPr>
      </w:pPr>
      <w:r>
        <w:rPr/>
        <w:br w:type="column"/>
      </w:r>
      <w:r>
        <w:rPr>
          <w:rFonts w:ascii="Arial"/>
          <w:b/>
          <w:color w:val="FFFFFF"/>
          <w:w w:val="105"/>
          <w:sz w:val="16"/>
        </w:rPr>
        <w:t>Data</w:t>
      </w:r>
      <w:r>
        <w:rPr>
          <w:rFonts w:ascii="Arial"/>
          <w:b/>
          <w:color w:val="FFFFFF"/>
          <w:spacing w:val="9"/>
          <w:w w:val="105"/>
          <w:sz w:val="16"/>
        </w:rPr>
        <w:t> </w:t>
      </w:r>
      <w:r>
        <w:rPr>
          <w:rFonts w:ascii="Arial"/>
          <w:b/>
          <w:color w:val="FFFFFF"/>
          <w:w w:val="105"/>
          <w:sz w:val="16"/>
        </w:rPr>
        <w:t>sources</w:t>
      </w:r>
      <w:r>
        <w:rPr>
          <w:rFonts w:ascii="Arial"/>
          <w:b/>
          <w:color w:val="FFFFFF"/>
          <w:spacing w:val="10"/>
          <w:w w:val="105"/>
          <w:sz w:val="16"/>
        </w:rPr>
        <w:t> </w:t>
      </w:r>
      <w:r>
        <w:rPr>
          <w:rFonts w:ascii="Arial"/>
          <w:b/>
          <w:color w:val="FFFFFF"/>
          <w:w w:val="105"/>
          <w:sz w:val="16"/>
        </w:rPr>
        <w:t>and</w:t>
      </w:r>
      <w:r>
        <w:rPr>
          <w:rFonts w:ascii="Arial"/>
          <w:b/>
          <w:color w:val="FFFFFF"/>
          <w:spacing w:val="9"/>
          <w:w w:val="105"/>
          <w:sz w:val="16"/>
        </w:rPr>
        <w:t> </w:t>
      </w:r>
      <w:r>
        <w:rPr>
          <w:rFonts w:ascii="Arial"/>
          <w:b/>
          <w:color w:val="FFFFFF"/>
          <w:spacing w:val="-2"/>
          <w:w w:val="105"/>
          <w:sz w:val="16"/>
        </w:rPr>
        <w:t>partners</w:t>
      </w:r>
    </w:p>
    <w:p>
      <w:pPr>
        <w:pStyle w:val="BodyText"/>
        <w:spacing w:before="10"/>
        <w:rPr>
          <w:rFonts w:ascii="Arial"/>
          <w:b/>
          <w:sz w:val="12"/>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5"/>
        <w:gridCol w:w="2194"/>
        <w:gridCol w:w="1702"/>
      </w:tblGrid>
      <w:tr>
        <w:trPr>
          <w:trHeight w:val="369" w:hRule="atLeast"/>
        </w:trPr>
        <w:tc>
          <w:tcPr>
            <w:tcW w:w="915" w:type="dxa"/>
            <w:tcBorders>
              <w:bottom w:val="single" w:sz="4" w:space="0" w:color="008FDD"/>
            </w:tcBorders>
          </w:tcPr>
          <w:p>
            <w:pPr>
              <w:pStyle w:val="TableParagraph"/>
              <w:spacing w:before="2"/>
              <w:jc w:val="left"/>
              <w:rPr>
                <w:b/>
                <w:sz w:val="14"/>
              </w:rPr>
            </w:pPr>
          </w:p>
          <w:p>
            <w:pPr>
              <w:pStyle w:val="TableParagraph"/>
              <w:spacing w:before="0"/>
              <w:ind w:left="80"/>
              <w:jc w:val="left"/>
              <w:rPr>
                <w:b/>
                <w:sz w:val="14"/>
              </w:rPr>
            </w:pPr>
            <w:r>
              <w:rPr>
                <w:b/>
                <w:color w:val="231F20"/>
                <w:w w:val="80"/>
                <w:sz w:val="14"/>
              </w:rPr>
              <w:t>Source</w:t>
            </w:r>
            <w:r>
              <w:rPr>
                <w:b/>
                <w:color w:val="231F20"/>
                <w:spacing w:val="9"/>
                <w:sz w:val="14"/>
              </w:rPr>
              <w:t> </w:t>
            </w:r>
            <w:r>
              <w:rPr>
                <w:b/>
                <w:color w:val="231F20"/>
                <w:spacing w:val="-4"/>
                <w:w w:val="90"/>
                <w:sz w:val="14"/>
              </w:rPr>
              <w:t>name</w:t>
            </w:r>
          </w:p>
        </w:tc>
        <w:tc>
          <w:tcPr>
            <w:tcW w:w="2194" w:type="dxa"/>
            <w:tcBorders>
              <w:bottom w:val="single" w:sz="4" w:space="0" w:color="008FDD"/>
            </w:tcBorders>
          </w:tcPr>
          <w:p>
            <w:pPr>
              <w:pStyle w:val="TableParagraph"/>
              <w:spacing w:before="2"/>
              <w:jc w:val="left"/>
              <w:rPr>
                <w:b/>
                <w:sz w:val="14"/>
              </w:rPr>
            </w:pPr>
          </w:p>
          <w:p>
            <w:pPr>
              <w:pStyle w:val="TableParagraph"/>
              <w:spacing w:before="0"/>
              <w:ind w:left="85"/>
              <w:jc w:val="left"/>
              <w:rPr>
                <w:b/>
                <w:sz w:val="14"/>
              </w:rPr>
            </w:pPr>
            <w:r>
              <w:rPr>
                <w:b/>
                <w:color w:val="231F20"/>
                <w:w w:val="80"/>
                <w:sz w:val="14"/>
              </w:rPr>
              <w:t>Description</w:t>
            </w:r>
            <w:r>
              <w:rPr>
                <w:b/>
                <w:color w:val="231F20"/>
                <w:spacing w:val="17"/>
                <w:sz w:val="14"/>
              </w:rPr>
              <w:t> </w:t>
            </w:r>
            <w:r>
              <w:rPr>
                <w:b/>
                <w:color w:val="231F20"/>
                <w:w w:val="80"/>
                <w:sz w:val="14"/>
              </w:rPr>
              <w:t>and</w:t>
            </w:r>
            <w:r>
              <w:rPr>
                <w:b/>
                <w:color w:val="231F20"/>
                <w:spacing w:val="17"/>
                <w:sz w:val="14"/>
              </w:rPr>
              <w:t> </w:t>
            </w:r>
            <w:r>
              <w:rPr>
                <w:b/>
                <w:color w:val="231F20"/>
                <w:spacing w:val="-2"/>
                <w:w w:val="80"/>
                <w:sz w:val="14"/>
              </w:rPr>
              <w:t>coverage</w:t>
            </w:r>
          </w:p>
        </w:tc>
        <w:tc>
          <w:tcPr>
            <w:tcW w:w="1702" w:type="dxa"/>
            <w:tcBorders>
              <w:bottom w:val="single" w:sz="4" w:space="0" w:color="008FDD"/>
            </w:tcBorders>
          </w:tcPr>
          <w:p>
            <w:pPr>
              <w:pStyle w:val="TableParagraph"/>
              <w:spacing w:before="3"/>
              <w:ind w:left="87" w:right="225"/>
              <w:jc w:val="left"/>
              <w:rPr>
                <w:b/>
                <w:sz w:val="14"/>
              </w:rPr>
            </w:pPr>
            <w:r>
              <w:rPr>
                <w:b/>
                <w:color w:val="231F20"/>
                <w:w w:val="85"/>
                <w:sz w:val="14"/>
              </w:rPr>
              <w:t>Data</w:t>
            </w:r>
            <w:r>
              <w:rPr>
                <w:b/>
                <w:color w:val="231F20"/>
                <w:spacing w:val="-4"/>
                <w:w w:val="85"/>
                <w:sz w:val="14"/>
              </w:rPr>
              <w:t> </w:t>
            </w:r>
            <w:r>
              <w:rPr>
                <w:b/>
                <w:color w:val="231F20"/>
                <w:w w:val="85"/>
                <w:sz w:val="14"/>
              </w:rPr>
              <w:t>nature</w:t>
            </w:r>
            <w:r>
              <w:rPr>
                <w:b/>
                <w:color w:val="231F20"/>
                <w:spacing w:val="-4"/>
                <w:w w:val="85"/>
                <w:sz w:val="14"/>
              </w:rPr>
              <w:t> </w:t>
            </w:r>
            <w:r>
              <w:rPr>
                <w:b/>
                <w:color w:val="231F20"/>
                <w:w w:val="85"/>
                <w:sz w:val="14"/>
              </w:rPr>
              <w:t>and</w:t>
            </w:r>
            <w:r>
              <w:rPr>
                <w:b/>
                <w:color w:val="231F20"/>
                <w:spacing w:val="-4"/>
                <w:w w:val="85"/>
                <w:sz w:val="14"/>
              </w:rPr>
              <w:t> </w:t>
            </w:r>
            <w:r>
              <w:rPr>
                <w:b/>
                <w:color w:val="231F20"/>
                <w:w w:val="85"/>
                <w:sz w:val="14"/>
              </w:rPr>
              <w:t>period</w:t>
            </w:r>
            <w:r>
              <w:rPr>
                <w:b/>
                <w:color w:val="231F20"/>
                <w:spacing w:val="40"/>
                <w:sz w:val="14"/>
              </w:rPr>
              <w:t> </w:t>
            </w:r>
            <w:r>
              <w:rPr>
                <w:b/>
                <w:color w:val="231F20"/>
                <w:w w:val="95"/>
                <w:sz w:val="14"/>
              </w:rPr>
              <w:t>of</w:t>
            </w:r>
            <w:r>
              <w:rPr>
                <w:b/>
                <w:color w:val="231F20"/>
                <w:spacing w:val="-8"/>
                <w:w w:val="95"/>
                <w:sz w:val="14"/>
              </w:rPr>
              <w:t> </w:t>
            </w:r>
            <w:r>
              <w:rPr>
                <w:b/>
                <w:color w:val="231F20"/>
                <w:w w:val="95"/>
                <w:sz w:val="14"/>
              </w:rPr>
              <w:t>observation</w:t>
            </w:r>
          </w:p>
        </w:tc>
      </w:tr>
      <w:tr>
        <w:trPr>
          <w:trHeight w:val="898" w:hRule="atLeast"/>
        </w:trPr>
        <w:tc>
          <w:tcPr>
            <w:tcW w:w="915" w:type="dxa"/>
            <w:tcBorders>
              <w:top w:val="single" w:sz="4" w:space="0" w:color="008FDD"/>
            </w:tcBorders>
          </w:tcPr>
          <w:p>
            <w:pPr>
              <w:pStyle w:val="TableParagraph"/>
              <w:spacing w:line="160" w:lineRule="exact" w:before="47"/>
              <w:ind w:left="80"/>
              <w:jc w:val="left"/>
              <w:rPr>
                <w:sz w:val="14"/>
              </w:rPr>
            </w:pPr>
            <w:r>
              <w:rPr>
                <w:color w:val="231F20"/>
                <w:spacing w:val="-5"/>
                <w:w w:val="85"/>
                <w:sz w:val="14"/>
              </w:rPr>
              <w:t>MDS</w:t>
            </w:r>
          </w:p>
          <w:p>
            <w:pPr>
              <w:pStyle w:val="TableParagraph"/>
              <w:spacing w:line="160" w:lineRule="exact" w:before="0"/>
              <w:ind w:left="80"/>
              <w:jc w:val="left"/>
              <w:rPr>
                <w:sz w:val="14"/>
              </w:rPr>
            </w:pPr>
            <w:r>
              <w:rPr>
                <w:color w:val="231F20"/>
                <w:spacing w:val="-2"/>
                <w:w w:val="90"/>
                <w:sz w:val="14"/>
              </w:rPr>
              <w:t>Transmodal</w:t>
            </w:r>
          </w:p>
        </w:tc>
        <w:tc>
          <w:tcPr>
            <w:tcW w:w="2194" w:type="dxa"/>
            <w:tcBorders>
              <w:top w:val="single" w:sz="4" w:space="0" w:color="008FDD"/>
            </w:tcBorders>
          </w:tcPr>
          <w:p>
            <w:pPr>
              <w:pStyle w:val="TableParagraph"/>
              <w:spacing w:before="47"/>
              <w:ind w:left="85" w:right="170"/>
              <w:jc w:val="left"/>
              <w:rPr>
                <w:sz w:val="14"/>
              </w:rPr>
            </w:pPr>
            <w:r>
              <w:rPr>
                <w:color w:val="231F20"/>
                <w:w w:val="85"/>
                <w:sz w:val="14"/>
              </w:rPr>
              <w:t>Deployed capacity and information</w:t>
            </w:r>
            <w:r>
              <w:rPr>
                <w:color w:val="231F20"/>
                <w:spacing w:val="40"/>
                <w:sz w:val="14"/>
              </w:rPr>
              <w:t> </w:t>
            </w:r>
            <w:r>
              <w:rPr>
                <w:color w:val="231F20"/>
                <w:w w:val="85"/>
                <w:sz w:val="14"/>
              </w:rPr>
              <w:t>on ship parameters and operators</w:t>
            </w:r>
            <w:r>
              <w:rPr>
                <w:color w:val="231F20"/>
                <w:spacing w:val="40"/>
                <w:sz w:val="14"/>
              </w:rPr>
              <w:t> </w:t>
            </w:r>
            <w:r>
              <w:rPr>
                <w:color w:val="231F20"/>
                <w:w w:val="85"/>
                <w:sz w:val="14"/>
              </w:rPr>
              <w:t>servicing countries by regular</w:t>
            </w:r>
            <w:r>
              <w:rPr>
                <w:color w:val="231F20"/>
                <w:spacing w:val="40"/>
                <w:sz w:val="14"/>
              </w:rPr>
              <w:t> </w:t>
            </w:r>
            <w:r>
              <w:rPr>
                <w:color w:val="231F20"/>
                <w:w w:val="80"/>
                <w:sz w:val="14"/>
              </w:rPr>
              <w:t>containerized liner shipping services.</w:t>
            </w:r>
          </w:p>
        </w:tc>
        <w:tc>
          <w:tcPr>
            <w:tcW w:w="1702" w:type="dxa"/>
            <w:tcBorders>
              <w:top w:val="single" w:sz="4" w:space="0" w:color="008FDD"/>
            </w:tcBorders>
          </w:tcPr>
          <w:p>
            <w:pPr>
              <w:pStyle w:val="TableParagraph"/>
              <w:spacing w:before="47"/>
              <w:ind w:left="87" w:right="58"/>
              <w:jc w:val="left"/>
              <w:rPr>
                <w:sz w:val="14"/>
              </w:rPr>
            </w:pPr>
            <w:r>
              <w:rPr>
                <w:color w:val="231F20"/>
                <w:w w:val="80"/>
                <w:sz w:val="14"/>
              </w:rPr>
              <w:t>Deployed capacity and the list</w:t>
            </w:r>
            <w:r>
              <w:rPr>
                <w:color w:val="231F20"/>
                <w:spacing w:val="40"/>
                <w:sz w:val="14"/>
              </w:rPr>
              <w:t> </w:t>
            </w:r>
            <w:r>
              <w:rPr>
                <w:color w:val="231F20"/>
                <w:spacing w:val="-2"/>
                <w:w w:val="80"/>
                <w:sz w:val="14"/>
              </w:rPr>
              <w:t>of countries that are connected</w:t>
            </w:r>
            <w:r>
              <w:rPr>
                <w:color w:val="231F20"/>
                <w:spacing w:val="40"/>
                <w:sz w:val="14"/>
              </w:rPr>
              <w:t> </w:t>
            </w:r>
            <w:r>
              <w:rPr>
                <w:color w:val="231F20"/>
                <w:spacing w:val="-2"/>
                <w:w w:val="90"/>
                <w:sz w:val="14"/>
              </w:rPr>
              <w:t>to</w:t>
            </w:r>
            <w:r>
              <w:rPr>
                <w:color w:val="231F20"/>
                <w:spacing w:val="-3"/>
                <w:w w:val="90"/>
                <w:sz w:val="14"/>
              </w:rPr>
              <w:t> </w:t>
            </w:r>
            <w:r>
              <w:rPr>
                <w:color w:val="231F20"/>
                <w:spacing w:val="-2"/>
                <w:w w:val="90"/>
                <w:sz w:val="14"/>
              </w:rPr>
              <w:t>each</w:t>
            </w:r>
            <w:r>
              <w:rPr>
                <w:color w:val="231F20"/>
                <w:spacing w:val="-3"/>
                <w:w w:val="90"/>
                <w:sz w:val="14"/>
              </w:rPr>
              <w:t> </w:t>
            </w:r>
            <w:r>
              <w:rPr>
                <w:color w:val="231F20"/>
                <w:spacing w:val="-2"/>
                <w:w w:val="90"/>
                <w:sz w:val="14"/>
              </w:rPr>
              <w:t>other</w:t>
            </w:r>
            <w:r>
              <w:rPr>
                <w:color w:val="231F20"/>
                <w:spacing w:val="-3"/>
                <w:w w:val="90"/>
                <w:sz w:val="14"/>
              </w:rPr>
              <w:t> </w:t>
            </w:r>
            <w:r>
              <w:rPr>
                <w:color w:val="231F20"/>
                <w:spacing w:val="-2"/>
                <w:w w:val="90"/>
                <w:sz w:val="14"/>
              </w:rPr>
              <w:t>through</w:t>
            </w:r>
            <w:r>
              <w:rPr>
                <w:color w:val="231F20"/>
                <w:spacing w:val="-3"/>
                <w:w w:val="90"/>
                <w:sz w:val="14"/>
              </w:rPr>
              <w:t> </w:t>
            </w:r>
            <w:r>
              <w:rPr>
                <w:color w:val="231F20"/>
                <w:spacing w:val="-2"/>
                <w:w w:val="90"/>
                <w:sz w:val="14"/>
              </w:rPr>
              <w:t>direct</w:t>
            </w:r>
            <w:r>
              <w:rPr>
                <w:color w:val="231F20"/>
                <w:spacing w:val="40"/>
                <w:sz w:val="14"/>
              </w:rPr>
              <w:t> </w:t>
            </w:r>
            <w:r>
              <w:rPr>
                <w:color w:val="231F20"/>
                <w:w w:val="85"/>
                <w:sz w:val="14"/>
              </w:rPr>
              <w:t>liner shipping services (first</w:t>
            </w:r>
            <w:r>
              <w:rPr>
                <w:color w:val="231F20"/>
                <w:spacing w:val="40"/>
                <w:sz w:val="14"/>
              </w:rPr>
              <w:t> </w:t>
            </w:r>
            <w:r>
              <w:rPr>
                <w:color w:val="231F20"/>
                <w:w w:val="80"/>
                <w:sz w:val="14"/>
              </w:rPr>
              <w:t>and second quarters of 2022)</w:t>
            </w:r>
          </w:p>
        </w:tc>
      </w:tr>
      <w:tr>
        <w:trPr>
          <w:trHeight w:val="899" w:hRule="atLeast"/>
        </w:trPr>
        <w:tc>
          <w:tcPr>
            <w:tcW w:w="915" w:type="dxa"/>
            <w:shd w:val="clear" w:color="auto" w:fill="D4E3F5"/>
          </w:tcPr>
          <w:p>
            <w:pPr>
              <w:pStyle w:val="TableParagraph"/>
              <w:ind w:left="80"/>
              <w:jc w:val="left"/>
              <w:rPr>
                <w:sz w:val="14"/>
              </w:rPr>
            </w:pPr>
            <w:r>
              <w:rPr>
                <w:color w:val="231F20"/>
                <w:w w:val="75"/>
                <w:sz w:val="14"/>
              </w:rPr>
              <w:t>Cargo</w:t>
            </w:r>
            <w:r>
              <w:rPr>
                <w:color w:val="231F20"/>
                <w:spacing w:val="4"/>
                <w:sz w:val="14"/>
              </w:rPr>
              <w:t> </w:t>
            </w:r>
            <w:r>
              <w:rPr>
                <w:color w:val="231F20"/>
                <w:spacing w:val="-5"/>
                <w:w w:val="85"/>
                <w:sz w:val="14"/>
              </w:rPr>
              <w:t>iQ</w:t>
            </w:r>
          </w:p>
        </w:tc>
        <w:tc>
          <w:tcPr>
            <w:tcW w:w="2194" w:type="dxa"/>
            <w:shd w:val="clear" w:color="auto" w:fill="D4E3F5"/>
          </w:tcPr>
          <w:p>
            <w:pPr>
              <w:pStyle w:val="TableParagraph"/>
              <w:ind w:left="85" w:right="170"/>
              <w:jc w:val="left"/>
              <w:rPr>
                <w:sz w:val="14"/>
              </w:rPr>
            </w:pPr>
            <w:r>
              <w:rPr>
                <w:color w:val="231F20"/>
                <w:w w:val="85"/>
                <w:sz w:val="14"/>
              </w:rPr>
              <w:t>System of shipment planning and</w:t>
            </w:r>
            <w:r>
              <w:rPr>
                <w:color w:val="231F20"/>
                <w:spacing w:val="40"/>
                <w:sz w:val="14"/>
              </w:rPr>
              <w:t> </w:t>
            </w:r>
            <w:r>
              <w:rPr>
                <w:color w:val="231F20"/>
                <w:w w:val="80"/>
                <w:sz w:val="14"/>
              </w:rPr>
              <w:t>performance monitoring for air cargo</w:t>
            </w:r>
            <w:r>
              <w:rPr>
                <w:color w:val="231F20"/>
                <w:spacing w:val="40"/>
                <w:sz w:val="14"/>
              </w:rPr>
              <w:t> </w:t>
            </w:r>
            <w:r>
              <w:rPr>
                <w:color w:val="231F20"/>
                <w:w w:val="85"/>
                <w:sz w:val="14"/>
              </w:rPr>
              <w:t>based on definitions of common</w:t>
            </w:r>
            <w:r>
              <w:rPr>
                <w:color w:val="231F20"/>
                <w:spacing w:val="40"/>
                <w:sz w:val="14"/>
              </w:rPr>
              <w:t> </w:t>
            </w:r>
            <w:r>
              <w:rPr>
                <w:color w:val="231F20"/>
                <w:w w:val="80"/>
                <w:sz w:val="14"/>
              </w:rPr>
              <w:t>business processes and milestones.</w:t>
            </w:r>
          </w:p>
        </w:tc>
        <w:tc>
          <w:tcPr>
            <w:tcW w:w="1702" w:type="dxa"/>
            <w:shd w:val="clear" w:color="auto" w:fill="D4E3F5"/>
          </w:tcPr>
          <w:p>
            <w:pPr>
              <w:pStyle w:val="TableParagraph"/>
              <w:ind w:left="87" w:right="58"/>
              <w:jc w:val="left"/>
              <w:rPr>
                <w:sz w:val="14"/>
              </w:rPr>
            </w:pPr>
            <w:r>
              <w:rPr>
                <w:color w:val="231F20"/>
                <w:w w:val="90"/>
                <w:sz w:val="14"/>
              </w:rPr>
              <w:t>Time</w:t>
            </w:r>
            <w:r>
              <w:rPr>
                <w:color w:val="231F20"/>
                <w:spacing w:val="-4"/>
                <w:w w:val="90"/>
                <w:sz w:val="14"/>
              </w:rPr>
              <w:t> </w:t>
            </w:r>
            <w:r>
              <w:rPr>
                <w:color w:val="231F20"/>
                <w:w w:val="90"/>
                <w:sz w:val="14"/>
              </w:rPr>
              <w:t>difference</w:t>
            </w:r>
            <w:r>
              <w:rPr>
                <w:color w:val="231F20"/>
                <w:spacing w:val="-4"/>
                <w:w w:val="90"/>
                <w:sz w:val="14"/>
              </w:rPr>
              <w:t> </w:t>
            </w:r>
            <w:r>
              <w:rPr>
                <w:color w:val="231F20"/>
                <w:w w:val="90"/>
                <w:sz w:val="14"/>
              </w:rPr>
              <w:t>between</w:t>
            </w:r>
            <w:r>
              <w:rPr>
                <w:color w:val="231F20"/>
                <w:spacing w:val="40"/>
                <w:sz w:val="14"/>
              </w:rPr>
              <w:t> </w:t>
            </w:r>
            <w:r>
              <w:rPr>
                <w:color w:val="231F20"/>
                <w:w w:val="80"/>
                <w:sz w:val="14"/>
              </w:rPr>
              <w:t>notification for readiness and</w:t>
            </w:r>
            <w:r>
              <w:rPr>
                <w:color w:val="231F20"/>
                <w:spacing w:val="40"/>
                <w:sz w:val="14"/>
              </w:rPr>
              <w:t> </w:t>
            </w:r>
            <w:r>
              <w:rPr>
                <w:color w:val="231F20"/>
                <w:w w:val="85"/>
                <w:sz w:val="14"/>
              </w:rPr>
              <w:t>delivery</w:t>
            </w:r>
            <w:r>
              <w:rPr>
                <w:color w:val="231F20"/>
                <w:spacing w:val="-4"/>
                <w:w w:val="85"/>
                <w:sz w:val="14"/>
              </w:rPr>
              <w:t> </w:t>
            </w:r>
            <w:r>
              <w:rPr>
                <w:color w:val="231F20"/>
                <w:w w:val="85"/>
                <w:sz w:val="14"/>
              </w:rPr>
              <w:t>to</w:t>
            </w:r>
            <w:r>
              <w:rPr>
                <w:color w:val="231F20"/>
                <w:spacing w:val="-4"/>
                <w:w w:val="85"/>
                <w:sz w:val="14"/>
              </w:rPr>
              <w:t> </w:t>
            </w:r>
            <w:r>
              <w:rPr>
                <w:color w:val="231F20"/>
                <w:w w:val="85"/>
                <w:sz w:val="14"/>
              </w:rPr>
              <w:t>consignee/agent</w:t>
            </w:r>
            <w:r>
              <w:rPr>
                <w:color w:val="231F20"/>
                <w:spacing w:val="40"/>
                <w:sz w:val="14"/>
              </w:rPr>
              <w:t> </w:t>
            </w:r>
            <w:r>
              <w:rPr>
                <w:color w:val="231F20"/>
                <w:w w:val="90"/>
                <w:sz w:val="14"/>
              </w:rPr>
              <w:t>(four</w:t>
            </w:r>
            <w:r>
              <w:rPr>
                <w:color w:val="231F20"/>
                <w:spacing w:val="-5"/>
                <w:w w:val="90"/>
                <w:sz w:val="14"/>
              </w:rPr>
              <w:t> </w:t>
            </w:r>
            <w:r>
              <w:rPr>
                <w:color w:val="231F20"/>
                <w:w w:val="90"/>
                <w:sz w:val="14"/>
              </w:rPr>
              <w:t>quarters</w:t>
            </w:r>
            <w:r>
              <w:rPr>
                <w:color w:val="231F20"/>
                <w:spacing w:val="-5"/>
                <w:w w:val="90"/>
                <w:sz w:val="14"/>
              </w:rPr>
              <w:t> </w:t>
            </w:r>
            <w:r>
              <w:rPr>
                <w:color w:val="231F20"/>
                <w:w w:val="90"/>
                <w:sz w:val="14"/>
              </w:rPr>
              <w:t>of</w:t>
            </w:r>
            <w:r>
              <w:rPr>
                <w:color w:val="231F20"/>
                <w:spacing w:val="-5"/>
                <w:w w:val="90"/>
                <w:sz w:val="14"/>
              </w:rPr>
              <w:t> </w:t>
            </w:r>
            <w:r>
              <w:rPr>
                <w:color w:val="231F20"/>
                <w:w w:val="90"/>
                <w:sz w:val="14"/>
              </w:rPr>
              <w:t>2019</w:t>
            </w:r>
            <w:r>
              <w:rPr>
                <w:color w:val="231F20"/>
                <w:spacing w:val="-5"/>
                <w:w w:val="90"/>
                <w:sz w:val="14"/>
              </w:rPr>
              <w:t> </w:t>
            </w:r>
            <w:r>
              <w:rPr>
                <w:color w:val="231F20"/>
                <w:w w:val="90"/>
                <w:sz w:val="14"/>
              </w:rPr>
              <w:t>and</w:t>
            </w:r>
            <w:r>
              <w:rPr>
                <w:color w:val="231F20"/>
                <w:spacing w:val="40"/>
                <w:sz w:val="14"/>
              </w:rPr>
              <w:t> </w:t>
            </w:r>
            <w:r>
              <w:rPr>
                <w:color w:val="231F20"/>
                <w:w w:val="90"/>
                <w:sz w:val="14"/>
              </w:rPr>
              <w:t>second quarter of 2022)</w:t>
            </w:r>
          </w:p>
        </w:tc>
      </w:tr>
      <w:tr>
        <w:trPr>
          <w:trHeight w:val="1059" w:hRule="atLeast"/>
        </w:trPr>
        <w:tc>
          <w:tcPr>
            <w:tcW w:w="915" w:type="dxa"/>
          </w:tcPr>
          <w:p>
            <w:pPr>
              <w:pStyle w:val="TableParagraph"/>
              <w:ind w:left="80" w:right="77"/>
              <w:jc w:val="left"/>
              <w:rPr>
                <w:sz w:val="14"/>
              </w:rPr>
            </w:pPr>
            <w:r>
              <w:rPr>
                <w:color w:val="231F20"/>
                <w:spacing w:val="-2"/>
                <w:w w:val="85"/>
                <w:sz w:val="14"/>
              </w:rPr>
              <w:t>Universal</w:t>
            </w:r>
            <w:r>
              <w:rPr>
                <w:color w:val="231F20"/>
                <w:spacing w:val="40"/>
                <w:sz w:val="14"/>
              </w:rPr>
              <w:t> </w:t>
            </w:r>
            <w:r>
              <w:rPr>
                <w:color w:val="231F20"/>
                <w:spacing w:val="-2"/>
                <w:w w:val="80"/>
                <w:sz w:val="14"/>
              </w:rPr>
              <w:t>Postal</w:t>
            </w:r>
            <w:r>
              <w:rPr>
                <w:color w:val="231F20"/>
                <w:spacing w:val="-8"/>
                <w:sz w:val="14"/>
              </w:rPr>
              <w:t> </w:t>
            </w:r>
            <w:r>
              <w:rPr>
                <w:color w:val="231F20"/>
                <w:spacing w:val="-2"/>
                <w:w w:val="80"/>
                <w:sz w:val="14"/>
              </w:rPr>
              <w:t>Union</w:t>
            </w:r>
          </w:p>
        </w:tc>
        <w:tc>
          <w:tcPr>
            <w:tcW w:w="2194" w:type="dxa"/>
          </w:tcPr>
          <w:p>
            <w:pPr>
              <w:pStyle w:val="TableParagraph"/>
              <w:ind w:left="85"/>
              <w:jc w:val="left"/>
              <w:rPr>
                <w:sz w:val="14"/>
              </w:rPr>
            </w:pPr>
            <w:r>
              <w:rPr>
                <w:color w:val="231F20"/>
                <w:w w:val="85"/>
                <w:sz w:val="14"/>
              </w:rPr>
              <w:t>Data from the Express Mail Service</w:t>
            </w:r>
            <w:r>
              <w:rPr>
                <w:color w:val="231F20"/>
                <w:spacing w:val="40"/>
                <w:sz w:val="14"/>
              </w:rPr>
              <w:t> </w:t>
            </w:r>
            <w:r>
              <w:rPr>
                <w:color w:val="231F20"/>
                <w:w w:val="85"/>
                <w:sz w:val="14"/>
              </w:rPr>
              <w:t>Events message category of the</w:t>
            </w:r>
            <w:r>
              <w:rPr>
                <w:color w:val="231F20"/>
                <w:spacing w:val="40"/>
                <w:sz w:val="14"/>
              </w:rPr>
              <w:t> </w:t>
            </w:r>
            <w:r>
              <w:rPr>
                <w:color w:val="231F20"/>
                <w:w w:val="85"/>
                <w:sz w:val="14"/>
              </w:rPr>
              <w:t>Electronic Data Interchange protocol</w:t>
            </w:r>
            <w:r>
              <w:rPr>
                <w:color w:val="231F20"/>
                <w:spacing w:val="40"/>
                <w:sz w:val="14"/>
              </w:rPr>
              <w:t> </w:t>
            </w:r>
            <w:r>
              <w:rPr>
                <w:color w:val="231F20"/>
                <w:w w:val="85"/>
                <w:sz w:val="14"/>
              </w:rPr>
              <w:t>used to track individual express mail</w:t>
            </w:r>
            <w:r>
              <w:rPr>
                <w:color w:val="231F20"/>
                <w:spacing w:val="40"/>
                <w:sz w:val="14"/>
              </w:rPr>
              <w:t> </w:t>
            </w:r>
            <w:r>
              <w:rPr>
                <w:color w:val="231F20"/>
                <w:w w:val="85"/>
                <w:sz w:val="14"/>
              </w:rPr>
              <w:t>service and parcel items, as well as</w:t>
            </w:r>
            <w:r>
              <w:rPr>
                <w:color w:val="231F20"/>
                <w:spacing w:val="40"/>
                <w:sz w:val="14"/>
              </w:rPr>
              <w:t> </w:t>
            </w:r>
            <w:r>
              <w:rPr>
                <w:color w:val="231F20"/>
                <w:w w:val="80"/>
                <w:sz w:val="14"/>
              </w:rPr>
              <w:t>registered, insured, and express letters.</w:t>
            </w:r>
          </w:p>
        </w:tc>
        <w:tc>
          <w:tcPr>
            <w:tcW w:w="1702" w:type="dxa"/>
          </w:tcPr>
          <w:p>
            <w:pPr>
              <w:pStyle w:val="TableParagraph"/>
              <w:ind w:left="87" w:right="350"/>
              <w:jc w:val="both"/>
              <w:rPr>
                <w:sz w:val="14"/>
              </w:rPr>
            </w:pPr>
            <w:r>
              <w:rPr>
                <w:color w:val="231F20"/>
                <w:w w:val="80"/>
                <w:sz w:val="14"/>
              </w:rPr>
              <w:t>Time</w:t>
            </w:r>
            <w:r>
              <w:rPr>
                <w:color w:val="231F20"/>
                <w:spacing w:val="-1"/>
                <w:w w:val="80"/>
                <w:sz w:val="14"/>
              </w:rPr>
              <w:t> </w:t>
            </w:r>
            <w:r>
              <w:rPr>
                <w:color w:val="231F20"/>
                <w:w w:val="80"/>
                <w:sz w:val="14"/>
              </w:rPr>
              <w:t>difference</w:t>
            </w:r>
            <w:r>
              <w:rPr>
                <w:color w:val="231F20"/>
                <w:spacing w:val="-1"/>
                <w:w w:val="80"/>
                <w:sz w:val="14"/>
              </w:rPr>
              <w:t> </w:t>
            </w:r>
            <w:r>
              <w:rPr>
                <w:color w:val="231F20"/>
                <w:w w:val="80"/>
                <w:sz w:val="14"/>
              </w:rPr>
              <w:t>between</w:t>
            </w:r>
            <w:r>
              <w:rPr>
                <w:color w:val="231F20"/>
                <w:spacing w:val="40"/>
                <w:sz w:val="14"/>
              </w:rPr>
              <w:t> </w:t>
            </w:r>
            <w:r>
              <w:rPr>
                <w:color w:val="231F20"/>
                <w:w w:val="80"/>
                <w:sz w:val="14"/>
              </w:rPr>
              <w:t>arrival at inward office of</w:t>
            </w:r>
            <w:r>
              <w:rPr>
                <w:color w:val="231F20"/>
                <w:spacing w:val="40"/>
                <w:sz w:val="14"/>
              </w:rPr>
              <w:t> </w:t>
            </w:r>
            <w:r>
              <w:rPr>
                <w:color w:val="231F20"/>
                <w:w w:val="80"/>
                <w:sz w:val="14"/>
              </w:rPr>
              <w:t>exchange</w:t>
            </w:r>
            <w:r>
              <w:rPr>
                <w:color w:val="231F20"/>
                <w:spacing w:val="-2"/>
                <w:w w:val="80"/>
                <w:sz w:val="14"/>
              </w:rPr>
              <w:t> </w:t>
            </w:r>
            <w:r>
              <w:rPr>
                <w:color w:val="231F20"/>
                <w:w w:val="80"/>
                <w:sz w:val="14"/>
              </w:rPr>
              <w:t>and</w:t>
            </w:r>
            <w:r>
              <w:rPr>
                <w:color w:val="231F20"/>
                <w:spacing w:val="-2"/>
                <w:w w:val="80"/>
                <w:sz w:val="14"/>
              </w:rPr>
              <w:t> </w:t>
            </w:r>
            <w:r>
              <w:rPr>
                <w:color w:val="231F20"/>
                <w:w w:val="80"/>
                <w:sz w:val="14"/>
              </w:rPr>
              <w:t>attempted</w:t>
            </w:r>
            <w:r>
              <w:rPr>
                <w:color w:val="231F20"/>
                <w:spacing w:val="40"/>
                <w:sz w:val="14"/>
              </w:rPr>
              <w:t> </w:t>
            </w:r>
            <w:r>
              <w:rPr>
                <w:color w:val="231F20"/>
                <w:w w:val="80"/>
                <w:sz w:val="14"/>
              </w:rPr>
              <w:t>and final delivery (2019)</w:t>
            </w:r>
          </w:p>
        </w:tc>
      </w:tr>
      <w:tr>
        <w:trPr>
          <w:trHeight w:val="1379" w:hRule="atLeast"/>
        </w:trPr>
        <w:tc>
          <w:tcPr>
            <w:tcW w:w="915" w:type="dxa"/>
            <w:shd w:val="clear" w:color="auto" w:fill="D4E3F5"/>
          </w:tcPr>
          <w:p>
            <w:pPr>
              <w:pStyle w:val="TableParagraph"/>
              <w:ind w:left="80"/>
              <w:jc w:val="left"/>
              <w:rPr>
                <w:sz w:val="14"/>
              </w:rPr>
            </w:pPr>
            <w:r>
              <w:rPr>
                <w:color w:val="231F20"/>
                <w:spacing w:val="-2"/>
                <w:w w:val="85"/>
                <w:sz w:val="14"/>
              </w:rPr>
              <w:t>TradeLens</w:t>
            </w:r>
          </w:p>
        </w:tc>
        <w:tc>
          <w:tcPr>
            <w:tcW w:w="2194" w:type="dxa"/>
            <w:shd w:val="clear" w:color="auto" w:fill="D4E3F5"/>
          </w:tcPr>
          <w:p>
            <w:pPr>
              <w:pStyle w:val="TableParagraph"/>
              <w:ind w:left="85" w:right="51"/>
              <w:jc w:val="left"/>
              <w:rPr>
                <w:sz w:val="14"/>
              </w:rPr>
            </w:pPr>
            <w:r>
              <w:rPr>
                <w:color w:val="231F20"/>
                <w:w w:val="80"/>
                <w:sz w:val="14"/>
              </w:rPr>
              <w:t>Blockchain-based data- and document-</w:t>
            </w:r>
            <w:r>
              <w:rPr>
                <w:color w:val="231F20"/>
                <w:spacing w:val="40"/>
                <w:sz w:val="14"/>
              </w:rPr>
              <w:t> </w:t>
            </w:r>
            <w:r>
              <w:rPr>
                <w:color w:val="231F20"/>
                <w:w w:val="85"/>
                <w:sz w:val="14"/>
              </w:rPr>
              <w:t>sharing platform aiming at simplifying</w:t>
            </w:r>
            <w:r>
              <w:rPr>
                <w:color w:val="231F20"/>
                <w:spacing w:val="40"/>
                <w:sz w:val="14"/>
              </w:rPr>
              <w:t> </w:t>
            </w:r>
            <w:r>
              <w:rPr>
                <w:color w:val="231F20"/>
                <w:w w:val="85"/>
                <w:sz w:val="14"/>
              </w:rPr>
              <w:t>and speeding trade workflows for</w:t>
            </w:r>
            <w:r>
              <w:rPr>
                <w:color w:val="231F20"/>
                <w:spacing w:val="40"/>
                <w:sz w:val="14"/>
              </w:rPr>
              <w:t> </w:t>
            </w:r>
            <w:r>
              <w:rPr>
                <w:color w:val="231F20"/>
                <w:w w:val="85"/>
                <w:sz w:val="14"/>
              </w:rPr>
              <w:t>participants in the supply chain</w:t>
            </w:r>
            <w:r>
              <w:rPr>
                <w:color w:val="231F20"/>
                <w:spacing w:val="40"/>
                <w:sz w:val="14"/>
              </w:rPr>
              <w:t> </w:t>
            </w:r>
            <w:r>
              <w:rPr>
                <w:color w:val="231F20"/>
                <w:w w:val="85"/>
                <w:sz w:val="14"/>
              </w:rPr>
              <w:t>ecosystem. The TradeLens dataset</w:t>
            </w:r>
            <w:r>
              <w:rPr>
                <w:color w:val="231F20"/>
                <w:spacing w:val="40"/>
                <w:sz w:val="14"/>
              </w:rPr>
              <w:t> </w:t>
            </w:r>
            <w:r>
              <w:rPr>
                <w:color w:val="231F20"/>
                <w:w w:val="80"/>
                <w:sz w:val="14"/>
              </w:rPr>
              <w:t>used covers about 20 percent of global</w:t>
            </w:r>
            <w:r>
              <w:rPr>
                <w:color w:val="231F20"/>
                <w:spacing w:val="40"/>
                <w:sz w:val="14"/>
              </w:rPr>
              <w:t> </w:t>
            </w:r>
            <w:r>
              <w:rPr>
                <w:color w:val="231F20"/>
                <w:w w:val="85"/>
                <w:sz w:val="14"/>
              </w:rPr>
              <w:t>containerized shipping during the</w:t>
            </w:r>
            <w:r>
              <w:rPr>
                <w:color w:val="231F20"/>
                <w:spacing w:val="40"/>
                <w:sz w:val="14"/>
              </w:rPr>
              <w:t> </w:t>
            </w:r>
            <w:r>
              <w:rPr>
                <w:color w:val="231F20"/>
                <w:w w:val="85"/>
                <w:sz w:val="14"/>
              </w:rPr>
              <w:t>period covered (May–October 2022).</w:t>
            </w:r>
          </w:p>
        </w:tc>
        <w:tc>
          <w:tcPr>
            <w:tcW w:w="1702" w:type="dxa"/>
            <w:shd w:val="clear" w:color="auto" w:fill="D4E3F5"/>
          </w:tcPr>
          <w:p>
            <w:pPr>
              <w:pStyle w:val="TableParagraph"/>
              <w:ind w:left="87" w:right="58"/>
              <w:jc w:val="left"/>
              <w:rPr>
                <w:sz w:val="14"/>
              </w:rPr>
            </w:pPr>
            <w:r>
              <w:rPr>
                <w:color w:val="231F20"/>
                <w:w w:val="90"/>
                <w:sz w:val="14"/>
              </w:rPr>
              <w:t>Timestamps of transport</w:t>
            </w:r>
            <w:r>
              <w:rPr>
                <w:color w:val="231F20"/>
                <w:spacing w:val="40"/>
                <w:sz w:val="14"/>
              </w:rPr>
              <w:t> </w:t>
            </w:r>
            <w:r>
              <w:rPr>
                <w:color w:val="231F20"/>
                <w:w w:val="80"/>
                <w:sz w:val="14"/>
              </w:rPr>
              <w:t>events</w:t>
            </w:r>
            <w:r>
              <w:rPr>
                <w:color w:val="231F20"/>
                <w:spacing w:val="-2"/>
                <w:w w:val="80"/>
                <w:sz w:val="14"/>
              </w:rPr>
              <w:t> </w:t>
            </w:r>
            <w:r>
              <w:rPr>
                <w:color w:val="231F20"/>
                <w:w w:val="80"/>
                <w:sz w:val="14"/>
              </w:rPr>
              <w:t>associated</w:t>
            </w:r>
            <w:r>
              <w:rPr>
                <w:color w:val="231F20"/>
                <w:spacing w:val="-2"/>
                <w:w w:val="80"/>
                <w:sz w:val="14"/>
              </w:rPr>
              <w:t> </w:t>
            </w:r>
            <w:r>
              <w:rPr>
                <w:color w:val="231F20"/>
                <w:w w:val="80"/>
                <w:sz w:val="14"/>
              </w:rPr>
              <w:t>with</w:t>
            </w:r>
            <w:r>
              <w:rPr>
                <w:color w:val="231F20"/>
                <w:spacing w:val="-2"/>
                <w:w w:val="80"/>
                <w:sz w:val="14"/>
              </w:rPr>
              <w:t> </w:t>
            </w:r>
            <w:r>
              <w:rPr>
                <w:color w:val="231F20"/>
                <w:w w:val="80"/>
                <w:sz w:val="14"/>
              </w:rPr>
              <w:t>each</w:t>
            </w:r>
            <w:r>
              <w:rPr>
                <w:color w:val="231F20"/>
                <w:spacing w:val="40"/>
                <w:sz w:val="14"/>
              </w:rPr>
              <w:t> </w:t>
            </w:r>
            <w:r>
              <w:rPr>
                <w:color w:val="231F20"/>
                <w:w w:val="80"/>
                <w:sz w:val="14"/>
              </w:rPr>
              <w:t>consignment and container</w:t>
            </w:r>
            <w:r>
              <w:rPr>
                <w:color w:val="231F20"/>
                <w:spacing w:val="40"/>
                <w:sz w:val="14"/>
              </w:rPr>
              <w:t> </w:t>
            </w:r>
            <w:r>
              <w:rPr>
                <w:color w:val="231F20"/>
                <w:w w:val="90"/>
                <w:sz w:val="14"/>
              </w:rPr>
              <w:t>(May–October</w:t>
            </w:r>
            <w:r>
              <w:rPr>
                <w:color w:val="231F20"/>
                <w:spacing w:val="-6"/>
                <w:w w:val="90"/>
                <w:sz w:val="14"/>
              </w:rPr>
              <w:t> </w:t>
            </w:r>
            <w:r>
              <w:rPr>
                <w:color w:val="231F20"/>
                <w:w w:val="90"/>
                <w:sz w:val="14"/>
              </w:rPr>
              <w:t>2022)</w:t>
            </w:r>
          </w:p>
        </w:tc>
      </w:tr>
      <w:tr>
        <w:trPr>
          <w:trHeight w:val="574" w:hRule="atLeast"/>
        </w:trPr>
        <w:tc>
          <w:tcPr>
            <w:tcW w:w="915" w:type="dxa"/>
            <w:tcBorders>
              <w:bottom w:val="single" w:sz="4" w:space="0" w:color="008FDD"/>
            </w:tcBorders>
          </w:tcPr>
          <w:p>
            <w:pPr>
              <w:pStyle w:val="TableParagraph"/>
              <w:ind w:left="80"/>
              <w:jc w:val="left"/>
              <w:rPr>
                <w:sz w:val="14"/>
              </w:rPr>
            </w:pPr>
            <w:r>
              <w:rPr>
                <w:color w:val="231F20"/>
                <w:spacing w:val="-2"/>
                <w:w w:val="90"/>
                <w:sz w:val="14"/>
              </w:rPr>
              <w:t>MarineTraffic</w:t>
            </w:r>
          </w:p>
        </w:tc>
        <w:tc>
          <w:tcPr>
            <w:tcW w:w="2194" w:type="dxa"/>
            <w:tcBorders>
              <w:bottom w:val="single" w:sz="4" w:space="0" w:color="008FDD"/>
            </w:tcBorders>
          </w:tcPr>
          <w:p>
            <w:pPr>
              <w:pStyle w:val="TableParagraph"/>
              <w:ind w:left="85" w:right="751"/>
              <w:jc w:val="both"/>
              <w:rPr>
                <w:sz w:val="14"/>
              </w:rPr>
            </w:pPr>
            <w:r>
              <w:rPr>
                <w:color w:val="231F20"/>
                <w:w w:val="85"/>
                <w:sz w:val="14"/>
              </w:rPr>
              <w:t>Port</w:t>
            </w:r>
            <w:r>
              <w:rPr>
                <w:color w:val="231F20"/>
                <w:spacing w:val="-4"/>
                <w:w w:val="85"/>
                <w:sz w:val="14"/>
              </w:rPr>
              <w:t> </w:t>
            </w:r>
            <w:r>
              <w:rPr>
                <w:color w:val="231F20"/>
                <w:w w:val="85"/>
                <w:sz w:val="14"/>
              </w:rPr>
              <w:t>calls</w:t>
            </w:r>
            <w:r>
              <w:rPr>
                <w:color w:val="231F20"/>
                <w:spacing w:val="-4"/>
                <w:w w:val="85"/>
                <w:sz w:val="14"/>
              </w:rPr>
              <w:t> </w:t>
            </w:r>
            <w:r>
              <w:rPr>
                <w:color w:val="231F20"/>
                <w:w w:val="85"/>
                <w:sz w:val="14"/>
              </w:rPr>
              <w:t>for</w:t>
            </w:r>
            <w:r>
              <w:rPr>
                <w:color w:val="231F20"/>
                <w:spacing w:val="-4"/>
                <w:w w:val="85"/>
                <w:sz w:val="14"/>
              </w:rPr>
              <w:t> </w:t>
            </w:r>
            <w:r>
              <w:rPr>
                <w:color w:val="231F20"/>
                <w:w w:val="85"/>
                <w:sz w:val="14"/>
              </w:rPr>
              <w:t>all</w:t>
            </w:r>
            <w:r>
              <w:rPr>
                <w:color w:val="231F20"/>
                <w:spacing w:val="-4"/>
                <w:w w:val="85"/>
                <w:sz w:val="14"/>
              </w:rPr>
              <w:t> </w:t>
            </w:r>
            <w:r>
              <w:rPr>
                <w:color w:val="231F20"/>
                <w:w w:val="85"/>
                <w:sz w:val="14"/>
              </w:rPr>
              <w:t>container</w:t>
            </w:r>
            <w:r>
              <w:rPr>
                <w:color w:val="231F20"/>
                <w:spacing w:val="40"/>
                <w:sz w:val="14"/>
              </w:rPr>
              <w:t> </w:t>
            </w:r>
            <w:r>
              <w:rPr>
                <w:color w:val="231F20"/>
                <w:w w:val="80"/>
                <w:sz w:val="14"/>
              </w:rPr>
              <w:t>ships based on Automatic</w:t>
            </w:r>
            <w:r>
              <w:rPr>
                <w:color w:val="231F20"/>
                <w:spacing w:val="40"/>
                <w:sz w:val="14"/>
              </w:rPr>
              <w:t> </w:t>
            </w:r>
            <w:r>
              <w:rPr>
                <w:color w:val="231F20"/>
                <w:spacing w:val="2"/>
                <w:w w:val="75"/>
                <w:sz w:val="14"/>
              </w:rPr>
              <w:t>Identification</w:t>
            </w:r>
            <w:r>
              <w:rPr>
                <w:color w:val="231F20"/>
                <w:spacing w:val="11"/>
                <w:sz w:val="14"/>
              </w:rPr>
              <w:t> </w:t>
            </w:r>
            <w:r>
              <w:rPr>
                <w:color w:val="231F20"/>
                <w:spacing w:val="2"/>
                <w:w w:val="75"/>
                <w:sz w:val="14"/>
              </w:rPr>
              <w:t>System</w:t>
            </w:r>
            <w:r>
              <w:rPr>
                <w:color w:val="231F20"/>
                <w:spacing w:val="12"/>
                <w:sz w:val="14"/>
              </w:rPr>
              <w:t> </w:t>
            </w:r>
            <w:r>
              <w:rPr>
                <w:color w:val="231F20"/>
                <w:spacing w:val="-2"/>
                <w:w w:val="75"/>
                <w:sz w:val="14"/>
              </w:rPr>
              <w:t>data.</w:t>
            </w:r>
          </w:p>
        </w:tc>
        <w:tc>
          <w:tcPr>
            <w:tcW w:w="1702" w:type="dxa"/>
            <w:tcBorders>
              <w:bottom w:val="single" w:sz="4" w:space="0" w:color="008FDD"/>
            </w:tcBorders>
          </w:tcPr>
          <w:p>
            <w:pPr>
              <w:pStyle w:val="TableParagraph"/>
              <w:ind w:left="87" w:right="225"/>
              <w:jc w:val="left"/>
              <w:rPr>
                <w:sz w:val="14"/>
              </w:rPr>
            </w:pPr>
            <w:r>
              <w:rPr>
                <w:color w:val="231F20"/>
                <w:w w:val="90"/>
                <w:sz w:val="14"/>
              </w:rPr>
              <w:t>Location, arrival, and</w:t>
            </w:r>
            <w:r>
              <w:rPr>
                <w:color w:val="231F20"/>
                <w:spacing w:val="40"/>
                <w:sz w:val="14"/>
              </w:rPr>
              <w:t> </w:t>
            </w:r>
            <w:r>
              <w:rPr>
                <w:color w:val="231F20"/>
                <w:w w:val="80"/>
                <w:sz w:val="14"/>
              </w:rPr>
              <w:t>departure</w:t>
            </w:r>
            <w:r>
              <w:rPr>
                <w:color w:val="231F20"/>
                <w:spacing w:val="-2"/>
                <w:w w:val="80"/>
                <w:sz w:val="14"/>
              </w:rPr>
              <w:t> </w:t>
            </w:r>
            <w:r>
              <w:rPr>
                <w:color w:val="231F20"/>
                <w:w w:val="80"/>
                <w:sz w:val="14"/>
              </w:rPr>
              <w:t>dates</w:t>
            </w:r>
            <w:r>
              <w:rPr>
                <w:color w:val="231F20"/>
                <w:spacing w:val="-2"/>
                <w:w w:val="80"/>
                <w:sz w:val="14"/>
              </w:rPr>
              <w:t> </w:t>
            </w:r>
            <w:r>
              <w:rPr>
                <w:color w:val="231F20"/>
                <w:w w:val="80"/>
                <w:sz w:val="14"/>
              </w:rPr>
              <w:t>of</w:t>
            </w:r>
            <w:r>
              <w:rPr>
                <w:color w:val="231F20"/>
                <w:spacing w:val="-2"/>
                <w:w w:val="80"/>
                <w:sz w:val="14"/>
              </w:rPr>
              <w:t> </w:t>
            </w:r>
            <w:r>
              <w:rPr>
                <w:color w:val="231F20"/>
                <w:w w:val="80"/>
                <w:sz w:val="14"/>
              </w:rPr>
              <w:t>ships</w:t>
            </w:r>
            <w:r>
              <w:rPr>
                <w:color w:val="231F20"/>
                <w:spacing w:val="40"/>
                <w:sz w:val="14"/>
              </w:rPr>
              <w:t> </w:t>
            </w:r>
            <w:r>
              <w:rPr>
                <w:color w:val="231F20"/>
                <w:w w:val="90"/>
                <w:sz w:val="14"/>
              </w:rPr>
              <w:t>(January–July</w:t>
            </w:r>
            <w:r>
              <w:rPr>
                <w:color w:val="231F20"/>
                <w:spacing w:val="-6"/>
                <w:w w:val="90"/>
                <w:sz w:val="14"/>
              </w:rPr>
              <w:t> </w:t>
            </w:r>
            <w:r>
              <w:rPr>
                <w:color w:val="231F20"/>
                <w:w w:val="90"/>
                <w:sz w:val="14"/>
              </w:rPr>
              <w:t>2022)</w:t>
            </w:r>
          </w:p>
        </w:tc>
      </w:tr>
    </w:tbl>
    <w:p>
      <w:pPr>
        <w:pStyle w:val="BodyText"/>
        <w:rPr>
          <w:rFonts w:ascii="Arial"/>
          <w:b/>
          <w:sz w:val="16"/>
        </w:rPr>
      </w:pPr>
    </w:p>
    <w:p>
      <w:pPr>
        <w:pStyle w:val="BodyText"/>
        <w:spacing w:before="42"/>
        <w:rPr>
          <w:rFonts w:ascii="Arial"/>
          <w:b/>
          <w:sz w:val="16"/>
        </w:rPr>
      </w:pPr>
    </w:p>
    <w:p>
      <w:pPr>
        <w:spacing w:before="0"/>
        <w:ind w:left="1318" w:right="0" w:firstLine="0"/>
        <w:jc w:val="left"/>
        <w:rPr>
          <w:rFonts w:ascii="Arial"/>
          <w:b/>
          <w:sz w:val="16"/>
        </w:rPr>
      </w:pPr>
      <w:r>
        <w:rPr/>
        <mc:AlternateContent>
          <mc:Choice Requires="wps">
            <w:drawing>
              <wp:anchor distT="0" distB="0" distL="0" distR="0" allowOverlap="1" layoutInCell="1" locked="0" behindDoc="0" simplePos="0" relativeHeight="15752192">
                <wp:simplePos x="0" y="0"/>
                <wp:positionH relativeFrom="page">
                  <wp:posOffset>4178300</wp:posOffset>
                </wp:positionH>
                <wp:positionV relativeFrom="paragraph">
                  <wp:posOffset>-44378</wp:posOffset>
                </wp:positionV>
                <wp:extent cx="527050" cy="206375"/>
                <wp:effectExtent l="0" t="0" r="0" b="0"/>
                <wp:wrapNone/>
                <wp:docPr id="908" name="Textbox 908"/>
                <wp:cNvGraphicFramePr>
                  <a:graphicFrameLocks/>
                </wp:cNvGraphicFramePr>
                <a:graphic>
                  <a:graphicData uri="http://schemas.microsoft.com/office/word/2010/wordprocessingShape">
                    <wps:wsp>
                      <wps:cNvPr id="908" name="Textbox 908"/>
                      <wps:cNvSpPr txBox="1"/>
                      <wps:spPr>
                        <a:xfrm>
                          <a:off x="0" y="0"/>
                          <a:ext cx="527050" cy="206375"/>
                        </a:xfrm>
                        <a:prstGeom prst="rect">
                          <a:avLst/>
                        </a:prstGeom>
                      </wps:spPr>
                      <wps:txbx>
                        <w:txbxContent>
                          <w:p>
                            <w:pPr>
                              <w:spacing w:before="70"/>
                              <w:ind w:left="120" w:right="0" w:firstLine="0"/>
                              <w:jc w:val="left"/>
                              <w:rPr>
                                <w:rFonts w:ascii="Arial"/>
                                <w:b/>
                                <w:sz w:val="16"/>
                              </w:rPr>
                            </w:pPr>
                            <w:r>
                              <w:rPr>
                                <w:rFonts w:ascii="Arial"/>
                                <w:color w:val="FFFFFF"/>
                                <w:spacing w:val="-2"/>
                                <w:w w:val="80"/>
                                <w:sz w:val="16"/>
                              </w:rPr>
                              <w:t>Box</w:t>
                            </w:r>
                            <w:r>
                              <w:rPr>
                                <w:rFonts w:ascii="Arial"/>
                                <w:color w:val="FFFFFF"/>
                                <w:spacing w:val="-4"/>
                                <w:w w:val="80"/>
                                <w:sz w:val="16"/>
                              </w:rPr>
                              <w:t> </w:t>
                            </w:r>
                            <w:r>
                              <w:rPr>
                                <w:rFonts w:ascii="Arial"/>
                                <w:color w:val="FFFFFF"/>
                                <w:spacing w:val="-2"/>
                                <w:w w:val="80"/>
                                <w:sz w:val="16"/>
                              </w:rPr>
                              <w:t>table</w:t>
                            </w:r>
                            <w:r>
                              <w:rPr>
                                <w:rFonts w:ascii="Arial"/>
                                <w:color w:val="FFFFFF"/>
                                <w:spacing w:val="-3"/>
                                <w:w w:val="80"/>
                                <w:sz w:val="16"/>
                              </w:rPr>
                              <w:t> </w:t>
                            </w:r>
                            <w:r>
                              <w:rPr>
                                <w:rFonts w:ascii="Arial"/>
                                <w:b/>
                                <w:color w:val="FFFFFF"/>
                                <w:spacing w:val="-10"/>
                                <w:w w:val="80"/>
                                <w:sz w:val="16"/>
                              </w:rPr>
                              <w:t>2</w:t>
                            </w:r>
                          </w:p>
                        </w:txbxContent>
                      </wps:txbx>
                      <wps:bodyPr wrap="square" lIns="0" tIns="0" rIns="0" bIns="0" rtlCol="0">
                        <a:noAutofit/>
                      </wps:bodyPr>
                    </wps:wsp>
                  </a:graphicData>
                </a:graphic>
              </wp:anchor>
            </w:drawing>
          </mc:Choice>
          <mc:Fallback>
            <w:pict>
              <v:shape style="position:absolute;margin-left:329pt;margin-top:-3.494338pt;width:41.5pt;height:16.25pt;mso-position-horizontal-relative:page;mso-position-vertical-relative:paragraph;z-index:15752192" type="#_x0000_t202" id="docshape759" filled="false" stroked="false">
                <v:textbox inset="0,0,0,0">
                  <w:txbxContent>
                    <w:p>
                      <w:pPr>
                        <w:spacing w:before="70"/>
                        <w:ind w:left="120" w:right="0" w:firstLine="0"/>
                        <w:jc w:val="left"/>
                        <w:rPr>
                          <w:rFonts w:ascii="Arial"/>
                          <w:b/>
                          <w:sz w:val="16"/>
                        </w:rPr>
                      </w:pPr>
                      <w:r>
                        <w:rPr>
                          <w:rFonts w:ascii="Arial"/>
                          <w:color w:val="FFFFFF"/>
                          <w:spacing w:val="-2"/>
                          <w:w w:val="80"/>
                          <w:sz w:val="16"/>
                        </w:rPr>
                        <w:t>Box</w:t>
                      </w:r>
                      <w:r>
                        <w:rPr>
                          <w:rFonts w:ascii="Arial"/>
                          <w:color w:val="FFFFFF"/>
                          <w:spacing w:val="-4"/>
                          <w:w w:val="80"/>
                          <w:sz w:val="16"/>
                        </w:rPr>
                        <w:t> </w:t>
                      </w:r>
                      <w:r>
                        <w:rPr>
                          <w:rFonts w:ascii="Arial"/>
                          <w:color w:val="FFFFFF"/>
                          <w:spacing w:val="-2"/>
                          <w:w w:val="80"/>
                          <w:sz w:val="16"/>
                        </w:rPr>
                        <w:t>table</w:t>
                      </w:r>
                      <w:r>
                        <w:rPr>
                          <w:rFonts w:ascii="Arial"/>
                          <w:color w:val="FFFFFF"/>
                          <w:spacing w:val="-3"/>
                          <w:w w:val="80"/>
                          <w:sz w:val="16"/>
                        </w:rPr>
                        <w:t> </w:t>
                      </w:r>
                      <w:r>
                        <w:rPr>
                          <w:rFonts w:ascii="Arial"/>
                          <w:b/>
                          <w:color w:val="FFFFFF"/>
                          <w:spacing w:val="-10"/>
                          <w:w w:val="80"/>
                          <w:sz w:val="16"/>
                        </w:rPr>
                        <w:t>2</w:t>
                      </w:r>
                    </w:p>
                  </w:txbxContent>
                </v:textbox>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4178300</wp:posOffset>
                </wp:positionH>
                <wp:positionV relativeFrom="paragraph">
                  <wp:posOffset>-3816277</wp:posOffset>
                </wp:positionV>
                <wp:extent cx="527050" cy="206375"/>
                <wp:effectExtent l="0" t="0" r="0" b="0"/>
                <wp:wrapNone/>
                <wp:docPr id="909" name="Textbox 909"/>
                <wp:cNvGraphicFramePr>
                  <a:graphicFrameLocks/>
                </wp:cNvGraphicFramePr>
                <a:graphic>
                  <a:graphicData uri="http://schemas.microsoft.com/office/word/2010/wordprocessingShape">
                    <wps:wsp>
                      <wps:cNvPr id="909" name="Textbox 909"/>
                      <wps:cNvSpPr txBox="1"/>
                      <wps:spPr>
                        <a:xfrm>
                          <a:off x="0" y="0"/>
                          <a:ext cx="527050" cy="206375"/>
                        </a:xfrm>
                        <a:prstGeom prst="rect">
                          <a:avLst/>
                        </a:prstGeom>
                      </wps:spPr>
                      <wps:txbx>
                        <w:txbxContent>
                          <w:p>
                            <w:pPr>
                              <w:spacing w:before="70"/>
                              <w:ind w:left="120" w:right="0" w:firstLine="0"/>
                              <w:jc w:val="left"/>
                              <w:rPr>
                                <w:rFonts w:ascii="Arial"/>
                                <w:b/>
                                <w:sz w:val="16"/>
                              </w:rPr>
                            </w:pPr>
                            <w:r>
                              <w:rPr>
                                <w:rFonts w:ascii="Arial"/>
                                <w:color w:val="FFFFFF"/>
                                <w:spacing w:val="-2"/>
                                <w:w w:val="80"/>
                                <w:sz w:val="16"/>
                              </w:rPr>
                              <w:t>Box</w:t>
                            </w:r>
                            <w:r>
                              <w:rPr>
                                <w:rFonts w:ascii="Arial"/>
                                <w:color w:val="FFFFFF"/>
                                <w:spacing w:val="-4"/>
                                <w:w w:val="80"/>
                                <w:sz w:val="16"/>
                              </w:rPr>
                              <w:t> </w:t>
                            </w:r>
                            <w:r>
                              <w:rPr>
                                <w:rFonts w:ascii="Arial"/>
                                <w:color w:val="FFFFFF"/>
                                <w:spacing w:val="-2"/>
                                <w:w w:val="80"/>
                                <w:sz w:val="16"/>
                              </w:rPr>
                              <w:t>table</w:t>
                            </w:r>
                            <w:r>
                              <w:rPr>
                                <w:rFonts w:ascii="Arial"/>
                                <w:color w:val="FFFFFF"/>
                                <w:spacing w:val="-3"/>
                                <w:w w:val="80"/>
                                <w:sz w:val="16"/>
                              </w:rPr>
                              <w:t> </w:t>
                            </w:r>
                            <w:r>
                              <w:rPr>
                                <w:rFonts w:ascii="Arial"/>
                                <w:b/>
                                <w:color w:val="FFFFFF"/>
                                <w:spacing w:val="-10"/>
                                <w:w w:val="80"/>
                                <w:sz w:val="16"/>
                              </w:rPr>
                              <w:t>1</w:t>
                            </w:r>
                          </w:p>
                        </w:txbxContent>
                      </wps:txbx>
                      <wps:bodyPr wrap="square" lIns="0" tIns="0" rIns="0" bIns="0" rtlCol="0">
                        <a:noAutofit/>
                      </wps:bodyPr>
                    </wps:wsp>
                  </a:graphicData>
                </a:graphic>
              </wp:anchor>
            </w:drawing>
          </mc:Choice>
          <mc:Fallback>
            <w:pict>
              <v:shape style="position:absolute;margin-left:329pt;margin-top:-300.494324pt;width:41.5pt;height:16.25pt;mso-position-horizontal-relative:page;mso-position-vertical-relative:paragraph;z-index:15752704" type="#_x0000_t202" id="docshape760" filled="false" stroked="false">
                <v:textbox inset="0,0,0,0">
                  <w:txbxContent>
                    <w:p>
                      <w:pPr>
                        <w:spacing w:before="70"/>
                        <w:ind w:left="120" w:right="0" w:firstLine="0"/>
                        <w:jc w:val="left"/>
                        <w:rPr>
                          <w:rFonts w:ascii="Arial"/>
                          <w:b/>
                          <w:sz w:val="16"/>
                        </w:rPr>
                      </w:pPr>
                      <w:r>
                        <w:rPr>
                          <w:rFonts w:ascii="Arial"/>
                          <w:color w:val="FFFFFF"/>
                          <w:spacing w:val="-2"/>
                          <w:w w:val="80"/>
                          <w:sz w:val="16"/>
                        </w:rPr>
                        <w:t>Box</w:t>
                      </w:r>
                      <w:r>
                        <w:rPr>
                          <w:rFonts w:ascii="Arial"/>
                          <w:color w:val="FFFFFF"/>
                          <w:spacing w:val="-4"/>
                          <w:w w:val="80"/>
                          <w:sz w:val="16"/>
                        </w:rPr>
                        <w:t> </w:t>
                      </w:r>
                      <w:r>
                        <w:rPr>
                          <w:rFonts w:ascii="Arial"/>
                          <w:color w:val="FFFFFF"/>
                          <w:spacing w:val="-2"/>
                          <w:w w:val="80"/>
                          <w:sz w:val="16"/>
                        </w:rPr>
                        <w:t>table</w:t>
                      </w:r>
                      <w:r>
                        <w:rPr>
                          <w:rFonts w:ascii="Arial"/>
                          <w:color w:val="FFFFFF"/>
                          <w:spacing w:val="-3"/>
                          <w:w w:val="80"/>
                          <w:sz w:val="16"/>
                        </w:rPr>
                        <w:t> </w:t>
                      </w:r>
                      <w:r>
                        <w:rPr>
                          <w:rFonts w:ascii="Arial"/>
                          <w:b/>
                          <w:color w:val="FFFFFF"/>
                          <w:spacing w:val="-10"/>
                          <w:w w:val="80"/>
                          <w:sz w:val="16"/>
                        </w:rPr>
                        <w:t>1</w:t>
                      </w:r>
                    </w:p>
                  </w:txbxContent>
                </v:textbox>
                <w10:wrap type="none"/>
              </v:shape>
            </w:pict>
          </mc:Fallback>
        </mc:AlternateContent>
      </w:r>
      <w:r>
        <w:rPr>
          <w:rFonts w:ascii="Arial"/>
          <w:b/>
          <w:color w:val="FFFFFF"/>
          <w:w w:val="105"/>
          <w:sz w:val="16"/>
        </w:rPr>
        <w:t>Definition</w:t>
      </w:r>
      <w:r>
        <w:rPr>
          <w:rFonts w:ascii="Arial"/>
          <w:b/>
          <w:color w:val="FFFFFF"/>
          <w:spacing w:val="14"/>
          <w:w w:val="105"/>
          <w:sz w:val="16"/>
        </w:rPr>
        <w:t> </w:t>
      </w:r>
      <w:r>
        <w:rPr>
          <w:rFonts w:ascii="Arial"/>
          <w:b/>
          <w:color w:val="FFFFFF"/>
          <w:w w:val="105"/>
          <w:sz w:val="16"/>
        </w:rPr>
        <w:t>of</w:t>
      </w:r>
      <w:r>
        <w:rPr>
          <w:rFonts w:ascii="Arial"/>
          <w:b/>
          <w:color w:val="FFFFFF"/>
          <w:spacing w:val="15"/>
          <w:w w:val="105"/>
          <w:sz w:val="16"/>
        </w:rPr>
        <w:t> </w:t>
      </w:r>
      <w:r>
        <w:rPr>
          <w:rFonts w:ascii="Arial"/>
          <w:b/>
          <w:color w:val="FFFFFF"/>
          <w:w w:val="105"/>
          <w:sz w:val="16"/>
        </w:rPr>
        <w:t>key</w:t>
      </w:r>
      <w:r>
        <w:rPr>
          <w:rFonts w:ascii="Arial"/>
          <w:b/>
          <w:color w:val="FFFFFF"/>
          <w:spacing w:val="14"/>
          <w:w w:val="105"/>
          <w:sz w:val="16"/>
        </w:rPr>
        <w:t> </w:t>
      </w:r>
      <w:r>
        <w:rPr>
          <w:rFonts w:ascii="Arial"/>
          <w:b/>
          <w:color w:val="FFFFFF"/>
          <w:w w:val="105"/>
          <w:sz w:val="16"/>
        </w:rPr>
        <w:t>performance</w:t>
      </w:r>
      <w:r>
        <w:rPr>
          <w:rFonts w:ascii="Arial"/>
          <w:b/>
          <w:color w:val="FFFFFF"/>
          <w:spacing w:val="15"/>
          <w:w w:val="105"/>
          <w:sz w:val="16"/>
        </w:rPr>
        <w:t> </w:t>
      </w:r>
      <w:r>
        <w:rPr>
          <w:rFonts w:ascii="Arial"/>
          <w:b/>
          <w:color w:val="FFFFFF"/>
          <w:spacing w:val="-2"/>
          <w:w w:val="105"/>
          <w:sz w:val="16"/>
        </w:rPr>
        <w:t>indicators</w:t>
      </w:r>
    </w:p>
    <w:p>
      <w:pPr>
        <w:pStyle w:val="BodyText"/>
        <w:spacing w:before="10"/>
        <w:rPr>
          <w:rFonts w:ascii="Arial"/>
          <w:b/>
          <w:sz w:val="12"/>
        </w:rPr>
      </w:pPr>
    </w:p>
    <w:tbl>
      <w:tblPr>
        <w:tblW w:w="0" w:type="auto"/>
        <w:jc w:val="left"/>
        <w:tblInd w:w="4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7"/>
        <w:gridCol w:w="856"/>
        <w:gridCol w:w="2676"/>
      </w:tblGrid>
      <w:tr>
        <w:trPr>
          <w:trHeight w:val="209" w:hRule="atLeast"/>
        </w:trPr>
        <w:tc>
          <w:tcPr>
            <w:tcW w:w="1267" w:type="dxa"/>
            <w:tcBorders>
              <w:bottom w:val="single" w:sz="4" w:space="0" w:color="008FDD"/>
            </w:tcBorders>
          </w:tcPr>
          <w:p>
            <w:pPr>
              <w:pStyle w:val="TableParagraph"/>
              <w:spacing w:before="3"/>
              <w:ind w:left="80"/>
              <w:jc w:val="left"/>
              <w:rPr>
                <w:b/>
                <w:sz w:val="14"/>
              </w:rPr>
            </w:pPr>
            <w:r>
              <w:rPr>
                <w:b/>
                <w:color w:val="231F20"/>
                <w:spacing w:val="-2"/>
                <w:w w:val="95"/>
                <w:sz w:val="14"/>
              </w:rPr>
              <w:t>Indicator</w:t>
            </w:r>
          </w:p>
        </w:tc>
        <w:tc>
          <w:tcPr>
            <w:tcW w:w="856" w:type="dxa"/>
            <w:tcBorders>
              <w:bottom w:val="single" w:sz="4" w:space="0" w:color="008FDD"/>
            </w:tcBorders>
          </w:tcPr>
          <w:p>
            <w:pPr>
              <w:pStyle w:val="TableParagraph"/>
              <w:spacing w:before="3"/>
              <w:ind w:left="96"/>
              <w:jc w:val="left"/>
              <w:rPr>
                <w:b/>
                <w:sz w:val="14"/>
              </w:rPr>
            </w:pPr>
            <w:r>
              <w:rPr>
                <w:b/>
                <w:color w:val="231F20"/>
                <w:spacing w:val="-2"/>
                <w:w w:val="90"/>
                <w:sz w:val="14"/>
              </w:rPr>
              <w:t>Source</w:t>
            </w:r>
          </w:p>
        </w:tc>
        <w:tc>
          <w:tcPr>
            <w:tcW w:w="2676" w:type="dxa"/>
            <w:tcBorders>
              <w:bottom w:val="single" w:sz="4" w:space="0" w:color="008FDD"/>
            </w:tcBorders>
          </w:tcPr>
          <w:p>
            <w:pPr>
              <w:pStyle w:val="TableParagraph"/>
              <w:spacing w:before="3"/>
              <w:ind w:left="92"/>
              <w:jc w:val="left"/>
              <w:rPr>
                <w:b/>
                <w:sz w:val="14"/>
              </w:rPr>
            </w:pPr>
            <w:r>
              <w:rPr>
                <w:b/>
                <w:color w:val="231F20"/>
                <w:spacing w:val="-2"/>
                <w:w w:val="95"/>
                <w:sz w:val="14"/>
              </w:rPr>
              <w:t>Definition</w:t>
            </w:r>
          </w:p>
        </w:tc>
      </w:tr>
      <w:tr>
        <w:trPr>
          <w:trHeight w:val="254" w:hRule="atLeast"/>
        </w:trPr>
        <w:tc>
          <w:tcPr>
            <w:tcW w:w="1267" w:type="dxa"/>
            <w:tcBorders>
              <w:top w:val="single" w:sz="4" w:space="0" w:color="008FDD"/>
            </w:tcBorders>
          </w:tcPr>
          <w:p>
            <w:pPr>
              <w:pStyle w:val="TableParagraph"/>
              <w:spacing w:before="43"/>
              <w:ind w:left="80"/>
              <w:jc w:val="left"/>
              <w:rPr>
                <w:i/>
                <w:sz w:val="14"/>
              </w:rPr>
            </w:pPr>
            <w:r>
              <w:rPr>
                <w:i/>
                <w:color w:val="231F20"/>
                <w:spacing w:val="-2"/>
                <w:w w:val="90"/>
                <w:sz w:val="14"/>
              </w:rPr>
              <w:t>Connectivity</w:t>
            </w:r>
          </w:p>
        </w:tc>
        <w:tc>
          <w:tcPr>
            <w:tcW w:w="856" w:type="dxa"/>
            <w:tcBorders>
              <w:top w:val="single" w:sz="4" w:space="0" w:color="008FDD"/>
            </w:tcBorders>
          </w:tcPr>
          <w:p>
            <w:pPr>
              <w:pStyle w:val="TableParagraph"/>
              <w:spacing w:before="0"/>
              <w:jc w:val="left"/>
              <w:rPr>
                <w:rFonts w:ascii="Times New Roman"/>
                <w:sz w:val="14"/>
              </w:rPr>
            </w:pPr>
          </w:p>
        </w:tc>
        <w:tc>
          <w:tcPr>
            <w:tcW w:w="2676" w:type="dxa"/>
            <w:tcBorders>
              <w:top w:val="single" w:sz="4" w:space="0" w:color="008FDD"/>
            </w:tcBorders>
          </w:tcPr>
          <w:p>
            <w:pPr>
              <w:pStyle w:val="TableParagraph"/>
              <w:spacing w:before="0"/>
              <w:jc w:val="left"/>
              <w:rPr>
                <w:rFonts w:ascii="Times New Roman"/>
                <w:sz w:val="14"/>
              </w:rPr>
            </w:pPr>
          </w:p>
        </w:tc>
      </w:tr>
      <w:tr>
        <w:trPr>
          <w:trHeight w:val="419" w:hRule="atLeast"/>
        </w:trPr>
        <w:tc>
          <w:tcPr>
            <w:tcW w:w="1267" w:type="dxa"/>
            <w:shd w:val="clear" w:color="auto" w:fill="D4E3F5"/>
          </w:tcPr>
          <w:p>
            <w:pPr>
              <w:pStyle w:val="TableParagraph"/>
              <w:ind w:left="80"/>
              <w:jc w:val="left"/>
              <w:rPr>
                <w:sz w:val="14"/>
              </w:rPr>
            </w:pPr>
            <w:r>
              <w:rPr>
                <w:color w:val="231F20"/>
                <w:w w:val="80"/>
                <w:sz w:val="14"/>
              </w:rPr>
              <w:t>Maritime</w:t>
            </w:r>
            <w:r>
              <w:rPr>
                <w:color w:val="231F20"/>
                <w:spacing w:val="8"/>
                <w:sz w:val="14"/>
              </w:rPr>
              <w:t> </w:t>
            </w:r>
            <w:r>
              <w:rPr>
                <w:color w:val="231F20"/>
                <w:spacing w:val="-2"/>
                <w:w w:val="90"/>
                <w:sz w:val="14"/>
              </w:rPr>
              <w:t>connectivity</w:t>
            </w:r>
          </w:p>
        </w:tc>
        <w:tc>
          <w:tcPr>
            <w:tcW w:w="856" w:type="dxa"/>
            <w:shd w:val="clear" w:color="auto" w:fill="D4E3F5"/>
          </w:tcPr>
          <w:p>
            <w:pPr>
              <w:pStyle w:val="TableParagraph"/>
              <w:spacing w:line="160" w:lineRule="exact"/>
              <w:ind w:left="96"/>
              <w:jc w:val="left"/>
              <w:rPr>
                <w:sz w:val="14"/>
              </w:rPr>
            </w:pPr>
            <w:r>
              <w:rPr>
                <w:color w:val="231F20"/>
                <w:spacing w:val="-5"/>
                <w:w w:val="85"/>
                <w:sz w:val="14"/>
              </w:rPr>
              <w:t>MDS</w:t>
            </w:r>
          </w:p>
          <w:p>
            <w:pPr>
              <w:pStyle w:val="TableParagraph"/>
              <w:spacing w:line="160" w:lineRule="exact" w:before="0"/>
              <w:ind w:left="96"/>
              <w:jc w:val="left"/>
              <w:rPr>
                <w:sz w:val="14"/>
              </w:rPr>
            </w:pPr>
            <w:r>
              <w:rPr>
                <w:color w:val="231F20"/>
                <w:spacing w:val="-2"/>
                <w:w w:val="90"/>
                <w:sz w:val="14"/>
              </w:rPr>
              <w:t>Transmodal</w:t>
            </w:r>
          </w:p>
        </w:tc>
        <w:tc>
          <w:tcPr>
            <w:tcW w:w="2676" w:type="dxa"/>
            <w:shd w:val="clear" w:color="auto" w:fill="D4E3F5"/>
          </w:tcPr>
          <w:p>
            <w:pPr>
              <w:pStyle w:val="TableParagraph"/>
              <w:ind w:left="92" w:right="544"/>
              <w:jc w:val="left"/>
              <w:rPr>
                <w:sz w:val="14"/>
              </w:rPr>
            </w:pPr>
            <w:r>
              <w:rPr>
                <w:color w:val="231F20"/>
                <w:w w:val="90"/>
                <w:sz w:val="14"/>
              </w:rPr>
              <w:t>Number</w:t>
            </w:r>
            <w:r>
              <w:rPr>
                <w:color w:val="231F20"/>
                <w:spacing w:val="-6"/>
                <w:w w:val="90"/>
                <w:sz w:val="14"/>
              </w:rPr>
              <w:t> </w:t>
            </w:r>
            <w:r>
              <w:rPr>
                <w:color w:val="231F20"/>
                <w:w w:val="90"/>
                <w:sz w:val="14"/>
              </w:rPr>
              <w:t>of</w:t>
            </w:r>
            <w:r>
              <w:rPr>
                <w:color w:val="231F20"/>
                <w:spacing w:val="-6"/>
                <w:w w:val="90"/>
                <w:sz w:val="14"/>
              </w:rPr>
              <w:t> </w:t>
            </w:r>
            <w:r>
              <w:rPr>
                <w:color w:val="231F20"/>
                <w:w w:val="90"/>
                <w:sz w:val="14"/>
              </w:rPr>
              <w:t>partner</w:t>
            </w:r>
            <w:r>
              <w:rPr>
                <w:color w:val="231F20"/>
                <w:spacing w:val="-6"/>
                <w:w w:val="90"/>
                <w:sz w:val="14"/>
              </w:rPr>
              <w:t> </w:t>
            </w:r>
            <w:r>
              <w:rPr>
                <w:color w:val="231F20"/>
                <w:w w:val="90"/>
                <w:sz w:val="14"/>
              </w:rPr>
              <w:t>countries</w:t>
            </w:r>
            <w:r>
              <w:rPr>
                <w:color w:val="231F20"/>
                <w:spacing w:val="40"/>
                <w:sz w:val="14"/>
              </w:rPr>
              <w:t> </w:t>
            </w:r>
            <w:r>
              <w:rPr>
                <w:color w:val="231F20"/>
                <w:w w:val="80"/>
                <w:sz w:val="14"/>
              </w:rPr>
              <w:t>accessible through direct service</w:t>
            </w:r>
          </w:p>
        </w:tc>
      </w:tr>
      <w:tr>
        <w:trPr>
          <w:trHeight w:val="259" w:hRule="atLeast"/>
        </w:trPr>
        <w:tc>
          <w:tcPr>
            <w:tcW w:w="1267" w:type="dxa"/>
          </w:tcPr>
          <w:p>
            <w:pPr>
              <w:pStyle w:val="TableParagraph"/>
              <w:ind w:left="80"/>
              <w:jc w:val="left"/>
              <w:rPr>
                <w:sz w:val="14"/>
              </w:rPr>
            </w:pPr>
            <w:r>
              <w:rPr>
                <w:color w:val="231F20"/>
                <w:w w:val="75"/>
                <w:sz w:val="14"/>
              </w:rPr>
              <w:t>Aviation</w:t>
            </w:r>
            <w:r>
              <w:rPr>
                <w:color w:val="231F20"/>
                <w:spacing w:val="14"/>
                <w:sz w:val="14"/>
              </w:rPr>
              <w:t> </w:t>
            </w:r>
            <w:r>
              <w:rPr>
                <w:color w:val="231F20"/>
                <w:spacing w:val="-2"/>
                <w:w w:val="90"/>
                <w:sz w:val="14"/>
              </w:rPr>
              <w:t>connectivity</w:t>
            </w:r>
          </w:p>
        </w:tc>
        <w:tc>
          <w:tcPr>
            <w:tcW w:w="856" w:type="dxa"/>
          </w:tcPr>
          <w:p>
            <w:pPr>
              <w:pStyle w:val="TableParagraph"/>
              <w:ind w:left="96"/>
              <w:jc w:val="left"/>
              <w:rPr>
                <w:sz w:val="14"/>
              </w:rPr>
            </w:pPr>
            <w:r>
              <w:rPr>
                <w:color w:val="231F20"/>
                <w:w w:val="75"/>
                <w:sz w:val="14"/>
              </w:rPr>
              <w:t>Cargo</w:t>
            </w:r>
            <w:r>
              <w:rPr>
                <w:color w:val="231F20"/>
                <w:spacing w:val="4"/>
                <w:sz w:val="14"/>
              </w:rPr>
              <w:t> </w:t>
            </w:r>
            <w:r>
              <w:rPr>
                <w:color w:val="231F20"/>
                <w:spacing w:val="-5"/>
                <w:w w:val="85"/>
                <w:sz w:val="14"/>
              </w:rPr>
              <w:t>iQ</w:t>
            </w:r>
          </w:p>
        </w:tc>
        <w:tc>
          <w:tcPr>
            <w:tcW w:w="2676" w:type="dxa"/>
          </w:tcPr>
          <w:p>
            <w:pPr>
              <w:pStyle w:val="TableParagraph"/>
              <w:ind w:left="92"/>
              <w:jc w:val="left"/>
              <w:rPr>
                <w:sz w:val="14"/>
              </w:rPr>
            </w:pPr>
            <w:r>
              <w:rPr>
                <w:color w:val="231F20"/>
                <w:w w:val="80"/>
                <w:sz w:val="14"/>
              </w:rPr>
              <w:t>Number</w:t>
            </w:r>
            <w:r>
              <w:rPr>
                <w:color w:val="231F20"/>
                <w:spacing w:val="-4"/>
                <w:sz w:val="14"/>
              </w:rPr>
              <w:t> </w:t>
            </w:r>
            <w:r>
              <w:rPr>
                <w:color w:val="231F20"/>
                <w:w w:val="80"/>
                <w:sz w:val="14"/>
              </w:rPr>
              <w:t>of</w:t>
            </w:r>
            <w:r>
              <w:rPr>
                <w:color w:val="231F20"/>
                <w:spacing w:val="-3"/>
                <w:sz w:val="14"/>
              </w:rPr>
              <w:t> </w:t>
            </w:r>
            <w:r>
              <w:rPr>
                <w:color w:val="231F20"/>
                <w:w w:val="80"/>
                <w:sz w:val="14"/>
              </w:rPr>
              <w:t>direct</w:t>
            </w:r>
            <w:r>
              <w:rPr>
                <w:color w:val="231F20"/>
                <w:spacing w:val="-4"/>
                <w:sz w:val="14"/>
              </w:rPr>
              <w:t> </w:t>
            </w:r>
            <w:r>
              <w:rPr>
                <w:color w:val="231F20"/>
                <w:w w:val="80"/>
                <w:sz w:val="14"/>
              </w:rPr>
              <w:t>air</w:t>
            </w:r>
            <w:r>
              <w:rPr>
                <w:color w:val="231F20"/>
                <w:spacing w:val="-3"/>
                <w:sz w:val="14"/>
              </w:rPr>
              <w:t> </w:t>
            </w:r>
            <w:r>
              <w:rPr>
                <w:color w:val="231F20"/>
                <w:w w:val="80"/>
                <w:sz w:val="14"/>
              </w:rPr>
              <w:t>connections</w:t>
            </w:r>
            <w:r>
              <w:rPr>
                <w:color w:val="231F20"/>
                <w:spacing w:val="-4"/>
                <w:sz w:val="14"/>
              </w:rPr>
              <w:t> </w:t>
            </w:r>
            <w:r>
              <w:rPr>
                <w:color w:val="231F20"/>
                <w:spacing w:val="-2"/>
                <w:w w:val="80"/>
                <w:sz w:val="14"/>
              </w:rPr>
              <w:t>(countries)</w:t>
            </w:r>
          </w:p>
        </w:tc>
      </w:tr>
      <w:tr>
        <w:trPr>
          <w:trHeight w:val="414" w:hRule="atLeast"/>
        </w:trPr>
        <w:tc>
          <w:tcPr>
            <w:tcW w:w="1267" w:type="dxa"/>
            <w:tcBorders>
              <w:bottom w:val="single" w:sz="4" w:space="0" w:color="008FDD"/>
            </w:tcBorders>
            <w:shd w:val="clear" w:color="auto" w:fill="D4E3F5"/>
          </w:tcPr>
          <w:p>
            <w:pPr>
              <w:pStyle w:val="TableParagraph"/>
              <w:ind w:left="80"/>
              <w:jc w:val="left"/>
              <w:rPr>
                <w:sz w:val="14"/>
              </w:rPr>
            </w:pPr>
            <w:r>
              <w:rPr>
                <w:color w:val="231F20"/>
                <w:w w:val="75"/>
                <w:sz w:val="14"/>
              </w:rPr>
              <w:t>Postal</w:t>
            </w:r>
            <w:r>
              <w:rPr>
                <w:color w:val="231F20"/>
                <w:spacing w:val="9"/>
                <w:sz w:val="14"/>
              </w:rPr>
              <w:t> </w:t>
            </w:r>
            <w:r>
              <w:rPr>
                <w:color w:val="231F20"/>
                <w:spacing w:val="-2"/>
                <w:w w:val="90"/>
                <w:sz w:val="14"/>
              </w:rPr>
              <w:t>connectivity</w:t>
            </w:r>
          </w:p>
        </w:tc>
        <w:tc>
          <w:tcPr>
            <w:tcW w:w="856" w:type="dxa"/>
            <w:tcBorders>
              <w:bottom w:val="single" w:sz="4" w:space="0" w:color="008FDD"/>
            </w:tcBorders>
            <w:shd w:val="clear" w:color="auto" w:fill="D4E3F5"/>
          </w:tcPr>
          <w:p>
            <w:pPr>
              <w:pStyle w:val="TableParagraph"/>
              <w:ind w:left="96" w:right="2"/>
              <w:jc w:val="left"/>
              <w:rPr>
                <w:sz w:val="14"/>
              </w:rPr>
            </w:pPr>
            <w:r>
              <w:rPr>
                <w:color w:val="231F20"/>
                <w:spacing w:val="-2"/>
                <w:w w:val="85"/>
                <w:sz w:val="14"/>
              </w:rPr>
              <w:t>Universal</w:t>
            </w:r>
            <w:r>
              <w:rPr>
                <w:color w:val="231F20"/>
                <w:spacing w:val="40"/>
                <w:sz w:val="14"/>
              </w:rPr>
              <w:t> </w:t>
            </w:r>
            <w:r>
              <w:rPr>
                <w:color w:val="231F20"/>
                <w:spacing w:val="-2"/>
                <w:w w:val="80"/>
                <w:sz w:val="14"/>
              </w:rPr>
              <w:t>Postal</w:t>
            </w:r>
            <w:r>
              <w:rPr>
                <w:color w:val="231F20"/>
                <w:spacing w:val="-8"/>
                <w:sz w:val="14"/>
              </w:rPr>
              <w:t> </w:t>
            </w:r>
            <w:r>
              <w:rPr>
                <w:color w:val="231F20"/>
                <w:spacing w:val="-2"/>
                <w:w w:val="80"/>
                <w:sz w:val="14"/>
              </w:rPr>
              <w:t>Union</w:t>
            </w:r>
          </w:p>
        </w:tc>
        <w:tc>
          <w:tcPr>
            <w:tcW w:w="2676" w:type="dxa"/>
            <w:tcBorders>
              <w:bottom w:val="single" w:sz="4" w:space="0" w:color="008FDD"/>
            </w:tcBorders>
            <w:shd w:val="clear" w:color="auto" w:fill="D4E3F5"/>
          </w:tcPr>
          <w:p>
            <w:pPr>
              <w:pStyle w:val="TableParagraph"/>
              <w:ind w:left="92" w:right="544"/>
              <w:jc w:val="left"/>
              <w:rPr>
                <w:sz w:val="14"/>
              </w:rPr>
            </w:pPr>
            <w:r>
              <w:rPr>
                <w:color w:val="231F20"/>
                <w:w w:val="80"/>
                <w:sz w:val="14"/>
              </w:rPr>
              <w:t>Number of international postal</w:t>
            </w:r>
            <w:r>
              <w:rPr>
                <w:color w:val="231F20"/>
                <w:spacing w:val="40"/>
                <w:sz w:val="14"/>
              </w:rPr>
              <w:t> </w:t>
            </w:r>
            <w:r>
              <w:rPr>
                <w:color w:val="231F20"/>
                <w:w w:val="90"/>
                <w:sz w:val="14"/>
              </w:rPr>
              <w:t>connections</w:t>
            </w:r>
            <w:r>
              <w:rPr>
                <w:color w:val="231F20"/>
                <w:spacing w:val="-6"/>
                <w:w w:val="90"/>
                <w:sz w:val="14"/>
              </w:rPr>
              <w:t> </w:t>
            </w:r>
            <w:r>
              <w:rPr>
                <w:color w:val="231F20"/>
                <w:w w:val="90"/>
                <w:sz w:val="14"/>
              </w:rPr>
              <w:t>(countries)</w:t>
            </w:r>
          </w:p>
        </w:tc>
      </w:tr>
      <w:tr>
        <w:trPr>
          <w:trHeight w:val="254" w:hRule="atLeast"/>
        </w:trPr>
        <w:tc>
          <w:tcPr>
            <w:tcW w:w="1267" w:type="dxa"/>
            <w:tcBorders>
              <w:top w:val="single" w:sz="4" w:space="0" w:color="008FDD"/>
            </w:tcBorders>
          </w:tcPr>
          <w:p>
            <w:pPr>
              <w:pStyle w:val="TableParagraph"/>
              <w:spacing w:before="43"/>
              <w:ind w:left="80"/>
              <w:jc w:val="left"/>
              <w:rPr>
                <w:i/>
                <w:sz w:val="14"/>
              </w:rPr>
            </w:pPr>
            <w:r>
              <w:rPr>
                <w:i/>
                <w:color w:val="231F20"/>
                <w:spacing w:val="-4"/>
                <w:w w:val="90"/>
                <w:sz w:val="14"/>
              </w:rPr>
              <w:t>Time</w:t>
            </w:r>
          </w:p>
        </w:tc>
        <w:tc>
          <w:tcPr>
            <w:tcW w:w="856" w:type="dxa"/>
            <w:tcBorders>
              <w:top w:val="single" w:sz="4" w:space="0" w:color="008FDD"/>
            </w:tcBorders>
          </w:tcPr>
          <w:p>
            <w:pPr>
              <w:pStyle w:val="TableParagraph"/>
              <w:spacing w:before="0"/>
              <w:jc w:val="left"/>
              <w:rPr>
                <w:rFonts w:ascii="Times New Roman"/>
                <w:sz w:val="14"/>
              </w:rPr>
            </w:pPr>
          </w:p>
        </w:tc>
        <w:tc>
          <w:tcPr>
            <w:tcW w:w="2676" w:type="dxa"/>
            <w:tcBorders>
              <w:top w:val="single" w:sz="4" w:space="0" w:color="008FDD"/>
            </w:tcBorders>
          </w:tcPr>
          <w:p>
            <w:pPr>
              <w:pStyle w:val="TableParagraph"/>
              <w:spacing w:before="0"/>
              <w:jc w:val="left"/>
              <w:rPr>
                <w:rFonts w:ascii="Times New Roman"/>
                <w:sz w:val="14"/>
              </w:rPr>
            </w:pPr>
          </w:p>
        </w:tc>
      </w:tr>
      <w:tr>
        <w:trPr>
          <w:trHeight w:val="419" w:hRule="atLeast"/>
        </w:trPr>
        <w:tc>
          <w:tcPr>
            <w:tcW w:w="1267" w:type="dxa"/>
            <w:shd w:val="clear" w:color="auto" w:fill="D4E3F5"/>
          </w:tcPr>
          <w:p>
            <w:pPr>
              <w:pStyle w:val="TableParagraph"/>
              <w:ind w:left="80"/>
              <w:jc w:val="left"/>
              <w:rPr>
                <w:sz w:val="14"/>
              </w:rPr>
            </w:pPr>
            <w:r>
              <w:rPr>
                <w:color w:val="231F20"/>
                <w:w w:val="75"/>
                <w:sz w:val="14"/>
              </w:rPr>
              <w:t>Port</w:t>
            </w:r>
            <w:r>
              <w:rPr>
                <w:color w:val="231F20"/>
                <w:spacing w:val="9"/>
                <w:sz w:val="14"/>
              </w:rPr>
              <w:t> </w:t>
            </w:r>
            <w:r>
              <w:rPr>
                <w:color w:val="231F20"/>
                <w:w w:val="75"/>
                <w:sz w:val="14"/>
              </w:rPr>
              <w:t>dwell</w:t>
            </w:r>
            <w:r>
              <w:rPr>
                <w:color w:val="231F20"/>
                <w:spacing w:val="10"/>
                <w:sz w:val="14"/>
              </w:rPr>
              <w:t> </w:t>
            </w:r>
            <w:r>
              <w:rPr>
                <w:color w:val="231F20"/>
                <w:spacing w:val="-4"/>
                <w:w w:val="75"/>
                <w:sz w:val="14"/>
              </w:rPr>
              <w:t>time</w:t>
            </w:r>
          </w:p>
        </w:tc>
        <w:tc>
          <w:tcPr>
            <w:tcW w:w="856" w:type="dxa"/>
            <w:shd w:val="clear" w:color="auto" w:fill="D4E3F5"/>
          </w:tcPr>
          <w:p>
            <w:pPr>
              <w:pStyle w:val="TableParagraph"/>
              <w:ind w:left="96"/>
              <w:jc w:val="left"/>
              <w:rPr>
                <w:sz w:val="14"/>
              </w:rPr>
            </w:pPr>
            <w:r>
              <w:rPr>
                <w:color w:val="231F20"/>
                <w:spacing w:val="-2"/>
                <w:w w:val="85"/>
                <w:sz w:val="14"/>
              </w:rPr>
              <w:t>TradeLens</w:t>
            </w:r>
          </w:p>
        </w:tc>
        <w:tc>
          <w:tcPr>
            <w:tcW w:w="2676" w:type="dxa"/>
            <w:shd w:val="clear" w:color="auto" w:fill="D4E3F5"/>
          </w:tcPr>
          <w:p>
            <w:pPr>
              <w:pStyle w:val="TableParagraph"/>
              <w:ind w:left="92" w:right="971"/>
              <w:jc w:val="left"/>
              <w:rPr>
                <w:sz w:val="14"/>
              </w:rPr>
            </w:pPr>
            <w:r>
              <w:rPr>
                <w:color w:val="231F20"/>
                <w:w w:val="80"/>
                <w:sz w:val="14"/>
              </w:rPr>
              <w:t>Time a container unit spends at</w:t>
            </w:r>
            <w:r>
              <w:rPr>
                <w:color w:val="231F20"/>
                <w:spacing w:val="40"/>
                <w:sz w:val="14"/>
              </w:rPr>
              <w:t> </w:t>
            </w:r>
            <w:r>
              <w:rPr>
                <w:color w:val="231F20"/>
                <w:w w:val="90"/>
                <w:sz w:val="14"/>
              </w:rPr>
              <w:t>a</w:t>
            </w:r>
            <w:r>
              <w:rPr>
                <w:color w:val="231F20"/>
                <w:spacing w:val="-1"/>
                <w:w w:val="90"/>
                <w:sz w:val="14"/>
              </w:rPr>
              <w:t> </w:t>
            </w:r>
            <w:r>
              <w:rPr>
                <w:color w:val="231F20"/>
                <w:w w:val="90"/>
                <w:sz w:val="14"/>
              </w:rPr>
              <w:t>port</w:t>
            </w:r>
            <w:r>
              <w:rPr>
                <w:color w:val="231F20"/>
                <w:spacing w:val="-1"/>
                <w:w w:val="90"/>
                <w:sz w:val="14"/>
              </w:rPr>
              <w:t> </w:t>
            </w:r>
            <w:r>
              <w:rPr>
                <w:color w:val="231F20"/>
                <w:w w:val="90"/>
                <w:sz w:val="14"/>
              </w:rPr>
              <w:t>(export</w:t>
            </w:r>
            <w:r>
              <w:rPr>
                <w:color w:val="231F20"/>
                <w:spacing w:val="-1"/>
                <w:w w:val="90"/>
                <w:sz w:val="14"/>
              </w:rPr>
              <w:t> </w:t>
            </w:r>
            <w:r>
              <w:rPr>
                <w:color w:val="231F20"/>
                <w:w w:val="90"/>
                <w:sz w:val="14"/>
              </w:rPr>
              <w:t>or</w:t>
            </w:r>
            <w:r>
              <w:rPr>
                <w:color w:val="231F20"/>
                <w:spacing w:val="-1"/>
                <w:w w:val="90"/>
                <w:sz w:val="14"/>
              </w:rPr>
              <w:t> </w:t>
            </w:r>
            <w:r>
              <w:rPr>
                <w:color w:val="231F20"/>
                <w:w w:val="90"/>
                <w:sz w:val="14"/>
              </w:rPr>
              <w:t>import)</w:t>
            </w:r>
          </w:p>
        </w:tc>
      </w:tr>
      <w:tr>
        <w:trPr>
          <w:trHeight w:val="419" w:hRule="atLeast"/>
        </w:trPr>
        <w:tc>
          <w:tcPr>
            <w:tcW w:w="1267" w:type="dxa"/>
          </w:tcPr>
          <w:p>
            <w:pPr>
              <w:pStyle w:val="TableParagraph"/>
              <w:ind w:left="80" w:right="526"/>
              <w:jc w:val="left"/>
              <w:rPr>
                <w:sz w:val="14"/>
              </w:rPr>
            </w:pPr>
            <w:r>
              <w:rPr>
                <w:color w:val="231F20"/>
                <w:spacing w:val="-2"/>
                <w:w w:val="75"/>
                <w:sz w:val="14"/>
              </w:rPr>
              <w:t>Consolidated</w:t>
            </w:r>
            <w:r>
              <w:rPr>
                <w:color w:val="231F20"/>
                <w:spacing w:val="40"/>
                <w:sz w:val="14"/>
              </w:rPr>
              <w:t> </w:t>
            </w:r>
            <w:r>
              <w:rPr>
                <w:color w:val="231F20"/>
                <w:w w:val="90"/>
                <w:sz w:val="14"/>
              </w:rPr>
              <w:t>dwell</w:t>
            </w:r>
            <w:r>
              <w:rPr>
                <w:color w:val="231F20"/>
                <w:spacing w:val="-6"/>
                <w:w w:val="90"/>
                <w:sz w:val="14"/>
              </w:rPr>
              <w:t> </w:t>
            </w:r>
            <w:r>
              <w:rPr>
                <w:color w:val="231F20"/>
                <w:w w:val="90"/>
                <w:sz w:val="14"/>
              </w:rPr>
              <w:t>time</w:t>
            </w:r>
          </w:p>
        </w:tc>
        <w:tc>
          <w:tcPr>
            <w:tcW w:w="856" w:type="dxa"/>
          </w:tcPr>
          <w:p>
            <w:pPr>
              <w:pStyle w:val="TableParagraph"/>
              <w:ind w:left="96"/>
              <w:jc w:val="left"/>
              <w:rPr>
                <w:sz w:val="14"/>
              </w:rPr>
            </w:pPr>
            <w:r>
              <w:rPr>
                <w:color w:val="231F20"/>
                <w:spacing w:val="-2"/>
                <w:w w:val="85"/>
                <w:sz w:val="14"/>
              </w:rPr>
              <w:t>TradeLens</w:t>
            </w:r>
          </w:p>
        </w:tc>
        <w:tc>
          <w:tcPr>
            <w:tcW w:w="2676" w:type="dxa"/>
          </w:tcPr>
          <w:p>
            <w:pPr>
              <w:pStyle w:val="TableParagraph"/>
              <w:ind w:left="92"/>
              <w:jc w:val="left"/>
              <w:rPr>
                <w:sz w:val="14"/>
              </w:rPr>
            </w:pPr>
            <w:r>
              <w:rPr>
                <w:color w:val="231F20"/>
                <w:w w:val="85"/>
                <w:sz w:val="14"/>
              </w:rPr>
              <w:t>Port dwell time plus time spent at inland</w:t>
            </w:r>
            <w:r>
              <w:rPr>
                <w:color w:val="231F20"/>
                <w:spacing w:val="40"/>
                <w:sz w:val="14"/>
              </w:rPr>
              <w:t> </w:t>
            </w:r>
            <w:r>
              <w:rPr>
                <w:color w:val="231F20"/>
                <w:w w:val="80"/>
                <w:sz w:val="14"/>
              </w:rPr>
              <w:t>multimodal clearance facilities for a container</w:t>
            </w:r>
          </w:p>
        </w:tc>
      </w:tr>
      <w:tr>
        <w:trPr>
          <w:trHeight w:val="259" w:hRule="atLeast"/>
        </w:trPr>
        <w:tc>
          <w:tcPr>
            <w:tcW w:w="1267" w:type="dxa"/>
            <w:shd w:val="clear" w:color="auto" w:fill="D4E3F5"/>
          </w:tcPr>
          <w:p>
            <w:pPr>
              <w:pStyle w:val="TableParagraph"/>
              <w:ind w:left="80"/>
              <w:jc w:val="left"/>
              <w:rPr>
                <w:sz w:val="14"/>
              </w:rPr>
            </w:pPr>
            <w:r>
              <w:rPr>
                <w:color w:val="231F20"/>
                <w:w w:val="75"/>
                <w:sz w:val="14"/>
              </w:rPr>
              <w:t>Aviation</w:t>
            </w:r>
            <w:r>
              <w:rPr>
                <w:color w:val="231F20"/>
                <w:spacing w:val="13"/>
                <w:sz w:val="14"/>
              </w:rPr>
              <w:t> </w:t>
            </w:r>
            <w:r>
              <w:rPr>
                <w:color w:val="231F20"/>
                <w:w w:val="75"/>
                <w:sz w:val="14"/>
              </w:rPr>
              <w:t>dwell</w:t>
            </w:r>
            <w:r>
              <w:rPr>
                <w:color w:val="231F20"/>
                <w:spacing w:val="13"/>
                <w:sz w:val="14"/>
              </w:rPr>
              <w:t> </w:t>
            </w:r>
            <w:r>
              <w:rPr>
                <w:color w:val="231F20"/>
                <w:spacing w:val="-4"/>
                <w:w w:val="75"/>
                <w:sz w:val="14"/>
              </w:rPr>
              <w:t>time</w:t>
            </w:r>
          </w:p>
        </w:tc>
        <w:tc>
          <w:tcPr>
            <w:tcW w:w="856" w:type="dxa"/>
            <w:shd w:val="clear" w:color="auto" w:fill="D4E3F5"/>
          </w:tcPr>
          <w:p>
            <w:pPr>
              <w:pStyle w:val="TableParagraph"/>
              <w:ind w:left="96"/>
              <w:jc w:val="left"/>
              <w:rPr>
                <w:sz w:val="14"/>
              </w:rPr>
            </w:pPr>
            <w:r>
              <w:rPr>
                <w:color w:val="231F20"/>
                <w:w w:val="75"/>
                <w:sz w:val="14"/>
              </w:rPr>
              <w:t>Cargo</w:t>
            </w:r>
            <w:r>
              <w:rPr>
                <w:color w:val="231F20"/>
                <w:spacing w:val="4"/>
                <w:sz w:val="14"/>
              </w:rPr>
              <w:t> </w:t>
            </w:r>
            <w:r>
              <w:rPr>
                <w:color w:val="231F20"/>
                <w:spacing w:val="-5"/>
                <w:w w:val="85"/>
                <w:sz w:val="14"/>
              </w:rPr>
              <w:t>iQ</w:t>
            </w:r>
          </w:p>
        </w:tc>
        <w:tc>
          <w:tcPr>
            <w:tcW w:w="2676" w:type="dxa"/>
            <w:shd w:val="clear" w:color="auto" w:fill="D4E3F5"/>
          </w:tcPr>
          <w:p>
            <w:pPr>
              <w:pStyle w:val="TableParagraph"/>
              <w:ind w:left="92"/>
              <w:jc w:val="left"/>
              <w:rPr>
                <w:sz w:val="14"/>
              </w:rPr>
            </w:pPr>
            <w:r>
              <w:rPr>
                <w:color w:val="231F20"/>
                <w:w w:val="75"/>
                <w:sz w:val="14"/>
              </w:rPr>
              <w:t>Time</w:t>
            </w:r>
            <w:r>
              <w:rPr>
                <w:color w:val="231F20"/>
                <w:spacing w:val="5"/>
                <w:sz w:val="14"/>
              </w:rPr>
              <w:t> </w:t>
            </w:r>
            <w:r>
              <w:rPr>
                <w:color w:val="231F20"/>
                <w:w w:val="75"/>
                <w:sz w:val="14"/>
              </w:rPr>
              <w:t>goods</w:t>
            </w:r>
            <w:r>
              <w:rPr>
                <w:color w:val="231F20"/>
                <w:spacing w:val="5"/>
                <w:sz w:val="14"/>
              </w:rPr>
              <w:t> </w:t>
            </w:r>
            <w:r>
              <w:rPr>
                <w:color w:val="231F20"/>
                <w:w w:val="75"/>
                <w:sz w:val="14"/>
              </w:rPr>
              <w:t>spend</w:t>
            </w:r>
            <w:r>
              <w:rPr>
                <w:color w:val="231F20"/>
                <w:spacing w:val="5"/>
                <w:sz w:val="14"/>
              </w:rPr>
              <w:t> </w:t>
            </w:r>
            <w:r>
              <w:rPr>
                <w:color w:val="231F20"/>
                <w:w w:val="75"/>
                <w:sz w:val="14"/>
              </w:rPr>
              <w:t>at</w:t>
            </w:r>
            <w:r>
              <w:rPr>
                <w:color w:val="231F20"/>
                <w:spacing w:val="5"/>
                <w:sz w:val="14"/>
              </w:rPr>
              <w:t> </w:t>
            </w:r>
            <w:r>
              <w:rPr>
                <w:color w:val="231F20"/>
                <w:w w:val="75"/>
                <w:sz w:val="14"/>
              </w:rPr>
              <w:t>an</w:t>
            </w:r>
            <w:r>
              <w:rPr>
                <w:color w:val="231F20"/>
                <w:spacing w:val="6"/>
                <w:sz w:val="14"/>
              </w:rPr>
              <w:t> </w:t>
            </w:r>
            <w:r>
              <w:rPr>
                <w:color w:val="231F20"/>
                <w:spacing w:val="-2"/>
                <w:w w:val="75"/>
                <w:sz w:val="14"/>
              </w:rPr>
              <w:t>airport</w:t>
            </w:r>
          </w:p>
        </w:tc>
      </w:tr>
      <w:tr>
        <w:trPr>
          <w:trHeight w:val="579" w:hRule="atLeast"/>
        </w:trPr>
        <w:tc>
          <w:tcPr>
            <w:tcW w:w="1267" w:type="dxa"/>
          </w:tcPr>
          <w:p>
            <w:pPr>
              <w:pStyle w:val="TableParagraph"/>
              <w:ind w:left="80"/>
              <w:jc w:val="left"/>
              <w:rPr>
                <w:sz w:val="14"/>
              </w:rPr>
            </w:pPr>
            <w:r>
              <w:rPr>
                <w:color w:val="231F20"/>
                <w:w w:val="75"/>
                <w:sz w:val="14"/>
              </w:rPr>
              <w:t>Postal</w:t>
            </w:r>
            <w:r>
              <w:rPr>
                <w:color w:val="231F20"/>
                <w:spacing w:val="13"/>
                <w:sz w:val="14"/>
              </w:rPr>
              <w:t> </w:t>
            </w:r>
            <w:r>
              <w:rPr>
                <w:color w:val="231F20"/>
                <w:w w:val="75"/>
                <w:sz w:val="14"/>
              </w:rPr>
              <w:t>delivery</w:t>
            </w:r>
            <w:r>
              <w:rPr>
                <w:color w:val="231F20"/>
                <w:spacing w:val="14"/>
                <w:sz w:val="14"/>
              </w:rPr>
              <w:t> </w:t>
            </w:r>
            <w:r>
              <w:rPr>
                <w:color w:val="231F20"/>
                <w:spacing w:val="-4"/>
                <w:w w:val="75"/>
                <w:sz w:val="14"/>
              </w:rPr>
              <w:t>time</w:t>
            </w:r>
          </w:p>
        </w:tc>
        <w:tc>
          <w:tcPr>
            <w:tcW w:w="856" w:type="dxa"/>
          </w:tcPr>
          <w:p>
            <w:pPr>
              <w:pStyle w:val="TableParagraph"/>
              <w:ind w:left="96" w:right="2"/>
              <w:jc w:val="left"/>
              <w:rPr>
                <w:sz w:val="14"/>
              </w:rPr>
            </w:pPr>
            <w:r>
              <w:rPr>
                <w:color w:val="231F20"/>
                <w:spacing w:val="-2"/>
                <w:w w:val="85"/>
                <w:sz w:val="14"/>
              </w:rPr>
              <w:t>Universal</w:t>
            </w:r>
            <w:r>
              <w:rPr>
                <w:color w:val="231F20"/>
                <w:spacing w:val="40"/>
                <w:sz w:val="14"/>
              </w:rPr>
              <w:t> </w:t>
            </w:r>
            <w:r>
              <w:rPr>
                <w:color w:val="231F20"/>
                <w:spacing w:val="-2"/>
                <w:w w:val="80"/>
                <w:sz w:val="14"/>
              </w:rPr>
              <w:t>Postal</w:t>
            </w:r>
            <w:r>
              <w:rPr>
                <w:color w:val="231F20"/>
                <w:spacing w:val="-8"/>
                <w:sz w:val="14"/>
              </w:rPr>
              <w:t> </w:t>
            </w:r>
            <w:r>
              <w:rPr>
                <w:color w:val="231F20"/>
                <w:spacing w:val="-2"/>
                <w:w w:val="80"/>
                <w:sz w:val="14"/>
              </w:rPr>
              <w:t>Union</w:t>
            </w:r>
          </w:p>
        </w:tc>
        <w:tc>
          <w:tcPr>
            <w:tcW w:w="2676" w:type="dxa"/>
          </w:tcPr>
          <w:p>
            <w:pPr>
              <w:pStyle w:val="TableParagraph"/>
              <w:ind w:left="92" w:right="35"/>
              <w:jc w:val="left"/>
              <w:rPr>
                <w:sz w:val="14"/>
              </w:rPr>
            </w:pPr>
            <w:r>
              <w:rPr>
                <w:color w:val="231F20"/>
                <w:w w:val="85"/>
                <w:sz w:val="14"/>
              </w:rPr>
              <w:t>Delivery time of a postal item from arrival at</w:t>
            </w:r>
            <w:r>
              <w:rPr>
                <w:color w:val="231F20"/>
                <w:spacing w:val="40"/>
                <w:sz w:val="14"/>
              </w:rPr>
              <w:t> </w:t>
            </w:r>
            <w:r>
              <w:rPr>
                <w:color w:val="231F20"/>
                <w:w w:val="85"/>
                <w:sz w:val="14"/>
              </w:rPr>
              <w:t>country’s postal office of exchange to final (or</w:t>
            </w:r>
            <w:r>
              <w:rPr>
                <w:color w:val="231F20"/>
                <w:spacing w:val="40"/>
                <w:sz w:val="14"/>
              </w:rPr>
              <w:t> </w:t>
            </w:r>
            <w:r>
              <w:rPr>
                <w:color w:val="231F20"/>
                <w:w w:val="80"/>
                <w:sz w:val="14"/>
              </w:rPr>
              <w:t>first unsuccessful attempted) delivery to recipient</w:t>
            </w:r>
          </w:p>
        </w:tc>
      </w:tr>
      <w:tr>
        <w:trPr>
          <w:trHeight w:val="579" w:hRule="atLeast"/>
        </w:trPr>
        <w:tc>
          <w:tcPr>
            <w:tcW w:w="1267" w:type="dxa"/>
            <w:shd w:val="clear" w:color="auto" w:fill="D4E3F5"/>
          </w:tcPr>
          <w:p>
            <w:pPr>
              <w:pStyle w:val="TableParagraph"/>
              <w:ind w:left="80"/>
              <w:jc w:val="left"/>
              <w:rPr>
                <w:sz w:val="14"/>
              </w:rPr>
            </w:pPr>
            <w:r>
              <w:rPr>
                <w:color w:val="231F20"/>
                <w:w w:val="75"/>
                <w:sz w:val="14"/>
              </w:rPr>
              <w:t>Corridor</w:t>
            </w:r>
            <w:r>
              <w:rPr>
                <w:color w:val="231F20"/>
                <w:spacing w:val="12"/>
                <w:sz w:val="14"/>
              </w:rPr>
              <w:t> </w:t>
            </w:r>
            <w:r>
              <w:rPr>
                <w:color w:val="231F20"/>
                <w:w w:val="75"/>
                <w:sz w:val="14"/>
              </w:rPr>
              <w:t>lead</w:t>
            </w:r>
            <w:r>
              <w:rPr>
                <w:color w:val="231F20"/>
                <w:spacing w:val="13"/>
                <w:sz w:val="14"/>
              </w:rPr>
              <w:t> </w:t>
            </w:r>
            <w:r>
              <w:rPr>
                <w:color w:val="231F20"/>
                <w:spacing w:val="-4"/>
                <w:w w:val="75"/>
                <w:sz w:val="14"/>
              </w:rPr>
              <w:t>time</w:t>
            </w:r>
          </w:p>
        </w:tc>
        <w:tc>
          <w:tcPr>
            <w:tcW w:w="856" w:type="dxa"/>
            <w:shd w:val="clear" w:color="auto" w:fill="D4E3F5"/>
          </w:tcPr>
          <w:p>
            <w:pPr>
              <w:pStyle w:val="TableParagraph"/>
              <w:ind w:left="96"/>
              <w:jc w:val="left"/>
              <w:rPr>
                <w:sz w:val="14"/>
              </w:rPr>
            </w:pPr>
            <w:r>
              <w:rPr>
                <w:color w:val="231F20"/>
                <w:spacing w:val="-2"/>
                <w:w w:val="85"/>
                <w:sz w:val="14"/>
              </w:rPr>
              <w:t>TradeLens</w:t>
            </w:r>
          </w:p>
        </w:tc>
        <w:tc>
          <w:tcPr>
            <w:tcW w:w="2676" w:type="dxa"/>
            <w:shd w:val="clear" w:color="auto" w:fill="D4E3F5"/>
          </w:tcPr>
          <w:p>
            <w:pPr>
              <w:pStyle w:val="TableParagraph"/>
              <w:ind w:left="92" w:right="544"/>
              <w:jc w:val="left"/>
              <w:rPr>
                <w:sz w:val="14"/>
              </w:rPr>
            </w:pPr>
            <w:r>
              <w:rPr>
                <w:color w:val="231F20"/>
                <w:w w:val="80"/>
                <w:sz w:val="14"/>
              </w:rPr>
              <w:t>Lead time of containers from port of</w:t>
            </w:r>
            <w:r>
              <w:rPr>
                <w:color w:val="231F20"/>
                <w:spacing w:val="40"/>
                <w:sz w:val="14"/>
              </w:rPr>
              <w:t> </w:t>
            </w:r>
            <w:r>
              <w:rPr>
                <w:color w:val="231F20"/>
                <w:w w:val="85"/>
                <w:sz w:val="14"/>
              </w:rPr>
              <w:t>origin to destination, estimated for</w:t>
            </w:r>
            <w:r>
              <w:rPr>
                <w:color w:val="231F20"/>
                <w:spacing w:val="40"/>
                <w:sz w:val="14"/>
              </w:rPr>
              <w:t> </w:t>
            </w:r>
            <w:r>
              <w:rPr>
                <w:color w:val="231F20"/>
                <w:w w:val="85"/>
                <w:sz w:val="14"/>
              </w:rPr>
              <w:t>selected landlocked countries</w:t>
            </w:r>
          </w:p>
        </w:tc>
      </w:tr>
      <w:tr>
        <w:trPr>
          <w:trHeight w:val="414" w:hRule="atLeast"/>
        </w:trPr>
        <w:tc>
          <w:tcPr>
            <w:tcW w:w="1267" w:type="dxa"/>
            <w:tcBorders>
              <w:bottom w:val="single" w:sz="4" w:space="0" w:color="008FDD"/>
            </w:tcBorders>
          </w:tcPr>
          <w:p>
            <w:pPr>
              <w:pStyle w:val="TableParagraph"/>
              <w:ind w:left="80"/>
              <w:jc w:val="left"/>
              <w:rPr>
                <w:sz w:val="14"/>
              </w:rPr>
            </w:pPr>
            <w:r>
              <w:rPr>
                <w:color w:val="231F20"/>
                <w:w w:val="75"/>
                <w:sz w:val="14"/>
              </w:rPr>
              <w:t>Turnaround</w:t>
            </w:r>
            <w:r>
              <w:rPr>
                <w:color w:val="231F20"/>
                <w:spacing w:val="19"/>
                <w:sz w:val="14"/>
              </w:rPr>
              <w:t> </w:t>
            </w:r>
            <w:r>
              <w:rPr>
                <w:color w:val="231F20"/>
                <w:spacing w:val="-4"/>
                <w:w w:val="90"/>
                <w:sz w:val="14"/>
              </w:rPr>
              <w:t>time</w:t>
            </w:r>
          </w:p>
        </w:tc>
        <w:tc>
          <w:tcPr>
            <w:tcW w:w="856" w:type="dxa"/>
            <w:tcBorders>
              <w:bottom w:val="single" w:sz="4" w:space="0" w:color="008FDD"/>
            </w:tcBorders>
          </w:tcPr>
          <w:p>
            <w:pPr>
              <w:pStyle w:val="TableParagraph"/>
              <w:ind w:left="96"/>
              <w:jc w:val="left"/>
              <w:rPr>
                <w:sz w:val="14"/>
              </w:rPr>
            </w:pPr>
            <w:r>
              <w:rPr>
                <w:color w:val="231F20"/>
                <w:spacing w:val="-2"/>
                <w:w w:val="90"/>
                <w:sz w:val="14"/>
              </w:rPr>
              <w:t>MarineTraffic</w:t>
            </w:r>
          </w:p>
        </w:tc>
        <w:tc>
          <w:tcPr>
            <w:tcW w:w="2676" w:type="dxa"/>
            <w:tcBorders>
              <w:bottom w:val="single" w:sz="4" w:space="0" w:color="008FDD"/>
            </w:tcBorders>
          </w:tcPr>
          <w:p>
            <w:pPr>
              <w:pStyle w:val="TableParagraph"/>
              <w:ind w:left="92" w:right="544"/>
              <w:jc w:val="left"/>
              <w:rPr>
                <w:sz w:val="14"/>
              </w:rPr>
            </w:pPr>
            <w:r>
              <w:rPr>
                <w:color w:val="231F20"/>
                <w:w w:val="85"/>
                <w:sz w:val="14"/>
              </w:rPr>
              <w:t>Time</w:t>
            </w:r>
            <w:r>
              <w:rPr>
                <w:color w:val="231F20"/>
                <w:spacing w:val="-4"/>
                <w:w w:val="85"/>
                <w:sz w:val="14"/>
              </w:rPr>
              <w:t> </w:t>
            </w:r>
            <w:r>
              <w:rPr>
                <w:color w:val="231F20"/>
                <w:w w:val="85"/>
                <w:sz w:val="14"/>
              </w:rPr>
              <w:t>container</w:t>
            </w:r>
            <w:r>
              <w:rPr>
                <w:color w:val="231F20"/>
                <w:spacing w:val="-4"/>
                <w:w w:val="85"/>
                <w:sz w:val="14"/>
              </w:rPr>
              <w:t> </w:t>
            </w:r>
            <w:r>
              <w:rPr>
                <w:color w:val="231F20"/>
                <w:w w:val="85"/>
                <w:sz w:val="14"/>
              </w:rPr>
              <w:t>ships</w:t>
            </w:r>
            <w:r>
              <w:rPr>
                <w:color w:val="231F20"/>
                <w:spacing w:val="-4"/>
                <w:w w:val="85"/>
                <w:sz w:val="14"/>
              </w:rPr>
              <w:t> </w:t>
            </w:r>
            <w:r>
              <w:rPr>
                <w:color w:val="231F20"/>
                <w:w w:val="85"/>
                <w:sz w:val="14"/>
              </w:rPr>
              <w:t>call</w:t>
            </w:r>
            <w:r>
              <w:rPr>
                <w:color w:val="231F20"/>
                <w:spacing w:val="-4"/>
                <w:w w:val="85"/>
                <w:sz w:val="14"/>
              </w:rPr>
              <w:t> </w:t>
            </w:r>
            <w:r>
              <w:rPr>
                <w:color w:val="231F20"/>
                <w:w w:val="85"/>
                <w:sz w:val="14"/>
              </w:rPr>
              <w:t>at</w:t>
            </w:r>
            <w:r>
              <w:rPr>
                <w:color w:val="231F20"/>
                <w:spacing w:val="-4"/>
                <w:w w:val="85"/>
                <w:sz w:val="14"/>
              </w:rPr>
              <w:t> </w:t>
            </w:r>
            <w:r>
              <w:rPr>
                <w:color w:val="231F20"/>
                <w:w w:val="85"/>
                <w:sz w:val="14"/>
              </w:rPr>
              <w:t>a</w:t>
            </w:r>
            <w:r>
              <w:rPr>
                <w:color w:val="231F20"/>
                <w:spacing w:val="-4"/>
                <w:w w:val="85"/>
                <w:sz w:val="14"/>
              </w:rPr>
              <w:t> </w:t>
            </w:r>
            <w:r>
              <w:rPr>
                <w:color w:val="231F20"/>
                <w:w w:val="85"/>
                <w:sz w:val="14"/>
              </w:rPr>
              <w:t>port,</w:t>
            </w:r>
            <w:r>
              <w:rPr>
                <w:color w:val="231F20"/>
                <w:spacing w:val="40"/>
                <w:sz w:val="14"/>
              </w:rPr>
              <w:t> </w:t>
            </w:r>
            <w:r>
              <w:rPr>
                <w:color w:val="231F20"/>
                <w:w w:val="80"/>
                <w:sz w:val="14"/>
              </w:rPr>
              <w:t>excluding waiting time at anchorage</w:t>
            </w:r>
          </w:p>
        </w:tc>
      </w:tr>
    </w:tbl>
    <w:p>
      <w:pPr>
        <w:pStyle w:val="BodyText"/>
        <w:rPr>
          <w:rFonts w:ascii="Arial"/>
          <w:b/>
          <w:sz w:val="16"/>
        </w:rPr>
      </w:pPr>
    </w:p>
    <w:p>
      <w:pPr>
        <w:pStyle w:val="BodyText"/>
        <w:spacing w:before="182"/>
        <w:rPr>
          <w:rFonts w:ascii="Arial"/>
          <w:b/>
          <w:sz w:val="16"/>
        </w:rPr>
      </w:pPr>
    </w:p>
    <w:p>
      <w:pPr>
        <w:spacing w:line="352" w:lineRule="auto" w:before="0"/>
        <w:ind w:left="318" w:right="0" w:firstLine="0"/>
        <w:jc w:val="left"/>
        <w:rPr>
          <w:rFonts w:ascii="Arial"/>
          <w:sz w:val="16"/>
        </w:rPr>
      </w:pPr>
      <w:r>
        <w:rPr>
          <w:rFonts w:ascii="Arial"/>
          <w:color w:val="231F20"/>
          <w:sz w:val="16"/>
        </w:rPr>
        <w:t>source. Here, choosing the number of connections facilitates com- parisons across modes.</w:t>
      </w:r>
    </w:p>
    <w:p>
      <w:pPr>
        <w:pStyle w:val="BodyText"/>
        <w:spacing w:before="103"/>
        <w:rPr>
          <w:rFonts w:ascii="Arial"/>
          <w:sz w:val="16"/>
        </w:rPr>
      </w:pPr>
    </w:p>
    <w:p>
      <w:pPr>
        <w:spacing w:before="1"/>
        <w:ind w:left="318" w:right="0" w:firstLine="0"/>
        <w:jc w:val="left"/>
        <w:rPr>
          <w:rFonts w:ascii="Arial"/>
          <w:b/>
          <w:sz w:val="14"/>
        </w:rPr>
      </w:pPr>
      <w:r>
        <w:rPr>
          <w:rFonts w:ascii="Arial"/>
          <w:b/>
          <w:color w:val="231F20"/>
          <w:spacing w:val="-4"/>
          <w:w w:val="105"/>
          <w:sz w:val="14"/>
        </w:rPr>
        <w:t>Note</w:t>
      </w:r>
    </w:p>
    <w:p>
      <w:pPr>
        <w:spacing w:before="109"/>
        <w:ind w:left="318" w:right="0" w:firstLine="0"/>
        <w:jc w:val="left"/>
        <w:rPr>
          <w:rFonts w:ascii="Arial"/>
          <w:sz w:val="14"/>
        </w:rPr>
      </w:pPr>
      <w:r>
        <w:rPr>
          <w:rFonts w:ascii="Arial"/>
          <w:color w:val="231F20"/>
          <w:sz w:val="14"/>
        </w:rPr>
        <w:t>1.</w:t>
      </w:r>
      <w:r>
        <w:rPr>
          <w:rFonts w:ascii="Arial"/>
          <w:color w:val="231F20"/>
          <w:spacing w:val="2"/>
          <w:sz w:val="14"/>
        </w:rPr>
        <w:t> </w:t>
      </w:r>
      <w:r>
        <w:rPr>
          <w:rFonts w:ascii="Arial"/>
          <w:color w:val="231F20"/>
          <w:sz w:val="14"/>
        </w:rPr>
        <w:t>World</w:t>
      </w:r>
      <w:r>
        <w:rPr>
          <w:rFonts w:ascii="Arial"/>
          <w:color w:val="231F20"/>
          <w:spacing w:val="3"/>
          <w:sz w:val="14"/>
        </w:rPr>
        <w:t> </w:t>
      </w:r>
      <w:r>
        <w:rPr>
          <w:rFonts w:ascii="Arial"/>
          <w:color w:val="231F20"/>
          <w:sz w:val="14"/>
        </w:rPr>
        <w:t>Bank</w:t>
      </w:r>
      <w:r>
        <w:rPr>
          <w:rFonts w:ascii="Arial"/>
          <w:color w:val="231F20"/>
          <w:spacing w:val="2"/>
          <w:sz w:val="14"/>
        </w:rPr>
        <w:t> </w:t>
      </w:r>
      <w:r>
        <w:rPr>
          <w:rFonts w:ascii="Arial"/>
          <w:color w:val="231F20"/>
          <w:spacing w:val="-2"/>
          <w:sz w:val="14"/>
        </w:rPr>
        <w:t>2021a.</w:t>
      </w:r>
    </w:p>
    <w:p>
      <w:pPr>
        <w:spacing w:after="0"/>
        <w:jc w:val="left"/>
        <w:rPr>
          <w:rFonts w:ascii="Arial"/>
          <w:sz w:val="14"/>
        </w:rPr>
        <w:sectPr>
          <w:type w:val="continuous"/>
          <w:pgSz w:w="12240" w:h="15840"/>
          <w:pgMar w:header="0" w:footer="548" w:top="1140" w:bottom="280" w:left="0" w:right="540"/>
          <w:cols w:num="2" w:equalWidth="0">
            <w:col w:w="6182" w:space="40"/>
            <w:col w:w="5478"/>
          </w:cols>
        </w:sectPr>
      </w:pPr>
    </w:p>
    <w:p>
      <w:pPr>
        <w:pStyle w:val="BodyText"/>
        <w:rPr>
          <w:rFonts w:ascii="Arial"/>
          <w:sz w:val="20"/>
        </w:rPr>
      </w:pPr>
    </w:p>
    <w:p>
      <w:pPr>
        <w:pStyle w:val="BodyText"/>
        <w:rPr>
          <w:rFonts w:ascii="Arial"/>
          <w:sz w:val="20"/>
        </w:rPr>
      </w:pPr>
    </w:p>
    <w:p>
      <w:pPr>
        <w:pStyle w:val="BodyText"/>
        <w:spacing w:before="37"/>
        <w:rPr>
          <w:rFonts w:ascii="Arial"/>
          <w:sz w:val="20"/>
        </w:rPr>
      </w:pPr>
    </w:p>
    <w:p>
      <w:pPr>
        <w:spacing w:after="0"/>
        <w:rPr>
          <w:rFonts w:ascii="Arial"/>
          <w:sz w:val="20"/>
        </w:rPr>
        <w:sectPr>
          <w:pgSz w:w="12240" w:h="15840"/>
          <w:pgMar w:header="0" w:footer="548" w:top="560" w:bottom="740" w:left="0" w:right="54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3"/>
        <w:rPr>
          <w:rFonts w:ascii="Arial"/>
          <w:sz w:val="20"/>
        </w:rPr>
      </w:pPr>
    </w:p>
    <w:tbl>
      <w:tblPr>
        <w:tblW w:w="0" w:type="auto"/>
        <w:jc w:val="left"/>
        <w:tblInd w:w="3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8"/>
        <w:gridCol w:w="651"/>
        <w:gridCol w:w="977"/>
        <w:gridCol w:w="651"/>
        <w:gridCol w:w="488"/>
      </w:tblGrid>
      <w:tr>
        <w:trPr>
          <w:trHeight w:val="444" w:hRule="exact"/>
        </w:trPr>
        <w:tc>
          <w:tcPr>
            <w:tcW w:w="488" w:type="dxa"/>
            <w:vMerge w:val="restart"/>
            <w:tcBorders>
              <w:top w:val="single" w:sz="4" w:space="0" w:color="FFFFFF"/>
              <w:bottom w:val="single" w:sz="4" w:space="0" w:color="FFFFFF"/>
            </w:tcBorders>
          </w:tcPr>
          <w:p>
            <w:pPr>
              <w:pStyle w:val="TableParagraph"/>
              <w:spacing w:before="0"/>
              <w:jc w:val="left"/>
              <w:rPr>
                <w:rFonts w:ascii="Times New Roman"/>
                <w:sz w:val="16"/>
              </w:rPr>
            </w:pPr>
          </w:p>
        </w:tc>
        <w:tc>
          <w:tcPr>
            <w:tcW w:w="651" w:type="dxa"/>
            <w:tcBorders>
              <w:top w:val="single" w:sz="4" w:space="0" w:color="FFFFFF"/>
            </w:tcBorders>
            <w:shd w:val="clear" w:color="auto" w:fill="939598"/>
          </w:tcPr>
          <w:p>
            <w:pPr>
              <w:pStyle w:val="TableParagraph"/>
              <w:spacing w:before="0"/>
              <w:jc w:val="left"/>
              <w:rPr>
                <w:rFonts w:ascii="Times New Roman"/>
                <w:sz w:val="16"/>
              </w:rPr>
            </w:pPr>
          </w:p>
        </w:tc>
        <w:tc>
          <w:tcPr>
            <w:tcW w:w="977" w:type="dxa"/>
            <w:vMerge w:val="restart"/>
            <w:tcBorders>
              <w:top w:val="single" w:sz="4" w:space="0" w:color="FFFFFF"/>
              <w:bottom w:val="single" w:sz="4" w:space="0" w:color="FFFFFF"/>
            </w:tcBorders>
          </w:tcPr>
          <w:p>
            <w:pPr>
              <w:pStyle w:val="TableParagraph"/>
              <w:spacing w:before="0"/>
              <w:jc w:val="left"/>
              <w:rPr>
                <w:rFonts w:ascii="Times New Roman"/>
                <w:sz w:val="16"/>
              </w:rPr>
            </w:pPr>
          </w:p>
        </w:tc>
        <w:tc>
          <w:tcPr>
            <w:tcW w:w="651" w:type="dxa"/>
            <w:vMerge w:val="restart"/>
            <w:tcBorders>
              <w:top w:val="single" w:sz="4" w:space="0" w:color="FFFFFF"/>
            </w:tcBorders>
            <w:shd w:val="clear" w:color="auto" w:fill="939598"/>
          </w:tcPr>
          <w:p>
            <w:pPr>
              <w:pStyle w:val="TableParagraph"/>
              <w:spacing w:before="0"/>
              <w:jc w:val="left"/>
              <w:rPr>
                <w:rFonts w:ascii="Times New Roman"/>
                <w:sz w:val="16"/>
              </w:rPr>
            </w:pPr>
          </w:p>
        </w:tc>
        <w:tc>
          <w:tcPr>
            <w:tcW w:w="488" w:type="dxa"/>
            <w:vMerge w:val="restart"/>
            <w:tcBorders>
              <w:top w:val="single" w:sz="4" w:space="0" w:color="FFFFFF"/>
              <w:bottom w:val="single" w:sz="4" w:space="0" w:color="FFFFFF"/>
            </w:tcBorders>
          </w:tcPr>
          <w:p>
            <w:pPr>
              <w:pStyle w:val="TableParagraph"/>
              <w:spacing w:before="0"/>
              <w:jc w:val="left"/>
              <w:rPr>
                <w:rFonts w:ascii="Times New Roman"/>
                <w:sz w:val="16"/>
              </w:rPr>
            </w:pPr>
          </w:p>
        </w:tc>
      </w:tr>
      <w:tr>
        <w:trPr>
          <w:trHeight w:val="271" w:hRule="exact"/>
        </w:trPr>
        <w:tc>
          <w:tcPr>
            <w:tcW w:w="488" w:type="dxa"/>
            <w:vMerge/>
            <w:tcBorders>
              <w:top w:val="nil"/>
              <w:bottom w:val="single" w:sz="4" w:space="0" w:color="FFFFFF"/>
            </w:tcBorders>
          </w:tcPr>
          <w:p>
            <w:pPr>
              <w:rPr>
                <w:sz w:val="2"/>
                <w:szCs w:val="2"/>
              </w:rPr>
            </w:pPr>
          </w:p>
        </w:tc>
        <w:tc>
          <w:tcPr>
            <w:tcW w:w="651" w:type="dxa"/>
            <w:shd w:val="clear" w:color="auto" w:fill="231F20"/>
          </w:tcPr>
          <w:p>
            <w:pPr>
              <w:pStyle w:val="TableParagraph"/>
              <w:spacing w:before="0"/>
              <w:jc w:val="left"/>
              <w:rPr>
                <w:rFonts w:ascii="Times New Roman"/>
                <w:sz w:val="16"/>
              </w:rPr>
            </w:pPr>
          </w:p>
        </w:tc>
        <w:tc>
          <w:tcPr>
            <w:tcW w:w="977" w:type="dxa"/>
            <w:vMerge/>
            <w:tcBorders>
              <w:top w:val="nil"/>
              <w:bottom w:val="single" w:sz="4" w:space="0" w:color="FFFFFF"/>
            </w:tcBorders>
          </w:tcPr>
          <w:p>
            <w:pPr>
              <w:rPr>
                <w:sz w:val="2"/>
                <w:szCs w:val="2"/>
              </w:rPr>
            </w:pPr>
          </w:p>
        </w:tc>
        <w:tc>
          <w:tcPr>
            <w:tcW w:w="651" w:type="dxa"/>
            <w:vMerge/>
            <w:tcBorders>
              <w:top w:val="nil"/>
            </w:tcBorders>
            <w:shd w:val="clear" w:color="auto" w:fill="939598"/>
          </w:tcPr>
          <w:p>
            <w:pPr>
              <w:rPr>
                <w:sz w:val="2"/>
                <w:szCs w:val="2"/>
              </w:rPr>
            </w:pPr>
          </w:p>
        </w:tc>
        <w:tc>
          <w:tcPr>
            <w:tcW w:w="488" w:type="dxa"/>
            <w:vMerge/>
            <w:tcBorders>
              <w:top w:val="nil"/>
              <w:bottom w:val="single" w:sz="4" w:space="0" w:color="FFFFFF"/>
            </w:tcBorders>
          </w:tcPr>
          <w:p>
            <w:pPr>
              <w:rPr>
                <w:sz w:val="2"/>
                <w:szCs w:val="2"/>
              </w:rPr>
            </w:pPr>
          </w:p>
        </w:tc>
      </w:tr>
      <w:tr>
        <w:trPr>
          <w:trHeight w:val="614" w:hRule="exact"/>
        </w:trPr>
        <w:tc>
          <w:tcPr>
            <w:tcW w:w="488" w:type="dxa"/>
            <w:vMerge w:val="restart"/>
            <w:tcBorders>
              <w:top w:val="single" w:sz="4" w:space="0" w:color="FFFFFF"/>
              <w:bottom w:val="single" w:sz="4" w:space="0" w:color="FFFFFF"/>
            </w:tcBorders>
          </w:tcPr>
          <w:p>
            <w:pPr>
              <w:pStyle w:val="TableParagraph"/>
              <w:spacing w:before="0"/>
              <w:jc w:val="left"/>
              <w:rPr>
                <w:rFonts w:ascii="Times New Roman"/>
                <w:sz w:val="16"/>
              </w:rPr>
            </w:pPr>
          </w:p>
        </w:tc>
        <w:tc>
          <w:tcPr>
            <w:tcW w:w="651" w:type="dxa"/>
            <w:vMerge w:val="restart"/>
            <w:shd w:val="clear" w:color="auto" w:fill="76AEE5"/>
          </w:tcPr>
          <w:p>
            <w:pPr>
              <w:pStyle w:val="TableParagraph"/>
              <w:spacing w:before="0"/>
              <w:jc w:val="left"/>
              <w:rPr>
                <w:rFonts w:ascii="Times New Roman"/>
                <w:sz w:val="16"/>
              </w:rPr>
            </w:pPr>
          </w:p>
        </w:tc>
        <w:tc>
          <w:tcPr>
            <w:tcW w:w="977" w:type="dxa"/>
            <w:vMerge w:val="restart"/>
            <w:tcBorders>
              <w:top w:val="single" w:sz="4" w:space="0" w:color="FFFFFF"/>
              <w:bottom w:val="single" w:sz="4" w:space="0" w:color="FFFFFF"/>
            </w:tcBorders>
          </w:tcPr>
          <w:p>
            <w:pPr>
              <w:pStyle w:val="TableParagraph"/>
              <w:spacing w:before="0"/>
              <w:jc w:val="left"/>
              <w:rPr>
                <w:rFonts w:ascii="Times New Roman"/>
                <w:sz w:val="16"/>
              </w:rPr>
            </w:pPr>
          </w:p>
        </w:tc>
        <w:tc>
          <w:tcPr>
            <w:tcW w:w="651" w:type="dxa"/>
            <w:vMerge/>
            <w:tcBorders>
              <w:top w:val="nil"/>
            </w:tcBorders>
            <w:shd w:val="clear" w:color="auto" w:fill="939598"/>
          </w:tcPr>
          <w:p>
            <w:pPr>
              <w:rPr>
                <w:sz w:val="2"/>
                <w:szCs w:val="2"/>
              </w:rPr>
            </w:pPr>
          </w:p>
        </w:tc>
        <w:tc>
          <w:tcPr>
            <w:tcW w:w="488" w:type="dxa"/>
            <w:vMerge w:val="restart"/>
            <w:tcBorders>
              <w:top w:val="single" w:sz="4" w:space="0" w:color="FFFFFF"/>
              <w:bottom w:val="single" w:sz="4" w:space="0" w:color="FFFFFF"/>
            </w:tcBorders>
          </w:tcPr>
          <w:p>
            <w:pPr>
              <w:pStyle w:val="TableParagraph"/>
              <w:spacing w:before="0"/>
              <w:jc w:val="left"/>
              <w:rPr>
                <w:rFonts w:ascii="Times New Roman"/>
                <w:sz w:val="16"/>
              </w:rPr>
            </w:pPr>
          </w:p>
        </w:tc>
      </w:tr>
      <w:tr>
        <w:trPr>
          <w:trHeight w:val="102" w:hRule="exact"/>
        </w:trPr>
        <w:tc>
          <w:tcPr>
            <w:tcW w:w="488" w:type="dxa"/>
            <w:vMerge/>
            <w:tcBorders>
              <w:top w:val="nil"/>
              <w:bottom w:val="single" w:sz="4" w:space="0" w:color="FFFFFF"/>
            </w:tcBorders>
          </w:tcPr>
          <w:p>
            <w:pPr>
              <w:rPr>
                <w:sz w:val="2"/>
                <w:szCs w:val="2"/>
              </w:rPr>
            </w:pPr>
          </w:p>
        </w:tc>
        <w:tc>
          <w:tcPr>
            <w:tcW w:w="651" w:type="dxa"/>
            <w:vMerge/>
            <w:tcBorders>
              <w:top w:val="nil"/>
            </w:tcBorders>
            <w:shd w:val="clear" w:color="auto" w:fill="76AEE5"/>
          </w:tcPr>
          <w:p>
            <w:pPr>
              <w:rPr>
                <w:sz w:val="2"/>
                <w:szCs w:val="2"/>
              </w:rPr>
            </w:pPr>
          </w:p>
        </w:tc>
        <w:tc>
          <w:tcPr>
            <w:tcW w:w="977" w:type="dxa"/>
            <w:vMerge/>
            <w:tcBorders>
              <w:top w:val="nil"/>
              <w:bottom w:val="single" w:sz="4" w:space="0" w:color="FFFFFF"/>
            </w:tcBorders>
          </w:tcPr>
          <w:p>
            <w:pPr>
              <w:rPr>
                <w:sz w:val="2"/>
                <w:szCs w:val="2"/>
              </w:rPr>
            </w:pPr>
          </w:p>
        </w:tc>
        <w:tc>
          <w:tcPr>
            <w:tcW w:w="651" w:type="dxa"/>
            <w:vMerge w:val="restart"/>
            <w:shd w:val="clear" w:color="auto" w:fill="231F20"/>
          </w:tcPr>
          <w:p>
            <w:pPr>
              <w:pStyle w:val="TableParagraph"/>
              <w:spacing w:before="0"/>
              <w:jc w:val="left"/>
              <w:rPr>
                <w:rFonts w:ascii="Times New Roman"/>
                <w:sz w:val="16"/>
              </w:rPr>
            </w:pPr>
          </w:p>
        </w:tc>
        <w:tc>
          <w:tcPr>
            <w:tcW w:w="488" w:type="dxa"/>
            <w:vMerge/>
            <w:tcBorders>
              <w:top w:val="nil"/>
              <w:bottom w:val="single" w:sz="4" w:space="0" w:color="FFFFFF"/>
            </w:tcBorders>
          </w:tcPr>
          <w:p>
            <w:pPr>
              <w:rPr>
                <w:sz w:val="2"/>
                <w:szCs w:val="2"/>
              </w:rPr>
            </w:pPr>
          </w:p>
        </w:tc>
      </w:tr>
      <w:tr>
        <w:trPr>
          <w:trHeight w:val="366" w:hRule="exact"/>
        </w:trPr>
        <w:tc>
          <w:tcPr>
            <w:tcW w:w="488" w:type="dxa"/>
            <w:vMerge w:val="restart"/>
            <w:tcBorders>
              <w:top w:val="single" w:sz="4" w:space="0" w:color="FFFFFF"/>
              <w:bottom w:val="single" w:sz="4" w:space="0" w:color="FFFFFF"/>
            </w:tcBorders>
          </w:tcPr>
          <w:p>
            <w:pPr>
              <w:pStyle w:val="TableParagraph"/>
              <w:spacing w:before="0"/>
              <w:jc w:val="left"/>
              <w:rPr>
                <w:rFonts w:ascii="Times New Roman"/>
                <w:sz w:val="16"/>
              </w:rPr>
            </w:pPr>
          </w:p>
        </w:tc>
        <w:tc>
          <w:tcPr>
            <w:tcW w:w="651" w:type="dxa"/>
            <w:vMerge/>
            <w:tcBorders>
              <w:top w:val="nil"/>
            </w:tcBorders>
            <w:shd w:val="clear" w:color="auto" w:fill="76AEE5"/>
          </w:tcPr>
          <w:p>
            <w:pPr>
              <w:rPr>
                <w:sz w:val="2"/>
                <w:szCs w:val="2"/>
              </w:rPr>
            </w:pPr>
          </w:p>
        </w:tc>
        <w:tc>
          <w:tcPr>
            <w:tcW w:w="977" w:type="dxa"/>
            <w:vMerge w:val="restart"/>
            <w:tcBorders>
              <w:top w:val="single" w:sz="4" w:space="0" w:color="FFFFFF"/>
              <w:bottom w:val="single" w:sz="4" w:space="0" w:color="FFFFFF"/>
            </w:tcBorders>
          </w:tcPr>
          <w:p>
            <w:pPr>
              <w:pStyle w:val="TableParagraph"/>
              <w:spacing w:before="0"/>
              <w:jc w:val="left"/>
              <w:rPr>
                <w:rFonts w:ascii="Times New Roman"/>
                <w:sz w:val="16"/>
              </w:rPr>
            </w:pPr>
          </w:p>
        </w:tc>
        <w:tc>
          <w:tcPr>
            <w:tcW w:w="651" w:type="dxa"/>
            <w:vMerge/>
            <w:tcBorders>
              <w:top w:val="nil"/>
            </w:tcBorders>
            <w:shd w:val="clear" w:color="auto" w:fill="231F20"/>
          </w:tcPr>
          <w:p>
            <w:pPr>
              <w:rPr>
                <w:sz w:val="2"/>
                <w:szCs w:val="2"/>
              </w:rPr>
            </w:pPr>
          </w:p>
        </w:tc>
        <w:tc>
          <w:tcPr>
            <w:tcW w:w="488" w:type="dxa"/>
            <w:vMerge w:val="restart"/>
            <w:tcBorders>
              <w:top w:val="single" w:sz="4" w:space="0" w:color="FFFFFF"/>
              <w:bottom w:val="single" w:sz="4" w:space="0" w:color="FFFFFF"/>
            </w:tcBorders>
          </w:tcPr>
          <w:p>
            <w:pPr>
              <w:pStyle w:val="TableParagraph"/>
              <w:spacing w:before="0"/>
              <w:jc w:val="left"/>
              <w:rPr>
                <w:rFonts w:ascii="Times New Roman"/>
                <w:sz w:val="16"/>
              </w:rPr>
            </w:pPr>
          </w:p>
        </w:tc>
      </w:tr>
      <w:tr>
        <w:trPr>
          <w:trHeight w:val="350" w:hRule="exact"/>
        </w:trPr>
        <w:tc>
          <w:tcPr>
            <w:tcW w:w="488" w:type="dxa"/>
            <w:vMerge/>
            <w:tcBorders>
              <w:top w:val="nil"/>
              <w:bottom w:val="single" w:sz="4" w:space="0" w:color="FFFFFF"/>
            </w:tcBorders>
          </w:tcPr>
          <w:p>
            <w:pPr>
              <w:rPr>
                <w:sz w:val="2"/>
                <w:szCs w:val="2"/>
              </w:rPr>
            </w:pPr>
          </w:p>
        </w:tc>
        <w:tc>
          <w:tcPr>
            <w:tcW w:w="651" w:type="dxa"/>
            <w:vMerge/>
            <w:tcBorders>
              <w:top w:val="nil"/>
            </w:tcBorders>
            <w:shd w:val="clear" w:color="auto" w:fill="76AEE5"/>
          </w:tcPr>
          <w:p>
            <w:pPr>
              <w:rPr>
                <w:sz w:val="2"/>
                <w:szCs w:val="2"/>
              </w:rPr>
            </w:pPr>
          </w:p>
        </w:tc>
        <w:tc>
          <w:tcPr>
            <w:tcW w:w="977" w:type="dxa"/>
            <w:vMerge/>
            <w:tcBorders>
              <w:top w:val="nil"/>
              <w:bottom w:val="single" w:sz="4" w:space="0" w:color="FFFFFF"/>
            </w:tcBorders>
          </w:tcPr>
          <w:p>
            <w:pPr>
              <w:rPr>
                <w:sz w:val="2"/>
                <w:szCs w:val="2"/>
              </w:rPr>
            </w:pPr>
          </w:p>
        </w:tc>
        <w:tc>
          <w:tcPr>
            <w:tcW w:w="651" w:type="dxa"/>
            <w:vMerge w:val="restart"/>
            <w:shd w:val="clear" w:color="auto" w:fill="76AEE5"/>
          </w:tcPr>
          <w:p>
            <w:pPr>
              <w:pStyle w:val="TableParagraph"/>
              <w:spacing w:before="0"/>
              <w:jc w:val="left"/>
              <w:rPr>
                <w:rFonts w:ascii="Times New Roman"/>
                <w:sz w:val="16"/>
              </w:rPr>
            </w:pPr>
          </w:p>
        </w:tc>
        <w:tc>
          <w:tcPr>
            <w:tcW w:w="488" w:type="dxa"/>
            <w:vMerge/>
            <w:tcBorders>
              <w:top w:val="nil"/>
              <w:bottom w:val="single" w:sz="4" w:space="0" w:color="FFFFFF"/>
            </w:tcBorders>
          </w:tcPr>
          <w:p>
            <w:pPr>
              <w:rPr>
                <w:sz w:val="2"/>
                <w:szCs w:val="2"/>
              </w:rPr>
            </w:pPr>
          </w:p>
        </w:tc>
      </w:tr>
      <w:tr>
        <w:trPr>
          <w:trHeight w:val="353" w:hRule="exact"/>
        </w:trPr>
        <w:tc>
          <w:tcPr>
            <w:tcW w:w="488" w:type="dxa"/>
            <w:vMerge w:val="restart"/>
            <w:tcBorders>
              <w:top w:val="single" w:sz="4" w:space="0" w:color="FFFFFF"/>
              <w:bottom w:val="single" w:sz="4" w:space="0" w:color="FFFFFF"/>
            </w:tcBorders>
          </w:tcPr>
          <w:p>
            <w:pPr>
              <w:pStyle w:val="TableParagraph"/>
              <w:spacing w:before="0"/>
              <w:jc w:val="left"/>
              <w:rPr>
                <w:rFonts w:ascii="Times New Roman"/>
                <w:sz w:val="16"/>
              </w:rPr>
            </w:pPr>
          </w:p>
        </w:tc>
        <w:tc>
          <w:tcPr>
            <w:tcW w:w="651" w:type="dxa"/>
            <w:vMerge/>
            <w:tcBorders>
              <w:top w:val="nil"/>
            </w:tcBorders>
            <w:shd w:val="clear" w:color="auto" w:fill="76AEE5"/>
          </w:tcPr>
          <w:p>
            <w:pPr>
              <w:rPr>
                <w:sz w:val="2"/>
                <w:szCs w:val="2"/>
              </w:rPr>
            </w:pPr>
          </w:p>
        </w:tc>
        <w:tc>
          <w:tcPr>
            <w:tcW w:w="977" w:type="dxa"/>
            <w:vMerge w:val="restart"/>
            <w:tcBorders>
              <w:top w:val="single" w:sz="4" w:space="0" w:color="FFFFFF"/>
              <w:bottom w:val="single" w:sz="4" w:space="0" w:color="FFFFFF"/>
            </w:tcBorders>
          </w:tcPr>
          <w:p>
            <w:pPr>
              <w:pStyle w:val="TableParagraph"/>
              <w:spacing w:before="0"/>
              <w:jc w:val="left"/>
              <w:rPr>
                <w:rFonts w:ascii="Times New Roman"/>
                <w:sz w:val="16"/>
              </w:rPr>
            </w:pPr>
          </w:p>
        </w:tc>
        <w:tc>
          <w:tcPr>
            <w:tcW w:w="651" w:type="dxa"/>
            <w:vMerge/>
            <w:tcBorders>
              <w:top w:val="nil"/>
            </w:tcBorders>
            <w:shd w:val="clear" w:color="auto" w:fill="76AEE5"/>
          </w:tcPr>
          <w:p>
            <w:pPr>
              <w:rPr>
                <w:sz w:val="2"/>
                <w:szCs w:val="2"/>
              </w:rPr>
            </w:pPr>
          </w:p>
        </w:tc>
        <w:tc>
          <w:tcPr>
            <w:tcW w:w="488" w:type="dxa"/>
            <w:vMerge w:val="restart"/>
            <w:tcBorders>
              <w:top w:val="single" w:sz="4" w:space="0" w:color="FFFFFF"/>
              <w:bottom w:val="single" w:sz="4" w:space="0" w:color="FFFFFF"/>
            </w:tcBorders>
          </w:tcPr>
          <w:p>
            <w:pPr>
              <w:pStyle w:val="TableParagraph"/>
              <w:spacing w:before="0"/>
              <w:jc w:val="left"/>
              <w:rPr>
                <w:rFonts w:ascii="Times New Roman"/>
                <w:sz w:val="16"/>
              </w:rPr>
            </w:pPr>
          </w:p>
        </w:tc>
      </w:tr>
      <w:tr>
        <w:trPr>
          <w:trHeight w:val="363" w:hRule="exact"/>
        </w:trPr>
        <w:tc>
          <w:tcPr>
            <w:tcW w:w="488" w:type="dxa"/>
            <w:vMerge/>
            <w:tcBorders>
              <w:top w:val="nil"/>
              <w:bottom w:val="single" w:sz="4" w:space="0" w:color="FFFFFF"/>
            </w:tcBorders>
          </w:tcPr>
          <w:p>
            <w:pPr>
              <w:rPr>
                <w:sz w:val="2"/>
                <w:szCs w:val="2"/>
              </w:rPr>
            </w:pPr>
          </w:p>
        </w:tc>
        <w:tc>
          <w:tcPr>
            <w:tcW w:w="651" w:type="dxa"/>
            <w:tcBorders>
              <w:bottom w:val="single" w:sz="4" w:space="0" w:color="FFFFFF"/>
            </w:tcBorders>
            <w:shd w:val="clear" w:color="auto" w:fill="008FDD"/>
          </w:tcPr>
          <w:p>
            <w:pPr>
              <w:pStyle w:val="TableParagraph"/>
              <w:spacing w:before="0"/>
              <w:jc w:val="left"/>
              <w:rPr>
                <w:rFonts w:ascii="Times New Roman"/>
                <w:sz w:val="16"/>
              </w:rPr>
            </w:pPr>
          </w:p>
        </w:tc>
        <w:tc>
          <w:tcPr>
            <w:tcW w:w="977" w:type="dxa"/>
            <w:vMerge/>
            <w:tcBorders>
              <w:top w:val="nil"/>
              <w:bottom w:val="single" w:sz="4" w:space="0" w:color="FFFFFF"/>
            </w:tcBorders>
          </w:tcPr>
          <w:p>
            <w:pPr>
              <w:rPr>
                <w:sz w:val="2"/>
                <w:szCs w:val="2"/>
              </w:rPr>
            </w:pPr>
          </w:p>
        </w:tc>
        <w:tc>
          <w:tcPr>
            <w:tcW w:w="651" w:type="dxa"/>
            <w:tcBorders>
              <w:bottom w:val="single" w:sz="4" w:space="0" w:color="FFFFFF"/>
            </w:tcBorders>
            <w:shd w:val="clear" w:color="auto" w:fill="008FDD"/>
          </w:tcPr>
          <w:p>
            <w:pPr>
              <w:pStyle w:val="TableParagraph"/>
              <w:spacing w:before="0"/>
              <w:jc w:val="left"/>
              <w:rPr>
                <w:rFonts w:ascii="Times New Roman"/>
                <w:sz w:val="16"/>
              </w:rPr>
            </w:pPr>
          </w:p>
        </w:tc>
        <w:tc>
          <w:tcPr>
            <w:tcW w:w="488" w:type="dxa"/>
            <w:vMerge/>
            <w:tcBorders>
              <w:top w:val="nil"/>
              <w:bottom w:val="single" w:sz="4" w:space="0" w:color="FFFFFF"/>
            </w:tcBorders>
          </w:tcPr>
          <w:p>
            <w:pPr>
              <w:rPr>
                <w:sz w:val="2"/>
                <w:szCs w:val="2"/>
              </w:rPr>
            </w:pPr>
          </w:p>
        </w:tc>
      </w:tr>
    </w:tbl>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90"/>
        <w:rPr>
          <w:rFonts w:ascii="Arial"/>
        </w:rPr>
      </w:pPr>
    </w:p>
    <w:p>
      <w:pPr>
        <w:pStyle w:val="BodyText"/>
        <w:spacing w:line="268" w:lineRule="auto"/>
        <w:ind w:left="3360"/>
        <w:jc w:val="both"/>
      </w:pPr>
      <w:bookmarkStart w:name="_bookmark23" w:id="26"/>
      <w:bookmarkEnd w:id="26"/>
      <w:r>
        <w:rPr/>
      </w:r>
      <w:r>
        <w:rPr>
          <w:color w:val="231F20"/>
          <w:spacing w:val="-4"/>
        </w:rPr>
        <w:t>for</w:t>
      </w:r>
      <w:r>
        <w:rPr>
          <w:color w:val="231F20"/>
          <w:spacing w:val="-6"/>
        </w:rPr>
        <w:t> </w:t>
      </w:r>
      <w:r>
        <w:rPr>
          <w:color w:val="231F20"/>
          <w:spacing w:val="-4"/>
        </w:rPr>
        <w:t>postal</w:t>
      </w:r>
      <w:r>
        <w:rPr>
          <w:color w:val="231F20"/>
          <w:spacing w:val="-6"/>
        </w:rPr>
        <w:t> </w:t>
      </w:r>
      <w:r>
        <w:rPr>
          <w:color w:val="231F20"/>
          <w:spacing w:val="-4"/>
        </w:rPr>
        <w:t>delivery</w:t>
      </w:r>
      <w:r>
        <w:rPr>
          <w:color w:val="231F20"/>
          <w:spacing w:val="-6"/>
        </w:rPr>
        <w:t> </w:t>
      </w:r>
      <w:r>
        <w:rPr>
          <w:color w:val="231F20"/>
          <w:spacing w:val="-4"/>
        </w:rPr>
        <w:t>of</w:t>
      </w:r>
      <w:r>
        <w:rPr>
          <w:color w:val="231F20"/>
          <w:spacing w:val="-6"/>
        </w:rPr>
        <w:t> </w:t>
      </w:r>
      <w:r>
        <w:rPr>
          <w:color w:val="231F20"/>
          <w:spacing w:val="-4"/>
        </w:rPr>
        <w:t>parcels</w:t>
      </w:r>
      <w:r>
        <w:rPr>
          <w:color w:val="231F20"/>
          <w:spacing w:val="-6"/>
        </w:rPr>
        <w:t> </w:t>
      </w:r>
      <w:r>
        <w:rPr>
          <w:color w:val="231F20"/>
          <w:spacing w:val="-4"/>
        </w:rPr>
        <w:t>and</w:t>
      </w:r>
      <w:r>
        <w:rPr>
          <w:color w:val="231F20"/>
          <w:spacing w:val="-6"/>
        </w:rPr>
        <w:t> </w:t>
      </w:r>
      <w:r>
        <w:rPr>
          <w:color w:val="231F20"/>
          <w:spacing w:val="-4"/>
        </w:rPr>
        <w:t>express</w:t>
      </w:r>
      <w:r>
        <w:rPr>
          <w:color w:val="231F20"/>
          <w:spacing w:val="-6"/>
        </w:rPr>
        <w:t> </w:t>
      </w:r>
      <w:r>
        <w:rPr>
          <w:color w:val="231F20"/>
          <w:spacing w:val="-4"/>
        </w:rPr>
        <w:t>mail </w:t>
      </w:r>
      <w:r>
        <w:rPr>
          <w:color w:val="231F20"/>
          <w:w w:val="90"/>
        </w:rPr>
        <w:t>service courier shipments by air from Singapore </w:t>
      </w:r>
      <w:r>
        <w:rPr>
          <w:color w:val="231F20"/>
        </w:rPr>
        <w:t>to</w:t>
      </w:r>
      <w:r>
        <w:rPr>
          <w:color w:val="231F20"/>
          <w:spacing w:val="-9"/>
        </w:rPr>
        <w:t> </w:t>
      </w:r>
      <w:r>
        <w:rPr>
          <w:color w:val="231F20"/>
        </w:rPr>
        <w:t>Thailand.</w:t>
      </w:r>
      <w:r>
        <w:rPr>
          <w:color w:val="231F20"/>
          <w:spacing w:val="-9"/>
        </w:rPr>
        <w:t> </w:t>
      </w:r>
      <w:r>
        <w:rPr>
          <w:color w:val="231F20"/>
        </w:rPr>
        <w:t>In</w:t>
      </w:r>
      <w:r>
        <w:rPr>
          <w:color w:val="231F20"/>
          <w:spacing w:val="-9"/>
        </w:rPr>
        <w:t> </w:t>
      </w:r>
      <w:r>
        <w:rPr>
          <w:color w:val="231F20"/>
        </w:rPr>
        <w:t>both</w:t>
      </w:r>
      <w:r>
        <w:rPr>
          <w:color w:val="231F20"/>
          <w:spacing w:val="-9"/>
        </w:rPr>
        <w:t> </w:t>
      </w:r>
      <w:r>
        <w:rPr>
          <w:color w:val="231F20"/>
        </w:rPr>
        <w:t>cases,</w:t>
      </w:r>
      <w:r>
        <w:rPr>
          <w:color w:val="231F20"/>
          <w:spacing w:val="-9"/>
        </w:rPr>
        <w:t> </w:t>
      </w:r>
      <w:r>
        <w:rPr>
          <w:color w:val="231F20"/>
        </w:rPr>
        <w:t>the</w:t>
      </w:r>
      <w:r>
        <w:rPr>
          <w:color w:val="231F20"/>
          <w:spacing w:val="-9"/>
        </w:rPr>
        <w:t> </w:t>
      </w:r>
      <w:r>
        <w:rPr>
          <w:color w:val="231F20"/>
        </w:rPr>
        <w:t>distribution</w:t>
      </w:r>
      <w:r>
        <w:rPr>
          <w:color w:val="231F20"/>
          <w:spacing w:val="-9"/>
        </w:rPr>
        <w:t> </w:t>
      </w:r>
      <w:r>
        <w:rPr>
          <w:color w:val="231F20"/>
        </w:rPr>
        <w:t>is asymmetric</w:t>
      </w:r>
      <w:r>
        <w:rPr>
          <w:color w:val="231F20"/>
          <w:spacing w:val="-3"/>
        </w:rPr>
        <w:t> </w:t>
      </w:r>
      <w:r>
        <w:rPr>
          <w:color w:val="231F20"/>
        </w:rPr>
        <w:t>relative</w:t>
      </w:r>
      <w:r>
        <w:rPr>
          <w:color w:val="231F20"/>
          <w:spacing w:val="-3"/>
        </w:rPr>
        <w:t> </w:t>
      </w:r>
      <w:r>
        <w:rPr>
          <w:color w:val="231F20"/>
        </w:rPr>
        <w:t>to</w:t>
      </w:r>
      <w:r>
        <w:rPr>
          <w:color w:val="231F20"/>
          <w:spacing w:val="-3"/>
        </w:rPr>
        <w:t> </w:t>
      </w:r>
      <w:r>
        <w:rPr>
          <w:color w:val="231F20"/>
        </w:rPr>
        <w:t>a</w:t>
      </w:r>
      <w:r>
        <w:rPr>
          <w:color w:val="231F20"/>
          <w:spacing w:val="-3"/>
        </w:rPr>
        <w:t> </w:t>
      </w:r>
      <w:r>
        <w:rPr>
          <w:color w:val="231F20"/>
        </w:rPr>
        <w:t>normal</w:t>
      </w:r>
      <w:r>
        <w:rPr>
          <w:color w:val="231F20"/>
          <w:spacing w:val="-3"/>
        </w:rPr>
        <w:t> </w:t>
      </w:r>
      <w:r>
        <w:rPr>
          <w:color w:val="231F20"/>
        </w:rPr>
        <w:t>distribution (or bell curve). In particular, they have long </w:t>
      </w:r>
      <w:r>
        <w:rPr>
          <w:color w:val="231F20"/>
          <w:w w:val="90"/>
        </w:rPr>
        <w:t>right tails, which means that lengthy lead times </w:t>
      </w:r>
      <w:r>
        <w:rPr>
          <w:color w:val="231F20"/>
          <w:spacing w:val="-4"/>
        </w:rPr>
        <w:t>relative</w:t>
      </w:r>
      <w:r>
        <w:rPr>
          <w:color w:val="231F20"/>
          <w:spacing w:val="-10"/>
        </w:rPr>
        <w:t> </w:t>
      </w:r>
      <w:r>
        <w:rPr>
          <w:color w:val="231F20"/>
          <w:spacing w:val="-4"/>
        </w:rPr>
        <w:t>to</w:t>
      </w:r>
      <w:r>
        <w:rPr>
          <w:color w:val="231F20"/>
          <w:spacing w:val="-9"/>
        </w:rPr>
        <w:t> </w:t>
      </w:r>
      <w:r>
        <w:rPr>
          <w:color w:val="231F20"/>
          <w:spacing w:val="-4"/>
        </w:rPr>
        <w:t>the</w:t>
      </w:r>
      <w:r>
        <w:rPr>
          <w:color w:val="231F20"/>
          <w:spacing w:val="-9"/>
        </w:rPr>
        <w:t> </w:t>
      </w:r>
      <w:r>
        <w:rPr>
          <w:color w:val="231F20"/>
          <w:spacing w:val="-4"/>
        </w:rPr>
        <w:t>average</w:t>
      </w:r>
      <w:r>
        <w:rPr>
          <w:color w:val="231F20"/>
          <w:spacing w:val="-9"/>
        </w:rPr>
        <w:t> </w:t>
      </w:r>
      <w:r>
        <w:rPr>
          <w:color w:val="231F20"/>
          <w:spacing w:val="-4"/>
        </w:rPr>
        <w:t>or</w:t>
      </w:r>
      <w:r>
        <w:rPr>
          <w:color w:val="231F20"/>
          <w:spacing w:val="-9"/>
        </w:rPr>
        <w:t> </w:t>
      </w:r>
      <w:r>
        <w:rPr>
          <w:color w:val="231F20"/>
          <w:spacing w:val="-4"/>
        </w:rPr>
        <w:t>median</w:t>
      </w:r>
      <w:r>
        <w:rPr>
          <w:color w:val="231F20"/>
          <w:spacing w:val="-9"/>
        </w:rPr>
        <w:t> </w:t>
      </w:r>
      <w:r>
        <w:rPr>
          <w:color w:val="231F20"/>
          <w:spacing w:val="-4"/>
        </w:rPr>
        <w:t>are</w:t>
      </w:r>
      <w:r>
        <w:rPr>
          <w:color w:val="231F20"/>
          <w:spacing w:val="-9"/>
        </w:rPr>
        <w:t> </w:t>
      </w:r>
      <w:r>
        <w:rPr>
          <w:color w:val="231F20"/>
          <w:spacing w:val="-4"/>
        </w:rPr>
        <w:t>common. </w:t>
      </w:r>
      <w:r>
        <w:rPr>
          <w:color w:val="231F20"/>
        </w:rPr>
        <w:t>Major</w:t>
      </w:r>
      <w:r>
        <w:rPr>
          <w:color w:val="231F20"/>
          <w:spacing w:val="-3"/>
        </w:rPr>
        <w:t> </w:t>
      </w:r>
      <w:r>
        <w:rPr>
          <w:color w:val="231F20"/>
        </w:rPr>
        <w:t>delays</w:t>
      </w:r>
      <w:r>
        <w:rPr>
          <w:color w:val="231F20"/>
          <w:spacing w:val="-3"/>
        </w:rPr>
        <w:t> </w:t>
      </w:r>
      <w:r>
        <w:rPr>
          <w:color w:val="231F20"/>
        </w:rPr>
        <w:t>are</w:t>
      </w:r>
      <w:r>
        <w:rPr>
          <w:color w:val="231F20"/>
          <w:spacing w:val="-3"/>
        </w:rPr>
        <w:t> </w:t>
      </w:r>
      <w:r>
        <w:rPr>
          <w:color w:val="231F20"/>
        </w:rPr>
        <w:t>therefore</w:t>
      </w:r>
      <w:r>
        <w:rPr>
          <w:color w:val="231F20"/>
          <w:spacing w:val="-3"/>
        </w:rPr>
        <w:t> </w:t>
      </w:r>
      <w:r>
        <w:rPr>
          <w:color w:val="231F20"/>
        </w:rPr>
        <w:t>part</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spacing w:val="-5"/>
        </w:rPr>
        <w:t>supply</w:t>
      </w:r>
    </w:p>
    <w:p>
      <w:pPr>
        <w:pStyle w:val="BodyText"/>
        <w:spacing w:line="268" w:lineRule="auto" w:before="97"/>
        <w:ind w:left="199" w:right="658"/>
        <w:jc w:val="both"/>
      </w:pPr>
      <w:r>
        <w:rPr/>
        <w:br w:type="column"/>
      </w:r>
      <w:r>
        <w:rPr>
          <w:color w:val="231F20"/>
          <w:spacing w:val="-2"/>
        </w:rPr>
        <w:t>chain</w:t>
      </w:r>
      <w:r>
        <w:rPr>
          <w:color w:val="231F20"/>
          <w:spacing w:val="-9"/>
        </w:rPr>
        <w:t> </w:t>
      </w:r>
      <w:r>
        <w:rPr>
          <w:color w:val="231F20"/>
          <w:spacing w:val="-2"/>
        </w:rPr>
        <w:t>experience</w:t>
      </w:r>
      <w:r>
        <w:rPr>
          <w:color w:val="231F20"/>
          <w:spacing w:val="-9"/>
        </w:rPr>
        <w:t> </w:t>
      </w:r>
      <w:r>
        <w:rPr>
          <w:color w:val="231F20"/>
          <w:spacing w:val="-2"/>
        </w:rPr>
        <w:t>across</w:t>
      </w:r>
      <w:r>
        <w:rPr>
          <w:color w:val="231F20"/>
          <w:spacing w:val="-9"/>
        </w:rPr>
        <w:t> </w:t>
      </w:r>
      <w:r>
        <w:rPr>
          <w:color w:val="231F20"/>
          <w:spacing w:val="-2"/>
        </w:rPr>
        <w:t>modes.</w:t>
      </w:r>
      <w:r>
        <w:rPr>
          <w:color w:val="231F20"/>
          <w:spacing w:val="-9"/>
        </w:rPr>
        <w:t> </w:t>
      </w:r>
      <w:r>
        <w:rPr>
          <w:color w:val="231F20"/>
          <w:spacing w:val="-2"/>
        </w:rPr>
        <w:t>Major</w:t>
      </w:r>
      <w:r>
        <w:rPr>
          <w:color w:val="231F20"/>
          <w:spacing w:val="-9"/>
        </w:rPr>
        <w:t> </w:t>
      </w:r>
      <w:r>
        <w:rPr>
          <w:color w:val="231F20"/>
          <w:spacing w:val="-2"/>
        </w:rPr>
        <w:t>delays </w:t>
      </w:r>
      <w:r>
        <w:rPr>
          <w:color w:val="231F20"/>
          <w:spacing w:val="-4"/>
        </w:rPr>
        <w:t>create</w:t>
      </w:r>
      <w:r>
        <w:rPr>
          <w:color w:val="231F20"/>
          <w:spacing w:val="-6"/>
        </w:rPr>
        <w:t> </w:t>
      </w:r>
      <w:r>
        <w:rPr>
          <w:color w:val="231F20"/>
          <w:spacing w:val="-4"/>
        </w:rPr>
        <w:t>risks</w:t>
      </w:r>
      <w:r>
        <w:rPr>
          <w:color w:val="231F20"/>
          <w:spacing w:val="-6"/>
        </w:rPr>
        <w:t> </w:t>
      </w:r>
      <w:r>
        <w:rPr>
          <w:color w:val="231F20"/>
          <w:spacing w:val="-4"/>
        </w:rPr>
        <w:t>that</w:t>
      </w:r>
      <w:r>
        <w:rPr>
          <w:color w:val="231F20"/>
          <w:spacing w:val="-6"/>
        </w:rPr>
        <w:t> </w:t>
      </w:r>
      <w:r>
        <w:rPr>
          <w:color w:val="231F20"/>
          <w:spacing w:val="-4"/>
        </w:rPr>
        <w:t>operators</w:t>
      </w:r>
      <w:r>
        <w:rPr>
          <w:color w:val="231F20"/>
          <w:spacing w:val="-6"/>
        </w:rPr>
        <w:t> </w:t>
      </w:r>
      <w:r>
        <w:rPr>
          <w:color w:val="231F20"/>
          <w:spacing w:val="-4"/>
        </w:rPr>
        <w:t>need</w:t>
      </w:r>
      <w:r>
        <w:rPr>
          <w:color w:val="231F20"/>
          <w:spacing w:val="-6"/>
        </w:rPr>
        <w:t> </w:t>
      </w:r>
      <w:r>
        <w:rPr>
          <w:color w:val="231F20"/>
          <w:spacing w:val="-4"/>
        </w:rPr>
        <w:t>to</w:t>
      </w:r>
      <w:r>
        <w:rPr>
          <w:color w:val="231F20"/>
          <w:spacing w:val="-6"/>
        </w:rPr>
        <w:t> </w:t>
      </w:r>
      <w:r>
        <w:rPr>
          <w:color w:val="231F20"/>
          <w:spacing w:val="-4"/>
        </w:rPr>
        <w:t>manage</w:t>
      </w:r>
      <w:r>
        <w:rPr>
          <w:color w:val="231F20"/>
          <w:spacing w:val="-6"/>
        </w:rPr>
        <w:t> </w:t>
      </w:r>
      <w:r>
        <w:rPr>
          <w:color w:val="231F20"/>
          <w:spacing w:val="-4"/>
        </w:rPr>
        <w:t>and </w:t>
      </w:r>
      <w:r>
        <w:rPr>
          <w:color w:val="231F20"/>
        </w:rPr>
        <w:t>that</w:t>
      </w:r>
      <w:r>
        <w:rPr>
          <w:color w:val="231F20"/>
          <w:spacing w:val="-14"/>
        </w:rPr>
        <w:t> </w:t>
      </w:r>
      <w:r>
        <w:rPr>
          <w:color w:val="231F20"/>
        </w:rPr>
        <w:t>policymakers</w:t>
      </w:r>
      <w:r>
        <w:rPr>
          <w:color w:val="231F20"/>
          <w:spacing w:val="-13"/>
        </w:rPr>
        <w:t> </w:t>
      </w:r>
      <w:r>
        <w:rPr>
          <w:color w:val="231F20"/>
        </w:rPr>
        <w:t>need</w:t>
      </w:r>
      <w:r>
        <w:rPr>
          <w:color w:val="231F20"/>
          <w:spacing w:val="-13"/>
        </w:rPr>
        <w:t> </w:t>
      </w:r>
      <w:r>
        <w:rPr>
          <w:color w:val="231F20"/>
        </w:rPr>
        <w:t>to</w:t>
      </w:r>
      <w:r>
        <w:rPr>
          <w:color w:val="231F20"/>
          <w:spacing w:val="-13"/>
        </w:rPr>
        <w:t> </w:t>
      </w:r>
      <w:r>
        <w:rPr>
          <w:color w:val="231F20"/>
        </w:rPr>
        <w:t>be</w:t>
      </w:r>
      <w:r>
        <w:rPr>
          <w:color w:val="231F20"/>
          <w:spacing w:val="-13"/>
        </w:rPr>
        <w:t> </w:t>
      </w:r>
      <w:r>
        <w:rPr>
          <w:color w:val="231F20"/>
        </w:rPr>
        <w:t>aware</w:t>
      </w:r>
      <w:r>
        <w:rPr>
          <w:color w:val="231F20"/>
          <w:spacing w:val="-13"/>
        </w:rPr>
        <w:t> </w:t>
      </w:r>
      <w:r>
        <w:rPr>
          <w:color w:val="231F20"/>
        </w:rPr>
        <w:t>of.</w:t>
      </w:r>
    </w:p>
    <w:p>
      <w:pPr>
        <w:pStyle w:val="BodyText"/>
        <w:spacing w:line="268" w:lineRule="auto"/>
        <w:ind w:left="199" w:right="656" w:firstLine="300"/>
        <w:jc w:val="both"/>
        <w:rPr>
          <w:sz w:val="14"/>
        </w:rPr>
      </w:pPr>
      <w:r>
        <w:rPr/>
        <mc:AlternateContent>
          <mc:Choice Requires="wps">
            <w:drawing>
              <wp:anchor distT="0" distB="0" distL="0" distR="0" allowOverlap="1" layoutInCell="1" locked="0" behindDoc="1" simplePos="0" relativeHeight="466754560">
                <wp:simplePos x="0" y="0"/>
                <wp:positionH relativeFrom="page">
                  <wp:posOffset>2133600</wp:posOffset>
                </wp:positionH>
                <wp:positionV relativeFrom="paragraph">
                  <wp:posOffset>-498673</wp:posOffset>
                </wp:positionV>
                <wp:extent cx="2362835" cy="3524250"/>
                <wp:effectExtent l="0" t="0" r="0" b="0"/>
                <wp:wrapNone/>
                <wp:docPr id="910" name="Group 910"/>
                <wp:cNvGraphicFramePr>
                  <a:graphicFrameLocks/>
                </wp:cNvGraphicFramePr>
                <a:graphic>
                  <a:graphicData uri="http://schemas.microsoft.com/office/word/2010/wordprocessingGroup">
                    <wpg:wgp>
                      <wpg:cNvPr id="910" name="Group 910"/>
                      <wpg:cNvGrpSpPr/>
                      <wpg:grpSpPr>
                        <a:xfrm>
                          <a:off x="0" y="0"/>
                          <a:ext cx="2362835" cy="3524250"/>
                          <a:chExt cx="2362835" cy="3524250"/>
                        </a:xfrm>
                      </wpg:grpSpPr>
                      <wps:wsp>
                        <wps:cNvPr id="911" name="Graphic 911"/>
                        <wps:cNvSpPr/>
                        <wps:spPr>
                          <a:xfrm>
                            <a:off x="199" y="513736"/>
                            <a:ext cx="2362200" cy="3010535"/>
                          </a:xfrm>
                          <a:custGeom>
                            <a:avLst/>
                            <a:gdLst/>
                            <a:ahLst/>
                            <a:cxnLst/>
                            <a:rect l="l" t="t" r="r" b="b"/>
                            <a:pathLst>
                              <a:path w="2362200" h="3010535">
                                <a:moveTo>
                                  <a:pt x="2362200" y="0"/>
                                </a:moveTo>
                                <a:lnTo>
                                  <a:pt x="0" y="0"/>
                                </a:lnTo>
                                <a:lnTo>
                                  <a:pt x="0" y="2935605"/>
                                </a:lnTo>
                                <a:lnTo>
                                  <a:pt x="6159" y="2964703"/>
                                </a:lnTo>
                                <a:lnTo>
                                  <a:pt x="22693" y="2988463"/>
                                </a:lnTo>
                                <a:lnTo>
                                  <a:pt x="46682" y="3004483"/>
                                </a:lnTo>
                                <a:lnTo>
                                  <a:pt x="75209" y="3010357"/>
                                </a:lnTo>
                                <a:lnTo>
                                  <a:pt x="2283320" y="3010357"/>
                                </a:lnTo>
                                <a:lnTo>
                                  <a:pt x="2312420" y="3005102"/>
                                </a:lnTo>
                                <a:lnTo>
                                  <a:pt x="2337671" y="2990116"/>
                                </a:lnTo>
                                <a:lnTo>
                                  <a:pt x="2355466" y="2966562"/>
                                </a:lnTo>
                                <a:lnTo>
                                  <a:pt x="2362200" y="2935605"/>
                                </a:lnTo>
                                <a:lnTo>
                                  <a:pt x="2362200" y="0"/>
                                </a:lnTo>
                                <a:close/>
                              </a:path>
                            </a:pathLst>
                          </a:custGeom>
                          <a:solidFill>
                            <a:srgbClr val="DFEAF7"/>
                          </a:solidFill>
                        </wps:spPr>
                        <wps:bodyPr wrap="square" lIns="0" tIns="0" rIns="0" bIns="0" rtlCol="0">
                          <a:prstTxWarp prst="textNoShape">
                            <a:avLst/>
                          </a:prstTxWarp>
                          <a:noAutofit/>
                        </wps:bodyPr>
                      </wps:wsp>
                      <wps:wsp>
                        <wps:cNvPr id="912" name="Graphic 912"/>
                        <wps:cNvSpPr/>
                        <wps:spPr>
                          <a:xfrm>
                            <a:off x="0" y="1643"/>
                            <a:ext cx="512445" cy="485775"/>
                          </a:xfrm>
                          <a:custGeom>
                            <a:avLst/>
                            <a:gdLst/>
                            <a:ahLst/>
                            <a:cxnLst/>
                            <a:rect l="l" t="t" r="r" b="b"/>
                            <a:pathLst>
                              <a:path w="512445" h="485775">
                                <a:moveTo>
                                  <a:pt x="512178" y="0"/>
                                </a:moveTo>
                                <a:lnTo>
                                  <a:pt x="76200" y="0"/>
                                </a:lnTo>
                                <a:lnTo>
                                  <a:pt x="47213" y="3058"/>
                                </a:lnTo>
                                <a:lnTo>
                                  <a:pt x="22917" y="14506"/>
                                </a:lnTo>
                                <a:lnTo>
                                  <a:pt x="6212" y="37751"/>
                                </a:lnTo>
                                <a:lnTo>
                                  <a:pt x="0" y="76200"/>
                                </a:lnTo>
                                <a:lnTo>
                                  <a:pt x="0" y="485775"/>
                                </a:lnTo>
                                <a:lnTo>
                                  <a:pt x="512178" y="485775"/>
                                </a:lnTo>
                                <a:lnTo>
                                  <a:pt x="512178" y="0"/>
                                </a:lnTo>
                                <a:close/>
                              </a:path>
                            </a:pathLst>
                          </a:custGeom>
                          <a:solidFill>
                            <a:srgbClr val="008FDD"/>
                          </a:solidFill>
                        </wps:spPr>
                        <wps:bodyPr wrap="square" lIns="0" tIns="0" rIns="0" bIns="0" rtlCol="0">
                          <a:prstTxWarp prst="textNoShape">
                            <a:avLst/>
                          </a:prstTxWarp>
                          <a:noAutofit/>
                        </wps:bodyPr>
                      </wps:wsp>
                      <wps:wsp>
                        <wps:cNvPr id="913" name="Graphic 913"/>
                        <wps:cNvSpPr/>
                        <wps:spPr>
                          <a:xfrm>
                            <a:off x="512179" y="1643"/>
                            <a:ext cx="1849755" cy="485775"/>
                          </a:xfrm>
                          <a:custGeom>
                            <a:avLst/>
                            <a:gdLst/>
                            <a:ahLst/>
                            <a:cxnLst/>
                            <a:rect l="l" t="t" r="r" b="b"/>
                            <a:pathLst>
                              <a:path w="1849755" h="485775">
                                <a:moveTo>
                                  <a:pt x="1773326" y="0"/>
                                </a:moveTo>
                                <a:lnTo>
                                  <a:pt x="0" y="0"/>
                                </a:lnTo>
                                <a:lnTo>
                                  <a:pt x="0" y="485775"/>
                                </a:lnTo>
                                <a:lnTo>
                                  <a:pt x="1849526" y="485775"/>
                                </a:lnTo>
                                <a:lnTo>
                                  <a:pt x="1849526" y="76200"/>
                                </a:lnTo>
                                <a:lnTo>
                                  <a:pt x="1844020" y="50979"/>
                                </a:lnTo>
                                <a:lnTo>
                                  <a:pt x="1828495" y="26265"/>
                                </a:lnTo>
                                <a:lnTo>
                                  <a:pt x="1804435" y="7468"/>
                                </a:lnTo>
                                <a:lnTo>
                                  <a:pt x="1773326" y="0"/>
                                </a:lnTo>
                                <a:close/>
                              </a:path>
                            </a:pathLst>
                          </a:custGeom>
                          <a:solidFill>
                            <a:srgbClr val="808285"/>
                          </a:solidFill>
                        </wps:spPr>
                        <wps:bodyPr wrap="square" lIns="0" tIns="0" rIns="0" bIns="0" rtlCol="0">
                          <a:prstTxWarp prst="textNoShape">
                            <a:avLst/>
                          </a:prstTxWarp>
                          <a:noAutofit/>
                        </wps:bodyPr>
                      </wps:wsp>
                      <wps:wsp>
                        <wps:cNvPr id="914" name="Graphic 914"/>
                        <wps:cNvSpPr/>
                        <wps:spPr>
                          <a:xfrm>
                            <a:off x="512179" y="0"/>
                            <a:ext cx="1270" cy="487680"/>
                          </a:xfrm>
                          <a:custGeom>
                            <a:avLst/>
                            <a:gdLst/>
                            <a:ahLst/>
                            <a:cxnLst/>
                            <a:rect l="l" t="t" r="r" b="b"/>
                            <a:pathLst>
                              <a:path w="0" h="487680">
                                <a:moveTo>
                                  <a:pt x="0" y="0"/>
                                </a:moveTo>
                                <a:lnTo>
                                  <a:pt x="0" y="487413"/>
                                </a:lnTo>
                              </a:path>
                            </a:pathLst>
                          </a:custGeom>
                          <a:ln w="25400">
                            <a:solidFill>
                              <a:srgbClr val="FFFFFF"/>
                            </a:solidFill>
                            <a:prstDash val="solid"/>
                          </a:ln>
                        </wps:spPr>
                        <wps:bodyPr wrap="square" lIns="0" tIns="0" rIns="0" bIns="0" rtlCol="0">
                          <a:prstTxWarp prst="textNoShape">
                            <a:avLst/>
                          </a:prstTxWarp>
                          <a:noAutofit/>
                        </wps:bodyPr>
                      </wps:wsp>
                      <wps:wsp>
                        <wps:cNvPr id="915" name="Graphic 915"/>
                        <wps:cNvSpPr/>
                        <wps:spPr>
                          <a:xfrm>
                            <a:off x="610565" y="641934"/>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008FDD"/>
                          </a:solidFill>
                        </wps:spPr>
                        <wps:bodyPr wrap="square" lIns="0" tIns="0" rIns="0" bIns="0" rtlCol="0">
                          <a:prstTxWarp prst="textNoShape">
                            <a:avLst/>
                          </a:prstTxWarp>
                          <a:noAutofit/>
                        </wps:bodyPr>
                      </wps:wsp>
                      <wps:wsp>
                        <wps:cNvPr id="916" name="Graphic 916"/>
                        <wps:cNvSpPr/>
                        <wps:spPr>
                          <a:xfrm>
                            <a:off x="960386" y="641934"/>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76AEE5"/>
                          </a:solidFill>
                        </wps:spPr>
                        <wps:bodyPr wrap="square" lIns="0" tIns="0" rIns="0" bIns="0" rtlCol="0">
                          <a:prstTxWarp prst="textNoShape">
                            <a:avLst/>
                          </a:prstTxWarp>
                          <a:noAutofit/>
                        </wps:bodyPr>
                      </wps:wsp>
                      <wps:wsp>
                        <wps:cNvPr id="917" name="Graphic 917"/>
                        <wps:cNvSpPr/>
                        <wps:spPr>
                          <a:xfrm>
                            <a:off x="1387081" y="641934"/>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231F20"/>
                          </a:solidFill>
                        </wps:spPr>
                        <wps:bodyPr wrap="square" lIns="0" tIns="0" rIns="0" bIns="0" rtlCol="0">
                          <a:prstTxWarp prst="textNoShape">
                            <a:avLst/>
                          </a:prstTxWarp>
                          <a:noAutofit/>
                        </wps:bodyPr>
                      </wps:wsp>
                      <wps:wsp>
                        <wps:cNvPr id="918" name="Graphic 918"/>
                        <wps:cNvSpPr/>
                        <wps:spPr>
                          <a:xfrm>
                            <a:off x="2000211" y="641934"/>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939598"/>
                          </a:solidFill>
                        </wps:spPr>
                        <wps:bodyPr wrap="square" lIns="0" tIns="0" rIns="0" bIns="0" rtlCol="0">
                          <a:prstTxWarp prst="textNoShape">
                            <a:avLst/>
                          </a:prstTxWarp>
                          <a:noAutofit/>
                        </wps:bodyPr>
                      </wps:wsp>
                      <wps:wsp>
                        <wps:cNvPr id="919" name="Textbox 919"/>
                        <wps:cNvSpPr txBox="1"/>
                        <wps:spPr>
                          <a:xfrm>
                            <a:off x="76381" y="43098"/>
                            <a:ext cx="2247265" cy="375920"/>
                          </a:xfrm>
                          <a:prstGeom prst="rect">
                            <a:avLst/>
                          </a:prstGeom>
                        </wps:spPr>
                        <wps:txbx>
                          <w:txbxContent>
                            <w:p>
                              <w:pPr>
                                <w:spacing w:line="261" w:lineRule="auto" w:before="0"/>
                                <w:ind w:left="800" w:right="18" w:hanging="800"/>
                                <w:jc w:val="left"/>
                                <w:rPr>
                                  <w:rFonts w:ascii="Arial"/>
                                  <w:b/>
                                  <w:sz w:val="16"/>
                                </w:rPr>
                              </w:pPr>
                              <w:r>
                                <w:rPr>
                                  <w:rFonts w:ascii="Arial"/>
                                  <w:color w:val="FFFFFF"/>
                                  <w:w w:val="105"/>
                                  <w:sz w:val="16"/>
                                </w:rPr>
                                <w:t>Figure </w:t>
                              </w:r>
                              <w:r>
                                <w:rPr>
                                  <w:rFonts w:ascii="Arial"/>
                                  <w:b/>
                                  <w:color w:val="FFFFFF"/>
                                  <w:w w:val="105"/>
                                  <w:sz w:val="16"/>
                                </w:rPr>
                                <w:t>3.1</w:t>
                              </w:r>
                              <w:r>
                                <w:rPr>
                                  <w:rFonts w:ascii="Arial"/>
                                  <w:b/>
                                  <w:color w:val="FFFFFF"/>
                                  <w:spacing w:val="80"/>
                                  <w:w w:val="150"/>
                                  <w:sz w:val="16"/>
                                </w:rPr>
                                <w:t> </w:t>
                              </w:r>
                              <w:r>
                                <w:rPr>
                                  <w:rFonts w:ascii="Arial"/>
                                  <w:b/>
                                  <w:color w:val="FFFFFF"/>
                                  <w:w w:val="105"/>
                                  <w:sz w:val="16"/>
                                </w:rPr>
                                <w:t>Import lead time is the largest driver</w:t>
                              </w:r>
                              <w:r>
                                <w:rPr>
                                  <w:rFonts w:ascii="Arial"/>
                                  <w:b/>
                                  <w:color w:val="FFFFFF"/>
                                  <w:spacing w:val="-12"/>
                                  <w:w w:val="105"/>
                                  <w:sz w:val="16"/>
                                </w:rPr>
                                <w:t> </w:t>
                              </w:r>
                              <w:r>
                                <w:rPr>
                                  <w:rFonts w:ascii="Arial"/>
                                  <w:b/>
                                  <w:color w:val="FFFFFF"/>
                                  <w:w w:val="105"/>
                                  <w:sz w:val="16"/>
                                </w:rPr>
                                <w:t>of</w:t>
                              </w:r>
                              <w:r>
                                <w:rPr>
                                  <w:rFonts w:ascii="Arial"/>
                                  <w:b/>
                                  <w:color w:val="FFFFFF"/>
                                  <w:spacing w:val="-12"/>
                                  <w:w w:val="105"/>
                                  <w:sz w:val="16"/>
                                </w:rPr>
                                <w:t> </w:t>
                              </w:r>
                              <w:r>
                                <w:rPr>
                                  <w:rFonts w:ascii="Arial"/>
                                  <w:b/>
                                  <w:color w:val="FFFFFF"/>
                                  <w:w w:val="105"/>
                                  <w:sz w:val="16"/>
                                </w:rPr>
                                <w:t>variability</w:t>
                              </w:r>
                              <w:r>
                                <w:rPr>
                                  <w:rFonts w:ascii="Arial"/>
                                  <w:b/>
                                  <w:color w:val="FFFFFF"/>
                                  <w:spacing w:val="-11"/>
                                  <w:w w:val="105"/>
                                  <w:sz w:val="16"/>
                                </w:rPr>
                                <w:t> </w:t>
                              </w:r>
                              <w:r>
                                <w:rPr>
                                  <w:rFonts w:ascii="Arial"/>
                                  <w:b/>
                                  <w:color w:val="FFFFFF"/>
                                  <w:w w:val="105"/>
                                  <w:sz w:val="16"/>
                                </w:rPr>
                                <w:t>in</w:t>
                              </w:r>
                              <w:r>
                                <w:rPr>
                                  <w:rFonts w:ascii="Arial"/>
                                  <w:b/>
                                  <w:color w:val="FFFFFF"/>
                                  <w:spacing w:val="-12"/>
                                  <w:w w:val="105"/>
                                  <w:sz w:val="16"/>
                                </w:rPr>
                                <w:t> </w:t>
                              </w:r>
                              <w:r>
                                <w:rPr>
                                  <w:rFonts w:ascii="Arial"/>
                                  <w:b/>
                                  <w:color w:val="FFFFFF"/>
                                  <w:w w:val="105"/>
                                  <w:sz w:val="16"/>
                                </w:rPr>
                                <w:t>international shipping in 2022</w:t>
                              </w:r>
                            </w:p>
                          </w:txbxContent>
                        </wps:txbx>
                        <wps:bodyPr wrap="square" lIns="0" tIns="0" rIns="0" bIns="0" rtlCol="0">
                          <a:noAutofit/>
                        </wps:bodyPr>
                      </wps:wsp>
                      <wps:wsp>
                        <wps:cNvPr id="920" name="Textbox 920"/>
                        <wps:cNvSpPr txBox="1"/>
                        <wps:spPr>
                          <a:xfrm>
                            <a:off x="51203" y="615649"/>
                            <a:ext cx="278130" cy="241300"/>
                          </a:xfrm>
                          <a:prstGeom prst="rect">
                            <a:avLst/>
                          </a:prstGeom>
                        </wps:spPr>
                        <wps:txbx>
                          <w:txbxContent>
                            <w:p>
                              <w:pPr>
                                <w:spacing w:line="159" w:lineRule="exact" w:before="0"/>
                                <w:ind w:left="39" w:right="0" w:firstLine="0"/>
                                <w:jc w:val="left"/>
                                <w:rPr>
                                  <w:rFonts w:ascii="Arial"/>
                                  <w:sz w:val="14"/>
                                </w:rPr>
                              </w:pPr>
                              <w:r>
                                <w:rPr>
                                  <w:rFonts w:ascii="Arial"/>
                                  <w:color w:val="231F20"/>
                                  <w:spacing w:val="-2"/>
                                  <w:w w:val="80"/>
                                  <w:sz w:val="14"/>
                                </w:rPr>
                                <w:t>Percent</w:t>
                              </w:r>
                            </w:p>
                            <w:p>
                              <w:pPr>
                                <w:spacing w:line="160" w:lineRule="exact" w:before="60"/>
                                <w:ind w:left="0" w:right="0" w:firstLine="0"/>
                                <w:jc w:val="left"/>
                                <w:rPr>
                                  <w:rFonts w:ascii="Arial"/>
                                  <w:sz w:val="14"/>
                                </w:rPr>
                              </w:pPr>
                              <w:r>
                                <w:rPr>
                                  <w:rFonts w:ascii="Arial"/>
                                  <w:color w:val="231F20"/>
                                  <w:spacing w:val="-5"/>
                                  <w:w w:val="95"/>
                                  <w:sz w:val="14"/>
                                </w:rPr>
                                <w:t>100</w:t>
                              </w:r>
                            </w:p>
                          </w:txbxContent>
                        </wps:txbx>
                        <wps:bodyPr wrap="square" lIns="0" tIns="0" rIns="0" bIns="0" rtlCol="0">
                          <a:noAutofit/>
                        </wps:bodyPr>
                      </wps:wsp>
                      <wps:wsp>
                        <wps:cNvPr id="921" name="Textbox 921"/>
                        <wps:cNvSpPr txBox="1"/>
                        <wps:spPr>
                          <a:xfrm>
                            <a:off x="688291" y="615649"/>
                            <a:ext cx="1603375" cy="100965"/>
                          </a:xfrm>
                          <a:prstGeom prst="rect">
                            <a:avLst/>
                          </a:prstGeom>
                        </wps:spPr>
                        <wps:txbx>
                          <w:txbxContent>
                            <w:p>
                              <w:pPr>
                                <w:tabs>
                                  <w:tab w:pos="550" w:val="left" w:leader="none"/>
                                  <w:tab w:pos="1222" w:val="left" w:leader="none"/>
                                  <w:tab w:pos="2188" w:val="left" w:leader="none"/>
                                </w:tabs>
                                <w:spacing w:line="158" w:lineRule="exact" w:before="0"/>
                                <w:ind w:left="0" w:right="0" w:firstLine="0"/>
                                <w:jc w:val="left"/>
                                <w:rPr>
                                  <w:rFonts w:ascii="Arial"/>
                                  <w:sz w:val="14"/>
                                </w:rPr>
                              </w:pPr>
                              <w:r>
                                <w:rPr>
                                  <w:rFonts w:ascii="Arial"/>
                                  <w:color w:val="231F20"/>
                                  <w:spacing w:val="-2"/>
                                  <w:w w:val="90"/>
                                  <w:sz w:val="14"/>
                                </w:rPr>
                                <w:t>Export</w:t>
                              </w:r>
                              <w:r>
                                <w:rPr>
                                  <w:rFonts w:ascii="Arial"/>
                                  <w:color w:val="231F20"/>
                                  <w:sz w:val="14"/>
                                </w:rPr>
                                <w:tab/>
                              </w:r>
                              <w:r>
                                <w:rPr>
                                  <w:rFonts w:ascii="Arial"/>
                                  <w:color w:val="231F20"/>
                                  <w:spacing w:val="-2"/>
                                  <w:w w:val="90"/>
                                  <w:sz w:val="14"/>
                                </w:rPr>
                                <w:t>Shipping</w:t>
                              </w:r>
                              <w:r>
                                <w:rPr>
                                  <w:rFonts w:ascii="Arial"/>
                                  <w:color w:val="231F20"/>
                                  <w:sz w:val="14"/>
                                </w:rPr>
                                <w:tab/>
                              </w:r>
                              <w:r>
                                <w:rPr>
                                  <w:rFonts w:ascii="Arial"/>
                                  <w:color w:val="231F20"/>
                                  <w:spacing w:val="-2"/>
                                  <w:w w:val="85"/>
                                  <w:sz w:val="14"/>
                                </w:rPr>
                                <w:t>Transshipment</w:t>
                              </w:r>
                              <w:r>
                                <w:rPr>
                                  <w:rFonts w:ascii="Arial"/>
                                  <w:color w:val="231F20"/>
                                  <w:sz w:val="14"/>
                                </w:rPr>
                                <w:tab/>
                              </w:r>
                              <w:r>
                                <w:rPr>
                                  <w:rFonts w:ascii="Arial"/>
                                  <w:color w:val="231F20"/>
                                  <w:spacing w:val="-2"/>
                                  <w:w w:val="80"/>
                                  <w:sz w:val="14"/>
                                </w:rPr>
                                <w:t>Import</w:t>
                              </w:r>
                            </w:p>
                          </w:txbxContent>
                        </wps:txbx>
                        <wps:bodyPr wrap="square" lIns="0" tIns="0" rIns="0" bIns="0" rtlCol="0">
                          <a:noAutofit/>
                        </wps:bodyPr>
                      </wps:wsp>
                      <wps:wsp>
                        <wps:cNvPr id="922" name="Textbox 922"/>
                        <wps:cNvSpPr txBox="1"/>
                        <wps:spPr>
                          <a:xfrm>
                            <a:off x="93875" y="1211341"/>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75</w:t>
                              </w:r>
                            </w:p>
                          </w:txbxContent>
                        </wps:txbx>
                        <wps:bodyPr wrap="square" lIns="0" tIns="0" rIns="0" bIns="0" rtlCol="0">
                          <a:noAutofit/>
                        </wps:bodyPr>
                      </wps:wsp>
                      <wps:wsp>
                        <wps:cNvPr id="923" name="Textbox 923"/>
                        <wps:cNvSpPr txBox="1"/>
                        <wps:spPr>
                          <a:xfrm>
                            <a:off x="93875" y="166650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50</w:t>
                              </w:r>
                            </w:p>
                          </w:txbxContent>
                        </wps:txbx>
                        <wps:bodyPr wrap="square" lIns="0" tIns="0" rIns="0" bIns="0" rtlCol="0">
                          <a:noAutofit/>
                        </wps:bodyPr>
                      </wps:wsp>
                      <wps:wsp>
                        <wps:cNvPr id="924" name="Textbox 924"/>
                        <wps:cNvSpPr txBox="1"/>
                        <wps:spPr>
                          <a:xfrm>
                            <a:off x="86052" y="2121677"/>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25</w:t>
                              </w:r>
                            </w:p>
                          </w:txbxContent>
                        </wps:txbx>
                        <wps:bodyPr wrap="square" lIns="0" tIns="0" rIns="0" bIns="0" rtlCol="0">
                          <a:noAutofit/>
                        </wps:bodyPr>
                      </wps:wsp>
                      <wps:wsp>
                        <wps:cNvPr id="925" name="Textbox 925"/>
                        <wps:cNvSpPr txBox="1"/>
                        <wps:spPr>
                          <a:xfrm>
                            <a:off x="128724" y="2576845"/>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w w:val="95"/>
                                  <w:sz w:val="14"/>
                                </w:rPr>
                                <w:t>0</w:t>
                              </w:r>
                            </w:p>
                          </w:txbxContent>
                        </wps:txbx>
                        <wps:bodyPr wrap="square" lIns="0" tIns="0" rIns="0" bIns="0" rtlCol="0">
                          <a:noAutofit/>
                        </wps:bodyPr>
                      </wps:wsp>
                      <wps:wsp>
                        <wps:cNvPr id="926" name="Textbox 926"/>
                        <wps:cNvSpPr txBox="1"/>
                        <wps:spPr>
                          <a:xfrm>
                            <a:off x="602834" y="2664730"/>
                            <a:ext cx="279400" cy="86360"/>
                          </a:xfrm>
                          <a:prstGeom prst="rect">
                            <a:avLst/>
                          </a:prstGeom>
                        </wps:spPr>
                        <wps:txbx>
                          <w:txbxContent>
                            <w:p>
                              <w:pPr>
                                <w:spacing w:line="136" w:lineRule="exact" w:before="0"/>
                                <w:ind w:left="0" w:right="0" w:firstLine="0"/>
                                <w:jc w:val="left"/>
                                <w:rPr>
                                  <w:rFonts w:ascii="Arial"/>
                                  <w:sz w:val="12"/>
                                </w:rPr>
                              </w:pPr>
                              <w:r>
                                <w:rPr>
                                  <w:rFonts w:ascii="Arial"/>
                                  <w:color w:val="231F20"/>
                                  <w:w w:val="75"/>
                                  <w:sz w:val="12"/>
                                </w:rPr>
                                <w:t>Lead</w:t>
                              </w:r>
                              <w:r>
                                <w:rPr>
                                  <w:rFonts w:ascii="Arial"/>
                                  <w:color w:val="231F20"/>
                                  <w:sz w:val="12"/>
                                </w:rPr>
                                <w:t> </w:t>
                              </w:r>
                              <w:r>
                                <w:rPr>
                                  <w:rFonts w:ascii="Arial"/>
                                  <w:color w:val="231F20"/>
                                  <w:spacing w:val="-4"/>
                                  <w:w w:val="90"/>
                                  <w:sz w:val="12"/>
                                </w:rPr>
                                <w:t>time</w:t>
                              </w:r>
                            </w:p>
                          </w:txbxContent>
                        </wps:txbx>
                        <wps:bodyPr wrap="square" lIns="0" tIns="0" rIns="0" bIns="0" rtlCol="0">
                          <a:noAutofit/>
                        </wps:bodyPr>
                      </wps:wsp>
                      <wps:wsp>
                        <wps:cNvPr id="927" name="Textbox 927"/>
                        <wps:cNvSpPr txBox="1"/>
                        <wps:spPr>
                          <a:xfrm>
                            <a:off x="1654089" y="2664730"/>
                            <a:ext cx="244475" cy="86360"/>
                          </a:xfrm>
                          <a:prstGeom prst="rect">
                            <a:avLst/>
                          </a:prstGeom>
                        </wps:spPr>
                        <wps:txbx>
                          <w:txbxContent>
                            <w:p>
                              <w:pPr>
                                <w:spacing w:line="136" w:lineRule="exact" w:before="0"/>
                                <w:ind w:left="0" w:right="0" w:firstLine="0"/>
                                <w:jc w:val="left"/>
                                <w:rPr>
                                  <w:rFonts w:ascii="Arial"/>
                                  <w:sz w:val="12"/>
                                </w:rPr>
                              </w:pPr>
                              <w:r>
                                <w:rPr>
                                  <w:rFonts w:ascii="Arial"/>
                                  <w:color w:val="231F20"/>
                                  <w:spacing w:val="-2"/>
                                  <w:w w:val="80"/>
                                  <w:sz w:val="12"/>
                                </w:rPr>
                                <w:t>Variance</w:t>
                              </w:r>
                            </w:p>
                          </w:txbxContent>
                        </wps:txbx>
                        <wps:bodyPr wrap="square" lIns="0" tIns="0" rIns="0" bIns="0" rtlCol="0">
                          <a:noAutofit/>
                        </wps:bodyPr>
                      </wps:wsp>
                      <wps:wsp>
                        <wps:cNvPr id="928" name="Textbox 928"/>
                        <wps:cNvSpPr txBox="1"/>
                        <wps:spPr>
                          <a:xfrm>
                            <a:off x="76368" y="2819187"/>
                            <a:ext cx="2218055" cy="619760"/>
                          </a:xfrm>
                          <a:prstGeom prst="rect">
                            <a:avLst/>
                          </a:prstGeom>
                        </wps:spPr>
                        <wps:txbx>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3"/>
                                  <w:sz w:val="12"/>
                                </w:rPr>
                                <w:t> </w:t>
                              </w:r>
                              <w:r>
                                <w:rPr>
                                  <w:rFonts w:ascii="Arial"/>
                                  <w:color w:val="231F20"/>
                                  <w:w w:val="75"/>
                                  <w:sz w:val="12"/>
                                </w:rPr>
                                <w:t>TradeLens</w:t>
                              </w:r>
                              <w:r>
                                <w:rPr>
                                  <w:rFonts w:ascii="Arial"/>
                                  <w:color w:val="231F20"/>
                                  <w:spacing w:val="2"/>
                                  <w:sz w:val="12"/>
                                </w:rPr>
                                <w:t> </w:t>
                              </w:r>
                              <w:r>
                                <w:rPr>
                                  <w:rFonts w:ascii="Arial"/>
                                  <w:color w:val="231F20"/>
                                  <w:w w:val="75"/>
                                  <w:sz w:val="12"/>
                                </w:rPr>
                                <w:t>and</w:t>
                              </w:r>
                              <w:r>
                                <w:rPr>
                                  <w:rFonts w:ascii="Arial"/>
                                  <w:color w:val="231F20"/>
                                  <w:spacing w:val="-3"/>
                                  <w:sz w:val="12"/>
                                </w:rPr>
                                <w:t> </w:t>
                              </w:r>
                              <w:r>
                                <w:rPr>
                                  <w:rFonts w:ascii="Arial"/>
                                  <w:color w:val="231F20"/>
                                  <w:w w:val="75"/>
                                  <w:sz w:val="12"/>
                                </w:rPr>
                                <w:t>World</w:t>
                              </w:r>
                              <w:r>
                                <w:rPr>
                                  <w:rFonts w:ascii="Arial"/>
                                  <w:color w:val="231F20"/>
                                  <w:spacing w:val="2"/>
                                  <w:sz w:val="12"/>
                                </w:rPr>
                                <w:t> </w:t>
                              </w:r>
                              <w:r>
                                <w:rPr>
                                  <w:rFonts w:ascii="Arial"/>
                                  <w:color w:val="231F20"/>
                                  <w:w w:val="75"/>
                                  <w:sz w:val="12"/>
                                </w:rPr>
                                <w:t>Bank</w:t>
                              </w:r>
                              <w:r>
                                <w:rPr>
                                  <w:rFonts w:ascii="Arial"/>
                                  <w:color w:val="231F20"/>
                                  <w:spacing w:val="2"/>
                                  <w:sz w:val="12"/>
                                </w:rPr>
                                <w:t> </w:t>
                              </w:r>
                              <w:r>
                                <w:rPr>
                                  <w:rFonts w:ascii="Arial"/>
                                  <w:color w:val="231F20"/>
                                  <w:spacing w:val="-2"/>
                                  <w:w w:val="75"/>
                                  <w:sz w:val="12"/>
                                </w:rPr>
                                <w:t>modeling.</w:t>
                              </w:r>
                            </w:p>
                            <w:p>
                              <w:pPr>
                                <w:spacing w:line="242" w:lineRule="auto" w:before="2"/>
                                <w:ind w:left="0" w:right="18" w:firstLine="0"/>
                                <w:jc w:val="left"/>
                                <w:rPr>
                                  <w:rFonts w:ascii="Arial"/>
                                  <w:sz w:val="12"/>
                                </w:rPr>
                              </w:pPr>
                              <w:r>
                                <w:rPr>
                                  <w:rFonts w:ascii="Arial"/>
                                  <w:i/>
                                  <w:color w:val="231F20"/>
                                  <w:w w:val="80"/>
                                  <w:sz w:val="12"/>
                                </w:rPr>
                                <w:t>Note:</w:t>
                              </w:r>
                              <w:r>
                                <w:rPr>
                                  <w:rFonts w:ascii="Arial"/>
                                  <w:i/>
                                  <w:color w:val="231F20"/>
                                  <w:spacing w:val="-3"/>
                                  <w:w w:val="80"/>
                                  <w:sz w:val="12"/>
                                </w:rPr>
                                <w:t> </w:t>
                              </w:r>
                              <w:r>
                                <w:rPr>
                                  <w:rFonts w:ascii="Arial"/>
                                  <w:color w:val="231F20"/>
                                  <w:w w:val="80"/>
                                  <w:sz w:val="12"/>
                                </w:rPr>
                                <w:t>Based</w:t>
                              </w:r>
                              <w:r>
                                <w:rPr>
                                  <w:rFonts w:ascii="Arial"/>
                                  <w:color w:val="231F20"/>
                                  <w:spacing w:val="-1"/>
                                  <w:w w:val="80"/>
                                  <w:sz w:val="12"/>
                                </w:rPr>
                                <w:t> </w:t>
                              </w:r>
                              <w:r>
                                <w:rPr>
                                  <w:rFonts w:ascii="Arial"/>
                                  <w:color w:val="231F20"/>
                                  <w:w w:val="80"/>
                                  <w:sz w:val="12"/>
                                </w:rPr>
                                <w:t>on</w:t>
                              </w:r>
                              <w:r>
                                <w:rPr>
                                  <w:rFonts w:ascii="Arial"/>
                                  <w:color w:val="231F20"/>
                                  <w:spacing w:val="-1"/>
                                  <w:w w:val="80"/>
                                  <w:sz w:val="12"/>
                                </w:rPr>
                                <w:t> </w:t>
                              </w:r>
                              <w:r>
                                <w:rPr>
                                  <w:rFonts w:ascii="Arial"/>
                                  <w:color w:val="231F20"/>
                                  <w:w w:val="80"/>
                                  <w:sz w:val="12"/>
                                </w:rPr>
                                <w:t>2.5</w:t>
                              </w:r>
                              <w:r>
                                <w:rPr>
                                  <w:rFonts w:ascii="Arial"/>
                                  <w:color w:val="231F20"/>
                                  <w:spacing w:val="-1"/>
                                  <w:w w:val="80"/>
                                  <w:sz w:val="12"/>
                                </w:rPr>
                                <w:t> </w:t>
                              </w:r>
                              <w:r>
                                <w:rPr>
                                  <w:rFonts w:ascii="Arial"/>
                                  <w:color w:val="231F20"/>
                                  <w:w w:val="80"/>
                                  <w:sz w:val="12"/>
                                </w:rPr>
                                <w:t>million</w:t>
                              </w:r>
                              <w:r>
                                <w:rPr>
                                  <w:rFonts w:ascii="Arial"/>
                                  <w:color w:val="231F20"/>
                                  <w:spacing w:val="-1"/>
                                  <w:w w:val="80"/>
                                  <w:sz w:val="12"/>
                                </w:rPr>
                                <w:t> </w:t>
                              </w:r>
                              <w:r>
                                <w:rPr>
                                  <w:rFonts w:ascii="Arial"/>
                                  <w:color w:val="231F20"/>
                                  <w:w w:val="80"/>
                                  <w:sz w:val="12"/>
                                </w:rPr>
                                <w:t>container</w:t>
                              </w:r>
                              <w:r>
                                <w:rPr>
                                  <w:rFonts w:ascii="Arial"/>
                                  <w:color w:val="231F20"/>
                                  <w:spacing w:val="-1"/>
                                  <w:w w:val="80"/>
                                  <w:sz w:val="12"/>
                                </w:rPr>
                                <w:t> </w:t>
                              </w:r>
                              <w:r>
                                <w:rPr>
                                  <w:rFonts w:ascii="Arial"/>
                                  <w:color w:val="231F20"/>
                                  <w:w w:val="80"/>
                                  <w:sz w:val="12"/>
                                </w:rPr>
                                <w:t>movements</w:t>
                              </w:r>
                              <w:r>
                                <w:rPr>
                                  <w:rFonts w:ascii="Arial"/>
                                  <w:color w:val="231F20"/>
                                  <w:spacing w:val="-1"/>
                                  <w:w w:val="80"/>
                                  <w:sz w:val="12"/>
                                </w:rPr>
                                <w:t> </w:t>
                              </w:r>
                              <w:r>
                                <w:rPr>
                                  <w:rFonts w:ascii="Arial"/>
                                  <w:color w:val="231F20"/>
                                  <w:w w:val="80"/>
                                  <w:sz w:val="12"/>
                                </w:rPr>
                                <w:t>that</w:t>
                              </w:r>
                              <w:r>
                                <w:rPr>
                                  <w:rFonts w:ascii="Arial"/>
                                  <w:color w:val="231F20"/>
                                  <w:spacing w:val="-1"/>
                                  <w:w w:val="80"/>
                                  <w:sz w:val="12"/>
                                </w:rPr>
                                <w:t> </w:t>
                              </w:r>
                              <w:r>
                                <w:rPr>
                                  <w:rFonts w:ascii="Arial"/>
                                  <w:color w:val="231F20"/>
                                  <w:w w:val="80"/>
                                  <w:sz w:val="12"/>
                                </w:rPr>
                                <w:t>are</w:t>
                              </w:r>
                              <w:r>
                                <w:rPr>
                                  <w:rFonts w:ascii="Arial"/>
                                  <w:color w:val="231F20"/>
                                  <w:spacing w:val="-1"/>
                                  <w:w w:val="80"/>
                                  <w:sz w:val="12"/>
                                </w:rPr>
                                <w:t> </w:t>
                              </w:r>
                              <w:r>
                                <w:rPr>
                                  <w:rFonts w:ascii="Arial"/>
                                  <w:color w:val="231F20"/>
                                  <w:w w:val="80"/>
                                  <w:sz w:val="12"/>
                                </w:rPr>
                                <w:t>representative</w:t>
                              </w:r>
                              <w:r>
                                <w:rPr>
                                  <w:rFonts w:ascii="Arial"/>
                                  <w:color w:val="231F20"/>
                                  <w:spacing w:val="-1"/>
                                  <w:w w:val="80"/>
                                  <w:sz w:val="12"/>
                                </w:rPr>
                                <w:t> </w:t>
                              </w:r>
                              <w:r>
                                <w:rPr>
                                  <w:rFonts w:ascii="Arial"/>
                                  <w:color w:val="231F20"/>
                                  <w:w w:val="80"/>
                                  <w:sz w:val="12"/>
                                </w:rPr>
                                <w:t>of</w:t>
                              </w:r>
                              <w:r>
                                <w:rPr>
                                  <w:rFonts w:ascii="Arial"/>
                                  <w:color w:val="231F20"/>
                                  <w:spacing w:val="-1"/>
                                  <w:w w:val="80"/>
                                  <w:sz w:val="12"/>
                                </w:rPr>
                                <w:t> </w:t>
                              </w:r>
                              <w:r>
                                <w:rPr>
                                  <w:rFonts w:ascii="Arial"/>
                                  <w:color w:val="231F20"/>
                                  <w:w w:val="80"/>
                                  <w:sz w:val="12"/>
                                </w:rPr>
                                <w:t>global</w:t>
                              </w:r>
                              <w:r>
                                <w:rPr>
                                  <w:rFonts w:ascii="Arial"/>
                                  <w:color w:val="231F20"/>
                                  <w:spacing w:val="40"/>
                                  <w:sz w:val="12"/>
                                </w:rPr>
                                <w:t> </w:t>
                              </w:r>
                              <w:r>
                                <w:rPr>
                                  <w:rFonts w:ascii="Arial"/>
                                  <w:color w:val="231F20"/>
                                  <w:w w:val="80"/>
                                  <w:sz w:val="12"/>
                                </w:rPr>
                                <w:t>container shipping trade lanes worldwide between May 2022 and October 2022.</w:t>
                              </w:r>
                              <w:r>
                                <w:rPr>
                                  <w:rFonts w:ascii="Arial"/>
                                  <w:color w:val="231F20"/>
                                  <w:spacing w:val="40"/>
                                  <w:sz w:val="12"/>
                                </w:rPr>
                                <w:t> </w:t>
                              </w:r>
                              <w:r>
                                <w:rPr>
                                  <w:rFonts w:ascii="Arial"/>
                                  <w:color w:val="231F20"/>
                                  <w:w w:val="80"/>
                                  <w:sz w:val="12"/>
                                </w:rPr>
                                <w:t>The</w:t>
                              </w:r>
                              <w:r>
                                <w:rPr>
                                  <w:rFonts w:ascii="Arial"/>
                                  <w:color w:val="231F20"/>
                                  <w:spacing w:val="-2"/>
                                  <w:w w:val="80"/>
                                  <w:sz w:val="12"/>
                                </w:rPr>
                                <w:t> </w:t>
                              </w:r>
                              <w:r>
                                <w:rPr>
                                  <w:rFonts w:ascii="Arial"/>
                                  <w:color w:val="231F20"/>
                                  <w:w w:val="80"/>
                                  <w:sz w:val="12"/>
                                </w:rPr>
                                <w:t>model</w:t>
                              </w:r>
                              <w:r>
                                <w:rPr>
                                  <w:rFonts w:ascii="Arial"/>
                                  <w:color w:val="231F20"/>
                                  <w:spacing w:val="-2"/>
                                  <w:w w:val="80"/>
                                  <w:sz w:val="12"/>
                                </w:rPr>
                                <w:t> </w:t>
                              </w:r>
                              <w:r>
                                <w:rPr>
                                  <w:rFonts w:ascii="Arial"/>
                                  <w:color w:val="231F20"/>
                                  <w:w w:val="80"/>
                                  <w:sz w:val="12"/>
                                </w:rPr>
                                <w:t>averages</w:t>
                              </w:r>
                              <w:r>
                                <w:rPr>
                                  <w:rFonts w:ascii="Arial"/>
                                  <w:color w:val="231F20"/>
                                  <w:spacing w:val="-1"/>
                                  <w:w w:val="80"/>
                                  <w:sz w:val="12"/>
                                </w:rPr>
                                <w:t> </w:t>
                              </w:r>
                              <w:r>
                                <w:rPr>
                                  <w:rFonts w:ascii="Arial"/>
                                  <w:color w:val="231F20"/>
                                  <w:w w:val="80"/>
                                  <w:sz w:val="12"/>
                                </w:rPr>
                                <w:t>mean</w:t>
                              </w:r>
                              <w:r>
                                <w:rPr>
                                  <w:rFonts w:ascii="Arial"/>
                                  <w:color w:val="231F20"/>
                                  <w:spacing w:val="-2"/>
                                  <w:w w:val="80"/>
                                  <w:sz w:val="12"/>
                                </w:rPr>
                                <w:t> </w:t>
                              </w:r>
                              <w:r>
                                <w:rPr>
                                  <w:rFonts w:ascii="Arial"/>
                                  <w:color w:val="231F20"/>
                                  <w:w w:val="80"/>
                                  <w:sz w:val="12"/>
                                </w:rPr>
                                <w:t>time</w:t>
                              </w:r>
                              <w:r>
                                <w:rPr>
                                  <w:rFonts w:ascii="Arial"/>
                                  <w:color w:val="231F20"/>
                                  <w:spacing w:val="-2"/>
                                  <w:w w:val="80"/>
                                  <w:sz w:val="12"/>
                                </w:rPr>
                                <w:t> </w:t>
                              </w:r>
                              <w:r>
                                <w:rPr>
                                  <w:rFonts w:ascii="Arial"/>
                                  <w:color w:val="231F20"/>
                                  <w:w w:val="80"/>
                                  <w:sz w:val="12"/>
                                </w:rPr>
                                <w:t>and</w:t>
                              </w:r>
                              <w:r>
                                <w:rPr>
                                  <w:rFonts w:ascii="Arial"/>
                                  <w:color w:val="231F20"/>
                                  <w:spacing w:val="-1"/>
                                  <w:w w:val="80"/>
                                  <w:sz w:val="12"/>
                                </w:rPr>
                                <w:t> </w:t>
                              </w:r>
                              <w:r>
                                <w:rPr>
                                  <w:rFonts w:ascii="Arial"/>
                                  <w:color w:val="231F20"/>
                                  <w:w w:val="80"/>
                                  <w:sz w:val="12"/>
                                </w:rPr>
                                <w:t>variability</w:t>
                              </w:r>
                              <w:r>
                                <w:rPr>
                                  <w:rFonts w:ascii="Arial"/>
                                  <w:color w:val="231F20"/>
                                  <w:spacing w:val="-2"/>
                                  <w:w w:val="80"/>
                                  <w:sz w:val="12"/>
                                </w:rPr>
                                <w:t> </w:t>
                              </w:r>
                              <w:r>
                                <w:rPr>
                                  <w:rFonts w:ascii="Arial"/>
                                  <w:color w:val="231F20"/>
                                  <w:w w:val="80"/>
                                  <w:sz w:val="12"/>
                                </w:rPr>
                                <w:t>over</w:t>
                              </w:r>
                              <w:r>
                                <w:rPr>
                                  <w:rFonts w:ascii="Arial"/>
                                  <w:color w:val="231F20"/>
                                  <w:spacing w:val="-2"/>
                                  <w:w w:val="80"/>
                                  <w:sz w:val="12"/>
                                </w:rPr>
                                <w:t> </w:t>
                              </w:r>
                              <w:r>
                                <w:rPr>
                                  <w:rFonts w:ascii="Arial"/>
                                  <w:color w:val="231F20"/>
                                  <w:w w:val="80"/>
                                  <w:sz w:val="12"/>
                                </w:rPr>
                                <w:t>all</w:t>
                              </w:r>
                              <w:r>
                                <w:rPr>
                                  <w:rFonts w:ascii="Arial"/>
                                  <w:color w:val="231F20"/>
                                  <w:spacing w:val="-1"/>
                                  <w:w w:val="80"/>
                                  <w:sz w:val="12"/>
                                </w:rPr>
                                <w:t> </w:t>
                              </w:r>
                              <w:r>
                                <w:rPr>
                                  <w:rFonts w:ascii="Arial"/>
                                  <w:color w:val="231F20"/>
                                  <w:w w:val="80"/>
                                  <w:sz w:val="12"/>
                                </w:rPr>
                                <w:t>links</w:t>
                              </w:r>
                              <w:r>
                                <w:rPr>
                                  <w:rFonts w:ascii="Arial"/>
                                  <w:color w:val="231F20"/>
                                  <w:spacing w:val="-2"/>
                                  <w:w w:val="80"/>
                                  <w:sz w:val="12"/>
                                </w:rPr>
                                <w:t> </w:t>
                              </w:r>
                              <w:r>
                                <w:rPr>
                                  <w:rFonts w:ascii="Arial"/>
                                  <w:color w:val="231F20"/>
                                  <w:w w:val="80"/>
                                  <w:sz w:val="12"/>
                                </w:rPr>
                                <w:t>in</w:t>
                              </w:r>
                              <w:r>
                                <w:rPr>
                                  <w:rFonts w:ascii="Arial"/>
                                  <w:color w:val="231F20"/>
                                  <w:spacing w:val="-2"/>
                                  <w:w w:val="80"/>
                                  <w:sz w:val="12"/>
                                </w:rPr>
                                <w:t> </w:t>
                              </w:r>
                              <w:r>
                                <w:rPr>
                                  <w:rFonts w:ascii="Arial"/>
                                  <w:color w:val="231F20"/>
                                  <w:w w:val="80"/>
                                  <w:sz w:val="12"/>
                                </w:rPr>
                                <w:t>the</w:t>
                              </w:r>
                              <w:r>
                                <w:rPr>
                                  <w:rFonts w:ascii="Arial"/>
                                  <w:color w:val="231F20"/>
                                  <w:spacing w:val="-1"/>
                                  <w:w w:val="80"/>
                                  <w:sz w:val="12"/>
                                </w:rPr>
                                <w:t> </w:t>
                              </w:r>
                              <w:r>
                                <w:rPr>
                                  <w:rFonts w:ascii="Arial"/>
                                  <w:color w:val="231F20"/>
                                  <w:w w:val="80"/>
                                  <w:sz w:val="12"/>
                                </w:rPr>
                                <w:t>maritime</w:t>
                              </w:r>
                              <w:r>
                                <w:rPr>
                                  <w:rFonts w:ascii="Arial"/>
                                  <w:color w:val="231F20"/>
                                  <w:spacing w:val="-2"/>
                                  <w:w w:val="80"/>
                                  <w:sz w:val="12"/>
                                </w:rPr>
                                <w:t> </w:t>
                              </w:r>
                              <w:r>
                                <w:rPr>
                                  <w:rFonts w:ascii="Arial"/>
                                  <w:color w:val="231F20"/>
                                  <w:w w:val="80"/>
                                  <w:sz w:val="12"/>
                                </w:rPr>
                                <w:t>supply</w:t>
                              </w:r>
                              <w:r>
                                <w:rPr>
                                  <w:rFonts w:ascii="Arial"/>
                                  <w:color w:val="231F20"/>
                                  <w:spacing w:val="40"/>
                                  <w:sz w:val="12"/>
                                </w:rPr>
                                <w:t> </w:t>
                              </w:r>
                              <w:r>
                                <w:rPr>
                                  <w:rFonts w:ascii="Arial"/>
                                  <w:color w:val="231F20"/>
                                  <w:w w:val="80"/>
                                  <w:sz w:val="12"/>
                                </w:rPr>
                                <w:t>chains (port dwell time and lead time between pairs of ports), weighted by the</w:t>
                              </w:r>
                              <w:r>
                                <w:rPr>
                                  <w:rFonts w:ascii="Arial"/>
                                  <w:color w:val="231F20"/>
                                  <w:spacing w:val="40"/>
                                  <w:sz w:val="12"/>
                                </w:rPr>
                                <w:t> </w:t>
                              </w:r>
                              <w:r>
                                <w:rPr>
                                  <w:rFonts w:ascii="Arial"/>
                                  <w:color w:val="231F20"/>
                                  <w:w w:val="80"/>
                                  <w:sz w:val="12"/>
                                </w:rPr>
                                <w:t>number of observations for each.</w:t>
                              </w:r>
                              <w:r>
                                <w:rPr>
                                  <w:rFonts w:ascii="Arial"/>
                                  <w:color w:val="231F20"/>
                                  <w:spacing w:val="-5"/>
                                  <w:w w:val="80"/>
                                  <w:sz w:val="12"/>
                                </w:rPr>
                                <w:t> </w:t>
                              </w:r>
                              <w:r>
                                <w:rPr>
                                  <w:rFonts w:ascii="Arial"/>
                                  <w:color w:val="231F20"/>
                                  <w:w w:val="80"/>
                                  <w:sz w:val="12"/>
                                </w:rPr>
                                <w:t>The estimation assumes that the performance</w:t>
                              </w:r>
                              <w:r>
                                <w:rPr>
                                  <w:rFonts w:ascii="Arial"/>
                                  <w:color w:val="231F20"/>
                                  <w:spacing w:val="40"/>
                                  <w:sz w:val="12"/>
                                </w:rPr>
                                <w:t> </w:t>
                              </w:r>
                              <w:r>
                                <w:rPr>
                                  <w:rFonts w:ascii="Arial"/>
                                  <w:color w:val="231F20"/>
                                  <w:w w:val="85"/>
                                  <w:sz w:val="12"/>
                                </w:rPr>
                                <w:t>of</w:t>
                              </w:r>
                              <w:r>
                                <w:rPr>
                                  <w:rFonts w:ascii="Arial"/>
                                  <w:color w:val="231F20"/>
                                  <w:spacing w:val="-4"/>
                                  <w:w w:val="85"/>
                                  <w:sz w:val="12"/>
                                </w:rPr>
                                <w:t> </w:t>
                              </w:r>
                              <w:r>
                                <w:rPr>
                                  <w:rFonts w:ascii="Arial"/>
                                  <w:color w:val="231F20"/>
                                  <w:w w:val="85"/>
                                  <w:sz w:val="12"/>
                                </w:rPr>
                                <w:t>subsequent</w:t>
                              </w:r>
                              <w:r>
                                <w:rPr>
                                  <w:rFonts w:ascii="Arial"/>
                                  <w:color w:val="231F20"/>
                                  <w:spacing w:val="-3"/>
                                  <w:w w:val="85"/>
                                  <w:sz w:val="12"/>
                                </w:rPr>
                                <w:t> </w:t>
                              </w:r>
                              <w:r>
                                <w:rPr>
                                  <w:rFonts w:ascii="Arial"/>
                                  <w:color w:val="231F20"/>
                                  <w:w w:val="85"/>
                                  <w:sz w:val="12"/>
                                </w:rPr>
                                <w:t>legs</w:t>
                              </w:r>
                              <w:r>
                                <w:rPr>
                                  <w:rFonts w:ascii="Arial"/>
                                  <w:color w:val="231F20"/>
                                  <w:spacing w:val="-3"/>
                                  <w:w w:val="85"/>
                                  <w:sz w:val="12"/>
                                </w:rPr>
                                <w:t> </w:t>
                              </w:r>
                              <w:r>
                                <w:rPr>
                                  <w:rFonts w:ascii="Arial"/>
                                  <w:color w:val="231F20"/>
                                  <w:w w:val="85"/>
                                  <w:sz w:val="12"/>
                                </w:rPr>
                                <w:t>is</w:t>
                              </w:r>
                              <w:r>
                                <w:rPr>
                                  <w:rFonts w:ascii="Arial"/>
                                  <w:color w:val="231F20"/>
                                  <w:spacing w:val="-4"/>
                                  <w:w w:val="85"/>
                                  <w:sz w:val="12"/>
                                </w:rPr>
                                <w:t> </w:t>
                              </w:r>
                              <w:r>
                                <w:rPr>
                                  <w:rFonts w:ascii="Arial"/>
                                  <w:color w:val="231F20"/>
                                  <w:w w:val="85"/>
                                  <w:sz w:val="12"/>
                                </w:rPr>
                                <w:t>statistically</w:t>
                              </w:r>
                              <w:r>
                                <w:rPr>
                                  <w:rFonts w:ascii="Arial"/>
                                  <w:color w:val="231F20"/>
                                  <w:spacing w:val="-3"/>
                                  <w:w w:val="85"/>
                                  <w:sz w:val="12"/>
                                </w:rPr>
                                <w:t> </w:t>
                              </w:r>
                              <w:r>
                                <w:rPr>
                                  <w:rFonts w:ascii="Arial"/>
                                  <w:color w:val="231F20"/>
                                  <w:w w:val="85"/>
                                  <w:sz w:val="12"/>
                                </w:rPr>
                                <w:t>independent.</w:t>
                              </w:r>
                            </w:p>
                          </w:txbxContent>
                        </wps:txbx>
                        <wps:bodyPr wrap="square" lIns="0" tIns="0" rIns="0" bIns="0" rtlCol="0">
                          <a:noAutofit/>
                        </wps:bodyPr>
                      </wps:wsp>
                    </wpg:wgp>
                  </a:graphicData>
                </a:graphic>
              </wp:anchor>
            </w:drawing>
          </mc:Choice>
          <mc:Fallback>
            <w:pict>
              <v:group style="position:absolute;margin-left:168pt;margin-top:-39.265625pt;width:186.05pt;height:277.5pt;mso-position-horizontal-relative:page;mso-position-vertical-relative:paragraph;z-index:-36561920" id="docshapegroup761" coordorigin="3360,-785" coordsize="3721,5550">
                <v:shape style="position:absolute;left:3360;top:23;width:3720;height:4741" id="docshape762" coordorigin="3360,24" coordsize="3720,4741" path="m7080,24l3360,24,3360,4647,3370,4693,3396,4730,3434,4755,3479,4764,6956,4764,7002,4756,7042,4733,7070,4695,7080,4647,7080,24xe" filled="true" fillcolor="#dfeaf7" stroked="false">
                  <v:path arrowok="t"/>
                  <v:fill type="solid"/>
                </v:shape>
                <v:shape style="position:absolute;left:3360;top:-783;width:807;height:765" id="docshape763" coordorigin="3360,-783" coordsize="807,765" path="m4167,-783l3480,-783,3434,-778,3396,-760,3370,-723,3360,-663,3360,-18,4167,-18,4167,-783xe" filled="true" fillcolor="#008fdd" stroked="false">
                  <v:path arrowok="t"/>
                  <v:fill type="solid"/>
                </v:shape>
                <v:shape style="position:absolute;left:4166;top:-783;width:2913;height:765" id="docshape764" coordorigin="4167,-783" coordsize="2913,765" path="m6959,-783l4167,-783,4167,-18,7079,-18,7079,-663,7071,-702,7046,-741,7008,-771,6959,-783xe" filled="true" fillcolor="#808285" stroked="false">
                  <v:path arrowok="t"/>
                  <v:fill type="solid"/>
                </v:shape>
                <v:line style="position:absolute" from="4167,-785" to="4167,-18" stroked="true" strokeweight="2pt" strokecolor="#ffffff">
                  <v:stroke dashstyle="solid"/>
                </v:line>
                <v:rect style="position:absolute;left:4321;top:225;width:80;height:80" id="docshape765" filled="true" fillcolor="#008fdd" stroked="false">
                  <v:fill type="solid"/>
                </v:rect>
                <v:rect style="position:absolute;left:4872;top:225;width:80;height:80" id="docshape766" filled="true" fillcolor="#76aee5" stroked="false">
                  <v:fill type="solid"/>
                </v:rect>
                <v:rect style="position:absolute;left:5544;top:225;width:80;height:80" id="docshape767" filled="true" fillcolor="#231f20" stroked="false">
                  <v:fill type="solid"/>
                </v:rect>
                <v:rect style="position:absolute;left:6509;top:225;width:80;height:80" id="docshape768" filled="true" fillcolor="#939598" stroked="false">
                  <v:fill type="solid"/>
                </v:rect>
                <v:shape style="position:absolute;left:3480;top:-718;width:3539;height:592" type="#_x0000_t202" id="docshape769" filled="false" stroked="false">
                  <v:textbox inset="0,0,0,0">
                    <w:txbxContent>
                      <w:p>
                        <w:pPr>
                          <w:spacing w:line="261" w:lineRule="auto" w:before="0"/>
                          <w:ind w:left="800" w:right="18" w:hanging="800"/>
                          <w:jc w:val="left"/>
                          <w:rPr>
                            <w:rFonts w:ascii="Arial"/>
                            <w:b/>
                            <w:sz w:val="16"/>
                          </w:rPr>
                        </w:pPr>
                        <w:r>
                          <w:rPr>
                            <w:rFonts w:ascii="Arial"/>
                            <w:color w:val="FFFFFF"/>
                            <w:w w:val="105"/>
                            <w:sz w:val="16"/>
                          </w:rPr>
                          <w:t>Figure </w:t>
                        </w:r>
                        <w:r>
                          <w:rPr>
                            <w:rFonts w:ascii="Arial"/>
                            <w:b/>
                            <w:color w:val="FFFFFF"/>
                            <w:w w:val="105"/>
                            <w:sz w:val="16"/>
                          </w:rPr>
                          <w:t>3.1</w:t>
                        </w:r>
                        <w:r>
                          <w:rPr>
                            <w:rFonts w:ascii="Arial"/>
                            <w:b/>
                            <w:color w:val="FFFFFF"/>
                            <w:spacing w:val="80"/>
                            <w:w w:val="150"/>
                            <w:sz w:val="16"/>
                          </w:rPr>
                          <w:t> </w:t>
                        </w:r>
                        <w:r>
                          <w:rPr>
                            <w:rFonts w:ascii="Arial"/>
                            <w:b/>
                            <w:color w:val="FFFFFF"/>
                            <w:w w:val="105"/>
                            <w:sz w:val="16"/>
                          </w:rPr>
                          <w:t>Import lead time is the largest driver</w:t>
                        </w:r>
                        <w:r>
                          <w:rPr>
                            <w:rFonts w:ascii="Arial"/>
                            <w:b/>
                            <w:color w:val="FFFFFF"/>
                            <w:spacing w:val="-12"/>
                            <w:w w:val="105"/>
                            <w:sz w:val="16"/>
                          </w:rPr>
                          <w:t> </w:t>
                        </w:r>
                        <w:r>
                          <w:rPr>
                            <w:rFonts w:ascii="Arial"/>
                            <w:b/>
                            <w:color w:val="FFFFFF"/>
                            <w:w w:val="105"/>
                            <w:sz w:val="16"/>
                          </w:rPr>
                          <w:t>of</w:t>
                        </w:r>
                        <w:r>
                          <w:rPr>
                            <w:rFonts w:ascii="Arial"/>
                            <w:b/>
                            <w:color w:val="FFFFFF"/>
                            <w:spacing w:val="-12"/>
                            <w:w w:val="105"/>
                            <w:sz w:val="16"/>
                          </w:rPr>
                          <w:t> </w:t>
                        </w:r>
                        <w:r>
                          <w:rPr>
                            <w:rFonts w:ascii="Arial"/>
                            <w:b/>
                            <w:color w:val="FFFFFF"/>
                            <w:w w:val="105"/>
                            <w:sz w:val="16"/>
                          </w:rPr>
                          <w:t>variability</w:t>
                        </w:r>
                        <w:r>
                          <w:rPr>
                            <w:rFonts w:ascii="Arial"/>
                            <w:b/>
                            <w:color w:val="FFFFFF"/>
                            <w:spacing w:val="-11"/>
                            <w:w w:val="105"/>
                            <w:sz w:val="16"/>
                          </w:rPr>
                          <w:t> </w:t>
                        </w:r>
                        <w:r>
                          <w:rPr>
                            <w:rFonts w:ascii="Arial"/>
                            <w:b/>
                            <w:color w:val="FFFFFF"/>
                            <w:w w:val="105"/>
                            <w:sz w:val="16"/>
                          </w:rPr>
                          <w:t>in</w:t>
                        </w:r>
                        <w:r>
                          <w:rPr>
                            <w:rFonts w:ascii="Arial"/>
                            <w:b/>
                            <w:color w:val="FFFFFF"/>
                            <w:spacing w:val="-12"/>
                            <w:w w:val="105"/>
                            <w:sz w:val="16"/>
                          </w:rPr>
                          <w:t> </w:t>
                        </w:r>
                        <w:r>
                          <w:rPr>
                            <w:rFonts w:ascii="Arial"/>
                            <w:b/>
                            <w:color w:val="FFFFFF"/>
                            <w:w w:val="105"/>
                            <w:sz w:val="16"/>
                          </w:rPr>
                          <w:t>international shipping in 2022</w:t>
                        </w:r>
                      </w:p>
                    </w:txbxContent>
                  </v:textbox>
                  <w10:wrap type="none"/>
                </v:shape>
                <v:shape style="position:absolute;left:3440;top:184;width:438;height:380" type="#_x0000_t202" id="docshape770" filled="false" stroked="false">
                  <v:textbox inset="0,0,0,0">
                    <w:txbxContent>
                      <w:p>
                        <w:pPr>
                          <w:spacing w:line="159" w:lineRule="exact" w:before="0"/>
                          <w:ind w:left="39" w:right="0" w:firstLine="0"/>
                          <w:jc w:val="left"/>
                          <w:rPr>
                            <w:rFonts w:ascii="Arial"/>
                            <w:sz w:val="14"/>
                          </w:rPr>
                        </w:pPr>
                        <w:r>
                          <w:rPr>
                            <w:rFonts w:ascii="Arial"/>
                            <w:color w:val="231F20"/>
                            <w:spacing w:val="-2"/>
                            <w:w w:val="80"/>
                            <w:sz w:val="14"/>
                          </w:rPr>
                          <w:t>Percent</w:t>
                        </w:r>
                      </w:p>
                      <w:p>
                        <w:pPr>
                          <w:spacing w:line="160" w:lineRule="exact" w:before="60"/>
                          <w:ind w:left="0" w:right="0" w:firstLine="0"/>
                          <w:jc w:val="left"/>
                          <w:rPr>
                            <w:rFonts w:ascii="Arial"/>
                            <w:sz w:val="14"/>
                          </w:rPr>
                        </w:pPr>
                        <w:r>
                          <w:rPr>
                            <w:rFonts w:ascii="Arial"/>
                            <w:color w:val="231F20"/>
                            <w:spacing w:val="-5"/>
                            <w:w w:val="95"/>
                            <w:sz w:val="14"/>
                          </w:rPr>
                          <w:t>100</w:t>
                        </w:r>
                      </w:p>
                    </w:txbxContent>
                  </v:textbox>
                  <w10:wrap type="none"/>
                </v:shape>
                <v:shape style="position:absolute;left:4443;top:184;width:2525;height:159" type="#_x0000_t202" id="docshape771" filled="false" stroked="false">
                  <v:textbox inset="0,0,0,0">
                    <w:txbxContent>
                      <w:p>
                        <w:pPr>
                          <w:tabs>
                            <w:tab w:pos="550" w:val="left" w:leader="none"/>
                            <w:tab w:pos="1222" w:val="left" w:leader="none"/>
                            <w:tab w:pos="2188" w:val="left" w:leader="none"/>
                          </w:tabs>
                          <w:spacing w:line="158" w:lineRule="exact" w:before="0"/>
                          <w:ind w:left="0" w:right="0" w:firstLine="0"/>
                          <w:jc w:val="left"/>
                          <w:rPr>
                            <w:rFonts w:ascii="Arial"/>
                            <w:sz w:val="14"/>
                          </w:rPr>
                        </w:pPr>
                        <w:r>
                          <w:rPr>
                            <w:rFonts w:ascii="Arial"/>
                            <w:color w:val="231F20"/>
                            <w:spacing w:val="-2"/>
                            <w:w w:val="90"/>
                            <w:sz w:val="14"/>
                          </w:rPr>
                          <w:t>Export</w:t>
                        </w:r>
                        <w:r>
                          <w:rPr>
                            <w:rFonts w:ascii="Arial"/>
                            <w:color w:val="231F20"/>
                            <w:sz w:val="14"/>
                          </w:rPr>
                          <w:tab/>
                        </w:r>
                        <w:r>
                          <w:rPr>
                            <w:rFonts w:ascii="Arial"/>
                            <w:color w:val="231F20"/>
                            <w:spacing w:val="-2"/>
                            <w:w w:val="90"/>
                            <w:sz w:val="14"/>
                          </w:rPr>
                          <w:t>Shipping</w:t>
                        </w:r>
                        <w:r>
                          <w:rPr>
                            <w:rFonts w:ascii="Arial"/>
                            <w:color w:val="231F20"/>
                            <w:sz w:val="14"/>
                          </w:rPr>
                          <w:tab/>
                        </w:r>
                        <w:r>
                          <w:rPr>
                            <w:rFonts w:ascii="Arial"/>
                            <w:color w:val="231F20"/>
                            <w:spacing w:val="-2"/>
                            <w:w w:val="85"/>
                            <w:sz w:val="14"/>
                          </w:rPr>
                          <w:t>Transshipment</w:t>
                        </w:r>
                        <w:r>
                          <w:rPr>
                            <w:rFonts w:ascii="Arial"/>
                            <w:color w:val="231F20"/>
                            <w:sz w:val="14"/>
                          </w:rPr>
                          <w:tab/>
                        </w:r>
                        <w:r>
                          <w:rPr>
                            <w:rFonts w:ascii="Arial"/>
                            <w:color w:val="231F20"/>
                            <w:spacing w:val="-2"/>
                            <w:w w:val="80"/>
                            <w:sz w:val="14"/>
                          </w:rPr>
                          <w:t>Import</w:t>
                        </w:r>
                      </w:p>
                    </w:txbxContent>
                  </v:textbox>
                  <w10:wrap type="none"/>
                </v:shape>
                <v:shape style="position:absolute;left:3507;top:1122;width:155;height:159" type="#_x0000_t202" id="docshape772"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75</w:t>
                        </w:r>
                      </w:p>
                    </w:txbxContent>
                  </v:textbox>
                  <w10:wrap type="none"/>
                </v:shape>
                <v:shape style="position:absolute;left:3507;top:1839;width:155;height:159" type="#_x0000_t202" id="docshape773"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50</w:t>
                        </w:r>
                      </w:p>
                    </w:txbxContent>
                  </v:textbox>
                  <w10:wrap type="none"/>
                </v:shape>
                <v:shape style="position:absolute;left:3495;top:2555;width:155;height:159" type="#_x0000_t202" id="docshape774"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25</w:t>
                        </w:r>
                      </w:p>
                    </w:txbxContent>
                  </v:textbox>
                  <w10:wrap type="none"/>
                </v:shape>
                <v:shape style="position:absolute;left:3562;top:3272;width:88;height:159" type="#_x0000_t202" id="docshape775" filled="false" stroked="false">
                  <v:textbox inset="0,0,0,0">
                    <w:txbxContent>
                      <w:p>
                        <w:pPr>
                          <w:spacing w:line="158" w:lineRule="exact" w:before="0"/>
                          <w:ind w:left="0" w:right="0" w:firstLine="0"/>
                          <w:jc w:val="left"/>
                          <w:rPr>
                            <w:rFonts w:ascii="Arial"/>
                            <w:sz w:val="14"/>
                          </w:rPr>
                        </w:pPr>
                        <w:r>
                          <w:rPr>
                            <w:rFonts w:ascii="Arial"/>
                            <w:color w:val="231F20"/>
                            <w:spacing w:val="-10"/>
                            <w:w w:val="95"/>
                            <w:sz w:val="14"/>
                          </w:rPr>
                          <w:t>0</w:t>
                        </w:r>
                      </w:p>
                    </w:txbxContent>
                  </v:textbox>
                  <w10:wrap type="none"/>
                </v:shape>
                <v:shape style="position:absolute;left:4309;top:3411;width:440;height:136" type="#_x0000_t202" id="docshape776" filled="false" stroked="false">
                  <v:textbox inset="0,0,0,0">
                    <w:txbxContent>
                      <w:p>
                        <w:pPr>
                          <w:spacing w:line="136" w:lineRule="exact" w:before="0"/>
                          <w:ind w:left="0" w:right="0" w:firstLine="0"/>
                          <w:jc w:val="left"/>
                          <w:rPr>
                            <w:rFonts w:ascii="Arial"/>
                            <w:sz w:val="12"/>
                          </w:rPr>
                        </w:pPr>
                        <w:r>
                          <w:rPr>
                            <w:rFonts w:ascii="Arial"/>
                            <w:color w:val="231F20"/>
                            <w:w w:val="75"/>
                            <w:sz w:val="12"/>
                          </w:rPr>
                          <w:t>Lead</w:t>
                        </w:r>
                        <w:r>
                          <w:rPr>
                            <w:rFonts w:ascii="Arial"/>
                            <w:color w:val="231F20"/>
                            <w:sz w:val="12"/>
                          </w:rPr>
                          <w:t> </w:t>
                        </w:r>
                        <w:r>
                          <w:rPr>
                            <w:rFonts w:ascii="Arial"/>
                            <w:color w:val="231F20"/>
                            <w:spacing w:val="-4"/>
                            <w:w w:val="90"/>
                            <w:sz w:val="12"/>
                          </w:rPr>
                          <w:t>time</w:t>
                        </w:r>
                      </w:p>
                    </w:txbxContent>
                  </v:textbox>
                  <w10:wrap type="none"/>
                </v:shape>
                <v:shape style="position:absolute;left:5964;top:3411;width:385;height:136" type="#_x0000_t202" id="docshape777" filled="false" stroked="false">
                  <v:textbox inset="0,0,0,0">
                    <w:txbxContent>
                      <w:p>
                        <w:pPr>
                          <w:spacing w:line="136" w:lineRule="exact" w:before="0"/>
                          <w:ind w:left="0" w:right="0" w:firstLine="0"/>
                          <w:jc w:val="left"/>
                          <w:rPr>
                            <w:rFonts w:ascii="Arial"/>
                            <w:sz w:val="12"/>
                          </w:rPr>
                        </w:pPr>
                        <w:r>
                          <w:rPr>
                            <w:rFonts w:ascii="Arial"/>
                            <w:color w:val="231F20"/>
                            <w:spacing w:val="-2"/>
                            <w:w w:val="80"/>
                            <w:sz w:val="12"/>
                          </w:rPr>
                          <w:t>Variance</w:t>
                        </w:r>
                      </w:p>
                    </w:txbxContent>
                  </v:textbox>
                  <w10:wrap type="none"/>
                </v:shape>
                <v:shape style="position:absolute;left:3480;top:3654;width:3493;height:976" type="#_x0000_t202" id="docshape778" filled="false" stroked="false">
                  <v:textbox inset="0,0,0,0">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3"/>
                            <w:sz w:val="12"/>
                          </w:rPr>
                          <w:t> </w:t>
                        </w:r>
                        <w:r>
                          <w:rPr>
                            <w:rFonts w:ascii="Arial"/>
                            <w:color w:val="231F20"/>
                            <w:w w:val="75"/>
                            <w:sz w:val="12"/>
                          </w:rPr>
                          <w:t>TradeLens</w:t>
                        </w:r>
                        <w:r>
                          <w:rPr>
                            <w:rFonts w:ascii="Arial"/>
                            <w:color w:val="231F20"/>
                            <w:spacing w:val="2"/>
                            <w:sz w:val="12"/>
                          </w:rPr>
                          <w:t> </w:t>
                        </w:r>
                        <w:r>
                          <w:rPr>
                            <w:rFonts w:ascii="Arial"/>
                            <w:color w:val="231F20"/>
                            <w:w w:val="75"/>
                            <w:sz w:val="12"/>
                          </w:rPr>
                          <w:t>and</w:t>
                        </w:r>
                        <w:r>
                          <w:rPr>
                            <w:rFonts w:ascii="Arial"/>
                            <w:color w:val="231F20"/>
                            <w:spacing w:val="-3"/>
                            <w:sz w:val="12"/>
                          </w:rPr>
                          <w:t> </w:t>
                        </w:r>
                        <w:r>
                          <w:rPr>
                            <w:rFonts w:ascii="Arial"/>
                            <w:color w:val="231F20"/>
                            <w:w w:val="75"/>
                            <w:sz w:val="12"/>
                          </w:rPr>
                          <w:t>World</w:t>
                        </w:r>
                        <w:r>
                          <w:rPr>
                            <w:rFonts w:ascii="Arial"/>
                            <w:color w:val="231F20"/>
                            <w:spacing w:val="2"/>
                            <w:sz w:val="12"/>
                          </w:rPr>
                          <w:t> </w:t>
                        </w:r>
                        <w:r>
                          <w:rPr>
                            <w:rFonts w:ascii="Arial"/>
                            <w:color w:val="231F20"/>
                            <w:w w:val="75"/>
                            <w:sz w:val="12"/>
                          </w:rPr>
                          <w:t>Bank</w:t>
                        </w:r>
                        <w:r>
                          <w:rPr>
                            <w:rFonts w:ascii="Arial"/>
                            <w:color w:val="231F20"/>
                            <w:spacing w:val="2"/>
                            <w:sz w:val="12"/>
                          </w:rPr>
                          <w:t> </w:t>
                        </w:r>
                        <w:r>
                          <w:rPr>
                            <w:rFonts w:ascii="Arial"/>
                            <w:color w:val="231F20"/>
                            <w:spacing w:val="-2"/>
                            <w:w w:val="75"/>
                            <w:sz w:val="12"/>
                          </w:rPr>
                          <w:t>modeling.</w:t>
                        </w:r>
                      </w:p>
                      <w:p>
                        <w:pPr>
                          <w:spacing w:line="242" w:lineRule="auto" w:before="2"/>
                          <w:ind w:left="0" w:right="18" w:firstLine="0"/>
                          <w:jc w:val="left"/>
                          <w:rPr>
                            <w:rFonts w:ascii="Arial"/>
                            <w:sz w:val="12"/>
                          </w:rPr>
                        </w:pPr>
                        <w:r>
                          <w:rPr>
                            <w:rFonts w:ascii="Arial"/>
                            <w:i/>
                            <w:color w:val="231F20"/>
                            <w:w w:val="80"/>
                            <w:sz w:val="12"/>
                          </w:rPr>
                          <w:t>Note:</w:t>
                        </w:r>
                        <w:r>
                          <w:rPr>
                            <w:rFonts w:ascii="Arial"/>
                            <w:i/>
                            <w:color w:val="231F20"/>
                            <w:spacing w:val="-3"/>
                            <w:w w:val="80"/>
                            <w:sz w:val="12"/>
                          </w:rPr>
                          <w:t> </w:t>
                        </w:r>
                        <w:r>
                          <w:rPr>
                            <w:rFonts w:ascii="Arial"/>
                            <w:color w:val="231F20"/>
                            <w:w w:val="80"/>
                            <w:sz w:val="12"/>
                          </w:rPr>
                          <w:t>Based</w:t>
                        </w:r>
                        <w:r>
                          <w:rPr>
                            <w:rFonts w:ascii="Arial"/>
                            <w:color w:val="231F20"/>
                            <w:spacing w:val="-1"/>
                            <w:w w:val="80"/>
                            <w:sz w:val="12"/>
                          </w:rPr>
                          <w:t> </w:t>
                        </w:r>
                        <w:r>
                          <w:rPr>
                            <w:rFonts w:ascii="Arial"/>
                            <w:color w:val="231F20"/>
                            <w:w w:val="80"/>
                            <w:sz w:val="12"/>
                          </w:rPr>
                          <w:t>on</w:t>
                        </w:r>
                        <w:r>
                          <w:rPr>
                            <w:rFonts w:ascii="Arial"/>
                            <w:color w:val="231F20"/>
                            <w:spacing w:val="-1"/>
                            <w:w w:val="80"/>
                            <w:sz w:val="12"/>
                          </w:rPr>
                          <w:t> </w:t>
                        </w:r>
                        <w:r>
                          <w:rPr>
                            <w:rFonts w:ascii="Arial"/>
                            <w:color w:val="231F20"/>
                            <w:w w:val="80"/>
                            <w:sz w:val="12"/>
                          </w:rPr>
                          <w:t>2.5</w:t>
                        </w:r>
                        <w:r>
                          <w:rPr>
                            <w:rFonts w:ascii="Arial"/>
                            <w:color w:val="231F20"/>
                            <w:spacing w:val="-1"/>
                            <w:w w:val="80"/>
                            <w:sz w:val="12"/>
                          </w:rPr>
                          <w:t> </w:t>
                        </w:r>
                        <w:r>
                          <w:rPr>
                            <w:rFonts w:ascii="Arial"/>
                            <w:color w:val="231F20"/>
                            <w:w w:val="80"/>
                            <w:sz w:val="12"/>
                          </w:rPr>
                          <w:t>million</w:t>
                        </w:r>
                        <w:r>
                          <w:rPr>
                            <w:rFonts w:ascii="Arial"/>
                            <w:color w:val="231F20"/>
                            <w:spacing w:val="-1"/>
                            <w:w w:val="80"/>
                            <w:sz w:val="12"/>
                          </w:rPr>
                          <w:t> </w:t>
                        </w:r>
                        <w:r>
                          <w:rPr>
                            <w:rFonts w:ascii="Arial"/>
                            <w:color w:val="231F20"/>
                            <w:w w:val="80"/>
                            <w:sz w:val="12"/>
                          </w:rPr>
                          <w:t>container</w:t>
                        </w:r>
                        <w:r>
                          <w:rPr>
                            <w:rFonts w:ascii="Arial"/>
                            <w:color w:val="231F20"/>
                            <w:spacing w:val="-1"/>
                            <w:w w:val="80"/>
                            <w:sz w:val="12"/>
                          </w:rPr>
                          <w:t> </w:t>
                        </w:r>
                        <w:r>
                          <w:rPr>
                            <w:rFonts w:ascii="Arial"/>
                            <w:color w:val="231F20"/>
                            <w:w w:val="80"/>
                            <w:sz w:val="12"/>
                          </w:rPr>
                          <w:t>movements</w:t>
                        </w:r>
                        <w:r>
                          <w:rPr>
                            <w:rFonts w:ascii="Arial"/>
                            <w:color w:val="231F20"/>
                            <w:spacing w:val="-1"/>
                            <w:w w:val="80"/>
                            <w:sz w:val="12"/>
                          </w:rPr>
                          <w:t> </w:t>
                        </w:r>
                        <w:r>
                          <w:rPr>
                            <w:rFonts w:ascii="Arial"/>
                            <w:color w:val="231F20"/>
                            <w:w w:val="80"/>
                            <w:sz w:val="12"/>
                          </w:rPr>
                          <w:t>that</w:t>
                        </w:r>
                        <w:r>
                          <w:rPr>
                            <w:rFonts w:ascii="Arial"/>
                            <w:color w:val="231F20"/>
                            <w:spacing w:val="-1"/>
                            <w:w w:val="80"/>
                            <w:sz w:val="12"/>
                          </w:rPr>
                          <w:t> </w:t>
                        </w:r>
                        <w:r>
                          <w:rPr>
                            <w:rFonts w:ascii="Arial"/>
                            <w:color w:val="231F20"/>
                            <w:w w:val="80"/>
                            <w:sz w:val="12"/>
                          </w:rPr>
                          <w:t>are</w:t>
                        </w:r>
                        <w:r>
                          <w:rPr>
                            <w:rFonts w:ascii="Arial"/>
                            <w:color w:val="231F20"/>
                            <w:spacing w:val="-1"/>
                            <w:w w:val="80"/>
                            <w:sz w:val="12"/>
                          </w:rPr>
                          <w:t> </w:t>
                        </w:r>
                        <w:r>
                          <w:rPr>
                            <w:rFonts w:ascii="Arial"/>
                            <w:color w:val="231F20"/>
                            <w:w w:val="80"/>
                            <w:sz w:val="12"/>
                          </w:rPr>
                          <w:t>representative</w:t>
                        </w:r>
                        <w:r>
                          <w:rPr>
                            <w:rFonts w:ascii="Arial"/>
                            <w:color w:val="231F20"/>
                            <w:spacing w:val="-1"/>
                            <w:w w:val="80"/>
                            <w:sz w:val="12"/>
                          </w:rPr>
                          <w:t> </w:t>
                        </w:r>
                        <w:r>
                          <w:rPr>
                            <w:rFonts w:ascii="Arial"/>
                            <w:color w:val="231F20"/>
                            <w:w w:val="80"/>
                            <w:sz w:val="12"/>
                          </w:rPr>
                          <w:t>of</w:t>
                        </w:r>
                        <w:r>
                          <w:rPr>
                            <w:rFonts w:ascii="Arial"/>
                            <w:color w:val="231F20"/>
                            <w:spacing w:val="-1"/>
                            <w:w w:val="80"/>
                            <w:sz w:val="12"/>
                          </w:rPr>
                          <w:t> </w:t>
                        </w:r>
                        <w:r>
                          <w:rPr>
                            <w:rFonts w:ascii="Arial"/>
                            <w:color w:val="231F20"/>
                            <w:w w:val="80"/>
                            <w:sz w:val="12"/>
                          </w:rPr>
                          <w:t>global</w:t>
                        </w:r>
                        <w:r>
                          <w:rPr>
                            <w:rFonts w:ascii="Arial"/>
                            <w:color w:val="231F20"/>
                            <w:spacing w:val="40"/>
                            <w:sz w:val="12"/>
                          </w:rPr>
                          <w:t> </w:t>
                        </w:r>
                        <w:r>
                          <w:rPr>
                            <w:rFonts w:ascii="Arial"/>
                            <w:color w:val="231F20"/>
                            <w:w w:val="80"/>
                            <w:sz w:val="12"/>
                          </w:rPr>
                          <w:t>container shipping trade lanes worldwide between May 2022 and October 2022.</w:t>
                        </w:r>
                        <w:r>
                          <w:rPr>
                            <w:rFonts w:ascii="Arial"/>
                            <w:color w:val="231F20"/>
                            <w:spacing w:val="40"/>
                            <w:sz w:val="12"/>
                          </w:rPr>
                          <w:t> </w:t>
                        </w:r>
                        <w:r>
                          <w:rPr>
                            <w:rFonts w:ascii="Arial"/>
                            <w:color w:val="231F20"/>
                            <w:w w:val="80"/>
                            <w:sz w:val="12"/>
                          </w:rPr>
                          <w:t>The</w:t>
                        </w:r>
                        <w:r>
                          <w:rPr>
                            <w:rFonts w:ascii="Arial"/>
                            <w:color w:val="231F20"/>
                            <w:spacing w:val="-2"/>
                            <w:w w:val="80"/>
                            <w:sz w:val="12"/>
                          </w:rPr>
                          <w:t> </w:t>
                        </w:r>
                        <w:r>
                          <w:rPr>
                            <w:rFonts w:ascii="Arial"/>
                            <w:color w:val="231F20"/>
                            <w:w w:val="80"/>
                            <w:sz w:val="12"/>
                          </w:rPr>
                          <w:t>model</w:t>
                        </w:r>
                        <w:r>
                          <w:rPr>
                            <w:rFonts w:ascii="Arial"/>
                            <w:color w:val="231F20"/>
                            <w:spacing w:val="-2"/>
                            <w:w w:val="80"/>
                            <w:sz w:val="12"/>
                          </w:rPr>
                          <w:t> </w:t>
                        </w:r>
                        <w:r>
                          <w:rPr>
                            <w:rFonts w:ascii="Arial"/>
                            <w:color w:val="231F20"/>
                            <w:w w:val="80"/>
                            <w:sz w:val="12"/>
                          </w:rPr>
                          <w:t>averages</w:t>
                        </w:r>
                        <w:r>
                          <w:rPr>
                            <w:rFonts w:ascii="Arial"/>
                            <w:color w:val="231F20"/>
                            <w:spacing w:val="-1"/>
                            <w:w w:val="80"/>
                            <w:sz w:val="12"/>
                          </w:rPr>
                          <w:t> </w:t>
                        </w:r>
                        <w:r>
                          <w:rPr>
                            <w:rFonts w:ascii="Arial"/>
                            <w:color w:val="231F20"/>
                            <w:w w:val="80"/>
                            <w:sz w:val="12"/>
                          </w:rPr>
                          <w:t>mean</w:t>
                        </w:r>
                        <w:r>
                          <w:rPr>
                            <w:rFonts w:ascii="Arial"/>
                            <w:color w:val="231F20"/>
                            <w:spacing w:val="-2"/>
                            <w:w w:val="80"/>
                            <w:sz w:val="12"/>
                          </w:rPr>
                          <w:t> </w:t>
                        </w:r>
                        <w:r>
                          <w:rPr>
                            <w:rFonts w:ascii="Arial"/>
                            <w:color w:val="231F20"/>
                            <w:w w:val="80"/>
                            <w:sz w:val="12"/>
                          </w:rPr>
                          <w:t>time</w:t>
                        </w:r>
                        <w:r>
                          <w:rPr>
                            <w:rFonts w:ascii="Arial"/>
                            <w:color w:val="231F20"/>
                            <w:spacing w:val="-2"/>
                            <w:w w:val="80"/>
                            <w:sz w:val="12"/>
                          </w:rPr>
                          <w:t> </w:t>
                        </w:r>
                        <w:r>
                          <w:rPr>
                            <w:rFonts w:ascii="Arial"/>
                            <w:color w:val="231F20"/>
                            <w:w w:val="80"/>
                            <w:sz w:val="12"/>
                          </w:rPr>
                          <w:t>and</w:t>
                        </w:r>
                        <w:r>
                          <w:rPr>
                            <w:rFonts w:ascii="Arial"/>
                            <w:color w:val="231F20"/>
                            <w:spacing w:val="-1"/>
                            <w:w w:val="80"/>
                            <w:sz w:val="12"/>
                          </w:rPr>
                          <w:t> </w:t>
                        </w:r>
                        <w:r>
                          <w:rPr>
                            <w:rFonts w:ascii="Arial"/>
                            <w:color w:val="231F20"/>
                            <w:w w:val="80"/>
                            <w:sz w:val="12"/>
                          </w:rPr>
                          <w:t>variability</w:t>
                        </w:r>
                        <w:r>
                          <w:rPr>
                            <w:rFonts w:ascii="Arial"/>
                            <w:color w:val="231F20"/>
                            <w:spacing w:val="-2"/>
                            <w:w w:val="80"/>
                            <w:sz w:val="12"/>
                          </w:rPr>
                          <w:t> </w:t>
                        </w:r>
                        <w:r>
                          <w:rPr>
                            <w:rFonts w:ascii="Arial"/>
                            <w:color w:val="231F20"/>
                            <w:w w:val="80"/>
                            <w:sz w:val="12"/>
                          </w:rPr>
                          <w:t>over</w:t>
                        </w:r>
                        <w:r>
                          <w:rPr>
                            <w:rFonts w:ascii="Arial"/>
                            <w:color w:val="231F20"/>
                            <w:spacing w:val="-2"/>
                            <w:w w:val="80"/>
                            <w:sz w:val="12"/>
                          </w:rPr>
                          <w:t> </w:t>
                        </w:r>
                        <w:r>
                          <w:rPr>
                            <w:rFonts w:ascii="Arial"/>
                            <w:color w:val="231F20"/>
                            <w:w w:val="80"/>
                            <w:sz w:val="12"/>
                          </w:rPr>
                          <w:t>all</w:t>
                        </w:r>
                        <w:r>
                          <w:rPr>
                            <w:rFonts w:ascii="Arial"/>
                            <w:color w:val="231F20"/>
                            <w:spacing w:val="-1"/>
                            <w:w w:val="80"/>
                            <w:sz w:val="12"/>
                          </w:rPr>
                          <w:t> </w:t>
                        </w:r>
                        <w:r>
                          <w:rPr>
                            <w:rFonts w:ascii="Arial"/>
                            <w:color w:val="231F20"/>
                            <w:w w:val="80"/>
                            <w:sz w:val="12"/>
                          </w:rPr>
                          <w:t>links</w:t>
                        </w:r>
                        <w:r>
                          <w:rPr>
                            <w:rFonts w:ascii="Arial"/>
                            <w:color w:val="231F20"/>
                            <w:spacing w:val="-2"/>
                            <w:w w:val="80"/>
                            <w:sz w:val="12"/>
                          </w:rPr>
                          <w:t> </w:t>
                        </w:r>
                        <w:r>
                          <w:rPr>
                            <w:rFonts w:ascii="Arial"/>
                            <w:color w:val="231F20"/>
                            <w:w w:val="80"/>
                            <w:sz w:val="12"/>
                          </w:rPr>
                          <w:t>in</w:t>
                        </w:r>
                        <w:r>
                          <w:rPr>
                            <w:rFonts w:ascii="Arial"/>
                            <w:color w:val="231F20"/>
                            <w:spacing w:val="-2"/>
                            <w:w w:val="80"/>
                            <w:sz w:val="12"/>
                          </w:rPr>
                          <w:t> </w:t>
                        </w:r>
                        <w:r>
                          <w:rPr>
                            <w:rFonts w:ascii="Arial"/>
                            <w:color w:val="231F20"/>
                            <w:w w:val="80"/>
                            <w:sz w:val="12"/>
                          </w:rPr>
                          <w:t>the</w:t>
                        </w:r>
                        <w:r>
                          <w:rPr>
                            <w:rFonts w:ascii="Arial"/>
                            <w:color w:val="231F20"/>
                            <w:spacing w:val="-1"/>
                            <w:w w:val="80"/>
                            <w:sz w:val="12"/>
                          </w:rPr>
                          <w:t> </w:t>
                        </w:r>
                        <w:r>
                          <w:rPr>
                            <w:rFonts w:ascii="Arial"/>
                            <w:color w:val="231F20"/>
                            <w:w w:val="80"/>
                            <w:sz w:val="12"/>
                          </w:rPr>
                          <w:t>maritime</w:t>
                        </w:r>
                        <w:r>
                          <w:rPr>
                            <w:rFonts w:ascii="Arial"/>
                            <w:color w:val="231F20"/>
                            <w:spacing w:val="-2"/>
                            <w:w w:val="80"/>
                            <w:sz w:val="12"/>
                          </w:rPr>
                          <w:t> </w:t>
                        </w:r>
                        <w:r>
                          <w:rPr>
                            <w:rFonts w:ascii="Arial"/>
                            <w:color w:val="231F20"/>
                            <w:w w:val="80"/>
                            <w:sz w:val="12"/>
                          </w:rPr>
                          <w:t>supply</w:t>
                        </w:r>
                        <w:r>
                          <w:rPr>
                            <w:rFonts w:ascii="Arial"/>
                            <w:color w:val="231F20"/>
                            <w:spacing w:val="40"/>
                            <w:sz w:val="12"/>
                          </w:rPr>
                          <w:t> </w:t>
                        </w:r>
                        <w:r>
                          <w:rPr>
                            <w:rFonts w:ascii="Arial"/>
                            <w:color w:val="231F20"/>
                            <w:w w:val="80"/>
                            <w:sz w:val="12"/>
                          </w:rPr>
                          <w:t>chains (port dwell time and lead time between pairs of ports), weighted by the</w:t>
                        </w:r>
                        <w:r>
                          <w:rPr>
                            <w:rFonts w:ascii="Arial"/>
                            <w:color w:val="231F20"/>
                            <w:spacing w:val="40"/>
                            <w:sz w:val="12"/>
                          </w:rPr>
                          <w:t> </w:t>
                        </w:r>
                        <w:r>
                          <w:rPr>
                            <w:rFonts w:ascii="Arial"/>
                            <w:color w:val="231F20"/>
                            <w:w w:val="80"/>
                            <w:sz w:val="12"/>
                          </w:rPr>
                          <w:t>number of observations for each.</w:t>
                        </w:r>
                        <w:r>
                          <w:rPr>
                            <w:rFonts w:ascii="Arial"/>
                            <w:color w:val="231F20"/>
                            <w:spacing w:val="-5"/>
                            <w:w w:val="80"/>
                            <w:sz w:val="12"/>
                          </w:rPr>
                          <w:t> </w:t>
                        </w:r>
                        <w:r>
                          <w:rPr>
                            <w:rFonts w:ascii="Arial"/>
                            <w:color w:val="231F20"/>
                            <w:w w:val="80"/>
                            <w:sz w:val="12"/>
                          </w:rPr>
                          <w:t>The estimation assumes that the performance</w:t>
                        </w:r>
                        <w:r>
                          <w:rPr>
                            <w:rFonts w:ascii="Arial"/>
                            <w:color w:val="231F20"/>
                            <w:spacing w:val="40"/>
                            <w:sz w:val="12"/>
                          </w:rPr>
                          <w:t> </w:t>
                        </w:r>
                        <w:r>
                          <w:rPr>
                            <w:rFonts w:ascii="Arial"/>
                            <w:color w:val="231F20"/>
                            <w:w w:val="85"/>
                            <w:sz w:val="12"/>
                          </w:rPr>
                          <w:t>of</w:t>
                        </w:r>
                        <w:r>
                          <w:rPr>
                            <w:rFonts w:ascii="Arial"/>
                            <w:color w:val="231F20"/>
                            <w:spacing w:val="-4"/>
                            <w:w w:val="85"/>
                            <w:sz w:val="12"/>
                          </w:rPr>
                          <w:t> </w:t>
                        </w:r>
                        <w:r>
                          <w:rPr>
                            <w:rFonts w:ascii="Arial"/>
                            <w:color w:val="231F20"/>
                            <w:w w:val="85"/>
                            <w:sz w:val="12"/>
                          </w:rPr>
                          <w:t>subsequent</w:t>
                        </w:r>
                        <w:r>
                          <w:rPr>
                            <w:rFonts w:ascii="Arial"/>
                            <w:color w:val="231F20"/>
                            <w:spacing w:val="-3"/>
                            <w:w w:val="85"/>
                            <w:sz w:val="12"/>
                          </w:rPr>
                          <w:t> </w:t>
                        </w:r>
                        <w:r>
                          <w:rPr>
                            <w:rFonts w:ascii="Arial"/>
                            <w:color w:val="231F20"/>
                            <w:w w:val="85"/>
                            <w:sz w:val="12"/>
                          </w:rPr>
                          <w:t>legs</w:t>
                        </w:r>
                        <w:r>
                          <w:rPr>
                            <w:rFonts w:ascii="Arial"/>
                            <w:color w:val="231F20"/>
                            <w:spacing w:val="-3"/>
                            <w:w w:val="85"/>
                            <w:sz w:val="12"/>
                          </w:rPr>
                          <w:t> </w:t>
                        </w:r>
                        <w:r>
                          <w:rPr>
                            <w:rFonts w:ascii="Arial"/>
                            <w:color w:val="231F20"/>
                            <w:w w:val="85"/>
                            <w:sz w:val="12"/>
                          </w:rPr>
                          <w:t>is</w:t>
                        </w:r>
                        <w:r>
                          <w:rPr>
                            <w:rFonts w:ascii="Arial"/>
                            <w:color w:val="231F20"/>
                            <w:spacing w:val="-4"/>
                            <w:w w:val="85"/>
                            <w:sz w:val="12"/>
                          </w:rPr>
                          <w:t> </w:t>
                        </w:r>
                        <w:r>
                          <w:rPr>
                            <w:rFonts w:ascii="Arial"/>
                            <w:color w:val="231F20"/>
                            <w:w w:val="85"/>
                            <w:sz w:val="12"/>
                          </w:rPr>
                          <w:t>statistically</w:t>
                        </w:r>
                        <w:r>
                          <w:rPr>
                            <w:rFonts w:ascii="Arial"/>
                            <w:color w:val="231F20"/>
                            <w:spacing w:val="-3"/>
                            <w:w w:val="85"/>
                            <w:sz w:val="12"/>
                          </w:rPr>
                          <w:t> </w:t>
                        </w:r>
                        <w:r>
                          <w:rPr>
                            <w:rFonts w:ascii="Arial"/>
                            <w:color w:val="231F20"/>
                            <w:w w:val="85"/>
                            <w:sz w:val="12"/>
                          </w:rPr>
                          <w:t>independent.</w:t>
                        </w:r>
                      </w:p>
                    </w:txbxContent>
                  </v:textbox>
                  <w10:wrap type="none"/>
                </v:shape>
                <w10:wrap type="none"/>
              </v:group>
            </w:pict>
          </mc:Fallback>
        </mc:AlternateContent>
      </w:r>
      <w:r>
        <w:rPr>
          <w:color w:val="231F20"/>
          <w:spacing w:val="-6"/>
        </w:rPr>
        <w:t>Some of this variability in dwell times may </w:t>
      </w:r>
      <w:r>
        <w:rPr>
          <w:color w:val="231F20"/>
          <w:spacing w:val="-2"/>
        </w:rPr>
        <w:t>be</w:t>
      </w:r>
      <w:r>
        <w:rPr>
          <w:color w:val="231F20"/>
          <w:spacing w:val="-12"/>
        </w:rPr>
        <w:t> </w:t>
      </w:r>
      <w:r>
        <w:rPr>
          <w:color w:val="231F20"/>
          <w:spacing w:val="-2"/>
        </w:rPr>
        <w:t>connected</w:t>
      </w:r>
      <w:r>
        <w:rPr>
          <w:color w:val="231F20"/>
          <w:spacing w:val="-11"/>
        </w:rPr>
        <w:t> </w:t>
      </w:r>
      <w:r>
        <w:rPr>
          <w:color w:val="231F20"/>
          <w:spacing w:val="-2"/>
        </w:rPr>
        <w:t>with</w:t>
      </w:r>
      <w:r>
        <w:rPr>
          <w:color w:val="231F20"/>
          <w:spacing w:val="-11"/>
        </w:rPr>
        <w:t> </w:t>
      </w:r>
      <w:r>
        <w:rPr>
          <w:color w:val="231F20"/>
          <w:spacing w:val="-2"/>
        </w:rPr>
        <w:t>factors</w:t>
      </w:r>
      <w:r>
        <w:rPr>
          <w:color w:val="231F20"/>
          <w:spacing w:val="-11"/>
        </w:rPr>
        <w:t> </w:t>
      </w:r>
      <w:r>
        <w:rPr>
          <w:color w:val="231F20"/>
          <w:spacing w:val="-2"/>
        </w:rPr>
        <w:t>under</w:t>
      </w:r>
      <w:r>
        <w:rPr>
          <w:color w:val="231F20"/>
          <w:spacing w:val="-11"/>
        </w:rPr>
        <w:t> </w:t>
      </w:r>
      <w:r>
        <w:rPr>
          <w:color w:val="231F20"/>
          <w:spacing w:val="-2"/>
        </w:rPr>
        <w:t>the</w:t>
      </w:r>
      <w:r>
        <w:rPr>
          <w:color w:val="231F20"/>
          <w:spacing w:val="-11"/>
        </w:rPr>
        <w:t> </w:t>
      </w:r>
      <w:r>
        <w:rPr>
          <w:color w:val="231F20"/>
          <w:spacing w:val="-2"/>
        </w:rPr>
        <w:t>control</w:t>
      </w:r>
      <w:r>
        <w:rPr>
          <w:color w:val="231F20"/>
          <w:spacing w:val="-11"/>
        </w:rPr>
        <w:t> </w:t>
      </w:r>
      <w:r>
        <w:rPr>
          <w:color w:val="231F20"/>
          <w:spacing w:val="-2"/>
        </w:rPr>
        <w:t>of </w:t>
      </w:r>
      <w:r>
        <w:rPr>
          <w:color w:val="231F20"/>
          <w:spacing w:val="-6"/>
        </w:rPr>
        <w:t>the owner of the goods or the freight forwarder </w:t>
      </w:r>
      <w:r>
        <w:rPr>
          <w:color w:val="231F20"/>
          <w:spacing w:val="-2"/>
        </w:rPr>
        <w:t>(such</w:t>
      </w:r>
      <w:r>
        <w:rPr>
          <w:color w:val="231F20"/>
          <w:spacing w:val="-12"/>
        </w:rPr>
        <w:t> </w:t>
      </w:r>
      <w:r>
        <w:rPr>
          <w:color w:val="231F20"/>
          <w:spacing w:val="-2"/>
        </w:rPr>
        <w:t>as</w:t>
      </w:r>
      <w:r>
        <w:rPr>
          <w:color w:val="231F20"/>
          <w:spacing w:val="-11"/>
        </w:rPr>
        <w:t> </w:t>
      </w:r>
      <w:r>
        <w:rPr>
          <w:color w:val="231F20"/>
          <w:spacing w:val="-2"/>
        </w:rPr>
        <w:t>scheduling),</w:t>
      </w:r>
      <w:r>
        <w:rPr>
          <w:color w:val="231F20"/>
          <w:spacing w:val="-11"/>
        </w:rPr>
        <w:t> </w:t>
      </w:r>
      <w:r>
        <w:rPr>
          <w:color w:val="231F20"/>
          <w:spacing w:val="-2"/>
        </w:rPr>
        <w:t>but</w:t>
      </w:r>
      <w:r>
        <w:rPr>
          <w:color w:val="231F20"/>
          <w:spacing w:val="-11"/>
        </w:rPr>
        <w:t> </w:t>
      </w:r>
      <w:r>
        <w:rPr>
          <w:color w:val="231F20"/>
          <w:spacing w:val="-2"/>
        </w:rPr>
        <w:t>other</w:t>
      </w:r>
      <w:r>
        <w:rPr>
          <w:color w:val="231F20"/>
          <w:spacing w:val="-11"/>
        </w:rPr>
        <w:t> </w:t>
      </w:r>
      <w:r>
        <w:rPr>
          <w:color w:val="231F20"/>
          <w:spacing w:val="-2"/>
        </w:rPr>
        <w:t>factors</w:t>
      </w:r>
      <w:r>
        <w:rPr>
          <w:color w:val="231F20"/>
          <w:spacing w:val="-11"/>
        </w:rPr>
        <w:t> </w:t>
      </w:r>
      <w:r>
        <w:rPr>
          <w:color w:val="231F20"/>
          <w:spacing w:val="-2"/>
        </w:rPr>
        <w:t>may</w:t>
      </w:r>
      <w:r>
        <w:rPr>
          <w:color w:val="231F20"/>
          <w:spacing w:val="-11"/>
        </w:rPr>
        <w:t> </w:t>
      </w:r>
      <w:r>
        <w:rPr>
          <w:color w:val="231F20"/>
          <w:spacing w:val="-2"/>
        </w:rPr>
        <w:t>be </w:t>
      </w:r>
      <w:r>
        <w:rPr>
          <w:color w:val="231F20"/>
        </w:rPr>
        <w:t>out</w:t>
      </w:r>
      <w:r>
        <w:rPr>
          <w:color w:val="231F20"/>
          <w:spacing w:val="-9"/>
        </w:rPr>
        <w:t> </w:t>
      </w:r>
      <w:r>
        <w:rPr>
          <w:color w:val="231F20"/>
        </w:rPr>
        <w:t>of</w:t>
      </w:r>
      <w:r>
        <w:rPr>
          <w:color w:val="231F20"/>
          <w:spacing w:val="-9"/>
        </w:rPr>
        <w:t> </w:t>
      </w:r>
      <w:r>
        <w:rPr>
          <w:color w:val="231F20"/>
        </w:rPr>
        <w:t>their</w:t>
      </w:r>
      <w:r>
        <w:rPr>
          <w:color w:val="231F20"/>
          <w:spacing w:val="-9"/>
        </w:rPr>
        <w:t> </w:t>
      </w:r>
      <w:r>
        <w:rPr>
          <w:color w:val="231F20"/>
        </w:rPr>
        <w:t>control</w:t>
      </w:r>
      <w:r>
        <w:rPr>
          <w:color w:val="231F20"/>
          <w:spacing w:val="-9"/>
        </w:rPr>
        <w:t> </w:t>
      </w:r>
      <w:r>
        <w:rPr>
          <w:color w:val="231F20"/>
        </w:rPr>
        <w:t>(such</w:t>
      </w:r>
      <w:r>
        <w:rPr>
          <w:color w:val="231F20"/>
          <w:spacing w:val="-9"/>
        </w:rPr>
        <w:t> </w:t>
      </w:r>
      <w:r>
        <w:rPr>
          <w:color w:val="231F20"/>
        </w:rPr>
        <w:t>as</w:t>
      </w:r>
      <w:r>
        <w:rPr>
          <w:color w:val="231F20"/>
          <w:spacing w:val="-9"/>
        </w:rPr>
        <w:t> </w:t>
      </w:r>
      <w:r>
        <w:rPr>
          <w:color w:val="231F20"/>
        </w:rPr>
        <w:t>uncertainty</w:t>
      </w:r>
      <w:r>
        <w:rPr>
          <w:color w:val="231F20"/>
          <w:spacing w:val="-9"/>
        </w:rPr>
        <w:t> </w:t>
      </w:r>
      <w:r>
        <w:rPr>
          <w:color w:val="231F20"/>
        </w:rPr>
        <w:t>as</w:t>
      </w:r>
      <w:r>
        <w:rPr>
          <w:color w:val="231F20"/>
          <w:spacing w:val="-9"/>
        </w:rPr>
        <w:t> </w:t>
      </w:r>
      <w:r>
        <w:rPr>
          <w:color w:val="231F20"/>
        </w:rPr>
        <w:t>to when goods will be loaded and unloaded or </w:t>
      </w:r>
      <w:r>
        <w:rPr>
          <w:color w:val="231F20"/>
          <w:w w:val="90"/>
        </w:rPr>
        <w:t>cleared). So, dispersion of lead time reflects the </w:t>
      </w:r>
      <w:r>
        <w:rPr>
          <w:color w:val="231F20"/>
        </w:rPr>
        <w:t>overall</w:t>
      </w:r>
      <w:r>
        <w:rPr>
          <w:color w:val="231F20"/>
          <w:spacing w:val="-5"/>
        </w:rPr>
        <w:t> </w:t>
      </w:r>
      <w:r>
        <w:rPr>
          <w:color w:val="231F20"/>
        </w:rPr>
        <w:t>reliability</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supply</w:t>
      </w:r>
      <w:r>
        <w:rPr>
          <w:color w:val="231F20"/>
          <w:spacing w:val="-5"/>
        </w:rPr>
        <w:t> </w:t>
      </w:r>
      <w:r>
        <w:rPr>
          <w:color w:val="231F20"/>
        </w:rPr>
        <w:t>chain</w:t>
      </w:r>
      <w:r>
        <w:rPr>
          <w:color w:val="231F20"/>
          <w:spacing w:val="-5"/>
        </w:rPr>
        <w:t> </w:t>
      </w:r>
      <w:r>
        <w:rPr>
          <w:color w:val="231F20"/>
        </w:rPr>
        <w:t>for</w:t>
      </w:r>
      <w:r>
        <w:rPr>
          <w:color w:val="231F20"/>
          <w:spacing w:val="-5"/>
        </w:rPr>
        <w:t> </w:t>
      </w:r>
      <w:r>
        <w:rPr>
          <w:color w:val="231F20"/>
        </w:rPr>
        <w:t>the link</w:t>
      </w:r>
      <w:r>
        <w:rPr>
          <w:color w:val="231F20"/>
          <w:spacing w:val="-5"/>
        </w:rPr>
        <w:t> </w:t>
      </w:r>
      <w:r>
        <w:rPr>
          <w:color w:val="231F20"/>
        </w:rPr>
        <w:t>under</w:t>
      </w:r>
      <w:r>
        <w:rPr>
          <w:color w:val="231F20"/>
          <w:spacing w:val="-5"/>
        </w:rPr>
        <w:t> </w:t>
      </w:r>
      <w:r>
        <w:rPr>
          <w:color w:val="231F20"/>
        </w:rPr>
        <w:t>review</w:t>
      </w:r>
      <w:r>
        <w:rPr>
          <w:color w:val="231F20"/>
          <w:position w:val="7"/>
          <w:sz w:val="14"/>
        </w:rPr>
        <w:t>21</w:t>
      </w:r>
      <w:r>
        <w:rPr>
          <w:color w:val="231F20"/>
          <w:spacing w:val="12"/>
          <w:position w:val="7"/>
          <w:sz w:val="14"/>
        </w:rPr>
        <w:t> </w:t>
      </w:r>
      <w:r>
        <w:rPr>
          <w:color w:val="231F20"/>
        </w:rPr>
        <w:t>or,</w:t>
      </w:r>
      <w:r>
        <w:rPr>
          <w:color w:val="231F20"/>
          <w:spacing w:val="-5"/>
        </w:rPr>
        <w:t> </w:t>
      </w:r>
      <w:r>
        <w:rPr>
          <w:color w:val="231F20"/>
        </w:rPr>
        <w:t>if</w:t>
      </w:r>
      <w:r>
        <w:rPr>
          <w:color w:val="231F20"/>
          <w:spacing w:val="-5"/>
        </w:rPr>
        <w:t> </w:t>
      </w:r>
      <w:r>
        <w:rPr>
          <w:color w:val="231F20"/>
        </w:rPr>
        <w:t>aggregated,</w:t>
      </w:r>
      <w:r>
        <w:rPr>
          <w:color w:val="231F20"/>
          <w:spacing w:val="-5"/>
        </w:rPr>
        <w:t> </w:t>
      </w:r>
      <w:r>
        <w:rPr>
          <w:color w:val="231F20"/>
        </w:rPr>
        <w:t>for</w:t>
      </w:r>
      <w:r>
        <w:rPr>
          <w:color w:val="231F20"/>
          <w:spacing w:val="-5"/>
        </w:rPr>
        <w:t> </w:t>
      </w:r>
      <w:r>
        <w:rPr>
          <w:color w:val="231F20"/>
        </w:rPr>
        <w:t>the </w:t>
      </w:r>
      <w:r>
        <w:rPr>
          <w:color w:val="231F20"/>
          <w:spacing w:val="-6"/>
        </w:rPr>
        <w:t>entire country. Traders facing the possibility of </w:t>
      </w:r>
      <w:r>
        <w:rPr>
          <w:color w:val="231F20"/>
          <w:spacing w:val="-2"/>
        </w:rPr>
        <w:t>long</w:t>
      </w:r>
      <w:r>
        <w:rPr>
          <w:color w:val="231F20"/>
          <w:spacing w:val="-12"/>
        </w:rPr>
        <w:t> </w:t>
      </w:r>
      <w:r>
        <w:rPr>
          <w:color w:val="231F20"/>
          <w:spacing w:val="-2"/>
        </w:rPr>
        <w:t>delays</w:t>
      </w:r>
      <w:r>
        <w:rPr>
          <w:color w:val="231F20"/>
          <w:spacing w:val="-11"/>
        </w:rPr>
        <w:t> </w:t>
      </w:r>
      <w:r>
        <w:rPr>
          <w:color w:val="231F20"/>
          <w:spacing w:val="-2"/>
        </w:rPr>
        <w:t>must</w:t>
      </w:r>
      <w:r>
        <w:rPr>
          <w:color w:val="231F20"/>
          <w:spacing w:val="-11"/>
        </w:rPr>
        <w:t> </w:t>
      </w:r>
      <w:r>
        <w:rPr>
          <w:color w:val="231F20"/>
          <w:spacing w:val="-2"/>
        </w:rPr>
        <w:t>bear</w:t>
      </w:r>
      <w:r>
        <w:rPr>
          <w:color w:val="231F20"/>
          <w:spacing w:val="-11"/>
        </w:rPr>
        <w:t> </w:t>
      </w:r>
      <w:r>
        <w:rPr>
          <w:color w:val="231F20"/>
          <w:spacing w:val="-2"/>
        </w:rPr>
        <w:t>extra</w:t>
      </w:r>
      <w:r>
        <w:rPr>
          <w:color w:val="231F20"/>
          <w:spacing w:val="-11"/>
        </w:rPr>
        <w:t> </w:t>
      </w:r>
      <w:r>
        <w:rPr>
          <w:color w:val="231F20"/>
          <w:spacing w:val="-2"/>
        </w:rPr>
        <w:t>costs</w:t>
      </w:r>
      <w:r>
        <w:rPr>
          <w:color w:val="231F20"/>
          <w:spacing w:val="-11"/>
        </w:rPr>
        <w:t> </w:t>
      </w:r>
      <w:r>
        <w:rPr>
          <w:color w:val="231F20"/>
          <w:spacing w:val="-2"/>
        </w:rPr>
        <w:t>in</w:t>
      </w:r>
      <w:r>
        <w:rPr>
          <w:color w:val="231F20"/>
          <w:spacing w:val="-11"/>
        </w:rPr>
        <w:t> </w:t>
      </w:r>
      <w:r>
        <w:rPr>
          <w:color w:val="231F20"/>
          <w:spacing w:val="-2"/>
        </w:rPr>
        <w:t>establish- </w:t>
      </w:r>
      <w:r>
        <w:rPr>
          <w:color w:val="231F20"/>
          <w:spacing w:val="-6"/>
        </w:rPr>
        <w:t>ing</w:t>
      </w:r>
      <w:r>
        <w:rPr>
          <w:color w:val="231F20"/>
          <w:spacing w:val="-8"/>
        </w:rPr>
        <w:t> </w:t>
      </w:r>
      <w:r>
        <w:rPr>
          <w:color w:val="231F20"/>
          <w:spacing w:val="-6"/>
        </w:rPr>
        <w:t>reliable</w:t>
      </w:r>
      <w:r>
        <w:rPr>
          <w:color w:val="231F20"/>
          <w:spacing w:val="-7"/>
        </w:rPr>
        <w:t> </w:t>
      </w:r>
      <w:r>
        <w:rPr>
          <w:color w:val="231F20"/>
          <w:spacing w:val="-6"/>
        </w:rPr>
        <w:t>connections</w:t>
      </w:r>
      <w:r>
        <w:rPr>
          <w:color w:val="231F20"/>
          <w:spacing w:val="-7"/>
        </w:rPr>
        <w:t> </w:t>
      </w:r>
      <w:r>
        <w:rPr>
          <w:color w:val="231F20"/>
          <w:spacing w:val="-6"/>
        </w:rPr>
        <w:t>to</w:t>
      </w:r>
      <w:r>
        <w:rPr>
          <w:color w:val="231F20"/>
          <w:spacing w:val="-7"/>
        </w:rPr>
        <w:t> </w:t>
      </w:r>
      <w:r>
        <w:rPr>
          <w:color w:val="231F20"/>
          <w:spacing w:val="-6"/>
        </w:rPr>
        <w:t>suppliers</w:t>
      </w:r>
      <w:r>
        <w:rPr>
          <w:color w:val="231F20"/>
          <w:spacing w:val="-7"/>
        </w:rPr>
        <w:t> </w:t>
      </w:r>
      <w:r>
        <w:rPr>
          <w:color w:val="231F20"/>
          <w:spacing w:val="-6"/>
        </w:rPr>
        <w:t>and</w:t>
      </w:r>
      <w:r>
        <w:rPr>
          <w:color w:val="231F20"/>
          <w:spacing w:val="-7"/>
        </w:rPr>
        <w:t> </w:t>
      </w:r>
      <w:r>
        <w:rPr>
          <w:color w:val="231F20"/>
          <w:spacing w:val="-6"/>
        </w:rPr>
        <w:t>buyers </w:t>
      </w:r>
      <w:r>
        <w:rPr>
          <w:color w:val="231F20"/>
          <w:spacing w:val="-4"/>
        </w:rPr>
        <w:t>in</w:t>
      </w:r>
      <w:r>
        <w:rPr>
          <w:color w:val="231F20"/>
          <w:spacing w:val="-7"/>
        </w:rPr>
        <w:t> </w:t>
      </w:r>
      <w:r>
        <w:rPr>
          <w:color w:val="231F20"/>
          <w:spacing w:val="-4"/>
        </w:rPr>
        <w:t>foreign</w:t>
      </w:r>
      <w:r>
        <w:rPr>
          <w:color w:val="231F20"/>
          <w:spacing w:val="-7"/>
        </w:rPr>
        <w:t> </w:t>
      </w:r>
      <w:r>
        <w:rPr>
          <w:color w:val="231F20"/>
          <w:spacing w:val="-4"/>
        </w:rPr>
        <w:t>markets.</w:t>
      </w:r>
      <w:r>
        <w:rPr>
          <w:color w:val="231F20"/>
          <w:spacing w:val="-7"/>
        </w:rPr>
        <w:t> </w:t>
      </w:r>
      <w:r>
        <w:rPr>
          <w:color w:val="231F20"/>
          <w:spacing w:val="-4"/>
        </w:rPr>
        <w:t>From</w:t>
      </w:r>
      <w:r>
        <w:rPr>
          <w:color w:val="231F20"/>
          <w:spacing w:val="-7"/>
        </w:rPr>
        <w:t> </w:t>
      </w:r>
      <w:r>
        <w:rPr>
          <w:color w:val="231F20"/>
          <w:spacing w:val="-4"/>
        </w:rPr>
        <w:t>a</w:t>
      </w:r>
      <w:r>
        <w:rPr>
          <w:color w:val="231F20"/>
          <w:spacing w:val="-7"/>
        </w:rPr>
        <w:t> </w:t>
      </w:r>
      <w:r>
        <w:rPr>
          <w:color w:val="231F20"/>
          <w:spacing w:val="-4"/>
        </w:rPr>
        <w:t>policy</w:t>
      </w:r>
      <w:r>
        <w:rPr>
          <w:color w:val="231F20"/>
          <w:spacing w:val="-7"/>
        </w:rPr>
        <w:t> </w:t>
      </w:r>
      <w:r>
        <w:rPr>
          <w:color w:val="231F20"/>
          <w:spacing w:val="-4"/>
        </w:rPr>
        <w:t>perspective, </w:t>
      </w:r>
      <w:r>
        <w:rPr>
          <w:color w:val="231F20"/>
          <w:w w:val="90"/>
        </w:rPr>
        <w:t>this suggests that interventions targeting supply chain reliability at trade gateways have the most impact on the costs of trade, though these delays </w:t>
      </w:r>
      <w:r>
        <w:rPr>
          <w:color w:val="231F20"/>
          <w:spacing w:val="-6"/>
        </w:rPr>
        <w:t>constitute a small fraction of the overall supply </w:t>
      </w:r>
      <w:r>
        <w:rPr>
          <w:color w:val="231F20"/>
        </w:rPr>
        <w:t>chain lead time.</w:t>
      </w:r>
      <w:r>
        <w:rPr>
          <w:color w:val="231F20"/>
          <w:position w:val="7"/>
          <w:sz w:val="14"/>
        </w:rPr>
        <w:t>22</w:t>
      </w:r>
    </w:p>
    <w:p>
      <w:pPr>
        <w:pStyle w:val="BodyText"/>
        <w:spacing w:line="224" w:lineRule="exact"/>
        <w:ind w:left="499"/>
        <w:jc w:val="both"/>
      </w:pPr>
      <w:r>
        <w:rPr>
          <w:color w:val="231F20"/>
        </w:rPr>
        <w:t>For</w:t>
      </w:r>
      <w:r>
        <w:rPr>
          <w:color w:val="231F20"/>
          <w:spacing w:val="75"/>
        </w:rPr>
        <w:t> </w:t>
      </w:r>
      <w:r>
        <w:rPr>
          <w:color w:val="231F20"/>
        </w:rPr>
        <w:t>each</w:t>
      </w:r>
      <w:r>
        <w:rPr>
          <w:color w:val="231F20"/>
          <w:spacing w:val="76"/>
        </w:rPr>
        <w:t> </w:t>
      </w:r>
      <w:r>
        <w:rPr>
          <w:color w:val="231F20"/>
        </w:rPr>
        <w:t>key</w:t>
      </w:r>
      <w:r>
        <w:rPr>
          <w:color w:val="231F20"/>
          <w:spacing w:val="76"/>
        </w:rPr>
        <w:t> </w:t>
      </w:r>
      <w:r>
        <w:rPr>
          <w:color w:val="231F20"/>
        </w:rPr>
        <w:t>performance</w:t>
      </w:r>
      <w:r>
        <w:rPr>
          <w:color w:val="231F20"/>
          <w:spacing w:val="75"/>
        </w:rPr>
        <w:t> </w:t>
      </w:r>
      <w:r>
        <w:rPr>
          <w:color w:val="231F20"/>
          <w:spacing w:val="-2"/>
        </w:rPr>
        <w:t>indicator,</w:t>
      </w:r>
    </w:p>
    <w:p>
      <w:pPr>
        <w:pStyle w:val="BodyText"/>
        <w:spacing w:line="268" w:lineRule="auto" w:before="27"/>
        <w:ind w:left="199" w:right="657"/>
        <w:jc w:val="both"/>
      </w:pPr>
      <w:r>
        <w:rPr>
          <w:color w:val="231F20"/>
        </w:rPr>
        <w:t>the report provides estimates of the mean and quartiles (first, median, and third). The </w:t>
      </w:r>
      <w:r>
        <w:rPr>
          <w:color w:val="231F20"/>
          <w:spacing w:val="-2"/>
        </w:rPr>
        <w:t>interquartile</w:t>
      </w:r>
      <w:r>
        <w:rPr>
          <w:color w:val="231F20"/>
          <w:spacing w:val="-10"/>
        </w:rPr>
        <w:t> </w:t>
      </w:r>
      <w:r>
        <w:rPr>
          <w:color w:val="231F20"/>
          <w:spacing w:val="-2"/>
        </w:rPr>
        <w:t>range</w:t>
      </w:r>
      <w:r>
        <w:rPr>
          <w:color w:val="231F20"/>
          <w:spacing w:val="-10"/>
        </w:rPr>
        <w:t> </w:t>
      </w:r>
      <w:r>
        <w:rPr>
          <w:color w:val="231F20"/>
          <w:spacing w:val="-2"/>
        </w:rPr>
        <w:t>of</w:t>
      </w:r>
      <w:r>
        <w:rPr>
          <w:color w:val="231F20"/>
          <w:spacing w:val="-10"/>
        </w:rPr>
        <w:t> </w:t>
      </w:r>
      <w:r>
        <w:rPr>
          <w:color w:val="231F20"/>
          <w:spacing w:val="-2"/>
        </w:rPr>
        <w:t>lead</w:t>
      </w:r>
      <w:r>
        <w:rPr>
          <w:color w:val="231F20"/>
          <w:spacing w:val="-10"/>
        </w:rPr>
        <w:t> </w:t>
      </w:r>
      <w:r>
        <w:rPr>
          <w:color w:val="231F20"/>
          <w:spacing w:val="-2"/>
        </w:rPr>
        <w:t>time</w:t>
      </w:r>
      <w:r>
        <w:rPr>
          <w:color w:val="231F20"/>
          <w:spacing w:val="-11"/>
        </w:rPr>
        <w:t> </w:t>
      </w:r>
      <w:r>
        <w:rPr>
          <w:color w:val="231F20"/>
          <w:spacing w:val="-2"/>
        </w:rPr>
        <w:t>(from</w:t>
      </w:r>
      <w:r>
        <w:rPr>
          <w:color w:val="231F20"/>
          <w:spacing w:val="-10"/>
        </w:rPr>
        <w:t> </w:t>
      </w:r>
      <w:r>
        <w:rPr>
          <w:color w:val="231F20"/>
          <w:spacing w:val="-2"/>
        </w:rPr>
        <w:t>the</w:t>
      </w:r>
      <w:r>
        <w:rPr>
          <w:color w:val="231F20"/>
          <w:spacing w:val="-10"/>
        </w:rPr>
        <w:t> </w:t>
      </w:r>
      <w:r>
        <w:rPr>
          <w:color w:val="231F20"/>
          <w:spacing w:val="-2"/>
        </w:rPr>
        <w:t>first </w:t>
      </w:r>
      <w:r>
        <w:rPr>
          <w:color w:val="231F20"/>
        </w:rPr>
        <w:t>quartile to the third) is a robust measure of dispersion. With import dwell time, disper- </w:t>
      </w:r>
      <w:r>
        <w:rPr>
          <w:color w:val="231F20"/>
          <w:spacing w:val="-6"/>
        </w:rPr>
        <w:t>sion measured by interquartile range is compa- </w:t>
      </w:r>
      <w:r>
        <w:rPr>
          <w:color w:val="231F20"/>
        </w:rPr>
        <w:t>rable</w:t>
      </w:r>
      <w:r>
        <w:rPr>
          <w:color w:val="231F20"/>
          <w:spacing w:val="-13"/>
        </w:rPr>
        <w:t> </w:t>
      </w:r>
      <w:r>
        <w:rPr>
          <w:color w:val="231F20"/>
        </w:rPr>
        <w:t>to</w:t>
      </w:r>
      <w:r>
        <w:rPr>
          <w:color w:val="231F20"/>
          <w:spacing w:val="-13"/>
        </w:rPr>
        <w:t> </w:t>
      </w:r>
      <w:r>
        <w:rPr>
          <w:color w:val="231F20"/>
        </w:rPr>
        <w:t>the</w:t>
      </w:r>
      <w:r>
        <w:rPr>
          <w:color w:val="231F20"/>
          <w:spacing w:val="-13"/>
        </w:rPr>
        <w:t> </w:t>
      </w:r>
      <w:r>
        <w:rPr>
          <w:color w:val="231F20"/>
        </w:rPr>
        <w:t>median.</w:t>
      </w:r>
      <w:r>
        <w:rPr>
          <w:color w:val="231F20"/>
          <w:spacing w:val="-13"/>
        </w:rPr>
        <w:t> </w:t>
      </w:r>
      <w:r>
        <w:rPr>
          <w:color w:val="231F20"/>
        </w:rPr>
        <w:t>In</w:t>
      </w:r>
      <w:r>
        <w:rPr>
          <w:color w:val="231F20"/>
          <w:spacing w:val="-13"/>
        </w:rPr>
        <w:t> </w:t>
      </w:r>
      <w:r>
        <w:rPr>
          <w:color w:val="231F20"/>
        </w:rPr>
        <w:t>addition</w:t>
      </w:r>
      <w:r>
        <w:rPr>
          <w:color w:val="231F20"/>
          <w:spacing w:val="-13"/>
        </w:rPr>
        <w:t> </w:t>
      </w:r>
      <w:r>
        <w:rPr>
          <w:color w:val="231F20"/>
        </w:rPr>
        <w:t>to</w:t>
      </w:r>
      <w:r>
        <w:rPr>
          <w:color w:val="231F20"/>
          <w:spacing w:val="-13"/>
        </w:rPr>
        <w:t> </w:t>
      </w:r>
      <w:r>
        <w:rPr>
          <w:color w:val="231F20"/>
        </w:rPr>
        <w:t>dispersion </w:t>
      </w:r>
      <w:r>
        <w:rPr>
          <w:color w:val="231F20"/>
          <w:spacing w:val="-2"/>
        </w:rPr>
        <w:t>of</w:t>
      </w:r>
      <w:r>
        <w:rPr>
          <w:color w:val="231F20"/>
          <w:spacing w:val="-5"/>
        </w:rPr>
        <w:t> </w:t>
      </w:r>
      <w:r>
        <w:rPr>
          <w:color w:val="231F20"/>
          <w:spacing w:val="-2"/>
        </w:rPr>
        <w:t>times</w:t>
      </w:r>
      <w:r>
        <w:rPr>
          <w:color w:val="231F20"/>
          <w:spacing w:val="-4"/>
        </w:rPr>
        <w:t> </w:t>
      </w:r>
      <w:r>
        <w:rPr>
          <w:color w:val="231F20"/>
          <w:spacing w:val="-2"/>
        </w:rPr>
        <w:t>for</w:t>
      </w:r>
      <w:r>
        <w:rPr>
          <w:color w:val="231F20"/>
          <w:spacing w:val="-5"/>
        </w:rPr>
        <w:t> </w:t>
      </w:r>
      <w:r>
        <w:rPr>
          <w:color w:val="231F20"/>
          <w:spacing w:val="-2"/>
        </w:rPr>
        <w:t>deliveries</w:t>
      </w:r>
      <w:r>
        <w:rPr>
          <w:color w:val="231F20"/>
          <w:spacing w:val="-4"/>
        </w:rPr>
        <w:t> </w:t>
      </w:r>
      <w:r>
        <w:rPr>
          <w:color w:val="231F20"/>
          <w:spacing w:val="-2"/>
        </w:rPr>
        <w:t>at</w:t>
      </w:r>
      <w:r>
        <w:rPr>
          <w:color w:val="231F20"/>
          <w:spacing w:val="-4"/>
        </w:rPr>
        <w:t> </w:t>
      </w:r>
      <w:r>
        <w:rPr>
          <w:color w:val="231F20"/>
          <w:spacing w:val="-2"/>
        </w:rPr>
        <w:t>individual</w:t>
      </w:r>
      <w:r>
        <w:rPr>
          <w:color w:val="231F20"/>
          <w:spacing w:val="-5"/>
        </w:rPr>
        <w:t> </w:t>
      </w:r>
      <w:r>
        <w:rPr>
          <w:color w:val="231F20"/>
          <w:spacing w:val="-2"/>
        </w:rPr>
        <w:t>locations,</w:t>
      </w:r>
    </w:p>
    <w:p>
      <w:pPr>
        <w:spacing w:after="0" w:line="268" w:lineRule="auto"/>
        <w:jc w:val="both"/>
        <w:sectPr>
          <w:type w:val="continuous"/>
          <w:pgSz w:w="12240" w:h="15840"/>
          <w:pgMar w:header="0" w:footer="548" w:top="1140" w:bottom="280" w:left="0" w:right="540"/>
          <w:cols w:num="2" w:equalWidth="0">
            <w:col w:w="7081" w:space="40"/>
            <w:col w:w="4579"/>
          </w:cols>
        </w:sectPr>
      </w:pPr>
    </w:p>
    <w:p>
      <w:pPr>
        <w:pStyle w:val="BodyText"/>
        <w:spacing w:before="42"/>
        <w:rPr>
          <w:sz w:val="20"/>
        </w:rPr>
      </w:pPr>
    </w:p>
    <w:p>
      <w:pPr>
        <w:pStyle w:val="BodyText"/>
        <w:ind w:left="3359"/>
        <w:rPr>
          <w:sz w:val="20"/>
        </w:rPr>
      </w:pPr>
      <w:r>
        <w:rPr>
          <w:sz w:val="20"/>
        </w:rPr>
        <mc:AlternateContent>
          <mc:Choice Requires="wps">
            <w:drawing>
              <wp:inline distT="0" distB="0" distL="0" distR="0">
                <wp:extent cx="4877435" cy="3084830"/>
                <wp:effectExtent l="0" t="9525" r="0" b="1269"/>
                <wp:docPr id="929" name="Group 929"/>
                <wp:cNvGraphicFramePr>
                  <a:graphicFrameLocks/>
                </wp:cNvGraphicFramePr>
                <a:graphic>
                  <a:graphicData uri="http://schemas.microsoft.com/office/word/2010/wordprocessingGroup">
                    <wpg:wgp>
                      <wpg:cNvPr id="929" name="Group 929"/>
                      <wpg:cNvGrpSpPr/>
                      <wpg:grpSpPr>
                        <a:xfrm>
                          <a:off x="0" y="0"/>
                          <a:ext cx="4877435" cy="3084830"/>
                          <a:chExt cx="4877435" cy="3084830"/>
                        </a:xfrm>
                      </wpg:grpSpPr>
                      <wps:wsp>
                        <wps:cNvPr id="930" name="Graphic 930"/>
                        <wps:cNvSpPr/>
                        <wps:spPr>
                          <a:xfrm>
                            <a:off x="198" y="258093"/>
                            <a:ext cx="4876800" cy="2826385"/>
                          </a:xfrm>
                          <a:custGeom>
                            <a:avLst/>
                            <a:gdLst/>
                            <a:ahLst/>
                            <a:cxnLst/>
                            <a:rect l="l" t="t" r="r" b="b"/>
                            <a:pathLst>
                              <a:path w="4876800" h="2826385">
                                <a:moveTo>
                                  <a:pt x="4876800" y="0"/>
                                </a:moveTo>
                                <a:lnTo>
                                  <a:pt x="0" y="0"/>
                                </a:lnTo>
                                <a:lnTo>
                                  <a:pt x="0" y="2751455"/>
                                </a:lnTo>
                                <a:lnTo>
                                  <a:pt x="6159" y="2780553"/>
                                </a:lnTo>
                                <a:lnTo>
                                  <a:pt x="22693" y="2804313"/>
                                </a:lnTo>
                                <a:lnTo>
                                  <a:pt x="46682" y="2820333"/>
                                </a:lnTo>
                                <a:lnTo>
                                  <a:pt x="75209" y="2826207"/>
                                </a:lnTo>
                                <a:lnTo>
                                  <a:pt x="4797920" y="2826207"/>
                                </a:lnTo>
                                <a:lnTo>
                                  <a:pt x="4827020" y="2820952"/>
                                </a:lnTo>
                                <a:lnTo>
                                  <a:pt x="4852271" y="2805966"/>
                                </a:lnTo>
                                <a:lnTo>
                                  <a:pt x="4870066" y="2782412"/>
                                </a:lnTo>
                                <a:lnTo>
                                  <a:pt x="4876800" y="2751455"/>
                                </a:lnTo>
                                <a:lnTo>
                                  <a:pt x="4876800" y="0"/>
                                </a:lnTo>
                                <a:close/>
                              </a:path>
                            </a:pathLst>
                          </a:custGeom>
                          <a:solidFill>
                            <a:srgbClr val="DFEAF7"/>
                          </a:solidFill>
                        </wps:spPr>
                        <wps:bodyPr wrap="square" lIns="0" tIns="0" rIns="0" bIns="0" rtlCol="0">
                          <a:prstTxWarp prst="textNoShape">
                            <a:avLst/>
                          </a:prstTxWarp>
                          <a:noAutofit/>
                        </wps:bodyPr>
                      </wps:wsp>
                      <wps:wsp>
                        <wps:cNvPr id="931" name="Graphic 931"/>
                        <wps:cNvSpPr/>
                        <wps:spPr>
                          <a:xfrm>
                            <a:off x="2639943" y="2460724"/>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932" name="Graphic 932"/>
                        <wps:cNvSpPr/>
                        <wps:spPr>
                          <a:xfrm>
                            <a:off x="2639943" y="1004173"/>
                            <a:ext cx="2067560" cy="1092835"/>
                          </a:xfrm>
                          <a:custGeom>
                            <a:avLst/>
                            <a:gdLst/>
                            <a:ahLst/>
                            <a:cxnLst/>
                            <a:rect l="l" t="t" r="r" b="b"/>
                            <a:pathLst>
                              <a:path w="2067560" h="1092835">
                                <a:moveTo>
                                  <a:pt x="0" y="1092412"/>
                                </a:moveTo>
                                <a:lnTo>
                                  <a:pt x="22110" y="1092412"/>
                                </a:lnTo>
                              </a:path>
                              <a:path w="2067560" h="1092835">
                                <a:moveTo>
                                  <a:pt x="635444" y="1092412"/>
                                </a:moveTo>
                                <a:lnTo>
                                  <a:pt x="2067140" y="1092412"/>
                                </a:lnTo>
                              </a:path>
                              <a:path w="2067560" h="1092835">
                                <a:moveTo>
                                  <a:pt x="0" y="728275"/>
                                </a:moveTo>
                                <a:lnTo>
                                  <a:pt x="22110" y="728275"/>
                                </a:lnTo>
                              </a:path>
                              <a:path w="2067560" h="1092835">
                                <a:moveTo>
                                  <a:pt x="430999" y="728275"/>
                                </a:moveTo>
                                <a:lnTo>
                                  <a:pt x="2067140" y="728275"/>
                                </a:lnTo>
                              </a:path>
                              <a:path w="2067560" h="1092835">
                                <a:moveTo>
                                  <a:pt x="0" y="364136"/>
                                </a:moveTo>
                                <a:lnTo>
                                  <a:pt x="226555" y="364136"/>
                                </a:lnTo>
                              </a:path>
                              <a:path w="2067560" h="1092835">
                                <a:moveTo>
                                  <a:pt x="430999" y="364136"/>
                                </a:moveTo>
                                <a:lnTo>
                                  <a:pt x="2067140" y="364136"/>
                                </a:lnTo>
                              </a:path>
                              <a:path w="2067560" h="1092835">
                                <a:moveTo>
                                  <a:pt x="0" y="0"/>
                                </a:moveTo>
                                <a:lnTo>
                                  <a:pt x="226555" y="0"/>
                                </a:lnTo>
                              </a:path>
                              <a:path w="2067560" h="1092835">
                                <a:moveTo>
                                  <a:pt x="430999"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933" name="Graphic 933"/>
                        <wps:cNvSpPr/>
                        <wps:spPr>
                          <a:xfrm>
                            <a:off x="2639943" y="640035"/>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934" name="Graphic 934"/>
                        <wps:cNvSpPr/>
                        <wps:spPr>
                          <a:xfrm>
                            <a:off x="261691" y="2460724"/>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935" name="Graphic 935"/>
                        <wps:cNvSpPr/>
                        <wps:spPr>
                          <a:xfrm>
                            <a:off x="261691" y="2096585"/>
                            <a:ext cx="8255" cy="1270"/>
                          </a:xfrm>
                          <a:custGeom>
                            <a:avLst/>
                            <a:gdLst/>
                            <a:ahLst/>
                            <a:cxnLst/>
                            <a:rect l="l" t="t" r="r" b="b"/>
                            <a:pathLst>
                              <a:path w="8255" h="0">
                                <a:moveTo>
                                  <a:pt x="0" y="0"/>
                                </a:moveTo>
                                <a:lnTo>
                                  <a:pt x="7746" y="0"/>
                                </a:lnTo>
                              </a:path>
                            </a:pathLst>
                          </a:custGeom>
                          <a:ln w="6350">
                            <a:solidFill>
                              <a:srgbClr val="FFFFFF"/>
                            </a:solidFill>
                            <a:prstDash val="solid"/>
                          </a:ln>
                        </wps:spPr>
                        <wps:bodyPr wrap="square" lIns="0" tIns="0" rIns="0" bIns="0" rtlCol="0">
                          <a:prstTxWarp prst="textNoShape">
                            <a:avLst/>
                          </a:prstTxWarp>
                          <a:noAutofit/>
                        </wps:bodyPr>
                      </wps:wsp>
                      <wps:wsp>
                        <wps:cNvPr id="936" name="Graphic 936"/>
                        <wps:cNvSpPr/>
                        <wps:spPr>
                          <a:xfrm>
                            <a:off x="320498" y="2093410"/>
                            <a:ext cx="1270" cy="6350"/>
                          </a:xfrm>
                          <a:custGeom>
                            <a:avLst/>
                            <a:gdLst/>
                            <a:ahLst/>
                            <a:cxnLst/>
                            <a:rect l="l" t="t" r="r" b="b"/>
                            <a:pathLst>
                              <a:path w="0" h="6350">
                                <a:moveTo>
                                  <a:pt x="0" y="0"/>
                                </a:moveTo>
                                <a:lnTo>
                                  <a:pt x="0" y="6349"/>
                                </a:lnTo>
                              </a:path>
                            </a:pathLst>
                          </a:custGeom>
                          <a:ln w="368">
                            <a:solidFill>
                              <a:srgbClr val="FFFFFF"/>
                            </a:solidFill>
                            <a:prstDash val="solid"/>
                          </a:ln>
                        </wps:spPr>
                        <wps:bodyPr wrap="square" lIns="0" tIns="0" rIns="0" bIns="0" rtlCol="0">
                          <a:prstTxWarp prst="textNoShape">
                            <a:avLst/>
                          </a:prstTxWarp>
                          <a:noAutofit/>
                        </wps:bodyPr>
                      </wps:wsp>
                      <wps:wsp>
                        <wps:cNvPr id="937" name="Graphic 937"/>
                        <wps:cNvSpPr/>
                        <wps:spPr>
                          <a:xfrm>
                            <a:off x="473495" y="2093410"/>
                            <a:ext cx="357505" cy="6350"/>
                          </a:xfrm>
                          <a:custGeom>
                            <a:avLst/>
                            <a:gdLst/>
                            <a:ahLst/>
                            <a:cxnLst/>
                            <a:rect l="l" t="t" r="r" b="b"/>
                            <a:pathLst>
                              <a:path w="357505" h="6350">
                                <a:moveTo>
                                  <a:pt x="0" y="0"/>
                                </a:moveTo>
                                <a:lnTo>
                                  <a:pt x="0" y="6349"/>
                                </a:lnTo>
                              </a:path>
                              <a:path w="357505" h="6350">
                                <a:moveTo>
                                  <a:pt x="102120" y="0"/>
                                </a:moveTo>
                                <a:lnTo>
                                  <a:pt x="102120" y="6349"/>
                                </a:lnTo>
                              </a:path>
                              <a:path w="357505" h="6350">
                                <a:moveTo>
                                  <a:pt x="255117" y="0"/>
                                </a:moveTo>
                                <a:lnTo>
                                  <a:pt x="255117" y="6349"/>
                                </a:lnTo>
                              </a:path>
                              <a:path w="357505" h="6350">
                                <a:moveTo>
                                  <a:pt x="357238" y="0"/>
                                </a:moveTo>
                                <a:lnTo>
                                  <a:pt x="357238" y="6349"/>
                                </a:lnTo>
                              </a:path>
                            </a:pathLst>
                          </a:custGeom>
                          <a:ln w="368">
                            <a:solidFill>
                              <a:srgbClr val="FFFFFF"/>
                            </a:solidFill>
                            <a:prstDash val="solid"/>
                          </a:ln>
                        </wps:spPr>
                        <wps:bodyPr wrap="square" lIns="0" tIns="0" rIns="0" bIns="0" rtlCol="0">
                          <a:prstTxWarp prst="textNoShape">
                            <a:avLst/>
                          </a:prstTxWarp>
                          <a:noAutofit/>
                        </wps:bodyPr>
                      </wps:wsp>
                      <wps:wsp>
                        <wps:cNvPr id="938" name="Graphic 938"/>
                        <wps:cNvSpPr/>
                        <wps:spPr>
                          <a:xfrm>
                            <a:off x="261691" y="1732448"/>
                            <a:ext cx="2067560" cy="364490"/>
                          </a:xfrm>
                          <a:custGeom>
                            <a:avLst/>
                            <a:gdLst/>
                            <a:ahLst/>
                            <a:cxnLst/>
                            <a:rect l="l" t="t" r="r" b="b"/>
                            <a:pathLst>
                              <a:path w="2067560" h="364490">
                                <a:moveTo>
                                  <a:pt x="670979" y="364136"/>
                                </a:moveTo>
                                <a:lnTo>
                                  <a:pt x="2067140" y="364136"/>
                                </a:lnTo>
                              </a:path>
                              <a:path w="2067560" h="364490">
                                <a:moveTo>
                                  <a:pt x="0" y="0"/>
                                </a:moveTo>
                                <a:lnTo>
                                  <a:pt x="58991" y="0"/>
                                </a:lnTo>
                              </a:path>
                            </a:pathLst>
                          </a:custGeom>
                          <a:ln w="6350">
                            <a:solidFill>
                              <a:srgbClr val="FFFFFF"/>
                            </a:solidFill>
                            <a:prstDash val="solid"/>
                          </a:ln>
                        </wps:spPr>
                        <wps:bodyPr wrap="square" lIns="0" tIns="0" rIns="0" bIns="0" rtlCol="0">
                          <a:prstTxWarp prst="textNoShape">
                            <a:avLst/>
                          </a:prstTxWarp>
                          <a:noAutofit/>
                        </wps:bodyPr>
                      </wps:wsp>
                      <wps:wsp>
                        <wps:cNvPr id="939" name="Graphic 939"/>
                        <wps:cNvSpPr/>
                        <wps:spPr>
                          <a:xfrm>
                            <a:off x="473495" y="1729273"/>
                            <a:ext cx="102235" cy="6350"/>
                          </a:xfrm>
                          <a:custGeom>
                            <a:avLst/>
                            <a:gdLst/>
                            <a:ahLst/>
                            <a:cxnLst/>
                            <a:rect l="l" t="t" r="r" b="b"/>
                            <a:pathLst>
                              <a:path w="102235" h="6350">
                                <a:moveTo>
                                  <a:pt x="0" y="0"/>
                                </a:moveTo>
                                <a:lnTo>
                                  <a:pt x="0" y="6350"/>
                                </a:lnTo>
                              </a:path>
                              <a:path w="102235" h="6350">
                                <a:moveTo>
                                  <a:pt x="102120" y="0"/>
                                </a:moveTo>
                                <a:lnTo>
                                  <a:pt x="102120" y="6350"/>
                                </a:lnTo>
                              </a:path>
                            </a:pathLst>
                          </a:custGeom>
                          <a:ln w="368">
                            <a:solidFill>
                              <a:srgbClr val="FFFFFF"/>
                            </a:solidFill>
                            <a:prstDash val="solid"/>
                          </a:ln>
                        </wps:spPr>
                        <wps:bodyPr wrap="square" lIns="0" tIns="0" rIns="0" bIns="0" rtlCol="0">
                          <a:prstTxWarp prst="textNoShape">
                            <a:avLst/>
                          </a:prstTxWarp>
                          <a:noAutofit/>
                        </wps:bodyPr>
                      </wps:wsp>
                      <wps:wsp>
                        <wps:cNvPr id="940" name="Graphic 940"/>
                        <wps:cNvSpPr/>
                        <wps:spPr>
                          <a:xfrm>
                            <a:off x="261691" y="1368310"/>
                            <a:ext cx="2067560" cy="364490"/>
                          </a:xfrm>
                          <a:custGeom>
                            <a:avLst/>
                            <a:gdLst/>
                            <a:ahLst/>
                            <a:cxnLst/>
                            <a:rect l="l" t="t" r="r" b="b"/>
                            <a:pathLst>
                              <a:path w="2067560" h="364490">
                                <a:moveTo>
                                  <a:pt x="466737" y="364138"/>
                                </a:moveTo>
                                <a:lnTo>
                                  <a:pt x="2067140" y="364138"/>
                                </a:lnTo>
                              </a:path>
                              <a:path w="2067560" h="364490">
                                <a:moveTo>
                                  <a:pt x="0" y="0"/>
                                </a:moveTo>
                                <a:lnTo>
                                  <a:pt x="58991" y="0"/>
                                </a:lnTo>
                              </a:path>
                            </a:pathLst>
                          </a:custGeom>
                          <a:ln w="6350">
                            <a:solidFill>
                              <a:srgbClr val="FFFFFF"/>
                            </a:solidFill>
                            <a:prstDash val="solid"/>
                          </a:ln>
                        </wps:spPr>
                        <wps:bodyPr wrap="square" lIns="0" tIns="0" rIns="0" bIns="0" rtlCol="0">
                          <a:prstTxWarp prst="textNoShape">
                            <a:avLst/>
                          </a:prstTxWarp>
                          <a:noAutofit/>
                        </wps:bodyPr>
                      </wps:wsp>
                      <wps:wsp>
                        <wps:cNvPr id="941" name="Graphic 941"/>
                        <wps:cNvSpPr/>
                        <wps:spPr>
                          <a:xfrm>
                            <a:off x="473495" y="1365135"/>
                            <a:ext cx="1270" cy="6350"/>
                          </a:xfrm>
                          <a:custGeom>
                            <a:avLst/>
                            <a:gdLst/>
                            <a:ahLst/>
                            <a:cxnLst/>
                            <a:rect l="l" t="t" r="r" b="b"/>
                            <a:pathLst>
                              <a:path w="0" h="6350">
                                <a:moveTo>
                                  <a:pt x="0" y="0"/>
                                </a:moveTo>
                                <a:lnTo>
                                  <a:pt x="0" y="6350"/>
                                </a:lnTo>
                              </a:path>
                            </a:pathLst>
                          </a:custGeom>
                          <a:ln w="368">
                            <a:solidFill>
                              <a:srgbClr val="FFFFFF"/>
                            </a:solidFill>
                            <a:prstDash val="solid"/>
                          </a:ln>
                        </wps:spPr>
                        <wps:bodyPr wrap="square" lIns="0" tIns="0" rIns="0" bIns="0" rtlCol="0">
                          <a:prstTxWarp prst="textNoShape">
                            <a:avLst/>
                          </a:prstTxWarp>
                          <a:noAutofit/>
                        </wps:bodyPr>
                      </wps:wsp>
                      <wps:wsp>
                        <wps:cNvPr id="942" name="Graphic 942"/>
                        <wps:cNvSpPr/>
                        <wps:spPr>
                          <a:xfrm>
                            <a:off x="261691" y="1004173"/>
                            <a:ext cx="2067560" cy="364490"/>
                          </a:xfrm>
                          <a:custGeom>
                            <a:avLst/>
                            <a:gdLst/>
                            <a:ahLst/>
                            <a:cxnLst/>
                            <a:rect l="l" t="t" r="r" b="b"/>
                            <a:pathLst>
                              <a:path w="2067560" h="364490">
                                <a:moveTo>
                                  <a:pt x="313740" y="364136"/>
                                </a:moveTo>
                                <a:lnTo>
                                  <a:pt x="2067140" y="364136"/>
                                </a:lnTo>
                              </a:path>
                              <a:path w="2067560" h="364490">
                                <a:moveTo>
                                  <a:pt x="0" y="0"/>
                                </a:moveTo>
                                <a:lnTo>
                                  <a:pt x="211988" y="0"/>
                                </a:lnTo>
                              </a:path>
                              <a:path w="2067560" h="364490">
                                <a:moveTo>
                                  <a:pt x="262864"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943" name="Graphic 943"/>
                        <wps:cNvSpPr/>
                        <wps:spPr>
                          <a:xfrm>
                            <a:off x="261691" y="640035"/>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944" name="Graphic 944"/>
                        <wps:cNvSpPr/>
                        <wps:spPr>
                          <a:xfrm>
                            <a:off x="0" y="0"/>
                            <a:ext cx="512445" cy="231775"/>
                          </a:xfrm>
                          <a:custGeom>
                            <a:avLst/>
                            <a:gdLst/>
                            <a:ahLst/>
                            <a:cxnLst/>
                            <a:rect l="l" t="t" r="r" b="b"/>
                            <a:pathLst>
                              <a:path w="512445" h="231775">
                                <a:moveTo>
                                  <a:pt x="512178" y="0"/>
                                </a:moveTo>
                                <a:lnTo>
                                  <a:pt x="76200" y="0"/>
                                </a:lnTo>
                                <a:lnTo>
                                  <a:pt x="47213" y="3058"/>
                                </a:lnTo>
                                <a:lnTo>
                                  <a:pt x="22917" y="14506"/>
                                </a:lnTo>
                                <a:lnTo>
                                  <a:pt x="6212" y="37751"/>
                                </a:lnTo>
                                <a:lnTo>
                                  <a:pt x="0" y="76200"/>
                                </a:lnTo>
                                <a:lnTo>
                                  <a:pt x="0" y="231775"/>
                                </a:lnTo>
                                <a:lnTo>
                                  <a:pt x="512178" y="231775"/>
                                </a:lnTo>
                                <a:lnTo>
                                  <a:pt x="512178" y="0"/>
                                </a:lnTo>
                                <a:close/>
                              </a:path>
                            </a:pathLst>
                          </a:custGeom>
                          <a:solidFill>
                            <a:srgbClr val="008FDD"/>
                          </a:solidFill>
                        </wps:spPr>
                        <wps:bodyPr wrap="square" lIns="0" tIns="0" rIns="0" bIns="0" rtlCol="0">
                          <a:prstTxWarp prst="textNoShape">
                            <a:avLst/>
                          </a:prstTxWarp>
                          <a:noAutofit/>
                        </wps:bodyPr>
                      </wps:wsp>
                      <wps:wsp>
                        <wps:cNvPr id="945" name="Graphic 945"/>
                        <wps:cNvSpPr/>
                        <wps:spPr>
                          <a:xfrm>
                            <a:off x="512178" y="0"/>
                            <a:ext cx="4364355" cy="231775"/>
                          </a:xfrm>
                          <a:custGeom>
                            <a:avLst/>
                            <a:gdLst/>
                            <a:ahLst/>
                            <a:cxnLst/>
                            <a:rect l="l" t="t" r="r" b="b"/>
                            <a:pathLst>
                              <a:path w="4364355" h="231775">
                                <a:moveTo>
                                  <a:pt x="4287926" y="0"/>
                                </a:moveTo>
                                <a:lnTo>
                                  <a:pt x="0" y="0"/>
                                </a:lnTo>
                                <a:lnTo>
                                  <a:pt x="0" y="231775"/>
                                </a:lnTo>
                                <a:lnTo>
                                  <a:pt x="4364126" y="231775"/>
                                </a:lnTo>
                                <a:lnTo>
                                  <a:pt x="4364126" y="76200"/>
                                </a:lnTo>
                                <a:lnTo>
                                  <a:pt x="4358620" y="50979"/>
                                </a:lnTo>
                                <a:lnTo>
                                  <a:pt x="4343095" y="26265"/>
                                </a:lnTo>
                                <a:lnTo>
                                  <a:pt x="4319035" y="7468"/>
                                </a:lnTo>
                                <a:lnTo>
                                  <a:pt x="4287926" y="0"/>
                                </a:lnTo>
                                <a:close/>
                              </a:path>
                            </a:pathLst>
                          </a:custGeom>
                          <a:solidFill>
                            <a:srgbClr val="808285"/>
                          </a:solidFill>
                        </wps:spPr>
                        <wps:bodyPr wrap="square" lIns="0" tIns="0" rIns="0" bIns="0" rtlCol="0">
                          <a:prstTxWarp prst="textNoShape">
                            <a:avLst/>
                          </a:prstTxWarp>
                          <a:noAutofit/>
                        </wps:bodyPr>
                      </wps:wsp>
                      <wps:wsp>
                        <wps:cNvPr id="946" name="Graphic 946"/>
                        <wps:cNvSpPr/>
                        <wps:spPr>
                          <a:xfrm>
                            <a:off x="512179"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wps:wsp>
                        <wps:cNvPr id="947" name="Graphic 947"/>
                        <wps:cNvSpPr/>
                        <wps:spPr>
                          <a:xfrm>
                            <a:off x="269438" y="1998637"/>
                            <a:ext cx="51435" cy="462915"/>
                          </a:xfrm>
                          <a:custGeom>
                            <a:avLst/>
                            <a:gdLst/>
                            <a:ahLst/>
                            <a:cxnLst/>
                            <a:rect l="l" t="t" r="r" b="b"/>
                            <a:pathLst>
                              <a:path w="51435" h="462915">
                                <a:moveTo>
                                  <a:pt x="50876" y="0"/>
                                </a:moveTo>
                                <a:lnTo>
                                  <a:pt x="0" y="0"/>
                                </a:lnTo>
                                <a:lnTo>
                                  <a:pt x="0" y="462610"/>
                                </a:lnTo>
                                <a:lnTo>
                                  <a:pt x="50876" y="462610"/>
                                </a:lnTo>
                                <a:lnTo>
                                  <a:pt x="50876" y="0"/>
                                </a:lnTo>
                                <a:close/>
                              </a:path>
                            </a:pathLst>
                          </a:custGeom>
                          <a:solidFill>
                            <a:srgbClr val="008FDD"/>
                          </a:solidFill>
                        </wps:spPr>
                        <wps:bodyPr wrap="square" lIns="0" tIns="0" rIns="0" bIns="0" rtlCol="0">
                          <a:prstTxWarp prst="textNoShape">
                            <a:avLst/>
                          </a:prstTxWarp>
                          <a:noAutofit/>
                        </wps:bodyPr>
                      </wps:wsp>
                      <wps:wsp>
                        <wps:cNvPr id="948" name="Graphic 948"/>
                        <wps:cNvSpPr/>
                        <wps:spPr>
                          <a:xfrm>
                            <a:off x="269439" y="1998637"/>
                            <a:ext cx="51435" cy="462915"/>
                          </a:xfrm>
                          <a:custGeom>
                            <a:avLst/>
                            <a:gdLst/>
                            <a:ahLst/>
                            <a:cxnLst/>
                            <a:rect l="l" t="t" r="r" b="b"/>
                            <a:pathLst>
                              <a:path w="51435" h="462915">
                                <a:moveTo>
                                  <a:pt x="0" y="462610"/>
                                </a:moveTo>
                                <a:lnTo>
                                  <a:pt x="50876" y="462610"/>
                                </a:lnTo>
                                <a:lnTo>
                                  <a:pt x="50876" y="0"/>
                                </a:lnTo>
                                <a:lnTo>
                                  <a:pt x="0" y="0"/>
                                </a:lnTo>
                                <a:lnTo>
                                  <a:pt x="0" y="462610"/>
                                </a:lnTo>
                                <a:close/>
                              </a:path>
                            </a:pathLst>
                          </a:custGeom>
                          <a:ln w="3175">
                            <a:solidFill>
                              <a:srgbClr val="FFFFFF"/>
                            </a:solidFill>
                            <a:prstDash val="solid"/>
                          </a:ln>
                        </wps:spPr>
                        <wps:bodyPr wrap="square" lIns="0" tIns="0" rIns="0" bIns="0" rtlCol="0">
                          <a:prstTxWarp prst="textNoShape">
                            <a:avLst/>
                          </a:prstTxWarp>
                          <a:noAutofit/>
                        </wps:bodyPr>
                      </wps:wsp>
                      <wps:wsp>
                        <wps:cNvPr id="949" name="Graphic 949"/>
                        <wps:cNvSpPr/>
                        <wps:spPr>
                          <a:xfrm>
                            <a:off x="320682" y="1337055"/>
                            <a:ext cx="51435" cy="1124585"/>
                          </a:xfrm>
                          <a:custGeom>
                            <a:avLst/>
                            <a:gdLst/>
                            <a:ahLst/>
                            <a:cxnLst/>
                            <a:rect l="l" t="t" r="r" b="b"/>
                            <a:pathLst>
                              <a:path w="51435" h="1124585">
                                <a:moveTo>
                                  <a:pt x="50876" y="0"/>
                                </a:moveTo>
                                <a:lnTo>
                                  <a:pt x="0" y="0"/>
                                </a:lnTo>
                                <a:lnTo>
                                  <a:pt x="0" y="1124191"/>
                                </a:lnTo>
                                <a:lnTo>
                                  <a:pt x="50876" y="1124191"/>
                                </a:lnTo>
                                <a:lnTo>
                                  <a:pt x="50876" y="0"/>
                                </a:lnTo>
                                <a:close/>
                              </a:path>
                            </a:pathLst>
                          </a:custGeom>
                          <a:solidFill>
                            <a:srgbClr val="008FDD"/>
                          </a:solidFill>
                        </wps:spPr>
                        <wps:bodyPr wrap="square" lIns="0" tIns="0" rIns="0" bIns="0" rtlCol="0">
                          <a:prstTxWarp prst="textNoShape">
                            <a:avLst/>
                          </a:prstTxWarp>
                          <a:noAutofit/>
                        </wps:bodyPr>
                      </wps:wsp>
                      <wps:wsp>
                        <wps:cNvPr id="950" name="Graphic 950"/>
                        <wps:cNvSpPr/>
                        <wps:spPr>
                          <a:xfrm>
                            <a:off x="320683" y="1337055"/>
                            <a:ext cx="51435" cy="1124585"/>
                          </a:xfrm>
                          <a:custGeom>
                            <a:avLst/>
                            <a:gdLst/>
                            <a:ahLst/>
                            <a:cxnLst/>
                            <a:rect l="l" t="t" r="r" b="b"/>
                            <a:pathLst>
                              <a:path w="51435" h="1124585">
                                <a:moveTo>
                                  <a:pt x="0" y="1124191"/>
                                </a:moveTo>
                                <a:lnTo>
                                  <a:pt x="50876" y="1124191"/>
                                </a:lnTo>
                                <a:lnTo>
                                  <a:pt x="50876" y="0"/>
                                </a:lnTo>
                                <a:lnTo>
                                  <a:pt x="0" y="0"/>
                                </a:lnTo>
                                <a:lnTo>
                                  <a:pt x="0" y="1124191"/>
                                </a:lnTo>
                                <a:close/>
                              </a:path>
                            </a:pathLst>
                          </a:custGeom>
                          <a:ln w="3175">
                            <a:solidFill>
                              <a:srgbClr val="FFFFFF"/>
                            </a:solidFill>
                            <a:prstDash val="solid"/>
                          </a:ln>
                        </wps:spPr>
                        <wps:bodyPr wrap="square" lIns="0" tIns="0" rIns="0" bIns="0" rtlCol="0">
                          <a:prstTxWarp prst="textNoShape">
                            <a:avLst/>
                          </a:prstTxWarp>
                          <a:noAutofit/>
                        </wps:bodyPr>
                      </wps:wsp>
                      <wps:wsp>
                        <wps:cNvPr id="951" name="Graphic 951"/>
                        <wps:cNvSpPr/>
                        <wps:spPr>
                          <a:xfrm>
                            <a:off x="371558" y="1113218"/>
                            <a:ext cx="51435" cy="1348105"/>
                          </a:xfrm>
                          <a:custGeom>
                            <a:avLst/>
                            <a:gdLst/>
                            <a:ahLst/>
                            <a:cxnLst/>
                            <a:rect l="l" t="t" r="r" b="b"/>
                            <a:pathLst>
                              <a:path w="51435" h="1348105">
                                <a:moveTo>
                                  <a:pt x="50876" y="0"/>
                                </a:moveTo>
                                <a:lnTo>
                                  <a:pt x="0" y="0"/>
                                </a:lnTo>
                                <a:lnTo>
                                  <a:pt x="0" y="1348028"/>
                                </a:lnTo>
                                <a:lnTo>
                                  <a:pt x="50876" y="1348028"/>
                                </a:lnTo>
                                <a:lnTo>
                                  <a:pt x="50876" y="0"/>
                                </a:lnTo>
                                <a:close/>
                              </a:path>
                            </a:pathLst>
                          </a:custGeom>
                          <a:solidFill>
                            <a:srgbClr val="008FDD"/>
                          </a:solidFill>
                        </wps:spPr>
                        <wps:bodyPr wrap="square" lIns="0" tIns="0" rIns="0" bIns="0" rtlCol="0">
                          <a:prstTxWarp prst="textNoShape">
                            <a:avLst/>
                          </a:prstTxWarp>
                          <a:noAutofit/>
                        </wps:bodyPr>
                      </wps:wsp>
                      <wps:wsp>
                        <wps:cNvPr id="952" name="Graphic 952"/>
                        <wps:cNvSpPr/>
                        <wps:spPr>
                          <a:xfrm>
                            <a:off x="371560" y="1113218"/>
                            <a:ext cx="51435" cy="1348105"/>
                          </a:xfrm>
                          <a:custGeom>
                            <a:avLst/>
                            <a:gdLst/>
                            <a:ahLst/>
                            <a:cxnLst/>
                            <a:rect l="l" t="t" r="r" b="b"/>
                            <a:pathLst>
                              <a:path w="51435" h="1348105">
                                <a:moveTo>
                                  <a:pt x="0" y="1348028"/>
                                </a:moveTo>
                                <a:lnTo>
                                  <a:pt x="50876" y="1348028"/>
                                </a:lnTo>
                                <a:lnTo>
                                  <a:pt x="50876" y="0"/>
                                </a:lnTo>
                                <a:lnTo>
                                  <a:pt x="0" y="0"/>
                                </a:lnTo>
                                <a:lnTo>
                                  <a:pt x="0" y="1348028"/>
                                </a:lnTo>
                                <a:close/>
                              </a:path>
                            </a:pathLst>
                          </a:custGeom>
                          <a:ln w="3175">
                            <a:solidFill>
                              <a:srgbClr val="FFFFFF"/>
                            </a:solidFill>
                            <a:prstDash val="solid"/>
                          </a:ln>
                        </wps:spPr>
                        <wps:bodyPr wrap="square" lIns="0" tIns="0" rIns="0" bIns="0" rtlCol="0">
                          <a:prstTxWarp prst="textNoShape">
                            <a:avLst/>
                          </a:prstTxWarp>
                          <a:noAutofit/>
                        </wps:bodyPr>
                      </wps:wsp>
                      <wps:wsp>
                        <wps:cNvPr id="953" name="Graphic 953"/>
                        <wps:cNvSpPr/>
                        <wps:spPr>
                          <a:xfrm>
                            <a:off x="422435" y="1060361"/>
                            <a:ext cx="51435" cy="1401445"/>
                          </a:xfrm>
                          <a:custGeom>
                            <a:avLst/>
                            <a:gdLst/>
                            <a:ahLst/>
                            <a:cxnLst/>
                            <a:rect l="l" t="t" r="r" b="b"/>
                            <a:pathLst>
                              <a:path w="51435" h="1401445">
                                <a:moveTo>
                                  <a:pt x="50876" y="0"/>
                                </a:moveTo>
                                <a:lnTo>
                                  <a:pt x="0" y="0"/>
                                </a:lnTo>
                                <a:lnTo>
                                  <a:pt x="0" y="1400886"/>
                                </a:lnTo>
                                <a:lnTo>
                                  <a:pt x="50876" y="1400886"/>
                                </a:lnTo>
                                <a:lnTo>
                                  <a:pt x="50876" y="0"/>
                                </a:lnTo>
                                <a:close/>
                              </a:path>
                            </a:pathLst>
                          </a:custGeom>
                          <a:solidFill>
                            <a:srgbClr val="008FDD"/>
                          </a:solidFill>
                        </wps:spPr>
                        <wps:bodyPr wrap="square" lIns="0" tIns="0" rIns="0" bIns="0" rtlCol="0">
                          <a:prstTxWarp prst="textNoShape">
                            <a:avLst/>
                          </a:prstTxWarp>
                          <a:noAutofit/>
                        </wps:bodyPr>
                      </wps:wsp>
                      <wps:wsp>
                        <wps:cNvPr id="954" name="Graphic 954"/>
                        <wps:cNvSpPr/>
                        <wps:spPr>
                          <a:xfrm>
                            <a:off x="422436" y="1060361"/>
                            <a:ext cx="51435" cy="1401445"/>
                          </a:xfrm>
                          <a:custGeom>
                            <a:avLst/>
                            <a:gdLst/>
                            <a:ahLst/>
                            <a:cxnLst/>
                            <a:rect l="l" t="t" r="r" b="b"/>
                            <a:pathLst>
                              <a:path w="51435" h="1401445">
                                <a:moveTo>
                                  <a:pt x="0" y="1400886"/>
                                </a:moveTo>
                                <a:lnTo>
                                  <a:pt x="50876" y="1400886"/>
                                </a:lnTo>
                                <a:lnTo>
                                  <a:pt x="50876" y="0"/>
                                </a:lnTo>
                                <a:lnTo>
                                  <a:pt x="0" y="0"/>
                                </a:lnTo>
                                <a:lnTo>
                                  <a:pt x="0" y="1400886"/>
                                </a:lnTo>
                                <a:close/>
                              </a:path>
                            </a:pathLst>
                          </a:custGeom>
                          <a:ln w="3175">
                            <a:solidFill>
                              <a:srgbClr val="FFFFFF"/>
                            </a:solidFill>
                            <a:prstDash val="solid"/>
                          </a:ln>
                        </wps:spPr>
                        <wps:bodyPr wrap="square" lIns="0" tIns="0" rIns="0" bIns="0" rtlCol="0">
                          <a:prstTxWarp prst="textNoShape">
                            <a:avLst/>
                          </a:prstTxWarp>
                          <a:noAutofit/>
                        </wps:bodyPr>
                      </wps:wsp>
                      <wps:wsp>
                        <wps:cNvPr id="955" name="Graphic 955"/>
                        <wps:cNvSpPr/>
                        <wps:spPr>
                          <a:xfrm>
                            <a:off x="473679" y="652475"/>
                            <a:ext cx="51435" cy="1809114"/>
                          </a:xfrm>
                          <a:custGeom>
                            <a:avLst/>
                            <a:gdLst/>
                            <a:ahLst/>
                            <a:cxnLst/>
                            <a:rect l="l" t="t" r="r" b="b"/>
                            <a:pathLst>
                              <a:path w="51435" h="1809114">
                                <a:moveTo>
                                  <a:pt x="50876" y="0"/>
                                </a:moveTo>
                                <a:lnTo>
                                  <a:pt x="0" y="0"/>
                                </a:lnTo>
                                <a:lnTo>
                                  <a:pt x="0" y="1808772"/>
                                </a:lnTo>
                                <a:lnTo>
                                  <a:pt x="50876" y="1808772"/>
                                </a:lnTo>
                                <a:lnTo>
                                  <a:pt x="50876" y="0"/>
                                </a:lnTo>
                                <a:close/>
                              </a:path>
                            </a:pathLst>
                          </a:custGeom>
                          <a:solidFill>
                            <a:srgbClr val="008FDD"/>
                          </a:solidFill>
                        </wps:spPr>
                        <wps:bodyPr wrap="square" lIns="0" tIns="0" rIns="0" bIns="0" rtlCol="0">
                          <a:prstTxWarp prst="textNoShape">
                            <a:avLst/>
                          </a:prstTxWarp>
                          <a:noAutofit/>
                        </wps:bodyPr>
                      </wps:wsp>
                      <wps:wsp>
                        <wps:cNvPr id="956" name="Graphic 956"/>
                        <wps:cNvSpPr/>
                        <wps:spPr>
                          <a:xfrm>
                            <a:off x="473680" y="652475"/>
                            <a:ext cx="51435" cy="1809114"/>
                          </a:xfrm>
                          <a:custGeom>
                            <a:avLst/>
                            <a:gdLst/>
                            <a:ahLst/>
                            <a:cxnLst/>
                            <a:rect l="l" t="t" r="r" b="b"/>
                            <a:pathLst>
                              <a:path w="51435" h="1809114">
                                <a:moveTo>
                                  <a:pt x="0" y="1808772"/>
                                </a:moveTo>
                                <a:lnTo>
                                  <a:pt x="50876" y="1808772"/>
                                </a:lnTo>
                                <a:lnTo>
                                  <a:pt x="50876" y="0"/>
                                </a:lnTo>
                                <a:lnTo>
                                  <a:pt x="0" y="0"/>
                                </a:lnTo>
                                <a:lnTo>
                                  <a:pt x="0" y="1808772"/>
                                </a:lnTo>
                                <a:close/>
                              </a:path>
                            </a:pathLst>
                          </a:custGeom>
                          <a:ln w="3174">
                            <a:solidFill>
                              <a:srgbClr val="FFFFFF"/>
                            </a:solidFill>
                            <a:prstDash val="solid"/>
                          </a:ln>
                        </wps:spPr>
                        <wps:bodyPr wrap="square" lIns="0" tIns="0" rIns="0" bIns="0" rtlCol="0">
                          <a:prstTxWarp prst="textNoShape">
                            <a:avLst/>
                          </a:prstTxWarp>
                          <a:noAutofit/>
                        </wps:bodyPr>
                      </wps:wsp>
                      <wps:wsp>
                        <wps:cNvPr id="957" name="Graphic 957"/>
                        <wps:cNvSpPr/>
                        <wps:spPr>
                          <a:xfrm>
                            <a:off x="524555" y="1053528"/>
                            <a:ext cx="51435" cy="1407795"/>
                          </a:xfrm>
                          <a:custGeom>
                            <a:avLst/>
                            <a:gdLst/>
                            <a:ahLst/>
                            <a:cxnLst/>
                            <a:rect l="l" t="t" r="r" b="b"/>
                            <a:pathLst>
                              <a:path w="51435" h="1407795">
                                <a:moveTo>
                                  <a:pt x="50876" y="0"/>
                                </a:moveTo>
                                <a:lnTo>
                                  <a:pt x="0" y="0"/>
                                </a:lnTo>
                                <a:lnTo>
                                  <a:pt x="0" y="1407718"/>
                                </a:lnTo>
                                <a:lnTo>
                                  <a:pt x="50876" y="1407718"/>
                                </a:lnTo>
                                <a:lnTo>
                                  <a:pt x="50876" y="0"/>
                                </a:lnTo>
                                <a:close/>
                              </a:path>
                            </a:pathLst>
                          </a:custGeom>
                          <a:solidFill>
                            <a:srgbClr val="008FDD"/>
                          </a:solidFill>
                        </wps:spPr>
                        <wps:bodyPr wrap="square" lIns="0" tIns="0" rIns="0" bIns="0" rtlCol="0">
                          <a:prstTxWarp prst="textNoShape">
                            <a:avLst/>
                          </a:prstTxWarp>
                          <a:noAutofit/>
                        </wps:bodyPr>
                      </wps:wsp>
                      <wps:wsp>
                        <wps:cNvPr id="958" name="Graphic 958"/>
                        <wps:cNvSpPr/>
                        <wps:spPr>
                          <a:xfrm>
                            <a:off x="524556" y="1053528"/>
                            <a:ext cx="51435" cy="1407795"/>
                          </a:xfrm>
                          <a:custGeom>
                            <a:avLst/>
                            <a:gdLst/>
                            <a:ahLst/>
                            <a:cxnLst/>
                            <a:rect l="l" t="t" r="r" b="b"/>
                            <a:pathLst>
                              <a:path w="51435" h="1407795">
                                <a:moveTo>
                                  <a:pt x="0" y="1407718"/>
                                </a:moveTo>
                                <a:lnTo>
                                  <a:pt x="50876" y="1407718"/>
                                </a:lnTo>
                                <a:lnTo>
                                  <a:pt x="50876" y="0"/>
                                </a:lnTo>
                                <a:lnTo>
                                  <a:pt x="0" y="0"/>
                                </a:lnTo>
                                <a:lnTo>
                                  <a:pt x="0" y="1407718"/>
                                </a:lnTo>
                                <a:close/>
                              </a:path>
                            </a:pathLst>
                          </a:custGeom>
                          <a:ln w="3175">
                            <a:solidFill>
                              <a:srgbClr val="FFFFFF"/>
                            </a:solidFill>
                            <a:prstDash val="solid"/>
                          </a:ln>
                        </wps:spPr>
                        <wps:bodyPr wrap="square" lIns="0" tIns="0" rIns="0" bIns="0" rtlCol="0">
                          <a:prstTxWarp prst="textNoShape">
                            <a:avLst/>
                          </a:prstTxWarp>
                          <a:noAutofit/>
                        </wps:bodyPr>
                      </wps:wsp>
                      <wps:wsp>
                        <wps:cNvPr id="959" name="Graphic 959"/>
                        <wps:cNvSpPr/>
                        <wps:spPr>
                          <a:xfrm>
                            <a:off x="575800" y="1402969"/>
                            <a:ext cx="51435" cy="1058545"/>
                          </a:xfrm>
                          <a:custGeom>
                            <a:avLst/>
                            <a:gdLst/>
                            <a:ahLst/>
                            <a:cxnLst/>
                            <a:rect l="l" t="t" r="r" b="b"/>
                            <a:pathLst>
                              <a:path w="51435" h="1058545">
                                <a:moveTo>
                                  <a:pt x="50876" y="0"/>
                                </a:moveTo>
                                <a:lnTo>
                                  <a:pt x="0" y="0"/>
                                </a:lnTo>
                                <a:lnTo>
                                  <a:pt x="0" y="1058278"/>
                                </a:lnTo>
                                <a:lnTo>
                                  <a:pt x="50876" y="1058278"/>
                                </a:lnTo>
                                <a:lnTo>
                                  <a:pt x="50876" y="0"/>
                                </a:lnTo>
                                <a:close/>
                              </a:path>
                            </a:pathLst>
                          </a:custGeom>
                          <a:solidFill>
                            <a:srgbClr val="008FDD"/>
                          </a:solidFill>
                        </wps:spPr>
                        <wps:bodyPr wrap="square" lIns="0" tIns="0" rIns="0" bIns="0" rtlCol="0">
                          <a:prstTxWarp prst="textNoShape">
                            <a:avLst/>
                          </a:prstTxWarp>
                          <a:noAutofit/>
                        </wps:bodyPr>
                      </wps:wsp>
                      <wps:wsp>
                        <wps:cNvPr id="960" name="Graphic 960"/>
                        <wps:cNvSpPr/>
                        <wps:spPr>
                          <a:xfrm>
                            <a:off x="575801" y="1402969"/>
                            <a:ext cx="51435" cy="1058545"/>
                          </a:xfrm>
                          <a:custGeom>
                            <a:avLst/>
                            <a:gdLst/>
                            <a:ahLst/>
                            <a:cxnLst/>
                            <a:rect l="l" t="t" r="r" b="b"/>
                            <a:pathLst>
                              <a:path w="51435" h="1058545">
                                <a:moveTo>
                                  <a:pt x="0" y="1058278"/>
                                </a:moveTo>
                                <a:lnTo>
                                  <a:pt x="50876" y="1058278"/>
                                </a:lnTo>
                                <a:lnTo>
                                  <a:pt x="50876" y="0"/>
                                </a:lnTo>
                                <a:lnTo>
                                  <a:pt x="0" y="0"/>
                                </a:lnTo>
                                <a:lnTo>
                                  <a:pt x="0" y="1058278"/>
                                </a:lnTo>
                                <a:close/>
                              </a:path>
                            </a:pathLst>
                          </a:custGeom>
                          <a:ln w="3174">
                            <a:solidFill>
                              <a:srgbClr val="FFFFFF"/>
                            </a:solidFill>
                            <a:prstDash val="solid"/>
                          </a:ln>
                        </wps:spPr>
                        <wps:bodyPr wrap="square" lIns="0" tIns="0" rIns="0" bIns="0" rtlCol="0">
                          <a:prstTxWarp prst="textNoShape">
                            <a:avLst/>
                          </a:prstTxWarp>
                          <a:noAutofit/>
                        </wps:bodyPr>
                      </wps:wsp>
                      <wps:wsp>
                        <wps:cNvPr id="961" name="Graphic 961"/>
                        <wps:cNvSpPr/>
                        <wps:spPr>
                          <a:xfrm>
                            <a:off x="626676" y="1437792"/>
                            <a:ext cx="51435" cy="1023619"/>
                          </a:xfrm>
                          <a:custGeom>
                            <a:avLst/>
                            <a:gdLst/>
                            <a:ahLst/>
                            <a:cxnLst/>
                            <a:rect l="l" t="t" r="r" b="b"/>
                            <a:pathLst>
                              <a:path w="51435" h="1023619">
                                <a:moveTo>
                                  <a:pt x="50876" y="0"/>
                                </a:moveTo>
                                <a:lnTo>
                                  <a:pt x="0" y="0"/>
                                </a:lnTo>
                                <a:lnTo>
                                  <a:pt x="0" y="1023454"/>
                                </a:lnTo>
                                <a:lnTo>
                                  <a:pt x="50876" y="1023454"/>
                                </a:lnTo>
                                <a:lnTo>
                                  <a:pt x="50876" y="0"/>
                                </a:lnTo>
                                <a:close/>
                              </a:path>
                            </a:pathLst>
                          </a:custGeom>
                          <a:solidFill>
                            <a:srgbClr val="008FDD"/>
                          </a:solidFill>
                        </wps:spPr>
                        <wps:bodyPr wrap="square" lIns="0" tIns="0" rIns="0" bIns="0" rtlCol="0">
                          <a:prstTxWarp prst="textNoShape">
                            <a:avLst/>
                          </a:prstTxWarp>
                          <a:noAutofit/>
                        </wps:bodyPr>
                      </wps:wsp>
                      <wps:wsp>
                        <wps:cNvPr id="962" name="Graphic 962"/>
                        <wps:cNvSpPr/>
                        <wps:spPr>
                          <a:xfrm>
                            <a:off x="626677" y="1437792"/>
                            <a:ext cx="51435" cy="1023619"/>
                          </a:xfrm>
                          <a:custGeom>
                            <a:avLst/>
                            <a:gdLst/>
                            <a:ahLst/>
                            <a:cxnLst/>
                            <a:rect l="l" t="t" r="r" b="b"/>
                            <a:pathLst>
                              <a:path w="51435" h="1023619">
                                <a:moveTo>
                                  <a:pt x="0" y="1023454"/>
                                </a:moveTo>
                                <a:lnTo>
                                  <a:pt x="50876" y="1023454"/>
                                </a:lnTo>
                                <a:lnTo>
                                  <a:pt x="50876" y="0"/>
                                </a:lnTo>
                                <a:lnTo>
                                  <a:pt x="0" y="0"/>
                                </a:lnTo>
                                <a:lnTo>
                                  <a:pt x="0" y="1023454"/>
                                </a:lnTo>
                                <a:close/>
                              </a:path>
                            </a:pathLst>
                          </a:custGeom>
                          <a:ln w="3175">
                            <a:solidFill>
                              <a:srgbClr val="FFFFFF"/>
                            </a:solidFill>
                            <a:prstDash val="solid"/>
                          </a:ln>
                        </wps:spPr>
                        <wps:bodyPr wrap="square" lIns="0" tIns="0" rIns="0" bIns="0" rtlCol="0">
                          <a:prstTxWarp prst="textNoShape">
                            <a:avLst/>
                          </a:prstTxWarp>
                          <a:noAutofit/>
                        </wps:bodyPr>
                      </wps:wsp>
                      <wps:wsp>
                        <wps:cNvPr id="963" name="Graphic 963"/>
                        <wps:cNvSpPr/>
                        <wps:spPr>
                          <a:xfrm>
                            <a:off x="677552" y="1687118"/>
                            <a:ext cx="51435" cy="774700"/>
                          </a:xfrm>
                          <a:custGeom>
                            <a:avLst/>
                            <a:gdLst/>
                            <a:ahLst/>
                            <a:cxnLst/>
                            <a:rect l="l" t="t" r="r" b="b"/>
                            <a:pathLst>
                              <a:path w="51435" h="774700">
                                <a:moveTo>
                                  <a:pt x="50876" y="0"/>
                                </a:moveTo>
                                <a:lnTo>
                                  <a:pt x="0" y="0"/>
                                </a:lnTo>
                                <a:lnTo>
                                  <a:pt x="0" y="774128"/>
                                </a:lnTo>
                                <a:lnTo>
                                  <a:pt x="50876" y="774128"/>
                                </a:lnTo>
                                <a:lnTo>
                                  <a:pt x="50876" y="0"/>
                                </a:lnTo>
                                <a:close/>
                              </a:path>
                            </a:pathLst>
                          </a:custGeom>
                          <a:solidFill>
                            <a:srgbClr val="008FDD"/>
                          </a:solidFill>
                        </wps:spPr>
                        <wps:bodyPr wrap="square" lIns="0" tIns="0" rIns="0" bIns="0" rtlCol="0">
                          <a:prstTxWarp prst="textNoShape">
                            <a:avLst/>
                          </a:prstTxWarp>
                          <a:noAutofit/>
                        </wps:bodyPr>
                      </wps:wsp>
                      <wps:wsp>
                        <wps:cNvPr id="964" name="Graphic 964"/>
                        <wps:cNvSpPr/>
                        <wps:spPr>
                          <a:xfrm>
                            <a:off x="677553" y="1687118"/>
                            <a:ext cx="51435" cy="774700"/>
                          </a:xfrm>
                          <a:custGeom>
                            <a:avLst/>
                            <a:gdLst/>
                            <a:ahLst/>
                            <a:cxnLst/>
                            <a:rect l="l" t="t" r="r" b="b"/>
                            <a:pathLst>
                              <a:path w="51435" h="774700">
                                <a:moveTo>
                                  <a:pt x="0" y="774128"/>
                                </a:moveTo>
                                <a:lnTo>
                                  <a:pt x="50876" y="774128"/>
                                </a:lnTo>
                                <a:lnTo>
                                  <a:pt x="50876" y="0"/>
                                </a:lnTo>
                                <a:lnTo>
                                  <a:pt x="0" y="0"/>
                                </a:lnTo>
                                <a:lnTo>
                                  <a:pt x="0" y="774128"/>
                                </a:lnTo>
                                <a:close/>
                              </a:path>
                            </a:pathLst>
                          </a:custGeom>
                          <a:ln w="3174">
                            <a:solidFill>
                              <a:srgbClr val="FFFFFF"/>
                            </a:solidFill>
                            <a:prstDash val="solid"/>
                          </a:ln>
                        </wps:spPr>
                        <wps:bodyPr wrap="square" lIns="0" tIns="0" rIns="0" bIns="0" rtlCol="0">
                          <a:prstTxWarp prst="textNoShape">
                            <a:avLst/>
                          </a:prstTxWarp>
                          <a:noAutofit/>
                        </wps:bodyPr>
                      </wps:wsp>
                      <wps:wsp>
                        <wps:cNvPr id="965" name="Graphic 965"/>
                        <wps:cNvSpPr/>
                        <wps:spPr>
                          <a:xfrm>
                            <a:off x="728797" y="1858733"/>
                            <a:ext cx="51435" cy="602615"/>
                          </a:xfrm>
                          <a:custGeom>
                            <a:avLst/>
                            <a:gdLst/>
                            <a:ahLst/>
                            <a:cxnLst/>
                            <a:rect l="l" t="t" r="r" b="b"/>
                            <a:pathLst>
                              <a:path w="51435" h="602615">
                                <a:moveTo>
                                  <a:pt x="50876" y="0"/>
                                </a:moveTo>
                                <a:lnTo>
                                  <a:pt x="0" y="0"/>
                                </a:lnTo>
                                <a:lnTo>
                                  <a:pt x="0" y="602513"/>
                                </a:lnTo>
                                <a:lnTo>
                                  <a:pt x="50876" y="602513"/>
                                </a:lnTo>
                                <a:lnTo>
                                  <a:pt x="50876" y="0"/>
                                </a:lnTo>
                                <a:close/>
                              </a:path>
                            </a:pathLst>
                          </a:custGeom>
                          <a:solidFill>
                            <a:srgbClr val="008FDD"/>
                          </a:solidFill>
                        </wps:spPr>
                        <wps:bodyPr wrap="square" lIns="0" tIns="0" rIns="0" bIns="0" rtlCol="0">
                          <a:prstTxWarp prst="textNoShape">
                            <a:avLst/>
                          </a:prstTxWarp>
                          <a:noAutofit/>
                        </wps:bodyPr>
                      </wps:wsp>
                      <wps:wsp>
                        <wps:cNvPr id="966" name="Graphic 966"/>
                        <wps:cNvSpPr/>
                        <wps:spPr>
                          <a:xfrm>
                            <a:off x="728798" y="1858733"/>
                            <a:ext cx="51435" cy="602615"/>
                          </a:xfrm>
                          <a:custGeom>
                            <a:avLst/>
                            <a:gdLst/>
                            <a:ahLst/>
                            <a:cxnLst/>
                            <a:rect l="l" t="t" r="r" b="b"/>
                            <a:pathLst>
                              <a:path w="51435" h="602615">
                                <a:moveTo>
                                  <a:pt x="0" y="602513"/>
                                </a:moveTo>
                                <a:lnTo>
                                  <a:pt x="50876" y="602513"/>
                                </a:lnTo>
                                <a:lnTo>
                                  <a:pt x="50876" y="0"/>
                                </a:lnTo>
                                <a:lnTo>
                                  <a:pt x="0" y="0"/>
                                </a:lnTo>
                                <a:lnTo>
                                  <a:pt x="0" y="602513"/>
                                </a:lnTo>
                                <a:close/>
                              </a:path>
                            </a:pathLst>
                          </a:custGeom>
                          <a:ln w="3174">
                            <a:solidFill>
                              <a:srgbClr val="FFFFFF"/>
                            </a:solidFill>
                            <a:prstDash val="solid"/>
                          </a:ln>
                        </wps:spPr>
                        <wps:bodyPr wrap="square" lIns="0" tIns="0" rIns="0" bIns="0" rtlCol="0">
                          <a:prstTxWarp prst="textNoShape">
                            <a:avLst/>
                          </a:prstTxWarp>
                          <a:noAutofit/>
                        </wps:bodyPr>
                      </wps:wsp>
                      <wps:wsp>
                        <wps:cNvPr id="967" name="Graphic 967"/>
                        <wps:cNvSpPr/>
                        <wps:spPr>
                          <a:xfrm>
                            <a:off x="779673" y="1973148"/>
                            <a:ext cx="51435" cy="488315"/>
                          </a:xfrm>
                          <a:custGeom>
                            <a:avLst/>
                            <a:gdLst/>
                            <a:ahLst/>
                            <a:cxnLst/>
                            <a:rect l="l" t="t" r="r" b="b"/>
                            <a:pathLst>
                              <a:path w="51435" h="488315">
                                <a:moveTo>
                                  <a:pt x="50876" y="0"/>
                                </a:moveTo>
                                <a:lnTo>
                                  <a:pt x="0" y="0"/>
                                </a:lnTo>
                                <a:lnTo>
                                  <a:pt x="0" y="488099"/>
                                </a:lnTo>
                                <a:lnTo>
                                  <a:pt x="50876" y="488099"/>
                                </a:lnTo>
                                <a:lnTo>
                                  <a:pt x="50876" y="0"/>
                                </a:lnTo>
                                <a:close/>
                              </a:path>
                            </a:pathLst>
                          </a:custGeom>
                          <a:solidFill>
                            <a:srgbClr val="008FDD"/>
                          </a:solidFill>
                        </wps:spPr>
                        <wps:bodyPr wrap="square" lIns="0" tIns="0" rIns="0" bIns="0" rtlCol="0">
                          <a:prstTxWarp prst="textNoShape">
                            <a:avLst/>
                          </a:prstTxWarp>
                          <a:noAutofit/>
                        </wps:bodyPr>
                      </wps:wsp>
                      <wps:wsp>
                        <wps:cNvPr id="968" name="Graphic 968"/>
                        <wps:cNvSpPr/>
                        <wps:spPr>
                          <a:xfrm>
                            <a:off x="779674" y="1973148"/>
                            <a:ext cx="51435" cy="488315"/>
                          </a:xfrm>
                          <a:custGeom>
                            <a:avLst/>
                            <a:gdLst/>
                            <a:ahLst/>
                            <a:cxnLst/>
                            <a:rect l="l" t="t" r="r" b="b"/>
                            <a:pathLst>
                              <a:path w="51435" h="488315">
                                <a:moveTo>
                                  <a:pt x="0" y="488099"/>
                                </a:moveTo>
                                <a:lnTo>
                                  <a:pt x="50876" y="488099"/>
                                </a:lnTo>
                                <a:lnTo>
                                  <a:pt x="50876" y="0"/>
                                </a:lnTo>
                                <a:lnTo>
                                  <a:pt x="0" y="0"/>
                                </a:lnTo>
                                <a:lnTo>
                                  <a:pt x="0" y="488099"/>
                                </a:lnTo>
                                <a:close/>
                              </a:path>
                            </a:pathLst>
                          </a:custGeom>
                          <a:ln w="3175">
                            <a:solidFill>
                              <a:srgbClr val="FFFFFF"/>
                            </a:solidFill>
                            <a:prstDash val="solid"/>
                          </a:ln>
                        </wps:spPr>
                        <wps:bodyPr wrap="square" lIns="0" tIns="0" rIns="0" bIns="0" rtlCol="0">
                          <a:prstTxWarp prst="textNoShape">
                            <a:avLst/>
                          </a:prstTxWarp>
                          <a:noAutofit/>
                        </wps:bodyPr>
                      </wps:wsp>
                      <wps:wsp>
                        <wps:cNvPr id="969" name="Graphic 969"/>
                        <wps:cNvSpPr/>
                        <wps:spPr>
                          <a:xfrm>
                            <a:off x="830917" y="2029726"/>
                            <a:ext cx="51435" cy="431800"/>
                          </a:xfrm>
                          <a:custGeom>
                            <a:avLst/>
                            <a:gdLst/>
                            <a:ahLst/>
                            <a:cxnLst/>
                            <a:rect l="l" t="t" r="r" b="b"/>
                            <a:pathLst>
                              <a:path w="51435" h="431800">
                                <a:moveTo>
                                  <a:pt x="50876" y="0"/>
                                </a:moveTo>
                                <a:lnTo>
                                  <a:pt x="0" y="0"/>
                                </a:lnTo>
                                <a:lnTo>
                                  <a:pt x="0" y="431520"/>
                                </a:lnTo>
                                <a:lnTo>
                                  <a:pt x="50876" y="431520"/>
                                </a:lnTo>
                                <a:lnTo>
                                  <a:pt x="50876" y="0"/>
                                </a:lnTo>
                                <a:close/>
                              </a:path>
                            </a:pathLst>
                          </a:custGeom>
                          <a:solidFill>
                            <a:srgbClr val="008FDD"/>
                          </a:solidFill>
                        </wps:spPr>
                        <wps:bodyPr wrap="square" lIns="0" tIns="0" rIns="0" bIns="0" rtlCol="0">
                          <a:prstTxWarp prst="textNoShape">
                            <a:avLst/>
                          </a:prstTxWarp>
                          <a:noAutofit/>
                        </wps:bodyPr>
                      </wps:wsp>
                      <wps:wsp>
                        <wps:cNvPr id="970" name="Graphic 970"/>
                        <wps:cNvSpPr/>
                        <wps:spPr>
                          <a:xfrm>
                            <a:off x="830919" y="2029726"/>
                            <a:ext cx="51435" cy="431800"/>
                          </a:xfrm>
                          <a:custGeom>
                            <a:avLst/>
                            <a:gdLst/>
                            <a:ahLst/>
                            <a:cxnLst/>
                            <a:rect l="l" t="t" r="r" b="b"/>
                            <a:pathLst>
                              <a:path w="51435" h="431800">
                                <a:moveTo>
                                  <a:pt x="0" y="431520"/>
                                </a:moveTo>
                                <a:lnTo>
                                  <a:pt x="50876" y="431520"/>
                                </a:lnTo>
                                <a:lnTo>
                                  <a:pt x="50876" y="0"/>
                                </a:lnTo>
                                <a:lnTo>
                                  <a:pt x="0" y="0"/>
                                </a:lnTo>
                                <a:lnTo>
                                  <a:pt x="0" y="431520"/>
                                </a:lnTo>
                                <a:close/>
                              </a:path>
                            </a:pathLst>
                          </a:custGeom>
                          <a:ln w="3175">
                            <a:solidFill>
                              <a:srgbClr val="FFFFFF"/>
                            </a:solidFill>
                            <a:prstDash val="solid"/>
                          </a:ln>
                        </wps:spPr>
                        <wps:bodyPr wrap="square" lIns="0" tIns="0" rIns="0" bIns="0" rtlCol="0">
                          <a:prstTxWarp prst="textNoShape">
                            <a:avLst/>
                          </a:prstTxWarp>
                          <a:noAutofit/>
                        </wps:bodyPr>
                      </wps:wsp>
                      <wps:wsp>
                        <wps:cNvPr id="971" name="Graphic 971"/>
                        <wps:cNvSpPr/>
                        <wps:spPr>
                          <a:xfrm>
                            <a:off x="881794" y="2093150"/>
                            <a:ext cx="51435" cy="368300"/>
                          </a:xfrm>
                          <a:custGeom>
                            <a:avLst/>
                            <a:gdLst/>
                            <a:ahLst/>
                            <a:cxnLst/>
                            <a:rect l="l" t="t" r="r" b="b"/>
                            <a:pathLst>
                              <a:path w="51435" h="368300">
                                <a:moveTo>
                                  <a:pt x="50876" y="0"/>
                                </a:moveTo>
                                <a:lnTo>
                                  <a:pt x="0" y="0"/>
                                </a:lnTo>
                                <a:lnTo>
                                  <a:pt x="0" y="368096"/>
                                </a:lnTo>
                                <a:lnTo>
                                  <a:pt x="50876" y="368096"/>
                                </a:lnTo>
                                <a:lnTo>
                                  <a:pt x="50876" y="0"/>
                                </a:lnTo>
                                <a:close/>
                              </a:path>
                            </a:pathLst>
                          </a:custGeom>
                          <a:solidFill>
                            <a:srgbClr val="008FDD"/>
                          </a:solidFill>
                        </wps:spPr>
                        <wps:bodyPr wrap="square" lIns="0" tIns="0" rIns="0" bIns="0" rtlCol="0">
                          <a:prstTxWarp prst="textNoShape">
                            <a:avLst/>
                          </a:prstTxWarp>
                          <a:noAutofit/>
                        </wps:bodyPr>
                      </wps:wsp>
                      <wps:wsp>
                        <wps:cNvPr id="972" name="Graphic 972"/>
                        <wps:cNvSpPr/>
                        <wps:spPr>
                          <a:xfrm>
                            <a:off x="881795" y="2093150"/>
                            <a:ext cx="51435" cy="368300"/>
                          </a:xfrm>
                          <a:custGeom>
                            <a:avLst/>
                            <a:gdLst/>
                            <a:ahLst/>
                            <a:cxnLst/>
                            <a:rect l="l" t="t" r="r" b="b"/>
                            <a:pathLst>
                              <a:path w="51435" h="368300">
                                <a:moveTo>
                                  <a:pt x="0" y="368096"/>
                                </a:moveTo>
                                <a:lnTo>
                                  <a:pt x="50876" y="368096"/>
                                </a:lnTo>
                                <a:lnTo>
                                  <a:pt x="50876" y="0"/>
                                </a:lnTo>
                                <a:lnTo>
                                  <a:pt x="0" y="0"/>
                                </a:lnTo>
                                <a:lnTo>
                                  <a:pt x="0" y="368096"/>
                                </a:lnTo>
                                <a:close/>
                              </a:path>
                            </a:pathLst>
                          </a:custGeom>
                          <a:ln w="3175">
                            <a:solidFill>
                              <a:srgbClr val="FFFFFF"/>
                            </a:solidFill>
                            <a:prstDash val="solid"/>
                          </a:ln>
                        </wps:spPr>
                        <wps:bodyPr wrap="square" lIns="0" tIns="0" rIns="0" bIns="0" rtlCol="0">
                          <a:prstTxWarp prst="textNoShape">
                            <a:avLst/>
                          </a:prstTxWarp>
                          <a:noAutofit/>
                        </wps:bodyPr>
                      </wps:wsp>
                      <wps:wsp>
                        <wps:cNvPr id="973" name="Graphic 973"/>
                        <wps:cNvSpPr/>
                        <wps:spPr>
                          <a:xfrm>
                            <a:off x="932670" y="2164651"/>
                            <a:ext cx="51435" cy="297180"/>
                          </a:xfrm>
                          <a:custGeom>
                            <a:avLst/>
                            <a:gdLst/>
                            <a:ahLst/>
                            <a:cxnLst/>
                            <a:rect l="l" t="t" r="r" b="b"/>
                            <a:pathLst>
                              <a:path w="51435" h="297180">
                                <a:moveTo>
                                  <a:pt x="50876" y="0"/>
                                </a:moveTo>
                                <a:lnTo>
                                  <a:pt x="0" y="0"/>
                                </a:lnTo>
                                <a:lnTo>
                                  <a:pt x="0" y="296595"/>
                                </a:lnTo>
                                <a:lnTo>
                                  <a:pt x="50876" y="296595"/>
                                </a:lnTo>
                                <a:lnTo>
                                  <a:pt x="50876" y="0"/>
                                </a:lnTo>
                                <a:close/>
                              </a:path>
                            </a:pathLst>
                          </a:custGeom>
                          <a:solidFill>
                            <a:srgbClr val="008FDD"/>
                          </a:solidFill>
                        </wps:spPr>
                        <wps:bodyPr wrap="square" lIns="0" tIns="0" rIns="0" bIns="0" rtlCol="0">
                          <a:prstTxWarp prst="textNoShape">
                            <a:avLst/>
                          </a:prstTxWarp>
                          <a:noAutofit/>
                        </wps:bodyPr>
                      </wps:wsp>
                      <wps:wsp>
                        <wps:cNvPr id="974" name="Graphic 974"/>
                        <wps:cNvSpPr/>
                        <wps:spPr>
                          <a:xfrm>
                            <a:off x="932671" y="2164651"/>
                            <a:ext cx="51435" cy="297180"/>
                          </a:xfrm>
                          <a:custGeom>
                            <a:avLst/>
                            <a:gdLst/>
                            <a:ahLst/>
                            <a:cxnLst/>
                            <a:rect l="l" t="t" r="r" b="b"/>
                            <a:pathLst>
                              <a:path w="51435" h="297180">
                                <a:moveTo>
                                  <a:pt x="0" y="296595"/>
                                </a:moveTo>
                                <a:lnTo>
                                  <a:pt x="50876" y="296595"/>
                                </a:lnTo>
                                <a:lnTo>
                                  <a:pt x="50876" y="0"/>
                                </a:lnTo>
                                <a:lnTo>
                                  <a:pt x="0" y="0"/>
                                </a:lnTo>
                                <a:lnTo>
                                  <a:pt x="0" y="296595"/>
                                </a:lnTo>
                                <a:close/>
                              </a:path>
                            </a:pathLst>
                          </a:custGeom>
                          <a:ln w="3174">
                            <a:solidFill>
                              <a:srgbClr val="FFFFFF"/>
                            </a:solidFill>
                            <a:prstDash val="solid"/>
                          </a:ln>
                        </wps:spPr>
                        <wps:bodyPr wrap="square" lIns="0" tIns="0" rIns="0" bIns="0" rtlCol="0">
                          <a:prstTxWarp prst="textNoShape">
                            <a:avLst/>
                          </a:prstTxWarp>
                          <a:noAutofit/>
                        </wps:bodyPr>
                      </wps:wsp>
                      <wps:wsp>
                        <wps:cNvPr id="975" name="Graphic 975"/>
                        <wps:cNvSpPr/>
                        <wps:spPr>
                          <a:xfrm>
                            <a:off x="983914" y="2184552"/>
                            <a:ext cx="51435" cy="276860"/>
                          </a:xfrm>
                          <a:custGeom>
                            <a:avLst/>
                            <a:gdLst/>
                            <a:ahLst/>
                            <a:cxnLst/>
                            <a:rect l="l" t="t" r="r" b="b"/>
                            <a:pathLst>
                              <a:path w="51435" h="276860">
                                <a:moveTo>
                                  <a:pt x="50876" y="0"/>
                                </a:moveTo>
                                <a:lnTo>
                                  <a:pt x="0" y="0"/>
                                </a:lnTo>
                                <a:lnTo>
                                  <a:pt x="0" y="276694"/>
                                </a:lnTo>
                                <a:lnTo>
                                  <a:pt x="50876" y="276694"/>
                                </a:lnTo>
                                <a:lnTo>
                                  <a:pt x="50876" y="0"/>
                                </a:lnTo>
                                <a:close/>
                              </a:path>
                            </a:pathLst>
                          </a:custGeom>
                          <a:solidFill>
                            <a:srgbClr val="008FDD"/>
                          </a:solidFill>
                        </wps:spPr>
                        <wps:bodyPr wrap="square" lIns="0" tIns="0" rIns="0" bIns="0" rtlCol="0">
                          <a:prstTxWarp prst="textNoShape">
                            <a:avLst/>
                          </a:prstTxWarp>
                          <a:noAutofit/>
                        </wps:bodyPr>
                      </wps:wsp>
                      <wps:wsp>
                        <wps:cNvPr id="976" name="Graphic 976"/>
                        <wps:cNvSpPr/>
                        <wps:spPr>
                          <a:xfrm>
                            <a:off x="983916" y="2184552"/>
                            <a:ext cx="51435" cy="276860"/>
                          </a:xfrm>
                          <a:custGeom>
                            <a:avLst/>
                            <a:gdLst/>
                            <a:ahLst/>
                            <a:cxnLst/>
                            <a:rect l="l" t="t" r="r" b="b"/>
                            <a:pathLst>
                              <a:path w="51435" h="276860">
                                <a:moveTo>
                                  <a:pt x="0" y="276694"/>
                                </a:moveTo>
                                <a:lnTo>
                                  <a:pt x="50876" y="276694"/>
                                </a:lnTo>
                                <a:lnTo>
                                  <a:pt x="50876" y="0"/>
                                </a:lnTo>
                                <a:lnTo>
                                  <a:pt x="0" y="0"/>
                                </a:lnTo>
                                <a:lnTo>
                                  <a:pt x="0" y="276694"/>
                                </a:lnTo>
                                <a:close/>
                              </a:path>
                            </a:pathLst>
                          </a:custGeom>
                          <a:ln w="3174">
                            <a:solidFill>
                              <a:srgbClr val="FFFFFF"/>
                            </a:solidFill>
                            <a:prstDash val="solid"/>
                          </a:ln>
                        </wps:spPr>
                        <wps:bodyPr wrap="square" lIns="0" tIns="0" rIns="0" bIns="0" rtlCol="0">
                          <a:prstTxWarp prst="textNoShape">
                            <a:avLst/>
                          </a:prstTxWarp>
                          <a:noAutofit/>
                        </wps:bodyPr>
                      </wps:wsp>
                      <wps:wsp>
                        <wps:cNvPr id="977" name="Graphic 977"/>
                        <wps:cNvSpPr/>
                        <wps:spPr>
                          <a:xfrm>
                            <a:off x="1034790" y="2288387"/>
                            <a:ext cx="51435" cy="173355"/>
                          </a:xfrm>
                          <a:custGeom>
                            <a:avLst/>
                            <a:gdLst/>
                            <a:ahLst/>
                            <a:cxnLst/>
                            <a:rect l="l" t="t" r="r" b="b"/>
                            <a:pathLst>
                              <a:path w="51435" h="173355">
                                <a:moveTo>
                                  <a:pt x="50876" y="0"/>
                                </a:moveTo>
                                <a:lnTo>
                                  <a:pt x="0" y="0"/>
                                </a:lnTo>
                                <a:lnTo>
                                  <a:pt x="0" y="172859"/>
                                </a:lnTo>
                                <a:lnTo>
                                  <a:pt x="50876" y="172859"/>
                                </a:lnTo>
                                <a:lnTo>
                                  <a:pt x="50876" y="0"/>
                                </a:lnTo>
                                <a:close/>
                              </a:path>
                            </a:pathLst>
                          </a:custGeom>
                          <a:solidFill>
                            <a:srgbClr val="008FDD"/>
                          </a:solidFill>
                        </wps:spPr>
                        <wps:bodyPr wrap="square" lIns="0" tIns="0" rIns="0" bIns="0" rtlCol="0">
                          <a:prstTxWarp prst="textNoShape">
                            <a:avLst/>
                          </a:prstTxWarp>
                          <a:noAutofit/>
                        </wps:bodyPr>
                      </wps:wsp>
                      <wps:wsp>
                        <wps:cNvPr id="978" name="Graphic 978"/>
                        <wps:cNvSpPr/>
                        <wps:spPr>
                          <a:xfrm>
                            <a:off x="1034792" y="2288387"/>
                            <a:ext cx="51435" cy="173355"/>
                          </a:xfrm>
                          <a:custGeom>
                            <a:avLst/>
                            <a:gdLst/>
                            <a:ahLst/>
                            <a:cxnLst/>
                            <a:rect l="l" t="t" r="r" b="b"/>
                            <a:pathLst>
                              <a:path w="51435" h="173355">
                                <a:moveTo>
                                  <a:pt x="0" y="172859"/>
                                </a:moveTo>
                                <a:lnTo>
                                  <a:pt x="50876" y="172859"/>
                                </a:lnTo>
                                <a:lnTo>
                                  <a:pt x="50876" y="0"/>
                                </a:lnTo>
                                <a:lnTo>
                                  <a:pt x="0" y="0"/>
                                </a:lnTo>
                                <a:lnTo>
                                  <a:pt x="0" y="172859"/>
                                </a:lnTo>
                                <a:close/>
                              </a:path>
                            </a:pathLst>
                          </a:custGeom>
                          <a:ln w="3175">
                            <a:solidFill>
                              <a:srgbClr val="FFFFFF"/>
                            </a:solidFill>
                            <a:prstDash val="solid"/>
                          </a:ln>
                        </wps:spPr>
                        <wps:bodyPr wrap="square" lIns="0" tIns="0" rIns="0" bIns="0" rtlCol="0">
                          <a:prstTxWarp prst="textNoShape">
                            <a:avLst/>
                          </a:prstTxWarp>
                          <a:noAutofit/>
                        </wps:bodyPr>
                      </wps:wsp>
                      <wps:wsp>
                        <wps:cNvPr id="979" name="Graphic 979"/>
                        <wps:cNvSpPr/>
                        <wps:spPr>
                          <a:xfrm>
                            <a:off x="1085667" y="2330056"/>
                            <a:ext cx="51435" cy="131445"/>
                          </a:xfrm>
                          <a:custGeom>
                            <a:avLst/>
                            <a:gdLst/>
                            <a:ahLst/>
                            <a:cxnLst/>
                            <a:rect l="l" t="t" r="r" b="b"/>
                            <a:pathLst>
                              <a:path w="51435" h="131445">
                                <a:moveTo>
                                  <a:pt x="50876" y="0"/>
                                </a:moveTo>
                                <a:lnTo>
                                  <a:pt x="0" y="0"/>
                                </a:lnTo>
                                <a:lnTo>
                                  <a:pt x="0" y="131190"/>
                                </a:lnTo>
                                <a:lnTo>
                                  <a:pt x="50876" y="131190"/>
                                </a:lnTo>
                                <a:lnTo>
                                  <a:pt x="50876" y="0"/>
                                </a:lnTo>
                                <a:close/>
                              </a:path>
                            </a:pathLst>
                          </a:custGeom>
                          <a:solidFill>
                            <a:srgbClr val="008FDD"/>
                          </a:solidFill>
                        </wps:spPr>
                        <wps:bodyPr wrap="square" lIns="0" tIns="0" rIns="0" bIns="0" rtlCol="0">
                          <a:prstTxWarp prst="textNoShape">
                            <a:avLst/>
                          </a:prstTxWarp>
                          <a:noAutofit/>
                        </wps:bodyPr>
                      </wps:wsp>
                      <wps:wsp>
                        <wps:cNvPr id="980" name="Graphic 980"/>
                        <wps:cNvSpPr/>
                        <wps:spPr>
                          <a:xfrm>
                            <a:off x="1085668" y="2330056"/>
                            <a:ext cx="51435" cy="131445"/>
                          </a:xfrm>
                          <a:custGeom>
                            <a:avLst/>
                            <a:gdLst/>
                            <a:ahLst/>
                            <a:cxnLst/>
                            <a:rect l="l" t="t" r="r" b="b"/>
                            <a:pathLst>
                              <a:path w="51435" h="131445">
                                <a:moveTo>
                                  <a:pt x="0" y="131190"/>
                                </a:moveTo>
                                <a:lnTo>
                                  <a:pt x="50876" y="131190"/>
                                </a:lnTo>
                                <a:lnTo>
                                  <a:pt x="50876" y="0"/>
                                </a:lnTo>
                                <a:lnTo>
                                  <a:pt x="0" y="0"/>
                                </a:lnTo>
                                <a:lnTo>
                                  <a:pt x="0" y="131190"/>
                                </a:lnTo>
                                <a:close/>
                              </a:path>
                            </a:pathLst>
                          </a:custGeom>
                          <a:ln w="3175">
                            <a:solidFill>
                              <a:srgbClr val="FFFFFF"/>
                            </a:solidFill>
                            <a:prstDash val="solid"/>
                          </a:ln>
                        </wps:spPr>
                        <wps:bodyPr wrap="square" lIns="0" tIns="0" rIns="0" bIns="0" rtlCol="0">
                          <a:prstTxWarp prst="textNoShape">
                            <a:avLst/>
                          </a:prstTxWarp>
                          <a:noAutofit/>
                        </wps:bodyPr>
                      </wps:wsp>
                      <wps:wsp>
                        <wps:cNvPr id="981" name="Graphic 981"/>
                        <wps:cNvSpPr/>
                        <wps:spPr>
                          <a:xfrm>
                            <a:off x="1136911" y="2282799"/>
                            <a:ext cx="51435" cy="179070"/>
                          </a:xfrm>
                          <a:custGeom>
                            <a:avLst/>
                            <a:gdLst/>
                            <a:ahLst/>
                            <a:cxnLst/>
                            <a:rect l="l" t="t" r="r" b="b"/>
                            <a:pathLst>
                              <a:path w="51435" h="179070">
                                <a:moveTo>
                                  <a:pt x="50876" y="0"/>
                                </a:moveTo>
                                <a:lnTo>
                                  <a:pt x="0" y="0"/>
                                </a:lnTo>
                                <a:lnTo>
                                  <a:pt x="0" y="178447"/>
                                </a:lnTo>
                                <a:lnTo>
                                  <a:pt x="50876" y="178447"/>
                                </a:lnTo>
                                <a:lnTo>
                                  <a:pt x="50876" y="0"/>
                                </a:lnTo>
                                <a:close/>
                              </a:path>
                            </a:pathLst>
                          </a:custGeom>
                          <a:solidFill>
                            <a:srgbClr val="008FDD"/>
                          </a:solidFill>
                        </wps:spPr>
                        <wps:bodyPr wrap="square" lIns="0" tIns="0" rIns="0" bIns="0" rtlCol="0">
                          <a:prstTxWarp prst="textNoShape">
                            <a:avLst/>
                          </a:prstTxWarp>
                          <a:noAutofit/>
                        </wps:bodyPr>
                      </wps:wsp>
                      <wps:wsp>
                        <wps:cNvPr id="982" name="Graphic 982"/>
                        <wps:cNvSpPr/>
                        <wps:spPr>
                          <a:xfrm>
                            <a:off x="1136912" y="2282799"/>
                            <a:ext cx="51435" cy="179070"/>
                          </a:xfrm>
                          <a:custGeom>
                            <a:avLst/>
                            <a:gdLst/>
                            <a:ahLst/>
                            <a:cxnLst/>
                            <a:rect l="l" t="t" r="r" b="b"/>
                            <a:pathLst>
                              <a:path w="51435" h="179070">
                                <a:moveTo>
                                  <a:pt x="0" y="178447"/>
                                </a:moveTo>
                                <a:lnTo>
                                  <a:pt x="50876" y="178447"/>
                                </a:lnTo>
                                <a:lnTo>
                                  <a:pt x="50876" y="0"/>
                                </a:lnTo>
                                <a:lnTo>
                                  <a:pt x="0" y="0"/>
                                </a:lnTo>
                                <a:lnTo>
                                  <a:pt x="0" y="178447"/>
                                </a:lnTo>
                                <a:close/>
                              </a:path>
                            </a:pathLst>
                          </a:custGeom>
                          <a:ln w="3175">
                            <a:solidFill>
                              <a:srgbClr val="FFFFFF"/>
                            </a:solidFill>
                            <a:prstDash val="solid"/>
                          </a:ln>
                        </wps:spPr>
                        <wps:bodyPr wrap="square" lIns="0" tIns="0" rIns="0" bIns="0" rtlCol="0">
                          <a:prstTxWarp prst="textNoShape">
                            <a:avLst/>
                          </a:prstTxWarp>
                          <a:noAutofit/>
                        </wps:bodyPr>
                      </wps:wsp>
                      <wps:wsp>
                        <wps:cNvPr id="983" name="Graphic 983"/>
                        <wps:cNvSpPr/>
                        <wps:spPr>
                          <a:xfrm>
                            <a:off x="1187787" y="2306421"/>
                            <a:ext cx="51435" cy="154940"/>
                          </a:xfrm>
                          <a:custGeom>
                            <a:avLst/>
                            <a:gdLst/>
                            <a:ahLst/>
                            <a:cxnLst/>
                            <a:rect l="l" t="t" r="r" b="b"/>
                            <a:pathLst>
                              <a:path w="51435" h="154940">
                                <a:moveTo>
                                  <a:pt x="50876" y="0"/>
                                </a:moveTo>
                                <a:lnTo>
                                  <a:pt x="0" y="0"/>
                                </a:lnTo>
                                <a:lnTo>
                                  <a:pt x="0" y="154825"/>
                                </a:lnTo>
                                <a:lnTo>
                                  <a:pt x="50876" y="154825"/>
                                </a:lnTo>
                                <a:lnTo>
                                  <a:pt x="50876" y="0"/>
                                </a:lnTo>
                                <a:close/>
                              </a:path>
                            </a:pathLst>
                          </a:custGeom>
                          <a:solidFill>
                            <a:srgbClr val="008FDD"/>
                          </a:solidFill>
                        </wps:spPr>
                        <wps:bodyPr wrap="square" lIns="0" tIns="0" rIns="0" bIns="0" rtlCol="0">
                          <a:prstTxWarp prst="textNoShape">
                            <a:avLst/>
                          </a:prstTxWarp>
                          <a:noAutofit/>
                        </wps:bodyPr>
                      </wps:wsp>
                      <wps:wsp>
                        <wps:cNvPr id="984" name="Graphic 984"/>
                        <wps:cNvSpPr/>
                        <wps:spPr>
                          <a:xfrm>
                            <a:off x="1187789" y="2306421"/>
                            <a:ext cx="51435" cy="154940"/>
                          </a:xfrm>
                          <a:custGeom>
                            <a:avLst/>
                            <a:gdLst/>
                            <a:ahLst/>
                            <a:cxnLst/>
                            <a:rect l="l" t="t" r="r" b="b"/>
                            <a:pathLst>
                              <a:path w="51435" h="154940">
                                <a:moveTo>
                                  <a:pt x="0" y="154825"/>
                                </a:moveTo>
                                <a:lnTo>
                                  <a:pt x="50876" y="154825"/>
                                </a:lnTo>
                                <a:lnTo>
                                  <a:pt x="50876" y="0"/>
                                </a:lnTo>
                                <a:lnTo>
                                  <a:pt x="0" y="0"/>
                                </a:lnTo>
                                <a:lnTo>
                                  <a:pt x="0" y="154825"/>
                                </a:lnTo>
                                <a:close/>
                              </a:path>
                            </a:pathLst>
                          </a:custGeom>
                          <a:ln w="3175">
                            <a:solidFill>
                              <a:srgbClr val="FFFFFF"/>
                            </a:solidFill>
                            <a:prstDash val="solid"/>
                          </a:ln>
                        </wps:spPr>
                        <wps:bodyPr wrap="square" lIns="0" tIns="0" rIns="0" bIns="0" rtlCol="0">
                          <a:prstTxWarp prst="textNoShape">
                            <a:avLst/>
                          </a:prstTxWarp>
                          <a:noAutofit/>
                        </wps:bodyPr>
                      </wps:wsp>
                      <wps:wsp>
                        <wps:cNvPr id="985" name="Graphic 985"/>
                        <wps:cNvSpPr/>
                        <wps:spPr>
                          <a:xfrm>
                            <a:off x="1239032" y="2297099"/>
                            <a:ext cx="51435" cy="164465"/>
                          </a:xfrm>
                          <a:custGeom>
                            <a:avLst/>
                            <a:gdLst/>
                            <a:ahLst/>
                            <a:cxnLst/>
                            <a:rect l="l" t="t" r="r" b="b"/>
                            <a:pathLst>
                              <a:path w="51435" h="164465">
                                <a:moveTo>
                                  <a:pt x="50876" y="0"/>
                                </a:moveTo>
                                <a:lnTo>
                                  <a:pt x="0" y="0"/>
                                </a:lnTo>
                                <a:lnTo>
                                  <a:pt x="0" y="164147"/>
                                </a:lnTo>
                                <a:lnTo>
                                  <a:pt x="50876" y="164147"/>
                                </a:lnTo>
                                <a:lnTo>
                                  <a:pt x="50876" y="0"/>
                                </a:lnTo>
                                <a:close/>
                              </a:path>
                            </a:pathLst>
                          </a:custGeom>
                          <a:solidFill>
                            <a:srgbClr val="008FDD"/>
                          </a:solidFill>
                        </wps:spPr>
                        <wps:bodyPr wrap="square" lIns="0" tIns="0" rIns="0" bIns="0" rtlCol="0">
                          <a:prstTxWarp prst="textNoShape">
                            <a:avLst/>
                          </a:prstTxWarp>
                          <a:noAutofit/>
                        </wps:bodyPr>
                      </wps:wsp>
                      <wps:wsp>
                        <wps:cNvPr id="986" name="Graphic 986"/>
                        <wps:cNvSpPr/>
                        <wps:spPr>
                          <a:xfrm>
                            <a:off x="1239033" y="2297099"/>
                            <a:ext cx="51435" cy="164465"/>
                          </a:xfrm>
                          <a:custGeom>
                            <a:avLst/>
                            <a:gdLst/>
                            <a:ahLst/>
                            <a:cxnLst/>
                            <a:rect l="l" t="t" r="r" b="b"/>
                            <a:pathLst>
                              <a:path w="51435" h="164465">
                                <a:moveTo>
                                  <a:pt x="0" y="164147"/>
                                </a:moveTo>
                                <a:lnTo>
                                  <a:pt x="50876" y="164147"/>
                                </a:lnTo>
                                <a:lnTo>
                                  <a:pt x="50876" y="0"/>
                                </a:lnTo>
                                <a:lnTo>
                                  <a:pt x="0" y="0"/>
                                </a:lnTo>
                                <a:lnTo>
                                  <a:pt x="0" y="164147"/>
                                </a:lnTo>
                                <a:close/>
                              </a:path>
                            </a:pathLst>
                          </a:custGeom>
                          <a:ln w="3175">
                            <a:solidFill>
                              <a:srgbClr val="FFFFFF"/>
                            </a:solidFill>
                            <a:prstDash val="solid"/>
                          </a:ln>
                        </wps:spPr>
                        <wps:bodyPr wrap="square" lIns="0" tIns="0" rIns="0" bIns="0" rtlCol="0">
                          <a:prstTxWarp prst="textNoShape">
                            <a:avLst/>
                          </a:prstTxWarp>
                          <a:noAutofit/>
                        </wps:bodyPr>
                      </wps:wsp>
                      <wps:wsp>
                        <wps:cNvPr id="987" name="Graphic 987"/>
                        <wps:cNvSpPr/>
                        <wps:spPr>
                          <a:xfrm>
                            <a:off x="1289921" y="2357412"/>
                            <a:ext cx="51435" cy="104139"/>
                          </a:xfrm>
                          <a:custGeom>
                            <a:avLst/>
                            <a:gdLst/>
                            <a:ahLst/>
                            <a:cxnLst/>
                            <a:rect l="l" t="t" r="r" b="b"/>
                            <a:pathLst>
                              <a:path w="51435" h="104139">
                                <a:moveTo>
                                  <a:pt x="50876" y="0"/>
                                </a:moveTo>
                                <a:lnTo>
                                  <a:pt x="0" y="0"/>
                                </a:lnTo>
                                <a:lnTo>
                                  <a:pt x="0" y="103835"/>
                                </a:lnTo>
                                <a:lnTo>
                                  <a:pt x="50876" y="103835"/>
                                </a:lnTo>
                                <a:lnTo>
                                  <a:pt x="50876" y="0"/>
                                </a:lnTo>
                                <a:close/>
                              </a:path>
                            </a:pathLst>
                          </a:custGeom>
                          <a:solidFill>
                            <a:srgbClr val="008FDD"/>
                          </a:solidFill>
                        </wps:spPr>
                        <wps:bodyPr wrap="square" lIns="0" tIns="0" rIns="0" bIns="0" rtlCol="0">
                          <a:prstTxWarp prst="textNoShape">
                            <a:avLst/>
                          </a:prstTxWarp>
                          <a:noAutofit/>
                        </wps:bodyPr>
                      </wps:wsp>
                      <wps:wsp>
                        <wps:cNvPr id="988" name="Graphic 988"/>
                        <wps:cNvSpPr/>
                        <wps:spPr>
                          <a:xfrm>
                            <a:off x="1289922" y="2357412"/>
                            <a:ext cx="51435" cy="104139"/>
                          </a:xfrm>
                          <a:custGeom>
                            <a:avLst/>
                            <a:gdLst/>
                            <a:ahLst/>
                            <a:cxnLst/>
                            <a:rect l="l" t="t" r="r" b="b"/>
                            <a:pathLst>
                              <a:path w="51435" h="104139">
                                <a:moveTo>
                                  <a:pt x="0" y="103835"/>
                                </a:moveTo>
                                <a:lnTo>
                                  <a:pt x="50876" y="103835"/>
                                </a:lnTo>
                                <a:lnTo>
                                  <a:pt x="50876" y="0"/>
                                </a:lnTo>
                                <a:lnTo>
                                  <a:pt x="0" y="0"/>
                                </a:lnTo>
                                <a:lnTo>
                                  <a:pt x="0" y="103835"/>
                                </a:lnTo>
                                <a:close/>
                              </a:path>
                            </a:pathLst>
                          </a:custGeom>
                          <a:ln w="3175">
                            <a:solidFill>
                              <a:srgbClr val="FFFFFF"/>
                            </a:solidFill>
                            <a:prstDash val="solid"/>
                          </a:ln>
                        </wps:spPr>
                        <wps:bodyPr wrap="square" lIns="0" tIns="0" rIns="0" bIns="0" rtlCol="0">
                          <a:prstTxWarp prst="textNoShape">
                            <a:avLst/>
                          </a:prstTxWarp>
                          <a:noAutofit/>
                        </wps:bodyPr>
                      </wps:wsp>
                      <wps:wsp>
                        <wps:cNvPr id="989" name="Graphic 989"/>
                        <wps:cNvSpPr/>
                        <wps:spPr>
                          <a:xfrm>
                            <a:off x="1340797" y="2363000"/>
                            <a:ext cx="51435" cy="98425"/>
                          </a:xfrm>
                          <a:custGeom>
                            <a:avLst/>
                            <a:gdLst/>
                            <a:ahLst/>
                            <a:cxnLst/>
                            <a:rect l="l" t="t" r="r" b="b"/>
                            <a:pathLst>
                              <a:path w="51435" h="98425">
                                <a:moveTo>
                                  <a:pt x="50876" y="0"/>
                                </a:moveTo>
                                <a:lnTo>
                                  <a:pt x="0" y="0"/>
                                </a:lnTo>
                                <a:lnTo>
                                  <a:pt x="0" y="98247"/>
                                </a:lnTo>
                                <a:lnTo>
                                  <a:pt x="50876" y="98247"/>
                                </a:lnTo>
                                <a:lnTo>
                                  <a:pt x="50876" y="0"/>
                                </a:lnTo>
                                <a:close/>
                              </a:path>
                            </a:pathLst>
                          </a:custGeom>
                          <a:solidFill>
                            <a:srgbClr val="008FDD"/>
                          </a:solidFill>
                        </wps:spPr>
                        <wps:bodyPr wrap="square" lIns="0" tIns="0" rIns="0" bIns="0" rtlCol="0">
                          <a:prstTxWarp prst="textNoShape">
                            <a:avLst/>
                          </a:prstTxWarp>
                          <a:noAutofit/>
                        </wps:bodyPr>
                      </wps:wsp>
                      <wps:wsp>
                        <wps:cNvPr id="990" name="Graphic 990"/>
                        <wps:cNvSpPr/>
                        <wps:spPr>
                          <a:xfrm>
                            <a:off x="1340798" y="2363000"/>
                            <a:ext cx="51435" cy="98425"/>
                          </a:xfrm>
                          <a:custGeom>
                            <a:avLst/>
                            <a:gdLst/>
                            <a:ahLst/>
                            <a:cxnLst/>
                            <a:rect l="l" t="t" r="r" b="b"/>
                            <a:pathLst>
                              <a:path w="51435" h="98425">
                                <a:moveTo>
                                  <a:pt x="0" y="98247"/>
                                </a:moveTo>
                                <a:lnTo>
                                  <a:pt x="50876" y="98247"/>
                                </a:lnTo>
                                <a:lnTo>
                                  <a:pt x="50876" y="0"/>
                                </a:lnTo>
                                <a:lnTo>
                                  <a:pt x="0" y="0"/>
                                </a:lnTo>
                                <a:lnTo>
                                  <a:pt x="0" y="98247"/>
                                </a:lnTo>
                                <a:close/>
                              </a:path>
                            </a:pathLst>
                          </a:custGeom>
                          <a:ln w="3175">
                            <a:solidFill>
                              <a:srgbClr val="FFFFFF"/>
                            </a:solidFill>
                            <a:prstDash val="solid"/>
                          </a:ln>
                        </wps:spPr>
                        <wps:bodyPr wrap="square" lIns="0" tIns="0" rIns="0" bIns="0" rtlCol="0">
                          <a:prstTxWarp prst="textNoShape">
                            <a:avLst/>
                          </a:prstTxWarp>
                          <a:noAutofit/>
                        </wps:bodyPr>
                      </wps:wsp>
                      <wps:wsp>
                        <wps:cNvPr id="991" name="Graphic 991"/>
                        <wps:cNvSpPr/>
                        <wps:spPr>
                          <a:xfrm>
                            <a:off x="1392041" y="2349944"/>
                            <a:ext cx="51435" cy="111760"/>
                          </a:xfrm>
                          <a:custGeom>
                            <a:avLst/>
                            <a:gdLst/>
                            <a:ahLst/>
                            <a:cxnLst/>
                            <a:rect l="l" t="t" r="r" b="b"/>
                            <a:pathLst>
                              <a:path w="51435" h="111760">
                                <a:moveTo>
                                  <a:pt x="50876" y="0"/>
                                </a:moveTo>
                                <a:lnTo>
                                  <a:pt x="0" y="0"/>
                                </a:lnTo>
                                <a:lnTo>
                                  <a:pt x="0" y="111302"/>
                                </a:lnTo>
                                <a:lnTo>
                                  <a:pt x="50876" y="111302"/>
                                </a:lnTo>
                                <a:lnTo>
                                  <a:pt x="50876" y="0"/>
                                </a:lnTo>
                                <a:close/>
                              </a:path>
                            </a:pathLst>
                          </a:custGeom>
                          <a:solidFill>
                            <a:srgbClr val="008FDD"/>
                          </a:solidFill>
                        </wps:spPr>
                        <wps:bodyPr wrap="square" lIns="0" tIns="0" rIns="0" bIns="0" rtlCol="0">
                          <a:prstTxWarp prst="textNoShape">
                            <a:avLst/>
                          </a:prstTxWarp>
                          <a:noAutofit/>
                        </wps:bodyPr>
                      </wps:wsp>
                      <wps:wsp>
                        <wps:cNvPr id="992" name="Graphic 992"/>
                        <wps:cNvSpPr/>
                        <wps:spPr>
                          <a:xfrm>
                            <a:off x="1392043" y="2349944"/>
                            <a:ext cx="51435" cy="111760"/>
                          </a:xfrm>
                          <a:custGeom>
                            <a:avLst/>
                            <a:gdLst/>
                            <a:ahLst/>
                            <a:cxnLst/>
                            <a:rect l="l" t="t" r="r" b="b"/>
                            <a:pathLst>
                              <a:path w="51435" h="111760">
                                <a:moveTo>
                                  <a:pt x="0" y="111302"/>
                                </a:moveTo>
                                <a:lnTo>
                                  <a:pt x="50876" y="111302"/>
                                </a:lnTo>
                                <a:lnTo>
                                  <a:pt x="50876" y="0"/>
                                </a:lnTo>
                                <a:lnTo>
                                  <a:pt x="0" y="0"/>
                                </a:lnTo>
                                <a:lnTo>
                                  <a:pt x="0" y="111302"/>
                                </a:lnTo>
                                <a:close/>
                              </a:path>
                            </a:pathLst>
                          </a:custGeom>
                          <a:ln w="3175">
                            <a:solidFill>
                              <a:srgbClr val="FFFFFF"/>
                            </a:solidFill>
                            <a:prstDash val="solid"/>
                          </a:ln>
                        </wps:spPr>
                        <wps:bodyPr wrap="square" lIns="0" tIns="0" rIns="0" bIns="0" rtlCol="0">
                          <a:prstTxWarp prst="textNoShape">
                            <a:avLst/>
                          </a:prstTxWarp>
                          <a:noAutofit/>
                        </wps:bodyPr>
                      </wps:wsp>
                      <wps:wsp>
                        <wps:cNvPr id="993" name="Graphic 993"/>
                        <wps:cNvSpPr/>
                        <wps:spPr>
                          <a:xfrm>
                            <a:off x="1442918" y="2382901"/>
                            <a:ext cx="51435" cy="78740"/>
                          </a:xfrm>
                          <a:custGeom>
                            <a:avLst/>
                            <a:gdLst/>
                            <a:ahLst/>
                            <a:cxnLst/>
                            <a:rect l="l" t="t" r="r" b="b"/>
                            <a:pathLst>
                              <a:path w="51435" h="78740">
                                <a:moveTo>
                                  <a:pt x="50876" y="0"/>
                                </a:moveTo>
                                <a:lnTo>
                                  <a:pt x="0" y="0"/>
                                </a:lnTo>
                                <a:lnTo>
                                  <a:pt x="0" y="78346"/>
                                </a:lnTo>
                                <a:lnTo>
                                  <a:pt x="50876" y="78346"/>
                                </a:lnTo>
                                <a:lnTo>
                                  <a:pt x="50876" y="0"/>
                                </a:lnTo>
                                <a:close/>
                              </a:path>
                            </a:pathLst>
                          </a:custGeom>
                          <a:solidFill>
                            <a:srgbClr val="008FDD"/>
                          </a:solidFill>
                        </wps:spPr>
                        <wps:bodyPr wrap="square" lIns="0" tIns="0" rIns="0" bIns="0" rtlCol="0">
                          <a:prstTxWarp prst="textNoShape">
                            <a:avLst/>
                          </a:prstTxWarp>
                          <a:noAutofit/>
                        </wps:bodyPr>
                      </wps:wsp>
                      <wps:wsp>
                        <wps:cNvPr id="994" name="Graphic 994"/>
                        <wps:cNvSpPr/>
                        <wps:spPr>
                          <a:xfrm>
                            <a:off x="1442919" y="2382901"/>
                            <a:ext cx="51435" cy="78740"/>
                          </a:xfrm>
                          <a:custGeom>
                            <a:avLst/>
                            <a:gdLst/>
                            <a:ahLst/>
                            <a:cxnLst/>
                            <a:rect l="l" t="t" r="r" b="b"/>
                            <a:pathLst>
                              <a:path w="51435" h="78740">
                                <a:moveTo>
                                  <a:pt x="0" y="78346"/>
                                </a:moveTo>
                                <a:lnTo>
                                  <a:pt x="50876" y="78346"/>
                                </a:lnTo>
                                <a:lnTo>
                                  <a:pt x="50876" y="0"/>
                                </a:lnTo>
                                <a:lnTo>
                                  <a:pt x="0" y="0"/>
                                </a:lnTo>
                                <a:lnTo>
                                  <a:pt x="0" y="78346"/>
                                </a:lnTo>
                                <a:close/>
                              </a:path>
                            </a:pathLst>
                          </a:custGeom>
                          <a:ln w="3175">
                            <a:solidFill>
                              <a:srgbClr val="FFFFFF"/>
                            </a:solidFill>
                            <a:prstDash val="solid"/>
                          </a:ln>
                        </wps:spPr>
                        <wps:bodyPr wrap="square" lIns="0" tIns="0" rIns="0" bIns="0" rtlCol="0">
                          <a:prstTxWarp prst="textNoShape">
                            <a:avLst/>
                          </a:prstTxWarp>
                          <a:noAutofit/>
                        </wps:bodyPr>
                      </wps:wsp>
                      <wps:wsp>
                        <wps:cNvPr id="995" name="Graphic 995"/>
                        <wps:cNvSpPr/>
                        <wps:spPr>
                          <a:xfrm>
                            <a:off x="1494162" y="2408389"/>
                            <a:ext cx="51435" cy="53340"/>
                          </a:xfrm>
                          <a:custGeom>
                            <a:avLst/>
                            <a:gdLst/>
                            <a:ahLst/>
                            <a:cxnLst/>
                            <a:rect l="l" t="t" r="r" b="b"/>
                            <a:pathLst>
                              <a:path w="51435" h="53340">
                                <a:moveTo>
                                  <a:pt x="50876" y="0"/>
                                </a:moveTo>
                                <a:lnTo>
                                  <a:pt x="0" y="0"/>
                                </a:lnTo>
                                <a:lnTo>
                                  <a:pt x="0" y="52857"/>
                                </a:lnTo>
                                <a:lnTo>
                                  <a:pt x="50876" y="52857"/>
                                </a:lnTo>
                                <a:lnTo>
                                  <a:pt x="50876" y="0"/>
                                </a:lnTo>
                                <a:close/>
                              </a:path>
                            </a:pathLst>
                          </a:custGeom>
                          <a:solidFill>
                            <a:srgbClr val="008FDD"/>
                          </a:solidFill>
                        </wps:spPr>
                        <wps:bodyPr wrap="square" lIns="0" tIns="0" rIns="0" bIns="0" rtlCol="0">
                          <a:prstTxWarp prst="textNoShape">
                            <a:avLst/>
                          </a:prstTxWarp>
                          <a:noAutofit/>
                        </wps:bodyPr>
                      </wps:wsp>
                      <wps:wsp>
                        <wps:cNvPr id="996" name="Graphic 996"/>
                        <wps:cNvSpPr/>
                        <wps:spPr>
                          <a:xfrm>
                            <a:off x="1494163" y="2408389"/>
                            <a:ext cx="51435" cy="53340"/>
                          </a:xfrm>
                          <a:custGeom>
                            <a:avLst/>
                            <a:gdLst/>
                            <a:ahLst/>
                            <a:cxnLst/>
                            <a:rect l="l" t="t" r="r" b="b"/>
                            <a:pathLst>
                              <a:path w="51435" h="53340">
                                <a:moveTo>
                                  <a:pt x="0" y="52857"/>
                                </a:moveTo>
                                <a:lnTo>
                                  <a:pt x="50876" y="52857"/>
                                </a:lnTo>
                                <a:lnTo>
                                  <a:pt x="50876" y="0"/>
                                </a:lnTo>
                                <a:lnTo>
                                  <a:pt x="0" y="0"/>
                                </a:lnTo>
                                <a:lnTo>
                                  <a:pt x="0" y="52857"/>
                                </a:lnTo>
                                <a:close/>
                              </a:path>
                            </a:pathLst>
                          </a:custGeom>
                          <a:ln w="3175">
                            <a:solidFill>
                              <a:srgbClr val="FFFFFF"/>
                            </a:solidFill>
                            <a:prstDash val="solid"/>
                          </a:ln>
                        </wps:spPr>
                        <wps:bodyPr wrap="square" lIns="0" tIns="0" rIns="0" bIns="0" rtlCol="0">
                          <a:prstTxWarp prst="textNoShape">
                            <a:avLst/>
                          </a:prstTxWarp>
                          <a:noAutofit/>
                        </wps:bodyPr>
                      </wps:wsp>
                      <wps:wsp>
                        <wps:cNvPr id="997" name="Graphic 997"/>
                        <wps:cNvSpPr/>
                        <wps:spPr>
                          <a:xfrm>
                            <a:off x="1545038" y="2368600"/>
                            <a:ext cx="51435" cy="92710"/>
                          </a:xfrm>
                          <a:custGeom>
                            <a:avLst/>
                            <a:gdLst/>
                            <a:ahLst/>
                            <a:cxnLst/>
                            <a:rect l="l" t="t" r="r" b="b"/>
                            <a:pathLst>
                              <a:path w="51435" h="92710">
                                <a:moveTo>
                                  <a:pt x="50876" y="0"/>
                                </a:moveTo>
                                <a:lnTo>
                                  <a:pt x="0" y="0"/>
                                </a:lnTo>
                                <a:lnTo>
                                  <a:pt x="0" y="92646"/>
                                </a:lnTo>
                                <a:lnTo>
                                  <a:pt x="50876" y="92646"/>
                                </a:lnTo>
                                <a:lnTo>
                                  <a:pt x="50876" y="0"/>
                                </a:lnTo>
                                <a:close/>
                              </a:path>
                            </a:pathLst>
                          </a:custGeom>
                          <a:solidFill>
                            <a:srgbClr val="008FDD"/>
                          </a:solidFill>
                        </wps:spPr>
                        <wps:bodyPr wrap="square" lIns="0" tIns="0" rIns="0" bIns="0" rtlCol="0">
                          <a:prstTxWarp prst="textNoShape">
                            <a:avLst/>
                          </a:prstTxWarp>
                          <a:noAutofit/>
                        </wps:bodyPr>
                      </wps:wsp>
                      <wps:wsp>
                        <wps:cNvPr id="998" name="Graphic 998"/>
                        <wps:cNvSpPr/>
                        <wps:spPr>
                          <a:xfrm>
                            <a:off x="1545040" y="2368600"/>
                            <a:ext cx="51435" cy="92710"/>
                          </a:xfrm>
                          <a:custGeom>
                            <a:avLst/>
                            <a:gdLst/>
                            <a:ahLst/>
                            <a:cxnLst/>
                            <a:rect l="l" t="t" r="r" b="b"/>
                            <a:pathLst>
                              <a:path w="51435" h="92710">
                                <a:moveTo>
                                  <a:pt x="0" y="92646"/>
                                </a:moveTo>
                                <a:lnTo>
                                  <a:pt x="50876" y="92646"/>
                                </a:lnTo>
                                <a:lnTo>
                                  <a:pt x="50876" y="0"/>
                                </a:lnTo>
                                <a:lnTo>
                                  <a:pt x="0" y="0"/>
                                </a:lnTo>
                                <a:lnTo>
                                  <a:pt x="0" y="92646"/>
                                </a:lnTo>
                                <a:close/>
                              </a:path>
                            </a:pathLst>
                          </a:custGeom>
                          <a:ln w="3175">
                            <a:solidFill>
                              <a:srgbClr val="FFFFFF"/>
                            </a:solidFill>
                            <a:prstDash val="solid"/>
                          </a:ln>
                        </wps:spPr>
                        <wps:bodyPr wrap="square" lIns="0" tIns="0" rIns="0" bIns="0" rtlCol="0">
                          <a:prstTxWarp prst="textNoShape">
                            <a:avLst/>
                          </a:prstTxWarp>
                          <a:noAutofit/>
                        </wps:bodyPr>
                      </wps:wsp>
                      <wps:wsp>
                        <wps:cNvPr id="999" name="Graphic 999"/>
                        <wps:cNvSpPr/>
                        <wps:spPr>
                          <a:xfrm>
                            <a:off x="1596282" y="2397201"/>
                            <a:ext cx="51435" cy="64135"/>
                          </a:xfrm>
                          <a:custGeom>
                            <a:avLst/>
                            <a:gdLst/>
                            <a:ahLst/>
                            <a:cxnLst/>
                            <a:rect l="l" t="t" r="r" b="b"/>
                            <a:pathLst>
                              <a:path w="51435" h="64135">
                                <a:moveTo>
                                  <a:pt x="50876" y="0"/>
                                </a:moveTo>
                                <a:lnTo>
                                  <a:pt x="0" y="0"/>
                                </a:lnTo>
                                <a:lnTo>
                                  <a:pt x="0" y="64046"/>
                                </a:lnTo>
                                <a:lnTo>
                                  <a:pt x="50876" y="64046"/>
                                </a:lnTo>
                                <a:lnTo>
                                  <a:pt x="50876" y="0"/>
                                </a:lnTo>
                                <a:close/>
                              </a:path>
                            </a:pathLst>
                          </a:custGeom>
                          <a:solidFill>
                            <a:srgbClr val="008FDD"/>
                          </a:solidFill>
                        </wps:spPr>
                        <wps:bodyPr wrap="square" lIns="0" tIns="0" rIns="0" bIns="0" rtlCol="0">
                          <a:prstTxWarp prst="textNoShape">
                            <a:avLst/>
                          </a:prstTxWarp>
                          <a:noAutofit/>
                        </wps:bodyPr>
                      </wps:wsp>
                      <wps:wsp>
                        <wps:cNvPr id="1000" name="Graphic 1000"/>
                        <wps:cNvSpPr/>
                        <wps:spPr>
                          <a:xfrm>
                            <a:off x="1595913" y="2397201"/>
                            <a:ext cx="51435" cy="64135"/>
                          </a:xfrm>
                          <a:custGeom>
                            <a:avLst/>
                            <a:gdLst/>
                            <a:ahLst/>
                            <a:cxnLst/>
                            <a:rect l="l" t="t" r="r" b="b"/>
                            <a:pathLst>
                              <a:path w="51435" h="64135">
                                <a:moveTo>
                                  <a:pt x="0" y="64046"/>
                                </a:moveTo>
                                <a:lnTo>
                                  <a:pt x="51244" y="64046"/>
                                </a:lnTo>
                                <a:lnTo>
                                  <a:pt x="51244" y="0"/>
                                </a:lnTo>
                                <a:lnTo>
                                  <a:pt x="368" y="0"/>
                                </a:lnTo>
                                <a:lnTo>
                                  <a:pt x="368" y="64046"/>
                                </a:lnTo>
                                <a:lnTo>
                                  <a:pt x="0" y="64046"/>
                                </a:lnTo>
                                <a:close/>
                              </a:path>
                            </a:pathLst>
                          </a:custGeom>
                          <a:ln w="3175">
                            <a:solidFill>
                              <a:srgbClr val="FFFFFF"/>
                            </a:solidFill>
                            <a:prstDash val="solid"/>
                          </a:ln>
                        </wps:spPr>
                        <wps:bodyPr wrap="square" lIns="0" tIns="0" rIns="0" bIns="0" rtlCol="0">
                          <a:prstTxWarp prst="textNoShape">
                            <a:avLst/>
                          </a:prstTxWarp>
                          <a:noAutofit/>
                        </wps:bodyPr>
                      </wps:wsp>
                      <wps:wsp>
                        <wps:cNvPr id="1001" name="Graphic 1001"/>
                        <wps:cNvSpPr/>
                        <wps:spPr>
                          <a:xfrm>
                            <a:off x="1647159" y="2421458"/>
                            <a:ext cx="51435" cy="40005"/>
                          </a:xfrm>
                          <a:custGeom>
                            <a:avLst/>
                            <a:gdLst/>
                            <a:ahLst/>
                            <a:cxnLst/>
                            <a:rect l="l" t="t" r="r" b="b"/>
                            <a:pathLst>
                              <a:path w="51435" h="40005">
                                <a:moveTo>
                                  <a:pt x="50876" y="0"/>
                                </a:moveTo>
                                <a:lnTo>
                                  <a:pt x="0" y="0"/>
                                </a:lnTo>
                                <a:lnTo>
                                  <a:pt x="0" y="39789"/>
                                </a:lnTo>
                                <a:lnTo>
                                  <a:pt x="50876" y="39789"/>
                                </a:lnTo>
                                <a:lnTo>
                                  <a:pt x="50876" y="0"/>
                                </a:lnTo>
                                <a:close/>
                              </a:path>
                            </a:pathLst>
                          </a:custGeom>
                          <a:solidFill>
                            <a:srgbClr val="008FDD"/>
                          </a:solidFill>
                        </wps:spPr>
                        <wps:bodyPr wrap="square" lIns="0" tIns="0" rIns="0" bIns="0" rtlCol="0">
                          <a:prstTxWarp prst="textNoShape">
                            <a:avLst/>
                          </a:prstTxWarp>
                          <a:noAutofit/>
                        </wps:bodyPr>
                      </wps:wsp>
                      <wps:wsp>
                        <wps:cNvPr id="1002" name="Graphic 1002"/>
                        <wps:cNvSpPr/>
                        <wps:spPr>
                          <a:xfrm>
                            <a:off x="1647160" y="2421458"/>
                            <a:ext cx="51435" cy="40005"/>
                          </a:xfrm>
                          <a:custGeom>
                            <a:avLst/>
                            <a:gdLst/>
                            <a:ahLst/>
                            <a:cxnLst/>
                            <a:rect l="l" t="t" r="r" b="b"/>
                            <a:pathLst>
                              <a:path w="51435" h="40005">
                                <a:moveTo>
                                  <a:pt x="0" y="39789"/>
                                </a:moveTo>
                                <a:lnTo>
                                  <a:pt x="50876" y="39789"/>
                                </a:lnTo>
                                <a:lnTo>
                                  <a:pt x="50876" y="0"/>
                                </a:lnTo>
                                <a:lnTo>
                                  <a:pt x="0" y="0"/>
                                </a:lnTo>
                                <a:lnTo>
                                  <a:pt x="0" y="39789"/>
                                </a:lnTo>
                                <a:close/>
                              </a:path>
                            </a:pathLst>
                          </a:custGeom>
                          <a:ln w="3175">
                            <a:solidFill>
                              <a:srgbClr val="FFFFFF"/>
                            </a:solidFill>
                            <a:prstDash val="solid"/>
                          </a:ln>
                        </wps:spPr>
                        <wps:bodyPr wrap="square" lIns="0" tIns="0" rIns="0" bIns="0" rtlCol="0">
                          <a:prstTxWarp prst="textNoShape">
                            <a:avLst/>
                          </a:prstTxWarp>
                          <a:noAutofit/>
                        </wps:bodyPr>
                      </wps:wsp>
                      <wps:wsp>
                        <wps:cNvPr id="1003" name="Graphic 1003"/>
                        <wps:cNvSpPr/>
                        <wps:spPr>
                          <a:xfrm>
                            <a:off x="1698035" y="2421458"/>
                            <a:ext cx="51435" cy="40005"/>
                          </a:xfrm>
                          <a:custGeom>
                            <a:avLst/>
                            <a:gdLst/>
                            <a:ahLst/>
                            <a:cxnLst/>
                            <a:rect l="l" t="t" r="r" b="b"/>
                            <a:pathLst>
                              <a:path w="51435" h="40005">
                                <a:moveTo>
                                  <a:pt x="50876" y="0"/>
                                </a:moveTo>
                                <a:lnTo>
                                  <a:pt x="0" y="0"/>
                                </a:lnTo>
                                <a:lnTo>
                                  <a:pt x="0" y="39789"/>
                                </a:lnTo>
                                <a:lnTo>
                                  <a:pt x="50876" y="39789"/>
                                </a:lnTo>
                                <a:lnTo>
                                  <a:pt x="50876" y="0"/>
                                </a:lnTo>
                                <a:close/>
                              </a:path>
                            </a:pathLst>
                          </a:custGeom>
                          <a:solidFill>
                            <a:srgbClr val="008FDD"/>
                          </a:solidFill>
                        </wps:spPr>
                        <wps:bodyPr wrap="square" lIns="0" tIns="0" rIns="0" bIns="0" rtlCol="0">
                          <a:prstTxWarp prst="textNoShape">
                            <a:avLst/>
                          </a:prstTxWarp>
                          <a:noAutofit/>
                        </wps:bodyPr>
                      </wps:wsp>
                      <wps:wsp>
                        <wps:cNvPr id="1004" name="Graphic 1004"/>
                        <wps:cNvSpPr/>
                        <wps:spPr>
                          <a:xfrm>
                            <a:off x="1698037" y="2421458"/>
                            <a:ext cx="51435" cy="40005"/>
                          </a:xfrm>
                          <a:custGeom>
                            <a:avLst/>
                            <a:gdLst/>
                            <a:ahLst/>
                            <a:cxnLst/>
                            <a:rect l="l" t="t" r="r" b="b"/>
                            <a:pathLst>
                              <a:path w="51435" h="40005">
                                <a:moveTo>
                                  <a:pt x="0" y="39789"/>
                                </a:moveTo>
                                <a:lnTo>
                                  <a:pt x="50876" y="39789"/>
                                </a:lnTo>
                                <a:lnTo>
                                  <a:pt x="50876" y="0"/>
                                </a:lnTo>
                                <a:lnTo>
                                  <a:pt x="0" y="0"/>
                                </a:lnTo>
                                <a:lnTo>
                                  <a:pt x="0" y="39789"/>
                                </a:lnTo>
                                <a:close/>
                              </a:path>
                            </a:pathLst>
                          </a:custGeom>
                          <a:ln w="3175">
                            <a:solidFill>
                              <a:srgbClr val="FFFFFF"/>
                            </a:solidFill>
                            <a:prstDash val="solid"/>
                          </a:ln>
                        </wps:spPr>
                        <wps:bodyPr wrap="square" lIns="0" tIns="0" rIns="0" bIns="0" rtlCol="0">
                          <a:prstTxWarp prst="textNoShape">
                            <a:avLst/>
                          </a:prstTxWarp>
                          <a:noAutofit/>
                        </wps:bodyPr>
                      </wps:wsp>
                      <wps:wsp>
                        <wps:cNvPr id="1005" name="Graphic 1005"/>
                        <wps:cNvSpPr/>
                        <wps:spPr>
                          <a:xfrm>
                            <a:off x="1749280" y="2406535"/>
                            <a:ext cx="51435" cy="55244"/>
                          </a:xfrm>
                          <a:custGeom>
                            <a:avLst/>
                            <a:gdLst/>
                            <a:ahLst/>
                            <a:cxnLst/>
                            <a:rect l="l" t="t" r="r" b="b"/>
                            <a:pathLst>
                              <a:path w="51435" h="55244">
                                <a:moveTo>
                                  <a:pt x="50876" y="0"/>
                                </a:moveTo>
                                <a:lnTo>
                                  <a:pt x="0" y="0"/>
                                </a:lnTo>
                                <a:lnTo>
                                  <a:pt x="0" y="54711"/>
                                </a:lnTo>
                                <a:lnTo>
                                  <a:pt x="50876" y="54711"/>
                                </a:lnTo>
                                <a:lnTo>
                                  <a:pt x="50876" y="0"/>
                                </a:lnTo>
                                <a:close/>
                              </a:path>
                            </a:pathLst>
                          </a:custGeom>
                          <a:solidFill>
                            <a:srgbClr val="008FDD"/>
                          </a:solidFill>
                        </wps:spPr>
                        <wps:bodyPr wrap="square" lIns="0" tIns="0" rIns="0" bIns="0" rtlCol="0">
                          <a:prstTxWarp prst="textNoShape">
                            <a:avLst/>
                          </a:prstTxWarp>
                          <a:noAutofit/>
                        </wps:bodyPr>
                      </wps:wsp>
                      <wps:wsp>
                        <wps:cNvPr id="1006" name="Graphic 1006"/>
                        <wps:cNvSpPr/>
                        <wps:spPr>
                          <a:xfrm>
                            <a:off x="1749281" y="2406535"/>
                            <a:ext cx="51435" cy="55244"/>
                          </a:xfrm>
                          <a:custGeom>
                            <a:avLst/>
                            <a:gdLst/>
                            <a:ahLst/>
                            <a:cxnLst/>
                            <a:rect l="l" t="t" r="r" b="b"/>
                            <a:pathLst>
                              <a:path w="51435" h="55244">
                                <a:moveTo>
                                  <a:pt x="0" y="54711"/>
                                </a:moveTo>
                                <a:lnTo>
                                  <a:pt x="50876" y="54711"/>
                                </a:lnTo>
                                <a:lnTo>
                                  <a:pt x="50876" y="0"/>
                                </a:lnTo>
                                <a:lnTo>
                                  <a:pt x="0" y="0"/>
                                </a:lnTo>
                                <a:lnTo>
                                  <a:pt x="0" y="54711"/>
                                </a:lnTo>
                                <a:close/>
                              </a:path>
                            </a:pathLst>
                          </a:custGeom>
                          <a:ln w="3175">
                            <a:solidFill>
                              <a:srgbClr val="FFFFFF"/>
                            </a:solidFill>
                            <a:prstDash val="solid"/>
                          </a:ln>
                        </wps:spPr>
                        <wps:bodyPr wrap="square" lIns="0" tIns="0" rIns="0" bIns="0" rtlCol="0">
                          <a:prstTxWarp prst="textNoShape">
                            <a:avLst/>
                          </a:prstTxWarp>
                          <a:noAutofit/>
                        </wps:bodyPr>
                      </wps:wsp>
                      <wps:wsp>
                        <wps:cNvPr id="1007" name="Graphic 1007"/>
                        <wps:cNvSpPr/>
                        <wps:spPr>
                          <a:xfrm>
                            <a:off x="1800156" y="2422690"/>
                            <a:ext cx="51435" cy="38735"/>
                          </a:xfrm>
                          <a:custGeom>
                            <a:avLst/>
                            <a:gdLst/>
                            <a:ahLst/>
                            <a:cxnLst/>
                            <a:rect l="l" t="t" r="r" b="b"/>
                            <a:pathLst>
                              <a:path w="51435" h="38735">
                                <a:moveTo>
                                  <a:pt x="50876" y="0"/>
                                </a:moveTo>
                                <a:lnTo>
                                  <a:pt x="0" y="0"/>
                                </a:lnTo>
                                <a:lnTo>
                                  <a:pt x="0" y="38557"/>
                                </a:lnTo>
                                <a:lnTo>
                                  <a:pt x="50876" y="38557"/>
                                </a:lnTo>
                                <a:lnTo>
                                  <a:pt x="50876" y="0"/>
                                </a:lnTo>
                                <a:close/>
                              </a:path>
                            </a:pathLst>
                          </a:custGeom>
                          <a:solidFill>
                            <a:srgbClr val="008FDD"/>
                          </a:solidFill>
                        </wps:spPr>
                        <wps:bodyPr wrap="square" lIns="0" tIns="0" rIns="0" bIns="0" rtlCol="0">
                          <a:prstTxWarp prst="textNoShape">
                            <a:avLst/>
                          </a:prstTxWarp>
                          <a:noAutofit/>
                        </wps:bodyPr>
                      </wps:wsp>
                      <wps:wsp>
                        <wps:cNvPr id="1008" name="Graphic 1008"/>
                        <wps:cNvSpPr/>
                        <wps:spPr>
                          <a:xfrm>
                            <a:off x="1800157" y="2422690"/>
                            <a:ext cx="51435" cy="38735"/>
                          </a:xfrm>
                          <a:custGeom>
                            <a:avLst/>
                            <a:gdLst/>
                            <a:ahLst/>
                            <a:cxnLst/>
                            <a:rect l="l" t="t" r="r" b="b"/>
                            <a:pathLst>
                              <a:path w="51435" h="38735">
                                <a:moveTo>
                                  <a:pt x="0" y="38557"/>
                                </a:moveTo>
                                <a:lnTo>
                                  <a:pt x="50876" y="38557"/>
                                </a:lnTo>
                                <a:lnTo>
                                  <a:pt x="50876" y="0"/>
                                </a:lnTo>
                                <a:lnTo>
                                  <a:pt x="0" y="0"/>
                                </a:lnTo>
                                <a:lnTo>
                                  <a:pt x="0" y="38557"/>
                                </a:lnTo>
                                <a:close/>
                              </a:path>
                            </a:pathLst>
                          </a:custGeom>
                          <a:ln w="3175">
                            <a:solidFill>
                              <a:srgbClr val="FFFFFF"/>
                            </a:solidFill>
                            <a:prstDash val="solid"/>
                          </a:ln>
                        </wps:spPr>
                        <wps:bodyPr wrap="square" lIns="0" tIns="0" rIns="0" bIns="0" rtlCol="0">
                          <a:prstTxWarp prst="textNoShape">
                            <a:avLst/>
                          </a:prstTxWarp>
                          <a:noAutofit/>
                        </wps:bodyPr>
                      </wps:wsp>
                      <wps:wsp>
                        <wps:cNvPr id="1009" name="Graphic 1009"/>
                        <wps:cNvSpPr/>
                        <wps:spPr>
                          <a:xfrm>
                            <a:off x="1851032" y="2410256"/>
                            <a:ext cx="51435" cy="51435"/>
                          </a:xfrm>
                          <a:custGeom>
                            <a:avLst/>
                            <a:gdLst/>
                            <a:ahLst/>
                            <a:cxnLst/>
                            <a:rect l="l" t="t" r="r" b="b"/>
                            <a:pathLst>
                              <a:path w="51435" h="51435">
                                <a:moveTo>
                                  <a:pt x="50876" y="0"/>
                                </a:moveTo>
                                <a:lnTo>
                                  <a:pt x="0" y="0"/>
                                </a:lnTo>
                                <a:lnTo>
                                  <a:pt x="0" y="50990"/>
                                </a:lnTo>
                                <a:lnTo>
                                  <a:pt x="50876" y="50990"/>
                                </a:lnTo>
                                <a:lnTo>
                                  <a:pt x="50876" y="0"/>
                                </a:lnTo>
                                <a:close/>
                              </a:path>
                            </a:pathLst>
                          </a:custGeom>
                          <a:solidFill>
                            <a:srgbClr val="008FDD"/>
                          </a:solidFill>
                        </wps:spPr>
                        <wps:bodyPr wrap="square" lIns="0" tIns="0" rIns="0" bIns="0" rtlCol="0">
                          <a:prstTxWarp prst="textNoShape">
                            <a:avLst/>
                          </a:prstTxWarp>
                          <a:noAutofit/>
                        </wps:bodyPr>
                      </wps:wsp>
                      <wps:wsp>
                        <wps:cNvPr id="1010" name="Graphic 1010"/>
                        <wps:cNvSpPr/>
                        <wps:spPr>
                          <a:xfrm>
                            <a:off x="1851033" y="2410256"/>
                            <a:ext cx="51435" cy="51435"/>
                          </a:xfrm>
                          <a:custGeom>
                            <a:avLst/>
                            <a:gdLst/>
                            <a:ahLst/>
                            <a:cxnLst/>
                            <a:rect l="l" t="t" r="r" b="b"/>
                            <a:pathLst>
                              <a:path w="51435" h="51435">
                                <a:moveTo>
                                  <a:pt x="0" y="50990"/>
                                </a:moveTo>
                                <a:lnTo>
                                  <a:pt x="50876" y="50990"/>
                                </a:lnTo>
                                <a:lnTo>
                                  <a:pt x="50876" y="0"/>
                                </a:lnTo>
                                <a:lnTo>
                                  <a:pt x="0" y="0"/>
                                </a:lnTo>
                                <a:lnTo>
                                  <a:pt x="0" y="50990"/>
                                </a:lnTo>
                                <a:close/>
                              </a:path>
                            </a:pathLst>
                          </a:custGeom>
                          <a:ln w="3175">
                            <a:solidFill>
                              <a:srgbClr val="FFFFFF"/>
                            </a:solidFill>
                            <a:prstDash val="solid"/>
                          </a:ln>
                        </wps:spPr>
                        <wps:bodyPr wrap="square" lIns="0" tIns="0" rIns="0" bIns="0" rtlCol="0">
                          <a:prstTxWarp prst="textNoShape">
                            <a:avLst/>
                          </a:prstTxWarp>
                          <a:noAutofit/>
                        </wps:bodyPr>
                      </wps:wsp>
                      <wps:wsp>
                        <wps:cNvPr id="1011" name="Graphic 1011"/>
                        <wps:cNvSpPr/>
                        <wps:spPr>
                          <a:xfrm>
                            <a:off x="1902277" y="2432024"/>
                            <a:ext cx="51435" cy="29845"/>
                          </a:xfrm>
                          <a:custGeom>
                            <a:avLst/>
                            <a:gdLst/>
                            <a:ahLst/>
                            <a:cxnLst/>
                            <a:rect l="l" t="t" r="r" b="b"/>
                            <a:pathLst>
                              <a:path w="51435" h="29845">
                                <a:moveTo>
                                  <a:pt x="50876" y="0"/>
                                </a:moveTo>
                                <a:lnTo>
                                  <a:pt x="0" y="0"/>
                                </a:lnTo>
                                <a:lnTo>
                                  <a:pt x="0" y="29222"/>
                                </a:lnTo>
                                <a:lnTo>
                                  <a:pt x="50876" y="29222"/>
                                </a:lnTo>
                                <a:lnTo>
                                  <a:pt x="50876" y="0"/>
                                </a:lnTo>
                                <a:close/>
                              </a:path>
                            </a:pathLst>
                          </a:custGeom>
                          <a:solidFill>
                            <a:srgbClr val="008FDD"/>
                          </a:solidFill>
                        </wps:spPr>
                        <wps:bodyPr wrap="square" lIns="0" tIns="0" rIns="0" bIns="0" rtlCol="0">
                          <a:prstTxWarp prst="textNoShape">
                            <a:avLst/>
                          </a:prstTxWarp>
                          <a:noAutofit/>
                        </wps:bodyPr>
                      </wps:wsp>
                      <wps:wsp>
                        <wps:cNvPr id="1012" name="Graphic 1012"/>
                        <wps:cNvSpPr/>
                        <wps:spPr>
                          <a:xfrm>
                            <a:off x="1902278" y="2432024"/>
                            <a:ext cx="51435" cy="29845"/>
                          </a:xfrm>
                          <a:custGeom>
                            <a:avLst/>
                            <a:gdLst/>
                            <a:ahLst/>
                            <a:cxnLst/>
                            <a:rect l="l" t="t" r="r" b="b"/>
                            <a:pathLst>
                              <a:path w="51435" h="29845">
                                <a:moveTo>
                                  <a:pt x="0" y="29222"/>
                                </a:moveTo>
                                <a:lnTo>
                                  <a:pt x="50876" y="29222"/>
                                </a:lnTo>
                                <a:lnTo>
                                  <a:pt x="50876" y="0"/>
                                </a:lnTo>
                                <a:lnTo>
                                  <a:pt x="0" y="0"/>
                                </a:lnTo>
                                <a:lnTo>
                                  <a:pt x="0" y="29222"/>
                                </a:lnTo>
                                <a:close/>
                              </a:path>
                            </a:pathLst>
                          </a:custGeom>
                          <a:ln w="3175">
                            <a:solidFill>
                              <a:srgbClr val="FFFFFF"/>
                            </a:solidFill>
                            <a:prstDash val="solid"/>
                          </a:ln>
                        </wps:spPr>
                        <wps:bodyPr wrap="square" lIns="0" tIns="0" rIns="0" bIns="0" rtlCol="0">
                          <a:prstTxWarp prst="textNoShape">
                            <a:avLst/>
                          </a:prstTxWarp>
                          <a:noAutofit/>
                        </wps:bodyPr>
                      </wps:wsp>
                      <wps:wsp>
                        <wps:cNvPr id="1013" name="Graphic 1013"/>
                        <wps:cNvSpPr/>
                        <wps:spPr>
                          <a:xfrm>
                            <a:off x="1953153" y="2422690"/>
                            <a:ext cx="51435" cy="38735"/>
                          </a:xfrm>
                          <a:custGeom>
                            <a:avLst/>
                            <a:gdLst/>
                            <a:ahLst/>
                            <a:cxnLst/>
                            <a:rect l="l" t="t" r="r" b="b"/>
                            <a:pathLst>
                              <a:path w="51435" h="38735">
                                <a:moveTo>
                                  <a:pt x="50876" y="0"/>
                                </a:moveTo>
                                <a:lnTo>
                                  <a:pt x="0" y="0"/>
                                </a:lnTo>
                                <a:lnTo>
                                  <a:pt x="0" y="38557"/>
                                </a:lnTo>
                                <a:lnTo>
                                  <a:pt x="50876" y="38557"/>
                                </a:lnTo>
                                <a:lnTo>
                                  <a:pt x="50876" y="0"/>
                                </a:lnTo>
                                <a:close/>
                              </a:path>
                            </a:pathLst>
                          </a:custGeom>
                          <a:solidFill>
                            <a:srgbClr val="008FDD"/>
                          </a:solidFill>
                        </wps:spPr>
                        <wps:bodyPr wrap="square" lIns="0" tIns="0" rIns="0" bIns="0" rtlCol="0">
                          <a:prstTxWarp prst="textNoShape">
                            <a:avLst/>
                          </a:prstTxWarp>
                          <a:noAutofit/>
                        </wps:bodyPr>
                      </wps:wsp>
                      <wps:wsp>
                        <wps:cNvPr id="1014" name="Graphic 1014"/>
                        <wps:cNvSpPr/>
                        <wps:spPr>
                          <a:xfrm>
                            <a:off x="1953154" y="2422690"/>
                            <a:ext cx="51435" cy="38735"/>
                          </a:xfrm>
                          <a:custGeom>
                            <a:avLst/>
                            <a:gdLst/>
                            <a:ahLst/>
                            <a:cxnLst/>
                            <a:rect l="l" t="t" r="r" b="b"/>
                            <a:pathLst>
                              <a:path w="51435" h="38735">
                                <a:moveTo>
                                  <a:pt x="0" y="38557"/>
                                </a:moveTo>
                                <a:lnTo>
                                  <a:pt x="50876" y="38557"/>
                                </a:lnTo>
                                <a:lnTo>
                                  <a:pt x="50876" y="0"/>
                                </a:lnTo>
                                <a:lnTo>
                                  <a:pt x="0" y="0"/>
                                </a:lnTo>
                                <a:lnTo>
                                  <a:pt x="0" y="38557"/>
                                </a:lnTo>
                                <a:close/>
                              </a:path>
                            </a:pathLst>
                          </a:custGeom>
                          <a:ln w="3175">
                            <a:solidFill>
                              <a:srgbClr val="FFFFFF"/>
                            </a:solidFill>
                            <a:prstDash val="solid"/>
                          </a:ln>
                        </wps:spPr>
                        <wps:bodyPr wrap="square" lIns="0" tIns="0" rIns="0" bIns="0" rtlCol="0">
                          <a:prstTxWarp prst="textNoShape">
                            <a:avLst/>
                          </a:prstTxWarp>
                          <a:noAutofit/>
                        </wps:bodyPr>
                      </wps:wsp>
                      <wps:wsp>
                        <wps:cNvPr id="1015" name="Graphic 1015"/>
                        <wps:cNvSpPr/>
                        <wps:spPr>
                          <a:xfrm>
                            <a:off x="2004029" y="2441346"/>
                            <a:ext cx="51435" cy="20320"/>
                          </a:xfrm>
                          <a:custGeom>
                            <a:avLst/>
                            <a:gdLst/>
                            <a:ahLst/>
                            <a:cxnLst/>
                            <a:rect l="l" t="t" r="r" b="b"/>
                            <a:pathLst>
                              <a:path w="51435" h="20320">
                                <a:moveTo>
                                  <a:pt x="50876" y="0"/>
                                </a:moveTo>
                                <a:lnTo>
                                  <a:pt x="0" y="0"/>
                                </a:lnTo>
                                <a:lnTo>
                                  <a:pt x="0" y="19900"/>
                                </a:lnTo>
                                <a:lnTo>
                                  <a:pt x="50876" y="19900"/>
                                </a:lnTo>
                                <a:lnTo>
                                  <a:pt x="50876" y="0"/>
                                </a:lnTo>
                                <a:close/>
                              </a:path>
                            </a:pathLst>
                          </a:custGeom>
                          <a:solidFill>
                            <a:srgbClr val="008FDD"/>
                          </a:solidFill>
                        </wps:spPr>
                        <wps:bodyPr wrap="square" lIns="0" tIns="0" rIns="0" bIns="0" rtlCol="0">
                          <a:prstTxWarp prst="textNoShape">
                            <a:avLst/>
                          </a:prstTxWarp>
                          <a:noAutofit/>
                        </wps:bodyPr>
                      </wps:wsp>
                      <wps:wsp>
                        <wps:cNvPr id="1016" name="Graphic 1016"/>
                        <wps:cNvSpPr/>
                        <wps:spPr>
                          <a:xfrm>
                            <a:off x="2004030" y="2441346"/>
                            <a:ext cx="51435" cy="20320"/>
                          </a:xfrm>
                          <a:custGeom>
                            <a:avLst/>
                            <a:gdLst/>
                            <a:ahLst/>
                            <a:cxnLst/>
                            <a:rect l="l" t="t" r="r" b="b"/>
                            <a:pathLst>
                              <a:path w="51435" h="20320">
                                <a:moveTo>
                                  <a:pt x="0" y="19900"/>
                                </a:moveTo>
                                <a:lnTo>
                                  <a:pt x="50876" y="19900"/>
                                </a:lnTo>
                                <a:lnTo>
                                  <a:pt x="50876" y="0"/>
                                </a:lnTo>
                                <a:lnTo>
                                  <a:pt x="0" y="0"/>
                                </a:lnTo>
                                <a:lnTo>
                                  <a:pt x="0" y="19900"/>
                                </a:lnTo>
                                <a:close/>
                              </a:path>
                            </a:pathLst>
                          </a:custGeom>
                          <a:ln w="3175">
                            <a:solidFill>
                              <a:srgbClr val="FFFFFF"/>
                            </a:solidFill>
                            <a:prstDash val="solid"/>
                          </a:ln>
                        </wps:spPr>
                        <wps:bodyPr wrap="square" lIns="0" tIns="0" rIns="0" bIns="0" rtlCol="0">
                          <a:prstTxWarp prst="textNoShape">
                            <a:avLst/>
                          </a:prstTxWarp>
                          <a:noAutofit/>
                        </wps:bodyPr>
                      </wps:wsp>
                      <wps:wsp>
                        <wps:cNvPr id="1017" name="Graphic 1017"/>
                        <wps:cNvSpPr/>
                        <wps:spPr>
                          <a:xfrm>
                            <a:off x="2055273" y="2432024"/>
                            <a:ext cx="51435" cy="29845"/>
                          </a:xfrm>
                          <a:custGeom>
                            <a:avLst/>
                            <a:gdLst/>
                            <a:ahLst/>
                            <a:cxnLst/>
                            <a:rect l="l" t="t" r="r" b="b"/>
                            <a:pathLst>
                              <a:path w="51435" h="29845">
                                <a:moveTo>
                                  <a:pt x="50876" y="0"/>
                                </a:moveTo>
                                <a:lnTo>
                                  <a:pt x="0" y="0"/>
                                </a:lnTo>
                                <a:lnTo>
                                  <a:pt x="0" y="29222"/>
                                </a:lnTo>
                                <a:lnTo>
                                  <a:pt x="50876" y="29222"/>
                                </a:lnTo>
                                <a:lnTo>
                                  <a:pt x="50876" y="0"/>
                                </a:lnTo>
                                <a:close/>
                              </a:path>
                            </a:pathLst>
                          </a:custGeom>
                          <a:solidFill>
                            <a:srgbClr val="008FDD"/>
                          </a:solidFill>
                        </wps:spPr>
                        <wps:bodyPr wrap="square" lIns="0" tIns="0" rIns="0" bIns="0" rtlCol="0">
                          <a:prstTxWarp prst="textNoShape">
                            <a:avLst/>
                          </a:prstTxWarp>
                          <a:noAutofit/>
                        </wps:bodyPr>
                      </wps:wsp>
                      <wps:wsp>
                        <wps:cNvPr id="1018" name="Graphic 1018"/>
                        <wps:cNvSpPr/>
                        <wps:spPr>
                          <a:xfrm>
                            <a:off x="2055275" y="2432024"/>
                            <a:ext cx="51435" cy="29845"/>
                          </a:xfrm>
                          <a:custGeom>
                            <a:avLst/>
                            <a:gdLst/>
                            <a:ahLst/>
                            <a:cxnLst/>
                            <a:rect l="l" t="t" r="r" b="b"/>
                            <a:pathLst>
                              <a:path w="51435" h="29845">
                                <a:moveTo>
                                  <a:pt x="0" y="29222"/>
                                </a:moveTo>
                                <a:lnTo>
                                  <a:pt x="50876" y="29222"/>
                                </a:lnTo>
                                <a:lnTo>
                                  <a:pt x="50876" y="0"/>
                                </a:lnTo>
                                <a:lnTo>
                                  <a:pt x="0" y="0"/>
                                </a:lnTo>
                                <a:lnTo>
                                  <a:pt x="0" y="29222"/>
                                </a:lnTo>
                                <a:close/>
                              </a:path>
                            </a:pathLst>
                          </a:custGeom>
                          <a:ln w="3175">
                            <a:solidFill>
                              <a:srgbClr val="FFFFFF"/>
                            </a:solidFill>
                            <a:prstDash val="solid"/>
                          </a:ln>
                        </wps:spPr>
                        <wps:bodyPr wrap="square" lIns="0" tIns="0" rIns="0" bIns="0" rtlCol="0">
                          <a:prstTxWarp prst="textNoShape">
                            <a:avLst/>
                          </a:prstTxWarp>
                          <a:noAutofit/>
                        </wps:bodyPr>
                      </wps:wsp>
                      <wps:wsp>
                        <wps:cNvPr id="1019" name="Graphic 1019"/>
                        <wps:cNvSpPr/>
                        <wps:spPr>
                          <a:xfrm>
                            <a:off x="2106162" y="2451925"/>
                            <a:ext cx="51435" cy="9525"/>
                          </a:xfrm>
                          <a:custGeom>
                            <a:avLst/>
                            <a:gdLst/>
                            <a:ahLst/>
                            <a:cxnLst/>
                            <a:rect l="l" t="t" r="r" b="b"/>
                            <a:pathLst>
                              <a:path w="51435" h="9525">
                                <a:moveTo>
                                  <a:pt x="50876" y="0"/>
                                </a:moveTo>
                                <a:lnTo>
                                  <a:pt x="0" y="0"/>
                                </a:lnTo>
                                <a:lnTo>
                                  <a:pt x="0" y="9321"/>
                                </a:lnTo>
                                <a:lnTo>
                                  <a:pt x="50876" y="9321"/>
                                </a:lnTo>
                                <a:lnTo>
                                  <a:pt x="50876" y="0"/>
                                </a:lnTo>
                                <a:close/>
                              </a:path>
                            </a:pathLst>
                          </a:custGeom>
                          <a:solidFill>
                            <a:srgbClr val="008FDD"/>
                          </a:solidFill>
                        </wps:spPr>
                        <wps:bodyPr wrap="square" lIns="0" tIns="0" rIns="0" bIns="0" rtlCol="0">
                          <a:prstTxWarp prst="textNoShape">
                            <a:avLst/>
                          </a:prstTxWarp>
                          <a:noAutofit/>
                        </wps:bodyPr>
                      </wps:wsp>
                      <wps:wsp>
                        <wps:cNvPr id="1020" name="Graphic 1020"/>
                        <wps:cNvSpPr/>
                        <wps:spPr>
                          <a:xfrm>
                            <a:off x="2106151" y="2451925"/>
                            <a:ext cx="51435" cy="9525"/>
                          </a:xfrm>
                          <a:custGeom>
                            <a:avLst/>
                            <a:gdLst/>
                            <a:ahLst/>
                            <a:cxnLst/>
                            <a:rect l="l" t="t" r="r" b="b"/>
                            <a:pathLst>
                              <a:path w="51435" h="9525">
                                <a:moveTo>
                                  <a:pt x="0" y="9321"/>
                                </a:moveTo>
                                <a:lnTo>
                                  <a:pt x="50876" y="9321"/>
                                </a:lnTo>
                                <a:lnTo>
                                  <a:pt x="50876" y="0"/>
                                </a:lnTo>
                                <a:lnTo>
                                  <a:pt x="0" y="0"/>
                                </a:lnTo>
                                <a:lnTo>
                                  <a:pt x="0" y="9321"/>
                                </a:lnTo>
                                <a:close/>
                              </a:path>
                            </a:pathLst>
                          </a:custGeom>
                          <a:ln w="3175">
                            <a:solidFill>
                              <a:srgbClr val="FFFFFF"/>
                            </a:solidFill>
                            <a:prstDash val="solid"/>
                          </a:ln>
                        </wps:spPr>
                        <wps:bodyPr wrap="square" lIns="0" tIns="0" rIns="0" bIns="0" rtlCol="0">
                          <a:prstTxWarp prst="textNoShape">
                            <a:avLst/>
                          </a:prstTxWarp>
                          <a:noAutofit/>
                        </wps:bodyPr>
                      </wps:wsp>
                      <wps:wsp>
                        <wps:cNvPr id="1021" name="Graphic 1021"/>
                        <wps:cNvSpPr/>
                        <wps:spPr>
                          <a:xfrm>
                            <a:off x="2157394" y="2451925"/>
                            <a:ext cx="51435" cy="9525"/>
                          </a:xfrm>
                          <a:custGeom>
                            <a:avLst/>
                            <a:gdLst/>
                            <a:ahLst/>
                            <a:cxnLst/>
                            <a:rect l="l" t="t" r="r" b="b"/>
                            <a:pathLst>
                              <a:path w="51435" h="9525">
                                <a:moveTo>
                                  <a:pt x="50876" y="0"/>
                                </a:moveTo>
                                <a:lnTo>
                                  <a:pt x="0" y="0"/>
                                </a:lnTo>
                                <a:lnTo>
                                  <a:pt x="0" y="9321"/>
                                </a:lnTo>
                                <a:lnTo>
                                  <a:pt x="50876" y="9321"/>
                                </a:lnTo>
                                <a:lnTo>
                                  <a:pt x="50876" y="0"/>
                                </a:lnTo>
                                <a:close/>
                              </a:path>
                            </a:pathLst>
                          </a:custGeom>
                          <a:solidFill>
                            <a:srgbClr val="008FDD"/>
                          </a:solidFill>
                        </wps:spPr>
                        <wps:bodyPr wrap="square" lIns="0" tIns="0" rIns="0" bIns="0" rtlCol="0">
                          <a:prstTxWarp prst="textNoShape">
                            <a:avLst/>
                          </a:prstTxWarp>
                          <a:noAutofit/>
                        </wps:bodyPr>
                      </wps:wsp>
                      <wps:wsp>
                        <wps:cNvPr id="1022" name="Graphic 1022"/>
                        <wps:cNvSpPr/>
                        <wps:spPr>
                          <a:xfrm>
                            <a:off x="2157396" y="2451925"/>
                            <a:ext cx="51435" cy="9525"/>
                          </a:xfrm>
                          <a:custGeom>
                            <a:avLst/>
                            <a:gdLst/>
                            <a:ahLst/>
                            <a:cxnLst/>
                            <a:rect l="l" t="t" r="r" b="b"/>
                            <a:pathLst>
                              <a:path w="51435" h="9525">
                                <a:moveTo>
                                  <a:pt x="0" y="9321"/>
                                </a:moveTo>
                                <a:lnTo>
                                  <a:pt x="50876" y="9321"/>
                                </a:lnTo>
                                <a:lnTo>
                                  <a:pt x="50876" y="0"/>
                                </a:lnTo>
                                <a:lnTo>
                                  <a:pt x="0" y="0"/>
                                </a:lnTo>
                                <a:lnTo>
                                  <a:pt x="0" y="9321"/>
                                </a:lnTo>
                                <a:close/>
                              </a:path>
                            </a:pathLst>
                          </a:custGeom>
                          <a:ln w="3175">
                            <a:solidFill>
                              <a:srgbClr val="FFFFFF"/>
                            </a:solidFill>
                            <a:prstDash val="solid"/>
                          </a:ln>
                        </wps:spPr>
                        <wps:bodyPr wrap="square" lIns="0" tIns="0" rIns="0" bIns="0" rtlCol="0">
                          <a:prstTxWarp prst="textNoShape">
                            <a:avLst/>
                          </a:prstTxWarp>
                          <a:noAutofit/>
                        </wps:bodyPr>
                      </wps:wsp>
                      <wps:wsp>
                        <wps:cNvPr id="1023" name="Graphic 1023"/>
                        <wps:cNvSpPr/>
                        <wps:spPr>
                          <a:xfrm>
                            <a:off x="2208270" y="2441346"/>
                            <a:ext cx="51435" cy="20320"/>
                          </a:xfrm>
                          <a:custGeom>
                            <a:avLst/>
                            <a:gdLst/>
                            <a:ahLst/>
                            <a:cxnLst/>
                            <a:rect l="l" t="t" r="r" b="b"/>
                            <a:pathLst>
                              <a:path w="51435" h="20320">
                                <a:moveTo>
                                  <a:pt x="50876" y="0"/>
                                </a:moveTo>
                                <a:lnTo>
                                  <a:pt x="0" y="0"/>
                                </a:lnTo>
                                <a:lnTo>
                                  <a:pt x="0" y="19900"/>
                                </a:lnTo>
                                <a:lnTo>
                                  <a:pt x="50876" y="19900"/>
                                </a:lnTo>
                                <a:lnTo>
                                  <a:pt x="50876" y="0"/>
                                </a:lnTo>
                                <a:close/>
                              </a:path>
                            </a:pathLst>
                          </a:custGeom>
                          <a:solidFill>
                            <a:srgbClr val="008FDD"/>
                          </a:solidFill>
                        </wps:spPr>
                        <wps:bodyPr wrap="square" lIns="0" tIns="0" rIns="0" bIns="0" rtlCol="0">
                          <a:prstTxWarp prst="textNoShape">
                            <a:avLst/>
                          </a:prstTxWarp>
                          <a:noAutofit/>
                        </wps:bodyPr>
                      </wps:wsp>
                      <wps:wsp>
                        <wps:cNvPr id="1024" name="Graphic 1024"/>
                        <wps:cNvSpPr/>
                        <wps:spPr>
                          <a:xfrm>
                            <a:off x="2208272" y="2441346"/>
                            <a:ext cx="51435" cy="20320"/>
                          </a:xfrm>
                          <a:custGeom>
                            <a:avLst/>
                            <a:gdLst/>
                            <a:ahLst/>
                            <a:cxnLst/>
                            <a:rect l="l" t="t" r="r" b="b"/>
                            <a:pathLst>
                              <a:path w="51435" h="20320">
                                <a:moveTo>
                                  <a:pt x="0" y="19900"/>
                                </a:moveTo>
                                <a:lnTo>
                                  <a:pt x="50876" y="19900"/>
                                </a:lnTo>
                                <a:lnTo>
                                  <a:pt x="50876" y="0"/>
                                </a:lnTo>
                                <a:lnTo>
                                  <a:pt x="0" y="0"/>
                                </a:lnTo>
                                <a:lnTo>
                                  <a:pt x="0" y="19900"/>
                                </a:lnTo>
                                <a:close/>
                              </a:path>
                            </a:pathLst>
                          </a:custGeom>
                          <a:ln w="3175">
                            <a:solidFill>
                              <a:srgbClr val="FFFFFF"/>
                            </a:solidFill>
                            <a:prstDash val="solid"/>
                          </a:ln>
                        </wps:spPr>
                        <wps:bodyPr wrap="square" lIns="0" tIns="0" rIns="0" bIns="0" rtlCol="0">
                          <a:prstTxWarp prst="textNoShape">
                            <a:avLst/>
                          </a:prstTxWarp>
                          <a:noAutofit/>
                        </wps:bodyPr>
                      </wps:wsp>
                      <wps:wsp>
                        <wps:cNvPr id="1025" name="Graphic 1025"/>
                        <wps:cNvSpPr/>
                        <wps:spPr>
                          <a:xfrm>
                            <a:off x="2259147" y="2433891"/>
                            <a:ext cx="51435" cy="27940"/>
                          </a:xfrm>
                          <a:custGeom>
                            <a:avLst/>
                            <a:gdLst/>
                            <a:ahLst/>
                            <a:cxnLst/>
                            <a:rect l="l" t="t" r="r" b="b"/>
                            <a:pathLst>
                              <a:path w="51435" h="27940">
                                <a:moveTo>
                                  <a:pt x="50876" y="0"/>
                                </a:moveTo>
                                <a:lnTo>
                                  <a:pt x="0" y="0"/>
                                </a:lnTo>
                                <a:lnTo>
                                  <a:pt x="0" y="27355"/>
                                </a:lnTo>
                                <a:lnTo>
                                  <a:pt x="50876" y="27355"/>
                                </a:lnTo>
                                <a:lnTo>
                                  <a:pt x="50876" y="0"/>
                                </a:lnTo>
                                <a:close/>
                              </a:path>
                            </a:pathLst>
                          </a:custGeom>
                          <a:solidFill>
                            <a:srgbClr val="008FDD"/>
                          </a:solidFill>
                        </wps:spPr>
                        <wps:bodyPr wrap="square" lIns="0" tIns="0" rIns="0" bIns="0" rtlCol="0">
                          <a:prstTxWarp prst="textNoShape">
                            <a:avLst/>
                          </a:prstTxWarp>
                          <a:noAutofit/>
                        </wps:bodyPr>
                      </wps:wsp>
                      <wps:wsp>
                        <wps:cNvPr id="1026" name="Graphic 1026"/>
                        <wps:cNvSpPr/>
                        <wps:spPr>
                          <a:xfrm>
                            <a:off x="2259148" y="2433891"/>
                            <a:ext cx="51435" cy="27940"/>
                          </a:xfrm>
                          <a:custGeom>
                            <a:avLst/>
                            <a:gdLst/>
                            <a:ahLst/>
                            <a:cxnLst/>
                            <a:rect l="l" t="t" r="r" b="b"/>
                            <a:pathLst>
                              <a:path w="51435" h="27940">
                                <a:moveTo>
                                  <a:pt x="0" y="27355"/>
                                </a:moveTo>
                                <a:lnTo>
                                  <a:pt x="50876" y="27355"/>
                                </a:lnTo>
                                <a:lnTo>
                                  <a:pt x="50876" y="0"/>
                                </a:lnTo>
                                <a:lnTo>
                                  <a:pt x="0" y="0"/>
                                </a:lnTo>
                                <a:lnTo>
                                  <a:pt x="0" y="27355"/>
                                </a:lnTo>
                                <a:close/>
                              </a:path>
                            </a:pathLst>
                          </a:custGeom>
                          <a:ln w="3175">
                            <a:solidFill>
                              <a:srgbClr val="FFFFFF"/>
                            </a:solidFill>
                            <a:prstDash val="solid"/>
                          </a:ln>
                        </wps:spPr>
                        <wps:bodyPr wrap="square" lIns="0" tIns="0" rIns="0" bIns="0" rtlCol="0">
                          <a:prstTxWarp prst="textNoShape">
                            <a:avLst/>
                          </a:prstTxWarp>
                          <a:noAutofit/>
                        </wps:bodyPr>
                      </wps:wsp>
                      <wps:wsp>
                        <wps:cNvPr id="1027" name="Graphic 1027"/>
                        <wps:cNvSpPr/>
                        <wps:spPr>
                          <a:xfrm>
                            <a:off x="673865" y="640039"/>
                            <a:ext cx="1270" cy="1821180"/>
                          </a:xfrm>
                          <a:custGeom>
                            <a:avLst/>
                            <a:gdLst/>
                            <a:ahLst/>
                            <a:cxnLst/>
                            <a:rect l="l" t="t" r="r" b="b"/>
                            <a:pathLst>
                              <a:path w="0" h="1821180">
                                <a:moveTo>
                                  <a:pt x="0" y="1820684"/>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1028" name="Graphic 1028"/>
                        <wps:cNvSpPr/>
                        <wps:spPr>
                          <a:xfrm>
                            <a:off x="567688" y="2435324"/>
                            <a:ext cx="1270" cy="25400"/>
                          </a:xfrm>
                          <a:custGeom>
                            <a:avLst/>
                            <a:gdLst/>
                            <a:ahLst/>
                            <a:cxnLst/>
                            <a:rect l="l" t="t" r="r" b="b"/>
                            <a:pathLst>
                              <a:path w="0" h="25400">
                                <a:moveTo>
                                  <a:pt x="0" y="25400"/>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1029" name="Graphic 1029"/>
                        <wps:cNvSpPr/>
                        <wps:spPr>
                          <a:xfrm>
                            <a:off x="567688" y="684957"/>
                            <a:ext cx="1270" cy="1711325"/>
                          </a:xfrm>
                          <a:custGeom>
                            <a:avLst/>
                            <a:gdLst/>
                            <a:ahLst/>
                            <a:cxnLst/>
                            <a:rect l="l" t="t" r="r" b="b"/>
                            <a:pathLst>
                              <a:path w="0" h="1711325">
                                <a:moveTo>
                                  <a:pt x="0" y="1711324"/>
                                </a:moveTo>
                                <a:lnTo>
                                  <a:pt x="0" y="0"/>
                                </a:lnTo>
                              </a:path>
                            </a:pathLst>
                          </a:custGeom>
                          <a:ln w="12700">
                            <a:solidFill>
                              <a:srgbClr val="231F20"/>
                            </a:solidFill>
                            <a:prstDash val="sysDash"/>
                          </a:ln>
                        </wps:spPr>
                        <wps:bodyPr wrap="square" lIns="0" tIns="0" rIns="0" bIns="0" rtlCol="0">
                          <a:prstTxWarp prst="textNoShape">
                            <a:avLst/>
                          </a:prstTxWarp>
                          <a:noAutofit/>
                        </wps:bodyPr>
                      </wps:wsp>
                      <wps:wsp>
                        <wps:cNvPr id="1030" name="Graphic 1030"/>
                        <wps:cNvSpPr/>
                        <wps:spPr>
                          <a:xfrm>
                            <a:off x="567688" y="640035"/>
                            <a:ext cx="1270" cy="25400"/>
                          </a:xfrm>
                          <a:custGeom>
                            <a:avLst/>
                            <a:gdLst/>
                            <a:ahLst/>
                            <a:cxnLst/>
                            <a:rect l="l" t="t" r="r" b="b"/>
                            <a:pathLst>
                              <a:path w="0" h="25400">
                                <a:moveTo>
                                  <a:pt x="0" y="25399"/>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1031" name="Graphic 1031"/>
                        <wps:cNvSpPr/>
                        <wps:spPr>
                          <a:xfrm>
                            <a:off x="566032" y="907086"/>
                            <a:ext cx="181610" cy="1270"/>
                          </a:xfrm>
                          <a:custGeom>
                            <a:avLst/>
                            <a:gdLst/>
                            <a:ahLst/>
                            <a:cxnLst/>
                            <a:rect l="l" t="t" r="r" b="b"/>
                            <a:pathLst>
                              <a:path w="181610" h="0">
                                <a:moveTo>
                                  <a:pt x="181597" y="0"/>
                                </a:moveTo>
                                <a:lnTo>
                                  <a:pt x="0" y="0"/>
                                </a:lnTo>
                              </a:path>
                            </a:pathLst>
                          </a:custGeom>
                          <a:solidFill>
                            <a:srgbClr val="FFFFFF"/>
                          </a:solidFill>
                        </wps:spPr>
                        <wps:bodyPr wrap="square" lIns="0" tIns="0" rIns="0" bIns="0" rtlCol="0">
                          <a:prstTxWarp prst="textNoShape">
                            <a:avLst/>
                          </a:prstTxWarp>
                          <a:noAutofit/>
                        </wps:bodyPr>
                      </wps:wsp>
                      <wps:wsp>
                        <wps:cNvPr id="1032" name="Graphic 1032"/>
                        <wps:cNvSpPr/>
                        <wps:spPr>
                          <a:xfrm>
                            <a:off x="566037" y="907083"/>
                            <a:ext cx="181610" cy="1270"/>
                          </a:xfrm>
                          <a:custGeom>
                            <a:avLst/>
                            <a:gdLst/>
                            <a:ahLst/>
                            <a:cxnLst/>
                            <a:rect l="l" t="t" r="r" b="b"/>
                            <a:pathLst>
                              <a:path w="181610" h="0">
                                <a:moveTo>
                                  <a:pt x="181597" y="0"/>
                                </a:moveTo>
                                <a:lnTo>
                                  <a:pt x="0" y="0"/>
                                </a:lnTo>
                              </a:path>
                            </a:pathLst>
                          </a:custGeom>
                          <a:ln w="3175">
                            <a:solidFill>
                              <a:srgbClr val="231F20"/>
                            </a:solidFill>
                            <a:prstDash val="solid"/>
                          </a:ln>
                        </wps:spPr>
                        <wps:bodyPr wrap="square" lIns="0" tIns="0" rIns="0" bIns="0" rtlCol="0">
                          <a:prstTxWarp prst="textNoShape">
                            <a:avLst/>
                          </a:prstTxWarp>
                          <a:noAutofit/>
                        </wps:bodyPr>
                      </wps:wsp>
                      <wps:wsp>
                        <wps:cNvPr id="1033" name="Graphic 1033"/>
                        <wps:cNvSpPr/>
                        <wps:spPr>
                          <a:xfrm>
                            <a:off x="261691" y="2460724"/>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034" name="Graphic 1034"/>
                        <wps:cNvSpPr/>
                        <wps:spPr>
                          <a:xfrm>
                            <a:off x="2639943" y="2460724"/>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035" name="Graphic 1035"/>
                        <wps:cNvSpPr/>
                        <wps:spPr>
                          <a:xfrm>
                            <a:off x="2662054" y="1508505"/>
                            <a:ext cx="204470" cy="952500"/>
                          </a:xfrm>
                          <a:custGeom>
                            <a:avLst/>
                            <a:gdLst/>
                            <a:ahLst/>
                            <a:cxnLst/>
                            <a:rect l="l" t="t" r="r" b="b"/>
                            <a:pathLst>
                              <a:path w="204470" h="952500">
                                <a:moveTo>
                                  <a:pt x="204444" y="0"/>
                                </a:moveTo>
                                <a:lnTo>
                                  <a:pt x="0" y="0"/>
                                </a:lnTo>
                                <a:lnTo>
                                  <a:pt x="0" y="952220"/>
                                </a:lnTo>
                                <a:lnTo>
                                  <a:pt x="204444" y="952220"/>
                                </a:lnTo>
                                <a:lnTo>
                                  <a:pt x="204444" y="0"/>
                                </a:lnTo>
                                <a:close/>
                              </a:path>
                            </a:pathLst>
                          </a:custGeom>
                          <a:solidFill>
                            <a:srgbClr val="008FDD"/>
                          </a:solidFill>
                        </wps:spPr>
                        <wps:bodyPr wrap="square" lIns="0" tIns="0" rIns="0" bIns="0" rtlCol="0">
                          <a:prstTxWarp prst="textNoShape">
                            <a:avLst/>
                          </a:prstTxWarp>
                          <a:noAutofit/>
                        </wps:bodyPr>
                      </wps:wsp>
                      <wps:wsp>
                        <wps:cNvPr id="1036" name="Graphic 1036"/>
                        <wps:cNvSpPr/>
                        <wps:spPr>
                          <a:xfrm>
                            <a:off x="2662055" y="1508505"/>
                            <a:ext cx="204470" cy="952500"/>
                          </a:xfrm>
                          <a:custGeom>
                            <a:avLst/>
                            <a:gdLst/>
                            <a:ahLst/>
                            <a:cxnLst/>
                            <a:rect l="l" t="t" r="r" b="b"/>
                            <a:pathLst>
                              <a:path w="204470" h="952500">
                                <a:moveTo>
                                  <a:pt x="0" y="952220"/>
                                </a:moveTo>
                                <a:lnTo>
                                  <a:pt x="204444" y="952220"/>
                                </a:lnTo>
                                <a:lnTo>
                                  <a:pt x="204444" y="0"/>
                                </a:lnTo>
                                <a:lnTo>
                                  <a:pt x="0" y="0"/>
                                </a:lnTo>
                                <a:lnTo>
                                  <a:pt x="0" y="952220"/>
                                </a:lnTo>
                                <a:close/>
                              </a:path>
                            </a:pathLst>
                          </a:custGeom>
                          <a:ln w="3175">
                            <a:solidFill>
                              <a:srgbClr val="FFFFFF"/>
                            </a:solidFill>
                            <a:prstDash val="solid"/>
                          </a:ln>
                        </wps:spPr>
                        <wps:bodyPr wrap="square" lIns="0" tIns="0" rIns="0" bIns="0" rtlCol="0">
                          <a:prstTxWarp prst="textNoShape">
                            <a:avLst/>
                          </a:prstTxWarp>
                          <a:noAutofit/>
                        </wps:bodyPr>
                      </wps:wsp>
                      <wps:wsp>
                        <wps:cNvPr id="1037" name="Graphic 1037"/>
                        <wps:cNvSpPr/>
                        <wps:spPr>
                          <a:xfrm>
                            <a:off x="2866499" y="902576"/>
                            <a:ext cx="204470" cy="1558290"/>
                          </a:xfrm>
                          <a:custGeom>
                            <a:avLst/>
                            <a:gdLst/>
                            <a:ahLst/>
                            <a:cxnLst/>
                            <a:rect l="l" t="t" r="r" b="b"/>
                            <a:pathLst>
                              <a:path w="204470" h="1558290">
                                <a:moveTo>
                                  <a:pt x="204444" y="0"/>
                                </a:moveTo>
                                <a:lnTo>
                                  <a:pt x="0" y="0"/>
                                </a:lnTo>
                                <a:lnTo>
                                  <a:pt x="0" y="1558150"/>
                                </a:lnTo>
                                <a:lnTo>
                                  <a:pt x="204444" y="1558150"/>
                                </a:lnTo>
                                <a:lnTo>
                                  <a:pt x="204444" y="0"/>
                                </a:lnTo>
                                <a:close/>
                              </a:path>
                            </a:pathLst>
                          </a:custGeom>
                          <a:solidFill>
                            <a:srgbClr val="008FDD"/>
                          </a:solidFill>
                        </wps:spPr>
                        <wps:bodyPr wrap="square" lIns="0" tIns="0" rIns="0" bIns="0" rtlCol="0">
                          <a:prstTxWarp prst="textNoShape">
                            <a:avLst/>
                          </a:prstTxWarp>
                          <a:noAutofit/>
                        </wps:bodyPr>
                      </wps:wsp>
                      <wps:wsp>
                        <wps:cNvPr id="1038" name="Graphic 1038"/>
                        <wps:cNvSpPr/>
                        <wps:spPr>
                          <a:xfrm>
                            <a:off x="2866500" y="902576"/>
                            <a:ext cx="204470" cy="1558290"/>
                          </a:xfrm>
                          <a:custGeom>
                            <a:avLst/>
                            <a:gdLst/>
                            <a:ahLst/>
                            <a:cxnLst/>
                            <a:rect l="l" t="t" r="r" b="b"/>
                            <a:pathLst>
                              <a:path w="204470" h="1558290">
                                <a:moveTo>
                                  <a:pt x="0" y="1558150"/>
                                </a:moveTo>
                                <a:lnTo>
                                  <a:pt x="204444" y="1558150"/>
                                </a:lnTo>
                                <a:lnTo>
                                  <a:pt x="204444" y="0"/>
                                </a:lnTo>
                                <a:lnTo>
                                  <a:pt x="0" y="0"/>
                                </a:lnTo>
                                <a:lnTo>
                                  <a:pt x="0" y="1558150"/>
                                </a:lnTo>
                                <a:close/>
                              </a:path>
                            </a:pathLst>
                          </a:custGeom>
                          <a:ln w="3175">
                            <a:solidFill>
                              <a:srgbClr val="FFFFFF"/>
                            </a:solidFill>
                            <a:prstDash val="solid"/>
                          </a:ln>
                        </wps:spPr>
                        <wps:bodyPr wrap="square" lIns="0" tIns="0" rIns="0" bIns="0" rtlCol="0">
                          <a:prstTxWarp prst="textNoShape">
                            <a:avLst/>
                          </a:prstTxWarp>
                          <a:noAutofit/>
                        </wps:bodyPr>
                      </wps:wsp>
                      <wps:wsp>
                        <wps:cNvPr id="1039" name="Graphic 1039"/>
                        <wps:cNvSpPr/>
                        <wps:spPr>
                          <a:xfrm>
                            <a:off x="3070943" y="1990991"/>
                            <a:ext cx="204470" cy="469900"/>
                          </a:xfrm>
                          <a:custGeom>
                            <a:avLst/>
                            <a:gdLst/>
                            <a:ahLst/>
                            <a:cxnLst/>
                            <a:rect l="l" t="t" r="r" b="b"/>
                            <a:pathLst>
                              <a:path w="204470" h="469900">
                                <a:moveTo>
                                  <a:pt x="204444" y="0"/>
                                </a:moveTo>
                                <a:lnTo>
                                  <a:pt x="0" y="0"/>
                                </a:lnTo>
                                <a:lnTo>
                                  <a:pt x="0" y="469734"/>
                                </a:lnTo>
                                <a:lnTo>
                                  <a:pt x="204444" y="469734"/>
                                </a:lnTo>
                                <a:lnTo>
                                  <a:pt x="204444" y="0"/>
                                </a:lnTo>
                                <a:close/>
                              </a:path>
                            </a:pathLst>
                          </a:custGeom>
                          <a:solidFill>
                            <a:srgbClr val="008FDD"/>
                          </a:solidFill>
                        </wps:spPr>
                        <wps:bodyPr wrap="square" lIns="0" tIns="0" rIns="0" bIns="0" rtlCol="0">
                          <a:prstTxWarp prst="textNoShape">
                            <a:avLst/>
                          </a:prstTxWarp>
                          <a:noAutofit/>
                        </wps:bodyPr>
                      </wps:wsp>
                      <wps:wsp>
                        <wps:cNvPr id="1040" name="Graphic 1040"/>
                        <wps:cNvSpPr/>
                        <wps:spPr>
                          <a:xfrm>
                            <a:off x="3070945" y="1990991"/>
                            <a:ext cx="204470" cy="469900"/>
                          </a:xfrm>
                          <a:custGeom>
                            <a:avLst/>
                            <a:gdLst/>
                            <a:ahLst/>
                            <a:cxnLst/>
                            <a:rect l="l" t="t" r="r" b="b"/>
                            <a:pathLst>
                              <a:path w="204470" h="469900">
                                <a:moveTo>
                                  <a:pt x="0" y="469734"/>
                                </a:moveTo>
                                <a:lnTo>
                                  <a:pt x="204444" y="469734"/>
                                </a:lnTo>
                                <a:lnTo>
                                  <a:pt x="204444" y="0"/>
                                </a:lnTo>
                                <a:lnTo>
                                  <a:pt x="0" y="0"/>
                                </a:lnTo>
                                <a:lnTo>
                                  <a:pt x="0" y="469734"/>
                                </a:lnTo>
                                <a:close/>
                              </a:path>
                            </a:pathLst>
                          </a:custGeom>
                          <a:ln w="3175">
                            <a:solidFill>
                              <a:srgbClr val="FFFFFF"/>
                            </a:solidFill>
                            <a:prstDash val="solid"/>
                          </a:ln>
                        </wps:spPr>
                        <wps:bodyPr wrap="square" lIns="0" tIns="0" rIns="0" bIns="0" rtlCol="0">
                          <a:prstTxWarp prst="textNoShape">
                            <a:avLst/>
                          </a:prstTxWarp>
                          <a:noAutofit/>
                        </wps:bodyPr>
                      </wps:wsp>
                      <wps:wsp>
                        <wps:cNvPr id="1041" name="Graphic 1041"/>
                        <wps:cNvSpPr/>
                        <wps:spPr>
                          <a:xfrm>
                            <a:off x="3275388" y="2297595"/>
                            <a:ext cx="204470" cy="163195"/>
                          </a:xfrm>
                          <a:custGeom>
                            <a:avLst/>
                            <a:gdLst/>
                            <a:ahLst/>
                            <a:cxnLst/>
                            <a:rect l="l" t="t" r="r" b="b"/>
                            <a:pathLst>
                              <a:path w="204470" h="163195">
                                <a:moveTo>
                                  <a:pt x="204444" y="0"/>
                                </a:moveTo>
                                <a:lnTo>
                                  <a:pt x="0" y="0"/>
                                </a:lnTo>
                                <a:lnTo>
                                  <a:pt x="0" y="163131"/>
                                </a:lnTo>
                                <a:lnTo>
                                  <a:pt x="204444" y="163131"/>
                                </a:lnTo>
                                <a:lnTo>
                                  <a:pt x="204444" y="0"/>
                                </a:lnTo>
                                <a:close/>
                              </a:path>
                            </a:pathLst>
                          </a:custGeom>
                          <a:solidFill>
                            <a:srgbClr val="008FDD"/>
                          </a:solidFill>
                        </wps:spPr>
                        <wps:bodyPr wrap="square" lIns="0" tIns="0" rIns="0" bIns="0" rtlCol="0">
                          <a:prstTxWarp prst="textNoShape">
                            <a:avLst/>
                          </a:prstTxWarp>
                          <a:noAutofit/>
                        </wps:bodyPr>
                      </wps:wsp>
                      <wps:wsp>
                        <wps:cNvPr id="1042" name="Graphic 1042"/>
                        <wps:cNvSpPr/>
                        <wps:spPr>
                          <a:xfrm>
                            <a:off x="3275389" y="2297595"/>
                            <a:ext cx="204470" cy="163195"/>
                          </a:xfrm>
                          <a:custGeom>
                            <a:avLst/>
                            <a:gdLst/>
                            <a:ahLst/>
                            <a:cxnLst/>
                            <a:rect l="l" t="t" r="r" b="b"/>
                            <a:pathLst>
                              <a:path w="204470" h="163195">
                                <a:moveTo>
                                  <a:pt x="0" y="163131"/>
                                </a:moveTo>
                                <a:lnTo>
                                  <a:pt x="204444" y="163131"/>
                                </a:lnTo>
                                <a:lnTo>
                                  <a:pt x="204444" y="0"/>
                                </a:lnTo>
                                <a:lnTo>
                                  <a:pt x="0" y="0"/>
                                </a:lnTo>
                                <a:lnTo>
                                  <a:pt x="0" y="163131"/>
                                </a:lnTo>
                                <a:close/>
                              </a:path>
                            </a:pathLst>
                          </a:custGeom>
                          <a:ln w="3175">
                            <a:solidFill>
                              <a:srgbClr val="FFFFFF"/>
                            </a:solidFill>
                            <a:prstDash val="solid"/>
                          </a:ln>
                        </wps:spPr>
                        <wps:bodyPr wrap="square" lIns="0" tIns="0" rIns="0" bIns="0" rtlCol="0">
                          <a:prstTxWarp prst="textNoShape">
                            <a:avLst/>
                          </a:prstTxWarp>
                          <a:noAutofit/>
                        </wps:bodyPr>
                      </wps:wsp>
                      <wps:wsp>
                        <wps:cNvPr id="1043" name="Graphic 1043"/>
                        <wps:cNvSpPr/>
                        <wps:spPr>
                          <a:xfrm>
                            <a:off x="3479832" y="2389720"/>
                            <a:ext cx="204470" cy="71120"/>
                          </a:xfrm>
                          <a:custGeom>
                            <a:avLst/>
                            <a:gdLst/>
                            <a:ahLst/>
                            <a:cxnLst/>
                            <a:rect l="l" t="t" r="r" b="b"/>
                            <a:pathLst>
                              <a:path w="204470" h="71120">
                                <a:moveTo>
                                  <a:pt x="204444" y="0"/>
                                </a:moveTo>
                                <a:lnTo>
                                  <a:pt x="0" y="0"/>
                                </a:lnTo>
                                <a:lnTo>
                                  <a:pt x="0" y="71005"/>
                                </a:lnTo>
                                <a:lnTo>
                                  <a:pt x="204444" y="71005"/>
                                </a:lnTo>
                                <a:lnTo>
                                  <a:pt x="204444" y="0"/>
                                </a:lnTo>
                                <a:close/>
                              </a:path>
                            </a:pathLst>
                          </a:custGeom>
                          <a:solidFill>
                            <a:srgbClr val="008FDD"/>
                          </a:solidFill>
                        </wps:spPr>
                        <wps:bodyPr wrap="square" lIns="0" tIns="0" rIns="0" bIns="0" rtlCol="0">
                          <a:prstTxWarp prst="textNoShape">
                            <a:avLst/>
                          </a:prstTxWarp>
                          <a:noAutofit/>
                        </wps:bodyPr>
                      </wps:wsp>
                      <wps:wsp>
                        <wps:cNvPr id="1044" name="Graphic 1044"/>
                        <wps:cNvSpPr/>
                        <wps:spPr>
                          <a:xfrm>
                            <a:off x="3479834" y="2389720"/>
                            <a:ext cx="204470" cy="71120"/>
                          </a:xfrm>
                          <a:custGeom>
                            <a:avLst/>
                            <a:gdLst/>
                            <a:ahLst/>
                            <a:cxnLst/>
                            <a:rect l="l" t="t" r="r" b="b"/>
                            <a:pathLst>
                              <a:path w="204470" h="71120">
                                <a:moveTo>
                                  <a:pt x="0" y="71005"/>
                                </a:moveTo>
                                <a:lnTo>
                                  <a:pt x="204444" y="71005"/>
                                </a:lnTo>
                                <a:lnTo>
                                  <a:pt x="204444" y="0"/>
                                </a:lnTo>
                                <a:lnTo>
                                  <a:pt x="0" y="0"/>
                                </a:lnTo>
                                <a:lnTo>
                                  <a:pt x="0" y="71005"/>
                                </a:lnTo>
                                <a:close/>
                              </a:path>
                            </a:pathLst>
                          </a:custGeom>
                          <a:ln w="3175">
                            <a:solidFill>
                              <a:srgbClr val="FFFFFF"/>
                            </a:solidFill>
                            <a:prstDash val="solid"/>
                          </a:ln>
                        </wps:spPr>
                        <wps:bodyPr wrap="square" lIns="0" tIns="0" rIns="0" bIns="0" rtlCol="0">
                          <a:prstTxWarp prst="textNoShape">
                            <a:avLst/>
                          </a:prstTxWarp>
                          <a:noAutofit/>
                        </wps:bodyPr>
                      </wps:wsp>
                      <wps:wsp>
                        <wps:cNvPr id="1045" name="Graphic 1045"/>
                        <wps:cNvSpPr/>
                        <wps:spPr>
                          <a:xfrm>
                            <a:off x="3684277" y="2437053"/>
                            <a:ext cx="204470" cy="24130"/>
                          </a:xfrm>
                          <a:custGeom>
                            <a:avLst/>
                            <a:gdLst/>
                            <a:ahLst/>
                            <a:cxnLst/>
                            <a:rect l="l" t="t" r="r" b="b"/>
                            <a:pathLst>
                              <a:path w="204470" h="24130">
                                <a:moveTo>
                                  <a:pt x="204444" y="0"/>
                                </a:moveTo>
                                <a:lnTo>
                                  <a:pt x="0" y="0"/>
                                </a:lnTo>
                                <a:lnTo>
                                  <a:pt x="0" y="23672"/>
                                </a:lnTo>
                                <a:lnTo>
                                  <a:pt x="204444" y="23672"/>
                                </a:lnTo>
                                <a:lnTo>
                                  <a:pt x="204444" y="0"/>
                                </a:lnTo>
                                <a:close/>
                              </a:path>
                            </a:pathLst>
                          </a:custGeom>
                          <a:solidFill>
                            <a:srgbClr val="008FDD"/>
                          </a:solidFill>
                        </wps:spPr>
                        <wps:bodyPr wrap="square" lIns="0" tIns="0" rIns="0" bIns="0" rtlCol="0">
                          <a:prstTxWarp prst="textNoShape">
                            <a:avLst/>
                          </a:prstTxWarp>
                          <a:noAutofit/>
                        </wps:bodyPr>
                      </wps:wsp>
                      <wps:wsp>
                        <wps:cNvPr id="1046" name="Graphic 1046"/>
                        <wps:cNvSpPr/>
                        <wps:spPr>
                          <a:xfrm>
                            <a:off x="3684278" y="2437053"/>
                            <a:ext cx="204470" cy="24130"/>
                          </a:xfrm>
                          <a:custGeom>
                            <a:avLst/>
                            <a:gdLst/>
                            <a:ahLst/>
                            <a:cxnLst/>
                            <a:rect l="l" t="t" r="r" b="b"/>
                            <a:pathLst>
                              <a:path w="204470" h="24130">
                                <a:moveTo>
                                  <a:pt x="0" y="23672"/>
                                </a:moveTo>
                                <a:lnTo>
                                  <a:pt x="204444" y="23672"/>
                                </a:lnTo>
                                <a:lnTo>
                                  <a:pt x="204444" y="0"/>
                                </a:lnTo>
                                <a:lnTo>
                                  <a:pt x="0" y="0"/>
                                </a:lnTo>
                                <a:lnTo>
                                  <a:pt x="0" y="23672"/>
                                </a:lnTo>
                                <a:close/>
                              </a:path>
                            </a:pathLst>
                          </a:custGeom>
                          <a:ln w="3175">
                            <a:solidFill>
                              <a:srgbClr val="FFFFFF"/>
                            </a:solidFill>
                            <a:prstDash val="solid"/>
                          </a:ln>
                        </wps:spPr>
                        <wps:bodyPr wrap="square" lIns="0" tIns="0" rIns="0" bIns="0" rtlCol="0">
                          <a:prstTxWarp prst="textNoShape">
                            <a:avLst/>
                          </a:prstTxWarp>
                          <a:noAutofit/>
                        </wps:bodyPr>
                      </wps:wsp>
                      <wps:wsp>
                        <wps:cNvPr id="1047" name="Graphic 1047"/>
                        <wps:cNvSpPr/>
                        <wps:spPr>
                          <a:xfrm>
                            <a:off x="3888722" y="2438514"/>
                            <a:ext cx="204470" cy="22225"/>
                          </a:xfrm>
                          <a:custGeom>
                            <a:avLst/>
                            <a:gdLst/>
                            <a:ahLst/>
                            <a:cxnLst/>
                            <a:rect l="l" t="t" r="r" b="b"/>
                            <a:pathLst>
                              <a:path w="204470" h="22225">
                                <a:moveTo>
                                  <a:pt x="204444" y="0"/>
                                </a:moveTo>
                                <a:lnTo>
                                  <a:pt x="0" y="0"/>
                                </a:lnTo>
                                <a:lnTo>
                                  <a:pt x="0" y="22212"/>
                                </a:lnTo>
                                <a:lnTo>
                                  <a:pt x="204444" y="22212"/>
                                </a:lnTo>
                                <a:lnTo>
                                  <a:pt x="204444" y="0"/>
                                </a:lnTo>
                                <a:close/>
                              </a:path>
                            </a:pathLst>
                          </a:custGeom>
                          <a:solidFill>
                            <a:srgbClr val="008FDD"/>
                          </a:solidFill>
                        </wps:spPr>
                        <wps:bodyPr wrap="square" lIns="0" tIns="0" rIns="0" bIns="0" rtlCol="0">
                          <a:prstTxWarp prst="textNoShape">
                            <a:avLst/>
                          </a:prstTxWarp>
                          <a:noAutofit/>
                        </wps:bodyPr>
                      </wps:wsp>
                      <wps:wsp>
                        <wps:cNvPr id="1048" name="Graphic 1048"/>
                        <wps:cNvSpPr/>
                        <wps:spPr>
                          <a:xfrm>
                            <a:off x="3888723" y="2438514"/>
                            <a:ext cx="204470" cy="22225"/>
                          </a:xfrm>
                          <a:custGeom>
                            <a:avLst/>
                            <a:gdLst/>
                            <a:ahLst/>
                            <a:cxnLst/>
                            <a:rect l="l" t="t" r="r" b="b"/>
                            <a:pathLst>
                              <a:path w="204470" h="22225">
                                <a:moveTo>
                                  <a:pt x="0" y="22212"/>
                                </a:moveTo>
                                <a:lnTo>
                                  <a:pt x="204444" y="22212"/>
                                </a:lnTo>
                                <a:lnTo>
                                  <a:pt x="204444" y="0"/>
                                </a:lnTo>
                                <a:lnTo>
                                  <a:pt x="0" y="0"/>
                                </a:lnTo>
                                <a:lnTo>
                                  <a:pt x="0" y="22212"/>
                                </a:lnTo>
                                <a:close/>
                              </a:path>
                            </a:pathLst>
                          </a:custGeom>
                          <a:ln w="3175">
                            <a:solidFill>
                              <a:srgbClr val="FFFFFF"/>
                            </a:solidFill>
                            <a:prstDash val="solid"/>
                          </a:ln>
                        </wps:spPr>
                        <wps:bodyPr wrap="square" lIns="0" tIns="0" rIns="0" bIns="0" rtlCol="0">
                          <a:prstTxWarp prst="textNoShape">
                            <a:avLst/>
                          </a:prstTxWarp>
                          <a:noAutofit/>
                        </wps:bodyPr>
                      </wps:wsp>
                      <wps:wsp>
                        <wps:cNvPr id="1049" name="Graphic 1049"/>
                        <wps:cNvSpPr/>
                        <wps:spPr>
                          <a:xfrm>
                            <a:off x="4093166" y="2446159"/>
                            <a:ext cx="204470" cy="14604"/>
                          </a:xfrm>
                          <a:custGeom>
                            <a:avLst/>
                            <a:gdLst/>
                            <a:ahLst/>
                            <a:cxnLst/>
                            <a:rect l="l" t="t" r="r" b="b"/>
                            <a:pathLst>
                              <a:path w="204470" h="14604">
                                <a:moveTo>
                                  <a:pt x="204444" y="0"/>
                                </a:moveTo>
                                <a:lnTo>
                                  <a:pt x="0" y="0"/>
                                </a:lnTo>
                                <a:lnTo>
                                  <a:pt x="0" y="14566"/>
                                </a:lnTo>
                                <a:lnTo>
                                  <a:pt x="204444" y="14566"/>
                                </a:lnTo>
                                <a:lnTo>
                                  <a:pt x="204444" y="0"/>
                                </a:lnTo>
                                <a:close/>
                              </a:path>
                            </a:pathLst>
                          </a:custGeom>
                          <a:solidFill>
                            <a:srgbClr val="008FDD"/>
                          </a:solidFill>
                        </wps:spPr>
                        <wps:bodyPr wrap="square" lIns="0" tIns="0" rIns="0" bIns="0" rtlCol="0">
                          <a:prstTxWarp prst="textNoShape">
                            <a:avLst/>
                          </a:prstTxWarp>
                          <a:noAutofit/>
                        </wps:bodyPr>
                      </wps:wsp>
                      <wps:wsp>
                        <wps:cNvPr id="1050" name="Graphic 1050"/>
                        <wps:cNvSpPr/>
                        <wps:spPr>
                          <a:xfrm>
                            <a:off x="4093167" y="2446159"/>
                            <a:ext cx="204470" cy="14604"/>
                          </a:xfrm>
                          <a:custGeom>
                            <a:avLst/>
                            <a:gdLst/>
                            <a:ahLst/>
                            <a:cxnLst/>
                            <a:rect l="l" t="t" r="r" b="b"/>
                            <a:pathLst>
                              <a:path w="204470" h="14604">
                                <a:moveTo>
                                  <a:pt x="0" y="14566"/>
                                </a:moveTo>
                                <a:lnTo>
                                  <a:pt x="204444" y="14566"/>
                                </a:lnTo>
                                <a:lnTo>
                                  <a:pt x="204444" y="0"/>
                                </a:lnTo>
                                <a:lnTo>
                                  <a:pt x="0" y="0"/>
                                </a:lnTo>
                                <a:lnTo>
                                  <a:pt x="0" y="14566"/>
                                </a:lnTo>
                                <a:close/>
                              </a:path>
                            </a:pathLst>
                          </a:custGeom>
                          <a:ln w="3175">
                            <a:solidFill>
                              <a:srgbClr val="FFFFFF"/>
                            </a:solidFill>
                            <a:prstDash val="solid"/>
                          </a:ln>
                        </wps:spPr>
                        <wps:bodyPr wrap="square" lIns="0" tIns="0" rIns="0" bIns="0" rtlCol="0">
                          <a:prstTxWarp prst="textNoShape">
                            <a:avLst/>
                          </a:prstTxWarp>
                          <a:noAutofit/>
                        </wps:bodyPr>
                      </wps:wsp>
                      <wps:wsp>
                        <wps:cNvPr id="1051" name="Graphic 1051"/>
                        <wps:cNvSpPr/>
                        <wps:spPr>
                          <a:xfrm>
                            <a:off x="4297611" y="2452700"/>
                            <a:ext cx="204470" cy="8255"/>
                          </a:xfrm>
                          <a:custGeom>
                            <a:avLst/>
                            <a:gdLst/>
                            <a:ahLst/>
                            <a:cxnLst/>
                            <a:rect l="l" t="t" r="r" b="b"/>
                            <a:pathLst>
                              <a:path w="204470" h="8255">
                                <a:moveTo>
                                  <a:pt x="204444" y="0"/>
                                </a:moveTo>
                                <a:lnTo>
                                  <a:pt x="0" y="0"/>
                                </a:lnTo>
                                <a:lnTo>
                                  <a:pt x="0" y="8026"/>
                                </a:lnTo>
                                <a:lnTo>
                                  <a:pt x="204444" y="8026"/>
                                </a:lnTo>
                                <a:lnTo>
                                  <a:pt x="204444" y="0"/>
                                </a:lnTo>
                                <a:close/>
                              </a:path>
                            </a:pathLst>
                          </a:custGeom>
                          <a:solidFill>
                            <a:srgbClr val="008FDD"/>
                          </a:solidFill>
                        </wps:spPr>
                        <wps:bodyPr wrap="square" lIns="0" tIns="0" rIns="0" bIns="0" rtlCol="0">
                          <a:prstTxWarp prst="textNoShape">
                            <a:avLst/>
                          </a:prstTxWarp>
                          <a:noAutofit/>
                        </wps:bodyPr>
                      </wps:wsp>
                      <wps:wsp>
                        <wps:cNvPr id="1052" name="Graphic 1052"/>
                        <wps:cNvSpPr/>
                        <wps:spPr>
                          <a:xfrm>
                            <a:off x="4297612" y="2452712"/>
                            <a:ext cx="204470" cy="8255"/>
                          </a:xfrm>
                          <a:custGeom>
                            <a:avLst/>
                            <a:gdLst/>
                            <a:ahLst/>
                            <a:cxnLst/>
                            <a:rect l="l" t="t" r="r" b="b"/>
                            <a:pathLst>
                              <a:path w="204470" h="8255">
                                <a:moveTo>
                                  <a:pt x="0" y="8013"/>
                                </a:moveTo>
                                <a:lnTo>
                                  <a:pt x="204444" y="8013"/>
                                </a:lnTo>
                                <a:lnTo>
                                  <a:pt x="204444" y="0"/>
                                </a:lnTo>
                                <a:lnTo>
                                  <a:pt x="0" y="0"/>
                                </a:lnTo>
                                <a:lnTo>
                                  <a:pt x="0" y="8013"/>
                                </a:lnTo>
                                <a:close/>
                              </a:path>
                            </a:pathLst>
                          </a:custGeom>
                          <a:ln w="3174">
                            <a:solidFill>
                              <a:srgbClr val="FFFFFF"/>
                            </a:solidFill>
                            <a:prstDash val="solid"/>
                          </a:ln>
                        </wps:spPr>
                        <wps:bodyPr wrap="square" lIns="0" tIns="0" rIns="0" bIns="0" rtlCol="0">
                          <a:prstTxWarp prst="textNoShape">
                            <a:avLst/>
                          </a:prstTxWarp>
                          <a:noAutofit/>
                        </wps:bodyPr>
                      </wps:wsp>
                      <wps:wsp>
                        <wps:cNvPr id="1053" name="Graphic 1053"/>
                        <wps:cNvSpPr/>
                        <wps:spPr>
                          <a:xfrm>
                            <a:off x="4502068" y="2456345"/>
                            <a:ext cx="204470" cy="4445"/>
                          </a:xfrm>
                          <a:custGeom>
                            <a:avLst/>
                            <a:gdLst/>
                            <a:ahLst/>
                            <a:cxnLst/>
                            <a:rect l="l" t="t" r="r" b="b"/>
                            <a:pathLst>
                              <a:path w="204470" h="4445">
                                <a:moveTo>
                                  <a:pt x="204444" y="0"/>
                                </a:moveTo>
                                <a:lnTo>
                                  <a:pt x="0" y="0"/>
                                </a:lnTo>
                                <a:lnTo>
                                  <a:pt x="0" y="4381"/>
                                </a:lnTo>
                                <a:lnTo>
                                  <a:pt x="204444" y="4381"/>
                                </a:lnTo>
                                <a:lnTo>
                                  <a:pt x="204444" y="0"/>
                                </a:lnTo>
                                <a:close/>
                              </a:path>
                            </a:pathLst>
                          </a:custGeom>
                          <a:solidFill>
                            <a:srgbClr val="008FDD"/>
                          </a:solidFill>
                        </wps:spPr>
                        <wps:bodyPr wrap="square" lIns="0" tIns="0" rIns="0" bIns="0" rtlCol="0">
                          <a:prstTxWarp prst="textNoShape">
                            <a:avLst/>
                          </a:prstTxWarp>
                          <a:noAutofit/>
                        </wps:bodyPr>
                      </wps:wsp>
                      <wps:wsp>
                        <wps:cNvPr id="1054" name="Graphic 1054"/>
                        <wps:cNvSpPr/>
                        <wps:spPr>
                          <a:xfrm>
                            <a:off x="4502070" y="2456357"/>
                            <a:ext cx="204470" cy="4445"/>
                          </a:xfrm>
                          <a:custGeom>
                            <a:avLst/>
                            <a:gdLst/>
                            <a:ahLst/>
                            <a:cxnLst/>
                            <a:rect l="l" t="t" r="r" b="b"/>
                            <a:pathLst>
                              <a:path w="204470" h="4445">
                                <a:moveTo>
                                  <a:pt x="0" y="4368"/>
                                </a:moveTo>
                                <a:lnTo>
                                  <a:pt x="204444" y="4368"/>
                                </a:lnTo>
                                <a:lnTo>
                                  <a:pt x="204444" y="0"/>
                                </a:lnTo>
                                <a:lnTo>
                                  <a:pt x="0" y="0"/>
                                </a:lnTo>
                                <a:lnTo>
                                  <a:pt x="0" y="4368"/>
                                </a:lnTo>
                                <a:close/>
                              </a:path>
                            </a:pathLst>
                          </a:custGeom>
                          <a:ln w="3175">
                            <a:solidFill>
                              <a:srgbClr val="FFFFFF"/>
                            </a:solidFill>
                            <a:prstDash val="solid"/>
                          </a:ln>
                        </wps:spPr>
                        <wps:bodyPr wrap="square" lIns="0" tIns="0" rIns="0" bIns="0" rtlCol="0">
                          <a:prstTxWarp prst="textNoShape">
                            <a:avLst/>
                          </a:prstTxWarp>
                          <a:noAutofit/>
                        </wps:bodyPr>
                      </wps:wsp>
                      <wps:wsp>
                        <wps:cNvPr id="1055" name="Graphic 1055"/>
                        <wps:cNvSpPr/>
                        <wps:spPr>
                          <a:xfrm>
                            <a:off x="2900346" y="640039"/>
                            <a:ext cx="1270" cy="1821180"/>
                          </a:xfrm>
                          <a:custGeom>
                            <a:avLst/>
                            <a:gdLst/>
                            <a:ahLst/>
                            <a:cxnLst/>
                            <a:rect l="l" t="t" r="r" b="b"/>
                            <a:pathLst>
                              <a:path w="0" h="1821180">
                                <a:moveTo>
                                  <a:pt x="0" y="1820684"/>
                                </a:moveTo>
                                <a:lnTo>
                                  <a:pt x="0" y="0"/>
                                </a:lnTo>
                              </a:path>
                            </a:pathLst>
                          </a:custGeom>
                          <a:ln w="12700">
                            <a:solidFill>
                              <a:srgbClr val="231F20"/>
                            </a:solidFill>
                            <a:prstDash val="sysDash"/>
                          </a:ln>
                        </wps:spPr>
                        <wps:bodyPr wrap="square" lIns="0" tIns="0" rIns="0" bIns="0" rtlCol="0">
                          <a:prstTxWarp prst="textNoShape">
                            <a:avLst/>
                          </a:prstTxWarp>
                          <a:noAutofit/>
                        </wps:bodyPr>
                      </wps:wsp>
                      <wps:wsp>
                        <wps:cNvPr id="1056" name="Graphic 1056"/>
                        <wps:cNvSpPr/>
                        <wps:spPr>
                          <a:xfrm>
                            <a:off x="2961465" y="640039"/>
                            <a:ext cx="1270" cy="1821180"/>
                          </a:xfrm>
                          <a:custGeom>
                            <a:avLst/>
                            <a:gdLst/>
                            <a:ahLst/>
                            <a:cxnLst/>
                            <a:rect l="l" t="t" r="r" b="b"/>
                            <a:pathLst>
                              <a:path w="0" h="1821180">
                                <a:moveTo>
                                  <a:pt x="0" y="1820684"/>
                                </a:moveTo>
                                <a:lnTo>
                                  <a:pt x="0" y="0"/>
                                </a:lnTo>
                              </a:path>
                            </a:pathLst>
                          </a:custGeom>
                          <a:ln w="12700">
                            <a:solidFill>
                              <a:srgbClr val="231F20"/>
                            </a:solidFill>
                            <a:prstDash val="solid"/>
                          </a:ln>
                        </wps:spPr>
                        <wps:bodyPr wrap="square" lIns="0" tIns="0" rIns="0" bIns="0" rtlCol="0">
                          <a:prstTxWarp prst="textNoShape">
                            <a:avLst/>
                          </a:prstTxWarp>
                          <a:noAutofit/>
                        </wps:bodyPr>
                      </wps:wsp>
                      <wps:wsp>
                        <wps:cNvPr id="1057" name="Textbox 1057"/>
                        <wps:cNvSpPr txBox="1"/>
                        <wps:spPr>
                          <a:xfrm>
                            <a:off x="76380" y="66855"/>
                            <a:ext cx="3018155" cy="121920"/>
                          </a:xfrm>
                          <a:prstGeom prst="rect">
                            <a:avLst/>
                          </a:prstGeom>
                        </wps:spPr>
                        <wps:txbx>
                          <w:txbxContent>
                            <w:p>
                              <w:pPr>
                                <w:spacing w:before="3"/>
                                <w:ind w:left="0" w:right="0" w:firstLine="0"/>
                                <w:jc w:val="left"/>
                                <w:rPr>
                                  <w:rFonts w:ascii="Arial"/>
                                  <w:b/>
                                  <w:sz w:val="16"/>
                                </w:rPr>
                              </w:pPr>
                              <w:r>
                                <w:rPr>
                                  <w:rFonts w:ascii="Arial"/>
                                  <w:color w:val="FFFFFF"/>
                                  <w:sz w:val="16"/>
                                </w:rPr>
                                <w:t>Figure</w:t>
                              </w:r>
                              <w:r>
                                <w:rPr>
                                  <w:rFonts w:ascii="Arial"/>
                                  <w:color w:val="FFFFFF"/>
                                  <w:spacing w:val="7"/>
                                  <w:sz w:val="16"/>
                                </w:rPr>
                                <w:t> </w:t>
                              </w:r>
                              <w:r>
                                <w:rPr>
                                  <w:rFonts w:ascii="Arial"/>
                                  <w:b/>
                                  <w:color w:val="FFFFFF"/>
                                  <w:sz w:val="16"/>
                                </w:rPr>
                                <w:t>3.2</w:t>
                              </w:r>
                              <w:r>
                                <w:rPr>
                                  <w:rFonts w:ascii="Arial"/>
                                  <w:b/>
                                  <w:color w:val="FFFFFF"/>
                                  <w:spacing w:val="54"/>
                                  <w:sz w:val="16"/>
                                </w:rPr>
                                <w:t>  </w:t>
                              </w:r>
                              <w:r>
                                <w:rPr>
                                  <w:rFonts w:ascii="Arial"/>
                                  <w:b/>
                                  <w:color w:val="FFFFFF"/>
                                  <w:sz w:val="16"/>
                                </w:rPr>
                                <w:t>Examples</w:t>
                              </w:r>
                              <w:r>
                                <w:rPr>
                                  <w:rFonts w:ascii="Arial"/>
                                  <w:b/>
                                  <w:color w:val="FFFFFF"/>
                                  <w:spacing w:val="7"/>
                                  <w:sz w:val="16"/>
                                </w:rPr>
                                <w:t> </w:t>
                              </w:r>
                              <w:r>
                                <w:rPr>
                                  <w:rFonts w:ascii="Arial"/>
                                  <w:b/>
                                  <w:color w:val="FFFFFF"/>
                                  <w:sz w:val="16"/>
                                </w:rPr>
                                <w:t>of</w:t>
                              </w:r>
                              <w:r>
                                <w:rPr>
                                  <w:rFonts w:ascii="Arial"/>
                                  <w:b/>
                                  <w:color w:val="FFFFFF"/>
                                  <w:spacing w:val="8"/>
                                  <w:sz w:val="16"/>
                                </w:rPr>
                                <w:t> </w:t>
                              </w:r>
                              <w:r>
                                <w:rPr>
                                  <w:rFonts w:ascii="Arial"/>
                                  <w:b/>
                                  <w:color w:val="FFFFFF"/>
                                  <w:sz w:val="16"/>
                                </w:rPr>
                                <w:t>the</w:t>
                              </w:r>
                              <w:r>
                                <w:rPr>
                                  <w:rFonts w:ascii="Arial"/>
                                  <w:b/>
                                  <w:color w:val="FFFFFF"/>
                                  <w:spacing w:val="7"/>
                                  <w:sz w:val="16"/>
                                </w:rPr>
                                <w:t> </w:t>
                              </w:r>
                              <w:r>
                                <w:rPr>
                                  <w:rFonts w:ascii="Arial"/>
                                  <w:b/>
                                  <w:color w:val="FFFFFF"/>
                                  <w:sz w:val="16"/>
                                </w:rPr>
                                <w:t>distribution</w:t>
                              </w:r>
                              <w:r>
                                <w:rPr>
                                  <w:rFonts w:ascii="Arial"/>
                                  <w:b/>
                                  <w:color w:val="FFFFFF"/>
                                  <w:spacing w:val="7"/>
                                  <w:sz w:val="16"/>
                                </w:rPr>
                                <w:t> </w:t>
                              </w:r>
                              <w:r>
                                <w:rPr>
                                  <w:rFonts w:ascii="Arial"/>
                                  <w:b/>
                                  <w:color w:val="FFFFFF"/>
                                  <w:sz w:val="16"/>
                                </w:rPr>
                                <w:t>of</w:t>
                              </w:r>
                              <w:r>
                                <w:rPr>
                                  <w:rFonts w:ascii="Arial"/>
                                  <w:b/>
                                  <w:color w:val="FFFFFF"/>
                                  <w:spacing w:val="7"/>
                                  <w:sz w:val="16"/>
                                </w:rPr>
                                <w:t> </w:t>
                              </w:r>
                              <w:r>
                                <w:rPr>
                                  <w:rFonts w:ascii="Arial"/>
                                  <w:b/>
                                  <w:color w:val="FFFFFF"/>
                                  <w:sz w:val="16"/>
                                </w:rPr>
                                <w:t>import</w:t>
                              </w:r>
                              <w:r>
                                <w:rPr>
                                  <w:rFonts w:ascii="Arial"/>
                                  <w:b/>
                                  <w:color w:val="FFFFFF"/>
                                  <w:spacing w:val="7"/>
                                  <w:sz w:val="16"/>
                                </w:rPr>
                                <w:t> </w:t>
                              </w:r>
                              <w:r>
                                <w:rPr>
                                  <w:rFonts w:ascii="Arial"/>
                                  <w:b/>
                                  <w:color w:val="FFFFFF"/>
                                  <w:sz w:val="16"/>
                                </w:rPr>
                                <w:t>dwell</w:t>
                              </w:r>
                              <w:r>
                                <w:rPr>
                                  <w:rFonts w:ascii="Arial"/>
                                  <w:b/>
                                  <w:color w:val="FFFFFF"/>
                                  <w:spacing w:val="7"/>
                                  <w:sz w:val="16"/>
                                </w:rPr>
                                <w:t> </w:t>
                              </w:r>
                              <w:r>
                                <w:rPr>
                                  <w:rFonts w:ascii="Arial"/>
                                  <w:b/>
                                  <w:color w:val="FFFFFF"/>
                                  <w:spacing w:val="-4"/>
                                  <w:sz w:val="16"/>
                                </w:rPr>
                                <w:t>time</w:t>
                              </w:r>
                            </w:p>
                          </w:txbxContent>
                        </wps:txbx>
                        <wps:bodyPr wrap="square" lIns="0" tIns="0" rIns="0" bIns="0" rtlCol="0">
                          <a:noAutofit/>
                        </wps:bodyPr>
                      </wps:wsp>
                      <wps:wsp>
                        <wps:cNvPr id="1058" name="Textbox 1058"/>
                        <wps:cNvSpPr txBox="1"/>
                        <wps:spPr>
                          <a:xfrm>
                            <a:off x="29493" y="322058"/>
                            <a:ext cx="2070735" cy="735330"/>
                          </a:xfrm>
                          <a:prstGeom prst="rect">
                            <a:avLst/>
                          </a:prstGeom>
                        </wps:spPr>
                        <wps:txbx>
                          <w:txbxContent>
                            <w:p>
                              <w:pPr>
                                <w:spacing w:before="3"/>
                                <w:ind w:left="746" w:right="0" w:firstLine="0"/>
                                <w:jc w:val="left"/>
                                <w:rPr>
                                  <w:rFonts w:ascii="Arial" w:hAnsi="Arial"/>
                                  <w:b/>
                                  <w:sz w:val="14"/>
                                </w:rPr>
                              </w:pPr>
                              <w:r>
                                <w:rPr>
                                  <w:rFonts w:ascii="Arial" w:hAnsi="Arial"/>
                                  <w:b/>
                                  <w:color w:val="231F20"/>
                                  <w:w w:val="80"/>
                                  <w:sz w:val="14"/>
                                </w:rPr>
                                <w:t>Container</w:t>
                              </w:r>
                              <w:r>
                                <w:rPr>
                                  <w:rFonts w:ascii="Arial" w:hAnsi="Arial"/>
                                  <w:b/>
                                  <w:color w:val="231F20"/>
                                  <w:spacing w:val="3"/>
                                  <w:sz w:val="14"/>
                                </w:rPr>
                                <w:t> </w:t>
                              </w:r>
                              <w:r>
                                <w:rPr>
                                  <w:rFonts w:ascii="Arial" w:hAnsi="Arial"/>
                                  <w:b/>
                                  <w:color w:val="231F20"/>
                                  <w:w w:val="80"/>
                                  <w:sz w:val="14"/>
                                </w:rPr>
                                <w:t>port</w:t>
                              </w:r>
                              <w:r>
                                <w:rPr>
                                  <w:rFonts w:ascii="Arial" w:hAnsi="Arial"/>
                                  <w:b/>
                                  <w:color w:val="231F20"/>
                                  <w:spacing w:val="4"/>
                                  <w:sz w:val="14"/>
                                </w:rPr>
                                <w:t> </w:t>
                              </w:r>
                              <w:r>
                                <w:rPr>
                                  <w:rFonts w:ascii="Arial" w:hAnsi="Arial"/>
                                  <w:b/>
                                  <w:color w:val="231F20"/>
                                  <w:w w:val="80"/>
                                  <w:sz w:val="14"/>
                                </w:rPr>
                                <w:t>(Le</w:t>
                              </w:r>
                              <w:r>
                                <w:rPr>
                                  <w:rFonts w:ascii="Arial" w:hAnsi="Arial"/>
                                  <w:b/>
                                  <w:color w:val="231F20"/>
                                  <w:spacing w:val="4"/>
                                  <w:sz w:val="14"/>
                                </w:rPr>
                                <w:t> </w:t>
                              </w:r>
                              <w:r>
                                <w:rPr>
                                  <w:rFonts w:ascii="Arial" w:hAnsi="Arial"/>
                                  <w:b/>
                                  <w:color w:val="231F20"/>
                                  <w:w w:val="80"/>
                                  <w:sz w:val="14"/>
                                </w:rPr>
                                <w:t>Havre,</w:t>
                              </w:r>
                              <w:r>
                                <w:rPr>
                                  <w:rFonts w:ascii="Arial" w:hAnsi="Arial"/>
                                  <w:b/>
                                  <w:color w:val="231F20"/>
                                  <w:spacing w:val="-3"/>
                                  <w:sz w:val="14"/>
                                </w:rPr>
                                <w:t> </w:t>
                              </w:r>
                              <w:r>
                                <w:rPr>
                                  <w:rFonts w:ascii="Arial" w:hAnsi="Arial"/>
                                  <w:b/>
                                  <w:color w:val="231F20"/>
                                  <w:w w:val="80"/>
                                  <w:sz w:val="14"/>
                                </w:rPr>
                                <w:t>May–October</w:t>
                              </w:r>
                              <w:r>
                                <w:rPr>
                                  <w:rFonts w:ascii="Arial" w:hAnsi="Arial"/>
                                  <w:b/>
                                  <w:color w:val="231F20"/>
                                  <w:spacing w:val="3"/>
                                  <w:sz w:val="14"/>
                                </w:rPr>
                                <w:t> </w:t>
                              </w:r>
                              <w:r>
                                <w:rPr>
                                  <w:rFonts w:ascii="Arial" w:hAnsi="Arial"/>
                                  <w:b/>
                                  <w:color w:val="231F20"/>
                                  <w:spacing w:val="-2"/>
                                  <w:w w:val="80"/>
                                  <w:sz w:val="14"/>
                                </w:rPr>
                                <w:t>2022)</w:t>
                              </w:r>
                            </w:p>
                            <w:p>
                              <w:pPr>
                                <w:spacing w:before="39"/>
                                <w:ind w:left="20" w:right="0" w:firstLine="0"/>
                                <w:jc w:val="left"/>
                                <w:rPr>
                                  <w:rFonts w:ascii="Arial"/>
                                  <w:sz w:val="14"/>
                                </w:rPr>
                              </w:pPr>
                              <w:r>
                                <w:rPr>
                                  <w:rFonts w:ascii="Arial"/>
                                  <w:color w:val="231F20"/>
                                  <w:w w:val="80"/>
                                  <w:sz w:val="14"/>
                                </w:rPr>
                                <w:t>Number</w:t>
                              </w:r>
                              <w:r>
                                <w:rPr>
                                  <w:rFonts w:ascii="Arial"/>
                                  <w:color w:val="231F20"/>
                                  <w:spacing w:val="-2"/>
                                  <w:w w:val="80"/>
                                  <w:sz w:val="14"/>
                                </w:rPr>
                                <w:t> </w:t>
                              </w:r>
                              <w:r>
                                <w:rPr>
                                  <w:rFonts w:ascii="Arial"/>
                                  <w:color w:val="231F20"/>
                                  <w:w w:val="80"/>
                                  <w:sz w:val="14"/>
                                </w:rPr>
                                <w:t>of</w:t>
                              </w:r>
                              <w:r>
                                <w:rPr>
                                  <w:rFonts w:ascii="Arial"/>
                                  <w:color w:val="231F20"/>
                                  <w:spacing w:val="-1"/>
                                  <w:w w:val="80"/>
                                  <w:sz w:val="14"/>
                                </w:rPr>
                                <w:t> </w:t>
                              </w:r>
                              <w:r>
                                <w:rPr>
                                  <w:rFonts w:ascii="Arial"/>
                                  <w:color w:val="231F20"/>
                                  <w:spacing w:val="-2"/>
                                  <w:w w:val="80"/>
                                  <w:sz w:val="14"/>
                                </w:rPr>
                                <w:t>consignments</w:t>
                              </w:r>
                            </w:p>
                            <w:p>
                              <w:pPr>
                                <w:spacing w:line="150" w:lineRule="exact" w:before="60"/>
                                <w:ind w:left="0" w:right="0" w:firstLine="0"/>
                                <w:jc w:val="left"/>
                                <w:rPr>
                                  <w:rFonts w:ascii="Arial"/>
                                  <w:sz w:val="14"/>
                                </w:rPr>
                              </w:pPr>
                              <w:r>
                                <w:rPr>
                                  <w:rFonts w:ascii="Arial"/>
                                  <w:color w:val="231F20"/>
                                  <w:spacing w:val="-2"/>
                                  <w:sz w:val="14"/>
                                </w:rPr>
                                <w:t>1,000</w:t>
                              </w:r>
                            </w:p>
                            <w:p>
                              <w:pPr>
                                <w:spacing w:line="150" w:lineRule="exact" w:before="0"/>
                                <w:ind w:left="1074" w:right="0" w:firstLine="0"/>
                                <w:jc w:val="left"/>
                                <w:rPr>
                                  <w:rFonts w:ascii="Arial"/>
                                  <w:sz w:val="14"/>
                                </w:rPr>
                              </w:pPr>
                              <w:r>
                                <w:rPr>
                                  <w:rFonts w:ascii="Arial"/>
                                  <w:color w:val="231F20"/>
                                  <w:spacing w:val="-4"/>
                                  <w:sz w:val="14"/>
                                </w:rPr>
                                <w:t>Mean</w:t>
                              </w:r>
                            </w:p>
                            <w:p>
                              <w:pPr>
                                <w:spacing w:line="158" w:lineRule="exact" w:before="119"/>
                                <w:ind w:left="1153" w:right="0" w:firstLine="0"/>
                                <w:jc w:val="left"/>
                                <w:rPr>
                                  <w:rFonts w:ascii="Arial"/>
                                  <w:sz w:val="14"/>
                                </w:rPr>
                              </w:pPr>
                              <w:r>
                                <w:rPr>
                                  <w:rFonts w:ascii="Arial"/>
                                  <w:color w:val="231F20"/>
                                  <w:spacing w:val="-2"/>
                                  <w:sz w:val="14"/>
                                </w:rPr>
                                <w:t>Median</w:t>
                              </w:r>
                            </w:p>
                            <w:p>
                              <w:pPr>
                                <w:spacing w:line="157" w:lineRule="exact" w:before="0"/>
                                <w:ind w:left="0" w:right="2855" w:firstLine="0"/>
                                <w:jc w:val="center"/>
                                <w:rPr>
                                  <w:rFonts w:ascii="Arial"/>
                                  <w:sz w:val="14"/>
                                </w:rPr>
                              </w:pPr>
                              <w:r>
                                <w:rPr>
                                  <w:rFonts w:ascii="Arial"/>
                                  <w:color w:val="231F20"/>
                                  <w:spacing w:val="-5"/>
                                  <w:sz w:val="14"/>
                                </w:rPr>
                                <w:t>800</w:t>
                              </w:r>
                            </w:p>
                          </w:txbxContent>
                        </wps:txbx>
                        <wps:bodyPr wrap="square" lIns="0" tIns="0" rIns="0" bIns="0" rtlCol="0">
                          <a:noAutofit/>
                        </wps:bodyPr>
                      </wps:wsp>
                      <wps:wsp>
                        <wps:cNvPr id="1059" name="Textbox 1059"/>
                        <wps:cNvSpPr txBox="1"/>
                        <wps:spPr>
                          <a:xfrm>
                            <a:off x="2407747" y="322058"/>
                            <a:ext cx="2032635" cy="371475"/>
                          </a:xfrm>
                          <a:prstGeom prst="rect">
                            <a:avLst/>
                          </a:prstGeom>
                        </wps:spPr>
                        <wps:txbx>
                          <w:txbxContent>
                            <w:p>
                              <w:pPr>
                                <w:spacing w:before="3"/>
                                <w:ind w:left="806" w:right="0" w:firstLine="0"/>
                                <w:jc w:val="left"/>
                                <w:rPr>
                                  <w:rFonts w:ascii="Arial" w:hAnsi="Arial"/>
                                  <w:b/>
                                  <w:sz w:val="14"/>
                                </w:rPr>
                              </w:pPr>
                              <w:r>
                                <w:rPr>
                                  <w:rFonts w:ascii="Arial" w:hAnsi="Arial"/>
                                  <w:b/>
                                  <w:color w:val="231F20"/>
                                  <w:w w:val="80"/>
                                  <w:sz w:val="14"/>
                                </w:rPr>
                                <w:t>Postal</w:t>
                              </w:r>
                              <w:r>
                                <w:rPr>
                                  <w:rFonts w:ascii="Arial" w:hAnsi="Arial"/>
                                  <w:b/>
                                  <w:color w:val="231F20"/>
                                  <w:spacing w:val="15"/>
                                  <w:sz w:val="14"/>
                                </w:rPr>
                                <w:t> </w:t>
                              </w:r>
                              <w:r>
                                <w:rPr>
                                  <w:rFonts w:ascii="Arial" w:hAnsi="Arial"/>
                                  <w:b/>
                                  <w:color w:val="231F20"/>
                                  <w:w w:val="80"/>
                                  <w:sz w:val="14"/>
                                </w:rPr>
                                <w:t>delivery</w:t>
                              </w:r>
                              <w:r>
                                <w:rPr>
                                  <w:rFonts w:ascii="Arial" w:hAnsi="Arial"/>
                                  <w:b/>
                                  <w:color w:val="231F20"/>
                                  <w:spacing w:val="15"/>
                                  <w:sz w:val="14"/>
                                </w:rPr>
                                <w:t> </w:t>
                              </w:r>
                              <w:r>
                                <w:rPr>
                                  <w:rFonts w:ascii="Arial" w:hAnsi="Arial"/>
                                  <w:b/>
                                  <w:color w:val="231F20"/>
                                  <w:w w:val="80"/>
                                  <w:sz w:val="14"/>
                                </w:rPr>
                                <w:t>(Singapore–Thailand,</w:t>
                              </w:r>
                              <w:r>
                                <w:rPr>
                                  <w:rFonts w:ascii="Arial" w:hAnsi="Arial"/>
                                  <w:b/>
                                  <w:color w:val="231F20"/>
                                  <w:spacing w:val="7"/>
                                  <w:sz w:val="14"/>
                                </w:rPr>
                                <w:t> </w:t>
                              </w:r>
                              <w:r>
                                <w:rPr>
                                  <w:rFonts w:ascii="Arial" w:hAnsi="Arial"/>
                                  <w:b/>
                                  <w:color w:val="231F20"/>
                                  <w:spacing w:val="-2"/>
                                  <w:w w:val="80"/>
                                  <w:sz w:val="14"/>
                                </w:rPr>
                                <w:t>2019)</w:t>
                              </w:r>
                            </w:p>
                            <w:p>
                              <w:pPr>
                                <w:spacing w:before="39"/>
                                <w:ind w:left="7" w:right="0" w:firstLine="0"/>
                                <w:jc w:val="left"/>
                                <w:rPr>
                                  <w:rFonts w:ascii="Arial"/>
                                  <w:sz w:val="14"/>
                                </w:rPr>
                              </w:pPr>
                              <w:r>
                                <w:rPr>
                                  <w:rFonts w:ascii="Arial"/>
                                  <w:color w:val="231F20"/>
                                  <w:w w:val="80"/>
                                  <w:sz w:val="14"/>
                                </w:rPr>
                                <w:t>Number</w:t>
                              </w:r>
                              <w:r>
                                <w:rPr>
                                  <w:rFonts w:ascii="Arial"/>
                                  <w:color w:val="231F20"/>
                                  <w:spacing w:val="-1"/>
                                  <w:w w:val="80"/>
                                  <w:sz w:val="14"/>
                                </w:rPr>
                                <w:t> </w:t>
                              </w:r>
                              <w:r>
                                <w:rPr>
                                  <w:rFonts w:ascii="Arial"/>
                                  <w:color w:val="231F20"/>
                                  <w:w w:val="80"/>
                                  <w:sz w:val="14"/>
                                </w:rPr>
                                <w:t>of</w:t>
                              </w:r>
                              <w:r>
                                <w:rPr>
                                  <w:rFonts w:ascii="Arial"/>
                                  <w:color w:val="231F20"/>
                                  <w:spacing w:val="-1"/>
                                  <w:w w:val="80"/>
                                  <w:sz w:val="14"/>
                                </w:rPr>
                                <w:t> </w:t>
                              </w:r>
                              <w:r>
                                <w:rPr>
                                  <w:rFonts w:ascii="Arial"/>
                                  <w:color w:val="231F20"/>
                                  <w:w w:val="80"/>
                                  <w:sz w:val="14"/>
                                </w:rPr>
                                <w:t>tracked</w:t>
                              </w:r>
                              <w:r>
                                <w:rPr>
                                  <w:rFonts w:ascii="Arial"/>
                                  <w:color w:val="231F20"/>
                                  <w:spacing w:val="-8"/>
                                  <w:sz w:val="14"/>
                                </w:rPr>
                                <w:t> </w:t>
                              </w:r>
                              <w:r>
                                <w:rPr>
                                  <w:rFonts w:ascii="Arial"/>
                                  <w:color w:val="231F20"/>
                                  <w:spacing w:val="-2"/>
                                  <w:w w:val="80"/>
                                  <w:sz w:val="14"/>
                                </w:rPr>
                                <w:t>items</w:t>
                              </w:r>
                            </w:p>
                            <w:p>
                              <w:pPr>
                                <w:spacing w:line="160" w:lineRule="exact" w:before="60"/>
                                <w:ind w:left="0" w:right="0" w:firstLine="0"/>
                                <w:jc w:val="left"/>
                                <w:rPr>
                                  <w:rFonts w:ascii="Arial"/>
                                  <w:sz w:val="14"/>
                                </w:rPr>
                              </w:pPr>
                              <w:r>
                                <w:rPr>
                                  <w:rFonts w:ascii="Arial"/>
                                  <w:color w:val="231F20"/>
                                  <w:spacing w:val="-2"/>
                                  <w:sz w:val="14"/>
                                </w:rPr>
                                <w:t>5,000</w:t>
                              </w:r>
                            </w:p>
                          </w:txbxContent>
                        </wps:txbx>
                        <wps:bodyPr wrap="square" lIns="0" tIns="0" rIns="0" bIns="0" rtlCol="0">
                          <a:noAutofit/>
                        </wps:bodyPr>
                      </wps:wsp>
                      <wps:wsp>
                        <wps:cNvPr id="1060" name="Textbox 1060"/>
                        <wps:cNvSpPr txBox="1"/>
                        <wps:spPr>
                          <a:xfrm>
                            <a:off x="2616546" y="680960"/>
                            <a:ext cx="24511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4"/>
                                  <w:w w:val="85"/>
                                  <w:sz w:val="14"/>
                                </w:rPr>
                                <w:t>Median</w:t>
                              </w:r>
                            </w:p>
                          </w:txbxContent>
                        </wps:txbx>
                        <wps:bodyPr wrap="square" lIns="0" tIns="0" rIns="0" bIns="0" rtlCol="0">
                          <a:noAutofit/>
                        </wps:bodyPr>
                      </wps:wsp>
                      <wps:wsp>
                        <wps:cNvPr id="1061" name="Textbox 1061"/>
                        <wps:cNvSpPr txBox="1"/>
                        <wps:spPr>
                          <a:xfrm>
                            <a:off x="3009040" y="680960"/>
                            <a:ext cx="18923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4"/>
                                  <w:w w:val="85"/>
                                  <w:sz w:val="14"/>
                                </w:rPr>
                                <w:t>Mean</w:t>
                              </w:r>
                            </w:p>
                          </w:txbxContent>
                        </wps:txbx>
                        <wps:bodyPr wrap="square" lIns="0" tIns="0" rIns="0" bIns="0" rtlCol="0">
                          <a:noAutofit/>
                        </wps:bodyPr>
                      </wps:wsp>
                      <wps:wsp>
                        <wps:cNvPr id="1062" name="Textbox 1062"/>
                        <wps:cNvSpPr txBox="1"/>
                        <wps:spPr>
                          <a:xfrm>
                            <a:off x="2407747" y="956765"/>
                            <a:ext cx="205104"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4,000</w:t>
                              </w:r>
                            </w:p>
                          </w:txbxContent>
                        </wps:txbx>
                        <wps:bodyPr wrap="square" lIns="0" tIns="0" rIns="0" bIns="0" rtlCol="0">
                          <a:noAutofit/>
                        </wps:bodyPr>
                      </wps:wsp>
                      <wps:wsp>
                        <wps:cNvPr id="1063" name="Textbox 1063"/>
                        <wps:cNvSpPr txBox="1"/>
                        <wps:spPr>
                          <a:xfrm>
                            <a:off x="93501" y="1320900"/>
                            <a:ext cx="14097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600</w:t>
                              </w:r>
                            </w:p>
                          </w:txbxContent>
                        </wps:txbx>
                        <wps:bodyPr wrap="square" lIns="0" tIns="0" rIns="0" bIns="0" rtlCol="0">
                          <a:noAutofit/>
                        </wps:bodyPr>
                      </wps:wsp>
                      <wps:wsp>
                        <wps:cNvPr id="1064" name="Textbox 1064"/>
                        <wps:cNvSpPr txBox="1"/>
                        <wps:spPr>
                          <a:xfrm>
                            <a:off x="2407747" y="1320900"/>
                            <a:ext cx="205104"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3,000</w:t>
                              </w:r>
                            </w:p>
                          </w:txbxContent>
                        </wps:txbx>
                        <wps:bodyPr wrap="square" lIns="0" tIns="0" rIns="0" bIns="0" rtlCol="0">
                          <a:noAutofit/>
                        </wps:bodyPr>
                      </wps:wsp>
                      <wps:wsp>
                        <wps:cNvPr id="1065" name="Textbox 1065"/>
                        <wps:cNvSpPr txBox="1"/>
                        <wps:spPr>
                          <a:xfrm>
                            <a:off x="93501" y="1685034"/>
                            <a:ext cx="14097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400</w:t>
                              </w:r>
                            </w:p>
                          </w:txbxContent>
                        </wps:txbx>
                        <wps:bodyPr wrap="square" lIns="0" tIns="0" rIns="0" bIns="0" rtlCol="0">
                          <a:noAutofit/>
                        </wps:bodyPr>
                      </wps:wsp>
                      <wps:wsp>
                        <wps:cNvPr id="1066" name="Textbox 1066"/>
                        <wps:cNvSpPr txBox="1"/>
                        <wps:spPr>
                          <a:xfrm>
                            <a:off x="2407747" y="1685034"/>
                            <a:ext cx="205104"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2,000</w:t>
                              </w:r>
                            </w:p>
                          </w:txbxContent>
                        </wps:txbx>
                        <wps:bodyPr wrap="square" lIns="0" tIns="0" rIns="0" bIns="0" rtlCol="0">
                          <a:noAutofit/>
                        </wps:bodyPr>
                      </wps:wsp>
                      <wps:wsp>
                        <wps:cNvPr id="1067" name="Textbox 1067"/>
                        <wps:cNvSpPr txBox="1"/>
                        <wps:spPr>
                          <a:xfrm>
                            <a:off x="93501" y="2049169"/>
                            <a:ext cx="14097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200</w:t>
                              </w:r>
                            </w:p>
                          </w:txbxContent>
                        </wps:txbx>
                        <wps:bodyPr wrap="square" lIns="0" tIns="0" rIns="0" bIns="0" rtlCol="0">
                          <a:noAutofit/>
                        </wps:bodyPr>
                      </wps:wsp>
                      <wps:wsp>
                        <wps:cNvPr id="1068" name="Textbox 1068"/>
                        <wps:cNvSpPr txBox="1"/>
                        <wps:spPr>
                          <a:xfrm>
                            <a:off x="2407747" y="2049169"/>
                            <a:ext cx="205104"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1,000</w:t>
                              </w:r>
                            </w:p>
                          </w:txbxContent>
                        </wps:txbx>
                        <wps:bodyPr wrap="square" lIns="0" tIns="0" rIns="0" bIns="0" rtlCol="0">
                          <a:noAutofit/>
                        </wps:bodyPr>
                      </wps:wsp>
                      <wps:wsp>
                        <wps:cNvPr id="1069" name="Textbox 1069"/>
                        <wps:cNvSpPr txBox="1"/>
                        <wps:spPr>
                          <a:xfrm>
                            <a:off x="171022" y="2413303"/>
                            <a:ext cx="125095" cy="164465"/>
                          </a:xfrm>
                          <a:prstGeom prst="rect">
                            <a:avLst/>
                          </a:prstGeom>
                        </wps:spPr>
                        <wps:txbx>
                          <w:txbxContent>
                            <w:p>
                              <w:pPr>
                                <w:spacing w:line="235" w:lineRule="auto" w:before="0"/>
                                <w:ind w:left="0" w:right="0" w:firstLine="0"/>
                                <w:jc w:val="left"/>
                                <w:rPr>
                                  <w:rFonts w:ascii="Arial"/>
                                  <w:sz w:val="14"/>
                                </w:rPr>
                              </w:pPr>
                              <w:r>
                                <w:rPr>
                                  <w:rFonts w:ascii="Arial"/>
                                  <w:color w:val="231F20"/>
                                  <w:sz w:val="14"/>
                                </w:rPr>
                                <w:t>0</w:t>
                              </w:r>
                              <w:r>
                                <w:rPr>
                                  <w:rFonts w:ascii="Arial"/>
                                  <w:color w:val="231F20"/>
                                  <w:spacing w:val="-9"/>
                                  <w:sz w:val="14"/>
                                </w:rPr>
                                <w:t> </w:t>
                              </w:r>
                              <w:r>
                                <w:rPr>
                                  <w:rFonts w:ascii="Arial"/>
                                  <w:color w:val="231F20"/>
                                  <w:spacing w:val="-10"/>
                                  <w:position w:val="-9"/>
                                  <w:sz w:val="14"/>
                                </w:rPr>
                                <w:t>0</w:t>
                              </w:r>
                            </w:p>
                          </w:txbxContent>
                        </wps:txbx>
                        <wps:bodyPr wrap="square" lIns="0" tIns="0" rIns="0" bIns="0" rtlCol="0">
                          <a:noAutofit/>
                        </wps:bodyPr>
                      </wps:wsp>
                      <wps:wsp>
                        <wps:cNvPr id="1070" name="Textbox 1070"/>
                        <wps:cNvSpPr txBox="1"/>
                        <wps:spPr>
                          <a:xfrm>
                            <a:off x="735803" y="2476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10</w:t>
                              </w:r>
                            </w:p>
                          </w:txbxContent>
                        </wps:txbx>
                        <wps:bodyPr wrap="square" lIns="0" tIns="0" rIns="0" bIns="0" rtlCol="0">
                          <a:noAutofit/>
                        </wps:bodyPr>
                      </wps:wsp>
                      <wps:wsp>
                        <wps:cNvPr id="1071" name="Textbox 1071"/>
                        <wps:cNvSpPr txBox="1"/>
                        <wps:spPr>
                          <a:xfrm>
                            <a:off x="921099" y="2476689"/>
                            <a:ext cx="761365" cy="227965"/>
                          </a:xfrm>
                          <a:prstGeom prst="rect">
                            <a:avLst/>
                          </a:prstGeom>
                        </wps:spPr>
                        <wps:txbx>
                          <w:txbxContent>
                            <w:p>
                              <w:pPr>
                                <w:spacing w:line="159" w:lineRule="exact" w:before="0"/>
                                <w:ind w:left="0" w:right="18" w:firstLine="0"/>
                                <w:jc w:val="center"/>
                                <w:rPr>
                                  <w:rFonts w:ascii="Arial"/>
                                  <w:sz w:val="14"/>
                                </w:rPr>
                              </w:pPr>
                              <w:r>
                                <w:rPr>
                                  <w:rFonts w:ascii="Arial"/>
                                  <w:color w:val="231F20"/>
                                  <w:spacing w:val="-5"/>
                                  <w:sz w:val="14"/>
                                </w:rPr>
                                <w:t>20</w:t>
                              </w:r>
                            </w:p>
                            <w:p>
                              <w:pPr>
                                <w:spacing w:line="160" w:lineRule="exact" w:before="39"/>
                                <w:ind w:left="0" w:right="18" w:firstLine="0"/>
                                <w:jc w:val="center"/>
                                <w:rPr>
                                  <w:rFonts w:ascii="Arial"/>
                                  <w:sz w:val="14"/>
                                </w:rPr>
                              </w:pPr>
                              <w:r>
                                <w:rPr>
                                  <w:rFonts w:ascii="Arial"/>
                                  <w:color w:val="231F20"/>
                                  <w:w w:val="80"/>
                                  <w:sz w:val="14"/>
                                </w:rPr>
                                <w:t>Import</w:t>
                              </w:r>
                              <w:r>
                                <w:rPr>
                                  <w:rFonts w:ascii="Arial"/>
                                  <w:color w:val="231F20"/>
                                  <w:spacing w:val="-7"/>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7"/>
                                  <w:sz w:val="14"/>
                                </w:rPr>
                                <w:t> </w:t>
                              </w:r>
                              <w:r>
                                <w:rPr>
                                  <w:rFonts w:ascii="Arial"/>
                                  <w:color w:val="231F20"/>
                                  <w:spacing w:val="-5"/>
                                  <w:w w:val="80"/>
                                  <w:sz w:val="14"/>
                                </w:rPr>
                                <w:t>(days)</w:t>
                              </w:r>
                            </w:p>
                          </w:txbxContent>
                        </wps:txbx>
                        <wps:bodyPr wrap="square" lIns="0" tIns="0" rIns="0" bIns="0" rtlCol="0">
                          <a:noAutofit/>
                        </wps:bodyPr>
                      </wps:wsp>
                      <wps:wsp>
                        <wps:cNvPr id="1072" name="Textbox 1072"/>
                        <wps:cNvSpPr txBox="1"/>
                        <wps:spPr>
                          <a:xfrm>
                            <a:off x="1769355" y="2476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30</w:t>
                              </w:r>
                            </w:p>
                          </w:txbxContent>
                        </wps:txbx>
                        <wps:bodyPr wrap="square" lIns="0" tIns="0" rIns="0" bIns="0" rtlCol="0">
                          <a:noAutofit/>
                        </wps:bodyPr>
                      </wps:wsp>
                      <wps:wsp>
                        <wps:cNvPr id="1073" name="Textbox 1073"/>
                        <wps:cNvSpPr txBox="1"/>
                        <wps:spPr>
                          <a:xfrm>
                            <a:off x="2286130" y="2476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40</w:t>
                              </w:r>
                            </w:p>
                          </w:txbxContent>
                        </wps:txbx>
                        <wps:bodyPr wrap="square" lIns="0" tIns="0" rIns="0" bIns="0" rtlCol="0">
                          <a:noAutofit/>
                        </wps:bodyPr>
                      </wps:wsp>
                      <wps:wsp>
                        <wps:cNvPr id="1074" name="Textbox 1074"/>
                        <wps:cNvSpPr txBox="1"/>
                        <wps:spPr>
                          <a:xfrm>
                            <a:off x="2549275" y="2413303"/>
                            <a:ext cx="125095" cy="164465"/>
                          </a:xfrm>
                          <a:prstGeom prst="rect">
                            <a:avLst/>
                          </a:prstGeom>
                        </wps:spPr>
                        <wps:txbx>
                          <w:txbxContent>
                            <w:p>
                              <w:pPr>
                                <w:spacing w:line="235" w:lineRule="auto" w:before="0"/>
                                <w:ind w:left="0" w:right="0" w:firstLine="0"/>
                                <w:jc w:val="left"/>
                                <w:rPr>
                                  <w:rFonts w:ascii="Arial"/>
                                  <w:sz w:val="14"/>
                                </w:rPr>
                              </w:pPr>
                              <w:r>
                                <w:rPr>
                                  <w:rFonts w:ascii="Arial"/>
                                  <w:color w:val="231F20"/>
                                  <w:sz w:val="14"/>
                                </w:rPr>
                                <w:t>0</w:t>
                              </w:r>
                              <w:r>
                                <w:rPr>
                                  <w:rFonts w:ascii="Arial"/>
                                  <w:color w:val="231F20"/>
                                  <w:spacing w:val="-9"/>
                                  <w:sz w:val="14"/>
                                </w:rPr>
                                <w:t> </w:t>
                              </w:r>
                              <w:r>
                                <w:rPr>
                                  <w:rFonts w:ascii="Arial"/>
                                  <w:color w:val="231F20"/>
                                  <w:spacing w:val="-10"/>
                                  <w:position w:val="-9"/>
                                  <w:sz w:val="14"/>
                                </w:rPr>
                                <w:t>0</w:t>
                              </w:r>
                            </w:p>
                          </w:txbxContent>
                        </wps:txbx>
                        <wps:bodyPr wrap="square" lIns="0" tIns="0" rIns="0" bIns="0" rtlCol="0">
                          <a:noAutofit/>
                        </wps:bodyPr>
                      </wps:wsp>
                      <wps:wsp>
                        <wps:cNvPr id="1075" name="Textbox 1075"/>
                        <wps:cNvSpPr txBox="1"/>
                        <wps:spPr>
                          <a:xfrm>
                            <a:off x="3032092" y="2476689"/>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2</w:t>
                              </w:r>
                            </w:p>
                          </w:txbxContent>
                        </wps:txbx>
                        <wps:bodyPr wrap="square" lIns="0" tIns="0" rIns="0" bIns="0" rtlCol="0">
                          <a:noAutofit/>
                        </wps:bodyPr>
                      </wps:wsp>
                      <wps:wsp>
                        <wps:cNvPr id="1076" name="Textbox 1076"/>
                        <wps:cNvSpPr txBox="1"/>
                        <wps:spPr>
                          <a:xfrm>
                            <a:off x="3445476" y="2476689"/>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4</w:t>
                              </w:r>
                            </w:p>
                          </w:txbxContent>
                        </wps:txbx>
                        <wps:bodyPr wrap="square" lIns="0" tIns="0" rIns="0" bIns="0" rtlCol="0">
                          <a:noAutofit/>
                        </wps:bodyPr>
                      </wps:wsp>
                      <wps:wsp>
                        <wps:cNvPr id="1077" name="Textbox 1077"/>
                        <wps:cNvSpPr txBox="1"/>
                        <wps:spPr>
                          <a:xfrm>
                            <a:off x="3858862" y="2476689"/>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6</w:t>
                              </w:r>
                            </w:p>
                          </w:txbxContent>
                        </wps:txbx>
                        <wps:bodyPr wrap="square" lIns="0" tIns="0" rIns="0" bIns="0" rtlCol="0">
                          <a:noAutofit/>
                        </wps:bodyPr>
                      </wps:wsp>
                      <wps:wsp>
                        <wps:cNvPr id="1078" name="Textbox 1078"/>
                        <wps:cNvSpPr txBox="1"/>
                        <wps:spPr>
                          <a:xfrm>
                            <a:off x="4272335" y="2476689"/>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8</w:t>
                              </w:r>
                            </w:p>
                          </w:txbxContent>
                        </wps:txbx>
                        <wps:bodyPr wrap="square" lIns="0" tIns="0" rIns="0" bIns="0" rtlCol="0">
                          <a:noAutofit/>
                        </wps:bodyPr>
                      </wps:wsp>
                      <wps:wsp>
                        <wps:cNvPr id="1079" name="Textbox 1079"/>
                        <wps:cNvSpPr txBox="1"/>
                        <wps:spPr>
                          <a:xfrm>
                            <a:off x="4664385" y="2476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10</w:t>
                              </w:r>
                            </w:p>
                          </w:txbxContent>
                        </wps:txbx>
                        <wps:bodyPr wrap="square" lIns="0" tIns="0" rIns="0" bIns="0" rtlCol="0">
                          <a:noAutofit/>
                        </wps:bodyPr>
                      </wps:wsp>
                      <wps:wsp>
                        <wps:cNvPr id="1080" name="Textbox 1080"/>
                        <wps:cNvSpPr txBox="1"/>
                        <wps:spPr>
                          <a:xfrm>
                            <a:off x="76386" y="2603765"/>
                            <a:ext cx="3945890" cy="375285"/>
                          </a:xfrm>
                          <a:prstGeom prst="rect">
                            <a:avLst/>
                          </a:prstGeom>
                        </wps:spPr>
                        <wps:txbx>
                          <w:txbxContent>
                            <w:p>
                              <w:pPr>
                                <w:spacing w:line="159" w:lineRule="exact" w:before="0"/>
                                <w:ind w:left="0" w:right="65" w:firstLine="0"/>
                                <w:jc w:val="right"/>
                                <w:rPr>
                                  <w:rFonts w:ascii="Arial"/>
                                  <w:sz w:val="14"/>
                                </w:rPr>
                              </w:pPr>
                              <w:r>
                                <w:rPr>
                                  <w:rFonts w:ascii="Arial"/>
                                  <w:color w:val="231F20"/>
                                  <w:w w:val="75"/>
                                  <w:sz w:val="14"/>
                                </w:rPr>
                                <w:t>Delivery</w:t>
                              </w:r>
                              <w:r>
                                <w:rPr>
                                  <w:rFonts w:ascii="Arial"/>
                                  <w:color w:val="231F20"/>
                                  <w:spacing w:val="6"/>
                                  <w:sz w:val="14"/>
                                </w:rPr>
                                <w:t> </w:t>
                              </w:r>
                              <w:r>
                                <w:rPr>
                                  <w:rFonts w:ascii="Arial"/>
                                  <w:color w:val="231F20"/>
                                  <w:w w:val="75"/>
                                  <w:sz w:val="14"/>
                                </w:rPr>
                                <w:t>time</w:t>
                              </w:r>
                              <w:r>
                                <w:rPr>
                                  <w:rFonts w:ascii="Arial"/>
                                  <w:color w:val="231F20"/>
                                  <w:spacing w:val="7"/>
                                  <w:sz w:val="14"/>
                                </w:rPr>
                                <w:t> </w:t>
                              </w:r>
                              <w:r>
                                <w:rPr>
                                  <w:rFonts w:ascii="Arial"/>
                                  <w:color w:val="231F20"/>
                                  <w:spacing w:val="-2"/>
                                  <w:w w:val="75"/>
                                  <w:sz w:val="14"/>
                                </w:rPr>
                                <w:t>(days)</w:t>
                              </w:r>
                            </w:p>
                            <w:p>
                              <w:pPr>
                                <w:spacing w:before="146"/>
                                <w:ind w:left="0" w:right="0" w:firstLine="0"/>
                                <w:jc w:val="left"/>
                                <w:rPr>
                                  <w:rFonts w:ascii="Arial"/>
                                  <w:sz w:val="12"/>
                                </w:rPr>
                              </w:pPr>
                              <w:r>
                                <w:rPr>
                                  <w:rFonts w:ascii="Arial"/>
                                  <w:i/>
                                  <w:color w:val="231F20"/>
                                  <w:w w:val="75"/>
                                  <w:sz w:val="12"/>
                                </w:rPr>
                                <w:t>Source:</w:t>
                              </w:r>
                              <w:r>
                                <w:rPr>
                                  <w:rFonts w:ascii="Arial"/>
                                  <w:i/>
                                  <w:color w:val="231F20"/>
                                  <w:spacing w:val="-4"/>
                                  <w:sz w:val="12"/>
                                </w:rPr>
                                <w:t> </w:t>
                              </w:r>
                              <w:r>
                                <w:rPr>
                                  <w:rFonts w:ascii="Arial"/>
                                  <w:color w:val="231F20"/>
                                  <w:w w:val="75"/>
                                  <w:sz w:val="12"/>
                                </w:rPr>
                                <w:t>TradeLens</w:t>
                              </w:r>
                              <w:r>
                                <w:rPr>
                                  <w:rFonts w:ascii="Arial"/>
                                  <w:color w:val="231F20"/>
                                  <w:spacing w:val="2"/>
                                  <w:sz w:val="12"/>
                                </w:rPr>
                                <w:t> </w:t>
                              </w:r>
                              <w:r>
                                <w:rPr>
                                  <w:rFonts w:ascii="Arial"/>
                                  <w:color w:val="231F20"/>
                                  <w:w w:val="75"/>
                                  <w:sz w:val="12"/>
                                </w:rPr>
                                <w:t>and</w:t>
                              </w:r>
                              <w:r>
                                <w:rPr>
                                  <w:rFonts w:ascii="Arial"/>
                                  <w:color w:val="231F20"/>
                                  <w:spacing w:val="2"/>
                                  <w:sz w:val="12"/>
                                </w:rPr>
                                <w:t> </w:t>
                              </w:r>
                              <w:r>
                                <w:rPr>
                                  <w:rFonts w:ascii="Arial"/>
                                  <w:color w:val="231F20"/>
                                  <w:w w:val="75"/>
                                  <w:sz w:val="12"/>
                                </w:rPr>
                                <w:t>the</w:t>
                              </w:r>
                              <w:r>
                                <w:rPr>
                                  <w:rFonts w:ascii="Arial"/>
                                  <w:color w:val="231F20"/>
                                  <w:spacing w:val="2"/>
                                  <w:sz w:val="12"/>
                                </w:rPr>
                                <w:t> </w:t>
                              </w:r>
                              <w:r>
                                <w:rPr>
                                  <w:rFonts w:ascii="Arial"/>
                                  <w:color w:val="231F20"/>
                                  <w:w w:val="75"/>
                                  <w:sz w:val="12"/>
                                </w:rPr>
                                <w:t>Universal</w:t>
                              </w:r>
                              <w:r>
                                <w:rPr>
                                  <w:rFonts w:ascii="Arial"/>
                                  <w:color w:val="231F20"/>
                                  <w:spacing w:val="2"/>
                                  <w:sz w:val="12"/>
                                </w:rPr>
                                <w:t> </w:t>
                              </w:r>
                              <w:r>
                                <w:rPr>
                                  <w:rFonts w:ascii="Arial"/>
                                  <w:color w:val="231F20"/>
                                  <w:w w:val="75"/>
                                  <w:sz w:val="12"/>
                                </w:rPr>
                                <w:t>Postal</w:t>
                              </w:r>
                              <w:r>
                                <w:rPr>
                                  <w:rFonts w:ascii="Arial"/>
                                  <w:color w:val="231F20"/>
                                  <w:spacing w:val="2"/>
                                  <w:sz w:val="12"/>
                                </w:rPr>
                                <w:t> </w:t>
                              </w:r>
                              <w:r>
                                <w:rPr>
                                  <w:rFonts w:ascii="Arial"/>
                                  <w:color w:val="231F20"/>
                                  <w:spacing w:val="-2"/>
                                  <w:w w:val="75"/>
                                  <w:sz w:val="12"/>
                                </w:rPr>
                                <w:t>Union.</w:t>
                              </w:r>
                            </w:p>
                            <w:p>
                              <w:pPr>
                                <w:spacing w:before="2"/>
                                <w:ind w:left="0" w:right="0" w:firstLine="0"/>
                                <w:jc w:val="left"/>
                                <w:rPr>
                                  <w:rFonts w:ascii="Arial"/>
                                  <w:sz w:val="12"/>
                                </w:rPr>
                              </w:pPr>
                              <w:r>
                                <w:rPr>
                                  <w:rFonts w:ascii="Arial"/>
                                  <w:i/>
                                  <w:color w:val="231F20"/>
                                  <w:w w:val="80"/>
                                  <w:sz w:val="12"/>
                                </w:rPr>
                                <w:t>Note:</w:t>
                              </w:r>
                              <w:r>
                                <w:rPr>
                                  <w:rFonts w:ascii="Arial"/>
                                  <w:i/>
                                  <w:color w:val="231F20"/>
                                  <w:spacing w:val="-3"/>
                                  <w:w w:val="80"/>
                                  <w:sz w:val="12"/>
                                </w:rPr>
                                <w:t> </w:t>
                              </w:r>
                              <w:r>
                                <w:rPr>
                                  <w:rFonts w:ascii="Arial"/>
                                  <w:color w:val="231F20"/>
                                  <w:w w:val="80"/>
                                  <w:sz w:val="12"/>
                                </w:rPr>
                                <w:t>The</w:t>
                              </w:r>
                              <w:r>
                                <w:rPr>
                                  <w:rFonts w:ascii="Arial"/>
                                  <w:color w:val="231F20"/>
                                  <w:spacing w:val="-1"/>
                                  <w:w w:val="80"/>
                                  <w:sz w:val="12"/>
                                </w:rPr>
                                <w:t> </w:t>
                              </w:r>
                              <w:r>
                                <w:rPr>
                                  <w:rFonts w:ascii="Arial"/>
                                  <w:color w:val="231F20"/>
                                  <w:w w:val="80"/>
                                  <w:sz w:val="12"/>
                                </w:rPr>
                                <w:t>distribution</w:t>
                              </w:r>
                              <w:r>
                                <w:rPr>
                                  <w:rFonts w:ascii="Arial"/>
                                  <w:color w:val="231F20"/>
                                  <w:spacing w:val="-2"/>
                                  <w:w w:val="80"/>
                                  <w:sz w:val="12"/>
                                </w:rPr>
                                <w:t> </w:t>
                              </w:r>
                              <w:r>
                                <w:rPr>
                                  <w:rFonts w:ascii="Arial"/>
                                  <w:color w:val="231F20"/>
                                  <w:w w:val="80"/>
                                  <w:sz w:val="12"/>
                                </w:rPr>
                                <w:t>for</w:t>
                              </w:r>
                              <w:r>
                                <w:rPr>
                                  <w:rFonts w:ascii="Arial"/>
                                  <w:color w:val="231F20"/>
                                  <w:spacing w:val="-2"/>
                                  <w:w w:val="80"/>
                                  <w:sz w:val="12"/>
                                </w:rPr>
                                <w:t> </w:t>
                              </w:r>
                              <w:r>
                                <w:rPr>
                                  <w:rFonts w:ascii="Arial"/>
                                  <w:color w:val="231F20"/>
                                  <w:w w:val="80"/>
                                  <w:sz w:val="12"/>
                                </w:rPr>
                                <w:t>the</w:t>
                              </w:r>
                              <w:r>
                                <w:rPr>
                                  <w:rFonts w:ascii="Arial"/>
                                  <w:color w:val="231F20"/>
                                  <w:spacing w:val="-1"/>
                                  <w:w w:val="80"/>
                                  <w:sz w:val="12"/>
                                </w:rPr>
                                <w:t> </w:t>
                              </w:r>
                              <w:r>
                                <w:rPr>
                                  <w:rFonts w:ascii="Arial"/>
                                  <w:color w:val="231F20"/>
                                  <w:w w:val="80"/>
                                  <w:sz w:val="12"/>
                                </w:rPr>
                                <w:t>container</w:t>
                              </w:r>
                              <w:r>
                                <w:rPr>
                                  <w:rFonts w:ascii="Arial"/>
                                  <w:color w:val="231F20"/>
                                  <w:spacing w:val="-2"/>
                                  <w:w w:val="80"/>
                                  <w:sz w:val="12"/>
                                </w:rPr>
                                <w:t> </w:t>
                              </w:r>
                              <w:r>
                                <w:rPr>
                                  <w:rFonts w:ascii="Arial"/>
                                  <w:color w:val="231F20"/>
                                  <w:w w:val="80"/>
                                  <w:sz w:val="12"/>
                                </w:rPr>
                                <w:t>port</w:t>
                              </w:r>
                              <w:r>
                                <w:rPr>
                                  <w:rFonts w:ascii="Arial"/>
                                  <w:color w:val="231F20"/>
                                  <w:spacing w:val="-2"/>
                                  <w:w w:val="80"/>
                                  <w:sz w:val="12"/>
                                </w:rPr>
                                <w:t> </w:t>
                              </w:r>
                              <w:r>
                                <w:rPr>
                                  <w:rFonts w:ascii="Arial"/>
                                  <w:color w:val="231F20"/>
                                  <w:w w:val="80"/>
                                  <w:sz w:val="12"/>
                                </w:rPr>
                                <w:t>example</w:t>
                              </w:r>
                              <w:r>
                                <w:rPr>
                                  <w:rFonts w:ascii="Arial"/>
                                  <w:color w:val="231F20"/>
                                  <w:spacing w:val="-1"/>
                                  <w:w w:val="80"/>
                                  <w:sz w:val="12"/>
                                </w:rPr>
                                <w:t> </w:t>
                              </w:r>
                              <w:r>
                                <w:rPr>
                                  <w:rFonts w:ascii="Arial"/>
                                  <w:color w:val="231F20"/>
                                  <w:w w:val="80"/>
                                  <w:sz w:val="12"/>
                                </w:rPr>
                                <w:t>excludes</w:t>
                              </w:r>
                              <w:r>
                                <w:rPr>
                                  <w:rFonts w:ascii="Arial"/>
                                  <w:color w:val="231F20"/>
                                  <w:spacing w:val="-2"/>
                                  <w:w w:val="80"/>
                                  <w:sz w:val="12"/>
                                </w:rPr>
                                <w:t> </w:t>
                              </w:r>
                              <w:r>
                                <w:rPr>
                                  <w:rFonts w:ascii="Arial"/>
                                  <w:color w:val="231F20"/>
                                  <w:w w:val="80"/>
                                  <w:sz w:val="12"/>
                                </w:rPr>
                                <w:t>67</w:t>
                              </w:r>
                              <w:r>
                                <w:rPr>
                                  <w:rFonts w:ascii="Arial"/>
                                  <w:color w:val="231F20"/>
                                  <w:spacing w:val="-2"/>
                                  <w:w w:val="80"/>
                                  <w:sz w:val="12"/>
                                </w:rPr>
                                <w:t> </w:t>
                              </w:r>
                              <w:r>
                                <w:rPr>
                                  <w:rFonts w:ascii="Arial"/>
                                  <w:color w:val="231F20"/>
                                  <w:w w:val="80"/>
                                  <w:sz w:val="12"/>
                                </w:rPr>
                                <w:t>outliers,</w:t>
                              </w:r>
                              <w:r>
                                <w:rPr>
                                  <w:rFonts w:ascii="Arial"/>
                                  <w:color w:val="231F20"/>
                                  <w:spacing w:val="-2"/>
                                  <w:w w:val="80"/>
                                  <w:sz w:val="12"/>
                                </w:rPr>
                                <w:t> </w:t>
                              </w:r>
                              <w:r>
                                <w:rPr>
                                  <w:rFonts w:ascii="Arial"/>
                                  <w:color w:val="231F20"/>
                                  <w:w w:val="80"/>
                                  <w:sz w:val="12"/>
                                </w:rPr>
                                <w:t>and</w:t>
                              </w:r>
                              <w:r>
                                <w:rPr>
                                  <w:rFonts w:ascii="Arial"/>
                                  <w:color w:val="231F20"/>
                                  <w:spacing w:val="-2"/>
                                  <w:w w:val="80"/>
                                  <w:sz w:val="12"/>
                                </w:rPr>
                                <w:t> </w:t>
                              </w:r>
                              <w:r>
                                <w:rPr>
                                  <w:rFonts w:ascii="Arial"/>
                                  <w:color w:val="231F20"/>
                                  <w:w w:val="80"/>
                                  <w:sz w:val="12"/>
                                </w:rPr>
                                <w:t>the</w:t>
                              </w:r>
                              <w:r>
                                <w:rPr>
                                  <w:rFonts w:ascii="Arial"/>
                                  <w:color w:val="231F20"/>
                                  <w:spacing w:val="-1"/>
                                  <w:w w:val="80"/>
                                  <w:sz w:val="12"/>
                                </w:rPr>
                                <w:t> </w:t>
                              </w:r>
                              <w:r>
                                <w:rPr>
                                  <w:rFonts w:ascii="Arial"/>
                                  <w:color w:val="231F20"/>
                                  <w:w w:val="80"/>
                                  <w:sz w:val="12"/>
                                </w:rPr>
                                <w:t>distribution</w:t>
                              </w:r>
                              <w:r>
                                <w:rPr>
                                  <w:rFonts w:ascii="Arial"/>
                                  <w:color w:val="231F20"/>
                                  <w:spacing w:val="-2"/>
                                  <w:w w:val="80"/>
                                  <w:sz w:val="12"/>
                                </w:rPr>
                                <w:t> </w:t>
                              </w:r>
                              <w:r>
                                <w:rPr>
                                  <w:rFonts w:ascii="Arial"/>
                                  <w:color w:val="231F20"/>
                                  <w:w w:val="80"/>
                                  <w:sz w:val="12"/>
                                </w:rPr>
                                <w:t>for</w:t>
                              </w:r>
                              <w:r>
                                <w:rPr>
                                  <w:rFonts w:ascii="Arial"/>
                                  <w:color w:val="231F20"/>
                                  <w:spacing w:val="-2"/>
                                  <w:w w:val="80"/>
                                  <w:sz w:val="12"/>
                                </w:rPr>
                                <w:t> </w:t>
                              </w:r>
                              <w:r>
                                <w:rPr>
                                  <w:rFonts w:ascii="Arial"/>
                                  <w:color w:val="231F20"/>
                                  <w:w w:val="80"/>
                                  <w:sz w:val="12"/>
                                </w:rPr>
                                <w:t>the</w:t>
                              </w:r>
                              <w:r>
                                <w:rPr>
                                  <w:rFonts w:ascii="Arial"/>
                                  <w:color w:val="231F20"/>
                                  <w:spacing w:val="-1"/>
                                  <w:w w:val="80"/>
                                  <w:sz w:val="12"/>
                                </w:rPr>
                                <w:t> </w:t>
                              </w:r>
                              <w:r>
                                <w:rPr>
                                  <w:rFonts w:ascii="Arial"/>
                                  <w:color w:val="231F20"/>
                                  <w:w w:val="80"/>
                                  <w:sz w:val="12"/>
                                </w:rPr>
                                <w:t>postal</w:t>
                              </w:r>
                              <w:r>
                                <w:rPr>
                                  <w:rFonts w:ascii="Arial"/>
                                  <w:color w:val="231F20"/>
                                  <w:spacing w:val="-1"/>
                                  <w:w w:val="80"/>
                                  <w:sz w:val="12"/>
                                </w:rPr>
                                <w:t> </w:t>
                              </w:r>
                              <w:r>
                                <w:rPr>
                                  <w:rFonts w:ascii="Arial"/>
                                  <w:color w:val="231F20"/>
                                  <w:w w:val="80"/>
                                  <w:sz w:val="12"/>
                                </w:rPr>
                                <w:t>delivery</w:t>
                              </w:r>
                              <w:r>
                                <w:rPr>
                                  <w:rFonts w:ascii="Arial"/>
                                  <w:color w:val="231F20"/>
                                  <w:spacing w:val="-2"/>
                                  <w:w w:val="80"/>
                                  <w:sz w:val="12"/>
                                </w:rPr>
                                <w:t> </w:t>
                              </w:r>
                              <w:r>
                                <w:rPr>
                                  <w:rFonts w:ascii="Arial"/>
                                  <w:color w:val="231F20"/>
                                  <w:w w:val="80"/>
                                  <w:sz w:val="12"/>
                                </w:rPr>
                                <w:t>example</w:t>
                              </w:r>
                              <w:r>
                                <w:rPr>
                                  <w:rFonts w:ascii="Arial"/>
                                  <w:color w:val="231F20"/>
                                  <w:spacing w:val="-1"/>
                                  <w:w w:val="80"/>
                                  <w:sz w:val="12"/>
                                </w:rPr>
                                <w:t> </w:t>
                              </w:r>
                              <w:r>
                                <w:rPr>
                                  <w:rFonts w:ascii="Arial"/>
                                  <w:color w:val="231F20"/>
                                  <w:w w:val="80"/>
                                  <w:sz w:val="12"/>
                                </w:rPr>
                                <w:t>excludes</w:t>
                              </w:r>
                              <w:r>
                                <w:rPr>
                                  <w:rFonts w:ascii="Arial"/>
                                  <w:color w:val="231F20"/>
                                  <w:spacing w:val="-1"/>
                                  <w:w w:val="80"/>
                                  <w:sz w:val="12"/>
                                </w:rPr>
                                <w:t> </w:t>
                              </w:r>
                              <w:r>
                                <w:rPr>
                                  <w:rFonts w:ascii="Arial"/>
                                  <w:color w:val="231F20"/>
                                  <w:w w:val="80"/>
                                  <w:sz w:val="12"/>
                                </w:rPr>
                                <w:t>55</w:t>
                              </w:r>
                              <w:r>
                                <w:rPr>
                                  <w:rFonts w:ascii="Arial"/>
                                  <w:color w:val="231F20"/>
                                  <w:spacing w:val="-1"/>
                                  <w:w w:val="80"/>
                                  <w:sz w:val="12"/>
                                </w:rPr>
                                <w:t> </w:t>
                              </w:r>
                              <w:r>
                                <w:rPr>
                                  <w:rFonts w:ascii="Arial"/>
                                  <w:color w:val="231F20"/>
                                  <w:spacing w:val="-2"/>
                                  <w:w w:val="80"/>
                                  <w:sz w:val="12"/>
                                </w:rPr>
                                <w:t>outliers.</w:t>
                              </w:r>
                            </w:p>
                          </w:txbxContent>
                        </wps:txbx>
                        <wps:bodyPr wrap="square" lIns="0" tIns="0" rIns="0" bIns="0" rtlCol="0">
                          <a:noAutofit/>
                        </wps:bodyPr>
                      </wps:wsp>
                    </wpg:wgp>
                  </a:graphicData>
                </a:graphic>
              </wp:inline>
            </w:drawing>
          </mc:Choice>
          <mc:Fallback>
            <w:pict>
              <v:group style="width:384.05pt;height:242.9pt;mso-position-horizontal-relative:char;mso-position-vertical-relative:line" id="docshapegroup779" coordorigin="0,0" coordsize="7681,4858">
                <v:shape style="position:absolute;left:0;top:406;width:7680;height:4451" id="docshape780" coordorigin="0,406" coordsize="7680,4451" path="m7680,406l0,406,0,4739,10,4785,36,4823,74,4848,119,4857,7556,4857,7602,4849,7642,4825,7670,4788,7680,4739,7680,406xe" filled="true" fillcolor="#dfeaf7" stroked="false">
                  <v:path arrowok="t"/>
                  <v:fill type="solid"/>
                </v:shape>
                <v:line style="position:absolute" from="4157,3875" to="7413,3875" stroked="true" strokeweight=".5pt" strokecolor="#ffffff">
                  <v:stroke dashstyle="solid"/>
                </v:line>
                <v:shape style="position:absolute;left:4157;top:1581;width:3256;height:1721" id="docshape781" coordorigin="4157,1581" coordsize="3256,1721" path="m4157,3302l4192,3302m5158,3302l7413,3302m4157,2728l4192,2728m4836,2728l7413,2728m4157,2155l4514,2155m4836,2155l7413,2155m4157,1581l4514,1581m4836,1581l7413,1581e" filled="false" stroked="true" strokeweight=".5pt" strokecolor="#ffffff">
                  <v:path arrowok="t"/>
                  <v:stroke dashstyle="solid"/>
                </v:shape>
                <v:line style="position:absolute" from="4157,1008" to="7413,1008" stroked="true" strokeweight=".5pt" strokecolor="#ffffff">
                  <v:stroke dashstyle="solid"/>
                </v:line>
                <v:line style="position:absolute" from="412,3875" to="3667,3875" stroked="true" strokeweight=".5pt" strokecolor="#ffffff">
                  <v:stroke dashstyle="solid"/>
                </v:line>
                <v:line style="position:absolute" from="412,3302" to="424,3302" stroked="true" strokeweight=".5pt" strokecolor="#ffffff">
                  <v:stroke dashstyle="solid"/>
                </v:line>
                <v:line style="position:absolute" from="505,3297" to="505,3307" stroked="true" strokeweight=".029pt" strokecolor="#ffffff">
                  <v:stroke dashstyle="solid"/>
                </v:line>
                <v:shape style="position:absolute;left:745;top:3296;width:563;height:10" id="docshape782" coordorigin="746,3297" coordsize="563,10" path="m746,3297l746,3307m906,3297l906,3307m1147,3297l1147,3307m1308,3297l1308,3307e" filled="false" stroked="true" strokeweight=".029pt" strokecolor="#ffffff">
                  <v:path arrowok="t"/>
                  <v:stroke dashstyle="solid"/>
                </v:shape>
                <v:shape style="position:absolute;left:412;top:2728;width:3256;height:574" id="docshape783" coordorigin="412,2728" coordsize="3256,574" path="m1469,3302l3667,3302m412,2728l505,2728e" filled="false" stroked="true" strokeweight=".5pt" strokecolor="#ffffff">
                  <v:path arrowok="t"/>
                  <v:stroke dashstyle="solid"/>
                </v:shape>
                <v:shape style="position:absolute;left:745;top:2723;width:161;height:10" id="docshape784" coordorigin="746,2723" coordsize="161,10" path="m746,2723l746,2733m906,2723l906,2733e" filled="false" stroked="true" strokeweight=".029pt" strokecolor="#ffffff">
                  <v:path arrowok="t"/>
                  <v:stroke dashstyle="solid"/>
                </v:shape>
                <v:shape style="position:absolute;left:412;top:2154;width:3256;height:574" id="docshape785" coordorigin="412,2155" coordsize="3256,574" path="m1147,2728l3667,2728m412,2155l505,2155e" filled="false" stroked="true" strokeweight=".5pt" strokecolor="#ffffff">
                  <v:path arrowok="t"/>
                  <v:stroke dashstyle="solid"/>
                </v:shape>
                <v:line style="position:absolute" from="746,2150" to="746,2160" stroked="true" strokeweight=".029pt" strokecolor="#ffffff">
                  <v:stroke dashstyle="solid"/>
                </v:line>
                <v:shape style="position:absolute;left:412;top:1581;width:3256;height:574" id="docshape786" coordorigin="412,1581" coordsize="3256,574" path="m906,2155l3667,2155m412,1581l746,1581m826,1581l3667,1581e" filled="false" stroked="true" strokeweight=".5pt" strokecolor="#ffffff">
                  <v:path arrowok="t"/>
                  <v:stroke dashstyle="solid"/>
                </v:shape>
                <v:line style="position:absolute" from="412,1008" to="3667,1008" stroked="true" strokeweight=".5pt" strokecolor="#ffffff">
                  <v:stroke dashstyle="solid"/>
                </v:line>
                <v:shape style="position:absolute;left:0;top:0;width:807;height:365" id="docshape787" coordorigin="0,0" coordsize="807,365" path="m807,0l120,0,74,5,36,23,10,59,0,120,0,365,807,365,807,0xe" filled="true" fillcolor="#008fdd" stroked="false">
                  <v:path arrowok="t"/>
                  <v:fill type="solid"/>
                </v:shape>
                <v:shape style="position:absolute;left:806;top:0;width:6873;height:365" id="docshape788" coordorigin="807,0" coordsize="6873,365" path="m7559,0l807,0,807,365,7679,365,7679,120,7671,80,7646,41,7608,12,7559,0xe" filled="true" fillcolor="#808285" stroked="false">
                  <v:path arrowok="t"/>
                  <v:fill type="solid"/>
                </v:shape>
                <v:line style="position:absolute" from="807,0" to="807,379" stroked="true" strokeweight="2pt" strokecolor="#ffffff">
                  <v:stroke dashstyle="solid"/>
                </v:line>
                <v:rect style="position:absolute;left:424;top:3147;width:81;height:729" id="docshape789" filled="true" fillcolor="#008fdd" stroked="false">
                  <v:fill type="solid"/>
                </v:rect>
                <v:rect style="position:absolute;left:424;top:3147;width:81;height:729" id="docshape790" filled="false" stroked="true" strokeweight=".25pt" strokecolor="#ffffff">
                  <v:stroke dashstyle="solid"/>
                </v:rect>
                <v:rect style="position:absolute;left:505;top:2105;width:81;height:1771" id="docshape791" filled="true" fillcolor="#008fdd" stroked="false">
                  <v:fill type="solid"/>
                </v:rect>
                <v:rect style="position:absolute;left:505;top:2105;width:81;height:1771" id="docshape792" filled="false" stroked="true" strokeweight=".25pt" strokecolor="#ffffff">
                  <v:stroke dashstyle="solid"/>
                </v:rect>
                <v:rect style="position:absolute;left:585;top:1753;width:81;height:2123" id="docshape793" filled="true" fillcolor="#008fdd" stroked="false">
                  <v:fill type="solid"/>
                </v:rect>
                <v:rect style="position:absolute;left:585;top:1753;width:81;height:2123" id="docshape794" filled="false" stroked="true" strokeweight=".25pt" strokecolor="#ffffff">
                  <v:stroke dashstyle="solid"/>
                </v:rect>
                <v:rect style="position:absolute;left:665;top:1669;width:81;height:2207" id="docshape795" filled="true" fillcolor="#008fdd" stroked="false">
                  <v:fill type="solid"/>
                </v:rect>
                <v:rect style="position:absolute;left:665;top:1669;width:81;height:2207" id="docshape796" filled="false" stroked="true" strokeweight=".25pt" strokecolor="#ffffff">
                  <v:stroke dashstyle="solid"/>
                </v:rect>
                <v:rect style="position:absolute;left:745;top:1027;width:81;height:2849" id="docshape797" filled="true" fillcolor="#008fdd" stroked="false">
                  <v:fill type="solid"/>
                </v:rect>
                <v:rect style="position:absolute;left:745;top:1027;width:81;height:2849" id="docshape798" filled="false" stroked="true" strokeweight=".25pt" strokecolor="#ffffff">
                  <v:stroke dashstyle="solid"/>
                </v:rect>
                <v:rect style="position:absolute;left:826;top:1659;width:81;height:2217" id="docshape799" filled="true" fillcolor="#008fdd" stroked="false">
                  <v:fill type="solid"/>
                </v:rect>
                <v:rect style="position:absolute;left:826;top:1659;width:81;height:2217" id="docshape800" filled="false" stroked="true" strokeweight=".25pt" strokecolor="#ffffff">
                  <v:stroke dashstyle="solid"/>
                </v:rect>
                <v:rect style="position:absolute;left:906;top:2209;width:81;height:1667" id="docshape801" filled="true" fillcolor="#008fdd" stroked="false">
                  <v:fill type="solid"/>
                </v:rect>
                <v:rect style="position:absolute;left:906;top:2209;width:81;height:1667" id="docshape802" filled="false" stroked="true" strokeweight=".25pt" strokecolor="#ffffff">
                  <v:stroke dashstyle="solid"/>
                </v:rect>
                <v:rect style="position:absolute;left:986;top:2264;width:81;height:1612" id="docshape803" filled="true" fillcolor="#008fdd" stroked="false">
                  <v:fill type="solid"/>
                </v:rect>
                <v:rect style="position:absolute;left:986;top:2264;width:81;height:1612" id="docshape804" filled="false" stroked="true" strokeweight=".25pt" strokecolor="#ffffff">
                  <v:stroke dashstyle="solid"/>
                </v:rect>
                <v:rect style="position:absolute;left:1067;top:2656;width:81;height:1220" id="docshape805" filled="true" fillcolor="#008fdd" stroked="false">
                  <v:fill type="solid"/>
                </v:rect>
                <v:rect style="position:absolute;left:1067;top:2656;width:81;height:1220" id="docshape806" filled="false" stroked="true" strokeweight=".25pt" strokecolor="#ffffff">
                  <v:stroke dashstyle="solid"/>
                </v:rect>
                <v:rect style="position:absolute;left:1147;top:2927;width:81;height:949" id="docshape807" filled="true" fillcolor="#008fdd" stroked="false">
                  <v:fill type="solid"/>
                </v:rect>
                <v:rect style="position:absolute;left:1147;top:2927;width:81;height:949" id="docshape808" filled="false" stroked="true" strokeweight=".25pt" strokecolor="#ffffff">
                  <v:stroke dashstyle="solid"/>
                </v:rect>
                <v:rect style="position:absolute;left:1227;top:3107;width:81;height:769" id="docshape809" filled="true" fillcolor="#008fdd" stroked="false">
                  <v:fill type="solid"/>
                </v:rect>
                <v:rect style="position:absolute;left:1227;top:3107;width:81;height:769" id="docshape810" filled="false" stroked="true" strokeweight=".25pt" strokecolor="#ffffff">
                  <v:stroke dashstyle="solid"/>
                </v:rect>
                <v:rect style="position:absolute;left:1308;top:3196;width:81;height:680" id="docshape811" filled="true" fillcolor="#008fdd" stroked="false">
                  <v:fill type="solid"/>
                </v:rect>
                <v:rect style="position:absolute;left:1308;top:3196;width:81;height:680" id="docshape812" filled="false" stroked="true" strokeweight=".25pt" strokecolor="#ffffff">
                  <v:stroke dashstyle="solid"/>
                </v:rect>
                <v:rect style="position:absolute;left:1388;top:3296;width:81;height:580" id="docshape813" filled="true" fillcolor="#008fdd" stroked="false">
                  <v:fill type="solid"/>
                </v:rect>
                <v:rect style="position:absolute;left:1388;top:3296;width:81;height:580" id="docshape814" filled="false" stroked="true" strokeweight=".25pt" strokecolor="#ffffff">
                  <v:stroke dashstyle="solid"/>
                </v:rect>
                <v:rect style="position:absolute;left:1468;top:3408;width:81;height:468" id="docshape815" filled="true" fillcolor="#008fdd" stroked="false">
                  <v:fill type="solid"/>
                </v:rect>
                <v:rect style="position:absolute;left:1468;top:3408;width:81;height:468" id="docshape816" filled="false" stroked="true" strokeweight=".25pt" strokecolor="#ffffff">
                  <v:stroke dashstyle="solid"/>
                </v:rect>
                <v:rect style="position:absolute;left:1549;top:3440;width:81;height:436" id="docshape817" filled="true" fillcolor="#008fdd" stroked="false">
                  <v:fill type="solid"/>
                </v:rect>
                <v:rect style="position:absolute;left:1549;top:3440;width:81;height:436" id="docshape818" filled="false" stroked="true" strokeweight=".25pt" strokecolor="#ffffff">
                  <v:stroke dashstyle="solid"/>
                </v:rect>
                <v:rect style="position:absolute;left:1629;top:3603;width:81;height:273" id="docshape819" filled="true" fillcolor="#008fdd" stroked="false">
                  <v:fill type="solid"/>
                </v:rect>
                <v:rect style="position:absolute;left:1629;top:3603;width:81;height:273" id="docshape820" filled="false" stroked="true" strokeweight=".25pt" strokecolor="#ffffff">
                  <v:stroke dashstyle="solid"/>
                </v:rect>
                <v:rect style="position:absolute;left:1709;top:3669;width:81;height:207" id="docshape821" filled="true" fillcolor="#008fdd" stroked="false">
                  <v:fill type="solid"/>
                </v:rect>
                <v:rect style="position:absolute;left:1709;top:3669;width:81;height:207" id="docshape822" filled="false" stroked="true" strokeweight=".25pt" strokecolor="#ffffff">
                  <v:stroke dashstyle="solid"/>
                </v:rect>
                <v:rect style="position:absolute;left:1790;top:3594;width:81;height:282" id="docshape823" filled="true" fillcolor="#008fdd" stroked="false">
                  <v:fill type="solid"/>
                </v:rect>
                <v:rect style="position:absolute;left:1790;top:3594;width:81;height:282" id="docshape824" filled="false" stroked="true" strokeweight=".25pt" strokecolor="#ffffff">
                  <v:stroke dashstyle="solid"/>
                </v:rect>
                <v:rect style="position:absolute;left:1870;top:3632;width:81;height:244" id="docshape825" filled="true" fillcolor="#008fdd" stroked="false">
                  <v:fill type="solid"/>
                </v:rect>
                <v:rect style="position:absolute;left:1870;top:3632;width:81;height:244" id="docshape826" filled="false" stroked="true" strokeweight=".25pt" strokecolor="#ffffff">
                  <v:stroke dashstyle="solid"/>
                </v:rect>
                <v:rect style="position:absolute;left:1951;top:3617;width:81;height:259" id="docshape827" filled="true" fillcolor="#008fdd" stroked="false">
                  <v:fill type="solid"/>
                </v:rect>
                <v:rect style="position:absolute;left:1951;top:3617;width:81;height:259" id="docshape828" filled="false" stroked="true" strokeweight=".25pt" strokecolor="#ffffff">
                  <v:stroke dashstyle="solid"/>
                </v:rect>
                <v:rect style="position:absolute;left:2031;top:3712;width:81;height:164" id="docshape829" filled="true" fillcolor="#008fdd" stroked="false">
                  <v:fill type="solid"/>
                </v:rect>
                <v:rect style="position:absolute;left:2031;top:3712;width:81;height:164" id="docshape830" filled="false" stroked="true" strokeweight=".25pt" strokecolor="#ffffff">
                  <v:stroke dashstyle="solid"/>
                </v:rect>
                <v:rect style="position:absolute;left:2111;top:3721;width:81;height:155" id="docshape831" filled="true" fillcolor="#008fdd" stroked="false">
                  <v:fill type="solid"/>
                </v:rect>
                <v:rect style="position:absolute;left:2111;top:3721;width:81;height:155" id="docshape832" filled="false" stroked="true" strokeweight=".25pt" strokecolor="#ffffff">
                  <v:stroke dashstyle="solid"/>
                </v:rect>
                <v:rect style="position:absolute;left:2192;top:3700;width:81;height:176" id="docshape833" filled="true" fillcolor="#008fdd" stroked="false">
                  <v:fill type="solid"/>
                </v:rect>
                <v:rect style="position:absolute;left:2192;top:3700;width:81;height:176" id="docshape834" filled="false" stroked="true" strokeweight=".25pt" strokecolor="#ffffff">
                  <v:stroke dashstyle="solid"/>
                </v:rect>
                <v:rect style="position:absolute;left:2272;top:3752;width:81;height:124" id="docshape835" filled="true" fillcolor="#008fdd" stroked="false">
                  <v:fill type="solid"/>
                </v:rect>
                <v:rect style="position:absolute;left:2272;top:3752;width:81;height:124" id="docshape836" filled="false" stroked="true" strokeweight=".25pt" strokecolor="#ffffff">
                  <v:stroke dashstyle="solid"/>
                </v:rect>
                <v:rect style="position:absolute;left:2353;top:3792;width:81;height:84" id="docshape837" filled="true" fillcolor="#008fdd" stroked="false">
                  <v:fill type="solid"/>
                </v:rect>
                <v:rect style="position:absolute;left:2353;top:3792;width:81;height:84" id="docshape838" filled="false" stroked="true" strokeweight=".25pt" strokecolor="#ffffff">
                  <v:stroke dashstyle="solid"/>
                </v:rect>
                <v:rect style="position:absolute;left:2433;top:3730;width:81;height:146" id="docshape839" filled="true" fillcolor="#008fdd" stroked="false">
                  <v:fill type="solid"/>
                </v:rect>
                <v:rect style="position:absolute;left:2433;top:3730;width:81;height:146" id="docshape840" filled="false" stroked="true" strokeweight=".25pt" strokecolor="#ffffff">
                  <v:stroke dashstyle="solid"/>
                </v:rect>
                <v:rect style="position:absolute;left:2513;top:3775;width:81;height:101" id="docshape841" filled="true" fillcolor="#008fdd" stroked="false">
                  <v:fill type="solid"/>
                </v:rect>
                <v:shape style="position:absolute;left:2513;top:3775;width:81;height:101" id="docshape842" coordorigin="2513,3775" coordsize="81,101" path="m2513,3876l2594,3876,2594,3775,2514,3775,2514,3876,2513,3876xe" filled="false" stroked="true" strokeweight=".25pt" strokecolor="#ffffff">
                  <v:path arrowok="t"/>
                  <v:stroke dashstyle="solid"/>
                </v:shape>
                <v:rect style="position:absolute;left:2593;top:3813;width:81;height:63" id="docshape843" filled="true" fillcolor="#008fdd" stroked="false">
                  <v:fill type="solid"/>
                </v:rect>
                <v:rect style="position:absolute;left:2593;top:3813;width:81;height:63" id="docshape844" filled="false" stroked="true" strokeweight=".25pt" strokecolor="#ffffff">
                  <v:stroke dashstyle="solid"/>
                </v:rect>
                <v:rect style="position:absolute;left:2674;top:3813;width:81;height:63" id="docshape845" filled="true" fillcolor="#008fdd" stroked="false">
                  <v:fill type="solid"/>
                </v:rect>
                <v:rect style="position:absolute;left:2674;top:3813;width:81;height:63" id="docshape846" filled="false" stroked="true" strokeweight=".25pt" strokecolor="#ffffff">
                  <v:stroke dashstyle="solid"/>
                </v:rect>
                <v:rect style="position:absolute;left:2754;top:3789;width:81;height:87" id="docshape847" filled="true" fillcolor="#008fdd" stroked="false">
                  <v:fill type="solid"/>
                </v:rect>
                <v:rect style="position:absolute;left:2754;top:3789;width:81;height:87" id="docshape848" filled="false" stroked="true" strokeweight=".25pt" strokecolor="#ffffff">
                  <v:stroke dashstyle="solid"/>
                </v:rect>
                <v:rect style="position:absolute;left:2834;top:3815;width:81;height:61" id="docshape849" filled="true" fillcolor="#008fdd" stroked="false">
                  <v:fill type="solid"/>
                </v:rect>
                <v:rect style="position:absolute;left:2834;top:3815;width:81;height:61" id="docshape850" filled="false" stroked="true" strokeweight=".25pt" strokecolor="#ffffff">
                  <v:stroke dashstyle="solid"/>
                </v:rect>
                <v:rect style="position:absolute;left:2915;top:3795;width:81;height:81" id="docshape851" filled="true" fillcolor="#008fdd" stroked="false">
                  <v:fill type="solid"/>
                </v:rect>
                <v:rect style="position:absolute;left:2915;top:3795;width:81;height:81" id="docshape852" filled="false" stroked="true" strokeweight=".25pt" strokecolor="#ffffff">
                  <v:stroke dashstyle="solid"/>
                </v:rect>
                <v:rect style="position:absolute;left:2995;top:3829;width:81;height:47" id="docshape853" filled="true" fillcolor="#008fdd" stroked="false">
                  <v:fill type="solid"/>
                </v:rect>
                <v:rect style="position:absolute;left:2995;top:3829;width:81;height:47" id="docshape854" filled="false" stroked="true" strokeweight=".25pt" strokecolor="#ffffff">
                  <v:stroke dashstyle="solid"/>
                </v:rect>
                <v:rect style="position:absolute;left:3075;top:3815;width:81;height:61" id="docshape855" filled="true" fillcolor="#008fdd" stroked="false">
                  <v:fill type="solid"/>
                </v:rect>
                <v:rect style="position:absolute;left:3075;top:3815;width:81;height:61" id="docshape856" filled="false" stroked="true" strokeweight=".25pt" strokecolor="#ffffff">
                  <v:stroke dashstyle="solid"/>
                </v:rect>
                <v:rect style="position:absolute;left:3155;top:3844;width:81;height:32" id="docshape857" filled="true" fillcolor="#008fdd" stroked="false">
                  <v:fill type="solid"/>
                </v:rect>
                <v:rect style="position:absolute;left:3155;top:3844;width:81;height:32" id="docshape858" filled="false" stroked="true" strokeweight=".25pt" strokecolor="#ffffff">
                  <v:stroke dashstyle="solid"/>
                </v:rect>
                <v:rect style="position:absolute;left:3236;top:3829;width:81;height:47" id="docshape859" filled="true" fillcolor="#008fdd" stroked="false">
                  <v:fill type="solid"/>
                </v:rect>
                <v:rect style="position:absolute;left:3236;top:3829;width:81;height:47" id="docshape860" filled="false" stroked="true" strokeweight=".25pt" strokecolor="#ffffff">
                  <v:stroke dashstyle="solid"/>
                </v:rect>
                <v:rect style="position:absolute;left:3316;top:3861;width:81;height:15" id="docshape861" filled="true" fillcolor="#008fdd" stroked="false">
                  <v:fill type="solid"/>
                </v:rect>
                <v:rect style="position:absolute;left:3316;top:3861;width:81;height:15" id="docshape862" filled="false" stroked="true" strokeweight=".25pt" strokecolor="#ffffff">
                  <v:stroke dashstyle="solid"/>
                </v:rect>
                <v:rect style="position:absolute;left:3397;top:3861;width:81;height:15" id="docshape863" filled="true" fillcolor="#008fdd" stroked="false">
                  <v:fill type="solid"/>
                </v:rect>
                <v:rect style="position:absolute;left:3397;top:3861;width:81;height:15" id="docshape864" filled="false" stroked="true" strokeweight=".25pt" strokecolor="#ffffff">
                  <v:stroke dashstyle="solid"/>
                </v:rect>
                <v:rect style="position:absolute;left:3477;top:3844;width:81;height:32" id="docshape865" filled="true" fillcolor="#008fdd" stroked="false">
                  <v:fill type="solid"/>
                </v:rect>
                <v:rect style="position:absolute;left:3477;top:3844;width:81;height:32" id="docshape866" filled="false" stroked="true" strokeweight=".25pt" strokecolor="#ffffff">
                  <v:stroke dashstyle="solid"/>
                </v:rect>
                <v:rect style="position:absolute;left:3557;top:3832;width:81;height:44" id="docshape867" filled="true" fillcolor="#008fdd" stroked="false">
                  <v:fill type="solid"/>
                </v:rect>
                <v:rect style="position:absolute;left:3557;top:3832;width:81;height:44" id="docshape868" filled="false" stroked="true" strokeweight=".25pt" strokecolor="#ffffff">
                  <v:stroke dashstyle="solid"/>
                </v:rect>
                <v:line style="position:absolute" from="1061,3875" to="1061,1008" stroked="true" strokeweight="1pt" strokecolor="#231f20">
                  <v:stroke dashstyle="solid"/>
                </v:line>
                <v:line style="position:absolute" from="894,3875" to="894,3835" stroked="true" strokeweight="1pt" strokecolor="#231f20">
                  <v:stroke dashstyle="solid"/>
                </v:line>
                <v:line style="position:absolute" from="894,3774" to="894,1079" stroked="true" strokeweight="1pt" strokecolor="#231f20">
                  <v:stroke dashstyle="shortdash"/>
                </v:line>
                <v:line style="position:absolute" from="894,1048" to="894,1008" stroked="true" strokeweight="1pt" strokecolor="#231f20">
                  <v:stroke dashstyle="solid"/>
                </v:line>
                <v:shape style="position:absolute;left:891;top:1428;width:286;height:2" id="docshape869" coordorigin="891,1428" coordsize="286,0" path="m1177,1428l891,1428e" filled="true" fillcolor="#ffffff" stroked="false">
                  <v:path arrowok="t"/>
                  <v:fill type="solid"/>
                </v:shape>
                <v:line style="position:absolute" from="1177,1428" to="891,1428" stroked="true" strokeweight=".25pt" strokecolor="#231f20">
                  <v:stroke dashstyle="solid"/>
                </v:line>
                <v:line style="position:absolute" from="412,3875" to="3667,3875" stroked="true" strokeweight=".5pt" strokecolor="#ffffff">
                  <v:stroke dashstyle="solid"/>
                </v:line>
                <v:line style="position:absolute" from="4157,3875" to="7413,3875" stroked="true" strokeweight=".5pt" strokecolor="#ffffff">
                  <v:stroke dashstyle="solid"/>
                </v:line>
                <v:rect style="position:absolute;left:4192;top:2375;width:322;height:1500" id="docshape870" filled="true" fillcolor="#008fdd" stroked="false">
                  <v:fill type="solid"/>
                </v:rect>
                <v:rect style="position:absolute;left:4192;top:2375;width:322;height:1500" id="docshape871" filled="false" stroked="true" strokeweight=".25pt" strokecolor="#ffffff">
                  <v:stroke dashstyle="solid"/>
                </v:rect>
                <v:rect style="position:absolute;left:4514;top:1421;width:322;height:2454" id="docshape872" filled="true" fillcolor="#008fdd" stroked="false">
                  <v:fill type="solid"/>
                </v:rect>
                <v:rect style="position:absolute;left:4514;top:1421;width:322;height:2454" id="docshape873" filled="false" stroked="true" strokeweight=".25pt" strokecolor="#ffffff">
                  <v:stroke dashstyle="solid"/>
                </v:rect>
                <v:rect style="position:absolute;left:4836;top:3135;width:322;height:740" id="docshape874" filled="true" fillcolor="#008fdd" stroked="false">
                  <v:fill type="solid"/>
                </v:rect>
                <v:rect style="position:absolute;left:4836;top:3135;width:322;height:740" id="docshape875" filled="false" stroked="true" strokeweight=".25pt" strokecolor="#ffffff">
                  <v:stroke dashstyle="solid"/>
                </v:rect>
                <v:rect style="position:absolute;left:5158;top:3618;width:322;height:257" id="docshape876" filled="true" fillcolor="#008fdd" stroked="false">
                  <v:fill type="solid"/>
                </v:rect>
                <v:rect style="position:absolute;left:5158;top:3618;width:322;height:257" id="docshape877" filled="false" stroked="true" strokeweight=".25pt" strokecolor="#ffffff">
                  <v:stroke dashstyle="solid"/>
                </v:rect>
                <v:rect style="position:absolute;left:5480;top:3763;width:322;height:112" id="docshape878" filled="true" fillcolor="#008fdd" stroked="false">
                  <v:fill type="solid"/>
                </v:rect>
                <v:rect style="position:absolute;left:5480;top:3763;width:322;height:112" id="docshape879" filled="false" stroked="true" strokeweight=".25pt" strokecolor="#ffffff">
                  <v:stroke dashstyle="solid"/>
                </v:rect>
                <v:rect style="position:absolute;left:5802;top:3837;width:322;height:38" id="docshape880" filled="true" fillcolor="#008fdd" stroked="false">
                  <v:fill type="solid"/>
                </v:rect>
                <v:rect style="position:absolute;left:5802;top:3837;width:322;height:38" id="docshape881" filled="false" stroked="true" strokeweight=".25pt" strokecolor="#ffffff">
                  <v:stroke dashstyle="solid"/>
                </v:rect>
                <v:rect style="position:absolute;left:6123;top:3840;width:322;height:35" id="docshape882" filled="true" fillcolor="#008fdd" stroked="false">
                  <v:fill type="solid"/>
                </v:rect>
                <v:rect style="position:absolute;left:6123;top:3840;width:322;height:35" id="docshape883" filled="false" stroked="true" strokeweight=".25pt" strokecolor="#ffffff">
                  <v:stroke dashstyle="solid"/>
                </v:rect>
                <v:rect style="position:absolute;left:6445;top:3852;width:322;height:23" id="docshape884" filled="true" fillcolor="#008fdd" stroked="false">
                  <v:fill type="solid"/>
                </v:rect>
                <v:rect style="position:absolute;left:6445;top:3852;width:322;height:23" id="docshape885" filled="false" stroked="true" strokeweight=".25pt" strokecolor="#ffffff">
                  <v:stroke dashstyle="solid"/>
                </v:rect>
                <v:rect style="position:absolute;left:6767;top:3862;width:322;height:13" id="docshape886" filled="true" fillcolor="#008fdd" stroked="false">
                  <v:fill type="solid"/>
                </v:rect>
                <v:rect style="position:absolute;left:6767;top:3862;width:322;height:13" id="docshape887" filled="false" stroked="true" strokeweight=".25pt" strokecolor="#ffffff">
                  <v:stroke dashstyle="solid"/>
                </v:rect>
                <v:rect style="position:absolute;left:7089;top:3868;width:322;height:7" id="docshape888" filled="true" fillcolor="#008fdd" stroked="false">
                  <v:fill type="solid"/>
                </v:rect>
                <v:rect style="position:absolute;left:7089;top:3868;width:322;height:7" id="docshape889" filled="false" stroked="true" strokeweight=".25pt" strokecolor="#ffffff">
                  <v:stroke dashstyle="solid"/>
                </v:rect>
                <v:line style="position:absolute" from="4567,3875" to="4567,1008" stroked="true" strokeweight="1pt" strokecolor="#231f20">
                  <v:stroke dashstyle="shortdash"/>
                </v:line>
                <v:line style="position:absolute" from="4664,3875" to="4664,1008" stroked="true" strokeweight="1pt" strokecolor="#231f20">
                  <v:stroke dashstyle="solid"/>
                </v:line>
                <v:shape style="position:absolute;left:120;top:105;width:4753;height:192" type="#_x0000_t202" id="docshape890" filled="false" stroked="false">
                  <v:textbox inset="0,0,0,0">
                    <w:txbxContent>
                      <w:p>
                        <w:pPr>
                          <w:spacing w:before="3"/>
                          <w:ind w:left="0" w:right="0" w:firstLine="0"/>
                          <w:jc w:val="left"/>
                          <w:rPr>
                            <w:rFonts w:ascii="Arial"/>
                            <w:b/>
                            <w:sz w:val="16"/>
                          </w:rPr>
                        </w:pPr>
                        <w:r>
                          <w:rPr>
                            <w:rFonts w:ascii="Arial"/>
                            <w:color w:val="FFFFFF"/>
                            <w:sz w:val="16"/>
                          </w:rPr>
                          <w:t>Figure</w:t>
                        </w:r>
                        <w:r>
                          <w:rPr>
                            <w:rFonts w:ascii="Arial"/>
                            <w:color w:val="FFFFFF"/>
                            <w:spacing w:val="7"/>
                            <w:sz w:val="16"/>
                          </w:rPr>
                          <w:t> </w:t>
                        </w:r>
                        <w:r>
                          <w:rPr>
                            <w:rFonts w:ascii="Arial"/>
                            <w:b/>
                            <w:color w:val="FFFFFF"/>
                            <w:sz w:val="16"/>
                          </w:rPr>
                          <w:t>3.2</w:t>
                        </w:r>
                        <w:r>
                          <w:rPr>
                            <w:rFonts w:ascii="Arial"/>
                            <w:b/>
                            <w:color w:val="FFFFFF"/>
                            <w:spacing w:val="54"/>
                            <w:sz w:val="16"/>
                          </w:rPr>
                          <w:t>  </w:t>
                        </w:r>
                        <w:r>
                          <w:rPr>
                            <w:rFonts w:ascii="Arial"/>
                            <w:b/>
                            <w:color w:val="FFFFFF"/>
                            <w:sz w:val="16"/>
                          </w:rPr>
                          <w:t>Examples</w:t>
                        </w:r>
                        <w:r>
                          <w:rPr>
                            <w:rFonts w:ascii="Arial"/>
                            <w:b/>
                            <w:color w:val="FFFFFF"/>
                            <w:spacing w:val="7"/>
                            <w:sz w:val="16"/>
                          </w:rPr>
                          <w:t> </w:t>
                        </w:r>
                        <w:r>
                          <w:rPr>
                            <w:rFonts w:ascii="Arial"/>
                            <w:b/>
                            <w:color w:val="FFFFFF"/>
                            <w:sz w:val="16"/>
                          </w:rPr>
                          <w:t>of</w:t>
                        </w:r>
                        <w:r>
                          <w:rPr>
                            <w:rFonts w:ascii="Arial"/>
                            <w:b/>
                            <w:color w:val="FFFFFF"/>
                            <w:spacing w:val="8"/>
                            <w:sz w:val="16"/>
                          </w:rPr>
                          <w:t> </w:t>
                        </w:r>
                        <w:r>
                          <w:rPr>
                            <w:rFonts w:ascii="Arial"/>
                            <w:b/>
                            <w:color w:val="FFFFFF"/>
                            <w:sz w:val="16"/>
                          </w:rPr>
                          <w:t>the</w:t>
                        </w:r>
                        <w:r>
                          <w:rPr>
                            <w:rFonts w:ascii="Arial"/>
                            <w:b/>
                            <w:color w:val="FFFFFF"/>
                            <w:spacing w:val="7"/>
                            <w:sz w:val="16"/>
                          </w:rPr>
                          <w:t> </w:t>
                        </w:r>
                        <w:r>
                          <w:rPr>
                            <w:rFonts w:ascii="Arial"/>
                            <w:b/>
                            <w:color w:val="FFFFFF"/>
                            <w:sz w:val="16"/>
                          </w:rPr>
                          <w:t>distribution</w:t>
                        </w:r>
                        <w:r>
                          <w:rPr>
                            <w:rFonts w:ascii="Arial"/>
                            <w:b/>
                            <w:color w:val="FFFFFF"/>
                            <w:spacing w:val="7"/>
                            <w:sz w:val="16"/>
                          </w:rPr>
                          <w:t> </w:t>
                        </w:r>
                        <w:r>
                          <w:rPr>
                            <w:rFonts w:ascii="Arial"/>
                            <w:b/>
                            <w:color w:val="FFFFFF"/>
                            <w:sz w:val="16"/>
                          </w:rPr>
                          <w:t>of</w:t>
                        </w:r>
                        <w:r>
                          <w:rPr>
                            <w:rFonts w:ascii="Arial"/>
                            <w:b/>
                            <w:color w:val="FFFFFF"/>
                            <w:spacing w:val="7"/>
                            <w:sz w:val="16"/>
                          </w:rPr>
                          <w:t> </w:t>
                        </w:r>
                        <w:r>
                          <w:rPr>
                            <w:rFonts w:ascii="Arial"/>
                            <w:b/>
                            <w:color w:val="FFFFFF"/>
                            <w:sz w:val="16"/>
                          </w:rPr>
                          <w:t>import</w:t>
                        </w:r>
                        <w:r>
                          <w:rPr>
                            <w:rFonts w:ascii="Arial"/>
                            <w:b/>
                            <w:color w:val="FFFFFF"/>
                            <w:spacing w:val="7"/>
                            <w:sz w:val="16"/>
                          </w:rPr>
                          <w:t> </w:t>
                        </w:r>
                        <w:r>
                          <w:rPr>
                            <w:rFonts w:ascii="Arial"/>
                            <w:b/>
                            <w:color w:val="FFFFFF"/>
                            <w:sz w:val="16"/>
                          </w:rPr>
                          <w:t>dwell</w:t>
                        </w:r>
                        <w:r>
                          <w:rPr>
                            <w:rFonts w:ascii="Arial"/>
                            <w:b/>
                            <w:color w:val="FFFFFF"/>
                            <w:spacing w:val="7"/>
                            <w:sz w:val="16"/>
                          </w:rPr>
                          <w:t> </w:t>
                        </w:r>
                        <w:r>
                          <w:rPr>
                            <w:rFonts w:ascii="Arial"/>
                            <w:b/>
                            <w:color w:val="FFFFFF"/>
                            <w:spacing w:val="-4"/>
                            <w:sz w:val="16"/>
                          </w:rPr>
                          <w:t>time</w:t>
                        </w:r>
                      </w:p>
                    </w:txbxContent>
                  </v:textbox>
                  <w10:wrap type="none"/>
                </v:shape>
                <v:shape style="position:absolute;left:46;top:507;width:3261;height:1158" type="#_x0000_t202" id="docshape891" filled="false" stroked="false">
                  <v:textbox inset="0,0,0,0">
                    <w:txbxContent>
                      <w:p>
                        <w:pPr>
                          <w:spacing w:before="3"/>
                          <w:ind w:left="746" w:right="0" w:firstLine="0"/>
                          <w:jc w:val="left"/>
                          <w:rPr>
                            <w:rFonts w:ascii="Arial" w:hAnsi="Arial"/>
                            <w:b/>
                            <w:sz w:val="14"/>
                          </w:rPr>
                        </w:pPr>
                        <w:r>
                          <w:rPr>
                            <w:rFonts w:ascii="Arial" w:hAnsi="Arial"/>
                            <w:b/>
                            <w:color w:val="231F20"/>
                            <w:w w:val="80"/>
                            <w:sz w:val="14"/>
                          </w:rPr>
                          <w:t>Container</w:t>
                        </w:r>
                        <w:r>
                          <w:rPr>
                            <w:rFonts w:ascii="Arial" w:hAnsi="Arial"/>
                            <w:b/>
                            <w:color w:val="231F20"/>
                            <w:spacing w:val="3"/>
                            <w:sz w:val="14"/>
                          </w:rPr>
                          <w:t> </w:t>
                        </w:r>
                        <w:r>
                          <w:rPr>
                            <w:rFonts w:ascii="Arial" w:hAnsi="Arial"/>
                            <w:b/>
                            <w:color w:val="231F20"/>
                            <w:w w:val="80"/>
                            <w:sz w:val="14"/>
                          </w:rPr>
                          <w:t>port</w:t>
                        </w:r>
                        <w:r>
                          <w:rPr>
                            <w:rFonts w:ascii="Arial" w:hAnsi="Arial"/>
                            <w:b/>
                            <w:color w:val="231F20"/>
                            <w:spacing w:val="4"/>
                            <w:sz w:val="14"/>
                          </w:rPr>
                          <w:t> </w:t>
                        </w:r>
                        <w:r>
                          <w:rPr>
                            <w:rFonts w:ascii="Arial" w:hAnsi="Arial"/>
                            <w:b/>
                            <w:color w:val="231F20"/>
                            <w:w w:val="80"/>
                            <w:sz w:val="14"/>
                          </w:rPr>
                          <w:t>(Le</w:t>
                        </w:r>
                        <w:r>
                          <w:rPr>
                            <w:rFonts w:ascii="Arial" w:hAnsi="Arial"/>
                            <w:b/>
                            <w:color w:val="231F20"/>
                            <w:spacing w:val="4"/>
                            <w:sz w:val="14"/>
                          </w:rPr>
                          <w:t> </w:t>
                        </w:r>
                        <w:r>
                          <w:rPr>
                            <w:rFonts w:ascii="Arial" w:hAnsi="Arial"/>
                            <w:b/>
                            <w:color w:val="231F20"/>
                            <w:w w:val="80"/>
                            <w:sz w:val="14"/>
                          </w:rPr>
                          <w:t>Havre,</w:t>
                        </w:r>
                        <w:r>
                          <w:rPr>
                            <w:rFonts w:ascii="Arial" w:hAnsi="Arial"/>
                            <w:b/>
                            <w:color w:val="231F20"/>
                            <w:spacing w:val="-3"/>
                            <w:sz w:val="14"/>
                          </w:rPr>
                          <w:t> </w:t>
                        </w:r>
                        <w:r>
                          <w:rPr>
                            <w:rFonts w:ascii="Arial" w:hAnsi="Arial"/>
                            <w:b/>
                            <w:color w:val="231F20"/>
                            <w:w w:val="80"/>
                            <w:sz w:val="14"/>
                          </w:rPr>
                          <w:t>May–October</w:t>
                        </w:r>
                        <w:r>
                          <w:rPr>
                            <w:rFonts w:ascii="Arial" w:hAnsi="Arial"/>
                            <w:b/>
                            <w:color w:val="231F20"/>
                            <w:spacing w:val="3"/>
                            <w:sz w:val="14"/>
                          </w:rPr>
                          <w:t> </w:t>
                        </w:r>
                        <w:r>
                          <w:rPr>
                            <w:rFonts w:ascii="Arial" w:hAnsi="Arial"/>
                            <w:b/>
                            <w:color w:val="231F20"/>
                            <w:spacing w:val="-2"/>
                            <w:w w:val="80"/>
                            <w:sz w:val="14"/>
                          </w:rPr>
                          <w:t>2022)</w:t>
                        </w:r>
                      </w:p>
                      <w:p>
                        <w:pPr>
                          <w:spacing w:before="39"/>
                          <w:ind w:left="20" w:right="0" w:firstLine="0"/>
                          <w:jc w:val="left"/>
                          <w:rPr>
                            <w:rFonts w:ascii="Arial"/>
                            <w:sz w:val="14"/>
                          </w:rPr>
                        </w:pPr>
                        <w:r>
                          <w:rPr>
                            <w:rFonts w:ascii="Arial"/>
                            <w:color w:val="231F20"/>
                            <w:w w:val="80"/>
                            <w:sz w:val="14"/>
                          </w:rPr>
                          <w:t>Number</w:t>
                        </w:r>
                        <w:r>
                          <w:rPr>
                            <w:rFonts w:ascii="Arial"/>
                            <w:color w:val="231F20"/>
                            <w:spacing w:val="-2"/>
                            <w:w w:val="80"/>
                            <w:sz w:val="14"/>
                          </w:rPr>
                          <w:t> </w:t>
                        </w:r>
                        <w:r>
                          <w:rPr>
                            <w:rFonts w:ascii="Arial"/>
                            <w:color w:val="231F20"/>
                            <w:w w:val="80"/>
                            <w:sz w:val="14"/>
                          </w:rPr>
                          <w:t>of</w:t>
                        </w:r>
                        <w:r>
                          <w:rPr>
                            <w:rFonts w:ascii="Arial"/>
                            <w:color w:val="231F20"/>
                            <w:spacing w:val="-1"/>
                            <w:w w:val="80"/>
                            <w:sz w:val="14"/>
                          </w:rPr>
                          <w:t> </w:t>
                        </w:r>
                        <w:r>
                          <w:rPr>
                            <w:rFonts w:ascii="Arial"/>
                            <w:color w:val="231F20"/>
                            <w:spacing w:val="-2"/>
                            <w:w w:val="80"/>
                            <w:sz w:val="14"/>
                          </w:rPr>
                          <w:t>consignments</w:t>
                        </w:r>
                      </w:p>
                      <w:p>
                        <w:pPr>
                          <w:spacing w:line="150" w:lineRule="exact" w:before="60"/>
                          <w:ind w:left="0" w:right="0" w:firstLine="0"/>
                          <w:jc w:val="left"/>
                          <w:rPr>
                            <w:rFonts w:ascii="Arial"/>
                            <w:sz w:val="14"/>
                          </w:rPr>
                        </w:pPr>
                        <w:r>
                          <w:rPr>
                            <w:rFonts w:ascii="Arial"/>
                            <w:color w:val="231F20"/>
                            <w:spacing w:val="-2"/>
                            <w:sz w:val="14"/>
                          </w:rPr>
                          <w:t>1,000</w:t>
                        </w:r>
                      </w:p>
                      <w:p>
                        <w:pPr>
                          <w:spacing w:line="150" w:lineRule="exact" w:before="0"/>
                          <w:ind w:left="1074" w:right="0" w:firstLine="0"/>
                          <w:jc w:val="left"/>
                          <w:rPr>
                            <w:rFonts w:ascii="Arial"/>
                            <w:sz w:val="14"/>
                          </w:rPr>
                        </w:pPr>
                        <w:r>
                          <w:rPr>
                            <w:rFonts w:ascii="Arial"/>
                            <w:color w:val="231F20"/>
                            <w:spacing w:val="-4"/>
                            <w:sz w:val="14"/>
                          </w:rPr>
                          <w:t>Mean</w:t>
                        </w:r>
                      </w:p>
                      <w:p>
                        <w:pPr>
                          <w:spacing w:line="158" w:lineRule="exact" w:before="119"/>
                          <w:ind w:left="1153" w:right="0" w:firstLine="0"/>
                          <w:jc w:val="left"/>
                          <w:rPr>
                            <w:rFonts w:ascii="Arial"/>
                            <w:sz w:val="14"/>
                          </w:rPr>
                        </w:pPr>
                        <w:r>
                          <w:rPr>
                            <w:rFonts w:ascii="Arial"/>
                            <w:color w:val="231F20"/>
                            <w:spacing w:val="-2"/>
                            <w:sz w:val="14"/>
                          </w:rPr>
                          <w:t>Median</w:t>
                        </w:r>
                      </w:p>
                      <w:p>
                        <w:pPr>
                          <w:spacing w:line="157" w:lineRule="exact" w:before="0"/>
                          <w:ind w:left="0" w:right="2855" w:firstLine="0"/>
                          <w:jc w:val="center"/>
                          <w:rPr>
                            <w:rFonts w:ascii="Arial"/>
                            <w:sz w:val="14"/>
                          </w:rPr>
                        </w:pPr>
                        <w:r>
                          <w:rPr>
                            <w:rFonts w:ascii="Arial"/>
                            <w:color w:val="231F20"/>
                            <w:spacing w:val="-5"/>
                            <w:sz w:val="14"/>
                          </w:rPr>
                          <w:t>800</w:t>
                        </w:r>
                      </w:p>
                    </w:txbxContent>
                  </v:textbox>
                  <w10:wrap type="none"/>
                </v:shape>
                <v:shape style="position:absolute;left:3791;top:507;width:3201;height:585" type="#_x0000_t202" id="docshape892" filled="false" stroked="false">
                  <v:textbox inset="0,0,0,0">
                    <w:txbxContent>
                      <w:p>
                        <w:pPr>
                          <w:spacing w:before="3"/>
                          <w:ind w:left="806" w:right="0" w:firstLine="0"/>
                          <w:jc w:val="left"/>
                          <w:rPr>
                            <w:rFonts w:ascii="Arial" w:hAnsi="Arial"/>
                            <w:b/>
                            <w:sz w:val="14"/>
                          </w:rPr>
                        </w:pPr>
                        <w:r>
                          <w:rPr>
                            <w:rFonts w:ascii="Arial" w:hAnsi="Arial"/>
                            <w:b/>
                            <w:color w:val="231F20"/>
                            <w:w w:val="80"/>
                            <w:sz w:val="14"/>
                          </w:rPr>
                          <w:t>Postal</w:t>
                        </w:r>
                        <w:r>
                          <w:rPr>
                            <w:rFonts w:ascii="Arial" w:hAnsi="Arial"/>
                            <w:b/>
                            <w:color w:val="231F20"/>
                            <w:spacing w:val="15"/>
                            <w:sz w:val="14"/>
                          </w:rPr>
                          <w:t> </w:t>
                        </w:r>
                        <w:r>
                          <w:rPr>
                            <w:rFonts w:ascii="Arial" w:hAnsi="Arial"/>
                            <w:b/>
                            <w:color w:val="231F20"/>
                            <w:w w:val="80"/>
                            <w:sz w:val="14"/>
                          </w:rPr>
                          <w:t>delivery</w:t>
                        </w:r>
                        <w:r>
                          <w:rPr>
                            <w:rFonts w:ascii="Arial" w:hAnsi="Arial"/>
                            <w:b/>
                            <w:color w:val="231F20"/>
                            <w:spacing w:val="15"/>
                            <w:sz w:val="14"/>
                          </w:rPr>
                          <w:t> </w:t>
                        </w:r>
                        <w:r>
                          <w:rPr>
                            <w:rFonts w:ascii="Arial" w:hAnsi="Arial"/>
                            <w:b/>
                            <w:color w:val="231F20"/>
                            <w:w w:val="80"/>
                            <w:sz w:val="14"/>
                          </w:rPr>
                          <w:t>(Singapore–Thailand,</w:t>
                        </w:r>
                        <w:r>
                          <w:rPr>
                            <w:rFonts w:ascii="Arial" w:hAnsi="Arial"/>
                            <w:b/>
                            <w:color w:val="231F20"/>
                            <w:spacing w:val="7"/>
                            <w:sz w:val="14"/>
                          </w:rPr>
                          <w:t> </w:t>
                        </w:r>
                        <w:r>
                          <w:rPr>
                            <w:rFonts w:ascii="Arial" w:hAnsi="Arial"/>
                            <w:b/>
                            <w:color w:val="231F20"/>
                            <w:spacing w:val="-2"/>
                            <w:w w:val="80"/>
                            <w:sz w:val="14"/>
                          </w:rPr>
                          <w:t>2019)</w:t>
                        </w:r>
                      </w:p>
                      <w:p>
                        <w:pPr>
                          <w:spacing w:before="39"/>
                          <w:ind w:left="7" w:right="0" w:firstLine="0"/>
                          <w:jc w:val="left"/>
                          <w:rPr>
                            <w:rFonts w:ascii="Arial"/>
                            <w:sz w:val="14"/>
                          </w:rPr>
                        </w:pPr>
                        <w:r>
                          <w:rPr>
                            <w:rFonts w:ascii="Arial"/>
                            <w:color w:val="231F20"/>
                            <w:w w:val="80"/>
                            <w:sz w:val="14"/>
                          </w:rPr>
                          <w:t>Number</w:t>
                        </w:r>
                        <w:r>
                          <w:rPr>
                            <w:rFonts w:ascii="Arial"/>
                            <w:color w:val="231F20"/>
                            <w:spacing w:val="-1"/>
                            <w:w w:val="80"/>
                            <w:sz w:val="14"/>
                          </w:rPr>
                          <w:t> </w:t>
                        </w:r>
                        <w:r>
                          <w:rPr>
                            <w:rFonts w:ascii="Arial"/>
                            <w:color w:val="231F20"/>
                            <w:w w:val="80"/>
                            <w:sz w:val="14"/>
                          </w:rPr>
                          <w:t>of</w:t>
                        </w:r>
                        <w:r>
                          <w:rPr>
                            <w:rFonts w:ascii="Arial"/>
                            <w:color w:val="231F20"/>
                            <w:spacing w:val="-1"/>
                            <w:w w:val="80"/>
                            <w:sz w:val="14"/>
                          </w:rPr>
                          <w:t> </w:t>
                        </w:r>
                        <w:r>
                          <w:rPr>
                            <w:rFonts w:ascii="Arial"/>
                            <w:color w:val="231F20"/>
                            <w:w w:val="80"/>
                            <w:sz w:val="14"/>
                          </w:rPr>
                          <w:t>tracked</w:t>
                        </w:r>
                        <w:r>
                          <w:rPr>
                            <w:rFonts w:ascii="Arial"/>
                            <w:color w:val="231F20"/>
                            <w:spacing w:val="-8"/>
                            <w:sz w:val="14"/>
                          </w:rPr>
                          <w:t> </w:t>
                        </w:r>
                        <w:r>
                          <w:rPr>
                            <w:rFonts w:ascii="Arial"/>
                            <w:color w:val="231F20"/>
                            <w:spacing w:val="-2"/>
                            <w:w w:val="80"/>
                            <w:sz w:val="14"/>
                          </w:rPr>
                          <w:t>items</w:t>
                        </w:r>
                      </w:p>
                      <w:p>
                        <w:pPr>
                          <w:spacing w:line="160" w:lineRule="exact" w:before="60"/>
                          <w:ind w:left="0" w:right="0" w:firstLine="0"/>
                          <w:jc w:val="left"/>
                          <w:rPr>
                            <w:rFonts w:ascii="Arial"/>
                            <w:sz w:val="14"/>
                          </w:rPr>
                        </w:pPr>
                        <w:r>
                          <w:rPr>
                            <w:rFonts w:ascii="Arial"/>
                            <w:color w:val="231F20"/>
                            <w:spacing w:val="-2"/>
                            <w:sz w:val="14"/>
                          </w:rPr>
                          <w:t>5,000</w:t>
                        </w:r>
                      </w:p>
                    </w:txbxContent>
                  </v:textbox>
                  <w10:wrap type="none"/>
                </v:shape>
                <v:shape style="position:absolute;left:4120;top:1072;width:386;height:159" type="#_x0000_t202" id="docshape893" filled="false" stroked="false">
                  <v:textbox inset="0,0,0,0">
                    <w:txbxContent>
                      <w:p>
                        <w:pPr>
                          <w:spacing w:line="158" w:lineRule="exact" w:before="0"/>
                          <w:ind w:left="0" w:right="0" w:firstLine="0"/>
                          <w:jc w:val="left"/>
                          <w:rPr>
                            <w:rFonts w:ascii="Arial"/>
                            <w:sz w:val="14"/>
                          </w:rPr>
                        </w:pPr>
                        <w:r>
                          <w:rPr>
                            <w:rFonts w:ascii="Arial"/>
                            <w:color w:val="231F20"/>
                            <w:spacing w:val="-4"/>
                            <w:w w:val="85"/>
                            <w:sz w:val="14"/>
                          </w:rPr>
                          <w:t>Median</w:t>
                        </w:r>
                      </w:p>
                    </w:txbxContent>
                  </v:textbox>
                  <w10:wrap type="none"/>
                </v:shape>
                <v:shape style="position:absolute;left:4738;top:1072;width:298;height:159" type="#_x0000_t202" id="docshape894" filled="false" stroked="false">
                  <v:textbox inset="0,0,0,0">
                    <w:txbxContent>
                      <w:p>
                        <w:pPr>
                          <w:spacing w:line="158" w:lineRule="exact" w:before="0"/>
                          <w:ind w:left="0" w:right="0" w:firstLine="0"/>
                          <w:jc w:val="left"/>
                          <w:rPr>
                            <w:rFonts w:ascii="Arial"/>
                            <w:sz w:val="14"/>
                          </w:rPr>
                        </w:pPr>
                        <w:r>
                          <w:rPr>
                            <w:rFonts w:ascii="Arial"/>
                            <w:color w:val="231F20"/>
                            <w:spacing w:val="-4"/>
                            <w:w w:val="85"/>
                            <w:sz w:val="14"/>
                          </w:rPr>
                          <w:t>Mean</w:t>
                        </w:r>
                      </w:p>
                    </w:txbxContent>
                  </v:textbox>
                  <w10:wrap type="none"/>
                </v:shape>
                <v:shape style="position:absolute;left:3791;top:1506;width:323;height:159" type="#_x0000_t202" id="docshape895" filled="false" stroked="false">
                  <v:textbox inset="0,0,0,0">
                    <w:txbxContent>
                      <w:p>
                        <w:pPr>
                          <w:spacing w:line="158" w:lineRule="exact" w:before="0"/>
                          <w:ind w:left="0" w:right="0" w:firstLine="0"/>
                          <w:jc w:val="left"/>
                          <w:rPr>
                            <w:rFonts w:ascii="Arial"/>
                            <w:sz w:val="14"/>
                          </w:rPr>
                        </w:pPr>
                        <w:r>
                          <w:rPr>
                            <w:rFonts w:ascii="Arial"/>
                            <w:color w:val="231F20"/>
                            <w:spacing w:val="-9"/>
                            <w:sz w:val="14"/>
                          </w:rPr>
                          <w:t>4,000</w:t>
                        </w:r>
                      </w:p>
                    </w:txbxContent>
                  </v:textbox>
                  <w10:wrap type="none"/>
                </v:shape>
                <v:shape style="position:absolute;left:147;top:2080;width:222;height:159" type="#_x0000_t202" id="docshape896" filled="false" stroked="false">
                  <v:textbox inset="0,0,0,0">
                    <w:txbxContent>
                      <w:p>
                        <w:pPr>
                          <w:spacing w:line="158" w:lineRule="exact" w:before="0"/>
                          <w:ind w:left="0" w:right="0" w:firstLine="0"/>
                          <w:jc w:val="left"/>
                          <w:rPr>
                            <w:rFonts w:ascii="Arial"/>
                            <w:sz w:val="14"/>
                          </w:rPr>
                        </w:pPr>
                        <w:r>
                          <w:rPr>
                            <w:rFonts w:ascii="Arial"/>
                            <w:color w:val="231F20"/>
                            <w:spacing w:val="-9"/>
                            <w:sz w:val="14"/>
                          </w:rPr>
                          <w:t>600</w:t>
                        </w:r>
                      </w:p>
                    </w:txbxContent>
                  </v:textbox>
                  <w10:wrap type="none"/>
                </v:shape>
                <v:shape style="position:absolute;left:3791;top:2080;width:323;height:159" type="#_x0000_t202" id="docshape897" filled="false" stroked="false">
                  <v:textbox inset="0,0,0,0">
                    <w:txbxContent>
                      <w:p>
                        <w:pPr>
                          <w:spacing w:line="158" w:lineRule="exact" w:before="0"/>
                          <w:ind w:left="0" w:right="0" w:firstLine="0"/>
                          <w:jc w:val="left"/>
                          <w:rPr>
                            <w:rFonts w:ascii="Arial"/>
                            <w:sz w:val="14"/>
                          </w:rPr>
                        </w:pPr>
                        <w:r>
                          <w:rPr>
                            <w:rFonts w:ascii="Arial"/>
                            <w:color w:val="231F20"/>
                            <w:spacing w:val="-9"/>
                            <w:sz w:val="14"/>
                          </w:rPr>
                          <w:t>3,000</w:t>
                        </w:r>
                      </w:p>
                    </w:txbxContent>
                  </v:textbox>
                  <w10:wrap type="none"/>
                </v:shape>
                <v:shape style="position:absolute;left:147;top:2653;width:222;height:159" type="#_x0000_t202" id="docshape898" filled="false" stroked="false">
                  <v:textbox inset="0,0,0,0">
                    <w:txbxContent>
                      <w:p>
                        <w:pPr>
                          <w:spacing w:line="158" w:lineRule="exact" w:before="0"/>
                          <w:ind w:left="0" w:right="0" w:firstLine="0"/>
                          <w:jc w:val="left"/>
                          <w:rPr>
                            <w:rFonts w:ascii="Arial"/>
                            <w:sz w:val="14"/>
                          </w:rPr>
                        </w:pPr>
                        <w:r>
                          <w:rPr>
                            <w:rFonts w:ascii="Arial"/>
                            <w:color w:val="231F20"/>
                            <w:spacing w:val="-9"/>
                            <w:sz w:val="14"/>
                          </w:rPr>
                          <w:t>400</w:t>
                        </w:r>
                      </w:p>
                    </w:txbxContent>
                  </v:textbox>
                  <w10:wrap type="none"/>
                </v:shape>
                <v:shape style="position:absolute;left:3791;top:2653;width:323;height:159" type="#_x0000_t202" id="docshape899" filled="false" stroked="false">
                  <v:textbox inset="0,0,0,0">
                    <w:txbxContent>
                      <w:p>
                        <w:pPr>
                          <w:spacing w:line="158" w:lineRule="exact" w:before="0"/>
                          <w:ind w:left="0" w:right="0" w:firstLine="0"/>
                          <w:jc w:val="left"/>
                          <w:rPr>
                            <w:rFonts w:ascii="Arial"/>
                            <w:sz w:val="14"/>
                          </w:rPr>
                        </w:pPr>
                        <w:r>
                          <w:rPr>
                            <w:rFonts w:ascii="Arial"/>
                            <w:color w:val="231F20"/>
                            <w:spacing w:val="-9"/>
                            <w:sz w:val="14"/>
                          </w:rPr>
                          <w:t>2,000</w:t>
                        </w:r>
                      </w:p>
                    </w:txbxContent>
                  </v:textbox>
                  <w10:wrap type="none"/>
                </v:shape>
                <v:shape style="position:absolute;left:147;top:3227;width:222;height:159" type="#_x0000_t202" id="docshape900" filled="false" stroked="false">
                  <v:textbox inset="0,0,0,0">
                    <w:txbxContent>
                      <w:p>
                        <w:pPr>
                          <w:spacing w:line="158" w:lineRule="exact" w:before="0"/>
                          <w:ind w:left="0" w:right="0" w:firstLine="0"/>
                          <w:jc w:val="left"/>
                          <w:rPr>
                            <w:rFonts w:ascii="Arial"/>
                            <w:sz w:val="14"/>
                          </w:rPr>
                        </w:pPr>
                        <w:r>
                          <w:rPr>
                            <w:rFonts w:ascii="Arial"/>
                            <w:color w:val="231F20"/>
                            <w:spacing w:val="-9"/>
                            <w:sz w:val="14"/>
                          </w:rPr>
                          <w:t>200</w:t>
                        </w:r>
                      </w:p>
                    </w:txbxContent>
                  </v:textbox>
                  <w10:wrap type="none"/>
                </v:shape>
                <v:shape style="position:absolute;left:3791;top:3227;width:323;height:159" type="#_x0000_t202" id="docshape901" filled="false" stroked="false">
                  <v:textbox inset="0,0,0,0">
                    <w:txbxContent>
                      <w:p>
                        <w:pPr>
                          <w:spacing w:line="158" w:lineRule="exact" w:before="0"/>
                          <w:ind w:left="0" w:right="0" w:firstLine="0"/>
                          <w:jc w:val="left"/>
                          <w:rPr>
                            <w:rFonts w:ascii="Arial"/>
                            <w:sz w:val="14"/>
                          </w:rPr>
                        </w:pPr>
                        <w:r>
                          <w:rPr>
                            <w:rFonts w:ascii="Arial"/>
                            <w:color w:val="231F20"/>
                            <w:spacing w:val="-9"/>
                            <w:sz w:val="14"/>
                          </w:rPr>
                          <w:t>1,000</w:t>
                        </w:r>
                      </w:p>
                    </w:txbxContent>
                  </v:textbox>
                  <w10:wrap type="none"/>
                </v:shape>
                <v:shape style="position:absolute;left:269;top:3800;width:197;height:259" type="#_x0000_t202" id="docshape902" filled="false" stroked="false">
                  <v:textbox inset="0,0,0,0">
                    <w:txbxContent>
                      <w:p>
                        <w:pPr>
                          <w:spacing w:line="235" w:lineRule="auto" w:before="0"/>
                          <w:ind w:left="0" w:right="0" w:firstLine="0"/>
                          <w:jc w:val="left"/>
                          <w:rPr>
                            <w:rFonts w:ascii="Arial"/>
                            <w:sz w:val="14"/>
                          </w:rPr>
                        </w:pPr>
                        <w:r>
                          <w:rPr>
                            <w:rFonts w:ascii="Arial"/>
                            <w:color w:val="231F20"/>
                            <w:sz w:val="14"/>
                          </w:rPr>
                          <w:t>0</w:t>
                        </w:r>
                        <w:r>
                          <w:rPr>
                            <w:rFonts w:ascii="Arial"/>
                            <w:color w:val="231F20"/>
                            <w:spacing w:val="-9"/>
                            <w:sz w:val="14"/>
                          </w:rPr>
                          <w:t> </w:t>
                        </w:r>
                        <w:r>
                          <w:rPr>
                            <w:rFonts w:ascii="Arial"/>
                            <w:color w:val="231F20"/>
                            <w:spacing w:val="-10"/>
                            <w:position w:val="-9"/>
                            <w:sz w:val="14"/>
                          </w:rPr>
                          <w:t>0</w:t>
                        </w:r>
                      </w:p>
                    </w:txbxContent>
                  </v:textbox>
                  <w10:wrap type="none"/>
                </v:shape>
                <v:shape style="position:absolute;left:1158;top:3900;width:155;height:159" type="#_x0000_t202" id="docshape903" filled="false" stroked="false">
                  <v:textbox inset="0,0,0,0">
                    <w:txbxContent>
                      <w:p>
                        <w:pPr>
                          <w:spacing w:line="158" w:lineRule="exact" w:before="0"/>
                          <w:ind w:left="0" w:right="0" w:firstLine="0"/>
                          <w:jc w:val="left"/>
                          <w:rPr>
                            <w:rFonts w:ascii="Arial"/>
                            <w:sz w:val="14"/>
                          </w:rPr>
                        </w:pPr>
                        <w:r>
                          <w:rPr>
                            <w:rFonts w:ascii="Arial"/>
                            <w:color w:val="231F20"/>
                            <w:spacing w:val="-7"/>
                            <w:sz w:val="14"/>
                          </w:rPr>
                          <w:t>10</w:t>
                        </w:r>
                      </w:p>
                    </w:txbxContent>
                  </v:textbox>
                  <w10:wrap type="none"/>
                </v:shape>
                <v:shape style="position:absolute;left:1450;top:3900;width:1199;height:359" type="#_x0000_t202" id="docshape904" filled="false" stroked="false">
                  <v:textbox inset="0,0,0,0">
                    <w:txbxContent>
                      <w:p>
                        <w:pPr>
                          <w:spacing w:line="159" w:lineRule="exact" w:before="0"/>
                          <w:ind w:left="0" w:right="18" w:firstLine="0"/>
                          <w:jc w:val="center"/>
                          <w:rPr>
                            <w:rFonts w:ascii="Arial"/>
                            <w:sz w:val="14"/>
                          </w:rPr>
                        </w:pPr>
                        <w:r>
                          <w:rPr>
                            <w:rFonts w:ascii="Arial"/>
                            <w:color w:val="231F20"/>
                            <w:spacing w:val="-5"/>
                            <w:sz w:val="14"/>
                          </w:rPr>
                          <w:t>20</w:t>
                        </w:r>
                      </w:p>
                      <w:p>
                        <w:pPr>
                          <w:spacing w:line="160" w:lineRule="exact" w:before="39"/>
                          <w:ind w:left="0" w:right="18" w:firstLine="0"/>
                          <w:jc w:val="center"/>
                          <w:rPr>
                            <w:rFonts w:ascii="Arial"/>
                            <w:sz w:val="14"/>
                          </w:rPr>
                        </w:pPr>
                        <w:r>
                          <w:rPr>
                            <w:rFonts w:ascii="Arial"/>
                            <w:color w:val="231F20"/>
                            <w:w w:val="80"/>
                            <w:sz w:val="14"/>
                          </w:rPr>
                          <w:t>Import</w:t>
                        </w:r>
                        <w:r>
                          <w:rPr>
                            <w:rFonts w:ascii="Arial"/>
                            <w:color w:val="231F20"/>
                            <w:spacing w:val="-7"/>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7"/>
                            <w:sz w:val="14"/>
                          </w:rPr>
                          <w:t> </w:t>
                        </w:r>
                        <w:r>
                          <w:rPr>
                            <w:rFonts w:ascii="Arial"/>
                            <w:color w:val="231F20"/>
                            <w:spacing w:val="-5"/>
                            <w:w w:val="80"/>
                            <w:sz w:val="14"/>
                          </w:rPr>
                          <w:t>(days)</w:t>
                        </w:r>
                      </w:p>
                    </w:txbxContent>
                  </v:textbox>
                  <w10:wrap type="none"/>
                </v:shape>
                <v:shape style="position:absolute;left:2786;top:3900;width:155;height:159" type="#_x0000_t202" id="docshape905" filled="false" stroked="false">
                  <v:textbox inset="0,0,0,0">
                    <w:txbxContent>
                      <w:p>
                        <w:pPr>
                          <w:spacing w:line="158" w:lineRule="exact" w:before="0"/>
                          <w:ind w:left="0" w:right="0" w:firstLine="0"/>
                          <w:jc w:val="left"/>
                          <w:rPr>
                            <w:rFonts w:ascii="Arial"/>
                            <w:sz w:val="14"/>
                          </w:rPr>
                        </w:pPr>
                        <w:r>
                          <w:rPr>
                            <w:rFonts w:ascii="Arial"/>
                            <w:color w:val="231F20"/>
                            <w:spacing w:val="-7"/>
                            <w:sz w:val="14"/>
                          </w:rPr>
                          <w:t>30</w:t>
                        </w:r>
                      </w:p>
                    </w:txbxContent>
                  </v:textbox>
                  <w10:wrap type="none"/>
                </v:shape>
                <v:shape style="position:absolute;left:3600;top:3900;width:155;height:159" type="#_x0000_t202" id="docshape906" filled="false" stroked="false">
                  <v:textbox inset="0,0,0,0">
                    <w:txbxContent>
                      <w:p>
                        <w:pPr>
                          <w:spacing w:line="158" w:lineRule="exact" w:before="0"/>
                          <w:ind w:left="0" w:right="0" w:firstLine="0"/>
                          <w:jc w:val="left"/>
                          <w:rPr>
                            <w:rFonts w:ascii="Arial"/>
                            <w:sz w:val="14"/>
                          </w:rPr>
                        </w:pPr>
                        <w:r>
                          <w:rPr>
                            <w:rFonts w:ascii="Arial"/>
                            <w:color w:val="231F20"/>
                            <w:spacing w:val="-7"/>
                            <w:sz w:val="14"/>
                          </w:rPr>
                          <w:t>40</w:t>
                        </w:r>
                      </w:p>
                    </w:txbxContent>
                  </v:textbox>
                  <w10:wrap type="none"/>
                </v:shape>
                <v:shape style="position:absolute;left:4014;top:3800;width:197;height:259" type="#_x0000_t202" id="docshape907" filled="false" stroked="false">
                  <v:textbox inset="0,0,0,0">
                    <w:txbxContent>
                      <w:p>
                        <w:pPr>
                          <w:spacing w:line="235" w:lineRule="auto" w:before="0"/>
                          <w:ind w:left="0" w:right="0" w:firstLine="0"/>
                          <w:jc w:val="left"/>
                          <w:rPr>
                            <w:rFonts w:ascii="Arial"/>
                            <w:sz w:val="14"/>
                          </w:rPr>
                        </w:pPr>
                        <w:r>
                          <w:rPr>
                            <w:rFonts w:ascii="Arial"/>
                            <w:color w:val="231F20"/>
                            <w:sz w:val="14"/>
                          </w:rPr>
                          <w:t>0</w:t>
                        </w:r>
                        <w:r>
                          <w:rPr>
                            <w:rFonts w:ascii="Arial"/>
                            <w:color w:val="231F20"/>
                            <w:spacing w:val="-9"/>
                            <w:sz w:val="14"/>
                          </w:rPr>
                          <w:t> </w:t>
                        </w:r>
                        <w:r>
                          <w:rPr>
                            <w:rFonts w:ascii="Arial"/>
                            <w:color w:val="231F20"/>
                            <w:spacing w:val="-10"/>
                            <w:position w:val="-9"/>
                            <w:sz w:val="14"/>
                          </w:rPr>
                          <w:t>0</w:t>
                        </w:r>
                      </w:p>
                    </w:txbxContent>
                  </v:textbox>
                  <w10:wrap type="none"/>
                </v:shape>
                <v:shape style="position:absolute;left:4774;top:3900;width:88;height:159" type="#_x0000_t202" id="docshape908" filled="false" stroked="false">
                  <v:textbox inset="0,0,0,0">
                    <w:txbxContent>
                      <w:p>
                        <w:pPr>
                          <w:spacing w:line="158" w:lineRule="exact" w:before="0"/>
                          <w:ind w:left="0" w:right="0" w:firstLine="0"/>
                          <w:jc w:val="left"/>
                          <w:rPr>
                            <w:rFonts w:ascii="Arial"/>
                            <w:sz w:val="14"/>
                          </w:rPr>
                        </w:pPr>
                        <w:r>
                          <w:rPr>
                            <w:rFonts w:ascii="Arial"/>
                            <w:color w:val="231F20"/>
                            <w:spacing w:val="-10"/>
                            <w:sz w:val="14"/>
                          </w:rPr>
                          <w:t>2</w:t>
                        </w:r>
                      </w:p>
                    </w:txbxContent>
                  </v:textbox>
                  <w10:wrap type="none"/>
                </v:shape>
                <v:shape style="position:absolute;left:5425;top:3900;width:88;height:159" type="#_x0000_t202" id="docshape909" filled="false" stroked="false">
                  <v:textbox inset="0,0,0,0">
                    <w:txbxContent>
                      <w:p>
                        <w:pPr>
                          <w:spacing w:line="158" w:lineRule="exact" w:before="0"/>
                          <w:ind w:left="0" w:right="0" w:firstLine="0"/>
                          <w:jc w:val="left"/>
                          <w:rPr>
                            <w:rFonts w:ascii="Arial"/>
                            <w:sz w:val="14"/>
                          </w:rPr>
                        </w:pPr>
                        <w:r>
                          <w:rPr>
                            <w:rFonts w:ascii="Arial"/>
                            <w:color w:val="231F20"/>
                            <w:spacing w:val="-10"/>
                            <w:sz w:val="14"/>
                          </w:rPr>
                          <w:t>4</w:t>
                        </w:r>
                      </w:p>
                    </w:txbxContent>
                  </v:textbox>
                  <w10:wrap type="none"/>
                </v:shape>
                <v:shape style="position:absolute;left:6076;top:3900;width:88;height:159" type="#_x0000_t202" id="docshape910" filled="false" stroked="false">
                  <v:textbox inset="0,0,0,0">
                    <w:txbxContent>
                      <w:p>
                        <w:pPr>
                          <w:spacing w:line="158" w:lineRule="exact" w:before="0"/>
                          <w:ind w:left="0" w:right="0" w:firstLine="0"/>
                          <w:jc w:val="left"/>
                          <w:rPr>
                            <w:rFonts w:ascii="Arial"/>
                            <w:sz w:val="14"/>
                          </w:rPr>
                        </w:pPr>
                        <w:r>
                          <w:rPr>
                            <w:rFonts w:ascii="Arial"/>
                            <w:color w:val="231F20"/>
                            <w:spacing w:val="-10"/>
                            <w:sz w:val="14"/>
                          </w:rPr>
                          <w:t>6</w:t>
                        </w:r>
                      </w:p>
                    </w:txbxContent>
                  </v:textbox>
                  <w10:wrap type="none"/>
                </v:shape>
                <v:shape style="position:absolute;left:6728;top:3900;width:88;height:159" type="#_x0000_t202" id="docshape911" filled="false" stroked="false">
                  <v:textbox inset="0,0,0,0">
                    <w:txbxContent>
                      <w:p>
                        <w:pPr>
                          <w:spacing w:line="158" w:lineRule="exact" w:before="0"/>
                          <w:ind w:left="0" w:right="0" w:firstLine="0"/>
                          <w:jc w:val="left"/>
                          <w:rPr>
                            <w:rFonts w:ascii="Arial"/>
                            <w:sz w:val="14"/>
                          </w:rPr>
                        </w:pPr>
                        <w:r>
                          <w:rPr>
                            <w:rFonts w:ascii="Arial"/>
                            <w:color w:val="231F20"/>
                            <w:spacing w:val="-10"/>
                            <w:sz w:val="14"/>
                          </w:rPr>
                          <w:t>8</w:t>
                        </w:r>
                      </w:p>
                    </w:txbxContent>
                  </v:textbox>
                  <w10:wrap type="none"/>
                </v:shape>
                <v:shape style="position:absolute;left:7345;top:3900;width:155;height:159" type="#_x0000_t202" id="docshape912" filled="false" stroked="false">
                  <v:textbox inset="0,0,0,0">
                    <w:txbxContent>
                      <w:p>
                        <w:pPr>
                          <w:spacing w:line="158" w:lineRule="exact" w:before="0"/>
                          <w:ind w:left="0" w:right="0" w:firstLine="0"/>
                          <w:jc w:val="left"/>
                          <w:rPr>
                            <w:rFonts w:ascii="Arial"/>
                            <w:sz w:val="14"/>
                          </w:rPr>
                        </w:pPr>
                        <w:r>
                          <w:rPr>
                            <w:rFonts w:ascii="Arial"/>
                            <w:color w:val="231F20"/>
                            <w:spacing w:val="-7"/>
                            <w:sz w:val="14"/>
                          </w:rPr>
                          <w:t>10</w:t>
                        </w:r>
                      </w:p>
                    </w:txbxContent>
                  </v:textbox>
                  <w10:wrap type="none"/>
                </v:shape>
                <v:shape style="position:absolute;left:120;top:4100;width:6214;height:591" type="#_x0000_t202" id="docshape913" filled="false" stroked="false">
                  <v:textbox inset="0,0,0,0">
                    <w:txbxContent>
                      <w:p>
                        <w:pPr>
                          <w:spacing w:line="159" w:lineRule="exact" w:before="0"/>
                          <w:ind w:left="0" w:right="65" w:firstLine="0"/>
                          <w:jc w:val="right"/>
                          <w:rPr>
                            <w:rFonts w:ascii="Arial"/>
                            <w:sz w:val="14"/>
                          </w:rPr>
                        </w:pPr>
                        <w:r>
                          <w:rPr>
                            <w:rFonts w:ascii="Arial"/>
                            <w:color w:val="231F20"/>
                            <w:w w:val="75"/>
                            <w:sz w:val="14"/>
                          </w:rPr>
                          <w:t>Delivery</w:t>
                        </w:r>
                        <w:r>
                          <w:rPr>
                            <w:rFonts w:ascii="Arial"/>
                            <w:color w:val="231F20"/>
                            <w:spacing w:val="6"/>
                            <w:sz w:val="14"/>
                          </w:rPr>
                          <w:t> </w:t>
                        </w:r>
                        <w:r>
                          <w:rPr>
                            <w:rFonts w:ascii="Arial"/>
                            <w:color w:val="231F20"/>
                            <w:w w:val="75"/>
                            <w:sz w:val="14"/>
                          </w:rPr>
                          <w:t>time</w:t>
                        </w:r>
                        <w:r>
                          <w:rPr>
                            <w:rFonts w:ascii="Arial"/>
                            <w:color w:val="231F20"/>
                            <w:spacing w:val="7"/>
                            <w:sz w:val="14"/>
                          </w:rPr>
                          <w:t> </w:t>
                        </w:r>
                        <w:r>
                          <w:rPr>
                            <w:rFonts w:ascii="Arial"/>
                            <w:color w:val="231F20"/>
                            <w:spacing w:val="-2"/>
                            <w:w w:val="75"/>
                            <w:sz w:val="14"/>
                          </w:rPr>
                          <w:t>(days)</w:t>
                        </w:r>
                      </w:p>
                      <w:p>
                        <w:pPr>
                          <w:spacing w:before="146"/>
                          <w:ind w:left="0" w:right="0" w:firstLine="0"/>
                          <w:jc w:val="left"/>
                          <w:rPr>
                            <w:rFonts w:ascii="Arial"/>
                            <w:sz w:val="12"/>
                          </w:rPr>
                        </w:pPr>
                        <w:r>
                          <w:rPr>
                            <w:rFonts w:ascii="Arial"/>
                            <w:i/>
                            <w:color w:val="231F20"/>
                            <w:w w:val="75"/>
                            <w:sz w:val="12"/>
                          </w:rPr>
                          <w:t>Source:</w:t>
                        </w:r>
                        <w:r>
                          <w:rPr>
                            <w:rFonts w:ascii="Arial"/>
                            <w:i/>
                            <w:color w:val="231F20"/>
                            <w:spacing w:val="-4"/>
                            <w:sz w:val="12"/>
                          </w:rPr>
                          <w:t> </w:t>
                        </w:r>
                        <w:r>
                          <w:rPr>
                            <w:rFonts w:ascii="Arial"/>
                            <w:color w:val="231F20"/>
                            <w:w w:val="75"/>
                            <w:sz w:val="12"/>
                          </w:rPr>
                          <w:t>TradeLens</w:t>
                        </w:r>
                        <w:r>
                          <w:rPr>
                            <w:rFonts w:ascii="Arial"/>
                            <w:color w:val="231F20"/>
                            <w:spacing w:val="2"/>
                            <w:sz w:val="12"/>
                          </w:rPr>
                          <w:t> </w:t>
                        </w:r>
                        <w:r>
                          <w:rPr>
                            <w:rFonts w:ascii="Arial"/>
                            <w:color w:val="231F20"/>
                            <w:w w:val="75"/>
                            <w:sz w:val="12"/>
                          </w:rPr>
                          <w:t>and</w:t>
                        </w:r>
                        <w:r>
                          <w:rPr>
                            <w:rFonts w:ascii="Arial"/>
                            <w:color w:val="231F20"/>
                            <w:spacing w:val="2"/>
                            <w:sz w:val="12"/>
                          </w:rPr>
                          <w:t> </w:t>
                        </w:r>
                        <w:r>
                          <w:rPr>
                            <w:rFonts w:ascii="Arial"/>
                            <w:color w:val="231F20"/>
                            <w:w w:val="75"/>
                            <w:sz w:val="12"/>
                          </w:rPr>
                          <w:t>the</w:t>
                        </w:r>
                        <w:r>
                          <w:rPr>
                            <w:rFonts w:ascii="Arial"/>
                            <w:color w:val="231F20"/>
                            <w:spacing w:val="2"/>
                            <w:sz w:val="12"/>
                          </w:rPr>
                          <w:t> </w:t>
                        </w:r>
                        <w:r>
                          <w:rPr>
                            <w:rFonts w:ascii="Arial"/>
                            <w:color w:val="231F20"/>
                            <w:w w:val="75"/>
                            <w:sz w:val="12"/>
                          </w:rPr>
                          <w:t>Universal</w:t>
                        </w:r>
                        <w:r>
                          <w:rPr>
                            <w:rFonts w:ascii="Arial"/>
                            <w:color w:val="231F20"/>
                            <w:spacing w:val="2"/>
                            <w:sz w:val="12"/>
                          </w:rPr>
                          <w:t> </w:t>
                        </w:r>
                        <w:r>
                          <w:rPr>
                            <w:rFonts w:ascii="Arial"/>
                            <w:color w:val="231F20"/>
                            <w:w w:val="75"/>
                            <w:sz w:val="12"/>
                          </w:rPr>
                          <w:t>Postal</w:t>
                        </w:r>
                        <w:r>
                          <w:rPr>
                            <w:rFonts w:ascii="Arial"/>
                            <w:color w:val="231F20"/>
                            <w:spacing w:val="2"/>
                            <w:sz w:val="12"/>
                          </w:rPr>
                          <w:t> </w:t>
                        </w:r>
                        <w:r>
                          <w:rPr>
                            <w:rFonts w:ascii="Arial"/>
                            <w:color w:val="231F20"/>
                            <w:spacing w:val="-2"/>
                            <w:w w:val="75"/>
                            <w:sz w:val="12"/>
                          </w:rPr>
                          <w:t>Union.</w:t>
                        </w:r>
                      </w:p>
                      <w:p>
                        <w:pPr>
                          <w:spacing w:before="2"/>
                          <w:ind w:left="0" w:right="0" w:firstLine="0"/>
                          <w:jc w:val="left"/>
                          <w:rPr>
                            <w:rFonts w:ascii="Arial"/>
                            <w:sz w:val="12"/>
                          </w:rPr>
                        </w:pPr>
                        <w:r>
                          <w:rPr>
                            <w:rFonts w:ascii="Arial"/>
                            <w:i/>
                            <w:color w:val="231F20"/>
                            <w:w w:val="80"/>
                            <w:sz w:val="12"/>
                          </w:rPr>
                          <w:t>Note:</w:t>
                        </w:r>
                        <w:r>
                          <w:rPr>
                            <w:rFonts w:ascii="Arial"/>
                            <w:i/>
                            <w:color w:val="231F20"/>
                            <w:spacing w:val="-3"/>
                            <w:w w:val="80"/>
                            <w:sz w:val="12"/>
                          </w:rPr>
                          <w:t> </w:t>
                        </w:r>
                        <w:r>
                          <w:rPr>
                            <w:rFonts w:ascii="Arial"/>
                            <w:color w:val="231F20"/>
                            <w:w w:val="80"/>
                            <w:sz w:val="12"/>
                          </w:rPr>
                          <w:t>The</w:t>
                        </w:r>
                        <w:r>
                          <w:rPr>
                            <w:rFonts w:ascii="Arial"/>
                            <w:color w:val="231F20"/>
                            <w:spacing w:val="-1"/>
                            <w:w w:val="80"/>
                            <w:sz w:val="12"/>
                          </w:rPr>
                          <w:t> </w:t>
                        </w:r>
                        <w:r>
                          <w:rPr>
                            <w:rFonts w:ascii="Arial"/>
                            <w:color w:val="231F20"/>
                            <w:w w:val="80"/>
                            <w:sz w:val="12"/>
                          </w:rPr>
                          <w:t>distribution</w:t>
                        </w:r>
                        <w:r>
                          <w:rPr>
                            <w:rFonts w:ascii="Arial"/>
                            <w:color w:val="231F20"/>
                            <w:spacing w:val="-2"/>
                            <w:w w:val="80"/>
                            <w:sz w:val="12"/>
                          </w:rPr>
                          <w:t> </w:t>
                        </w:r>
                        <w:r>
                          <w:rPr>
                            <w:rFonts w:ascii="Arial"/>
                            <w:color w:val="231F20"/>
                            <w:w w:val="80"/>
                            <w:sz w:val="12"/>
                          </w:rPr>
                          <w:t>for</w:t>
                        </w:r>
                        <w:r>
                          <w:rPr>
                            <w:rFonts w:ascii="Arial"/>
                            <w:color w:val="231F20"/>
                            <w:spacing w:val="-2"/>
                            <w:w w:val="80"/>
                            <w:sz w:val="12"/>
                          </w:rPr>
                          <w:t> </w:t>
                        </w:r>
                        <w:r>
                          <w:rPr>
                            <w:rFonts w:ascii="Arial"/>
                            <w:color w:val="231F20"/>
                            <w:w w:val="80"/>
                            <w:sz w:val="12"/>
                          </w:rPr>
                          <w:t>the</w:t>
                        </w:r>
                        <w:r>
                          <w:rPr>
                            <w:rFonts w:ascii="Arial"/>
                            <w:color w:val="231F20"/>
                            <w:spacing w:val="-1"/>
                            <w:w w:val="80"/>
                            <w:sz w:val="12"/>
                          </w:rPr>
                          <w:t> </w:t>
                        </w:r>
                        <w:r>
                          <w:rPr>
                            <w:rFonts w:ascii="Arial"/>
                            <w:color w:val="231F20"/>
                            <w:w w:val="80"/>
                            <w:sz w:val="12"/>
                          </w:rPr>
                          <w:t>container</w:t>
                        </w:r>
                        <w:r>
                          <w:rPr>
                            <w:rFonts w:ascii="Arial"/>
                            <w:color w:val="231F20"/>
                            <w:spacing w:val="-2"/>
                            <w:w w:val="80"/>
                            <w:sz w:val="12"/>
                          </w:rPr>
                          <w:t> </w:t>
                        </w:r>
                        <w:r>
                          <w:rPr>
                            <w:rFonts w:ascii="Arial"/>
                            <w:color w:val="231F20"/>
                            <w:w w:val="80"/>
                            <w:sz w:val="12"/>
                          </w:rPr>
                          <w:t>port</w:t>
                        </w:r>
                        <w:r>
                          <w:rPr>
                            <w:rFonts w:ascii="Arial"/>
                            <w:color w:val="231F20"/>
                            <w:spacing w:val="-2"/>
                            <w:w w:val="80"/>
                            <w:sz w:val="12"/>
                          </w:rPr>
                          <w:t> </w:t>
                        </w:r>
                        <w:r>
                          <w:rPr>
                            <w:rFonts w:ascii="Arial"/>
                            <w:color w:val="231F20"/>
                            <w:w w:val="80"/>
                            <w:sz w:val="12"/>
                          </w:rPr>
                          <w:t>example</w:t>
                        </w:r>
                        <w:r>
                          <w:rPr>
                            <w:rFonts w:ascii="Arial"/>
                            <w:color w:val="231F20"/>
                            <w:spacing w:val="-1"/>
                            <w:w w:val="80"/>
                            <w:sz w:val="12"/>
                          </w:rPr>
                          <w:t> </w:t>
                        </w:r>
                        <w:r>
                          <w:rPr>
                            <w:rFonts w:ascii="Arial"/>
                            <w:color w:val="231F20"/>
                            <w:w w:val="80"/>
                            <w:sz w:val="12"/>
                          </w:rPr>
                          <w:t>excludes</w:t>
                        </w:r>
                        <w:r>
                          <w:rPr>
                            <w:rFonts w:ascii="Arial"/>
                            <w:color w:val="231F20"/>
                            <w:spacing w:val="-2"/>
                            <w:w w:val="80"/>
                            <w:sz w:val="12"/>
                          </w:rPr>
                          <w:t> </w:t>
                        </w:r>
                        <w:r>
                          <w:rPr>
                            <w:rFonts w:ascii="Arial"/>
                            <w:color w:val="231F20"/>
                            <w:w w:val="80"/>
                            <w:sz w:val="12"/>
                          </w:rPr>
                          <w:t>67</w:t>
                        </w:r>
                        <w:r>
                          <w:rPr>
                            <w:rFonts w:ascii="Arial"/>
                            <w:color w:val="231F20"/>
                            <w:spacing w:val="-2"/>
                            <w:w w:val="80"/>
                            <w:sz w:val="12"/>
                          </w:rPr>
                          <w:t> </w:t>
                        </w:r>
                        <w:r>
                          <w:rPr>
                            <w:rFonts w:ascii="Arial"/>
                            <w:color w:val="231F20"/>
                            <w:w w:val="80"/>
                            <w:sz w:val="12"/>
                          </w:rPr>
                          <w:t>outliers,</w:t>
                        </w:r>
                        <w:r>
                          <w:rPr>
                            <w:rFonts w:ascii="Arial"/>
                            <w:color w:val="231F20"/>
                            <w:spacing w:val="-2"/>
                            <w:w w:val="80"/>
                            <w:sz w:val="12"/>
                          </w:rPr>
                          <w:t> </w:t>
                        </w:r>
                        <w:r>
                          <w:rPr>
                            <w:rFonts w:ascii="Arial"/>
                            <w:color w:val="231F20"/>
                            <w:w w:val="80"/>
                            <w:sz w:val="12"/>
                          </w:rPr>
                          <w:t>and</w:t>
                        </w:r>
                        <w:r>
                          <w:rPr>
                            <w:rFonts w:ascii="Arial"/>
                            <w:color w:val="231F20"/>
                            <w:spacing w:val="-2"/>
                            <w:w w:val="80"/>
                            <w:sz w:val="12"/>
                          </w:rPr>
                          <w:t> </w:t>
                        </w:r>
                        <w:r>
                          <w:rPr>
                            <w:rFonts w:ascii="Arial"/>
                            <w:color w:val="231F20"/>
                            <w:w w:val="80"/>
                            <w:sz w:val="12"/>
                          </w:rPr>
                          <w:t>the</w:t>
                        </w:r>
                        <w:r>
                          <w:rPr>
                            <w:rFonts w:ascii="Arial"/>
                            <w:color w:val="231F20"/>
                            <w:spacing w:val="-1"/>
                            <w:w w:val="80"/>
                            <w:sz w:val="12"/>
                          </w:rPr>
                          <w:t> </w:t>
                        </w:r>
                        <w:r>
                          <w:rPr>
                            <w:rFonts w:ascii="Arial"/>
                            <w:color w:val="231F20"/>
                            <w:w w:val="80"/>
                            <w:sz w:val="12"/>
                          </w:rPr>
                          <w:t>distribution</w:t>
                        </w:r>
                        <w:r>
                          <w:rPr>
                            <w:rFonts w:ascii="Arial"/>
                            <w:color w:val="231F20"/>
                            <w:spacing w:val="-2"/>
                            <w:w w:val="80"/>
                            <w:sz w:val="12"/>
                          </w:rPr>
                          <w:t> </w:t>
                        </w:r>
                        <w:r>
                          <w:rPr>
                            <w:rFonts w:ascii="Arial"/>
                            <w:color w:val="231F20"/>
                            <w:w w:val="80"/>
                            <w:sz w:val="12"/>
                          </w:rPr>
                          <w:t>for</w:t>
                        </w:r>
                        <w:r>
                          <w:rPr>
                            <w:rFonts w:ascii="Arial"/>
                            <w:color w:val="231F20"/>
                            <w:spacing w:val="-2"/>
                            <w:w w:val="80"/>
                            <w:sz w:val="12"/>
                          </w:rPr>
                          <w:t> </w:t>
                        </w:r>
                        <w:r>
                          <w:rPr>
                            <w:rFonts w:ascii="Arial"/>
                            <w:color w:val="231F20"/>
                            <w:w w:val="80"/>
                            <w:sz w:val="12"/>
                          </w:rPr>
                          <w:t>the</w:t>
                        </w:r>
                        <w:r>
                          <w:rPr>
                            <w:rFonts w:ascii="Arial"/>
                            <w:color w:val="231F20"/>
                            <w:spacing w:val="-1"/>
                            <w:w w:val="80"/>
                            <w:sz w:val="12"/>
                          </w:rPr>
                          <w:t> </w:t>
                        </w:r>
                        <w:r>
                          <w:rPr>
                            <w:rFonts w:ascii="Arial"/>
                            <w:color w:val="231F20"/>
                            <w:w w:val="80"/>
                            <w:sz w:val="12"/>
                          </w:rPr>
                          <w:t>postal</w:t>
                        </w:r>
                        <w:r>
                          <w:rPr>
                            <w:rFonts w:ascii="Arial"/>
                            <w:color w:val="231F20"/>
                            <w:spacing w:val="-1"/>
                            <w:w w:val="80"/>
                            <w:sz w:val="12"/>
                          </w:rPr>
                          <w:t> </w:t>
                        </w:r>
                        <w:r>
                          <w:rPr>
                            <w:rFonts w:ascii="Arial"/>
                            <w:color w:val="231F20"/>
                            <w:w w:val="80"/>
                            <w:sz w:val="12"/>
                          </w:rPr>
                          <w:t>delivery</w:t>
                        </w:r>
                        <w:r>
                          <w:rPr>
                            <w:rFonts w:ascii="Arial"/>
                            <w:color w:val="231F20"/>
                            <w:spacing w:val="-2"/>
                            <w:w w:val="80"/>
                            <w:sz w:val="12"/>
                          </w:rPr>
                          <w:t> </w:t>
                        </w:r>
                        <w:r>
                          <w:rPr>
                            <w:rFonts w:ascii="Arial"/>
                            <w:color w:val="231F20"/>
                            <w:w w:val="80"/>
                            <w:sz w:val="12"/>
                          </w:rPr>
                          <w:t>example</w:t>
                        </w:r>
                        <w:r>
                          <w:rPr>
                            <w:rFonts w:ascii="Arial"/>
                            <w:color w:val="231F20"/>
                            <w:spacing w:val="-1"/>
                            <w:w w:val="80"/>
                            <w:sz w:val="12"/>
                          </w:rPr>
                          <w:t> </w:t>
                        </w:r>
                        <w:r>
                          <w:rPr>
                            <w:rFonts w:ascii="Arial"/>
                            <w:color w:val="231F20"/>
                            <w:w w:val="80"/>
                            <w:sz w:val="12"/>
                          </w:rPr>
                          <w:t>excludes</w:t>
                        </w:r>
                        <w:r>
                          <w:rPr>
                            <w:rFonts w:ascii="Arial"/>
                            <w:color w:val="231F20"/>
                            <w:spacing w:val="-1"/>
                            <w:w w:val="80"/>
                            <w:sz w:val="12"/>
                          </w:rPr>
                          <w:t> </w:t>
                        </w:r>
                        <w:r>
                          <w:rPr>
                            <w:rFonts w:ascii="Arial"/>
                            <w:color w:val="231F20"/>
                            <w:w w:val="80"/>
                            <w:sz w:val="12"/>
                          </w:rPr>
                          <w:t>55</w:t>
                        </w:r>
                        <w:r>
                          <w:rPr>
                            <w:rFonts w:ascii="Arial"/>
                            <w:color w:val="231F20"/>
                            <w:spacing w:val="-1"/>
                            <w:w w:val="80"/>
                            <w:sz w:val="12"/>
                          </w:rPr>
                          <w:t> </w:t>
                        </w:r>
                        <w:r>
                          <w:rPr>
                            <w:rFonts w:ascii="Arial"/>
                            <w:color w:val="231F20"/>
                            <w:spacing w:val="-2"/>
                            <w:w w:val="80"/>
                            <w:sz w:val="12"/>
                          </w:rPr>
                          <w:t>outliers.</w:t>
                        </w:r>
                      </w:p>
                    </w:txbxContent>
                  </v:textbox>
                  <w10:wrap type="none"/>
                </v:shape>
              </v:group>
            </w:pict>
          </mc:Fallback>
        </mc:AlternateContent>
      </w:r>
      <w:r>
        <w:rPr>
          <w:sz w:val="20"/>
        </w:rPr>
      </w:r>
    </w:p>
    <w:p>
      <w:pPr>
        <w:spacing w:after="0"/>
        <w:rPr>
          <w:sz w:val="20"/>
        </w:rPr>
        <w:sectPr>
          <w:type w:val="continuous"/>
          <w:pgSz w:w="12240" w:h="15840"/>
          <w:pgMar w:header="0" w:footer="548" w:top="1140" w:bottom="280" w:left="0" w:right="540"/>
        </w:sectPr>
      </w:pPr>
    </w:p>
    <w:p>
      <w:pPr>
        <w:pStyle w:val="BodyText"/>
        <w:rPr>
          <w:sz w:val="20"/>
        </w:rPr>
      </w:pPr>
    </w:p>
    <w:p>
      <w:pPr>
        <w:pStyle w:val="BodyText"/>
        <w:rPr>
          <w:sz w:val="20"/>
        </w:rPr>
      </w:pPr>
    </w:p>
    <w:p>
      <w:pPr>
        <w:pStyle w:val="BodyText"/>
        <w:spacing w:before="37"/>
        <w:rPr>
          <w:sz w:val="20"/>
        </w:rPr>
      </w:pPr>
    </w:p>
    <w:p>
      <w:pPr>
        <w:spacing w:after="0"/>
        <w:rPr>
          <w:sz w:val="20"/>
        </w:rPr>
        <w:sectPr>
          <w:pgSz w:w="12240" w:h="15840"/>
          <w:pgMar w:header="0" w:footer="548" w:top="560" w:bottom="740" w:left="0" w:right="540"/>
        </w:sectPr>
      </w:pPr>
    </w:p>
    <w:p>
      <w:pPr>
        <w:pStyle w:val="BodyText"/>
        <w:spacing w:line="268" w:lineRule="auto" w:before="97"/>
        <w:ind w:left="1200"/>
        <w:jc w:val="both"/>
      </w:pPr>
      <w:bookmarkStart w:name="_bookmark25" w:id="27"/>
      <w:bookmarkEnd w:id="27"/>
      <w:r>
        <w:rPr/>
      </w:r>
      <w:bookmarkStart w:name="_bookmark24" w:id="28"/>
      <w:bookmarkEnd w:id="28"/>
      <w:r>
        <w:rPr/>
      </w:r>
      <w:r>
        <w:rPr>
          <w:color w:val="231F20"/>
          <w:spacing w:val="-6"/>
        </w:rPr>
        <w:t>there is considerable variation in average dwell </w:t>
      </w:r>
      <w:r>
        <w:rPr>
          <w:color w:val="231F20"/>
          <w:spacing w:val="-4"/>
        </w:rPr>
        <w:t>times</w:t>
      </w:r>
      <w:r>
        <w:rPr>
          <w:color w:val="231F20"/>
          <w:spacing w:val="-8"/>
        </w:rPr>
        <w:t> </w:t>
      </w:r>
      <w:r>
        <w:rPr>
          <w:color w:val="231F20"/>
          <w:spacing w:val="-4"/>
        </w:rPr>
        <w:t>across</w:t>
      </w:r>
      <w:r>
        <w:rPr>
          <w:color w:val="231F20"/>
          <w:spacing w:val="-8"/>
        </w:rPr>
        <w:t> </w:t>
      </w:r>
      <w:r>
        <w:rPr>
          <w:color w:val="231F20"/>
          <w:spacing w:val="-4"/>
        </w:rPr>
        <w:t>locations.</w:t>
      </w:r>
      <w:r>
        <w:rPr>
          <w:color w:val="231F20"/>
          <w:spacing w:val="-8"/>
        </w:rPr>
        <w:t> </w:t>
      </w:r>
      <w:r>
        <w:rPr>
          <w:color w:val="231F20"/>
          <w:spacing w:val="-4"/>
        </w:rPr>
        <w:t>This</w:t>
      </w:r>
      <w:r>
        <w:rPr>
          <w:color w:val="231F20"/>
          <w:spacing w:val="-8"/>
        </w:rPr>
        <w:t> </w:t>
      </w:r>
      <w:r>
        <w:rPr>
          <w:color w:val="231F20"/>
          <w:spacing w:val="-4"/>
        </w:rPr>
        <w:t>feature</w:t>
      </w:r>
      <w:r>
        <w:rPr>
          <w:color w:val="231F20"/>
          <w:spacing w:val="-8"/>
        </w:rPr>
        <w:t> </w:t>
      </w:r>
      <w:r>
        <w:rPr>
          <w:color w:val="231F20"/>
          <w:spacing w:val="-4"/>
        </w:rPr>
        <w:t>of</w:t>
      </w:r>
      <w:r>
        <w:rPr>
          <w:color w:val="231F20"/>
          <w:spacing w:val="-8"/>
        </w:rPr>
        <w:t> </w:t>
      </w:r>
      <w:r>
        <w:rPr>
          <w:color w:val="231F20"/>
          <w:spacing w:val="-4"/>
        </w:rPr>
        <w:t>the</w:t>
      </w:r>
      <w:r>
        <w:rPr>
          <w:color w:val="231F20"/>
          <w:spacing w:val="-8"/>
        </w:rPr>
        <w:t> </w:t>
      </w:r>
      <w:r>
        <w:rPr>
          <w:color w:val="231F20"/>
          <w:spacing w:val="-4"/>
        </w:rPr>
        <w:t>data is</w:t>
      </w:r>
      <w:r>
        <w:rPr>
          <w:color w:val="231F20"/>
          <w:spacing w:val="-10"/>
        </w:rPr>
        <w:t> </w:t>
      </w:r>
      <w:r>
        <w:rPr>
          <w:color w:val="231F20"/>
          <w:spacing w:val="-4"/>
        </w:rPr>
        <w:t>independent</w:t>
      </w:r>
      <w:r>
        <w:rPr>
          <w:color w:val="231F20"/>
          <w:spacing w:val="-9"/>
        </w:rPr>
        <w:t> </w:t>
      </w:r>
      <w:r>
        <w:rPr>
          <w:color w:val="231F20"/>
          <w:spacing w:val="-4"/>
        </w:rPr>
        <w:t>of</w:t>
      </w:r>
      <w:r>
        <w:rPr>
          <w:color w:val="231F20"/>
          <w:spacing w:val="-9"/>
        </w:rPr>
        <w:t> </w:t>
      </w:r>
      <w:r>
        <w:rPr>
          <w:color w:val="231F20"/>
          <w:spacing w:val="-4"/>
        </w:rPr>
        <w:t>the</w:t>
      </w:r>
      <w:r>
        <w:rPr>
          <w:color w:val="231F20"/>
          <w:spacing w:val="-9"/>
        </w:rPr>
        <w:t> </w:t>
      </w:r>
      <w:r>
        <w:rPr>
          <w:color w:val="231F20"/>
          <w:spacing w:val="-4"/>
        </w:rPr>
        <w:t>mode</w:t>
      </w:r>
      <w:r>
        <w:rPr>
          <w:color w:val="231F20"/>
          <w:spacing w:val="-9"/>
        </w:rPr>
        <w:t> </w:t>
      </w:r>
      <w:r>
        <w:rPr>
          <w:color w:val="231F20"/>
          <w:spacing w:val="-4"/>
        </w:rPr>
        <w:t>of</w:t>
      </w:r>
      <w:r>
        <w:rPr>
          <w:color w:val="231F20"/>
          <w:spacing w:val="-9"/>
        </w:rPr>
        <w:t> </w:t>
      </w:r>
      <w:r>
        <w:rPr>
          <w:color w:val="231F20"/>
          <w:spacing w:val="-4"/>
        </w:rPr>
        <w:t>transport</w:t>
      </w:r>
      <w:r>
        <w:rPr>
          <w:color w:val="231F20"/>
          <w:spacing w:val="-9"/>
        </w:rPr>
        <w:t> </w:t>
      </w:r>
      <w:r>
        <w:rPr>
          <w:color w:val="231F20"/>
          <w:spacing w:val="-4"/>
        </w:rPr>
        <w:t>(figure 3.3).</w:t>
      </w:r>
      <w:r>
        <w:rPr>
          <w:color w:val="231F20"/>
          <w:spacing w:val="-10"/>
        </w:rPr>
        <w:t> </w:t>
      </w:r>
      <w:r>
        <w:rPr>
          <w:color w:val="231F20"/>
          <w:spacing w:val="-4"/>
        </w:rPr>
        <w:t>Still,</w:t>
      </w:r>
      <w:r>
        <w:rPr>
          <w:color w:val="231F20"/>
          <w:spacing w:val="-9"/>
        </w:rPr>
        <w:t> </w:t>
      </w:r>
      <w:r>
        <w:rPr>
          <w:color w:val="231F20"/>
          <w:spacing w:val="-4"/>
        </w:rPr>
        <w:t>aviation</w:t>
      </w:r>
      <w:r>
        <w:rPr>
          <w:color w:val="231F20"/>
          <w:spacing w:val="-9"/>
        </w:rPr>
        <w:t> </w:t>
      </w:r>
      <w:r>
        <w:rPr>
          <w:color w:val="231F20"/>
          <w:spacing w:val="-4"/>
        </w:rPr>
        <w:t>dwell</w:t>
      </w:r>
      <w:r>
        <w:rPr>
          <w:color w:val="231F20"/>
          <w:spacing w:val="-9"/>
        </w:rPr>
        <w:t> </w:t>
      </w:r>
      <w:r>
        <w:rPr>
          <w:color w:val="231F20"/>
          <w:spacing w:val="-4"/>
        </w:rPr>
        <w:t>time</w:t>
      </w:r>
      <w:r>
        <w:rPr>
          <w:color w:val="231F20"/>
          <w:spacing w:val="-9"/>
        </w:rPr>
        <w:t> </w:t>
      </w:r>
      <w:r>
        <w:rPr>
          <w:color w:val="231F20"/>
          <w:spacing w:val="-4"/>
        </w:rPr>
        <w:t>is</w:t>
      </w:r>
      <w:r>
        <w:rPr>
          <w:color w:val="231F20"/>
          <w:spacing w:val="-9"/>
        </w:rPr>
        <w:t> </w:t>
      </w:r>
      <w:r>
        <w:rPr>
          <w:color w:val="231F20"/>
          <w:spacing w:val="-4"/>
        </w:rPr>
        <w:t>notably</w:t>
      </w:r>
      <w:r>
        <w:rPr>
          <w:color w:val="231F20"/>
          <w:spacing w:val="-9"/>
        </w:rPr>
        <w:t> </w:t>
      </w:r>
      <w:r>
        <w:rPr>
          <w:color w:val="231F20"/>
          <w:spacing w:val="-4"/>
        </w:rPr>
        <w:t>lower than</w:t>
      </w:r>
      <w:r>
        <w:rPr>
          <w:color w:val="231F20"/>
          <w:spacing w:val="-10"/>
        </w:rPr>
        <w:t> </w:t>
      </w:r>
      <w:r>
        <w:rPr>
          <w:color w:val="231F20"/>
          <w:spacing w:val="-4"/>
        </w:rPr>
        <w:t>container</w:t>
      </w:r>
      <w:r>
        <w:rPr>
          <w:color w:val="231F20"/>
          <w:spacing w:val="-9"/>
        </w:rPr>
        <w:t> </w:t>
      </w:r>
      <w:r>
        <w:rPr>
          <w:color w:val="231F20"/>
          <w:spacing w:val="-4"/>
        </w:rPr>
        <w:t>dwell</w:t>
      </w:r>
      <w:r>
        <w:rPr>
          <w:color w:val="231F20"/>
          <w:spacing w:val="-9"/>
        </w:rPr>
        <w:t> </w:t>
      </w:r>
      <w:r>
        <w:rPr>
          <w:color w:val="231F20"/>
          <w:spacing w:val="-4"/>
        </w:rPr>
        <w:t>time.</w:t>
      </w:r>
      <w:r>
        <w:rPr>
          <w:color w:val="231F20"/>
          <w:spacing w:val="-4"/>
          <w:position w:val="7"/>
          <w:sz w:val="14"/>
        </w:rPr>
        <w:t>23</w:t>
      </w:r>
      <w:r>
        <w:rPr>
          <w:color w:val="231F20"/>
          <w:spacing w:val="-5"/>
          <w:position w:val="7"/>
          <w:sz w:val="14"/>
        </w:rPr>
        <w:t> </w:t>
      </w:r>
      <w:r>
        <w:rPr>
          <w:color w:val="231F20"/>
          <w:spacing w:val="-4"/>
        </w:rPr>
        <w:t>Understanding</w:t>
      </w:r>
      <w:r>
        <w:rPr>
          <w:color w:val="231F20"/>
          <w:spacing w:val="-9"/>
        </w:rPr>
        <w:t> </w:t>
      </w:r>
      <w:r>
        <w:rPr>
          <w:color w:val="231F20"/>
          <w:spacing w:val="-4"/>
        </w:rPr>
        <w:t>the reasons</w:t>
      </w:r>
      <w:r>
        <w:rPr>
          <w:color w:val="231F20"/>
          <w:spacing w:val="-10"/>
        </w:rPr>
        <w:t> </w:t>
      </w:r>
      <w:r>
        <w:rPr>
          <w:color w:val="231F20"/>
          <w:spacing w:val="-4"/>
        </w:rPr>
        <w:t>for</w:t>
      </w:r>
      <w:r>
        <w:rPr>
          <w:color w:val="231F20"/>
          <w:spacing w:val="-9"/>
        </w:rPr>
        <w:t> </w:t>
      </w:r>
      <w:r>
        <w:rPr>
          <w:color w:val="231F20"/>
          <w:spacing w:val="-4"/>
        </w:rPr>
        <w:t>the</w:t>
      </w:r>
      <w:r>
        <w:rPr>
          <w:color w:val="231F20"/>
          <w:spacing w:val="-9"/>
        </w:rPr>
        <w:t> </w:t>
      </w:r>
      <w:r>
        <w:rPr>
          <w:color w:val="231F20"/>
          <w:spacing w:val="-4"/>
        </w:rPr>
        <w:t>dispersion</w:t>
      </w:r>
      <w:r>
        <w:rPr>
          <w:color w:val="231F20"/>
          <w:spacing w:val="-9"/>
        </w:rPr>
        <w:t> </w:t>
      </w:r>
      <w:r>
        <w:rPr>
          <w:color w:val="231F20"/>
          <w:spacing w:val="-4"/>
        </w:rPr>
        <w:t>to</w:t>
      </w:r>
      <w:r>
        <w:rPr>
          <w:color w:val="231F20"/>
          <w:spacing w:val="-9"/>
        </w:rPr>
        <w:t> </w:t>
      </w:r>
      <w:r>
        <w:rPr>
          <w:color w:val="231F20"/>
          <w:spacing w:val="-4"/>
        </w:rPr>
        <w:t>identify</w:t>
      </w:r>
      <w:r>
        <w:rPr>
          <w:color w:val="231F20"/>
          <w:spacing w:val="-9"/>
        </w:rPr>
        <w:t> </w:t>
      </w:r>
      <w:r>
        <w:rPr>
          <w:color w:val="231F20"/>
          <w:spacing w:val="-4"/>
        </w:rPr>
        <w:t>measures that</w:t>
      </w:r>
      <w:r>
        <w:rPr>
          <w:color w:val="231F20"/>
          <w:spacing w:val="-10"/>
        </w:rPr>
        <w:t> </w:t>
      </w:r>
      <w:r>
        <w:rPr>
          <w:color w:val="231F20"/>
          <w:spacing w:val="-4"/>
        </w:rPr>
        <w:t>improve</w:t>
      </w:r>
      <w:r>
        <w:rPr>
          <w:color w:val="231F20"/>
          <w:spacing w:val="-9"/>
        </w:rPr>
        <w:t> </w:t>
      </w:r>
      <w:r>
        <w:rPr>
          <w:color w:val="231F20"/>
          <w:spacing w:val="-4"/>
        </w:rPr>
        <w:t>performance</w:t>
      </w:r>
      <w:r>
        <w:rPr>
          <w:color w:val="231F20"/>
          <w:spacing w:val="-9"/>
        </w:rPr>
        <w:t> </w:t>
      </w:r>
      <w:r>
        <w:rPr>
          <w:color w:val="231F20"/>
          <w:spacing w:val="-4"/>
        </w:rPr>
        <w:t>is</w:t>
      </w:r>
      <w:r>
        <w:rPr>
          <w:color w:val="231F20"/>
          <w:spacing w:val="-9"/>
        </w:rPr>
        <w:t> </w:t>
      </w:r>
      <w:r>
        <w:rPr>
          <w:color w:val="231F20"/>
          <w:spacing w:val="-4"/>
        </w:rPr>
        <w:t>an</w:t>
      </w:r>
      <w:r>
        <w:rPr>
          <w:color w:val="231F20"/>
          <w:spacing w:val="-9"/>
        </w:rPr>
        <w:t> </w:t>
      </w:r>
      <w:r>
        <w:rPr>
          <w:color w:val="231F20"/>
          <w:spacing w:val="-4"/>
        </w:rPr>
        <w:t>important</w:t>
      </w:r>
      <w:r>
        <w:rPr>
          <w:color w:val="231F20"/>
          <w:spacing w:val="-9"/>
        </w:rPr>
        <w:t> </w:t>
      </w:r>
      <w:r>
        <w:rPr>
          <w:color w:val="231F20"/>
          <w:spacing w:val="-4"/>
        </w:rPr>
        <w:t>area </w:t>
      </w:r>
      <w:r>
        <w:rPr>
          <w:color w:val="231F20"/>
          <w:w w:val="90"/>
        </w:rPr>
        <w:t>for future research. Similarly, analyzing the fac- </w:t>
      </w:r>
      <w:r>
        <w:rPr>
          <w:color w:val="231F20"/>
        </w:rPr>
        <w:t>tors</w:t>
      </w:r>
      <w:r>
        <w:rPr>
          <w:color w:val="231F20"/>
          <w:spacing w:val="-10"/>
        </w:rPr>
        <w:t> </w:t>
      </w:r>
      <w:r>
        <w:rPr>
          <w:color w:val="231F20"/>
        </w:rPr>
        <w:t>that</w:t>
      </w:r>
      <w:r>
        <w:rPr>
          <w:color w:val="231F20"/>
          <w:spacing w:val="-10"/>
        </w:rPr>
        <w:t> </w:t>
      </w:r>
      <w:r>
        <w:rPr>
          <w:color w:val="231F20"/>
        </w:rPr>
        <w:t>influence</w:t>
      </w:r>
      <w:r>
        <w:rPr>
          <w:color w:val="231F20"/>
          <w:spacing w:val="-10"/>
        </w:rPr>
        <w:t> </w:t>
      </w:r>
      <w:r>
        <w:rPr>
          <w:color w:val="231F20"/>
        </w:rPr>
        <w:t>the</w:t>
      </w:r>
      <w:r>
        <w:rPr>
          <w:color w:val="231F20"/>
          <w:spacing w:val="-10"/>
        </w:rPr>
        <w:t> </w:t>
      </w:r>
      <w:r>
        <w:rPr>
          <w:color w:val="231F20"/>
        </w:rPr>
        <w:t>different</w:t>
      </w:r>
      <w:r>
        <w:rPr>
          <w:color w:val="231F20"/>
          <w:spacing w:val="-10"/>
        </w:rPr>
        <w:t> </w:t>
      </w:r>
      <w:r>
        <w:rPr>
          <w:color w:val="231F20"/>
        </w:rPr>
        <w:t>shapes</w:t>
      </w:r>
      <w:r>
        <w:rPr>
          <w:color w:val="231F20"/>
          <w:spacing w:val="-10"/>
        </w:rPr>
        <w:t> </w:t>
      </w:r>
      <w:r>
        <w:rPr>
          <w:color w:val="231F20"/>
        </w:rPr>
        <w:t>of</w:t>
      </w:r>
      <w:r>
        <w:rPr>
          <w:color w:val="231F20"/>
          <w:spacing w:val="-10"/>
        </w:rPr>
        <w:t> </w:t>
      </w:r>
      <w:r>
        <w:rPr>
          <w:color w:val="231F20"/>
        </w:rPr>
        <w:t>the distributions</w:t>
      </w:r>
      <w:r>
        <w:rPr>
          <w:color w:val="231F20"/>
          <w:spacing w:val="-5"/>
        </w:rPr>
        <w:t> </w:t>
      </w:r>
      <w:r>
        <w:rPr>
          <w:color w:val="231F20"/>
        </w:rPr>
        <w:t>between</w:t>
      </w:r>
      <w:r>
        <w:rPr>
          <w:color w:val="231F20"/>
          <w:spacing w:val="-5"/>
        </w:rPr>
        <w:t> </w:t>
      </w:r>
      <w:r>
        <w:rPr>
          <w:color w:val="231F20"/>
        </w:rPr>
        <w:t>ports</w:t>
      </w:r>
      <w:r>
        <w:rPr>
          <w:color w:val="231F20"/>
          <w:spacing w:val="-5"/>
        </w:rPr>
        <w:t> </w:t>
      </w:r>
      <w:r>
        <w:rPr>
          <w:color w:val="231F20"/>
        </w:rPr>
        <w:t>and</w:t>
      </w:r>
      <w:r>
        <w:rPr>
          <w:color w:val="231F20"/>
          <w:spacing w:val="-5"/>
        </w:rPr>
        <w:t> </w:t>
      </w:r>
      <w:r>
        <w:rPr>
          <w:color w:val="231F20"/>
        </w:rPr>
        <w:t>airports</w:t>
      </w:r>
      <w:r>
        <w:rPr>
          <w:color w:val="231F20"/>
          <w:spacing w:val="-5"/>
        </w:rPr>
        <w:t> </w:t>
      </w:r>
      <w:r>
        <w:rPr>
          <w:color w:val="231F20"/>
        </w:rPr>
        <w:t>will be</w:t>
      </w:r>
      <w:r>
        <w:rPr>
          <w:color w:val="231F20"/>
          <w:spacing w:val="-1"/>
        </w:rPr>
        <w:t> </w:t>
      </w:r>
      <w:r>
        <w:rPr>
          <w:color w:val="231F20"/>
        </w:rPr>
        <w:t>important</w:t>
      </w:r>
      <w:r>
        <w:rPr>
          <w:color w:val="231F20"/>
          <w:spacing w:val="-1"/>
        </w:rPr>
        <w:t> </w:t>
      </w:r>
      <w:r>
        <w:rPr>
          <w:color w:val="231F20"/>
        </w:rPr>
        <w:t>for</w:t>
      </w:r>
      <w:r>
        <w:rPr>
          <w:color w:val="231F20"/>
          <w:spacing w:val="-1"/>
        </w:rPr>
        <w:t> </w:t>
      </w:r>
      <w:r>
        <w:rPr>
          <w:color w:val="231F20"/>
        </w:rPr>
        <w:t>informing</w:t>
      </w:r>
      <w:r>
        <w:rPr>
          <w:color w:val="231F20"/>
          <w:spacing w:val="-1"/>
        </w:rPr>
        <w:t> </w:t>
      </w:r>
      <w:r>
        <w:rPr>
          <w:color w:val="231F20"/>
        </w:rPr>
        <w:t>policy.</w:t>
      </w:r>
    </w:p>
    <w:p>
      <w:pPr>
        <w:spacing w:line="280" w:lineRule="auto" w:before="105"/>
        <w:ind w:left="199" w:right="2929" w:firstLine="0"/>
        <w:jc w:val="left"/>
        <w:rPr>
          <w:rFonts w:ascii="Arial"/>
          <w:b/>
          <w:sz w:val="20"/>
        </w:rPr>
      </w:pPr>
      <w:r>
        <w:rPr/>
        <w:br w:type="column"/>
      </w:r>
      <w:r>
        <w:rPr>
          <w:rFonts w:ascii="Arial"/>
          <w:b/>
          <w:color w:val="231F20"/>
          <w:w w:val="105"/>
          <w:sz w:val="20"/>
        </w:rPr>
        <w:t>Dwell time and logistics </w:t>
      </w:r>
      <w:r>
        <w:rPr>
          <w:rFonts w:ascii="Arial"/>
          <w:b/>
          <w:color w:val="231F20"/>
          <w:spacing w:val="-2"/>
          <w:w w:val="105"/>
          <w:sz w:val="20"/>
        </w:rPr>
        <w:t>performance</w:t>
      </w:r>
    </w:p>
    <w:p>
      <w:pPr>
        <w:pStyle w:val="BodyText"/>
        <w:spacing w:before="33"/>
        <w:rPr>
          <w:rFonts w:ascii="Arial"/>
          <w:b/>
          <w:sz w:val="20"/>
        </w:rPr>
      </w:pPr>
    </w:p>
    <w:p>
      <w:pPr>
        <w:pStyle w:val="BodyText"/>
        <w:spacing w:line="268" w:lineRule="auto" w:before="1"/>
        <w:ind w:left="199" w:right="2817"/>
        <w:jc w:val="both"/>
      </w:pPr>
      <w:r>
        <w:rPr>
          <w:color w:val="231F20"/>
          <w:w w:val="90"/>
        </w:rPr>
        <w:t>Port dwell time has a subtle connection to logis- tics performance. Most countries—low, middle, </w:t>
      </w:r>
      <w:r>
        <w:rPr>
          <w:color w:val="231F20"/>
          <w:spacing w:val="-4"/>
        </w:rPr>
        <w:t>and</w:t>
      </w:r>
      <w:r>
        <w:rPr>
          <w:color w:val="231F20"/>
          <w:spacing w:val="-8"/>
        </w:rPr>
        <w:t> </w:t>
      </w:r>
      <w:r>
        <w:rPr>
          <w:color w:val="231F20"/>
          <w:spacing w:val="-4"/>
        </w:rPr>
        <w:t>high</w:t>
      </w:r>
      <w:r>
        <w:rPr>
          <w:color w:val="231F20"/>
          <w:spacing w:val="-8"/>
        </w:rPr>
        <w:t> </w:t>
      </w:r>
      <w:r>
        <w:rPr>
          <w:color w:val="231F20"/>
          <w:spacing w:val="-4"/>
        </w:rPr>
        <w:t>income—have</w:t>
      </w:r>
      <w:r>
        <w:rPr>
          <w:color w:val="231F20"/>
          <w:spacing w:val="-8"/>
        </w:rPr>
        <w:t> </w:t>
      </w:r>
      <w:r>
        <w:rPr>
          <w:color w:val="231F20"/>
          <w:spacing w:val="-4"/>
        </w:rPr>
        <w:t>similar</w:t>
      </w:r>
      <w:r>
        <w:rPr>
          <w:color w:val="231F20"/>
          <w:spacing w:val="-8"/>
        </w:rPr>
        <w:t> </w:t>
      </w:r>
      <w:r>
        <w:rPr>
          <w:color w:val="231F20"/>
          <w:spacing w:val="-4"/>
        </w:rPr>
        <w:t>average</w:t>
      </w:r>
      <w:r>
        <w:rPr>
          <w:color w:val="231F20"/>
          <w:spacing w:val="-8"/>
        </w:rPr>
        <w:t> </w:t>
      </w:r>
      <w:r>
        <w:rPr>
          <w:color w:val="231F20"/>
          <w:spacing w:val="-4"/>
        </w:rPr>
        <w:t>dwell </w:t>
      </w:r>
      <w:r>
        <w:rPr>
          <w:color w:val="231F20"/>
        </w:rPr>
        <w:t>times</w:t>
      </w:r>
      <w:r>
        <w:rPr>
          <w:color w:val="231F20"/>
          <w:spacing w:val="-5"/>
        </w:rPr>
        <w:t> </w:t>
      </w:r>
      <w:r>
        <w:rPr>
          <w:color w:val="231F20"/>
        </w:rPr>
        <w:t>(4–8</w:t>
      </w:r>
      <w:r>
        <w:rPr>
          <w:color w:val="231F20"/>
          <w:spacing w:val="-5"/>
        </w:rPr>
        <w:t> </w:t>
      </w:r>
      <w:r>
        <w:rPr>
          <w:color w:val="231F20"/>
        </w:rPr>
        <w:t>days)</w:t>
      </w:r>
      <w:r>
        <w:rPr>
          <w:color w:val="231F20"/>
          <w:spacing w:val="-5"/>
        </w:rPr>
        <w:t> </w:t>
      </w:r>
      <w:r>
        <w:rPr>
          <w:color w:val="231F20"/>
        </w:rPr>
        <w:t>(figure</w:t>
      </w:r>
      <w:r>
        <w:rPr>
          <w:color w:val="231F20"/>
          <w:spacing w:val="-5"/>
        </w:rPr>
        <w:t> </w:t>
      </w:r>
      <w:r>
        <w:rPr>
          <w:color w:val="231F20"/>
        </w:rPr>
        <w:t>3.4).</w:t>
      </w:r>
      <w:r>
        <w:rPr>
          <w:color w:val="231F20"/>
          <w:spacing w:val="-5"/>
        </w:rPr>
        <w:t> </w:t>
      </w:r>
      <w:r>
        <w:rPr>
          <w:color w:val="231F20"/>
        </w:rPr>
        <w:t>A</w:t>
      </w:r>
      <w:r>
        <w:rPr>
          <w:color w:val="231F20"/>
          <w:spacing w:val="-5"/>
        </w:rPr>
        <w:t> </w:t>
      </w:r>
      <w:r>
        <w:rPr>
          <w:color w:val="231F20"/>
        </w:rPr>
        <w:t>few</w:t>
      </w:r>
      <w:r>
        <w:rPr>
          <w:color w:val="231F20"/>
          <w:spacing w:val="-5"/>
        </w:rPr>
        <w:t> </w:t>
      </w:r>
      <w:r>
        <w:rPr>
          <w:color w:val="231F20"/>
        </w:rPr>
        <w:t>outliers </w:t>
      </w:r>
      <w:r>
        <w:rPr>
          <w:color w:val="231F20"/>
          <w:spacing w:val="-2"/>
        </w:rPr>
        <w:t>have</w:t>
      </w:r>
      <w:r>
        <w:rPr>
          <w:color w:val="231F20"/>
          <w:spacing w:val="-12"/>
        </w:rPr>
        <w:t> </w:t>
      </w:r>
      <w:r>
        <w:rPr>
          <w:color w:val="231F20"/>
          <w:spacing w:val="-2"/>
        </w:rPr>
        <w:t>a</w:t>
      </w:r>
      <w:r>
        <w:rPr>
          <w:color w:val="231F20"/>
          <w:spacing w:val="-11"/>
        </w:rPr>
        <w:t> </w:t>
      </w:r>
      <w:r>
        <w:rPr>
          <w:color w:val="231F20"/>
          <w:spacing w:val="-2"/>
        </w:rPr>
        <w:t>high</w:t>
      </w:r>
      <w:r>
        <w:rPr>
          <w:color w:val="231F20"/>
          <w:spacing w:val="-11"/>
        </w:rPr>
        <w:t> </w:t>
      </w:r>
      <w:r>
        <w:rPr>
          <w:color w:val="231F20"/>
          <w:spacing w:val="-2"/>
        </w:rPr>
        <w:t>dwell</w:t>
      </w:r>
      <w:r>
        <w:rPr>
          <w:color w:val="231F20"/>
          <w:spacing w:val="-11"/>
        </w:rPr>
        <w:t> </w:t>
      </w:r>
      <w:r>
        <w:rPr>
          <w:color w:val="231F20"/>
          <w:spacing w:val="-2"/>
        </w:rPr>
        <w:t>time</w:t>
      </w:r>
      <w:r>
        <w:rPr>
          <w:color w:val="231F20"/>
          <w:spacing w:val="-11"/>
        </w:rPr>
        <w:t> </w:t>
      </w:r>
      <w:r>
        <w:rPr>
          <w:color w:val="231F20"/>
          <w:spacing w:val="-2"/>
        </w:rPr>
        <w:t>with</w:t>
      </w:r>
      <w:r>
        <w:rPr>
          <w:color w:val="231F20"/>
          <w:spacing w:val="-11"/>
        </w:rPr>
        <w:t> </w:t>
      </w:r>
      <w:r>
        <w:rPr>
          <w:color w:val="231F20"/>
          <w:spacing w:val="-2"/>
        </w:rPr>
        <w:t>low</w:t>
      </w:r>
      <w:r>
        <w:rPr>
          <w:color w:val="231F20"/>
          <w:spacing w:val="-11"/>
        </w:rPr>
        <w:t> </w:t>
      </w:r>
      <w:r>
        <w:rPr>
          <w:color w:val="231F20"/>
          <w:spacing w:val="-2"/>
        </w:rPr>
        <w:t>logistics</w:t>
      </w:r>
      <w:r>
        <w:rPr>
          <w:color w:val="231F20"/>
          <w:spacing w:val="-11"/>
        </w:rPr>
        <w:t> </w:t>
      </w:r>
      <w:r>
        <w:rPr>
          <w:color w:val="231F20"/>
          <w:spacing w:val="-2"/>
        </w:rPr>
        <w:t>per- </w:t>
      </w:r>
      <w:r>
        <w:rPr>
          <w:color w:val="231F20"/>
          <w:w w:val="90"/>
        </w:rPr>
        <w:t>formance. Long delays imply low logistics per- </w:t>
      </w:r>
      <w:r>
        <w:rPr>
          <w:color w:val="231F20"/>
          <w:spacing w:val="-2"/>
        </w:rPr>
        <w:t>formance,</w:t>
      </w:r>
      <w:r>
        <w:rPr>
          <w:color w:val="231F20"/>
          <w:spacing w:val="-12"/>
        </w:rPr>
        <w:t> </w:t>
      </w:r>
      <w:r>
        <w:rPr>
          <w:color w:val="231F20"/>
          <w:spacing w:val="-2"/>
        </w:rPr>
        <w:t>but</w:t>
      </w:r>
      <w:r>
        <w:rPr>
          <w:color w:val="231F20"/>
          <w:spacing w:val="-11"/>
        </w:rPr>
        <w:t> </w:t>
      </w:r>
      <w:r>
        <w:rPr>
          <w:color w:val="231F20"/>
          <w:spacing w:val="-2"/>
        </w:rPr>
        <w:t>low</w:t>
      </w:r>
      <w:r>
        <w:rPr>
          <w:color w:val="231F20"/>
          <w:spacing w:val="-11"/>
        </w:rPr>
        <w:t> </w:t>
      </w:r>
      <w:r>
        <w:rPr>
          <w:color w:val="231F20"/>
          <w:spacing w:val="-2"/>
        </w:rPr>
        <w:t>logistics</w:t>
      </w:r>
      <w:r>
        <w:rPr>
          <w:color w:val="231F20"/>
          <w:spacing w:val="-11"/>
        </w:rPr>
        <w:t> </w:t>
      </w:r>
      <w:r>
        <w:rPr>
          <w:color w:val="231F20"/>
          <w:spacing w:val="-2"/>
        </w:rPr>
        <w:t>performance</w:t>
      </w:r>
      <w:r>
        <w:rPr>
          <w:color w:val="231F20"/>
          <w:spacing w:val="-11"/>
        </w:rPr>
        <w:t> </w:t>
      </w:r>
      <w:r>
        <w:rPr>
          <w:color w:val="231F20"/>
          <w:spacing w:val="-2"/>
        </w:rPr>
        <w:t>does not</w:t>
      </w:r>
      <w:r>
        <w:rPr>
          <w:color w:val="231F20"/>
          <w:spacing w:val="-13"/>
        </w:rPr>
        <w:t> </w:t>
      </w:r>
      <w:r>
        <w:rPr>
          <w:color w:val="231F20"/>
          <w:spacing w:val="-2"/>
        </w:rPr>
        <w:t>necessarily</w:t>
      </w:r>
      <w:r>
        <w:rPr>
          <w:color w:val="231F20"/>
          <w:spacing w:val="-13"/>
        </w:rPr>
        <w:t> </w:t>
      </w:r>
      <w:r>
        <w:rPr>
          <w:color w:val="231F20"/>
          <w:spacing w:val="-2"/>
        </w:rPr>
        <w:t>imply</w:t>
      </w:r>
      <w:r>
        <w:rPr>
          <w:color w:val="231F20"/>
          <w:spacing w:val="-13"/>
        </w:rPr>
        <w:t> </w:t>
      </w:r>
      <w:r>
        <w:rPr>
          <w:color w:val="231F20"/>
          <w:spacing w:val="-2"/>
        </w:rPr>
        <w:t>long</w:t>
      </w:r>
      <w:r>
        <w:rPr>
          <w:color w:val="231F20"/>
          <w:spacing w:val="-13"/>
        </w:rPr>
        <w:t> </w:t>
      </w:r>
      <w:r>
        <w:rPr>
          <w:color w:val="231F20"/>
          <w:spacing w:val="-2"/>
        </w:rPr>
        <w:t>delays.</w:t>
      </w:r>
    </w:p>
    <w:p>
      <w:pPr>
        <w:spacing w:after="0" w:line="268" w:lineRule="auto"/>
        <w:jc w:val="both"/>
        <w:sectPr>
          <w:type w:val="continuous"/>
          <w:pgSz w:w="12240" w:h="15840"/>
          <w:pgMar w:header="0" w:footer="548" w:top="1140" w:bottom="280" w:left="0" w:right="540"/>
          <w:cols w:num="2" w:equalWidth="0">
            <w:col w:w="4921" w:space="40"/>
            <w:col w:w="6739"/>
          </w:cols>
        </w:sectPr>
      </w:pPr>
    </w:p>
    <w:p>
      <w:pPr>
        <w:pStyle w:val="BodyText"/>
        <w:spacing w:before="36"/>
        <w:rPr>
          <w:sz w:val="20"/>
        </w:rPr>
      </w:pPr>
    </w:p>
    <w:p>
      <w:pPr>
        <w:pStyle w:val="BodyText"/>
        <w:ind w:left="1200"/>
        <w:rPr>
          <w:sz w:val="20"/>
        </w:rPr>
      </w:pPr>
      <w:r>
        <w:rPr>
          <w:sz w:val="20"/>
        </w:rPr>
        <mc:AlternateContent>
          <mc:Choice Requires="wps">
            <w:drawing>
              <wp:inline distT="0" distB="0" distL="0" distR="0">
                <wp:extent cx="4877435" cy="3084830"/>
                <wp:effectExtent l="0" t="9525" r="0" b="1269"/>
                <wp:docPr id="1081" name="Group 1081"/>
                <wp:cNvGraphicFramePr>
                  <a:graphicFrameLocks/>
                </wp:cNvGraphicFramePr>
                <a:graphic>
                  <a:graphicData uri="http://schemas.microsoft.com/office/word/2010/wordprocessingGroup">
                    <wpg:wgp>
                      <wpg:cNvPr id="1081" name="Group 1081"/>
                      <wpg:cNvGrpSpPr/>
                      <wpg:grpSpPr>
                        <a:xfrm>
                          <a:off x="0" y="0"/>
                          <a:ext cx="4877435" cy="3084830"/>
                          <a:chExt cx="4877435" cy="3084830"/>
                        </a:xfrm>
                      </wpg:grpSpPr>
                      <wps:wsp>
                        <wps:cNvPr id="1082" name="Graphic 1082"/>
                        <wps:cNvSpPr/>
                        <wps:spPr>
                          <a:xfrm>
                            <a:off x="198" y="258093"/>
                            <a:ext cx="4876800" cy="2826385"/>
                          </a:xfrm>
                          <a:custGeom>
                            <a:avLst/>
                            <a:gdLst/>
                            <a:ahLst/>
                            <a:cxnLst/>
                            <a:rect l="l" t="t" r="r" b="b"/>
                            <a:pathLst>
                              <a:path w="4876800" h="2826385">
                                <a:moveTo>
                                  <a:pt x="4876800" y="0"/>
                                </a:moveTo>
                                <a:lnTo>
                                  <a:pt x="0" y="0"/>
                                </a:lnTo>
                                <a:lnTo>
                                  <a:pt x="0" y="2751455"/>
                                </a:lnTo>
                                <a:lnTo>
                                  <a:pt x="6159" y="2780553"/>
                                </a:lnTo>
                                <a:lnTo>
                                  <a:pt x="22693" y="2804313"/>
                                </a:lnTo>
                                <a:lnTo>
                                  <a:pt x="46682" y="2820333"/>
                                </a:lnTo>
                                <a:lnTo>
                                  <a:pt x="75209" y="2826207"/>
                                </a:lnTo>
                                <a:lnTo>
                                  <a:pt x="4797920" y="2826207"/>
                                </a:lnTo>
                                <a:lnTo>
                                  <a:pt x="4827020" y="2820952"/>
                                </a:lnTo>
                                <a:lnTo>
                                  <a:pt x="4852271" y="2805966"/>
                                </a:lnTo>
                                <a:lnTo>
                                  <a:pt x="4870066" y="2782412"/>
                                </a:lnTo>
                                <a:lnTo>
                                  <a:pt x="4876800" y="2751455"/>
                                </a:lnTo>
                                <a:lnTo>
                                  <a:pt x="4876800" y="0"/>
                                </a:lnTo>
                                <a:close/>
                              </a:path>
                            </a:pathLst>
                          </a:custGeom>
                          <a:solidFill>
                            <a:srgbClr val="DFEAF7"/>
                          </a:solidFill>
                        </wps:spPr>
                        <wps:bodyPr wrap="square" lIns="0" tIns="0" rIns="0" bIns="0" rtlCol="0">
                          <a:prstTxWarp prst="textNoShape">
                            <a:avLst/>
                          </a:prstTxWarp>
                          <a:noAutofit/>
                        </wps:bodyPr>
                      </wps:wsp>
                      <wps:wsp>
                        <wps:cNvPr id="1083" name="Graphic 1083"/>
                        <wps:cNvSpPr/>
                        <wps:spPr>
                          <a:xfrm>
                            <a:off x="2639943" y="2460724"/>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084" name="Graphic 1084"/>
                        <wps:cNvSpPr/>
                        <wps:spPr>
                          <a:xfrm>
                            <a:off x="2639943" y="2157276"/>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085" name="Graphic 1085"/>
                        <wps:cNvSpPr/>
                        <wps:spPr>
                          <a:xfrm>
                            <a:off x="2639943" y="1853827"/>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086" name="Graphic 1086"/>
                        <wps:cNvSpPr/>
                        <wps:spPr>
                          <a:xfrm>
                            <a:off x="2639943" y="1550380"/>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087" name="Graphic 1087"/>
                        <wps:cNvSpPr/>
                        <wps:spPr>
                          <a:xfrm>
                            <a:off x="2639943" y="1246931"/>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088" name="Graphic 1088"/>
                        <wps:cNvSpPr/>
                        <wps:spPr>
                          <a:xfrm>
                            <a:off x="2639943" y="943483"/>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089" name="Graphic 1089"/>
                        <wps:cNvSpPr/>
                        <wps:spPr>
                          <a:xfrm>
                            <a:off x="2639943" y="640035"/>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090" name="Graphic 1090"/>
                        <wps:cNvSpPr/>
                        <wps:spPr>
                          <a:xfrm>
                            <a:off x="248991" y="2460724"/>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091" name="Graphic 1091"/>
                        <wps:cNvSpPr/>
                        <wps:spPr>
                          <a:xfrm>
                            <a:off x="248991" y="943483"/>
                            <a:ext cx="2067560" cy="1214120"/>
                          </a:xfrm>
                          <a:custGeom>
                            <a:avLst/>
                            <a:gdLst/>
                            <a:ahLst/>
                            <a:cxnLst/>
                            <a:rect l="l" t="t" r="r" b="b"/>
                            <a:pathLst>
                              <a:path w="2067560" h="1214120">
                                <a:moveTo>
                                  <a:pt x="0" y="1213793"/>
                                </a:moveTo>
                                <a:lnTo>
                                  <a:pt x="169156" y="1213793"/>
                                </a:lnTo>
                              </a:path>
                              <a:path w="2067560" h="1214120">
                                <a:moveTo>
                                  <a:pt x="804321" y="1213793"/>
                                </a:moveTo>
                                <a:lnTo>
                                  <a:pt x="2067140" y="1213793"/>
                                </a:lnTo>
                              </a:path>
                              <a:path w="2067560" h="1214120">
                                <a:moveTo>
                                  <a:pt x="0" y="910344"/>
                                </a:moveTo>
                                <a:lnTo>
                                  <a:pt x="169156" y="910344"/>
                                </a:lnTo>
                              </a:path>
                              <a:path w="2067560" h="1214120">
                                <a:moveTo>
                                  <a:pt x="663110" y="910344"/>
                                </a:moveTo>
                                <a:lnTo>
                                  <a:pt x="2067140" y="910344"/>
                                </a:lnTo>
                              </a:path>
                              <a:path w="2067560" h="1214120">
                                <a:moveTo>
                                  <a:pt x="0" y="606897"/>
                                </a:moveTo>
                                <a:lnTo>
                                  <a:pt x="239768" y="606897"/>
                                </a:lnTo>
                              </a:path>
                              <a:path w="2067560" h="1214120">
                                <a:moveTo>
                                  <a:pt x="592498" y="606897"/>
                                </a:moveTo>
                                <a:lnTo>
                                  <a:pt x="2067140" y="606897"/>
                                </a:lnTo>
                              </a:path>
                              <a:path w="2067560" h="1214120">
                                <a:moveTo>
                                  <a:pt x="0" y="303448"/>
                                </a:moveTo>
                                <a:lnTo>
                                  <a:pt x="310367" y="303448"/>
                                </a:lnTo>
                              </a:path>
                              <a:path w="2067560" h="1214120">
                                <a:moveTo>
                                  <a:pt x="592498" y="303448"/>
                                </a:moveTo>
                                <a:lnTo>
                                  <a:pt x="2067140" y="303448"/>
                                </a:lnTo>
                              </a:path>
                              <a:path w="2067560" h="1214120">
                                <a:moveTo>
                                  <a:pt x="0" y="0"/>
                                </a:moveTo>
                                <a:lnTo>
                                  <a:pt x="310367" y="0"/>
                                </a:lnTo>
                              </a:path>
                              <a:path w="2067560" h="1214120">
                                <a:moveTo>
                                  <a:pt x="451286"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092" name="Graphic 1092"/>
                        <wps:cNvSpPr/>
                        <wps:spPr>
                          <a:xfrm>
                            <a:off x="248991" y="640035"/>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093" name="Graphic 1093"/>
                        <wps:cNvSpPr/>
                        <wps:spPr>
                          <a:xfrm>
                            <a:off x="0" y="0"/>
                            <a:ext cx="512445" cy="231775"/>
                          </a:xfrm>
                          <a:custGeom>
                            <a:avLst/>
                            <a:gdLst/>
                            <a:ahLst/>
                            <a:cxnLst/>
                            <a:rect l="l" t="t" r="r" b="b"/>
                            <a:pathLst>
                              <a:path w="512445" h="231775">
                                <a:moveTo>
                                  <a:pt x="512178" y="0"/>
                                </a:moveTo>
                                <a:lnTo>
                                  <a:pt x="76200" y="0"/>
                                </a:lnTo>
                                <a:lnTo>
                                  <a:pt x="47213" y="3058"/>
                                </a:lnTo>
                                <a:lnTo>
                                  <a:pt x="22917" y="14506"/>
                                </a:lnTo>
                                <a:lnTo>
                                  <a:pt x="6212" y="37751"/>
                                </a:lnTo>
                                <a:lnTo>
                                  <a:pt x="0" y="76200"/>
                                </a:lnTo>
                                <a:lnTo>
                                  <a:pt x="0" y="231775"/>
                                </a:lnTo>
                                <a:lnTo>
                                  <a:pt x="512178" y="231775"/>
                                </a:lnTo>
                                <a:lnTo>
                                  <a:pt x="512178" y="0"/>
                                </a:lnTo>
                                <a:close/>
                              </a:path>
                            </a:pathLst>
                          </a:custGeom>
                          <a:solidFill>
                            <a:srgbClr val="008FDD"/>
                          </a:solidFill>
                        </wps:spPr>
                        <wps:bodyPr wrap="square" lIns="0" tIns="0" rIns="0" bIns="0" rtlCol="0">
                          <a:prstTxWarp prst="textNoShape">
                            <a:avLst/>
                          </a:prstTxWarp>
                          <a:noAutofit/>
                        </wps:bodyPr>
                      </wps:wsp>
                      <wps:wsp>
                        <wps:cNvPr id="1094" name="Graphic 1094"/>
                        <wps:cNvSpPr/>
                        <wps:spPr>
                          <a:xfrm>
                            <a:off x="512178" y="0"/>
                            <a:ext cx="4364355" cy="231775"/>
                          </a:xfrm>
                          <a:custGeom>
                            <a:avLst/>
                            <a:gdLst/>
                            <a:ahLst/>
                            <a:cxnLst/>
                            <a:rect l="l" t="t" r="r" b="b"/>
                            <a:pathLst>
                              <a:path w="4364355" h="231775">
                                <a:moveTo>
                                  <a:pt x="4287926" y="0"/>
                                </a:moveTo>
                                <a:lnTo>
                                  <a:pt x="0" y="0"/>
                                </a:lnTo>
                                <a:lnTo>
                                  <a:pt x="0" y="231775"/>
                                </a:lnTo>
                                <a:lnTo>
                                  <a:pt x="4364126" y="231775"/>
                                </a:lnTo>
                                <a:lnTo>
                                  <a:pt x="4364126" y="76200"/>
                                </a:lnTo>
                                <a:lnTo>
                                  <a:pt x="4358620" y="50979"/>
                                </a:lnTo>
                                <a:lnTo>
                                  <a:pt x="4343095" y="26265"/>
                                </a:lnTo>
                                <a:lnTo>
                                  <a:pt x="4319035" y="7468"/>
                                </a:lnTo>
                                <a:lnTo>
                                  <a:pt x="4287926" y="0"/>
                                </a:lnTo>
                                <a:close/>
                              </a:path>
                            </a:pathLst>
                          </a:custGeom>
                          <a:solidFill>
                            <a:srgbClr val="808285"/>
                          </a:solidFill>
                        </wps:spPr>
                        <wps:bodyPr wrap="square" lIns="0" tIns="0" rIns="0" bIns="0" rtlCol="0">
                          <a:prstTxWarp prst="textNoShape">
                            <a:avLst/>
                          </a:prstTxWarp>
                          <a:noAutofit/>
                        </wps:bodyPr>
                      </wps:wsp>
                      <wps:wsp>
                        <wps:cNvPr id="1095" name="Graphic 1095"/>
                        <wps:cNvSpPr/>
                        <wps:spPr>
                          <a:xfrm>
                            <a:off x="512179"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wps:wsp>
                        <wps:cNvPr id="1096" name="Graphic 1096"/>
                        <wps:cNvSpPr/>
                        <wps:spPr>
                          <a:xfrm>
                            <a:off x="276936" y="2278570"/>
                            <a:ext cx="71120" cy="182245"/>
                          </a:xfrm>
                          <a:custGeom>
                            <a:avLst/>
                            <a:gdLst/>
                            <a:ahLst/>
                            <a:cxnLst/>
                            <a:rect l="l" t="t" r="r" b="b"/>
                            <a:pathLst>
                              <a:path w="71120" h="182245">
                                <a:moveTo>
                                  <a:pt x="70612" y="0"/>
                                </a:moveTo>
                                <a:lnTo>
                                  <a:pt x="0" y="0"/>
                                </a:lnTo>
                                <a:lnTo>
                                  <a:pt x="0" y="182156"/>
                                </a:lnTo>
                                <a:lnTo>
                                  <a:pt x="70612" y="182156"/>
                                </a:lnTo>
                                <a:lnTo>
                                  <a:pt x="70612" y="0"/>
                                </a:lnTo>
                                <a:close/>
                              </a:path>
                            </a:pathLst>
                          </a:custGeom>
                          <a:solidFill>
                            <a:srgbClr val="008FDD"/>
                          </a:solidFill>
                        </wps:spPr>
                        <wps:bodyPr wrap="square" lIns="0" tIns="0" rIns="0" bIns="0" rtlCol="0">
                          <a:prstTxWarp prst="textNoShape">
                            <a:avLst/>
                          </a:prstTxWarp>
                          <a:noAutofit/>
                        </wps:bodyPr>
                      </wps:wsp>
                      <wps:wsp>
                        <wps:cNvPr id="1097" name="Graphic 1097"/>
                        <wps:cNvSpPr/>
                        <wps:spPr>
                          <a:xfrm>
                            <a:off x="276932" y="2278570"/>
                            <a:ext cx="71120" cy="182245"/>
                          </a:xfrm>
                          <a:custGeom>
                            <a:avLst/>
                            <a:gdLst/>
                            <a:ahLst/>
                            <a:cxnLst/>
                            <a:rect l="l" t="t" r="r" b="b"/>
                            <a:pathLst>
                              <a:path w="71120" h="182245">
                                <a:moveTo>
                                  <a:pt x="0" y="182156"/>
                                </a:moveTo>
                                <a:lnTo>
                                  <a:pt x="70612" y="182156"/>
                                </a:lnTo>
                                <a:lnTo>
                                  <a:pt x="70612" y="0"/>
                                </a:lnTo>
                                <a:lnTo>
                                  <a:pt x="0" y="0"/>
                                </a:lnTo>
                                <a:lnTo>
                                  <a:pt x="0" y="182156"/>
                                </a:lnTo>
                                <a:close/>
                              </a:path>
                            </a:pathLst>
                          </a:custGeom>
                          <a:ln w="3175">
                            <a:solidFill>
                              <a:srgbClr val="FFFFFF"/>
                            </a:solidFill>
                            <a:prstDash val="solid"/>
                          </a:ln>
                        </wps:spPr>
                        <wps:bodyPr wrap="square" lIns="0" tIns="0" rIns="0" bIns="0" rtlCol="0">
                          <a:prstTxWarp prst="textNoShape">
                            <a:avLst/>
                          </a:prstTxWarp>
                          <a:noAutofit/>
                        </wps:bodyPr>
                      </wps:wsp>
                      <wps:wsp>
                        <wps:cNvPr id="1098" name="Graphic 1098"/>
                        <wps:cNvSpPr/>
                        <wps:spPr>
                          <a:xfrm>
                            <a:off x="347535" y="2157476"/>
                            <a:ext cx="71120" cy="303530"/>
                          </a:xfrm>
                          <a:custGeom>
                            <a:avLst/>
                            <a:gdLst/>
                            <a:ahLst/>
                            <a:cxnLst/>
                            <a:rect l="l" t="t" r="r" b="b"/>
                            <a:pathLst>
                              <a:path w="71120" h="303530">
                                <a:moveTo>
                                  <a:pt x="70612" y="0"/>
                                </a:moveTo>
                                <a:lnTo>
                                  <a:pt x="0" y="0"/>
                                </a:lnTo>
                                <a:lnTo>
                                  <a:pt x="0" y="303250"/>
                                </a:lnTo>
                                <a:lnTo>
                                  <a:pt x="70612" y="303250"/>
                                </a:lnTo>
                                <a:lnTo>
                                  <a:pt x="70612" y="0"/>
                                </a:lnTo>
                                <a:close/>
                              </a:path>
                            </a:pathLst>
                          </a:custGeom>
                          <a:solidFill>
                            <a:srgbClr val="008FDD"/>
                          </a:solidFill>
                        </wps:spPr>
                        <wps:bodyPr wrap="square" lIns="0" tIns="0" rIns="0" bIns="0" rtlCol="0">
                          <a:prstTxWarp prst="textNoShape">
                            <a:avLst/>
                          </a:prstTxWarp>
                          <a:noAutofit/>
                        </wps:bodyPr>
                      </wps:wsp>
                      <wps:wsp>
                        <wps:cNvPr id="1099" name="Graphic 1099"/>
                        <wps:cNvSpPr/>
                        <wps:spPr>
                          <a:xfrm>
                            <a:off x="347531" y="2157476"/>
                            <a:ext cx="71120" cy="303530"/>
                          </a:xfrm>
                          <a:custGeom>
                            <a:avLst/>
                            <a:gdLst/>
                            <a:ahLst/>
                            <a:cxnLst/>
                            <a:rect l="l" t="t" r="r" b="b"/>
                            <a:pathLst>
                              <a:path w="71120" h="303530">
                                <a:moveTo>
                                  <a:pt x="0" y="303250"/>
                                </a:moveTo>
                                <a:lnTo>
                                  <a:pt x="70612" y="303250"/>
                                </a:lnTo>
                                <a:lnTo>
                                  <a:pt x="70612" y="0"/>
                                </a:lnTo>
                                <a:lnTo>
                                  <a:pt x="0" y="0"/>
                                </a:lnTo>
                                <a:lnTo>
                                  <a:pt x="0" y="303250"/>
                                </a:lnTo>
                                <a:close/>
                              </a:path>
                            </a:pathLst>
                          </a:custGeom>
                          <a:ln w="3175">
                            <a:solidFill>
                              <a:srgbClr val="FFFFFF"/>
                            </a:solidFill>
                            <a:prstDash val="solid"/>
                          </a:ln>
                        </wps:spPr>
                        <wps:bodyPr wrap="square" lIns="0" tIns="0" rIns="0" bIns="0" rtlCol="0">
                          <a:prstTxWarp prst="textNoShape">
                            <a:avLst/>
                          </a:prstTxWarp>
                          <a:noAutofit/>
                        </wps:bodyPr>
                      </wps:wsp>
                      <wps:wsp>
                        <wps:cNvPr id="1100" name="Graphic 1100"/>
                        <wps:cNvSpPr/>
                        <wps:spPr>
                          <a:xfrm>
                            <a:off x="418147" y="1793176"/>
                            <a:ext cx="71120" cy="668020"/>
                          </a:xfrm>
                          <a:custGeom>
                            <a:avLst/>
                            <a:gdLst/>
                            <a:ahLst/>
                            <a:cxnLst/>
                            <a:rect l="l" t="t" r="r" b="b"/>
                            <a:pathLst>
                              <a:path w="71120" h="668020">
                                <a:moveTo>
                                  <a:pt x="70612" y="0"/>
                                </a:moveTo>
                                <a:lnTo>
                                  <a:pt x="0" y="0"/>
                                </a:lnTo>
                                <a:lnTo>
                                  <a:pt x="0" y="667550"/>
                                </a:lnTo>
                                <a:lnTo>
                                  <a:pt x="70612" y="667550"/>
                                </a:lnTo>
                                <a:lnTo>
                                  <a:pt x="70612" y="0"/>
                                </a:lnTo>
                                <a:close/>
                              </a:path>
                            </a:pathLst>
                          </a:custGeom>
                          <a:solidFill>
                            <a:srgbClr val="008FDD"/>
                          </a:solidFill>
                        </wps:spPr>
                        <wps:bodyPr wrap="square" lIns="0" tIns="0" rIns="0" bIns="0" rtlCol="0">
                          <a:prstTxWarp prst="textNoShape">
                            <a:avLst/>
                          </a:prstTxWarp>
                          <a:noAutofit/>
                        </wps:bodyPr>
                      </wps:wsp>
                      <wps:wsp>
                        <wps:cNvPr id="1101" name="Graphic 1101"/>
                        <wps:cNvSpPr/>
                        <wps:spPr>
                          <a:xfrm>
                            <a:off x="418143" y="1793176"/>
                            <a:ext cx="71120" cy="668020"/>
                          </a:xfrm>
                          <a:custGeom>
                            <a:avLst/>
                            <a:gdLst/>
                            <a:ahLst/>
                            <a:cxnLst/>
                            <a:rect l="l" t="t" r="r" b="b"/>
                            <a:pathLst>
                              <a:path w="71120" h="668020">
                                <a:moveTo>
                                  <a:pt x="0" y="667550"/>
                                </a:moveTo>
                                <a:lnTo>
                                  <a:pt x="70612" y="667550"/>
                                </a:lnTo>
                                <a:lnTo>
                                  <a:pt x="70612" y="0"/>
                                </a:lnTo>
                                <a:lnTo>
                                  <a:pt x="0" y="0"/>
                                </a:lnTo>
                                <a:lnTo>
                                  <a:pt x="0" y="667550"/>
                                </a:lnTo>
                                <a:close/>
                              </a:path>
                            </a:pathLst>
                          </a:custGeom>
                          <a:ln w="3175">
                            <a:solidFill>
                              <a:srgbClr val="FFFFFF"/>
                            </a:solidFill>
                            <a:prstDash val="solid"/>
                          </a:ln>
                        </wps:spPr>
                        <wps:bodyPr wrap="square" lIns="0" tIns="0" rIns="0" bIns="0" rtlCol="0">
                          <a:prstTxWarp prst="textNoShape">
                            <a:avLst/>
                          </a:prstTxWarp>
                          <a:noAutofit/>
                        </wps:bodyPr>
                      </wps:wsp>
                      <wps:wsp>
                        <wps:cNvPr id="1102" name="Graphic 1102"/>
                        <wps:cNvSpPr/>
                        <wps:spPr>
                          <a:xfrm>
                            <a:off x="488759" y="1337805"/>
                            <a:ext cx="71120" cy="1123315"/>
                          </a:xfrm>
                          <a:custGeom>
                            <a:avLst/>
                            <a:gdLst/>
                            <a:ahLst/>
                            <a:cxnLst/>
                            <a:rect l="l" t="t" r="r" b="b"/>
                            <a:pathLst>
                              <a:path w="71120" h="1123315">
                                <a:moveTo>
                                  <a:pt x="70612" y="0"/>
                                </a:moveTo>
                                <a:lnTo>
                                  <a:pt x="0" y="0"/>
                                </a:lnTo>
                                <a:lnTo>
                                  <a:pt x="0" y="1122921"/>
                                </a:lnTo>
                                <a:lnTo>
                                  <a:pt x="70612" y="1122921"/>
                                </a:lnTo>
                                <a:lnTo>
                                  <a:pt x="70612" y="0"/>
                                </a:lnTo>
                                <a:close/>
                              </a:path>
                            </a:pathLst>
                          </a:custGeom>
                          <a:solidFill>
                            <a:srgbClr val="008FDD"/>
                          </a:solidFill>
                        </wps:spPr>
                        <wps:bodyPr wrap="square" lIns="0" tIns="0" rIns="0" bIns="0" rtlCol="0">
                          <a:prstTxWarp prst="textNoShape">
                            <a:avLst/>
                          </a:prstTxWarp>
                          <a:noAutofit/>
                        </wps:bodyPr>
                      </wps:wsp>
                      <wps:wsp>
                        <wps:cNvPr id="1103" name="Graphic 1103"/>
                        <wps:cNvSpPr/>
                        <wps:spPr>
                          <a:xfrm>
                            <a:off x="488755" y="1337805"/>
                            <a:ext cx="71120" cy="1123315"/>
                          </a:xfrm>
                          <a:custGeom>
                            <a:avLst/>
                            <a:gdLst/>
                            <a:ahLst/>
                            <a:cxnLst/>
                            <a:rect l="l" t="t" r="r" b="b"/>
                            <a:pathLst>
                              <a:path w="71120" h="1123315">
                                <a:moveTo>
                                  <a:pt x="0" y="1122921"/>
                                </a:moveTo>
                                <a:lnTo>
                                  <a:pt x="70612" y="1122921"/>
                                </a:lnTo>
                                <a:lnTo>
                                  <a:pt x="70612" y="0"/>
                                </a:lnTo>
                                <a:lnTo>
                                  <a:pt x="0" y="0"/>
                                </a:lnTo>
                                <a:lnTo>
                                  <a:pt x="0" y="1122921"/>
                                </a:lnTo>
                                <a:close/>
                              </a:path>
                            </a:pathLst>
                          </a:custGeom>
                          <a:ln w="3175">
                            <a:solidFill>
                              <a:srgbClr val="FFFFFF"/>
                            </a:solidFill>
                            <a:prstDash val="solid"/>
                          </a:ln>
                        </wps:spPr>
                        <wps:bodyPr wrap="square" lIns="0" tIns="0" rIns="0" bIns="0" rtlCol="0">
                          <a:prstTxWarp prst="textNoShape">
                            <a:avLst/>
                          </a:prstTxWarp>
                          <a:noAutofit/>
                        </wps:bodyPr>
                      </wps:wsp>
                      <wps:wsp>
                        <wps:cNvPr id="1104" name="Graphic 1104"/>
                        <wps:cNvSpPr/>
                        <wps:spPr>
                          <a:xfrm>
                            <a:off x="559358" y="730808"/>
                            <a:ext cx="71120" cy="1730375"/>
                          </a:xfrm>
                          <a:custGeom>
                            <a:avLst/>
                            <a:gdLst/>
                            <a:ahLst/>
                            <a:cxnLst/>
                            <a:rect l="l" t="t" r="r" b="b"/>
                            <a:pathLst>
                              <a:path w="71120" h="1730375">
                                <a:moveTo>
                                  <a:pt x="70612" y="0"/>
                                </a:moveTo>
                                <a:lnTo>
                                  <a:pt x="0" y="0"/>
                                </a:lnTo>
                                <a:lnTo>
                                  <a:pt x="0" y="1729917"/>
                                </a:lnTo>
                                <a:lnTo>
                                  <a:pt x="70612" y="1729917"/>
                                </a:lnTo>
                                <a:lnTo>
                                  <a:pt x="70612" y="0"/>
                                </a:lnTo>
                                <a:close/>
                              </a:path>
                            </a:pathLst>
                          </a:custGeom>
                          <a:solidFill>
                            <a:srgbClr val="008FDD"/>
                          </a:solidFill>
                        </wps:spPr>
                        <wps:bodyPr wrap="square" lIns="0" tIns="0" rIns="0" bIns="0" rtlCol="0">
                          <a:prstTxWarp prst="textNoShape">
                            <a:avLst/>
                          </a:prstTxWarp>
                          <a:noAutofit/>
                        </wps:bodyPr>
                      </wps:wsp>
                      <wps:wsp>
                        <wps:cNvPr id="1105" name="Graphic 1105"/>
                        <wps:cNvSpPr/>
                        <wps:spPr>
                          <a:xfrm>
                            <a:off x="559355" y="730808"/>
                            <a:ext cx="71120" cy="1730375"/>
                          </a:xfrm>
                          <a:custGeom>
                            <a:avLst/>
                            <a:gdLst/>
                            <a:ahLst/>
                            <a:cxnLst/>
                            <a:rect l="l" t="t" r="r" b="b"/>
                            <a:pathLst>
                              <a:path w="71120" h="1730375">
                                <a:moveTo>
                                  <a:pt x="0" y="1729917"/>
                                </a:moveTo>
                                <a:lnTo>
                                  <a:pt x="70612" y="1729917"/>
                                </a:lnTo>
                                <a:lnTo>
                                  <a:pt x="70612" y="0"/>
                                </a:lnTo>
                                <a:lnTo>
                                  <a:pt x="0" y="0"/>
                                </a:lnTo>
                                <a:lnTo>
                                  <a:pt x="0" y="1729917"/>
                                </a:lnTo>
                                <a:close/>
                              </a:path>
                            </a:pathLst>
                          </a:custGeom>
                          <a:ln w="3175">
                            <a:solidFill>
                              <a:srgbClr val="FFFFFF"/>
                            </a:solidFill>
                            <a:prstDash val="solid"/>
                          </a:ln>
                        </wps:spPr>
                        <wps:bodyPr wrap="square" lIns="0" tIns="0" rIns="0" bIns="0" rtlCol="0">
                          <a:prstTxWarp prst="textNoShape">
                            <a:avLst/>
                          </a:prstTxWarp>
                          <a:noAutofit/>
                        </wps:bodyPr>
                      </wps:wsp>
                      <wps:wsp>
                        <wps:cNvPr id="1106" name="Graphic 1106"/>
                        <wps:cNvSpPr/>
                        <wps:spPr>
                          <a:xfrm>
                            <a:off x="629666" y="821880"/>
                            <a:ext cx="71120" cy="1638935"/>
                          </a:xfrm>
                          <a:custGeom>
                            <a:avLst/>
                            <a:gdLst/>
                            <a:ahLst/>
                            <a:cxnLst/>
                            <a:rect l="l" t="t" r="r" b="b"/>
                            <a:pathLst>
                              <a:path w="71120" h="1638935">
                                <a:moveTo>
                                  <a:pt x="70612" y="0"/>
                                </a:moveTo>
                                <a:lnTo>
                                  <a:pt x="0" y="0"/>
                                </a:lnTo>
                                <a:lnTo>
                                  <a:pt x="0" y="1638846"/>
                                </a:lnTo>
                                <a:lnTo>
                                  <a:pt x="70612" y="1638846"/>
                                </a:lnTo>
                                <a:lnTo>
                                  <a:pt x="70612" y="0"/>
                                </a:lnTo>
                                <a:close/>
                              </a:path>
                            </a:pathLst>
                          </a:custGeom>
                          <a:solidFill>
                            <a:srgbClr val="008FDD"/>
                          </a:solidFill>
                        </wps:spPr>
                        <wps:bodyPr wrap="square" lIns="0" tIns="0" rIns="0" bIns="0" rtlCol="0">
                          <a:prstTxWarp prst="textNoShape">
                            <a:avLst/>
                          </a:prstTxWarp>
                          <a:noAutofit/>
                        </wps:bodyPr>
                      </wps:wsp>
                      <wps:wsp>
                        <wps:cNvPr id="1107" name="Graphic 1107"/>
                        <wps:cNvSpPr/>
                        <wps:spPr>
                          <a:xfrm>
                            <a:off x="629662" y="821880"/>
                            <a:ext cx="71120" cy="1638935"/>
                          </a:xfrm>
                          <a:custGeom>
                            <a:avLst/>
                            <a:gdLst/>
                            <a:ahLst/>
                            <a:cxnLst/>
                            <a:rect l="l" t="t" r="r" b="b"/>
                            <a:pathLst>
                              <a:path w="71120" h="1638935">
                                <a:moveTo>
                                  <a:pt x="0" y="1638846"/>
                                </a:moveTo>
                                <a:lnTo>
                                  <a:pt x="70612" y="1638846"/>
                                </a:lnTo>
                                <a:lnTo>
                                  <a:pt x="70612" y="0"/>
                                </a:lnTo>
                                <a:lnTo>
                                  <a:pt x="0" y="0"/>
                                </a:lnTo>
                                <a:lnTo>
                                  <a:pt x="0" y="1638846"/>
                                </a:lnTo>
                                <a:close/>
                              </a:path>
                            </a:pathLst>
                          </a:custGeom>
                          <a:ln w="3175">
                            <a:solidFill>
                              <a:srgbClr val="FFFFFF"/>
                            </a:solidFill>
                            <a:prstDash val="solid"/>
                          </a:ln>
                        </wps:spPr>
                        <wps:bodyPr wrap="square" lIns="0" tIns="0" rIns="0" bIns="0" rtlCol="0">
                          <a:prstTxWarp prst="textNoShape">
                            <a:avLst/>
                          </a:prstTxWarp>
                          <a:noAutofit/>
                        </wps:bodyPr>
                      </wps:wsp>
                      <wps:wsp>
                        <wps:cNvPr id="1108" name="Graphic 1108"/>
                        <wps:cNvSpPr/>
                        <wps:spPr>
                          <a:xfrm>
                            <a:off x="700265" y="1125639"/>
                            <a:ext cx="71120" cy="1335405"/>
                          </a:xfrm>
                          <a:custGeom>
                            <a:avLst/>
                            <a:gdLst/>
                            <a:ahLst/>
                            <a:cxnLst/>
                            <a:rect l="l" t="t" r="r" b="b"/>
                            <a:pathLst>
                              <a:path w="71120" h="1335405">
                                <a:moveTo>
                                  <a:pt x="70612" y="0"/>
                                </a:moveTo>
                                <a:lnTo>
                                  <a:pt x="0" y="0"/>
                                </a:lnTo>
                                <a:lnTo>
                                  <a:pt x="0" y="1335087"/>
                                </a:lnTo>
                                <a:lnTo>
                                  <a:pt x="70612" y="1335087"/>
                                </a:lnTo>
                                <a:lnTo>
                                  <a:pt x="70612" y="0"/>
                                </a:lnTo>
                                <a:close/>
                              </a:path>
                            </a:pathLst>
                          </a:custGeom>
                          <a:solidFill>
                            <a:srgbClr val="008FDD"/>
                          </a:solidFill>
                        </wps:spPr>
                        <wps:bodyPr wrap="square" lIns="0" tIns="0" rIns="0" bIns="0" rtlCol="0">
                          <a:prstTxWarp prst="textNoShape">
                            <a:avLst/>
                          </a:prstTxWarp>
                          <a:noAutofit/>
                        </wps:bodyPr>
                      </wps:wsp>
                      <wps:wsp>
                        <wps:cNvPr id="1109" name="Graphic 1109"/>
                        <wps:cNvSpPr/>
                        <wps:spPr>
                          <a:xfrm>
                            <a:off x="700261" y="1125639"/>
                            <a:ext cx="71120" cy="1335405"/>
                          </a:xfrm>
                          <a:custGeom>
                            <a:avLst/>
                            <a:gdLst/>
                            <a:ahLst/>
                            <a:cxnLst/>
                            <a:rect l="l" t="t" r="r" b="b"/>
                            <a:pathLst>
                              <a:path w="71120" h="1335405">
                                <a:moveTo>
                                  <a:pt x="0" y="1335087"/>
                                </a:moveTo>
                                <a:lnTo>
                                  <a:pt x="70612" y="1335087"/>
                                </a:lnTo>
                                <a:lnTo>
                                  <a:pt x="70612" y="0"/>
                                </a:lnTo>
                                <a:lnTo>
                                  <a:pt x="0" y="0"/>
                                </a:lnTo>
                                <a:lnTo>
                                  <a:pt x="0" y="1335087"/>
                                </a:lnTo>
                                <a:close/>
                              </a:path>
                            </a:pathLst>
                          </a:custGeom>
                          <a:ln w="3175">
                            <a:solidFill>
                              <a:srgbClr val="FFFFFF"/>
                            </a:solidFill>
                            <a:prstDash val="solid"/>
                          </a:ln>
                        </wps:spPr>
                        <wps:bodyPr wrap="square" lIns="0" tIns="0" rIns="0" bIns="0" rtlCol="0">
                          <a:prstTxWarp prst="textNoShape">
                            <a:avLst/>
                          </a:prstTxWarp>
                          <a:noAutofit/>
                        </wps:bodyPr>
                      </wps:wsp>
                      <wps:wsp>
                        <wps:cNvPr id="1110" name="Graphic 1110"/>
                        <wps:cNvSpPr/>
                        <wps:spPr>
                          <a:xfrm>
                            <a:off x="770877" y="974013"/>
                            <a:ext cx="71120" cy="1487170"/>
                          </a:xfrm>
                          <a:custGeom>
                            <a:avLst/>
                            <a:gdLst/>
                            <a:ahLst/>
                            <a:cxnLst/>
                            <a:rect l="l" t="t" r="r" b="b"/>
                            <a:pathLst>
                              <a:path w="71120" h="1487170">
                                <a:moveTo>
                                  <a:pt x="70612" y="0"/>
                                </a:moveTo>
                                <a:lnTo>
                                  <a:pt x="0" y="0"/>
                                </a:lnTo>
                                <a:lnTo>
                                  <a:pt x="0" y="1486712"/>
                                </a:lnTo>
                                <a:lnTo>
                                  <a:pt x="70612" y="1486712"/>
                                </a:lnTo>
                                <a:lnTo>
                                  <a:pt x="70612" y="0"/>
                                </a:lnTo>
                                <a:close/>
                              </a:path>
                            </a:pathLst>
                          </a:custGeom>
                          <a:solidFill>
                            <a:srgbClr val="008FDD"/>
                          </a:solidFill>
                        </wps:spPr>
                        <wps:bodyPr wrap="square" lIns="0" tIns="0" rIns="0" bIns="0" rtlCol="0">
                          <a:prstTxWarp prst="textNoShape">
                            <a:avLst/>
                          </a:prstTxWarp>
                          <a:noAutofit/>
                        </wps:bodyPr>
                      </wps:wsp>
                      <wps:wsp>
                        <wps:cNvPr id="1111" name="Graphic 1111"/>
                        <wps:cNvSpPr/>
                        <wps:spPr>
                          <a:xfrm>
                            <a:off x="770873" y="974013"/>
                            <a:ext cx="71120" cy="1487170"/>
                          </a:xfrm>
                          <a:custGeom>
                            <a:avLst/>
                            <a:gdLst/>
                            <a:ahLst/>
                            <a:cxnLst/>
                            <a:rect l="l" t="t" r="r" b="b"/>
                            <a:pathLst>
                              <a:path w="71120" h="1487170">
                                <a:moveTo>
                                  <a:pt x="0" y="1486712"/>
                                </a:moveTo>
                                <a:lnTo>
                                  <a:pt x="70612" y="1486712"/>
                                </a:lnTo>
                                <a:lnTo>
                                  <a:pt x="70612" y="0"/>
                                </a:lnTo>
                                <a:lnTo>
                                  <a:pt x="0" y="0"/>
                                </a:lnTo>
                                <a:lnTo>
                                  <a:pt x="0" y="1486712"/>
                                </a:lnTo>
                                <a:close/>
                              </a:path>
                            </a:pathLst>
                          </a:custGeom>
                          <a:ln w="3175">
                            <a:solidFill>
                              <a:srgbClr val="FFFFFF"/>
                            </a:solidFill>
                            <a:prstDash val="solid"/>
                          </a:ln>
                        </wps:spPr>
                        <wps:bodyPr wrap="square" lIns="0" tIns="0" rIns="0" bIns="0" rtlCol="0">
                          <a:prstTxWarp prst="textNoShape">
                            <a:avLst/>
                          </a:prstTxWarp>
                          <a:noAutofit/>
                        </wps:bodyPr>
                      </wps:wsp>
                      <wps:wsp>
                        <wps:cNvPr id="1112" name="Graphic 1112"/>
                        <wps:cNvSpPr/>
                        <wps:spPr>
                          <a:xfrm>
                            <a:off x="841489" y="1611033"/>
                            <a:ext cx="71120" cy="850265"/>
                          </a:xfrm>
                          <a:custGeom>
                            <a:avLst/>
                            <a:gdLst/>
                            <a:ahLst/>
                            <a:cxnLst/>
                            <a:rect l="l" t="t" r="r" b="b"/>
                            <a:pathLst>
                              <a:path w="71120" h="850265">
                                <a:moveTo>
                                  <a:pt x="70611" y="0"/>
                                </a:moveTo>
                                <a:lnTo>
                                  <a:pt x="0" y="0"/>
                                </a:lnTo>
                                <a:lnTo>
                                  <a:pt x="0" y="849693"/>
                                </a:lnTo>
                                <a:lnTo>
                                  <a:pt x="70611" y="849693"/>
                                </a:lnTo>
                                <a:lnTo>
                                  <a:pt x="70611" y="0"/>
                                </a:lnTo>
                                <a:close/>
                              </a:path>
                            </a:pathLst>
                          </a:custGeom>
                          <a:solidFill>
                            <a:srgbClr val="008FDD"/>
                          </a:solidFill>
                        </wps:spPr>
                        <wps:bodyPr wrap="square" lIns="0" tIns="0" rIns="0" bIns="0" rtlCol="0">
                          <a:prstTxWarp prst="textNoShape">
                            <a:avLst/>
                          </a:prstTxWarp>
                          <a:noAutofit/>
                        </wps:bodyPr>
                      </wps:wsp>
                      <wps:wsp>
                        <wps:cNvPr id="1113" name="Graphic 1113"/>
                        <wps:cNvSpPr/>
                        <wps:spPr>
                          <a:xfrm>
                            <a:off x="841485" y="1611033"/>
                            <a:ext cx="71120" cy="850265"/>
                          </a:xfrm>
                          <a:custGeom>
                            <a:avLst/>
                            <a:gdLst/>
                            <a:ahLst/>
                            <a:cxnLst/>
                            <a:rect l="l" t="t" r="r" b="b"/>
                            <a:pathLst>
                              <a:path w="71120" h="850265">
                                <a:moveTo>
                                  <a:pt x="0" y="849693"/>
                                </a:moveTo>
                                <a:lnTo>
                                  <a:pt x="70612" y="849693"/>
                                </a:lnTo>
                                <a:lnTo>
                                  <a:pt x="70612" y="0"/>
                                </a:lnTo>
                                <a:lnTo>
                                  <a:pt x="0" y="0"/>
                                </a:lnTo>
                                <a:lnTo>
                                  <a:pt x="0" y="849693"/>
                                </a:lnTo>
                                <a:close/>
                              </a:path>
                            </a:pathLst>
                          </a:custGeom>
                          <a:ln w="3175">
                            <a:solidFill>
                              <a:srgbClr val="FFFFFF"/>
                            </a:solidFill>
                            <a:prstDash val="solid"/>
                          </a:ln>
                        </wps:spPr>
                        <wps:bodyPr wrap="square" lIns="0" tIns="0" rIns="0" bIns="0" rtlCol="0">
                          <a:prstTxWarp prst="textNoShape">
                            <a:avLst/>
                          </a:prstTxWarp>
                          <a:noAutofit/>
                        </wps:bodyPr>
                      </wps:wsp>
                      <wps:wsp>
                        <wps:cNvPr id="1114" name="Graphic 1114"/>
                        <wps:cNvSpPr/>
                        <wps:spPr>
                          <a:xfrm>
                            <a:off x="912088" y="2035873"/>
                            <a:ext cx="71120" cy="425450"/>
                          </a:xfrm>
                          <a:custGeom>
                            <a:avLst/>
                            <a:gdLst/>
                            <a:ahLst/>
                            <a:cxnLst/>
                            <a:rect l="l" t="t" r="r" b="b"/>
                            <a:pathLst>
                              <a:path w="71120" h="425450">
                                <a:moveTo>
                                  <a:pt x="70612" y="0"/>
                                </a:moveTo>
                                <a:lnTo>
                                  <a:pt x="0" y="0"/>
                                </a:lnTo>
                                <a:lnTo>
                                  <a:pt x="0" y="424853"/>
                                </a:lnTo>
                                <a:lnTo>
                                  <a:pt x="70612" y="424853"/>
                                </a:lnTo>
                                <a:lnTo>
                                  <a:pt x="70612" y="0"/>
                                </a:lnTo>
                                <a:close/>
                              </a:path>
                            </a:pathLst>
                          </a:custGeom>
                          <a:solidFill>
                            <a:srgbClr val="008FDD"/>
                          </a:solidFill>
                        </wps:spPr>
                        <wps:bodyPr wrap="square" lIns="0" tIns="0" rIns="0" bIns="0" rtlCol="0">
                          <a:prstTxWarp prst="textNoShape">
                            <a:avLst/>
                          </a:prstTxWarp>
                          <a:noAutofit/>
                        </wps:bodyPr>
                      </wps:wsp>
                      <wps:wsp>
                        <wps:cNvPr id="1115" name="Graphic 1115"/>
                        <wps:cNvSpPr/>
                        <wps:spPr>
                          <a:xfrm>
                            <a:off x="912084" y="2035873"/>
                            <a:ext cx="71120" cy="425450"/>
                          </a:xfrm>
                          <a:custGeom>
                            <a:avLst/>
                            <a:gdLst/>
                            <a:ahLst/>
                            <a:cxnLst/>
                            <a:rect l="l" t="t" r="r" b="b"/>
                            <a:pathLst>
                              <a:path w="71120" h="425450">
                                <a:moveTo>
                                  <a:pt x="0" y="424853"/>
                                </a:moveTo>
                                <a:lnTo>
                                  <a:pt x="70612" y="424853"/>
                                </a:lnTo>
                                <a:lnTo>
                                  <a:pt x="70612" y="0"/>
                                </a:lnTo>
                                <a:lnTo>
                                  <a:pt x="0" y="0"/>
                                </a:lnTo>
                                <a:lnTo>
                                  <a:pt x="0" y="424853"/>
                                </a:lnTo>
                                <a:close/>
                              </a:path>
                            </a:pathLst>
                          </a:custGeom>
                          <a:ln w="3174">
                            <a:solidFill>
                              <a:srgbClr val="FFFFFF"/>
                            </a:solidFill>
                            <a:prstDash val="solid"/>
                          </a:ln>
                        </wps:spPr>
                        <wps:bodyPr wrap="square" lIns="0" tIns="0" rIns="0" bIns="0" rtlCol="0">
                          <a:prstTxWarp prst="textNoShape">
                            <a:avLst/>
                          </a:prstTxWarp>
                          <a:noAutofit/>
                        </wps:bodyPr>
                      </wps:wsp>
                      <wps:wsp>
                        <wps:cNvPr id="1116" name="Graphic 1116"/>
                        <wps:cNvSpPr/>
                        <wps:spPr>
                          <a:xfrm>
                            <a:off x="982700" y="2035873"/>
                            <a:ext cx="71120" cy="425450"/>
                          </a:xfrm>
                          <a:custGeom>
                            <a:avLst/>
                            <a:gdLst/>
                            <a:ahLst/>
                            <a:cxnLst/>
                            <a:rect l="l" t="t" r="r" b="b"/>
                            <a:pathLst>
                              <a:path w="71120" h="425450">
                                <a:moveTo>
                                  <a:pt x="70612" y="0"/>
                                </a:moveTo>
                                <a:lnTo>
                                  <a:pt x="0" y="0"/>
                                </a:lnTo>
                                <a:lnTo>
                                  <a:pt x="0" y="424853"/>
                                </a:lnTo>
                                <a:lnTo>
                                  <a:pt x="70612" y="424853"/>
                                </a:lnTo>
                                <a:lnTo>
                                  <a:pt x="70612" y="0"/>
                                </a:lnTo>
                                <a:close/>
                              </a:path>
                            </a:pathLst>
                          </a:custGeom>
                          <a:solidFill>
                            <a:srgbClr val="008FDD"/>
                          </a:solidFill>
                        </wps:spPr>
                        <wps:bodyPr wrap="square" lIns="0" tIns="0" rIns="0" bIns="0" rtlCol="0">
                          <a:prstTxWarp prst="textNoShape">
                            <a:avLst/>
                          </a:prstTxWarp>
                          <a:noAutofit/>
                        </wps:bodyPr>
                      </wps:wsp>
                      <wps:wsp>
                        <wps:cNvPr id="1117" name="Graphic 1117"/>
                        <wps:cNvSpPr/>
                        <wps:spPr>
                          <a:xfrm>
                            <a:off x="982696" y="2035873"/>
                            <a:ext cx="71120" cy="425450"/>
                          </a:xfrm>
                          <a:custGeom>
                            <a:avLst/>
                            <a:gdLst/>
                            <a:ahLst/>
                            <a:cxnLst/>
                            <a:rect l="l" t="t" r="r" b="b"/>
                            <a:pathLst>
                              <a:path w="71120" h="425450">
                                <a:moveTo>
                                  <a:pt x="0" y="424853"/>
                                </a:moveTo>
                                <a:lnTo>
                                  <a:pt x="70612" y="424853"/>
                                </a:lnTo>
                                <a:lnTo>
                                  <a:pt x="70612" y="0"/>
                                </a:lnTo>
                                <a:lnTo>
                                  <a:pt x="0" y="0"/>
                                </a:lnTo>
                                <a:lnTo>
                                  <a:pt x="0" y="424853"/>
                                </a:lnTo>
                                <a:close/>
                              </a:path>
                            </a:pathLst>
                          </a:custGeom>
                          <a:ln w="3174">
                            <a:solidFill>
                              <a:srgbClr val="FFFFFF"/>
                            </a:solidFill>
                            <a:prstDash val="solid"/>
                          </a:ln>
                        </wps:spPr>
                        <wps:bodyPr wrap="square" lIns="0" tIns="0" rIns="0" bIns="0" rtlCol="0">
                          <a:prstTxWarp prst="textNoShape">
                            <a:avLst/>
                          </a:prstTxWarp>
                          <a:noAutofit/>
                        </wps:bodyPr>
                      </wps:wsp>
                      <wps:wsp>
                        <wps:cNvPr id="1118" name="Graphic 1118"/>
                        <wps:cNvSpPr/>
                        <wps:spPr>
                          <a:xfrm>
                            <a:off x="1053312" y="2278570"/>
                            <a:ext cx="71120" cy="182245"/>
                          </a:xfrm>
                          <a:custGeom>
                            <a:avLst/>
                            <a:gdLst/>
                            <a:ahLst/>
                            <a:cxnLst/>
                            <a:rect l="l" t="t" r="r" b="b"/>
                            <a:pathLst>
                              <a:path w="71120" h="182245">
                                <a:moveTo>
                                  <a:pt x="70612" y="0"/>
                                </a:moveTo>
                                <a:lnTo>
                                  <a:pt x="0" y="0"/>
                                </a:lnTo>
                                <a:lnTo>
                                  <a:pt x="0" y="182156"/>
                                </a:lnTo>
                                <a:lnTo>
                                  <a:pt x="70612" y="182156"/>
                                </a:lnTo>
                                <a:lnTo>
                                  <a:pt x="70612" y="0"/>
                                </a:lnTo>
                                <a:close/>
                              </a:path>
                            </a:pathLst>
                          </a:custGeom>
                          <a:solidFill>
                            <a:srgbClr val="008FDD"/>
                          </a:solidFill>
                        </wps:spPr>
                        <wps:bodyPr wrap="square" lIns="0" tIns="0" rIns="0" bIns="0" rtlCol="0">
                          <a:prstTxWarp prst="textNoShape">
                            <a:avLst/>
                          </a:prstTxWarp>
                          <a:noAutofit/>
                        </wps:bodyPr>
                      </wps:wsp>
                      <wps:wsp>
                        <wps:cNvPr id="1119" name="Graphic 1119"/>
                        <wps:cNvSpPr/>
                        <wps:spPr>
                          <a:xfrm>
                            <a:off x="1053308" y="2278570"/>
                            <a:ext cx="71120" cy="182245"/>
                          </a:xfrm>
                          <a:custGeom>
                            <a:avLst/>
                            <a:gdLst/>
                            <a:ahLst/>
                            <a:cxnLst/>
                            <a:rect l="l" t="t" r="r" b="b"/>
                            <a:pathLst>
                              <a:path w="71120" h="182245">
                                <a:moveTo>
                                  <a:pt x="0" y="182156"/>
                                </a:moveTo>
                                <a:lnTo>
                                  <a:pt x="70612" y="182156"/>
                                </a:lnTo>
                                <a:lnTo>
                                  <a:pt x="70612" y="0"/>
                                </a:lnTo>
                                <a:lnTo>
                                  <a:pt x="0" y="0"/>
                                </a:lnTo>
                                <a:lnTo>
                                  <a:pt x="0" y="182156"/>
                                </a:lnTo>
                                <a:close/>
                              </a:path>
                            </a:pathLst>
                          </a:custGeom>
                          <a:ln w="3175">
                            <a:solidFill>
                              <a:srgbClr val="FFFFFF"/>
                            </a:solidFill>
                            <a:prstDash val="solid"/>
                          </a:ln>
                        </wps:spPr>
                        <wps:bodyPr wrap="square" lIns="0" tIns="0" rIns="0" bIns="0" rtlCol="0">
                          <a:prstTxWarp prst="textNoShape">
                            <a:avLst/>
                          </a:prstTxWarp>
                          <a:noAutofit/>
                        </wps:bodyPr>
                      </wps:wsp>
                      <wps:wsp>
                        <wps:cNvPr id="1120" name="Graphic 1120"/>
                        <wps:cNvSpPr/>
                        <wps:spPr>
                          <a:xfrm>
                            <a:off x="1123911" y="2278570"/>
                            <a:ext cx="71120" cy="182245"/>
                          </a:xfrm>
                          <a:custGeom>
                            <a:avLst/>
                            <a:gdLst/>
                            <a:ahLst/>
                            <a:cxnLst/>
                            <a:rect l="l" t="t" r="r" b="b"/>
                            <a:pathLst>
                              <a:path w="71120" h="182245">
                                <a:moveTo>
                                  <a:pt x="70612" y="0"/>
                                </a:moveTo>
                                <a:lnTo>
                                  <a:pt x="0" y="0"/>
                                </a:lnTo>
                                <a:lnTo>
                                  <a:pt x="0" y="182156"/>
                                </a:lnTo>
                                <a:lnTo>
                                  <a:pt x="70612" y="182156"/>
                                </a:lnTo>
                                <a:lnTo>
                                  <a:pt x="70612" y="0"/>
                                </a:lnTo>
                                <a:close/>
                              </a:path>
                            </a:pathLst>
                          </a:custGeom>
                          <a:solidFill>
                            <a:srgbClr val="008FDD"/>
                          </a:solidFill>
                        </wps:spPr>
                        <wps:bodyPr wrap="square" lIns="0" tIns="0" rIns="0" bIns="0" rtlCol="0">
                          <a:prstTxWarp prst="textNoShape">
                            <a:avLst/>
                          </a:prstTxWarp>
                          <a:noAutofit/>
                        </wps:bodyPr>
                      </wps:wsp>
                      <wps:wsp>
                        <wps:cNvPr id="1121" name="Graphic 1121"/>
                        <wps:cNvSpPr/>
                        <wps:spPr>
                          <a:xfrm>
                            <a:off x="1123908" y="2278570"/>
                            <a:ext cx="71120" cy="182245"/>
                          </a:xfrm>
                          <a:custGeom>
                            <a:avLst/>
                            <a:gdLst/>
                            <a:ahLst/>
                            <a:cxnLst/>
                            <a:rect l="l" t="t" r="r" b="b"/>
                            <a:pathLst>
                              <a:path w="71120" h="182245">
                                <a:moveTo>
                                  <a:pt x="0" y="182156"/>
                                </a:moveTo>
                                <a:lnTo>
                                  <a:pt x="70612" y="182156"/>
                                </a:lnTo>
                                <a:lnTo>
                                  <a:pt x="70612" y="0"/>
                                </a:lnTo>
                                <a:lnTo>
                                  <a:pt x="0" y="0"/>
                                </a:lnTo>
                                <a:lnTo>
                                  <a:pt x="0" y="182156"/>
                                </a:lnTo>
                                <a:close/>
                              </a:path>
                            </a:pathLst>
                          </a:custGeom>
                          <a:ln w="3175">
                            <a:solidFill>
                              <a:srgbClr val="FFFFFF"/>
                            </a:solidFill>
                            <a:prstDash val="solid"/>
                          </a:ln>
                        </wps:spPr>
                        <wps:bodyPr wrap="square" lIns="0" tIns="0" rIns="0" bIns="0" rtlCol="0">
                          <a:prstTxWarp prst="textNoShape">
                            <a:avLst/>
                          </a:prstTxWarp>
                          <a:noAutofit/>
                        </wps:bodyPr>
                      </wps:wsp>
                      <wps:wsp>
                        <wps:cNvPr id="1122" name="Graphic 1122"/>
                        <wps:cNvSpPr/>
                        <wps:spPr>
                          <a:xfrm>
                            <a:off x="1194523" y="2369654"/>
                            <a:ext cx="71120" cy="91440"/>
                          </a:xfrm>
                          <a:custGeom>
                            <a:avLst/>
                            <a:gdLst/>
                            <a:ahLst/>
                            <a:cxnLst/>
                            <a:rect l="l" t="t" r="r" b="b"/>
                            <a:pathLst>
                              <a:path w="71120" h="91440">
                                <a:moveTo>
                                  <a:pt x="70612" y="0"/>
                                </a:moveTo>
                                <a:lnTo>
                                  <a:pt x="0" y="0"/>
                                </a:lnTo>
                                <a:lnTo>
                                  <a:pt x="0" y="91071"/>
                                </a:lnTo>
                                <a:lnTo>
                                  <a:pt x="70612" y="91071"/>
                                </a:lnTo>
                                <a:lnTo>
                                  <a:pt x="70612" y="0"/>
                                </a:lnTo>
                                <a:close/>
                              </a:path>
                            </a:pathLst>
                          </a:custGeom>
                          <a:solidFill>
                            <a:srgbClr val="008FDD"/>
                          </a:solidFill>
                        </wps:spPr>
                        <wps:bodyPr wrap="square" lIns="0" tIns="0" rIns="0" bIns="0" rtlCol="0">
                          <a:prstTxWarp prst="textNoShape">
                            <a:avLst/>
                          </a:prstTxWarp>
                          <a:noAutofit/>
                        </wps:bodyPr>
                      </wps:wsp>
                      <wps:wsp>
                        <wps:cNvPr id="1123" name="Graphic 1123"/>
                        <wps:cNvSpPr/>
                        <wps:spPr>
                          <a:xfrm>
                            <a:off x="1194520" y="2369654"/>
                            <a:ext cx="71120" cy="91440"/>
                          </a:xfrm>
                          <a:custGeom>
                            <a:avLst/>
                            <a:gdLst/>
                            <a:ahLst/>
                            <a:cxnLst/>
                            <a:rect l="l" t="t" r="r" b="b"/>
                            <a:pathLst>
                              <a:path w="71120" h="91440">
                                <a:moveTo>
                                  <a:pt x="0" y="91071"/>
                                </a:moveTo>
                                <a:lnTo>
                                  <a:pt x="70612" y="91071"/>
                                </a:lnTo>
                                <a:lnTo>
                                  <a:pt x="70612" y="0"/>
                                </a:lnTo>
                                <a:lnTo>
                                  <a:pt x="0" y="0"/>
                                </a:lnTo>
                                <a:lnTo>
                                  <a:pt x="0" y="91071"/>
                                </a:lnTo>
                                <a:close/>
                              </a:path>
                            </a:pathLst>
                          </a:custGeom>
                          <a:ln w="3175">
                            <a:solidFill>
                              <a:srgbClr val="FFFFFF"/>
                            </a:solidFill>
                            <a:prstDash val="solid"/>
                          </a:ln>
                        </wps:spPr>
                        <wps:bodyPr wrap="square" lIns="0" tIns="0" rIns="0" bIns="0" rtlCol="0">
                          <a:prstTxWarp prst="textNoShape">
                            <a:avLst/>
                          </a:prstTxWarp>
                          <a:noAutofit/>
                        </wps:bodyPr>
                      </wps:wsp>
                      <wps:wsp>
                        <wps:cNvPr id="1124" name="Graphic 1124"/>
                        <wps:cNvSpPr/>
                        <wps:spPr>
                          <a:xfrm>
                            <a:off x="1265135" y="2278570"/>
                            <a:ext cx="71120" cy="182245"/>
                          </a:xfrm>
                          <a:custGeom>
                            <a:avLst/>
                            <a:gdLst/>
                            <a:ahLst/>
                            <a:cxnLst/>
                            <a:rect l="l" t="t" r="r" b="b"/>
                            <a:pathLst>
                              <a:path w="71120" h="182245">
                                <a:moveTo>
                                  <a:pt x="70612" y="0"/>
                                </a:moveTo>
                                <a:lnTo>
                                  <a:pt x="0" y="0"/>
                                </a:lnTo>
                                <a:lnTo>
                                  <a:pt x="0" y="182156"/>
                                </a:lnTo>
                                <a:lnTo>
                                  <a:pt x="70612" y="182156"/>
                                </a:lnTo>
                                <a:lnTo>
                                  <a:pt x="70612" y="0"/>
                                </a:lnTo>
                                <a:close/>
                              </a:path>
                            </a:pathLst>
                          </a:custGeom>
                          <a:solidFill>
                            <a:srgbClr val="008FDD"/>
                          </a:solidFill>
                        </wps:spPr>
                        <wps:bodyPr wrap="square" lIns="0" tIns="0" rIns="0" bIns="0" rtlCol="0">
                          <a:prstTxWarp prst="textNoShape">
                            <a:avLst/>
                          </a:prstTxWarp>
                          <a:noAutofit/>
                        </wps:bodyPr>
                      </wps:wsp>
                      <wps:wsp>
                        <wps:cNvPr id="1125" name="Graphic 1125"/>
                        <wps:cNvSpPr/>
                        <wps:spPr>
                          <a:xfrm>
                            <a:off x="1265132" y="2278570"/>
                            <a:ext cx="71120" cy="182245"/>
                          </a:xfrm>
                          <a:custGeom>
                            <a:avLst/>
                            <a:gdLst/>
                            <a:ahLst/>
                            <a:cxnLst/>
                            <a:rect l="l" t="t" r="r" b="b"/>
                            <a:pathLst>
                              <a:path w="71120" h="182245">
                                <a:moveTo>
                                  <a:pt x="0" y="182156"/>
                                </a:moveTo>
                                <a:lnTo>
                                  <a:pt x="70612" y="182156"/>
                                </a:lnTo>
                                <a:lnTo>
                                  <a:pt x="70612" y="0"/>
                                </a:lnTo>
                                <a:lnTo>
                                  <a:pt x="0" y="0"/>
                                </a:lnTo>
                                <a:lnTo>
                                  <a:pt x="0" y="182156"/>
                                </a:lnTo>
                                <a:close/>
                              </a:path>
                            </a:pathLst>
                          </a:custGeom>
                          <a:ln w="3175">
                            <a:solidFill>
                              <a:srgbClr val="FFFFFF"/>
                            </a:solidFill>
                            <a:prstDash val="solid"/>
                          </a:ln>
                        </wps:spPr>
                        <wps:bodyPr wrap="square" lIns="0" tIns="0" rIns="0" bIns="0" rtlCol="0">
                          <a:prstTxWarp prst="textNoShape">
                            <a:avLst/>
                          </a:prstTxWarp>
                          <a:noAutofit/>
                        </wps:bodyPr>
                      </wps:wsp>
                      <wps:wsp>
                        <wps:cNvPr id="1126" name="Graphic 1126"/>
                        <wps:cNvSpPr/>
                        <wps:spPr>
                          <a:xfrm>
                            <a:off x="1335735" y="2339124"/>
                            <a:ext cx="71120" cy="121920"/>
                          </a:xfrm>
                          <a:custGeom>
                            <a:avLst/>
                            <a:gdLst/>
                            <a:ahLst/>
                            <a:cxnLst/>
                            <a:rect l="l" t="t" r="r" b="b"/>
                            <a:pathLst>
                              <a:path w="71120" h="121920">
                                <a:moveTo>
                                  <a:pt x="70612" y="0"/>
                                </a:moveTo>
                                <a:lnTo>
                                  <a:pt x="0" y="0"/>
                                </a:lnTo>
                                <a:lnTo>
                                  <a:pt x="0" y="121602"/>
                                </a:lnTo>
                                <a:lnTo>
                                  <a:pt x="70612" y="121602"/>
                                </a:lnTo>
                                <a:lnTo>
                                  <a:pt x="70612" y="0"/>
                                </a:lnTo>
                                <a:close/>
                              </a:path>
                            </a:pathLst>
                          </a:custGeom>
                          <a:solidFill>
                            <a:srgbClr val="008FDD"/>
                          </a:solidFill>
                        </wps:spPr>
                        <wps:bodyPr wrap="square" lIns="0" tIns="0" rIns="0" bIns="0" rtlCol="0">
                          <a:prstTxWarp prst="textNoShape">
                            <a:avLst/>
                          </a:prstTxWarp>
                          <a:noAutofit/>
                        </wps:bodyPr>
                      </wps:wsp>
                      <wps:wsp>
                        <wps:cNvPr id="1127" name="Graphic 1127"/>
                        <wps:cNvSpPr/>
                        <wps:spPr>
                          <a:xfrm>
                            <a:off x="1335731" y="2339124"/>
                            <a:ext cx="71120" cy="121920"/>
                          </a:xfrm>
                          <a:custGeom>
                            <a:avLst/>
                            <a:gdLst/>
                            <a:ahLst/>
                            <a:cxnLst/>
                            <a:rect l="l" t="t" r="r" b="b"/>
                            <a:pathLst>
                              <a:path w="71120" h="121920">
                                <a:moveTo>
                                  <a:pt x="0" y="121602"/>
                                </a:moveTo>
                                <a:lnTo>
                                  <a:pt x="70612" y="121602"/>
                                </a:lnTo>
                                <a:lnTo>
                                  <a:pt x="70612" y="0"/>
                                </a:lnTo>
                                <a:lnTo>
                                  <a:pt x="0" y="0"/>
                                </a:lnTo>
                                <a:lnTo>
                                  <a:pt x="0" y="121602"/>
                                </a:lnTo>
                                <a:close/>
                              </a:path>
                            </a:pathLst>
                          </a:custGeom>
                          <a:ln w="3175">
                            <a:solidFill>
                              <a:srgbClr val="FFFFFF"/>
                            </a:solidFill>
                            <a:prstDash val="solid"/>
                          </a:ln>
                        </wps:spPr>
                        <wps:bodyPr wrap="square" lIns="0" tIns="0" rIns="0" bIns="0" rtlCol="0">
                          <a:prstTxWarp prst="textNoShape">
                            <a:avLst/>
                          </a:prstTxWarp>
                          <a:noAutofit/>
                        </wps:bodyPr>
                      </wps:wsp>
                      <wps:wsp>
                        <wps:cNvPr id="1128" name="Graphic 1128"/>
                        <wps:cNvSpPr/>
                        <wps:spPr>
                          <a:xfrm>
                            <a:off x="1406042" y="2369654"/>
                            <a:ext cx="71120" cy="91440"/>
                          </a:xfrm>
                          <a:custGeom>
                            <a:avLst/>
                            <a:gdLst/>
                            <a:ahLst/>
                            <a:cxnLst/>
                            <a:rect l="l" t="t" r="r" b="b"/>
                            <a:pathLst>
                              <a:path w="71120" h="91440">
                                <a:moveTo>
                                  <a:pt x="70612" y="0"/>
                                </a:moveTo>
                                <a:lnTo>
                                  <a:pt x="0" y="0"/>
                                </a:lnTo>
                                <a:lnTo>
                                  <a:pt x="0" y="91071"/>
                                </a:lnTo>
                                <a:lnTo>
                                  <a:pt x="70612" y="91071"/>
                                </a:lnTo>
                                <a:lnTo>
                                  <a:pt x="70612" y="0"/>
                                </a:lnTo>
                                <a:close/>
                              </a:path>
                            </a:pathLst>
                          </a:custGeom>
                          <a:solidFill>
                            <a:srgbClr val="008FDD"/>
                          </a:solidFill>
                        </wps:spPr>
                        <wps:bodyPr wrap="square" lIns="0" tIns="0" rIns="0" bIns="0" rtlCol="0">
                          <a:prstTxWarp prst="textNoShape">
                            <a:avLst/>
                          </a:prstTxWarp>
                          <a:noAutofit/>
                        </wps:bodyPr>
                      </wps:wsp>
                      <wps:wsp>
                        <wps:cNvPr id="1129" name="Graphic 1129"/>
                        <wps:cNvSpPr/>
                        <wps:spPr>
                          <a:xfrm>
                            <a:off x="1406038" y="2369654"/>
                            <a:ext cx="71120" cy="91440"/>
                          </a:xfrm>
                          <a:custGeom>
                            <a:avLst/>
                            <a:gdLst/>
                            <a:ahLst/>
                            <a:cxnLst/>
                            <a:rect l="l" t="t" r="r" b="b"/>
                            <a:pathLst>
                              <a:path w="71120" h="91440">
                                <a:moveTo>
                                  <a:pt x="0" y="91071"/>
                                </a:moveTo>
                                <a:lnTo>
                                  <a:pt x="70612" y="91071"/>
                                </a:lnTo>
                                <a:lnTo>
                                  <a:pt x="70612" y="0"/>
                                </a:lnTo>
                                <a:lnTo>
                                  <a:pt x="0" y="0"/>
                                </a:lnTo>
                                <a:lnTo>
                                  <a:pt x="0" y="91071"/>
                                </a:lnTo>
                                <a:close/>
                              </a:path>
                            </a:pathLst>
                          </a:custGeom>
                          <a:ln w="3175">
                            <a:solidFill>
                              <a:srgbClr val="FFFFFF"/>
                            </a:solidFill>
                            <a:prstDash val="solid"/>
                          </a:ln>
                        </wps:spPr>
                        <wps:bodyPr wrap="square" lIns="0" tIns="0" rIns="0" bIns="0" rtlCol="0">
                          <a:prstTxWarp prst="textNoShape">
                            <a:avLst/>
                          </a:prstTxWarp>
                          <a:noAutofit/>
                        </wps:bodyPr>
                      </wps:wsp>
                      <wps:wsp>
                        <wps:cNvPr id="1130" name="Graphic 1130"/>
                        <wps:cNvSpPr/>
                        <wps:spPr>
                          <a:xfrm>
                            <a:off x="1476645" y="2460720"/>
                            <a:ext cx="71120" cy="1270"/>
                          </a:xfrm>
                          <a:custGeom>
                            <a:avLst/>
                            <a:gdLst/>
                            <a:ahLst/>
                            <a:cxnLst/>
                            <a:rect l="l" t="t" r="r" b="b"/>
                            <a:pathLst>
                              <a:path w="71120" h="0">
                                <a:moveTo>
                                  <a:pt x="70612" y="0"/>
                                </a:moveTo>
                                <a:lnTo>
                                  <a:pt x="0" y="0"/>
                                </a:lnTo>
                              </a:path>
                            </a:pathLst>
                          </a:custGeom>
                          <a:solidFill>
                            <a:srgbClr val="008FDD"/>
                          </a:solidFill>
                        </wps:spPr>
                        <wps:bodyPr wrap="square" lIns="0" tIns="0" rIns="0" bIns="0" rtlCol="0">
                          <a:prstTxWarp prst="textNoShape">
                            <a:avLst/>
                          </a:prstTxWarp>
                          <a:noAutofit/>
                        </wps:bodyPr>
                      </wps:wsp>
                      <wps:wsp>
                        <wps:cNvPr id="1131" name="Graphic 1131"/>
                        <wps:cNvSpPr/>
                        <wps:spPr>
                          <a:xfrm>
                            <a:off x="1476646" y="2460724"/>
                            <a:ext cx="71120" cy="1270"/>
                          </a:xfrm>
                          <a:custGeom>
                            <a:avLst/>
                            <a:gdLst/>
                            <a:ahLst/>
                            <a:cxnLst/>
                            <a:rect l="l" t="t" r="r" b="b"/>
                            <a:pathLst>
                              <a:path w="71120" h="0">
                                <a:moveTo>
                                  <a:pt x="0" y="0"/>
                                </a:moveTo>
                                <a:lnTo>
                                  <a:pt x="70612"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132" name="Graphic 1132"/>
                        <wps:cNvSpPr/>
                        <wps:spPr>
                          <a:xfrm>
                            <a:off x="1547253" y="2400185"/>
                            <a:ext cx="71120" cy="60960"/>
                          </a:xfrm>
                          <a:custGeom>
                            <a:avLst/>
                            <a:gdLst/>
                            <a:ahLst/>
                            <a:cxnLst/>
                            <a:rect l="l" t="t" r="r" b="b"/>
                            <a:pathLst>
                              <a:path w="71120" h="60960">
                                <a:moveTo>
                                  <a:pt x="70612" y="0"/>
                                </a:moveTo>
                                <a:lnTo>
                                  <a:pt x="0" y="0"/>
                                </a:lnTo>
                                <a:lnTo>
                                  <a:pt x="0" y="60540"/>
                                </a:lnTo>
                                <a:lnTo>
                                  <a:pt x="70612" y="60540"/>
                                </a:lnTo>
                                <a:lnTo>
                                  <a:pt x="70612" y="0"/>
                                </a:lnTo>
                                <a:close/>
                              </a:path>
                            </a:pathLst>
                          </a:custGeom>
                          <a:solidFill>
                            <a:srgbClr val="008FDD"/>
                          </a:solidFill>
                        </wps:spPr>
                        <wps:bodyPr wrap="square" lIns="0" tIns="0" rIns="0" bIns="0" rtlCol="0">
                          <a:prstTxWarp prst="textNoShape">
                            <a:avLst/>
                          </a:prstTxWarp>
                          <a:noAutofit/>
                        </wps:bodyPr>
                      </wps:wsp>
                      <wps:wsp>
                        <wps:cNvPr id="1133" name="Graphic 1133"/>
                        <wps:cNvSpPr/>
                        <wps:spPr>
                          <a:xfrm>
                            <a:off x="1547249" y="2400185"/>
                            <a:ext cx="71120" cy="60960"/>
                          </a:xfrm>
                          <a:custGeom>
                            <a:avLst/>
                            <a:gdLst/>
                            <a:ahLst/>
                            <a:cxnLst/>
                            <a:rect l="l" t="t" r="r" b="b"/>
                            <a:pathLst>
                              <a:path w="71120" h="60960">
                                <a:moveTo>
                                  <a:pt x="0" y="60540"/>
                                </a:moveTo>
                                <a:lnTo>
                                  <a:pt x="70612" y="60540"/>
                                </a:lnTo>
                                <a:lnTo>
                                  <a:pt x="70612" y="0"/>
                                </a:lnTo>
                                <a:lnTo>
                                  <a:pt x="0" y="0"/>
                                </a:lnTo>
                                <a:lnTo>
                                  <a:pt x="0" y="60540"/>
                                </a:lnTo>
                                <a:close/>
                              </a:path>
                            </a:pathLst>
                          </a:custGeom>
                          <a:ln w="3175">
                            <a:solidFill>
                              <a:srgbClr val="FFFFFF"/>
                            </a:solidFill>
                            <a:prstDash val="solid"/>
                          </a:ln>
                        </wps:spPr>
                        <wps:bodyPr wrap="square" lIns="0" tIns="0" rIns="0" bIns="0" rtlCol="0">
                          <a:prstTxWarp prst="textNoShape">
                            <a:avLst/>
                          </a:prstTxWarp>
                          <a:noAutofit/>
                        </wps:bodyPr>
                      </wps:wsp>
                      <wps:wsp>
                        <wps:cNvPr id="1134" name="Graphic 1134"/>
                        <wps:cNvSpPr/>
                        <wps:spPr>
                          <a:xfrm>
                            <a:off x="1617865" y="2400185"/>
                            <a:ext cx="71120" cy="60960"/>
                          </a:xfrm>
                          <a:custGeom>
                            <a:avLst/>
                            <a:gdLst/>
                            <a:ahLst/>
                            <a:cxnLst/>
                            <a:rect l="l" t="t" r="r" b="b"/>
                            <a:pathLst>
                              <a:path w="71120" h="60960">
                                <a:moveTo>
                                  <a:pt x="70612" y="0"/>
                                </a:moveTo>
                                <a:lnTo>
                                  <a:pt x="0" y="0"/>
                                </a:lnTo>
                                <a:lnTo>
                                  <a:pt x="0" y="60540"/>
                                </a:lnTo>
                                <a:lnTo>
                                  <a:pt x="70612" y="60540"/>
                                </a:lnTo>
                                <a:lnTo>
                                  <a:pt x="70612" y="0"/>
                                </a:lnTo>
                                <a:close/>
                              </a:path>
                            </a:pathLst>
                          </a:custGeom>
                          <a:solidFill>
                            <a:srgbClr val="008FDD"/>
                          </a:solidFill>
                        </wps:spPr>
                        <wps:bodyPr wrap="square" lIns="0" tIns="0" rIns="0" bIns="0" rtlCol="0">
                          <a:prstTxWarp prst="textNoShape">
                            <a:avLst/>
                          </a:prstTxWarp>
                          <a:noAutofit/>
                        </wps:bodyPr>
                      </wps:wsp>
                      <wps:wsp>
                        <wps:cNvPr id="1135" name="Graphic 1135"/>
                        <wps:cNvSpPr/>
                        <wps:spPr>
                          <a:xfrm>
                            <a:off x="1617861" y="2400185"/>
                            <a:ext cx="71120" cy="60960"/>
                          </a:xfrm>
                          <a:custGeom>
                            <a:avLst/>
                            <a:gdLst/>
                            <a:ahLst/>
                            <a:cxnLst/>
                            <a:rect l="l" t="t" r="r" b="b"/>
                            <a:pathLst>
                              <a:path w="71120" h="60960">
                                <a:moveTo>
                                  <a:pt x="0" y="60540"/>
                                </a:moveTo>
                                <a:lnTo>
                                  <a:pt x="70612" y="60540"/>
                                </a:lnTo>
                                <a:lnTo>
                                  <a:pt x="70612" y="0"/>
                                </a:lnTo>
                                <a:lnTo>
                                  <a:pt x="0" y="0"/>
                                </a:lnTo>
                                <a:lnTo>
                                  <a:pt x="0" y="60540"/>
                                </a:lnTo>
                                <a:close/>
                              </a:path>
                            </a:pathLst>
                          </a:custGeom>
                          <a:ln w="3175">
                            <a:solidFill>
                              <a:srgbClr val="FFFFFF"/>
                            </a:solidFill>
                            <a:prstDash val="solid"/>
                          </a:ln>
                        </wps:spPr>
                        <wps:bodyPr wrap="square" lIns="0" tIns="0" rIns="0" bIns="0" rtlCol="0">
                          <a:prstTxWarp prst="textNoShape">
                            <a:avLst/>
                          </a:prstTxWarp>
                          <a:noAutofit/>
                        </wps:bodyPr>
                      </wps:wsp>
                      <wps:wsp>
                        <wps:cNvPr id="1136" name="Graphic 1136"/>
                        <wps:cNvSpPr/>
                        <wps:spPr>
                          <a:xfrm>
                            <a:off x="1688477" y="2400185"/>
                            <a:ext cx="71120" cy="60960"/>
                          </a:xfrm>
                          <a:custGeom>
                            <a:avLst/>
                            <a:gdLst/>
                            <a:ahLst/>
                            <a:cxnLst/>
                            <a:rect l="l" t="t" r="r" b="b"/>
                            <a:pathLst>
                              <a:path w="71120" h="60960">
                                <a:moveTo>
                                  <a:pt x="70612" y="0"/>
                                </a:moveTo>
                                <a:lnTo>
                                  <a:pt x="0" y="0"/>
                                </a:lnTo>
                                <a:lnTo>
                                  <a:pt x="0" y="60540"/>
                                </a:lnTo>
                                <a:lnTo>
                                  <a:pt x="70612" y="60540"/>
                                </a:lnTo>
                                <a:lnTo>
                                  <a:pt x="70612" y="0"/>
                                </a:lnTo>
                                <a:close/>
                              </a:path>
                            </a:pathLst>
                          </a:custGeom>
                          <a:solidFill>
                            <a:srgbClr val="008FDD"/>
                          </a:solidFill>
                        </wps:spPr>
                        <wps:bodyPr wrap="square" lIns="0" tIns="0" rIns="0" bIns="0" rtlCol="0">
                          <a:prstTxWarp prst="textNoShape">
                            <a:avLst/>
                          </a:prstTxWarp>
                          <a:noAutofit/>
                        </wps:bodyPr>
                      </wps:wsp>
                      <wps:wsp>
                        <wps:cNvPr id="1137" name="Graphic 1137"/>
                        <wps:cNvSpPr/>
                        <wps:spPr>
                          <a:xfrm>
                            <a:off x="1688473" y="2400185"/>
                            <a:ext cx="71120" cy="60960"/>
                          </a:xfrm>
                          <a:custGeom>
                            <a:avLst/>
                            <a:gdLst/>
                            <a:ahLst/>
                            <a:cxnLst/>
                            <a:rect l="l" t="t" r="r" b="b"/>
                            <a:pathLst>
                              <a:path w="71120" h="60960">
                                <a:moveTo>
                                  <a:pt x="0" y="60540"/>
                                </a:moveTo>
                                <a:lnTo>
                                  <a:pt x="70612" y="60540"/>
                                </a:lnTo>
                                <a:lnTo>
                                  <a:pt x="70612" y="0"/>
                                </a:lnTo>
                                <a:lnTo>
                                  <a:pt x="0" y="0"/>
                                </a:lnTo>
                                <a:lnTo>
                                  <a:pt x="0" y="60540"/>
                                </a:lnTo>
                                <a:close/>
                              </a:path>
                            </a:pathLst>
                          </a:custGeom>
                          <a:ln w="3175">
                            <a:solidFill>
                              <a:srgbClr val="FFFFFF"/>
                            </a:solidFill>
                            <a:prstDash val="solid"/>
                          </a:ln>
                        </wps:spPr>
                        <wps:bodyPr wrap="square" lIns="0" tIns="0" rIns="0" bIns="0" rtlCol="0">
                          <a:prstTxWarp prst="textNoShape">
                            <a:avLst/>
                          </a:prstTxWarp>
                          <a:noAutofit/>
                        </wps:bodyPr>
                      </wps:wsp>
                      <wps:wsp>
                        <wps:cNvPr id="1138" name="Graphic 1138"/>
                        <wps:cNvSpPr/>
                        <wps:spPr>
                          <a:xfrm>
                            <a:off x="1759080" y="2460720"/>
                            <a:ext cx="71120" cy="1270"/>
                          </a:xfrm>
                          <a:custGeom>
                            <a:avLst/>
                            <a:gdLst/>
                            <a:ahLst/>
                            <a:cxnLst/>
                            <a:rect l="l" t="t" r="r" b="b"/>
                            <a:pathLst>
                              <a:path w="71120" h="0">
                                <a:moveTo>
                                  <a:pt x="70599" y="0"/>
                                </a:moveTo>
                                <a:lnTo>
                                  <a:pt x="0" y="0"/>
                                </a:lnTo>
                              </a:path>
                            </a:pathLst>
                          </a:custGeom>
                          <a:solidFill>
                            <a:srgbClr val="008FDD"/>
                          </a:solidFill>
                        </wps:spPr>
                        <wps:bodyPr wrap="square" lIns="0" tIns="0" rIns="0" bIns="0" rtlCol="0">
                          <a:prstTxWarp prst="textNoShape">
                            <a:avLst/>
                          </a:prstTxWarp>
                          <a:noAutofit/>
                        </wps:bodyPr>
                      </wps:wsp>
                      <wps:wsp>
                        <wps:cNvPr id="1139" name="Graphic 1139"/>
                        <wps:cNvSpPr/>
                        <wps:spPr>
                          <a:xfrm>
                            <a:off x="1759076" y="2460724"/>
                            <a:ext cx="71120" cy="1270"/>
                          </a:xfrm>
                          <a:custGeom>
                            <a:avLst/>
                            <a:gdLst/>
                            <a:ahLst/>
                            <a:cxnLst/>
                            <a:rect l="l" t="t" r="r" b="b"/>
                            <a:pathLst>
                              <a:path w="71120" h="0">
                                <a:moveTo>
                                  <a:pt x="0" y="0"/>
                                </a:moveTo>
                                <a:lnTo>
                                  <a:pt x="70612"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140" name="Graphic 1140"/>
                        <wps:cNvSpPr/>
                        <wps:spPr>
                          <a:xfrm>
                            <a:off x="1829689" y="2430195"/>
                            <a:ext cx="71120" cy="31115"/>
                          </a:xfrm>
                          <a:custGeom>
                            <a:avLst/>
                            <a:gdLst/>
                            <a:ahLst/>
                            <a:cxnLst/>
                            <a:rect l="l" t="t" r="r" b="b"/>
                            <a:pathLst>
                              <a:path w="71120" h="31115">
                                <a:moveTo>
                                  <a:pt x="70612" y="0"/>
                                </a:moveTo>
                                <a:lnTo>
                                  <a:pt x="0" y="0"/>
                                </a:lnTo>
                                <a:lnTo>
                                  <a:pt x="0" y="30530"/>
                                </a:lnTo>
                                <a:lnTo>
                                  <a:pt x="70612" y="30530"/>
                                </a:lnTo>
                                <a:lnTo>
                                  <a:pt x="70612" y="0"/>
                                </a:lnTo>
                                <a:close/>
                              </a:path>
                            </a:pathLst>
                          </a:custGeom>
                          <a:solidFill>
                            <a:srgbClr val="008FDD"/>
                          </a:solidFill>
                        </wps:spPr>
                        <wps:bodyPr wrap="square" lIns="0" tIns="0" rIns="0" bIns="0" rtlCol="0">
                          <a:prstTxWarp prst="textNoShape">
                            <a:avLst/>
                          </a:prstTxWarp>
                          <a:noAutofit/>
                        </wps:bodyPr>
                      </wps:wsp>
                      <wps:wsp>
                        <wps:cNvPr id="1141" name="Graphic 1141"/>
                        <wps:cNvSpPr/>
                        <wps:spPr>
                          <a:xfrm>
                            <a:off x="1829685" y="2430195"/>
                            <a:ext cx="71120" cy="31115"/>
                          </a:xfrm>
                          <a:custGeom>
                            <a:avLst/>
                            <a:gdLst/>
                            <a:ahLst/>
                            <a:cxnLst/>
                            <a:rect l="l" t="t" r="r" b="b"/>
                            <a:pathLst>
                              <a:path w="71120" h="31115">
                                <a:moveTo>
                                  <a:pt x="0" y="30530"/>
                                </a:moveTo>
                                <a:lnTo>
                                  <a:pt x="70612" y="30530"/>
                                </a:lnTo>
                                <a:lnTo>
                                  <a:pt x="70612" y="0"/>
                                </a:lnTo>
                                <a:lnTo>
                                  <a:pt x="0" y="0"/>
                                </a:lnTo>
                                <a:lnTo>
                                  <a:pt x="0" y="30530"/>
                                </a:lnTo>
                                <a:close/>
                              </a:path>
                            </a:pathLst>
                          </a:custGeom>
                          <a:ln w="3175">
                            <a:solidFill>
                              <a:srgbClr val="FFFFFF"/>
                            </a:solidFill>
                            <a:prstDash val="solid"/>
                          </a:ln>
                        </wps:spPr>
                        <wps:bodyPr wrap="square" lIns="0" tIns="0" rIns="0" bIns="0" rtlCol="0">
                          <a:prstTxWarp prst="textNoShape">
                            <a:avLst/>
                          </a:prstTxWarp>
                          <a:noAutofit/>
                        </wps:bodyPr>
                      </wps:wsp>
                      <wps:wsp>
                        <wps:cNvPr id="1142" name="Graphic 1142"/>
                        <wps:cNvSpPr/>
                        <wps:spPr>
                          <a:xfrm>
                            <a:off x="1900298" y="2460720"/>
                            <a:ext cx="71120" cy="1270"/>
                          </a:xfrm>
                          <a:custGeom>
                            <a:avLst/>
                            <a:gdLst/>
                            <a:ahLst/>
                            <a:cxnLst/>
                            <a:rect l="l" t="t" r="r" b="b"/>
                            <a:pathLst>
                              <a:path w="71120" h="0">
                                <a:moveTo>
                                  <a:pt x="70599" y="0"/>
                                </a:moveTo>
                                <a:lnTo>
                                  <a:pt x="0" y="0"/>
                                </a:lnTo>
                              </a:path>
                            </a:pathLst>
                          </a:custGeom>
                          <a:solidFill>
                            <a:srgbClr val="008FDD"/>
                          </a:solidFill>
                        </wps:spPr>
                        <wps:bodyPr wrap="square" lIns="0" tIns="0" rIns="0" bIns="0" rtlCol="0">
                          <a:prstTxWarp prst="textNoShape">
                            <a:avLst/>
                          </a:prstTxWarp>
                          <a:noAutofit/>
                        </wps:bodyPr>
                      </wps:wsp>
                      <wps:wsp>
                        <wps:cNvPr id="1143" name="Graphic 1143"/>
                        <wps:cNvSpPr/>
                        <wps:spPr>
                          <a:xfrm>
                            <a:off x="1900293" y="2460724"/>
                            <a:ext cx="71120" cy="1270"/>
                          </a:xfrm>
                          <a:custGeom>
                            <a:avLst/>
                            <a:gdLst/>
                            <a:ahLst/>
                            <a:cxnLst/>
                            <a:rect l="l" t="t" r="r" b="b"/>
                            <a:pathLst>
                              <a:path w="71120" h="0">
                                <a:moveTo>
                                  <a:pt x="0" y="0"/>
                                </a:moveTo>
                                <a:lnTo>
                                  <a:pt x="70612"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144" name="Graphic 1144"/>
                        <wps:cNvSpPr/>
                        <wps:spPr>
                          <a:xfrm>
                            <a:off x="1970901" y="2460720"/>
                            <a:ext cx="71120" cy="1270"/>
                          </a:xfrm>
                          <a:custGeom>
                            <a:avLst/>
                            <a:gdLst/>
                            <a:ahLst/>
                            <a:cxnLst/>
                            <a:rect l="l" t="t" r="r" b="b"/>
                            <a:pathLst>
                              <a:path w="71120" h="0">
                                <a:moveTo>
                                  <a:pt x="70612" y="0"/>
                                </a:moveTo>
                                <a:lnTo>
                                  <a:pt x="0" y="0"/>
                                </a:lnTo>
                              </a:path>
                            </a:pathLst>
                          </a:custGeom>
                          <a:solidFill>
                            <a:srgbClr val="008FDD"/>
                          </a:solidFill>
                        </wps:spPr>
                        <wps:bodyPr wrap="square" lIns="0" tIns="0" rIns="0" bIns="0" rtlCol="0">
                          <a:prstTxWarp prst="textNoShape">
                            <a:avLst/>
                          </a:prstTxWarp>
                          <a:noAutofit/>
                        </wps:bodyPr>
                      </wps:wsp>
                      <wps:wsp>
                        <wps:cNvPr id="1145" name="Graphic 1145"/>
                        <wps:cNvSpPr/>
                        <wps:spPr>
                          <a:xfrm>
                            <a:off x="1970900" y="2460724"/>
                            <a:ext cx="71120" cy="1270"/>
                          </a:xfrm>
                          <a:custGeom>
                            <a:avLst/>
                            <a:gdLst/>
                            <a:ahLst/>
                            <a:cxnLst/>
                            <a:rect l="l" t="t" r="r" b="b"/>
                            <a:pathLst>
                              <a:path w="71120" h="0">
                                <a:moveTo>
                                  <a:pt x="0" y="0"/>
                                </a:moveTo>
                                <a:lnTo>
                                  <a:pt x="70612"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146" name="Graphic 1146"/>
                        <wps:cNvSpPr/>
                        <wps:spPr>
                          <a:xfrm>
                            <a:off x="2041512" y="2430195"/>
                            <a:ext cx="71120" cy="31115"/>
                          </a:xfrm>
                          <a:custGeom>
                            <a:avLst/>
                            <a:gdLst/>
                            <a:ahLst/>
                            <a:cxnLst/>
                            <a:rect l="l" t="t" r="r" b="b"/>
                            <a:pathLst>
                              <a:path w="71120" h="31115">
                                <a:moveTo>
                                  <a:pt x="70612" y="0"/>
                                </a:moveTo>
                                <a:lnTo>
                                  <a:pt x="0" y="0"/>
                                </a:lnTo>
                                <a:lnTo>
                                  <a:pt x="0" y="30530"/>
                                </a:lnTo>
                                <a:lnTo>
                                  <a:pt x="70612" y="30530"/>
                                </a:lnTo>
                                <a:lnTo>
                                  <a:pt x="70612" y="0"/>
                                </a:lnTo>
                                <a:close/>
                              </a:path>
                            </a:pathLst>
                          </a:custGeom>
                          <a:solidFill>
                            <a:srgbClr val="008FDD"/>
                          </a:solidFill>
                        </wps:spPr>
                        <wps:bodyPr wrap="square" lIns="0" tIns="0" rIns="0" bIns="0" rtlCol="0">
                          <a:prstTxWarp prst="textNoShape">
                            <a:avLst/>
                          </a:prstTxWarp>
                          <a:noAutofit/>
                        </wps:bodyPr>
                      </wps:wsp>
                      <wps:wsp>
                        <wps:cNvPr id="1147" name="Graphic 1147"/>
                        <wps:cNvSpPr/>
                        <wps:spPr>
                          <a:xfrm>
                            <a:off x="2041508" y="2430195"/>
                            <a:ext cx="71120" cy="31115"/>
                          </a:xfrm>
                          <a:custGeom>
                            <a:avLst/>
                            <a:gdLst/>
                            <a:ahLst/>
                            <a:cxnLst/>
                            <a:rect l="l" t="t" r="r" b="b"/>
                            <a:pathLst>
                              <a:path w="71120" h="31115">
                                <a:moveTo>
                                  <a:pt x="0" y="30530"/>
                                </a:moveTo>
                                <a:lnTo>
                                  <a:pt x="70612" y="30530"/>
                                </a:lnTo>
                                <a:lnTo>
                                  <a:pt x="70612" y="0"/>
                                </a:lnTo>
                                <a:lnTo>
                                  <a:pt x="0" y="0"/>
                                </a:lnTo>
                                <a:lnTo>
                                  <a:pt x="0" y="30530"/>
                                </a:lnTo>
                                <a:close/>
                              </a:path>
                            </a:pathLst>
                          </a:custGeom>
                          <a:ln w="3175">
                            <a:solidFill>
                              <a:srgbClr val="FFFFFF"/>
                            </a:solidFill>
                            <a:prstDash val="solid"/>
                          </a:ln>
                        </wps:spPr>
                        <wps:bodyPr wrap="square" lIns="0" tIns="0" rIns="0" bIns="0" rtlCol="0">
                          <a:prstTxWarp prst="textNoShape">
                            <a:avLst/>
                          </a:prstTxWarp>
                          <a:noAutofit/>
                        </wps:bodyPr>
                      </wps:wsp>
                      <wps:wsp>
                        <wps:cNvPr id="1148" name="Graphic 1148"/>
                        <wps:cNvSpPr/>
                        <wps:spPr>
                          <a:xfrm>
                            <a:off x="2640139" y="1808314"/>
                            <a:ext cx="43815" cy="652780"/>
                          </a:xfrm>
                          <a:custGeom>
                            <a:avLst/>
                            <a:gdLst/>
                            <a:ahLst/>
                            <a:cxnLst/>
                            <a:rect l="l" t="t" r="r" b="b"/>
                            <a:pathLst>
                              <a:path w="43815" h="652780">
                                <a:moveTo>
                                  <a:pt x="43421" y="0"/>
                                </a:moveTo>
                                <a:lnTo>
                                  <a:pt x="0" y="0"/>
                                </a:lnTo>
                                <a:lnTo>
                                  <a:pt x="0" y="652411"/>
                                </a:lnTo>
                                <a:lnTo>
                                  <a:pt x="43421" y="652411"/>
                                </a:lnTo>
                                <a:lnTo>
                                  <a:pt x="43421" y="0"/>
                                </a:lnTo>
                                <a:close/>
                              </a:path>
                            </a:pathLst>
                          </a:custGeom>
                          <a:solidFill>
                            <a:srgbClr val="008FDD"/>
                          </a:solidFill>
                        </wps:spPr>
                        <wps:bodyPr wrap="square" lIns="0" tIns="0" rIns="0" bIns="0" rtlCol="0">
                          <a:prstTxWarp prst="textNoShape">
                            <a:avLst/>
                          </a:prstTxWarp>
                          <a:noAutofit/>
                        </wps:bodyPr>
                      </wps:wsp>
                      <wps:wsp>
                        <wps:cNvPr id="1149" name="Graphic 1149"/>
                        <wps:cNvSpPr/>
                        <wps:spPr>
                          <a:xfrm>
                            <a:off x="2640135" y="1808314"/>
                            <a:ext cx="43815" cy="652780"/>
                          </a:xfrm>
                          <a:custGeom>
                            <a:avLst/>
                            <a:gdLst/>
                            <a:ahLst/>
                            <a:cxnLst/>
                            <a:rect l="l" t="t" r="r" b="b"/>
                            <a:pathLst>
                              <a:path w="43815" h="652780">
                                <a:moveTo>
                                  <a:pt x="0" y="652411"/>
                                </a:moveTo>
                                <a:lnTo>
                                  <a:pt x="43421" y="652411"/>
                                </a:lnTo>
                                <a:lnTo>
                                  <a:pt x="43421" y="0"/>
                                </a:lnTo>
                                <a:lnTo>
                                  <a:pt x="0" y="0"/>
                                </a:lnTo>
                                <a:lnTo>
                                  <a:pt x="0" y="652411"/>
                                </a:lnTo>
                                <a:close/>
                              </a:path>
                            </a:pathLst>
                          </a:custGeom>
                          <a:ln w="3175">
                            <a:solidFill>
                              <a:srgbClr val="FFFFFF"/>
                            </a:solidFill>
                            <a:prstDash val="solid"/>
                          </a:ln>
                        </wps:spPr>
                        <wps:bodyPr wrap="square" lIns="0" tIns="0" rIns="0" bIns="0" rtlCol="0">
                          <a:prstTxWarp prst="textNoShape">
                            <a:avLst/>
                          </a:prstTxWarp>
                          <a:noAutofit/>
                        </wps:bodyPr>
                      </wps:wsp>
                      <wps:wsp>
                        <wps:cNvPr id="1150" name="Graphic 1150"/>
                        <wps:cNvSpPr/>
                        <wps:spPr>
                          <a:xfrm>
                            <a:off x="2683560" y="1231760"/>
                            <a:ext cx="43815" cy="1229360"/>
                          </a:xfrm>
                          <a:custGeom>
                            <a:avLst/>
                            <a:gdLst/>
                            <a:ahLst/>
                            <a:cxnLst/>
                            <a:rect l="l" t="t" r="r" b="b"/>
                            <a:pathLst>
                              <a:path w="43815" h="1229360">
                                <a:moveTo>
                                  <a:pt x="43421" y="0"/>
                                </a:moveTo>
                                <a:lnTo>
                                  <a:pt x="0" y="0"/>
                                </a:lnTo>
                                <a:lnTo>
                                  <a:pt x="0" y="1228966"/>
                                </a:lnTo>
                                <a:lnTo>
                                  <a:pt x="43421" y="1228966"/>
                                </a:lnTo>
                                <a:lnTo>
                                  <a:pt x="43421" y="0"/>
                                </a:lnTo>
                                <a:close/>
                              </a:path>
                            </a:pathLst>
                          </a:custGeom>
                          <a:solidFill>
                            <a:srgbClr val="008FDD"/>
                          </a:solidFill>
                        </wps:spPr>
                        <wps:bodyPr wrap="square" lIns="0" tIns="0" rIns="0" bIns="0" rtlCol="0">
                          <a:prstTxWarp prst="textNoShape">
                            <a:avLst/>
                          </a:prstTxWarp>
                          <a:noAutofit/>
                        </wps:bodyPr>
                      </wps:wsp>
                      <wps:wsp>
                        <wps:cNvPr id="1151" name="Graphic 1151"/>
                        <wps:cNvSpPr/>
                        <wps:spPr>
                          <a:xfrm>
                            <a:off x="2683556" y="1231760"/>
                            <a:ext cx="43815" cy="1229360"/>
                          </a:xfrm>
                          <a:custGeom>
                            <a:avLst/>
                            <a:gdLst/>
                            <a:ahLst/>
                            <a:cxnLst/>
                            <a:rect l="l" t="t" r="r" b="b"/>
                            <a:pathLst>
                              <a:path w="43815" h="1229360">
                                <a:moveTo>
                                  <a:pt x="0" y="1228966"/>
                                </a:moveTo>
                                <a:lnTo>
                                  <a:pt x="43421" y="1228966"/>
                                </a:lnTo>
                                <a:lnTo>
                                  <a:pt x="43421" y="0"/>
                                </a:lnTo>
                                <a:lnTo>
                                  <a:pt x="0" y="0"/>
                                </a:lnTo>
                                <a:lnTo>
                                  <a:pt x="0" y="1228966"/>
                                </a:lnTo>
                                <a:close/>
                              </a:path>
                            </a:pathLst>
                          </a:custGeom>
                          <a:ln w="3175">
                            <a:solidFill>
                              <a:srgbClr val="FFFFFF"/>
                            </a:solidFill>
                            <a:prstDash val="solid"/>
                          </a:ln>
                        </wps:spPr>
                        <wps:bodyPr wrap="square" lIns="0" tIns="0" rIns="0" bIns="0" rtlCol="0">
                          <a:prstTxWarp prst="textNoShape">
                            <a:avLst/>
                          </a:prstTxWarp>
                          <a:noAutofit/>
                        </wps:bodyPr>
                      </wps:wsp>
                      <wps:wsp>
                        <wps:cNvPr id="1152" name="Graphic 1152"/>
                        <wps:cNvSpPr/>
                        <wps:spPr>
                          <a:xfrm>
                            <a:off x="2726982" y="731075"/>
                            <a:ext cx="43815" cy="1729739"/>
                          </a:xfrm>
                          <a:custGeom>
                            <a:avLst/>
                            <a:gdLst/>
                            <a:ahLst/>
                            <a:cxnLst/>
                            <a:rect l="l" t="t" r="r" b="b"/>
                            <a:pathLst>
                              <a:path w="43815" h="1729739">
                                <a:moveTo>
                                  <a:pt x="43421" y="0"/>
                                </a:moveTo>
                                <a:lnTo>
                                  <a:pt x="0" y="0"/>
                                </a:lnTo>
                                <a:lnTo>
                                  <a:pt x="0" y="1729651"/>
                                </a:lnTo>
                                <a:lnTo>
                                  <a:pt x="43421" y="1729651"/>
                                </a:lnTo>
                                <a:lnTo>
                                  <a:pt x="43421" y="0"/>
                                </a:lnTo>
                                <a:close/>
                              </a:path>
                            </a:pathLst>
                          </a:custGeom>
                          <a:solidFill>
                            <a:srgbClr val="008FDD"/>
                          </a:solidFill>
                        </wps:spPr>
                        <wps:bodyPr wrap="square" lIns="0" tIns="0" rIns="0" bIns="0" rtlCol="0">
                          <a:prstTxWarp prst="textNoShape">
                            <a:avLst/>
                          </a:prstTxWarp>
                          <a:noAutofit/>
                        </wps:bodyPr>
                      </wps:wsp>
                      <wps:wsp>
                        <wps:cNvPr id="1153" name="Graphic 1153"/>
                        <wps:cNvSpPr/>
                        <wps:spPr>
                          <a:xfrm>
                            <a:off x="2726978" y="731075"/>
                            <a:ext cx="43815" cy="1729739"/>
                          </a:xfrm>
                          <a:custGeom>
                            <a:avLst/>
                            <a:gdLst/>
                            <a:ahLst/>
                            <a:cxnLst/>
                            <a:rect l="l" t="t" r="r" b="b"/>
                            <a:pathLst>
                              <a:path w="43815" h="1729739">
                                <a:moveTo>
                                  <a:pt x="0" y="1729651"/>
                                </a:moveTo>
                                <a:lnTo>
                                  <a:pt x="43421" y="1729651"/>
                                </a:lnTo>
                                <a:lnTo>
                                  <a:pt x="43421" y="0"/>
                                </a:lnTo>
                                <a:lnTo>
                                  <a:pt x="0" y="0"/>
                                </a:lnTo>
                                <a:lnTo>
                                  <a:pt x="0" y="1729651"/>
                                </a:lnTo>
                                <a:close/>
                              </a:path>
                            </a:pathLst>
                          </a:custGeom>
                          <a:ln w="3175">
                            <a:solidFill>
                              <a:srgbClr val="FFFFFF"/>
                            </a:solidFill>
                            <a:prstDash val="solid"/>
                          </a:ln>
                        </wps:spPr>
                        <wps:bodyPr wrap="square" lIns="0" tIns="0" rIns="0" bIns="0" rtlCol="0">
                          <a:prstTxWarp prst="textNoShape">
                            <a:avLst/>
                          </a:prstTxWarp>
                          <a:noAutofit/>
                        </wps:bodyPr>
                      </wps:wsp>
                      <wps:wsp>
                        <wps:cNvPr id="1154" name="Graphic 1154"/>
                        <wps:cNvSpPr/>
                        <wps:spPr>
                          <a:xfrm>
                            <a:off x="2770403" y="1413827"/>
                            <a:ext cx="43815" cy="1047115"/>
                          </a:xfrm>
                          <a:custGeom>
                            <a:avLst/>
                            <a:gdLst/>
                            <a:ahLst/>
                            <a:cxnLst/>
                            <a:rect l="l" t="t" r="r" b="b"/>
                            <a:pathLst>
                              <a:path w="43815" h="1047115">
                                <a:moveTo>
                                  <a:pt x="43421" y="0"/>
                                </a:moveTo>
                                <a:lnTo>
                                  <a:pt x="0" y="0"/>
                                </a:lnTo>
                                <a:lnTo>
                                  <a:pt x="0" y="1046899"/>
                                </a:lnTo>
                                <a:lnTo>
                                  <a:pt x="43421" y="1046899"/>
                                </a:lnTo>
                                <a:lnTo>
                                  <a:pt x="43421" y="0"/>
                                </a:lnTo>
                                <a:close/>
                              </a:path>
                            </a:pathLst>
                          </a:custGeom>
                          <a:solidFill>
                            <a:srgbClr val="008FDD"/>
                          </a:solidFill>
                        </wps:spPr>
                        <wps:bodyPr wrap="square" lIns="0" tIns="0" rIns="0" bIns="0" rtlCol="0">
                          <a:prstTxWarp prst="textNoShape">
                            <a:avLst/>
                          </a:prstTxWarp>
                          <a:noAutofit/>
                        </wps:bodyPr>
                      </wps:wsp>
                      <wps:wsp>
                        <wps:cNvPr id="1155" name="Graphic 1155"/>
                        <wps:cNvSpPr/>
                        <wps:spPr>
                          <a:xfrm>
                            <a:off x="2770399" y="1413827"/>
                            <a:ext cx="43815" cy="1047115"/>
                          </a:xfrm>
                          <a:custGeom>
                            <a:avLst/>
                            <a:gdLst/>
                            <a:ahLst/>
                            <a:cxnLst/>
                            <a:rect l="l" t="t" r="r" b="b"/>
                            <a:pathLst>
                              <a:path w="43815" h="1047115">
                                <a:moveTo>
                                  <a:pt x="0" y="1046899"/>
                                </a:moveTo>
                                <a:lnTo>
                                  <a:pt x="43421" y="1046899"/>
                                </a:lnTo>
                                <a:lnTo>
                                  <a:pt x="43421" y="0"/>
                                </a:lnTo>
                                <a:lnTo>
                                  <a:pt x="0" y="0"/>
                                </a:lnTo>
                                <a:lnTo>
                                  <a:pt x="0" y="1046899"/>
                                </a:lnTo>
                                <a:close/>
                              </a:path>
                            </a:pathLst>
                          </a:custGeom>
                          <a:ln w="3175">
                            <a:solidFill>
                              <a:srgbClr val="FFFFFF"/>
                            </a:solidFill>
                            <a:prstDash val="solid"/>
                          </a:ln>
                        </wps:spPr>
                        <wps:bodyPr wrap="square" lIns="0" tIns="0" rIns="0" bIns="0" rtlCol="0">
                          <a:prstTxWarp prst="textNoShape">
                            <a:avLst/>
                          </a:prstTxWarp>
                          <a:noAutofit/>
                        </wps:bodyPr>
                      </wps:wsp>
                      <wps:wsp>
                        <wps:cNvPr id="1156" name="Graphic 1156"/>
                        <wps:cNvSpPr/>
                        <wps:spPr>
                          <a:xfrm>
                            <a:off x="2813824" y="1732445"/>
                            <a:ext cx="43815" cy="728345"/>
                          </a:xfrm>
                          <a:custGeom>
                            <a:avLst/>
                            <a:gdLst/>
                            <a:ahLst/>
                            <a:cxnLst/>
                            <a:rect l="l" t="t" r="r" b="b"/>
                            <a:pathLst>
                              <a:path w="43815" h="728345">
                                <a:moveTo>
                                  <a:pt x="43421" y="0"/>
                                </a:moveTo>
                                <a:lnTo>
                                  <a:pt x="0" y="0"/>
                                </a:lnTo>
                                <a:lnTo>
                                  <a:pt x="0" y="728281"/>
                                </a:lnTo>
                                <a:lnTo>
                                  <a:pt x="43421" y="728281"/>
                                </a:lnTo>
                                <a:lnTo>
                                  <a:pt x="43421" y="0"/>
                                </a:lnTo>
                                <a:close/>
                              </a:path>
                            </a:pathLst>
                          </a:custGeom>
                          <a:solidFill>
                            <a:srgbClr val="008FDD"/>
                          </a:solidFill>
                        </wps:spPr>
                        <wps:bodyPr wrap="square" lIns="0" tIns="0" rIns="0" bIns="0" rtlCol="0">
                          <a:prstTxWarp prst="textNoShape">
                            <a:avLst/>
                          </a:prstTxWarp>
                          <a:noAutofit/>
                        </wps:bodyPr>
                      </wps:wsp>
                      <wps:wsp>
                        <wps:cNvPr id="1157" name="Graphic 1157"/>
                        <wps:cNvSpPr/>
                        <wps:spPr>
                          <a:xfrm>
                            <a:off x="2813820" y="1732445"/>
                            <a:ext cx="43815" cy="728345"/>
                          </a:xfrm>
                          <a:custGeom>
                            <a:avLst/>
                            <a:gdLst/>
                            <a:ahLst/>
                            <a:cxnLst/>
                            <a:rect l="l" t="t" r="r" b="b"/>
                            <a:pathLst>
                              <a:path w="43815" h="728345">
                                <a:moveTo>
                                  <a:pt x="0" y="728281"/>
                                </a:moveTo>
                                <a:lnTo>
                                  <a:pt x="43421" y="728281"/>
                                </a:lnTo>
                                <a:lnTo>
                                  <a:pt x="43421" y="0"/>
                                </a:lnTo>
                                <a:lnTo>
                                  <a:pt x="0" y="0"/>
                                </a:lnTo>
                                <a:lnTo>
                                  <a:pt x="0" y="728281"/>
                                </a:lnTo>
                                <a:close/>
                              </a:path>
                            </a:pathLst>
                          </a:custGeom>
                          <a:ln w="3175">
                            <a:solidFill>
                              <a:srgbClr val="FFFFFF"/>
                            </a:solidFill>
                            <a:prstDash val="solid"/>
                          </a:ln>
                        </wps:spPr>
                        <wps:bodyPr wrap="square" lIns="0" tIns="0" rIns="0" bIns="0" rtlCol="0">
                          <a:prstTxWarp prst="textNoShape">
                            <a:avLst/>
                          </a:prstTxWarp>
                          <a:noAutofit/>
                        </wps:bodyPr>
                      </wps:wsp>
                      <wps:wsp>
                        <wps:cNvPr id="1158" name="Graphic 1158"/>
                        <wps:cNvSpPr/>
                        <wps:spPr>
                          <a:xfrm>
                            <a:off x="2857233" y="1944865"/>
                            <a:ext cx="43815" cy="516255"/>
                          </a:xfrm>
                          <a:custGeom>
                            <a:avLst/>
                            <a:gdLst/>
                            <a:ahLst/>
                            <a:cxnLst/>
                            <a:rect l="l" t="t" r="r" b="b"/>
                            <a:pathLst>
                              <a:path w="43815" h="516255">
                                <a:moveTo>
                                  <a:pt x="43421" y="0"/>
                                </a:moveTo>
                                <a:lnTo>
                                  <a:pt x="0" y="0"/>
                                </a:lnTo>
                                <a:lnTo>
                                  <a:pt x="0" y="515861"/>
                                </a:lnTo>
                                <a:lnTo>
                                  <a:pt x="43421" y="515861"/>
                                </a:lnTo>
                                <a:lnTo>
                                  <a:pt x="43421" y="0"/>
                                </a:lnTo>
                                <a:close/>
                              </a:path>
                            </a:pathLst>
                          </a:custGeom>
                          <a:solidFill>
                            <a:srgbClr val="008FDD"/>
                          </a:solidFill>
                        </wps:spPr>
                        <wps:bodyPr wrap="square" lIns="0" tIns="0" rIns="0" bIns="0" rtlCol="0">
                          <a:prstTxWarp prst="textNoShape">
                            <a:avLst/>
                          </a:prstTxWarp>
                          <a:noAutofit/>
                        </wps:bodyPr>
                      </wps:wsp>
                      <wps:wsp>
                        <wps:cNvPr id="1159" name="Graphic 1159"/>
                        <wps:cNvSpPr/>
                        <wps:spPr>
                          <a:xfrm>
                            <a:off x="2857229" y="1944865"/>
                            <a:ext cx="43815" cy="516255"/>
                          </a:xfrm>
                          <a:custGeom>
                            <a:avLst/>
                            <a:gdLst/>
                            <a:ahLst/>
                            <a:cxnLst/>
                            <a:rect l="l" t="t" r="r" b="b"/>
                            <a:pathLst>
                              <a:path w="43815" h="516255">
                                <a:moveTo>
                                  <a:pt x="0" y="515861"/>
                                </a:moveTo>
                                <a:lnTo>
                                  <a:pt x="43421" y="515861"/>
                                </a:lnTo>
                                <a:lnTo>
                                  <a:pt x="43421" y="0"/>
                                </a:lnTo>
                                <a:lnTo>
                                  <a:pt x="0" y="0"/>
                                </a:lnTo>
                                <a:lnTo>
                                  <a:pt x="0" y="515861"/>
                                </a:lnTo>
                                <a:close/>
                              </a:path>
                            </a:pathLst>
                          </a:custGeom>
                          <a:ln w="3175">
                            <a:solidFill>
                              <a:srgbClr val="FFFFFF"/>
                            </a:solidFill>
                            <a:prstDash val="solid"/>
                          </a:ln>
                        </wps:spPr>
                        <wps:bodyPr wrap="square" lIns="0" tIns="0" rIns="0" bIns="0" rtlCol="0">
                          <a:prstTxWarp prst="textNoShape">
                            <a:avLst/>
                          </a:prstTxWarp>
                          <a:noAutofit/>
                        </wps:bodyPr>
                      </wps:wsp>
                      <wps:wsp>
                        <wps:cNvPr id="1160" name="Graphic 1160"/>
                        <wps:cNvSpPr/>
                        <wps:spPr>
                          <a:xfrm>
                            <a:off x="2900654" y="2096592"/>
                            <a:ext cx="43815" cy="364490"/>
                          </a:xfrm>
                          <a:custGeom>
                            <a:avLst/>
                            <a:gdLst/>
                            <a:ahLst/>
                            <a:cxnLst/>
                            <a:rect l="l" t="t" r="r" b="b"/>
                            <a:pathLst>
                              <a:path w="43815" h="364490">
                                <a:moveTo>
                                  <a:pt x="43421" y="0"/>
                                </a:moveTo>
                                <a:lnTo>
                                  <a:pt x="0" y="0"/>
                                </a:lnTo>
                                <a:lnTo>
                                  <a:pt x="0" y="364134"/>
                                </a:lnTo>
                                <a:lnTo>
                                  <a:pt x="43421" y="364134"/>
                                </a:lnTo>
                                <a:lnTo>
                                  <a:pt x="43421" y="0"/>
                                </a:lnTo>
                                <a:close/>
                              </a:path>
                            </a:pathLst>
                          </a:custGeom>
                          <a:solidFill>
                            <a:srgbClr val="008FDD"/>
                          </a:solidFill>
                        </wps:spPr>
                        <wps:bodyPr wrap="square" lIns="0" tIns="0" rIns="0" bIns="0" rtlCol="0">
                          <a:prstTxWarp prst="textNoShape">
                            <a:avLst/>
                          </a:prstTxWarp>
                          <a:noAutofit/>
                        </wps:bodyPr>
                      </wps:wsp>
                      <wps:wsp>
                        <wps:cNvPr id="1161" name="Graphic 1161"/>
                        <wps:cNvSpPr/>
                        <wps:spPr>
                          <a:xfrm>
                            <a:off x="2900650" y="2096592"/>
                            <a:ext cx="43815" cy="364490"/>
                          </a:xfrm>
                          <a:custGeom>
                            <a:avLst/>
                            <a:gdLst/>
                            <a:ahLst/>
                            <a:cxnLst/>
                            <a:rect l="l" t="t" r="r" b="b"/>
                            <a:pathLst>
                              <a:path w="43815" h="364490">
                                <a:moveTo>
                                  <a:pt x="0" y="364134"/>
                                </a:moveTo>
                                <a:lnTo>
                                  <a:pt x="43421" y="364134"/>
                                </a:lnTo>
                                <a:lnTo>
                                  <a:pt x="43421" y="0"/>
                                </a:lnTo>
                                <a:lnTo>
                                  <a:pt x="0" y="0"/>
                                </a:lnTo>
                                <a:lnTo>
                                  <a:pt x="0" y="364134"/>
                                </a:lnTo>
                                <a:close/>
                              </a:path>
                            </a:pathLst>
                          </a:custGeom>
                          <a:ln w="3175">
                            <a:solidFill>
                              <a:srgbClr val="FFFFFF"/>
                            </a:solidFill>
                            <a:prstDash val="solid"/>
                          </a:ln>
                        </wps:spPr>
                        <wps:bodyPr wrap="square" lIns="0" tIns="0" rIns="0" bIns="0" rtlCol="0">
                          <a:prstTxWarp prst="textNoShape">
                            <a:avLst/>
                          </a:prstTxWarp>
                          <a:noAutofit/>
                        </wps:bodyPr>
                      </wps:wsp>
                      <wps:wsp>
                        <wps:cNvPr id="1162" name="Graphic 1162"/>
                        <wps:cNvSpPr/>
                        <wps:spPr>
                          <a:xfrm>
                            <a:off x="2944075" y="2187625"/>
                            <a:ext cx="43815" cy="273685"/>
                          </a:xfrm>
                          <a:custGeom>
                            <a:avLst/>
                            <a:gdLst/>
                            <a:ahLst/>
                            <a:cxnLst/>
                            <a:rect l="l" t="t" r="r" b="b"/>
                            <a:pathLst>
                              <a:path w="43815" h="273685">
                                <a:moveTo>
                                  <a:pt x="43421" y="0"/>
                                </a:moveTo>
                                <a:lnTo>
                                  <a:pt x="0" y="0"/>
                                </a:lnTo>
                                <a:lnTo>
                                  <a:pt x="0" y="273100"/>
                                </a:lnTo>
                                <a:lnTo>
                                  <a:pt x="43421" y="273100"/>
                                </a:lnTo>
                                <a:lnTo>
                                  <a:pt x="43421" y="0"/>
                                </a:lnTo>
                                <a:close/>
                              </a:path>
                            </a:pathLst>
                          </a:custGeom>
                          <a:solidFill>
                            <a:srgbClr val="008FDD"/>
                          </a:solidFill>
                        </wps:spPr>
                        <wps:bodyPr wrap="square" lIns="0" tIns="0" rIns="0" bIns="0" rtlCol="0">
                          <a:prstTxWarp prst="textNoShape">
                            <a:avLst/>
                          </a:prstTxWarp>
                          <a:noAutofit/>
                        </wps:bodyPr>
                      </wps:wsp>
                      <wps:wsp>
                        <wps:cNvPr id="1163" name="Graphic 1163"/>
                        <wps:cNvSpPr/>
                        <wps:spPr>
                          <a:xfrm>
                            <a:off x="2944072" y="2187625"/>
                            <a:ext cx="43815" cy="273685"/>
                          </a:xfrm>
                          <a:custGeom>
                            <a:avLst/>
                            <a:gdLst/>
                            <a:ahLst/>
                            <a:cxnLst/>
                            <a:rect l="l" t="t" r="r" b="b"/>
                            <a:pathLst>
                              <a:path w="43815" h="273685">
                                <a:moveTo>
                                  <a:pt x="0" y="273100"/>
                                </a:moveTo>
                                <a:lnTo>
                                  <a:pt x="43421" y="273100"/>
                                </a:lnTo>
                                <a:lnTo>
                                  <a:pt x="43421" y="0"/>
                                </a:lnTo>
                                <a:lnTo>
                                  <a:pt x="0" y="0"/>
                                </a:lnTo>
                                <a:lnTo>
                                  <a:pt x="0" y="273100"/>
                                </a:lnTo>
                                <a:close/>
                              </a:path>
                            </a:pathLst>
                          </a:custGeom>
                          <a:ln w="3175">
                            <a:solidFill>
                              <a:srgbClr val="FFFFFF"/>
                            </a:solidFill>
                            <a:prstDash val="solid"/>
                          </a:ln>
                        </wps:spPr>
                        <wps:bodyPr wrap="square" lIns="0" tIns="0" rIns="0" bIns="0" rtlCol="0">
                          <a:prstTxWarp prst="textNoShape">
                            <a:avLst/>
                          </a:prstTxWarp>
                          <a:noAutofit/>
                        </wps:bodyPr>
                      </wps:wsp>
                      <wps:wsp>
                        <wps:cNvPr id="1164" name="Graphic 1164"/>
                        <wps:cNvSpPr/>
                        <wps:spPr>
                          <a:xfrm>
                            <a:off x="2987497" y="2324176"/>
                            <a:ext cx="43815" cy="137160"/>
                          </a:xfrm>
                          <a:custGeom>
                            <a:avLst/>
                            <a:gdLst/>
                            <a:ahLst/>
                            <a:cxnLst/>
                            <a:rect l="l" t="t" r="r" b="b"/>
                            <a:pathLst>
                              <a:path w="43815" h="137160">
                                <a:moveTo>
                                  <a:pt x="43421" y="0"/>
                                </a:moveTo>
                                <a:lnTo>
                                  <a:pt x="0" y="0"/>
                                </a:lnTo>
                                <a:lnTo>
                                  <a:pt x="0" y="136550"/>
                                </a:lnTo>
                                <a:lnTo>
                                  <a:pt x="43421" y="136550"/>
                                </a:lnTo>
                                <a:lnTo>
                                  <a:pt x="43421" y="0"/>
                                </a:lnTo>
                                <a:close/>
                              </a:path>
                            </a:pathLst>
                          </a:custGeom>
                          <a:solidFill>
                            <a:srgbClr val="008FDD"/>
                          </a:solidFill>
                        </wps:spPr>
                        <wps:bodyPr wrap="square" lIns="0" tIns="0" rIns="0" bIns="0" rtlCol="0">
                          <a:prstTxWarp prst="textNoShape">
                            <a:avLst/>
                          </a:prstTxWarp>
                          <a:noAutofit/>
                        </wps:bodyPr>
                      </wps:wsp>
                      <wps:wsp>
                        <wps:cNvPr id="1165" name="Graphic 1165"/>
                        <wps:cNvSpPr/>
                        <wps:spPr>
                          <a:xfrm>
                            <a:off x="2987493" y="2324176"/>
                            <a:ext cx="43815" cy="137160"/>
                          </a:xfrm>
                          <a:custGeom>
                            <a:avLst/>
                            <a:gdLst/>
                            <a:ahLst/>
                            <a:cxnLst/>
                            <a:rect l="l" t="t" r="r" b="b"/>
                            <a:pathLst>
                              <a:path w="43815" h="137160">
                                <a:moveTo>
                                  <a:pt x="0" y="136550"/>
                                </a:moveTo>
                                <a:lnTo>
                                  <a:pt x="43421" y="136550"/>
                                </a:lnTo>
                                <a:lnTo>
                                  <a:pt x="43421" y="0"/>
                                </a:lnTo>
                                <a:lnTo>
                                  <a:pt x="0" y="0"/>
                                </a:lnTo>
                                <a:lnTo>
                                  <a:pt x="0" y="136550"/>
                                </a:lnTo>
                                <a:close/>
                              </a:path>
                            </a:pathLst>
                          </a:custGeom>
                          <a:ln w="3175">
                            <a:solidFill>
                              <a:srgbClr val="FFFFFF"/>
                            </a:solidFill>
                            <a:prstDash val="solid"/>
                          </a:ln>
                        </wps:spPr>
                        <wps:bodyPr wrap="square" lIns="0" tIns="0" rIns="0" bIns="0" rtlCol="0">
                          <a:prstTxWarp prst="textNoShape">
                            <a:avLst/>
                          </a:prstTxWarp>
                          <a:noAutofit/>
                        </wps:bodyPr>
                      </wps:wsp>
                      <wps:wsp>
                        <wps:cNvPr id="1166" name="Graphic 1166"/>
                        <wps:cNvSpPr/>
                        <wps:spPr>
                          <a:xfrm>
                            <a:off x="3030918" y="2384869"/>
                            <a:ext cx="43815" cy="76200"/>
                          </a:xfrm>
                          <a:custGeom>
                            <a:avLst/>
                            <a:gdLst/>
                            <a:ahLst/>
                            <a:cxnLst/>
                            <a:rect l="l" t="t" r="r" b="b"/>
                            <a:pathLst>
                              <a:path w="43815" h="76200">
                                <a:moveTo>
                                  <a:pt x="43421" y="0"/>
                                </a:moveTo>
                                <a:lnTo>
                                  <a:pt x="0" y="0"/>
                                </a:lnTo>
                                <a:lnTo>
                                  <a:pt x="0" y="75857"/>
                                </a:lnTo>
                                <a:lnTo>
                                  <a:pt x="43421" y="75857"/>
                                </a:lnTo>
                                <a:lnTo>
                                  <a:pt x="43421" y="0"/>
                                </a:lnTo>
                                <a:close/>
                              </a:path>
                            </a:pathLst>
                          </a:custGeom>
                          <a:solidFill>
                            <a:srgbClr val="008FDD"/>
                          </a:solidFill>
                        </wps:spPr>
                        <wps:bodyPr wrap="square" lIns="0" tIns="0" rIns="0" bIns="0" rtlCol="0">
                          <a:prstTxWarp prst="textNoShape">
                            <a:avLst/>
                          </a:prstTxWarp>
                          <a:noAutofit/>
                        </wps:bodyPr>
                      </wps:wsp>
                      <wps:wsp>
                        <wps:cNvPr id="1167" name="Graphic 1167"/>
                        <wps:cNvSpPr/>
                        <wps:spPr>
                          <a:xfrm>
                            <a:off x="3030914" y="2384869"/>
                            <a:ext cx="43815" cy="76200"/>
                          </a:xfrm>
                          <a:custGeom>
                            <a:avLst/>
                            <a:gdLst/>
                            <a:ahLst/>
                            <a:cxnLst/>
                            <a:rect l="l" t="t" r="r" b="b"/>
                            <a:pathLst>
                              <a:path w="43815" h="76200">
                                <a:moveTo>
                                  <a:pt x="0" y="75857"/>
                                </a:moveTo>
                                <a:lnTo>
                                  <a:pt x="43421" y="75857"/>
                                </a:lnTo>
                                <a:lnTo>
                                  <a:pt x="43421" y="0"/>
                                </a:lnTo>
                                <a:lnTo>
                                  <a:pt x="0" y="0"/>
                                </a:lnTo>
                                <a:lnTo>
                                  <a:pt x="0" y="75857"/>
                                </a:lnTo>
                                <a:close/>
                              </a:path>
                            </a:pathLst>
                          </a:custGeom>
                          <a:ln w="3175">
                            <a:solidFill>
                              <a:srgbClr val="FFFFFF"/>
                            </a:solidFill>
                            <a:prstDash val="solid"/>
                          </a:ln>
                        </wps:spPr>
                        <wps:bodyPr wrap="square" lIns="0" tIns="0" rIns="0" bIns="0" rtlCol="0">
                          <a:prstTxWarp prst="textNoShape">
                            <a:avLst/>
                          </a:prstTxWarp>
                          <a:noAutofit/>
                        </wps:bodyPr>
                      </wps:wsp>
                      <wps:wsp>
                        <wps:cNvPr id="1168" name="Graphic 1168"/>
                        <wps:cNvSpPr/>
                        <wps:spPr>
                          <a:xfrm>
                            <a:off x="3074339" y="2369692"/>
                            <a:ext cx="43815" cy="91440"/>
                          </a:xfrm>
                          <a:custGeom>
                            <a:avLst/>
                            <a:gdLst/>
                            <a:ahLst/>
                            <a:cxnLst/>
                            <a:rect l="l" t="t" r="r" b="b"/>
                            <a:pathLst>
                              <a:path w="43815" h="91440">
                                <a:moveTo>
                                  <a:pt x="43421" y="0"/>
                                </a:moveTo>
                                <a:lnTo>
                                  <a:pt x="0" y="0"/>
                                </a:lnTo>
                                <a:lnTo>
                                  <a:pt x="0" y="91033"/>
                                </a:lnTo>
                                <a:lnTo>
                                  <a:pt x="43421" y="91033"/>
                                </a:lnTo>
                                <a:lnTo>
                                  <a:pt x="43421" y="0"/>
                                </a:lnTo>
                                <a:close/>
                              </a:path>
                            </a:pathLst>
                          </a:custGeom>
                          <a:solidFill>
                            <a:srgbClr val="008FDD"/>
                          </a:solidFill>
                        </wps:spPr>
                        <wps:bodyPr wrap="square" lIns="0" tIns="0" rIns="0" bIns="0" rtlCol="0">
                          <a:prstTxWarp prst="textNoShape">
                            <a:avLst/>
                          </a:prstTxWarp>
                          <a:noAutofit/>
                        </wps:bodyPr>
                      </wps:wsp>
                      <wps:wsp>
                        <wps:cNvPr id="1169" name="Graphic 1169"/>
                        <wps:cNvSpPr/>
                        <wps:spPr>
                          <a:xfrm>
                            <a:off x="3074335" y="2369692"/>
                            <a:ext cx="43815" cy="91440"/>
                          </a:xfrm>
                          <a:custGeom>
                            <a:avLst/>
                            <a:gdLst/>
                            <a:ahLst/>
                            <a:cxnLst/>
                            <a:rect l="l" t="t" r="r" b="b"/>
                            <a:pathLst>
                              <a:path w="43815" h="91440">
                                <a:moveTo>
                                  <a:pt x="0" y="91033"/>
                                </a:moveTo>
                                <a:lnTo>
                                  <a:pt x="43421" y="91033"/>
                                </a:lnTo>
                                <a:lnTo>
                                  <a:pt x="43421" y="0"/>
                                </a:lnTo>
                                <a:lnTo>
                                  <a:pt x="0" y="0"/>
                                </a:lnTo>
                                <a:lnTo>
                                  <a:pt x="0" y="91033"/>
                                </a:lnTo>
                                <a:close/>
                              </a:path>
                            </a:pathLst>
                          </a:custGeom>
                          <a:ln w="3175">
                            <a:solidFill>
                              <a:srgbClr val="FFFFFF"/>
                            </a:solidFill>
                            <a:prstDash val="solid"/>
                          </a:ln>
                        </wps:spPr>
                        <wps:bodyPr wrap="square" lIns="0" tIns="0" rIns="0" bIns="0" rtlCol="0">
                          <a:prstTxWarp prst="textNoShape">
                            <a:avLst/>
                          </a:prstTxWarp>
                          <a:noAutofit/>
                        </wps:bodyPr>
                      </wps:wsp>
                      <wps:wsp>
                        <wps:cNvPr id="1170" name="Graphic 1170"/>
                        <wps:cNvSpPr/>
                        <wps:spPr>
                          <a:xfrm>
                            <a:off x="3117761" y="2384869"/>
                            <a:ext cx="43815" cy="76200"/>
                          </a:xfrm>
                          <a:custGeom>
                            <a:avLst/>
                            <a:gdLst/>
                            <a:ahLst/>
                            <a:cxnLst/>
                            <a:rect l="l" t="t" r="r" b="b"/>
                            <a:pathLst>
                              <a:path w="43815" h="76200">
                                <a:moveTo>
                                  <a:pt x="43421" y="0"/>
                                </a:moveTo>
                                <a:lnTo>
                                  <a:pt x="0" y="0"/>
                                </a:lnTo>
                                <a:lnTo>
                                  <a:pt x="0" y="75857"/>
                                </a:lnTo>
                                <a:lnTo>
                                  <a:pt x="43421" y="75857"/>
                                </a:lnTo>
                                <a:lnTo>
                                  <a:pt x="43421" y="0"/>
                                </a:lnTo>
                                <a:close/>
                              </a:path>
                            </a:pathLst>
                          </a:custGeom>
                          <a:solidFill>
                            <a:srgbClr val="008FDD"/>
                          </a:solidFill>
                        </wps:spPr>
                        <wps:bodyPr wrap="square" lIns="0" tIns="0" rIns="0" bIns="0" rtlCol="0">
                          <a:prstTxWarp prst="textNoShape">
                            <a:avLst/>
                          </a:prstTxWarp>
                          <a:noAutofit/>
                        </wps:bodyPr>
                      </wps:wsp>
                      <wps:wsp>
                        <wps:cNvPr id="1171" name="Graphic 1171"/>
                        <wps:cNvSpPr/>
                        <wps:spPr>
                          <a:xfrm>
                            <a:off x="3117757" y="2384869"/>
                            <a:ext cx="43815" cy="76200"/>
                          </a:xfrm>
                          <a:custGeom>
                            <a:avLst/>
                            <a:gdLst/>
                            <a:ahLst/>
                            <a:cxnLst/>
                            <a:rect l="l" t="t" r="r" b="b"/>
                            <a:pathLst>
                              <a:path w="43815" h="76200">
                                <a:moveTo>
                                  <a:pt x="0" y="75857"/>
                                </a:moveTo>
                                <a:lnTo>
                                  <a:pt x="43421" y="75857"/>
                                </a:lnTo>
                                <a:lnTo>
                                  <a:pt x="43421" y="0"/>
                                </a:lnTo>
                                <a:lnTo>
                                  <a:pt x="0" y="0"/>
                                </a:lnTo>
                                <a:lnTo>
                                  <a:pt x="0" y="75857"/>
                                </a:lnTo>
                                <a:close/>
                              </a:path>
                            </a:pathLst>
                          </a:custGeom>
                          <a:ln w="3175">
                            <a:solidFill>
                              <a:srgbClr val="FFFFFF"/>
                            </a:solidFill>
                            <a:prstDash val="solid"/>
                          </a:ln>
                        </wps:spPr>
                        <wps:bodyPr wrap="square" lIns="0" tIns="0" rIns="0" bIns="0" rtlCol="0">
                          <a:prstTxWarp prst="textNoShape">
                            <a:avLst/>
                          </a:prstTxWarp>
                          <a:noAutofit/>
                        </wps:bodyPr>
                      </wps:wsp>
                      <wps:wsp>
                        <wps:cNvPr id="1172" name="Graphic 1172"/>
                        <wps:cNvSpPr/>
                        <wps:spPr>
                          <a:xfrm>
                            <a:off x="3161182" y="2400033"/>
                            <a:ext cx="43815" cy="60960"/>
                          </a:xfrm>
                          <a:custGeom>
                            <a:avLst/>
                            <a:gdLst/>
                            <a:ahLst/>
                            <a:cxnLst/>
                            <a:rect l="l" t="t" r="r" b="b"/>
                            <a:pathLst>
                              <a:path w="43815" h="60960">
                                <a:moveTo>
                                  <a:pt x="43421" y="0"/>
                                </a:moveTo>
                                <a:lnTo>
                                  <a:pt x="0" y="0"/>
                                </a:lnTo>
                                <a:lnTo>
                                  <a:pt x="0" y="60693"/>
                                </a:lnTo>
                                <a:lnTo>
                                  <a:pt x="43421" y="60693"/>
                                </a:lnTo>
                                <a:lnTo>
                                  <a:pt x="43421" y="0"/>
                                </a:lnTo>
                                <a:close/>
                              </a:path>
                            </a:pathLst>
                          </a:custGeom>
                          <a:solidFill>
                            <a:srgbClr val="008FDD"/>
                          </a:solidFill>
                        </wps:spPr>
                        <wps:bodyPr wrap="square" lIns="0" tIns="0" rIns="0" bIns="0" rtlCol="0">
                          <a:prstTxWarp prst="textNoShape">
                            <a:avLst/>
                          </a:prstTxWarp>
                          <a:noAutofit/>
                        </wps:bodyPr>
                      </wps:wsp>
                      <wps:wsp>
                        <wps:cNvPr id="1173" name="Graphic 1173"/>
                        <wps:cNvSpPr/>
                        <wps:spPr>
                          <a:xfrm>
                            <a:off x="3161178" y="2400033"/>
                            <a:ext cx="43815" cy="60960"/>
                          </a:xfrm>
                          <a:custGeom>
                            <a:avLst/>
                            <a:gdLst/>
                            <a:ahLst/>
                            <a:cxnLst/>
                            <a:rect l="l" t="t" r="r" b="b"/>
                            <a:pathLst>
                              <a:path w="43815" h="60960">
                                <a:moveTo>
                                  <a:pt x="0" y="60693"/>
                                </a:moveTo>
                                <a:lnTo>
                                  <a:pt x="43421" y="60693"/>
                                </a:lnTo>
                                <a:lnTo>
                                  <a:pt x="43421" y="0"/>
                                </a:lnTo>
                                <a:lnTo>
                                  <a:pt x="0" y="0"/>
                                </a:lnTo>
                                <a:lnTo>
                                  <a:pt x="0" y="60693"/>
                                </a:lnTo>
                                <a:close/>
                              </a:path>
                            </a:pathLst>
                          </a:custGeom>
                          <a:ln w="3175">
                            <a:solidFill>
                              <a:srgbClr val="FFFFFF"/>
                            </a:solidFill>
                            <a:prstDash val="solid"/>
                          </a:ln>
                        </wps:spPr>
                        <wps:bodyPr wrap="square" lIns="0" tIns="0" rIns="0" bIns="0" rtlCol="0">
                          <a:prstTxWarp prst="textNoShape">
                            <a:avLst/>
                          </a:prstTxWarp>
                          <a:noAutofit/>
                        </wps:bodyPr>
                      </wps:wsp>
                      <wps:wsp>
                        <wps:cNvPr id="1174" name="Graphic 1174"/>
                        <wps:cNvSpPr/>
                        <wps:spPr>
                          <a:xfrm>
                            <a:off x="3204603" y="2430386"/>
                            <a:ext cx="43815" cy="30480"/>
                          </a:xfrm>
                          <a:custGeom>
                            <a:avLst/>
                            <a:gdLst/>
                            <a:ahLst/>
                            <a:cxnLst/>
                            <a:rect l="l" t="t" r="r" b="b"/>
                            <a:pathLst>
                              <a:path w="43815" h="30480">
                                <a:moveTo>
                                  <a:pt x="43421" y="0"/>
                                </a:moveTo>
                                <a:lnTo>
                                  <a:pt x="0" y="0"/>
                                </a:lnTo>
                                <a:lnTo>
                                  <a:pt x="0" y="30340"/>
                                </a:lnTo>
                                <a:lnTo>
                                  <a:pt x="43421" y="30340"/>
                                </a:lnTo>
                                <a:lnTo>
                                  <a:pt x="43421" y="0"/>
                                </a:lnTo>
                                <a:close/>
                              </a:path>
                            </a:pathLst>
                          </a:custGeom>
                          <a:solidFill>
                            <a:srgbClr val="008FDD"/>
                          </a:solidFill>
                        </wps:spPr>
                        <wps:bodyPr wrap="square" lIns="0" tIns="0" rIns="0" bIns="0" rtlCol="0">
                          <a:prstTxWarp prst="textNoShape">
                            <a:avLst/>
                          </a:prstTxWarp>
                          <a:noAutofit/>
                        </wps:bodyPr>
                      </wps:wsp>
                      <wps:wsp>
                        <wps:cNvPr id="1175" name="Graphic 1175"/>
                        <wps:cNvSpPr/>
                        <wps:spPr>
                          <a:xfrm>
                            <a:off x="3204599" y="2430386"/>
                            <a:ext cx="43815" cy="30480"/>
                          </a:xfrm>
                          <a:custGeom>
                            <a:avLst/>
                            <a:gdLst/>
                            <a:ahLst/>
                            <a:cxnLst/>
                            <a:rect l="l" t="t" r="r" b="b"/>
                            <a:pathLst>
                              <a:path w="43815" h="30480">
                                <a:moveTo>
                                  <a:pt x="0" y="30340"/>
                                </a:moveTo>
                                <a:lnTo>
                                  <a:pt x="43421" y="30340"/>
                                </a:lnTo>
                                <a:lnTo>
                                  <a:pt x="43421" y="0"/>
                                </a:lnTo>
                                <a:lnTo>
                                  <a:pt x="0" y="0"/>
                                </a:lnTo>
                                <a:lnTo>
                                  <a:pt x="0" y="30340"/>
                                </a:lnTo>
                                <a:close/>
                              </a:path>
                            </a:pathLst>
                          </a:custGeom>
                          <a:ln w="3175">
                            <a:solidFill>
                              <a:srgbClr val="FFFFFF"/>
                            </a:solidFill>
                            <a:prstDash val="solid"/>
                          </a:ln>
                        </wps:spPr>
                        <wps:bodyPr wrap="square" lIns="0" tIns="0" rIns="0" bIns="0" rtlCol="0">
                          <a:prstTxWarp prst="textNoShape">
                            <a:avLst/>
                          </a:prstTxWarp>
                          <a:noAutofit/>
                        </wps:bodyPr>
                      </wps:wsp>
                      <wps:wsp>
                        <wps:cNvPr id="1176" name="Graphic 1176"/>
                        <wps:cNvSpPr/>
                        <wps:spPr>
                          <a:xfrm>
                            <a:off x="3248009"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177" name="Graphic 1177"/>
                        <wps:cNvSpPr/>
                        <wps:spPr>
                          <a:xfrm>
                            <a:off x="3248013"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178" name="Graphic 1178"/>
                        <wps:cNvSpPr/>
                        <wps:spPr>
                          <a:xfrm>
                            <a:off x="3291433" y="2415209"/>
                            <a:ext cx="43815" cy="45720"/>
                          </a:xfrm>
                          <a:custGeom>
                            <a:avLst/>
                            <a:gdLst/>
                            <a:ahLst/>
                            <a:cxnLst/>
                            <a:rect l="l" t="t" r="r" b="b"/>
                            <a:pathLst>
                              <a:path w="43815" h="45720">
                                <a:moveTo>
                                  <a:pt x="43421" y="0"/>
                                </a:moveTo>
                                <a:lnTo>
                                  <a:pt x="0" y="0"/>
                                </a:lnTo>
                                <a:lnTo>
                                  <a:pt x="0" y="45516"/>
                                </a:lnTo>
                                <a:lnTo>
                                  <a:pt x="43421" y="45516"/>
                                </a:lnTo>
                                <a:lnTo>
                                  <a:pt x="43421" y="0"/>
                                </a:lnTo>
                                <a:close/>
                              </a:path>
                            </a:pathLst>
                          </a:custGeom>
                          <a:solidFill>
                            <a:srgbClr val="008FDD"/>
                          </a:solidFill>
                        </wps:spPr>
                        <wps:bodyPr wrap="square" lIns="0" tIns="0" rIns="0" bIns="0" rtlCol="0">
                          <a:prstTxWarp prst="textNoShape">
                            <a:avLst/>
                          </a:prstTxWarp>
                          <a:noAutofit/>
                        </wps:bodyPr>
                      </wps:wsp>
                      <wps:wsp>
                        <wps:cNvPr id="1179" name="Graphic 1179"/>
                        <wps:cNvSpPr/>
                        <wps:spPr>
                          <a:xfrm>
                            <a:off x="3291429" y="2415209"/>
                            <a:ext cx="43815" cy="45720"/>
                          </a:xfrm>
                          <a:custGeom>
                            <a:avLst/>
                            <a:gdLst/>
                            <a:ahLst/>
                            <a:cxnLst/>
                            <a:rect l="l" t="t" r="r" b="b"/>
                            <a:pathLst>
                              <a:path w="43815" h="45720">
                                <a:moveTo>
                                  <a:pt x="0" y="45516"/>
                                </a:moveTo>
                                <a:lnTo>
                                  <a:pt x="43421" y="45516"/>
                                </a:lnTo>
                                <a:lnTo>
                                  <a:pt x="43421" y="0"/>
                                </a:lnTo>
                                <a:lnTo>
                                  <a:pt x="0" y="0"/>
                                </a:lnTo>
                                <a:lnTo>
                                  <a:pt x="0" y="45516"/>
                                </a:lnTo>
                                <a:close/>
                              </a:path>
                            </a:pathLst>
                          </a:custGeom>
                          <a:ln w="3175">
                            <a:solidFill>
                              <a:srgbClr val="FFFFFF"/>
                            </a:solidFill>
                            <a:prstDash val="solid"/>
                          </a:ln>
                        </wps:spPr>
                        <wps:bodyPr wrap="square" lIns="0" tIns="0" rIns="0" bIns="0" rtlCol="0">
                          <a:prstTxWarp prst="textNoShape">
                            <a:avLst/>
                          </a:prstTxWarp>
                          <a:noAutofit/>
                        </wps:bodyPr>
                      </wps:wsp>
                      <wps:wsp>
                        <wps:cNvPr id="1180" name="Graphic 1180"/>
                        <wps:cNvSpPr/>
                        <wps:spPr>
                          <a:xfrm>
                            <a:off x="3334854"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181" name="Graphic 1181"/>
                        <wps:cNvSpPr/>
                        <wps:spPr>
                          <a:xfrm>
                            <a:off x="3334853"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182" name="Graphic 1182"/>
                        <wps:cNvSpPr/>
                        <wps:spPr>
                          <a:xfrm>
                            <a:off x="3378276" y="2445550"/>
                            <a:ext cx="43815" cy="15240"/>
                          </a:xfrm>
                          <a:custGeom>
                            <a:avLst/>
                            <a:gdLst/>
                            <a:ahLst/>
                            <a:cxnLst/>
                            <a:rect l="l" t="t" r="r" b="b"/>
                            <a:pathLst>
                              <a:path w="43815" h="15240">
                                <a:moveTo>
                                  <a:pt x="43421" y="0"/>
                                </a:moveTo>
                                <a:lnTo>
                                  <a:pt x="0" y="0"/>
                                </a:lnTo>
                                <a:lnTo>
                                  <a:pt x="0" y="15176"/>
                                </a:lnTo>
                                <a:lnTo>
                                  <a:pt x="43421" y="15176"/>
                                </a:lnTo>
                                <a:lnTo>
                                  <a:pt x="43421" y="0"/>
                                </a:lnTo>
                                <a:close/>
                              </a:path>
                            </a:pathLst>
                          </a:custGeom>
                          <a:solidFill>
                            <a:srgbClr val="008FDD"/>
                          </a:solidFill>
                        </wps:spPr>
                        <wps:bodyPr wrap="square" lIns="0" tIns="0" rIns="0" bIns="0" rtlCol="0">
                          <a:prstTxWarp prst="textNoShape">
                            <a:avLst/>
                          </a:prstTxWarp>
                          <a:noAutofit/>
                        </wps:bodyPr>
                      </wps:wsp>
                      <wps:wsp>
                        <wps:cNvPr id="1183" name="Graphic 1183"/>
                        <wps:cNvSpPr/>
                        <wps:spPr>
                          <a:xfrm>
                            <a:off x="3378272" y="2445550"/>
                            <a:ext cx="43815" cy="15240"/>
                          </a:xfrm>
                          <a:custGeom>
                            <a:avLst/>
                            <a:gdLst/>
                            <a:ahLst/>
                            <a:cxnLst/>
                            <a:rect l="l" t="t" r="r" b="b"/>
                            <a:pathLst>
                              <a:path w="43815" h="15240">
                                <a:moveTo>
                                  <a:pt x="0" y="15176"/>
                                </a:moveTo>
                                <a:lnTo>
                                  <a:pt x="43421" y="15176"/>
                                </a:lnTo>
                                <a:lnTo>
                                  <a:pt x="43421" y="0"/>
                                </a:lnTo>
                                <a:lnTo>
                                  <a:pt x="0" y="0"/>
                                </a:lnTo>
                                <a:lnTo>
                                  <a:pt x="0" y="15176"/>
                                </a:lnTo>
                                <a:close/>
                              </a:path>
                            </a:pathLst>
                          </a:custGeom>
                          <a:ln w="3175">
                            <a:solidFill>
                              <a:srgbClr val="FFFFFF"/>
                            </a:solidFill>
                            <a:prstDash val="solid"/>
                          </a:ln>
                        </wps:spPr>
                        <wps:bodyPr wrap="square" lIns="0" tIns="0" rIns="0" bIns="0" rtlCol="0">
                          <a:prstTxWarp prst="textNoShape">
                            <a:avLst/>
                          </a:prstTxWarp>
                          <a:noAutofit/>
                        </wps:bodyPr>
                      </wps:wsp>
                      <wps:wsp>
                        <wps:cNvPr id="1184" name="Graphic 1184"/>
                        <wps:cNvSpPr/>
                        <wps:spPr>
                          <a:xfrm>
                            <a:off x="3421688"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185" name="Graphic 1185"/>
                        <wps:cNvSpPr/>
                        <wps:spPr>
                          <a:xfrm>
                            <a:off x="3421693"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186" name="Graphic 1186"/>
                        <wps:cNvSpPr/>
                        <wps:spPr>
                          <a:xfrm>
                            <a:off x="3465111"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187" name="Graphic 1187"/>
                        <wps:cNvSpPr/>
                        <wps:spPr>
                          <a:xfrm>
                            <a:off x="3465113"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188" name="Graphic 1188"/>
                        <wps:cNvSpPr/>
                        <wps:spPr>
                          <a:xfrm>
                            <a:off x="3508540" y="2445550"/>
                            <a:ext cx="43815" cy="15240"/>
                          </a:xfrm>
                          <a:custGeom>
                            <a:avLst/>
                            <a:gdLst/>
                            <a:ahLst/>
                            <a:cxnLst/>
                            <a:rect l="l" t="t" r="r" b="b"/>
                            <a:pathLst>
                              <a:path w="43815" h="15240">
                                <a:moveTo>
                                  <a:pt x="43421" y="0"/>
                                </a:moveTo>
                                <a:lnTo>
                                  <a:pt x="0" y="0"/>
                                </a:lnTo>
                                <a:lnTo>
                                  <a:pt x="0" y="15176"/>
                                </a:lnTo>
                                <a:lnTo>
                                  <a:pt x="43421" y="15176"/>
                                </a:lnTo>
                                <a:lnTo>
                                  <a:pt x="43421" y="0"/>
                                </a:lnTo>
                                <a:close/>
                              </a:path>
                            </a:pathLst>
                          </a:custGeom>
                          <a:solidFill>
                            <a:srgbClr val="008FDD"/>
                          </a:solidFill>
                        </wps:spPr>
                        <wps:bodyPr wrap="square" lIns="0" tIns="0" rIns="0" bIns="0" rtlCol="0">
                          <a:prstTxWarp prst="textNoShape">
                            <a:avLst/>
                          </a:prstTxWarp>
                          <a:noAutofit/>
                        </wps:bodyPr>
                      </wps:wsp>
                      <wps:wsp>
                        <wps:cNvPr id="1189" name="Graphic 1189"/>
                        <wps:cNvSpPr/>
                        <wps:spPr>
                          <a:xfrm>
                            <a:off x="3508536" y="2445550"/>
                            <a:ext cx="43815" cy="15240"/>
                          </a:xfrm>
                          <a:custGeom>
                            <a:avLst/>
                            <a:gdLst/>
                            <a:ahLst/>
                            <a:cxnLst/>
                            <a:rect l="l" t="t" r="r" b="b"/>
                            <a:pathLst>
                              <a:path w="43815" h="15240">
                                <a:moveTo>
                                  <a:pt x="0" y="15176"/>
                                </a:moveTo>
                                <a:lnTo>
                                  <a:pt x="43421" y="15176"/>
                                </a:lnTo>
                                <a:lnTo>
                                  <a:pt x="43421" y="0"/>
                                </a:lnTo>
                                <a:lnTo>
                                  <a:pt x="0" y="0"/>
                                </a:lnTo>
                                <a:lnTo>
                                  <a:pt x="0" y="15176"/>
                                </a:lnTo>
                                <a:close/>
                              </a:path>
                            </a:pathLst>
                          </a:custGeom>
                          <a:ln w="3175">
                            <a:solidFill>
                              <a:srgbClr val="FFFFFF"/>
                            </a:solidFill>
                            <a:prstDash val="solid"/>
                          </a:ln>
                        </wps:spPr>
                        <wps:bodyPr wrap="square" lIns="0" tIns="0" rIns="0" bIns="0" rtlCol="0">
                          <a:prstTxWarp prst="textNoShape">
                            <a:avLst/>
                          </a:prstTxWarp>
                          <a:noAutofit/>
                        </wps:bodyPr>
                      </wps:wsp>
                      <wps:wsp>
                        <wps:cNvPr id="1190" name="Graphic 1190"/>
                        <wps:cNvSpPr/>
                        <wps:spPr>
                          <a:xfrm>
                            <a:off x="3551961" y="2445550"/>
                            <a:ext cx="43815" cy="15240"/>
                          </a:xfrm>
                          <a:custGeom>
                            <a:avLst/>
                            <a:gdLst/>
                            <a:ahLst/>
                            <a:cxnLst/>
                            <a:rect l="l" t="t" r="r" b="b"/>
                            <a:pathLst>
                              <a:path w="43815" h="15240">
                                <a:moveTo>
                                  <a:pt x="43421" y="0"/>
                                </a:moveTo>
                                <a:lnTo>
                                  <a:pt x="0" y="0"/>
                                </a:lnTo>
                                <a:lnTo>
                                  <a:pt x="0" y="15176"/>
                                </a:lnTo>
                                <a:lnTo>
                                  <a:pt x="43421" y="15176"/>
                                </a:lnTo>
                                <a:lnTo>
                                  <a:pt x="43421" y="0"/>
                                </a:lnTo>
                                <a:close/>
                              </a:path>
                            </a:pathLst>
                          </a:custGeom>
                          <a:solidFill>
                            <a:srgbClr val="008FDD"/>
                          </a:solidFill>
                        </wps:spPr>
                        <wps:bodyPr wrap="square" lIns="0" tIns="0" rIns="0" bIns="0" rtlCol="0">
                          <a:prstTxWarp prst="textNoShape">
                            <a:avLst/>
                          </a:prstTxWarp>
                          <a:noAutofit/>
                        </wps:bodyPr>
                      </wps:wsp>
                      <wps:wsp>
                        <wps:cNvPr id="1191" name="Graphic 1191"/>
                        <wps:cNvSpPr/>
                        <wps:spPr>
                          <a:xfrm>
                            <a:off x="3551957" y="2445550"/>
                            <a:ext cx="43815" cy="15240"/>
                          </a:xfrm>
                          <a:custGeom>
                            <a:avLst/>
                            <a:gdLst/>
                            <a:ahLst/>
                            <a:cxnLst/>
                            <a:rect l="l" t="t" r="r" b="b"/>
                            <a:pathLst>
                              <a:path w="43815" h="15240">
                                <a:moveTo>
                                  <a:pt x="0" y="15176"/>
                                </a:moveTo>
                                <a:lnTo>
                                  <a:pt x="43421" y="15176"/>
                                </a:lnTo>
                                <a:lnTo>
                                  <a:pt x="43421" y="0"/>
                                </a:lnTo>
                                <a:lnTo>
                                  <a:pt x="0" y="0"/>
                                </a:lnTo>
                                <a:lnTo>
                                  <a:pt x="0" y="15176"/>
                                </a:lnTo>
                                <a:close/>
                              </a:path>
                            </a:pathLst>
                          </a:custGeom>
                          <a:ln w="3175">
                            <a:solidFill>
                              <a:srgbClr val="FFFFFF"/>
                            </a:solidFill>
                            <a:prstDash val="solid"/>
                          </a:ln>
                        </wps:spPr>
                        <wps:bodyPr wrap="square" lIns="0" tIns="0" rIns="0" bIns="0" rtlCol="0">
                          <a:prstTxWarp prst="textNoShape">
                            <a:avLst/>
                          </a:prstTxWarp>
                          <a:noAutofit/>
                        </wps:bodyPr>
                      </wps:wsp>
                      <wps:wsp>
                        <wps:cNvPr id="1192" name="Graphic 1192"/>
                        <wps:cNvSpPr/>
                        <wps:spPr>
                          <a:xfrm>
                            <a:off x="3595382" y="2445550"/>
                            <a:ext cx="43815" cy="15240"/>
                          </a:xfrm>
                          <a:custGeom>
                            <a:avLst/>
                            <a:gdLst/>
                            <a:ahLst/>
                            <a:cxnLst/>
                            <a:rect l="l" t="t" r="r" b="b"/>
                            <a:pathLst>
                              <a:path w="43815" h="15240">
                                <a:moveTo>
                                  <a:pt x="43421" y="0"/>
                                </a:moveTo>
                                <a:lnTo>
                                  <a:pt x="0" y="0"/>
                                </a:lnTo>
                                <a:lnTo>
                                  <a:pt x="0" y="15176"/>
                                </a:lnTo>
                                <a:lnTo>
                                  <a:pt x="43421" y="15176"/>
                                </a:lnTo>
                                <a:lnTo>
                                  <a:pt x="43421" y="0"/>
                                </a:lnTo>
                                <a:close/>
                              </a:path>
                            </a:pathLst>
                          </a:custGeom>
                          <a:solidFill>
                            <a:srgbClr val="008FDD"/>
                          </a:solidFill>
                        </wps:spPr>
                        <wps:bodyPr wrap="square" lIns="0" tIns="0" rIns="0" bIns="0" rtlCol="0">
                          <a:prstTxWarp prst="textNoShape">
                            <a:avLst/>
                          </a:prstTxWarp>
                          <a:noAutofit/>
                        </wps:bodyPr>
                      </wps:wsp>
                      <wps:wsp>
                        <wps:cNvPr id="1193" name="Graphic 1193"/>
                        <wps:cNvSpPr/>
                        <wps:spPr>
                          <a:xfrm>
                            <a:off x="3595378" y="2445550"/>
                            <a:ext cx="43815" cy="15240"/>
                          </a:xfrm>
                          <a:custGeom>
                            <a:avLst/>
                            <a:gdLst/>
                            <a:ahLst/>
                            <a:cxnLst/>
                            <a:rect l="l" t="t" r="r" b="b"/>
                            <a:pathLst>
                              <a:path w="43815" h="15240">
                                <a:moveTo>
                                  <a:pt x="0" y="15176"/>
                                </a:moveTo>
                                <a:lnTo>
                                  <a:pt x="43421" y="15176"/>
                                </a:lnTo>
                                <a:lnTo>
                                  <a:pt x="43421" y="0"/>
                                </a:lnTo>
                                <a:lnTo>
                                  <a:pt x="0" y="0"/>
                                </a:lnTo>
                                <a:lnTo>
                                  <a:pt x="0" y="15176"/>
                                </a:lnTo>
                                <a:close/>
                              </a:path>
                            </a:pathLst>
                          </a:custGeom>
                          <a:ln w="3175">
                            <a:solidFill>
                              <a:srgbClr val="FFFFFF"/>
                            </a:solidFill>
                            <a:prstDash val="solid"/>
                          </a:ln>
                        </wps:spPr>
                        <wps:bodyPr wrap="square" lIns="0" tIns="0" rIns="0" bIns="0" rtlCol="0">
                          <a:prstTxWarp prst="textNoShape">
                            <a:avLst/>
                          </a:prstTxWarp>
                          <a:noAutofit/>
                        </wps:bodyPr>
                      </wps:wsp>
                      <wps:wsp>
                        <wps:cNvPr id="1194" name="Graphic 1194"/>
                        <wps:cNvSpPr/>
                        <wps:spPr>
                          <a:xfrm>
                            <a:off x="3638789"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195" name="Graphic 1195"/>
                        <wps:cNvSpPr/>
                        <wps:spPr>
                          <a:xfrm>
                            <a:off x="3638793"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196" name="Graphic 1196"/>
                        <wps:cNvSpPr/>
                        <wps:spPr>
                          <a:xfrm>
                            <a:off x="3682212"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197" name="Graphic 1197"/>
                        <wps:cNvSpPr/>
                        <wps:spPr>
                          <a:xfrm>
                            <a:off x="3682214"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198" name="Graphic 1198"/>
                        <wps:cNvSpPr/>
                        <wps:spPr>
                          <a:xfrm>
                            <a:off x="3725634"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199" name="Graphic 1199"/>
                        <wps:cNvSpPr/>
                        <wps:spPr>
                          <a:xfrm>
                            <a:off x="3725633"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00" name="Graphic 1200"/>
                        <wps:cNvSpPr/>
                        <wps:spPr>
                          <a:xfrm>
                            <a:off x="3769057"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201" name="Graphic 1201"/>
                        <wps:cNvSpPr/>
                        <wps:spPr>
                          <a:xfrm>
                            <a:off x="3769054"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02" name="Graphic 1202"/>
                        <wps:cNvSpPr/>
                        <wps:spPr>
                          <a:xfrm>
                            <a:off x="3812468"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203" name="Graphic 1203"/>
                        <wps:cNvSpPr/>
                        <wps:spPr>
                          <a:xfrm>
                            <a:off x="3812473"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04" name="Graphic 1204"/>
                        <wps:cNvSpPr/>
                        <wps:spPr>
                          <a:xfrm>
                            <a:off x="3855891"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205" name="Graphic 1205"/>
                        <wps:cNvSpPr/>
                        <wps:spPr>
                          <a:xfrm>
                            <a:off x="3855892"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06" name="Graphic 1206"/>
                        <wps:cNvSpPr/>
                        <wps:spPr>
                          <a:xfrm>
                            <a:off x="3899313"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207" name="Graphic 1207"/>
                        <wps:cNvSpPr/>
                        <wps:spPr>
                          <a:xfrm>
                            <a:off x="3899312"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08" name="Graphic 1208"/>
                        <wps:cNvSpPr/>
                        <wps:spPr>
                          <a:xfrm>
                            <a:off x="3942736"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209" name="Graphic 1209"/>
                        <wps:cNvSpPr/>
                        <wps:spPr>
                          <a:xfrm>
                            <a:off x="3942732"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10" name="Graphic 1210"/>
                        <wps:cNvSpPr/>
                        <wps:spPr>
                          <a:xfrm>
                            <a:off x="3986147"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211" name="Graphic 1211"/>
                        <wps:cNvSpPr/>
                        <wps:spPr>
                          <a:xfrm>
                            <a:off x="3986152"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12" name="Graphic 1212"/>
                        <wps:cNvSpPr/>
                        <wps:spPr>
                          <a:xfrm>
                            <a:off x="4029570"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213" name="Graphic 1213"/>
                        <wps:cNvSpPr/>
                        <wps:spPr>
                          <a:xfrm>
                            <a:off x="4029573"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14" name="Graphic 1214"/>
                        <wps:cNvSpPr/>
                        <wps:spPr>
                          <a:xfrm>
                            <a:off x="4072992"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215" name="Graphic 1215"/>
                        <wps:cNvSpPr/>
                        <wps:spPr>
                          <a:xfrm>
                            <a:off x="4072992"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16" name="Graphic 1216"/>
                        <wps:cNvSpPr/>
                        <wps:spPr>
                          <a:xfrm>
                            <a:off x="4116415"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217" name="Graphic 1217"/>
                        <wps:cNvSpPr/>
                        <wps:spPr>
                          <a:xfrm>
                            <a:off x="4116413"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18" name="Graphic 1218"/>
                        <wps:cNvSpPr/>
                        <wps:spPr>
                          <a:xfrm>
                            <a:off x="4159837" y="2460720"/>
                            <a:ext cx="43815" cy="1270"/>
                          </a:xfrm>
                          <a:custGeom>
                            <a:avLst/>
                            <a:gdLst/>
                            <a:ahLst/>
                            <a:cxnLst/>
                            <a:rect l="l" t="t" r="r" b="b"/>
                            <a:pathLst>
                              <a:path w="43815" h="0">
                                <a:moveTo>
                                  <a:pt x="43408" y="0"/>
                                </a:moveTo>
                                <a:lnTo>
                                  <a:pt x="0" y="0"/>
                                </a:lnTo>
                              </a:path>
                            </a:pathLst>
                          </a:custGeom>
                          <a:solidFill>
                            <a:srgbClr val="008FDD"/>
                          </a:solidFill>
                        </wps:spPr>
                        <wps:bodyPr wrap="square" lIns="0" tIns="0" rIns="0" bIns="0" rtlCol="0">
                          <a:prstTxWarp prst="textNoShape">
                            <a:avLst/>
                          </a:prstTxWarp>
                          <a:noAutofit/>
                        </wps:bodyPr>
                      </wps:wsp>
                      <wps:wsp>
                        <wps:cNvPr id="1219" name="Graphic 1219"/>
                        <wps:cNvSpPr/>
                        <wps:spPr>
                          <a:xfrm>
                            <a:off x="4159832"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20" name="Graphic 1220"/>
                        <wps:cNvSpPr/>
                        <wps:spPr>
                          <a:xfrm>
                            <a:off x="4203249"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221" name="Graphic 1221"/>
                        <wps:cNvSpPr/>
                        <wps:spPr>
                          <a:xfrm>
                            <a:off x="4203253"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22" name="Graphic 1222"/>
                        <wps:cNvSpPr/>
                        <wps:spPr>
                          <a:xfrm>
                            <a:off x="4246671"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223" name="Graphic 1223"/>
                        <wps:cNvSpPr/>
                        <wps:spPr>
                          <a:xfrm>
                            <a:off x="4246672"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24" name="Graphic 1224"/>
                        <wps:cNvSpPr/>
                        <wps:spPr>
                          <a:xfrm>
                            <a:off x="4290094" y="2460720"/>
                            <a:ext cx="43815" cy="1270"/>
                          </a:xfrm>
                          <a:custGeom>
                            <a:avLst/>
                            <a:gdLst/>
                            <a:ahLst/>
                            <a:cxnLst/>
                            <a:rect l="l" t="t" r="r" b="b"/>
                            <a:pathLst>
                              <a:path w="43815" h="0">
                                <a:moveTo>
                                  <a:pt x="43421" y="0"/>
                                </a:moveTo>
                                <a:lnTo>
                                  <a:pt x="0" y="0"/>
                                </a:lnTo>
                              </a:path>
                            </a:pathLst>
                          </a:custGeom>
                          <a:solidFill>
                            <a:srgbClr val="008FDD"/>
                          </a:solidFill>
                        </wps:spPr>
                        <wps:bodyPr wrap="square" lIns="0" tIns="0" rIns="0" bIns="0" rtlCol="0">
                          <a:prstTxWarp prst="textNoShape">
                            <a:avLst/>
                          </a:prstTxWarp>
                          <a:noAutofit/>
                        </wps:bodyPr>
                      </wps:wsp>
                      <wps:wsp>
                        <wps:cNvPr id="1225" name="Graphic 1225"/>
                        <wps:cNvSpPr/>
                        <wps:spPr>
                          <a:xfrm>
                            <a:off x="4290093" y="2460724"/>
                            <a:ext cx="43815" cy="1270"/>
                          </a:xfrm>
                          <a:custGeom>
                            <a:avLst/>
                            <a:gdLst/>
                            <a:ahLst/>
                            <a:cxnLst/>
                            <a:rect l="l" t="t" r="r" b="b"/>
                            <a:pathLst>
                              <a:path w="43815" h="0">
                                <a:moveTo>
                                  <a:pt x="0" y="0"/>
                                </a:moveTo>
                                <a:lnTo>
                                  <a:pt x="43421" y="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226" name="Graphic 1226"/>
                        <wps:cNvSpPr/>
                        <wps:spPr>
                          <a:xfrm>
                            <a:off x="4333519" y="2445550"/>
                            <a:ext cx="43815" cy="15240"/>
                          </a:xfrm>
                          <a:custGeom>
                            <a:avLst/>
                            <a:gdLst/>
                            <a:ahLst/>
                            <a:cxnLst/>
                            <a:rect l="l" t="t" r="r" b="b"/>
                            <a:pathLst>
                              <a:path w="43815" h="15240">
                                <a:moveTo>
                                  <a:pt x="43421" y="0"/>
                                </a:moveTo>
                                <a:lnTo>
                                  <a:pt x="0" y="0"/>
                                </a:lnTo>
                                <a:lnTo>
                                  <a:pt x="0" y="15176"/>
                                </a:lnTo>
                                <a:lnTo>
                                  <a:pt x="43421" y="15176"/>
                                </a:lnTo>
                                <a:lnTo>
                                  <a:pt x="43421" y="0"/>
                                </a:lnTo>
                                <a:close/>
                              </a:path>
                            </a:pathLst>
                          </a:custGeom>
                          <a:solidFill>
                            <a:srgbClr val="008FDD"/>
                          </a:solidFill>
                        </wps:spPr>
                        <wps:bodyPr wrap="square" lIns="0" tIns="0" rIns="0" bIns="0" rtlCol="0">
                          <a:prstTxWarp prst="textNoShape">
                            <a:avLst/>
                          </a:prstTxWarp>
                          <a:noAutofit/>
                        </wps:bodyPr>
                      </wps:wsp>
                      <wps:wsp>
                        <wps:cNvPr id="1227" name="Graphic 1227"/>
                        <wps:cNvSpPr/>
                        <wps:spPr>
                          <a:xfrm>
                            <a:off x="4333515" y="2445550"/>
                            <a:ext cx="43815" cy="15240"/>
                          </a:xfrm>
                          <a:custGeom>
                            <a:avLst/>
                            <a:gdLst/>
                            <a:ahLst/>
                            <a:cxnLst/>
                            <a:rect l="l" t="t" r="r" b="b"/>
                            <a:pathLst>
                              <a:path w="43815" h="15240">
                                <a:moveTo>
                                  <a:pt x="0" y="15176"/>
                                </a:moveTo>
                                <a:lnTo>
                                  <a:pt x="43421" y="15176"/>
                                </a:lnTo>
                                <a:lnTo>
                                  <a:pt x="43421" y="0"/>
                                </a:lnTo>
                                <a:lnTo>
                                  <a:pt x="0" y="0"/>
                                </a:lnTo>
                                <a:lnTo>
                                  <a:pt x="0" y="15176"/>
                                </a:lnTo>
                                <a:close/>
                              </a:path>
                            </a:pathLst>
                          </a:custGeom>
                          <a:ln w="3175">
                            <a:solidFill>
                              <a:srgbClr val="FFFFFF"/>
                            </a:solidFill>
                            <a:prstDash val="solid"/>
                          </a:ln>
                        </wps:spPr>
                        <wps:bodyPr wrap="square" lIns="0" tIns="0" rIns="0" bIns="0" rtlCol="0">
                          <a:prstTxWarp prst="textNoShape">
                            <a:avLst/>
                          </a:prstTxWarp>
                          <a:noAutofit/>
                        </wps:bodyPr>
                      </wps:wsp>
                      <wps:wsp>
                        <wps:cNvPr id="1228" name="Graphic 1228"/>
                        <wps:cNvSpPr/>
                        <wps:spPr>
                          <a:xfrm>
                            <a:off x="2639943" y="2460724"/>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229" name="Graphic 1229"/>
                        <wps:cNvSpPr/>
                        <wps:spPr>
                          <a:xfrm>
                            <a:off x="248991" y="2460724"/>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230" name="Textbox 1230"/>
                        <wps:cNvSpPr txBox="1"/>
                        <wps:spPr>
                          <a:xfrm>
                            <a:off x="76380" y="66855"/>
                            <a:ext cx="4176395" cy="626745"/>
                          </a:xfrm>
                          <a:prstGeom prst="rect">
                            <a:avLst/>
                          </a:prstGeom>
                        </wps:spPr>
                        <wps:txbx>
                          <w:txbxContent>
                            <w:p>
                              <w:pPr>
                                <w:spacing w:before="3"/>
                                <w:ind w:left="0" w:right="0" w:firstLine="0"/>
                                <w:jc w:val="left"/>
                                <w:rPr>
                                  <w:rFonts w:ascii="Arial"/>
                                  <w:b/>
                                  <w:sz w:val="16"/>
                                </w:rPr>
                              </w:pPr>
                              <w:r>
                                <w:rPr>
                                  <w:rFonts w:ascii="Arial"/>
                                  <w:color w:val="FFFFFF"/>
                                  <w:sz w:val="16"/>
                                </w:rPr>
                                <w:t>Figure</w:t>
                              </w:r>
                              <w:r>
                                <w:rPr>
                                  <w:rFonts w:ascii="Arial"/>
                                  <w:color w:val="FFFFFF"/>
                                  <w:spacing w:val="6"/>
                                  <w:sz w:val="16"/>
                                </w:rPr>
                                <w:t> </w:t>
                              </w:r>
                              <w:r>
                                <w:rPr>
                                  <w:rFonts w:ascii="Arial"/>
                                  <w:b/>
                                  <w:color w:val="FFFFFF"/>
                                  <w:sz w:val="16"/>
                                </w:rPr>
                                <w:t>3.3</w:t>
                              </w:r>
                              <w:r>
                                <w:rPr>
                                  <w:rFonts w:ascii="Arial"/>
                                  <w:b/>
                                  <w:color w:val="FFFFFF"/>
                                  <w:spacing w:val="52"/>
                                  <w:sz w:val="16"/>
                                </w:rPr>
                                <w:t>  </w:t>
                              </w:r>
                              <w:r>
                                <w:rPr>
                                  <w:rFonts w:ascii="Arial"/>
                                  <w:b/>
                                  <w:color w:val="FFFFFF"/>
                                  <w:sz w:val="16"/>
                                </w:rPr>
                                <w:t>Dispersion</w:t>
                              </w:r>
                              <w:r>
                                <w:rPr>
                                  <w:rFonts w:ascii="Arial"/>
                                  <w:b/>
                                  <w:color w:val="FFFFFF"/>
                                  <w:spacing w:val="6"/>
                                  <w:sz w:val="16"/>
                                </w:rPr>
                                <w:t> </w:t>
                              </w:r>
                              <w:r>
                                <w:rPr>
                                  <w:rFonts w:ascii="Arial"/>
                                  <w:b/>
                                  <w:color w:val="FFFFFF"/>
                                  <w:sz w:val="16"/>
                                </w:rPr>
                                <w:t>of</w:t>
                              </w:r>
                              <w:r>
                                <w:rPr>
                                  <w:rFonts w:ascii="Arial"/>
                                  <w:b/>
                                  <w:color w:val="FFFFFF"/>
                                  <w:spacing w:val="6"/>
                                  <w:sz w:val="16"/>
                                </w:rPr>
                                <w:t> </w:t>
                              </w:r>
                              <w:r>
                                <w:rPr>
                                  <w:rFonts w:ascii="Arial"/>
                                  <w:b/>
                                  <w:color w:val="FFFFFF"/>
                                  <w:sz w:val="16"/>
                                </w:rPr>
                                <w:t>mean</w:t>
                              </w:r>
                              <w:r>
                                <w:rPr>
                                  <w:rFonts w:ascii="Arial"/>
                                  <w:b/>
                                  <w:color w:val="FFFFFF"/>
                                  <w:spacing w:val="6"/>
                                  <w:sz w:val="16"/>
                                </w:rPr>
                                <w:t> </w:t>
                              </w:r>
                              <w:r>
                                <w:rPr>
                                  <w:rFonts w:ascii="Arial"/>
                                  <w:b/>
                                  <w:color w:val="FFFFFF"/>
                                  <w:sz w:val="16"/>
                                </w:rPr>
                                <w:t>dwell</w:t>
                              </w:r>
                              <w:r>
                                <w:rPr>
                                  <w:rFonts w:ascii="Arial"/>
                                  <w:b/>
                                  <w:color w:val="FFFFFF"/>
                                  <w:spacing w:val="6"/>
                                  <w:sz w:val="16"/>
                                </w:rPr>
                                <w:t> </w:t>
                              </w:r>
                              <w:r>
                                <w:rPr>
                                  <w:rFonts w:ascii="Arial"/>
                                  <w:b/>
                                  <w:color w:val="FFFFFF"/>
                                  <w:sz w:val="16"/>
                                </w:rPr>
                                <w:t>time</w:t>
                              </w:r>
                              <w:r>
                                <w:rPr>
                                  <w:rFonts w:ascii="Arial"/>
                                  <w:b/>
                                  <w:color w:val="FFFFFF"/>
                                  <w:spacing w:val="6"/>
                                  <w:sz w:val="16"/>
                                </w:rPr>
                                <w:t> </w:t>
                              </w:r>
                              <w:r>
                                <w:rPr>
                                  <w:rFonts w:ascii="Arial"/>
                                  <w:b/>
                                  <w:color w:val="FFFFFF"/>
                                  <w:sz w:val="16"/>
                                </w:rPr>
                                <w:t>across</w:t>
                              </w:r>
                              <w:r>
                                <w:rPr>
                                  <w:rFonts w:ascii="Arial"/>
                                  <w:b/>
                                  <w:color w:val="FFFFFF"/>
                                  <w:spacing w:val="6"/>
                                  <w:sz w:val="16"/>
                                </w:rPr>
                                <w:t> </w:t>
                              </w:r>
                              <w:r>
                                <w:rPr>
                                  <w:rFonts w:ascii="Arial"/>
                                  <w:b/>
                                  <w:color w:val="FFFFFF"/>
                                  <w:sz w:val="16"/>
                                </w:rPr>
                                <w:t>the</w:t>
                              </w:r>
                              <w:r>
                                <w:rPr>
                                  <w:rFonts w:ascii="Arial"/>
                                  <w:b/>
                                  <w:color w:val="FFFFFF"/>
                                  <w:spacing w:val="6"/>
                                  <w:sz w:val="16"/>
                                </w:rPr>
                                <w:t> </w:t>
                              </w:r>
                              <w:r>
                                <w:rPr>
                                  <w:rFonts w:ascii="Arial"/>
                                  <w:b/>
                                  <w:color w:val="FFFFFF"/>
                                  <w:spacing w:val="-4"/>
                                  <w:sz w:val="16"/>
                                </w:rPr>
                                <w:t>world</w:t>
                              </w:r>
                            </w:p>
                            <w:p>
                              <w:pPr>
                                <w:spacing w:line="240" w:lineRule="auto" w:before="34"/>
                                <w:rPr>
                                  <w:rFonts w:ascii="Arial"/>
                                  <w:b/>
                                  <w:sz w:val="16"/>
                                </w:rPr>
                              </w:pPr>
                            </w:p>
                            <w:p>
                              <w:pPr>
                                <w:tabs>
                                  <w:tab w:pos="4772" w:val="left" w:leader="none"/>
                                </w:tabs>
                                <w:spacing w:before="0"/>
                                <w:ind w:left="1178" w:right="0" w:firstLine="0"/>
                                <w:jc w:val="left"/>
                                <w:rPr>
                                  <w:rFonts w:ascii="Arial" w:hAnsi="Arial"/>
                                  <w:b/>
                                  <w:sz w:val="14"/>
                                </w:rPr>
                              </w:pPr>
                              <w:r>
                                <w:rPr>
                                  <w:rFonts w:ascii="Arial" w:hAnsi="Arial"/>
                                  <w:b/>
                                  <w:color w:val="231F20"/>
                                  <w:w w:val="80"/>
                                  <w:sz w:val="14"/>
                                </w:rPr>
                                <w:t>Ports</w:t>
                              </w:r>
                              <w:r>
                                <w:rPr>
                                  <w:rFonts w:ascii="Arial" w:hAnsi="Arial"/>
                                  <w:b/>
                                  <w:color w:val="231F20"/>
                                  <w:spacing w:val="5"/>
                                  <w:sz w:val="14"/>
                                </w:rPr>
                                <w:t> </w:t>
                              </w:r>
                              <w:r>
                                <w:rPr>
                                  <w:rFonts w:ascii="Arial" w:hAnsi="Arial"/>
                                  <w:b/>
                                  <w:color w:val="231F20"/>
                                  <w:w w:val="80"/>
                                  <w:sz w:val="14"/>
                                </w:rPr>
                                <w:t>(May–October</w:t>
                              </w:r>
                              <w:r>
                                <w:rPr>
                                  <w:rFonts w:ascii="Arial" w:hAnsi="Arial"/>
                                  <w:b/>
                                  <w:color w:val="231F20"/>
                                  <w:spacing w:val="7"/>
                                  <w:sz w:val="14"/>
                                </w:rPr>
                                <w:t> </w:t>
                              </w:r>
                              <w:r>
                                <w:rPr>
                                  <w:rFonts w:ascii="Arial" w:hAnsi="Arial"/>
                                  <w:b/>
                                  <w:color w:val="231F20"/>
                                  <w:spacing w:val="-2"/>
                                  <w:w w:val="80"/>
                                  <w:sz w:val="14"/>
                                </w:rPr>
                                <w:t>2022)</w:t>
                              </w:r>
                              <w:r>
                                <w:rPr>
                                  <w:rFonts w:ascii="Arial" w:hAnsi="Arial"/>
                                  <w:b/>
                                  <w:color w:val="231F20"/>
                                  <w:sz w:val="14"/>
                                </w:rPr>
                                <w:tab/>
                              </w:r>
                              <w:r>
                                <w:rPr>
                                  <w:rFonts w:ascii="Arial" w:hAnsi="Arial"/>
                                  <w:b/>
                                  <w:color w:val="231F20"/>
                                  <w:w w:val="80"/>
                                  <w:sz w:val="14"/>
                                </w:rPr>
                                <w:t>Airports</w:t>
                              </w:r>
                              <w:r>
                                <w:rPr>
                                  <w:rFonts w:ascii="Arial" w:hAnsi="Arial"/>
                                  <w:b/>
                                  <w:color w:val="231F20"/>
                                  <w:spacing w:val="2"/>
                                  <w:sz w:val="14"/>
                                </w:rPr>
                                <w:t> </w:t>
                              </w:r>
                              <w:r>
                                <w:rPr>
                                  <w:rFonts w:ascii="Arial" w:hAnsi="Arial"/>
                                  <w:b/>
                                  <w:color w:val="231F20"/>
                                  <w:w w:val="80"/>
                                  <w:sz w:val="14"/>
                                </w:rPr>
                                <w:t>(fourth</w:t>
                              </w:r>
                              <w:r>
                                <w:rPr>
                                  <w:rFonts w:ascii="Arial" w:hAnsi="Arial"/>
                                  <w:b/>
                                  <w:color w:val="231F20"/>
                                  <w:spacing w:val="4"/>
                                  <w:sz w:val="14"/>
                                </w:rPr>
                                <w:t> </w:t>
                              </w:r>
                              <w:r>
                                <w:rPr>
                                  <w:rFonts w:ascii="Arial" w:hAnsi="Arial"/>
                                  <w:b/>
                                  <w:color w:val="231F20"/>
                                  <w:w w:val="80"/>
                                  <w:sz w:val="14"/>
                                </w:rPr>
                                <w:t>quarter</w:t>
                              </w:r>
                              <w:r>
                                <w:rPr>
                                  <w:rFonts w:ascii="Arial" w:hAnsi="Arial"/>
                                  <w:b/>
                                  <w:color w:val="231F20"/>
                                  <w:spacing w:val="4"/>
                                  <w:sz w:val="14"/>
                                </w:rPr>
                                <w:t> </w:t>
                              </w:r>
                              <w:r>
                                <w:rPr>
                                  <w:rFonts w:ascii="Arial" w:hAnsi="Arial"/>
                                  <w:b/>
                                  <w:color w:val="231F20"/>
                                  <w:w w:val="80"/>
                                  <w:sz w:val="14"/>
                                </w:rPr>
                                <w:t>of</w:t>
                              </w:r>
                              <w:r>
                                <w:rPr>
                                  <w:rFonts w:ascii="Arial" w:hAnsi="Arial"/>
                                  <w:b/>
                                  <w:color w:val="231F20"/>
                                  <w:spacing w:val="4"/>
                                  <w:sz w:val="14"/>
                                </w:rPr>
                                <w:t> </w:t>
                              </w:r>
                              <w:r>
                                <w:rPr>
                                  <w:rFonts w:ascii="Arial" w:hAnsi="Arial"/>
                                  <w:b/>
                                  <w:color w:val="231F20"/>
                                  <w:spacing w:val="-2"/>
                                  <w:w w:val="80"/>
                                  <w:sz w:val="14"/>
                                </w:rPr>
                                <w:t>2019)</w:t>
                              </w:r>
                            </w:p>
                            <w:p>
                              <w:pPr>
                                <w:tabs>
                                  <w:tab w:pos="3812" w:val="left" w:leader="none"/>
                                </w:tabs>
                                <w:spacing w:before="39"/>
                                <w:ind w:left="46" w:right="0" w:firstLine="0"/>
                                <w:jc w:val="left"/>
                                <w:rPr>
                                  <w:rFonts w:ascii="Arial"/>
                                  <w:sz w:val="14"/>
                                </w:rPr>
                              </w:pPr>
                              <w:r>
                                <w:rPr>
                                  <w:rFonts w:ascii="Arial"/>
                                  <w:color w:val="231F20"/>
                                  <w:w w:val="80"/>
                                  <w:sz w:val="14"/>
                                </w:rPr>
                                <w:t>Number</w:t>
                              </w:r>
                              <w:r>
                                <w:rPr>
                                  <w:rFonts w:ascii="Arial"/>
                                  <w:color w:val="231F20"/>
                                  <w:spacing w:val="-2"/>
                                  <w:w w:val="80"/>
                                  <w:sz w:val="14"/>
                                </w:rPr>
                                <w:t> </w:t>
                              </w:r>
                              <w:r>
                                <w:rPr>
                                  <w:rFonts w:ascii="Arial"/>
                                  <w:color w:val="231F20"/>
                                  <w:w w:val="80"/>
                                  <w:sz w:val="14"/>
                                </w:rPr>
                                <w:t>of</w:t>
                              </w:r>
                              <w:r>
                                <w:rPr>
                                  <w:rFonts w:ascii="Arial"/>
                                  <w:color w:val="231F20"/>
                                  <w:spacing w:val="-1"/>
                                  <w:w w:val="80"/>
                                  <w:sz w:val="14"/>
                                </w:rPr>
                                <w:t> </w:t>
                              </w:r>
                              <w:r>
                                <w:rPr>
                                  <w:rFonts w:ascii="Arial"/>
                                  <w:color w:val="231F20"/>
                                  <w:spacing w:val="-2"/>
                                  <w:w w:val="80"/>
                                  <w:sz w:val="14"/>
                                </w:rPr>
                                <w:t>ports</w:t>
                              </w:r>
                              <w:r>
                                <w:rPr>
                                  <w:rFonts w:ascii="Arial"/>
                                  <w:color w:val="231F20"/>
                                  <w:sz w:val="14"/>
                                </w:rPr>
                                <w:tab/>
                              </w:r>
                              <w:r>
                                <w:rPr>
                                  <w:rFonts w:ascii="Arial"/>
                                  <w:color w:val="231F20"/>
                                  <w:w w:val="80"/>
                                  <w:sz w:val="14"/>
                                </w:rPr>
                                <w:t>Number</w:t>
                              </w:r>
                              <w:r>
                                <w:rPr>
                                  <w:rFonts w:ascii="Arial"/>
                                  <w:color w:val="231F20"/>
                                  <w:spacing w:val="-4"/>
                                  <w:w w:val="80"/>
                                  <w:sz w:val="14"/>
                                </w:rPr>
                                <w:t> </w:t>
                              </w:r>
                              <w:r>
                                <w:rPr>
                                  <w:rFonts w:ascii="Arial"/>
                                  <w:color w:val="231F20"/>
                                  <w:w w:val="80"/>
                                  <w:sz w:val="14"/>
                                </w:rPr>
                                <w:t>of</w:t>
                              </w:r>
                              <w:r>
                                <w:rPr>
                                  <w:rFonts w:ascii="Arial"/>
                                  <w:color w:val="231F20"/>
                                  <w:spacing w:val="-1"/>
                                  <w:w w:val="80"/>
                                  <w:sz w:val="14"/>
                                </w:rPr>
                                <w:t> </w:t>
                              </w:r>
                              <w:r>
                                <w:rPr>
                                  <w:rFonts w:ascii="Arial"/>
                                  <w:color w:val="231F20"/>
                                  <w:spacing w:val="-2"/>
                                  <w:w w:val="80"/>
                                  <w:sz w:val="14"/>
                                </w:rPr>
                                <w:t>airports</w:t>
                              </w:r>
                            </w:p>
                            <w:p>
                              <w:pPr>
                                <w:tabs>
                                  <w:tab w:pos="3772" w:val="left" w:leader="none"/>
                                </w:tabs>
                                <w:spacing w:line="160" w:lineRule="exact" w:before="60"/>
                                <w:ind w:left="74" w:right="0" w:firstLine="0"/>
                                <w:jc w:val="left"/>
                                <w:rPr>
                                  <w:rFonts w:ascii="Arial"/>
                                  <w:sz w:val="14"/>
                                </w:rPr>
                              </w:pPr>
                              <w:r>
                                <w:rPr>
                                  <w:rFonts w:ascii="Arial"/>
                                  <w:color w:val="231F20"/>
                                  <w:spacing w:val="-5"/>
                                  <w:sz w:val="14"/>
                                </w:rPr>
                                <w:t>60</w:t>
                              </w:r>
                              <w:r>
                                <w:rPr>
                                  <w:rFonts w:ascii="Arial"/>
                                  <w:color w:val="231F20"/>
                                  <w:sz w:val="14"/>
                                </w:rPr>
                                <w:tab/>
                              </w:r>
                              <w:r>
                                <w:rPr>
                                  <w:rFonts w:ascii="Arial"/>
                                  <w:color w:val="231F20"/>
                                  <w:spacing w:val="-5"/>
                                  <w:sz w:val="14"/>
                                </w:rPr>
                                <w:t>120</w:t>
                              </w:r>
                            </w:p>
                          </w:txbxContent>
                        </wps:txbx>
                        <wps:bodyPr wrap="square" lIns="0" tIns="0" rIns="0" bIns="0" rtlCol="0">
                          <a:noAutofit/>
                        </wps:bodyPr>
                      </wps:wsp>
                      <wps:wsp>
                        <wps:cNvPr id="1231" name="Textbox 1231"/>
                        <wps:cNvSpPr txBox="1"/>
                        <wps:spPr>
                          <a:xfrm>
                            <a:off x="123562" y="896225"/>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50</w:t>
                              </w:r>
                            </w:p>
                          </w:txbxContent>
                        </wps:txbx>
                        <wps:bodyPr wrap="square" lIns="0" tIns="0" rIns="0" bIns="0" rtlCol="0">
                          <a:noAutofit/>
                        </wps:bodyPr>
                      </wps:wsp>
                      <wps:wsp>
                        <wps:cNvPr id="1232" name="Textbox 1232"/>
                        <wps:cNvSpPr txBox="1"/>
                        <wps:spPr>
                          <a:xfrm>
                            <a:off x="2471844" y="896225"/>
                            <a:ext cx="14097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100</w:t>
                              </w:r>
                            </w:p>
                          </w:txbxContent>
                        </wps:txbx>
                        <wps:bodyPr wrap="square" lIns="0" tIns="0" rIns="0" bIns="0" rtlCol="0">
                          <a:noAutofit/>
                        </wps:bodyPr>
                      </wps:wsp>
                      <wps:wsp>
                        <wps:cNvPr id="1233" name="Textbox 1233"/>
                        <wps:cNvSpPr txBox="1"/>
                        <wps:spPr>
                          <a:xfrm>
                            <a:off x="123562" y="1199640"/>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40</w:t>
                              </w:r>
                            </w:p>
                          </w:txbxContent>
                        </wps:txbx>
                        <wps:bodyPr wrap="square" lIns="0" tIns="0" rIns="0" bIns="0" rtlCol="0">
                          <a:noAutofit/>
                        </wps:bodyPr>
                      </wps:wsp>
                      <wps:wsp>
                        <wps:cNvPr id="1234" name="Textbox 1234"/>
                        <wps:cNvSpPr txBox="1"/>
                        <wps:spPr>
                          <a:xfrm>
                            <a:off x="2514516" y="1199640"/>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80</w:t>
                              </w:r>
                            </w:p>
                          </w:txbxContent>
                        </wps:txbx>
                        <wps:bodyPr wrap="square" lIns="0" tIns="0" rIns="0" bIns="0" rtlCol="0">
                          <a:noAutofit/>
                        </wps:bodyPr>
                      </wps:wsp>
                      <wps:wsp>
                        <wps:cNvPr id="1235" name="Textbox 1235"/>
                        <wps:cNvSpPr txBox="1"/>
                        <wps:spPr>
                          <a:xfrm>
                            <a:off x="115738" y="1503056"/>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30</w:t>
                              </w:r>
                            </w:p>
                          </w:txbxContent>
                        </wps:txbx>
                        <wps:bodyPr wrap="square" lIns="0" tIns="0" rIns="0" bIns="0" rtlCol="0">
                          <a:noAutofit/>
                        </wps:bodyPr>
                      </wps:wsp>
                      <wps:wsp>
                        <wps:cNvPr id="1236" name="Textbox 1236"/>
                        <wps:cNvSpPr txBox="1"/>
                        <wps:spPr>
                          <a:xfrm>
                            <a:off x="2514516" y="1503056"/>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60</w:t>
                              </w:r>
                            </w:p>
                          </w:txbxContent>
                        </wps:txbx>
                        <wps:bodyPr wrap="square" lIns="0" tIns="0" rIns="0" bIns="0" rtlCol="0">
                          <a:noAutofit/>
                        </wps:bodyPr>
                      </wps:wsp>
                      <wps:wsp>
                        <wps:cNvPr id="1237" name="Textbox 1237"/>
                        <wps:cNvSpPr txBox="1"/>
                        <wps:spPr>
                          <a:xfrm>
                            <a:off x="115738" y="1806472"/>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20</w:t>
                              </w:r>
                            </w:p>
                          </w:txbxContent>
                        </wps:txbx>
                        <wps:bodyPr wrap="square" lIns="0" tIns="0" rIns="0" bIns="0" rtlCol="0">
                          <a:noAutofit/>
                        </wps:bodyPr>
                      </wps:wsp>
                      <wps:wsp>
                        <wps:cNvPr id="1238" name="Textbox 1238"/>
                        <wps:cNvSpPr txBox="1"/>
                        <wps:spPr>
                          <a:xfrm>
                            <a:off x="2514516" y="1806472"/>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40</w:t>
                              </w:r>
                            </w:p>
                          </w:txbxContent>
                        </wps:txbx>
                        <wps:bodyPr wrap="square" lIns="0" tIns="0" rIns="0" bIns="0" rtlCol="0">
                          <a:noAutofit/>
                        </wps:bodyPr>
                      </wps:wsp>
                      <wps:wsp>
                        <wps:cNvPr id="1239" name="Textbox 1239"/>
                        <wps:cNvSpPr txBox="1"/>
                        <wps:spPr>
                          <a:xfrm>
                            <a:off x="115738" y="2109887"/>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10</w:t>
                              </w:r>
                            </w:p>
                          </w:txbxContent>
                        </wps:txbx>
                        <wps:bodyPr wrap="square" lIns="0" tIns="0" rIns="0" bIns="0" rtlCol="0">
                          <a:noAutofit/>
                        </wps:bodyPr>
                      </wps:wsp>
                      <wps:wsp>
                        <wps:cNvPr id="1240" name="Textbox 1240"/>
                        <wps:cNvSpPr txBox="1"/>
                        <wps:spPr>
                          <a:xfrm>
                            <a:off x="2506692" y="2109887"/>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20</w:t>
                              </w:r>
                            </w:p>
                          </w:txbxContent>
                        </wps:txbx>
                        <wps:bodyPr wrap="square" lIns="0" tIns="0" rIns="0" bIns="0" rtlCol="0">
                          <a:noAutofit/>
                        </wps:bodyPr>
                      </wps:wsp>
                      <wps:wsp>
                        <wps:cNvPr id="1241" name="Textbox 1241"/>
                        <wps:cNvSpPr txBox="1"/>
                        <wps:spPr>
                          <a:xfrm>
                            <a:off x="158410" y="2413303"/>
                            <a:ext cx="125095" cy="164465"/>
                          </a:xfrm>
                          <a:prstGeom prst="rect">
                            <a:avLst/>
                          </a:prstGeom>
                        </wps:spPr>
                        <wps:txbx>
                          <w:txbxContent>
                            <w:p>
                              <w:pPr>
                                <w:spacing w:line="235" w:lineRule="auto" w:before="0"/>
                                <w:ind w:left="0" w:right="0" w:firstLine="0"/>
                                <w:jc w:val="left"/>
                                <w:rPr>
                                  <w:rFonts w:ascii="Arial"/>
                                  <w:sz w:val="14"/>
                                </w:rPr>
                              </w:pPr>
                              <w:r>
                                <w:rPr>
                                  <w:rFonts w:ascii="Arial"/>
                                  <w:color w:val="231F20"/>
                                  <w:spacing w:val="-4"/>
                                  <w:sz w:val="14"/>
                                </w:rPr>
                                <w:t>0</w:t>
                              </w:r>
                              <w:r>
                                <w:rPr>
                                  <w:rFonts w:ascii="Arial"/>
                                  <w:color w:val="231F20"/>
                                  <w:spacing w:val="-6"/>
                                  <w:sz w:val="14"/>
                                </w:rPr>
                                <w:t> </w:t>
                              </w:r>
                              <w:r>
                                <w:rPr>
                                  <w:rFonts w:ascii="Arial"/>
                                  <w:color w:val="231F20"/>
                                  <w:spacing w:val="-12"/>
                                  <w:position w:val="-9"/>
                                  <w:sz w:val="14"/>
                                </w:rPr>
                                <w:t>0</w:t>
                              </w:r>
                            </w:p>
                          </w:txbxContent>
                        </wps:txbx>
                        <wps:bodyPr wrap="square" lIns="0" tIns="0" rIns="0" bIns="0" rtlCol="0">
                          <a:noAutofit/>
                        </wps:bodyPr>
                      </wps:wsp>
                      <wps:wsp>
                        <wps:cNvPr id="1242" name="Textbox 1242"/>
                        <wps:cNvSpPr txBox="1"/>
                        <wps:spPr>
                          <a:xfrm>
                            <a:off x="895391" y="2476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10</w:t>
                              </w:r>
                            </w:p>
                          </w:txbxContent>
                        </wps:txbx>
                        <wps:bodyPr wrap="square" lIns="0" tIns="0" rIns="0" bIns="0" rtlCol="0">
                          <a:noAutofit/>
                        </wps:bodyPr>
                      </wps:wsp>
                      <wps:wsp>
                        <wps:cNvPr id="1243" name="Textbox 1243"/>
                        <wps:cNvSpPr txBox="1"/>
                        <wps:spPr>
                          <a:xfrm>
                            <a:off x="1584455" y="2476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20</w:t>
                              </w:r>
                            </w:p>
                          </w:txbxContent>
                        </wps:txbx>
                        <wps:bodyPr wrap="square" lIns="0" tIns="0" rIns="0" bIns="0" rtlCol="0">
                          <a:noAutofit/>
                        </wps:bodyPr>
                      </wps:wsp>
                      <wps:wsp>
                        <wps:cNvPr id="1244" name="Textbox 1244"/>
                        <wps:cNvSpPr txBox="1"/>
                        <wps:spPr>
                          <a:xfrm>
                            <a:off x="2273519" y="2476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30</w:t>
                              </w:r>
                            </w:p>
                          </w:txbxContent>
                        </wps:txbx>
                        <wps:bodyPr wrap="square" lIns="0" tIns="0" rIns="0" bIns="0" rtlCol="0">
                          <a:noAutofit/>
                        </wps:bodyPr>
                      </wps:wsp>
                      <wps:wsp>
                        <wps:cNvPr id="1245" name="Textbox 1245"/>
                        <wps:cNvSpPr txBox="1"/>
                        <wps:spPr>
                          <a:xfrm>
                            <a:off x="2549364" y="2413303"/>
                            <a:ext cx="125095" cy="164465"/>
                          </a:xfrm>
                          <a:prstGeom prst="rect">
                            <a:avLst/>
                          </a:prstGeom>
                        </wps:spPr>
                        <wps:txbx>
                          <w:txbxContent>
                            <w:p>
                              <w:pPr>
                                <w:spacing w:line="235" w:lineRule="auto" w:before="0"/>
                                <w:ind w:left="0" w:right="0" w:firstLine="0"/>
                                <w:jc w:val="left"/>
                                <w:rPr>
                                  <w:rFonts w:ascii="Arial"/>
                                  <w:sz w:val="14"/>
                                </w:rPr>
                              </w:pPr>
                              <w:r>
                                <w:rPr>
                                  <w:rFonts w:ascii="Arial"/>
                                  <w:color w:val="231F20"/>
                                  <w:spacing w:val="-4"/>
                                  <w:sz w:val="14"/>
                                </w:rPr>
                                <w:t>0</w:t>
                              </w:r>
                              <w:r>
                                <w:rPr>
                                  <w:rFonts w:ascii="Arial"/>
                                  <w:color w:val="231F20"/>
                                  <w:spacing w:val="-6"/>
                                  <w:sz w:val="14"/>
                                </w:rPr>
                                <w:t> </w:t>
                              </w:r>
                              <w:r>
                                <w:rPr>
                                  <w:rFonts w:ascii="Arial"/>
                                  <w:color w:val="231F20"/>
                                  <w:spacing w:val="-12"/>
                                  <w:position w:val="-9"/>
                                  <w:sz w:val="14"/>
                                </w:rPr>
                                <w:t>0</w:t>
                              </w:r>
                            </w:p>
                          </w:txbxContent>
                        </wps:txbx>
                        <wps:bodyPr wrap="square" lIns="0" tIns="0" rIns="0" bIns="0" rtlCol="0">
                          <a:noAutofit/>
                        </wps:bodyPr>
                      </wps:wsp>
                      <wps:wsp>
                        <wps:cNvPr id="1246" name="Textbox 1246"/>
                        <wps:cNvSpPr txBox="1"/>
                        <wps:spPr>
                          <a:xfrm>
                            <a:off x="3032092" y="2476689"/>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5</w:t>
                              </w:r>
                            </w:p>
                          </w:txbxContent>
                        </wps:txbx>
                        <wps:bodyPr wrap="square" lIns="0" tIns="0" rIns="0" bIns="0" rtlCol="0">
                          <a:noAutofit/>
                        </wps:bodyPr>
                      </wps:wsp>
                      <wps:wsp>
                        <wps:cNvPr id="1247" name="Textbox 1247"/>
                        <wps:cNvSpPr txBox="1"/>
                        <wps:spPr>
                          <a:xfrm>
                            <a:off x="3424140" y="2476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10</w:t>
                              </w:r>
                            </w:p>
                          </w:txbxContent>
                        </wps:txbx>
                        <wps:bodyPr wrap="square" lIns="0" tIns="0" rIns="0" bIns="0" rtlCol="0">
                          <a:noAutofit/>
                        </wps:bodyPr>
                      </wps:wsp>
                      <wps:wsp>
                        <wps:cNvPr id="1248" name="Textbox 1248"/>
                        <wps:cNvSpPr txBox="1"/>
                        <wps:spPr>
                          <a:xfrm>
                            <a:off x="3837525" y="2476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15</w:t>
                              </w:r>
                            </w:p>
                          </w:txbxContent>
                        </wps:txbx>
                        <wps:bodyPr wrap="square" lIns="0" tIns="0" rIns="0" bIns="0" rtlCol="0">
                          <a:noAutofit/>
                        </wps:bodyPr>
                      </wps:wsp>
                      <wps:wsp>
                        <wps:cNvPr id="1249" name="Textbox 1249"/>
                        <wps:cNvSpPr txBox="1"/>
                        <wps:spPr>
                          <a:xfrm>
                            <a:off x="4250999" y="2476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20</w:t>
                              </w:r>
                            </w:p>
                          </w:txbxContent>
                        </wps:txbx>
                        <wps:bodyPr wrap="square" lIns="0" tIns="0" rIns="0" bIns="0" rtlCol="0">
                          <a:noAutofit/>
                        </wps:bodyPr>
                      </wps:wsp>
                      <wps:wsp>
                        <wps:cNvPr id="1250" name="Textbox 1250"/>
                        <wps:cNvSpPr txBox="1"/>
                        <wps:spPr>
                          <a:xfrm>
                            <a:off x="4664473" y="2476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25</w:t>
                              </w:r>
                            </w:p>
                          </w:txbxContent>
                        </wps:txbx>
                        <wps:bodyPr wrap="square" lIns="0" tIns="0" rIns="0" bIns="0" rtlCol="0">
                          <a:noAutofit/>
                        </wps:bodyPr>
                      </wps:wsp>
                      <wps:wsp>
                        <wps:cNvPr id="1251" name="Textbox 1251"/>
                        <wps:cNvSpPr txBox="1"/>
                        <wps:spPr>
                          <a:xfrm>
                            <a:off x="76386" y="2603765"/>
                            <a:ext cx="3971925" cy="375285"/>
                          </a:xfrm>
                          <a:prstGeom prst="rect">
                            <a:avLst/>
                          </a:prstGeom>
                        </wps:spPr>
                        <wps:txbx>
                          <w:txbxContent>
                            <w:p>
                              <w:pPr>
                                <w:tabs>
                                  <w:tab w:pos="5094" w:val="left" w:leader="none"/>
                                </w:tabs>
                                <w:spacing w:line="159" w:lineRule="exact" w:before="0"/>
                                <w:ind w:left="1329" w:right="0" w:firstLine="0"/>
                                <w:jc w:val="left"/>
                                <w:rPr>
                                  <w:rFonts w:ascii="Arial"/>
                                  <w:sz w:val="14"/>
                                </w:rPr>
                              </w:pPr>
                              <w:r>
                                <w:rPr>
                                  <w:rFonts w:ascii="Arial"/>
                                  <w:color w:val="231F20"/>
                                  <w:w w:val="80"/>
                                  <w:sz w:val="14"/>
                                </w:rPr>
                                <w:t>Mean</w:t>
                              </w:r>
                              <w:r>
                                <w:rPr>
                                  <w:rFonts w:ascii="Arial"/>
                                  <w:color w:val="231F20"/>
                                  <w:spacing w:val="-7"/>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6"/>
                                  <w:sz w:val="14"/>
                                </w:rPr>
                                <w:t> </w:t>
                              </w:r>
                              <w:r>
                                <w:rPr>
                                  <w:rFonts w:ascii="Arial"/>
                                  <w:color w:val="231F20"/>
                                  <w:spacing w:val="-2"/>
                                  <w:w w:val="80"/>
                                  <w:sz w:val="14"/>
                                </w:rPr>
                                <w:t>(days)</w:t>
                              </w:r>
                              <w:r>
                                <w:rPr>
                                  <w:rFonts w:ascii="Arial"/>
                                  <w:color w:val="231F20"/>
                                  <w:sz w:val="14"/>
                                </w:rPr>
                                <w:tab/>
                              </w:r>
                              <w:r>
                                <w:rPr>
                                  <w:rFonts w:ascii="Arial"/>
                                  <w:color w:val="231F20"/>
                                  <w:w w:val="80"/>
                                  <w:sz w:val="14"/>
                                </w:rPr>
                                <w:t>Mean</w:t>
                              </w:r>
                              <w:r>
                                <w:rPr>
                                  <w:rFonts w:ascii="Arial"/>
                                  <w:color w:val="231F20"/>
                                  <w:spacing w:val="-9"/>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6"/>
                                  <w:sz w:val="14"/>
                                </w:rPr>
                                <w:t> </w:t>
                              </w:r>
                              <w:r>
                                <w:rPr>
                                  <w:rFonts w:ascii="Arial"/>
                                  <w:color w:val="231F20"/>
                                  <w:spacing w:val="-2"/>
                                  <w:w w:val="80"/>
                                  <w:sz w:val="14"/>
                                </w:rPr>
                                <w:t>(days)</w:t>
                              </w:r>
                            </w:p>
                            <w:p>
                              <w:pPr>
                                <w:spacing w:before="146"/>
                                <w:ind w:left="0" w:right="0" w:firstLine="0"/>
                                <w:jc w:val="left"/>
                                <w:rPr>
                                  <w:rFonts w:ascii="Arial"/>
                                  <w:sz w:val="12"/>
                                </w:rPr>
                              </w:pPr>
                              <w:r>
                                <w:rPr>
                                  <w:rFonts w:ascii="Arial"/>
                                  <w:i/>
                                  <w:color w:val="231F20"/>
                                  <w:w w:val="75"/>
                                  <w:sz w:val="12"/>
                                </w:rPr>
                                <w:t>Source:</w:t>
                              </w:r>
                              <w:r>
                                <w:rPr>
                                  <w:rFonts w:ascii="Arial"/>
                                  <w:i/>
                                  <w:color w:val="231F20"/>
                                  <w:spacing w:val="-4"/>
                                  <w:sz w:val="12"/>
                                </w:rPr>
                                <w:t> </w:t>
                              </w:r>
                              <w:r>
                                <w:rPr>
                                  <w:rFonts w:ascii="Arial"/>
                                  <w:color w:val="231F20"/>
                                  <w:w w:val="75"/>
                                  <w:sz w:val="12"/>
                                </w:rPr>
                                <w:t>TradeLens</w:t>
                              </w:r>
                              <w:r>
                                <w:rPr>
                                  <w:rFonts w:ascii="Arial"/>
                                  <w:color w:val="231F20"/>
                                  <w:spacing w:val="2"/>
                                  <w:sz w:val="12"/>
                                </w:rPr>
                                <w:t> </w:t>
                              </w:r>
                              <w:r>
                                <w:rPr>
                                  <w:rFonts w:ascii="Arial"/>
                                  <w:color w:val="231F20"/>
                                  <w:w w:val="75"/>
                                  <w:sz w:val="12"/>
                                </w:rPr>
                                <w:t>and</w:t>
                              </w:r>
                              <w:r>
                                <w:rPr>
                                  <w:rFonts w:ascii="Arial"/>
                                  <w:color w:val="231F20"/>
                                  <w:spacing w:val="1"/>
                                  <w:sz w:val="12"/>
                                </w:rPr>
                                <w:t> </w:t>
                              </w:r>
                              <w:r>
                                <w:rPr>
                                  <w:rFonts w:ascii="Arial"/>
                                  <w:color w:val="231F20"/>
                                  <w:w w:val="75"/>
                                  <w:sz w:val="12"/>
                                </w:rPr>
                                <w:t>Cargo</w:t>
                              </w:r>
                              <w:r>
                                <w:rPr>
                                  <w:rFonts w:ascii="Arial"/>
                                  <w:color w:val="231F20"/>
                                  <w:spacing w:val="2"/>
                                  <w:sz w:val="12"/>
                                </w:rPr>
                                <w:t> </w:t>
                              </w:r>
                              <w:r>
                                <w:rPr>
                                  <w:rFonts w:ascii="Arial"/>
                                  <w:color w:val="231F20"/>
                                  <w:spacing w:val="-5"/>
                                  <w:w w:val="75"/>
                                  <w:sz w:val="12"/>
                                </w:rPr>
                                <w:t>iQ.</w:t>
                              </w:r>
                            </w:p>
                            <w:p>
                              <w:pPr>
                                <w:spacing w:before="2"/>
                                <w:ind w:left="0" w:right="0" w:firstLine="0"/>
                                <w:jc w:val="left"/>
                                <w:rPr>
                                  <w:rFonts w:ascii="Arial"/>
                                  <w:sz w:val="12"/>
                                </w:rPr>
                              </w:pPr>
                              <w:r>
                                <w:rPr>
                                  <w:rFonts w:ascii="Arial"/>
                                  <w:i/>
                                  <w:color w:val="231F20"/>
                                  <w:w w:val="80"/>
                                  <w:sz w:val="12"/>
                                </w:rPr>
                                <w:t>Note:</w:t>
                              </w:r>
                              <w:r>
                                <w:rPr>
                                  <w:rFonts w:ascii="Arial"/>
                                  <w:i/>
                                  <w:color w:val="231F20"/>
                                  <w:spacing w:val="-2"/>
                                  <w:w w:val="80"/>
                                  <w:sz w:val="12"/>
                                </w:rPr>
                                <w:t> </w:t>
                              </w:r>
                              <w:r>
                                <w:rPr>
                                  <w:rFonts w:ascii="Arial"/>
                                  <w:color w:val="231F20"/>
                                  <w:w w:val="80"/>
                                  <w:sz w:val="12"/>
                                </w:rPr>
                                <w:t>Data</w:t>
                              </w:r>
                              <w:r>
                                <w:rPr>
                                  <w:rFonts w:ascii="Arial"/>
                                  <w:color w:val="231F20"/>
                                  <w:spacing w:val="-6"/>
                                  <w:sz w:val="12"/>
                                </w:rPr>
                                <w:t> </w:t>
                              </w:r>
                              <w:r>
                                <w:rPr>
                                  <w:rFonts w:ascii="Arial"/>
                                  <w:color w:val="231F20"/>
                                  <w:w w:val="80"/>
                                  <w:sz w:val="12"/>
                                </w:rPr>
                                <w:t>on</w:t>
                              </w:r>
                              <w:r>
                                <w:rPr>
                                  <w:rFonts w:ascii="Arial"/>
                                  <w:color w:val="231F20"/>
                                  <w:spacing w:val="-6"/>
                                  <w:sz w:val="12"/>
                                </w:rPr>
                                <w:t> </w:t>
                              </w:r>
                              <w:r>
                                <w:rPr>
                                  <w:rFonts w:ascii="Arial"/>
                                  <w:color w:val="231F20"/>
                                  <w:w w:val="80"/>
                                  <w:sz w:val="12"/>
                                </w:rPr>
                                <w:t>ports</w:t>
                              </w:r>
                              <w:r>
                                <w:rPr>
                                  <w:rFonts w:ascii="Arial"/>
                                  <w:color w:val="231F20"/>
                                  <w:spacing w:val="-1"/>
                                  <w:w w:val="80"/>
                                  <w:sz w:val="12"/>
                                </w:rPr>
                                <w:t> </w:t>
                              </w:r>
                              <w:r>
                                <w:rPr>
                                  <w:rFonts w:ascii="Arial"/>
                                  <w:color w:val="231F20"/>
                                  <w:w w:val="80"/>
                                  <w:sz w:val="12"/>
                                </w:rPr>
                                <w:t>cover</w:t>
                              </w:r>
                              <w:r>
                                <w:rPr>
                                  <w:rFonts w:ascii="Arial"/>
                                  <w:color w:val="231F20"/>
                                  <w:spacing w:val="-6"/>
                                  <w:sz w:val="12"/>
                                </w:rPr>
                                <w:t> </w:t>
                              </w:r>
                              <w:r>
                                <w:rPr>
                                  <w:rFonts w:ascii="Arial"/>
                                  <w:color w:val="231F20"/>
                                  <w:w w:val="80"/>
                                  <w:sz w:val="12"/>
                                </w:rPr>
                                <w:t>370</w:t>
                              </w:r>
                              <w:r>
                                <w:rPr>
                                  <w:rFonts w:ascii="Arial"/>
                                  <w:color w:val="231F20"/>
                                  <w:spacing w:val="-7"/>
                                  <w:sz w:val="12"/>
                                </w:rPr>
                                <w:t> </w:t>
                              </w:r>
                              <w:r>
                                <w:rPr>
                                  <w:rFonts w:ascii="Arial"/>
                                  <w:color w:val="231F20"/>
                                  <w:w w:val="80"/>
                                  <w:sz w:val="12"/>
                                </w:rPr>
                                <w:t>ports,</w:t>
                              </w:r>
                              <w:r>
                                <w:rPr>
                                  <w:rFonts w:ascii="Arial"/>
                                  <w:color w:val="231F20"/>
                                  <w:spacing w:val="-2"/>
                                  <w:w w:val="80"/>
                                  <w:sz w:val="12"/>
                                </w:rPr>
                                <w:t> </w:t>
                              </w:r>
                              <w:r>
                                <w:rPr>
                                  <w:rFonts w:ascii="Arial"/>
                                  <w:color w:val="231F20"/>
                                  <w:w w:val="80"/>
                                  <w:sz w:val="12"/>
                                </w:rPr>
                                <w:t>and</w:t>
                              </w:r>
                              <w:r>
                                <w:rPr>
                                  <w:rFonts w:ascii="Arial"/>
                                  <w:color w:val="231F20"/>
                                  <w:spacing w:val="-7"/>
                                  <w:sz w:val="12"/>
                                </w:rPr>
                                <w:t> </w:t>
                              </w:r>
                              <w:r>
                                <w:rPr>
                                  <w:rFonts w:ascii="Arial"/>
                                  <w:color w:val="231F20"/>
                                  <w:w w:val="80"/>
                                  <w:sz w:val="12"/>
                                </w:rPr>
                                <w:t>data</w:t>
                              </w:r>
                              <w:r>
                                <w:rPr>
                                  <w:rFonts w:ascii="Arial"/>
                                  <w:color w:val="231F20"/>
                                  <w:spacing w:val="-6"/>
                                  <w:sz w:val="12"/>
                                </w:rPr>
                                <w:t> </w:t>
                              </w:r>
                              <w:r>
                                <w:rPr>
                                  <w:rFonts w:ascii="Arial"/>
                                  <w:color w:val="231F20"/>
                                  <w:w w:val="80"/>
                                  <w:sz w:val="12"/>
                                </w:rPr>
                                <w:t>on</w:t>
                              </w:r>
                              <w:r>
                                <w:rPr>
                                  <w:rFonts w:ascii="Arial"/>
                                  <w:color w:val="231F20"/>
                                  <w:spacing w:val="-7"/>
                                  <w:sz w:val="12"/>
                                </w:rPr>
                                <w:t> </w:t>
                              </w:r>
                              <w:r>
                                <w:rPr>
                                  <w:rFonts w:ascii="Arial"/>
                                  <w:color w:val="231F20"/>
                                  <w:w w:val="80"/>
                                  <w:sz w:val="12"/>
                                </w:rPr>
                                <w:t>airports</w:t>
                              </w:r>
                              <w:r>
                                <w:rPr>
                                  <w:rFonts w:ascii="Arial"/>
                                  <w:color w:val="231F20"/>
                                  <w:spacing w:val="-6"/>
                                  <w:sz w:val="12"/>
                                </w:rPr>
                                <w:t> </w:t>
                              </w:r>
                              <w:r>
                                <w:rPr>
                                  <w:rFonts w:ascii="Arial"/>
                                  <w:color w:val="231F20"/>
                                  <w:w w:val="80"/>
                                  <w:sz w:val="12"/>
                                </w:rPr>
                                <w:t>cover</w:t>
                              </w:r>
                              <w:r>
                                <w:rPr>
                                  <w:rFonts w:ascii="Arial"/>
                                  <w:color w:val="231F20"/>
                                  <w:spacing w:val="-7"/>
                                  <w:sz w:val="12"/>
                                </w:rPr>
                                <w:t> </w:t>
                              </w:r>
                              <w:r>
                                <w:rPr>
                                  <w:rFonts w:ascii="Arial"/>
                                  <w:color w:val="231F20"/>
                                  <w:w w:val="80"/>
                                  <w:sz w:val="12"/>
                                </w:rPr>
                                <w:t>470</w:t>
                              </w:r>
                              <w:r>
                                <w:rPr>
                                  <w:rFonts w:ascii="Arial"/>
                                  <w:color w:val="231F20"/>
                                  <w:spacing w:val="-6"/>
                                  <w:sz w:val="12"/>
                                </w:rPr>
                                <w:t> </w:t>
                              </w:r>
                              <w:r>
                                <w:rPr>
                                  <w:rFonts w:ascii="Arial"/>
                                  <w:color w:val="231F20"/>
                                  <w:w w:val="80"/>
                                  <w:sz w:val="12"/>
                                </w:rPr>
                                <w:t>airports</w:t>
                              </w:r>
                              <w:r>
                                <w:rPr>
                                  <w:rFonts w:ascii="Arial"/>
                                  <w:color w:val="231F20"/>
                                  <w:spacing w:val="-6"/>
                                  <w:sz w:val="12"/>
                                </w:rPr>
                                <w:t> </w:t>
                              </w:r>
                              <w:r>
                                <w:rPr>
                                  <w:rFonts w:ascii="Arial"/>
                                  <w:color w:val="231F20"/>
                                  <w:w w:val="80"/>
                                  <w:sz w:val="12"/>
                                </w:rPr>
                                <w:t>that</w:t>
                              </w:r>
                              <w:r>
                                <w:rPr>
                                  <w:rFonts w:ascii="Arial"/>
                                  <w:color w:val="231F20"/>
                                  <w:spacing w:val="-7"/>
                                  <w:sz w:val="12"/>
                                </w:rPr>
                                <w:t> </w:t>
                              </w:r>
                              <w:r>
                                <w:rPr>
                                  <w:rFonts w:ascii="Arial"/>
                                  <w:color w:val="231F20"/>
                                  <w:w w:val="80"/>
                                  <w:sz w:val="12"/>
                                </w:rPr>
                                <w:t>had</w:t>
                              </w:r>
                              <w:r>
                                <w:rPr>
                                  <w:rFonts w:ascii="Arial"/>
                                  <w:color w:val="231F20"/>
                                  <w:spacing w:val="-6"/>
                                  <w:sz w:val="12"/>
                                </w:rPr>
                                <w:t> </w:t>
                              </w:r>
                              <w:r>
                                <w:rPr>
                                  <w:rFonts w:ascii="Arial"/>
                                  <w:color w:val="231F20"/>
                                  <w:w w:val="80"/>
                                  <w:sz w:val="12"/>
                                </w:rPr>
                                <w:t>at</w:t>
                              </w:r>
                              <w:r>
                                <w:rPr>
                                  <w:rFonts w:ascii="Arial"/>
                                  <w:color w:val="231F20"/>
                                  <w:spacing w:val="-7"/>
                                  <w:sz w:val="12"/>
                                </w:rPr>
                                <w:t> </w:t>
                              </w:r>
                              <w:r>
                                <w:rPr>
                                  <w:rFonts w:ascii="Arial"/>
                                  <w:color w:val="231F20"/>
                                  <w:w w:val="80"/>
                                  <w:sz w:val="12"/>
                                </w:rPr>
                                <w:t>least</w:t>
                              </w:r>
                              <w:r>
                                <w:rPr>
                                  <w:rFonts w:ascii="Arial"/>
                                  <w:color w:val="231F20"/>
                                  <w:spacing w:val="-6"/>
                                  <w:sz w:val="12"/>
                                </w:rPr>
                                <w:t> </w:t>
                              </w:r>
                              <w:r>
                                <w:rPr>
                                  <w:rFonts w:ascii="Arial"/>
                                  <w:color w:val="231F20"/>
                                  <w:w w:val="80"/>
                                  <w:sz w:val="12"/>
                                </w:rPr>
                                <w:t>120</w:t>
                              </w:r>
                              <w:r>
                                <w:rPr>
                                  <w:rFonts w:ascii="Arial"/>
                                  <w:color w:val="231F20"/>
                                  <w:spacing w:val="-7"/>
                                  <w:sz w:val="12"/>
                                </w:rPr>
                                <w:t> </w:t>
                              </w:r>
                              <w:r>
                                <w:rPr>
                                  <w:rFonts w:ascii="Arial"/>
                                  <w:color w:val="231F20"/>
                                  <w:spacing w:val="-2"/>
                                  <w:w w:val="80"/>
                                  <w:sz w:val="12"/>
                                </w:rPr>
                                <w:t>records.</w:t>
                              </w:r>
                            </w:p>
                          </w:txbxContent>
                        </wps:txbx>
                        <wps:bodyPr wrap="square" lIns="0" tIns="0" rIns="0" bIns="0" rtlCol="0">
                          <a:noAutofit/>
                        </wps:bodyPr>
                      </wps:wsp>
                    </wpg:wgp>
                  </a:graphicData>
                </a:graphic>
              </wp:inline>
            </w:drawing>
          </mc:Choice>
          <mc:Fallback>
            <w:pict>
              <v:group style="width:384.05pt;height:242.9pt;mso-position-horizontal-relative:char;mso-position-vertical-relative:line" id="docshapegroup914" coordorigin="0,0" coordsize="7681,4858">
                <v:shape style="position:absolute;left:0;top:406;width:7680;height:4451" id="docshape915" coordorigin="0,406" coordsize="7680,4451" path="m7680,406l0,406,0,4739,10,4785,36,4823,74,4848,119,4857,7556,4857,7602,4849,7642,4825,7670,4788,7680,4739,7680,406xe" filled="true" fillcolor="#dfeaf7" stroked="false">
                  <v:path arrowok="t"/>
                  <v:fill type="solid"/>
                </v:shape>
                <v:line style="position:absolute" from="4157,3875" to="7413,3875" stroked="true" strokeweight=".5pt" strokecolor="#ffffff">
                  <v:stroke dashstyle="solid"/>
                </v:line>
                <v:line style="position:absolute" from="4157,3397" to="7413,3397" stroked="true" strokeweight=".5pt" strokecolor="#ffffff">
                  <v:stroke dashstyle="solid"/>
                </v:line>
                <v:line style="position:absolute" from="4157,2919" to="7413,2919" stroked="true" strokeweight=".5pt" strokecolor="#ffffff">
                  <v:stroke dashstyle="solid"/>
                </v:line>
                <v:line style="position:absolute" from="4157,2442" to="7413,2442" stroked="true" strokeweight=".5pt" strokecolor="#ffffff">
                  <v:stroke dashstyle="solid"/>
                </v:line>
                <v:line style="position:absolute" from="4157,1964" to="7413,1964" stroked="true" strokeweight=".5pt" strokecolor="#ffffff">
                  <v:stroke dashstyle="solid"/>
                </v:line>
                <v:line style="position:absolute" from="4157,1486" to="7413,1486" stroked="true" strokeweight=".5pt" strokecolor="#ffffff">
                  <v:stroke dashstyle="solid"/>
                </v:line>
                <v:line style="position:absolute" from="4157,1008" to="7413,1008" stroked="true" strokeweight=".5pt" strokecolor="#ffffff">
                  <v:stroke dashstyle="solid"/>
                </v:line>
                <v:line style="position:absolute" from="392,3875" to="3647,3875" stroked="true" strokeweight=".5pt" strokecolor="#ffffff">
                  <v:stroke dashstyle="solid"/>
                </v:line>
                <v:shape style="position:absolute;left:392;top:1485;width:3256;height:1912" id="docshape916" coordorigin="392,1486" coordsize="3256,1912" path="m392,3397l659,3397m1659,3397l3647,3397m392,2919l659,2919m1436,2919l3647,2919m392,2442l770,2442m1325,2442l3647,2442m392,1964l881,1964m1325,1964l3647,1964m392,1486l881,1486m1103,1486l3647,1486e" filled="false" stroked="true" strokeweight=".5pt" strokecolor="#ffffff">
                  <v:path arrowok="t"/>
                  <v:stroke dashstyle="solid"/>
                </v:shape>
                <v:line style="position:absolute" from="392,1008" to="3647,1008" stroked="true" strokeweight=".5pt" strokecolor="#ffffff">
                  <v:stroke dashstyle="solid"/>
                </v:line>
                <v:shape style="position:absolute;left:0;top:0;width:807;height:365" id="docshape917" coordorigin="0,0" coordsize="807,365" path="m807,0l120,0,74,5,36,23,10,59,0,120,0,365,807,365,807,0xe" filled="true" fillcolor="#008fdd" stroked="false">
                  <v:path arrowok="t"/>
                  <v:fill type="solid"/>
                </v:shape>
                <v:shape style="position:absolute;left:806;top:0;width:6873;height:365" id="docshape918" coordorigin="807,0" coordsize="6873,365" path="m7559,0l807,0,807,365,7679,365,7679,120,7671,80,7646,41,7608,12,7559,0xe" filled="true" fillcolor="#808285" stroked="false">
                  <v:path arrowok="t"/>
                  <v:fill type="solid"/>
                </v:shape>
                <v:line style="position:absolute" from="807,0" to="807,379" stroked="true" strokeweight="2pt" strokecolor="#ffffff">
                  <v:stroke dashstyle="solid"/>
                </v:line>
                <v:rect style="position:absolute;left:436;top:3588;width:112;height:287" id="docshape919" filled="true" fillcolor="#008fdd" stroked="false">
                  <v:fill type="solid"/>
                </v:rect>
                <v:rect style="position:absolute;left:436;top:3588;width:112;height:287" id="docshape920" filled="false" stroked="true" strokeweight=".25pt" strokecolor="#ffffff">
                  <v:stroke dashstyle="solid"/>
                </v:rect>
                <v:rect style="position:absolute;left:547;top:3397;width:112;height:478" id="docshape921" filled="true" fillcolor="#008fdd" stroked="false">
                  <v:fill type="solid"/>
                </v:rect>
                <v:rect style="position:absolute;left:547;top:3397;width:112;height:478" id="docshape922" filled="false" stroked="true" strokeweight=".25pt" strokecolor="#ffffff">
                  <v:stroke dashstyle="solid"/>
                </v:rect>
                <v:rect style="position:absolute;left:658;top:2823;width:112;height:1052" id="docshape923" filled="true" fillcolor="#008fdd" stroked="false">
                  <v:fill type="solid"/>
                </v:rect>
                <v:rect style="position:absolute;left:658;top:2823;width:112;height:1052" id="docshape924" filled="false" stroked="true" strokeweight=".25pt" strokecolor="#ffffff">
                  <v:stroke dashstyle="solid"/>
                </v:rect>
                <v:rect style="position:absolute;left:769;top:2106;width:112;height:1769" id="docshape925" filled="true" fillcolor="#008fdd" stroked="false">
                  <v:fill type="solid"/>
                </v:rect>
                <v:rect style="position:absolute;left:769;top:2106;width:112;height:1769" id="docshape926" filled="false" stroked="true" strokeweight=".25pt" strokecolor="#ffffff">
                  <v:stroke dashstyle="solid"/>
                </v:rect>
                <v:rect style="position:absolute;left:880;top:1150;width:112;height:2725" id="docshape927" filled="true" fillcolor="#008fdd" stroked="false">
                  <v:fill type="solid"/>
                </v:rect>
                <v:rect style="position:absolute;left:880;top:1150;width:112;height:2725" id="docshape928" filled="false" stroked="true" strokeweight=".25pt" strokecolor="#ffffff">
                  <v:stroke dashstyle="solid"/>
                </v:rect>
                <v:rect style="position:absolute;left:991;top:1294;width:112;height:2581" id="docshape929" filled="true" fillcolor="#008fdd" stroked="false">
                  <v:fill type="solid"/>
                </v:rect>
                <v:rect style="position:absolute;left:991;top:1294;width:112;height:2581" id="docshape930" filled="false" stroked="true" strokeweight=".25pt" strokecolor="#ffffff">
                  <v:stroke dashstyle="solid"/>
                </v:rect>
                <v:rect style="position:absolute;left:1102;top:1772;width:112;height:2103" id="docshape931" filled="true" fillcolor="#008fdd" stroked="false">
                  <v:fill type="solid"/>
                </v:rect>
                <v:rect style="position:absolute;left:1102;top:1772;width:112;height:2103" id="docshape932" filled="false" stroked="true" strokeweight=".25pt" strokecolor="#ffffff">
                  <v:stroke dashstyle="solid"/>
                </v:rect>
                <v:rect style="position:absolute;left:1213;top:1533;width:112;height:2342" id="docshape933" filled="true" fillcolor="#008fdd" stroked="false">
                  <v:fill type="solid"/>
                </v:rect>
                <v:rect style="position:absolute;left:1213;top:1533;width:112;height:2342" id="docshape934" filled="false" stroked="true" strokeweight=".25pt" strokecolor="#ffffff">
                  <v:stroke dashstyle="solid"/>
                </v:rect>
                <v:rect style="position:absolute;left:1325;top:2537;width:112;height:1339" id="docshape935" filled="true" fillcolor="#008fdd" stroked="false">
                  <v:fill type="solid"/>
                </v:rect>
                <v:rect style="position:absolute;left:1325;top:2537;width:112;height:1339" id="docshape936" filled="false" stroked="true" strokeweight=".25pt" strokecolor="#ffffff">
                  <v:stroke dashstyle="solid"/>
                </v:rect>
                <v:rect style="position:absolute;left:1436;top:3206;width:112;height:670" id="docshape937" filled="true" fillcolor="#008fdd" stroked="false">
                  <v:fill type="solid"/>
                </v:rect>
                <v:rect style="position:absolute;left:1436;top:3206;width:112;height:670" id="docshape938" filled="false" stroked="true" strokeweight=".25pt" strokecolor="#ffffff">
                  <v:stroke dashstyle="solid"/>
                </v:rect>
                <v:rect style="position:absolute;left:1547;top:3206;width:112;height:670" id="docshape939" filled="true" fillcolor="#008fdd" stroked="false">
                  <v:fill type="solid"/>
                </v:rect>
                <v:rect style="position:absolute;left:1547;top:3206;width:112;height:670" id="docshape940" filled="false" stroked="true" strokeweight=".25pt" strokecolor="#ffffff">
                  <v:stroke dashstyle="solid"/>
                </v:rect>
                <v:rect style="position:absolute;left:1658;top:3588;width:112;height:287" id="docshape941" filled="true" fillcolor="#008fdd" stroked="false">
                  <v:fill type="solid"/>
                </v:rect>
                <v:rect style="position:absolute;left:1658;top:3588;width:112;height:287" id="docshape942" filled="false" stroked="true" strokeweight=".25pt" strokecolor="#ffffff">
                  <v:stroke dashstyle="solid"/>
                </v:rect>
                <v:rect style="position:absolute;left:1769;top:3588;width:112;height:287" id="docshape943" filled="true" fillcolor="#008fdd" stroked="false">
                  <v:fill type="solid"/>
                </v:rect>
                <v:rect style="position:absolute;left:1769;top:3588;width:112;height:287" id="docshape944" filled="false" stroked="true" strokeweight=".25pt" strokecolor="#ffffff">
                  <v:stroke dashstyle="solid"/>
                </v:rect>
                <v:rect style="position:absolute;left:1881;top:3731;width:112;height:144" id="docshape945" filled="true" fillcolor="#008fdd" stroked="false">
                  <v:fill type="solid"/>
                </v:rect>
                <v:rect style="position:absolute;left:1881;top:3731;width:112;height:144" id="docshape946" filled="false" stroked="true" strokeweight=".25pt" strokecolor="#ffffff">
                  <v:stroke dashstyle="solid"/>
                </v:rect>
                <v:rect style="position:absolute;left:1992;top:3588;width:112;height:287" id="docshape947" filled="true" fillcolor="#008fdd" stroked="false">
                  <v:fill type="solid"/>
                </v:rect>
                <v:rect style="position:absolute;left:1992;top:3588;width:112;height:287" id="docshape948" filled="false" stroked="true" strokeweight=".25pt" strokecolor="#ffffff">
                  <v:stroke dashstyle="solid"/>
                </v:rect>
                <v:rect style="position:absolute;left:2103;top:3683;width:112;height:192" id="docshape949" filled="true" fillcolor="#008fdd" stroked="false">
                  <v:fill type="solid"/>
                </v:rect>
                <v:rect style="position:absolute;left:2103;top:3683;width:112;height:192" id="docshape950" filled="false" stroked="true" strokeweight=".25pt" strokecolor="#ffffff">
                  <v:stroke dashstyle="solid"/>
                </v:rect>
                <v:rect style="position:absolute;left:2214;top:3731;width:112;height:144" id="docshape951" filled="true" fillcolor="#008fdd" stroked="false">
                  <v:fill type="solid"/>
                </v:rect>
                <v:rect style="position:absolute;left:2214;top:3731;width:112;height:144" id="docshape952" filled="false" stroked="true" strokeweight=".25pt" strokecolor="#ffffff">
                  <v:stroke dashstyle="solid"/>
                </v:rect>
                <v:shape style="position:absolute;left:2325;top:3875;width:112;height:2" id="docshape953" coordorigin="2325,3875" coordsize="112,0" path="m2437,3875l2325,3875e" filled="true" fillcolor="#008fdd" stroked="false">
                  <v:path arrowok="t"/>
                  <v:fill type="solid"/>
                </v:shape>
                <v:shape style="position:absolute;left:2325;top:3875;width:112;height:2" id="docshape954" coordorigin="2325,3875" coordsize="112,0" path="m2325,3875l2437,3875,2325,3875xe" filled="false" stroked="true" strokeweight=".25pt" strokecolor="#ffffff">
                  <v:path arrowok="t"/>
                  <v:stroke dashstyle="solid"/>
                </v:shape>
                <v:rect style="position:absolute;left:2436;top:3779;width:112;height:96" id="docshape955" filled="true" fillcolor="#008fdd" stroked="false">
                  <v:fill type="solid"/>
                </v:rect>
                <v:rect style="position:absolute;left:2436;top:3779;width:112;height:96" id="docshape956" filled="false" stroked="true" strokeweight=".25pt" strokecolor="#ffffff">
                  <v:stroke dashstyle="solid"/>
                </v:rect>
                <v:rect style="position:absolute;left:2547;top:3779;width:112;height:96" id="docshape957" filled="true" fillcolor="#008fdd" stroked="false">
                  <v:fill type="solid"/>
                </v:rect>
                <v:rect style="position:absolute;left:2547;top:3779;width:112;height:96" id="docshape958" filled="false" stroked="true" strokeweight=".25pt" strokecolor="#ffffff">
                  <v:stroke dashstyle="solid"/>
                </v:rect>
                <v:rect style="position:absolute;left:2659;top:3779;width:112;height:96" id="docshape959" filled="true" fillcolor="#008fdd" stroked="false">
                  <v:fill type="solid"/>
                </v:rect>
                <v:rect style="position:absolute;left:2659;top:3779;width:112;height:96" id="docshape960" filled="false" stroked="true" strokeweight=".25pt" strokecolor="#ffffff">
                  <v:stroke dashstyle="solid"/>
                </v:rect>
                <v:shape style="position:absolute;left:2770;top:3875;width:112;height:2" id="docshape961" coordorigin="2770,3875" coordsize="112,0" path="m2881,3875l2770,3875e" filled="true" fillcolor="#008fdd" stroked="false">
                  <v:path arrowok="t"/>
                  <v:fill type="solid"/>
                </v:shape>
                <v:shape style="position:absolute;left:2770;top:3875;width:112;height:2" id="docshape962" coordorigin="2770,3875" coordsize="112,0" path="m2770,3875l2881,3875,2770,3875xe" filled="false" stroked="true" strokeweight=".25pt" strokecolor="#ffffff">
                  <v:path arrowok="t"/>
                  <v:stroke dashstyle="solid"/>
                </v:shape>
                <v:rect style="position:absolute;left:2881;top:3827;width:112;height:49" id="docshape963" filled="true" fillcolor="#008fdd" stroked="false">
                  <v:fill type="solid"/>
                </v:rect>
                <v:rect style="position:absolute;left:2881;top:3827;width:112;height:49" id="docshape964" filled="false" stroked="true" strokeweight=".25pt" strokecolor="#ffffff">
                  <v:stroke dashstyle="solid"/>
                </v:rect>
                <v:shape style="position:absolute;left:2992;top:3875;width:112;height:2" id="docshape965" coordorigin="2993,3875" coordsize="112,0" path="m3104,3875l2993,3875e" filled="true" fillcolor="#008fdd" stroked="false">
                  <v:path arrowok="t"/>
                  <v:fill type="solid"/>
                </v:shape>
                <v:shape style="position:absolute;left:2992;top:3875;width:112;height:2" id="docshape966" coordorigin="2993,3875" coordsize="112,0" path="m2993,3875l3104,3875,2993,3875xe" filled="false" stroked="true" strokeweight=".25pt" strokecolor="#ffffff">
                  <v:path arrowok="t"/>
                  <v:stroke dashstyle="solid"/>
                </v:shape>
                <v:shape style="position:absolute;left:3103;top:3875;width:112;height:2" id="docshape967" coordorigin="3104,3875" coordsize="112,0" path="m3215,3875l3104,3875e" filled="true" fillcolor="#008fdd" stroked="false">
                  <v:path arrowok="t"/>
                  <v:fill type="solid"/>
                </v:shape>
                <v:shape style="position:absolute;left:3103;top:3875;width:112;height:2" id="docshape968" coordorigin="3104,3875" coordsize="112,0" path="m3104,3875l3215,3875,3104,3875xe" filled="false" stroked="true" strokeweight=".25pt" strokecolor="#ffffff">
                  <v:path arrowok="t"/>
                  <v:stroke dashstyle="solid"/>
                </v:shape>
                <v:rect style="position:absolute;left:3214;top:3827;width:112;height:49" id="docshape969" filled="true" fillcolor="#008fdd" stroked="false">
                  <v:fill type="solid"/>
                </v:rect>
                <v:rect style="position:absolute;left:3214;top:3827;width:112;height:49" id="docshape970" filled="false" stroked="true" strokeweight=".25pt" strokecolor="#ffffff">
                  <v:stroke dashstyle="solid"/>
                </v:rect>
                <v:rect style="position:absolute;left:4157;top:2847;width:69;height:1028" id="docshape971" filled="true" fillcolor="#008fdd" stroked="false">
                  <v:fill type="solid"/>
                </v:rect>
                <v:rect style="position:absolute;left:4157;top:2847;width:69;height:1028" id="docshape972" filled="false" stroked="true" strokeweight=".25pt" strokecolor="#ffffff">
                  <v:stroke dashstyle="solid"/>
                </v:rect>
                <v:rect style="position:absolute;left:4226;top:1939;width:69;height:1936" id="docshape973" filled="true" fillcolor="#008fdd" stroked="false">
                  <v:fill type="solid"/>
                </v:rect>
                <v:rect style="position:absolute;left:4226;top:1939;width:69;height:1936" id="docshape974" filled="false" stroked="true" strokeweight=".25pt" strokecolor="#ffffff">
                  <v:stroke dashstyle="solid"/>
                </v:rect>
                <v:rect style="position:absolute;left:4294;top:1151;width:69;height:2724" id="docshape975" filled="true" fillcolor="#008fdd" stroked="false">
                  <v:fill type="solid"/>
                </v:rect>
                <v:rect style="position:absolute;left:4294;top:1151;width:69;height:2724" id="docshape976" filled="false" stroked="true" strokeweight=".25pt" strokecolor="#ffffff">
                  <v:stroke dashstyle="solid"/>
                </v:rect>
                <v:rect style="position:absolute;left:4362;top:2226;width:69;height:1649" id="docshape977" filled="true" fillcolor="#008fdd" stroked="false">
                  <v:fill type="solid"/>
                </v:rect>
                <v:rect style="position:absolute;left:4362;top:2226;width:69;height:1649" id="docshape978" filled="false" stroked="true" strokeweight=".25pt" strokecolor="#ffffff">
                  <v:stroke dashstyle="solid"/>
                </v:rect>
                <v:rect style="position:absolute;left:4431;top:2728;width:69;height:1147" id="docshape979" filled="true" fillcolor="#008fdd" stroked="false">
                  <v:fill type="solid"/>
                </v:rect>
                <v:rect style="position:absolute;left:4431;top:2728;width:69;height:1147" id="docshape980" filled="false" stroked="true" strokeweight=".25pt" strokecolor="#ffffff">
                  <v:stroke dashstyle="solid"/>
                </v:rect>
                <v:rect style="position:absolute;left:4499;top:3062;width:69;height:813" id="docshape981" filled="true" fillcolor="#008fdd" stroked="false">
                  <v:fill type="solid"/>
                </v:rect>
                <v:rect style="position:absolute;left:4499;top:3062;width:69;height:813" id="docshape982" filled="false" stroked="true" strokeweight=".25pt" strokecolor="#ffffff">
                  <v:stroke dashstyle="solid"/>
                </v:rect>
                <v:rect style="position:absolute;left:4567;top:3301;width:69;height:574" id="docshape983" filled="true" fillcolor="#008fdd" stroked="false">
                  <v:fill type="solid"/>
                </v:rect>
                <v:rect style="position:absolute;left:4567;top:3301;width:69;height:574" id="docshape984" filled="false" stroked="true" strokeweight=".25pt" strokecolor="#ffffff">
                  <v:stroke dashstyle="solid"/>
                </v:rect>
                <v:rect style="position:absolute;left:4636;top:3445;width:69;height:431" id="docshape985" filled="true" fillcolor="#008fdd" stroked="false">
                  <v:fill type="solid"/>
                </v:rect>
                <v:rect style="position:absolute;left:4636;top:3445;width:69;height:431" id="docshape986" filled="false" stroked="true" strokeweight=".25pt" strokecolor="#ffffff">
                  <v:stroke dashstyle="solid"/>
                </v:rect>
                <v:rect style="position:absolute;left:4704;top:3660;width:69;height:216" id="docshape987" filled="true" fillcolor="#008fdd" stroked="false">
                  <v:fill type="solid"/>
                </v:rect>
                <v:rect style="position:absolute;left:4704;top:3660;width:69;height:216" id="docshape988" filled="false" stroked="true" strokeweight=".25pt" strokecolor="#ffffff">
                  <v:stroke dashstyle="solid"/>
                </v:rect>
                <v:rect style="position:absolute;left:4773;top:3755;width:69;height:120" id="docshape989" filled="true" fillcolor="#008fdd" stroked="false">
                  <v:fill type="solid"/>
                </v:rect>
                <v:rect style="position:absolute;left:4773;top:3755;width:69;height:120" id="docshape990" filled="false" stroked="true" strokeweight=".25pt" strokecolor="#ffffff">
                  <v:stroke dashstyle="solid"/>
                </v:rect>
                <v:rect style="position:absolute;left:4841;top:3731;width:69;height:144" id="docshape991" filled="true" fillcolor="#008fdd" stroked="false">
                  <v:fill type="solid"/>
                </v:rect>
                <v:rect style="position:absolute;left:4841;top:3731;width:69;height:144" id="docshape992" filled="false" stroked="true" strokeweight=".25pt" strokecolor="#ffffff">
                  <v:stroke dashstyle="solid"/>
                </v:rect>
                <v:rect style="position:absolute;left:4909;top:3755;width:69;height:120" id="docshape993" filled="true" fillcolor="#008fdd" stroked="false">
                  <v:fill type="solid"/>
                </v:rect>
                <v:rect style="position:absolute;left:4909;top:3755;width:69;height:120" id="docshape994" filled="false" stroked="true" strokeweight=".25pt" strokecolor="#ffffff">
                  <v:stroke dashstyle="solid"/>
                </v:rect>
                <v:rect style="position:absolute;left:4978;top:3779;width:69;height:96" id="docshape995" filled="true" fillcolor="#008fdd" stroked="false">
                  <v:fill type="solid"/>
                </v:rect>
                <v:rect style="position:absolute;left:4978;top:3779;width:69;height:96" id="docshape996" filled="false" stroked="true" strokeweight=".25pt" strokecolor="#ffffff">
                  <v:stroke dashstyle="solid"/>
                </v:rect>
                <v:rect style="position:absolute;left:5046;top:3827;width:69;height:48" id="docshape997" filled="true" fillcolor="#008fdd" stroked="false">
                  <v:fill type="solid"/>
                </v:rect>
                <v:rect style="position:absolute;left:5046;top:3827;width:69;height:48" id="docshape998" filled="false" stroked="true" strokeweight=".25pt" strokecolor="#ffffff">
                  <v:stroke dashstyle="solid"/>
                </v:rect>
                <v:shape style="position:absolute;left:5114;top:3875;width:69;height:2" id="docshape999" coordorigin="5115,3875" coordsize="69,0" path="m5183,3875l5115,3875e" filled="true" fillcolor="#008fdd" stroked="false">
                  <v:path arrowok="t"/>
                  <v:fill type="solid"/>
                </v:shape>
                <v:shape style="position:absolute;left:5114;top:3875;width:69;height:2" id="docshape1000" coordorigin="5115,3875" coordsize="69,0" path="m5115,3875l5183,3875,5115,3875xe" filled="false" stroked="true" strokeweight=".25pt" strokecolor="#ffffff">
                  <v:path arrowok="t"/>
                  <v:stroke dashstyle="solid"/>
                </v:shape>
                <v:rect style="position:absolute;left:5183;top:3803;width:69;height:72" id="docshape1001" filled="true" fillcolor="#008fdd" stroked="false">
                  <v:fill type="solid"/>
                </v:rect>
                <v:rect style="position:absolute;left:5183;top:3803;width:69;height:72" id="docshape1002" filled="false" stroked="true" strokeweight=".25pt" strokecolor="#ffffff">
                  <v:stroke dashstyle="solid"/>
                </v:rect>
                <v:shape style="position:absolute;left:5251;top:3875;width:69;height:2" id="docshape1003" coordorigin="5252,3875" coordsize="69,0" path="m5320,3875l5252,3875e" filled="true" fillcolor="#008fdd" stroked="false">
                  <v:path arrowok="t"/>
                  <v:fill type="solid"/>
                </v:shape>
                <v:shape style="position:absolute;left:5251;top:3875;width:69;height:2" id="docshape1004" coordorigin="5252,3875" coordsize="69,0" path="m5252,3875l5320,3875,5252,3875xe" filled="false" stroked="true" strokeweight=".25pt" strokecolor="#ffffff">
                  <v:path arrowok="t"/>
                  <v:stroke dashstyle="solid"/>
                </v:shape>
                <v:rect style="position:absolute;left:5320;top:3851;width:69;height:24" id="docshape1005" filled="true" fillcolor="#008fdd" stroked="false">
                  <v:fill type="solid"/>
                </v:rect>
                <v:rect style="position:absolute;left:5320;top:3851;width:69;height:24" id="docshape1006" filled="false" stroked="true" strokeweight=".25pt" strokecolor="#ffffff">
                  <v:stroke dashstyle="solid"/>
                </v:rect>
                <v:shape style="position:absolute;left:5388;top:3875;width:69;height:2" id="docshape1007" coordorigin="5388,3875" coordsize="69,0" path="m5457,3875l5388,3875e" filled="true" fillcolor="#008fdd" stroked="false">
                  <v:path arrowok="t"/>
                  <v:fill type="solid"/>
                </v:shape>
                <v:shape style="position:absolute;left:5388;top:3875;width:69;height:2" id="docshape1008" coordorigin="5388,3875" coordsize="69,0" path="m5388,3875l5457,3875,5388,3875xe" filled="false" stroked="true" strokeweight=".25pt" strokecolor="#ffffff">
                  <v:path arrowok="t"/>
                  <v:stroke dashstyle="solid"/>
                </v:shape>
                <v:shape style="position:absolute;left:5456;top:3875;width:69;height:2" id="docshape1009" coordorigin="5457,3875" coordsize="69,0" path="m5525,3875l5457,3875e" filled="true" fillcolor="#008fdd" stroked="false">
                  <v:path arrowok="t"/>
                  <v:fill type="solid"/>
                </v:shape>
                <v:shape style="position:absolute;left:5456;top:3875;width:69;height:2" id="docshape1010" coordorigin="5457,3875" coordsize="69,0" path="m5457,3875l5525,3875,5457,3875xe" filled="false" stroked="true" strokeweight=".25pt" strokecolor="#ffffff">
                  <v:path arrowok="t"/>
                  <v:stroke dashstyle="solid"/>
                </v:shape>
                <v:rect style="position:absolute;left:5525;top:3851;width:69;height:24" id="docshape1011" filled="true" fillcolor="#008fdd" stroked="false">
                  <v:fill type="solid"/>
                </v:rect>
                <v:rect style="position:absolute;left:5525;top:3851;width:69;height:24" id="docshape1012" filled="false" stroked="true" strokeweight=".25pt" strokecolor="#ffffff">
                  <v:stroke dashstyle="solid"/>
                </v:rect>
                <v:rect style="position:absolute;left:5593;top:3851;width:69;height:24" id="docshape1013" filled="true" fillcolor="#008fdd" stroked="false">
                  <v:fill type="solid"/>
                </v:rect>
                <v:rect style="position:absolute;left:5593;top:3851;width:69;height:24" id="docshape1014" filled="false" stroked="true" strokeweight=".25pt" strokecolor="#ffffff">
                  <v:stroke dashstyle="solid"/>
                </v:rect>
                <v:rect style="position:absolute;left:5662;top:3851;width:69;height:24" id="docshape1015" filled="true" fillcolor="#008fdd" stroked="false">
                  <v:fill type="solid"/>
                </v:rect>
                <v:rect style="position:absolute;left:5662;top:3851;width:69;height:24" id="docshape1016" filled="false" stroked="true" strokeweight=".25pt" strokecolor="#ffffff">
                  <v:stroke dashstyle="solid"/>
                </v:rect>
                <v:shape style="position:absolute;left:5730;top:3875;width:69;height:2" id="docshape1017" coordorigin="5730,3875" coordsize="69,0" path="m5799,3875l5730,3875e" filled="true" fillcolor="#008fdd" stroked="false">
                  <v:path arrowok="t"/>
                  <v:fill type="solid"/>
                </v:shape>
                <v:shape style="position:absolute;left:5730;top:3875;width:69;height:2" id="docshape1018" coordorigin="5730,3875" coordsize="69,0" path="m5730,3875l5799,3875,5730,3875xe" filled="false" stroked="true" strokeweight=".25pt" strokecolor="#ffffff">
                  <v:path arrowok="t"/>
                  <v:stroke dashstyle="solid"/>
                </v:shape>
                <v:shape style="position:absolute;left:5798;top:3875;width:69;height:2" id="docshape1019" coordorigin="5799,3875" coordsize="69,0" path="m5867,3875l5799,3875e" filled="true" fillcolor="#008fdd" stroked="false">
                  <v:path arrowok="t"/>
                  <v:fill type="solid"/>
                </v:shape>
                <v:shape style="position:absolute;left:5798;top:3875;width:69;height:2" id="docshape1020" coordorigin="5799,3875" coordsize="69,0" path="m5799,3875l5867,3875,5799,3875xe" filled="false" stroked="true" strokeweight=".25pt" strokecolor="#ffffff">
                  <v:path arrowok="t"/>
                  <v:stroke dashstyle="solid"/>
                </v:shape>
                <v:shape style="position:absolute;left:5867;top:3875;width:69;height:2" id="docshape1021" coordorigin="5867,3875" coordsize="69,0" path="m5936,3875l5867,3875e" filled="true" fillcolor="#008fdd" stroked="false">
                  <v:path arrowok="t"/>
                  <v:fill type="solid"/>
                </v:shape>
                <v:shape style="position:absolute;left:5867;top:3875;width:69;height:2" id="docshape1022" coordorigin="5867,3875" coordsize="69,0" path="m5867,3875l5936,3875,5867,3875xe" filled="false" stroked="true" strokeweight=".25pt" strokecolor="#ffffff">
                  <v:path arrowok="t"/>
                  <v:stroke dashstyle="solid"/>
                </v:shape>
                <v:shape style="position:absolute;left:5935;top:3875;width:69;height:2" id="docshape1023" coordorigin="5936,3875" coordsize="69,0" path="m6004,3875l5936,3875e" filled="true" fillcolor="#008fdd" stroked="false">
                  <v:path arrowok="t"/>
                  <v:fill type="solid"/>
                </v:shape>
                <v:shape style="position:absolute;left:5935;top:3875;width:69;height:2" id="docshape1024" coordorigin="5936,3875" coordsize="69,0" path="m5936,3875l6004,3875,5936,3875xe" filled="false" stroked="true" strokeweight=".25pt" strokecolor="#ffffff">
                  <v:path arrowok="t"/>
                  <v:stroke dashstyle="solid"/>
                </v:shape>
                <v:shape style="position:absolute;left:6003;top:3875;width:69;height:2" id="docshape1025" coordorigin="6004,3875" coordsize="69,0" path="m6072,3875l6004,3875e" filled="true" fillcolor="#008fdd" stroked="false">
                  <v:path arrowok="t"/>
                  <v:fill type="solid"/>
                </v:shape>
                <v:shape style="position:absolute;left:6003;top:3875;width:69;height:2" id="docshape1026" coordorigin="6004,3875" coordsize="69,0" path="m6004,3875l6072,3875,6004,3875xe" filled="false" stroked="true" strokeweight=".25pt" strokecolor="#ffffff">
                  <v:path arrowok="t"/>
                  <v:stroke dashstyle="solid"/>
                </v:shape>
                <v:shape style="position:absolute;left:6072;top:3875;width:69;height:2" id="docshape1027" coordorigin="6072,3875" coordsize="69,0" path="m6141,3875l6072,3875e" filled="true" fillcolor="#008fdd" stroked="false">
                  <v:path arrowok="t"/>
                  <v:fill type="solid"/>
                </v:shape>
                <v:shape style="position:absolute;left:6072;top:3875;width:69;height:2" id="docshape1028" coordorigin="6072,3875" coordsize="69,0" path="m6072,3875l6141,3875,6072,3875xe" filled="false" stroked="true" strokeweight=".25pt" strokecolor="#ffffff">
                  <v:path arrowok="t"/>
                  <v:stroke dashstyle="solid"/>
                </v:shape>
                <v:shape style="position:absolute;left:6140;top:3875;width:69;height:2" id="docshape1029" coordorigin="6141,3875" coordsize="69,0" path="m6209,3875l6141,3875e" filled="true" fillcolor="#008fdd" stroked="false">
                  <v:path arrowok="t"/>
                  <v:fill type="solid"/>
                </v:shape>
                <v:shape style="position:absolute;left:6140;top:3875;width:69;height:2" id="docshape1030" coordorigin="6141,3875" coordsize="69,0" path="m6141,3875l6209,3875,6141,3875xe" filled="false" stroked="true" strokeweight=".25pt" strokecolor="#ffffff">
                  <v:path arrowok="t"/>
                  <v:stroke dashstyle="solid"/>
                </v:shape>
                <v:shape style="position:absolute;left:6209;top:3875;width:69;height:2" id="docshape1031" coordorigin="6209,3875" coordsize="69,0" path="m6277,3875l6209,3875e" filled="true" fillcolor="#008fdd" stroked="false">
                  <v:path arrowok="t"/>
                  <v:fill type="solid"/>
                </v:shape>
                <v:shape style="position:absolute;left:6209;top:3875;width:69;height:2" id="docshape1032" coordorigin="6209,3875" coordsize="69,0" path="m6209,3875l6277,3875,6209,3875xe" filled="false" stroked="true" strokeweight=".25pt" strokecolor="#ffffff">
                  <v:path arrowok="t"/>
                  <v:stroke dashstyle="solid"/>
                </v:shape>
                <v:shape style="position:absolute;left:6277;top:3875;width:69;height:2" id="docshape1033" coordorigin="6277,3875" coordsize="69,0" path="m6346,3875l6277,3875e" filled="true" fillcolor="#008fdd" stroked="false">
                  <v:path arrowok="t"/>
                  <v:fill type="solid"/>
                </v:shape>
                <v:shape style="position:absolute;left:6277;top:3875;width:69;height:2" id="docshape1034" coordorigin="6277,3875" coordsize="69,0" path="m6277,3875l6346,3875,6277,3875xe" filled="false" stroked="true" strokeweight=".25pt" strokecolor="#ffffff">
                  <v:path arrowok="t"/>
                  <v:stroke dashstyle="solid"/>
                </v:shape>
                <v:shape style="position:absolute;left:6345;top:3875;width:69;height:2" id="docshape1035" coordorigin="6346,3875" coordsize="69,0" path="m6414,3875l6346,3875e" filled="true" fillcolor="#008fdd" stroked="false">
                  <v:path arrowok="t"/>
                  <v:fill type="solid"/>
                </v:shape>
                <v:shape style="position:absolute;left:6345;top:3875;width:69;height:2" id="docshape1036" coordorigin="6346,3875" coordsize="69,0" path="m6346,3875l6414,3875,6346,3875xe" filled="false" stroked="true" strokeweight=".25pt" strokecolor="#ffffff">
                  <v:path arrowok="t"/>
                  <v:stroke dashstyle="solid"/>
                </v:shape>
                <v:shape style="position:absolute;left:6414;top:3875;width:69;height:2" id="docshape1037" coordorigin="6414,3875" coordsize="69,0" path="m6483,3875l6414,3875e" filled="true" fillcolor="#008fdd" stroked="false">
                  <v:path arrowok="t"/>
                  <v:fill type="solid"/>
                </v:shape>
                <v:shape style="position:absolute;left:6414;top:3875;width:69;height:2" id="docshape1038" coordorigin="6414,3875" coordsize="69,0" path="m6414,3875l6483,3875,6414,3875xe" filled="false" stroked="true" strokeweight=".25pt" strokecolor="#ffffff">
                  <v:path arrowok="t"/>
                  <v:stroke dashstyle="solid"/>
                </v:shape>
                <v:shape style="position:absolute;left:6482;top:3875;width:69;height:2" id="docshape1039" coordorigin="6483,3875" coordsize="69,0" path="m6551,3875l6483,3875e" filled="true" fillcolor="#008fdd" stroked="false">
                  <v:path arrowok="t"/>
                  <v:fill type="solid"/>
                </v:shape>
                <v:shape style="position:absolute;left:6482;top:3875;width:69;height:2" id="docshape1040" coordorigin="6483,3875" coordsize="69,0" path="m6483,3875l6551,3875,6483,3875xe" filled="false" stroked="true" strokeweight=".25pt" strokecolor="#ffffff">
                  <v:path arrowok="t"/>
                  <v:stroke dashstyle="solid"/>
                </v:shape>
                <v:shape style="position:absolute;left:6550;top:3875;width:69;height:2" id="docshape1041" coordorigin="6551,3875" coordsize="69,0" path="m6619,3875l6551,3875e" filled="true" fillcolor="#008fdd" stroked="false">
                  <v:path arrowok="t"/>
                  <v:fill type="solid"/>
                </v:shape>
                <v:shape style="position:absolute;left:6550;top:3875;width:69;height:2" id="docshape1042" coordorigin="6551,3875" coordsize="69,0" path="m6551,3875l6619,3875,6551,3875xe" filled="false" stroked="true" strokeweight=".25pt" strokecolor="#ffffff">
                  <v:path arrowok="t"/>
                  <v:stroke dashstyle="solid"/>
                </v:shape>
                <v:shape style="position:absolute;left:6619;top:3875;width:69;height:2" id="docshape1043" coordorigin="6619,3875" coordsize="69,0" path="m6688,3875l6619,3875e" filled="true" fillcolor="#008fdd" stroked="false">
                  <v:path arrowok="t"/>
                  <v:fill type="solid"/>
                </v:shape>
                <v:shape style="position:absolute;left:6619;top:3875;width:69;height:2" id="docshape1044" coordorigin="6619,3875" coordsize="69,0" path="m6619,3875l6688,3875,6619,3875xe" filled="false" stroked="true" strokeweight=".25pt" strokecolor="#ffffff">
                  <v:path arrowok="t"/>
                  <v:stroke dashstyle="solid"/>
                </v:shape>
                <v:shape style="position:absolute;left:6687;top:3875;width:69;height:2" id="docshape1045" coordorigin="6688,3875" coordsize="69,0" path="m6756,3875l6688,3875e" filled="true" fillcolor="#008fdd" stroked="false">
                  <v:path arrowok="t"/>
                  <v:fill type="solid"/>
                </v:shape>
                <v:shape style="position:absolute;left:6687;top:3875;width:69;height:2" id="docshape1046" coordorigin="6688,3875" coordsize="69,0" path="m6688,3875l6756,3875,6688,3875xe" filled="false" stroked="true" strokeweight=".25pt" strokecolor="#ffffff">
                  <v:path arrowok="t"/>
                  <v:stroke dashstyle="solid"/>
                </v:shape>
                <v:shape style="position:absolute;left:6756;top:3875;width:69;height:2" id="docshape1047" coordorigin="6756,3875" coordsize="69,0" path="m6824,3875l6756,3875e" filled="true" fillcolor="#008fdd" stroked="false">
                  <v:path arrowok="t"/>
                  <v:fill type="solid"/>
                </v:shape>
                <v:shape style="position:absolute;left:6756;top:3875;width:69;height:2" id="docshape1048" coordorigin="6756,3875" coordsize="69,0" path="m6756,3875l6824,3875,6756,3875xe" filled="false" stroked="true" strokeweight=".25pt" strokecolor="#ffffff">
                  <v:path arrowok="t"/>
                  <v:stroke dashstyle="solid"/>
                </v:shape>
                <v:rect style="position:absolute;left:6824;top:3851;width:69;height:24" id="docshape1049" filled="true" fillcolor="#008fdd" stroked="false">
                  <v:fill type="solid"/>
                </v:rect>
                <v:rect style="position:absolute;left:6824;top:3851;width:69;height:24" id="docshape1050" filled="false" stroked="true" strokeweight=".25pt" strokecolor="#ffffff">
                  <v:stroke dashstyle="solid"/>
                </v:rect>
                <v:line style="position:absolute" from="4157,3875" to="7413,3875" stroked="true" strokeweight=".5pt" strokecolor="#ffffff">
                  <v:stroke dashstyle="solid"/>
                </v:line>
                <v:line style="position:absolute" from="392,3875" to="3647,3875" stroked="true" strokeweight=".5pt" strokecolor="#ffffff">
                  <v:stroke dashstyle="solid"/>
                </v:line>
                <v:shape style="position:absolute;left:120;top:105;width:6577;height:987" type="#_x0000_t202" id="docshape1051" filled="false" stroked="false">
                  <v:textbox inset="0,0,0,0">
                    <w:txbxContent>
                      <w:p>
                        <w:pPr>
                          <w:spacing w:before="3"/>
                          <w:ind w:left="0" w:right="0" w:firstLine="0"/>
                          <w:jc w:val="left"/>
                          <w:rPr>
                            <w:rFonts w:ascii="Arial"/>
                            <w:b/>
                            <w:sz w:val="16"/>
                          </w:rPr>
                        </w:pPr>
                        <w:r>
                          <w:rPr>
                            <w:rFonts w:ascii="Arial"/>
                            <w:color w:val="FFFFFF"/>
                            <w:sz w:val="16"/>
                          </w:rPr>
                          <w:t>Figure</w:t>
                        </w:r>
                        <w:r>
                          <w:rPr>
                            <w:rFonts w:ascii="Arial"/>
                            <w:color w:val="FFFFFF"/>
                            <w:spacing w:val="6"/>
                            <w:sz w:val="16"/>
                          </w:rPr>
                          <w:t> </w:t>
                        </w:r>
                        <w:r>
                          <w:rPr>
                            <w:rFonts w:ascii="Arial"/>
                            <w:b/>
                            <w:color w:val="FFFFFF"/>
                            <w:sz w:val="16"/>
                          </w:rPr>
                          <w:t>3.3</w:t>
                        </w:r>
                        <w:r>
                          <w:rPr>
                            <w:rFonts w:ascii="Arial"/>
                            <w:b/>
                            <w:color w:val="FFFFFF"/>
                            <w:spacing w:val="52"/>
                            <w:sz w:val="16"/>
                          </w:rPr>
                          <w:t>  </w:t>
                        </w:r>
                        <w:r>
                          <w:rPr>
                            <w:rFonts w:ascii="Arial"/>
                            <w:b/>
                            <w:color w:val="FFFFFF"/>
                            <w:sz w:val="16"/>
                          </w:rPr>
                          <w:t>Dispersion</w:t>
                        </w:r>
                        <w:r>
                          <w:rPr>
                            <w:rFonts w:ascii="Arial"/>
                            <w:b/>
                            <w:color w:val="FFFFFF"/>
                            <w:spacing w:val="6"/>
                            <w:sz w:val="16"/>
                          </w:rPr>
                          <w:t> </w:t>
                        </w:r>
                        <w:r>
                          <w:rPr>
                            <w:rFonts w:ascii="Arial"/>
                            <w:b/>
                            <w:color w:val="FFFFFF"/>
                            <w:sz w:val="16"/>
                          </w:rPr>
                          <w:t>of</w:t>
                        </w:r>
                        <w:r>
                          <w:rPr>
                            <w:rFonts w:ascii="Arial"/>
                            <w:b/>
                            <w:color w:val="FFFFFF"/>
                            <w:spacing w:val="6"/>
                            <w:sz w:val="16"/>
                          </w:rPr>
                          <w:t> </w:t>
                        </w:r>
                        <w:r>
                          <w:rPr>
                            <w:rFonts w:ascii="Arial"/>
                            <w:b/>
                            <w:color w:val="FFFFFF"/>
                            <w:sz w:val="16"/>
                          </w:rPr>
                          <w:t>mean</w:t>
                        </w:r>
                        <w:r>
                          <w:rPr>
                            <w:rFonts w:ascii="Arial"/>
                            <w:b/>
                            <w:color w:val="FFFFFF"/>
                            <w:spacing w:val="6"/>
                            <w:sz w:val="16"/>
                          </w:rPr>
                          <w:t> </w:t>
                        </w:r>
                        <w:r>
                          <w:rPr>
                            <w:rFonts w:ascii="Arial"/>
                            <w:b/>
                            <w:color w:val="FFFFFF"/>
                            <w:sz w:val="16"/>
                          </w:rPr>
                          <w:t>dwell</w:t>
                        </w:r>
                        <w:r>
                          <w:rPr>
                            <w:rFonts w:ascii="Arial"/>
                            <w:b/>
                            <w:color w:val="FFFFFF"/>
                            <w:spacing w:val="6"/>
                            <w:sz w:val="16"/>
                          </w:rPr>
                          <w:t> </w:t>
                        </w:r>
                        <w:r>
                          <w:rPr>
                            <w:rFonts w:ascii="Arial"/>
                            <w:b/>
                            <w:color w:val="FFFFFF"/>
                            <w:sz w:val="16"/>
                          </w:rPr>
                          <w:t>time</w:t>
                        </w:r>
                        <w:r>
                          <w:rPr>
                            <w:rFonts w:ascii="Arial"/>
                            <w:b/>
                            <w:color w:val="FFFFFF"/>
                            <w:spacing w:val="6"/>
                            <w:sz w:val="16"/>
                          </w:rPr>
                          <w:t> </w:t>
                        </w:r>
                        <w:r>
                          <w:rPr>
                            <w:rFonts w:ascii="Arial"/>
                            <w:b/>
                            <w:color w:val="FFFFFF"/>
                            <w:sz w:val="16"/>
                          </w:rPr>
                          <w:t>across</w:t>
                        </w:r>
                        <w:r>
                          <w:rPr>
                            <w:rFonts w:ascii="Arial"/>
                            <w:b/>
                            <w:color w:val="FFFFFF"/>
                            <w:spacing w:val="6"/>
                            <w:sz w:val="16"/>
                          </w:rPr>
                          <w:t> </w:t>
                        </w:r>
                        <w:r>
                          <w:rPr>
                            <w:rFonts w:ascii="Arial"/>
                            <w:b/>
                            <w:color w:val="FFFFFF"/>
                            <w:sz w:val="16"/>
                          </w:rPr>
                          <w:t>the</w:t>
                        </w:r>
                        <w:r>
                          <w:rPr>
                            <w:rFonts w:ascii="Arial"/>
                            <w:b/>
                            <w:color w:val="FFFFFF"/>
                            <w:spacing w:val="6"/>
                            <w:sz w:val="16"/>
                          </w:rPr>
                          <w:t> </w:t>
                        </w:r>
                        <w:r>
                          <w:rPr>
                            <w:rFonts w:ascii="Arial"/>
                            <w:b/>
                            <w:color w:val="FFFFFF"/>
                            <w:spacing w:val="-4"/>
                            <w:sz w:val="16"/>
                          </w:rPr>
                          <w:t>world</w:t>
                        </w:r>
                      </w:p>
                      <w:p>
                        <w:pPr>
                          <w:spacing w:line="240" w:lineRule="auto" w:before="34"/>
                          <w:rPr>
                            <w:rFonts w:ascii="Arial"/>
                            <w:b/>
                            <w:sz w:val="16"/>
                          </w:rPr>
                        </w:pPr>
                      </w:p>
                      <w:p>
                        <w:pPr>
                          <w:tabs>
                            <w:tab w:pos="4772" w:val="left" w:leader="none"/>
                          </w:tabs>
                          <w:spacing w:before="0"/>
                          <w:ind w:left="1178" w:right="0" w:firstLine="0"/>
                          <w:jc w:val="left"/>
                          <w:rPr>
                            <w:rFonts w:ascii="Arial" w:hAnsi="Arial"/>
                            <w:b/>
                            <w:sz w:val="14"/>
                          </w:rPr>
                        </w:pPr>
                        <w:r>
                          <w:rPr>
                            <w:rFonts w:ascii="Arial" w:hAnsi="Arial"/>
                            <w:b/>
                            <w:color w:val="231F20"/>
                            <w:w w:val="80"/>
                            <w:sz w:val="14"/>
                          </w:rPr>
                          <w:t>Ports</w:t>
                        </w:r>
                        <w:r>
                          <w:rPr>
                            <w:rFonts w:ascii="Arial" w:hAnsi="Arial"/>
                            <w:b/>
                            <w:color w:val="231F20"/>
                            <w:spacing w:val="5"/>
                            <w:sz w:val="14"/>
                          </w:rPr>
                          <w:t> </w:t>
                        </w:r>
                        <w:r>
                          <w:rPr>
                            <w:rFonts w:ascii="Arial" w:hAnsi="Arial"/>
                            <w:b/>
                            <w:color w:val="231F20"/>
                            <w:w w:val="80"/>
                            <w:sz w:val="14"/>
                          </w:rPr>
                          <w:t>(May–October</w:t>
                        </w:r>
                        <w:r>
                          <w:rPr>
                            <w:rFonts w:ascii="Arial" w:hAnsi="Arial"/>
                            <w:b/>
                            <w:color w:val="231F20"/>
                            <w:spacing w:val="7"/>
                            <w:sz w:val="14"/>
                          </w:rPr>
                          <w:t> </w:t>
                        </w:r>
                        <w:r>
                          <w:rPr>
                            <w:rFonts w:ascii="Arial" w:hAnsi="Arial"/>
                            <w:b/>
                            <w:color w:val="231F20"/>
                            <w:spacing w:val="-2"/>
                            <w:w w:val="80"/>
                            <w:sz w:val="14"/>
                          </w:rPr>
                          <w:t>2022)</w:t>
                        </w:r>
                        <w:r>
                          <w:rPr>
                            <w:rFonts w:ascii="Arial" w:hAnsi="Arial"/>
                            <w:b/>
                            <w:color w:val="231F20"/>
                            <w:sz w:val="14"/>
                          </w:rPr>
                          <w:tab/>
                        </w:r>
                        <w:r>
                          <w:rPr>
                            <w:rFonts w:ascii="Arial" w:hAnsi="Arial"/>
                            <w:b/>
                            <w:color w:val="231F20"/>
                            <w:w w:val="80"/>
                            <w:sz w:val="14"/>
                          </w:rPr>
                          <w:t>Airports</w:t>
                        </w:r>
                        <w:r>
                          <w:rPr>
                            <w:rFonts w:ascii="Arial" w:hAnsi="Arial"/>
                            <w:b/>
                            <w:color w:val="231F20"/>
                            <w:spacing w:val="2"/>
                            <w:sz w:val="14"/>
                          </w:rPr>
                          <w:t> </w:t>
                        </w:r>
                        <w:r>
                          <w:rPr>
                            <w:rFonts w:ascii="Arial" w:hAnsi="Arial"/>
                            <w:b/>
                            <w:color w:val="231F20"/>
                            <w:w w:val="80"/>
                            <w:sz w:val="14"/>
                          </w:rPr>
                          <w:t>(fourth</w:t>
                        </w:r>
                        <w:r>
                          <w:rPr>
                            <w:rFonts w:ascii="Arial" w:hAnsi="Arial"/>
                            <w:b/>
                            <w:color w:val="231F20"/>
                            <w:spacing w:val="4"/>
                            <w:sz w:val="14"/>
                          </w:rPr>
                          <w:t> </w:t>
                        </w:r>
                        <w:r>
                          <w:rPr>
                            <w:rFonts w:ascii="Arial" w:hAnsi="Arial"/>
                            <w:b/>
                            <w:color w:val="231F20"/>
                            <w:w w:val="80"/>
                            <w:sz w:val="14"/>
                          </w:rPr>
                          <w:t>quarter</w:t>
                        </w:r>
                        <w:r>
                          <w:rPr>
                            <w:rFonts w:ascii="Arial" w:hAnsi="Arial"/>
                            <w:b/>
                            <w:color w:val="231F20"/>
                            <w:spacing w:val="4"/>
                            <w:sz w:val="14"/>
                          </w:rPr>
                          <w:t> </w:t>
                        </w:r>
                        <w:r>
                          <w:rPr>
                            <w:rFonts w:ascii="Arial" w:hAnsi="Arial"/>
                            <w:b/>
                            <w:color w:val="231F20"/>
                            <w:w w:val="80"/>
                            <w:sz w:val="14"/>
                          </w:rPr>
                          <w:t>of</w:t>
                        </w:r>
                        <w:r>
                          <w:rPr>
                            <w:rFonts w:ascii="Arial" w:hAnsi="Arial"/>
                            <w:b/>
                            <w:color w:val="231F20"/>
                            <w:spacing w:val="4"/>
                            <w:sz w:val="14"/>
                          </w:rPr>
                          <w:t> </w:t>
                        </w:r>
                        <w:r>
                          <w:rPr>
                            <w:rFonts w:ascii="Arial" w:hAnsi="Arial"/>
                            <w:b/>
                            <w:color w:val="231F20"/>
                            <w:spacing w:val="-2"/>
                            <w:w w:val="80"/>
                            <w:sz w:val="14"/>
                          </w:rPr>
                          <w:t>2019)</w:t>
                        </w:r>
                      </w:p>
                      <w:p>
                        <w:pPr>
                          <w:tabs>
                            <w:tab w:pos="3812" w:val="left" w:leader="none"/>
                          </w:tabs>
                          <w:spacing w:before="39"/>
                          <w:ind w:left="46" w:right="0" w:firstLine="0"/>
                          <w:jc w:val="left"/>
                          <w:rPr>
                            <w:rFonts w:ascii="Arial"/>
                            <w:sz w:val="14"/>
                          </w:rPr>
                        </w:pPr>
                        <w:r>
                          <w:rPr>
                            <w:rFonts w:ascii="Arial"/>
                            <w:color w:val="231F20"/>
                            <w:w w:val="80"/>
                            <w:sz w:val="14"/>
                          </w:rPr>
                          <w:t>Number</w:t>
                        </w:r>
                        <w:r>
                          <w:rPr>
                            <w:rFonts w:ascii="Arial"/>
                            <w:color w:val="231F20"/>
                            <w:spacing w:val="-2"/>
                            <w:w w:val="80"/>
                            <w:sz w:val="14"/>
                          </w:rPr>
                          <w:t> </w:t>
                        </w:r>
                        <w:r>
                          <w:rPr>
                            <w:rFonts w:ascii="Arial"/>
                            <w:color w:val="231F20"/>
                            <w:w w:val="80"/>
                            <w:sz w:val="14"/>
                          </w:rPr>
                          <w:t>of</w:t>
                        </w:r>
                        <w:r>
                          <w:rPr>
                            <w:rFonts w:ascii="Arial"/>
                            <w:color w:val="231F20"/>
                            <w:spacing w:val="-1"/>
                            <w:w w:val="80"/>
                            <w:sz w:val="14"/>
                          </w:rPr>
                          <w:t> </w:t>
                        </w:r>
                        <w:r>
                          <w:rPr>
                            <w:rFonts w:ascii="Arial"/>
                            <w:color w:val="231F20"/>
                            <w:spacing w:val="-2"/>
                            <w:w w:val="80"/>
                            <w:sz w:val="14"/>
                          </w:rPr>
                          <w:t>ports</w:t>
                        </w:r>
                        <w:r>
                          <w:rPr>
                            <w:rFonts w:ascii="Arial"/>
                            <w:color w:val="231F20"/>
                            <w:sz w:val="14"/>
                          </w:rPr>
                          <w:tab/>
                        </w:r>
                        <w:r>
                          <w:rPr>
                            <w:rFonts w:ascii="Arial"/>
                            <w:color w:val="231F20"/>
                            <w:w w:val="80"/>
                            <w:sz w:val="14"/>
                          </w:rPr>
                          <w:t>Number</w:t>
                        </w:r>
                        <w:r>
                          <w:rPr>
                            <w:rFonts w:ascii="Arial"/>
                            <w:color w:val="231F20"/>
                            <w:spacing w:val="-4"/>
                            <w:w w:val="80"/>
                            <w:sz w:val="14"/>
                          </w:rPr>
                          <w:t> </w:t>
                        </w:r>
                        <w:r>
                          <w:rPr>
                            <w:rFonts w:ascii="Arial"/>
                            <w:color w:val="231F20"/>
                            <w:w w:val="80"/>
                            <w:sz w:val="14"/>
                          </w:rPr>
                          <w:t>of</w:t>
                        </w:r>
                        <w:r>
                          <w:rPr>
                            <w:rFonts w:ascii="Arial"/>
                            <w:color w:val="231F20"/>
                            <w:spacing w:val="-1"/>
                            <w:w w:val="80"/>
                            <w:sz w:val="14"/>
                          </w:rPr>
                          <w:t> </w:t>
                        </w:r>
                        <w:r>
                          <w:rPr>
                            <w:rFonts w:ascii="Arial"/>
                            <w:color w:val="231F20"/>
                            <w:spacing w:val="-2"/>
                            <w:w w:val="80"/>
                            <w:sz w:val="14"/>
                          </w:rPr>
                          <w:t>airports</w:t>
                        </w:r>
                      </w:p>
                      <w:p>
                        <w:pPr>
                          <w:tabs>
                            <w:tab w:pos="3772" w:val="left" w:leader="none"/>
                          </w:tabs>
                          <w:spacing w:line="160" w:lineRule="exact" w:before="60"/>
                          <w:ind w:left="74" w:right="0" w:firstLine="0"/>
                          <w:jc w:val="left"/>
                          <w:rPr>
                            <w:rFonts w:ascii="Arial"/>
                            <w:sz w:val="14"/>
                          </w:rPr>
                        </w:pPr>
                        <w:r>
                          <w:rPr>
                            <w:rFonts w:ascii="Arial"/>
                            <w:color w:val="231F20"/>
                            <w:spacing w:val="-5"/>
                            <w:sz w:val="14"/>
                          </w:rPr>
                          <w:t>60</w:t>
                        </w:r>
                        <w:r>
                          <w:rPr>
                            <w:rFonts w:ascii="Arial"/>
                            <w:color w:val="231F20"/>
                            <w:sz w:val="14"/>
                          </w:rPr>
                          <w:tab/>
                        </w:r>
                        <w:r>
                          <w:rPr>
                            <w:rFonts w:ascii="Arial"/>
                            <w:color w:val="231F20"/>
                            <w:spacing w:val="-5"/>
                            <w:sz w:val="14"/>
                          </w:rPr>
                          <w:t>120</w:t>
                        </w:r>
                      </w:p>
                    </w:txbxContent>
                  </v:textbox>
                  <w10:wrap type="none"/>
                </v:shape>
                <v:shape style="position:absolute;left:194;top:1411;width:155;height:159" type="#_x0000_t202" id="docshape1052" filled="false" stroked="false">
                  <v:textbox inset="0,0,0,0">
                    <w:txbxContent>
                      <w:p>
                        <w:pPr>
                          <w:spacing w:line="158" w:lineRule="exact" w:before="0"/>
                          <w:ind w:left="0" w:right="0" w:firstLine="0"/>
                          <w:jc w:val="left"/>
                          <w:rPr>
                            <w:rFonts w:ascii="Arial"/>
                            <w:sz w:val="14"/>
                          </w:rPr>
                        </w:pPr>
                        <w:r>
                          <w:rPr>
                            <w:rFonts w:ascii="Arial"/>
                            <w:color w:val="231F20"/>
                            <w:spacing w:val="-7"/>
                            <w:sz w:val="14"/>
                          </w:rPr>
                          <w:t>50</w:t>
                        </w:r>
                      </w:p>
                    </w:txbxContent>
                  </v:textbox>
                  <w10:wrap type="none"/>
                </v:shape>
                <v:shape style="position:absolute;left:3892;top:1411;width:222;height:159" type="#_x0000_t202" id="docshape1053" filled="false" stroked="false">
                  <v:textbox inset="0,0,0,0">
                    <w:txbxContent>
                      <w:p>
                        <w:pPr>
                          <w:spacing w:line="158" w:lineRule="exact" w:before="0"/>
                          <w:ind w:left="0" w:right="0" w:firstLine="0"/>
                          <w:jc w:val="left"/>
                          <w:rPr>
                            <w:rFonts w:ascii="Arial"/>
                            <w:sz w:val="14"/>
                          </w:rPr>
                        </w:pPr>
                        <w:r>
                          <w:rPr>
                            <w:rFonts w:ascii="Arial"/>
                            <w:color w:val="231F20"/>
                            <w:spacing w:val="-9"/>
                            <w:sz w:val="14"/>
                          </w:rPr>
                          <w:t>100</w:t>
                        </w:r>
                      </w:p>
                    </w:txbxContent>
                  </v:textbox>
                  <w10:wrap type="none"/>
                </v:shape>
                <v:shape style="position:absolute;left:194;top:1889;width:155;height:159" type="#_x0000_t202" id="docshape1054" filled="false" stroked="false">
                  <v:textbox inset="0,0,0,0">
                    <w:txbxContent>
                      <w:p>
                        <w:pPr>
                          <w:spacing w:line="158" w:lineRule="exact" w:before="0"/>
                          <w:ind w:left="0" w:right="0" w:firstLine="0"/>
                          <w:jc w:val="left"/>
                          <w:rPr>
                            <w:rFonts w:ascii="Arial"/>
                            <w:sz w:val="14"/>
                          </w:rPr>
                        </w:pPr>
                        <w:r>
                          <w:rPr>
                            <w:rFonts w:ascii="Arial"/>
                            <w:color w:val="231F20"/>
                            <w:spacing w:val="-7"/>
                            <w:sz w:val="14"/>
                          </w:rPr>
                          <w:t>40</w:t>
                        </w:r>
                      </w:p>
                    </w:txbxContent>
                  </v:textbox>
                  <w10:wrap type="none"/>
                </v:shape>
                <v:shape style="position:absolute;left:3959;top:1889;width:155;height:159" type="#_x0000_t202" id="docshape1055" filled="false" stroked="false">
                  <v:textbox inset="0,0,0,0">
                    <w:txbxContent>
                      <w:p>
                        <w:pPr>
                          <w:spacing w:line="158" w:lineRule="exact" w:before="0"/>
                          <w:ind w:left="0" w:right="0" w:firstLine="0"/>
                          <w:jc w:val="left"/>
                          <w:rPr>
                            <w:rFonts w:ascii="Arial"/>
                            <w:sz w:val="14"/>
                          </w:rPr>
                        </w:pPr>
                        <w:r>
                          <w:rPr>
                            <w:rFonts w:ascii="Arial"/>
                            <w:color w:val="231F20"/>
                            <w:spacing w:val="-7"/>
                            <w:sz w:val="14"/>
                          </w:rPr>
                          <w:t>80</w:t>
                        </w:r>
                      </w:p>
                    </w:txbxContent>
                  </v:textbox>
                  <w10:wrap type="none"/>
                </v:shape>
                <v:shape style="position:absolute;left:182;top:2367;width:155;height:159" type="#_x0000_t202" id="docshape1056" filled="false" stroked="false">
                  <v:textbox inset="0,0,0,0">
                    <w:txbxContent>
                      <w:p>
                        <w:pPr>
                          <w:spacing w:line="158" w:lineRule="exact" w:before="0"/>
                          <w:ind w:left="0" w:right="0" w:firstLine="0"/>
                          <w:jc w:val="left"/>
                          <w:rPr>
                            <w:rFonts w:ascii="Arial"/>
                            <w:sz w:val="14"/>
                          </w:rPr>
                        </w:pPr>
                        <w:r>
                          <w:rPr>
                            <w:rFonts w:ascii="Arial"/>
                            <w:color w:val="231F20"/>
                            <w:spacing w:val="-7"/>
                            <w:sz w:val="14"/>
                          </w:rPr>
                          <w:t>30</w:t>
                        </w:r>
                      </w:p>
                    </w:txbxContent>
                  </v:textbox>
                  <w10:wrap type="none"/>
                </v:shape>
                <v:shape style="position:absolute;left:3959;top:2367;width:155;height:159" type="#_x0000_t202" id="docshape1057" filled="false" stroked="false">
                  <v:textbox inset="0,0,0,0">
                    <w:txbxContent>
                      <w:p>
                        <w:pPr>
                          <w:spacing w:line="158" w:lineRule="exact" w:before="0"/>
                          <w:ind w:left="0" w:right="0" w:firstLine="0"/>
                          <w:jc w:val="left"/>
                          <w:rPr>
                            <w:rFonts w:ascii="Arial"/>
                            <w:sz w:val="14"/>
                          </w:rPr>
                        </w:pPr>
                        <w:r>
                          <w:rPr>
                            <w:rFonts w:ascii="Arial"/>
                            <w:color w:val="231F20"/>
                            <w:spacing w:val="-7"/>
                            <w:sz w:val="14"/>
                          </w:rPr>
                          <w:t>60</w:t>
                        </w:r>
                      </w:p>
                    </w:txbxContent>
                  </v:textbox>
                  <w10:wrap type="none"/>
                </v:shape>
                <v:shape style="position:absolute;left:182;top:2844;width:155;height:159" type="#_x0000_t202" id="docshape1058" filled="false" stroked="false">
                  <v:textbox inset="0,0,0,0">
                    <w:txbxContent>
                      <w:p>
                        <w:pPr>
                          <w:spacing w:line="158" w:lineRule="exact" w:before="0"/>
                          <w:ind w:left="0" w:right="0" w:firstLine="0"/>
                          <w:jc w:val="left"/>
                          <w:rPr>
                            <w:rFonts w:ascii="Arial"/>
                            <w:sz w:val="14"/>
                          </w:rPr>
                        </w:pPr>
                        <w:r>
                          <w:rPr>
                            <w:rFonts w:ascii="Arial"/>
                            <w:color w:val="231F20"/>
                            <w:spacing w:val="-7"/>
                            <w:sz w:val="14"/>
                          </w:rPr>
                          <w:t>20</w:t>
                        </w:r>
                      </w:p>
                    </w:txbxContent>
                  </v:textbox>
                  <w10:wrap type="none"/>
                </v:shape>
                <v:shape style="position:absolute;left:3959;top:2844;width:155;height:159" type="#_x0000_t202" id="docshape1059" filled="false" stroked="false">
                  <v:textbox inset="0,0,0,0">
                    <w:txbxContent>
                      <w:p>
                        <w:pPr>
                          <w:spacing w:line="158" w:lineRule="exact" w:before="0"/>
                          <w:ind w:left="0" w:right="0" w:firstLine="0"/>
                          <w:jc w:val="left"/>
                          <w:rPr>
                            <w:rFonts w:ascii="Arial"/>
                            <w:sz w:val="14"/>
                          </w:rPr>
                        </w:pPr>
                        <w:r>
                          <w:rPr>
                            <w:rFonts w:ascii="Arial"/>
                            <w:color w:val="231F20"/>
                            <w:spacing w:val="-7"/>
                            <w:sz w:val="14"/>
                          </w:rPr>
                          <w:t>40</w:t>
                        </w:r>
                      </w:p>
                    </w:txbxContent>
                  </v:textbox>
                  <w10:wrap type="none"/>
                </v:shape>
                <v:shape style="position:absolute;left:182;top:3322;width:155;height:159" type="#_x0000_t202" id="docshape1060" filled="false" stroked="false">
                  <v:textbox inset="0,0,0,0">
                    <w:txbxContent>
                      <w:p>
                        <w:pPr>
                          <w:spacing w:line="158" w:lineRule="exact" w:before="0"/>
                          <w:ind w:left="0" w:right="0" w:firstLine="0"/>
                          <w:jc w:val="left"/>
                          <w:rPr>
                            <w:rFonts w:ascii="Arial"/>
                            <w:sz w:val="14"/>
                          </w:rPr>
                        </w:pPr>
                        <w:r>
                          <w:rPr>
                            <w:rFonts w:ascii="Arial"/>
                            <w:color w:val="231F20"/>
                            <w:spacing w:val="-7"/>
                            <w:sz w:val="14"/>
                          </w:rPr>
                          <w:t>10</w:t>
                        </w:r>
                      </w:p>
                    </w:txbxContent>
                  </v:textbox>
                  <w10:wrap type="none"/>
                </v:shape>
                <v:shape style="position:absolute;left:3947;top:3322;width:155;height:159" type="#_x0000_t202" id="docshape1061" filled="false" stroked="false">
                  <v:textbox inset="0,0,0,0">
                    <w:txbxContent>
                      <w:p>
                        <w:pPr>
                          <w:spacing w:line="158" w:lineRule="exact" w:before="0"/>
                          <w:ind w:left="0" w:right="0" w:firstLine="0"/>
                          <w:jc w:val="left"/>
                          <w:rPr>
                            <w:rFonts w:ascii="Arial"/>
                            <w:sz w:val="14"/>
                          </w:rPr>
                        </w:pPr>
                        <w:r>
                          <w:rPr>
                            <w:rFonts w:ascii="Arial"/>
                            <w:color w:val="231F20"/>
                            <w:spacing w:val="-7"/>
                            <w:sz w:val="14"/>
                          </w:rPr>
                          <w:t>20</w:t>
                        </w:r>
                      </w:p>
                    </w:txbxContent>
                  </v:textbox>
                  <w10:wrap type="none"/>
                </v:shape>
                <v:shape style="position:absolute;left:249;top:3800;width:197;height:259" type="#_x0000_t202" id="docshape1062" filled="false" stroked="false">
                  <v:textbox inset="0,0,0,0">
                    <w:txbxContent>
                      <w:p>
                        <w:pPr>
                          <w:spacing w:line="235" w:lineRule="auto" w:before="0"/>
                          <w:ind w:left="0" w:right="0" w:firstLine="0"/>
                          <w:jc w:val="left"/>
                          <w:rPr>
                            <w:rFonts w:ascii="Arial"/>
                            <w:sz w:val="14"/>
                          </w:rPr>
                        </w:pPr>
                        <w:r>
                          <w:rPr>
                            <w:rFonts w:ascii="Arial"/>
                            <w:color w:val="231F20"/>
                            <w:spacing w:val="-4"/>
                            <w:sz w:val="14"/>
                          </w:rPr>
                          <w:t>0</w:t>
                        </w:r>
                        <w:r>
                          <w:rPr>
                            <w:rFonts w:ascii="Arial"/>
                            <w:color w:val="231F20"/>
                            <w:spacing w:val="-6"/>
                            <w:sz w:val="14"/>
                          </w:rPr>
                          <w:t> </w:t>
                        </w:r>
                        <w:r>
                          <w:rPr>
                            <w:rFonts w:ascii="Arial"/>
                            <w:color w:val="231F20"/>
                            <w:spacing w:val="-12"/>
                            <w:position w:val="-9"/>
                            <w:sz w:val="14"/>
                          </w:rPr>
                          <w:t>0</w:t>
                        </w:r>
                      </w:p>
                    </w:txbxContent>
                  </v:textbox>
                  <w10:wrap type="none"/>
                </v:shape>
                <v:shape style="position:absolute;left:1410;top:3900;width:155;height:159" type="#_x0000_t202" id="docshape1063" filled="false" stroked="false">
                  <v:textbox inset="0,0,0,0">
                    <w:txbxContent>
                      <w:p>
                        <w:pPr>
                          <w:spacing w:line="158" w:lineRule="exact" w:before="0"/>
                          <w:ind w:left="0" w:right="0" w:firstLine="0"/>
                          <w:jc w:val="left"/>
                          <w:rPr>
                            <w:rFonts w:ascii="Arial"/>
                            <w:sz w:val="14"/>
                          </w:rPr>
                        </w:pPr>
                        <w:r>
                          <w:rPr>
                            <w:rFonts w:ascii="Arial"/>
                            <w:color w:val="231F20"/>
                            <w:spacing w:val="-7"/>
                            <w:sz w:val="14"/>
                          </w:rPr>
                          <w:t>10</w:t>
                        </w:r>
                      </w:p>
                    </w:txbxContent>
                  </v:textbox>
                  <w10:wrap type="none"/>
                </v:shape>
                <v:shape style="position:absolute;left:2495;top:3900;width:155;height:159" type="#_x0000_t202" id="docshape1064" filled="false" stroked="false">
                  <v:textbox inset="0,0,0,0">
                    <w:txbxContent>
                      <w:p>
                        <w:pPr>
                          <w:spacing w:line="158" w:lineRule="exact" w:before="0"/>
                          <w:ind w:left="0" w:right="0" w:firstLine="0"/>
                          <w:jc w:val="left"/>
                          <w:rPr>
                            <w:rFonts w:ascii="Arial"/>
                            <w:sz w:val="14"/>
                          </w:rPr>
                        </w:pPr>
                        <w:r>
                          <w:rPr>
                            <w:rFonts w:ascii="Arial"/>
                            <w:color w:val="231F20"/>
                            <w:spacing w:val="-7"/>
                            <w:sz w:val="14"/>
                          </w:rPr>
                          <w:t>20</w:t>
                        </w:r>
                      </w:p>
                    </w:txbxContent>
                  </v:textbox>
                  <w10:wrap type="none"/>
                </v:shape>
                <v:shape style="position:absolute;left:3580;top:3900;width:155;height:159" type="#_x0000_t202" id="docshape1065" filled="false" stroked="false">
                  <v:textbox inset="0,0,0,0">
                    <w:txbxContent>
                      <w:p>
                        <w:pPr>
                          <w:spacing w:line="158" w:lineRule="exact" w:before="0"/>
                          <w:ind w:left="0" w:right="0" w:firstLine="0"/>
                          <w:jc w:val="left"/>
                          <w:rPr>
                            <w:rFonts w:ascii="Arial"/>
                            <w:sz w:val="14"/>
                          </w:rPr>
                        </w:pPr>
                        <w:r>
                          <w:rPr>
                            <w:rFonts w:ascii="Arial"/>
                            <w:color w:val="231F20"/>
                            <w:spacing w:val="-7"/>
                            <w:sz w:val="14"/>
                          </w:rPr>
                          <w:t>30</w:t>
                        </w:r>
                      </w:p>
                    </w:txbxContent>
                  </v:textbox>
                  <w10:wrap type="none"/>
                </v:shape>
                <v:shape style="position:absolute;left:4014;top:3800;width:197;height:259" type="#_x0000_t202" id="docshape1066" filled="false" stroked="false">
                  <v:textbox inset="0,0,0,0">
                    <w:txbxContent>
                      <w:p>
                        <w:pPr>
                          <w:spacing w:line="235" w:lineRule="auto" w:before="0"/>
                          <w:ind w:left="0" w:right="0" w:firstLine="0"/>
                          <w:jc w:val="left"/>
                          <w:rPr>
                            <w:rFonts w:ascii="Arial"/>
                            <w:sz w:val="14"/>
                          </w:rPr>
                        </w:pPr>
                        <w:r>
                          <w:rPr>
                            <w:rFonts w:ascii="Arial"/>
                            <w:color w:val="231F20"/>
                            <w:spacing w:val="-4"/>
                            <w:sz w:val="14"/>
                          </w:rPr>
                          <w:t>0</w:t>
                        </w:r>
                        <w:r>
                          <w:rPr>
                            <w:rFonts w:ascii="Arial"/>
                            <w:color w:val="231F20"/>
                            <w:spacing w:val="-6"/>
                            <w:sz w:val="14"/>
                          </w:rPr>
                          <w:t> </w:t>
                        </w:r>
                        <w:r>
                          <w:rPr>
                            <w:rFonts w:ascii="Arial"/>
                            <w:color w:val="231F20"/>
                            <w:spacing w:val="-12"/>
                            <w:position w:val="-9"/>
                            <w:sz w:val="14"/>
                          </w:rPr>
                          <w:t>0</w:t>
                        </w:r>
                      </w:p>
                    </w:txbxContent>
                  </v:textbox>
                  <w10:wrap type="none"/>
                </v:shape>
                <v:shape style="position:absolute;left:4774;top:3900;width:88;height:159" type="#_x0000_t202" id="docshape1067" filled="false" stroked="false">
                  <v:textbox inset="0,0,0,0">
                    <w:txbxContent>
                      <w:p>
                        <w:pPr>
                          <w:spacing w:line="158" w:lineRule="exact" w:before="0"/>
                          <w:ind w:left="0" w:right="0" w:firstLine="0"/>
                          <w:jc w:val="left"/>
                          <w:rPr>
                            <w:rFonts w:ascii="Arial"/>
                            <w:sz w:val="14"/>
                          </w:rPr>
                        </w:pPr>
                        <w:r>
                          <w:rPr>
                            <w:rFonts w:ascii="Arial"/>
                            <w:color w:val="231F20"/>
                            <w:spacing w:val="-10"/>
                            <w:sz w:val="14"/>
                          </w:rPr>
                          <w:t>5</w:t>
                        </w:r>
                      </w:p>
                    </w:txbxContent>
                  </v:textbox>
                  <w10:wrap type="none"/>
                </v:shape>
                <v:shape style="position:absolute;left:5392;top:3900;width:155;height:159" type="#_x0000_t202" id="docshape1068" filled="false" stroked="false">
                  <v:textbox inset="0,0,0,0">
                    <w:txbxContent>
                      <w:p>
                        <w:pPr>
                          <w:spacing w:line="158" w:lineRule="exact" w:before="0"/>
                          <w:ind w:left="0" w:right="0" w:firstLine="0"/>
                          <w:jc w:val="left"/>
                          <w:rPr>
                            <w:rFonts w:ascii="Arial"/>
                            <w:sz w:val="14"/>
                          </w:rPr>
                        </w:pPr>
                        <w:r>
                          <w:rPr>
                            <w:rFonts w:ascii="Arial"/>
                            <w:color w:val="231F20"/>
                            <w:spacing w:val="-7"/>
                            <w:sz w:val="14"/>
                          </w:rPr>
                          <w:t>10</w:t>
                        </w:r>
                      </w:p>
                    </w:txbxContent>
                  </v:textbox>
                  <w10:wrap type="none"/>
                </v:shape>
                <v:shape style="position:absolute;left:6043;top:3900;width:155;height:159" type="#_x0000_t202" id="docshape1069" filled="false" stroked="false">
                  <v:textbox inset="0,0,0,0">
                    <w:txbxContent>
                      <w:p>
                        <w:pPr>
                          <w:spacing w:line="158" w:lineRule="exact" w:before="0"/>
                          <w:ind w:left="0" w:right="0" w:firstLine="0"/>
                          <w:jc w:val="left"/>
                          <w:rPr>
                            <w:rFonts w:ascii="Arial"/>
                            <w:sz w:val="14"/>
                          </w:rPr>
                        </w:pPr>
                        <w:r>
                          <w:rPr>
                            <w:rFonts w:ascii="Arial"/>
                            <w:color w:val="231F20"/>
                            <w:spacing w:val="-7"/>
                            <w:sz w:val="14"/>
                          </w:rPr>
                          <w:t>15</w:t>
                        </w:r>
                      </w:p>
                    </w:txbxContent>
                  </v:textbox>
                  <w10:wrap type="none"/>
                </v:shape>
                <v:shape style="position:absolute;left:6694;top:3900;width:155;height:159" type="#_x0000_t202" id="docshape1070" filled="false" stroked="false">
                  <v:textbox inset="0,0,0,0">
                    <w:txbxContent>
                      <w:p>
                        <w:pPr>
                          <w:spacing w:line="158" w:lineRule="exact" w:before="0"/>
                          <w:ind w:left="0" w:right="0" w:firstLine="0"/>
                          <w:jc w:val="left"/>
                          <w:rPr>
                            <w:rFonts w:ascii="Arial"/>
                            <w:sz w:val="14"/>
                          </w:rPr>
                        </w:pPr>
                        <w:r>
                          <w:rPr>
                            <w:rFonts w:ascii="Arial"/>
                            <w:color w:val="231F20"/>
                            <w:spacing w:val="-7"/>
                            <w:sz w:val="14"/>
                          </w:rPr>
                          <w:t>20</w:t>
                        </w:r>
                      </w:p>
                    </w:txbxContent>
                  </v:textbox>
                  <w10:wrap type="none"/>
                </v:shape>
                <v:shape style="position:absolute;left:7345;top:3900;width:155;height:159" type="#_x0000_t202" id="docshape1071" filled="false" stroked="false">
                  <v:textbox inset="0,0,0,0">
                    <w:txbxContent>
                      <w:p>
                        <w:pPr>
                          <w:spacing w:line="158" w:lineRule="exact" w:before="0"/>
                          <w:ind w:left="0" w:right="0" w:firstLine="0"/>
                          <w:jc w:val="left"/>
                          <w:rPr>
                            <w:rFonts w:ascii="Arial"/>
                            <w:sz w:val="14"/>
                          </w:rPr>
                        </w:pPr>
                        <w:r>
                          <w:rPr>
                            <w:rFonts w:ascii="Arial"/>
                            <w:color w:val="231F20"/>
                            <w:spacing w:val="-7"/>
                            <w:sz w:val="14"/>
                          </w:rPr>
                          <w:t>25</w:t>
                        </w:r>
                      </w:p>
                    </w:txbxContent>
                  </v:textbox>
                  <w10:wrap type="none"/>
                </v:shape>
                <v:shape style="position:absolute;left:120;top:4100;width:6255;height:591" type="#_x0000_t202" id="docshape1072" filled="false" stroked="false">
                  <v:textbox inset="0,0,0,0">
                    <w:txbxContent>
                      <w:p>
                        <w:pPr>
                          <w:tabs>
                            <w:tab w:pos="5094" w:val="left" w:leader="none"/>
                          </w:tabs>
                          <w:spacing w:line="159" w:lineRule="exact" w:before="0"/>
                          <w:ind w:left="1329" w:right="0" w:firstLine="0"/>
                          <w:jc w:val="left"/>
                          <w:rPr>
                            <w:rFonts w:ascii="Arial"/>
                            <w:sz w:val="14"/>
                          </w:rPr>
                        </w:pPr>
                        <w:r>
                          <w:rPr>
                            <w:rFonts w:ascii="Arial"/>
                            <w:color w:val="231F20"/>
                            <w:w w:val="80"/>
                            <w:sz w:val="14"/>
                          </w:rPr>
                          <w:t>Mean</w:t>
                        </w:r>
                        <w:r>
                          <w:rPr>
                            <w:rFonts w:ascii="Arial"/>
                            <w:color w:val="231F20"/>
                            <w:spacing w:val="-7"/>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6"/>
                            <w:sz w:val="14"/>
                          </w:rPr>
                          <w:t> </w:t>
                        </w:r>
                        <w:r>
                          <w:rPr>
                            <w:rFonts w:ascii="Arial"/>
                            <w:color w:val="231F20"/>
                            <w:spacing w:val="-2"/>
                            <w:w w:val="80"/>
                            <w:sz w:val="14"/>
                          </w:rPr>
                          <w:t>(days)</w:t>
                        </w:r>
                        <w:r>
                          <w:rPr>
                            <w:rFonts w:ascii="Arial"/>
                            <w:color w:val="231F20"/>
                            <w:sz w:val="14"/>
                          </w:rPr>
                          <w:tab/>
                        </w:r>
                        <w:r>
                          <w:rPr>
                            <w:rFonts w:ascii="Arial"/>
                            <w:color w:val="231F20"/>
                            <w:w w:val="80"/>
                            <w:sz w:val="14"/>
                          </w:rPr>
                          <w:t>Mean</w:t>
                        </w:r>
                        <w:r>
                          <w:rPr>
                            <w:rFonts w:ascii="Arial"/>
                            <w:color w:val="231F20"/>
                            <w:spacing w:val="-9"/>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6"/>
                            <w:sz w:val="14"/>
                          </w:rPr>
                          <w:t> </w:t>
                        </w:r>
                        <w:r>
                          <w:rPr>
                            <w:rFonts w:ascii="Arial"/>
                            <w:color w:val="231F20"/>
                            <w:spacing w:val="-2"/>
                            <w:w w:val="80"/>
                            <w:sz w:val="14"/>
                          </w:rPr>
                          <w:t>(days)</w:t>
                        </w:r>
                      </w:p>
                      <w:p>
                        <w:pPr>
                          <w:spacing w:before="146"/>
                          <w:ind w:left="0" w:right="0" w:firstLine="0"/>
                          <w:jc w:val="left"/>
                          <w:rPr>
                            <w:rFonts w:ascii="Arial"/>
                            <w:sz w:val="12"/>
                          </w:rPr>
                        </w:pPr>
                        <w:r>
                          <w:rPr>
                            <w:rFonts w:ascii="Arial"/>
                            <w:i/>
                            <w:color w:val="231F20"/>
                            <w:w w:val="75"/>
                            <w:sz w:val="12"/>
                          </w:rPr>
                          <w:t>Source:</w:t>
                        </w:r>
                        <w:r>
                          <w:rPr>
                            <w:rFonts w:ascii="Arial"/>
                            <w:i/>
                            <w:color w:val="231F20"/>
                            <w:spacing w:val="-4"/>
                            <w:sz w:val="12"/>
                          </w:rPr>
                          <w:t> </w:t>
                        </w:r>
                        <w:r>
                          <w:rPr>
                            <w:rFonts w:ascii="Arial"/>
                            <w:color w:val="231F20"/>
                            <w:w w:val="75"/>
                            <w:sz w:val="12"/>
                          </w:rPr>
                          <w:t>TradeLens</w:t>
                        </w:r>
                        <w:r>
                          <w:rPr>
                            <w:rFonts w:ascii="Arial"/>
                            <w:color w:val="231F20"/>
                            <w:spacing w:val="2"/>
                            <w:sz w:val="12"/>
                          </w:rPr>
                          <w:t> </w:t>
                        </w:r>
                        <w:r>
                          <w:rPr>
                            <w:rFonts w:ascii="Arial"/>
                            <w:color w:val="231F20"/>
                            <w:w w:val="75"/>
                            <w:sz w:val="12"/>
                          </w:rPr>
                          <w:t>and</w:t>
                        </w:r>
                        <w:r>
                          <w:rPr>
                            <w:rFonts w:ascii="Arial"/>
                            <w:color w:val="231F20"/>
                            <w:spacing w:val="1"/>
                            <w:sz w:val="12"/>
                          </w:rPr>
                          <w:t> </w:t>
                        </w:r>
                        <w:r>
                          <w:rPr>
                            <w:rFonts w:ascii="Arial"/>
                            <w:color w:val="231F20"/>
                            <w:w w:val="75"/>
                            <w:sz w:val="12"/>
                          </w:rPr>
                          <w:t>Cargo</w:t>
                        </w:r>
                        <w:r>
                          <w:rPr>
                            <w:rFonts w:ascii="Arial"/>
                            <w:color w:val="231F20"/>
                            <w:spacing w:val="2"/>
                            <w:sz w:val="12"/>
                          </w:rPr>
                          <w:t> </w:t>
                        </w:r>
                        <w:r>
                          <w:rPr>
                            <w:rFonts w:ascii="Arial"/>
                            <w:color w:val="231F20"/>
                            <w:spacing w:val="-5"/>
                            <w:w w:val="75"/>
                            <w:sz w:val="12"/>
                          </w:rPr>
                          <w:t>iQ.</w:t>
                        </w:r>
                      </w:p>
                      <w:p>
                        <w:pPr>
                          <w:spacing w:before="2"/>
                          <w:ind w:left="0" w:right="0" w:firstLine="0"/>
                          <w:jc w:val="left"/>
                          <w:rPr>
                            <w:rFonts w:ascii="Arial"/>
                            <w:sz w:val="12"/>
                          </w:rPr>
                        </w:pPr>
                        <w:r>
                          <w:rPr>
                            <w:rFonts w:ascii="Arial"/>
                            <w:i/>
                            <w:color w:val="231F20"/>
                            <w:w w:val="80"/>
                            <w:sz w:val="12"/>
                          </w:rPr>
                          <w:t>Note:</w:t>
                        </w:r>
                        <w:r>
                          <w:rPr>
                            <w:rFonts w:ascii="Arial"/>
                            <w:i/>
                            <w:color w:val="231F20"/>
                            <w:spacing w:val="-2"/>
                            <w:w w:val="80"/>
                            <w:sz w:val="12"/>
                          </w:rPr>
                          <w:t> </w:t>
                        </w:r>
                        <w:r>
                          <w:rPr>
                            <w:rFonts w:ascii="Arial"/>
                            <w:color w:val="231F20"/>
                            <w:w w:val="80"/>
                            <w:sz w:val="12"/>
                          </w:rPr>
                          <w:t>Data</w:t>
                        </w:r>
                        <w:r>
                          <w:rPr>
                            <w:rFonts w:ascii="Arial"/>
                            <w:color w:val="231F20"/>
                            <w:spacing w:val="-6"/>
                            <w:sz w:val="12"/>
                          </w:rPr>
                          <w:t> </w:t>
                        </w:r>
                        <w:r>
                          <w:rPr>
                            <w:rFonts w:ascii="Arial"/>
                            <w:color w:val="231F20"/>
                            <w:w w:val="80"/>
                            <w:sz w:val="12"/>
                          </w:rPr>
                          <w:t>on</w:t>
                        </w:r>
                        <w:r>
                          <w:rPr>
                            <w:rFonts w:ascii="Arial"/>
                            <w:color w:val="231F20"/>
                            <w:spacing w:val="-6"/>
                            <w:sz w:val="12"/>
                          </w:rPr>
                          <w:t> </w:t>
                        </w:r>
                        <w:r>
                          <w:rPr>
                            <w:rFonts w:ascii="Arial"/>
                            <w:color w:val="231F20"/>
                            <w:w w:val="80"/>
                            <w:sz w:val="12"/>
                          </w:rPr>
                          <w:t>ports</w:t>
                        </w:r>
                        <w:r>
                          <w:rPr>
                            <w:rFonts w:ascii="Arial"/>
                            <w:color w:val="231F20"/>
                            <w:spacing w:val="-1"/>
                            <w:w w:val="80"/>
                            <w:sz w:val="12"/>
                          </w:rPr>
                          <w:t> </w:t>
                        </w:r>
                        <w:r>
                          <w:rPr>
                            <w:rFonts w:ascii="Arial"/>
                            <w:color w:val="231F20"/>
                            <w:w w:val="80"/>
                            <w:sz w:val="12"/>
                          </w:rPr>
                          <w:t>cover</w:t>
                        </w:r>
                        <w:r>
                          <w:rPr>
                            <w:rFonts w:ascii="Arial"/>
                            <w:color w:val="231F20"/>
                            <w:spacing w:val="-6"/>
                            <w:sz w:val="12"/>
                          </w:rPr>
                          <w:t> </w:t>
                        </w:r>
                        <w:r>
                          <w:rPr>
                            <w:rFonts w:ascii="Arial"/>
                            <w:color w:val="231F20"/>
                            <w:w w:val="80"/>
                            <w:sz w:val="12"/>
                          </w:rPr>
                          <w:t>370</w:t>
                        </w:r>
                        <w:r>
                          <w:rPr>
                            <w:rFonts w:ascii="Arial"/>
                            <w:color w:val="231F20"/>
                            <w:spacing w:val="-7"/>
                            <w:sz w:val="12"/>
                          </w:rPr>
                          <w:t> </w:t>
                        </w:r>
                        <w:r>
                          <w:rPr>
                            <w:rFonts w:ascii="Arial"/>
                            <w:color w:val="231F20"/>
                            <w:w w:val="80"/>
                            <w:sz w:val="12"/>
                          </w:rPr>
                          <w:t>ports,</w:t>
                        </w:r>
                        <w:r>
                          <w:rPr>
                            <w:rFonts w:ascii="Arial"/>
                            <w:color w:val="231F20"/>
                            <w:spacing w:val="-2"/>
                            <w:w w:val="80"/>
                            <w:sz w:val="12"/>
                          </w:rPr>
                          <w:t> </w:t>
                        </w:r>
                        <w:r>
                          <w:rPr>
                            <w:rFonts w:ascii="Arial"/>
                            <w:color w:val="231F20"/>
                            <w:w w:val="80"/>
                            <w:sz w:val="12"/>
                          </w:rPr>
                          <w:t>and</w:t>
                        </w:r>
                        <w:r>
                          <w:rPr>
                            <w:rFonts w:ascii="Arial"/>
                            <w:color w:val="231F20"/>
                            <w:spacing w:val="-7"/>
                            <w:sz w:val="12"/>
                          </w:rPr>
                          <w:t> </w:t>
                        </w:r>
                        <w:r>
                          <w:rPr>
                            <w:rFonts w:ascii="Arial"/>
                            <w:color w:val="231F20"/>
                            <w:w w:val="80"/>
                            <w:sz w:val="12"/>
                          </w:rPr>
                          <w:t>data</w:t>
                        </w:r>
                        <w:r>
                          <w:rPr>
                            <w:rFonts w:ascii="Arial"/>
                            <w:color w:val="231F20"/>
                            <w:spacing w:val="-6"/>
                            <w:sz w:val="12"/>
                          </w:rPr>
                          <w:t> </w:t>
                        </w:r>
                        <w:r>
                          <w:rPr>
                            <w:rFonts w:ascii="Arial"/>
                            <w:color w:val="231F20"/>
                            <w:w w:val="80"/>
                            <w:sz w:val="12"/>
                          </w:rPr>
                          <w:t>on</w:t>
                        </w:r>
                        <w:r>
                          <w:rPr>
                            <w:rFonts w:ascii="Arial"/>
                            <w:color w:val="231F20"/>
                            <w:spacing w:val="-7"/>
                            <w:sz w:val="12"/>
                          </w:rPr>
                          <w:t> </w:t>
                        </w:r>
                        <w:r>
                          <w:rPr>
                            <w:rFonts w:ascii="Arial"/>
                            <w:color w:val="231F20"/>
                            <w:w w:val="80"/>
                            <w:sz w:val="12"/>
                          </w:rPr>
                          <w:t>airports</w:t>
                        </w:r>
                        <w:r>
                          <w:rPr>
                            <w:rFonts w:ascii="Arial"/>
                            <w:color w:val="231F20"/>
                            <w:spacing w:val="-6"/>
                            <w:sz w:val="12"/>
                          </w:rPr>
                          <w:t> </w:t>
                        </w:r>
                        <w:r>
                          <w:rPr>
                            <w:rFonts w:ascii="Arial"/>
                            <w:color w:val="231F20"/>
                            <w:w w:val="80"/>
                            <w:sz w:val="12"/>
                          </w:rPr>
                          <w:t>cover</w:t>
                        </w:r>
                        <w:r>
                          <w:rPr>
                            <w:rFonts w:ascii="Arial"/>
                            <w:color w:val="231F20"/>
                            <w:spacing w:val="-7"/>
                            <w:sz w:val="12"/>
                          </w:rPr>
                          <w:t> </w:t>
                        </w:r>
                        <w:r>
                          <w:rPr>
                            <w:rFonts w:ascii="Arial"/>
                            <w:color w:val="231F20"/>
                            <w:w w:val="80"/>
                            <w:sz w:val="12"/>
                          </w:rPr>
                          <w:t>470</w:t>
                        </w:r>
                        <w:r>
                          <w:rPr>
                            <w:rFonts w:ascii="Arial"/>
                            <w:color w:val="231F20"/>
                            <w:spacing w:val="-6"/>
                            <w:sz w:val="12"/>
                          </w:rPr>
                          <w:t> </w:t>
                        </w:r>
                        <w:r>
                          <w:rPr>
                            <w:rFonts w:ascii="Arial"/>
                            <w:color w:val="231F20"/>
                            <w:w w:val="80"/>
                            <w:sz w:val="12"/>
                          </w:rPr>
                          <w:t>airports</w:t>
                        </w:r>
                        <w:r>
                          <w:rPr>
                            <w:rFonts w:ascii="Arial"/>
                            <w:color w:val="231F20"/>
                            <w:spacing w:val="-6"/>
                            <w:sz w:val="12"/>
                          </w:rPr>
                          <w:t> </w:t>
                        </w:r>
                        <w:r>
                          <w:rPr>
                            <w:rFonts w:ascii="Arial"/>
                            <w:color w:val="231F20"/>
                            <w:w w:val="80"/>
                            <w:sz w:val="12"/>
                          </w:rPr>
                          <w:t>that</w:t>
                        </w:r>
                        <w:r>
                          <w:rPr>
                            <w:rFonts w:ascii="Arial"/>
                            <w:color w:val="231F20"/>
                            <w:spacing w:val="-7"/>
                            <w:sz w:val="12"/>
                          </w:rPr>
                          <w:t> </w:t>
                        </w:r>
                        <w:r>
                          <w:rPr>
                            <w:rFonts w:ascii="Arial"/>
                            <w:color w:val="231F20"/>
                            <w:w w:val="80"/>
                            <w:sz w:val="12"/>
                          </w:rPr>
                          <w:t>had</w:t>
                        </w:r>
                        <w:r>
                          <w:rPr>
                            <w:rFonts w:ascii="Arial"/>
                            <w:color w:val="231F20"/>
                            <w:spacing w:val="-6"/>
                            <w:sz w:val="12"/>
                          </w:rPr>
                          <w:t> </w:t>
                        </w:r>
                        <w:r>
                          <w:rPr>
                            <w:rFonts w:ascii="Arial"/>
                            <w:color w:val="231F20"/>
                            <w:w w:val="80"/>
                            <w:sz w:val="12"/>
                          </w:rPr>
                          <w:t>at</w:t>
                        </w:r>
                        <w:r>
                          <w:rPr>
                            <w:rFonts w:ascii="Arial"/>
                            <w:color w:val="231F20"/>
                            <w:spacing w:val="-7"/>
                            <w:sz w:val="12"/>
                          </w:rPr>
                          <w:t> </w:t>
                        </w:r>
                        <w:r>
                          <w:rPr>
                            <w:rFonts w:ascii="Arial"/>
                            <w:color w:val="231F20"/>
                            <w:w w:val="80"/>
                            <w:sz w:val="12"/>
                          </w:rPr>
                          <w:t>least</w:t>
                        </w:r>
                        <w:r>
                          <w:rPr>
                            <w:rFonts w:ascii="Arial"/>
                            <w:color w:val="231F20"/>
                            <w:spacing w:val="-6"/>
                            <w:sz w:val="12"/>
                          </w:rPr>
                          <w:t> </w:t>
                        </w:r>
                        <w:r>
                          <w:rPr>
                            <w:rFonts w:ascii="Arial"/>
                            <w:color w:val="231F20"/>
                            <w:w w:val="80"/>
                            <w:sz w:val="12"/>
                          </w:rPr>
                          <w:t>120</w:t>
                        </w:r>
                        <w:r>
                          <w:rPr>
                            <w:rFonts w:ascii="Arial"/>
                            <w:color w:val="231F20"/>
                            <w:spacing w:val="-7"/>
                            <w:sz w:val="12"/>
                          </w:rPr>
                          <w:t> </w:t>
                        </w:r>
                        <w:r>
                          <w:rPr>
                            <w:rFonts w:ascii="Arial"/>
                            <w:color w:val="231F20"/>
                            <w:spacing w:val="-2"/>
                            <w:w w:val="80"/>
                            <w:sz w:val="12"/>
                          </w:rPr>
                          <w:t>records.</w:t>
                        </w:r>
                      </w:p>
                    </w:txbxContent>
                  </v:textbox>
                  <w10:wrap type="none"/>
                </v:shape>
              </v:group>
            </w:pict>
          </mc:Fallback>
        </mc:AlternateContent>
      </w:r>
      <w:r>
        <w:rPr>
          <w:sz w:val="20"/>
        </w:rPr>
      </w:r>
    </w:p>
    <w:p>
      <w:pPr>
        <w:pStyle w:val="BodyText"/>
        <w:spacing w:before="8"/>
        <w:rPr>
          <w:sz w:val="15"/>
        </w:rPr>
      </w:pPr>
      <w:r>
        <w:rPr/>
        <mc:AlternateContent>
          <mc:Choice Requires="wps">
            <w:drawing>
              <wp:anchor distT="0" distB="0" distL="0" distR="0" allowOverlap="1" layoutInCell="1" locked="0" behindDoc="1" simplePos="0" relativeHeight="487613952">
                <wp:simplePos x="0" y="0"/>
                <wp:positionH relativeFrom="page">
                  <wp:posOffset>762000</wp:posOffset>
                </wp:positionH>
                <wp:positionV relativeFrom="paragraph">
                  <wp:posOffset>142548</wp:posOffset>
                </wp:positionV>
                <wp:extent cx="4877435" cy="3110230"/>
                <wp:effectExtent l="0" t="0" r="0" b="0"/>
                <wp:wrapTopAndBottom/>
                <wp:docPr id="1252" name="Group 1252"/>
                <wp:cNvGraphicFramePr>
                  <a:graphicFrameLocks/>
                </wp:cNvGraphicFramePr>
                <a:graphic>
                  <a:graphicData uri="http://schemas.microsoft.com/office/word/2010/wordprocessingGroup">
                    <wpg:wgp>
                      <wpg:cNvPr id="1252" name="Group 1252"/>
                      <wpg:cNvGrpSpPr/>
                      <wpg:grpSpPr>
                        <a:xfrm>
                          <a:off x="0" y="0"/>
                          <a:ext cx="4877435" cy="3110230"/>
                          <a:chExt cx="4877435" cy="3110230"/>
                        </a:xfrm>
                      </wpg:grpSpPr>
                      <wps:wsp>
                        <wps:cNvPr id="1253" name="Graphic 1253"/>
                        <wps:cNvSpPr/>
                        <wps:spPr>
                          <a:xfrm>
                            <a:off x="198" y="385093"/>
                            <a:ext cx="4876800" cy="2724785"/>
                          </a:xfrm>
                          <a:custGeom>
                            <a:avLst/>
                            <a:gdLst/>
                            <a:ahLst/>
                            <a:cxnLst/>
                            <a:rect l="l" t="t" r="r" b="b"/>
                            <a:pathLst>
                              <a:path w="4876800" h="2724785">
                                <a:moveTo>
                                  <a:pt x="4876800" y="0"/>
                                </a:moveTo>
                                <a:lnTo>
                                  <a:pt x="0" y="0"/>
                                </a:lnTo>
                                <a:lnTo>
                                  <a:pt x="0" y="2649854"/>
                                </a:lnTo>
                                <a:lnTo>
                                  <a:pt x="6159" y="2678953"/>
                                </a:lnTo>
                                <a:lnTo>
                                  <a:pt x="22693" y="2702713"/>
                                </a:lnTo>
                                <a:lnTo>
                                  <a:pt x="46682" y="2718733"/>
                                </a:lnTo>
                                <a:lnTo>
                                  <a:pt x="75209" y="2724607"/>
                                </a:lnTo>
                                <a:lnTo>
                                  <a:pt x="4797920" y="2724607"/>
                                </a:lnTo>
                                <a:lnTo>
                                  <a:pt x="4827020" y="2719352"/>
                                </a:lnTo>
                                <a:lnTo>
                                  <a:pt x="4852271" y="2704366"/>
                                </a:lnTo>
                                <a:lnTo>
                                  <a:pt x="4870066" y="2680812"/>
                                </a:lnTo>
                                <a:lnTo>
                                  <a:pt x="4876800" y="2649854"/>
                                </a:lnTo>
                                <a:lnTo>
                                  <a:pt x="4876800" y="0"/>
                                </a:lnTo>
                                <a:close/>
                              </a:path>
                            </a:pathLst>
                          </a:custGeom>
                          <a:solidFill>
                            <a:srgbClr val="DFEAF7"/>
                          </a:solidFill>
                        </wps:spPr>
                        <wps:bodyPr wrap="square" lIns="0" tIns="0" rIns="0" bIns="0" rtlCol="0">
                          <a:prstTxWarp prst="textNoShape">
                            <a:avLst/>
                          </a:prstTxWarp>
                          <a:noAutofit/>
                        </wps:bodyPr>
                      </wps:wsp>
                      <wps:wsp>
                        <wps:cNvPr id="1254" name="Graphic 1254"/>
                        <wps:cNvSpPr/>
                        <wps:spPr>
                          <a:xfrm>
                            <a:off x="2639943" y="2587724"/>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255" name="Graphic 1255"/>
                        <wps:cNvSpPr/>
                        <wps:spPr>
                          <a:xfrm>
                            <a:off x="2639943" y="2132552"/>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256" name="Graphic 1256"/>
                        <wps:cNvSpPr/>
                        <wps:spPr>
                          <a:xfrm>
                            <a:off x="2639943" y="1677380"/>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257" name="Graphic 1257"/>
                        <wps:cNvSpPr/>
                        <wps:spPr>
                          <a:xfrm>
                            <a:off x="2639943" y="1222207"/>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258" name="Graphic 1258"/>
                        <wps:cNvSpPr/>
                        <wps:spPr>
                          <a:xfrm>
                            <a:off x="2639943" y="767035"/>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259" name="Graphic 1259"/>
                        <wps:cNvSpPr/>
                        <wps:spPr>
                          <a:xfrm>
                            <a:off x="248991" y="2587724"/>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260" name="Graphic 1260"/>
                        <wps:cNvSpPr/>
                        <wps:spPr>
                          <a:xfrm>
                            <a:off x="248991" y="2132552"/>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261" name="Graphic 1261"/>
                        <wps:cNvSpPr/>
                        <wps:spPr>
                          <a:xfrm>
                            <a:off x="248991" y="1677380"/>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262" name="Graphic 1262"/>
                        <wps:cNvSpPr/>
                        <wps:spPr>
                          <a:xfrm>
                            <a:off x="248991" y="1222207"/>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263" name="Graphic 1263"/>
                        <wps:cNvSpPr/>
                        <wps:spPr>
                          <a:xfrm>
                            <a:off x="248991" y="767035"/>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264" name="Graphic 1264"/>
                        <wps:cNvSpPr/>
                        <wps:spPr>
                          <a:xfrm>
                            <a:off x="0" y="0"/>
                            <a:ext cx="512445" cy="358775"/>
                          </a:xfrm>
                          <a:custGeom>
                            <a:avLst/>
                            <a:gdLst/>
                            <a:ahLst/>
                            <a:cxnLst/>
                            <a:rect l="l" t="t" r="r" b="b"/>
                            <a:pathLst>
                              <a:path w="512445" h="358775">
                                <a:moveTo>
                                  <a:pt x="512178" y="0"/>
                                </a:moveTo>
                                <a:lnTo>
                                  <a:pt x="76200" y="0"/>
                                </a:lnTo>
                                <a:lnTo>
                                  <a:pt x="47213" y="3058"/>
                                </a:lnTo>
                                <a:lnTo>
                                  <a:pt x="22917" y="14506"/>
                                </a:lnTo>
                                <a:lnTo>
                                  <a:pt x="6212" y="37751"/>
                                </a:lnTo>
                                <a:lnTo>
                                  <a:pt x="0" y="76200"/>
                                </a:lnTo>
                                <a:lnTo>
                                  <a:pt x="0" y="358775"/>
                                </a:lnTo>
                                <a:lnTo>
                                  <a:pt x="512178" y="358775"/>
                                </a:lnTo>
                                <a:lnTo>
                                  <a:pt x="512178" y="0"/>
                                </a:lnTo>
                                <a:close/>
                              </a:path>
                            </a:pathLst>
                          </a:custGeom>
                          <a:solidFill>
                            <a:srgbClr val="008FDD"/>
                          </a:solidFill>
                        </wps:spPr>
                        <wps:bodyPr wrap="square" lIns="0" tIns="0" rIns="0" bIns="0" rtlCol="0">
                          <a:prstTxWarp prst="textNoShape">
                            <a:avLst/>
                          </a:prstTxWarp>
                          <a:noAutofit/>
                        </wps:bodyPr>
                      </wps:wsp>
                      <wps:wsp>
                        <wps:cNvPr id="1265" name="Graphic 1265"/>
                        <wps:cNvSpPr/>
                        <wps:spPr>
                          <a:xfrm>
                            <a:off x="512178" y="0"/>
                            <a:ext cx="4364355" cy="358775"/>
                          </a:xfrm>
                          <a:custGeom>
                            <a:avLst/>
                            <a:gdLst/>
                            <a:ahLst/>
                            <a:cxnLst/>
                            <a:rect l="l" t="t" r="r" b="b"/>
                            <a:pathLst>
                              <a:path w="4364355" h="358775">
                                <a:moveTo>
                                  <a:pt x="4287926" y="0"/>
                                </a:moveTo>
                                <a:lnTo>
                                  <a:pt x="0" y="0"/>
                                </a:lnTo>
                                <a:lnTo>
                                  <a:pt x="0" y="358775"/>
                                </a:lnTo>
                                <a:lnTo>
                                  <a:pt x="4364126" y="358775"/>
                                </a:lnTo>
                                <a:lnTo>
                                  <a:pt x="4364126" y="76200"/>
                                </a:lnTo>
                                <a:lnTo>
                                  <a:pt x="4358620" y="50979"/>
                                </a:lnTo>
                                <a:lnTo>
                                  <a:pt x="4343095" y="26265"/>
                                </a:lnTo>
                                <a:lnTo>
                                  <a:pt x="4319035" y="7468"/>
                                </a:lnTo>
                                <a:lnTo>
                                  <a:pt x="4287926" y="0"/>
                                </a:lnTo>
                                <a:close/>
                              </a:path>
                            </a:pathLst>
                          </a:custGeom>
                          <a:solidFill>
                            <a:srgbClr val="808285"/>
                          </a:solidFill>
                        </wps:spPr>
                        <wps:bodyPr wrap="square" lIns="0" tIns="0" rIns="0" bIns="0" rtlCol="0">
                          <a:prstTxWarp prst="textNoShape">
                            <a:avLst/>
                          </a:prstTxWarp>
                          <a:noAutofit/>
                        </wps:bodyPr>
                      </wps:wsp>
                      <wps:wsp>
                        <wps:cNvPr id="1266" name="Graphic 1266"/>
                        <wps:cNvSpPr/>
                        <wps:spPr>
                          <a:xfrm>
                            <a:off x="512179" y="0"/>
                            <a:ext cx="1270" cy="367665"/>
                          </a:xfrm>
                          <a:custGeom>
                            <a:avLst/>
                            <a:gdLst/>
                            <a:ahLst/>
                            <a:cxnLst/>
                            <a:rect l="l" t="t" r="r" b="b"/>
                            <a:pathLst>
                              <a:path w="0" h="367665">
                                <a:moveTo>
                                  <a:pt x="0" y="0"/>
                                </a:moveTo>
                                <a:lnTo>
                                  <a:pt x="0" y="367487"/>
                                </a:lnTo>
                              </a:path>
                            </a:pathLst>
                          </a:custGeom>
                          <a:ln w="25400">
                            <a:solidFill>
                              <a:srgbClr val="FFFFFF"/>
                            </a:solidFill>
                            <a:prstDash val="solid"/>
                          </a:ln>
                        </wps:spPr>
                        <wps:bodyPr wrap="square" lIns="0" tIns="0" rIns="0" bIns="0" rtlCol="0">
                          <a:prstTxWarp prst="textNoShape">
                            <a:avLst/>
                          </a:prstTxWarp>
                          <a:noAutofit/>
                        </wps:bodyPr>
                      </wps:wsp>
                      <wps:wsp>
                        <wps:cNvPr id="1267" name="Graphic 1267"/>
                        <wps:cNvSpPr/>
                        <wps:spPr>
                          <a:xfrm>
                            <a:off x="2639943" y="2587724"/>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pic:pic>
                        <pic:nvPicPr>
                          <pic:cNvPr id="1268" name="Image 1268"/>
                          <pic:cNvPicPr/>
                        </pic:nvPicPr>
                        <pic:blipFill>
                          <a:blip r:embed="rId85" cstate="print"/>
                          <a:stretch>
                            <a:fillRect/>
                          </a:stretch>
                        </pic:blipFill>
                        <pic:spPr>
                          <a:xfrm>
                            <a:off x="257529" y="1050977"/>
                            <a:ext cx="1652216" cy="1161074"/>
                          </a:xfrm>
                          <a:prstGeom prst="rect">
                            <a:avLst/>
                          </a:prstGeom>
                        </pic:spPr>
                      </pic:pic>
                      <pic:pic>
                        <pic:nvPicPr>
                          <pic:cNvPr id="1269" name="Image 1269"/>
                          <pic:cNvPicPr/>
                        </pic:nvPicPr>
                        <pic:blipFill>
                          <a:blip r:embed="rId86" cstate="print"/>
                          <a:stretch>
                            <a:fillRect/>
                          </a:stretch>
                        </pic:blipFill>
                        <pic:spPr>
                          <a:xfrm>
                            <a:off x="2648018" y="1055493"/>
                            <a:ext cx="1652445" cy="1161075"/>
                          </a:xfrm>
                          <a:prstGeom prst="rect">
                            <a:avLst/>
                          </a:prstGeom>
                        </pic:spPr>
                      </pic:pic>
                      <wps:wsp>
                        <wps:cNvPr id="1270" name="Textbox 1270"/>
                        <wps:cNvSpPr txBox="1"/>
                        <wps:spPr>
                          <a:xfrm>
                            <a:off x="76380" y="66855"/>
                            <a:ext cx="4411345" cy="248920"/>
                          </a:xfrm>
                          <a:prstGeom prst="rect">
                            <a:avLst/>
                          </a:prstGeom>
                        </wps:spPr>
                        <wps:txbx>
                          <w:txbxContent>
                            <w:p>
                              <w:pPr>
                                <w:spacing w:line="261" w:lineRule="auto" w:before="0"/>
                                <w:ind w:left="800" w:right="18" w:hanging="800"/>
                                <w:jc w:val="left"/>
                                <w:rPr>
                                  <w:rFonts w:ascii="Arial" w:hAnsi="Arial"/>
                                  <w:b/>
                                  <w:sz w:val="16"/>
                                </w:rPr>
                              </w:pPr>
                              <w:r>
                                <w:rPr>
                                  <w:rFonts w:ascii="Arial" w:hAnsi="Arial"/>
                                  <w:color w:val="FFFFFF"/>
                                  <w:w w:val="105"/>
                                  <w:sz w:val="16"/>
                                </w:rPr>
                                <w:t>Figure</w:t>
                              </w:r>
                              <w:r>
                                <w:rPr>
                                  <w:rFonts w:ascii="Arial" w:hAnsi="Arial"/>
                                  <w:color w:val="FFFFFF"/>
                                  <w:spacing w:val="-5"/>
                                  <w:w w:val="105"/>
                                  <w:sz w:val="16"/>
                                </w:rPr>
                                <w:t> </w:t>
                              </w:r>
                              <w:r>
                                <w:rPr>
                                  <w:rFonts w:ascii="Arial" w:hAnsi="Arial"/>
                                  <w:b/>
                                  <w:color w:val="FFFFFF"/>
                                  <w:w w:val="105"/>
                                  <w:sz w:val="16"/>
                                </w:rPr>
                                <w:t>3.4</w:t>
                              </w:r>
                              <w:r>
                                <w:rPr>
                                  <w:rFonts w:ascii="Arial" w:hAnsi="Arial"/>
                                  <w:b/>
                                  <w:color w:val="FFFFFF"/>
                                  <w:spacing w:val="80"/>
                                  <w:w w:val="150"/>
                                  <w:sz w:val="16"/>
                                </w:rPr>
                                <w:t> </w:t>
                              </w:r>
                              <w:r>
                                <w:rPr>
                                  <w:rFonts w:ascii="Arial" w:hAnsi="Arial"/>
                                  <w:b/>
                                  <w:color w:val="FFFFFF"/>
                                  <w:w w:val="105"/>
                                  <w:sz w:val="16"/>
                                </w:rPr>
                                <w:t>Import</w:t>
                              </w:r>
                              <w:r>
                                <w:rPr>
                                  <w:rFonts w:ascii="Arial" w:hAnsi="Arial"/>
                                  <w:b/>
                                  <w:color w:val="FFFFFF"/>
                                  <w:spacing w:val="-5"/>
                                  <w:w w:val="105"/>
                                  <w:sz w:val="16"/>
                                </w:rPr>
                                <w:t> </w:t>
                              </w:r>
                              <w:r>
                                <w:rPr>
                                  <w:rFonts w:ascii="Arial" w:hAnsi="Arial"/>
                                  <w:b/>
                                  <w:color w:val="FFFFFF"/>
                                  <w:w w:val="105"/>
                                  <w:sz w:val="16"/>
                                </w:rPr>
                                <w:t>and</w:t>
                              </w:r>
                              <w:r>
                                <w:rPr>
                                  <w:rFonts w:ascii="Arial" w:hAnsi="Arial"/>
                                  <w:b/>
                                  <w:color w:val="FFFFFF"/>
                                  <w:spacing w:val="-5"/>
                                  <w:w w:val="105"/>
                                  <w:sz w:val="16"/>
                                </w:rPr>
                                <w:t> </w:t>
                              </w:r>
                              <w:r>
                                <w:rPr>
                                  <w:rFonts w:ascii="Arial" w:hAnsi="Arial"/>
                                  <w:b/>
                                  <w:color w:val="FFFFFF"/>
                                  <w:w w:val="105"/>
                                  <w:sz w:val="16"/>
                                </w:rPr>
                                <w:t>export</w:t>
                              </w:r>
                              <w:r>
                                <w:rPr>
                                  <w:rFonts w:ascii="Arial" w:hAnsi="Arial"/>
                                  <w:b/>
                                  <w:color w:val="FFFFFF"/>
                                  <w:spacing w:val="-5"/>
                                  <w:w w:val="105"/>
                                  <w:sz w:val="16"/>
                                </w:rPr>
                                <w:t> </w:t>
                              </w:r>
                              <w:r>
                                <w:rPr>
                                  <w:rFonts w:ascii="Arial" w:hAnsi="Arial"/>
                                  <w:b/>
                                  <w:color w:val="FFFFFF"/>
                                  <w:w w:val="105"/>
                                  <w:sz w:val="16"/>
                                </w:rPr>
                                <w:t>dwell</w:t>
                              </w:r>
                              <w:r>
                                <w:rPr>
                                  <w:rFonts w:ascii="Arial" w:hAnsi="Arial"/>
                                  <w:b/>
                                  <w:color w:val="FFFFFF"/>
                                  <w:spacing w:val="-5"/>
                                  <w:w w:val="105"/>
                                  <w:sz w:val="16"/>
                                </w:rPr>
                                <w:t> </w:t>
                              </w:r>
                              <w:r>
                                <w:rPr>
                                  <w:rFonts w:ascii="Arial" w:hAnsi="Arial"/>
                                  <w:b/>
                                  <w:color w:val="FFFFFF"/>
                                  <w:w w:val="105"/>
                                  <w:sz w:val="16"/>
                                </w:rPr>
                                <w:t>time</w:t>
                              </w:r>
                              <w:r>
                                <w:rPr>
                                  <w:rFonts w:ascii="Arial" w:hAnsi="Arial"/>
                                  <w:b/>
                                  <w:color w:val="FFFFFF"/>
                                  <w:spacing w:val="-5"/>
                                  <w:w w:val="105"/>
                                  <w:sz w:val="16"/>
                                </w:rPr>
                                <w:t> </w:t>
                              </w:r>
                              <w:r>
                                <w:rPr>
                                  <w:rFonts w:ascii="Arial" w:hAnsi="Arial"/>
                                  <w:b/>
                                  <w:color w:val="FFFFFF"/>
                                  <w:w w:val="105"/>
                                  <w:sz w:val="16"/>
                                </w:rPr>
                                <w:t>of</w:t>
                              </w:r>
                              <w:r>
                                <w:rPr>
                                  <w:rFonts w:ascii="Arial" w:hAnsi="Arial"/>
                                  <w:b/>
                                  <w:color w:val="FFFFFF"/>
                                  <w:spacing w:val="-5"/>
                                  <w:w w:val="105"/>
                                  <w:sz w:val="16"/>
                                </w:rPr>
                                <w:t> </w:t>
                              </w:r>
                              <w:r>
                                <w:rPr>
                                  <w:rFonts w:ascii="Arial" w:hAnsi="Arial"/>
                                  <w:b/>
                                  <w:color w:val="FFFFFF"/>
                                  <w:w w:val="105"/>
                                  <w:sz w:val="16"/>
                                </w:rPr>
                                <w:t>containers,</w:t>
                              </w:r>
                              <w:r>
                                <w:rPr>
                                  <w:rFonts w:ascii="Arial" w:hAnsi="Arial"/>
                                  <w:b/>
                                  <w:color w:val="FFFFFF"/>
                                  <w:spacing w:val="-5"/>
                                  <w:w w:val="105"/>
                                  <w:sz w:val="16"/>
                                </w:rPr>
                                <w:t> </w:t>
                              </w:r>
                              <w:r>
                                <w:rPr>
                                  <w:rFonts w:ascii="Arial" w:hAnsi="Arial"/>
                                  <w:b/>
                                  <w:color w:val="FFFFFF"/>
                                  <w:w w:val="105"/>
                                  <w:sz w:val="16"/>
                                </w:rPr>
                                <w:t>May–October</w:t>
                              </w:r>
                              <w:r>
                                <w:rPr>
                                  <w:rFonts w:ascii="Arial" w:hAnsi="Arial"/>
                                  <w:b/>
                                  <w:color w:val="FFFFFF"/>
                                  <w:spacing w:val="-5"/>
                                  <w:w w:val="105"/>
                                  <w:sz w:val="16"/>
                                </w:rPr>
                                <w:t> </w:t>
                              </w:r>
                              <w:r>
                                <w:rPr>
                                  <w:rFonts w:ascii="Arial" w:hAnsi="Arial"/>
                                  <w:b/>
                                  <w:color w:val="FFFFFF"/>
                                  <w:w w:val="105"/>
                                  <w:sz w:val="16"/>
                                </w:rPr>
                                <w:t>2022,</w:t>
                              </w:r>
                              <w:r>
                                <w:rPr>
                                  <w:rFonts w:ascii="Arial" w:hAnsi="Arial"/>
                                  <w:b/>
                                  <w:color w:val="FFFFFF"/>
                                  <w:spacing w:val="-5"/>
                                  <w:w w:val="105"/>
                                  <w:sz w:val="16"/>
                                </w:rPr>
                                <w:t> </w:t>
                              </w:r>
                              <w:r>
                                <w:rPr>
                                  <w:rFonts w:ascii="Arial" w:hAnsi="Arial"/>
                                  <w:b/>
                                  <w:color w:val="FFFFFF"/>
                                  <w:w w:val="105"/>
                                  <w:sz w:val="16"/>
                                </w:rPr>
                                <w:t>versus</w:t>
                              </w:r>
                              <w:r>
                                <w:rPr>
                                  <w:rFonts w:ascii="Arial" w:hAnsi="Arial"/>
                                  <w:b/>
                                  <w:color w:val="FFFFFF"/>
                                  <w:spacing w:val="-5"/>
                                  <w:w w:val="105"/>
                                  <w:sz w:val="16"/>
                                </w:rPr>
                                <w:t> </w:t>
                              </w:r>
                              <w:r>
                                <w:rPr>
                                  <w:rFonts w:ascii="Arial" w:hAnsi="Arial"/>
                                  <w:b/>
                                  <w:color w:val="FFFFFF"/>
                                  <w:w w:val="105"/>
                                  <w:sz w:val="16"/>
                                </w:rPr>
                                <w:t>2023 LPI score, by country</w:t>
                              </w:r>
                            </w:p>
                          </w:txbxContent>
                        </wps:txbx>
                        <wps:bodyPr wrap="square" lIns="0" tIns="0" rIns="0" bIns="0" rtlCol="0">
                          <a:noAutofit/>
                        </wps:bodyPr>
                      </wps:wsp>
                      <wps:wsp>
                        <wps:cNvPr id="1271" name="Textbox 1271"/>
                        <wps:cNvSpPr txBox="1"/>
                        <wps:spPr>
                          <a:xfrm>
                            <a:off x="1146157" y="449058"/>
                            <a:ext cx="285750" cy="105410"/>
                          </a:xfrm>
                          <a:prstGeom prst="rect">
                            <a:avLst/>
                          </a:prstGeom>
                        </wps:spPr>
                        <wps:txbx>
                          <w:txbxContent>
                            <w:p>
                              <w:pPr>
                                <w:spacing w:before="3"/>
                                <w:ind w:left="0" w:right="0" w:firstLine="0"/>
                                <w:jc w:val="left"/>
                                <w:rPr>
                                  <w:rFonts w:ascii="Arial"/>
                                  <w:b/>
                                  <w:sz w:val="14"/>
                                </w:rPr>
                              </w:pPr>
                              <w:r>
                                <w:rPr>
                                  <w:rFonts w:ascii="Arial"/>
                                  <w:b/>
                                  <w:color w:val="231F20"/>
                                  <w:spacing w:val="-2"/>
                                  <w:w w:val="85"/>
                                  <w:sz w:val="14"/>
                                </w:rPr>
                                <w:t>Imports</w:t>
                              </w:r>
                            </w:p>
                          </w:txbxContent>
                        </wps:txbx>
                        <wps:bodyPr wrap="square" lIns="0" tIns="0" rIns="0" bIns="0" rtlCol="0">
                          <a:noAutofit/>
                        </wps:bodyPr>
                      </wps:wsp>
                      <wps:wsp>
                        <wps:cNvPr id="1272" name="Textbox 1272"/>
                        <wps:cNvSpPr txBox="1"/>
                        <wps:spPr>
                          <a:xfrm>
                            <a:off x="3540348" y="449058"/>
                            <a:ext cx="279400" cy="105410"/>
                          </a:xfrm>
                          <a:prstGeom prst="rect">
                            <a:avLst/>
                          </a:prstGeom>
                        </wps:spPr>
                        <wps:txbx>
                          <w:txbxContent>
                            <w:p>
                              <w:pPr>
                                <w:spacing w:before="3"/>
                                <w:ind w:left="0" w:right="0" w:firstLine="0"/>
                                <w:jc w:val="left"/>
                                <w:rPr>
                                  <w:rFonts w:ascii="Arial"/>
                                  <w:b/>
                                  <w:sz w:val="14"/>
                                </w:rPr>
                              </w:pPr>
                              <w:r>
                                <w:rPr>
                                  <w:rFonts w:ascii="Arial"/>
                                  <w:b/>
                                  <w:color w:val="231F20"/>
                                  <w:spacing w:val="-2"/>
                                  <w:w w:val="80"/>
                                  <w:sz w:val="14"/>
                                </w:rPr>
                                <w:t>Exports</w:t>
                              </w:r>
                            </w:p>
                          </w:txbxContent>
                        </wps:txbx>
                        <wps:bodyPr wrap="square" lIns="0" tIns="0" rIns="0" bIns="0" rtlCol="0">
                          <a:noAutofit/>
                        </wps:bodyPr>
                      </wps:wsp>
                      <wps:wsp>
                        <wps:cNvPr id="1273" name="Textbox 1273"/>
                        <wps:cNvSpPr txBox="1"/>
                        <wps:spPr>
                          <a:xfrm>
                            <a:off x="106027" y="579118"/>
                            <a:ext cx="2885440" cy="241300"/>
                          </a:xfrm>
                          <a:prstGeom prst="rect">
                            <a:avLst/>
                          </a:prstGeom>
                        </wps:spPr>
                        <wps:txbx>
                          <w:txbxContent>
                            <w:p>
                              <w:pPr>
                                <w:tabs>
                                  <w:tab w:pos="3765" w:val="left" w:leader="none"/>
                                </w:tabs>
                                <w:spacing w:line="159" w:lineRule="exact" w:before="0"/>
                                <w:ind w:left="0" w:right="0" w:firstLine="0"/>
                                <w:jc w:val="left"/>
                                <w:rPr>
                                  <w:rFonts w:ascii="Arial"/>
                                  <w:sz w:val="14"/>
                                </w:rPr>
                              </w:pPr>
                              <w:r>
                                <w:rPr>
                                  <w:rFonts w:ascii="Arial"/>
                                  <w:color w:val="231F20"/>
                                  <w:w w:val="80"/>
                                  <w:sz w:val="14"/>
                                </w:rPr>
                                <w:t>2023</w:t>
                              </w:r>
                              <w:r>
                                <w:rPr>
                                  <w:rFonts w:ascii="Arial"/>
                                  <w:color w:val="231F20"/>
                                  <w:spacing w:val="-6"/>
                                  <w:sz w:val="14"/>
                                </w:rPr>
                                <w:t> </w:t>
                              </w:r>
                              <w:r>
                                <w:rPr>
                                  <w:rFonts w:ascii="Arial"/>
                                  <w:color w:val="231F20"/>
                                  <w:w w:val="80"/>
                                  <w:sz w:val="14"/>
                                </w:rPr>
                                <w:t>LPI</w:t>
                              </w:r>
                              <w:r>
                                <w:rPr>
                                  <w:rFonts w:ascii="Arial"/>
                                  <w:color w:val="231F20"/>
                                  <w:spacing w:val="-5"/>
                                  <w:sz w:val="14"/>
                                </w:rPr>
                                <w:t> </w:t>
                              </w:r>
                              <w:r>
                                <w:rPr>
                                  <w:rFonts w:ascii="Arial"/>
                                  <w:color w:val="231F20"/>
                                  <w:spacing w:val="-2"/>
                                  <w:w w:val="80"/>
                                  <w:sz w:val="14"/>
                                </w:rPr>
                                <w:t>score</w:t>
                              </w:r>
                              <w:r>
                                <w:rPr>
                                  <w:rFonts w:ascii="Arial"/>
                                  <w:color w:val="231F20"/>
                                  <w:sz w:val="14"/>
                                </w:rPr>
                                <w:tab/>
                              </w:r>
                              <w:r>
                                <w:rPr>
                                  <w:rFonts w:ascii="Arial"/>
                                  <w:color w:val="231F20"/>
                                  <w:w w:val="80"/>
                                  <w:sz w:val="14"/>
                                </w:rPr>
                                <w:t>2023</w:t>
                              </w:r>
                              <w:r>
                                <w:rPr>
                                  <w:rFonts w:ascii="Arial"/>
                                  <w:color w:val="231F20"/>
                                  <w:spacing w:val="-6"/>
                                  <w:sz w:val="14"/>
                                </w:rPr>
                                <w:t> </w:t>
                              </w:r>
                              <w:r>
                                <w:rPr>
                                  <w:rFonts w:ascii="Arial"/>
                                  <w:color w:val="231F20"/>
                                  <w:w w:val="80"/>
                                  <w:sz w:val="14"/>
                                </w:rPr>
                                <w:t>LPI</w:t>
                              </w:r>
                              <w:r>
                                <w:rPr>
                                  <w:rFonts w:ascii="Arial"/>
                                  <w:color w:val="231F20"/>
                                  <w:spacing w:val="-5"/>
                                  <w:sz w:val="14"/>
                                </w:rPr>
                                <w:t> </w:t>
                              </w:r>
                              <w:r>
                                <w:rPr>
                                  <w:rFonts w:ascii="Arial"/>
                                  <w:color w:val="231F20"/>
                                  <w:spacing w:val="-2"/>
                                  <w:w w:val="80"/>
                                  <w:sz w:val="14"/>
                                </w:rPr>
                                <w:t>score</w:t>
                              </w:r>
                            </w:p>
                            <w:p>
                              <w:pPr>
                                <w:tabs>
                                  <w:tab w:pos="3847" w:val="left" w:leader="none"/>
                                </w:tabs>
                                <w:spacing w:line="160" w:lineRule="exact" w:before="60"/>
                                <w:ind w:left="82" w:right="0" w:firstLine="0"/>
                                <w:jc w:val="left"/>
                                <w:rPr>
                                  <w:rFonts w:ascii="Arial"/>
                                  <w:sz w:val="14"/>
                                </w:rPr>
                              </w:pPr>
                              <w:r>
                                <w:rPr>
                                  <w:rFonts w:ascii="Arial"/>
                                  <w:color w:val="231F20"/>
                                  <w:spacing w:val="-10"/>
                                  <w:w w:val="95"/>
                                  <w:sz w:val="14"/>
                                </w:rPr>
                                <w:t>5</w:t>
                              </w:r>
                              <w:r>
                                <w:rPr>
                                  <w:rFonts w:ascii="Arial"/>
                                  <w:color w:val="231F20"/>
                                  <w:sz w:val="14"/>
                                </w:rPr>
                                <w:tab/>
                              </w:r>
                              <w:r>
                                <w:rPr>
                                  <w:rFonts w:ascii="Arial"/>
                                  <w:color w:val="231F20"/>
                                  <w:spacing w:val="-10"/>
                                  <w:w w:val="95"/>
                                  <w:sz w:val="14"/>
                                </w:rPr>
                                <w:t>5</w:t>
                              </w:r>
                            </w:p>
                          </w:txbxContent>
                        </wps:txbx>
                        <wps:bodyPr wrap="square" lIns="0" tIns="0" rIns="0" bIns="0" rtlCol="0">
                          <a:noAutofit/>
                        </wps:bodyPr>
                      </wps:wsp>
                      <wps:wsp>
                        <wps:cNvPr id="1274" name="Textbox 1274"/>
                        <wps:cNvSpPr txBox="1"/>
                        <wps:spPr>
                          <a:xfrm>
                            <a:off x="166145" y="1174799"/>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w w:val="95"/>
                                  <w:sz w:val="14"/>
                                </w:rPr>
                                <w:t>4</w:t>
                              </w:r>
                            </w:p>
                          </w:txbxContent>
                        </wps:txbx>
                        <wps:bodyPr wrap="square" lIns="0" tIns="0" rIns="0" bIns="0" rtlCol="0">
                          <a:noAutofit/>
                        </wps:bodyPr>
                      </wps:wsp>
                      <wps:wsp>
                        <wps:cNvPr id="1275" name="Textbox 1275"/>
                        <wps:cNvSpPr txBox="1"/>
                        <wps:spPr>
                          <a:xfrm>
                            <a:off x="2557188" y="1174799"/>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w w:val="95"/>
                                  <w:sz w:val="14"/>
                                </w:rPr>
                                <w:t>4</w:t>
                              </w:r>
                            </w:p>
                          </w:txbxContent>
                        </wps:txbx>
                        <wps:bodyPr wrap="square" lIns="0" tIns="0" rIns="0" bIns="0" rtlCol="0">
                          <a:noAutofit/>
                        </wps:bodyPr>
                      </wps:wsp>
                      <wps:wsp>
                        <wps:cNvPr id="1276" name="Textbox 1276"/>
                        <wps:cNvSpPr txBox="1"/>
                        <wps:spPr>
                          <a:xfrm>
                            <a:off x="166145" y="1629967"/>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w w:val="95"/>
                                  <w:sz w:val="14"/>
                                </w:rPr>
                                <w:t>3</w:t>
                              </w:r>
                            </w:p>
                          </w:txbxContent>
                        </wps:txbx>
                        <wps:bodyPr wrap="square" lIns="0" tIns="0" rIns="0" bIns="0" rtlCol="0">
                          <a:noAutofit/>
                        </wps:bodyPr>
                      </wps:wsp>
                      <wps:wsp>
                        <wps:cNvPr id="1277" name="Textbox 1277"/>
                        <wps:cNvSpPr txBox="1"/>
                        <wps:spPr>
                          <a:xfrm>
                            <a:off x="2557188" y="1629967"/>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w w:val="95"/>
                                  <w:sz w:val="14"/>
                                </w:rPr>
                                <w:t>3</w:t>
                              </w:r>
                            </w:p>
                          </w:txbxContent>
                        </wps:txbx>
                        <wps:bodyPr wrap="square" lIns="0" tIns="0" rIns="0" bIns="0" rtlCol="0">
                          <a:noAutofit/>
                        </wps:bodyPr>
                      </wps:wsp>
                      <wps:wsp>
                        <wps:cNvPr id="1278" name="Textbox 1278"/>
                        <wps:cNvSpPr txBox="1"/>
                        <wps:spPr>
                          <a:xfrm>
                            <a:off x="166145" y="2085135"/>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w w:val="95"/>
                                  <w:sz w:val="14"/>
                                </w:rPr>
                                <w:t>2</w:t>
                              </w:r>
                            </w:p>
                          </w:txbxContent>
                        </wps:txbx>
                        <wps:bodyPr wrap="square" lIns="0" tIns="0" rIns="0" bIns="0" rtlCol="0">
                          <a:noAutofit/>
                        </wps:bodyPr>
                      </wps:wsp>
                      <wps:wsp>
                        <wps:cNvPr id="1279" name="Textbox 1279"/>
                        <wps:cNvSpPr txBox="1"/>
                        <wps:spPr>
                          <a:xfrm>
                            <a:off x="2557188" y="2085135"/>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w w:val="95"/>
                                  <w:sz w:val="14"/>
                                </w:rPr>
                                <w:t>2</w:t>
                              </w:r>
                            </w:p>
                          </w:txbxContent>
                        </wps:txbx>
                        <wps:bodyPr wrap="square" lIns="0" tIns="0" rIns="0" bIns="0" rtlCol="0">
                          <a:noAutofit/>
                        </wps:bodyPr>
                      </wps:wsp>
                      <wps:wsp>
                        <wps:cNvPr id="1280" name="Textbox 1280"/>
                        <wps:cNvSpPr txBox="1"/>
                        <wps:spPr>
                          <a:xfrm>
                            <a:off x="166145" y="2540303"/>
                            <a:ext cx="117475" cy="164465"/>
                          </a:xfrm>
                          <a:prstGeom prst="rect">
                            <a:avLst/>
                          </a:prstGeom>
                        </wps:spPr>
                        <wps:txbx>
                          <w:txbxContent>
                            <w:p>
                              <w:pPr>
                                <w:spacing w:line="235" w:lineRule="auto" w:before="0"/>
                                <w:ind w:left="0" w:right="0" w:firstLine="0"/>
                                <w:jc w:val="left"/>
                                <w:rPr>
                                  <w:rFonts w:ascii="Arial"/>
                                  <w:sz w:val="14"/>
                                </w:rPr>
                              </w:pPr>
                              <w:r>
                                <w:rPr>
                                  <w:rFonts w:ascii="Arial"/>
                                  <w:color w:val="231F20"/>
                                  <w:w w:val="85"/>
                                  <w:sz w:val="14"/>
                                </w:rPr>
                                <w:t>1</w:t>
                              </w:r>
                              <w:r>
                                <w:rPr>
                                  <w:rFonts w:ascii="Arial"/>
                                  <w:color w:val="231F20"/>
                                  <w:spacing w:val="-4"/>
                                  <w:w w:val="85"/>
                                  <w:sz w:val="14"/>
                                </w:rPr>
                                <w:t> </w:t>
                              </w:r>
                              <w:r>
                                <w:rPr>
                                  <w:rFonts w:ascii="Arial"/>
                                  <w:color w:val="231F20"/>
                                  <w:spacing w:val="-10"/>
                                  <w:w w:val="90"/>
                                  <w:position w:val="-9"/>
                                  <w:sz w:val="14"/>
                                </w:rPr>
                                <w:t>0</w:t>
                              </w:r>
                            </w:p>
                          </w:txbxContent>
                        </wps:txbx>
                        <wps:bodyPr wrap="square" lIns="0" tIns="0" rIns="0" bIns="0" rtlCol="0">
                          <a:noAutofit/>
                        </wps:bodyPr>
                      </wps:wsp>
                      <wps:wsp>
                        <wps:cNvPr id="1281" name="Textbox 1281"/>
                        <wps:cNvSpPr txBox="1"/>
                        <wps:spPr>
                          <a:xfrm>
                            <a:off x="723103" y="2603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10</w:t>
                              </w:r>
                            </w:p>
                          </w:txbxContent>
                        </wps:txbx>
                        <wps:bodyPr wrap="square" lIns="0" tIns="0" rIns="0" bIns="0" rtlCol="0">
                          <a:noAutofit/>
                        </wps:bodyPr>
                      </wps:wsp>
                      <wps:wsp>
                        <wps:cNvPr id="1282" name="Textbox 1282"/>
                        <wps:cNvSpPr txBox="1"/>
                        <wps:spPr>
                          <a:xfrm>
                            <a:off x="809581" y="2603689"/>
                            <a:ext cx="958850" cy="227965"/>
                          </a:xfrm>
                          <a:prstGeom prst="rect">
                            <a:avLst/>
                          </a:prstGeom>
                        </wps:spPr>
                        <wps:txbx>
                          <w:txbxContent>
                            <w:p>
                              <w:pPr>
                                <w:spacing w:line="159" w:lineRule="exact" w:before="0"/>
                                <w:ind w:left="0" w:right="18" w:firstLine="0"/>
                                <w:jc w:val="center"/>
                                <w:rPr>
                                  <w:rFonts w:ascii="Arial"/>
                                  <w:sz w:val="14"/>
                                </w:rPr>
                              </w:pPr>
                              <w:r>
                                <w:rPr>
                                  <w:rFonts w:ascii="Arial"/>
                                  <w:color w:val="231F20"/>
                                  <w:spacing w:val="-5"/>
                                  <w:w w:val="95"/>
                                  <w:sz w:val="14"/>
                                </w:rPr>
                                <w:t>20</w:t>
                              </w:r>
                            </w:p>
                            <w:p>
                              <w:pPr>
                                <w:spacing w:line="160" w:lineRule="exact" w:before="39"/>
                                <w:ind w:left="0" w:right="18" w:firstLine="0"/>
                                <w:jc w:val="center"/>
                                <w:rPr>
                                  <w:rFonts w:ascii="Arial"/>
                                  <w:sz w:val="14"/>
                                </w:rPr>
                              </w:pPr>
                              <w:r>
                                <w:rPr>
                                  <w:rFonts w:ascii="Arial"/>
                                  <w:color w:val="231F20"/>
                                  <w:w w:val="80"/>
                                  <w:sz w:val="14"/>
                                </w:rPr>
                                <w:t>Mean</w:t>
                              </w:r>
                              <w:r>
                                <w:rPr>
                                  <w:rFonts w:ascii="Arial"/>
                                  <w:color w:val="231F20"/>
                                  <w:spacing w:val="-6"/>
                                  <w:sz w:val="14"/>
                                </w:rPr>
                                <w:t> </w:t>
                              </w:r>
                              <w:r>
                                <w:rPr>
                                  <w:rFonts w:ascii="Arial"/>
                                  <w:color w:val="231F20"/>
                                  <w:w w:val="80"/>
                                  <w:sz w:val="14"/>
                                </w:rPr>
                                <w:t>import</w:t>
                              </w:r>
                              <w:r>
                                <w:rPr>
                                  <w:rFonts w:ascii="Arial"/>
                                  <w:color w:val="231F20"/>
                                  <w:spacing w:val="-5"/>
                                  <w:sz w:val="14"/>
                                </w:rPr>
                                <w:t> </w:t>
                              </w:r>
                              <w:r>
                                <w:rPr>
                                  <w:rFonts w:ascii="Arial"/>
                                  <w:color w:val="231F20"/>
                                  <w:w w:val="80"/>
                                  <w:sz w:val="14"/>
                                </w:rPr>
                                <w:t>dwell</w:t>
                              </w:r>
                              <w:r>
                                <w:rPr>
                                  <w:rFonts w:ascii="Arial"/>
                                  <w:color w:val="231F20"/>
                                  <w:spacing w:val="-5"/>
                                  <w:sz w:val="14"/>
                                </w:rPr>
                                <w:t> </w:t>
                              </w:r>
                              <w:r>
                                <w:rPr>
                                  <w:rFonts w:ascii="Arial"/>
                                  <w:color w:val="231F20"/>
                                  <w:w w:val="80"/>
                                  <w:sz w:val="14"/>
                                </w:rPr>
                                <w:t>time</w:t>
                              </w:r>
                              <w:r>
                                <w:rPr>
                                  <w:rFonts w:ascii="Arial"/>
                                  <w:color w:val="231F20"/>
                                  <w:spacing w:val="-5"/>
                                  <w:sz w:val="14"/>
                                </w:rPr>
                                <w:t> </w:t>
                              </w:r>
                              <w:r>
                                <w:rPr>
                                  <w:rFonts w:ascii="Arial"/>
                                  <w:color w:val="231F20"/>
                                  <w:spacing w:val="-5"/>
                                  <w:w w:val="80"/>
                                  <w:sz w:val="14"/>
                                </w:rPr>
                                <w:t>(days)</w:t>
                              </w:r>
                            </w:p>
                          </w:txbxContent>
                        </wps:txbx>
                        <wps:bodyPr wrap="square" lIns="0" tIns="0" rIns="0" bIns="0" rtlCol="0">
                          <a:noAutofit/>
                        </wps:bodyPr>
                      </wps:wsp>
                      <wps:wsp>
                        <wps:cNvPr id="1283" name="Textbox 1283"/>
                        <wps:cNvSpPr txBox="1"/>
                        <wps:spPr>
                          <a:xfrm>
                            <a:off x="1756655" y="2603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30</w:t>
                              </w:r>
                            </w:p>
                          </w:txbxContent>
                        </wps:txbx>
                        <wps:bodyPr wrap="square" lIns="0" tIns="0" rIns="0" bIns="0" rtlCol="0">
                          <a:noAutofit/>
                        </wps:bodyPr>
                      </wps:wsp>
                      <wps:wsp>
                        <wps:cNvPr id="1284" name="Textbox 1284"/>
                        <wps:cNvSpPr txBox="1"/>
                        <wps:spPr>
                          <a:xfrm>
                            <a:off x="2273430" y="2603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40</w:t>
                              </w:r>
                            </w:p>
                          </w:txbxContent>
                        </wps:txbx>
                        <wps:bodyPr wrap="square" lIns="0" tIns="0" rIns="0" bIns="0" rtlCol="0">
                          <a:noAutofit/>
                        </wps:bodyPr>
                      </wps:wsp>
                      <wps:wsp>
                        <wps:cNvPr id="1285" name="Textbox 1285"/>
                        <wps:cNvSpPr txBox="1"/>
                        <wps:spPr>
                          <a:xfrm>
                            <a:off x="2557188" y="2540303"/>
                            <a:ext cx="116839" cy="164465"/>
                          </a:xfrm>
                          <a:prstGeom prst="rect">
                            <a:avLst/>
                          </a:prstGeom>
                        </wps:spPr>
                        <wps:txbx>
                          <w:txbxContent>
                            <w:p>
                              <w:pPr>
                                <w:spacing w:line="235" w:lineRule="auto" w:before="0"/>
                                <w:ind w:left="0" w:right="0" w:firstLine="0"/>
                                <w:jc w:val="left"/>
                                <w:rPr>
                                  <w:rFonts w:ascii="Arial"/>
                                  <w:sz w:val="14"/>
                                </w:rPr>
                              </w:pPr>
                              <w:r>
                                <w:rPr>
                                  <w:rFonts w:ascii="Arial"/>
                                  <w:color w:val="231F20"/>
                                  <w:w w:val="85"/>
                                  <w:sz w:val="14"/>
                                </w:rPr>
                                <w:t>1</w:t>
                              </w:r>
                              <w:r>
                                <w:rPr>
                                  <w:rFonts w:ascii="Arial"/>
                                  <w:color w:val="231F20"/>
                                  <w:spacing w:val="-4"/>
                                  <w:w w:val="85"/>
                                  <w:sz w:val="14"/>
                                </w:rPr>
                                <w:t> </w:t>
                              </w:r>
                              <w:r>
                                <w:rPr>
                                  <w:rFonts w:ascii="Arial"/>
                                  <w:color w:val="231F20"/>
                                  <w:spacing w:val="-10"/>
                                  <w:w w:val="90"/>
                                  <w:position w:val="-9"/>
                                  <w:sz w:val="14"/>
                                </w:rPr>
                                <w:t>0</w:t>
                              </w:r>
                            </w:p>
                          </w:txbxContent>
                        </wps:txbx>
                        <wps:bodyPr wrap="square" lIns="0" tIns="0" rIns="0" bIns="0" rtlCol="0">
                          <a:noAutofit/>
                        </wps:bodyPr>
                      </wps:wsp>
                      <wps:wsp>
                        <wps:cNvPr id="1286" name="Textbox 1286"/>
                        <wps:cNvSpPr txBox="1"/>
                        <wps:spPr>
                          <a:xfrm>
                            <a:off x="3032092" y="2603689"/>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w w:val="95"/>
                                  <w:sz w:val="14"/>
                                </w:rPr>
                                <w:t>5</w:t>
                              </w:r>
                            </w:p>
                          </w:txbxContent>
                        </wps:txbx>
                        <wps:bodyPr wrap="square" lIns="0" tIns="0" rIns="0" bIns="0" rtlCol="0">
                          <a:noAutofit/>
                        </wps:bodyPr>
                      </wps:wsp>
                      <wps:wsp>
                        <wps:cNvPr id="1287" name="Textbox 1287"/>
                        <wps:cNvSpPr txBox="1"/>
                        <wps:spPr>
                          <a:xfrm>
                            <a:off x="3424140" y="2603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10</w:t>
                              </w:r>
                            </w:p>
                          </w:txbxContent>
                        </wps:txbx>
                        <wps:bodyPr wrap="square" lIns="0" tIns="0" rIns="0" bIns="0" rtlCol="0">
                          <a:noAutofit/>
                        </wps:bodyPr>
                      </wps:wsp>
                      <wps:wsp>
                        <wps:cNvPr id="1288" name="Textbox 1288"/>
                        <wps:cNvSpPr txBox="1"/>
                        <wps:spPr>
                          <a:xfrm>
                            <a:off x="3837525" y="2603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15</w:t>
                              </w:r>
                            </w:p>
                          </w:txbxContent>
                        </wps:txbx>
                        <wps:bodyPr wrap="square" lIns="0" tIns="0" rIns="0" bIns="0" rtlCol="0">
                          <a:noAutofit/>
                        </wps:bodyPr>
                      </wps:wsp>
                      <wps:wsp>
                        <wps:cNvPr id="1289" name="Textbox 1289"/>
                        <wps:cNvSpPr txBox="1"/>
                        <wps:spPr>
                          <a:xfrm>
                            <a:off x="4250999" y="2603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20</w:t>
                              </w:r>
                            </w:p>
                          </w:txbxContent>
                        </wps:txbx>
                        <wps:bodyPr wrap="square" lIns="0" tIns="0" rIns="0" bIns="0" rtlCol="0">
                          <a:noAutofit/>
                        </wps:bodyPr>
                      </wps:wsp>
                      <wps:wsp>
                        <wps:cNvPr id="1290" name="Textbox 1290"/>
                        <wps:cNvSpPr txBox="1"/>
                        <wps:spPr>
                          <a:xfrm>
                            <a:off x="4664473" y="2603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25</w:t>
                              </w:r>
                            </w:p>
                          </w:txbxContent>
                        </wps:txbx>
                        <wps:bodyPr wrap="square" lIns="0" tIns="0" rIns="0" bIns="0" rtlCol="0">
                          <a:noAutofit/>
                        </wps:bodyPr>
                      </wps:wsp>
                      <wps:wsp>
                        <wps:cNvPr id="1291" name="Textbox 1291"/>
                        <wps:cNvSpPr txBox="1"/>
                        <wps:spPr>
                          <a:xfrm>
                            <a:off x="3203836" y="2730765"/>
                            <a:ext cx="952500" cy="100965"/>
                          </a:xfrm>
                          <a:prstGeom prst="rect">
                            <a:avLst/>
                          </a:prstGeom>
                        </wps:spPr>
                        <wps:txbx>
                          <w:txbxContent>
                            <w:p>
                              <w:pPr>
                                <w:spacing w:line="158" w:lineRule="exact" w:before="0"/>
                                <w:ind w:left="0" w:right="0" w:firstLine="0"/>
                                <w:jc w:val="left"/>
                                <w:rPr>
                                  <w:rFonts w:ascii="Arial"/>
                                  <w:sz w:val="14"/>
                                </w:rPr>
                              </w:pPr>
                              <w:r>
                                <w:rPr>
                                  <w:rFonts w:ascii="Arial"/>
                                  <w:color w:val="231F20"/>
                                  <w:w w:val="80"/>
                                  <w:sz w:val="14"/>
                                </w:rPr>
                                <w:t>Mean</w:t>
                              </w:r>
                              <w:r>
                                <w:rPr>
                                  <w:rFonts w:ascii="Arial"/>
                                  <w:color w:val="231F20"/>
                                  <w:spacing w:val="-1"/>
                                  <w:w w:val="80"/>
                                  <w:sz w:val="14"/>
                                </w:rPr>
                                <w:t> </w:t>
                              </w:r>
                              <w:r>
                                <w:rPr>
                                  <w:rFonts w:ascii="Arial"/>
                                  <w:color w:val="231F20"/>
                                  <w:w w:val="80"/>
                                  <w:sz w:val="14"/>
                                </w:rPr>
                                <w:t>export</w:t>
                              </w:r>
                              <w:r>
                                <w:rPr>
                                  <w:rFonts w:ascii="Arial"/>
                                  <w:color w:val="231F20"/>
                                  <w:spacing w:val="-8"/>
                                  <w:sz w:val="14"/>
                                </w:rPr>
                                <w:t> </w:t>
                              </w:r>
                              <w:r>
                                <w:rPr>
                                  <w:rFonts w:ascii="Arial"/>
                                  <w:color w:val="231F20"/>
                                  <w:w w:val="80"/>
                                  <w:sz w:val="14"/>
                                </w:rPr>
                                <w:t>dwell</w:t>
                              </w:r>
                              <w:r>
                                <w:rPr>
                                  <w:rFonts w:ascii="Arial"/>
                                  <w:color w:val="231F20"/>
                                  <w:spacing w:val="-8"/>
                                  <w:sz w:val="14"/>
                                </w:rPr>
                                <w:t> </w:t>
                              </w:r>
                              <w:r>
                                <w:rPr>
                                  <w:rFonts w:ascii="Arial"/>
                                  <w:color w:val="231F20"/>
                                  <w:w w:val="80"/>
                                  <w:sz w:val="14"/>
                                </w:rPr>
                                <w:t>time</w:t>
                              </w:r>
                              <w:r>
                                <w:rPr>
                                  <w:rFonts w:ascii="Arial"/>
                                  <w:color w:val="231F20"/>
                                  <w:spacing w:val="-1"/>
                                  <w:w w:val="80"/>
                                  <w:sz w:val="14"/>
                                </w:rPr>
                                <w:t> </w:t>
                              </w:r>
                              <w:r>
                                <w:rPr>
                                  <w:rFonts w:ascii="Arial"/>
                                  <w:color w:val="231F20"/>
                                  <w:spacing w:val="-2"/>
                                  <w:w w:val="80"/>
                                  <w:sz w:val="14"/>
                                </w:rPr>
                                <w:t>(days)</w:t>
                              </w:r>
                            </w:p>
                          </w:txbxContent>
                        </wps:txbx>
                        <wps:bodyPr wrap="square" lIns="0" tIns="0" rIns="0" bIns="0" rtlCol="0">
                          <a:noAutofit/>
                        </wps:bodyPr>
                      </wps:wsp>
                      <wps:wsp>
                        <wps:cNvPr id="1292" name="Textbox 1292"/>
                        <wps:cNvSpPr txBox="1"/>
                        <wps:spPr>
                          <a:xfrm>
                            <a:off x="76386" y="2925521"/>
                            <a:ext cx="971550" cy="91440"/>
                          </a:xfrm>
                          <a:prstGeom prst="rect">
                            <a:avLst/>
                          </a:prstGeom>
                        </wps:spPr>
                        <wps:txbx>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3"/>
                                  <w:sz w:val="12"/>
                                </w:rPr>
                                <w:t> </w:t>
                              </w:r>
                              <w:r>
                                <w:rPr>
                                  <w:rFonts w:ascii="Arial"/>
                                  <w:color w:val="231F20"/>
                                  <w:w w:val="75"/>
                                  <w:sz w:val="12"/>
                                </w:rPr>
                                <w:t>TradeLens</w:t>
                              </w:r>
                              <w:r>
                                <w:rPr>
                                  <w:rFonts w:ascii="Arial"/>
                                  <w:color w:val="231F20"/>
                                  <w:spacing w:val="3"/>
                                  <w:sz w:val="12"/>
                                </w:rPr>
                                <w:t> </w:t>
                              </w:r>
                              <w:r>
                                <w:rPr>
                                  <w:rFonts w:ascii="Arial"/>
                                  <w:color w:val="231F20"/>
                                  <w:w w:val="75"/>
                                  <w:sz w:val="12"/>
                                </w:rPr>
                                <w:t>and</w:t>
                              </w:r>
                              <w:r>
                                <w:rPr>
                                  <w:rFonts w:ascii="Arial"/>
                                  <w:color w:val="231F20"/>
                                  <w:spacing w:val="-3"/>
                                  <w:sz w:val="12"/>
                                </w:rPr>
                                <w:t> </w:t>
                              </w:r>
                              <w:r>
                                <w:rPr>
                                  <w:rFonts w:ascii="Arial"/>
                                  <w:color w:val="231F20"/>
                                  <w:w w:val="75"/>
                                  <w:sz w:val="12"/>
                                </w:rPr>
                                <w:t>World</w:t>
                              </w:r>
                              <w:r>
                                <w:rPr>
                                  <w:rFonts w:ascii="Arial"/>
                                  <w:color w:val="231F20"/>
                                  <w:spacing w:val="3"/>
                                  <w:sz w:val="12"/>
                                </w:rPr>
                                <w:t> </w:t>
                              </w:r>
                              <w:r>
                                <w:rPr>
                                  <w:rFonts w:ascii="Arial"/>
                                  <w:color w:val="231F20"/>
                                  <w:spacing w:val="-2"/>
                                  <w:w w:val="75"/>
                                  <w:sz w:val="12"/>
                                </w:rPr>
                                <w:t>Bank.</w:t>
                              </w:r>
                            </w:p>
                          </w:txbxContent>
                        </wps:txbx>
                        <wps:bodyPr wrap="square" lIns="0" tIns="0" rIns="0" bIns="0" rtlCol="0">
                          <a:noAutofit/>
                        </wps:bodyPr>
                      </wps:wsp>
                    </wpg:wgp>
                  </a:graphicData>
                </a:graphic>
              </wp:anchor>
            </w:drawing>
          </mc:Choice>
          <mc:Fallback>
            <w:pict>
              <v:group style="position:absolute;margin-left:60pt;margin-top:11.224268pt;width:384.05pt;height:244.9pt;mso-position-horizontal-relative:page;mso-position-vertical-relative:paragraph;z-index:-15702528;mso-wrap-distance-left:0;mso-wrap-distance-right:0" id="docshapegroup1073" coordorigin="1200,224" coordsize="7681,4898">
                <v:shape style="position:absolute;left:1200;top:830;width:7680;height:4291" id="docshape1074" coordorigin="1200,831" coordsize="7680,4291" path="m8880,831l1200,831,1200,5004,1210,5050,1236,5087,1274,5112,1319,5122,8756,5122,8802,5113,8842,5090,8870,5053,8880,5004,8880,831xe" filled="true" fillcolor="#dfeaf7" stroked="false">
                  <v:path arrowok="t"/>
                  <v:fill type="solid"/>
                </v:shape>
                <v:line style="position:absolute" from="5357,4300" to="8613,4300" stroked="true" strokeweight=".5pt" strokecolor="#ffffff">
                  <v:stroke dashstyle="solid"/>
                </v:line>
                <v:line style="position:absolute" from="5357,3583" to="8613,3583" stroked="true" strokeweight=".5pt" strokecolor="#ffffff">
                  <v:stroke dashstyle="solid"/>
                </v:line>
                <v:line style="position:absolute" from="5357,2866" to="8613,2866" stroked="true" strokeweight=".5pt" strokecolor="#ffffff">
                  <v:stroke dashstyle="solid"/>
                </v:line>
                <v:line style="position:absolute" from="5357,2149" to="8613,2149" stroked="true" strokeweight=".5pt" strokecolor="#ffffff">
                  <v:stroke dashstyle="solid"/>
                </v:line>
                <v:line style="position:absolute" from="5357,1432" to="8613,1432" stroked="true" strokeweight=".5pt" strokecolor="#ffffff">
                  <v:stroke dashstyle="solid"/>
                </v:line>
                <v:line style="position:absolute" from="1592,4300" to="4847,4300" stroked="true" strokeweight=".5pt" strokecolor="#ffffff">
                  <v:stroke dashstyle="solid"/>
                </v:line>
                <v:line style="position:absolute" from="1592,3583" to="4847,3583" stroked="true" strokeweight=".5pt" strokecolor="#ffffff">
                  <v:stroke dashstyle="solid"/>
                </v:line>
                <v:line style="position:absolute" from="1592,2866" to="4847,2866" stroked="true" strokeweight=".5pt" strokecolor="#ffffff">
                  <v:stroke dashstyle="solid"/>
                </v:line>
                <v:line style="position:absolute" from="1592,2149" to="4847,2149" stroked="true" strokeweight=".5pt" strokecolor="#ffffff">
                  <v:stroke dashstyle="solid"/>
                </v:line>
                <v:line style="position:absolute" from="1592,1432" to="4847,1432" stroked="true" strokeweight=".5pt" strokecolor="#ffffff">
                  <v:stroke dashstyle="solid"/>
                </v:line>
                <v:shape style="position:absolute;left:1200;top:224;width:807;height:565" id="docshape1075" coordorigin="1200,224" coordsize="807,565" path="m2007,224l1320,224,1274,229,1236,247,1210,284,1200,344,1200,789,2007,789,2007,224xe" filled="true" fillcolor="#008fdd" stroked="false">
                  <v:path arrowok="t"/>
                  <v:fill type="solid"/>
                </v:shape>
                <v:shape style="position:absolute;left:2006;top:224;width:6873;height:565" id="docshape1076" coordorigin="2007,224" coordsize="6873,565" path="m8759,224l2007,224,2007,789,8879,789,8879,344,8871,305,8846,266,8808,236,8759,224xe" filled="true" fillcolor="#808285" stroked="false">
                  <v:path arrowok="t"/>
                  <v:fill type="solid"/>
                </v:shape>
                <v:line style="position:absolute" from="2007,224" to="2007,803" stroked="true" strokeweight="2pt" strokecolor="#ffffff">
                  <v:stroke dashstyle="solid"/>
                </v:line>
                <v:line style="position:absolute" from="5357,4300" to="8613,4300" stroked="true" strokeweight=".5pt" strokecolor="#ffffff">
                  <v:stroke dashstyle="solid"/>
                </v:line>
                <v:shape style="position:absolute;left:1605;top:1879;width:2602;height:1829" type="#_x0000_t75" id="docshape1077" stroked="false">
                  <v:imagedata r:id="rId85" o:title=""/>
                </v:shape>
                <v:shape style="position:absolute;left:5370;top:1886;width:2603;height:1829" type="#_x0000_t75" id="docshape1078" stroked="false">
                  <v:imagedata r:id="rId86" o:title=""/>
                </v:shape>
                <v:shape style="position:absolute;left:1320;top:329;width:6947;height:392" type="#_x0000_t202" id="docshape1079" filled="false" stroked="false">
                  <v:textbox inset="0,0,0,0">
                    <w:txbxContent>
                      <w:p>
                        <w:pPr>
                          <w:spacing w:line="261" w:lineRule="auto" w:before="0"/>
                          <w:ind w:left="800" w:right="18" w:hanging="800"/>
                          <w:jc w:val="left"/>
                          <w:rPr>
                            <w:rFonts w:ascii="Arial" w:hAnsi="Arial"/>
                            <w:b/>
                            <w:sz w:val="16"/>
                          </w:rPr>
                        </w:pPr>
                        <w:r>
                          <w:rPr>
                            <w:rFonts w:ascii="Arial" w:hAnsi="Arial"/>
                            <w:color w:val="FFFFFF"/>
                            <w:w w:val="105"/>
                            <w:sz w:val="16"/>
                          </w:rPr>
                          <w:t>Figure</w:t>
                        </w:r>
                        <w:r>
                          <w:rPr>
                            <w:rFonts w:ascii="Arial" w:hAnsi="Arial"/>
                            <w:color w:val="FFFFFF"/>
                            <w:spacing w:val="-5"/>
                            <w:w w:val="105"/>
                            <w:sz w:val="16"/>
                          </w:rPr>
                          <w:t> </w:t>
                        </w:r>
                        <w:r>
                          <w:rPr>
                            <w:rFonts w:ascii="Arial" w:hAnsi="Arial"/>
                            <w:b/>
                            <w:color w:val="FFFFFF"/>
                            <w:w w:val="105"/>
                            <w:sz w:val="16"/>
                          </w:rPr>
                          <w:t>3.4</w:t>
                        </w:r>
                        <w:r>
                          <w:rPr>
                            <w:rFonts w:ascii="Arial" w:hAnsi="Arial"/>
                            <w:b/>
                            <w:color w:val="FFFFFF"/>
                            <w:spacing w:val="80"/>
                            <w:w w:val="150"/>
                            <w:sz w:val="16"/>
                          </w:rPr>
                          <w:t> </w:t>
                        </w:r>
                        <w:r>
                          <w:rPr>
                            <w:rFonts w:ascii="Arial" w:hAnsi="Arial"/>
                            <w:b/>
                            <w:color w:val="FFFFFF"/>
                            <w:w w:val="105"/>
                            <w:sz w:val="16"/>
                          </w:rPr>
                          <w:t>Import</w:t>
                        </w:r>
                        <w:r>
                          <w:rPr>
                            <w:rFonts w:ascii="Arial" w:hAnsi="Arial"/>
                            <w:b/>
                            <w:color w:val="FFFFFF"/>
                            <w:spacing w:val="-5"/>
                            <w:w w:val="105"/>
                            <w:sz w:val="16"/>
                          </w:rPr>
                          <w:t> </w:t>
                        </w:r>
                        <w:r>
                          <w:rPr>
                            <w:rFonts w:ascii="Arial" w:hAnsi="Arial"/>
                            <w:b/>
                            <w:color w:val="FFFFFF"/>
                            <w:w w:val="105"/>
                            <w:sz w:val="16"/>
                          </w:rPr>
                          <w:t>and</w:t>
                        </w:r>
                        <w:r>
                          <w:rPr>
                            <w:rFonts w:ascii="Arial" w:hAnsi="Arial"/>
                            <w:b/>
                            <w:color w:val="FFFFFF"/>
                            <w:spacing w:val="-5"/>
                            <w:w w:val="105"/>
                            <w:sz w:val="16"/>
                          </w:rPr>
                          <w:t> </w:t>
                        </w:r>
                        <w:r>
                          <w:rPr>
                            <w:rFonts w:ascii="Arial" w:hAnsi="Arial"/>
                            <w:b/>
                            <w:color w:val="FFFFFF"/>
                            <w:w w:val="105"/>
                            <w:sz w:val="16"/>
                          </w:rPr>
                          <w:t>export</w:t>
                        </w:r>
                        <w:r>
                          <w:rPr>
                            <w:rFonts w:ascii="Arial" w:hAnsi="Arial"/>
                            <w:b/>
                            <w:color w:val="FFFFFF"/>
                            <w:spacing w:val="-5"/>
                            <w:w w:val="105"/>
                            <w:sz w:val="16"/>
                          </w:rPr>
                          <w:t> </w:t>
                        </w:r>
                        <w:r>
                          <w:rPr>
                            <w:rFonts w:ascii="Arial" w:hAnsi="Arial"/>
                            <w:b/>
                            <w:color w:val="FFFFFF"/>
                            <w:w w:val="105"/>
                            <w:sz w:val="16"/>
                          </w:rPr>
                          <w:t>dwell</w:t>
                        </w:r>
                        <w:r>
                          <w:rPr>
                            <w:rFonts w:ascii="Arial" w:hAnsi="Arial"/>
                            <w:b/>
                            <w:color w:val="FFFFFF"/>
                            <w:spacing w:val="-5"/>
                            <w:w w:val="105"/>
                            <w:sz w:val="16"/>
                          </w:rPr>
                          <w:t> </w:t>
                        </w:r>
                        <w:r>
                          <w:rPr>
                            <w:rFonts w:ascii="Arial" w:hAnsi="Arial"/>
                            <w:b/>
                            <w:color w:val="FFFFFF"/>
                            <w:w w:val="105"/>
                            <w:sz w:val="16"/>
                          </w:rPr>
                          <w:t>time</w:t>
                        </w:r>
                        <w:r>
                          <w:rPr>
                            <w:rFonts w:ascii="Arial" w:hAnsi="Arial"/>
                            <w:b/>
                            <w:color w:val="FFFFFF"/>
                            <w:spacing w:val="-5"/>
                            <w:w w:val="105"/>
                            <w:sz w:val="16"/>
                          </w:rPr>
                          <w:t> </w:t>
                        </w:r>
                        <w:r>
                          <w:rPr>
                            <w:rFonts w:ascii="Arial" w:hAnsi="Arial"/>
                            <w:b/>
                            <w:color w:val="FFFFFF"/>
                            <w:w w:val="105"/>
                            <w:sz w:val="16"/>
                          </w:rPr>
                          <w:t>of</w:t>
                        </w:r>
                        <w:r>
                          <w:rPr>
                            <w:rFonts w:ascii="Arial" w:hAnsi="Arial"/>
                            <w:b/>
                            <w:color w:val="FFFFFF"/>
                            <w:spacing w:val="-5"/>
                            <w:w w:val="105"/>
                            <w:sz w:val="16"/>
                          </w:rPr>
                          <w:t> </w:t>
                        </w:r>
                        <w:r>
                          <w:rPr>
                            <w:rFonts w:ascii="Arial" w:hAnsi="Arial"/>
                            <w:b/>
                            <w:color w:val="FFFFFF"/>
                            <w:w w:val="105"/>
                            <w:sz w:val="16"/>
                          </w:rPr>
                          <w:t>containers,</w:t>
                        </w:r>
                        <w:r>
                          <w:rPr>
                            <w:rFonts w:ascii="Arial" w:hAnsi="Arial"/>
                            <w:b/>
                            <w:color w:val="FFFFFF"/>
                            <w:spacing w:val="-5"/>
                            <w:w w:val="105"/>
                            <w:sz w:val="16"/>
                          </w:rPr>
                          <w:t> </w:t>
                        </w:r>
                        <w:r>
                          <w:rPr>
                            <w:rFonts w:ascii="Arial" w:hAnsi="Arial"/>
                            <w:b/>
                            <w:color w:val="FFFFFF"/>
                            <w:w w:val="105"/>
                            <w:sz w:val="16"/>
                          </w:rPr>
                          <w:t>May–October</w:t>
                        </w:r>
                        <w:r>
                          <w:rPr>
                            <w:rFonts w:ascii="Arial" w:hAnsi="Arial"/>
                            <w:b/>
                            <w:color w:val="FFFFFF"/>
                            <w:spacing w:val="-5"/>
                            <w:w w:val="105"/>
                            <w:sz w:val="16"/>
                          </w:rPr>
                          <w:t> </w:t>
                        </w:r>
                        <w:r>
                          <w:rPr>
                            <w:rFonts w:ascii="Arial" w:hAnsi="Arial"/>
                            <w:b/>
                            <w:color w:val="FFFFFF"/>
                            <w:w w:val="105"/>
                            <w:sz w:val="16"/>
                          </w:rPr>
                          <w:t>2022,</w:t>
                        </w:r>
                        <w:r>
                          <w:rPr>
                            <w:rFonts w:ascii="Arial" w:hAnsi="Arial"/>
                            <w:b/>
                            <w:color w:val="FFFFFF"/>
                            <w:spacing w:val="-5"/>
                            <w:w w:val="105"/>
                            <w:sz w:val="16"/>
                          </w:rPr>
                          <w:t> </w:t>
                        </w:r>
                        <w:r>
                          <w:rPr>
                            <w:rFonts w:ascii="Arial" w:hAnsi="Arial"/>
                            <w:b/>
                            <w:color w:val="FFFFFF"/>
                            <w:w w:val="105"/>
                            <w:sz w:val="16"/>
                          </w:rPr>
                          <w:t>versus</w:t>
                        </w:r>
                        <w:r>
                          <w:rPr>
                            <w:rFonts w:ascii="Arial" w:hAnsi="Arial"/>
                            <w:b/>
                            <w:color w:val="FFFFFF"/>
                            <w:spacing w:val="-5"/>
                            <w:w w:val="105"/>
                            <w:sz w:val="16"/>
                          </w:rPr>
                          <w:t> </w:t>
                        </w:r>
                        <w:r>
                          <w:rPr>
                            <w:rFonts w:ascii="Arial" w:hAnsi="Arial"/>
                            <w:b/>
                            <w:color w:val="FFFFFF"/>
                            <w:w w:val="105"/>
                            <w:sz w:val="16"/>
                          </w:rPr>
                          <w:t>2023 LPI score, by country</w:t>
                        </w:r>
                      </w:p>
                    </w:txbxContent>
                  </v:textbox>
                  <w10:wrap type="none"/>
                </v:shape>
                <v:shape style="position:absolute;left:3004;top:931;width:450;height:166" type="#_x0000_t202" id="docshape1080" filled="false" stroked="false">
                  <v:textbox inset="0,0,0,0">
                    <w:txbxContent>
                      <w:p>
                        <w:pPr>
                          <w:spacing w:before="3"/>
                          <w:ind w:left="0" w:right="0" w:firstLine="0"/>
                          <w:jc w:val="left"/>
                          <w:rPr>
                            <w:rFonts w:ascii="Arial"/>
                            <w:b/>
                            <w:sz w:val="14"/>
                          </w:rPr>
                        </w:pPr>
                        <w:r>
                          <w:rPr>
                            <w:rFonts w:ascii="Arial"/>
                            <w:b/>
                            <w:color w:val="231F20"/>
                            <w:spacing w:val="-2"/>
                            <w:w w:val="85"/>
                            <w:sz w:val="14"/>
                          </w:rPr>
                          <w:t>Imports</w:t>
                        </w:r>
                      </w:p>
                    </w:txbxContent>
                  </v:textbox>
                  <w10:wrap type="none"/>
                </v:shape>
                <v:shape style="position:absolute;left:6775;top:931;width:440;height:166" type="#_x0000_t202" id="docshape1081" filled="false" stroked="false">
                  <v:textbox inset="0,0,0,0">
                    <w:txbxContent>
                      <w:p>
                        <w:pPr>
                          <w:spacing w:before="3"/>
                          <w:ind w:left="0" w:right="0" w:firstLine="0"/>
                          <w:jc w:val="left"/>
                          <w:rPr>
                            <w:rFonts w:ascii="Arial"/>
                            <w:b/>
                            <w:sz w:val="14"/>
                          </w:rPr>
                        </w:pPr>
                        <w:r>
                          <w:rPr>
                            <w:rFonts w:ascii="Arial"/>
                            <w:b/>
                            <w:color w:val="231F20"/>
                            <w:spacing w:val="-2"/>
                            <w:w w:val="80"/>
                            <w:sz w:val="14"/>
                          </w:rPr>
                          <w:t>Exports</w:t>
                        </w:r>
                      </w:p>
                    </w:txbxContent>
                  </v:textbox>
                  <w10:wrap type="none"/>
                </v:shape>
                <v:shape style="position:absolute;left:1366;top:1136;width:4544;height:380" type="#_x0000_t202" id="docshape1082" filled="false" stroked="false">
                  <v:textbox inset="0,0,0,0">
                    <w:txbxContent>
                      <w:p>
                        <w:pPr>
                          <w:tabs>
                            <w:tab w:pos="3765" w:val="left" w:leader="none"/>
                          </w:tabs>
                          <w:spacing w:line="159" w:lineRule="exact" w:before="0"/>
                          <w:ind w:left="0" w:right="0" w:firstLine="0"/>
                          <w:jc w:val="left"/>
                          <w:rPr>
                            <w:rFonts w:ascii="Arial"/>
                            <w:sz w:val="14"/>
                          </w:rPr>
                        </w:pPr>
                        <w:r>
                          <w:rPr>
                            <w:rFonts w:ascii="Arial"/>
                            <w:color w:val="231F20"/>
                            <w:w w:val="80"/>
                            <w:sz w:val="14"/>
                          </w:rPr>
                          <w:t>2023</w:t>
                        </w:r>
                        <w:r>
                          <w:rPr>
                            <w:rFonts w:ascii="Arial"/>
                            <w:color w:val="231F20"/>
                            <w:spacing w:val="-6"/>
                            <w:sz w:val="14"/>
                          </w:rPr>
                          <w:t> </w:t>
                        </w:r>
                        <w:r>
                          <w:rPr>
                            <w:rFonts w:ascii="Arial"/>
                            <w:color w:val="231F20"/>
                            <w:w w:val="80"/>
                            <w:sz w:val="14"/>
                          </w:rPr>
                          <w:t>LPI</w:t>
                        </w:r>
                        <w:r>
                          <w:rPr>
                            <w:rFonts w:ascii="Arial"/>
                            <w:color w:val="231F20"/>
                            <w:spacing w:val="-5"/>
                            <w:sz w:val="14"/>
                          </w:rPr>
                          <w:t> </w:t>
                        </w:r>
                        <w:r>
                          <w:rPr>
                            <w:rFonts w:ascii="Arial"/>
                            <w:color w:val="231F20"/>
                            <w:spacing w:val="-2"/>
                            <w:w w:val="80"/>
                            <w:sz w:val="14"/>
                          </w:rPr>
                          <w:t>score</w:t>
                        </w:r>
                        <w:r>
                          <w:rPr>
                            <w:rFonts w:ascii="Arial"/>
                            <w:color w:val="231F20"/>
                            <w:sz w:val="14"/>
                          </w:rPr>
                          <w:tab/>
                        </w:r>
                        <w:r>
                          <w:rPr>
                            <w:rFonts w:ascii="Arial"/>
                            <w:color w:val="231F20"/>
                            <w:w w:val="80"/>
                            <w:sz w:val="14"/>
                          </w:rPr>
                          <w:t>2023</w:t>
                        </w:r>
                        <w:r>
                          <w:rPr>
                            <w:rFonts w:ascii="Arial"/>
                            <w:color w:val="231F20"/>
                            <w:spacing w:val="-6"/>
                            <w:sz w:val="14"/>
                          </w:rPr>
                          <w:t> </w:t>
                        </w:r>
                        <w:r>
                          <w:rPr>
                            <w:rFonts w:ascii="Arial"/>
                            <w:color w:val="231F20"/>
                            <w:w w:val="80"/>
                            <w:sz w:val="14"/>
                          </w:rPr>
                          <w:t>LPI</w:t>
                        </w:r>
                        <w:r>
                          <w:rPr>
                            <w:rFonts w:ascii="Arial"/>
                            <w:color w:val="231F20"/>
                            <w:spacing w:val="-5"/>
                            <w:sz w:val="14"/>
                          </w:rPr>
                          <w:t> </w:t>
                        </w:r>
                        <w:r>
                          <w:rPr>
                            <w:rFonts w:ascii="Arial"/>
                            <w:color w:val="231F20"/>
                            <w:spacing w:val="-2"/>
                            <w:w w:val="80"/>
                            <w:sz w:val="14"/>
                          </w:rPr>
                          <w:t>score</w:t>
                        </w:r>
                      </w:p>
                      <w:p>
                        <w:pPr>
                          <w:tabs>
                            <w:tab w:pos="3847" w:val="left" w:leader="none"/>
                          </w:tabs>
                          <w:spacing w:line="160" w:lineRule="exact" w:before="60"/>
                          <w:ind w:left="82" w:right="0" w:firstLine="0"/>
                          <w:jc w:val="left"/>
                          <w:rPr>
                            <w:rFonts w:ascii="Arial"/>
                            <w:sz w:val="14"/>
                          </w:rPr>
                        </w:pPr>
                        <w:r>
                          <w:rPr>
                            <w:rFonts w:ascii="Arial"/>
                            <w:color w:val="231F20"/>
                            <w:spacing w:val="-10"/>
                            <w:w w:val="95"/>
                            <w:sz w:val="14"/>
                          </w:rPr>
                          <w:t>5</w:t>
                        </w:r>
                        <w:r>
                          <w:rPr>
                            <w:rFonts w:ascii="Arial"/>
                            <w:color w:val="231F20"/>
                            <w:sz w:val="14"/>
                          </w:rPr>
                          <w:tab/>
                        </w:r>
                        <w:r>
                          <w:rPr>
                            <w:rFonts w:ascii="Arial"/>
                            <w:color w:val="231F20"/>
                            <w:spacing w:val="-10"/>
                            <w:w w:val="95"/>
                            <w:sz w:val="14"/>
                          </w:rPr>
                          <w:t>5</w:t>
                        </w:r>
                      </w:p>
                    </w:txbxContent>
                  </v:textbox>
                  <w10:wrap type="none"/>
                </v:shape>
                <v:shape style="position:absolute;left:1461;top:2074;width:88;height:159" type="#_x0000_t202" id="docshape1083" filled="false" stroked="false">
                  <v:textbox inset="0,0,0,0">
                    <w:txbxContent>
                      <w:p>
                        <w:pPr>
                          <w:spacing w:line="158" w:lineRule="exact" w:before="0"/>
                          <w:ind w:left="0" w:right="0" w:firstLine="0"/>
                          <w:jc w:val="left"/>
                          <w:rPr>
                            <w:rFonts w:ascii="Arial"/>
                            <w:sz w:val="14"/>
                          </w:rPr>
                        </w:pPr>
                        <w:r>
                          <w:rPr>
                            <w:rFonts w:ascii="Arial"/>
                            <w:color w:val="231F20"/>
                            <w:spacing w:val="-10"/>
                            <w:w w:val="95"/>
                            <w:sz w:val="14"/>
                          </w:rPr>
                          <w:t>4</w:t>
                        </w:r>
                      </w:p>
                    </w:txbxContent>
                  </v:textbox>
                  <w10:wrap type="none"/>
                </v:shape>
                <v:shape style="position:absolute;left:5227;top:2074;width:88;height:159" type="#_x0000_t202" id="docshape1084" filled="false" stroked="false">
                  <v:textbox inset="0,0,0,0">
                    <w:txbxContent>
                      <w:p>
                        <w:pPr>
                          <w:spacing w:line="158" w:lineRule="exact" w:before="0"/>
                          <w:ind w:left="0" w:right="0" w:firstLine="0"/>
                          <w:jc w:val="left"/>
                          <w:rPr>
                            <w:rFonts w:ascii="Arial"/>
                            <w:sz w:val="14"/>
                          </w:rPr>
                        </w:pPr>
                        <w:r>
                          <w:rPr>
                            <w:rFonts w:ascii="Arial"/>
                            <w:color w:val="231F20"/>
                            <w:spacing w:val="-10"/>
                            <w:w w:val="95"/>
                            <w:sz w:val="14"/>
                          </w:rPr>
                          <w:t>4</w:t>
                        </w:r>
                      </w:p>
                    </w:txbxContent>
                  </v:textbox>
                  <w10:wrap type="none"/>
                </v:shape>
                <v:shape style="position:absolute;left:1461;top:2791;width:88;height:159" type="#_x0000_t202" id="docshape1085" filled="false" stroked="false">
                  <v:textbox inset="0,0,0,0">
                    <w:txbxContent>
                      <w:p>
                        <w:pPr>
                          <w:spacing w:line="158" w:lineRule="exact" w:before="0"/>
                          <w:ind w:left="0" w:right="0" w:firstLine="0"/>
                          <w:jc w:val="left"/>
                          <w:rPr>
                            <w:rFonts w:ascii="Arial"/>
                            <w:sz w:val="14"/>
                          </w:rPr>
                        </w:pPr>
                        <w:r>
                          <w:rPr>
                            <w:rFonts w:ascii="Arial"/>
                            <w:color w:val="231F20"/>
                            <w:spacing w:val="-10"/>
                            <w:w w:val="95"/>
                            <w:sz w:val="14"/>
                          </w:rPr>
                          <w:t>3</w:t>
                        </w:r>
                      </w:p>
                    </w:txbxContent>
                  </v:textbox>
                  <w10:wrap type="none"/>
                </v:shape>
                <v:shape style="position:absolute;left:5227;top:2791;width:88;height:159" type="#_x0000_t202" id="docshape1086" filled="false" stroked="false">
                  <v:textbox inset="0,0,0,0">
                    <w:txbxContent>
                      <w:p>
                        <w:pPr>
                          <w:spacing w:line="158" w:lineRule="exact" w:before="0"/>
                          <w:ind w:left="0" w:right="0" w:firstLine="0"/>
                          <w:jc w:val="left"/>
                          <w:rPr>
                            <w:rFonts w:ascii="Arial"/>
                            <w:sz w:val="14"/>
                          </w:rPr>
                        </w:pPr>
                        <w:r>
                          <w:rPr>
                            <w:rFonts w:ascii="Arial"/>
                            <w:color w:val="231F20"/>
                            <w:spacing w:val="-10"/>
                            <w:w w:val="95"/>
                            <w:sz w:val="14"/>
                          </w:rPr>
                          <w:t>3</w:t>
                        </w:r>
                      </w:p>
                    </w:txbxContent>
                  </v:textbox>
                  <w10:wrap type="none"/>
                </v:shape>
                <v:shape style="position:absolute;left:1461;top:3508;width:88;height:159" type="#_x0000_t202" id="docshape1087" filled="false" stroked="false">
                  <v:textbox inset="0,0,0,0">
                    <w:txbxContent>
                      <w:p>
                        <w:pPr>
                          <w:spacing w:line="158" w:lineRule="exact" w:before="0"/>
                          <w:ind w:left="0" w:right="0" w:firstLine="0"/>
                          <w:jc w:val="left"/>
                          <w:rPr>
                            <w:rFonts w:ascii="Arial"/>
                            <w:sz w:val="14"/>
                          </w:rPr>
                        </w:pPr>
                        <w:r>
                          <w:rPr>
                            <w:rFonts w:ascii="Arial"/>
                            <w:color w:val="231F20"/>
                            <w:spacing w:val="-10"/>
                            <w:w w:val="95"/>
                            <w:sz w:val="14"/>
                          </w:rPr>
                          <w:t>2</w:t>
                        </w:r>
                      </w:p>
                    </w:txbxContent>
                  </v:textbox>
                  <w10:wrap type="none"/>
                </v:shape>
                <v:shape style="position:absolute;left:5227;top:3508;width:88;height:159" type="#_x0000_t202" id="docshape1088" filled="false" stroked="false">
                  <v:textbox inset="0,0,0,0">
                    <w:txbxContent>
                      <w:p>
                        <w:pPr>
                          <w:spacing w:line="158" w:lineRule="exact" w:before="0"/>
                          <w:ind w:left="0" w:right="0" w:firstLine="0"/>
                          <w:jc w:val="left"/>
                          <w:rPr>
                            <w:rFonts w:ascii="Arial"/>
                            <w:sz w:val="14"/>
                          </w:rPr>
                        </w:pPr>
                        <w:r>
                          <w:rPr>
                            <w:rFonts w:ascii="Arial"/>
                            <w:color w:val="231F20"/>
                            <w:spacing w:val="-10"/>
                            <w:w w:val="95"/>
                            <w:sz w:val="14"/>
                          </w:rPr>
                          <w:t>2</w:t>
                        </w:r>
                      </w:p>
                    </w:txbxContent>
                  </v:textbox>
                  <w10:wrap type="none"/>
                </v:shape>
                <v:shape style="position:absolute;left:1461;top:4224;width:185;height:259" type="#_x0000_t202" id="docshape1089" filled="false" stroked="false">
                  <v:textbox inset="0,0,0,0">
                    <w:txbxContent>
                      <w:p>
                        <w:pPr>
                          <w:spacing w:line="235" w:lineRule="auto" w:before="0"/>
                          <w:ind w:left="0" w:right="0" w:firstLine="0"/>
                          <w:jc w:val="left"/>
                          <w:rPr>
                            <w:rFonts w:ascii="Arial"/>
                            <w:sz w:val="14"/>
                          </w:rPr>
                        </w:pPr>
                        <w:r>
                          <w:rPr>
                            <w:rFonts w:ascii="Arial"/>
                            <w:color w:val="231F20"/>
                            <w:w w:val="85"/>
                            <w:sz w:val="14"/>
                          </w:rPr>
                          <w:t>1</w:t>
                        </w:r>
                        <w:r>
                          <w:rPr>
                            <w:rFonts w:ascii="Arial"/>
                            <w:color w:val="231F20"/>
                            <w:spacing w:val="-4"/>
                            <w:w w:val="85"/>
                            <w:sz w:val="14"/>
                          </w:rPr>
                          <w:t> </w:t>
                        </w:r>
                        <w:r>
                          <w:rPr>
                            <w:rFonts w:ascii="Arial"/>
                            <w:color w:val="231F20"/>
                            <w:spacing w:val="-10"/>
                            <w:w w:val="90"/>
                            <w:position w:val="-9"/>
                            <w:sz w:val="14"/>
                          </w:rPr>
                          <w:t>0</w:t>
                        </w:r>
                      </w:p>
                    </w:txbxContent>
                  </v:textbox>
                  <w10:wrap type="none"/>
                </v:shape>
                <v:shape style="position:absolute;left:2338;top:4324;width:155;height:159" type="#_x0000_t202" id="docshape1090"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10</w:t>
                        </w:r>
                      </w:p>
                    </w:txbxContent>
                  </v:textbox>
                  <w10:wrap type="none"/>
                </v:shape>
                <v:shape style="position:absolute;left:2474;top:4324;width:1510;height:359" type="#_x0000_t202" id="docshape1091" filled="false" stroked="false">
                  <v:textbox inset="0,0,0,0">
                    <w:txbxContent>
                      <w:p>
                        <w:pPr>
                          <w:spacing w:line="159" w:lineRule="exact" w:before="0"/>
                          <w:ind w:left="0" w:right="18" w:firstLine="0"/>
                          <w:jc w:val="center"/>
                          <w:rPr>
                            <w:rFonts w:ascii="Arial"/>
                            <w:sz w:val="14"/>
                          </w:rPr>
                        </w:pPr>
                        <w:r>
                          <w:rPr>
                            <w:rFonts w:ascii="Arial"/>
                            <w:color w:val="231F20"/>
                            <w:spacing w:val="-5"/>
                            <w:w w:val="95"/>
                            <w:sz w:val="14"/>
                          </w:rPr>
                          <w:t>20</w:t>
                        </w:r>
                      </w:p>
                      <w:p>
                        <w:pPr>
                          <w:spacing w:line="160" w:lineRule="exact" w:before="39"/>
                          <w:ind w:left="0" w:right="18" w:firstLine="0"/>
                          <w:jc w:val="center"/>
                          <w:rPr>
                            <w:rFonts w:ascii="Arial"/>
                            <w:sz w:val="14"/>
                          </w:rPr>
                        </w:pPr>
                        <w:r>
                          <w:rPr>
                            <w:rFonts w:ascii="Arial"/>
                            <w:color w:val="231F20"/>
                            <w:w w:val="80"/>
                            <w:sz w:val="14"/>
                          </w:rPr>
                          <w:t>Mean</w:t>
                        </w:r>
                        <w:r>
                          <w:rPr>
                            <w:rFonts w:ascii="Arial"/>
                            <w:color w:val="231F20"/>
                            <w:spacing w:val="-6"/>
                            <w:sz w:val="14"/>
                          </w:rPr>
                          <w:t> </w:t>
                        </w:r>
                        <w:r>
                          <w:rPr>
                            <w:rFonts w:ascii="Arial"/>
                            <w:color w:val="231F20"/>
                            <w:w w:val="80"/>
                            <w:sz w:val="14"/>
                          </w:rPr>
                          <w:t>import</w:t>
                        </w:r>
                        <w:r>
                          <w:rPr>
                            <w:rFonts w:ascii="Arial"/>
                            <w:color w:val="231F20"/>
                            <w:spacing w:val="-5"/>
                            <w:sz w:val="14"/>
                          </w:rPr>
                          <w:t> </w:t>
                        </w:r>
                        <w:r>
                          <w:rPr>
                            <w:rFonts w:ascii="Arial"/>
                            <w:color w:val="231F20"/>
                            <w:w w:val="80"/>
                            <w:sz w:val="14"/>
                          </w:rPr>
                          <w:t>dwell</w:t>
                        </w:r>
                        <w:r>
                          <w:rPr>
                            <w:rFonts w:ascii="Arial"/>
                            <w:color w:val="231F20"/>
                            <w:spacing w:val="-5"/>
                            <w:sz w:val="14"/>
                          </w:rPr>
                          <w:t> </w:t>
                        </w:r>
                        <w:r>
                          <w:rPr>
                            <w:rFonts w:ascii="Arial"/>
                            <w:color w:val="231F20"/>
                            <w:w w:val="80"/>
                            <w:sz w:val="14"/>
                          </w:rPr>
                          <w:t>time</w:t>
                        </w:r>
                        <w:r>
                          <w:rPr>
                            <w:rFonts w:ascii="Arial"/>
                            <w:color w:val="231F20"/>
                            <w:spacing w:val="-5"/>
                            <w:sz w:val="14"/>
                          </w:rPr>
                          <w:t> </w:t>
                        </w:r>
                        <w:r>
                          <w:rPr>
                            <w:rFonts w:ascii="Arial"/>
                            <w:color w:val="231F20"/>
                            <w:spacing w:val="-5"/>
                            <w:w w:val="80"/>
                            <w:sz w:val="14"/>
                          </w:rPr>
                          <w:t>(days)</w:t>
                        </w:r>
                      </w:p>
                    </w:txbxContent>
                  </v:textbox>
                  <w10:wrap type="none"/>
                </v:shape>
                <v:shape style="position:absolute;left:3966;top:4324;width:155;height:159" type="#_x0000_t202" id="docshape1092"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30</w:t>
                        </w:r>
                      </w:p>
                    </w:txbxContent>
                  </v:textbox>
                  <w10:wrap type="none"/>
                </v:shape>
                <v:shape style="position:absolute;left:4780;top:4324;width:155;height:159" type="#_x0000_t202" id="docshape1093"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40</w:t>
                        </w:r>
                      </w:p>
                    </w:txbxContent>
                  </v:textbox>
                  <w10:wrap type="none"/>
                </v:shape>
                <v:shape style="position:absolute;left:5227;top:4224;width:184;height:259" type="#_x0000_t202" id="docshape1094" filled="false" stroked="false">
                  <v:textbox inset="0,0,0,0">
                    <w:txbxContent>
                      <w:p>
                        <w:pPr>
                          <w:spacing w:line="235" w:lineRule="auto" w:before="0"/>
                          <w:ind w:left="0" w:right="0" w:firstLine="0"/>
                          <w:jc w:val="left"/>
                          <w:rPr>
                            <w:rFonts w:ascii="Arial"/>
                            <w:sz w:val="14"/>
                          </w:rPr>
                        </w:pPr>
                        <w:r>
                          <w:rPr>
                            <w:rFonts w:ascii="Arial"/>
                            <w:color w:val="231F20"/>
                            <w:w w:val="85"/>
                            <w:sz w:val="14"/>
                          </w:rPr>
                          <w:t>1</w:t>
                        </w:r>
                        <w:r>
                          <w:rPr>
                            <w:rFonts w:ascii="Arial"/>
                            <w:color w:val="231F20"/>
                            <w:spacing w:val="-4"/>
                            <w:w w:val="85"/>
                            <w:sz w:val="14"/>
                          </w:rPr>
                          <w:t> </w:t>
                        </w:r>
                        <w:r>
                          <w:rPr>
                            <w:rFonts w:ascii="Arial"/>
                            <w:color w:val="231F20"/>
                            <w:spacing w:val="-10"/>
                            <w:w w:val="90"/>
                            <w:position w:val="-9"/>
                            <w:sz w:val="14"/>
                          </w:rPr>
                          <w:t>0</w:t>
                        </w:r>
                      </w:p>
                    </w:txbxContent>
                  </v:textbox>
                  <w10:wrap type="none"/>
                </v:shape>
                <v:shape style="position:absolute;left:5974;top:4324;width:88;height:159" type="#_x0000_t202" id="docshape1095" filled="false" stroked="false">
                  <v:textbox inset="0,0,0,0">
                    <w:txbxContent>
                      <w:p>
                        <w:pPr>
                          <w:spacing w:line="158" w:lineRule="exact" w:before="0"/>
                          <w:ind w:left="0" w:right="0" w:firstLine="0"/>
                          <w:jc w:val="left"/>
                          <w:rPr>
                            <w:rFonts w:ascii="Arial"/>
                            <w:sz w:val="14"/>
                          </w:rPr>
                        </w:pPr>
                        <w:r>
                          <w:rPr>
                            <w:rFonts w:ascii="Arial"/>
                            <w:color w:val="231F20"/>
                            <w:spacing w:val="-10"/>
                            <w:w w:val="95"/>
                            <w:sz w:val="14"/>
                          </w:rPr>
                          <w:t>5</w:t>
                        </w:r>
                      </w:p>
                    </w:txbxContent>
                  </v:textbox>
                  <w10:wrap type="none"/>
                </v:shape>
                <v:shape style="position:absolute;left:6592;top:4324;width:155;height:159" type="#_x0000_t202" id="docshape1096"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10</w:t>
                        </w:r>
                      </w:p>
                    </w:txbxContent>
                  </v:textbox>
                  <w10:wrap type="none"/>
                </v:shape>
                <v:shape style="position:absolute;left:7243;top:4324;width:155;height:159" type="#_x0000_t202" id="docshape1097"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15</w:t>
                        </w:r>
                      </w:p>
                    </w:txbxContent>
                  </v:textbox>
                  <w10:wrap type="none"/>
                </v:shape>
                <v:shape style="position:absolute;left:7894;top:4324;width:155;height:159" type="#_x0000_t202" id="docshape1098"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20</w:t>
                        </w:r>
                      </w:p>
                    </w:txbxContent>
                  </v:textbox>
                  <w10:wrap type="none"/>
                </v:shape>
                <v:shape style="position:absolute;left:8545;top:4324;width:155;height:159" type="#_x0000_t202" id="docshape1099"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25</w:t>
                        </w:r>
                      </w:p>
                    </w:txbxContent>
                  </v:textbox>
                  <w10:wrap type="none"/>
                </v:shape>
                <v:shape style="position:absolute;left:6245;top:4524;width:1500;height:159" type="#_x0000_t202" id="docshape1100" filled="false" stroked="false">
                  <v:textbox inset="0,0,0,0">
                    <w:txbxContent>
                      <w:p>
                        <w:pPr>
                          <w:spacing w:line="158" w:lineRule="exact" w:before="0"/>
                          <w:ind w:left="0" w:right="0" w:firstLine="0"/>
                          <w:jc w:val="left"/>
                          <w:rPr>
                            <w:rFonts w:ascii="Arial"/>
                            <w:sz w:val="14"/>
                          </w:rPr>
                        </w:pPr>
                        <w:r>
                          <w:rPr>
                            <w:rFonts w:ascii="Arial"/>
                            <w:color w:val="231F20"/>
                            <w:w w:val="80"/>
                            <w:sz w:val="14"/>
                          </w:rPr>
                          <w:t>Mean</w:t>
                        </w:r>
                        <w:r>
                          <w:rPr>
                            <w:rFonts w:ascii="Arial"/>
                            <w:color w:val="231F20"/>
                            <w:spacing w:val="-1"/>
                            <w:w w:val="80"/>
                            <w:sz w:val="14"/>
                          </w:rPr>
                          <w:t> </w:t>
                        </w:r>
                        <w:r>
                          <w:rPr>
                            <w:rFonts w:ascii="Arial"/>
                            <w:color w:val="231F20"/>
                            <w:w w:val="80"/>
                            <w:sz w:val="14"/>
                          </w:rPr>
                          <w:t>export</w:t>
                        </w:r>
                        <w:r>
                          <w:rPr>
                            <w:rFonts w:ascii="Arial"/>
                            <w:color w:val="231F20"/>
                            <w:spacing w:val="-8"/>
                            <w:sz w:val="14"/>
                          </w:rPr>
                          <w:t> </w:t>
                        </w:r>
                        <w:r>
                          <w:rPr>
                            <w:rFonts w:ascii="Arial"/>
                            <w:color w:val="231F20"/>
                            <w:w w:val="80"/>
                            <w:sz w:val="14"/>
                          </w:rPr>
                          <w:t>dwell</w:t>
                        </w:r>
                        <w:r>
                          <w:rPr>
                            <w:rFonts w:ascii="Arial"/>
                            <w:color w:val="231F20"/>
                            <w:spacing w:val="-8"/>
                            <w:sz w:val="14"/>
                          </w:rPr>
                          <w:t> </w:t>
                        </w:r>
                        <w:r>
                          <w:rPr>
                            <w:rFonts w:ascii="Arial"/>
                            <w:color w:val="231F20"/>
                            <w:w w:val="80"/>
                            <w:sz w:val="14"/>
                          </w:rPr>
                          <w:t>time</w:t>
                        </w:r>
                        <w:r>
                          <w:rPr>
                            <w:rFonts w:ascii="Arial"/>
                            <w:color w:val="231F20"/>
                            <w:spacing w:val="-1"/>
                            <w:w w:val="80"/>
                            <w:sz w:val="14"/>
                          </w:rPr>
                          <w:t> </w:t>
                        </w:r>
                        <w:r>
                          <w:rPr>
                            <w:rFonts w:ascii="Arial"/>
                            <w:color w:val="231F20"/>
                            <w:spacing w:val="-2"/>
                            <w:w w:val="80"/>
                            <w:sz w:val="14"/>
                          </w:rPr>
                          <w:t>(days)</w:t>
                        </w:r>
                      </w:p>
                    </w:txbxContent>
                  </v:textbox>
                  <w10:wrap type="none"/>
                </v:shape>
                <v:shape style="position:absolute;left:1320;top:4831;width:1530;height:144" type="#_x0000_t202" id="docshape1101" filled="false" stroked="false">
                  <v:textbox inset="0,0,0,0">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3"/>
                            <w:sz w:val="12"/>
                          </w:rPr>
                          <w:t> </w:t>
                        </w:r>
                        <w:r>
                          <w:rPr>
                            <w:rFonts w:ascii="Arial"/>
                            <w:color w:val="231F20"/>
                            <w:w w:val="75"/>
                            <w:sz w:val="12"/>
                          </w:rPr>
                          <w:t>TradeLens</w:t>
                        </w:r>
                        <w:r>
                          <w:rPr>
                            <w:rFonts w:ascii="Arial"/>
                            <w:color w:val="231F20"/>
                            <w:spacing w:val="3"/>
                            <w:sz w:val="12"/>
                          </w:rPr>
                          <w:t> </w:t>
                        </w:r>
                        <w:r>
                          <w:rPr>
                            <w:rFonts w:ascii="Arial"/>
                            <w:color w:val="231F20"/>
                            <w:w w:val="75"/>
                            <w:sz w:val="12"/>
                          </w:rPr>
                          <w:t>and</w:t>
                        </w:r>
                        <w:r>
                          <w:rPr>
                            <w:rFonts w:ascii="Arial"/>
                            <w:color w:val="231F20"/>
                            <w:spacing w:val="-3"/>
                            <w:sz w:val="12"/>
                          </w:rPr>
                          <w:t> </w:t>
                        </w:r>
                        <w:r>
                          <w:rPr>
                            <w:rFonts w:ascii="Arial"/>
                            <w:color w:val="231F20"/>
                            <w:w w:val="75"/>
                            <w:sz w:val="12"/>
                          </w:rPr>
                          <w:t>World</w:t>
                        </w:r>
                        <w:r>
                          <w:rPr>
                            <w:rFonts w:ascii="Arial"/>
                            <w:color w:val="231F20"/>
                            <w:spacing w:val="3"/>
                            <w:sz w:val="12"/>
                          </w:rPr>
                          <w:t> </w:t>
                        </w:r>
                        <w:r>
                          <w:rPr>
                            <w:rFonts w:ascii="Arial"/>
                            <w:color w:val="231F20"/>
                            <w:spacing w:val="-2"/>
                            <w:w w:val="75"/>
                            <w:sz w:val="12"/>
                          </w:rPr>
                          <w:t>Bank.</w:t>
                        </w:r>
                      </w:p>
                    </w:txbxContent>
                  </v:textbox>
                  <w10:wrap type="none"/>
                </v:shape>
                <w10:wrap type="topAndBottom"/>
              </v:group>
            </w:pict>
          </mc:Fallback>
        </mc:AlternateContent>
      </w:r>
    </w:p>
    <w:p>
      <w:pPr>
        <w:spacing w:after="0"/>
        <w:rPr>
          <w:sz w:val="15"/>
        </w:rPr>
        <w:sectPr>
          <w:type w:val="continuous"/>
          <w:pgSz w:w="12240" w:h="15840"/>
          <w:pgMar w:header="0" w:footer="548" w:top="1140" w:bottom="280" w:left="0" w:right="540"/>
        </w:sectPr>
      </w:pPr>
    </w:p>
    <w:p>
      <w:pPr>
        <w:pStyle w:val="BodyText"/>
        <w:rPr>
          <w:sz w:val="20"/>
        </w:rPr>
      </w:pPr>
    </w:p>
    <w:p>
      <w:pPr>
        <w:pStyle w:val="BodyText"/>
        <w:rPr>
          <w:sz w:val="20"/>
        </w:rPr>
      </w:pPr>
    </w:p>
    <w:p>
      <w:pPr>
        <w:pStyle w:val="BodyText"/>
        <w:spacing w:before="37"/>
        <w:rPr>
          <w:sz w:val="20"/>
        </w:rPr>
      </w:pPr>
    </w:p>
    <w:p>
      <w:pPr>
        <w:spacing w:after="0"/>
        <w:rPr>
          <w:sz w:val="20"/>
        </w:rPr>
        <w:sectPr>
          <w:pgSz w:w="12240" w:h="15840"/>
          <w:pgMar w:header="0" w:footer="548" w:top="560" w:bottom="740" w:left="0" w:right="540"/>
        </w:sectPr>
      </w:pPr>
    </w:p>
    <w:p>
      <w:pPr>
        <w:pStyle w:val="BodyText"/>
        <w:spacing w:line="268" w:lineRule="auto" w:before="97"/>
        <w:ind w:left="3360" w:firstLine="300"/>
        <w:jc w:val="both"/>
      </w:pPr>
      <w:bookmarkStart w:name="_bookmark27" w:id="29"/>
      <w:bookmarkEnd w:id="29"/>
      <w:r>
        <w:rPr/>
      </w:r>
      <w:bookmarkStart w:name="_bookmark26" w:id="30"/>
      <w:bookmarkEnd w:id="30"/>
      <w:r>
        <w:rPr/>
      </w:r>
      <w:r>
        <w:rPr>
          <w:color w:val="231F20"/>
          <w:spacing w:val="-4"/>
        </w:rPr>
        <w:t>The</w:t>
      </w:r>
      <w:r>
        <w:rPr>
          <w:color w:val="231F20"/>
          <w:spacing w:val="-7"/>
        </w:rPr>
        <w:t> </w:t>
      </w:r>
      <w:r>
        <w:rPr>
          <w:color w:val="231F20"/>
          <w:spacing w:val="-4"/>
        </w:rPr>
        <w:t>lack</w:t>
      </w:r>
      <w:r>
        <w:rPr>
          <w:color w:val="231F20"/>
          <w:spacing w:val="-7"/>
        </w:rPr>
        <w:t> </w:t>
      </w:r>
      <w:r>
        <w:rPr>
          <w:color w:val="231F20"/>
          <w:spacing w:val="-4"/>
        </w:rPr>
        <w:t>of</w:t>
      </w:r>
      <w:r>
        <w:rPr>
          <w:color w:val="231F20"/>
          <w:spacing w:val="-7"/>
        </w:rPr>
        <w:t> </w:t>
      </w:r>
      <w:r>
        <w:rPr>
          <w:color w:val="231F20"/>
          <w:spacing w:val="-4"/>
        </w:rPr>
        <w:t>differentiation</w:t>
      </w:r>
      <w:r>
        <w:rPr>
          <w:color w:val="231F20"/>
          <w:spacing w:val="-7"/>
        </w:rPr>
        <w:t> </w:t>
      </w:r>
      <w:r>
        <w:rPr>
          <w:color w:val="231F20"/>
          <w:spacing w:val="-4"/>
        </w:rPr>
        <w:t>between</w:t>
      </w:r>
      <w:r>
        <w:rPr>
          <w:color w:val="231F20"/>
          <w:spacing w:val="-7"/>
        </w:rPr>
        <w:t> </w:t>
      </w:r>
      <w:r>
        <w:rPr>
          <w:color w:val="231F20"/>
          <w:spacing w:val="-4"/>
        </w:rPr>
        <w:t>lower- </w:t>
      </w:r>
      <w:r>
        <w:rPr>
          <w:color w:val="231F20"/>
          <w:spacing w:val="-2"/>
        </w:rPr>
        <w:t>and</w:t>
      </w:r>
      <w:r>
        <w:rPr>
          <w:color w:val="231F20"/>
          <w:spacing w:val="-10"/>
        </w:rPr>
        <w:t> </w:t>
      </w:r>
      <w:r>
        <w:rPr>
          <w:color w:val="231F20"/>
          <w:spacing w:val="-2"/>
        </w:rPr>
        <w:t>higher-income</w:t>
      </w:r>
      <w:r>
        <w:rPr>
          <w:color w:val="231F20"/>
          <w:spacing w:val="-10"/>
        </w:rPr>
        <w:t> </w:t>
      </w:r>
      <w:r>
        <w:rPr>
          <w:color w:val="231F20"/>
          <w:spacing w:val="-2"/>
        </w:rPr>
        <w:t>countries</w:t>
      </w:r>
      <w:r>
        <w:rPr>
          <w:color w:val="231F20"/>
          <w:spacing w:val="-10"/>
        </w:rPr>
        <w:t> </w:t>
      </w:r>
      <w:r>
        <w:rPr>
          <w:color w:val="231F20"/>
          <w:spacing w:val="-2"/>
        </w:rPr>
        <w:t>points</w:t>
      </w:r>
      <w:r>
        <w:rPr>
          <w:color w:val="231F20"/>
          <w:spacing w:val="-10"/>
        </w:rPr>
        <w:t> </w:t>
      </w:r>
      <w:r>
        <w:rPr>
          <w:color w:val="231F20"/>
          <w:spacing w:val="-2"/>
        </w:rPr>
        <w:t>to</w:t>
      </w:r>
      <w:r>
        <w:rPr>
          <w:color w:val="231F20"/>
          <w:spacing w:val="-10"/>
        </w:rPr>
        <w:t> </w:t>
      </w:r>
      <w:r>
        <w:rPr>
          <w:color w:val="231F20"/>
          <w:spacing w:val="-2"/>
        </w:rPr>
        <w:t>a</w:t>
      </w:r>
      <w:r>
        <w:rPr>
          <w:color w:val="231F20"/>
          <w:spacing w:val="-10"/>
        </w:rPr>
        <w:t> </w:t>
      </w:r>
      <w:r>
        <w:rPr>
          <w:color w:val="231F20"/>
          <w:spacing w:val="-2"/>
        </w:rPr>
        <w:t>com- </w:t>
      </w:r>
      <w:r>
        <w:rPr>
          <w:color w:val="231F20"/>
        </w:rPr>
        <w:t>plex</w:t>
      </w:r>
      <w:r>
        <w:rPr>
          <w:color w:val="231F20"/>
          <w:spacing w:val="-14"/>
        </w:rPr>
        <w:t> </w:t>
      </w:r>
      <w:r>
        <w:rPr>
          <w:color w:val="231F20"/>
        </w:rPr>
        <w:t>picture.</w:t>
      </w:r>
      <w:r>
        <w:rPr>
          <w:color w:val="231F20"/>
          <w:spacing w:val="-13"/>
        </w:rPr>
        <w:t> </w:t>
      </w:r>
      <w:r>
        <w:rPr>
          <w:color w:val="231F20"/>
        </w:rPr>
        <w:t>The</w:t>
      </w:r>
      <w:r>
        <w:rPr>
          <w:color w:val="231F20"/>
          <w:spacing w:val="-13"/>
        </w:rPr>
        <w:t> </w:t>
      </w:r>
      <w:r>
        <w:rPr>
          <w:color w:val="231F20"/>
        </w:rPr>
        <w:t>average</w:t>
      </w:r>
      <w:r>
        <w:rPr>
          <w:color w:val="231F20"/>
          <w:spacing w:val="-13"/>
        </w:rPr>
        <w:t> </w:t>
      </w:r>
      <w:r>
        <w:rPr>
          <w:color w:val="231F20"/>
        </w:rPr>
        <w:t>dwell</w:t>
      </w:r>
      <w:r>
        <w:rPr>
          <w:color w:val="231F20"/>
          <w:spacing w:val="-13"/>
        </w:rPr>
        <w:t> </w:t>
      </w:r>
      <w:r>
        <w:rPr>
          <w:color w:val="231F20"/>
        </w:rPr>
        <w:t>time</w:t>
      </w:r>
      <w:r>
        <w:rPr>
          <w:color w:val="231F20"/>
          <w:spacing w:val="-13"/>
        </w:rPr>
        <w:t> </w:t>
      </w:r>
      <w:r>
        <w:rPr>
          <w:color w:val="231F20"/>
        </w:rPr>
        <w:t>for</w:t>
      </w:r>
      <w:r>
        <w:rPr>
          <w:color w:val="231F20"/>
          <w:spacing w:val="-13"/>
        </w:rPr>
        <w:t> </w:t>
      </w:r>
      <w:r>
        <w:rPr>
          <w:color w:val="231F20"/>
        </w:rPr>
        <w:t>con- tainers</w:t>
      </w:r>
      <w:r>
        <w:rPr>
          <w:color w:val="231F20"/>
          <w:spacing w:val="-1"/>
        </w:rPr>
        <w:t> </w:t>
      </w:r>
      <w:r>
        <w:rPr>
          <w:color w:val="231F20"/>
        </w:rPr>
        <w:t>between</w:t>
      </w:r>
      <w:r>
        <w:rPr>
          <w:color w:val="231F20"/>
          <w:spacing w:val="-1"/>
        </w:rPr>
        <w:t> </w:t>
      </w:r>
      <w:r>
        <w:rPr>
          <w:color w:val="231F20"/>
        </w:rPr>
        <w:t>May</w:t>
      </w:r>
      <w:r>
        <w:rPr>
          <w:color w:val="231F20"/>
          <w:spacing w:val="-1"/>
        </w:rPr>
        <w:t> </w:t>
      </w:r>
      <w:r>
        <w:rPr>
          <w:color w:val="231F20"/>
        </w:rPr>
        <w:t>and</w:t>
      </w:r>
      <w:r>
        <w:rPr>
          <w:color w:val="231F20"/>
          <w:spacing w:val="-1"/>
        </w:rPr>
        <w:t> </w:t>
      </w:r>
      <w:r>
        <w:rPr>
          <w:color w:val="231F20"/>
        </w:rPr>
        <w:t>October</w:t>
      </w:r>
      <w:r>
        <w:rPr>
          <w:color w:val="231F20"/>
          <w:spacing w:val="-1"/>
        </w:rPr>
        <w:t> </w:t>
      </w:r>
      <w:r>
        <w:rPr>
          <w:color w:val="231F20"/>
        </w:rPr>
        <w:t>2022</w:t>
      </w:r>
      <w:r>
        <w:rPr>
          <w:color w:val="231F20"/>
          <w:spacing w:val="-1"/>
        </w:rPr>
        <w:t> </w:t>
      </w:r>
      <w:r>
        <w:rPr>
          <w:color w:val="231F20"/>
        </w:rPr>
        <w:t>was 3</w:t>
      </w:r>
      <w:r>
        <w:rPr>
          <w:color w:val="231F20"/>
          <w:spacing w:val="-3"/>
        </w:rPr>
        <w:t> </w:t>
      </w:r>
      <w:r>
        <w:rPr>
          <w:color w:val="231F20"/>
        </w:rPr>
        <w:t>days</w:t>
      </w:r>
      <w:r>
        <w:rPr>
          <w:color w:val="231F20"/>
          <w:spacing w:val="-3"/>
        </w:rPr>
        <w:t> </w:t>
      </w:r>
      <w:r>
        <w:rPr>
          <w:color w:val="231F20"/>
        </w:rPr>
        <w:t>for</w:t>
      </w:r>
      <w:r>
        <w:rPr>
          <w:color w:val="231F20"/>
          <w:spacing w:val="-3"/>
        </w:rPr>
        <w:t> </w:t>
      </w:r>
      <w:r>
        <w:rPr>
          <w:color w:val="231F20"/>
        </w:rPr>
        <w:t>India</w:t>
      </w:r>
      <w:r>
        <w:rPr>
          <w:color w:val="231F20"/>
          <w:spacing w:val="-3"/>
        </w:rPr>
        <w:t> </w:t>
      </w:r>
      <w:r>
        <w:rPr>
          <w:color w:val="231F20"/>
        </w:rPr>
        <w:t>and</w:t>
      </w:r>
      <w:r>
        <w:rPr>
          <w:color w:val="231F20"/>
          <w:spacing w:val="-3"/>
        </w:rPr>
        <w:t> </w:t>
      </w:r>
      <w:r>
        <w:rPr>
          <w:color w:val="231F20"/>
        </w:rPr>
        <w:t>Singapore</w:t>
      </w:r>
      <w:r>
        <w:rPr>
          <w:color w:val="231F20"/>
          <w:spacing w:val="-3"/>
        </w:rPr>
        <w:t> </w:t>
      </w:r>
      <w:r>
        <w:rPr>
          <w:color w:val="231F20"/>
        </w:rPr>
        <w:t>and</w:t>
      </w:r>
      <w:r>
        <w:rPr>
          <w:color w:val="231F20"/>
          <w:spacing w:val="-3"/>
        </w:rPr>
        <w:t> </w:t>
      </w:r>
      <w:r>
        <w:rPr>
          <w:color w:val="231F20"/>
        </w:rPr>
        <w:t>4</w:t>
      </w:r>
      <w:r>
        <w:rPr>
          <w:color w:val="231F20"/>
          <w:spacing w:val="-3"/>
        </w:rPr>
        <w:t> </w:t>
      </w:r>
      <w:r>
        <w:rPr>
          <w:color w:val="231F20"/>
        </w:rPr>
        <w:t>for</w:t>
      </w:r>
      <w:r>
        <w:rPr>
          <w:color w:val="231F20"/>
          <w:spacing w:val="-3"/>
        </w:rPr>
        <w:t> </w:t>
      </w:r>
      <w:r>
        <w:rPr>
          <w:color w:val="231F20"/>
        </w:rPr>
        <w:t>the United Arab Emirates and South Africa but 7</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United</w:t>
      </w:r>
      <w:r>
        <w:rPr>
          <w:color w:val="231F20"/>
          <w:spacing w:val="-2"/>
        </w:rPr>
        <w:t> </w:t>
      </w:r>
      <w:r>
        <w:rPr>
          <w:color w:val="231F20"/>
        </w:rPr>
        <w:t>States</w:t>
      </w:r>
      <w:r>
        <w:rPr>
          <w:color w:val="231F20"/>
          <w:spacing w:val="-2"/>
        </w:rPr>
        <w:t> </w:t>
      </w:r>
      <w:r>
        <w:rPr>
          <w:color w:val="231F20"/>
        </w:rPr>
        <w:t>and</w:t>
      </w:r>
      <w:r>
        <w:rPr>
          <w:color w:val="231F20"/>
          <w:spacing w:val="-2"/>
        </w:rPr>
        <w:t> </w:t>
      </w:r>
      <w:r>
        <w:rPr>
          <w:color w:val="231F20"/>
        </w:rPr>
        <w:t>10</w:t>
      </w:r>
      <w:r>
        <w:rPr>
          <w:color w:val="231F20"/>
          <w:spacing w:val="-2"/>
        </w:rPr>
        <w:t> </w:t>
      </w:r>
      <w:r>
        <w:rPr>
          <w:color w:val="231F20"/>
        </w:rPr>
        <w:t>for</w:t>
      </w:r>
      <w:r>
        <w:rPr>
          <w:color w:val="231F20"/>
          <w:spacing w:val="-2"/>
        </w:rPr>
        <w:t> </w:t>
      </w:r>
      <w:r>
        <w:rPr>
          <w:color w:val="231F20"/>
        </w:rPr>
        <w:t>Germany. One</w:t>
      </w:r>
      <w:r>
        <w:rPr>
          <w:color w:val="231F20"/>
          <w:spacing w:val="-5"/>
        </w:rPr>
        <w:t> </w:t>
      </w:r>
      <w:r>
        <w:rPr>
          <w:color w:val="231F20"/>
        </w:rPr>
        <w:t>explanation</w:t>
      </w:r>
      <w:r>
        <w:rPr>
          <w:color w:val="231F20"/>
          <w:spacing w:val="-5"/>
        </w:rPr>
        <w:t> </w:t>
      </w:r>
      <w:r>
        <w:rPr>
          <w:color w:val="231F20"/>
        </w:rPr>
        <w:t>could</w:t>
      </w:r>
      <w:r>
        <w:rPr>
          <w:color w:val="231F20"/>
          <w:spacing w:val="-5"/>
        </w:rPr>
        <w:t> </w:t>
      </w:r>
      <w:r>
        <w:rPr>
          <w:color w:val="231F20"/>
        </w:rPr>
        <w:t>be</w:t>
      </w:r>
      <w:r>
        <w:rPr>
          <w:color w:val="231F20"/>
          <w:spacing w:val="-5"/>
        </w:rPr>
        <w:t> </w:t>
      </w:r>
      <w:r>
        <w:rPr>
          <w:color w:val="231F20"/>
        </w:rPr>
        <w:t>that</w:t>
      </w:r>
      <w:r>
        <w:rPr>
          <w:color w:val="231F20"/>
          <w:spacing w:val="-5"/>
        </w:rPr>
        <w:t> </w:t>
      </w:r>
      <w:r>
        <w:rPr>
          <w:color w:val="231F20"/>
        </w:rPr>
        <w:t>the</w:t>
      </w:r>
      <w:r>
        <w:rPr>
          <w:color w:val="231F20"/>
          <w:spacing w:val="-5"/>
        </w:rPr>
        <w:t> </w:t>
      </w:r>
      <w:r>
        <w:rPr>
          <w:color w:val="231F20"/>
        </w:rPr>
        <w:t>period</w:t>
      </w:r>
      <w:r>
        <w:rPr>
          <w:color w:val="231F20"/>
          <w:spacing w:val="-5"/>
        </w:rPr>
        <w:t> </w:t>
      </w:r>
      <w:r>
        <w:rPr>
          <w:color w:val="231F20"/>
        </w:rPr>
        <w:t>for these</w:t>
      </w:r>
      <w:r>
        <w:rPr>
          <w:color w:val="231F20"/>
          <w:spacing w:val="-10"/>
        </w:rPr>
        <w:t> </w:t>
      </w:r>
      <w:r>
        <w:rPr>
          <w:color w:val="231F20"/>
        </w:rPr>
        <w:t>estimates</w:t>
      </w:r>
      <w:r>
        <w:rPr>
          <w:color w:val="231F20"/>
          <w:spacing w:val="-10"/>
        </w:rPr>
        <w:t> </w:t>
      </w:r>
      <w:r>
        <w:rPr>
          <w:color w:val="231F20"/>
        </w:rPr>
        <w:t>coincides</w:t>
      </w:r>
      <w:r>
        <w:rPr>
          <w:color w:val="231F20"/>
          <w:spacing w:val="-10"/>
        </w:rPr>
        <w:t> </w:t>
      </w:r>
      <w:r>
        <w:rPr>
          <w:color w:val="231F20"/>
        </w:rPr>
        <w:t>with</w:t>
      </w:r>
      <w:r>
        <w:rPr>
          <w:color w:val="231F20"/>
          <w:spacing w:val="-10"/>
        </w:rPr>
        <w:t> </w:t>
      </w:r>
      <w:r>
        <w:rPr>
          <w:color w:val="231F20"/>
        </w:rPr>
        <w:t>the</w:t>
      </w:r>
      <w:r>
        <w:rPr>
          <w:color w:val="231F20"/>
          <w:spacing w:val="-10"/>
        </w:rPr>
        <w:t> </w:t>
      </w:r>
      <w:r>
        <w:rPr>
          <w:color w:val="231F20"/>
        </w:rPr>
        <w:t>tail</w:t>
      </w:r>
      <w:r>
        <w:rPr>
          <w:color w:val="231F20"/>
          <w:spacing w:val="-10"/>
        </w:rPr>
        <w:t> </w:t>
      </w:r>
      <w:r>
        <w:rPr>
          <w:color w:val="231F20"/>
        </w:rPr>
        <w:t>end</w:t>
      </w:r>
      <w:r>
        <w:rPr>
          <w:color w:val="231F20"/>
          <w:spacing w:val="-10"/>
        </w:rPr>
        <w:t> </w:t>
      </w:r>
      <w:r>
        <w:rPr>
          <w:color w:val="231F20"/>
        </w:rPr>
        <w:t>of </w:t>
      </w:r>
      <w:r>
        <w:rPr>
          <w:color w:val="231F20"/>
          <w:spacing w:val="-6"/>
        </w:rPr>
        <w:t>an unprecedented supply chain crisis. Not only </w:t>
      </w:r>
      <w:r>
        <w:rPr>
          <w:color w:val="231F20"/>
        </w:rPr>
        <w:t>did</w:t>
      </w:r>
      <w:r>
        <w:rPr>
          <w:color w:val="231F20"/>
          <w:spacing w:val="-9"/>
        </w:rPr>
        <w:t> </w:t>
      </w:r>
      <w:r>
        <w:rPr>
          <w:color w:val="231F20"/>
        </w:rPr>
        <w:t>ships</w:t>
      </w:r>
      <w:r>
        <w:rPr>
          <w:color w:val="231F20"/>
          <w:spacing w:val="-9"/>
        </w:rPr>
        <w:t> </w:t>
      </w:r>
      <w:r>
        <w:rPr>
          <w:color w:val="231F20"/>
        </w:rPr>
        <w:t>have</w:t>
      </w:r>
      <w:r>
        <w:rPr>
          <w:color w:val="231F20"/>
          <w:spacing w:val="-9"/>
        </w:rPr>
        <w:t> </w:t>
      </w:r>
      <w:r>
        <w:rPr>
          <w:color w:val="231F20"/>
        </w:rPr>
        <w:t>to</w:t>
      </w:r>
      <w:r>
        <w:rPr>
          <w:color w:val="231F20"/>
          <w:spacing w:val="-9"/>
        </w:rPr>
        <w:t> </w:t>
      </w:r>
      <w:r>
        <w:rPr>
          <w:color w:val="231F20"/>
        </w:rPr>
        <w:t>wait</w:t>
      </w:r>
      <w:r>
        <w:rPr>
          <w:color w:val="231F20"/>
          <w:spacing w:val="-9"/>
        </w:rPr>
        <w:t> </w:t>
      </w:r>
      <w:r>
        <w:rPr>
          <w:color w:val="231F20"/>
        </w:rPr>
        <w:t>before</w:t>
      </w:r>
      <w:r>
        <w:rPr>
          <w:color w:val="231F20"/>
          <w:spacing w:val="-9"/>
        </w:rPr>
        <w:t> </w:t>
      </w:r>
      <w:r>
        <w:rPr>
          <w:color w:val="231F20"/>
        </w:rPr>
        <w:t>being</w:t>
      </w:r>
      <w:r>
        <w:rPr>
          <w:color w:val="231F20"/>
          <w:spacing w:val="-9"/>
        </w:rPr>
        <w:t> </w:t>
      </w:r>
      <w:r>
        <w:rPr>
          <w:color w:val="231F20"/>
        </w:rPr>
        <w:t>serviced, but</w:t>
      </w:r>
      <w:r>
        <w:rPr>
          <w:color w:val="231F20"/>
          <w:spacing w:val="-12"/>
        </w:rPr>
        <w:t> </w:t>
      </w:r>
      <w:r>
        <w:rPr>
          <w:color w:val="231F20"/>
        </w:rPr>
        <w:t>containers</w:t>
      </w:r>
      <w:r>
        <w:rPr>
          <w:color w:val="231F20"/>
          <w:spacing w:val="-12"/>
        </w:rPr>
        <w:t> </w:t>
      </w:r>
      <w:r>
        <w:rPr>
          <w:color w:val="231F20"/>
        </w:rPr>
        <w:t>had</w:t>
      </w:r>
      <w:r>
        <w:rPr>
          <w:color w:val="231F20"/>
          <w:spacing w:val="-12"/>
        </w:rPr>
        <w:t> </w:t>
      </w:r>
      <w:r>
        <w:rPr>
          <w:color w:val="231F20"/>
        </w:rPr>
        <w:t>to</w:t>
      </w:r>
      <w:r>
        <w:rPr>
          <w:color w:val="231F20"/>
          <w:spacing w:val="-12"/>
        </w:rPr>
        <w:t> </w:t>
      </w:r>
      <w:r>
        <w:rPr>
          <w:color w:val="231F20"/>
        </w:rPr>
        <w:t>wait</w:t>
      </w:r>
      <w:r>
        <w:rPr>
          <w:color w:val="231F20"/>
          <w:spacing w:val="-12"/>
        </w:rPr>
        <w:t> </w:t>
      </w:r>
      <w:r>
        <w:rPr>
          <w:color w:val="231F20"/>
        </w:rPr>
        <w:t>for</w:t>
      </w:r>
      <w:r>
        <w:rPr>
          <w:color w:val="231F20"/>
          <w:spacing w:val="-12"/>
        </w:rPr>
        <w:t> </w:t>
      </w:r>
      <w:r>
        <w:rPr>
          <w:color w:val="231F20"/>
        </w:rPr>
        <w:t>trucks</w:t>
      </w:r>
      <w:r>
        <w:rPr>
          <w:color w:val="231F20"/>
          <w:spacing w:val="-12"/>
        </w:rPr>
        <w:t> </w:t>
      </w:r>
      <w:r>
        <w:rPr>
          <w:color w:val="231F20"/>
        </w:rPr>
        <w:t>to</w:t>
      </w:r>
      <w:r>
        <w:rPr>
          <w:color w:val="231F20"/>
          <w:spacing w:val="-12"/>
        </w:rPr>
        <w:t> </w:t>
      </w:r>
      <w:r>
        <w:rPr>
          <w:color w:val="231F20"/>
        </w:rPr>
        <w:t>be</w:t>
      </w:r>
      <w:r>
        <w:rPr>
          <w:color w:val="231F20"/>
          <w:spacing w:val="-12"/>
        </w:rPr>
        <w:t> </w:t>
      </w:r>
      <w:r>
        <w:rPr>
          <w:color w:val="231F20"/>
        </w:rPr>
        <w:t>re- </w:t>
      </w:r>
      <w:r>
        <w:rPr>
          <w:color w:val="231F20"/>
          <w:spacing w:val="-4"/>
        </w:rPr>
        <w:t>moved.</w:t>
      </w:r>
      <w:r>
        <w:rPr>
          <w:color w:val="231F20"/>
          <w:spacing w:val="-8"/>
        </w:rPr>
        <w:t> </w:t>
      </w:r>
      <w:r>
        <w:rPr>
          <w:color w:val="231F20"/>
          <w:spacing w:val="-4"/>
        </w:rPr>
        <w:t>Furthermore,</w:t>
      </w:r>
      <w:r>
        <w:rPr>
          <w:color w:val="231F20"/>
          <w:spacing w:val="-8"/>
        </w:rPr>
        <w:t> </w:t>
      </w:r>
      <w:r>
        <w:rPr>
          <w:color w:val="231F20"/>
          <w:spacing w:val="-4"/>
        </w:rPr>
        <w:t>sanctions</w:t>
      </w:r>
      <w:r>
        <w:rPr>
          <w:color w:val="231F20"/>
          <w:spacing w:val="-8"/>
        </w:rPr>
        <w:t> </w:t>
      </w:r>
      <w:r>
        <w:rPr>
          <w:color w:val="231F20"/>
          <w:spacing w:val="-4"/>
        </w:rPr>
        <w:t>against</w:t>
      </w:r>
      <w:r>
        <w:rPr>
          <w:color w:val="231F20"/>
          <w:spacing w:val="-8"/>
        </w:rPr>
        <w:t> </w:t>
      </w:r>
      <w:r>
        <w:rPr>
          <w:color w:val="231F20"/>
          <w:spacing w:val="-4"/>
        </w:rPr>
        <w:t>Russia (in</w:t>
      </w:r>
      <w:r>
        <w:rPr>
          <w:color w:val="231F20"/>
          <w:spacing w:val="-8"/>
        </w:rPr>
        <w:t> </w:t>
      </w:r>
      <w:r>
        <w:rPr>
          <w:color w:val="231F20"/>
          <w:spacing w:val="-4"/>
        </w:rPr>
        <w:t>response</w:t>
      </w:r>
      <w:r>
        <w:rPr>
          <w:color w:val="231F20"/>
          <w:spacing w:val="-8"/>
        </w:rPr>
        <w:t> </w:t>
      </w:r>
      <w:r>
        <w:rPr>
          <w:color w:val="231F20"/>
          <w:spacing w:val="-4"/>
        </w:rPr>
        <w:t>to</w:t>
      </w:r>
      <w:r>
        <w:rPr>
          <w:color w:val="231F20"/>
          <w:spacing w:val="-8"/>
        </w:rPr>
        <w:t> </w:t>
      </w:r>
      <w:r>
        <w:rPr>
          <w:color w:val="231F20"/>
          <w:spacing w:val="-4"/>
        </w:rPr>
        <w:t>its</w:t>
      </w:r>
      <w:r>
        <w:rPr>
          <w:color w:val="231F20"/>
          <w:spacing w:val="-8"/>
        </w:rPr>
        <w:t> </w:t>
      </w:r>
      <w:r>
        <w:rPr>
          <w:color w:val="231F20"/>
          <w:spacing w:val="-4"/>
        </w:rPr>
        <w:t>invasion</w:t>
      </w:r>
      <w:r>
        <w:rPr>
          <w:color w:val="231F20"/>
          <w:spacing w:val="-8"/>
        </w:rPr>
        <w:t> </w:t>
      </w:r>
      <w:r>
        <w:rPr>
          <w:color w:val="231F20"/>
          <w:spacing w:val="-4"/>
        </w:rPr>
        <w:t>of</w:t>
      </w:r>
      <w:r>
        <w:rPr>
          <w:color w:val="231F20"/>
          <w:spacing w:val="-8"/>
        </w:rPr>
        <w:t> </w:t>
      </w:r>
      <w:r>
        <w:rPr>
          <w:color w:val="231F20"/>
          <w:spacing w:val="-4"/>
        </w:rPr>
        <w:t>Ukraine),</w:t>
      </w:r>
      <w:r>
        <w:rPr>
          <w:color w:val="231F20"/>
          <w:spacing w:val="-8"/>
        </w:rPr>
        <w:t> </w:t>
      </w:r>
      <w:r>
        <w:rPr>
          <w:color w:val="231F20"/>
          <w:spacing w:val="-4"/>
        </w:rPr>
        <w:t>which </w:t>
      </w:r>
      <w:r>
        <w:rPr>
          <w:color w:val="231F20"/>
          <w:spacing w:val="-2"/>
        </w:rPr>
        <w:t>disconnected</w:t>
      </w:r>
      <w:r>
        <w:rPr>
          <w:color w:val="231F20"/>
          <w:spacing w:val="-8"/>
        </w:rPr>
        <w:t> </w:t>
      </w:r>
      <w:r>
        <w:rPr>
          <w:color w:val="231F20"/>
          <w:spacing w:val="-2"/>
        </w:rPr>
        <w:t>it</w:t>
      </w:r>
      <w:r>
        <w:rPr>
          <w:color w:val="231F20"/>
          <w:spacing w:val="-8"/>
        </w:rPr>
        <w:t> </w:t>
      </w:r>
      <w:r>
        <w:rPr>
          <w:color w:val="231F20"/>
          <w:spacing w:val="-2"/>
        </w:rPr>
        <w:t>from</w:t>
      </w:r>
      <w:r>
        <w:rPr>
          <w:color w:val="231F20"/>
          <w:spacing w:val="-8"/>
        </w:rPr>
        <w:t> </w:t>
      </w:r>
      <w:r>
        <w:rPr>
          <w:color w:val="231F20"/>
          <w:spacing w:val="-2"/>
        </w:rPr>
        <w:t>most</w:t>
      </w:r>
      <w:r>
        <w:rPr>
          <w:color w:val="231F20"/>
          <w:spacing w:val="-8"/>
        </w:rPr>
        <w:t> </w:t>
      </w:r>
      <w:r>
        <w:rPr>
          <w:color w:val="231F20"/>
          <w:spacing w:val="-2"/>
        </w:rPr>
        <w:t>container</w:t>
      </w:r>
      <w:r>
        <w:rPr>
          <w:color w:val="231F20"/>
          <w:spacing w:val="-8"/>
        </w:rPr>
        <w:t> </w:t>
      </w:r>
      <w:r>
        <w:rPr>
          <w:color w:val="231F20"/>
          <w:spacing w:val="-2"/>
        </w:rPr>
        <w:t>shipping </w:t>
      </w:r>
      <w:r>
        <w:rPr>
          <w:color w:val="231F20"/>
          <w:spacing w:val="-4"/>
        </w:rPr>
        <w:t>services,</w:t>
      </w:r>
      <w:r>
        <w:rPr>
          <w:color w:val="231F20"/>
          <w:spacing w:val="-10"/>
        </w:rPr>
        <w:t> </w:t>
      </w:r>
      <w:r>
        <w:rPr>
          <w:color w:val="231F20"/>
          <w:spacing w:val="-4"/>
        </w:rPr>
        <w:t>explain</w:t>
      </w:r>
      <w:r>
        <w:rPr>
          <w:color w:val="231F20"/>
          <w:spacing w:val="-9"/>
        </w:rPr>
        <w:t> </w:t>
      </w:r>
      <w:r>
        <w:rPr>
          <w:color w:val="231F20"/>
          <w:spacing w:val="-4"/>
        </w:rPr>
        <w:t>the</w:t>
      </w:r>
      <w:r>
        <w:rPr>
          <w:color w:val="231F20"/>
          <w:spacing w:val="-9"/>
        </w:rPr>
        <w:t> </w:t>
      </w:r>
      <w:r>
        <w:rPr>
          <w:color w:val="231F20"/>
          <w:spacing w:val="-4"/>
        </w:rPr>
        <w:t>high</w:t>
      </w:r>
      <w:r>
        <w:rPr>
          <w:color w:val="231F20"/>
          <w:spacing w:val="-9"/>
        </w:rPr>
        <w:t> </w:t>
      </w:r>
      <w:r>
        <w:rPr>
          <w:color w:val="231F20"/>
          <w:spacing w:val="-4"/>
        </w:rPr>
        <w:t>container</w:t>
      </w:r>
      <w:r>
        <w:rPr>
          <w:color w:val="231F20"/>
          <w:spacing w:val="-9"/>
        </w:rPr>
        <w:t> </w:t>
      </w:r>
      <w:r>
        <w:rPr>
          <w:color w:val="231F20"/>
          <w:spacing w:val="-4"/>
        </w:rPr>
        <w:t>dwell</w:t>
      </w:r>
      <w:r>
        <w:rPr>
          <w:color w:val="231F20"/>
          <w:spacing w:val="-9"/>
        </w:rPr>
        <w:t> </w:t>
      </w:r>
      <w:r>
        <w:rPr>
          <w:color w:val="231F20"/>
          <w:spacing w:val="-4"/>
        </w:rPr>
        <w:t>time </w:t>
      </w:r>
      <w:r>
        <w:rPr>
          <w:color w:val="231F20"/>
          <w:spacing w:val="-2"/>
        </w:rPr>
        <w:t>in</w:t>
      </w:r>
      <w:r>
        <w:rPr>
          <w:color w:val="231F20"/>
          <w:spacing w:val="-10"/>
        </w:rPr>
        <w:t> </w:t>
      </w:r>
      <w:r>
        <w:rPr>
          <w:color w:val="231F20"/>
          <w:spacing w:val="-2"/>
        </w:rPr>
        <w:t>some</w:t>
      </w:r>
      <w:r>
        <w:rPr>
          <w:color w:val="231F20"/>
          <w:spacing w:val="-10"/>
        </w:rPr>
        <w:t> </w:t>
      </w:r>
      <w:r>
        <w:rPr>
          <w:color w:val="231F20"/>
          <w:spacing w:val="-2"/>
        </w:rPr>
        <w:t>countries</w:t>
      </w:r>
      <w:r>
        <w:rPr>
          <w:color w:val="231F20"/>
          <w:spacing w:val="-10"/>
        </w:rPr>
        <w:t> </w:t>
      </w:r>
      <w:r>
        <w:rPr>
          <w:color w:val="231F20"/>
          <w:spacing w:val="-2"/>
        </w:rPr>
        <w:t>around</w:t>
      </w:r>
      <w:r>
        <w:rPr>
          <w:color w:val="231F20"/>
          <w:spacing w:val="-10"/>
        </w:rPr>
        <w:t> </w:t>
      </w:r>
      <w:r>
        <w:rPr>
          <w:color w:val="231F20"/>
          <w:spacing w:val="-2"/>
        </w:rPr>
        <w:t>the</w:t>
      </w:r>
      <w:r>
        <w:rPr>
          <w:color w:val="231F20"/>
          <w:spacing w:val="-10"/>
        </w:rPr>
        <w:t> </w:t>
      </w:r>
      <w:r>
        <w:rPr>
          <w:color w:val="231F20"/>
          <w:spacing w:val="-2"/>
        </w:rPr>
        <w:t>Baltic</w:t>
      </w:r>
      <w:r>
        <w:rPr>
          <w:color w:val="231F20"/>
          <w:spacing w:val="-10"/>
        </w:rPr>
        <w:t> </w:t>
      </w:r>
      <w:r>
        <w:rPr>
          <w:color w:val="231F20"/>
          <w:spacing w:val="-2"/>
        </w:rPr>
        <w:t>Sea,</w:t>
      </w:r>
      <w:r>
        <w:rPr>
          <w:color w:val="231F20"/>
          <w:spacing w:val="-10"/>
        </w:rPr>
        <w:t> </w:t>
      </w:r>
      <w:r>
        <w:rPr>
          <w:color w:val="231F20"/>
          <w:spacing w:val="-2"/>
        </w:rPr>
        <w:t>such </w:t>
      </w:r>
      <w:r>
        <w:rPr>
          <w:color w:val="231F20"/>
        </w:rPr>
        <w:t>as</w:t>
      </w:r>
      <w:r>
        <w:rPr>
          <w:color w:val="231F20"/>
          <w:spacing w:val="-14"/>
        </w:rPr>
        <w:t> </w:t>
      </w:r>
      <w:r>
        <w:rPr>
          <w:color w:val="231F20"/>
        </w:rPr>
        <w:t>Finland.</w:t>
      </w:r>
    </w:p>
    <w:p>
      <w:pPr>
        <w:pStyle w:val="BodyText"/>
        <w:spacing w:line="268" w:lineRule="auto"/>
        <w:ind w:left="3360" w:firstLine="300"/>
        <w:jc w:val="both"/>
      </w:pPr>
      <w:r>
        <w:rPr>
          <w:color w:val="231F20"/>
          <w:spacing w:val="-2"/>
        </w:rPr>
        <w:t>Another</w:t>
      </w:r>
      <w:r>
        <w:rPr>
          <w:color w:val="231F20"/>
          <w:spacing w:val="-12"/>
        </w:rPr>
        <w:t> </w:t>
      </w:r>
      <w:r>
        <w:rPr>
          <w:color w:val="231F20"/>
          <w:spacing w:val="-2"/>
        </w:rPr>
        <w:t>possibility</w:t>
      </w:r>
      <w:r>
        <w:rPr>
          <w:color w:val="231F20"/>
          <w:spacing w:val="-11"/>
        </w:rPr>
        <w:t> </w:t>
      </w:r>
      <w:r>
        <w:rPr>
          <w:color w:val="231F20"/>
          <w:spacing w:val="-2"/>
        </w:rPr>
        <w:t>is</w:t>
      </w:r>
      <w:r>
        <w:rPr>
          <w:color w:val="231F20"/>
          <w:spacing w:val="-11"/>
        </w:rPr>
        <w:t> </w:t>
      </w:r>
      <w:r>
        <w:rPr>
          <w:color w:val="231F20"/>
          <w:spacing w:val="-2"/>
        </w:rPr>
        <w:t>that</w:t>
      </w:r>
      <w:r>
        <w:rPr>
          <w:color w:val="231F20"/>
          <w:spacing w:val="-11"/>
        </w:rPr>
        <w:t> </w:t>
      </w:r>
      <w:r>
        <w:rPr>
          <w:color w:val="231F20"/>
          <w:spacing w:val="-2"/>
        </w:rPr>
        <w:t>some</w:t>
      </w:r>
      <w:r>
        <w:rPr>
          <w:color w:val="231F20"/>
          <w:spacing w:val="-11"/>
        </w:rPr>
        <w:t> </w:t>
      </w:r>
      <w:r>
        <w:rPr>
          <w:color w:val="231F20"/>
          <w:spacing w:val="-2"/>
        </w:rPr>
        <w:t>emerging </w:t>
      </w:r>
      <w:r>
        <w:rPr>
          <w:color w:val="231F20"/>
          <w:w w:val="90"/>
        </w:rPr>
        <w:t>economies invested more recently in modern fa- cilities and technologies, leapfrogging industri- alized countries. For example, since 2015, India </w:t>
      </w:r>
      <w:r>
        <w:rPr>
          <w:color w:val="231F20"/>
        </w:rPr>
        <w:t>has</w:t>
      </w:r>
      <w:r>
        <w:rPr>
          <w:color w:val="231F20"/>
          <w:spacing w:val="-14"/>
        </w:rPr>
        <w:t> </w:t>
      </w:r>
      <w:r>
        <w:rPr>
          <w:color w:val="231F20"/>
        </w:rPr>
        <w:t>invested</w:t>
      </w:r>
      <w:r>
        <w:rPr>
          <w:color w:val="231F20"/>
          <w:spacing w:val="-13"/>
        </w:rPr>
        <w:t> </w:t>
      </w:r>
      <w:r>
        <w:rPr>
          <w:color w:val="231F20"/>
        </w:rPr>
        <w:t>in</w:t>
      </w:r>
      <w:r>
        <w:rPr>
          <w:color w:val="231F20"/>
          <w:spacing w:val="-13"/>
        </w:rPr>
        <w:t> </w:t>
      </w:r>
      <w:r>
        <w:rPr>
          <w:color w:val="231F20"/>
        </w:rPr>
        <w:t>soft</w:t>
      </w:r>
      <w:r>
        <w:rPr>
          <w:color w:val="231F20"/>
          <w:spacing w:val="-13"/>
        </w:rPr>
        <w:t> </w:t>
      </w:r>
      <w:r>
        <w:rPr>
          <w:color w:val="231F20"/>
        </w:rPr>
        <w:t>and</w:t>
      </w:r>
      <w:r>
        <w:rPr>
          <w:color w:val="231F20"/>
          <w:spacing w:val="-13"/>
        </w:rPr>
        <w:t> </w:t>
      </w:r>
      <w:r>
        <w:rPr>
          <w:color w:val="231F20"/>
        </w:rPr>
        <w:t>hard</w:t>
      </w:r>
      <w:r>
        <w:rPr>
          <w:color w:val="231F20"/>
          <w:spacing w:val="-13"/>
        </w:rPr>
        <w:t> </w:t>
      </w:r>
      <w:r>
        <w:rPr>
          <w:color w:val="231F20"/>
        </w:rPr>
        <w:t>infrastructure</w:t>
      </w:r>
      <w:r>
        <w:rPr>
          <w:color w:val="231F20"/>
          <w:spacing w:val="-13"/>
        </w:rPr>
        <w:t> </w:t>
      </w:r>
      <w:r>
        <w:rPr>
          <w:color w:val="231F20"/>
        </w:rPr>
        <w:t>to </w:t>
      </w:r>
      <w:r>
        <w:rPr>
          <w:color w:val="231F20"/>
          <w:spacing w:val="-6"/>
        </w:rPr>
        <w:t>connect</w:t>
      </w:r>
      <w:r>
        <w:rPr>
          <w:color w:val="231F20"/>
          <w:spacing w:val="-7"/>
        </w:rPr>
        <w:t> </w:t>
      </w:r>
      <w:r>
        <w:rPr>
          <w:color w:val="231F20"/>
          <w:spacing w:val="-6"/>
        </w:rPr>
        <w:t>ports</w:t>
      </w:r>
      <w:r>
        <w:rPr>
          <w:color w:val="231F20"/>
          <w:spacing w:val="-7"/>
        </w:rPr>
        <w:t> </w:t>
      </w:r>
      <w:r>
        <w:rPr>
          <w:color w:val="231F20"/>
          <w:spacing w:val="-6"/>
        </w:rPr>
        <w:t>on</w:t>
      </w:r>
      <w:r>
        <w:rPr>
          <w:color w:val="231F20"/>
          <w:spacing w:val="-7"/>
        </w:rPr>
        <w:t> </w:t>
      </w:r>
      <w:r>
        <w:rPr>
          <w:color w:val="231F20"/>
          <w:spacing w:val="-6"/>
        </w:rPr>
        <w:t>both</w:t>
      </w:r>
      <w:r>
        <w:rPr>
          <w:color w:val="231F20"/>
          <w:spacing w:val="-7"/>
        </w:rPr>
        <w:t> </w:t>
      </w:r>
      <w:r>
        <w:rPr>
          <w:color w:val="231F20"/>
          <w:spacing w:val="-6"/>
        </w:rPr>
        <w:t>coasts</w:t>
      </w:r>
      <w:r>
        <w:rPr>
          <w:color w:val="231F20"/>
          <w:spacing w:val="-7"/>
        </w:rPr>
        <w:t> </w:t>
      </w:r>
      <w:r>
        <w:rPr>
          <w:color w:val="231F20"/>
          <w:spacing w:val="-6"/>
        </w:rPr>
        <w:t>to</w:t>
      </w:r>
      <w:r>
        <w:rPr>
          <w:color w:val="231F20"/>
          <w:spacing w:val="-7"/>
        </w:rPr>
        <w:t> </w:t>
      </w:r>
      <w:r>
        <w:rPr>
          <w:color w:val="231F20"/>
          <w:spacing w:val="-6"/>
        </w:rPr>
        <w:t>economic</w:t>
      </w:r>
      <w:r>
        <w:rPr>
          <w:color w:val="231F20"/>
          <w:spacing w:val="-7"/>
        </w:rPr>
        <w:t> </w:t>
      </w:r>
      <w:r>
        <w:rPr>
          <w:color w:val="231F20"/>
          <w:spacing w:val="-6"/>
        </w:rPr>
        <w:t>poles </w:t>
      </w:r>
      <w:r>
        <w:rPr>
          <w:color w:val="231F20"/>
          <w:spacing w:val="-4"/>
        </w:rPr>
        <w:t>in</w:t>
      </w:r>
      <w:r>
        <w:rPr>
          <w:color w:val="231F20"/>
          <w:spacing w:val="-9"/>
        </w:rPr>
        <w:t> </w:t>
      </w:r>
      <w:r>
        <w:rPr>
          <w:color w:val="231F20"/>
          <w:spacing w:val="-4"/>
        </w:rPr>
        <w:t>the</w:t>
      </w:r>
      <w:r>
        <w:rPr>
          <w:color w:val="231F20"/>
          <w:spacing w:val="-9"/>
        </w:rPr>
        <w:t> </w:t>
      </w:r>
      <w:r>
        <w:rPr>
          <w:color w:val="231F20"/>
          <w:spacing w:val="-4"/>
        </w:rPr>
        <w:t>hinterland,</w:t>
      </w:r>
      <w:r>
        <w:rPr>
          <w:color w:val="231F20"/>
          <w:spacing w:val="-9"/>
        </w:rPr>
        <w:t> </w:t>
      </w:r>
      <w:r>
        <w:rPr>
          <w:color w:val="231F20"/>
          <w:spacing w:val="-4"/>
        </w:rPr>
        <w:t>including</w:t>
      </w:r>
      <w:r>
        <w:rPr>
          <w:color w:val="231F20"/>
          <w:spacing w:val="-9"/>
        </w:rPr>
        <w:t> </w:t>
      </w:r>
      <w:r>
        <w:rPr>
          <w:color w:val="231F20"/>
          <w:spacing w:val="-4"/>
        </w:rPr>
        <w:t>a</w:t>
      </w:r>
      <w:r>
        <w:rPr>
          <w:color w:val="231F20"/>
          <w:spacing w:val="-9"/>
        </w:rPr>
        <w:t> </w:t>
      </w:r>
      <w:r>
        <w:rPr>
          <w:color w:val="231F20"/>
          <w:spacing w:val="-4"/>
        </w:rPr>
        <w:t>supply</w:t>
      </w:r>
      <w:r>
        <w:rPr>
          <w:color w:val="231F20"/>
          <w:spacing w:val="-9"/>
        </w:rPr>
        <w:t> </w:t>
      </w:r>
      <w:r>
        <w:rPr>
          <w:color w:val="231F20"/>
          <w:spacing w:val="-4"/>
        </w:rPr>
        <w:t>chain</w:t>
      </w:r>
      <w:r>
        <w:rPr>
          <w:color w:val="231F20"/>
          <w:spacing w:val="-9"/>
        </w:rPr>
        <w:t> </w:t>
      </w:r>
      <w:r>
        <w:rPr>
          <w:color w:val="231F20"/>
          <w:spacing w:val="-4"/>
        </w:rPr>
        <w:t>vis- </w:t>
      </w:r>
      <w:r>
        <w:rPr>
          <w:color w:val="231F20"/>
          <w:spacing w:val="-6"/>
        </w:rPr>
        <w:t>ibility platform delivered through a public–pri- </w:t>
      </w:r>
      <w:r>
        <w:rPr>
          <w:color w:val="231F20"/>
        </w:rPr>
        <w:t>vate partnership (box 3.2). The poor perfor- </w:t>
      </w:r>
      <w:r>
        <w:rPr>
          <w:color w:val="231F20"/>
          <w:spacing w:val="-6"/>
        </w:rPr>
        <w:t>mance of US ports in terms of productivity has </w:t>
      </w:r>
      <w:r>
        <w:rPr>
          <w:color w:val="231F20"/>
          <w:spacing w:val="-4"/>
        </w:rPr>
        <w:t>received</w:t>
      </w:r>
      <w:r>
        <w:rPr>
          <w:color w:val="231F20"/>
          <w:spacing w:val="-8"/>
        </w:rPr>
        <w:t> </w:t>
      </w:r>
      <w:r>
        <w:rPr>
          <w:color w:val="231F20"/>
          <w:spacing w:val="-4"/>
        </w:rPr>
        <w:t>much</w:t>
      </w:r>
      <w:r>
        <w:rPr>
          <w:color w:val="231F20"/>
          <w:spacing w:val="-8"/>
        </w:rPr>
        <w:t> </w:t>
      </w:r>
      <w:r>
        <w:rPr>
          <w:color w:val="231F20"/>
          <w:spacing w:val="-4"/>
        </w:rPr>
        <w:t>scrutiny</w:t>
      </w:r>
      <w:r>
        <w:rPr>
          <w:color w:val="231F20"/>
          <w:spacing w:val="-8"/>
        </w:rPr>
        <w:t> </w:t>
      </w:r>
      <w:r>
        <w:rPr>
          <w:color w:val="231F20"/>
          <w:spacing w:val="-4"/>
        </w:rPr>
        <w:t>in</w:t>
      </w:r>
      <w:r>
        <w:rPr>
          <w:color w:val="231F20"/>
          <w:spacing w:val="-8"/>
        </w:rPr>
        <w:t> </w:t>
      </w:r>
      <w:r>
        <w:rPr>
          <w:color w:val="231F20"/>
          <w:spacing w:val="-4"/>
        </w:rPr>
        <w:t>recent</w:t>
      </w:r>
      <w:r>
        <w:rPr>
          <w:color w:val="231F20"/>
          <w:spacing w:val="-8"/>
        </w:rPr>
        <w:t> </w:t>
      </w:r>
      <w:r>
        <w:rPr>
          <w:color w:val="231F20"/>
          <w:spacing w:val="-4"/>
        </w:rPr>
        <w:t>months,</w:t>
      </w:r>
      <w:r>
        <w:rPr>
          <w:color w:val="231F20"/>
          <w:spacing w:val="-4"/>
          <w:position w:val="7"/>
          <w:sz w:val="14"/>
        </w:rPr>
        <w:t>24</w:t>
      </w:r>
      <w:r>
        <w:rPr>
          <w:color w:val="231F20"/>
          <w:spacing w:val="9"/>
          <w:position w:val="7"/>
          <w:sz w:val="14"/>
        </w:rPr>
        <w:t> </w:t>
      </w:r>
      <w:r>
        <w:rPr>
          <w:color w:val="231F20"/>
          <w:spacing w:val="-4"/>
        </w:rPr>
        <w:t>in- cluding</w:t>
      </w:r>
      <w:r>
        <w:rPr>
          <w:color w:val="231F20"/>
          <w:spacing w:val="-10"/>
        </w:rPr>
        <w:t> </w:t>
      </w:r>
      <w:r>
        <w:rPr>
          <w:color w:val="231F20"/>
          <w:spacing w:val="-4"/>
        </w:rPr>
        <w:t>specific</w:t>
      </w:r>
      <w:r>
        <w:rPr>
          <w:color w:val="231F20"/>
          <w:spacing w:val="-9"/>
        </w:rPr>
        <w:t> </w:t>
      </w:r>
      <w:r>
        <w:rPr>
          <w:color w:val="231F20"/>
          <w:spacing w:val="-4"/>
        </w:rPr>
        <w:t>productivity</w:t>
      </w:r>
      <w:r>
        <w:rPr>
          <w:color w:val="231F20"/>
          <w:spacing w:val="-9"/>
        </w:rPr>
        <w:t> </w:t>
      </w:r>
      <w:r>
        <w:rPr>
          <w:color w:val="231F20"/>
          <w:spacing w:val="-4"/>
        </w:rPr>
        <w:t>constraints,</w:t>
      </w:r>
      <w:r>
        <w:rPr>
          <w:color w:val="231F20"/>
          <w:spacing w:val="-9"/>
        </w:rPr>
        <w:t> </w:t>
      </w:r>
      <w:r>
        <w:rPr>
          <w:color w:val="231F20"/>
          <w:spacing w:val="-4"/>
        </w:rPr>
        <w:t>com- </w:t>
      </w:r>
      <w:r>
        <w:rPr>
          <w:color w:val="231F20"/>
          <w:spacing w:val="-6"/>
        </w:rPr>
        <w:t>pounding the factors referred to in the previous </w:t>
      </w:r>
      <w:r>
        <w:rPr>
          <w:color w:val="231F20"/>
          <w:w w:val="90"/>
        </w:rPr>
        <w:t>paragraph. Finally, many small economies—for example, small island states</w:t>
      </w:r>
      <w:r>
        <w:rPr>
          <w:color w:val="231F20"/>
          <w:w w:val="90"/>
          <w:position w:val="7"/>
          <w:sz w:val="14"/>
        </w:rPr>
        <w:t>25</w:t>
      </w:r>
      <w:r>
        <w:rPr>
          <w:color w:val="231F20"/>
          <w:w w:val="90"/>
        </w:rPr>
        <w:t>—see only small </w:t>
      </w:r>
      <w:r>
        <w:rPr>
          <w:color w:val="231F20"/>
          <w:spacing w:val="-6"/>
        </w:rPr>
        <w:t>volumes</w:t>
      </w:r>
      <w:r>
        <w:rPr>
          <w:color w:val="231F20"/>
          <w:spacing w:val="-8"/>
        </w:rPr>
        <w:t> </w:t>
      </w:r>
      <w:r>
        <w:rPr>
          <w:color w:val="231F20"/>
          <w:spacing w:val="-6"/>
        </w:rPr>
        <w:t>that</w:t>
      </w:r>
      <w:r>
        <w:rPr>
          <w:color w:val="231F20"/>
          <w:spacing w:val="-8"/>
        </w:rPr>
        <w:t> </w:t>
      </w:r>
      <w:r>
        <w:rPr>
          <w:color w:val="231F20"/>
          <w:spacing w:val="-6"/>
        </w:rPr>
        <w:t>can</w:t>
      </w:r>
      <w:r>
        <w:rPr>
          <w:color w:val="231F20"/>
          <w:spacing w:val="-8"/>
        </w:rPr>
        <w:t> </w:t>
      </w:r>
      <w:r>
        <w:rPr>
          <w:color w:val="231F20"/>
          <w:spacing w:val="-6"/>
        </w:rPr>
        <w:t>be</w:t>
      </w:r>
      <w:r>
        <w:rPr>
          <w:color w:val="231F20"/>
          <w:spacing w:val="-8"/>
        </w:rPr>
        <w:t> </w:t>
      </w:r>
      <w:r>
        <w:rPr>
          <w:color w:val="231F20"/>
          <w:spacing w:val="-6"/>
        </w:rPr>
        <w:t>handled</w:t>
      </w:r>
      <w:r>
        <w:rPr>
          <w:color w:val="231F20"/>
          <w:spacing w:val="-8"/>
        </w:rPr>
        <w:t> </w:t>
      </w:r>
      <w:r>
        <w:rPr>
          <w:color w:val="231F20"/>
          <w:spacing w:val="-6"/>
        </w:rPr>
        <w:t>relatively</w:t>
      </w:r>
      <w:r>
        <w:rPr>
          <w:color w:val="231F20"/>
          <w:spacing w:val="-8"/>
        </w:rPr>
        <w:t> </w:t>
      </w:r>
      <w:r>
        <w:rPr>
          <w:color w:val="231F20"/>
          <w:spacing w:val="-6"/>
        </w:rPr>
        <w:t>quickly.</w:t>
      </w:r>
    </w:p>
    <w:p>
      <w:pPr>
        <w:pStyle w:val="BodyText"/>
        <w:spacing w:line="268" w:lineRule="auto" w:before="97"/>
        <w:ind w:left="198" w:right="657" w:firstLine="300"/>
        <w:jc w:val="both"/>
      </w:pPr>
      <w:r>
        <w:rPr/>
        <w:br w:type="column"/>
      </w:r>
      <w:r>
        <w:rPr>
          <w:color w:val="231F20"/>
          <w:w w:val="90"/>
        </w:rPr>
        <w:t>Export dwell time of container ports follows </w:t>
      </w:r>
      <w:r>
        <w:rPr>
          <w:color w:val="231F20"/>
          <w:spacing w:val="-4"/>
        </w:rPr>
        <w:t>the</w:t>
      </w:r>
      <w:r>
        <w:rPr>
          <w:color w:val="231F20"/>
          <w:spacing w:val="-10"/>
        </w:rPr>
        <w:t> </w:t>
      </w:r>
      <w:r>
        <w:rPr>
          <w:color w:val="231F20"/>
          <w:spacing w:val="-4"/>
        </w:rPr>
        <w:t>same</w:t>
      </w:r>
      <w:r>
        <w:rPr>
          <w:color w:val="231F20"/>
          <w:spacing w:val="-9"/>
        </w:rPr>
        <w:t> </w:t>
      </w:r>
      <w:r>
        <w:rPr>
          <w:color w:val="231F20"/>
          <w:spacing w:val="-4"/>
        </w:rPr>
        <w:t>dispersion</w:t>
      </w:r>
      <w:r>
        <w:rPr>
          <w:color w:val="231F20"/>
          <w:spacing w:val="-9"/>
        </w:rPr>
        <w:t> </w:t>
      </w:r>
      <w:r>
        <w:rPr>
          <w:color w:val="231F20"/>
          <w:spacing w:val="-4"/>
        </w:rPr>
        <w:t>patterns</w:t>
      </w:r>
      <w:r>
        <w:rPr>
          <w:color w:val="231F20"/>
          <w:spacing w:val="-9"/>
        </w:rPr>
        <w:t> </w:t>
      </w:r>
      <w:r>
        <w:rPr>
          <w:color w:val="231F20"/>
          <w:spacing w:val="-4"/>
        </w:rPr>
        <w:t>and</w:t>
      </w:r>
      <w:r>
        <w:rPr>
          <w:color w:val="231F20"/>
          <w:spacing w:val="-9"/>
        </w:rPr>
        <w:t> </w:t>
      </w:r>
      <w:r>
        <w:rPr>
          <w:color w:val="231F20"/>
          <w:spacing w:val="-4"/>
        </w:rPr>
        <w:t>connection</w:t>
      </w:r>
      <w:r>
        <w:rPr>
          <w:color w:val="231F20"/>
          <w:spacing w:val="-9"/>
        </w:rPr>
        <w:t> </w:t>
      </w:r>
      <w:r>
        <w:rPr>
          <w:color w:val="231F20"/>
          <w:spacing w:val="-4"/>
        </w:rPr>
        <w:t>to </w:t>
      </w:r>
      <w:r>
        <w:rPr>
          <w:color w:val="231F20"/>
          <w:w w:val="90"/>
        </w:rPr>
        <w:t>LPI scores as import dwell time—but for differ- </w:t>
      </w:r>
      <w:r>
        <w:rPr>
          <w:color w:val="231F20"/>
          <w:spacing w:val="-2"/>
        </w:rPr>
        <w:t>ent</w:t>
      </w:r>
      <w:r>
        <w:rPr>
          <w:color w:val="231F20"/>
          <w:spacing w:val="-7"/>
        </w:rPr>
        <w:t> </w:t>
      </w:r>
      <w:r>
        <w:rPr>
          <w:color w:val="231F20"/>
          <w:spacing w:val="-2"/>
        </w:rPr>
        <w:t>reasons.</w:t>
      </w:r>
      <w:r>
        <w:rPr>
          <w:color w:val="231F20"/>
          <w:spacing w:val="-7"/>
        </w:rPr>
        <w:t> </w:t>
      </w:r>
      <w:r>
        <w:rPr>
          <w:color w:val="231F20"/>
          <w:spacing w:val="-2"/>
        </w:rPr>
        <w:t>Overall,</w:t>
      </w:r>
      <w:r>
        <w:rPr>
          <w:color w:val="231F20"/>
          <w:spacing w:val="-7"/>
        </w:rPr>
        <w:t> </w:t>
      </w:r>
      <w:r>
        <w:rPr>
          <w:color w:val="231F20"/>
          <w:spacing w:val="-2"/>
        </w:rPr>
        <w:t>export</w:t>
      </w:r>
      <w:r>
        <w:rPr>
          <w:color w:val="231F20"/>
          <w:spacing w:val="-7"/>
        </w:rPr>
        <w:t> </w:t>
      </w:r>
      <w:r>
        <w:rPr>
          <w:color w:val="231F20"/>
          <w:spacing w:val="-2"/>
        </w:rPr>
        <w:t>and</w:t>
      </w:r>
      <w:r>
        <w:rPr>
          <w:color w:val="231F20"/>
          <w:spacing w:val="-7"/>
        </w:rPr>
        <w:t> </w:t>
      </w:r>
      <w:r>
        <w:rPr>
          <w:color w:val="231F20"/>
          <w:spacing w:val="-2"/>
        </w:rPr>
        <w:t>import</w:t>
      </w:r>
      <w:r>
        <w:rPr>
          <w:color w:val="231F20"/>
          <w:spacing w:val="-7"/>
        </w:rPr>
        <w:t> </w:t>
      </w:r>
      <w:r>
        <w:rPr>
          <w:color w:val="231F20"/>
          <w:spacing w:val="-2"/>
        </w:rPr>
        <w:t>dwell </w:t>
      </w:r>
      <w:r>
        <w:rPr>
          <w:color w:val="231F20"/>
          <w:w w:val="90"/>
        </w:rPr>
        <w:t>times are positively associated, but with consid- </w:t>
      </w:r>
      <w:r>
        <w:rPr>
          <w:color w:val="231F20"/>
          <w:spacing w:val="-2"/>
        </w:rPr>
        <w:t>erable</w:t>
      </w:r>
      <w:r>
        <w:rPr>
          <w:color w:val="231F20"/>
          <w:spacing w:val="-12"/>
        </w:rPr>
        <w:t> </w:t>
      </w:r>
      <w:r>
        <w:rPr>
          <w:color w:val="231F20"/>
          <w:spacing w:val="-2"/>
        </w:rPr>
        <w:t>dispersion</w:t>
      </w:r>
      <w:r>
        <w:rPr>
          <w:color w:val="231F20"/>
          <w:spacing w:val="-11"/>
        </w:rPr>
        <w:t> </w:t>
      </w:r>
      <w:r>
        <w:rPr>
          <w:color w:val="231F20"/>
          <w:spacing w:val="-2"/>
        </w:rPr>
        <w:t>around</w:t>
      </w:r>
      <w:r>
        <w:rPr>
          <w:color w:val="231F20"/>
          <w:spacing w:val="-11"/>
        </w:rPr>
        <w:t> </w:t>
      </w:r>
      <w:r>
        <w:rPr>
          <w:color w:val="231F20"/>
          <w:spacing w:val="-2"/>
        </w:rPr>
        <w:t>the</w:t>
      </w:r>
      <w:r>
        <w:rPr>
          <w:color w:val="231F20"/>
          <w:spacing w:val="-11"/>
        </w:rPr>
        <w:t> </w:t>
      </w:r>
      <w:r>
        <w:rPr>
          <w:color w:val="231F20"/>
          <w:spacing w:val="-2"/>
        </w:rPr>
        <w:t>average</w:t>
      </w:r>
      <w:r>
        <w:rPr>
          <w:color w:val="231F20"/>
          <w:spacing w:val="-11"/>
        </w:rPr>
        <w:t> </w:t>
      </w:r>
      <w:r>
        <w:rPr>
          <w:color w:val="231F20"/>
          <w:spacing w:val="-2"/>
        </w:rPr>
        <w:t>relation- </w:t>
      </w:r>
      <w:r>
        <w:rPr>
          <w:color w:val="231F20"/>
          <w:w w:val="90"/>
        </w:rPr>
        <w:t>ship,</w:t>
      </w:r>
      <w:r>
        <w:rPr>
          <w:color w:val="231F20"/>
          <w:spacing w:val="-2"/>
          <w:w w:val="90"/>
        </w:rPr>
        <w:t> </w:t>
      </w:r>
      <w:r>
        <w:rPr>
          <w:color w:val="231F20"/>
          <w:w w:val="90"/>
        </w:rPr>
        <w:t>resulting</w:t>
      </w:r>
      <w:r>
        <w:rPr>
          <w:color w:val="231F20"/>
          <w:spacing w:val="-2"/>
          <w:w w:val="90"/>
        </w:rPr>
        <w:t> </w:t>
      </w:r>
      <w:r>
        <w:rPr>
          <w:color w:val="231F20"/>
          <w:w w:val="90"/>
        </w:rPr>
        <w:t>in</w:t>
      </w:r>
      <w:r>
        <w:rPr>
          <w:color w:val="231F20"/>
          <w:spacing w:val="-2"/>
          <w:w w:val="90"/>
        </w:rPr>
        <w:t> </w:t>
      </w:r>
      <w:r>
        <w:rPr>
          <w:color w:val="231F20"/>
          <w:w w:val="90"/>
        </w:rPr>
        <w:t>a</w:t>
      </w:r>
      <w:r>
        <w:rPr>
          <w:color w:val="231F20"/>
          <w:spacing w:val="-2"/>
          <w:w w:val="90"/>
        </w:rPr>
        <w:t> </w:t>
      </w:r>
      <w:r>
        <w:rPr>
          <w:color w:val="231F20"/>
          <w:w w:val="90"/>
        </w:rPr>
        <w:t>correlation</w:t>
      </w:r>
      <w:r>
        <w:rPr>
          <w:color w:val="231F20"/>
          <w:spacing w:val="-2"/>
          <w:w w:val="90"/>
        </w:rPr>
        <w:t> </w:t>
      </w:r>
      <w:r>
        <w:rPr>
          <w:color w:val="231F20"/>
          <w:w w:val="90"/>
        </w:rPr>
        <w:t>of</w:t>
      </w:r>
      <w:r>
        <w:rPr>
          <w:color w:val="231F20"/>
          <w:spacing w:val="-2"/>
          <w:w w:val="90"/>
        </w:rPr>
        <w:t> </w:t>
      </w:r>
      <w:r>
        <w:rPr>
          <w:color w:val="231F20"/>
          <w:w w:val="90"/>
        </w:rPr>
        <w:t>only</w:t>
      </w:r>
      <w:r>
        <w:rPr>
          <w:color w:val="231F20"/>
          <w:spacing w:val="-2"/>
          <w:w w:val="90"/>
        </w:rPr>
        <w:t> </w:t>
      </w:r>
      <w:r>
        <w:rPr>
          <w:color w:val="231F20"/>
          <w:w w:val="90"/>
        </w:rPr>
        <w:t>0.1</w:t>
      </w:r>
      <w:r>
        <w:rPr>
          <w:color w:val="231F20"/>
          <w:spacing w:val="-2"/>
          <w:w w:val="90"/>
        </w:rPr>
        <w:t> </w:t>
      </w:r>
      <w:r>
        <w:rPr>
          <w:color w:val="231F20"/>
          <w:w w:val="90"/>
        </w:rPr>
        <w:t>(figure 3.5).</w:t>
      </w:r>
      <w:r>
        <w:rPr>
          <w:color w:val="231F20"/>
          <w:spacing w:val="-4"/>
          <w:w w:val="90"/>
        </w:rPr>
        <w:t> </w:t>
      </w:r>
      <w:r>
        <w:rPr>
          <w:color w:val="231F20"/>
          <w:w w:val="90"/>
        </w:rPr>
        <w:t>Exports</w:t>
      </w:r>
      <w:r>
        <w:rPr>
          <w:color w:val="231F20"/>
          <w:spacing w:val="-4"/>
          <w:w w:val="90"/>
        </w:rPr>
        <w:t> </w:t>
      </w:r>
      <w:r>
        <w:rPr>
          <w:color w:val="231F20"/>
          <w:w w:val="90"/>
        </w:rPr>
        <w:t>are</w:t>
      </w:r>
      <w:r>
        <w:rPr>
          <w:color w:val="231F20"/>
          <w:spacing w:val="-4"/>
          <w:w w:val="90"/>
        </w:rPr>
        <w:t> </w:t>
      </w:r>
      <w:r>
        <w:rPr>
          <w:color w:val="231F20"/>
          <w:w w:val="90"/>
        </w:rPr>
        <w:t>less</w:t>
      </w:r>
      <w:r>
        <w:rPr>
          <w:color w:val="231F20"/>
          <w:spacing w:val="-4"/>
          <w:w w:val="90"/>
        </w:rPr>
        <w:t> </w:t>
      </w:r>
      <w:r>
        <w:rPr>
          <w:color w:val="231F20"/>
          <w:w w:val="90"/>
        </w:rPr>
        <w:t>scrutinized</w:t>
      </w:r>
      <w:r>
        <w:rPr>
          <w:color w:val="231F20"/>
          <w:spacing w:val="-4"/>
          <w:w w:val="90"/>
        </w:rPr>
        <w:t> </w:t>
      </w:r>
      <w:r>
        <w:rPr>
          <w:color w:val="231F20"/>
          <w:w w:val="90"/>
        </w:rPr>
        <w:t>by</w:t>
      </w:r>
      <w:r>
        <w:rPr>
          <w:color w:val="231F20"/>
          <w:spacing w:val="-4"/>
          <w:w w:val="90"/>
        </w:rPr>
        <w:t> </w:t>
      </w:r>
      <w:r>
        <w:rPr>
          <w:color w:val="231F20"/>
          <w:w w:val="90"/>
        </w:rPr>
        <w:t>border</w:t>
      </w:r>
      <w:r>
        <w:rPr>
          <w:color w:val="231F20"/>
          <w:spacing w:val="-4"/>
          <w:w w:val="90"/>
        </w:rPr>
        <w:t> </w:t>
      </w:r>
      <w:r>
        <w:rPr>
          <w:color w:val="231F20"/>
          <w:w w:val="90"/>
        </w:rPr>
        <w:t>agen- </w:t>
      </w:r>
      <w:r>
        <w:rPr>
          <w:color w:val="231F20"/>
          <w:spacing w:val="-6"/>
        </w:rPr>
        <w:t>cies than imports, but they face a hard schedul- </w:t>
      </w:r>
      <w:r>
        <w:rPr>
          <w:color w:val="231F20"/>
        </w:rPr>
        <w:t>ing</w:t>
      </w:r>
      <w:r>
        <w:rPr>
          <w:color w:val="231F20"/>
          <w:spacing w:val="-7"/>
        </w:rPr>
        <w:t> </w:t>
      </w:r>
      <w:r>
        <w:rPr>
          <w:color w:val="231F20"/>
        </w:rPr>
        <w:t>constraint</w:t>
      </w:r>
      <w:r>
        <w:rPr>
          <w:color w:val="231F20"/>
          <w:spacing w:val="-7"/>
        </w:rPr>
        <w:t> </w:t>
      </w:r>
      <w:r>
        <w:rPr>
          <w:color w:val="231F20"/>
        </w:rPr>
        <w:t>and</w:t>
      </w:r>
      <w:r>
        <w:rPr>
          <w:color w:val="231F20"/>
          <w:spacing w:val="-7"/>
        </w:rPr>
        <w:t> </w:t>
      </w:r>
      <w:r>
        <w:rPr>
          <w:color w:val="231F20"/>
        </w:rPr>
        <w:t>depend</w:t>
      </w:r>
      <w:r>
        <w:rPr>
          <w:color w:val="231F20"/>
          <w:spacing w:val="-7"/>
        </w:rPr>
        <w:t> </w:t>
      </w:r>
      <w:r>
        <w:rPr>
          <w:color w:val="231F20"/>
        </w:rPr>
        <w:t>on</w:t>
      </w:r>
      <w:r>
        <w:rPr>
          <w:color w:val="231F20"/>
          <w:spacing w:val="-7"/>
        </w:rPr>
        <w:t> </w:t>
      </w:r>
      <w:r>
        <w:rPr>
          <w:color w:val="231F20"/>
        </w:rPr>
        <w:t>the</w:t>
      </w:r>
      <w:r>
        <w:rPr>
          <w:color w:val="231F20"/>
          <w:spacing w:val="-7"/>
        </w:rPr>
        <w:t> </w:t>
      </w:r>
      <w:r>
        <w:rPr>
          <w:color w:val="231F20"/>
        </w:rPr>
        <w:t>quality</w:t>
      </w:r>
      <w:r>
        <w:rPr>
          <w:color w:val="231F20"/>
          <w:spacing w:val="-7"/>
        </w:rPr>
        <w:t> </w:t>
      </w:r>
      <w:r>
        <w:rPr>
          <w:color w:val="231F20"/>
        </w:rPr>
        <w:t>and </w:t>
      </w:r>
      <w:r>
        <w:rPr>
          <w:color w:val="231F20"/>
          <w:w w:val="90"/>
        </w:rPr>
        <w:t>sophistication</w:t>
      </w:r>
      <w:r>
        <w:rPr>
          <w:color w:val="231F20"/>
          <w:spacing w:val="-1"/>
          <w:w w:val="90"/>
        </w:rPr>
        <w:t> </w:t>
      </w:r>
      <w:r>
        <w:rPr>
          <w:color w:val="231F20"/>
          <w:w w:val="90"/>
        </w:rPr>
        <w:t>of</w:t>
      </w:r>
      <w:r>
        <w:rPr>
          <w:color w:val="231F20"/>
          <w:spacing w:val="-1"/>
          <w:w w:val="90"/>
        </w:rPr>
        <w:t> </w:t>
      </w:r>
      <w:r>
        <w:rPr>
          <w:color w:val="231F20"/>
          <w:w w:val="90"/>
        </w:rPr>
        <w:t>available</w:t>
      </w:r>
      <w:r>
        <w:rPr>
          <w:color w:val="231F20"/>
          <w:spacing w:val="-1"/>
          <w:w w:val="90"/>
        </w:rPr>
        <w:t> </w:t>
      </w:r>
      <w:r>
        <w:rPr>
          <w:color w:val="231F20"/>
          <w:w w:val="90"/>
        </w:rPr>
        <w:t>logistics</w:t>
      </w:r>
      <w:r>
        <w:rPr>
          <w:color w:val="231F20"/>
          <w:spacing w:val="-1"/>
          <w:w w:val="90"/>
        </w:rPr>
        <w:t> </w:t>
      </w:r>
      <w:r>
        <w:rPr>
          <w:color w:val="231F20"/>
          <w:w w:val="90"/>
        </w:rPr>
        <w:t>services.</w:t>
      </w:r>
      <w:r>
        <w:rPr>
          <w:color w:val="231F20"/>
          <w:spacing w:val="-1"/>
          <w:w w:val="90"/>
        </w:rPr>
        <w:t> </w:t>
      </w:r>
      <w:r>
        <w:rPr>
          <w:color w:val="231F20"/>
          <w:w w:val="90"/>
        </w:rPr>
        <w:t>Ex- </w:t>
      </w:r>
      <w:r>
        <w:rPr>
          <w:color w:val="231F20"/>
          <w:spacing w:val="-4"/>
        </w:rPr>
        <w:t>port</w:t>
      </w:r>
      <w:r>
        <w:rPr>
          <w:color w:val="231F20"/>
          <w:spacing w:val="-6"/>
        </w:rPr>
        <w:t> </w:t>
      </w:r>
      <w:r>
        <w:rPr>
          <w:color w:val="231F20"/>
          <w:spacing w:val="-4"/>
        </w:rPr>
        <w:t>containers</w:t>
      </w:r>
      <w:r>
        <w:rPr>
          <w:color w:val="231F20"/>
          <w:spacing w:val="-6"/>
        </w:rPr>
        <w:t> </w:t>
      </w:r>
      <w:r>
        <w:rPr>
          <w:color w:val="231F20"/>
          <w:spacing w:val="-4"/>
        </w:rPr>
        <w:t>must</w:t>
      </w:r>
      <w:r>
        <w:rPr>
          <w:color w:val="231F20"/>
          <w:spacing w:val="-6"/>
        </w:rPr>
        <w:t> </w:t>
      </w:r>
      <w:r>
        <w:rPr>
          <w:color w:val="231F20"/>
          <w:spacing w:val="-4"/>
        </w:rPr>
        <w:t>reach</w:t>
      </w:r>
      <w:r>
        <w:rPr>
          <w:color w:val="231F20"/>
          <w:spacing w:val="-6"/>
        </w:rPr>
        <w:t> </w:t>
      </w:r>
      <w:r>
        <w:rPr>
          <w:color w:val="231F20"/>
          <w:spacing w:val="-4"/>
        </w:rPr>
        <w:t>the</w:t>
      </w:r>
      <w:r>
        <w:rPr>
          <w:color w:val="231F20"/>
          <w:spacing w:val="-6"/>
        </w:rPr>
        <w:t> </w:t>
      </w:r>
      <w:r>
        <w:rPr>
          <w:color w:val="231F20"/>
          <w:spacing w:val="-4"/>
        </w:rPr>
        <w:t>port</w:t>
      </w:r>
      <w:r>
        <w:rPr>
          <w:color w:val="231F20"/>
          <w:spacing w:val="-6"/>
        </w:rPr>
        <w:t> </w:t>
      </w:r>
      <w:r>
        <w:rPr>
          <w:color w:val="231F20"/>
          <w:spacing w:val="-4"/>
        </w:rPr>
        <w:t>in</w:t>
      </w:r>
      <w:r>
        <w:rPr>
          <w:color w:val="231F20"/>
          <w:spacing w:val="-6"/>
        </w:rPr>
        <w:t> </w:t>
      </w:r>
      <w:r>
        <w:rPr>
          <w:color w:val="231F20"/>
          <w:spacing w:val="-4"/>
        </w:rPr>
        <w:t>advance </w:t>
      </w:r>
      <w:r>
        <w:rPr>
          <w:color w:val="231F20"/>
          <w:w w:val="90"/>
        </w:rPr>
        <w:t>to catch the ship they are scheduled to take. The </w:t>
      </w:r>
      <w:r>
        <w:rPr>
          <w:color w:val="231F20"/>
          <w:spacing w:val="-2"/>
        </w:rPr>
        <w:t>worse</w:t>
      </w:r>
      <w:r>
        <w:rPr>
          <w:color w:val="231F20"/>
          <w:spacing w:val="-12"/>
        </w:rPr>
        <w:t> </w:t>
      </w:r>
      <w:r>
        <w:rPr>
          <w:color w:val="231F20"/>
          <w:spacing w:val="-2"/>
        </w:rPr>
        <w:t>the</w:t>
      </w:r>
      <w:r>
        <w:rPr>
          <w:color w:val="231F20"/>
          <w:spacing w:val="-11"/>
        </w:rPr>
        <w:t> </w:t>
      </w:r>
      <w:r>
        <w:rPr>
          <w:color w:val="231F20"/>
          <w:spacing w:val="-2"/>
        </w:rPr>
        <w:t>inland</w:t>
      </w:r>
      <w:r>
        <w:rPr>
          <w:color w:val="231F20"/>
          <w:spacing w:val="-11"/>
        </w:rPr>
        <w:t> </w:t>
      </w:r>
      <w:r>
        <w:rPr>
          <w:color w:val="231F20"/>
          <w:spacing w:val="-2"/>
        </w:rPr>
        <w:t>logistics</w:t>
      </w:r>
      <w:r>
        <w:rPr>
          <w:color w:val="231F20"/>
          <w:spacing w:val="-11"/>
        </w:rPr>
        <w:t> </w:t>
      </w:r>
      <w:r>
        <w:rPr>
          <w:color w:val="231F20"/>
          <w:spacing w:val="-2"/>
        </w:rPr>
        <w:t>or</w:t>
      </w:r>
      <w:r>
        <w:rPr>
          <w:color w:val="231F20"/>
          <w:spacing w:val="-11"/>
        </w:rPr>
        <w:t> </w:t>
      </w:r>
      <w:r>
        <w:rPr>
          <w:color w:val="231F20"/>
          <w:spacing w:val="-2"/>
        </w:rPr>
        <w:t>the</w:t>
      </w:r>
      <w:r>
        <w:rPr>
          <w:color w:val="231F20"/>
          <w:spacing w:val="-11"/>
        </w:rPr>
        <w:t> </w:t>
      </w:r>
      <w:r>
        <w:rPr>
          <w:color w:val="231F20"/>
          <w:spacing w:val="-2"/>
        </w:rPr>
        <w:t>lower</w:t>
      </w:r>
      <w:r>
        <w:rPr>
          <w:color w:val="231F20"/>
          <w:spacing w:val="-11"/>
        </w:rPr>
        <w:t> </w:t>
      </w:r>
      <w:r>
        <w:rPr>
          <w:color w:val="231F20"/>
          <w:spacing w:val="-2"/>
        </w:rPr>
        <w:t>the</w:t>
      </w:r>
      <w:r>
        <w:rPr>
          <w:color w:val="231F20"/>
          <w:spacing w:val="-11"/>
        </w:rPr>
        <w:t> </w:t>
      </w:r>
      <w:r>
        <w:rPr>
          <w:color w:val="231F20"/>
          <w:spacing w:val="-2"/>
        </w:rPr>
        <w:t>fre- </w:t>
      </w:r>
      <w:r>
        <w:rPr>
          <w:color w:val="231F20"/>
        </w:rPr>
        <w:t>quency</w:t>
      </w:r>
      <w:r>
        <w:rPr>
          <w:color w:val="231F20"/>
          <w:spacing w:val="-11"/>
        </w:rPr>
        <w:t> </w:t>
      </w:r>
      <w:r>
        <w:rPr>
          <w:color w:val="231F20"/>
        </w:rPr>
        <w:t>of</w:t>
      </w:r>
      <w:r>
        <w:rPr>
          <w:color w:val="231F20"/>
          <w:spacing w:val="-11"/>
        </w:rPr>
        <w:t> </w:t>
      </w:r>
      <w:r>
        <w:rPr>
          <w:color w:val="231F20"/>
        </w:rPr>
        <w:t>shipping,</w:t>
      </w:r>
      <w:r>
        <w:rPr>
          <w:color w:val="231F20"/>
          <w:spacing w:val="-11"/>
        </w:rPr>
        <w:t> </w:t>
      </w:r>
      <w:r>
        <w:rPr>
          <w:color w:val="231F20"/>
        </w:rPr>
        <w:t>the</w:t>
      </w:r>
      <w:r>
        <w:rPr>
          <w:color w:val="231F20"/>
          <w:spacing w:val="-11"/>
        </w:rPr>
        <w:t> </w:t>
      </w:r>
      <w:r>
        <w:rPr>
          <w:color w:val="231F20"/>
        </w:rPr>
        <w:t>more</w:t>
      </w:r>
      <w:r>
        <w:rPr>
          <w:color w:val="231F20"/>
          <w:spacing w:val="-11"/>
        </w:rPr>
        <w:t> </w:t>
      </w:r>
      <w:r>
        <w:rPr>
          <w:color w:val="231F20"/>
        </w:rPr>
        <w:t>buffer</w:t>
      </w:r>
      <w:r>
        <w:rPr>
          <w:color w:val="231F20"/>
          <w:spacing w:val="-11"/>
        </w:rPr>
        <w:t> </w:t>
      </w:r>
      <w:r>
        <w:rPr>
          <w:color w:val="231F20"/>
        </w:rPr>
        <w:t>time</w:t>
      </w:r>
      <w:r>
        <w:rPr>
          <w:color w:val="231F20"/>
          <w:spacing w:val="-11"/>
        </w:rPr>
        <w:t> </w:t>
      </w:r>
      <w:r>
        <w:rPr>
          <w:color w:val="231F20"/>
        </w:rPr>
        <w:t>the </w:t>
      </w:r>
      <w:r>
        <w:rPr>
          <w:color w:val="231F20"/>
          <w:spacing w:val="-6"/>
        </w:rPr>
        <w:t>exporter</w:t>
      </w:r>
      <w:r>
        <w:rPr>
          <w:color w:val="231F20"/>
          <w:spacing w:val="-8"/>
        </w:rPr>
        <w:t> </w:t>
      </w:r>
      <w:r>
        <w:rPr>
          <w:color w:val="231F20"/>
          <w:spacing w:val="-6"/>
        </w:rPr>
        <w:t>includes</w:t>
      </w:r>
      <w:r>
        <w:rPr>
          <w:color w:val="231F20"/>
          <w:spacing w:val="-7"/>
        </w:rPr>
        <w:t> </w:t>
      </w:r>
      <w:r>
        <w:rPr>
          <w:color w:val="231F20"/>
          <w:spacing w:val="-6"/>
        </w:rPr>
        <w:t>to</w:t>
      </w:r>
      <w:r>
        <w:rPr>
          <w:color w:val="231F20"/>
          <w:spacing w:val="-7"/>
        </w:rPr>
        <w:t> </w:t>
      </w:r>
      <w:r>
        <w:rPr>
          <w:color w:val="231F20"/>
          <w:spacing w:val="-6"/>
        </w:rPr>
        <w:t>avoid</w:t>
      </w:r>
      <w:r>
        <w:rPr>
          <w:color w:val="231F20"/>
          <w:spacing w:val="-7"/>
        </w:rPr>
        <w:t> </w:t>
      </w:r>
      <w:r>
        <w:rPr>
          <w:color w:val="231F20"/>
          <w:spacing w:val="-6"/>
        </w:rPr>
        <w:t>missing</w:t>
      </w:r>
      <w:r>
        <w:rPr>
          <w:color w:val="231F20"/>
          <w:spacing w:val="-7"/>
        </w:rPr>
        <w:t> </w:t>
      </w:r>
      <w:r>
        <w:rPr>
          <w:color w:val="231F20"/>
          <w:spacing w:val="-6"/>
        </w:rPr>
        <w:t>the</w:t>
      </w:r>
      <w:r>
        <w:rPr>
          <w:color w:val="231F20"/>
          <w:spacing w:val="-7"/>
        </w:rPr>
        <w:t> </w:t>
      </w:r>
      <w:r>
        <w:rPr>
          <w:color w:val="231F20"/>
          <w:spacing w:val="-6"/>
        </w:rPr>
        <w:t>shipping </w:t>
      </w:r>
      <w:r>
        <w:rPr>
          <w:color w:val="231F20"/>
          <w:spacing w:val="-4"/>
        </w:rPr>
        <w:t>connection. For containers, shipping lines and </w:t>
      </w:r>
      <w:r>
        <w:rPr>
          <w:color w:val="231F20"/>
          <w:spacing w:val="-2"/>
        </w:rPr>
        <w:t>terminal</w:t>
      </w:r>
      <w:r>
        <w:rPr>
          <w:color w:val="231F20"/>
          <w:spacing w:val="-12"/>
        </w:rPr>
        <w:t> </w:t>
      </w:r>
      <w:r>
        <w:rPr>
          <w:color w:val="231F20"/>
          <w:spacing w:val="-2"/>
        </w:rPr>
        <w:t>operators</w:t>
      </w:r>
      <w:r>
        <w:rPr>
          <w:color w:val="231F20"/>
          <w:spacing w:val="-11"/>
        </w:rPr>
        <w:t> </w:t>
      </w:r>
      <w:r>
        <w:rPr>
          <w:color w:val="231F20"/>
          <w:spacing w:val="-2"/>
        </w:rPr>
        <w:t>typically</w:t>
      </w:r>
      <w:r>
        <w:rPr>
          <w:color w:val="231F20"/>
          <w:spacing w:val="-11"/>
        </w:rPr>
        <w:t> </w:t>
      </w:r>
      <w:r>
        <w:rPr>
          <w:color w:val="231F20"/>
          <w:spacing w:val="-2"/>
        </w:rPr>
        <w:t>impose</w:t>
      </w:r>
      <w:r>
        <w:rPr>
          <w:color w:val="231F20"/>
          <w:spacing w:val="-11"/>
        </w:rPr>
        <w:t> </w:t>
      </w:r>
      <w:r>
        <w:rPr>
          <w:color w:val="231F20"/>
          <w:spacing w:val="-2"/>
        </w:rPr>
        <w:t>deadlines </w:t>
      </w:r>
      <w:r>
        <w:rPr>
          <w:color w:val="231F20"/>
          <w:spacing w:val="-4"/>
        </w:rPr>
        <w:t>of</w:t>
      </w:r>
      <w:r>
        <w:rPr>
          <w:color w:val="231F20"/>
          <w:spacing w:val="-12"/>
        </w:rPr>
        <w:t> </w:t>
      </w:r>
      <w:r>
        <w:rPr>
          <w:color w:val="231F20"/>
          <w:spacing w:val="-4"/>
        </w:rPr>
        <w:t>48</w:t>
      </w:r>
      <w:r>
        <w:rPr>
          <w:color w:val="231F20"/>
          <w:spacing w:val="-12"/>
        </w:rPr>
        <w:t> </w:t>
      </w:r>
      <w:r>
        <w:rPr>
          <w:color w:val="231F20"/>
          <w:spacing w:val="-4"/>
        </w:rPr>
        <w:t>hours</w:t>
      </w:r>
      <w:r>
        <w:rPr>
          <w:color w:val="231F20"/>
          <w:spacing w:val="-12"/>
        </w:rPr>
        <w:t> </w:t>
      </w:r>
      <w:r>
        <w:rPr>
          <w:color w:val="231F20"/>
          <w:spacing w:val="-4"/>
        </w:rPr>
        <w:t>ahead</w:t>
      </w:r>
      <w:r>
        <w:rPr>
          <w:color w:val="231F20"/>
          <w:spacing w:val="-12"/>
        </w:rPr>
        <w:t> </w:t>
      </w:r>
      <w:r>
        <w:rPr>
          <w:color w:val="231F20"/>
          <w:spacing w:val="-4"/>
        </w:rPr>
        <w:t>of</w:t>
      </w:r>
      <w:r>
        <w:rPr>
          <w:color w:val="231F20"/>
          <w:spacing w:val="-12"/>
        </w:rPr>
        <w:t> </w:t>
      </w:r>
      <w:r>
        <w:rPr>
          <w:color w:val="231F20"/>
          <w:spacing w:val="-4"/>
        </w:rPr>
        <w:t>scheduled</w:t>
      </w:r>
      <w:r>
        <w:rPr>
          <w:color w:val="231F20"/>
          <w:spacing w:val="-12"/>
        </w:rPr>
        <w:t> </w:t>
      </w:r>
      <w:r>
        <w:rPr>
          <w:color w:val="231F20"/>
          <w:spacing w:val="-4"/>
        </w:rPr>
        <w:t>ship</w:t>
      </w:r>
      <w:r>
        <w:rPr>
          <w:color w:val="231F20"/>
          <w:spacing w:val="-12"/>
        </w:rPr>
        <w:t> </w:t>
      </w:r>
      <w:r>
        <w:rPr>
          <w:color w:val="231F20"/>
          <w:spacing w:val="-4"/>
        </w:rPr>
        <w:t>departure.</w:t>
      </w:r>
    </w:p>
    <w:p>
      <w:pPr>
        <w:pStyle w:val="BodyText"/>
        <w:spacing w:before="28"/>
      </w:pPr>
    </w:p>
    <w:p>
      <w:pPr>
        <w:spacing w:before="0"/>
        <w:ind w:left="198" w:right="0" w:firstLine="0"/>
        <w:jc w:val="both"/>
        <w:rPr>
          <w:rFonts w:ascii="Arial"/>
          <w:b/>
          <w:sz w:val="20"/>
        </w:rPr>
      </w:pPr>
      <w:r>
        <w:rPr>
          <w:rFonts w:ascii="Arial"/>
          <w:b/>
          <w:color w:val="231F20"/>
          <w:w w:val="105"/>
          <w:sz w:val="20"/>
        </w:rPr>
        <w:t>What</w:t>
      </w:r>
      <w:r>
        <w:rPr>
          <w:rFonts w:ascii="Arial"/>
          <w:b/>
          <w:color w:val="231F20"/>
          <w:spacing w:val="4"/>
          <w:w w:val="105"/>
          <w:sz w:val="20"/>
        </w:rPr>
        <w:t> </w:t>
      </w:r>
      <w:r>
        <w:rPr>
          <w:rFonts w:ascii="Arial"/>
          <w:b/>
          <w:color w:val="231F20"/>
          <w:w w:val="105"/>
          <w:sz w:val="20"/>
        </w:rPr>
        <w:t>causes</w:t>
      </w:r>
      <w:r>
        <w:rPr>
          <w:rFonts w:ascii="Arial"/>
          <w:b/>
          <w:color w:val="231F20"/>
          <w:spacing w:val="5"/>
          <w:w w:val="105"/>
          <w:sz w:val="20"/>
        </w:rPr>
        <w:t> </w:t>
      </w:r>
      <w:r>
        <w:rPr>
          <w:rFonts w:ascii="Arial"/>
          <w:b/>
          <w:color w:val="231F20"/>
          <w:w w:val="105"/>
          <w:sz w:val="20"/>
        </w:rPr>
        <w:t>long</w:t>
      </w:r>
      <w:r>
        <w:rPr>
          <w:rFonts w:ascii="Arial"/>
          <w:b/>
          <w:color w:val="231F20"/>
          <w:spacing w:val="4"/>
          <w:w w:val="105"/>
          <w:sz w:val="20"/>
        </w:rPr>
        <w:t> </w:t>
      </w:r>
      <w:r>
        <w:rPr>
          <w:rFonts w:ascii="Arial"/>
          <w:b/>
          <w:color w:val="231F20"/>
          <w:w w:val="105"/>
          <w:sz w:val="20"/>
        </w:rPr>
        <w:t>port</w:t>
      </w:r>
      <w:r>
        <w:rPr>
          <w:rFonts w:ascii="Arial"/>
          <w:b/>
          <w:color w:val="231F20"/>
          <w:spacing w:val="5"/>
          <w:w w:val="105"/>
          <w:sz w:val="20"/>
        </w:rPr>
        <w:t> </w:t>
      </w:r>
      <w:r>
        <w:rPr>
          <w:rFonts w:ascii="Arial"/>
          <w:b/>
          <w:color w:val="231F20"/>
          <w:spacing w:val="-2"/>
          <w:w w:val="105"/>
          <w:sz w:val="20"/>
        </w:rPr>
        <w:t>delays?</w:t>
      </w:r>
    </w:p>
    <w:p>
      <w:pPr>
        <w:pStyle w:val="BodyText"/>
        <w:spacing w:before="71"/>
        <w:rPr>
          <w:rFonts w:ascii="Arial"/>
          <w:b/>
          <w:sz w:val="20"/>
        </w:rPr>
      </w:pPr>
    </w:p>
    <w:p>
      <w:pPr>
        <w:pStyle w:val="BodyText"/>
        <w:spacing w:line="268" w:lineRule="auto" w:before="1"/>
        <w:ind w:left="198" w:right="657"/>
        <w:jc w:val="both"/>
      </w:pPr>
      <w:r>
        <w:rPr>
          <w:color w:val="231F20"/>
          <w:spacing w:val="-4"/>
        </w:rPr>
        <w:t>Few</w:t>
      </w:r>
      <w:r>
        <w:rPr>
          <w:color w:val="231F20"/>
          <w:spacing w:val="-10"/>
        </w:rPr>
        <w:t> </w:t>
      </w:r>
      <w:r>
        <w:rPr>
          <w:color w:val="231F20"/>
          <w:spacing w:val="-4"/>
        </w:rPr>
        <w:t>countries</w:t>
      </w:r>
      <w:r>
        <w:rPr>
          <w:color w:val="231F20"/>
          <w:spacing w:val="-9"/>
        </w:rPr>
        <w:t> </w:t>
      </w:r>
      <w:r>
        <w:rPr>
          <w:color w:val="231F20"/>
          <w:spacing w:val="-4"/>
        </w:rPr>
        <w:t>other</w:t>
      </w:r>
      <w:r>
        <w:rPr>
          <w:color w:val="231F20"/>
          <w:spacing w:val="-9"/>
        </w:rPr>
        <w:t> </w:t>
      </w:r>
      <w:r>
        <w:rPr>
          <w:color w:val="231F20"/>
          <w:spacing w:val="-4"/>
        </w:rPr>
        <w:t>than</w:t>
      </w:r>
      <w:r>
        <w:rPr>
          <w:color w:val="231F20"/>
          <w:spacing w:val="-9"/>
        </w:rPr>
        <w:t> </w:t>
      </w:r>
      <w:r>
        <w:rPr>
          <w:color w:val="231F20"/>
          <w:spacing w:val="-4"/>
        </w:rPr>
        <w:t>landlocked</w:t>
      </w:r>
      <w:r>
        <w:rPr>
          <w:color w:val="231F20"/>
          <w:spacing w:val="-9"/>
        </w:rPr>
        <w:t> </w:t>
      </w:r>
      <w:r>
        <w:rPr>
          <w:color w:val="231F20"/>
          <w:spacing w:val="-4"/>
        </w:rPr>
        <w:t>ones</w:t>
      </w:r>
      <w:r>
        <w:rPr>
          <w:color w:val="231F20"/>
          <w:spacing w:val="-9"/>
        </w:rPr>
        <w:t> </w:t>
      </w:r>
      <w:r>
        <w:rPr>
          <w:color w:val="231F20"/>
          <w:spacing w:val="-4"/>
        </w:rPr>
        <w:t>with </w:t>
      </w:r>
      <w:r>
        <w:rPr>
          <w:color w:val="231F20"/>
          <w:w w:val="90"/>
        </w:rPr>
        <w:t>port delays in the transit country have excessive </w:t>
      </w:r>
      <w:r>
        <w:rPr>
          <w:color w:val="231F20"/>
        </w:rPr>
        <w:t>import</w:t>
      </w:r>
      <w:r>
        <w:rPr>
          <w:color w:val="231F20"/>
          <w:spacing w:val="-13"/>
        </w:rPr>
        <w:t> </w:t>
      </w:r>
      <w:r>
        <w:rPr>
          <w:color w:val="231F20"/>
        </w:rPr>
        <w:t>port</w:t>
      </w:r>
      <w:r>
        <w:rPr>
          <w:color w:val="231F20"/>
          <w:spacing w:val="-13"/>
        </w:rPr>
        <w:t> </w:t>
      </w:r>
      <w:r>
        <w:rPr>
          <w:color w:val="231F20"/>
        </w:rPr>
        <w:t>dwell</w:t>
      </w:r>
      <w:r>
        <w:rPr>
          <w:color w:val="231F20"/>
          <w:spacing w:val="-13"/>
        </w:rPr>
        <w:t> </w:t>
      </w:r>
      <w:r>
        <w:rPr>
          <w:color w:val="231F20"/>
        </w:rPr>
        <w:t>times</w:t>
      </w:r>
      <w:r>
        <w:rPr>
          <w:color w:val="231F20"/>
          <w:spacing w:val="-13"/>
        </w:rPr>
        <w:t> </w:t>
      </w:r>
      <w:r>
        <w:rPr>
          <w:color w:val="231F20"/>
        </w:rPr>
        <w:t>(more</w:t>
      </w:r>
      <w:r>
        <w:rPr>
          <w:color w:val="231F20"/>
          <w:spacing w:val="-13"/>
        </w:rPr>
        <w:t> </w:t>
      </w:r>
      <w:r>
        <w:rPr>
          <w:color w:val="231F20"/>
        </w:rPr>
        <w:t>than</w:t>
      </w:r>
      <w:r>
        <w:rPr>
          <w:color w:val="231F20"/>
          <w:spacing w:val="-13"/>
        </w:rPr>
        <w:t> </w:t>
      </w:r>
      <w:r>
        <w:rPr>
          <w:color w:val="231F20"/>
        </w:rPr>
        <w:t>12</w:t>
      </w:r>
      <w:r>
        <w:rPr>
          <w:color w:val="231F20"/>
          <w:spacing w:val="-13"/>
        </w:rPr>
        <w:t> </w:t>
      </w:r>
      <w:r>
        <w:rPr>
          <w:color w:val="231F20"/>
        </w:rPr>
        <w:t>days). </w:t>
      </w:r>
      <w:r>
        <w:rPr>
          <w:color w:val="231F20"/>
          <w:spacing w:val="-4"/>
        </w:rPr>
        <w:t>Most</w:t>
      </w:r>
      <w:r>
        <w:rPr>
          <w:color w:val="231F20"/>
          <w:spacing w:val="-6"/>
        </w:rPr>
        <w:t> </w:t>
      </w:r>
      <w:r>
        <w:rPr>
          <w:color w:val="231F20"/>
          <w:spacing w:val="-4"/>
        </w:rPr>
        <w:t>countries</w:t>
      </w:r>
      <w:r>
        <w:rPr>
          <w:color w:val="231F20"/>
          <w:spacing w:val="-6"/>
        </w:rPr>
        <w:t> </w:t>
      </w:r>
      <w:r>
        <w:rPr>
          <w:color w:val="231F20"/>
          <w:spacing w:val="-4"/>
        </w:rPr>
        <w:t>with</w:t>
      </w:r>
      <w:r>
        <w:rPr>
          <w:color w:val="231F20"/>
          <w:spacing w:val="-6"/>
        </w:rPr>
        <w:t> </w:t>
      </w:r>
      <w:r>
        <w:rPr>
          <w:color w:val="231F20"/>
          <w:spacing w:val="-4"/>
        </w:rPr>
        <w:t>excessive</w:t>
      </w:r>
      <w:r>
        <w:rPr>
          <w:color w:val="231F20"/>
          <w:spacing w:val="-6"/>
        </w:rPr>
        <w:t> </w:t>
      </w:r>
      <w:r>
        <w:rPr>
          <w:color w:val="231F20"/>
          <w:spacing w:val="-4"/>
        </w:rPr>
        <w:t>dwell</w:t>
      </w:r>
      <w:r>
        <w:rPr>
          <w:color w:val="231F20"/>
          <w:spacing w:val="-6"/>
        </w:rPr>
        <w:t> </w:t>
      </w:r>
      <w:r>
        <w:rPr>
          <w:color w:val="231F20"/>
          <w:spacing w:val="-4"/>
        </w:rPr>
        <w:t>times</w:t>
      </w:r>
      <w:r>
        <w:rPr>
          <w:color w:val="231F20"/>
          <w:spacing w:val="-6"/>
        </w:rPr>
        <w:t> </w:t>
      </w:r>
      <w:r>
        <w:rPr>
          <w:color w:val="231F20"/>
          <w:spacing w:val="-4"/>
        </w:rPr>
        <w:t>are </w:t>
      </w:r>
      <w:r>
        <w:rPr>
          <w:color w:val="231F20"/>
        </w:rPr>
        <w:t>in the Middle East and North Africa and in </w:t>
      </w:r>
      <w:r>
        <w:rPr>
          <w:color w:val="231F20"/>
          <w:spacing w:val="-6"/>
        </w:rPr>
        <w:t>Central</w:t>
      </w:r>
      <w:r>
        <w:rPr>
          <w:color w:val="231F20"/>
          <w:spacing w:val="-8"/>
        </w:rPr>
        <w:t> </w:t>
      </w:r>
      <w:r>
        <w:rPr>
          <w:color w:val="231F20"/>
          <w:spacing w:val="-6"/>
        </w:rPr>
        <w:t>and</w:t>
      </w:r>
      <w:r>
        <w:rPr>
          <w:color w:val="231F20"/>
          <w:spacing w:val="-7"/>
        </w:rPr>
        <w:t> </w:t>
      </w:r>
      <w:r>
        <w:rPr>
          <w:color w:val="231F20"/>
          <w:spacing w:val="-6"/>
        </w:rPr>
        <w:t>West</w:t>
      </w:r>
      <w:r>
        <w:rPr>
          <w:color w:val="231F20"/>
          <w:spacing w:val="-7"/>
        </w:rPr>
        <w:t> </w:t>
      </w:r>
      <w:r>
        <w:rPr>
          <w:color w:val="231F20"/>
          <w:spacing w:val="-6"/>
        </w:rPr>
        <w:t>Africa</w:t>
      </w:r>
      <w:r>
        <w:rPr>
          <w:color w:val="231F20"/>
          <w:spacing w:val="-7"/>
        </w:rPr>
        <w:t> </w:t>
      </w:r>
      <w:r>
        <w:rPr>
          <w:color w:val="231F20"/>
          <w:spacing w:val="-6"/>
        </w:rPr>
        <w:t>(figure</w:t>
      </w:r>
      <w:r>
        <w:rPr>
          <w:color w:val="231F20"/>
          <w:spacing w:val="-7"/>
        </w:rPr>
        <w:t> </w:t>
      </w:r>
      <w:r>
        <w:rPr>
          <w:color w:val="231F20"/>
          <w:spacing w:val="-6"/>
        </w:rPr>
        <w:t>3.6).</w:t>
      </w:r>
      <w:r>
        <w:rPr>
          <w:color w:val="231F20"/>
          <w:spacing w:val="-7"/>
        </w:rPr>
        <w:t> </w:t>
      </w:r>
      <w:r>
        <w:rPr>
          <w:color w:val="231F20"/>
          <w:spacing w:val="-6"/>
        </w:rPr>
        <w:t>Countries </w:t>
      </w:r>
      <w:r>
        <w:rPr>
          <w:color w:val="231F20"/>
          <w:spacing w:val="-2"/>
        </w:rPr>
        <w:t>with</w:t>
      </w:r>
      <w:r>
        <w:rPr>
          <w:color w:val="231F20"/>
          <w:spacing w:val="-12"/>
        </w:rPr>
        <w:t> </w:t>
      </w:r>
      <w:r>
        <w:rPr>
          <w:color w:val="231F20"/>
          <w:spacing w:val="-2"/>
        </w:rPr>
        <w:t>excessive</w:t>
      </w:r>
      <w:r>
        <w:rPr>
          <w:color w:val="231F20"/>
          <w:spacing w:val="-11"/>
        </w:rPr>
        <w:t> </w:t>
      </w:r>
      <w:r>
        <w:rPr>
          <w:color w:val="231F20"/>
          <w:spacing w:val="-2"/>
        </w:rPr>
        <w:t>dwell</w:t>
      </w:r>
      <w:r>
        <w:rPr>
          <w:color w:val="231F20"/>
          <w:spacing w:val="-11"/>
        </w:rPr>
        <w:t> </w:t>
      </w:r>
      <w:r>
        <w:rPr>
          <w:color w:val="231F20"/>
          <w:spacing w:val="-2"/>
        </w:rPr>
        <w:t>times</w:t>
      </w:r>
      <w:r>
        <w:rPr>
          <w:color w:val="231F20"/>
          <w:spacing w:val="-11"/>
        </w:rPr>
        <w:t> </w:t>
      </w:r>
      <w:r>
        <w:rPr>
          <w:color w:val="231F20"/>
          <w:spacing w:val="-2"/>
        </w:rPr>
        <w:t>likely</w:t>
      </w:r>
      <w:r>
        <w:rPr>
          <w:color w:val="231F20"/>
          <w:spacing w:val="-11"/>
        </w:rPr>
        <w:t> </w:t>
      </w:r>
      <w:r>
        <w:rPr>
          <w:color w:val="231F20"/>
          <w:spacing w:val="-2"/>
        </w:rPr>
        <w:t>face</w:t>
      </w:r>
      <w:r>
        <w:rPr>
          <w:color w:val="231F20"/>
          <w:spacing w:val="-11"/>
        </w:rPr>
        <w:t> </w:t>
      </w:r>
      <w:r>
        <w:rPr>
          <w:color w:val="231F20"/>
          <w:spacing w:val="-2"/>
        </w:rPr>
        <w:t>serious constraints</w:t>
      </w:r>
      <w:r>
        <w:rPr>
          <w:color w:val="231F20"/>
          <w:spacing w:val="-9"/>
        </w:rPr>
        <w:t> </w:t>
      </w:r>
      <w:r>
        <w:rPr>
          <w:color w:val="231F20"/>
          <w:spacing w:val="-2"/>
        </w:rPr>
        <w:t>in</w:t>
      </w:r>
      <w:r>
        <w:rPr>
          <w:color w:val="231F20"/>
          <w:spacing w:val="-9"/>
        </w:rPr>
        <w:t> </w:t>
      </w:r>
      <w:r>
        <w:rPr>
          <w:color w:val="231F20"/>
          <w:spacing w:val="-2"/>
        </w:rPr>
        <w:t>port</w:t>
      </w:r>
      <w:r>
        <w:rPr>
          <w:color w:val="231F20"/>
          <w:spacing w:val="-9"/>
        </w:rPr>
        <w:t> </w:t>
      </w:r>
      <w:r>
        <w:rPr>
          <w:color w:val="231F20"/>
          <w:spacing w:val="-2"/>
        </w:rPr>
        <w:t>infrastructure</w:t>
      </w:r>
      <w:r>
        <w:rPr>
          <w:color w:val="231F20"/>
          <w:spacing w:val="-9"/>
        </w:rPr>
        <w:t> </w:t>
      </w:r>
      <w:r>
        <w:rPr>
          <w:color w:val="231F20"/>
          <w:spacing w:val="-2"/>
        </w:rPr>
        <w:t>and</w:t>
      </w:r>
      <w:r>
        <w:rPr>
          <w:color w:val="231F20"/>
          <w:spacing w:val="-9"/>
        </w:rPr>
        <w:t> </w:t>
      </w:r>
      <w:r>
        <w:rPr>
          <w:color w:val="231F20"/>
          <w:spacing w:val="-2"/>
        </w:rPr>
        <w:t>terminal </w:t>
      </w:r>
      <w:r>
        <w:rPr>
          <w:color w:val="231F20"/>
          <w:spacing w:val="-6"/>
        </w:rPr>
        <w:t>productivity,</w:t>
      </w:r>
      <w:r>
        <w:rPr>
          <w:color w:val="231F20"/>
          <w:spacing w:val="-8"/>
        </w:rPr>
        <w:t> </w:t>
      </w:r>
      <w:r>
        <w:rPr>
          <w:color w:val="231F20"/>
          <w:spacing w:val="-6"/>
        </w:rPr>
        <w:t>as</w:t>
      </w:r>
      <w:r>
        <w:rPr>
          <w:color w:val="231F20"/>
          <w:spacing w:val="-7"/>
        </w:rPr>
        <w:t> </w:t>
      </w:r>
      <w:r>
        <w:rPr>
          <w:color w:val="231F20"/>
          <w:spacing w:val="-6"/>
        </w:rPr>
        <w:t>measured</w:t>
      </w:r>
      <w:r>
        <w:rPr>
          <w:color w:val="231F20"/>
          <w:spacing w:val="-7"/>
        </w:rPr>
        <w:t> </w:t>
      </w:r>
      <w:r>
        <w:rPr>
          <w:color w:val="231F20"/>
          <w:spacing w:val="-6"/>
        </w:rPr>
        <w:t>by</w:t>
      </w:r>
      <w:r>
        <w:rPr>
          <w:color w:val="231F20"/>
          <w:spacing w:val="-7"/>
        </w:rPr>
        <w:t> </w:t>
      </w:r>
      <w:r>
        <w:rPr>
          <w:color w:val="231F20"/>
          <w:spacing w:val="-6"/>
        </w:rPr>
        <w:t>the</w:t>
      </w:r>
      <w:r>
        <w:rPr>
          <w:color w:val="231F20"/>
          <w:spacing w:val="-7"/>
        </w:rPr>
        <w:t> </w:t>
      </w:r>
      <w:r>
        <w:rPr>
          <w:color w:val="231F20"/>
          <w:spacing w:val="-6"/>
        </w:rPr>
        <w:t>World</w:t>
      </w:r>
      <w:r>
        <w:rPr>
          <w:color w:val="231F20"/>
          <w:spacing w:val="-7"/>
        </w:rPr>
        <w:t> </w:t>
      </w:r>
      <w:r>
        <w:rPr>
          <w:color w:val="231F20"/>
          <w:spacing w:val="-6"/>
        </w:rPr>
        <w:t>Bank’s </w:t>
      </w:r>
      <w:r>
        <w:rPr>
          <w:color w:val="231F20"/>
        </w:rPr>
        <w:t>Container Port Performance Index.</w:t>
      </w:r>
      <w:r>
        <w:rPr>
          <w:color w:val="231F20"/>
          <w:position w:val="7"/>
          <w:sz w:val="14"/>
        </w:rPr>
        <w:t>26</w:t>
      </w:r>
      <w:r>
        <w:rPr>
          <w:color w:val="231F20"/>
          <w:spacing w:val="40"/>
          <w:position w:val="7"/>
          <w:sz w:val="14"/>
        </w:rPr>
        <w:t> </w:t>
      </w:r>
      <w:r>
        <w:rPr>
          <w:color w:val="231F20"/>
        </w:rPr>
        <w:t>Con- trols</w:t>
      </w:r>
      <w:r>
        <w:rPr>
          <w:color w:val="231F20"/>
          <w:spacing w:val="-1"/>
        </w:rPr>
        <w:t> </w:t>
      </w:r>
      <w:r>
        <w:rPr>
          <w:color w:val="231F20"/>
        </w:rPr>
        <w:t>of</w:t>
      </w:r>
      <w:r>
        <w:rPr>
          <w:color w:val="231F20"/>
          <w:spacing w:val="-1"/>
        </w:rPr>
        <w:t> </w:t>
      </w:r>
      <w:r>
        <w:rPr>
          <w:color w:val="231F20"/>
        </w:rPr>
        <w:t>import</w:t>
      </w:r>
      <w:r>
        <w:rPr>
          <w:color w:val="231F20"/>
          <w:spacing w:val="-1"/>
        </w:rPr>
        <w:t> </w:t>
      </w:r>
      <w:r>
        <w:rPr>
          <w:color w:val="231F20"/>
        </w:rPr>
        <w:t>transactions</w:t>
      </w:r>
      <w:r>
        <w:rPr>
          <w:color w:val="231F20"/>
          <w:spacing w:val="-1"/>
        </w:rPr>
        <w:t> </w:t>
      </w:r>
      <w:r>
        <w:rPr>
          <w:color w:val="231F20"/>
        </w:rPr>
        <w:t>and</w:t>
      </w:r>
      <w:r>
        <w:rPr>
          <w:color w:val="231F20"/>
          <w:spacing w:val="-1"/>
        </w:rPr>
        <w:t> </w:t>
      </w:r>
      <w:r>
        <w:rPr>
          <w:color w:val="231F20"/>
        </w:rPr>
        <w:t>goods</w:t>
      </w:r>
      <w:r>
        <w:rPr>
          <w:color w:val="231F20"/>
          <w:spacing w:val="-1"/>
        </w:rPr>
        <w:t> </w:t>
      </w:r>
      <w:r>
        <w:rPr>
          <w:color w:val="231F20"/>
        </w:rPr>
        <w:t>(such </w:t>
      </w:r>
      <w:r>
        <w:rPr>
          <w:color w:val="231F20"/>
          <w:spacing w:val="-4"/>
        </w:rPr>
        <w:t>as</w:t>
      </w:r>
      <w:r>
        <w:rPr>
          <w:color w:val="231F20"/>
          <w:spacing w:val="-2"/>
        </w:rPr>
        <w:t> </w:t>
      </w:r>
      <w:r>
        <w:rPr>
          <w:color w:val="231F20"/>
          <w:spacing w:val="-4"/>
        </w:rPr>
        <w:t>customs</w:t>
      </w:r>
      <w:r>
        <w:rPr>
          <w:color w:val="231F20"/>
          <w:spacing w:val="-1"/>
        </w:rPr>
        <w:t> </w:t>
      </w:r>
      <w:r>
        <w:rPr>
          <w:color w:val="231F20"/>
          <w:spacing w:val="-4"/>
        </w:rPr>
        <w:t>and</w:t>
      </w:r>
      <w:r>
        <w:rPr>
          <w:color w:val="231F20"/>
          <w:spacing w:val="-1"/>
        </w:rPr>
        <w:t> </w:t>
      </w:r>
      <w:r>
        <w:rPr>
          <w:color w:val="231F20"/>
          <w:spacing w:val="-4"/>
        </w:rPr>
        <w:t>exchange</w:t>
      </w:r>
      <w:r>
        <w:rPr>
          <w:color w:val="231F20"/>
          <w:spacing w:val="-2"/>
        </w:rPr>
        <w:t> </w:t>
      </w:r>
      <w:r>
        <w:rPr>
          <w:color w:val="231F20"/>
          <w:spacing w:val="-4"/>
        </w:rPr>
        <w:t>controls)</w:t>
      </w:r>
      <w:r>
        <w:rPr>
          <w:color w:val="231F20"/>
          <w:spacing w:val="-1"/>
        </w:rPr>
        <w:t> </w:t>
      </w:r>
      <w:r>
        <w:rPr>
          <w:color w:val="231F20"/>
          <w:spacing w:val="-4"/>
        </w:rPr>
        <w:t>contribute</w:t>
      </w:r>
    </w:p>
    <w:p>
      <w:pPr>
        <w:spacing w:after="0" w:line="268" w:lineRule="auto"/>
        <w:jc w:val="both"/>
        <w:sectPr>
          <w:type w:val="continuous"/>
          <w:pgSz w:w="12240" w:h="15840"/>
          <w:pgMar w:header="0" w:footer="548" w:top="1140" w:bottom="280" w:left="0" w:right="540"/>
          <w:cols w:num="2" w:equalWidth="0">
            <w:col w:w="7082" w:space="40"/>
            <w:col w:w="4578"/>
          </w:cols>
        </w:sectPr>
      </w:pPr>
    </w:p>
    <w:p>
      <w:pPr>
        <w:pStyle w:val="BodyText"/>
        <w:rPr>
          <w:sz w:val="16"/>
        </w:rPr>
      </w:pPr>
    </w:p>
    <w:p>
      <w:pPr>
        <w:pStyle w:val="BodyText"/>
        <w:spacing w:before="7"/>
        <w:rPr>
          <w:sz w:val="16"/>
        </w:rPr>
      </w:pPr>
    </w:p>
    <w:p>
      <w:pPr>
        <w:spacing w:before="0"/>
        <w:ind w:left="4259" w:right="0" w:firstLine="0"/>
        <w:jc w:val="left"/>
        <w:rPr>
          <w:rFonts w:ascii="Arial"/>
          <w:b/>
          <w:sz w:val="16"/>
        </w:rPr>
      </w:pPr>
      <w:r>
        <w:rPr/>
        <mc:AlternateContent>
          <mc:Choice Requires="wps">
            <w:drawing>
              <wp:anchor distT="0" distB="0" distL="0" distR="0" allowOverlap="1" layoutInCell="1" locked="0" behindDoc="1" simplePos="0" relativeHeight="466756096">
                <wp:simplePos x="0" y="0"/>
                <wp:positionH relativeFrom="page">
                  <wp:posOffset>2095500</wp:posOffset>
                </wp:positionH>
                <wp:positionV relativeFrom="paragraph">
                  <wp:posOffset>-129378</wp:posOffset>
                </wp:positionV>
                <wp:extent cx="4953000" cy="2209800"/>
                <wp:effectExtent l="0" t="0" r="0" b="0"/>
                <wp:wrapNone/>
                <wp:docPr id="1293" name="Group 1293"/>
                <wp:cNvGraphicFramePr>
                  <a:graphicFrameLocks/>
                </wp:cNvGraphicFramePr>
                <a:graphic>
                  <a:graphicData uri="http://schemas.microsoft.com/office/word/2010/wordprocessingGroup">
                    <wpg:wgp>
                      <wpg:cNvPr id="1293" name="Group 1293"/>
                      <wpg:cNvGrpSpPr/>
                      <wpg:grpSpPr>
                        <a:xfrm>
                          <a:off x="0" y="0"/>
                          <a:ext cx="4953000" cy="2209800"/>
                          <a:chExt cx="4953000" cy="2209800"/>
                        </a:xfrm>
                      </wpg:grpSpPr>
                      <wps:wsp>
                        <wps:cNvPr id="1294" name="Graphic 1294"/>
                        <wps:cNvSpPr/>
                        <wps:spPr>
                          <a:xfrm>
                            <a:off x="19050" y="19050"/>
                            <a:ext cx="4914900" cy="2171700"/>
                          </a:xfrm>
                          <a:custGeom>
                            <a:avLst/>
                            <a:gdLst/>
                            <a:ahLst/>
                            <a:cxnLst/>
                            <a:rect l="l" t="t" r="r" b="b"/>
                            <a:pathLst>
                              <a:path w="4914900" h="2171700">
                                <a:moveTo>
                                  <a:pt x="4819650" y="0"/>
                                </a:moveTo>
                                <a:lnTo>
                                  <a:pt x="95250" y="0"/>
                                </a:lnTo>
                                <a:lnTo>
                                  <a:pt x="58212" y="7497"/>
                                </a:lnTo>
                                <a:lnTo>
                                  <a:pt x="27932" y="27932"/>
                                </a:lnTo>
                                <a:lnTo>
                                  <a:pt x="7497" y="58212"/>
                                </a:lnTo>
                                <a:lnTo>
                                  <a:pt x="0" y="95250"/>
                                </a:lnTo>
                                <a:lnTo>
                                  <a:pt x="0" y="2076450"/>
                                </a:lnTo>
                                <a:lnTo>
                                  <a:pt x="7497" y="2113487"/>
                                </a:lnTo>
                                <a:lnTo>
                                  <a:pt x="27932" y="2143767"/>
                                </a:lnTo>
                                <a:lnTo>
                                  <a:pt x="58212" y="2164202"/>
                                </a:lnTo>
                                <a:lnTo>
                                  <a:pt x="95250" y="2171700"/>
                                </a:lnTo>
                                <a:lnTo>
                                  <a:pt x="4819650" y="2171700"/>
                                </a:lnTo>
                                <a:lnTo>
                                  <a:pt x="4856687" y="2164202"/>
                                </a:lnTo>
                                <a:lnTo>
                                  <a:pt x="4886967" y="2143767"/>
                                </a:lnTo>
                                <a:lnTo>
                                  <a:pt x="4907402" y="2113487"/>
                                </a:lnTo>
                                <a:lnTo>
                                  <a:pt x="4914900" y="2076450"/>
                                </a:lnTo>
                                <a:lnTo>
                                  <a:pt x="4914900" y="95250"/>
                                </a:lnTo>
                                <a:lnTo>
                                  <a:pt x="4907402" y="58212"/>
                                </a:lnTo>
                                <a:lnTo>
                                  <a:pt x="4886967" y="27932"/>
                                </a:lnTo>
                                <a:lnTo>
                                  <a:pt x="4856687" y="7497"/>
                                </a:lnTo>
                                <a:lnTo>
                                  <a:pt x="4819650" y="0"/>
                                </a:lnTo>
                                <a:close/>
                              </a:path>
                            </a:pathLst>
                          </a:custGeom>
                          <a:solidFill>
                            <a:srgbClr val="E9F1FA"/>
                          </a:solidFill>
                        </wps:spPr>
                        <wps:bodyPr wrap="square" lIns="0" tIns="0" rIns="0" bIns="0" rtlCol="0">
                          <a:prstTxWarp prst="textNoShape">
                            <a:avLst/>
                          </a:prstTxWarp>
                          <a:noAutofit/>
                        </wps:bodyPr>
                      </wps:wsp>
                      <wps:wsp>
                        <wps:cNvPr id="1295" name="Graphic 1295"/>
                        <wps:cNvSpPr/>
                        <wps:spPr>
                          <a:xfrm>
                            <a:off x="152400" y="38100"/>
                            <a:ext cx="4781550" cy="254000"/>
                          </a:xfrm>
                          <a:custGeom>
                            <a:avLst/>
                            <a:gdLst/>
                            <a:ahLst/>
                            <a:cxnLst/>
                            <a:rect l="l" t="t" r="r" b="b"/>
                            <a:pathLst>
                              <a:path w="4781550" h="254000">
                                <a:moveTo>
                                  <a:pt x="4740466" y="0"/>
                                </a:moveTo>
                                <a:lnTo>
                                  <a:pt x="0" y="0"/>
                                </a:lnTo>
                                <a:lnTo>
                                  <a:pt x="0" y="254000"/>
                                </a:lnTo>
                                <a:lnTo>
                                  <a:pt x="4781550" y="254000"/>
                                </a:lnTo>
                                <a:lnTo>
                                  <a:pt x="4781550" y="76200"/>
                                </a:lnTo>
                                <a:lnTo>
                                  <a:pt x="4774053" y="39157"/>
                                </a:lnTo>
                                <a:lnTo>
                                  <a:pt x="4753622" y="8877"/>
                                </a:lnTo>
                                <a:lnTo>
                                  <a:pt x="4740466" y="0"/>
                                </a:lnTo>
                                <a:close/>
                              </a:path>
                            </a:pathLst>
                          </a:custGeom>
                          <a:solidFill>
                            <a:srgbClr val="808285"/>
                          </a:solidFill>
                        </wps:spPr>
                        <wps:bodyPr wrap="square" lIns="0" tIns="0" rIns="0" bIns="0" rtlCol="0">
                          <a:prstTxWarp prst="textNoShape">
                            <a:avLst/>
                          </a:prstTxWarp>
                          <a:noAutofit/>
                        </wps:bodyPr>
                      </wps:wsp>
                      <wps:wsp>
                        <wps:cNvPr id="1296" name="Graphic 1296"/>
                        <wps:cNvSpPr/>
                        <wps:spPr>
                          <a:xfrm>
                            <a:off x="546100" y="38098"/>
                            <a:ext cx="1270" cy="254635"/>
                          </a:xfrm>
                          <a:custGeom>
                            <a:avLst/>
                            <a:gdLst/>
                            <a:ahLst/>
                            <a:cxnLst/>
                            <a:rect l="l" t="t" r="r" b="b"/>
                            <a:pathLst>
                              <a:path w="0" h="254635">
                                <a:moveTo>
                                  <a:pt x="0" y="25415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297" name="Graphic 1297"/>
                        <wps:cNvSpPr/>
                        <wps:spPr>
                          <a:xfrm>
                            <a:off x="38100" y="38251"/>
                            <a:ext cx="495300" cy="254000"/>
                          </a:xfrm>
                          <a:custGeom>
                            <a:avLst/>
                            <a:gdLst/>
                            <a:ahLst/>
                            <a:cxnLst/>
                            <a:rect l="l" t="t" r="r" b="b"/>
                            <a:pathLst>
                              <a:path w="495300" h="254000">
                                <a:moveTo>
                                  <a:pt x="0" y="254000"/>
                                </a:moveTo>
                                <a:lnTo>
                                  <a:pt x="495300" y="254000"/>
                                </a:lnTo>
                                <a:lnTo>
                                  <a:pt x="495300" y="0"/>
                                </a:lnTo>
                                <a:lnTo>
                                  <a:pt x="0" y="0"/>
                                </a:lnTo>
                                <a:lnTo>
                                  <a:pt x="0" y="254000"/>
                                </a:lnTo>
                                <a:close/>
                              </a:path>
                            </a:pathLst>
                          </a:custGeom>
                          <a:solidFill>
                            <a:srgbClr val="008FDD"/>
                          </a:solidFill>
                        </wps:spPr>
                        <wps:bodyPr wrap="square" lIns="0" tIns="0" rIns="0" bIns="0" rtlCol="0">
                          <a:prstTxWarp prst="textNoShape">
                            <a:avLst/>
                          </a:prstTxWarp>
                          <a:noAutofit/>
                        </wps:bodyPr>
                      </wps:wsp>
                      <wps:wsp>
                        <wps:cNvPr id="1298" name="Graphic 1298"/>
                        <wps:cNvSpPr/>
                        <wps:spPr>
                          <a:xfrm>
                            <a:off x="19050" y="19050"/>
                            <a:ext cx="4914900" cy="2171700"/>
                          </a:xfrm>
                          <a:custGeom>
                            <a:avLst/>
                            <a:gdLst/>
                            <a:ahLst/>
                            <a:cxnLst/>
                            <a:rect l="l" t="t" r="r" b="b"/>
                            <a:pathLst>
                              <a:path w="4914900" h="2171700">
                                <a:moveTo>
                                  <a:pt x="95250" y="0"/>
                                </a:moveTo>
                                <a:lnTo>
                                  <a:pt x="58212" y="7497"/>
                                </a:lnTo>
                                <a:lnTo>
                                  <a:pt x="27932" y="27932"/>
                                </a:lnTo>
                                <a:lnTo>
                                  <a:pt x="7497" y="58212"/>
                                </a:lnTo>
                                <a:lnTo>
                                  <a:pt x="0" y="95250"/>
                                </a:lnTo>
                                <a:lnTo>
                                  <a:pt x="0" y="2076450"/>
                                </a:lnTo>
                                <a:lnTo>
                                  <a:pt x="7497" y="2113487"/>
                                </a:lnTo>
                                <a:lnTo>
                                  <a:pt x="27932" y="2143767"/>
                                </a:lnTo>
                                <a:lnTo>
                                  <a:pt x="58212" y="2164202"/>
                                </a:lnTo>
                                <a:lnTo>
                                  <a:pt x="95250" y="2171700"/>
                                </a:lnTo>
                                <a:lnTo>
                                  <a:pt x="4819650" y="2171700"/>
                                </a:lnTo>
                                <a:lnTo>
                                  <a:pt x="4856687" y="2164202"/>
                                </a:lnTo>
                                <a:lnTo>
                                  <a:pt x="4886967" y="2143767"/>
                                </a:lnTo>
                                <a:lnTo>
                                  <a:pt x="4907402" y="2113487"/>
                                </a:lnTo>
                                <a:lnTo>
                                  <a:pt x="4914900" y="2076450"/>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299" name="Textbox 1299"/>
                        <wps:cNvSpPr txBox="1"/>
                        <wps:spPr>
                          <a:xfrm>
                            <a:off x="38100" y="38251"/>
                            <a:ext cx="495300" cy="254000"/>
                          </a:xfrm>
                          <a:prstGeom prst="rect">
                            <a:avLst/>
                          </a:prstGeom>
                        </wps:spPr>
                        <wps:txbx>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4"/>
                                  <w:w w:val="90"/>
                                  <w:sz w:val="16"/>
                                </w:rPr>
                                <w:t> </w:t>
                              </w:r>
                              <w:r>
                                <w:rPr>
                                  <w:rFonts w:ascii="Arial"/>
                                  <w:b/>
                                  <w:color w:val="FFFFFF"/>
                                  <w:spacing w:val="-5"/>
                                  <w:w w:val="90"/>
                                  <w:sz w:val="16"/>
                                </w:rPr>
                                <w:t>3.2</w:t>
                              </w:r>
                            </w:p>
                          </w:txbxContent>
                        </wps:txbx>
                        <wps:bodyPr wrap="square" lIns="0" tIns="0" rIns="0" bIns="0" rtlCol="0">
                          <a:noAutofit/>
                        </wps:bodyPr>
                      </wps:wsp>
                    </wpg:wgp>
                  </a:graphicData>
                </a:graphic>
              </wp:anchor>
            </w:drawing>
          </mc:Choice>
          <mc:Fallback>
            <w:pict>
              <v:group style="position:absolute;margin-left:165pt;margin-top:-10.187304pt;width:390pt;height:174pt;mso-position-horizontal-relative:page;mso-position-vertical-relative:paragraph;z-index:-36560384" id="docshapegroup1102" coordorigin="3300,-204" coordsize="7800,3480">
                <v:shape style="position:absolute;left:3330;top:-174;width:7740;height:3420" id="docshape1103" coordorigin="3330,-174" coordsize="7740,3420" path="m10920,-174l3480,-174,3422,-162,3374,-130,3342,-82,3330,-24,3330,3096,3342,3155,3374,3202,3422,3234,3480,3246,10920,3246,10978,3234,11026,3202,11058,3155,11070,3096,11070,-24,11058,-82,11026,-130,10978,-162,10920,-174xe" filled="true" fillcolor="#e9f1fa" stroked="false">
                  <v:path arrowok="t"/>
                  <v:fill type="solid"/>
                </v:shape>
                <v:shape style="position:absolute;left:3540;top:-144;width:7530;height:400" id="docshape1104" coordorigin="3540,-144" coordsize="7530,400" path="m11005,-144l3540,-144,3540,256,11070,256,11070,-24,11058,-82,11026,-130,11005,-144xe" filled="true" fillcolor="#808285" stroked="false">
                  <v:path arrowok="t"/>
                  <v:fill type="solid"/>
                </v:shape>
                <v:line style="position:absolute" from="4160,256" to="4160,-144" stroked="true" strokeweight="2pt" strokecolor="#ffffff">
                  <v:stroke dashstyle="solid"/>
                </v:line>
                <v:rect style="position:absolute;left:3360;top:-144;width:780;height:400" id="docshape1105" filled="true" fillcolor="#008fdd" stroked="false">
                  <v:fill type="solid"/>
                </v:rect>
                <v:shape style="position:absolute;left:3330;top:-174;width:7740;height:3420" id="docshape1106" coordorigin="3330,-174" coordsize="7740,3420" path="m3480,-174l3422,-162,3374,-130,3342,-82,3330,-24,3330,3096,3342,3155,3374,3202,3422,3234,3480,3246,10920,3246,10978,3234,11026,3202,11058,3155,11070,3096,11070,-24,11058,-82,11026,-130,10978,-162,10920,-174,3480,-174xe" filled="false" stroked="true" strokeweight="3pt" strokecolor="#ffffff">
                  <v:path arrowok="t"/>
                  <v:stroke dashstyle="solid"/>
                </v:shape>
                <v:shape style="position:absolute;left:3360;top:-144;width:780;height:400" type="#_x0000_t202" id="docshape1107" filled="false" stroked="false">
                  <v:textbox inset="0,0,0,0">
                    <w:txbxContent>
                      <w:p>
                        <w:pPr>
                          <w:spacing w:before="144"/>
                          <w:ind w:left="180" w:right="0" w:firstLine="0"/>
                          <w:jc w:val="left"/>
                          <w:rPr>
                            <w:rFonts w:ascii="Arial"/>
                            <w:b/>
                            <w:sz w:val="16"/>
                          </w:rPr>
                        </w:pPr>
                        <w:r>
                          <w:rPr>
                            <w:rFonts w:ascii="Arial"/>
                            <w:color w:val="FFFFFF"/>
                            <w:w w:val="80"/>
                            <w:sz w:val="16"/>
                          </w:rPr>
                          <w:t>Box</w:t>
                        </w:r>
                        <w:r>
                          <w:rPr>
                            <w:rFonts w:ascii="Arial"/>
                            <w:color w:val="FFFFFF"/>
                            <w:spacing w:val="-4"/>
                            <w:w w:val="90"/>
                            <w:sz w:val="16"/>
                          </w:rPr>
                          <w:t> </w:t>
                        </w:r>
                        <w:r>
                          <w:rPr>
                            <w:rFonts w:ascii="Arial"/>
                            <w:b/>
                            <w:color w:val="FFFFFF"/>
                            <w:spacing w:val="-5"/>
                            <w:w w:val="90"/>
                            <w:sz w:val="16"/>
                          </w:rPr>
                          <w:t>3.2</w:t>
                        </w:r>
                      </w:p>
                    </w:txbxContent>
                  </v:textbox>
                  <w10:wrap type="none"/>
                </v:shape>
                <w10:wrap type="none"/>
              </v:group>
            </w:pict>
          </mc:Fallback>
        </mc:AlternateContent>
      </w:r>
      <w:r>
        <w:rPr>
          <w:rFonts w:ascii="Arial"/>
          <w:b/>
          <w:color w:val="FFFFFF"/>
          <w:w w:val="105"/>
          <w:sz w:val="16"/>
        </w:rPr>
        <w:t>India:</w:t>
      </w:r>
      <w:r>
        <w:rPr>
          <w:rFonts w:ascii="Arial"/>
          <w:b/>
          <w:color w:val="FFFFFF"/>
          <w:spacing w:val="11"/>
          <w:w w:val="105"/>
          <w:sz w:val="16"/>
        </w:rPr>
        <w:t> </w:t>
      </w:r>
      <w:r>
        <w:rPr>
          <w:rFonts w:ascii="Arial"/>
          <w:b/>
          <w:color w:val="FFFFFF"/>
          <w:w w:val="105"/>
          <w:sz w:val="16"/>
        </w:rPr>
        <w:t>Boosting</w:t>
      </w:r>
      <w:r>
        <w:rPr>
          <w:rFonts w:ascii="Arial"/>
          <w:b/>
          <w:color w:val="FFFFFF"/>
          <w:spacing w:val="11"/>
          <w:w w:val="105"/>
          <w:sz w:val="16"/>
        </w:rPr>
        <w:t> </w:t>
      </w:r>
      <w:r>
        <w:rPr>
          <w:rFonts w:ascii="Arial"/>
          <w:b/>
          <w:color w:val="FFFFFF"/>
          <w:w w:val="105"/>
          <w:sz w:val="16"/>
        </w:rPr>
        <w:t>performance</w:t>
      </w:r>
      <w:r>
        <w:rPr>
          <w:rFonts w:ascii="Arial"/>
          <w:b/>
          <w:color w:val="FFFFFF"/>
          <w:spacing w:val="12"/>
          <w:w w:val="105"/>
          <w:sz w:val="16"/>
        </w:rPr>
        <w:t> </w:t>
      </w:r>
      <w:r>
        <w:rPr>
          <w:rFonts w:ascii="Arial"/>
          <w:b/>
          <w:color w:val="FFFFFF"/>
          <w:w w:val="105"/>
          <w:sz w:val="16"/>
        </w:rPr>
        <w:t>with</w:t>
      </w:r>
      <w:r>
        <w:rPr>
          <w:rFonts w:ascii="Arial"/>
          <w:b/>
          <w:color w:val="FFFFFF"/>
          <w:spacing w:val="11"/>
          <w:w w:val="105"/>
          <w:sz w:val="16"/>
        </w:rPr>
        <w:t> </w:t>
      </w:r>
      <w:r>
        <w:rPr>
          <w:rFonts w:ascii="Arial"/>
          <w:b/>
          <w:color w:val="FFFFFF"/>
          <w:w w:val="105"/>
          <w:sz w:val="16"/>
        </w:rPr>
        <w:t>supply</w:t>
      </w:r>
      <w:r>
        <w:rPr>
          <w:rFonts w:ascii="Arial"/>
          <w:b/>
          <w:color w:val="FFFFFF"/>
          <w:spacing w:val="11"/>
          <w:w w:val="105"/>
          <w:sz w:val="16"/>
        </w:rPr>
        <w:t> </w:t>
      </w:r>
      <w:r>
        <w:rPr>
          <w:rFonts w:ascii="Arial"/>
          <w:b/>
          <w:color w:val="FFFFFF"/>
          <w:w w:val="105"/>
          <w:sz w:val="16"/>
        </w:rPr>
        <w:t>chain</w:t>
      </w:r>
      <w:r>
        <w:rPr>
          <w:rFonts w:ascii="Arial"/>
          <w:b/>
          <w:color w:val="FFFFFF"/>
          <w:spacing w:val="12"/>
          <w:w w:val="105"/>
          <w:sz w:val="16"/>
        </w:rPr>
        <w:t> </w:t>
      </w:r>
      <w:r>
        <w:rPr>
          <w:rFonts w:ascii="Arial"/>
          <w:b/>
          <w:color w:val="FFFFFF"/>
          <w:spacing w:val="-2"/>
          <w:w w:val="105"/>
          <w:sz w:val="16"/>
        </w:rPr>
        <w:t>digitalization</w:t>
      </w:r>
    </w:p>
    <w:p>
      <w:pPr>
        <w:pStyle w:val="BodyText"/>
        <w:spacing w:before="8"/>
        <w:rPr>
          <w:rFonts w:ascii="Arial"/>
          <w:b/>
          <w:sz w:val="14"/>
        </w:rPr>
      </w:pPr>
    </w:p>
    <w:p>
      <w:pPr>
        <w:spacing w:after="0"/>
        <w:rPr>
          <w:rFonts w:ascii="Arial"/>
          <w:sz w:val="14"/>
        </w:rPr>
        <w:sectPr>
          <w:type w:val="continuous"/>
          <w:pgSz w:w="12240" w:h="15840"/>
          <w:pgMar w:header="0" w:footer="548" w:top="1140" w:bottom="280" w:left="0" w:right="540"/>
        </w:sectPr>
      </w:pPr>
    </w:p>
    <w:p>
      <w:pPr>
        <w:spacing w:line="352" w:lineRule="auto" w:before="103"/>
        <w:ind w:left="3540" w:right="0" w:firstLine="0"/>
        <w:jc w:val="both"/>
        <w:rPr>
          <w:rFonts w:ascii="Arial"/>
          <w:sz w:val="16"/>
        </w:rPr>
      </w:pPr>
      <w:r>
        <w:rPr>
          <w:rFonts w:ascii="Arial"/>
          <w:color w:val="231F20"/>
          <w:sz w:val="16"/>
        </w:rPr>
        <w:t>Since</w:t>
      </w:r>
      <w:r>
        <w:rPr>
          <w:rFonts w:ascii="Arial"/>
          <w:color w:val="231F20"/>
          <w:spacing w:val="-11"/>
          <w:sz w:val="16"/>
        </w:rPr>
        <w:t> </w:t>
      </w:r>
      <w:r>
        <w:rPr>
          <w:rFonts w:ascii="Arial"/>
          <w:color w:val="231F20"/>
          <w:sz w:val="16"/>
        </w:rPr>
        <w:t>2015,</w:t>
      </w:r>
      <w:r>
        <w:rPr>
          <w:rFonts w:ascii="Arial"/>
          <w:color w:val="231F20"/>
          <w:spacing w:val="-11"/>
          <w:sz w:val="16"/>
        </w:rPr>
        <w:t> </w:t>
      </w:r>
      <w:r>
        <w:rPr>
          <w:rFonts w:ascii="Arial"/>
          <w:color w:val="231F20"/>
          <w:sz w:val="16"/>
        </w:rPr>
        <w:t>the</w:t>
      </w:r>
      <w:r>
        <w:rPr>
          <w:rFonts w:ascii="Arial"/>
          <w:color w:val="231F20"/>
          <w:spacing w:val="-11"/>
          <w:sz w:val="16"/>
        </w:rPr>
        <w:t> </w:t>
      </w:r>
      <w:r>
        <w:rPr>
          <w:rFonts w:ascii="Arial"/>
          <w:color w:val="231F20"/>
          <w:sz w:val="16"/>
        </w:rPr>
        <w:t>government</w:t>
      </w:r>
      <w:r>
        <w:rPr>
          <w:rFonts w:ascii="Arial"/>
          <w:color w:val="231F20"/>
          <w:spacing w:val="-11"/>
          <w:sz w:val="16"/>
        </w:rPr>
        <w:t> </w:t>
      </w:r>
      <w:r>
        <w:rPr>
          <w:rFonts w:ascii="Arial"/>
          <w:color w:val="231F20"/>
          <w:sz w:val="16"/>
        </w:rPr>
        <w:t>of</w:t>
      </w:r>
      <w:r>
        <w:rPr>
          <w:rFonts w:ascii="Arial"/>
          <w:color w:val="231F20"/>
          <w:spacing w:val="-11"/>
          <w:sz w:val="16"/>
        </w:rPr>
        <w:t> </w:t>
      </w:r>
      <w:r>
        <w:rPr>
          <w:rFonts w:ascii="Arial"/>
          <w:color w:val="231F20"/>
          <w:sz w:val="16"/>
        </w:rPr>
        <w:t>India</w:t>
      </w:r>
      <w:r>
        <w:rPr>
          <w:rFonts w:ascii="Arial"/>
          <w:color w:val="231F20"/>
          <w:spacing w:val="-11"/>
          <w:sz w:val="16"/>
        </w:rPr>
        <w:t> </w:t>
      </w:r>
      <w:r>
        <w:rPr>
          <w:rFonts w:ascii="Arial"/>
          <w:color w:val="231F20"/>
          <w:sz w:val="16"/>
        </w:rPr>
        <w:t>has</w:t>
      </w:r>
      <w:r>
        <w:rPr>
          <w:rFonts w:ascii="Arial"/>
          <w:color w:val="231F20"/>
          <w:spacing w:val="-11"/>
          <w:sz w:val="16"/>
        </w:rPr>
        <w:t> </w:t>
      </w:r>
      <w:r>
        <w:rPr>
          <w:rFonts w:ascii="Arial"/>
          <w:color w:val="231F20"/>
          <w:sz w:val="16"/>
        </w:rPr>
        <w:t>invested in trade-related soft and hard infrastructure con- necting</w:t>
      </w:r>
      <w:r>
        <w:rPr>
          <w:rFonts w:ascii="Arial"/>
          <w:color w:val="231F20"/>
          <w:spacing w:val="-1"/>
          <w:sz w:val="16"/>
        </w:rPr>
        <w:t> </w:t>
      </w:r>
      <w:r>
        <w:rPr>
          <w:rFonts w:ascii="Arial"/>
          <w:color w:val="231F20"/>
          <w:sz w:val="16"/>
        </w:rPr>
        <w:t>port</w:t>
      </w:r>
      <w:r>
        <w:rPr>
          <w:rFonts w:ascii="Arial"/>
          <w:color w:val="231F20"/>
          <w:spacing w:val="-1"/>
          <w:sz w:val="16"/>
        </w:rPr>
        <w:t> </w:t>
      </w:r>
      <w:r>
        <w:rPr>
          <w:rFonts w:ascii="Arial"/>
          <w:color w:val="231F20"/>
          <w:sz w:val="16"/>
        </w:rPr>
        <w:t>gateways</w:t>
      </w:r>
      <w:r>
        <w:rPr>
          <w:rFonts w:ascii="Arial"/>
          <w:color w:val="231F20"/>
          <w:spacing w:val="-1"/>
          <w:sz w:val="16"/>
        </w:rPr>
        <w:t> </w:t>
      </w:r>
      <w:r>
        <w:rPr>
          <w:rFonts w:ascii="Arial"/>
          <w:color w:val="231F20"/>
          <w:sz w:val="16"/>
        </w:rPr>
        <w:t>on</w:t>
      </w:r>
      <w:r>
        <w:rPr>
          <w:rFonts w:ascii="Arial"/>
          <w:color w:val="231F20"/>
          <w:spacing w:val="-1"/>
          <w:sz w:val="16"/>
        </w:rPr>
        <w:t> </w:t>
      </w:r>
      <w:r>
        <w:rPr>
          <w:rFonts w:ascii="Arial"/>
          <w:color w:val="231F20"/>
          <w:sz w:val="16"/>
        </w:rPr>
        <w:t>both</w:t>
      </w:r>
      <w:r>
        <w:rPr>
          <w:rFonts w:ascii="Arial"/>
          <w:color w:val="231F20"/>
          <w:spacing w:val="-1"/>
          <w:sz w:val="16"/>
        </w:rPr>
        <w:t> </w:t>
      </w:r>
      <w:r>
        <w:rPr>
          <w:rFonts w:ascii="Arial"/>
          <w:color w:val="231F20"/>
          <w:sz w:val="16"/>
        </w:rPr>
        <w:t>coasts</w:t>
      </w:r>
      <w:r>
        <w:rPr>
          <w:rFonts w:ascii="Arial"/>
          <w:color w:val="231F20"/>
          <w:spacing w:val="-1"/>
          <w:sz w:val="16"/>
        </w:rPr>
        <w:t> </w:t>
      </w:r>
      <w:r>
        <w:rPr>
          <w:rFonts w:ascii="Arial"/>
          <w:color w:val="231F20"/>
          <w:sz w:val="16"/>
        </w:rPr>
        <w:t>to</w:t>
      </w:r>
      <w:r>
        <w:rPr>
          <w:rFonts w:ascii="Arial"/>
          <w:color w:val="231F20"/>
          <w:spacing w:val="-1"/>
          <w:sz w:val="16"/>
        </w:rPr>
        <w:t> </w:t>
      </w:r>
      <w:r>
        <w:rPr>
          <w:rFonts w:ascii="Arial"/>
          <w:color w:val="231F20"/>
          <w:sz w:val="16"/>
        </w:rPr>
        <w:t>the</w:t>
      </w:r>
      <w:r>
        <w:rPr>
          <w:rFonts w:ascii="Arial"/>
          <w:color w:val="231F20"/>
          <w:spacing w:val="-1"/>
          <w:sz w:val="16"/>
        </w:rPr>
        <w:t> </w:t>
      </w:r>
      <w:r>
        <w:rPr>
          <w:rFonts w:ascii="Arial"/>
          <w:color w:val="231F20"/>
          <w:sz w:val="16"/>
        </w:rPr>
        <w:t>eco- nomic poles in the hinterland. Technology has been a critical component of this effort, with implementation under a public-private partner- ship of a supply chain visibility platform,</w:t>
      </w:r>
      <w:r>
        <w:rPr>
          <w:rFonts w:ascii="Arial"/>
          <w:color w:val="231F20"/>
          <w:position w:val="5"/>
          <w:sz w:val="10"/>
        </w:rPr>
        <w:t>1</w:t>
      </w:r>
      <w:r>
        <w:rPr>
          <w:rFonts w:ascii="Arial"/>
          <w:color w:val="231F20"/>
          <w:spacing w:val="33"/>
          <w:position w:val="5"/>
          <w:sz w:val="10"/>
        </w:rPr>
        <w:t> </w:t>
      </w:r>
      <w:r>
        <w:rPr>
          <w:rFonts w:ascii="Arial"/>
          <w:color w:val="231F20"/>
          <w:sz w:val="16"/>
        </w:rPr>
        <w:t>which contributed to remarkable reductions of delays. NICDC Logistics Data Services Limited applies radio</w:t>
      </w:r>
      <w:r>
        <w:rPr>
          <w:rFonts w:ascii="Arial"/>
          <w:color w:val="231F20"/>
          <w:spacing w:val="15"/>
          <w:sz w:val="16"/>
        </w:rPr>
        <w:t> </w:t>
      </w:r>
      <w:r>
        <w:rPr>
          <w:rFonts w:ascii="Arial"/>
          <w:color w:val="231F20"/>
          <w:sz w:val="16"/>
        </w:rPr>
        <w:t>frequency</w:t>
      </w:r>
      <w:r>
        <w:rPr>
          <w:rFonts w:ascii="Arial"/>
          <w:color w:val="231F20"/>
          <w:spacing w:val="15"/>
          <w:sz w:val="16"/>
        </w:rPr>
        <w:t> </w:t>
      </w:r>
      <w:r>
        <w:rPr>
          <w:rFonts w:ascii="Arial"/>
          <w:color w:val="231F20"/>
          <w:sz w:val="16"/>
        </w:rPr>
        <w:t>identification</w:t>
      </w:r>
      <w:r>
        <w:rPr>
          <w:rFonts w:ascii="Arial"/>
          <w:color w:val="231F20"/>
          <w:spacing w:val="15"/>
          <w:sz w:val="16"/>
        </w:rPr>
        <w:t> </w:t>
      </w:r>
      <w:r>
        <w:rPr>
          <w:rFonts w:ascii="Arial"/>
          <w:color w:val="231F20"/>
          <w:sz w:val="16"/>
        </w:rPr>
        <w:t>tags</w:t>
      </w:r>
      <w:r>
        <w:rPr>
          <w:rFonts w:ascii="Arial"/>
          <w:color w:val="231F20"/>
          <w:spacing w:val="15"/>
          <w:sz w:val="16"/>
        </w:rPr>
        <w:t> </w:t>
      </w:r>
      <w:r>
        <w:rPr>
          <w:rFonts w:ascii="Arial"/>
          <w:color w:val="231F20"/>
          <w:sz w:val="16"/>
        </w:rPr>
        <w:t>to</w:t>
      </w:r>
      <w:r>
        <w:rPr>
          <w:rFonts w:ascii="Arial"/>
          <w:color w:val="231F20"/>
          <w:spacing w:val="15"/>
          <w:sz w:val="16"/>
        </w:rPr>
        <w:t> </w:t>
      </w:r>
      <w:r>
        <w:rPr>
          <w:rFonts w:ascii="Arial"/>
          <w:color w:val="231F20"/>
          <w:spacing w:val="-2"/>
          <w:sz w:val="16"/>
        </w:rPr>
        <w:t>containers</w:t>
      </w:r>
    </w:p>
    <w:p>
      <w:pPr>
        <w:spacing w:line="352" w:lineRule="auto" w:before="103"/>
        <w:ind w:left="319" w:right="836" w:firstLine="0"/>
        <w:jc w:val="both"/>
        <w:rPr>
          <w:rFonts w:ascii="Arial"/>
          <w:sz w:val="16"/>
        </w:rPr>
      </w:pPr>
      <w:r>
        <w:rPr/>
        <w:br w:type="column"/>
      </w:r>
      <w:r>
        <w:rPr>
          <w:rFonts w:ascii="Arial"/>
          <w:color w:val="231F20"/>
          <w:sz w:val="16"/>
        </w:rPr>
        <w:t>and offers consignees end-to-end tracking of</w:t>
      </w:r>
      <w:r>
        <w:rPr>
          <w:rFonts w:ascii="Arial"/>
          <w:color w:val="231F20"/>
          <w:spacing w:val="40"/>
          <w:sz w:val="16"/>
        </w:rPr>
        <w:t> </w:t>
      </w:r>
      <w:r>
        <w:rPr>
          <w:rFonts w:ascii="Arial"/>
          <w:color w:val="231F20"/>
          <w:sz w:val="16"/>
        </w:rPr>
        <w:t>their</w:t>
      </w:r>
      <w:r>
        <w:rPr>
          <w:rFonts w:ascii="Arial"/>
          <w:color w:val="231F20"/>
          <w:sz w:val="16"/>
        </w:rPr>
        <w:t> supply chain. Implementation started in 2015 on the Indian east coast and was general- ized</w:t>
      </w:r>
      <w:r>
        <w:rPr>
          <w:rFonts w:ascii="Arial"/>
          <w:color w:val="231F20"/>
          <w:spacing w:val="-5"/>
          <w:sz w:val="16"/>
        </w:rPr>
        <w:t> </w:t>
      </w:r>
      <w:r>
        <w:rPr>
          <w:rFonts w:ascii="Arial"/>
          <w:color w:val="231F20"/>
          <w:sz w:val="16"/>
        </w:rPr>
        <w:t>in</w:t>
      </w:r>
      <w:r>
        <w:rPr>
          <w:rFonts w:ascii="Arial"/>
          <w:color w:val="231F20"/>
          <w:spacing w:val="-5"/>
          <w:sz w:val="16"/>
        </w:rPr>
        <w:t> </w:t>
      </w:r>
      <w:r>
        <w:rPr>
          <w:rFonts w:ascii="Arial"/>
          <w:color w:val="231F20"/>
          <w:sz w:val="16"/>
        </w:rPr>
        <w:t>2020.</w:t>
      </w:r>
      <w:r>
        <w:rPr>
          <w:rFonts w:ascii="Arial"/>
          <w:color w:val="231F20"/>
          <w:spacing w:val="-5"/>
          <w:sz w:val="16"/>
        </w:rPr>
        <w:t> </w:t>
      </w:r>
      <w:r>
        <w:rPr>
          <w:rFonts w:ascii="Arial"/>
          <w:color w:val="231F20"/>
          <w:sz w:val="16"/>
        </w:rPr>
        <w:t>With</w:t>
      </w:r>
      <w:r>
        <w:rPr>
          <w:rFonts w:ascii="Arial"/>
          <w:color w:val="231F20"/>
          <w:spacing w:val="-5"/>
          <w:sz w:val="16"/>
        </w:rPr>
        <w:t> </w:t>
      </w:r>
      <w:r>
        <w:rPr>
          <w:rFonts w:ascii="Arial"/>
          <w:color w:val="231F20"/>
          <w:sz w:val="16"/>
        </w:rPr>
        <w:t>the</w:t>
      </w:r>
      <w:r>
        <w:rPr>
          <w:rFonts w:ascii="Arial"/>
          <w:color w:val="231F20"/>
          <w:spacing w:val="-5"/>
          <w:sz w:val="16"/>
        </w:rPr>
        <w:t> </w:t>
      </w:r>
      <w:r>
        <w:rPr>
          <w:rFonts w:ascii="Arial"/>
          <w:color w:val="231F20"/>
          <w:sz w:val="16"/>
        </w:rPr>
        <w:t>introduction</w:t>
      </w:r>
      <w:r>
        <w:rPr>
          <w:rFonts w:ascii="Arial"/>
          <w:color w:val="231F20"/>
          <w:spacing w:val="-5"/>
          <w:sz w:val="16"/>
        </w:rPr>
        <w:t> </w:t>
      </w:r>
      <w:r>
        <w:rPr>
          <w:rFonts w:ascii="Arial"/>
          <w:color w:val="231F20"/>
          <w:sz w:val="16"/>
        </w:rPr>
        <w:t>of</w:t>
      </w:r>
      <w:r>
        <w:rPr>
          <w:rFonts w:ascii="Arial"/>
          <w:color w:val="231F20"/>
          <w:spacing w:val="-5"/>
          <w:sz w:val="16"/>
        </w:rPr>
        <w:t> </w:t>
      </w:r>
      <w:r>
        <w:rPr>
          <w:rFonts w:ascii="Arial"/>
          <w:color w:val="231F20"/>
          <w:sz w:val="16"/>
        </w:rPr>
        <w:t>cargo</w:t>
      </w:r>
      <w:r>
        <w:rPr>
          <w:rFonts w:ascii="Arial"/>
          <w:color w:val="231F20"/>
          <w:spacing w:val="-5"/>
          <w:sz w:val="16"/>
        </w:rPr>
        <w:t> </w:t>
      </w:r>
      <w:r>
        <w:rPr>
          <w:rFonts w:ascii="Arial"/>
          <w:color w:val="231F20"/>
          <w:sz w:val="16"/>
        </w:rPr>
        <w:t>track- ing, dwell time in the eastern port of Visakhapat- nam fell from 32.4 days in 2015 to 5.3 days in </w:t>
      </w:r>
      <w:r>
        <w:rPr>
          <w:rFonts w:ascii="Arial"/>
          <w:color w:val="231F20"/>
          <w:spacing w:val="-2"/>
          <w:sz w:val="16"/>
        </w:rPr>
        <w:t>2019.</w:t>
      </w:r>
    </w:p>
    <w:p>
      <w:pPr>
        <w:pStyle w:val="BodyText"/>
        <w:spacing w:before="101"/>
        <w:rPr>
          <w:rFonts w:ascii="Arial"/>
          <w:sz w:val="16"/>
        </w:rPr>
      </w:pPr>
    </w:p>
    <w:p>
      <w:pPr>
        <w:spacing w:before="0"/>
        <w:ind w:left="319" w:right="0" w:firstLine="0"/>
        <w:jc w:val="left"/>
        <w:rPr>
          <w:rFonts w:ascii="Arial"/>
          <w:b/>
          <w:sz w:val="14"/>
        </w:rPr>
      </w:pPr>
      <w:r>
        <w:rPr>
          <w:rFonts w:ascii="Arial"/>
          <w:b/>
          <w:color w:val="231F20"/>
          <w:spacing w:val="-4"/>
          <w:w w:val="105"/>
          <w:sz w:val="14"/>
        </w:rPr>
        <w:t>Note</w:t>
      </w:r>
    </w:p>
    <w:p>
      <w:pPr>
        <w:spacing w:before="109"/>
        <w:ind w:left="319" w:right="0" w:firstLine="0"/>
        <w:jc w:val="left"/>
        <w:rPr>
          <w:rFonts w:ascii="Arial"/>
          <w:sz w:val="14"/>
        </w:rPr>
      </w:pPr>
      <w:r>
        <w:rPr>
          <w:rFonts w:ascii="Arial"/>
          <w:color w:val="231F20"/>
          <w:sz w:val="14"/>
        </w:rPr>
        <w:t>1.</w:t>
      </w:r>
      <w:r>
        <w:rPr>
          <w:rFonts w:ascii="Arial"/>
          <w:color w:val="231F20"/>
          <w:spacing w:val="-6"/>
          <w:sz w:val="14"/>
        </w:rPr>
        <w:t> </w:t>
      </w:r>
      <w:r>
        <w:rPr>
          <w:rFonts w:ascii="Arial"/>
          <w:color w:val="231F20"/>
          <w:sz w:val="14"/>
        </w:rPr>
        <w:t>See</w:t>
      </w:r>
      <w:r>
        <w:rPr>
          <w:rFonts w:ascii="Arial"/>
          <w:color w:val="231F20"/>
          <w:spacing w:val="-5"/>
          <w:sz w:val="14"/>
        </w:rPr>
        <w:t> </w:t>
      </w:r>
      <w:hyperlink r:id="rId87">
        <w:r>
          <w:rPr>
            <w:rFonts w:ascii="Arial"/>
            <w:color w:val="231F20"/>
            <w:spacing w:val="-2"/>
            <w:sz w:val="14"/>
          </w:rPr>
          <w:t>https://nldsl.in/</w:t>
        </w:r>
      </w:hyperlink>
      <w:r>
        <w:rPr>
          <w:rFonts w:ascii="Arial"/>
          <w:color w:val="231F20"/>
          <w:spacing w:val="-2"/>
          <w:sz w:val="14"/>
        </w:rPr>
        <w:t>.</w:t>
      </w:r>
    </w:p>
    <w:p>
      <w:pPr>
        <w:spacing w:after="0"/>
        <w:jc w:val="left"/>
        <w:rPr>
          <w:rFonts w:ascii="Arial"/>
          <w:sz w:val="14"/>
        </w:rPr>
        <w:sectPr>
          <w:type w:val="continuous"/>
          <w:pgSz w:w="12240" w:h="15840"/>
          <w:pgMar w:header="0" w:footer="548" w:top="1140" w:bottom="280" w:left="0" w:right="540"/>
          <w:cols w:num="2" w:equalWidth="0">
            <w:col w:w="7021" w:space="40"/>
            <w:col w:w="4639"/>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23"/>
        <w:rPr>
          <w:rFonts w:ascii="Arial"/>
          <w:sz w:val="20"/>
        </w:rPr>
      </w:pPr>
    </w:p>
    <w:tbl>
      <w:tblPr>
        <w:tblW w:w="0" w:type="auto"/>
        <w:jc w:val="left"/>
        <w:tblInd w:w="161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1181"/>
        <w:gridCol w:w="1181"/>
        <w:gridCol w:w="1181"/>
        <w:gridCol w:w="1181"/>
        <w:gridCol w:w="1181"/>
        <w:gridCol w:w="1181"/>
      </w:tblGrid>
      <w:tr>
        <w:trPr>
          <w:trHeight w:val="696" w:hRule="atLeast"/>
        </w:trPr>
        <w:tc>
          <w:tcPr>
            <w:tcW w:w="1181" w:type="dxa"/>
          </w:tcPr>
          <w:p>
            <w:pPr>
              <w:pStyle w:val="TableParagraph"/>
              <w:spacing w:before="0"/>
              <w:jc w:val="left"/>
              <w:rPr>
                <w:rFonts w:ascii="Times New Roman"/>
                <w:sz w:val="16"/>
              </w:rPr>
            </w:pPr>
          </w:p>
        </w:tc>
        <w:tc>
          <w:tcPr>
            <w:tcW w:w="1181" w:type="dxa"/>
          </w:tcPr>
          <w:p>
            <w:pPr>
              <w:pStyle w:val="TableParagraph"/>
              <w:spacing w:before="21"/>
              <w:jc w:val="left"/>
              <w:rPr>
                <w:sz w:val="20"/>
              </w:rPr>
            </w:pPr>
          </w:p>
          <w:p>
            <w:pPr>
              <w:pStyle w:val="TableParagraph"/>
              <w:spacing w:line="117" w:lineRule="exact" w:before="0"/>
              <w:ind w:left="695"/>
              <w:jc w:val="left"/>
              <w:rPr>
                <w:sz w:val="11"/>
              </w:rPr>
            </w:pPr>
            <w:r>
              <w:rPr>
                <w:position w:val="-1"/>
                <w:sz w:val="11"/>
              </w:rPr>
              <w:drawing>
                <wp:inline distT="0" distB="0" distL="0" distR="0">
                  <wp:extent cx="74663" cy="74675"/>
                  <wp:effectExtent l="0" t="0" r="0" b="0"/>
                  <wp:docPr id="1300" name="Image 1300"/>
                  <wp:cNvGraphicFramePr>
                    <a:graphicFrameLocks/>
                  </wp:cNvGraphicFramePr>
                  <a:graphic>
                    <a:graphicData uri="http://schemas.openxmlformats.org/drawingml/2006/picture">
                      <pic:pic>
                        <pic:nvPicPr>
                          <pic:cNvPr id="1300" name="Image 1300"/>
                          <pic:cNvPicPr/>
                        </pic:nvPicPr>
                        <pic:blipFill>
                          <a:blip r:embed="rId88" cstate="print"/>
                          <a:stretch>
                            <a:fillRect/>
                          </a:stretch>
                        </pic:blipFill>
                        <pic:spPr>
                          <a:xfrm>
                            <a:off x="0" y="0"/>
                            <a:ext cx="74663" cy="74675"/>
                          </a:xfrm>
                          <a:prstGeom prst="rect">
                            <a:avLst/>
                          </a:prstGeom>
                        </pic:spPr>
                      </pic:pic>
                    </a:graphicData>
                  </a:graphic>
                </wp:inline>
              </w:drawing>
            </w:r>
            <w:r>
              <w:rPr>
                <w:position w:val="-1"/>
                <w:sz w:val="11"/>
              </w:rPr>
            </w:r>
          </w:p>
        </w:tc>
        <w:tc>
          <w:tcPr>
            <w:tcW w:w="1181" w:type="dxa"/>
          </w:tcPr>
          <w:p>
            <w:pPr>
              <w:pStyle w:val="TableParagraph"/>
              <w:spacing w:before="0"/>
              <w:jc w:val="left"/>
              <w:rPr>
                <w:sz w:val="20"/>
              </w:rPr>
            </w:pPr>
          </w:p>
          <w:p>
            <w:pPr>
              <w:pStyle w:val="TableParagraph"/>
              <w:spacing w:before="10"/>
              <w:jc w:val="left"/>
              <w:rPr>
                <w:sz w:val="20"/>
              </w:rPr>
            </w:pPr>
          </w:p>
          <w:p>
            <w:pPr>
              <w:pStyle w:val="TableParagraph"/>
              <w:spacing w:line="117" w:lineRule="exact" w:before="0"/>
              <w:ind w:left="458"/>
              <w:jc w:val="left"/>
              <w:rPr>
                <w:sz w:val="11"/>
              </w:rPr>
            </w:pPr>
            <w:r>
              <w:rPr>
                <w:position w:val="-1"/>
                <w:sz w:val="11"/>
              </w:rPr>
              <w:drawing>
                <wp:inline distT="0" distB="0" distL="0" distR="0">
                  <wp:extent cx="74663" cy="74675"/>
                  <wp:effectExtent l="0" t="0" r="0" b="0"/>
                  <wp:docPr id="1301" name="Image 1301"/>
                  <wp:cNvGraphicFramePr>
                    <a:graphicFrameLocks/>
                  </wp:cNvGraphicFramePr>
                  <a:graphic>
                    <a:graphicData uri="http://schemas.openxmlformats.org/drawingml/2006/picture">
                      <pic:pic>
                        <pic:nvPicPr>
                          <pic:cNvPr id="1301" name="Image 1301"/>
                          <pic:cNvPicPr/>
                        </pic:nvPicPr>
                        <pic:blipFill>
                          <a:blip r:embed="rId88" cstate="print"/>
                          <a:stretch>
                            <a:fillRect/>
                          </a:stretch>
                        </pic:blipFill>
                        <pic:spPr>
                          <a:xfrm>
                            <a:off x="0" y="0"/>
                            <a:ext cx="74663" cy="74675"/>
                          </a:xfrm>
                          <a:prstGeom prst="rect">
                            <a:avLst/>
                          </a:prstGeom>
                        </pic:spPr>
                      </pic:pic>
                    </a:graphicData>
                  </a:graphic>
                </wp:inline>
              </w:drawing>
            </w:r>
            <w:r>
              <w:rPr>
                <w:position w:val="-1"/>
                <w:sz w:val="11"/>
              </w:rPr>
            </w:r>
          </w:p>
        </w:tc>
        <w:tc>
          <w:tcPr>
            <w:tcW w:w="1181" w:type="dxa"/>
          </w:tcPr>
          <w:p>
            <w:pPr>
              <w:pStyle w:val="TableParagraph"/>
              <w:spacing w:line="90" w:lineRule="exact" w:before="0"/>
              <w:ind w:left="-20"/>
              <w:jc w:val="left"/>
              <w:rPr>
                <w:sz w:val="9"/>
              </w:rPr>
            </w:pPr>
            <w:r>
              <w:rPr>
                <w:position w:val="-1"/>
                <w:sz w:val="9"/>
              </w:rPr>
              <w:drawing>
                <wp:inline distT="0" distB="0" distL="0" distR="0">
                  <wp:extent cx="57914" cy="57150"/>
                  <wp:effectExtent l="0" t="0" r="0" b="0"/>
                  <wp:docPr id="1302" name="Image 1302"/>
                  <wp:cNvGraphicFramePr>
                    <a:graphicFrameLocks/>
                  </wp:cNvGraphicFramePr>
                  <a:graphic>
                    <a:graphicData uri="http://schemas.openxmlformats.org/drawingml/2006/picture">
                      <pic:pic>
                        <pic:nvPicPr>
                          <pic:cNvPr id="1302" name="Image 1302"/>
                          <pic:cNvPicPr/>
                        </pic:nvPicPr>
                        <pic:blipFill>
                          <a:blip r:embed="rId89" cstate="print"/>
                          <a:stretch>
                            <a:fillRect/>
                          </a:stretch>
                        </pic:blipFill>
                        <pic:spPr>
                          <a:xfrm>
                            <a:off x="0" y="0"/>
                            <a:ext cx="57914" cy="57150"/>
                          </a:xfrm>
                          <a:prstGeom prst="rect">
                            <a:avLst/>
                          </a:prstGeom>
                        </pic:spPr>
                      </pic:pic>
                    </a:graphicData>
                  </a:graphic>
                </wp:inline>
              </w:drawing>
            </w:r>
            <w:r>
              <w:rPr>
                <w:position w:val="-1"/>
                <w:sz w:val="9"/>
              </w:rPr>
            </w:r>
          </w:p>
        </w:tc>
        <w:tc>
          <w:tcPr>
            <w:tcW w:w="1181" w:type="dxa"/>
          </w:tcPr>
          <w:p>
            <w:pPr>
              <w:pStyle w:val="TableParagraph"/>
              <w:spacing w:before="0"/>
              <w:jc w:val="left"/>
              <w:rPr>
                <w:rFonts w:ascii="Times New Roman"/>
                <w:sz w:val="16"/>
              </w:rPr>
            </w:pPr>
          </w:p>
        </w:tc>
        <w:tc>
          <w:tcPr>
            <w:tcW w:w="1181" w:type="dxa"/>
          </w:tcPr>
          <w:p>
            <w:pPr>
              <w:pStyle w:val="TableParagraph"/>
              <w:spacing w:before="0"/>
              <w:jc w:val="left"/>
              <w:rPr>
                <w:rFonts w:ascii="Times New Roman"/>
                <w:sz w:val="16"/>
              </w:rPr>
            </w:pPr>
          </w:p>
        </w:tc>
      </w:tr>
      <w:tr>
        <w:trPr>
          <w:trHeight w:val="696" w:hRule="atLeast"/>
        </w:trPr>
        <w:tc>
          <w:tcPr>
            <w:tcW w:w="1181" w:type="dxa"/>
          </w:tcPr>
          <w:p>
            <w:pPr>
              <w:pStyle w:val="TableParagraph"/>
              <w:spacing w:before="0"/>
              <w:jc w:val="left"/>
              <w:rPr>
                <w:rFonts w:ascii="Times New Roman"/>
                <w:sz w:val="16"/>
              </w:rPr>
            </w:pPr>
          </w:p>
        </w:tc>
        <w:tc>
          <w:tcPr>
            <w:tcW w:w="1181" w:type="dxa"/>
          </w:tcPr>
          <w:p>
            <w:pPr>
              <w:pStyle w:val="TableParagraph"/>
              <w:spacing w:before="0"/>
              <w:jc w:val="left"/>
              <w:rPr>
                <w:rFonts w:ascii="Times New Roman"/>
                <w:sz w:val="16"/>
              </w:rPr>
            </w:pPr>
          </w:p>
        </w:tc>
        <w:tc>
          <w:tcPr>
            <w:tcW w:w="1181" w:type="dxa"/>
          </w:tcPr>
          <w:p>
            <w:pPr>
              <w:pStyle w:val="TableParagraph"/>
              <w:spacing w:before="0"/>
              <w:jc w:val="left"/>
              <w:rPr>
                <w:rFonts w:ascii="Times New Roman"/>
                <w:sz w:val="16"/>
              </w:rPr>
            </w:pPr>
          </w:p>
        </w:tc>
        <w:tc>
          <w:tcPr>
            <w:tcW w:w="1181" w:type="dxa"/>
          </w:tcPr>
          <w:p>
            <w:pPr>
              <w:pStyle w:val="TableParagraph"/>
              <w:spacing w:before="4"/>
              <w:jc w:val="left"/>
              <w:rPr>
                <w:sz w:val="10"/>
              </w:rPr>
            </w:pPr>
          </w:p>
          <w:p>
            <w:pPr>
              <w:pStyle w:val="TableParagraph"/>
              <w:spacing w:line="119" w:lineRule="exact" w:before="0"/>
              <w:ind w:left="245"/>
              <w:jc w:val="left"/>
              <w:rPr>
                <w:sz w:val="11"/>
              </w:rPr>
            </w:pPr>
            <w:r>
              <w:rPr>
                <w:position w:val="-1"/>
                <w:sz w:val="11"/>
              </w:rPr>
              <w:drawing>
                <wp:inline distT="0" distB="0" distL="0" distR="0">
                  <wp:extent cx="75710" cy="75723"/>
                  <wp:effectExtent l="0" t="0" r="0" b="0"/>
                  <wp:docPr id="1303" name="Image 1303"/>
                  <wp:cNvGraphicFramePr>
                    <a:graphicFrameLocks/>
                  </wp:cNvGraphicFramePr>
                  <a:graphic>
                    <a:graphicData uri="http://schemas.openxmlformats.org/drawingml/2006/picture">
                      <pic:pic>
                        <pic:nvPicPr>
                          <pic:cNvPr id="1303" name="Image 1303"/>
                          <pic:cNvPicPr/>
                        </pic:nvPicPr>
                        <pic:blipFill>
                          <a:blip r:embed="rId89" cstate="print"/>
                          <a:stretch>
                            <a:fillRect/>
                          </a:stretch>
                        </pic:blipFill>
                        <pic:spPr>
                          <a:xfrm>
                            <a:off x="0" y="0"/>
                            <a:ext cx="75710" cy="75723"/>
                          </a:xfrm>
                          <a:prstGeom prst="rect">
                            <a:avLst/>
                          </a:prstGeom>
                        </pic:spPr>
                      </pic:pic>
                    </a:graphicData>
                  </a:graphic>
                </wp:inline>
              </w:drawing>
            </w:r>
            <w:r>
              <w:rPr>
                <w:position w:val="-1"/>
                <w:sz w:val="11"/>
              </w:rPr>
            </w:r>
          </w:p>
          <w:p>
            <w:pPr>
              <w:pStyle w:val="TableParagraph"/>
              <w:spacing w:before="50"/>
              <w:jc w:val="left"/>
              <w:rPr>
                <w:sz w:val="20"/>
              </w:rPr>
            </w:pPr>
          </w:p>
          <w:p>
            <w:pPr>
              <w:pStyle w:val="TableParagraph"/>
              <w:spacing w:line="117" w:lineRule="exact" w:before="0"/>
              <w:ind w:left="1016" w:right="-15"/>
              <w:jc w:val="left"/>
              <w:rPr>
                <w:sz w:val="11"/>
              </w:rPr>
            </w:pPr>
            <w:r>
              <w:rPr>
                <w:position w:val="-1"/>
                <w:sz w:val="11"/>
              </w:rPr>
              <w:drawing>
                <wp:inline distT="0" distB="0" distL="0" distR="0">
                  <wp:extent cx="74663" cy="74675"/>
                  <wp:effectExtent l="0" t="0" r="0" b="0"/>
                  <wp:docPr id="1304" name="Image 1304"/>
                  <wp:cNvGraphicFramePr>
                    <a:graphicFrameLocks/>
                  </wp:cNvGraphicFramePr>
                  <a:graphic>
                    <a:graphicData uri="http://schemas.openxmlformats.org/drawingml/2006/picture">
                      <pic:pic>
                        <pic:nvPicPr>
                          <pic:cNvPr id="1304" name="Image 1304"/>
                          <pic:cNvPicPr/>
                        </pic:nvPicPr>
                        <pic:blipFill>
                          <a:blip r:embed="rId88" cstate="print"/>
                          <a:stretch>
                            <a:fillRect/>
                          </a:stretch>
                        </pic:blipFill>
                        <pic:spPr>
                          <a:xfrm>
                            <a:off x="0" y="0"/>
                            <a:ext cx="74663" cy="74675"/>
                          </a:xfrm>
                          <a:prstGeom prst="rect">
                            <a:avLst/>
                          </a:prstGeom>
                        </pic:spPr>
                      </pic:pic>
                    </a:graphicData>
                  </a:graphic>
                </wp:inline>
              </w:drawing>
            </w:r>
            <w:r>
              <w:rPr>
                <w:position w:val="-1"/>
                <w:sz w:val="11"/>
              </w:rPr>
            </w:r>
          </w:p>
        </w:tc>
        <w:tc>
          <w:tcPr>
            <w:tcW w:w="1181" w:type="dxa"/>
          </w:tcPr>
          <w:p>
            <w:pPr>
              <w:pStyle w:val="TableParagraph"/>
              <w:spacing w:before="0"/>
              <w:jc w:val="left"/>
              <w:rPr>
                <w:rFonts w:ascii="Times New Roman"/>
                <w:sz w:val="16"/>
              </w:rPr>
            </w:pPr>
          </w:p>
        </w:tc>
        <w:tc>
          <w:tcPr>
            <w:tcW w:w="1181" w:type="dxa"/>
          </w:tcPr>
          <w:p>
            <w:pPr>
              <w:pStyle w:val="TableParagraph"/>
              <w:spacing w:before="0"/>
              <w:jc w:val="left"/>
              <w:rPr>
                <w:rFonts w:ascii="Times New Roman"/>
                <w:sz w:val="16"/>
              </w:rPr>
            </w:pPr>
          </w:p>
        </w:tc>
      </w:tr>
      <w:tr>
        <w:trPr>
          <w:trHeight w:val="696" w:hRule="atLeast"/>
        </w:trPr>
        <w:tc>
          <w:tcPr>
            <w:tcW w:w="1181" w:type="dxa"/>
          </w:tcPr>
          <w:p>
            <w:pPr>
              <w:pStyle w:val="TableParagraph"/>
              <w:spacing w:before="0"/>
              <w:jc w:val="left"/>
              <w:rPr>
                <w:rFonts w:ascii="Times New Roman"/>
                <w:sz w:val="16"/>
              </w:rPr>
            </w:pPr>
          </w:p>
        </w:tc>
        <w:tc>
          <w:tcPr>
            <w:tcW w:w="1181" w:type="dxa"/>
          </w:tcPr>
          <w:p>
            <w:pPr>
              <w:pStyle w:val="TableParagraph"/>
              <w:spacing w:before="0"/>
              <w:jc w:val="left"/>
              <w:rPr>
                <w:rFonts w:ascii="Times New Roman"/>
                <w:sz w:val="16"/>
              </w:rPr>
            </w:pPr>
          </w:p>
        </w:tc>
        <w:tc>
          <w:tcPr>
            <w:tcW w:w="1181" w:type="dxa"/>
          </w:tcPr>
          <w:p>
            <w:pPr>
              <w:pStyle w:val="TableParagraph"/>
              <w:spacing w:before="0"/>
              <w:jc w:val="left"/>
              <w:rPr>
                <w:rFonts w:ascii="Times New Roman"/>
                <w:sz w:val="16"/>
              </w:rPr>
            </w:pPr>
          </w:p>
        </w:tc>
        <w:tc>
          <w:tcPr>
            <w:tcW w:w="1181" w:type="dxa"/>
          </w:tcPr>
          <w:p>
            <w:pPr>
              <w:pStyle w:val="TableParagraph"/>
              <w:spacing w:before="2" w:after="1"/>
              <w:jc w:val="left"/>
              <w:rPr>
                <w:sz w:val="14"/>
              </w:rPr>
            </w:pPr>
          </w:p>
          <w:p>
            <w:pPr>
              <w:pStyle w:val="TableParagraph"/>
              <w:tabs>
                <w:tab w:pos="1030" w:val="left" w:leader="none"/>
              </w:tabs>
              <w:spacing w:line="136" w:lineRule="exact" w:before="0"/>
              <w:ind w:left="173" w:right="-29"/>
              <w:jc w:val="left"/>
              <w:rPr>
                <w:sz w:val="11"/>
              </w:rPr>
            </w:pPr>
            <w:r>
              <w:rPr>
                <w:position w:val="0"/>
                <w:sz w:val="11"/>
              </w:rPr>
              <w:drawing>
                <wp:inline distT="0" distB="0" distL="0" distR="0">
                  <wp:extent cx="75710" cy="75723"/>
                  <wp:effectExtent l="0" t="0" r="0" b="0"/>
                  <wp:docPr id="1305" name="Image 1305"/>
                  <wp:cNvGraphicFramePr>
                    <a:graphicFrameLocks/>
                  </wp:cNvGraphicFramePr>
                  <a:graphic>
                    <a:graphicData uri="http://schemas.openxmlformats.org/drawingml/2006/picture">
                      <pic:pic>
                        <pic:nvPicPr>
                          <pic:cNvPr id="1305" name="Image 1305"/>
                          <pic:cNvPicPr/>
                        </pic:nvPicPr>
                        <pic:blipFill>
                          <a:blip r:embed="rId89" cstate="print"/>
                          <a:stretch>
                            <a:fillRect/>
                          </a:stretch>
                        </pic:blipFill>
                        <pic:spPr>
                          <a:xfrm>
                            <a:off x="0" y="0"/>
                            <a:ext cx="75710" cy="75723"/>
                          </a:xfrm>
                          <a:prstGeom prst="rect">
                            <a:avLst/>
                          </a:prstGeom>
                        </pic:spPr>
                      </pic:pic>
                    </a:graphicData>
                  </a:graphic>
                </wp:inline>
              </w:drawing>
            </w:r>
            <w:r>
              <w:rPr>
                <w:position w:val="0"/>
                <w:sz w:val="11"/>
              </w:rPr>
            </w:r>
            <w:r>
              <w:rPr>
                <w:position w:val="0"/>
                <w:sz w:val="11"/>
              </w:rPr>
              <w:tab/>
            </w:r>
            <w:r>
              <w:rPr>
                <w:position w:val="-2"/>
                <w:sz w:val="11"/>
              </w:rPr>
              <w:drawing>
                <wp:inline distT="0" distB="0" distL="0" distR="0">
                  <wp:extent cx="74663" cy="74675"/>
                  <wp:effectExtent l="0" t="0" r="0" b="0"/>
                  <wp:docPr id="1306" name="Image 1306"/>
                  <wp:cNvGraphicFramePr>
                    <a:graphicFrameLocks/>
                  </wp:cNvGraphicFramePr>
                  <a:graphic>
                    <a:graphicData uri="http://schemas.openxmlformats.org/drawingml/2006/picture">
                      <pic:pic>
                        <pic:nvPicPr>
                          <pic:cNvPr id="1306" name="Image 1306"/>
                          <pic:cNvPicPr/>
                        </pic:nvPicPr>
                        <pic:blipFill>
                          <a:blip r:embed="rId90" cstate="print"/>
                          <a:stretch>
                            <a:fillRect/>
                          </a:stretch>
                        </pic:blipFill>
                        <pic:spPr>
                          <a:xfrm>
                            <a:off x="0" y="0"/>
                            <a:ext cx="74663" cy="74675"/>
                          </a:xfrm>
                          <a:prstGeom prst="rect">
                            <a:avLst/>
                          </a:prstGeom>
                        </pic:spPr>
                      </pic:pic>
                    </a:graphicData>
                  </a:graphic>
                </wp:inline>
              </w:drawing>
            </w:r>
            <w:r>
              <w:rPr>
                <w:position w:val="-2"/>
                <w:sz w:val="11"/>
              </w:rPr>
            </w:r>
          </w:p>
          <w:p>
            <w:pPr>
              <w:pStyle w:val="TableParagraph"/>
              <w:spacing w:before="9"/>
              <w:jc w:val="left"/>
              <w:rPr>
                <w:sz w:val="9"/>
              </w:rPr>
            </w:pPr>
          </w:p>
          <w:p>
            <w:pPr>
              <w:pStyle w:val="TableParagraph"/>
              <w:spacing w:line="117" w:lineRule="exact" w:before="0"/>
              <w:ind w:left="265"/>
              <w:jc w:val="left"/>
              <w:rPr>
                <w:sz w:val="11"/>
              </w:rPr>
            </w:pPr>
            <w:r>
              <w:rPr>
                <w:position w:val="-1"/>
                <w:sz w:val="11"/>
              </w:rPr>
              <w:drawing>
                <wp:inline distT="0" distB="0" distL="0" distR="0">
                  <wp:extent cx="74663" cy="74675"/>
                  <wp:effectExtent l="0" t="0" r="0" b="0"/>
                  <wp:docPr id="1307" name="Image 1307"/>
                  <wp:cNvGraphicFramePr>
                    <a:graphicFrameLocks/>
                  </wp:cNvGraphicFramePr>
                  <a:graphic>
                    <a:graphicData uri="http://schemas.openxmlformats.org/drawingml/2006/picture">
                      <pic:pic>
                        <pic:nvPicPr>
                          <pic:cNvPr id="1307" name="Image 1307"/>
                          <pic:cNvPicPr/>
                        </pic:nvPicPr>
                        <pic:blipFill>
                          <a:blip r:embed="rId90" cstate="print"/>
                          <a:stretch>
                            <a:fillRect/>
                          </a:stretch>
                        </pic:blipFill>
                        <pic:spPr>
                          <a:xfrm>
                            <a:off x="0" y="0"/>
                            <a:ext cx="74663" cy="74675"/>
                          </a:xfrm>
                          <a:prstGeom prst="rect">
                            <a:avLst/>
                          </a:prstGeom>
                        </pic:spPr>
                      </pic:pic>
                    </a:graphicData>
                  </a:graphic>
                </wp:inline>
              </w:drawing>
            </w:r>
            <w:r>
              <w:rPr>
                <w:position w:val="-1"/>
                <w:sz w:val="11"/>
              </w:rPr>
            </w:r>
          </w:p>
          <w:p>
            <w:pPr>
              <w:pStyle w:val="TableParagraph"/>
              <w:spacing w:before="5"/>
              <w:jc w:val="left"/>
              <w:rPr>
                <w:sz w:val="4"/>
              </w:rPr>
            </w:pPr>
          </w:p>
          <w:p>
            <w:pPr>
              <w:pStyle w:val="TableParagraph"/>
              <w:spacing w:line="115" w:lineRule="exact" w:before="0"/>
              <w:ind w:left="57"/>
              <w:jc w:val="left"/>
              <w:rPr>
                <w:sz w:val="11"/>
              </w:rPr>
            </w:pPr>
            <w:r>
              <w:rPr>
                <w:position w:val="-1"/>
                <w:sz w:val="11"/>
              </w:rPr>
              <w:drawing>
                <wp:inline distT="0" distB="0" distL="0" distR="0">
                  <wp:extent cx="74696" cy="73151"/>
                  <wp:effectExtent l="0" t="0" r="0" b="0"/>
                  <wp:docPr id="1308" name="Image 1308"/>
                  <wp:cNvGraphicFramePr>
                    <a:graphicFrameLocks/>
                  </wp:cNvGraphicFramePr>
                  <a:graphic>
                    <a:graphicData uri="http://schemas.openxmlformats.org/drawingml/2006/picture">
                      <pic:pic>
                        <pic:nvPicPr>
                          <pic:cNvPr id="1308" name="Image 1308"/>
                          <pic:cNvPicPr/>
                        </pic:nvPicPr>
                        <pic:blipFill>
                          <a:blip r:embed="rId88" cstate="print"/>
                          <a:stretch>
                            <a:fillRect/>
                          </a:stretch>
                        </pic:blipFill>
                        <pic:spPr>
                          <a:xfrm>
                            <a:off x="0" y="0"/>
                            <a:ext cx="74696" cy="73151"/>
                          </a:xfrm>
                          <a:prstGeom prst="rect">
                            <a:avLst/>
                          </a:prstGeom>
                        </pic:spPr>
                      </pic:pic>
                    </a:graphicData>
                  </a:graphic>
                </wp:inline>
              </w:drawing>
            </w:r>
            <w:r>
              <w:rPr>
                <w:position w:val="-1"/>
                <w:sz w:val="11"/>
              </w:rPr>
            </w:r>
          </w:p>
        </w:tc>
        <w:tc>
          <w:tcPr>
            <w:tcW w:w="1181" w:type="dxa"/>
          </w:tcPr>
          <w:p>
            <w:pPr>
              <w:pStyle w:val="TableParagraph"/>
              <w:spacing w:before="0"/>
              <w:jc w:val="left"/>
              <w:rPr>
                <w:sz w:val="20"/>
              </w:rPr>
            </w:pPr>
          </w:p>
          <w:p>
            <w:pPr>
              <w:pStyle w:val="TableParagraph"/>
              <w:spacing w:before="33"/>
              <w:jc w:val="left"/>
              <w:rPr>
                <w:sz w:val="20"/>
              </w:rPr>
            </w:pPr>
          </w:p>
          <w:p>
            <w:pPr>
              <w:pStyle w:val="TableParagraph"/>
              <w:spacing w:line="119" w:lineRule="exact" w:before="0"/>
              <w:ind w:left="-8"/>
              <w:jc w:val="left"/>
              <w:rPr>
                <w:sz w:val="11"/>
              </w:rPr>
            </w:pPr>
            <w:r>
              <w:rPr>
                <w:position w:val="-1"/>
                <w:sz w:val="11"/>
              </w:rPr>
              <w:drawing>
                <wp:inline distT="0" distB="0" distL="0" distR="0">
                  <wp:extent cx="75710" cy="75723"/>
                  <wp:effectExtent l="0" t="0" r="0" b="0"/>
                  <wp:docPr id="1309" name="Image 1309"/>
                  <wp:cNvGraphicFramePr>
                    <a:graphicFrameLocks/>
                  </wp:cNvGraphicFramePr>
                  <a:graphic>
                    <a:graphicData uri="http://schemas.openxmlformats.org/drawingml/2006/picture">
                      <pic:pic>
                        <pic:nvPicPr>
                          <pic:cNvPr id="1309" name="Image 1309"/>
                          <pic:cNvPicPr/>
                        </pic:nvPicPr>
                        <pic:blipFill>
                          <a:blip r:embed="rId91" cstate="print"/>
                          <a:stretch>
                            <a:fillRect/>
                          </a:stretch>
                        </pic:blipFill>
                        <pic:spPr>
                          <a:xfrm>
                            <a:off x="0" y="0"/>
                            <a:ext cx="75710" cy="75723"/>
                          </a:xfrm>
                          <a:prstGeom prst="rect">
                            <a:avLst/>
                          </a:prstGeom>
                        </pic:spPr>
                      </pic:pic>
                    </a:graphicData>
                  </a:graphic>
                </wp:inline>
              </w:drawing>
            </w:r>
            <w:r>
              <w:rPr>
                <w:position w:val="-1"/>
                <w:sz w:val="11"/>
              </w:rPr>
            </w:r>
          </w:p>
        </w:tc>
        <w:tc>
          <w:tcPr>
            <w:tcW w:w="1181" w:type="dxa"/>
          </w:tcPr>
          <w:p>
            <w:pPr>
              <w:pStyle w:val="TableParagraph"/>
              <w:spacing w:before="211"/>
              <w:jc w:val="left"/>
              <w:rPr>
                <w:sz w:val="20"/>
              </w:rPr>
            </w:pPr>
          </w:p>
          <w:p>
            <w:pPr>
              <w:pStyle w:val="TableParagraph"/>
              <w:spacing w:line="119" w:lineRule="exact" w:before="0"/>
              <w:ind w:left="446"/>
              <w:jc w:val="left"/>
              <w:rPr>
                <w:sz w:val="11"/>
              </w:rPr>
            </w:pPr>
            <w:r>
              <w:rPr>
                <w:position w:val="-1"/>
                <w:sz w:val="11"/>
              </w:rPr>
              <w:drawing>
                <wp:inline distT="0" distB="0" distL="0" distR="0">
                  <wp:extent cx="75710" cy="75723"/>
                  <wp:effectExtent l="0" t="0" r="0" b="0"/>
                  <wp:docPr id="1310" name="Image 1310"/>
                  <wp:cNvGraphicFramePr>
                    <a:graphicFrameLocks/>
                  </wp:cNvGraphicFramePr>
                  <a:graphic>
                    <a:graphicData uri="http://schemas.openxmlformats.org/drawingml/2006/picture">
                      <pic:pic>
                        <pic:nvPicPr>
                          <pic:cNvPr id="1310" name="Image 1310"/>
                          <pic:cNvPicPr/>
                        </pic:nvPicPr>
                        <pic:blipFill>
                          <a:blip r:embed="rId92" cstate="print"/>
                          <a:stretch>
                            <a:fillRect/>
                          </a:stretch>
                        </pic:blipFill>
                        <pic:spPr>
                          <a:xfrm>
                            <a:off x="0" y="0"/>
                            <a:ext cx="75710" cy="75723"/>
                          </a:xfrm>
                          <a:prstGeom prst="rect">
                            <a:avLst/>
                          </a:prstGeom>
                        </pic:spPr>
                      </pic:pic>
                    </a:graphicData>
                  </a:graphic>
                </wp:inline>
              </w:drawing>
            </w:r>
            <w:r>
              <w:rPr>
                <w:position w:val="-1"/>
                <w:sz w:val="11"/>
              </w:rPr>
            </w:r>
          </w:p>
        </w:tc>
      </w:tr>
      <w:tr>
        <w:trPr>
          <w:trHeight w:val="696" w:hRule="atLeast"/>
        </w:trPr>
        <w:tc>
          <w:tcPr>
            <w:tcW w:w="1181" w:type="dxa"/>
          </w:tcPr>
          <w:p>
            <w:pPr>
              <w:pStyle w:val="TableParagraph"/>
              <w:spacing w:before="0"/>
              <w:jc w:val="left"/>
              <w:rPr>
                <w:rFonts w:ascii="Times New Roman"/>
                <w:sz w:val="16"/>
              </w:rPr>
            </w:pPr>
          </w:p>
        </w:tc>
        <w:tc>
          <w:tcPr>
            <w:tcW w:w="1181" w:type="dxa"/>
          </w:tcPr>
          <w:p>
            <w:pPr>
              <w:pStyle w:val="TableParagraph"/>
              <w:spacing w:before="0"/>
              <w:jc w:val="left"/>
              <w:rPr>
                <w:rFonts w:ascii="Times New Roman"/>
                <w:sz w:val="16"/>
              </w:rPr>
            </w:pPr>
          </w:p>
        </w:tc>
        <w:tc>
          <w:tcPr>
            <w:tcW w:w="1181" w:type="dxa"/>
          </w:tcPr>
          <w:p>
            <w:pPr>
              <w:pStyle w:val="TableParagraph"/>
              <w:spacing w:before="0"/>
              <w:jc w:val="left"/>
              <w:rPr>
                <w:rFonts w:ascii="Times New Roman"/>
                <w:sz w:val="16"/>
              </w:rPr>
            </w:pPr>
          </w:p>
        </w:tc>
        <w:tc>
          <w:tcPr>
            <w:tcW w:w="1181" w:type="dxa"/>
          </w:tcPr>
          <w:p>
            <w:pPr>
              <w:pStyle w:val="TableParagraph"/>
              <w:spacing w:line="117" w:lineRule="exact" w:before="0"/>
              <w:ind w:left="523"/>
              <w:jc w:val="left"/>
              <w:rPr>
                <w:sz w:val="11"/>
              </w:rPr>
            </w:pPr>
            <w:r>
              <w:rPr>
                <w:position w:val="-1"/>
                <w:sz w:val="11"/>
              </w:rPr>
              <w:drawing>
                <wp:inline distT="0" distB="0" distL="0" distR="0">
                  <wp:extent cx="75661" cy="74675"/>
                  <wp:effectExtent l="0" t="0" r="0" b="0"/>
                  <wp:docPr id="1311" name="Image 1311"/>
                  <wp:cNvGraphicFramePr>
                    <a:graphicFrameLocks/>
                  </wp:cNvGraphicFramePr>
                  <a:graphic>
                    <a:graphicData uri="http://schemas.openxmlformats.org/drawingml/2006/picture">
                      <pic:pic>
                        <pic:nvPicPr>
                          <pic:cNvPr id="1311" name="Image 1311"/>
                          <pic:cNvPicPr/>
                        </pic:nvPicPr>
                        <pic:blipFill>
                          <a:blip r:embed="rId88" cstate="print"/>
                          <a:stretch>
                            <a:fillRect/>
                          </a:stretch>
                        </pic:blipFill>
                        <pic:spPr>
                          <a:xfrm>
                            <a:off x="0" y="0"/>
                            <a:ext cx="75661" cy="74675"/>
                          </a:xfrm>
                          <a:prstGeom prst="rect">
                            <a:avLst/>
                          </a:prstGeom>
                        </pic:spPr>
                      </pic:pic>
                    </a:graphicData>
                  </a:graphic>
                </wp:inline>
              </w:drawing>
            </w:r>
            <w:r>
              <w:rPr>
                <w:position w:val="-1"/>
                <w:sz w:val="11"/>
              </w:rPr>
            </w:r>
          </w:p>
        </w:tc>
        <w:tc>
          <w:tcPr>
            <w:tcW w:w="1181" w:type="dxa"/>
          </w:tcPr>
          <w:p>
            <w:pPr>
              <w:pStyle w:val="TableParagraph"/>
              <w:spacing w:before="0"/>
              <w:jc w:val="left"/>
              <w:rPr>
                <w:sz w:val="20"/>
              </w:rPr>
            </w:pPr>
          </w:p>
          <w:p>
            <w:pPr>
              <w:pStyle w:val="TableParagraph"/>
              <w:spacing w:before="6" w:after="1"/>
              <w:jc w:val="left"/>
              <w:rPr>
                <w:sz w:val="20"/>
              </w:rPr>
            </w:pPr>
          </w:p>
          <w:p>
            <w:pPr>
              <w:pStyle w:val="TableParagraph"/>
              <w:spacing w:line="117" w:lineRule="exact" w:before="0"/>
              <w:ind w:left="37"/>
              <w:jc w:val="left"/>
              <w:rPr>
                <w:sz w:val="11"/>
              </w:rPr>
            </w:pPr>
            <w:r>
              <w:rPr>
                <w:position w:val="-1"/>
                <w:sz w:val="11"/>
              </w:rPr>
              <w:drawing>
                <wp:inline distT="0" distB="0" distL="0" distR="0">
                  <wp:extent cx="74663" cy="74675"/>
                  <wp:effectExtent l="0" t="0" r="0" b="0"/>
                  <wp:docPr id="1312" name="Image 1312"/>
                  <wp:cNvGraphicFramePr>
                    <a:graphicFrameLocks/>
                  </wp:cNvGraphicFramePr>
                  <a:graphic>
                    <a:graphicData uri="http://schemas.openxmlformats.org/drawingml/2006/picture">
                      <pic:pic>
                        <pic:nvPicPr>
                          <pic:cNvPr id="1312" name="Image 1312"/>
                          <pic:cNvPicPr/>
                        </pic:nvPicPr>
                        <pic:blipFill>
                          <a:blip r:embed="rId90" cstate="print"/>
                          <a:stretch>
                            <a:fillRect/>
                          </a:stretch>
                        </pic:blipFill>
                        <pic:spPr>
                          <a:xfrm>
                            <a:off x="0" y="0"/>
                            <a:ext cx="74663" cy="74675"/>
                          </a:xfrm>
                          <a:prstGeom prst="rect">
                            <a:avLst/>
                          </a:prstGeom>
                        </pic:spPr>
                      </pic:pic>
                    </a:graphicData>
                  </a:graphic>
                </wp:inline>
              </w:drawing>
            </w:r>
            <w:r>
              <w:rPr>
                <w:position w:val="-1"/>
                <w:sz w:val="11"/>
              </w:rPr>
            </w:r>
          </w:p>
        </w:tc>
        <w:tc>
          <w:tcPr>
            <w:tcW w:w="1181" w:type="dxa"/>
          </w:tcPr>
          <w:p>
            <w:pPr>
              <w:pStyle w:val="TableParagraph"/>
              <w:spacing w:before="0"/>
              <w:jc w:val="left"/>
              <w:rPr>
                <w:rFonts w:ascii="Times New Roman"/>
                <w:sz w:val="16"/>
              </w:rPr>
            </w:pPr>
          </w:p>
        </w:tc>
      </w:tr>
    </w:tbl>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79"/>
        <w:rPr>
          <w:rFonts w:ascii="Arial"/>
          <w:sz w:val="20"/>
        </w:rPr>
      </w:pPr>
      <w:r>
        <w:rPr/>
        <mc:AlternateContent>
          <mc:Choice Requires="wps">
            <w:drawing>
              <wp:anchor distT="0" distB="0" distL="0" distR="0" allowOverlap="1" layoutInCell="1" locked="0" behindDoc="1" simplePos="0" relativeHeight="487614976">
                <wp:simplePos x="0" y="0"/>
                <wp:positionH relativeFrom="page">
                  <wp:posOffset>762000</wp:posOffset>
                </wp:positionH>
                <wp:positionV relativeFrom="paragraph">
                  <wp:posOffset>287736</wp:posOffset>
                </wp:positionV>
                <wp:extent cx="4877435" cy="2957830"/>
                <wp:effectExtent l="0" t="0" r="0" b="0"/>
                <wp:wrapTopAndBottom/>
                <wp:docPr id="1313" name="Group 1313"/>
                <wp:cNvGraphicFramePr>
                  <a:graphicFrameLocks/>
                </wp:cNvGraphicFramePr>
                <a:graphic>
                  <a:graphicData uri="http://schemas.microsoft.com/office/word/2010/wordprocessingGroup">
                    <wpg:wgp>
                      <wpg:cNvPr id="1313" name="Group 1313"/>
                      <wpg:cNvGrpSpPr/>
                      <wpg:grpSpPr>
                        <a:xfrm>
                          <a:off x="0" y="0"/>
                          <a:ext cx="4877435" cy="2957830"/>
                          <a:chExt cx="4877435" cy="2957830"/>
                        </a:xfrm>
                      </wpg:grpSpPr>
                      <wps:wsp>
                        <wps:cNvPr id="1314" name="Graphic 1314"/>
                        <wps:cNvSpPr/>
                        <wps:spPr>
                          <a:xfrm>
                            <a:off x="198" y="258093"/>
                            <a:ext cx="4876800" cy="2699385"/>
                          </a:xfrm>
                          <a:custGeom>
                            <a:avLst/>
                            <a:gdLst/>
                            <a:ahLst/>
                            <a:cxnLst/>
                            <a:rect l="l" t="t" r="r" b="b"/>
                            <a:pathLst>
                              <a:path w="4876800" h="2699385">
                                <a:moveTo>
                                  <a:pt x="4876800" y="0"/>
                                </a:moveTo>
                                <a:lnTo>
                                  <a:pt x="0" y="0"/>
                                </a:lnTo>
                                <a:lnTo>
                                  <a:pt x="0" y="2624455"/>
                                </a:lnTo>
                                <a:lnTo>
                                  <a:pt x="6159" y="2653553"/>
                                </a:lnTo>
                                <a:lnTo>
                                  <a:pt x="22693" y="2677313"/>
                                </a:lnTo>
                                <a:lnTo>
                                  <a:pt x="46682" y="2693333"/>
                                </a:lnTo>
                                <a:lnTo>
                                  <a:pt x="75209" y="2699207"/>
                                </a:lnTo>
                                <a:lnTo>
                                  <a:pt x="4797920" y="2699207"/>
                                </a:lnTo>
                                <a:lnTo>
                                  <a:pt x="4827020" y="2693952"/>
                                </a:lnTo>
                                <a:lnTo>
                                  <a:pt x="4852271" y="2678966"/>
                                </a:lnTo>
                                <a:lnTo>
                                  <a:pt x="4870066" y="2655412"/>
                                </a:lnTo>
                                <a:lnTo>
                                  <a:pt x="4876800" y="2624455"/>
                                </a:lnTo>
                                <a:lnTo>
                                  <a:pt x="4876800" y="0"/>
                                </a:lnTo>
                                <a:close/>
                              </a:path>
                            </a:pathLst>
                          </a:custGeom>
                          <a:solidFill>
                            <a:srgbClr val="DFEAF7"/>
                          </a:solidFill>
                        </wps:spPr>
                        <wps:bodyPr wrap="square" lIns="0" tIns="0" rIns="0" bIns="0" rtlCol="0">
                          <a:prstTxWarp prst="textNoShape">
                            <a:avLst/>
                          </a:prstTxWarp>
                          <a:noAutofit/>
                        </wps:bodyPr>
                      </wps:wsp>
                      <wps:wsp>
                        <wps:cNvPr id="1315" name="Graphic 1315"/>
                        <wps:cNvSpPr/>
                        <wps:spPr>
                          <a:xfrm>
                            <a:off x="642446" y="513039"/>
                            <a:ext cx="1270" cy="1821180"/>
                          </a:xfrm>
                          <a:custGeom>
                            <a:avLst/>
                            <a:gdLst/>
                            <a:ahLst/>
                            <a:cxnLst/>
                            <a:rect l="l" t="t" r="r" b="b"/>
                            <a:pathLst>
                              <a:path w="0" h="1821180">
                                <a:moveTo>
                                  <a:pt x="0" y="1820684"/>
                                </a:moveTo>
                                <a:lnTo>
                                  <a:pt x="0" y="0"/>
                                </a:lnTo>
                              </a:path>
                            </a:pathLst>
                          </a:custGeom>
                          <a:ln w="6350">
                            <a:solidFill>
                              <a:srgbClr val="FFFFFF"/>
                            </a:solidFill>
                            <a:prstDash val="solid"/>
                          </a:ln>
                        </wps:spPr>
                        <wps:bodyPr wrap="square" lIns="0" tIns="0" rIns="0" bIns="0" rtlCol="0">
                          <a:prstTxWarp prst="textNoShape">
                            <a:avLst/>
                          </a:prstTxWarp>
                          <a:noAutofit/>
                        </wps:bodyPr>
                      </wps:wsp>
                      <wps:wsp>
                        <wps:cNvPr id="1316" name="Graphic 1316"/>
                        <wps:cNvSpPr/>
                        <wps:spPr>
                          <a:xfrm>
                            <a:off x="1064042" y="513039"/>
                            <a:ext cx="1264920" cy="1821180"/>
                          </a:xfrm>
                          <a:custGeom>
                            <a:avLst/>
                            <a:gdLst/>
                            <a:ahLst/>
                            <a:cxnLst/>
                            <a:rect l="l" t="t" r="r" b="b"/>
                            <a:pathLst>
                              <a:path w="1264920" h="1821180">
                                <a:moveTo>
                                  <a:pt x="0" y="1801789"/>
                                </a:moveTo>
                                <a:lnTo>
                                  <a:pt x="0" y="1820684"/>
                                </a:lnTo>
                              </a:path>
                              <a:path w="1264920" h="1821180">
                                <a:moveTo>
                                  <a:pt x="0" y="1710756"/>
                                </a:moveTo>
                                <a:lnTo>
                                  <a:pt x="0" y="1748538"/>
                                </a:lnTo>
                              </a:path>
                              <a:path w="1264920" h="1821180">
                                <a:moveTo>
                                  <a:pt x="0" y="1619722"/>
                                </a:moveTo>
                                <a:lnTo>
                                  <a:pt x="0" y="1657504"/>
                                </a:lnTo>
                              </a:path>
                              <a:path w="1264920" h="1821180">
                                <a:moveTo>
                                  <a:pt x="0" y="1528688"/>
                                </a:moveTo>
                                <a:lnTo>
                                  <a:pt x="0" y="1566471"/>
                                </a:lnTo>
                              </a:path>
                              <a:path w="1264920" h="1821180">
                                <a:moveTo>
                                  <a:pt x="0" y="1437655"/>
                                </a:moveTo>
                                <a:lnTo>
                                  <a:pt x="0" y="1475437"/>
                                </a:lnTo>
                              </a:path>
                              <a:path w="1264920" h="1821180">
                                <a:moveTo>
                                  <a:pt x="0" y="1346621"/>
                                </a:moveTo>
                                <a:lnTo>
                                  <a:pt x="0" y="1384404"/>
                                </a:lnTo>
                              </a:path>
                              <a:path w="1264920" h="1821180">
                                <a:moveTo>
                                  <a:pt x="0" y="1255588"/>
                                </a:moveTo>
                                <a:lnTo>
                                  <a:pt x="0" y="1293370"/>
                                </a:lnTo>
                              </a:path>
                              <a:path w="1264920" h="1821180">
                                <a:moveTo>
                                  <a:pt x="0" y="1164554"/>
                                </a:moveTo>
                                <a:lnTo>
                                  <a:pt x="0" y="1202336"/>
                                </a:lnTo>
                              </a:path>
                              <a:path w="1264920" h="1821180">
                                <a:moveTo>
                                  <a:pt x="0" y="1073520"/>
                                </a:moveTo>
                                <a:lnTo>
                                  <a:pt x="0" y="1111303"/>
                                </a:lnTo>
                              </a:path>
                              <a:path w="1264920" h="1821180">
                                <a:moveTo>
                                  <a:pt x="0" y="982487"/>
                                </a:moveTo>
                                <a:lnTo>
                                  <a:pt x="0" y="1020269"/>
                                </a:lnTo>
                              </a:path>
                              <a:path w="1264920" h="1821180">
                                <a:moveTo>
                                  <a:pt x="0" y="891440"/>
                                </a:moveTo>
                                <a:lnTo>
                                  <a:pt x="0" y="929236"/>
                                </a:lnTo>
                              </a:path>
                              <a:path w="1264920" h="1821180">
                                <a:moveTo>
                                  <a:pt x="0" y="800407"/>
                                </a:moveTo>
                                <a:lnTo>
                                  <a:pt x="0" y="838189"/>
                                </a:lnTo>
                              </a:path>
                              <a:path w="1264920" h="1821180">
                                <a:moveTo>
                                  <a:pt x="0" y="709373"/>
                                </a:moveTo>
                                <a:lnTo>
                                  <a:pt x="0" y="747156"/>
                                </a:lnTo>
                              </a:path>
                              <a:path w="1264920" h="1821180">
                                <a:moveTo>
                                  <a:pt x="0" y="618340"/>
                                </a:moveTo>
                                <a:lnTo>
                                  <a:pt x="0" y="656122"/>
                                </a:lnTo>
                              </a:path>
                              <a:path w="1264920" h="1821180">
                                <a:moveTo>
                                  <a:pt x="0" y="436272"/>
                                </a:moveTo>
                                <a:lnTo>
                                  <a:pt x="0" y="565089"/>
                                </a:lnTo>
                              </a:path>
                              <a:path w="1264920" h="1821180">
                                <a:moveTo>
                                  <a:pt x="0" y="345239"/>
                                </a:moveTo>
                                <a:lnTo>
                                  <a:pt x="0" y="383021"/>
                                </a:lnTo>
                              </a:path>
                              <a:path w="1264920" h="1821180">
                                <a:moveTo>
                                  <a:pt x="0" y="0"/>
                                </a:moveTo>
                                <a:lnTo>
                                  <a:pt x="0" y="291988"/>
                                </a:lnTo>
                              </a:path>
                              <a:path w="1264920" h="1821180">
                                <a:moveTo>
                                  <a:pt x="421596" y="1801789"/>
                                </a:moveTo>
                                <a:lnTo>
                                  <a:pt x="421596" y="1820684"/>
                                </a:lnTo>
                              </a:path>
                              <a:path w="1264920" h="1821180">
                                <a:moveTo>
                                  <a:pt x="421596" y="1710756"/>
                                </a:moveTo>
                                <a:lnTo>
                                  <a:pt x="421596" y="1748538"/>
                                </a:lnTo>
                              </a:path>
                              <a:path w="1264920" h="1821180">
                                <a:moveTo>
                                  <a:pt x="421596" y="1619722"/>
                                </a:moveTo>
                                <a:lnTo>
                                  <a:pt x="421596" y="1657504"/>
                                </a:lnTo>
                              </a:path>
                              <a:path w="1264920" h="1821180">
                                <a:moveTo>
                                  <a:pt x="421596" y="1528688"/>
                                </a:moveTo>
                                <a:lnTo>
                                  <a:pt x="421596" y="1566471"/>
                                </a:lnTo>
                              </a:path>
                              <a:path w="1264920" h="1821180">
                                <a:moveTo>
                                  <a:pt x="421596" y="1437655"/>
                                </a:moveTo>
                                <a:lnTo>
                                  <a:pt x="421596" y="1475437"/>
                                </a:lnTo>
                              </a:path>
                              <a:path w="1264920" h="1821180">
                                <a:moveTo>
                                  <a:pt x="421596" y="1346621"/>
                                </a:moveTo>
                                <a:lnTo>
                                  <a:pt x="421596" y="1384404"/>
                                </a:lnTo>
                              </a:path>
                              <a:path w="1264920" h="1821180">
                                <a:moveTo>
                                  <a:pt x="421596" y="1255588"/>
                                </a:moveTo>
                                <a:lnTo>
                                  <a:pt x="421596" y="1293370"/>
                                </a:lnTo>
                              </a:path>
                              <a:path w="1264920" h="1821180">
                                <a:moveTo>
                                  <a:pt x="421596" y="1164554"/>
                                </a:moveTo>
                                <a:lnTo>
                                  <a:pt x="421596" y="1202336"/>
                                </a:lnTo>
                              </a:path>
                              <a:path w="1264920" h="1821180">
                                <a:moveTo>
                                  <a:pt x="421596" y="1073520"/>
                                </a:moveTo>
                                <a:lnTo>
                                  <a:pt x="421596" y="1111303"/>
                                </a:lnTo>
                              </a:path>
                              <a:path w="1264920" h="1821180">
                                <a:moveTo>
                                  <a:pt x="421596" y="982487"/>
                                </a:moveTo>
                                <a:lnTo>
                                  <a:pt x="421596" y="1020269"/>
                                </a:lnTo>
                              </a:path>
                              <a:path w="1264920" h="1821180">
                                <a:moveTo>
                                  <a:pt x="421596" y="891440"/>
                                </a:moveTo>
                                <a:lnTo>
                                  <a:pt x="421596" y="929236"/>
                                </a:lnTo>
                              </a:path>
                              <a:path w="1264920" h="1821180">
                                <a:moveTo>
                                  <a:pt x="421596" y="800407"/>
                                </a:moveTo>
                                <a:lnTo>
                                  <a:pt x="421596" y="838189"/>
                                </a:lnTo>
                              </a:path>
                              <a:path w="1264920" h="1821180">
                                <a:moveTo>
                                  <a:pt x="421596" y="709373"/>
                                </a:moveTo>
                                <a:lnTo>
                                  <a:pt x="421596" y="747156"/>
                                </a:lnTo>
                              </a:path>
                              <a:path w="1264920" h="1821180">
                                <a:moveTo>
                                  <a:pt x="421596" y="618340"/>
                                </a:moveTo>
                                <a:lnTo>
                                  <a:pt x="421596" y="656122"/>
                                </a:lnTo>
                              </a:path>
                              <a:path w="1264920" h="1821180">
                                <a:moveTo>
                                  <a:pt x="421596" y="0"/>
                                </a:moveTo>
                                <a:lnTo>
                                  <a:pt x="421596" y="565089"/>
                                </a:lnTo>
                              </a:path>
                              <a:path w="1264920" h="1821180">
                                <a:moveTo>
                                  <a:pt x="843193" y="1801789"/>
                                </a:moveTo>
                                <a:lnTo>
                                  <a:pt x="843193" y="1820684"/>
                                </a:lnTo>
                              </a:path>
                              <a:path w="1264920" h="1821180">
                                <a:moveTo>
                                  <a:pt x="843193" y="1710756"/>
                                </a:moveTo>
                                <a:lnTo>
                                  <a:pt x="843193" y="1748538"/>
                                </a:lnTo>
                              </a:path>
                              <a:path w="1264920" h="1821180">
                                <a:moveTo>
                                  <a:pt x="843193" y="1619722"/>
                                </a:moveTo>
                                <a:lnTo>
                                  <a:pt x="843193" y="1657504"/>
                                </a:lnTo>
                              </a:path>
                              <a:path w="1264920" h="1821180">
                                <a:moveTo>
                                  <a:pt x="843193" y="1528688"/>
                                </a:moveTo>
                                <a:lnTo>
                                  <a:pt x="843193" y="1566471"/>
                                </a:lnTo>
                              </a:path>
                              <a:path w="1264920" h="1821180">
                                <a:moveTo>
                                  <a:pt x="843193" y="1437655"/>
                                </a:moveTo>
                                <a:lnTo>
                                  <a:pt x="843193" y="1475437"/>
                                </a:lnTo>
                              </a:path>
                              <a:path w="1264920" h="1821180">
                                <a:moveTo>
                                  <a:pt x="843193" y="1346621"/>
                                </a:moveTo>
                                <a:lnTo>
                                  <a:pt x="843193" y="1384404"/>
                                </a:lnTo>
                              </a:path>
                              <a:path w="1264920" h="1821180">
                                <a:moveTo>
                                  <a:pt x="843193" y="0"/>
                                </a:moveTo>
                                <a:lnTo>
                                  <a:pt x="843193" y="1293370"/>
                                </a:lnTo>
                              </a:path>
                              <a:path w="1264920" h="1821180">
                                <a:moveTo>
                                  <a:pt x="1264790" y="1801789"/>
                                </a:moveTo>
                                <a:lnTo>
                                  <a:pt x="1264790" y="1820684"/>
                                </a:lnTo>
                              </a:path>
                              <a:path w="1264920" h="1821180">
                                <a:moveTo>
                                  <a:pt x="1264790" y="0"/>
                                </a:moveTo>
                                <a:lnTo>
                                  <a:pt x="1264790" y="1748538"/>
                                </a:lnTo>
                              </a:path>
                            </a:pathLst>
                          </a:custGeom>
                          <a:ln w="6350">
                            <a:solidFill>
                              <a:srgbClr val="FFFFFF"/>
                            </a:solidFill>
                            <a:prstDash val="solid"/>
                          </a:ln>
                        </wps:spPr>
                        <wps:bodyPr wrap="square" lIns="0" tIns="0" rIns="0" bIns="0" rtlCol="0">
                          <a:prstTxWarp prst="textNoShape">
                            <a:avLst/>
                          </a:prstTxWarp>
                          <a:noAutofit/>
                        </wps:bodyPr>
                      </wps:wsp>
                      <wps:wsp>
                        <wps:cNvPr id="1317" name="Graphic 1317"/>
                        <wps:cNvSpPr/>
                        <wps:spPr>
                          <a:xfrm>
                            <a:off x="642454" y="531926"/>
                            <a:ext cx="1762760" cy="1783080"/>
                          </a:xfrm>
                          <a:custGeom>
                            <a:avLst/>
                            <a:gdLst/>
                            <a:ahLst/>
                            <a:cxnLst/>
                            <a:rect l="l" t="t" r="r" b="b"/>
                            <a:pathLst>
                              <a:path w="1762760" h="1783080">
                                <a:moveTo>
                                  <a:pt x="219227" y="0"/>
                                </a:moveTo>
                                <a:lnTo>
                                  <a:pt x="0" y="0"/>
                                </a:lnTo>
                                <a:lnTo>
                                  <a:pt x="0" y="53251"/>
                                </a:lnTo>
                                <a:lnTo>
                                  <a:pt x="219227" y="53251"/>
                                </a:lnTo>
                                <a:lnTo>
                                  <a:pt x="219227" y="0"/>
                                </a:lnTo>
                                <a:close/>
                              </a:path>
                              <a:path w="1762760" h="1783080">
                                <a:moveTo>
                                  <a:pt x="252958" y="91033"/>
                                </a:moveTo>
                                <a:lnTo>
                                  <a:pt x="0" y="91033"/>
                                </a:lnTo>
                                <a:lnTo>
                                  <a:pt x="0" y="144284"/>
                                </a:lnTo>
                                <a:lnTo>
                                  <a:pt x="252958" y="144284"/>
                                </a:lnTo>
                                <a:lnTo>
                                  <a:pt x="252958" y="91033"/>
                                </a:lnTo>
                                <a:close/>
                              </a:path>
                              <a:path w="1762760" h="1783080">
                                <a:moveTo>
                                  <a:pt x="371005" y="182067"/>
                                </a:moveTo>
                                <a:lnTo>
                                  <a:pt x="0" y="182067"/>
                                </a:lnTo>
                                <a:lnTo>
                                  <a:pt x="0" y="235318"/>
                                </a:lnTo>
                                <a:lnTo>
                                  <a:pt x="371005" y="235318"/>
                                </a:lnTo>
                                <a:lnTo>
                                  <a:pt x="371005" y="182067"/>
                                </a:lnTo>
                                <a:close/>
                              </a:path>
                              <a:path w="1762760" h="1783080">
                                <a:moveTo>
                                  <a:pt x="607098" y="364134"/>
                                </a:moveTo>
                                <a:lnTo>
                                  <a:pt x="0" y="364134"/>
                                </a:lnTo>
                                <a:lnTo>
                                  <a:pt x="0" y="417385"/>
                                </a:lnTo>
                                <a:lnTo>
                                  <a:pt x="607098" y="417385"/>
                                </a:lnTo>
                                <a:lnTo>
                                  <a:pt x="607098" y="364134"/>
                                </a:lnTo>
                                <a:close/>
                              </a:path>
                              <a:path w="1762760" h="1783080">
                                <a:moveTo>
                                  <a:pt x="607098" y="273100"/>
                                </a:moveTo>
                                <a:lnTo>
                                  <a:pt x="0" y="273100"/>
                                </a:lnTo>
                                <a:lnTo>
                                  <a:pt x="0" y="326351"/>
                                </a:lnTo>
                                <a:lnTo>
                                  <a:pt x="607098" y="326351"/>
                                </a:lnTo>
                                <a:lnTo>
                                  <a:pt x="607098" y="273100"/>
                                </a:lnTo>
                                <a:close/>
                              </a:path>
                              <a:path w="1762760" h="1783080">
                                <a:moveTo>
                                  <a:pt x="1028700" y="546201"/>
                                </a:moveTo>
                                <a:lnTo>
                                  <a:pt x="0" y="546201"/>
                                </a:lnTo>
                                <a:lnTo>
                                  <a:pt x="0" y="599452"/>
                                </a:lnTo>
                                <a:lnTo>
                                  <a:pt x="1028700" y="599452"/>
                                </a:lnTo>
                                <a:lnTo>
                                  <a:pt x="1028700" y="546201"/>
                                </a:lnTo>
                                <a:close/>
                              </a:path>
                              <a:path w="1762760" h="1783080">
                                <a:moveTo>
                                  <a:pt x="1045565" y="637235"/>
                                </a:moveTo>
                                <a:lnTo>
                                  <a:pt x="0" y="637235"/>
                                </a:lnTo>
                                <a:lnTo>
                                  <a:pt x="0" y="690486"/>
                                </a:lnTo>
                                <a:lnTo>
                                  <a:pt x="1045565" y="690486"/>
                                </a:lnTo>
                                <a:lnTo>
                                  <a:pt x="1045565" y="637235"/>
                                </a:lnTo>
                                <a:close/>
                              </a:path>
                              <a:path w="1762760" h="1783080">
                                <a:moveTo>
                                  <a:pt x="1053985" y="728268"/>
                                </a:moveTo>
                                <a:lnTo>
                                  <a:pt x="0" y="728268"/>
                                </a:lnTo>
                                <a:lnTo>
                                  <a:pt x="0" y="781519"/>
                                </a:lnTo>
                                <a:lnTo>
                                  <a:pt x="1053985" y="781519"/>
                                </a:lnTo>
                                <a:lnTo>
                                  <a:pt x="1053985" y="728268"/>
                                </a:lnTo>
                                <a:close/>
                              </a:path>
                              <a:path w="1762760" h="1783080">
                                <a:moveTo>
                                  <a:pt x="1079284" y="819302"/>
                                </a:moveTo>
                                <a:lnTo>
                                  <a:pt x="0" y="819302"/>
                                </a:lnTo>
                                <a:lnTo>
                                  <a:pt x="0" y="872553"/>
                                </a:lnTo>
                                <a:lnTo>
                                  <a:pt x="1079284" y="872553"/>
                                </a:lnTo>
                                <a:lnTo>
                                  <a:pt x="1079284" y="819302"/>
                                </a:lnTo>
                                <a:close/>
                              </a:path>
                              <a:path w="1762760" h="1783080">
                                <a:moveTo>
                                  <a:pt x="1121448" y="910348"/>
                                </a:moveTo>
                                <a:lnTo>
                                  <a:pt x="0" y="910348"/>
                                </a:lnTo>
                                <a:lnTo>
                                  <a:pt x="0" y="963599"/>
                                </a:lnTo>
                                <a:lnTo>
                                  <a:pt x="1121448" y="963599"/>
                                </a:lnTo>
                                <a:lnTo>
                                  <a:pt x="1121448" y="910348"/>
                                </a:lnTo>
                                <a:close/>
                              </a:path>
                              <a:path w="1762760" h="1783080">
                                <a:moveTo>
                                  <a:pt x="1129880" y="1001382"/>
                                </a:moveTo>
                                <a:lnTo>
                                  <a:pt x="0" y="1001382"/>
                                </a:lnTo>
                                <a:lnTo>
                                  <a:pt x="0" y="1054633"/>
                                </a:lnTo>
                                <a:lnTo>
                                  <a:pt x="1129880" y="1054633"/>
                                </a:lnTo>
                                <a:lnTo>
                                  <a:pt x="1129880" y="1001382"/>
                                </a:lnTo>
                                <a:close/>
                              </a:path>
                              <a:path w="1762760" h="1783080">
                                <a:moveTo>
                                  <a:pt x="1163612" y="1092415"/>
                                </a:moveTo>
                                <a:lnTo>
                                  <a:pt x="0" y="1092415"/>
                                </a:lnTo>
                                <a:lnTo>
                                  <a:pt x="0" y="1145667"/>
                                </a:lnTo>
                                <a:lnTo>
                                  <a:pt x="1163612" y="1145667"/>
                                </a:lnTo>
                                <a:lnTo>
                                  <a:pt x="1163612" y="1092415"/>
                                </a:lnTo>
                                <a:close/>
                              </a:path>
                              <a:path w="1762760" h="1783080">
                                <a:moveTo>
                                  <a:pt x="1214183" y="1183449"/>
                                </a:moveTo>
                                <a:lnTo>
                                  <a:pt x="0" y="1183449"/>
                                </a:lnTo>
                                <a:lnTo>
                                  <a:pt x="0" y="1236700"/>
                                </a:lnTo>
                                <a:lnTo>
                                  <a:pt x="1214183" y="1236700"/>
                                </a:lnTo>
                                <a:lnTo>
                                  <a:pt x="1214183" y="1183449"/>
                                </a:lnTo>
                                <a:close/>
                              </a:path>
                              <a:path w="1762760" h="1783080">
                                <a:moveTo>
                                  <a:pt x="1281658" y="1274483"/>
                                </a:moveTo>
                                <a:lnTo>
                                  <a:pt x="0" y="1274483"/>
                                </a:lnTo>
                                <a:lnTo>
                                  <a:pt x="0" y="1327734"/>
                                </a:lnTo>
                                <a:lnTo>
                                  <a:pt x="1281658" y="1327734"/>
                                </a:lnTo>
                                <a:lnTo>
                                  <a:pt x="1281658" y="1274483"/>
                                </a:lnTo>
                                <a:close/>
                              </a:path>
                              <a:path w="1762760" h="1783080">
                                <a:moveTo>
                                  <a:pt x="1306944" y="1365516"/>
                                </a:moveTo>
                                <a:lnTo>
                                  <a:pt x="0" y="1365516"/>
                                </a:lnTo>
                                <a:lnTo>
                                  <a:pt x="0" y="1418767"/>
                                </a:lnTo>
                                <a:lnTo>
                                  <a:pt x="1306944" y="1418767"/>
                                </a:lnTo>
                                <a:lnTo>
                                  <a:pt x="1306944" y="1365516"/>
                                </a:lnTo>
                                <a:close/>
                              </a:path>
                              <a:path w="1762760" h="1783080">
                                <a:moveTo>
                                  <a:pt x="1374406" y="1456550"/>
                                </a:moveTo>
                                <a:lnTo>
                                  <a:pt x="0" y="1456550"/>
                                </a:lnTo>
                                <a:lnTo>
                                  <a:pt x="0" y="1509801"/>
                                </a:lnTo>
                                <a:lnTo>
                                  <a:pt x="1374406" y="1509801"/>
                                </a:lnTo>
                                <a:lnTo>
                                  <a:pt x="1374406" y="1456550"/>
                                </a:lnTo>
                                <a:close/>
                              </a:path>
                              <a:path w="1762760" h="1783080">
                                <a:moveTo>
                                  <a:pt x="1475587" y="1547583"/>
                                </a:moveTo>
                                <a:lnTo>
                                  <a:pt x="0" y="1547583"/>
                                </a:lnTo>
                                <a:lnTo>
                                  <a:pt x="0" y="1600835"/>
                                </a:lnTo>
                                <a:lnTo>
                                  <a:pt x="1475587" y="1600835"/>
                                </a:lnTo>
                                <a:lnTo>
                                  <a:pt x="1475587" y="1547583"/>
                                </a:lnTo>
                                <a:close/>
                              </a:path>
                              <a:path w="1762760" h="1783080">
                                <a:moveTo>
                                  <a:pt x="1576768" y="1638617"/>
                                </a:moveTo>
                                <a:lnTo>
                                  <a:pt x="0" y="1638617"/>
                                </a:lnTo>
                                <a:lnTo>
                                  <a:pt x="0" y="1691868"/>
                                </a:lnTo>
                                <a:lnTo>
                                  <a:pt x="1576768" y="1691868"/>
                                </a:lnTo>
                                <a:lnTo>
                                  <a:pt x="1576768" y="1638617"/>
                                </a:lnTo>
                                <a:close/>
                              </a:path>
                              <a:path w="1762760" h="1783080">
                                <a:moveTo>
                                  <a:pt x="1762277" y="1729651"/>
                                </a:moveTo>
                                <a:lnTo>
                                  <a:pt x="0" y="1729651"/>
                                </a:lnTo>
                                <a:lnTo>
                                  <a:pt x="0" y="1782902"/>
                                </a:lnTo>
                                <a:lnTo>
                                  <a:pt x="1762277" y="1782902"/>
                                </a:lnTo>
                                <a:lnTo>
                                  <a:pt x="1762277" y="1729651"/>
                                </a:lnTo>
                                <a:close/>
                              </a:path>
                            </a:pathLst>
                          </a:custGeom>
                          <a:solidFill>
                            <a:srgbClr val="008FDD"/>
                          </a:solidFill>
                        </wps:spPr>
                        <wps:bodyPr wrap="square" lIns="0" tIns="0" rIns="0" bIns="0" rtlCol="0">
                          <a:prstTxWarp prst="textNoShape">
                            <a:avLst/>
                          </a:prstTxWarp>
                          <a:noAutofit/>
                        </wps:bodyPr>
                      </wps:wsp>
                      <wps:wsp>
                        <wps:cNvPr id="1318" name="Graphic 1318"/>
                        <wps:cNvSpPr/>
                        <wps:spPr>
                          <a:xfrm>
                            <a:off x="3020698" y="513039"/>
                            <a:ext cx="1270" cy="1821180"/>
                          </a:xfrm>
                          <a:custGeom>
                            <a:avLst/>
                            <a:gdLst/>
                            <a:ahLst/>
                            <a:cxnLst/>
                            <a:rect l="l" t="t" r="r" b="b"/>
                            <a:pathLst>
                              <a:path w="0" h="1821180">
                                <a:moveTo>
                                  <a:pt x="0" y="1820684"/>
                                </a:moveTo>
                                <a:lnTo>
                                  <a:pt x="0" y="0"/>
                                </a:lnTo>
                              </a:path>
                            </a:pathLst>
                          </a:custGeom>
                          <a:ln w="6350">
                            <a:solidFill>
                              <a:srgbClr val="FFFFFF"/>
                            </a:solidFill>
                            <a:prstDash val="solid"/>
                          </a:ln>
                        </wps:spPr>
                        <wps:bodyPr wrap="square" lIns="0" tIns="0" rIns="0" bIns="0" rtlCol="0">
                          <a:prstTxWarp prst="textNoShape">
                            <a:avLst/>
                          </a:prstTxWarp>
                          <a:noAutofit/>
                        </wps:bodyPr>
                      </wps:wsp>
                      <wps:wsp>
                        <wps:cNvPr id="1319" name="Graphic 1319"/>
                        <wps:cNvSpPr/>
                        <wps:spPr>
                          <a:xfrm>
                            <a:off x="3357976" y="513039"/>
                            <a:ext cx="1012190" cy="1821180"/>
                          </a:xfrm>
                          <a:custGeom>
                            <a:avLst/>
                            <a:gdLst/>
                            <a:ahLst/>
                            <a:cxnLst/>
                            <a:rect l="l" t="t" r="r" b="b"/>
                            <a:pathLst>
                              <a:path w="1012190" h="1821180">
                                <a:moveTo>
                                  <a:pt x="0" y="1797077"/>
                                </a:moveTo>
                                <a:lnTo>
                                  <a:pt x="0" y="1820684"/>
                                </a:lnTo>
                              </a:path>
                              <a:path w="1012190" h="1821180">
                                <a:moveTo>
                                  <a:pt x="0" y="1683285"/>
                                </a:moveTo>
                                <a:lnTo>
                                  <a:pt x="0" y="1730504"/>
                                </a:lnTo>
                              </a:path>
                              <a:path w="1012190" h="1821180">
                                <a:moveTo>
                                  <a:pt x="0" y="1569493"/>
                                </a:moveTo>
                                <a:lnTo>
                                  <a:pt x="0" y="1616712"/>
                                </a:lnTo>
                              </a:path>
                              <a:path w="1012190" h="1821180">
                                <a:moveTo>
                                  <a:pt x="0" y="1455701"/>
                                </a:moveTo>
                                <a:lnTo>
                                  <a:pt x="0" y="1502920"/>
                                </a:lnTo>
                              </a:path>
                              <a:path w="1012190" h="1821180">
                                <a:moveTo>
                                  <a:pt x="0" y="1341909"/>
                                </a:moveTo>
                                <a:lnTo>
                                  <a:pt x="0" y="1389128"/>
                                </a:lnTo>
                              </a:path>
                              <a:path w="1012190" h="1821180">
                                <a:moveTo>
                                  <a:pt x="0" y="1228117"/>
                                </a:moveTo>
                                <a:lnTo>
                                  <a:pt x="0" y="1275336"/>
                                </a:lnTo>
                              </a:path>
                              <a:path w="1012190" h="1821180">
                                <a:moveTo>
                                  <a:pt x="0" y="1114313"/>
                                </a:moveTo>
                                <a:lnTo>
                                  <a:pt x="0" y="1161544"/>
                                </a:lnTo>
                              </a:path>
                              <a:path w="1012190" h="1821180">
                                <a:moveTo>
                                  <a:pt x="0" y="1000521"/>
                                </a:moveTo>
                                <a:lnTo>
                                  <a:pt x="0" y="1047739"/>
                                </a:lnTo>
                              </a:path>
                              <a:path w="1012190" h="1821180">
                                <a:moveTo>
                                  <a:pt x="0" y="886729"/>
                                </a:moveTo>
                                <a:lnTo>
                                  <a:pt x="0" y="933947"/>
                                </a:lnTo>
                              </a:path>
                              <a:path w="1012190" h="1821180">
                                <a:moveTo>
                                  <a:pt x="0" y="772937"/>
                                </a:moveTo>
                                <a:lnTo>
                                  <a:pt x="0" y="820155"/>
                                </a:lnTo>
                              </a:path>
                              <a:path w="1012190" h="1821180">
                                <a:moveTo>
                                  <a:pt x="0" y="659145"/>
                                </a:moveTo>
                                <a:lnTo>
                                  <a:pt x="0" y="706363"/>
                                </a:lnTo>
                              </a:path>
                              <a:path w="1012190" h="1821180">
                                <a:moveTo>
                                  <a:pt x="0" y="0"/>
                                </a:moveTo>
                                <a:lnTo>
                                  <a:pt x="0" y="592571"/>
                                </a:lnTo>
                              </a:path>
                              <a:path w="1012190" h="1821180">
                                <a:moveTo>
                                  <a:pt x="337276" y="1797077"/>
                                </a:moveTo>
                                <a:lnTo>
                                  <a:pt x="337276" y="1820684"/>
                                </a:lnTo>
                              </a:path>
                              <a:path w="1012190" h="1821180">
                                <a:moveTo>
                                  <a:pt x="337276" y="1683285"/>
                                </a:moveTo>
                                <a:lnTo>
                                  <a:pt x="337276" y="1730504"/>
                                </a:lnTo>
                              </a:path>
                              <a:path w="1012190" h="1821180">
                                <a:moveTo>
                                  <a:pt x="337276" y="1569493"/>
                                </a:moveTo>
                                <a:lnTo>
                                  <a:pt x="337276" y="1616712"/>
                                </a:lnTo>
                              </a:path>
                              <a:path w="1012190" h="1821180">
                                <a:moveTo>
                                  <a:pt x="337276" y="1455701"/>
                                </a:moveTo>
                                <a:lnTo>
                                  <a:pt x="337276" y="1502920"/>
                                </a:lnTo>
                              </a:path>
                              <a:path w="1012190" h="1821180">
                                <a:moveTo>
                                  <a:pt x="337276" y="1341909"/>
                                </a:moveTo>
                                <a:lnTo>
                                  <a:pt x="337276" y="1389128"/>
                                </a:lnTo>
                              </a:path>
                              <a:path w="1012190" h="1821180">
                                <a:moveTo>
                                  <a:pt x="337276" y="1228117"/>
                                </a:moveTo>
                                <a:lnTo>
                                  <a:pt x="337276" y="1275336"/>
                                </a:lnTo>
                              </a:path>
                              <a:path w="1012190" h="1821180">
                                <a:moveTo>
                                  <a:pt x="337276" y="1114313"/>
                                </a:moveTo>
                                <a:lnTo>
                                  <a:pt x="337276" y="1161544"/>
                                </a:lnTo>
                              </a:path>
                              <a:path w="1012190" h="1821180">
                                <a:moveTo>
                                  <a:pt x="337276" y="1000521"/>
                                </a:moveTo>
                                <a:lnTo>
                                  <a:pt x="337276" y="1047739"/>
                                </a:lnTo>
                              </a:path>
                              <a:path w="1012190" h="1821180">
                                <a:moveTo>
                                  <a:pt x="337276" y="886729"/>
                                </a:moveTo>
                                <a:lnTo>
                                  <a:pt x="337276" y="933947"/>
                                </a:lnTo>
                              </a:path>
                              <a:path w="1012190" h="1821180">
                                <a:moveTo>
                                  <a:pt x="337276" y="772937"/>
                                </a:moveTo>
                                <a:lnTo>
                                  <a:pt x="337276" y="820155"/>
                                </a:lnTo>
                              </a:path>
                              <a:path w="1012190" h="1821180">
                                <a:moveTo>
                                  <a:pt x="337276" y="659145"/>
                                </a:moveTo>
                                <a:lnTo>
                                  <a:pt x="337276" y="706363"/>
                                </a:lnTo>
                              </a:path>
                              <a:path w="1012190" h="1821180">
                                <a:moveTo>
                                  <a:pt x="337276" y="0"/>
                                </a:moveTo>
                                <a:lnTo>
                                  <a:pt x="337276" y="592571"/>
                                </a:lnTo>
                              </a:path>
                              <a:path w="1012190" h="1821180">
                                <a:moveTo>
                                  <a:pt x="674554" y="1797077"/>
                                </a:moveTo>
                                <a:lnTo>
                                  <a:pt x="674554" y="1820684"/>
                                </a:lnTo>
                              </a:path>
                              <a:path w="1012190" h="1821180">
                                <a:moveTo>
                                  <a:pt x="674554" y="1683285"/>
                                </a:moveTo>
                                <a:lnTo>
                                  <a:pt x="674554" y="1730504"/>
                                </a:lnTo>
                              </a:path>
                              <a:path w="1012190" h="1821180">
                                <a:moveTo>
                                  <a:pt x="674554" y="1569493"/>
                                </a:moveTo>
                                <a:lnTo>
                                  <a:pt x="674554" y="1616712"/>
                                </a:lnTo>
                              </a:path>
                              <a:path w="1012190" h="1821180">
                                <a:moveTo>
                                  <a:pt x="674554" y="1455701"/>
                                </a:moveTo>
                                <a:lnTo>
                                  <a:pt x="674554" y="1502920"/>
                                </a:lnTo>
                              </a:path>
                              <a:path w="1012190" h="1821180">
                                <a:moveTo>
                                  <a:pt x="674554" y="0"/>
                                </a:moveTo>
                                <a:lnTo>
                                  <a:pt x="674554" y="1389128"/>
                                </a:lnTo>
                              </a:path>
                              <a:path w="1012190" h="1821180">
                                <a:moveTo>
                                  <a:pt x="1011831" y="1797077"/>
                                </a:moveTo>
                                <a:lnTo>
                                  <a:pt x="1011831" y="1820684"/>
                                </a:lnTo>
                              </a:path>
                              <a:path w="1012190" h="1821180">
                                <a:moveTo>
                                  <a:pt x="1011831" y="1683285"/>
                                </a:moveTo>
                                <a:lnTo>
                                  <a:pt x="1011831" y="1730504"/>
                                </a:lnTo>
                              </a:path>
                              <a:path w="1012190" h="1821180">
                                <a:moveTo>
                                  <a:pt x="1011831" y="1569493"/>
                                </a:moveTo>
                                <a:lnTo>
                                  <a:pt x="1011831" y="1616712"/>
                                </a:lnTo>
                              </a:path>
                              <a:path w="1012190" h="1821180">
                                <a:moveTo>
                                  <a:pt x="1011831" y="1455701"/>
                                </a:moveTo>
                                <a:lnTo>
                                  <a:pt x="1011831" y="1502920"/>
                                </a:lnTo>
                              </a:path>
                              <a:path w="1012190" h="1821180">
                                <a:moveTo>
                                  <a:pt x="1011831" y="0"/>
                                </a:moveTo>
                                <a:lnTo>
                                  <a:pt x="1011831" y="1389128"/>
                                </a:lnTo>
                              </a:path>
                            </a:pathLst>
                          </a:custGeom>
                          <a:ln w="6350">
                            <a:solidFill>
                              <a:srgbClr val="FFFFFF"/>
                            </a:solidFill>
                            <a:prstDash val="solid"/>
                          </a:ln>
                        </wps:spPr>
                        <wps:bodyPr wrap="square" lIns="0" tIns="0" rIns="0" bIns="0" rtlCol="0">
                          <a:prstTxWarp prst="textNoShape">
                            <a:avLst/>
                          </a:prstTxWarp>
                          <a:noAutofit/>
                        </wps:bodyPr>
                      </wps:wsp>
                      <wps:wsp>
                        <wps:cNvPr id="1320" name="Graphic 1320"/>
                        <wps:cNvSpPr/>
                        <wps:spPr>
                          <a:xfrm>
                            <a:off x="4707084" y="513039"/>
                            <a:ext cx="1270" cy="1821180"/>
                          </a:xfrm>
                          <a:custGeom>
                            <a:avLst/>
                            <a:gdLst/>
                            <a:ahLst/>
                            <a:cxnLst/>
                            <a:rect l="l" t="t" r="r" b="b"/>
                            <a:pathLst>
                              <a:path w="0" h="1821180">
                                <a:moveTo>
                                  <a:pt x="0" y="1820684"/>
                                </a:moveTo>
                                <a:lnTo>
                                  <a:pt x="0" y="0"/>
                                </a:lnTo>
                              </a:path>
                            </a:pathLst>
                          </a:custGeom>
                          <a:ln w="6350">
                            <a:solidFill>
                              <a:srgbClr val="FFFFFF"/>
                            </a:solidFill>
                            <a:prstDash val="solid"/>
                          </a:ln>
                        </wps:spPr>
                        <wps:bodyPr wrap="square" lIns="0" tIns="0" rIns="0" bIns="0" rtlCol="0">
                          <a:prstTxWarp prst="textNoShape">
                            <a:avLst/>
                          </a:prstTxWarp>
                          <a:noAutofit/>
                        </wps:bodyPr>
                      </wps:wsp>
                      <wps:wsp>
                        <wps:cNvPr id="1321" name="Graphic 1321"/>
                        <wps:cNvSpPr/>
                        <wps:spPr>
                          <a:xfrm>
                            <a:off x="0" y="0"/>
                            <a:ext cx="4696460" cy="2310130"/>
                          </a:xfrm>
                          <a:custGeom>
                            <a:avLst/>
                            <a:gdLst/>
                            <a:ahLst/>
                            <a:cxnLst/>
                            <a:rect l="l" t="t" r="r" b="b"/>
                            <a:pathLst>
                              <a:path w="4696460" h="2310130">
                                <a:moveTo>
                                  <a:pt x="512178" y="0"/>
                                </a:moveTo>
                                <a:lnTo>
                                  <a:pt x="76200" y="0"/>
                                </a:lnTo>
                                <a:lnTo>
                                  <a:pt x="47205" y="3060"/>
                                </a:lnTo>
                                <a:lnTo>
                                  <a:pt x="22910" y="14516"/>
                                </a:lnTo>
                                <a:lnTo>
                                  <a:pt x="6210" y="37757"/>
                                </a:lnTo>
                                <a:lnTo>
                                  <a:pt x="0" y="76200"/>
                                </a:lnTo>
                                <a:lnTo>
                                  <a:pt x="0" y="231775"/>
                                </a:lnTo>
                                <a:lnTo>
                                  <a:pt x="512178" y="231775"/>
                                </a:lnTo>
                                <a:lnTo>
                                  <a:pt x="512178" y="0"/>
                                </a:lnTo>
                                <a:close/>
                              </a:path>
                              <a:path w="4696460" h="2310130">
                                <a:moveTo>
                                  <a:pt x="3079051" y="536651"/>
                                </a:moveTo>
                                <a:lnTo>
                                  <a:pt x="3020707" y="536651"/>
                                </a:lnTo>
                                <a:lnTo>
                                  <a:pt x="3020707" y="603224"/>
                                </a:lnTo>
                                <a:lnTo>
                                  <a:pt x="3079051" y="603224"/>
                                </a:lnTo>
                                <a:lnTo>
                                  <a:pt x="3079051" y="536651"/>
                                </a:lnTo>
                                <a:close/>
                              </a:path>
                              <a:path w="4696460" h="2310130">
                                <a:moveTo>
                                  <a:pt x="3218180" y="650443"/>
                                </a:moveTo>
                                <a:lnTo>
                                  <a:pt x="3020707" y="650443"/>
                                </a:lnTo>
                                <a:lnTo>
                                  <a:pt x="3020707" y="717016"/>
                                </a:lnTo>
                                <a:lnTo>
                                  <a:pt x="3218180" y="717016"/>
                                </a:lnTo>
                                <a:lnTo>
                                  <a:pt x="3218180" y="650443"/>
                                </a:lnTo>
                                <a:close/>
                              </a:path>
                              <a:path w="4696460" h="2310130">
                                <a:moveTo>
                                  <a:pt x="3245840" y="764235"/>
                                </a:moveTo>
                                <a:lnTo>
                                  <a:pt x="3020707" y="764235"/>
                                </a:lnTo>
                                <a:lnTo>
                                  <a:pt x="3020707" y="830808"/>
                                </a:lnTo>
                                <a:lnTo>
                                  <a:pt x="3245840" y="830808"/>
                                </a:lnTo>
                                <a:lnTo>
                                  <a:pt x="3245840" y="764235"/>
                                </a:lnTo>
                                <a:close/>
                              </a:path>
                              <a:path w="4696460" h="2310130">
                                <a:moveTo>
                                  <a:pt x="3268268" y="878027"/>
                                </a:moveTo>
                                <a:lnTo>
                                  <a:pt x="3020707" y="878027"/>
                                </a:lnTo>
                                <a:lnTo>
                                  <a:pt x="3020707" y="944613"/>
                                </a:lnTo>
                                <a:lnTo>
                                  <a:pt x="3268268" y="944613"/>
                                </a:lnTo>
                                <a:lnTo>
                                  <a:pt x="3268268" y="878027"/>
                                </a:lnTo>
                                <a:close/>
                              </a:path>
                              <a:path w="4696460" h="2310130">
                                <a:moveTo>
                                  <a:pt x="3802011" y="1105611"/>
                                </a:moveTo>
                                <a:lnTo>
                                  <a:pt x="3020707" y="1105611"/>
                                </a:lnTo>
                                <a:lnTo>
                                  <a:pt x="3020707" y="1172184"/>
                                </a:lnTo>
                                <a:lnTo>
                                  <a:pt x="3802011" y="1172184"/>
                                </a:lnTo>
                                <a:lnTo>
                                  <a:pt x="3802011" y="1105611"/>
                                </a:lnTo>
                                <a:close/>
                              </a:path>
                              <a:path w="4696460" h="2310130">
                                <a:moveTo>
                                  <a:pt x="3821239" y="1219403"/>
                                </a:moveTo>
                                <a:lnTo>
                                  <a:pt x="3020707" y="1219403"/>
                                </a:lnTo>
                                <a:lnTo>
                                  <a:pt x="3020707" y="1285989"/>
                                </a:lnTo>
                                <a:lnTo>
                                  <a:pt x="3821239" y="1285989"/>
                                </a:lnTo>
                                <a:lnTo>
                                  <a:pt x="3821239" y="1219403"/>
                                </a:lnTo>
                                <a:close/>
                              </a:path>
                              <a:path w="4696460" h="2310130">
                                <a:moveTo>
                                  <a:pt x="3848887" y="1333195"/>
                                </a:moveTo>
                                <a:lnTo>
                                  <a:pt x="3020707" y="1333195"/>
                                </a:lnTo>
                                <a:lnTo>
                                  <a:pt x="3020707" y="1399768"/>
                                </a:lnTo>
                                <a:lnTo>
                                  <a:pt x="3848887" y="1399768"/>
                                </a:lnTo>
                                <a:lnTo>
                                  <a:pt x="3848887" y="1333195"/>
                                </a:lnTo>
                                <a:close/>
                              </a:path>
                              <a:path w="4696460" h="2310130">
                                <a:moveTo>
                                  <a:pt x="3855135" y="1446987"/>
                                </a:moveTo>
                                <a:lnTo>
                                  <a:pt x="3020707" y="1446987"/>
                                </a:lnTo>
                                <a:lnTo>
                                  <a:pt x="3020707" y="1513560"/>
                                </a:lnTo>
                                <a:lnTo>
                                  <a:pt x="3855135" y="1513560"/>
                                </a:lnTo>
                                <a:lnTo>
                                  <a:pt x="3855135" y="1446987"/>
                                </a:lnTo>
                                <a:close/>
                              </a:path>
                              <a:path w="4696460" h="2310130">
                                <a:moveTo>
                                  <a:pt x="3891394" y="1560779"/>
                                </a:moveTo>
                                <a:lnTo>
                                  <a:pt x="3020707" y="1560779"/>
                                </a:lnTo>
                                <a:lnTo>
                                  <a:pt x="3020707" y="1627365"/>
                                </a:lnTo>
                                <a:lnTo>
                                  <a:pt x="3891394" y="1627365"/>
                                </a:lnTo>
                                <a:lnTo>
                                  <a:pt x="3891394" y="1560779"/>
                                </a:lnTo>
                                <a:close/>
                              </a:path>
                              <a:path w="4696460" h="2310130">
                                <a:moveTo>
                                  <a:pt x="3932707" y="1674583"/>
                                </a:moveTo>
                                <a:lnTo>
                                  <a:pt x="3020707" y="1674583"/>
                                </a:lnTo>
                                <a:lnTo>
                                  <a:pt x="3020707" y="1741170"/>
                                </a:lnTo>
                                <a:lnTo>
                                  <a:pt x="3932707" y="1741170"/>
                                </a:lnTo>
                                <a:lnTo>
                                  <a:pt x="3932707" y="1674583"/>
                                </a:lnTo>
                                <a:close/>
                              </a:path>
                              <a:path w="4696460" h="2310130">
                                <a:moveTo>
                                  <a:pt x="3948392" y="1788375"/>
                                </a:moveTo>
                                <a:lnTo>
                                  <a:pt x="3020707" y="1788375"/>
                                </a:lnTo>
                                <a:lnTo>
                                  <a:pt x="3020707" y="1854949"/>
                                </a:lnTo>
                                <a:lnTo>
                                  <a:pt x="3948392" y="1854949"/>
                                </a:lnTo>
                                <a:lnTo>
                                  <a:pt x="3948392" y="1788375"/>
                                </a:lnTo>
                                <a:close/>
                              </a:path>
                              <a:path w="4696460" h="2310130">
                                <a:moveTo>
                                  <a:pt x="4400347" y="1902167"/>
                                </a:moveTo>
                                <a:lnTo>
                                  <a:pt x="3020707" y="1902167"/>
                                </a:lnTo>
                                <a:lnTo>
                                  <a:pt x="3020707" y="1968741"/>
                                </a:lnTo>
                                <a:lnTo>
                                  <a:pt x="4400347" y="1968741"/>
                                </a:lnTo>
                                <a:lnTo>
                                  <a:pt x="4400347" y="1902167"/>
                                </a:lnTo>
                                <a:close/>
                              </a:path>
                              <a:path w="4696460" h="2310130">
                                <a:moveTo>
                                  <a:pt x="4482808" y="2015959"/>
                                </a:moveTo>
                                <a:lnTo>
                                  <a:pt x="3020707" y="2015959"/>
                                </a:lnTo>
                                <a:lnTo>
                                  <a:pt x="3020707" y="2082546"/>
                                </a:lnTo>
                                <a:lnTo>
                                  <a:pt x="4482808" y="2082546"/>
                                </a:lnTo>
                                <a:lnTo>
                                  <a:pt x="4482808" y="2015959"/>
                                </a:lnTo>
                                <a:close/>
                              </a:path>
                              <a:path w="4696460" h="2310130">
                                <a:moveTo>
                                  <a:pt x="4642167" y="2129752"/>
                                </a:moveTo>
                                <a:lnTo>
                                  <a:pt x="3020707" y="2129752"/>
                                </a:lnTo>
                                <a:lnTo>
                                  <a:pt x="3020707" y="2196325"/>
                                </a:lnTo>
                                <a:lnTo>
                                  <a:pt x="4642167" y="2196325"/>
                                </a:lnTo>
                                <a:lnTo>
                                  <a:pt x="4642167" y="2129752"/>
                                </a:lnTo>
                                <a:close/>
                              </a:path>
                              <a:path w="4696460" h="2310130">
                                <a:moveTo>
                                  <a:pt x="4696307" y="2243544"/>
                                </a:moveTo>
                                <a:lnTo>
                                  <a:pt x="3020707" y="2243544"/>
                                </a:lnTo>
                                <a:lnTo>
                                  <a:pt x="3020707" y="2310117"/>
                                </a:lnTo>
                                <a:lnTo>
                                  <a:pt x="4696307" y="2310117"/>
                                </a:lnTo>
                                <a:lnTo>
                                  <a:pt x="4696307" y="2243544"/>
                                </a:lnTo>
                                <a:close/>
                              </a:path>
                            </a:pathLst>
                          </a:custGeom>
                          <a:solidFill>
                            <a:srgbClr val="008FDD"/>
                          </a:solidFill>
                        </wps:spPr>
                        <wps:bodyPr wrap="square" lIns="0" tIns="0" rIns="0" bIns="0" rtlCol="0">
                          <a:prstTxWarp prst="textNoShape">
                            <a:avLst/>
                          </a:prstTxWarp>
                          <a:noAutofit/>
                        </wps:bodyPr>
                      </wps:wsp>
                      <wps:wsp>
                        <wps:cNvPr id="1322" name="Graphic 1322"/>
                        <wps:cNvSpPr/>
                        <wps:spPr>
                          <a:xfrm>
                            <a:off x="512178" y="0"/>
                            <a:ext cx="4364355" cy="231775"/>
                          </a:xfrm>
                          <a:custGeom>
                            <a:avLst/>
                            <a:gdLst/>
                            <a:ahLst/>
                            <a:cxnLst/>
                            <a:rect l="l" t="t" r="r" b="b"/>
                            <a:pathLst>
                              <a:path w="4364355" h="231775">
                                <a:moveTo>
                                  <a:pt x="4287926" y="0"/>
                                </a:moveTo>
                                <a:lnTo>
                                  <a:pt x="0" y="0"/>
                                </a:lnTo>
                                <a:lnTo>
                                  <a:pt x="0" y="231775"/>
                                </a:lnTo>
                                <a:lnTo>
                                  <a:pt x="4364126" y="231775"/>
                                </a:lnTo>
                                <a:lnTo>
                                  <a:pt x="4364126" y="76200"/>
                                </a:lnTo>
                                <a:lnTo>
                                  <a:pt x="4358620" y="50979"/>
                                </a:lnTo>
                                <a:lnTo>
                                  <a:pt x="4343095" y="26265"/>
                                </a:lnTo>
                                <a:lnTo>
                                  <a:pt x="4319035" y="7468"/>
                                </a:lnTo>
                                <a:lnTo>
                                  <a:pt x="4287926" y="0"/>
                                </a:lnTo>
                                <a:close/>
                              </a:path>
                            </a:pathLst>
                          </a:custGeom>
                          <a:solidFill>
                            <a:srgbClr val="808285"/>
                          </a:solidFill>
                        </wps:spPr>
                        <wps:bodyPr wrap="square" lIns="0" tIns="0" rIns="0" bIns="0" rtlCol="0">
                          <a:prstTxWarp prst="textNoShape">
                            <a:avLst/>
                          </a:prstTxWarp>
                          <a:noAutofit/>
                        </wps:bodyPr>
                      </wps:wsp>
                      <wps:wsp>
                        <wps:cNvPr id="1323" name="Graphic 1323"/>
                        <wps:cNvSpPr/>
                        <wps:spPr>
                          <a:xfrm>
                            <a:off x="512179"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wps:wsp>
                        <wps:cNvPr id="1324" name="Textbox 1324"/>
                        <wps:cNvSpPr txBox="1"/>
                        <wps:spPr>
                          <a:xfrm>
                            <a:off x="76380" y="66855"/>
                            <a:ext cx="3945890" cy="121920"/>
                          </a:xfrm>
                          <a:prstGeom prst="rect">
                            <a:avLst/>
                          </a:prstGeom>
                        </wps:spPr>
                        <wps:txbx>
                          <w:txbxContent>
                            <w:p>
                              <w:pPr>
                                <w:spacing w:before="3"/>
                                <w:ind w:left="0" w:right="0" w:firstLine="0"/>
                                <w:jc w:val="left"/>
                                <w:rPr>
                                  <w:rFonts w:ascii="Arial" w:hAnsi="Arial"/>
                                  <w:b/>
                                  <w:sz w:val="16"/>
                                </w:rPr>
                              </w:pPr>
                              <w:bookmarkStart w:name="_bookmark28" w:id="31"/>
                              <w:bookmarkEnd w:id="31"/>
                              <w:r>
                                <w:rPr/>
                              </w:r>
                              <w:r>
                                <w:rPr>
                                  <w:rFonts w:ascii="Arial" w:hAnsi="Arial"/>
                                  <w:color w:val="FFFFFF"/>
                                  <w:sz w:val="16"/>
                                </w:rPr>
                                <w:t>Figure</w:t>
                              </w:r>
                              <w:r>
                                <w:rPr>
                                  <w:rFonts w:ascii="Arial" w:hAnsi="Arial"/>
                                  <w:color w:val="FFFFFF"/>
                                  <w:spacing w:val="12"/>
                                  <w:sz w:val="16"/>
                                </w:rPr>
                                <w:t> </w:t>
                              </w:r>
                              <w:r>
                                <w:rPr>
                                  <w:rFonts w:ascii="Arial" w:hAnsi="Arial"/>
                                  <w:b/>
                                  <w:color w:val="FFFFFF"/>
                                  <w:sz w:val="16"/>
                                </w:rPr>
                                <w:t>3.6</w:t>
                              </w:r>
                              <w:r>
                                <w:rPr>
                                  <w:rFonts w:ascii="Arial" w:hAnsi="Arial"/>
                                  <w:b/>
                                  <w:color w:val="FFFFFF"/>
                                  <w:spacing w:val="65"/>
                                  <w:sz w:val="16"/>
                                </w:rPr>
                                <w:t>  </w:t>
                              </w:r>
                              <w:r>
                                <w:rPr>
                                  <w:rFonts w:ascii="Arial" w:hAnsi="Arial"/>
                                  <w:b/>
                                  <w:color w:val="FFFFFF"/>
                                  <w:sz w:val="16"/>
                                </w:rPr>
                                <w:t>Outliers</w:t>
                              </w:r>
                              <w:r>
                                <w:rPr>
                                  <w:rFonts w:ascii="Arial" w:hAnsi="Arial"/>
                                  <w:b/>
                                  <w:color w:val="FFFFFF"/>
                                  <w:spacing w:val="14"/>
                                  <w:sz w:val="16"/>
                                </w:rPr>
                                <w:t> </w:t>
                              </w:r>
                              <w:r>
                                <w:rPr>
                                  <w:rFonts w:ascii="Arial" w:hAnsi="Arial"/>
                                  <w:b/>
                                  <w:color w:val="FFFFFF"/>
                                  <w:sz w:val="16"/>
                                </w:rPr>
                                <w:t>for</w:t>
                              </w:r>
                              <w:r>
                                <w:rPr>
                                  <w:rFonts w:ascii="Arial" w:hAnsi="Arial"/>
                                  <w:b/>
                                  <w:color w:val="FFFFFF"/>
                                  <w:spacing w:val="12"/>
                                  <w:sz w:val="16"/>
                                </w:rPr>
                                <w:t> </w:t>
                              </w:r>
                              <w:r>
                                <w:rPr>
                                  <w:rFonts w:ascii="Arial" w:hAnsi="Arial"/>
                                  <w:b/>
                                  <w:color w:val="FFFFFF"/>
                                  <w:sz w:val="16"/>
                                </w:rPr>
                                <w:t>import</w:t>
                              </w:r>
                              <w:r>
                                <w:rPr>
                                  <w:rFonts w:ascii="Arial" w:hAnsi="Arial"/>
                                  <w:b/>
                                  <w:color w:val="FFFFFF"/>
                                  <w:spacing w:val="13"/>
                                  <w:sz w:val="16"/>
                                </w:rPr>
                                <w:t> </w:t>
                              </w:r>
                              <w:r>
                                <w:rPr>
                                  <w:rFonts w:ascii="Arial" w:hAnsi="Arial"/>
                                  <w:b/>
                                  <w:color w:val="FFFFFF"/>
                                  <w:sz w:val="16"/>
                                </w:rPr>
                                <w:t>dwell</w:t>
                              </w:r>
                              <w:r>
                                <w:rPr>
                                  <w:rFonts w:ascii="Arial" w:hAnsi="Arial"/>
                                  <w:b/>
                                  <w:color w:val="FFFFFF"/>
                                  <w:spacing w:val="13"/>
                                  <w:sz w:val="16"/>
                                </w:rPr>
                                <w:t> </w:t>
                              </w:r>
                              <w:r>
                                <w:rPr>
                                  <w:rFonts w:ascii="Arial" w:hAnsi="Arial"/>
                                  <w:b/>
                                  <w:color w:val="FFFFFF"/>
                                  <w:sz w:val="16"/>
                                </w:rPr>
                                <w:t>time</w:t>
                              </w:r>
                              <w:r>
                                <w:rPr>
                                  <w:rFonts w:ascii="Arial" w:hAnsi="Arial"/>
                                  <w:b/>
                                  <w:color w:val="FFFFFF"/>
                                  <w:spacing w:val="13"/>
                                  <w:sz w:val="16"/>
                                </w:rPr>
                                <w:t> </w:t>
                              </w:r>
                              <w:r>
                                <w:rPr>
                                  <w:rFonts w:ascii="Arial" w:hAnsi="Arial"/>
                                  <w:b/>
                                  <w:color w:val="FFFFFF"/>
                                  <w:sz w:val="16"/>
                                </w:rPr>
                                <w:t>and</w:t>
                              </w:r>
                              <w:r>
                                <w:rPr>
                                  <w:rFonts w:ascii="Arial" w:hAnsi="Arial"/>
                                  <w:b/>
                                  <w:color w:val="FFFFFF"/>
                                  <w:spacing w:val="13"/>
                                  <w:sz w:val="16"/>
                                </w:rPr>
                                <w:t> </w:t>
                              </w:r>
                              <w:r>
                                <w:rPr>
                                  <w:rFonts w:ascii="Arial" w:hAnsi="Arial"/>
                                  <w:b/>
                                  <w:color w:val="FFFFFF"/>
                                  <w:sz w:val="16"/>
                                </w:rPr>
                                <w:t>comparators,</w:t>
                              </w:r>
                              <w:r>
                                <w:rPr>
                                  <w:rFonts w:ascii="Arial" w:hAnsi="Arial"/>
                                  <w:b/>
                                  <w:color w:val="FFFFFF"/>
                                  <w:spacing w:val="13"/>
                                  <w:sz w:val="16"/>
                                </w:rPr>
                                <w:t> </w:t>
                              </w:r>
                              <w:r>
                                <w:rPr>
                                  <w:rFonts w:ascii="Arial" w:hAnsi="Arial"/>
                                  <w:b/>
                                  <w:color w:val="FFFFFF"/>
                                  <w:sz w:val="16"/>
                                </w:rPr>
                                <w:t>May–October</w:t>
                              </w:r>
                              <w:r>
                                <w:rPr>
                                  <w:rFonts w:ascii="Arial" w:hAnsi="Arial"/>
                                  <w:b/>
                                  <w:color w:val="FFFFFF"/>
                                  <w:spacing w:val="12"/>
                                  <w:sz w:val="16"/>
                                </w:rPr>
                                <w:t> </w:t>
                              </w:r>
                              <w:r>
                                <w:rPr>
                                  <w:rFonts w:ascii="Arial" w:hAnsi="Arial"/>
                                  <w:b/>
                                  <w:color w:val="FFFFFF"/>
                                  <w:spacing w:val="-4"/>
                                  <w:sz w:val="16"/>
                                </w:rPr>
                                <w:t>2022</w:t>
                              </w:r>
                            </w:p>
                          </w:txbxContent>
                        </wps:txbx>
                        <wps:bodyPr wrap="square" lIns="0" tIns="0" rIns="0" bIns="0" rtlCol="0">
                          <a:noAutofit/>
                        </wps:bodyPr>
                      </wps:wsp>
                      <wps:wsp>
                        <wps:cNvPr id="1325" name="Textbox 1325"/>
                        <wps:cNvSpPr txBox="1"/>
                        <wps:spPr>
                          <a:xfrm>
                            <a:off x="1394647" y="322058"/>
                            <a:ext cx="194945" cy="105410"/>
                          </a:xfrm>
                          <a:prstGeom prst="rect">
                            <a:avLst/>
                          </a:prstGeom>
                        </wps:spPr>
                        <wps:txbx>
                          <w:txbxContent>
                            <w:p>
                              <w:pPr>
                                <w:spacing w:before="3"/>
                                <w:ind w:left="0" w:right="0" w:firstLine="0"/>
                                <w:jc w:val="left"/>
                                <w:rPr>
                                  <w:rFonts w:ascii="Arial"/>
                                  <w:b/>
                                  <w:sz w:val="14"/>
                                </w:rPr>
                              </w:pPr>
                              <w:r>
                                <w:rPr>
                                  <w:rFonts w:ascii="Arial"/>
                                  <w:b/>
                                  <w:color w:val="231F20"/>
                                  <w:spacing w:val="-2"/>
                                  <w:w w:val="85"/>
                                  <w:sz w:val="14"/>
                                </w:rPr>
                                <w:t>Ports</w:t>
                              </w:r>
                            </w:p>
                          </w:txbxContent>
                        </wps:txbx>
                        <wps:bodyPr wrap="square" lIns="0" tIns="0" rIns="0" bIns="0" rtlCol="0">
                          <a:noAutofit/>
                        </wps:bodyPr>
                      </wps:wsp>
                      <wps:wsp>
                        <wps:cNvPr id="1326" name="Textbox 1326"/>
                        <wps:cNvSpPr txBox="1"/>
                        <wps:spPr>
                          <a:xfrm>
                            <a:off x="3695291" y="322058"/>
                            <a:ext cx="350520" cy="105410"/>
                          </a:xfrm>
                          <a:prstGeom prst="rect">
                            <a:avLst/>
                          </a:prstGeom>
                        </wps:spPr>
                        <wps:txbx>
                          <w:txbxContent>
                            <w:p>
                              <w:pPr>
                                <w:spacing w:before="3"/>
                                <w:ind w:left="0" w:right="0" w:firstLine="0"/>
                                <w:jc w:val="left"/>
                                <w:rPr>
                                  <w:rFonts w:ascii="Arial"/>
                                  <w:b/>
                                  <w:sz w:val="14"/>
                                </w:rPr>
                              </w:pPr>
                              <w:r>
                                <w:rPr>
                                  <w:rFonts w:ascii="Arial"/>
                                  <w:b/>
                                  <w:color w:val="231F20"/>
                                  <w:spacing w:val="-2"/>
                                  <w:w w:val="80"/>
                                  <w:sz w:val="14"/>
                                </w:rPr>
                                <w:t>Countries</w:t>
                              </w:r>
                            </w:p>
                          </w:txbxContent>
                        </wps:txbx>
                        <wps:bodyPr wrap="square" lIns="0" tIns="0" rIns="0" bIns="0" rtlCol="0">
                          <a:noAutofit/>
                        </wps:bodyPr>
                      </wps:wsp>
                      <wps:wsp>
                        <wps:cNvPr id="1327" name="Textbox 1327"/>
                        <wps:cNvSpPr txBox="1"/>
                        <wps:spPr>
                          <a:xfrm>
                            <a:off x="51909" y="509711"/>
                            <a:ext cx="579755" cy="1816735"/>
                          </a:xfrm>
                          <a:prstGeom prst="rect">
                            <a:avLst/>
                          </a:prstGeom>
                        </wps:spPr>
                        <wps:txbx>
                          <w:txbxContent>
                            <w:p>
                              <w:pPr>
                                <w:spacing w:line="249" w:lineRule="auto" w:before="0"/>
                                <w:ind w:left="462" w:right="22" w:firstLine="224"/>
                                <w:jc w:val="right"/>
                                <w:rPr>
                                  <w:rFonts w:ascii="Arial"/>
                                  <w:sz w:val="12"/>
                                </w:rPr>
                              </w:pPr>
                              <w:r>
                                <w:rPr>
                                  <w:rFonts w:ascii="Arial"/>
                                  <w:color w:val="231F20"/>
                                  <w:spacing w:val="-2"/>
                                  <w:w w:val="75"/>
                                  <w:sz w:val="12"/>
                                </w:rPr>
                                <w:t>India</w:t>
                              </w:r>
                              <w:r>
                                <w:rPr>
                                  <w:rFonts w:ascii="Arial"/>
                                  <w:color w:val="231F20"/>
                                  <w:spacing w:val="40"/>
                                  <w:sz w:val="12"/>
                                </w:rPr>
                                <w:t> </w:t>
                              </w:r>
                              <w:r>
                                <w:rPr>
                                  <w:rFonts w:ascii="Arial"/>
                                  <w:color w:val="231F20"/>
                                  <w:spacing w:val="-2"/>
                                  <w:w w:val="75"/>
                                  <w:sz w:val="12"/>
                                </w:rPr>
                                <w:t>Singapore</w:t>
                              </w:r>
                            </w:p>
                            <w:p>
                              <w:pPr>
                                <w:spacing w:line="138" w:lineRule="exact" w:before="0"/>
                                <w:ind w:left="0" w:right="22" w:firstLine="0"/>
                                <w:jc w:val="right"/>
                                <w:rPr>
                                  <w:rFonts w:ascii="Arial"/>
                                  <w:sz w:val="12"/>
                                </w:rPr>
                              </w:pPr>
                              <w:r>
                                <w:rPr>
                                  <w:rFonts w:ascii="Arial"/>
                                  <w:color w:val="231F20"/>
                                  <w:w w:val="75"/>
                                  <w:sz w:val="12"/>
                                </w:rPr>
                                <w:t>United</w:t>
                              </w:r>
                              <w:r>
                                <w:rPr>
                                  <w:rFonts w:ascii="Arial"/>
                                  <w:color w:val="231F20"/>
                                  <w:spacing w:val="-3"/>
                                  <w:sz w:val="12"/>
                                </w:rPr>
                                <w:t> </w:t>
                              </w:r>
                              <w:r>
                                <w:rPr>
                                  <w:rFonts w:ascii="Arial"/>
                                  <w:color w:val="231F20"/>
                                  <w:w w:val="75"/>
                                  <w:sz w:val="12"/>
                                </w:rPr>
                                <w:t>Arab</w:t>
                              </w:r>
                              <w:r>
                                <w:rPr>
                                  <w:rFonts w:ascii="Arial"/>
                                  <w:color w:val="231F20"/>
                                  <w:spacing w:val="3"/>
                                  <w:sz w:val="12"/>
                                </w:rPr>
                                <w:t> </w:t>
                              </w:r>
                              <w:r>
                                <w:rPr>
                                  <w:rFonts w:ascii="Arial"/>
                                  <w:color w:val="231F20"/>
                                  <w:spacing w:val="-2"/>
                                  <w:w w:val="75"/>
                                  <w:sz w:val="12"/>
                                </w:rPr>
                                <w:t>Emirates</w:t>
                              </w:r>
                            </w:p>
                            <w:p>
                              <w:pPr>
                                <w:spacing w:line="249" w:lineRule="auto" w:before="4"/>
                                <w:ind w:left="379" w:right="22" w:hanging="54"/>
                                <w:jc w:val="right"/>
                                <w:rPr>
                                  <w:rFonts w:ascii="Arial"/>
                                  <w:sz w:val="12"/>
                                </w:rPr>
                              </w:pPr>
                              <w:r>
                                <w:rPr>
                                  <w:rFonts w:ascii="Arial"/>
                                  <w:color w:val="231F20"/>
                                  <w:spacing w:val="-2"/>
                                  <w:w w:val="80"/>
                                  <w:sz w:val="12"/>
                                </w:rPr>
                                <w:t>United</w:t>
                              </w:r>
                              <w:r>
                                <w:rPr>
                                  <w:rFonts w:ascii="Arial"/>
                                  <w:color w:val="231F20"/>
                                  <w:spacing w:val="-7"/>
                                  <w:sz w:val="12"/>
                                </w:rPr>
                                <w:t> </w:t>
                              </w:r>
                              <w:r>
                                <w:rPr>
                                  <w:rFonts w:ascii="Arial"/>
                                  <w:color w:val="231F20"/>
                                  <w:spacing w:val="-2"/>
                                  <w:w w:val="80"/>
                                  <w:sz w:val="12"/>
                                </w:rPr>
                                <w:t>States</w:t>
                              </w:r>
                              <w:r>
                                <w:rPr>
                                  <w:rFonts w:ascii="Arial"/>
                                  <w:color w:val="231F20"/>
                                  <w:spacing w:val="40"/>
                                  <w:sz w:val="12"/>
                                </w:rPr>
                                <w:t> </w:t>
                              </w:r>
                              <w:r>
                                <w:rPr>
                                  <w:rFonts w:ascii="Arial"/>
                                  <w:color w:val="231F20"/>
                                  <w:spacing w:val="-2"/>
                                  <w:w w:val="75"/>
                                  <w:sz w:val="12"/>
                                </w:rPr>
                                <w:t>Netherlands</w:t>
                              </w:r>
                            </w:p>
                            <w:p>
                              <w:pPr>
                                <w:spacing w:line="249" w:lineRule="auto" w:before="0"/>
                                <w:ind w:left="524" w:right="22" w:firstLine="244"/>
                                <w:jc w:val="right"/>
                                <w:rPr>
                                  <w:rFonts w:ascii="Arial" w:hAnsi="Arial"/>
                                  <w:sz w:val="12"/>
                                </w:rPr>
                              </w:pPr>
                              <w:r>
                                <w:rPr>
                                  <w:rFonts w:ascii="Arial" w:hAnsi="Arial"/>
                                  <w:color w:val="231F20"/>
                                  <w:spacing w:val="-10"/>
                                  <w:w w:val="90"/>
                                  <w:sz w:val="12"/>
                                </w:rPr>
                                <w:t>…</w:t>
                              </w:r>
                              <w:r>
                                <w:rPr>
                                  <w:rFonts w:ascii="Arial" w:hAnsi="Arial"/>
                                  <w:color w:val="231F20"/>
                                  <w:spacing w:val="40"/>
                                  <w:sz w:val="12"/>
                                </w:rPr>
                                <w:t> </w:t>
                              </w:r>
                              <w:r>
                                <w:rPr>
                                  <w:rFonts w:ascii="Arial" w:hAnsi="Arial"/>
                                  <w:color w:val="231F20"/>
                                  <w:spacing w:val="-2"/>
                                  <w:w w:val="75"/>
                                  <w:sz w:val="12"/>
                                </w:rPr>
                                <w:t>Lebanon</w:t>
                              </w:r>
                              <w:r>
                                <w:rPr>
                                  <w:rFonts w:ascii="Arial" w:hAnsi="Arial"/>
                                  <w:color w:val="231F20"/>
                                  <w:spacing w:val="40"/>
                                  <w:sz w:val="12"/>
                                </w:rPr>
                                <w:t> </w:t>
                              </w:r>
                              <w:r>
                                <w:rPr>
                                  <w:rFonts w:ascii="Arial" w:hAnsi="Arial"/>
                                  <w:color w:val="231F20"/>
                                  <w:spacing w:val="-4"/>
                                  <w:w w:val="90"/>
                                  <w:sz w:val="12"/>
                                </w:rPr>
                                <w:t>Benin</w:t>
                              </w:r>
                              <w:r>
                                <w:rPr>
                                  <w:rFonts w:ascii="Arial" w:hAnsi="Arial"/>
                                  <w:color w:val="231F20"/>
                                  <w:spacing w:val="40"/>
                                  <w:sz w:val="12"/>
                                </w:rPr>
                                <w:t> </w:t>
                              </w:r>
                              <w:r>
                                <w:rPr>
                                  <w:rFonts w:ascii="Arial" w:hAnsi="Arial"/>
                                  <w:color w:val="231F20"/>
                                  <w:spacing w:val="-2"/>
                                  <w:w w:val="90"/>
                                  <w:sz w:val="12"/>
                                </w:rPr>
                                <w:t>Finland</w:t>
                              </w:r>
                              <w:r>
                                <w:rPr>
                                  <w:rFonts w:ascii="Arial" w:hAnsi="Arial"/>
                                  <w:color w:val="231F20"/>
                                  <w:spacing w:val="40"/>
                                  <w:sz w:val="12"/>
                                </w:rPr>
                                <w:t> </w:t>
                              </w:r>
                              <w:r>
                                <w:rPr>
                                  <w:rFonts w:ascii="Arial" w:hAnsi="Arial"/>
                                  <w:color w:val="231F20"/>
                                  <w:spacing w:val="-4"/>
                                  <w:w w:val="90"/>
                                  <w:sz w:val="12"/>
                                </w:rPr>
                                <w:t>Sudan</w:t>
                              </w:r>
                              <w:r>
                                <w:rPr>
                                  <w:rFonts w:ascii="Arial" w:hAnsi="Arial"/>
                                  <w:color w:val="231F20"/>
                                  <w:spacing w:val="40"/>
                                  <w:sz w:val="12"/>
                                </w:rPr>
                                <w:t> </w:t>
                              </w:r>
                              <w:r>
                                <w:rPr>
                                  <w:rFonts w:ascii="Arial" w:hAnsi="Arial"/>
                                  <w:color w:val="231F20"/>
                                  <w:spacing w:val="-2"/>
                                  <w:w w:val="90"/>
                                  <w:sz w:val="12"/>
                                </w:rPr>
                                <w:t>Albania</w:t>
                              </w:r>
                              <w:r>
                                <w:rPr>
                                  <w:rFonts w:ascii="Arial" w:hAnsi="Arial"/>
                                  <w:color w:val="231F20"/>
                                  <w:spacing w:val="40"/>
                                  <w:sz w:val="12"/>
                                </w:rPr>
                                <w:t> </w:t>
                              </w:r>
                              <w:r>
                                <w:rPr>
                                  <w:rFonts w:ascii="Arial" w:hAnsi="Arial"/>
                                  <w:color w:val="231F20"/>
                                  <w:spacing w:val="-2"/>
                                  <w:w w:val="90"/>
                                  <w:sz w:val="12"/>
                                </w:rPr>
                                <w:t>Haiti</w:t>
                              </w:r>
                              <w:r>
                                <w:rPr>
                                  <w:rFonts w:ascii="Arial" w:hAnsi="Arial"/>
                                  <w:color w:val="231F20"/>
                                  <w:spacing w:val="40"/>
                                  <w:sz w:val="12"/>
                                </w:rPr>
                                <w:t> </w:t>
                              </w:r>
                              <w:r>
                                <w:rPr>
                                  <w:rFonts w:ascii="Arial" w:hAnsi="Arial"/>
                                  <w:color w:val="231F20"/>
                                  <w:spacing w:val="-2"/>
                                  <w:w w:val="90"/>
                                  <w:sz w:val="12"/>
                                </w:rPr>
                                <w:t>Libya</w:t>
                              </w:r>
                            </w:p>
                            <w:p>
                              <w:pPr>
                                <w:spacing w:line="137" w:lineRule="exact" w:before="0"/>
                                <w:ind w:left="0" w:right="18" w:firstLine="0"/>
                                <w:jc w:val="right"/>
                                <w:rPr>
                                  <w:rFonts w:ascii="Arial"/>
                                  <w:sz w:val="12"/>
                                </w:rPr>
                              </w:pPr>
                              <w:r>
                                <w:rPr>
                                  <w:rFonts w:ascii="Arial"/>
                                  <w:color w:val="231F20"/>
                                  <w:w w:val="75"/>
                                  <w:sz w:val="12"/>
                                </w:rPr>
                                <w:t>Egypt,</w:t>
                              </w:r>
                              <w:r>
                                <w:rPr>
                                  <w:rFonts w:ascii="Arial"/>
                                  <w:color w:val="231F20"/>
                                  <w:spacing w:val="-9"/>
                                  <w:sz w:val="12"/>
                                </w:rPr>
                                <w:t> </w:t>
                              </w:r>
                              <w:r>
                                <w:rPr>
                                  <w:rFonts w:ascii="Arial"/>
                                  <w:color w:val="231F20"/>
                                  <w:w w:val="75"/>
                                  <w:sz w:val="12"/>
                                </w:rPr>
                                <w:t>Arab</w:t>
                              </w:r>
                              <w:r>
                                <w:rPr>
                                  <w:rFonts w:ascii="Arial"/>
                                  <w:color w:val="231F20"/>
                                  <w:spacing w:val="4"/>
                                  <w:sz w:val="12"/>
                                </w:rPr>
                                <w:t> </w:t>
                              </w:r>
                              <w:r>
                                <w:rPr>
                                  <w:rFonts w:ascii="Arial"/>
                                  <w:color w:val="231F20"/>
                                  <w:spacing w:val="-4"/>
                                  <w:w w:val="75"/>
                                  <w:sz w:val="12"/>
                                </w:rPr>
                                <w:t>Rep.</w:t>
                              </w:r>
                            </w:p>
                            <w:p>
                              <w:pPr>
                                <w:spacing w:line="249" w:lineRule="auto" w:before="5"/>
                                <w:ind w:left="11" w:right="22" w:firstLine="579"/>
                                <w:jc w:val="right"/>
                                <w:rPr>
                                  <w:rFonts w:ascii="Arial"/>
                                  <w:sz w:val="12"/>
                                </w:rPr>
                              </w:pPr>
                              <w:r>
                                <w:rPr>
                                  <w:rFonts w:ascii="Arial"/>
                                  <w:color w:val="231F20"/>
                                  <w:spacing w:val="-2"/>
                                  <w:w w:val="75"/>
                                  <w:sz w:val="12"/>
                                </w:rPr>
                                <w:t>Nigeria</w:t>
                              </w:r>
                              <w:r>
                                <w:rPr>
                                  <w:rFonts w:ascii="Arial"/>
                                  <w:color w:val="231F20"/>
                                  <w:spacing w:val="40"/>
                                  <w:sz w:val="12"/>
                                </w:rPr>
                                <w:t> </w:t>
                              </w:r>
                              <w:r>
                                <w:rPr>
                                  <w:rFonts w:ascii="Arial"/>
                                  <w:color w:val="231F20"/>
                                  <w:w w:val="75"/>
                                  <w:sz w:val="12"/>
                                </w:rPr>
                                <w:t>Syrian</w:t>
                              </w:r>
                              <w:r>
                                <w:rPr>
                                  <w:rFonts w:ascii="Arial"/>
                                  <w:color w:val="231F20"/>
                                  <w:spacing w:val="-4"/>
                                  <w:sz w:val="12"/>
                                </w:rPr>
                                <w:t> </w:t>
                              </w:r>
                              <w:r>
                                <w:rPr>
                                  <w:rFonts w:ascii="Arial"/>
                                  <w:color w:val="231F20"/>
                                  <w:w w:val="75"/>
                                  <w:sz w:val="12"/>
                                </w:rPr>
                                <w:t>Arab</w:t>
                              </w:r>
                              <w:r>
                                <w:rPr>
                                  <w:rFonts w:ascii="Arial"/>
                                  <w:color w:val="231F20"/>
                                  <w:spacing w:val="1"/>
                                  <w:sz w:val="12"/>
                                </w:rPr>
                                <w:t> </w:t>
                              </w:r>
                              <w:r>
                                <w:rPr>
                                  <w:rFonts w:ascii="Arial"/>
                                  <w:color w:val="231F20"/>
                                  <w:spacing w:val="-2"/>
                                  <w:w w:val="75"/>
                                  <w:sz w:val="12"/>
                                </w:rPr>
                                <w:t>Republic</w:t>
                              </w:r>
                            </w:p>
                            <w:p>
                              <w:pPr>
                                <w:spacing w:line="249" w:lineRule="auto" w:before="0"/>
                                <w:ind w:left="124" w:right="18" w:firstLine="328"/>
                                <w:jc w:val="right"/>
                                <w:rPr>
                                  <w:rFonts w:ascii="Arial"/>
                                  <w:sz w:val="12"/>
                                </w:rPr>
                              </w:pPr>
                              <w:r>
                                <w:rPr>
                                  <w:rFonts w:ascii="Arial"/>
                                  <w:color w:val="231F20"/>
                                  <w:spacing w:val="-2"/>
                                  <w:w w:val="75"/>
                                  <w:sz w:val="12"/>
                                </w:rPr>
                                <w:t>Cameroon</w:t>
                              </w:r>
                              <w:r>
                                <w:rPr>
                                  <w:rFonts w:ascii="Arial"/>
                                  <w:color w:val="231F20"/>
                                  <w:spacing w:val="40"/>
                                  <w:sz w:val="12"/>
                                </w:rPr>
                                <w:t> </w:t>
                              </w:r>
                              <w:r>
                                <w:rPr>
                                  <w:rFonts w:ascii="Arial"/>
                                  <w:color w:val="231F20"/>
                                  <w:w w:val="75"/>
                                  <w:sz w:val="12"/>
                                </w:rPr>
                                <w:t>Congo,</w:t>
                              </w:r>
                              <w:r>
                                <w:rPr>
                                  <w:rFonts w:ascii="Arial"/>
                                  <w:color w:val="231F20"/>
                                  <w:sz w:val="12"/>
                                </w:rPr>
                                <w:t> </w:t>
                              </w:r>
                              <w:r>
                                <w:rPr>
                                  <w:rFonts w:ascii="Arial"/>
                                  <w:color w:val="231F20"/>
                                  <w:w w:val="75"/>
                                  <w:sz w:val="12"/>
                                </w:rPr>
                                <w:t>Dem.</w:t>
                              </w:r>
                              <w:r>
                                <w:rPr>
                                  <w:rFonts w:ascii="Arial"/>
                                  <w:color w:val="231F20"/>
                                  <w:spacing w:val="1"/>
                                  <w:sz w:val="12"/>
                                </w:rPr>
                                <w:t> </w:t>
                              </w:r>
                              <w:r>
                                <w:rPr>
                                  <w:rFonts w:ascii="Arial"/>
                                  <w:color w:val="231F20"/>
                                  <w:spacing w:val="-4"/>
                                  <w:w w:val="75"/>
                                  <w:sz w:val="12"/>
                                </w:rPr>
                                <w:t>Rep.</w:t>
                              </w:r>
                            </w:p>
                            <w:p>
                              <w:pPr>
                                <w:spacing w:line="249" w:lineRule="auto" w:before="0"/>
                                <w:ind w:left="368" w:right="22" w:firstLine="0"/>
                                <w:jc w:val="right"/>
                                <w:rPr>
                                  <w:rFonts w:ascii="Arial"/>
                                  <w:sz w:val="12"/>
                                </w:rPr>
                              </w:pPr>
                              <w:r>
                                <w:rPr>
                                  <w:rFonts w:ascii="Arial"/>
                                  <w:color w:val="231F20"/>
                                  <w:spacing w:val="-2"/>
                                  <w:w w:val="75"/>
                                  <w:sz w:val="12"/>
                                </w:rPr>
                                <w:t>Tunisia</w:t>
                              </w:r>
                              <w:r>
                                <w:rPr>
                                  <w:rFonts w:ascii="Arial"/>
                                  <w:color w:val="231F20"/>
                                  <w:spacing w:val="40"/>
                                  <w:sz w:val="12"/>
                                </w:rPr>
                                <w:t> </w:t>
                              </w:r>
                              <w:r>
                                <w:rPr>
                                  <w:rFonts w:ascii="Arial"/>
                                  <w:color w:val="231F20"/>
                                  <w:spacing w:val="-2"/>
                                  <w:w w:val="75"/>
                                  <w:sz w:val="12"/>
                                </w:rPr>
                                <w:t>Algeria</w:t>
                              </w:r>
                            </w:p>
                          </w:txbxContent>
                        </wps:txbx>
                        <wps:bodyPr wrap="square" lIns="0" tIns="0" rIns="0" bIns="0" rtlCol="0">
                          <a:noAutofit/>
                        </wps:bodyPr>
                      </wps:wsp>
                      <wps:wsp>
                        <wps:cNvPr id="1328" name="Textbox 1328"/>
                        <wps:cNvSpPr txBox="1"/>
                        <wps:spPr>
                          <a:xfrm>
                            <a:off x="2430170" y="521954"/>
                            <a:ext cx="579755" cy="1793239"/>
                          </a:xfrm>
                          <a:prstGeom prst="rect">
                            <a:avLst/>
                          </a:prstGeom>
                        </wps:spPr>
                        <wps:txbx>
                          <w:txbxContent>
                            <w:p>
                              <w:pPr>
                                <w:spacing w:line="312" w:lineRule="auto" w:before="0"/>
                                <w:ind w:left="326" w:right="22" w:firstLine="135"/>
                                <w:jc w:val="right"/>
                                <w:rPr>
                                  <w:rFonts w:ascii="Arial"/>
                                  <w:sz w:val="12"/>
                                </w:rPr>
                              </w:pPr>
                              <w:r>
                                <w:rPr>
                                  <w:rFonts w:ascii="Arial"/>
                                  <w:color w:val="231F20"/>
                                  <w:spacing w:val="-2"/>
                                  <w:w w:val="75"/>
                                  <w:sz w:val="12"/>
                                </w:rPr>
                                <w:t>Singapore</w:t>
                              </w:r>
                              <w:r>
                                <w:rPr>
                                  <w:rFonts w:ascii="Arial"/>
                                  <w:color w:val="231F20"/>
                                  <w:spacing w:val="40"/>
                                  <w:sz w:val="12"/>
                                </w:rPr>
                                <w:t> </w:t>
                              </w:r>
                              <w:r>
                                <w:rPr>
                                  <w:rFonts w:ascii="Arial"/>
                                  <w:color w:val="231F20"/>
                                  <w:w w:val="75"/>
                                  <w:sz w:val="12"/>
                                </w:rPr>
                                <w:t>United</w:t>
                              </w:r>
                              <w:r>
                                <w:rPr>
                                  <w:rFonts w:ascii="Arial"/>
                                  <w:color w:val="231F20"/>
                                  <w:spacing w:val="1"/>
                                  <w:sz w:val="12"/>
                                </w:rPr>
                                <w:t> </w:t>
                              </w:r>
                              <w:r>
                                <w:rPr>
                                  <w:rFonts w:ascii="Arial"/>
                                  <w:color w:val="231F20"/>
                                  <w:spacing w:val="-4"/>
                                  <w:w w:val="80"/>
                                  <w:sz w:val="12"/>
                                </w:rPr>
                                <w:t>States</w:t>
                              </w:r>
                            </w:p>
                            <w:p>
                              <w:pPr>
                                <w:spacing w:line="138" w:lineRule="exact" w:before="0"/>
                                <w:ind w:left="0" w:right="22" w:firstLine="0"/>
                                <w:jc w:val="right"/>
                                <w:rPr>
                                  <w:rFonts w:ascii="Arial"/>
                                  <w:sz w:val="12"/>
                                </w:rPr>
                              </w:pPr>
                              <w:r>
                                <w:rPr>
                                  <w:rFonts w:ascii="Arial"/>
                                  <w:color w:val="231F20"/>
                                  <w:w w:val="75"/>
                                  <w:sz w:val="12"/>
                                </w:rPr>
                                <w:t>United</w:t>
                              </w:r>
                              <w:r>
                                <w:rPr>
                                  <w:rFonts w:ascii="Arial"/>
                                  <w:color w:val="231F20"/>
                                  <w:spacing w:val="-3"/>
                                  <w:sz w:val="12"/>
                                </w:rPr>
                                <w:t> </w:t>
                              </w:r>
                              <w:r>
                                <w:rPr>
                                  <w:rFonts w:ascii="Arial"/>
                                  <w:color w:val="231F20"/>
                                  <w:w w:val="75"/>
                                  <w:sz w:val="12"/>
                                </w:rPr>
                                <w:t>Arab</w:t>
                              </w:r>
                              <w:r>
                                <w:rPr>
                                  <w:rFonts w:ascii="Arial"/>
                                  <w:color w:val="231F20"/>
                                  <w:spacing w:val="3"/>
                                  <w:sz w:val="12"/>
                                </w:rPr>
                                <w:t> </w:t>
                              </w:r>
                              <w:r>
                                <w:rPr>
                                  <w:rFonts w:ascii="Arial"/>
                                  <w:color w:val="231F20"/>
                                  <w:spacing w:val="-2"/>
                                  <w:w w:val="75"/>
                                  <w:sz w:val="12"/>
                                </w:rPr>
                                <w:t>Emirates</w:t>
                              </w:r>
                            </w:p>
                            <w:p>
                              <w:pPr>
                                <w:spacing w:before="40"/>
                                <w:ind w:left="0" w:right="22" w:firstLine="0"/>
                                <w:jc w:val="right"/>
                                <w:rPr>
                                  <w:rFonts w:ascii="Arial"/>
                                  <w:sz w:val="12"/>
                                </w:rPr>
                              </w:pPr>
                              <w:r>
                                <w:rPr>
                                  <w:rFonts w:ascii="Arial"/>
                                  <w:color w:val="231F20"/>
                                  <w:spacing w:val="-2"/>
                                  <w:w w:val="85"/>
                                  <w:sz w:val="12"/>
                                </w:rPr>
                                <w:t>Germany</w:t>
                              </w:r>
                            </w:p>
                            <w:p>
                              <w:pPr>
                                <w:spacing w:line="312" w:lineRule="auto" w:before="41"/>
                                <w:ind w:left="448" w:right="22" w:firstLine="319"/>
                                <w:jc w:val="right"/>
                                <w:rPr>
                                  <w:rFonts w:ascii="Arial" w:hAnsi="Arial"/>
                                  <w:sz w:val="12"/>
                                </w:rPr>
                              </w:pPr>
                              <w:r>
                                <w:rPr>
                                  <w:rFonts w:ascii="Arial" w:hAnsi="Arial"/>
                                  <w:color w:val="231F20"/>
                                  <w:spacing w:val="-10"/>
                                  <w:w w:val="90"/>
                                  <w:sz w:val="12"/>
                                </w:rPr>
                                <w:t>…</w:t>
                              </w:r>
                              <w:r>
                                <w:rPr>
                                  <w:rFonts w:ascii="Arial" w:hAnsi="Arial"/>
                                  <w:color w:val="231F20"/>
                                  <w:spacing w:val="40"/>
                                  <w:sz w:val="12"/>
                                </w:rPr>
                                <w:t> </w:t>
                              </w:r>
                              <w:r>
                                <w:rPr>
                                  <w:rFonts w:ascii="Arial" w:hAnsi="Arial"/>
                                  <w:color w:val="231F20"/>
                                  <w:spacing w:val="-2"/>
                                  <w:w w:val="80"/>
                                  <w:sz w:val="12"/>
                                </w:rPr>
                                <w:t>Zimbabwe</w:t>
                              </w:r>
                              <w:r>
                                <w:rPr>
                                  <w:rFonts w:ascii="Arial" w:hAnsi="Arial"/>
                                  <w:color w:val="231F20"/>
                                  <w:spacing w:val="40"/>
                                  <w:sz w:val="12"/>
                                </w:rPr>
                                <w:t> </w:t>
                              </w:r>
                              <w:r>
                                <w:rPr>
                                  <w:rFonts w:ascii="Arial" w:hAnsi="Arial"/>
                                  <w:color w:val="231F20"/>
                                  <w:spacing w:val="-4"/>
                                  <w:w w:val="90"/>
                                  <w:sz w:val="12"/>
                                </w:rPr>
                                <w:t>Benin</w:t>
                              </w:r>
                              <w:r>
                                <w:rPr>
                                  <w:rFonts w:ascii="Arial" w:hAnsi="Arial"/>
                                  <w:color w:val="231F20"/>
                                  <w:spacing w:val="40"/>
                                  <w:sz w:val="12"/>
                                </w:rPr>
                                <w:t> </w:t>
                              </w:r>
                              <w:r>
                                <w:rPr>
                                  <w:rFonts w:ascii="Arial" w:hAnsi="Arial"/>
                                  <w:color w:val="231F20"/>
                                  <w:spacing w:val="-2"/>
                                  <w:w w:val="90"/>
                                  <w:sz w:val="12"/>
                                </w:rPr>
                                <w:t>Djibouti</w:t>
                              </w:r>
                              <w:r>
                                <w:rPr>
                                  <w:rFonts w:ascii="Arial" w:hAnsi="Arial"/>
                                  <w:color w:val="231F20"/>
                                  <w:spacing w:val="40"/>
                                  <w:sz w:val="12"/>
                                </w:rPr>
                                <w:t> </w:t>
                              </w:r>
                              <w:r>
                                <w:rPr>
                                  <w:rFonts w:ascii="Arial" w:hAnsi="Arial"/>
                                  <w:color w:val="231F20"/>
                                  <w:spacing w:val="-2"/>
                                  <w:w w:val="90"/>
                                  <w:sz w:val="12"/>
                                </w:rPr>
                                <w:t>Jamaica</w:t>
                              </w:r>
                              <w:r>
                                <w:rPr>
                                  <w:rFonts w:ascii="Arial" w:hAnsi="Arial"/>
                                  <w:color w:val="231F20"/>
                                  <w:spacing w:val="40"/>
                                  <w:sz w:val="12"/>
                                </w:rPr>
                                <w:t> </w:t>
                              </w:r>
                              <w:r>
                                <w:rPr>
                                  <w:rFonts w:ascii="Arial" w:hAnsi="Arial"/>
                                  <w:color w:val="231F20"/>
                                  <w:spacing w:val="-2"/>
                                  <w:w w:val="90"/>
                                  <w:sz w:val="12"/>
                                </w:rPr>
                                <w:t>Nigeria</w:t>
                              </w:r>
                              <w:r>
                                <w:rPr>
                                  <w:rFonts w:ascii="Arial" w:hAnsi="Arial"/>
                                  <w:color w:val="231F20"/>
                                  <w:spacing w:val="40"/>
                                  <w:sz w:val="12"/>
                                </w:rPr>
                                <w:t> </w:t>
                              </w:r>
                              <w:r>
                                <w:rPr>
                                  <w:rFonts w:ascii="Arial" w:hAnsi="Arial"/>
                                  <w:color w:val="231F20"/>
                                  <w:spacing w:val="-4"/>
                                  <w:w w:val="90"/>
                                  <w:sz w:val="12"/>
                                </w:rPr>
                                <w:t>Sudan</w:t>
                              </w:r>
                              <w:r>
                                <w:rPr>
                                  <w:rFonts w:ascii="Arial" w:hAnsi="Arial"/>
                                  <w:color w:val="231F20"/>
                                  <w:spacing w:val="40"/>
                                  <w:sz w:val="12"/>
                                </w:rPr>
                                <w:t> </w:t>
                              </w:r>
                              <w:r>
                                <w:rPr>
                                  <w:rFonts w:ascii="Arial" w:hAnsi="Arial"/>
                                  <w:color w:val="231F20"/>
                                  <w:spacing w:val="-2"/>
                                  <w:w w:val="90"/>
                                  <w:sz w:val="12"/>
                                </w:rPr>
                                <w:t>Ghana</w:t>
                              </w:r>
                              <w:r>
                                <w:rPr>
                                  <w:rFonts w:ascii="Arial" w:hAnsi="Arial"/>
                                  <w:color w:val="231F20"/>
                                  <w:spacing w:val="40"/>
                                  <w:sz w:val="12"/>
                                </w:rPr>
                                <w:t> </w:t>
                              </w:r>
                              <w:r>
                                <w:rPr>
                                  <w:rFonts w:ascii="Arial" w:hAnsi="Arial"/>
                                  <w:color w:val="231F20"/>
                                  <w:spacing w:val="-2"/>
                                  <w:w w:val="90"/>
                                  <w:sz w:val="12"/>
                                </w:rPr>
                                <w:t>Gabon</w:t>
                              </w:r>
                            </w:p>
                            <w:p>
                              <w:pPr>
                                <w:spacing w:line="136" w:lineRule="exact" w:before="0"/>
                                <w:ind w:left="0" w:right="18" w:firstLine="0"/>
                                <w:jc w:val="right"/>
                                <w:rPr>
                                  <w:rFonts w:ascii="Arial"/>
                                  <w:sz w:val="12"/>
                                </w:rPr>
                              </w:pPr>
                              <w:r>
                                <w:rPr>
                                  <w:rFonts w:ascii="Arial"/>
                                  <w:color w:val="231F20"/>
                                  <w:w w:val="75"/>
                                  <w:sz w:val="12"/>
                                </w:rPr>
                                <w:t>Egypt,</w:t>
                              </w:r>
                              <w:r>
                                <w:rPr>
                                  <w:rFonts w:ascii="Arial"/>
                                  <w:color w:val="231F20"/>
                                  <w:spacing w:val="-9"/>
                                  <w:sz w:val="12"/>
                                </w:rPr>
                                <w:t> </w:t>
                              </w:r>
                              <w:r>
                                <w:rPr>
                                  <w:rFonts w:ascii="Arial"/>
                                  <w:color w:val="231F20"/>
                                  <w:w w:val="75"/>
                                  <w:sz w:val="12"/>
                                </w:rPr>
                                <w:t>Arab</w:t>
                              </w:r>
                              <w:r>
                                <w:rPr>
                                  <w:rFonts w:ascii="Arial"/>
                                  <w:color w:val="231F20"/>
                                  <w:spacing w:val="4"/>
                                  <w:sz w:val="12"/>
                                </w:rPr>
                                <w:t> </w:t>
                              </w:r>
                              <w:r>
                                <w:rPr>
                                  <w:rFonts w:ascii="Arial"/>
                                  <w:color w:val="231F20"/>
                                  <w:spacing w:val="-4"/>
                                  <w:w w:val="75"/>
                                  <w:sz w:val="12"/>
                                </w:rPr>
                                <w:t>Rep.</w:t>
                              </w:r>
                            </w:p>
                            <w:p>
                              <w:pPr>
                                <w:spacing w:line="180" w:lineRule="atLeast" w:before="0"/>
                                <w:ind w:left="595" w:right="22" w:firstLine="2"/>
                                <w:jc w:val="right"/>
                                <w:rPr>
                                  <w:rFonts w:ascii="Arial"/>
                                  <w:sz w:val="12"/>
                                </w:rPr>
                              </w:pPr>
                              <w:r>
                                <w:rPr>
                                  <w:rFonts w:ascii="Arial"/>
                                  <w:color w:val="231F20"/>
                                  <w:spacing w:val="-2"/>
                                  <w:w w:val="75"/>
                                  <w:sz w:val="12"/>
                                </w:rPr>
                                <w:t>Angola</w:t>
                              </w:r>
                              <w:r>
                                <w:rPr>
                                  <w:rFonts w:ascii="Arial"/>
                                  <w:color w:val="231F20"/>
                                  <w:spacing w:val="40"/>
                                  <w:sz w:val="12"/>
                                </w:rPr>
                                <w:t> </w:t>
                              </w:r>
                              <w:r>
                                <w:rPr>
                                  <w:rFonts w:ascii="Arial"/>
                                  <w:color w:val="231F20"/>
                                  <w:spacing w:val="-2"/>
                                  <w:w w:val="75"/>
                                  <w:sz w:val="12"/>
                                </w:rPr>
                                <w:t>Algeria</w:t>
                              </w:r>
                            </w:p>
                          </w:txbxContent>
                        </wps:txbx>
                        <wps:bodyPr wrap="square" lIns="0" tIns="0" rIns="0" bIns="0" rtlCol="0">
                          <a:noAutofit/>
                        </wps:bodyPr>
                      </wps:wsp>
                      <wps:wsp>
                        <wps:cNvPr id="1329" name="Textbox 1329"/>
                        <wps:cNvSpPr txBox="1"/>
                        <wps:spPr>
                          <a:xfrm>
                            <a:off x="621103" y="2349689"/>
                            <a:ext cx="477520" cy="100965"/>
                          </a:xfrm>
                          <a:prstGeom prst="rect">
                            <a:avLst/>
                          </a:prstGeom>
                        </wps:spPr>
                        <wps:txbx>
                          <w:txbxContent>
                            <w:p>
                              <w:pPr>
                                <w:tabs>
                                  <w:tab w:pos="663" w:val="left" w:leader="none"/>
                                </w:tabs>
                                <w:spacing w:line="158" w:lineRule="exact" w:before="0"/>
                                <w:ind w:left="0" w:right="0" w:firstLine="0"/>
                                <w:jc w:val="left"/>
                                <w:rPr>
                                  <w:rFonts w:ascii="Arial"/>
                                  <w:sz w:val="14"/>
                                </w:rPr>
                              </w:pPr>
                              <w:r>
                                <w:rPr>
                                  <w:rFonts w:ascii="Arial"/>
                                  <w:color w:val="231F20"/>
                                  <w:spacing w:val="-10"/>
                                  <w:w w:val="95"/>
                                  <w:sz w:val="14"/>
                                </w:rPr>
                                <w:t>0</w:t>
                              </w:r>
                              <w:r>
                                <w:rPr>
                                  <w:rFonts w:ascii="Arial"/>
                                  <w:color w:val="231F20"/>
                                  <w:sz w:val="14"/>
                                </w:rPr>
                                <w:tab/>
                              </w:r>
                              <w:r>
                                <w:rPr>
                                  <w:rFonts w:ascii="Arial"/>
                                  <w:color w:val="231F20"/>
                                  <w:spacing w:val="-10"/>
                                  <w:w w:val="95"/>
                                  <w:sz w:val="14"/>
                                </w:rPr>
                                <w:t>5</w:t>
                              </w:r>
                            </w:p>
                          </w:txbxContent>
                        </wps:txbx>
                        <wps:bodyPr wrap="square" lIns="0" tIns="0" rIns="0" bIns="0" rtlCol="0">
                          <a:noAutofit/>
                        </wps:bodyPr>
                      </wps:wsp>
                      <wps:wsp>
                        <wps:cNvPr id="1330" name="Textbox 1330"/>
                        <wps:cNvSpPr txBox="1"/>
                        <wps:spPr>
                          <a:xfrm>
                            <a:off x="1111501" y="2349689"/>
                            <a:ext cx="761365" cy="227965"/>
                          </a:xfrm>
                          <a:prstGeom prst="rect">
                            <a:avLst/>
                          </a:prstGeom>
                        </wps:spPr>
                        <wps:txbx>
                          <w:txbxContent>
                            <w:p>
                              <w:pPr>
                                <w:spacing w:line="159" w:lineRule="exact" w:before="0"/>
                                <w:ind w:left="0" w:right="18" w:firstLine="0"/>
                                <w:jc w:val="center"/>
                                <w:rPr>
                                  <w:rFonts w:ascii="Arial"/>
                                  <w:sz w:val="14"/>
                                </w:rPr>
                              </w:pPr>
                              <w:r>
                                <w:rPr>
                                  <w:rFonts w:ascii="Arial"/>
                                  <w:color w:val="231F20"/>
                                  <w:spacing w:val="-5"/>
                                  <w:w w:val="95"/>
                                  <w:sz w:val="14"/>
                                </w:rPr>
                                <w:t>10</w:t>
                              </w:r>
                            </w:p>
                            <w:p>
                              <w:pPr>
                                <w:spacing w:line="160" w:lineRule="exact" w:before="39"/>
                                <w:ind w:left="0" w:right="18" w:firstLine="0"/>
                                <w:jc w:val="center"/>
                                <w:rPr>
                                  <w:rFonts w:ascii="Arial"/>
                                  <w:sz w:val="14"/>
                                </w:rPr>
                              </w:pPr>
                              <w:r>
                                <w:rPr>
                                  <w:rFonts w:ascii="Arial"/>
                                  <w:color w:val="231F20"/>
                                  <w:w w:val="80"/>
                                  <w:sz w:val="14"/>
                                </w:rPr>
                                <w:t>Import</w:t>
                              </w:r>
                              <w:r>
                                <w:rPr>
                                  <w:rFonts w:ascii="Arial"/>
                                  <w:color w:val="231F20"/>
                                  <w:spacing w:val="-7"/>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7"/>
                                  <w:sz w:val="14"/>
                                </w:rPr>
                                <w:t> </w:t>
                              </w:r>
                              <w:r>
                                <w:rPr>
                                  <w:rFonts w:ascii="Arial"/>
                                  <w:color w:val="231F20"/>
                                  <w:spacing w:val="-5"/>
                                  <w:w w:val="80"/>
                                  <w:sz w:val="14"/>
                                </w:rPr>
                                <w:t>(days)</w:t>
                              </w:r>
                            </w:p>
                          </w:txbxContent>
                        </wps:txbx>
                        <wps:bodyPr wrap="square" lIns="0" tIns="0" rIns="0" bIns="0" rtlCol="0">
                          <a:noAutofit/>
                        </wps:bodyPr>
                      </wps:wsp>
                      <wps:wsp>
                        <wps:cNvPr id="1331" name="Textbox 1331"/>
                        <wps:cNvSpPr txBox="1"/>
                        <wps:spPr>
                          <a:xfrm>
                            <a:off x="1864459" y="2349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15</w:t>
                              </w:r>
                            </w:p>
                          </w:txbxContent>
                        </wps:txbx>
                        <wps:bodyPr wrap="square" lIns="0" tIns="0" rIns="0" bIns="0" rtlCol="0">
                          <a:noAutofit/>
                        </wps:bodyPr>
                      </wps:wsp>
                      <wps:wsp>
                        <wps:cNvPr id="1332" name="Textbox 1332"/>
                        <wps:cNvSpPr txBox="1"/>
                        <wps:spPr>
                          <a:xfrm>
                            <a:off x="2286022" y="234968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20</w:t>
                              </w:r>
                            </w:p>
                          </w:txbxContent>
                        </wps:txbx>
                        <wps:bodyPr wrap="square" lIns="0" tIns="0" rIns="0" bIns="0" rtlCol="0">
                          <a:noAutofit/>
                        </wps:bodyPr>
                      </wps:wsp>
                      <wps:wsp>
                        <wps:cNvPr id="1333" name="Textbox 1333"/>
                        <wps:cNvSpPr txBox="1"/>
                        <wps:spPr>
                          <a:xfrm>
                            <a:off x="2999357" y="2349689"/>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w w:val="95"/>
                                  <w:sz w:val="14"/>
                                </w:rPr>
                                <w:t>0</w:t>
                              </w:r>
                            </w:p>
                          </w:txbxContent>
                        </wps:txbx>
                        <wps:bodyPr wrap="square" lIns="0" tIns="0" rIns="0" bIns="0" rtlCol="0">
                          <a:noAutofit/>
                        </wps:bodyPr>
                      </wps:wsp>
                      <wps:wsp>
                        <wps:cNvPr id="1334" name="Textbox 1334"/>
                        <wps:cNvSpPr txBox="1"/>
                        <wps:spPr>
                          <a:xfrm>
                            <a:off x="3336644" y="2349689"/>
                            <a:ext cx="393065" cy="100965"/>
                          </a:xfrm>
                          <a:prstGeom prst="rect">
                            <a:avLst/>
                          </a:prstGeom>
                        </wps:spPr>
                        <wps:txbx>
                          <w:txbxContent>
                            <w:p>
                              <w:pPr>
                                <w:tabs>
                                  <w:tab w:pos="531" w:val="left" w:leader="none"/>
                                </w:tabs>
                                <w:spacing w:line="158" w:lineRule="exact" w:before="0"/>
                                <w:ind w:left="0" w:right="0" w:firstLine="0"/>
                                <w:jc w:val="left"/>
                                <w:rPr>
                                  <w:rFonts w:ascii="Arial"/>
                                  <w:sz w:val="14"/>
                                </w:rPr>
                              </w:pPr>
                              <w:r>
                                <w:rPr>
                                  <w:rFonts w:ascii="Arial"/>
                                  <w:color w:val="231F20"/>
                                  <w:spacing w:val="-10"/>
                                  <w:w w:val="95"/>
                                  <w:sz w:val="14"/>
                                </w:rPr>
                                <w:t>2</w:t>
                              </w:r>
                              <w:r>
                                <w:rPr>
                                  <w:rFonts w:ascii="Arial"/>
                                  <w:color w:val="231F20"/>
                                  <w:sz w:val="14"/>
                                </w:rPr>
                                <w:tab/>
                              </w:r>
                              <w:r>
                                <w:rPr>
                                  <w:rFonts w:ascii="Arial"/>
                                  <w:color w:val="231F20"/>
                                  <w:spacing w:val="-10"/>
                                  <w:w w:val="95"/>
                                  <w:sz w:val="14"/>
                                </w:rPr>
                                <w:t>4</w:t>
                              </w:r>
                            </w:p>
                          </w:txbxContent>
                        </wps:txbx>
                        <wps:bodyPr wrap="square" lIns="0" tIns="0" rIns="0" bIns="0" rtlCol="0">
                          <a:noAutofit/>
                        </wps:bodyPr>
                      </wps:wsp>
                      <wps:wsp>
                        <wps:cNvPr id="1335" name="Textbox 1335"/>
                        <wps:cNvSpPr txBox="1"/>
                        <wps:spPr>
                          <a:xfrm>
                            <a:off x="4011217" y="2349689"/>
                            <a:ext cx="751840" cy="100965"/>
                          </a:xfrm>
                          <a:prstGeom prst="rect">
                            <a:avLst/>
                          </a:prstGeom>
                        </wps:spPr>
                        <wps:txbx>
                          <w:txbxContent>
                            <w:p>
                              <w:pPr>
                                <w:tabs>
                                  <w:tab w:pos="531" w:val="left" w:leader="none"/>
                                  <w:tab w:pos="1028" w:val="left" w:leader="none"/>
                                </w:tabs>
                                <w:spacing w:line="158" w:lineRule="exact" w:before="0"/>
                                <w:ind w:left="0" w:right="0" w:firstLine="0"/>
                                <w:jc w:val="left"/>
                                <w:rPr>
                                  <w:rFonts w:ascii="Arial"/>
                                  <w:sz w:val="14"/>
                                </w:rPr>
                              </w:pPr>
                              <w:r>
                                <w:rPr>
                                  <w:rFonts w:ascii="Arial"/>
                                  <w:color w:val="231F20"/>
                                  <w:spacing w:val="-10"/>
                                  <w:w w:val="95"/>
                                  <w:sz w:val="14"/>
                                </w:rPr>
                                <w:t>6</w:t>
                              </w:r>
                              <w:r>
                                <w:rPr>
                                  <w:rFonts w:ascii="Arial"/>
                                  <w:color w:val="231F20"/>
                                  <w:sz w:val="14"/>
                                </w:rPr>
                                <w:tab/>
                              </w:r>
                              <w:r>
                                <w:rPr>
                                  <w:rFonts w:ascii="Arial"/>
                                  <w:color w:val="231F20"/>
                                  <w:spacing w:val="-10"/>
                                  <w:w w:val="95"/>
                                  <w:sz w:val="14"/>
                                </w:rPr>
                                <w:t>8</w:t>
                              </w:r>
                              <w:r>
                                <w:rPr>
                                  <w:rFonts w:ascii="Arial"/>
                                  <w:color w:val="231F20"/>
                                  <w:sz w:val="14"/>
                                </w:rPr>
                                <w:tab/>
                              </w:r>
                              <w:r>
                                <w:rPr>
                                  <w:rFonts w:ascii="Arial"/>
                                  <w:color w:val="231F20"/>
                                  <w:spacing w:val="-5"/>
                                  <w:w w:val="95"/>
                                  <w:sz w:val="14"/>
                                </w:rPr>
                                <w:t>10</w:t>
                              </w:r>
                            </w:p>
                          </w:txbxContent>
                        </wps:txbx>
                        <wps:bodyPr wrap="square" lIns="0" tIns="0" rIns="0" bIns="0" rtlCol="0">
                          <a:noAutofit/>
                        </wps:bodyPr>
                      </wps:wsp>
                      <wps:wsp>
                        <wps:cNvPr id="1336" name="Textbox 1336"/>
                        <wps:cNvSpPr txBox="1"/>
                        <wps:spPr>
                          <a:xfrm>
                            <a:off x="3489754" y="2476727"/>
                            <a:ext cx="761365" cy="100965"/>
                          </a:xfrm>
                          <a:prstGeom prst="rect">
                            <a:avLst/>
                          </a:prstGeom>
                        </wps:spPr>
                        <wps:txbx>
                          <w:txbxContent>
                            <w:p>
                              <w:pPr>
                                <w:spacing w:line="158" w:lineRule="exact" w:before="0"/>
                                <w:ind w:left="0" w:right="0" w:firstLine="0"/>
                                <w:jc w:val="left"/>
                                <w:rPr>
                                  <w:rFonts w:ascii="Arial"/>
                                  <w:sz w:val="14"/>
                                </w:rPr>
                              </w:pPr>
                              <w:r>
                                <w:rPr>
                                  <w:rFonts w:ascii="Arial"/>
                                  <w:color w:val="231F20"/>
                                  <w:w w:val="80"/>
                                  <w:sz w:val="14"/>
                                </w:rPr>
                                <w:t>Import</w:t>
                              </w:r>
                              <w:r>
                                <w:rPr>
                                  <w:rFonts w:ascii="Arial"/>
                                  <w:color w:val="231F20"/>
                                  <w:spacing w:val="-7"/>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7"/>
                                  <w:sz w:val="14"/>
                                </w:rPr>
                                <w:t> </w:t>
                              </w:r>
                              <w:r>
                                <w:rPr>
                                  <w:rFonts w:ascii="Arial"/>
                                  <w:color w:val="231F20"/>
                                  <w:spacing w:val="-2"/>
                                  <w:w w:val="80"/>
                                  <w:sz w:val="14"/>
                                </w:rPr>
                                <w:t>(days)</w:t>
                              </w:r>
                            </w:p>
                          </w:txbxContent>
                        </wps:txbx>
                        <wps:bodyPr wrap="square" lIns="0" tIns="0" rIns="0" bIns="0" rtlCol="0">
                          <a:noAutofit/>
                        </wps:bodyPr>
                      </wps:wsp>
                      <wps:wsp>
                        <wps:cNvPr id="1337" name="Textbox 1337"/>
                        <wps:cNvSpPr txBox="1"/>
                        <wps:spPr>
                          <a:xfrm>
                            <a:off x="76386" y="2671521"/>
                            <a:ext cx="4518025" cy="180340"/>
                          </a:xfrm>
                          <a:prstGeom prst="rect">
                            <a:avLst/>
                          </a:prstGeom>
                        </wps:spPr>
                        <wps:txbx>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3"/>
                                  <w:sz w:val="12"/>
                                </w:rPr>
                                <w:t> </w:t>
                              </w:r>
                              <w:r>
                                <w:rPr>
                                  <w:rFonts w:ascii="Arial"/>
                                  <w:color w:val="231F20"/>
                                  <w:w w:val="75"/>
                                  <w:sz w:val="12"/>
                                </w:rPr>
                                <w:t>World</w:t>
                              </w:r>
                              <w:r>
                                <w:rPr>
                                  <w:rFonts w:ascii="Arial"/>
                                  <w:color w:val="231F20"/>
                                  <w:spacing w:val="3"/>
                                  <w:sz w:val="12"/>
                                </w:rPr>
                                <w:t> </w:t>
                              </w:r>
                              <w:r>
                                <w:rPr>
                                  <w:rFonts w:ascii="Arial"/>
                                  <w:color w:val="231F20"/>
                                  <w:w w:val="75"/>
                                  <w:sz w:val="12"/>
                                </w:rPr>
                                <w:t>Bank</w:t>
                              </w:r>
                              <w:r>
                                <w:rPr>
                                  <w:rFonts w:ascii="Arial"/>
                                  <w:color w:val="231F20"/>
                                  <w:spacing w:val="3"/>
                                  <w:sz w:val="12"/>
                                </w:rPr>
                                <w:t> </w:t>
                              </w:r>
                              <w:r>
                                <w:rPr>
                                  <w:rFonts w:ascii="Arial"/>
                                  <w:color w:val="231F20"/>
                                  <w:w w:val="75"/>
                                  <w:sz w:val="12"/>
                                </w:rPr>
                                <w:t>estimate</w:t>
                              </w:r>
                              <w:r>
                                <w:rPr>
                                  <w:rFonts w:ascii="Arial"/>
                                  <w:color w:val="231F20"/>
                                  <w:spacing w:val="3"/>
                                  <w:sz w:val="12"/>
                                </w:rPr>
                                <w:t> </w:t>
                              </w:r>
                              <w:r>
                                <w:rPr>
                                  <w:rFonts w:ascii="Arial"/>
                                  <w:color w:val="231F20"/>
                                  <w:w w:val="75"/>
                                  <w:sz w:val="12"/>
                                </w:rPr>
                                <w:t>from</w:t>
                              </w:r>
                              <w:r>
                                <w:rPr>
                                  <w:rFonts w:ascii="Arial"/>
                                  <w:color w:val="231F20"/>
                                  <w:spacing w:val="-2"/>
                                  <w:sz w:val="12"/>
                                </w:rPr>
                                <w:t> </w:t>
                              </w:r>
                              <w:r>
                                <w:rPr>
                                  <w:rFonts w:ascii="Arial"/>
                                  <w:color w:val="231F20"/>
                                  <w:w w:val="75"/>
                                  <w:sz w:val="12"/>
                                </w:rPr>
                                <w:t>TradeLens</w:t>
                              </w:r>
                              <w:r>
                                <w:rPr>
                                  <w:rFonts w:ascii="Arial"/>
                                  <w:color w:val="231F20"/>
                                  <w:spacing w:val="2"/>
                                  <w:sz w:val="12"/>
                                </w:rPr>
                                <w:t> </w:t>
                              </w:r>
                              <w:r>
                                <w:rPr>
                                  <w:rFonts w:ascii="Arial"/>
                                  <w:color w:val="231F20"/>
                                  <w:w w:val="75"/>
                                  <w:sz w:val="12"/>
                                </w:rPr>
                                <w:t>and</w:t>
                              </w:r>
                              <w:r>
                                <w:rPr>
                                  <w:rFonts w:ascii="Arial"/>
                                  <w:color w:val="231F20"/>
                                  <w:spacing w:val="3"/>
                                  <w:sz w:val="12"/>
                                </w:rPr>
                                <w:t> </w:t>
                              </w:r>
                              <w:r>
                                <w:rPr>
                                  <w:rFonts w:ascii="Arial"/>
                                  <w:color w:val="231F20"/>
                                  <w:w w:val="75"/>
                                  <w:sz w:val="12"/>
                                </w:rPr>
                                <w:t>Cargo</w:t>
                              </w:r>
                              <w:r>
                                <w:rPr>
                                  <w:rFonts w:ascii="Arial"/>
                                  <w:color w:val="231F20"/>
                                  <w:spacing w:val="3"/>
                                  <w:sz w:val="12"/>
                                </w:rPr>
                                <w:t> </w:t>
                              </w:r>
                              <w:r>
                                <w:rPr>
                                  <w:rFonts w:ascii="Arial"/>
                                  <w:color w:val="231F20"/>
                                  <w:w w:val="75"/>
                                  <w:sz w:val="12"/>
                                </w:rPr>
                                <w:t>iQ</w:t>
                              </w:r>
                              <w:r>
                                <w:rPr>
                                  <w:rFonts w:ascii="Arial"/>
                                  <w:color w:val="231F20"/>
                                  <w:spacing w:val="3"/>
                                  <w:sz w:val="12"/>
                                </w:rPr>
                                <w:t> </w:t>
                              </w:r>
                              <w:r>
                                <w:rPr>
                                  <w:rFonts w:ascii="Arial"/>
                                  <w:color w:val="231F20"/>
                                  <w:spacing w:val="-2"/>
                                  <w:w w:val="75"/>
                                  <w:sz w:val="12"/>
                                </w:rPr>
                                <w:t>data.</w:t>
                              </w:r>
                            </w:p>
                            <w:p>
                              <w:pPr>
                                <w:spacing w:before="2"/>
                                <w:ind w:left="0" w:right="0" w:firstLine="0"/>
                                <w:jc w:val="left"/>
                                <w:rPr>
                                  <w:rFonts w:ascii="Arial"/>
                                  <w:sz w:val="12"/>
                                </w:rPr>
                              </w:pPr>
                              <w:r>
                                <w:rPr>
                                  <w:rFonts w:ascii="Arial"/>
                                  <w:i/>
                                  <w:color w:val="231F20"/>
                                  <w:w w:val="80"/>
                                  <w:sz w:val="12"/>
                                </w:rPr>
                                <w:t>Note:</w:t>
                              </w:r>
                              <w:r>
                                <w:rPr>
                                  <w:rFonts w:ascii="Arial"/>
                                  <w:i/>
                                  <w:color w:val="231F20"/>
                                  <w:spacing w:val="-2"/>
                                  <w:w w:val="80"/>
                                  <w:sz w:val="12"/>
                                </w:rPr>
                                <w:t> </w:t>
                              </w:r>
                              <w:r>
                                <w:rPr>
                                  <w:rFonts w:ascii="Arial"/>
                                  <w:color w:val="231F20"/>
                                  <w:w w:val="80"/>
                                  <w:sz w:val="12"/>
                                </w:rPr>
                                <w:t>For</w:t>
                              </w:r>
                              <w:r>
                                <w:rPr>
                                  <w:rFonts w:ascii="Arial"/>
                                  <w:color w:val="231F20"/>
                                  <w:spacing w:val="-1"/>
                                  <w:w w:val="80"/>
                                  <w:sz w:val="12"/>
                                </w:rPr>
                                <w:t> </w:t>
                              </w:r>
                              <w:r>
                                <w:rPr>
                                  <w:rFonts w:ascii="Arial"/>
                                  <w:color w:val="231F20"/>
                                  <w:w w:val="80"/>
                                  <w:sz w:val="12"/>
                                </w:rPr>
                                <w:t>ports,</w:t>
                              </w:r>
                              <w:r>
                                <w:rPr>
                                  <w:rFonts w:ascii="Arial"/>
                                  <w:color w:val="231F20"/>
                                  <w:spacing w:val="-2"/>
                                  <w:w w:val="80"/>
                                  <w:sz w:val="12"/>
                                </w:rPr>
                                <w:t> </w:t>
                              </w:r>
                              <w:r>
                                <w:rPr>
                                  <w:rFonts w:ascii="Arial"/>
                                  <w:color w:val="231F20"/>
                                  <w:w w:val="80"/>
                                  <w:sz w:val="12"/>
                                </w:rPr>
                                <w:t>outliers</w:t>
                              </w:r>
                              <w:r>
                                <w:rPr>
                                  <w:rFonts w:ascii="Arial"/>
                                  <w:color w:val="231F20"/>
                                  <w:spacing w:val="-6"/>
                                  <w:sz w:val="12"/>
                                </w:rPr>
                                <w:t> </w:t>
                              </w:r>
                              <w:r>
                                <w:rPr>
                                  <w:rFonts w:ascii="Arial"/>
                                  <w:color w:val="231F20"/>
                                  <w:w w:val="80"/>
                                  <w:sz w:val="12"/>
                                </w:rPr>
                                <w:t>are</w:t>
                              </w:r>
                              <w:r>
                                <w:rPr>
                                  <w:rFonts w:ascii="Arial"/>
                                  <w:color w:val="231F20"/>
                                  <w:spacing w:val="-6"/>
                                  <w:sz w:val="12"/>
                                </w:rPr>
                                <w:t> </w:t>
                              </w:r>
                              <w:r>
                                <w:rPr>
                                  <w:rFonts w:ascii="Arial"/>
                                  <w:color w:val="231F20"/>
                                  <w:w w:val="80"/>
                                  <w:sz w:val="12"/>
                                </w:rPr>
                                <w:t>countries</w:t>
                              </w:r>
                              <w:r>
                                <w:rPr>
                                  <w:rFonts w:ascii="Arial"/>
                                  <w:color w:val="231F20"/>
                                  <w:spacing w:val="-6"/>
                                  <w:sz w:val="12"/>
                                </w:rPr>
                                <w:t> </w:t>
                              </w:r>
                              <w:r>
                                <w:rPr>
                                  <w:rFonts w:ascii="Arial"/>
                                  <w:color w:val="231F20"/>
                                  <w:w w:val="80"/>
                                  <w:sz w:val="12"/>
                                </w:rPr>
                                <w:t>with</w:t>
                              </w:r>
                              <w:r>
                                <w:rPr>
                                  <w:rFonts w:ascii="Arial"/>
                                  <w:color w:val="231F20"/>
                                  <w:spacing w:val="-7"/>
                                  <w:sz w:val="12"/>
                                </w:rPr>
                                <w:t> </w:t>
                              </w:r>
                              <w:r>
                                <w:rPr>
                                  <w:rFonts w:ascii="Arial"/>
                                  <w:color w:val="231F20"/>
                                  <w:w w:val="80"/>
                                  <w:sz w:val="12"/>
                                </w:rPr>
                                <w:t>import</w:t>
                              </w:r>
                              <w:r>
                                <w:rPr>
                                  <w:rFonts w:ascii="Arial"/>
                                  <w:color w:val="231F20"/>
                                  <w:spacing w:val="-6"/>
                                  <w:sz w:val="12"/>
                                </w:rPr>
                                <w:t> </w:t>
                              </w:r>
                              <w:r>
                                <w:rPr>
                                  <w:rFonts w:ascii="Arial"/>
                                  <w:color w:val="231F20"/>
                                  <w:w w:val="80"/>
                                  <w:sz w:val="12"/>
                                </w:rPr>
                                <w:t>dwell</w:t>
                              </w:r>
                              <w:r>
                                <w:rPr>
                                  <w:rFonts w:ascii="Arial"/>
                                  <w:color w:val="231F20"/>
                                  <w:spacing w:val="-6"/>
                                  <w:sz w:val="12"/>
                                </w:rPr>
                                <w:t> </w:t>
                              </w:r>
                              <w:r>
                                <w:rPr>
                                  <w:rFonts w:ascii="Arial"/>
                                  <w:color w:val="231F20"/>
                                  <w:w w:val="80"/>
                                  <w:sz w:val="12"/>
                                </w:rPr>
                                <w:t>times</w:t>
                              </w:r>
                              <w:r>
                                <w:rPr>
                                  <w:rFonts w:ascii="Arial"/>
                                  <w:color w:val="231F20"/>
                                  <w:spacing w:val="-6"/>
                                  <w:sz w:val="12"/>
                                </w:rPr>
                                <w:t> </w:t>
                              </w:r>
                              <w:r>
                                <w:rPr>
                                  <w:rFonts w:ascii="Arial"/>
                                  <w:color w:val="231F20"/>
                                  <w:w w:val="80"/>
                                  <w:sz w:val="12"/>
                                </w:rPr>
                                <w:t>of</w:t>
                              </w:r>
                              <w:r>
                                <w:rPr>
                                  <w:rFonts w:ascii="Arial"/>
                                  <w:color w:val="231F20"/>
                                  <w:spacing w:val="-6"/>
                                  <w:sz w:val="12"/>
                                </w:rPr>
                                <w:t> </w:t>
                              </w:r>
                              <w:r>
                                <w:rPr>
                                  <w:rFonts w:ascii="Arial"/>
                                  <w:color w:val="231F20"/>
                                  <w:w w:val="80"/>
                                  <w:sz w:val="12"/>
                                </w:rPr>
                                <w:t>more</w:t>
                              </w:r>
                              <w:r>
                                <w:rPr>
                                  <w:rFonts w:ascii="Arial"/>
                                  <w:color w:val="231F20"/>
                                  <w:spacing w:val="-7"/>
                                  <w:sz w:val="12"/>
                                </w:rPr>
                                <w:t> </w:t>
                              </w:r>
                              <w:r>
                                <w:rPr>
                                  <w:rFonts w:ascii="Arial"/>
                                  <w:color w:val="231F20"/>
                                  <w:w w:val="80"/>
                                  <w:sz w:val="12"/>
                                </w:rPr>
                                <w:t>than</w:t>
                              </w:r>
                              <w:r>
                                <w:rPr>
                                  <w:rFonts w:ascii="Arial"/>
                                  <w:color w:val="231F20"/>
                                  <w:spacing w:val="-6"/>
                                  <w:sz w:val="12"/>
                                </w:rPr>
                                <w:t> </w:t>
                              </w:r>
                              <w:r>
                                <w:rPr>
                                  <w:rFonts w:ascii="Arial"/>
                                  <w:color w:val="231F20"/>
                                  <w:w w:val="80"/>
                                  <w:sz w:val="12"/>
                                </w:rPr>
                                <w:t>12</w:t>
                              </w:r>
                              <w:r>
                                <w:rPr>
                                  <w:rFonts w:ascii="Arial"/>
                                  <w:color w:val="231F20"/>
                                  <w:spacing w:val="-6"/>
                                  <w:sz w:val="12"/>
                                </w:rPr>
                                <w:t> </w:t>
                              </w:r>
                              <w:r>
                                <w:rPr>
                                  <w:rFonts w:ascii="Arial"/>
                                  <w:color w:val="231F20"/>
                                  <w:w w:val="80"/>
                                  <w:sz w:val="12"/>
                                </w:rPr>
                                <w:t>days,</w:t>
                              </w:r>
                              <w:r>
                                <w:rPr>
                                  <w:rFonts w:ascii="Arial"/>
                                  <w:color w:val="231F20"/>
                                  <w:spacing w:val="-2"/>
                                  <w:w w:val="80"/>
                                  <w:sz w:val="12"/>
                                </w:rPr>
                                <w:t> </w:t>
                              </w:r>
                              <w:r>
                                <w:rPr>
                                  <w:rFonts w:ascii="Arial"/>
                                  <w:color w:val="231F20"/>
                                  <w:w w:val="80"/>
                                  <w:sz w:val="12"/>
                                </w:rPr>
                                <w:t>and</w:t>
                              </w:r>
                              <w:r>
                                <w:rPr>
                                  <w:rFonts w:ascii="Arial"/>
                                  <w:color w:val="231F20"/>
                                  <w:spacing w:val="-6"/>
                                  <w:sz w:val="12"/>
                                </w:rPr>
                                <w:t> </w:t>
                              </w:r>
                              <w:r>
                                <w:rPr>
                                  <w:rFonts w:ascii="Arial"/>
                                  <w:color w:val="231F20"/>
                                  <w:w w:val="80"/>
                                  <w:sz w:val="12"/>
                                </w:rPr>
                                <w:t>for</w:t>
                              </w:r>
                              <w:r>
                                <w:rPr>
                                  <w:rFonts w:ascii="Arial"/>
                                  <w:color w:val="231F20"/>
                                  <w:spacing w:val="-7"/>
                                  <w:sz w:val="12"/>
                                </w:rPr>
                                <w:t> </w:t>
                              </w:r>
                              <w:r>
                                <w:rPr>
                                  <w:rFonts w:ascii="Arial"/>
                                  <w:color w:val="231F20"/>
                                  <w:w w:val="80"/>
                                  <w:sz w:val="12"/>
                                </w:rPr>
                                <w:t>airports,</w:t>
                              </w:r>
                              <w:r>
                                <w:rPr>
                                  <w:rFonts w:ascii="Arial"/>
                                  <w:color w:val="231F20"/>
                                  <w:spacing w:val="-2"/>
                                  <w:w w:val="80"/>
                                  <w:sz w:val="12"/>
                                </w:rPr>
                                <w:t> </w:t>
                              </w:r>
                              <w:r>
                                <w:rPr>
                                  <w:rFonts w:ascii="Arial"/>
                                  <w:color w:val="231F20"/>
                                  <w:w w:val="80"/>
                                  <w:sz w:val="12"/>
                                </w:rPr>
                                <w:t>outliers</w:t>
                              </w:r>
                              <w:r>
                                <w:rPr>
                                  <w:rFonts w:ascii="Arial"/>
                                  <w:color w:val="231F20"/>
                                  <w:spacing w:val="-6"/>
                                  <w:sz w:val="12"/>
                                </w:rPr>
                                <w:t> </w:t>
                              </w:r>
                              <w:r>
                                <w:rPr>
                                  <w:rFonts w:ascii="Arial"/>
                                  <w:color w:val="231F20"/>
                                  <w:w w:val="80"/>
                                  <w:sz w:val="12"/>
                                </w:rPr>
                                <w:t>are</w:t>
                              </w:r>
                              <w:r>
                                <w:rPr>
                                  <w:rFonts w:ascii="Arial"/>
                                  <w:color w:val="231F20"/>
                                  <w:spacing w:val="-6"/>
                                  <w:sz w:val="12"/>
                                </w:rPr>
                                <w:t> </w:t>
                              </w:r>
                              <w:r>
                                <w:rPr>
                                  <w:rFonts w:ascii="Arial"/>
                                  <w:color w:val="231F20"/>
                                  <w:w w:val="80"/>
                                  <w:sz w:val="12"/>
                                </w:rPr>
                                <w:t>countries</w:t>
                              </w:r>
                              <w:r>
                                <w:rPr>
                                  <w:rFonts w:ascii="Arial"/>
                                  <w:color w:val="231F20"/>
                                  <w:spacing w:val="-6"/>
                                  <w:sz w:val="12"/>
                                </w:rPr>
                                <w:t> </w:t>
                              </w:r>
                              <w:r>
                                <w:rPr>
                                  <w:rFonts w:ascii="Arial"/>
                                  <w:color w:val="231F20"/>
                                  <w:w w:val="80"/>
                                  <w:sz w:val="12"/>
                                </w:rPr>
                                <w:t>with</w:t>
                              </w:r>
                              <w:r>
                                <w:rPr>
                                  <w:rFonts w:ascii="Arial"/>
                                  <w:color w:val="231F20"/>
                                  <w:spacing w:val="-7"/>
                                  <w:sz w:val="12"/>
                                </w:rPr>
                                <w:t> </w:t>
                              </w:r>
                              <w:r>
                                <w:rPr>
                                  <w:rFonts w:ascii="Arial"/>
                                  <w:color w:val="231F20"/>
                                  <w:w w:val="80"/>
                                  <w:sz w:val="12"/>
                                </w:rPr>
                                <w:t>import</w:t>
                              </w:r>
                              <w:r>
                                <w:rPr>
                                  <w:rFonts w:ascii="Arial"/>
                                  <w:color w:val="231F20"/>
                                  <w:spacing w:val="-6"/>
                                  <w:sz w:val="12"/>
                                </w:rPr>
                                <w:t> </w:t>
                              </w:r>
                              <w:r>
                                <w:rPr>
                                  <w:rFonts w:ascii="Arial"/>
                                  <w:color w:val="231F20"/>
                                  <w:w w:val="80"/>
                                  <w:sz w:val="12"/>
                                </w:rPr>
                                <w:t>dwell</w:t>
                              </w:r>
                              <w:r>
                                <w:rPr>
                                  <w:rFonts w:ascii="Arial"/>
                                  <w:color w:val="231F20"/>
                                  <w:spacing w:val="-6"/>
                                  <w:sz w:val="12"/>
                                </w:rPr>
                                <w:t> </w:t>
                              </w:r>
                              <w:r>
                                <w:rPr>
                                  <w:rFonts w:ascii="Arial"/>
                                  <w:color w:val="231F20"/>
                                  <w:w w:val="80"/>
                                  <w:sz w:val="12"/>
                                </w:rPr>
                                <w:t>times</w:t>
                              </w:r>
                              <w:r>
                                <w:rPr>
                                  <w:rFonts w:ascii="Arial"/>
                                  <w:color w:val="231F20"/>
                                  <w:spacing w:val="-6"/>
                                  <w:sz w:val="12"/>
                                </w:rPr>
                                <w:t> </w:t>
                              </w:r>
                              <w:r>
                                <w:rPr>
                                  <w:rFonts w:ascii="Arial"/>
                                  <w:color w:val="231F20"/>
                                  <w:w w:val="80"/>
                                  <w:sz w:val="12"/>
                                </w:rPr>
                                <w:t>of</w:t>
                              </w:r>
                              <w:r>
                                <w:rPr>
                                  <w:rFonts w:ascii="Arial"/>
                                  <w:color w:val="231F20"/>
                                  <w:spacing w:val="-6"/>
                                  <w:sz w:val="12"/>
                                </w:rPr>
                                <w:t> </w:t>
                              </w:r>
                              <w:r>
                                <w:rPr>
                                  <w:rFonts w:ascii="Arial"/>
                                  <w:color w:val="231F20"/>
                                  <w:w w:val="80"/>
                                  <w:sz w:val="12"/>
                                </w:rPr>
                                <w:t>more</w:t>
                              </w:r>
                              <w:r>
                                <w:rPr>
                                  <w:rFonts w:ascii="Arial"/>
                                  <w:color w:val="231F20"/>
                                  <w:spacing w:val="-7"/>
                                  <w:sz w:val="12"/>
                                </w:rPr>
                                <w:t> </w:t>
                              </w:r>
                              <w:r>
                                <w:rPr>
                                  <w:rFonts w:ascii="Arial"/>
                                  <w:color w:val="231F20"/>
                                  <w:w w:val="80"/>
                                  <w:sz w:val="12"/>
                                </w:rPr>
                                <w:t>than</w:t>
                              </w:r>
                              <w:r>
                                <w:rPr>
                                  <w:rFonts w:ascii="Arial"/>
                                  <w:color w:val="231F20"/>
                                  <w:spacing w:val="-6"/>
                                  <w:sz w:val="12"/>
                                </w:rPr>
                                <w:t> </w:t>
                              </w:r>
                              <w:r>
                                <w:rPr>
                                  <w:rFonts w:ascii="Arial"/>
                                  <w:color w:val="231F20"/>
                                  <w:w w:val="80"/>
                                  <w:sz w:val="12"/>
                                </w:rPr>
                                <w:t>4</w:t>
                              </w:r>
                              <w:r>
                                <w:rPr>
                                  <w:rFonts w:ascii="Arial"/>
                                  <w:color w:val="231F20"/>
                                  <w:spacing w:val="-6"/>
                                  <w:sz w:val="12"/>
                                </w:rPr>
                                <w:t> </w:t>
                              </w:r>
                              <w:r>
                                <w:rPr>
                                  <w:rFonts w:ascii="Arial"/>
                                  <w:color w:val="231F20"/>
                                  <w:spacing w:val="-2"/>
                                  <w:w w:val="80"/>
                                  <w:sz w:val="12"/>
                                </w:rPr>
                                <w:t>days.</w:t>
                              </w:r>
                            </w:p>
                          </w:txbxContent>
                        </wps:txbx>
                        <wps:bodyPr wrap="square" lIns="0" tIns="0" rIns="0" bIns="0" rtlCol="0">
                          <a:noAutofit/>
                        </wps:bodyPr>
                      </wps:wsp>
                    </wpg:wgp>
                  </a:graphicData>
                </a:graphic>
              </wp:anchor>
            </w:drawing>
          </mc:Choice>
          <mc:Fallback>
            <w:pict>
              <v:group style="position:absolute;margin-left:60pt;margin-top:22.656429pt;width:384.05pt;height:232.9pt;mso-position-horizontal-relative:page;mso-position-vertical-relative:paragraph;z-index:-15701504;mso-wrap-distance-left:0;mso-wrap-distance-right:0" id="docshapegroup1108" coordorigin="1200,453" coordsize="7681,4658">
                <v:shape style="position:absolute;left:1200;top:859;width:7680;height:4251" id="docshape1109" coordorigin="1200,860" coordsize="7680,4251" path="m8880,860l1200,860,1200,4993,1210,5038,1236,5076,1274,5101,1319,5110,8756,5110,8802,5102,8842,5078,8870,5041,8880,4993,8880,860xe" filled="true" fillcolor="#dfeaf7" stroked="false">
                  <v:path arrowok="t"/>
                  <v:fill type="solid"/>
                </v:shape>
                <v:line style="position:absolute" from="2212,4128" to="2212,1261" stroked="true" strokeweight=".5pt" strokecolor="#ffffff">
                  <v:stroke dashstyle="solid"/>
                </v:line>
                <v:shape style="position:absolute;left:2875;top:1261;width:1992;height:2868" id="docshape1110" coordorigin="2876,1261" coordsize="1992,2868" path="m2876,4099l2876,4128m2876,3955l2876,4015m2876,3812l2876,3871m2876,3668l2876,3728m2876,3525l2876,3585m2876,3382l2876,3441m2876,3238l2876,3298m2876,3095l2876,3155m2876,2952l2876,3011m2876,2808l2876,2868m2876,2665l2876,2724m2876,2522l2876,2581m2876,2378l2876,2438m2876,2235l2876,2294m2876,1948l2876,2151m2876,1805l2876,1864m2876,1261l2876,1721m3540,4099l3540,4128m3540,3955l3540,4015m3540,3812l3540,3871m3540,3668l3540,3728m3540,3525l3540,3585m3540,3382l3540,3441m3540,3238l3540,3298m3540,3095l3540,3155m3540,2952l3540,3011m3540,2808l3540,2868m3540,2665l3540,2724m3540,2522l3540,2581m3540,2378l3540,2438m3540,2235l3540,2294m3540,1261l3540,2151m4204,4099l4204,4128m4204,3955l4204,4015m4204,3812l4204,3871m4204,3668l4204,3728m4204,3525l4204,3585m4204,3382l4204,3441m4204,1261l4204,3298m4867,4099l4867,4128m4867,1261l4867,4015e" filled="false" stroked="true" strokeweight=".5pt" strokecolor="#ffffff">
                  <v:path arrowok="t"/>
                  <v:stroke dashstyle="solid"/>
                </v:shape>
                <v:shape style="position:absolute;left:2211;top:1290;width:2776;height:2808" id="docshape1111" coordorigin="2212,1291" coordsize="2776,2808" path="m2557,1291l2212,1291,2212,1375,2557,1375,2557,1291xm2610,1434l2212,1434,2212,1518,2610,1518,2610,1434xm2796,1578l2212,1578,2212,1661,2796,1661,2796,1578xm3168,1864l2212,1864,2212,1948,3168,1948,3168,1864xm3168,1721l2212,1721,2212,1805,3168,1805,3168,1721xm3832,2151l2212,2151,2212,2235,3832,2235,3832,2151xm3858,2294l2212,2294,2212,2378,3858,2378,3858,2294xm3872,2438l2212,2438,2212,2522,3872,2522,3872,2438xm3911,2581l2212,2581,2212,2665,3911,2665,3911,2581xm3978,2724l2212,2724,2212,2808,3978,2808,3978,2724xm3991,2868l2212,2868,2212,2952,3991,2952,3991,2868xm4044,3011l2212,3011,2212,3095,4044,3095,4044,3011xm4124,3155l2212,3155,2212,3238,4124,3238,4124,3155xm4230,3298l2212,3298,2212,3382,4230,3382,4230,3298xm4270,3441l2212,3441,2212,3525,4270,3525,4270,3441xm4376,3585l2212,3585,2212,3668,4376,3668,4376,3585xm4536,3728l2212,3728,2212,3812,4536,3812,4536,3728xm4695,3871l2212,3871,2212,3955,4695,3955,4695,3871xm4987,4015l2212,4015,2212,4099,4987,4099,4987,4015xe" filled="true" fillcolor="#008fdd" stroked="false">
                  <v:path arrowok="t"/>
                  <v:fill type="solid"/>
                </v:shape>
                <v:line style="position:absolute" from="5957,4128" to="5957,1261" stroked="true" strokeweight=".5pt" strokecolor="#ffffff">
                  <v:stroke dashstyle="solid"/>
                </v:line>
                <v:shape style="position:absolute;left:6488;top:1261;width:1594;height:2868" id="docshape1112" coordorigin="6488,1261" coordsize="1594,2868" path="m6488,4091l6488,4128m6488,3912l6488,3986m6488,3733l6488,3807m6488,3554l6488,3628m6488,3374l6488,3449m6488,3195l6488,3269m6488,3016l6488,3090m6488,2837l6488,2911m6488,2657l6488,2732m6488,2478l6488,2553m6488,2299l6488,2373m6488,1261l6488,2194m7019,4091l7019,4128m7019,3912l7019,3986m7019,3733l7019,3807m7019,3554l7019,3628m7019,3374l7019,3449m7019,3195l7019,3269m7019,3016l7019,3090m7019,2837l7019,2911m7019,2657l7019,2732m7019,2478l7019,2553m7019,2299l7019,2373m7019,1261l7019,2194m7550,4091l7550,4128m7550,3912l7550,3986m7550,3733l7550,3807m7550,3554l7550,3628m7550,1261l7550,3449m8082,4091l8082,4128m8082,3912l8082,3986m8082,3733l8082,3807m8082,3554l8082,3628m8082,1261l8082,3449e" filled="false" stroked="true" strokeweight=".5pt" strokecolor="#ffffff">
                  <v:path arrowok="t"/>
                  <v:stroke dashstyle="solid"/>
                </v:shape>
                <v:line style="position:absolute" from="8613,4128" to="8613,1261" stroked="true" strokeweight=".5pt" strokecolor="#ffffff">
                  <v:stroke dashstyle="solid"/>
                </v:line>
                <v:shape style="position:absolute;left:1200;top:453;width:7396;height:3638" id="docshape1113" coordorigin="1200,453" coordsize="7396,3638" path="m2007,453l1320,453,1274,458,1236,476,1210,513,1200,573,1200,818,2007,818,2007,453xm6049,1298l5957,1298,5957,1403,6049,1403,6049,1298xm6268,1477l5957,1477,5957,1582,6268,1582,6268,1477xm6312,1657l5957,1657,5957,1761,6312,1761,6312,1657xm6347,1836l5957,1836,5957,1941,6347,1941,6347,1836xm7187,2194l5957,2194,5957,2299,7187,2299,7187,2194xm7218,2373l5957,2373,5957,2478,7218,2478,7218,2373xm7261,2553l5957,2553,5957,2657,7261,2657,7261,2553xm7271,2732l5957,2732,5957,2837,7271,2837,7271,2732xm7328,2911l5957,2911,5957,3016,7328,3016,7328,2911xm7393,3090l5957,3090,5957,3195,7393,3195,7393,3090xm7418,3269l5957,3269,5957,3374,7418,3374,7418,3269xm8130,3449l5957,3449,5957,3554,8130,3554,8130,3449xm8260,3628l5957,3628,5957,3733,8260,3733,8260,3628xm8511,3807l5957,3807,5957,3912,8511,3912,8511,3807xm8596,3986l5957,3986,5957,4091,8596,4091,8596,3986xe" filled="true" fillcolor="#008fdd" stroked="false">
                  <v:path arrowok="t"/>
                  <v:fill type="solid"/>
                </v:shape>
                <v:shape style="position:absolute;left:2006;top:453;width:6873;height:365" id="docshape1114" coordorigin="2007,453" coordsize="6873,365" path="m8759,453l2007,453,2007,818,8879,818,8879,573,8871,533,8846,494,8808,465,8759,453xe" filled="true" fillcolor="#808285" stroked="false">
                  <v:path arrowok="t"/>
                  <v:fill type="solid"/>
                </v:shape>
                <v:line style="position:absolute" from="2007,453" to="2007,832" stroked="true" strokeweight="2pt" strokecolor="#ffffff">
                  <v:stroke dashstyle="solid"/>
                </v:line>
                <v:shape style="position:absolute;left:1320;top:558;width:6214;height:192" type="#_x0000_t202" id="docshape1115" filled="false" stroked="false">
                  <v:textbox inset="0,0,0,0">
                    <w:txbxContent>
                      <w:p>
                        <w:pPr>
                          <w:spacing w:before="3"/>
                          <w:ind w:left="0" w:right="0" w:firstLine="0"/>
                          <w:jc w:val="left"/>
                          <w:rPr>
                            <w:rFonts w:ascii="Arial" w:hAnsi="Arial"/>
                            <w:b/>
                            <w:sz w:val="16"/>
                          </w:rPr>
                        </w:pPr>
                        <w:bookmarkStart w:name="_bookmark28" w:id="32"/>
                        <w:bookmarkEnd w:id="32"/>
                        <w:r>
                          <w:rPr/>
                        </w:r>
                        <w:r>
                          <w:rPr>
                            <w:rFonts w:ascii="Arial" w:hAnsi="Arial"/>
                            <w:color w:val="FFFFFF"/>
                            <w:sz w:val="16"/>
                          </w:rPr>
                          <w:t>Figure</w:t>
                        </w:r>
                        <w:r>
                          <w:rPr>
                            <w:rFonts w:ascii="Arial" w:hAnsi="Arial"/>
                            <w:color w:val="FFFFFF"/>
                            <w:spacing w:val="12"/>
                            <w:sz w:val="16"/>
                          </w:rPr>
                          <w:t> </w:t>
                        </w:r>
                        <w:r>
                          <w:rPr>
                            <w:rFonts w:ascii="Arial" w:hAnsi="Arial"/>
                            <w:b/>
                            <w:color w:val="FFFFFF"/>
                            <w:sz w:val="16"/>
                          </w:rPr>
                          <w:t>3.6</w:t>
                        </w:r>
                        <w:r>
                          <w:rPr>
                            <w:rFonts w:ascii="Arial" w:hAnsi="Arial"/>
                            <w:b/>
                            <w:color w:val="FFFFFF"/>
                            <w:spacing w:val="65"/>
                            <w:sz w:val="16"/>
                          </w:rPr>
                          <w:t>  </w:t>
                        </w:r>
                        <w:r>
                          <w:rPr>
                            <w:rFonts w:ascii="Arial" w:hAnsi="Arial"/>
                            <w:b/>
                            <w:color w:val="FFFFFF"/>
                            <w:sz w:val="16"/>
                          </w:rPr>
                          <w:t>Outliers</w:t>
                        </w:r>
                        <w:r>
                          <w:rPr>
                            <w:rFonts w:ascii="Arial" w:hAnsi="Arial"/>
                            <w:b/>
                            <w:color w:val="FFFFFF"/>
                            <w:spacing w:val="14"/>
                            <w:sz w:val="16"/>
                          </w:rPr>
                          <w:t> </w:t>
                        </w:r>
                        <w:r>
                          <w:rPr>
                            <w:rFonts w:ascii="Arial" w:hAnsi="Arial"/>
                            <w:b/>
                            <w:color w:val="FFFFFF"/>
                            <w:sz w:val="16"/>
                          </w:rPr>
                          <w:t>for</w:t>
                        </w:r>
                        <w:r>
                          <w:rPr>
                            <w:rFonts w:ascii="Arial" w:hAnsi="Arial"/>
                            <w:b/>
                            <w:color w:val="FFFFFF"/>
                            <w:spacing w:val="12"/>
                            <w:sz w:val="16"/>
                          </w:rPr>
                          <w:t> </w:t>
                        </w:r>
                        <w:r>
                          <w:rPr>
                            <w:rFonts w:ascii="Arial" w:hAnsi="Arial"/>
                            <w:b/>
                            <w:color w:val="FFFFFF"/>
                            <w:sz w:val="16"/>
                          </w:rPr>
                          <w:t>import</w:t>
                        </w:r>
                        <w:r>
                          <w:rPr>
                            <w:rFonts w:ascii="Arial" w:hAnsi="Arial"/>
                            <w:b/>
                            <w:color w:val="FFFFFF"/>
                            <w:spacing w:val="13"/>
                            <w:sz w:val="16"/>
                          </w:rPr>
                          <w:t> </w:t>
                        </w:r>
                        <w:r>
                          <w:rPr>
                            <w:rFonts w:ascii="Arial" w:hAnsi="Arial"/>
                            <w:b/>
                            <w:color w:val="FFFFFF"/>
                            <w:sz w:val="16"/>
                          </w:rPr>
                          <w:t>dwell</w:t>
                        </w:r>
                        <w:r>
                          <w:rPr>
                            <w:rFonts w:ascii="Arial" w:hAnsi="Arial"/>
                            <w:b/>
                            <w:color w:val="FFFFFF"/>
                            <w:spacing w:val="13"/>
                            <w:sz w:val="16"/>
                          </w:rPr>
                          <w:t> </w:t>
                        </w:r>
                        <w:r>
                          <w:rPr>
                            <w:rFonts w:ascii="Arial" w:hAnsi="Arial"/>
                            <w:b/>
                            <w:color w:val="FFFFFF"/>
                            <w:sz w:val="16"/>
                          </w:rPr>
                          <w:t>time</w:t>
                        </w:r>
                        <w:r>
                          <w:rPr>
                            <w:rFonts w:ascii="Arial" w:hAnsi="Arial"/>
                            <w:b/>
                            <w:color w:val="FFFFFF"/>
                            <w:spacing w:val="13"/>
                            <w:sz w:val="16"/>
                          </w:rPr>
                          <w:t> </w:t>
                        </w:r>
                        <w:r>
                          <w:rPr>
                            <w:rFonts w:ascii="Arial" w:hAnsi="Arial"/>
                            <w:b/>
                            <w:color w:val="FFFFFF"/>
                            <w:sz w:val="16"/>
                          </w:rPr>
                          <w:t>and</w:t>
                        </w:r>
                        <w:r>
                          <w:rPr>
                            <w:rFonts w:ascii="Arial" w:hAnsi="Arial"/>
                            <w:b/>
                            <w:color w:val="FFFFFF"/>
                            <w:spacing w:val="13"/>
                            <w:sz w:val="16"/>
                          </w:rPr>
                          <w:t> </w:t>
                        </w:r>
                        <w:r>
                          <w:rPr>
                            <w:rFonts w:ascii="Arial" w:hAnsi="Arial"/>
                            <w:b/>
                            <w:color w:val="FFFFFF"/>
                            <w:sz w:val="16"/>
                          </w:rPr>
                          <w:t>comparators,</w:t>
                        </w:r>
                        <w:r>
                          <w:rPr>
                            <w:rFonts w:ascii="Arial" w:hAnsi="Arial"/>
                            <w:b/>
                            <w:color w:val="FFFFFF"/>
                            <w:spacing w:val="13"/>
                            <w:sz w:val="16"/>
                          </w:rPr>
                          <w:t> </w:t>
                        </w:r>
                        <w:r>
                          <w:rPr>
                            <w:rFonts w:ascii="Arial" w:hAnsi="Arial"/>
                            <w:b/>
                            <w:color w:val="FFFFFF"/>
                            <w:sz w:val="16"/>
                          </w:rPr>
                          <w:t>May–October</w:t>
                        </w:r>
                        <w:r>
                          <w:rPr>
                            <w:rFonts w:ascii="Arial" w:hAnsi="Arial"/>
                            <w:b/>
                            <w:color w:val="FFFFFF"/>
                            <w:spacing w:val="12"/>
                            <w:sz w:val="16"/>
                          </w:rPr>
                          <w:t> </w:t>
                        </w:r>
                        <w:r>
                          <w:rPr>
                            <w:rFonts w:ascii="Arial" w:hAnsi="Arial"/>
                            <w:b/>
                            <w:color w:val="FFFFFF"/>
                            <w:spacing w:val="-4"/>
                            <w:sz w:val="16"/>
                          </w:rPr>
                          <w:t>2022</w:t>
                        </w:r>
                      </w:p>
                    </w:txbxContent>
                  </v:textbox>
                  <w10:wrap type="none"/>
                </v:shape>
                <v:shape style="position:absolute;left:3396;top:960;width:307;height:166" type="#_x0000_t202" id="docshape1116" filled="false" stroked="false">
                  <v:textbox inset="0,0,0,0">
                    <w:txbxContent>
                      <w:p>
                        <w:pPr>
                          <w:spacing w:before="3"/>
                          <w:ind w:left="0" w:right="0" w:firstLine="0"/>
                          <w:jc w:val="left"/>
                          <w:rPr>
                            <w:rFonts w:ascii="Arial"/>
                            <w:b/>
                            <w:sz w:val="14"/>
                          </w:rPr>
                        </w:pPr>
                        <w:r>
                          <w:rPr>
                            <w:rFonts w:ascii="Arial"/>
                            <w:b/>
                            <w:color w:val="231F20"/>
                            <w:spacing w:val="-2"/>
                            <w:w w:val="85"/>
                            <w:sz w:val="14"/>
                          </w:rPr>
                          <w:t>Ports</w:t>
                        </w:r>
                      </w:p>
                    </w:txbxContent>
                  </v:textbox>
                  <w10:wrap type="none"/>
                </v:shape>
                <v:shape style="position:absolute;left:7019;top:960;width:552;height:166" type="#_x0000_t202" id="docshape1117" filled="false" stroked="false">
                  <v:textbox inset="0,0,0,0">
                    <w:txbxContent>
                      <w:p>
                        <w:pPr>
                          <w:spacing w:before="3"/>
                          <w:ind w:left="0" w:right="0" w:firstLine="0"/>
                          <w:jc w:val="left"/>
                          <w:rPr>
                            <w:rFonts w:ascii="Arial"/>
                            <w:b/>
                            <w:sz w:val="14"/>
                          </w:rPr>
                        </w:pPr>
                        <w:r>
                          <w:rPr>
                            <w:rFonts w:ascii="Arial"/>
                            <w:b/>
                            <w:color w:val="231F20"/>
                            <w:spacing w:val="-2"/>
                            <w:w w:val="80"/>
                            <w:sz w:val="14"/>
                          </w:rPr>
                          <w:t>Countries</w:t>
                        </w:r>
                      </w:p>
                    </w:txbxContent>
                  </v:textbox>
                  <w10:wrap type="none"/>
                </v:shape>
                <v:shape style="position:absolute;left:1281;top:1255;width:913;height:2861" type="#_x0000_t202" id="docshape1118" filled="false" stroked="false">
                  <v:textbox inset="0,0,0,0">
                    <w:txbxContent>
                      <w:p>
                        <w:pPr>
                          <w:spacing w:line="249" w:lineRule="auto" w:before="0"/>
                          <w:ind w:left="462" w:right="22" w:firstLine="224"/>
                          <w:jc w:val="right"/>
                          <w:rPr>
                            <w:rFonts w:ascii="Arial"/>
                            <w:sz w:val="12"/>
                          </w:rPr>
                        </w:pPr>
                        <w:r>
                          <w:rPr>
                            <w:rFonts w:ascii="Arial"/>
                            <w:color w:val="231F20"/>
                            <w:spacing w:val="-2"/>
                            <w:w w:val="75"/>
                            <w:sz w:val="12"/>
                          </w:rPr>
                          <w:t>India</w:t>
                        </w:r>
                        <w:r>
                          <w:rPr>
                            <w:rFonts w:ascii="Arial"/>
                            <w:color w:val="231F20"/>
                            <w:spacing w:val="40"/>
                            <w:sz w:val="12"/>
                          </w:rPr>
                          <w:t> </w:t>
                        </w:r>
                        <w:r>
                          <w:rPr>
                            <w:rFonts w:ascii="Arial"/>
                            <w:color w:val="231F20"/>
                            <w:spacing w:val="-2"/>
                            <w:w w:val="75"/>
                            <w:sz w:val="12"/>
                          </w:rPr>
                          <w:t>Singapore</w:t>
                        </w:r>
                      </w:p>
                      <w:p>
                        <w:pPr>
                          <w:spacing w:line="138" w:lineRule="exact" w:before="0"/>
                          <w:ind w:left="0" w:right="22" w:firstLine="0"/>
                          <w:jc w:val="right"/>
                          <w:rPr>
                            <w:rFonts w:ascii="Arial"/>
                            <w:sz w:val="12"/>
                          </w:rPr>
                        </w:pPr>
                        <w:r>
                          <w:rPr>
                            <w:rFonts w:ascii="Arial"/>
                            <w:color w:val="231F20"/>
                            <w:w w:val="75"/>
                            <w:sz w:val="12"/>
                          </w:rPr>
                          <w:t>United</w:t>
                        </w:r>
                        <w:r>
                          <w:rPr>
                            <w:rFonts w:ascii="Arial"/>
                            <w:color w:val="231F20"/>
                            <w:spacing w:val="-3"/>
                            <w:sz w:val="12"/>
                          </w:rPr>
                          <w:t> </w:t>
                        </w:r>
                        <w:r>
                          <w:rPr>
                            <w:rFonts w:ascii="Arial"/>
                            <w:color w:val="231F20"/>
                            <w:w w:val="75"/>
                            <w:sz w:val="12"/>
                          </w:rPr>
                          <w:t>Arab</w:t>
                        </w:r>
                        <w:r>
                          <w:rPr>
                            <w:rFonts w:ascii="Arial"/>
                            <w:color w:val="231F20"/>
                            <w:spacing w:val="3"/>
                            <w:sz w:val="12"/>
                          </w:rPr>
                          <w:t> </w:t>
                        </w:r>
                        <w:r>
                          <w:rPr>
                            <w:rFonts w:ascii="Arial"/>
                            <w:color w:val="231F20"/>
                            <w:spacing w:val="-2"/>
                            <w:w w:val="75"/>
                            <w:sz w:val="12"/>
                          </w:rPr>
                          <w:t>Emirates</w:t>
                        </w:r>
                      </w:p>
                      <w:p>
                        <w:pPr>
                          <w:spacing w:line="249" w:lineRule="auto" w:before="4"/>
                          <w:ind w:left="379" w:right="22" w:hanging="54"/>
                          <w:jc w:val="right"/>
                          <w:rPr>
                            <w:rFonts w:ascii="Arial"/>
                            <w:sz w:val="12"/>
                          </w:rPr>
                        </w:pPr>
                        <w:r>
                          <w:rPr>
                            <w:rFonts w:ascii="Arial"/>
                            <w:color w:val="231F20"/>
                            <w:spacing w:val="-2"/>
                            <w:w w:val="80"/>
                            <w:sz w:val="12"/>
                          </w:rPr>
                          <w:t>United</w:t>
                        </w:r>
                        <w:r>
                          <w:rPr>
                            <w:rFonts w:ascii="Arial"/>
                            <w:color w:val="231F20"/>
                            <w:spacing w:val="-7"/>
                            <w:sz w:val="12"/>
                          </w:rPr>
                          <w:t> </w:t>
                        </w:r>
                        <w:r>
                          <w:rPr>
                            <w:rFonts w:ascii="Arial"/>
                            <w:color w:val="231F20"/>
                            <w:spacing w:val="-2"/>
                            <w:w w:val="80"/>
                            <w:sz w:val="12"/>
                          </w:rPr>
                          <w:t>States</w:t>
                        </w:r>
                        <w:r>
                          <w:rPr>
                            <w:rFonts w:ascii="Arial"/>
                            <w:color w:val="231F20"/>
                            <w:spacing w:val="40"/>
                            <w:sz w:val="12"/>
                          </w:rPr>
                          <w:t> </w:t>
                        </w:r>
                        <w:r>
                          <w:rPr>
                            <w:rFonts w:ascii="Arial"/>
                            <w:color w:val="231F20"/>
                            <w:spacing w:val="-2"/>
                            <w:w w:val="75"/>
                            <w:sz w:val="12"/>
                          </w:rPr>
                          <w:t>Netherlands</w:t>
                        </w:r>
                      </w:p>
                      <w:p>
                        <w:pPr>
                          <w:spacing w:line="249" w:lineRule="auto" w:before="0"/>
                          <w:ind w:left="524" w:right="22" w:firstLine="244"/>
                          <w:jc w:val="right"/>
                          <w:rPr>
                            <w:rFonts w:ascii="Arial" w:hAnsi="Arial"/>
                            <w:sz w:val="12"/>
                          </w:rPr>
                        </w:pPr>
                        <w:r>
                          <w:rPr>
                            <w:rFonts w:ascii="Arial" w:hAnsi="Arial"/>
                            <w:color w:val="231F20"/>
                            <w:spacing w:val="-10"/>
                            <w:w w:val="90"/>
                            <w:sz w:val="12"/>
                          </w:rPr>
                          <w:t>…</w:t>
                        </w:r>
                        <w:r>
                          <w:rPr>
                            <w:rFonts w:ascii="Arial" w:hAnsi="Arial"/>
                            <w:color w:val="231F20"/>
                            <w:spacing w:val="40"/>
                            <w:sz w:val="12"/>
                          </w:rPr>
                          <w:t> </w:t>
                        </w:r>
                        <w:r>
                          <w:rPr>
                            <w:rFonts w:ascii="Arial" w:hAnsi="Arial"/>
                            <w:color w:val="231F20"/>
                            <w:spacing w:val="-2"/>
                            <w:w w:val="75"/>
                            <w:sz w:val="12"/>
                          </w:rPr>
                          <w:t>Lebanon</w:t>
                        </w:r>
                        <w:r>
                          <w:rPr>
                            <w:rFonts w:ascii="Arial" w:hAnsi="Arial"/>
                            <w:color w:val="231F20"/>
                            <w:spacing w:val="40"/>
                            <w:sz w:val="12"/>
                          </w:rPr>
                          <w:t> </w:t>
                        </w:r>
                        <w:r>
                          <w:rPr>
                            <w:rFonts w:ascii="Arial" w:hAnsi="Arial"/>
                            <w:color w:val="231F20"/>
                            <w:spacing w:val="-4"/>
                            <w:w w:val="90"/>
                            <w:sz w:val="12"/>
                          </w:rPr>
                          <w:t>Benin</w:t>
                        </w:r>
                        <w:r>
                          <w:rPr>
                            <w:rFonts w:ascii="Arial" w:hAnsi="Arial"/>
                            <w:color w:val="231F20"/>
                            <w:spacing w:val="40"/>
                            <w:sz w:val="12"/>
                          </w:rPr>
                          <w:t> </w:t>
                        </w:r>
                        <w:r>
                          <w:rPr>
                            <w:rFonts w:ascii="Arial" w:hAnsi="Arial"/>
                            <w:color w:val="231F20"/>
                            <w:spacing w:val="-2"/>
                            <w:w w:val="90"/>
                            <w:sz w:val="12"/>
                          </w:rPr>
                          <w:t>Finland</w:t>
                        </w:r>
                        <w:r>
                          <w:rPr>
                            <w:rFonts w:ascii="Arial" w:hAnsi="Arial"/>
                            <w:color w:val="231F20"/>
                            <w:spacing w:val="40"/>
                            <w:sz w:val="12"/>
                          </w:rPr>
                          <w:t> </w:t>
                        </w:r>
                        <w:r>
                          <w:rPr>
                            <w:rFonts w:ascii="Arial" w:hAnsi="Arial"/>
                            <w:color w:val="231F20"/>
                            <w:spacing w:val="-4"/>
                            <w:w w:val="90"/>
                            <w:sz w:val="12"/>
                          </w:rPr>
                          <w:t>Sudan</w:t>
                        </w:r>
                        <w:r>
                          <w:rPr>
                            <w:rFonts w:ascii="Arial" w:hAnsi="Arial"/>
                            <w:color w:val="231F20"/>
                            <w:spacing w:val="40"/>
                            <w:sz w:val="12"/>
                          </w:rPr>
                          <w:t> </w:t>
                        </w:r>
                        <w:r>
                          <w:rPr>
                            <w:rFonts w:ascii="Arial" w:hAnsi="Arial"/>
                            <w:color w:val="231F20"/>
                            <w:spacing w:val="-2"/>
                            <w:w w:val="90"/>
                            <w:sz w:val="12"/>
                          </w:rPr>
                          <w:t>Albania</w:t>
                        </w:r>
                        <w:r>
                          <w:rPr>
                            <w:rFonts w:ascii="Arial" w:hAnsi="Arial"/>
                            <w:color w:val="231F20"/>
                            <w:spacing w:val="40"/>
                            <w:sz w:val="12"/>
                          </w:rPr>
                          <w:t> </w:t>
                        </w:r>
                        <w:r>
                          <w:rPr>
                            <w:rFonts w:ascii="Arial" w:hAnsi="Arial"/>
                            <w:color w:val="231F20"/>
                            <w:spacing w:val="-2"/>
                            <w:w w:val="90"/>
                            <w:sz w:val="12"/>
                          </w:rPr>
                          <w:t>Haiti</w:t>
                        </w:r>
                        <w:r>
                          <w:rPr>
                            <w:rFonts w:ascii="Arial" w:hAnsi="Arial"/>
                            <w:color w:val="231F20"/>
                            <w:spacing w:val="40"/>
                            <w:sz w:val="12"/>
                          </w:rPr>
                          <w:t> </w:t>
                        </w:r>
                        <w:r>
                          <w:rPr>
                            <w:rFonts w:ascii="Arial" w:hAnsi="Arial"/>
                            <w:color w:val="231F20"/>
                            <w:spacing w:val="-2"/>
                            <w:w w:val="90"/>
                            <w:sz w:val="12"/>
                          </w:rPr>
                          <w:t>Libya</w:t>
                        </w:r>
                      </w:p>
                      <w:p>
                        <w:pPr>
                          <w:spacing w:line="137" w:lineRule="exact" w:before="0"/>
                          <w:ind w:left="0" w:right="18" w:firstLine="0"/>
                          <w:jc w:val="right"/>
                          <w:rPr>
                            <w:rFonts w:ascii="Arial"/>
                            <w:sz w:val="12"/>
                          </w:rPr>
                        </w:pPr>
                        <w:r>
                          <w:rPr>
                            <w:rFonts w:ascii="Arial"/>
                            <w:color w:val="231F20"/>
                            <w:w w:val="75"/>
                            <w:sz w:val="12"/>
                          </w:rPr>
                          <w:t>Egypt,</w:t>
                        </w:r>
                        <w:r>
                          <w:rPr>
                            <w:rFonts w:ascii="Arial"/>
                            <w:color w:val="231F20"/>
                            <w:spacing w:val="-9"/>
                            <w:sz w:val="12"/>
                          </w:rPr>
                          <w:t> </w:t>
                        </w:r>
                        <w:r>
                          <w:rPr>
                            <w:rFonts w:ascii="Arial"/>
                            <w:color w:val="231F20"/>
                            <w:w w:val="75"/>
                            <w:sz w:val="12"/>
                          </w:rPr>
                          <w:t>Arab</w:t>
                        </w:r>
                        <w:r>
                          <w:rPr>
                            <w:rFonts w:ascii="Arial"/>
                            <w:color w:val="231F20"/>
                            <w:spacing w:val="4"/>
                            <w:sz w:val="12"/>
                          </w:rPr>
                          <w:t> </w:t>
                        </w:r>
                        <w:r>
                          <w:rPr>
                            <w:rFonts w:ascii="Arial"/>
                            <w:color w:val="231F20"/>
                            <w:spacing w:val="-4"/>
                            <w:w w:val="75"/>
                            <w:sz w:val="12"/>
                          </w:rPr>
                          <w:t>Rep.</w:t>
                        </w:r>
                      </w:p>
                      <w:p>
                        <w:pPr>
                          <w:spacing w:line="249" w:lineRule="auto" w:before="5"/>
                          <w:ind w:left="11" w:right="22" w:firstLine="579"/>
                          <w:jc w:val="right"/>
                          <w:rPr>
                            <w:rFonts w:ascii="Arial"/>
                            <w:sz w:val="12"/>
                          </w:rPr>
                        </w:pPr>
                        <w:r>
                          <w:rPr>
                            <w:rFonts w:ascii="Arial"/>
                            <w:color w:val="231F20"/>
                            <w:spacing w:val="-2"/>
                            <w:w w:val="75"/>
                            <w:sz w:val="12"/>
                          </w:rPr>
                          <w:t>Nigeria</w:t>
                        </w:r>
                        <w:r>
                          <w:rPr>
                            <w:rFonts w:ascii="Arial"/>
                            <w:color w:val="231F20"/>
                            <w:spacing w:val="40"/>
                            <w:sz w:val="12"/>
                          </w:rPr>
                          <w:t> </w:t>
                        </w:r>
                        <w:r>
                          <w:rPr>
                            <w:rFonts w:ascii="Arial"/>
                            <w:color w:val="231F20"/>
                            <w:w w:val="75"/>
                            <w:sz w:val="12"/>
                          </w:rPr>
                          <w:t>Syrian</w:t>
                        </w:r>
                        <w:r>
                          <w:rPr>
                            <w:rFonts w:ascii="Arial"/>
                            <w:color w:val="231F20"/>
                            <w:spacing w:val="-4"/>
                            <w:sz w:val="12"/>
                          </w:rPr>
                          <w:t> </w:t>
                        </w:r>
                        <w:r>
                          <w:rPr>
                            <w:rFonts w:ascii="Arial"/>
                            <w:color w:val="231F20"/>
                            <w:w w:val="75"/>
                            <w:sz w:val="12"/>
                          </w:rPr>
                          <w:t>Arab</w:t>
                        </w:r>
                        <w:r>
                          <w:rPr>
                            <w:rFonts w:ascii="Arial"/>
                            <w:color w:val="231F20"/>
                            <w:spacing w:val="1"/>
                            <w:sz w:val="12"/>
                          </w:rPr>
                          <w:t> </w:t>
                        </w:r>
                        <w:r>
                          <w:rPr>
                            <w:rFonts w:ascii="Arial"/>
                            <w:color w:val="231F20"/>
                            <w:spacing w:val="-2"/>
                            <w:w w:val="75"/>
                            <w:sz w:val="12"/>
                          </w:rPr>
                          <w:t>Republic</w:t>
                        </w:r>
                      </w:p>
                      <w:p>
                        <w:pPr>
                          <w:spacing w:line="249" w:lineRule="auto" w:before="0"/>
                          <w:ind w:left="124" w:right="18" w:firstLine="328"/>
                          <w:jc w:val="right"/>
                          <w:rPr>
                            <w:rFonts w:ascii="Arial"/>
                            <w:sz w:val="12"/>
                          </w:rPr>
                        </w:pPr>
                        <w:r>
                          <w:rPr>
                            <w:rFonts w:ascii="Arial"/>
                            <w:color w:val="231F20"/>
                            <w:spacing w:val="-2"/>
                            <w:w w:val="75"/>
                            <w:sz w:val="12"/>
                          </w:rPr>
                          <w:t>Cameroon</w:t>
                        </w:r>
                        <w:r>
                          <w:rPr>
                            <w:rFonts w:ascii="Arial"/>
                            <w:color w:val="231F20"/>
                            <w:spacing w:val="40"/>
                            <w:sz w:val="12"/>
                          </w:rPr>
                          <w:t> </w:t>
                        </w:r>
                        <w:r>
                          <w:rPr>
                            <w:rFonts w:ascii="Arial"/>
                            <w:color w:val="231F20"/>
                            <w:w w:val="75"/>
                            <w:sz w:val="12"/>
                          </w:rPr>
                          <w:t>Congo,</w:t>
                        </w:r>
                        <w:r>
                          <w:rPr>
                            <w:rFonts w:ascii="Arial"/>
                            <w:color w:val="231F20"/>
                            <w:sz w:val="12"/>
                          </w:rPr>
                          <w:t> </w:t>
                        </w:r>
                        <w:r>
                          <w:rPr>
                            <w:rFonts w:ascii="Arial"/>
                            <w:color w:val="231F20"/>
                            <w:w w:val="75"/>
                            <w:sz w:val="12"/>
                          </w:rPr>
                          <w:t>Dem.</w:t>
                        </w:r>
                        <w:r>
                          <w:rPr>
                            <w:rFonts w:ascii="Arial"/>
                            <w:color w:val="231F20"/>
                            <w:spacing w:val="1"/>
                            <w:sz w:val="12"/>
                          </w:rPr>
                          <w:t> </w:t>
                        </w:r>
                        <w:r>
                          <w:rPr>
                            <w:rFonts w:ascii="Arial"/>
                            <w:color w:val="231F20"/>
                            <w:spacing w:val="-4"/>
                            <w:w w:val="75"/>
                            <w:sz w:val="12"/>
                          </w:rPr>
                          <w:t>Rep.</w:t>
                        </w:r>
                      </w:p>
                      <w:p>
                        <w:pPr>
                          <w:spacing w:line="249" w:lineRule="auto" w:before="0"/>
                          <w:ind w:left="368" w:right="22" w:firstLine="0"/>
                          <w:jc w:val="right"/>
                          <w:rPr>
                            <w:rFonts w:ascii="Arial"/>
                            <w:sz w:val="12"/>
                          </w:rPr>
                        </w:pPr>
                        <w:r>
                          <w:rPr>
                            <w:rFonts w:ascii="Arial"/>
                            <w:color w:val="231F20"/>
                            <w:spacing w:val="-2"/>
                            <w:w w:val="75"/>
                            <w:sz w:val="12"/>
                          </w:rPr>
                          <w:t>Tunisia</w:t>
                        </w:r>
                        <w:r>
                          <w:rPr>
                            <w:rFonts w:ascii="Arial"/>
                            <w:color w:val="231F20"/>
                            <w:spacing w:val="40"/>
                            <w:sz w:val="12"/>
                          </w:rPr>
                          <w:t> </w:t>
                        </w:r>
                        <w:r>
                          <w:rPr>
                            <w:rFonts w:ascii="Arial"/>
                            <w:color w:val="231F20"/>
                            <w:spacing w:val="-2"/>
                            <w:w w:val="75"/>
                            <w:sz w:val="12"/>
                          </w:rPr>
                          <w:t>Algeria</w:t>
                        </w:r>
                      </w:p>
                    </w:txbxContent>
                  </v:textbox>
                  <w10:wrap type="none"/>
                </v:shape>
                <v:shape style="position:absolute;left:5027;top:1275;width:913;height:2824" type="#_x0000_t202" id="docshape1119" filled="false" stroked="false">
                  <v:textbox inset="0,0,0,0">
                    <w:txbxContent>
                      <w:p>
                        <w:pPr>
                          <w:spacing w:line="312" w:lineRule="auto" w:before="0"/>
                          <w:ind w:left="326" w:right="22" w:firstLine="135"/>
                          <w:jc w:val="right"/>
                          <w:rPr>
                            <w:rFonts w:ascii="Arial"/>
                            <w:sz w:val="12"/>
                          </w:rPr>
                        </w:pPr>
                        <w:r>
                          <w:rPr>
                            <w:rFonts w:ascii="Arial"/>
                            <w:color w:val="231F20"/>
                            <w:spacing w:val="-2"/>
                            <w:w w:val="75"/>
                            <w:sz w:val="12"/>
                          </w:rPr>
                          <w:t>Singapore</w:t>
                        </w:r>
                        <w:r>
                          <w:rPr>
                            <w:rFonts w:ascii="Arial"/>
                            <w:color w:val="231F20"/>
                            <w:spacing w:val="40"/>
                            <w:sz w:val="12"/>
                          </w:rPr>
                          <w:t> </w:t>
                        </w:r>
                        <w:r>
                          <w:rPr>
                            <w:rFonts w:ascii="Arial"/>
                            <w:color w:val="231F20"/>
                            <w:w w:val="75"/>
                            <w:sz w:val="12"/>
                          </w:rPr>
                          <w:t>United</w:t>
                        </w:r>
                        <w:r>
                          <w:rPr>
                            <w:rFonts w:ascii="Arial"/>
                            <w:color w:val="231F20"/>
                            <w:spacing w:val="1"/>
                            <w:sz w:val="12"/>
                          </w:rPr>
                          <w:t> </w:t>
                        </w:r>
                        <w:r>
                          <w:rPr>
                            <w:rFonts w:ascii="Arial"/>
                            <w:color w:val="231F20"/>
                            <w:spacing w:val="-4"/>
                            <w:w w:val="80"/>
                            <w:sz w:val="12"/>
                          </w:rPr>
                          <w:t>States</w:t>
                        </w:r>
                      </w:p>
                      <w:p>
                        <w:pPr>
                          <w:spacing w:line="138" w:lineRule="exact" w:before="0"/>
                          <w:ind w:left="0" w:right="22" w:firstLine="0"/>
                          <w:jc w:val="right"/>
                          <w:rPr>
                            <w:rFonts w:ascii="Arial"/>
                            <w:sz w:val="12"/>
                          </w:rPr>
                        </w:pPr>
                        <w:r>
                          <w:rPr>
                            <w:rFonts w:ascii="Arial"/>
                            <w:color w:val="231F20"/>
                            <w:w w:val="75"/>
                            <w:sz w:val="12"/>
                          </w:rPr>
                          <w:t>United</w:t>
                        </w:r>
                        <w:r>
                          <w:rPr>
                            <w:rFonts w:ascii="Arial"/>
                            <w:color w:val="231F20"/>
                            <w:spacing w:val="-3"/>
                            <w:sz w:val="12"/>
                          </w:rPr>
                          <w:t> </w:t>
                        </w:r>
                        <w:r>
                          <w:rPr>
                            <w:rFonts w:ascii="Arial"/>
                            <w:color w:val="231F20"/>
                            <w:w w:val="75"/>
                            <w:sz w:val="12"/>
                          </w:rPr>
                          <w:t>Arab</w:t>
                        </w:r>
                        <w:r>
                          <w:rPr>
                            <w:rFonts w:ascii="Arial"/>
                            <w:color w:val="231F20"/>
                            <w:spacing w:val="3"/>
                            <w:sz w:val="12"/>
                          </w:rPr>
                          <w:t> </w:t>
                        </w:r>
                        <w:r>
                          <w:rPr>
                            <w:rFonts w:ascii="Arial"/>
                            <w:color w:val="231F20"/>
                            <w:spacing w:val="-2"/>
                            <w:w w:val="75"/>
                            <w:sz w:val="12"/>
                          </w:rPr>
                          <w:t>Emirates</w:t>
                        </w:r>
                      </w:p>
                      <w:p>
                        <w:pPr>
                          <w:spacing w:before="40"/>
                          <w:ind w:left="0" w:right="22" w:firstLine="0"/>
                          <w:jc w:val="right"/>
                          <w:rPr>
                            <w:rFonts w:ascii="Arial"/>
                            <w:sz w:val="12"/>
                          </w:rPr>
                        </w:pPr>
                        <w:r>
                          <w:rPr>
                            <w:rFonts w:ascii="Arial"/>
                            <w:color w:val="231F20"/>
                            <w:spacing w:val="-2"/>
                            <w:w w:val="85"/>
                            <w:sz w:val="12"/>
                          </w:rPr>
                          <w:t>Germany</w:t>
                        </w:r>
                      </w:p>
                      <w:p>
                        <w:pPr>
                          <w:spacing w:line="312" w:lineRule="auto" w:before="41"/>
                          <w:ind w:left="448" w:right="22" w:firstLine="319"/>
                          <w:jc w:val="right"/>
                          <w:rPr>
                            <w:rFonts w:ascii="Arial" w:hAnsi="Arial"/>
                            <w:sz w:val="12"/>
                          </w:rPr>
                        </w:pPr>
                        <w:r>
                          <w:rPr>
                            <w:rFonts w:ascii="Arial" w:hAnsi="Arial"/>
                            <w:color w:val="231F20"/>
                            <w:spacing w:val="-10"/>
                            <w:w w:val="90"/>
                            <w:sz w:val="12"/>
                          </w:rPr>
                          <w:t>…</w:t>
                        </w:r>
                        <w:r>
                          <w:rPr>
                            <w:rFonts w:ascii="Arial" w:hAnsi="Arial"/>
                            <w:color w:val="231F20"/>
                            <w:spacing w:val="40"/>
                            <w:sz w:val="12"/>
                          </w:rPr>
                          <w:t> </w:t>
                        </w:r>
                        <w:r>
                          <w:rPr>
                            <w:rFonts w:ascii="Arial" w:hAnsi="Arial"/>
                            <w:color w:val="231F20"/>
                            <w:spacing w:val="-2"/>
                            <w:w w:val="80"/>
                            <w:sz w:val="12"/>
                          </w:rPr>
                          <w:t>Zimbabwe</w:t>
                        </w:r>
                        <w:r>
                          <w:rPr>
                            <w:rFonts w:ascii="Arial" w:hAnsi="Arial"/>
                            <w:color w:val="231F20"/>
                            <w:spacing w:val="40"/>
                            <w:sz w:val="12"/>
                          </w:rPr>
                          <w:t> </w:t>
                        </w:r>
                        <w:r>
                          <w:rPr>
                            <w:rFonts w:ascii="Arial" w:hAnsi="Arial"/>
                            <w:color w:val="231F20"/>
                            <w:spacing w:val="-4"/>
                            <w:w w:val="90"/>
                            <w:sz w:val="12"/>
                          </w:rPr>
                          <w:t>Benin</w:t>
                        </w:r>
                        <w:r>
                          <w:rPr>
                            <w:rFonts w:ascii="Arial" w:hAnsi="Arial"/>
                            <w:color w:val="231F20"/>
                            <w:spacing w:val="40"/>
                            <w:sz w:val="12"/>
                          </w:rPr>
                          <w:t> </w:t>
                        </w:r>
                        <w:r>
                          <w:rPr>
                            <w:rFonts w:ascii="Arial" w:hAnsi="Arial"/>
                            <w:color w:val="231F20"/>
                            <w:spacing w:val="-2"/>
                            <w:w w:val="90"/>
                            <w:sz w:val="12"/>
                          </w:rPr>
                          <w:t>Djibouti</w:t>
                        </w:r>
                        <w:r>
                          <w:rPr>
                            <w:rFonts w:ascii="Arial" w:hAnsi="Arial"/>
                            <w:color w:val="231F20"/>
                            <w:spacing w:val="40"/>
                            <w:sz w:val="12"/>
                          </w:rPr>
                          <w:t> </w:t>
                        </w:r>
                        <w:r>
                          <w:rPr>
                            <w:rFonts w:ascii="Arial" w:hAnsi="Arial"/>
                            <w:color w:val="231F20"/>
                            <w:spacing w:val="-2"/>
                            <w:w w:val="90"/>
                            <w:sz w:val="12"/>
                          </w:rPr>
                          <w:t>Jamaica</w:t>
                        </w:r>
                        <w:r>
                          <w:rPr>
                            <w:rFonts w:ascii="Arial" w:hAnsi="Arial"/>
                            <w:color w:val="231F20"/>
                            <w:spacing w:val="40"/>
                            <w:sz w:val="12"/>
                          </w:rPr>
                          <w:t> </w:t>
                        </w:r>
                        <w:r>
                          <w:rPr>
                            <w:rFonts w:ascii="Arial" w:hAnsi="Arial"/>
                            <w:color w:val="231F20"/>
                            <w:spacing w:val="-2"/>
                            <w:w w:val="90"/>
                            <w:sz w:val="12"/>
                          </w:rPr>
                          <w:t>Nigeria</w:t>
                        </w:r>
                        <w:r>
                          <w:rPr>
                            <w:rFonts w:ascii="Arial" w:hAnsi="Arial"/>
                            <w:color w:val="231F20"/>
                            <w:spacing w:val="40"/>
                            <w:sz w:val="12"/>
                          </w:rPr>
                          <w:t> </w:t>
                        </w:r>
                        <w:r>
                          <w:rPr>
                            <w:rFonts w:ascii="Arial" w:hAnsi="Arial"/>
                            <w:color w:val="231F20"/>
                            <w:spacing w:val="-4"/>
                            <w:w w:val="90"/>
                            <w:sz w:val="12"/>
                          </w:rPr>
                          <w:t>Sudan</w:t>
                        </w:r>
                        <w:r>
                          <w:rPr>
                            <w:rFonts w:ascii="Arial" w:hAnsi="Arial"/>
                            <w:color w:val="231F20"/>
                            <w:spacing w:val="40"/>
                            <w:sz w:val="12"/>
                          </w:rPr>
                          <w:t> </w:t>
                        </w:r>
                        <w:r>
                          <w:rPr>
                            <w:rFonts w:ascii="Arial" w:hAnsi="Arial"/>
                            <w:color w:val="231F20"/>
                            <w:spacing w:val="-2"/>
                            <w:w w:val="90"/>
                            <w:sz w:val="12"/>
                          </w:rPr>
                          <w:t>Ghana</w:t>
                        </w:r>
                        <w:r>
                          <w:rPr>
                            <w:rFonts w:ascii="Arial" w:hAnsi="Arial"/>
                            <w:color w:val="231F20"/>
                            <w:spacing w:val="40"/>
                            <w:sz w:val="12"/>
                          </w:rPr>
                          <w:t> </w:t>
                        </w:r>
                        <w:r>
                          <w:rPr>
                            <w:rFonts w:ascii="Arial" w:hAnsi="Arial"/>
                            <w:color w:val="231F20"/>
                            <w:spacing w:val="-2"/>
                            <w:w w:val="90"/>
                            <w:sz w:val="12"/>
                          </w:rPr>
                          <w:t>Gabon</w:t>
                        </w:r>
                      </w:p>
                      <w:p>
                        <w:pPr>
                          <w:spacing w:line="136" w:lineRule="exact" w:before="0"/>
                          <w:ind w:left="0" w:right="18" w:firstLine="0"/>
                          <w:jc w:val="right"/>
                          <w:rPr>
                            <w:rFonts w:ascii="Arial"/>
                            <w:sz w:val="12"/>
                          </w:rPr>
                        </w:pPr>
                        <w:r>
                          <w:rPr>
                            <w:rFonts w:ascii="Arial"/>
                            <w:color w:val="231F20"/>
                            <w:w w:val="75"/>
                            <w:sz w:val="12"/>
                          </w:rPr>
                          <w:t>Egypt,</w:t>
                        </w:r>
                        <w:r>
                          <w:rPr>
                            <w:rFonts w:ascii="Arial"/>
                            <w:color w:val="231F20"/>
                            <w:spacing w:val="-9"/>
                            <w:sz w:val="12"/>
                          </w:rPr>
                          <w:t> </w:t>
                        </w:r>
                        <w:r>
                          <w:rPr>
                            <w:rFonts w:ascii="Arial"/>
                            <w:color w:val="231F20"/>
                            <w:w w:val="75"/>
                            <w:sz w:val="12"/>
                          </w:rPr>
                          <w:t>Arab</w:t>
                        </w:r>
                        <w:r>
                          <w:rPr>
                            <w:rFonts w:ascii="Arial"/>
                            <w:color w:val="231F20"/>
                            <w:spacing w:val="4"/>
                            <w:sz w:val="12"/>
                          </w:rPr>
                          <w:t> </w:t>
                        </w:r>
                        <w:r>
                          <w:rPr>
                            <w:rFonts w:ascii="Arial"/>
                            <w:color w:val="231F20"/>
                            <w:spacing w:val="-4"/>
                            <w:w w:val="75"/>
                            <w:sz w:val="12"/>
                          </w:rPr>
                          <w:t>Rep.</w:t>
                        </w:r>
                      </w:p>
                      <w:p>
                        <w:pPr>
                          <w:spacing w:line="180" w:lineRule="atLeast" w:before="0"/>
                          <w:ind w:left="595" w:right="22" w:firstLine="2"/>
                          <w:jc w:val="right"/>
                          <w:rPr>
                            <w:rFonts w:ascii="Arial"/>
                            <w:sz w:val="12"/>
                          </w:rPr>
                        </w:pPr>
                        <w:r>
                          <w:rPr>
                            <w:rFonts w:ascii="Arial"/>
                            <w:color w:val="231F20"/>
                            <w:spacing w:val="-2"/>
                            <w:w w:val="75"/>
                            <w:sz w:val="12"/>
                          </w:rPr>
                          <w:t>Angola</w:t>
                        </w:r>
                        <w:r>
                          <w:rPr>
                            <w:rFonts w:ascii="Arial"/>
                            <w:color w:val="231F20"/>
                            <w:spacing w:val="40"/>
                            <w:sz w:val="12"/>
                          </w:rPr>
                          <w:t> </w:t>
                        </w:r>
                        <w:r>
                          <w:rPr>
                            <w:rFonts w:ascii="Arial"/>
                            <w:color w:val="231F20"/>
                            <w:spacing w:val="-2"/>
                            <w:w w:val="75"/>
                            <w:sz w:val="12"/>
                          </w:rPr>
                          <w:t>Algeria</w:t>
                        </w:r>
                      </w:p>
                    </w:txbxContent>
                  </v:textbox>
                  <w10:wrap type="none"/>
                </v:shape>
                <v:shape style="position:absolute;left:2178;top:4153;width:752;height:159" type="#_x0000_t202" id="docshape1120" filled="false" stroked="false">
                  <v:textbox inset="0,0,0,0">
                    <w:txbxContent>
                      <w:p>
                        <w:pPr>
                          <w:tabs>
                            <w:tab w:pos="663" w:val="left" w:leader="none"/>
                          </w:tabs>
                          <w:spacing w:line="158" w:lineRule="exact" w:before="0"/>
                          <w:ind w:left="0" w:right="0" w:firstLine="0"/>
                          <w:jc w:val="left"/>
                          <w:rPr>
                            <w:rFonts w:ascii="Arial"/>
                            <w:sz w:val="14"/>
                          </w:rPr>
                        </w:pPr>
                        <w:r>
                          <w:rPr>
                            <w:rFonts w:ascii="Arial"/>
                            <w:color w:val="231F20"/>
                            <w:spacing w:val="-10"/>
                            <w:w w:val="95"/>
                            <w:sz w:val="14"/>
                          </w:rPr>
                          <w:t>0</w:t>
                        </w:r>
                        <w:r>
                          <w:rPr>
                            <w:rFonts w:ascii="Arial"/>
                            <w:color w:val="231F20"/>
                            <w:sz w:val="14"/>
                          </w:rPr>
                          <w:tab/>
                        </w:r>
                        <w:r>
                          <w:rPr>
                            <w:rFonts w:ascii="Arial"/>
                            <w:color w:val="231F20"/>
                            <w:spacing w:val="-10"/>
                            <w:w w:val="95"/>
                            <w:sz w:val="14"/>
                          </w:rPr>
                          <w:t>5</w:t>
                        </w:r>
                      </w:p>
                    </w:txbxContent>
                  </v:textbox>
                  <w10:wrap type="none"/>
                </v:shape>
                <v:shape style="position:absolute;left:2950;top:4153;width:1199;height:359" type="#_x0000_t202" id="docshape1121" filled="false" stroked="false">
                  <v:textbox inset="0,0,0,0">
                    <w:txbxContent>
                      <w:p>
                        <w:pPr>
                          <w:spacing w:line="159" w:lineRule="exact" w:before="0"/>
                          <w:ind w:left="0" w:right="18" w:firstLine="0"/>
                          <w:jc w:val="center"/>
                          <w:rPr>
                            <w:rFonts w:ascii="Arial"/>
                            <w:sz w:val="14"/>
                          </w:rPr>
                        </w:pPr>
                        <w:r>
                          <w:rPr>
                            <w:rFonts w:ascii="Arial"/>
                            <w:color w:val="231F20"/>
                            <w:spacing w:val="-5"/>
                            <w:w w:val="95"/>
                            <w:sz w:val="14"/>
                          </w:rPr>
                          <w:t>10</w:t>
                        </w:r>
                      </w:p>
                      <w:p>
                        <w:pPr>
                          <w:spacing w:line="160" w:lineRule="exact" w:before="39"/>
                          <w:ind w:left="0" w:right="18" w:firstLine="0"/>
                          <w:jc w:val="center"/>
                          <w:rPr>
                            <w:rFonts w:ascii="Arial"/>
                            <w:sz w:val="14"/>
                          </w:rPr>
                        </w:pPr>
                        <w:r>
                          <w:rPr>
                            <w:rFonts w:ascii="Arial"/>
                            <w:color w:val="231F20"/>
                            <w:w w:val="80"/>
                            <w:sz w:val="14"/>
                          </w:rPr>
                          <w:t>Import</w:t>
                        </w:r>
                        <w:r>
                          <w:rPr>
                            <w:rFonts w:ascii="Arial"/>
                            <w:color w:val="231F20"/>
                            <w:spacing w:val="-7"/>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7"/>
                            <w:sz w:val="14"/>
                          </w:rPr>
                          <w:t> </w:t>
                        </w:r>
                        <w:r>
                          <w:rPr>
                            <w:rFonts w:ascii="Arial"/>
                            <w:color w:val="231F20"/>
                            <w:spacing w:val="-5"/>
                            <w:w w:val="80"/>
                            <w:sz w:val="14"/>
                          </w:rPr>
                          <w:t>(days)</w:t>
                        </w:r>
                      </w:p>
                    </w:txbxContent>
                  </v:textbox>
                  <w10:wrap type="none"/>
                </v:shape>
                <v:shape style="position:absolute;left:4136;top:4153;width:155;height:159" type="#_x0000_t202" id="docshape1122"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15</w:t>
                        </w:r>
                      </w:p>
                    </w:txbxContent>
                  </v:textbox>
                  <w10:wrap type="none"/>
                </v:shape>
                <v:shape style="position:absolute;left:4800;top:4153;width:155;height:159" type="#_x0000_t202" id="docshape1123"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20</w:t>
                        </w:r>
                      </w:p>
                    </w:txbxContent>
                  </v:textbox>
                  <w10:wrap type="none"/>
                </v:shape>
                <v:shape style="position:absolute;left:5923;top:4153;width:88;height:159" type="#_x0000_t202" id="docshape1124" filled="false" stroked="false">
                  <v:textbox inset="0,0,0,0">
                    <w:txbxContent>
                      <w:p>
                        <w:pPr>
                          <w:spacing w:line="158" w:lineRule="exact" w:before="0"/>
                          <w:ind w:left="0" w:right="0" w:firstLine="0"/>
                          <w:jc w:val="left"/>
                          <w:rPr>
                            <w:rFonts w:ascii="Arial"/>
                            <w:sz w:val="14"/>
                          </w:rPr>
                        </w:pPr>
                        <w:r>
                          <w:rPr>
                            <w:rFonts w:ascii="Arial"/>
                            <w:color w:val="231F20"/>
                            <w:spacing w:val="-10"/>
                            <w:w w:val="95"/>
                            <w:sz w:val="14"/>
                          </w:rPr>
                          <w:t>0</w:t>
                        </w:r>
                      </w:p>
                    </w:txbxContent>
                  </v:textbox>
                  <w10:wrap type="none"/>
                </v:shape>
                <v:shape style="position:absolute;left:6454;top:4153;width:619;height:159" type="#_x0000_t202" id="docshape1125" filled="false" stroked="false">
                  <v:textbox inset="0,0,0,0">
                    <w:txbxContent>
                      <w:p>
                        <w:pPr>
                          <w:tabs>
                            <w:tab w:pos="531" w:val="left" w:leader="none"/>
                          </w:tabs>
                          <w:spacing w:line="158" w:lineRule="exact" w:before="0"/>
                          <w:ind w:left="0" w:right="0" w:firstLine="0"/>
                          <w:jc w:val="left"/>
                          <w:rPr>
                            <w:rFonts w:ascii="Arial"/>
                            <w:sz w:val="14"/>
                          </w:rPr>
                        </w:pPr>
                        <w:r>
                          <w:rPr>
                            <w:rFonts w:ascii="Arial"/>
                            <w:color w:val="231F20"/>
                            <w:spacing w:val="-10"/>
                            <w:w w:val="95"/>
                            <w:sz w:val="14"/>
                          </w:rPr>
                          <w:t>2</w:t>
                        </w:r>
                        <w:r>
                          <w:rPr>
                            <w:rFonts w:ascii="Arial"/>
                            <w:color w:val="231F20"/>
                            <w:sz w:val="14"/>
                          </w:rPr>
                          <w:tab/>
                        </w:r>
                        <w:r>
                          <w:rPr>
                            <w:rFonts w:ascii="Arial"/>
                            <w:color w:val="231F20"/>
                            <w:spacing w:val="-10"/>
                            <w:w w:val="95"/>
                            <w:sz w:val="14"/>
                          </w:rPr>
                          <w:t>4</w:t>
                        </w:r>
                      </w:p>
                    </w:txbxContent>
                  </v:textbox>
                  <w10:wrap type="none"/>
                </v:shape>
                <v:shape style="position:absolute;left:7516;top:4153;width:1184;height:159" type="#_x0000_t202" id="docshape1126" filled="false" stroked="false">
                  <v:textbox inset="0,0,0,0">
                    <w:txbxContent>
                      <w:p>
                        <w:pPr>
                          <w:tabs>
                            <w:tab w:pos="531" w:val="left" w:leader="none"/>
                            <w:tab w:pos="1028" w:val="left" w:leader="none"/>
                          </w:tabs>
                          <w:spacing w:line="158" w:lineRule="exact" w:before="0"/>
                          <w:ind w:left="0" w:right="0" w:firstLine="0"/>
                          <w:jc w:val="left"/>
                          <w:rPr>
                            <w:rFonts w:ascii="Arial"/>
                            <w:sz w:val="14"/>
                          </w:rPr>
                        </w:pPr>
                        <w:r>
                          <w:rPr>
                            <w:rFonts w:ascii="Arial"/>
                            <w:color w:val="231F20"/>
                            <w:spacing w:val="-10"/>
                            <w:w w:val="95"/>
                            <w:sz w:val="14"/>
                          </w:rPr>
                          <w:t>6</w:t>
                        </w:r>
                        <w:r>
                          <w:rPr>
                            <w:rFonts w:ascii="Arial"/>
                            <w:color w:val="231F20"/>
                            <w:sz w:val="14"/>
                          </w:rPr>
                          <w:tab/>
                        </w:r>
                        <w:r>
                          <w:rPr>
                            <w:rFonts w:ascii="Arial"/>
                            <w:color w:val="231F20"/>
                            <w:spacing w:val="-10"/>
                            <w:w w:val="95"/>
                            <w:sz w:val="14"/>
                          </w:rPr>
                          <w:t>8</w:t>
                        </w:r>
                        <w:r>
                          <w:rPr>
                            <w:rFonts w:ascii="Arial"/>
                            <w:color w:val="231F20"/>
                            <w:sz w:val="14"/>
                          </w:rPr>
                          <w:tab/>
                        </w:r>
                        <w:r>
                          <w:rPr>
                            <w:rFonts w:ascii="Arial"/>
                            <w:color w:val="231F20"/>
                            <w:spacing w:val="-5"/>
                            <w:w w:val="95"/>
                            <w:sz w:val="14"/>
                          </w:rPr>
                          <w:t>10</w:t>
                        </w:r>
                      </w:p>
                    </w:txbxContent>
                  </v:textbox>
                  <w10:wrap type="none"/>
                </v:shape>
                <v:shape style="position:absolute;left:6695;top:4353;width:1199;height:159" type="#_x0000_t202" id="docshape1127" filled="false" stroked="false">
                  <v:textbox inset="0,0,0,0">
                    <w:txbxContent>
                      <w:p>
                        <w:pPr>
                          <w:spacing w:line="158" w:lineRule="exact" w:before="0"/>
                          <w:ind w:left="0" w:right="0" w:firstLine="0"/>
                          <w:jc w:val="left"/>
                          <w:rPr>
                            <w:rFonts w:ascii="Arial"/>
                            <w:sz w:val="14"/>
                          </w:rPr>
                        </w:pPr>
                        <w:r>
                          <w:rPr>
                            <w:rFonts w:ascii="Arial"/>
                            <w:color w:val="231F20"/>
                            <w:w w:val="80"/>
                            <w:sz w:val="14"/>
                          </w:rPr>
                          <w:t>Import</w:t>
                        </w:r>
                        <w:r>
                          <w:rPr>
                            <w:rFonts w:ascii="Arial"/>
                            <w:color w:val="231F20"/>
                            <w:spacing w:val="-7"/>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7"/>
                            <w:sz w:val="14"/>
                          </w:rPr>
                          <w:t> </w:t>
                        </w:r>
                        <w:r>
                          <w:rPr>
                            <w:rFonts w:ascii="Arial"/>
                            <w:color w:val="231F20"/>
                            <w:spacing w:val="-2"/>
                            <w:w w:val="80"/>
                            <w:sz w:val="14"/>
                          </w:rPr>
                          <w:t>(days)</w:t>
                        </w:r>
                      </w:p>
                    </w:txbxContent>
                  </v:textbox>
                  <w10:wrap type="none"/>
                </v:shape>
                <v:shape style="position:absolute;left:1320;top:4660;width:7115;height:284" type="#_x0000_t202" id="docshape1128" filled="false" stroked="false">
                  <v:textbox inset="0,0,0,0">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3"/>
                            <w:sz w:val="12"/>
                          </w:rPr>
                          <w:t> </w:t>
                        </w:r>
                        <w:r>
                          <w:rPr>
                            <w:rFonts w:ascii="Arial"/>
                            <w:color w:val="231F20"/>
                            <w:w w:val="75"/>
                            <w:sz w:val="12"/>
                          </w:rPr>
                          <w:t>World</w:t>
                        </w:r>
                        <w:r>
                          <w:rPr>
                            <w:rFonts w:ascii="Arial"/>
                            <w:color w:val="231F20"/>
                            <w:spacing w:val="3"/>
                            <w:sz w:val="12"/>
                          </w:rPr>
                          <w:t> </w:t>
                        </w:r>
                        <w:r>
                          <w:rPr>
                            <w:rFonts w:ascii="Arial"/>
                            <w:color w:val="231F20"/>
                            <w:w w:val="75"/>
                            <w:sz w:val="12"/>
                          </w:rPr>
                          <w:t>Bank</w:t>
                        </w:r>
                        <w:r>
                          <w:rPr>
                            <w:rFonts w:ascii="Arial"/>
                            <w:color w:val="231F20"/>
                            <w:spacing w:val="3"/>
                            <w:sz w:val="12"/>
                          </w:rPr>
                          <w:t> </w:t>
                        </w:r>
                        <w:r>
                          <w:rPr>
                            <w:rFonts w:ascii="Arial"/>
                            <w:color w:val="231F20"/>
                            <w:w w:val="75"/>
                            <w:sz w:val="12"/>
                          </w:rPr>
                          <w:t>estimate</w:t>
                        </w:r>
                        <w:r>
                          <w:rPr>
                            <w:rFonts w:ascii="Arial"/>
                            <w:color w:val="231F20"/>
                            <w:spacing w:val="3"/>
                            <w:sz w:val="12"/>
                          </w:rPr>
                          <w:t> </w:t>
                        </w:r>
                        <w:r>
                          <w:rPr>
                            <w:rFonts w:ascii="Arial"/>
                            <w:color w:val="231F20"/>
                            <w:w w:val="75"/>
                            <w:sz w:val="12"/>
                          </w:rPr>
                          <w:t>from</w:t>
                        </w:r>
                        <w:r>
                          <w:rPr>
                            <w:rFonts w:ascii="Arial"/>
                            <w:color w:val="231F20"/>
                            <w:spacing w:val="-2"/>
                            <w:sz w:val="12"/>
                          </w:rPr>
                          <w:t> </w:t>
                        </w:r>
                        <w:r>
                          <w:rPr>
                            <w:rFonts w:ascii="Arial"/>
                            <w:color w:val="231F20"/>
                            <w:w w:val="75"/>
                            <w:sz w:val="12"/>
                          </w:rPr>
                          <w:t>TradeLens</w:t>
                        </w:r>
                        <w:r>
                          <w:rPr>
                            <w:rFonts w:ascii="Arial"/>
                            <w:color w:val="231F20"/>
                            <w:spacing w:val="2"/>
                            <w:sz w:val="12"/>
                          </w:rPr>
                          <w:t> </w:t>
                        </w:r>
                        <w:r>
                          <w:rPr>
                            <w:rFonts w:ascii="Arial"/>
                            <w:color w:val="231F20"/>
                            <w:w w:val="75"/>
                            <w:sz w:val="12"/>
                          </w:rPr>
                          <w:t>and</w:t>
                        </w:r>
                        <w:r>
                          <w:rPr>
                            <w:rFonts w:ascii="Arial"/>
                            <w:color w:val="231F20"/>
                            <w:spacing w:val="3"/>
                            <w:sz w:val="12"/>
                          </w:rPr>
                          <w:t> </w:t>
                        </w:r>
                        <w:r>
                          <w:rPr>
                            <w:rFonts w:ascii="Arial"/>
                            <w:color w:val="231F20"/>
                            <w:w w:val="75"/>
                            <w:sz w:val="12"/>
                          </w:rPr>
                          <w:t>Cargo</w:t>
                        </w:r>
                        <w:r>
                          <w:rPr>
                            <w:rFonts w:ascii="Arial"/>
                            <w:color w:val="231F20"/>
                            <w:spacing w:val="3"/>
                            <w:sz w:val="12"/>
                          </w:rPr>
                          <w:t> </w:t>
                        </w:r>
                        <w:r>
                          <w:rPr>
                            <w:rFonts w:ascii="Arial"/>
                            <w:color w:val="231F20"/>
                            <w:w w:val="75"/>
                            <w:sz w:val="12"/>
                          </w:rPr>
                          <w:t>iQ</w:t>
                        </w:r>
                        <w:r>
                          <w:rPr>
                            <w:rFonts w:ascii="Arial"/>
                            <w:color w:val="231F20"/>
                            <w:spacing w:val="3"/>
                            <w:sz w:val="12"/>
                          </w:rPr>
                          <w:t> </w:t>
                        </w:r>
                        <w:r>
                          <w:rPr>
                            <w:rFonts w:ascii="Arial"/>
                            <w:color w:val="231F20"/>
                            <w:spacing w:val="-2"/>
                            <w:w w:val="75"/>
                            <w:sz w:val="12"/>
                          </w:rPr>
                          <w:t>data.</w:t>
                        </w:r>
                      </w:p>
                      <w:p>
                        <w:pPr>
                          <w:spacing w:before="2"/>
                          <w:ind w:left="0" w:right="0" w:firstLine="0"/>
                          <w:jc w:val="left"/>
                          <w:rPr>
                            <w:rFonts w:ascii="Arial"/>
                            <w:sz w:val="12"/>
                          </w:rPr>
                        </w:pPr>
                        <w:r>
                          <w:rPr>
                            <w:rFonts w:ascii="Arial"/>
                            <w:i/>
                            <w:color w:val="231F20"/>
                            <w:w w:val="80"/>
                            <w:sz w:val="12"/>
                          </w:rPr>
                          <w:t>Note:</w:t>
                        </w:r>
                        <w:r>
                          <w:rPr>
                            <w:rFonts w:ascii="Arial"/>
                            <w:i/>
                            <w:color w:val="231F20"/>
                            <w:spacing w:val="-2"/>
                            <w:w w:val="80"/>
                            <w:sz w:val="12"/>
                          </w:rPr>
                          <w:t> </w:t>
                        </w:r>
                        <w:r>
                          <w:rPr>
                            <w:rFonts w:ascii="Arial"/>
                            <w:color w:val="231F20"/>
                            <w:w w:val="80"/>
                            <w:sz w:val="12"/>
                          </w:rPr>
                          <w:t>For</w:t>
                        </w:r>
                        <w:r>
                          <w:rPr>
                            <w:rFonts w:ascii="Arial"/>
                            <w:color w:val="231F20"/>
                            <w:spacing w:val="-1"/>
                            <w:w w:val="80"/>
                            <w:sz w:val="12"/>
                          </w:rPr>
                          <w:t> </w:t>
                        </w:r>
                        <w:r>
                          <w:rPr>
                            <w:rFonts w:ascii="Arial"/>
                            <w:color w:val="231F20"/>
                            <w:w w:val="80"/>
                            <w:sz w:val="12"/>
                          </w:rPr>
                          <w:t>ports,</w:t>
                        </w:r>
                        <w:r>
                          <w:rPr>
                            <w:rFonts w:ascii="Arial"/>
                            <w:color w:val="231F20"/>
                            <w:spacing w:val="-2"/>
                            <w:w w:val="80"/>
                            <w:sz w:val="12"/>
                          </w:rPr>
                          <w:t> </w:t>
                        </w:r>
                        <w:r>
                          <w:rPr>
                            <w:rFonts w:ascii="Arial"/>
                            <w:color w:val="231F20"/>
                            <w:w w:val="80"/>
                            <w:sz w:val="12"/>
                          </w:rPr>
                          <w:t>outliers</w:t>
                        </w:r>
                        <w:r>
                          <w:rPr>
                            <w:rFonts w:ascii="Arial"/>
                            <w:color w:val="231F20"/>
                            <w:spacing w:val="-6"/>
                            <w:sz w:val="12"/>
                          </w:rPr>
                          <w:t> </w:t>
                        </w:r>
                        <w:r>
                          <w:rPr>
                            <w:rFonts w:ascii="Arial"/>
                            <w:color w:val="231F20"/>
                            <w:w w:val="80"/>
                            <w:sz w:val="12"/>
                          </w:rPr>
                          <w:t>are</w:t>
                        </w:r>
                        <w:r>
                          <w:rPr>
                            <w:rFonts w:ascii="Arial"/>
                            <w:color w:val="231F20"/>
                            <w:spacing w:val="-6"/>
                            <w:sz w:val="12"/>
                          </w:rPr>
                          <w:t> </w:t>
                        </w:r>
                        <w:r>
                          <w:rPr>
                            <w:rFonts w:ascii="Arial"/>
                            <w:color w:val="231F20"/>
                            <w:w w:val="80"/>
                            <w:sz w:val="12"/>
                          </w:rPr>
                          <w:t>countries</w:t>
                        </w:r>
                        <w:r>
                          <w:rPr>
                            <w:rFonts w:ascii="Arial"/>
                            <w:color w:val="231F20"/>
                            <w:spacing w:val="-6"/>
                            <w:sz w:val="12"/>
                          </w:rPr>
                          <w:t> </w:t>
                        </w:r>
                        <w:r>
                          <w:rPr>
                            <w:rFonts w:ascii="Arial"/>
                            <w:color w:val="231F20"/>
                            <w:w w:val="80"/>
                            <w:sz w:val="12"/>
                          </w:rPr>
                          <w:t>with</w:t>
                        </w:r>
                        <w:r>
                          <w:rPr>
                            <w:rFonts w:ascii="Arial"/>
                            <w:color w:val="231F20"/>
                            <w:spacing w:val="-7"/>
                            <w:sz w:val="12"/>
                          </w:rPr>
                          <w:t> </w:t>
                        </w:r>
                        <w:r>
                          <w:rPr>
                            <w:rFonts w:ascii="Arial"/>
                            <w:color w:val="231F20"/>
                            <w:w w:val="80"/>
                            <w:sz w:val="12"/>
                          </w:rPr>
                          <w:t>import</w:t>
                        </w:r>
                        <w:r>
                          <w:rPr>
                            <w:rFonts w:ascii="Arial"/>
                            <w:color w:val="231F20"/>
                            <w:spacing w:val="-6"/>
                            <w:sz w:val="12"/>
                          </w:rPr>
                          <w:t> </w:t>
                        </w:r>
                        <w:r>
                          <w:rPr>
                            <w:rFonts w:ascii="Arial"/>
                            <w:color w:val="231F20"/>
                            <w:w w:val="80"/>
                            <w:sz w:val="12"/>
                          </w:rPr>
                          <w:t>dwell</w:t>
                        </w:r>
                        <w:r>
                          <w:rPr>
                            <w:rFonts w:ascii="Arial"/>
                            <w:color w:val="231F20"/>
                            <w:spacing w:val="-6"/>
                            <w:sz w:val="12"/>
                          </w:rPr>
                          <w:t> </w:t>
                        </w:r>
                        <w:r>
                          <w:rPr>
                            <w:rFonts w:ascii="Arial"/>
                            <w:color w:val="231F20"/>
                            <w:w w:val="80"/>
                            <w:sz w:val="12"/>
                          </w:rPr>
                          <w:t>times</w:t>
                        </w:r>
                        <w:r>
                          <w:rPr>
                            <w:rFonts w:ascii="Arial"/>
                            <w:color w:val="231F20"/>
                            <w:spacing w:val="-6"/>
                            <w:sz w:val="12"/>
                          </w:rPr>
                          <w:t> </w:t>
                        </w:r>
                        <w:r>
                          <w:rPr>
                            <w:rFonts w:ascii="Arial"/>
                            <w:color w:val="231F20"/>
                            <w:w w:val="80"/>
                            <w:sz w:val="12"/>
                          </w:rPr>
                          <w:t>of</w:t>
                        </w:r>
                        <w:r>
                          <w:rPr>
                            <w:rFonts w:ascii="Arial"/>
                            <w:color w:val="231F20"/>
                            <w:spacing w:val="-6"/>
                            <w:sz w:val="12"/>
                          </w:rPr>
                          <w:t> </w:t>
                        </w:r>
                        <w:r>
                          <w:rPr>
                            <w:rFonts w:ascii="Arial"/>
                            <w:color w:val="231F20"/>
                            <w:w w:val="80"/>
                            <w:sz w:val="12"/>
                          </w:rPr>
                          <w:t>more</w:t>
                        </w:r>
                        <w:r>
                          <w:rPr>
                            <w:rFonts w:ascii="Arial"/>
                            <w:color w:val="231F20"/>
                            <w:spacing w:val="-7"/>
                            <w:sz w:val="12"/>
                          </w:rPr>
                          <w:t> </w:t>
                        </w:r>
                        <w:r>
                          <w:rPr>
                            <w:rFonts w:ascii="Arial"/>
                            <w:color w:val="231F20"/>
                            <w:w w:val="80"/>
                            <w:sz w:val="12"/>
                          </w:rPr>
                          <w:t>than</w:t>
                        </w:r>
                        <w:r>
                          <w:rPr>
                            <w:rFonts w:ascii="Arial"/>
                            <w:color w:val="231F20"/>
                            <w:spacing w:val="-6"/>
                            <w:sz w:val="12"/>
                          </w:rPr>
                          <w:t> </w:t>
                        </w:r>
                        <w:r>
                          <w:rPr>
                            <w:rFonts w:ascii="Arial"/>
                            <w:color w:val="231F20"/>
                            <w:w w:val="80"/>
                            <w:sz w:val="12"/>
                          </w:rPr>
                          <w:t>12</w:t>
                        </w:r>
                        <w:r>
                          <w:rPr>
                            <w:rFonts w:ascii="Arial"/>
                            <w:color w:val="231F20"/>
                            <w:spacing w:val="-6"/>
                            <w:sz w:val="12"/>
                          </w:rPr>
                          <w:t> </w:t>
                        </w:r>
                        <w:r>
                          <w:rPr>
                            <w:rFonts w:ascii="Arial"/>
                            <w:color w:val="231F20"/>
                            <w:w w:val="80"/>
                            <w:sz w:val="12"/>
                          </w:rPr>
                          <w:t>days,</w:t>
                        </w:r>
                        <w:r>
                          <w:rPr>
                            <w:rFonts w:ascii="Arial"/>
                            <w:color w:val="231F20"/>
                            <w:spacing w:val="-2"/>
                            <w:w w:val="80"/>
                            <w:sz w:val="12"/>
                          </w:rPr>
                          <w:t> </w:t>
                        </w:r>
                        <w:r>
                          <w:rPr>
                            <w:rFonts w:ascii="Arial"/>
                            <w:color w:val="231F20"/>
                            <w:w w:val="80"/>
                            <w:sz w:val="12"/>
                          </w:rPr>
                          <w:t>and</w:t>
                        </w:r>
                        <w:r>
                          <w:rPr>
                            <w:rFonts w:ascii="Arial"/>
                            <w:color w:val="231F20"/>
                            <w:spacing w:val="-6"/>
                            <w:sz w:val="12"/>
                          </w:rPr>
                          <w:t> </w:t>
                        </w:r>
                        <w:r>
                          <w:rPr>
                            <w:rFonts w:ascii="Arial"/>
                            <w:color w:val="231F20"/>
                            <w:w w:val="80"/>
                            <w:sz w:val="12"/>
                          </w:rPr>
                          <w:t>for</w:t>
                        </w:r>
                        <w:r>
                          <w:rPr>
                            <w:rFonts w:ascii="Arial"/>
                            <w:color w:val="231F20"/>
                            <w:spacing w:val="-7"/>
                            <w:sz w:val="12"/>
                          </w:rPr>
                          <w:t> </w:t>
                        </w:r>
                        <w:r>
                          <w:rPr>
                            <w:rFonts w:ascii="Arial"/>
                            <w:color w:val="231F20"/>
                            <w:w w:val="80"/>
                            <w:sz w:val="12"/>
                          </w:rPr>
                          <w:t>airports,</w:t>
                        </w:r>
                        <w:r>
                          <w:rPr>
                            <w:rFonts w:ascii="Arial"/>
                            <w:color w:val="231F20"/>
                            <w:spacing w:val="-2"/>
                            <w:w w:val="80"/>
                            <w:sz w:val="12"/>
                          </w:rPr>
                          <w:t> </w:t>
                        </w:r>
                        <w:r>
                          <w:rPr>
                            <w:rFonts w:ascii="Arial"/>
                            <w:color w:val="231F20"/>
                            <w:w w:val="80"/>
                            <w:sz w:val="12"/>
                          </w:rPr>
                          <w:t>outliers</w:t>
                        </w:r>
                        <w:r>
                          <w:rPr>
                            <w:rFonts w:ascii="Arial"/>
                            <w:color w:val="231F20"/>
                            <w:spacing w:val="-6"/>
                            <w:sz w:val="12"/>
                          </w:rPr>
                          <w:t> </w:t>
                        </w:r>
                        <w:r>
                          <w:rPr>
                            <w:rFonts w:ascii="Arial"/>
                            <w:color w:val="231F20"/>
                            <w:w w:val="80"/>
                            <w:sz w:val="12"/>
                          </w:rPr>
                          <w:t>are</w:t>
                        </w:r>
                        <w:r>
                          <w:rPr>
                            <w:rFonts w:ascii="Arial"/>
                            <w:color w:val="231F20"/>
                            <w:spacing w:val="-6"/>
                            <w:sz w:val="12"/>
                          </w:rPr>
                          <w:t> </w:t>
                        </w:r>
                        <w:r>
                          <w:rPr>
                            <w:rFonts w:ascii="Arial"/>
                            <w:color w:val="231F20"/>
                            <w:w w:val="80"/>
                            <w:sz w:val="12"/>
                          </w:rPr>
                          <w:t>countries</w:t>
                        </w:r>
                        <w:r>
                          <w:rPr>
                            <w:rFonts w:ascii="Arial"/>
                            <w:color w:val="231F20"/>
                            <w:spacing w:val="-6"/>
                            <w:sz w:val="12"/>
                          </w:rPr>
                          <w:t> </w:t>
                        </w:r>
                        <w:r>
                          <w:rPr>
                            <w:rFonts w:ascii="Arial"/>
                            <w:color w:val="231F20"/>
                            <w:w w:val="80"/>
                            <w:sz w:val="12"/>
                          </w:rPr>
                          <w:t>with</w:t>
                        </w:r>
                        <w:r>
                          <w:rPr>
                            <w:rFonts w:ascii="Arial"/>
                            <w:color w:val="231F20"/>
                            <w:spacing w:val="-7"/>
                            <w:sz w:val="12"/>
                          </w:rPr>
                          <w:t> </w:t>
                        </w:r>
                        <w:r>
                          <w:rPr>
                            <w:rFonts w:ascii="Arial"/>
                            <w:color w:val="231F20"/>
                            <w:w w:val="80"/>
                            <w:sz w:val="12"/>
                          </w:rPr>
                          <w:t>import</w:t>
                        </w:r>
                        <w:r>
                          <w:rPr>
                            <w:rFonts w:ascii="Arial"/>
                            <w:color w:val="231F20"/>
                            <w:spacing w:val="-6"/>
                            <w:sz w:val="12"/>
                          </w:rPr>
                          <w:t> </w:t>
                        </w:r>
                        <w:r>
                          <w:rPr>
                            <w:rFonts w:ascii="Arial"/>
                            <w:color w:val="231F20"/>
                            <w:w w:val="80"/>
                            <w:sz w:val="12"/>
                          </w:rPr>
                          <w:t>dwell</w:t>
                        </w:r>
                        <w:r>
                          <w:rPr>
                            <w:rFonts w:ascii="Arial"/>
                            <w:color w:val="231F20"/>
                            <w:spacing w:val="-6"/>
                            <w:sz w:val="12"/>
                          </w:rPr>
                          <w:t> </w:t>
                        </w:r>
                        <w:r>
                          <w:rPr>
                            <w:rFonts w:ascii="Arial"/>
                            <w:color w:val="231F20"/>
                            <w:w w:val="80"/>
                            <w:sz w:val="12"/>
                          </w:rPr>
                          <w:t>times</w:t>
                        </w:r>
                        <w:r>
                          <w:rPr>
                            <w:rFonts w:ascii="Arial"/>
                            <w:color w:val="231F20"/>
                            <w:spacing w:val="-6"/>
                            <w:sz w:val="12"/>
                          </w:rPr>
                          <w:t> </w:t>
                        </w:r>
                        <w:r>
                          <w:rPr>
                            <w:rFonts w:ascii="Arial"/>
                            <w:color w:val="231F20"/>
                            <w:w w:val="80"/>
                            <w:sz w:val="12"/>
                          </w:rPr>
                          <w:t>of</w:t>
                        </w:r>
                        <w:r>
                          <w:rPr>
                            <w:rFonts w:ascii="Arial"/>
                            <w:color w:val="231F20"/>
                            <w:spacing w:val="-6"/>
                            <w:sz w:val="12"/>
                          </w:rPr>
                          <w:t> </w:t>
                        </w:r>
                        <w:r>
                          <w:rPr>
                            <w:rFonts w:ascii="Arial"/>
                            <w:color w:val="231F20"/>
                            <w:w w:val="80"/>
                            <w:sz w:val="12"/>
                          </w:rPr>
                          <w:t>more</w:t>
                        </w:r>
                        <w:r>
                          <w:rPr>
                            <w:rFonts w:ascii="Arial"/>
                            <w:color w:val="231F20"/>
                            <w:spacing w:val="-7"/>
                            <w:sz w:val="12"/>
                          </w:rPr>
                          <w:t> </w:t>
                        </w:r>
                        <w:r>
                          <w:rPr>
                            <w:rFonts w:ascii="Arial"/>
                            <w:color w:val="231F20"/>
                            <w:w w:val="80"/>
                            <w:sz w:val="12"/>
                          </w:rPr>
                          <w:t>than</w:t>
                        </w:r>
                        <w:r>
                          <w:rPr>
                            <w:rFonts w:ascii="Arial"/>
                            <w:color w:val="231F20"/>
                            <w:spacing w:val="-6"/>
                            <w:sz w:val="12"/>
                          </w:rPr>
                          <w:t> </w:t>
                        </w:r>
                        <w:r>
                          <w:rPr>
                            <w:rFonts w:ascii="Arial"/>
                            <w:color w:val="231F20"/>
                            <w:w w:val="80"/>
                            <w:sz w:val="12"/>
                          </w:rPr>
                          <w:t>4</w:t>
                        </w:r>
                        <w:r>
                          <w:rPr>
                            <w:rFonts w:ascii="Arial"/>
                            <w:color w:val="231F20"/>
                            <w:spacing w:val="-6"/>
                            <w:sz w:val="12"/>
                          </w:rPr>
                          <w:t> </w:t>
                        </w:r>
                        <w:r>
                          <w:rPr>
                            <w:rFonts w:ascii="Arial"/>
                            <w:color w:val="231F20"/>
                            <w:spacing w:val="-2"/>
                            <w:w w:val="80"/>
                            <w:sz w:val="12"/>
                          </w:rPr>
                          <w:t>days.</w:t>
                        </w:r>
                      </w:p>
                    </w:txbxContent>
                  </v:textbox>
                  <w10:wrap type="none"/>
                </v:shape>
                <w10:wrap type="topAndBottom"/>
              </v:group>
            </w:pict>
          </mc:Fallback>
        </mc:AlternateContent>
      </w:r>
    </w:p>
    <w:p>
      <w:pPr>
        <w:pStyle w:val="BodyText"/>
        <w:spacing w:before="120"/>
        <w:rPr>
          <w:rFonts w:ascii="Arial"/>
          <w:sz w:val="20"/>
        </w:rPr>
      </w:pPr>
    </w:p>
    <w:p>
      <w:pPr>
        <w:spacing w:after="0"/>
        <w:rPr>
          <w:rFonts w:ascii="Arial"/>
          <w:sz w:val="20"/>
        </w:rPr>
        <w:sectPr>
          <w:pgSz w:w="12240" w:h="15840"/>
          <w:pgMar w:header="0" w:footer="548" w:top="560" w:bottom="740" w:left="0" w:right="540"/>
        </w:sectPr>
      </w:pPr>
    </w:p>
    <w:p>
      <w:pPr>
        <w:pStyle w:val="BodyText"/>
        <w:spacing w:line="268" w:lineRule="auto" w:before="96"/>
        <w:ind w:left="1200"/>
        <w:jc w:val="both"/>
      </w:pPr>
      <w:r>
        <w:rPr/>
        <mc:AlternateContent>
          <mc:Choice Requires="wps">
            <w:drawing>
              <wp:anchor distT="0" distB="0" distL="0" distR="0" allowOverlap="1" layoutInCell="1" locked="0" behindDoc="1" simplePos="0" relativeHeight="466757120">
                <wp:simplePos x="0" y="0"/>
                <wp:positionH relativeFrom="page">
                  <wp:posOffset>762000</wp:posOffset>
                </wp:positionH>
                <wp:positionV relativeFrom="page">
                  <wp:posOffset>901700</wp:posOffset>
                </wp:positionV>
                <wp:extent cx="4877435" cy="2907030"/>
                <wp:effectExtent l="0" t="0" r="0" b="0"/>
                <wp:wrapNone/>
                <wp:docPr id="1338" name="Group 1338"/>
                <wp:cNvGraphicFramePr>
                  <a:graphicFrameLocks/>
                </wp:cNvGraphicFramePr>
                <a:graphic>
                  <a:graphicData uri="http://schemas.microsoft.com/office/word/2010/wordprocessingGroup">
                    <wpg:wgp>
                      <wpg:cNvPr id="1338" name="Group 1338"/>
                      <wpg:cNvGrpSpPr/>
                      <wpg:grpSpPr>
                        <a:xfrm>
                          <a:off x="0" y="0"/>
                          <a:ext cx="4877435" cy="2907030"/>
                          <a:chExt cx="4877435" cy="2907030"/>
                        </a:xfrm>
                      </wpg:grpSpPr>
                      <wps:wsp>
                        <wps:cNvPr id="1339" name="Graphic 1339"/>
                        <wps:cNvSpPr/>
                        <wps:spPr>
                          <a:xfrm>
                            <a:off x="198" y="258093"/>
                            <a:ext cx="4876800" cy="2648585"/>
                          </a:xfrm>
                          <a:custGeom>
                            <a:avLst/>
                            <a:gdLst/>
                            <a:ahLst/>
                            <a:cxnLst/>
                            <a:rect l="l" t="t" r="r" b="b"/>
                            <a:pathLst>
                              <a:path w="4876800" h="2648585">
                                <a:moveTo>
                                  <a:pt x="4876800" y="0"/>
                                </a:moveTo>
                                <a:lnTo>
                                  <a:pt x="0" y="0"/>
                                </a:lnTo>
                                <a:lnTo>
                                  <a:pt x="0" y="2573655"/>
                                </a:lnTo>
                                <a:lnTo>
                                  <a:pt x="6159" y="2602753"/>
                                </a:lnTo>
                                <a:lnTo>
                                  <a:pt x="22693" y="2626513"/>
                                </a:lnTo>
                                <a:lnTo>
                                  <a:pt x="46682" y="2642533"/>
                                </a:lnTo>
                                <a:lnTo>
                                  <a:pt x="75209" y="2648407"/>
                                </a:lnTo>
                                <a:lnTo>
                                  <a:pt x="4797920" y="2648407"/>
                                </a:lnTo>
                                <a:lnTo>
                                  <a:pt x="4827020" y="2643152"/>
                                </a:lnTo>
                                <a:lnTo>
                                  <a:pt x="4852271" y="2628166"/>
                                </a:lnTo>
                                <a:lnTo>
                                  <a:pt x="4870066" y="2604612"/>
                                </a:lnTo>
                                <a:lnTo>
                                  <a:pt x="4876800" y="2573655"/>
                                </a:lnTo>
                                <a:lnTo>
                                  <a:pt x="4876800" y="0"/>
                                </a:lnTo>
                                <a:close/>
                              </a:path>
                            </a:pathLst>
                          </a:custGeom>
                          <a:solidFill>
                            <a:srgbClr val="DFEAF7"/>
                          </a:solidFill>
                        </wps:spPr>
                        <wps:bodyPr wrap="square" lIns="0" tIns="0" rIns="0" bIns="0" rtlCol="0">
                          <a:prstTxWarp prst="textNoShape">
                            <a:avLst/>
                          </a:prstTxWarp>
                          <a:noAutofit/>
                        </wps:bodyPr>
                      </wps:wsp>
                      <wps:wsp>
                        <wps:cNvPr id="1340" name="Graphic 1340"/>
                        <wps:cNvSpPr/>
                        <wps:spPr>
                          <a:xfrm>
                            <a:off x="0" y="0"/>
                            <a:ext cx="512445" cy="231775"/>
                          </a:xfrm>
                          <a:custGeom>
                            <a:avLst/>
                            <a:gdLst/>
                            <a:ahLst/>
                            <a:cxnLst/>
                            <a:rect l="l" t="t" r="r" b="b"/>
                            <a:pathLst>
                              <a:path w="512445" h="231775">
                                <a:moveTo>
                                  <a:pt x="512178" y="0"/>
                                </a:moveTo>
                                <a:lnTo>
                                  <a:pt x="76200" y="0"/>
                                </a:lnTo>
                                <a:lnTo>
                                  <a:pt x="47213" y="3058"/>
                                </a:lnTo>
                                <a:lnTo>
                                  <a:pt x="22917" y="14506"/>
                                </a:lnTo>
                                <a:lnTo>
                                  <a:pt x="6212" y="37751"/>
                                </a:lnTo>
                                <a:lnTo>
                                  <a:pt x="0" y="76200"/>
                                </a:lnTo>
                                <a:lnTo>
                                  <a:pt x="0" y="231775"/>
                                </a:lnTo>
                                <a:lnTo>
                                  <a:pt x="512178" y="231775"/>
                                </a:lnTo>
                                <a:lnTo>
                                  <a:pt x="512178" y="0"/>
                                </a:lnTo>
                                <a:close/>
                              </a:path>
                            </a:pathLst>
                          </a:custGeom>
                          <a:solidFill>
                            <a:srgbClr val="008FDD"/>
                          </a:solidFill>
                        </wps:spPr>
                        <wps:bodyPr wrap="square" lIns="0" tIns="0" rIns="0" bIns="0" rtlCol="0">
                          <a:prstTxWarp prst="textNoShape">
                            <a:avLst/>
                          </a:prstTxWarp>
                          <a:noAutofit/>
                        </wps:bodyPr>
                      </wps:wsp>
                      <wps:wsp>
                        <wps:cNvPr id="1341" name="Graphic 1341"/>
                        <wps:cNvSpPr/>
                        <wps:spPr>
                          <a:xfrm>
                            <a:off x="512178" y="0"/>
                            <a:ext cx="4364355" cy="231775"/>
                          </a:xfrm>
                          <a:custGeom>
                            <a:avLst/>
                            <a:gdLst/>
                            <a:ahLst/>
                            <a:cxnLst/>
                            <a:rect l="l" t="t" r="r" b="b"/>
                            <a:pathLst>
                              <a:path w="4364355" h="231775">
                                <a:moveTo>
                                  <a:pt x="4287926" y="0"/>
                                </a:moveTo>
                                <a:lnTo>
                                  <a:pt x="0" y="0"/>
                                </a:lnTo>
                                <a:lnTo>
                                  <a:pt x="0" y="231775"/>
                                </a:lnTo>
                                <a:lnTo>
                                  <a:pt x="4364126" y="231775"/>
                                </a:lnTo>
                                <a:lnTo>
                                  <a:pt x="4364126" y="76200"/>
                                </a:lnTo>
                                <a:lnTo>
                                  <a:pt x="4358620" y="50979"/>
                                </a:lnTo>
                                <a:lnTo>
                                  <a:pt x="4343095" y="26265"/>
                                </a:lnTo>
                                <a:lnTo>
                                  <a:pt x="4319035" y="7468"/>
                                </a:lnTo>
                                <a:lnTo>
                                  <a:pt x="4287926" y="0"/>
                                </a:lnTo>
                                <a:close/>
                              </a:path>
                            </a:pathLst>
                          </a:custGeom>
                          <a:solidFill>
                            <a:srgbClr val="808285"/>
                          </a:solidFill>
                        </wps:spPr>
                        <wps:bodyPr wrap="square" lIns="0" tIns="0" rIns="0" bIns="0" rtlCol="0">
                          <a:prstTxWarp prst="textNoShape">
                            <a:avLst/>
                          </a:prstTxWarp>
                          <a:noAutofit/>
                        </wps:bodyPr>
                      </wps:wsp>
                      <wps:wsp>
                        <wps:cNvPr id="1342" name="Graphic 1342"/>
                        <wps:cNvSpPr/>
                        <wps:spPr>
                          <a:xfrm>
                            <a:off x="512179"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wps:wsp>
                        <wps:cNvPr id="1343" name="Textbox 1343"/>
                        <wps:cNvSpPr txBox="1"/>
                        <wps:spPr>
                          <a:xfrm>
                            <a:off x="76380" y="66855"/>
                            <a:ext cx="3655695" cy="551180"/>
                          </a:xfrm>
                          <a:prstGeom prst="rect">
                            <a:avLst/>
                          </a:prstGeom>
                        </wps:spPr>
                        <wps:txbx>
                          <w:txbxContent>
                            <w:p>
                              <w:pPr>
                                <w:spacing w:before="3"/>
                                <w:ind w:left="0" w:right="0" w:firstLine="0"/>
                                <w:jc w:val="left"/>
                                <w:rPr>
                                  <w:rFonts w:ascii="Arial"/>
                                  <w:b/>
                                  <w:sz w:val="16"/>
                                </w:rPr>
                              </w:pPr>
                              <w:r>
                                <w:rPr>
                                  <w:rFonts w:ascii="Arial"/>
                                  <w:color w:val="FFFFFF"/>
                                  <w:sz w:val="16"/>
                                </w:rPr>
                                <w:t>Figure</w:t>
                              </w:r>
                              <w:r>
                                <w:rPr>
                                  <w:rFonts w:ascii="Arial"/>
                                  <w:color w:val="FFFFFF"/>
                                  <w:spacing w:val="10"/>
                                  <w:sz w:val="16"/>
                                </w:rPr>
                                <w:t> </w:t>
                              </w:r>
                              <w:r>
                                <w:rPr>
                                  <w:rFonts w:ascii="Arial"/>
                                  <w:b/>
                                  <w:color w:val="FFFFFF"/>
                                  <w:sz w:val="16"/>
                                </w:rPr>
                                <w:t>3.5</w:t>
                              </w:r>
                              <w:r>
                                <w:rPr>
                                  <w:rFonts w:ascii="Arial"/>
                                  <w:b/>
                                  <w:color w:val="FFFFFF"/>
                                  <w:spacing w:val="61"/>
                                  <w:sz w:val="16"/>
                                </w:rPr>
                                <w:t>  </w:t>
                              </w:r>
                              <w:r>
                                <w:rPr>
                                  <w:rFonts w:ascii="Arial"/>
                                  <w:b/>
                                  <w:color w:val="FFFFFF"/>
                                  <w:sz w:val="16"/>
                                </w:rPr>
                                <w:t>Export</w:t>
                              </w:r>
                              <w:r>
                                <w:rPr>
                                  <w:rFonts w:ascii="Arial"/>
                                  <w:b/>
                                  <w:color w:val="FFFFFF"/>
                                  <w:spacing w:val="12"/>
                                  <w:sz w:val="16"/>
                                </w:rPr>
                                <w:t> </w:t>
                              </w:r>
                              <w:r>
                                <w:rPr>
                                  <w:rFonts w:ascii="Arial"/>
                                  <w:b/>
                                  <w:color w:val="FFFFFF"/>
                                  <w:sz w:val="16"/>
                                </w:rPr>
                                <w:t>dwell</w:t>
                              </w:r>
                              <w:r>
                                <w:rPr>
                                  <w:rFonts w:ascii="Arial"/>
                                  <w:b/>
                                  <w:color w:val="FFFFFF"/>
                                  <w:spacing w:val="11"/>
                                  <w:sz w:val="16"/>
                                </w:rPr>
                                <w:t> </w:t>
                              </w:r>
                              <w:r>
                                <w:rPr>
                                  <w:rFonts w:ascii="Arial"/>
                                  <w:b/>
                                  <w:color w:val="FFFFFF"/>
                                  <w:sz w:val="16"/>
                                </w:rPr>
                                <w:t>time</w:t>
                              </w:r>
                              <w:r>
                                <w:rPr>
                                  <w:rFonts w:ascii="Arial"/>
                                  <w:b/>
                                  <w:color w:val="FFFFFF"/>
                                  <w:spacing w:val="11"/>
                                  <w:sz w:val="16"/>
                                </w:rPr>
                                <w:t> </w:t>
                              </w:r>
                              <w:r>
                                <w:rPr>
                                  <w:rFonts w:ascii="Arial"/>
                                  <w:b/>
                                  <w:color w:val="FFFFFF"/>
                                  <w:sz w:val="16"/>
                                </w:rPr>
                                <w:t>versus</w:t>
                              </w:r>
                              <w:r>
                                <w:rPr>
                                  <w:rFonts w:ascii="Arial"/>
                                  <w:b/>
                                  <w:color w:val="FFFFFF"/>
                                  <w:spacing w:val="10"/>
                                  <w:sz w:val="16"/>
                                </w:rPr>
                                <w:t> </w:t>
                              </w:r>
                              <w:r>
                                <w:rPr>
                                  <w:rFonts w:ascii="Arial"/>
                                  <w:b/>
                                  <w:color w:val="FFFFFF"/>
                                  <w:sz w:val="16"/>
                                </w:rPr>
                                <w:t>import</w:t>
                              </w:r>
                              <w:r>
                                <w:rPr>
                                  <w:rFonts w:ascii="Arial"/>
                                  <w:b/>
                                  <w:color w:val="FFFFFF"/>
                                  <w:spacing w:val="11"/>
                                  <w:sz w:val="16"/>
                                </w:rPr>
                                <w:t> </w:t>
                              </w:r>
                              <w:r>
                                <w:rPr>
                                  <w:rFonts w:ascii="Arial"/>
                                  <w:b/>
                                  <w:color w:val="FFFFFF"/>
                                  <w:sz w:val="16"/>
                                </w:rPr>
                                <w:t>dwell</w:t>
                              </w:r>
                              <w:r>
                                <w:rPr>
                                  <w:rFonts w:ascii="Arial"/>
                                  <w:b/>
                                  <w:color w:val="FFFFFF"/>
                                  <w:spacing w:val="11"/>
                                  <w:sz w:val="16"/>
                                </w:rPr>
                                <w:t> </w:t>
                              </w:r>
                              <w:r>
                                <w:rPr>
                                  <w:rFonts w:ascii="Arial"/>
                                  <w:b/>
                                  <w:color w:val="FFFFFF"/>
                                  <w:sz w:val="16"/>
                                </w:rPr>
                                <w:t>time</w:t>
                              </w:r>
                              <w:r>
                                <w:rPr>
                                  <w:rFonts w:ascii="Arial"/>
                                  <w:b/>
                                  <w:color w:val="FFFFFF"/>
                                  <w:spacing w:val="11"/>
                                  <w:sz w:val="16"/>
                                </w:rPr>
                                <w:t> </w:t>
                              </w:r>
                              <w:r>
                                <w:rPr>
                                  <w:rFonts w:ascii="Arial"/>
                                  <w:b/>
                                  <w:color w:val="FFFFFF"/>
                                  <w:sz w:val="16"/>
                                </w:rPr>
                                <w:t>of</w:t>
                              </w:r>
                              <w:r>
                                <w:rPr>
                                  <w:rFonts w:ascii="Arial"/>
                                  <w:b/>
                                  <w:color w:val="FFFFFF"/>
                                  <w:spacing w:val="11"/>
                                  <w:sz w:val="16"/>
                                </w:rPr>
                                <w:t> </w:t>
                              </w:r>
                              <w:r>
                                <w:rPr>
                                  <w:rFonts w:ascii="Arial"/>
                                  <w:b/>
                                  <w:color w:val="FFFFFF"/>
                                  <w:sz w:val="16"/>
                                </w:rPr>
                                <w:t>container</w:t>
                              </w:r>
                              <w:r>
                                <w:rPr>
                                  <w:rFonts w:ascii="Arial"/>
                                  <w:b/>
                                  <w:color w:val="FFFFFF"/>
                                  <w:spacing w:val="10"/>
                                  <w:sz w:val="16"/>
                                </w:rPr>
                                <w:t> </w:t>
                              </w:r>
                              <w:r>
                                <w:rPr>
                                  <w:rFonts w:ascii="Arial"/>
                                  <w:b/>
                                  <w:color w:val="FFFFFF"/>
                                  <w:spacing w:val="-2"/>
                                  <w:sz w:val="16"/>
                                </w:rPr>
                                <w:t>ports</w:t>
                              </w:r>
                            </w:p>
                            <w:p>
                              <w:pPr>
                                <w:spacing w:line="240" w:lineRule="auto" w:before="10"/>
                                <w:rPr>
                                  <w:rFonts w:ascii="Arial"/>
                                  <w:b/>
                                  <w:sz w:val="16"/>
                                </w:rPr>
                              </w:pPr>
                            </w:p>
                            <w:p>
                              <w:pPr>
                                <w:spacing w:line="240" w:lineRule="atLeast" w:before="0"/>
                                <w:ind w:left="45" w:right="4497" w:hanging="46"/>
                                <w:jc w:val="left"/>
                                <w:rPr>
                                  <w:rFonts w:ascii="Arial"/>
                                  <w:sz w:val="14"/>
                                </w:rPr>
                              </w:pPr>
                              <w:r>
                                <w:rPr>
                                  <w:rFonts w:ascii="Arial"/>
                                  <w:color w:val="231F20"/>
                                  <w:spacing w:val="-2"/>
                                  <w:w w:val="80"/>
                                  <w:sz w:val="14"/>
                                </w:rPr>
                                <w:t>Export</w:t>
                              </w:r>
                              <w:r>
                                <w:rPr>
                                  <w:rFonts w:ascii="Arial"/>
                                  <w:color w:val="231F20"/>
                                  <w:spacing w:val="-8"/>
                                  <w:sz w:val="14"/>
                                </w:rPr>
                                <w:t> </w:t>
                              </w:r>
                              <w:r>
                                <w:rPr>
                                  <w:rFonts w:ascii="Arial"/>
                                  <w:color w:val="231F20"/>
                                  <w:spacing w:val="-2"/>
                                  <w:w w:val="80"/>
                                  <w:sz w:val="14"/>
                                </w:rPr>
                                <w:t>dwell</w:t>
                              </w:r>
                              <w:r>
                                <w:rPr>
                                  <w:rFonts w:ascii="Arial"/>
                                  <w:color w:val="231F20"/>
                                  <w:spacing w:val="-8"/>
                                  <w:sz w:val="14"/>
                                </w:rPr>
                                <w:t> </w:t>
                              </w:r>
                              <w:r>
                                <w:rPr>
                                  <w:rFonts w:ascii="Arial"/>
                                  <w:color w:val="231F20"/>
                                  <w:spacing w:val="-2"/>
                                  <w:w w:val="80"/>
                                  <w:sz w:val="14"/>
                                </w:rPr>
                                <w:t>time</w:t>
                              </w:r>
                              <w:r>
                                <w:rPr>
                                  <w:rFonts w:ascii="Arial"/>
                                  <w:color w:val="231F20"/>
                                  <w:spacing w:val="-8"/>
                                  <w:sz w:val="14"/>
                                </w:rPr>
                                <w:t> </w:t>
                              </w:r>
                              <w:r>
                                <w:rPr>
                                  <w:rFonts w:ascii="Arial"/>
                                  <w:color w:val="231F20"/>
                                  <w:spacing w:val="-2"/>
                                  <w:w w:val="80"/>
                                  <w:sz w:val="14"/>
                                </w:rPr>
                                <w:t>(days)</w:t>
                              </w:r>
                              <w:r>
                                <w:rPr>
                                  <w:rFonts w:ascii="Arial"/>
                                  <w:color w:val="231F20"/>
                                  <w:spacing w:val="40"/>
                                  <w:sz w:val="14"/>
                                </w:rPr>
                                <w:t> </w:t>
                              </w:r>
                              <w:r>
                                <w:rPr>
                                  <w:rFonts w:ascii="Arial"/>
                                  <w:color w:val="231F20"/>
                                  <w:spacing w:val="-6"/>
                                  <w:w w:val="90"/>
                                  <w:sz w:val="14"/>
                                </w:rPr>
                                <w:t>20</w:t>
                              </w:r>
                            </w:p>
                          </w:txbxContent>
                        </wps:txbx>
                        <wps:bodyPr wrap="square" lIns="0" tIns="0" rIns="0" bIns="0" rtlCol="0">
                          <a:noAutofit/>
                        </wps:bodyPr>
                      </wps:wsp>
                      <wps:wsp>
                        <wps:cNvPr id="1344" name="Textbox 1344"/>
                        <wps:cNvSpPr txBox="1"/>
                        <wps:spPr>
                          <a:xfrm>
                            <a:off x="105554" y="966038"/>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15</w:t>
                              </w:r>
                            </w:p>
                          </w:txbxContent>
                        </wps:txbx>
                        <wps:bodyPr wrap="square" lIns="0" tIns="0" rIns="0" bIns="0" rtlCol="0">
                          <a:noAutofit/>
                        </wps:bodyPr>
                      </wps:wsp>
                      <wps:wsp>
                        <wps:cNvPr id="1345" name="Textbox 1345"/>
                        <wps:cNvSpPr txBox="1"/>
                        <wps:spPr>
                          <a:xfrm>
                            <a:off x="105554" y="1414894"/>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10</w:t>
                              </w:r>
                            </w:p>
                          </w:txbxContent>
                        </wps:txbx>
                        <wps:bodyPr wrap="square" lIns="0" tIns="0" rIns="0" bIns="0" rtlCol="0">
                          <a:noAutofit/>
                        </wps:bodyPr>
                      </wps:wsp>
                      <wps:wsp>
                        <wps:cNvPr id="1346" name="Textbox 1346"/>
                        <wps:cNvSpPr txBox="1"/>
                        <wps:spPr>
                          <a:xfrm>
                            <a:off x="148226" y="1863750"/>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w w:val="95"/>
                                  <w:sz w:val="14"/>
                                </w:rPr>
                                <w:t>5</w:t>
                              </w:r>
                            </w:p>
                          </w:txbxContent>
                        </wps:txbx>
                        <wps:bodyPr wrap="square" lIns="0" tIns="0" rIns="0" bIns="0" rtlCol="0">
                          <a:noAutofit/>
                        </wps:bodyPr>
                      </wps:wsp>
                      <wps:wsp>
                        <wps:cNvPr id="1347" name="Textbox 1347"/>
                        <wps:cNvSpPr txBox="1"/>
                        <wps:spPr>
                          <a:xfrm>
                            <a:off x="148226" y="2312606"/>
                            <a:ext cx="147320" cy="165100"/>
                          </a:xfrm>
                          <a:prstGeom prst="rect">
                            <a:avLst/>
                          </a:prstGeom>
                        </wps:spPr>
                        <wps:txbx>
                          <w:txbxContent>
                            <w:p>
                              <w:pPr>
                                <w:spacing w:line="235" w:lineRule="auto" w:before="0"/>
                                <w:ind w:left="0" w:right="0" w:firstLine="0"/>
                                <w:jc w:val="left"/>
                                <w:rPr>
                                  <w:rFonts w:ascii="Arial"/>
                                  <w:sz w:val="14"/>
                                </w:rPr>
                              </w:pPr>
                              <w:r>
                                <w:rPr>
                                  <w:rFonts w:ascii="Arial"/>
                                  <w:color w:val="231F20"/>
                                  <w:w w:val="95"/>
                                  <w:sz w:val="14"/>
                                </w:rPr>
                                <w:t>0</w:t>
                              </w:r>
                              <w:r>
                                <w:rPr>
                                  <w:rFonts w:ascii="Arial"/>
                                  <w:color w:val="231F20"/>
                                  <w:spacing w:val="28"/>
                                  <w:sz w:val="14"/>
                                </w:rPr>
                                <w:t> </w:t>
                              </w:r>
                              <w:r>
                                <w:rPr>
                                  <w:rFonts w:ascii="Arial"/>
                                  <w:color w:val="231F20"/>
                                  <w:spacing w:val="-10"/>
                                  <w:w w:val="95"/>
                                  <w:position w:val="-9"/>
                                  <w:sz w:val="14"/>
                                </w:rPr>
                                <w:t>0</w:t>
                              </w:r>
                            </w:p>
                          </w:txbxContent>
                        </wps:txbx>
                        <wps:bodyPr wrap="square" lIns="0" tIns="0" rIns="0" bIns="0" rtlCol="0">
                          <a:noAutofit/>
                        </wps:bodyPr>
                      </wps:wsp>
                      <wps:wsp>
                        <wps:cNvPr id="1348" name="Textbox 1348"/>
                        <wps:cNvSpPr txBox="1"/>
                        <wps:spPr>
                          <a:xfrm>
                            <a:off x="989816" y="2376547"/>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w w:val="95"/>
                                  <w:sz w:val="14"/>
                                </w:rPr>
                                <w:t>5</w:t>
                              </w:r>
                            </w:p>
                          </w:txbxContent>
                        </wps:txbx>
                        <wps:bodyPr wrap="square" lIns="0" tIns="0" rIns="0" bIns="0" rtlCol="0">
                          <a:noAutofit/>
                        </wps:bodyPr>
                      </wps:wsp>
                      <wps:wsp>
                        <wps:cNvPr id="1349" name="Textbox 1349"/>
                        <wps:cNvSpPr txBox="1"/>
                        <wps:spPr>
                          <a:xfrm>
                            <a:off x="1718440" y="2376547"/>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10</w:t>
                              </w:r>
                            </w:p>
                          </w:txbxContent>
                        </wps:txbx>
                        <wps:bodyPr wrap="square" lIns="0" tIns="0" rIns="0" bIns="0" rtlCol="0">
                          <a:noAutofit/>
                        </wps:bodyPr>
                      </wps:wsp>
                      <wps:wsp>
                        <wps:cNvPr id="1350" name="Textbox 1350"/>
                        <wps:cNvSpPr txBox="1"/>
                        <wps:spPr>
                          <a:xfrm>
                            <a:off x="2138536" y="2376547"/>
                            <a:ext cx="761365" cy="233045"/>
                          </a:xfrm>
                          <a:prstGeom prst="rect">
                            <a:avLst/>
                          </a:prstGeom>
                        </wps:spPr>
                        <wps:txbx>
                          <w:txbxContent>
                            <w:p>
                              <w:pPr>
                                <w:spacing w:line="159" w:lineRule="exact" w:before="0"/>
                                <w:ind w:left="0" w:right="23" w:firstLine="0"/>
                                <w:jc w:val="center"/>
                                <w:rPr>
                                  <w:rFonts w:ascii="Arial"/>
                                  <w:sz w:val="14"/>
                                </w:rPr>
                              </w:pPr>
                              <w:r>
                                <w:rPr>
                                  <w:rFonts w:ascii="Arial"/>
                                  <w:color w:val="231F20"/>
                                  <w:spacing w:val="-5"/>
                                  <w:w w:val="95"/>
                                  <w:sz w:val="14"/>
                                </w:rPr>
                                <w:t>15</w:t>
                              </w:r>
                            </w:p>
                            <w:p>
                              <w:pPr>
                                <w:spacing w:line="160" w:lineRule="exact" w:before="46"/>
                                <w:ind w:left="-1" w:right="18" w:firstLine="0"/>
                                <w:jc w:val="center"/>
                                <w:rPr>
                                  <w:rFonts w:ascii="Arial"/>
                                  <w:sz w:val="14"/>
                                </w:rPr>
                              </w:pPr>
                              <w:r>
                                <w:rPr>
                                  <w:rFonts w:ascii="Arial"/>
                                  <w:color w:val="231F20"/>
                                  <w:w w:val="80"/>
                                  <w:sz w:val="14"/>
                                </w:rPr>
                                <w:t>Import</w:t>
                              </w:r>
                              <w:r>
                                <w:rPr>
                                  <w:rFonts w:ascii="Arial"/>
                                  <w:color w:val="231F20"/>
                                  <w:spacing w:val="-7"/>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7"/>
                                  <w:sz w:val="14"/>
                                </w:rPr>
                                <w:t> </w:t>
                              </w:r>
                              <w:r>
                                <w:rPr>
                                  <w:rFonts w:ascii="Arial"/>
                                  <w:color w:val="231F20"/>
                                  <w:spacing w:val="-5"/>
                                  <w:w w:val="80"/>
                                  <w:sz w:val="14"/>
                                </w:rPr>
                                <w:t>(days)</w:t>
                              </w:r>
                            </w:p>
                          </w:txbxContent>
                        </wps:txbx>
                        <wps:bodyPr wrap="square" lIns="0" tIns="0" rIns="0" bIns="0" rtlCol="0">
                          <a:noAutofit/>
                        </wps:bodyPr>
                      </wps:wsp>
                      <wps:wsp>
                        <wps:cNvPr id="1351" name="Textbox 1351"/>
                        <wps:cNvSpPr txBox="1"/>
                        <wps:spPr>
                          <a:xfrm>
                            <a:off x="3218361" y="2376547"/>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20</w:t>
                              </w:r>
                            </w:p>
                          </w:txbxContent>
                        </wps:txbx>
                        <wps:bodyPr wrap="square" lIns="0" tIns="0" rIns="0" bIns="0" rtlCol="0">
                          <a:noAutofit/>
                        </wps:bodyPr>
                      </wps:wsp>
                      <wps:wsp>
                        <wps:cNvPr id="1352" name="Textbox 1352"/>
                        <wps:cNvSpPr txBox="1"/>
                        <wps:spPr>
                          <a:xfrm>
                            <a:off x="3968322" y="2376547"/>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25</w:t>
                              </w:r>
                            </w:p>
                          </w:txbxContent>
                        </wps:txbx>
                        <wps:bodyPr wrap="square" lIns="0" tIns="0" rIns="0" bIns="0" rtlCol="0">
                          <a:noAutofit/>
                        </wps:bodyPr>
                      </wps:wsp>
                      <wps:wsp>
                        <wps:cNvPr id="1353" name="Textbox 1353"/>
                        <wps:cNvSpPr txBox="1"/>
                        <wps:spPr>
                          <a:xfrm>
                            <a:off x="4718282" y="2376547"/>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30</w:t>
                              </w:r>
                            </w:p>
                          </w:txbxContent>
                        </wps:txbx>
                        <wps:bodyPr wrap="square" lIns="0" tIns="0" rIns="0" bIns="0" rtlCol="0">
                          <a:noAutofit/>
                        </wps:bodyPr>
                      </wps:wsp>
                      <wps:wsp>
                        <wps:cNvPr id="1354" name="Textbox 1354"/>
                        <wps:cNvSpPr txBox="1"/>
                        <wps:spPr>
                          <a:xfrm>
                            <a:off x="76386" y="2677871"/>
                            <a:ext cx="3042285" cy="180340"/>
                          </a:xfrm>
                          <a:prstGeom prst="rect">
                            <a:avLst/>
                          </a:prstGeom>
                        </wps:spPr>
                        <wps:txbx>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1"/>
                                  <w:w w:val="75"/>
                                  <w:sz w:val="12"/>
                                </w:rPr>
                                <w:t> </w:t>
                              </w:r>
                              <w:r>
                                <w:rPr>
                                  <w:rFonts w:ascii="Arial"/>
                                  <w:color w:val="231F20"/>
                                  <w:w w:val="75"/>
                                  <w:sz w:val="12"/>
                                </w:rPr>
                                <w:t>TradeLens</w:t>
                              </w:r>
                              <w:r>
                                <w:rPr>
                                  <w:rFonts w:ascii="Arial"/>
                                  <w:color w:val="231F20"/>
                                  <w:spacing w:val="-3"/>
                                  <w:sz w:val="12"/>
                                </w:rPr>
                                <w:t> </w:t>
                              </w:r>
                              <w:r>
                                <w:rPr>
                                  <w:rFonts w:ascii="Arial"/>
                                  <w:color w:val="231F20"/>
                                  <w:w w:val="75"/>
                                  <w:sz w:val="12"/>
                                </w:rPr>
                                <w:t>and</w:t>
                              </w:r>
                              <w:r>
                                <w:rPr>
                                  <w:rFonts w:ascii="Arial"/>
                                  <w:color w:val="231F20"/>
                                  <w:spacing w:val="-1"/>
                                  <w:w w:val="75"/>
                                  <w:sz w:val="12"/>
                                </w:rPr>
                                <w:t> </w:t>
                              </w:r>
                              <w:r>
                                <w:rPr>
                                  <w:rFonts w:ascii="Arial"/>
                                  <w:color w:val="231F20"/>
                                  <w:w w:val="75"/>
                                  <w:sz w:val="12"/>
                                </w:rPr>
                                <w:t>World</w:t>
                              </w:r>
                              <w:r>
                                <w:rPr>
                                  <w:rFonts w:ascii="Arial"/>
                                  <w:color w:val="231F20"/>
                                  <w:spacing w:val="-3"/>
                                  <w:sz w:val="12"/>
                                </w:rPr>
                                <w:t> </w:t>
                              </w:r>
                              <w:r>
                                <w:rPr>
                                  <w:rFonts w:ascii="Arial"/>
                                  <w:color w:val="231F20"/>
                                  <w:spacing w:val="-2"/>
                                  <w:w w:val="75"/>
                                  <w:sz w:val="12"/>
                                </w:rPr>
                                <w:t>Bank.</w:t>
                              </w:r>
                            </w:p>
                            <w:p>
                              <w:pPr>
                                <w:spacing w:before="2"/>
                                <w:ind w:left="0" w:right="0" w:firstLine="0"/>
                                <w:jc w:val="left"/>
                                <w:rPr>
                                  <w:rFonts w:ascii="Arial" w:hAnsi="Arial"/>
                                  <w:sz w:val="12"/>
                                </w:rPr>
                              </w:pPr>
                              <w:r>
                                <w:rPr>
                                  <w:rFonts w:ascii="Arial" w:hAnsi="Arial"/>
                                  <w:i/>
                                  <w:color w:val="231F20"/>
                                  <w:w w:val="75"/>
                                  <w:sz w:val="12"/>
                                </w:rPr>
                                <w:t>Note:</w:t>
                              </w:r>
                              <w:r>
                                <w:rPr>
                                  <w:rFonts w:ascii="Arial" w:hAnsi="Arial"/>
                                  <w:i/>
                                  <w:color w:val="231F20"/>
                                  <w:spacing w:val="-4"/>
                                  <w:sz w:val="12"/>
                                </w:rPr>
                                <w:t> </w:t>
                              </w:r>
                              <w:r>
                                <w:rPr>
                                  <w:rFonts w:ascii="Arial" w:hAnsi="Arial"/>
                                  <w:color w:val="231F20"/>
                                  <w:w w:val="75"/>
                                  <w:sz w:val="12"/>
                                </w:rPr>
                                <w:t>Data</w:t>
                              </w:r>
                              <w:r>
                                <w:rPr>
                                  <w:rFonts w:ascii="Arial" w:hAnsi="Arial"/>
                                  <w:color w:val="231F20"/>
                                  <w:spacing w:val="3"/>
                                  <w:sz w:val="12"/>
                                </w:rPr>
                                <w:t> </w:t>
                              </w:r>
                              <w:r>
                                <w:rPr>
                                  <w:rFonts w:ascii="Arial" w:hAnsi="Arial"/>
                                  <w:color w:val="231F20"/>
                                  <w:w w:val="75"/>
                                  <w:sz w:val="12"/>
                                </w:rPr>
                                <w:t>cover</w:t>
                              </w:r>
                              <w:r>
                                <w:rPr>
                                  <w:rFonts w:ascii="Arial" w:hAnsi="Arial"/>
                                  <w:color w:val="231F20"/>
                                  <w:spacing w:val="3"/>
                                  <w:sz w:val="12"/>
                                </w:rPr>
                                <w:t> </w:t>
                              </w:r>
                              <w:r>
                                <w:rPr>
                                  <w:rFonts w:ascii="Arial" w:hAnsi="Arial"/>
                                  <w:color w:val="231F20"/>
                                  <w:w w:val="75"/>
                                  <w:sz w:val="12"/>
                                </w:rPr>
                                <w:t>309</w:t>
                              </w:r>
                              <w:r>
                                <w:rPr>
                                  <w:rFonts w:ascii="Arial" w:hAnsi="Arial"/>
                                  <w:color w:val="231F20"/>
                                  <w:spacing w:val="3"/>
                                  <w:sz w:val="12"/>
                                </w:rPr>
                                <w:t> </w:t>
                              </w:r>
                              <w:r>
                                <w:rPr>
                                  <w:rFonts w:ascii="Arial" w:hAnsi="Arial"/>
                                  <w:color w:val="231F20"/>
                                  <w:w w:val="75"/>
                                  <w:sz w:val="12"/>
                                </w:rPr>
                                <w:t>ports</w:t>
                              </w:r>
                              <w:r>
                                <w:rPr>
                                  <w:rFonts w:ascii="Arial" w:hAnsi="Arial"/>
                                  <w:color w:val="231F20"/>
                                  <w:spacing w:val="3"/>
                                  <w:sz w:val="12"/>
                                </w:rPr>
                                <w:t> </w:t>
                              </w:r>
                              <w:r>
                                <w:rPr>
                                  <w:rFonts w:ascii="Arial" w:hAnsi="Arial"/>
                                  <w:color w:val="231F20"/>
                                  <w:w w:val="75"/>
                                  <w:sz w:val="12"/>
                                </w:rPr>
                                <w:t>with</w:t>
                              </w:r>
                              <w:r>
                                <w:rPr>
                                  <w:rFonts w:ascii="Arial" w:hAnsi="Arial"/>
                                  <w:color w:val="231F20"/>
                                  <w:spacing w:val="3"/>
                                  <w:sz w:val="12"/>
                                </w:rPr>
                                <w:t> </w:t>
                              </w:r>
                              <w:r>
                                <w:rPr>
                                  <w:rFonts w:ascii="Arial" w:hAnsi="Arial"/>
                                  <w:color w:val="231F20"/>
                                  <w:w w:val="75"/>
                                  <w:sz w:val="12"/>
                                </w:rPr>
                                <w:t>more</w:t>
                              </w:r>
                              <w:r>
                                <w:rPr>
                                  <w:rFonts w:ascii="Arial" w:hAnsi="Arial"/>
                                  <w:color w:val="231F20"/>
                                  <w:spacing w:val="3"/>
                                  <w:sz w:val="12"/>
                                </w:rPr>
                                <w:t> </w:t>
                              </w:r>
                              <w:r>
                                <w:rPr>
                                  <w:rFonts w:ascii="Arial" w:hAnsi="Arial"/>
                                  <w:color w:val="231F20"/>
                                  <w:w w:val="75"/>
                                  <w:sz w:val="12"/>
                                </w:rPr>
                                <w:t>than</w:t>
                              </w:r>
                              <w:r>
                                <w:rPr>
                                  <w:rFonts w:ascii="Arial" w:hAnsi="Arial"/>
                                  <w:color w:val="231F20"/>
                                  <w:spacing w:val="3"/>
                                  <w:sz w:val="12"/>
                                </w:rPr>
                                <w:t> </w:t>
                              </w:r>
                              <w:r>
                                <w:rPr>
                                  <w:rFonts w:ascii="Arial" w:hAnsi="Arial"/>
                                  <w:color w:val="231F20"/>
                                  <w:w w:val="75"/>
                                  <w:sz w:val="12"/>
                                </w:rPr>
                                <w:t>100</w:t>
                              </w:r>
                              <w:r>
                                <w:rPr>
                                  <w:rFonts w:ascii="Arial" w:hAnsi="Arial"/>
                                  <w:color w:val="231F20"/>
                                  <w:spacing w:val="3"/>
                                  <w:sz w:val="12"/>
                                </w:rPr>
                                <w:t> </w:t>
                              </w:r>
                              <w:r>
                                <w:rPr>
                                  <w:rFonts w:ascii="Arial" w:hAnsi="Arial"/>
                                  <w:color w:val="231F20"/>
                                  <w:w w:val="75"/>
                                  <w:sz w:val="12"/>
                                </w:rPr>
                                <w:t>observations</w:t>
                              </w:r>
                              <w:r>
                                <w:rPr>
                                  <w:rFonts w:ascii="Arial" w:hAnsi="Arial"/>
                                  <w:color w:val="231F20"/>
                                  <w:spacing w:val="3"/>
                                  <w:sz w:val="12"/>
                                </w:rPr>
                                <w:t> </w:t>
                              </w:r>
                              <w:r>
                                <w:rPr>
                                  <w:rFonts w:ascii="Arial" w:hAnsi="Arial"/>
                                  <w:color w:val="231F20"/>
                                  <w:w w:val="75"/>
                                  <w:sz w:val="12"/>
                                </w:rPr>
                                <w:t>for</w:t>
                              </w:r>
                              <w:r>
                                <w:rPr>
                                  <w:rFonts w:ascii="Arial" w:hAnsi="Arial"/>
                                  <w:color w:val="231F20"/>
                                  <w:spacing w:val="3"/>
                                  <w:sz w:val="12"/>
                                </w:rPr>
                                <w:t> </w:t>
                              </w:r>
                              <w:r>
                                <w:rPr>
                                  <w:rFonts w:ascii="Arial" w:hAnsi="Arial"/>
                                  <w:color w:val="231F20"/>
                                  <w:w w:val="75"/>
                                  <w:sz w:val="12"/>
                                </w:rPr>
                                <w:t>both</w:t>
                              </w:r>
                              <w:r>
                                <w:rPr>
                                  <w:rFonts w:ascii="Arial" w:hAnsi="Arial"/>
                                  <w:color w:val="231F20"/>
                                  <w:spacing w:val="3"/>
                                  <w:sz w:val="12"/>
                                </w:rPr>
                                <w:t> </w:t>
                              </w:r>
                              <w:r>
                                <w:rPr>
                                  <w:rFonts w:ascii="Arial" w:hAnsi="Arial"/>
                                  <w:color w:val="231F20"/>
                                  <w:w w:val="75"/>
                                  <w:sz w:val="12"/>
                                </w:rPr>
                                <w:t>exports</w:t>
                              </w:r>
                              <w:r>
                                <w:rPr>
                                  <w:rFonts w:ascii="Arial" w:hAnsi="Arial"/>
                                  <w:color w:val="231F20"/>
                                  <w:spacing w:val="3"/>
                                  <w:sz w:val="12"/>
                                </w:rPr>
                                <w:t> </w:t>
                              </w:r>
                              <w:r>
                                <w:rPr>
                                  <w:rFonts w:ascii="Arial" w:hAnsi="Arial"/>
                                  <w:color w:val="231F20"/>
                                  <w:w w:val="75"/>
                                  <w:sz w:val="12"/>
                                </w:rPr>
                                <w:t>and</w:t>
                              </w:r>
                              <w:r>
                                <w:rPr>
                                  <w:rFonts w:ascii="Arial" w:hAnsi="Arial"/>
                                  <w:color w:val="231F20"/>
                                  <w:spacing w:val="3"/>
                                  <w:sz w:val="12"/>
                                </w:rPr>
                                <w:t> </w:t>
                              </w:r>
                              <w:r>
                                <w:rPr>
                                  <w:rFonts w:ascii="Arial" w:hAnsi="Arial"/>
                                  <w:color w:val="231F20"/>
                                  <w:w w:val="75"/>
                                  <w:sz w:val="12"/>
                                </w:rPr>
                                <w:t>imports</w:t>
                              </w:r>
                              <w:r>
                                <w:rPr>
                                  <w:rFonts w:ascii="Arial" w:hAnsi="Arial"/>
                                  <w:color w:val="231F20"/>
                                  <w:spacing w:val="3"/>
                                  <w:sz w:val="12"/>
                                </w:rPr>
                                <w:t> </w:t>
                              </w:r>
                              <w:r>
                                <w:rPr>
                                  <w:rFonts w:ascii="Arial" w:hAnsi="Arial"/>
                                  <w:color w:val="231F20"/>
                                  <w:w w:val="75"/>
                                  <w:sz w:val="12"/>
                                </w:rPr>
                                <w:t>for</w:t>
                              </w:r>
                              <w:r>
                                <w:rPr>
                                  <w:rFonts w:ascii="Arial" w:hAnsi="Arial"/>
                                  <w:color w:val="231F20"/>
                                  <w:spacing w:val="3"/>
                                  <w:sz w:val="12"/>
                                </w:rPr>
                                <w:t> </w:t>
                              </w:r>
                              <w:r>
                                <w:rPr>
                                  <w:rFonts w:ascii="Arial" w:hAnsi="Arial"/>
                                  <w:color w:val="231F20"/>
                                  <w:w w:val="75"/>
                                  <w:sz w:val="12"/>
                                </w:rPr>
                                <w:t>May–October</w:t>
                              </w:r>
                              <w:r>
                                <w:rPr>
                                  <w:rFonts w:ascii="Arial" w:hAnsi="Arial"/>
                                  <w:color w:val="231F20"/>
                                  <w:spacing w:val="3"/>
                                  <w:sz w:val="12"/>
                                </w:rPr>
                                <w:t> </w:t>
                              </w:r>
                              <w:r>
                                <w:rPr>
                                  <w:rFonts w:ascii="Arial" w:hAnsi="Arial"/>
                                  <w:color w:val="231F20"/>
                                  <w:spacing w:val="-2"/>
                                  <w:w w:val="75"/>
                                  <w:sz w:val="12"/>
                                </w:rPr>
                                <w:t>2022.</w:t>
                              </w:r>
                            </w:p>
                          </w:txbxContent>
                        </wps:txbx>
                        <wps:bodyPr wrap="square" lIns="0" tIns="0" rIns="0" bIns="0" rtlCol="0">
                          <a:noAutofit/>
                        </wps:bodyPr>
                      </wps:wsp>
                    </wpg:wgp>
                  </a:graphicData>
                </a:graphic>
              </wp:anchor>
            </w:drawing>
          </mc:Choice>
          <mc:Fallback>
            <w:pict>
              <v:group style="position:absolute;margin-left:60pt;margin-top:71pt;width:384.05pt;height:228.9pt;mso-position-horizontal-relative:page;mso-position-vertical-relative:page;z-index:-36559360" id="docshapegroup1129" coordorigin="1200,1420" coordsize="7681,4578">
                <v:shape style="position:absolute;left:1200;top:1826;width:7680;height:4171" id="docshape1130" coordorigin="1200,1826" coordsize="7680,4171" path="m8880,1826l1200,1826,1200,5879,1210,5925,1236,5963,1274,5988,1319,5997,8756,5997,8802,5989,8842,5965,8870,5928,8880,5879,8880,1826xe" filled="true" fillcolor="#dfeaf7" stroked="false">
                  <v:path arrowok="t"/>
                  <v:fill type="solid"/>
                </v:shape>
                <v:shape style="position:absolute;left:1200;top:1420;width:807;height:365" id="docshape1131" coordorigin="1200,1420" coordsize="807,365" path="m2007,1420l1320,1420,1274,1425,1236,1443,1210,1479,1200,1540,1200,1785,2007,1785,2007,1420xe" filled="true" fillcolor="#008fdd" stroked="false">
                  <v:path arrowok="t"/>
                  <v:fill type="solid"/>
                </v:shape>
                <v:shape style="position:absolute;left:2006;top:1420;width:6873;height:365" id="docshape1132" coordorigin="2007,1420" coordsize="6873,365" path="m8759,1420l2007,1420,2007,1785,8879,1785,8879,1540,8871,1500,8846,1461,8808,1432,8759,1420xe" filled="true" fillcolor="#808285" stroked="false">
                  <v:path arrowok="t"/>
                  <v:fill type="solid"/>
                </v:shape>
                <v:line style="position:absolute" from="2007,1420" to="2007,1799" stroked="true" strokeweight="2pt" strokecolor="#ffffff">
                  <v:stroke dashstyle="solid"/>
                </v:line>
                <v:shape style="position:absolute;left:1320;top:1525;width:5757;height:868" type="#_x0000_t202" id="docshape1133" filled="false" stroked="false">
                  <v:textbox inset="0,0,0,0">
                    <w:txbxContent>
                      <w:p>
                        <w:pPr>
                          <w:spacing w:before="3"/>
                          <w:ind w:left="0" w:right="0" w:firstLine="0"/>
                          <w:jc w:val="left"/>
                          <w:rPr>
                            <w:rFonts w:ascii="Arial"/>
                            <w:b/>
                            <w:sz w:val="16"/>
                          </w:rPr>
                        </w:pPr>
                        <w:r>
                          <w:rPr>
                            <w:rFonts w:ascii="Arial"/>
                            <w:color w:val="FFFFFF"/>
                            <w:sz w:val="16"/>
                          </w:rPr>
                          <w:t>Figure</w:t>
                        </w:r>
                        <w:r>
                          <w:rPr>
                            <w:rFonts w:ascii="Arial"/>
                            <w:color w:val="FFFFFF"/>
                            <w:spacing w:val="10"/>
                            <w:sz w:val="16"/>
                          </w:rPr>
                          <w:t> </w:t>
                        </w:r>
                        <w:r>
                          <w:rPr>
                            <w:rFonts w:ascii="Arial"/>
                            <w:b/>
                            <w:color w:val="FFFFFF"/>
                            <w:sz w:val="16"/>
                          </w:rPr>
                          <w:t>3.5</w:t>
                        </w:r>
                        <w:r>
                          <w:rPr>
                            <w:rFonts w:ascii="Arial"/>
                            <w:b/>
                            <w:color w:val="FFFFFF"/>
                            <w:spacing w:val="61"/>
                            <w:sz w:val="16"/>
                          </w:rPr>
                          <w:t>  </w:t>
                        </w:r>
                        <w:r>
                          <w:rPr>
                            <w:rFonts w:ascii="Arial"/>
                            <w:b/>
                            <w:color w:val="FFFFFF"/>
                            <w:sz w:val="16"/>
                          </w:rPr>
                          <w:t>Export</w:t>
                        </w:r>
                        <w:r>
                          <w:rPr>
                            <w:rFonts w:ascii="Arial"/>
                            <w:b/>
                            <w:color w:val="FFFFFF"/>
                            <w:spacing w:val="12"/>
                            <w:sz w:val="16"/>
                          </w:rPr>
                          <w:t> </w:t>
                        </w:r>
                        <w:r>
                          <w:rPr>
                            <w:rFonts w:ascii="Arial"/>
                            <w:b/>
                            <w:color w:val="FFFFFF"/>
                            <w:sz w:val="16"/>
                          </w:rPr>
                          <w:t>dwell</w:t>
                        </w:r>
                        <w:r>
                          <w:rPr>
                            <w:rFonts w:ascii="Arial"/>
                            <w:b/>
                            <w:color w:val="FFFFFF"/>
                            <w:spacing w:val="11"/>
                            <w:sz w:val="16"/>
                          </w:rPr>
                          <w:t> </w:t>
                        </w:r>
                        <w:r>
                          <w:rPr>
                            <w:rFonts w:ascii="Arial"/>
                            <w:b/>
                            <w:color w:val="FFFFFF"/>
                            <w:sz w:val="16"/>
                          </w:rPr>
                          <w:t>time</w:t>
                        </w:r>
                        <w:r>
                          <w:rPr>
                            <w:rFonts w:ascii="Arial"/>
                            <w:b/>
                            <w:color w:val="FFFFFF"/>
                            <w:spacing w:val="11"/>
                            <w:sz w:val="16"/>
                          </w:rPr>
                          <w:t> </w:t>
                        </w:r>
                        <w:r>
                          <w:rPr>
                            <w:rFonts w:ascii="Arial"/>
                            <w:b/>
                            <w:color w:val="FFFFFF"/>
                            <w:sz w:val="16"/>
                          </w:rPr>
                          <w:t>versus</w:t>
                        </w:r>
                        <w:r>
                          <w:rPr>
                            <w:rFonts w:ascii="Arial"/>
                            <w:b/>
                            <w:color w:val="FFFFFF"/>
                            <w:spacing w:val="10"/>
                            <w:sz w:val="16"/>
                          </w:rPr>
                          <w:t> </w:t>
                        </w:r>
                        <w:r>
                          <w:rPr>
                            <w:rFonts w:ascii="Arial"/>
                            <w:b/>
                            <w:color w:val="FFFFFF"/>
                            <w:sz w:val="16"/>
                          </w:rPr>
                          <w:t>import</w:t>
                        </w:r>
                        <w:r>
                          <w:rPr>
                            <w:rFonts w:ascii="Arial"/>
                            <w:b/>
                            <w:color w:val="FFFFFF"/>
                            <w:spacing w:val="11"/>
                            <w:sz w:val="16"/>
                          </w:rPr>
                          <w:t> </w:t>
                        </w:r>
                        <w:r>
                          <w:rPr>
                            <w:rFonts w:ascii="Arial"/>
                            <w:b/>
                            <w:color w:val="FFFFFF"/>
                            <w:sz w:val="16"/>
                          </w:rPr>
                          <w:t>dwell</w:t>
                        </w:r>
                        <w:r>
                          <w:rPr>
                            <w:rFonts w:ascii="Arial"/>
                            <w:b/>
                            <w:color w:val="FFFFFF"/>
                            <w:spacing w:val="11"/>
                            <w:sz w:val="16"/>
                          </w:rPr>
                          <w:t> </w:t>
                        </w:r>
                        <w:r>
                          <w:rPr>
                            <w:rFonts w:ascii="Arial"/>
                            <w:b/>
                            <w:color w:val="FFFFFF"/>
                            <w:sz w:val="16"/>
                          </w:rPr>
                          <w:t>time</w:t>
                        </w:r>
                        <w:r>
                          <w:rPr>
                            <w:rFonts w:ascii="Arial"/>
                            <w:b/>
                            <w:color w:val="FFFFFF"/>
                            <w:spacing w:val="11"/>
                            <w:sz w:val="16"/>
                          </w:rPr>
                          <w:t> </w:t>
                        </w:r>
                        <w:r>
                          <w:rPr>
                            <w:rFonts w:ascii="Arial"/>
                            <w:b/>
                            <w:color w:val="FFFFFF"/>
                            <w:sz w:val="16"/>
                          </w:rPr>
                          <w:t>of</w:t>
                        </w:r>
                        <w:r>
                          <w:rPr>
                            <w:rFonts w:ascii="Arial"/>
                            <w:b/>
                            <w:color w:val="FFFFFF"/>
                            <w:spacing w:val="11"/>
                            <w:sz w:val="16"/>
                          </w:rPr>
                          <w:t> </w:t>
                        </w:r>
                        <w:r>
                          <w:rPr>
                            <w:rFonts w:ascii="Arial"/>
                            <w:b/>
                            <w:color w:val="FFFFFF"/>
                            <w:sz w:val="16"/>
                          </w:rPr>
                          <w:t>container</w:t>
                        </w:r>
                        <w:r>
                          <w:rPr>
                            <w:rFonts w:ascii="Arial"/>
                            <w:b/>
                            <w:color w:val="FFFFFF"/>
                            <w:spacing w:val="10"/>
                            <w:sz w:val="16"/>
                          </w:rPr>
                          <w:t> </w:t>
                        </w:r>
                        <w:r>
                          <w:rPr>
                            <w:rFonts w:ascii="Arial"/>
                            <w:b/>
                            <w:color w:val="FFFFFF"/>
                            <w:spacing w:val="-2"/>
                            <w:sz w:val="16"/>
                          </w:rPr>
                          <w:t>ports</w:t>
                        </w:r>
                      </w:p>
                      <w:p>
                        <w:pPr>
                          <w:spacing w:line="240" w:lineRule="auto" w:before="10"/>
                          <w:rPr>
                            <w:rFonts w:ascii="Arial"/>
                            <w:b/>
                            <w:sz w:val="16"/>
                          </w:rPr>
                        </w:pPr>
                      </w:p>
                      <w:p>
                        <w:pPr>
                          <w:spacing w:line="240" w:lineRule="atLeast" w:before="0"/>
                          <w:ind w:left="45" w:right="4497" w:hanging="46"/>
                          <w:jc w:val="left"/>
                          <w:rPr>
                            <w:rFonts w:ascii="Arial"/>
                            <w:sz w:val="14"/>
                          </w:rPr>
                        </w:pPr>
                        <w:r>
                          <w:rPr>
                            <w:rFonts w:ascii="Arial"/>
                            <w:color w:val="231F20"/>
                            <w:spacing w:val="-2"/>
                            <w:w w:val="80"/>
                            <w:sz w:val="14"/>
                          </w:rPr>
                          <w:t>Export</w:t>
                        </w:r>
                        <w:r>
                          <w:rPr>
                            <w:rFonts w:ascii="Arial"/>
                            <w:color w:val="231F20"/>
                            <w:spacing w:val="-8"/>
                            <w:sz w:val="14"/>
                          </w:rPr>
                          <w:t> </w:t>
                        </w:r>
                        <w:r>
                          <w:rPr>
                            <w:rFonts w:ascii="Arial"/>
                            <w:color w:val="231F20"/>
                            <w:spacing w:val="-2"/>
                            <w:w w:val="80"/>
                            <w:sz w:val="14"/>
                          </w:rPr>
                          <w:t>dwell</w:t>
                        </w:r>
                        <w:r>
                          <w:rPr>
                            <w:rFonts w:ascii="Arial"/>
                            <w:color w:val="231F20"/>
                            <w:spacing w:val="-8"/>
                            <w:sz w:val="14"/>
                          </w:rPr>
                          <w:t> </w:t>
                        </w:r>
                        <w:r>
                          <w:rPr>
                            <w:rFonts w:ascii="Arial"/>
                            <w:color w:val="231F20"/>
                            <w:spacing w:val="-2"/>
                            <w:w w:val="80"/>
                            <w:sz w:val="14"/>
                          </w:rPr>
                          <w:t>time</w:t>
                        </w:r>
                        <w:r>
                          <w:rPr>
                            <w:rFonts w:ascii="Arial"/>
                            <w:color w:val="231F20"/>
                            <w:spacing w:val="-8"/>
                            <w:sz w:val="14"/>
                          </w:rPr>
                          <w:t> </w:t>
                        </w:r>
                        <w:r>
                          <w:rPr>
                            <w:rFonts w:ascii="Arial"/>
                            <w:color w:val="231F20"/>
                            <w:spacing w:val="-2"/>
                            <w:w w:val="80"/>
                            <w:sz w:val="14"/>
                          </w:rPr>
                          <w:t>(days)</w:t>
                        </w:r>
                        <w:r>
                          <w:rPr>
                            <w:rFonts w:ascii="Arial"/>
                            <w:color w:val="231F20"/>
                            <w:spacing w:val="40"/>
                            <w:sz w:val="14"/>
                          </w:rPr>
                          <w:t> </w:t>
                        </w:r>
                        <w:r>
                          <w:rPr>
                            <w:rFonts w:ascii="Arial"/>
                            <w:color w:val="231F20"/>
                            <w:spacing w:val="-6"/>
                            <w:w w:val="90"/>
                            <w:sz w:val="14"/>
                          </w:rPr>
                          <w:t>20</w:t>
                        </w:r>
                      </w:p>
                    </w:txbxContent>
                  </v:textbox>
                  <w10:wrap type="none"/>
                </v:shape>
                <v:shape style="position:absolute;left:1366;top:2941;width:155;height:159" type="#_x0000_t202" id="docshape1134"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15</w:t>
                        </w:r>
                      </w:p>
                    </w:txbxContent>
                  </v:textbox>
                  <w10:wrap type="none"/>
                </v:shape>
                <v:shape style="position:absolute;left:1366;top:3648;width:155;height:159" type="#_x0000_t202" id="docshape1135"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10</w:t>
                        </w:r>
                      </w:p>
                    </w:txbxContent>
                  </v:textbox>
                  <w10:wrap type="none"/>
                </v:shape>
                <v:shape style="position:absolute;left:1433;top:4355;width:88;height:159" type="#_x0000_t202" id="docshape1136" filled="false" stroked="false">
                  <v:textbox inset="0,0,0,0">
                    <w:txbxContent>
                      <w:p>
                        <w:pPr>
                          <w:spacing w:line="158" w:lineRule="exact" w:before="0"/>
                          <w:ind w:left="0" w:right="0" w:firstLine="0"/>
                          <w:jc w:val="left"/>
                          <w:rPr>
                            <w:rFonts w:ascii="Arial"/>
                            <w:sz w:val="14"/>
                          </w:rPr>
                        </w:pPr>
                        <w:r>
                          <w:rPr>
                            <w:rFonts w:ascii="Arial"/>
                            <w:color w:val="231F20"/>
                            <w:spacing w:val="-10"/>
                            <w:w w:val="95"/>
                            <w:sz w:val="14"/>
                          </w:rPr>
                          <w:t>5</w:t>
                        </w:r>
                      </w:p>
                    </w:txbxContent>
                  </v:textbox>
                  <w10:wrap type="none"/>
                </v:shape>
                <v:shape style="position:absolute;left:1433;top:5061;width:232;height:260" type="#_x0000_t202" id="docshape1137" filled="false" stroked="false">
                  <v:textbox inset="0,0,0,0">
                    <w:txbxContent>
                      <w:p>
                        <w:pPr>
                          <w:spacing w:line="235" w:lineRule="auto" w:before="0"/>
                          <w:ind w:left="0" w:right="0" w:firstLine="0"/>
                          <w:jc w:val="left"/>
                          <w:rPr>
                            <w:rFonts w:ascii="Arial"/>
                            <w:sz w:val="14"/>
                          </w:rPr>
                        </w:pPr>
                        <w:r>
                          <w:rPr>
                            <w:rFonts w:ascii="Arial"/>
                            <w:color w:val="231F20"/>
                            <w:w w:val="95"/>
                            <w:sz w:val="14"/>
                          </w:rPr>
                          <w:t>0</w:t>
                        </w:r>
                        <w:r>
                          <w:rPr>
                            <w:rFonts w:ascii="Arial"/>
                            <w:color w:val="231F20"/>
                            <w:spacing w:val="28"/>
                            <w:sz w:val="14"/>
                          </w:rPr>
                          <w:t> </w:t>
                        </w:r>
                        <w:r>
                          <w:rPr>
                            <w:rFonts w:ascii="Arial"/>
                            <w:color w:val="231F20"/>
                            <w:spacing w:val="-10"/>
                            <w:w w:val="95"/>
                            <w:position w:val="-9"/>
                            <w:sz w:val="14"/>
                          </w:rPr>
                          <w:t>0</w:t>
                        </w:r>
                      </w:p>
                    </w:txbxContent>
                  </v:textbox>
                  <w10:wrap type="none"/>
                </v:shape>
                <v:shape style="position:absolute;left:2758;top:5162;width:88;height:159" type="#_x0000_t202" id="docshape1138" filled="false" stroked="false">
                  <v:textbox inset="0,0,0,0">
                    <w:txbxContent>
                      <w:p>
                        <w:pPr>
                          <w:spacing w:line="158" w:lineRule="exact" w:before="0"/>
                          <w:ind w:left="0" w:right="0" w:firstLine="0"/>
                          <w:jc w:val="left"/>
                          <w:rPr>
                            <w:rFonts w:ascii="Arial"/>
                            <w:sz w:val="14"/>
                          </w:rPr>
                        </w:pPr>
                        <w:r>
                          <w:rPr>
                            <w:rFonts w:ascii="Arial"/>
                            <w:color w:val="231F20"/>
                            <w:spacing w:val="-10"/>
                            <w:w w:val="95"/>
                            <w:sz w:val="14"/>
                          </w:rPr>
                          <w:t>5</w:t>
                        </w:r>
                      </w:p>
                    </w:txbxContent>
                  </v:textbox>
                  <w10:wrap type="none"/>
                </v:shape>
                <v:shape style="position:absolute;left:3906;top:5162;width:155;height:159" type="#_x0000_t202" id="docshape1139"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10</w:t>
                        </w:r>
                      </w:p>
                    </w:txbxContent>
                  </v:textbox>
                  <w10:wrap type="none"/>
                </v:shape>
                <v:shape style="position:absolute;left:4567;top:5162;width:1199;height:367" type="#_x0000_t202" id="docshape1140" filled="false" stroked="false">
                  <v:textbox inset="0,0,0,0">
                    <w:txbxContent>
                      <w:p>
                        <w:pPr>
                          <w:spacing w:line="159" w:lineRule="exact" w:before="0"/>
                          <w:ind w:left="0" w:right="23" w:firstLine="0"/>
                          <w:jc w:val="center"/>
                          <w:rPr>
                            <w:rFonts w:ascii="Arial"/>
                            <w:sz w:val="14"/>
                          </w:rPr>
                        </w:pPr>
                        <w:r>
                          <w:rPr>
                            <w:rFonts w:ascii="Arial"/>
                            <w:color w:val="231F20"/>
                            <w:spacing w:val="-5"/>
                            <w:w w:val="95"/>
                            <w:sz w:val="14"/>
                          </w:rPr>
                          <w:t>15</w:t>
                        </w:r>
                      </w:p>
                      <w:p>
                        <w:pPr>
                          <w:spacing w:line="160" w:lineRule="exact" w:before="46"/>
                          <w:ind w:left="-1" w:right="18" w:firstLine="0"/>
                          <w:jc w:val="center"/>
                          <w:rPr>
                            <w:rFonts w:ascii="Arial"/>
                            <w:sz w:val="14"/>
                          </w:rPr>
                        </w:pPr>
                        <w:r>
                          <w:rPr>
                            <w:rFonts w:ascii="Arial"/>
                            <w:color w:val="231F20"/>
                            <w:w w:val="80"/>
                            <w:sz w:val="14"/>
                          </w:rPr>
                          <w:t>Import</w:t>
                        </w:r>
                        <w:r>
                          <w:rPr>
                            <w:rFonts w:ascii="Arial"/>
                            <w:color w:val="231F20"/>
                            <w:spacing w:val="-7"/>
                            <w:sz w:val="14"/>
                          </w:rPr>
                          <w:t> </w:t>
                        </w:r>
                        <w:r>
                          <w:rPr>
                            <w:rFonts w:ascii="Arial"/>
                            <w:color w:val="231F20"/>
                            <w:w w:val="80"/>
                            <w:sz w:val="14"/>
                          </w:rPr>
                          <w:t>dwell</w:t>
                        </w:r>
                        <w:r>
                          <w:rPr>
                            <w:rFonts w:ascii="Arial"/>
                            <w:color w:val="231F20"/>
                            <w:spacing w:val="-6"/>
                            <w:sz w:val="14"/>
                          </w:rPr>
                          <w:t> </w:t>
                        </w:r>
                        <w:r>
                          <w:rPr>
                            <w:rFonts w:ascii="Arial"/>
                            <w:color w:val="231F20"/>
                            <w:w w:val="80"/>
                            <w:sz w:val="14"/>
                          </w:rPr>
                          <w:t>time</w:t>
                        </w:r>
                        <w:r>
                          <w:rPr>
                            <w:rFonts w:ascii="Arial"/>
                            <w:color w:val="231F20"/>
                            <w:spacing w:val="-7"/>
                            <w:sz w:val="14"/>
                          </w:rPr>
                          <w:t> </w:t>
                        </w:r>
                        <w:r>
                          <w:rPr>
                            <w:rFonts w:ascii="Arial"/>
                            <w:color w:val="231F20"/>
                            <w:spacing w:val="-5"/>
                            <w:w w:val="80"/>
                            <w:sz w:val="14"/>
                          </w:rPr>
                          <w:t>(days)</w:t>
                        </w:r>
                      </w:p>
                    </w:txbxContent>
                  </v:textbox>
                  <w10:wrap type="none"/>
                </v:shape>
                <v:shape style="position:absolute;left:6268;top:5162;width:155;height:159" type="#_x0000_t202" id="docshape1141"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20</w:t>
                        </w:r>
                      </w:p>
                    </w:txbxContent>
                  </v:textbox>
                  <w10:wrap type="none"/>
                </v:shape>
                <v:shape style="position:absolute;left:7449;top:5162;width:155;height:159" type="#_x0000_t202" id="docshape1142"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25</w:t>
                        </w:r>
                      </w:p>
                    </w:txbxContent>
                  </v:textbox>
                  <w10:wrap type="none"/>
                </v:shape>
                <v:shape style="position:absolute;left:8630;top:5162;width:155;height:159" type="#_x0000_t202" id="docshape1143"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30</w:t>
                        </w:r>
                      </w:p>
                    </w:txbxContent>
                  </v:textbox>
                  <w10:wrap type="none"/>
                </v:shape>
                <v:shape style="position:absolute;left:1320;top:5637;width:4791;height:284" type="#_x0000_t202" id="docshape1144" filled="false" stroked="false">
                  <v:textbox inset="0,0,0,0">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1"/>
                            <w:w w:val="75"/>
                            <w:sz w:val="12"/>
                          </w:rPr>
                          <w:t> </w:t>
                        </w:r>
                        <w:r>
                          <w:rPr>
                            <w:rFonts w:ascii="Arial"/>
                            <w:color w:val="231F20"/>
                            <w:w w:val="75"/>
                            <w:sz w:val="12"/>
                          </w:rPr>
                          <w:t>TradeLens</w:t>
                        </w:r>
                        <w:r>
                          <w:rPr>
                            <w:rFonts w:ascii="Arial"/>
                            <w:color w:val="231F20"/>
                            <w:spacing w:val="-3"/>
                            <w:sz w:val="12"/>
                          </w:rPr>
                          <w:t> </w:t>
                        </w:r>
                        <w:r>
                          <w:rPr>
                            <w:rFonts w:ascii="Arial"/>
                            <w:color w:val="231F20"/>
                            <w:w w:val="75"/>
                            <w:sz w:val="12"/>
                          </w:rPr>
                          <w:t>and</w:t>
                        </w:r>
                        <w:r>
                          <w:rPr>
                            <w:rFonts w:ascii="Arial"/>
                            <w:color w:val="231F20"/>
                            <w:spacing w:val="-1"/>
                            <w:w w:val="75"/>
                            <w:sz w:val="12"/>
                          </w:rPr>
                          <w:t> </w:t>
                        </w:r>
                        <w:r>
                          <w:rPr>
                            <w:rFonts w:ascii="Arial"/>
                            <w:color w:val="231F20"/>
                            <w:w w:val="75"/>
                            <w:sz w:val="12"/>
                          </w:rPr>
                          <w:t>World</w:t>
                        </w:r>
                        <w:r>
                          <w:rPr>
                            <w:rFonts w:ascii="Arial"/>
                            <w:color w:val="231F20"/>
                            <w:spacing w:val="-3"/>
                            <w:sz w:val="12"/>
                          </w:rPr>
                          <w:t> </w:t>
                        </w:r>
                        <w:r>
                          <w:rPr>
                            <w:rFonts w:ascii="Arial"/>
                            <w:color w:val="231F20"/>
                            <w:spacing w:val="-2"/>
                            <w:w w:val="75"/>
                            <w:sz w:val="12"/>
                          </w:rPr>
                          <w:t>Bank.</w:t>
                        </w:r>
                      </w:p>
                      <w:p>
                        <w:pPr>
                          <w:spacing w:before="2"/>
                          <w:ind w:left="0" w:right="0" w:firstLine="0"/>
                          <w:jc w:val="left"/>
                          <w:rPr>
                            <w:rFonts w:ascii="Arial" w:hAnsi="Arial"/>
                            <w:sz w:val="12"/>
                          </w:rPr>
                        </w:pPr>
                        <w:r>
                          <w:rPr>
                            <w:rFonts w:ascii="Arial" w:hAnsi="Arial"/>
                            <w:i/>
                            <w:color w:val="231F20"/>
                            <w:w w:val="75"/>
                            <w:sz w:val="12"/>
                          </w:rPr>
                          <w:t>Note:</w:t>
                        </w:r>
                        <w:r>
                          <w:rPr>
                            <w:rFonts w:ascii="Arial" w:hAnsi="Arial"/>
                            <w:i/>
                            <w:color w:val="231F20"/>
                            <w:spacing w:val="-4"/>
                            <w:sz w:val="12"/>
                          </w:rPr>
                          <w:t> </w:t>
                        </w:r>
                        <w:r>
                          <w:rPr>
                            <w:rFonts w:ascii="Arial" w:hAnsi="Arial"/>
                            <w:color w:val="231F20"/>
                            <w:w w:val="75"/>
                            <w:sz w:val="12"/>
                          </w:rPr>
                          <w:t>Data</w:t>
                        </w:r>
                        <w:r>
                          <w:rPr>
                            <w:rFonts w:ascii="Arial" w:hAnsi="Arial"/>
                            <w:color w:val="231F20"/>
                            <w:spacing w:val="3"/>
                            <w:sz w:val="12"/>
                          </w:rPr>
                          <w:t> </w:t>
                        </w:r>
                        <w:r>
                          <w:rPr>
                            <w:rFonts w:ascii="Arial" w:hAnsi="Arial"/>
                            <w:color w:val="231F20"/>
                            <w:w w:val="75"/>
                            <w:sz w:val="12"/>
                          </w:rPr>
                          <w:t>cover</w:t>
                        </w:r>
                        <w:r>
                          <w:rPr>
                            <w:rFonts w:ascii="Arial" w:hAnsi="Arial"/>
                            <w:color w:val="231F20"/>
                            <w:spacing w:val="3"/>
                            <w:sz w:val="12"/>
                          </w:rPr>
                          <w:t> </w:t>
                        </w:r>
                        <w:r>
                          <w:rPr>
                            <w:rFonts w:ascii="Arial" w:hAnsi="Arial"/>
                            <w:color w:val="231F20"/>
                            <w:w w:val="75"/>
                            <w:sz w:val="12"/>
                          </w:rPr>
                          <w:t>309</w:t>
                        </w:r>
                        <w:r>
                          <w:rPr>
                            <w:rFonts w:ascii="Arial" w:hAnsi="Arial"/>
                            <w:color w:val="231F20"/>
                            <w:spacing w:val="3"/>
                            <w:sz w:val="12"/>
                          </w:rPr>
                          <w:t> </w:t>
                        </w:r>
                        <w:r>
                          <w:rPr>
                            <w:rFonts w:ascii="Arial" w:hAnsi="Arial"/>
                            <w:color w:val="231F20"/>
                            <w:w w:val="75"/>
                            <w:sz w:val="12"/>
                          </w:rPr>
                          <w:t>ports</w:t>
                        </w:r>
                        <w:r>
                          <w:rPr>
                            <w:rFonts w:ascii="Arial" w:hAnsi="Arial"/>
                            <w:color w:val="231F20"/>
                            <w:spacing w:val="3"/>
                            <w:sz w:val="12"/>
                          </w:rPr>
                          <w:t> </w:t>
                        </w:r>
                        <w:r>
                          <w:rPr>
                            <w:rFonts w:ascii="Arial" w:hAnsi="Arial"/>
                            <w:color w:val="231F20"/>
                            <w:w w:val="75"/>
                            <w:sz w:val="12"/>
                          </w:rPr>
                          <w:t>with</w:t>
                        </w:r>
                        <w:r>
                          <w:rPr>
                            <w:rFonts w:ascii="Arial" w:hAnsi="Arial"/>
                            <w:color w:val="231F20"/>
                            <w:spacing w:val="3"/>
                            <w:sz w:val="12"/>
                          </w:rPr>
                          <w:t> </w:t>
                        </w:r>
                        <w:r>
                          <w:rPr>
                            <w:rFonts w:ascii="Arial" w:hAnsi="Arial"/>
                            <w:color w:val="231F20"/>
                            <w:w w:val="75"/>
                            <w:sz w:val="12"/>
                          </w:rPr>
                          <w:t>more</w:t>
                        </w:r>
                        <w:r>
                          <w:rPr>
                            <w:rFonts w:ascii="Arial" w:hAnsi="Arial"/>
                            <w:color w:val="231F20"/>
                            <w:spacing w:val="3"/>
                            <w:sz w:val="12"/>
                          </w:rPr>
                          <w:t> </w:t>
                        </w:r>
                        <w:r>
                          <w:rPr>
                            <w:rFonts w:ascii="Arial" w:hAnsi="Arial"/>
                            <w:color w:val="231F20"/>
                            <w:w w:val="75"/>
                            <w:sz w:val="12"/>
                          </w:rPr>
                          <w:t>than</w:t>
                        </w:r>
                        <w:r>
                          <w:rPr>
                            <w:rFonts w:ascii="Arial" w:hAnsi="Arial"/>
                            <w:color w:val="231F20"/>
                            <w:spacing w:val="3"/>
                            <w:sz w:val="12"/>
                          </w:rPr>
                          <w:t> </w:t>
                        </w:r>
                        <w:r>
                          <w:rPr>
                            <w:rFonts w:ascii="Arial" w:hAnsi="Arial"/>
                            <w:color w:val="231F20"/>
                            <w:w w:val="75"/>
                            <w:sz w:val="12"/>
                          </w:rPr>
                          <w:t>100</w:t>
                        </w:r>
                        <w:r>
                          <w:rPr>
                            <w:rFonts w:ascii="Arial" w:hAnsi="Arial"/>
                            <w:color w:val="231F20"/>
                            <w:spacing w:val="3"/>
                            <w:sz w:val="12"/>
                          </w:rPr>
                          <w:t> </w:t>
                        </w:r>
                        <w:r>
                          <w:rPr>
                            <w:rFonts w:ascii="Arial" w:hAnsi="Arial"/>
                            <w:color w:val="231F20"/>
                            <w:w w:val="75"/>
                            <w:sz w:val="12"/>
                          </w:rPr>
                          <w:t>observations</w:t>
                        </w:r>
                        <w:r>
                          <w:rPr>
                            <w:rFonts w:ascii="Arial" w:hAnsi="Arial"/>
                            <w:color w:val="231F20"/>
                            <w:spacing w:val="3"/>
                            <w:sz w:val="12"/>
                          </w:rPr>
                          <w:t> </w:t>
                        </w:r>
                        <w:r>
                          <w:rPr>
                            <w:rFonts w:ascii="Arial" w:hAnsi="Arial"/>
                            <w:color w:val="231F20"/>
                            <w:w w:val="75"/>
                            <w:sz w:val="12"/>
                          </w:rPr>
                          <w:t>for</w:t>
                        </w:r>
                        <w:r>
                          <w:rPr>
                            <w:rFonts w:ascii="Arial" w:hAnsi="Arial"/>
                            <w:color w:val="231F20"/>
                            <w:spacing w:val="3"/>
                            <w:sz w:val="12"/>
                          </w:rPr>
                          <w:t> </w:t>
                        </w:r>
                        <w:r>
                          <w:rPr>
                            <w:rFonts w:ascii="Arial" w:hAnsi="Arial"/>
                            <w:color w:val="231F20"/>
                            <w:w w:val="75"/>
                            <w:sz w:val="12"/>
                          </w:rPr>
                          <w:t>both</w:t>
                        </w:r>
                        <w:r>
                          <w:rPr>
                            <w:rFonts w:ascii="Arial" w:hAnsi="Arial"/>
                            <w:color w:val="231F20"/>
                            <w:spacing w:val="3"/>
                            <w:sz w:val="12"/>
                          </w:rPr>
                          <w:t> </w:t>
                        </w:r>
                        <w:r>
                          <w:rPr>
                            <w:rFonts w:ascii="Arial" w:hAnsi="Arial"/>
                            <w:color w:val="231F20"/>
                            <w:w w:val="75"/>
                            <w:sz w:val="12"/>
                          </w:rPr>
                          <w:t>exports</w:t>
                        </w:r>
                        <w:r>
                          <w:rPr>
                            <w:rFonts w:ascii="Arial" w:hAnsi="Arial"/>
                            <w:color w:val="231F20"/>
                            <w:spacing w:val="3"/>
                            <w:sz w:val="12"/>
                          </w:rPr>
                          <w:t> </w:t>
                        </w:r>
                        <w:r>
                          <w:rPr>
                            <w:rFonts w:ascii="Arial" w:hAnsi="Arial"/>
                            <w:color w:val="231F20"/>
                            <w:w w:val="75"/>
                            <w:sz w:val="12"/>
                          </w:rPr>
                          <w:t>and</w:t>
                        </w:r>
                        <w:r>
                          <w:rPr>
                            <w:rFonts w:ascii="Arial" w:hAnsi="Arial"/>
                            <w:color w:val="231F20"/>
                            <w:spacing w:val="3"/>
                            <w:sz w:val="12"/>
                          </w:rPr>
                          <w:t> </w:t>
                        </w:r>
                        <w:r>
                          <w:rPr>
                            <w:rFonts w:ascii="Arial" w:hAnsi="Arial"/>
                            <w:color w:val="231F20"/>
                            <w:w w:val="75"/>
                            <w:sz w:val="12"/>
                          </w:rPr>
                          <w:t>imports</w:t>
                        </w:r>
                        <w:r>
                          <w:rPr>
                            <w:rFonts w:ascii="Arial" w:hAnsi="Arial"/>
                            <w:color w:val="231F20"/>
                            <w:spacing w:val="3"/>
                            <w:sz w:val="12"/>
                          </w:rPr>
                          <w:t> </w:t>
                        </w:r>
                        <w:r>
                          <w:rPr>
                            <w:rFonts w:ascii="Arial" w:hAnsi="Arial"/>
                            <w:color w:val="231F20"/>
                            <w:w w:val="75"/>
                            <w:sz w:val="12"/>
                          </w:rPr>
                          <w:t>for</w:t>
                        </w:r>
                        <w:r>
                          <w:rPr>
                            <w:rFonts w:ascii="Arial" w:hAnsi="Arial"/>
                            <w:color w:val="231F20"/>
                            <w:spacing w:val="3"/>
                            <w:sz w:val="12"/>
                          </w:rPr>
                          <w:t> </w:t>
                        </w:r>
                        <w:r>
                          <w:rPr>
                            <w:rFonts w:ascii="Arial" w:hAnsi="Arial"/>
                            <w:color w:val="231F20"/>
                            <w:w w:val="75"/>
                            <w:sz w:val="12"/>
                          </w:rPr>
                          <w:t>May–October</w:t>
                        </w:r>
                        <w:r>
                          <w:rPr>
                            <w:rFonts w:ascii="Arial" w:hAnsi="Arial"/>
                            <w:color w:val="231F20"/>
                            <w:spacing w:val="3"/>
                            <w:sz w:val="12"/>
                          </w:rPr>
                          <w:t> </w:t>
                        </w:r>
                        <w:r>
                          <w:rPr>
                            <w:rFonts w:ascii="Arial" w:hAnsi="Arial"/>
                            <w:color w:val="231F20"/>
                            <w:spacing w:val="-2"/>
                            <w:w w:val="75"/>
                            <w:sz w:val="12"/>
                          </w:rPr>
                          <w:t>2022.</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66757632">
                <wp:simplePos x="0" y="0"/>
                <wp:positionH relativeFrom="page">
                  <wp:posOffset>1046838</wp:posOffset>
                </wp:positionH>
                <wp:positionV relativeFrom="page">
                  <wp:posOffset>1920695</wp:posOffset>
                </wp:positionV>
                <wp:extent cx="4053204" cy="1344930"/>
                <wp:effectExtent l="0" t="0" r="0" b="0"/>
                <wp:wrapNone/>
                <wp:docPr id="1355" name="Group 1355"/>
                <wp:cNvGraphicFramePr>
                  <a:graphicFrameLocks/>
                </wp:cNvGraphicFramePr>
                <a:graphic>
                  <a:graphicData uri="http://schemas.microsoft.com/office/word/2010/wordprocessingGroup">
                    <wpg:wgp>
                      <wpg:cNvPr id="1355" name="Group 1355"/>
                      <wpg:cNvGrpSpPr/>
                      <wpg:grpSpPr>
                        <a:xfrm>
                          <a:off x="0" y="0"/>
                          <a:ext cx="4053204" cy="1344930"/>
                          <a:chExt cx="4053204" cy="1344930"/>
                        </a:xfrm>
                      </wpg:grpSpPr>
                      <wps:wsp>
                        <wps:cNvPr id="1356" name="Graphic 1356"/>
                        <wps:cNvSpPr/>
                        <wps:spPr>
                          <a:xfrm>
                            <a:off x="37501" y="213438"/>
                            <a:ext cx="4009390" cy="707390"/>
                          </a:xfrm>
                          <a:custGeom>
                            <a:avLst/>
                            <a:gdLst/>
                            <a:ahLst/>
                            <a:cxnLst/>
                            <a:rect l="l" t="t" r="r" b="b"/>
                            <a:pathLst>
                              <a:path w="4009390" h="707390">
                                <a:moveTo>
                                  <a:pt x="991844" y="532320"/>
                                </a:moveTo>
                                <a:lnTo>
                                  <a:pt x="0" y="707288"/>
                                </a:lnTo>
                                <a:lnTo>
                                  <a:pt x="4009351" y="0"/>
                                </a:lnTo>
                                <a:lnTo>
                                  <a:pt x="472008" y="624027"/>
                                </a:lnTo>
                              </a:path>
                            </a:pathLst>
                          </a:custGeom>
                          <a:ln w="12700">
                            <a:solidFill>
                              <a:srgbClr val="231F20"/>
                            </a:solidFill>
                            <a:prstDash val="solid"/>
                          </a:ln>
                        </wps:spPr>
                        <wps:bodyPr wrap="square" lIns="0" tIns="0" rIns="0" bIns="0" rtlCol="0">
                          <a:prstTxWarp prst="textNoShape">
                            <a:avLst/>
                          </a:prstTxWarp>
                          <a:noAutofit/>
                        </wps:bodyPr>
                      </wps:wsp>
                      <pic:pic>
                        <pic:nvPicPr>
                          <pic:cNvPr id="1357" name="Image 1357"/>
                          <pic:cNvPicPr/>
                        </pic:nvPicPr>
                        <pic:blipFill>
                          <a:blip r:embed="rId93" cstate="print"/>
                          <a:stretch>
                            <a:fillRect/>
                          </a:stretch>
                        </pic:blipFill>
                        <pic:spPr>
                          <a:xfrm>
                            <a:off x="0" y="0"/>
                            <a:ext cx="2383262" cy="1344632"/>
                          </a:xfrm>
                          <a:prstGeom prst="rect">
                            <a:avLst/>
                          </a:prstGeom>
                        </pic:spPr>
                      </pic:pic>
                    </wpg:wgp>
                  </a:graphicData>
                </a:graphic>
              </wp:anchor>
            </w:drawing>
          </mc:Choice>
          <mc:Fallback>
            <w:pict>
              <v:group style="position:absolute;margin-left:82.4282pt;margin-top:151.235901pt;width:319.150pt;height:105.9pt;mso-position-horizontal-relative:page;mso-position-vertical-relative:page;z-index:-36558848" id="docshapegroup1145" coordorigin="1649,3025" coordsize="6383,2118">
                <v:shape style="position:absolute;left:1707;top:3360;width:6314;height:1114" id="docshape1146" coordorigin="1708,3361" coordsize="6314,1114" path="m3270,4199l1708,4475,8022,3361,2451,4344e" filled="false" stroked="true" strokeweight="1pt" strokecolor="#231f20">
                  <v:path arrowok="t"/>
                  <v:stroke dashstyle="solid"/>
                </v:shape>
                <v:shape style="position:absolute;left:1648;top:3024;width:3754;height:2118" type="#_x0000_t75" id="docshape1147" stroked="false">
                  <v:imagedata r:id="rId93" o:title=""/>
                </v:shape>
                <w10:wrap type="none"/>
              </v:group>
            </w:pict>
          </mc:Fallback>
        </mc:AlternateContent>
      </w:r>
      <w:r>
        <w:rPr>
          <w:color w:val="231F20"/>
          <w:w w:val="90"/>
        </w:rPr>
        <w:t>to delays, as does abuse of port space as storage </w:t>
      </w:r>
      <w:r>
        <w:rPr>
          <w:color w:val="231F20"/>
          <w:spacing w:val="-2"/>
        </w:rPr>
        <w:t>by</w:t>
      </w:r>
      <w:r>
        <w:rPr>
          <w:color w:val="231F20"/>
          <w:spacing w:val="-12"/>
        </w:rPr>
        <w:t> </w:t>
      </w:r>
      <w:r>
        <w:rPr>
          <w:color w:val="231F20"/>
          <w:spacing w:val="-2"/>
        </w:rPr>
        <w:t>importers</w:t>
      </w:r>
      <w:r>
        <w:rPr>
          <w:color w:val="231F20"/>
          <w:spacing w:val="-11"/>
        </w:rPr>
        <w:t> </w:t>
      </w:r>
      <w:r>
        <w:rPr>
          <w:color w:val="231F20"/>
          <w:spacing w:val="-2"/>
        </w:rPr>
        <w:t>in</w:t>
      </w:r>
      <w:r>
        <w:rPr>
          <w:color w:val="231F20"/>
          <w:spacing w:val="-11"/>
        </w:rPr>
        <w:t> </w:t>
      </w:r>
      <w:r>
        <w:rPr>
          <w:color w:val="231F20"/>
          <w:spacing w:val="-2"/>
        </w:rPr>
        <w:t>some</w:t>
      </w:r>
      <w:r>
        <w:rPr>
          <w:color w:val="231F20"/>
          <w:spacing w:val="-11"/>
        </w:rPr>
        <w:t> </w:t>
      </w:r>
      <w:r>
        <w:rPr>
          <w:color w:val="231F20"/>
          <w:spacing w:val="-2"/>
        </w:rPr>
        <w:t>African</w:t>
      </w:r>
      <w:r>
        <w:rPr>
          <w:color w:val="231F20"/>
          <w:spacing w:val="-11"/>
        </w:rPr>
        <w:t> </w:t>
      </w:r>
      <w:r>
        <w:rPr>
          <w:color w:val="231F20"/>
          <w:spacing w:val="-2"/>
        </w:rPr>
        <w:t>countries,</w:t>
      </w:r>
      <w:r>
        <w:rPr>
          <w:color w:val="231F20"/>
          <w:spacing w:val="-11"/>
        </w:rPr>
        <w:t> </w:t>
      </w:r>
      <w:r>
        <w:rPr>
          <w:color w:val="231F20"/>
          <w:spacing w:val="-2"/>
        </w:rPr>
        <w:t>espe- </w:t>
      </w:r>
      <w:r>
        <w:rPr>
          <w:color w:val="231F20"/>
          <w:spacing w:val="-4"/>
        </w:rPr>
        <w:t>cially</w:t>
      </w:r>
      <w:r>
        <w:rPr>
          <w:color w:val="231F20"/>
          <w:spacing w:val="-10"/>
        </w:rPr>
        <w:t> </w:t>
      </w:r>
      <w:r>
        <w:rPr>
          <w:color w:val="231F20"/>
          <w:spacing w:val="-4"/>
        </w:rPr>
        <w:t>those</w:t>
      </w:r>
      <w:r>
        <w:rPr>
          <w:color w:val="231F20"/>
          <w:spacing w:val="-9"/>
        </w:rPr>
        <w:t> </w:t>
      </w:r>
      <w:r>
        <w:rPr>
          <w:color w:val="231F20"/>
          <w:spacing w:val="-4"/>
        </w:rPr>
        <w:t>where</w:t>
      </w:r>
      <w:r>
        <w:rPr>
          <w:color w:val="231F20"/>
          <w:spacing w:val="-9"/>
        </w:rPr>
        <w:t> </w:t>
      </w:r>
      <w:r>
        <w:rPr>
          <w:color w:val="231F20"/>
          <w:spacing w:val="-4"/>
        </w:rPr>
        <w:t>terminal</w:t>
      </w:r>
      <w:r>
        <w:rPr>
          <w:color w:val="231F20"/>
          <w:spacing w:val="-9"/>
        </w:rPr>
        <w:t> </w:t>
      </w:r>
      <w:r>
        <w:rPr>
          <w:color w:val="231F20"/>
          <w:spacing w:val="-4"/>
        </w:rPr>
        <w:t>fees</w:t>
      </w:r>
      <w:r>
        <w:rPr>
          <w:color w:val="231F20"/>
          <w:spacing w:val="-9"/>
        </w:rPr>
        <w:t> </w:t>
      </w:r>
      <w:r>
        <w:rPr>
          <w:color w:val="231F20"/>
          <w:spacing w:val="-4"/>
        </w:rPr>
        <w:t>are</w:t>
      </w:r>
      <w:r>
        <w:rPr>
          <w:color w:val="231F20"/>
          <w:spacing w:val="-9"/>
        </w:rPr>
        <w:t> </w:t>
      </w:r>
      <w:r>
        <w:rPr>
          <w:color w:val="231F20"/>
          <w:spacing w:val="-4"/>
        </w:rPr>
        <w:t>low.</w:t>
      </w:r>
      <w:r>
        <w:rPr>
          <w:color w:val="231F20"/>
          <w:spacing w:val="-4"/>
          <w:position w:val="7"/>
          <w:sz w:val="14"/>
        </w:rPr>
        <w:t>27</w:t>
      </w:r>
      <w:r>
        <w:rPr>
          <w:color w:val="231F20"/>
          <w:spacing w:val="-5"/>
          <w:position w:val="7"/>
          <w:sz w:val="14"/>
        </w:rPr>
        <w:t> </w:t>
      </w:r>
      <w:r>
        <w:rPr>
          <w:color w:val="231F20"/>
          <w:spacing w:val="-4"/>
        </w:rPr>
        <w:t>The </w:t>
      </w:r>
      <w:r>
        <w:rPr>
          <w:color w:val="231F20"/>
        </w:rPr>
        <w:t>removal</w:t>
      </w:r>
      <w:r>
        <w:rPr>
          <w:color w:val="231F20"/>
          <w:spacing w:val="-14"/>
        </w:rPr>
        <w:t> </w:t>
      </w:r>
      <w:r>
        <w:rPr>
          <w:color w:val="231F20"/>
        </w:rPr>
        <w:t>of</w:t>
      </w:r>
      <w:r>
        <w:rPr>
          <w:color w:val="231F20"/>
          <w:spacing w:val="-13"/>
        </w:rPr>
        <w:t> </w:t>
      </w:r>
      <w:r>
        <w:rPr>
          <w:color w:val="231F20"/>
        </w:rPr>
        <w:t>units</w:t>
      </w:r>
      <w:r>
        <w:rPr>
          <w:color w:val="231F20"/>
          <w:spacing w:val="-13"/>
        </w:rPr>
        <w:t> </w:t>
      </w:r>
      <w:r>
        <w:rPr>
          <w:color w:val="231F20"/>
        </w:rPr>
        <w:t>in</w:t>
      </w:r>
      <w:r>
        <w:rPr>
          <w:color w:val="231F20"/>
          <w:spacing w:val="-13"/>
        </w:rPr>
        <w:t> </w:t>
      </w:r>
      <w:r>
        <w:rPr>
          <w:color w:val="231F20"/>
        </w:rPr>
        <w:t>congested</w:t>
      </w:r>
      <w:r>
        <w:rPr>
          <w:color w:val="231F20"/>
          <w:spacing w:val="-13"/>
        </w:rPr>
        <w:t> </w:t>
      </w:r>
      <w:r>
        <w:rPr>
          <w:color w:val="231F20"/>
        </w:rPr>
        <w:t>port</w:t>
      </w:r>
      <w:r>
        <w:rPr>
          <w:color w:val="231F20"/>
          <w:spacing w:val="-13"/>
        </w:rPr>
        <w:t> </w:t>
      </w:r>
      <w:r>
        <w:rPr>
          <w:color w:val="231F20"/>
        </w:rPr>
        <w:t>cities</w:t>
      </w:r>
      <w:r>
        <w:rPr>
          <w:color w:val="231F20"/>
          <w:spacing w:val="-13"/>
        </w:rPr>
        <w:t> </w:t>
      </w:r>
      <w:r>
        <w:rPr>
          <w:color w:val="231F20"/>
        </w:rPr>
        <w:t>may </w:t>
      </w:r>
      <w:r>
        <w:rPr>
          <w:color w:val="231F20"/>
          <w:w w:val="90"/>
        </w:rPr>
        <w:t>also contribute to delays. Yet each outlier needs </w:t>
      </w:r>
      <w:r>
        <w:rPr>
          <w:color w:val="231F20"/>
          <w:spacing w:val="-4"/>
        </w:rPr>
        <w:t>to</w:t>
      </w:r>
      <w:r>
        <w:rPr>
          <w:color w:val="231F20"/>
          <w:spacing w:val="-10"/>
        </w:rPr>
        <w:t> </w:t>
      </w:r>
      <w:r>
        <w:rPr>
          <w:color w:val="231F20"/>
          <w:spacing w:val="-4"/>
        </w:rPr>
        <w:t>be</w:t>
      </w:r>
      <w:r>
        <w:rPr>
          <w:color w:val="231F20"/>
          <w:spacing w:val="-9"/>
        </w:rPr>
        <w:t> </w:t>
      </w:r>
      <w:r>
        <w:rPr>
          <w:color w:val="231F20"/>
          <w:spacing w:val="-4"/>
        </w:rPr>
        <w:t>assessed</w:t>
      </w:r>
      <w:r>
        <w:rPr>
          <w:color w:val="231F20"/>
          <w:spacing w:val="-9"/>
        </w:rPr>
        <w:t> </w:t>
      </w:r>
      <w:r>
        <w:rPr>
          <w:color w:val="231F20"/>
          <w:spacing w:val="-4"/>
        </w:rPr>
        <w:t>on</w:t>
      </w:r>
      <w:r>
        <w:rPr>
          <w:color w:val="231F20"/>
          <w:spacing w:val="-9"/>
        </w:rPr>
        <w:t> </w:t>
      </w:r>
      <w:r>
        <w:rPr>
          <w:color w:val="231F20"/>
          <w:spacing w:val="-4"/>
        </w:rPr>
        <w:t>a</w:t>
      </w:r>
      <w:r>
        <w:rPr>
          <w:color w:val="231F20"/>
          <w:spacing w:val="-9"/>
        </w:rPr>
        <w:t> </w:t>
      </w:r>
      <w:r>
        <w:rPr>
          <w:color w:val="231F20"/>
          <w:spacing w:val="-4"/>
        </w:rPr>
        <w:t>case-by-case</w:t>
      </w:r>
      <w:r>
        <w:rPr>
          <w:color w:val="231F20"/>
          <w:spacing w:val="-9"/>
        </w:rPr>
        <w:t> </w:t>
      </w:r>
      <w:r>
        <w:rPr>
          <w:color w:val="231F20"/>
          <w:spacing w:val="-4"/>
        </w:rPr>
        <w:t>basis</w:t>
      </w:r>
      <w:r>
        <w:rPr>
          <w:color w:val="231F20"/>
          <w:spacing w:val="-9"/>
        </w:rPr>
        <w:t> </w:t>
      </w:r>
      <w:r>
        <w:rPr>
          <w:color w:val="231F20"/>
          <w:spacing w:val="-4"/>
        </w:rPr>
        <w:t>to</w:t>
      </w:r>
      <w:r>
        <w:rPr>
          <w:color w:val="231F20"/>
          <w:spacing w:val="-9"/>
        </w:rPr>
        <w:t> </w:t>
      </w:r>
      <w:r>
        <w:rPr>
          <w:color w:val="231F20"/>
          <w:spacing w:val="-4"/>
        </w:rPr>
        <w:t>deter- </w:t>
      </w:r>
      <w:r>
        <w:rPr>
          <w:color w:val="231F20"/>
          <w:spacing w:val="-6"/>
        </w:rPr>
        <w:t>mine the main reasons for delays. For instance, </w:t>
      </w:r>
      <w:r>
        <w:rPr>
          <w:color w:val="231F20"/>
          <w:spacing w:val="-2"/>
        </w:rPr>
        <w:t>in</w:t>
      </w:r>
      <w:r>
        <w:rPr>
          <w:color w:val="231F20"/>
          <w:spacing w:val="-12"/>
        </w:rPr>
        <w:t> </w:t>
      </w:r>
      <w:r>
        <w:rPr>
          <w:color w:val="231F20"/>
          <w:spacing w:val="-2"/>
        </w:rPr>
        <w:t>Algeria,</w:t>
      </w:r>
      <w:r>
        <w:rPr>
          <w:color w:val="231F20"/>
          <w:spacing w:val="-11"/>
        </w:rPr>
        <w:t> </w:t>
      </w:r>
      <w:r>
        <w:rPr>
          <w:color w:val="231F20"/>
          <w:spacing w:val="-2"/>
        </w:rPr>
        <w:t>the</w:t>
      </w:r>
      <w:r>
        <w:rPr>
          <w:color w:val="231F20"/>
          <w:spacing w:val="-11"/>
        </w:rPr>
        <w:t> </w:t>
      </w:r>
      <w:r>
        <w:rPr>
          <w:color w:val="231F20"/>
          <w:spacing w:val="-2"/>
        </w:rPr>
        <w:t>most</w:t>
      </w:r>
      <w:r>
        <w:rPr>
          <w:color w:val="231F20"/>
          <w:spacing w:val="-11"/>
        </w:rPr>
        <w:t> </w:t>
      </w:r>
      <w:r>
        <w:rPr>
          <w:color w:val="231F20"/>
          <w:spacing w:val="-2"/>
        </w:rPr>
        <w:t>important</w:t>
      </w:r>
      <w:r>
        <w:rPr>
          <w:color w:val="231F20"/>
          <w:spacing w:val="-11"/>
        </w:rPr>
        <w:t> </w:t>
      </w:r>
      <w:r>
        <w:rPr>
          <w:color w:val="231F20"/>
          <w:spacing w:val="-2"/>
        </w:rPr>
        <w:t>contribution</w:t>
      </w:r>
      <w:r>
        <w:rPr>
          <w:color w:val="231F20"/>
          <w:spacing w:val="-11"/>
        </w:rPr>
        <w:t> </w:t>
      </w:r>
      <w:r>
        <w:rPr>
          <w:color w:val="231F20"/>
          <w:spacing w:val="-2"/>
        </w:rPr>
        <w:t>to </w:t>
      </w:r>
      <w:r>
        <w:rPr>
          <w:color w:val="231F20"/>
        </w:rPr>
        <w:t>dwell</w:t>
      </w:r>
      <w:r>
        <w:rPr>
          <w:color w:val="231F20"/>
          <w:spacing w:val="-2"/>
        </w:rPr>
        <w:t> </w:t>
      </w:r>
      <w:r>
        <w:rPr>
          <w:color w:val="231F20"/>
        </w:rPr>
        <w:t>time</w:t>
      </w:r>
      <w:r>
        <w:rPr>
          <w:color w:val="231F20"/>
          <w:spacing w:val="-2"/>
        </w:rPr>
        <w:t> </w:t>
      </w:r>
      <w:r>
        <w:rPr>
          <w:color w:val="231F20"/>
        </w:rPr>
        <w:t>is</w:t>
      </w:r>
      <w:r>
        <w:rPr>
          <w:color w:val="231F20"/>
          <w:spacing w:val="-2"/>
        </w:rPr>
        <w:t> </w:t>
      </w:r>
      <w:r>
        <w:rPr>
          <w:color w:val="231F20"/>
        </w:rPr>
        <w:t>the</w:t>
      </w:r>
      <w:r>
        <w:rPr>
          <w:color w:val="231F20"/>
          <w:spacing w:val="-2"/>
        </w:rPr>
        <w:t> </w:t>
      </w:r>
      <w:r>
        <w:rPr>
          <w:color w:val="231F20"/>
        </w:rPr>
        <w:t>time</w:t>
      </w:r>
      <w:r>
        <w:rPr>
          <w:color w:val="231F20"/>
          <w:spacing w:val="-2"/>
        </w:rPr>
        <w:t> </w:t>
      </w:r>
      <w:r>
        <w:rPr>
          <w:color w:val="231F20"/>
        </w:rPr>
        <w:t>banks</w:t>
      </w:r>
      <w:r>
        <w:rPr>
          <w:color w:val="231F20"/>
          <w:spacing w:val="-2"/>
        </w:rPr>
        <w:t> </w:t>
      </w:r>
      <w:r>
        <w:rPr>
          <w:color w:val="231F20"/>
        </w:rPr>
        <w:t>take</w:t>
      </w:r>
      <w:r>
        <w:rPr>
          <w:color w:val="231F20"/>
          <w:spacing w:val="-2"/>
        </w:rPr>
        <w:t> </w:t>
      </w:r>
      <w:r>
        <w:rPr>
          <w:color w:val="231F20"/>
        </w:rPr>
        <w:t>to</w:t>
      </w:r>
      <w:r>
        <w:rPr>
          <w:color w:val="231F20"/>
          <w:spacing w:val="-2"/>
        </w:rPr>
        <w:t> </w:t>
      </w:r>
      <w:r>
        <w:rPr>
          <w:color w:val="231F20"/>
        </w:rPr>
        <w:t>validate </w:t>
      </w:r>
      <w:r>
        <w:rPr>
          <w:color w:val="231F20"/>
          <w:spacing w:val="-4"/>
        </w:rPr>
        <w:t>imports</w:t>
      </w:r>
      <w:r>
        <w:rPr>
          <w:color w:val="231F20"/>
          <w:spacing w:val="-10"/>
        </w:rPr>
        <w:t> </w:t>
      </w:r>
      <w:r>
        <w:rPr>
          <w:color w:val="231F20"/>
          <w:spacing w:val="-4"/>
        </w:rPr>
        <w:t>for</w:t>
      </w:r>
      <w:r>
        <w:rPr>
          <w:color w:val="231F20"/>
          <w:spacing w:val="-9"/>
        </w:rPr>
        <w:t> </w:t>
      </w:r>
      <w:r>
        <w:rPr>
          <w:color w:val="231F20"/>
          <w:spacing w:val="-4"/>
        </w:rPr>
        <w:t>exchange</w:t>
      </w:r>
      <w:r>
        <w:rPr>
          <w:color w:val="231F20"/>
          <w:spacing w:val="-9"/>
        </w:rPr>
        <w:t> </w:t>
      </w:r>
      <w:r>
        <w:rPr>
          <w:color w:val="231F20"/>
          <w:spacing w:val="-4"/>
        </w:rPr>
        <w:t>control</w:t>
      </w:r>
      <w:r>
        <w:rPr>
          <w:color w:val="231F20"/>
          <w:spacing w:val="-9"/>
        </w:rPr>
        <w:t> </w:t>
      </w:r>
      <w:r>
        <w:rPr>
          <w:color w:val="231F20"/>
          <w:spacing w:val="-4"/>
        </w:rPr>
        <w:t>purposes</w:t>
      </w:r>
      <w:r>
        <w:rPr>
          <w:color w:val="231F20"/>
          <w:spacing w:val="-9"/>
        </w:rPr>
        <w:t> </w:t>
      </w:r>
      <w:r>
        <w:rPr>
          <w:color w:val="231F20"/>
          <w:spacing w:val="-4"/>
        </w:rPr>
        <w:t>prior</w:t>
      </w:r>
      <w:r>
        <w:rPr>
          <w:color w:val="231F20"/>
          <w:spacing w:val="-9"/>
        </w:rPr>
        <w:t> </w:t>
      </w:r>
      <w:r>
        <w:rPr>
          <w:color w:val="231F20"/>
          <w:spacing w:val="-4"/>
        </w:rPr>
        <w:t>to submitting</w:t>
      </w:r>
      <w:r>
        <w:rPr>
          <w:color w:val="231F20"/>
          <w:spacing w:val="-6"/>
        </w:rPr>
        <w:t> </w:t>
      </w:r>
      <w:r>
        <w:rPr>
          <w:color w:val="231F20"/>
          <w:spacing w:val="-4"/>
        </w:rPr>
        <w:t>an</w:t>
      </w:r>
      <w:r>
        <w:rPr>
          <w:color w:val="231F20"/>
          <w:spacing w:val="-5"/>
        </w:rPr>
        <w:t> </w:t>
      </w:r>
      <w:r>
        <w:rPr>
          <w:color w:val="231F20"/>
          <w:spacing w:val="-4"/>
        </w:rPr>
        <w:t>import</w:t>
      </w:r>
      <w:r>
        <w:rPr>
          <w:color w:val="231F20"/>
          <w:spacing w:val="-5"/>
        </w:rPr>
        <w:t> </w:t>
      </w:r>
      <w:r>
        <w:rPr>
          <w:color w:val="231F20"/>
          <w:spacing w:val="-4"/>
        </w:rPr>
        <w:t>declaration.</w:t>
      </w:r>
      <w:r>
        <w:rPr>
          <w:color w:val="231F20"/>
          <w:spacing w:val="-5"/>
        </w:rPr>
        <w:t> </w:t>
      </w:r>
      <w:r>
        <w:rPr>
          <w:color w:val="231F20"/>
          <w:spacing w:val="-4"/>
        </w:rPr>
        <w:t>By</w:t>
      </w:r>
      <w:r>
        <w:rPr>
          <w:color w:val="231F20"/>
          <w:spacing w:val="-5"/>
        </w:rPr>
        <w:t> </w:t>
      </w:r>
      <w:r>
        <w:rPr>
          <w:color w:val="231F20"/>
          <w:spacing w:val="-4"/>
        </w:rPr>
        <w:t>contrast,</w:t>
      </w:r>
    </w:p>
    <w:p>
      <w:pPr>
        <w:pStyle w:val="BodyText"/>
        <w:spacing w:line="264" w:lineRule="auto" w:before="96"/>
        <w:ind w:left="198" w:right="2818"/>
        <w:jc w:val="both"/>
        <w:rPr>
          <w:sz w:val="14"/>
        </w:rPr>
      </w:pPr>
      <w:r>
        <w:rPr/>
        <w:br w:type="column"/>
      </w:r>
      <w:r>
        <w:rPr>
          <w:color w:val="231F20"/>
          <w:spacing w:val="-6"/>
        </w:rPr>
        <w:t>in</w:t>
      </w:r>
      <w:r>
        <w:rPr>
          <w:color w:val="231F20"/>
          <w:spacing w:val="-7"/>
        </w:rPr>
        <w:t> </w:t>
      </w:r>
      <w:r>
        <w:rPr>
          <w:color w:val="231F20"/>
          <w:spacing w:val="-6"/>
        </w:rPr>
        <w:t>Tunisia,</w:t>
      </w:r>
      <w:r>
        <w:rPr>
          <w:color w:val="231F20"/>
          <w:spacing w:val="-7"/>
        </w:rPr>
        <w:t> </w:t>
      </w:r>
      <w:r>
        <w:rPr>
          <w:color w:val="231F20"/>
          <w:spacing w:val="-6"/>
        </w:rPr>
        <w:t>low</w:t>
      </w:r>
      <w:r>
        <w:rPr>
          <w:color w:val="231F20"/>
          <w:spacing w:val="-7"/>
        </w:rPr>
        <w:t> </w:t>
      </w:r>
      <w:r>
        <w:rPr>
          <w:color w:val="231F20"/>
          <w:spacing w:val="-6"/>
        </w:rPr>
        <w:t>container</w:t>
      </w:r>
      <w:r>
        <w:rPr>
          <w:color w:val="231F20"/>
          <w:spacing w:val="-7"/>
        </w:rPr>
        <w:t> </w:t>
      </w:r>
      <w:r>
        <w:rPr>
          <w:color w:val="231F20"/>
          <w:spacing w:val="-6"/>
        </w:rPr>
        <w:t>handling</w:t>
      </w:r>
      <w:r>
        <w:rPr>
          <w:color w:val="231F20"/>
          <w:spacing w:val="-7"/>
        </w:rPr>
        <w:t> </w:t>
      </w:r>
      <w:r>
        <w:rPr>
          <w:color w:val="231F20"/>
          <w:spacing w:val="-6"/>
        </w:rPr>
        <w:t>productivity </w:t>
      </w:r>
      <w:r>
        <w:rPr>
          <w:color w:val="231F20"/>
        </w:rPr>
        <w:t>is the binding constraint.</w:t>
      </w:r>
      <w:r>
        <w:rPr>
          <w:color w:val="231F20"/>
          <w:position w:val="7"/>
          <w:sz w:val="14"/>
        </w:rPr>
        <w:t>28</w:t>
      </w:r>
    </w:p>
    <w:p>
      <w:pPr>
        <w:pStyle w:val="BodyText"/>
        <w:spacing w:line="268" w:lineRule="auto" w:before="5"/>
        <w:ind w:left="198" w:right="2817" w:firstLine="300"/>
        <w:jc w:val="both"/>
      </w:pPr>
      <w:r>
        <w:rPr>
          <w:color w:val="231F20"/>
        </w:rPr>
        <w:t>Aviation</w:t>
      </w:r>
      <w:r>
        <w:rPr>
          <w:color w:val="231F20"/>
          <w:spacing w:val="-6"/>
        </w:rPr>
        <w:t> </w:t>
      </w:r>
      <w:r>
        <w:rPr>
          <w:color w:val="231F20"/>
        </w:rPr>
        <w:t>dwell</w:t>
      </w:r>
      <w:r>
        <w:rPr>
          <w:color w:val="231F20"/>
          <w:spacing w:val="-6"/>
        </w:rPr>
        <w:t> </w:t>
      </w:r>
      <w:r>
        <w:rPr>
          <w:color w:val="231F20"/>
        </w:rPr>
        <w:t>times</w:t>
      </w:r>
      <w:r>
        <w:rPr>
          <w:color w:val="231F20"/>
          <w:spacing w:val="-6"/>
        </w:rPr>
        <w:t> </w:t>
      </w:r>
      <w:r>
        <w:rPr>
          <w:color w:val="231F20"/>
        </w:rPr>
        <w:t>exhibit</w:t>
      </w:r>
      <w:r>
        <w:rPr>
          <w:color w:val="231F20"/>
          <w:spacing w:val="-6"/>
        </w:rPr>
        <w:t> </w:t>
      </w:r>
      <w:r>
        <w:rPr>
          <w:color w:val="231F20"/>
        </w:rPr>
        <w:t>similar</w:t>
      </w:r>
      <w:r>
        <w:rPr>
          <w:color w:val="231F20"/>
          <w:spacing w:val="-6"/>
        </w:rPr>
        <w:t> </w:t>
      </w:r>
      <w:r>
        <w:rPr>
          <w:color w:val="231F20"/>
        </w:rPr>
        <w:t>pat- </w:t>
      </w:r>
      <w:r>
        <w:rPr>
          <w:color w:val="231F20"/>
          <w:spacing w:val="-2"/>
        </w:rPr>
        <w:t>terns</w:t>
      </w:r>
      <w:r>
        <w:rPr>
          <w:color w:val="231F20"/>
          <w:spacing w:val="-12"/>
        </w:rPr>
        <w:t> </w:t>
      </w:r>
      <w:r>
        <w:rPr>
          <w:color w:val="231F20"/>
          <w:spacing w:val="-2"/>
        </w:rPr>
        <w:t>to</w:t>
      </w:r>
      <w:r>
        <w:rPr>
          <w:color w:val="231F20"/>
          <w:spacing w:val="-11"/>
        </w:rPr>
        <w:t> </w:t>
      </w:r>
      <w:r>
        <w:rPr>
          <w:color w:val="231F20"/>
          <w:spacing w:val="-2"/>
        </w:rPr>
        <w:t>those</w:t>
      </w:r>
      <w:r>
        <w:rPr>
          <w:color w:val="231F20"/>
          <w:spacing w:val="-11"/>
        </w:rPr>
        <w:t> </w:t>
      </w:r>
      <w:r>
        <w:rPr>
          <w:color w:val="231F20"/>
          <w:spacing w:val="-2"/>
        </w:rPr>
        <w:t>of</w:t>
      </w:r>
      <w:r>
        <w:rPr>
          <w:color w:val="231F20"/>
          <w:spacing w:val="-11"/>
        </w:rPr>
        <w:t> </w:t>
      </w:r>
      <w:r>
        <w:rPr>
          <w:color w:val="231F20"/>
          <w:spacing w:val="-2"/>
        </w:rPr>
        <w:t>maritime</w:t>
      </w:r>
      <w:r>
        <w:rPr>
          <w:color w:val="231F20"/>
          <w:spacing w:val="-11"/>
        </w:rPr>
        <w:t> </w:t>
      </w:r>
      <w:r>
        <w:rPr>
          <w:color w:val="231F20"/>
          <w:spacing w:val="-2"/>
        </w:rPr>
        <w:t>dwell</w:t>
      </w:r>
      <w:r>
        <w:rPr>
          <w:color w:val="231F20"/>
          <w:spacing w:val="-11"/>
        </w:rPr>
        <w:t> </w:t>
      </w:r>
      <w:r>
        <w:rPr>
          <w:color w:val="231F20"/>
          <w:spacing w:val="-2"/>
        </w:rPr>
        <w:t>times.</w:t>
      </w:r>
      <w:r>
        <w:rPr>
          <w:color w:val="231F20"/>
          <w:spacing w:val="-11"/>
        </w:rPr>
        <w:t> </w:t>
      </w:r>
      <w:r>
        <w:rPr>
          <w:color w:val="231F20"/>
          <w:spacing w:val="-2"/>
        </w:rPr>
        <w:t>Exces- sive</w:t>
      </w:r>
      <w:r>
        <w:rPr>
          <w:color w:val="231F20"/>
          <w:spacing w:val="-12"/>
        </w:rPr>
        <w:t> </w:t>
      </w:r>
      <w:r>
        <w:rPr>
          <w:color w:val="231F20"/>
          <w:spacing w:val="-2"/>
        </w:rPr>
        <w:t>dwell</w:t>
      </w:r>
      <w:r>
        <w:rPr>
          <w:color w:val="231F20"/>
          <w:spacing w:val="-11"/>
        </w:rPr>
        <w:t> </w:t>
      </w:r>
      <w:r>
        <w:rPr>
          <w:color w:val="231F20"/>
          <w:spacing w:val="-2"/>
        </w:rPr>
        <w:t>time</w:t>
      </w:r>
      <w:r>
        <w:rPr>
          <w:color w:val="231F20"/>
          <w:spacing w:val="-11"/>
        </w:rPr>
        <w:t> </w:t>
      </w:r>
      <w:r>
        <w:rPr>
          <w:color w:val="231F20"/>
          <w:spacing w:val="-2"/>
        </w:rPr>
        <w:t>for</w:t>
      </w:r>
      <w:r>
        <w:rPr>
          <w:color w:val="231F20"/>
          <w:spacing w:val="-11"/>
        </w:rPr>
        <w:t> </w:t>
      </w:r>
      <w:r>
        <w:rPr>
          <w:color w:val="231F20"/>
          <w:spacing w:val="-2"/>
        </w:rPr>
        <w:t>airports</w:t>
      </w:r>
      <w:r>
        <w:rPr>
          <w:color w:val="231F20"/>
          <w:spacing w:val="-11"/>
        </w:rPr>
        <w:t> </w:t>
      </w:r>
      <w:r>
        <w:rPr>
          <w:color w:val="231F20"/>
          <w:spacing w:val="-2"/>
        </w:rPr>
        <w:t>is</w:t>
      </w:r>
      <w:r>
        <w:rPr>
          <w:color w:val="231F20"/>
          <w:spacing w:val="-11"/>
        </w:rPr>
        <w:t> </w:t>
      </w:r>
      <w:r>
        <w:rPr>
          <w:color w:val="231F20"/>
          <w:spacing w:val="-2"/>
        </w:rPr>
        <w:t>defined</w:t>
      </w:r>
      <w:r>
        <w:rPr>
          <w:color w:val="231F20"/>
          <w:spacing w:val="-11"/>
        </w:rPr>
        <w:t> </w:t>
      </w:r>
      <w:r>
        <w:rPr>
          <w:color w:val="231F20"/>
          <w:spacing w:val="-2"/>
        </w:rPr>
        <w:t>as</w:t>
      </w:r>
      <w:r>
        <w:rPr>
          <w:color w:val="231F20"/>
          <w:spacing w:val="-11"/>
        </w:rPr>
        <w:t> </w:t>
      </w:r>
      <w:r>
        <w:rPr>
          <w:color w:val="231F20"/>
          <w:spacing w:val="-2"/>
        </w:rPr>
        <w:t>more </w:t>
      </w:r>
      <w:r>
        <w:rPr>
          <w:color w:val="231F20"/>
        </w:rPr>
        <w:t>than</w:t>
      </w:r>
      <w:r>
        <w:rPr>
          <w:color w:val="231F20"/>
          <w:spacing w:val="-3"/>
        </w:rPr>
        <w:t> </w:t>
      </w:r>
      <w:r>
        <w:rPr>
          <w:color w:val="231F20"/>
        </w:rPr>
        <w:t>4</w:t>
      </w:r>
      <w:r>
        <w:rPr>
          <w:color w:val="231F20"/>
          <w:spacing w:val="-3"/>
        </w:rPr>
        <w:t> </w:t>
      </w:r>
      <w:r>
        <w:rPr>
          <w:color w:val="231F20"/>
        </w:rPr>
        <w:t>days.</w:t>
      </w:r>
      <w:r>
        <w:rPr>
          <w:color w:val="231F20"/>
          <w:spacing w:val="-3"/>
        </w:rPr>
        <w:t> </w:t>
      </w:r>
      <w:r>
        <w:rPr>
          <w:color w:val="231F20"/>
        </w:rPr>
        <w:t>There</w:t>
      </w:r>
      <w:r>
        <w:rPr>
          <w:color w:val="231F20"/>
          <w:spacing w:val="-3"/>
        </w:rPr>
        <w:t> </w:t>
      </w:r>
      <w:r>
        <w:rPr>
          <w:color w:val="231F20"/>
        </w:rPr>
        <w:t>is</w:t>
      </w:r>
      <w:r>
        <w:rPr>
          <w:color w:val="231F20"/>
          <w:spacing w:val="-3"/>
        </w:rPr>
        <w:t> </w:t>
      </w:r>
      <w:r>
        <w:rPr>
          <w:color w:val="231F20"/>
        </w:rPr>
        <w:t>substantial</w:t>
      </w:r>
      <w:r>
        <w:rPr>
          <w:color w:val="231F20"/>
          <w:spacing w:val="-3"/>
        </w:rPr>
        <w:t> </w:t>
      </w:r>
      <w:r>
        <w:rPr>
          <w:color w:val="231F20"/>
        </w:rPr>
        <w:t>overlap</w:t>
      </w:r>
      <w:r>
        <w:rPr>
          <w:color w:val="231F20"/>
          <w:spacing w:val="-3"/>
        </w:rPr>
        <w:t> </w:t>
      </w:r>
      <w:r>
        <w:rPr>
          <w:color w:val="231F20"/>
        </w:rPr>
        <w:t>be- </w:t>
      </w:r>
      <w:r>
        <w:rPr>
          <w:color w:val="231F20"/>
          <w:spacing w:val="-2"/>
        </w:rPr>
        <w:t>tween</w:t>
      </w:r>
      <w:r>
        <w:rPr>
          <w:color w:val="231F20"/>
          <w:spacing w:val="-12"/>
        </w:rPr>
        <w:t> </w:t>
      </w:r>
      <w:r>
        <w:rPr>
          <w:color w:val="231F20"/>
          <w:spacing w:val="-2"/>
        </w:rPr>
        <w:t>countries</w:t>
      </w:r>
      <w:r>
        <w:rPr>
          <w:color w:val="231F20"/>
          <w:spacing w:val="-11"/>
        </w:rPr>
        <w:t> </w:t>
      </w:r>
      <w:r>
        <w:rPr>
          <w:color w:val="231F20"/>
          <w:spacing w:val="-2"/>
        </w:rPr>
        <w:t>with</w:t>
      </w:r>
      <w:r>
        <w:rPr>
          <w:color w:val="231F20"/>
          <w:spacing w:val="-11"/>
        </w:rPr>
        <w:t> </w:t>
      </w:r>
      <w:r>
        <w:rPr>
          <w:color w:val="231F20"/>
          <w:spacing w:val="-2"/>
        </w:rPr>
        <w:t>excessive</w:t>
      </w:r>
      <w:r>
        <w:rPr>
          <w:color w:val="231F20"/>
          <w:spacing w:val="-11"/>
        </w:rPr>
        <w:t> </w:t>
      </w:r>
      <w:r>
        <w:rPr>
          <w:color w:val="231F20"/>
          <w:spacing w:val="-2"/>
        </w:rPr>
        <w:t>dwell</w:t>
      </w:r>
      <w:r>
        <w:rPr>
          <w:color w:val="231F20"/>
          <w:spacing w:val="-11"/>
        </w:rPr>
        <w:t> </w:t>
      </w:r>
      <w:r>
        <w:rPr>
          <w:color w:val="231F20"/>
          <w:spacing w:val="-2"/>
        </w:rPr>
        <w:t>times</w:t>
      </w:r>
      <w:r>
        <w:rPr>
          <w:color w:val="231F20"/>
          <w:spacing w:val="-11"/>
        </w:rPr>
        <w:t> </w:t>
      </w:r>
      <w:r>
        <w:rPr>
          <w:color w:val="231F20"/>
          <w:spacing w:val="-2"/>
        </w:rPr>
        <w:t>in each</w:t>
      </w:r>
      <w:r>
        <w:rPr>
          <w:color w:val="231F20"/>
          <w:spacing w:val="-6"/>
        </w:rPr>
        <w:t> </w:t>
      </w:r>
      <w:r>
        <w:rPr>
          <w:color w:val="231F20"/>
          <w:spacing w:val="-2"/>
        </w:rPr>
        <w:t>mode,</w:t>
      </w:r>
      <w:r>
        <w:rPr>
          <w:color w:val="231F20"/>
          <w:spacing w:val="-6"/>
        </w:rPr>
        <w:t> </w:t>
      </w:r>
      <w:r>
        <w:rPr>
          <w:color w:val="231F20"/>
          <w:spacing w:val="-2"/>
        </w:rPr>
        <w:t>which</w:t>
      </w:r>
      <w:r>
        <w:rPr>
          <w:color w:val="231F20"/>
          <w:spacing w:val="-6"/>
        </w:rPr>
        <w:t> </w:t>
      </w:r>
      <w:r>
        <w:rPr>
          <w:color w:val="231F20"/>
          <w:spacing w:val="-2"/>
        </w:rPr>
        <w:t>points</w:t>
      </w:r>
      <w:r>
        <w:rPr>
          <w:color w:val="231F20"/>
          <w:spacing w:val="-6"/>
        </w:rPr>
        <w:t> </w:t>
      </w:r>
      <w:r>
        <w:rPr>
          <w:color w:val="231F20"/>
          <w:spacing w:val="-2"/>
        </w:rPr>
        <w:t>to</w:t>
      </w:r>
      <w:r>
        <w:rPr>
          <w:color w:val="231F20"/>
          <w:spacing w:val="-6"/>
        </w:rPr>
        <w:t> </w:t>
      </w:r>
      <w:r>
        <w:rPr>
          <w:color w:val="231F20"/>
          <w:spacing w:val="-2"/>
        </w:rPr>
        <w:t>serious</w:t>
      </w:r>
      <w:r>
        <w:rPr>
          <w:color w:val="231F20"/>
          <w:spacing w:val="-6"/>
        </w:rPr>
        <w:t> </w:t>
      </w:r>
      <w:r>
        <w:rPr>
          <w:color w:val="231F20"/>
          <w:spacing w:val="-2"/>
        </w:rPr>
        <w:t>structural </w:t>
      </w:r>
      <w:r>
        <w:rPr>
          <w:color w:val="231F20"/>
          <w:spacing w:val="-4"/>
        </w:rPr>
        <w:t>issues with logistics performance. In line with </w:t>
      </w:r>
      <w:r>
        <w:rPr>
          <w:color w:val="231F20"/>
          <w:spacing w:val="-2"/>
        </w:rPr>
        <w:t>expectations,</w:t>
      </w:r>
      <w:r>
        <w:rPr>
          <w:color w:val="231F20"/>
          <w:spacing w:val="-12"/>
        </w:rPr>
        <w:t> </w:t>
      </w:r>
      <w:r>
        <w:rPr>
          <w:color w:val="231F20"/>
          <w:spacing w:val="-2"/>
        </w:rPr>
        <w:t>airport</w:t>
      </w:r>
      <w:r>
        <w:rPr>
          <w:color w:val="231F20"/>
          <w:spacing w:val="-11"/>
        </w:rPr>
        <w:t> </w:t>
      </w:r>
      <w:r>
        <w:rPr>
          <w:color w:val="231F20"/>
          <w:spacing w:val="-2"/>
        </w:rPr>
        <w:t>delays</w:t>
      </w:r>
      <w:r>
        <w:rPr>
          <w:color w:val="231F20"/>
          <w:spacing w:val="-11"/>
        </w:rPr>
        <w:t> </w:t>
      </w:r>
      <w:r>
        <w:rPr>
          <w:color w:val="231F20"/>
          <w:spacing w:val="-2"/>
        </w:rPr>
        <w:t>are</w:t>
      </w:r>
      <w:r>
        <w:rPr>
          <w:color w:val="231F20"/>
          <w:spacing w:val="-11"/>
        </w:rPr>
        <w:t> </w:t>
      </w:r>
      <w:r>
        <w:rPr>
          <w:color w:val="231F20"/>
          <w:spacing w:val="-2"/>
        </w:rPr>
        <w:t>one-quarter</w:t>
      </w:r>
      <w:r>
        <w:rPr>
          <w:color w:val="231F20"/>
          <w:spacing w:val="-11"/>
        </w:rPr>
        <w:t> </w:t>
      </w:r>
      <w:r>
        <w:rPr>
          <w:color w:val="231F20"/>
          <w:spacing w:val="-2"/>
        </w:rPr>
        <w:t>to </w:t>
      </w:r>
      <w:r>
        <w:rPr>
          <w:color w:val="231F20"/>
        </w:rPr>
        <w:t>one-half</w:t>
      </w:r>
      <w:r>
        <w:rPr>
          <w:color w:val="231F20"/>
          <w:spacing w:val="-14"/>
        </w:rPr>
        <w:t> </w:t>
      </w:r>
      <w:r>
        <w:rPr>
          <w:color w:val="231F20"/>
        </w:rPr>
        <w:t>as</w:t>
      </w:r>
      <w:r>
        <w:rPr>
          <w:color w:val="231F20"/>
          <w:spacing w:val="-13"/>
        </w:rPr>
        <w:t> </w:t>
      </w:r>
      <w:r>
        <w:rPr>
          <w:color w:val="231F20"/>
        </w:rPr>
        <w:t>long</w:t>
      </w:r>
      <w:r>
        <w:rPr>
          <w:color w:val="231F20"/>
          <w:spacing w:val="-13"/>
        </w:rPr>
        <w:t> </w:t>
      </w:r>
      <w:r>
        <w:rPr>
          <w:color w:val="231F20"/>
        </w:rPr>
        <w:t>as</w:t>
      </w:r>
      <w:r>
        <w:rPr>
          <w:color w:val="231F20"/>
          <w:spacing w:val="-13"/>
        </w:rPr>
        <w:t> </w:t>
      </w:r>
      <w:r>
        <w:rPr>
          <w:color w:val="231F20"/>
        </w:rPr>
        <w:t>port</w:t>
      </w:r>
      <w:r>
        <w:rPr>
          <w:color w:val="231F20"/>
          <w:spacing w:val="-13"/>
        </w:rPr>
        <w:t> </w:t>
      </w:r>
      <w:r>
        <w:rPr>
          <w:color w:val="231F20"/>
        </w:rPr>
        <w:t>delays.</w:t>
      </w:r>
    </w:p>
    <w:p>
      <w:pPr>
        <w:spacing w:after="0" w:line="268" w:lineRule="auto"/>
        <w:jc w:val="both"/>
        <w:sectPr>
          <w:type w:val="continuous"/>
          <w:pgSz w:w="12240" w:h="15840"/>
          <w:pgMar w:header="0" w:footer="548" w:top="1140" w:bottom="280" w:left="0" w:right="540"/>
          <w:cols w:num="2" w:equalWidth="0">
            <w:col w:w="4922" w:space="40"/>
            <w:col w:w="6738"/>
          </w:cols>
        </w:sectPr>
      </w:pPr>
    </w:p>
    <w:p>
      <w:pPr>
        <w:pStyle w:val="BodyText"/>
        <w:rPr>
          <w:sz w:val="20"/>
        </w:rPr>
      </w:pPr>
    </w:p>
    <w:p>
      <w:pPr>
        <w:pStyle w:val="BodyText"/>
        <w:rPr>
          <w:sz w:val="20"/>
        </w:rPr>
      </w:pPr>
    </w:p>
    <w:p>
      <w:pPr>
        <w:pStyle w:val="BodyText"/>
        <w:spacing w:before="37"/>
        <w:rPr>
          <w:sz w:val="20"/>
        </w:rPr>
      </w:pPr>
    </w:p>
    <w:p>
      <w:pPr>
        <w:spacing w:after="0"/>
        <w:rPr>
          <w:sz w:val="20"/>
        </w:rPr>
        <w:sectPr>
          <w:pgSz w:w="12240" w:h="15840"/>
          <w:pgMar w:header="0" w:footer="548" w:top="560" w:bottom="740" w:left="0" w:right="540"/>
        </w:sectPr>
      </w:pPr>
    </w:p>
    <w:p>
      <w:pPr>
        <w:spacing w:line="280" w:lineRule="auto" w:before="105"/>
        <w:ind w:left="3360" w:right="20" w:firstLine="0"/>
        <w:jc w:val="left"/>
        <w:rPr>
          <w:rFonts w:ascii="Arial"/>
          <w:b/>
          <w:sz w:val="20"/>
        </w:rPr>
      </w:pPr>
      <w:bookmarkStart w:name="_bookmark30" w:id="33"/>
      <w:bookmarkEnd w:id="33"/>
      <w:r>
        <w:rPr/>
      </w:r>
      <w:bookmarkStart w:name="_bookmark29" w:id="34"/>
      <w:bookmarkEnd w:id="34"/>
      <w:r>
        <w:rPr/>
      </w:r>
      <w:r>
        <w:rPr>
          <w:rFonts w:ascii="Arial"/>
          <w:b/>
          <w:color w:val="231F20"/>
          <w:w w:val="105"/>
          <w:sz w:val="20"/>
        </w:rPr>
        <w:t>Which interventions help reduce these delays?</w:t>
      </w:r>
    </w:p>
    <w:p>
      <w:pPr>
        <w:pStyle w:val="BodyText"/>
        <w:spacing w:before="33"/>
        <w:rPr>
          <w:rFonts w:ascii="Arial"/>
          <w:b/>
          <w:sz w:val="20"/>
        </w:rPr>
      </w:pPr>
    </w:p>
    <w:p>
      <w:pPr>
        <w:pStyle w:val="BodyText"/>
        <w:spacing w:line="268" w:lineRule="auto" w:before="1"/>
        <w:ind w:left="3360"/>
        <w:jc w:val="both"/>
      </w:pPr>
      <w:r>
        <w:rPr>
          <w:color w:val="231F20"/>
          <w:w w:val="90"/>
        </w:rPr>
        <w:t>The speed of trade can be boosted by combining </w:t>
      </w:r>
      <w:r>
        <w:rPr>
          <w:color w:val="231F20"/>
          <w:spacing w:val="-6"/>
        </w:rPr>
        <w:t>policy</w:t>
      </w:r>
      <w:r>
        <w:rPr>
          <w:color w:val="231F20"/>
          <w:spacing w:val="-7"/>
        </w:rPr>
        <w:t> </w:t>
      </w:r>
      <w:r>
        <w:rPr>
          <w:color w:val="231F20"/>
          <w:spacing w:val="-6"/>
        </w:rPr>
        <w:t>interventions</w:t>
      </w:r>
      <w:r>
        <w:rPr>
          <w:color w:val="231F20"/>
          <w:spacing w:val="-7"/>
        </w:rPr>
        <w:t> </w:t>
      </w:r>
      <w:r>
        <w:rPr>
          <w:color w:val="231F20"/>
          <w:spacing w:val="-6"/>
        </w:rPr>
        <w:t>in</w:t>
      </w:r>
      <w:r>
        <w:rPr>
          <w:color w:val="231F20"/>
          <w:spacing w:val="-7"/>
        </w:rPr>
        <w:t> </w:t>
      </w:r>
      <w:r>
        <w:rPr>
          <w:color w:val="231F20"/>
          <w:spacing w:val="-6"/>
        </w:rPr>
        <w:t>the</w:t>
      </w:r>
      <w:r>
        <w:rPr>
          <w:color w:val="231F20"/>
          <w:spacing w:val="-7"/>
        </w:rPr>
        <w:t> </w:t>
      </w:r>
      <w:r>
        <w:rPr>
          <w:color w:val="231F20"/>
          <w:spacing w:val="-6"/>
        </w:rPr>
        <w:t>LPI</w:t>
      </w:r>
      <w:r>
        <w:rPr>
          <w:color w:val="231F20"/>
          <w:spacing w:val="-7"/>
        </w:rPr>
        <w:t> </w:t>
      </w:r>
      <w:r>
        <w:rPr>
          <w:color w:val="231F20"/>
          <w:spacing w:val="-6"/>
        </w:rPr>
        <w:t>pillars</w:t>
      </w:r>
      <w:r>
        <w:rPr>
          <w:color w:val="231F20"/>
          <w:spacing w:val="-7"/>
        </w:rPr>
        <w:t> </w:t>
      </w:r>
      <w:r>
        <w:rPr>
          <w:color w:val="231F20"/>
          <w:spacing w:val="-6"/>
        </w:rPr>
        <w:t>related</w:t>
      </w:r>
      <w:r>
        <w:rPr>
          <w:color w:val="231F20"/>
          <w:spacing w:val="-7"/>
        </w:rPr>
        <w:t> </w:t>
      </w:r>
      <w:r>
        <w:rPr>
          <w:color w:val="231F20"/>
          <w:spacing w:val="-6"/>
        </w:rPr>
        <w:t>to </w:t>
      </w:r>
      <w:r>
        <w:rPr>
          <w:color w:val="231F20"/>
          <w:spacing w:val="-4"/>
        </w:rPr>
        <w:t>infrastructure, customs, logistics competence, </w:t>
      </w:r>
      <w:r>
        <w:rPr>
          <w:color w:val="231F20"/>
        </w:rPr>
        <w:t>and</w:t>
      </w:r>
      <w:r>
        <w:rPr>
          <w:color w:val="231F20"/>
          <w:spacing w:val="-2"/>
        </w:rPr>
        <w:t> </w:t>
      </w:r>
      <w:r>
        <w:rPr>
          <w:color w:val="231F20"/>
        </w:rPr>
        <w:t>tracking</w:t>
      </w:r>
      <w:r>
        <w:rPr>
          <w:color w:val="231F20"/>
          <w:spacing w:val="-2"/>
        </w:rPr>
        <w:t> </w:t>
      </w:r>
      <w:r>
        <w:rPr>
          <w:color w:val="231F20"/>
        </w:rPr>
        <w:t>and</w:t>
      </w:r>
      <w:r>
        <w:rPr>
          <w:color w:val="231F20"/>
          <w:spacing w:val="-2"/>
        </w:rPr>
        <w:t> </w:t>
      </w:r>
      <w:r>
        <w:rPr>
          <w:color w:val="231F20"/>
        </w:rPr>
        <w:t>tracing.</w:t>
      </w:r>
      <w:r>
        <w:rPr>
          <w:color w:val="231F20"/>
          <w:spacing w:val="-2"/>
        </w:rPr>
        <w:t> </w:t>
      </w:r>
      <w:r>
        <w:rPr>
          <w:color w:val="231F20"/>
        </w:rPr>
        <w:t>Diagnosis</w:t>
      </w:r>
      <w:r>
        <w:rPr>
          <w:color w:val="231F20"/>
          <w:spacing w:val="-2"/>
        </w:rPr>
        <w:t> </w:t>
      </w:r>
      <w:r>
        <w:rPr>
          <w:color w:val="231F20"/>
        </w:rPr>
        <w:t>must</w:t>
      </w:r>
      <w:r>
        <w:rPr>
          <w:color w:val="231F20"/>
          <w:spacing w:val="-2"/>
        </w:rPr>
        <w:t> </w:t>
      </w:r>
      <w:r>
        <w:rPr>
          <w:color w:val="231F20"/>
        </w:rPr>
        <w:t>be implemented on a country or even port/cor- </w:t>
      </w:r>
      <w:r>
        <w:rPr>
          <w:color w:val="231F20"/>
          <w:spacing w:val="-2"/>
        </w:rPr>
        <w:t>ridor</w:t>
      </w:r>
      <w:r>
        <w:rPr>
          <w:color w:val="231F20"/>
          <w:spacing w:val="-9"/>
        </w:rPr>
        <w:t> </w:t>
      </w:r>
      <w:r>
        <w:rPr>
          <w:color w:val="231F20"/>
          <w:spacing w:val="-2"/>
        </w:rPr>
        <w:t>basis</w:t>
      </w:r>
      <w:r>
        <w:rPr>
          <w:color w:val="231F20"/>
          <w:spacing w:val="-9"/>
        </w:rPr>
        <w:t> </w:t>
      </w:r>
      <w:r>
        <w:rPr>
          <w:color w:val="231F20"/>
          <w:spacing w:val="-2"/>
        </w:rPr>
        <w:t>to</w:t>
      </w:r>
      <w:r>
        <w:rPr>
          <w:color w:val="231F20"/>
          <w:spacing w:val="-9"/>
        </w:rPr>
        <w:t> </w:t>
      </w:r>
      <w:r>
        <w:rPr>
          <w:color w:val="231F20"/>
          <w:spacing w:val="-2"/>
        </w:rPr>
        <w:t>identify</w:t>
      </w:r>
      <w:r>
        <w:rPr>
          <w:color w:val="231F20"/>
          <w:spacing w:val="-9"/>
        </w:rPr>
        <w:t> </w:t>
      </w:r>
      <w:r>
        <w:rPr>
          <w:color w:val="231F20"/>
          <w:spacing w:val="-2"/>
        </w:rPr>
        <w:t>binding</w:t>
      </w:r>
      <w:r>
        <w:rPr>
          <w:color w:val="231F20"/>
          <w:spacing w:val="-9"/>
        </w:rPr>
        <w:t> </w:t>
      </w:r>
      <w:r>
        <w:rPr>
          <w:color w:val="231F20"/>
          <w:spacing w:val="-2"/>
        </w:rPr>
        <w:t>constraints</w:t>
      </w:r>
      <w:r>
        <w:rPr>
          <w:color w:val="231F20"/>
          <w:spacing w:val="-9"/>
        </w:rPr>
        <w:t> </w:t>
      </w:r>
      <w:r>
        <w:rPr>
          <w:color w:val="231F20"/>
          <w:spacing w:val="-2"/>
        </w:rPr>
        <w:t>and </w:t>
      </w:r>
      <w:r>
        <w:rPr>
          <w:color w:val="231F20"/>
        </w:rPr>
        <w:t>prioritize</w:t>
      </w:r>
      <w:r>
        <w:rPr>
          <w:color w:val="231F20"/>
          <w:spacing w:val="-14"/>
        </w:rPr>
        <w:t> </w:t>
      </w:r>
      <w:r>
        <w:rPr>
          <w:color w:val="231F20"/>
        </w:rPr>
        <w:t>interventions.</w:t>
      </w:r>
    </w:p>
    <w:p>
      <w:pPr>
        <w:pStyle w:val="BodyText"/>
        <w:spacing w:line="266" w:lineRule="auto"/>
        <w:ind w:left="3360" w:firstLine="300"/>
        <w:jc w:val="both"/>
        <w:rPr>
          <w:sz w:val="14"/>
        </w:rPr>
      </w:pPr>
      <w:r>
        <w:rPr>
          <w:color w:val="231F20"/>
          <w:spacing w:val="-2"/>
        </w:rPr>
        <w:t>A</w:t>
      </w:r>
      <w:r>
        <w:rPr>
          <w:color w:val="231F20"/>
          <w:spacing w:val="-12"/>
        </w:rPr>
        <w:t> </w:t>
      </w:r>
      <w:r>
        <w:rPr>
          <w:color w:val="231F20"/>
          <w:spacing w:val="-2"/>
        </w:rPr>
        <w:t>combination</w:t>
      </w:r>
      <w:r>
        <w:rPr>
          <w:color w:val="231F20"/>
          <w:spacing w:val="-11"/>
        </w:rPr>
        <w:t> </w:t>
      </w:r>
      <w:r>
        <w:rPr>
          <w:color w:val="231F20"/>
          <w:spacing w:val="-2"/>
        </w:rPr>
        <w:t>of</w:t>
      </w:r>
      <w:r>
        <w:rPr>
          <w:color w:val="231F20"/>
          <w:spacing w:val="-11"/>
        </w:rPr>
        <w:t> </w:t>
      </w:r>
      <w:r>
        <w:rPr>
          <w:color w:val="231F20"/>
          <w:spacing w:val="-2"/>
        </w:rPr>
        <w:t>reforms</w:t>
      </w:r>
      <w:r>
        <w:rPr>
          <w:color w:val="231F20"/>
          <w:spacing w:val="-11"/>
        </w:rPr>
        <w:t> </w:t>
      </w:r>
      <w:r>
        <w:rPr>
          <w:color w:val="231F20"/>
          <w:spacing w:val="-2"/>
        </w:rPr>
        <w:t>to</w:t>
      </w:r>
      <w:r>
        <w:rPr>
          <w:color w:val="231F20"/>
          <w:spacing w:val="-11"/>
        </w:rPr>
        <w:t> </w:t>
      </w:r>
      <w:r>
        <w:rPr>
          <w:color w:val="231F20"/>
          <w:spacing w:val="-2"/>
        </w:rPr>
        <w:t>enhance</w:t>
      </w:r>
      <w:r>
        <w:rPr>
          <w:color w:val="231F20"/>
          <w:spacing w:val="-11"/>
        </w:rPr>
        <w:t> </w:t>
      </w:r>
      <w:r>
        <w:rPr>
          <w:color w:val="231F20"/>
          <w:spacing w:val="-2"/>
        </w:rPr>
        <w:t>port </w:t>
      </w:r>
      <w:r>
        <w:rPr>
          <w:color w:val="231F20"/>
          <w:spacing w:val="-6"/>
        </w:rPr>
        <w:t>productivity, including private sector participa- </w:t>
      </w:r>
      <w:r>
        <w:rPr>
          <w:color w:val="231F20"/>
          <w:spacing w:val="-2"/>
        </w:rPr>
        <w:t>tion</w:t>
      </w:r>
      <w:r>
        <w:rPr>
          <w:color w:val="231F20"/>
          <w:spacing w:val="-12"/>
        </w:rPr>
        <w:t> </w:t>
      </w:r>
      <w:r>
        <w:rPr>
          <w:color w:val="231F20"/>
          <w:spacing w:val="-2"/>
        </w:rPr>
        <w:t>in</w:t>
      </w:r>
      <w:r>
        <w:rPr>
          <w:color w:val="231F20"/>
          <w:spacing w:val="-11"/>
        </w:rPr>
        <w:t> </w:t>
      </w:r>
      <w:r>
        <w:rPr>
          <w:color w:val="231F20"/>
          <w:spacing w:val="-2"/>
        </w:rPr>
        <w:t>terminal</w:t>
      </w:r>
      <w:r>
        <w:rPr>
          <w:color w:val="231F20"/>
          <w:spacing w:val="-11"/>
        </w:rPr>
        <w:t> </w:t>
      </w:r>
      <w:r>
        <w:rPr>
          <w:color w:val="231F20"/>
          <w:spacing w:val="-2"/>
        </w:rPr>
        <w:t>operations,</w:t>
      </w:r>
      <w:r>
        <w:rPr>
          <w:color w:val="231F20"/>
          <w:spacing w:val="-11"/>
        </w:rPr>
        <w:t> </w:t>
      </w:r>
      <w:r>
        <w:rPr>
          <w:color w:val="231F20"/>
          <w:spacing w:val="-2"/>
        </w:rPr>
        <w:t>could</w:t>
      </w:r>
      <w:r>
        <w:rPr>
          <w:color w:val="231F20"/>
          <w:spacing w:val="-11"/>
        </w:rPr>
        <w:t> </w:t>
      </w:r>
      <w:r>
        <w:rPr>
          <w:color w:val="231F20"/>
          <w:spacing w:val="-2"/>
        </w:rPr>
        <w:t>improve</w:t>
      </w:r>
      <w:r>
        <w:rPr>
          <w:color w:val="231F20"/>
          <w:spacing w:val="-11"/>
        </w:rPr>
        <w:t> </w:t>
      </w:r>
      <w:r>
        <w:rPr>
          <w:color w:val="231F20"/>
          <w:spacing w:val="-2"/>
        </w:rPr>
        <w:t>the situation</w:t>
      </w:r>
      <w:r>
        <w:rPr>
          <w:color w:val="231F20"/>
          <w:spacing w:val="-5"/>
        </w:rPr>
        <w:t> </w:t>
      </w:r>
      <w:r>
        <w:rPr>
          <w:color w:val="231F20"/>
          <w:spacing w:val="-2"/>
        </w:rPr>
        <w:t>in</w:t>
      </w:r>
      <w:r>
        <w:rPr>
          <w:color w:val="231F20"/>
          <w:spacing w:val="-5"/>
        </w:rPr>
        <w:t> </w:t>
      </w:r>
      <w:r>
        <w:rPr>
          <w:color w:val="231F20"/>
          <w:spacing w:val="-2"/>
        </w:rPr>
        <w:t>outlier</w:t>
      </w:r>
      <w:r>
        <w:rPr>
          <w:color w:val="231F20"/>
          <w:spacing w:val="-5"/>
        </w:rPr>
        <w:t> </w:t>
      </w:r>
      <w:r>
        <w:rPr>
          <w:color w:val="231F20"/>
          <w:spacing w:val="-2"/>
        </w:rPr>
        <w:t>countries.</w:t>
      </w:r>
      <w:r>
        <w:rPr>
          <w:color w:val="231F20"/>
          <w:spacing w:val="-2"/>
          <w:position w:val="7"/>
          <w:sz w:val="14"/>
        </w:rPr>
        <w:t>29</w:t>
      </w:r>
      <w:r>
        <w:rPr>
          <w:color w:val="231F20"/>
          <w:spacing w:val="12"/>
          <w:position w:val="7"/>
          <w:sz w:val="14"/>
        </w:rPr>
        <w:t> </w:t>
      </w:r>
      <w:r>
        <w:rPr>
          <w:color w:val="231F20"/>
          <w:spacing w:val="-2"/>
        </w:rPr>
        <w:t>Implementing </w:t>
      </w:r>
      <w:r>
        <w:rPr>
          <w:color w:val="231F20"/>
        </w:rPr>
        <w:t>electronic port community systems also im- </w:t>
      </w:r>
      <w:r>
        <w:rPr>
          <w:color w:val="231F20"/>
          <w:spacing w:val="-4"/>
        </w:rPr>
        <w:t>proves</w:t>
      </w:r>
      <w:r>
        <w:rPr>
          <w:color w:val="231F20"/>
          <w:spacing w:val="-6"/>
        </w:rPr>
        <w:t> </w:t>
      </w:r>
      <w:r>
        <w:rPr>
          <w:color w:val="231F20"/>
          <w:spacing w:val="-4"/>
        </w:rPr>
        <w:t>performance</w:t>
      </w:r>
      <w:r>
        <w:rPr>
          <w:color w:val="231F20"/>
          <w:spacing w:val="-6"/>
        </w:rPr>
        <w:t> </w:t>
      </w:r>
      <w:r>
        <w:rPr>
          <w:color w:val="231F20"/>
          <w:spacing w:val="-4"/>
        </w:rPr>
        <w:t>by</w:t>
      </w:r>
      <w:r>
        <w:rPr>
          <w:color w:val="231F20"/>
          <w:spacing w:val="-6"/>
        </w:rPr>
        <w:t> </w:t>
      </w:r>
      <w:r>
        <w:rPr>
          <w:color w:val="231F20"/>
          <w:spacing w:val="-4"/>
        </w:rPr>
        <w:t>facilitating</w:t>
      </w:r>
      <w:r>
        <w:rPr>
          <w:color w:val="231F20"/>
          <w:spacing w:val="-6"/>
        </w:rPr>
        <w:t> </w:t>
      </w:r>
      <w:r>
        <w:rPr>
          <w:color w:val="231F20"/>
          <w:spacing w:val="-4"/>
        </w:rPr>
        <w:t>the</w:t>
      </w:r>
      <w:r>
        <w:rPr>
          <w:color w:val="231F20"/>
          <w:spacing w:val="-6"/>
        </w:rPr>
        <w:t> </w:t>
      </w:r>
      <w:r>
        <w:rPr>
          <w:color w:val="231F20"/>
          <w:spacing w:val="-4"/>
        </w:rPr>
        <w:t>flow</w:t>
      </w:r>
      <w:r>
        <w:rPr>
          <w:color w:val="231F20"/>
          <w:spacing w:val="-6"/>
        </w:rPr>
        <w:t> </w:t>
      </w:r>
      <w:r>
        <w:rPr>
          <w:color w:val="231F20"/>
          <w:spacing w:val="-4"/>
        </w:rPr>
        <w:t>of </w:t>
      </w:r>
      <w:r>
        <w:rPr>
          <w:color w:val="231F20"/>
          <w:spacing w:val="-6"/>
        </w:rPr>
        <w:t>information</w:t>
      </w:r>
      <w:r>
        <w:rPr>
          <w:color w:val="231F20"/>
          <w:spacing w:val="-8"/>
        </w:rPr>
        <w:t> </w:t>
      </w:r>
      <w:r>
        <w:rPr>
          <w:color w:val="231F20"/>
          <w:spacing w:val="-6"/>
        </w:rPr>
        <w:t>between</w:t>
      </w:r>
      <w:r>
        <w:rPr>
          <w:color w:val="231F20"/>
          <w:spacing w:val="-7"/>
        </w:rPr>
        <w:t> </w:t>
      </w:r>
      <w:r>
        <w:rPr>
          <w:color w:val="231F20"/>
          <w:spacing w:val="-6"/>
        </w:rPr>
        <w:t>the</w:t>
      </w:r>
      <w:r>
        <w:rPr>
          <w:color w:val="231F20"/>
          <w:spacing w:val="-7"/>
        </w:rPr>
        <w:t> </w:t>
      </w:r>
      <w:r>
        <w:rPr>
          <w:color w:val="231F20"/>
          <w:spacing w:val="-6"/>
        </w:rPr>
        <w:t>numerous</w:t>
      </w:r>
      <w:r>
        <w:rPr>
          <w:color w:val="231F20"/>
          <w:spacing w:val="-7"/>
        </w:rPr>
        <w:t> </w:t>
      </w:r>
      <w:r>
        <w:rPr>
          <w:color w:val="231F20"/>
          <w:spacing w:val="-6"/>
        </w:rPr>
        <w:t>participants </w:t>
      </w:r>
      <w:r>
        <w:rPr>
          <w:color w:val="231F20"/>
        </w:rPr>
        <w:t>in port logistics.</w:t>
      </w:r>
      <w:r>
        <w:rPr>
          <w:color w:val="231F20"/>
          <w:position w:val="7"/>
          <w:sz w:val="14"/>
        </w:rPr>
        <w:t>30</w:t>
      </w:r>
      <w:r>
        <w:rPr>
          <w:color w:val="231F20"/>
          <w:spacing w:val="40"/>
          <w:position w:val="7"/>
          <w:sz w:val="14"/>
        </w:rPr>
        <w:t> </w:t>
      </w:r>
      <w:r>
        <w:rPr>
          <w:color w:val="231F20"/>
        </w:rPr>
        <w:t>Many underperforming countries</w:t>
      </w:r>
      <w:r>
        <w:rPr>
          <w:color w:val="231F20"/>
          <w:spacing w:val="-14"/>
        </w:rPr>
        <w:t> </w:t>
      </w:r>
      <w:r>
        <w:rPr>
          <w:color w:val="231F20"/>
        </w:rPr>
        <w:t>have</w:t>
      </w:r>
      <w:r>
        <w:rPr>
          <w:color w:val="231F20"/>
          <w:spacing w:val="-13"/>
        </w:rPr>
        <w:t> </w:t>
      </w:r>
      <w:r>
        <w:rPr>
          <w:color w:val="231F20"/>
        </w:rPr>
        <w:t>yet</w:t>
      </w:r>
      <w:r>
        <w:rPr>
          <w:color w:val="231F20"/>
          <w:spacing w:val="-13"/>
        </w:rPr>
        <w:t> </w:t>
      </w:r>
      <w:r>
        <w:rPr>
          <w:color w:val="231F20"/>
        </w:rPr>
        <w:t>to</w:t>
      </w:r>
      <w:r>
        <w:rPr>
          <w:color w:val="231F20"/>
          <w:spacing w:val="-13"/>
        </w:rPr>
        <w:t> </w:t>
      </w:r>
      <w:r>
        <w:rPr>
          <w:color w:val="231F20"/>
        </w:rPr>
        <w:t>modernize</w:t>
      </w:r>
      <w:r>
        <w:rPr>
          <w:color w:val="231F20"/>
          <w:spacing w:val="-13"/>
        </w:rPr>
        <w:t> </w:t>
      </w:r>
      <w:r>
        <w:rPr>
          <w:color w:val="231F20"/>
        </w:rPr>
        <w:t>customs</w:t>
      </w:r>
      <w:r>
        <w:rPr>
          <w:color w:val="231F20"/>
          <w:spacing w:val="-13"/>
        </w:rPr>
        <w:t> </w:t>
      </w:r>
      <w:r>
        <w:rPr>
          <w:color w:val="231F20"/>
        </w:rPr>
        <w:t>and </w:t>
      </w:r>
      <w:r>
        <w:rPr>
          <w:color w:val="231F20"/>
          <w:w w:val="90"/>
        </w:rPr>
        <w:t>border agencies with a focus on automation, risk </w:t>
      </w:r>
      <w:r>
        <w:rPr>
          <w:color w:val="231F20"/>
        </w:rPr>
        <w:t>management, and integrity.</w:t>
      </w:r>
      <w:r>
        <w:rPr>
          <w:color w:val="231F20"/>
          <w:position w:val="7"/>
          <w:sz w:val="14"/>
        </w:rPr>
        <w:t>31</w:t>
      </w:r>
    </w:p>
    <w:p>
      <w:pPr>
        <w:pStyle w:val="BodyText"/>
        <w:spacing w:line="268" w:lineRule="auto" w:before="4"/>
        <w:ind w:left="3360" w:firstLine="300"/>
        <w:jc w:val="both"/>
      </w:pPr>
      <w:r>
        <w:rPr>
          <w:color w:val="231F20"/>
          <w:spacing w:val="-4"/>
        </w:rPr>
        <w:t>The</w:t>
      </w:r>
      <w:r>
        <w:rPr>
          <w:color w:val="231F20"/>
          <w:spacing w:val="-9"/>
        </w:rPr>
        <w:t> </w:t>
      </w:r>
      <w:r>
        <w:rPr>
          <w:color w:val="231F20"/>
          <w:spacing w:val="-4"/>
        </w:rPr>
        <w:t>emerging</w:t>
      </w:r>
      <w:r>
        <w:rPr>
          <w:color w:val="231F20"/>
          <w:spacing w:val="-9"/>
        </w:rPr>
        <w:t> </w:t>
      </w:r>
      <w:r>
        <w:rPr>
          <w:color w:val="231F20"/>
          <w:spacing w:val="-4"/>
        </w:rPr>
        <w:t>economies</w:t>
      </w:r>
      <w:r>
        <w:rPr>
          <w:color w:val="231F20"/>
          <w:spacing w:val="-9"/>
        </w:rPr>
        <w:t> </w:t>
      </w:r>
      <w:r>
        <w:rPr>
          <w:color w:val="231F20"/>
          <w:spacing w:val="-4"/>
        </w:rPr>
        <w:t>with</w:t>
      </w:r>
      <w:r>
        <w:rPr>
          <w:color w:val="231F20"/>
          <w:spacing w:val="-9"/>
        </w:rPr>
        <w:t> </w:t>
      </w:r>
      <w:r>
        <w:rPr>
          <w:color w:val="231F20"/>
          <w:spacing w:val="-4"/>
        </w:rPr>
        <w:t>the</w:t>
      </w:r>
      <w:r>
        <w:rPr>
          <w:color w:val="231F20"/>
          <w:spacing w:val="-9"/>
        </w:rPr>
        <w:t> </w:t>
      </w:r>
      <w:r>
        <w:rPr>
          <w:color w:val="231F20"/>
          <w:spacing w:val="-4"/>
        </w:rPr>
        <w:t>shortest </w:t>
      </w:r>
      <w:r>
        <w:rPr>
          <w:color w:val="231F20"/>
        </w:rPr>
        <w:t>delays</w:t>
      </w:r>
      <w:r>
        <w:rPr>
          <w:color w:val="231F20"/>
          <w:spacing w:val="-14"/>
        </w:rPr>
        <w:t> </w:t>
      </w:r>
      <w:r>
        <w:rPr>
          <w:color w:val="231F20"/>
        </w:rPr>
        <w:t>have</w:t>
      </w:r>
      <w:r>
        <w:rPr>
          <w:color w:val="231F20"/>
          <w:spacing w:val="-13"/>
        </w:rPr>
        <w:t> </w:t>
      </w:r>
      <w:r>
        <w:rPr>
          <w:color w:val="231F20"/>
        </w:rPr>
        <w:t>gone</w:t>
      </w:r>
      <w:r>
        <w:rPr>
          <w:color w:val="231F20"/>
          <w:spacing w:val="-13"/>
        </w:rPr>
        <w:t> </w:t>
      </w:r>
      <w:r>
        <w:rPr>
          <w:color w:val="231F20"/>
        </w:rPr>
        <w:t>beyond</w:t>
      </w:r>
      <w:r>
        <w:rPr>
          <w:color w:val="231F20"/>
          <w:spacing w:val="-13"/>
        </w:rPr>
        <w:t> </w:t>
      </w:r>
      <w:r>
        <w:rPr>
          <w:color w:val="231F20"/>
        </w:rPr>
        <w:t>these</w:t>
      </w:r>
      <w:r>
        <w:rPr>
          <w:color w:val="231F20"/>
          <w:spacing w:val="-13"/>
        </w:rPr>
        <w:t> </w:t>
      </w:r>
      <w:r>
        <w:rPr>
          <w:color w:val="231F20"/>
        </w:rPr>
        <w:t>packages</w:t>
      </w:r>
      <w:r>
        <w:rPr>
          <w:color w:val="231F20"/>
          <w:spacing w:val="-13"/>
        </w:rPr>
        <w:t> </w:t>
      </w:r>
      <w:r>
        <w:rPr>
          <w:color w:val="231F20"/>
        </w:rPr>
        <w:t>and </w:t>
      </w:r>
      <w:r>
        <w:rPr>
          <w:color w:val="231F20"/>
          <w:w w:val="90"/>
        </w:rPr>
        <w:t>have implemented bold tracking and tracing so- lutions. India’s very low dwell time (2.6 days) is </w:t>
      </w:r>
      <w:r>
        <w:rPr>
          <w:color w:val="231F20"/>
          <w:spacing w:val="-4"/>
        </w:rPr>
        <w:t>one</w:t>
      </w:r>
      <w:r>
        <w:rPr>
          <w:color w:val="231F20"/>
          <w:spacing w:val="-8"/>
        </w:rPr>
        <w:t> </w:t>
      </w:r>
      <w:r>
        <w:rPr>
          <w:color w:val="231F20"/>
          <w:spacing w:val="-4"/>
        </w:rPr>
        <w:t>example</w:t>
      </w:r>
      <w:r>
        <w:rPr>
          <w:color w:val="231F20"/>
          <w:spacing w:val="-8"/>
        </w:rPr>
        <w:t> </w:t>
      </w:r>
      <w:r>
        <w:rPr>
          <w:color w:val="231F20"/>
          <w:spacing w:val="-4"/>
        </w:rPr>
        <w:t>(see</w:t>
      </w:r>
      <w:r>
        <w:rPr>
          <w:color w:val="231F20"/>
          <w:spacing w:val="-8"/>
        </w:rPr>
        <w:t> </w:t>
      </w:r>
      <w:r>
        <w:rPr>
          <w:color w:val="231F20"/>
          <w:spacing w:val="-4"/>
        </w:rPr>
        <w:t>box</w:t>
      </w:r>
      <w:r>
        <w:rPr>
          <w:color w:val="231F20"/>
          <w:spacing w:val="-8"/>
        </w:rPr>
        <w:t> </w:t>
      </w:r>
      <w:r>
        <w:rPr>
          <w:color w:val="231F20"/>
          <w:spacing w:val="-4"/>
        </w:rPr>
        <w:t>3.2).</w:t>
      </w:r>
      <w:r>
        <w:rPr>
          <w:color w:val="231F20"/>
          <w:spacing w:val="-8"/>
        </w:rPr>
        <w:t> </w:t>
      </w:r>
      <w:r>
        <w:rPr>
          <w:color w:val="231F20"/>
          <w:spacing w:val="-4"/>
        </w:rPr>
        <w:t>The</w:t>
      </w:r>
      <w:r>
        <w:rPr>
          <w:color w:val="231F20"/>
          <w:spacing w:val="-8"/>
        </w:rPr>
        <w:t> </w:t>
      </w:r>
      <w:r>
        <w:rPr>
          <w:color w:val="231F20"/>
          <w:spacing w:val="-4"/>
        </w:rPr>
        <w:t>2023</w:t>
      </w:r>
      <w:r>
        <w:rPr>
          <w:color w:val="231F20"/>
          <w:spacing w:val="-8"/>
        </w:rPr>
        <w:t> </w:t>
      </w:r>
      <w:r>
        <w:rPr>
          <w:color w:val="231F20"/>
          <w:spacing w:val="-4"/>
        </w:rPr>
        <w:t>LPI</w:t>
      </w:r>
      <w:r>
        <w:rPr>
          <w:color w:val="231F20"/>
          <w:spacing w:val="-8"/>
        </w:rPr>
        <w:t> </w:t>
      </w:r>
      <w:r>
        <w:rPr>
          <w:color w:val="231F20"/>
          <w:spacing w:val="-4"/>
        </w:rPr>
        <w:t>data </w:t>
      </w:r>
      <w:r>
        <w:rPr>
          <w:color w:val="231F20"/>
          <w:w w:val="90"/>
        </w:rPr>
        <w:t>partners</w:t>
      </w:r>
      <w:r>
        <w:rPr>
          <w:color w:val="231F20"/>
          <w:spacing w:val="-5"/>
          <w:w w:val="90"/>
        </w:rPr>
        <w:t> </w:t>
      </w:r>
      <w:r>
        <w:rPr>
          <w:color w:val="231F20"/>
          <w:w w:val="90"/>
        </w:rPr>
        <w:t>(see</w:t>
      </w:r>
      <w:r>
        <w:rPr>
          <w:color w:val="231F20"/>
          <w:spacing w:val="-5"/>
          <w:w w:val="90"/>
        </w:rPr>
        <w:t> </w:t>
      </w:r>
      <w:r>
        <w:rPr>
          <w:color w:val="231F20"/>
          <w:w w:val="90"/>
        </w:rPr>
        <w:t>box</w:t>
      </w:r>
      <w:r>
        <w:rPr>
          <w:color w:val="231F20"/>
          <w:spacing w:val="-5"/>
          <w:w w:val="90"/>
        </w:rPr>
        <w:t> </w:t>
      </w:r>
      <w:r>
        <w:rPr>
          <w:color w:val="231F20"/>
          <w:w w:val="90"/>
        </w:rPr>
        <w:t>1.1</w:t>
      </w:r>
      <w:r>
        <w:rPr>
          <w:color w:val="231F20"/>
          <w:spacing w:val="-5"/>
          <w:w w:val="90"/>
        </w:rPr>
        <w:t> </w:t>
      </w:r>
      <w:r>
        <w:rPr>
          <w:color w:val="231F20"/>
          <w:w w:val="90"/>
        </w:rPr>
        <w:t>in</w:t>
      </w:r>
      <w:r>
        <w:rPr>
          <w:color w:val="231F20"/>
          <w:spacing w:val="-5"/>
          <w:w w:val="90"/>
        </w:rPr>
        <w:t> </w:t>
      </w:r>
      <w:r>
        <w:rPr>
          <w:color w:val="231F20"/>
          <w:w w:val="90"/>
        </w:rPr>
        <w:t>chapter</w:t>
      </w:r>
      <w:r>
        <w:rPr>
          <w:color w:val="231F20"/>
          <w:spacing w:val="-5"/>
          <w:w w:val="90"/>
        </w:rPr>
        <w:t> </w:t>
      </w:r>
      <w:r>
        <w:rPr>
          <w:color w:val="231F20"/>
          <w:w w:val="90"/>
        </w:rPr>
        <w:t>1)</w:t>
      </w:r>
      <w:r>
        <w:rPr>
          <w:color w:val="231F20"/>
          <w:spacing w:val="-5"/>
          <w:w w:val="90"/>
        </w:rPr>
        <w:t> </w:t>
      </w:r>
      <w:r>
        <w:rPr>
          <w:color w:val="231F20"/>
          <w:w w:val="90"/>
        </w:rPr>
        <w:t>have</w:t>
      </w:r>
      <w:r>
        <w:rPr>
          <w:color w:val="231F20"/>
          <w:spacing w:val="-5"/>
          <w:w w:val="90"/>
        </w:rPr>
        <w:t> </w:t>
      </w:r>
      <w:r>
        <w:rPr>
          <w:color w:val="231F20"/>
          <w:w w:val="90"/>
        </w:rPr>
        <w:t>proposed </w:t>
      </w:r>
      <w:r>
        <w:rPr>
          <w:color w:val="231F20"/>
        </w:rPr>
        <w:t>similar</w:t>
      </w:r>
      <w:r>
        <w:rPr>
          <w:color w:val="231F20"/>
          <w:spacing w:val="-8"/>
        </w:rPr>
        <w:t> </w:t>
      </w:r>
      <w:r>
        <w:rPr>
          <w:color w:val="231F20"/>
        </w:rPr>
        <w:t>tracking</w:t>
      </w:r>
      <w:r>
        <w:rPr>
          <w:color w:val="231F20"/>
          <w:spacing w:val="-8"/>
        </w:rPr>
        <w:t> </w:t>
      </w:r>
      <w:r>
        <w:rPr>
          <w:color w:val="231F20"/>
        </w:rPr>
        <w:t>and</w:t>
      </w:r>
      <w:r>
        <w:rPr>
          <w:color w:val="231F20"/>
          <w:spacing w:val="-8"/>
        </w:rPr>
        <w:t> </w:t>
      </w:r>
      <w:r>
        <w:rPr>
          <w:color w:val="231F20"/>
        </w:rPr>
        <w:t>tracing</w:t>
      </w:r>
      <w:r>
        <w:rPr>
          <w:color w:val="231F20"/>
          <w:spacing w:val="-8"/>
        </w:rPr>
        <w:t> </w:t>
      </w:r>
      <w:r>
        <w:rPr>
          <w:color w:val="231F20"/>
        </w:rPr>
        <w:t>solutions.</w:t>
      </w:r>
    </w:p>
    <w:p>
      <w:pPr>
        <w:pStyle w:val="BodyText"/>
        <w:spacing w:line="268" w:lineRule="auto"/>
        <w:ind w:left="3360" w:firstLine="300"/>
        <w:jc w:val="both"/>
        <w:rPr>
          <w:sz w:val="14"/>
        </w:rPr>
      </w:pPr>
      <w:r>
        <w:rPr>
          <w:color w:val="231F20"/>
        </w:rPr>
        <w:t>Measures</w:t>
      </w:r>
      <w:r>
        <w:rPr>
          <w:color w:val="231F20"/>
          <w:spacing w:val="-14"/>
        </w:rPr>
        <w:t> </w:t>
      </w:r>
      <w:r>
        <w:rPr>
          <w:color w:val="231F20"/>
        </w:rPr>
        <w:t>to</w:t>
      </w:r>
      <w:r>
        <w:rPr>
          <w:color w:val="231F20"/>
          <w:spacing w:val="-13"/>
        </w:rPr>
        <w:t> </w:t>
      </w:r>
      <w:r>
        <w:rPr>
          <w:color w:val="231F20"/>
        </w:rPr>
        <w:t>speed</w:t>
      </w:r>
      <w:r>
        <w:rPr>
          <w:color w:val="231F20"/>
          <w:spacing w:val="-13"/>
        </w:rPr>
        <w:t> </w:t>
      </w:r>
      <w:r>
        <w:rPr>
          <w:color w:val="231F20"/>
        </w:rPr>
        <w:t>up</w:t>
      </w:r>
      <w:r>
        <w:rPr>
          <w:color w:val="231F20"/>
          <w:spacing w:val="-13"/>
        </w:rPr>
        <w:t> </w:t>
      </w:r>
      <w:r>
        <w:rPr>
          <w:color w:val="231F20"/>
        </w:rPr>
        <w:t>the</w:t>
      </w:r>
      <w:r>
        <w:rPr>
          <w:color w:val="231F20"/>
          <w:spacing w:val="-13"/>
        </w:rPr>
        <w:t> </w:t>
      </w:r>
      <w:r>
        <w:rPr>
          <w:color w:val="231F20"/>
        </w:rPr>
        <w:t>transit</w:t>
      </w:r>
      <w:r>
        <w:rPr>
          <w:color w:val="231F20"/>
          <w:spacing w:val="-13"/>
        </w:rPr>
        <w:t> </w:t>
      </w:r>
      <w:r>
        <w:rPr>
          <w:color w:val="231F20"/>
        </w:rPr>
        <w:t>of</w:t>
      </w:r>
      <w:r>
        <w:rPr>
          <w:color w:val="231F20"/>
          <w:spacing w:val="-13"/>
        </w:rPr>
        <w:t> </w:t>
      </w:r>
      <w:r>
        <w:rPr>
          <w:color w:val="231F20"/>
        </w:rPr>
        <w:t>goods require adequate private sector capacity to </w:t>
      </w:r>
      <w:r>
        <w:rPr>
          <w:color w:val="231F20"/>
          <w:spacing w:val="-4"/>
        </w:rPr>
        <w:t>handle</w:t>
      </w:r>
      <w:r>
        <w:rPr>
          <w:color w:val="231F20"/>
          <w:spacing w:val="-10"/>
        </w:rPr>
        <w:t> </w:t>
      </w:r>
      <w:r>
        <w:rPr>
          <w:color w:val="231F20"/>
          <w:spacing w:val="-4"/>
        </w:rPr>
        <w:t>the</w:t>
      </w:r>
      <w:r>
        <w:rPr>
          <w:color w:val="231F20"/>
          <w:spacing w:val="-9"/>
        </w:rPr>
        <w:t> </w:t>
      </w:r>
      <w:r>
        <w:rPr>
          <w:color w:val="231F20"/>
          <w:spacing w:val="-4"/>
        </w:rPr>
        <w:t>logistics</w:t>
      </w:r>
      <w:r>
        <w:rPr>
          <w:color w:val="231F20"/>
          <w:spacing w:val="-9"/>
        </w:rPr>
        <w:t> </w:t>
      </w:r>
      <w:r>
        <w:rPr>
          <w:color w:val="231F20"/>
          <w:spacing w:val="-4"/>
        </w:rPr>
        <w:t>of</w:t>
      </w:r>
      <w:r>
        <w:rPr>
          <w:color w:val="231F20"/>
          <w:spacing w:val="-9"/>
        </w:rPr>
        <w:t> </w:t>
      </w:r>
      <w:r>
        <w:rPr>
          <w:color w:val="231F20"/>
          <w:spacing w:val="-4"/>
        </w:rPr>
        <w:t>goods</w:t>
      </w:r>
      <w:r>
        <w:rPr>
          <w:color w:val="231F20"/>
          <w:spacing w:val="-9"/>
        </w:rPr>
        <w:t> </w:t>
      </w:r>
      <w:r>
        <w:rPr>
          <w:color w:val="231F20"/>
          <w:spacing w:val="-4"/>
        </w:rPr>
        <w:t>beyond</w:t>
      </w:r>
      <w:r>
        <w:rPr>
          <w:color w:val="231F20"/>
          <w:spacing w:val="-9"/>
        </w:rPr>
        <w:t> </w:t>
      </w:r>
      <w:r>
        <w:rPr>
          <w:color w:val="231F20"/>
          <w:spacing w:val="-4"/>
        </w:rPr>
        <w:t>the</w:t>
      </w:r>
      <w:r>
        <w:rPr>
          <w:color w:val="231F20"/>
          <w:spacing w:val="-9"/>
        </w:rPr>
        <w:t> </w:t>
      </w:r>
      <w:r>
        <w:rPr>
          <w:color w:val="231F20"/>
          <w:spacing w:val="-4"/>
        </w:rPr>
        <w:t>gates, </w:t>
      </w:r>
      <w:r>
        <w:rPr>
          <w:color w:val="231F20"/>
        </w:rPr>
        <w:t>and</w:t>
      </w:r>
      <w:r>
        <w:rPr>
          <w:color w:val="231F20"/>
          <w:spacing w:val="-13"/>
        </w:rPr>
        <w:t> </w:t>
      </w:r>
      <w:r>
        <w:rPr>
          <w:color w:val="231F20"/>
        </w:rPr>
        <w:t>often</w:t>
      </w:r>
      <w:r>
        <w:rPr>
          <w:color w:val="231F20"/>
          <w:spacing w:val="-13"/>
        </w:rPr>
        <w:t> </w:t>
      </w:r>
      <w:r>
        <w:rPr>
          <w:color w:val="231F20"/>
        </w:rPr>
        <w:t>in</w:t>
      </w:r>
      <w:r>
        <w:rPr>
          <w:color w:val="231F20"/>
          <w:spacing w:val="-13"/>
        </w:rPr>
        <w:t> </w:t>
      </w:r>
      <w:r>
        <w:rPr>
          <w:color w:val="231F20"/>
        </w:rPr>
        <w:t>the</w:t>
      </w:r>
      <w:r>
        <w:rPr>
          <w:color w:val="231F20"/>
          <w:spacing w:val="-13"/>
        </w:rPr>
        <w:t> </w:t>
      </w:r>
      <w:r>
        <w:rPr>
          <w:color w:val="231F20"/>
        </w:rPr>
        <w:t>vicinity,</w:t>
      </w:r>
      <w:r>
        <w:rPr>
          <w:color w:val="231F20"/>
          <w:spacing w:val="-13"/>
        </w:rPr>
        <w:t> </w:t>
      </w:r>
      <w:r>
        <w:rPr>
          <w:color w:val="231F20"/>
        </w:rPr>
        <w:t>of</w:t>
      </w:r>
      <w:r>
        <w:rPr>
          <w:color w:val="231F20"/>
          <w:spacing w:val="-13"/>
        </w:rPr>
        <w:t> </w:t>
      </w:r>
      <w:r>
        <w:rPr>
          <w:color w:val="231F20"/>
        </w:rPr>
        <w:t>ports,</w:t>
      </w:r>
      <w:r>
        <w:rPr>
          <w:color w:val="231F20"/>
          <w:spacing w:val="-13"/>
        </w:rPr>
        <w:t> </w:t>
      </w:r>
      <w:r>
        <w:rPr>
          <w:color w:val="231F20"/>
        </w:rPr>
        <w:t>airports,</w:t>
      </w:r>
      <w:r>
        <w:rPr>
          <w:color w:val="231F20"/>
          <w:spacing w:val="-13"/>
        </w:rPr>
        <w:t> </w:t>
      </w:r>
      <w:r>
        <w:rPr>
          <w:color w:val="231F20"/>
        </w:rPr>
        <w:t>or </w:t>
      </w:r>
      <w:r>
        <w:rPr>
          <w:color w:val="231F20"/>
          <w:spacing w:val="-4"/>
        </w:rPr>
        <w:t>multimodal facilities. This requires integrated logistics</w:t>
      </w:r>
      <w:r>
        <w:rPr>
          <w:color w:val="231F20"/>
          <w:spacing w:val="-10"/>
        </w:rPr>
        <w:t> </w:t>
      </w:r>
      <w:r>
        <w:rPr>
          <w:color w:val="231F20"/>
          <w:spacing w:val="-4"/>
        </w:rPr>
        <w:t>services</w:t>
      </w:r>
      <w:r>
        <w:rPr>
          <w:color w:val="231F20"/>
          <w:spacing w:val="-9"/>
        </w:rPr>
        <w:t> </w:t>
      </w:r>
      <w:r>
        <w:rPr>
          <w:color w:val="231F20"/>
          <w:spacing w:val="-4"/>
        </w:rPr>
        <w:t>(such</w:t>
      </w:r>
      <w:r>
        <w:rPr>
          <w:color w:val="231F20"/>
          <w:spacing w:val="-9"/>
        </w:rPr>
        <w:t> </w:t>
      </w:r>
      <w:r>
        <w:rPr>
          <w:color w:val="231F20"/>
          <w:spacing w:val="-4"/>
        </w:rPr>
        <w:t>as</w:t>
      </w:r>
      <w:r>
        <w:rPr>
          <w:color w:val="231F20"/>
          <w:spacing w:val="-9"/>
        </w:rPr>
        <w:t> </w:t>
      </w:r>
      <w:r>
        <w:rPr>
          <w:color w:val="231F20"/>
          <w:spacing w:val="-4"/>
        </w:rPr>
        <w:t>third</w:t>
      </w:r>
      <w:r>
        <w:rPr>
          <w:color w:val="231F20"/>
          <w:spacing w:val="-9"/>
        </w:rPr>
        <w:t> </w:t>
      </w:r>
      <w:r>
        <w:rPr>
          <w:color w:val="231F20"/>
          <w:spacing w:val="-4"/>
        </w:rPr>
        <w:t>party</w:t>
      </w:r>
      <w:r>
        <w:rPr>
          <w:color w:val="231F20"/>
          <w:spacing w:val="-9"/>
        </w:rPr>
        <w:t> </w:t>
      </w:r>
      <w:r>
        <w:rPr>
          <w:color w:val="231F20"/>
          <w:spacing w:val="-4"/>
        </w:rPr>
        <w:t>logistics) </w:t>
      </w:r>
      <w:r>
        <w:rPr>
          <w:color w:val="231F20"/>
          <w:spacing w:val="-2"/>
        </w:rPr>
        <w:t>and</w:t>
      </w:r>
      <w:r>
        <w:rPr>
          <w:color w:val="231F20"/>
          <w:spacing w:val="-9"/>
        </w:rPr>
        <w:t> </w:t>
      </w:r>
      <w:r>
        <w:rPr>
          <w:color w:val="231F20"/>
          <w:spacing w:val="-2"/>
        </w:rPr>
        <w:t>proper</w:t>
      </w:r>
      <w:r>
        <w:rPr>
          <w:color w:val="231F20"/>
          <w:spacing w:val="-9"/>
        </w:rPr>
        <w:t> </w:t>
      </w:r>
      <w:r>
        <w:rPr>
          <w:color w:val="231F20"/>
          <w:spacing w:val="-2"/>
        </w:rPr>
        <w:t>facilities</w:t>
      </w:r>
      <w:r>
        <w:rPr>
          <w:color w:val="231F20"/>
          <w:spacing w:val="-9"/>
        </w:rPr>
        <w:t> </w:t>
      </w:r>
      <w:r>
        <w:rPr>
          <w:color w:val="231F20"/>
          <w:spacing w:val="-2"/>
        </w:rPr>
        <w:t>(such</w:t>
      </w:r>
      <w:r>
        <w:rPr>
          <w:color w:val="231F20"/>
          <w:spacing w:val="-9"/>
        </w:rPr>
        <w:t> </w:t>
      </w:r>
      <w:r>
        <w:rPr>
          <w:color w:val="231F20"/>
          <w:spacing w:val="-2"/>
        </w:rPr>
        <w:t>as</w:t>
      </w:r>
      <w:r>
        <w:rPr>
          <w:color w:val="231F20"/>
          <w:spacing w:val="-9"/>
        </w:rPr>
        <w:t> </w:t>
      </w:r>
      <w:r>
        <w:rPr>
          <w:color w:val="231F20"/>
          <w:spacing w:val="-2"/>
        </w:rPr>
        <w:t>logistics</w:t>
      </w:r>
      <w:r>
        <w:rPr>
          <w:color w:val="231F20"/>
          <w:spacing w:val="-9"/>
        </w:rPr>
        <w:t> </w:t>
      </w:r>
      <w:r>
        <w:rPr>
          <w:color w:val="231F20"/>
          <w:spacing w:val="-2"/>
        </w:rPr>
        <w:t>zones). </w:t>
      </w:r>
      <w:r>
        <w:rPr>
          <w:color w:val="231F20"/>
        </w:rPr>
        <w:t>Adequately</w:t>
      </w:r>
      <w:r>
        <w:rPr>
          <w:color w:val="231F20"/>
          <w:spacing w:val="-7"/>
        </w:rPr>
        <w:t> </w:t>
      </w:r>
      <w:r>
        <w:rPr>
          <w:color w:val="231F20"/>
        </w:rPr>
        <w:t>regulating</w:t>
      </w:r>
      <w:r>
        <w:rPr>
          <w:color w:val="231F20"/>
          <w:spacing w:val="-7"/>
        </w:rPr>
        <w:t> </w:t>
      </w:r>
      <w:r>
        <w:rPr>
          <w:color w:val="231F20"/>
        </w:rPr>
        <w:t>logistics</w:t>
      </w:r>
      <w:r>
        <w:rPr>
          <w:color w:val="231F20"/>
          <w:spacing w:val="-7"/>
        </w:rPr>
        <w:t> </w:t>
      </w:r>
      <w:r>
        <w:rPr>
          <w:color w:val="231F20"/>
        </w:rPr>
        <w:t>services</w:t>
      </w:r>
      <w:r>
        <w:rPr>
          <w:color w:val="231F20"/>
          <w:spacing w:val="-7"/>
        </w:rPr>
        <w:t> </w:t>
      </w:r>
      <w:r>
        <w:rPr>
          <w:color w:val="231F20"/>
        </w:rPr>
        <w:t>and land planning (zoning) is key to promoting quality and competition. High-performing </w:t>
      </w:r>
      <w:r>
        <w:rPr>
          <w:color w:val="231F20"/>
          <w:spacing w:val="-2"/>
        </w:rPr>
        <w:t>countries</w:t>
      </w:r>
      <w:r>
        <w:rPr>
          <w:color w:val="231F20"/>
          <w:spacing w:val="-8"/>
        </w:rPr>
        <w:t> </w:t>
      </w:r>
      <w:r>
        <w:rPr>
          <w:color w:val="231F20"/>
          <w:spacing w:val="-2"/>
        </w:rPr>
        <w:t>have</w:t>
      </w:r>
      <w:r>
        <w:rPr>
          <w:color w:val="231F20"/>
          <w:spacing w:val="-8"/>
        </w:rPr>
        <w:t> </w:t>
      </w:r>
      <w:r>
        <w:rPr>
          <w:color w:val="231F20"/>
          <w:spacing w:val="-2"/>
        </w:rPr>
        <w:t>also</w:t>
      </w:r>
      <w:r>
        <w:rPr>
          <w:color w:val="231F20"/>
          <w:spacing w:val="-8"/>
        </w:rPr>
        <w:t> </w:t>
      </w:r>
      <w:r>
        <w:rPr>
          <w:color w:val="231F20"/>
          <w:spacing w:val="-2"/>
        </w:rPr>
        <w:t>invested</w:t>
      </w:r>
      <w:r>
        <w:rPr>
          <w:color w:val="231F20"/>
          <w:spacing w:val="-8"/>
        </w:rPr>
        <w:t> </w:t>
      </w:r>
      <w:r>
        <w:rPr>
          <w:color w:val="231F20"/>
          <w:spacing w:val="-2"/>
        </w:rPr>
        <w:t>in</w:t>
      </w:r>
      <w:r>
        <w:rPr>
          <w:color w:val="231F20"/>
          <w:spacing w:val="-8"/>
        </w:rPr>
        <w:t> </w:t>
      </w:r>
      <w:r>
        <w:rPr>
          <w:color w:val="231F20"/>
          <w:spacing w:val="-2"/>
        </w:rPr>
        <w:t>education</w:t>
      </w:r>
      <w:r>
        <w:rPr>
          <w:color w:val="231F20"/>
          <w:spacing w:val="-8"/>
        </w:rPr>
        <w:t> </w:t>
      </w:r>
      <w:r>
        <w:rPr>
          <w:color w:val="231F20"/>
          <w:spacing w:val="-2"/>
        </w:rPr>
        <w:t>and </w:t>
      </w:r>
      <w:r>
        <w:rPr>
          <w:color w:val="231F20"/>
        </w:rPr>
        <w:t>training,</w:t>
      </w:r>
      <w:r>
        <w:rPr>
          <w:color w:val="231F20"/>
          <w:spacing w:val="-12"/>
        </w:rPr>
        <w:t> </w:t>
      </w:r>
      <w:r>
        <w:rPr>
          <w:color w:val="231F20"/>
        </w:rPr>
        <w:t>promoting</w:t>
      </w:r>
      <w:r>
        <w:rPr>
          <w:color w:val="231F20"/>
          <w:spacing w:val="-12"/>
        </w:rPr>
        <w:t> </w:t>
      </w:r>
      <w:r>
        <w:rPr>
          <w:color w:val="231F20"/>
        </w:rPr>
        <w:t>the</w:t>
      </w:r>
      <w:r>
        <w:rPr>
          <w:color w:val="231F20"/>
          <w:spacing w:val="-12"/>
        </w:rPr>
        <w:t> </w:t>
      </w:r>
      <w:r>
        <w:rPr>
          <w:color w:val="231F20"/>
        </w:rPr>
        <w:t>right</w:t>
      </w:r>
      <w:r>
        <w:rPr>
          <w:color w:val="231F20"/>
          <w:spacing w:val="-12"/>
        </w:rPr>
        <w:t> </w:t>
      </w:r>
      <w:r>
        <w:rPr>
          <w:color w:val="231F20"/>
        </w:rPr>
        <w:t>skill</w:t>
      </w:r>
      <w:r>
        <w:rPr>
          <w:color w:val="231F20"/>
          <w:spacing w:val="-12"/>
        </w:rPr>
        <w:t> </w:t>
      </w:r>
      <w:r>
        <w:rPr>
          <w:color w:val="231F20"/>
        </w:rPr>
        <w:t>sets</w:t>
      </w:r>
      <w:r>
        <w:rPr>
          <w:color w:val="231F20"/>
          <w:spacing w:val="-12"/>
        </w:rPr>
        <w:t> </w:t>
      </w:r>
      <w:r>
        <w:rPr>
          <w:color w:val="231F20"/>
        </w:rPr>
        <w:t>across </w:t>
      </w:r>
      <w:r>
        <w:rPr>
          <w:color w:val="231F20"/>
          <w:spacing w:val="-4"/>
        </w:rPr>
        <w:t>jobs</w:t>
      </w:r>
      <w:r>
        <w:rPr>
          <w:color w:val="231F20"/>
          <w:spacing w:val="-8"/>
        </w:rPr>
        <w:t> </w:t>
      </w:r>
      <w:r>
        <w:rPr>
          <w:color w:val="231F20"/>
          <w:spacing w:val="-4"/>
        </w:rPr>
        <w:t>(blue</w:t>
      </w:r>
      <w:r>
        <w:rPr>
          <w:color w:val="231F20"/>
          <w:spacing w:val="-8"/>
        </w:rPr>
        <w:t> </w:t>
      </w:r>
      <w:r>
        <w:rPr>
          <w:color w:val="231F20"/>
          <w:spacing w:val="-4"/>
        </w:rPr>
        <w:t>collar,</w:t>
      </w:r>
      <w:r>
        <w:rPr>
          <w:color w:val="231F20"/>
          <w:spacing w:val="-8"/>
        </w:rPr>
        <w:t> </w:t>
      </w:r>
      <w:r>
        <w:rPr>
          <w:color w:val="231F20"/>
          <w:spacing w:val="-4"/>
        </w:rPr>
        <w:t>technical,</w:t>
      </w:r>
      <w:r>
        <w:rPr>
          <w:color w:val="231F20"/>
          <w:spacing w:val="-8"/>
        </w:rPr>
        <w:t> </w:t>
      </w:r>
      <w:r>
        <w:rPr>
          <w:color w:val="231F20"/>
          <w:spacing w:val="-4"/>
        </w:rPr>
        <w:t>and</w:t>
      </w:r>
      <w:r>
        <w:rPr>
          <w:color w:val="231F20"/>
          <w:spacing w:val="-8"/>
        </w:rPr>
        <w:t> </w:t>
      </w:r>
      <w:r>
        <w:rPr>
          <w:color w:val="231F20"/>
          <w:spacing w:val="-4"/>
        </w:rPr>
        <w:t>administrative </w:t>
      </w:r>
      <w:r>
        <w:rPr>
          <w:color w:val="231F20"/>
          <w:w w:val="90"/>
        </w:rPr>
        <w:t>managerial),</w:t>
      </w:r>
      <w:r>
        <w:rPr>
          <w:color w:val="231F20"/>
          <w:spacing w:val="-1"/>
          <w:w w:val="90"/>
        </w:rPr>
        <w:t> </w:t>
      </w:r>
      <w:r>
        <w:rPr>
          <w:color w:val="231F20"/>
          <w:w w:val="90"/>
        </w:rPr>
        <w:t>as</w:t>
      </w:r>
      <w:r>
        <w:rPr>
          <w:color w:val="231F20"/>
          <w:spacing w:val="-1"/>
          <w:w w:val="90"/>
        </w:rPr>
        <w:t> </w:t>
      </w:r>
      <w:r>
        <w:rPr>
          <w:color w:val="231F20"/>
          <w:w w:val="90"/>
        </w:rPr>
        <w:t>developed</w:t>
      </w:r>
      <w:r>
        <w:rPr>
          <w:color w:val="231F20"/>
          <w:spacing w:val="-1"/>
          <w:w w:val="90"/>
        </w:rPr>
        <w:t> </w:t>
      </w:r>
      <w:r>
        <w:rPr>
          <w:color w:val="231F20"/>
          <w:w w:val="90"/>
        </w:rPr>
        <w:t>in</w:t>
      </w:r>
      <w:r>
        <w:rPr>
          <w:color w:val="231F20"/>
          <w:spacing w:val="-1"/>
          <w:w w:val="90"/>
        </w:rPr>
        <w:t> </w:t>
      </w:r>
      <w:r>
        <w:rPr>
          <w:color w:val="231F20"/>
          <w:w w:val="90"/>
        </w:rPr>
        <w:t>a</w:t>
      </w:r>
      <w:r>
        <w:rPr>
          <w:color w:val="231F20"/>
          <w:spacing w:val="-1"/>
          <w:w w:val="90"/>
        </w:rPr>
        <w:t> </w:t>
      </w:r>
      <w:r>
        <w:rPr>
          <w:color w:val="231F20"/>
          <w:w w:val="90"/>
        </w:rPr>
        <w:t>World</w:t>
      </w:r>
      <w:r>
        <w:rPr>
          <w:color w:val="231F20"/>
          <w:spacing w:val="-1"/>
          <w:w w:val="90"/>
        </w:rPr>
        <w:t> </w:t>
      </w:r>
      <w:r>
        <w:rPr>
          <w:color w:val="231F20"/>
          <w:w w:val="90"/>
        </w:rPr>
        <w:t>Bank</w:t>
      </w:r>
      <w:r>
        <w:rPr>
          <w:color w:val="231F20"/>
          <w:spacing w:val="-1"/>
          <w:w w:val="90"/>
        </w:rPr>
        <w:t> </w:t>
      </w:r>
      <w:r>
        <w:rPr>
          <w:color w:val="231F20"/>
          <w:w w:val="90"/>
        </w:rPr>
        <w:t>tool- </w:t>
      </w:r>
      <w:r>
        <w:rPr>
          <w:color w:val="231F20"/>
        </w:rPr>
        <w:t>kit</w:t>
      </w:r>
      <w:r>
        <w:rPr>
          <w:color w:val="231F20"/>
          <w:spacing w:val="-10"/>
        </w:rPr>
        <w:t> </w:t>
      </w:r>
      <w:r>
        <w:rPr>
          <w:color w:val="231F20"/>
        </w:rPr>
        <w:t>applied</w:t>
      </w:r>
      <w:r>
        <w:rPr>
          <w:color w:val="231F20"/>
          <w:spacing w:val="-10"/>
        </w:rPr>
        <w:t> </w:t>
      </w:r>
      <w:r>
        <w:rPr>
          <w:color w:val="231F20"/>
        </w:rPr>
        <w:t>in</w:t>
      </w:r>
      <w:r>
        <w:rPr>
          <w:color w:val="231F20"/>
          <w:spacing w:val="-10"/>
        </w:rPr>
        <w:t> </w:t>
      </w:r>
      <w:r>
        <w:rPr>
          <w:color w:val="231F20"/>
        </w:rPr>
        <w:t>several</w:t>
      </w:r>
      <w:r>
        <w:rPr>
          <w:color w:val="231F20"/>
          <w:spacing w:val="-10"/>
        </w:rPr>
        <w:t> </w:t>
      </w:r>
      <w:r>
        <w:rPr>
          <w:color w:val="231F20"/>
        </w:rPr>
        <w:t>countries.</w:t>
      </w:r>
      <w:r>
        <w:rPr>
          <w:color w:val="231F20"/>
          <w:position w:val="7"/>
          <w:sz w:val="14"/>
        </w:rPr>
        <w:t>32</w:t>
      </w:r>
    </w:p>
    <w:p>
      <w:pPr>
        <w:pStyle w:val="BodyText"/>
        <w:spacing w:line="268" w:lineRule="auto"/>
        <w:ind w:left="3360" w:right="1" w:firstLine="300"/>
        <w:jc w:val="both"/>
      </w:pPr>
      <w:r>
        <w:rPr>
          <w:color w:val="231F20"/>
        </w:rPr>
        <w:t>Finally,</w:t>
      </w:r>
      <w:r>
        <w:rPr>
          <w:color w:val="231F20"/>
          <w:spacing w:val="-14"/>
        </w:rPr>
        <w:t> </w:t>
      </w:r>
      <w:r>
        <w:rPr>
          <w:color w:val="231F20"/>
        </w:rPr>
        <w:t>private</w:t>
      </w:r>
      <w:r>
        <w:rPr>
          <w:color w:val="231F20"/>
          <w:spacing w:val="-13"/>
        </w:rPr>
        <w:t> </w:t>
      </w:r>
      <w:r>
        <w:rPr>
          <w:color w:val="231F20"/>
        </w:rPr>
        <w:t>public</w:t>
      </w:r>
      <w:r>
        <w:rPr>
          <w:color w:val="231F20"/>
          <w:spacing w:val="-13"/>
        </w:rPr>
        <w:t> </w:t>
      </w:r>
      <w:r>
        <w:rPr>
          <w:color w:val="231F20"/>
        </w:rPr>
        <w:t>dialogue</w:t>
      </w:r>
      <w:r>
        <w:rPr>
          <w:color w:val="231F20"/>
          <w:spacing w:val="-13"/>
        </w:rPr>
        <w:t> </w:t>
      </w:r>
      <w:r>
        <w:rPr>
          <w:color w:val="231F20"/>
        </w:rPr>
        <w:t>is</w:t>
      </w:r>
      <w:r>
        <w:rPr>
          <w:color w:val="231F20"/>
          <w:spacing w:val="-13"/>
        </w:rPr>
        <w:t> </w:t>
      </w:r>
      <w:r>
        <w:rPr>
          <w:color w:val="231F20"/>
        </w:rPr>
        <w:t>critical </w:t>
      </w:r>
      <w:r>
        <w:rPr>
          <w:color w:val="231F20"/>
          <w:spacing w:val="-6"/>
        </w:rPr>
        <w:t>for developing a common fact-based diagnosis </w:t>
      </w:r>
      <w:r>
        <w:rPr>
          <w:color w:val="231F20"/>
        </w:rPr>
        <w:t>and designing impactful interventions. This </w:t>
      </w:r>
      <w:r>
        <w:rPr>
          <w:color w:val="231F20"/>
          <w:spacing w:val="-6"/>
        </w:rPr>
        <w:t>could involve ad hoc task forces, which should </w:t>
      </w:r>
      <w:r>
        <w:rPr>
          <w:color w:val="231F20"/>
          <w:w w:val="90"/>
        </w:rPr>
        <w:t>include agencies and stakeholders, tasked with a </w:t>
      </w:r>
      <w:r>
        <w:rPr>
          <w:color w:val="231F20"/>
          <w:spacing w:val="-4"/>
        </w:rPr>
        <w:t>time-limited</w:t>
      </w:r>
      <w:r>
        <w:rPr>
          <w:color w:val="231F20"/>
          <w:spacing w:val="-5"/>
        </w:rPr>
        <w:t> </w:t>
      </w:r>
      <w:r>
        <w:rPr>
          <w:color w:val="231F20"/>
          <w:spacing w:val="-4"/>
        </w:rPr>
        <w:t>mandate. Countries with</w:t>
      </w:r>
      <w:r>
        <w:rPr>
          <w:color w:val="231F20"/>
          <w:spacing w:val="-5"/>
        </w:rPr>
        <w:t> </w:t>
      </w:r>
      <w:r>
        <w:rPr>
          <w:color w:val="231F20"/>
          <w:spacing w:val="-4"/>
        </w:rPr>
        <w:t>a strong</w:t>
      </w:r>
    </w:p>
    <w:p>
      <w:pPr>
        <w:pStyle w:val="BodyText"/>
        <w:spacing w:line="264" w:lineRule="auto" w:before="97"/>
        <w:ind w:left="198" w:right="657"/>
        <w:jc w:val="both"/>
        <w:rPr>
          <w:sz w:val="14"/>
        </w:rPr>
      </w:pPr>
      <w:r>
        <w:rPr/>
        <w:br w:type="column"/>
      </w:r>
      <w:r>
        <w:rPr>
          <w:color w:val="231F20"/>
        </w:rPr>
        <w:t>logistics sector have permanent institutions, such</w:t>
      </w:r>
      <w:r>
        <w:rPr>
          <w:color w:val="231F20"/>
          <w:spacing w:val="-4"/>
        </w:rPr>
        <w:t> </w:t>
      </w:r>
      <w:r>
        <w:rPr>
          <w:color w:val="231F20"/>
        </w:rPr>
        <w:t>as</w:t>
      </w:r>
      <w:r>
        <w:rPr>
          <w:color w:val="231F20"/>
          <w:spacing w:val="-5"/>
        </w:rPr>
        <w:t> </w:t>
      </w:r>
      <w:r>
        <w:rPr>
          <w:color w:val="231F20"/>
        </w:rPr>
        <w:t>Dinalog</w:t>
      </w:r>
      <w:r>
        <w:rPr>
          <w:color w:val="231F20"/>
          <w:spacing w:val="-4"/>
        </w:rPr>
        <w:t> </w:t>
      </w:r>
      <w:r>
        <w:rPr>
          <w:color w:val="231F20"/>
        </w:rPr>
        <w:t>in</w:t>
      </w:r>
      <w:r>
        <w:rPr>
          <w:color w:val="231F20"/>
          <w:spacing w:val="-5"/>
        </w:rPr>
        <w:t> </w:t>
      </w:r>
      <w:r>
        <w:rPr>
          <w:color w:val="231F20"/>
        </w:rPr>
        <w:t>the</w:t>
      </w:r>
      <w:r>
        <w:rPr>
          <w:color w:val="231F20"/>
          <w:spacing w:val="-4"/>
        </w:rPr>
        <w:t> </w:t>
      </w:r>
      <w:r>
        <w:rPr>
          <w:color w:val="231F20"/>
        </w:rPr>
        <w:t>Netherlands.</w:t>
      </w:r>
      <w:r>
        <w:rPr>
          <w:color w:val="231F20"/>
          <w:position w:val="7"/>
          <w:sz w:val="14"/>
        </w:rPr>
        <w:t>33</w:t>
      </w:r>
    </w:p>
    <w:p>
      <w:pPr>
        <w:pStyle w:val="BodyText"/>
        <w:spacing w:before="41"/>
      </w:pPr>
    </w:p>
    <w:p>
      <w:pPr>
        <w:spacing w:line="280" w:lineRule="auto" w:before="0"/>
        <w:ind w:left="198" w:right="749" w:firstLine="0"/>
        <w:jc w:val="both"/>
        <w:rPr>
          <w:rFonts w:ascii="Arial"/>
          <w:b/>
          <w:sz w:val="20"/>
        </w:rPr>
      </w:pPr>
      <w:r>
        <w:rPr>
          <w:rFonts w:ascii="Arial"/>
          <w:b/>
          <w:color w:val="231F20"/>
          <w:w w:val="105"/>
          <w:sz w:val="20"/>
        </w:rPr>
        <w:t>Logistical constraints in landlocked developing countries</w:t>
      </w:r>
    </w:p>
    <w:p>
      <w:pPr>
        <w:pStyle w:val="BodyText"/>
        <w:spacing w:before="33"/>
        <w:rPr>
          <w:rFonts w:ascii="Arial"/>
          <w:b/>
          <w:sz w:val="20"/>
        </w:rPr>
      </w:pPr>
    </w:p>
    <w:p>
      <w:pPr>
        <w:pStyle w:val="BodyText"/>
        <w:spacing w:line="268" w:lineRule="auto"/>
        <w:ind w:left="198" w:right="657"/>
        <w:jc w:val="both"/>
      </w:pPr>
      <w:r>
        <w:rPr>
          <w:color w:val="231F20"/>
          <w:w w:val="90"/>
        </w:rPr>
        <w:t>Landlocked</w:t>
      </w:r>
      <w:r>
        <w:rPr>
          <w:color w:val="231F20"/>
          <w:spacing w:val="-6"/>
          <w:w w:val="90"/>
        </w:rPr>
        <w:t> </w:t>
      </w:r>
      <w:r>
        <w:rPr>
          <w:color w:val="231F20"/>
          <w:w w:val="90"/>
        </w:rPr>
        <w:t>developing</w:t>
      </w:r>
      <w:r>
        <w:rPr>
          <w:color w:val="231F20"/>
          <w:spacing w:val="-6"/>
          <w:w w:val="90"/>
        </w:rPr>
        <w:t> </w:t>
      </w:r>
      <w:r>
        <w:rPr>
          <w:color w:val="231F20"/>
          <w:w w:val="90"/>
        </w:rPr>
        <w:t>countries</w:t>
      </w:r>
      <w:r>
        <w:rPr>
          <w:color w:val="231F20"/>
          <w:spacing w:val="-6"/>
          <w:w w:val="90"/>
        </w:rPr>
        <w:t> </w:t>
      </w:r>
      <w:r>
        <w:rPr>
          <w:color w:val="231F20"/>
          <w:w w:val="90"/>
        </w:rPr>
        <w:t>are</w:t>
      </w:r>
      <w:r>
        <w:rPr>
          <w:color w:val="231F20"/>
          <w:spacing w:val="-6"/>
          <w:w w:val="90"/>
        </w:rPr>
        <w:t> </w:t>
      </w:r>
      <w:r>
        <w:rPr>
          <w:color w:val="231F20"/>
          <w:w w:val="90"/>
        </w:rPr>
        <w:t>more</w:t>
      </w:r>
      <w:r>
        <w:rPr>
          <w:color w:val="231F20"/>
          <w:spacing w:val="-6"/>
          <w:w w:val="90"/>
        </w:rPr>
        <w:t> </w:t>
      </w:r>
      <w:r>
        <w:rPr>
          <w:color w:val="231F20"/>
          <w:w w:val="90"/>
        </w:rPr>
        <w:t>logis- </w:t>
      </w:r>
      <w:r>
        <w:rPr>
          <w:color w:val="231F20"/>
          <w:spacing w:val="-6"/>
        </w:rPr>
        <w:t>tically constrained than their coastal neighbors. </w:t>
      </w:r>
      <w:r>
        <w:rPr>
          <w:color w:val="231F20"/>
          <w:spacing w:val="-2"/>
          <w:w w:val="90"/>
        </w:rPr>
        <w:t>The development challenges of landlocked devel- </w:t>
      </w:r>
      <w:r>
        <w:rPr>
          <w:color w:val="231F20"/>
          <w:spacing w:val="-2"/>
        </w:rPr>
        <w:t>oping</w:t>
      </w:r>
      <w:r>
        <w:rPr>
          <w:color w:val="231F20"/>
          <w:spacing w:val="-11"/>
        </w:rPr>
        <w:t> </w:t>
      </w:r>
      <w:r>
        <w:rPr>
          <w:color w:val="231F20"/>
          <w:spacing w:val="-2"/>
        </w:rPr>
        <w:t>countries</w:t>
      </w:r>
      <w:r>
        <w:rPr>
          <w:color w:val="231F20"/>
          <w:spacing w:val="-11"/>
        </w:rPr>
        <w:t> </w:t>
      </w:r>
      <w:r>
        <w:rPr>
          <w:color w:val="231F20"/>
          <w:spacing w:val="-2"/>
        </w:rPr>
        <w:t>have</w:t>
      </w:r>
      <w:r>
        <w:rPr>
          <w:color w:val="231F20"/>
          <w:spacing w:val="-11"/>
        </w:rPr>
        <w:t> </w:t>
      </w:r>
      <w:r>
        <w:rPr>
          <w:color w:val="231F20"/>
          <w:spacing w:val="-2"/>
        </w:rPr>
        <w:t>been</w:t>
      </w:r>
      <w:r>
        <w:rPr>
          <w:color w:val="231F20"/>
          <w:spacing w:val="-11"/>
        </w:rPr>
        <w:t> </w:t>
      </w:r>
      <w:r>
        <w:rPr>
          <w:color w:val="231F20"/>
          <w:spacing w:val="-2"/>
        </w:rPr>
        <w:t>a</w:t>
      </w:r>
      <w:r>
        <w:rPr>
          <w:color w:val="231F20"/>
          <w:spacing w:val="-11"/>
        </w:rPr>
        <w:t> </w:t>
      </w:r>
      <w:r>
        <w:rPr>
          <w:color w:val="231F20"/>
          <w:spacing w:val="-2"/>
        </w:rPr>
        <w:t>constant</w:t>
      </w:r>
      <w:r>
        <w:rPr>
          <w:color w:val="231F20"/>
          <w:spacing w:val="-11"/>
        </w:rPr>
        <w:t> </w:t>
      </w:r>
      <w:r>
        <w:rPr>
          <w:color w:val="231F20"/>
          <w:spacing w:val="-2"/>
        </w:rPr>
        <w:t>focus</w:t>
      </w:r>
      <w:r>
        <w:rPr>
          <w:color w:val="231F20"/>
          <w:spacing w:val="-11"/>
        </w:rPr>
        <w:t> </w:t>
      </w:r>
      <w:r>
        <w:rPr>
          <w:color w:val="231F20"/>
          <w:spacing w:val="-2"/>
        </w:rPr>
        <w:t>of </w:t>
      </w:r>
      <w:r>
        <w:rPr>
          <w:color w:val="231F20"/>
          <w:spacing w:val="-4"/>
        </w:rPr>
        <w:t>international</w:t>
      </w:r>
      <w:r>
        <w:rPr>
          <w:color w:val="231F20"/>
          <w:spacing w:val="-10"/>
        </w:rPr>
        <w:t> </w:t>
      </w:r>
      <w:r>
        <w:rPr>
          <w:color w:val="231F20"/>
          <w:spacing w:val="-4"/>
        </w:rPr>
        <w:t>organizations</w:t>
      </w:r>
      <w:r>
        <w:rPr>
          <w:color w:val="231F20"/>
          <w:spacing w:val="-9"/>
        </w:rPr>
        <w:t> </w:t>
      </w:r>
      <w:r>
        <w:rPr>
          <w:color w:val="231F20"/>
          <w:spacing w:val="-4"/>
        </w:rPr>
        <w:t>and</w:t>
      </w:r>
      <w:r>
        <w:rPr>
          <w:color w:val="231F20"/>
          <w:spacing w:val="-9"/>
        </w:rPr>
        <w:t> </w:t>
      </w:r>
      <w:r>
        <w:rPr>
          <w:color w:val="231F20"/>
          <w:spacing w:val="-4"/>
        </w:rPr>
        <w:t>assistance</w:t>
      </w:r>
      <w:r>
        <w:rPr>
          <w:color w:val="231F20"/>
          <w:spacing w:val="-9"/>
        </w:rPr>
        <w:t> </w:t>
      </w:r>
      <w:r>
        <w:rPr>
          <w:color w:val="231F20"/>
          <w:spacing w:val="-4"/>
        </w:rPr>
        <w:t>pro- </w:t>
      </w:r>
      <w:r>
        <w:rPr>
          <w:color w:val="231F20"/>
          <w:spacing w:val="-6"/>
        </w:rPr>
        <w:t>grams.</w:t>
      </w:r>
      <w:r>
        <w:rPr>
          <w:color w:val="231F20"/>
          <w:spacing w:val="-6"/>
          <w:position w:val="7"/>
          <w:sz w:val="14"/>
        </w:rPr>
        <w:t>34</w:t>
      </w:r>
      <w:r>
        <w:rPr>
          <w:color w:val="231F20"/>
          <w:spacing w:val="-3"/>
          <w:position w:val="7"/>
          <w:sz w:val="14"/>
        </w:rPr>
        <w:t> </w:t>
      </w:r>
      <w:r>
        <w:rPr>
          <w:color w:val="231F20"/>
          <w:spacing w:val="-6"/>
        </w:rPr>
        <w:t>The</w:t>
      </w:r>
      <w:r>
        <w:rPr>
          <w:color w:val="231F20"/>
          <w:spacing w:val="-7"/>
        </w:rPr>
        <w:t> </w:t>
      </w:r>
      <w:r>
        <w:rPr>
          <w:color w:val="231F20"/>
          <w:spacing w:val="-6"/>
        </w:rPr>
        <w:t>key</w:t>
      </w:r>
      <w:r>
        <w:rPr>
          <w:color w:val="231F20"/>
          <w:spacing w:val="-7"/>
        </w:rPr>
        <w:t> </w:t>
      </w:r>
      <w:r>
        <w:rPr>
          <w:color w:val="231F20"/>
          <w:spacing w:val="-6"/>
        </w:rPr>
        <w:t>performance</w:t>
      </w:r>
      <w:r>
        <w:rPr>
          <w:color w:val="231F20"/>
          <w:spacing w:val="-8"/>
        </w:rPr>
        <w:t> </w:t>
      </w:r>
      <w:r>
        <w:rPr>
          <w:color w:val="231F20"/>
          <w:spacing w:val="-6"/>
        </w:rPr>
        <w:t>indicators</w:t>
      </w:r>
      <w:r>
        <w:rPr>
          <w:color w:val="231F20"/>
          <w:spacing w:val="-7"/>
        </w:rPr>
        <w:t> </w:t>
      </w:r>
      <w:r>
        <w:rPr>
          <w:color w:val="231F20"/>
          <w:spacing w:val="-6"/>
        </w:rPr>
        <w:t>in</w:t>
      </w:r>
      <w:r>
        <w:rPr>
          <w:color w:val="231F20"/>
          <w:spacing w:val="-7"/>
        </w:rPr>
        <w:t> </w:t>
      </w:r>
      <w:r>
        <w:rPr>
          <w:color w:val="231F20"/>
          <w:spacing w:val="-6"/>
        </w:rPr>
        <w:t>this </w:t>
      </w:r>
      <w:r>
        <w:rPr>
          <w:color w:val="231F20"/>
          <w:spacing w:val="-4"/>
        </w:rPr>
        <w:t>report</w:t>
      </w:r>
      <w:r>
        <w:rPr>
          <w:color w:val="231F20"/>
          <w:spacing w:val="-7"/>
        </w:rPr>
        <w:t> </w:t>
      </w:r>
      <w:r>
        <w:rPr>
          <w:color w:val="231F20"/>
          <w:spacing w:val="-4"/>
        </w:rPr>
        <w:t>provide</w:t>
      </w:r>
      <w:r>
        <w:rPr>
          <w:color w:val="231F20"/>
          <w:spacing w:val="-7"/>
        </w:rPr>
        <w:t> </w:t>
      </w:r>
      <w:r>
        <w:rPr>
          <w:color w:val="231F20"/>
          <w:spacing w:val="-4"/>
        </w:rPr>
        <w:t>information</w:t>
      </w:r>
      <w:r>
        <w:rPr>
          <w:color w:val="231F20"/>
          <w:spacing w:val="-7"/>
        </w:rPr>
        <w:t> </w:t>
      </w:r>
      <w:r>
        <w:rPr>
          <w:color w:val="231F20"/>
          <w:spacing w:val="-4"/>
        </w:rPr>
        <w:t>on</w:t>
      </w:r>
      <w:r>
        <w:rPr>
          <w:color w:val="231F20"/>
          <w:spacing w:val="-7"/>
        </w:rPr>
        <w:t> </w:t>
      </w:r>
      <w:r>
        <w:rPr>
          <w:color w:val="231F20"/>
          <w:spacing w:val="-4"/>
        </w:rPr>
        <w:t>the</w:t>
      </w:r>
      <w:r>
        <w:rPr>
          <w:color w:val="231F20"/>
          <w:spacing w:val="-7"/>
        </w:rPr>
        <w:t> </w:t>
      </w:r>
      <w:r>
        <w:rPr>
          <w:color w:val="231F20"/>
          <w:spacing w:val="-4"/>
        </w:rPr>
        <w:t>time</w:t>
      </w:r>
      <w:r>
        <w:rPr>
          <w:color w:val="231F20"/>
          <w:spacing w:val="-7"/>
        </w:rPr>
        <w:t> </w:t>
      </w:r>
      <w:r>
        <w:rPr>
          <w:color w:val="231F20"/>
          <w:spacing w:val="-4"/>
        </w:rPr>
        <w:t>it</w:t>
      </w:r>
      <w:r>
        <w:rPr>
          <w:color w:val="231F20"/>
          <w:spacing w:val="-7"/>
        </w:rPr>
        <w:t> </w:t>
      </w:r>
      <w:r>
        <w:rPr>
          <w:color w:val="231F20"/>
          <w:spacing w:val="-4"/>
        </w:rPr>
        <w:t>takes </w:t>
      </w:r>
      <w:r>
        <w:rPr>
          <w:color w:val="231F20"/>
          <w:spacing w:val="-10"/>
        </w:rPr>
        <w:t>containers</w:t>
      </w:r>
      <w:r>
        <w:rPr>
          <w:color w:val="231F20"/>
        </w:rPr>
        <w:t> </w:t>
      </w:r>
      <w:r>
        <w:rPr>
          <w:color w:val="231F20"/>
          <w:spacing w:val="-10"/>
        </w:rPr>
        <w:t>to</w:t>
      </w:r>
      <w:r>
        <w:rPr>
          <w:color w:val="231F20"/>
        </w:rPr>
        <w:t> </w:t>
      </w:r>
      <w:r>
        <w:rPr>
          <w:color w:val="231F20"/>
          <w:spacing w:val="-10"/>
        </w:rPr>
        <w:t>reach</w:t>
      </w:r>
      <w:r>
        <w:rPr>
          <w:color w:val="231F20"/>
        </w:rPr>
        <w:t> </w:t>
      </w:r>
      <w:r>
        <w:rPr>
          <w:color w:val="231F20"/>
          <w:spacing w:val="-10"/>
        </w:rPr>
        <w:t>landlocked</w:t>
      </w:r>
      <w:r>
        <w:rPr>
          <w:color w:val="231F20"/>
        </w:rPr>
        <w:t> </w:t>
      </w:r>
      <w:r>
        <w:rPr>
          <w:color w:val="231F20"/>
          <w:spacing w:val="-10"/>
        </w:rPr>
        <w:t>countries</w:t>
      </w:r>
      <w:r>
        <w:rPr>
          <w:color w:val="231F20"/>
        </w:rPr>
        <w:t> </w:t>
      </w:r>
      <w:r>
        <w:rPr>
          <w:color w:val="231F20"/>
          <w:spacing w:val="-10"/>
        </w:rPr>
        <w:t>through </w:t>
      </w:r>
      <w:r>
        <w:rPr>
          <w:color w:val="231F20"/>
        </w:rPr>
        <w:t>transport corridors that link them to ports in </w:t>
      </w:r>
      <w:r>
        <w:rPr>
          <w:color w:val="231F20"/>
          <w:spacing w:val="-2"/>
          <w:w w:val="90"/>
        </w:rPr>
        <w:t>transit</w:t>
      </w:r>
      <w:r>
        <w:rPr>
          <w:color w:val="231F20"/>
          <w:spacing w:val="-6"/>
          <w:w w:val="90"/>
        </w:rPr>
        <w:t> </w:t>
      </w:r>
      <w:r>
        <w:rPr>
          <w:color w:val="231F20"/>
          <w:spacing w:val="-2"/>
          <w:w w:val="90"/>
        </w:rPr>
        <w:t>countries.</w:t>
      </w:r>
      <w:r>
        <w:rPr>
          <w:color w:val="231F20"/>
          <w:spacing w:val="-6"/>
          <w:w w:val="90"/>
        </w:rPr>
        <w:t> </w:t>
      </w:r>
      <w:r>
        <w:rPr>
          <w:color w:val="231F20"/>
          <w:spacing w:val="-2"/>
          <w:w w:val="90"/>
        </w:rPr>
        <w:t>Data</w:t>
      </w:r>
      <w:r>
        <w:rPr>
          <w:color w:val="231F20"/>
          <w:spacing w:val="-6"/>
          <w:w w:val="90"/>
        </w:rPr>
        <w:t> </w:t>
      </w:r>
      <w:r>
        <w:rPr>
          <w:color w:val="231F20"/>
          <w:spacing w:val="-2"/>
          <w:w w:val="90"/>
        </w:rPr>
        <w:t>are</w:t>
      </w:r>
      <w:r>
        <w:rPr>
          <w:color w:val="231F20"/>
          <w:spacing w:val="-6"/>
          <w:w w:val="90"/>
        </w:rPr>
        <w:t> </w:t>
      </w:r>
      <w:r>
        <w:rPr>
          <w:color w:val="231F20"/>
          <w:spacing w:val="-2"/>
          <w:w w:val="90"/>
        </w:rPr>
        <w:t>available</w:t>
      </w:r>
      <w:r>
        <w:rPr>
          <w:color w:val="231F20"/>
          <w:spacing w:val="-6"/>
          <w:w w:val="90"/>
        </w:rPr>
        <w:t> </w:t>
      </w:r>
      <w:r>
        <w:rPr>
          <w:color w:val="231F20"/>
          <w:spacing w:val="-2"/>
          <w:w w:val="90"/>
        </w:rPr>
        <w:t>for</w:t>
      </w:r>
      <w:r>
        <w:rPr>
          <w:color w:val="231F20"/>
          <w:spacing w:val="-6"/>
          <w:w w:val="90"/>
        </w:rPr>
        <w:t> </w:t>
      </w:r>
      <w:r>
        <w:rPr>
          <w:color w:val="231F20"/>
          <w:spacing w:val="-2"/>
          <w:w w:val="90"/>
        </w:rPr>
        <w:t>landlocked </w:t>
      </w:r>
      <w:r>
        <w:rPr>
          <w:color w:val="231F20"/>
          <w:spacing w:val="-4"/>
        </w:rPr>
        <w:t>African,</w:t>
      </w:r>
      <w:r>
        <w:rPr>
          <w:color w:val="231F20"/>
          <w:spacing w:val="-16"/>
        </w:rPr>
        <w:t> </w:t>
      </w:r>
      <w:r>
        <w:rPr>
          <w:color w:val="231F20"/>
          <w:spacing w:val="-4"/>
        </w:rPr>
        <w:t>European,</w:t>
      </w:r>
      <w:r>
        <w:rPr>
          <w:color w:val="231F20"/>
          <w:spacing w:val="-16"/>
        </w:rPr>
        <w:t> </w:t>
      </w:r>
      <w:r>
        <w:rPr>
          <w:color w:val="231F20"/>
          <w:spacing w:val="-4"/>
        </w:rPr>
        <w:t>and</w:t>
      </w:r>
      <w:r>
        <w:rPr>
          <w:color w:val="231F20"/>
          <w:spacing w:val="-16"/>
        </w:rPr>
        <w:t> </w:t>
      </w:r>
      <w:r>
        <w:rPr>
          <w:color w:val="231F20"/>
          <w:spacing w:val="-4"/>
        </w:rPr>
        <w:t>South</w:t>
      </w:r>
      <w:r>
        <w:rPr>
          <w:color w:val="231F20"/>
          <w:spacing w:val="-16"/>
        </w:rPr>
        <w:t> </w:t>
      </w:r>
      <w:r>
        <w:rPr>
          <w:color w:val="231F20"/>
          <w:spacing w:val="-4"/>
        </w:rPr>
        <w:t>Asian</w:t>
      </w:r>
      <w:r>
        <w:rPr>
          <w:color w:val="231F20"/>
          <w:spacing w:val="-16"/>
        </w:rPr>
        <w:t> </w:t>
      </w:r>
      <w:r>
        <w:rPr>
          <w:color w:val="231F20"/>
          <w:spacing w:val="-4"/>
        </w:rPr>
        <w:t>countries.</w:t>
      </w:r>
    </w:p>
    <w:p>
      <w:pPr>
        <w:pStyle w:val="BodyText"/>
        <w:spacing w:line="268" w:lineRule="auto"/>
        <w:ind w:left="198" w:right="657" w:firstLine="300"/>
        <w:jc w:val="right"/>
      </w:pPr>
      <w:r>
        <w:rPr>
          <w:color w:val="231F20"/>
          <w:w w:val="90"/>
        </w:rPr>
        <w:t>Relevant</w:t>
      </w:r>
      <w:r>
        <w:rPr>
          <w:color w:val="231F20"/>
          <w:spacing w:val="-18"/>
          <w:w w:val="90"/>
        </w:rPr>
        <w:t> </w:t>
      </w:r>
      <w:r>
        <w:rPr>
          <w:color w:val="231F20"/>
          <w:w w:val="90"/>
        </w:rPr>
        <w:t>key</w:t>
      </w:r>
      <w:r>
        <w:rPr>
          <w:color w:val="231F20"/>
          <w:spacing w:val="-18"/>
          <w:w w:val="90"/>
        </w:rPr>
        <w:t> </w:t>
      </w:r>
      <w:r>
        <w:rPr>
          <w:color w:val="231F20"/>
          <w:w w:val="90"/>
        </w:rPr>
        <w:t>performance</w:t>
      </w:r>
      <w:r>
        <w:rPr>
          <w:color w:val="231F20"/>
          <w:spacing w:val="-18"/>
          <w:w w:val="90"/>
        </w:rPr>
        <w:t> </w:t>
      </w:r>
      <w:r>
        <w:rPr>
          <w:color w:val="231F20"/>
          <w:w w:val="90"/>
        </w:rPr>
        <w:t>indicators</w:t>
      </w:r>
      <w:r>
        <w:rPr>
          <w:color w:val="231F20"/>
          <w:spacing w:val="-17"/>
          <w:w w:val="90"/>
        </w:rPr>
        <w:t> </w:t>
      </w:r>
      <w:r>
        <w:rPr>
          <w:color w:val="231F20"/>
          <w:w w:val="90"/>
        </w:rPr>
        <w:t>for</w:t>
      </w:r>
      <w:r>
        <w:rPr>
          <w:color w:val="231F20"/>
          <w:spacing w:val="-18"/>
          <w:w w:val="90"/>
        </w:rPr>
        <w:t> </w:t>
      </w:r>
      <w:r>
        <w:rPr>
          <w:color w:val="231F20"/>
          <w:w w:val="90"/>
        </w:rPr>
        <w:t>land- locked</w:t>
      </w:r>
      <w:r>
        <w:rPr>
          <w:color w:val="231F20"/>
          <w:spacing w:val="-15"/>
          <w:w w:val="90"/>
        </w:rPr>
        <w:t> </w:t>
      </w:r>
      <w:r>
        <w:rPr>
          <w:color w:val="231F20"/>
          <w:w w:val="90"/>
        </w:rPr>
        <w:t>developing</w:t>
      </w:r>
      <w:r>
        <w:rPr>
          <w:color w:val="231F20"/>
          <w:spacing w:val="-15"/>
          <w:w w:val="90"/>
        </w:rPr>
        <w:t> </w:t>
      </w:r>
      <w:r>
        <w:rPr>
          <w:color w:val="231F20"/>
          <w:w w:val="90"/>
        </w:rPr>
        <w:t>countries</w:t>
      </w:r>
      <w:r>
        <w:rPr>
          <w:color w:val="231F20"/>
          <w:spacing w:val="-15"/>
          <w:w w:val="90"/>
        </w:rPr>
        <w:t> </w:t>
      </w:r>
      <w:r>
        <w:rPr>
          <w:color w:val="231F20"/>
          <w:w w:val="90"/>
        </w:rPr>
        <w:t>include</w:t>
      </w:r>
      <w:r>
        <w:rPr>
          <w:color w:val="231F20"/>
          <w:spacing w:val="-15"/>
          <w:w w:val="90"/>
        </w:rPr>
        <w:t> </w:t>
      </w:r>
      <w:r>
        <w:rPr>
          <w:color w:val="231F20"/>
          <w:w w:val="90"/>
        </w:rPr>
        <w:t>dwell</w:t>
      </w:r>
      <w:r>
        <w:rPr>
          <w:color w:val="231F20"/>
          <w:spacing w:val="-15"/>
          <w:w w:val="90"/>
        </w:rPr>
        <w:t> </w:t>
      </w:r>
      <w:r>
        <w:rPr>
          <w:color w:val="231F20"/>
          <w:w w:val="90"/>
        </w:rPr>
        <w:t>time</w:t>
      </w:r>
      <w:r>
        <w:rPr>
          <w:color w:val="231F20"/>
          <w:spacing w:val="-15"/>
          <w:w w:val="90"/>
        </w:rPr>
        <w:t> </w:t>
      </w:r>
      <w:r>
        <w:rPr>
          <w:color w:val="231F20"/>
          <w:w w:val="90"/>
        </w:rPr>
        <w:t>at </w:t>
      </w:r>
      <w:r>
        <w:rPr>
          <w:color w:val="231F20"/>
          <w:spacing w:val="-6"/>
        </w:rPr>
        <w:t>port</w:t>
      </w:r>
      <w:r>
        <w:rPr>
          <w:color w:val="231F20"/>
          <w:spacing w:val="-12"/>
        </w:rPr>
        <w:t> </w:t>
      </w:r>
      <w:r>
        <w:rPr>
          <w:color w:val="231F20"/>
          <w:spacing w:val="-6"/>
        </w:rPr>
        <w:t>of</w:t>
      </w:r>
      <w:r>
        <w:rPr>
          <w:color w:val="231F20"/>
          <w:spacing w:val="-10"/>
        </w:rPr>
        <w:t> </w:t>
      </w:r>
      <w:r>
        <w:rPr>
          <w:color w:val="231F20"/>
          <w:spacing w:val="-6"/>
        </w:rPr>
        <w:t>entry,</w:t>
      </w:r>
      <w:r>
        <w:rPr>
          <w:color w:val="231F20"/>
          <w:spacing w:val="-10"/>
        </w:rPr>
        <w:t> </w:t>
      </w:r>
      <w:r>
        <w:rPr>
          <w:color w:val="231F20"/>
          <w:spacing w:val="-6"/>
        </w:rPr>
        <w:t>consolidated</w:t>
      </w:r>
      <w:r>
        <w:rPr>
          <w:color w:val="231F20"/>
          <w:spacing w:val="-10"/>
        </w:rPr>
        <w:t> </w:t>
      </w:r>
      <w:r>
        <w:rPr>
          <w:color w:val="231F20"/>
          <w:spacing w:val="-6"/>
        </w:rPr>
        <w:t>dwell</w:t>
      </w:r>
      <w:r>
        <w:rPr>
          <w:color w:val="231F20"/>
          <w:spacing w:val="-10"/>
        </w:rPr>
        <w:t> </w:t>
      </w:r>
      <w:r>
        <w:rPr>
          <w:color w:val="231F20"/>
          <w:spacing w:val="-6"/>
        </w:rPr>
        <w:t>time</w:t>
      </w:r>
      <w:r>
        <w:rPr>
          <w:color w:val="231F20"/>
          <w:spacing w:val="-10"/>
        </w:rPr>
        <w:t> </w:t>
      </w:r>
      <w:r>
        <w:rPr>
          <w:color w:val="231F20"/>
          <w:spacing w:val="-6"/>
        </w:rPr>
        <w:t>adding</w:t>
      </w:r>
      <w:r>
        <w:rPr>
          <w:color w:val="231F20"/>
          <w:spacing w:val="-10"/>
        </w:rPr>
        <w:t> </w:t>
      </w:r>
      <w:r>
        <w:rPr>
          <w:color w:val="231F20"/>
          <w:spacing w:val="-6"/>
        </w:rPr>
        <w:t>to port</w:t>
      </w:r>
      <w:r>
        <w:rPr>
          <w:color w:val="231F20"/>
          <w:spacing w:val="-16"/>
        </w:rPr>
        <w:t> </w:t>
      </w:r>
      <w:r>
        <w:rPr>
          <w:color w:val="231F20"/>
          <w:spacing w:val="-6"/>
        </w:rPr>
        <w:t>dwell</w:t>
      </w:r>
      <w:r>
        <w:rPr>
          <w:color w:val="231F20"/>
          <w:spacing w:val="-14"/>
        </w:rPr>
        <w:t> </w:t>
      </w:r>
      <w:r>
        <w:rPr>
          <w:color w:val="231F20"/>
          <w:spacing w:val="-6"/>
        </w:rPr>
        <w:t>time</w:t>
      </w:r>
      <w:r>
        <w:rPr>
          <w:color w:val="231F20"/>
          <w:spacing w:val="-14"/>
        </w:rPr>
        <w:t> </w:t>
      </w:r>
      <w:r>
        <w:rPr>
          <w:color w:val="231F20"/>
          <w:spacing w:val="-6"/>
        </w:rPr>
        <w:t>at</w:t>
      </w:r>
      <w:r>
        <w:rPr>
          <w:color w:val="231F20"/>
          <w:spacing w:val="-14"/>
        </w:rPr>
        <w:t> </w:t>
      </w:r>
      <w:r>
        <w:rPr>
          <w:color w:val="231F20"/>
          <w:spacing w:val="-6"/>
        </w:rPr>
        <w:t>inland</w:t>
      </w:r>
      <w:r>
        <w:rPr>
          <w:color w:val="231F20"/>
          <w:spacing w:val="-14"/>
        </w:rPr>
        <w:t> </w:t>
      </w:r>
      <w:r>
        <w:rPr>
          <w:color w:val="231F20"/>
          <w:spacing w:val="-6"/>
        </w:rPr>
        <w:t>facilities,</w:t>
      </w:r>
      <w:r>
        <w:rPr>
          <w:color w:val="231F20"/>
          <w:spacing w:val="-14"/>
        </w:rPr>
        <w:t> </w:t>
      </w:r>
      <w:r>
        <w:rPr>
          <w:color w:val="231F20"/>
          <w:spacing w:val="-6"/>
        </w:rPr>
        <w:t>and</w:t>
      </w:r>
      <w:r>
        <w:rPr>
          <w:color w:val="231F20"/>
          <w:spacing w:val="-14"/>
        </w:rPr>
        <w:t> </w:t>
      </w:r>
      <w:r>
        <w:rPr>
          <w:color w:val="231F20"/>
          <w:spacing w:val="-6"/>
        </w:rPr>
        <w:t>lead</w:t>
      </w:r>
      <w:r>
        <w:rPr>
          <w:color w:val="231F20"/>
          <w:spacing w:val="-14"/>
        </w:rPr>
        <w:t> </w:t>
      </w:r>
      <w:r>
        <w:rPr>
          <w:color w:val="231F20"/>
          <w:spacing w:val="-6"/>
        </w:rPr>
        <w:t>time </w:t>
      </w:r>
      <w:r>
        <w:rPr>
          <w:color w:val="231F20"/>
          <w:spacing w:val="-8"/>
        </w:rPr>
        <w:t>on</w:t>
      </w:r>
      <w:r>
        <w:rPr>
          <w:color w:val="231F20"/>
          <w:spacing w:val="-14"/>
        </w:rPr>
        <w:t> </w:t>
      </w:r>
      <w:r>
        <w:rPr>
          <w:color w:val="231F20"/>
          <w:spacing w:val="-8"/>
        </w:rPr>
        <w:t>corridors</w:t>
      </w:r>
      <w:r>
        <w:rPr>
          <w:color w:val="231F20"/>
          <w:spacing w:val="-14"/>
        </w:rPr>
        <w:t> </w:t>
      </w:r>
      <w:r>
        <w:rPr>
          <w:color w:val="231F20"/>
          <w:spacing w:val="-8"/>
        </w:rPr>
        <w:t>(which</w:t>
      </w:r>
      <w:r>
        <w:rPr>
          <w:color w:val="231F20"/>
          <w:spacing w:val="-14"/>
        </w:rPr>
        <w:t> </w:t>
      </w:r>
      <w:r>
        <w:rPr>
          <w:color w:val="231F20"/>
          <w:spacing w:val="-8"/>
        </w:rPr>
        <w:t>combines</w:t>
      </w:r>
      <w:r>
        <w:rPr>
          <w:color w:val="231F20"/>
          <w:spacing w:val="-14"/>
        </w:rPr>
        <w:t> </w:t>
      </w:r>
      <w:r>
        <w:rPr>
          <w:color w:val="231F20"/>
          <w:spacing w:val="-8"/>
        </w:rPr>
        <w:t>time</w:t>
      </w:r>
      <w:r>
        <w:rPr>
          <w:color w:val="231F20"/>
          <w:spacing w:val="-14"/>
        </w:rPr>
        <w:t> </w:t>
      </w:r>
      <w:r>
        <w:rPr>
          <w:color w:val="231F20"/>
          <w:spacing w:val="-8"/>
        </w:rPr>
        <w:t>in</w:t>
      </w:r>
      <w:r>
        <w:rPr>
          <w:color w:val="231F20"/>
          <w:spacing w:val="-14"/>
        </w:rPr>
        <w:t> </w:t>
      </w:r>
      <w:r>
        <w:rPr>
          <w:color w:val="231F20"/>
          <w:spacing w:val="-8"/>
        </w:rPr>
        <w:t>actual</w:t>
      </w:r>
      <w:r>
        <w:rPr>
          <w:color w:val="231F20"/>
          <w:spacing w:val="-14"/>
        </w:rPr>
        <w:t> </w:t>
      </w:r>
      <w:r>
        <w:rPr>
          <w:color w:val="231F20"/>
          <w:spacing w:val="-8"/>
        </w:rPr>
        <w:t>mo- </w:t>
      </w:r>
      <w:r>
        <w:rPr>
          <w:color w:val="231F20"/>
          <w:spacing w:val="-4"/>
        </w:rPr>
        <w:t>tion</w:t>
      </w:r>
      <w:r>
        <w:rPr>
          <w:color w:val="231F20"/>
          <w:spacing w:val="-8"/>
        </w:rPr>
        <w:t> </w:t>
      </w:r>
      <w:r>
        <w:rPr>
          <w:color w:val="231F20"/>
          <w:spacing w:val="-4"/>
        </w:rPr>
        <w:t>with,</w:t>
      </w:r>
      <w:r>
        <w:rPr>
          <w:color w:val="231F20"/>
          <w:spacing w:val="-8"/>
        </w:rPr>
        <w:t> </w:t>
      </w:r>
      <w:r>
        <w:rPr>
          <w:color w:val="231F20"/>
          <w:spacing w:val="-4"/>
        </w:rPr>
        <w:t>for</w:t>
      </w:r>
      <w:r>
        <w:rPr>
          <w:color w:val="231F20"/>
          <w:spacing w:val="-8"/>
        </w:rPr>
        <w:t> </w:t>
      </w:r>
      <w:r>
        <w:rPr>
          <w:color w:val="231F20"/>
          <w:spacing w:val="-4"/>
        </w:rPr>
        <w:t>instance,</w:t>
      </w:r>
      <w:r>
        <w:rPr>
          <w:color w:val="231F20"/>
          <w:spacing w:val="-8"/>
        </w:rPr>
        <w:t> </w:t>
      </w:r>
      <w:r>
        <w:rPr>
          <w:color w:val="231F20"/>
          <w:spacing w:val="-4"/>
        </w:rPr>
        <w:t>idle</w:t>
      </w:r>
      <w:r>
        <w:rPr>
          <w:color w:val="231F20"/>
          <w:spacing w:val="-8"/>
        </w:rPr>
        <w:t> </w:t>
      </w:r>
      <w:r>
        <w:rPr>
          <w:color w:val="231F20"/>
          <w:spacing w:val="-4"/>
        </w:rPr>
        <w:t>time</w:t>
      </w:r>
      <w:r>
        <w:rPr>
          <w:color w:val="231F20"/>
          <w:spacing w:val="-8"/>
        </w:rPr>
        <w:t> </w:t>
      </w:r>
      <w:r>
        <w:rPr>
          <w:color w:val="231F20"/>
          <w:spacing w:val="-4"/>
        </w:rPr>
        <w:t>at</w:t>
      </w:r>
      <w:r>
        <w:rPr>
          <w:color w:val="231F20"/>
          <w:spacing w:val="-8"/>
        </w:rPr>
        <w:t> </w:t>
      </w:r>
      <w:r>
        <w:rPr>
          <w:color w:val="231F20"/>
          <w:spacing w:val="-4"/>
        </w:rPr>
        <w:t>land</w:t>
      </w:r>
      <w:r>
        <w:rPr>
          <w:color w:val="231F20"/>
          <w:spacing w:val="-8"/>
        </w:rPr>
        <w:t> </w:t>
      </w:r>
      <w:r>
        <w:rPr>
          <w:color w:val="231F20"/>
          <w:spacing w:val="-4"/>
        </w:rPr>
        <w:t>border </w:t>
      </w:r>
      <w:r>
        <w:rPr>
          <w:color w:val="231F20"/>
          <w:spacing w:val="-8"/>
        </w:rPr>
        <w:t>crossings)</w:t>
      </w:r>
      <w:r>
        <w:rPr>
          <w:color w:val="231F20"/>
        </w:rPr>
        <w:t> </w:t>
      </w:r>
      <w:r>
        <w:rPr>
          <w:color w:val="231F20"/>
          <w:spacing w:val="-8"/>
        </w:rPr>
        <w:t>(see</w:t>
      </w:r>
      <w:r>
        <w:rPr>
          <w:color w:val="231F20"/>
        </w:rPr>
        <w:t> </w:t>
      </w:r>
      <w:r>
        <w:rPr>
          <w:color w:val="231F20"/>
          <w:spacing w:val="-8"/>
        </w:rPr>
        <w:t>appendix</w:t>
      </w:r>
      <w:r>
        <w:rPr>
          <w:color w:val="231F20"/>
        </w:rPr>
        <w:t> </w:t>
      </w:r>
      <w:r>
        <w:rPr>
          <w:color w:val="231F20"/>
          <w:spacing w:val="-8"/>
        </w:rPr>
        <w:t>2).</w:t>
      </w:r>
      <w:r>
        <w:rPr>
          <w:color w:val="231F20"/>
        </w:rPr>
        <w:t> </w:t>
      </w:r>
      <w:r>
        <w:rPr>
          <w:color w:val="231F20"/>
          <w:spacing w:val="-8"/>
        </w:rPr>
        <w:t>While</w:t>
      </w:r>
      <w:r>
        <w:rPr>
          <w:color w:val="231F20"/>
        </w:rPr>
        <w:t> </w:t>
      </w:r>
      <w:r>
        <w:rPr>
          <w:color w:val="231F20"/>
          <w:spacing w:val="-8"/>
        </w:rPr>
        <w:t>covering</w:t>
      </w:r>
      <w:r>
        <w:rPr>
          <w:color w:val="231F20"/>
        </w:rPr>
        <w:t> </w:t>
      </w:r>
      <w:r>
        <w:rPr>
          <w:color w:val="231F20"/>
          <w:spacing w:val="-8"/>
        </w:rPr>
        <w:t>the </w:t>
      </w:r>
      <w:r>
        <w:rPr>
          <w:color w:val="231F20"/>
          <w:spacing w:val="-6"/>
        </w:rPr>
        <w:t>bulk</w:t>
      </w:r>
      <w:r>
        <w:rPr>
          <w:color w:val="231F20"/>
          <w:spacing w:val="-14"/>
        </w:rPr>
        <w:t> </w:t>
      </w:r>
      <w:r>
        <w:rPr>
          <w:color w:val="231F20"/>
          <w:spacing w:val="-6"/>
        </w:rPr>
        <w:t>of</w:t>
      </w:r>
      <w:r>
        <w:rPr>
          <w:color w:val="231F20"/>
          <w:spacing w:val="-12"/>
        </w:rPr>
        <w:t> </w:t>
      </w:r>
      <w:r>
        <w:rPr>
          <w:color w:val="231F20"/>
          <w:spacing w:val="-6"/>
        </w:rPr>
        <w:t>international</w:t>
      </w:r>
      <w:r>
        <w:rPr>
          <w:color w:val="231F20"/>
          <w:spacing w:val="-12"/>
        </w:rPr>
        <w:t> </w:t>
      </w:r>
      <w:r>
        <w:rPr>
          <w:color w:val="231F20"/>
          <w:spacing w:val="-6"/>
        </w:rPr>
        <w:t>trade</w:t>
      </w:r>
      <w:r>
        <w:rPr>
          <w:color w:val="231F20"/>
          <w:spacing w:val="-12"/>
        </w:rPr>
        <w:t> </w:t>
      </w:r>
      <w:r>
        <w:rPr>
          <w:color w:val="231F20"/>
          <w:spacing w:val="-6"/>
        </w:rPr>
        <w:t>for</w:t>
      </w:r>
      <w:r>
        <w:rPr>
          <w:color w:val="231F20"/>
          <w:spacing w:val="-12"/>
        </w:rPr>
        <w:t> </w:t>
      </w:r>
      <w:r>
        <w:rPr>
          <w:color w:val="231F20"/>
          <w:spacing w:val="-6"/>
        </w:rPr>
        <w:t>landlocked</w:t>
      </w:r>
      <w:r>
        <w:rPr>
          <w:color w:val="231F20"/>
          <w:spacing w:val="-12"/>
        </w:rPr>
        <w:t> </w:t>
      </w:r>
      <w:r>
        <w:rPr>
          <w:color w:val="231F20"/>
          <w:spacing w:val="-6"/>
        </w:rPr>
        <w:t>devel- </w:t>
      </w:r>
      <w:r>
        <w:rPr>
          <w:color w:val="231F20"/>
          <w:w w:val="90"/>
        </w:rPr>
        <w:t>oping</w:t>
      </w:r>
      <w:r>
        <w:rPr>
          <w:color w:val="231F20"/>
          <w:spacing w:val="-9"/>
          <w:w w:val="90"/>
        </w:rPr>
        <w:t> </w:t>
      </w:r>
      <w:r>
        <w:rPr>
          <w:color w:val="231F20"/>
          <w:w w:val="90"/>
        </w:rPr>
        <w:t>countries,</w:t>
      </w:r>
      <w:r>
        <w:rPr>
          <w:color w:val="231F20"/>
          <w:spacing w:val="-8"/>
          <w:w w:val="90"/>
        </w:rPr>
        <w:t> </w:t>
      </w:r>
      <w:r>
        <w:rPr>
          <w:color w:val="231F20"/>
          <w:w w:val="90"/>
        </w:rPr>
        <w:t>these</w:t>
      </w:r>
      <w:r>
        <w:rPr>
          <w:color w:val="231F20"/>
          <w:spacing w:val="-9"/>
          <w:w w:val="90"/>
        </w:rPr>
        <w:t> </w:t>
      </w:r>
      <w:r>
        <w:rPr>
          <w:color w:val="231F20"/>
          <w:w w:val="90"/>
        </w:rPr>
        <w:t>data</w:t>
      </w:r>
      <w:r>
        <w:rPr>
          <w:color w:val="231F20"/>
          <w:spacing w:val="-8"/>
          <w:w w:val="90"/>
        </w:rPr>
        <w:t> </w:t>
      </w:r>
      <w:r>
        <w:rPr>
          <w:color w:val="231F20"/>
          <w:w w:val="90"/>
        </w:rPr>
        <w:t>are</w:t>
      </w:r>
      <w:r>
        <w:rPr>
          <w:color w:val="231F20"/>
          <w:spacing w:val="-9"/>
          <w:w w:val="90"/>
        </w:rPr>
        <w:t> </w:t>
      </w:r>
      <w:r>
        <w:rPr>
          <w:color w:val="231F20"/>
          <w:w w:val="90"/>
        </w:rPr>
        <w:t>less</w:t>
      </w:r>
      <w:r>
        <w:rPr>
          <w:color w:val="231F20"/>
          <w:spacing w:val="-8"/>
          <w:w w:val="90"/>
        </w:rPr>
        <w:t> </w:t>
      </w:r>
      <w:r>
        <w:rPr>
          <w:color w:val="231F20"/>
          <w:w w:val="90"/>
        </w:rPr>
        <w:t>representative </w:t>
      </w:r>
      <w:r>
        <w:rPr>
          <w:color w:val="231F20"/>
          <w:spacing w:val="-8"/>
        </w:rPr>
        <w:t>for</w:t>
      </w:r>
      <w:r>
        <w:rPr>
          <w:color w:val="231F20"/>
          <w:spacing w:val="-24"/>
        </w:rPr>
        <w:t> </w:t>
      </w:r>
      <w:r>
        <w:rPr>
          <w:color w:val="231F20"/>
          <w:spacing w:val="-8"/>
        </w:rPr>
        <w:t>EU</w:t>
      </w:r>
      <w:r>
        <w:rPr>
          <w:color w:val="231F20"/>
          <w:spacing w:val="-22"/>
        </w:rPr>
        <w:t> </w:t>
      </w:r>
      <w:r>
        <w:rPr>
          <w:color w:val="231F20"/>
          <w:spacing w:val="-8"/>
        </w:rPr>
        <w:t>countries,</w:t>
      </w:r>
      <w:r>
        <w:rPr>
          <w:color w:val="231F20"/>
          <w:spacing w:val="-22"/>
        </w:rPr>
        <w:t> </w:t>
      </w:r>
      <w:r>
        <w:rPr>
          <w:color w:val="231F20"/>
          <w:spacing w:val="-8"/>
        </w:rPr>
        <w:t>where</w:t>
      </w:r>
      <w:r>
        <w:rPr>
          <w:color w:val="231F20"/>
          <w:spacing w:val="-22"/>
        </w:rPr>
        <w:t> </w:t>
      </w:r>
      <w:r>
        <w:rPr>
          <w:color w:val="231F20"/>
          <w:spacing w:val="-8"/>
        </w:rPr>
        <w:t>direct</w:t>
      </w:r>
      <w:r>
        <w:rPr>
          <w:color w:val="231F20"/>
          <w:spacing w:val="-22"/>
        </w:rPr>
        <w:t> </w:t>
      </w:r>
      <w:r>
        <w:rPr>
          <w:color w:val="231F20"/>
          <w:spacing w:val="-8"/>
        </w:rPr>
        <w:t>trucking</w:t>
      </w:r>
      <w:r>
        <w:rPr>
          <w:color w:val="231F20"/>
          <w:spacing w:val="-22"/>
        </w:rPr>
        <w:t> </w:t>
      </w:r>
      <w:r>
        <w:rPr>
          <w:color w:val="231F20"/>
          <w:spacing w:val="-8"/>
        </w:rPr>
        <w:t>is</w:t>
      </w:r>
      <w:r>
        <w:rPr>
          <w:color w:val="231F20"/>
          <w:spacing w:val="-22"/>
        </w:rPr>
        <w:t> </w:t>
      </w:r>
      <w:r>
        <w:rPr>
          <w:color w:val="231F20"/>
          <w:spacing w:val="-8"/>
        </w:rPr>
        <w:t>favored </w:t>
      </w:r>
      <w:r>
        <w:rPr>
          <w:color w:val="231F20"/>
          <w:spacing w:val="-6"/>
        </w:rPr>
        <w:t>over</w:t>
      </w:r>
      <w:r>
        <w:rPr>
          <w:color w:val="231F20"/>
          <w:spacing w:val="-18"/>
        </w:rPr>
        <w:t> </w:t>
      </w:r>
      <w:r>
        <w:rPr>
          <w:color w:val="231F20"/>
          <w:spacing w:val="-6"/>
        </w:rPr>
        <w:t>containerized</w:t>
      </w:r>
      <w:r>
        <w:rPr>
          <w:color w:val="231F20"/>
          <w:spacing w:val="-18"/>
        </w:rPr>
        <w:t> </w:t>
      </w:r>
      <w:r>
        <w:rPr>
          <w:color w:val="231F20"/>
          <w:spacing w:val="-6"/>
        </w:rPr>
        <w:t>trade</w:t>
      </w:r>
      <w:r>
        <w:rPr>
          <w:color w:val="231F20"/>
          <w:spacing w:val="-18"/>
        </w:rPr>
        <w:t> </w:t>
      </w:r>
      <w:r>
        <w:rPr>
          <w:color w:val="231F20"/>
          <w:spacing w:val="-6"/>
        </w:rPr>
        <w:t>to</w:t>
      </w:r>
      <w:r>
        <w:rPr>
          <w:color w:val="231F20"/>
          <w:spacing w:val="-18"/>
        </w:rPr>
        <w:t> </w:t>
      </w:r>
      <w:r>
        <w:rPr>
          <w:color w:val="231F20"/>
          <w:spacing w:val="-6"/>
        </w:rPr>
        <w:t>destination</w:t>
      </w:r>
      <w:r>
        <w:rPr>
          <w:color w:val="231F20"/>
          <w:spacing w:val="-18"/>
        </w:rPr>
        <w:t> </w:t>
      </w:r>
      <w:r>
        <w:rPr>
          <w:color w:val="231F20"/>
          <w:spacing w:val="-6"/>
        </w:rPr>
        <w:t>facilities.</w:t>
      </w:r>
    </w:p>
    <w:p>
      <w:pPr>
        <w:pStyle w:val="BodyText"/>
        <w:spacing w:line="268" w:lineRule="auto"/>
        <w:ind w:left="198" w:right="657" w:firstLine="300"/>
        <w:jc w:val="both"/>
      </w:pPr>
      <w:r>
        <w:rPr>
          <w:color w:val="231F20"/>
          <w:w w:val="90"/>
        </w:rPr>
        <w:t>Landlocked developing countries face three </w:t>
      </w:r>
      <w:r>
        <w:rPr>
          <w:color w:val="231F20"/>
        </w:rPr>
        <w:t>types of delays:</w:t>
      </w:r>
    </w:p>
    <w:p>
      <w:pPr>
        <w:pStyle w:val="ListParagraph"/>
        <w:numPr>
          <w:ilvl w:val="0"/>
          <w:numId w:val="13"/>
        </w:numPr>
        <w:tabs>
          <w:tab w:pos="497" w:val="left" w:leader="none"/>
        </w:tabs>
        <w:spacing w:line="241" w:lineRule="exact" w:before="0" w:after="0"/>
        <w:ind w:left="497" w:right="0" w:hanging="299"/>
        <w:jc w:val="both"/>
        <w:rPr>
          <w:rFonts w:ascii="Times New Roman" w:hAnsi="Times New Roman"/>
          <w:sz w:val="21"/>
        </w:rPr>
      </w:pPr>
      <w:r>
        <w:rPr>
          <w:rFonts w:ascii="Times New Roman" w:hAnsi="Times New Roman"/>
          <w:color w:val="231F20"/>
          <w:spacing w:val="-4"/>
          <w:sz w:val="21"/>
        </w:rPr>
        <w:t>Longer</w:t>
      </w:r>
      <w:r>
        <w:rPr>
          <w:rFonts w:ascii="Times New Roman" w:hAnsi="Times New Roman"/>
          <w:color w:val="231F20"/>
          <w:spacing w:val="-5"/>
          <w:sz w:val="21"/>
        </w:rPr>
        <w:t> </w:t>
      </w:r>
      <w:r>
        <w:rPr>
          <w:rFonts w:ascii="Times New Roman" w:hAnsi="Times New Roman"/>
          <w:color w:val="231F20"/>
          <w:spacing w:val="-4"/>
          <w:sz w:val="21"/>
        </w:rPr>
        <w:t>delays in ports than in correspond-</w:t>
      </w:r>
    </w:p>
    <w:p>
      <w:pPr>
        <w:pStyle w:val="BodyText"/>
        <w:spacing w:line="266" w:lineRule="auto" w:before="14"/>
        <w:ind w:left="498" w:right="657"/>
        <w:jc w:val="both"/>
        <w:rPr>
          <w:sz w:val="14"/>
        </w:rPr>
      </w:pPr>
      <w:r>
        <w:rPr>
          <w:color w:val="231F20"/>
        </w:rPr>
        <w:t>ing</w:t>
      </w:r>
      <w:r>
        <w:rPr>
          <w:color w:val="231F20"/>
          <w:spacing w:val="-5"/>
        </w:rPr>
        <w:t> </w:t>
      </w:r>
      <w:r>
        <w:rPr>
          <w:color w:val="231F20"/>
        </w:rPr>
        <w:t>coastal</w:t>
      </w:r>
      <w:r>
        <w:rPr>
          <w:color w:val="231F20"/>
          <w:spacing w:val="-5"/>
        </w:rPr>
        <w:t> </w:t>
      </w:r>
      <w:r>
        <w:rPr>
          <w:color w:val="231F20"/>
        </w:rPr>
        <w:t>countries.</w:t>
      </w:r>
      <w:r>
        <w:rPr>
          <w:color w:val="231F20"/>
          <w:spacing w:val="-5"/>
        </w:rPr>
        <w:t> </w:t>
      </w:r>
      <w:r>
        <w:rPr>
          <w:color w:val="231F20"/>
        </w:rPr>
        <w:t>A</w:t>
      </w:r>
      <w:r>
        <w:rPr>
          <w:color w:val="231F20"/>
          <w:spacing w:val="-5"/>
        </w:rPr>
        <w:t> </w:t>
      </w:r>
      <w:r>
        <w:rPr>
          <w:color w:val="231F20"/>
        </w:rPr>
        <w:t>first</w:t>
      </w:r>
      <w:r>
        <w:rPr>
          <w:color w:val="231F20"/>
          <w:spacing w:val="-5"/>
        </w:rPr>
        <w:t> </w:t>
      </w:r>
      <w:r>
        <w:rPr>
          <w:color w:val="231F20"/>
        </w:rPr>
        <w:t>explanation might</w:t>
      </w:r>
      <w:r>
        <w:rPr>
          <w:color w:val="231F20"/>
          <w:spacing w:val="-14"/>
        </w:rPr>
        <w:t> </w:t>
      </w:r>
      <w:r>
        <w:rPr>
          <w:color w:val="231F20"/>
        </w:rPr>
        <w:t>be</w:t>
      </w:r>
      <w:r>
        <w:rPr>
          <w:color w:val="231F20"/>
          <w:spacing w:val="-13"/>
        </w:rPr>
        <w:t> </w:t>
      </w:r>
      <w:r>
        <w:rPr>
          <w:color w:val="231F20"/>
        </w:rPr>
        <w:t>the</w:t>
      </w:r>
      <w:r>
        <w:rPr>
          <w:color w:val="231F20"/>
          <w:spacing w:val="-13"/>
        </w:rPr>
        <w:t> </w:t>
      </w:r>
      <w:r>
        <w:rPr>
          <w:color w:val="231F20"/>
        </w:rPr>
        <w:t>additional</w:t>
      </w:r>
      <w:r>
        <w:rPr>
          <w:color w:val="231F20"/>
          <w:spacing w:val="-13"/>
        </w:rPr>
        <w:t> </w:t>
      </w:r>
      <w:r>
        <w:rPr>
          <w:color w:val="231F20"/>
        </w:rPr>
        <w:t>complexity</w:t>
      </w:r>
      <w:r>
        <w:rPr>
          <w:color w:val="231F20"/>
          <w:spacing w:val="-13"/>
        </w:rPr>
        <w:t> </w:t>
      </w:r>
      <w:r>
        <w:rPr>
          <w:color w:val="231F20"/>
        </w:rPr>
        <w:t>of</w:t>
      </w:r>
      <w:r>
        <w:rPr>
          <w:color w:val="231F20"/>
          <w:spacing w:val="-13"/>
        </w:rPr>
        <w:t> </w:t>
      </w:r>
      <w:r>
        <w:rPr>
          <w:color w:val="231F20"/>
        </w:rPr>
        <w:t>or- </w:t>
      </w:r>
      <w:r>
        <w:rPr>
          <w:color w:val="231F20"/>
          <w:spacing w:val="-4"/>
        </w:rPr>
        <w:t>ganizing</w:t>
      </w:r>
      <w:r>
        <w:rPr>
          <w:color w:val="231F20"/>
          <w:spacing w:val="-9"/>
        </w:rPr>
        <w:t> </w:t>
      </w:r>
      <w:r>
        <w:rPr>
          <w:color w:val="231F20"/>
          <w:spacing w:val="-4"/>
        </w:rPr>
        <w:t>removal</w:t>
      </w:r>
      <w:r>
        <w:rPr>
          <w:color w:val="231F20"/>
          <w:spacing w:val="-9"/>
        </w:rPr>
        <w:t> </w:t>
      </w:r>
      <w:r>
        <w:rPr>
          <w:color w:val="231F20"/>
          <w:spacing w:val="-4"/>
        </w:rPr>
        <w:t>of</w:t>
      </w:r>
      <w:r>
        <w:rPr>
          <w:color w:val="231F20"/>
          <w:spacing w:val="-9"/>
        </w:rPr>
        <w:t> </w:t>
      </w:r>
      <w:r>
        <w:rPr>
          <w:color w:val="231F20"/>
          <w:spacing w:val="-4"/>
        </w:rPr>
        <w:t>containers</w:t>
      </w:r>
      <w:r>
        <w:rPr>
          <w:color w:val="231F20"/>
          <w:spacing w:val="-9"/>
        </w:rPr>
        <w:t> </w:t>
      </w:r>
      <w:r>
        <w:rPr>
          <w:color w:val="231F20"/>
          <w:spacing w:val="-4"/>
        </w:rPr>
        <w:t>from</w:t>
      </w:r>
      <w:r>
        <w:rPr>
          <w:color w:val="231F20"/>
          <w:spacing w:val="-9"/>
        </w:rPr>
        <w:t> </w:t>
      </w:r>
      <w:r>
        <w:rPr>
          <w:color w:val="231F20"/>
          <w:spacing w:val="-4"/>
        </w:rPr>
        <w:t>a</w:t>
      </w:r>
      <w:r>
        <w:rPr>
          <w:color w:val="231F20"/>
          <w:spacing w:val="-9"/>
        </w:rPr>
        <w:t> </w:t>
      </w:r>
      <w:r>
        <w:rPr>
          <w:color w:val="231F20"/>
          <w:spacing w:val="-4"/>
        </w:rPr>
        <w:t>dis- </w:t>
      </w:r>
      <w:r>
        <w:rPr>
          <w:color w:val="231F20"/>
        </w:rPr>
        <w:t>tance,</w:t>
      </w:r>
      <w:r>
        <w:rPr>
          <w:color w:val="231F20"/>
          <w:spacing w:val="-14"/>
        </w:rPr>
        <w:t> </w:t>
      </w:r>
      <w:r>
        <w:rPr>
          <w:color w:val="231F20"/>
        </w:rPr>
        <w:t>as</w:t>
      </w:r>
      <w:r>
        <w:rPr>
          <w:color w:val="231F20"/>
          <w:spacing w:val="-13"/>
        </w:rPr>
        <w:t> </w:t>
      </w:r>
      <w:r>
        <w:rPr>
          <w:color w:val="231F20"/>
        </w:rPr>
        <w:t>opposed</w:t>
      </w:r>
      <w:r>
        <w:rPr>
          <w:color w:val="231F20"/>
          <w:spacing w:val="-13"/>
        </w:rPr>
        <w:t> </w:t>
      </w:r>
      <w:r>
        <w:rPr>
          <w:color w:val="231F20"/>
        </w:rPr>
        <w:t>to</w:t>
      </w:r>
      <w:r>
        <w:rPr>
          <w:color w:val="231F20"/>
          <w:spacing w:val="-13"/>
        </w:rPr>
        <w:t> </w:t>
      </w:r>
      <w:r>
        <w:rPr>
          <w:color w:val="231F20"/>
        </w:rPr>
        <w:t>local</w:t>
      </w:r>
      <w:r>
        <w:rPr>
          <w:color w:val="231F20"/>
          <w:spacing w:val="-13"/>
        </w:rPr>
        <w:t> </w:t>
      </w:r>
      <w:r>
        <w:rPr>
          <w:color w:val="231F20"/>
        </w:rPr>
        <w:t>removal.</w:t>
      </w:r>
      <w:r>
        <w:rPr>
          <w:color w:val="231F20"/>
          <w:spacing w:val="-13"/>
        </w:rPr>
        <w:t> </w:t>
      </w:r>
      <w:r>
        <w:rPr>
          <w:color w:val="231F20"/>
        </w:rPr>
        <w:t>Often ports</w:t>
      </w:r>
      <w:r>
        <w:rPr>
          <w:color w:val="231F20"/>
          <w:spacing w:val="-14"/>
        </w:rPr>
        <w:t> </w:t>
      </w:r>
      <w:r>
        <w:rPr>
          <w:color w:val="231F20"/>
        </w:rPr>
        <w:t>in</w:t>
      </w:r>
      <w:r>
        <w:rPr>
          <w:color w:val="231F20"/>
          <w:spacing w:val="-13"/>
        </w:rPr>
        <w:t> </w:t>
      </w:r>
      <w:r>
        <w:rPr>
          <w:color w:val="231F20"/>
        </w:rPr>
        <w:t>the</w:t>
      </w:r>
      <w:r>
        <w:rPr>
          <w:color w:val="231F20"/>
          <w:spacing w:val="-13"/>
        </w:rPr>
        <w:t> </w:t>
      </w:r>
      <w:r>
        <w:rPr>
          <w:color w:val="231F20"/>
        </w:rPr>
        <w:t>country</w:t>
      </w:r>
      <w:r>
        <w:rPr>
          <w:color w:val="231F20"/>
          <w:spacing w:val="-13"/>
        </w:rPr>
        <w:t> </w:t>
      </w:r>
      <w:r>
        <w:rPr>
          <w:color w:val="231F20"/>
        </w:rPr>
        <w:t>of</w:t>
      </w:r>
      <w:r>
        <w:rPr>
          <w:color w:val="231F20"/>
          <w:spacing w:val="-13"/>
        </w:rPr>
        <w:t> </w:t>
      </w:r>
      <w:r>
        <w:rPr>
          <w:color w:val="231F20"/>
        </w:rPr>
        <w:t>transit</w:t>
      </w:r>
      <w:r>
        <w:rPr>
          <w:color w:val="231F20"/>
          <w:spacing w:val="-13"/>
        </w:rPr>
        <w:t> </w:t>
      </w:r>
      <w:r>
        <w:rPr>
          <w:color w:val="231F20"/>
        </w:rPr>
        <w:t>offer</w:t>
      </w:r>
      <w:r>
        <w:rPr>
          <w:color w:val="231F20"/>
          <w:spacing w:val="-13"/>
        </w:rPr>
        <w:t> </w:t>
      </w:r>
      <w:r>
        <w:rPr>
          <w:color w:val="231F20"/>
        </w:rPr>
        <w:t>longer </w:t>
      </w:r>
      <w:r>
        <w:rPr>
          <w:color w:val="231F20"/>
          <w:spacing w:val="-6"/>
        </w:rPr>
        <w:t>free time for containers destined for a land- </w:t>
      </w:r>
      <w:r>
        <w:rPr>
          <w:color w:val="231F20"/>
        </w:rPr>
        <w:t>locked</w:t>
      </w:r>
      <w:r>
        <w:rPr>
          <w:color w:val="231F20"/>
          <w:spacing w:val="-14"/>
        </w:rPr>
        <w:t> </w:t>
      </w:r>
      <w:r>
        <w:rPr>
          <w:color w:val="231F20"/>
        </w:rPr>
        <w:t>country.</w:t>
      </w:r>
      <w:r>
        <w:rPr>
          <w:color w:val="231F20"/>
          <w:position w:val="7"/>
          <w:sz w:val="14"/>
        </w:rPr>
        <w:t>35</w:t>
      </w:r>
    </w:p>
    <w:p>
      <w:pPr>
        <w:pStyle w:val="ListParagraph"/>
        <w:numPr>
          <w:ilvl w:val="0"/>
          <w:numId w:val="13"/>
        </w:numPr>
        <w:tabs>
          <w:tab w:pos="498" w:val="left" w:leader="none"/>
        </w:tabs>
        <w:spacing w:line="268" w:lineRule="auto" w:before="0" w:after="0"/>
        <w:ind w:left="498" w:right="657" w:hanging="300"/>
        <w:jc w:val="both"/>
        <w:rPr>
          <w:rFonts w:ascii="Times New Roman" w:hAnsi="Times New Roman"/>
          <w:sz w:val="21"/>
        </w:rPr>
      </w:pPr>
      <w:r>
        <w:rPr>
          <w:rFonts w:ascii="Times New Roman" w:hAnsi="Times New Roman"/>
          <w:color w:val="231F20"/>
          <w:w w:val="90"/>
          <w:sz w:val="21"/>
        </w:rPr>
        <w:t>Corridor delays, which reflect the efficiency </w:t>
      </w:r>
      <w:r>
        <w:rPr>
          <w:rFonts w:ascii="Times New Roman" w:hAnsi="Times New Roman"/>
          <w:color w:val="231F20"/>
          <w:spacing w:val="-2"/>
          <w:sz w:val="21"/>
        </w:rPr>
        <w:t>of</w:t>
      </w:r>
      <w:r>
        <w:rPr>
          <w:rFonts w:ascii="Times New Roman" w:hAnsi="Times New Roman"/>
          <w:color w:val="231F20"/>
          <w:spacing w:val="-10"/>
          <w:sz w:val="21"/>
        </w:rPr>
        <w:t> </w:t>
      </w:r>
      <w:r>
        <w:rPr>
          <w:rFonts w:ascii="Times New Roman" w:hAnsi="Times New Roman"/>
          <w:color w:val="231F20"/>
          <w:spacing w:val="-2"/>
          <w:sz w:val="21"/>
        </w:rPr>
        <w:t>the</w:t>
      </w:r>
      <w:r>
        <w:rPr>
          <w:rFonts w:ascii="Times New Roman" w:hAnsi="Times New Roman"/>
          <w:color w:val="231F20"/>
          <w:spacing w:val="-10"/>
          <w:sz w:val="21"/>
        </w:rPr>
        <w:t> </w:t>
      </w:r>
      <w:r>
        <w:rPr>
          <w:rFonts w:ascii="Times New Roman" w:hAnsi="Times New Roman"/>
          <w:color w:val="231F20"/>
          <w:spacing w:val="-2"/>
          <w:sz w:val="21"/>
        </w:rPr>
        <w:t>transit</w:t>
      </w:r>
      <w:r>
        <w:rPr>
          <w:rFonts w:ascii="Times New Roman" w:hAnsi="Times New Roman"/>
          <w:color w:val="231F20"/>
          <w:spacing w:val="-10"/>
          <w:sz w:val="21"/>
        </w:rPr>
        <w:t> </w:t>
      </w:r>
      <w:r>
        <w:rPr>
          <w:rFonts w:ascii="Times New Roman" w:hAnsi="Times New Roman"/>
          <w:color w:val="231F20"/>
          <w:spacing w:val="-2"/>
          <w:sz w:val="21"/>
        </w:rPr>
        <w:t>system.</w:t>
      </w:r>
      <w:r>
        <w:rPr>
          <w:rFonts w:ascii="Times New Roman" w:hAnsi="Times New Roman"/>
          <w:color w:val="231F20"/>
          <w:spacing w:val="-10"/>
          <w:sz w:val="21"/>
        </w:rPr>
        <w:t> </w:t>
      </w:r>
      <w:r>
        <w:rPr>
          <w:rFonts w:ascii="Times New Roman" w:hAnsi="Times New Roman"/>
          <w:color w:val="231F20"/>
          <w:spacing w:val="-2"/>
          <w:sz w:val="21"/>
        </w:rPr>
        <w:t>Nepal</w:t>
      </w:r>
      <w:r>
        <w:rPr>
          <w:rFonts w:ascii="Times New Roman" w:hAnsi="Times New Roman"/>
          <w:color w:val="231F20"/>
          <w:spacing w:val="-10"/>
          <w:sz w:val="21"/>
        </w:rPr>
        <w:t> </w:t>
      </w:r>
      <w:r>
        <w:rPr>
          <w:rFonts w:ascii="Times New Roman" w:hAnsi="Times New Roman"/>
          <w:color w:val="231F20"/>
          <w:spacing w:val="-2"/>
          <w:sz w:val="21"/>
        </w:rPr>
        <w:t>and</w:t>
      </w:r>
      <w:r>
        <w:rPr>
          <w:rFonts w:ascii="Times New Roman" w:hAnsi="Times New Roman"/>
          <w:color w:val="231F20"/>
          <w:spacing w:val="-10"/>
          <w:sz w:val="21"/>
        </w:rPr>
        <w:t> </w:t>
      </w:r>
      <w:r>
        <w:rPr>
          <w:rFonts w:ascii="Times New Roman" w:hAnsi="Times New Roman"/>
          <w:color w:val="231F20"/>
          <w:spacing w:val="-2"/>
          <w:sz w:val="21"/>
        </w:rPr>
        <w:t>Mali</w:t>
      </w:r>
      <w:r>
        <w:rPr>
          <w:rFonts w:ascii="Times New Roman" w:hAnsi="Times New Roman"/>
          <w:color w:val="231F20"/>
          <w:spacing w:val="-10"/>
          <w:sz w:val="21"/>
        </w:rPr>
        <w:t> </w:t>
      </w:r>
      <w:r>
        <w:rPr>
          <w:rFonts w:ascii="Times New Roman" w:hAnsi="Times New Roman"/>
          <w:color w:val="231F20"/>
          <w:spacing w:val="-2"/>
          <w:sz w:val="21"/>
        </w:rPr>
        <w:t>tend to</w:t>
      </w:r>
      <w:r>
        <w:rPr>
          <w:rFonts w:ascii="Times New Roman" w:hAnsi="Times New Roman"/>
          <w:color w:val="231F20"/>
          <w:spacing w:val="-12"/>
          <w:sz w:val="21"/>
        </w:rPr>
        <w:t> </w:t>
      </w:r>
      <w:r>
        <w:rPr>
          <w:rFonts w:ascii="Times New Roman" w:hAnsi="Times New Roman"/>
          <w:color w:val="231F20"/>
          <w:spacing w:val="-2"/>
          <w:sz w:val="21"/>
        </w:rPr>
        <w:t>have</w:t>
      </w:r>
      <w:r>
        <w:rPr>
          <w:rFonts w:ascii="Times New Roman" w:hAnsi="Times New Roman"/>
          <w:color w:val="231F20"/>
          <w:spacing w:val="-11"/>
          <w:sz w:val="21"/>
        </w:rPr>
        <w:t> </w:t>
      </w:r>
      <w:r>
        <w:rPr>
          <w:rFonts w:ascii="Times New Roman" w:hAnsi="Times New Roman"/>
          <w:color w:val="231F20"/>
          <w:spacing w:val="-2"/>
          <w:sz w:val="21"/>
        </w:rPr>
        <w:t>the</w:t>
      </w:r>
      <w:r>
        <w:rPr>
          <w:rFonts w:ascii="Times New Roman" w:hAnsi="Times New Roman"/>
          <w:color w:val="231F20"/>
          <w:spacing w:val="-11"/>
          <w:sz w:val="21"/>
        </w:rPr>
        <w:t> </w:t>
      </w:r>
      <w:r>
        <w:rPr>
          <w:rFonts w:ascii="Times New Roman" w:hAnsi="Times New Roman"/>
          <w:color w:val="231F20"/>
          <w:spacing w:val="-2"/>
          <w:sz w:val="21"/>
        </w:rPr>
        <w:t>longest</w:t>
      </w:r>
      <w:r>
        <w:rPr>
          <w:rFonts w:ascii="Times New Roman" w:hAnsi="Times New Roman"/>
          <w:color w:val="231F20"/>
          <w:spacing w:val="-11"/>
          <w:sz w:val="21"/>
        </w:rPr>
        <w:t> </w:t>
      </w:r>
      <w:r>
        <w:rPr>
          <w:rFonts w:ascii="Times New Roman" w:hAnsi="Times New Roman"/>
          <w:color w:val="231F20"/>
          <w:spacing w:val="-2"/>
          <w:sz w:val="21"/>
        </w:rPr>
        <w:t>corridor</w:t>
      </w:r>
      <w:r>
        <w:rPr>
          <w:rFonts w:ascii="Times New Roman" w:hAnsi="Times New Roman"/>
          <w:color w:val="231F20"/>
          <w:spacing w:val="-11"/>
          <w:sz w:val="21"/>
        </w:rPr>
        <w:t> </w:t>
      </w:r>
      <w:r>
        <w:rPr>
          <w:rFonts w:ascii="Times New Roman" w:hAnsi="Times New Roman"/>
          <w:color w:val="231F20"/>
          <w:spacing w:val="-2"/>
          <w:sz w:val="21"/>
        </w:rPr>
        <w:t>delays</w:t>
      </w:r>
      <w:r>
        <w:rPr>
          <w:rFonts w:ascii="Times New Roman" w:hAnsi="Times New Roman"/>
          <w:color w:val="231F20"/>
          <w:spacing w:val="-11"/>
          <w:sz w:val="21"/>
        </w:rPr>
        <w:t> </w:t>
      </w:r>
      <w:r>
        <w:rPr>
          <w:rFonts w:ascii="Times New Roman" w:hAnsi="Times New Roman"/>
          <w:color w:val="231F20"/>
          <w:spacing w:val="-2"/>
          <w:sz w:val="21"/>
        </w:rPr>
        <w:t>(over</w:t>
      </w:r>
      <w:r>
        <w:rPr>
          <w:rFonts w:ascii="Times New Roman" w:hAnsi="Times New Roman"/>
          <w:color w:val="231F20"/>
          <w:spacing w:val="-11"/>
          <w:sz w:val="21"/>
        </w:rPr>
        <w:t> </w:t>
      </w:r>
      <w:r>
        <w:rPr>
          <w:rFonts w:ascii="Times New Roman" w:hAnsi="Times New Roman"/>
          <w:color w:val="231F20"/>
          <w:spacing w:val="-2"/>
          <w:sz w:val="21"/>
        </w:rPr>
        <w:t>a </w:t>
      </w:r>
      <w:r>
        <w:rPr>
          <w:rFonts w:ascii="Times New Roman" w:hAnsi="Times New Roman"/>
          <w:color w:val="231F20"/>
          <w:spacing w:val="-4"/>
          <w:sz w:val="21"/>
        </w:rPr>
        <w:t>week),</w:t>
      </w:r>
      <w:r>
        <w:rPr>
          <w:rFonts w:ascii="Times New Roman" w:hAnsi="Times New Roman"/>
          <w:color w:val="231F20"/>
          <w:spacing w:val="-9"/>
          <w:sz w:val="21"/>
        </w:rPr>
        <w:t> </w:t>
      </w:r>
      <w:r>
        <w:rPr>
          <w:rFonts w:ascii="Times New Roman" w:hAnsi="Times New Roman"/>
          <w:color w:val="231F20"/>
          <w:spacing w:val="-4"/>
          <w:sz w:val="21"/>
        </w:rPr>
        <w:t>while</w:t>
      </w:r>
      <w:r>
        <w:rPr>
          <w:rFonts w:ascii="Times New Roman" w:hAnsi="Times New Roman"/>
          <w:color w:val="231F20"/>
          <w:spacing w:val="-9"/>
          <w:sz w:val="21"/>
        </w:rPr>
        <w:t> </w:t>
      </w:r>
      <w:r>
        <w:rPr>
          <w:rFonts w:ascii="Times New Roman" w:hAnsi="Times New Roman"/>
          <w:color w:val="231F20"/>
          <w:spacing w:val="-4"/>
          <w:sz w:val="21"/>
        </w:rPr>
        <w:t>in</w:t>
      </w:r>
      <w:r>
        <w:rPr>
          <w:rFonts w:ascii="Times New Roman" w:hAnsi="Times New Roman"/>
          <w:color w:val="231F20"/>
          <w:spacing w:val="-9"/>
          <w:sz w:val="21"/>
        </w:rPr>
        <w:t> </w:t>
      </w:r>
      <w:r>
        <w:rPr>
          <w:rFonts w:ascii="Times New Roman" w:hAnsi="Times New Roman"/>
          <w:color w:val="231F20"/>
          <w:spacing w:val="-4"/>
          <w:sz w:val="21"/>
        </w:rPr>
        <w:t>East</w:t>
      </w:r>
      <w:r>
        <w:rPr>
          <w:rFonts w:ascii="Times New Roman" w:hAnsi="Times New Roman"/>
          <w:color w:val="231F20"/>
          <w:spacing w:val="-9"/>
          <w:sz w:val="21"/>
        </w:rPr>
        <w:t> </w:t>
      </w:r>
      <w:r>
        <w:rPr>
          <w:rFonts w:ascii="Times New Roman" w:hAnsi="Times New Roman"/>
          <w:color w:val="231F20"/>
          <w:spacing w:val="-4"/>
          <w:sz w:val="21"/>
        </w:rPr>
        <w:t>and</w:t>
      </w:r>
      <w:r>
        <w:rPr>
          <w:rFonts w:ascii="Times New Roman" w:hAnsi="Times New Roman"/>
          <w:color w:val="231F20"/>
          <w:spacing w:val="-9"/>
          <w:sz w:val="21"/>
        </w:rPr>
        <w:t> </w:t>
      </w:r>
      <w:r>
        <w:rPr>
          <w:rFonts w:ascii="Times New Roman" w:hAnsi="Times New Roman"/>
          <w:color w:val="231F20"/>
          <w:spacing w:val="-4"/>
          <w:sz w:val="21"/>
        </w:rPr>
        <w:t>Southern</w:t>
      </w:r>
      <w:r>
        <w:rPr>
          <w:rFonts w:ascii="Times New Roman" w:hAnsi="Times New Roman"/>
          <w:color w:val="231F20"/>
          <w:spacing w:val="-9"/>
          <w:sz w:val="21"/>
        </w:rPr>
        <w:t> </w:t>
      </w:r>
      <w:r>
        <w:rPr>
          <w:rFonts w:ascii="Times New Roman" w:hAnsi="Times New Roman"/>
          <w:color w:val="231F20"/>
          <w:spacing w:val="-4"/>
          <w:sz w:val="21"/>
        </w:rPr>
        <w:t>African </w:t>
      </w:r>
      <w:r>
        <w:rPr>
          <w:rFonts w:ascii="Times New Roman" w:hAnsi="Times New Roman"/>
          <w:color w:val="231F20"/>
          <w:spacing w:val="-6"/>
          <w:sz w:val="21"/>
        </w:rPr>
        <w:t>landlocked developing countries the delays </w:t>
      </w:r>
      <w:r>
        <w:rPr>
          <w:rFonts w:ascii="Times New Roman" w:hAnsi="Times New Roman"/>
          <w:color w:val="231F20"/>
          <w:sz w:val="21"/>
        </w:rPr>
        <w:t>tend to be much shorter.</w:t>
      </w:r>
    </w:p>
    <w:p>
      <w:pPr>
        <w:pStyle w:val="ListParagraph"/>
        <w:numPr>
          <w:ilvl w:val="0"/>
          <w:numId w:val="13"/>
        </w:numPr>
        <w:tabs>
          <w:tab w:pos="497" w:val="left" w:leader="none"/>
        </w:tabs>
        <w:spacing w:line="239" w:lineRule="exact" w:before="0" w:after="0"/>
        <w:ind w:left="497" w:right="0" w:hanging="299"/>
        <w:jc w:val="both"/>
        <w:rPr>
          <w:rFonts w:ascii="Times New Roman" w:hAnsi="Times New Roman"/>
          <w:sz w:val="21"/>
        </w:rPr>
      </w:pPr>
      <w:r>
        <w:rPr>
          <w:rFonts w:ascii="Times New Roman" w:hAnsi="Times New Roman"/>
          <w:color w:val="231F20"/>
          <w:spacing w:val="-4"/>
          <w:sz w:val="21"/>
        </w:rPr>
        <w:t>Overall</w:t>
      </w:r>
      <w:r>
        <w:rPr>
          <w:rFonts w:ascii="Times New Roman" w:hAnsi="Times New Roman"/>
          <w:color w:val="231F20"/>
          <w:spacing w:val="-7"/>
          <w:sz w:val="21"/>
        </w:rPr>
        <w:t> </w:t>
      </w:r>
      <w:r>
        <w:rPr>
          <w:rFonts w:ascii="Times New Roman" w:hAnsi="Times New Roman"/>
          <w:color w:val="231F20"/>
          <w:spacing w:val="-4"/>
          <w:sz w:val="21"/>
        </w:rPr>
        <w:t>dwell</w:t>
      </w:r>
      <w:r>
        <w:rPr>
          <w:rFonts w:ascii="Times New Roman" w:hAnsi="Times New Roman"/>
          <w:color w:val="231F20"/>
          <w:spacing w:val="-6"/>
          <w:sz w:val="21"/>
        </w:rPr>
        <w:t> </w:t>
      </w:r>
      <w:r>
        <w:rPr>
          <w:rFonts w:ascii="Times New Roman" w:hAnsi="Times New Roman"/>
          <w:color w:val="231F20"/>
          <w:spacing w:val="-4"/>
          <w:sz w:val="21"/>
        </w:rPr>
        <w:t>time</w:t>
      </w:r>
      <w:r>
        <w:rPr>
          <w:rFonts w:ascii="Times New Roman" w:hAnsi="Times New Roman"/>
          <w:color w:val="231F20"/>
          <w:spacing w:val="-6"/>
          <w:sz w:val="21"/>
        </w:rPr>
        <w:t> </w:t>
      </w:r>
      <w:r>
        <w:rPr>
          <w:rFonts w:ascii="Times New Roman" w:hAnsi="Times New Roman"/>
          <w:color w:val="231F20"/>
          <w:spacing w:val="-4"/>
          <w:sz w:val="21"/>
        </w:rPr>
        <w:t>inland,</w:t>
      </w:r>
      <w:r>
        <w:rPr>
          <w:rFonts w:ascii="Times New Roman" w:hAnsi="Times New Roman"/>
          <w:color w:val="231F20"/>
          <w:spacing w:val="-7"/>
          <w:sz w:val="21"/>
        </w:rPr>
        <w:t> </w:t>
      </w:r>
      <w:r>
        <w:rPr>
          <w:rFonts w:ascii="Times New Roman" w:hAnsi="Times New Roman"/>
          <w:color w:val="231F20"/>
          <w:spacing w:val="-4"/>
          <w:sz w:val="21"/>
        </w:rPr>
        <w:t>including</w:t>
      </w:r>
      <w:r>
        <w:rPr>
          <w:rFonts w:ascii="Times New Roman" w:hAnsi="Times New Roman"/>
          <w:color w:val="231F20"/>
          <w:spacing w:val="-6"/>
          <w:sz w:val="21"/>
        </w:rPr>
        <w:t> </w:t>
      </w:r>
      <w:r>
        <w:rPr>
          <w:rFonts w:ascii="Times New Roman" w:hAnsi="Times New Roman"/>
          <w:color w:val="231F20"/>
          <w:spacing w:val="-4"/>
          <w:sz w:val="21"/>
        </w:rPr>
        <w:t>at</w:t>
      </w:r>
      <w:r>
        <w:rPr>
          <w:rFonts w:ascii="Times New Roman" w:hAnsi="Times New Roman"/>
          <w:color w:val="231F20"/>
          <w:spacing w:val="-6"/>
          <w:sz w:val="21"/>
        </w:rPr>
        <w:t> </w:t>
      </w:r>
      <w:r>
        <w:rPr>
          <w:rFonts w:ascii="Times New Roman" w:hAnsi="Times New Roman"/>
          <w:color w:val="231F20"/>
          <w:spacing w:val="-5"/>
          <w:sz w:val="21"/>
        </w:rPr>
        <w:t>the</w:t>
      </w:r>
    </w:p>
    <w:p>
      <w:pPr>
        <w:pStyle w:val="BodyText"/>
        <w:spacing w:before="18"/>
        <w:ind w:left="498"/>
      </w:pPr>
      <w:r>
        <w:rPr>
          <w:color w:val="231F20"/>
          <w:spacing w:val="-2"/>
        </w:rPr>
        <w:t>destination.</w:t>
      </w:r>
    </w:p>
    <w:p>
      <w:pPr>
        <w:pStyle w:val="BodyText"/>
        <w:spacing w:line="268" w:lineRule="auto" w:before="28"/>
        <w:ind w:left="198" w:right="657" w:firstLine="300"/>
        <w:jc w:val="both"/>
      </w:pPr>
      <w:r>
        <w:rPr>
          <w:color w:val="231F20"/>
          <w:spacing w:val="-2"/>
        </w:rPr>
        <w:t>Improving</w:t>
      </w:r>
      <w:r>
        <w:rPr>
          <w:color w:val="231F20"/>
          <w:spacing w:val="-9"/>
        </w:rPr>
        <w:t> </w:t>
      </w:r>
      <w:r>
        <w:rPr>
          <w:color w:val="231F20"/>
          <w:spacing w:val="-2"/>
        </w:rPr>
        <w:t>the</w:t>
      </w:r>
      <w:r>
        <w:rPr>
          <w:color w:val="231F20"/>
          <w:spacing w:val="-9"/>
        </w:rPr>
        <w:t> </w:t>
      </w:r>
      <w:r>
        <w:rPr>
          <w:color w:val="231F20"/>
          <w:spacing w:val="-2"/>
        </w:rPr>
        <w:t>connectivity</w:t>
      </w:r>
      <w:r>
        <w:rPr>
          <w:color w:val="231F20"/>
          <w:spacing w:val="-9"/>
        </w:rPr>
        <w:t> </w:t>
      </w:r>
      <w:r>
        <w:rPr>
          <w:color w:val="231F20"/>
          <w:spacing w:val="-2"/>
        </w:rPr>
        <w:t>of</w:t>
      </w:r>
      <w:r>
        <w:rPr>
          <w:color w:val="231F20"/>
          <w:spacing w:val="-9"/>
        </w:rPr>
        <w:t> </w:t>
      </w:r>
      <w:r>
        <w:rPr>
          <w:color w:val="231F20"/>
          <w:spacing w:val="-2"/>
        </w:rPr>
        <w:t>landlocked </w:t>
      </w:r>
      <w:r>
        <w:rPr>
          <w:color w:val="231F20"/>
        </w:rPr>
        <w:t>developing</w:t>
      </w:r>
      <w:r>
        <w:rPr>
          <w:color w:val="231F20"/>
          <w:spacing w:val="-7"/>
        </w:rPr>
        <w:t> </w:t>
      </w:r>
      <w:r>
        <w:rPr>
          <w:color w:val="231F20"/>
        </w:rPr>
        <w:t>countries</w:t>
      </w:r>
      <w:r>
        <w:rPr>
          <w:color w:val="231F20"/>
          <w:spacing w:val="-7"/>
        </w:rPr>
        <w:t> </w:t>
      </w:r>
      <w:r>
        <w:rPr>
          <w:color w:val="231F20"/>
        </w:rPr>
        <w:t>goes</w:t>
      </w:r>
      <w:r>
        <w:rPr>
          <w:color w:val="231F20"/>
          <w:spacing w:val="-7"/>
        </w:rPr>
        <w:t> </w:t>
      </w:r>
      <w:r>
        <w:rPr>
          <w:color w:val="231F20"/>
        </w:rPr>
        <w:t>beyond</w:t>
      </w:r>
      <w:r>
        <w:rPr>
          <w:color w:val="231F20"/>
          <w:spacing w:val="-7"/>
        </w:rPr>
        <w:t> </w:t>
      </w:r>
      <w:r>
        <w:rPr>
          <w:color w:val="231F20"/>
        </w:rPr>
        <w:t>unilateral policy</w:t>
      </w:r>
      <w:r>
        <w:rPr>
          <w:color w:val="231F20"/>
          <w:spacing w:val="28"/>
        </w:rPr>
        <w:t> </w:t>
      </w:r>
      <w:r>
        <w:rPr>
          <w:color w:val="231F20"/>
        </w:rPr>
        <w:t>interventions.</w:t>
      </w:r>
      <w:r>
        <w:rPr>
          <w:color w:val="231F20"/>
          <w:spacing w:val="28"/>
        </w:rPr>
        <w:t> </w:t>
      </w:r>
      <w:r>
        <w:rPr>
          <w:color w:val="231F20"/>
        </w:rPr>
        <w:t>Central</w:t>
      </w:r>
      <w:r>
        <w:rPr>
          <w:color w:val="231F20"/>
          <w:spacing w:val="28"/>
        </w:rPr>
        <w:t> </w:t>
      </w:r>
      <w:r>
        <w:rPr>
          <w:color w:val="231F20"/>
        </w:rPr>
        <w:t>to</w:t>
      </w:r>
      <w:r>
        <w:rPr>
          <w:color w:val="231F20"/>
          <w:spacing w:val="28"/>
        </w:rPr>
        <w:t> </w:t>
      </w:r>
      <w:r>
        <w:rPr>
          <w:color w:val="231F20"/>
          <w:spacing w:val="-2"/>
        </w:rPr>
        <w:t>landlocked</w:t>
      </w:r>
    </w:p>
    <w:p>
      <w:pPr>
        <w:spacing w:after="0" w:line="268" w:lineRule="auto"/>
        <w:jc w:val="both"/>
        <w:sectPr>
          <w:type w:val="continuous"/>
          <w:pgSz w:w="12240" w:h="15840"/>
          <w:pgMar w:header="0" w:footer="548" w:top="1140" w:bottom="280" w:left="0" w:right="540"/>
          <w:cols w:num="2" w:equalWidth="0">
            <w:col w:w="7082" w:space="40"/>
            <w:col w:w="4578"/>
          </w:cols>
        </w:sectPr>
      </w:pPr>
    </w:p>
    <w:p>
      <w:pPr>
        <w:pStyle w:val="BodyText"/>
        <w:rPr>
          <w:sz w:val="20"/>
        </w:rPr>
      </w:pPr>
    </w:p>
    <w:p>
      <w:pPr>
        <w:pStyle w:val="BodyText"/>
        <w:rPr>
          <w:sz w:val="20"/>
        </w:rPr>
      </w:pPr>
    </w:p>
    <w:p>
      <w:pPr>
        <w:pStyle w:val="BodyText"/>
        <w:spacing w:before="33"/>
        <w:rPr>
          <w:sz w:val="20"/>
        </w:rPr>
      </w:pPr>
    </w:p>
    <w:p>
      <w:pPr>
        <w:spacing w:after="0"/>
        <w:rPr>
          <w:sz w:val="20"/>
        </w:rPr>
        <w:sectPr>
          <w:pgSz w:w="12240" w:h="15840"/>
          <w:pgMar w:header="0" w:footer="548" w:top="560" w:bottom="740" w:left="0" w:right="540"/>
        </w:sectPr>
      </w:pPr>
    </w:p>
    <w:p>
      <w:pPr>
        <w:pStyle w:val="BodyText"/>
        <w:spacing w:line="268" w:lineRule="auto" w:before="96"/>
        <w:ind w:left="1200"/>
        <w:jc w:val="both"/>
        <w:rPr>
          <w:sz w:val="14"/>
        </w:rPr>
      </w:pPr>
      <w:bookmarkStart w:name="_bookmark32" w:id="35"/>
      <w:bookmarkEnd w:id="35"/>
      <w:r>
        <w:rPr/>
      </w:r>
      <w:bookmarkStart w:name="_bookmark31" w:id="36"/>
      <w:bookmarkEnd w:id="36"/>
      <w:r>
        <w:rPr/>
      </w:r>
      <w:r>
        <w:rPr>
          <w:color w:val="231F20"/>
          <w:spacing w:val="-2"/>
        </w:rPr>
        <w:t>connectivity</w:t>
      </w:r>
      <w:r>
        <w:rPr>
          <w:color w:val="231F20"/>
          <w:spacing w:val="-12"/>
        </w:rPr>
        <w:t> </w:t>
      </w:r>
      <w:r>
        <w:rPr>
          <w:color w:val="231F20"/>
          <w:spacing w:val="-2"/>
        </w:rPr>
        <w:t>is</w:t>
      </w:r>
      <w:r>
        <w:rPr>
          <w:color w:val="231F20"/>
          <w:spacing w:val="-11"/>
        </w:rPr>
        <w:t> </w:t>
      </w:r>
      <w:r>
        <w:rPr>
          <w:color w:val="231F20"/>
          <w:spacing w:val="-2"/>
        </w:rPr>
        <w:t>the</w:t>
      </w:r>
      <w:r>
        <w:rPr>
          <w:color w:val="231F20"/>
          <w:spacing w:val="-11"/>
        </w:rPr>
        <w:t> </w:t>
      </w:r>
      <w:r>
        <w:rPr>
          <w:color w:val="231F20"/>
          <w:spacing w:val="-2"/>
        </w:rPr>
        <w:t>design</w:t>
      </w:r>
      <w:r>
        <w:rPr>
          <w:color w:val="231F20"/>
          <w:spacing w:val="-11"/>
        </w:rPr>
        <w:t> </w:t>
      </w:r>
      <w:r>
        <w:rPr>
          <w:color w:val="231F20"/>
          <w:spacing w:val="-2"/>
        </w:rPr>
        <w:t>of</w:t>
      </w:r>
      <w:r>
        <w:rPr>
          <w:color w:val="231F20"/>
          <w:spacing w:val="-11"/>
        </w:rPr>
        <w:t> </w:t>
      </w:r>
      <w:r>
        <w:rPr>
          <w:color w:val="231F20"/>
          <w:spacing w:val="-2"/>
        </w:rPr>
        <w:t>transit</w:t>
      </w:r>
      <w:r>
        <w:rPr>
          <w:color w:val="231F20"/>
          <w:spacing w:val="-11"/>
        </w:rPr>
        <w:t> </w:t>
      </w:r>
      <w:r>
        <w:rPr>
          <w:color w:val="231F20"/>
          <w:spacing w:val="-2"/>
        </w:rPr>
        <w:t>systems.</w:t>
      </w:r>
      <w:r>
        <w:rPr>
          <w:color w:val="231F20"/>
          <w:spacing w:val="-2"/>
          <w:position w:val="7"/>
          <w:sz w:val="14"/>
        </w:rPr>
        <w:t>36</w:t>
      </w:r>
      <w:r>
        <w:rPr>
          <w:color w:val="231F20"/>
          <w:spacing w:val="40"/>
          <w:position w:val="7"/>
          <w:sz w:val="14"/>
        </w:rPr>
        <w:t> </w:t>
      </w:r>
      <w:r>
        <w:rPr>
          <w:color w:val="231F20"/>
          <w:spacing w:val="-4"/>
        </w:rPr>
        <w:t>Transit</w:t>
      </w:r>
      <w:r>
        <w:rPr>
          <w:color w:val="231F20"/>
          <w:spacing w:val="-10"/>
        </w:rPr>
        <w:t> </w:t>
      </w:r>
      <w:r>
        <w:rPr>
          <w:color w:val="231F20"/>
          <w:spacing w:val="-4"/>
        </w:rPr>
        <w:t>systems</w:t>
      </w:r>
      <w:r>
        <w:rPr>
          <w:color w:val="231F20"/>
          <w:spacing w:val="-9"/>
        </w:rPr>
        <w:t> </w:t>
      </w:r>
      <w:r>
        <w:rPr>
          <w:color w:val="231F20"/>
          <w:spacing w:val="-4"/>
        </w:rPr>
        <w:t>regulate</w:t>
      </w:r>
      <w:r>
        <w:rPr>
          <w:color w:val="231F20"/>
          <w:spacing w:val="-9"/>
        </w:rPr>
        <w:t> </w:t>
      </w:r>
      <w:r>
        <w:rPr>
          <w:color w:val="231F20"/>
          <w:spacing w:val="-4"/>
        </w:rPr>
        <w:t>freight</w:t>
      </w:r>
      <w:r>
        <w:rPr>
          <w:color w:val="231F20"/>
          <w:spacing w:val="-9"/>
        </w:rPr>
        <w:t> </w:t>
      </w:r>
      <w:r>
        <w:rPr>
          <w:color w:val="231F20"/>
          <w:spacing w:val="-4"/>
        </w:rPr>
        <w:t>services,</w:t>
      </w:r>
      <w:r>
        <w:rPr>
          <w:color w:val="231F20"/>
          <w:spacing w:val="-9"/>
        </w:rPr>
        <w:t> </w:t>
      </w:r>
      <w:r>
        <w:rPr>
          <w:color w:val="231F20"/>
          <w:spacing w:val="-4"/>
        </w:rPr>
        <w:t>nota- bly</w:t>
      </w:r>
      <w:r>
        <w:rPr>
          <w:color w:val="231F20"/>
          <w:spacing w:val="-10"/>
        </w:rPr>
        <w:t> </w:t>
      </w:r>
      <w:r>
        <w:rPr>
          <w:color w:val="231F20"/>
          <w:spacing w:val="-4"/>
        </w:rPr>
        <w:t>trucking,</w:t>
      </w:r>
      <w:r>
        <w:rPr>
          <w:color w:val="231F20"/>
          <w:spacing w:val="-9"/>
        </w:rPr>
        <w:t> </w:t>
      </w:r>
      <w:r>
        <w:rPr>
          <w:color w:val="231F20"/>
          <w:spacing w:val="-4"/>
        </w:rPr>
        <w:t>combining</w:t>
      </w:r>
      <w:r>
        <w:rPr>
          <w:color w:val="231F20"/>
          <w:spacing w:val="-9"/>
        </w:rPr>
        <w:t> </w:t>
      </w:r>
      <w:r>
        <w:rPr>
          <w:color w:val="231F20"/>
          <w:spacing w:val="-4"/>
        </w:rPr>
        <w:t>quality-oriented</w:t>
      </w:r>
      <w:r>
        <w:rPr>
          <w:color w:val="231F20"/>
          <w:spacing w:val="-9"/>
        </w:rPr>
        <w:t> </w:t>
      </w:r>
      <w:r>
        <w:rPr>
          <w:color w:val="231F20"/>
          <w:spacing w:val="-4"/>
        </w:rPr>
        <w:t>regu- </w:t>
      </w:r>
      <w:r>
        <w:rPr>
          <w:color w:val="231F20"/>
          <w:w w:val="90"/>
        </w:rPr>
        <w:t>lation</w:t>
      </w:r>
      <w:r>
        <w:rPr>
          <w:color w:val="231F20"/>
          <w:spacing w:val="-1"/>
          <w:w w:val="90"/>
        </w:rPr>
        <w:t> </w:t>
      </w:r>
      <w:r>
        <w:rPr>
          <w:color w:val="231F20"/>
          <w:w w:val="90"/>
        </w:rPr>
        <w:t>of</w:t>
      </w:r>
      <w:r>
        <w:rPr>
          <w:color w:val="231F20"/>
          <w:spacing w:val="-1"/>
          <w:w w:val="90"/>
        </w:rPr>
        <w:t> </w:t>
      </w:r>
      <w:r>
        <w:rPr>
          <w:color w:val="231F20"/>
          <w:w w:val="90"/>
        </w:rPr>
        <w:t>entry</w:t>
      </w:r>
      <w:r>
        <w:rPr>
          <w:color w:val="231F20"/>
          <w:spacing w:val="-1"/>
          <w:w w:val="90"/>
        </w:rPr>
        <w:t> </w:t>
      </w:r>
      <w:r>
        <w:rPr>
          <w:color w:val="231F20"/>
          <w:w w:val="90"/>
        </w:rPr>
        <w:t>and</w:t>
      </w:r>
      <w:r>
        <w:rPr>
          <w:color w:val="231F20"/>
          <w:spacing w:val="-1"/>
          <w:w w:val="90"/>
        </w:rPr>
        <w:t> </w:t>
      </w:r>
      <w:r>
        <w:rPr>
          <w:color w:val="231F20"/>
          <w:w w:val="90"/>
        </w:rPr>
        <w:t>operations</w:t>
      </w:r>
      <w:r>
        <w:rPr>
          <w:color w:val="231F20"/>
          <w:spacing w:val="-1"/>
          <w:w w:val="90"/>
        </w:rPr>
        <w:t> </w:t>
      </w:r>
      <w:r>
        <w:rPr>
          <w:color w:val="231F20"/>
          <w:w w:val="90"/>
        </w:rPr>
        <w:t>(typically</w:t>
      </w:r>
      <w:r>
        <w:rPr>
          <w:color w:val="231F20"/>
          <w:spacing w:val="-1"/>
          <w:w w:val="90"/>
        </w:rPr>
        <w:t> </w:t>
      </w:r>
      <w:r>
        <w:rPr>
          <w:color w:val="231F20"/>
          <w:w w:val="90"/>
        </w:rPr>
        <w:t>from</w:t>
      </w:r>
      <w:r>
        <w:rPr>
          <w:color w:val="231F20"/>
          <w:spacing w:val="-1"/>
          <w:w w:val="90"/>
        </w:rPr>
        <w:t> </w:t>
      </w:r>
      <w:r>
        <w:rPr>
          <w:color w:val="231F20"/>
          <w:w w:val="90"/>
        </w:rPr>
        <w:t>the perspective</w:t>
      </w:r>
      <w:r>
        <w:rPr>
          <w:color w:val="231F20"/>
          <w:spacing w:val="-7"/>
          <w:w w:val="90"/>
        </w:rPr>
        <w:t> </w:t>
      </w:r>
      <w:r>
        <w:rPr>
          <w:color w:val="231F20"/>
          <w:w w:val="90"/>
        </w:rPr>
        <w:t>of</w:t>
      </w:r>
      <w:r>
        <w:rPr>
          <w:color w:val="231F20"/>
          <w:spacing w:val="-7"/>
          <w:w w:val="90"/>
        </w:rPr>
        <w:t> </w:t>
      </w:r>
      <w:r>
        <w:rPr>
          <w:color w:val="231F20"/>
          <w:w w:val="90"/>
        </w:rPr>
        <w:t>customs</w:t>
      </w:r>
      <w:r>
        <w:rPr>
          <w:color w:val="231F20"/>
          <w:spacing w:val="-7"/>
          <w:w w:val="90"/>
        </w:rPr>
        <w:t> </w:t>
      </w:r>
      <w:r>
        <w:rPr>
          <w:color w:val="231F20"/>
          <w:w w:val="90"/>
        </w:rPr>
        <w:t>security).</w:t>
      </w:r>
      <w:r>
        <w:rPr>
          <w:color w:val="231F20"/>
          <w:spacing w:val="-7"/>
          <w:w w:val="90"/>
        </w:rPr>
        <w:t> </w:t>
      </w:r>
      <w:r>
        <w:rPr>
          <w:color w:val="231F20"/>
          <w:w w:val="90"/>
        </w:rPr>
        <w:t>Transit</w:t>
      </w:r>
      <w:r>
        <w:rPr>
          <w:color w:val="231F20"/>
          <w:spacing w:val="-7"/>
          <w:w w:val="90"/>
        </w:rPr>
        <w:t> </w:t>
      </w:r>
      <w:r>
        <w:rPr>
          <w:color w:val="231F20"/>
          <w:w w:val="90"/>
        </w:rPr>
        <w:t>systems also</w:t>
      </w:r>
      <w:r>
        <w:rPr>
          <w:color w:val="231F20"/>
          <w:spacing w:val="-6"/>
          <w:w w:val="90"/>
        </w:rPr>
        <w:t> </w:t>
      </w:r>
      <w:r>
        <w:rPr>
          <w:color w:val="231F20"/>
          <w:w w:val="90"/>
        </w:rPr>
        <w:t>provide</w:t>
      </w:r>
      <w:r>
        <w:rPr>
          <w:color w:val="231F20"/>
          <w:spacing w:val="-6"/>
          <w:w w:val="90"/>
        </w:rPr>
        <w:t> </w:t>
      </w:r>
      <w:r>
        <w:rPr>
          <w:color w:val="231F20"/>
          <w:w w:val="90"/>
        </w:rPr>
        <w:t>for</w:t>
      </w:r>
      <w:r>
        <w:rPr>
          <w:color w:val="231F20"/>
          <w:spacing w:val="-6"/>
          <w:w w:val="90"/>
        </w:rPr>
        <w:t> </w:t>
      </w:r>
      <w:r>
        <w:rPr>
          <w:color w:val="231F20"/>
          <w:w w:val="90"/>
        </w:rPr>
        <w:t>cross-border</w:t>
      </w:r>
      <w:r>
        <w:rPr>
          <w:color w:val="231F20"/>
          <w:spacing w:val="-6"/>
          <w:w w:val="90"/>
        </w:rPr>
        <w:t> </w:t>
      </w:r>
      <w:r>
        <w:rPr>
          <w:color w:val="231F20"/>
          <w:w w:val="90"/>
        </w:rPr>
        <w:t>traceability</w:t>
      </w:r>
      <w:r>
        <w:rPr>
          <w:color w:val="231F20"/>
          <w:spacing w:val="-6"/>
          <w:w w:val="90"/>
        </w:rPr>
        <w:t> </w:t>
      </w:r>
      <w:r>
        <w:rPr>
          <w:color w:val="231F20"/>
          <w:w w:val="90"/>
        </w:rPr>
        <w:t>of</w:t>
      </w:r>
      <w:r>
        <w:rPr>
          <w:color w:val="231F20"/>
          <w:spacing w:val="-6"/>
          <w:w w:val="90"/>
        </w:rPr>
        <w:t> </w:t>
      </w:r>
      <w:r>
        <w:rPr>
          <w:color w:val="231F20"/>
          <w:w w:val="90"/>
        </w:rPr>
        <w:t>ship- ments for customs purposes. Modern transit sys- </w:t>
      </w:r>
      <w:r>
        <w:rPr>
          <w:color w:val="231F20"/>
          <w:spacing w:val="-4"/>
        </w:rPr>
        <w:t>tems,</w:t>
      </w:r>
      <w:r>
        <w:rPr>
          <w:color w:val="231F20"/>
          <w:spacing w:val="-7"/>
        </w:rPr>
        <w:t> </w:t>
      </w:r>
      <w:r>
        <w:rPr>
          <w:color w:val="231F20"/>
          <w:spacing w:val="-4"/>
        </w:rPr>
        <w:t>such</w:t>
      </w:r>
      <w:r>
        <w:rPr>
          <w:color w:val="231F20"/>
          <w:spacing w:val="-7"/>
        </w:rPr>
        <w:t> </w:t>
      </w:r>
      <w:r>
        <w:rPr>
          <w:color w:val="231F20"/>
          <w:spacing w:val="-4"/>
        </w:rPr>
        <w:t>as</w:t>
      </w:r>
      <w:r>
        <w:rPr>
          <w:color w:val="231F20"/>
          <w:spacing w:val="-7"/>
        </w:rPr>
        <w:t> </w:t>
      </w:r>
      <w:r>
        <w:rPr>
          <w:color w:val="231F20"/>
          <w:spacing w:val="-4"/>
        </w:rPr>
        <w:t>in</w:t>
      </w:r>
      <w:r>
        <w:rPr>
          <w:color w:val="231F20"/>
          <w:spacing w:val="-7"/>
        </w:rPr>
        <w:t> </w:t>
      </w:r>
      <w:r>
        <w:rPr>
          <w:color w:val="231F20"/>
          <w:spacing w:val="-4"/>
        </w:rPr>
        <w:t>the</w:t>
      </w:r>
      <w:r>
        <w:rPr>
          <w:color w:val="231F20"/>
          <w:spacing w:val="-7"/>
        </w:rPr>
        <w:t> </w:t>
      </w:r>
      <w:r>
        <w:rPr>
          <w:color w:val="231F20"/>
          <w:spacing w:val="-4"/>
        </w:rPr>
        <w:t>European</w:t>
      </w:r>
      <w:r>
        <w:rPr>
          <w:color w:val="231F20"/>
          <w:spacing w:val="-7"/>
        </w:rPr>
        <w:t> </w:t>
      </w:r>
      <w:r>
        <w:rPr>
          <w:color w:val="231F20"/>
          <w:spacing w:val="-4"/>
        </w:rPr>
        <w:t>Union,</w:t>
      </w:r>
      <w:r>
        <w:rPr>
          <w:color w:val="231F20"/>
          <w:spacing w:val="-7"/>
        </w:rPr>
        <w:t> </w:t>
      </w:r>
      <w:r>
        <w:rPr>
          <w:color w:val="231F20"/>
          <w:spacing w:val="-4"/>
        </w:rPr>
        <w:t>promote </w:t>
      </w:r>
      <w:r>
        <w:rPr>
          <w:color w:val="231F20"/>
        </w:rPr>
        <w:t>regionally integrated markets of authorized </w:t>
      </w:r>
      <w:r>
        <w:rPr>
          <w:color w:val="231F20"/>
          <w:spacing w:val="-4"/>
        </w:rPr>
        <w:t>operators</w:t>
      </w:r>
      <w:r>
        <w:rPr>
          <w:color w:val="231F20"/>
          <w:spacing w:val="-5"/>
        </w:rPr>
        <w:t> </w:t>
      </w:r>
      <w:r>
        <w:rPr>
          <w:color w:val="231F20"/>
          <w:spacing w:val="-4"/>
        </w:rPr>
        <w:t>that</w:t>
      </w:r>
      <w:r>
        <w:rPr>
          <w:color w:val="231F20"/>
          <w:spacing w:val="-5"/>
        </w:rPr>
        <w:t> </w:t>
      </w:r>
      <w:r>
        <w:rPr>
          <w:color w:val="231F20"/>
          <w:spacing w:val="-4"/>
        </w:rPr>
        <w:t>meet</w:t>
      </w:r>
      <w:r>
        <w:rPr>
          <w:color w:val="231F20"/>
          <w:spacing w:val="-5"/>
        </w:rPr>
        <w:t> </w:t>
      </w:r>
      <w:r>
        <w:rPr>
          <w:color w:val="231F20"/>
          <w:spacing w:val="-4"/>
        </w:rPr>
        <w:t>quality</w:t>
      </w:r>
      <w:r>
        <w:rPr>
          <w:color w:val="231F20"/>
          <w:spacing w:val="-5"/>
        </w:rPr>
        <w:t> </w:t>
      </w:r>
      <w:r>
        <w:rPr>
          <w:color w:val="231F20"/>
          <w:spacing w:val="-4"/>
        </w:rPr>
        <w:t>and</w:t>
      </w:r>
      <w:r>
        <w:rPr>
          <w:color w:val="231F20"/>
          <w:spacing w:val="-5"/>
        </w:rPr>
        <w:t> </w:t>
      </w:r>
      <w:r>
        <w:rPr>
          <w:color w:val="231F20"/>
          <w:spacing w:val="-4"/>
        </w:rPr>
        <w:t>environmental requirements,</w:t>
      </w:r>
      <w:r>
        <w:rPr>
          <w:color w:val="231F20"/>
          <w:spacing w:val="-10"/>
        </w:rPr>
        <w:t> </w:t>
      </w:r>
      <w:r>
        <w:rPr>
          <w:color w:val="231F20"/>
          <w:spacing w:val="-4"/>
        </w:rPr>
        <w:t>along</w:t>
      </w:r>
      <w:r>
        <w:rPr>
          <w:color w:val="231F20"/>
          <w:spacing w:val="-9"/>
        </w:rPr>
        <w:t> </w:t>
      </w:r>
      <w:r>
        <w:rPr>
          <w:color w:val="231F20"/>
          <w:spacing w:val="-4"/>
        </w:rPr>
        <w:t>with</w:t>
      </w:r>
      <w:r>
        <w:rPr>
          <w:color w:val="231F20"/>
          <w:spacing w:val="-9"/>
        </w:rPr>
        <w:t> </w:t>
      </w:r>
      <w:r>
        <w:rPr>
          <w:color w:val="231F20"/>
          <w:spacing w:val="-4"/>
        </w:rPr>
        <w:t>interoperability</w:t>
      </w:r>
      <w:r>
        <w:rPr>
          <w:color w:val="231F20"/>
          <w:spacing w:val="-9"/>
        </w:rPr>
        <w:t> </w:t>
      </w:r>
      <w:r>
        <w:rPr>
          <w:color w:val="231F20"/>
          <w:spacing w:val="-4"/>
        </w:rPr>
        <w:t>of</w:t>
      </w:r>
      <w:r>
        <w:rPr>
          <w:color w:val="231F20"/>
          <w:spacing w:val="-9"/>
        </w:rPr>
        <w:t> </w:t>
      </w:r>
      <w:r>
        <w:rPr>
          <w:color w:val="231F20"/>
          <w:spacing w:val="-4"/>
        </w:rPr>
        <w:t>fi- </w:t>
      </w:r>
      <w:r>
        <w:rPr>
          <w:color w:val="231F20"/>
          <w:w w:val="90"/>
        </w:rPr>
        <w:t>nancial guarantees across borders and digitaliza- </w:t>
      </w:r>
      <w:r>
        <w:rPr>
          <w:color w:val="231F20"/>
          <w:spacing w:val="-4"/>
        </w:rPr>
        <w:t>tion</w:t>
      </w:r>
      <w:r>
        <w:rPr>
          <w:color w:val="231F20"/>
          <w:spacing w:val="-7"/>
        </w:rPr>
        <w:t> </w:t>
      </w:r>
      <w:r>
        <w:rPr>
          <w:color w:val="231F20"/>
          <w:spacing w:val="-4"/>
        </w:rPr>
        <w:t>of</w:t>
      </w:r>
      <w:r>
        <w:rPr>
          <w:color w:val="231F20"/>
          <w:spacing w:val="-7"/>
        </w:rPr>
        <w:t> </w:t>
      </w:r>
      <w:r>
        <w:rPr>
          <w:color w:val="231F20"/>
          <w:spacing w:val="-4"/>
        </w:rPr>
        <w:t>transit</w:t>
      </w:r>
      <w:r>
        <w:rPr>
          <w:color w:val="231F20"/>
          <w:spacing w:val="-7"/>
        </w:rPr>
        <w:t> </w:t>
      </w:r>
      <w:r>
        <w:rPr>
          <w:color w:val="231F20"/>
          <w:spacing w:val="-4"/>
        </w:rPr>
        <w:t>manifests.</w:t>
      </w:r>
      <w:r>
        <w:rPr>
          <w:color w:val="231F20"/>
          <w:spacing w:val="-7"/>
        </w:rPr>
        <w:t> </w:t>
      </w:r>
      <w:r>
        <w:rPr>
          <w:color w:val="231F20"/>
          <w:spacing w:val="-4"/>
        </w:rPr>
        <w:t>The</w:t>
      </w:r>
      <w:r>
        <w:rPr>
          <w:color w:val="231F20"/>
          <w:spacing w:val="-7"/>
        </w:rPr>
        <w:t> </w:t>
      </w:r>
      <w:r>
        <w:rPr>
          <w:color w:val="231F20"/>
          <w:spacing w:val="-4"/>
        </w:rPr>
        <w:t>benchmark</w:t>
      </w:r>
      <w:r>
        <w:rPr>
          <w:color w:val="231F20"/>
          <w:spacing w:val="-7"/>
        </w:rPr>
        <w:t> </w:t>
      </w:r>
      <w:r>
        <w:rPr>
          <w:color w:val="231F20"/>
          <w:spacing w:val="-4"/>
        </w:rPr>
        <w:t>of</w:t>
      </w:r>
      <w:r>
        <w:rPr>
          <w:color w:val="231F20"/>
          <w:spacing w:val="-7"/>
        </w:rPr>
        <w:t> </w:t>
      </w:r>
      <w:r>
        <w:rPr>
          <w:color w:val="231F20"/>
          <w:spacing w:val="-4"/>
        </w:rPr>
        <w:t>an efficient</w:t>
      </w:r>
      <w:r>
        <w:rPr>
          <w:color w:val="231F20"/>
          <w:spacing w:val="-5"/>
        </w:rPr>
        <w:t> </w:t>
      </w:r>
      <w:r>
        <w:rPr>
          <w:color w:val="231F20"/>
          <w:spacing w:val="-4"/>
        </w:rPr>
        <w:t>transit</w:t>
      </w:r>
      <w:r>
        <w:rPr>
          <w:color w:val="231F20"/>
          <w:spacing w:val="-5"/>
        </w:rPr>
        <w:t> </w:t>
      </w:r>
      <w:r>
        <w:rPr>
          <w:color w:val="231F20"/>
          <w:spacing w:val="-4"/>
        </w:rPr>
        <w:t>system</w:t>
      </w:r>
      <w:r>
        <w:rPr>
          <w:color w:val="231F20"/>
          <w:spacing w:val="-5"/>
        </w:rPr>
        <w:t> </w:t>
      </w:r>
      <w:r>
        <w:rPr>
          <w:color w:val="231F20"/>
          <w:spacing w:val="-4"/>
        </w:rPr>
        <w:t>is</w:t>
      </w:r>
      <w:r>
        <w:rPr>
          <w:color w:val="231F20"/>
          <w:spacing w:val="-5"/>
        </w:rPr>
        <w:t> </w:t>
      </w:r>
      <w:r>
        <w:rPr>
          <w:color w:val="231F20"/>
          <w:spacing w:val="-4"/>
        </w:rPr>
        <w:t>the</w:t>
      </w:r>
      <w:r>
        <w:rPr>
          <w:color w:val="231F20"/>
          <w:spacing w:val="-5"/>
        </w:rPr>
        <w:t> </w:t>
      </w:r>
      <w:r>
        <w:rPr>
          <w:color w:val="231F20"/>
          <w:spacing w:val="-4"/>
        </w:rPr>
        <w:t>Transports</w:t>
      </w:r>
      <w:r>
        <w:rPr>
          <w:color w:val="231F20"/>
          <w:spacing w:val="-5"/>
        </w:rPr>
        <w:t> </w:t>
      </w:r>
      <w:r>
        <w:rPr>
          <w:color w:val="231F20"/>
          <w:spacing w:val="-4"/>
        </w:rPr>
        <w:t>Inter- nationaux</w:t>
      </w:r>
      <w:r>
        <w:rPr>
          <w:color w:val="231F20"/>
          <w:spacing w:val="-9"/>
        </w:rPr>
        <w:t> </w:t>
      </w:r>
      <w:r>
        <w:rPr>
          <w:color w:val="231F20"/>
          <w:spacing w:val="-4"/>
        </w:rPr>
        <w:t>Routiers</w:t>
      </w:r>
      <w:r>
        <w:rPr>
          <w:color w:val="231F20"/>
          <w:spacing w:val="-9"/>
        </w:rPr>
        <w:t> </w:t>
      </w:r>
      <w:r>
        <w:rPr>
          <w:color w:val="231F20"/>
          <w:spacing w:val="-4"/>
        </w:rPr>
        <w:t>(International</w:t>
      </w:r>
      <w:r>
        <w:rPr>
          <w:color w:val="231F20"/>
          <w:spacing w:val="-9"/>
        </w:rPr>
        <w:t> </w:t>
      </w:r>
      <w:r>
        <w:rPr>
          <w:color w:val="231F20"/>
          <w:spacing w:val="-4"/>
        </w:rPr>
        <w:t>Road</w:t>
      </w:r>
      <w:r>
        <w:rPr>
          <w:color w:val="231F20"/>
          <w:spacing w:val="-9"/>
        </w:rPr>
        <w:t> </w:t>
      </w:r>
      <w:r>
        <w:rPr>
          <w:color w:val="231F20"/>
          <w:spacing w:val="-4"/>
        </w:rPr>
        <w:t>Trans- </w:t>
      </w:r>
      <w:r>
        <w:rPr>
          <w:color w:val="231F20"/>
          <w:spacing w:val="-6"/>
        </w:rPr>
        <w:t>port, or TIR). That system is superseded by the European</w:t>
      </w:r>
      <w:r>
        <w:rPr>
          <w:color w:val="231F20"/>
          <w:spacing w:val="-8"/>
        </w:rPr>
        <w:t> </w:t>
      </w:r>
      <w:r>
        <w:rPr>
          <w:color w:val="231F20"/>
          <w:spacing w:val="-6"/>
        </w:rPr>
        <w:t>transit</w:t>
      </w:r>
      <w:r>
        <w:rPr>
          <w:color w:val="231F20"/>
          <w:spacing w:val="-7"/>
        </w:rPr>
        <w:t> </w:t>
      </w:r>
      <w:r>
        <w:rPr>
          <w:color w:val="231F20"/>
          <w:spacing w:val="-6"/>
        </w:rPr>
        <w:t>system</w:t>
      </w:r>
      <w:r>
        <w:rPr>
          <w:color w:val="231F20"/>
          <w:spacing w:val="-7"/>
        </w:rPr>
        <w:t> </w:t>
      </w:r>
      <w:r>
        <w:rPr>
          <w:color w:val="231F20"/>
          <w:spacing w:val="-6"/>
        </w:rPr>
        <w:t>in</w:t>
      </w:r>
      <w:r>
        <w:rPr>
          <w:color w:val="231F20"/>
          <w:spacing w:val="-7"/>
        </w:rPr>
        <w:t> </w:t>
      </w:r>
      <w:r>
        <w:rPr>
          <w:color w:val="231F20"/>
          <w:spacing w:val="-6"/>
        </w:rPr>
        <w:t>Western</w:t>
      </w:r>
      <w:r>
        <w:rPr>
          <w:color w:val="231F20"/>
          <w:spacing w:val="-7"/>
        </w:rPr>
        <w:t> </w:t>
      </w:r>
      <w:r>
        <w:rPr>
          <w:color w:val="231F20"/>
          <w:spacing w:val="-6"/>
        </w:rPr>
        <w:t>Europe</w:t>
      </w:r>
      <w:r>
        <w:rPr>
          <w:color w:val="231F20"/>
          <w:spacing w:val="-7"/>
        </w:rPr>
        <w:t> </w:t>
      </w:r>
      <w:r>
        <w:rPr>
          <w:color w:val="231F20"/>
          <w:spacing w:val="-6"/>
        </w:rPr>
        <w:t>but </w:t>
      </w:r>
      <w:r>
        <w:rPr>
          <w:color w:val="231F20"/>
          <w:spacing w:val="-4"/>
        </w:rPr>
        <w:t>remains</w:t>
      </w:r>
      <w:r>
        <w:rPr>
          <w:color w:val="231F20"/>
          <w:spacing w:val="-9"/>
        </w:rPr>
        <w:t> </w:t>
      </w:r>
      <w:r>
        <w:rPr>
          <w:color w:val="231F20"/>
          <w:spacing w:val="-4"/>
        </w:rPr>
        <w:t>important</w:t>
      </w:r>
      <w:r>
        <w:rPr>
          <w:color w:val="231F20"/>
          <w:spacing w:val="-9"/>
        </w:rPr>
        <w:t> </w:t>
      </w:r>
      <w:r>
        <w:rPr>
          <w:color w:val="231F20"/>
          <w:spacing w:val="-4"/>
        </w:rPr>
        <w:t>to</w:t>
      </w:r>
      <w:r>
        <w:rPr>
          <w:color w:val="231F20"/>
          <w:spacing w:val="-9"/>
        </w:rPr>
        <w:t> </w:t>
      </w:r>
      <w:r>
        <w:rPr>
          <w:color w:val="231F20"/>
          <w:spacing w:val="-4"/>
        </w:rPr>
        <w:t>countries</w:t>
      </w:r>
      <w:r>
        <w:rPr>
          <w:color w:val="231F20"/>
          <w:spacing w:val="-9"/>
        </w:rPr>
        <w:t> </w:t>
      </w:r>
      <w:r>
        <w:rPr>
          <w:color w:val="231F20"/>
          <w:spacing w:val="-4"/>
        </w:rPr>
        <w:t>in</w:t>
      </w:r>
      <w:r>
        <w:rPr>
          <w:color w:val="231F20"/>
          <w:spacing w:val="-9"/>
        </w:rPr>
        <w:t> </w:t>
      </w:r>
      <w:r>
        <w:rPr>
          <w:color w:val="231F20"/>
          <w:spacing w:val="-4"/>
        </w:rPr>
        <w:t>Central</w:t>
      </w:r>
      <w:r>
        <w:rPr>
          <w:color w:val="231F20"/>
          <w:spacing w:val="-9"/>
        </w:rPr>
        <w:t> </w:t>
      </w:r>
      <w:r>
        <w:rPr>
          <w:color w:val="231F20"/>
          <w:spacing w:val="-4"/>
        </w:rPr>
        <w:t>Asia and</w:t>
      </w:r>
      <w:r>
        <w:rPr>
          <w:color w:val="231F20"/>
          <w:spacing w:val="-9"/>
        </w:rPr>
        <w:t> </w:t>
      </w:r>
      <w:r>
        <w:rPr>
          <w:color w:val="231F20"/>
          <w:spacing w:val="-4"/>
        </w:rPr>
        <w:t>the</w:t>
      </w:r>
      <w:r>
        <w:rPr>
          <w:color w:val="231F20"/>
          <w:spacing w:val="-9"/>
        </w:rPr>
        <w:t> </w:t>
      </w:r>
      <w:r>
        <w:rPr>
          <w:color w:val="231F20"/>
          <w:spacing w:val="-4"/>
        </w:rPr>
        <w:t>Middle</w:t>
      </w:r>
      <w:r>
        <w:rPr>
          <w:color w:val="231F20"/>
          <w:spacing w:val="-9"/>
        </w:rPr>
        <w:t> </w:t>
      </w:r>
      <w:r>
        <w:rPr>
          <w:color w:val="231F20"/>
          <w:spacing w:val="-4"/>
        </w:rPr>
        <w:t>and</w:t>
      </w:r>
      <w:r>
        <w:rPr>
          <w:color w:val="231F20"/>
          <w:spacing w:val="-9"/>
        </w:rPr>
        <w:t> </w:t>
      </w:r>
      <w:r>
        <w:rPr>
          <w:color w:val="231F20"/>
          <w:spacing w:val="-4"/>
        </w:rPr>
        <w:t>North</w:t>
      </w:r>
      <w:r>
        <w:rPr>
          <w:color w:val="231F20"/>
          <w:spacing w:val="-9"/>
        </w:rPr>
        <w:t> </w:t>
      </w:r>
      <w:r>
        <w:rPr>
          <w:color w:val="231F20"/>
          <w:spacing w:val="-4"/>
        </w:rPr>
        <w:t>Africa.</w:t>
      </w:r>
      <w:r>
        <w:rPr>
          <w:color w:val="231F20"/>
          <w:spacing w:val="-9"/>
        </w:rPr>
        <w:t> </w:t>
      </w:r>
      <w:r>
        <w:rPr>
          <w:color w:val="231F20"/>
          <w:spacing w:val="-4"/>
        </w:rPr>
        <w:t>Few</w:t>
      </w:r>
      <w:r>
        <w:rPr>
          <w:color w:val="231F20"/>
          <w:spacing w:val="-9"/>
        </w:rPr>
        <w:t> </w:t>
      </w:r>
      <w:r>
        <w:rPr>
          <w:color w:val="231F20"/>
          <w:spacing w:val="-4"/>
        </w:rPr>
        <w:t>regions </w:t>
      </w:r>
      <w:r>
        <w:rPr>
          <w:color w:val="231F20"/>
          <w:w w:val="90"/>
        </w:rPr>
        <w:t>beyond Europe have been able to follow the TIR model, though one exception is the International </w:t>
      </w:r>
      <w:r>
        <w:rPr>
          <w:color w:val="231F20"/>
        </w:rPr>
        <w:t>Transit</w:t>
      </w:r>
      <w:r>
        <w:rPr>
          <w:color w:val="231F20"/>
          <w:spacing w:val="-9"/>
        </w:rPr>
        <w:t> </w:t>
      </w:r>
      <w:r>
        <w:rPr>
          <w:color w:val="231F20"/>
        </w:rPr>
        <w:t>of</w:t>
      </w:r>
      <w:r>
        <w:rPr>
          <w:color w:val="231F20"/>
          <w:spacing w:val="-9"/>
        </w:rPr>
        <w:t> </w:t>
      </w:r>
      <w:r>
        <w:rPr>
          <w:color w:val="231F20"/>
        </w:rPr>
        <w:t>Goods</w:t>
      </w:r>
      <w:r>
        <w:rPr>
          <w:color w:val="231F20"/>
          <w:spacing w:val="-9"/>
        </w:rPr>
        <w:t> </w:t>
      </w:r>
      <w:r>
        <w:rPr>
          <w:color w:val="231F20"/>
        </w:rPr>
        <w:t>in</w:t>
      </w:r>
      <w:r>
        <w:rPr>
          <w:color w:val="231F20"/>
          <w:spacing w:val="-9"/>
        </w:rPr>
        <w:t> </w:t>
      </w:r>
      <w:r>
        <w:rPr>
          <w:color w:val="231F20"/>
        </w:rPr>
        <w:t>Central</w:t>
      </w:r>
      <w:r>
        <w:rPr>
          <w:color w:val="231F20"/>
          <w:spacing w:val="-9"/>
        </w:rPr>
        <w:t> </w:t>
      </w:r>
      <w:r>
        <w:rPr>
          <w:color w:val="231F20"/>
        </w:rPr>
        <w:t>America.</w:t>
      </w:r>
      <w:r>
        <w:rPr>
          <w:color w:val="231F20"/>
          <w:position w:val="7"/>
          <w:sz w:val="14"/>
        </w:rPr>
        <w:t>37</w:t>
      </w:r>
    </w:p>
    <w:p>
      <w:pPr>
        <w:pStyle w:val="BodyText"/>
        <w:spacing w:before="22"/>
      </w:pPr>
    </w:p>
    <w:p>
      <w:pPr>
        <w:spacing w:line="280" w:lineRule="auto" w:before="0"/>
        <w:ind w:left="1200" w:right="0" w:firstLine="0"/>
        <w:jc w:val="left"/>
        <w:rPr>
          <w:rFonts w:ascii="Arial"/>
          <w:b/>
          <w:sz w:val="20"/>
        </w:rPr>
      </w:pPr>
      <w:r>
        <w:rPr>
          <w:rFonts w:ascii="Arial"/>
          <w:b/>
          <w:color w:val="231F20"/>
          <w:w w:val="105"/>
          <w:sz w:val="20"/>
        </w:rPr>
        <w:t>Connectivity and logistics performance in small maritime </w:t>
      </w:r>
      <w:r>
        <w:rPr>
          <w:rFonts w:ascii="Arial"/>
          <w:b/>
          <w:color w:val="231F20"/>
          <w:spacing w:val="-2"/>
          <w:w w:val="105"/>
          <w:sz w:val="20"/>
        </w:rPr>
        <w:t>economies</w:t>
      </w:r>
    </w:p>
    <w:p>
      <w:pPr>
        <w:pStyle w:val="BodyText"/>
        <w:spacing w:before="34"/>
        <w:rPr>
          <w:rFonts w:ascii="Arial"/>
          <w:b/>
          <w:sz w:val="20"/>
        </w:rPr>
      </w:pPr>
    </w:p>
    <w:p>
      <w:pPr>
        <w:pStyle w:val="BodyText"/>
        <w:spacing w:line="268" w:lineRule="auto" w:before="1"/>
        <w:ind w:left="1200" w:right="1"/>
        <w:jc w:val="both"/>
      </w:pPr>
      <w:r>
        <w:rPr>
          <w:color w:val="231F20"/>
          <w:spacing w:val="-4"/>
        </w:rPr>
        <w:t>The key performance indicators measure con- </w:t>
      </w:r>
      <w:r>
        <w:rPr>
          <w:color w:val="231F20"/>
        </w:rPr>
        <w:t>nectivity</w:t>
      </w:r>
      <w:r>
        <w:rPr>
          <w:color w:val="231F20"/>
          <w:spacing w:val="-8"/>
        </w:rPr>
        <w:t> </w:t>
      </w:r>
      <w:r>
        <w:rPr>
          <w:color w:val="231F20"/>
        </w:rPr>
        <w:t>for</w:t>
      </w:r>
      <w:r>
        <w:rPr>
          <w:color w:val="231F20"/>
          <w:spacing w:val="-8"/>
        </w:rPr>
        <w:t> </w:t>
      </w:r>
      <w:r>
        <w:rPr>
          <w:color w:val="231F20"/>
        </w:rPr>
        <w:t>each</w:t>
      </w:r>
      <w:r>
        <w:rPr>
          <w:color w:val="231F20"/>
          <w:spacing w:val="-8"/>
        </w:rPr>
        <w:t> </w:t>
      </w:r>
      <w:r>
        <w:rPr>
          <w:color w:val="231F20"/>
        </w:rPr>
        <w:t>mode</w:t>
      </w:r>
      <w:r>
        <w:rPr>
          <w:color w:val="231F20"/>
          <w:spacing w:val="-8"/>
        </w:rPr>
        <w:t> </w:t>
      </w:r>
      <w:r>
        <w:rPr>
          <w:color w:val="231F20"/>
        </w:rPr>
        <w:t>(container</w:t>
      </w:r>
      <w:r>
        <w:rPr>
          <w:color w:val="231F20"/>
          <w:spacing w:val="-8"/>
        </w:rPr>
        <w:t> </w:t>
      </w:r>
      <w:r>
        <w:rPr>
          <w:color w:val="231F20"/>
        </w:rPr>
        <w:t>shipping, aviation,</w:t>
      </w:r>
      <w:r>
        <w:rPr>
          <w:color w:val="231F20"/>
          <w:spacing w:val="-9"/>
        </w:rPr>
        <w:t> </w:t>
      </w:r>
      <w:r>
        <w:rPr>
          <w:color w:val="231F20"/>
        </w:rPr>
        <w:t>and</w:t>
      </w:r>
      <w:r>
        <w:rPr>
          <w:color w:val="231F20"/>
          <w:spacing w:val="-8"/>
        </w:rPr>
        <w:t> </w:t>
      </w:r>
      <w:r>
        <w:rPr>
          <w:color w:val="231F20"/>
        </w:rPr>
        <w:t>postal)</w:t>
      </w:r>
      <w:r>
        <w:rPr>
          <w:color w:val="231F20"/>
          <w:spacing w:val="-8"/>
        </w:rPr>
        <w:t> </w:t>
      </w:r>
      <w:r>
        <w:rPr>
          <w:color w:val="231F20"/>
        </w:rPr>
        <w:t>as</w:t>
      </w:r>
      <w:r>
        <w:rPr>
          <w:color w:val="231F20"/>
          <w:spacing w:val="-8"/>
        </w:rPr>
        <w:t> </w:t>
      </w:r>
      <w:r>
        <w:rPr>
          <w:color w:val="231F20"/>
        </w:rPr>
        <w:t>a</w:t>
      </w:r>
      <w:r>
        <w:rPr>
          <w:color w:val="231F20"/>
          <w:spacing w:val="-8"/>
        </w:rPr>
        <w:t> </w:t>
      </w:r>
      <w:r>
        <w:rPr>
          <w:color w:val="231F20"/>
        </w:rPr>
        <w:t>simple</w:t>
      </w:r>
      <w:r>
        <w:rPr>
          <w:color w:val="231F20"/>
          <w:spacing w:val="-8"/>
        </w:rPr>
        <w:t> </w:t>
      </w:r>
      <w:r>
        <w:rPr>
          <w:color w:val="231F20"/>
        </w:rPr>
        <w:t>count</w:t>
      </w:r>
      <w:r>
        <w:rPr>
          <w:color w:val="231F20"/>
          <w:spacing w:val="-9"/>
        </w:rPr>
        <w:t> </w:t>
      </w:r>
      <w:r>
        <w:rPr>
          <w:color w:val="231F20"/>
        </w:rPr>
        <w:t>of</w:t>
      </w:r>
      <w:r>
        <w:rPr>
          <w:color w:val="231F20"/>
          <w:spacing w:val="-8"/>
        </w:rPr>
        <w:t> </w:t>
      </w:r>
      <w:r>
        <w:rPr>
          <w:color w:val="231F20"/>
          <w:spacing w:val="-5"/>
        </w:rPr>
        <w:t>the</w:t>
      </w:r>
    </w:p>
    <w:p>
      <w:pPr>
        <w:pStyle w:val="BodyText"/>
        <w:spacing w:line="268" w:lineRule="auto" w:before="101"/>
        <w:ind w:left="195" w:right="2813"/>
        <w:jc w:val="both"/>
      </w:pPr>
      <w:r>
        <w:rPr/>
        <w:br w:type="column"/>
      </w:r>
      <w:r>
        <w:rPr>
          <w:color w:val="231F20"/>
        </w:rPr>
        <w:t>international</w:t>
      </w:r>
      <w:r>
        <w:rPr>
          <w:color w:val="231F20"/>
          <w:spacing w:val="-10"/>
        </w:rPr>
        <w:t> </w:t>
      </w:r>
      <w:r>
        <w:rPr>
          <w:color w:val="231F20"/>
        </w:rPr>
        <w:t>partners</w:t>
      </w:r>
      <w:r>
        <w:rPr>
          <w:color w:val="231F20"/>
          <w:spacing w:val="-10"/>
        </w:rPr>
        <w:t> </w:t>
      </w:r>
      <w:r>
        <w:rPr>
          <w:color w:val="231F20"/>
        </w:rPr>
        <w:t>(that</w:t>
      </w:r>
      <w:r>
        <w:rPr>
          <w:color w:val="231F20"/>
          <w:spacing w:val="-10"/>
        </w:rPr>
        <w:t> </w:t>
      </w:r>
      <w:r>
        <w:rPr>
          <w:color w:val="231F20"/>
        </w:rPr>
        <w:t>is,</w:t>
      </w:r>
      <w:r>
        <w:rPr>
          <w:color w:val="231F20"/>
          <w:spacing w:val="-10"/>
        </w:rPr>
        <w:t> </w:t>
      </w:r>
      <w:r>
        <w:rPr>
          <w:color w:val="231F20"/>
        </w:rPr>
        <w:t>countries)</w:t>
      </w:r>
      <w:r>
        <w:rPr>
          <w:color w:val="231F20"/>
          <w:spacing w:val="-10"/>
        </w:rPr>
        <w:t> </w:t>
      </w:r>
      <w:r>
        <w:rPr>
          <w:color w:val="231F20"/>
        </w:rPr>
        <w:t>that a country connects to. The United Nations </w:t>
      </w:r>
      <w:r>
        <w:rPr>
          <w:color w:val="231F20"/>
          <w:spacing w:val="-6"/>
        </w:rPr>
        <w:t>Conference</w:t>
      </w:r>
      <w:r>
        <w:rPr>
          <w:color w:val="231F20"/>
          <w:spacing w:val="-8"/>
        </w:rPr>
        <w:t> </w:t>
      </w:r>
      <w:r>
        <w:rPr>
          <w:color w:val="231F20"/>
          <w:spacing w:val="-6"/>
        </w:rPr>
        <w:t>on</w:t>
      </w:r>
      <w:r>
        <w:rPr>
          <w:color w:val="231F20"/>
          <w:spacing w:val="-7"/>
        </w:rPr>
        <w:t> </w:t>
      </w:r>
      <w:r>
        <w:rPr>
          <w:color w:val="231F20"/>
          <w:spacing w:val="-6"/>
        </w:rPr>
        <w:t>Trade</w:t>
      </w:r>
      <w:r>
        <w:rPr>
          <w:color w:val="231F20"/>
          <w:spacing w:val="-7"/>
        </w:rPr>
        <w:t> </w:t>
      </w:r>
      <w:r>
        <w:rPr>
          <w:color w:val="231F20"/>
          <w:spacing w:val="-6"/>
        </w:rPr>
        <w:t>and</w:t>
      </w:r>
      <w:r>
        <w:rPr>
          <w:color w:val="231F20"/>
          <w:spacing w:val="-7"/>
        </w:rPr>
        <w:t> </w:t>
      </w:r>
      <w:r>
        <w:rPr>
          <w:color w:val="231F20"/>
          <w:spacing w:val="-6"/>
        </w:rPr>
        <w:t>Development’s</w:t>
      </w:r>
      <w:r>
        <w:rPr>
          <w:color w:val="231F20"/>
          <w:spacing w:val="-7"/>
        </w:rPr>
        <w:t> </w:t>
      </w:r>
      <w:r>
        <w:rPr>
          <w:color w:val="231F20"/>
          <w:spacing w:val="-6"/>
        </w:rPr>
        <w:t>Liner </w:t>
      </w:r>
      <w:r>
        <w:rPr>
          <w:color w:val="231F20"/>
        </w:rPr>
        <w:t>Shipping</w:t>
      </w:r>
      <w:r>
        <w:rPr>
          <w:color w:val="231F20"/>
          <w:spacing w:val="-14"/>
        </w:rPr>
        <w:t> </w:t>
      </w:r>
      <w:r>
        <w:rPr>
          <w:color w:val="231F20"/>
        </w:rPr>
        <w:t>Connectivity</w:t>
      </w:r>
      <w:r>
        <w:rPr>
          <w:color w:val="231F20"/>
          <w:spacing w:val="-13"/>
        </w:rPr>
        <w:t> </w:t>
      </w:r>
      <w:r>
        <w:rPr>
          <w:color w:val="231F20"/>
        </w:rPr>
        <w:t>Index</w:t>
      </w:r>
      <w:r>
        <w:rPr>
          <w:color w:val="231F20"/>
          <w:spacing w:val="-13"/>
        </w:rPr>
        <w:t> </w:t>
      </w:r>
      <w:r>
        <w:rPr>
          <w:color w:val="231F20"/>
        </w:rPr>
        <w:t>combines</w:t>
      </w:r>
      <w:r>
        <w:rPr>
          <w:color w:val="231F20"/>
          <w:spacing w:val="-13"/>
        </w:rPr>
        <w:t> </w:t>
      </w:r>
      <w:r>
        <w:rPr>
          <w:color w:val="231F20"/>
        </w:rPr>
        <w:t>more </w:t>
      </w:r>
      <w:r>
        <w:rPr>
          <w:color w:val="231F20"/>
          <w:spacing w:val="-2"/>
        </w:rPr>
        <w:t>subindicators</w:t>
      </w:r>
      <w:r>
        <w:rPr>
          <w:color w:val="231F20"/>
          <w:spacing w:val="-12"/>
        </w:rPr>
        <w:t> </w:t>
      </w:r>
      <w:r>
        <w:rPr>
          <w:color w:val="231F20"/>
          <w:spacing w:val="-2"/>
        </w:rPr>
        <w:t>(such</w:t>
      </w:r>
      <w:r>
        <w:rPr>
          <w:color w:val="231F20"/>
          <w:spacing w:val="-11"/>
        </w:rPr>
        <w:t> </w:t>
      </w:r>
      <w:r>
        <w:rPr>
          <w:color w:val="231F20"/>
          <w:spacing w:val="-2"/>
        </w:rPr>
        <w:t>as</w:t>
      </w:r>
      <w:r>
        <w:rPr>
          <w:color w:val="231F20"/>
          <w:spacing w:val="-11"/>
        </w:rPr>
        <w:t> </w:t>
      </w:r>
      <w:r>
        <w:rPr>
          <w:color w:val="231F20"/>
          <w:spacing w:val="-2"/>
        </w:rPr>
        <w:t>number</w:t>
      </w:r>
      <w:r>
        <w:rPr>
          <w:color w:val="231F20"/>
          <w:spacing w:val="-11"/>
        </w:rPr>
        <w:t> </w:t>
      </w:r>
      <w:r>
        <w:rPr>
          <w:color w:val="231F20"/>
          <w:spacing w:val="-2"/>
        </w:rPr>
        <w:t>of</w:t>
      </w:r>
      <w:r>
        <w:rPr>
          <w:color w:val="231F20"/>
          <w:spacing w:val="-11"/>
        </w:rPr>
        <w:t> </w:t>
      </w:r>
      <w:r>
        <w:rPr>
          <w:color w:val="231F20"/>
          <w:spacing w:val="-2"/>
        </w:rPr>
        <w:t>services</w:t>
      </w:r>
      <w:r>
        <w:rPr>
          <w:color w:val="231F20"/>
          <w:spacing w:val="-11"/>
        </w:rPr>
        <w:t> </w:t>
      </w:r>
      <w:r>
        <w:rPr>
          <w:color w:val="231F20"/>
          <w:spacing w:val="-2"/>
        </w:rPr>
        <w:t>and </w:t>
      </w:r>
      <w:r>
        <w:rPr>
          <w:color w:val="231F20"/>
        </w:rPr>
        <w:t>shipping</w:t>
      </w:r>
      <w:r>
        <w:rPr>
          <w:color w:val="231F20"/>
          <w:spacing w:val="-5"/>
        </w:rPr>
        <w:t> </w:t>
      </w:r>
      <w:r>
        <w:rPr>
          <w:color w:val="231F20"/>
        </w:rPr>
        <w:t>alliances)</w:t>
      </w:r>
      <w:r>
        <w:rPr>
          <w:color w:val="231F20"/>
          <w:spacing w:val="-5"/>
        </w:rPr>
        <w:t> </w:t>
      </w:r>
      <w:r>
        <w:rPr>
          <w:color w:val="231F20"/>
        </w:rPr>
        <w:t>from</w:t>
      </w:r>
      <w:r>
        <w:rPr>
          <w:color w:val="231F20"/>
          <w:spacing w:val="-5"/>
        </w:rPr>
        <w:t> </w:t>
      </w:r>
      <w:r>
        <w:rPr>
          <w:color w:val="231F20"/>
        </w:rPr>
        <w:t>the</w:t>
      </w:r>
      <w:r>
        <w:rPr>
          <w:color w:val="231F20"/>
          <w:spacing w:val="-5"/>
        </w:rPr>
        <w:t> </w:t>
      </w:r>
      <w:r>
        <w:rPr>
          <w:color w:val="231F20"/>
        </w:rPr>
        <w:t>same</w:t>
      </w:r>
      <w:r>
        <w:rPr>
          <w:color w:val="231F20"/>
          <w:spacing w:val="-5"/>
        </w:rPr>
        <w:t> </w:t>
      </w:r>
      <w:r>
        <w:rPr>
          <w:color w:val="231F20"/>
        </w:rPr>
        <w:t>sources.</w:t>
      </w:r>
      <w:r>
        <w:rPr>
          <w:color w:val="231F20"/>
          <w:position w:val="7"/>
          <w:sz w:val="14"/>
        </w:rPr>
        <w:t>38</w:t>
      </w:r>
      <w:r>
        <w:rPr>
          <w:color w:val="231F20"/>
          <w:spacing w:val="40"/>
          <w:position w:val="7"/>
          <w:sz w:val="14"/>
        </w:rPr>
        <w:t> </w:t>
      </w:r>
      <w:r>
        <w:rPr>
          <w:color w:val="231F20"/>
        </w:rPr>
        <w:t>Connectivity metrics are closely associated </w:t>
      </w:r>
      <w:r>
        <w:rPr>
          <w:color w:val="231F20"/>
          <w:spacing w:val="-2"/>
        </w:rPr>
        <w:t>with</w:t>
      </w:r>
      <w:r>
        <w:rPr>
          <w:color w:val="231F20"/>
          <w:spacing w:val="-7"/>
        </w:rPr>
        <w:t> </w:t>
      </w:r>
      <w:r>
        <w:rPr>
          <w:color w:val="231F20"/>
          <w:spacing w:val="-2"/>
        </w:rPr>
        <w:t>logistics</w:t>
      </w:r>
      <w:r>
        <w:rPr>
          <w:color w:val="231F20"/>
          <w:spacing w:val="-7"/>
        </w:rPr>
        <w:t> </w:t>
      </w:r>
      <w:r>
        <w:rPr>
          <w:color w:val="231F20"/>
          <w:spacing w:val="-2"/>
        </w:rPr>
        <w:t>performance,</w:t>
      </w:r>
      <w:r>
        <w:rPr>
          <w:color w:val="231F20"/>
          <w:spacing w:val="-7"/>
        </w:rPr>
        <w:t> </w:t>
      </w:r>
      <w:r>
        <w:rPr>
          <w:color w:val="231F20"/>
          <w:spacing w:val="-2"/>
        </w:rPr>
        <w:t>especially</w:t>
      </w:r>
      <w:r>
        <w:rPr>
          <w:color w:val="231F20"/>
          <w:spacing w:val="-7"/>
        </w:rPr>
        <w:t> </w:t>
      </w:r>
      <w:r>
        <w:rPr>
          <w:color w:val="231F20"/>
          <w:spacing w:val="-2"/>
        </w:rPr>
        <w:t>for</w:t>
      </w:r>
      <w:r>
        <w:rPr>
          <w:color w:val="231F20"/>
          <w:spacing w:val="-7"/>
        </w:rPr>
        <w:t> </w:t>
      </w:r>
      <w:r>
        <w:rPr>
          <w:color w:val="231F20"/>
          <w:spacing w:val="-2"/>
        </w:rPr>
        <w:t>top performers</w:t>
      </w:r>
      <w:r>
        <w:rPr>
          <w:color w:val="231F20"/>
          <w:spacing w:val="-12"/>
        </w:rPr>
        <w:t> </w:t>
      </w:r>
      <w:r>
        <w:rPr>
          <w:color w:val="231F20"/>
          <w:spacing w:val="-2"/>
        </w:rPr>
        <w:t>and</w:t>
      </w:r>
      <w:r>
        <w:rPr>
          <w:color w:val="231F20"/>
          <w:spacing w:val="-11"/>
        </w:rPr>
        <w:t> </w:t>
      </w:r>
      <w:r>
        <w:rPr>
          <w:color w:val="231F20"/>
          <w:spacing w:val="-2"/>
        </w:rPr>
        <w:t>countries</w:t>
      </w:r>
      <w:r>
        <w:rPr>
          <w:color w:val="231F20"/>
          <w:spacing w:val="-11"/>
        </w:rPr>
        <w:t> </w:t>
      </w:r>
      <w:r>
        <w:rPr>
          <w:color w:val="231F20"/>
          <w:spacing w:val="-2"/>
        </w:rPr>
        <w:t>with</w:t>
      </w:r>
      <w:r>
        <w:rPr>
          <w:color w:val="231F20"/>
          <w:spacing w:val="-11"/>
        </w:rPr>
        <w:t> </w:t>
      </w:r>
      <w:r>
        <w:rPr>
          <w:color w:val="231F20"/>
          <w:spacing w:val="-2"/>
        </w:rPr>
        <w:t>high</w:t>
      </w:r>
      <w:r>
        <w:rPr>
          <w:color w:val="231F20"/>
          <w:spacing w:val="-11"/>
        </w:rPr>
        <w:t> </w:t>
      </w:r>
      <w:r>
        <w:rPr>
          <w:color w:val="231F20"/>
          <w:spacing w:val="-2"/>
        </w:rPr>
        <w:t>liner</w:t>
      </w:r>
      <w:r>
        <w:rPr>
          <w:color w:val="231F20"/>
          <w:spacing w:val="-11"/>
        </w:rPr>
        <w:t> </w:t>
      </w:r>
      <w:r>
        <w:rPr>
          <w:color w:val="231F20"/>
          <w:spacing w:val="-2"/>
        </w:rPr>
        <w:t>ship- </w:t>
      </w:r>
      <w:r>
        <w:rPr>
          <w:color w:val="231F20"/>
        </w:rPr>
        <w:t>ping</w:t>
      </w:r>
      <w:r>
        <w:rPr>
          <w:color w:val="231F20"/>
          <w:spacing w:val="-14"/>
        </w:rPr>
        <w:t> </w:t>
      </w:r>
      <w:r>
        <w:rPr>
          <w:color w:val="231F20"/>
        </w:rPr>
        <w:t>connectivity</w:t>
      </w:r>
      <w:r>
        <w:rPr>
          <w:color w:val="231F20"/>
          <w:spacing w:val="-13"/>
        </w:rPr>
        <w:t> </w:t>
      </w:r>
      <w:r>
        <w:rPr>
          <w:color w:val="231F20"/>
        </w:rPr>
        <w:t>(figure</w:t>
      </w:r>
      <w:r>
        <w:rPr>
          <w:color w:val="231F20"/>
          <w:spacing w:val="-13"/>
        </w:rPr>
        <w:t> </w:t>
      </w:r>
      <w:r>
        <w:rPr>
          <w:color w:val="231F20"/>
        </w:rPr>
        <w:t>3.7).</w:t>
      </w:r>
      <w:r>
        <w:rPr>
          <w:color w:val="231F20"/>
          <w:spacing w:val="-13"/>
        </w:rPr>
        <w:t> </w:t>
      </w:r>
      <w:r>
        <w:rPr>
          <w:color w:val="231F20"/>
        </w:rPr>
        <w:t>LPI</w:t>
      </w:r>
      <w:r>
        <w:rPr>
          <w:color w:val="231F20"/>
          <w:spacing w:val="-13"/>
        </w:rPr>
        <w:t> </w:t>
      </w:r>
      <w:r>
        <w:rPr>
          <w:color w:val="231F20"/>
        </w:rPr>
        <w:t>scores</w:t>
      </w:r>
      <w:r>
        <w:rPr>
          <w:color w:val="231F20"/>
          <w:spacing w:val="-13"/>
        </w:rPr>
        <w:t> </w:t>
      </w:r>
      <w:r>
        <w:rPr>
          <w:color w:val="231F20"/>
        </w:rPr>
        <w:t>are </w:t>
      </w:r>
      <w:r>
        <w:rPr>
          <w:color w:val="231F20"/>
          <w:w w:val="90"/>
        </w:rPr>
        <w:t>more strongly associated with the connectivity- </w:t>
      </w:r>
      <w:r>
        <w:rPr>
          <w:color w:val="231F20"/>
        </w:rPr>
        <w:t>related</w:t>
      </w:r>
      <w:r>
        <w:rPr>
          <w:color w:val="231F20"/>
          <w:spacing w:val="-14"/>
        </w:rPr>
        <w:t> </w:t>
      </w:r>
      <w:r>
        <w:rPr>
          <w:color w:val="231F20"/>
        </w:rPr>
        <w:t>key</w:t>
      </w:r>
      <w:r>
        <w:rPr>
          <w:color w:val="231F20"/>
          <w:spacing w:val="-13"/>
        </w:rPr>
        <w:t> </w:t>
      </w:r>
      <w:r>
        <w:rPr>
          <w:color w:val="231F20"/>
        </w:rPr>
        <w:t>performance</w:t>
      </w:r>
      <w:r>
        <w:rPr>
          <w:color w:val="231F20"/>
          <w:spacing w:val="-13"/>
        </w:rPr>
        <w:t> </w:t>
      </w:r>
      <w:r>
        <w:rPr>
          <w:color w:val="231F20"/>
        </w:rPr>
        <w:t>indicators</w:t>
      </w:r>
      <w:r>
        <w:rPr>
          <w:color w:val="231F20"/>
          <w:spacing w:val="-13"/>
        </w:rPr>
        <w:t> </w:t>
      </w:r>
      <w:r>
        <w:rPr>
          <w:color w:val="231F20"/>
        </w:rPr>
        <w:t>than</w:t>
      </w:r>
      <w:r>
        <w:rPr>
          <w:color w:val="231F20"/>
          <w:spacing w:val="-13"/>
        </w:rPr>
        <w:t> </w:t>
      </w:r>
      <w:r>
        <w:rPr>
          <w:color w:val="231F20"/>
        </w:rPr>
        <w:t>with </w:t>
      </w:r>
      <w:r>
        <w:rPr>
          <w:color w:val="231F20"/>
          <w:spacing w:val="-2"/>
        </w:rPr>
        <w:t>the</w:t>
      </w:r>
      <w:r>
        <w:rPr>
          <w:color w:val="231F20"/>
          <w:spacing w:val="-10"/>
        </w:rPr>
        <w:t> </w:t>
      </w:r>
      <w:r>
        <w:rPr>
          <w:color w:val="231F20"/>
          <w:spacing w:val="-2"/>
        </w:rPr>
        <w:t>delay-related</w:t>
      </w:r>
      <w:r>
        <w:rPr>
          <w:color w:val="231F20"/>
          <w:spacing w:val="-10"/>
        </w:rPr>
        <w:t> </w:t>
      </w:r>
      <w:r>
        <w:rPr>
          <w:color w:val="231F20"/>
          <w:spacing w:val="-2"/>
        </w:rPr>
        <w:t>key</w:t>
      </w:r>
      <w:r>
        <w:rPr>
          <w:color w:val="231F20"/>
          <w:spacing w:val="-10"/>
        </w:rPr>
        <w:t> </w:t>
      </w:r>
      <w:r>
        <w:rPr>
          <w:color w:val="231F20"/>
          <w:spacing w:val="-2"/>
        </w:rPr>
        <w:t>performance</w:t>
      </w:r>
      <w:r>
        <w:rPr>
          <w:color w:val="231F20"/>
          <w:spacing w:val="-10"/>
        </w:rPr>
        <w:t> </w:t>
      </w:r>
      <w:r>
        <w:rPr>
          <w:color w:val="231F20"/>
          <w:spacing w:val="-2"/>
        </w:rPr>
        <w:t>indicators.</w:t>
      </w:r>
    </w:p>
    <w:p>
      <w:pPr>
        <w:pStyle w:val="BodyText"/>
        <w:spacing w:line="268" w:lineRule="auto"/>
        <w:ind w:left="195" w:right="2817" w:firstLine="300"/>
        <w:jc w:val="both"/>
      </w:pPr>
      <w:r>
        <w:rPr>
          <w:color w:val="231F20"/>
        </w:rPr>
        <w:t>Logistics</w:t>
      </w:r>
      <w:r>
        <w:rPr>
          <w:color w:val="231F20"/>
          <w:spacing w:val="-14"/>
        </w:rPr>
        <w:t> </w:t>
      </w:r>
      <w:r>
        <w:rPr>
          <w:color w:val="231F20"/>
        </w:rPr>
        <w:t>connectivity</w:t>
      </w:r>
      <w:r>
        <w:rPr>
          <w:color w:val="231F20"/>
          <w:spacing w:val="-13"/>
        </w:rPr>
        <w:t> </w:t>
      </w:r>
      <w:r>
        <w:rPr>
          <w:color w:val="231F20"/>
        </w:rPr>
        <w:t>enhances</w:t>
      </w:r>
      <w:r>
        <w:rPr>
          <w:color w:val="231F20"/>
          <w:spacing w:val="-13"/>
        </w:rPr>
        <w:t> </w:t>
      </w:r>
      <w:r>
        <w:rPr>
          <w:color w:val="231F20"/>
        </w:rPr>
        <w:t>logistics performance</w:t>
      </w:r>
      <w:r>
        <w:rPr>
          <w:color w:val="231F20"/>
          <w:spacing w:val="-14"/>
        </w:rPr>
        <w:t> </w:t>
      </w:r>
      <w:r>
        <w:rPr>
          <w:color w:val="231F20"/>
        </w:rPr>
        <w:t>through</w:t>
      </w:r>
      <w:r>
        <w:rPr>
          <w:color w:val="231F20"/>
          <w:spacing w:val="-13"/>
        </w:rPr>
        <w:t> </w:t>
      </w:r>
      <w:r>
        <w:rPr>
          <w:color w:val="231F20"/>
        </w:rPr>
        <w:t>several</w:t>
      </w:r>
      <w:r>
        <w:rPr>
          <w:color w:val="231F20"/>
          <w:spacing w:val="-13"/>
        </w:rPr>
        <w:t> </w:t>
      </w:r>
      <w:r>
        <w:rPr>
          <w:color w:val="231F20"/>
        </w:rPr>
        <w:t>channels.</w:t>
      </w:r>
      <w:r>
        <w:rPr>
          <w:color w:val="231F20"/>
          <w:spacing w:val="-13"/>
        </w:rPr>
        <w:t> </w:t>
      </w:r>
      <w:r>
        <w:rPr>
          <w:color w:val="231F20"/>
        </w:rPr>
        <w:t>First, it</w:t>
      </w:r>
      <w:r>
        <w:rPr>
          <w:color w:val="231F20"/>
          <w:spacing w:val="-9"/>
        </w:rPr>
        <w:t> </w:t>
      </w:r>
      <w:r>
        <w:rPr>
          <w:color w:val="231F20"/>
        </w:rPr>
        <w:t>increases</w:t>
      </w:r>
      <w:r>
        <w:rPr>
          <w:color w:val="231F20"/>
          <w:spacing w:val="-9"/>
        </w:rPr>
        <w:t> </w:t>
      </w:r>
      <w:r>
        <w:rPr>
          <w:color w:val="231F20"/>
        </w:rPr>
        <w:t>exposure</w:t>
      </w:r>
      <w:r>
        <w:rPr>
          <w:color w:val="231F20"/>
          <w:spacing w:val="-9"/>
        </w:rPr>
        <w:t> </w:t>
      </w:r>
      <w:r>
        <w:rPr>
          <w:color w:val="231F20"/>
        </w:rPr>
        <w:t>to</w:t>
      </w:r>
      <w:r>
        <w:rPr>
          <w:color w:val="231F20"/>
          <w:spacing w:val="-9"/>
        </w:rPr>
        <w:t> </w:t>
      </w:r>
      <w:r>
        <w:rPr>
          <w:color w:val="231F20"/>
        </w:rPr>
        <w:t>global</w:t>
      </w:r>
      <w:r>
        <w:rPr>
          <w:color w:val="231F20"/>
          <w:spacing w:val="-9"/>
        </w:rPr>
        <w:t> </w:t>
      </w:r>
      <w:r>
        <w:rPr>
          <w:color w:val="231F20"/>
        </w:rPr>
        <w:t>operators</w:t>
      </w:r>
      <w:r>
        <w:rPr>
          <w:color w:val="231F20"/>
          <w:spacing w:val="-9"/>
        </w:rPr>
        <w:t> </w:t>
      </w:r>
      <w:r>
        <w:rPr>
          <w:color w:val="231F20"/>
        </w:rPr>
        <w:t>and </w:t>
      </w:r>
      <w:r>
        <w:rPr>
          <w:color w:val="231F20"/>
          <w:spacing w:val="-4"/>
        </w:rPr>
        <w:t>practices, with positive spillovers on the qual- </w:t>
      </w:r>
      <w:r>
        <w:rPr>
          <w:color w:val="231F20"/>
          <w:spacing w:val="-6"/>
        </w:rPr>
        <w:t>ity of domestic services. Second, it implies that </w:t>
      </w:r>
      <w:r>
        <w:rPr>
          <w:color w:val="231F20"/>
          <w:w w:val="90"/>
        </w:rPr>
        <w:t>logistics</w:t>
      </w:r>
      <w:r>
        <w:rPr>
          <w:color w:val="231F20"/>
          <w:spacing w:val="-6"/>
          <w:w w:val="90"/>
        </w:rPr>
        <w:t> </w:t>
      </w:r>
      <w:r>
        <w:rPr>
          <w:color w:val="231F20"/>
          <w:w w:val="90"/>
        </w:rPr>
        <w:t>operators</w:t>
      </w:r>
      <w:r>
        <w:rPr>
          <w:color w:val="231F20"/>
          <w:spacing w:val="-6"/>
          <w:w w:val="90"/>
        </w:rPr>
        <w:t> </w:t>
      </w:r>
      <w:r>
        <w:rPr>
          <w:color w:val="231F20"/>
          <w:w w:val="90"/>
        </w:rPr>
        <w:t>have</w:t>
      </w:r>
      <w:r>
        <w:rPr>
          <w:color w:val="231F20"/>
          <w:spacing w:val="-6"/>
          <w:w w:val="90"/>
        </w:rPr>
        <w:t> </w:t>
      </w:r>
      <w:r>
        <w:rPr>
          <w:color w:val="231F20"/>
          <w:w w:val="90"/>
        </w:rPr>
        <w:t>to</w:t>
      </w:r>
      <w:r>
        <w:rPr>
          <w:color w:val="231F20"/>
          <w:spacing w:val="-6"/>
          <w:w w:val="90"/>
        </w:rPr>
        <w:t> </w:t>
      </w:r>
      <w:r>
        <w:rPr>
          <w:color w:val="231F20"/>
          <w:w w:val="90"/>
        </w:rPr>
        <w:t>deal</w:t>
      </w:r>
      <w:r>
        <w:rPr>
          <w:color w:val="231F20"/>
          <w:spacing w:val="-6"/>
          <w:w w:val="90"/>
        </w:rPr>
        <w:t> </w:t>
      </w:r>
      <w:r>
        <w:rPr>
          <w:color w:val="231F20"/>
          <w:w w:val="90"/>
        </w:rPr>
        <w:t>with</w:t>
      </w:r>
      <w:r>
        <w:rPr>
          <w:color w:val="231F20"/>
          <w:spacing w:val="-6"/>
          <w:w w:val="90"/>
        </w:rPr>
        <w:t> </w:t>
      </w:r>
      <w:r>
        <w:rPr>
          <w:color w:val="231F20"/>
          <w:w w:val="90"/>
        </w:rPr>
        <w:t>a</w:t>
      </w:r>
      <w:r>
        <w:rPr>
          <w:color w:val="231F20"/>
          <w:spacing w:val="-6"/>
          <w:w w:val="90"/>
        </w:rPr>
        <w:t> </w:t>
      </w:r>
      <w:r>
        <w:rPr>
          <w:color w:val="231F20"/>
          <w:w w:val="90"/>
        </w:rPr>
        <w:t>more</w:t>
      </w:r>
      <w:r>
        <w:rPr>
          <w:color w:val="231F20"/>
          <w:spacing w:val="-6"/>
          <w:w w:val="90"/>
        </w:rPr>
        <w:t> </w:t>
      </w:r>
      <w:r>
        <w:rPr>
          <w:color w:val="231F20"/>
          <w:w w:val="90"/>
        </w:rPr>
        <w:t>com- plex set of operations with more partners, which incentivizes higher productivity and use of tech- </w:t>
      </w:r>
      <w:r>
        <w:rPr>
          <w:color w:val="231F20"/>
        </w:rPr>
        <w:t>nology.</w:t>
      </w:r>
      <w:r>
        <w:rPr>
          <w:color w:val="231F20"/>
          <w:spacing w:val="-13"/>
        </w:rPr>
        <w:t> </w:t>
      </w:r>
      <w:r>
        <w:rPr>
          <w:color w:val="231F20"/>
        </w:rPr>
        <w:t>Third,</w:t>
      </w:r>
      <w:r>
        <w:rPr>
          <w:color w:val="231F20"/>
          <w:spacing w:val="-13"/>
        </w:rPr>
        <w:t> </w:t>
      </w:r>
      <w:r>
        <w:rPr>
          <w:color w:val="231F20"/>
        </w:rPr>
        <w:t>increased</w:t>
      </w:r>
      <w:r>
        <w:rPr>
          <w:color w:val="231F20"/>
          <w:spacing w:val="-13"/>
        </w:rPr>
        <w:t> </w:t>
      </w:r>
      <w:r>
        <w:rPr>
          <w:color w:val="231F20"/>
        </w:rPr>
        <w:t>connectivity</w:t>
      </w:r>
      <w:r>
        <w:rPr>
          <w:color w:val="231F20"/>
          <w:spacing w:val="-13"/>
        </w:rPr>
        <w:t> </w:t>
      </w:r>
      <w:r>
        <w:rPr>
          <w:color w:val="231F20"/>
        </w:rPr>
        <w:t>means more operators and competition.</w:t>
      </w:r>
    </w:p>
    <w:p>
      <w:pPr>
        <w:pStyle w:val="BodyText"/>
        <w:spacing w:line="268" w:lineRule="auto"/>
        <w:ind w:left="195" w:right="2817" w:firstLine="300"/>
        <w:jc w:val="both"/>
      </w:pPr>
      <w:r>
        <w:rPr>
          <w:color w:val="231F20"/>
          <w:spacing w:val="-6"/>
        </w:rPr>
        <w:t>Conversely, countries with limited connec- </w:t>
      </w:r>
      <w:r>
        <w:rPr>
          <w:color w:val="231F20"/>
          <w:spacing w:val="-2"/>
          <w:w w:val="90"/>
        </w:rPr>
        <w:t>tions,</w:t>
      </w:r>
      <w:r>
        <w:rPr>
          <w:color w:val="231F20"/>
          <w:spacing w:val="-6"/>
          <w:w w:val="90"/>
        </w:rPr>
        <w:t> </w:t>
      </w:r>
      <w:r>
        <w:rPr>
          <w:color w:val="231F20"/>
          <w:spacing w:val="-2"/>
          <w:w w:val="90"/>
        </w:rPr>
        <w:t>such</w:t>
      </w:r>
      <w:r>
        <w:rPr>
          <w:color w:val="231F20"/>
          <w:spacing w:val="-6"/>
          <w:w w:val="90"/>
        </w:rPr>
        <w:t> </w:t>
      </w:r>
      <w:r>
        <w:rPr>
          <w:color w:val="231F20"/>
          <w:spacing w:val="-2"/>
          <w:w w:val="90"/>
        </w:rPr>
        <w:t>as</w:t>
      </w:r>
      <w:r>
        <w:rPr>
          <w:color w:val="231F20"/>
          <w:spacing w:val="-6"/>
          <w:w w:val="90"/>
        </w:rPr>
        <w:t> </w:t>
      </w:r>
      <w:r>
        <w:rPr>
          <w:color w:val="231F20"/>
          <w:spacing w:val="-2"/>
          <w:w w:val="90"/>
        </w:rPr>
        <w:t>small</w:t>
      </w:r>
      <w:r>
        <w:rPr>
          <w:color w:val="231F20"/>
          <w:spacing w:val="-6"/>
          <w:w w:val="90"/>
        </w:rPr>
        <w:t> </w:t>
      </w:r>
      <w:r>
        <w:rPr>
          <w:color w:val="231F20"/>
          <w:spacing w:val="-2"/>
          <w:w w:val="90"/>
        </w:rPr>
        <w:t>island</w:t>
      </w:r>
      <w:r>
        <w:rPr>
          <w:color w:val="231F20"/>
          <w:spacing w:val="-6"/>
          <w:w w:val="90"/>
        </w:rPr>
        <w:t> </w:t>
      </w:r>
      <w:r>
        <w:rPr>
          <w:color w:val="231F20"/>
          <w:spacing w:val="-2"/>
          <w:w w:val="90"/>
        </w:rPr>
        <w:t>states,</w:t>
      </w:r>
      <w:r>
        <w:rPr>
          <w:color w:val="231F20"/>
          <w:spacing w:val="-6"/>
          <w:w w:val="90"/>
        </w:rPr>
        <w:t> </w:t>
      </w:r>
      <w:r>
        <w:rPr>
          <w:color w:val="231F20"/>
          <w:spacing w:val="-2"/>
          <w:w w:val="90"/>
        </w:rPr>
        <w:t>require</w:t>
      </w:r>
      <w:r>
        <w:rPr>
          <w:color w:val="231F20"/>
          <w:spacing w:val="-6"/>
          <w:w w:val="90"/>
        </w:rPr>
        <w:t> </w:t>
      </w:r>
      <w:r>
        <w:rPr>
          <w:color w:val="231F20"/>
          <w:spacing w:val="-2"/>
          <w:w w:val="90"/>
        </w:rPr>
        <w:t>attention. </w:t>
      </w:r>
      <w:r>
        <w:rPr>
          <w:color w:val="231F20"/>
          <w:spacing w:val="-2"/>
        </w:rPr>
        <w:t>Their</w:t>
      </w:r>
      <w:r>
        <w:rPr>
          <w:color w:val="231F20"/>
          <w:spacing w:val="-12"/>
        </w:rPr>
        <w:t> </w:t>
      </w:r>
      <w:r>
        <w:rPr>
          <w:color w:val="231F20"/>
          <w:spacing w:val="-2"/>
        </w:rPr>
        <w:t>limited</w:t>
      </w:r>
      <w:r>
        <w:rPr>
          <w:color w:val="231F20"/>
          <w:spacing w:val="-11"/>
        </w:rPr>
        <w:t> </w:t>
      </w:r>
      <w:r>
        <w:rPr>
          <w:color w:val="231F20"/>
          <w:spacing w:val="-2"/>
        </w:rPr>
        <w:t>connections</w:t>
      </w:r>
      <w:r>
        <w:rPr>
          <w:color w:val="231F20"/>
          <w:spacing w:val="-11"/>
        </w:rPr>
        <w:t> </w:t>
      </w:r>
      <w:r>
        <w:rPr>
          <w:color w:val="231F20"/>
          <w:spacing w:val="-2"/>
        </w:rPr>
        <w:t>means</w:t>
      </w:r>
      <w:r>
        <w:rPr>
          <w:color w:val="231F20"/>
          <w:spacing w:val="-11"/>
        </w:rPr>
        <w:t> </w:t>
      </w:r>
      <w:r>
        <w:rPr>
          <w:color w:val="231F20"/>
          <w:spacing w:val="-2"/>
        </w:rPr>
        <w:t>that</w:t>
      </w:r>
      <w:r>
        <w:rPr>
          <w:color w:val="231F20"/>
          <w:spacing w:val="-11"/>
        </w:rPr>
        <w:t> </w:t>
      </w:r>
      <w:r>
        <w:rPr>
          <w:color w:val="231F20"/>
          <w:spacing w:val="-2"/>
        </w:rPr>
        <w:t>they</w:t>
      </w:r>
      <w:r>
        <w:rPr>
          <w:color w:val="231F20"/>
          <w:spacing w:val="-11"/>
        </w:rPr>
        <w:t> </w:t>
      </w:r>
      <w:r>
        <w:rPr>
          <w:color w:val="231F20"/>
          <w:spacing w:val="-2"/>
        </w:rPr>
        <w:t>de- </w:t>
      </w:r>
      <w:r>
        <w:rPr>
          <w:color w:val="231F20"/>
          <w:w w:val="90"/>
        </w:rPr>
        <w:t>pend</w:t>
      </w:r>
      <w:r>
        <w:rPr>
          <w:color w:val="231F20"/>
          <w:spacing w:val="-2"/>
          <w:w w:val="90"/>
        </w:rPr>
        <w:t> </w:t>
      </w:r>
      <w:r>
        <w:rPr>
          <w:color w:val="231F20"/>
          <w:w w:val="90"/>
        </w:rPr>
        <w:t>on</w:t>
      </w:r>
      <w:r>
        <w:rPr>
          <w:color w:val="231F20"/>
          <w:spacing w:val="-2"/>
          <w:w w:val="90"/>
        </w:rPr>
        <w:t> </w:t>
      </w:r>
      <w:r>
        <w:rPr>
          <w:color w:val="231F20"/>
          <w:w w:val="90"/>
        </w:rPr>
        <w:t>transshipments</w:t>
      </w:r>
      <w:r>
        <w:rPr>
          <w:color w:val="231F20"/>
          <w:spacing w:val="-2"/>
          <w:w w:val="90"/>
        </w:rPr>
        <w:t> </w:t>
      </w:r>
      <w:r>
        <w:rPr>
          <w:color w:val="231F20"/>
          <w:w w:val="90"/>
        </w:rPr>
        <w:t>to</w:t>
      </w:r>
      <w:r>
        <w:rPr>
          <w:color w:val="231F20"/>
          <w:spacing w:val="-2"/>
          <w:w w:val="90"/>
        </w:rPr>
        <w:t> </w:t>
      </w:r>
      <w:r>
        <w:rPr>
          <w:color w:val="231F20"/>
          <w:w w:val="90"/>
        </w:rPr>
        <w:t>access</w:t>
      </w:r>
      <w:r>
        <w:rPr>
          <w:color w:val="231F20"/>
          <w:spacing w:val="-2"/>
          <w:w w:val="90"/>
        </w:rPr>
        <w:t> </w:t>
      </w:r>
      <w:r>
        <w:rPr>
          <w:color w:val="231F20"/>
          <w:w w:val="90"/>
        </w:rPr>
        <w:t>major</w:t>
      </w:r>
      <w:r>
        <w:rPr>
          <w:color w:val="231F20"/>
          <w:spacing w:val="-2"/>
          <w:w w:val="90"/>
        </w:rPr>
        <w:t> </w:t>
      </w:r>
      <w:r>
        <w:rPr>
          <w:color w:val="231F20"/>
          <w:w w:val="90"/>
        </w:rPr>
        <w:t>markets. </w:t>
      </w:r>
      <w:r>
        <w:rPr>
          <w:color w:val="231F20"/>
          <w:spacing w:val="-8"/>
        </w:rPr>
        <w:t>Viewed</w:t>
      </w:r>
      <w:r>
        <w:rPr>
          <w:color w:val="231F20"/>
          <w:spacing w:val="-6"/>
        </w:rPr>
        <w:t> </w:t>
      </w:r>
      <w:r>
        <w:rPr>
          <w:color w:val="231F20"/>
          <w:spacing w:val="-8"/>
        </w:rPr>
        <w:t>across</w:t>
      </w:r>
      <w:r>
        <w:rPr>
          <w:color w:val="231F20"/>
          <w:spacing w:val="-5"/>
        </w:rPr>
        <w:t> </w:t>
      </w:r>
      <w:r>
        <w:rPr>
          <w:color w:val="231F20"/>
          <w:spacing w:val="-8"/>
        </w:rPr>
        <w:t>all</w:t>
      </w:r>
      <w:r>
        <w:rPr>
          <w:color w:val="231F20"/>
          <w:spacing w:val="-5"/>
        </w:rPr>
        <w:t> </w:t>
      </w:r>
      <w:r>
        <w:rPr>
          <w:color w:val="231F20"/>
          <w:spacing w:val="-8"/>
        </w:rPr>
        <w:t>countries,</w:t>
      </w:r>
      <w:r>
        <w:rPr>
          <w:color w:val="231F20"/>
          <w:spacing w:val="-5"/>
        </w:rPr>
        <w:t> </w:t>
      </w:r>
      <w:r>
        <w:rPr>
          <w:color w:val="231F20"/>
          <w:spacing w:val="-8"/>
        </w:rPr>
        <w:t>about</w:t>
      </w:r>
      <w:r>
        <w:rPr>
          <w:color w:val="231F20"/>
          <w:spacing w:val="-5"/>
        </w:rPr>
        <w:t> </w:t>
      </w:r>
      <w:r>
        <w:rPr>
          <w:color w:val="231F20"/>
          <w:spacing w:val="-8"/>
        </w:rPr>
        <w:t>44</w:t>
      </w:r>
      <w:r>
        <w:rPr>
          <w:color w:val="231F20"/>
          <w:spacing w:val="-5"/>
        </w:rPr>
        <w:t> </w:t>
      </w:r>
      <w:r>
        <w:rPr>
          <w:color w:val="231F20"/>
          <w:spacing w:val="-8"/>
        </w:rPr>
        <w:t>percent</w:t>
      </w:r>
      <w:r>
        <w:rPr>
          <w:color w:val="231F20"/>
          <w:spacing w:val="-5"/>
        </w:rPr>
        <w:t> </w:t>
      </w:r>
      <w:r>
        <w:rPr>
          <w:color w:val="231F20"/>
          <w:spacing w:val="-8"/>
        </w:rPr>
        <w:t>of containers</w:t>
      </w:r>
      <w:r>
        <w:rPr>
          <w:color w:val="231F20"/>
          <w:spacing w:val="-2"/>
        </w:rPr>
        <w:t> </w:t>
      </w:r>
      <w:r>
        <w:rPr>
          <w:color w:val="231F20"/>
          <w:spacing w:val="-8"/>
        </w:rPr>
        <w:t>are</w:t>
      </w:r>
      <w:r>
        <w:rPr>
          <w:color w:val="231F20"/>
          <w:spacing w:val="-2"/>
        </w:rPr>
        <w:t> </w:t>
      </w:r>
      <w:r>
        <w:rPr>
          <w:color w:val="231F20"/>
          <w:spacing w:val="-8"/>
        </w:rPr>
        <w:t>shipped</w:t>
      </w:r>
      <w:r>
        <w:rPr>
          <w:color w:val="231F20"/>
          <w:spacing w:val="-2"/>
        </w:rPr>
        <w:t> </w:t>
      </w:r>
      <w:r>
        <w:rPr>
          <w:color w:val="231F20"/>
          <w:spacing w:val="-8"/>
        </w:rPr>
        <w:t>port-to-port;</w:t>
      </w:r>
      <w:r>
        <w:rPr>
          <w:color w:val="231F20"/>
          <w:spacing w:val="-2"/>
        </w:rPr>
        <w:t> </w:t>
      </w:r>
      <w:r>
        <w:rPr>
          <w:color w:val="231F20"/>
          <w:spacing w:val="-8"/>
        </w:rPr>
        <w:t>the</w:t>
      </w:r>
      <w:r>
        <w:rPr>
          <w:color w:val="231F20"/>
          <w:spacing w:val="-2"/>
        </w:rPr>
        <w:t> </w:t>
      </w:r>
      <w:r>
        <w:rPr>
          <w:color w:val="231F20"/>
          <w:spacing w:val="-8"/>
        </w:rPr>
        <w:t>majority </w:t>
      </w:r>
      <w:r>
        <w:rPr>
          <w:color w:val="231F20"/>
          <w:spacing w:val="-10"/>
        </w:rPr>
        <w:t>require</w:t>
      </w:r>
      <w:r>
        <w:rPr>
          <w:color w:val="231F20"/>
          <w:spacing w:val="-9"/>
        </w:rPr>
        <w:t> </w:t>
      </w:r>
      <w:r>
        <w:rPr>
          <w:color w:val="231F20"/>
          <w:spacing w:val="-10"/>
        </w:rPr>
        <w:t>transshipment</w:t>
      </w:r>
      <w:r>
        <w:rPr>
          <w:color w:val="231F20"/>
          <w:spacing w:val="-9"/>
        </w:rPr>
        <w:t> </w:t>
      </w:r>
      <w:r>
        <w:rPr>
          <w:color w:val="231F20"/>
          <w:spacing w:val="-10"/>
        </w:rPr>
        <w:t>(figure</w:t>
      </w:r>
      <w:r>
        <w:rPr>
          <w:color w:val="231F20"/>
          <w:spacing w:val="-8"/>
        </w:rPr>
        <w:t> </w:t>
      </w:r>
      <w:r>
        <w:rPr>
          <w:color w:val="231F20"/>
          <w:spacing w:val="-10"/>
        </w:rPr>
        <w:t>3.9).</w:t>
      </w:r>
      <w:r>
        <w:rPr>
          <w:color w:val="231F20"/>
          <w:spacing w:val="-9"/>
        </w:rPr>
        <w:t> </w:t>
      </w:r>
      <w:r>
        <w:rPr>
          <w:color w:val="231F20"/>
          <w:spacing w:val="-10"/>
        </w:rPr>
        <w:t>Distribution</w:t>
      </w:r>
      <w:r>
        <w:rPr>
          <w:color w:val="231F20"/>
          <w:spacing w:val="-8"/>
        </w:rPr>
        <w:t> </w:t>
      </w:r>
      <w:r>
        <w:rPr>
          <w:color w:val="231F20"/>
          <w:spacing w:val="-10"/>
        </w:rPr>
        <w:t>of</w:t>
      </w:r>
    </w:p>
    <w:p>
      <w:pPr>
        <w:spacing w:after="0" w:line="268" w:lineRule="auto"/>
        <w:jc w:val="both"/>
        <w:sectPr>
          <w:type w:val="continuous"/>
          <w:pgSz w:w="12240" w:h="15840"/>
          <w:pgMar w:header="0" w:footer="548" w:top="1140" w:bottom="280" w:left="0" w:right="540"/>
          <w:cols w:num="2" w:equalWidth="0">
            <w:col w:w="4925" w:space="40"/>
            <w:col w:w="6735"/>
          </w:cols>
        </w:sectPr>
      </w:pPr>
    </w:p>
    <w:p>
      <w:pPr>
        <w:pStyle w:val="BodyText"/>
        <w:spacing w:before="27"/>
        <w:rPr>
          <w:sz w:val="20"/>
        </w:rPr>
      </w:pPr>
    </w:p>
    <w:p>
      <w:pPr>
        <w:pStyle w:val="BodyText"/>
        <w:ind w:left="1199"/>
        <w:rPr>
          <w:sz w:val="20"/>
        </w:rPr>
      </w:pPr>
      <w:r>
        <w:rPr>
          <w:sz w:val="20"/>
        </w:rPr>
        <mc:AlternateContent>
          <mc:Choice Requires="wps">
            <w:drawing>
              <wp:inline distT="0" distB="0" distL="0" distR="0">
                <wp:extent cx="4877435" cy="3129280"/>
                <wp:effectExtent l="0" t="9525" r="0" b="4444"/>
                <wp:docPr id="1358" name="Group 1358"/>
                <wp:cNvGraphicFramePr>
                  <a:graphicFrameLocks/>
                </wp:cNvGraphicFramePr>
                <a:graphic>
                  <a:graphicData uri="http://schemas.microsoft.com/office/word/2010/wordprocessingGroup">
                    <wpg:wgp>
                      <wpg:cNvPr id="1358" name="Group 1358"/>
                      <wpg:cNvGrpSpPr/>
                      <wpg:grpSpPr>
                        <a:xfrm>
                          <a:off x="0" y="0"/>
                          <a:ext cx="4877435" cy="3129280"/>
                          <a:chExt cx="4877435" cy="3129280"/>
                        </a:xfrm>
                      </wpg:grpSpPr>
                      <wps:wsp>
                        <wps:cNvPr id="1359" name="Graphic 1359"/>
                        <wps:cNvSpPr/>
                        <wps:spPr>
                          <a:xfrm>
                            <a:off x="198" y="385093"/>
                            <a:ext cx="4876800" cy="2743835"/>
                          </a:xfrm>
                          <a:custGeom>
                            <a:avLst/>
                            <a:gdLst/>
                            <a:ahLst/>
                            <a:cxnLst/>
                            <a:rect l="l" t="t" r="r" b="b"/>
                            <a:pathLst>
                              <a:path w="4876800" h="2743835">
                                <a:moveTo>
                                  <a:pt x="4876800" y="0"/>
                                </a:moveTo>
                                <a:lnTo>
                                  <a:pt x="0" y="0"/>
                                </a:lnTo>
                                <a:lnTo>
                                  <a:pt x="0" y="2668904"/>
                                </a:lnTo>
                                <a:lnTo>
                                  <a:pt x="6159" y="2698003"/>
                                </a:lnTo>
                                <a:lnTo>
                                  <a:pt x="22693" y="2721763"/>
                                </a:lnTo>
                                <a:lnTo>
                                  <a:pt x="46682" y="2737783"/>
                                </a:lnTo>
                                <a:lnTo>
                                  <a:pt x="75209" y="2743657"/>
                                </a:lnTo>
                                <a:lnTo>
                                  <a:pt x="4797920" y="2743657"/>
                                </a:lnTo>
                                <a:lnTo>
                                  <a:pt x="4827020" y="2738402"/>
                                </a:lnTo>
                                <a:lnTo>
                                  <a:pt x="4852271" y="2723416"/>
                                </a:lnTo>
                                <a:lnTo>
                                  <a:pt x="4870066" y="2699862"/>
                                </a:lnTo>
                                <a:lnTo>
                                  <a:pt x="4876800" y="2668904"/>
                                </a:lnTo>
                                <a:lnTo>
                                  <a:pt x="4876800" y="0"/>
                                </a:lnTo>
                                <a:close/>
                              </a:path>
                            </a:pathLst>
                          </a:custGeom>
                          <a:solidFill>
                            <a:srgbClr val="DFEAF7"/>
                          </a:solidFill>
                        </wps:spPr>
                        <wps:bodyPr wrap="square" lIns="0" tIns="0" rIns="0" bIns="0" rtlCol="0">
                          <a:prstTxWarp prst="textNoShape">
                            <a:avLst/>
                          </a:prstTxWarp>
                          <a:noAutofit/>
                        </wps:bodyPr>
                      </wps:wsp>
                      <wps:wsp>
                        <wps:cNvPr id="1360" name="Graphic 1360"/>
                        <wps:cNvSpPr/>
                        <wps:spPr>
                          <a:xfrm>
                            <a:off x="0" y="0"/>
                            <a:ext cx="512445" cy="358775"/>
                          </a:xfrm>
                          <a:custGeom>
                            <a:avLst/>
                            <a:gdLst/>
                            <a:ahLst/>
                            <a:cxnLst/>
                            <a:rect l="l" t="t" r="r" b="b"/>
                            <a:pathLst>
                              <a:path w="512445" h="358775">
                                <a:moveTo>
                                  <a:pt x="512178" y="0"/>
                                </a:moveTo>
                                <a:lnTo>
                                  <a:pt x="76200" y="0"/>
                                </a:lnTo>
                                <a:lnTo>
                                  <a:pt x="47213" y="3058"/>
                                </a:lnTo>
                                <a:lnTo>
                                  <a:pt x="22917" y="14506"/>
                                </a:lnTo>
                                <a:lnTo>
                                  <a:pt x="6212" y="37751"/>
                                </a:lnTo>
                                <a:lnTo>
                                  <a:pt x="0" y="76200"/>
                                </a:lnTo>
                                <a:lnTo>
                                  <a:pt x="0" y="358775"/>
                                </a:lnTo>
                                <a:lnTo>
                                  <a:pt x="512178" y="358775"/>
                                </a:lnTo>
                                <a:lnTo>
                                  <a:pt x="512178" y="0"/>
                                </a:lnTo>
                                <a:close/>
                              </a:path>
                            </a:pathLst>
                          </a:custGeom>
                          <a:solidFill>
                            <a:srgbClr val="008FDD"/>
                          </a:solidFill>
                        </wps:spPr>
                        <wps:bodyPr wrap="square" lIns="0" tIns="0" rIns="0" bIns="0" rtlCol="0">
                          <a:prstTxWarp prst="textNoShape">
                            <a:avLst/>
                          </a:prstTxWarp>
                          <a:noAutofit/>
                        </wps:bodyPr>
                      </wps:wsp>
                      <wps:wsp>
                        <wps:cNvPr id="1361" name="Graphic 1361"/>
                        <wps:cNvSpPr/>
                        <wps:spPr>
                          <a:xfrm>
                            <a:off x="512178" y="0"/>
                            <a:ext cx="4364355" cy="358775"/>
                          </a:xfrm>
                          <a:custGeom>
                            <a:avLst/>
                            <a:gdLst/>
                            <a:ahLst/>
                            <a:cxnLst/>
                            <a:rect l="l" t="t" r="r" b="b"/>
                            <a:pathLst>
                              <a:path w="4364355" h="358775">
                                <a:moveTo>
                                  <a:pt x="4287926" y="0"/>
                                </a:moveTo>
                                <a:lnTo>
                                  <a:pt x="0" y="0"/>
                                </a:lnTo>
                                <a:lnTo>
                                  <a:pt x="0" y="358775"/>
                                </a:lnTo>
                                <a:lnTo>
                                  <a:pt x="4364126" y="358775"/>
                                </a:lnTo>
                                <a:lnTo>
                                  <a:pt x="4364126" y="76200"/>
                                </a:lnTo>
                                <a:lnTo>
                                  <a:pt x="4358620" y="50979"/>
                                </a:lnTo>
                                <a:lnTo>
                                  <a:pt x="4343095" y="26265"/>
                                </a:lnTo>
                                <a:lnTo>
                                  <a:pt x="4319035" y="7468"/>
                                </a:lnTo>
                                <a:lnTo>
                                  <a:pt x="4287926" y="0"/>
                                </a:lnTo>
                                <a:close/>
                              </a:path>
                            </a:pathLst>
                          </a:custGeom>
                          <a:solidFill>
                            <a:srgbClr val="808285"/>
                          </a:solidFill>
                        </wps:spPr>
                        <wps:bodyPr wrap="square" lIns="0" tIns="0" rIns="0" bIns="0" rtlCol="0">
                          <a:prstTxWarp prst="textNoShape">
                            <a:avLst/>
                          </a:prstTxWarp>
                          <a:noAutofit/>
                        </wps:bodyPr>
                      </wps:wsp>
                      <wps:wsp>
                        <wps:cNvPr id="1362" name="Graphic 1362"/>
                        <wps:cNvSpPr/>
                        <wps:spPr>
                          <a:xfrm>
                            <a:off x="512179" y="0"/>
                            <a:ext cx="1270" cy="367665"/>
                          </a:xfrm>
                          <a:custGeom>
                            <a:avLst/>
                            <a:gdLst/>
                            <a:ahLst/>
                            <a:cxnLst/>
                            <a:rect l="l" t="t" r="r" b="b"/>
                            <a:pathLst>
                              <a:path w="0" h="367665">
                                <a:moveTo>
                                  <a:pt x="0" y="0"/>
                                </a:moveTo>
                                <a:lnTo>
                                  <a:pt x="0" y="367487"/>
                                </a:lnTo>
                              </a:path>
                            </a:pathLst>
                          </a:custGeom>
                          <a:ln w="25400">
                            <a:solidFill>
                              <a:srgbClr val="FFFFFF"/>
                            </a:solidFill>
                            <a:prstDash val="solid"/>
                          </a:ln>
                        </wps:spPr>
                        <wps:bodyPr wrap="square" lIns="0" tIns="0" rIns="0" bIns="0" rtlCol="0">
                          <a:prstTxWarp prst="textNoShape">
                            <a:avLst/>
                          </a:prstTxWarp>
                          <a:noAutofit/>
                        </wps:bodyPr>
                      </wps:wsp>
                      <wps:wsp>
                        <wps:cNvPr id="1363" name="Graphic 1363"/>
                        <wps:cNvSpPr/>
                        <wps:spPr>
                          <a:xfrm>
                            <a:off x="274403" y="2486124"/>
                            <a:ext cx="4458335" cy="1270"/>
                          </a:xfrm>
                          <a:custGeom>
                            <a:avLst/>
                            <a:gdLst/>
                            <a:ahLst/>
                            <a:cxnLst/>
                            <a:rect l="l" t="t" r="r" b="b"/>
                            <a:pathLst>
                              <a:path w="4458335" h="0">
                                <a:moveTo>
                                  <a:pt x="0" y="0"/>
                                </a:moveTo>
                                <a:lnTo>
                                  <a:pt x="4458093" y="0"/>
                                </a:lnTo>
                              </a:path>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364" name="Graphic 1364"/>
                        <wps:cNvSpPr/>
                        <wps:spPr>
                          <a:xfrm>
                            <a:off x="274403" y="1289265"/>
                            <a:ext cx="4458335" cy="598805"/>
                          </a:xfrm>
                          <a:custGeom>
                            <a:avLst/>
                            <a:gdLst/>
                            <a:ahLst/>
                            <a:cxnLst/>
                            <a:rect l="l" t="t" r="r" b="b"/>
                            <a:pathLst>
                              <a:path w="4458335" h="598805">
                                <a:moveTo>
                                  <a:pt x="0" y="598429"/>
                                </a:moveTo>
                                <a:lnTo>
                                  <a:pt x="2119617" y="598429"/>
                                </a:lnTo>
                              </a:path>
                              <a:path w="4458335" h="598805">
                                <a:moveTo>
                                  <a:pt x="2342591" y="598429"/>
                                </a:moveTo>
                                <a:lnTo>
                                  <a:pt x="3011525" y="598429"/>
                                </a:lnTo>
                              </a:path>
                              <a:path w="4458335" h="598805">
                                <a:moveTo>
                                  <a:pt x="3234499" y="598429"/>
                                </a:moveTo>
                                <a:lnTo>
                                  <a:pt x="3903446" y="598429"/>
                                </a:lnTo>
                              </a:path>
                              <a:path w="4458335" h="598805">
                                <a:moveTo>
                                  <a:pt x="4126420" y="598429"/>
                                </a:moveTo>
                                <a:lnTo>
                                  <a:pt x="4458093" y="598429"/>
                                </a:lnTo>
                              </a:path>
                              <a:path w="4458335" h="598805">
                                <a:moveTo>
                                  <a:pt x="0" y="0"/>
                                </a:moveTo>
                                <a:lnTo>
                                  <a:pt x="3903446" y="0"/>
                                </a:lnTo>
                              </a:path>
                              <a:path w="4458335" h="598805">
                                <a:moveTo>
                                  <a:pt x="412642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365" name="Graphic 1365"/>
                        <wps:cNvSpPr/>
                        <wps:spPr>
                          <a:xfrm>
                            <a:off x="274403" y="690835"/>
                            <a:ext cx="4458335" cy="1270"/>
                          </a:xfrm>
                          <a:custGeom>
                            <a:avLst/>
                            <a:gdLst/>
                            <a:ahLst/>
                            <a:cxnLst/>
                            <a:rect l="l" t="t" r="r" b="b"/>
                            <a:pathLst>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366" name="Graphic 1366"/>
                        <wps:cNvSpPr/>
                        <wps:spPr>
                          <a:xfrm>
                            <a:off x="273893" y="2486124"/>
                            <a:ext cx="4415790" cy="1270"/>
                          </a:xfrm>
                          <a:custGeom>
                            <a:avLst/>
                            <a:gdLst/>
                            <a:ahLst/>
                            <a:cxnLst/>
                            <a:rect l="l" t="t" r="r" b="b"/>
                            <a:pathLst>
                              <a:path w="4415790" h="0">
                                <a:moveTo>
                                  <a:pt x="0" y="0"/>
                                </a:moveTo>
                                <a:lnTo>
                                  <a:pt x="4415764" y="0"/>
                                </a:lnTo>
                              </a:path>
                            </a:pathLst>
                          </a:custGeom>
                          <a:ln w="6350">
                            <a:solidFill>
                              <a:srgbClr val="FFFFFF"/>
                            </a:solidFill>
                            <a:prstDash val="solid"/>
                          </a:ln>
                        </wps:spPr>
                        <wps:bodyPr wrap="square" lIns="0" tIns="0" rIns="0" bIns="0" rtlCol="0">
                          <a:prstTxWarp prst="textNoShape">
                            <a:avLst/>
                          </a:prstTxWarp>
                          <a:noAutofit/>
                        </wps:bodyPr>
                      </wps:wsp>
                      <wps:wsp>
                        <wps:cNvPr id="1367" name="Graphic 1367"/>
                        <wps:cNvSpPr/>
                        <wps:spPr>
                          <a:xfrm>
                            <a:off x="610204" y="2027021"/>
                            <a:ext cx="223520" cy="459105"/>
                          </a:xfrm>
                          <a:custGeom>
                            <a:avLst/>
                            <a:gdLst/>
                            <a:ahLst/>
                            <a:cxnLst/>
                            <a:rect l="l" t="t" r="r" b="b"/>
                            <a:pathLst>
                              <a:path w="223520" h="459105">
                                <a:moveTo>
                                  <a:pt x="222973" y="0"/>
                                </a:moveTo>
                                <a:lnTo>
                                  <a:pt x="0" y="0"/>
                                </a:lnTo>
                                <a:lnTo>
                                  <a:pt x="0" y="459105"/>
                                </a:lnTo>
                                <a:lnTo>
                                  <a:pt x="222973" y="459105"/>
                                </a:lnTo>
                                <a:lnTo>
                                  <a:pt x="222973" y="0"/>
                                </a:lnTo>
                                <a:close/>
                              </a:path>
                            </a:pathLst>
                          </a:custGeom>
                          <a:solidFill>
                            <a:srgbClr val="008FDD"/>
                          </a:solidFill>
                        </wps:spPr>
                        <wps:bodyPr wrap="square" lIns="0" tIns="0" rIns="0" bIns="0" rtlCol="0">
                          <a:prstTxWarp prst="textNoShape">
                            <a:avLst/>
                          </a:prstTxWarp>
                          <a:noAutofit/>
                        </wps:bodyPr>
                      </wps:wsp>
                      <wps:wsp>
                        <wps:cNvPr id="1368" name="Graphic 1368"/>
                        <wps:cNvSpPr/>
                        <wps:spPr>
                          <a:xfrm>
                            <a:off x="610205" y="2027021"/>
                            <a:ext cx="223520" cy="459105"/>
                          </a:xfrm>
                          <a:custGeom>
                            <a:avLst/>
                            <a:gdLst/>
                            <a:ahLst/>
                            <a:cxnLst/>
                            <a:rect l="l" t="t" r="r" b="b"/>
                            <a:pathLst>
                              <a:path w="223520" h="459105">
                                <a:moveTo>
                                  <a:pt x="0" y="459105"/>
                                </a:moveTo>
                                <a:lnTo>
                                  <a:pt x="222973" y="459105"/>
                                </a:lnTo>
                                <a:lnTo>
                                  <a:pt x="222973" y="0"/>
                                </a:lnTo>
                                <a:lnTo>
                                  <a:pt x="0" y="0"/>
                                </a:lnTo>
                                <a:lnTo>
                                  <a:pt x="0" y="459105"/>
                                </a:lnTo>
                                <a:close/>
                              </a:path>
                            </a:pathLst>
                          </a:custGeom>
                          <a:ln w="3175">
                            <a:solidFill>
                              <a:srgbClr val="FFFFFF"/>
                            </a:solidFill>
                            <a:prstDash val="solid"/>
                          </a:ln>
                        </wps:spPr>
                        <wps:bodyPr wrap="square" lIns="0" tIns="0" rIns="0" bIns="0" rtlCol="0">
                          <a:prstTxWarp prst="textNoShape">
                            <a:avLst/>
                          </a:prstTxWarp>
                          <a:noAutofit/>
                        </wps:bodyPr>
                      </wps:wsp>
                      <wps:wsp>
                        <wps:cNvPr id="1369" name="Graphic 1369"/>
                        <wps:cNvSpPr/>
                        <wps:spPr>
                          <a:xfrm>
                            <a:off x="1502112" y="1921891"/>
                            <a:ext cx="223520" cy="564515"/>
                          </a:xfrm>
                          <a:custGeom>
                            <a:avLst/>
                            <a:gdLst/>
                            <a:ahLst/>
                            <a:cxnLst/>
                            <a:rect l="l" t="t" r="r" b="b"/>
                            <a:pathLst>
                              <a:path w="223520" h="564515">
                                <a:moveTo>
                                  <a:pt x="222973" y="0"/>
                                </a:moveTo>
                                <a:lnTo>
                                  <a:pt x="0" y="0"/>
                                </a:lnTo>
                                <a:lnTo>
                                  <a:pt x="0" y="564235"/>
                                </a:lnTo>
                                <a:lnTo>
                                  <a:pt x="222973" y="564235"/>
                                </a:lnTo>
                                <a:lnTo>
                                  <a:pt x="222973" y="0"/>
                                </a:lnTo>
                                <a:close/>
                              </a:path>
                            </a:pathLst>
                          </a:custGeom>
                          <a:solidFill>
                            <a:srgbClr val="008FDD"/>
                          </a:solidFill>
                        </wps:spPr>
                        <wps:bodyPr wrap="square" lIns="0" tIns="0" rIns="0" bIns="0" rtlCol="0">
                          <a:prstTxWarp prst="textNoShape">
                            <a:avLst/>
                          </a:prstTxWarp>
                          <a:noAutofit/>
                        </wps:bodyPr>
                      </wps:wsp>
                      <wps:wsp>
                        <wps:cNvPr id="1370" name="Graphic 1370"/>
                        <wps:cNvSpPr/>
                        <wps:spPr>
                          <a:xfrm>
                            <a:off x="1502114" y="1921891"/>
                            <a:ext cx="223520" cy="564515"/>
                          </a:xfrm>
                          <a:custGeom>
                            <a:avLst/>
                            <a:gdLst/>
                            <a:ahLst/>
                            <a:cxnLst/>
                            <a:rect l="l" t="t" r="r" b="b"/>
                            <a:pathLst>
                              <a:path w="223520" h="564515">
                                <a:moveTo>
                                  <a:pt x="0" y="564235"/>
                                </a:moveTo>
                                <a:lnTo>
                                  <a:pt x="222973" y="564235"/>
                                </a:lnTo>
                                <a:lnTo>
                                  <a:pt x="222973" y="0"/>
                                </a:lnTo>
                                <a:lnTo>
                                  <a:pt x="0" y="0"/>
                                </a:lnTo>
                                <a:lnTo>
                                  <a:pt x="0" y="564235"/>
                                </a:lnTo>
                                <a:close/>
                              </a:path>
                            </a:pathLst>
                          </a:custGeom>
                          <a:ln w="3175">
                            <a:solidFill>
                              <a:srgbClr val="FFFFFF"/>
                            </a:solidFill>
                            <a:prstDash val="solid"/>
                          </a:ln>
                        </wps:spPr>
                        <wps:bodyPr wrap="square" lIns="0" tIns="0" rIns="0" bIns="0" rtlCol="0">
                          <a:prstTxWarp prst="textNoShape">
                            <a:avLst/>
                          </a:prstTxWarp>
                          <a:noAutofit/>
                        </wps:bodyPr>
                      </wps:wsp>
                      <wps:wsp>
                        <wps:cNvPr id="1371" name="Graphic 1371"/>
                        <wps:cNvSpPr/>
                        <wps:spPr>
                          <a:xfrm>
                            <a:off x="2394021" y="1697291"/>
                            <a:ext cx="223520" cy="789305"/>
                          </a:xfrm>
                          <a:custGeom>
                            <a:avLst/>
                            <a:gdLst/>
                            <a:ahLst/>
                            <a:cxnLst/>
                            <a:rect l="l" t="t" r="r" b="b"/>
                            <a:pathLst>
                              <a:path w="223520" h="789305">
                                <a:moveTo>
                                  <a:pt x="222973" y="0"/>
                                </a:moveTo>
                                <a:lnTo>
                                  <a:pt x="0" y="0"/>
                                </a:lnTo>
                                <a:lnTo>
                                  <a:pt x="0" y="788835"/>
                                </a:lnTo>
                                <a:lnTo>
                                  <a:pt x="222973" y="788835"/>
                                </a:lnTo>
                                <a:lnTo>
                                  <a:pt x="222973" y="0"/>
                                </a:lnTo>
                                <a:close/>
                              </a:path>
                            </a:pathLst>
                          </a:custGeom>
                          <a:solidFill>
                            <a:srgbClr val="008FDD"/>
                          </a:solidFill>
                        </wps:spPr>
                        <wps:bodyPr wrap="square" lIns="0" tIns="0" rIns="0" bIns="0" rtlCol="0">
                          <a:prstTxWarp prst="textNoShape">
                            <a:avLst/>
                          </a:prstTxWarp>
                          <a:noAutofit/>
                        </wps:bodyPr>
                      </wps:wsp>
                      <wps:wsp>
                        <wps:cNvPr id="1372" name="Graphic 1372"/>
                        <wps:cNvSpPr/>
                        <wps:spPr>
                          <a:xfrm>
                            <a:off x="2394022" y="1697291"/>
                            <a:ext cx="223520" cy="789305"/>
                          </a:xfrm>
                          <a:custGeom>
                            <a:avLst/>
                            <a:gdLst/>
                            <a:ahLst/>
                            <a:cxnLst/>
                            <a:rect l="l" t="t" r="r" b="b"/>
                            <a:pathLst>
                              <a:path w="223520" h="789305">
                                <a:moveTo>
                                  <a:pt x="0" y="788835"/>
                                </a:moveTo>
                                <a:lnTo>
                                  <a:pt x="222973" y="788835"/>
                                </a:lnTo>
                                <a:lnTo>
                                  <a:pt x="222973" y="0"/>
                                </a:lnTo>
                                <a:lnTo>
                                  <a:pt x="0" y="0"/>
                                </a:lnTo>
                                <a:lnTo>
                                  <a:pt x="0" y="788835"/>
                                </a:lnTo>
                                <a:close/>
                              </a:path>
                            </a:pathLst>
                          </a:custGeom>
                          <a:ln w="3175">
                            <a:solidFill>
                              <a:srgbClr val="FFFFFF"/>
                            </a:solidFill>
                            <a:prstDash val="solid"/>
                          </a:ln>
                        </wps:spPr>
                        <wps:bodyPr wrap="square" lIns="0" tIns="0" rIns="0" bIns="0" rtlCol="0">
                          <a:prstTxWarp prst="textNoShape">
                            <a:avLst/>
                          </a:prstTxWarp>
                          <a:noAutofit/>
                        </wps:bodyPr>
                      </wps:wsp>
                      <wps:wsp>
                        <wps:cNvPr id="1373" name="Graphic 1373"/>
                        <wps:cNvSpPr/>
                        <wps:spPr>
                          <a:xfrm>
                            <a:off x="3285929" y="1558556"/>
                            <a:ext cx="223520" cy="927735"/>
                          </a:xfrm>
                          <a:custGeom>
                            <a:avLst/>
                            <a:gdLst/>
                            <a:ahLst/>
                            <a:cxnLst/>
                            <a:rect l="l" t="t" r="r" b="b"/>
                            <a:pathLst>
                              <a:path w="223520" h="927735">
                                <a:moveTo>
                                  <a:pt x="222973" y="0"/>
                                </a:moveTo>
                                <a:lnTo>
                                  <a:pt x="0" y="0"/>
                                </a:lnTo>
                                <a:lnTo>
                                  <a:pt x="0" y="927569"/>
                                </a:lnTo>
                                <a:lnTo>
                                  <a:pt x="222973" y="927569"/>
                                </a:lnTo>
                                <a:lnTo>
                                  <a:pt x="222973" y="0"/>
                                </a:lnTo>
                                <a:close/>
                              </a:path>
                            </a:pathLst>
                          </a:custGeom>
                          <a:solidFill>
                            <a:srgbClr val="008FDD"/>
                          </a:solidFill>
                        </wps:spPr>
                        <wps:bodyPr wrap="square" lIns="0" tIns="0" rIns="0" bIns="0" rtlCol="0">
                          <a:prstTxWarp prst="textNoShape">
                            <a:avLst/>
                          </a:prstTxWarp>
                          <a:noAutofit/>
                        </wps:bodyPr>
                      </wps:wsp>
                      <wps:wsp>
                        <wps:cNvPr id="1374" name="Graphic 1374"/>
                        <wps:cNvSpPr/>
                        <wps:spPr>
                          <a:xfrm>
                            <a:off x="3285930" y="1558556"/>
                            <a:ext cx="223520" cy="927735"/>
                          </a:xfrm>
                          <a:custGeom>
                            <a:avLst/>
                            <a:gdLst/>
                            <a:ahLst/>
                            <a:cxnLst/>
                            <a:rect l="l" t="t" r="r" b="b"/>
                            <a:pathLst>
                              <a:path w="223520" h="927735">
                                <a:moveTo>
                                  <a:pt x="0" y="927569"/>
                                </a:moveTo>
                                <a:lnTo>
                                  <a:pt x="222973" y="927569"/>
                                </a:lnTo>
                                <a:lnTo>
                                  <a:pt x="222973" y="0"/>
                                </a:lnTo>
                                <a:lnTo>
                                  <a:pt x="0" y="0"/>
                                </a:lnTo>
                                <a:lnTo>
                                  <a:pt x="0" y="927569"/>
                                </a:lnTo>
                                <a:close/>
                              </a:path>
                            </a:pathLst>
                          </a:custGeom>
                          <a:ln w="3175">
                            <a:solidFill>
                              <a:srgbClr val="FFFFFF"/>
                            </a:solidFill>
                            <a:prstDash val="solid"/>
                          </a:ln>
                        </wps:spPr>
                        <wps:bodyPr wrap="square" lIns="0" tIns="0" rIns="0" bIns="0" rtlCol="0">
                          <a:prstTxWarp prst="textNoShape">
                            <a:avLst/>
                          </a:prstTxWarp>
                          <a:noAutofit/>
                        </wps:bodyPr>
                      </wps:wsp>
                      <wps:wsp>
                        <wps:cNvPr id="1375" name="Graphic 1375"/>
                        <wps:cNvSpPr/>
                        <wps:spPr>
                          <a:xfrm>
                            <a:off x="4177850" y="694740"/>
                            <a:ext cx="223520" cy="1791970"/>
                          </a:xfrm>
                          <a:custGeom>
                            <a:avLst/>
                            <a:gdLst/>
                            <a:ahLst/>
                            <a:cxnLst/>
                            <a:rect l="l" t="t" r="r" b="b"/>
                            <a:pathLst>
                              <a:path w="223520" h="1791970">
                                <a:moveTo>
                                  <a:pt x="222973" y="0"/>
                                </a:moveTo>
                                <a:lnTo>
                                  <a:pt x="0" y="0"/>
                                </a:lnTo>
                                <a:lnTo>
                                  <a:pt x="0" y="1791385"/>
                                </a:lnTo>
                                <a:lnTo>
                                  <a:pt x="222973" y="1791385"/>
                                </a:lnTo>
                                <a:lnTo>
                                  <a:pt x="222973" y="0"/>
                                </a:lnTo>
                                <a:close/>
                              </a:path>
                            </a:pathLst>
                          </a:custGeom>
                          <a:solidFill>
                            <a:srgbClr val="008FDD"/>
                          </a:solidFill>
                        </wps:spPr>
                        <wps:bodyPr wrap="square" lIns="0" tIns="0" rIns="0" bIns="0" rtlCol="0">
                          <a:prstTxWarp prst="textNoShape">
                            <a:avLst/>
                          </a:prstTxWarp>
                          <a:noAutofit/>
                        </wps:bodyPr>
                      </wps:wsp>
                      <wps:wsp>
                        <wps:cNvPr id="1376" name="Graphic 1376"/>
                        <wps:cNvSpPr/>
                        <wps:spPr>
                          <a:xfrm>
                            <a:off x="4177851" y="694740"/>
                            <a:ext cx="223520" cy="1791970"/>
                          </a:xfrm>
                          <a:custGeom>
                            <a:avLst/>
                            <a:gdLst/>
                            <a:ahLst/>
                            <a:cxnLst/>
                            <a:rect l="l" t="t" r="r" b="b"/>
                            <a:pathLst>
                              <a:path w="223520" h="1791970">
                                <a:moveTo>
                                  <a:pt x="0" y="1791385"/>
                                </a:moveTo>
                                <a:lnTo>
                                  <a:pt x="222973" y="1791385"/>
                                </a:lnTo>
                                <a:lnTo>
                                  <a:pt x="222973" y="0"/>
                                </a:lnTo>
                                <a:lnTo>
                                  <a:pt x="0" y="0"/>
                                </a:lnTo>
                                <a:lnTo>
                                  <a:pt x="0" y="1791385"/>
                                </a:lnTo>
                                <a:close/>
                              </a:path>
                            </a:pathLst>
                          </a:custGeom>
                          <a:ln w="3175">
                            <a:solidFill>
                              <a:srgbClr val="FFFFFF"/>
                            </a:solidFill>
                            <a:prstDash val="solid"/>
                          </a:ln>
                        </wps:spPr>
                        <wps:bodyPr wrap="square" lIns="0" tIns="0" rIns="0" bIns="0" rtlCol="0">
                          <a:prstTxWarp prst="textNoShape">
                            <a:avLst/>
                          </a:prstTxWarp>
                          <a:noAutofit/>
                        </wps:bodyPr>
                      </wps:wsp>
                      <wps:wsp>
                        <wps:cNvPr id="1377" name="Textbox 1377"/>
                        <wps:cNvSpPr txBox="1"/>
                        <wps:spPr>
                          <a:xfrm>
                            <a:off x="76380" y="66855"/>
                            <a:ext cx="4217035" cy="678180"/>
                          </a:xfrm>
                          <a:prstGeom prst="rect">
                            <a:avLst/>
                          </a:prstGeom>
                        </wps:spPr>
                        <wps:txbx>
                          <w:txbxContent>
                            <w:p>
                              <w:pPr>
                                <w:spacing w:line="261" w:lineRule="auto" w:before="3"/>
                                <w:ind w:left="800" w:right="0" w:hanging="800"/>
                                <w:jc w:val="left"/>
                                <w:rPr>
                                  <w:rFonts w:ascii="Arial"/>
                                  <w:b/>
                                  <w:sz w:val="16"/>
                                </w:rPr>
                              </w:pPr>
                              <w:r>
                                <w:rPr>
                                  <w:rFonts w:ascii="Arial"/>
                                  <w:color w:val="FFFFFF"/>
                                  <w:w w:val="105"/>
                                  <w:sz w:val="16"/>
                                </w:rPr>
                                <w:t>Figure</w:t>
                              </w:r>
                              <w:r>
                                <w:rPr>
                                  <w:rFonts w:ascii="Arial"/>
                                  <w:color w:val="FFFFFF"/>
                                  <w:spacing w:val="-11"/>
                                  <w:w w:val="105"/>
                                  <w:sz w:val="16"/>
                                </w:rPr>
                                <w:t> </w:t>
                              </w:r>
                              <w:r>
                                <w:rPr>
                                  <w:rFonts w:ascii="Arial"/>
                                  <w:b/>
                                  <w:color w:val="FFFFFF"/>
                                  <w:w w:val="105"/>
                                  <w:sz w:val="16"/>
                                </w:rPr>
                                <w:t>3.7</w:t>
                              </w:r>
                              <w:r>
                                <w:rPr>
                                  <w:rFonts w:ascii="Arial"/>
                                  <w:b/>
                                  <w:color w:val="FFFFFF"/>
                                  <w:spacing w:val="80"/>
                                  <w:w w:val="105"/>
                                  <w:sz w:val="16"/>
                                </w:rPr>
                                <w:t> </w:t>
                              </w:r>
                              <w:r>
                                <w:rPr>
                                  <w:rFonts w:ascii="Arial"/>
                                  <w:b/>
                                  <w:color w:val="FFFFFF"/>
                                  <w:w w:val="105"/>
                                  <w:sz w:val="16"/>
                                </w:rPr>
                                <w:t>The</w:t>
                              </w:r>
                              <w:r>
                                <w:rPr>
                                  <w:rFonts w:ascii="Arial"/>
                                  <w:b/>
                                  <w:color w:val="FFFFFF"/>
                                  <w:spacing w:val="-11"/>
                                  <w:w w:val="105"/>
                                  <w:sz w:val="16"/>
                                </w:rPr>
                                <w:t> </w:t>
                              </w:r>
                              <w:r>
                                <w:rPr>
                                  <w:rFonts w:ascii="Arial"/>
                                  <w:b/>
                                  <w:color w:val="FFFFFF"/>
                                  <w:w w:val="105"/>
                                  <w:sz w:val="16"/>
                                </w:rPr>
                                <w:t>association</w:t>
                              </w:r>
                              <w:r>
                                <w:rPr>
                                  <w:rFonts w:ascii="Arial"/>
                                  <w:b/>
                                  <w:color w:val="FFFFFF"/>
                                  <w:spacing w:val="-11"/>
                                  <w:w w:val="105"/>
                                  <w:sz w:val="16"/>
                                </w:rPr>
                                <w:t> </w:t>
                              </w:r>
                              <w:r>
                                <w:rPr>
                                  <w:rFonts w:ascii="Arial"/>
                                  <w:b/>
                                  <w:color w:val="FFFFFF"/>
                                  <w:w w:val="105"/>
                                  <w:sz w:val="16"/>
                                </w:rPr>
                                <w:t>between</w:t>
                              </w:r>
                              <w:r>
                                <w:rPr>
                                  <w:rFonts w:ascii="Arial"/>
                                  <w:b/>
                                  <w:color w:val="FFFFFF"/>
                                  <w:spacing w:val="-11"/>
                                  <w:w w:val="105"/>
                                  <w:sz w:val="16"/>
                                </w:rPr>
                                <w:t> </w:t>
                              </w:r>
                              <w:r>
                                <w:rPr>
                                  <w:rFonts w:ascii="Arial"/>
                                  <w:b/>
                                  <w:color w:val="FFFFFF"/>
                                  <w:w w:val="105"/>
                                  <w:sz w:val="16"/>
                                </w:rPr>
                                <w:t>average</w:t>
                              </w:r>
                              <w:r>
                                <w:rPr>
                                  <w:rFonts w:ascii="Arial"/>
                                  <w:b/>
                                  <w:color w:val="FFFFFF"/>
                                  <w:spacing w:val="-11"/>
                                  <w:w w:val="105"/>
                                  <w:sz w:val="16"/>
                                </w:rPr>
                                <w:t> </w:t>
                              </w:r>
                              <w:r>
                                <w:rPr>
                                  <w:rFonts w:ascii="Arial"/>
                                  <w:b/>
                                  <w:color w:val="FFFFFF"/>
                                  <w:w w:val="105"/>
                                  <w:sz w:val="16"/>
                                </w:rPr>
                                <w:t>connectivity</w:t>
                              </w:r>
                              <w:r>
                                <w:rPr>
                                  <w:rFonts w:ascii="Arial"/>
                                  <w:b/>
                                  <w:color w:val="FFFFFF"/>
                                  <w:spacing w:val="-11"/>
                                  <w:w w:val="105"/>
                                  <w:sz w:val="16"/>
                                </w:rPr>
                                <w:t> </w:t>
                              </w:r>
                              <w:r>
                                <w:rPr>
                                  <w:rFonts w:ascii="Arial"/>
                                  <w:b/>
                                  <w:color w:val="FFFFFF"/>
                                  <w:w w:val="105"/>
                                  <w:sz w:val="16"/>
                                </w:rPr>
                                <w:t>in</w:t>
                              </w:r>
                              <w:r>
                                <w:rPr>
                                  <w:rFonts w:ascii="Arial"/>
                                  <w:b/>
                                  <w:color w:val="FFFFFF"/>
                                  <w:spacing w:val="-11"/>
                                  <w:w w:val="105"/>
                                  <w:sz w:val="16"/>
                                </w:rPr>
                                <w:t> </w:t>
                              </w:r>
                              <w:r>
                                <w:rPr>
                                  <w:rFonts w:ascii="Arial"/>
                                  <w:b/>
                                  <w:color w:val="FFFFFF"/>
                                  <w:w w:val="105"/>
                                  <w:sz w:val="16"/>
                                </w:rPr>
                                <w:t>container</w:t>
                              </w:r>
                              <w:r>
                                <w:rPr>
                                  <w:rFonts w:ascii="Arial"/>
                                  <w:b/>
                                  <w:color w:val="FFFFFF"/>
                                  <w:spacing w:val="-11"/>
                                  <w:w w:val="105"/>
                                  <w:sz w:val="16"/>
                                </w:rPr>
                                <w:t> </w:t>
                              </w:r>
                              <w:r>
                                <w:rPr>
                                  <w:rFonts w:ascii="Arial"/>
                                  <w:b/>
                                  <w:color w:val="FFFFFF"/>
                                  <w:w w:val="105"/>
                                  <w:sz w:val="16"/>
                                </w:rPr>
                                <w:t>shipping</w:t>
                              </w:r>
                              <w:r>
                                <w:rPr>
                                  <w:rFonts w:ascii="Arial"/>
                                  <w:b/>
                                  <w:color w:val="FFFFFF"/>
                                  <w:spacing w:val="-11"/>
                                  <w:w w:val="105"/>
                                  <w:sz w:val="16"/>
                                </w:rPr>
                                <w:t> </w:t>
                              </w:r>
                              <w:r>
                                <w:rPr>
                                  <w:rFonts w:ascii="Arial"/>
                                  <w:b/>
                                  <w:color w:val="FFFFFF"/>
                                  <w:w w:val="105"/>
                                  <w:sz w:val="16"/>
                                </w:rPr>
                                <w:t>and 2023 LPI score quintiles</w:t>
                              </w:r>
                            </w:p>
                            <w:p>
                              <w:pPr>
                                <w:spacing w:line="240" w:lineRule="atLeast" w:before="177"/>
                                <w:ind w:left="67" w:right="5185" w:hanging="68"/>
                                <w:jc w:val="left"/>
                                <w:rPr>
                                  <w:rFonts w:ascii="Arial"/>
                                  <w:sz w:val="14"/>
                                </w:rPr>
                              </w:pPr>
                              <w:r>
                                <w:rPr>
                                  <w:rFonts w:ascii="Arial"/>
                                  <w:color w:val="231F20"/>
                                  <w:spacing w:val="-2"/>
                                  <w:w w:val="80"/>
                                  <w:sz w:val="14"/>
                                </w:rPr>
                                <w:t>Average</w:t>
                              </w:r>
                              <w:r>
                                <w:rPr>
                                  <w:rFonts w:ascii="Arial"/>
                                  <w:color w:val="231F20"/>
                                  <w:spacing w:val="-8"/>
                                  <w:sz w:val="14"/>
                                </w:rPr>
                                <w:t> </w:t>
                              </w:r>
                              <w:r>
                                <w:rPr>
                                  <w:rFonts w:ascii="Arial"/>
                                  <w:color w:val="231F20"/>
                                  <w:spacing w:val="-2"/>
                                  <w:w w:val="80"/>
                                  <w:sz w:val="14"/>
                                </w:rPr>
                                <w:t>number</w:t>
                              </w:r>
                              <w:r>
                                <w:rPr>
                                  <w:rFonts w:ascii="Arial"/>
                                  <w:color w:val="231F20"/>
                                  <w:spacing w:val="-8"/>
                                  <w:sz w:val="14"/>
                                </w:rPr>
                                <w:t> </w:t>
                              </w:r>
                              <w:r>
                                <w:rPr>
                                  <w:rFonts w:ascii="Arial"/>
                                  <w:color w:val="231F20"/>
                                  <w:spacing w:val="-2"/>
                                  <w:w w:val="80"/>
                                  <w:sz w:val="14"/>
                                </w:rPr>
                                <w:t>of</w:t>
                              </w:r>
                              <w:r>
                                <w:rPr>
                                  <w:rFonts w:ascii="Arial"/>
                                  <w:color w:val="231F20"/>
                                  <w:spacing w:val="-8"/>
                                  <w:sz w:val="14"/>
                                </w:rPr>
                                <w:t> </w:t>
                              </w:r>
                              <w:r>
                                <w:rPr>
                                  <w:rFonts w:ascii="Arial"/>
                                  <w:color w:val="231F20"/>
                                  <w:spacing w:val="-2"/>
                                  <w:w w:val="80"/>
                                  <w:sz w:val="14"/>
                                </w:rPr>
                                <w:t>partners</w:t>
                              </w:r>
                              <w:r>
                                <w:rPr>
                                  <w:rFonts w:ascii="Arial"/>
                                  <w:color w:val="231F20"/>
                                  <w:spacing w:val="40"/>
                                  <w:sz w:val="14"/>
                                </w:rPr>
                                <w:t> </w:t>
                              </w:r>
                              <w:r>
                                <w:rPr>
                                  <w:rFonts w:ascii="Arial"/>
                                  <w:color w:val="231F20"/>
                                  <w:spacing w:val="-6"/>
                                  <w:w w:val="90"/>
                                  <w:sz w:val="14"/>
                                </w:rPr>
                                <w:t>60</w:t>
                              </w:r>
                            </w:p>
                          </w:txbxContent>
                        </wps:txbx>
                        <wps:bodyPr wrap="square" lIns="0" tIns="0" rIns="0" bIns="0" rtlCol="0">
                          <a:noAutofit/>
                        </wps:bodyPr>
                      </wps:wsp>
                      <wps:wsp>
                        <wps:cNvPr id="1378" name="Textbox 1378"/>
                        <wps:cNvSpPr txBox="1"/>
                        <wps:spPr>
                          <a:xfrm>
                            <a:off x="119407" y="1242656"/>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40</w:t>
                              </w:r>
                            </w:p>
                          </w:txbxContent>
                        </wps:txbx>
                        <wps:bodyPr wrap="square" lIns="0" tIns="0" rIns="0" bIns="0" rtlCol="0">
                          <a:noAutofit/>
                        </wps:bodyPr>
                      </wps:wsp>
                      <wps:wsp>
                        <wps:cNvPr id="1379" name="Textbox 1379"/>
                        <wps:cNvSpPr txBox="1"/>
                        <wps:spPr>
                          <a:xfrm>
                            <a:off x="119407" y="1841131"/>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20</w:t>
                              </w:r>
                            </w:p>
                          </w:txbxContent>
                        </wps:txbx>
                        <wps:bodyPr wrap="square" lIns="0" tIns="0" rIns="0" bIns="0" rtlCol="0">
                          <a:noAutofit/>
                        </wps:bodyPr>
                      </wps:wsp>
                      <wps:wsp>
                        <wps:cNvPr id="1380" name="Textbox 1380"/>
                        <wps:cNvSpPr txBox="1"/>
                        <wps:spPr>
                          <a:xfrm>
                            <a:off x="162079" y="2439606"/>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0</w:t>
                              </w:r>
                            </w:p>
                          </w:txbxContent>
                        </wps:txbx>
                        <wps:bodyPr wrap="square" lIns="0" tIns="0" rIns="0" bIns="0" rtlCol="0">
                          <a:noAutofit/>
                        </wps:bodyPr>
                      </wps:wsp>
                      <wps:wsp>
                        <wps:cNvPr id="1381" name="Textbox 1381"/>
                        <wps:cNvSpPr txBox="1"/>
                        <wps:spPr>
                          <a:xfrm>
                            <a:off x="390331" y="2503547"/>
                            <a:ext cx="673100" cy="202565"/>
                          </a:xfrm>
                          <a:prstGeom prst="rect">
                            <a:avLst/>
                          </a:prstGeom>
                        </wps:spPr>
                        <wps:txbx>
                          <w:txbxContent>
                            <w:p>
                              <w:pPr>
                                <w:spacing w:before="0"/>
                                <w:ind w:left="0" w:right="0" w:firstLine="147"/>
                                <w:jc w:val="left"/>
                                <w:rPr>
                                  <w:rFonts w:ascii="Arial"/>
                                  <w:sz w:val="14"/>
                                </w:rPr>
                              </w:pPr>
                              <w:r>
                                <w:rPr>
                                  <w:rFonts w:ascii="Arial"/>
                                  <w:color w:val="231F20"/>
                                  <w:w w:val="95"/>
                                  <w:sz w:val="14"/>
                                </w:rPr>
                                <w:t>Bottom</w:t>
                              </w:r>
                              <w:r>
                                <w:rPr>
                                  <w:rFonts w:ascii="Arial"/>
                                  <w:color w:val="231F20"/>
                                  <w:spacing w:val="-8"/>
                                  <w:w w:val="95"/>
                                  <w:sz w:val="14"/>
                                </w:rPr>
                                <w:t> </w:t>
                              </w:r>
                              <w:r>
                                <w:rPr>
                                  <w:rFonts w:ascii="Arial"/>
                                  <w:color w:val="231F20"/>
                                  <w:w w:val="95"/>
                                  <w:sz w:val="14"/>
                                </w:rPr>
                                <w:t>quintile</w:t>
                              </w:r>
                              <w:r>
                                <w:rPr>
                                  <w:rFonts w:ascii="Arial"/>
                                  <w:color w:val="231F20"/>
                                  <w:spacing w:val="40"/>
                                  <w:sz w:val="14"/>
                                </w:rPr>
                                <w:t> </w:t>
                              </w:r>
                              <w:r>
                                <w:rPr>
                                  <w:rFonts w:ascii="Arial"/>
                                  <w:color w:val="231F20"/>
                                  <w:spacing w:val="-2"/>
                                  <w:w w:val="80"/>
                                  <w:sz w:val="14"/>
                                </w:rPr>
                                <w:t>(lowest</w:t>
                              </w:r>
                              <w:r>
                                <w:rPr>
                                  <w:rFonts w:ascii="Arial"/>
                                  <w:color w:val="231F20"/>
                                  <w:spacing w:val="-8"/>
                                  <w:sz w:val="14"/>
                                </w:rPr>
                                <w:t> </w:t>
                              </w:r>
                              <w:r>
                                <w:rPr>
                                  <w:rFonts w:ascii="Arial"/>
                                  <w:color w:val="231F20"/>
                                  <w:spacing w:val="-2"/>
                                  <w:w w:val="80"/>
                                  <w:sz w:val="14"/>
                                </w:rPr>
                                <w:t>performance)</w:t>
                              </w:r>
                            </w:p>
                          </w:txbxContent>
                        </wps:txbx>
                        <wps:bodyPr wrap="square" lIns="0" tIns="0" rIns="0" bIns="0" rtlCol="0">
                          <a:noAutofit/>
                        </wps:bodyPr>
                      </wps:wsp>
                      <wps:wsp>
                        <wps:cNvPr id="1382" name="Textbox 1382"/>
                        <wps:cNvSpPr txBox="1"/>
                        <wps:spPr>
                          <a:xfrm>
                            <a:off x="1328849" y="2503547"/>
                            <a:ext cx="579120" cy="202565"/>
                          </a:xfrm>
                          <a:prstGeom prst="rect">
                            <a:avLst/>
                          </a:prstGeom>
                        </wps:spPr>
                        <wps:txbx>
                          <w:txbxContent>
                            <w:p>
                              <w:pPr>
                                <w:spacing w:before="0"/>
                                <w:ind w:left="0" w:right="0" w:firstLine="92"/>
                                <w:jc w:val="left"/>
                                <w:rPr>
                                  <w:rFonts w:ascii="Arial"/>
                                  <w:sz w:val="14"/>
                                </w:rPr>
                              </w:pPr>
                              <w:r>
                                <w:rPr>
                                  <w:rFonts w:ascii="Arial"/>
                                  <w:color w:val="231F20"/>
                                  <w:spacing w:val="-2"/>
                                  <w:w w:val="90"/>
                                  <w:sz w:val="14"/>
                                </w:rPr>
                                <w:t>Fourth</w:t>
                              </w:r>
                              <w:r>
                                <w:rPr>
                                  <w:rFonts w:ascii="Arial"/>
                                  <w:color w:val="231F20"/>
                                  <w:spacing w:val="-6"/>
                                  <w:w w:val="90"/>
                                  <w:sz w:val="14"/>
                                </w:rPr>
                                <w:t> </w:t>
                              </w:r>
                              <w:r>
                                <w:rPr>
                                  <w:rFonts w:ascii="Arial"/>
                                  <w:color w:val="231F20"/>
                                  <w:spacing w:val="-2"/>
                                  <w:w w:val="90"/>
                                  <w:sz w:val="14"/>
                                </w:rPr>
                                <w:t>quintile</w:t>
                              </w:r>
                              <w:r>
                                <w:rPr>
                                  <w:rFonts w:ascii="Arial"/>
                                  <w:color w:val="231F20"/>
                                  <w:spacing w:val="40"/>
                                  <w:sz w:val="14"/>
                                </w:rPr>
                                <w:t> </w:t>
                              </w:r>
                              <w:r>
                                <w:rPr>
                                  <w:rFonts w:ascii="Arial"/>
                                  <w:color w:val="231F20"/>
                                  <w:spacing w:val="-2"/>
                                  <w:w w:val="80"/>
                                  <w:sz w:val="14"/>
                                </w:rPr>
                                <w:t>(low</w:t>
                              </w:r>
                              <w:r>
                                <w:rPr>
                                  <w:rFonts w:ascii="Arial"/>
                                  <w:color w:val="231F20"/>
                                  <w:spacing w:val="-8"/>
                                  <w:sz w:val="14"/>
                                </w:rPr>
                                <w:t> </w:t>
                              </w:r>
                              <w:r>
                                <w:rPr>
                                  <w:rFonts w:ascii="Arial"/>
                                  <w:color w:val="231F20"/>
                                  <w:spacing w:val="-2"/>
                                  <w:w w:val="80"/>
                                  <w:sz w:val="14"/>
                                </w:rPr>
                                <w:t>performance)</w:t>
                              </w:r>
                            </w:p>
                          </w:txbxContent>
                        </wps:txbx>
                        <wps:bodyPr wrap="square" lIns="0" tIns="0" rIns="0" bIns="0" rtlCol="0">
                          <a:noAutofit/>
                        </wps:bodyPr>
                      </wps:wsp>
                      <wps:wsp>
                        <wps:cNvPr id="1383" name="Textbox 1383"/>
                        <wps:cNvSpPr txBox="1"/>
                        <wps:spPr>
                          <a:xfrm>
                            <a:off x="2149574" y="2503547"/>
                            <a:ext cx="2494280" cy="202565"/>
                          </a:xfrm>
                          <a:prstGeom prst="rect">
                            <a:avLst/>
                          </a:prstGeom>
                        </wps:spPr>
                        <wps:txbx>
                          <w:txbxContent>
                            <w:p>
                              <w:pPr>
                                <w:tabs>
                                  <w:tab w:pos="1493" w:val="left" w:leader="none"/>
                                  <w:tab w:pos="1582" w:val="left" w:leader="none"/>
                                  <w:tab w:pos="2823" w:val="left" w:leader="none"/>
                                  <w:tab w:pos="3083" w:val="left" w:leader="none"/>
                                </w:tabs>
                                <w:spacing w:before="0"/>
                                <w:ind w:left="0" w:right="18" w:firstLine="236"/>
                                <w:jc w:val="left"/>
                                <w:rPr>
                                  <w:rFonts w:ascii="Arial"/>
                                  <w:sz w:val="14"/>
                                </w:rPr>
                              </w:pPr>
                              <w:r>
                                <w:rPr>
                                  <w:rFonts w:ascii="Arial"/>
                                  <w:color w:val="231F20"/>
                                  <w:sz w:val="14"/>
                                </w:rPr>
                                <w:t>Third</w:t>
                              </w:r>
                              <w:r>
                                <w:rPr>
                                  <w:rFonts w:ascii="Arial"/>
                                  <w:color w:val="231F20"/>
                                  <w:spacing w:val="-10"/>
                                  <w:sz w:val="14"/>
                                </w:rPr>
                                <w:t> </w:t>
                              </w:r>
                              <w:r>
                                <w:rPr>
                                  <w:rFonts w:ascii="Arial"/>
                                  <w:color w:val="231F20"/>
                                  <w:sz w:val="14"/>
                                </w:rPr>
                                <w:t>quintile</w:t>
                                <w:tab/>
                                <w:tab/>
                                <w:t>Second</w:t>
                              </w:r>
                              <w:r>
                                <w:rPr>
                                  <w:rFonts w:ascii="Arial"/>
                                  <w:color w:val="231F20"/>
                                  <w:spacing w:val="-10"/>
                                  <w:sz w:val="14"/>
                                </w:rPr>
                                <w:t> </w:t>
                              </w:r>
                              <w:r>
                                <w:rPr>
                                  <w:rFonts w:ascii="Arial"/>
                                  <w:color w:val="231F20"/>
                                  <w:sz w:val="14"/>
                                </w:rPr>
                                <w:t>quintile</w:t>
                                <w:tab/>
                                <w:tab/>
                                <w:t>Top</w:t>
                              </w:r>
                              <w:r>
                                <w:rPr>
                                  <w:rFonts w:ascii="Arial"/>
                                  <w:color w:val="231F20"/>
                                  <w:spacing w:val="-10"/>
                                  <w:sz w:val="14"/>
                                </w:rPr>
                                <w:t> </w:t>
                              </w:r>
                              <w:r>
                                <w:rPr>
                                  <w:rFonts w:ascii="Arial"/>
                                  <w:color w:val="231F20"/>
                                  <w:sz w:val="14"/>
                                </w:rPr>
                                <w:t>quintile</w:t>
                              </w:r>
                              <w:r>
                                <w:rPr>
                                  <w:rFonts w:ascii="Arial"/>
                                  <w:color w:val="231F20"/>
                                  <w:spacing w:val="40"/>
                                  <w:sz w:val="14"/>
                                </w:rPr>
                                <w:t> </w:t>
                              </w:r>
                              <w:r>
                                <w:rPr>
                                  <w:rFonts w:ascii="Arial"/>
                                  <w:color w:val="231F20"/>
                                  <w:sz w:val="14"/>
                                </w:rPr>
                                <w:t>(average</w:t>
                              </w:r>
                              <w:r>
                                <w:rPr>
                                  <w:rFonts w:ascii="Arial"/>
                                  <w:color w:val="231F20"/>
                                  <w:spacing w:val="-10"/>
                                  <w:sz w:val="14"/>
                                </w:rPr>
                                <w:t> </w:t>
                              </w:r>
                              <w:r>
                                <w:rPr>
                                  <w:rFonts w:ascii="Arial"/>
                                  <w:color w:val="231F20"/>
                                  <w:sz w:val="14"/>
                                </w:rPr>
                                <w:t>performance)</w:t>
                                <w:tab/>
                                <w:t>(high</w:t>
                              </w:r>
                              <w:r>
                                <w:rPr>
                                  <w:rFonts w:ascii="Arial"/>
                                  <w:color w:val="231F20"/>
                                  <w:spacing w:val="-10"/>
                                  <w:sz w:val="14"/>
                                </w:rPr>
                                <w:t> </w:t>
                              </w:r>
                              <w:r>
                                <w:rPr>
                                  <w:rFonts w:ascii="Arial"/>
                                  <w:color w:val="231F20"/>
                                  <w:sz w:val="14"/>
                                </w:rPr>
                                <w:t>performance)</w:t>
                                <w:tab/>
                              </w:r>
                              <w:r>
                                <w:rPr>
                                  <w:rFonts w:ascii="Arial"/>
                                  <w:color w:val="231F20"/>
                                  <w:spacing w:val="-2"/>
                                  <w:w w:val="80"/>
                                  <w:sz w:val="14"/>
                                </w:rPr>
                                <w:t>(highest</w:t>
                              </w:r>
                              <w:r>
                                <w:rPr>
                                  <w:rFonts w:ascii="Arial"/>
                                  <w:color w:val="231F20"/>
                                  <w:spacing w:val="-10"/>
                                  <w:sz w:val="14"/>
                                </w:rPr>
                                <w:t> </w:t>
                              </w:r>
                              <w:r>
                                <w:rPr>
                                  <w:rFonts w:ascii="Arial"/>
                                  <w:color w:val="231F20"/>
                                  <w:spacing w:val="-2"/>
                                  <w:w w:val="80"/>
                                  <w:sz w:val="14"/>
                                </w:rPr>
                                <w:t>performance)</w:t>
                              </w:r>
                            </w:p>
                          </w:txbxContent>
                        </wps:txbx>
                        <wps:bodyPr wrap="square" lIns="0" tIns="0" rIns="0" bIns="0" rtlCol="0">
                          <a:noAutofit/>
                        </wps:bodyPr>
                      </wps:wsp>
                      <wps:wsp>
                        <wps:cNvPr id="1384" name="Textbox 1384"/>
                        <wps:cNvSpPr txBox="1"/>
                        <wps:spPr>
                          <a:xfrm>
                            <a:off x="76386" y="2842971"/>
                            <a:ext cx="1913889" cy="180340"/>
                          </a:xfrm>
                          <a:prstGeom prst="rect">
                            <a:avLst/>
                          </a:prstGeom>
                        </wps:spPr>
                        <wps:txbx>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World</w:t>
                              </w:r>
                              <w:r>
                                <w:rPr>
                                  <w:rFonts w:ascii="Arial"/>
                                  <w:color w:val="231F20"/>
                                  <w:spacing w:val="5"/>
                                  <w:sz w:val="12"/>
                                </w:rPr>
                                <w:t> </w:t>
                              </w:r>
                              <w:r>
                                <w:rPr>
                                  <w:rFonts w:ascii="Arial"/>
                                  <w:color w:val="231F20"/>
                                  <w:w w:val="75"/>
                                  <w:sz w:val="12"/>
                                </w:rPr>
                                <w:t>Bank</w:t>
                              </w:r>
                              <w:r>
                                <w:rPr>
                                  <w:rFonts w:ascii="Arial"/>
                                  <w:color w:val="231F20"/>
                                  <w:spacing w:val="5"/>
                                  <w:sz w:val="12"/>
                                </w:rPr>
                                <w:t> </w:t>
                              </w:r>
                              <w:r>
                                <w:rPr>
                                  <w:rFonts w:ascii="Arial"/>
                                  <w:color w:val="231F20"/>
                                  <w:w w:val="75"/>
                                  <w:sz w:val="12"/>
                                </w:rPr>
                                <w:t>calculations</w:t>
                              </w:r>
                              <w:r>
                                <w:rPr>
                                  <w:rFonts w:ascii="Arial"/>
                                  <w:color w:val="231F20"/>
                                  <w:spacing w:val="5"/>
                                  <w:sz w:val="12"/>
                                </w:rPr>
                                <w:t> </w:t>
                              </w:r>
                              <w:r>
                                <w:rPr>
                                  <w:rFonts w:ascii="Arial"/>
                                  <w:color w:val="231F20"/>
                                  <w:w w:val="75"/>
                                  <w:sz w:val="12"/>
                                </w:rPr>
                                <w:t>based</w:t>
                              </w:r>
                              <w:r>
                                <w:rPr>
                                  <w:rFonts w:ascii="Arial"/>
                                  <w:color w:val="231F20"/>
                                  <w:spacing w:val="5"/>
                                  <w:sz w:val="12"/>
                                </w:rPr>
                                <w:t> </w:t>
                              </w:r>
                              <w:r>
                                <w:rPr>
                                  <w:rFonts w:ascii="Arial"/>
                                  <w:color w:val="231F20"/>
                                  <w:w w:val="75"/>
                                  <w:sz w:val="12"/>
                                </w:rPr>
                                <w:t>on</w:t>
                              </w:r>
                              <w:r>
                                <w:rPr>
                                  <w:rFonts w:ascii="Arial"/>
                                  <w:color w:val="231F20"/>
                                  <w:spacing w:val="5"/>
                                  <w:sz w:val="12"/>
                                </w:rPr>
                                <w:t> </w:t>
                              </w:r>
                              <w:r>
                                <w:rPr>
                                  <w:rFonts w:ascii="Arial"/>
                                  <w:color w:val="231F20"/>
                                  <w:w w:val="75"/>
                                  <w:sz w:val="12"/>
                                </w:rPr>
                                <w:t>data</w:t>
                              </w:r>
                              <w:r>
                                <w:rPr>
                                  <w:rFonts w:ascii="Arial"/>
                                  <w:color w:val="231F20"/>
                                  <w:spacing w:val="5"/>
                                  <w:sz w:val="12"/>
                                </w:rPr>
                                <w:t> </w:t>
                              </w:r>
                              <w:r>
                                <w:rPr>
                                  <w:rFonts w:ascii="Arial"/>
                                  <w:color w:val="231F20"/>
                                  <w:w w:val="75"/>
                                  <w:sz w:val="12"/>
                                </w:rPr>
                                <w:t>from</w:t>
                              </w:r>
                              <w:r>
                                <w:rPr>
                                  <w:rFonts w:ascii="Arial"/>
                                  <w:color w:val="231F20"/>
                                  <w:spacing w:val="5"/>
                                  <w:sz w:val="12"/>
                                </w:rPr>
                                <w:t> </w:t>
                              </w:r>
                              <w:r>
                                <w:rPr>
                                  <w:rFonts w:ascii="Arial"/>
                                  <w:color w:val="231F20"/>
                                  <w:w w:val="75"/>
                                  <w:sz w:val="12"/>
                                </w:rPr>
                                <w:t>MDS</w:t>
                              </w:r>
                              <w:r>
                                <w:rPr>
                                  <w:rFonts w:ascii="Arial"/>
                                  <w:color w:val="231F20"/>
                                  <w:spacing w:val="-1"/>
                                  <w:sz w:val="12"/>
                                </w:rPr>
                                <w:t> </w:t>
                              </w:r>
                              <w:r>
                                <w:rPr>
                                  <w:rFonts w:ascii="Arial"/>
                                  <w:color w:val="231F20"/>
                                  <w:spacing w:val="-2"/>
                                  <w:w w:val="75"/>
                                  <w:sz w:val="12"/>
                                </w:rPr>
                                <w:t>Transmodal.</w:t>
                              </w:r>
                            </w:p>
                            <w:p>
                              <w:pPr>
                                <w:spacing w:before="2"/>
                                <w:ind w:left="0" w:right="0" w:firstLine="0"/>
                                <w:jc w:val="left"/>
                                <w:rPr>
                                  <w:rFonts w:ascii="Arial"/>
                                  <w:sz w:val="12"/>
                                </w:rPr>
                              </w:pPr>
                              <w:r>
                                <w:rPr>
                                  <w:rFonts w:ascii="Arial"/>
                                  <w:i/>
                                  <w:color w:val="231F20"/>
                                  <w:w w:val="75"/>
                                  <w:sz w:val="12"/>
                                </w:rPr>
                                <w:t>Note:</w:t>
                              </w:r>
                              <w:r>
                                <w:rPr>
                                  <w:rFonts w:ascii="Arial"/>
                                  <w:i/>
                                  <w:color w:val="231F20"/>
                                  <w:sz w:val="12"/>
                                </w:rPr>
                                <w:t> </w:t>
                              </w:r>
                              <w:r>
                                <w:rPr>
                                  <w:rFonts w:ascii="Arial"/>
                                  <w:color w:val="231F20"/>
                                  <w:w w:val="75"/>
                                  <w:sz w:val="12"/>
                                </w:rPr>
                                <w:t>Connectivity</w:t>
                              </w:r>
                              <w:r>
                                <w:rPr>
                                  <w:rFonts w:ascii="Arial"/>
                                  <w:color w:val="231F20"/>
                                  <w:spacing w:val="5"/>
                                  <w:sz w:val="12"/>
                                </w:rPr>
                                <w:t> </w:t>
                              </w:r>
                              <w:r>
                                <w:rPr>
                                  <w:rFonts w:ascii="Arial"/>
                                  <w:color w:val="231F20"/>
                                  <w:w w:val="75"/>
                                  <w:sz w:val="12"/>
                                </w:rPr>
                                <w:t>data</w:t>
                              </w:r>
                              <w:r>
                                <w:rPr>
                                  <w:rFonts w:ascii="Arial"/>
                                  <w:color w:val="231F20"/>
                                  <w:spacing w:val="5"/>
                                  <w:sz w:val="12"/>
                                </w:rPr>
                                <w:t> </w:t>
                              </w:r>
                              <w:r>
                                <w:rPr>
                                  <w:rFonts w:ascii="Arial"/>
                                  <w:color w:val="231F20"/>
                                  <w:w w:val="75"/>
                                  <w:sz w:val="12"/>
                                </w:rPr>
                                <w:t>refer</w:t>
                              </w:r>
                              <w:r>
                                <w:rPr>
                                  <w:rFonts w:ascii="Arial"/>
                                  <w:color w:val="231F20"/>
                                  <w:spacing w:val="6"/>
                                  <w:sz w:val="12"/>
                                </w:rPr>
                                <w:t> </w:t>
                              </w:r>
                              <w:r>
                                <w:rPr>
                                  <w:rFonts w:ascii="Arial"/>
                                  <w:color w:val="231F20"/>
                                  <w:w w:val="75"/>
                                  <w:sz w:val="12"/>
                                </w:rPr>
                                <w:t>to</w:t>
                              </w:r>
                              <w:r>
                                <w:rPr>
                                  <w:rFonts w:ascii="Arial"/>
                                  <w:color w:val="231F20"/>
                                  <w:spacing w:val="5"/>
                                  <w:sz w:val="12"/>
                                </w:rPr>
                                <w:t> </w:t>
                              </w:r>
                              <w:r>
                                <w:rPr>
                                  <w:rFonts w:ascii="Arial"/>
                                  <w:color w:val="231F20"/>
                                  <w:w w:val="75"/>
                                  <w:sz w:val="12"/>
                                </w:rPr>
                                <w:t>the</w:t>
                              </w:r>
                              <w:r>
                                <w:rPr>
                                  <w:rFonts w:ascii="Arial"/>
                                  <w:color w:val="231F20"/>
                                  <w:spacing w:val="6"/>
                                  <w:sz w:val="12"/>
                                </w:rPr>
                                <w:t> </w:t>
                              </w:r>
                              <w:r>
                                <w:rPr>
                                  <w:rFonts w:ascii="Arial"/>
                                  <w:color w:val="231F20"/>
                                  <w:w w:val="75"/>
                                  <w:sz w:val="12"/>
                                </w:rPr>
                                <w:t>second</w:t>
                              </w:r>
                              <w:r>
                                <w:rPr>
                                  <w:rFonts w:ascii="Arial"/>
                                  <w:color w:val="231F20"/>
                                  <w:spacing w:val="5"/>
                                  <w:sz w:val="12"/>
                                </w:rPr>
                                <w:t> </w:t>
                              </w:r>
                              <w:r>
                                <w:rPr>
                                  <w:rFonts w:ascii="Arial"/>
                                  <w:color w:val="231F20"/>
                                  <w:w w:val="75"/>
                                  <w:sz w:val="12"/>
                                </w:rPr>
                                <w:t>quarter</w:t>
                              </w:r>
                              <w:r>
                                <w:rPr>
                                  <w:rFonts w:ascii="Arial"/>
                                  <w:color w:val="231F20"/>
                                  <w:spacing w:val="6"/>
                                  <w:sz w:val="12"/>
                                </w:rPr>
                                <w:t> </w:t>
                              </w:r>
                              <w:r>
                                <w:rPr>
                                  <w:rFonts w:ascii="Arial"/>
                                  <w:color w:val="231F20"/>
                                  <w:w w:val="75"/>
                                  <w:sz w:val="12"/>
                                </w:rPr>
                                <w:t>of</w:t>
                              </w:r>
                              <w:r>
                                <w:rPr>
                                  <w:rFonts w:ascii="Arial"/>
                                  <w:color w:val="231F20"/>
                                  <w:spacing w:val="5"/>
                                  <w:sz w:val="12"/>
                                </w:rPr>
                                <w:t> </w:t>
                              </w:r>
                              <w:r>
                                <w:rPr>
                                  <w:rFonts w:ascii="Arial"/>
                                  <w:color w:val="231F20"/>
                                  <w:spacing w:val="-2"/>
                                  <w:w w:val="75"/>
                                  <w:sz w:val="12"/>
                                </w:rPr>
                                <w:t>2022.</w:t>
                              </w:r>
                            </w:p>
                          </w:txbxContent>
                        </wps:txbx>
                        <wps:bodyPr wrap="square" lIns="0" tIns="0" rIns="0" bIns="0" rtlCol="0">
                          <a:noAutofit/>
                        </wps:bodyPr>
                      </wps:wsp>
                    </wpg:wgp>
                  </a:graphicData>
                </a:graphic>
              </wp:inline>
            </w:drawing>
          </mc:Choice>
          <mc:Fallback>
            <w:pict>
              <v:group style="width:384.05pt;height:246.4pt;mso-position-horizontal-relative:char;mso-position-vertical-relative:line" id="docshapegroup1148" coordorigin="0,0" coordsize="7681,4928">
                <v:shape style="position:absolute;left:0;top:606;width:7680;height:4321" id="docshape1149" coordorigin="0,606" coordsize="7680,4321" path="m7680,606l0,606,0,4809,10,4855,36,4893,74,4918,119,4927,7556,4927,7602,4919,7642,4895,7670,4858,7680,4809,7680,606xe" filled="true" fillcolor="#dfeaf7" stroked="false">
                  <v:path arrowok="t"/>
                  <v:fill type="solid"/>
                </v:shape>
                <v:shape style="position:absolute;left:0;top:0;width:807;height:565" id="docshape1150" coordorigin="0,0" coordsize="807,565" path="m807,0l120,0,74,5,36,23,10,59,0,120,0,565,807,565,807,0xe" filled="true" fillcolor="#008fdd" stroked="false">
                  <v:path arrowok="t"/>
                  <v:fill type="solid"/>
                </v:shape>
                <v:shape style="position:absolute;left:806;top:0;width:6873;height:565" id="docshape1151" coordorigin="807,0" coordsize="6873,565" path="m7559,0l807,0,807,565,7679,565,7679,120,7671,80,7646,41,7608,12,7559,0xe" filled="true" fillcolor="#808285" stroked="false">
                  <v:path arrowok="t"/>
                  <v:fill type="solid"/>
                </v:shape>
                <v:line style="position:absolute" from="807,0" to="807,579" stroked="true" strokeweight="2pt" strokecolor="#ffffff">
                  <v:stroke dashstyle="solid"/>
                </v:line>
                <v:shape style="position:absolute;left:432;top:3915;width:7021;height:2" id="docshape1152" coordorigin="432,3915" coordsize="7021,0" path="m432,3915l7453,3915m432,3915l7453,3915e" filled="false" stroked="true" strokeweight=".5pt" strokecolor="#ffffff">
                  <v:path arrowok="t"/>
                  <v:stroke dashstyle="solid"/>
                </v:shape>
                <v:shape style="position:absolute;left:432;top:2030;width:7021;height:943" id="docshape1153" coordorigin="432,2030" coordsize="7021,943" path="m432,2973l3770,2973m4121,2973l5175,2973m5526,2973l6579,2973m6930,2973l7453,2973m432,2030l6579,2030m6930,2030l7453,2030e" filled="false" stroked="true" strokeweight=".5pt" strokecolor="#ffffff">
                  <v:path arrowok="t"/>
                  <v:stroke dashstyle="solid"/>
                </v:shape>
                <v:line style="position:absolute" from="432,1088" to="7453,1088" stroked="true" strokeweight=".5pt" strokecolor="#ffffff">
                  <v:stroke dashstyle="solid"/>
                </v:line>
                <v:line style="position:absolute" from="431,3915" to="7385,3915" stroked="true" strokeweight=".5pt" strokecolor="#ffffff">
                  <v:stroke dashstyle="solid"/>
                </v:line>
                <v:rect style="position:absolute;left:960;top:3192;width:352;height:723" id="docshape1154" filled="true" fillcolor="#008fdd" stroked="false">
                  <v:fill type="solid"/>
                </v:rect>
                <v:rect style="position:absolute;left:960;top:3192;width:352;height:723" id="docshape1155" filled="false" stroked="true" strokeweight=".25pt" strokecolor="#ffffff">
                  <v:stroke dashstyle="solid"/>
                </v:rect>
                <v:rect style="position:absolute;left:2365;top:3026;width:352;height:889" id="docshape1156" filled="true" fillcolor="#008fdd" stroked="false">
                  <v:fill type="solid"/>
                </v:rect>
                <v:rect style="position:absolute;left:2365;top:3026;width:352;height:889" id="docshape1157" filled="false" stroked="true" strokeweight=".25pt" strokecolor="#ffffff">
                  <v:stroke dashstyle="solid"/>
                </v:rect>
                <v:rect style="position:absolute;left:3770;top:2672;width:352;height:1243" id="docshape1158" filled="true" fillcolor="#008fdd" stroked="false">
                  <v:fill type="solid"/>
                </v:rect>
                <v:rect style="position:absolute;left:3770;top:2672;width:352;height:1243" id="docshape1159" filled="false" stroked="true" strokeweight=".25pt" strokecolor="#ffffff">
                  <v:stroke dashstyle="solid"/>
                </v:rect>
                <v:rect style="position:absolute;left:5174;top:2454;width:352;height:1461" id="docshape1160" filled="true" fillcolor="#008fdd" stroked="false">
                  <v:fill type="solid"/>
                </v:rect>
                <v:rect style="position:absolute;left:5174;top:2454;width:352;height:1461" id="docshape1161" filled="false" stroked="true" strokeweight=".25pt" strokecolor="#ffffff">
                  <v:stroke dashstyle="solid"/>
                </v:rect>
                <v:rect style="position:absolute;left:6579;top:1094;width:352;height:2822" id="docshape1162" filled="true" fillcolor="#008fdd" stroked="false">
                  <v:fill type="solid"/>
                </v:rect>
                <v:rect style="position:absolute;left:6579;top:1094;width:352;height:2822" id="docshape1163" filled="false" stroked="true" strokeweight=".25pt" strokecolor="#ffffff">
                  <v:stroke dashstyle="solid"/>
                </v:rect>
                <v:shape style="position:absolute;left:120;top:105;width:6641;height:1068" type="#_x0000_t202" id="docshape1164" filled="false" stroked="false">
                  <v:textbox inset="0,0,0,0">
                    <w:txbxContent>
                      <w:p>
                        <w:pPr>
                          <w:spacing w:line="261" w:lineRule="auto" w:before="3"/>
                          <w:ind w:left="800" w:right="0" w:hanging="800"/>
                          <w:jc w:val="left"/>
                          <w:rPr>
                            <w:rFonts w:ascii="Arial"/>
                            <w:b/>
                            <w:sz w:val="16"/>
                          </w:rPr>
                        </w:pPr>
                        <w:r>
                          <w:rPr>
                            <w:rFonts w:ascii="Arial"/>
                            <w:color w:val="FFFFFF"/>
                            <w:w w:val="105"/>
                            <w:sz w:val="16"/>
                          </w:rPr>
                          <w:t>Figure</w:t>
                        </w:r>
                        <w:r>
                          <w:rPr>
                            <w:rFonts w:ascii="Arial"/>
                            <w:color w:val="FFFFFF"/>
                            <w:spacing w:val="-11"/>
                            <w:w w:val="105"/>
                            <w:sz w:val="16"/>
                          </w:rPr>
                          <w:t> </w:t>
                        </w:r>
                        <w:r>
                          <w:rPr>
                            <w:rFonts w:ascii="Arial"/>
                            <w:b/>
                            <w:color w:val="FFFFFF"/>
                            <w:w w:val="105"/>
                            <w:sz w:val="16"/>
                          </w:rPr>
                          <w:t>3.7</w:t>
                        </w:r>
                        <w:r>
                          <w:rPr>
                            <w:rFonts w:ascii="Arial"/>
                            <w:b/>
                            <w:color w:val="FFFFFF"/>
                            <w:spacing w:val="80"/>
                            <w:w w:val="105"/>
                            <w:sz w:val="16"/>
                          </w:rPr>
                          <w:t> </w:t>
                        </w:r>
                        <w:r>
                          <w:rPr>
                            <w:rFonts w:ascii="Arial"/>
                            <w:b/>
                            <w:color w:val="FFFFFF"/>
                            <w:w w:val="105"/>
                            <w:sz w:val="16"/>
                          </w:rPr>
                          <w:t>The</w:t>
                        </w:r>
                        <w:r>
                          <w:rPr>
                            <w:rFonts w:ascii="Arial"/>
                            <w:b/>
                            <w:color w:val="FFFFFF"/>
                            <w:spacing w:val="-11"/>
                            <w:w w:val="105"/>
                            <w:sz w:val="16"/>
                          </w:rPr>
                          <w:t> </w:t>
                        </w:r>
                        <w:r>
                          <w:rPr>
                            <w:rFonts w:ascii="Arial"/>
                            <w:b/>
                            <w:color w:val="FFFFFF"/>
                            <w:w w:val="105"/>
                            <w:sz w:val="16"/>
                          </w:rPr>
                          <w:t>association</w:t>
                        </w:r>
                        <w:r>
                          <w:rPr>
                            <w:rFonts w:ascii="Arial"/>
                            <w:b/>
                            <w:color w:val="FFFFFF"/>
                            <w:spacing w:val="-11"/>
                            <w:w w:val="105"/>
                            <w:sz w:val="16"/>
                          </w:rPr>
                          <w:t> </w:t>
                        </w:r>
                        <w:r>
                          <w:rPr>
                            <w:rFonts w:ascii="Arial"/>
                            <w:b/>
                            <w:color w:val="FFFFFF"/>
                            <w:w w:val="105"/>
                            <w:sz w:val="16"/>
                          </w:rPr>
                          <w:t>between</w:t>
                        </w:r>
                        <w:r>
                          <w:rPr>
                            <w:rFonts w:ascii="Arial"/>
                            <w:b/>
                            <w:color w:val="FFFFFF"/>
                            <w:spacing w:val="-11"/>
                            <w:w w:val="105"/>
                            <w:sz w:val="16"/>
                          </w:rPr>
                          <w:t> </w:t>
                        </w:r>
                        <w:r>
                          <w:rPr>
                            <w:rFonts w:ascii="Arial"/>
                            <w:b/>
                            <w:color w:val="FFFFFF"/>
                            <w:w w:val="105"/>
                            <w:sz w:val="16"/>
                          </w:rPr>
                          <w:t>average</w:t>
                        </w:r>
                        <w:r>
                          <w:rPr>
                            <w:rFonts w:ascii="Arial"/>
                            <w:b/>
                            <w:color w:val="FFFFFF"/>
                            <w:spacing w:val="-11"/>
                            <w:w w:val="105"/>
                            <w:sz w:val="16"/>
                          </w:rPr>
                          <w:t> </w:t>
                        </w:r>
                        <w:r>
                          <w:rPr>
                            <w:rFonts w:ascii="Arial"/>
                            <w:b/>
                            <w:color w:val="FFFFFF"/>
                            <w:w w:val="105"/>
                            <w:sz w:val="16"/>
                          </w:rPr>
                          <w:t>connectivity</w:t>
                        </w:r>
                        <w:r>
                          <w:rPr>
                            <w:rFonts w:ascii="Arial"/>
                            <w:b/>
                            <w:color w:val="FFFFFF"/>
                            <w:spacing w:val="-11"/>
                            <w:w w:val="105"/>
                            <w:sz w:val="16"/>
                          </w:rPr>
                          <w:t> </w:t>
                        </w:r>
                        <w:r>
                          <w:rPr>
                            <w:rFonts w:ascii="Arial"/>
                            <w:b/>
                            <w:color w:val="FFFFFF"/>
                            <w:w w:val="105"/>
                            <w:sz w:val="16"/>
                          </w:rPr>
                          <w:t>in</w:t>
                        </w:r>
                        <w:r>
                          <w:rPr>
                            <w:rFonts w:ascii="Arial"/>
                            <w:b/>
                            <w:color w:val="FFFFFF"/>
                            <w:spacing w:val="-11"/>
                            <w:w w:val="105"/>
                            <w:sz w:val="16"/>
                          </w:rPr>
                          <w:t> </w:t>
                        </w:r>
                        <w:r>
                          <w:rPr>
                            <w:rFonts w:ascii="Arial"/>
                            <w:b/>
                            <w:color w:val="FFFFFF"/>
                            <w:w w:val="105"/>
                            <w:sz w:val="16"/>
                          </w:rPr>
                          <w:t>container</w:t>
                        </w:r>
                        <w:r>
                          <w:rPr>
                            <w:rFonts w:ascii="Arial"/>
                            <w:b/>
                            <w:color w:val="FFFFFF"/>
                            <w:spacing w:val="-11"/>
                            <w:w w:val="105"/>
                            <w:sz w:val="16"/>
                          </w:rPr>
                          <w:t> </w:t>
                        </w:r>
                        <w:r>
                          <w:rPr>
                            <w:rFonts w:ascii="Arial"/>
                            <w:b/>
                            <w:color w:val="FFFFFF"/>
                            <w:w w:val="105"/>
                            <w:sz w:val="16"/>
                          </w:rPr>
                          <w:t>shipping</w:t>
                        </w:r>
                        <w:r>
                          <w:rPr>
                            <w:rFonts w:ascii="Arial"/>
                            <w:b/>
                            <w:color w:val="FFFFFF"/>
                            <w:spacing w:val="-11"/>
                            <w:w w:val="105"/>
                            <w:sz w:val="16"/>
                          </w:rPr>
                          <w:t> </w:t>
                        </w:r>
                        <w:r>
                          <w:rPr>
                            <w:rFonts w:ascii="Arial"/>
                            <w:b/>
                            <w:color w:val="FFFFFF"/>
                            <w:w w:val="105"/>
                            <w:sz w:val="16"/>
                          </w:rPr>
                          <w:t>and 2023 LPI score quintiles</w:t>
                        </w:r>
                      </w:p>
                      <w:p>
                        <w:pPr>
                          <w:spacing w:line="240" w:lineRule="atLeast" w:before="177"/>
                          <w:ind w:left="67" w:right="5185" w:hanging="68"/>
                          <w:jc w:val="left"/>
                          <w:rPr>
                            <w:rFonts w:ascii="Arial"/>
                            <w:sz w:val="14"/>
                          </w:rPr>
                        </w:pPr>
                        <w:r>
                          <w:rPr>
                            <w:rFonts w:ascii="Arial"/>
                            <w:color w:val="231F20"/>
                            <w:spacing w:val="-2"/>
                            <w:w w:val="80"/>
                            <w:sz w:val="14"/>
                          </w:rPr>
                          <w:t>Average</w:t>
                        </w:r>
                        <w:r>
                          <w:rPr>
                            <w:rFonts w:ascii="Arial"/>
                            <w:color w:val="231F20"/>
                            <w:spacing w:val="-8"/>
                            <w:sz w:val="14"/>
                          </w:rPr>
                          <w:t> </w:t>
                        </w:r>
                        <w:r>
                          <w:rPr>
                            <w:rFonts w:ascii="Arial"/>
                            <w:color w:val="231F20"/>
                            <w:spacing w:val="-2"/>
                            <w:w w:val="80"/>
                            <w:sz w:val="14"/>
                          </w:rPr>
                          <w:t>number</w:t>
                        </w:r>
                        <w:r>
                          <w:rPr>
                            <w:rFonts w:ascii="Arial"/>
                            <w:color w:val="231F20"/>
                            <w:spacing w:val="-8"/>
                            <w:sz w:val="14"/>
                          </w:rPr>
                          <w:t> </w:t>
                        </w:r>
                        <w:r>
                          <w:rPr>
                            <w:rFonts w:ascii="Arial"/>
                            <w:color w:val="231F20"/>
                            <w:spacing w:val="-2"/>
                            <w:w w:val="80"/>
                            <w:sz w:val="14"/>
                          </w:rPr>
                          <w:t>of</w:t>
                        </w:r>
                        <w:r>
                          <w:rPr>
                            <w:rFonts w:ascii="Arial"/>
                            <w:color w:val="231F20"/>
                            <w:spacing w:val="-8"/>
                            <w:sz w:val="14"/>
                          </w:rPr>
                          <w:t> </w:t>
                        </w:r>
                        <w:r>
                          <w:rPr>
                            <w:rFonts w:ascii="Arial"/>
                            <w:color w:val="231F20"/>
                            <w:spacing w:val="-2"/>
                            <w:w w:val="80"/>
                            <w:sz w:val="14"/>
                          </w:rPr>
                          <w:t>partners</w:t>
                        </w:r>
                        <w:r>
                          <w:rPr>
                            <w:rFonts w:ascii="Arial"/>
                            <w:color w:val="231F20"/>
                            <w:spacing w:val="40"/>
                            <w:sz w:val="14"/>
                          </w:rPr>
                          <w:t> </w:t>
                        </w:r>
                        <w:r>
                          <w:rPr>
                            <w:rFonts w:ascii="Arial"/>
                            <w:color w:val="231F20"/>
                            <w:spacing w:val="-6"/>
                            <w:w w:val="90"/>
                            <w:sz w:val="14"/>
                          </w:rPr>
                          <w:t>60</w:t>
                        </w:r>
                      </w:p>
                    </w:txbxContent>
                  </v:textbox>
                  <w10:wrap type="none"/>
                </v:shape>
                <v:shape style="position:absolute;left:188;top:1956;width:155;height:159" type="#_x0000_t202" id="docshape1165" filled="false" stroked="false">
                  <v:textbox inset="0,0,0,0">
                    <w:txbxContent>
                      <w:p>
                        <w:pPr>
                          <w:spacing w:line="158" w:lineRule="exact" w:before="0"/>
                          <w:ind w:left="0" w:right="0" w:firstLine="0"/>
                          <w:jc w:val="left"/>
                          <w:rPr>
                            <w:rFonts w:ascii="Arial"/>
                            <w:sz w:val="14"/>
                          </w:rPr>
                        </w:pPr>
                        <w:r>
                          <w:rPr>
                            <w:rFonts w:ascii="Arial"/>
                            <w:color w:val="231F20"/>
                            <w:spacing w:val="-7"/>
                            <w:sz w:val="14"/>
                          </w:rPr>
                          <w:t>40</w:t>
                        </w:r>
                      </w:p>
                    </w:txbxContent>
                  </v:textbox>
                  <w10:wrap type="none"/>
                </v:shape>
                <v:shape style="position:absolute;left:188;top:2899;width:155;height:159" type="#_x0000_t202" id="docshape1166" filled="false" stroked="false">
                  <v:textbox inset="0,0,0,0">
                    <w:txbxContent>
                      <w:p>
                        <w:pPr>
                          <w:spacing w:line="158" w:lineRule="exact" w:before="0"/>
                          <w:ind w:left="0" w:right="0" w:firstLine="0"/>
                          <w:jc w:val="left"/>
                          <w:rPr>
                            <w:rFonts w:ascii="Arial"/>
                            <w:sz w:val="14"/>
                          </w:rPr>
                        </w:pPr>
                        <w:r>
                          <w:rPr>
                            <w:rFonts w:ascii="Arial"/>
                            <w:color w:val="231F20"/>
                            <w:spacing w:val="-7"/>
                            <w:sz w:val="14"/>
                          </w:rPr>
                          <w:t>20</w:t>
                        </w:r>
                      </w:p>
                    </w:txbxContent>
                  </v:textbox>
                  <w10:wrap type="none"/>
                </v:shape>
                <v:shape style="position:absolute;left:255;top:3841;width:88;height:159" type="#_x0000_t202" id="docshape1167" filled="false" stroked="false">
                  <v:textbox inset="0,0,0,0">
                    <w:txbxContent>
                      <w:p>
                        <w:pPr>
                          <w:spacing w:line="158" w:lineRule="exact" w:before="0"/>
                          <w:ind w:left="0" w:right="0" w:firstLine="0"/>
                          <w:jc w:val="left"/>
                          <w:rPr>
                            <w:rFonts w:ascii="Arial"/>
                            <w:sz w:val="14"/>
                          </w:rPr>
                        </w:pPr>
                        <w:r>
                          <w:rPr>
                            <w:rFonts w:ascii="Arial"/>
                            <w:color w:val="231F20"/>
                            <w:spacing w:val="-10"/>
                            <w:sz w:val="14"/>
                          </w:rPr>
                          <w:t>0</w:t>
                        </w:r>
                      </w:p>
                    </w:txbxContent>
                  </v:textbox>
                  <w10:wrap type="none"/>
                </v:shape>
                <v:shape style="position:absolute;left:614;top:3942;width:1060;height:319" type="#_x0000_t202" id="docshape1168" filled="false" stroked="false">
                  <v:textbox inset="0,0,0,0">
                    <w:txbxContent>
                      <w:p>
                        <w:pPr>
                          <w:spacing w:before="0"/>
                          <w:ind w:left="0" w:right="0" w:firstLine="147"/>
                          <w:jc w:val="left"/>
                          <w:rPr>
                            <w:rFonts w:ascii="Arial"/>
                            <w:sz w:val="14"/>
                          </w:rPr>
                        </w:pPr>
                        <w:r>
                          <w:rPr>
                            <w:rFonts w:ascii="Arial"/>
                            <w:color w:val="231F20"/>
                            <w:w w:val="95"/>
                            <w:sz w:val="14"/>
                          </w:rPr>
                          <w:t>Bottom</w:t>
                        </w:r>
                        <w:r>
                          <w:rPr>
                            <w:rFonts w:ascii="Arial"/>
                            <w:color w:val="231F20"/>
                            <w:spacing w:val="-8"/>
                            <w:w w:val="95"/>
                            <w:sz w:val="14"/>
                          </w:rPr>
                          <w:t> </w:t>
                        </w:r>
                        <w:r>
                          <w:rPr>
                            <w:rFonts w:ascii="Arial"/>
                            <w:color w:val="231F20"/>
                            <w:w w:val="95"/>
                            <w:sz w:val="14"/>
                          </w:rPr>
                          <w:t>quintile</w:t>
                        </w:r>
                        <w:r>
                          <w:rPr>
                            <w:rFonts w:ascii="Arial"/>
                            <w:color w:val="231F20"/>
                            <w:spacing w:val="40"/>
                            <w:sz w:val="14"/>
                          </w:rPr>
                          <w:t> </w:t>
                        </w:r>
                        <w:r>
                          <w:rPr>
                            <w:rFonts w:ascii="Arial"/>
                            <w:color w:val="231F20"/>
                            <w:spacing w:val="-2"/>
                            <w:w w:val="80"/>
                            <w:sz w:val="14"/>
                          </w:rPr>
                          <w:t>(lowest</w:t>
                        </w:r>
                        <w:r>
                          <w:rPr>
                            <w:rFonts w:ascii="Arial"/>
                            <w:color w:val="231F20"/>
                            <w:spacing w:val="-8"/>
                            <w:sz w:val="14"/>
                          </w:rPr>
                          <w:t> </w:t>
                        </w:r>
                        <w:r>
                          <w:rPr>
                            <w:rFonts w:ascii="Arial"/>
                            <w:color w:val="231F20"/>
                            <w:spacing w:val="-2"/>
                            <w:w w:val="80"/>
                            <w:sz w:val="14"/>
                          </w:rPr>
                          <w:t>performance)</w:t>
                        </w:r>
                      </w:p>
                    </w:txbxContent>
                  </v:textbox>
                  <w10:wrap type="none"/>
                </v:shape>
                <v:shape style="position:absolute;left:2092;top:3942;width:912;height:319" type="#_x0000_t202" id="docshape1169" filled="false" stroked="false">
                  <v:textbox inset="0,0,0,0">
                    <w:txbxContent>
                      <w:p>
                        <w:pPr>
                          <w:spacing w:before="0"/>
                          <w:ind w:left="0" w:right="0" w:firstLine="92"/>
                          <w:jc w:val="left"/>
                          <w:rPr>
                            <w:rFonts w:ascii="Arial"/>
                            <w:sz w:val="14"/>
                          </w:rPr>
                        </w:pPr>
                        <w:r>
                          <w:rPr>
                            <w:rFonts w:ascii="Arial"/>
                            <w:color w:val="231F20"/>
                            <w:spacing w:val="-2"/>
                            <w:w w:val="90"/>
                            <w:sz w:val="14"/>
                          </w:rPr>
                          <w:t>Fourth</w:t>
                        </w:r>
                        <w:r>
                          <w:rPr>
                            <w:rFonts w:ascii="Arial"/>
                            <w:color w:val="231F20"/>
                            <w:spacing w:val="-6"/>
                            <w:w w:val="90"/>
                            <w:sz w:val="14"/>
                          </w:rPr>
                          <w:t> </w:t>
                        </w:r>
                        <w:r>
                          <w:rPr>
                            <w:rFonts w:ascii="Arial"/>
                            <w:color w:val="231F20"/>
                            <w:spacing w:val="-2"/>
                            <w:w w:val="90"/>
                            <w:sz w:val="14"/>
                          </w:rPr>
                          <w:t>quintile</w:t>
                        </w:r>
                        <w:r>
                          <w:rPr>
                            <w:rFonts w:ascii="Arial"/>
                            <w:color w:val="231F20"/>
                            <w:spacing w:val="40"/>
                            <w:sz w:val="14"/>
                          </w:rPr>
                          <w:t> </w:t>
                        </w:r>
                        <w:r>
                          <w:rPr>
                            <w:rFonts w:ascii="Arial"/>
                            <w:color w:val="231F20"/>
                            <w:spacing w:val="-2"/>
                            <w:w w:val="80"/>
                            <w:sz w:val="14"/>
                          </w:rPr>
                          <w:t>(low</w:t>
                        </w:r>
                        <w:r>
                          <w:rPr>
                            <w:rFonts w:ascii="Arial"/>
                            <w:color w:val="231F20"/>
                            <w:spacing w:val="-8"/>
                            <w:sz w:val="14"/>
                          </w:rPr>
                          <w:t> </w:t>
                        </w:r>
                        <w:r>
                          <w:rPr>
                            <w:rFonts w:ascii="Arial"/>
                            <w:color w:val="231F20"/>
                            <w:spacing w:val="-2"/>
                            <w:w w:val="80"/>
                            <w:sz w:val="14"/>
                          </w:rPr>
                          <w:t>performance)</w:t>
                        </w:r>
                      </w:p>
                    </w:txbxContent>
                  </v:textbox>
                  <w10:wrap type="none"/>
                </v:shape>
                <v:shape style="position:absolute;left:3385;top:3942;width:3928;height:319" type="#_x0000_t202" id="docshape1170" filled="false" stroked="false">
                  <v:textbox inset="0,0,0,0">
                    <w:txbxContent>
                      <w:p>
                        <w:pPr>
                          <w:tabs>
                            <w:tab w:pos="1493" w:val="left" w:leader="none"/>
                            <w:tab w:pos="1582" w:val="left" w:leader="none"/>
                            <w:tab w:pos="2823" w:val="left" w:leader="none"/>
                            <w:tab w:pos="3083" w:val="left" w:leader="none"/>
                          </w:tabs>
                          <w:spacing w:before="0"/>
                          <w:ind w:left="0" w:right="18" w:firstLine="236"/>
                          <w:jc w:val="left"/>
                          <w:rPr>
                            <w:rFonts w:ascii="Arial"/>
                            <w:sz w:val="14"/>
                          </w:rPr>
                        </w:pPr>
                        <w:r>
                          <w:rPr>
                            <w:rFonts w:ascii="Arial"/>
                            <w:color w:val="231F20"/>
                            <w:sz w:val="14"/>
                          </w:rPr>
                          <w:t>Third</w:t>
                        </w:r>
                        <w:r>
                          <w:rPr>
                            <w:rFonts w:ascii="Arial"/>
                            <w:color w:val="231F20"/>
                            <w:spacing w:val="-10"/>
                            <w:sz w:val="14"/>
                          </w:rPr>
                          <w:t> </w:t>
                        </w:r>
                        <w:r>
                          <w:rPr>
                            <w:rFonts w:ascii="Arial"/>
                            <w:color w:val="231F20"/>
                            <w:sz w:val="14"/>
                          </w:rPr>
                          <w:t>quintile</w:t>
                          <w:tab/>
                          <w:tab/>
                          <w:t>Second</w:t>
                        </w:r>
                        <w:r>
                          <w:rPr>
                            <w:rFonts w:ascii="Arial"/>
                            <w:color w:val="231F20"/>
                            <w:spacing w:val="-10"/>
                            <w:sz w:val="14"/>
                          </w:rPr>
                          <w:t> </w:t>
                        </w:r>
                        <w:r>
                          <w:rPr>
                            <w:rFonts w:ascii="Arial"/>
                            <w:color w:val="231F20"/>
                            <w:sz w:val="14"/>
                          </w:rPr>
                          <w:t>quintile</w:t>
                          <w:tab/>
                          <w:tab/>
                          <w:t>Top</w:t>
                        </w:r>
                        <w:r>
                          <w:rPr>
                            <w:rFonts w:ascii="Arial"/>
                            <w:color w:val="231F20"/>
                            <w:spacing w:val="-10"/>
                            <w:sz w:val="14"/>
                          </w:rPr>
                          <w:t> </w:t>
                        </w:r>
                        <w:r>
                          <w:rPr>
                            <w:rFonts w:ascii="Arial"/>
                            <w:color w:val="231F20"/>
                            <w:sz w:val="14"/>
                          </w:rPr>
                          <w:t>quintile</w:t>
                        </w:r>
                        <w:r>
                          <w:rPr>
                            <w:rFonts w:ascii="Arial"/>
                            <w:color w:val="231F20"/>
                            <w:spacing w:val="40"/>
                            <w:sz w:val="14"/>
                          </w:rPr>
                          <w:t> </w:t>
                        </w:r>
                        <w:r>
                          <w:rPr>
                            <w:rFonts w:ascii="Arial"/>
                            <w:color w:val="231F20"/>
                            <w:sz w:val="14"/>
                          </w:rPr>
                          <w:t>(average</w:t>
                        </w:r>
                        <w:r>
                          <w:rPr>
                            <w:rFonts w:ascii="Arial"/>
                            <w:color w:val="231F20"/>
                            <w:spacing w:val="-10"/>
                            <w:sz w:val="14"/>
                          </w:rPr>
                          <w:t> </w:t>
                        </w:r>
                        <w:r>
                          <w:rPr>
                            <w:rFonts w:ascii="Arial"/>
                            <w:color w:val="231F20"/>
                            <w:sz w:val="14"/>
                          </w:rPr>
                          <w:t>performance)</w:t>
                          <w:tab/>
                          <w:t>(high</w:t>
                        </w:r>
                        <w:r>
                          <w:rPr>
                            <w:rFonts w:ascii="Arial"/>
                            <w:color w:val="231F20"/>
                            <w:spacing w:val="-10"/>
                            <w:sz w:val="14"/>
                          </w:rPr>
                          <w:t> </w:t>
                        </w:r>
                        <w:r>
                          <w:rPr>
                            <w:rFonts w:ascii="Arial"/>
                            <w:color w:val="231F20"/>
                            <w:sz w:val="14"/>
                          </w:rPr>
                          <w:t>performance)</w:t>
                          <w:tab/>
                        </w:r>
                        <w:r>
                          <w:rPr>
                            <w:rFonts w:ascii="Arial"/>
                            <w:color w:val="231F20"/>
                            <w:spacing w:val="-2"/>
                            <w:w w:val="80"/>
                            <w:sz w:val="14"/>
                          </w:rPr>
                          <w:t>(highest</w:t>
                        </w:r>
                        <w:r>
                          <w:rPr>
                            <w:rFonts w:ascii="Arial"/>
                            <w:color w:val="231F20"/>
                            <w:spacing w:val="-10"/>
                            <w:sz w:val="14"/>
                          </w:rPr>
                          <w:t> </w:t>
                        </w:r>
                        <w:r>
                          <w:rPr>
                            <w:rFonts w:ascii="Arial"/>
                            <w:color w:val="231F20"/>
                            <w:spacing w:val="-2"/>
                            <w:w w:val="80"/>
                            <w:sz w:val="14"/>
                          </w:rPr>
                          <w:t>performance)</w:t>
                        </w:r>
                      </w:p>
                    </w:txbxContent>
                  </v:textbox>
                  <w10:wrap type="none"/>
                </v:shape>
                <v:shape style="position:absolute;left:120;top:4477;width:3014;height:284" type="#_x0000_t202" id="docshape1171" filled="false" stroked="false">
                  <v:textbox inset="0,0,0,0">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World</w:t>
                        </w:r>
                        <w:r>
                          <w:rPr>
                            <w:rFonts w:ascii="Arial"/>
                            <w:color w:val="231F20"/>
                            <w:spacing w:val="5"/>
                            <w:sz w:val="12"/>
                          </w:rPr>
                          <w:t> </w:t>
                        </w:r>
                        <w:r>
                          <w:rPr>
                            <w:rFonts w:ascii="Arial"/>
                            <w:color w:val="231F20"/>
                            <w:w w:val="75"/>
                            <w:sz w:val="12"/>
                          </w:rPr>
                          <w:t>Bank</w:t>
                        </w:r>
                        <w:r>
                          <w:rPr>
                            <w:rFonts w:ascii="Arial"/>
                            <w:color w:val="231F20"/>
                            <w:spacing w:val="5"/>
                            <w:sz w:val="12"/>
                          </w:rPr>
                          <w:t> </w:t>
                        </w:r>
                        <w:r>
                          <w:rPr>
                            <w:rFonts w:ascii="Arial"/>
                            <w:color w:val="231F20"/>
                            <w:w w:val="75"/>
                            <w:sz w:val="12"/>
                          </w:rPr>
                          <w:t>calculations</w:t>
                        </w:r>
                        <w:r>
                          <w:rPr>
                            <w:rFonts w:ascii="Arial"/>
                            <w:color w:val="231F20"/>
                            <w:spacing w:val="5"/>
                            <w:sz w:val="12"/>
                          </w:rPr>
                          <w:t> </w:t>
                        </w:r>
                        <w:r>
                          <w:rPr>
                            <w:rFonts w:ascii="Arial"/>
                            <w:color w:val="231F20"/>
                            <w:w w:val="75"/>
                            <w:sz w:val="12"/>
                          </w:rPr>
                          <w:t>based</w:t>
                        </w:r>
                        <w:r>
                          <w:rPr>
                            <w:rFonts w:ascii="Arial"/>
                            <w:color w:val="231F20"/>
                            <w:spacing w:val="5"/>
                            <w:sz w:val="12"/>
                          </w:rPr>
                          <w:t> </w:t>
                        </w:r>
                        <w:r>
                          <w:rPr>
                            <w:rFonts w:ascii="Arial"/>
                            <w:color w:val="231F20"/>
                            <w:w w:val="75"/>
                            <w:sz w:val="12"/>
                          </w:rPr>
                          <w:t>on</w:t>
                        </w:r>
                        <w:r>
                          <w:rPr>
                            <w:rFonts w:ascii="Arial"/>
                            <w:color w:val="231F20"/>
                            <w:spacing w:val="5"/>
                            <w:sz w:val="12"/>
                          </w:rPr>
                          <w:t> </w:t>
                        </w:r>
                        <w:r>
                          <w:rPr>
                            <w:rFonts w:ascii="Arial"/>
                            <w:color w:val="231F20"/>
                            <w:w w:val="75"/>
                            <w:sz w:val="12"/>
                          </w:rPr>
                          <w:t>data</w:t>
                        </w:r>
                        <w:r>
                          <w:rPr>
                            <w:rFonts w:ascii="Arial"/>
                            <w:color w:val="231F20"/>
                            <w:spacing w:val="5"/>
                            <w:sz w:val="12"/>
                          </w:rPr>
                          <w:t> </w:t>
                        </w:r>
                        <w:r>
                          <w:rPr>
                            <w:rFonts w:ascii="Arial"/>
                            <w:color w:val="231F20"/>
                            <w:w w:val="75"/>
                            <w:sz w:val="12"/>
                          </w:rPr>
                          <w:t>from</w:t>
                        </w:r>
                        <w:r>
                          <w:rPr>
                            <w:rFonts w:ascii="Arial"/>
                            <w:color w:val="231F20"/>
                            <w:spacing w:val="5"/>
                            <w:sz w:val="12"/>
                          </w:rPr>
                          <w:t> </w:t>
                        </w:r>
                        <w:r>
                          <w:rPr>
                            <w:rFonts w:ascii="Arial"/>
                            <w:color w:val="231F20"/>
                            <w:w w:val="75"/>
                            <w:sz w:val="12"/>
                          </w:rPr>
                          <w:t>MDS</w:t>
                        </w:r>
                        <w:r>
                          <w:rPr>
                            <w:rFonts w:ascii="Arial"/>
                            <w:color w:val="231F20"/>
                            <w:spacing w:val="-1"/>
                            <w:sz w:val="12"/>
                          </w:rPr>
                          <w:t> </w:t>
                        </w:r>
                        <w:r>
                          <w:rPr>
                            <w:rFonts w:ascii="Arial"/>
                            <w:color w:val="231F20"/>
                            <w:spacing w:val="-2"/>
                            <w:w w:val="75"/>
                            <w:sz w:val="12"/>
                          </w:rPr>
                          <w:t>Transmodal.</w:t>
                        </w:r>
                      </w:p>
                      <w:p>
                        <w:pPr>
                          <w:spacing w:before="2"/>
                          <w:ind w:left="0" w:right="0" w:firstLine="0"/>
                          <w:jc w:val="left"/>
                          <w:rPr>
                            <w:rFonts w:ascii="Arial"/>
                            <w:sz w:val="12"/>
                          </w:rPr>
                        </w:pPr>
                        <w:r>
                          <w:rPr>
                            <w:rFonts w:ascii="Arial"/>
                            <w:i/>
                            <w:color w:val="231F20"/>
                            <w:w w:val="75"/>
                            <w:sz w:val="12"/>
                          </w:rPr>
                          <w:t>Note:</w:t>
                        </w:r>
                        <w:r>
                          <w:rPr>
                            <w:rFonts w:ascii="Arial"/>
                            <w:i/>
                            <w:color w:val="231F20"/>
                            <w:sz w:val="12"/>
                          </w:rPr>
                          <w:t> </w:t>
                        </w:r>
                        <w:r>
                          <w:rPr>
                            <w:rFonts w:ascii="Arial"/>
                            <w:color w:val="231F20"/>
                            <w:w w:val="75"/>
                            <w:sz w:val="12"/>
                          </w:rPr>
                          <w:t>Connectivity</w:t>
                        </w:r>
                        <w:r>
                          <w:rPr>
                            <w:rFonts w:ascii="Arial"/>
                            <w:color w:val="231F20"/>
                            <w:spacing w:val="5"/>
                            <w:sz w:val="12"/>
                          </w:rPr>
                          <w:t> </w:t>
                        </w:r>
                        <w:r>
                          <w:rPr>
                            <w:rFonts w:ascii="Arial"/>
                            <w:color w:val="231F20"/>
                            <w:w w:val="75"/>
                            <w:sz w:val="12"/>
                          </w:rPr>
                          <w:t>data</w:t>
                        </w:r>
                        <w:r>
                          <w:rPr>
                            <w:rFonts w:ascii="Arial"/>
                            <w:color w:val="231F20"/>
                            <w:spacing w:val="5"/>
                            <w:sz w:val="12"/>
                          </w:rPr>
                          <w:t> </w:t>
                        </w:r>
                        <w:r>
                          <w:rPr>
                            <w:rFonts w:ascii="Arial"/>
                            <w:color w:val="231F20"/>
                            <w:w w:val="75"/>
                            <w:sz w:val="12"/>
                          </w:rPr>
                          <w:t>refer</w:t>
                        </w:r>
                        <w:r>
                          <w:rPr>
                            <w:rFonts w:ascii="Arial"/>
                            <w:color w:val="231F20"/>
                            <w:spacing w:val="6"/>
                            <w:sz w:val="12"/>
                          </w:rPr>
                          <w:t> </w:t>
                        </w:r>
                        <w:r>
                          <w:rPr>
                            <w:rFonts w:ascii="Arial"/>
                            <w:color w:val="231F20"/>
                            <w:w w:val="75"/>
                            <w:sz w:val="12"/>
                          </w:rPr>
                          <w:t>to</w:t>
                        </w:r>
                        <w:r>
                          <w:rPr>
                            <w:rFonts w:ascii="Arial"/>
                            <w:color w:val="231F20"/>
                            <w:spacing w:val="5"/>
                            <w:sz w:val="12"/>
                          </w:rPr>
                          <w:t> </w:t>
                        </w:r>
                        <w:r>
                          <w:rPr>
                            <w:rFonts w:ascii="Arial"/>
                            <w:color w:val="231F20"/>
                            <w:w w:val="75"/>
                            <w:sz w:val="12"/>
                          </w:rPr>
                          <w:t>the</w:t>
                        </w:r>
                        <w:r>
                          <w:rPr>
                            <w:rFonts w:ascii="Arial"/>
                            <w:color w:val="231F20"/>
                            <w:spacing w:val="6"/>
                            <w:sz w:val="12"/>
                          </w:rPr>
                          <w:t> </w:t>
                        </w:r>
                        <w:r>
                          <w:rPr>
                            <w:rFonts w:ascii="Arial"/>
                            <w:color w:val="231F20"/>
                            <w:w w:val="75"/>
                            <w:sz w:val="12"/>
                          </w:rPr>
                          <w:t>second</w:t>
                        </w:r>
                        <w:r>
                          <w:rPr>
                            <w:rFonts w:ascii="Arial"/>
                            <w:color w:val="231F20"/>
                            <w:spacing w:val="5"/>
                            <w:sz w:val="12"/>
                          </w:rPr>
                          <w:t> </w:t>
                        </w:r>
                        <w:r>
                          <w:rPr>
                            <w:rFonts w:ascii="Arial"/>
                            <w:color w:val="231F20"/>
                            <w:w w:val="75"/>
                            <w:sz w:val="12"/>
                          </w:rPr>
                          <w:t>quarter</w:t>
                        </w:r>
                        <w:r>
                          <w:rPr>
                            <w:rFonts w:ascii="Arial"/>
                            <w:color w:val="231F20"/>
                            <w:spacing w:val="6"/>
                            <w:sz w:val="12"/>
                          </w:rPr>
                          <w:t> </w:t>
                        </w:r>
                        <w:r>
                          <w:rPr>
                            <w:rFonts w:ascii="Arial"/>
                            <w:color w:val="231F20"/>
                            <w:w w:val="75"/>
                            <w:sz w:val="12"/>
                          </w:rPr>
                          <w:t>of</w:t>
                        </w:r>
                        <w:r>
                          <w:rPr>
                            <w:rFonts w:ascii="Arial"/>
                            <w:color w:val="231F20"/>
                            <w:spacing w:val="5"/>
                            <w:sz w:val="12"/>
                          </w:rPr>
                          <w:t> </w:t>
                        </w:r>
                        <w:r>
                          <w:rPr>
                            <w:rFonts w:ascii="Arial"/>
                            <w:color w:val="231F20"/>
                            <w:spacing w:val="-2"/>
                            <w:w w:val="75"/>
                            <w:sz w:val="12"/>
                          </w:rPr>
                          <w:t>2022.</w:t>
                        </w:r>
                      </w:p>
                    </w:txbxContent>
                  </v:textbox>
                  <w10:wrap type="none"/>
                </v:shape>
              </v:group>
            </w:pict>
          </mc:Fallback>
        </mc:AlternateContent>
      </w:r>
      <w:r>
        <w:rPr>
          <w:sz w:val="20"/>
        </w:rPr>
      </w:r>
    </w:p>
    <w:p>
      <w:pPr>
        <w:spacing w:after="0"/>
        <w:rPr>
          <w:sz w:val="20"/>
        </w:rPr>
        <w:sectPr>
          <w:type w:val="continuous"/>
          <w:pgSz w:w="12240" w:h="15840"/>
          <w:pgMar w:header="0" w:footer="548" w:top="1140" w:bottom="280" w:left="0" w:right="540"/>
        </w:sectPr>
      </w:pPr>
    </w:p>
    <w:p>
      <w:pPr>
        <w:pStyle w:val="BodyText"/>
        <w:rPr>
          <w:sz w:val="20"/>
        </w:rPr>
      </w:pPr>
    </w:p>
    <w:p>
      <w:pPr>
        <w:pStyle w:val="BodyText"/>
        <w:rPr>
          <w:sz w:val="20"/>
        </w:rPr>
      </w:pPr>
    </w:p>
    <w:p>
      <w:pPr>
        <w:pStyle w:val="BodyText"/>
        <w:spacing w:before="140"/>
        <w:rPr>
          <w:sz w:val="20"/>
        </w:rPr>
      </w:pPr>
    </w:p>
    <w:p>
      <w:pPr>
        <w:pStyle w:val="BodyText"/>
        <w:ind w:left="3360"/>
        <w:rPr>
          <w:sz w:val="20"/>
        </w:rPr>
      </w:pPr>
      <w:r>
        <w:rPr>
          <w:sz w:val="20"/>
        </w:rPr>
        <mc:AlternateContent>
          <mc:Choice Requires="wps">
            <w:drawing>
              <wp:inline distT="0" distB="0" distL="0" distR="0">
                <wp:extent cx="4877435" cy="3129280"/>
                <wp:effectExtent l="0" t="9525" r="0" b="4444"/>
                <wp:docPr id="1385" name="Group 1385"/>
                <wp:cNvGraphicFramePr>
                  <a:graphicFrameLocks/>
                </wp:cNvGraphicFramePr>
                <a:graphic>
                  <a:graphicData uri="http://schemas.microsoft.com/office/word/2010/wordprocessingGroup">
                    <wpg:wgp>
                      <wpg:cNvPr id="1385" name="Group 1385"/>
                      <wpg:cNvGrpSpPr/>
                      <wpg:grpSpPr>
                        <a:xfrm>
                          <a:off x="0" y="0"/>
                          <a:ext cx="4877435" cy="3129280"/>
                          <a:chExt cx="4877435" cy="3129280"/>
                        </a:xfrm>
                      </wpg:grpSpPr>
                      <wps:wsp>
                        <wps:cNvPr id="1386" name="Graphic 1386"/>
                        <wps:cNvSpPr/>
                        <wps:spPr>
                          <a:xfrm>
                            <a:off x="198" y="385093"/>
                            <a:ext cx="4876800" cy="2743835"/>
                          </a:xfrm>
                          <a:custGeom>
                            <a:avLst/>
                            <a:gdLst/>
                            <a:ahLst/>
                            <a:cxnLst/>
                            <a:rect l="l" t="t" r="r" b="b"/>
                            <a:pathLst>
                              <a:path w="4876800" h="2743835">
                                <a:moveTo>
                                  <a:pt x="4876800" y="0"/>
                                </a:moveTo>
                                <a:lnTo>
                                  <a:pt x="0" y="0"/>
                                </a:lnTo>
                                <a:lnTo>
                                  <a:pt x="0" y="2668905"/>
                                </a:lnTo>
                                <a:lnTo>
                                  <a:pt x="6159" y="2698003"/>
                                </a:lnTo>
                                <a:lnTo>
                                  <a:pt x="22693" y="2721763"/>
                                </a:lnTo>
                                <a:lnTo>
                                  <a:pt x="46682" y="2737783"/>
                                </a:lnTo>
                                <a:lnTo>
                                  <a:pt x="75209" y="2743657"/>
                                </a:lnTo>
                                <a:lnTo>
                                  <a:pt x="4797920" y="2743657"/>
                                </a:lnTo>
                                <a:lnTo>
                                  <a:pt x="4827020" y="2738402"/>
                                </a:lnTo>
                                <a:lnTo>
                                  <a:pt x="4852271" y="2723416"/>
                                </a:lnTo>
                                <a:lnTo>
                                  <a:pt x="4870066" y="2699862"/>
                                </a:lnTo>
                                <a:lnTo>
                                  <a:pt x="4876800" y="2668905"/>
                                </a:lnTo>
                                <a:lnTo>
                                  <a:pt x="4876800" y="0"/>
                                </a:lnTo>
                                <a:close/>
                              </a:path>
                            </a:pathLst>
                          </a:custGeom>
                          <a:solidFill>
                            <a:srgbClr val="DFEAF7"/>
                          </a:solidFill>
                        </wps:spPr>
                        <wps:bodyPr wrap="square" lIns="0" tIns="0" rIns="0" bIns="0" rtlCol="0">
                          <a:prstTxWarp prst="textNoShape">
                            <a:avLst/>
                          </a:prstTxWarp>
                          <a:noAutofit/>
                        </wps:bodyPr>
                      </wps:wsp>
                      <wps:wsp>
                        <wps:cNvPr id="1387" name="Graphic 1387"/>
                        <wps:cNvSpPr/>
                        <wps:spPr>
                          <a:xfrm>
                            <a:off x="0" y="0"/>
                            <a:ext cx="512445" cy="358775"/>
                          </a:xfrm>
                          <a:custGeom>
                            <a:avLst/>
                            <a:gdLst/>
                            <a:ahLst/>
                            <a:cxnLst/>
                            <a:rect l="l" t="t" r="r" b="b"/>
                            <a:pathLst>
                              <a:path w="512445" h="358775">
                                <a:moveTo>
                                  <a:pt x="512178" y="0"/>
                                </a:moveTo>
                                <a:lnTo>
                                  <a:pt x="76200" y="0"/>
                                </a:lnTo>
                                <a:lnTo>
                                  <a:pt x="47213" y="3058"/>
                                </a:lnTo>
                                <a:lnTo>
                                  <a:pt x="22917" y="14506"/>
                                </a:lnTo>
                                <a:lnTo>
                                  <a:pt x="6212" y="37751"/>
                                </a:lnTo>
                                <a:lnTo>
                                  <a:pt x="0" y="76200"/>
                                </a:lnTo>
                                <a:lnTo>
                                  <a:pt x="0" y="358775"/>
                                </a:lnTo>
                                <a:lnTo>
                                  <a:pt x="512178" y="358775"/>
                                </a:lnTo>
                                <a:lnTo>
                                  <a:pt x="512178" y="0"/>
                                </a:lnTo>
                                <a:close/>
                              </a:path>
                            </a:pathLst>
                          </a:custGeom>
                          <a:solidFill>
                            <a:srgbClr val="008FDD"/>
                          </a:solidFill>
                        </wps:spPr>
                        <wps:bodyPr wrap="square" lIns="0" tIns="0" rIns="0" bIns="0" rtlCol="0">
                          <a:prstTxWarp prst="textNoShape">
                            <a:avLst/>
                          </a:prstTxWarp>
                          <a:noAutofit/>
                        </wps:bodyPr>
                      </wps:wsp>
                      <wps:wsp>
                        <wps:cNvPr id="1388" name="Graphic 1388"/>
                        <wps:cNvSpPr/>
                        <wps:spPr>
                          <a:xfrm>
                            <a:off x="512178" y="0"/>
                            <a:ext cx="4364355" cy="358775"/>
                          </a:xfrm>
                          <a:custGeom>
                            <a:avLst/>
                            <a:gdLst/>
                            <a:ahLst/>
                            <a:cxnLst/>
                            <a:rect l="l" t="t" r="r" b="b"/>
                            <a:pathLst>
                              <a:path w="4364355" h="358775">
                                <a:moveTo>
                                  <a:pt x="4287926" y="0"/>
                                </a:moveTo>
                                <a:lnTo>
                                  <a:pt x="0" y="0"/>
                                </a:lnTo>
                                <a:lnTo>
                                  <a:pt x="0" y="358775"/>
                                </a:lnTo>
                                <a:lnTo>
                                  <a:pt x="4364126" y="358775"/>
                                </a:lnTo>
                                <a:lnTo>
                                  <a:pt x="4364126" y="76200"/>
                                </a:lnTo>
                                <a:lnTo>
                                  <a:pt x="4358620" y="50979"/>
                                </a:lnTo>
                                <a:lnTo>
                                  <a:pt x="4343095" y="26265"/>
                                </a:lnTo>
                                <a:lnTo>
                                  <a:pt x="4319035" y="7468"/>
                                </a:lnTo>
                                <a:lnTo>
                                  <a:pt x="4287926" y="0"/>
                                </a:lnTo>
                                <a:close/>
                              </a:path>
                            </a:pathLst>
                          </a:custGeom>
                          <a:solidFill>
                            <a:srgbClr val="808285"/>
                          </a:solidFill>
                        </wps:spPr>
                        <wps:bodyPr wrap="square" lIns="0" tIns="0" rIns="0" bIns="0" rtlCol="0">
                          <a:prstTxWarp prst="textNoShape">
                            <a:avLst/>
                          </a:prstTxWarp>
                          <a:noAutofit/>
                        </wps:bodyPr>
                      </wps:wsp>
                      <wps:wsp>
                        <wps:cNvPr id="1389" name="Graphic 1389"/>
                        <wps:cNvSpPr/>
                        <wps:spPr>
                          <a:xfrm>
                            <a:off x="512179" y="0"/>
                            <a:ext cx="1270" cy="367665"/>
                          </a:xfrm>
                          <a:custGeom>
                            <a:avLst/>
                            <a:gdLst/>
                            <a:ahLst/>
                            <a:cxnLst/>
                            <a:rect l="l" t="t" r="r" b="b"/>
                            <a:pathLst>
                              <a:path w="0" h="367665">
                                <a:moveTo>
                                  <a:pt x="0" y="0"/>
                                </a:moveTo>
                                <a:lnTo>
                                  <a:pt x="0" y="367487"/>
                                </a:lnTo>
                              </a:path>
                            </a:pathLst>
                          </a:custGeom>
                          <a:ln w="25400">
                            <a:solidFill>
                              <a:srgbClr val="FFFFFF"/>
                            </a:solidFill>
                            <a:prstDash val="solid"/>
                          </a:ln>
                        </wps:spPr>
                        <wps:bodyPr wrap="square" lIns="0" tIns="0" rIns="0" bIns="0" rtlCol="0">
                          <a:prstTxWarp prst="textNoShape">
                            <a:avLst/>
                          </a:prstTxWarp>
                          <a:noAutofit/>
                        </wps:bodyPr>
                      </wps:wsp>
                      <wps:wsp>
                        <wps:cNvPr id="1390" name="Graphic 1390"/>
                        <wps:cNvSpPr/>
                        <wps:spPr>
                          <a:xfrm>
                            <a:off x="274403" y="2486124"/>
                            <a:ext cx="4458335" cy="1270"/>
                          </a:xfrm>
                          <a:custGeom>
                            <a:avLst/>
                            <a:gdLst/>
                            <a:ahLst/>
                            <a:cxnLst/>
                            <a:rect l="l" t="t" r="r" b="b"/>
                            <a:pathLst>
                              <a:path w="4458335" h="0">
                                <a:moveTo>
                                  <a:pt x="0" y="0"/>
                                </a:moveTo>
                                <a:lnTo>
                                  <a:pt x="4458093" y="0"/>
                                </a:lnTo>
                              </a:path>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391" name="Graphic 1391"/>
                        <wps:cNvSpPr/>
                        <wps:spPr>
                          <a:xfrm>
                            <a:off x="274403" y="1289265"/>
                            <a:ext cx="4458335" cy="598805"/>
                          </a:xfrm>
                          <a:custGeom>
                            <a:avLst/>
                            <a:gdLst/>
                            <a:ahLst/>
                            <a:cxnLst/>
                            <a:rect l="l" t="t" r="r" b="b"/>
                            <a:pathLst>
                              <a:path w="4458335" h="598805">
                                <a:moveTo>
                                  <a:pt x="0" y="598429"/>
                                </a:moveTo>
                                <a:lnTo>
                                  <a:pt x="224655" y="598429"/>
                                </a:lnTo>
                              </a:path>
                              <a:path w="4458335" h="598805">
                                <a:moveTo>
                                  <a:pt x="670653" y="598429"/>
                                </a:moveTo>
                                <a:lnTo>
                                  <a:pt x="1116652" y="598429"/>
                                </a:lnTo>
                              </a:path>
                              <a:path w="4458335" h="598805">
                                <a:moveTo>
                                  <a:pt x="1562651" y="598429"/>
                                </a:moveTo>
                                <a:lnTo>
                                  <a:pt x="2008662" y="598429"/>
                                </a:lnTo>
                              </a:path>
                              <a:path w="4458335" h="598805">
                                <a:moveTo>
                                  <a:pt x="2454661" y="598429"/>
                                </a:moveTo>
                                <a:lnTo>
                                  <a:pt x="2900672" y="598429"/>
                                </a:lnTo>
                              </a:path>
                              <a:path w="4458335" h="598805">
                                <a:moveTo>
                                  <a:pt x="3346670" y="598429"/>
                                </a:moveTo>
                                <a:lnTo>
                                  <a:pt x="3792669" y="598429"/>
                                </a:lnTo>
                              </a:path>
                              <a:path w="4458335" h="598805">
                                <a:moveTo>
                                  <a:pt x="4238680" y="598429"/>
                                </a:moveTo>
                                <a:lnTo>
                                  <a:pt x="4458093" y="598429"/>
                                </a:lnTo>
                              </a:path>
                              <a:path w="4458335" h="598805">
                                <a:moveTo>
                                  <a:pt x="0" y="0"/>
                                </a:moveTo>
                                <a:lnTo>
                                  <a:pt x="3123671" y="0"/>
                                </a:lnTo>
                              </a:path>
                              <a:path w="4458335" h="598805">
                                <a:moveTo>
                                  <a:pt x="3346670" y="0"/>
                                </a:moveTo>
                                <a:lnTo>
                                  <a:pt x="3792669" y="0"/>
                                </a:lnTo>
                              </a:path>
                              <a:path w="4458335" h="598805">
                                <a:moveTo>
                                  <a:pt x="423868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392" name="Graphic 1392"/>
                        <wps:cNvSpPr/>
                        <wps:spPr>
                          <a:xfrm>
                            <a:off x="274403" y="690835"/>
                            <a:ext cx="4458335" cy="1270"/>
                          </a:xfrm>
                          <a:custGeom>
                            <a:avLst/>
                            <a:gdLst/>
                            <a:ahLst/>
                            <a:cxnLst/>
                            <a:rect l="l" t="t" r="r" b="b"/>
                            <a:pathLst>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393" name="Graphic 1393"/>
                        <wps:cNvSpPr/>
                        <wps:spPr>
                          <a:xfrm>
                            <a:off x="499059" y="1800428"/>
                            <a:ext cx="223520" cy="685800"/>
                          </a:xfrm>
                          <a:custGeom>
                            <a:avLst/>
                            <a:gdLst/>
                            <a:ahLst/>
                            <a:cxnLst/>
                            <a:rect l="l" t="t" r="r" b="b"/>
                            <a:pathLst>
                              <a:path w="223520" h="685800">
                                <a:moveTo>
                                  <a:pt x="222999" y="0"/>
                                </a:moveTo>
                                <a:lnTo>
                                  <a:pt x="0" y="0"/>
                                </a:lnTo>
                                <a:lnTo>
                                  <a:pt x="0" y="685698"/>
                                </a:lnTo>
                                <a:lnTo>
                                  <a:pt x="222999" y="685698"/>
                                </a:lnTo>
                                <a:lnTo>
                                  <a:pt x="222999" y="0"/>
                                </a:lnTo>
                                <a:close/>
                              </a:path>
                            </a:pathLst>
                          </a:custGeom>
                          <a:solidFill>
                            <a:srgbClr val="008FDD"/>
                          </a:solidFill>
                        </wps:spPr>
                        <wps:bodyPr wrap="square" lIns="0" tIns="0" rIns="0" bIns="0" rtlCol="0">
                          <a:prstTxWarp prst="textNoShape">
                            <a:avLst/>
                          </a:prstTxWarp>
                          <a:noAutofit/>
                        </wps:bodyPr>
                      </wps:wsp>
                      <wps:wsp>
                        <wps:cNvPr id="1394" name="Graphic 1394"/>
                        <wps:cNvSpPr/>
                        <wps:spPr>
                          <a:xfrm>
                            <a:off x="499055" y="1800428"/>
                            <a:ext cx="223520" cy="685800"/>
                          </a:xfrm>
                          <a:custGeom>
                            <a:avLst/>
                            <a:gdLst/>
                            <a:ahLst/>
                            <a:cxnLst/>
                            <a:rect l="l" t="t" r="r" b="b"/>
                            <a:pathLst>
                              <a:path w="223520" h="685800">
                                <a:moveTo>
                                  <a:pt x="0" y="685698"/>
                                </a:moveTo>
                                <a:lnTo>
                                  <a:pt x="222999" y="685698"/>
                                </a:lnTo>
                                <a:lnTo>
                                  <a:pt x="222999" y="0"/>
                                </a:lnTo>
                                <a:lnTo>
                                  <a:pt x="0" y="0"/>
                                </a:lnTo>
                                <a:lnTo>
                                  <a:pt x="0" y="685698"/>
                                </a:lnTo>
                                <a:close/>
                              </a:path>
                            </a:pathLst>
                          </a:custGeom>
                          <a:ln w="3175">
                            <a:solidFill>
                              <a:srgbClr val="FFFFFF"/>
                            </a:solidFill>
                            <a:prstDash val="solid"/>
                          </a:ln>
                        </wps:spPr>
                        <wps:bodyPr wrap="square" lIns="0" tIns="0" rIns="0" bIns="0" rtlCol="0">
                          <a:prstTxWarp prst="textNoShape">
                            <a:avLst/>
                          </a:prstTxWarp>
                          <a:noAutofit/>
                        </wps:bodyPr>
                      </wps:wsp>
                      <wps:wsp>
                        <wps:cNvPr id="1395" name="Graphic 1395"/>
                        <wps:cNvSpPr/>
                        <wps:spPr>
                          <a:xfrm>
                            <a:off x="1391056" y="1817204"/>
                            <a:ext cx="223520" cy="669290"/>
                          </a:xfrm>
                          <a:custGeom>
                            <a:avLst/>
                            <a:gdLst/>
                            <a:ahLst/>
                            <a:cxnLst/>
                            <a:rect l="l" t="t" r="r" b="b"/>
                            <a:pathLst>
                              <a:path w="223520" h="669290">
                                <a:moveTo>
                                  <a:pt x="222999" y="0"/>
                                </a:moveTo>
                                <a:lnTo>
                                  <a:pt x="0" y="0"/>
                                </a:lnTo>
                                <a:lnTo>
                                  <a:pt x="0" y="668921"/>
                                </a:lnTo>
                                <a:lnTo>
                                  <a:pt x="222999" y="668921"/>
                                </a:lnTo>
                                <a:lnTo>
                                  <a:pt x="222999" y="0"/>
                                </a:lnTo>
                                <a:close/>
                              </a:path>
                            </a:pathLst>
                          </a:custGeom>
                          <a:solidFill>
                            <a:srgbClr val="008FDD"/>
                          </a:solidFill>
                        </wps:spPr>
                        <wps:bodyPr wrap="square" lIns="0" tIns="0" rIns="0" bIns="0" rtlCol="0">
                          <a:prstTxWarp prst="textNoShape">
                            <a:avLst/>
                          </a:prstTxWarp>
                          <a:noAutofit/>
                        </wps:bodyPr>
                      </wps:wsp>
                      <wps:wsp>
                        <wps:cNvPr id="1396" name="Graphic 1396"/>
                        <wps:cNvSpPr/>
                        <wps:spPr>
                          <a:xfrm>
                            <a:off x="1391052" y="1817204"/>
                            <a:ext cx="223520" cy="669290"/>
                          </a:xfrm>
                          <a:custGeom>
                            <a:avLst/>
                            <a:gdLst/>
                            <a:ahLst/>
                            <a:cxnLst/>
                            <a:rect l="l" t="t" r="r" b="b"/>
                            <a:pathLst>
                              <a:path w="223520" h="669290">
                                <a:moveTo>
                                  <a:pt x="0" y="668921"/>
                                </a:moveTo>
                                <a:lnTo>
                                  <a:pt x="222999" y="668921"/>
                                </a:lnTo>
                                <a:lnTo>
                                  <a:pt x="222999" y="0"/>
                                </a:lnTo>
                                <a:lnTo>
                                  <a:pt x="0" y="0"/>
                                </a:lnTo>
                                <a:lnTo>
                                  <a:pt x="0" y="668921"/>
                                </a:lnTo>
                                <a:close/>
                              </a:path>
                            </a:pathLst>
                          </a:custGeom>
                          <a:ln w="3174">
                            <a:solidFill>
                              <a:srgbClr val="FFFFFF"/>
                            </a:solidFill>
                            <a:prstDash val="solid"/>
                          </a:ln>
                        </wps:spPr>
                        <wps:bodyPr wrap="square" lIns="0" tIns="0" rIns="0" bIns="0" rtlCol="0">
                          <a:prstTxWarp prst="textNoShape">
                            <a:avLst/>
                          </a:prstTxWarp>
                          <a:noAutofit/>
                        </wps:bodyPr>
                      </wps:wsp>
                      <wps:wsp>
                        <wps:cNvPr id="1397" name="Graphic 1397"/>
                        <wps:cNvSpPr/>
                        <wps:spPr>
                          <a:xfrm>
                            <a:off x="2283066" y="1499514"/>
                            <a:ext cx="223520" cy="986790"/>
                          </a:xfrm>
                          <a:custGeom>
                            <a:avLst/>
                            <a:gdLst/>
                            <a:ahLst/>
                            <a:cxnLst/>
                            <a:rect l="l" t="t" r="r" b="b"/>
                            <a:pathLst>
                              <a:path w="223520" h="986790">
                                <a:moveTo>
                                  <a:pt x="222999" y="0"/>
                                </a:moveTo>
                                <a:lnTo>
                                  <a:pt x="0" y="0"/>
                                </a:lnTo>
                                <a:lnTo>
                                  <a:pt x="0" y="986612"/>
                                </a:lnTo>
                                <a:lnTo>
                                  <a:pt x="222999" y="986612"/>
                                </a:lnTo>
                                <a:lnTo>
                                  <a:pt x="222999" y="0"/>
                                </a:lnTo>
                                <a:close/>
                              </a:path>
                            </a:pathLst>
                          </a:custGeom>
                          <a:solidFill>
                            <a:srgbClr val="008FDD"/>
                          </a:solidFill>
                        </wps:spPr>
                        <wps:bodyPr wrap="square" lIns="0" tIns="0" rIns="0" bIns="0" rtlCol="0">
                          <a:prstTxWarp prst="textNoShape">
                            <a:avLst/>
                          </a:prstTxWarp>
                          <a:noAutofit/>
                        </wps:bodyPr>
                      </wps:wsp>
                      <wps:wsp>
                        <wps:cNvPr id="1398" name="Graphic 1398"/>
                        <wps:cNvSpPr/>
                        <wps:spPr>
                          <a:xfrm>
                            <a:off x="2283062" y="1499514"/>
                            <a:ext cx="223520" cy="986790"/>
                          </a:xfrm>
                          <a:custGeom>
                            <a:avLst/>
                            <a:gdLst/>
                            <a:ahLst/>
                            <a:cxnLst/>
                            <a:rect l="l" t="t" r="r" b="b"/>
                            <a:pathLst>
                              <a:path w="223520" h="986790">
                                <a:moveTo>
                                  <a:pt x="0" y="986612"/>
                                </a:moveTo>
                                <a:lnTo>
                                  <a:pt x="222999" y="986612"/>
                                </a:lnTo>
                                <a:lnTo>
                                  <a:pt x="222999" y="0"/>
                                </a:lnTo>
                                <a:lnTo>
                                  <a:pt x="0" y="0"/>
                                </a:lnTo>
                                <a:lnTo>
                                  <a:pt x="0" y="986612"/>
                                </a:lnTo>
                                <a:close/>
                              </a:path>
                            </a:pathLst>
                          </a:custGeom>
                          <a:ln w="3175">
                            <a:solidFill>
                              <a:srgbClr val="FFFFFF"/>
                            </a:solidFill>
                            <a:prstDash val="solid"/>
                          </a:ln>
                        </wps:spPr>
                        <wps:bodyPr wrap="square" lIns="0" tIns="0" rIns="0" bIns="0" rtlCol="0">
                          <a:prstTxWarp prst="textNoShape">
                            <a:avLst/>
                          </a:prstTxWarp>
                          <a:noAutofit/>
                        </wps:bodyPr>
                      </wps:wsp>
                      <wps:wsp>
                        <wps:cNvPr id="1399" name="Graphic 1399"/>
                        <wps:cNvSpPr/>
                        <wps:spPr>
                          <a:xfrm>
                            <a:off x="3175076" y="1389557"/>
                            <a:ext cx="223520" cy="1096645"/>
                          </a:xfrm>
                          <a:custGeom>
                            <a:avLst/>
                            <a:gdLst/>
                            <a:ahLst/>
                            <a:cxnLst/>
                            <a:rect l="l" t="t" r="r" b="b"/>
                            <a:pathLst>
                              <a:path w="223520" h="1096645">
                                <a:moveTo>
                                  <a:pt x="222999" y="0"/>
                                </a:moveTo>
                                <a:lnTo>
                                  <a:pt x="0" y="0"/>
                                </a:lnTo>
                                <a:lnTo>
                                  <a:pt x="0" y="1096568"/>
                                </a:lnTo>
                                <a:lnTo>
                                  <a:pt x="222999" y="1096568"/>
                                </a:lnTo>
                                <a:lnTo>
                                  <a:pt x="222999" y="0"/>
                                </a:lnTo>
                                <a:close/>
                              </a:path>
                            </a:pathLst>
                          </a:custGeom>
                          <a:solidFill>
                            <a:srgbClr val="008FDD"/>
                          </a:solidFill>
                        </wps:spPr>
                        <wps:bodyPr wrap="square" lIns="0" tIns="0" rIns="0" bIns="0" rtlCol="0">
                          <a:prstTxWarp prst="textNoShape">
                            <a:avLst/>
                          </a:prstTxWarp>
                          <a:noAutofit/>
                        </wps:bodyPr>
                      </wps:wsp>
                      <wps:wsp>
                        <wps:cNvPr id="1400" name="Graphic 1400"/>
                        <wps:cNvSpPr/>
                        <wps:spPr>
                          <a:xfrm>
                            <a:off x="3175072" y="1389557"/>
                            <a:ext cx="223520" cy="1096645"/>
                          </a:xfrm>
                          <a:custGeom>
                            <a:avLst/>
                            <a:gdLst/>
                            <a:ahLst/>
                            <a:cxnLst/>
                            <a:rect l="l" t="t" r="r" b="b"/>
                            <a:pathLst>
                              <a:path w="223520" h="1096645">
                                <a:moveTo>
                                  <a:pt x="0" y="1096568"/>
                                </a:moveTo>
                                <a:lnTo>
                                  <a:pt x="222999" y="1096568"/>
                                </a:lnTo>
                                <a:lnTo>
                                  <a:pt x="222999" y="0"/>
                                </a:lnTo>
                                <a:lnTo>
                                  <a:pt x="0" y="0"/>
                                </a:lnTo>
                                <a:lnTo>
                                  <a:pt x="0" y="1096568"/>
                                </a:lnTo>
                                <a:close/>
                              </a:path>
                            </a:pathLst>
                          </a:custGeom>
                          <a:ln w="3175">
                            <a:solidFill>
                              <a:srgbClr val="FFFFFF"/>
                            </a:solidFill>
                            <a:prstDash val="solid"/>
                          </a:ln>
                        </wps:spPr>
                        <wps:bodyPr wrap="square" lIns="0" tIns="0" rIns="0" bIns="0" rtlCol="0">
                          <a:prstTxWarp prst="textNoShape">
                            <a:avLst/>
                          </a:prstTxWarp>
                          <a:noAutofit/>
                        </wps:bodyPr>
                      </wps:wsp>
                      <wps:wsp>
                        <wps:cNvPr id="1401" name="Graphic 1401"/>
                        <wps:cNvSpPr/>
                        <wps:spPr>
                          <a:xfrm>
                            <a:off x="4067073" y="1030236"/>
                            <a:ext cx="223520" cy="1456055"/>
                          </a:xfrm>
                          <a:custGeom>
                            <a:avLst/>
                            <a:gdLst/>
                            <a:ahLst/>
                            <a:cxnLst/>
                            <a:rect l="l" t="t" r="r" b="b"/>
                            <a:pathLst>
                              <a:path w="223520" h="1456055">
                                <a:moveTo>
                                  <a:pt x="222999" y="0"/>
                                </a:moveTo>
                                <a:lnTo>
                                  <a:pt x="0" y="0"/>
                                </a:lnTo>
                                <a:lnTo>
                                  <a:pt x="0" y="1455889"/>
                                </a:lnTo>
                                <a:lnTo>
                                  <a:pt x="222999" y="1455889"/>
                                </a:lnTo>
                                <a:lnTo>
                                  <a:pt x="222999" y="0"/>
                                </a:lnTo>
                                <a:close/>
                              </a:path>
                            </a:pathLst>
                          </a:custGeom>
                          <a:solidFill>
                            <a:srgbClr val="008FDD"/>
                          </a:solidFill>
                        </wps:spPr>
                        <wps:bodyPr wrap="square" lIns="0" tIns="0" rIns="0" bIns="0" rtlCol="0">
                          <a:prstTxWarp prst="textNoShape">
                            <a:avLst/>
                          </a:prstTxWarp>
                          <a:noAutofit/>
                        </wps:bodyPr>
                      </wps:wsp>
                      <wps:wsp>
                        <wps:cNvPr id="1402" name="Graphic 1402"/>
                        <wps:cNvSpPr/>
                        <wps:spPr>
                          <a:xfrm>
                            <a:off x="4067069" y="1030236"/>
                            <a:ext cx="223520" cy="1456055"/>
                          </a:xfrm>
                          <a:custGeom>
                            <a:avLst/>
                            <a:gdLst/>
                            <a:ahLst/>
                            <a:cxnLst/>
                            <a:rect l="l" t="t" r="r" b="b"/>
                            <a:pathLst>
                              <a:path w="223520" h="1456055">
                                <a:moveTo>
                                  <a:pt x="0" y="1455889"/>
                                </a:moveTo>
                                <a:lnTo>
                                  <a:pt x="222999" y="1455889"/>
                                </a:lnTo>
                                <a:lnTo>
                                  <a:pt x="222999" y="0"/>
                                </a:lnTo>
                                <a:lnTo>
                                  <a:pt x="0" y="0"/>
                                </a:lnTo>
                                <a:lnTo>
                                  <a:pt x="0" y="1455889"/>
                                </a:lnTo>
                                <a:close/>
                              </a:path>
                            </a:pathLst>
                          </a:custGeom>
                          <a:ln w="3175">
                            <a:solidFill>
                              <a:srgbClr val="FFFFFF"/>
                            </a:solidFill>
                            <a:prstDash val="solid"/>
                          </a:ln>
                        </wps:spPr>
                        <wps:bodyPr wrap="square" lIns="0" tIns="0" rIns="0" bIns="0" rtlCol="0">
                          <a:prstTxWarp prst="textNoShape">
                            <a:avLst/>
                          </a:prstTxWarp>
                          <a:noAutofit/>
                        </wps:bodyPr>
                      </wps:wsp>
                      <wps:wsp>
                        <wps:cNvPr id="1403" name="Graphic 1403"/>
                        <wps:cNvSpPr/>
                        <wps:spPr>
                          <a:xfrm>
                            <a:off x="722058" y="1778533"/>
                            <a:ext cx="223520" cy="708025"/>
                          </a:xfrm>
                          <a:custGeom>
                            <a:avLst/>
                            <a:gdLst/>
                            <a:ahLst/>
                            <a:cxnLst/>
                            <a:rect l="l" t="t" r="r" b="b"/>
                            <a:pathLst>
                              <a:path w="223520" h="708025">
                                <a:moveTo>
                                  <a:pt x="222999" y="0"/>
                                </a:moveTo>
                                <a:lnTo>
                                  <a:pt x="0" y="0"/>
                                </a:lnTo>
                                <a:lnTo>
                                  <a:pt x="0" y="707593"/>
                                </a:lnTo>
                                <a:lnTo>
                                  <a:pt x="222999" y="707593"/>
                                </a:lnTo>
                                <a:lnTo>
                                  <a:pt x="222999" y="0"/>
                                </a:lnTo>
                                <a:close/>
                              </a:path>
                            </a:pathLst>
                          </a:custGeom>
                          <a:solidFill>
                            <a:srgbClr val="76AEE5"/>
                          </a:solidFill>
                        </wps:spPr>
                        <wps:bodyPr wrap="square" lIns="0" tIns="0" rIns="0" bIns="0" rtlCol="0">
                          <a:prstTxWarp prst="textNoShape">
                            <a:avLst/>
                          </a:prstTxWarp>
                          <a:noAutofit/>
                        </wps:bodyPr>
                      </wps:wsp>
                      <wps:wsp>
                        <wps:cNvPr id="1404" name="Graphic 1404"/>
                        <wps:cNvSpPr/>
                        <wps:spPr>
                          <a:xfrm>
                            <a:off x="722054" y="1778533"/>
                            <a:ext cx="223520" cy="708025"/>
                          </a:xfrm>
                          <a:custGeom>
                            <a:avLst/>
                            <a:gdLst/>
                            <a:ahLst/>
                            <a:cxnLst/>
                            <a:rect l="l" t="t" r="r" b="b"/>
                            <a:pathLst>
                              <a:path w="223520" h="708025">
                                <a:moveTo>
                                  <a:pt x="0" y="707593"/>
                                </a:moveTo>
                                <a:lnTo>
                                  <a:pt x="222999" y="707593"/>
                                </a:lnTo>
                                <a:lnTo>
                                  <a:pt x="222999" y="0"/>
                                </a:lnTo>
                                <a:lnTo>
                                  <a:pt x="0" y="0"/>
                                </a:lnTo>
                                <a:lnTo>
                                  <a:pt x="0" y="707593"/>
                                </a:lnTo>
                                <a:close/>
                              </a:path>
                            </a:pathLst>
                          </a:custGeom>
                          <a:ln w="3175">
                            <a:solidFill>
                              <a:srgbClr val="FFFFFF"/>
                            </a:solidFill>
                            <a:prstDash val="solid"/>
                          </a:ln>
                        </wps:spPr>
                        <wps:bodyPr wrap="square" lIns="0" tIns="0" rIns="0" bIns="0" rtlCol="0">
                          <a:prstTxWarp prst="textNoShape">
                            <a:avLst/>
                          </a:prstTxWarp>
                          <a:noAutofit/>
                        </wps:bodyPr>
                      </wps:wsp>
                      <wps:wsp>
                        <wps:cNvPr id="1405" name="Graphic 1405"/>
                        <wps:cNvSpPr/>
                        <wps:spPr>
                          <a:xfrm>
                            <a:off x="1614055" y="1623072"/>
                            <a:ext cx="223520" cy="863600"/>
                          </a:xfrm>
                          <a:custGeom>
                            <a:avLst/>
                            <a:gdLst/>
                            <a:ahLst/>
                            <a:cxnLst/>
                            <a:rect l="l" t="t" r="r" b="b"/>
                            <a:pathLst>
                              <a:path w="223520" h="863600">
                                <a:moveTo>
                                  <a:pt x="222999" y="0"/>
                                </a:moveTo>
                                <a:lnTo>
                                  <a:pt x="0" y="0"/>
                                </a:lnTo>
                                <a:lnTo>
                                  <a:pt x="0" y="863053"/>
                                </a:lnTo>
                                <a:lnTo>
                                  <a:pt x="222999" y="863053"/>
                                </a:lnTo>
                                <a:lnTo>
                                  <a:pt x="222999" y="0"/>
                                </a:lnTo>
                                <a:close/>
                              </a:path>
                            </a:pathLst>
                          </a:custGeom>
                          <a:solidFill>
                            <a:srgbClr val="76AEE5"/>
                          </a:solidFill>
                        </wps:spPr>
                        <wps:bodyPr wrap="square" lIns="0" tIns="0" rIns="0" bIns="0" rtlCol="0">
                          <a:prstTxWarp prst="textNoShape">
                            <a:avLst/>
                          </a:prstTxWarp>
                          <a:noAutofit/>
                        </wps:bodyPr>
                      </wps:wsp>
                      <wps:wsp>
                        <wps:cNvPr id="1406" name="Graphic 1406"/>
                        <wps:cNvSpPr/>
                        <wps:spPr>
                          <a:xfrm>
                            <a:off x="1614051" y="1623072"/>
                            <a:ext cx="223520" cy="863600"/>
                          </a:xfrm>
                          <a:custGeom>
                            <a:avLst/>
                            <a:gdLst/>
                            <a:ahLst/>
                            <a:cxnLst/>
                            <a:rect l="l" t="t" r="r" b="b"/>
                            <a:pathLst>
                              <a:path w="223520" h="863600">
                                <a:moveTo>
                                  <a:pt x="0" y="863053"/>
                                </a:moveTo>
                                <a:lnTo>
                                  <a:pt x="222999" y="863053"/>
                                </a:lnTo>
                                <a:lnTo>
                                  <a:pt x="222999" y="0"/>
                                </a:lnTo>
                                <a:lnTo>
                                  <a:pt x="0" y="0"/>
                                </a:lnTo>
                                <a:lnTo>
                                  <a:pt x="0" y="863053"/>
                                </a:lnTo>
                                <a:close/>
                              </a:path>
                            </a:pathLst>
                          </a:custGeom>
                          <a:ln w="3174">
                            <a:solidFill>
                              <a:srgbClr val="FFFFFF"/>
                            </a:solidFill>
                            <a:prstDash val="solid"/>
                          </a:ln>
                        </wps:spPr>
                        <wps:bodyPr wrap="square" lIns="0" tIns="0" rIns="0" bIns="0" rtlCol="0">
                          <a:prstTxWarp prst="textNoShape">
                            <a:avLst/>
                          </a:prstTxWarp>
                          <a:noAutofit/>
                        </wps:bodyPr>
                      </wps:wsp>
                      <wps:wsp>
                        <wps:cNvPr id="1407" name="Graphic 1407"/>
                        <wps:cNvSpPr/>
                        <wps:spPr>
                          <a:xfrm>
                            <a:off x="2506065" y="1490687"/>
                            <a:ext cx="223520" cy="995680"/>
                          </a:xfrm>
                          <a:custGeom>
                            <a:avLst/>
                            <a:gdLst/>
                            <a:ahLst/>
                            <a:cxnLst/>
                            <a:rect l="l" t="t" r="r" b="b"/>
                            <a:pathLst>
                              <a:path w="223520" h="995680">
                                <a:moveTo>
                                  <a:pt x="222999" y="0"/>
                                </a:moveTo>
                                <a:lnTo>
                                  <a:pt x="0" y="0"/>
                                </a:lnTo>
                                <a:lnTo>
                                  <a:pt x="0" y="995438"/>
                                </a:lnTo>
                                <a:lnTo>
                                  <a:pt x="222999" y="995438"/>
                                </a:lnTo>
                                <a:lnTo>
                                  <a:pt x="222999" y="0"/>
                                </a:lnTo>
                                <a:close/>
                              </a:path>
                            </a:pathLst>
                          </a:custGeom>
                          <a:solidFill>
                            <a:srgbClr val="76AEE5"/>
                          </a:solidFill>
                        </wps:spPr>
                        <wps:bodyPr wrap="square" lIns="0" tIns="0" rIns="0" bIns="0" rtlCol="0">
                          <a:prstTxWarp prst="textNoShape">
                            <a:avLst/>
                          </a:prstTxWarp>
                          <a:noAutofit/>
                        </wps:bodyPr>
                      </wps:wsp>
                      <wps:wsp>
                        <wps:cNvPr id="1408" name="Graphic 1408"/>
                        <wps:cNvSpPr/>
                        <wps:spPr>
                          <a:xfrm>
                            <a:off x="2506061" y="1490687"/>
                            <a:ext cx="223520" cy="995680"/>
                          </a:xfrm>
                          <a:custGeom>
                            <a:avLst/>
                            <a:gdLst/>
                            <a:ahLst/>
                            <a:cxnLst/>
                            <a:rect l="l" t="t" r="r" b="b"/>
                            <a:pathLst>
                              <a:path w="223520" h="995680">
                                <a:moveTo>
                                  <a:pt x="0" y="995438"/>
                                </a:moveTo>
                                <a:lnTo>
                                  <a:pt x="222999" y="995438"/>
                                </a:lnTo>
                                <a:lnTo>
                                  <a:pt x="222999" y="0"/>
                                </a:lnTo>
                                <a:lnTo>
                                  <a:pt x="0" y="0"/>
                                </a:lnTo>
                                <a:lnTo>
                                  <a:pt x="0" y="995438"/>
                                </a:lnTo>
                                <a:close/>
                              </a:path>
                            </a:pathLst>
                          </a:custGeom>
                          <a:ln w="3175">
                            <a:solidFill>
                              <a:srgbClr val="FFFFFF"/>
                            </a:solidFill>
                            <a:prstDash val="solid"/>
                          </a:ln>
                        </wps:spPr>
                        <wps:bodyPr wrap="square" lIns="0" tIns="0" rIns="0" bIns="0" rtlCol="0">
                          <a:prstTxWarp prst="textNoShape">
                            <a:avLst/>
                          </a:prstTxWarp>
                          <a:noAutofit/>
                        </wps:bodyPr>
                      </wps:wsp>
                      <wps:wsp>
                        <wps:cNvPr id="1409" name="Graphic 1409"/>
                        <wps:cNvSpPr/>
                        <wps:spPr>
                          <a:xfrm>
                            <a:off x="3398075" y="1250569"/>
                            <a:ext cx="223520" cy="1235710"/>
                          </a:xfrm>
                          <a:custGeom>
                            <a:avLst/>
                            <a:gdLst/>
                            <a:ahLst/>
                            <a:cxnLst/>
                            <a:rect l="l" t="t" r="r" b="b"/>
                            <a:pathLst>
                              <a:path w="223520" h="1235710">
                                <a:moveTo>
                                  <a:pt x="222999" y="0"/>
                                </a:moveTo>
                                <a:lnTo>
                                  <a:pt x="0" y="0"/>
                                </a:lnTo>
                                <a:lnTo>
                                  <a:pt x="0" y="1235557"/>
                                </a:lnTo>
                                <a:lnTo>
                                  <a:pt x="222999" y="1235557"/>
                                </a:lnTo>
                                <a:lnTo>
                                  <a:pt x="222999" y="0"/>
                                </a:lnTo>
                                <a:close/>
                              </a:path>
                            </a:pathLst>
                          </a:custGeom>
                          <a:solidFill>
                            <a:srgbClr val="76AEE5"/>
                          </a:solidFill>
                        </wps:spPr>
                        <wps:bodyPr wrap="square" lIns="0" tIns="0" rIns="0" bIns="0" rtlCol="0">
                          <a:prstTxWarp prst="textNoShape">
                            <a:avLst/>
                          </a:prstTxWarp>
                          <a:noAutofit/>
                        </wps:bodyPr>
                      </wps:wsp>
                      <wps:wsp>
                        <wps:cNvPr id="1410" name="Graphic 1410"/>
                        <wps:cNvSpPr/>
                        <wps:spPr>
                          <a:xfrm>
                            <a:off x="3398071" y="1250569"/>
                            <a:ext cx="223520" cy="1235710"/>
                          </a:xfrm>
                          <a:custGeom>
                            <a:avLst/>
                            <a:gdLst/>
                            <a:ahLst/>
                            <a:cxnLst/>
                            <a:rect l="l" t="t" r="r" b="b"/>
                            <a:pathLst>
                              <a:path w="223520" h="1235710">
                                <a:moveTo>
                                  <a:pt x="0" y="1235557"/>
                                </a:moveTo>
                                <a:lnTo>
                                  <a:pt x="222999" y="1235557"/>
                                </a:lnTo>
                                <a:lnTo>
                                  <a:pt x="222999" y="0"/>
                                </a:lnTo>
                                <a:lnTo>
                                  <a:pt x="0" y="0"/>
                                </a:lnTo>
                                <a:lnTo>
                                  <a:pt x="0" y="1235557"/>
                                </a:lnTo>
                                <a:close/>
                              </a:path>
                            </a:pathLst>
                          </a:custGeom>
                          <a:ln w="3175">
                            <a:solidFill>
                              <a:srgbClr val="FFFFFF"/>
                            </a:solidFill>
                            <a:prstDash val="solid"/>
                          </a:ln>
                        </wps:spPr>
                        <wps:bodyPr wrap="square" lIns="0" tIns="0" rIns="0" bIns="0" rtlCol="0">
                          <a:prstTxWarp prst="textNoShape">
                            <a:avLst/>
                          </a:prstTxWarp>
                          <a:noAutofit/>
                        </wps:bodyPr>
                      </wps:wsp>
                      <wps:wsp>
                        <wps:cNvPr id="1411" name="Graphic 1411"/>
                        <wps:cNvSpPr/>
                        <wps:spPr>
                          <a:xfrm>
                            <a:off x="4290085" y="965504"/>
                            <a:ext cx="223520" cy="1520825"/>
                          </a:xfrm>
                          <a:custGeom>
                            <a:avLst/>
                            <a:gdLst/>
                            <a:ahLst/>
                            <a:cxnLst/>
                            <a:rect l="l" t="t" r="r" b="b"/>
                            <a:pathLst>
                              <a:path w="223520" h="1520825">
                                <a:moveTo>
                                  <a:pt x="222999" y="0"/>
                                </a:moveTo>
                                <a:lnTo>
                                  <a:pt x="0" y="0"/>
                                </a:lnTo>
                                <a:lnTo>
                                  <a:pt x="0" y="1520621"/>
                                </a:lnTo>
                                <a:lnTo>
                                  <a:pt x="222999" y="1520621"/>
                                </a:lnTo>
                                <a:lnTo>
                                  <a:pt x="222999" y="0"/>
                                </a:lnTo>
                                <a:close/>
                              </a:path>
                            </a:pathLst>
                          </a:custGeom>
                          <a:solidFill>
                            <a:srgbClr val="76AEE5"/>
                          </a:solidFill>
                        </wps:spPr>
                        <wps:bodyPr wrap="square" lIns="0" tIns="0" rIns="0" bIns="0" rtlCol="0">
                          <a:prstTxWarp prst="textNoShape">
                            <a:avLst/>
                          </a:prstTxWarp>
                          <a:noAutofit/>
                        </wps:bodyPr>
                      </wps:wsp>
                      <wps:wsp>
                        <wps:cNvPr id="1412" name="Graphic 1412"/>
                        <wps:cNvSpPr/>
                        <wps:spPr>
                          <a:xfrm>
                            <a:off x="4290081" y="965504"/>
                            <a:ext cx="223520" cy="1520825"/>
                          </a:xfrm>
                          <a:custGeom>
                            <a:avLst/>
                            <a:gdLst/>
                            <a:ahLst/>
                            <a:cxnLst/>
                            <a:rect l="l" t="t" r="r" b="b"/>
                            <a:pathLst>
                              <a:path w="223520" h="1520825">
                                <a:moveTo>
                                  <a:pt x="0" y="1520621"/>
                                </a:moveTo>
                                <a:lnTo>
                                  <a:pt x="222999" y="1520621"/>
                                </a:lnTo>
                                <a:lnTo>
                                  <a:pt x="222999" y="0"/>
                                </a:lnTo>
                                <a:lnTo>
                                  <a:pt x="0" y="0"/>
                                </a:lnTo>
                                <a:lnTo>
                                  <a:pt x="0" y="1520621"/>
                                </a:lnTo>
                                <a:close/>
                              </a:path>
                            </a:pathLst>
                          </a:custGeom>
                          <a:ln w="3175">
                            <a:solidFill>
                              <a:srgbClr val="FFFFFF"/>
                            </a:solidFill>
                            <a:prstDash val="solid"/>
                          </a:ln>
                        </wps:spPr>
                        <wps:bodyPr wrap="square" lIns="0" tIns="0" rIns="0" bIns="0" rtlCol="0">
                          <a:prstTxWarp prst="textNoShape">
                            <a:avLst/>
                          </a:prstTxWarp>
                          <a:noAutofit/>
                        </wps:bodyPr>
                      </wps:wsp>
                      <wps:wsp>
                        <wps:cNvPr id="1413" name="Graphic 1413"/>
                        <wps:cNvSpPr/>
                        <wps:spPr>
                          <a:xfrm>
                            <a:off x="4052252" y="513295"/>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008FDD"/>
                          </a:solidFill>
                        </wps:spPr>
                        <wps:bodyPr wrap="square" lIns="0" tIns="0" rIns="0" bIns="0" rtlCol="0">
                          <a:prstTxWarp prst="textNoShape">
                            <a:avLst/>
                          </a:prstTxWarp>
                          <a:noAutofit/>
                        </wps:bodyPr>
                      </wps:wsp>
                      <wps:wsp>
                        <wps:cNvPr id="1414" name="Graphic 1414"/>
                        <wps:cNvSpPr/>
                        <wps:spPr>
                          <a:xfrm>
                            <a:off x="4451312" y="513295"/>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76AEE5"/>
                          </a:solidFill>
                        </wps:spPr>
                        <wps:bodyPr wrap="square" lIns="0" tIns="0" rIns="0" bIns="0" rtlCol="0">
                          <a:prstTxWarp prst="textNoShape">
                            <a:avLst/>
                          </a:prstTxWarp>
                          <a:noAutofit/>
                        </wps:bodyPr>
                      </wps:wsp>
                      <wps:wsp>
                        <wps:cNvPr id="1415" name="Graphic 1415"/>
                        <wps:cNvSpPr/>
                        <wps:spPr>
                          <a:xfrm>
                            <a:off x="273893" y="2486124"/>
                            <a:ext cx="4415790" cy="1270"/>
                          </a:xfrm>
                          <a:custGeom>
                            <a:avLst/>
                            <a:gdLst/>
                            <a:ahLst/>
                            <a:cxnLst/>
                            <a:rect l="l" t="t" r="r" b="b"/>
                            <a:pathLst>
                              <a:path w="4415790" h="0">
                                <a:moveTo>
                                  <a:pt x="0" y="0"/>
                                </a:moveTo>
                                <a:lnTo>
                                  <a:pt x="4415764" y="0"/>
                                </a:lnTo>
                              </a:path>
                            </a:pathLst>
                          </a:custGeom>
                          <a:ln w="6350">
                            <a:solidFill>
                              <a:srgbClr val="FFFFFF"/>
                            </a:solidFill>
                            <a:prstDash val="solid"/>
                          </a:ln>
                        </wps:spPr>
                        <wps:bodyPr wrap="square" lIns="0" tIns="0" rIns="0" bIns="0" rtlCol="0">
                          <a:prstTxWarp prst="textNoShape">
                            <a:avLst/>
                          </a:prstTxWarp>
                          <a:noAutofit/>
                        </wps:bodyPr>
                      </wps:wsp>
                      <wps:wsp>
                        <wps:cNvPr id="1416" name="Textbox 1416"/>
                        <wps:cNvSpPr txBox="1"/>
                        <wps:spPr>
                          <a:xfrm>
                            <a:off x="76380" y="66855"/>
                            <a:ext cx="4109720" cy="248920"/>
                          </a:xfrm>
                          <a:prstGeom prst="rect">
                            <a:avLst/>
                          </a:prstGeom>
                        </wps:spPr>
                        <wps:txbx>
                          <w:txbxContent>
                            <w:p>
                              <w:pPr>
                                <w:spacing w:line="261" w:lineRule="auto" w:before="0"/>
                                <w:ind w:left="800" w:right="0" w:hanging="800"/>
                                <w:jc w:val="left"/>
                                <w:rPr>
                                  <w:rFonts w:ascii="Arial"/>
                                  <w:b/>
                                  <w:sz w:val="16"/>
                                </w:rPr>
                              </w:pPr>
                              <w:r>
                                <w:rPr>
                                  <w:rFonts w:ascii="Arial"/>
                                  <w:color w:val="FFFFFF"/>
                                  <w:w w:val="105"/>
                                  <w:sz w:val="16"/>
                                </w:rPr>
                                <w:t>Figure</w:t>
                              </w:r>
                              <w:r>
                                <w:rPr>
                                  <w:rFonts w:ascii="Arial"/>
                                  <w:color w:val="FFFFFF"/>
                                  <w:spacing w:val="-12"/>
                                  <w:w w:val="105"/>
                                  <w:sz w:val="16"/>
                                </w:rPr>
                                <w:t> </w:t>
                              </w:r>
                              <w:r>
                                <w:rPr>
                                  <w:rFonts w:ascii="Arial"/>
                                  <w:b/>
                                  <w:color w:val="FFFFFF"/>
                                  <w:w w:val="105"/>
                                  <w:sz w:val="16"/>
                                </w:rPr>
                                <w:t>3.8</w:t>
                              </w:r>
                              <w:r>
                                <w:rPr>
                                  <w:rFonts w:ascii="Arial"/>
                                  <w:b/>
                                  <w:color w:val="FFFFFF"/>
                                  <w:spacing w:val="80"/>
                                  <w:w w:val="105"/>
                                  <w:sz w:val="16"/>
                                </w:rPr>
                                <w:t> </w:t>
                              </w:r>
                              <w:r>
                                <w:rPr>
                                  <w:rFonts w:ascii="Arial"/>
                                  <w:b/>
                                  <w:color w:val="FFFFFF"/>
                                  <w:w w:val="105"/>
                                  <w:sz w:val="16"/>
                                </w:rPr>
                                <w:t>The</w:t>
                              </w:r>
                              <w:r>
                                <w:rPr>
                                  <w:rFonts w:ascii="Arial"/>
                                  <w:b/>
                                  <w:color w:val="FFFFFF"/>
                                  <w:spacing w:val="-12"/>
                                  <w:w w:val="105"/>
                                  <w:sz w:val="16"/>
                                </w:rPr>
                                <w:t> </w:t>
                              </w:r>
                              <w:r>
                                <w:rPr>
                                  <w:rFonts w:ascii="Arial"/>
                                  <w:b/>
                                  <w:color w:val="FFFFFF"/>
                                  <w:w w:val="105"/>
                                  <w:sz w:val="16"/>
                                </w:rPr>
                                <w:t>association</w:t>
                              </w:r>
                              <w:r>
                                <w:rPr>
                                  <w:rFonts w:ascii="Arial"/>
                                  <w:b/>
                                  <w:color w:val="FFFFFF"/>
                                  <w:spacing w:val="-12"/>
                                  <w:w w:val="105"/>
                                  <w:sz w:val="16"/>
                                </w:rPr>
                                <w:t> </w:t>
                              </w:r>
                              <w:r>
                                <w:rPr>
                                  <w:rFonts w:ascii="Arial"/>
                                  <w:b/>
                                  <w:color w:val="FFFFFF"/>
                                  <w:w w:val="105"/>
                                  <w:sz w:val="16"/>
                                </w:rPr>
                                <w:t>between</w:t>
                              </w:r>
                              <w:r>
                                <w:rPr>
                                  <w:rFonts w:ascii="Arial"/>
                                  <w:b/>
                                  <w:color w:val="FFFFFF"/>
                                  <w:spacing w:val="-11"/>
                                  <w:w w:val="105"/>
                                  <w:sz w:val="16"/>
                                </w:rPr>
                                <w:t> </w:t>
                              </w:r>
                              <w:r>
                                <w:rPr>
                                  <w:rFonts w:ascii="Arial"/>
                                  <w:b/>
                                  <w:color w:val="FFFFFF"/>
                                  <w:w w:val="105"/>
                                  <w:sz w:val="16"/>
                                </w:rPr>
                                <w:t>average</w:t>
                              </w:r>
                              <w:r>
                                <w:rPr>
                                  <w:rFonts w:ascii="Arial"/>
                                  <w:b/>
                                  <w:color w:val="FFFFFF"/>
                                  <w:spacing w:val="-12"/>
                                  <w:w w:val="105"/>
                                  <w:sz w:val="16"/>
                                </w:rPr>
                                <w:t> </w:t>
                              </w:r>
                              <w:r>
                                <w:rPr>
                                  <w:rFonts w:ascii="Arial"/>
                                  <w:b/>
                                  <w:color w:val="FFFFFF"/>
                                  <w:w w:val="105"/>
                                  <w:sz w:val="16"/>
                                </w:rPr>
                                <w:t>inbound</w:t>
                              </w:r>
                              <w:r>
                                <w:rPr>
                                  <w:rFonts w:ascii="Arial"/>
                                  <w:b/>
                                  <w:color w:val="FFFFFF"/>
                                  <w:spacing w:val="-12"/>
                                  <w:w w:val="105"/>
                                  <w:sz w:val="16"/>
                                </w:rPr>
                                <w:t> </w:t>
                              </w:r>
                              <w:r>
                                <w:rPr>
                                  <w:rFonts w:ascii="Arial"/>
                                  <w:b/>
                                  <w:color w:val="FFFFFF"/>
                                  <w:w w:val="105"/>
                                  <w:sz w:val="16"/>
                                </w:rPr>
                                <w:t>connectivity</w:t>
                              </w:r>
                              <w:r>
                                <w:rPr>
                                  <w:rFonts w:ascii="Arial"/>
                                  <w:b/>
                                  <w:color w:val="FFFFFF"/>
                                  <w:spacing w:val="-12"/>
                                  <w:w w:val="105"/>
                                  <w:sz w:val="16"/>
                                </w:rPr>
                                <w:t> </w:t>
                              </w:r>
                              <w:r>
                                <w:rPr>
                                  <w:rFonts w:ascii="Arial"/>
                                  <w:b/>
                                  <w:color w:val="FFFFFF"/>
                                  <w:w w:val="105"/>
                                  <w:sz w:val="16"/>
                                </w:rPr>
                                <w:t>in</w:t>
                              </w:r>
                              <w:r>
                                <w:rPr>
                                  <w:rFonts w:ascii="Arial"/>
                                  <w:b/>
                                  <w:color w:val="FFFFFF"/>
                                  <w:spacing w:val="-11"/>
                                  <w:w w:val="105"/>
                                  <w:sz w:val="16"/>
                                </w:rPr>
                                <w:t> </w:t>
                              </w:r>
                              <w:r>
                                <w:rPr>
                                  <w:rFonts w:ascii="Arial"/>
                                  <w:b/>
                                  <w:color w:val="FFFFFF"/>
                                  <w:w w:val="105"/>
                                  <w:sz w:val="16"/>
                                </w:rPr>
                                <w:t>aviation</w:t>
                              </w:r>
                              <w:r>
                                <w:rPr>
                                  <w:rFonts w:ascii="Arial"/>
                                  <w:b/>
                                  <w:color w:val="FFFFFF"/>
                                  <w:spacing w:val="-12"/>
                                  <w:w w:val="105"/>
                                  <w:sz w:val="16"/>
                                </w:rPr>
                                <w:t> </w:t>
                              </w:r>
                              <w:r>
                                <w:rPr>
                                  <w:rFonts w:ascii="Arial"/>
                                  <w:b/>
                                  <w:color w:val="FFFFFF"/>
                                  <w:w w:val="105"/>
                                  <w:sz w:val="16"/>
                                </w:rPr>
                                <w:t>and postal services and 2023 LPI score quintiles</w:t>
                              </w:r>
                            </w:p>
                          </w:txbxContent>
                        </wps:txbx>
                        <wps:bodyPr wrap="square" lIns="0" tIns="0" rIns="0" bIns="0" rtlCol="0">
                          <a:noAutofit/>
                        </wps:bodyPr>
                      </wps:wsp>
                      <wps:wsp>
                        <wps:cNvPr id="1417" name="Textbox 1417"/>
                        <wps:cNvSpPr txBox="1"/>
                        <wps:spPr>
                          <a:xfrm>
                            <a:off x="76393" y="487005"/>
                            <a:ext cx="625475" cy="257810"/>
                          </a:xfrm>
                          <a:prstGeom prst="rect">
                            <a:avLst/>
                          </a:prstGeom>
                        </wps:spPr>
                        <wps:txbx>
                          <w:txbxContent>
                            <w:p>
                              <w:pPr>
                                <w:spacing w:line="159" w:lineRule="exact" w:before="0"/>
                                <w:ind w:left="0" w:right="0" w:firstLine="0"/>
                                <w:jc w:val="left"/>
                                <w:rPr>
                                  <w:rFonts w:ascii="Arial"/>
                                  <w:sz w:val="14"/>
                                </w:rPr>
                              </w:pPr>
                              <w:r>
                                <w:rPr>
                                  <w:rFonts w:ascii="Arial"/>
                                  <w:color w:val="231F20"/>
                                  <w:w w:val="80"/>
                                  <w:sz w:val="14"/>
                                </w:rPr>
                                <w:t>Number</w:t>
                              </w:r>
                              <w:r>
                                <w:rPr>
                                  <w:rFonts w:ascii="Arial"/>
                                  <w:color w:val="231F20"/>
                                  <w:spacing w:val="-2"/>
                                  <w:w w:val="80"/>
                                  <w:sz w:val="14"/>
                                </w:rPr>
                                <w:t> </w:t>
                              </w:r>
                              <w:r>
                                <w:rPr>
                                  <w:rFonts w:ascii="Arial"/>
                                  <w:color w:val="231F20"/>
                                  <w:w w:val="80"/>
                                  <w:sz w:val="14"/>
                                </w:rPr>
                                <w:t>of</w:t>
                              </w:r>
                              <w:r>
                                <w:rPr>
                                  <w:rFonts w:ascii="Arial"/>
                                  <w:color w:val="231F20"/>
                                  <w:spacing w:val="-1"/>
                                  <w:w w:val="80"/>
                                  <w:sz w:val="14"/>
                                </w:rPr>
                                <w:t> </w:t>
                              </w:r>
                              <w:r>
                                <w:rPr>
                                  <w:rFonts w:ascii="Arial"/>
                                  <w:color w:val="231F20"/>
                                  <w:spacing w:val="-2"/>
                                  <w:w w:val="80"/>
                                  <w:sz w:val="14"/>
                                </w:rPr>
                                <w:t>partners</w:t>
                              </w:r>
                            </w:p>
                            <w:p>
                              <w:pPr>
                                <w:spacing w:line="160" w:lineRule="exact" w:before="86"/>
                                <w:ind w:left="0" w:right="0" w:firstLine="0"/>
                                <w:jc w:val="left"/>
                                <w:rPr>
                                  <w:rFonts w:ascii="Arial"/>
                                  <w:sz w:val="14"/>
                                </w:rPr>
                              </w:pPr>
                              <w:r>
                                <w:rPr>
                                  <w:rFonts w:ascii="Arial"/>
                                  <w:color w:val="231F20"/>
                                  <w:spacing w:val="-5"/>
                                  <w:sz w:val="14"/>
                                </w:rPr>
                                <w:t>150</w:t>
                              </w:r>
                            </w:p>
                          </w:txbxContent>
                        </wps:txbx>
                        <wps:bodyPr wrap="square" lIns="0" tIns="0" rIns="0" bIns="0" rtlCol="0">
                          <a:noAutofit/>
                        </wps:bodyPr>
                      </wps:wsp>
                      <wps:wsp>
                        <wps:cNvPr id="1418" name="Textbox 1418"/>
                        <wps:cNvSpPr txBox="1"/>
                        <wps:spPr>
                          <a:xfrm>
                            <a:off x="4130024" y="487005"/>
                            <a:ext cx="602615" cy="100965"/>
                          </a:xfrm>
                          <a:prstGeom prst="rect">
                            <a:avLst/>
                          </a:prstGeom>
                        </wps:spPr>
                        <wps:txbx>
                          <w:txbxContent>
                            <w:p>
                              <w:pPr>
                                <w:tabs>
                                  <w:tab w:pos="628" w:val="left" w:leader="none"/>
                                </w:tabs>
                                <w:spacing w:line="158" w:lineRule="exact" w:before="0"/>
                                <w:ind w:left="0" w:right="0" w:firstLine="0"/>
                                <w:jc w:val="left"/>
                                <w:rPr>
                                  <w:rFonts w:ascii="Arial"/>
                                  <w:sz w:val="14"/>
                                </w:rPr>
                              </w:pPr>
                              <w:r>
                                <w:rPr>
                                  <w:rFonts w:ascii="Arial"/>
                                  <w:color w:val="231F20"/>
                                  <w:spacing w:val="-2"/>
                                  <w:w w:val="95"/>
                                  <w:sz w:val="14"/>
                                </w:rPr>
                                <w:t>Aviation</w:t>
                              </w:r>
                              <w:r>
                                <w:rPr>
                                  <w:rFonts w:ascii="Arial"/>
                                  <w:color w:val="231F20"/>
                                  <w:sz w:val="14"/>
                                </w:rPr>
                                <w:tab/>
                              </w:r>
                              <w:r>
                                <w:rPr>
                                  <w:rFonts w:ascii="Arial"/>
                                  <w:color w:val="231F20"/>
                                  <w:spacing w:val="-5"/>
                                  <w:w w:val="85"/>
                                  <w:sz w:val="14"/>
                                </w:rPr>
                                <w:t>Postal</w:t>
                              </w:r>
                            </w:p>
                          </w:txbxContent>
                        </wps:txbx>
                        <wps:bodyPr wrap="square" lIns="0" tIns="0" rIns="0" bIns="0" rtlCol="0">
                          <a:noAutofit/>
                        </wps:bodyPr>
                      </wps:wsp>
                      <wps:wsp>
                        <wps:cNvPr id="1419" name="Textbox 1419"/>
                        <wps:cNvSpPr txBox="1"/>
                        <wps:spPr>
                          <a:xfrm>
                            <a:off x="76735" y="1242656"/>
                            <a:ext cx="14097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100</w:t>
                              </w:r>
                            </w:p>
                          </w:txbxContent>
                        </wps:txbx>
                        <wps:bodyPr wrap="square" lIns="0" tIns="0" rIns="0" bIns="0" rtlCol="0">
                          <a:noAutofit/>
                        </wps:bodyPr>
                      </wps:wsp>
                      <wps:wsp>
                        <wps:cNvPr id="1420" name="Textbox 1420"/>
                        <wps:cNvSpPr txBox="1"/>
                        <wps:spPr>
                          <a:xfrm>
                            <a:off x="119407" y="1841131"/>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50</w:t>
                              </w:r>
                            </w:p>
                          </w:txbxContent>
                        </wps:txbx>
                        <wps:bodyPr wrap="square" lIns="0" tIns="0" rIns="0" bIns="0" rtlCol="0">
                          <a:noAutofit/>
                        </wps:bodyPr>
                      </wps:wsp>
                      <wps:wsp>
                        <wps:cNvPr id="1421" name="Textbox 1421"/>
                        <wps:cNvSpPr txBox="1"/>
                        <wps:spPr>
                          <a:xfrm>
                            <a:off x="162079" y="2439606"/>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0</w:t>
                              </w:r>
                            </w:p>
                          </w:txbxContent>
                        </wps:txbx>
                        <wps:bodyPr wrap="square" lIns="0" tIns="0" rIns="0" bIns="0" rtlCol="0">
                          <a:noAutofit/>
                        </wps:bodyPr>
                      </wps:wsp>
                      <wps:wsp>
                        <wps:cNvPr id="1422" name="Textbox 1422"/>
                        <wps:cNvSpPr txBox="1"/>
                        <wps:spPr>
                          <a:xfrm>
                            <a:off x="390331" y="2503547"/>
                            <a:ext cx="673100" cy="202565"/>
                          </a:xfrm>
                          <a:prstGeom prst="rect">
                            <a:avLst/>
                          </a:prstGeom>
                        </wps:spPr>
                        <wps:txbx>
                          <w:txbxContent>
                            <w:p>
                              <w:pPr>
                                <w:spacing w:before="0"/>
                                <w:ind w:left="0" w:right="0" w:firstLine="147"/>
                                <w:jc w:val="left"/>
                                <w:rPr>
                                  <w:rFonts w:ascii="Arial"/>
                                  <w:sz w:val="14"/>
                                </w:rPr>
                              </w:pPr>
                              <w:r>
                                <w:rPr>
                                  <w:rFonts w:ascii="Arial"/>
                                  <w:color w:val="231F20"/>
                                  <w:w w:val="95"/>
                                  <w:sz w:val="14"/>
                                </w:rPr>
                                <w:t>Bottom</w:t>
                              </w:r>
                              <w:r>
                                <w:rPr>
                                  <w:rFonts w:ascii="Arial"/>
                                  <w:color w:val="231F20"/>
                                  <w:spacing w:val="-8"/>
                                  <w:w w:val="95"/>
                                  <w:sz w:val="14"/>
                                </w:rPr>
                                <w:t> </w:t>
                              </w:r>
                              <w:r>
                                <w:rPr>
                                  <w:rFonts w:ascii="Arial"/>
                                  <w:color w:val="231F20"/>
                                  <w:w w:val="95"/>
                                  <w:sz w:val="14"/>
                                </w:rPr>
                                <w:t>quintile</w:t>
                              </w:r>
                              <w:r>
                                <w:rPr>
                                  <w:rFonts w:ascii="Arial"/>
                                  <w:color w:val="231F20"/>
                                  <w:spacing w:val="40"/>
                                  <w:sz w:val="14"/>
                                </w:rPr>
                                <w:t> </w:t>
                              </w:r>
                              <w:r>
                                <w:rPr>
                                  <w:rFonts w:ascii="Arial"/>
                                  <w:color w:val="231F20"/>
                                  <w:spacing w:val="-2"/>
                                  <w:w w:val="80"/>
                                  <w:sz w:val="14"/>
                                </w:rPr>
                                <w:t>(lowest</w:t>
                              </w:r>
                              <w:r>
                                <w:rPr>
                                  <w:rFonts w:ascii="Arial"/>
                                  <w:color w:val="231F20"/>
                                  <w:spacing w:val="-8"/>
                                  <w:sz w:val="14"/>
                                </w:rPr>
                                <w:t> </w:t>
                              </w:r>
                              <w:r>
                                <w:rPr>
                                  <w:rFonts w:ascii="Arial"/>
                                  <w:color w:val="231F20"/>
                                  <w:spacing w:val="-2"/>
                                  <w:w w:val="80"/>
                                  <w:sz w:val="14"/>
                                </w:rPr>
                                <w:t>performance)</w:t>
                              </w:r>
                            </w:p>
                          </w:txbxContent>
                        </wps:txbx>
                        <wps:bodyPr wrap="square" lIns="0" tIns="0" rIns="0" bIns="0" rtlCol="0">
                          <a:noAutofit/>
                        </wps:bodyPr>
                      </wps:wsp>
                      <wps:wsp>
                        <wps:cNvPr id="1423" name="Textbox 1423"/>
                        <wps:cNvSpPr txBox="1"/>
                        <wps:spPr>
                          <a:xfrm>
                            <a:off x="1387434" y="2503547"/>
                            <a:ext cx="461645" cy="100965"/>
                          </a:xfrm>
                          <a:prstGeom prst="rect">
                            <a:avLst/>
                          </a:prstGeom>
                        </wps:spPr>
                        <wps:txbx>
                          <w:txbxContent>
                            <w:p>
                              <w:pPr>
                                <w:spacing w:line="158" w:lineRule="exact" w:before="0"/>
                                <w:ind w:left="0" w:right="0" w:firstLine="0"/>
                                <w:jc w:val="left"/>
                                <w:rPr>
                                  <w:rFonts w:ascii="Arial"/>
                                  <w:sz w:val="14"/>
                                </w:rPr>
                              </w:pPr>
                              <w:r>
                                <w:rPr>
                                  <w:rFonts w:ascii="Arial"/>
                                  <w:color w:val="231F20"/>
                                  <w:w w:val="75"/>
                                  <w:sz w:val="14"/>
                                </w:rPr>
                                <w:t>Fourth</w:t>
                              </w:r>
                              <w:r>
                                <w:rPr>
                                  <w:rFonts w:ascii="Arial"/>
                                  <w:color w:val="231F20"/>
                                  <w:spacing w:val="6"/>
                                  <w:sz w:val="14"/>
                                </w:rPr>
                                <w:t> </w:t>
                              </w:r>
                              <w:r>
                                <w:rPr>
                                  <w:rFonts w:ascii="Arial"/>
                                  <w:color w:val="231F20"/>
                                  <w:spacing w:val="-2"/>
                                  <w:w w:val="85"/>
                                  <w:sz w:val="14"/>
                                </w:rPr>
                                <w:t>quintile</w:t>
                              </w:r>
                            </w:p>
                          </w:txbxContent>
                        </wps:txbx>
                        <wps:bodyPr wrap="square" lIns="0" tIns="0" rIns="0" bIns="0" rtlCol="0">
                          <a:noAutofit/>
                        </wps:bodyPr>
                      </wps:wsp>
                      <wps:wsp>
                        <wps:cNvPr id="1424" name="Textbox 1424"/>
                        <wps:cNvSpPr txBox="1"/>
                        <wps:spPr>
                          <a:xfrm>
                            <a:off x="2299637" y="2503547"/>
                            <a:ext cx="420370" cy="100965"/>
                          </a:xfrm>
                          <a:prstGeom prst="rect">
                            <a:avLst/>
                          </a:prstGeom>
                        </wps:spPr>
                        <wps:txbx>
                          <w:txbxContent>
                            <w:p>
                              <w:pPr>
                                <w:spacing w:line="158" w:lineRule="exact" w:before="0"/>
                                <w:ind w:left="0" w:right="0" w:firstLine="0"/>
                                <w:jc w:val="left"/>
                                <w:rPr>
                                  <w:rFonts w:ascii="Arial"/>
                                  <w:sz w:val="14"/>
                                </w:rPr>
                              </w:pPr>
                              <w:r>
                                <w:rPr>
                                  <w:rFonts w:ascii="Arial"/>
                                  <w:color w:val="231F20"/>
                                  <w:w w:val="75"/>
                                  <w:sz w:val="14"/>
                                </w:rPr>
                                <w:t>Third</w:t>
                              </w:r>
                              <w:r>
                                <w:rPr>
                                  <w:rFonts w:ascii="Arial"/>
                                  <w:color w:val="231F20"/>
                                  <w:spacing w:val="3"/>
                                  <w:sz w:val="14"/>
                                </w:rPr>
                                <w:t> </w:t>
                              </w:r>
                              <w:r>
                                <w:rPr>
                                  <w:rFonts w:ascii="Arial"/>
                                  <w:color w:val="231F20"/>
                                  <w:spacing w:val="-2"/>
                                  <w:w w:val="85"/>
                                  <w:sz w:val="14"/>
                                </w:rPr>
                                <w:t>quintile</w:t>
                              </w:r>
                            </w:p>
                          </w:txbxContent>
                        </wps:txbx>
                        <wps:bodyPr wrap="square" lIns="0" tIns="0" rIns="0" bIns="0" rtlCol="0">
                          <a:noAutofit/>
                        </wps:bodyPr>
                      </wps:wsp>
                      <wps:wsp>
                        <wps:cNvPr id="1425" name="Textbox 1425"/>
                        <wps:cNvSpPr txBox="1"/>
                        <wps:spPr>
                          <a:xfrm>
                            <a:off x="1328849" y="2605159"/>
                            <a:ext cx="1541780" cy="100965"/>
                          </a:xfrm>
                          <a:prstGeom prst="rect">
                            <a:avLst/>
                          </a:prstGeom>
                        </wps:spPr>
                        <wps:txbx>
                          <w:txbxContent>
                            <w:p>
                              <w:pPr>
                                <w:tabs>
                                  <w:tab w:pos="1292" w:val="left" w:leader="none"/>
                                </w:tabs>
                                <w:spacing w:line="158" w:lineRule="exact" w:before="0"/>
                                <w:ind w:left="0" w:right="0" w:firstLine="0"/>
                                <w:jc w:val="left"/>
                                <w:rPr>
                                  <w:rFonts w:ascii="Arial"/>
                                  <w:sz w:val="14"/>
                                </w:rPr>
                              </w:pPr>
                              <w:r>
                                <w:rPr>
                                  <w:rFonts w:ascii="Arial"/>
                                  <w:color w:val="231F20"/>
                                  <w:w w:val="75"/>
                                  <w:sz w:val="14"/>
                                </w:rPr>
                                <w:t>(low</w:t>
                              </w:r>
                              <w:r>
                                <w:rPr>
                                  <w:rFonts w:ascii="Arial"/>
                                  <w:color w:val="231F20"/>
                                  <w:spacing w:val="-1"/>
                                  <w:sz w:val="14"/>
                                </w:rPr>
                                <w:t> </w:t>
                              </w:r>
                              <w:r>
                                <w:rPr>
                                  <w:rFonts w:ascii="Arial"/>
                                  <w:color w:val="231F20"/>
                                  <w:spacing w:val="-2"/>
                                  <w:w w:val="85"/>
                                  <w:sz w:val="14"/>
                                </w:rPr>
                                <w:t>performance)</w:t>
                              </w:r>
                              <w:r>
                                <w:rPr>
                                  <w:rFonts w:ascii="Arial"/>
                                  <w:color w:val="231F20"/>
                                  <w:sz w:val="14"/>
                                </w:rPr>
                                <w:tab/>
                              </w:r>
                              <w:r>
                                <w:rPr>
                                  <w:rFonts w:ascii="Arial"/>
                                  <w:color w:val="231F20"/>
                                  <w:w w:val="75"/>
                                  <w:sz w:val="14"/>
                                </w:rPr>
                                <w:t>(average</w:t>
                              </w:r>
                              <w:r>
                                <w:rPr>
                                  <w:rFonts w:ascii="Arial"/>
                                  <w:color w:val="231F20"/>
                                  <w:spacing w:val="-1"/>
                                  <w:sz w:val="14"/>
                                </w:rPr>
                                <w:t> </w:t>
                              </w:r>
                              <w:r>
                                <w:rPr>
                                  <w:rFonts w:ascii="Arial"/>
                                  <w:color w:val="231F20"/>
                                  <w:spacing w:val="-4"/>
                                  <w:w w:val="85"/>
                                  <w:sz w:val="14"/>
                                </w:rPr>
                                <w:t>performance)</w:t>
                              </w:r>
                            </w:p>
                          </w:txbxContent>
                        </wps:txbx>
                        <wps:bodyPr wrap="square" lIns="0" tIns="0" rIns="0" bIns="0" rtlCol="0">
                          <a:noAutofit/>
                        </wps:bodyPr>
                      </wps:wsp>
                      <wps:wsp>
                        <wps:cNvPr id="1426" name="Textbox 1426"/>
                        <wps:cNvSpPr txBox="1"/>
                        <wps:spPr>
                          <a:xfrm>
                            <a:off x="3098048" y="2503547"/>
                            <a:ext cx="1545590" cy="202565"/>
                          </a:xfrm>
                          <a:prstGeom prst="rect">
                            <a:avLst/>
                          </a:prstGeom>
                        </wps:spPr>
                        <wps:txbx>
                          <w:txbxContent>
                            <w:p>
                              <w:pPr>
                                <w:tabs>
                                  <w:tab w:pos="1330" w:val="left" w:leader="none"/>
                                  <w:tab w:pos="1589" w:val="left" w:leader="none"/>
                                </w:tabs>
                                <w:spacing w:before="0"/>
                                <w:ind w:left="0" w:right="18" w:firstLine="88"/>
                                <w:jc w:val="left"/>
                                <w:rPr>
                                  <w:rFonts w:ascii="Arial"/>
                                  <w:sz w:val="14"/>
                                </w:rPr>
                              </w:pPr>
                              <w:r>
                                <w:rPr>
                                  <w:rFonts w:ascii="Arial"/>
                                  <w:color w:val="231F20"/>
                                  <w:sz w:val="14"/>
                                </w:rPr>
                                <w:t>Second</w:t>
                              </w:r>
                              <w:r>
                                <w:rPr>
                                  <w:rFonts w:ascii="Arial"/>
                                  <w:color w:val="231F20"/>
                                  <w:spacing w:val="-10"/>
                                  <w:sz w:val="14"/>
                                </w:rPr>
                                <w:t> </w:t>
                              </w:r>
                              <w:r>
                                <w:rPr>
                                  <w:rFonts w:ascii="Arial"/>
                                  <w:color w:val="231F20"/>
                                  <w:sz w:val="14"/>
                                </w:rPr>
                                <w:t>quintile</w:t>
                                <w:tab/>
                                <w:tab/>
                                <w:t>Top</w:t>
                              </w:r>
                              <w:r>
                                <w:rPr>
                                  <w:rFonts w:ascii="Arial"/>
                                  <w:color w:val="231F20"/>
                                  <w:spacing w:val="-10"/>
                                  <w:sz w:val="14"/>
                                </w:rPr>
                                <w:t> </w:t>
                              </w:r>
                              <w:r>
                                <w:rPr>
                                  <w:rFonts w:ascii="Arial"/>
                                  <w:color w:val="231F20"/>
                                  <w:sz w:val="14"/>
                                </w:rPr>
                                <w:t>quintile</w:t>
                              </w:r>
                              <w:r>
                                <w:rPr>
                                  <w:rFonts w:ascii="Arial"/>
                                  <w:color w:val="231F20"/>
                                  <w:spacing w:val="40"/>
                                  <w:sz w:val="14"/>
                                </w:rPr>
                                <w:t> </w:t>
                              </w:r>
                              <w:r>
                                <w:rPr>
                                  <w:rFonts w:ascii="Arial"/>
                                  <w:color w:val="231F20"/>
                                  <w:sz w:val="14"/>
                                </w:rPr>
                                <w:t>(high</w:t>
                              </w:r>
                              <w:r>
                                <w:rPr>
                                  <w:rFonts w:ascii="Arial"/>
                                  <w:color w:val="231F20"/>
                                  <w:spacing w:val="-10"/>
                                  <w:sz w:val="14"/>
                                </w:rPr>
                                <w:t> </w:t>
                              </w:r>
                              <w:r>
                                <w:rPr>
                                  <w:rFonts w:ascii="Arial"/>
                                  <w:color w:val="231F20"/>
                                  <w:sz w:val="14"/>
                                </w:rPr>
                                <w:t>performance)</w:t>
                                <w:tab/>
                              </w:r>
                              <w:r>
                                <w:rPr>
                                  <w:rFonts w:ascii="Arial"/>
                                  <w:color w:val="231F20"/>
                                  <w:spacing w:val="-2"/>
                                  <w:w w:val="80"/>
                                  <w:sz w:val="14"/>
                                </w:rPr>
                                <w:t>(highest</w:t>
                              </w:r>
                              <w:r>
                                <w:rPr>
                                  <w:rFonts w:ascii="Arial"/>
                                  <w:color w:val="231F20"/>
                                  <w:spacing w:val="-10"/>
                                  <w:sz w:val="14"/>
                                </w:rPr>
                                <w:t> </w:t>
                              </w:r>
                              <w:r>
                                <w:rPr>
                                  <w:rFonts w:ascii="Arial"/>
                                  <w:color w:val="231F20"/>
                                  <w:spacing w:val="-2"/>
                                  <w:w w:val="80"/>
                                  <w:sz w:val="14"/>
                                </w:rPr>
                                <w:t>performance)</w:t>
                              </w:r>
                            </w:p>
                          </w:txbxContent>
                        </wps:txbx>
                        <wps:bodyPr wrap="square" lIns="0" tIns="0" rIns="0" bIns="0" rtlCol="0">
                          <a:noAutofit/>
                        </wps:bodyPr>
                      </wps:wsp>
                      <wps:wsp>
                        <wps:cNvPr id="1427" name="Textbox 1427"/>
                        <wps:cNvSpPr txBox="1"/>
                        <wps:spPr>
                          <a:xfrm>
                            <a:off x="76386" y="2842971"/>
                            <a:ext cx="3255645" cy="180340"/>
                          </a:xfrm>
                          <a:prstGeom prst="rect">
                            <a:avLst/>
                          </a:prstGeom>
                        </wps:spPr>
                        <wps:txbx>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2"/>
                                  <w:sz w:val="12"/>
                                </w:rPr>
                                <w:t> </w:t>
                              </w:r>
                              <w:r>
                                <w:rPr>
                                  <w:rFonts w:ascii="Arial"/>
                                  <w:color w:val="231F20"/>
                                  <w:w w:val="75"/>
                                  <w:sz w:val="12"/>
                                </w:rPr>
                                <w:t>World</w:t>
                              </w:r>
                              <w:r>
                                <w:rPr>
                                  <w:rFonts w:ascii="Arial"/>
                                  <w:color w:val="231F20"/>
                                  <w:spacing w:val="3"/>
                                  <w:sz w:val="12"/>
                                </w:rPr>
                                <w:t> </w:t>
                              </w:r>
                              <w:r>
                                <w:rPr>
                                  <w:rFonts w:ascii="Arial"/>
                                  <w:color w:val="231F20"/>
                                  <w:w w:val="75"/>
                                  <w:sz w:val="12"/>
                                </w:rPr>
                                <w:t>Bank</w:t>
                              </w:r>
                              <w:r>
                                <w:rPr>
                                  <w:rFonts w:ascii="Arial"/>
                                  <w:color w:val="231F20"/>
                                  <w:spacing w:val="4"/>
                                  <w:sz w:val="12"/>
                                </w:rPr>
                                <w:t> </w:t>
                              </w:r>
                              <w:r>
                                <w:rPr>
                                  <w:rFonts w:ascii="Arial"/>
                                  <w:color w:val="231F20"/>
                                  <w:w w:val="75"/>
                                  <w:sz w:val="12"/>
                                </w:rPr>
                                <w:t>calculations</w:t>
                              </w:r>
                              <w:r>
                                <w:rPr>
                                  <w:rFonts w:ascii="Arial"/>
                                  <w:color w:val="231F20"/>
                                  <w:spacing w:val="3"/>
                                  <w:sz w:val="12"/>
                                </w:rPr>
                                <w:t> </w:t>
                              </w:r>
                              <w:r>
                                <w:rPr>
                                  <w:rFonts w:ascii="Arial"/>
                                  <w:color w:val="231F20"/>
                                  <w:w w:val="75"/>
                                  <w:sz w:val="12"/>
                                </w:rPr>
                                <w:t>based</w:t>
                              </w:r>
                              <w:r>
                                <w:rPr>
                                  <w:rFonts w:ascii="Arial"/>
                                  <w:color w:val="231F20"/>
                                  <w:spacing w:val="4"/>
                                  <w:sz w:val="12"/>
                                </w:rPr>
                                <w:t> </w:t>
                              </w:r>
                              <w:r>
                                <w:rPr>
                                  <w:rFonts w:ascii="Arial"/>
                                  <w:color w:val="231F20"/>
                                  <w:w w:val="75"/>
                                  <w:sz w:val="12"/>
                                </w:rPr>
                                <w:t>on</w:t>
                              </w:r>
                              <w:r>
                                <w:rPr>
                                  <w:rFonts w:ascii="Arial"/>
                                  <w:color w:val="231F20"/>
                                  <w:spacing w:val="3"/>
                                  <w:sz w:val="12"/>
                                </w:rPr>
                                <w:t> </w:t>
                              </w:r>
                              <w:r>
                                <w:rPr>
                                  <w:rFonts w:ascii="Arial"/>
                                  <w:color w:val="231F20"/>
                                  <w:w w:val="75"/>
                                  <w:sz w:val="12"/>
                                </w:rPr>
                                <w:t>data</w:t>
                              </w:r>
                              <w:r>
                                <w:rPr>
                                  <w:rFonts w:ascii="Arial"/>
                                  <w:color w:val="231F20"/>
                                  <w:spacing w:val="4"/>
                                  <w:sz w:val="12"/>
                                </w:rPr>
                                <w:t> </w:t>
                              </w:r>
                              <w:r>
                                <w:rPr>
                                  <w:rFonts w:ascii="Arial"/>
                                  <w:color w:val="231F20"/>
                                  <w:w w:val="75"/>
                                  <w:sz w:val="12"/>
                                </w:rPr>
                                <w:t>from</w:t>
                              </w:r>
                              <w:r>
                                <w:rPr>
                                  <w:rFonts w:ascii="Arial"/>
                                  <w:color w:val="231F20"/>
                                  <w:spacing w:val="3"/>
                                  <w:sz w:val="12"/>
                                </w:rPr>
                                <w:t> </w:t>
                              </w:r>
                              <w:r>
                                <w:rPr>
                                  <w:rFonts w:ascii="Arial"/>
                                  <w:color w:val="231F20"/>
                                  <w:w w:val="75"/>
                                  <w:sz w:val="12"/>
                                </w:rPr>
                                <w:t>Cargo</w:t>
                              </w:r>
                              <w:r>
                                <w:rPr>
                                  <w:rFonts w:ascii="Arial"/>
                                  <w:color w:val="231F20"/>
                                  <w:spacing w:val="4"/>
                                  <w:sz w:val="12"/>
                                </w:rPr>
                                <w:t> </w:t>
                              </w:r>
                              <w:r>
                                <w:rPr>
                                  <w:rFonts w:ascii="Arial"/>
                                  <w:color w:val="231F20"/>
                                  <w:w w:val="75"/>
                                  <w:sz w:val="12"/>
                                </w:rPr>
                                <w:t>iQ</w:t>
                              </w:r>
                              <w:r>
                                <w:rPr>
                                  <w:rFonts w:ascii="Arial"/>
                                  <w:color w:val="231F20"/>
                                  <w:spacing w:val="3"/>
                                  <w:sz w:val="12"/>
                                </w:rPr>
                                <w:t> </w:t>
                              </w:r>
                              <w:r>
                                <w:rPr>
                                  <w:rFonts w:ascii="Arial"/>
                                  <w:color w:val="231F20"/>
                                  <w:w w:val="75"/>
                                  <w:sz w:val="12"/>
                                </w:rPr>
                                <w:t>and</w:t>
                              </w:r>
                              <w:r>
                                <w:rPr>
                                  <w:rFonts w:ascii="Arial"/>
                                  <w:color w:val="231F20"/>
                                  <w:spacing w:val="4"/>
                                  <w:sz w:val="12"/>
                                </w:rPr>
                                <w:t> </w:t>
                              </w:r>
                              <w:r>
                                <w:rPr>
                                  <w:rFonts w:ascii="Arial"/>
                                  <w:color w:val="231F20"/>
                                  <w:spacing w:val="-4"/>
                                  <w:w w:val="75"/>
                                  <w:sz w:val="12"/>
                                </w:rPr>
                                <w:t>UPU.</w:t>
                              </w:r>
                            </w:p>
                            <w:p>
                              <w:pPr>
                                <w:spacing w:before="2"/>
                                <w:ind w:left="0" w:right="0" w:firstLine="0"/>
                                <w:jc w:val="left"/>
                                <w:rPr>
                                  <w:rFonts w:ascii="Arial"/>
                                  <w:sz w:val="12"/>
                                </w:rPr>
                              </w:pPr>
                              <w:r>
                                <w:rPr>
                                  <w:rFonts w:ascii="Arial"/>
                                  <w:i/>
                                  <w:color w:val="231F20"/>
                                  <w:w w:val="75"/>
                                  <w:sz w:val="12"/>
                                </w:rPr>
                                <w:t>Note:</w:t>
                              </w:r>
                              <w:r>
                                <w:rPr>
                                  <w:rFonts w:ascii="Arial"/>
                                  <w:i/>
                                  <w:color w:val="231F20"/>
                                  <w:spacing w:val="2"/>
                                  <w:sz w:val="12"/>
                                </w:rPr>
                                <w:t> </w:t>
                              </w:r>
                              <w:r>
                                <w:rPr>
                                  <w:rFonts w:ascii="Arial"/>
                                  <w:color w:val="231F20"/>
                                  <w:w w:val="75"/>
                                  <w:sz w:val="12"/>
                                </w:rPr>
                                <w:t>Postal</w:t>
                              </w:r>
                              <w:r>
                                <w:rPr>
                                  <w:rFonts w:ascii="Arial"/>
                                  <w:color w:val="231F20"/>
                                  <w:spacing w:val="9"/>
                                  <w:sz w:val="12"/>
                                </w:rPr>
                                <w:t> </w:t>
                              </w:r>
                              <w:r>
                                <w:rPr>
                                  <w:rFonts w:ascii="Arial"/>
                                  <w:color w:val="231F20"/>
                                  <w:w w:val="75"/>
                                  <w:sz w:val="12"/>
                                </w:rPr>
                                <w:t>connectivity</w:t>
                              </w:r>
                              <w:r>
                                <w:rPr>
                                  <w:rFonts w:ascii="Arial"/>
                                  <w:color w:val="231F20"/>
                                  <w:spacing w:val="8"/>
                                  <w:sz w:val="12"/>
                                </w:rPr>
                                <w:t> </w:t>
                              </w:r>
                              <w:r>
                                <w:rPr>
                                  <w:rFonts w:ascii="Arial"/>
                                  <w:color w:val="231F20"/>
                                  <w:w w:val="75"/>
                                  <w:sz w:val="12"/>
                                </w:rPr>
                                <w:t>data</w:t>
                              </w:r>
                              <w:r>
                                <w:rPr>
                                  <w:rFonts w:ascii="Arial"/>
                                  <w:color w:val="231F20"/>
                                  <w:spacing w:val="9"/>
                                  <w:sz w:val="12"/>
                                </w:rPr>
                                <w:t> </w:t>
                              </w:r>
                              <w:r>
                                <w:rPr>
                                  <w:rFonts w:ascii="Arial"/>
                                  <w:color w:val="231F20"/>
                                  <w:w w:val="75"/>
                                  <w:sz w:val="12"/>
                                </w:rPr>
                                <w:t>refer</w:t>
                              </w:r>
                              <w:r>
                                <w:rPr>
                                  <w:rFonts w:ascii="Arial"/>
                                  <w:color w:val="231F20"/>
                                  <w:spacing w:val="8"/>
                                  <w:sz w:val="12"/>
                                </w:rPr>
                                <w:t> </w:t>
                              </w:r>
                              <w:r>
                                <w:rPr>
                                  <w:rFonts w:ascii="Arial"/>
                                  <w:color w:val="231F20"/>
                                  <w:w w:val="75"/>
                                  <w:sz w:val="12"/>
                                </w:rPr>
                                <w:t>to</w:t>
                              </w:r>
                              <w:r>
                                <w:rPr>
                                  <w:rFonts w:ascii="Arial"/>
                                  <w:color w:val="231F20"/>
                                  <w:spacing w:val="9"/>
                                  <w:sz w:val="12"/>
                                </w:rPr>
                                <w:t> </w:t>
                              </w:r>
                              <w:r>
                                <w:rPr>
                                  <w:rFonts w:ascii="Arial"/>
                                  <w:color w:val="231F20"/>
                                  <w:w w:val="75"/>
                                  <w:sz w:val="12"/>
                                </w:rPr>
                                <w:t>2019.</w:t>
                              </w:r>
                              <w:r>
                                <w:rPr>
                                  <w:rFonts w:ascii="Arial"/>
                                  <w:color w:val="231F20"/>
                                  <w:spacing w:val="2"/>
                                  <w:sz w:val="12"/>
                                </w:rPr>
                                <w:t> </w:t>
                              </w:r>
                              <w:r>
                                <w:rPr>
                                  <w:rFonts w:ascii="Arial"/>
                                  <w:color w:val="231F20"/>
                                  <w:w w:val="75"/>
                                  <w:sz w:val="12"/>
                                </w:rPr>
                                <w:t>Country-level</w:t>
                              </w:r>
                              <w:r>
                                <w:rPr>
                                  <w:rFonts w:ascii="Arial"/>
                                  <w:color w:val="231F20"/>
                                  <w:spacing w:val="9"/>
                                  <w:sz w:val="12"/>
                                </w:rPr>
                                <w:t> </w:t>
                              </w:r>
                              <w:r>
                                <w:rPr>
                                  <w:rFonts w:ascii="Arial"/>
                                  <w:color w:val="231F20"/>
                                  <w:w w:val="75"/>
                                  <w:sz w:val="12"/>
                                </w:rPr>
                                <w:t>aviation</w:t>
                              </w:r>
                              <w:r>
                                <w:rPr>
                                  <w:rFonts w:ascii="Arial"/>
                                  <w:color w:val="231F20"/>
                                  <w:spacing w:val="8"/>
                                  <w:sz w:val="12"/>
                                </w:rPr>
                                <w:t> </w:t>
                              </w:r>
                              <w:r>
                                <w:rPr>
                                  <w:rFonts w:ascii="Arial"/>
                                  <w:color w:val="231F20"/>
                                  <w:w w:val="75"/>
                                  <w:sz w:val="12"/>
                                </w:rPr>
                                <w:t>connectivity</w:t>
                              </w:r>
                              <w:r>
                                <w:rPr>
                                  <w:rFonts w:ascii="Arial"/>
                                  <w:color w:val="231F20"/>
                                  <w:spacing w:val="9"/>
                                  <w:sz w:val="12"/>
                                </w:rPr>
                                <w:t> </w:t>
                              </w:r>
                              <w:r>
                                <w:rPr>
                                  <w:rFonts w:ascii="Arial"/>
                                  <w:color w:val="231F20"/>
                                  <w:w w:val="75"/>
                                  <w:sz w:val="12"/>
                                </w:rPr>
                                <w:t>data</w:t>
                              </w:r>
                              <w:r>
                                <w:rPr>
                                  <w:rFonts w:ascii="Arial"/>
                                  <w:color w:val="231F20"/>
                                  <w:spacing w:val="8"/>
                                  <w:sz w:val="12"/>
                                </w:rPr>
                                <w:t> </w:t>
                              </w:r>
                              <w:r>
                                <w:rPr>
                                  <w:rFonts w:ascii="Arial"/>
                                  <w:color w:val="231F20"/>
                                  <w:w w:val="75"/>
                                  <w:sz w:val="12"/>
                                </w:rPr>
                                <w:t>refer</w:t>
                              </w:r>
                              <w:r>
                                <w:rPr>
                                  <w:rFonts w:ascii="Arial"/>
                                  <w:color w:val="231F20"/>
                                  <w:spacing w:val="9"/>
                                  <w:sz w:val="12"/>
                                </w:rPr>
                                <w:t> </w:t>
                              </w:r>
                              <w:r>
                                <w:rPr>
                                  <w:rFonts w:ascii="Arial"/>
                                  <w:color w:val="231F20"/>
                                  <w:w w:val="75"/>
                                  <w:sz w:val="12"/>
                                </w:rPr>
                                <w:t>to</w:t>
                              </w:r>
                              <w:r>
                                <w:rPr>
                                  <w:rFonts w:ascii="Arial"/>
                                  <w:color w:val="231F20"/>
                                  <w:spacing w:val="8"/>
                                  <w:sz w:val="12"/>
                                </w:rPr>
                                <w:t> </w:t>
                              </w:r>
                              <w:r>
                                <w:rPr>
                                  <w:rFonts w:ascii="Arial"/>
                                  <w:color w:val="231F20"/>
                                  <w:w w:val="75"/>
                                  <w:sz w:val="12"/>
                                </w:rPr>
                                <w:t>the</w:t>
                              </w:r>
                              <w:r>
                                <w:rPr>
                                  <w:rFonts w:ascii="Arial"/>
                                  <w:color w:val="231F20"/>
                                  <w:spacing w:val="9"/>
                                  <w:sz w:val="12"/>
                                </w:rPr>
                                <w:t> </w:t>
                              </w:r>
                              <w:r>
                                <w:rPr>
                                  <w:rFonts w:ascii="Arial"/>
                                  <w:color w:val="231F20"/>
                                  <w:w w:val="75"/>
                                  <w:sz w:val="12"/>
                                </w:rPr>
                                <w:t>second</w:t>
                              </w:r>
                              <w:r>
                                <w:rPr>
                                  <w:rFonts w:ascii="Arial"/>
                                  <w:color w:val="231F20"/>
                                  <w:spacing w:val="8"/>
                                  <w:sz w:val="12"/>
                                </w:rPr>
                                <w:t> </w:t>
                              </w:r>
                              <w:r>
                                <w:rPr>
                                  <w:rFonts w:ascii="Arial"/>
                                  <w:color w:val="231F20"/>
                                  <w:w w:val="75"/>
                                  <w:sz w:val="12"/>
                                </w:rPr>
                                <w:t>quarter</w:t>
                              </w:r>
                              <w:r>
                                <w:rPr>
                                  <w:rFonts w:ascii="Arial"/>
                                  <w:color w:val="231F20"/>
                                  <w:spacing w:val="9"/>
                                  <w:sz w:val="12"/>
                                </w:rPr>
                                <w:t> </w:t>
                              </w:r>
                              <w:r>
                                <w:rPr>
                                  <w:rFonts w:ascii="Arial"/>
                                  <w:color w:val="231F20"/>
                                  <w:w w:val="75"/>
                                  <w:sz w:val="12"/>
                                </w:rPr>
                                <w:t>of</w:t>
                              </w:r>
                              <w:r>
                                <w:rPr>
                                  <w:rFonts w:ascii="Arial"/>
                                  <w:color w:val="231F20"/>
                                  <w:spacing w:val="8"/>
                                  <w:sz w:val="12"/>
                                </w:rPr>
                                <w:t> </w:t>
                              </w:r>
                              <w:r>
                                <w:rPr>
                                  <w:rFonts w:ascii="Arial"/>
                                  <w:color w:val="231F20"/>
                                  <w:spacing w:val="-2"/>
                                  <w:w w:val="75"/>
                                  <w:sz w:val="12"/>
                                </w:rPr>
                                <w:t>2022.</w:t>
                              </w:r>
                            </w:p>
                          </w:txbxContent>
                        </wps:txbx>
                        <wps:bodyPr wrap="square" lIns="0" tIns="0" rIns="0" bIns="0" rtlCol="0">
                          <a:noAutofit/>
                        </wps:bodyPr>
                      </wps:wsp>
                    </wpg:wgp>
                  </a:graphicData>
                </a:graphic>
              </wp:inline>
            </w:drawing>
          </mc:Choice>
          <mc:Fallback>
            <w:pict>
              <v:group style="width:384.05pt;height:246.4pt;mso-position-horizontal-relative:char;mso-position-vertical-relative:line" id="docshapegroup1172" coordorigin="0,0" coordsize="7681,4928">
                <v:shape style="position:absolute;left:0;top:606;width:7680;height:4321" id="docshape1173" coordorigin="0,606" coordsize="7680,4321" path="m7680,606l0,606,0,4809,10,4855,36,4893,74,4918,119,4927,7556,4927,7602,4919,7642,4895,7670,4858,7680,4809,7680,606xe" filled="true" fillcolor="#dfeaf7" stroked="false">
                  <v:path arrowok="t"/>
                  <v:fill type="solid"/>
                </v:shape>
                <v:shape style="position:absolute;left:0;top:0;width:807;height:565" id="docshape1174" coordorigin="0,0" coordsize="807,565" path="m807,0l120,0,74,5,36,23,10,59,0,120,0,565,807,565,807,0xe" filled="true" fillcolor="#008fdd" stroked="false">
                  <v:path arrowok="t"/>
                  <v:fill type="solid"/>
                </v:shape>
                <v:shape style="position:absolute;left:806;top:0;width:6873;height:565" id="docshape1175" coordorigin="807,0" coordsize="6873,565" path="m7559,0l807,0,807,565,7679,565,7679,120,7671,80,7646,41,7608,12,7559,0xe" filled="true" fillcolor="#808285" stroked="false">
                  <v:path arrowok="t"/>
                  <v:fill type="solid"/>
                </v:shape>
                <v:line style="position:absolute" from="807,0" to="807,579" stroked="true" strokeweight="2pt" strokecolor="#ffffff">
                  <v:stroke dashstyle="solid"/>
                </v:line>
                <v:shape style="position:absolute;left:432;top:3915;width:7021;height:2" id="docshape1176" coordorigin="432,3915" coordsize="7021,0" path="m432,3915l7453,3915m432,3915l7453,3915e" filled="false" stroked="true" strokeweight=".5pt" strokecolor="#ffffff">
                  <v:path arrowok="t"/>
                  <v:stroke dashstyle="solid"/>
                </v:shape>
                <v:shape style="position:absolute;left:432;top:2030;width:7021;height:943" id="docshape1177" coordorigin="432,2030" coordsize="7021,943" path="m432,2973l786,2973m1488,2973l2191,2973m2893,2973l3595,2973m4298,2973l5000,2973m5702,2973l6405,2973m7107,2973l7453,2973m432,2030l5351,2030m5702,2030l6405,2030m7107,2030l7453,2030e" filled="false" stroked="true" strokeweight=".5pt" strokecolor="#ffffff">
                  <v:path arrowok="t"/>
                  <v:stroke dashstyle="solid"/>
                </v:shape>
                <v:line style="position:absolute" from="432,1088" to="7453,1088" stroked="true" strokeweight=".5pt" strokecolor="#ffffff">
                  <v:stroke dashstyle="solid"/>
                </v:line>
                <v:rect style="position:absolute;left:785;top:2835;width:352;height:1080" id="docshape1178" filled="true" fillcolor="#008fdd" stroked="false">
                  <v:fill type="solid"/>
                </v:rect>
                <v:rect style="position:absolute;left:785;top:2835;width:352;height:1080" id="docshape1179" filled="false" stroked="true" strokeweight=".25pt" strokecolor="#ffffff">
                  <v:stroke dashstyle="solid"/>
                </v:rect>
                <v:rect style="position:absolute;left:2190;top:2861;width:352;height:1054" id="docshape1180" filled="true" fillcolor="#008fdd" stroked="false">
                  <v:fill type="solid"/>
                </v:rect>
                <v:rect style="position:absolute;left:2190;top:2861;width:352;height:1054" id="docshape1181" filled="false" stroked="true" strokeweight=".25pt" strokecolor="#ffffff">
                  <v:stroke dashstyle="solid"/>
                </v:rect>
                <v:rect style="position:absolute;left:3595;top:2361;width:352;height:1554" id="docshape1182" filled="true" fillcolor="#008fdd" stroked="false">
                  <v:fill type="solid"/>
                </v:rect>
                <v:rect style="position:absolute;left:3595;top:2361;width:352;height:1554" id="docshape1183" filled="false" stroked="true" strokeweight=".25pt" strokecolor="#ffffff">
                  <v:stroke dashstyle="solid"/>
                </v:rect>
                <v:rect style="position:absolute;left:5000;top:2188;width:352;height:1727" id="docshape1184" filled="true" fillcolor="#008fdd" stroked="false">
                  <v:fill type="solid"/>
                </v:rect>
                <v:rect style="position:absolute;left:5000;top:2188;width:352;height:1727" id="docshape1185" filled="false" stroked="true" strokeweight=".25pt" strokecolor="#ffffff">
                  <v:stroke dashstyle="solid"/>
                </v:rect>
                <v:rect style="position:absolute;left:6404;top:1622;width:352;height:2293" id="docshape1186" filled="true" fillcolor="#008fdd" stroked="false">
                  <v:fill type="solid"/>
                </v:rect>
                <v:rect style="position:absolute;left:6404;top:1622;width:352;height:2293" id="docshape1187" filled="false" stroked="true" strokeweight=".25pt" strokecolor="#ffffff">
                  <v:stroke dashstyle="solid"/>
                </v:rect>
                <v:rect style="position:absolute;left:1137;top:2800;width:352;height:1115" id="docshape1188" filled="true" fillcolor="#76aee5" stroked="false">
                  <v:fill type="solid"/>
                </v:rect>
                <v:rect style="position:absolute;left:1137;top:2800;width:352;height:1115" id="docshape1189" filled="false" stroked="true" strokeweight=".25pt" strokecolor="#ffffff">
                  <v:stroke dashstyle="solid"/>
                </v:rect>
                <v:rect style="position:absolute;left:2541;top:2556;width:352;height:1360" id="docshape1190" filled="true" fillcolor="#76aee5" stroked="false">
                  <v:fill type="solid"/>
                </v:rect>
                <v:rect style="position:absolute;left:2541;top:2556;width:352;height:1360" id="docshape1191" filled="false" stroked="true" strokeweight=".25pt" strokecolor="#ffffff">
                  <v:stroke dashstyle="solid"/>
                </v:rect>
                <v:rect style="position:absolute;left:3946;top:2347;width:352;height:1568" id="docshape1192" filled="true" fillcolor="#76aee5" stroked="false">
                  <v:fill type="solid"/>
                </v:rect>
                <v:rect style="position:absolute;left:3946;top:2347;width:352;height:1568" id="docshape1193" filled="false" stroked="true" strokeweight=".25pt" strokecolor="#ffffff">
                  <v:stroke dashstyle="solid"/>
                </v:rect>
                <v:rect style="position:absolute;left:5351;top:1969;width:352;height:1946" id="docshape1194" filled="true" fillcolor="#76aee5" stroked="false">
                  <v:fill type="solid"/>
                </v:rect>
                <v:rect style="position:absolute;left:5351;top:1969;width:352;height:1946" id="docshape1195" filled="false" stroked="true" strokeweight=".25pt" strokecolor="#ffffff">
                  <v:stroke dashstyle="solid"/>
                </v:rect>
                <v:rect style="position:absolute;left:6756;top:1520;width:352;height:2395" id="docshape1196" filled="true" fillcolor="#76aee5" stroked="false">
                  <v:fill type="solid"/>
                </v:rect>
                <v:rect style="position:absolute;left:6756;top:1520;width:352;height:2395" id="docshape1197" filled="false" stroked="true" strokeweight=".25pt" strokecolor="#ffffff">
                  <v:stroke dashstyle="solid"/>
                </v:rect>
                <v:rect style="position:absolute;left:6381;top:808;width:80;height:80" id="docshape1198" filled="true" fillcolor="#008fdd" stroked="false">
                  <v:fill type="solid"/>
                </v:rect>
                <v:rect style="position:absolute;left:7009;top:808;width:80;height:80" id="docshape1199" filled="true" fillcolor="#76aee5" stroked="false">
                  <v:fill type="solid"/>
                </v:rect>
                <v:line style="position:absolute" from="431,3915" to="7385,3915" stroked="true" strokeweight=".5pt" strokecolor="#ffffff">
                  <v:stroke dashstyle="solid"/>
                </v:line>
                <v:shape style="position:absolute;left:120;top:105;width:6472;height:392" type="#_x0000_t202" id="docshape1200" filled="false" stroked="false">
                  <v:textbox inset="0,0,0,0">
                    <w:txbxContent>
                      <w:p>
                        <w:pPr>
                          <w:spacing w:line="261" w:lineRule="auto" w:before="0"/>
                          <w:ind w:left="800" w:right="0" w:hanging="800"/>
                          <w:jc w:val="left"/>
                          <w:rPr>
                            <w:rFonts w:ascii="Arial"/>
                            <w:b/>
                            <w:sz w:val="16"/>
                          </w:rPr>
                        </w:pPr>
                        <w:r>
                          <w:rPr>
                            <w:rFonts w:ascii="Arial"/>
                            <w:color w:val="FFFFFF"/>
                            <w:w w:val="105"/>
                            <w:sz w:val="16"/>
                          </w:rPr>
                          <w:t>Figure</w:t>
                        </w:r>
                        <w:r>
                          <w:rPr>
                            <w:rFonts w:ascii="Arial"/>
                            <w:color w:val="FFFFFF"/>
                            <w:spacing w:val="-12"/>
                            <w:w w:val="105"/>
                            <w:sz w:val="16"/>
                          </w:rPr>
                          <w:t> </w:t>
                        </w:r>
                        <w:r>
                          <w:rPr>
                            <w:rFonts w:ascii="Arial"/>
                            <w:b/>
                            <w:color w:val="FFFFFF"/>
                            <w:w w:val="105"/>
                            <w:sz w:val="16"/>
                          </w:rPr>
                          <w:t>3.8</w:t>
                        </w:r>
                        <w:r>
                          <w:rPr>
                            <w:rFonts w:ascii="Arial"/>
                            <w:b/>
                            <w:color w:val="FFFFFF"/>
                            <w:spacing w:val="80"/>
                            <w:w w:val="105"/>
                            <w:sz w:val="16"/>
                          </w:rPr>
                          <w:t> </w:t>
                        </w:r>
                        <w:r>
                          <w:rPr>
                            <w:rFonts w:ascii="Arial"/>
                            <w:b/>
                            <w:color w:val="FFFFFF"/>
                            <w:w w:val="105"/>
                            <w:sz w:val="16"/>
                          </w:rPr>
                          <w:t>The</w:t>
                        </w:r>
                        <w:r>
                          <w:rPr>
                            <w:rFonts w:ascii="Arial"/>
                            <w:b/>
                            <w:color w:val="FFFFFF"/>
                            <w:spacing w:val="-12"/>
                            <w:w w:val="105"/>
                            <w:sz w:val="16"/>
                          </w:rPr>
                          <w:t> </w:t>
                        </w:r>
                        <w:r>
                          <w:rPr>
                            <w:rFonts w:ascii="Arial"/>
                            <w:b/>
                            <w:color w:val="FFFFFF"/>
                            <w:w w:val="105"/>
                            <w:sz w:val="16"/>
                          </w:rPr>
                          <w:t>association</w:t>
                        </w:r>
                        <w:r>
                          <w:rPr>
                            <w:rFonts w:ascii="Arial"/>
                            <w:b/>
                            <w:color w:val="FFFFFF"/>
                            <w:spacing w:val="-12"/>
                            <w:w w:val="105"/>
                            <w:sz w:val="16"/>
                          </w:rPr>
                          <w:t> </w:t>
                        </w:r>
                        <w:r>
                          <w:rPr>
                            <w:rFonts w:ascii="Arial"/>
                            <w:b/>
                            <w:color w:val="FFFFFF"/>
                            <w:w w:val="105"/>
                            <w:sz w:val="16"/>
                          </w:rPr>
                          <w:t>between</w:t>
                        </w:r>
                        <w:r>
                          <w:rPr>
                            <w:rFonts w:ascii="Arial"/>
                            <w:b/>
                            <w:color w:val="FFFFFF"/>
                            <w:spacing w:val="-11"/>
                            <w:w w:val="105"/>
                            <w:sz w:val="16"/>
                          </w:rPr>
                          <w:t> </w:t>
                        </w:r>
                        <w:r>
                          <w:rPr>
                            <w:rFonts w:ascii="Arial"/>
                            <w:b/>
                            <w:color w:val="FFFFFF"/>
                            <w:w w:val="105"/>
                            <w:sz w:val="16"/>
                          </w:rPr>
                          <w:t>average</w:t>
                        </w:r>
                        <w:r>
                          <w:rPr>
                            <w:rFonts w:ascii="Arial"/>
                            <w:b/>
                            <w:color w:val="FFFFFF"/>
                            <w:spacing w:val="-12"/>
                            <w:w w:val="105"/>
                            <w:sz w:val="16"/>
                          </w:rPr>
                          <w:t> </w:t>
                        </w:r>
                        <w:r>
                          <w:rPr>
                            <w:rFonts w:ascii="Arial"/>
                            <w:b/>
                            <w:color w:val="FFFFFF"/>
                            <w:w w:val="105"/>
                            <w:sz w:val="16"/>
                          </w:rPr>
                          <w:t>inbound</w:t>
                        </w:r>
                        <w:r>
                          <w:rPr>
                            <w:rFonts w:ascii="Arial"/>
                            <w:b/>
                            <w:color w:val="FFFFFF"/>
                            <w:spacing w:val="-12"/>
                            <w:w w:val="105"/>
                            <w:sz w:val="16"/>
                          </w:rPr>
                          <w:t> </w:t>
                        </w:r>
                        <w:r>
                          <w:rPr>
                            <w:rFonts w:ascii="Arial"/>
                            <w:b/>
                            <w:color w:val="FFFFFF"/>
                            <w:w w:val="105"/>
                            <w:sz w:val="16"/>
                          </w:rPr>
                          <w:t>connectivity</w:t>
                        </w:r>
                        <w:r>
                          <w:rPr>
                            <w:rFonts w:ascii="Arial"/>
                            <w:b/>
                            <w:color w:val="FFFFFF"/>
                            <w:spacing w:val="-12"/>
                            <w:w w:val="105"/>
                            <w:sz w:val="16"/>
                          </w:rPr>
                          <w:t> </w:t>
                        </w:r>
                        <w:r>
                          <w:rPr>
                            <w:rFonts w:ascii="Arial"/>
                            <w:b/>
                            <w:color w:val="FFFFFF"/>
                            <w:w w:val="105"/>
                            <w:sz w:val="16"/>
                          </w:rPr>
                          <w:t>in</w:t>
                        </w:r>
                        <w:r>
                          <w:rPr>
                            <w:rFonts w:ascii="Arial"/>
                            <w:b/>
                            <w:color w:val="FFFFFF"/>
                            <w:spacing w:val="-11"/>
                            <w:w w:val="105"/>
                            <w:sz w:val="16"/>
                          </w:rPr>
                          <w:t> </w:t>
                        </w:r>
                        <w:r>
                          <w:rPr>
                            <w:rFonts w:ascii="Arial"/>
                            <w:b/>
                            <w:color w:val="FFFFFF"/>
                            <w:w w:val="105"/>
                            <w:sz w:val="16"/>
                          </w:rPr>
                          <w:t>aviation</w:t>
                        </w:r>
                        <w:r>
                          <w:rPr>
                            <w:rFonts w:ascii="Arial"/>
                            <w:b/>
                            <w:color w:val="FFFFFF"/>
                            <w:spacing w:val="-12"/>
                            <w:w w:val="105"/>
                            <w:sz w:val="16"/>
                          </w:rPr>
                          <w:t> </w:t>
                        </w:r>
                        <w:r>
                          <w:rPr>
                            <w:rFonts w:ascii="Arial"/>
                            <w:b/>
                            <w:color w:val="FFFFFF"/>
                            <w:w w:val="105"/>
                            <w:sz w:val="16"/>
                          </w:rPr>
                          <w:t>and postal services and 2023 LPI score quintiles</w:t>
                        </w:r>
                      </w:p>
                    </w:txbxContent>
                  </v:textbox>
                  <w10:wrap type="none"/>
                </v:shape>
                <v:shape style="position:absolute;left:120;top:766;width:985;height:406" type="#_x0000_t202" id="docshape1201" filled="false" stroked="false">
                  <v:textbox inset="0,0,0,0">
                    <w:txbxContent>
                      <w:p>
                        <w:pPr>
                          <w:spacing w:line="159" w:lineRule="exact" w:before="0"/>
                          <w:ind w:left="0" w:right="0" w:firstLine="0"/>
                          <w:jc w:val="left"/>
                          <w:rPr>
                            <w:rFonts w:ascii="Arial"/>
                            <w:sz w:val="14"/>
                          </w:rPr>
                        </w:pPr>
                        <w:r>
                          <w:rPr>
                            <w:rFonts w:ascii="Arial"/>
                            <w:color w:val="231F20"/>
                            <w:w w:val="80"/>
                            <w:sz w:val="14"/>
                          </w:rPr>
                          <w:t>Number</w:t>
                        </w:r>
                        <w:r>
                          <w:rPr>
                            <w:rFonts w:ascii="Arial"/>
                            <w:color w:val="231F20"/>
                            <w:spacing w:val="-2"/>
                            <w:w w:val="80"/>
                            <w:sz w:val="14"/>
                          </w:rPr>
                          <w:t> </w:t>
                        </w:r>
                        <w:r>
                          <w:rPr>
                            <w:rFonts w:ascii="Arial"/>
                            <w:color w:val="231F20"/>
                            <w:w w:val="80"/>
                            <w:sz w:val="14"/>
                          </w:rPr>
                          <w:t>of</w:t>
                        </w:r>
                        <w:r>
                          <w:rPr>
                            <w:rFonts w:ascii="Arial"/>
                            <w:color w:val="231F20"/>
                            <w:spacing w:val="-1"/>
                            <w:w w:val="80"/>
                            <w:sz w:val="14"/>
                          </w:rPr>
                          <w:t> </w:t>
                        </w:r>
                        <w:r>
                          <w:rPr>
                            <w:rFonts w:ascii="Arial"/>
                            <w:color w:val="231F20"/>
                            <w:spacing w:val="-2"/>
                            <w:w w:val="80"/>
                            <w:sz w:val="14"/>
                          </w:rPr>
                          <w:t>partners</w:t>
                        </w:r>
                      </w:p>
                      <w:p>
                        <w:pPr>
                          <w:spacing w:line="160" w:lineRule="exact" w:before="86"/>
                          <w:ind w:left="0" w:right="0" w:firstLine="0"/>
                          <w:jc w:val="left"/>
                          <w:rPr>
                            <w:rFonts w:ascii="Arial"/>
                            <w:sz w:val="14"/>
                          </w:rPr>
                        </w:pPr>
                        <w:r>
                          <w:rPr>
                            <w:rFonts w:ascii="Arial"/>
                            <w:color w:val="231F20"/>
                            <w:spacing w:val="-5"/>
                            <w:sz w:val="14"/>
                          </w:rPr>
                          <w:t>150</w:t>
                        </w:r>
                      </w:p>
                    </w:txbxContent>
                  </v:textbox>
                  <w10:wrap type="none"/>
                </v:shape>
                <v:shape style="position:absolute;left:6503;top:766;width:949;height:159" type="#_x0000_t202" id="docshape1202" filled="false" stroked="false">
                  <v:textbox inset="0,0,0,0">
                    <w:txbxContent>
                      <w:p>
                        <w:pPr>
                          <w:tabs>
                            <w:tab w:pos="628" w:val="left" w:leader="none"/>
                          </w:tabs>
                          <w:spacing w:line="158" w:lineRule="exact" w:before="0"/>
                          <w:ind w:left="0" w:right="0" w:firstLine="0"/>
                          <w:jc w:val="left"/>
                          <w:rPr>
                            <w:rFonts w:ascii="Arial"/>
                            <w:sz w:val="14"/>
                          </w:rPr>
                        </w:pPr>
                        <w:r>
                          <w:rPr>
                            <w:rFonts w:ascii="Arial"/>
                            <w:color w:val="231F20"/>
                            <w:spacing w:val="-2"/>
                            <w:w w:val="95"/>
                            <w:sz w:val="14"/>
                          </w:rPr>
                          <w:t>Aviation</w:t>
                        </w:r>
                        <w:r>
                          <w:rPr>
                            <w:rFonts w:ascii="Arial"/>
                            <w:color w:val="231F20"/>
                            <w:sz w:val="14"/>
                          </w:rPr>
                          <w:tab/>
                        </w:r>
                        <w:r>
                          <w:rPr>
                            <w:rFonts w:ascii="Arial"/>
                            <w:color w:val="231F20"/>
                            <w:spacing w:val="-5"/>
                            <w:w w:val="85"/>
                            <w:sz w:val="14"/>
                          </w:rPr>
                          <w:t>Postal</w:t>
                        </w:r>
                      </w:p>
                    </w:txbxContent>
                  </v:textbox>
                  <w10:wrap type="none"/>
                </v:shape>
                <v:shape style="position:absolute;left:120;top:1956;width:222;height:159" type="#_x0000_t202" id="docshape1203" filled="false" stroked="false">
                  <v:textbox inset="0,0,0,0">
                    <w:txbxContent>
                      <w:p>
                        <w:pPr>
                          <w:spacing w:line="158" w:lineRule="exact" w:before="0"/>
                          <w:ind w:left="0" w:right="0" w:firstLine="0"/>
                          <w:jc w:val="left"/>
                          <w:rPr>
                            <w:rFonts w:ascii="Arial"/>
                            <w:sz w:val="14"/>
                          </w:rPr>
                        </w:pPr>
                        <w:r>
                          <w:rPr>
                            <w:rFonts w:ascii="Arial"/>
                            <w:color w:val="231F20"/>
                            <w:spacing w:val="-9"/>
                            <w:sz w:val="14"/>
                          </w:rPr>
                          <w:t>100</w:t>
                        </w:r>
                      </w:p>
                    </w:txbxContent>
                  </v:textbox>
                  <w10:wrap type="none"/>
                </v:shape>
                <v:shape style="position:absolute;left:188;top:2899;width:155;height:159" type="#_x0000_t202" id="docshape1204" filled="false" stroked="false">
                  <v:textbox inset="0,0,0,0">
                    <w:txbxContent>
                      <w:p>
                        <w:pPr>
                          <w:spacing w:line="158" w:lineRule="exact" w:before="0"/>
                          <w:ind w:left="0" w:right="0" w:firstLine="0"/>
                          <w:jc w:val="left"/>
                          <w:rPr>
                            <w:rFonts w:ascii="Arial"/>
                            <w:sz w:val="14"/>
                          </w:rPr>
                        </w:pPr>
                        <w:r>
                          <w:rPr>
                            <w:rFonts w:ascii="Arial"/>
                            <w:color w:val="231F20"/>
                            <w:spacing w:val="-7"/>
                            <w:sz w:val="14"/>
                          </w:rPr>
                          <w:t>50</w:t>
                        </w:r>
                      </w:p>
                    </w:txbxContent>
                  </v:textbox>
                  <w10:wrap type="none"/>
                </v:shape>
                <v:shape style="position:absolute;left:255;top:3841;width:88;height:159" type="#_x0000_t202" id="docshape1205" filled="false" stroked="false">
                  <v:textbox inset="0,0,0,0">
                    <w:txbxContent>
                      <w:p>
                        <w:pPr>
                          <w:spacing w:line="158" w:lineRule="exact" w:before="0"/>
                          <w:ind w:left="0" w:right="0" w:firstLine="0"/>
                          <w:jc w:val="left"/>
                          <w:rPr>
                            <w:rFonts w:ascii="Arial"/>
                            <w:sz w:val="14"/>
                          </w:rPr>
                        </w:pPr>
                        <w:r>
                          <w:rPr>
                            <w:rFonts w:ascii="Arial"/>
                            <w:color w:val="231F20"/>
                            <w:spacing w:val="-10"/>
                            <w:sz w:val="14"/>
                          </w:rPr>
                          <w:t>0</w:t>
                        </w:r>
                      </w:p>
                    </w:txbxContent>
                  </v:textbox>
                  <w10:wrap type="none"/>
                </v:shape>
                <v:shape style="position:absolute;left:614;top:3942;width:1060;height:319" type="#_x0000_t202" id="docshape1206" filled="false" stroked="false">
                  <v:textbox inset="0,0,0,0">
                    <w:txbxContent>
                      <w:p>
                        <w:pPr>
                          <w:spacing w:before="0"/>
                          <w:ind w:left="0" w:right="0" w:firstLine="147"/>
                          <w:jc w:val="left"/>
                          <w:rPr>
                            <w:rFonts w:ascii="Arial"/>
                            <w:sz w:val="14"/>
                          </w:rPr>
                        </w:pPr>
                        <w:r>
                          <w:rPr>
                            <w:rFonts w:ascii="Arial"/>
                            <w:color w:val="231F20"/>
                            <w:w w:val="95"/>
                            <w:sz w:val="14"/>
                          </w:rPr>
                          <w:t>Bottom</w:t>
                        </w:r>
                        <w:r>
                          <w:rPr>
                            <w:rFonts w:ascii="Arial"/>
                            <w:color w:val="231F20"/>
                            <w:spacing w:val="-8"/>
                            <w:w w:val="95"/>
                            <w:sz w:val="14"/>
                          </w:rPr>
                          <w:t> </w:t>
                        </w:r>
                        <w:r>
                          <w:rPr>
                            <w:rFonts w:ascii="Arial"/>
                            <w:color w:val="231F20"/>
                            <w:w w:val="95"/>
                            <w:sz w:val="14"/>
                          </w:rPr>
                          <w:t>quintile</w:t>
                        </w:r>
                        <w:r>
                          <w:rPr>
                            <w:rFonts w:ascii="Arial"/>
                            <w:color w:val="231F20"/>
                            <w:spacing w:val="40"/>
                            <w:sz w:val="14"/>
                          </w:rPr>
                          <w:t> </w:t>
                        </w:r>
                        <w:r>
                          <w:rPr>
                            <w:rFonts w:ascii="Arial"/>
                            <w:color w:val="231F20"/>
                            <w:spacing w:val="-2"/>
                            <w:w w:val="80"/>
                            <w:sz w:val="14"/>
                          </w:rPr>
                          <w:t>(lowest</w:t>
                        </w:r>
                        <w:r>
                          <w:rPr>
                            <w:rFonts w:ascii="Arial"/>
                            <w:color w:val="231F20"/>
                            <w:spacing w:val="-8"/>
                            <w:sz w:val="14"/>
                          </w:rPr>
                          <w:t> </w:t>
                        </w:r>
                        <w:r>
                          <w:rPr>
                            <w:rFonts w:ascii="Arial"/>
                            <w:color w:val="231F20"/>
                            <w:spacing w:val="-2"/>
                            <w:w w:val="80"/>
                            <w:sz w:val="14"/>
                          </w:rPr>
                          <w:t>performance)</w:t>
                        </w:r>
                      </w:p>
                    </w:txbxContent>
                  </v:textbox>
                  <w10:wrap type="none"/>
                </v:shape>
                <v:shape style="position:absolute;left:2184;top:3942;width:727;height:159" type="#_x0000_t202" id="docshape1207" filled="false" stroked="false">
                  <v:textbox inset="0,0,0,0">
                    <w:txbxContent>
                      <w:p>
                        <w:pPr>
                          <w:spacing w:line="158" w:lineRule="exact" w:before="0"/>
                          <w:ind w:left="0" w:right="0" w:firstLine="0"/>
                          <w:jc w:val="left"/>
                          <w:rPr>
                            <w:rFonts w:ascii="Arial"/>
                            <w:sz w:val="14"/>
                          </w:rPr>
                        </w:pPr>
                        <w:r>
                          <w:rPr>
                            <w:rFonts w:ascii="Arial"/>
                            <w:color w:val="231F20"/>
                            <w:w w:val="75"/>
                            <w:sz w:val="14"/>
                          </w:rPr>
                          <w:t>Fourth</w:t>
                        </w:r>
                        <w:r>
                          <w:rPr>
                            <w:rFonts w:ascii="Arial"/>
                            <w:color w:val="231F20"/>
                            <w:spacing w:val="6"/>
                            <w:sz w:val="14"/>
                          </w:rPr>
                          <w:t> </w:t>
                        </w:r>
                        <w:r>
                          <w:rPr>
                            <w:rFonts w:ascii="Arial"/>
                            <w:color w:val="231F20"/>
                            <w:spacing w:val="-2"/>
                            <w:w w:val="85"/>
                            <w:sz w:val="14"/>
                          </w:rPr>
                          <w:t>quintile</w:t>
                        </w:r>
                      </w:p>
                    </w:txbxContent>
                  </v:textbox>
                  <w10:wrap type="none"/>
                </v:shape>
                <v:shape style="position:absolute;left:3621;top:3942;width:662;height:159" type="#_x0000_t202" id="docshape1208" filled="false" stroked="false">
                  <v:textbox inset="0,0,0,0">
                    <w:txbxContent>
                      <w:p>
                        <w:pPr>
                          <w:spacing w:line="158" w:lineRule="exact" w:before="0"/>
                          <w:ind w:left="0" w:right="0" w:firstLine="0"/>
                          <w:jc w:val="left"/>
                          <w:rPr>
                            <w:rFonts w:ascii="Arial"/>
                            <w:sz w:val="14"/>
                          </w:rPr>
                        </w:pPr>
                        <w:r>
                          <w:rPr>
                            <w:rFonts w:ascii="Arial"/>
                            <w:color w:val="231F20"/>
                            <w:w w:val="75"/>
                            <w:sz w:val="14"/>
                          </w:rPr>
                          <w:t>Third</w:t>
                        </w:r>
                        <w:r>
                          <w:rPr>
                            <w:rFonts w:ascii="Arial"/>
                            <w:color w:val="231F20"/>
                            <w:spacing w:val="3"/>
                            <w:sz w:val="14"/>
                          </w:rPr>
                          <w:t> </w:t>
                        </w:r>
                        <w:r>
                          <w:rPr>
                            <w:rFonts w:ascii="Arial"/>
                            <w:color w:val="231F20"/>
                            <w:spacing w:val="-2"/>
                            <w:w w:val="85"/>
                            <w:sz w:val="14"/>
                          </w:rPr>
                          <w:t>quintile</w:t>
                        </w:r>
                      </w:p>
                    </w:txbxContent>
                  </v:textbox>
                  <w10:wrap type="none"/>
                </v:shape>
                <v:shape style="position:absolute;left:2092;top:4102;width:2428;height:159" type="#_x0000_t202" id="docshape1209" filled="false" stroked="false">
                  <v:textbox inset="0,0,0,0">
                    <w:txbxContent>
                      <w:p>
                        <w:pPr>
                          <w:tabs>
                            <w:tab w:pos="1292" w:val="left" w:leader="none"/>
                          </w:tabs>
                          <w:spacing w:line="158" w:lineRule="exact" w:before="0"/>
                          <w:ind w:left="0" w:right="0" w:firstLine="0"/>
                          <w:jc w:val="left"/>
                          <w:rPr>
                            <w:rFonts w:ascii="Arial"/>
                            <w:sz w:val="14"/>
                          </w:rPr>
                        </w:pPr>
                        <w:r>
                          <w:rPr>
                            <w:rFonts w:ascii="Arial"/>
                            <w:color w:val="231F20"/>
                            <w:w w:val="75"/>
                            <w:sz w:val="14"/>
                          </w:rPr>
                          <w:t>(low</w:t>
                        </w:r>
                        <w:r>
                          <w:rPr>
                            <w:rFonts w:ascii="Arial"/>
                            <w:color w:val="231F20"/>
                            <w:spacing w:val="-1"/>
                            <w:sz w:val="14"/>
                          </w:rPr>
                          <w:t> </w:t>
                        </w:r>
                        <w:r>
                          <w:rPr>
                            <w:rFonts w:ascii="Arial"/>
                            <w:color w:val="231F20"/>
                            <w:spacing w:val="-2"/>
                            <w:w w:val="85"/>
                            <w:sz w:val="14"/>
                          </w:rPr>
                          <w:t>performance)</w:t>
                        </w:r>
                        <w:r>
                          <w:rPr>
                            <w:rFonts w:ascii="Arial"/>
                            <w:color w:val="231F20"/>
                            <w:sz w:val="14"/>
                          </w:rPr>
                          <w:tab/>
                        </w:r>
                        <w:r>
                          <w:rPr>
                            <w:rFonts w:ascii="Arial"/>
                            <w:color w:val="231F20"/>
                            <w:w w:val="75"/>
                            <w:sz w:val="14"/>
                          </w:rPr>
                          <w:t>(average</w:t>
                        </w:r>
                        <w:r>
                          <w:rPr>
                            <w:rFonts w:ascii="Arial"/>
                            <w:color w:val="231F20"/>
                            <w:spacing w:val="-1"/>
                            <w:sz w:val="14"/>
                          </w:rPr>
                          <w:t> </w:t>
                        </w:r>
                        <w:r>
                          <w:rPr>
                            <w:rFonts w:ascii="Arial"/>
                            <w:color w:val="231F20"/>
                            <w:spacing w:val="-4"/>
                            <w:w w:val="85"/>
                            <w:sz w:val="14"/>
                          </w:rPr>
                          <w:t>performance)</w:t>
                        </w:r>
                      </w:p>
                    </w:txbxContent>
                  </v:textbox>
                  <w10:wrap type="none"/>
                </v:shape>
                <v:shape style="position:absolute;left:4878;top:3942;width:2434;height:319" type="#_x0000_t202" id="docshape1210" filled="false" stroked="false">
                  <v:textbox inset="0,0,0,0">
                    <w:txbxContent>
                      <w:p>
                        <w:pPr>
                          <w:tabs>
                            <w:tab w:pos="1330" w:val="left" w:leader="none"/>
                            <w:tab w:pos="1589" w:val="left" w:leader="none"/>
                          </w:tabs>
                          <w:spacing w:before="0"/>
                          <w:ind w:left="0" w:right="18" w:firstLine="88"/>
                          <w:jc w:val="left"/>
                          <w:rPr>
                            <w:rFonts w:ascii="Arial"/>
                            <w:sz w:val="14"/>
                          </w:rPr>
                        </w:pPr>
                        <w:r>
                          <w:rPr>
                            <w:rFonts w:ascii="Arial"/>
                            <w:color w:val="231F20"/>
                            <w:sz w:val="14"/>
                          </w:rPr>
                          <w:t>Second</w:t>
                        </w:r>
                        <w:r>
                          <w:rPr>
                            <w:rFonts w:ascii="Arial"/>
                            <w:color w:val="231F20"/>
                            <w:spacing w:val="-10"/>
                            <w:sz w:val="14"/>
                          </w:rPr>
                          <w:t> </w:t>
                        </w:r>
                        <w:r>
                          <w:rPr>
                            <w:rFonts w:ascii="Arial"/>
                            <w:color w:val="231F20"/>
                            <w:sz w:val="14"/>
                          </w:rPr>
                          <w:t>quintile</w:t>
                          <w:tab/>
                          <w:tab/>
                          <w:t>Top</w:t>
                        </w:r>
                        <w:r>
                          <w:rPr>
                            <w:rFonts w:ascii="Arial"/>
                            <w:color w:val="231F20"/>
                            <w:spacing w:val="-10"/>
                            <w:sz w:val="14"/>
                          </w:rPr>
                          <w:t> </w:t>
                        </w:r>
                        <w:r>
                          <w:rPr>
                            <w:rFonts w:ascii="Arial"/>
                            <w:color w:val="231F20"/>
                            <w:sz w:val="14"/>
                          </w:rPr>
                          <w:t>quintile</w:t>
                        </w:r>
                        <w:r>
                          <w:rPr>
                            <w:rFonts w:ascii="Arial"/>
                            <w:color w:val="231F20"/>
                            <w:spacing w:val="40"/>
                            <w:sz w:val="14"/>
                          </w:rPr>
                          <w:t> </w:t>
                        </w:r>
                        <w:r>
                          <w:rPr>
                            <w:rFonts w:ascii="Arial"/>
                            <w:color w:val="231F20"/>
                            <w:sz w:val="14"/>
                          </w:rPr>
                          <w:t>(high</w:t>
                        </w:r>
                        <w:r>
                          <w:rPr>
                            <w:rFonts w:ascii="Arial"/>
                            <w:color w:val="231F20"/>
                            <w:spacing w:val="-10"/>
                            <w:sz w:val="14"/>
                          </w:rPr>
                          <w:t> </w:t>
                        </w:r>
                        <w:r>
                          <w:rPr>
                            <w:rFonts w:ascii="Arial"/>
                            <w:color w:val="231F20"/>
                            <w:sz w:val="14"/>
                          </w:rPr>
                          <w:t>performance)</w:t>
                          <w:tab/>
                        </w:r>
                        <w:r>
                          <w:rPr>
                            <w:rFonts w:ascii="Arial"/>
                            <w:color w:val="231F20"/>
                            <w:spacing w:val="-2"/>
                            <w:w w:val="80"/>
                            <w:sz w:val="14"/>
                          </w:rPr>
                          <w:t>(highest</w:t>
                        </w:r>
                        <w:r>
                          <w:rPr>
                            <w:rFonts w:ascii="Arial"/>
                            <w:color w:val="231F20"/>
                            <w:spacing w:val="-10"/>
                            <w:sz w:val="14"/>
                          </w:rPr>
                          <w:t> </w:t>
                        </w:r>
                        <w:r>
                          <w:rPr>
                            <w:rFonts w:ascii="Arial"/>
                            <w:color w:val="231F20"/>
                            <w:spacing w:val="-2"/>
                            <w:w w:val="80"/>
                            <w:sz w:val="14"/>
                          </w:rPr>
                          <w:t>performance)</w:t>
                        </w:r>
                      </w:p>
                    </w:txbxContent>
                  </v:textbox>
                  <w10:wrap type="none"/>
                </v:shape>
                <v:shape style="position:absolute;left:120;top:4477;width:5127;height:284" type="#_x0000_t202" id="docshape1211" filled="false" stroked="false">
                  <v:textbox inset="0,0,0,0">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2"/>
                            <w:sz w:val="12"/>
                          </w:rPr>
                          <w:t> </w:t>
                        </w:r>
                        <w:r>
                          <w:rPr>
                            <w:rFonts w:ascii="Arial"/>
                            <w:color w:val="231F20"/>
                            <w:w w:val="75"/>
                            <w:sz w:val="12"/>
                          </w:rPr>
                          <w:t>World</w:t>
                        </w:r>
                        <w:r>
                          <w:rPr>
                            <w:rFonts w:ascii="Arial"/>
                            <w:color w:val="231F20"/>
                            <w:spacing w:val="3"/>
                            <w:sz w:val="12"/>
                          </w:rPr>
                          <w:t> </w:t>
                        </w:r>
                        <w:r>
                          <w:rPr>
                            <w:rFonts w:ascii="Arial"/>
                            <w:color w:val="231F20"/>
                            <w:w w:val="75"/>
                            <w:sz w:val="12"/>
                          </w:rPr>
                          <w:t>Bank</w:t>
                        </w:r>
                        <w:r>
                          <w:rPr>
                            <w:rFonts w:ascii="Arial"/>
                            <w:color w:val="231F20"/>
                            <w:spacing w:val="4"/>
                            <w:sz w:val="12"/>
                          </w:rPr>
                          <w:t> </w:t>
                        </w:r>
                        <w:r>
                          <w:rPr>
                            <w:rFonts w:ascii="Arial"/>
                            <w:color w:val="231F20"/>
                            <w:w w:val="75"/>
                            <w:sz w:val="12"/>
                          </w:rPr>
                          <w:t>calculations</w:t>
                        </w:r>
                        <w:r>
                          <w:rPr>
                            <w:rFonts w:ascii="Arial"/>
                            <w:color w:val="231F20"/>
                            <w:spacing w:val="3"/>
                            <w:sz w:val="12"/>
                          </w:rPr>
                          <w:t> </w:t>
                        </w:r>
                        <w:r>
                          <w:rPr>
                            <w:rFonts w:ascii="Arial"/>
                            <w:color w:val="231F20"/>
                            <w:w w:val="75"/>
                            <w:sz w:val="12"/>
                          </w:rPr>
                          <w:t>based</w:t>
                        </w:r>
                        <w:r>
                          <w:rPr>
                            <w:rFonts w:ascii="Arial"/>
                            <w:color w:val="231F20"/>
                            <w:spacing w:val="4"/>
                            <w:sz w:val="12"/>
                          </w:rPr>
                          <w:t> </w:t>
                        </w:r>
                        <w:r>
                          <w:rPr>
                            <w:rFonts w:ascii="Arial"/>
                            <w:color w:val="231F20"/>
                            <w:w w:val="75"/>
                            <w:sz w:val="12"/>
                          </w:rPr>
                          <w:t>on</w:t>
                        </w:r>
                        <w:r>
                          <w:rPr>
                            <w:rFonts w:ascii="Arial"/>
                            <w:color w:val="231F20"/>
                            <w:spacing w:val="3"/>
                            <w:sz w:val="12"/>
                          </w:rPr>
                          <w:t> </w:t>
                        </w:r>
                        <w:r>
                          <w:rPr>
                            <w:rFonts w:ascii="Arial"/>
                            <w:color w:val="231F20"/>
                            <w:w w:val="75"/>
                            <w:sz w:val="12"/>
                          </w:rPr>
                          <w:t>data</w:t>
                        </w:r>
                        <w:r>
                          <w:rPr>
                            <w:rFonts w:ascii="Arial"/>
                            <w:color w:val="231F20"/>
                            <w:spacing w:val="4"/>
                            <w:sz w:val="12"/>
                          </w:rPr>
                          <w:t> </w:t>
                        </w:r>
                        <w:r>
                          <w:rPr>
                            <w:rFonts w:ascii="Arial"/>
                            <w:color w:val="231F20"/>
                            <w:w w:val="75"/>
                            <w:sz w:val="12"/>
                          </w:rPr>
                          <w:t>from</w:t>
                        </w:r>
                        <w:r>
                          <w:rPr>
                            <w:rFonts w:ascii="Arial"/>
                            <w:color w:val="231F20"/>
                            <w:spacing w:val="3"/>
                            <w:sz w:val="12"/>
                          </w:rPr>
                          <w:t> </w:t>
                        </w:r>
                        <w:r>
                          <w:rPr>
                            <w:rFonts w:ascii="Arial"/>
                            <w:color w:val="231F20"/>
                            <w:w w:val="75"/>
                            <w:sz w:val="12"/>
                          </w:rPr>
                          <w:t>Cargo</w:t>
                        </w:r>
                        <w:r>
                          <w:rPr>
                            <w:rFonts w:ascii="Arial"/>
                            <w:color w:val="231F20"/>
                            <w:spacing w:val="4"/>
                            <w:sz w:val="12"/>
                          </w:rPr>
                          <w:t> </w:t>
                        </w:r>
                        <w:r>
                          <w:rPr>
                            <w:rFonts w:ascii="Arial"/>
                            <w:color w:val="231F20"/>
                            <w:w w:val="75"/>
                            <w:sz w:val="12"/>
                          </w:rPr>
                          <w:t>iQ</w:t>
                        </w:r>
                        <w:r>
                          <w:rPr>
                            <w:rFonts w:ascii="Arial"/>
                            <w:color w:val="231F20"/>
                            <w:spacing w:val="3"/>
                            <w:sz w:val="12"/>
                          </w:rPr>
                          <w:t> </w:t>
                        </w:r>
                        <w:r>
                          <w:rPr>
                            <w:rFonts w:ascii="Arial"/>
                            <w:color w:val="231F20"/>
                            <w:w w:val="75"/>
                            <w:sz w:val="12"/>
                          </w:rPr>
                          <w:t>and</w:t>
                        </w:r>
                        <w:r>
                          <w:rPr>
                            <w:rFonts w:ascii="Arial"/>
                            <w:color w:val="231F20"/>
                            <w:spacing w:val="4"/>
                            <w:sz w:val="12"/>
                          </w:rPr>
                          <w:t> </w:t>
                        </w:r>
                        <w:r>
                          <w:rPr>
                            <w:rFonts w:ascii="Arial"/>
                            <w:color w:val="231F20"/>
                            <w:spacing w:val="-4"/>
                            <w:w w:val="75"/>
                            <w:sz w:val="12"/>
                          </w:rPr>
                          <w:t>UPU.</w:t>
                        </w:r>
                      </w:p>
                      <w:p>
                        <w:pPr>
                          <w:spacing w:before="2"/>
                          <w:ind w:left="0" w:right="0" w:firstLine="0"/>
                          <w:jc w:val="left"/>
                          <w:rPr>
                            <w:rFonts w:ascii="Arial"/>
                            <w:sz w:val="12"/>
                          </w:rPr>
                        </w:pPr>
                        <w:r>
                          <w:rPr>
                            <w:rFonts w:ascii="Arial"/>
                            <w:i/>
                            <w:color w:val="231F20"/>
                            <w:w w:val="75"/>
                            <w:sz w:val="12"/>
                          </w:rPr>
                          <w:t>Note:</w:t>
                        </w:r>
                        <w:r>
                          <w:rPr>
                            <w:rFonts w:ascii="Arial"/>
                            <w:i/>
                            <w:color w:val="231F20"/>
                            <w:spacing w:val="2"/>
                            <w:sz w:val="12"/>
                          </w:rPr>
                          <w:t> </w:t>
                        </w:r>
                        <w:r>
                          <w:rPr>
                            <w:rFonts w:ascii="Arial"/>
                            <w:color w:val="231F20"/>
                            <w:w w:val="75"/>
                            <w:sz w:val="12"/>
                          </w:rPr>
                          <w:t>Postal</w:t>
                        </w:r>
                        <w:r>
                          <w:rPr>
                            <w:rFonts w:ascii="Arial"/>
                            <w:color w:val="231F20"/>
                            <w:spacing w:val="9"/>
                            <w:sz w:val="12"/>
                          </w:rPr>
                          <w:t> </w:t>
                        </w:r>
                        <w:r>
                          <w:rPr>
                            <w:rFonts w:ascii="Arial"/>
                            <w:color w:val="231F20"/>
                            <w:w w:val="75"/>
                            <w:sz w:val="12"/>
                          </w:rPr>
                          <w:t>connectivity</w:t>
                        </w:r>
                        <w:r>
                          <w:rPr>
                            <w:rFonts w:ascii="Arial"/>
                            <w:color w:val="231F20"/>
                            <w:spacing w:val="8"/>
                            <w:sz w:val="12"/>
                          </w:rPr>
                          <w:t> </w:t>
                        </w:r>
                        <w:r>
                          <w:rPr>
                            <w:rFonts w:ascii="Arial"/>
                            <w:color w:val="231F20"/>
                            <w:w w:val="75"/>
                            <w:sz w:val="12"/>
                          </w:rPr>
                          <w:t>data</w:t>
                        </w:r>
                        <w:r>
                          <w:rPr>
                            <w:rFonts w:ascii="Arial"/>
                            <w:color w:val="231F20"/>
                            <w:spacing w:val="9"/>
                            <w:sz w:val="12"/>
                          </w:rPr>
                          <w:t> </w:t>
                        </w:r>
                        <w:r>
                          <w:rPr>
                            <w:rFonts w:ascii="Arial"/>
                            <w:color w:val="231F20"/>
                            <w:w w:val="75"/>
                            <w:sz w:val="12"/>
                          </w:rPr>
                          <w:t>refer</w:t>
                        </w:r>
                        <w:r>
                          <w:rPr>
                            <w:rFonts w:ascii="Arial"/>
                            <w:color w:val="231F20"/>
                            <w:spacing w:val="8"/>
                            <w:sz w:val="12"/>
                          </w:rPr>
                          <w:t> </w:t>
                        </w:r>
                        <w:r>
                          <w:rPr>
                            <w:rFonts w:ascii="Arial"/>
                            <w:color w:val="231F20"/>
                            <w:w w:val="75"/>
                            <w:sz w:val="12"/>
                          </w:rPr>
                          <w:t>to</w:t>
                        </w:r>
                        <w:r>
                          <w:rPr>
                            <w:rFonts w:ascii="Arial"/>
                            <w:color w:val="231F20"/>
                            <w:spacing w:val="9"/>
                            <w:sz w:val="12"/>
                          </w:rPr>
                          <w:t> </w:t>
                        </w:r>
                        <w:r>
                          <w:rPr>
                            <w:rFonts w:ascii="Arial"/>
                            <w:color w:val="231F20"/>
                            <w:w w:val="75"/>
                            <w:sz w:val="12"/>
                          </w:rPr>
                          <w:t>2019.</w:t>
                        </w:r>
                        <w:r>
                          <w:rPr>
                            <w:rFonts w:ascii="Arial"/>
                            <w:color w:val="231F20"/>
                            <w:spacing w:val="2"/>
                            <w:sz w:val="12"/>
                          </w:rPr>
                          <w:t> </w:t>
                        </w:r>
                        <w:r>
                          <w:rPr>
                            <w:rFonts w:ascii="Arial"/>
                            <w:color w:val="231F20"/>
                            <w:w w:val="75"/>
                            <w:sz w:val="12"/>
                          </w:rPr>
                          <w:t>Country-level</w:t>
                        </w:r>
                        <w:r>
                          <w:rPr>
                            <w:rFonts w:ascii="Arial"/>
                            <w:color w:val="231F20"/>
                            <w:spacing w:val="9"/>
                            <w:sz w:val="12"/>
                          </w:rPr>
                          <w:t> </w:t>
                        </w:r>
                        <w:r>
                          <w:rPr>
                            <w:rFonts w:ascii="Arial"/>
                            <w:color w:val="231F20"/>
                            <w:w w:val="75"/>
                            <w:sz w:val="12"/>
                          </w:rPr>
                          <w:t>aviation</w:t>
                        </w:r>
                        <w:r>
                          <w:rPr>
                            <w:rFonts w:ascii="Arial"/>
                            <w:color w:val="231F20"/>
                            <w:spacing w:val="8"/>
                            <w:sz w:val="12"/>
                          </w:rPr>
                          <w:t> </w:t>
                        </w:r>
                        <w:r>
                          <w:rPr>
                            <w:rFonts w:ascii="Arial"/>
                            <w:color w:val="231F20"/>
                            <w:w w:val="75"/>
                            <w:sz w:val="12"/>
                          </w:rPr>
                          <w:t>connectivity</w:t>
                        </w:r>
                        <w:r>
                          <w:rPr>
                            <w:rFonts w:ascii="Arial"/>
                            <w:color w:val="231F20"/>
                            <w:spacing w:val="9"/>
                            <w:sz w:val="12"/>
                          </w:rPr>
                          <w:t> </w:t>
                        </w:r>
                        <w:r>
                          <w:rPr>
                            <w:rFonts w:ascii="Arial"/>
                            <w:color w:val="231F20"/>
                            <w:w w:val="75"/>
                            <w:sz w:val="12"/>
                          </w:rPr>
                          <w:t>data</w:t>
                        </w:r>
                        <w:r>
                          <w:rPr>
                            <w:rFonts w:ascii="Arial"/>
                            <w:color w:val="231F20"/>
                            <w:spacing w:val="8"/>
                            <w:sz w:val="12"/>
                          </w:rPr>
                          <w:t> </w:t>
                        </w:r>
                        <w:r>
                          <w:rPr>
                            <w:rFonts w:ascii="Arial"/>
                            <w:color w:val="231F20"/>
                            <w:w w:val="75"/>
                            <w:sz w:val="12"/>
                          </w:rPr>
                          <w:t>refer</w:t>
                        </w:r>
                        <w:r>
                          <w:rPr>
                            <w:rFonts w:ascii="Arial"/>
                            <w:color w:val="231F20"/>
                            <w:spacing w:val="9"/>
                            <w:sz w:val="12"/>
                          </w:rPr>
                          <w:t> </w:t>
                        </w:r>
                        <w:r>
                          <w:rPr>
                            <w:rFonts w:ascii="Arial"/>
                            <w:color w:val="231F20"/>
                            <w:w w:val="75"/>
                            <w:sz w:val="12"/>
                          </w:rPr>
                          <w:t>to</w:t>
                        </w:r>
                        <w:r>
                          <w:rPr>
                            <w:rFonts w:ascii="Arial"/>
                            <w:color w:val="231F20"/>
                            <w:spacing w:val="8"/>
                            <w:sz w:val="12"/>
                          </w:rPr>
                          <w:t> </w:t>
                        </w:r>
                        <w:r>
                          <w:rPr>
                            <w:rFonts w:ascii="Arial"/>
                            <w:color w:val="231F20"/>
                            <w:w w:val="75"/>
                            <w:sz w:val="12"/>
                          </w:rPr>
                          <w:t>the</w:t>
                        </w:r>
                        <w:r>
                          <w:rPr>
                            <w:rFonts w:ascii="Arial"/>
                            <w:color w:val="231F20"/>
                            <w:spacing w:val="9"/>
                            <w:sz w:val="12"/>
                          </w:rPr>
                          <w:t> </w:t>
                        </w:r>
                        <w:r>
                          <w:rPr>
                            <w:rFonts w:ascii="Arial"/>
                            <w:color w:val="231F20"/>
                            <w:w w:val="75"/>
                            <w:sz w:val="12"/>
                          </w:rPr>
                          <w:t>second</w:t>
                        </w:r>
                        <w:r>
                          <w:rPr>
                            <w:rFonts w:ascii="Arial"/>
                            <w:color w:val="231F20"/>
                            <w:spacing w:val="8"/>
                            <w:sz w:val="12"/>
                          </w:rPr>
                          <w:t> </w:t>
                        </w:r>
                        <w:r>
                          <w:rPr>
                            <w:rFonts w:ascii="Arial"/>
                            <w:color w:val="231F20"/>
                            <w:w w:val="75"/>
                            <w:sz w:val="12"/>
                          </w:rPr>
                          <w:t>quarter</w:t>
                        </w:r>
                        <w:r>
                          <w:rPr>
                            <w:rFonts w:ascii="Arial"/>
                            <w:color w:val="231F20"/>
                            <w:spacing w:val="9"/>
                            <w:sz w:val="12"/>
                          </w:rPr>
                          <w:t> </w:t>
                        </w:r>
                        <w:r>
                          <w:rPr>
                            <w:rFonts w:ascii="Arial"/>
                            <w:color w:val="231F20"/>
                            <w:w w:val="75"/>
                            <w:sz w:val="12"/>
                          </w:rPr>
                          <w:t>of</w:t>
                        </w:r>
                        <w:r>
                          <w:rPr>
                            <w:rFonts w:ascii="Arial"/>
                            <w:color w:val="231F20"/>
                            <w:spacing w:val="8"/>
                            <w:sz w:val="12"/>
                          </w:rPr>
                          <w:t> </w:t>
                        </w:r>
                        <w:r>
                          <w:rPr>
                            <w:rFonts w:ascii="Arial"/>
                            <w:color w:val="231F20"/>
                            <w:spacing w:val="-2"/>
                            <w:w w:val="75"/>
                            <w:sz w:val="12"/>
                          </w:rPr>
                          <w:t>2022.</w:t>
                        </w:r>
                      </w:p>
                    </w:txbxContent>
                  </v:textbox>
                  <w10:wrap type="none"/>
                </v:shape>
              </v:group>
            </w:pict>
          </mc:Fallback>
        </mc:AlternateContent>
      </w:r>
      <w:r>
        <w:rPr>
          <w:sz w:val="20"/>
        </w:rPr>
      </w:r>
    </w:p>
    <w:p>
      <w:pPr>
        <w:pStyle w:val="BodyText"/>
        <w:spacing w:before="3"/>
        <w:rPr>
          <w:sz w:val="12"/>
        </w:rPr>
      </w:pPr>
      <w:r>
        <w:rPr/>
        <mc:AlternateContent>
          <mc:Choice Requires="wps">
            <w:drawing>
              <wp:anchor distT="0" distB="0" distL="0" distR="0" allowOverlap="1" layoutInCell="1" locked="0" behindDoc="1" simplePos="0" relativeHeight="487617536">
                <wp:simplePos x="0" y="0"/>
                <wp:positionH relativeFrom="page">
                  <wp:posOffset>2133600</wp:posOffset>
                </wp:positionH>
                <wp:positionV relativeFrom="paragraph">
                  <wp:posOffset>117475</wp:posOffset>
                </wp:positionV>
                <wp:extent cx="4877435" cy="3421379"/>
                <wp:effectExtent l="0" t="0" r="0" b="0"/>
                <wp:wrapTopAndBottom/>
                <wp:docPr id="1428" name="Group 1428"/>
                <wp:cNvGraphicFramePr>
                  <a:graphicFrameLocks/>
                </wp:cNvGraphicFramePr>
                <a:graphic>
                  <a:graphicData uri="http://schemas.microsoft.com/office/word/2010/wordprocessingGroup">
                    <wpg:wgp>
                      <wpg:cNvPr id="1428" name="Group 1428"/>
                      <wpg:cNvGrpSpPr/>
                      <wpg:grpSpPr>
                        <a:xfrm>
                          <a:off x="0" y="0"/>
                          <a:ext cx="4877435" cy="3421379"/>
                          <a:chExt cx="4877435" cy="3421379"/>
                        </a:xfrm>
                      </wpg:grpSpPr>
                      <wps:wsp>
                        <wps:cNvPr id="1429" name="Graphic 1429"/>
                        <wps:cNvSpPr/>
                        <wps:spPr>
                          <a:xfrm>
                            <a:off x="198" y="385093"/>
                            <a:ext cx="4876800" cy="3035935"/>
                          </a:xfrm>
                          <a:custGeom>
                            <a:avLst/>
                            <a:gdLst/>
                            <a:ahLst/>
                            <a:cxnLst/>
                            <a:rect l="l" t="t" r="r" b="b"/>
                            <a:pathLst>
                              <a:path w="4876800" h="3035935">
                                <a:moveTo>
                                  <a:pt x="4876800" y="0"/>
                                </a:moveTo>
                                <a:lnTo>
                                  <a:pt x="0" y="0"/>
                                </a:lnTo>
                                <a:lnTo>
                                  <a:pt x="0" y="2961005"/>
                                </a:lnTo>
                                <a:lnTo>
                                  <a:pt x="6159" y="2990103"/>
                                </a:lnTo>
                                <a:lnTo>
                                  <a:pt x="22693" y="3013863"/>
                                </a:lnTo>
                                <a:lnTo>
                                  <a:pt x="46682" y="3029883"/>
                                </a:lnTo>
                                <a:lnTo>
                                  <a:pt x="75209" y="3035757"/>
                                </a:lnTo>
                                <a:lnTo>
                                  <a:pt x="4797920" y="3035757"/>
                                </a:lnTo>
                                <a:lnTo>
                                  <a:pt x="4827020" y="3030502"/>
                                </a:lnTo>
                                <a:lnTo>
                                  <a:pt x="4852271" y="3015516"/>
                                </a:lnTo>
                                <a:lnTo>
                                  <a:pt x="4870066" y="2991962"/>
                                </a:lnTo>
                                <a:lnTo>
                                  <a:pt x="4876800" y="2961005"/>
                                </a:lnTo>
                                <a:lnTo>
                                  <a:pt x="4876800" y="0"/>
                                </a:lnTo>
                                <a:close/>
                              </a:path>
                            </a:pathLst>
                          </a:custGeom>
                          <a:solidFill>
                            <a:srgbClr val="DFEAF7"/>
                          </a:solidFill>
                        </wps:spPr>
                        <wps:bodyPr wrap="square" lIns="0" tIns="0" rIns="0" bIns="0" rtlCol="0">
                          <a:prstTxWarp prst="textNoShape">
                            <a:avLst/>
                          </a:prstTxWarp>
                          <a:noAutofit/>
                        </wps:bodyPr>
                      </wps:wsp>
                      <wps:wsp>
                        <wps:cNvPr id="1430" name="Graphic 1430"/>
                        <wps:cNvSpPr/>
                        <wps:spPr>
                          <a:xfrm>
                            <a:off x="0" y="0"/>
                            <a:ext cx="512445" cy="358775"/>
                          </a:xfrm>
                          <a:custGeom>
                            <a:avLst/>
                            <a:gdLst/>
                            <a:ahLst/>
                            <a:cxnLst/>
                            <a:rect l="l" t="t" r="r" b="b"/>
                            <a:pathLst>
                              <a:path w="512445" h="358775">
                                <a:moveTo>
                                  <a:pt x="512178" y="0"/>
                                </a:moveTo>
                                <a:lnTo>
                                  <a:pt x="76200" y="0"/>
                                </a:lnTo>
                                <a:lnTo>
                                  <a:pt x="47213" y="3058"/>
                                </a:lnTo>
                                <a:lnTo>
                                  <a:pt x="22917" y="14506"/>
                                </a:lnTo>
                                <a:lnTo>
                                  <a:pt x="6212" y="37751"/>
                                </a:lnTo>
                                <a:lnTo>
                                  <a:pt x="0" y="76200"/>
                                </a:lnTo>
                                <a:lnTo>
                                  <a:pt x="0" y="358775"/>
                                </a:lnTo>
                                <a:lnTo>
                                  <a:pt x="512178" y="358775"/>
                                </a:lnTo>
                                <a:lnTo>
                                  <a:pt x="512178" y="0"/>
                                </a:lnTo>
                                <a:close/>
                              </a:path>
                            </a:pathLst>
                          </a:custGeom>
                          <a:solidFill>
                            <a:srgbClr val="008FDD"/>
                          </a:solidFill>
                        </wps:spPr>
                        <wps:bodyPr wrap="square" lIns="0" tIns="0" rIns="0" bIns="0" rtlCol="0">
                          <a:prstTxWarp prst="textNoShape">
                            <a:avLst/>
                          </a:prstTxWarp>
                          <a:noAutofit/>
                        </wps:bodyPr>
                      </wps:wsp>
                      <wps:wsp>
                        <wps:cNvPr id="1431" name="Graphic 1431"/>
                        <wps:cNvSpPr/>
                        <wps:spPr>
                          <a:xfrm>
                            <a:off x="512178" y="0"/>
                            <a:ext cx="4364355" cy="358775"/>
                          </a:xfrm>
                          <a:custGeom>
                            <a:avLst/>
                            <a:gdLst/>
                            <a:ahLst/>
                            <a:cxnLst/>
                            <a:rect l="l" t="t" r="r" b="b"/>
                            <a:pathLst>
                              <a:path w="4364355" h="358775">
                                <a:moveTo>
                                  <a:pt x="4287926" y="0"/>
                                </a:moveTo>
                                <a:lnTo>
                                  <a:pt x="0" y="0"/>
                                </a:lnTo>
                                <a:lnTo>
                                  <a:pt x="0" y="358775"/>
                                </a:lnTo>
                                <a:lnTo>
                                  <a:pt x="4364126" y="358775"/>
                                </a:lnTo>
                                <a:lnTo>
                                  <a:pt x="4364126" y="76200"/>
                                </a:lnTo>
                                <a:lnTo>
                                  <a:pt x="4358620" y="50979"/>
                                </a:lnTo>
                                <a:lnTo>
                                  <a:pt x="4343095" y="26265"/>
                                </a:lnTo>
                                <a:lnTo>
                                  <a:pt x="4319035" y="7468"/>
                                </a:lnTo>
                                <a:lnTo>
                                  <a:pt x="4287926" y="0"/>
                                </a:lnTo>
                                <a:close/>
                              </a:path>
                            </a:pathLst>
                          </a:custGeom>
                          <a:solidFill>
                            <a:srgbClr val="808285"/>
                          </a:solidFill>
                        </wps:spPr>
                        <wps:bodyPr wrap="square" lIns="0" tIns="0" rIns="0" bIns="0" rtlCol="0">
                          <a:prstTxWarp prst="textNoShape">
                            <a:avLst/>
                          </a:prstTxWarp>
                          <a:noAutofit/>
                        </wps:bodyPr>
                      </wps:wsp>
                      <wps:wsp>
                        <wps:cNvPr id="1432" name="Graphic 1432"/>
                        <wps:cNvSpPr/>
                        <wps:spPr>
                          <a:xfrm>
                            <a:off x="512179" y="0"/>
                            <a:ext cx="1270" cy="367665"/>
                          </a:xfrm>
                          <a:custGeom>
                            <a:avLst/>
                            <a:gdLst/>
                            <a:ahLst/>
                            <a:cxnLst/>
                            <a:rect l="l" t="t" r="r" b="b"/>
                            <a:pathLst>
                              <a:path w="0" h="367665">
                                <a:moveTo>
                                  <a:pt x="0" y="0"/>
                                </a:moveTo>
                                <a:lnTo>
                                  <a:pt x="0" y="367487"/>
                                </a:lnTo>
                              </a:path>
                            </a:pathLst>
                          </a:custGeom>
                          <a:ln w="25400">
                            <a:solidFill>
                              <a:srgbClr val="FFFFFF"/>
                            </a:solidFill>
                            <a:prstDash val="solid"/>
                          </a:ln>
                        </wps:spPr>
                        <wps:bodyPr wrap="square" lIns="0" tIns="0" rIns="0" bIns="0" rtlCol="0">
                          <a:prstTxWarp prst="textNoShape">
                            <a:avLst/>
                          </a:prstTxWarp>
                          <a:noAutofit/>
                        </wps:bodyPr>
                      </wps:wsp>
                      <wps:wsp>
                        <wps:cNvPr id="1433" name="Graphic 1433"/>
                        <wps:cNvSpPr/>
                        <wps:spPr>
                          <a:xfrm>
                            <a:off x="219349" y="2749652"/>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434" name="Graphic 1434"/>
                        <wps:cNvSpPr/>
                        <wps:spPr>
                          <a:xfrm>
                            <a:off x="448640" y="2443029"/>
                            <a:ext cx="1270" cy="6350"/>
                          </a:xfrm>
                          <a:custGeom>
                            <a:avLst/>
                            <a:gdLst/>
                            <a:ahLst/>
                            <a:cxnLst/>
                            <a:rect l="l" t="t" r="r" b="b"/>
                            <a:pathLst>
                              <a:path w="0" h="6350">
                                <a:moveTo>
                                  <a:pt x="0" y="0"/>
                                </a:moveTo>
                                <a:lnTo>
                                  <a:pt x="0" y="6350"/>
                                </a:lnTo>
                              </a:path>
                            </a:pathLst>
                          </a:custGeom>
                          <a:ln w="1016">
                            <a:solidFill>
                              <a:srgbClr val="FFFFFF"/>
                            </a:solidFill>
                            <a:prstDash val="solid"/>
                          </a:ln>
                        </wps:spPr>
                        <wps:bodyPr wrap="square" lIns="0" tIns="0" rIns="0" bIns="0" rtlCol="0">
                          <a:prstTxWarp prst="textNoShape">
                            <a:avLst/>
                          </a:prstTxWarp>
                          <a:noAutofit/>
                        </wps:bodyPr>
                      </wps:wsp>
                      <wps:wsp>
                        <wps:cNvPr id="1435" name="Graphic 1435"/>
                        <wps:cNvSpPr/>
                        <wps:spPr>
                          <a:xfrm>
                            <a:off x="678433" y="2443029"/>
                            <a:ext cx="229870" cy="6350"/>
                          </a:xfrm>
                          <a:custGeom>
                            <a:avLst/>
                            <a:gdLst/>
                            <a:ahLst/>
                            <a:cxnLst/>
                            <a:rect l="l" t="t" r="r" b="b"/>
                            <a:pathLst>
                              <a:path w="229870" h="6350">
                                <a:moveTo>
                                  <a:pt x="0" y="0"/>
                                </a:moveTo>
                                <a:lnTo>
                                  <a:pt x="0" y="6350"/>
                                </a:lnTo>
                              </a:path>
                              <a:path w="229870" h="6350">
                                <a:moveTo>
                                  <a:pt x="229793" y="0"/>
                                </a:moveTo>
                                <a:lnTo>
                                  <a:pt x="229793" y="6350"/>
                                </a:lnTo>
                              </a:path>
                            </a:pathLst>
                          </a:custGeom>
                          <a:ln w="1015">
                            <a:solidFill>
                              <a:srgbClr val="FFFFFF"/>
                            </a:solidFill>
                            <a:prstDash val="solid"/>
                          </a:ln>
                        </wps:spPr>
                        <wps:bodyPr wrap="square" lIns="0" tIns="0" rIns="0" bIns="0" rtlCol="0">
                          <a:prstTxWarp prst="textNoShape">
                            <a:avLst/>
                          </a:prstTxWarp>
                          <a:noAutofit/>
                        </wps:bodyPr>
                      </wps:wsp>
                      <wps:wsp>
                        <wps:cNvPr id="1436" name="Graphic 1436"/>
                        <wps:cNvSpPr/>
                        <wps:spPr>
                          <a:xfrm>
                            <a:off x="1138021" y="2443029"/>
                            <a:ext cx="1270" cy="6350"/>
                          </a:xfrm>
                          <a:custGeom>
                            <a:avLst/>
                            <a:gdLst/>
                            <a:ahLst/>
                            <a:cxnLst/>
                            <a:rect l="l" t="t" r="r" b="b"/>
                            <a:pathLst>
                              <a:path w="0" h="6350">
                                <a:moveTo>
                                  <a:pt x="0" y="0"/>
                                </a:moveTo>
                                <a:lnTo>
                                  <a:pt x="0" y="6350"/>
                                </a:lnTo>
                              </a:path>
                            </a:pathLst>
                          </a:custGeom>
                          <a:ln w="1016">
                            <a:solidFill>
                              <a:srgbClr val="FFFFFF"/>
                            </a:solidFill>
                            <a:prstDash val="solid"/>
                          </a:ln>
                        </wps:spPr>
                        <wps:bodyPr wrap="square" lIns="0" tIns="0" rIns="0" bIns="0" rtlCol="0">
                          <a:prstTxWarp prst="textNoShape">
                            <a:avLst/>
                          </a:prstTxWarp>
                          <a:noAutofit/>
                        </wps:bodyPr>
                      </wps:wsp>
                      <wps:wsp>
                        <wps:cNvPr id="1437" name="Graphic 1437"/>
                        <wps:cNvSpPr/>
                        <wps:spPr>
                          <a:xfrm>
                            <a:off x="1367307" y="2446204"/>
                            <a:ext cx="919480" cy="1270"/>
                          </a:xfrm>
                          <a:custGeom>
                            <a:avLst/>
                            <a:gdLst/>
                            <a:ahLst/>
                            <a:cxnLst/>
                            <a:rect l="l" t="t" r="r" b="b"/>
                            <a:pathLst>
                              <a:path w="919480" h="0">
                                <a:moveTo>
                                  <a:pt x="0" y="0"/>
                                </a:moveTo>
                                <a:lnTo>
                                  <a:pt x="919182" y="0"/>
                                </a:lnTo>
                              </a:path>
                            </a:pathLst>
                          </a:custGeom>
                          <a:ln w="6350">
                            <a:solidFill>
                              <a:srgbClr val="FFFFFF"/>
                            </a:solidFill>
                            <a:prstDash val="solid"/>
                          </a:ln>
                        </wps:spPr>
                        <wps:bodyPr wrap="square" lIns="0" tIns="0" rIns="0" bIns="0" rtlCol="0">
                          <a:prstTxWarp prst="textNoShape">
                            <a:avLst/>
                          </a:prstTxWarp>
                          <a:noAutofit/>
                        </wps:bodyPr>
                      </wps:wsp>
                      <wps:wsp>
                        <wps:cNvPr id="1438" name="Graphic 1438"/>
                        <wps:cNvSpPr/>
                        <wps:spPr>
                          <a:xfrm>
                            <a:off x="448640" y="2139581"/>
                            <a:ext cx="1270" cy="6350"/>
                          </a:xfrm>
                          <a:custGeom>
                            <a:avLst/>
                            <a:gdLst/>
                            <a:ahLst/>
                            <a:cxnLst/>
                            <a:rect l="l" t="t" r="r" b="b"/>
                            <a:pathLst>
                              <a:path w="0" h="6350">
                                <a:moveTo>
                                  <a:pt x="0" y="0"/>
                                </a:moveTo>
                                <a:lnTo>
                                  <a:pt x="0" y="6350"/>
                                </a:lnTo>
                              </a:path>
                            </a:pathLst>
                          </a:custGeom>
                          <a:ln w="1016">
                            <a:solidFill>
                              <a:srgbClr val="FFFFFF"/>
                            </a:solidFill>
                            <a:prstDash val="solid"/>
                          </a:ln>
                        </wps:spPr>
                        <wps:bodyPr wrap="square" lIns="0" tIns="0" rIns="0" bIns="0" rtlCol="0">
                          <a:prstTxWarp prst="textNoShape">
                            <a:avLst/>
                          </a:prstTxWarp>
                          <a:noAutofit/>
                        </wps:bodyPr>
                      </wps:wsp>
                      <wps:wsp>
                        <wps:cNvPr id="1439" name="Graphic 1439"/>
                        <wps:cNvSpPr/>
                        <wps:spPr>
                          <a:xfrm>
                            <a:off x="678433" y="2139581"/>
                            <a:ext cx="229870" cy="6350"/>
                          </a:xfrm>
                          <a:custGeom>
                            <a:avLst/>
                            <a:gdLst/>
                            <a:ahLst/>
                            <a:cxnLst/>
                            <a:rect l="l" t="t" r="r" b="b"/>
                            <a:pathLst>
                              <a:path w="229870" h="6350">
                                <a:moveTo>
                                  <a:pt x="0" y="0"/>
                                </a:moveTo>
                                <a:lnTo>
                                  <a:pt x="0" y="6350"/>
                                </a:lnTo>
                              </a:path>
                              <a:path w="229870" h="6350">
                                <a:moveTo>
                                  <a:pt x="229793" y="0"/>
                                </a:moveTo>
                                <a:lnTo>
                                  <a:pt x="229793" y="6350"/>
                                </a:lnTo>
                              </a:path>
                            </a:pathLst>
                          </a:custGeom>
                          <a:ln w="1015">
                            <a:solidFill>
                              <a:srgbClr val="FFFFFF"/>
                            </a:solidFill>
                            <a:prstDash val="solid"/>
                          </a:ln>
                        </wps:spPr>
                        <wps:bodyPr wrap="square" lIns="0" tIns="0" rIns="0" bIns="0" rtlCol="0">
                          <a:prstTxWarp prst="textNoShape">
                            <a:avLst/>
                          </a:prstTxWarp>
                          <a:noAutofit/>
                        </wps:bodyPr>
                      </wps:wsp>
                      <wps:wsp>
                        <wps:cNvPr id="1440" name="Graphic 1440"/>
                        <wps:cNvSpPr/>
                        <wps:spPr>
                          <a:xfrm>
                            <a:off x="1138021" y="2139581"/>
                            <a:ext cx="1270" cy="6350"/>
                          </a:xfrm>
                          <a:custGeom>
                            <a:avLst/>
                            <a:gdLst/>
                            <a:ahLst/>
                            <a:cxnLst/>
                            <a:rect l="l" t="t" r="r" b="b"/>
                            <a:pathLst>
                              <a:path w="0" h="6350">
                                <a:moveTo>
                                  <a:pt x="0" y="0"/>
                                </a:moveTo>
                                <a:lnTo>
                                  <a:pt x="0" y="6350"/>
                                </a:lnTo>
                              </a:path>
                            </a:pathLst>
                          </a:custGeom>
                          <a:ln w="1016">
                            <a:solidFill>
                              <a:srgbClr val="FFFFFF"/>
                            </a:solidFill>
                            <a:prstDash val="solid"/>
                          </a:ln>
                        </wps:spPr>
                        <wps:bodyPr wrap="square" lIns="0" tIns="0" rIns="0" bIns="0" rtlCol="0">
                          <a:prstTxWarp prst="textNoShape">
                            <a:avLst/>
                          </a:prstTxWarp>
                          <a:noAutofit/>
                        </wps:bodyPr>
                      </wps:wsp>
                      <wps:wsp>
                        <wps:cNvPr id="1441" name="Graphic 1441"/>
                        <wps:cNvSpPr/>
                        <wps:spPr>
                          <a:xfrm>
                            <a:off x="1367307" y="2142756"/>
                            <a:ext cx="919480" cy="1270"/>
                          </a:xfrm>
                          <a:custGeom>
                            <a:avLst/>
                            <a:gdLst/>
                            <a:ahLst/>
                            <a:cxnLst/>
                            <a:rect l="l" t="t" r="r" b="b"/>
                            <a:pathLst>
                              <a:path w="919480" h="0">
                                <a:moveTo>
                                  <a:pt x="0" y="0"/>
                                </a:moveTo>
                                <a:lnTo>
                                  <a:pt x="919182" y="0"/>
                                </a:lnTo>
                              </a:path>
                            </a:pathLst>
                          </a:custGeom>
                          <a:ln w="6350">
                            <a:solidFill>
                              <a:srgbClr val="FFFFFF"/>
                            </a:solidFill>
                            <a:prstDash val="solid"/>
                          </a:ln>
                        </wps:spPr>
                        <wps:bodyPr wrap="square" lIns="0" tIns="0" rIns="0" bIns="0" rtlCol="0">
                          <a:prstTxWarp prst="textNoShape">
                            <a:avLst/>
                          </a:prstTxWarp>
                          <a:noAutofit/>
                        </wps:bodyPr>
                      </wps:wsp>
                      <wps:wsp>
                        <wps:cNvPr id="1442" name="Graphic 1442"/>
                        <wps:cNvSpPr/>
                        <wps:spPr>
                          <a:xfrm>
                            <a:off x="448640" y="1836132"/>
                            <a:ext cx="1270" cy="6350"/>
                          </a:xfrm>
                          <a:custGeom>
                            <a:avLst/>
                            <a:gdLst/>
                            <a:ahLst/>
                            <a:cxnLst/>
                            <a:rect l="l" t="t" r="r" b="b"/>
                            <a:pathLst>
                              <a:path w="0" h="6350">
                                <a:moveTo>
                                  <a:pt x="0" y="0"/>
                                </a:moveTo>
                                <a:lnTo>
                                  <a:pt x="0" y="6350"/>
                                </a:lnTo>
                              </a:path>
                            </a:pathLst>
                          </a:custGeom>
                          <a:ln w="1016">
                            <a:solidFill>
                              <a:srgbClr val="FFFFFF"/>
                            </a:solidFill>
                            <a:prstDash val="solid"/>
                          </a:ln>
                        </wps:spPr>
                        <wps:bodyPr wrap="square" lIns="0" tIns="0" rIns="0" bIns="0" rtlCol="0">
                          <a:prstTxWarp prst="textNoShape">
                            <a:avLst/>
                          </a:prstTxWarp>
                          <a:noAutofit/>
                        </wps:bodyPr>
                      </wps:wsp>
                      <wps:wsp>
                        <wps:cNvPr id="1443" name="Graphic 1443"/>
                        <wps:cNvSpPr/>
                        <wps:spPr>
                          <a:xfrm>
                            <a:off x="678433" y="1836132"/>
                            <a:ext cx="1270" cy="6350"/>
                          </a:xfrm>
                          <a:custGeom>
                            <a:avLst/>
                            <a:gdLst/>
                            <a:ahLst/>
                            <a:cxnLst/>
                            <a:rect l="l" t="t" r="r" b="b"/>
                            <a:pathLst>
                              <a:path w="0" h="6350">
                                <a:moveTo>
                                  <a:pt x="0" y="0"/>
                                </a:moveTo>
                                <a:lnTo>
                                  <a:pt x="0" y="6350"/>
                                </a:lnTo>
                              </a:path>
                            </a:pathLst>
                          </a:custGeom>
                          <a:ln w="1015">
                            <a:solidFill>
                              <a:srgbClr val="FFFFFF"/>
                            </a:solidFill>
                            <a:prstDash val="solid"/>
                          </a:ln>
                        </wps:spPr>
                        <wps:bodyPr wrap="square" lIns="0" tIns="0" rIns="0" bIns="0" rtlCol="0">
                          <a:prstTxWarp prst="textNoShape">
                            <a:avLst/>
                          </a:prstTxWarp>
                          <a:noAutofit/>
                        </wps:bodyPr>
                      </wps:wsp>
                      <wps:wsp>
                        <wps:cNvPr id="1444" name="Graphic 1444"/>
                        <wps:cNvSpPr/>
                        <wps:spPr>
                          <a:xfrm>
                            <a:off x="907719" y="1839307"/>
                            <a:ext cx="1379220" cy="1270"/>
                          </a:xfrm>
                          <a:custGeom>
                            <a:avLst/>
                            <a:gdLst/>
                            <a:ahLst/>
                            <a:cxnLst/>
                            <a:rect l="l" t="t" r="r" b="b"/>
                            <a:pathLst>
                              <a:path w="1379220" h="0">
                                <a:moveTo>
                                  <a:pt x="0" y="0"/>
                                </a:moveTo>
                                <a:lnTo>
                                  <a:pt x="1378770" y="0"/>
                                </a:lnTo>
                              </a:path>
                            </a:pathLst>
                          </a:custGeom>
                          <a:ln w="6350">
                            <a:solidFill>
                              <a:srgbClr val="FFFFFF"/>
                            </a:solidFill>
                            <a:prstDash val="solid"/>
                          </a:ln>
                        </wps:spPr>
                        <wps:bodyPr wrap="square" lIns="0" tIns="0" rIns="0" bIns="0" rtlCol="0">
                          <a:prstTxWarp prst="textNoShape">
                            <a:avLst/>
                          </a:prstTxWarp>
                          <a:noAutofit/>
                        </wps:bodyPr>
                      </wps:wsp>
                      <wps:wsp>
                        <wps:cNvPr id="1445" name="Graphic 1445"/>
                        <wps:cNvSpPr/>
                        <wps:spPr>
                          <a:xfrm>
                            <a:off x="448640" y="1532684"/>
                            <a:ext cx="1270" cy="6350"/>
                          </a:xfrm>
                          <a:custGeom>
                            <a:avLst/>
                            <a:gdLst/>
                            <a:ahLst/>
                            <a:cxnLst/>
                            <a:rect l="l" t="t" r="r" b="b"/>
                            <a:pathLst>
                              <a:path w="0" h="6350">
                                <a:moveTo>
                                  <a:pt x="0" y="0"/>
                                </a:moveTo>
                                <a:lnTo>
                                  <a:pt x="0" y="6350"/>
                                </a:lnTo>
                              </a:path>
                            </a:pathLst>
                          </a:custGeom>
                          <a:ln w="1016">
                            <a:solidFill>
                              <a:srgbClr val="FFFFFF"/>
                            </a:solidFill>
                            <a:prstDash val="solid"/>
                          </a:ln>
                        </wps:spPr>
                        <wps:bodyPr wrap="square" lIns="0" tIns="0" rIns="0" bIns="0" rtlCol="0">
                          <a:prstTxWarp prst="textNoShape">
                            <a:avLst/>
                          </a:prstTxWarp>
                          <a:noAutofit/>
                        </wps:bodyPr>
                      </wps:wsp>
                      <wps:wsp>
                        <wps:cNvPr id="1446" name="Graphic 1446"/>
                        <wps:cNvSpPr/>
                        <wps:spPr>
                          <a:xfrm>
                            <a:off x="677926" y="1535859"/>
                            <a:ext cx="1609090" cy="1270"/>
                          </a:xfrm>
                          <a:custGeom>
                            <a:avLst/>
                            <a:gdLst/>
                            <a:ahLst/>
                            <a:cxnLst/>
                            <a:rect l="l" t="t" r="r" b="b"/>
                            <a:pathLst>
                              <a:path w="1609090" h="0">
                                <a:moveTo>
                                  <a:pt x="0" y="0"/>
                                </a:moveTo>
                                <a:lnTo>
                                  <a:pt x="1608564" y="0"/>
                                </a:lnTo>
                              </a:path>
                            </a:pathLst>
                          </a:custGeom>
                          <a:ln w="6350">
                            <a:solidFill>
                              <a:srgbClr val="FFFFFF"/>
                            </a:solidFill>
                            <a:prstDash val="solid"/>
                          </a:ln>
                        </wps:spPr>
                        <wps:bodyPr wrap="square" lIns="0" tIns="0" rIns="0" bIns="0" rtlCol="0">
                          <a:prstTxWarp prst="textNoShape">
                            <a:avLst/>
                          </a:prstTxWarp>
                          <a:noAutofit/>
                        </wps:bodyPr>
                      </wps:wsp>
                      <wps:wsp>
                        <wps:cNvPr id="1447" name="Graphic 1447"/>
                        <wps:cNvSpPr/>
                        <wps:spPr>
                          <a:xfrm>
                            <a:off x="448640" y="1229236"/>
                            <a:ext cx="1270" cy="6350"/>
                          </a:xfrm>
                          <a:custGeom>
                            <a:avLst/>
                            <a:gdLst/>
                            <a:ahLst/>
                            <a:cxnLst/>
                            <a:rect l="l" t="t" r="r" b="b"/>
                            <a:pathLst>
                              <a:path w="0" h="6350">
                                <a:moveTo>
                                  <a:pt x="0" y="0"/>
                                </a:moveTo>
                                <a:lnTo>
                                  <a:pt x="0" y="6350"/>
                                </a:lnTo>
                              </a:path>
                            </a:pathLst>
                          </a:custGeom>
                          <a:ln w="1016">
                            <a:solidFill>
                              <a:srgbClr val="FFFFFF"/>
                            </a:solidFill>
                            <a:prstDash val="solid"/>
                          </a:ln>
                        </wps:spPr>
                        <wps:bodyPr wrap="square" lIns="0" tIns="0" rIns="0" bIns="0" rtlCol="0">
                          <a:prstTxWarp prst="textNoShape">
                            <a:avLst/>
                          </a:prstTxWarp>
                          <a:noAutofit/>
                        </wps:bodyPr>
                      </wps:wsp>
                      <wps:wsp>
                        <wps:cNvPr id="1448" name="Graphic 1448"/>
                        <wps:cNvSpPr/>
                        <wps:spPr>
                          <a:xfrm>
                            <a:off x="677926" y="1232411"/>
                            <a:ext cx="1609090" cy="1270"/>
                          </a:xfrm>
                          <a:custGeom>
                            <a:avLst/>
                            <a:gdLst/>
                            <a:ahLst/>
                            <a:cxnLst/>
                            <a:rect l="l" t="t" r="r" b="b"/>
                            <a:pathLst>
                              <a:path w="1609090" h="0">
                                <a:moveTo>
                                  <a:pt x="0" y="0"/>
                                </a:moveTo>
                                <a:lnTo>
                                  <a:pt x="1608564" y="0"/>
                                </a:lnTo>
                              </a:path>
                            </a:pathLst>
                          </a:custGeom>
                          <a:ln w="6350">
                            <a:solidFill>
                              <a:srgbClr val="FFFFFF"/>
                            </a:solidFill>
                            <a:prstDash val="solid"/>
                          </a:ln>
                        </wps:spPr>
                        <wps:bodyPr wrap="square" lIns="0" tIns="0" rIns="0" bIns="0" rtlCol="0">
                          <a:prstTxWarp prst="textNoShape">
                            <a:avLst/>
                          </a:prstTxWarp>
                          <a:noAutofit/>
                        </wps:bodyPr>
                      </wps:wsp>
                      <wps:wsp>
                        <wps:cNvPr id="1449" name="Graphic 1449"/>
                        <wps:cNvSpPr/>
                        <wps:spPr>
                          <a:xfrm>
                            <a:off x="219349" y="928963"/>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450" name="Graphic 1450"/>
                        <wps:cNvSpPr/>
                        <wps:spPr>
                          <a:xfrm>
                            <a:off x="3362102" y="1091928"/>
                            <a:ext cx="334010" cy="890269"/>
                          </a:xfrm>
                          <a:custGeom>
                            <a:avLst/>
                            <a:gdLst/>
                            <a:ahLst/>
                            <a:cxnLst/>
                            <a:rect l="l" t="t" r="r" b="b"/>
                            <a:pathLst>
                              <a:path w="334010" h="890269">
                                <a:moveTo>
                                  <a:pt x="333438" y="0"/>
                                </a:moveTo>
                                <a:lnTo>
                                  <a:pt x="283559" y="1271"/>
                                </a:lnTo>
                                <a:lnTo>
                                  <a:pt x="234874" y="5119"/>
                                </a:lnTo>
                                <a:lnTo>
                                  <a:pt x="187115" y="11596"/>
                                </a:lnTo>
                                <a:lnTo>
                                  <a:pt x="140015" y="20753"/>
                                </a:lnTo>
                                <a:lnTo>
                                  <a:pt x="93307" y="32642"/>
                                </a:lnTo>
                                <a:lnTo>
                                  <a:pt x="46724" y="47314"/>
                                </a:lnTo>
                                <a:lnTo>
                                  <a:pt x="0" y="64820"/>
                                </a:lnTo>
                                <a:lnTo>
                                  <a:pt x="333438" y="890092"/>
                                </a:lnTo>
                                <a:lnTo>
                                  <a:pt x="333438" y="0"/>
                                </a:lnTo>
                                <a:close/>
                              </a:path>
                            </a:pathLst>
                          </a:custGeom>
                          <a:solidFill>
                            <a:srgbClr val="008FDD"/>
                          </a:solidFill>
                        </wps:spPr>
                        <wps:bodyPr wrap="square" lIns="0" tIns="0" rIns="0" bIns="0" rtlCol="0">
                          <a:prstTxWarp prst="textNoShape">
                            <a:avLst/>
                          </a:prstTxWarp>
                          <a:noAutofit/>
                        </wps:bodyPr>
                      </wps:wsp>
                      <wps:wsp>
                        <wps:cNvPr id="1451" name="Graphic 1451"/>
                        <wps:cNvSpPr/>
                        <wps:spPr>
                          <a:xfrm>
                            <a:off x="2888850" y="1156749"/>
                            <a:ext cx="807085" cy="825500"/>
                          </a:xfrm>
                          <a:custGeom>
                            <a:avLst/>
                            <a:gdLst/>
                            <a:ahLst/>
                            <a:cxnLst/>
                            <a:rect l="l" t="t" r="r" b="b"/>
                            <a:pathLst>
                              <a:path w="807085" h="825500">
                                <a:moveTo>
                                  <a:pt x="473252" y="0"/>
                                </a:moveTo>
                                <a:lnTo>
                                  <a:pt x="423899" y="21439"/>
                                </a:lnTo>
                                <a:lnTo>
                                  <a:pt x="376794" y="44979"/>
                                </a:lnTo>
                                <a:lnTo>
                                  <a:pt x="331912" y="70640"/>
                                </a:lnTo>
                                <a:lnTo>
                                  <a:pt x="289229" y="98447"/>
                                </a:lnTo>
                                <a:lnTo>
                                  <a:pt x="248721" y="128423"/>
                                </a:lnTo>
                                <a:lnTo>
                                  <a:pt x="210363" y="160591"/>
                                </a:lnTo>
                                <a:lnTo>
                                  <a:pt x="174130" y="194974"/>
                                </a:lnTo>
                                <a:lnTo>
                                  <a:pt x="139998" y="231596"/>
                                </a:lnTo>
                                <a:lnTo>
                                  <a:pt x="107943" y="270480"/>
                                </a:lnTo>
                                <a:lnTo>
                                  <a:pt x="77941" y="311648"/>
                                </a:lnTo>
                                <a:lnTo>
                                  <a:pt x="49965" y="355125"/>
                                </a:lnTo>
                                <a:lnTo>
                                  <a:pt x="23993" y="400934"/>
                                </a:lnTo>
                                <a:lnTo>
                                  <a:pt x="0" y="449097"/>
                                </a:lnTo>
                                <a:lnTo>
                                  <a:pt x="806691" y="825271"/>
                                </a:lnTo>
                                <a:lnTo>
                                  <a:pt x="473252" y="0"/>
                                </a:lnTo>
                                <a:close/>
                              </a:path>
                            </a:pathLst>
                          </a:custGeom>
                          <a:solidFill>
                            <a:srgbClr val="76AEE5"/>
                          </a:solidFill>
                        </wps:spPr>
                        <wps:bodyPr wrap="square" lIns="0" tIns="0" rIns="0" bIns="0" rtlCol="0">
                          <a:prstTxWarp prst="textNoShape">
                            <a:avLst/>
                          </a:prstTxWarp>
                          <a:noAutofit/>
                        </wps:bodyPr>
                      </wps:wsp>
                      <wps:wsp>
                        <wps:cNvPr id="1452" name="Graphic 1452"/>
                        <wps:cNvSpPr/>
                        <wps:spPr>
                          <a:xfrm>
                            <a:off x="2802853" y="1605846"/>
                            <a:ext cx="1226185" cy="1266825"/>
                          </a:xfrm>
                          <a:custGeom>
                            <a:avLst/>
                            <a:gdLst/>
                            <a:ahLst/>
                            <a:cxnLst/>
                            <a:rect l="l" t="t" r="r" b="b"/>
                            <a:pathLst>
                              <a:path w="1226185" h="1266825">
                                <a:moveTo>
                                  <a:pt x="85996" y="0"/>
                                </a:moveTo>
                                <a:lnTo>
                                  <a:pt x="65745" y="46454"/>
                                </a:lnTo>
                                <a:lnTo>
                                  <a:pt x="48207" y="93131"/>
                                </a:lnTo>
                                <a:lnTo>
                                  <a:pt x="33384" y="140008"/>
                                </a:lnTo>
                                <a:lnTo>
                                  <a:pt x="21275" y="187061"/>
                                </a:lnTo>
                                <a:lnTo>
                                  <a:pt x="11882" y="234268"/>
                                </a:lnTo>
                                <a:lnTo>
                                  <a:pt x="5204" y="281604"/>
                                </a:lnTo>
                                <a:lnTo>
                                  <a:pt x="1243" y="329047"/>
                                </a:lnTo>
                                <a:lnTo>
                                  <a:pt x="0" y="376572"/>
                                </a:lnTo>
                                <a:lnTo>
                                  <a:pt x="1473" y="424158"/>
                                </a:lnTo>
                                <a:lnTo>
                                  <a:pt x="5665" y="471779"/>
                                </a:lnTo>
                                <a:lnTo>
                                  <a:pt x="12575" y="519413"/>
                                </a:lnTo>
                                <a:lnTo>
                                  <a:pt x="22205" y="567037"/>
                                </a:lnTo>
                                <a:lnTo>
                                  <a:pt x="34555" y="614627"/>
                                </a:lnTo>
                                <a:lnTo>
                                  <a:pt x="49625" y="662160"/>
                                </a:lnTo>
                                <a:lnTo>
                                  <a:pt x="67416" y="709612"/>
                                </a:lnTo>
                                <a:lnTo>
                                  <a:pt x="86931" y="754398"/>
                                </a:lnTo>
                                <a:lnTo>
                                  <a:pt x="108589" y="797577"/>
                                </a:lnTo>
                                <a:lnTo>
                                  <a:pt x="132302" y="839109"/>
                                </a:lnTo>
                                <a:lnTo>
                                  <a:pt x="157980" y="878959"/>
                                </a:lnTo>
                                <a:lnTo>
                                  <a:pt x="185535" y="917088"/>
                                </a:lnTo>
                                <a:lnTo>
                                  <a:pt x="214879" y="953460"/>
                                </a:lnTo>
                                <a:lnTo>
                                  <a:pt x="245924" y="988035"/>
                                </a:lnTo>
                                <a:lnTo>
                                  <a:pt x="278581" y="1020778"/>
                                </a:lnTo>
                                <a:lnTo>
                                  <a:pt x="312763" y="1051650"/>
                                </a:lnTo>
                                <a:lnTo>
                                  <a:pt x="348380" y="1080614"/>
                                </a:lnTo>
                                <a:lnTo>
                                  <a:pt x="385344" y="1107633"/>
                                </a:lnTo>
                                <a:lnTo>
                                  <a:pt x="423567" y="1132668"/>
                                </a:lnTo>
                                <a:lnTo>
                                  <a:pt x="462960" y="1155683"/>
                                </a:lnTo>
                                <a:lnTo>
                                  <a:pt x="503436" y="1176640"/>
                                </a:lnTo>
                                <a:lnTo>
                                  <a:pt x="544905" y="1195501"/>
                                </a:lnTo>
                                <a:lnTo>
                                  <a:pt x="587280" y="1212229"/>
                                </a:lnTo>
                                <a:lnTo>
                                  <a:pt x="630473" y="1226787"/>
                                </a:lnTo>
                                <a:lnTo>
                                  <a:pt x="674393" y="1239136"/>
                                </a:lnTo>
                                <a:lnTo>
                                  <a:pt x="718955" y="1249240"/>
                                </a:lnTo>
                                <a:lnTo>
                                  <a:pt x="764068" y="1257061"/>
                                </a:lnTo>
                                <a:lnTo>
                                  <a:pt x="809645" y="1262561"/>
                                </a:lnTo>
                                <a:lnTo>
                                  <a:pt x="855597" y="1265703"/>
                                </a:lnTo>
                                <a:lnTo>
                                  <a:pt x="901837" y="1266449"/>
                                </a:lnTo>
                                <a:lnTo>
                                  <a:pt x="948275" y="1264763"/>
                                </a:lnTo>
                                <a:lnTo>
                                  <a:pt x="994823" y="1260605"/>
                                </a:lnTo>
                                <a:lnTo>
                                  <a:pt x="1041393" y="1253939"/>
                                </a:lnTo>
                                <a:lnTo>
                                  <a:pt x="1087897" y="1244728"/>
                                </a:lnTo>
                                <a:lnTo>
                                  <a:pt x="1134246" y="1232934"/>
                                </a:lnTo>
                                <a:lnTo>
                                  <a:pt x="1180351" y="1218518"/>
                                </a:lnTo>
                                <a:lnTo>
                                  <a:pt x="1226125" y="1201445"/>
                                </a:lnTo>
                                <a:lnTo>
                                  <a:pt x="892687" y="376174"/>
                                </a:lnTo>
                                <a:lnTo>
                                  <a:pt x="85996" y="0"/>
                                </a:lnTo>
                                <a:close/>
                              </a:path>
                            </a:pathLst>
                          </a:custGeom>
                          <a:solidFill>
                            <a:srgbClr val="939598"/>
                          </a:solidFill>
                        </wps:spPr>
                        <wps:bodyPr wrap="square" lIns="0" tIns="0" rIns="0" bIns="0" rtlCol="0">
                          <a:prstTxWarp prst="textNoShape">
                            <a:avLst/>
                          </a:prstTxWarp>
                          <a:noAutofit/>
                        </wps:bodyPr>
                      </wps:wsp>
                      <wps:wsp>
                        <wps:cNvPr id="1453" name="Graphic 1453"/>
                        <wps:cNvSpPr/>
                        <wps:spPr>
                          <a:xfrm>
                            <a:off x="3695541" y="1091928"/>
                            <a:ext cx="890269" cy="1715770"/>
                          </a:xfrm>
                          <a:custGeom>
                            <a:avLst/>
                            <a:gdLst/>
                            <a:ahLst/>
                            <a:cxnLst/>
                            <a:rect l="l" t="t" r="r" b="b"/>
                            <a:pathLst>
                              <a:path w="890269" h="1715770">
                                <a:moveTo>
                                  <a:pt x="0" y="0"/>
                                </a:moveTo>
                                <a:lnTo>
                                  <a:pt x="0" y="890092"/>
                                </a:lnTo>
                                <a:lnTo>
                                  <a:pt x="333438" y="1715363"/>
                                </a:lnTo>
                                <a:lnTo>
                                  <a:pt x="379823" y="1695224"/>
                                </a:lnTo>
                                <a:lnTo>
                                  <a:pt x="424478" y="1673018"/>
                                </a:lnTo>
                                <a:lnTo>
                                  <a:pt x="467362" y="1648806"/>
                                </a:lnTo>
                                <a:lnTo>
                                  <a:pt x="508433" y="1622651"/>
                                </a:lnTo>
                                <a:lnTo>
                                  <a:pt x="547650" y="1594615"/>
                                </a:lnTo>
                                <a:lnTo>
                                  <a:pt x="584970" y="1564758"/>
                                </a:lnTo>
                                <a:lnTo>
                                  <a:pt x="620352" y="1533144"/>
                                </a:lnTo>
                                <a:lnTo>
                                  <a:pt x="653754" y="1499834"/>
                                </a:lnTo>
                                <a:lnTo>
                                  <a:pt x="685134" y="1464890"/>
                                </a:lnTo>
                                <a:lnTo>
                                  <a:pt x="714451" y="1428374"/>
                                </a:lnTo>
                                <a:lnTo>
                                  <a:pt x="741662" y="1390348"/>
                                </a:lnTo>
                                <a:lnTo>
                                  <a:pt x="766726" y="1350873"/>
                                </a:lnTo>
                                <a:lnTo>
                                  <a:pt x="789602" y="1310012"/>
                                </a:lnTo>
                                <a:lnTo>
                                  <a:pt x="810247" y="1267827"/>
                                </a:lnTo>
                                <a:lnTo>
                                  <a:pt x="828619" y="1224379"/>
                                </a:lnTo>
                                <a:lnTo>
                                  <a:pt x="844678" y="1179731"/>
                                </a:lnTo>
                                <a:lnTo>
                                  <a:pt x="858380" y="1133943"/>
                                </a:lnTo>
                                <a:lnTo>
                                  <a:pt x="869685" y="1087079"/>
                                </a:lnTo>
                                <a:lnTo>
                                  <a:pt x="878550" y="1039200"/>
                                </a:lnTo>
                                <a:lnTo>
                                  <a:pt x="884934" y="990368"/>
                                </a:lnTo>
                                <a:lnTo>
                                  <a:pt x="888795" y="940644"/>
                                </a:lnTo>
                                <a:lnTo>
                                  <a:pt x="890092" y="890092"/>
                                </a:lnTo>
                                <a:lnTo>
                                  <a:pt x="888775" y="841255"/>
                                </a:lnTo>
                                <a:lnTo>
                                  <a:pt x="884869" y="793107"/>
                                </a:lnTo>
                                <a:lnTo>
                                  <a:pt x="878442" y="745715"/>
                                </a:lnTo>
                                <a:lnTo>
                                  <a:pt x="869562" y="699148"/>
                                </a:lnTo>
                                <a:lnTo>
                                  <a:pt x="858296" y="653472"/>
                                </a:lnTo>
                                <a:lnTo>
                                  <a:pt x="844714" y="608756"/>
                                </a:lnTo>
                                <a:lnTo>
                                  <a:pt x="828882" y="565068"/>
                                </a:lnTo>
                                <a:lnTo>
                                  <a:pt x="810868" y="522475"/>
                                </a:lnTo>
                                <a:lnTo>
                                  <a:pt x="790740" y="481045"/>
                                </a:lnTo>
                                <a:lnTo>
                                  <a:pt x="768567" y="440848"/>
                                </a:lnTo>
                                <a:lnTo>
                                  <a:pt x="744415" y="401949"/>
                                </a:lnTo>
                                <a:lnTo>
                                  <a:pt x="718354" y="364417"/>
                                </a:lnTo>
                                <a:lnTo>
                                  <a:pt x="690450" y="328320"/>
                                </a:lnTo>
                                <a:lnTo>
                                  <a:pt x="660772" y="293727"/>
                                </a:lnTo>
                                <a:lnTo>
                                  <a:pt x="629388" y="260704"/>
                                </a:lnTo>
                                <a:lnTo>
                                  <a:pt x="596365" y="229319"/>
                                </a:lnTo>
                                <a:lnTo>
                                  <a:pt x="561771" y="199641"/>
                                </a:lnTo>
                                <a:lnTo>
                                  <a:pt x="525674" y="171737"/>
                                </a:lnTo>
                                <a:lnTo>
                                  <a:pt x="488142" y="145676"/>
                                </a:lnTo>
                                <a:lnTo>
                                  <a:pt x="449244" y="121524"/>
                                </a:lnTo>
                                <a:lnTo>
                                  <a:pt x="409046" y="99351"/>
                                </a:lnTo>
                                <a:lnTo>
                                  <a:pt x="367616" y="79223"/>
                                </a:lnTo>
                                <a:lnTo>
                                  <a:pt x="325024" y="61210"/>
                                </a:lnTo>
                                <a:lnTo>
                                  <a:pt x="281335" y="45378"/>
                                </a:lnTo>
                                <a:lnTo>
                                  <a:pt x="236619" y="31795"/>
                                </a:lnTo>
                                <a:lnTo>
                                  <a:pt x="190944" y="20530"/>
                                </a:lnTo>
                                <a:lnTo>
                                  <a:pt x="144376" y="11649"/>
                                </a:lnTo>
                                <a:lnTo>
                                  <a:pt x="96984" y="5223"/>
                                </a:lnTo>
                                <a:lnTo>
                                  <a:pt x="48836" y="1317"/>
                                </a:lnTo>
                                <a:lnTo>
                                  <a:pt x="0" y="0"/>
                                </a:lnTo>
                                <a:close/>
                              </a:path>
                            </a:pathLst>
                          </a:custGeom>
                          <a:solidFill>
                            <a:srgbClr val="231F20"/>
                          </a:solidFill>
                        </wps:spPr>
                        <wps:bodyPr wrap="square" lIns="0" tIns="0" rIns="0" bIns="0" rtlCol="0">
                          <a:prstTxWarp prst="textNoShape">
                            <a:avLst/>
                          </a:prstTxWarp>
                          <a:noAutofit/>
                        </wps:bodyPr>
                      </wps:wsp>
                      <wps:wsp>
                        <wps:cNvPr id="1454" name="Graphic 1454"/>
                        <wps:cNvSpPr/>
                        <wps:spPr>
                          <a:xfrm>
                            <a:off x="219354" y="1112621"/>
                            <a:ext cx="229235" cy="1638935"/>
                          </a:xfrm>
                          <a:custGeom>
                            <a:avLst/>
                            <a:gdLst/>
                            <a:ahLst/>
                            <a:cxnLst/>
                            <a:rect l="l" t="t" r="r" b="b"/>
                            <a:pathLst>
                              <a:path w="229235" h="1638935">
                                <a:moveTo>
                                  <a:pt x="228777" y="0"/>
                                </a:moveTo>
                                <a:lnTo>
                                  <a:pt x="0" y="0"/>
                                </a:lnTo>
                                <a:lnTo>
                                  <a:pt x="0" y="1638617"/>
                                </a:lnTo>
                                <a:lnTo>
                                  <a:pt x="228777" y="1638617"/>
                                </a:lnTo>
                                <a:lnTo>
                                  <a:pt x="228777" y="0"/>
                                </a:lnTo>
                                <a:close/>
                              </a:path>
                            </a:pathLst>
                          </a:custGeom>
                          <a:solidFill>
                            <a:srgbClr val="008FDD"/>
                          </a:solidFill>
                        </wps:spPr>
                        <wps:bodyPr wrap="square" lIns="0" tIns="0" rIns="0" bIns="0" rtlCol="0">
                          <a:prstTxWarp prst="textNoShape">
                            <a:avLst/>
                          </a:prstTxWarp>
                          <a:noAutofit/>
                        </wps:bodyPr>
                      </wps:wsp>
                      <wps:wsp>
                        <wps:cNvPr id="1455" name="Graphic 1455"/>
                        <wps:cNvSpPr/>
                        <wps:spPr>
                          <a:xfrm>
                            <a:off x="219350" y="1112621"/>
                            <a:ext cx="229235" cy="1638935"/>
                          </a:xfrm>
                          <a:custGeom>
                            <a:avLst/>
                            <a:gdLst/>
                            <a:ahLst/>
                            <a:cxnLst/>
                            <a:rect l="l" t="t" r="r" b="b"/>
                            <a:pathLst>
                              <a:path w="229235" h="1638935">
                                <a:moveTo>
                                  <a:pt x="0" y="1638617"/>
                                </a:moveTo>
                                <a:lnTo>
                                  <a:pt x="228777" y="1638617"/>
                                </a:lnTo>
                                <a:lnTo>
                                  <a:pt x="228777" y="0"/>
                                </a:lnTo>
                                <a:lnTo>
                                  <a:pt x="0" y="0"/>
                                </a:lnTo>
                                <a:lnTo>
                                  <a:pt x="0" y="1638617"/>
                                </a:lnTo>
                                <a:close/>
                              </a:path>
                            </a:pathLst>
                          </a:custGeom>
                          <a:ln w="3174">
                            <a:solidFill>
                              <a:srgbClr val="FFFFFF"/>
                            </a:solidFill>
                            <a:prstDash val="solid"/>
                          </a:ln>
                        </wps:spPr>
                        <wps:bodyPr wrap="square" lIns="0" tIns="0" rIns="0" bIns="0" rtlCol="0">
                          <a:prstTxWarp prst="textNoShape">
                            <a:avLst/>
                          </a:prstTxWarp>
                          <a:noAutofit/>
                        </wps:bodyPr>
                      </wps:wsp>
                      <wps:wsp>
                        <wps:cNvPr id="1456" name="Graphic 1456"/>
                        <wps:cNvSpPr/>
                        <wps:spPr>
                          <a:xfrm>
                            <a:off x="449148" y="1051928"/>
                            <a:ext cx="229235" cy="1699895"/>
                          </a:xfrm>
                          <a:custGeom>
                            <a:avLst/>
                            <a:gdLst/>
                            <a:ahLst/>
                            <a:cxnLst/>
                            <a:rect l="l" t="t" r="r" b="b"/>
                            <a:pathLst>
                              <a:path w="229235" h="1699895">
                                <a:moveTo>
                                  <a:pt x="228777" y="0"/>
                                </a:moveTo>
                                <a:lnTo>
                                  <a:pt x="0" y="0"/>
                                </a:lnTo>
                                <a:lnTo>
                                  <a:pt x="0" y="1699310"/>
                                </a:lnTo>
                                <a:lnTo>
                                  <a:pt x="228777" y="1699310"/>
                                </a:lnTo>
                                <a:lnTo>
                                  <a:pt x="228777" y="0"/>
                                </a:lnTo>
                                <a:close/>
                              </a:path>
                            </a:pathLst>
                          </a:custGeom>
                          <a:solidFill>
                            <a:srgbClr val="008FDD"/>
                          </a:solidFill>
                        </wps:spPr>
                        <wps:bodyPr wrap="square" lIns="0" tIns="0" rIns="0" bIns="0" rtlCol="0">
                          <a:prstTxWarp prst="textNoShape">
                            <a:avLst/>
                          </a:prstTxWarp>
                          <a:noAutofit/>
                        </wps:bodyPr>
                      </wps:wsp>
                      <wps:wsp>
                        <wps:cNvPr id="1457" name="Graphic 1457"/>
                        <wps:cNvSpPr/>
                        <wps:spPr>
                          <a:xfrm>
                            <a:off x="449144" y="1051928"/>
                            <a:ext cx="229235" cy="1699895"/>
                          </a:xfrm>
                          <a:custGeom>
                            <a:avLst/>
                            <a:gdLst/>
                            <a:ahLst/>
                            <a:cxnLst/>
                            <a:rect l="l" t="t" r="r" b="b"/>
                            <a:pathLst>
                              <a:path w="229235" h="1699895">
                                <a:moveTo>
                                  <a:pt x="0" y="1699310"/>
                                </a:moveTo>
                                <a:lnTo>
                                  <a:pt x="228777" y="1699310"/>
                                </a:lnTo>
                                <a:lnTo>
                                  <a:pt x="228777" y="0"/>
                                </a:lnTo>
                                <a:lnTo>
                                  <a:pt x="0" y="0"/>
                                </a:lnTo>
                                <a:lnTo>
                                  <a:pt x="0" y="1699310"/>
                                </a:lnTo>
                                <a:close/>
                              </a:path>
                            </a:pathLst>
                          </a:custGeom>
                          <a:ln w="3174">
                            <a:solidFill>
                              <a:srgbClr val="FFFFFF"/>
                            </a:solidFill>
                            <a:prstDash val="solid"/>
                          </a:ln>
                        </wps:spPr>
                        <wps:bodyPr wrap="square" lIns="0" tIns="0" rIns="0" bIns="0" rtlCol="0">
                          <a:prstTxWarp prst="textNoShape">
                            <a:avLst/>
                          </a:prstTxWarp>
                          <a:noAutofit/>
                        </wps:bodyPr>
                      </wps:wsp>
                      <wps:wsp>
                        <wps:cNvPr id="1458" name="Graphic 1458"/>
                        <wps:cNvSpPr/>
                        <wps:spPr>
                          <a:xfrm>
                            <a:off x="678941" y="1537449"/>
                            <a:ext cx="229235" cy="1214120"/>
                          </a:xfrm>
                          <a:custGeom>
                            <a:avLst/>
                            <a:gdLst/>
                            <a:ahLst/>
                            <a:cxnLst/>
                            <a:rect l="l" t="t" r="r" b="b"/>
                            <a:pathLst>
                              <a:path w="229235" h="1214120">
                                <a:moveTo>
                                  <a:pt x="228777" y="0"/>
                                </a:moveTo>
                                <a:lnTo>
                                  <a:pt x="0" y="0"/>
                                </a:lnTo>
                                <a:lnTo>
                                  <a:pt x="0" y="1213789"/>
                                </a:lnTo>
                                <a:lnTo>
                                  <a:pt x="228777" y="1213789"/>
                                </a:lnTo>
                                <a:lnTo>
                                  <a:pt x="228777" y="0"/>
                                </a:lnTo>
                                <a:close/>
                              </a:path>
                            </a:pathLst>
                          </a:custGeom>
                          <a:solidFill>
                            <a:srgbClr val="008FDD"/>
                          </a:solidFill>
                        </wps:spPr>
                        <wps:bodyPr wrap="square" lIns="0" tIns="0" rIns="0" bIns="0" rtlCol="0">
                          <a:prstTxWarp prst="textNoShape">
                            <a:avLst/>
                          </a:prstTxWarp>
                          <a:noAutofit/>
                        </wps:bodyPr>
                      </wps:wsp>
                      <wps:wsp>
                        <wps:cNvPr id="1459" name="Graphic 1459"/>
                        <wps:cNvSpPr/>
                        <wps:spPr>
                          <a:xfrm>
                            <a:off x="678938" y="1537449"/>
                            <a:ext cx="229235" cy="1214120"/>
                          </a:xfrm>
                          <a:custGeom>
                            <a:avLst/>
                            <a:gdLst/>
                            <a:ahLst/>
                            <a:cxnLst/>
                            <a:rect l="l" t="t" r="r" b="b"/>
                            <a:pathLst>
                              <a:path w="229235" h="1214120">
                                <a:moveTo>
                                  <a:pt x="0" y="1213789"/>
                                </a:moveTo>
                                <a:lnTo>
                                  <a:pt x="228777" y="1213789"/>
                                </a:lnTo>
                                <a:lnTo>
                                  <a:pt x="228777" y="0"/>
                                </a:lnTo>
                                <a:lnTo>
                                  <a:pt x="0" y="0"/>
                                </a:lnTo>
                                <a:lnTo>
                                  <a:pt x="0" y="1213789"/>
                                </a:lnTo>
                                <a:close/>
                              </a:path>
                            </a:pathLst>
                          </a:custGeom>
                          <a:ln w="3175">
                            <a:solidFill>
                              <a:srgbClr val="FFFFFF"/>
                            </a:solidFill>
                            <a:prstDash val="solid"/>
                          </a:ln>
                        </wps:spPr>
                        <wps:bodyPr wrap="square" lIns="0" tIns="0" rIns="0" bIns="0" rtlCol="0">
                          <a:prstTxWarp prst="textNoShape">
                            <a:avLst/>
                          </a:prstTxWarp>
                          <a:noAutofit/>
                        </wps:bodyPr>
                      </wps:wsp>
                      <wps:wsp>
                        <wps:cNvPr id="1460" name="Graphic 1460"/>
                        <wps:cNvSpPr/>
                        <wps:spPr>
                          <a:xfrm>
                            <a:off x="908735" y="2022957"/>
                            <a:ext cx="229235" cy="728345"/>
                          </a:xfrm>
                          <a:custGeom>
                            <a:avLst/>
                            <a:gdLst/>
                            <a:ahLst/>
                            <a:cxnLst/>
                            <a:rect l="l" t="t" r="r" b="b"/>
                            <a:pathLst>
                              <a:path w="229235" h="728345">
                                <a:moveTo>
                                  <a:pt x="228777" y="0"/>
                                </a:moveTo>
                                <a:lnTo>
                                  <a:pt x="0" y="0"/>
                                </a:lnTo>
                                <a:lnTo>
                                  <a:pt x="0" y="728281"/>
                                </a:lnTo>
                                <a:lnTo>
                                  <a:pt x="228777" y="728281"/>
                                </a:lnTo>
                                <a:lnTo>
                                  <a:pt x="228777" y="0"/>
                                </a:lnTo>
                                <a:close/>
                              </a:path>
                            </a:pathLst>
                          </a:custGeom>
                          <a:solidFill>
                            <a:srgbClr val="008FDD"/>
                          </a:solidFill>
                        </wps:spPr>
                        <wps:bodyPr wrap="square" lIns="0" tIns="0" rIns="0" bIns="0" rtlCol="0">
                          <a:prstTxWarp prst="textNoShape">
                            <a:avLst/>
                          </a:prstTxWarp>
                          <a:noAutofit/>
                        </wps:bodyPr>
                      </wps:wsp>
                      <wps:wsp>
                        <wps:cNvPr id="1461" name="Graphic 1461"/>
                        <wps:cNvSpPr/>
                        <wps:spPr>
                          <a:xfrm>
                            <a:off x="908732" y="2022957"/>
                            <a:ext cx="229235" cy="728345"/>
                          </a:xfrm>
                          <a:custGeom>
                            <a:avLst/>
                            <a:gdLst/>
                            <a:ahLst/>
                            <a:cxnLst/>
                            <a:rect l="l" t="t" r="r" b="b"/>
                            <a:pathLst>
                              <a:path w="229235" h="728345">
                                <a:moveTo>
                                  <a:pt x="0" y="728281"/>
                                </a:moveTo>
                                <a:lnTo>
                                  <a:pt x="228777" y="728281"/>
                                </a:lnTo>
                                <a:lnTo>
                                  <a:pt x="228777" y="0"/>
                                </a:lnTo>
                                <a:lnTo>
                                  <a:pt x="0" y="0"/>
                                </a:lnTo>
                                <a:lnTo>
                                  <a:pt x="0" y="728281"/>
                                </a:lnTo>
                                <a:close/>
                              </a:path>
                            </a:pathLst>
                          </a:custGeom>
                          <a:ln w="3175">
                            <a:solidFill>
                              <a:srgbClr val="FFFFFF"/>
                            </a:solidFill>
                            <a:prstDash val="solid"/>
                          </a:ln>
                        </wps:spPr>
                        <wps:bodyPr wrap="square" lIns="0" tIns="0" rIns="0" bIns="0" rtlCol="0">
                          <a:prstTxWarp prst="textNoShape">
                            <a:avLst/>
                          </a:prstTxWarp>
                          <a:noAutofit/>
                        </wps:bodyPr>
                      </wps:wsp>
                      <wps:wsp>
                        <wps:cNvPr id="1462" name="Graphic 1462"/>
                        <wps:cNvSpPr/>
                        <wps:spPr>
                          <a:xfrm>
                            <a:off x="1138529" y="2083650"/>
                            <a:ext cx="229235" cy="668020"/>
                          </a:xfrm>
                          <a:custGeom>
                            <a:avLst/>
                            <a:gdLst/>
                            <a:ahLst/>
                            <a:cxnLst/>
                            <a:rect l="l" t="t" r="r" b="b"/>
                            <a:pathLst>
                              <a:path w="229235" h="668020">
                                <a:moveTo>
                                  <a:pt x="228777" y="0"/>
                                </a:moveTo>
                                <a:lnTo>
                                  <a:pt x="0" y="0"/>
                                </a:lnTo>
                                <a:lnTo>
                                  <a:pt x="0" y="667588"/>
                                </a:lnTo>
                                <a:lnTo>
                                  <a:pt x="228777" y="667588"/>
                                </a:lnTo>
                                <a:lnTo>
                                  <a:pt x="228777" y="0"/>
                                </a:lnTo>
                                <a:close/>
                              </a:path>
                            </a:pathLst>
                          </a:custGeom>
                          <a:solidFill>
                            <a:srgbClr val="008FDD"/>
                          </a:solidFill>
                        </wps:spPr>
                        <wps:bodyPr wrap="square" lIns="0" tIns="0" rIns="0" bIns="0" rtlCol="0">
                          <a:prstTxWarp prst="textNoShape">
                            <a:avLst/>
                          </a:prstTxWarp>
                          <a:noAutofit/>
                        </wps:bodyPr>
                      </wps:wsp>
                      <wps:wsp>
                        <wps:cNvPr id="1463" name="Graphic 1463"/>
                        <wps:cNvSpPr/>
                        <wps:spPr>
                          <a:xfrm>
                            <a:off x="1138525" y="2083650"/>
                            <a:ext cx="229235" cy="668020"/>
                          </a:xfrm>
                          <a:custGeom>
                            <a:avLst/>
                            <a:gdLst/>
                            <a:ahLst/>
                            <a:cxnLst/>
                            <a:rect l="l" t="t" r="r" b="b"/>
                            <a:pathLst>
                              <a:path w="229235" h="668020">
                                <a:moveTo>
                                  <a:pt x="0" y="667588"/>
                                </a:moveTo>
                                <a:lnTo>
                                  <a:pt x="228777" y="667588"/>
                                </a:lnTo>
                                <a:lnTo>
                                  <a:pt x="228777" y="0"/>
                                </a:lnTo>
                                <a:lnTo>
                                  <a:pt x="0" y="0"/>
                                </a:lnTo>
                                <a:lnTo>
                                  <a:pt x="0" y="667588"/>
                                </a:lnTo>
                                <a:close/>
                              </a:path>
                            </a:pathLst>
                          </a:custGeom>
                          <a:ln w="3175">
                            <a:solidFill>
                              <a:srgbClr val="FFFFFF"/>
                            </a:solidFill>
                            <a:prstDash val="solid"/>
                          </a:ln>
                        </wps:spPr>
                        <wps:bodyPr wrap="square" lIns="0" tIns="0" rIns="0" bIns="0" rtlCol="0">
                          <a:prstTxWarp prst="textNoShape">
                            <a:avLst/>
                          </a:prstTxWarp>
                          <a:noAutofit/>
                        </wps:bodyPr>
                      </wps:wsp>
                      <wps:wsp>
                        <wps:cNvPr id="1464" name="Graphic 1464"/>
                        <wps:cNvSpPr/>
                        <wps:spPr>
                          <a:xfrm>
                            <a:off x="1368323" y="2569171"/>
                            <a:ext cx="229235" cy="182245"/>
                          </a:xfrm>
                          <a:custGeom>
                            <a:avLst/>
                            <a:gdLst/>
                            <a:ahLst/>
                            <a:cxnLst/>
                            <a:rect l="l" t="t" r="r" b="b"/>
                            <a:pathLst>
                              <a:path w="229235" h="182245">
                                <a:moveTo>
                                  <a:pt x="228777" y="0"/>
                                </a:moveTo>
                                <a:lnTo>
                                  <a:pt x="0" y="0"/>
                                </a:lnTo>
                                <a:lnTo>
                                  <a:pt x="0" y="182067"/>
                                </a:lnTo>
                                <a:lnTo>
                                  <a:pt x="228777" y="182067"/>
                                </a:lnTo>
                                <a:lnTo>
                                  <a:pt x="228777" y="0"/>
                                </a:lnTo>
                                <a:close/>
                              </a:path>
                            </a:pathLst>
                          </a:custGeom>
                          <a:solidFill>
                            <a:srgbClr val="008FDD"/>
                          </a:solidFill>
                        </wps:spPr>
                        <wps:bodyPr wrap="square" lIns="0" tIns="0" rIns="0" bIns="0" rtlCol="0">
                          <a:prstTxWarp prst="textNoShape">
                            <a:avLst/>
                          </a:prstTxWarp>
                          <a:noAutofit/>
                        </wps:bodyPr>
                      </wps:wsp>
                      <wps:wsp>
                        <wps:cNvPr id="1465" name="Graphic 1465"/>
                        <wps:cNvSpPr/>
                        <wps:spPr>
                          <a:xfrm>
                            <a:off x="1368319" y="2569171"/>
                            <a:ext cx="229235" cy="182245"/>
                          </a:xfrm>
                          <a:custGeom>
                            <a:avLst/>
                            <a:gdLst/>
                            <a:ahLst/>
                            <a:cxnLst/>
                            <a:rect l="l" t="t" r="r" b="b"/>
                            <a:pathLst>
                              <a:path w="229235" h="182245">
                                <a:moveTo>
                                  <a:pt x="0" y="182067"/>
                                </a:moveTo>
                                <a:lnTo>
                                  <a:pt x="228777" y="182067"/>
                                </a:lnTo>
                                <a:lnTo>
                                  <a:pt x="228777" y="0"/>
                                </a:lnTo>
                                <a:lnTo>
                                  <a:pt x="0" y="0"/>
                                </a:lnTo>
                                <a:lnTo>
                                  <a:pt x="0" y="182067"/>
                                </a:lnTo>
                                <a:close/>
                              </a:path>
                            </a:pathLst>
                          </a:custGeom>
                          <a:ln w="3175">
                            <a:solidFill>
                              <a:srgbClr val="FFFFFF"/>
                            </a:solidFill>
                            <a:prstDash val="solid"/>
                          </a:ln>
                        </wps:spPr>
                        <wps:bodyPr wrap="square" lIns="0" tIns="0" rIns="0" bIns="0" rtlCol="0">
                          <a:prstTxWarp prst="textNoShape">
                            <a:avLst/>
                          </a:prstTxWarp>
                          <a:noAutofit/>
                        </wps:bodyPr>
                      </wps:wsp>
                      <wps:wsp>
                        <wps:cNvPr id="1466" name="Graphic 1466"/>
                        <wps:cNvSpPr/>
                        <wps:spPr>
                          <a:xfrm>
                            <a:off x="1598117" y="2447785"/>
                            <a:ext cx="229235" cy="303530"/>
                          </a:xfrm>
                          <a:custGeom>
                            <a:avLst/>
                            <a:gdLst/>
                            <a:ahLst/>
                            <a:cxnLst/>
                            <a:rect l="l" t="t" r="r" b="b"/>
                            <a:pathLst>
                              <a:path w="229235" h="303530">
                                <a:moveTo>
                                  <a:pt x="228777" y="0"/>
                                </a:moveTo>
                                <a:lnTo>
                                  <a:pt x="0" y="0"/>
                                </a:lnTo>
                                <a:lnTo>
                                  <a:pt x="0" y="303453"/>
                                </a:lnTo>
                                <a:lnTo>
                                  <a:pt x="228777" y="303453"/>
                                </a:lnTo>
                                <a:lnTo>
                                  <a:pt x="228777" y="0"/>
                                </a:lnTo>
                                <a:close/>
                              </a:path>
                            </a:pathLst>
                          </a:custGeom>
                          <a:solidFill>
                            <a:srgbClr val="008FDD"/>
                          </a:solidFill>
                        </wps:spPr>
                        <wps:bodyPr wrap="square" lIns="0" tIns="0" rIns="0" bIns="0" rtlCol="0">
                          <a:prstTxWarp prst="textNoShape">
                            <a:avLst/>
                          </a:prstTxWarp>
                          <a:noAutofit/>
                        </wps:bodyPr>
                      </wps:wsp>
                      <wps:wsp>
                        <wps:cNvPr id="1467" name="Graphic 1467"/>
                        <wps:cNvSpPr/>
                        <wps:spPr>
                          <a:xfrm>
                            <a:off x="1598113" y="2447785"/>
                            <a:ext cx="229235" cy="303530"/>
                          </a:xfrm>
                          <a:custGeom>
                            <a:avLst/>
                            <a:gdLst/>
                            <a:ahLst/>
                            <a:cxnLst/>
                            <a:rect l="l" t="t" r="r" b="b"/>
                            <a:pathLst>
                              <a:path w="229235" h="303530">
                                <a:moveTo>
                                  <a:pt x="0" y="303453"/>
                                </a:moveTo>
                                <a:lnTo>
                                  <a:pt x="228777" y="303453"/>
                                </a:lnTo>
                                <a:lnTo>
                                  <a:pt x="228777" y="0"/>
                                </a:lnTo>
                                <a:lnTo>
                                  <a:pt x="0" y="0"/>
                                </a:lnTo>
                                <a:lnTo>
                                  <a:pt x="0" y="303453"/>
                                </a:lnTo>
                                <a:close/>
                              </a:path>
                            </a:pathLst>
                          </a:custGeom>
                          <a:ln w="3175">
                            <a:solidFill>
                              <a:srgbClr val="FFFFFF"/>
                            </a:solidFill>
                            <a:prstDash val="solid"/>
                          </a:ln>
                        </wps:spPr>
                        <wps:bodyPr wrap="square" lIns="0" tIns="0" rIns="0" bIns="0" rtlCol="0">
                          <a:prstTxWarp prst="textNoShape">
                            <a:avLst/>
                          </a:prstTxWarp>
                          <a:noAutofit/>
                        </wps:bodyPr>
                      </wps:wsp>
                      <wps:wsp>
                        <wps:cNvPr id="1468" name="Graphic 1468"/>
                        <wps:cNvSpPr/>
                        <wps:spPr>
                          <a:xfrm>
                            <a:off x="1827923" y="2447785"/>
                            <a:ext cx="229235" cy="303530"/>
                          </a:xfrm>
                          <a:custGeom>
                            <a:avLst/>
                            <a:gdLst/>
                            <a:ahLst/>
                            <a:cxnLst/>
                            <a:rect l="l" t="t" r="r" b="b"/>
                            <a:pathLst>
                              <a:path w="229235" h="303530">
                                <a:moveTo>
                                  <a:pt x="228777" y="0"/>
                                </a:moveTo>
                                <a:lnTo>
                                  <a:pt x="0" y="0"/>
                                </a:lnTo>
                                <a:lnTo>
                                  <a:pt x="0" y="303453"/>
                                </a:lnTo>
                                <a:lnTo>
                                  <a:pt x="228777" y="303453"/>
                                </a:lnTo>
                                <a:lnTo>
                                  <a:pt x="228777" y="0"/>
                                </a:lnTo>
                                <a:close/>
                              </a:path>
                            </a:pathLst>
                          </a:custGeom>
                          <a:solidFill>
                            <a:srgbClr val="008FDD"/>
                          </a:solidFill>
                        </wps:spPr>
                        <wps:bodyPr wrap="square" lIns="0" tIns="0" rIns="0" bIns="0" rtlCol="0">
                          <a:prstTxWarp prst="textNoShape">
                            <a:avLst/>
                          </a:prstTxWarp>
                          <a:noAutofit/>
                        </wps:bodyPr>
                      </wps:wsp>
                      <wps:wsp>
                        <wps:cNvPr id="1469" name="Graphic 1469"/>
                        <wps:cNvSpPr/>
                        <wps:spPr>
                          <a:xfrm>
                            <a:off x="1827919" y="2447785"/>
                            <a:ext cx="229235" cy="303530"/>
                          </a:xfrm>
                          <a:custGeom>
                            <a:avLst/>
                            <a:gdLst/>
                            <a:ahLst/>
                            <a:cxnLst/>
                            <a:rect l="l" t="t" r="r" b="b"/>
                            <a:pathLst>
                              <a:path w="229235" h="303530">
                                <a:moveTo>
                                  <a:pt x="0" y="303453"/>
                                </a:moveTo>
                                <a:lnTo>
                                  <a:pt x="228777" y="303453"/>
                                </a:lnTo>
                                <a:lnTo>
                                  <a:pt x="228777" y="0"/>
                                </a:lnTo>
                                <a:lnTo>
                                  <a:pt x="0" y="0"/>
                                </a:lnTo>
                                <a:lnTo>
                                  <a:pt x="0" y="303453"/>
                                </a:lnTo>
                                <a:close/>
                              </a:path>
                            </a:pathLst>
                          </a:custGeom>
                          <a:ln w="3175">
                            <a:solidFill>
                              <a:srgbClr val="FFFFFF"/>
                            </a:solidFill>
                            <a:prstDash val="solid"/>
                          </a:ln>
                        </wps:spPr>
                        <wps:bodyPr wrap="square" lIns="0" tIns="0" rIns="0" bIns="0" rtlCol="0">
                          <a:prstTxWarp prst="textNoShape">
                            <a:avLst/>
                          </a:prstTxWarp>
                          <a:noAutofit/>
                        </wps:bodyPr>
                      </wps:wsp>
                      <wps:wsp>
                        <wps:cNvPr id="1470" name="Graphic 1470"/>
                        <wps:cNvSpPr/>
                        <wps:spPr>
                          <a:xfrm>
                            <a:off x="2057717" y="2629865"/>
                            <a:ext cx="229235" cy="121920"/>
                          </a:xfrm>
                          <a:custGeom>
                            <a:avLst/>
                            <a:gdLst/>
                            <a:ahLst/>
                            <a:cxnLst/>
                            <a:rect l="l" t="t" r="r" b="b"/>
                            <a:pathLst>
                              <a:path w="229235" h="121920">
                                <a:moveTo>
                                  <a:pt x="228777" y="0"/>
                                </a:moveTo>
                                <a:lnTo>
                                  <a:pt x="0" y="0"/>
                                </a:lnTo>
                                <a:lnTo>
                                  <a:pt x="0" y="121373"/>
                                </a:lnTo>
                                <a:lnTo>
                                  <a:pt x="228777" y="121373"/>
                                </a:lnTo>
                                <a:lnTo>
                                  <a:pt x="228777" y="0"/>
                                </a:lnTo>
                                <a:close/>
                              </a:path>
                            </a:pathLst>
                          </a:custGeom>
                          <a:solidFill>
                            <a:srgbClr val="008FDD"/>
                          </a:solidFill>
                        </wps:spPr>
                        <wps:bodyPr wrap="square" lIns="0" tIns="0" rIns="0" bIns="0" rtlCol="0">
                          <a:prstTxWarp prst="textNoShape">
                            <a:avLst/>
                          </a:prstTxWarp>
                          <a:noAutofit/>
                        </wps:bodyPr>
                      </wps:wsp>
                      <wps:wsp>
                        <wps:cNvPr id="1471" name="Graphic 1471"/>
                        <wps:cNvSpPr/>
                        <wps:spPr>
                          <a:xfrm>
                            <a:off x="2057713" y="2629865"/>
                            <a:ext cx="229235" cy="121920"/>
                          </a:xfrm>
                          <a:custGeom>
                            <a:avLst/>
                            <a:gdLst/>
                            <a:ahLst/>
                            <a:cxnLst/>
                            <a:rect l="l" t="t" r="r" b="b"/>
                            <a:pathLst>
                              <a:path w="229235" h="121920">
                                <a:moveTo>
                                  <a:pt x="0" y="121373"/>
                                </a:moveTo>
                                <a:lnTo>
                                  <a:pt x="228777" y="121373"/>
                                </a:lnTo>
                                <a:lnTo>
                                  <a:pt x="228777" y="0"/>
                                </a:lnTo>
                                <a:lnTo>
                                  <a:pt x="0" y="0"/>
                                </a:lnTo>
                                <a:lnTo>
                                  <a:pt x="0" y="121373"/>
                                </a:lnTo>
                                <a:close/>
                              </a:path>
                            </a:pathLst>
                          </a:custGeom>
                          <a:ln w="3175">
                            <a:solidFill>
                              <a:srgbClr val="FFFFFF"/>
                            </a:solidFill>
                            <a:prstDash val="solid"/>
                          </a:ln>
                        </wps:spPr>
                        <wps:bodyPr wrap="square" lIns="0" tIns="0" rIns="0" bIns="0" rtlCol="0">
                          <a:prstTxWarp prst="textNoShape">
                            <a:avLst/>
                          </a:prstTxWarp>
                          <a:noAutofit/>
                        </wps:bodyPr>
                      </wps:wsp>
                      <wps:wsp>
                        <wps:cNvPr id="1472" name="Graphic 1472"/>
                        <wps:cNvSpPr/>
                        <wps:spPr>
                          <a:xfrm>
                            <a:off x="219349" y="2749652"/>
                            <a:ext cx="2067560" cy="1270"/>
                          </a:xfrm>
                          <a:custGeom>
                            <a:avLst/>
                            <a:gdLst/>
                            <a:ahLst/>
                            <a:cxnLst/>
                            <a:rect l="l" t="t" r="r" b="b"/>
                            <a:pathLst>
                              <a:path w="2067560" h="0">
                                <a:moveTo>
                                  <a:pt x="0" y="0"/>
                                </a:moveTo>
                                <a:lnTo>
                                  <a:pt x="2067140" y="0"/>
                                </a:lnTo>
                              </a:path>
                            </a:pathLst>
                          </a:custGeom>
                          <a:ln w="6350">
                            <a:solidFill>
                              <a:srgbClr val="FFFFFF"/>
                            </a:solidFill>
                            <a:prstDash val="solid"/>
                          </a:ln>
                        </wps:spPr>
                        <wps:bodyPr wrap="square" lIns="0" tIns="0" rIns="0" bIns="0" rtlCol="0">
                          <a:prstTxWarp prst="textNoShape">
                            <a:avLst/>
                          </a:prstTxWarp>
                          <a:noAutofit/>
                        </wps:bodyPr>
                      </wps:wsp>
                      <wps:wsp>
                        <wps:cNvPr id="1473" name="Textbox 1473"/>
                        <wps:cNvSpPr txBox="1"/>
                        <wps:spPr>
                          <a:xfrm>
                            <a:off x="76380" y="66855"/>
                            <a:ext cx="4529455" cy="248920"/>
                          </a:xfrm>
                          <a:prstGeom prst="rect">
                            <a:avLst/>
                          </a:prstGeom>
                        </wps:spPr>
                        <wps:txbx>
                          <w:txbxContent>
                            <w:p>
                              <w:pPr>
                                <w:spacing w:line="261" w:lineRule="auto" w:before="0"/>
                                <w:ind w:left="800" w:right="18" w:hanging="800"/>
                                <w:jc w:val="left"/>
                                <w:rPr>
                                  <w:rFonts w:ascii="Arial"/>
                                  <w:b/>
                                  <w:sz w:val="16"/>
                                </w:rPr>
                              </w:pPr>
                              <w:r>
                                <w:rPr>
                                  <w:rFonts w:ascii="Arial"/>
                                  <w:color w:val="FFFFFF"/>
                                  <w:w w:val="105"/>
                                  <w:sz w:val="16"/>
                                </w:rPr>
                                <w:t>Figure</w:t>
                              </w:r>
                              <w:r>
                                <w:rPr>
                                  <w:rFonts w:ascii="Arial"/>
                                  <w:color w:val="FFFFFF"/>
                                  <w:spacing w:val="-10"/>
                                  <w:w w:val="105"/>
                                  <w:sz w:val="16"/>
                                </w:rPr>
                                <w:t> </w:t>
                              </w:r>
                              <w:r>
                                <w:rPr>
                                  <w:rFonts w:ascii="Arial"/>
                                  <w:b/>
                                  <w:color w:val="FFFFFF"/>
                                  <w:w w:val="105"/>
                                  <w:sz w:val="16"/>
                                </w:rPr>
                                <w:t>3.9</w:t>
                              </w:r>
                              <w:r>
                                <w:rPr>
                                  <w:rFonts w:ascii="Arial"/>
                                  <w:b/>
                                  <w:color w:val="FFFFFF"/>
                                  <w:spacing w:val="77"/>
                                  <w:w w:val="150"/>
                                  <w:sz w:val="16"/>
                                </w:rPr>
                                <w:t> </w:t>
                              </w:r>
                              <w:r>
                                <w:rPr>
                                  <w:rFonts w:ascii="Arial"/>
                                  <w:b/>
                                  <w:color w:val="FFFFFF"/>
                                  <w:w w:val="105"/>
                                  <w:sz w:val="16"/>
                                </w:rPr>
                                <w:t>Most</w:t>
                              </w:r>
                              <w:r>
                                <w:rPr>
                                  <w:rFonts w:ascii="Arial"/>
                                  <w:b/>
                                  <w:color w:val="FFFFFF"/>
                                  <w:spacing w:val="-10"/>
                                  <w:w w:val="105"/>
                                  <w:sz w:val="16"/>
                                </w:rPr>
                                <w:t> </w:t>
                              </w:r>
                              <w:r>
                                <w:rPr>
                                  <w:rFonts w:ascii="Arial"/>
                                  <w:b/>
                                  <w:color w:val="FFFFFF"/>
                                  <w:w w:val="105"/>
                                  <w:sz w:val="16"/>
                                </w:rPr>
                                <w:t>maritime</w:t>
                              </w:r>
                              <w:r>
                                <w:rPr>
                                  <w:rFonts w:ascii="Arial"/>
                                  <w:b/>
                                  <w:color w:val="FFFFFF"/>
                                  <w:spacing w:val="-10"/>
                                  <w:w w:val="105"/>
                                  <w:sz w:val="16"/>
                                </w:rPr>
                                <w:t> </w:t>
                              </w:r>
                              <w:r>
                                <w:rPr>
                                  <w:rFonts w:ascii="Arial"/>
                                  <w:b/>
                                  <w:color w:val="FFFFFF"/>
                                  <w:w w:val="105"/>
                                  <w:sz w:val="16"/>
                                </w:rPr>
                                <w:t>economies</w:t>
                              </w:r>
                              <w:r>
                                <w:rPr>
                                  <w:rFonts w:ascii="Arial"/>
                                  <w:b/>
                                  <w:color w:val="FFFFFF"/>
                                  <w:spacing w:val="-10"/>
                                  <w:w w:val="105"/>
                                  <w:sz w:val="16"/>
                                </w:rPr>
                                <w:t> </w:t>
                              </w:r>
                              <w:r>
                                <w:rPr>
                                  <w:rFonts w:ascii="Arial"/>
                                  <w:b/>
                                  <w:color w:val="FFFFFF"/>
                                  <w:w w:val="105"/>
                                  <w:sz w:val="16"/>
                                </w:rPr>
                                <w:t>have</w:t>
                              </w:r>
                              <w:r>
                                <w:rPr>
                                  <w:rFonts w:ascii="Arial"/>
                                  <w:b/>
                                  <w:color w:val="FFFFFF"/>
                                  <w:spacing w:val="-10"/>
                                  <w:w w:val="105"/>
                                  <w:sz w:val="16"/>
                                </w:rPr>
                                <w:t> </w:t>
                              </w:r>
                              <w:r>
                                <w:rPr>
                                  <w:rFonts w:ascii="Arial"/>
                                  <w:b/>
                                  <w:color w:val="FFFFFF"/>
                                  <w:w w:val="105"/>
                                  <w:sz w:val="16"/>
                                </w:rPr>
                                <w:t>less</w:t>
                              </w:r>
                              <w:r>
                                <w:rPr>
                                  <w:rFonts w:ascii="Arial"/>
                                  <w:b/>
                                  <w:color w:val="FFFFFF"/>
                                  <w:spacing w:val="-10"/>
                                  <w:w w:val="105"/>
                                  <w:sz w:val="16"/>
                                </w:rPr>
                                <w:t> </w:t>
                              </w:r>
                              <w:r>
                                <w:rPr>
                                  <w:rFonts w:ascii="Arial"/>
                                  <w:b/>
                                  <w:color w:val="FFFFFF"/>
                                  <w:w w:val="105"/>
                                  <w:sz w:val="16"/>
                                </w:rPr>
                                <w:t>than</w:t>
                              </w:r>
                              <w:r>
                                <w:rPr>
                                  <w:rFonts w:ascii="Arial"/>
                                  <w:b/>
                                  <w:color w:val="FFFFFF"/>
                                  <w:spacing w:val="-10"/>
                                  <w:w w:val="105"/>
                                  <w:sz w:val="16"/>
                                </w:rPr>
                                <w:t> </w:t>
                              </w:r>
                              <w:r>
                                <w:rPr>
                                  <w:rFonts w:ascii="Arial"/>
                                  <w:b/>
                                  <w:color w:val="FFFFFF"/>
                                  <w:w w:val="105"/>
                                  <w:sz w:val="16"/>
                                </w:rPr>
                                <w:t>20</w:t>
                              </w:r>
                              <w:r>
                                <w:rPr>
                                  <w:rFonts w:ascii="Arial"/>
                                  <w:b/>
                                  <w:color w:val="FFFFFF"/>
                                  <w:spacing w:val="-10"/>
                                  <w:w w:val="105"/>
                                  <w:sz w:val="16"/>
                                </w:rPr>
                                <w:t> </w:t>
                              </w:r>
                              <w:r>
                                <w:rPr>
                                  <w:rFonts w:ascii="Arial"/>
                                  <w:b/>
                                  <w:color w:val="FFFFFF"/>
                                  <w:w w:val="105"/>
                                  <w:sz w:val="16"/>
                                </w:rPr>
                                <w:t>shipping</w:t>
                              </w:r>
                              <w:r>
                                <w:rPr>
                                  <w:rFonts w:ascii="Arial"/>
                                  <w:b/>
                                  <w:color w:val="FFFFFF"/>
                                  <w:spacing w:val="-10"/>
                                  <w:w w:val="105"/>
                                  <w:sz w:val="16"/>
                                </w:rPr>
                                <w:t> </w:t>
                              </w:r>
                              <w:r>
                                <w:rPr>
                                  <w:rFonts w:ascii="Arial"/>
                                  <w:b/>
                                  <w:color w:val="FFFFFF"/>
                                  <w:w w:val="105"/>
                                  <w:sz w:val="16"/>
                                </w:rPr>
                                <w:t>connections</w:t>
                              </w:r>
                              <w:r>
                                <w:rPr>
                                  <w:rFonts w:ascii="Arial"/>
                                  <w:b/>
                                  <w:color w:val="FFFFFF"/>
                                  <w:spacing w:val="-10"/>
                                  <w:w w:val="105"/>
                                  <w:sz w:val="16"/>
                                </w:rPr>
                                <w:t> </w:t>
                              </w:r>
                              <w:r>
                                <w:rPr>
                                  <w:rFonts w:ascii="Arial"/>
                                  <w:b/>
                                  <w:color w:val="FFFFFF"/>
                                  <w:w w:val="105"/>
                                  <w:sz w:val="16"/>
                                </w:rPr>
                                <w:t>and</w:t>
                              </w:r>
                              <w:r>
                                <w:rPr>
                                  <w:rFonts w:ascii="Arial"/>
                                  <w:b/>
                                  <w:color w:val="FFFFFF"/>
                                  <w:spacing w:val="-10"/>
                                  <w:w w:val="105"/>
                                  <w:sz w:val="16"/>
                                </w:rPr>
                                <w:t> </w:t>
                              </w:r>
                              <w:r>
                                <w:rPr>
                                  <w:rFonts w:ascii="Arial"/>
                                  <w:b/>
                                  <w:color w:val="FFFFFF"/>
                                  <w:w w:val="105"/>
                                  <w:sz w:val="16"/>
                                </w:rPr>
                                <w:t>depend on transshipment</w:t>
                              </w:r>
                            </w:p>
                          </w:txbxContent>
                        </wps:txbx>
                        <wps:bodyPr wrap="square" lIns="0" tIns="0" rIns="0" bIns="0" rtlCol="0">
                          <a:noAutofit/>
                        </wps:bodyPr>
                      </wps:wsp>
                      <wps:wsp>
                        <wps:cNvPr id="1474" name="Textbox 1474"/>
                        <wps:cNvSpPr txBox="1"/>
                        <wps:spPr>
                          <a:xfrm>
                            <a:off x="76393" y="483958"/>
                            <a:ext cx="1774189" cy="498475"/>
                          </a:xfrm>
                          <a:prstGeom prst="rect">
                            <a:avLst/>
                          </a:prstGeom>
                        </wps:spPr>
                        <wps:txbx>
                          <w:txbxContent>
                            <w:p>
                              <w:pPr>
                                <w:spacing w:before="3"/>
                                <w:ind w:left="1098" w:right="0" w:hanging="386"/>
                                <w:jc w:val="left"/>
                                <w:rPr>
                                  <w:rFonts w:ascii="Arial"/>
                                  <w:b/>
                                  <w:sz w:val="14"/>
                                </w:rPr>
                              </w:pPr>
                              <w:r>
                                <w:rPr>
                                  <w:rFonts w:ascii="Arial"/>
                                  <w:b/>
                                  <w:color w:val="231F20"/>
                                  <w:spacing w:val="-2"/>
                                  <w:w w:val="85"/>
                                  <w:sz w:val="14"/>
                                </w:rPr>
                                <w:t>Distribution</w:t>
                              </w:r>
                              <w:r>
                                <w:rPr>
                                  <w:rFonts w:ascii="Arial"/>
                                  <w:b/>
                                  <w:color w:val="231F20"/>
                                  <w:spacing w:val="-8"/>
                                  <w:sz w:val="14"/>
                                </w:rPr>
                                <w:t> </w:t>
                              </w:r>
                              <w:r>
                                <w:rPr>
                                  <w:rFonts w:ascii="Arial"/>
                                  <w:b/>
                                  <w:color w:val="231F20"/>
                                  <w:spacing w:val="-2"/>
                                  <w:w w:val="85"/>
                                  <w:sz w:val="14"/>
                                </w:rPr>
                                <w:t>of</w:t>
                              </w:r>
                              <w:r>
                                <w:rPr>
                                  <w:rFonts w:ascii="Arial"/>
                                  <w:b/>
                                  <w:color w:val="231F20"/>
                                  <w:spacing w:val="-8"/>
                                  <w:sz w:val="14"/>
                                </w:rPr>
                                <w:t> </w:t>
                              </w:r>
                              <w:r>
                                <w:rPr>
                                  <w:rFonts w:ascii="Arial"/>
                                  <w:b/>
                                  <w:color w:val="231F20"/>
                                  <w:spacing w:val="-2"/>
                                  <w:w w:val="85"/>
                                  <w:sz w:val="14"/>
                                </w:rPr>
                                <w:t>maritime</w:t>
                              </w:r>
                              <w:r>
                                <w:rPr>
                                  <w:rFonts w:ascii="Arial"/>
                                  <w:b/>
                                  <w:color w:val="231F20"/>
                                  <w:spacing w:val="-8"/>
                                  <w:sz w:val="14"/>
                                </w:rPr>
                                <w:t> </w:t>
                              </w:r>
                              <w:r>
                                <w:rPr>
                                  <w:rFonts w:ascii="Arial"/>
                                  <w:b/>
                                  <w:color w:val="231F20"/>
                                  <w:spacing w:val="-2"/>
                                  <w:w w:val="85"/>
                                  <w:sz w:val="14"/>
                                </w:rPr>
                                <w:t>connectivity,</w:t>
                              </w:r>
                              <w:r>
                                <w:rPr>
                                  <w:rFonts w:ascii="Arial"/>
                                  <w:b/>
                                  <w:color w:val="231F20"/>
                                  <w:spacing w:val="40"/>
                                  <w:sz w:val="14"/>
                                </w:rPr>
                                <w:t> </w:t>
                              </w:r>
                              <w:r>
                                <w:rPr>
                                  <w:rFonts w:ascii="Arial"/>
                                  <w:b/>
                                  <w:color w:val="231F20"/>
                                  <w:w w:val="95"/>
                                  <w:sz w:val="14"/>
                                </w:rPr>
                                <w:t>second</w:t>
                              </w:r>
                              <w:r>
                                <w:rPr>
                                  <w:rFonts w:ascii="Arial"/>
                                  <w:b/>
                                  <w:color w:val="231F20"/>
                                  <w:spacing w:val="-8"/>
                                  <w:w w:val="95"/>
                                  <w:sz w:val="14"/>
                                </w:rPr>
                                <w:t> </w:t>
                              </w:r>
                              <w:r>
                                <w:rPr>
                                  <w:rFonts w:ascii="Arial"/>
                                  <w:b/>
                                  <w:color w:val="231F20"/>
                                  <w:w w:val="95"/>
                                  <w:sz w:val="14"/>
                                </w:rPr>
                                <w:t>quarter</w:t>
                              </w:r>
                              <w:r>
                                <w:rPr>
                                  <w:rFonts w:ascii="Arial"/>
                                  <w:b/>
                                  <w:color w:val="231F20"/>
                                  <w:spacing w:val="-8"/>
                                  <w:w w:val="95"/>
                                  <w:sz w:val="14"/>
                                </w:rPr>
                                <w:t> </w:t>
                              </w:r>
                              <w:r>
                                <w:rPr>
                                  <w:rFonts w:ascii="Arial"/>
                                  <w:b/>
                                  <w:color w:val="231F20"/>
                                  <w:w w:val="95"/>
                                  <w:sz w:val="14"/>
                                </w:rPr>
                                <w:t>of</w:t>
                              </w:r>
                              <w:r>
                                <w:rPr>
                                  <w:rFonts w:ascii="Arial"/>
                                  <w:b/>
                                  <w:color w:val="231F20"/>
                                  <w:spacing w:val="-8"/>
                                  <w:w w:val="95"/>
                                  <w:sz w:val="14"/>
                                </w:rPr>
                                <w:t> </w:t>
                              </w:r>
                              <w:r>
                                <w:rPr>
                                  <w:rFonts w:ascii="Arial"/>
                                  <w:b/>
                                  <w:color w:val="231F20"/>
                                  <w:w w:val="95"/>
                                  <w:sz w:val="14"/>
                                </w:rPr>
                                <w:t>2022</w:t>
                              </w:r>
                            </w:p>
                            <w:p>
                              <w:pPr>
                                <w:spacing w:line="220" w:lineRule="atLeast" w:before="19"/>
                                <w:ind w:left="15" w:right="1712" w:hanging="16"/>
                                <w:jc w:val="left"/>
                                <w:rPr>
                                  <w:rFonts w:ascii="Arial"/>
                                  <w:sz w:val="14"/>
                                </w:rPr>
                              </w:pPr>
                              <w:r>
                                <w:rPr>
                                  <w:rFonts w:ascii="Arial"/>
                                  <w:color w:val="231F20"/>
                                  <w:spacing w:val="-2"/>
                                  <w:w w:val="80"/>
                                  <w:sz w:val="14"/>
                                </w:rPr>
                                <w:t>Number</w:t>
                              </w:r>
                              <w:r>
                                <w:rPr>
                                  <w:rFonts w:ascii="Arial"/>
                                  <w:color w:val="231F20"/>
                                  <w:spacing w:val="-8"/>
                                  <w:sz w:val="14"/>
                                </w:rPr>
                                <w:t> </w:t>
                              </w:r>
                              <w:r>
                                <w:rPr>
                                  <w:rFonts w:ascii="Arial"/>
                                  <w:color w:val="231F20"/>
                                  <w:spacing w:val="-2"/>
                                  <w:w w:val="80"/>
                                  <w:sz w:val="14"/>
                                </w:rPr>
                                <w:t>of</w:t>
                              </w:r>
                              <w:r>
                                <w:rPr>
                                  <w:rFonts w:ascii="Arial"/>
                                  <w:color w:val="231F20"/>
                                  <w:spacing w:val="-8"/>
                                  <w:sz w:val="14"/>
                                </w:rPr>
                                <w:t> </w:t>
                              </w:r>
                              <w:r>
                                <w:rPr>
                                  <w:rFonts w:ascii="Arial"/>
                                  <w:color w:val="231F20"/>
                                  <w:spacing w:val="-2"/>
                                  <w:w w:val="80"/>
                                  <w:sz w:val="14"/>
                                </w:rPr>
                                <w:t>countries</w:t>
                              </w:r>
                              <w:r>
                                <w:rPr>
                                  <w:rFonts w:ascii="Arial"/>
                                  <w:color w:val="231F20"/>
                                  <w:spacing w:val="40"/>
                                  <w:sz w:val="14"/>
                                </w:rPr>
                                <w:t> </w:t>
                              </w:r>
                              <w:r>
                                <w:rPr>
                                  <w:rFonts w:ascii="Arial"/>
                                  <w:color w:val="231F20"/>
                                  <w:spacing w:val="-6"/>
                                  <w:w w:val="90"/>
                                  <w:sz w:val="14"/>
                                </w:rPr>
                                <w:t>30</w:t>
                              </w:r>
                            </w:p>
                          </w:txbxContent>
                        </wps:txbx>
                        <wps:bodyPr wrap="square" lIns="0" tIns="0" rIns="0" bIns="0" rtlCol="0">
                          <a:noAutofit/>
                        </wps:bodyPr>
                      </wps:wsp>
                      <wps:wsp>
                        <wps:cNvPr id="1475" name="Textbox 1475"/>
                        <wps:cNvSpPr txBox="1"/>
                        <wps:spPr>
                          <a:xfrm>
                            <a:off x="2899483" y="483958"/>
                            <a:ext cx="1608455" cy="608965"/>
                          </a:xfrm>
                          <a:prstGeom prst="rect">
                            <a:avLst/>
                          </a:prstGeom>
                        </wps:spPr>
                        <wps:txbx>
                          <w:txbxContent>
                            <w:p>
                              <w:pPr>
                                <w:spacing w:before="3"/>
                                <w:ind w:left="532" w:right="0" w:hanging="533"/>
                                <w:jc w:val="left"/>
                                <w:rPr>
                                  <w:rFonts w:ascii="Arial"/>
                                  <w:b/>
                                  <w:sz w:val="14"/>
                                </w:rPr>
                              </w:pPr>
                              <w:r>
                                <w:rPr>
                                  <w:rFonts w:ascii="Arial"/>
                                  <w:b/>
                                  <w:color w:val="231F20"/>
                                  <w:w w:val="80"/>
                                  <w:sz w:val="14"/>
                                </w:rPr>
                                <w:t>Number of transshipments per container </w:t>
                              </w:r>
                              <w:r>
                                <w:rPr>
                                  <w:rFonts w:ascii="Arial"/>
                                  <w:b/>
                                  <w:color w:val="231F20"/>
                                  <w:w w:val="80"/>
                                  <w:sz w:val="14"/>
                                </w:rPr>
                                <w:t>trip,</w:t>
                              </w:r>
                              <w:r>
                                <w:rPr>
                                  <w:rFonts w:ascii="Arial"/>
                                  <w:b/>
                                  <w:color w:val="231F20"/>
                                  <w:spacing w:val="40"/>
                                  <w:sz w:val="14"/>
                                </w:rPr>
                                <w:t> </w:t>
                              </w:r>
                              <w:r>
                                <w:rPr>
                                  <w:rFonts w:ascii="Arial"/>
                                  <w:b/>
                                  <w:color w:val="231F20"/>
                                  <w:spacing w:val="-2"/>
                                  <w:w w:val="95"/>
                                  <w:sz w:val="14"/>
                                </w:rPr>
                                <w:t>May</w:t>
                              </w:r>
                              <w:r>
                                <w:rPr>
                                  <w:rFonts w:ascii="Arial"/>
                                  <w:b/>
                                  <w:color w:val="231F20"/>
                                  <w:spacing w:val="-6"/>
                                  <w:w w:val="95"/>
                                  <w:sz w:val="14"/>
                                </w:rPr>
                                <w:t> </w:t>
                              </w:r>
                              <w:r>
                                <w:rPr>
                                  <w:rFonts w:ascii="Arial"/>
                                  <w:b/>
                                  <w:color w:val="231F20"/>
                                  <w:spacing w:val="-2"/>
                                  <w:w w:val="95"/>
                                  <w:sz w:val="14"/>
                                </w:rPr>
                                <w:t>1</w:t>
                              </w:r>
                              <w:r>
                                <w:rPr>
                                  <w:rFonts w:ascii="Arial"/>
                                  <w:b/>
                                  <w:color w:val="231F20"/>
                                  <w:spacing w:val="-6"/>
                                  <w:w w:val="95"/>
                                  <w:sz w:val="14"/>
                                </w:rPr>
                                <w:t> </w:t>
                              </w:r>
                              <w:r>
                                <w:rPr>
                                  <w:rFonts w:ascii="Arial"/>
                                  <w:b/>
                                  <w:color w:val="231F20"/>
                                  <w:spacing w:val="-2"/>
                                  <w:w w:val="95"/>
                                  <w:sz w:val="14"/>
                                </w:rPr>
                                <w:t>to</w:t>
                              </w:r>
                              <w:r>
                                <w:rPr>
                                  <w:rFonts w:ascii="Arial"/>
                                  <w:b/>
                                  <w:color w:val="231F20"/>
                                  <w:spacing w:val="-6"/>
                                  <w:w w:val="95"/>
                                  <w:sz w:val="14"/>
                                </w:rPr>
                                <w:t> </w:t>
                              </w:r>
                              <w:r>
                                <w:rPr>
                                  <w:rFonts w:ascii="Arial"/>
                                  <w:b/>
                                  <w:color w:val="231F20"/>
                                  <w:spacing w:val="-2"/>
                                  <w:w w:val="95"/>
                                  <w:sz w:val="14"/>
                                </w:rPr>
                                <w:t>October</w:t>
                              </w:r>
                              <w:r>
                                <w:rPr>
                                  <w:rFonts w:ascii="Arial"/>
                                  <w:b/>
                                  <w:color w:val="231F20"/>
                                  <w:spacing w:val="-6"/>
                                  <w:w w:val="95"/>
                                  <w:sz w:val="14"/>
                                </w:rPr>
                                <w:t> </w:t>
                              </w:r>
                              <w:r>
                                <w:rPr>
                                  <w:rFonts w:ascii="Arial"/>
                                  <w:b/>
                                  <w:color w:val="231F20"/>
                                  <w:spacing w:val="-2"/>
                                  <w:w w:val="95"/>
                                  <w:sz w:val="14"/>
                                </w:rPr>
                                <w:t>31,</w:t>
                              </w:r>
                              <w:r>
                                <w:rPr>
                                  <w:rFonts w:ascii="Arial"/>
                                  <w:b/>
                                  <w:color w:val="231F20"/>
                                  <w:spacing w:val="-9"/>
                                  <w:w w:val="95"/>
                                  <w:sz w:val="14"/>
                                </w:rPr>
                                <w:t> </w:t>
                              </w:r>
                              <w:r>
                                <w:rPr>
                                  <w:rFonts w:ascii="Arial"/>
                                  <w:b/>
                                  <w:color w:val="231F20"/>
                                  <w:spacing w:val="-2"/>
                                  <w:w w:val="95"/>
                                  <w:sz w:val="14"/>
                                </w:rPr>
                                <w:t>2022</w:t>
                              </w:r>
                            </w:p>
                            <w:p>
                              <w:pPr>
                                <w:spacing w:line="240" w:lineRule="auto" w:before="150"/>
                                <w:rPr>
                                  <w:rFonts w:ascii="Arial"/>
                                  <w:b/>
                                  <w:sz w:val="14"/>
                                </w:rPr>
                              </w:pPr>
                            </w:p>
                            <w:p>
                              <w:pPr>
                                <w:spacing w:line="161" w:lineRule="exact" w:before="0"/>
                                <w:ind w:left="0" w:right="1462" w:firstLine="0"/>
                                <w:jc w:val="right"/>
                                <w:rPr>
                                  <w:rFonts w:ascii="Arial"/>
                                  <w:sz w:val="14"/>
                                </w:rPr>
                              </w:pPr>
                              <w:r>
                                <w:rPr>
                                  <w:rFonts w:ascii="Arial"/>
                                  <w:color w:val="231F20"/>
                                  <w:w w:val="85"/>
                                  <w:sz w:val="14"/>
                                </w:rPr>
                                <w:t>Three</w:t>
                              </w:r>
                              <w:r>
                                <w:rPr>
                                  <w:rFonts w:ascii="Arial"/>
                                  <w:color w:val="231F20"/>
                                  <w:spacing w:val="-4"/>
                                  <w:w w:val="85"/>
                                  <w:sz w:val="14"/>
                                </w:rPr>
                                <w:t> </w:t>
                              </w:r>
                              <w:r>
                                <w:rPr>
                                  <w:rFonts w:ascii="Arial"/>
                                  <w:color w:val="231F20"/>
                                  <w:w w:val="85"/>
                                  <w:sz w:val="14"/>
                                </w:rPr>
                                <w:t>or</w:t>
                              </w:r>
                              <w:r>
                                <w:rPr>
                                  <w:rFonts w:ascii="Arial"/>
                                  <w:color w:val="231F20"/>
                                  <w:spacing w:val="-3"/>
                                  <w:w w:val="85"/>
                                  <w:sz w:val="14"/>
                                </w:rPr>
                                <w:t> </w:t>
                              </w:r>
                              <w:r>
                                <w:rPr>
                                  <w:rFonts w:ascii="Arial"/>
                                  <w:color w:val="231F20"/>
                                  <w:spacing w:val="-4"/>
                                  <w:w w:val="85"/>
                                  <w:sz w:val="14"/>
                                </w:rPr>
                                <w:t>more</w:t>
                              </w:r>
                            </w:p>
                            <w:p>
                              <w:pPr>
                                <w:spacing w:line="161" w:lineRule="exact" w:before="0"/>
                                <w:ind w:left="0" w:right="1462" w:firstLine="0"/>
                                <w:jc w:val="right"/>
                                <w:rPr>
                                  <w:rFonts w:ascii="Arial"/>
                                  <w:sz w:val="14"/>
                                </w:rPr>
                              </w:pPr>
                              <w:r>
                                <w:rPr>
                                  <w:rFonts w:ascii="Arial"/>
                                  <w:color w:val="231F20"/>
                                  <w:spacing w:val="-5"/>
                                  <w:w w:val="95"/>
                                  <w:sz w:val="14"/>
                                </w:rPr>
                                <w:t>6%</w:t>
                              </w:r>
                            </w:p>
                          </w:txbxContent>
                        </wps:txbx>
                        <wps:bodyPr wrap="square" lIns="0" tIns="0" rIns="0" bIns="0" rtlCol="0">
                          <a:noAutofit/>
                        </wps:bodyPr>
                      </wps:wsp>
                      <wps:wsp>
                        <wps:cNvPr id="1476" name="Textbox 1476"/>
                        <wps:cNvSpPr txBox="1"/>
                        <wps:spPr>
                          <a:xfrm>
                            <a:off x="86008" y="1185150"/>
                            <a:ext cx="3258185" cy="707390"/>
                          </a:xfrm>
                          <a:prstGeom prst="rect">
                            <a:avLst/>
                          </a:prstGeom>
                        </wps:spPr>
                        <wps:txbx>
                          <w:txbxContent>
                            <w:p>
                              <w:pPr>
                                <w:spacing w:line="159" w:lineRule="exact" w:before="0"/>
                                <w:ind w:left="0" w:right="0" w:firstLine="0"/>
                                <w:jc w:val="left"/>
                                <w:rPr>
                                  <w:rFonts w:ascii="Arial"/>
                                  <w:sz w:val="14"/>
                                </w:rPr>
                              </w:pPr>
                              <w:r>
                                <w:rPr>
                                  <w:rFonts w:ascii="Arial"/>
                                  <w:color w:val="231F20"/>
                                  <w:spacing w:val="-5"/>
                                  <w:w w:val="95"/>
                                  <w:sz w:val="14"/>
                                </w:rPr>
                                <w:t>25</w:t>
                              </w:r>
                            </w:p>
                            <w:p>
                              <w:pPr>
                                <w:spacing w:line="240" w:lineRule="auto" w:before="25"/>
                                <w:rPr>
                                  <w:rFonts w:ascii="Arial"/>
                                  <w:sz w:val="14"/>
                                </w:rPr>
                              </w:pPr>
                            </w:p>
                            <w:p>
                              <w:pPr>
                                <w:spacing w:line="146" w:lineRule="exact" w:before="1"/>
                                <w:ind w:left="0" w:right="31" w:firstLine="0"/>
                                <w:jc w:val="right"/>
                                <w:rPr>
                                  <w:rFonts w:ascii="Arial"/>
                                  <w:sz w:val="14"/>
                                </w:rPr>
                              </w:pPr>
                              <w:r>
                                <w:rPr>
                                  <w:rFonts w:ascii="Arial"/>
                                  <w:color w:val="231F20"/>
                                  <w:spacing w:val="-5"/>
                                  <w:w w:val="95"/>
                                  <w:sz w:val="14"/>
                                </w:rPr>
                                <w:t>Two</w:t>
                              </w:r>
                            </w:p>
                            <w:p>
                              <w:pPr>
                                <w:tabs>
                                  <w:tab w:pos="4870" w:val="left" w:leader="none"/>
                                </w:tabs>
                                <w:spacing w:line="176" w:lineRule="exact" w:before="0"/>
                                <w:ind w:left="0" w:right="0" w:firstLine="0"/>
                                <w:jc w:val="left"/>
                                <w:rPr>
                                  <w:rFonts w:ascii="Arial"/>
                                  <w:sz w:val="14"/>
                                </w:rPr>
                              </w:pPr>
                              <w:r>
                                <w:rPr>
                                  <w:rFonts w:ascii="Arial"/>
                                  <w:color w:val="231F20"/>
                                  <w:spacing w:val="-5"/>
                                  <w:w w:val="95"/>
                                  <w:position w:val="3"/>
                                  <w:sz w:val="14"/>
                                </w:rPr>
                                <w:t>20</w:t>
                              </w:r>
                              <w:r>
                                <w:rPr>
                                  <w:rFonts w:ascii="Arial"/>
                                  <w:color w:val="231F20"/>
                                  <w:position w:val="3"/>
                                  <w:sz w:val="14"/>
                                </w:rPr>
                                <w:tab/>
                              </w:r>
                              <w:r>
                                <w:rPr>
                                  <w:rFonts w:ascii="Arial"/>
                                  <w:color w:val="231F20"/>
                                  <w:spacing w:val="-5"/>
                                  <w:w w:val="90"/>
                                  <w:sz w:val="14"/>
                                </w:rPr>
                                <w:t>12%</w:t>
                              </w:r>
                            </w:p>
                            <w:p>
                              <w:pPr>
                                <w:spacing w:line="240" w:lineRule="auto" w:before="125"/>
                                <w:rPr>
                                  <w:rFonts w:ascii="Arial"/>
                                  <w:sz w:val="14"/>
                                </w:rPr>
                              </w:pPr>
                            </w:p>
                            <w:p>
                              <w:pPr>
                                <w:spacing w:line="160" w:lineRule="exact" w:before="0"/>
                                <w:ind w:left="0" w:right="0" w:firstLine="0"/>
                                <w:jc w:val="left"/>
                                <w:rPr>
                                  <w:rFonts w:ascii="Arial"/>
                                  <w:sz w:val="14"/>
                                </w:rPr>
                              </w:pPr>
                              <w:r>
                                <w:rPr>
                                  <w:rFonts w:ascii="Arial"/>
                                  <w:color w:val="231F20"/>
                                  <w:spacing w:val="-5"/>
                                  <w:w w:val="95"/>
                                  <w:sz w:val="14"/>
                                </w:rPr>
                                <w:t>15</w:t>
                              </w:r>
                            </w:p>
                          </w:txbxContent>
                        </wps:txbx>
                        <wps:bodyPr wrap="square" lIns="0" tIns="0" rIns="0" bIns="0" rtlCol="0">
                          <a:noAutofit/>
                        </wps:bodyPr>
                      </wps:wsp>
                      <wps:wsp>
                        <wps:cNvPr id="1477" name="Textbox 1477"/>
                        <wps:cNvSpPr txBox="1"/>
                        <wps:spPr>
                          <a:xfrm>
                            <a:off x="4044604" y="1816747"/>
                            <a:ext cx="189230" cy="205740"/>
                          </a:xfrm>
                          <a:prstGeom prst="rect">
                            <a:avLst/>
                          </a:prstGeom>
                        </wps:spPr>
                        <wps:txbx>
                          <w:txbxContent>
                            <w:p>
                              <w:pPr>
                                <w:spacing w:before="1"/>
                                <w:ind w:left="18" w:right="0" w:hanging="19"/>
                                <w:jc w:val="left"/>
                                <w:rPr>
                                  <w:rFonts w:ascii="Arial"/>
                                  <w:sz w:val="14"/>
                                </w:rPr>
                              </w:pPr>
                              <w:r>
                                <w:rPr>
                                  <w:rFonts w:ascii="Arial"/>
                                  <w:color w:val="FFFFFF"/>
                                  <w:spacing w:val="-4"/>
                                  <w:w w:val="80"/>
                                  <w:sz w:val="14"/>
                                </w:rPr>
                                <w:t>None</w:t>
                              </w:r>
                              <w:r>
                                <w:rPr>
                                  <w:rFonts w:ascii="Arial"/>
                                  <w:color w:val="FFFFFF"/>
                                  <w:spacing w:val="40"/>
                                  <w:sz w:val="14"/>
                                </w:rPr>
                                <w:t> </w:t>
                              </w:r>
                              <w:r>
                                <w:rPr>
                                  <w:rFonts w:ascii="Arial"/>
                                  <w:color w:val="FFFFFF"/>
                                  <w:spacing w:val="-5"/>
                                  <w:w w:val="90"/>
                                  <w:sz w:val="14"/>
                                </w:rPr>
                                <w:t>44%</w:t>
                              </w:r>
                            </w:p>
                          </w:txbxContent>
                        </wps:txbx>
                        <wps:bodyPr wrap="square" lIns="0" tIns="0" rIns="0" bIns="0" rtlCol="0">
                          <a:noAutofit/>
                        </wps:bodyPr>
                      </wps:wsp>
                      <wps:wsp>
                        <wps:cNvPr id="1478" name="Textbox 1478"/>
                        <wps:cNvSpPr txBox="1"/>
                        <wps:spPr>
                          <a:xfrm>
                            <a:off x="86008" y="2095397"/>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10</w:t>
                              </w:r>
                            </w:p>
                          </w:txbxContent>
                        </wps:txbx>
                        <wps:bodyPr wrap="square" lIns="0" tIns="0" rIns="0" bIns="0" rtlCol="0">
                          <a:noAutofit/>
                        </wps:bodyPr>
                      </wps:wsp>
                      <wps:wsp>
                        <wps:cNvPr id="1479" name="Textbox 1479"/>
                        <wps:cNvSpPr txBox="1"/>
                        <wps:spPr>
                          <a:xfrm>
                            <a:off x="3218012" y="2192972"/>
                            <a:ext cx="165735" cy="205740"/>
                          </a:xfrm>
                          <a:prstGeom prst="rect">
                            <a:avLst/>
                          </a:prstGeom>
                        </wps:spPr>
                        <wps:txbx>
                          <w:txbxContent>
                            <w:p>
                              <w:pPr>
                                <w:spacing w:before="1"/>
                                <w:ind w:left="0" w:right="13" w:firstLine="15"/>
                                <w:jc w:val="left"/>
                                <w:rPr>
                                  <w:rFonts w:ascii="Arial"/>
                                  <w:sz w:val="14"/>
                                </w:rPr>
                              </w:pPr>
                              <w:r>
                                <w:rPr>
                                  <w:rFonts w:ascii="Arial"/>
                                  <w:color w:val="FFFFFF"/>
                                  <w:spacing w:val="-4"/>
                                  <w:w w:val="85"/>
                                  <w:sz w:val="14"/>
                                </w:rPr>
                                <w:t>One</w:t>
                              </w:r>
                              <w:r>
                                <w:rPr>
                                  <w:rFonts w:ascii="Arial"/>
                                  <w:color w:val="FFFFFF"/>
                                  <w:spacing w:val="40"/>
                                  <w:sz w:val="14"/>
                                </w:rPr>
                                <w:t> </w:t>
                              </w:r>
                              <w:r>
                                <w:rPr>
                                  <w:rFonts w:ascii="Arial"/>
                                  <w:color w:val="FFFFFF"/>
                                  <w:spacing w:val="-5"/>
                                  <w:w w:val="85"/>
                                  <w:sz w:val="14"/>
                                </w:rPr>
                                <w:t>38%</w:t>
                              </w:r>
                            </w:p>
                          </w:txbxContent>
                        </wps:txbx>
                        <wps:bodyPr wrap="square" lIns="0" tIns="0" rIns="0" bIns="0" rtlCol="0">
                          <a:noAutofit/>
                        </wps:bodyPr>
                      </wps:wsp>
                      <wps:wsp>
                        <wps:cNvPr id="1480" name="Textbox 1480"/>
                        <wps:cNvSpPr txBox="1"/>
                        <wps:spPr>
                          <a:xfrm>
                            <a:off x="128680" y="2398812"/>
                            <a:ext cx="125095" cy="467359"/>
                          </a:xfrm>
                          <a:prstGeom prst="rect">
                            <a:avLst/>
                          </a:prstGeom>
                        </wps:spPr>
                        <wps:txbx>
                          <w:txbxContent>
                            <w:p>
                              <w:pPr>
                                <w:spacing w:line="159" w:lineRule="exact" w:before="0"/>
                                <w:ind w:left="0" w:right="0" w:firstLine="0"/>
                                <w:jc w:val="left"/>
                                <w:rPr>
                                  <w:rFonts w:ascii="Arial"/>
                                  <w:sz w:val="14"/>
                                </w:rPr>
                              </w:pPr>
                              <w:r>
                                <w:rPr>
                                  <w:rFonts w:ascii="Arial"/>
                                  <w:color w:val="231F20"/>
                                  <w:spacing w:val="-10"/>
                                  <w:w w:val="95"/>
                                  <w:sz w:val="14"/>
                                </w:rPr>
                                <w:t>5</w:t>
                              </w:r>
                            </w:p>
                            <w:p>
                              <w:pPr>
                                <w:spacing w:line="240" w:lineRule="auto" w:before="156"/>
                                <w:rPr>
                                  <w:rFonts w:ascii="Arial"/>
                                  <w:sz w:val="14"/>
                                </w:rPr>
                              </w:pPr>
                            </w:p>
                            <w:p>
                              <w:pPr>
                                <w:spacing w:line="237" w:lineRule="auto" w:before="0"/>
                                <w:ind w:left="0" w:right="0" w:firstLine="0"/>
                                <w:jc w:val="left"/>
                                <w:rPr>
                                  <w:rFonts w:ascii="Arial"/>
                                  <w:sz w:val="14"/>
                                </w:rPr>
                              </w:pPr>
                              <w:r>
                                <w:rPr>
                                  <w:rFonts w:ascii="Arial"/>
                                  <w:color w:val="231F20"/>
                                  <w:w w:val="95"/>
                                  <w:sz w:val="14"/>
                                </w:rPr>
                                <w:t>0</w:t>
                              </w:r>
                              <w:r>
                                <w:rPr>
                                  <w:rFonts w:ascii="Arial"/>
                                  <w:color w:val="231F20"/>
                                  <w:spacing w:val="-3"/>
                                  <w:w w:val="95"/>
                                  <w:sz w:val="14"/>
                                </w:rPr>
                                <w:t> </w:t>
                              </w:r>
                              <w:r>
                                <w:rPr>
                                  <w:rFonts w:ascii="Arial"/>
                                  <w:color w:val="231F20"/>
                                  <w:spacing w:val="-12"/>
                                  <w:w w:val="95"/>
                                  <w:position w:val="-9"/>
                                  <w:sz w:val="14"/>
                                </w:rPr>
                                <w:t>0</w:t>
                              </w:r>
                            </w:p>
                          </w:txbxContent>
                        </wps:txbx>
                        <wps:bodyPr wrap="square" lIns="0" tIns="0" rIns="0" bIns="0" rtlCol="0">
                          <a:noAutofit/>
                        </wps:bodyPr>
                      </wps:wsp>
                      <wps:wsp>
                        <wps:cNvPr id="1481" name="Textbox 1481"/>
                        <wps:cNvSpPr txBox="1"/>
                        <wps:spPr>
                          <a:xfrm>
                            <a:off x="590160" y="2765614"/>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20</w:t>
                              </w:r>
                            </w:p>
                          </w:txbxContent>
                        </wps:txbx>
                        <wps:bodyPr wrap="square" lIns="0" tIns="0" rIns="0" bIns="0" rtlCol="0">
                          <a:noAutofit/>
                        </wps:bodyPr>
                      </wps:wsp>
                      <wps:wsp>
                        <wps:cNvPr id="1482" name="Textbox 1482"/>
                        <wps:cNvSpPr txBox="1"/>
                        <wps:spPr>
                          <a:xfrm>
                            <a:off x="1003545" y="2765614"/>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40</w:t>
                              </w:r>
                            </w:p>
                          </w:txbxContent>
                        </wps:txbx>
                        <wps:bodyPr wrap="square" lIns="0" tIns="0" rIns="0" bIns="0" rtlCol="0">
                          <a:noAutofit/>
                        </wps:bodyPr>
                      </wps:wsp>
                      <wps:wsp>
                        <wps:cNvPr id="1483" name="Textbox 1483"/>
                        <wps:cNvSpPr txBox="1"/>
                        <wps:spPr>
                          <a:xfrm>
                            <a:off x="1416930" y="2765614"/>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60</w:t>
                              </w:r>
                            </w:p>
                          </w:txbxContent>
                        </wps:txbx>
                        <wps:bodyPr wrap="square" lIns="0" tIns="0" rIns="0" bIns="0" rtlCol="0">
                          <a:noAutofit/>
                        </wps:bodyPr>
                      </wps:wsp>
                      <wps:wsp>
                        <wps:cNvPr id="1484" name="Textbox 1484"/>
                        <wps:cNvSpPr txBox="1"/>
                        <wps:spPr>
                          <a:xfrm>
                            <a:off x="1830315" y="2765614"/>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80</w:t>
                              </w:r>
                            </w:p>
                          </w:txbxContent>
                        </wps:txbx>
                        <wps:bodyPr wrap="square" lIns="0" tIns="0" rIns="0" bIns="0" rtlCol="0">
                          <a:noAutofit/>
                        </wps:bodyPr>
                      </wps:wsp>
                      <wps:wsp>
                        <wps:cNvPr id="1485" name="Textbox 1485"/>
                        <wps:cNvSpPr txBox="1"/>
                        <wps:spPr>
                          <a:xfrm>
                            <a:off x="2222453" y="2765614"/>
                            <a:ext cx="14097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100</w:t>
                              </w:r>
                            </w:p>
                          </w:txbxContent>
                        </wps:txbx>
                        <wps:bodyPr wrap="square" lIns="0" tIns="0" rIns="0" bIns="0" rtlCol="0">
                          <a:noAutofit/>
                        </wps:bodyPr>
                      </wps:wsp>
                      <wps:wsp>
                        <wps:cNvPr id="1486" name="Textbox 1486"/>
                        <wps:cNvSpPr txBox="1"/>
                        <wps:spPr>
                          <a:xfrm>
                            <a:off x="76386" y="2892614"/>
                            <a:ext cx="2962910" cy="435609"/>
                          </a:xfrm>
                          <a:prstGeom prst="rect">
                            <a:avLst/>
                          </a:prstGeom>
                        </wps:spPr>
                        <wps:txbx>
                          <w:txbxContent>
                            <w:p>
                              <w:pPr>
                                <w:spacing w:line="159" w:lineRule="exact" w:before="0"/>
                                <w:ind w:left="1370" w:right="0" w:firstLine="0"/>
                                <w:jc w:val="left"/>
                                <w:rPr>
                                  <w:rFonts w:ascii="Arial"/>
                                  <w:sz w:val="14"/>
                                </w:rPr>
                              </w:pPr>
                              <w:r>
                                <w:rPr>
                                  <w:rFonts w:ascii="Arial"/>
                                  <w:color w:val="231F20"/>
                                  <w:w w:val="80"/>
                                  <w:sz w:val="14"/>
                                </w:rPr>
                                <w:t>Number</w:t>
                              </w:r>
                              <w:r>
                                <w:rPr>
                                  <w:rFonts w:ascii="Arial"/>
                                  <w:color w:val="231F20"/>
                                  <w:spacing w:val="-2"/>
                                  <w:w w:val="80"/>
                                  <w:sz w:val="14"/>
                                </w:rPr>
                                <w:t> </w:t>
                              </w:r>
                              <w:r>
                                <w:rPr>
                                  <w:rFonts w:ascii="Arial"/>
                                  <w:color w:val="231F20"/>
                                  <w:w w:val="80"/>
                                  <w:sz w:val="14"/>
                                </w:rPr>
                                <w:t>of</w:t>
                              </w:r>
                              <w:r>
                                <w:rPr>
                                  <w:rFonts w:ascii="Arial"/>
                                  <w:color w:val="231F20"/>
                                  <w:spacing w:val="-1"/>
                                  <w:w w:val="80"/>
                                  <w:sz w:val="14"/>
                                </w:rPr>
                                <w:t> </w:t>
                              </w:r>
                              <w:r>
                                <w:rPr>
                                  <w:rFonts w:ascii="Arial"/>
                                  <w:color w:val="231F20"/>
                                  <w:spacing w:val="-2"/>
                                  <w:w w:val="80"/>
                                  <w:sz w:val="14"/>
                                </w:rPr>
                                <w:t>partners</w:t>
                              </w:r>
                            </w:p>
                            <w:p>
                              <w:pPr>
                                <w:spacing w:line="240" w:lineRule="auto" w:before="80"/>
                                <w:rPr>
                                  <w:rFonts w:ascii="Arial"/>
                                  <w:sz w:val="14"/>
                                </w:rPr>
                              </w:pPr>
                            </w:p>
                            <w:p>
                              <w:pPr>
                                <w:spacing w:before="0"/>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World</w:t>
                              </w:r>
                              <w:r>
                                <w:rPr>
                                  <w:rFonts w:ascii="Arial"/>
                                  <w:color w:val="231F20"/>
                                  <w:spacing w:val="5"/>
                                  <w:sz w:val="12"/>
                                </w:rPr>
                                <w:t> </w:t>
                              </w:r>
                              <w:r>
                                <w:rPr>
                                  <w:rFonts w:ascii="Arial"/>
                                  <w:color w:val="231F20"/>
                                  <w:w w:val="75"/>
                                  <w:sz w:val="12"/>
                                </w:rPr>
                                <w:t>Bank</w:t>
                              </w:r>
                              <w:r>
                                <w:rPr>
                                  <w:rFonts w:ascii="Arial"/>
                                  <w:color w:val="231F20"/>
                                  <w:spacing w:val="5"/>
                                  <w:sz w:val="12"/>
                                </w:rPr>
                                <w:t> </w:t>
                              </w:r>
                              <w:r>
                                <w:rPr>
                                  <w:rFonts w:ascii="Arial"/>
                                  <w:color w:val="231F20"/>
                                  <w:w w:val="75"/>
                                  <w:sz w:val="12"/>
                                </w:rPr>
                                <w:t>calculations</w:t>
                              </w:r>
                              <w:r>
                                <w:rPr>
                                  <w:rFonts w:ascii="Arial"/>
                                  <w:color w:val="231F20"/>
                                  <w:spacing w:val="5"/>
                                  <w:sz w:val="12"/>
                                </w:rPr>
                                <w:t> </w:t>
                              </w:r>
                              <w:r>
                                <w:rPr>
                                  <w:rFonts w:ascii="Arial"/>
                                  <w:color w:val="231F20"/>
                                  <w:w w:val="75"/>
                                  <w:sz w:val="12"/>
                                </w:rPr>
                                <w:t>based</w:t>
                              </w:r>
                              <w:r>
                                <w:rPr>
                                  <w:rFonts w:ascii="Arial"/>
                                  <w:color w:val="231F20"/>
                                  <w:spacing w:val="4"/>
                                  <w:sz w:val="12"/>
                                </w:rPr>
                                <w:t> </w:t>
                              </w:r>
                              <w:r>
                                <w:rPr>
                                  <w:rFonts w:ascii="Arial"/>
                                  <w:color w:val="231F20"/>
                                  <w:w w:val="75"/>
                                  <w:sz w:val="12"/>
                                </w:rPr>
                                <w:t>on</w:t>
                              </w:r>
                              <w:r>
                                <w:rPr>
                                  <w:rFonts w:ascii="Arial"/>
                                  <w:color w:val="231F20"/>
                                  <w:spacing w:val="5"/>
                                  <w:sz w:val="12"/>
                                </w:rPr>
                                <w:t> </w:t>
                              </w:r>
                              <w:r>
                                <w:rPr>
                                  <w:rFonts w:ascii="Arial"/>
                                  <w:color w:val="231F20"/>
                                  <w:w w:val="75"/>
                                  <w:sz w:val="12"/>
                                </w:rPr>
                                <w:t>data</w:t>
                              </w:r>
                              <w:r>
                                <w:rPr>
                                  <w:rFonts w:ascii="Arial"/>
                                  <w:color w:val="231F20"/>
                                  <w:spacing w:val="5"/>
                                  <w:sz w:val="12"/>
                                </w:rPr>
                                <w:t> </w:t>
                              </w:r>
                              <w:r>
                                <w:rPr>
                                  <w:rFonts w:ascii="Arial"/>
                                  <w:color w:val="231F20"/>
                                  <w:w w:val="75"/>
                                  <w:sz w:val="12"/>
                                </w:rPr>
                                <w:t>from</w:t>
                              </w:r>
                              <w:r>
                                <w:rPr>
                                  <w:rFonts w:ascii="Arial"/>
                                  <w:color w:val="231F20"/>
                                  <w:spacing w:val="5"/>
                                  <w:sz w:val="12"/>
                                </w:rPr>
                                <w:t> </w:t>
                              </w:r>
                              <w:r>
                                <w:rPr>
                                  <w:rFonts w:ascii="Arial"/>
                                  <w:color w:val="231F20"/>
                                  <w:w w:val="75"/>
                                  <w:sz w:val="12"/>
                                </w:rPr>
                                <w:t>MDS</w:t>
                              </w:r>
                              <w:r>
                                <w:rPr>
                                  <w:rFonts w:ascii="Arial"/>
                                  <w:color w:val="231F20"/>
                                  <w:spacing w:val="-1"/>
                                  <w:sz w:val="12"/>
                                </w:rPr>
                                <w:t> </w:t>
                              </w:r>
                              <w:r>
                                <w:rPr>
                                  <w:rFonts w:ascii="Arial"/>
                                  <w:color w:val="231F20"/>
                                  <w:w w:val="75"/>
                                  <w:sz w:val="12"/>
                                </w:rPr>
                                <w:t>Transmodal</w:t>
                              </w:r>
                              <w:r>
                                <w:rPr>
                                  <w:rFonts w:ascii="Arial"/>
                                  <w:color w:val="231F20"/>
                                  <w:spacing w:val="5"/>
                                  <w:sz w:val="12"/>
                                </w:rPr>
                                <w:t> </w:t>
                              </w:r>
                              <w:r>
                                <w:rPr>
                                  <w:rFonts w:ascii="Arial"/>
                                  <w:color w:val="231F20"/>
                                  <w:w w:val="75"/>
                                  <w:sz w:val="12"/>
                                </w:rPr>
                                <w:t>and</w:t>
                              </w:r>
                              <w:r>
                                <w:rPr>
                                  <w:rFonts w:ascii="Arial"/>
                                  <w:color w:val="231F20"/>
                                  <w:sz w:val="12"/>
                                </w:rPr>
                                <w:t> </w:t>
                              </w:r>
                              <w:r>
                                <w:rPr>
                                  <w:rFonts w:ascii="Arial"/>
                                  <w:color w:val="231F20"/>
                                  <w:spacing w:val="-2"/>
                                  <w:w w:val="75"/>
                                  <w:sz w:val="12"/>
                                </w:rPr>
                                <w:t>TradeLens.</w:t>
                              </w:r>
                            </w:p>
                            <w:p>
                              <w:pPr>
                                <w:spacing w:before="2"/>
                                <w:ind w:left="0" w:right="0" w:firstLine="0"/>
                                <w:jc w:val="left"/>
                                <w:rPr>
                                  <w:rFonts w:ascii="Arial"/>
                                  <w:sz w:val="12"/>
                                </w:rPr>
                              </w:pPr>
                              <w:r>
                                <w:rPr>
                                  <w:rFonts w:ascii="Arial"/>
                                  <w:i/>
                                  <w:color w:val="231F20"/>
                                  <w:w w:val="75"/>
                                  <w:sz w:val="12"/>
                                </w:rPr>
                                <w:t>Note:</w:t>
                              </w:r>
                              <w:r>
                                <w:rPr>
                                  <w:rFonts w:ascii="Arial"/>
                                  <w:i/>
                                  <w:color w:val="231F20"/>
                                  <w:spacing w:val="4"/>
                                  <w:sz w:val="12"/>
                                </w:rPr>
                                <w:t> </w:t>
                              </w:r>
                              <w:r>
                                <w:rPr>
                                  <w:rFonts w:ascii="Arial"/>
                                  <w:color w:val="231F20"/>
                                  <w:w w:val="75"/>
                                  <w:sz w:val="12"/>
                                </w:rPr>
                                <w:t>Connectivity</w:t>
                              </w:r>
                              <w:r>
                                <w:rPr>
                                  <w:rFonts w:ascii="Arial"/>
                                  <w:color w:val="231F20"/>
                                  <w:spacing w:val="11"/>
                                  <w:sz w:val="12"/>
                                </w:rPr>
                                <w:t> </w:t>
                              </w:r>
                              <w:r>
                                <w:rPr>
                                  <w:rFonts w:ascii="Arial"/>
                                  <w:color w:val="231F20"/>
                                  <w:w w:val="75"/>
                                  <w:sz w:val="12"/>
                                </w:rPr>
                                <w:t>is</w:t>
                              </w:r>
                              <w:r>
                                <w:rPr>
                                  <w:rFonts w:ascii="Arial"/>
                                  <w:color w:val="231F20"/>
                                  <w:spacing w:val="11"/>
                                  <w:sz w:val="12"/>
                                </w:rPr>
                                <w:t> </w:t>
                              </w:r>
                              <w:r>
                                <w:rPr>
                                  <w:rFonts w:ascii="Arial"/>
                                  <w:color w:val="231F20"/>
                                  <w:w w:val="75"/>
                                  <w:sz w:val="12"/>
                                </w:rPr>
                                <w:t>the</w:t>
                              </w:r>
                              <w:r>
                                <w:rPr>
                                  <w:rFonts w:ascii="Arial"/>
                                  <w:color w:val="231F20"/>
                                  <w:spacing w:val="11"/>
                                  <w:sz w:val="12"/>
                                </w:rPr>
                                <w:t> </w:t>
                              </w:r>
                              <w:r>
                                <w:rPr>
                                  <w:rFonts w:ascii="Arial"/>
                                  <w:color w:val="231F20"/>
                                  <w:w w:val="75"/>
                                  <w:sz w:val="12"/>
                                </w:rPr>
                                <w:t>number</w:t>
                              </w:r>
                              <w:r>
                                <w:rPr>
                                  <w:rFonts w:ascii="Arial"/>
                                  <w:color w:val="231F20"/>
                                  <w:spacing w:val="11"/>
                                  <w:sz w:val="12"/>
                                </w:rPr>
                                <w:t> </w:t>
                              </w:r>
                              <w:r>
                                <w:rPr>
                                  <w:rFonts w:ascii="Arial"/>
                                  <w:color w:val="231F20"/>
                                  <w:w w:val="75"/>
                                  <w:sz w:val="12"/>
                                </w:rPr>
                                <w:t>of</w:t>
                              </w:r>
                              <w:r>
                                <w:rPr>
                                  <w:rFonts w:ascii="Arial"/>
                                  <w:color w:val="231F20"/>
                                  <w:spacing w:val="11"/>
                                  <w:sz w:val="12"/>
                                </w:rPr>
                                <w:t> </w:t>
                              </w:r>
                              <w:r>
                                <w:rPr>
                                  <w:rFonts w:ascii="Arial"/>
                                  <w:color w:val="231F20"/>
                                  <w:w w:val="75"/>
                                  <w:sz w:val="12"/>
                                </w:rPr>
                                <w:t>direct</w:t>
                              </w:r>
                              <w:r>
                                <w:rPr>
                                  <w:rFonts w:ascii="Arial"/>
                                  <w:color w:val="231F20"/>
                                  <w:spacing w:val="11"/>
                                  <w:sz w:val="12"/>
                                </w:rPr>
                                <w:t> </w:t>
                              </w:r>
                              <w:r>
                                <w:rPr>
                                  <w:rFonts w:ascii="Arial"/>
                                  <w:color w:val="231F20"/>
                                  <w:w w:val="75"/>
                                  <w:sz w:val="12"/>
                                </w:rPr>
                                <w:t>international</w:t>
                              </w:r>
                              <w:r>
                                <w:rPr>
                                  <w:rFonts w:ascii="Arial"/>
                                  <w:color w:val="231F20"/>
                                  <w:spacing w:val="11"/>
                                  <w:sz w:val="12"/>
                                </w:rPr>
                                <w:t> </w:t>
                              </w:r>
                              <w:r>
                                <w:rPr>
                                  <w:rFonts w:ascii="Arial"/>
                                  <w:color w:val="231F20"/>
                                  <w:w w:val="75"/>
                                  <w:sz w:val="12"/>
                                </w:rPr>
                                <w:t>container</w:t>
                              </w:r>
                              <w:r>
                                <w:rPr>
                                  <w:rFonts w:ascii="Arial"/>
                                  <w:color w:val="231F20"/>
                                  <w:spacing w:val="11"/>
                                  <w:sz w:val="12"/>
                                </w:rPr>
                                <w:t> </w:t>
                              </w:r>
                              <w:r>
                                <w:rPr>
                                  <w:rFonts w:ascii="Arial"/>
                                  <w:color w:val="231F20"/>
                                  <w:w w:val="75"/>
                                  <w:sz w:val="12"/>
                                </w:rPr>
                                <w:t>shipping</w:t>
                              </w:r>
                              <w:r>
                                <w:rPr>
                                  <w:rFonts w:ascii="Arial"/>
                                  <w:color w:val="231F20"/>
                                  <w:spacing w:val="11"/>
                                  <w:sz w:val="12"/>
                                </w:rPr>
                                <w:t> </w:t>
                              </w:r>
                              <w:r>
                                <w:rPr>
                                  <w:rFonts w:ascii="Arial"/>
                                  <w:color w:val="231F20"/>
                                  <w:w w:val="75"/>
                                  <w:sz w:val="12"/>
                                </w:rPr>
                                <w:t>connections</w:t>
                              </w:r>
                              <w:r>
                                <w:rPr>
                                  <w:rFonts w:ascii="Arial"/>
                                  <w:color w:val="231F20"/>
                                  <w:spacing w:val="11"/>
                                  <w:sz w:val="12"/>
                                </w:rPr>
                                <w:t> </w:t>
                              </w:r>
                              <w:r>
                                <w:rPr>
                                  <w:rFonts w:ascii="Arial"/>
                                  <w:color w:val="231F20"/>
                                  <w:w w:val="75"/>
                                  <w:sz w:val="12"/>
                                </w:rPr>
                                <w:t>without</w:t>
                              </w:r>
                              <w:r>
                                <w:rPr>
                                  <w:rFonts w:ascii="Arial"/>
                                  <w:color w:val="231F20"/>
                                  <w:spacing w:val="11"/>
                                  <w:sz w:val="12"/>
                                </w:rPr>
                                <w:t> </w:t>
                              </w:r>
                              <w:r>
                                <w:rPr>
                                  <w:rFonts w:ascii="Arial"/>
                                  <w:color w:val="231F20"/>
                                  <w:spacing w:val="-2"/>
                                  <w:w w:val="75"/>
                                  <w:sz w:val="12"/>
                                </w:rPr>
                                <w:t>transshipment.</w:t>
                              </w:r>
                            </w:p>
                          </w:txbxContent>
                        </wps:txbx>
                        <wps:bodyPr wrap="square" lIns="0" tIns="0" rIns="0" bIns="0" rtlCol="0">
                          <a:noAutofit/>
                        </wps:bodyPr>
                      </wps:wsp>
                    </wpg:wgp>
                  </a:graphicData>
                </a:graphic>
              </wp:anchor>
            </w:drawing>
          </mc:Choice>
          <mc:Fallback>
            <w:pict>
              <v:group style="position:absolute;margin-left:168pt;margin-top:9.25pt;width:384.05pt;height:269.4pt;mso-position-horizontal-relative:page;mso-position-vertical-relative:paragraph;z-index:-15698944;mso-wrap-distance-left:0;mso-wrap-distance-right:0" id="docshapegroup1212" coordorigin="3360,185" coordsize="7681,5388">
                <v:shape style="position:absolute;left:3360;top:791;width:7680;height:4781" id="docshape1213" coordorigin="3360,791" coordsize="7680,4781" path="m11040,791l3360,791,3360,5454,3370,5500,3396,5538,3434,5563,3479,5572,10916,5572,10962,5564,11002,5540,11030,5503,11040,5454,11040,791xe" filled="true" fillcolor="#dfeaf7" stroked="false">
                  <v:path arrowok="t"/>
                  <v:fill type="solid"/>
                </v:shape>
                <v:shape style="position:absolute;left:3360;top:185;width:807;height:565" id="docshape1214" coordorigin="3360,185" coordsize="807,565" path="m4167,185l3480,185,3434,190,3396,208,3370,244,3360,305,3360,750,4167,750,4167,185xe" filled="true" fillcolor="#008fdd" stroked="false">
                  <v:path arrowok="t"/>
                  <v:fill type="solid"/>
                </v:shape>
                <v:shape style="position:absolute;left:4166;top:185;width:6873;height:565" id="docshape1215" coordorigin="4167,185" coordsize="6873,565" path="m10919,185l4167,185,4167,750,11039,750,11039,305,11031,265,11006,226,10968,197,10919,185xe" filled="true" fillcolor="#808285" stroked="false">
                  <v:path arrowok="t"/>
                  <v:fill type="solid"/>
                </v:shape>
                <v:line style="position:absolute" from="4167,185" to="4167,764" stroked="true" strokeweight="2pt" strokecolor="#ffffff">
                  <v:stroke dashstyle="solid"/>
                </v:line>
                <v:line style="position:absolute" from="3705,4515" to="6961,4515" stroked="true" strokeweight=".5pt" strokecolor="#ffffff">
                  <v:stroke dashstyle="solid"/>
                </v:line>
                <v:line style="position:absolute" from="4067,4032" to="4067,4042" stroked="true" strokeweight=".08pt" strokecolor="#ffffff">
                  <v:stroke dashstyle="solid"/>
                </v:line>
                <v:shape style="position:absolute;left:4428;top:4032;width:362;height:10" id="docshape1216" coordorigin="4428,4032" coordsize="362,10" path="m4428,4032l4428,4042m4790,4032l4790,4042e" filled="false" stroked="true" strokeweight=".08pt" strokecolor="#ffffff">
                  <v:path arrowok="t"/>
                  <v:stroke dashstyle="solid"/>
                </v:shape>
                <v:line style="position:absolute" from="5152,4032" to="5152,4042" stroked="true" strokeweight=".08pt" strokecolor="#ffffff">
                  <v:stroke dashstyle="solid"/>
                </v:line>
                <v:line style="position:absolute" from="5513,4037" to="6961,4037" stroked="true" strokeweight=".5pt" strokecolor="#ffffff">
                  <v:stroke dashstyle="solid"/>
                </v:line>
                <v:line style="position:absolute" from="4067,3554" to="4067,3564" stroked="true" strokeweight=".08pt" strokecolor="#ffffff">
                  <v:stroke dashstyle="solid"/>
                </v:line>
                <v:shape style="position:absolute;left:4428;top:3554;width:362;height:10" id="docshape1217" coordorigin="4428,3554" coordsize="362,10" path="m4428,3554l4428,3564m4790,3554l4790,3564e" filled="false" stroked="true" strokeweight=".08pt" strokecolor="#ffffff">
                  <v:path arrowok="t"/>
                  <v:stroke dashstyle="solid"/>
                </v:shape>
                <v:line style="position:absolute" from="5152,3554" to="5152,3564" stroked="true" strokeweight=".08pt" strokecolor="#ffffff">
                  <v:stroke dashstyle="solid"/>
                </v:line>
                <v:line style="position:absolute" from="5513,3559" to="6961,3559" stroked="true" strokeweight=".5pt" strokecolor="#ffffff">
                  <v:stroke dashstyle="solid"/>
                </v:line>
                <v:line style="position:absolute" from="4067,3077" to="4067,3087" stroked="true" strokeweight=".08pt" strokecolor="#ffffff">
                  <v:stroke dashstyle="solid"/>
                </v:line>
                <v:line style="position:absolute" from="4428,3077" to="4428,3087" stroked="true" strokeweight=".08pt" strokecolor="#ffffff">
                  <v:stroke dashstyle="solid"/>
                </v:line>
                <v:line style="position:absolute" from="4789,3082" to="6961,3082" stroked="true" strokeweight=".5pt" strokecolor="#ffffff">
                  <v:stroke dashstyle="solid"/>
                </v:line>
                <v:line style="position:absolute" from="4067,2599" to="4067,2609" stroked="true" strokeweight=".08pt" strokecolor="#ffffff">
                  <v:stroke dashstyle="solid"/>
                </v:line>
                <v:line style="position:absolute" from="4428,2604" to="6961,2604" stroked="true" strokeweight=".5pt" strokecolor="#ffffff">
                  <v:stroke dashstyle="solid"/>
                </v:line>
                <v:line style="position:absolute" from="4067,2121" to="4067,2131" stroked="true" strokeweight=".08pt" strokecolor="#ffffff">
                  <v:stroke dashstyle="solid"/>
                </v:line>
                <v:line style="position:absolute" from="4428,2126" to="6961,2126" stroked="true" strokeweight=".5pt" strokecolor="#ffffff">
                  <v:stroke dashstyle="solid"/>
                </v:line>
                <v:line style="position:absolute" from="3705,1648" to="6961,1648" stroked="true" strokeweight=".5pt" strokecolor="#ffffff">
                  <v:stroke dashstyle="solid"/>
                </v:line>
                <v:shape style="position:absolute;left:8654;top:1904;width:526;height:1402" id="docshape1218" coordorigin="8655,1905" coordsize="526,1402" path="m9180,1905l9101,1907,9025,1913,8949,1923,8875,1937,8802,1956,8728,1979,8655,2007,9180,3306,9180,1905xe" filled="true" fillcolor="#008fdd" stroked="false">
                  <v:path arrowok="t"/>
                  <v:fill type="solid"/>
                </v:shape>
                <v:shape style="position:absolute;left:7909;top:2006;width:1271;height:1300" id="docshape1219" coordorigin="7909,2007" coordsize="1271,1300" path="m8655,2007l8577,2040,8503,2077,8432,2118,8365,2162,8301,2209,8241,2260,8184,2314,8130,2371,8079,2433,8032,2497,7988,2566,7947,2638,7909,2714,9180,3306,8655,2007xe" filled="true" fillcolor="#76aee5" stroked="false">
                  <v:path arrowok="t"/>
                  <v:fill type="solid"/>
                </v:shape>
                <v:shape style="position:absolute;left:7773;top:2713;width:1931;height:1995" id="docshape1220" coordorigin="7774,2714" coordsize="1931,1995" path="m7909,2714l7877,2787,7850,2861,7827,2934,7807,3008,7793,3083,7782,3157,7776,3232,7774,3307,7776,3382,7783,3457,7794,3532,7809,3607,7828,3682,7852,3757,7880,3831,7911,3902,7945,3970,7982,4035,8023,4098,8066,4158,8112,4215,8161,4270,8213,4321,8266,4370,8323,4416,8381,4458,8441,4498,8503,4534,8567,4567,8632,4597,8699,4623,8767,4646,8836,4665,8906,4681,8977,4694,9049,4702,9121,4707,9194,4708,9267,4706,9341,4699,9414,4689,9487,4674,9560,4656,9633,4633,9705,4606,9180,3306,7909,2714xe" filled="true" fillcolor="#939598" stroked="false">
                  <v:path arrowok="t"/>
                  <v:fill type="solid"/>
                </v:shape>
                <v:shape style="position:absolute;left:9179;top:1904;width:1402;height:2702" id="docshape1221" coordorigin="9180,1905" coordsize="1402,2702" path="m9180,1905l9180,3306,9705,4606,9778,4574,9848,4539,9916,4501,9980,4460,10042,4416,10101,4369,10157,4319,10209,4267,10259,4211,10305,4154,10348,4094,10387,4032,10423,3968,10456,3901,10485,3833,10510,3762,10532,3690,10549,3617,10563,3541,10573,3464,10579,3386,10581,3306,10579,3229,10573,3154,10563,3079,10549,3006,10531,2934,10510,2863,10485,2794,10457,2727,10425,2662,10390,2599,10352,2538,10311,2478,10267,2422,10220,2367,10171,2315,10119,2266,10064,2219,10008,2175,9948,2134,9887,2096,9824,2061,9759,2029,9692,2001,9623,1976,9552,1955,9480,1937,9407,1923,9332,1913,9257,1907,9180,1905xe" filled="true" fillcolor="#231f20" stroked="false">
                  <v:path arrowok="t"/>
                  <v:fill type="solid"/>
                </v:shape>
                <v:rect style="position:absolute;left:3705;top:1937;width:361;height:2581" id="docshape1222" filled="true" fillcolor="#008fdd" stroked="false">
                  <v:fill type="solid"/>
                </v:rect>
                <v:rect style="position:absolute;left:3705;top:1937;width:361;height:2581" id="docshape1223" filled="false" stroked="true" strokeweight=".25pt" strokecolor="#ffffff">
                  <v:stroke dashstyle="solid"/>
                </v:rect>
                <v:rect style="position:absolute;left:4067;top:1841;width:361;height:2677" id="docshape1224" filled="true" fillcolor="#008fdd" stroked="false">
                  <v:fill type="solid"/>
                </v:rect>
                <v:rect style="position:absolute;left:4067;top:1841;width:361;height:2677" id="docshape1225" filled="false" stroked="true" strokeweight=".25pt" strokecolor="#ffffff">
                  <v:stroke dashstyle="solid"/>
                </v:rect>
                <v:rect style="position:absolute;left:4429;top:2606;width:361;height:1912" id="docshape1226" filled="true" fillcolor="#008fdd" stroked="false">
                  <v:fill type="solid"/>
                </v:rect>
                <v:rect style="position:absolute;left:4429;top:2606;width:361;height:1912" id="docshape1227" filled="false" stroked="true" strokeweight=".25pt" strokecolor="#ffffff">
                  <v:stroke dashstyle="solid"/>
                </v:rect>
                <v:rect style="position:absolute;left:4791;top:3370;width:361;height:1147" id="docshape1228" filled="true" fillcolor="#008fdd" stroked="false">
                  <v:fill type="solid"/>
                </v:rect>
                <v:rect style="position:absolute;left:4791;top:3370;width:361;height:1147" id="docshape1229" filled="false" stroked="true" strokeweight=".25pt" strokecolor="#ffffff">
                  <v:stroke dashstyle="solid"/>
                </v:rect>
                <v:rect style="position:absolute;left:5152;top:3466;width:361;height:1052" id="docshape1230" filled="true" fillcolor="#008fdd" stroked="false">
                  <v:fill type="solid"/>
                </v:rect>
                <v:rect style="position:absolute;left:5152;top:3466;width:361;height:1052" id="docshape1231" filled="false" stroked="true" strokeweight=".25pt" strokecolor="#ffffff">
                  <v:stroke dashstyle="solid"/>
                </v:rect>
                <v:rect style="position:absolute;left:5514;top:4230;width:361;height:287" id="docshape1232" filled="true" fillcolor="#008fdd" stroked="false">
                  <v:fill type="solid"/>
                </v:rect>
                <v:rect style="position:absolute;left:5514;top:4230;width:361;height:287" id="docshape1233" filled="false" stroked="true" strokeweight=".25pt" strokecolor="#ffffff">
                  <v:stroke dashstyle="solid"/>
                </v:rect>
                <v:rect style="position:absolute;left:5876;top:4039;width:361;height:478" id="docshape1234" filled="true" fillcolor="#008fdd" stroked="false">
                  <v:fill type="solid"/>
                </v:rect>
                <v:rect style="position:absolute;left:5876;top:4039;width:361;height:478" id="docshape1235" filled="false" stroked="true" strokeweight=".25pt" strokecolor="#ffffff">
                  <v:stroke dashstyle="solid"/>
                </v:rect>
                <v:rect style="position:absolute;left:6238;top:4039;width:361;height:478" id="docshape1236" filled="true" fillcolor="#008fdd" stroked="false">
                  <v:fill type="solid"/>
                </v:rect>
                <v:rect style="position:absolute;left:6238;top:4039;width:361;height:478" id="docshape1237" filled="false" stroked="true" strokeweight=".25pt" strokecolor="#ffffff">
                  <v:stroke dashstyle="solid"/>
                </v:rect>
                <v:rect style="position:absolute;left:6600;top:4326;width:361;height:192" id="docshape1238" filled="true" fillcolor="#008fdd" stroked="false">
                  <v:fill type="solid"/>
                </v:rect>
                <v:rect style="position:absolute;left:6600;top:4326;width:361;height:192" id="docshape1239" filled="false" stroked="true" strokeweight=".25pt" strokecolor="#ffffff">
                  <v:stroke dashstyle="solid"/>
                </v:rect>
                <v:line style="position:absolute" from="3705,4515" to="6961,4515" stroked="true" strokeweight=".5pt" strokecolor="#ffffff">
                  <v:stroke dashstyle="solid"/>
                </v:line>
                <v:shape style="position:absolute;left:3480;top:290;width:7133;height:392" type="#_x0000_t202" id="docshape1240" filled="false" stroked="false">
                  <v:textbox inset="0,0,0,0">
                    <w:txbxContent>
                      <w:p>
                        <w:pPr>
                          <w:spacing w:line="261" w:lineRule="auto" w:before="0"/>
                          <w:ind w:left="800" w:right="18" w:hanging="800"/>
                          <w:jc w:val="left"/>
                          <w:rPr>
                            <w:rFonts w:ascii="Arial"/>
                            <w:b/>
                            <w:sz w:val="16"/>
                          </w:rPr>
                        </w:pPr>
                        <w:r>
                          <w:rPr>
                            <w:rFonts w:ascii="Arial"/>
                            <w:color w:val="FFFFFF"/>
                            <w:w w:val="105"/>
                            <w:sz w:val="16"/>
                          </w:rPr>
                          <w:t>Figure</w:t>
                        </w:r>
                        <w:r>
                          <w:rPr>
                            <w:rFonts w:ascii="Arial"/>
                            <w:color w:val="FFFFFF"/>
                            <w:spacing w:val="-10"/>
                            <w:w w:val="105"/>
                            <w:sz w:val="16"/>
                          </w:rPr>
                          <w:t> </w:t>
                        </w:r>
                        <w:r>
                          <w:rPr>
                            <w:rFonts w:ascii="Arial"/>
                            <w:b/>
                            <w:color w:val="FFFFFF"/>
                            <w:w w:val="105"/>
                            <w:sz w:val="16"/>
                          </w:rPr>
                          <w:t>3.9</w:t>
                        </w:r>
                        <w:r>
                          <w:rPr>
                            <w:rFonts w:ascii="Arial"/>
                            <w:b/>
                            <w:color w:val="FFFFFF"/>
                            <w:spacing w:val="77"/>
                            <w:w w:val="150"/>
                            <w:sz w:val="16"/>
                          </w:rPr>
                          <w:t> </w:t>
                        </w:r>
                        <w:r>
                          <w:rPr>
                            <w:rFonts w:ascii="Arial"/>
                            <w:b/>
                            <w:color w:val="FFFFFF"/>
                            <w:w w:val="105"/>
                            <w:sz w:val="16"/>
                          </w:rPr>
                          <w:t>Most</w:t>
                        </w:r>
                        <w:r>
                          <w:rPr>
                            <w:rFonts w:ascii="Arial"/>
                            <w:b/>
                            <w:color w:val="FFFFFF"/>
                            <w:spacing w:val="-10"/>
                            <w:w w:val="105"/>
                            <w:sz w:val="16"/>
                          </w:rPr>
                          <w:t> </w:t>
                        </w:r>
                        <w:r>
                          <w:rPr>
                            <w:rFonts w:ascii="Arial"/>
                            <w:b/>
                            <w:color w:val="FFFFFF"/>
                            <w:w w:val="105"/>
                            <w:sz w:val="16"/>
                          </w:rPr>
                          <w:t>maritime</w:t>
                        </w:r>
                        <w:r>
                          <w:rPr>
                            <w:rFonts w:ascii="Arial"/>
                            <w:b/>
                            <w:color w:val="FFFFFF"/>
                            <w:spacing w:val="-10"/>
                            <w:w w:val="105"/>
                            <w:sz w:val="16"/>
                          </w:rPr>
                          <w:t> </w:t>
                        </w:r>
                        <w:r>
                          <w:rPr>
                            <w:rFonts w:ascii="Arial"/>
                            <w:b/>
                            <w:color w:val="FFFFFF"/>
                            <w:w w:val="105"/>
                            <w:sz w:val="16"/>
                          </w:rPr>
                          <w:t>economies</w:t>
                        </w:r>
                        <w:r>
                          <w:rPr>
                            <w:rFonts w:ascii="Arial"/>
                            <w:b/>
                            <w:color w:val="FFFFFF"/>
                            <w:spacing w:val="-10"/>
                            <w:w w:val="105"/>
                            <w:sz w:val="16"/>
                          </w:rPr>
                          <w:t> </w:t>
                        </w:r>
                        <w:r>
                          <w:rPr>
                            <w:rFonts w:ascii="Arial"/>
                            <w:b/>
                            <w:color w:val="FFFFFF"/>
                            <w:w w:val="105"/>
                            <w:sz w:val="16"/>
                          </w:rPr>
                          <w:t>have</w:t>
                        </w:r>
                        <w:r>
                          <w:rPr>
                            <w:rFonts w:ascii="Arial"/>
                            <w:b/>
                            <w:color w:val="FFFFFF"/>
                            <w:spacing w:val="-10"/>
                            <w:w w:val="105"/>
                            <w:sz w:val="16"/>
                          </w:rPr>
                          <w:t> </w:t>
                        </w:r>
                        <w:r>
                          <w:rPr>
                            <w:rFonts w:ascii="Arial"/>
                            <w:b/>
                            <w:color w:val="FFFFFF"/>
                            <w:w w:val="105"/>
                            <w:sz w:val="16"/>
                          </w:rPr>
                          <w:t>less</w:t>
                        </w:r>
                        <w:r>
                          <w:rPr>
                            <w:rFonts w:ascii="Arial"/>
                            <w:b/>
                            <w:color w:val="FFFFFF"/>
                            <w:spacing w:val="-10"/>
                            <w:w w:val="105"/>
                            <w:sz w:val="16"/>
                          </w:rPr>
                          <w:t> </w:t>
                        </w:r>
                        <w:r>
                          <w:rPr>
                            <w:rFonts w:ascii="Arial"/>
                            <w:b/>
                            <w:color w:val="FFFFFF"/>
                            <w:w w:val="105"/>
                            <w:sz w:val="16"/>
                          </w:rPr>
                          <w:t>than</w:t>
                        </w:r>
                        <w:r>
                          <w:rPr>
                            <w:rFonts w:ascii="Arial"/>
                            <w:b/>
                            <w:color w:val="FFFFFF"/>
                            <w:spacing w:val="-10"/>
                            <w:w w:val="105"/>
                            <w:sz w:val="16"/>
                          </w:rPr>
                          <w:t> </w:t>
                        </w:r>
                        <w:r>
                          <w:rPr>
                            <w:rFonts w:ascii="Arial"/>
                            <w:b/>
                            <w:color w:val="FFFFFF"/>
                            <w:w w:val="105"/>
                            <w:sz w:val="16"/>
                          </w:rPr>
                          <w:t>20</w:t>
                        </w:r>
                        <w:r>
                          <w:rPr>
                            <w:rFonts w:ascii="Arial"/>
                            <w:b/>
                            <w:color w:val="FFFFFF"/>
                            <w:spacing w:val="-10"/>
                            <w:w w:val="105"/>
                            <w:sz w:val="16"/>
                          </w:rPr>
                          <w:t> </w:t>
                        </w:r>
                        <w:r>
                          <w:rPr>
                            <w:rFonts w:ascii="Arial"/>
                            <w:b/>
                            <w:color w:val="FFFFFF"/>
                            <w:w w:val="105"/>
                            <w:sz w:val="16"/>
                          </w:rPr>
                          <w:t>shipping</w:t>
                        </w:r>
                        <w:r>
                          <w:rPr>
                            <w:rFonts w:ascii="Arial"/>
                            <w:b/>
                            <w:color w:val="FFFFFF"/>
                            <w:spacing w:val="-10"/>
                            <w:w w:val="105"/>
                            <w:sz w:val="16"/>
                          </w:rPr>
                          <w:t> </w:t>
                        </w:r>
                        <w:r>
                          <w:rPr>
                            <w:rFonts w:ascii="Arial"/>
                            <w:b/>
                            <w:color w:val="FFFFFF"/>
                            <w:w w:val="105"/>
                            <w:sz w:val="16"/>
                          </w:rPr>
                          <w:t>connections</w:t>
                        </w:r>
                        <w:r>
                          <w:rPr>
                            <w:rFonts w:ascii="Arial"/>
                            <w:b/>
                            <w:color w:val="FFFFFF"/>
                            <w:spacing w:val="-10"/>
                            <w:w w:val="105"/>
                            <w:sz w:val="16"/>
                          </w:rPr>
                          <w:t> </w:t>
                        </w:r>
                        <w:r>
                          <w:rPr>
                            <w:rFonts w:ascii="Arial"/>
                            <w:b/>
                            <w:color w:val="FFFFFF"/>
                            <w:w w:val="105"/>
                            <w:sz w:val="16"/>
                          </w:rPr>
                          <w:t>and</w:t>
                        </w:r>
                        <w:r>
                          <w:rPr>
                            <w:rFonts w:ascii="Arial"/>
                            <w:b/>
                            <w:color w:val="FFFFFF"/>
                            <w:spacing w:val="-10"/>
                            <w:w w:val="105"/>
                            <w:sz w:val="16"/>
                          </w:rPr>
                          <w:t> </w:t>
                        </w:r>
                        <w:r>
                          <w:rPr>
                            <w:rFonts w:ascii="Arial"/>
                            <w:b/>
                            <w:color w:val="FFFFFF"/>
                            <w:w w:val="105"/>
                            <w:sz w:val="16"/>
                          </w:rPr>
                          <w:t>depend on transshipment</w:t>
                        </w:r>
                      </w:p>
                    </w:txbxContent>
                  </v:textbox>
                  <w10:wrap type="none"/>
                </v:shape>
                <v:shape style="position:absolute;left:3480;top:947;width:2794;height:785" type="#_x0000_t202" id="docshape1241" filled="false" stroked="false">
                  <v:textbox inset="0,0,0,0">
                    <w:txbxContent>
                      <w:p>
                        <w:pPr>
                          <w:spacing w:before="3"/>
                          <w:ind w:left="1098" w:right="0" w:hanging="386"/>
                          <w:jc w:val="left"/>
                          <w:rPr>
                            <w:rFonts w:ascii="Arial"/>
                            <w:b/>
                            <w:sz w:val="14"/>
                          </w:rPr>
                        </w:pPr>
                        <w:r>
                          <w:rPr>
                            <w:rFonts w:ascii="Arial"/>
                            <w:b/>
                            <w:color w:val="231F20"/>
                            <w:spacing w:val="-2"/>
                            <w:w w:val="85"/>
                            <w:sz w:val="14"/>
                          </w:rPr>
                          <w:t>Distribution</w:t>
                        </w:r>
                        <w:r>
                          <w:rPr>
                            <w:rFonts w:ascii="Arial"/>
                            <w:b/>
                            <w:color w:val="231F20"/>
                            <w:spacing w:val="-8"/>
                            <w:sz w:val="14"/>
                          </w:rPr>
                          <w:t> </w:t>
                        </w:r>
                        <w:r>
                          <w:rPr>
                            <w:rFonts w:ascii="Arial"/>
                            <w:b/>
                            <w:color w:val="231F20"/>
                            <w:spacing w:val="-2"/>
                            <w:w w:val="85"/>
                            <w:sz w:val="14"/>
                          </w:rPr>
                          <w:t>of</w:t>
                        </w:r>
                        <w:r>
                          <w:rPr>
                            <w:rFonts w:ascii="Arial"/>
                            <w:b/>
                            <w:color w:val="231F20"/>
                            <w:spacing w:val="-8"/>
                            <w:sz w:val="14"/>
                          </w:rPr>
                          <w:t> </w:t>
                        </w:r>
                        <w:r>
                          <w:rPr>
                            <w:rFonts w:ascii="Arial"/>
                            <w:b/>
                            <w:color w:val="231F20"/>
                            <w:spacing w:val="-2"/>
                            <w:w w:val="85"/>
                            <w:sz w:val="14"/>
                          </w:rPr>
                          <w:t>maritime</w:t>
                        </w:r>
                        <w:r>
                          <w:rPr>
                            <w:rFonts w:ascii="Arial"/>
                            <w:b/>
                            <w:color w:val="231F20"/>
                            <w:spacing w:val="-8"/>
                            <w:sz w:val="14"/>
                          </w:rPr>
                          <w:t> </w:t>
                        </w:r>
                        <w:r>
                          <w:rPr>
                            <w:rFonts w:ascii="Arial"/>
                            <w:b/>
                            <w:color w:val="231F20"/>
                            <w:spacing w:val="-2"/>
                            <w:w w:val="85"/>
                            <w:sz w:val="14"/>
                          </w:rPr>
                          <w:t>connectivity,</w:t>
                        </w:r>
                        <w:r>
                          <w:rPr>
                            <w:rFonts w:ascii="Arial"/>
                            <w:b/>
                            <w:color w:val="231F20"/>
                            <w:spacing w:val="40"/>
                            <w:sz w:val="14"/>
                          </w:rPr>
                          <w:t> </w:t>
                        </w:r>
                        <w:r>
                          <w:rPr>
                            <w:rFonts w:ascii="Arial"/>
                            <w:b/>
                            <w:color w:val="231F20"/>
                            <w:w w:val="95"/>
                            <w:sz w:val="14"/>
                          </w:rPr>
                          <w:t>second</w:t>
                        </w:r>
                        <w:r>
                          <w:rPr>
                            <w:rFonts w:ascii="Arial"/>
                            <w:b/>
                            <w:color w:val="231F20"/>
                            <w:spacing w:val="-8"/>
                            <w:w w:val="95"/>
                            <w:sz w:val="14"/>
                          </w:rPr>
                          <w:t> </w:t>
                        </w:r>
                        <w:r>
                          <w:rPr>
                            <w:rFonts w:ascii="Arial"/>
                            <w:b/>
                            <w:color w:val="231F20"/>
                            <w:w w:val="95"/>
                            <w:sz w:val="14"/>
                          </w:rPr>
                          <w:t>quarter</w:t>
                        </w:r>
                        <w:r>
                          <w:rPr>
                            <w:rFonts w:ascii="Arial"/>
                            <w:b/>
                            <w:color w:val="231F20"/>
                            <w:spacing w:val="-8"/>
                            <w:w w:val="95"/>
                            <w:sz w:val="14"/>
                          </w:rPr>
                          <w:t> </w:t>
                        </w:r>
                        <w:r>
                          <w:rPr>
                            <w:rFonts w:ascii="Arial"/>
                            <w:b/>
                            <w:color w:val="231F20"/>
                            <w:w w:val="95"/>
                            <w:sz w:val="14"/>
                          </w:rPr>
                          <w:t>of</w:t>
                        </w:r>
                        <w:r>
                          <w:rPr>
                            <w:rFonts w:ascii="Arial"/>
                            <w:b/>
                            <w:color w:val="231F20"/>
                            <w:spacing w:val="-8"/>
                            <w:w w:val="95"/>
                            <w:sz w:val="14"/>
                          </w:rPr>
                          <w:t> </w:t>
                        </w:r>
                        <w:r>
                          <w:rPr>
                            <w:rFonts w:ascii="Arial"/>
                            <w:b/>
                            <w:color w:val="231F20"/>
                            <w:w w:val="95"/>
                            <w:sz w:val="14"/>
                          </w:rPr>
                          <w:t>2022</w:t>
                        </w:r>
                      </w:p>
                      <w:p>
                        <w:pPr>
                          <w:spacing w:line="220" w:lineRule="atLeast" w:before="19"/>
                          <w:ind w:left="15" w:right="1712" w:hanging="16"/>
                          <w:jc w:val="left"/>
                          <w:rPr>
                            <w:rFonts w:ascii="Arial"/>
                            <w:sz w:val="14"/>
                          </w:rPr>
                        </w:pPr>
                        <w:r>
                          <w:rPr>
                            <w:rFonts w:ascii="Arial"/>
                            <w:color w:val="231F20"/>
                            <w:spacing w:val="-2"/>
                            <w:w w:val="80"/>
                            <w:sz w:val="14"/>
                          </w:rPr>
                          <w:t>Number</w:t>
                        </w:r>
                        <w:r>
                          <w:rPr>
                            <w:rFonts w:ascii="Arial"/>
                            <w:color w:val="231F20"/>
                            <w:spacing w:val="-8"/>
                            <w:sz w:val="14"/>
                          </w:rPr>
                          <w:t> </w:t>
                        </w:r>
                        <w:r>
                          <w:rPr>
                            <w:rFonts w:ascii="Arial"/>
                            <w:color w:val="231F20"/>
                            <w:spacing w:val="-2"/>
                            <w:w w:val="80"/>
                            <w:sz w:val="14"/>
                          </w:rPr>
                          <w:t>of</w:t>
                        </w:r>
                        <w:r>
                          <w:rPr>
                            <w:rFonts w:ascii="Arial"/>
                            <w:color w:val="231F20"/>
                            <w:spacing w:val="-8"/>
                            <w:sz w:val="14"/>
                          </w:rPr>
                          <w:t> </w:t>
                        </w:r>
                        <w:r>
                          <w:rPr>
                            <w:rFonts w:ascii="Arial"/>
                            <w:color w:val="231F20"/>
                            <w:spacing w:val="-2"/>
                            <w:w w:val="80"/>
                            <w:sz w:val="14"/>
                          </w:rPr>
                          <w:t>countries</w:t>
                        </w:r>
                        <w:r>
                          <w:rPr>
                            <w:rFonts w:ascii="Arial"/>
                            <w:color w:val="231F20"/>
                            <w:spacing w:val="40"/>
                            <w:sz w:val="14"/>
                          </w:rPr>
                          <w:t> </w:t>
                        </w:r>
                        <w:r>
                          <w:rPr>
                            <w:rFonts w:ascii="Arial"/>
                            <w:color w:val="231F20"/>
                            <w:spacing w:val="-6"/>
                            <w:w w:val="90"/>
                            <w:sz w:val="14"/>
                          </w:rPr>
                          <w:t>30</w:t>
                        </w:r>
                      </w:p>
                    </w:txbxContent>
                  </v:textbox>
                  <w10:wrap type="none"/>
                </v:shape>
                <v:shape style="position:absolute;left:7926;top:947;width:2533;height:959" type="#_x0000_t202" id="docshape1242" filled="false" stroked="false">
                  <v:textbox inset="0,0,0,0">
                    <w:txbxContent>
                      <w:p>
                        <w:pPr>
                          <w:spacing w:before="3"/>
                          <w:ind w:left="532" w:right="0" w:hanging="533"/>
                          <w:jc w:val="left"/>
                          <w:rPr>
                            <w:rFonts w:ascii="Arial"/>
                            <w:b/>
                            <w:sz w:val="14"/>
                          </w:rPr>
                        </w:pPr>
                        <w:r>
                          <w:rPr>
                            <w:rFonts w:ascii="Arial"/>
                            <w:b/>
                            <w:color w:val="231F20"/>
                            <w:w w:val="80"/>
                            <w:sz w:val="14"/>
                          </w:rPr>
                          <w:t>Number of transshipments per container </w:t>
                        </w:r>
                        <w:r>
                          <w:rPr>
                            <w:rFonts w:ascii="Arial"/>
                            <w:b/>
                            <w:color w:val="231F20"/>
                            <w:w w:val="80"/>
                            <w:sz w:val="14"/>
                          </w:rPr>
                          <w:t>trip,</w:t>
                        </w:r>
                        <w:r>
                          <w:rPr>
                            <w:rFonts w:ascii="Arial"/>
                            <w:b/>
                            <w:color w:val="231F20"/>
                            <w:spacing w:val="40"/>
                            <w:sz w:val="14"/>
                          </w:rPr>
                          <w:t> </w:t>
                        </w:r>
                        <w:r>
                          <w:rPr>
                            <w:rFonts w:ascii="Arial"/>
                            <w:b/>
                            <w:color w:val="231F20"/>
                            <w:spacing w:val="-2"/>
                            <w:w w:val="95"/>
                            <w:sz w:val="14"/>
                          </w:rPr>
                          <w:t>May</w:t>
                        </w:r>
                        <w:r>
                          <w:rPr>
                            <w:rFonts w:ascii="Arial"/>
                            <w:b/>
                            <w:color w:val="231F20"/>
                            <w:spacing w:val="-6"/>
                            <w:w w:val="95"/>
                            <w:sz w:val="14"/>
                          </w:rPr>
                          <w:t> </w:t>
                        </w:r>
                        <w:r>
                          <w:rPr>
                            <w:rFonts w:ascii="Arial"/>
                            <w:b/>
                            <w:color w:val="231F20"/>
                            <w:spacing w:val="-2"/>
                            <w:w w:val="95"/>
                            <w:sz w:val="14"/>
                          </w:rPr>
                          <w:t>1</w:t>
                        </w:r>
                        <w:r>
                          <w:rPr>
                            <w:rFonts w:ascii="Arial"/>
                            <w:b/>
                            <w:color w:val="231F20"/>
                            <w:spacing w:val="-6"/>
                            <w:w w:val="95"/>
                            <w:sz w:val="14"/>
                          </w:rPr>
                          <w:t> </w:t>
                        </w:r>
                        <w:r>
                          <w:rPr>
                            <w:rFonts w:ascii="Arial"/>
                            <w:b/>
                            <w:color w:val="231F20"/>
                            <w:spacing w:val="-2"/>
                            <w:w w:val="95"/>
                            <w:sz w:val="14"/>
                          </w:rPr>
                          <w:t>to</w:t>
                        </w:r>
                        <w:r>
                          <w:rPr>
                            <w:rFonts w:ascii="Arial"/>
                            <w:b/>
                            <w:color w:val="231F20"/>
                            <w:spacing w:val="-6"/>
                            <w:w w:val="95"/>
                            <w:sz w:val="14"/>
                          </w:rPr>
                          <w:t> </w:t>
                        </w:r>
                        <w:r>
                          <w:rPr>
                            <w:rFonts w:ascii="Arial"/>
                            <w:b/>
                            <w:color w:val="231F20"/>
                            <w:spacing w:val="-2"/>
                            <w:w w:val="95"/>
                            <w:sz w:val="14"/>
                          </w:rPr>
                          <w:t>October</w:t>
                        </w:r>
                        <w:r>
                          <w:rPr>
                            <w:rFonts w:ascii="Arial"/>
                            <w:b/>
                            <w:color w:val="231F20"/>
                            <w:spacing w:val="-6"/>
                            <w:w w:val="95"/>
                            <w:sz w:val="14"/>
                          </w:rPr>
                          <w:t> </w:t>
                        </w:r>
                        <w:r>
                          <w:rPr>
                            <w:rFonts w:ascii="Arial"/>
                            <w:b/>
                            <w:color w:val="231F20"/>
                            <w:spacing w:val="-2"/>
                            <w:w w:val="95"/>
                            <w:sz w:val="14"/>
                          </w:rPr>
                          <w:t>31,</w:t>
                        </w:r>
                        <w:r>
                          <w:rPr>
                            <w:rFonts w:ascii="Arial"/>
                            <w:b/>
                            <w:color w:val="231F20"/>
                            <w:spacing w:val="-9"/>
                            <w:w w:val="95"/>
                            <w:sz w:val="14"/>
                          </w:rPr>
                          <w:t> </w:t>
                        </w:r>
                        <w:r>
                          <w:rPr>
                            <w:rFonts w:ascii="Arial"/>
                            <w:b/>
                            <w:color w:val="231F20"/>
                            <w:spacing w:val="-2"/>
                            <w:w w:val="95"/>
                            <w:sz w:val="14"/>
                          </w:rPr>
                          <w:t>2022</w:t>
                        </w:r>
                      </w:p>
                      <w:p>
                        <w:pPr>
                          <w:spacing w:line="240" w:lineRule="auto" w:before="150"/>
                          <w:rPr>
                            <w:rFonts w:ascii="Arial"/>
                            <w:b/>
                            <w:sz w:val="14"/>
                          </w:rPr>
                        </w:pPr>
                      </w:p>
                      <w:p>
                        <w:pPr>
                          <w:spacing w:line="161" w:lineRule="exact" w:before="0"/>
                          <w:ind w:left="0" w:right="1462" w:firstLine="0"/>
                          <w:jc w:val="right"/>
                          <w:rPr>
                            <w:rFonts w:ascii="Arial"/>
                            <w:sz w:val="14"/>
                          </w:rPr>
                        </w:pPr>
                        <w:r>
                          <w:rPr>
                            <w:rFonts w:ascii="Arial"/>
                            <w:color w:val="231F20"/>
                            <w:w w:val="85"/>
                            <w:sz w:val="14"/>
                          </w:rPr>
                          <w:t>Three</w:t>
                        </w:r>
                        <w:r>
                          <w:rPr>
                            <w:rFonts w:ascii="Arial"/>
                            <w:color w:val="231F20"/>
                            <w:spacing w:val="-4"/>
                            <w:w w:val="85"/>
                            <w:sz w:val="14"/>
                          </w:rPr>
                          <w:t> </w:t>
                        </w:r>
                        <w:r>
                          <w:rPr>
                            <w:rFonts w:ascii="Arial"/>
                            <w:color w:val="231F20"/>
                            <w:w w:val="85"/>
                            <w:sz w:val="14"/>
                          </w:rPr>
                          <w:t>or</w:t>
                        </w:r>
                        <w:r>
                          <w:rPr>
                            <w:rFonts w:ascii="Arial"/>
                            <w:color w:val="231F20"/>
                            <w:spacing w:val="-3"/>
                            <w:w w:val="85"/>
                            <w:sz w:val="14"/>
                          </w:rPr>
                          <w:t> </w:t>
                        </w:r>
                        <w:r>
                          <w:rPr>
                            <w:rFonts w:ascii="Arial"/>
                            <w:color w:val="231F20"/>
                            <w:spacing w:val="-4"/>
                            <w:w w:val="85"/>
                            <w:sz w:val="14"/>
                          </w:rPr>
                          <w:t>more</w:t>
                        </w:r>
                      </w:p>
                      <w:p>
                        <w:pPr>
                          <w:spacing w:line="161" w:lineRule="exact" w:before="0"/>
                          <w:ind w:left="0" w:right="1462" w:firstLine="0"/>
                          <w:jc w:val="right"/>
                          <w:rPr>
                            <w:rFonts w:ascii="Arial"/>
                            <w:sz w:val="14"/>
                          </w:rPr>
                        </w:pPr>
                        <w:r>
                          <w:rPr>
                            <w:rFonts w:ascii="Arial"/>
                            <w:color w:val="231F20"/>
                            <w:spacing w:val="-5"/>
                            <w:w w:val="95"/>
                            <w:sz w:val="14"/>
                          </w:rPr>
                          <w:t>6%</w:t>
                        </w:r>
                      </w:p>
                    </w:txbxContent>
                  </v:textbox>
                  <w10:wrap type="none"/>
                </v:shape>
                <v:shape style="position:absolute;left:3495;top:2051;width:5131;height:1114" type="#_x0000_t202" id="docshape1243" filled="false" stroked="false">
                  <v:textbox inset="0,0,0,0">
                    <w:txbxContent>
                      <w:p>
                        <w:pPr>
                          <w:spacing w:line="159" w:lineRule="exact" w:before="0"/>
                          <w:ind w:left="0" w:right="0" w:firstLine="0"/>
                          <w:jc w:val="left"/>
                          <w:rPr>
                            <w:rFonts w:ascii="Arial"/>
                            <w:sz w:val="14"/>
                          </w:rPr>
                        </w:pPr>
                        <w:r>
                          <w:rPr>
                            <w:rFonts w:ascii="Arial"/>
                            <w:color w:val="231F20"/>
                            <w:spacing w:val="-5"/>
                            <w:w w:val="95"/>
                            <w:sz w:val="14"/>
                          </w:rPr>
                          <w:t>25</w:t>
                        </w:r>
                      </w:p>
                      <w:p>
                        <w:pPr>
                          <w:spacing w:line="240" w:lineRule="auto" w:before="25"/>
                          <w:rPr>
                            <w:rFonts w:ascii="Arial"/>
                            <w:sz w:val="14"/>
                          </w:rPr>
                        </w:pPr>
                      </w:p>
                      <w:p>
                        <w:pPr>
                          <w:spacing w:line="146" w:lineRule="exact" w:before="1"/>
                          <w:ind w:left="0" w:right="31" w:firstLine="0"/>
                          <w:jc w:val="right"/>
                          <w:rPr>
                            <w:rFonts w:ascii="Arial"/>
                            <w:sz w:val="14"/>
                          </w:rPr>
                        </w:pPr>
                        <w:r>
                          <w:rPr>
                            <w:rFonts w:ascii="Arial"/>
                            <w:color w:val="231F20"/>
                            <w:spacing w:val="-5"/>
                            <w:w w:val="95"/>
                            <w:sz w:val="14"/>
                          </w:rPr>
                          <w:t>Two</w:t>
                        </w:r>
                      </w:p>
                      <w:p>
                        <w:pPr>
                          <w:tabs>
                            <w:tab w:pos="4870" w:val="left" w:leader="none"/>
                          </w:tabs>
                          <w:spacing w:line="176" w:lineRule="exact" w:before="0"/>
                          <w:ind w:left="0" w:right="0" w:firstLine="0"/>
                          <w:jc w:val="left"/>
                          <w:rPr>
                            <w:rFonts w:ascii="Arial"/>
                            <w:sz w:val="14"/>
                          </w:rPr>
                        </w:pPr>
                        <w:r>
                          <w:rPr>
                            <w:rFonts w:ascii="Arial"/>
                            <w:color w:val="231F20"/>
                            <w:spacing w:val="-5"/>
                            <w:w w:val="95"/>
                            <w:position w:val="3"/>
                            <w:sz w:val="14"/>
                          </w:rPr>
                          <w:t>20</w:t>
                        </w:r>
                        <w:r>
                          <w:rPr>
                            <w:rFonts w:ascii="Arial"/>
                            <w:color w:val="231F20"/>
                            <w:position w:val="3"/>
                            <w:sz w:val="14"/>
                          </w:rPr>
                          <w:tab/>
                        </w:r>
                        <w:r>
                          <w:rPr>
                            <w:rFonts w:ascii="Arial"/>
                            <w:color w:val="231F20"/>
                            <w:spacing w:val="-5"/>
                            <w:w w:val="90"/>
                            <w:sz w:val="14"/>
                          </w:rPr>
                          <w:t>12%</w:t>
                        </w:r>
                      </w:p>
                      <w:p>
                        <w:pPr>
                          <w:spacing w:line="240" w:lineRule="auto" w:before="125"/>
                          <w:rPr>
                            <w:rFonts w:ascii="Arial"/>
                            <w:sz w:val="14"/>
                          </w:rPr>
                        </w:pPr>
                      </w:p>
                      <w:p>
                        <w:pPr>
                          <w:spacing w:line="160" w:lineRule="exact" w:before="0"/>
                          <w:ind w:left="0" w:right="0" w:firstLine="0"/>
                          <w:jc w:val="left"/>
                          <w:rPr>
                            <w:rFonts w:ascii="Arial"/>
                            <w:sz w:val="14"/>
                          </w:rPr>
                        </w:pPr>
                        <w:r>
                          <w:rPr>
                            <w:rFonts w:ascii="Arial"/>
                            <w:color w:val="231F20"/>
                            <w:spacing w:val="-5"/>
                            <w:w w:val="95"/>
                            <w:sz w:val="14"/>
                          </w:rPr>
                          <w:t>15</w:t>
                        </w:r>
                      </w:p>
                    </w:txbxContent>
                  </v:textbox>
                  <w10:wrap type="none"/>
                </v:shape>
                <v:shape style="position:absolute;left:9729;top:3046;width:298;height:324" type="#_x0000_t202" id="docshape1244" filled="false" stroked="false">
                  <v:textbox inset="0,0,0,0">
                    <w:txbxContent>
                      <w:p>
                        <w:pPr>
                          <w:spacing w:before="1"/>
                          <w:ind w:left="18" w:right="0" w:hanging="19"/>
                          <w:jc w:val="left"/>
                          <w:rPr>
                            <w:rFonts w:ascii="Arial"/>
                            <w:sz w:val="14"/>
                          </w:rPr>
                        </w:pPr>
                        <w:r>
                          <w:rPr>
                            <w:rFonts w:ascii="Arial"/>
                            <w:color w:val="FFFFFF"/>
                            <w:spacing w:val="-4"/>
                            <w:w w:val="80"/>
                            <w:sz w:val="14"/>
                          </w:rPr>
                          <w:t>None</w:t>
                        </w:r>
                        <w:r>
                          <w:rPr>
                            <w:rFonts w:ascii="Arial"/>
                            <w:color w:val="FFFFFF"/>
                            <w:spacing w:val="40"/>
                            <w:sz w:val="14"/>
                          </w:rPr>
                          <w:t> </w:t>
                        </w:r>
                        <w:r>
                          <w:rPr>
                            <w:rFonts w:ascii="Arial"/>
                            <w:color w:val="FFFFFF"/>
                            <w:spacing w:val="-5"/>
                            <w:w w:val="90"/>
                            <w:sz w:val="14"/>
                          </w:rPr>
                          <w:t>44%</w:t>
                        </w:r>
                      </w:p>
                    </w:txbxContent>
                  </v:textbox>
                  <w10:wrap type="none"/>
                </v:shape>
                <v:shape style="position:absolute;left:3495;top:3484;width:155;height:159" type="#_x0000_t202" id="docshape1245"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10</w:t>
                        </w:r>
                      </w:p>
                    </w:txbxContent>
                  </v:textbox>
                  <w10:wrap type="none"/>
                </v:shape>
                <v:shape style="position:absolute;left:8427;top:3638;width:261;height:324" type="#_x0000_t202" id="docshape1246" filled="false" stroked="false">
                  <v:textbox inset="0,0,0,0">
                    <w:txbxContent>
                      <w:p>
                        <w:pPr>
                          <w:spacing w:before="1"/>
                          <w:ind w:left="0" w:right="13" w:firstLine="15"/>
                          <w:jc w:val="left"/>
                          <w:rPr>
                            <w:rFonts w:ascii="Arial"/>
                            <w:sz w:val="14"/>
                          </w:rPr>
                        </w:pPr>
                        <w:r>
                          <w:rPr>
                            <w:rFonts w:ascii="Arial"/>
                            <w:color w:val="FFFFFF"/>
                            <w:spacing w:val="-4"/>
                            <w:w w:val="85"/>
                            <w:sz w:val="14"/>
                          </w:rPr>
                          <w:t>One</w:t>
                        </w:r>
                        <w:r>
                          <w:rPr>
                            <w:rFonts w:ascii="Arial"/>
                            <w:color w:val="FFFFFF"/>
                            <w:spacing w:val="40"/>
                            <w:sz w:val="14"/>
                          </w:rPr>
                          <w:t> </w:t>
                        </w:r>
                        <w:r>
                          <w:rPr>
                            <w:rFonts w:ascii="Arial"/>
                            <w:color w:val="FFFFFF"/>
                            <w:spacing w:val="-5"/>
                            <w:w w:val="85"/>
                            <w:sz w:val="14"/>
                          </w:rPr>
                          <w:t>38%</w:t>
                        </w:r>
                      </w:p>
                    </w:txbxContent>
                  </v:textbox>
                  <w10:wrap type="none"/>
                </v:shape>
                <v:shape style="position:absolute;left:3562;top:3962;width:197;height:736" type="#_x0000_t202" id="docshape1247" filled="false" stroked="false">
                  <v:textbox inset="0,0,0,0">
                    <w:txbxContent>
                      <w:p>
                        <w:pPr>
                          <w:spacing w:line="159" w:lineRule="exact" w:before="0"/>
                          <w:ind w:left="0" w:right="0" w:firstLine="0"/>
                          <w:jc w:val="left"/>
                          <w:rPr>
                            <w:rFonts w:ascii="Arial"/>
                            <w:sz w:val="14"/>
                          </w:rPr>
                        </w:pPr>
                        <w:r>
                          <w:rPr>
                            <w:rFonts w:ascii="Arial"/>
                            <w:color w:val="231F20"/>
                            <w:spacing w:val="-10"/>
                            <w:w w:val="95"/>
                            <w:sz w:val="14"/>
                          </w:rPr>
                          <w:t>5</w:t>
                        </w:r>
                      </w:p>
                      <w:p>
                        <w:pPr>
                          <w:spacing w:line="240" w:lineRule="auto" w:before="156"/>
                          <w:rPr>
                            <w:rFonts w:ascii="Arial"/>
                            <w:sz w:val="14"/>
                          </w:rPr>
                        </w:pPr>
                      </w:p>
                      <w:p>
                        <w:pPr>
                          <w:spacing w:line="237" w:lineRule="auto" w:before="0"/>
                          <w:ind w:left="0" w:right="0" w:firstLine="0"/>
                          <w:jc w:val="left"/>
                          <w:rPr>
                            <w:rFonts w:ascii="Arial"/>
                            <w:sz w:val="14"/>
                          </w:rPr>
                        </w:pPr>
                        <w:r>
                          <w:rPr>
                            <w:rFonts w:ascii="Arial"/>
                            <w:color w:val="231F20"/>
                            <w:w w:val="95"/>
                            <w:sz w:val="14"/>
                          </w:rPr>
                          <w:t>0</w:t>
                        </w:r>
                        <w:r>
                          <w:rPr>
                            <w:rFonts w:ascii="Arial"/>
                            <w:color w:val="231F20"/>
                            <w:spacing w:val="-3"/>
                            <w:w w:val="95"/>
                            <w:sz w:val="14"/>
                          </w:rPr>
                          <w:t> </w:t>
                        </w:r>
                        <w:r>
                          <w:rPr>
                            <w:rFonts w:ascii="Arial"/>
                            <w:color w:val="231F20"/>
                            <w:spacing w:val="-12"/>
                            <w:w w:val="95"/>
                            <w:position w:val="-9"/>
                            <w:sz w:val="14"/>
                          </w:rPr>
                          <w:t>0</w:t>
                        </w:r>
                      </w:p>
                    </w:txbxContent>
                  </v:textbox>
                  <w10:wrap type="none"/>
                </v:shape>
                <v:shape style="position:absolute;left:4289;top:4540;width:155;height:159" type="#_x0000_t202" id="docshape1248"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20</w:t>
                        </w:r>
                      </w:p>
                    </w:txbxContent>
                  </v:textbox>
                  <w10:wrap type="none"/>
                </v:shape>
                <v:shape style="position:absolute;left:4940;top:4540;width:155;height:159" type="#_x0000_t202" id="docshape1249"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40</w:t>
                        </w:r>
                      </w:p>
                    </w:txbxContent>
                  </v:textbox>
                  <w10:wrap type="none"/>
                </v:shape>
                <v:shape style="position:absolute;left:5591;top:4540;width:155;height:159" type="#_x0000_t202" id="docshape1250"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60</w:t>
                        </w:r>
                      </w:p>
                    </w:txbxContent>
                  </v:textbox>
                  <w10:wrap type="none"/>
                </v:shape>
                <v:shape style="position:absolute;left:6242;top:4540;width:155;height:159" type="#_x0000_t202" id="docshape1251"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80</w:t>
                        </w:r>
                      </w:p>
                    </w:txbxContent>
                  </v:textbox>
                  <w10:wrap type="none"/>
                </v:shape>
                <v:shape style="position:absolute;left:6859;top:4540;width:222;height:159" type="#_x0000_t202" id="docshape1252"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100</w:t>
                        </w:r>
                      </w:p>
                    </w:txbxContent>
                  </v:textbox>
                  <w10:wrap type="none"/>
                </v:shape>
                <v:shape style="position:absolute;left:3480;top:4740;width:4666;height:686" type="#_x0000_t202" id="docshape1253" filled="false" stroked="false">
                  <v:textbox inset="0,0,0,0">
                    <w:txbxContent>
                      <w:p>
                        <w:pPr>
                          <w:spacing w:line="159" w:lineRule="exact" w:before="0"/>
                          <w:ind w:left="1370" w:right="0" w:firstLine="0"/>
                          <w:jc w:val="left"/>
                          <w:rPr>
                            <w:rFonts w:ascii="Arial"/>
                            <w:sz w:val="14"/>
                          </w:rPr>
                        </w:pPr>
                        <w:r>
                          <w:rPr>
                            <w:rFonts w:ascii="Arial"/>
                            <w:color w:val="231F20"/>
                            <w:w w:val="80"/>
                            <w:sz w:val="14"/>
                          </w:rPr>
                          <w:t>Number</w:t>
                        </w:r>
                        <w:r>
                          <w:rPr>
                            <w:rFonts w:ascii="Arial"/>
                            <w:color w:val="231F20"/>
                            <w:spacing w:val="-2"/>
                            <w:w w:val="80"/>
                            <w:sz w:val="14"/>
                          </w:rPr>
                          <w:t> </w:t>
                        </w:r>
                        <w:r>
                          <w:rPr>
                            <w:rFonts w:ascii="Arial"/>
                            <w:color w:val="231F20"/>
                            <w:w w:val="80"/>
                            <w:sz w:val="14"/>
                          </w:rPr>
                          <w:t>of</w:t>
                        </w:r>
                        <w:r>
                          <w:rPr>
                            <w:rFonts w:ascii="Arial"/>
                            <w:color w:val="231F20"/>
                            <w:spacing w:val="-1"/>
                            <w:w w:val="80"/>
                            <w:sz w:val="14"/>
                          </w:rPr>
                          <w:t> </w:t>
                        </w:r>
                        <w:r>
                          <w:rPr>
                            <w:rFonts w:ascii="Arial"/>
                            <w:color w:val="231F20"/>
                            <w:spacing w:val="-2"/>
                            <w:w w:val="80"/>
                            <w:sz w:val="14"/>
                          </w:rPr>
                          <w:t>partners</w:t>
                        </w:r>
                      </w:p>
                      <w:p>
                        <w:pPr>
                          <w:spacing w:line="240" w:lineRule="auto" w:before="80"/>
                          <w:rPr>
                            <w:rFonts w:ascii="Arial"/>
                            <w:sz w:val="14"/>
                          </w:rPr>
                        </w:pPr>
                      </w:p>
                      <w:p>
                        <w:pPr>
                          <w:spacing w:before="0"/>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World</w:t>
                        </w:r>
                        <w:r>
                          <w:rPr>
                            <w:rFonts w:ascii="Arial"/>
                            <w:color w:val="231F20"/>
                            <w:spacing w:val="5"/>
                            <w:sz w:val="12"/>
                          </w:rPr>
                          <w:t> </w:t>
                        </w:r>
                        <w:r>
                          <w:rPr>
                            <w:rFonts w:ascii="Arial"/>
                            <w:color w:val="231F20"/>
                            <w:w w:val="75"/>
                            <w:sz w:val="12"/>
                          </w:rPr>
                          <w:t>Bank</w:t>
                        </w:r>
                        <w:r>
                          <w:rPr>
                            <w:rFonts w:ascii="Arial"/>
                            <w:color w:val="231F20"/>
                            <w:spacing w:val="5"/>
                            <w:sz w:val="12"/>
                          </w:rPr>
                          <w:t> </w:t>
                        </w:r>
                        <w:r>
                          <w:rPr>
                            <w:rFonts w:ascii="Arial"/>
                            <w:color w:val="231F20"/>
                            <w:w w:val="75"/>
                            <w:sz w:val="12"/>
                          </w:rPr>
                          <w:t>calculations</w:t>
                        </w:r>
                        <w:r>
                          <w:rPr>
                            <w:rFonts w:ascii="Arial"/>
                            <w:color w:val="231F20"/>
                            <w:spacing w:val="5"/>
                            <w:sz w:val="12"/>
                          </w:rPr>
                          <w:t> </w:t>
                        </w:r>
                        <w:r>
                          <w:rPr>
                            <w:rFonts w:ascii="Arial"/>
                            <w:color w:val="231F20"/>
                            <w:w w:val="75"/>
                            <w:sz w:val="12"/>
                          </w:rPr>
                          <w:t>based</w:t>
                        </w:r>
                        <w:r>
                          <w:rPr>
                            <w:rFonts w:ascii="Arial"/>
                            <w:color w:val="231F20"/>
                            <w:spacing w:val="4"/>
                            <w:sz w:val="12"/>
                          </w:rPr>
                          <w:t> </w:t>
                        </w:r>
                        <w:r>
                          <w:rPr>
                            <w:rFonts w:ascii="Arial"/>
                            <w:color w:val="231F20"/>
                            <w:w w:val="75"/>
                            <w:sz w:val="12"/>
                          </w:rPr>
                          <w:t>on</w:t>
                        </w:r>
                        <w:r>
                          <w:rPr>
                            <w:rFonts w:ascii="Arial"/>
                            <w:color w:val="231F20"/>
                            <w:spacing w:val="5"/>
                            <w:sz w:val="12"/>
                          </w:rPr>
                          <w:t> </w:t>
                        </w:r>
                        <w:r>
                          <w:rPr>
                            <w:rFonts w:ascii="Arial"/>
                            <w:color w:val="231F20"/>
                            <w:w w:val="75"/>
                            <w:sz w:val="12"/>
                          </w:rPr>
                          <w:t>data</w:t>
                        </w:r>
                        <w:r>
                          <w:rPr>
                            <w:rFonts w:ascii="Arial"/>
                            <w:color w:val="231F20"/>
                            <w:spacing w:val="5"/>
                            <w:sz w:val="12"/>
                          </w:rPr>
                          <w:t> </w:t>
                        </w:r>
                        <w:r>
                          <w:rPr>
                            <w:rFonts w:ascii="Arial"/>
                            <w:color w:val="231F20"/>
                            <w:w w:val="75"/>
                            <w:sz w:val="12"/>
                          </w:rPr>
                          <w:t>from</w:t>
                        </w:r>
                        <w:r>
                          <w:rPr>
                            <w:rFonts w:ascii="Arial"/>
                            <w:color w:val="231F20"/>
                            <w:spacing w:val="5"/>
                            <w:sz w:val="12"/>
                          </w:rPr>
                          <w:t> </w:t>
                        </w:r>
                        <w:r>
                          <w:rPr>
                            <w:rFonts w:ascii="Arial"/>
                            <w:color w:val="231F20"/>
                            <w:w w:val="75"/>
                            <w:sz w:val="12"/>
                          </w:rPr>
                          <w:t>MDS</w:t>
                        </w:r>
                        <w:r>
                          <w:rPr>
                            <w:rFonts w:ascii="Arial"/>
                            <w:color w:val="231F20"/>
                            <w:spacing w:val="-1"/>
                            <w:sz w:val="12"/>
                          </w:rPr>
                          <w:t> </w:t>
                        </w:r>
                        <w:r>
                          <w:rPr>
                            <w:rFonts w:ascii="Arial"/>
                            <w:color w:val="231F20"/>
                            <w:w w:val="75"/>
                            <w:sz w:val="12"/>
                          </w:rPr>
                          <w:t>Transmodal</w:t>
                        </w:r>
                        <w:r>
                          <w:rPr>
                            <w:rFonts w:ascii="Arial"/>
                            <w:color w:val="231F20"/>
                            <w:spacing w:val="5"/>
                            <w:sz w:val="12"/>
                          </w:rPr>
                          <w:t> </w:t>
                        </w:r>
                        <w:r>
                          <w:rPr>
                            <w:rFonts w:ascii="Arial"/>
                            <w:color w:val="231F20"/>
                            <w:w w:val="75"/>
                            <w:sz w:val="12"/>
                          </w:rPr>
                          <w:t>and</w:t>
                        </w:r>
                        <w:r>
                          <w:rPr>
                            <w:rFonts w:ascii="Arial"/>
                            <w:color w:val="231F20"/>
                            <w:sz w:val="12"/>
                          </w:rPr>
                          <w:t> </w:t>
                        </w:r>
                        <w:r>
                          <w:rPr>
                            <w:rFonts w:ascii="Arial"/>
                            <w:color w:val="231F20"/>
                            <w:spacing w:val="-2"/>
                            <w:w w:val="75"/>
                            <w:sz w:val="12"/>
                          </w:rPr>
                          <w:t>TradeLens.</w:t>
                        </w:r>
                      </w:p>
                      <w:p>
                        <w:pPr>
                          <w:spacing w:before="2"/>
                          <w:ind w:left="0" w:right="0" w:firstLine="0"/>
                          <w:jc w:val="left"/>
                          <w:rPr>
                            <w:rFonts w:ascii="Arial"/>
                            <w:sz w:val="12"/>
                          </w:rPr>
                        </w:pPr>
                        <w:r>
                          <w:rPr>
                            <w:rFonts w:ascii="Arial"/>
                            <w:i/>
                            <w:color w:val="231F20"/>
                            <w:w w:val="75"/>
                            <w:sz w:val="12"/>
                          </w:rPr>
                          <w:t>Note:</w:t>
                        </w:r>
                        <w:r>
                          <w:rPr>
                            <w:rFonts w:ascii="Arial"/>
                            <w:i/>
                            <w:color w:val="231F20"/>
                            <w:spacing w:val="4"/>
                            <w:sz w:val="12"/>
                          </w:rPr>
                          <w:t> </w:t>
                        </w:r>
                        <w:r>
                          <w:rPr>
                            <w:rFonts w:ascii="Arial"/>
                            <w:color w:val="231F20"/>
                            <w:w w:val="75"/>
                            <w:sz w:val="12"/>
                          </w:rPr>
                          <w:t>Connectivity</w:t>
                        </w:r>
                        <w:r>
                          <w:rPr>
                            <w:rFonts w:ascii="Arial"/>
                            <w:color w:val="231F20"/>
                            <w:spacing w:val="11"/>
                            <w:sz w:val="12"/>
                          </w:rPr>
                          <w:t> </w:t>
                        </w:r>
                        <w:r>
                          <w:rPr>
                            <w:rFonts w:ascii="Arial"/>
                            <w:color w:val="231F20"/>
                            <w:w w:val="75"/>
                            <w:sz w:val="12"/>
                          </w:rPr>
                          <w:t>is</w:t>
                        </w:r>
                        <w:r>
                          <w:rPr>
                            <w:rFonts w:ascii="Arial"/>
                            <w:color w:val="231F20"/>
                            <w:spacing w:val="11"/>
                            <w:sz w:val="12"/>
                          </w:rPr>
                          <w:t> </w:t>
                        </w:r>
                        <w:r>
                          <w:rPr>
                            <w:rFonts w:ascii="Arial"/>
                            <w:color w:val="231F20"/>
                            <w:w w:val="75"/>
                            <w:sz w:val="12"/>
                          </w:rPr>
                          <w:t>the</w:t>
                        </w:r>
                        <w:r>
                          <w:rPr>
                            <w:rFonts w:ascii="Arial"/>
                            <w:color w:val="231F20"/>
                            <w:spacing w:val="11"/>
                            <w:sz w:val="12"/>
                          </w:rPr>
                          <w:t> </w:t>
                        </w:r>
                        <w:r>
                          <w:rPr>
                            <w:rFonts w:ascii="Arial"/>
                            <w:color w:val="231F20"/>
                            <w:w w:val="75"/>
                            <w:sz w:val="12"/>
                          </w:rPr>
                          <w:t>number</w:t>
                        </w:r>
                        <w:r>
                          <w:rPr>
                            <w:rFonts w:ascii="Arial"/>
                            <w:color w:val="231F20"/>
                            <w:spacing w:val="11"/>
                            <w:sz w:val="12"/>
                          </w:rPr>
                          <w:t> </w:t>
                        </w:r>
                        <w:r>
                          <w:rPr>
                            <w:rFonts w:ascii="Arial"/>
                            <w:color w:val="231F20"/>
                            <w:w w:val="75"/>
                            <w:sz w:val="12"/>
                          </w:rPr>
                          <w:t>of</w:t>
                        </w:r>
                        <w:r>
                          <w:rPr>
                            <w:rFonts w:ascii="Arial"/>
                            <w:color w:val="231F20"/>
                            <w:spacing w:val="11"/>
                            <w:sz w:val="12"/>
                          </w:rPr>
                          <w:t> </w:t>
                        </w:r>
                        <w:r>
                          <w:rPr>
                            <w:rFonts w:ascii="Arial"/>
                            <w:color w:val="231F20"/>
                            <w:w w:val="75"/>
                            <w:sz w:val="12"/>
                          </w:rPr>
                          <w:t>direct</w:t>
                        </w:r>
                        <w:r>
                          <w:rPr>
                            <w:rFonts w:ascii="Arial"/>
                            <w:color w:val="231F20"/>
                            <w:spacing w:val="11"/>
                            <w:sz w:val="12"/>
                          </w:rPr>
                          <w:t> </w:t>
                        </w:r>
                        <w:r>
                          <w:rPr>
                            <w:rFonts w:ascii="Arial"/>
                            <w:color w:val="231F20"/>
                            <w:w w:val="75"/>
                            <w:sz w:val="12"/>
                          </w:rPr>
                          <w:t>international</w:t>
                        </w:r>
                        <w:r>
                          <w:rPr>
                            <w:rFonts w:ascii="Arial"/>
                            <w:color w:val="231F20"/>
                            <w:spacing w:val="11"/>
                            <w:sz w:val="12"/>
                          </w:rPr>
                          <w:t> </w:t>
                        </w:r>
                        <w:r>
                          <w:rPr>
                            <w:rFonts w:ascii="Arial"/>
                            <w:color w:val="231F20"/>
                            <w:w w:val="75"/>
                            <w:sz w:val="12"/>
                          </w:rPr>
                          <w:t>container</w:t>
                        </w:r>
                        <w:r>
                          <w:rPr>
                            <w:rFonts w:ascii="Arial"/>
                            <w:color w:val="231F20"/>
                            <w:spacing w:val="11"/>
                            <w:sz w:val="12"/>
                          </w:rPr>
                          <w:t> </w:t>
                        </w:r>
                        <w:r>
                          <w:rPr>
                            <w:rFonts w:ascii="Arial"/>
                            <w:color w:val="231F20"/>
                            <w:w w:val="75"/>
                            <w:sz w:val="12"/>
                          </w:rPr>
                          <w:t>shipping</w:t>
                        </w:r>
                        <w:r>
                          <w:rPr>
                            <w:rFonts w:ascii="Arial"/>
                            <w:color w:val="231F20"/>
                            <w:spacing w:val="11"/>
                            <w:sz w:val="12"/>
                          </w:rPr>
                          <w:t> </w:t>
                        </w:r>
                        <w:r>
                          <w:rPr>
                            <w:rFonts w:ascii="Arial"/>
                            <w:color w:val="231F20"/>
                            <w:w w:val="75"/>
                            <w:sz w:val="12"/>
                          </w:rPr>
                          <w:t>connections</w:t>
                        </w:r>
                        <w:r>
                          <w:rPr>
                            <w:rFonts w:ascii="Arial"/>
                            <w:color w:val="231F20"/>
                            <w:spacing w:val="11"/>
                            <w:sz w:val="12"/>
                          </w:rPr>
                          <w:t> </w:t>
                        </w:r>
                        <w:r>
                          <w:rPr>
                            <w:rFonts w:ascii="Arial"/>
                            <w:color w:val="231F20"/>
                            <w:w w:val="75"/>
                            <w:sz w:val="12"/>
                          </w:rPr>
                          <w:t>without</w:t>
                        </w:r>
                        <w:r>
                          <w:rPr>
                            <w:rFonts w:ascii="Arial"/>
                            <w:color w:val="231F20"/>
                            <w:spacing w:val="11"/>
                            <w:sz w:val="12"/>
                          </w:rPr>
                          <w:t> </w:t>
                        </w:r>
                        <w:r>
                          <w:rPr>
                            <w:rFonts w:ascii="Arial"/>
                            <w:color w:val="231F20"/>
                            <w:spacing w:val="-2"/>
                            <w:w w:val="75"/>
                            <w:sz w:val="12"/>
                          </w:rPr>
                          <w:t>transshipment.</w:t>
                        </w:r>
                      </w:p>
                    </w:txbxContent>
                  </v:textbox>
                  <w10:wrap type="none"/>
                </v:shape>
                <w10:wrap type="topAndBottom"/>
              </v:group>
            </w:pict>
          </mc:Fallback>
        </mc:AlternateContent>
      </w:r>
    </w:p>
    <w:p>
      <w:pPr>
        <w:pStyle w:val="BodyText"/>
        <w:spacing w:before="10"/>
        <w:rPr>
          <w:sz w:val="13"/>
        </w:rPr>
      </w:pPr>
    </w:p>
    <w:p>
      <w:pPr>
        <w:spacing w:after="0"/>
        <w:rPr>
          <w:sz w:val="13"/>
        </w:rPr>
        <w:sectPr>
          <w:pgSz w:w="12240" w:h="15840"/>
          <w:pgMar w:header="0" w:footer="548" w:top="560" w:bottom="740" w:left="0" w:right="540"/>
        </w:sectPr>
      </w:pPr>
    </w:p>
    <w:p>
      <w:pPr>
        <w:pStyle w:val="BodyText"/>
        <w:spacing w:line="268" w:lineRule="auto" w:before="97"/>
        <w:ind w:left="3360"/>
        <w:jc w:val="both"/>
      </w:pPr>
      <w:r>
        <w:rPr>
          <w:color w:val="231F20"/>
          <w:w w:val="90"/>
        </w:rPr>
        <w:t>dwell</w:t>
      </w:r>
      <w:r>
        <w:rPr>
          <w:color w:val="231F20"/>
          <w:spacing w:val="-8"/>
          <w:w w:val="90"/>
        </w:rPr>
        <w:t> </w:t>
      </w:r>
      <w:r>
        <w:rPr>
          <w:color w:val="231F20"/>
          <w:w w:val="90"/>
        </w:rPr>
        <w:t>time</w:t>
      </w:r>
      <w:r>
        <w:rPr>
          <w:color w:val="231F20"/>
          <w:spacing w:val="-8"/>
          <w:w w:val="90"/>
        </w:rPr>
        <w:t> </w:t>
      </w:r>
      <w:r>
        <w:rPr>
          <w:color w:val="231F20"/>
          <w:w w:val="90"/>
        </w:rPr>
        <w:t>in</w:t>
      </w:r>
      <w:r>
        <w:rPr>
          <w:color w:val="231F20"/>
          <w:spacing w:val="-8"/>
          <w:w w:val="90"/>
        </w:rPr>
        <w:t> </w:t>
      </w:r>
      <w:r>
        <w:rPr>
          <w:color w:val="231F20"/>
          <w:w w:val="90"/>
        </w:rPr>
        <w:t>transshipment</w:t>
      </w:r>
      <w:r>
        <w:rPr>
          <w:color w:val="231F20"/>
          <w:spacing w:val="-8"/>
          <w:w w:val="90"/>
        </w:rPr>
        <w:t> </w:t>
      </w:r>
      <w:r>
        <w:rPr>
          <w:color w:val="231F20"/>
          <w:w w:val="90"/>
        </w:rPr>
        <w:t>follows</w:t>
      </w:r>
      <w:r>
        <w:rPr>
          <w:color w:val="231F20"/>
          <w:spacing w:val="-8"/>
          <w:w w:val="90"/>
        </w:rPr>
        <w:t> </w:t>
      </w:r>
      <w:r>
        <w:rPr>
          <w:color w:val="231F20"/>
          <w:w w:val="90"/>
        </w:rPr>
        <w:t>the</w:t>
      </w:r>
      <w:r>
        <w:rPr>
          <w:color w:val="231F20"/>
          <w:spacing w:val="-8"/>
          <w:w w:val="90"/>
        </w:rPr>
        <w:t> </w:t>
      </w:r>
      <w:r>
        <w:rPr>
          <w:color w:val="231F20"/>
          <w:w w:val="90"/>
        </w:rPr>
        <w:t>same</w:t>
      </w:r>
      <w:r>
        <w:rPr>
          <w:color w:val="231F20"/>
          <w:spacing w:val="-8"/>
          <w:w w:val="90"/>
        </w:rPr>
        <w:t> </w:t>
      </w:r>
      <w:r>
        <w:rPr>
          <w:color w:val="231F20"/>
          <w:w w:val="90"/>
        </w:rPr>
        <w:t>dis- </w:t>
      </w:r>
      <w:r>
        <w:rPr>
          <w:color w:val="231F20"/>
          <w:spacing w:val="-6"/>
        </w:rPr>
        <w:t>persion patterns as those for export and import. </w:t>
      </w:r>
      <w:r>
        <w:rPr>
          <w:color w:val="231F20"/>
          <w:w w:val="90"/>
        </w:rPr>
        <w:t>Hence,</w:t>
      </w:r>
      <w:r>
        <w:rPr>
          <w:color w:val="231F20"/>
          <w:spacing w:val="-4"/>
          <w:w w:val="90"/>
        </w:rPr>
        <w:t> </w:t>
      </w:r>
      <w:r>
        <w:rPr>
          <w:color w:val="231F20"/>
          <w:w w:val="90"/>
        </w:rPr>
        <w:t>the</w:t>
      </w:r>
      <w:r>
        <w:rPr>
          <w:color w:val="231F20"/>
          <w:spacing w:val="-4"/>
          <w:w w:val="90"/>
        </w:rPr>
        <w:t> </w:t>
      </w:r>
      <w:r>
        <w:rPr>
          <w:color w:val="231F20"/>
          <w:w w:val="90"/>
        </w:rPr>
        <w:t>more</w:t>
      </w:r>
      <w:r>
        <w:rPr>
          <w:color w:val="231F20"/>
          <w:spacing w:val="-4"/>
          <w:w w:val="90"/>
        </w:rPr>
        <w:t> </w:t>
      </w:r>
      <w:r>
        <w:rPr>
          <w:color w:val="231F20"/>
          <w:w w:val="90"/>
        </w:rPr>
        <w:t>dependent</w:t>
      </w:r>
      <w:r>
        <w:rPr>
          <w:color w:val="231F20"/>
          <w:spacing w:val="-4"/>
          <w:w w:val="90"/>
        </w:rPr>
        <w:t> </w:t>
      </w:r>
      <w:r>
        <w:rPr>
          <w:color w:val="231F20"/>
          <w:w w:val="90"/>
        </w:rPr>
        <w:t>a</w:t>
      </w:r>
      <w:r>
        <w:rPr>
          <w:color w:val="231F20"/>
          <w:spacing w:val="-4"/>
          <w:w w:val="90"/>
        </w:rPr>
        <w:t> </w:t>
      </w:r>
      <w:r>
        <w:rPr>
          <w:color w:val="231F20"/>
          <w:w w:val="90"/>
        </w:rPr>
        <w:t>country</w:t>
      </w:r>
      <w:r>
        <w:rPr>
          <w:color w:val="231F20"/>
          <w:spacing w:val="-4"/>
          <w:w w:val="90"/>
        </w:rPr>
        <w:t> </w:t>
      </w:r>
      <w:r>
        <w:rPr>
          <w:color w:val="231F20"/>
          <w:w w:val="90"/>
        </w:rPr>
        <w:t>is</w:t>
      </w:r>
      <w:r>
        <w:rPr>
          <w:color w:val="231F20"/>
          <w:spacing w:val="-4"/>
          <w:w w:val="90"/>
        </w:rPr>
        <w:t> </w:t>
      </w:r>
      <w:r>
        <w:rPr>
          <w:color w:val="231F20"/>
          <w:w w:val="90"/>
        </w:rPr>
        <w:t>on</w:t>
      </w:r>
      <w:r>
        <w:rPr>
          <w:color w:val="231F20"/>
          <w:spacing w:val="-4"/>
          <w:w w:val="90"/>
        </w:rPr>
        <w:t> </w:t>
      </w:r>
      <w:r>
        <w:rPr>
          <w:color w:val="231F20"/>
          <w:w w:val="90"/>
        </w:rPr>
        <w:t>trans- </w:t>
      </w:r>
      <w:r>
        <w:rPr>
          <w:color w:val="231F20"/>
          <w:spacing w:val="-2"/>
          <w:w w:val="90"/>
        </w:rPr>
        <w:t>shipment,</w:t>
      </w:r>
      <w:r>
        <w:rPr>
          <w:color w:val="231F20"/>
          <w:spacing w:val="-6"/>
          <w:w w:val="90"/>
        </w:rPr>
        <w:t> </w:t>
      </w:r>
      <w:r>
        <w:rPr>
          <w:color w:val="231F20"/>
          <w:spacing w:val="-2"/>
          <w:w w:val="90"/>
        </w:rPr>
        <w:t>the</w:t>
      </w:r>
      <w:r>
        <w:rPr>
          <w:color w:val="231F20"/>
          <w:spacing w:val="-6"/>
          <w:w w:val="90"/>
        </w:rPr>
        <w:t> </w:t>
      </w:r>
      <w:r>
        <w:rPr>
          <w:color w:val="231F20"/>
          <w:spacing w:val="-2"/>
          <w:w w:val="90"/>
        </w:rPr>
        <w:t>more</w:t>
      </w:r>
      <w:r>
        <w:rPr>
          <w:color w:val="231F20"/>
          <w:spacing w:val="-6"/>
          <w:w w:val="90"/>
        </w:rPr>
        <w:t> </w:t>
      </w:r>
      <w:r>
        <w:rPr>
          <w:color w:val="231F20"/>
          <w:spacing w:val="-2"/>
          <w:w w:val="90"/>
        </w:rPr>
        <w:t>it</w:t>
      </w:r>
      <w:r>
        <w:rPr>
          <w:color w:val="231F20"/>
          <w:spacing w:val="-6"/>
          <w:w w:val="90"/>
        </w:rPr>
        <w:t> </w:t>
      </w:r>
      <w:r>
        <w:rPr>
          <w:color w:val="231F20"/>
          <w:spacing w:val="-2"/>
          <w:w w:val="90"/>
        </w:rPr>
        <w:t>suffers</w:t>
      </w:r>
      <w:r>
        <w:rPr>
          <w:color w:val="231F20"/>
          <w:spacing w:val="-6"/>
          <w:w w:val="90"/>
        </w:rPr>
        <w:t> </w:t>
      </w:r>
      <w:r>
        <w:rPr>
          <w:color w:val="231F20"/>
          <w:spacing w:val="-2"/>
          <w:w w:val="90"/>
        </w:rPr>
        <w:t>additional</w:t>
      </w:r>
      <w:r>
        <w:rPr>
          <w:color w:val="231F20"/>
          <w:spacing w:val="-6"/>
          <w:w w:val="90"/>
        </w:rPr>
        <w:t> </w:t>
      </w:r>
      <w:r>
        <w:rPr>
          <w:color w:val="231F20"/>
          <w:spacing w:val="-2"/>
          <w:w w:val="90"/>
        </w:rPr>
        <w:t>delays</w:t>
      </w:r>
      <w:r>
        <w:rPr>
          <w:color w:val="231F20"/>
          <w:spacing w:val="-6"/>
          <w:w w:val="90"/>
        </w:rPr>
        <w:t> </w:t>
      </w:r>
      <w:r>
        <w:rPr>
          <w:color w:val="231F20"/>
          <w:spacing w:val="-2"/>
          <w:w w:val="90"/>
        </w:rPr>
        <w:t>and </w:t>
      </w:r>
      <w:r>
        <w:rPr>
          <w:color w:val="231F20"/>
          <w:spacing w:val="-4"/>
        </w:rPr>
        <w:t>unreliability,</w:t>
      </w:r>
      <w:r>
        <w:rPr>
          <w:color w:val="231F20"/>
          <w:spacing w:val="-13"/>
        </w:rPr>
        <w:t> </w:t>
      </w:r>
      <w:r>
        <w:rPr>
          <w:color w:val="231F20"/>
          <w:spacing w:val="-4"/>
        </w:rPr>
        <w:t>increasing</w:t>
      </w:r>
      <w:r>
        <w:rPr>
          <w:color w:val="231F20"/>
          <w:spacing w:val="-13"/>
        </w:rPr>
        <w:t> </w:t>
      </w:r>
      <w:r>
        <w:rPr>
          <w:color w:val="231F20"/>
          <w:spacing w:val="-4"/>
        </w:rPr>
        <w:t>the</w:t>
      </w:r>
      <w:r>
        <w:rPr>
          <w:color w:val="231F20"/>
          <w:spacing w:val="-13"/>
        </w:rPr>
        <w:t> </w:t>
      </w:r>
      <w:r>
        <w:rPr>
          <w:color w:val="231F20"/>
          <w:spacing w:val="-4"/>
        </w:rPr>
        <w:t>cost</w:t>
      </w:r>
      <w:r>
        <w:rPr>
          <w:color w:val="231F20"/>
          <w:spacing w:val="-13"/>
        </w:rPr>
        <w:t> </w:t>
      </w:r>
      <w:r>
        <w:rPr>
          <w:color w:val="231F20"/>
          <w:spacing w:val="-4"/>
        </w:rPr>
        <w:t>of</w:t>
      </w:r>
      <w:r>
        <w:rPr>
          <w:color w:val="231F20"/>
          <w:spacing w:val="-13"/>
        </w:rPr>
        <w:t> </w:t>
      </w:r>
      <w:r>
        <w:rPr>
          <w:color w:val="231F20"/>
          <w:spacing w:val="-4"/>
        </w:rPr>
        <w:t>trade.</w:t>
      </w:r>
    </w:p>
    <w:p>
      <w:pPr>
        <w:pStyle w:val="BodyText"/>
        <w:spacing w:line="268" w:lineRule="auto"/>
        <w:ind w:left="3360" w:firstLine="300"/>
        <w:jc w:val="both"/>
      </w:pPr>
      <w:r>
        <w:rPr>
          <w:color w:val="231F20"/>
        </w:rPr>
        <w:t>The connectivity of island states—even more</w:t>
      </w:r>
      <w:r>
        <w:rPr>
          <w:color w:val="231F20"/>
          <w:spacing w:val="60"/>
        </w:rPr>
        <w:t> </w:t>
      </w:r>
      <w:r>
        <w:rPr>
          <w:color w:val="231F20"/>
        </w:rPr>
        <w:t>than</w:t>
      </w:r>
      <w:r>
        <w:rPr>
          <w:color w:val="231F20"/>
          <w:spacing w:val="61"/>
        </w:rPr>
        <w:t> </w:t>
      </w:r>
      <w:r>
        <w:rPr>
          <w:color w:val="231F20"/>
        </w:rPr>
        <w:t>that</w:t>
      </w:r>
      <w:r>
        <w:rPr>
          <w:color w:val="231F20"/>
          <w:spacing w:val="61"/>
        </w:rPr>
        <w:t> </w:t>
      </w:r>
      <w:r>
        <w:rPr>
          <w:color w:val="231F20"/>
        </w:rPr>
        <w:t>of</w:t>
      </w:r>
      <w:r>
        <w:rPr>
          <w:color w:val="231F20"/>
          <w:spacing w:val="61"/>
        </w:rPr>
        <w:t> </w:t>
      </w:r>
      <w:r>
        <w:rPr>
          <w:color w:val="231F20"/>
        </w:rPr>
        <w:t>landlocked</w:t>
      </w:r>
      <w:r>
        <w:rPr>
          <w:color w:val="231F20"/>
          <w:spacing w:val="61"/>
        </w:rPr>
        <w:t> </w:t>
      </w:r>
      <w:r>
        <w:rPr>
          <w:color w:val="231F20"/>
          <w:spacing w:val="-2"/>
        </w:rPr>
        <w:t>developing</w:t>
      </w:r>
    </w:p>
    <w:p>
      <w:pPr>
        <w:pStyle w:val="BodyText"/>
        <w:spacing w:line="268" w:lineRule="auto" w:before="97"/>
        <w:ind w:left="199" w:right="657"/>
        <w:jc w:val="both"/>
      </w:pPr>
      <w:r>
        <w:rPr/>
        <w:br w:type="column"/>
      </w:r>
      <w:r>
        <w:rPr>
          <w:color w:val="231F20"/>
        </w:rPr>
        <w:t>countries—depends on factors beyond their policy realm. Competition in shipping mar- </w:t>
      </w:r>
      <w:r>
        <w:rPr>
          <w:color w:val="231F20"/>
          <w:spacing w:val="-4"/>
        </w:rPr>
        <w:t>kets, logistics and shipping network structure, and</w:t>
      </w:r>
      <w:r>
        <w:rPr>
          <w:color w:val="231F20"/>
          <w:spacing w:val="-10"/>
        </w:rPr>
        <w:t> </w:t>
      </w:r>
      <w:r>
        <w:rPr>
          <w:color w:val="231F20"/>
          <w:spacing w:val="-4"/>
        </w:rPr>
        <w:t>frequency</w:t>
      </w:r>
      <w:r>
        <w:rPr>
          <w:color w:val="231F20"/>
          <w:spacing w:val="-9"/>
        </w:rPr>
        <w:t> </w:t>
      </w:r>
      <w:r>
        <w:rPr>
          <w:color w:val="231F20"/>
          <w:spacing w:val="-4"/>
        </w:rPr>
        <w:t>of</w:t>
      </w:r>
      <w:r>
        <w:rPr>
          <w:color w:val="231F20"/>
          <w:spacing w:val="-9"/>
        </w:rPr>
        <w:t> </w:t>
      </w:r>
      <w:r>
        <w:rPr>
          <w:color w:val="231F20"/>
          <w:spacing w:val="-4"/>
        </w:rPr>
        <w:t>services</w:t>
      </w:r>
      <w:r>
        <w:rPr>
          <w:color w:val="231F20"/>
          <w:spacing w:val="-9"/>
        </w:rPr>
        <w:t> </w:t>
      </w:r>
      <w:r>
        <w:rPr>
          <w:color w:val="231F20"/>
          <w:spacing w:val="-4"/>
        </w:rPr>
        <w:t>are</w:t>
      </w:r>
      <w:r>
        <w:rPr>
          <w:color w:val="231F20"/>
          <w:spacing w:val="-9"/>
        </w:rPr>
        <w:t> </w:t>
      </w:r>
      <w:r>
        <w:rPr>
          <w:color w:val="231F20"/>
          <w:spacing w:val="-4"/>
        </w:rPr>
        <w:t>difficult</w:t>
      </w:r>
      <w:r>
        <w:rPr>
          <w:color w:val="231F20"/>
          <w:spacing w:val="-9"/>
        </w:rPr>
        <w:t> </w:t>
      </w:r>
      <w:r>
        <w:rPr>
          <w:color w:val="231F20"/>
          <w:spacing w:val="-4"/>
        </w:rPr>
        <w:t>to</w:t>
      </w:r>
      <w:r>
        <w:rPr>
          <w:color w:val="231F20"/>
          <w:spacing w:val="-9"/>
        </w:rPr>
        <w:t> </w:t>
      </w:r>
      <w:r>
        <w:rPr>
          <w:color w:val="231F20"/>
          <w:spacing w:val="-4"/>
        </w:rPr>
        <w:t>influ- </w:t>
      </w:r>
      <w:r>
        <w:rPr>
          <w:color w:val="231F20"/>
          <w:spacing w:val="-2"/>
        </w:rPr>
        <w:t>ence</w:t>
      </w:r>
      <w:r>
        <w:rPr>
          <w:color w:val="231F20"/>
          <w:spacing w:val="-12"/>
        </w:rPr>
        <w:t> </w:t>
      </w:r>
      <w:r>
        <w:rPr>
          <w:color w:val="231F20"/>
          <w:spacing w:val="-2"/>
        </w:rPr>
        <w:t>and</w:t>
      </w:r>
      <w:r>
        <w:rPr>
          <w:color w:val="231F20"/>
          <w:spacing w:val="-11"/>
        </w:rPr>
        <w:t> </w:t>
      </w:r>
      <w:r>
        <w:rPr>
          <w:color w:val="231F20"/>
          <w:spacing w:val="-2"/>
        </w:rPr>
        <w:t>may</w:t>
      </w:r>
      <w:r>
        <w:rPr>
          <w:color w:val="231F20"/>
          <w:spacing w:val="-11"/>
        </w:rPr>
        <w:t> </w:t>
      </w:r>
      <w:r>
        <w:rPr>
          <w:color w:val="231F20"/>
          <w:spacing w:val="-2"/>
        </w:rPr>
        <w:t>not</w:t>
      </w:r>
      <w:r>
        <w:rPr>
          <w:color w:val="231F20"/>
          <w:spacing w:val="-11"/>
        </w:rPr>
        <w:t> </w:t>
      </w:r>
      <w:r>
        <w:rPr>
          <w:color w:val="231F20"/>
          <w:spacing w:val="-2"/>
        </w:rPr>
        <w:t>yet</w:t>
      </w:r>
      <w:r>
        <w:rPr>
          <w:color w:val="231F20"/>
          <w:spacing w:val="-11"/>
        </w:rPr>
        <w:t> </w:t>
      </w:r>
      <w:r>
        <w:rPr>
          <w:color w:val="231F20"/>
          <w:spacing w:val="-2"/>
        </w:rPr>
        <w:t>have</w:t>
      </w:r>
      <w:r>
        <w:rPr>
          <w:color w:val="231F20"/>
          <w:spacing w:val="-11"/>
        </w:rPr>
        <w:t> </w:t>
      </w:r>
      <w:r>
        <w:rPr>
          <w:color w:val="231F20"/>
          <w:spacing w:val="-2"/>
        </w:rPr>
        <w:t>received</w:t>
      </w:r>
      <w:r>
        <w:rPr>
          <w:color w:val="231F20"/>
          <w:spacing w:val="-11"/>
        </w:rPr>
        <w:t> </w:t>
      </w:r>
      <w:r>
        <w:rPr>
          <w:color w:val="231F20"/>
          <w:spacing w:val="-2"/>
        </w:rPr>
        <w:t>sufficient </w:t>
      </w:r>
      <w:r>
        <w:rPr>
          <w:color w:val="231F20"/>
          <w:spacing w:val="-4"/>
        </w:rPr>
        <w:t>attention from policymakers and international </w:t>
      </w:r>
      <w:r>
        <w:rPr>
          <w:color w:val="231F20"/>
          <w:spacing w:val="-2"/>
        </w:rPr>
        <w:t>organizations.</w:t>
      </w:r>
    </w:p>
    <w:p>
      <w:pPr>
        <w:spacing w:after="0" w:line="268" w:lineRule="auto"/>
        <w:jc w:val="both"/>
        <w:sectPr>
          <w:type w:val="continuous"/>
          <w:pgSz w:w="12240" w:h="15840"/>
          <w:pgMar w:header="0" w:footer="548" w:top="1140" w:bottom="280" w:left="0" w:right="540"/>
          <w:cols w:num="2" w:equalWidth="0">
            <w:col w:w="7081" w:space="40"/>
            <w:col w:w="4579"/>
          </w:cols>
        </w:sectPr>
      </w:pPr>
    </w:p>
    <w:p>
      <w:pPr>
        <w:pStyle w:val="Heading1"/>
        <w:spacing w:before="144"/>
        <w:ind w:left="0" w:right="2736"/>
        <w:jc w:val="center"/>
      </w:pPr>
      <w:r>
        <w:rPr/>
        <mc:AlternateContent>
          <mc:Choice Requires="wps">
            <w:drawing>
              <wp:anchor distT="0" distB="0" distL="0" distR="0" allowOverlap="1" layoutInCell="1" locked="0" behindDoc="1" simplePos="0" relativeHeight="487618048">
                <wp:simplePos x="0" y="0"/>
                <wp:positionH relativeFrom="page">
                  <wp:posOffset>762000</wp:posOffset>
                </wp:positionH>
                <wp:positionV relativeFrom="paragraph">
                  <wp:posOffset>977900</wp:posOffset>
                </wp:positionV>
                <wp:extent cx="1524000" cy="171450"/>
                <wp:effectExtent l="0" t="0" r="0" b="0"/>
                <wp:wrapTopAndBottom/>
                <wp:docPr id="1490" name="Graphic 1490"/>
                <wp:cNvGraphicFramePr>
                  <a:graphicFrameLocks/>
                </wp:cNvGraphicFramePr>
                <a:graphic>
                  <a:graphicData uri="http://schemas.microsoft.com/office/word/2010/wordprocessingShape">
                    <wps:wsp>
                      <wps:cNvPr id="1490" name="Graphic 1490"/>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77pt;width:120pt;height:13.5pt;mso-position-horizontal-relative:page;mso-position-vertical-relative:paragraph;z-index:-15698432;mso-wrap-distance-left:0;mso-wrap-distance-right:0" id="docshape1257"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618560">
                <wp:simplePos x="0" y="0"/>
                <wp:positionH relativeFrom="page">
                  <wp:posOffset>2438400</wp:posOffset>
                </wp:positionH>
                <wp:positionV relativeFrom="paragraph">
                  <wp:posOffset>977900</wp:posOffset>
                </wp:positionV>
                <wp:extent cx="4876800" cy="171450"/>
                <wp:effectExtent l="0" t="0" r="0" b="0"/>
                <wp:wrapTopAndBottom/>
                <wp:docPr id="1491" name="Graphic 1491"/>
                <wp:cNvGraphicFramePr>
                  <a:graphicFrameLocks/>
                </wp:cNvGraphicFramePr>
                <a:graphic>
                  <a:graphicData uri="http://schemas.microsoft.com/office/word/2010/wordprocessingShape">
                    <wps:wsp>
                      <wps:cNvPr id="1491" name="Graphic 1491"/>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77pt;width:384pt;height:13.5pt;mso-position-horizontal-relative:page;mso-position-vertical-relative:paragraph;z-index:-15697920;mso-wrap-distance-left:0;mso-wrap-distance-right:0" id="docshape1258" filled="true" fillcolor="#c9dcf3" stroked="false">
                <v:fill type="solid"/>
                <w10:wrap type="topAndBottom"/>
              </v:rect>
            </w:pict>
          </mc:Fallback>
        </mc:AlternateContent>
      </w:r>
      <w:r>
        <w:rPr/>
        <mc:AlternateContent>
          <mc:Choice Requires="wps">
            <w:drawing>
              <wp:anchor distT="0" distB="0" distL="0" distR="0" allowOverlap="1" layoutInCell="1" locked="0" behindDoc="0" simplePos="0" relativeHeight="15759872">
                <wp:simplePos x="0" y="0"/>
                <wp:positionH relativeFrom="page">
                  <wp:posOffset>1542031</wp:posOffset>
                </wp:positionH>
                <wp:positionV relativeFrom="paragraph">
                  <wp:posOffset>249487</wp:posOffset>
                </wp:positionV>
                <wp:extent cx="159385" cy="570230"/>
                <wp:effectExtent l="0" t="0" r="0" b="0"/>
                <wp:wrapNone/>
                <wp:docPr id="1492" name="Textbox 1492"/>
                <wp:cNvGraphicFramePr>
                  <a:graphicFrameLocks/>
                </wp:cNvGraphicFramePr>
                <a:graphic>
                  <a:graphicData uri="http://schemas.microsoft.com/office/word/2010/wordprocessingShape">
                    <wps:wsp>
                      <wps:cNvPr id="1492" name="Textbox 1492"/>
                      <wps:cNvSpPr txBox="1"/>
                      <wps:spPr>
                        <a:xfrm>
                          <a:off x="0" y="0"/>
                          <a:ext cx="159385" cy="570230"/>
                        </a:xfrm>
                        <a:prstGeom prst="rect">
                          <a:avLst/>
                        </a:prstGeom>
                      </wps:spPr>
                      <wps:txbx>
                        <w:txbxContent>
                          <w:p>
                            <w:pPr>
                              <w:spacing w:before="28"/>
                              <w:ind w:left="20" w:right="0" w:firstLine="0"/>
                              <w:jc w:val="left"/>
                              <w:rPr>
                                <w:rFonts w:ascii="Arial"/>
                                <w:b/>
                                <w:sz w:val="17"/>
                              </w:rPr>
                            </w:pPr>
                            <w:r>
                              <w:rPr>
                                <w:rFonts w:ascii="Arial"/>
                                <w:b/>
                                <w:color w:val="231F20"/>
                                <w:spacing w:val="-2"/>
                                <w:sz w:val="17"/>
                              </w:rPr>
                              <w:t>CHAPTER</w:t>
                            </w:r>
                          </w:p>
                        </w:txbxContent>
                      </wps:txbx>
                      <wps:bodyPr wrap="square" lIns="0" tIns="0" rIns="0" bIns="0" rtlCol="0" vert="vert270">
                        <a:noAutofit/>
                      </wps:bodyPr>
                    </wps:wsp>
                  </a:graphicData>
                </a:graphic>
              </wp:anchor>
            </w:drawing>
          </mc:Choice>
          <mc:Fallback>
            <w:pict>
              <v:shape style="position:absolute;margin-left:121.4198pt;margin-top:19.644697pt;width:12.55pt;height:44.9pt;mso-position-horizontal-relative:page;mso-position-vertical-relative:paragraph;z-index:15759872" type="#_x0000_t202" id="docshape1259" filled="false" stroked="false">
                <v:textbox inset="0,0,0,0" style="layout-flow:vertical;mso-layout-flow-alt:bottom-to-top">
                  <w:txbxContent>
                    <w:p>
                      <w:pPr>
                        <w:spacing w:before="28"/>
                        <w:ind w:left="20" w:right="0" w:firstLine="0"/>
                        <w:jc w:val="left"/>
                        <w:rPr>
                          <w:rFonts w:ascii="Arial"/>
                          <w:b/>
                          <w:sz w:val="17"/>
                        </w:rPr>
                      </w:pPr>
                      <w:r>
                        <w:rPr>
                          <w:rFonts w:ascii="Arial"/>
                          <w:b/>
                          <w:color w:val="231F20"/>
                          <w:spacing w:val="-2"/>
                          <w:sz w:val="17"/>
                        </w:rPr>
                        <w:t>CHAPTER</w:t>
                      </w:r>
                    </w:p>
                  </w:txbxContent>
                </v:textbox>
                <w10:wrap type="none"/>
              </v:shape>
            </w:pict>
          </mc:Fallback>
        </mc:AlternateContent>
      </w:r>
      <w:bookmarkStart w:name="_bookmark34" w:id="37"/>
      <w:bookmarkEnd w:id="37"/>
      <w:r>
        <w:rPr>
          <w:b w:val="0"/>
        </w:rPr>
      </w:r>
      <w:bookmarkStart w:name="_bookmark33" w:id="38"/>
      <w:bookmarkEnd w:id="38"/>
      <w:r>
        <w:rPr>
          <w:b w:val="0"/>
        </w:rPr>
      </w:r>
      <w:r>
        <w:rPr>
          <w:color w:val="008FDD"/>
          <w:w w:val="115"/>
          <w:sz w:val="120"/>
        </w:rPr>
        <w:t>4</w:t>
      </w:r>
      <w:r>
        <w:rPr>
          <w:color w:val="008FDD"/>
          <w:spacing w:val="-51"/>
          <w:w w:val="115"/>
          <w:sz w:val="120"/>
        </w:rPr>
        <w:t> </w:t>
      </w:r>
      <w:r>
        <w:rPr>
          <w:color w:val="231F20"/>
          <w:spacing w:val="-2"/>
          <w:w w:val="105"/>
        </w:rPr>
        <w:t>Conclusions</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19"/>
        <w:rPr>
          <w:rFonts w:ascii="Arial"/>
          <w:b/>
          <w:sz w:val="20"/>
        </w:rPr>
      </w:pPr>
    </w:p>
    <w:p>
      <w:pPr>
        <w:spacing w:after="0"/>
        <w:rPr>
          <w:rFonts w:ascii="Arial"/>
          <w:sz w:val="20"/>
        </w:rPr>
        <w:sectPr>
          <w:headerReference w:type="default" r:id="rId94"/>
          <w:footerReference w:type="default" r:id="rId95"/>
          <w:footerReference w:type="even" r:id="rId96"/>
          <w:pgSz w:w="12240" w:h="15840"/>
          <w:pgMar w:header="0" w:footer="548" w:top="320" w:bottom="740" w:left="0" w:right="540"/>
          <w:pgNumType w:start="27"/>
        </w:sectPr>
      </w:pPr>
    </w:p>
    <w:p>
      <w:pPr>
        <w:spacing w:line="280" w:lineRule="auto" w:before="103"/>
        <w:ind w:left="3840" w:right="78" w:firstLine="0"/>
        <w:jc w:val="left"/>
        <w:rPr>
          <w:rFonts w:ascii="Arial"/>
          <w:b/>
          <w:sz w:val="20"/>
        </w:rPr>
      </w:pPr>
      <w:r>
        <w:rPr>
          <w:rFonts w:ascii="Arial"/>
          <w:b/>
          <w:color w:val="231F20"/>
          <w:w w:val="105"/>
          <w:sz w:val="20"/>
        </w:rPr>
        <w:t>Global</w:t>
      </w:r>
      <w:r>
        <w:rPr>
          <w:rFonts w:ascii="Arial"/>
          <w:b/>
          <w:color w:val="231F20"/>
          <w:spacing w:val="-3"/>
          <w:w w:val="105"/>
          <w:sz w:val="20"/>
        </w:rPr>
        <w:t> </w:t>
      </w:r>
      <w:r>
        <w:rPr>
          <w:rFonts w:ascii="Arial"/>
          <w:b/>
          <w:color w:val="231F20"/>
          <w:w w:val="105"/>
          <w:sz w:val="20"/>
        </w:rPr>
        <w:t>supply</w:t>
      </w:r>
      <w:r>
        <w:rPr>
          <w:rFonts w:ascii="Arial"/>
          <w:b/>
          <w:color w:val="231F20"/>
          <w:spacing w:val="-3"/>
          <w:w w:val="105"/>
          <w:sz w:val="20"/>
        </w:rPr>
        <w:t> </w:t>
      </w:r>
      <w:r>
        <w:rPr>
          <w:rFonts w:ascii="Arial"/>
          <w:b/>
          <w:color w:val="231F20"/>
          <w:w w:val="105"/>
          <w:sz w:val="20"/>
        </w:rPr>
        <w:t>chains</w:t>
      </w:r>
      <w:r>
        <w:rPr>
          <w:rFonts w:ascii="Arial"/>
          <w:b/>
          <w:color w:val="231F20"/>
          <w:spacing w:val="-3"/>
          <w:w w:val="105"/>
          <w:sz w:val="20"/>
        </w:rPr>
        <w:t> </w:t>
      </w:r>
      <w:r>
        <w:rPr>
          <w:rFonts w:ascii="Arial"/>
          <w:b/>
          <w:color w:val="231F20"/>
          <w:w w:val="105"/>
          <w:sz w:val="20"/>
        </w:rPr>
        <w:t>have</w:t>
      </w:r>
      <w:r>
        <w:rPr>
          <w:rFonts w:ascii="Arial"/>
          <w:b/>
          <w:color w:val="231F20"/>
          <w:spacing w:val="-3"/>
          <w:w w:val="105"/>
          <w:sz w:val="20"/>
        </w:rPr>
        <w:t> </w:t>
      </w:r>
      <w:r>
        <w:rPr>
          <w:rFonts w:ascii="Arial"/>
          <w:b/>
          <w:color w:val="231F20"/>
          <w:w w:val="105"/>
          <w:sz w:val="20"/>
        </w:rPr>
        <w:t>turned out to be surprisingly resilient during the recent disruptions</w:t>
      </w:r>
    </w:p>
    <w:p>
      <w:pPr>
        <w:pStyle w:val="BodyText"/>
        <w:spacing w:before="34"/>
        <w:rPr>
          <w:rFonts w:ascii="Arial"/>
          <w:b/>
          <w:sz w:val="20"/>
        </w:rPr>
      </w:pPr>
    </w:p>
    <w:p>
      <w:pPr>
        <w:pStyle w:val="BodyText"/>
        <w:spacing w:line="268" w:lineRule="auto" w:before="1"/>
        <w:ind w:left="3840"/>
        <w:jc w:val="both"/>
      </w:pPr>
      <w:r>
        <w:rPr>
          <w:color w:val="231F20"/>
          <w:w w:val="90"/>
        </w:rPr>
        <w:t>Given the recent supply chain crisis, the relative </w:t>
      </w:r>
      <w:r>
        <w:rPr>
          <w:color w:val="231F20"/>
          <w:spacing w:val="-2"/>
        </w:rPr>
        <w:t>pattern</w:t>
      </w:r>
      <w:r>
        <w:rPr>
          <w:color w:val="231F20"/>
          <w:spacing w:val="-12"/>
        </w:rPr>
        <w:t> </w:t>
      </w:r>
      <w:r>
        <w:rPr>
          <w:color w:val="231F20"/>
          <w:spacing w:val="-2"/>
        </w:rPr>
        <w:t>of</w:t>
      </w:r>
      <w:r>
        <w:rPr>
          <w:color w:val="231F20"/>
          <w:spacing w:val="-11"/>
        </w:rPr>
        <w:t> </w:t>
      </w:r>
      <w:r>
        <w:rPr>
          <w:color w:val="231F20"/>
          <w:spacing w:val="-2"/>
        </w:rPr>
        <w:t>LPI</w:t>
      </w:r>
      <w:r>
        <w:rPr>
          <w:color w:val="231F20"/>
          <w:spacing w:val="-11"/>
        </w:rPr>
        <w:t> </w:t>
      </w:r>
      <w:r>
        <w:rPr>
          <w:color w:val="231F20"/>
          <w:spacing w:val="-2"/>
        </w:rPr>
        <w:t>scores</w:t>
      </w:r>
      <w:r>
        <w:rPr>
          <w:color w:val="231F20"/>
          <w:spacing w:val="-11"/>
        </w:rPr>
        <w:t> </w:t>
      </w:r>
      <w:r>
        <w:rPr>
          <w:color w:val="231F20"/>
          <w:spacing w:val="-2"/>
        </w:rPr>
        <w:t>in</w:t>
      </w:r>
      <w:r>
        <w:rPr>
          <w:color w:val="231F20"/>
          <w:spacing w:val="-11"/>
        </w:rPr>
        <w:t> </w:t>
      </w:r>
      <w:r>
        <w:rPr>
          <w:color w:val="231F20"/>
          <w:spacing w:val="-2"/>
        </w:rPr>
        <w:t>2023</w:t>
      </w:r>
      <w:r>
        <w:rPr>
          <w:color w:val="231F20"/>
          <w:spacing w:val="-11"/>
        </w:rPr>
        <w:t> </w:t>
      </w:r>
      <w:r>
        <w:rPr>
          <w:color w:val="231F20"/>
          <w:spacing w:val="-2"/>
        </w:rPr>
        <w:t>across</w:t>
      </w:r>
      <w:r>
        <w:rPr>
          <w:color w:val="231F20"/>
          <w:spacing w:val="-11"/>
        </w:rPr>
        <w:t> </w:t>
      </w:r>
      <w:r>
        <w:rPr>
          <w:color w:val="231F20"/>
          <w:spacing w:val="-2"/>
        </w:rPr>
        <w:t>countries </w:t>
      </w:r>
      <w:r>
        <w:rPr>
          <w:color w:val="231F20"/>
          <w:spacing w:val="-6"/>
        </w:rPr>
        <w:t>has changed little compared with previous edi- </w:t>
      </w:r>
      <w:r>
        <w:rPr>
          <w:color w:val="231F20"/>
          <w:spacing w:val="-4"/>
        </w:rPr>
        <w:t>tions;</w:t>
      </w:r>
      <w:r>
        <w:rPr>
          <w:color w:val="231F20"/>
          <w:spacing w:val="-8"/>
        </w:rPr>
        <w:t> </w:t>
      </w:r>
      <w:r>
        <w:rPr>
          <w:color w:val="231F20"/>
          <w:spacing w:val="-4"/>
        </w:rPr>
        <w:t>only</w:t>
      </w:r>
      <w:r>
        <w:rPr>
          <w:color w:val="231F20"/>
          <w:spacing w:val="-8"/>
        </w:rPr>
        <w:t> </w:t>
      </w:r>
      <w:r>
        <w:rPr>
          <w:color w:val="231F20"/>
          <w:spacing w:val="-4"/>
        </w:rPr>
        <w:t>scores</w:t>
      </w:r>
      <w:r>
        <w:rPr>
          <w:color w:val="231F20"/>
          <w:spacing w:val="-8"/>
        </w:rPr>
        <w:t> </w:t>
      </w:r>
      <w:r>
        <w:rPr>
          <w:color w:val="231F20"/>
          <w:spacing w:val="-4"/>
        </w:rPr>
        <w:t>in</w:t>
      </w:r>
      <w:r>
        <w:rPr>
          <w:color w:val="231F20"/>
          <w:spacing w:val="-8"/>
        </w:rPr>
        <w:t> </w:t>
      </w:r>
      <w:r>
        <w:rPr>
          <w:color w:val="231F20"/>
          <w:spacing w:val="-4"/>
        </w:rPr>
        <w:t>the</w:t>
      </w:r>
      <w:r>
        <w:rPr>
          <w:color w:val="231F20"/>
          <w:spacing w:val="-8"/>
        </w:rPr>
        <w:t> </w:t>
      </w:r>
      <w:r>
        <w:rPr>
          <w:color w:val="231F20"/>
          <w:spacing w:val="-4"/>
        </w:rPr>
        <w:t>timeliness</w:t>
      </w:r>
      <w:r>
        <w:rPr>
          <w:color w:val="231F20"/>
          <w:spacing w:val="-8"/>
        </w:rPr>
        <w:t> </w:t>
      </w:r>
      <w:r>
        <w:rPr>
          <w:color w:val="231F20"/>
          <w:spacing w:val="-4"/>
        </w:rPr>
        <w:t>component </w:t>
      </w:r>
      <w:r>
        <w:rPr>
          <w:color w:val="231F20"/>
          <w:spacing w:val="-2"/>
        </w:rPr>
        <w:t>have</w:t>
      </w:r>
      <w:r>
        <w:rPr>
          <w:color w:val="231F20"/>
          <w:spacing w:val="-12"/>
        </w:rPr>
        <w:t> </w:t>
      </w:r>
      <w:r>
        <w:rPr>
          <w:color w:val="231F20"/>
          <w:spacing w:val="-2"/>
        </w:rPr>
        <w:t>deteriorated</w:t>
      </w:r>
      <w:r>
        <w:rPr>
          <w:color w:val="231F20"/>
          <w:spacing w:val="-11"/>
        </w:rPr>
        <w:t> </w:t>
      </w:r>
      <w:r>
        <w:rPr>
          <w:color w:val="231F20"/>
          <w:spacing w:val="-2"/>
        </w:rPr>
        <w:t>slightly</w:t>
      </w:r>
      <w:r>
        <w:rPr>
          <w:color w:val="231F20"/>
          <w:spacing w:val="-11"/>
        </w:rPr>
        <w:t> </w:t>
      </w:r>
      <w:r>
        <w:rPr>
          <w:color w:val="231F20"/>
          <w:spacing w:val="-2"/>
        </w:rPr>
        <w:t>since</w:t>
      </w:r>
      <w:r>
        <w:rPr>
          <w:color w:val="231F20"/>
          <w:spacing w:val="-11"/>
        </w:rPr>
        <w:t> </w:t>
      </w:r>
      <w:r>
        <w:rPr>
          <w:color w:val="231F20"/>
          <w:spacing w:val="-2"/>
        </w:rPr>
        <w:t>2018.</w:t>
      </w:r>
      <w:r>
        <w:rPr>
          <w:color w:val="231F20"/>
          <w:spacing w:val="-11"/>
        </w:rPr>
        <w:t> </w:t>
      </w:r>
      <w:r>
        <w:rPr>
          <w:color w:val="231F20"/>
          <w:spacing w:val="-2"/>
        </w:rPr>
        <w:t>In</w:t>
      </w:r>
      <w:r>
        <w:rPr>
          <w:color w:val="231F20"/>
          <w:spacing w:val="-11"/>
        </w:rPr>
        <w:t> </w:t>
      </w:r>
      <w:r>
        <w:rPr>
          <w:color w:val="231F20"/>
          <w:spacing w:val="-2"/>
        </w:rPr>
        <w:t>addi- </w:t>
      </w:r>
      <w:r>
        <w:rPr>
          <w:color w:val="231F20"/>
          <w:spacing w:val="-4"/>
        </w:rPr>
        <w:t>tion</w:t>
      </w:r>
      <w:r>
        <w:rPr>
          <w:color w:val="231F20"/>
          <w:spacing w:val="-9"/>
        </w:rPr>
        <w:t> </w:t>
      </w:r>
      <w:r>
        <w:rPr>
          <w:color w:val="231F20"/>
          <w:spacing w:val="-4"/>
        </w:rPr>
        <w:t>to</w:t>
      </w:r>
      <w:r>
        <w:rPr>
          <w:color w:val="231F20"/>
          <w:spacing w:val="-9"/>
        </w:rPr>
        <w:t> </w:t>
      </w:r>
      <w:r>
        <w:rPr>
          <w:color w:val="231F20"/>
          <w:spacing w:val="-4"/>
        </w:rPr>
        <w:t>the</w:t>
      </w:r>
      <w:r>
        <w:rPr>
          <w:color w:val="231F20"/>
          <w:spacing w:val="-9"/>
        </w:rPr>
        <w:t> </w:t>
      </w:r>
      <w:r>
        <w:rPr>
          <w:color w:val="231F20"/>
          <w:spacing w:val="-4"/>
        </w:rPr>
        <w:t>robust</w:t>
      </w:r>
      <w:r>
        <w:rPr>
          <w:color w:val="231F20"/>
          <w:spacing w:val="-9"/>
        </w:rPr>
        <w:t> </w:t>
      </w:r>
      <w:r>
        <w:rPr>
          <w:color w:val="231F20"/>
          <w:spacing w:val="-4"/>
        </w:rPr>
        <w:t>nature</w:t>
      </w:r>
      <w:r>
        <w:rPr>
          <w:color w:val="231F20"/>
          <w:spacing w:val="-9"/>
        </w:rPr>
        <w:t> </w:t>
      </w:r>
      <w:r>
        <w:rPr>
          <w:color w:val="231F20"/>
          <w:spacing w:val="-4"/>
        </w:rPr>
        <w:t>of</w:t>
      </w:r>
      <w:r>
        <w:rPr>
          <w:color w:val="231F20"/>
          <w:spacing w:val="-9"/>
        </w:rPr>
        <w:t> </w:t>
      </w:r>
      <w:r>
        <w:rPr>
          <w:color w:val="231F20"/>
          <w:spacing w:val="-4"/>
        </w:rPr>
        <w:t>the</w:t>
      </w:r>
      <w:r>
        <w:rPr>
          <w:color w:val="231F20"/>
          <w:spacing w:val="-9"/>
        </w:rPr>
        <w:t> </w:t>
      </w:r>
      <w:r>
        <w:rPr>
          <w:color w:val="231F20"/>
          <w:spacing w:val="-4"/>
        </w:rPr>
        <w:t>data</w:t>
      </w:r>
      <w:r>
        <w:rPr>
          <w:color w:val="231F20"/>
          <w:spacing w:val="-9"/>
        </w:rPr>
        <w:t> </w:t>
      </w:r>
      <w:r>
        <w:rPr>
          <w:color w:val="231F20"/>
          <w:spacing w:val="-4"/>
        </w:rPr>
        <w:t>underlying </w:t>
      </w:r>
      <w:r>
        <w:rPr>
          <w:color w:val="231F20"/>
        </w:rPr>
        <w:t>the</w:t>
      </w:r>
      <w:r>
        <w:rPr>
          <w:color w:val="231F20"/>
          <w:spacing w:val="-8"/>
        </w:rPr>
        <w:t> </w:t>
      </w:r>
      <w:r>
        <w:rPr>
          <w:color w:val="231F20"/>
        </w:rPr>
        <w:t>LPI</w:t>
      </w:r>
      <w:r>
        <w:rPr>
          <w:color w:val="231F20"/>
          <w:spacing w:val="-8"/>
        </w:rPr>
        <w:t> </w:t>
      </w:r>
      <w:r>
        <w:rPr>
          <w:color w:val="231F20"/>
        </w:rPr>
        <w:t>(box</w:t>
      </w:r>
      <w:r>
        <w:rPr>
          <w:color w:val="231F20"/>
          <w:spacing w:val="-8"/>
        </w:rPr>
        <w:t> </w:t>
      </w:r>
      <w:r>
        <w:rPr>
          <w:color w:val="231F20"/>
        </w:rPr>
        <w:t>table</w:t>
      </w:r>
      <w:r>
        <w:rPr>
          <w:color w:val="231F20"/>
          <w:spacing w:val="-8"/>
        </w:rPr>
        <w:t> </w:t>
      </w:r>
      <w:r>
        <w:rPr>
          <w:color w:val="231F20"/>
        </w:rPr>
        <w:t>1</w:t>
      </w:r>
      <w:r>
        <w:rPr>
          <w:color w:val="231F20"/>
          <w:spacing w:val="-8"/>
        </w:rPr>
        <w:t> </w:t>
      </w:r>
      <w:r>
        <w:rPr>
          <w:color w:val="231F20"/>
        </w:rPr>
        <w:t>in</w:t>
      </w:r>
      <w:r>
        <w:rPr>
          <w:color w:val="231F20"/>
          <w:spacing w:val="-8"/>
        </w:rPr>
        <w:t> </w:t>
      </w:r>
      <w:r>
        <w:rPr>
          <w:color w:val="231F20"/>
        </w:rPr>
        <w:t>box</w:t>
      </w:r>
      <w:r>
        <w:rPr>
          <w:color w:val="231F20"/>
          <w:spacing w:val="-8"/>
        </w:rPr>
        <w:t> </w:t>
      </w:r>
      <w:r>
        <w:rPr>
          <w:color w:val="231F20"/>
        </w:rPr>
        <w:t>3.1</w:t>
      </w:r>
      <w:r>
        <w:rPr>
          <w:color w:val="231F20"/>
          <w:spacing w:val="-8"/>
        </w:rPr>
        <w:t> </w:t>
      </w:r>
      <w:r>
        <w:rPr>
          <w:color w:val="231F20"/>
        </w:rPr>
        <w:t>of</w:t>
      </w:r>
      <w:r>
        <w:rPr>
          <w:color w:val="231F20"/>
          <w:spacing w:val="-8"/>
        </w:rPr>
        <w:t> </w:t>
      </w:r>
      <w:r>
        <w:rPr>
          <w:color w:val="231F20"/>
        </w:rPr>
        <w:t>chapter</w:t>
      </w:r>
      <w:r>
        <w:rPr>
          <w:color w:val="231F20"/>
          <w:spacing w:val="-8"/>
        </w:rPr>
        <w:t> </w:t>
      </w:r>
      <w:r>
        <w:rPr>
          <w:color w:val="231F20"/>
        </w:rPr>
        <w:t>3), </w:t>
      </w:r>
      <w:r>
        <w:rPr>
          <w:color w:val="231F20"/>
          <w:spacing w:val="-2"/>
        </w:rPr>
        <w:t>there</w:t>
      </w:r>
      <w:r>
        <w:rPr>
          <w:color w:val="231F20"/>
          <w:spacing w:val="-13"/>
        </w:rPr>
        <w:t> </w:t>
      </w:r>
      <w:r>
        <w:rPr>
          <w:color w:val="231F20"/>
          <w:spacing w:val="-2"/>
        </w:rPr>
        <w:t>are</w:t>
      </w:r>
      <w:r>
        <w:rPr>
          <w:color w:val="231F20"/>
          <w:spacing w:val="-13"/>
        </w:rPr>
        <w:t> </w:t>
      </w:r>
      <w:r>
        <w:rPr>
          <w:color w:val="231F20"/>
          <w:spacing w:val="-2"/>
        </w:rPr>
        <w:t>several</w:t>
      </w:r>
      <w:r>
        <w:rPr>
          <w:color w:val="231F20"/>
          <w:spacing w:val="-13"/>
        </w:rPr>
        <w:t> </w:t>
      </w:r>
      <w:r>
        <w:rPr>
          <w:color w:val="231F20"/>
          <w:spacing w:val="-2"/>
        </w:rPr>
        <w:t>possible</w:t>
      </w:r>
      <w:r>
        <w:rPr>
          <w:color w:val="231F20"/>
          <w:spacing w:val="-13"/>
        </w:rPr>
        <w:t> </w:t>
      </w:r>
      <w:r>
        <w:rPr>
          <w:color w:val="231F20"/>
          <w:spacing w:val="-2"/>
        </w:rPr>
        <w:t>explanations.</w:t>
      </w:r>
    </w:p>
    <w:p>
      <w:pPr>
        <w:pStyle w:val="BodyText"/>
        <w:spacing w:line="268" w:lineRule="auto"/>
        <w:ind w:left="3840" w:firstLine="300"/>
        <w:jc w:val="both"/>
      </w:pPr>
      <w:r>
        <w:rPr>
          <w:color w:val="231F20"/>
          <w:w w:val="90"/>
        </w:rPr>
        <w:t>First, when almost every country is affected </w:t>
      </w:r>
      <w:r>
        <w:rPr>
          <w:color w:val="231F20"/>
          <w:spacing w:val="-4"/>
        </w:rPr>
        <w:t>by similar disruptions beyond their control al- </w:t>
      </w:r>
      <w:r>
        <w:rPr>
          <w:color w:val="231F20"/>
          <w:spacing w:val="-6"/>
        </w:rPr>
        <w:t>most simultaneously, it is difficult to assign the </w:t>
      </w:r>
      <w:r>
        <w:rPr>
          <w:color w:val="231F20"/>
        </w:rPr>
        <w:t>impact to individual countries.</w:t>
      </w:r>
    </w:p>
    <w:p>
      <w:pPr>
        <w:pStyle w:val="BodyText"/>
        <w:spacing w:line="268" w:lineRule="auto"/>
        <w:ind w:left="3840" w:firstLine="300"/>
        <w:jc w:val="right"/>
      </w:pPr>
      <w:r>
        <w:rPr>
          <w:color w:val="231F20"/>
          <w:spacing w:val="-2"/>
        </w:rPr>
        <w:t>Second,</w:t>
      </w:r>
      <w:r>
        <w:rPr>
          <w:color w:val="231F20"/>
          <w:spacing w:val="-3"/>
        </w:rPr>
        <w:t> </w:t>
      </w:r>
      <w:r>
        <w:rPr>
          <w:color w:val="231F20"/>
          <w:spacing w:val="-2"/>
        </w:rPr>
        <w:t>survey</w:t>
      </w:r>
      <w:r>
        <w:rPr>
          <w:color w:val="231F20"/>
          <w:spacing w:val="-3"/>
        </w:rPr>
        <w:t> </w:t>
      </w:r>
      <w:r>
        <w:rPr>
          <w:color w:val="231F20"/>
          <w:spacing w:val="-2"/>
        </w:rPr>
        <w:t>data</w:t>
      </w:r>
      <w:r>
        <w:rPr>
          <w:color w:val="231F20"/>
          <w:spacing w:val="-3"/>
        </w:rPr>
        <w:t> </w:t>
      </w:r>
      <w:r>
        <w:rPr>
          <w:color w:val="231F20"/>
          <w:spacing w:val="-2"/>
        </w:rPr>
        <w:t>were</w:t>
      </w:r>
      <w:r>
        <w:rPr>
          <w:color w:val="231F20"/>
          <w:spacing w:val="-3"/>
        </w:rPr>
        <w:t> </w:t>
      </w:r>
      <w:r>
        <w:rPr>
          <w:color w:val="231F20"/>
          <w:spacing w:val="-2"/>
        </w:rPr>
        <w:t>collected</w:t>
      </w:r>
      <w:r>
        <w:rPr>
          <w:color w:val="231F20"/>
          <w:spacing w:val="-3"/>
        </w:rPr>
        <w:t> </w:t>
      </w:r>
      <w:r>
        <w:rPr>
          <w:color w:val="231F20"/>
          <w:spacing w:val="-2"/>
        </w:rPr>
        <w:t>when supply</w:t>
      </w:r>
      <w:r>
        <w:rPr>
          <w:color w:val="231F20"/>
          <w:spacing w:val="-12"/>
        </w:rPr>
        <w:t> </w:t>
      </w:r>
      <w:r>
        <w:rPr>
          <w:color w:val="231F20"/>
          <w:spacing w:val="-2"/>
        </w:rPr>
        <w:t>chain</w:t>
      </w:r>
      <w:r>
        <w:rPr>
          <w:color w:val="231F20"/>
          <w:spacing w:val="-11"/>
        </w:rPr>
        <w:t> </w:t>
      </w:r>
      <w:r>
        <w:rPr>
          <w:color w:val="231F20"/>
          <w:spacing w:val="-2"/>
        </w:rPr>
        <w:t>disruptions</w:t>
      </w:r>
      <w:r>
        <w:rPr>
          <w:color w:val="231F20"/>
          <w:spacing w:val="-11"/>
        </w:rPr>
        <w:t> </w:t>
      </w:r>
      <w:r>
        <w:rPr>
          <w:color w:val="231F20"/>
          <w:spacing w:val="-2"/>
        </w:rPr>
        <w:t>had</w:t>
      </w:r>
      <w:r>
        <w:rPr>
          <w:color w:val="231F20"/>
          <w:spacing w:val="-11"/>
        </w:rPr>
        <w:t> </w:t>
      </w:r>
      <w:r>
        <w:rPr>
          <w:color w:val="231F20"/>
          <w:spacing w:val="-2"/>
        </w:rPr>
        <w:t>already</w:t>
      </w:r>
      <w:r>
        <w:rPr>
          <w:color w:val="231F20"/>
          <w:spacing w:val="-11"/>
        </w:rPr>
        <w:t> </w:t>
      </w:r>
      <w:r>
        <w:rPr>
          <w:color w:val="231F20"/>
          <w:spacing w:val="-2"/>
        </w:rPr>
        <w:t>substan- </w:t>
      </w:r>
      <w:r>
        <w:rPr>
          <w:color w:val="231F20"/>
        </w:rPr>
        <w:t>tially</w:t>
      </w:r>
      <w:r>
        <w:rPr>
          <w:color w:val="231F20"/>
          <w:spacing w:val="-6"/>
        </w:rPr>
        <w:t> </w:t>
      </w:r>
      <w:r>
        <w:rPr>
          <w:color w:val="231F20"/>
        </w:rPr>
        <w:t>diminished,</w:t>
      </w:r>
      <w:r>
        <w:rPr>
          <w:color w:val="231F20"/>
          <w:spacing w:val="-6"/>
        </w:rPr>
        <w:t> </w:t>
      </w:r>
      <w:r>
        <w:rPr>
          <w:color w:val="231F20"/>
        </w:rPr>
        <w:t>as</w:t>
      </w:r>
      <w:r>
        <w:rPr>
          <w:color w:val="231F20"/>
          <w:spacing w:val="-6"/>
        </w:rPr>
        <w:t> </w:t>
      </w:r>
      <w:r>
        <w:rPr>
          <w:color w:val="231F20"/>
        </w:rPr>
        <w:t>indicated</w:t>
      </w:r>
      <w:r>
        <w:rPr>
          <w:color w:val="231F20"/>
          <w:spacing w:val="-6"/>
        </w:rPr>
        <w:t> </w:t>
      </w:r>
      <w:r>
        <w:rPr>
          <w:color w:val="231F20"/>
        </w:rPr>
        <w:t>by</w:t>
      </w:r>
      <w:r>
        <w:rPr>
          <w:color w:val="231F20"/>
          <w:spacing w:val="-6"/>
        </w:rPr>
        <w:t> </w:t>
      </w:r>
      <w:r>
        <w:rPr>
          <w:color w:val="231F20"/>
        </w:rPr>
        <w:t>the</w:t>
      </w:r>
      <w:r>
        <w:rPr>
          <w:color w:val="231F20"/>
          <w:spacing w:val="-6"/>
        </w:rPr>
        <w:t> </w:t>
      </w:r>
      <w:r>
        <w:rPr>
          <w:color w:val="231F20"/>
        </w:rPr>
        <w:t>Global Supply</w:t>
      </w:r>
      <w:r>
        <w:rPr>
          <w:color w:val="231F20"/>
          <w:spacing w:val="-10"/>
        </w:rPr>
        <w:t> </w:t>
      </w:r>
      <w:r>
        <w:rPr>
          <w:color w:val="231F20"/>
        </w:rPr>
        <w:t>Chain</w:t>
      </w:r>
      <w:r>
        <w:rPr>
          <w:color w:val="231F20"/>
          <w:spacing w:val="-9"/>
        </w:rPr>
        <w:t> </w:t>
      </w:r>
      <w:r>
        <w:rPr>
          <w:color w:val="231F20"/>
        </w:rPr>
        <w:t>Pressure</w:t>
      </w:r>
      <w:r>
        <w:rPr>
          <w:color w:val="231F20"/>
          <w:spacing w:val="-9"/>
        </w:rPr>
        <w:t> </w:t>
      </w:r>
      <w:r>
        <w:rPr>
          <w:color w:val="231F20"/>
        </w:rPr>
        <w:t>Index,</w:t>
      </w:r>
      <w:r>
        <w:rPr>
          <w:color w:val="231F20"/>
          <w:position w:val="7"/>
          <w:sz w:val="14"/>
        </w:rPr>
        <w:t>40</w:t>
      </w:r>
      <w:r>
        <w:rPr>
          <w:color w:val="231F20"/>
          <w:spacing w:val="7"/>
          <w:position w:val="7"/>
          <w:sz w:val="14"/>
        </w:rPr>
        <w:t> </w:t>
      </w:r>
      <w:r>
        <w:rPr>
          <w:color w:val="231F20"/>
        </w:rPr>
        <w:t>for</w:t>
      </w:r>
      <w:r>
        <w:rPr>
          <w:color w:val="231F20"/>
          <w:spacing w:val="-9"/>
        </w:rPr>
        <w:t> </w:t>
      </w:r>
      <w:r>
        <w:rPr>
          <w:color w:val="231F20"/>
        </w:rPr>
        <w:t>example. </w:t>
      </w:r>
      <w:r>
        <w:rPr>
          <w:color w:val="231F20"/>
          <w:spacing w:val="-4"/>
        </w:rPr>
        <w:t>The</w:t>
      </w:r>
      <w:r>
        <w:rPr>
          <w:color w:val="231F20"/>
          <w:spacing w:val="-10"/>
        </w:rPr>
        <w:t> </w:t>
      </w:r>
      <w:r>
        <w:rPr>
          <w:color w:val="231F20"/>
          <w:spacing w:val="-4"/>
        </w:rPr>
        <w:t>index</w:t>
      </w:r>
      <w:r>
        <w:rPr>
          <w:color w:val="231F20"/>
          <w:spacing w:val="-9"/>
        </w:rPr>
        <w:t> </w:t>
      </w:r>
      <w:r>
        <w:rPr>
          <w:color w:val="231F20"/>
          <w:spacing w:val="-4"/>
        </w:rPr>
        <w:t>peaked</w:t>
      </w:r>
      <w:r>
        <w:rPr>
          <w:color w:val="231F20"/>
          <w:spacing w:val="-9"/>
        </w:rPr>
        <w:t> </w:t>
      </w:r>
      <w:r>
        <w:rPr>
          <w:color w:val="231F20"/>
          <w:spacing w:val="-4"/>
        </w:rPr>
        <w:t>at</w:t>
      </w:r>
      <w:r>
        <w:rPr>
          <w:color w:val="231F20"/>
          <w:spacing w:val="-9"/>
        </w:rPr>
        <w:t> </w:t>
      </w:r>
      <w:r>
        <w:rPr>
          <w:color w:val="231F20"/>
          <w:spacing w:val="-4"/>
        </w:rPr>
        <w:t>the</w:t>
      </w:r>
      <w:r>
        <w:rPr>
          <w:color w:val="231F20"/>
          <w:spacing w:val="-9"/>
        </w:rPr>
        <w:t> </w:t>
      </w:r>
      <w:r>
        <w:rPr>
          <w:color w:val="231F20"/>
          <w:spacing w:val="-4"/>
        </w:rPr>
        <w:t>end</w:t>
      </w:r>
      <w:r>
        <w:rPr>
          <w:color w:val="231F20"/>
          <w:spacing w:val="-9"/>
        </w:rPr>
        <w:t> </w:t>
      </w:r>
      <w:r>
        <w:rPr>
          <w:color w:val="231F20"/>
          <w:spacing w:val="-4"/>
        </w:rPr>
        <w:t>of</w:t>
      </w:r>
      <w:r>
        <w:rPr>
          <w:color w:val="231F20"/>
          <w:spacing w:val="-9"/>
        </w:rPr>
        <w:t> </w:t>
      </w:r>
      <w:r>
        <w:rPr>
          <w:color w:val="231F20"/>
          <w:spacing w:val="-4"/>
        </w:rPr>
        <w:t>2021</w:t>
      </w:r>
      <w:r>
        <w:rPr>
          <w:color w:val="231F20"/>
          <w:spacing w:val="-9"/>
        </w:rPr>
        <w:t> </w:t>
      </w:r>
      <w:r>
        <w:rPr>
          <w:color w:val="231F20"/>
          <w:spacing w:val="-4"/>
        </w:rPr>
        <w:t>before</w:t>
      </w:r>
      <w:r>
        <w:rPr>
          <w:color w:val="231F20"/>
          <w:spacing w:val="-10"/>
        </w:rPr>
        <w:t> </w:t>
      </w:r>
      <w:r>
        <w:rPr>
          <w:color w:val="231F20"/>
          <w:spacing w:val="-4"/>
        </w:rPr>
        <w:t>re- </w:t>
      </w:r>
      <w:r>
        <w:rPr>
          <w:color w:val="231F20"/>
        </w:rPr>
        <w:t>turning</w:t>
      </w:r>
      <w:r>
        <w:rPr>
          <w:color w:val="231F20"/>
          <w:spacing w:val="-4"/>
        </w:rPr>
        <w:t> </w:t>
      </w:r>
      <w:r>
        <w:rPr>
          <w:color w:val="231F20"/>
        </w:rPr>
        <w:t>to</w:t>
      </w:r>
      <w:r>
        <w:rPr>
          <w:color w:val="231F20"/>
          <w:spacing w:val="-4"/>
        </w:rPr>
        <w:t> </w:t>
      </w:r>
      <w:r>
        <w:rPr>
          <w:color w:val="231F20"/>
        </w:rPr>
        <w:t>normal</w:t>
      </w:r>
      <w:r>
        <w:rPr>
          <w:color w:val="231F20"/>
          <w:spacing w:val="-4"/>
        </w:rPr>
        <w:t> </w:t>
      </w:r>
      <w:r>
        <w:rPr>
          <w:color w:val="231F20"/>
        </w:rPr>
        <w:t>levels</w:t>
      </w:r>
      <w:r>
        <w:rPr>
          <w:color w:val="231F20"/>
          <w:spacing w:val="-4"/>
        </w:rPr>
        <w:t> </w:t>
      </w:r>
      <w:r>
        <w:rPr>
          <w:color w:val="231F20"/>
        </w:rPr>
        <w:t>in</w:t>
      </w:r>
      <w:r>
        <w:rPr>
          <w:color w:val="231F20"/>
          <w:spacing w:val="-4"/>
        </w:rPr>
        <w:t> </w:t>
      </w:r>
      <w:r>
        <w:rPr>
          <w:color w:val="231F20"/>
        </w:rPr>
        <w:t>September</w:t>
      </w:r>
      <w:r>
        <w:rPr>
          <w:color w:val="231F20"/>
          <w:spacing w:val="-4"/>
        </w:rPr>
        <w:t> </w:t>
      </w:r>
      <w:r>
        <w:rPr>
          <w:color w:val="231F20"/>
        </w:rPr>
        <w:t>2022, </w:t>
      </w:r>
      <w:r>
        <w:rPr>
          <w:color w:val="231F20"/>
          <w:spacing w:val="-4"/>
        </w:rPr>
        <w:t>when</w:t>
      </w:r>
      <w:r>
        <w:rPr>
          <w:color w:val="231F20"/>
          <w:spacing w:val="-10"/>
        </w:rPr>
        <w:t> </w:t>
      </w:r>
      <w:r>
        <w:rPr>
          <w:color w:val="231F20"/>
          <w:spacing w:val="-4"/>
        </w:rPr>
        <w:t>the</w:t>
      </w:r>
      <w:r>
        <w:rPr>
          <w:color w:val="231F20"/>
          <w:spacing w:val="-9"/>
        </w:rPr>
        <w:t> </w:t>
      </w:r>
      <w:r>
        <w:rPr>
          <w:color w:val="231F20"/>
          <w:spacing w:val="-4"/>
        </w:rPr>
        <w:t>LPI</w:t>
      </w:r>
      <w:r>
        <w:rPr>
          <w:color w:val="231F20"/>
          <w:spacing w:val="-9"/>
        </w:rPr>
        <w:t> </w:t>
      </w:r>
      <w:r>
        <w:rPr>
          <w:color w:val="231F20"/>
          <w:spacing w:val="-4"/>
        </w:rPr>
        <w:t>survey</w:t>
      </w:r>
      <w:r>
        <w:rPr>
          <w:color w:val="231F20"/>
          <w:spacing w:val="-9"/>
        </w:rPr>
        <w:t> </w:t>
      </w:r>
      <w:r>
        <w:rPr>
          <w:color w:val="231F20"/>
          <w:spacing w:val="-4"/>
        </w:rPr>
        <w:t>went</w:t>
      </w:r>
      <w:r>
        <w:rPr>
          <w:color w:val="231F20"/>
          <w:spacing w:val="-9"/>
        </w:rPr>
        <w:t> </w:t>
      </w:r>
      <w:r>
        <w:rPr>
          <w:color w:val="231F20"/>
          <w:spacing w:val="-4"/>
        </w:rPr>
        <w:t>live.</w:t>
      </w:r>
      <w:r>
        <w:rPr>
          <w:color w:val="231F20"/>
          <w:spacing w:val="-9"/>
        </w:rPr>
        <w:t> </w:t>
      </w:r>
      <w:r>
        <w:rPr>
          <w:color w:val="231F20"/>
          <w:spacing w:val="-4"/>
        </w:rPr>
        <w:t>This</w:t>
      </w:r>
      <w:r>
        <w:rPr>
          <w:color w:val="231F20"/>
          <w:spacing w:val="-9"/>
        </w:rPr>
        <w:t> </w:t>
      </w:r>
      <w:r>
        <w:rPr>
          <w:color w:val="231F20"/>
          <w:spacing w:val="-4"/>
        </w:rPr>
        <w:t>may</w:t>
      </w:r>
      <w:r>
        <w:rPr>
          <w:color w:val="231F20"/>
          <w:spacing w:val="-9"/>
        </w:rPr>
        <w:t> </w:t>
      </w:r>
      <w:r>
        <w:rPr>
          <w:color w:val="231F20"/>
          <w:spacing w:val="-4"/>
        </w:rPr>
        <w:t>have </w:t>
      </w:r>
      <w:r>
        <w:rPr>
          <w:color w:val="231F20"/>
          <w:spacing w:val="-6"/>
        </w:rPr>
        <w:t>contributed</w:t>
      </w:r>
      <w:r>
        <w:rPr>
          <w:color w:val="231F20"/>
          <w:spacing w:val="-15"/>
        </w:rPr>
        <w:t> </w:t>
      </w:r>
      <w:r>
        <w:rPr>
          <w:color w:val="231F20"/>
          <w:spacing w:val="-6"/>
        </w:rPr>
        <w:t>to</w:t>
      </w:r>
      <w:r>
        <w:rPr>
          <w:color w:val="231F20"/>
          <w:spacing w:val="-15"/>
        </w:rPr>
        <w:t> </w:t>
      </w:r>
      <w:r>
        <w:rPr>
          <w:color w:val="231F20"/>
          <w:spacing w:val="-6"/>
        </w:rPr>
        <w:t>recency</w:t>
      </w:r>
      <w:r>
        <w:rPr>
          <w:color w:val="231F20"/>
          <w:spacing w:val="-15"/>
        </w:rPr>
        <w:t> </w:t>
      </w:r>
      <w:r>
        <w:rPr>
          <w:color w:val="231F20"/>
          <w:spacing w:val="-6"/>
        </w:rPr>
        <w:t>bias</w:t>
      </w:r>
      <w:r>
        <w:rPr>
          <w:color w:val="231F20"/>
          <w:spacing w:val="-15"/>
        </w:rPr>
        <w:t> </w:t>
      </w:r>
      <w:r>
        <w:rPr>
          <w:color w:val="231F20"/>
          <w:spacing w:val="-6"/>
        </w:rPr>
        <w:t>among</w:t>
      </w:r>
      <w:r>
        <w:rPr>
          <w:color w:val="231F20"/>
          <w:spacing w:val="-15"/>
        </w:rPr>
        <w:t> </w:t>
      </w:r>
      <w:r>
        <w:rPr>
          <w:color w:val="231F20"/>
          <w:spacing w:val="-6"/>
        </w:rPr>
        <w:t>respondents. </w:t>
      </w:r>
      <w:r>
        <w:rPr>
          <w:color w:val="231F20"/>
        </w:rPr>
        <w:t>Third,</w:t>
      </w:r>
      <w:r>
        <w:rPr>
          <w:color w:val="231F20"/>
          <w:spacing w:val="-16"/>
        </w:rPr>
        <w:t> </w:t>
      </w:r>
      <w:r>
        <w:rPr>
          <w:color w:val="231F20"/>
        </w:rPr>
        <w:t>most</w:t>
      </w:r>
      <w:r>
        <w:rPr>
          <w:color w:val="231F20"/>
          <w:spacing w:val="-16"/>
        </w:rPr>
        <w:t> </w:t>
      </w:r>
      <w:r>
        <w:rPr>
          <w:color w:val="231F20"/>
        </w:rPr>
        <w:t>LPI</w:t>
      </w:r>
      <w:r>
        <w:rPr>
          <w:color w:val="231F20"/>
          <w:spacing w:val="-16"/>
        </w:rPr>
        <w:t> </w:t>
      </w:r>
      <w:r>
        <w:rPr>
          <w:color w:val="231F20"/>
        </w:rPr>
        <w:t>components</w:t>
      </w:r>
      <w:r>
        <w:rPr>
          <w:color w:val="231F20"/>
          <w:spacing w:val="-16"/>
        </w:rPr>
        <w:t> </w:t>
      </w:r>
      <w:r>
        <w:rPr>
          <w:color w:val="231F20"/>
        </w:rPr>
        <w:t>relate</w:t>
      </w:r>
      <w:r>
        <w:rPr>
          <w:color w:val="231F20"/>
          <w:spacing w:val="-16"/>
        </w:rPr>
        <w:t> </w:t>
      </w:r>
      <w:r>
        <w:rPr>
          <w:color w:val="231F20"/>
        </w:rPr>
        <w:t>to</w:t>
      </w:r>
      <w:r>
        <w:rPr>
          <w:color w:val="231F20"/>
          <w:spacing w:val="-16"/>
        </w:rPr>
        <w:t> </w:t>
      </w:r>
      <w:r>
        <w:rPr>
          <w:color w:val="231F20"/>
        </w:rPr>
        <w:t>struc- tural</w:t>
      </w:r>
      <w:r>
        <w:rPr>
          <w:color w:val="231F20"/>
          <w:spacing w:val="-2"/>
        </w:rPr>
        <w:t> </w:t>
      </w:r>
      <w:r>
        <w:rPr>
          <w:color w:val="231F20"/>
        </w:rPr>
        <w:t>factors</w:t>
      </w:r>
      <w:r>
        <w:rPr>
          <w:color w:val="231F20"/>
          <w:spacing w:val="-2"/>
        </w:rPr>
        <w:t> </w:t>
      </w:r>
      <w:r>
        <w:rPr>
          <w:color w:val="231F20"/>
        </w:rPr>
        <w:t>that</w:t>
      </w:r>
      <w:r>
        <w:rPr>
          <w:color w:val="231F20"/>
          <w:spacing w:val="-2"/>
        </w:rPr>
        <w:t> </w:t>
      </w:r>
      <w:r>
        <w:rPr>
          <w:color w:val="231F20"/>
        </w:rPr>
        <w:t>are</w:t>
      </w:r>
      <w:r>
        <w:rPr>
          <w:color w:val="231F20"/>
          <w:spacing w:val="-2"/>
        </w:rPr>
        <w:t> </w:t>
      </w:r>
      <w:r>
        <w:rPr>
          <w:color w:val="231F20"/>
        </w:rPr>
        <w:t>not</w:t>
      </w:r>
      <w:r>
        <w:rPr>
          <w:color w:val="231F20"/>
          <w:spacing w:val="-2"/>
        </w:rPr>
        <w:t> </w:t>
      </w:r>
      <w:r>
        <w:rPr>
          <w:color w:val="231F20"/>
        </w:rPr>
        <w:t>directly</w:t>
      </w:r>
      <w:r>
        <w:rPr>
          <w:color w:val="231F20"/>
          <w:spacing w:val="-2"/>
        </w:rPr>
        <w:t> </w:t>
      </w:r>
      <w:r>
        <w:rPr>
          <w:color w:val="231F20"/>
        </w:rPr>
        <w:t>affected</w:t>
      </w:r>
      <w:r>
        <w:rPr>
          <w:color w:val="231F20"/>
          <w:spacing w:val="-2"/>
        </w:rPr>
        <w:t> </w:t>
      </w:r>
      <w:r>
        <w:rPr>
          <w:color w:val="231F20"/>
        </w:rPr>
        <w:t>by </w:t>
      </w:r>
      <w:r>
        <w:rPr>
          <w:color w:val="231F20"/>
          <w:spacing w:val="-2"/>
        </w:rPr>
        <w:t>supply</w:t>
      </w:r>
      <w:r>
        <w:rPr>
          <w:color w:val="231F20"/>
          <w:spacing w:val="-6"/>
        </w:rPr>
        <w:t> </w:t>
      </w:r>
      <w:r>
        <w:rPr>
          <w:color w:val="231F20"/>
          <w:spacing w:val="-2"/>
        </w:rPr>
        <w:t>chain</w:t>
      </w:r>
      <w:r>
        <w:rPr>
          <w:color w:val="231F20"/>
          <w:spacing w:val="-6"/>
        </w:rPr>
        <w:t> </w:t>
      </w:r>
      <w:r>
        <w:rPr>
          <w:color w:val="231F20"/>
          <w:spacing w:val="-2"/>
        </w:rPr>
        <w:t>disruptions.</w:t>
      </w:r>
      <w:r>
        <w:rPr>
          <w:color w:val="231F20"/>
          <w:spacing w:val="-6"/>
        </w:rPr>
        <w:t> </w:t>
      </w:r>
      <w:r>
        <w:rPr>
          <w:color w:val="231F20"/>
          <w:spacing w:val="-2"/>
        </w:rPr>
        <w:t>Trade</w:t>
      </w:r>
      <w:r>
        <w:rPr>
          <w:color w:val="231F20"/>
          <w:spacing w:val="-6"/>
        </w:rPr>
        <w:t> </w:t>
      </w:r>
      <w:r>
        <w:rPr>
          <w:color w:val="231F20"/>
          <w:spacing w:val="-2"/>
        </w:rPr>
        <w:t>logistics</w:t>
      </w:r>
      <w:r>
        <w:rPr>
          <w:color w:val="231F20"/>
          <w:spacing w:val="-6"/>
        </w:rPr>
        <w:t> </w:t>
      </w:r>
      <w:r>
        <w:rPr>
          <w:color w:val="231F20"/>
          <w:spacing w:val="-2"/>
        </w:rPr>
        <w:t>per- </w:t>
      </w:r>
      <w:r>
        <w:rPr>
          <w:color w:val="231F20"/>
          <w:spacing w:val="-6"/>
        </w:rPr>
        <w:t>formance</w:t>
      </w:r>
      <w:r>
        <w:rPr>
          <w:color w:val="231F20"/>
          <w:spacing w:val="-7"/>
        </w:rPr>
        <w:t> </w:t>
      </w:r>
      <w:r>
        <w:rPr>
          <w:color w:val="231F20"/>
          <w:spacing w:val="-6"/>
        </w:rPr>
        <w:t>may</w:t>
      </w:r>
      <w:r>
        <w:rPr>
          <w:color w:val="231F20"/>
          <w:spacing w:val="-7"/>
        </w:rPr>
        <w:t> </w:t>
      </w:r>
      <w:r>
        <w:rPr>
          <w:color w:val="231F20"/>
          <w:spacing w:val="-6"/>
        </w:rPr>
        <w:t>have</w:t>
      </w:r>
      <w:r>
        <w:rPr>
          <w:color w:val="231F20"/>
          <w:spacing w:val="-7"/>
        </w:rPr>
        <w:t> </w:t>
      </w:r>
      <w:r>
        <w:rPr>
          <w:color w:val="231F20"/>
          <w:spacing w:val="-6"/>
        </w:rPr>
        <w:t>improved</w:t>
      </w:r>
      <w:r>
        <w:rPr>
          <w:color w:val="231F20"/>
          <w:spacing w:val="-7"/>
        </w:rPr>
        <w:t> </w:t>
      </w:r>
      <w:r>
        <w:rPr>
          <w:color w:val="231F20"/>
          <w:spacing w:val="-6"/>
        </w:rPr>
        <w:t>due</w:t>
      </w:r>
      <w:r>
        <w:rPr>
          <w:color w:val="231F20"/>
          <w:spacing w:val="-7"/>
        </w:rPr>
        <w:t> </w:t>
      </w:r>
      <w:r>
        <w:rPr>
          <w:color w:val="231F20"/>
          <w:spacing w:val="-6"/>
        </w:rPr>
        <w:t>to</w:t>
      </w:r>
      <w:r>
        <w:rPr>
          <w:color w:val="231F20"/>
          <w:spacing w:val="-7"/>
        </w:rPr>
        <w:t> </w:t>
      </w:r>
      <w:r>
        <w:rPr>
          <w:color w:val="231F20"/>
          <w:spacing w:val="-6"/>
        </w:rPr>
        <w:t>policy</w:t>
      </w:r>
      <w:r>
        <w:rPr>
          <w:color w:val="231F20"/>
          <w:spacing w:val="-7"/>
        </w:rPr>
        <w:t> </w:t>
      </w:r>
      <w:r>
        <w:rPr>
          <w:color w:val="231F20"/>
          <w:spacing w:val="-6"/>
        </w:rPr>
        <w:t>re- forms</w:t>
      </w:r>
      <w:r>
        <w:rPr>
          <w:color w:val="231F20"/>
          <w:spacing w:val="-7"/>
        </w:rPr>
        <w:t> </w:t>
      </w:r>
      <w:r>
        <w:rPr>
          <w:color w:val="231F20"/>
          <w:spacing w:val="-6"/>
        </w:rPr>
        <w:t>and</w:t>
      </w:r>
      <w:r>
        <w:rPr>
          <w:color w:val="231F20"/>
          <w:spacing w:val="-7"/>
        </w:rPr>
        <w:t> </w:t>
      </w:r>
      <w:r>
        <w:rPr>
          <w:color w:val="231F20"/>
          <w:spacing w:val="-6"/>
        </w:rPr>
        <w:t>private</w:t>
      </w:r>
      <w:r>
        <w:rPr>
          <w:color w:val="231F20"/>
          <w:spacing w:val="-7"/>
        </w:rPr>
        <w:t> </w:t>
      </w:r>
      <w:r>
        <w:rPr>
          <w:color w:val="231F20"/>
          <w:spacing w:val="-6"/>
        </w:rPr>
        <w:t>sector</w:t>
      </w:r>
      <w:r>
        <w:rPr>
          <w:color w:val="231F20"/>
          <w:spacing w:val="-7"/>
        </w:rPr>
        <w:t> </w:t>
      </w:r>
      <w:r>
        <w:rPr>
          <w:color w:val="231F20"/>
          <w:spacing w:val="-6"/>
        </w:rPr>
        <w:t>capacity</w:t>
      </w:r>
      <w:r>
        <w:rPr>
          <w:color w:val="231F20"/>
          <w:spacing w:val="-7"/>
        </w:rPr>
        <w:t> </w:t>
      </w:r>
      <w:r>
        <w:rPr>
          <w:color w:val="231F20"/>
          <w:spacing w:val="-6"/>
        </w:rPr>
        <w:t>building</w:t>
      </w:r>
      <w:r>
        <w:rPr>
          <w:color w:val="231F20"/>
          <w:spacing w:val="-7"/>
        </w:rPr>
        <w:t> </w:t>
      </w:r>
      <w:r>
        <w:rPr>
          <w:color w:val="231F20"/>
          <w:spacing w:val="-6"/>
        </w:rPr>
        <w:t>over time, despite the constraints imposed by recent </w:t>
      </w:r>
      <w:r>
        <w:rPr>
          <w:color w:val="231F20"/>
          <w:w w:val="90"/>
        </w:rPr>
        <w:t>conditions. In other words, today’s performance should</w:t>
      </w:r>
      <w:r>
        <w:rPr>
          <w:color w:val="231F20"/>
          <w:spacing w:val="-2"/>
          <w:w w:val="90"/>
        </w:rPr>
        <w:t> </w:t>
      </w:r>
      <w:r>
        <w:rPr>
          <w:color w:val="231F20"/>
          <w:w w:val="90"/>
        </w:rPr>
        <w:t>be</w:t>
      </w:r>
      <w:r>
        <w:rPr>
          <w:color w:val="231F20"/>
          <w:spacing w:val="-2"/>
          <w:w w:val="90"/>
        </w:rPr>
        <w:t> </w:t>
      </w:r>
      <w:r>
        <w:rPr>
          <w:color w:val="231F20"/>
          <w:w w:val="90"/>
        </w:rPr>
        <w:t>higher</w:t>
      </w:r>
      <w:r>
        <w:rPr>
          <w:color w:val="231F20"/>
          <w:spacing w:val="-2"/>
          <w:w w:val="90"/>
        </w:rPr>
        <w:t> </w:t>
      </w:r>
      <w:r>
        <w:rPr>
          <w:color w:val="231F20"/>
          <w:w w:val="90"/>
        </w:rPr>
        <w:t>than</w:t>
      </w:r>
      <w:r>
        <w:rPr>
          <w:color w:val="231F20"/>
          <w:spacing w:val="-2"/>
          <w:w w:val="90"/>
        </w:rPr>
        <w:t> </w:t>
      </w:r>
      <w:r>
        <w:rPr>
          <w:color w:val="231F20"/>
          <w:w w:val="90"/>
        </w:rPr>
        <w:t>what</w:t>
      </w:r>
      <w:r>
        <w:rPr>
          <w:color w:val="231F20"/>
          <w:spacing w:val="-2"/>
          <w:w w:val="90"/>
        </w:rPr>
        <w:t> </w:t>
      </w:r>
      <w:r>
        <w:rPr>
          <w:color w:val="231F20"/>
          <w:w w:val="90"/>
        </w:rPr>
        <w:t>it</w:t>
      </w:r>
      <w:r>
        <w:rPr>
          <w:color w:val="231F20"/>
          <w:spacing w:val="-2"/>
          <w:w w:val="90"/>
        </w:rPr>
        <w:t> </w:t>
      </w:r>
      <w:r>
        <w:rPr>
          <w:color w:val="231F20"/>
          <w:w w:val="90"/>
        </w:rPr>
        <w:t>was</w:t>
      </w:r>
      <w:r>
        <w:rPr>
          <w:color w:val="231F20"/>
          <w:spacing w:val="-2"/>
          <w:w w:val="90"/>
        </w:rPr>
        <w:t> </w:t>
      </w:r>
      <w:r>
        <w:rPr>
          <w:color w:val="231F20"/>
          <w:w w:val="90"/>
        </w:rPr>
        <w:t>five</w:t>
      </w:r>
      <w:r>
        <w:rPr>
          <w:color w:val="231F20"/>
          <w:spacing w:val="-2"/>
          <w:w w:val="90"/>
        </w:rPr>
        <w:t> </w:t>
      </w:r>
      <w:r>
        <w:rPr>
          <w:color w:val="231F20"/>
          <w:w w:val="90"/>
        </w:rPr>
        <w:t>years</w:t>
      </w:r>
      <w:r>
        <w:rPr>
          <w:color w:val="231F20"/>
          <w:spacing w:val="-2"/>
          <w:w w:val="90"/>
        </w:rPr>
        <w:t> </w:t>
      </w:r>
      <w:r>
        <w:rPr>
          <w:color w:val="231F20"/>
          <w:w w:val="90"/>
        </w:rPr>
        <w:t>ago, </w:t>
      </w:r>
      <w:r>
        <w:rPr>
          <w:color w:val="231F20"/>
        </w:rPr>
        <w:t>but</w:t>
      </w:r>
      <w:r>
        <w:rPr>
          <w:color w:val="231F20"/>
          <w:spacing w:val="-11"/>
        </w:rPr>
        <w:t> </w:t>
      </w:r>
      <w:r>
        <w:rPr>
          <w:color w:val="231F20"/>
        </w:rPr>
        <w:t>the</w:t>
      </w:r>
      <w:r>
        <w:rPr>
          <w:color w:val="231F20"/>
          <w:spacing w:val="-11"/>
        </w:rPr>
        <w:t> </w:t>
      </w:r>
      <w:r>
        <w:rPr>
          <w:color w:val="231F20"/>
        </w:rPr>
        <w:t>impact</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supply</w:t>
      </w:r>
      <w:r>
        <w:rPr>
          <w:color w:val="231F20"/>
          <w:spacing w:val="-11"/>
        </w:rPr>
        <w:t> </w:t>
      </w:r>
      <w:r>
        <w:rPr>
          <w:color w:val="231F20"/>
        </w:rPr>
        <w:t>chain</w:t>
      </w:r>
      <w:r>
        <w:rPr>
          <w:color w:val="231F20"/>
          <w:spacing w:val="-11"/>
        </w:rPr>
        <w:t> </w:t>
      </w:r>
      <w:r>
        <w:rPr>
          <w:color w:val="231F20"/>
        </w:rPr>
        <w:t>crisis</w:t>
      </w:r>
      <w:r>
        <w:rPr>
          <w:color w:val="231F20"/>
          <w:spacing w:val="-11"/>
        </w:rPr>
        <w:t> </w:t>
      </w:r>
      <w:r>
        <w:rPr>
          <w:color w:val="231F20"/>
        </w:rPr>
        <w:t>may </w:t>
      </w:r>
      <w:r>
        <w:rPr>
          <w:color w:val="231F20"/>
          <w:spacing w:val="-8"/>
        </w:rPr>
        <w:t>have</w:t>
      </w:r>
      <w:r>
        <w:rPr>
          <w:color w:val="231F20"/>
          <w:spacing w:val="3"/>
        </w:rPr>
        <w:t> </w:t>
      </w:r>
      <w:r>
        <w:rPr>
          <w:color w:val="231F20"/>
          <w:spacing w:val="-8"/>
        </w:rPr>
        <w:t>prevented</w:t>
      </w:r>
      <w:r>
        <w:rPr>
          <w:color w:val="231F20"/>
          <w:spacing w:val="4"/>
        </w:rPr>
        <w:t> </w:t>
      </w:r>
      <w:r>
        <w:rPr>
          <w:color w:val="231F20"/>
          <w:spacing w:val="-8"/>
        </w:rPr>
        <w:t>some</w:t>
      </w:r>
      <w:r>
        <w:rPr>
          <w:color w:val="231F20"/>
          <w:spacing w:val="3"/>
        </w:rPr>
        <w:t> </w:t>
      </w:r>
      <w:r>
        <w:rPr>
          <w:color w:val="231F20"/>
          <w:spacing w:val="-8"/>
        </w:rPr>
        <w:t>of</w:t>
      </w:r>
      <w:r>
        <w:rPr>
          <w:color w:val="231F20"/>
          <w:spacing w:val="4"/>
        </w:rPr>
        <w:t> </w:t>
      </w:r>
      <w:r>
        <w:rPr>
          <w:color w:val="231F20"/>
          <w:spacing w:val="-8"/>
        </w:rPr>
        <w:t>this</w:t>
      </w:r>
      <w:r>
        <w:rPr>
          <w:color w:val="231F20"/>
          <w:spacing w:val="4"/>
        </w:rPr>
        <w:t> </w:t>
      </w:r>
      <w:r>
        <w:rPr>
          <w:color w:val="231F20"/>
          <w:spacing w:val="-8"/>
        </w:rPr>
        <w:t>development</w:t>
      </w:r>
      <w:r>
        <w:rPr>
          <w:color w:val="231F20"/>
          <w:spacing w:val="3"/>
        </w:rPr>
        <w:t> </w:t>
      </w:r>
      <w:r>
        <w:rPr>
          <w:color w:val="231F20"/>
          <w:spacing w:val="-8"/>
        </w:rPr>
        <w:t>from</w:t>
      </w:r>
    </w:p>
    <w:p>
      <w:pPr>
        <w:pStyle w:val="BodyText"/>
        <w:spacing w:line="229" w:lineRule="exact"/>
        <w:ind w:left="3840"/>
        <w:jc w:val="both"/>
      </w:pPr>
      <w:r>
        <w:rPr>
          <w:color w:val="231F20"/>
          <w:w w:val="90"/>
        </w:rPr>
        <w:t>showing</w:t>
      </w:r>
      <w:r>
        <w:rPr>
          <w:color w:val="231F20"/>
          <w:spacing w:val="3"/>
        </w:rPr>
        <w:t> </w:t>
      </w:r>
      <w:r>
        <w:rPr>
          <w:color w:val="231F20"/>
          <w:w w:val="90"/>
        </w:rPr>
        <w:t>up</w:t>
      </w:r>
      <w:r>
        <w:rPr>
          <w:color w:val="231F20"/>
          <w:spacing w:val="3"/>
        </w:rPr>
        <w:t> </w:t>
      </w:r>
      <w:r>
        <w:rPr>
          <w:color w:val="231F20"/>
          <w:w w:val="90"/>
        </w:rPr>
        <w:t>in</w:t>
      </w:r>
      <w:r>
        <w:rPr>
          <w:color w:val="231F20"/>
          <w:spacing w:val="3"/>
        </w:rPr>
        <w:t> </w:t>
      </w:r>
      <w:r>
        <w:rPr>
          <w:color w:val="231F20"/>
          <w:w w:val="90"/>
        </w:rPr>
        <w:t>the</w:t>
      </w:r>
      <w:r>
        <w:rPr>
          <w:color w:val="231F20"/>
          <w:spacing w:val="4"/>
        </w:rPr>
        <w:t> </w:t>
      </w:r>
      <w:r>
        <w:rPr>
          <w:color w:val="231F20"/>
          <w:w w:val="90"/>
        </w:rPr>
        <w:t>survey</w:t>
      </w:r>
      <w:r>
        <w:rPr>
          <w:color w:val="231F20"/>
          <w:spacing w:val="3"/>
        </w:rPr>
        <w:t> </w:t>
      </w:r>
      <w:r>
        <w:rPr>
          <w:color w:val="231F20"/>
          <w:spacing w:val="-4"/>
          <w:w w:val="90"/>
        </w:rPr>
        <w:t>data.</w:t>
      </w:r>
    </w:p>
    <w:p>
      <w:pPr>
        <w:pStyle w:val="BodyText"/>
        <w:spacing w:line="268" w:lineRule="auto" w:before="23"/>
        <w:ind w:left="3840" w:firstLine="300"/>
        <w:jc w:val="both"/>
      </w:pPr>
      <w:r>
        <w:rPr>
          <w:color w:val="231F20"/>
          <w:w w:val="90"/>
        </w:rPr>
        <w:t>Fourth, most shippers, logistics service pro- </w:t>
      </w:r>
      <w:r>
        <w:rPr>
          <w:color w:val="231F20"/>
        </w:rPr>
        <w:t>viders,</w:t>
      </w:r>
      <w:r>
        <w:rPr>
          <w:color w:val="231F20"/>
          <w:spacing w:val="-14"/>
        </w:rPr>
        <w:t> </w:t>
      </w:r>
      <w:r>
        <w:rPr>
          <w:color w:val="231F20"/>
        </w:rPr>
        <w:t>and</w:t>
      </w:r>
      <w:r>
        <w:rPr>
          <w:color w:val="231F20"/>
          <w:spacing w:val="-13"/>
        </w:rPr>
        <w:t> </w:t>
      </w:r>
      <w:r>
        <w:rPr>
          <w:color w:val="231F20"/>
        </w:rPr>
        <w:t>authorities</w:t>
      </w:r>
      <w:r>
        <w:rPr>
          <w:color w:val="231F20"/>
          <w:spacing w:val="-13"/>
        </w:rPr>
        <w:t> </w:t>
      </w:r>
      <w:r>
        <w:rPr>
          <w:color w:val="231F20"/>
        </w:rPr>
        <w:t>have</w:t>
      </w:r>
      <w:r>
        <w:rPr>
          <w:color w:val="231F20"/>
          <w:spacing w:val="-13"/>
        </w:rPr>
        <w:t> </w:t>
      </w:r>
      <w:r>
        <w:rPr>
          <w:color w:val="231F20"/>
        </w:rPr>
        <w:t>absorbed</w:t>
      </w:r>
      <w:r>
        <w:rPr>
          <w:color w:val="231F20"/>
          <w:spacing w:val="-13"/>
        </w:rPr>
        <w:t> </w:t>
      </w:r>
      <w:r>
        <w:rPr>
          <w:color w:val="231F20"/>
        </w:rPr>
        <w:t>the</w:t>
      </w:r>
      <w:r>
        <w:rPr>
          <w:color w:val="231F20"/>
          <w:spacing w:val="-13"/>
        </w:rPr>
        <w:t> </w:t>
      </w:r>
      <w:r>
        <w:rPr>
          <w:color w:val="231F20"/>
        </w:rPr>
        <w:t>im- </w:t>
      </w:r>
      <w:r>
        <w:rPr>
          <w:color w:val="231F20"/>
          <w:w w:val="90"/>
        </w:rPr>
        <w:t>pacts of the recent crisis well. In the big picture, trade logistics operations have been surprisingly </w:t>
      </w:r>
      <w:r>
        <w:rPr>
          <w:color w:val="231F20"/>
          <w:spacing w:val="-2"/>
        </w:rPr>
        <w:t>resilient.</w:t>
      </w:r>
    </w:p>
    <w:p>
      <w:pPr>
        <w:spacing w:line="280" w:lineRule="auto" w:before="103"/>
        <w:ind w:left="198" w:right="104" w:firstLine="0"/>
        <w:jc w:val="left"/>
        <w:rPr>
          <w:rFonts w:ascii="Arial"/>
          <w:b/>
          <w:sz w:val="20"/>
        </w:rPr>
      </w:pPr>
      <w:r>
        <w:rPr/>
        <w:br w:type="column"/>
      </w:r>
      <w:r>
        <w:rPr>
          <w:rFonts w:ascii="Arial"/>
          <w:b/>
          <w:color w:val="231F20"/>
          <w:w w:val="105"/>
          <w:sz w:val="20"/>
        </w:rPr>
        <w:t>The top and bottom performers: Performance is steady or improving, but the gap persists</w:t>
      </w:r>
    </w:p>
    <w:p>
      <w:pPr>
        <w:pStyle w:val="BodyText"/>
        <w:spacing w:before="34"/>
        <w:rPr>
          <w:rFonts w:ascii="Arial"/>
          <w:b/>
          <w:sz w:val="20"/>
        </w:rPr>
      </w:pPr>
    </w:p>
    <w:p>
      <w:pPr>
        <w:pStyle w:val="BodyText"/>
        <w:spacing w:line="268" w:lineRule="auto" w:before="1"/>
        <w:ind w:left="198" w:right="176"/>
        <w:jc w:val="both"/>
      </w:pPr>
      <w:r>
        <w:rPr>
          <w:color w:val="231F20"/>
          <w:spacing w:val="-2"/>
        </w:rPr>
        <w:t>Since</w:t>
      </w:r>
      <w:r>
        <w:rPr>
          <w:color w:val="231F20"/>
          <w:spacing w:val="-10"/>
        </w:rPr>
        <w:t> </w:t>
      </w:r>
      <w:r>
        <w:rPr>
          <w:color w:val="231F20"/>
          <w:spacing w:val="-2"/>
        </w:rPr>
        <w:t>the</w:t>
      </w:r>
      <w:r>
        <w:rPr>
          <w:color w:val="231F20"/>
          <w:spacing w:val="-10"/>
        </w:rPr>
        <w:t> </w:t>
      </w:r>
      <w:r>
        <w:rPr>
          <w:color w:val="231F20"/>
          <w:spacing w:val="-2"/>
        </w:rPr>
        <w:t>2018</w:t>
      </w:r>
      <w:r>
        <w:rPr>
          <w:color w:val="231F20"/>
          <w:spacing w:val="-10"/>
        </w:rPr>
        <w:t> </w:t>
      </w:r>
      <w:r>
        <w:rPr>
          <w:color w:val="231F20"/>
          <w:spacing w:val="-2"/>
        </w:rPr>
        <w:t>LPI,</w:t>
      </w:r>
      <w:r>
        <w:rPr>
          <w:color w:val="231F20"/>
          <w:spacing w:val="-10"/>
        </w:rPr>
        <w:t> </w:t>
      </w:r>
      <w:r>
        <w:rPr>
          <w:color w:val="231F20"/>
          <w:spacing w:val="-2"/>
        </w:rPr>
        <w:t>global</w:t>
      </w:r>
      <w:r>
        <w:rPr>
          <w:color w:val="231F20"/>
          <w:spacing w:val="-10"/>
        </w:rPr>
        <w:t> </w:t>
      </w:r>
      <w:r>
        <w:rPr>
          <w:color w:val="231F20"/>
          <w:spacing w:val="-2"/>
        </w:rPr>
        <w:t>logistics</w:t>
      </w:r>
      <w:r>
        <w:rPr>
          <w:color w:val="231F20"/>
          <w:spacing w:val="-10"/>
        </w:rPr>
        <w:t> </w:t>
      </w:r>
      <w:r>
        <w:rPr>
          <w:color w:val="231F20"/>
          <w:spacing w:val="-2"/>
        </w:rPr>
        <w:t>networks have</w:t>
      </w:r>
      <w:r>
        <w:rPr>
          <w:color w:val="231F20"/>
          <w:spacing w:val="-5"/>
        </w:rPr>
        <w:t> </w:t>
      </w:r>
      <w:r>
        <w:rPr>
          <w:color w:val="231F20"/>
          <w:spacing w:val="-2"/>
        </w:rPr>
        <w:t>experienced</w:t>
      </w:r>
      <w:r>
        <w:rPr>
          <w:color w:val="231F20"/>
          <w:spacing w:val="-5"/>
        </w:rPr>
        <w:t> </w:t>
      </w:r>
      <w:r>
        <w:rPr>
          <w:color w:val="231F20"/>
          <w:spacing w:val="-2"/>
        </w:rPr>
        <w:t>unprecedented</w:t>
      </w:r>
      <w:r>
        <w:rPr>
          <w:color w:val="231F20"/>
          <w:spacing w:val="-5"/>
        </w:rPr>
        <w:t> </w:t>
      </w:r>
      <w:r>
        <w:rPr>
          <w:color w:val="231F20"/>
          <w:spacing w:val="-2"/>
        </w:rPr>
        <w:t>disruptions, </w:t>
      </w:r>
      <w:r>
        <w:rPr>
          <w:color w:val="231F20"/>
          <w:w w:val="90"/>
        </w:rPr>
        <w:t>and the operational environment in logistics has grown more complex. Yet logistics performance </w:t>
      </w:r>
      <w:r>
        <w:rPr>
          <w:color w:val="231F20"/>
          <w:spacing w:val="-6"/>
        </w:rPr>
        <w:t>in 2022, as measured by LPI scores for the 139 </w:t>
      </w:r>
      <w:r>
        <w:rPr>
          <w:color w:val="231F20"/>
          <w:spacing w:val="-8"/>
        </w:rPr>
        <w:t>countries</w:t>
      </w:r>
      <w:r>
        <w:rPr>
          <w:color w:val="231F20"/>
        </w:rPr>
        <w:t> </w:t>
      </w:r>
      <w:r>
        <w:rPr>
          <w:color w:val="231F20"/>
          <w:spacing w:val="-8"/>
        </w:rPr>
        <w:t>covered,</w:t>
      </w:r>
      <w:r>
        <w:rPr>
          <w:color w:val="231F20"/>
        </w:rPr>
        <w:t> </w:t>
      </w:r>
      <w:r>
        <w:rPr>
          <w:color w:val="231F20"/>
          <w:spacing w:val="-8"/>
        </w:rPr>
        <w:t>remained</w:t>
      </w:r>
      <w:r>
        <w:rPr>
          <w:color w:val="231F20"/>
        </w:rPr>
        <w:t> </w:t>
      </w:r>
      <w:r>
        <w:rPr>
          <w:color w:val="231F20"/>
          <w:spacing w:val="-8"/>
        </w:rPr>
        <w:t>stable</w:t>
      </w:r>
      <w:r>
        <w:rPr>
          <w:color w:val="231F20"/>
        </w:rPr>
        <w:t> </w:t>
      </w:r>
      <w:r>
        <w:rPr>
          <w:color w:val="231F20"/>
          <w:spacing w:val="-8"/>
        </w:rPr>
        <w:t>or</w:t>
      </w:r>
      <w:r>
        <w:rPr>
          <w:color w:val="231F20"/>
        </w:rPr>
        <w:t> </w:t>
      </w:r>
      <w:r>
        <w:rPr>
          <w:color w:val="231F20"/>
          <w:spacing w:val="-8"/>
        </w:rPr>
        <w:t>improved </w:t>
      </w:r>
      <w:r>
        <w:rPr>
          <w:color w:val="231F20"/>
          <w:spacing w:val="-4"/>
        </w:rPr>
        <w:t>slightly.</w:t>
      </w:r>
      <w:r>
        <w:rPr>
          <w:color w:val="231F20"/>
          <w:spacing w:val="-10"/>
        </w:rPr>
        <w:t> </w:t>
      </w:r>
      <w:r>
        <w:rPr>
          <w:color w:val="231F20"/>
          <w:spacing w:val="-4"/>
        </w:rPr>
        <w:t>At</w:t>
      </w:r>
      <w:r>
        <w:rPr>
          <w:color w:val="231F20"/>
          <w:spacing w:val="-9"/>
        </w:rPr>
        <w:t> </w:t>
      </w:r>
      <w:r>
        <w:rPr>
          <w:color w:val="231F20"/>
          <w:spacing w:val="-4"/>
        </w:rPr>
        <w:t>the</w:t>
      </w:r>
      <w:r>
        <w:rPr>
          <w:color w:val="231F20"/>
          <w:spacing w:val="-9"/>
        </w:rPr>
        <w:t> </w:t>
      </w:r>
      <w:r>
        <w:rPr>
          <w:color w:val="231F20"/>
          <w:spacing w:val="-4"/>
        </w:rPr>
        <w:t>same</w:t>
      </w:r>
      <w:r>
        <w:rPr>
          <w:color w:val="231F20"/>
          <w:spacing w:val="-9"/>
        </w:rPr>
        <w:t> </w:t>
      </w:r>
      <w:r>
        <w:rPr>
          <w:color w:val="231F20"/>
          <w:spacing w:val="-4"/>
        </w:rPr>
        <w:t>time,</w:t>
      </w:r>
      <w:r>
        <w:rPr>
          <w:color w:val="231F20"/>
          <w:spacing w:val="-9"/>
        </w:rPr>
        <w:t> </w:t>
      </w:r>
      <w:r>
        <w:rPr>
          <w:color w:val="231F20"/>
          <w:spacing w:val="-4"/>
        </w:rPr>
        <w:t>the</w:t>
      </w:r>
      <w:r>
        <w:rPr>
          <w:color w:val="231F20"/>
          <w:spacing w:val="-9"/>
        </w:rPr>
        <w:t> </w:t>
      </w:r>
      <w:r>
        <w:rPr>
          <w:color w:val="231F20"/>
          <w:spacing w:val="-4"/>
        </w:rPr>
        <w:t>gap</w:t>
      </w:r>
      <w:r>
        <w:rPr>
          <w:color w:val="231F20"/>
          <w:spacing w:val="-9"/>
        </w:rPr>
        <w:t> </w:t>
      </w:r>
      <w:r>
        <w:rPr>
          <w:color w:val="231F20"/>
          <w:spacing w:val="-4"/>
        </w:rPr>
        <w:t>between</w:t>
      </w:r>
      <w:r>
        <w:rPr>
          <w:color w:val="231F20"/>
          <w:spacing w:val="-9"/>
        </w:rPr>
        <w:t> </w:t>
      </w:r>
      <w:r>
        <w:rPr>
          <w:color w:val="231F20"/>
          <w:spacing w:val="-4"/>
        </w:rPr>
        <w:t>the </w:t>
      </w:r>
      <w:r>
        <w:rPr>
          <w:color w:val="231F20"/>
        </w:rPr>
        <w:t>top</w:t>
      </w:r>
      <w:r>
        <w:rPr>
          <w:color w:val="231F20"/>
          <w:spacing w:val="-13"/>
        </w:rPr>
        <w:t> </w:t>
      </w:r>
      <w:r>
        <w:rPr>
          <w:color w:val="231F20"/>
        </w:rPr>
        <w:t>and</w:t>
      </w:r>
      <w:r>
        <w:rPr>
          <w:color w:val="231F20"/>
          <w:spacing w:val="-13"/>
        </w:rPr>
        <w:t> </w:t>
      </w:r>
      <w:r>
        <w:rPr>
          <w:color w:val="231F20"/>
        </w:rPr>
        <w:t>bottom</w:t>
      </w:r>
      <w:r>
        <w:rPr>
          <w:color w:val="231F20"/>
          <w:spacing w:val="-13"/>
        </w:rPr>
        <w:t> </w:t>
      </w:r>
      <w:r>
        <w:rPr>
          <w:color w:val="231F20"/>
        </w:rPr>
        <w:t>performers</w:t>
      </w:r>
      <w:r>
        <w:rPr>
          <w:color w:val="231F20"/>
          <w:spacing w:val="-13"/>
        </w:rPr>
        <w:t> </w:t>
      </w:r>
      <w:r>
        <w:rPr>
          <w:color w:val="231F20"/>
        </w:rPr>
        <w:t>widened</w:t>
      </w:r>
      <w:r>
        <w:rPr>
          <w:color w:val="231F20"/>
          <w:spacing w:val="-13"/>
        </w:rPr>
        <w:t> </w:t>
      </w:r>
      <w:r>
        <w:rPr>
          <w:color w:val="231F20"/>
        </w:rPr>
        <w:t>slightly, </w:t>
      </w:r>
      <w:r>
        <w:rPr>
          <w:color w:val="231F20"/>
          <w:spacing w:val="-6"/>
        </w:rPr>
        <w:t>as measured by average LPI scores by quintile. </w:t>
      </w:r>
      <w:r>
        <w:rPr>
          <w:color w:val="231F20"/>
          <w:w w:val="90"/>
        </w:rPr>
        <w:t>Thus the fundamental messages of previous edi- </w:t>
      </w:r>
      <w:r>
        <w:rPr>
          <w:color w:val="231F20"/>
        </w:rPr>
        <w:t>tions hold true.</w:t>
      </w:r>
    </w:p>
    <w:p>
      <w:pPr>
        <w:pStyle w:val="BodyText"/>
        <w:spacing w:line="268" w:lineRule="auto"/>
        <w:ind w:left="198" w:right="171" w:firstLine="300"/>
        <w:jc w:val="both"/>
      </w:pPr>
      <w:r>
        <w:rPr>
          <w:color w:val="231F20"/>
        </w:rPr>
        <w:t>Countries in the bottom performance quintile</w:t>
      </w:r>
      <w:r>
        <w:rPr>
          <w:color w:val="231F20"/>
          <w:spacing w:val="-2"/>
        </w:rPr>
        <w:t> </w:t>
      </w:r>
      <w:r>
        <w:rPr>
          <w:color w:val="231F20"/>
        </w:rPr>
        <w:t>still</w:t>
      </w:r>
      <w:r>
        <w:rPr>
          <w:color w:val="231F20"/>
          <w:spacing w:val="-2"/>
        </w:rPr>
        <w:t> </w:t>
      </w:r>
      <w:r>
        <w:rPr>
          <w:color w:val="231F20"/>
        </w:rPr>
        <w:t>need</w:t>
      </w:r>
      <w:r>
        <w:rPr>
          <w:color w:val="231F20"/>
          <w:spacing w:val="-2"/>
        </w:rPr>
        <w:t> </w:t>
      </w:r>
      <w:r>
        <w:rPr>
          <w:color w:val="231F20"/>
        </w:rPr>
        <w:t>core</w:t>
      </w:r>
      <w:r>
        <w:rPr>
          <w:color w:val="231F20"/>
          <w:spacing w:val="-2"/>
        </w:rPr>
        <w:t> </w:t>
      </w:r>
      <w:r>
        <w:rPr>
          <w:color w:val="231F20"/>
        </w:rPr>
        <w:t>reforms</w:t>
      </w:r>
      <w:r>
        <w:rPr>
          <w:color w:val="231F20"/>
          <w:spacing w:val="-2"/>
        </w:rPr>
        <w:t> </w:t>
      </w:r>
      <w:r>
        <w:rPr>
          <w:color w:val="231F20"/>
        </w:rPr>
        <w:t>and</w:t>
      </w:r>
      <w:r>
        <w:rPr>
          <w:color w:val="231F20"/>
          <w:spacing w:val="-2"/>
        </w:rPr>
        <w:t> </w:t>
      </w:r>
      <w:r>
        <w:rPr>
          <w:color w:val="231F20"/>
        </w:rPr>
        <w:t>modern- ization,</w:t>
      </w:r>
      <w:r>
        <w:rPr>
          <w:color w:val="231F20"/>
          <w:spacing w:val="-7"/>
        </w:rPr>
        <w:t> </w:t>
      </w:r>
      <w:r>
        <w:rPr>
          <w:color w:val="231F20"/>
        </w:rPr>
        <w:t>especially</w:t>
      </w:r>
      <w:r>
        <w:rPr>
          <w:color w:val="231F20"/>
          <w:spacing w:val="-7"/>
        </w:rPr>
        <w:t> </w:t>
      </w:r>
      <w:r>
        <w:rPr>
          <w:color w:val="231F20"/>
        </w:rPr>
        <w:t>in</w:t>
      </w:r>
      <w:r>
        <w:rPr>
          <w:color w:val="231F20"/>
          <w:spacing w:val="-7"/>
        </w:rPr>
        <w:t> </w:t>
      </w:r>
      <w:r>
        <w:rPr>
          <w:color w:val="231F20"/>
        </w:rPr>
        <w:t>soft</w:t>
      </w:r>
      <w:r>
        <w:rPr>
          <w:color w:val="231F20"/>
          <w:spacing w:val="-7"/>
        </w:rPr>
        <w:t> </w:t>
      </w:r>
      <w:r>
        <w:rPr>
          <w:color w:val="231F20"/>
        </w:rPr>
        <w:t>infrastructure</w:t>
      </w:r>
      <w:r>
        <w:rPr>
          <w:color w:val="231F20"/>
          <w:spacing w:val="-7"/>
        </w:rPr>
        <w:t> </w:t>
      </w:r>
      <w:r>
        <w:rPr>
          <w:color w:val="231F20"/>
        </w:rPr>
        <w:t>such </w:t>
      </w:r>
      <w:r>
        <w:rPr>
          <w:color w:val="231F20"/>
          <w:spacing w:val="-6"/>
        </w:rPr>
        <w:t>as customs and border management and opera- </w:t>
      </w:r>
      <w:r>
        <w:rPr>
          <w:color w:val="231F20"/>
          <w:spacing w:val="-4"/>
        </w:rPr>
        <w:t>tional</w:t>
      </w:r>
      <w:r>
        <w:rPr>
          <w:color w:val="231F20"/>
          <w:spacing w:val="-9"/>
        </w:rPr>
        <w:t> </w:t>
      </w:r>
      <w:r>
        <w:rPr>
          <w:color w:val="231F20"/>
          <w:spacing w:val="-4"/>
        </w:rPr>
        <w:t>procedures</w:t>
      </w:r>
      <w:r>
        <w:rPr>
          <w:color w:val="231F20"/>
          <w:spacing w:val="-9"/>
        </w:rPr>
        <w:t> </w:t>
      </w:r>
      <w:r>
        <w:rPr>
          <w:color w:val="231F20"/>
          <w:spacing w:val="-4"/>
        </w:rPr>
        <w:t>in</w:t>
      </w:r>
      <w:r>
        <w:rPr>
          <w:color w:val="231F20"/>
          <w:spacing w:val="-9"/>
        </w:rPr>
        <w:t> </w:t>
      </w:r>
      <w:r>
        <w:rPr>
          <w:color w:val="231F20"/>
          <w:spacing w:val="-4"/>
        </w:rPr>
        <w:t>ports.</w:t>
      </w:r>
      <w:r>
        <w:rPr>
          <w:color w:val="231F20"/>
          <w:spacing w:val="-9"/>
        </w:rPr>
        <w:t> </w:t>
      </w:r>
      <w:r>
        <w:rPr>
          <w:color w:val="231F20"/>
          <w:spacing w:val="-4"/>
        </w:rPr>
        <w:t>Investments</w:t>
      </w:r>
      <w:r>
        <w:rPr>
          <w:color w:val="231F20"/>
          <w:spacing w:val="-9"/>
        </w:rPr>
        <w:t> </w:t>
      </w:r>
      <w:r>
        <w:rPr>
          <w:color w:val="231F20"/>
          <w:spacing w:val="-4"/>
        </w:rPr>
        <w:t>in</w:t>
      </w:r>
      <w:r>
        <w:rPr>
          <w:color w:val="231F20"/>
          <w:spacing w:val="-9"/>
        </w:rPr>
        <w:t> </w:t>
      </w:r>
      <w:r>
        <w:rPr>
          <w:color w:val="231F20"/>
          <w:spacing w:val="-4"/>
        </w:rPr>
        <w:t>hard </w:t>
      </w:r>
      <w:r>
        <w:rPr>
          <w:color w:val="231F20"/>
        </w:rPr>
        <w:t>transport</w:t>
      </w:r>
      <w:r>
        <w:rPr>
          <w:color w:val="231F20"/>
          <w:spacing w:val="-14"/>
        </w:rPr>
        <w:t> </w:t>
      </w:r>
      <w:r>
        <w:rPr>
          <w:color w:val="231F20"/>
        </w:rPr>
        <w:t>infrastructure</w:t>
      </w:r>
      <w:r>
        <w:rPr>
          <w:color w:val="231F20"/>
          <w:spacing w:val="-13"/>
        </w:rPr>
        <w:t> </w:t>
      </w:r>
      <w:r>
        <w:rPr>
          <w:color w:val="231F20"/>
        </w:rPr>
        <w:t>are</w:t>
      </w:r>
      <w:r>
        <w:rPr>
          <w:color w:val="231F20"/>
          <w:spacing w:val="-13"/>
        </w:rPr>
        <w:t> </w:t>
      </w:r>
      <w:r>
        <w:rPr>
          <w:color w:val="231F20"/>
        </w:rPr>
        <w:t>also</w:t>
      </w:r>
      <w:r>
        <w:rPr>
          <w:color w:val="231F20"/>
          <w:spacing w:val="-13"/>
        </w:rPr>
        <w:t> </w:t>
      </w:r>
      <w:r>
        <w:rPr>
          <w:color w:val="231F20"/>
        </w:rPr>
        <w:t>needed—but </w:t>
      </w:r>
      <w:r>
        <w:rPr>
          <w:color w:val="231F20"/>
          <w:spacing w:val="-2"/>
        </w:rPr>
        <w:t>they</w:t>
      </w:r>
      <w:r>
        <w:rPr>
          <w:color w:val="231F20"/>
          <w:spacing w:val="-8"/>
        </w:rPr>
        <w:t> </w:t>
      </w:r>
      <w:r>
        <w:rPr>
          <w:color w:val="231F20"/>
          <w:spacing w:val="-2"/>
        </w:rPr>
        <w:t>must</w:t>
      </w:r>
      <w:r>
        <w:rPr>
          <w:color w:val="231F20"/>
          <w:spacing w:val="-8"/>
        </w:rPr>
        <w:t> </w:t>
      </w:r>
      <w:r>
        <w:rPr>
          <w:color w:val="231F20"/>
          <w:spacing w:val="-2"/>
        </w:rPr>
        <w:t>be</w:t>
      </w:r>
      <w:r>
        <w:rPr>
          <w:color w:val="231F20"/>
          <w:spacing w:val="-8"/>
        </w:rPr>
        <w:t> </w:t>
      </w:r>
      <w:r>
        <w:rPr>
          <w:color w:val="231F20"/>
          <w:spacing w:val="-2"/>
        </w:rPr>
        <w:t>aligned</w:t>
      </w:r>
      <w:r>
        <w:rPr>
          <w:color w:val="231F20"/>
          <w:spacing w:val="-8"/>
        </w:rPr>
        <w:t> </w:t>
      </w:r>
      <w:r>
        <w:rPr>
          <w:color w:val="231F20"/>
          <w:spacing w:val="-2"/>
        </w:rPr>
        <w:t>with</w:t>
      </w:r>
      <w:r>
        <w:rPr>
          <w:color w:val="231F20"/>
          <w:spacing w:val="-8"/>
        </w:rPr>
        <w:t> </w:t>
      </w:r>
      <w:r>
        <w:rPr>
          <w:color w:val="231F20"/>
          <w:spacing w:val="-2"/>
        </w:rPr>
        <w:t>the</w:t>
      </w:r>
      <w:r>
        <w:rPr>
          <w:color w:val="231F20"/>
          <w:spacing w:val="-8"/>
        </w:rPr>
        <w:t> </w:t>
      </w:r>
      <w:r>
        <w:rPr>
          <w:color w:val="231F20"/>
          <w:spacing w:val="-2"/>
        </w:rPr>
        <w:t>reforms</w:t>
      </w:r>
      <w:r>
        <w:rPr>
          <w:color w:val="231F20"/>
          <w:spacing w:val="-8"/>
        </w:rPr>
        <w:t> </w:t>
      </w:r>
      <w:r>
        <w:rPr>
          <w:color w:val="231F20"/>
          <w:spacing w:val="-2"/>
        </w:rPr>
        <w:t>and</w:t>
      </w:r>
      <w:r>
        <w:rPr>
          <w:color w:val="231F20"/>
          <w:spacing w:val="-8"/>
        </w:rPr>
        <w:t> </w:t>
      </w:r>
      <w:r>
        <w:rPr>
          <w:color w:val="231F20"/>
          <w:spacing w:val="-2"/>
        </w:rPr>
        <w:t>in- vestments</w:t>
      </w:r>
      <w:r>
        <w:rPr>
          <w:color w:val="231F20"/>
          <w:spacing w:val="-12"/>
        </w:rPr>
        <w:t> </w:t>
      </w:r>
      <w:r>
        <w:rPr>
          <w:color w:val="231F20"/>
          <w:spacing w:val="-2"/>
        </w:rPr>
        <w:t>in</w:t>
      </w:r>
      <w:r>
        <w:rPr>
          <w:color w:val="231F20"/>
          <w:spacing w:val="-11"/>
        </w:rPr>
        <w:t> </w:t>
      </w:r>
      <w:r>
        <w:rPr>
          <w:color w:val="231F20"/>
          <w:spacing w:val="-2"/>
        </w:rPr>
        <w:t>soft</w:t>
      </w:r>
      <w:r>
        <w:rPr>
          <w:color w:val="231F20"/>
          <w:spacing w:val="-11"/>
        </w:rPr>
        <w:t> </w:t>
      </w:r>
      <w:r>
        <w:rPr>
          <w:color w:val="231F20"/>
          <w:spacing w:val="-2"/>
        </w:rPr>
        <w:t>infrastructure</w:t>
      </w:r>
      <w:r>
        <w:rPr>
          <w:color w:val="231F20"/>
          <w:spacing w:val="-11"/>
        </w:rPr>
        <w:t> </w:t>
      </w:r>
      <w:r>
        <w:rPr>
          <w:color w:val="231F20"/>
          <w:spacing w:val="-2"/>
        </w:rPr>
        <w:t>to</w:t>
      </w:r>
      <w:r>
        <w:rPr>
          <w:color w:val="231F20"/>
          <w:spacing w:val="-11"/>
        </w:rPr>
        <w:t> </w:t>
      </w:r>
      <w:r>
        <w:rPr>
          <w:color w:val="231F20"/>
          <w:spacing w:val="-2"/>
        </w:rPr>
        <w:t>improve</w:t>
      </w:r>
      <w:r>
        <w:rPr>
          <w:color w:val="231F20"/>
          <w:spacing w:val="-11"/>
        </w:rPr>
        <w:t> </w:t>
      </w:r>
      <w:r>
        <w:rPr>
          <w:color w:val="231F20"/>
          <w:spacing w:val="-2"/>
        </w:rPr>
        <w:t>lo- </w:t>
      </w:r>
      <w:r>
        <w:rPr>
          <w:color w:val="231F20"/>
        </w:rPr>
        <w:t>gistics</w:t>
      </w:r>
      <w:r>
        <w:rPr>
          <w:color w:val="231F20"/>
          <w:spacing w:val="-14"/>
        </w:rPr>
        <w:t> </w:t>
      </w:r>
      <w:r>
        <w:rPr>
          <w:color w:val="231F20"/>
        </w:rPr>
        <w:t>performance.</w:t>
      </w:r>
    </w:p>
    <w:p>
      <w:pPr>
        <w:pStyle w:val="BodyText"/>
        <w:spacing w:line="268" w:lineRule="auto"/>
        <w:ind w:left="198" w:right="170" w:firstLine="300"/>
        <w:jc w:val="both"/>
      </w:pPr>
      <w:r>
        <w:rPr>
          <w:color w:val="231F20"/>
        </w:rPr>
        <w:t>Countries in the middle performance quintile</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second</w:t>
      </w:r>
      <w:r>
        <w:rPr>
          <w:color w:val="231F20"/>
          <w:spacing w:val="-6"/>
        </w:rPr>
        <w:t> </w:t>
      </w:r>
      <w:r>
        <w:rPr>
          <w:color w:val="231F20"/>
        </w:rPr>
        <w:t>quintile</w:t>
      </w:r>
      <w:r>
        <w:rPr>
          <w:color w:val="231F20"/>
          <w:spacing w:val="-6"/>
        </w:rPr>
        <w:t> </w:t>
      </w:r>
      <w:r>
        <w:rPr>
          <w:color w:val="231F20"/>
        </w:rPr>
        <w:t>from</w:t>
      </w:r>
      <w:r>
        <w:rPr>
          <w:color w:val="231F20"/>
          <w:spacing w:val="-6"/>
        </w:rPr>
        <w:t> </w:t>
      </w:r>
      <w:r>
        <w:rPr>
          <w:color w:val="231F20"/>
        </w:rPr>
        <w:t>the</w:t>
      </w:r>
      <w:r>
        <w:rPr>
          <w:color w:val="231F20"/>
          <w:spacing w:val="-6"/>
        </w:rPr>
        <w:t> </w:t>
      </w:r>
      <w:r>
        <w:rPr>
          <w:color w:val="231F20"/>
        </w:rPr>
        <w:t>top </w:t>
      </w:r>
      <w:r>
        <w:rPr>
          <w:color w:val="231F20"/>
          <w:spacing w:val="-4"/>
        </w:rPr>
        <w:t>likely</w:t>
      </w:r>
      <w:r>
        <w:rPr>
          <w:color w:val="231F20"/>
          <w:spacing w:val="-10"/>
        </w:rPr>
        <w:t> </w:t>
      </w:r>
      <w:r>
        <w:rPr>
          <w:color w:val="231F20"/>
          <w:spacing w:val="-4"/>
        </w:rPr>
        <w:t>face</w:t>
      </w:r>
      <w:r>
        <w:rPr>
          <w:color w:val="231F20"/>
          <w:spacing w:val="-9"/>
        </w:rPr>
        <w:t> </w:t>
      </w:r>
      <w:r>
        <w:rPr>
          <w:color w:val="231F20"/>
          <w:spacing w:val="-4"/>
        </w:rPr>
        <w:t>the</w:t>
      </w:r>
      <w:r>
        <w:rPr>
          <w:color w:val="231F20"/>
          <w:spacing w:val="-9"/>
        </w:rPr>
        <w:t> </w:t>
      </w:r>
      <w:r>
        <w:rPr>
          <w:color w:val="231F20"/>
          <w:spacing w:val="-4"/>
        </w:rPr>
        <w:t>most</w:t>
      </w:r>
      <w:r>
        <w:rPr>
          <w:color w:val="231F20"/>
          <w:spacing w:val="-9"/>
        </w:rPr>
        <w:t> </w:t>
      </w:r>
      <w:r>
        <w:rPr>
          <w:color w:val="231F20"/>
          <w:spacing w:val="-4"/>
        </w:rPr>
        <w:t>challenging</w:t>
      </w:r>
      <w:r>
        <w:rPr>
          <w:color w:val="231F20"/>
          <w:spacing w:val="-9"/>
        </w:rPr>
        <w:t> </w:t>
      </w:r>
      <w:r>
        <w:rPr>
          <w:color w:val="231F20"/>
          <w:spacing w:val="-4"/>
        </w:rPr>
        <w:t>policy</w:t>
      </w:r>
      <w:r>
        <w:rPr>
          <w:color w:val="231F20"/>
          <w:spacing w:val="-9"/>
        </w:rPr>
        <w:t> </w:t>
      </w:r>
      <w:r>
        <w:rPr>
          <w:color w:val="231F20"/>
          <w:spacing w:val="-4"/>
        </w:rPr>
        <w:t>agenda </w:t>
      </w:r>
      <w:r>
        <w:rPr>
          <w:color w:val="231F20"/>
          <w:w w:val="90"/>
        </w:rPr>
        <w:t>in</w:t>
      </w:r>
      <w:r>
        <w:rPr>
          <w:color w:val="231F20"/>
          <w:spacing w:val="-6"/>
          <w:w w:val="90"/>
        </w:rPr>
        <w:t> </w:t>
      </w:r>
      <w:r>
        <w:rPr>
          <w:color w:val="231F20"/>
          <w:w w:val="90"/>
        </w:rPr>
        <w:t>view</w:t>
      </w:r>
      <w:r>
        <w:rPr>
          <w:color w:val="231F20"/>
          <w:spacing w:val="-6"/>
          <w:w w:val="90"/>
        </w:rPr>
        <w:t> </w:t>
      </w:r>
      <w:r>
        <w:rPr>
          <w:color w:val="231F20"/>
          <w:w w:val="90"/>
        </w:rPr>
        <w:t>of</w:t>
      </w:r>
      <w:r>
        <w:rPr>
          <w:color w:val="231F20"/>
          <w:spacing w:val="-6"/>
          <w:w w:val="90"/>
        </w:rPr>
        <w:t> </w:t>
      </w:r>
      <w:r>
        <w:rPr>
          <w:color w:val="231F20"/>
          <w:w w:val="90"/>
        </w:rPr>
        <w:t>their</w:t>
      </w:r>
      <w:r>
        <w:rPr>
          <w:color w:val="231F20"/>
          <w:spacing w:val="-6"/>
          <w:w w:val="90"/>
        </w:rPr>
        <w:t> </w:t>
      </w:r>
      <w:r>
        <w:rPr>
          <w:color w:val="231F20"/>
          <w:w w:val="90"/>
        </w:rPr>
        <w:t>available</w:t>
      </w:r>
      <w:r>
        <w:rPr>
          <w:color w:val="231F20"/>
          <w:spacing w:val="-6"/>
          <w:w w:val="90"/>
        </w:rPr>
        <w:t> </w:t>
      </w:r>
      <w:r>
        <w:rPr>
          <w:color w:val="231F20"/>
          <w:w w:val="90"/>
        </w:rPr>
        <w:t>resources.</w:t>
      </w:r>
      <w:r>
        <w:rPr>
          <w:color w:val="231F20"/>
          <w:spacing w:val="-6"/>
          <w:w w:val="90"/>
        </w:rPr>
        <w:t> </w:t>
      </w:r>
      <w:r>
        <w:rPr>
          <w:color w:val="231F20"/>
          <w:w w:val="90"/>
        </w:rPr>
        <w:t>They</w:t>
      </w:r>
      <w:r>
        <w:rPr>
          <w:color w:val="231F20"/>
          <w:spacing w:val="-6"/>
          <w:w w:val="90"/>
        </w:rPr>
        <w:t> </w:t>
      </w:r>
      <w:r>
        <w:rPr>
          <w:color w:val="231F20"/>
          <w:w w:val="90"/>
        </w:rPr>
        <w:t>need</w:t>
      </w:r>
      <w:r>
        <w:rPr>
          <w:color w:val="231F20"/>
          <w:spacing w:val="-6"/>
          <w:w w:val="90"/>
        </w:rPr>
        <w:t> </w:t>
      </w:r>
      <w:r>
        <w:rPr>
          <w:color w:val="231F20"/>
          <w:w w:val="90"/>
        </w:rPr>
        <w:t>to </w:t>
      </w:r>
      <w:r>
        <w:rPr>
          <w:color w:val="231F20"/>
          <w:spacing w:val="-6"/>
        </w:rPr>
        <w:t>reconcile the need for consistency and depth of reforms</w:t>
      </w:r>
      <w:r>
        <w:rPr>
          <w:color w:val="231F20"/>
          <w:spacing w:val="-7"/>
        </w:rPr>
        <w:t> </w:t>
      </w:r>
      <w:r>
        <w:rPr>
          <w:color w:val="231F20"/>
          <w:spacing w:val="-6"/>
        </w:rPr>
        <w:t>with</w:t>
      </w:r>
      <w:r>
        <w:rPr>
          <w:color w:val="231F20"/>
          <w:spacing w:val="-7"/>
        </w:rPr>
        <w:t> </w:t>
      </w:r>
      <w:r>
        <w:rPr>
          <w:color w:val="231F20"/>
          <w:spacing w:val="-6"/>
        </w:rPr>
        <w:t>a</w:t>
      </w:r>
      <w:r>
        <w:rPr>
          <w:color w:val="231F20"/>
          <w:spacing w:val="-7"/>
        </w:rPr>
        <w:t> </w:t>
      </w:r>
      <w:r>
        <w:rPr>
          <w:color w:val="231F20"/>
          <w:spacing w:val="-6"/>
        </w:rPr>
        <w:t>set</w:t>
      </w:r>
      <w:r>
        <w:rPr>
          <w:color w:val="231F20"/>
          <w:spacing w:val="-7"/>
        </w:rPr>
        <w:t> </w:t>
      </w:r>
      <w:r>
        <w:rPr>
          <w:color w:val="231F20"/>
          <w:spacing w:val="-6"/>
        </w:rPr>
        <w:t>of</w:t>
      </w:r>
      <w:r>
        <w:rPr>
          <w:color w:val="231F20"/>
          <w:spacing w:val="-7"/>
        </w:rPr>
        <w:t> </w:t>
      </w:r>
      <w:r>
        <w:rPr>
          <w:color w:val="231F20"/>
          <w:spacing w:val="-6"/>
        </w:rPr>
        <w:t>priorities</w:t>
      </w:r>
      <w:r>
        <w:rPr>
          <w:color w:val="231F20"/>
          <w:spacing w:val="-7"/>
        </w:rPr>
        <w:t> </w:t>
      </w:r>
      <w:r>
        <w:rPr>
          <w:color w:val="231F20"/>
          <w:spacing w:val="-6"/>
        </w:rPr>
        <w:t>wider</w:t>
      </w:r>
      <w:r>
        <w:rPr>
          <w:color w:val="231F20"/>
          <w:spacing w:val="-7"/>
        </w:rPr>
        <w:t> </w:t>
      </w:r>
      <w:r>
        <w:rPr>
          <w:color w:val="231F20"/>
          <w:spacing w:val="-6"/>
        </w:rPr>
        <w:t>than</w:t>
      </w:r>
      <w:r>
        <w:rPr>
          <w:color w:val="231F20"/>
          <w:spacing w:val="-7"/>
        </w:rPr>
        <w:t> </w:t>
      </w:r>
      <w:r>
        <w:rPr>
          <w:color w:val="231F20"/>
          <w:spacing w:val="-6"/>
        </w:rPr>
        <w:t>those </w:t>
      </w:r>
      <w:r>
        <w:rPr>
          <w:color w:val="231F20"/>
          <w:spacing w:val="-4"/>
        </w:rPr>
        <w:t>facing</w:t>
      </w:r>
      <w:r>
        <w:rPr>
          <w:color w:val="231F20"/>
          <w:spacing w:val="-10"/>
        </w:rPr>
        <w:t> </w:t>
      </w:r>
      <w:r>
        <w:rPr>
          <w:color w:val="231F20"/>
          <w:spacing w:val="-4"/>
        </w:rPr>
        <w:t>top</w:t>
      </w:r>
      <w:r>
        <w:rPr>
          <w:color w:val="231F20"/>
          <w:spacing w:val="-9"/>
        </w:rPr>
        <w:t> </w:t>
      </w:r>
      <w:r>
        <w:rPr>
          <w:color w:val="231F20"/>
          <w:spacing w:val="-4"/>
        </w:rPr>
        <w:t>performers,</w:t>
      </w:r>
      <w:r>
        <w:rPr>
          <w:color w:val="231F20"/>
          <w:spacing w:val="-9"/>
        </w:rPr>
        <w:t> </w:t>
      </w:r>
      <w:r>
        <w:rPr>
          <w:color w:val="231F20"/>
          <w:spacing w:val="-4"/>
        </w:rPr>
        <w:t>which</w:t>
      </w:r>
      <w:r>
        <w:rPr>
          <w:color w:val="231F20"/>
          <w:spacing w:val="-9"/>
        </w:rPr>
        <w:t> </w:t>
      </w:r>
      <w:r>
        <w:rPr>
          <w:color w:val="231F20"/>
          <w:spacing w:val="-4"/>
        </w:rPr>
        <w:t>are</w:t>
      </w:r>
      <w:r>
        <w:rPr>
          <w:color w:val="231F20"/>
          <w:spacing w:val="-9"/>
        </w:rPr>
        <w:t> </w:t>
      </w:r>
      <w:r>
        <w:rPr>
          <w:color w:val="231F20"/>
          <w:spacing w:val="-4"/>
        </w:rPr>
        <w:t>farther</w:t>
      </w:r>
      <w:r>
        <w:rPr>
          <w:color w:val="231F20"/>
          <w:spacing w:val="-9"/>
        </w:rPr>
        <w:t> </w:t>
      </w:r>
      <w:r>
        <w:rPr>
          <w:color w:val="231F20"/>
          <w:spacing w:val="-4"/>
        </w:rPr>
        <w:t>along, or</w:t>
      </w:r>
      <w:r>
        <w:rPr>
          <w:color w:val="231F20"/>
          <w:spacing w:val="-10"/>
        </w:rPr>
        <w:t> </w:t>
      </w:r>
      <w:r>
        <w:rPr>
          <w:color w:val="231F20"/>
          <w:spacing w:val="-4"/>
        </w:rPr>
        <w:t>countries</w:t>
      </w:r>
      <w:r>
        <w:rPr>
          <w:color w:val="231F20"/>
          <w:spacing w:val="-9"/>
        </w:rPr>
        <w:t> </w:t>
      </w:r>
      <w:r>
        <w:rPr>
          <w:color w:val="231F20"/>
          <w:spacing w:val="-4"/>
        </w:rPr>
        <w:t>in</w:t>
      </w:r>
      <w:r>
        <w:rPr>
          <w:color w:val="231F20"/>
          <w:spacing w:val="-9"/>
        </w:rPr>
        <w:t> </w:t>
      </w:r>
      <w:r>
        <w:rPr>
          <w:color w:val="231F20"/>
          <w:spacing w:val="-4"/>
        </w:rPr>
        <w:t>the</w:t>
      </w:r>
      <w:r>
        <w:rPr>
          <w:color w:val="231F20"/>
          <w:spacing w:val="-9"/>
        </w:rPr>
        <w:t> </w:t>
      </w:r>
      <w:r>
        <w:rPr>
          <w:color w:val="231F20"/>
          <w:spacing w:val="-4"/>
        </w:rPr>
        <w:t>bottom</w:t>
      </w:r>
      <w:r>
        <w:rPr>
          <w:color w:val="231F20"/>
          <w:spacing w:val="-9"/>
        </w:rPr>
        <w:t> </w:t>
      </w:r>
      <w:r>
        <w:rPr>
          <w:color w:val="231F20"/>
          <w:spacing w:val="-4"/>
        </w:rPr>
        <w:t>two</w:t>
      </w:r>
      <w:r>
        <w:rPr>
          <w:color w:val="231F20"/>
          <w:spacing w:val="-9"/>
        </w:rPr>
        <w:t> </w:t>
      </w:r>
      <w:r>
        <w:rPr>
          <w:color w:val="231F20"/>
          <w:spacing w:val="-4"/>
        </w:rPr>
        <w:t>quintiles,</w:t>
      </w:r>
      <w:r>
        <w:rPr>
          <w:color w:val="231F20"/>
          <w:spacing w:val="-9"/>
        </w:rPr>
        <w:t> </w:t>
      </w:r>
      <w:r>
        <w:rPr>
          <w:color w:val="231F20"/>
          <w:spacing w:val="-4"/>
        </w:rPr>
        <w:t>which </w:t>
      </w:r>
      <w:r>
        <w:rPr>
          <w:color w:val="231F20"/>
        </w:rPr>
        <w:t>can</w:t>
      </w:r>
      <w:r>
        <w:rPr>
          <w:color w:val="231F20"/>
          <w:spacing w:val="-13"/>
        </w:rPr>
        <w:t> </w:t>
      </w:r>
      <w:r>
        <w:rPr>
          <w:color w:val="231F20"/>
        </w:rPr>
        <w:t>focus</w:t>
      </w:r>
      <w:r>
        <w:rPr>
          <w:color w:val="231F20"/>
          <w:spacing w:val="-13"/>
        </w:rPr>
        <w:t> </w:t>
      </w:r>
      <w:r>
        <w:rPr>
          <w:color w:val="231F20"/>
        </w:rPr>
        <w:t>on</w:t>
      </w:r>
      <w:r>
        <w:rPr>
          <w:color w:val="231F20"/>
          <w:spacing w:val="-13"/>
        </w:rPr>
        <w:t> </w:t>
      </w:r>
      <w:r>
        <w:rPr>
          <w:color w:val="231F20"/>
        </w:rPr>
        <w:t>fewer</w:t>
      </w:r>
      <w:r>
        <w:rPr>
          <w:color w:val="231F20"/>
          <w:spacing w:val="-13"/>
        </w:rPr>
        <w:t> </w:t>
      </w:r>
      <w:r>
        <w:rPr>
          <w:color w:val="231F20"/>
        </w:rPr>
        <w:t>issues.</w:t>
      </w:r>
    </w:p>
    <w:p>
      <w:pPr>
        <w:pStyle w:val="BodyText"/>
        <w:spacing w:before="23"/>
      </w:pPr>
    </w:p>
    <w:p>
      <w:pPr>
        <w:spacing w:line="280" w:lineRule="auto" w:before="0"/>
        <w:ind w:left="198" w:right="267" w:firstLine="0"/>
        <w:jc w:val="left"/>
        <w:rPr>
          <w:rFonts w:ascii="Arial"/>
          <w:b/>
          <w:sz w:val="20"/>
        </w:rPr>
      </w:pPr>
      <w:r>
        <w:rPr>
          <w:rFonts w:ascii="Arial"/>
          <w:b/>
          <w:color w:val="231F20"/>
          <w:w w:val="105"/>
          <w:sz w:val="20"/>
        </w:rPr>
        <w:t>Consistency is an important driver of logistics performance</w:t>
      </w:r>
    </w:p>
    <w:p>
      <w:pPr>
        <w:pStyle w:val="BodyText"/>
        <w:spacing w:before="33"/>
        <w:rPr>
          <w:rFonts w:ascii="Arial"/>
          <w:b/>
          <w:sz w:val="20"/>
        </w:rPr>
      </w:pPr>
    </w:p>
    <w:p>
      <w:pPr>
        <w:pStyle w:val="BodyText"/>
        <w:spacing w:line="268" w:lineRule="auto" w:before="1"/>
        <w:ind w:left="198" w:right="177"/>
        <w:jc w:val="both"/>
      </w:pPr>
      <w:r>
        <w:rPr>
          <w:color w:val="231F20"/>
          <w:w w:val="90"/>
        </w:rPr>
        <w:t>The leading countries in overall logistics perfor- mance exhibit strong performance across all six </w:t>
      </w:r>
      <w:r>
        <w:rPr>
          <w:color w:val="231F20"/>
          <w:spacing w:val="-4"/>
        </w:rPr>
        <w:t>LPI</w:t>
      </w:r>
      <w:r>
        <w:rPr>
          <w:color w:val="231F20"/>
          <w:spacing w:val="-3"/>
        </w:rPr>
        <w:t> </w:t>
      </w:r>
      <w:r>
        <w:rPr>
          <w:color w:val="231F20"/>
          <w:spacing w:val="-4"/>
        </w:rPr>
        <w:t>components.</w:t>
      </w:r>
      <w:r>
        <w:rPr>
          <w:color w:val="231F20"/>
          <w:spacing w:val="-2"/>
        </w:rPr>
        <w:t> </w:t>
      </w:r>
      <w:r>
        <w:rPr>
          <w:color w:val="231F20"/>
          <w:spacing w:val="-4"/>
        </w:rPr>
        <w:t>Lower</w:t>
      </w:r>
      <w:r>
        <w:rPr>
          <w:color w:val="231F20"/>
          <w:spacing w:val="-2"/>
        </w:rPr>
        <w:t> </w:t>
      </w:r>
      <w:r>
        <w:rPr>
          <w:color w:val="231F20"/>
          <w:spacing w:val="-4"/>
        </w:rPr>
        <w:t>performing</w:t>
      </w:r>
      <w:r>
        <w:rPr>
          <w:color w:val="231F20"/>
          <w:spacing w:val="-3"/>
        </w:rPr>
        <w:t> </w:t>
      </w:r>
      <w:r>
        <w:rPr>
          <w:color w:val="231F20"/>
          <w:spacing w:val="-4"/>
        </w:rPr>
        <w:t>countries</w:t>
      </w:r>
    </w:p>
    <w:p>
      <w:pPr>
        <w:spacing w:after="0" w:line="268" w:lineRule="auto"/>
        <w:jc w:val="both"/>
        <w:sectPr>
          <w:type w:val="continuous"/>
          <w:pgSz w:w="12240" w:h="15840"/>
          <w:pgMar w:header="0" w:footer="548" w:top="1140" w:bottom="280" w:left="0" w:right="540"/>
          <w:cols w:num="2" w:equalWidth="0">
            <w:col w:w="7562" w:space="40"/>
            <w:col w:w="4098"/>
          </w:cols>
        </w:sectPr>
      </w:pPr>
    </w:p>
    <w:p>
      <w:pPr>
        <w:pStyle w:val="BodyText"/>
        <w:rPr>
          <w:sz w:val="20"/>
        </w:rPr>
      </w:pPr>
    </w:p>
    <w:p>
      <w:pPr>
        <w:pStyle w:val="BodyText"/>
        <w:rPr>
          <w:sz w:val="20"/>
        </w:rPr>
      </w:pPr>
    </w:p>
    <w:p>
      <w:pPr>
        <w:pStyle w:val="BodyText"/>
        <w:spacing w:before="37"/>
        <w:rPr>
          <w:sz w:val="20"/>
        </w:rPr>
      </w:pPr>
    </w:p>
    <w:p>
      <w:pPr>
        <w:spacing w:after="0"/>
        <w:rPr>
          <w:sz w:val="20"/>
        </w:rPr>
        <w:sectPr>
          <w:headerReference w:type="even" r:id="rId97"/>
          <w:pgSz w:w="12240" w:h="15840"/>
          <w:pgMar w:header="370" w:footer="0" w:top="560" w:bottom="740" w:left="0" w:right="540"/>
        </w:sectPr>
      </w:pPr>
    </w:p>
    <w:p>
      <w:pPr>
        <w:pStyle w:val="BodyText"/>
        <w:spacing w:line="268" w:lineRule="auto" w:before="97"/>
        <w:ind w:left="3360"/>
        <w:jc w:val="both"/>
      </w:pPr>
      <w:bookmarkStart w:name="_bookmark36" w:id="39"/>
      <w:bookmarkEnd w:id="39"/>
      <w:r>
        <w:rPr/>
      </w:r>
      <w:bookmarkStart w:name="_bookmark35" w:id="40"/>
      <w:bookmarkEnd w:id="40"/>
      <w:r>
        <w:rPr/>
      </w:r>
      <w:r>
        <w:rPr>
          <w:color w:val="231F20"/>
          <w:spacing w:val="-6"/>
        </w:rPr>
        <w:t>tend to have patchier performance across com- </w:t>
      </w:r>
      <w:r>
        <w:rPr>
          <w:color w:val="231F20"/>
          <w:spacing w:val="-8"/>
        </w:rPr>
        <w:t>ponents.</w:t>
      </w:r>
      <w:r>
        <w:rPr>
          <w:color w:val="231F20"/>
        </w:rPr>
        <w:t> </w:t>
      </w:r>
      <w:r>
        <w:rPr>
          <w:color w:val="231F20"/>
          <w:spacing w:val="-8"/>
        </w:rPr>
        <w:t>This</w:t>
      </w:r>
      <w:r>
        <w:rPr>
          <w:color w:val="231F20"/>
        </w:rPr>
        <w:t> </w:t>
      </w:r>
      <w:r>
        <w:rPr>
          <w:color w:val="231F20"/>
          <w:spacing w:val="-8"/>
        </w:rPr>
        <w:t>distinction</w:t>
      </w:r>
      <w:r>
        <w:rPr>
          <w:color w:val="231F20"/>
        </w:rPr>
        <w:t> </w:t>
      </w:r>
      <w:r>
        <w:rPr>
          <w:color w:val="231F20"/>
          <w:spacing w:val="-8"/>
        </w:rPr>
        <w:t>highlights</w:t>
      </w:r>
      <w:r>
        <w:rPr>
          <w:color w:val="231F20"/>
        </w:rPr>
        <w:t> </w:t>
      </w:r>
      <w:r>
        <w:rPr>
          <w:color w:val="231F20"/>
          <w:spacing w:val="-8"/>
        </w:rPr>
        <w:t>the</w:t>
      </w:r>
      <w:r>
        <w:rPr>
          <w:color w:val="231F20"/>
        </w:rPr>
        <w:t> </w:t>
      </w:r>
      <w:r>
        <w:rPr>
          <w:color w:val="231F20"/>
          <w:spacing w:val="-8"/>
        </w:rPr>
        <w:t>need</w:t>
      </w:r>
      <w:r>
        <w:rPr>
          <w:color w:val="231F20"/>
        </w:rPr>
        <w:t> </w:t>
      </w:r>
      <w:r>
        <w:rPr>
          <w:color w:val="231F20"/>
          <w:spacing w:val="-8"/>
        </w:rPr>
        <w:t>for </w:t>
      </w:r>
      <w:r>
        <w:rPr>
          <w:color w:val="231F20"/>
          <w:w w:val="90"/>
        </w:rPr>
        <w:t>reforms in logistics markets to cover a variety of </w:t>
      </w:r>
      <w:r>
        <w:rPr>
          <w:color w:val="231F20"/>
          <w:spacing w:val="-8"/>
        </w:rPr>
        <w:t>areas</w:t>
      </w:r>
      <w:r>
        <w:rPr>
          <w:color w:val="231F20"/>
          <w:spacing w:val="-5"/>
        </w:rPr>
        <w:t> </w:t>
      </w:r>
      <w:r>
        <w:rPr>
          <w:color w:val="231F20"/>
          <w:spacing w:val="-8"/>
        </w:rPr>
        <w:t>rather</w:t>
      </w:r>
      <w:r>
        <w:rPr>
          <w:color w:val="231F20"/>
          <w:spacing w:val="-5"/>
        </w:rPr>
        <w:t> </w:t>
      </w:r>
      <w:r>
        <w:rPr>
          <w:color w:val="231F20"/>
          <w:spacing w:val="-8"/>
        </w:rPr>
        <w:t>than</w:t>
      </w:r>
      <w:r>
        <w:rPr>
          <w:color w:val="231F20"/>
          <w:spacing w:val="-5"/>
        </w:rPr>
        <w:t> </w:t>
      </w:r>
      <w:r>
        <w:rPr>
          <w:color w:val="231F20"/>
          <w:spacing w:val="-8"/>
        </w:rPr>
        <w:t>focus</w:t>
      </w:r>
      <w:r>
        <w:rPr>
          <w:color w:val="231F20"/>
          <w:spacing w:val="-5"/>
        </w:rPr>
        <w:t> </w:t>
      </w:r>
      <w:r>
        <w:rPr>
          <w:color w:val="231F20"/>
          <w:spacing w:val="-8"/>
        </w:rPr>
        <w:t>on</w:t>
      </w:r>
      <w:r>
        <w:rPr>
          <w:color w:val="231F20"/>
          <w:spacing w:val="-5"/>
        </w:rPr>
        <w:t> </w:t>
      </w:r>
      <w:r>
        <w:rPr>
          <w:color w:val="231F20"/>
          <w:spacing w:val="-8"/>
        </w:rPr>
        <w:t>just</w:t>
      </w:r>
      <w:r>
        <w:rPr>
          <w:color w:val="231F20"/>
          <w:spacing w:val="-5"/>
        </w:rPr>
        <w:t> </w:t>
      </w:r>
      <w:r>
        <w:rPr>
          <w:color w:val="231F20"/>
          <w:spacing w:val="-8"/>
        </w:rPr>
        <w:t>one.</w:t>
      </w:r>
      <w:r>
        <w:rPr>
          <w:color w:val="231F20"/>
          <w:spacing w:val="-5"/>
        </w:rPr>
        <w:t> </w:t>
      </w:r>
      <w:r>
        <w:rPr>
          <w:color w:val="231F20"/>
          <w:spacing w:val="-8"/>
        </w:rPr>
        <w:t>For</w:t>
      </w:r>
      <w:r>
        <w:rPr>
          <w:color w:val="231F20"/>
          <w:spacing w:val="-5"/>
        </w:rPr>
        <w:t> </w:t>
      </w:r>
      <w:r>
        <w:rPr>
          <w:color w:val="231F20"/>
          <w:spacing w:val="-8"/>
        </w:rPr>
        <w:t>instance, </w:t>
      </w:r>
      <w:r>
        <w:rPr>
          <w:color w:val="231F20"/>
          <w:w w:val="90"/>
        </w:rPr>
        <w:t>building</w:t>
      </w:r>
      <w:r>
        <w:rPr>
          <w:color w:val="231F20"/>
          <w:spacing w:val="-6"/>
          <w:w w:val="90"/>
        </w:rPr>
        <w:t> </w:t>
      </w:r>
      <w:r>
        <w:rPr>
          <w:color w:val="231F20"/>
          <w:w w:val="90"/>
        </w:rPr>
        <w:t>physical</w:t>
      </w:r>
      <w:r>
        <w:rPr>
          <w:color w:val="231F20"/>
          <w:spacing w:val="-6"/>
          <w:w w:val="90"/>
        </w:rPr>
        <w:t> </w:t>
      </w:r>
      <w:r>
        <w:rPr>
          <w:color w:val="231F20"/>
          <w:w w:val="90"/>
        </w:rPr>
        <w:t>infrastructure</w:t>
      </w:r>
      <w:r>
        <w:rPr>
          <w:color w:val="231F20"/>
          <w:spacing w:val="-6"/>
          <w:w w:val="90"/>
        </w:rPr>
        <w:t> </w:t>
      </w:r>
      <w:r>
        <w:rPr>
          <w:color w:val="231F20"/>
          <w:w w:val="90"/>
        </w:rPr>
        <w:t>without</w:t>
      </w:r>
      <w:r>
        <w:rPr>
          <w:color w:val="231F20"/>
          <w:spacing w:val="-6"/>
          <w:w w:val="90"/>
        </w:rPr>
        <w:t> </w:t>
      </w:r>
      <w:r>
        <w:rPr>
          <w:color w:val="231F20"/>
          <w:w w:val="90"/>
        </w:rPr>
        <w:t>develop- </w:t>
      </w:r>
      <w:r>
        <w:rPr>
          <w:color w:val="231F20"/>
          <w:spacing w:val="-2"/>
          <w:w w:val="90"/>
        </w:rPr>
        <w:t>ing</w:t>
      </w:r>
      <w:r>
        <w:rPr>
          <w:color w:val="231F20"/>
          <w:spacing w:val="-4"/>
          <w:w w:val="90"/>
        </w:rPr>
        <w:t> </w:t>
      </w:r>
      <w:r>
        <w:rPr>
          <w:color w:val="231F20"/>
          <w:spacing w:val="-2"/>
          <w:w w:val="90"/>
        </w:rPr>
        <w:t>service</w:t>
      </w:r>
      <w:r>
        <w:rPr>
          <w:color w:val="231F20"/>
          <w:spacing w:val="-4"/>
          <w:w w:val="90"/>
        </w:rPr>
        <w:t> </w:t>
      </w:r>
      <w:r>
        <w:rPr>
          <w:color w:val="231F20"/>
          <w:spacing w:val="-2"/>
          <w:w w:val="90"/>
        </w:rPr>
        <w:t>provider</w:t>
      </w:r>
      <w:r>
        <w:rPr>
          <w:color w:val="231F20"/>
          <w:spacing w:val="-4"/>
          <w:w w:val="90"/>
        </w:rPr>
        <w:t> </w:t>
      </w:r>
      <w:r>
        <w:rPr>
          <w:color w:val="231F20"/>
          <w:spacing w:val="-2"/>
          <w:w w:val="90"/>
        </w:rPr>
        <w:t>capacity</w:t>
      </w:r>
      <w:r>
        <w:rPr>
          <w:color w:val="231F20"/>
          <w:spacing w:val="-4"/>
          <w:w w:val="90"/>
        </w:rPr>
        <w:t> </w:t>
      </w:r>
      <w:r>
        <w:rPr>
          <w:color w:val="231F20"/>
          <w:spacing w:val="-2"/>
          <w:w w:val="90"/>
        </w:rPr>
        <w:t>would</w:t>
      </w:r>
      <w:r>
        <w:rPr>
          <w:color w:val="231F20"/>
          <w:spacing w:val="-4"/>
          <w:w w:val="90"/>
        </w:rPr>
        <w:t> </w:t>
      </w:r>
      <w:r>
        <w:rPr>
          <w:color w:val="231F20"/>
          <w:spacing w:val="-2"/>
          <w:w w:val="90"/>
        </w:rPr>
        <w:t>be</w:t>
      </w:r>
      <w:r>
        <w:rPr>
          <w:color w:val="231F20"/>
          <w:spacing w:val="-4"/>
          <w:w w:val="90"/>
        </w:rPr>
        <w:t> </w:t>
      </w:r>
      <w:r>
        <w:rPr>
          <w:color w:val="231F20"/>
          <w:spacing w:val="-2"/>
          <w:w w:val="90"/>
        </w:rPr>
        <w:t>unlikely</w:t>
      </w:r>
      <w:r>
        <w:rPr>
          <w:color w:val="231F20"/>
          <w:spacing w:val="-4"/>
          <w:w w:val="90"/>
        </w:rPr>
        <w:t> </w:t>
      </w:r>
      <w:r>
        <w:rPr>
          <w:color w:val="231F20"/>
          <w:spacing w:val="-2"/>
          <w:w w:val="90"/>
        </w:rPr>
        <w:t>to </w:t>
      </w:r>
      <w:r>
        <w:rPr>
          <w:color w:val="231F20"/>
          <w:spacing w:val="-2"/>
        </w:rPr>
        <w:t>lead</w:t>
      </w:r>
      <w:r>
        <w:rPr>
          <w:color w:val="231F20"/>
          <w:spacing w:val="-17"/>
        </w:rPr>
        <w:t> </w:t>
      </w:r>
      <w:r>
        <w:rPr>
          <w:color w:val="231F20"/>
          <w:spacing w:val="-2"/>
        </w:rPr>
        <w:t>to</w:t>
      </w:r>
      <w:r>
        <w:rPr>
          <w:color w:val="231F20"/>
          <w:spacing w:val="-17"/>
        </w:rPr>
        <w:t> </w:t>
      </w:r>
      <w:r>
        <w:rPr>
          <w:color w:val="231F20"/>
          <w:spacing w:val="-2"/>
        </w:rPr>
        <w:t>the</w:t>
      </w:r>
      <w:r>
        <w:rPr>
          <w:color w:val="231F20"/>
          <w:spacing w:val="-17"/>
        </w:rPr>
        <w:t> </w:t>
      </w:r>
      <w:r>
        <w:rPr>
          <w:color w:val="231F20"/>
          <w:spacing w:val="-2"/>
        </w:rPr>
        <w:t>expected</w:t>
      </w:r>
      <w:r>
        <w:rPr>
          <w:color w:val="231F20"/>
          <w:spacing w:val="-17"/>
        </w:rPr>
        <w:t> </w:t>
      </w:r>
      <w:r>
        <w:rPr>
          <w:color w:val="231F20"/>
          <w:spacing w:val="-2"/>
        </w:rPr>
        <w:t>economic</w:t>
      </w:r>
      <w:r>
        <w:rPr>
          <w:color w:val="231F20"/>
          <w:spacing w:val="-17"/>
        </w:rPr>
        <w:t> </w:t>
      </w:r>
      <w:r>
        <w:rPr>
          <w:color w:val="231F20"/>
          <w:spacing w:val="-2"/>
        </w:rPr>
        <w:t>benefits.</w:t>
      </w:r>
    </w:p>
    <w:p>
      <w:pPr>
        <w:pStyle w:val="BodyText"/>
        <w:spacing w:line="268" w:lineRule="auto"/>
        <w:ind w:left="3360" w:firstLine="300"/>
        <w:jc w:val="both"/>
        <w:rPr>
          <w:sz w:val="14"/>
        </w:rPr>
      </w:pPr>
      <w:r>
        <w:rPr>
          <w:color w:val="231F20"/>
          <w:spacing w:val="-6"/>
        </w:rPr>
        <w:t>Hence,</w:t>
      </w:r>
      <w:r>
        <w:rPr>
          <w:color w:val="231F20"/>
          <w:spacing w:val="-8"/>
        </w:rPr>
        <w:t> </w:t>
      </w:r>
      <w:r>
        <w:rPr>
          <w:color w:val="231F20"/>
          <w:spacing w:val="-6"/>
        </w:rPr>
        <w:t>a</w:t>
      </w:r>
      <w:r>
        <w:rPr>
          <w:color w:val="231F20"/>
          <w:spacing w:val="-7"/>
        </w:rPr>
        <w:t> </w:t>
      </w:r>
      <w:r>
        <w:rPr>
          <w:color w:val="231F20"/>
          <w:spacing w:val="-6"/>
        </w:rPr>
        <w:t>key</w:t>
      </w:r>
      <w:r>
        <w:rPr>
          <w:color w:val="231F20"/>
          <w:spacing w:val="-7"/>
        </w:rPr>
        <w:t> </w:t>
      </w:r>
      <w:r>
        <w:rPr>
          <w:color w:val="231F20"/>
          <w:spacing w:val="-6"/>
        </w:rPr>
        <w:t>lesson</w:t>
      </w:r>
      <w:r>
        <w:rPr>
          <w:color w:val="231F20"/>
          <w:spacing w:val="-7"/>
        </w:rPr>
        <w:t> </w:t>
      </w:r>
      <w:r>
        <w:rPr>
          <w:color w:val="231F20"/>
          <w:spacing w:val="-6"/>
        </w:rPr>
        <w:t>of</w:t>
      </w:r>
      <w:r>
        <w:rPr>
          <w:color w:val="231F20"/>
          <w:spacing w:val="-7"/>
        </w:rPr>
        <w:t> </w:t>
      </w:r>
      <w:r>
        <w:rPr>
          <w:color w:val="231F20"/>
          <w:spacing w:val="-6"/>
        </w:rPr>
        <w:t>the</w:t>
      </w:r>
      <w:r>
        <w:rPr>
          <w:color w:val="231F20"/>
          <w:spacing w:val="-7"/>
        </w:rPr>
        <w:t> </w:t>
      </w:r>
      <w:r>
        <w:rPr>
          <w:color w:val="231F20"/>
          <w:spacing w:val="-6"/>
        </w:rPr>
        <w:t>LPI</w:t>
      </w:r>
      <w:r>
        <w:rPr>
          <w:color w:val="231F20"/>
          <w:spacing w:val="-7"/>
        </w:rPr>
        <w:t> </w:t>
      </w:r>
      <w:r>
        <w:rPr>
          <w:color w:val="231F20"/>
          <w:spacing w:val="-6"/>
        </w:rPr>
        <w:t>for</w:t>
      </w:r>
      <w:r>
        <w:rPr>
          <w:color w:val="231F20"/>
          <w:spacing w:val="-7"/>
        </w:rPr>
        <w:t> </w:t>
      </w:r>
      <w:r>
        <w:rPr>
          <w:color w:val="231F20"/>
          <w:spacing w:val="-6"/>
        </w:rPr>
        <w:t>low-</w:t>
      </w:r>
      <w:r>
        <w:rPr>
          <w:color w:val="231F20"/>
          <w:spacing w:val="-8"/>
        </w:rPr>
        <w:t> </w:t>
      </w:r>
      <w:r>
        <w:rPr>
          <w:color w:val="231F20"/>
          <w:spacing w:val="-6"/>
        </w:rPr>
        <w:t>and </w:t>
      </w:r>
      <w:r>
        <w:rPr>
          <w:color w:val="231F20"/>
        </w:rPr>
        <w:t>middle-performing</w:t>
      </w:r>
      <w:r>
        <w:rPr>
          <w:color w:val="231F20"/>
          <w:spacing w:val="-4"/>
        </w:rPr>
        <w:t> </w:t>
      </w:r>
      <w:r>
        <w:rPr>
          <w:color w:val="231F20"/>
        </w:rPr>
        <w:t>countries</w:t>
      </w:r>
      <w:r>
        <w:rPr>
          <w:color w:val="231F20"/>
          <w:spacing w:val="-4"/>
        </w:rPr>
        <w:t> </w:t>
      </w:r>
      <w:r>
        <w:rPr>
          <w:color w:val="231F20"/>
        </w:rPr>
        <w:t>is</w:t>
      </w:r>
      <w:r>
        <w:rPr>
          <w:color w:val="231F20"/>
          <w:spacing w:val="-4"/>
        </w:rPr>
        <w:t> </w:t>
      </w:r>
      <w:r>
        <w:rPr>
          <w:color w:val="231F20"/>
        </w:rPr>
        <w:t>that</w:t>
      </w:r>
      <w:r>
        <w:rPr>
          <w:color w:val="231F20"/>
          <w:spacing w:val="-4"/>
        </w:rPr>
        <w:t> </w:t>
      </w:r>
      <w:r>
        <w:rPr>
          <w:color w:val="231F20"/>
        </w:rPr>
        <w:t>their</w:t>
      </w:r>
      <w:r>
        <w:rPr>
          <w:color w:val="231F20"/>
          <w:spacing w:val="-4"/>
        </w:rPr>
        <w:t> </w:t>
      </w:r>
      <w:r>
        <w:rPr>
          <w:color w:val="231F20"/>
        </w:rPr>
        <w:t>re- </w:t>
      </w:r>
      <w:r>
        <w:rPr>
          <w:color w:val="231F20"/>
          <w:w w:val="90"/>
        </w:rPr>
        <w:t>form agenda needs to encompass not only phys- </w:t>
      </w:r>
      <w:r>
        <w:rPr>
          <w:color w:val="231F20"/>
        </w:rPr>
        <w:t>ical</w:t>
      </w:r>
      <w:r>
        <w:rPr>
          <w:color w:val="231F20"/>
          <w:spacing w:val="-14"/>
        </w:rPr>
        <w:t> </w:t>
      </w:r>
      <w:r>
        <w:rPr>
          <w:color w:val="231F20"/>
        </w:rPr>
        <w:t>infrastructure</w:t>
      </w:r>
      <w:r>
        <w:rPr>
          <w:color w:val="231F20"/>
          <w:spacing w:val="-13"/>
        </w:rPr>
        <w:t> </w:t>
      </w:r>
      <w:r>
        <w:rPr>
          <w:color w:val="231F20"/>
        </w:rPr>
        <w:t>but</w:t>
      </w:r>
      <w:r>
        <w:rPr>
          <w:color w:val="231F20"/>
          <w:spacing w:val="-13"/>
        </w:rPr>
        <w:t> </w:t>
      </w:r>
      <w:r>
        <w:rPr>
          <w:color w:val="231F20"/>
        </w:rPr>
        <w:t>also</w:t>
      </w:r>
      <w:r>
        <w:rPr>
          <w:color w:val="231F20"/>
          <w:spacing w:val="-13"/>
        </w:rPr>
        <w:t> </w:t>
      </w:r>
      <w:r>
        <w:rPr>
          <w:color w:val="231F20"/>
        </w:rPr>
        <w:t>border</w:t>
      </w:r>
      <w:r>
        <w:rPr>
          <w:color w:val="231F20"/>
          <w:spacing w:val="-13"/>
        </w:rPr>
        <w:t> </w:t>
      </w:r>
      <w:r>
        <w:rPr>
          <w:color w:val="231F20"/>
        </w:rPr>
        <w:t>procedures and</w:t>
      </w:r>
      <w:r>
        <w:rPr>
          <w:color w:val="231F20"/>
          <w:spacing w:val="-14"/>
        </w:rPr>
        <w:t> </w:t>
      </w:r>
      <w:r>
        <w:rPr>
          <w:color w:val="231F20"/>
        </w:rPr>
        <w:t>private</w:t>
      </w:r>
      <w:r>
        <w:rPr>
          <w:color w:val="231F20"/>
          <w:spacing w:val="-13"/>
        </w:rPr>
        <w:t> </w:t>
      </w:r>
      <w:r>
        <w:rPr>
          <w:color w:val="231F20"/>
        </w:rPr>
        <w:t>sector</w:t>
      </w:r>
      <w:r>
        <w:rPr>
          <w:color w:val="231F20"/>
          <w:spacing w:val="-13"/>
        </w:rPr>
        <w:t> </w:t>
      </w:r>
      <w:r>
        <w:rPr>
          <w:color w:val="231F20"/>
        </w:rPr>
        <w:t>development.</w:t>
      </w:r>
      <w:r>
        <w:rPr>
          <w:color w:val="231F20"/>
          <w:spacing w:val="-13"/>
        </w:rPr>
        <w:t> </w:t>
      </w:r>
      <w:r>
        <w:rPr>
          <w:color w:val="231F20"/>
        </w:rPr>
        <w:t>Information </w:t>
      </w:r>
      <w:r>
        <w:rPr>
          <w:color w:val="231F20"/>
          <w:w w:val="90"/>
        </w:rPr>
        <w:t>flow</w:t>
      </w:r>
      <w:r>
        <w:rPr>
          <w:color w:val="231F20"/>
          <w:spacing w:val="-7"/>
          <w:w w:val="90"/>
        </w:rPr>
        <w:t> </w:t>
      </w:r>
      <w:r>
        <w:rPr>
          <w:color w:val="231F20"/>
          <w:w w:val="90"/>
        </w:rPr>
        <w:t>is</w:t>
      </w:r>
      <w:r>
        <w:rPr>
          <w:color w:val="231F20"/>
          <w:spacing w:val="-7"/>
          <w:w w:val="90"/>
        </w:rPr>
        <w:t> </w:t>
      </w:r>
      <w:r>
        <w:rPr>
          <w:color w:val="231F20"/>
          <w:w w:val="90"/>
        </w:rPr>
        <w:t>key</w:t>
      </w:r>
      <w:r>
        <w:rPr>
          <w:color w:val="231F20"/>
          <w:spacing w:val="-7"/>
          <w:w w:val="90"/>
        </w:rPr>
        <w:t> </w:t>
      </w:r>
      <w:r>
        <w:rPr>
          <w:color w:val="231F20"/>
          <w:w w:val="90"/>
        </w:rPr>
        <w:t>to</w:t>
      </w:r>
      <w:r>
        <w:rPr>
          <w:color w:val="231F20"/>
          <w:spacing w:val="-7"/>
          <w:w w:val="90"/>
        </w:rPr>
        <w:t> </w:t>
      </w:r>
      <w:r>
        <w:rPr>
          <w:color w:val="231F20"/>
          <w:w w:val="90"/>
        </w:rPr>
        <w:t>designing</w:t>
      </w:r>
      <w:r>
        <w:rPr>
          <w:color w:val="231F20"/>
          <w:spacing w:val="-7"/>
          <w:w w:val="90"/>
        </w:rPr>
        <w:t> </w:t>
      </w:r>
      <w:r>
        <w:rPr>
          <w:color w:val="231F20"/>
          <w:w w:val="90"/>
        </w:rPr>
        <w:t>effective</w:t>
      </w:r>
      <w:r>
        <w:rPr>
          <w:color w:val="231F20"/>
          <w:spacing w:val="-7"/>
          <w:w w:val="90"/>
        </w:rPr>
        <w:t> </w:t>
      </w:r>
      <w:r>
        <w:rPr>
          <w:color w:val="231F20"/>
          <w:w w:val="90"/>
        </w:rPr>
        <w:t>policy</w:t>
      </w:r>
      <w:r>
        <w:rPr>
          <w:color w:val="231F20"/>
          <w:spacing w:val="-7"/>
          <w:w w:val="90"/>
        </w:rPr>
        <w:t> </w:t>
      </w:r>
      <w:r>
        <w:rPr>
          <w:color w:val="231F20"/>
          <w:w w:val="90"/>
        </w:rPr>
        <w:t>reforms, </w:t>
      </w:r>
      <w:r>
        <w:rPr>
          <w:color w:val="231F20"/>
        </w:rPr>
        <w:t>which</w:t>
      </w:r>
      <w:r>
        <w:rPr>
          <w:color w:val="231F20"/>
          <w:spacing w:val="-3"/>
        </w:rPr>
        <w:t> </w:t>
      </w:r>
      <w:r>
        <w:rPr>
          <w:color w:val="231F20"/>
        </w:rPr>
        <w:t>means</w:t>
      </w:r>
      <w:r>
        <w:rPr>
          <w:color w:val="231F20"/>
          <w:spacing w:val="-3"/>
        </w:rPr>
        <w:t> </w:t>
      </w:r>
      <w:r>
        <w:rPr>
          <w:color w:val="231F20"/>
        </w:rPr>
        <w:t>that</w:t>
      </w:r>
      <w:r>
        <w:rPr>
          <w:color w:val="231F20"/>
          <w:spacing w:val="-3"/>
        </w:rPr>
        <w:t> </w:t>
      </w:r>
      <w:r>
        <w:rPr>
          <w:color w:val="231F20"/>
        </w:rPr>
        <w:t>both</w:t>
      </w:r>
      <w:r>
        <w:rPr>
          <w:color w:val="231F20"/>
          <w:spacing w:val="-3"/>
        </w:rPr>
        <w:t> </w:t>
      </w:r>
      <w:r>
        <w:rPr>
          <w:color w:val="231F20"/>
        </w:rPr>
        <w:t>the</w:t>
      </w:r>
      <w:r>
        <w:rPr>
          <w:color w:val="231F20"/>
          <w:spacing w:val="-3"/>
        </w:rPr>
        <w:t> </w:t>
      </w:r>
      <w:r>
        <w:rPr>
          <w:color w:val="231F20"/>
        </w:rPr>
        <w:t>logistics</w:t>
      </w:r>
      <w:r>
        <w:rPr>
          <w:color w:val="231F20"/>
          <w:spacing w:val="-3"/>
        </w:rPr>
        <w:t> </w:t>
      </w:r>
      <w:r>
        <w:rPr>
          <w:color w:val="231F20"/>
        </w:rPr>
        <w:t>industry </w:t>
      </w:r>
      <w:r>
        <w:rPr>
          <w:color w:val="231F20"/>
          <w:w w:val="90"/>
        </w:rPr>
        <w:t>and</w:t>
      </w:r>
      <w:r>
        <w:rPr>
          <w:color w:val="231F20"/>
          <w:spacing w:val="-3"/>
          <w:w w:val="90"/>
        </w:rPr>
        <w:t> </w:t>
      </w:r>
      <w:r>
        <w:rPr>
          <w:color w:val="231F20"/>
          <w:w w:val="90"/>
        </w:rPr>
        <w:t>users</w:t>
      </w:r>
      <w:r>
        <w:rPr>
          <w:color w:val="231F20"/>
          <w:spacing w:val="-3"/>
          <w:w w:val="90"/>
        </w:rPr>
        <w:t> </w:t>
      </w:r>
      <w:r>
        <w:rPr>
          <w:color w:val="231F20"/>
          <w:w w:val="90"/>
        </w:rPr>
        <w:t>of</w:t>
      </w:r>
      <w:r>
        <w:rPr>
          <w:color w:val="231F20"/>
          <w:spacing w:val="-3"/>
          <w:w w:val="90"/>
        </w:rPr>
        <w:t> </w:t>
      </w:r>
      <w:r>
        <w:rPr>
          <w:color w:val="231F20"/>
          <w:w w:val="90"/>
        </w:rPr>
        <w:t>logistics</w:t>
      </w:r>
      <w:r>
        <w:rPr>
          <w:color w:val="231F20"/>
          <w:spacing w:val="-3"/>
          <w:w w:val="90"/>
        </w:rPr>
        <w:t> </w:t>
      </w:r>
      <w:r>
        <w:rPr>
          <w:color w:val="231F20"/>
          <w:w w:val="90"/>
        </w:rPr>
        <w:t>services</w:t>
      </w:r>
      <w:r>
        <w:rPr>
          <w:color w:val="231F20"/>
          <w:spacing w:val="-3"/>
          <w:w w:val="90"/>
        </w:rPr>
        <w:t> </w:t>
      </w:r>
      <w:r>
        <w:rPr>
          <w:color w:val="231F20"/>
          <w:w w:val="90"/>
        </w:rPr>
        <w:t>need</w:t>
      </w:r>
      <w:r>
        <w:rPr>
          <w:color w:val="231F20"/>
          <w:spacing w:val="-3"/>
          <w:w w:val="90"/>
        </w:rPr>
        <w:t> </w:t>
      </w:r>
      <w:r>
        <w:rPr>
          <w:color w:val="231F20"/>
          <w:w w:val="90"/>
        </w:rPr>
        <w:t>a</w:t>
      </w:r>
      <w:r>
        <w:rPr>
          <w:color w:val="231F20"/>
          <w:spacing w:val="-3"/>
          <w:w w:val="90"/>
        </w:rPr>
        <w:t> </w:t>
      </w:r>
      <w:r>
        <w:rPr>
          <w:color w:val="231F20"/>
          <w:w w:val="90"/>
        </w:rPr>
        <w:t>voice</w:t>
      </w:r>
      <w:r>
        <w:rPr>
          <w:color w:val="231F20"/>
          <w:spacing w:val="-3"/>
          <w:w w:val="90"/>
        </w:rPr>
        <w:t> </w:t>
      </w:r>
      <w:r>
        <w:rPr>
          <w:color w:val="231F20"/>
          <w:w w:val="90"/>
        </w:rPr>
        <w:t>in</w:t>
      </w:r>
      <w:r>
        <w:rPr>
          <w:color w:val="231F20"/>
          <w:spacing w:val="-3"/>
          <w:w w:val="90"/>
        </w:rPr>
        <w:t> </w:t>
      </w:r>
      <w:r>
        <w:rPr>
          <w:color w:val="231F20"/>
          <w:w w:val="90"/>
        </w:rPr>
        <w:t>the </w:t>
      </w:r>
      <w:r>
        <w:rPr>
          <w:color w:val="231F20"/>
        </w:rPr>
        <w:t>reform</w:t>
      </w:r>
      <w:r>
        <w:rPr>
          <w:color w:val="231F20"/>
          <w:spacing w:val="-14"/>
        </w:rPr>
        <w:t> </w:t>
      </w:r>
      <w:r>
        <w:rPr>
          <w:color w:val="231F20"/>
        </w:rPr>
        <w:t>process.</w:t>
      </w:r>
      <w:r>
        <w:rPr>
          <w:color w:val="231F20"/>
          <w:position w:val="7"/>
          <w:sz w:val="14"/>
        </w:rPr>
        <w:t>41</w:t>
      </w:r>
    </w:p>
    <w:p>
      <w:pPr>
        <w:pStyle w:val="BodyText"/>
        <w:spacing w:before="25"/>
      </w:pPr>
    </w:p>
    <w:p>
      <w:pPr>
        <w:spacing w:line="280" w:lineRule="auto" w:before="0"/>
        <w:ind w:left="3360" w:right="138" w:firstLine="0"/>
        <w:jc w:val="left"/>
        <w:rPr>
          <w:rFonts w:ascii="Arial"/>
          <w:b/>
          <w:sz w:val="20"/>
        </w:rPr>
      </w:pPr>
      <w:r>
        <w:rPr>
          <w:rFonts w:ascii="Arial"/>
          <w:b/>
          <w:color w:val="231F20"/>
          <w:w w:val="105"/>
          <w:sz w:val="20"/>
        </w:rPr>
        <w:t>Logistics performance and key performance indicators derived from a Big Data approach</w:t>
      </w:r>
    </w:p>
    <w:p>
      <w:pPr>
        <w:pStyle w:val="BodyText"/>
        <w:spacing w:before="34"/>
        <w:rPr>
          <w:rFonts w:ascii="Arial"/>
          <w:b/>
          <w:sz w:val="20"/>
        </w:rPr>
      </w:pPr>
    </w:p>
    <w:p>
      <w:pPr>
        <w:pStyle w:val="BodyText"/>
        <w:spacing w:line="268" w:lineRule="auto"/>
        <w:ind w:left="3360"/>
        <w:jc w:val="both"/>
      </w:pPr>
      <w:r>
        <w:rPr>
          <w:color w:val="231F20"/>
          <w:spacing w:val="-4"/>
        </w:rPr>
        <w:t>Chapter</w:t>
      </w:r>
      <w:r>
        <w:rPr>
          <w:color w:val="231F20"/>
          <w:spacing w:val="-10"/>
        </w:rPr>
        <w:t> </w:t>
      </w:r>
      <w:r>
        <w:rPr>
          <w:color w:val="231F20"/>
          <w:spacing w:val="-4"/>
        </w:rPr>
        <w:t>3</w:t>
      </w:r>
      <w:r>
        <w:rPr>
          <w:color w:val="231F20"/>
          <w:spacing w:val="-9"/>
        </w:rPr>
        <w:t> </w:t>
      </w:r>
      <w:r>
        <w:rPr>
          <w:color w:val="231F20"/>
          <w:spacing w:val="-4"/>
        </w:rPr>
        <w:t>introduced</w:t>
      </w:r>
      <w:r>
        <w:rPr>
          <w:color w:val="231F20"/>
          <w:spacing w:val="-9"/>
        </w:rPr>
        <w:t> </w:t>
      </w:r>
      <w:r>
        <w:rPr>
          <w:color w:val="231F20"/>
          <w:spacing w:val="-4"/>
        </w:rPr>
        <w:t>a</w:t>
      </w:r>
      <w:r>
        <w:rPr>
          <w:color w:val="231F20"/>
          <w:spacing w:val="-9"/>
        </w:rPr>
        <w:t> </w:t>
      </w:r>
      <w:r>
        <w:rPr>
          <w:color w:val="231F20"/>
          <w:spacing w:val="-4"/>
        </w:rPr>
        <w:t>set</w:t>
      </w:r>
      <w:r>
        <w:rPr>
          <w:color w:val="231F20"/>
          <w:spacing w:val="-9"/>
        </w:rPr>
        <w:t> </w:t>
      </w:r>
      <w:r>
        <w:rPr>
          <w:color w:val="231F20"/>
          <w:spacing w:val="-4"/>
        </w:rPr>
        <w:t>of</w:t>
      </w:r>
      <w:r>
        <w:rPr>
          <w:color w:val="231F20"/>
          <w:spacing w:val="-9"/>
        </w:rPr>
        <w:t> </w:t>
      </w:r>
      <w:r>
        <w:rPr>
          <w:color w:val="231F20"/>
          <w:spacing w:val="-4"/>
        </w:rPr>
        <w:t>key</w:t>
      </w:r>
      <w:r>
        <w:rPr>
          <w:color w:val="231F20"/>
          <w:spacing w:val="-9"/>
        </w:rPr>
        <w:t> </w:t>
      </w:r>
      <w:r>
        <w:rPr>
          <w:color w:val="231F20"/>
          <w:spacing w:val="-4"/>
        </w:rPr>
        <w:t>performance </w:t>
      </w:r>
      <w:r>
        <w:rPr>
          <w:color w:val="231F20"/>
        </w:rPr>
        <w:t>indicators</w:t>
      </w:r>
      <w:r>
        <w:rPr>
          <w:color w:val="231F20"/>
          <w:spacing w:val="-10"/>
        </w:rPr>
        <w:t> </w:t>
      </w:r>
      <w:r>
        <w:rPr>
          <w:color w:val="231F20"/>
        </w:rPr>
        <w:t>derived</w:t>
      </w:r>
      <w:r>
        <w:rPr>
          <w:color w:val="231F20"/>
          <w:spacing w:val="-10"/>
        </w:rPr>
        <w:t> </w:t>
      </w:r>
      <w:r>
        <w:rPr>
          <w:color w:val="231F20"/>
        </w:rPr>
        <w:t>from</w:t>
      </w:r>
      <w:r>
        <w:rPr>
          <w:color w:val="231F20"/>
          <w:spacing w:val="-10"/>
        </w:rPr>
        <w:t> </w:t>
      </w:r>
      <w:r>
        <w:rPr>
          <w:color w:val="231F20"/>
        </w:rPr>
        <w:t>a</w:t>
      </w:r>
      <w:r>
        <w:rPr>
          <w:color w:val="231F20"/>
          <w:spacing w:val="-10"/>
        </w:rPr>
        <w:t> </w:t>
      </w:r>
      <w:r>
        <w:rPr>
          <w:color w:val="231F20"/>
        </w:rPr>
        <w:t>Big</w:t>
      </w:r>
      <w:r>
        <w:rPr>
          <w:color w:val="231F20"/>
          <w:spacing w:val="-10"/>
        </w:rPr>
        <w:t> </w:t>
      </w:r>
      <w:r>
        <w:rPr>
          <w:color w:val="231F20"/>
        </w:rPr>
        <w:t>Data</w:t>
      </w:r>
      <w:r>
        <w:rPr>
          <w:color w:val="231F20"/>
          <w:spacing w:val="-10"/>
        </w:rPr>
        <w:t> </w:t>
      </w:r>
      <w:r>
        <w:rPr>
          <w:color w:val="231F20"/>
        </w:rPr>
        <w:t>approach and related to actual movements of interna- </w:t>
      </w:r>
      <w:r>
        <w:rPr>
          <w:color w:val="231F20"/>
          <w:spacing w:val="-6"/>
        </w:rPr>
        <w:t>tional</w:t>
      </w:r>
      <w:r>
        <w:rPr>
          <w:color w:val="231F20"/>
          <w:spacing w:val="-7"/>
        </w:rPr>
        <w:t> </w:t>
      </w:r>
      <w:r>
        <w:rPr>
          <w:color w:val="231F20"/>
          <w:spacing w:val="-6"/>
        </w:rPr>
        <w:t>trade</w:t>
      </w:r>
      <w:r>
        <w:rPr>
          <w:color w:val="231F20"/>
          <w:spacing w:val="-7"/>
        </w:rPr>
        <w:t> </w:t>
      </w:r>
      <w:r>
        <w:rPr>
          <w:color w:val="231F20"/>
          <w:spacing w:val="-6"/>
        </w:rPr>
        <w:t>by</w:t>
      </w:r>
      <w:r>
        <w:rPr>
          <w:color w:val="231F20"/>
          <w:spacing w:val="-7"/>
        </w:rPr>
        <w:t> </w:t>
      </w:r>
      <w:r>
        <w:rPr>
          <w:color w:val="231F20"/>
          <w:spacing w:val="-6"/>
        </w:rPr>
        <w:t>mode</w:t>
      </w:r>
      <w:r>
        <w:rPr>
          <w:color w:val="231F20"/>
          <w:spacing w:val="-7"/>
        </w:rPr>
        <w:t> </w:t>
      </w:r>
      <w:r>
        <w:rPr>
          <w:color w:val="231F20"/>
          <w:spacing w:val="-6"/>
        </w:rPr>
        <w:t>(container,</w:t>
      </w:r>
      <w:r>
        <w:rPr>
          <w:color w:val="231F20"/>
          <w:spacing w:val="-7"/>
        </w:rPr>
        <w:t> </w:t>
      </w:r>
      <w:r>
        <w:rPr>
          <w:color w:val="231F20"/>
          <w:spacing w:val="-6"/>
        </w:rPr>
        <w:t>air</w:t>
      </w:r>
      <w:r>
        <w:rPr>
          <w:color w:val="231F20"/>
          <w:spacing w:val="-7"/>
        </w:rPr>
        <w:t> </w:t>
      </w:r>
      <w:r>
        <w:rPr>
          <w:color w:val="231F20"/>
          <w:spacing w:val="-6"/>
        </w:rPr>
        <w:t>freight,</w:t>
      </w:r>
      <w:r>
        <w:rPr>
          <w:color w:val="231F20"/>
          <w:spacing w:val="-7"/>
        </w:rPr>
        <w:t> </w:t>
      </w:r>
      <w:r>
        <w:rPr>
          <w:color w:val="231F20"/>
          <w:spacing w:val="-6"/>
        </w:rPr>
        <w:t>and parcels) complement survey-based LPI scores. </w:t>
      </w:r>
      <w:r>
        <w:rPr>
          <w:color w:val="231F20"/>
          <w:spacing w:val="-2"/>
        </w:rPr>
        <w:t>No</w:t>
      </w:r>
      <w:r>
        <w:rPr>
          <w:color w:val="231F20"/>
          <w:spacing w:val="-12"/>
        </w:rPr>
        <w:t> </w:t>
      </w:r>
      <w:r>
        <w:rPr>
          <w:color w:val="231F20"/>
          <w:spacing w:val="-2"/>
        </w:rPr>
        <w:t>single</w:t>
      </w:r>
      <w:r>
        <w:rPr>
          <w:color w:val="231F20"/>
          <w:spacing w:val="-11"/>
        </w:rPr>
        <w:t> </w:t>
      </w:r>
      <w:r>
        <w:rPr>
          <w:color w:val="231F20"/>
          <w:spacing w:val="-2"/>
        </w:rPr>
        <w:t>indicator</w:t>
      </w:r>
      <w:r>
        <w:rPr>
          <w:color w:val="231F20"/>
          <w:spacing w:val="-11"/>
        </w:rPr>
        <w:t> </w:t>
      </w:r>
      <w:r>
        <w:rPr>
          <w:color w:val="231F20"/>
          <w:spacing w:val="-2"/>
        </w:rPr>
        <w:t>can</w:t>
      </w:r>
      <w:r>
        <w:rPr>
          <w:color w:val="231F20"/>
          <w:spacing w:val="-11"/>
        </w:rPr>
        <w:t> </w:t>
      </w:r>
      <w:r>
        <w:rPr>
          <w:color w:val="231F20"/>
          <w:spacing w:val="-2"/>
        </w:rPr>
        <w:t>fully</w:t>
      </w:r>
      <w:r>
        <w:rPr>
          <w:color w:val="231F20"/>
          <w:spacing w:val="-11"/>
        </w:rPr>
        <w:t> </w:t>
      </w:r>
      <w:r>
        <w:rPr>
          <w:color w:val="231F20"/>
          <w:spacing w:val="-2"/>
        </w:rPr>
        <w:t>explain</w:t>
      </w:r>
      <w:r>
        <w:rPr>
          <w:color w:val="231F20"/>
          <w:spacing w:val="-11"/>
        </w:rPr>
        <w:t> </w:t>
      </w:r>
      <w:r>
        <w:rPr>
          <w:color w:val="231F20"/>
          <w:spacing w:val="-2"/>
        </w:rPr>
        <w:t>country- </w:t>
      </w:r>
      <w:r>
        <w:rPr>
          <w:color w:val="231F20"/>
        </w:rPr>
        <w:t>wide</w:t>
      </w:r>
      <w:r>
        <w:rPr>
          <w:color w:val="231F20"/>
          <w:spacing w:val="-4"/>
        </w:rPr>
        <w:t> </w:t>
      </w:r>
      <w:r>
        <w:rPr>
          <w:color w:val="231F20"/>
        </w:rPr>
        <w:t>logistics</w:t>
      </w:r>
      <w:r>
        <w:rPr>
          <w:color w:val="231F20"/>
          <w:spacing w:val="-4"/>
        </w:rPr>
        <w:t> </w:t>
      </w:r>
      <w:r>
        <w:rPr>
          <w:color w:val="231F20"/>
        </w:rPr>
        <w:t>performance,</w:t>
      </w:r>
      <w:r>
        <w:rPr>
          <w:color w:val="231F20"/>
          <w:spacing w:val="-4"/>
        </w:rPr>
        <w:t> </w:t>
      </w:r>
      <w:r>
        <w:rPr>
          <w:color w:val="231F20"/>
        </w:rPr>
        <w:t>but</w:t>
      </w:r>
      <w:r>
        <w:rPr>
          <w:color w:val="231F20"/>
          <w:spacing w:val="-4"/>
        </w:rPr>
        <w:t> </w:t>
      </w:r>
      <w:r>
        <w:rPr>
          <w:color w:val="231F20"/>
        </w:rPr>
        <w:t>the</w:t>
      </w:r>
      <w:r>
        <w:rPr>
          <w:color w:val="231F20"/>
          <w:spacing w:val="-4"/>
        </w:rPr>
        <w:t> </w:t>
      </w:r>
      <w:r>
        <w:rPr>
          <w:color w:val="231F20"/>
        </w:rPr>
        <w:t>key</w:t>
      </w:r>
      <w:r>
        <w:rPr>
          <w:color w:val="231F20"/>
          <w:spacing w:val="-4"/>
        </w:rPr>
        <w:t> </w:t>
      </w:r>
      <w:r>
        <w:rPr>
          <w:color w:val="231F20"/>
        </w:rPr>
        <w:t>per- formance</w:t>
      </w:r>
      <w:r>
        <w:rPr>
          <w:color w:val="231F20"/>
          <w:spacing w:val="-14"/>
        </w:rPr>
        <w:t> </w:t>
      </w:r>
      <w:r>
        <w:rPr>
          <w:color w:val="231F20"/>
        </w:rPr>
        <w:t>indicators</w:t>
      </w:r>
      <w:r>
        <w:rPr>
          <w:color w:val="231F20"/>
          <w:spacing w:val="-13"/>
        </w:rPr>
        <w:t> </w:t>
      </w:r>
      <w:r>
        <w:rPr>
          <w:color w:val="231F20"/>
        </w:rPr>
        <w:t>provide</w:t>
      </w:r>
      <w:r>
        <w:rPr>
          <w:color w:val="231F20"/>
          <w:spacing w:val="-13"/>
        </w:rPr>
        <w:t> </w:t>
      </w:r>
      <w:r>
        <w:rPr>
          <w:color w:val="231F20"/>
        </w:rPr>
        <w:t>partial</w:t>
      </w:r>
      <w:r>
        <w:rPr>
          <w:color w:val="231F20"/>
          <w:spacing w:val="-13"/>
        </w:rPr>
        <w:t> </w:t>
      </w:r>
      <w:r>
        <w:rPr>
          <w:color w:val="231F20"/>
        </w:rPr>
        <w:t>informa- </w:t>
      </w:r>
      <w:r>
        <w:rPr>
          <w:color w:val="231F20"/>
          <w:spacing w:val="-6"/>
        </w:rPr>
        <w:t>tion that policymakers and operators can easily </w:t>
      </w:r>
      <w:r>
        <w:rPr>
          <w:color w:val="231F20"/>
        </w:rPr>
        <w:t>interpret</w:t>
      </w:r>
      <w:r>
        <w:rPr>
          <w:color w:val="231F20"/>
          <w:spacing w:val="-14"/>
        </w:rPr>
        <w:t> </w:t>
      </w:r>
      <w:r>
        <w:rPr>
          <w:color w:val="231F20"/>
        </w:rPr>
        <w:t>on</w:t>
      </w:r>
      <w:r>
        <w:rPr>
          <w:color w:val="231F20"/>
          <w:spacing w:val="-13"/>
        </w:rPr>
        <w:t> </w:t>
      </w:r>
      <w:r>
        <w:rPr>
          <w:color w:val="231F20"/>
        </w:rPr>
        <w:t>such</w:t>
      </w:r>
      <w:r>
        <w:rPr>
          <w:color w:val="231F20"/>
          <w:spacing w:val="-13"/>
        </w:rPr>
        <w:t> </w:t>
      </w:r>
      <w:r>
        <w:rPr>
          <w:color w:val="231F20"/>
        </w:rPr>
        <w:t>topics</w:t>
      </w:r>
      <w:r>
        <w:rPr>
          <w:color w:val="231F20"/>
          <w:spacing w:val="-13"/>
        </w:rPr>
        <w:t> </w:t>
      </w:r>
      <w:r>
        <w:rPr>
          <w:color w:val="231F20"/>
        </w:rPr>
        <w:t>as</w:t>
      </w:r>
      <w:r>
        <w:rPr>
          <w:color w:val="231F20"/>
          <w:spacing w:val="-13"/>
        </w:rPr>
        <w:t> </w:t>
      </w:r>
      <w:r>
        <w:rPr>
          <w:color w:val="231F20"/>
        </w:rPr>
        <w:t>delays</w:t>
      </w:r>
      <w:r>
        <w:rPr>
          <w:color w:val="231F20"/>
          <w:spacing w:val="-13"/>
        </w:rPr>
        <w:t> </w:t>
      </w:r>
      <w:r>
        <w:rPr>
          <w:color w:val="231F20"/>
        </w:rPr>
        <w:t>for</w:t>
      </w:r>
      <w:r>
        <w:rPr>
          <w:color w:val="231F20"/>
          <w:spacing w:val="-13"/>
        </w:rPr>
        <w:t> </w:t>
      </w:r>
      <w:r>
        <w:rPr>
          <w:color w:val="231F20"/>
        </w:rPr>
        <w:t>specific </w:t>
      </w:r>
      <w:r>
        <w:rPr>
          <w:color w:val="231F20"/>
          <w:spacing w:val="-2"/>
        </w:rPr>
        <w:t>supply</w:t>
      </w:r>
      <w:r>
        <w:rPr>
          <w:color w:val="231F20"/>
          <w:spacing w:val="-12"/>
        </w:rPr>
        <w:t> </w:t>
      </w:r>
      <w:r>
        <w:rPr>
          <w:color w:val="231F20"/>
          <w:spacing w:val="-2"/>
        </w:rPr>
        <w:t>chain</w:t>
      </w:r>
      <w:r>
        <w:rPr>
          <w:color w:val="231F20"/>
          <w:spacing w:val="-11"/>
        </w:rPr>
        <w:t> </w:t>
      </w:r>
      <w:r>
        <w:rPr>
          <w:color w:val="231F20"/>
          <w:spacing w:val="-2"/>
        </w:rPr>
        <w:t>links</w:t>
      </w:r>
      <w:r>
        <w:rPr>
          <w:color w:val="231F20"/>
          <w:spacing w:val="-11"/>
        </w:rPr>
        <w:t> </w:t>
      </w:r>
      <w:r>
        <w:rPr>
          <w:color w:val="231F20"/>
          <w:spacing w:val="-2"/>
        </w:rPr>
        <w:t>(a</w:t>
      </w:r>
      <w:r>
        <w:rPr>
          <w:color w:val="231F20"/>
          <w:spacing w:val="-11"/>
        </w:rPr>
        <w:t> </w:t>
      </w:r>
      <w:r>
        <w:rPr>
          <w:color w:val="231F20"/>
          <w:spacing w:val="-2"/>
        </w:rPr>
        <w:t>port,</w:t>
      </w:r>
      <w:r>
        <w:rPr>
          <w:color w:val="231F20"/>
          <w:spacing w:val="-11"/>
        </w:rPr>
        <w:t> </w:t>
      </w:r>
      <w:r>
        <w:rPr>
          <w:color w:val="231F20"/>
          <w:spacing w:val="-2"/>
        </w:rPr>
        <w:t>for</w:t>
      </w:r>
      <w:r>
        <w:rPr>
          <w:color w:val="231F20"/>
          <w:spacing w:val="-11"/>
        </w:rPr>
        <w:t> </w:t>
      </w:r>
      <w:r>
        <w:rPr>
          <w:color w:val="231F20"/>
          <w:spacing w:val="-2"/>
        </w:rPr>
        <w:t>example)</w:t>
      </w:r>
      <w:r>
        <w:rPr>
          <w:color w:val="231F20"/>
          <w:spacing w:val="-11"/>
        </w:rPr>
        <w:t> </w:t>
      </w:r>
      <w:r>
        <w:rPr>
          <w:color w:val="231F20"/>
          <w:spacing w:val="-2"/>
        </w:rPr>
        <w:t>or</w:t>
      </w:r>
      <w:r>
        <w:rPr>
          <w:color w:val="231F20"/>
          <w:spacing w:val="-11"/>
        </w:rPr>
        <w:t> </w:t>
      </w:r>
      <w:r>
        <w:rPr>
          <w:color w:val="231F20"/>
          <w:spacing w:val="-2"/>
        </w:rPr>
        <w:t>the </w:t>
      </w:r>
      <w:r>
        <w:rPr>
          <w:color w:val="231F20"/>
        </w:rPr>
        <w:t>number of connections.</w:t>
      </w:r>
    </w:p>
    <w:p>
      <w:pPr>
        <w:pStyle w:val="BodyText"/>
        <w:spacing w:line="268" w:lineRule="auto"/>
        <w:ind w:left="3360" w:firstLine="300"/>
        <w:jc w:val="both"/>
      </w:pPr>
      <w:r>
        <w:rPr>
          <w:color w:val="231F20"/>
          <w:spacing w:val="-2"/>
        </w:rPr>
        <w:t>LPI</w:t>
      </w:r>
      <w:r>
        <w:rPr>
          <w:color w:val="231F20"/>
          <w:spacing w:val="-8"/>
        </w:rPr>
        <w:t> </w:t>
      </w:r>
      <w:r>
        <w:rPr>
          <w:color w:val="231F20"/>
          <w:spacing w:val="-2"/>
        </w:rPr>
        <w:t>scores</w:t>
      </w:r>
      <w:r>
        <w:rPr>
          <w:color w:val="231F20"/>
          <w:spacing w:val="-8"/>
        </w:rPr>
        <w:t> </w:t>
      </w:r>
      <w:r>
        <w:rPr>
          <w:color w:val="231F20"/>
          <w:spacing w:val="-2"/>
        </w:rPr>
        <w:t>are</w:t>
      </w:r>
      <w:r>
        <w:rPr>
          <w:color w:val="231F20"/>
          <w:spacing w:val="-8"/>
        </w:rPr>
        <w:t> </w:t>
      </w:r>
      <w:r>
        <w:rPr>
          <w:color w:val="231F20"/>
          <w:spacing w:val="-2"/>
        </w:rPr>
        <w:t>closely</w:t>
      </w:r>
      <w:r>
        <w:rPr>
          <w:color w:val="231F20"/>
          <w:spacing w:val="-8"/>
        </w:rPr>
        <w:t> </w:t>
      </w:r>
      <w:r>
        <w:rPr>
          <w:color w:val="231F20"/>
          <w:spacing w:val="-2"/>
        </w:rPr>
        <w:t>associated</w:t>
      </w:r>
      <w:r>
        <w:rPr>
          <w:color w:val="231F20"/>
          <w:spacing w:val="-8"/>
        </w:rPr>
        <w:t> </w:t>
      </w:r>
      <w:r>
        <w:rPr>
          <w:color w:val="231F20"/>
          <w:spacing w:val="-2"/>
        </w:rPr>
        <w:t>with</w:t>
      </w:r>
      <w:r>
        <w:rPr>
          <w:color w:val="231F20"/>
          <w:spacing w:val="-8"/>
        </w:rPr>
        <w:t> </w:t>
      </w:r>
      <w:r>
        <w:rPr>
          <w:color w:val="231F20"/>
          <w:spacing w:val="-2"/>
        </w:rPr>
        <w:t>the </w:t>
      </w:r>
      <w:r>
        <w:rPr>
          <w:color w:val="231F20"/>
        </w:rPr>
        <w:t>number of direct international connections </w:t>
      </w:r>
      <w:r>
        <w:rPr>
          <w:color w:val="231F20"/>
          <w:spacing w:val="-6"/>
        </w:rPr>
        <w:t>through shipping, air, or postal networks, espe- </w:t>
      </w:r>
      <w:r>
        <w:rPr>
          <w:color w:val="231F20"/>
          <w:w w:val="90"/>
        </w:rPr>
        <w:t>cially for top logistics performers and countries with high liner shipping connectivity. Logistics </w:t>
      </w:r>
      <w:r>
        <w:rPr>
          <w:color w:val="231F20"/>
          <w:spacing w:val="-2"/>
        </w:rPr>
        <w:t>connectivity</w:t>
      </w:r>
      <w:r>
        <w:rPr>
          <w:color w:val="231F20"/>
          <w:spacing w:val="13"/>
        </w:rPr>
        <w:t> </w:t>
      </w:r>
      <w:r>
        <w:rPr>
          <w:color w:val="231F20"/>
          <w:spacing w:val="-2"/>
        </w:rPr>
        <w:t>enhances</w:t>
      </w:r>
      <w:r>
        <w:rPr>
          <w:color w:val="231F20"/>
          <w:spacing w:val="14"/>
        </w:rPr>
        <w:t> </w:t>
      </w:r>
      <w:r>
        <w:rPr>
          <w:color w:val="231F20"/>
          <w:spacing w:val="-2"/>
        </w:rPr>
        <w:t>logistics</w:t>
      </w:r>
      <w:r>
        <w:rPr>
          <w:color w:val="231F20"/>
          <w:spacing w:val="13"/>
        </w:rPr>
        <w:t> </w:t>
      </w:r>
      <w:r>
        <w:rPr>
          <w:color w:val="231F20"/>
          <w:spacing w:val="-2"/>
        </w:rPr>
        <w:t>performance</w:t>
      </w:r>
    </w:p>
    <w:p>
      <w:pPr>
        <w:pStyle w:val="BodyText"/>
        <w:spacing w:line="268" w:lineRule="auto"/>
        <w:ind w:left="3160" w:right="1"/>
        <w:jc w:val="right"/>
      </w:pPr>
      <w:r>
        <w:rPr>
          <w:color w:val="231F20"/>
        </w:rPr>
        <w:t>—for</w:t>
      </w:r>
      <w:r>
        <w:rPr>
          <w:color w:val="231F20"/>
          <w:spacing w:val="40"/>
        </w:rPr>
        <w:t> </w:t>
      </w:r>
      <w:r>
        <w:rPr>
          <w:color w:val="231F20"/>
        </w:rPr>
        <w:t>example,</w:t>
      </w:r>
      <w:r>
        <w:rPr>
          <w:color w:val="231F20"/>
          <w:spacing w:val="40"/>
        </w:rPr>
        <w:t> </w:t>
      </w:r>
      <w:r>
        <w:rPr>
          <w:color w:val="231F20"/>
        </w:rPr>
        <w:t>by</w:t>
      </w:r>
      <w:r>
        <w:rPr>
          <w:color w:val="231F20"/>
          <w:spacing w:val="40"/>
        </w:rPr>
        <w:t> </w:t>
      </w:r>
      <w:r>
        <w:rPr>
          <w:color w:val="231F20"/>
        </w:rPr>
        <w:t>increasing</w:t>
      </w:r>
      <w:r>
        <w:rPr>
          <w:color w:val="231F20"/>
          <w:spacing w:val="40"/>
        </w:rPr>
        <w:t> </w:t>
      </w:r>
      <w:r>
        <w:rPr>
          <w:color w:val="231F20"/>
        </w:rPr>
        <w:t>exposure</w:t>
      </w:r>
      <w:r>
        <w:rPr>
          <w:color w:val="231F20"/>
          <w:spacing w:val="40"/>
        </w:rPr>
        <w:t> </w:t>
      </w:r>
      <w:r>
        <w:rPr>
          <w:color w:val="231F20"/>
        </w:rPr>
        <w:t>to </w:t>
      </w:r>
      <w:r>
        <w:rPr>
          <w:color w:val="231F20"/>
          <w:spacing w:val="-2"/>
        </w:rPr>
        <w:t>global</w:t>
      </w:r>
      <w:r>
        <w:rPr>
          <w:color w:val="231F20"/>
          <w:spacing w:val="-12"/>
        </w:rPr>
        <w:t> </w:t>
      </w:r>
      <w:r>
        <w:rPr>
          <w:color w:val="231F20"/>
          <w:spacing w:val="-2"/>
        </w:rPr>
        <w:t>operators</w:t>
      </w:r>
      <w:r>
        <w:rPr>
          <w:color w:val="231F20"/>
          <w:spacing w:val="-11"/>
        </w:rPr>
        <w:t> </w:t>
      </w:r>
      <w:r>
        <w:rPr>
          <w:color w:val="231F20"/>
          <w:spacing w:val="-2"/>
        </w:rPr>
        <w:t>and</w:t>
      </w:r>
      <w:r>
        <w:rPr>
          <w:color w:val="231F20"/>
          <w:spacing w:val="-11"/>
        </w:rPr>
        <w:t> </w:t>
      </w:r>
      <w:r>
        <w:rPr>
          <w:color w:val="231F20"/>
          <w:spacing w:val="-2"/>
        </w:rPr>
        <w:t>practices—with</w:t>
      </w:r>
      <w:r>
        <w:rPr>
          <w:color w:val="231F20"/>
          <w:spacing w:val="-11"/>
        </w:rPr>
        <w:t> </w:t>
      </w:r>
      <w:r>
        <w:rPr>
          <w:color w:val="231F20"/>
          <w:spacing w:val="-2"/>
        </w:rPr>
        <w:t>positive spillovers</w:t>
      </w:r>
      <w:r>
        <w:rPr>
          <w:color w:val="231F20"/>
          <w:spacing w:val="-9"/>
        </w:rPr>
        <w:t> </w:t>
      </w:r>
      <w:r>
        <w:rPr>
          <w:color w:val="231F20"/>
          <w:spacing w:val="-2"/>
        </w:rPr>
        <w:t>on</w:t>
      </w:r>
      <w:r>
        <w:rPr>
          <w:color w:val="231F20"/>
          <w:spacing w:val="-9"/>
        </w:rPr>
        <w:t> </w:t>
      </w:r>
      <w:r>
        <w:rPr>
          <w:color w:val="231F20"/>
          <w:spacing w:val="-2"/>
        </w:rPr>
        <w:t>the</w:t>
      </w:r>
      <w:r>
        <w:rPr>
          <w:color w:val="231F20"/>
          <w:spacing w:val="-9"/>
        </w:rPr>
        <w:t> </w:t>
      </w:r>
      <w:r>
        <w:rPr>
          <w:color w:val="231F20"/>
          <w:spacing w:val="-2"/>
        </w:rPr>
        <w:t>quality</w:t>
      </w:r>
      <w:r>
        <w:rPr>
          <w:color w:val="231F20"/>
          <w:spacing w:val="-9"/>
        </w:rPr>
        <w:t> </w:t>
      </w:r>
      <w:r>
        <w:rPr>
          <w:color w:val="231F20"/>
          <w:spacing w:val="-2"/>
        </w:rPr>
        <w:t>of</w:t>
      </w:r>
      <w:r>
        <w:rPr>
          <w:color w:val="231F20"/>
          <w:spacing w:val="-9"/>
        </w:rPr>
        <w:t> </w:t>
      </w:r>
      <w:r>
        <w:rPr>
          <w:color w:val="231F20"/>
          <w:spacing w:val="-2"/>
        </w:rPr>
        <w:t>domestic</w:t>
      </w:r>
      <w:r>
        <w:rPr>
          <w:color w:val="231F20"/>
          <w:spacing w:val="-9"/>
        </w:rPr>
        <w:t> </w:t>
      </w:r>
      <w:r>
        <w:rPr>
          <w:color w:val="231F20"/>
          <w:spacing w:val="-2"/>
        </w:rPr>
        <w:t>logistics </w:t>
      </w:r>
      <w:r>
        <w:rPr>
          <w:color w:val="231F20"/>
          <w:spacing w:val="-6"/>
        </w:rPr>
        <w:t>services</w:t>
      </w:r>
      <w:r>
        <w:rPr>
          <w:color w:val="231F20"/>
          <w:spacing w:val="-7"/>
        </w:rPr>
        <w:t> </w:t>
      </w:r>
      <w:r>
        <w:rPr>
          <w:color w:val="231F20"/>
          <w:spacing w:val="-6"/>
        </w:rPr>
        <w:t>through</w:t>
      </w:r>
      <w:r>
        <w:rPr>
          <w:color w:val="231F20"/>
          <w:spacing w:val="-7"/>
        </w:rPr>
        <w:t> </w:t>
      </w:r>
      <w:r>
        <w:rPr>
          <w:color w:val="231F20"/>
          <w:spacing w:val="-6"/>
        </w:rPr>
        <w:t>higher</w:t>
      </w:r>
      <w:r>
        <w:rPr>
          <w:color w:val="231F20"/>
          <w:spacing w:val="-7"/>
        </w:rPr>
        <w:t> </w:t>
      </w:r>
      <w:r>
        <w:rPr>
          <w:color w:val="231F20"/>
          <w:spacing w:val="-6"/>
        </w:rPr>
        <w:t>productivity</w:t>
      </w:r>
      <w:r>
        <w:rPr>
          <w:color w:val="231F20"/>
          <w:spacing w:val="-7"/>
        </w:rPr>
        <w:t> </w:t>
      </w:r>
      <w:r>
        <w:rPr>
          <w:color w:val="231F20"/>
          <w:spacing w:val="-6"/>
        </w:rPr>
        <w:t>and</w:t>
      </w:r>
      <w:r>
        <w:rPr>
          <w:color w:val="231F20"/>
          <w:spacing w:val="-7"/>
        </w:rPr>
        <w:t> </w:t>
      </w:r>
      <w:r>
        <w:rPr>
          <w:color w:val="231F20"/>
          <w:spacing w:val="-6"/>
        </w:rPr>
        <w:t>use</w:t>
      </w:r>
      <w:r>
        <w:rPr>
          <w:color w:val="231F20"/>
          <w:spacing w:val="-7"/>
        </w:rPr>
        <w:t> </w:t>
      </w:r>
      <w:r>
        <w:rPr>
          <w:color w:val="231F20"/>
          <w:spacing w:val="-6"/>
        </w:rPr>
        <w:t>of </w:t>
      </w:r>
      <w:r>
        <w:rPr>
          <w:color w:val="231F20"/>
          <w:spacing w:val="-4"/>
        </w:rPr>
        <w:t>latest technology. Increased connectivity usu- </w:t>
      </w:r>
      <w:r>
        <w:rPr>
          <w:color w:val="231F20"/>
          <w:w w:val="90"/>
        </w:rPr>
        <w:t>ally also means more operators and competition. </w:t>
      </w:r>
      <w:r>
        <w:rPr>
          <w:color w:val="231F20"/>
        </w:rPr>
        <w:t>Beyond</w:t>
      </w:r>
      <w:r>
        <w:rPr>
          <w:color w:val="231F20"/>
          <w:spacing w:val="-10"/>
        </w:rPr>
        <w:t> </w:t>
      </w:r>
      <w:r>
        <w:rPr>
          <w:color w:val="231F20"/>
        </w:rPr>
        <w:t>averages,</w:t>
      </w:r>
      <w:r>
        <w:rPr>
          <w:color w:val="231F20"/>
          <w:spacing w:val="-10"/>
        </w:rPr>
        <w:t> </w:t>
      </w:r>
      <w:r>
        <w:rPr>
          <w:color w:val="231F20"/>
        </w:rPr>
        <w:t>the</w:t>
      </w:r>
      <w:r>
        <w:rPr>
          <w:color w:val="231F20"/>
          <w:spacing w:val="-10"/>
        </w:rPr>
        <w:t> </w:t>
      </w:r>
      <w:r>
        <w:rPr>
          <w:color w:val="231F20"/>
        </w:rPr>
        <w:t>new</w:t>
      </w:r>
      <w:r>
        <w:rPr>
          <w:color w:val="231F20"/>
          <w:spacing w:val="-10"/>
        </w:rPr>
        <w:t> </w:t>
      </w:r>
      <w:r>
        <w:rPr>
          <w:color w:val="231F20"/>
        </w:rPr>
        <w:t>data</w:t>
      </w:r>
      <w:r>
        <w:rPr>
          <w:color w:val="231F20"/>
          <w:spacing w:val="-10"/>
        </w:rPr>
        <w:t> </w:t>
      </w:r>
      <w:r>
        <w:rPr>
          <w:color w:val="231F20"/>
        </w:rPr>
        <w:t>provide</w:t>
      </w:r>
      <w:r>
        <w:rPr>
          <w:color w:val="231F20"/>
          <w:spacing w:val="-10"/>
        </w:rPr>
        <w:t> </w:t>
      </w:r>
      <w:r>
        <w:rPr>
          <w:color w:val="231F20"/>
        </w:rPr>
        <w:t>de- tailed</w:t>
      </w:r>
      <w:r>
        <w:rPr>
          <w:color w:val="231F20"/>
          <w:spacing w:val="-1"/>
        </w:rPr>
        <w:t> </w:t>
      </w:r>
      <w:r>
        <w:rPr>
          <w:color w:val="231F20"/>
        </w:rPr>
        <w:t>information</w:t>
      </w:r>
      <w:r>
        <w:rPr>
          <w:color w:val="231F20"/>
          <w:spacing w:val="-1"/>
        </w:rPr>
        <w:t> </w:t>
      </w:r>
      <w:r>
        <w:rPr>
          <w:color w:val="231F20"/>
        </w:rPr>
        <w:t>on</w:t>
      </w:r>
      <w:r>
        <w:rPr>
          <w:color w:val="231F20"/>
          <w:spacing w:val="-1"/>
        </w:rPr>
        <w:t> </w:t>
      </w:r>
      <w:r>
        <w:rPr>
          <w:color w:val="231F20"/>
        </w:rPr>
        <w:t>the</w:t>
      </w:r>
      <w:r>
        <w:rPr>
          <w:color w:val="231F20"/>
          <w:spacing w:val="-1"/>
        </w:rPr>
        <w:t> </w:t>
      </w:r>
      <w:r>
        <w:rPr>
          <w:color w:val="231F20"/>
        </w:rPr>
        <w:t>structure</w:t>
      </w:r>
      <w:r>
        <w:rPr>
          <w:color w:val="231F20"/>
          <w:spacing w:val="-1"/>
        </w:rPr>
        <w:t> </w:t>
      </w:r>
      <w:r>
        <w:rPr>
          <w:color w:val="231F20"/>
        </w:rPr>
        <w:t>of</w:t>
      </w:r>
      <w:r>
        <w:rPr>
          <w:color w:val="231F20"/>
          <w:spacing w:val="-1"/>
        </w:rPr>
        <w:t> </w:t>
      </w:r>
      <w:r>
        <w:rPr>
          <w:color w:val="231F20"/>
        </w:rPr>
        <w:t>delays </w:t>
      </w:r>
      <w:r>
        <w:rPr>
          <w:color w:val="231F20"/>
          <w:spacing w:val="-6"/>
        </w:rPr>
        <w:t>such</w:t>
      </w:r>
      <w:r>
        <w:rPr>
          <w:color w:val="231F20"/>
          <w:spacing w:val="-11"/>
        </w:rPr>
        <w:t> </w:t>
      </w:r>
      <w:r>
        <w:rPr>
          <w:color w:val="231F20"/>
          <w:spacing w:val="-6"/>
        </w:rPr>
        <w:t>as</w:t>
      </w:r>
      <w:r>
        <w:rPr>
          <w:color w:val="231F20"/>
          <w:spacing w:val="-11"/>
        </w:rPr>
        <w:t> </w:t>
      </w:r>
      <w:r>
        <w:rPr>
          <w:color w:val="231F20"/>
          <w:spacing w:val="-6"/>
        </w:rPr>
        <w:t>distribution</w:t>
      </w:r>
      <w:r>
        <w:rPr>
          <w:color w:val="231F20"/>
          <w:spacing w:val="-11"/>
        </w:rPr>
        <w:t> </w:t>
      </w:r>
      <w:r>
        <w:rPr>
          <w:color w:val="231F20"/>
          <w:spacing w:val="-6"/>
        </w:rPr>
        <w:t>of</w:t>
      </w:r>
      <w:r>
        <w:rPr>
          <w:color w:val="231F20"/>
          <w:spacing w:val="-11"/>
        </w:rPr>
        <w:t> </w:t>
      </w:r>
      <w:r>
        <w:rPr>
          <w:color w:val="231F20"/>
          <w:spacing w:val="-6"/>
        </w:rPr>
        <w:t>time</w:t>
      </w:r>
      <w:r>
        <w:rPr>
          <w:color w:val="231F20"/>
          <w:spacing w:val="-11"/>
        </w:rPr>
        <w:t> </w:t>
      </w:r>
      <w:r>
        <w:rPr>
          <w:color w:val="231F20"/>
          <w:spacing w:val="-6"/>
        </w:rPr>
        <w:t>spent</w:t>
      </w:r>
      <w:r>
        <w:rPr>
          <w:color w:val="231F20"/>
          <w:spacing w:val="-11"/>
        </w:rPr>
        <w:t> </w:t>
      </w:r>
      <w:r>
        <w:rPr>
          <w:color w:val="231F20"/>
          <w:spacing w:val="-6"/>
        </w:rPr>
        <w:t>at</w:t>
      </w:r>
      <w:r>
        <w:rPr>
          <w:color w:val="231F20"/>
          <w:spacing w:val="-11"/>
        </w:rPr>
        <w:t> </w:t>
      </w:r>
      <w:r>
        <w:rPr>
          <w:color w:val="231F20"/>
          <w:spacing w:val="-6"/>
        </w:rPr>
        <w:t>ports</w:t>
      </w:r>
      <w:r>
        <w:rPr>
          <w:color w:val="231F20"/>
          <w:spacing w:val="-11"/>
        </w:rPr>
        <w:t> </w:t>
      </w:r>
      <w:r>
        <w:rPr>
          <w:color w:val="231F20"/>
          <w:spacing w:val="-6"/>
        </w:rPr>
        <w:t>or</w:t>
      </w:r>
      <w:r>
        <w:rPr>
          <w:color w:val="231F20"/>
          <w:spacing w:val="-11"/>
        </w:rPr>
        <w:t> </w:t>
      </w:r>
      <w:r>
        <w:rPr>
          <w:color w:val="231F20"/>
          <w:spacing w:val="-6"/>
        </w:rPr>
        <w:t>air- </w:t>
      </w:r>
      <w:r>
        <w:rPr>
          <w:color w:val="231F20"/>
          <w:w w:val="90"/>
        </w:rPr>
        <w:t>ports.</w:t>
      </w:r>
      <w:r>
        <w:rPr>
          <w:color w:val="231F20"/>
          <w:spacing w:val="9"/>
        </w:rPr>
        <w:t> </w:t>
      </w:r>
      <w:r>
        <w:rPr>
          <w:color w:val="231F20"/>
          <w:w w:val="90"/>
        </w:rPr>
        <w:t>Dwell</w:t>
      </w:r>
      <w:r>
        <w:rPr>
          <w:color w:val="231F20"/>
          <w:spacing w:val="10"/>
        </w:rPr>
        <w:t> </w:t>
      </w:r>
      <w:r>
        <w:rPr>
          <w:color w:val="231F20"/>
          <w:w w:val="90"/>
        </w:rPr>
        <w:t>time</w:t>
      </w:r>
      <w:r>
        <w:rPr>
          <w:color w:val="231F20"/>
          <w:spacing w:val="10"/>
        </w:rPr>
        <w:t> </w:t>
      </w:r>
      <w:r>
        <w:rPr>
          <w:color w:val="231F20"/>
          <w:w w:val="90"/>
        </w:rPr>
        <w:t>at</w:t>
      </w:r>
      <w:r>
        <w:rPr>
          <w:color w:val="231F20"/>
          <w:spacing w:val="10"/>
        </w:rPr>
        <w:t> </w:t>
      </w:r>
      <w:r>
        <w:rPr>
          <w:color w:val="231F20"/>
          <w:w w:val="90"/>
        </w:rPr>
        <w:t>hubs</w:t>
      </w:r>
      <w:r>
        <w:rPr>
          <w:color w:val="231F20"/>
          <w:spacing w:val="10"/>
        </w:rPr>
        <w:t> </w:t>
      </w:r>
      <w:r>
        <w:rPr>
          <w:color w:val="231F20"/>
          <w:w w:val="90"/>
        </w:rPr>
        <w:t>and</w:t>
      </w:r>
      <w:r>
        <w:rPr>
          <w:color w:val="231F20"/>
          <w:spacing w:val="10"/>
        </w:rPr>
        <w:t> </w:t>
      </w:r>
      <w:r>
        <w:rPr>
          <w:color w:val="231F20"/>
          <w:w w:val="90"/>
        </w:rPr>
        <w:t>gateways—</w:t>
      </w:r>
      <w:r>
        <w:rPr>
          <w:color w:val="231F20"/>
          <w:spacing w:val="-4"/>
          <w:w w:val="90"/>
        </w:rPr>
        <w:t>when</w:t>
      </w:r>
    </w:p>
    <w:p>
      <w:pPr>
        <w:pStyle w:val="BodyText"/>
        <w:spacing w:line="268" w:lineRule="auto" w:before="97"/>
        <w:ind w:left="92" w:right="657"/>
        <w:jc w:val="right"/>
      </w:pPr>
      <w:r>
        <w:rPr/>
        <w:br w:type="column"/>
      </w:r>
      <w:r>
        <w:rPr>
          <w:color w:val="231F20"/>
          <w:spacing w:val="-4"/>
        </w:rPr>
        <w:t>containers</w:t>
      </w:r>
      <w:r>
        <w:rPr>
          <w:color w:val="231F20"/>
          <w:spacing w:val="-5"/>
        </w:rPr>
        <w:t> </w:t>
      </w:r>
      <w:r>
        <w:rPr>
          <w:color w:val="231F20"/>
          <w:spacing w:val="-4"/>
        </w:rPr>
        <w:t>are</w:t>
      </w:r>
      <w:r>
        <w:rPr>
          <w:color w:val="231F20"/>
          <w:spacing w:val="-5"/>
        </w:rPr>
        <w:t> </w:t>
      </w:r>
      <w:r>
        <w:rPr>
          <w:color w:val="231F20"/>
          <w:spacing w:val="-4"/>
        </w:rPr>
        <w:t>not</w:t>
      </w:r>
      <w:r>
        <w:rPr>
          <w:color w:val="231F20"/>
          <w:spacing w:val="-5"/>
        </w:rPr>
        <w:t> </w:t>
      </w:r>
      <w:r>
        <w:rPr>
          <w:color w:val="231F20"/>
          <w:spacing w:val="-4"/>
        </w:rPr>
        <w:t>in</w:t>
      </w:r>
      <w:r>
        <w:rPr>
          <w:color w:val="231F20"/>
          <w:spacing w:val="-5"/>
        </w:rPr>
        <w:t> </w:t>
      </w:r>
      <w:r>
        <w:rPr>
          <w:color w:val="231F20"/>
          <w:spacing w:val="-4"/>
        </w:rPr>
        <w:t>motion—contributes</w:t>
      </w:r>
      <w:r>
        <w:rPr>
          <w:color w:val="231F20"/>
          <w:spacing w:val="-5"/>
        </w:rPr>
        <w:t> </w:t>
      </w:r>
      <w:r>
        <w:rPr>
          <w:color w:val="231F20"/>
          <w:spacing w:val="-4"/>
        </w:rPr>
        <w:t>dis- </w:t>
      </w:r>
      <w:r>
        <w:rPr>
          <w:color w:val="231F20"/>
        </w:rPr>
        <w:t>proportionately</w:t>
      </w:r>
      <w:r>
        <w:rPr>
          <w:color w:val="231F20"/>
          <w:spacing w:val="-14"/>
        </w:rPr>
        <w:t> </w:t>
      </w:r>
      <w:r>
        <w:rPr>
          <w:color w:val="231F20"/>
        </w:rPr>
        <w:t>to</w:t>
      </w:r>
      <w:r>
        <w:rPr>
          <w:color w:val="231F20"/>
          <w:spacing w:val="-13"/>
        </w:rPr>
        <w:t> </w:t>
      </w:r>
      <w:r>
        <w:rPr>
          <w:color w:val="231F20"/>
        </w:rPr>
        <w:t>the</w:t>
      </w:r>
      <w:r>
        <w:rPr>
          <w:color w:val="231F20"/>
          <w:spacing w:val="-13"/>
        </w:rPr>
        <w:t> </w:t>
      </w:r>
      <w:r>
        <w:rPr>
          <w:color w:val="231F20"/>
        </w:rPr>
        <w:t>variability</w:t>
      </w:r>
      <w:r>
        <w:rPr>
          <w:color w:val="231F20"/>
          <w:spacing w:val="-13"/>
        </w:rPr>
        <w:t> </w:t>
      </w:r>
      <w:r>
        <w:rPr>
          <w:color w:val="231F20"/>
        </w:rPr>
        <w:t>of</w:t>
      </w:r>
      <w:r>
        <w:rPr>
          <w:color w:val="231F20"/>
          <w:spacing w:val="-13"/>
        </w:rPr>
        <w:t> </w:t>
      </w:r>
      <w:r>
        <w:rPr>
          <w:color w:val="231F20"/>
        </w:rPr>
        <w:t>lead</w:t>
      </w:r>
      <w:r>
        <w:rPr>
          <w:color w:val="231F20"/>
          <w:spacing w:val="-13"/>
        </w:rPr>
        <w:t> </w:t>
      </w:r>
      <w:r>
        <w:rPr>
          <w:color w:val="231F20"/>
        </w:rPr>
        <w:t>time </w:t>
      </w:r>
      <w:r>
        <w:rPr>
          <w:color w:val="231F20"/>
          <w:spacing w:val="-2"/>
        </w:rPr>
        <w:t>and</w:t>
      </w:r>
      <w:r>
        <w:rPr>
          <w:color w:val="231F20"/>
          <w:spacing w:val="-6"/>
        </w:rPr>
        <w:t> </w:t>
      </w:r>
      <w:r>
        <w:rPr>
          <w:color w:val="231F20"/>
          <w:spacing w:val="-2"/>
        </w:rPr>
        <w:t>reduce</w:t>
      </w:r>
      <w:r>
        <w:rPr>
          <w:color w:val="231F20"/>
          <w:spacing w:val="-6"/>
        </w:rPr>
        <w:t> </w:t>
      </w:r>
      <w:r>
        <w:rPr>
          <w:color w:val="231F20"/>
          <w:spacing w:val="-2"/>
        </w:rPr>
        <w:t>supply</w:t>
      </w:r>
      <w:r>
        <w:rPr>
          <w:color w:val="231F20"/>
          <w:spacing w:val="-6"/>
        </w:rPr>
        <w:t> </w:t>
      </w:r>
      <w:r>
        <w:rPr>
          <w:color w:val="231F20"/>
          <w:spacing w:val="-2"/>
        </w:rPr>
        <w:t>chain</w:t>
      </w:r>
      <w:r>
        <w:rPr>
          <w:color w:val="231F20"/>
          <w:spacing w:val="-6"/>
        </w:rPr>
        <w:t> </w:t>
      </w:r>
      <w:r>
        <w:rPr>
          <w:color w:val="231F20"/>
          <w:spacing w:val="-2"/>
        </w:rPr>
        <w:t>reliability.</w:t>
      </w:r>
      <w:r>
        <w:rPr>
          <w:color w:val="231F20"/>
          <w:spacing w:val="-6"/>
        </w:rPr>
        <w:t> </w:t>
      </w:r>
      <w:r>
        <w:rPr>
          <w:color w:val="231F20"/>
          <w:spacing w:val="-2"/>
        </w:rPr>
        <w:t>This</w:t>
      </w:r>
      <w:r>
        <w:rPr>
          <w:color w:val="231F20"/>
          <w:spacing w:val="-6"/>
        </w:rPr>
        <w:t> </w:t>
      </w:r>
      <w:r>
        <w:rPr>
          <w:color w:val="231F20"/>
          <w:spacing w:val="-2"/>
        </w:rPr>
        <w:t>sup- ports</w:t>
      </w:r>
      <w:r>
        <w:rPr>
          <w:color w:val="231F20"/>
          <w:spacing w:val="-12"/>
        </w:rPr>
        <w:t> </w:t>
      </w:r>
      <w:r>
        <w:rPr>
          <w:color w:val="231F20"/>
          <w:spacing w:val="-2"/>
        </w:rPr>
        <w:t>the</w:t>
      </w:r>
      <w:r>
        <w:rPr>
          <w:color w:val="231F20"/>
          <w:spacing w:val="-11"/>
        </w:rPr>
        <w:t> </w:t>
      </w:r>
      <w:r>
        <w:rPr>
          <w:color w:val="231F20"/>
          <w:spacing w:val="-2"/>
        </w:rPr>
        <w:t>policy</w:t>
      </w:r>
      <w:r>
        <w:rPr>
          <w:color w:val="231F20"/>
          <w:spacing w:val="-11"/>
        </w:rPr>
        <w:t> </w:t>
      </w:r>
      <w:r>
        <w:rPr>
          <w:color w:val="231F20"/>
          <w:spacing w:val="-2"/>
        </w:rPr>
        <w:t>focus</w:t>
      </w:r>
      <w:r>
        <w:rPr>
          <w:color w:val="231F20"/>
          <w:spacing w:val="-11"/>
        </w:rPr>
        <w:t> </w:t>
      </w:r>
      <w:r>
        <w:rPr>
          <w:color w:val="231F20"/>
          <w:spacing w:val="-2"/>
        </w:rPr>
        <w:t>on</w:t>
      </w:r>
      <w:r>
        <w:rPr>
          <w:color w:val="231F20"/>
          <w:spacing w:val="-11"/>
        </w:rPr>
        <w:t> </w:t>
      </w:r>
      <w:r>
        <w:rPr>
          <w:color w:val="231F20"/>
          <w:spacing w:val="-2"/>
        </w:rPr>
        <w:t>trade</w:t>
      </w:r>
      <w:r>
        <w:rPr>
          <w:color w:val="231F20"/>
          <w:spacing w:val="-11"/>
        </w:rPr>
        <w:t> </w:t>
      </w:r>
      <w:r>
        <w:rPr>
          <w:color w:val="231F20"/>
          <w:spacing w:val="-2"/>
        </w:rPr>
        <w:t>facilitation</w:t>
      </w:r>
      <w:r>
        <w:rPr>
          <w:color w:val="231F20"/>
          <w:spacing w:val="-11"/>
        </w:rPr>
        <w:t> </w:t>
      </w:r>
      <w:r>
        <w:rPr>
          <w:color w:val="231F20"/>
          <w:spacing w:val="-2"/>
        </w:rPr>
        <w:t>and </w:t>
      </w:r>
      <w:r>
        <w:rPr>
          <w:color w:val="231F20"/>
        </w:rPr>
        <w:t>on</w:t>
      </w:r>
      <w:r>
        <w:rPr>
          <w:color w:val="231F20"/>
          <w:spacing w:val="-2"/>
        </w:rPr>
        <w:t> </w:t>
      </w:r>
      <w:r>
        <w:rPr>
          <w:color w:val="231F20"/>
        </w:rPr>
        <w:t>soft</w:t>
      </w:r>
      <w:r>
        <w:rPr>
          <w:color w:val="231F20"/>
          <w:spacing w:val="-2"/>
        </w:rPr>
        <w:t> </w:t>
      </w:r>
      <w:r>
        <w:rPr>
          <w:color w:val="231F20"/>
        </w:rPr>
        <w:t>and</w:t>
      </w:r>
      <w:r>
        <w:rPr>
          <w:color w:val="231F20"/>
          <w:spacing w:val="-2"/>
        </w:rPr>
        <w:t> </w:t>
      </w:r>
      <w:r>
        <w:rPr>
          <w:color w:val="231F20"/>
        </w:rPr>
        <w:t>hard</w:t>
      </w:r>
      <w:r>
        <w:rPr>
          <w:color w:val="231F20"/>
          <w:spacing w:val="-2"/>
        </w:rPr>
        <w:t> </w:t>
      </w:r>
      <w:r>
        <w:rPr>
          <w:color w:val="231F20"/>
        </w:rPr>
        <w:t>infrastructure</w:t>
      </w:r>
      <w:r>
        <w:rPr>
          <w:color w:val="231F20"/>
          <w:spacing w:val="-2"/>
        </w:rPr>
        <w:t> </w:t>
      </w:r>
      <w:r>
        <w:rPr>
          <w:color w:val="231F20"/>
        </w:rPr>
        <w:t>at</w:t>
      </w:r>
      <w:r>
        <w:rPr>
          <w:color w:val="231F20"/>
          <w:spacing w:val="-2"/>
        </w:rPr>
        <w:t> </w:t>
      </w:r>
      <w:r>
        <w:rPr>
          <w:color w:val="231F20"/>
        </w:rPr>
        <w:t>trade</w:t>
      </w:r>
      <w:r>
        <w:rPr>
          <w:color w:val="231F20"/>
          <w:spacing w:val="-2"/>
        </w:rPr>
        <w:t> </w:t>
      </w:r>
      <w:r>
        <w:rPr>
          <w:color w:val="231F20"/>
        </w:rPr>
        <w:t>gate- ways</w:t>
      </w:r>
      <w:r>
        <w:rPr>
          <w:color w:val="231F20"/>
          <w:spacing w:val="-14"/>
        </w:rPr>
        <w:t> </w:t>
      </w:r>
      <w:r>
        <w:rPr>
          <w:color w:val="231F20"/>
        </w:rPr>
        <w:t>and</w:t>
      </w:r>
      <w:r>
        <w:rPr>
          <w:color w:val="231F20"/>
          <w:spacing w:val="-13"/>
        </w:rPr>
        <w:t> </w:t>
      </w:r>
      <w:r>
        <w:rPr>
          <w:color w:val="231F20"/>
        </w:rPr>
        <w:t>hubs,</w:t>
      </w:r>
      <w:r>
        <w:rPr>
          <w:color w:val="231F20"/>
          <w:spacing w:val="-13"/>
        </w:rPr>
        <w:t> </w:t>
      </w:r>
      <w:r>
        <w:rPr>
          <w:color w:val="231F20"/>
        </w:rPr>
        <w:t>such</w:t>
      </w:r>
      <w:r>
        <w:rPr>
          <w:color w:val="231F20"/>
          <w:spacing w:val="-13"/>
        </w:rPr>
        <w:t> </w:t>
      </w:r>
      <w:r>
        <w:rPr>
          <w:color w:val="231F20"/>
        </w:rPr>
        <w:t>as</w:t>
      </w:r>
      <w:r>
        <w:rPr>
          <w:color w:val="231F20"/>
          <w:spacing w:val="-13"/>
        </w:rPr>
        <w:t> </w:t>
      </w:r>
      <w:r>
        <w:rPr>
          <w:color w:val="231F20"/>
        </w:rPr>
        <w:t>ports</w:t>
      </w:r>
      <w:r>
        <w:rPr>
          <w:color w:val="231F20"/>
          <w:spacing w:val="-13"/>
        </w:rPr>
        <w:t> </w:t>
      </w:r>
      <w:r>
        <w:rPr>
          <w:color w:val="231F20"/>
        </w:rPr>
        <w:t>and</w:t>
      </w:r>
      <w:r>
        <w:rPr>
          <w:color w:val="231F20"/>
          <w:spacing w:val="-13"/>
        </w:rPr>
        <w:t> </w:t>
      </w:r>
      <w:r>
        <w:rPr>
          <w:color w:val="231F20"/>
        </w:rPr>
        <w:t>multimodal </w:t>
      </w:r>
      <w:r>
        <w:rPr>
          <w:color w:val="231F20"/>
          <w:spacing w:val="-6"/>
        </w:rPr>
        <w:t>facilities. These interventions may both reduce </w:t>
      </w:r>
      <w:r>
        <w:rPr>
          <w:color w:val="231F20"/>
          <w:w w:val="90"/>
        </w:rPr>
        <w:t>trade times and increase supply chain reliability. </w:t>
      </w:r>
      <w:r>
        <w:rPr>
          <w:color w:val="231F20"/>
        </w:rPr>
        <w:t>Delay</w:t>
      </w:r>
      <w:r>
        <w:rPr>
          <w:color w:val="231F20"/>
          <w:spacing w:val="-2"/>
        </w:rPr>
        <w:t> </w:t>
      </w:r>
      <w:r>
        <w:rPr>
          <w:color w:val="231F20"/>
        </w:rPr>
        <w:t>key</w:t>
      </w:r>
      <w:r>
        <w:rPr>
          <w:color w:val="231F20"/>
          <w:spacing w:val="-2"/>
        </w:rPr>
        <w:t> </w:t>
      </w:r>
      <w:r>
        <w:rPr>
          <w:color w:val="231F20"/>
        </w:rPr>
        <w:t>performance</w:t>
      </w:r>
      <w:r>
        <w:rPr>
          <w:color w:val="231F20"/>
          <w:spacing w:val="-2"/>
        </w:rPr>
        <w:t> </w:t>
      </w:r>
      <w:r>
        <w:rPr>
          <w:color w:val="231F20"/>
        </w:rPr>
        <w:t>indicators,</w:t>
      </w:r>
      <w:r>
        <w:rPr>
          <w:color w:val="231F20"/>
          <w:spacing w:val="-2"/>
        </w:rPr>
        <w:t> </w:t>
      </w:r>
      <w:r>
        <w:rPr>
          <w:color w:val="231F20"/>
        </w:rPr>
        <w:t>such</w:t>
      </w:r>
      <w:r>
        <w:rPr>
          <w:color w:val="231F20"/>
          <w:spacing w:val="-2"/>
        </w:rPr>
        <w:t> </w:t>
      </w:r>
      <w:r>
        <w:rPr>
          <w:color w:val="231F20"/>
        </w:rPr>
        <w:t>as </w:t>
      </w:r>
      <w:r>
        <w:rPr>
          <w:color w:val="231F20"/>
          <w:spacing w:val="-2"/>
        </w:rPr>
        <w:t>port</w:t>
      </w:r>
      <w:r>
        <w:rPr>
          <w:color w:val="231F20"/>
          <w:spacing w:val="-8"/>
        </w:rPr>
        <w:t> </w:t>
      </w:r>
      <w:r>
        <w:rPr>
          <w:color w:val="231F20"/>
          <w:spacing w:val="-2"/>
        </w:rPr>
        <w:t>dwell</w:t>
      </w:r>
      <w:r>
        <w:rPr>
          <w:color w:val="231F20"/>
          <w:spacing w:val="-8"/>
        </w:rPr>
        <w:t> </w:t>
      </w:r>
      <w:r>
        <w:rPr>
          <w:color w:val="231F20"/>
          <w:spacing w:val="-2"/>
        </w:rPr>
        <w:t>time,</w:t>
      </w:r>
      <w:r>
        <w:rPr>
          <w:color w:val="231F20"/>
          <w:spacing w:val="-8"/>
        </w:rPr>
        <w:t> </w:t>
      </w:r>
      <w:r>
        <w:rPr>
          <w:color w:val="231F20"/>
          <w:spacing w:val="-2"/>
        </w:rPr>
        <w:t>point</w:t>
      </w:r>
      <w:r>
        <w:rPr>
          <w:color w:val="231F20"/>
          <w:spacing w:val="-8"/>
        </w:rPr>
        <w:t> </w:t>
      </w:r>
      <w:r>
        <w:rPr>
          <w:color w:val="231F20"/>
          <w:spacing w:val="-2"/>
        </w:rPr>
        <w:t>to</w:t>
      </w:r>
      <w:r>
        <w:rPr>
          <w:color w:val="231F20"/>
          <w:spacing w:val="-8"/>
        </w:rPr>
        <w:t> </w:t>
      </w:r>
      <w:r>
        <w:rPr>
          <w:color w:val="231F20"/>
          <w:spacing w:val="-2"/>
        </w:rPr>
        <w:t>a</w:t>
      </w:r>
      <w:r>
        <w:rPr>
          <w:color w:val="231F20"/>
          <w:spacing w:val="-8"/>
        </w:rPr>
        <w:t> </w:t>
      </w:r>
      <w:r>
        <w:rPr>
          <w:color w:val="231F20"/>
          <w:spacing w:val="-2"/>
        </w:rPr>
        <w:t>more</w:t>
      </w:r>
      <w:r>
        <w:rPr>
          <w:color w:val="231F20"/>
          <w:spacing w:val="-8"/>
        </w:rPr>
        <w:t> </w:t>
      </w:r>
      <w:r>
        <w:rPr>
          <w:color w:val="231F20"/>
          <w:spacing w:val="-2"/>
        </w:rPr>
        <w:t>complex</w:t>
      </w:r>
      <w:r>
        <w:rPr>
          <w:color w:val="231F20"/>
          <w:spacing w:val="-8"/>
        </w:rPr>
        <w:t> </w:t>
      </w:r>
      <w:r>
        <w:rPr>
          <w:color w:val="231F20"/>
          <w:spacing w:val="-2"/>
        </w:rPr>
        <w:t>pic- ture</w:t>
      </w:r>
      <w:r>
        <w:rPr>
          <w:color w:val="231F20"/>
          <w:spacing w:val="-5"/>
        </w:rPr>
        <w:t> </w:t>
      </w:r>
      <w:r>
        <w:rPr>
          <w:color w:val="231F20"/>
          <w:spacing w:val="-2"/>
        </w:rPr>
        <w:t>because</w:t>
      </w:r>
      <w:r>
        <w:rPr>
          <w:color w:val="231F20"/>
          <w:spacing w:val="-5"/>
        </w:rPr>
        <w:t> </w:t>
      </w:r>
      <w:r>
        <w:rPr>
          <w:color w:val="231F20"/>
          <w:spacing w:val="-2"/>
        </w:rPr>
        <w:t>they</w:t>
      </w:r>
      <w:r>
        <w:rPr>
          <w:color w:val="231F20"/>
          <w:spacing w:val="-5"/>
        </w:rPr>
        <w:t> </w:t>
      </w:r>
      <w:r>
        <w:rPr>
          <w:color w:val="231F20"/>
          <w:spacing w:val="-2"/>
        </w:rPr>
        <w:t>are</w:t>
      </w:r>
      <w:r>
        <w:rPr>
          <w:color w:val="231F20"/>
          <w:spacing w:val="-5"/>
        </w:rPr>
        <w:t> </w:t>
      </w:r>
      <w:r>
        <w:rPr>
          <w:color w:val="231F20"/>
          <w:spacing w:val="-2"/>
        </w:rPr>
        <w:t>less</w:t>
      </w:r>
      <w:r>
        <w:rPr>
          <w:color w:val="231F20"/>
          <w:spacing w:val="-5"/>
        </w:rPr>
        <w:t> </w:t>
      </w:r>
      <w:r>
        <w:rPr>
          <w:color w:val="231F20"/>
          <w:spacing w:val="-2"/>
        </w:rPr>
        <w:t>strongly</w:t>
      </w:r>
      <w:r>
        <w:rPr>
          <w:color w:val="231F20"/>
          <w:spacing w:val="-5"/>
        </w:rPr>
        <w:t> </w:t>
      </w:r>
      <w:r>
        <w:rPr>
          <w:color w:val="231F20"/>
          <w:spacing w:val="-2"/>
        </w:rPr>
        <w:t>associated with</w:t>
      </w:r>
      <w:r>
        <w:rPr>
          <w:color w:val="231F20"/>
          <w:spacing w:val="-10"/>
        </w:rPr>
        <w:t> </w:t>
      </w:r>
      <w:r>
        <w:rPr>
          <w:color w:val="231F20"/>
          <w:spacing w:val="-2"/>
        </w:rPr>
        <w:t>income</w:t>
      </w:r>
      <w:r>
        <w:rPr>
          <w:color w:val="231F20"/>
          <w:spacing w:val="-10"/>
        </w:rPr>
        <w:t> </w:t>
      </w:r>
      <w:r>
        <w:rPr>
          <w:color w:val="231F20"/>
          <w:spacing w:val="-2"/>
        </w:rPr>
        <w:t>group</w:t>
      </w:r>
      <w:r>
        <w:rPr>
          <w:color w:val="231F20"/>
          <w:spacing w:val="-10"/>
        </w:rPr>
        <w:t> </w:t>
      </w:r>
      <w:r>
        <w:rPr>
          <w:color w:val="231F20"/>
          <w:spacing w:val="-2"/>
        </w:rPr>
        <w:t>than</w:t>
      </w:r>
      <w:r>
        <w:rPr>
          <w:color w:val="231F20"/>
          <w:spacing w:val="-10"/>
        </w:rPr>
        <w:t> </w:t>
      </w:r>
      <w:r>
        <w:rPr>
          <w:color w:val="231F20"/>
          <w:spacing w:val="-2"/>
        </w:rPr>
        <w:t>LPI</w:t>
      </w:r>
      <w:r>
        <w:rPr>
          <w:color w:val="231F20"/>
          <w:spacing w:val="-10"/>
        </w:rPr>
        <w:t> </w:t>
      </w:r>
      <w:r>
        <w:rPr>
          <w:color w:val="231F20"/>
          <w:spacing w:val="-2"/>
        </w:rPr>
        <w:t>score</w:t>
      </w:r>
      <w:r>
        <w:rPr>
          <w:color w:val="231F20"/>
          <w:spacing w:val="-10"/>
        </w:rPr>
        <w:t> </w:t>
      </w:r>
      <w:r>
        <w:rPr>
          <w:color w:val="231F20"/>
          <w:spacing w:val="-2"/>
        </w:rPr>
        <w:t>is.</w:t>
      </w:r>
      <w:r>
        <w:rPr>
          <w:color w:val="231F20"/>
          <w:spacing w:val="-10"/>
        </w:rPr>
        <w:t> </w:t>
      </w:r>
      <w:r>
        <w:rPr>
          <w:color w:val="231F20"/>
          <w:spacing w:val="-2"/>
        </w:rPr>
        <w:t>That</w:t>
      </w:r>
      <w:r>
        <w:rPr>
          <w:color w:val="231F20"/>
          <w:spacing w:val="-10"/>
        </w:rPr>
        <w:t> </w:t>
      </w:r>
      <w:r>
        <w:rPr>
          <w:color w:val="231F20"/>
          <w:spacing w:val="-2"/>
        </w:rPr>
        <w:t>in- </w:t>
      </w:r>
      <w:r>
        <w:rPr>
          <w:color w:val="231F20"/>
          <w:w w:val="90"/>
        </w:rPr>
        <w:t>dustrialized economies often have longer delays </w:t>
      </w:r>
      <w:r>
        <w:rPr>
          <w:color w:val="231F20"/>
          <w:spacing w:val="-4"/>
        </w:rPr>
        <w:t>than</w:t>
      </w:r>
      <w:r>
        <w:rPr>
          <w:color w:val="231F20"/>
          <w:spacing w:val="-7"/>
        </w:rPr>
        <w:t> </w:t>
      </w:r>
      <w:r>
        <w:rPr>
          <w:color w:val="231F20"/>
          <w:spacing w:val="-4"/>
        </w:rPr>
        <w:t>emerging</w:t>
      </w:r>
      <w:r>
        <w:rPr>
          <w:color w:val="231F20"/>
          <w:spacing w:val="-7"/>
        </w:rPr>
        <w:t> </w:t>
      </w:r>
      <w:r>
        <w:rPr>
          <w:color w:val="231F20"/>
          <w:spacing w:val="-4"/>
        </w:rPr>
        <w:t>economies</w:t>
      </w:r>
      <w:r>
        <w:rPr>
          <w:color w:val="231F20"/>
          <w:spacing w:val="-7"/>
        </w:rPr>
        <w:t> </w:t>
      </w:r>
      <w:r>
        <w:rPr>
          <w:color w:val="231F20"/>
          <w:spacing w:val="-4"/>
        </w:rPr>
        <w:t>will</w:t>
      </w:r>
      <w:r>
        <w:rPr>
          <w:color w:val="231F20"/>
          <w:spacing w:val="-7"/>
        </w:rPr>
        <w:t> </w:t>
      </w:r>
      <w:r>
        <w:rPr>
          <w:color w:val="231F20"/>
          <w:spacing w:val="-4"/>
        </w:rPr>
        <w:t>have</w:t>
      </w:r>
      <w:r>
        <w:rPr>
          <w:color w:val="231F20"/>
          <w:spacing w:val="-7"/>
        </w:rPr>
        <w:t> </w:t>
      </w:r>
      <w:r>
        <w:rPr>
          <w:color w:val="231F20"/>
          <w:spacing w:val="-4"/>
        </w:rPr>
        <w:t>to</w:t>
      </w:r>
      <w:r>
        <w:rPr>
          <w:color w:val="231F20"/>
          <w:spacing w:val="-7"/>
        </w:rPr>
        <w:t> </w:t>
      </w:r>
      <w:r>
        <w:rPr>
          <w:color w:val="231F20"/>
          <w:spacing w:val="-4"/>
        </w:rPr>
        <w:t>be</w:t>
      </w:r>
      <w:r>
        <w:rPr>
          <w:color w:val="231F20"/>
          <w:spacing w:val="-7"/>
        </w:rPr>
        <w:t> </w:t>
      </w:r>
      <w:r>
        <w:rPr>
          <w:color w:val="231F20"/>
          <w:spacing w:val="-4"/>
        </w:rPr>
        <w:t>con- </w:t>
      </w:r>
      <w:r>
        <w:rPr>
          <w:color w:val="231F20"/>
          <w:w w:val="90"/>
        </w:rPr>
        <w:t>firmed</w:t>
      </w:r>
      <w:r>
        <w:rPr>
          <w:color w:val="231F20"/>
          <w:spacing w:val="-3"/>
          <w:w w:val="90"/>
        </w:rPr>
        <w:t> </w:t>
      </w:r>
      <w:r>
        <w:rPr>
          <w:color w:val="231F20"/>
          <w:w w:val="90"/>
        </w:rPr>
        <w:t>over</w:t>
      </w:r>
      <w:r>
        <w:rPr>
          <w:color w:val="231F20"/>
          <w:spacing w:val="-3"/>
          <w:w w:val="90"/>
        </w:rPr>
        <w:t> </w:t>
      </w:r>
      <w:r>
        <w:rPr>
          <w:color w:val="231F20"/>
          <w:w w:val="90"/>
        </w:rPr>
        <w:t>time,</w:t>
      </w:r>
      <w:r>
        <w:rPr>
          <w:color w:val="231F20"/>
          <w:spacing w:val="-3"/>
          <w:w w:val="90"/>
        </w:rPr>
        <w:t> </w:t>
      </w:r>
      <w:r>
        <w:rPr>
          <w:color w:val="231F20"/>
          <w:w w:val="90"/>
        </w:rPr>
        <w:t>as</w:t>
      </w:r>
      <w:r>
        <w:rPr>
          <w:color w:val="231F20"/>
          <w:spacing w:val="-3"/>
          <w:w w:val="90"/>
        </w:rPr>
        <w:t> </w:t>
      </w:r>
      <w:r>
        <w:rPr>
          <w:color w:val="231F20"/>
          <w:w w:val="90"/>
        </w:rPr>
        <w:t>it</w:t>
      </w:r>
      <w:r>
        <w:rPr>
          <w:color w:val="231F20"/>
          <w:spacing w:val="-3"/>
          <w:w w:val="90"/>
        </w:rPr>
        <w:t> </w:t>
      </w:r>
      <w:r>
        <w:rPr>
          <w:color w:val="231F20"/>
          <w:w w:val="90"/>
        </w:rPr>
        <w:t>may</w:t>
      </w:r>
      <w:r>
        <w:rPr>
          <w:color w:val="231F20"/>
          <w:spacing w:val="-3"/>
          <w:w w:val="90"/>
        </w:rPr>
        <w:t> </w:t>
      </w:r>
      <w:r>
        <w:rPr>
          <w:color w:val="231F20"/>
          <w:w w:val="90"/>
        </w:rPr>
        <w:t>reflect</w:t>
      </w:r>
      <w:r>
        <w:rPr>
          <w:color w:val="231F20"/>
          <w:spacing w:val="-3"/>
          <w:w w:val="90"/>
        </w:rPr>
        <w:t> </w:t>
      </w:r>
      <w:r>
        <w:rPr>
          <w:color w:val="231F20"/>
          <w:w w:val="90"/>
        </w:rPr>
        <w:t>the</w:t>
      </w:r>
      <w:r>
        <w:rPr>
          <w:color w:val="231F20"/>
          <w:spacing w:val="-3"/>
          <w:w w:val="90"/>
        </w:rPr>
        <w:t> </w:t>
      </w:r>
      <w:r>
        <w:rPr>
          <w:color w:val="231F20"/>
          <w:w w:val="90"/>
        </w:rPr>
        <w:t>magnitude </w:t>
      </w:r>
      <w:r>
        <w:rPr>
          <w:color w:val="231F20"/>
          <w:spacing w:val="-2"/>
        </w:rPr>
        <w:t>of</w:t>
      </w:r>
      <w:r>
        <w:rPr>
          <w:color w:val="231F20"/>
          <w:spacing w:val="-10"/>
        </w:rPr>
        <w:t> </w:t>
      </w:r>
      <w:r>
        <w:rPr>
          <w:color w:val="231F20"/>
          <w:spacing w:val="-2"/>
        </w:rPr>
        <w:t>the</w:t>
      </w:r>
      <w:r>
        <w:rPr>
          <w:color w:val="231F20"/>
          <w:spacing w:val="-9"/>
        </w:rPr>
        <w:t> </w:t>
      </w:r>
      <w:r>
        <w:rPr>
          <w:color w:val="231F20"/>
          <w:spacing w:val="-2"/>
        </w:rPr>
        <w:t>supply</w:t>
      </w:r>
      <w:r>
        <w:rPr>
          <w:color w:val="231F20"/>
          <w:spacing w:val="-10"/>
        </w:rPr>
        <w:t> </w:t>
      </w:r>
      <w:r>
        <w:rPr>
          <w:color w:val="231F20"/>
          <w:spacing w:val="-2"/>
        </w:rPr>
        <w:t>chain</w:t>
      </w:r>
      <w:r>
        <w:rPr>
          <w:color w:val="231F20"/>
          <w:spacing w:val="-9"/>
        </w:rPr>
        <w:t> </w:t>
      </w:r>
      <w:r>
        <w:rPr>
          <w:color w:val="231F20"/>
          <w:spacing w:val="-2"/>
        </w:rPr>
        <w:t>disruptions</w:t>
      </w:r>
      <w:r>
        <w:rPr>
          <w:color w:val="231F20"/>
          <w:spacing w:val="-9"/>
        </w:rPr>
        <w:t> </w:t>
      </w:r>
      <w:r>
        <w:rPr>
          <w:color w:val="231F20"/>
          <w:spacing w:val="-2"/>
        </w:rPr>
        <w:t>of</w:t>
      </w:r>
      <w:r>
        <w:rPr>
          <w:color w:val="231F20"/>
          <w:spacing w:val="-10"/>
        </w:rPr>
        <w:t> </w:t>
      </w:r>
      <w:r>
        <w:rPr>
          <w:color w:val="231F20"/>
          <w:spacing w:val="-2"/>
        </w:rPr>
        <w:t>2021–22</w:t>
      </w:r>
      <w:r>
        <w:rPr>
          <w:color w:val="231F20"/>
          <w:spacing w:val="-9"/>
        </w:rPr>
        <w:t> </w:t>
      </w:r>
      <w:r>
        <w:rPr>
          <w:color w:val="231F20"/>
          <w:spacing w:val="-5"/>
        </w:rPr>
        <w:t>in</w:t>
      </w:r>
    </w:p>
    <w:p>
      <w:pPr>
        <w:pStyle w:val="BodyText"/>
        <w:spacing w:line="234" w:lineRule="exact"/>
        <w:ind w:left="196"/>
      </w:pPr>
      <w:r>
        <w:rPr>
          <w:color w:val="231F20"/>
          <w:spacing w:val="-2"/>
        </w:rPr>
        <w:t>Europe</w:t>
      </w:r>
      <w:r>
        <w:rPr>
          <w:color w:val="231F20"/>
          <w:spacing w:val="-11"/>
        </w:rPr>
        <w:t> </w:t>
      </w:r>
      <w:r>
        <w:rPr>
          <w:color w:val="231F20"/>
          <w:spacing w:val="-2"/>
        </w:rPr>
        <w:t>and</w:t>
      </w:r>
      <w:r>
        <w:rPr>
          <w:color w:val="231F20"/>
          <w:spacing w:val="-10"/>
        </w:rPr>
        <w:t> </w:t>
      </w:r>
      <w:r>
        <w:rPr>
          <w:color w:val="231F20"/>
          <w:spacing w:val="-2"/>
        </w:rPr>
        <w:t>North</w:t>
      </w:r>
      <w:r>
        <w:rPr>
          <w:color w:val="231F20"/>
          <w:spacing w:val="-10"/>
        </w:rPr>
        <w:t> </w:t>
      </w:r>
      <w:r>
        <w:rPr>
          <w:color w:val="231F20"/>
          <w:spacing w:val="-2"/>
        </w:rPr>
        <w:t>America.</w:t>
      </w:r>
    </w:p>
    <w:p>
      <w:pPr>
        <w:pStyle w:val="BodyText"/>
        <w:spacing w:line="268" w:lineRule="auto" w:before="28"/>
        <w:ind w:left="196" w:right="657" w:firstLine="300"/>
        <w:jc w:val="right"/>
      </w:pPr>
      <w:r>
        <w:rPr>
          <w:color w:val="231F20"/>
          <w:spacing w:val="-6"/>
        </w:rPr>
        <w:t>Three</w:t>
      </w:r>
      <w:r>
        <w:rPr>
          <w:color w:val="231F20"/>
          <w:spacing w:val="-13"/>
        </w:rPr>
        <w:t> </w:t>
      </w:r>
      <w:r>
        <w:rPr>
          <w:color w:val="231F20"/>
          <w:spacing w:val="-6"/>
        </w:rPr>
        <w:t>groups</w:t>
      </w:r>
      <w:r>
        <w:rPr>
          <w:color w:val="231F20"/>
          <w:spacing w:val="-11"/>
        </w:rPr>
        <w:t> </w:t>
      </w:r>
      <w:r>
        <w:rPr>
          <w:color w:val="231F20"/>
          <w:spacing w:val="-6"/>
        </w:rPr>
        <w:t>of</w:t>
      </w:r>
      <w:r>
        <w:rPr>
          <w:color w:val="231F20"/>
          <w:spacing w:val="-11"/>
        </w:rPr>
        <w:t> </w:t>
      </w:r>
      <w:r>
        <w:rPr>
          <w:color w:val="231F20"/>
          <w:spacing w:val="-6"/>
        </w:rPr>
        <w:t>countries</w:t>
      </w:r>
      <w:r>
        <w:rPr>
          <w:color w:val="231F20"/>
          <w:spacing w:val="-11"/>
        </w:rPr>
        <w:t> </w:t>
      </w:r>
      <w:r>
        <w:rPr>
          <w:color w:val="231F20"/>
          <w:spacing w:val="-6"/>
        </w:rPr>
        <w:t>with</w:t>
      </w:r>
      <w:r>
        <w:rPr>
          <w:color w:val="231F20"/>
          <w:spacing w:val="-11"/>
        </w:rPr>
        <w:t> </w:t>
      </w:r>
      <w:r>
        <w:rPr>
          <w:color w:val="231F20"/>
          <w:spacing w:val="-6"/>
        </w:rPr>
        <w:t>outlying</w:t>
      </w:r>
      <w:r>
        <w:rPr>
          <w:color w:val="231F20"/>
          <w:spacing w:val="-11"/>
        </w:rPr>
        <w:t> </w:t>
      </w:r>
      <w:r>
        <w:rPr>
          <w:color w:val="231F20"/>
          <w:spacing w:val="-6"/>
        </w:rPr>
        <w:t>key performance</w:t>
      </w:r>
      <w:r>
        <w:rPr>
          <w:color w:val="231F20"/>
          <w:spacing w:val="-16"/>
        </w:rPr>
        <w:t> </w:t>
      </w:r>
      <w:r>
        <w:rPr>
          <w:color w:val="231F20"/>
          <w:spacing w:val="-6"/>
        </w:rPr>
        <w:t>indicators</w:t>
      </w:r>
      <w:r>
        <w:rPr>
          <w:color w:val="231F20"/>
          <w:spacing w:val="-16"/>
        </w:rPr>
        <w:t> </w:t>
      </w:r>
      <w:r>
        <w:rPr>
          <w:color w:val="231F20"/>
          <w:spacing w:val="-6"/>
        </w:rPr>
        <w:t>overlap</w:t>
      </w:r>
      <w:r>
        <w:rPr>
          <w:color w:val="231F20"/>
          <w:spacing w:val="-16"/>
        </w:rPr>
        <w:t> </w:t>
      </w:r>
      <w:r>
        <w:rPr>
          <w:color w:val="231F20"/>
          <w:spacing w:val="-6"/>
        </w:rPr>
        <w:t>with</w:t>
      </w:r>
      <w:r>
        <w:rPr>
          <w:color w:val="231F20"/>
          <w:spacing w:val="-16"/>
        </w:rPr>
        <w:t> </w:t>
      </w:r>
      <w:r>
        <w:rPr>
          <w:color w:val="231F20"/>
          <w:spacing w:val="-6"/>
        </w:rPr>
        <w:t>the</w:t>
      </w:r>
      <w:r>
        <w:rPr>
          <w:color w:val="231F20"/>
          <w:spacing w:val="-16"/>
        </w:rPr>
        <w:t> </w:t>
      </w:r>
      <w:r>
        <w:rPr>
          <w:color w:val="231F20"/>
          <w:spacing w:val="-6"/>
        </w:rPr>
        <w:t>bottom </w:t>
      </w:r>
      <w:r>
        <w:rPr>
          <w:color w:val="231F20"/>
          <w:w w:val="90"/>
        </w:rPr>
        <w:t>two LPI score quintiles and require specific pol- </w:t>
      </w:r>
      <w:r>
        <w:rPr>
          <w:color w:val="231F20"/>
          <w:spacing w:val="-4"/>
        </w:rPr>
        <w:t>icy</w:t>
      </w:r>
      <w:r>
        <w:rPr>
          <w:color w:val="231F20"/>
          <w:spacing w:val="-8"/>
        </w:rPr>
        <w:t> </w:t>
      </w:r>
      <w:r>
        <w:rPr>
          <w:color w:val="231F20"/>
          <w:spacing w:val="-4"/>
        </w:rPr>
        <w:t>attention.</w:t>
      </w:r>
      <w:r>
        <w:rPr>
          <w:color w:val="231F20"/>
          <w:spacing w:val="-8"/>
        </w:rPr>
        <w:t> </w:t>
      </w:r>
      <w:r>
        <w:rPr>
          <w:color w:val="231F20"/>
          <w:spacing w:val="-4"/>
        </w:rPr>
        <w:t>They</w:t>
      </w:r>
      <w:r>
        <w:rPr>
          <w:color w:val="231F20"/>
          <w:spacing w:val="-8"/>
        </w:rPr>
        <w:t> </w:t>
      </w:r>
      <w:r>
        <w:rPr>
          <w:color w:val="231F20"/>
          <w:spacing w:val="-4"/>
        </w:rPr>
        <w:t>include</w:t>
      </w:r>
      <w:r>
        <w:rPr>
          <w:color w:val="231F20"/>
          <w:spacing w:val="-8"/>
        </w:rPr>
        <w:t> </w:t>
      </w:r>
      <w:r>
        <w:rPr>
          <w:color w:val="231F20"/>
          <w:spacing w:val="-4"/>
        </w:rPr>
        <w:t>maritime</w:t>
      </w:r>
      <w:r>
        <w:rPr>
          <w:color w:val="231F20"/>
          <w:spacing w:val="-8"/>
        </w:rPr>
        <w:t> </w:t>
      </w:r>
      <w:r>
        <w:rPr>
          <w:color w:val="231F20"/>
          <w:spacing w:val="-4"/>
        </w:rPr>
        <w:t>countries </w:t>
      </w:r>
      <w:r>
        <w:rPr>
          <w:color w:val="231F20"/>
          <w:w w:val="90"/>
        </w:rPr>
        <w:t>with</w:t>
      </w:r>
      <w:r>
        <w:rPr>
          <w:color w:val="231F20"/>
          <w:spacing w:val="-7"/>
          <w:w w:val="90"/>
        </w:rPr>
        <w:t> </w:t>
      </w:r>
      <w:r>
        <w:rPr>
          <w:color w:val="231F20"/>
          <w:w w:val="90"/>
        </w:rPr>
        <w:t>large</w:t>
      </w:r>
      <w:r>
        <w:rPr>
          <w:color w:val="231F20"/>
          <w:spacing w:val="-7"/>
          <w:w w:val="90"/>
        </w:rPr>
        <w:t> </w:t>
      </w:r>
      <w:r>
        <w:rPr>
          <w:color w:val="231F20"/>
          <w:w w:val="90"/>
        </w:rPr>
        <w:t>dwell</w:t>
      </w:r>
      <w:r>
        <w:rPr>
          <w:color w:val="231F20"/>
          <w:spacing w:val="-7"/>
          <w:w w:val="90"/>
        </w:rPr>
        <w:t> </w:t>
      </w:r>
      <w:r>
        <w:rPr>
          <w:color w:val="231F20"/>
          <w:w w:val="90"/>
        </w:rPr>
        <w:t>times,</w:t>
      </w:r>
      <w:r>
        <w:rPr>
          <w:color w:val="231F20"/>
          <w:spacing w:val="-7"/>
          <w:w w:val="90"/>
        </w:rPr>
        <w:t> </w:t>
      </w:r>
      <w:r>
        <w:rPr>
          <w:color w:val="231F20"/>
          <w:w w:val="90"/>
        </w:rPr>
        <w:t>most</w:t>
      </w:r>
      <w:r>
        <w:rPr>
          <w:color w:val="231F20"/>
          <w:spacing w:val="-7"/>
          <w:w w:val="90"/>
        </w:rPr>
        <w:t> </w:t>
      </w:r>
      <w:r>
        <w:rPr>
          <w:color w:val="231F20"/>
          <w:w w:val="90"/>
        </w:rPr>
        <w:t>of</w:t>
      </w:r>
      <w:r>
        <w:rPr>
          <w:color w:val="231F20"/>
          <w:spacing w:val="-7"/>
          <w:w w:val="90"/>
        </w:rPr>
        <w:t> </w:t>
      </w:r>
      <w:r>
        <w:rPr>
          <w:color w:val="231F20"/>
          <w:w w:val="90"/>
        </w:rPr>
        <w:t>which</w:t>
      </w:r>
      <w:r>
        <w:rPr>
          <w:color w:val="231F20"/>
          <w:spacing w:val="-7"/>
          <w:w w:val="90"/>
        </w:rPr>
        <w:t> </w:t>
      </w:r>
      <w:r>
        <w:rPr>
          <w:color w:val="231F20"/>
          <w:w w:val="90"/>
        </w:rPr>
        <w:t>are</w:t>
      </w:r>
      <w:r>
        <w:rPr>
          <w:color w:val="231F20"/>
          <w:spacing w:val="-7"/>
          <w:w w:val="90"/>
        </w:rPr>
        <w:t> </w:t>
      </w:r>
      <w:r>
        <w:rPr>
          <w:color w:val="231F20"/>
          <w:w w:val="90"/>
        </w:rPr>
        <w:t>located </w:t>
      </w:r>
      <w:r>
        <w:rPr>
          <w:color w:val="231F20"/>
          <w:spacing w:val="-4"/>
        </w:rPr>
        <w:t>in</w:t>
      </w:r>
      <w:r>
        <w:rPr>
          <w:color w:val="231F20"/>
          <w:spacing w:val="-8"/>
        </w:rPr>
        <w:t> </w:t>
      </w:r>
      <w:r>
        <w:rPr>
          <w:color w:val="231F20"/>
          <w:spacing w:val="-4"/>
        </w:rPr>
        <w:t>the</w:t>
      </w:r>
      <w:r>
        <w:rPr>
          <w:color w:val="231F20"/>
          <w:spacing w:val="-8"/>
        </w:rPr>
        <w:t> </w:t>
      </w:r>
      <w:r>
        <w:rPr>
          <w:color w:val="231F20"/>
          <w:spacing w:val="-4"/>
        </w:rPr>
        <w:t>Middle</w:t>
      </w:r>
      <w:r>
        <w:rPr>
          <w:color w:val="231F20"/>
          <w:spacing w:val="-8"/>
        </w:rPr>
        <w:t> </w:t>
      </w:r>
      <w:r>
        <w:rPr>
          <w:color w:val="231F20"/>
          <w:spacing w:val="-4"/>
        </w:rPr>
        <w:t>East</w:t>
      </w:r>
      <w:r>
        <w:rPr>
          <w:color w:val="231F20"/>
          <w:spacing w:val="-8"/>
        </w:rPr>
        <w:t> </w:t>
      </w:r>
      <w:r>
        <w:rPr>
          <w:color w:val="231F20"/>
          <w:spacing w:val="-4"/>
        </w:rPr>
        <w:t>and</w:t>
      </w:r>
      <w:r>
        <w:rPr>
          <w:color w:val="231F20"/>
          <w:spacing w:val="-8"/>
        </w:rPr>
        <w:t> </w:t>
      </w:r>
      <w:r>
        <w:rPr>
          <w:color w:val="231F20"/>
          <w:spacing w:val="-4"/>
        </w:rPr>
        <w:t>North</w:t>
      </w:r>
      <w:r>
        <w:rPr>
          <w:color w:val="231F20"/>
          <w:spacing w:val="-8"/>
        </w:rPr>
        <w:t> </w:t>
      </w:r>
      <w:r>
        <w:rPr>
          <w:color w:val="231F20"/>
          <w:spacing w:val="-4"/>
        </w:rPr>
        <w:t>Africa</w:t>
      </w:r>
      <w:r>
        <w:rPr>
          <w:color w:val="231F20"/>
          <w:spacing w:val="-8"/>
        </w:rPr>
        <w:t> </w:t>
      </w:r>
      <w:r>
        <w:rPr>
          <w:color w:val="231F20"/>
          <w:spacing w:val="-4"/>
        </w:rPr>
        <w:t>as</w:t>
      </w:r>
      <w:r>
        <w:rPr>
          <w:color w:val="231F20"/>
          <w:spacing w:val="-8"/>
        </w:rPr>
        <w:t> </w:t>
      </w:r>
      <w:r>
        <w:rPr>
          <w:color w:val="231F20"/>
          <w:spacing w:val="-4"/>
        </w:rPr>
        <w:t>well</w:t>
      </w:r>
      <w:r>
        <w:rPr>
          <w:color w:val="231F20"/>
          <w:spacing w:val="-8"/>
        </w:rPr>
        <w:t> </w:t>
      </w:r>
      <w:r>
        <w:rPr>
          <w:color w:val="231F20"/>
          <w:spacing w:val="-4"/>
        </w:rPr>
        <w:t>as </w:t>
      </w:r>
      <w:r>
        <w:rPr>
          <w:color w:val="231F20"/>
        </w:rPr>
        <w:t>Sub-Saharan</w:t>
      </w:r>
      <w:r>
        <w:rPr>
          <w:color w:val="231F20"/>
          <w:spacing w:val="3"/>
        </w:rPr>
        <w:t> </w:t>
      </w:r>
      <w:r>
        <w:rPr>
          <w:color w:val="231F20"/>
        </w:rPr>
        <w:t>Africa;</w:t>
      </w:r>
      <w:r>
        <w:rPr>
          <w:color w:val="231F20"/>
          <w:spacing w:val="3"/>
        </w:rPr>
        <w:t> </w:t>
      </w:r>
      <w:r>
        <w:rPr>
          <w:color w:val="231F20"/>
        </w:rPr>
        <w:t>landlocked</w:t>
      </w:r>
      <w:r>
        <w:rPr>
          <w:color w:val="231F20"/>
          <w:spacing w:val="3"/>
        </w:rPr>
        <w:t> </w:t>
      </w:r>
      <w:r>
        <w:rPr>
          <w:color w:val="231F20"/>
        </w:rPr>
        <w:t>developing </w:t>
      </w:r>
      <w:r>
        <w:rPr>
          <w:color w:val="231F20"/>
          <w:spacing w:val="-2"/>
        </w:rPr>
        <w:t>countries,</w:t>
      </w:r>
      <w:r>
        <w:rPr>
          <w:color w:val="231F20"/>
          <w:spacing w:val="-12"/>
        </w:rPr>
        <w:t> </w:t>
      </w:r>
      <w:r>
        <w:rPr>
          <w:color w:val="231F20"/>
          <w:spacing w:val="-2"/>
        </w:rPr>
        <w:t>which</w:t>
      </w:r>
      <w:r>
        <w:rPr>
          <w:color w:val="231F20"/>
          <w:spacing w:val="-11"/>
        </w:rPr>
        <w:t> </w:t>
      </w:r>
      <w:r>
        <w:rPr>
          <w:color w:val="231F20"/>
          <w:spacing w:val="-2"/>
        </w:rPr>
        <w:t>experience</w:t>
      </w:r>
      <w:r>
        <w:rPr>
          <w:color w:val="231F20"/>
          <w:spacing w:val="-11"/>
        </w:rPr>
        <w:t> </w:t>
      </w:r>
      <w:r>
        <w:rPr>
          <w:color w:val="231F20"/>
          <w:spacing w:val="-2"/>
        </w:rPr>
        <w:t>additional</w:t>
      </w:r>
      <w:r>
        <w:rPr>
          <w:color w:val="231F20"/>
          <w:spacing w:val="-11"/>
        </w:rPr>
        <w:t> </w:t>
      </w:r>
      <w:r>
        <w:rPr>
          <w:color w:val="231F20"/>
          <w:spacing w:val="-2"/>
        </w:rPr>
        <w:t>inland </w:t>
      </w:r>
      <w:r>
        <w:rPr>
          <w:color w:val="231F20"/>
          <w:spacing w:val="-4"/>
        </w:rPr>
        <w:t>delays,</w:t>
      </w:r>
      <w:r>
        <w:rPr>
          <w:color w:val="231F20"/>
          <w:spacing w:val="-10"/>
        </w:rPr>
        <w:t> </w:t>
      </w:r>
      <w:r>
        <w:rPr>
          <w:color w:val="231F20"/>
          <w:spacing w:val="-4"/>
        </w:rPr>
        <w:t>as</w:t>
      </w:r>
      <w:r>
        <w:rPr>
          <w:color w:val="231F20"/>
          <w:spacing w:val="-9"/>
        </w:rPr>
        <w:t> </w:t>
      </w:r>
      <w:r>
        <w:rPr>
          <w:color w:val="231F20"/>
          <w:spacing w:val="-4"/>
        </w:rPr>
        <w:t>well</w:t>
      </w:r>
      <w:r>
        <w:rPr>
          <w:color w:val="231F20"/>
          <w:spacing w:val="-9"/>
        </w:rPr>
        <w:t> </w:t>
      </w:r>
      <w:r>
        <w:rPr>
          <w:color w:val="231F20"/>
          <w:spacing w:val="-4"/>
        </w:rPr>
        <w:t>as</w:t>
      </w:r>
      <w:r>
        <w:rPr>
          <w:color w:val="231F20"/>
          <w:spacing w:val="-9"/>
        </w:rPr>
        <w:t> </w:t>
      </w:r>
      <w:r>
        <w:rPr>
          <w:color w:val="231F20"/>
          <w:spacing w:val="-4"/>
        </w:rPr>
        <w:t>longer</w:t>
      </w:r>
      <w:r>
        <w:rPr>
          <w:color w:val="231F20"/>
          <w:spacing w:val="-9"/>
        </w:rPr>
        <w:t> </w:t>
      </w:r>
      <w:r>
        <w:rPr>
          <w:color w:val="231F20"/>
          <w:spacing w:val="-4"/>
        </w:rPr>
        <w:t>delays</w:t>
      </w:r>
      <w:r>
        <w:rPr>
          <w:color w:val="231F20"/>
          <w:spacing w:val="-9"/>
        </w:rPr>
        <w:t> </w:t>
      </w:r>
      <w:r>
        <w:rPr>
          <w:color w:val="231F20"/>
          <w:spacing w:val="-4"/>
        </w:rPr>
        <w:t>than</w:t>
      </w:r>
      <w:r>
        <w:rPr>
          <w:color w:val="231F20"/>
          <w:spacing w:val="-9"/>
        </w:rPr>
        <w:t> </w:t>
      </w:r>
      <w:r>
        <w:rPr>
          <w:color w:val="231F20"/>
          <w:spacing w:val="-4"/>
        </w:rPr>
        <w:t>the</w:t>
      </w:r>
      <w:r>
        <w:rPr>
          <w:color w:val="231F20"/>
          <w:spacing w:val="-9"/>
        </w:rPr>
        <w:t> </w:t>
      </w:r>
      <w:r>
        <w:rPr>
          <w:color w:val="231F20"/>
          <w:spacing w:val="-4"/>
        </w:rPr>
        <w:t>transit country</w:t>
      </w:r>
      <w:r>
        <w:rPr>
          <w:color w:val="231F20"/>
          <w:spacing w:val="-10"/>
        </w:rPr>
        <w:t> </w:t>
      </w:r>
      <w:r>
        <w:rPr>
          <w:color w:val="231F20"/>
          <w:spacing w:val="-4"/>
        </w:rPr>
        <w:t>at</w:t>
      </w:r>
      <w:r>
        <w:rPr>
          <w:color w:val="231F20"/>
          <w:spacing w:val="-10"/>
        </w:rPr>
        <w:t> </w:t>
      </w:r>
      <w:r>
        <w:rPr>
          <w:color w:val="231F20"/>
          <w:spacing w:val="-4"/>
        </w:rPr>
        <w:t>the</w:t>
      </w:r>
      <w:r>
        <w:rPr>
          <w:color w:val="231F20"/>
          <w:spacing w:val="-10"/>
        </w:rPr>
        <w:t> </w:t>
      </w:r>
      <w:r>
        <w:rPr>
          <w:color w:val="231F20"/>
          <w:spacing w:val="-4"/>
        </w:rPr>
        <w:t>port</w:t>
      </w:r>
      <w:r>
        <w:rPr>
          <w:color w:val="231F20"/>
          <w:spacing w:val="-10"/>
        </w:rPr>
        <w:t> </w:t>
      </w:r>
      <w:r>
        <w:rPr>
          <w:color w:val="231F20"/>
          <w:spacing w:val="-4"/>
        </w:rPr>
        <w:t>of</w:t>
      </w:r>
      <w:r>
        <w:rPr>
          <w:color w:val="231F20"/>
          <w:spacing w:val="-10"/>
        </w:rPr>
        <w:t> </w:t>
      </w:r>
      <w:r>
        <w:rPr>
          <w:color w:val="231F20"/>
          <w:spacing w:val="-4"/>
        </w:rPr>
        <w:t>entry;</w:t>
      </w:r>
      <w:r>
        <w:rPr>
          <w:color w:val="231F20"/>
          <w:spacing w:val="-10"/>
        </w:rPr>
        <w:t> </w:t>
      </w:r>
      <w:r>
        <w:rPr>
          <w:color w:val="231F20"/>
          <w:spacing w:val="-4"/>
        </w:rPr>
        <w:t>and</w:t>
      </w:r>
      <w:r>
        <w:rPr>
          <w:color w:val="231F20"/>
          <w:spacing w:val="-10"/>
        </w:rPr>
        <w:t> </w:t>
      </w:r>
      <w:r>
        <w:rPr>
          <w:color w:val="231F20"/>
          <w:spacing w:val="-4"/>
        </w:rPr>
        <w:t>countries</w:t>
      </w:r>
      <w:r>
        <w:rPr>
          <w:color w:val="231F20"/>
          <w:spacing w:val="-10"/>
        </w:rPr>
        <w:t> </w:t>
      </w:r>
      <w:r>
        <w:rPr>
          <w:color w:val="231F20"/>
          <w:spacing w:val="-4"/>
        </w:rPr>
        <w:t>with </w:t>
      </w:r>
      <w:r>
        <w:rPr>
          <w:color w:val="231F20"/>
          <w:w w:val="90"/>
        </w:rPr>
        <w:t>limited</w:t>
      </w:r>
      <w:r>
        <w:rPr>
          <w:color w:val="231F20"/>
          <w:spacing w:val="-1"/>
          <w:w w:val="90"/>
        </w:rPr>
        <w:t> </w:t>
      </w:r>
      <w:r>
        <w:rPr>
          <w:color w:val="231F20"/>
          <w:w w:val="90"/>
        </w:rPr>
        <w:t>maritime</w:t>
      </w:r>
      <w:r>
        <w:rPr>
          <w:color w:val="231F20"/>
          <w:spacing w:val="-1"/>
          <w:w w:val="90"/>
        </w:rPr>
        <w:t> </w:t>
      </w:r>
      <w:r>
        <w:rPr>
          <w:color w:val="231F20"/>
          <w:w w:val="90"/>
        </w:rPr>
        <w:t>connectivity,</w:t>
      </w:r>
      <w:r>
        <w:rPr>
          <w:color w:val="231F20"/>
          <w:spacing w:val="-1"/>
          <w:w w:val="90"/>
        </w:rPr>
        <w:t> </w:t>
      </w:r>
      <w:r>
        <w:rPr>
          <w:color w:val="231F20"/>
          <w:w w:val="90"/>
        </w:rPr>
        <w:t>which</w:t>
      </w:r>
      <w:r>
        <w:rPr>
          <w:color w:val="231F20"/>
          <w:spacing w:val="-1"/>
          <w:w w:val="90"/>
        </w:rPr>
        <w:t> </w:t>
      </w:r>
      <w:r>
        <w:rPr>
          <w:color w:val="231F20"/>
          <w:w w:val="90"/>
        </w:rPr>
        <w:t>are</w:t>
      </w:r>
      <w:r>
        <w:rPr>
          <w:color w:val="231F20"/>
          <w:spacing w:val="-1"/>
          <w:w w:val="90"/>
        </w:rPr>
        <w:t> </w:t>
      </w:r>
      <w:r>
        <w:rPr>
          <w:color w:val="231F20"/>
          <w:w w:val="90"/>
        </w:rPr>
        <w:t>heavily </w:t>
      </w:r>
      <w:r>
        <w:rPr>
          <w:color w:val="231F20"/>
          <w:spacing w:val="-6"/>
        </w:rPr>
        <w:t>penalized</w:t>
      </w:r>
      <w:r>
        <w:rPr>
          <w:color w:val="231F20"/>
          <w:spacing w:val="-11"/>
        </w:rPr>
        <w:t> </w:t>
      </w:r>
      <w:r>
        <w:rPr>
          <w:color w:val="231F20"/>
          <w:spacing w:val="-6"/>
        </w:rPr>
        <w:t>by</w:t>
      </w:r>
      <w:r>
        <w:rPr>
          <w:color w:val="231F20"/>
          <w:spacing w:val="-11"/>
        </w:rPr>
        <w:t> </w:t>
      </w:r>
      <w:r>
        <w:rPr>
          <w:color w:val="231F20"/>
          <w:spacing w:val="-6"/>
        </w:rPr>
        <w:t>delays</w:t>
      </w:r>
      <w:r>
        <w:rPr>
          <w:color w:val="231F20"/>
          <w:spacing w:val="-11"/>
        </w:rPr>
        <w:t> </w:t>
      </w:r>
      <w:r>
        <w:rPr>
          <w:color w:val="231F20"/>
          <w:spacing w:val="-6"/>
        </w:rPr>
        <w:t>in</w:t>
      </w:r>
      <w:r>
        <w:rPr>
          <w:color w:val="231F20"/>
          <w:spacing w:val="-11"/>
        </w:rPr>
        <w:t> </w:t>
      </w:r>
      <w:r>
        <w:rPr>
          <w:color w:val="231F20"/>
          <w:spacing w:val="-6"/>
        </w:rPr>
        <w:t>multiple</w:t>
      </w:r>
      <w:r>
        <w:rPr>
          <w:color w:val="231F20"/>
          <w:spacing w:val="-11"/>
        </w:rPr>
        <w:t> </w:t>
      </w:r>
      <w:r>
        <w:rPr>
          <w:color w:val="231F20"/>
          <w:spacing w:val="-6"/>
        </w:rPr>
        <w:t>transshipments. </w:t>
      </w:r>
      <w:r>
        <w:rPr>
          <w:color w:val="231F20"/>
        </w:rPr>
        <w:t>The World Bank intends to produce these </w:t>
      </w:r>
      <w:r>
        <w:rPr>
          <w:color w:val="231F20"/>
          <w:w w:val="90"/>
        </w:rPr>
        <w:t>new key performance indicators annually and to </w:t>
      </w:r>
      <w:r>
        <w:rPr>
          <w:color w:val="231F20"/>
          <w:spacing w:val="-4"/>
        </w:rPr>
        <w:t>expand</w:t>
      </w:r>
      <w:r>
        <w:rPr>
          <w:color w:val="231F20"/>
          <w:spacing w:val="-6"/>
        </w:rPr>
        <w:t> </w:t>
      </w:r>
      <w:r>
        <w:rPr>
          <w:color w:val="231F20"/>
          <w:spacing w:val="-4"/>
        </w:rPr>
        <w:t>the</w:t>
      </w:r>
      <w:r>
        <w:rPr>
          <w:color w:val="231F20"/>
          <w:spacing w:val="-6"/>
        </w:rPr>
        <w:t> </w:t>
      </w:r>
      <w:r>
        <w:rPr>
          <w:color w:val="231F20"/>
          <w:spacing w:val="-4"/>
        </w:rPr>
        <w:t>scope</w:t>
      </w:r>
      <w:r>
        <w:rPr>
          <w:color w:val="231F20"/>
          <w:spacing w:val="-6"/>
        </w:rPr>
        <w:t> </w:t>
      </w:r>
      <w:r>
        <w:rPr>
          <w:color w:val="231F20"/>
          <w:spacing w:val="-4"/>
        </w:rPr>
        <w:t>of</w:t>
      </w:r>
      <w:r>
        <w:rPr>
          <w:color w:val="231F20"/>
          <w:spacing w:val="-6"/>
        </w:rPr>
        <w:t> </w:t>
      </w:r>
      <w:r>
        <w:rPr>
          <w:color w:val="231F20"/>
          <w:spacing w:val="-4"/>
        </w:rPr>
        <w:t>supply</w:t>
      </w:r>
      <w:r>
        <w:rPr>
          <w:color w:val="231F20"/>
          <w:spacing w:val="-6"/>
        </w:rPr>
        <w:t> </w:t>
      </w:r>
      <w:r>
        <w:rPr>
          <w:color w:val="231F20"/>
          <w:spacing w:val="-4"/>
        </w:rPr>
        <w:t>chain</w:t>
      </w:r>
      <w:r>
        <w:rPr>
          <w:color w:val="231F20"/>
          <w:spacing w:val="-6"/>
        </w:rPr>
        <w:t> </w:t>
      </w:r>
      <w:r>
        <w:rPr>
          <w:color w:val="231F20"/>
          <w:spacing w:val="-4"/>
        </w:rPr>
        <w:t>features</w:t>
      </w:r>
      <w:r>
        <w:rPr>
          <w:color w:val="231F20"/>
          <w:spacing w:val="-6"/>
        </w:rPr>
        <w:t> </w:t>
      </w:r>
      <w:r>
        <w:rPr>
          <w:color w:val="231F20"/>
          <w:spacing w:val="-4"/>
        </w:rPr>
        <w:t>that </w:t>
      </w:r>
      <w:r>
        <w:rPr>
          <w:color w:val="231F20"/>
          <w:spacing w:val="-6"/>
        </w:rPr>
        <w:t>they</w:t>
      </w:r>
      <w:r>
        <w:rPr>
          <w:color w:val="231F20"/>
          <w:spacing w:val="-7"/>
        </w:rPr>
        <w:t> </w:t>
      </w:r>
      <w:r>
        <w:rPr>
          <w:color w:val="231F20"/>
          <w:spacing w:val="-6"/>
        </w:rPr>
        <w:t>cover.</w:t>
      </w:r>
      <w:r>
        <w:rPr>
          <w:color w:val="231F20"/>
          <w:spacing w:val="-7"/>
        </w:rPr>
        <w:t> </w:t>
      </w:r>
      <w:r>
        <w:rPr>
          <w:color w:val="231F20"/>
          <w:spacing w:val="-6"/>
        </w:rPr>
        <w:t>The</w:t>
      </w:r>
      <w:r>
        <w:rPr>
          <w:color w:val="231F20"/>
          <w:spacing w:val="-7"/>
        </w:rPr>
        <w:t> </w:t>
      </w:r>
      <w:r>
        <w:rPr>
          <w:color w:val="231F20"/>
          <w:spacing w:val="-6"/>
        </w:rPr>
        <w:t>current</w:t>
      </w:r>
      <w:r>
        <w:rPr>
          <w:color w:val="231F20"/>
          <w:spacing w:val="-7"/>
        </w:rPr>
        <w:t> </w:t>
      </w:r>
      <w:r>
        <w:rPr>
          <w:color w:val="231F20"/>
          <w:spacing w:val="-6"/>
        </w:rPr>
        <w:t>report</w:t>
      </w:r>
      <w:r>
        <w:rPr>
          <w:color w:val="231F20"/>
          <w:spacing w:val="-7"/>
        </w:rPr>
        <w:t> </w:t>
      </w:r>
      <w:r>
        <w:rPr>
          <w:color w:val="231F20"/>
          <w:spacing w:val="-6"/>
        </w:rPr>
        <w:t>does</w:t>
      </w:r>
      <w:r>
        <w:rPr>
          <w:color w:val="231F20"/>
          <w:spacing w:val="-7"/>
        </w:rPr>
        <w:t> </w:t>
      </w:r>
      <w:r>
        <w:rPr>
          <w:color w:val="231F20"/>
          <w:spacing w:val="-6"/>
        </w:rPr>
        <w:t>not</w:t>
      </w:r>
      <w:r>
        <w:rPr>
          <w:color w:val="231F20"/>
          <w:spacing w:val="-7"/>
        </w:rPr>
        <w:t> </w:t>
      </w:r>
      <w:r>
        <w:rPr>
          <w:color w:val="231F20"/>
          <w:spacing w:val="-6"/>
        </w:rPr>
        <w:t>exhaust </w:t>
      </w:r>
      <w:r>
        <w:rPr>
          <w:color w:val="231F20"/>
        </w:rPr>
        <w:t>the</w:t>
      </w:r>
      <w:r>
        <w:rPr>
          <w:color w:val="231F20"/>
          <w:spacing w:val="-1"/>
        </w:rPr>
        <w:t> </w:t>
      </w:r>
      <w:r>
        <w:rPr>
          <w:color w:val="231F20"/>
        </w:rPr>
        <w:t>potential</w:t>
      </w:r>
      <w:r>
        <w:rPr>
          <w:color w:val="231F20"/>
          <w:spacing w:val="-1"/>
        </w:rPr>
        <w:t> </w:t>
      </w:r>
      <w:r>
        <w:rPr>
          <w:color w:val="231F20"/>
        </w:rPr>
        <w:t>for</w:t>
      </w:r>
      <w:r>
        <w:rPr>
          <w:color w:val="231F20"/>
          <w:spacing w:val="-1"/>
        </w:rPr>
        <w:t> </w:t>
      </w:r>
      <w:r>
        <w:rPr>
          <w:color w:val="231F20"/>
        </w:rPr>
        <w:t>research</w:t>
      </w:r>
      <w:r>
        <w:rPr>
          <w:color w:val="231F20"/>
          <w:spacing w:val="-1"/>
        </w:rPr>
        <w:t> </w:t>
      </w:r>
      <w:r>
        <w:rPr>
          <w:color w:val="231F20"/>
        </w:rPr>
        <w:t>on</w:t>
      </w:r>
      <w:r>
        <w:rPr>
          <w:color w:val="231F20"/>
          <w:spacing w:val="-1"/>
        </w:rPr>
        <w:t> </w:t>
      </w:r>
      <w:r>
        <w:rPr>
          <w:color w:val="231F20"/>
        </w:rPr>
        <w:t>global</w:t>
      </w:r>
      <w:r>
        <w:rPr>
          <w:color w:val="231F20"/>
          <w:spacing w:val="-1"/>
        </w:rPr>
        <w:t> </w:t>
      </w:r>
      <w:r>
        <w:rPr>
          <w:color w:val="231F20"/>
        </w:rPr>
        <w:t>logistics </w:t>
      </w:r>
      <w:r>
        <w:rPr>
          <w:color w:val="231F20"/>
          <w:spacing w:val="-2"/>
        </w:rPr>
        <w:t>based</w:t>
      </w:r>
      <w:r>
        <w:rPr>
          <w:color w:val="231F20"/>
          <w:spacing w:val="-12"/>
        </w:rPr>
        <w:t> </w:t>
      </w:r>
      <w:r>
        <w:rPr>
          <w:color w:val="231F20"/>
          <w:spacing w:val="-2"/>
        </w:rPr>
        <w:t>on</w:t>
      </w:r>
      <w:r>
        <w:rPr>
          <w:color w:val="231F20"/>
          <w:spacing w:val="-11"/>
        </w:rPr>
        <w:t> </w:t>
      </w:r>
      <w:r>
        <w:rPr>
          <w:color w:val="231F20"/>
          <w:spacing w:val="-2"/>
        </w:rPr>
        <w:t>micro-data.</w:t>
      </w:r>
      <w:r>
        <w:rPr>
          <w:color w:val="231F20"/>
          <w:spacing w:val="-11"/>
        </w:rPr>
        <w:t> </w:t>
      </w:r>
      <w:r>
        <w:rPr>
          <w:color w:val="231F20"/>
          <w:spacing w:val="-2"/>
        </w:rPr>
        <w:t>Further</w:t>
      </w:r>
      <w:r>
        <w:rPr>
          <w:color w:val="231F20"/>
          <w:spacing w:val="-11"/>
        </w:rPr>
        <w:t> </w:t>
      </w:r>
      <w:r>
        <w:rPr>
          <w:color w:val="231F20"/>
          <w:spacing w:val="-2"/>
        </w:rPr>
        <w:t>research</w:t>
      </w:r>
      <w:r>
        <w:rPr>
          <w:color w:val="231F20"/>
          <w:spacing w:val="-11"/>
        </w:rPr>
        <w:t> </w:t>
      </w:r>
      <w:r>
        <w:rPr>
          <w:color w:val="231F20"/>
          <w:spacing w:val="-2"/>
        </w:rPr>
        <w:t>on</w:t>
      </w:r>
      <w:r>
        <w:rPr>
          <w:color w:val="231F20"/>
          <w:spacing w:val="-11"/>
        </w:rPr>
        <w:t> </w:t>
      </w:r>
      <w:r>
        <w:rPr>
          <w:color w:val="231F20"/>
          <w:spacing w:val="-2"/>
        </w:rPr>
        <w:t>reli- </w:t>
      </w:r>
      <w:r>
        <w:rPr>
          <w:color w:val="231F20"/>
          <w:spacing w:val="-6"/>
        </w:rPr>
        <w:t>ability,</w:t>
      </w:r>
      <w:r>
        <w:rPr>
          <w:color w:val="231F20"/>
          <w:spacing w:val="-7"/>
        </w:rPr>
        <w:t> </w:t>
      </w:r>
      <w:r>
        <w:rPr>
          <w:color w:val="231F20"/>
          <w:spacing w:val="-6"/>
        </w:rPr>
        <w:t>value</w:t>
      </w:r>
      <w:r>
        <w:rPr>
          <w:color w:val="231F20"/>
          <w:spacing w:val="-7"/>
        </w:rPr>
        <w:t> </w:t>
      </w:r>
      <w:r>
        <w:rPr>
          <w:color w:val="231F20"/>
          <w:spacing w:val="-6"/>
        </w:rPr>
        <w:t>of</w:t>
      </w:r>
      <w:r>
        <w:rPr>
          <w:color w:val="231F20"/>
          <w:spacing w:val="-7"/>
        </w:rPr>
        <w:t> </w:t>
      </w:r>
      <w:r>
        <w:rPr>
          <w:color w:val="231F20"/>
          <w:spacing w:val="-6"/>
        </w:rPr>
        <w:t>time,</w:t>
      </w:r>
      <w:r>
        <w:rPr>
          <w:color w:val="231F20"/>
          <w:spacing w:val="-7"/>
        </w:rPr>
        <w:t> </w:t>
      </w:r>
      <w:r>
        <w:rPr>
          <w:color w:val="231F20"/>
          <w:spacing w:val="-6"/>
        </w:rPr>
        <w:t>and</w:t>
      </w:r>
      <w:r>
        <w:rPr>
          <w:color w:val="231F20"/>
          <w:spacing w:val="-7"/>
        </w:rPr>
        <w:t> </w:t>
      </w:r>
      <w:r>
        <w:rPr>
          <w:color w:val="231F20"/>
          <w:spacing w:val="-6"/>
        </w:rPr>
        <w:t>connections</w:t>
      </w:r>
      <w:r>
        <w:rPr>
          <w:color w:val="231F20"/>
          <w:spacing w:val="-7"/>
        </w:rPr>
        <w:t> </w:t>
      </w:r>
      <w:r>
        <w:rPr>
          <w:color w:val="231F20"/>
          <w:spacing w:val="-6"/>
        </w:rPr>
        <w:t>between delays</w:t>
      </w:r>
      <w:r>
        <w:rPr>
          <w:color w:val="231F20"/>
          <w:spacing w:val="-12"/>
        </w:rPr>
        <w:t> </w:t>
      </w:r>
      <w:r>
        <w:rPr>
          <w:color w:val="231F20"/>
          <w:spacing w:val="-6"/>
        </w:rPr>
        <w:t>and</w:t>
      </w:r>
      <w:r>
        <w:rPr>
          <w:color w:val="231F20"/>
          <w:spacing w:val="-12"/>
        </w:rPr>
        <w:t> </w:t>
      </w:r>
      <w:r>
        <w:rPr>
          <w:color w:val="231F20"/>
          <w:spacing w:val="-6"/>
        </w:rPr>
        <w:t>other</w:t>
      </w:r>
      <w:r>
        <w:rPr>
          <w:color w:val="231F20"/>
          <w:spacing w:val="-12"/>
        </w:rPr>
        <w:t> </w:t>
      </w:r>
      <w:r>
        <w:rPr>
          <w:color w:val="231F20"/>
          <w:spacing w:val="-6"/>
        </w:rPr>
        <w:t>outcomes</w:t>
      </w:r>
      <w:r>
        <w:rPr>
          <w:color w:val="231F20"/>
          <w:spacing w:val="-12"/>
        </w:rPr>
        <w:t> </w:t>
      </w:r>
      <w:r>
        <w:rPr>
          <w:color w:val="231F20"/>
          <w:spacing w:val="-6"/>
        </w:rPr>
        <w:t>such</w:t>
      </w:r>
      <w:r>
        <w:rPr>
          <w:color w:val="231F20"/>
          <w:spacing w:val="-12"/>
        </w:rPr>
        <w:t> </w:t>
      </w:r>
      <w:r>
        <w:rPr>
          <w:color w:val="231F20"/>
          <w:spacing w:val="-6"/>
        </w:rPr>
        <w:t>as</w:t>
      </w:r>
      <w:r>
        <w:rPr>
          <w:color w:val="231F20"/>
          <w:spacing w:val="-12"/>
        </w:rPr>
        <w:t> </w:t>
      </w:r>
      <w:r>
        <w:rPr>
          <w:color w:val="231F20"/>
          <w:spacing w:val="-6"/>
        </w:rPr>
        <w:t>port</w:t>
      </w:r>
      <w:r>
        <w:rPr>
          <w:color w:val="231F20"/>
          <w:spacing w:val="-12"/>
        </w:rPr>
        <w:t> </w:t>
      </w:r>
      <w:r>
        <w:rPr>
          <w:color w:val="231F20"/>
          <w:spacing w:val="-6"/>
        </w:rPr>
        <w:t>produc- </w:t>
      </w:r>
      <w:r>
        <w:rPr>
          <w:color w:val="231F20"/>
          <w:w w:val="90"/>
        </w:rPr>
        <w:t>tivity,</w:t>
      </w:r>
      <w:r>
        <w:rPr>
          <w:color w:val="231F20"/>
          <w:spacing w:val="2"/>
        </w:rPr>
        <w:t> </w:t>
      </w:r>
      <w:r>
        <w:rPr>
          <w:color w:val="231F20"/>
          <w:w w:val="90"/>
        </w:rPr>
        <w:t>international</w:t>
      </w:r>
      <w:r>
        <w:rPr>
          <w:color w:val="231F20"/>
          <w:spacing w:val="2"/>
        </w:rPr>
        <w:t> </w:t>
      </w:r>
      <w:r>
        <w:rPr>
          <w:color w:val="231F20"/>
          <w:w w:val="90"/>
        </w:rPr>
        <w:t>connectivity,</w:t>
      </w:r>
      <w:r>
        <w:rPr>
          <w:color w:val="231F20"/>
          <w:spacing w:val="2"/>
        </w:rPr>
        <w:t> </w:t>
      </w:r>
      <w:r>
        <w:rPr>
          <w:color w:val="231F20"/>
          <w:w w:val="90"/>
        </w:rPr>
        <w:t>and</w:t>
      </w:r>
      <w:r>
        <w:rPr>
          <w:color w:val="231F20"/>
          <w:spacing w:val="2"/>
        </w:rPr>
        <w:t> </w:t>
      </w:r>
      <w:r>
        <w:rPr>
          <w:color w:val="231F20"/>
          <w:w w:val="90"/>
        </w:rPr>
        <w:t>even</w:t>
      </w:r>
      <w:r>
        <w:rPr>
          <w:color w:val="231F20"/>
          <w:spacing w:val="2"/>
        </w:rPr>
        <w:t> </w:t>
      </w:r>
      <w:r>
        <w:rPr>
          <w:color w:val="231F20"/>
          <w:spacing w:val="-2"/>
          <w:w w:val="90"/>
        </w:rPr>
        <w:t>regu-</w:t>
      </w:r>
    </w:p>
    <w:p>
      <w:pPr>
        <w:pStyle w:val="BodyText"/>
        <w:spacing w:line="232" w:lineRule="exact"/>
        <w:ind w:left="196"/>
      </w:pPr>
      <w:r>
        <w:rPr>
          <w:color w:val="231F20"/>
          <w:w w:val="90"/>
        </w:rPr>
        <w:t>lations</w:t>
      </w:r>
      <w:r>
        <w:rPr>
          <w:color w:val="231F20"/>
          <w:spacing w:val="5"/>
        </w:rPr>
        <w:t> </w:t>
      </w:r>
      <w:r>
        <w:rPr>
          <w:color w:val="231F20"/>
          <w:w w:val="90"/>
        </w:rPr>
        <w:t>should</w:t>
      </w:r>
      <w:r>
        <w:rPr>
          <w:color w:val="231F20"/>
          <w:spacing w:val="5"/>
        </w:rPr>
        <w:t> </w:t>
      </w:r>
      <w:r>
        <w:rPr>
          <w:color w:val="231F20"/>
          <w:w w:val="90"/>
        </w:rPr>
        <w:t>be</w:t>
      </w:r>
      <w:r>
        <w:rPr>
          <w:color w:val="231F20"/>
          <w:spacing w:val="5"/>
        </w:rPr>
        <w:t> </w:t>
      </w:r>
      <w:r>
        <w:rPr>
          <w:color w:val="231F20"/>
          <w:spacing w:val="-2"/>
          <w:w w:val="90"/>
        </w:rPr>
        <w:t>considered.</w:t>
      </w:r>
    </w:p>
    <w:p>
      <w:pPr>
        <w:pStyle w:val="BodyText"/>
        <w:spacing w:before="66"/>
      </w:pPr>
    </w:p>
    <w:p>
      <w:pPr>
        <w:spacing w:line="280" w:lineRule="auto" w:before="0"/>
        <w:ind w:left="196" w:right="770" w:firstLine="0"/>
        <w:jc w:val="left"/>
        <w:rPr>
          <w:rFonts w:ascii="Arial"/>
          <w:b/>
          <w:sz w:val="20"/>
        </w:rPr>
      </w:pPr>
      <w:r>
        <w:rPr>
          <w:rFonts w:ascii="Arial"/>
          <w:b/>
          <w:color w:val="231F20"/>
          <w:w w:val="105"/>
          <w:sz w:val="20"/>
        </w:rPr>
        <w:t>Policymaking priorities when managing logistics as a sector of the economy</w:t>
      </w:r>
    </w:p>
    <w:p>
      <w:pPr>
        <w:pStyle w:val="BodyText"/>
        <w:spacing w:before="34"/>
        <w:rPr>
          <w:rFonts w:ascii="Arial"/>
          <w:b/>
          <w:sz w:val="20"/>
        </w:rPr>
      </w:pPr>
    </w:p>
    <w:p>
      <w:pPr>
        <w:pStyle w:val="BodyText"/>
        <w:spacing w:line="268" w:lineRule="auto"/>
        <w:ind w:left="196" w:right="657"/>
        <w:jc w:val="both"/>
      </w:pPr>
      <w:r>
        <w:rPr>
          <w:color w:val="231F20"/>
          <w:spacing w:val="-8"/>
        </w:rPr>
        <w:t>Improving</w:t>
      </w:r>
      <w:r>
        <w:rPr>
          <w:color w:val="231F20"/>
        </w:rPr>
        <w:t> </w:t>
      </w:r>
      <w:r>
        <w:rPr>
          <w:color w:val="231F20"/>
          <w:spacing w:val="-8"/>
        </w:rPr>
        <w:t>logistics</w:t>
      </w:r>
      <w:r>
        <w:rPr>
          <w:color w:val="231F20"/>
        </w:rPr>
        <w:t> </w:t>
      </w:r>
      <w:r>
        <w:rPr>
          <w:color w:val="231F20"/>
          <w:spacing w:val="-8"/>
        </w:rPr>
        <w:t>performance</w:t>
      </w:r>
      <w:r>
        <w:rPr>
          <w:color w:val="231F20"/>
        </w:rPr>
        <w:t> </w:t>
      </w:r>
      <w:r>
        <w:rPr>
          <w:color w:val="231F20"/>
          <w:spacing w:val="-8"/>
        </w:rPr>
        <w:t>requires</w:t>
      </w:r>
      <w:r>
        <w:rPr>
          <w:color w:val="231F20"/>
        </w:rPr>
        <w:t> </w:t>
      </w:r>
      <w:r>
        <w:rPr>
          <w:color w:val="231F20"/>
          <w:spacing w:val="-8"/>
        </w:rPr>
        <w:t>coun- </w:t>
      </w:r>
      <w:r>
        <w:rPr>
          <w:color w:val="231F20"/>
          <w:spacing w:val="-2"/>
          <w:w w:val="90"/>
        </w:rPr>
        <w:t>tries to consider it a cross-cutting policy area. The </w:t>
      </w:r>
      <w:r>
        <w:rPr>
          <w:color w:val="231F20"/>
          <w:spacing w:val="-4"/>
        </w:rPr>
        <w:t>work crosses the administrative boundaries of </w:t>
      </w:r>
      <w:r>
        <w:rPr>
          <w:color w:val="231F20"/>
          <w:spacing w:val="-8"/>
        </w:rPr>
        <w:t>transportation,</w:t>
      </w:r>
      <w:r>
        <w:rPr>
          <w:color w:val="231F20"/>
        </w:rPr>
        <w:t> </w:t>
      </w:r>
      <w:r>
        <w:rPr>
          <w:color w:val="231F20"/>
          <w:spacing w:val="-8"/>
        </w:rPr>
        <w:t>commerce,</w:t>
      </w:r>
      <w:r>
        <w:rPr>
          <w:color w:val="231F20"/>
        </w:rPr>
        <w:t> </w:t>
      </w:r>
      <w:r>
        <w:rPr>
          <w:color w:val="231F20"/>
          <w:spacing w:val="-8"/>
        </w:rPr>
        <w:t>infrastructure,</w:t>
      </w:r>
      <w:r>
        <w:rPr>
          <w:color w:val="231F20"/>
        </w:rPr>
        <w:t> </w:t>
      </w:r>
      <w:r>
        <w:rPr>
          <w:color w:val="231F20"/>
          <w:spacing w:val="-8"/>
        </w:rPr>
        <w:t>indus- </w:t>
      </w:r>
      <w:r>
        <w:rPr>
          <w:color w:val="231F20"/>
          <w:w w:val="90"/>
        </w:rPr>
        <w:t>try,</w:t>
      </w:r>
      <w:r>
        <w:rPr>
          <w:color w:val="231F20"/>
          <w:spacing w:val="1"/>
        </w:rPr>
        <w:t> </w:t>
      </w:r>
      <w:r>
        <w:rPr>
          <w:color w:val="231F20"/>
          <w:w w:val="90"/>
        </w:rPr>
        <w:t>finance,</w:t>
      </w:r>
      <w:r>
        <w:rPr>
          <w:color w:val="231F20"/>
          <w:spacing w:val="2"/>
        </w:rPr>
        <w:t> </w:t>
      </w:r>
      <w:r>
        <w:rPr>
          <w:color w:val="231F20"/>
          <w:w w:val="90"/>
        </w:rPr>
        <w:t>social</w:t>
      </w:r>
      <w:r>
        <w:rPr>
          <w:color w:val="231F20"/>
          <w:spacing w:val="1"/>
        </w:rPr>
        <w:t> </w:t>
      </w:r>
      <w:r>
        <w:rPr>
          <w:color w:val="231F20"/>
          <w:w w:val="90"/>
        </w:rPr>
        <w:t>issues,</w:t>
      </w:r>
      <w:r>
        <w:rPr>
          <w:color w:val="231F20"/>
          <w:spacing w:val="2"/>
        </w:rPr>
        <w:t> </w:t>
      </w:r>
      <w:r>
        <w:rPr>
          <w:color w:val="231F20"/>
          <w:w w:val="90"/>
        </w:rPr>
        <w:t>and</w:t>
      </w:r>
      <w:r>
        <w:rPr>
          <w:color w:val="231F20"/>
          <w:spacing w:val="2"/>
        </w:rPr>
        <w:t> </w:t>
      </w:r>
      <w:r>
        <w:rPr>
          <w:color w:val="231F20"/>
          <w:w w:val="90"/>
        </w:rPr>
        <w:t>the</w:t>
      </w:r>
      <w:r>
        <w:rPr>
          <w:color w:val="231F20"/>
          <w:spacing w:val="1"/>
        </w:rPr>
        <w:t> </w:t>
      </w:r>
      <w:r>
        <w:rPr>
          <w:color w:val="231F20"/>
          <w:spacing w:val="-2"/>
          <w:w w:val="90"/>
        </w:rPr>
        <w:t>environment.</w:t>
      </w:r>
    </w:p>
    <w:p>
      <w:pPr>
        <w:spacing w:after="0" w:line="268" w:lineRule="auto"/>
        <w:jc w:val="both"/>
        <w:sectPr>
          <w:type w:val="continuous"/>
          <w:pgSz w:w="12240" w:h="15840"/>
          <w:pgMar w:header="370" w:footer="0" w:top="1140" w:bottom="280" w:left="0" w:right="540"/>
          <w:cols w:num="2" w:equalWidth="0">
            <w:col w:w="7084" w:space="40"/>
            <w:col w:w="4576"/>
          </w:cols>
        </w:sectPr>
      </w:pPr>
    </w:p>
    <w:p>
      <w:pPr>
        <w:spacing w:before="87"/>
        <w:ind w:left="0" w:right="175" w:firstLine="0"/>
        <w:jc w:val="right"/>
        <w:rPr>
          <w:rFonts w:ascii="Arial"/>
          <w:sz w:val="12"/>
        </w:rPr>
      </w:pPr>
      <w:bookmarkStart w:name="_bookmark37" w:id="41"/>
      <w:bookmarkEnd w:id="41"/>
      <w:r>
        <w:rPr/>
      </w:r>
      <w:r>
        <w:rPr>
          <w:rFonts w:ascii="Arial"/>
          <w:color w:val="008FDD"/>
          <w:w w:val="110"/>
          <w:sz w:val="12"/>
        </w:rPr>
        <w:t>Chapter</w:t>
      </w:r>
      <w:r>
        <w:rPr>
          <w:rFonts w:ascii="Arial"/>
          <w:color w:val="008FDD"/>
          <w:spacing w:val="7"/>
          <w:w w:val="110"/>
          <w:sz w:val="12"/>
        </w:rPr>
        <w:t> </w:t>
      </w:r>
      <w:r>
        <w:rPr>
          <w:rFonts w:ascii="Arial"/>
          <w:color w:val="008FDD"/>
          <w:w w:val="110"/>
          <w:sz w:val="12"/>
        </w:rPr>
        <w:t>4</w:t>
      </w:r>
      <w:r>
        <w:rPr>
          <w:rFonts w:ascii="Arial"/>
          <w:color w:val="008FDD"/>
          <w:spacing w:val="76"/>
          <w:w w:val="150"/>
          <w:sz w:val="12"/>
        </w:rPr>
        <w:t> </w:t>
      </w:r>
      <w:r>
        <w:rPr>
          <w:rFonts w:ascii="Arial"/>
          <w:color w:val="008FDD"/>
          <w:spacing w:val="-2"/>
          <w:w w:val="110"/>
          <w:sz w:val="12"/>
        </w:rPr>
        <w:t>Conclusions</w:t>
      </w:r>
    </w:p>
    <w:p>
      <w:pPr>
        <w:pStyle w:val="BodyText"/>
        <w:rPr>
          <w:rFonts w:ascii="Arial"/>
          <w:sz w:val="20"/>
        </w:rPr>
      </w:pPr>
    </w:p>
    <w:p>
      <w:pPr>
        <w:pStyle w:val="BodyText"/>
        <w:rPr>
          <w:rFonts w:ascii="Arial"/>
          <w:sz w:val="20"/>
        </w:rPr>
      </w:pPr>
    </w:p>
    <w:p>
      <w:pPr>
        <w:pStyle w:val="BodyText"/>
        <w:spacing w:before="42"/>
        <w:rPr>
          <w:rFonts w:ascii="Arial"/>
          <w:sz w:val="20"/>
        </w:rPr>
      </w:pPr>
    </w:p>
    <w:p>
      <w:pPr>
        <w:spacing w:after="0"/>
        <w:rPr>
          <w:rFonts w:ascii="Arial"/>
          <w:sz w:val="20"/>
        </w:rPr>
        <w:sectPr>
          <w:headerReference w:type="default" r:id="rId98"/>
          <w:pgSz w:w="12240" w:h="15840"/>
          <w:pgMar w:header="0" w:footer="0" w:top="340" w:bottom="740" w:left="0" w:right="540"/>
        </w:sectPr>
      </w:pPr>
    </w:p>
    <w:p>
      <w:pPr>
        <w:pStyle w:val="BodyText"/>
        <w:spacing w:line="268" w:lineRule="auto" w:before="97"/>
        <w:ind w:left="1200"/>
        <w:jc w:val="both"/>
      </w:pPr>
      <w:r>
        <w:rPr>
          <w:color w:val="231F20"/>
          <w:w w:val="90"/>
        </w:rPr>
        <w:t>And it requires mechanisms that involve the pri- vate</w:t>
      </w:r>
      <w:r>
        <w:rPr>
          <w:color w:val="231F20"/>
          <w:spacing w:val="-10"/>
          <w:w w:val="90"/>
        </w:rPr>
        <w:t> </w:t>
      </w:r>
      <w:r>
        <w:rPr>
          <w:color w:val="231F20"/>
          <w:w w:val="90"/>
        </w:rPr>
        <w:t>sector</w:t>
      </w:r>
      <w:r>
        <w:rPr>
          <w:color w:val="231F20"/>
          <w:spacing w:val="-8"/>
          <w:w w:val="90"/>
        </w:rPr>
        <w:t> </w:t>
      </w:r>
      <w:r>
        <w:rPr>
          <w:color w:val="231F20"/>
          <w:w w:val="90"/>
        </w:rPr>
        <w:t>and</w:t>
      </w:r>
      <w:r>
        <w:rPr>
          <w:color w:val="231F20"/>
          <w:spacing w:val="-8"/>
          <w:w w:val="90"/>
        </w:rPr>
        <w:t> </w:t>
      </w:r>
      <w:r>
        <w:rPr>
          <w:color w:val="231F20"/>
          <w:w w:val="90"/>
        </w:rPr>
        <w:t>the</w:t>
      </w:r>
      <w:r>
        <w:rPr>
          <w:color w:val="231F20"/>
          <w:spacing w:val="-8"/>
          <w:w w:val="90"/>
        </w:rPr>
        <w:t> </w:t>
      </w:r>
      <w:r>
        <w:rPr>
          <w:color w:val="231F20"/>
          <w:w w:val="90"/>
        </w:rPr>
        <w:t>ability</w:t>
      </w:r>
      <w:r>
        <w:rPr>
          <w:color w:val="231F20"/>
          <w:spacing w:val="-8"/>
          <w:w w:val="90"/>
        </w:rPr>
        <w:t> </w:t>
      </w:r>
      <w:r>
        <w:rPr>
          <w:color w:val="231F20"/>
          <w:w w:val="90"/>
        </w:rPr>
        <w:t>to</w:t>
      </w:r>
      <w:r>
        <w:rPr>
          <w:color w:val="231F20"/>
          <w:spacing w:val="-8"/>
          <w:w w:val="90"/>
        </w:rPr>
        <w:t> </w:t>
      </w:r>
      <w:r>
        <w:rPr>
          <w:color w:val="231F20"/>
          <w:w w:val="90"/>
        </w:rPr>
        <w:t>absorb</w:t>
      </w:r>
      <w:r>
        <w:rPr>
          <w:color w:val="231F20"/>
          <w:spacing w:val="-8"/>
          <w:w w:val="90"/>
        </w:rPr>
        <w:t> </w:t>
      </w:r>
      <w:r>
        <w:rPr>
          <w:color w:val="231F20"/>
          <w:w w:val="90"/>
        </w:rPr>
        <w:t>best</w:t>
      </w:r>
      <w:r>
        <w:rPr>
          <w:color w:val="231F20"/>
          <w:spacing w:val="-7"/>
          <w:w w:val="90"/>
        </w:rPr>
        <w:t> </w:t>
      </w:r>
      <w:r>
        <w:rPr>
          <w:color w:val="231F20"/>
          <w:w w:val="90"/>
        </w:rPr>
        <w:t>practices </w:t>
      </w:r>
      <w:r>
        <w:rPr>
          <w:color w:val="231F20"/>
        </w:rPr>
        <w:t>from</w:t>
      </w:r>
      <w:r>
        <w:rPr>
          <w:color w:val="231F20"/>
          <w:spacing w:val="-17"/>
        </w:rPr>
        <w:t> </w:t>
      </w:r>
      <w:r>
        <w:rPr>
          <w:color w:val="231F20"/>
        </w:rPr>
        <w:t>high-performing</w:t>
      </w:r>
      <w:r>
        <w:rPr>
          <w:color w:val="231F20"/>
          <w:spacing w:val="-17"/>
        </w:rPr>
        <w:t> </w:t>
      </w:r>
      <w:r>
        <w:rPr>
          <w:color w:val="231F20"/>
        </w:rPr>
        <w:t>countries.</w:t>
      </w:r>
    </w:p>
    <w:p>
      <w:pPr>
        <w:pStyle w:val="BodyText"/>
        <w:spacing w:line="268" w:lineRule="auto"/>
        <w:ind w:left="1200" w:firstLine="300"/>
        <w:jc w:val="both"/>
      </w:pPr>
      <w:r>
        <w:rPr>
          <w:color w:val="231F20"/>
          <w:w w:val="90"/>
        </w:rPr>
        <w:t>The</w:t>
      </w:r>
      <w:r>
        <w:rPr>
          <w:color w:val="231F20"/>
          <w:spacing w:val="-6"/>
          <w:w w:val="90"/>
        </w:rPr>
        <w:t> </w:t>
      </w:r>
      <w:r>
        <w:rPr>
          <w:color w:val="231F20"/>
          <w:w w:val="90"/>
        </w:rPr>
        <w:t>complexity</w:t>
      </w:r>
      <w:r>
        <w:rPr>
          <w:color w:val="231F20"/>
          <w:spacing w:val="-6"/>
          <w:w w:val="90"/>
        </w:rPr>
        <w:t> </w:t>
      </w:r>
      <w:r>
        <w:rPr>
          <w:color w:val="231F20"/>
          <w:w w:val="90"/>
        </w:rPr>
        <w:t>of</w:t>
      </w:r>
      <w:r>
        <w:rPr>
          <w:color w:val="231F20"/>
          <w:spacing w:val="-6"/>
          <w:w w:val="90"/>
        </w:rPr>
        <w:t> </w:t>
      </w:r>
      <w:r>
        <w:rPr>
          <w:color w:val="231F20"/>
          <w:w w:val="90"/>
        </w:rPr>
        <w:t>these</w:t>
      </w:r>
      <w:r>
        <w:rPr>
          <w:color w:val="231F20"/>
          <w:spacing w:val="-6"/>
          <w:w w:val="90"/>
        </w:rPr>
        <w:t> </w:t>
      </w:r>
      <w:r>
        <w:rPr>
          <w:color w:val="231F20"/>
          <w:w w:val="90"/>
        </w:rPr>
        <w:t>issues</w:t>
      </w:r>
      <w:r>
        <w:rPr>
          <w:color w:val="231F20"/>
          <w:spacing w:val="-6"/>
          <w:w w:val="90"/>
        </w:rPr>
        <w:t> </w:t>
      </w:r>
      <w:r>
        <w:rPr>
          <w:color w:val="231F20"/>
          <w:w w:val="90"/>
        </w:rPr>
        <w:t>highlights</w:t>
      </w:r>
      <w:r>
        <w:rPr>
          <w:color w:val="231F20"/>
          <w:spacing w:val="-6"/>
          <w:w w:val="90"/>
        </w:rPr>
        <w:t> </w:t>
      </w:r>
      <w:r>
        <w:rPr>
          <w:color w:val="231F20"/>
          <w:w w:val="90"/>
        </w:rPr>
        <w:t>the </w:t>
      </w:r>
      <w:r>
        <w:rPr>
          <w:color w:val="231F20"/>
          <w:spacing w:val="-4"/>
        </w:rPr>
        <w:t>need</w:t>
      </w:r>
      <w:r>
        <w:rPr>
          <w:color w:val="231F20"/>
          <w:spacing w:val="-8"/>
        </w:rPr>
        <w:t> </w:t>
      </w:r>
      <w:r>
        <w:rPr>
          <w:color w:val="231F20"/>
          <w:spacing w:val="-4"/>
        </w:rPr>
        <w:t>for</w:t>
      </w:r>
      <w:r>
        <w:rPr>
          <w:color w:val="231F20"/>
          <w:spacing w:val="-8"/>
        </w:rPr>
        <w:t> </w:t>
      </w:r>
      <w:r>
        <w:rPr>
          <w:color w:val="231F20"/>
          <w:spacing w:val="-4"/>
        </w:rPr>
        <w:t>detailed</w:t>
      </w:r>
      <w:r>
        <w:rPr>
          <w:color w:val="231F20"/>
          <w:spacing w:val="-8"/>
        </w:rPr>
        <w:t> </w:t>
      </w:r>
      <w:r>
        <w:rPr>
          <w:color w:val="231F20"/>
          <w:spacing w:val="-4"/>
        </w:rPr>
        <w:t>research</w:t>
      </w:r>
      <w:r>
        <w:rPr>
          <w:color w:val="231F20"/>
          <w:spacing w:val="-8"/>
        </w:rPr>
        <w:t> </w:t>
      </w:r>
      <w:r>
        <w:rPr>
          <w:color w:val="231F20"/>
          <w:spacing w:val="-4"/>
        </w:rPr>
        <w:t>using</w:t>
      </w:r>
      <w:r>
        <w:rPr>
          <w:color w:val="231F20"/>
          <w:spacing w:val="-8"/>
        </w:rPr>
        <w:t> </w:t>
      </w:r>
      <w:r>
        <w:rPr>
          <w:color w:val="231F20"/>
          <w:spacing w:val="-4"/>
        </w:rPr>
        <w:t>the</w:t>
      </w:r>
      <w:r>
        <w:rPr>
          <w:color w:val="231F20"/>
          <w:spacing w:val="-8"/>
        </w:rPr>
        <w:t> </w:t>
      </w:r>
      <w:r>
        <w:rPr>
          <w:color w:val="231F20"/>
          <w:spacing w:val="-4"/>
        </w:rPr>
        <w:t>best</w:t>
      </w:r>
      <w:r>
        <w:rPr>
          <w:color w:val="231F20"/>
          <w:spacing w:val="-8"/>
        </w:rPr>
        <w:t> </w:t>
      </w:r>
      <w:r>
        <w:rPr>
          <w:color w:val="231F20"/>
          <w:spacing w:val="-4"/>
        </w:rPr>
        <w:t>avail- </w:t>
      </w:r>
      <w:r>
        <w:rPr>
          <w:color w:val="231F20"/>
          <w:spacing w:val="-6"/>
        </w:rPr>
        <w:t>able data, including the tracking data presented </w:t>
      </w:r>
      <w:r>
        <w:rPr>
          <w:color w:val="231F20"/>
          <w:spacing w:val="-4"/>
        </w:rPr>
        <w:t>in</w:t>
      </w:r>
      <w:r>
        <w:rPr>
          <w:color w:val="231F20"/>
          <w:spacing w:val="-8"/>
        </w:rPr>
        <w:t> </w:t>
      </w:r>
      <w:r>
        <w:rPr>
          <w:color w:val="231F20"/>
          <w:spacing w:val="-4"/>
        </w:rPr>
        <w:t>chapter</w:t>
      </w:r>
      <w:r>
        <w:rPr>
          <w:color w:val="231F20"/>
          <w:spacing w:val="-8"/>
        </w:rPr>
        <w:t> </w:t>
      </w:r>
      <w:r>
        <w:rPr>
          <w:color w:val="231F20"/>
          <w:spacing w:val="-4"/>
        </w:rPr>
        <w:t>3.</w:t>
      </w:r>
      <w:r>
        <w:rPr>
          <w:color w:val="231F20"/>
          <w:spacing w:val="-8"/>
        </w:rPr>
        <w:t> </w:t>
      </w:r>
      <w:r>
        <w:rPr>
          <w:color w:val="231F20"/>
          <w:spacing w:val="-4"/>
        </w:rPr>
        <w:t>One</w:t>
      </w:r>
      <w:r>
        <w:rPr>
          <w:color w:val="231F20"/>
          <w:spacing w:val="-8"/>
        </w:rPr>
        <w:t> </w:t>
      </w:r>
      <w:r>
        <w:rPr>
          <w:color w:val="231F20"/>
          <w:spacing w:val="-4"/>
        </w:rPr>
        <w:t>question</w:t>
      </w:r>
      <w:r>
        <w:rPr>
          <w:color w:val="231F20"/>
          <w:spacing w:val="-8"/>
        </w:rPr>
        <w:t> </w:t>
      </w:r>
      <w:r>
        <w:rPr>
          <w:color w:val="231F20"/>
          <w:spacing w:val="-4"/>
        </w:rPr>
        <w:t>relates</w:t>
      </w:r>
      <w:r>
        <w:rPr>
          <w:color w:val="231F20"/>
          <w:spacing w:val="-8"/>
        </w:rPr>
        <w:t> </w:t>
      </w:r>
      <w:r>
        <w:rPr>
          <w:color w:val="231F20"/>
          <w:spacing w:val="-4"/>
        </w:rPr>
        <w:t>to</w:t>
      </w:r>
      <w:r>
        <w:rPr>
          <w:color w:val="231F20"/>
          <w:spacing w:val="-8"/>
        </w:rPr>
        <w:t> </w:t>
      </w:r>
      <w:r>
        <w:rPr>
          <w:color w:val="231F20"/>
          <w:spacing w:val="-4"/>
        </w:rPr>
        <w:t>the</w:t>
      </w:r>
      <w:r>
        <w:rPr>
          <w:color w:val="231F20"/>
          <w:spacing w:val="-8"/>
        </w:rPr>
        <w:t> </w:t>
      </w:r>
      <w:r>
        <w:rPr>
          <w:color w:val="231F20"/>
          <w:spacing w:val="-4"/>
        </w:rPr>
        <w:t>extent to</w:t>
      </w:r>
      <w:r>
        <w:rPr>
          <w:color w:val="231F20"/>
          <w:spacing w:val="-10"/>
        </w:rPr>
        <w:t> </w:t>
      </w:r>
      <w:r>
        <w:rPr>
          <w:color w:val="231F20"/>
          <w:spacing w:val="-4"/>
        </w:rPr>
        <w:t>which</w:t>
      </w:r>
      <w:r>
        <w:rPr>
          <w:color w:val="231F20"/>
          <w:spacing w:val="-9"/>
        </w:rPr>
        <w:t> </w:t>
      </w:r>
      <w:r>
        <w:rPr>
          <w:color w:val="231F20"/>
          <w:spacing w:val="-4"/>
        </w:rPr>
        <w:t>trade</w:t>
      </w:r>
      <w:r>
        <w:rPr>
          <w:color w:val="231F20"/>
          <w:spacing w:val="-9"/>
        </w:rPr>
        <w:t> </w:t>
      </w:r>
      <w:r>
        <w:rPr>
          <w:color w:val="231F20"/>
          <w:spacing w:val="-4"/>
        </w:rPr>
        <w:t>facilitation</w:t>
      </w:r>
      <w:r>
        <w:rPr>
          <w:color w:val="231F20"/>
          <w:spacing w:val="-9"/>
        </w:rPr>
        <w:t> </w:t>
      </w:r>
      <w:r>
        <w:rPr>
          <w:color w:val="231F20"/>
          <w:spacing w:val="-4"/>
        </w:rPr>
        <w:t>practices</w:t>
      </w:r>
      <w:r>
        <w:rPr>
          <w:color w:val="231F20"/>
          <w:spacing w:val="-9"/>
        </w:rPr>
        <w:t> </w:t>
      </w:r>
      <w:r>
        <w:rPr>
          <w:color w:val="231F20"/>
          <w:spacing w:val="-4"/>
        </w:rPr>
        <w:t>around</w:t>
      </w:r>
      <w:r>
        <w:rPr>
          <w:color w:val="231F20"/>
          <w:spacing w:val="-9"/>
        </w:rPr>
        <w:t> </w:t>
      </w:r>
      <w:r>
        <w:rPr>
          <w:color w:val="231F20"/>
          <w:spacing w:val="-4"/>
        </w:rPr>
        <w:t>the </w:t>
      </w:r>
      <w:r>
        <w:rPr>
          <w:color w:val="231F20"/>
        </w:rPr>
        <w:t>world</w:t>
      </w:r>
      <w:r>
        <w:rPr>
          <w:color w:val="231F20"/>
          <w:spacing w:val="-14"/>
        </w:rPr>
        <w:t> </w:t>
      </w:r>
      <w:r>
        <w:rPr>
          <w:color w:val="231F20"/>
        </w:rPr>
        <w:t>increase</w:t>
      </w:r>
      <w:r>
        <w:rPr>
          <w:color w:val="231F20"/>
          <w:spacing w:val="-13"/>
        </w:rPr>
        <w:t> </w:t>
      </w:r>
      <w:r>
        <w:rPr>
          <w:color w:val="231F20"/>
        </w:rPr>
        <w:t>reliability</w:t>
      </w:r>
      <w:r>
        <w:rPr>
          <w:color w:val="231F20"/>
          <w:spacing w:val="-13"/>
        </w:rPr>
        <w:t> </w:t>
      </w:r>
      <w:r>
        <w:rPr>
          <w:color w:val="231F20"/>
        </w:rPr>
        <w:t>and</w:t>
      </w:r>
      <w:r>
        <w:rPr>
          <w:color w:val="231F20"/>
          <w:spacing w:val="-13"/>
        </w:rPr>
        <w:t> </w:t>
      </w:r>
      <w:r>
        <w:rPr>
          <w:color w:val="231F20"/>
        </w:rPr>
        <w:t>reduce</w:t>
      </w:r>
      <w:r>
        <w:rPr>
          <w:color w:val="231F20"/>
          <w:spacing w:val="-13"/>
        </w:rPr>
        <w:t> </w:t>
      </w:r>
      <w:r>
        <w:rPr>
          <w:color w:val="231F20"/>
        </w:rPr>
        <w:t>average lead</w:t>
      </w:r>
      <w:r>
        <w:rPr>
          <w:color w:val="231F20"/>
          <w:spacing w:val="-8"/>
        </w:rPr>
        <w:t> </w:t>
      </w:r>
      <w:r>
        <w:rPr>
          <w:color w:val="231F20"/>
        </w:rPr>
        <w:t>times.</w:t>
      </w:r>
      <w:r>
        <w:rPr>
          <w:color w:val="231F20"/>
          <w:spacing w:val="-8"/>
        </w:rPr>
        <w:t> </w:t>
      </w:r>
      <w:r>
        <w:rPr>
          <w:color w:val="231F20"/>
        </w:rPr>
        <w:t>No</w:t>
      </w:r>
      <w:r>
        <w:rPr>
          <w:color w:val="231F20"/>
          <w:spacing w:val="-8"/>
        </w:rPr>
        <w:t> </w:t>
      </w:r>
      <w:r>
        <w:rPr>
          <w:color w:val="231F20"/>
        </w:rPr>
        <w:t>high-quality</w:t>
      </w:r>
      <w:r>
        <w:rPr>
          <w:color w:val="231F20"/>
          <w:spacing w:val="-8"/>
        </w:rPr>
        <w:t> </w:t>
      </w:r>
      <w:r>
        <w:rPr>
          <w:color w:val="231F20"/>
        </w:rPr>
        <w:t>quantitative</w:t>
      </w:r>
      <w:r>
        <w:rPr>
          <w:color w:val="231F20"/>
          <w:spacing w:val="-8"/>
        </w:rPr>
        <w:t> </w:t>
      </w:r>
      <w:r>
        <w:rPr>
          <w:color w:val="231F20"/>
        </w:rPr>
        <w:t>evi- </w:t>
      </w:r>
      <w:r>
        <w:rPr>
          <w:color w:val="231F20"/>
          <w:spacing w:val="-2"/>
        </w:rPr>
        <w:t>dence</w:t>
      </w:r>
      <w:r>
        <w:rPr>
          <w:color w:val="231F20"/>
          <w:spacing w:val="-11"/>
        </w:rPr>
        <w:t> </w:t>
      </w:r>
      <w:r>
        <w:rPr>
          <w:color w:val="231F20"/>
          <w:spacing w:val="-2"/>
        </w:rPr>
        <w:t>explains</w:t>
      </w:r>
      <w:r>
        <w:rPr>
          <w:color w:val="231F20"/>
          <w:spacing w:val="-11"/>
        </w:rPr>
        <w:t> </w:t>
      </w:r>
      <w:r>
        <w:rPr>
          <w:color w:val="231F20"/>
          <w:spacing w:val="-2"/>
        </w:rPr>
        <w:t>how</w:t>
      </w:r>
      <w:r>
        <w:rPr>
          <w:color w:val="231F20"/>
          <w:spacing w:val="-11"/>
        </w:rPr>
        <w:t> </w:t>
      </w:r>
      <w:r>
        <w:rPr>
          <w:color w:val="231F20"/>
          <w:spacing w:val="-2"/>
        </w:rPr>
        <w:t>much</w:t>
      </w:r>
      <w:r>
        <w:rPr>
          <w:color w:val="231F20"/>
          <w:spacing w:val="-11"/>
        </w:rPr>
        <w:t> </w:t>
      </w:r>
      <w:r>
        <w:rPr>
          <w:color w:val="231F20"/>
          <w:spacing w:val="-2"/>
        </w:rPr>
        <w:t>unreliable</w:t>
      </w:r>
      <w:r>
        <w:rPr>
          <w:color w:val="231F20"/>
          <w:spacing w:val="-11"/>
        </w:rPr>
        <w:t> </w:t>
      </w:r>
      <w:r>
        <w:rPr>
          <w:color w:val="231F20"/>
          <w:spacing w:val="-2"/>
        </w:rPr>
        <w:t>delivery </w:t>
      </w:r>
      <w:r>
        <w:rPr>
          <w:color w:val="231F20"/>
          <w:spacing w:val="-4"/>
        </w:rPr>
        <w:t>times</w:t>
      </w:r>
      <w:r>
        <w:rPr>
          <w:color w:val="231F20"/>
          <w:spacing w:val="-9"/>
        </w:rPr>
        <w:t> </w:t>
      </w:r>
      <w:r>
        <w:rPr>
          <w:color w:val="231F20"/>
          <w:spacing w:val="-4"/>
        </w:rPr>
        <w:t>contribute</w:t>
      </w:r>
      <w:r>
        <w:rPr>
          <w:color w:val="231F20"/>
          <w:spacing w:val="-9"/>
        </w:rPr>
        <w:t> </w:t>
      </w:r>
      <w:r>
        <w:rPr>
          <w:color w:val="231F20"/>
          <w:spacing w:val="-4"/>
        </w:rPr>
        <w:t>to</w:t>
      </w:r>
      <w:r>
        <w:rPr>
          <w:color w:val="231F20"/>
          <w:spacing w:val="-9"/>
        </w:rPr>
        <w:t> </w:t>
      </w:r>
      <w:r>
        <w:rPr>
          <w:color w:val="231F20"/>
          <w:spacing w:val="-4"/>
        </w:rPr>
        <w:t>higher</w:t>
      </w:r>
      <w:r>
        <w:rPr>
          <w:color w:val="231F20"/>
          <w:spacing w:val="-9"/>
        </w:rPr>
        <w:t> </w:t>
      </w:r>
      <w:r>
        <w:rPr>
          <w:color w:val="231F20"/>
          <w:spacing w:val="-4"/>
        </w:rPr>
        <w:t>trade</w:t>
      </w:r>
      <w:r>
        <w:rPr>
          <w:color w:val="231F20"/>
          <w:spacing w:val="-9"/>
        </w:rPr>
        <w:t> </w:t>
      </w:r>
      <w:r>
        <w:rPr>
          <w:color w:val="231F20"/>
          <w:spacing w:val="-4"/>
        </w:rPr>
        <w:t>costs</w:t>
      </w:r>
      <w:r>
        <w:rPr>
          <w:color w:val="231F20"/>
          <w:spacing w:val="-9"/>
        </w:rPr>
        <w:t> </w:t>
      </w:r>
      <w:r>
        <w:rPr>
          <w:color w:val="231F20"/>
          <w:spacing w:val="-4"/>
        </w:rPr>
        <w:t>that</w:t>
      </w:r>
      <w:r>
        <w:rPr>
          <w:color w:val="231F20"/>
          <w:spacing w:val="-9"/>
        </w:rPr>
        <w:t> </w:t>
      </w:r>
      <w:r>
        <w:rPr>
          <w:color w:val="231F20"/>
          <w:spacing w:val="-4"/>
        </w:rPr>
        <w:t>hold </w:t>
      </w:r>
      <w:r>
        <w:rPr>
          <w:color w:val="231F20"/>
        </w:rPr>
        <w:t>back international integration.</w:t>
      </w:r>
    </w:p>
    <w:p>
      <w:pPr>
        <w:pStyle w:val="BodyText"/>
        <w:spacing w:line="268" w:lineRule="auto"/>
        <w:ind w:left="1200" w:firstLine="300"/>
        <w:jc w:val="both"/>
      </w:pPr>
      <w:r>
        <w:rPr>
          <w:color w:val="231F20"/>
          <w:spacing w:val="-6"/>
        </w:rPr>
        <w:t>Quantifying the social costs and benefits of </w:t>
      </w:r>
      <w:r>
        <w:rPr>
          <w:color w:val="231F20"/>
          <w:w w:val="90"/>
        </w:rPr>
        <w:t>supply chain characteristics—such as length, di- versity,</w:t>
      </w:r>
      <w:r>
        <w:rPr>
          <w:color w:val="231F20"/>
          <w:spacing w:val="-1"/>
          <w:w w:val="90"/>
        </w:rPr>
        <w:t> </w:t>
      </w:r>
      <w:r>
        <w:rPr>
          <w:color w:val="231F20"/>
          <w:w w:val="90"/>
        </w:rPr>
        <w:t>network</w:t>
      </w:r>
      <w:r>
        <w:rPr>
          <w:color w:val="231F20"/>
          <w:spacing w:val="-1"/>
          <w:w w:val="90"/>
        </w:rPr>
        <w:t> </w:t>
      </w:r>
      <w:r>
        <w:rPr>
          <w:color w:val="231F20"/>
          <w:w w:val="90"/>
        </w:rPr>
        <w:t>characteristics,</w:t>
      </w:r>
      <w:r>
        <w:rPr>
          <w:color w:val="231F20"/>
          <w:spacing w:val="-1"/>
          <w:w w:val="90"/>
        </w:rPr>
        <w:t> </w:t>
      </w:r>
      <w:r>
        <w:rPr>
          <w:color w:val="231F20"/>
          <w:w w:val="90"/>
        </w:rPr>
        <w:t>and</w:t>
      </w:r>
      <w:r>
        <w:rPr>
          <w:color w:val="231F20"/>
          <w:spacing w:val="-1"/>
          <w:w w:val="90"/>
        </w:rPr>
        <w:t> </w:t>
      </w:r>
      <w:r>
        <w:rPr>
          <w:color w:val="231F20"/>
          <w:w w:val="90"/>
        </w:rPr>
        <w:t>resilience— </w:t>
      </w:r>
      <w:r>
        <w:rPr>
          <w:color w:val="231F20"/>
          <w:spacing w:val="-6"/>
        </w:rPr>
        <w:t>has become important in light of recent disrup- </w:t>
      </w:r>
      <w:r>
        <w:rPr>
          <w:color w:val="231F20"/>
          <w:spacing w:val="-2"/>
        </w:rPr>
        <w:t>tions.</w:t>
      </w:r>
      <w:r>
        <w:rPr>
          <w:color w:val="231F20"/>
          <w:spacing w:val="-9"/>
        </w:rPr>
        <w:t> </w:t>
      </w:r>
      <w:r>
        <w:rPr>
          <w:color w:val="231F20"/>
          <w:spacing w:val="-2"/>
        </w:rPr>
        <w:t>Developing</w:t>
      </w:r>
      <w:r>
        <w:rPr>
          <w:color w:val="231F20"/>
          <w:spacing w:val="-9"/>
        </w:rPr>
        <w:t> </w:t>
      </w:r>
      <w:r>
        <w:rPr>
          <w:color w:val="231F20"/>
          <w:spacing w:val="-2"/>
        </w:rPr>
        <w:t>policy-relevant</w:t>
      </w:r>
      <w:r>
        <w:rPr>
          <w:color w:val="231F20"/>
          <w:spacing w:val="-9"/>
        </w:rPr>
        <w:t> </w:t>
      </w:r>
      <w:r>
        <w:rPr>
          <w:color w:val="231F20"/>
          <w:spacing w:val="-2"/>
        </w:rPr>
        <w:t>tools</w:t>
      </w:r>
      <w:r>
        <w:rPr>
          <w:color w:val="231F20"/>
          <w:spacing w:val="-9"/>
        </w:rPr>
        <w:t> </w:t>
      </w:r>
      <w:r>
        <w:rPr>
          <w:color w:val="231F20"/>
          <w:spacing w:val="-2"/>
        </w:rPr>
        <w:t>could help</w:t>
      </w:r>
      <w:r>
        <w:rPr>
          <w:color w:val="231F20"/>
          <w:spacing w:val="-12"/>
        </w:rPr>
        <w:t> </w:t>
      </w:r>
      <w:r>
        <w:rPr>
          <w:color w:val="231F20"/>
          <w:spacing w:val="-2"/>
        </w:rPr>
        <w:t>decisionmakers</w:t>
      </w:r>
      <w:r>
        <w:rPr>
          <w:color w:val="231F20"/>
          <w:spacing w:val="-11"/>
        </w:rPr>
        <w:t> </w:t>
      </w:r>
      <w:r>
        <w:rPr>
          <w:color w:val="231F20"/>
          <w:spacing w:val="-2"/>
        </w:rPr>
        <w:t>identify</w:t>
      </w:r>
      <w:r>
        <w:rPr>
          <w:color w:val="231F20"/>
          <w:spacing w:val="-11"/>
        </w:rPr>
        <w:t> </w:t>
      </w:r>
      <w:r>
        <w:rPr>
          <w:color w:val="231F20"/>
          <w:spacing w:val="-2"/>
        </w:rPr>
        <w:t>instances</w:t>
      </w:r>
      <w:r>
        <w:rPr>
          <w:color w:val="231F20"/>
          <w:spacing w:val="-11"/>
        </w:rPr>
        <w:t> </w:t>
      </w:r>
      <w:r>
        <w:rPr>
          <w:color w:val="231F20"/>
          <w:spacing w:val="-2"/>
        </w:rPr>
        <w:t>where </w:t>
      </w:r>
      <w:r>
        <w:rPr>
          <w:color w:val="231F20"/>
          <w:spacing w:val="-6"/>
        </w:rPr>
        <w:t>policy</w:t>
      </w:r>
      <w:r>
        <w:rPr>
          <w:color w:val="231F20"/>
          <w:spacing w:val="-8"/>
        </w:rPr>
        <w:t> </w:t>
      </w:r>
      <w:r>
        <w:rPr>
          <w:color w:val="231F20"/>
          <w:spacing w:val="-6"/>
        </w:rPr>
        <w:t>could</w:t>
      </w:r>
      <w:r>
        <w:rPr>
          <w:color w:val="231F20"/>
          <w:spacing w:val="-7"/>
        </w:rPr>
        <w:t> </w:t>
      </w:r>
      <w:r>
        <w:rPr>
          <w:color w:val="231F20"/>
          <w:spacing w:val="-6"/>
        </w:rPr>
        <w:t>play</w:t>
      </w:r>
      <w:r>
        <w:rPr>
          <w:color w:val="231F20"/>
          <w:spacing w:val="-7"/>
        </w:rPr>
        <w:t> </w:t>
      </w:r>
      <w:r>
        <w:rPr>
          <w:color w:val="231F20"/>
          <w:spacing w:val="-6"/>
        </w:rPr>
        <w:t>a</w:t>
      </w:r>
      <w:r>
        <w:rPr>
          <w:color w:val="231F20"/>
          <w:spacing w:val="-7"/>
        </w:rPr>
        <w:t> </w:t>
      </w:r>
      <w:r>
        <w:rPr>
          <w:color w:val="231F20"/>
          <w:spacing w:val="-6"/>
        </w:rPr>
        <w:t>constructive</w:t>
      </w:r>
      <w:r>
        <w:rPr>
          <w:color w:val="231F20"/>
          <w:spacing w:val="-7"/>
        </w:rPr>
        <w:t> </w:t>
      </w:r>
      <w:r>
        <w:rPr>
          <w:color w:val="231F20"/>
          <w:spacing w:val="-6"/>
        </w:rPr>
        <w:t>role</w:t>
      </w:r>
      <w:r>
        <w:rPr>
          <w:color w:val="231F20"/>
          <w:spacing w:val="-7"/>
        </w:rPr>
        <w:t> </w:t>
      </w:r>
      <w:r>
        <w:rPr>
          <w:color w:val="231F20"/>
          <w:spacing w:val="-6"/>
        </w:rPr>
        <w:t>in</w:t>
      </w:r>
      <w:r>
        <w:rPr>
          <w:color w:val="231F20"/>
          <w:spacing w:val="-7"/>
        </w:rPr>
        <w:t> </w:t>
      </w:r>
      <w:r>
        <w:rPr>
          <w:color w:val="231F20"/>
          <w:spacing w:val="-6"/>
        </w:rPr>
        <w:t>increas- </w:t>
      </w:r>
      <w:r>
        <w:rPr>
          <w:color w:val="231F20"/>
          <w:spacing w:val="-4"/>
        </w:rPr>
        <w:t>ing logistics performance. Academic research </w:t>
      </w:r>
      <w:r>
        <w:rPr>
          <w:color w:val="231F20"/>
          <w:spacing w:val="-6"/>
        </w:rPr>
        <w:t>has</w:t>
      </w:r>
      <w:r>
        <w:rPr>
          <w:color w:val="231F20"/>
          <w:spacing w:val="-8"/>
        </w:rPr>
        <w:t> </w:t>
      </w:r>
      <w:r>
        <w:rPr>
          <w:color w:val="231F20"/>
          <w:spacing w:val="-6"/>
        </w:rPr>
        <w:t>touched</w:t>
      </w:r>
      <w:r>
        <w:rPr>
          <w:color w:val="231F20"/>
          <w:spacing w:val="-7"/>
        </w:rPr>
        <w:t> </w:t>
      </w:r>
      <w:r>
        <w:rPr>
          <w:color w:val="231F20"/>
          <w:spacing w:val="-6"/>
        </w:rPr>
        <w:t>on</w:t>
      </w:r>
      <w:r>
        <w:rPr>
          <w:color w:val="231F20"/>
          <w:spacing w:val="-7"/>
        </w:rPr>
        <w:t> </w:t>
      </w:r>
      <w:r>
        <w:rPr>
          <w:color w:val="231F20"/>
          <w:spacing w:val="-6"/>
        </w:rPr>
        <w:t>these</w:t>
      </w:r>
      <w:r>
        <w:rPr>
          <w:color w:val="231F20"/>
          <w:spacing w:val="-7"/>
        </w:rPr>
        <w:t> </w:t>
      </w:r>
      <w:r>
        <w:rPr>
          <w:color w:val="231F20"/>
          <w:spacing w:val="-6"/>
        </w:rPr>
        <w:t>areas,</w:t>
      </w:r>
      <w:r>
        <w:rPr>
          <w:color w:val="231F20"/>
          <w:spacing w:val="-7"/>
        </w:rPr>
        <w:t> </w:t>
      </w:r>
      <w:r>
        <w:rPr>
          <w:color w:val="231F20"/>
          <w:spacing w:val="-6"/>
        </w:rPr>
        <w:t>but</w:t>
      </w:r>
      <w:r>
        <w:rPr>
          <w:color w:val="231F20"/>
          <w:spacing w:val="-7"/>
        </w:rPr>
        <w:t> </w:t>
      </w:r>
      <w:r>
        <w:rPr>
          <w:color w:val="231F20"/>
          <w:spacing w:val="-6"/>
        </w:rPr>
        <w:t>there</w:t>
      </w:r>
      <w:r>
        <w:rPr>
          <w:color w:val="231F20"/>
          <w:spacing w:val="-7"/>
        </w:rPr>
        <w:t> </w:t>
      </w:r>
      <w:r>
        <w:rPr>
          <w:color w:val="231F20"/>
          <w:spacing w:val="-6"/>
        </w:rPr>
        <w:t>is</w:t>
      </w:r>
      <w:r>
        <w:rPr>
          <w:color w:val="231F20"/>
          <w:spacing w:val="-7"/>
        </w:rPr>
        <w:t> </w:t>
      </w:r>
      <w:r>
        <w:rPr>
          <w:color w:val="231F20"/>
          <w:spacing w:val="-6"/>
        </w:rPr>
        <w:t>a</w:t>
      </w:r>
      <w:r>
        <w:rPr>
          <w:color w:val="231F20"/>
          <w:spacing w:val="-8"/>
        </w:rPr>
        <w:t> </w:t>
      </w:r>
      <w:r>
        <w:rPr>
          <w:color w:val="231F20"/>
          <w:spacing w:val="-6"/>
        </w:rPr>
        <w:t>global </w:t>
      </w:r>
      <w:r>
        <w:rPr>
          <w:color w:val="231F20"/>
          <w:w w:val="90"/>
        </w:rPr>
        <w:t>public</w:t>
      </w:r>
      <w:r>
        <w:rPr>
          <w:color w:val="231F20"/>
          <w:spacing w:val="-6"/>
          <w:w w:val="90"/>
        </w:rPr>
        <w:t> </w:t>
      </w:r>
      <w:r>
        <w:rPr>
          <w:color w:val="231F20"/>
          <w:w w:val="90"/>
        </w:rPr>
        <w:t>goods</w:t>
      </w:r>
      <w:r>
        <w:rPr>
          <w:color w:val="231F20"/>
          <w:spacing w:val="-6"/>
          <w:w w:val="90"/>
        </w:rPr>
        <w:t> </w:t>
      </w:r>
      <w:r>
        <w:rPr>
          <w:color w:val="231F20"/>
          <w:w w:val="90"/>
        </w:rPr>
        <w:t>case</w:t>
      </w:r>
      <w:r>
        <w:rPr>
          <w:color w:val="231F20"/>
          <w:spacing w:val="-6"/>
          <w:w w:val="90"/>
        </w:rPr>
        <w:t> </w:t>
      </w:r>
      <w:r>
        <w:rPr>
          <w:color w:val="231F20"/>
          <w:w w:val="90"/>
        </w:rPr>
        <w:t>for</w:t>
      </w:r>
      <w:r>
        <w:rPr>
          <w:color w:val="231F20"/>
          <w:spacing w:val="-6"/>
          <w:w w:val="90"/>
        </w:rPr>
        <w:t> </w:t>
      </w:r>
      <w:r>
        <w:rPr>
          <w:color w:val="231F20"/>
          <w:w w:val="90"/>
        </w:rPr>
        <w:t>developing</w:t>
      </w:r>
      <w:r>
        <w:rPr>
          <w:color w:val="231F20"/>
          <w:spacing w:val="-6"/>
          <w:w w:val="90"/>
        </w:rPr>
        <w:t> </w:t>
      </w:r>
      <w:r>
        <w:rPr>
          <w:color w:val="231F20"/>
          <w:w w:val="90"/>
        </w:rPr>
        <w:t>specific</w:t>
      </w:r>
      <w:r>
        <w:rPr>
          <w:color w:val="231F20"/>
          <w:spacing w:val="-6"/>
          <w:w w:val="90"/>
        </w:rPr>
        <w:t> </w:t>
      </w:r>
      <w:r>
        <w:rPr>
          <w:color w:val="231F20"/>
          <w:w w:val="90"/>
        </w:rPr>
        <w:t>policy- </w:t>
      </w:r>
      <w:r>
        <w:rPr>
          <w:color w:val="231F20"/>
          <w:spacing w:val="-2"/>
        </w:rPr>
        <w:t>relevant</w:t>
      </w:r>
      <w:r>
        <w:rPr>
          <w:color w:val="231F20"/>
          <w:spacing w:val="-12"/>
        </w:rPr>
        <w:t> </w:t>
      </w:r>
      <w:r>
        <w:rPr>
          <w:color w:val="231F20"/>
          <w:spacing w:val="-2"/>
        </w:rPr>
        <w:t>insights</w:t>
      </w:r>
      <w:r>
        <w:rPr>
          <w:color w:val="231F20"/>
          <w:spacing w:val="-11"/>
        </w:rPr>
        <w:t> </w:t>
      </w:r>
      <w:r>
        <w:rPr>
          <w:color w:val="231F20"/>
          <w:spacing w:val="-2"/>
        </w:rPr>
        <w:t>that</w:t>
      </w:r>
      <w:r>
        <w:rPr>
          <w:color w:val="231F20"/>
          <w:spacing w:val="-11"/>
        </w:rPr>
        <w:t> </w:t>
      </w:r>
      <w:r>
        <w:rPr>
          <w:color w:val="231F20"/>
          <w:spacing w:val="-2"/>
        </w:rPr>
        <w:t>can</w:t>
      </w:r>
      <w:r>
        <w:rPr>
          <w:color w:val="231F20"/>
          <w:spacing w:val="-11"/>
        </w:rPr>
        <w:t> </w:t>
      </w:r>
      <w:r>
        <w:rPr>
          <w:color w:val="231F20"/>
          <w:spacing w:val="-2"/>
        </w:rPr>
        <w:t>support</w:t>
      </w:r>
      <w:r>
        <w:rPr>
          <w:color w:val="231F20"/>
          <w:spacing w:val="-11"/>
        </w:rPr>
        <w:t> </w:t>
      </w:r>
      <w:r>
        <w:rPr>
          <w:color w:val="231F20"/>
          <w:spacing w:val="-2"/>
        </w:rPr>
        <w:t>updated</w:t>
      </w:r>
      <w:r>
        <w:rPr>
          <w:color w:val="231F20"/>
          <w:spacing w:val="-11"/>
        </w:rPr>
        <w:t> </w:t>
      </w:r>
      <w:r>
        <w:rPr>
          <w:color w:val="231F20"/>
          <w:spacing w:val="-2"/>
        </w:rPr>
        <w:t>and </w:t>
      </w:r>
      <w:r>
        <w:rPr>
          <w:color w:val="231F20"/>
        </w:rPr>
        <w:t>innovative</w:t>
      </w:r>
      <w:r>
        <w:rPr>
          <w:color w:val="231F20"/>
          <w:spacing w:val="-14"/>
        </w:rPr>
        <w:t> </w:t>
      </w:r>
      <w:r>
        <w:rPr>
          <w:color w:val="231F20"/>
        </w:rPr>
        <w:t>toolkits</w:t>
      </w:r>
      <w:r>
        <w:rPr>
          <w:color w:val="231F20"/>
          <w:spacing w:val="-13"/>
        </w:rPr>
        <w:t> </w:t>
      </w:r>
      <w:r>
        <w:rPr>
          <w:color w:val="231F20"/>
        </w:rPr>
        <w:t>for</w:t>
      </w:r>
      <w:r>
        <w:rPr>
          <w:color w:val="231F20"/>
          <w:spacing w:val="-13"/>
        </w:rPr>
        <w:t> </w:t>
      </w:r>
      <w:r>
        <w:rPr>
          <w:color w:val="231F20"/>
        </w:rPr>
        <w:t>policymakers.</w:t>
      </w:r>
    </w:p>
    <w:p>
      <w:pPr>
        <w:pStyle w:val="BodyText"/>
        <w:spacing w:line="268" w:lineRule="auto"/>
        <w:ind w:left="1200" w:firstLine="300"/>
        <w:jc w:val="both"/>
      </w:pPr>
      <w:r>
        <w:rPr>
          <w:color w:val="231F20"/>
          <w:w w:val="90"/>
        </w:rPr>
        <w:t>Logistics</w:t>
      </w:r>
      <w:r>
        <w:rPr>
          <w:color w:val="231F20"/>
          <w:spacing w:val="-7"/>
          <w:w w:val="90"/>
        </w:rPr>
        <w:t> </w:t>
      </w:r>
      <w:r>
        <w:rPr>
          <w:color w:val="231F20"/>
          <w:w w:val="90"/>
        </w:rPr>
        <w:t>creates</w:t>
      </w:r>
      <w:r>
        <w:rPr>
          <w:color w:val="231F20"/>
          <w:spacing w:val="-7"/>
          <w:w w:val="90"/>
        </w:rPr>
        <w:t> </w:t>
      </w:r>
      <w:r>
        <w:rPr>
          <w:color w:val="231F20"/>
          <w:w w:val="90"/>
        </w:rPr>
        <w:t>new</w:t>
      </w:r>
      <w:r>
        <w:rPr>
          <w:color w:val="231F20"/>
          <w:spacing w:val="-7"/>
          <w:w w:val="90"/>
        </w:rPr>
        <w:t> </w:t>
      </w:r>
      <w:r>
        <w:rPr>
          <w:color w:val="231F20"/>
          <w:w w:val="90"/>
        </w:rPr>
        <w:t>concerns</w:t>
      </w:r>
      <w:r>
        <w:rPr>
          <w:color w:val="231F20"/>
          <w:spacing w:val="-7"/>
          <w:w w:val="90"/>
        </w:rPr>
        <w:t> </w:t>
      </w:r>
      <w:r>
        <w:rPr>
          <w:color w:val="231F20"/>
          <w:w w:val="90"/>
        </w:rPr>
        <w:t>because</w:t>
      </w:r>
      <w:r>
        <w:rPr>
          <w:color w:val="231F20"/>
          <w:spacing w:val="-7"/>
          <w:w w:val="90"/>
        </w:rPr>
        <w:t> </w:t>
      </w:r>
      <w:r>
        <w:rPr>
          <w:color w:val="231F20"/>
          <w:w w:val="90"/>
        </w:rPr>
        <w:t>of</w:t>
      </w:r>
      <w:r>
        <w:rPr>
          <w:color w:val="231F20"/>
          <w:spacing w:val="-7"/>
          <w:w w:val="90"/>
        </w:rPr>
        <w:t> </w:t>
      </w:r>
      <w:r>
        <w:rPr>
          <w:color w:val="231F20"/>
          <w:w w:val="90"/>
        </w:rPr>
        <w:t>its environmental footprint. Some logistics regula- tions apply to movements of goods as well as to facilities and assets. Those regulations may also </w:t>
      </w:r>
      <w:r>
        <w:rPr>
          <w:color w:val="231F20"/>
          <w:spacing w:val="-4"/>
        </w:rPr>
        <w:t>influence competition at both the national and </w:t>
      </w:r>
      <w:r>
        <w:rPr>
          <w:color w:val="231F20"/>
          <w:w w:val="90"/>
        </w:rPr>
        <w:t>international levels. Strengthening the legal and </w:t>
      </w:r>
      <w:r>
        <w:rPr>
          <w:color w:val="231F20"/>
          <w:spacing w:val="-2"/>
        </w:rPr>
        <w:t>regulatory</w:t>
      </w:r>
      <w:r>
        <w:rPr>
          <w:color w:val="231F20"/>
          <w:spacing w:val="-10"/>
        </w:rPr>
        <w:t> </w:t>
      </w:r>
      <w:r>
        <w:rPr>
          <w:color w:val="231F20"/>
          <w:spacing w:val="-2"/>
        </w:rPr>
        <w:t>status</w:t>
      </w:r>
      <w:r>
        <w:rPr>
          <w:color w:val="231F20"/>
          <w:spacing w:val="-10"/>
        </w:rPr>
        <w:t> </w:t>
      </w:r>
      <w:r>
        <w:rPr>
          <w:color w:val="231F20"/>
          <w:spacing w:val="-2"/>
        </w:rPr>
        <w:t>of</w:t>
      </w:r>
      <w:r>
        <w:rPr>
          <w:color w:val="231F20"/>
          <w:spacing w:val="-10"/>
        </w:rPr>
        <w:t> </w:t>
      </w:r>
      <w:r>
        <w:rPr>
          <w:color w:val="231F20"/>
          <w:spacing w:val="-2"/>
        </w:rPr>
        <w:t>logistics</w:t>
      </w:r>
      <w:r>
        <w:rPr>
          <w:color w:val="231F20"/>
          <w:spacing w:val="-10"/>
        </w:rPr>
        <w:t> </w:t>
      </w:r>
      <w:r>
        <w:rPr>
          <w:color w:val="231F20"/>
          <w:spacing w:val="-2"/>
        </w:rPr>
        <w:t>as</w:t>
      </w:r>
      <w:r>
        <w:rPr>
          <w:color w:val="231F20"/>
          <w:spacing w:val="-10"/>
        </w:rPr>
        <w:t> </w:t>
      </w:r>
      <w:r>
        <w:rPr>
          <w:color w:val="231F20"/>
          <w:spacing w:val="-2"/>
        </w:rPr>
        <w:t>a</w:t>
      </w:r>
      <w:r>
        <w:rPr>
          <w:color w:val="231F20"/>
          <w:spacing w:val="-10"/>
        </w:rPr>
        <w:t> </w:t>
      </w:r>
      <w:r>
        <w:rPr>
          <w:color w:val="231F20"/>
          <w:spacing w:val="-2"/>
        </w:rPr>
        <w:t>sector</w:t>
      </w:r>
      <w:r>
        <w:rPr>
          <w:color w:val="231F20"/>
          <w:spacing w:val="-10"/>
        </w:rPr>
        <w:t> </w:t>
      </w:r>
      <w:r>
        <w:rPr>
          <w:color w:val="231F20"/>
          <w:spacing w:val="-2"/>
        </w:rPr>
        <w:t>of</w:t>
      </w:r>
      <w:r>
        <w:rPr>
          <w:color w:val="231F20"/>
          <w:spacing w:val="-10"/>
        </w:rPr>
        <w:t> </w:t>
      </w:r>
      <w:r>
        <w:rPr>
          <w:color w:val="231F20"/>
          <w:spacing w:val="-2"/>
        </w:rPr>
        <w:t>the </w:t>
      </w:r>
      <w:r>
        <w:rPr>
          <w:color w:val="231F20"/>
          <w:w w:val="90"/>
        </w:rPr>
        <w:t>economy is likely to be most important in coun- </w:t>
      </w:r>
      <w:r>
        <w:rPr>
          <w:color w:val="231F20"/>
          <w:spacing w:val="-6"/>
        </w:rPr>
        <w:t>tries</w:t>
      </w:r>
      <w:r>
        <w:rPr>
          <w:color w:val="231F20"/>
          <w:spacing w:val="-8"/>
        </w:rPr>
        <w:t> </w:t>
      </w:r>
      <w:r>
        <w:rPr>
          <w:color w:val="231F20"/>
          <w:spacing w:val="-6"/>
        </w:rPr>
        <w:t>in</w:t>
      </w:r>
      <w:r>
        <w:rPr>
          <w:color w:val="231F20"/>
          <w:spacing w:val="-7"/>
        </w:rPr>
        <w:t> </w:t>
      </w:r>
      <w:r>
        <w:rPr>
          <w:color w:val="231F20"/>
          <w:spacing w:val="-6"/>
        </w:rPr>
        <w:t>the</w:t>
      </w:r>
      <w:r>
        <w:rPr>
          <w:color w:val="231F20"/>
          <w:spacing w:val="-7"/>
        </w:rPr>
        <w:t> </w:t>
      </w:r>
      <w:r>
        <w:rPr>
          <w:color w:val="231F20"/>
          <w:spacing w:val="-6"/>
        </w:rPr>
        <w:t>middle</w:t>
      </w:r>
      <w:r>
        <w:rPr>
          <w:color w:val="231F20"/>
          <w:spacing w:val="-7"/>
        </w:rPr>
        <w:t> </w:t>
      </w:r>
      <w:r>
        <w:rPr>
          <w:color w:val="231F20"/>
          <w:spacing w:val="-6"/>
        </w:rPr>
        <w:t>performance</w:t>
      </w:r>
      <w:r>
        <w:rPr>
          <w:color w:val="231F20"/>
          <w:spacing w:val="-7"/>
        </w:rPr>
        <w:t> </w:t>
      </w:r>
      <w:r>
        <w:rPr>
          <w:color w:val="231F20"/>
          <w:spacing w:val="-6"/>
        </w:rPr>
        <w:t>quintile</w:t>
      </w:r>
      <w:r>
        <w:rPr>
          <w:color w:val="231F20"/>
          <w:spacing w:val="-7"/>
        </w:rPr>
        <w:t> </w:t>
      </w:r>
      <w:r>
        <w:rPr>
          <w:color w:val="231F20"/>
          <w:spacing w:val="-6"/>
        </w:rPr>
        <w:t>and</w:t>
      </w:r>
      <w:r>
        <w:rPr>
          <w:color w:val="231F20"/>
          <w:spacing w:val="-7"/>
        </w:rPr>
        <w:t> </w:t>
      </w:r>
      <w:r>
        <w:rPr>
          <w:color w:val="231F20"/>
          <w:spacing w:val="-6"/>
        </w:rPr>
        <w:t>the </w:t>
      </w:r>
      <w:r>
        <w:rPr>
          <w:color w:val="231F20"/>
        </w:rPr>
        <w:t>second quintile from the top.</w:t>
      </w:r>
    </w:p>
    <w:p>
      <w:pPr>
        <w:pStyle w:val="BodyText"/>
        <w:spacing w:line="268" w:lineRule="auto"/>
        <w:ind w:left="1200" w:firstLine="300"/>
        <w:jc w:val="both"/>
      </w:pPr>
      <w:r>
        <w:rPr>
          <w:color w:val="231F20"/>
          <w:spacing w:val="-2"/>
        </w:rPr>
        <w:t>The</w:t>
      </w:r>
      <w:r>
        <w:rPr>
          <w:color w:val="231F20"/>
          <w:spacing w:val="-12"/>
        </w:rPr>
        <w:t> </w:t>
      </w:r>
      <w:r>
        <w:rPr>
          <w:color w:val="231F20"/>
          <w:spacing w:val="-2"/>
        </w:rPr>
        <w:t>need</w:t>
      </w:r>
      <w:r>
        <w:rPr>
          <w:color w:val="231F20"/>
          <w:spacing w:val="-11"/>
        </w:rPr>
        <w:t> </w:t>
      </w:r>
      <w:r>
        <w:rPr>
          <w:color w:val="231F20"/>
          <w:spacing w:val="-2"/>
        </w:rPr>
        <w:t>to</w:t>
      </w:r>
      <w:r>
        <w:rPr>
          <w:color w:val="231F20"/>
          <w:spacing w:val="-11"/>
        </w:rPr>
        <w:t> </w:t>
      </w:r>
      <w:r>
        <w:rPr>
          <w:color w:val="231F20"/>
          <w:spacing w:val="-2"/>
        </w:rPr>
        <w:t>attract</w:t>
      </w:r>
      <w:r>
        <w:rPr>
          <w:color w:val="231F20"/>
          <w:spacing w:val="-11"/>
        </w:rPr>
        <w:t> </w:t>
      </w:r>
      <w:r>
        <w:rPr>
          <w:color w:val="231F20"/>
          <w:spacing w:val="-2"/>
        </w:rPr>
        <w:t>skilled</w:t>
      </w:r>
      <w:r>
        <w:rPr>
          <w:color w:val="231F20"/>
          <w:spacing w:val="-11"/>
        </w:rPr>
        <w:t> </w:t>
      </w:r>
      <w:r>
        <w:rPr>
          <w:color w:val="231F20"/>
          <w:spacing w:val="-2"/>
        </w:rPr>
        <w:t>people</w:t>
      </w:r>
      <w:r>
        <w:rPr>
          <w:color w:val="231F20"/>
          <w:spacing w:val="-11"/>
        </w:rPr>
        <w:t> </w:t>
      </w:r>
      <w:r>
        <w:rPr>
          <w:color w:val="231F20"/>
          <w:spacing w:val="-2"/>
        </w:rPr>
        <w:t>to</w:t>
      </w:r>
      <w:r>
        <w:rPr>
          <w:color w:val="231F20"/>
          <w:spacing w:val="-11"/>
        </w:rPr>
        <w:t> </w:t>
      </w:r>
      <w:r>
        <w:rPr>
          <w:color w:val="231F20"/>
          <w:spacing w:val="-2"/>
        </w:rPr>
        <w:t>logis- </w:t>
      </w:r>
      <w:r>
        <w:rPr>
          <w:color w:val="231F20"/>
          <w:w w:val="90"/>
        </w:rPr>
        <w:t>tics jobs has become acute, especially in devel- </w:t>
      </w:r>
      <w:r>
        <w:rPr>
          <w:color w:val="231F20"/>
        </w:rPr>
        <w:t>oped countries—and not just because of the </w:t>
      </w:r>
      <w:r>
        <w:rPr>
          <w:color w:val="231F20"/>
          <w:spacing w:val="-2"/>
        </w:rPr>
        <w:t>experiences</w:t>
      </w:r>
      <w:r>
        <w:rPr>
          <w:color w:val="231F20"/>
          <w:spacing w:val="-12"/>
        </w:rPr>
        <w:t> </w:t>
      </w:r>
      <w:r>
        <w:rPr>
          <w:color w:val="231F20"/>
          <w:spacing w:val="-2"/>
        </w:rPr>
        <w:t>during</w:t>
      </w:r>
      <w:r>
        <w:rPr>
          <w:color w:val="231F20"/>
          <w:spacing w:val="-11"/>
        </w:rPr>
        <w:t> </w:t>
      </w:r>
      <w:r>
        <w:rPr>
          <w:color w:val="231F20"/>
          <w:spacing w:val="-2"/>
        </w:rPr>
        <w:t>the</w:t>
      </w:r>
      <w:r>
        <w:rPr>
          <w:color w:val="231F20"/>
          <w:spacing w:val="-11"/>
        </w:rPr>
        <w:t> </w:t>
      </w:r>
      <w:r>
        <w:rPr>
          <w:color w:val="231F20"/>
          <w:spacing w:val="-2"/>
        </w:rPr>
        <w:t>COVID-19</w:t>
      </w:r>
      <w:r>
        <w:rPr>
          <w:color w:val="231F20"/>
          <w:spacing w:val="-11"/>
        </w:rPr>
        <w:t> </w:t>
      </w:r>
      <w:r>
        <w:rPr>
          <w:color w:val="231F20"/>
          <w:spacing w:val="-2"/>
        </w:rPr>
        <w:t>pandemic. </w:t>
      </w:r>
      <w:r>
        <w:rPr>
          <w:color w:val="231F20"/>
        </w:rPr>
        <w:t>In</w:t>
      </w:r>
      <w:r>
        <w:rPr>
          <w:color w:val="231F20"/>
          <w:spacing w:val="-14"/>
        </w:rPr>
        <w:t> </w:t>
      </w:r>
      <w:r>
        <w:rPr>
          <w:color w:val="231F20"/>
        </w:rPr>
        <w:t>many</w:t>
      </w:r>
      <w:r>
        <w:rPr>
          <w:color w:val="231F20"/>
          <w:spacing w:val="-13"/>
        </w:rPr>
        <w:t> </w:t>
      </w:r>
      <w:r>
        <w:rPr>
          <w:color w:val="231F20"/>
        </w:rPr>
        <w:t>parts</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world,</w:t>
      </w:r>
      <w:r>
        <w:rPr>
          <w:color w:val="231F20"/>
          <w:spacing w:val="-13"/>
        </w:rPr>
        <w:t> </w:t>
      </w:r>
      <w:r>
        <w:rPr>
          <w:color w:val="231F20"/>
        </w:rPr>
        <w:t>there</w:t>
      </w:r>
      <w:r>
        <w:rPr>
          <w:color w:val="231F20"/>
          <w:spacing w:val="-13"/>
        </w:rPr>
        <w:t> </w:t>
      </w:r>
      <w:r>
        <w:rPr>
          <w:color w:val="231F20"/>
        </w:rPr>
        <w:t>is</w:t>
      </w:r>
      <w:r>
        <w:rPr>
          <w:color w:val="231F20"/>
          <w:spacing w:val="-13"/>
        </w:rPr>
        <w:t> </w:t>
      </w:r>
      <w:r>
        <w:rPr>
          <w:color w:val="231F20"/>
        </w:rPr>
        <w:t>an</w:t>
      </w:r>
      <w:r>
        <w:rPr>
          <w:color w:val="231F20"/>
          <w:spacing w:val="-14"/>
        </w:rPr>
        <w:t> </w:t>
      </w:r>
      <w:r>
        <w:rPr>
          <w:color w:val="231F20"/>
        </w:rPr>
        <w:t>almost </w:t>
      </w:r>
      <w:r>
        <w:rPr>
          <w:color w:val="231F20"/>
          <w:spacing w:val="-6"/>
        </w:rPr>
        <w:t>endemic lack of truck drivers, warehouse staff, </w:t>
      </w:r>
      <w:r>
        <w:rPr>
          <w:color w:val="231F20"/>
        </w:rPr>
        <w:t>and seagoing personnel.</w:t>
      </w:r>
    </w:p>
    <w:p>
      <w:pPr>
        <w:pStyle w:val="BodyText"/>
        <w:spacing w:before="17"/>
      </w:pPr>
    </w:p>
    <w:p>
      <w:pPr>
        <w:spacing w:line="280" w:lineRule="auto" w:before="0"/>
        <w:ind w:left="1200" w:right="0" w:firstLine="0"/>
        <w:jc w:val="left"/>
        <w:rPr>
          <w:rFonts w:ascii="Arial"/>
          <w:b/>
          <w:sz w:val="20"/>
        </w:rPr>
      </w:pPr>
      <w:r>
        <w:rPr>
          <w:rFonts w:ascii="Arial"/>
          <w:b/>
          <w:color w:val="231F20"/>
          <w:w w:val="105"/>
          <w:sz w:val="20"/>
        </w:rPr>
        <w:t>The 2020s is a decade of transformation for global supply </w:t>
      </w:r>
      <w:r>
        <w:rPr>
          <w:rFonts w:ascii="Arial"/>
          <w:b/>
          <w:color w:val="231F20"/>
          <w:spacing w:val="-2"/>
          <w:w w:val="105"/>
          <w:sz w:val="20"/>
        </w:rPr>
        <w:t>chains</w:t>
      </w:r>
    </w:p>
    <w:p>
      <w:pPr>
        <w:pStyle w:val="BodyText"/>
        <w:spacing w:before="35"/>
        <w:rPr>
          <w:rFonts w:ascii="Arial"/>
          <w:b/>
          <w:sz w:val="20"/>
        </w:rPr>
      </w:pPr>
    </w:p>
    <w:p>
      <w:pPr>
        <w:pStyle w:val="BodyText"/>
        <w:spacing w:line="268" w:lineRule="auto"/>
        <w:ind w:left="1200"/>
        <w:jc w:val="both"/>
      </w:pPr>
      <w:r>
        <w:rPr>
          <w:color w:val="231F20"/>
          <w:spacing w:val="-2"/>
        </w:rPr>
        <w:t>Effective</w:t>
      </w:r>
      <w:r>
        <w:rPr>
          <w:color w:val="231F20"/>
          <w:spacing w:val="-12"/>
        </w:rPr>
        <w:t> </w:t>
      </w:r>
      <w:r>
        <w:rPr>
          <w:color w:val="231F20"/>
          <w:spacing w:val="-2"/>
        </w:rPr>
        <w:t>supply</w:t>
      </w:r>
      <w:r>
        <w:rPr>
          <w:color w:val="231F20"/>
          <w:spacing w:val="-11"/>
        </w:rPr>
        <w:t> </w:t>
      </w:r>
      <w:r>
        <w:rPr>
          <w:color w:val="231F20"/>
          <w:spacing w:val="-2"/>
        </w:rPr>
        <w:t>chains</w:t>
      </w:r>
      <w:r>
        <w:rPr>
          <w:color w:val="231F20"/>
          <w:spacing w:val="-11"/>
        </w:rPr>
        <w:t> </w:t>
      </w:r>
      <w:r>
        <w:rPr>
          <w:color w:val="231F20"/>
          <w:spacing w:val="-2"/>
        </w:rPr>
        <w:t>have</w:t>
      </w:r>
      <w:r>
        <w:rPr>
          <w:color w:val="231F20"/>
          <w:spacing w:val="-11"/>
        </w:rPr>
        <w:t> </w:t>
      </w:r>
      <w:r>
        <w:rPr>
          <w:color w:val="231F20"/>
          <w:spacing w:val="-2"/>
        </w:rPr>
        <w:t>enabled</w:t>
      </w:r>
      <w:r>
        <w:rPr>
          <w:color w:val="231F20"/>
          <w:spacing w:val="-11"/>
        </w:rPr>
        <w:t> </w:t>
      </w:r>
      <w:r>
        <w:rPr>
          <w:color w:val="231F20"/>
          <w:spacing w:val="-2"/>
        </w:rPr>
        <w:t>unprec- edented</w:t>
      </w:r>
      <w:r>
        <w:rPr>
          <w:color w:val="231F20"/>
          <w:spacing w:val="-7"/>
        </w:rPr>
        <w:t> </w:t>
      </w:r>
      <w:r>
        <w:rPr>
          <w:color w:val="231F20"/>
          <w:spacing w:val="-2"/>
        </w:rPr>
        <w:t>growth</w:t>
      </w:r>
      <w:r>
        <w:rPr>
          <w:color w:val="231F20"/>
          <w:spacing w:val="-7"/>
        </w:rPr>
        <w:t> </w:t>
      </w:r>
      <w:r>
        <w:rPr>
          <w:color w:val="231F20"/>
          <w:spacing w:val="-2"/>
        </w:rPr>
        <w:t>of</w:t>
      </w:r>
      <w:r>
        <w:rPr>
          <w:color w:val="231F20"/>
          <w:spacing w:val="-7"/>
        </w:rPr>
        <w:t> </w:t>
      </w:r>
      <w:r>
        <w:rPr>
          <w:color w:val="231F20"/>
          <w:spacing w:val="-2"/>
        </w:rPr>
        <w:t>globalization</w:t>
      </w:r>
      <w:r>
        <w:rPr>
          <w:color w:val="231F20"/>
          <w:spacing w:val="-6"/>
        </w:rPr>
        <w:t> </w:t>
      </w:r>
      <w:r>
        <w:rPr>
          <w:color w:val="231F20"/>
          <w:spacing w:val="-2"/>
        </w:rPr>
        <w:t>over</w:t>
      </w:r>
      <w:r>
        <w:rPr>
          <w:color w:val="231F20"/>
          <w:spacing w:val="-7"/>
        </w:rPr>
        <w:t> </w:t>
      </w:r>
      <w:r>
        <w:rPr>
          <w:color w:val="231F20"/>
          <w:spacing w:val="-2"/>
        </w:rPr>
        <w:t>the</w:t>
      </w:r>
      <w:r>
        <w:rPr>
          <w:color w:val="231F20"/>
          <w:spacing w:val="-7"/>
        </w:rPr>
        <w:t> </w:t>
      </w:r>
      <w:r>
        <w:rPr>
          <w:color w:val="231F20"/>
          <w:spacing w:val="-4"/>
        </w:rPr>
        <w:t>past</w:t>
      </w:r>
    </w:p>
    <w:p>
      <w:pPr>
        <w:pStyle w:val="BodyText"/>
        <w:spacing w:line="268" w:lineRule="auto" w:before="97"/>
        <w:ind w:left="199" w:right="2817"/>
        <w:jc w:val="both"/>
      </w:pPr>
      <w:r>
        <w:rPr/>
        <w:br w:type="column"/>
      </w:r>
      <w:r>
        <w:rPr>
          <w:color w:val="231F20"/>
        </w:rPr>
        <w:t>decades.</w:t>
      </w:r>
      <w:r>
        <w:rPr>
          <w:color w:val="231F20"/>
          <w:spacing w:val="-14"/>
        </w:rPr>
        <w:t> </w:t>
      </w:r>
      <w:r>
        <w:rPr>
          <w:color w:val="231F20"/>
        </w:rPr>
        <w:t>Relying</w:t>
      </w:r>
      <w:r>
        <w:rPr>
          <w:color w:val="231F20"/>
          <w:spacing w:val="-13"/>
        </w:rPr>
        <w:t> </w:t>
      </w:r>
      <w:r>
        <w:rPr>
          <w:color w:val="231F20"/>
        </w:rPr>
        <w:t>on</w:t>
      </w:r>
      <w:r>
        <w:rPr>
          <w:color w:val="231F20"/>
          <w:spacing w:val="-13"/>
        </w:rPr>
        <w:t> </w:t>
      </w:r>
      <w:r>
        <w:rPr>
          <w:color w:val="231F20"/>
        </w:rPr>
        <w:t>reliable,</w:t>
      </w:r>
      <w:r>
        <w:rPr>
          <w:color w:val="231F20"/>
          <w:spacing w:val="-13"/>
        </w:rPr>
        <w:t> </w:t>
      </w:r>
      <w:r>
        <w:rPr>
          <w:color w:val="231F20"/>
        </w:rPr>
        <w:t>affordable,</w:t>
      </w:r>
      <w:r>
        <w:rPr>
          <w:color w:val="231F20"/>
          <w:spacing w:val="-13"/>
        </w:rPr>
        <w:t> </w:t>
      </w:r>
      <w:r>
        <w:rPr>
          <w:color w:val="231F20"/>
        </w:rPr>
        <w:t>and </w:t>
      </w:r>
      <w:r>
        <w:rPr>
          <w:color w:val="231F20"/>
          <w:w w:val="90"/>
        </w:rPr>
        <w:t>high-capacity</w:t>
      </w:r>
      <w:r>
        <w:rPr>
          <w:color w:val="231F20"/>
          <w:spacing w:val="-2"/>
          <w:w w:val="90"/>
        </w:rPr>
        <w:t> </w:t>
      </w:r>
      <w:r>
        <w:rPr>
          <w:color w:val="231F20"/>
          <w:w w:val="90"/>
        </w:rPr>
        <w:t>logistics</w:t>
      </w:r>
      <w:r>
        <w:rPr>
          <w:color w:val="231F20"/>
          <w:spacing w:val="-2"/>
          <w:w w:val="90"/>
        </w:rPr>
        <w:t> </w:t>
      </w:r>
      <w:r>
        <w:rPr>
          <w:color w:val="231F20"/>
          <w:w w:val="90"/>
        </w:rPr>
        <w:t>services,</w:t>
      </w:r>
      <w:r>
        <w:rPr>
          <w:color w:val="231F20"/>
          <w:spacing w:val="-2"/>
          <w:w w:val="90"/>
        </w:rPr>
        <w:t> </w:t>
      </w:r>
      <w:r>
        <w:rPr>
          <w:color w:val="231F20"/>
          <w:w w:val="90"/>
        </w:rPr>
        <w:t>globally</w:t>
      </w:r>
      <w:r>
        <w:rPr>
          <w:color w:val="231F20"/>
          <w:spacing w:val="-2"/>
          <w:w w:val="90"/>
        </w:rPr>
        <w:t> </w:t>
      </w:r>
      <w:r>
        <w:rPr>
          <w:color w:val="231F20"/>
          <w:w w:val="90"/>
        </w:rPr>
        <w:t>minded </w:t>
      </w:r>
      <w:r>
        <w:rPr>
          <w:color w:val="231F20"/>
          <w:spacing w:val="-4"/>
        </w:rPr>
        <w:t>manufacturers</w:t>
      </w:r>
      <w:r>
        <w:rPr>
          <w:color w:val="231F20"/>
          <w:spacing w:val="-8"/>
        </w:rPr>
        <w:t> </w:t>
      </w:r>
      <w:r>
        <w:rPr>
          <w:color w:val="231F20"/>
          <w:spacing w:val="-4"/>
        </w:rPr>
        <w:t>have</w:t>
      </w:r>
      <w:r>
        <w:rPr>
          <w:color w:val="231F20"/>
          <w:spacing w:val="-8"/>
        </w:rPr>
        <w:t> </w:t>
      </w:r>
      <w:r>
        <w:rPr>
          <w:color w:val="231F20"/>
          <w:spacing w:val="-4"/>
        </w:rPr>
        <w:t>expanded</w:t>
      </w:r>
      <w:r>
        <w:rPr>
          <w:color w:val="231F20"/>
          <w:spacing w:val="-8"/>
        </w:rPr>
        <w:t> </w:t>
      </w:r>
      <w:r>
        <w:rPr>
          <w:color w:val="231F20"/>
          <w:spacing w:val="-4"/>
        </w:rPr>
        <w:t>their</w:t>
      </w:r>
      <w:r>
        <w:rPr>
          <w:color w:val="231F20"/>
          <w:spacing w:val="-8"/>
        </w:rPr>
        <w:t> </w:t>
      </w:r>
      <w:r>
        <w:rPr>
          <w:color w:val="231F20"/>
          <w:spacing w:val="-4"/>
        </w:rPr>
        <w:t>operations </w:t>
      </w:r>
      <w:r>
        <w:rPr>
          <w:color w:val="231F20"/>
        </w:rPr>
        <w:t>in new and existing markets. However, the </w:t>
      </w:r>
      <w:r>
        <w:rPr>
          <w:color w:val="231F20"/>
          <w:spacing w:val="-2"/>
        </w:rPr>
        <w:t>2020s</w:t>
      </w:r>
      <w:r>
        <w:rPr>
          <w:color w:val="231F20"/>
          <w:spacing w:val="-12"/>
        </w:rPr>
        <w:t> </w:t>
      </w:r>
      <w:r>
        <w:rPr>
          <w:color w:val="231F20"/>
          <w:spacing w:val="-2"/>
        </w:rPr>
        <w:t>are</w:t>
      </w:r>
      <w:r>
        <w:rPr>
          <w:color w:val="231F20"/>
          <w:spacing w:val="-11"/>
        </w:rPr>
        <w:t> </w:t>
      </w:r>
      <w:r>
        <w:rPr>
          <w:color w:val="231F20"/>
          <w:spacing w:val="-2"/>
        </w:rPr>
        <w:t>turning</w:t>
      </w:r>
      <w:r>
        <w:rPr>
          <w:color w:val="231F20"/>
          <w:spacing w:val="-11"/>
        </w:rPr>
        <w:t> </w:t>
      </w:r>
      <w:r>
        <w:rPr>
          <w:color w:val="231F20"/>
          <w:spacing w:val="-2"/>
        </w:rPr>
        <w:t>into</w:t>
      </w:r>
      <w:r>
        <w:rPr>
          <w:color w:val="231F20"/>
          <w:spacing w:val="-11"/>
        </w:rPr>
        <w:t> </w:t>
      </w:r>
      <w:r>
        <w:rPr>
          <w:color w:val="231F20"/>
          <w:spacing w:val="-2"/>
        </w:rPr>
        <w:t>a</w:t>
      </w:r>
      <w:r>
        <w:rPr>
          <w:color w:val="231F20"/>
          <w:spacing w:val="-11"/>
        </w:rPr>
        <w:t> </w:t>
      </w:r>
      <w:r>
        <w:rPr>
          <w:color w:val="231F20"/>
          <w:spacing w:val="-2"/>
        </w:rPr>
        <w:t>period</w:t>
      </w:r>
      <w:r>
        <w:rPr>
          <w:color w:val="231F20"/>
          <w:spacing w:val="-11"/>
        </w:rPr>
        <w:t> </w:t>
      </w:r>
      <w:r>
        <w:rPr>
          <w:color w:val="231F20"/>
          <w:spacing w:val="-2"/>
        </w:rPr>
        <w:t>of</w:t>
      </w:r>
      <w:r>
        <w:rPr>
          <w:color w:val="231F20"/>
          <w:spacing w:val="-11"/>
        </w:rPr>
        <w:t> </w:t>
      </w:r>
      <w:r>
        <w:rPr>
          <w:color w:val="231F20"/>
          <w:spacing w:val="-2"/>
        </w:rPr>
        <w:t>transforma- </w:t>
      </w:r>
      <w:r>
        <w:rPr>
          <w:color w:val="231F20"/>
          <w:spacing w:val="-4"/>
        </w:rPr>
        <w:t>tion</w:t>
      </w:r>
      <w:r>
        <w:rPr>
          <w:color w:val="231F20"/>
          <w:spacing w:val="-7"/>
        </w:rPr>
        <w:t> </w:t>
      </w:r>
      <w:r>
        <w:rPr>
          <w:color w:val="231F20"/>
          <w:spacing w:val="-4"/>
        </w:rPr>
        <w:t>for</w:t>
      </w:r>
      <w:r>
        <w:rPr>
          <w:color w:val="231F20"/>
          <w:spacing w:val="-7"/>
        </w:rPr>
        <w:t> </w:t>
      </w:r>
      <w:r>
        <w:rPr>
          <w:color w:val="231F20"/>
          <w:spacing w:val="-4"/>
        </w:rPr>
        <w:t>global</w:t>
      </w:r>
      <w:r>
        <w:rPr>
          <w:color w:val="231F20"/>
          <w:spacing w:val="-7"/>
        </w:rPr>
        <w:t> </w:t>
      </w:r>
      <w:r>
        <w:rPr>
          <w:color w:val="231F20"/>
          <w:spacing w:val="-4"/>
        </w:rPr>
        <w:t>supply</w:t>
      </w:r>
      <w:r>
        <w:rPr>
          <w:color w:val="231F20"/>
          <w:spacing w:val="-7"/>
        </w:rPr>
        <w:t> </w:t>
      </w:r>
      <w:r>
        <w:rPr>
          <w:color w:val="231F20"/>
          <w:spacing w:val="-4"/>
        </w:rPr>
        <w:t>and</w:t>
      </w:r>
      <w:r>
        <w:rPr>
          <w:color w:val="231F20"/>
          <w:spacing w:val="-7"/>
        </w:rPr>
        <w:t> </w:t>
      </w:r>
      <w:r>
        <w:rPr>
          <w:color w:val="231F20"/>
          <w:spacing w:val="-4"/>
        </w:rPr>
        <w:t>value</w:t>
      </w:r>
      <w:r>
        <w:rPr>
          <w:color w:val="231F20"/>
          <w:spacing w:val="-7"/>
        </w:rPr>
        <w:t> </w:t>
      </w:r>
      <w:r>
        <w:rPr>
          <w:color w:val="231F20"/>
          <w:spacing w:val="-4"/>
        </w:rPr>
        <w:t>chains,</w:t>
      </w:r>
      <w:r>
        <w:rPr>
          <w:color w:val="231F20"/>
          <w:spacing w:val="-7"/>
        </w:rPr>
        <w:t> </w:t>
      </w:r>
      <w:r>
        <w:rPr>
          <w:color w:val="231F20"/>
          <w:spacing w:val="-4"/>
        </w:rPr>
        <w:t>which </w:t>
      </w:r>
      <w:r>
        <w:rPr>
          <w:color w:val="231F20"/>
          <w:spacing w:val="-6"/>
        </w:rPr>
        <w:t>have turned out to be surprisingly resilient dur- </w:t>
      </w:r>
      <w:r>
        <w:rPr>
          <w:color w:val="231F20"/>
        </w:rPr>
        <w:t>ing the recent disruptions.</w:t>
      </w:r>
    </w:p>
    <w:p>
      <w:pPr>
        <w:pStyle w:val="BodyText"/>
        <w:spacing w:line="268" w:lineRule="auto"/>
        <w:ind w:left="199" w:right="2817" w:firstLine="300"/>
        <w:jc w:val="right"/>
      </w:pPr>
      <w:r>
        <w:rPr>
          <w:color w:val="231F20"/>
          <w:spacing w:val="-6"/>
        </w:rPr>
        <w:t>First,</w:t>
      </w:r>
      <w:r>
        <w:rPr>
          <w:color w:val="231F20"/>
          <w:spacing w:val="-11"/>
        </w:rPr>
        <w:t> </w:t>
      </w:r>
      <w:r>
        <w:rPr>
          <w:color w:val="231F20"/>
          <w:spacing w:val="-6"/>
        </w:rPr>
        <w:t>fundamental</w:t>
      </w:r>
      <w:r>
        <w:rPr>
          <w:color w:val="231F20"/>
          <w:spacing w:val="-11"/>
        </w:rPr>
        <w:t> </w:t>
      </w:r>
      <w:r>
        <w:rPr>
          <w:color w:val="231F20"/>
          <w:spacing w:val="-6"/>
        </w:rPr>
        <w:t>trends</w:t>
      </w:r>
      <w:r>
        <w:rPr>
          <w:color w:val="231F20"/>
          <w:spacing w:val="-11"/>
        </w:rPr>
        <w:t> </w:t>
      </w:r>
      <w:r>
        <w:rPr>
          <w:color w:val="231F20"/>
          <w:spacing w:val="-6"/>
        </w:rPr>
        <w:t>such</w:t>
      </w:r>
      <w:r>
        <w:rPr>
          <w:color w:val="231F20"/>
          <w:spacing w:val="-11"/>
        </w:rPr>
        <w:t> </w:t>
      </w:r>
      <w:r>
        <w:rPr>
          <w:color w:val="231F20"/>
          <w:spacing w:val="-6"/>
        </w:rPr>
        <w:t>as</w:t>
      </w:r>
      <w:r>
        <w:rPr>
          <w:color w:val="231F20"/>
          <w:spacing w:val="-11"/>
        </w:rPr>
        <w:t> </w:t>
      </w:r>
      <w:r>
        <w:rPr>
          <w:color w:val="231F20"/>
          <w:spacing w:val="-6"/>
        </w:rPr>
        <w:t>decarbon- </w:t>
      </w:r>
      <w:r>
        <w:rPr>
          <w:color w:val="231F20"/>
          <w:spacing w:val="-4"/>
        </w:rPr>
        <w:t>ization, sustainability, and growing digitaliza- </w:t>
      </w:r>
      <w:r>
        <w:rPr>
          <w:color w:val="231F20"/>
        </w:rPr>
        <w:t>tion</w:t>
      </w:r>
      <w:r>
        <w:rPr>
          <w:color w:val="231F20"/>
          <w:spacing w:val="-6"/>
        </w:rPr>
        <w:t> </w:t>
      </w:r>
      <w:r>
        <w:rPr>
          <w:color w:val="231F20"/>
        </w:rPr>
        <w:t>predate</w:t>
      </w:r>
      <w:r>
        <w:rPr>
          <w:color w:val="231F20"/>
          <w:spacing w:val="-6"/>
        </w:rPr>
        <w:t> </w:t>
      </w:r>
      <w:r>
        <w:rPr>
          <w:color w:val="231F20"/>
        </w:rPr>
        <w:t>the</w:t>
      </w:r>
      <w:r>
        <w:rPr>
          <w:color w:val="231F20"/>
          <w:spacing w:val="-6"/>
        </w:rPr>
        <w:t> </w:t>
      </w:r>
      <w:r>
        <w:rPr>
          <w:color w:val="231F20"/>
        </w:rPr>
        <w:t>recent</w:t>
      </w:r>
      <w:r>
        <w:rPr>
          <w:color w:val="231F20"/>
          <w:spacing w:val="-6"/>
        </w:rPr>
        <w:t> </w:t>
      </w:r>
      <w:r>
        <w:rPr>
          <w:color w:val="231F20"/>
        </w:rPr>
        <w:t>supply</w:t>
      </w:r>
      <w:r>
        <w:rPr>
          <w:color w:val="231F20"/>
          <w:spacing w:val="-6"/>
        </w:rPr>
        <w:t> </w:t>
      </w:r>
      <w:r>
        <w:rPr>
          <w:color w:val="231F20"/>
        </w:rPr>
        <w:t>chain</w:t>
      </w:r>
      <w:r>
        <w:rPr>
          <w:color w:val="231F20"/>
          <w:spacing w:val="-6"/>
        </w:rPr>
        <w:t> </w:t>
      </w:r>
      <w:r>
        <w:rPr>
          <w:color w:val="231F20"/>
        </w:rPr>
        <w:t>turmoil. </w:t>
      </w:r>
      <w:r>
        <w:rPr>
          <w:color w:val="231F20"/>
          <w:spacing w:val="-2"/>
        </w:rPr>
        <w:t>Second,</w:t>
      </w:r>
      <w:r>
        <w:rPr>
          <w:color w:val="231F20"/>
          <w:spacing w:val="-11"/>
        </w:rPr>
        <w:t> </w:t>
      </w:r>
      <w:r>
        <w:rPr>
          <w:color w:val="231F20"/>
          <w:spacing w:val="-2"/>
        </w:rPr>
        <w:t>the</w:t>
      </w:r>
      <w:r>
        <w:rPr>
          <w:color w:val="231F20"/>
          <w:spacing w:val="-11"/>
        </w:rPr>
        <w:t> </w:t>
      </w:r>
      <w:r>
        <w:rPr>
          <w:color w:val="231F20"/>
          <w:spacing w:val="-2"/>
        </w:rPr>
        <w:t>recent</w:t>
      </w:r>
      <w:r>
        <w:rPr>
          <w:color w:val="231F20"/>
          <w:spacing w:val="-11"/>
        </w:rPr>
        <w:t> </w:t>
      </w:r>
      <w:r>
        <w:rPr>
          <w:color w:val="231F20"/>
          <w:spacing w:val="-2"/>
        </w:rPr>
        <w:t>increase</w:t>
      </w:r>
      <w:r>
        <w:rPr>
          <w:color w:val="231F20"/>
          <w:spacing w:val="-11"/>
        </w:rPr>
        <w:t> </w:t>
      </w:r>
      <w:r>
        <w:rPr>
          <w:color w:val="231F20"/>
          <w:spacing w:val="-2"/>
        </w:rPr>
        <w:t>in</w:t>
      </w:r>
      <w:r>
        <w:rPr>
          <w:color w:val="231F20"/>
          <w:spacing w:val="-11"/>
        </w:rPr>
        <w:t> </w:t>
      </w:r>
      <w:r>
        <w:rPr>
          <w:color w:val="231F20"/>
          <w:spacing w:val="-2"/>
        </w:rPr>
        <w:t>the</w:t>
      </w:r>
      <w:r>
        <w:rPr>
          <w:color w:val="231F20"/>
          <w:spacing w:val="-11"/>
        </w:rPr>
        <w:t> </w:t>
      </w:r>
      <w:r>
        <w:rPr>
          <w:color w:val="231F20"/>
          <w:spacing w:val="-2"/>
        </w:rPr>
        <w:t>use</w:t>
      </w:r>
      <w:r>
        <w:rPr>
          <w:color w:val="231F20"/>
          <w:spacing w:val="-11"/>
        </w:rPr>
        <w:t> </w:t>
      </w:r>
      <w:r>
        <w:rPr>
          <w:color w:val="231F20"/>
          <w:spacing w:val="-2"/>
        </w:rPr>
        <w:t>of</w:t>
      </w:r>
      <w:r>
        <w:rPr>
          <w:color w:val="231F20"/>
          <w:spacing w:val="-11"/>
        </w:rPr>
        <w:t> </w:t>
      </w:r>
      <w:r>
        <w:rPr>
          <w:color w:val="231F20"/>
          <w:spacing w:val="-2"/>
        </w:rPr>
        <w:t>trade instruments</w:t>
      </w:r>
      <w:r>
        <w:rPr>
          <w:color w:val="231F20"/>
          <w:spacing w:val="-12"/>
        </w:rPr>
        <w:t> </w:t>
      </w:r>
      <w:r>
        <w:rPr>
          <w:color w:val="231F20"/>
          <w:spacing w:val="-2"/>
        </w:rPr>
        <w:t>in</w:t>
      </w:r>
      <w:r>
        <w:rPr>
          <w:color w:val="231F20"/>
          <w:spacing w:val="-11"/>
        </w:rPr>
        <w:t> </w:t>
      </w:r>
      <w:r>
        <w:rPr>
          <w:color w:val="231F20"/>
          <w:spacing w:val="-2"/>
        </w:rPr>
        <w:t>geopolitics;</w:t>
      </w:r>
      <w:r>
        <w:rPr>
          <w:color w:val="231F20"/>
          <w:spacing w:val="-11"/>
        </w:rPr>
        <w:t> </w:t>
      </w:r>
      <w:r>
        <w:rPr>
          <w:color w:val="231F20"/>
          <w:spacing w:val="-2"/>
        </w:rPr>
        <w:t>manufacturing</w:t>
      </w:r>
      <w:r>
        <w:rPr>
          <w:color w:val="231F20"/>
          <w:spacing w:val="-11"/>
        </w:rPr>
        <w:t> </w:t>
      </w:r>
      <w:r>
        <w:rPr>
          <w:color w:val="231F20"/>
          <w:spacing w:val="-2"/>
        </w:rPr>
        <w:t>job losses</w:t>
      </w:r>
      <w:r>
        <w:rPr>
          <w:color w:val="231F20"/>
          <w:spacing w:val="-3"/>
        </w:rPr>
        <w:t> </w:t>
      </w:r>
      <w:r>
        <w:rPr>
          <w:color w:val="231F20"/>
          <w:spacing w:val="-2"/>
        </w:rPr>
        <w:t>in</w:t>
      </w:r>
      <w:r>
        <w:rPr>
          <w:color w:val="231F20"/>
          <w:spacing w:val="-3"/>
        </w:rPr>
        <w:t> </w:t>
      </w:r>
      <w:r>
        <w:rPr>
          <w:color w:val="231F20"/>
          <w:spacing w:val="-2"/>
        </w:rPr>
        <w:t>advanced</w:t>
      </w:r>
      <w:r>
        <w:rPr>
          <w:color w:val="231F20"/>
          <w:spacing w:val="-3"/>
        </w:rPr>
        <w:t> </w:t>
      </w:r>
      <w:r>
        <w:rPr>
          <w:color w:val="231F20"/>
          <w:spacing w:val="-2"/>
        </w:rPr>
        <w:t>economies;</w:t>
      </w:r>
      <w:r>
        <w:rPr>
          <w:color w:val="231F20"/>
          <w:spacing w:val="-3"/>
        </w:rPr>
        <w:t> </w:t>
      </w:r>
      <w:r>
        <w:rPr>
          <w:color w:val="231F20"/>
          <w:spacing w:val="-2"/>
        </w:rPr>
        <w:t>disruptions</w:t>
      </w:r>
      <w:r>
        <w:rPr>
          <w:color w:val="231F20"/>
          <w:spacing w:val="-3"/>
        </w:rPr>
        <w:t> </w:t>
      </w:r>
      <w:r>
        <w:rPr>
          <w:color w:val="231F20"/>
          <w:spacing w:val="-2"/>
        </w:rPr>
        <w:t>to </w:t>
      </w:r>
      <w:r>
        <w:rPr>
          <w:color w:val="231F20"/>
          <w:spacing w:val="-4"/>
        </w:rPr>
        <w:t>supplies</w:t>
      </w:r>
      <w:r>
        <w:rPr>
          <w:color w:val="231F20"/>
          <w:spacing w:val="-10"/>
        </w:rPr>
        <w:t> </w:t>
      </w:r>
      <w:r>
        <w:rPr>
          <w:color w:val="231F20"/>
          <w:spacing w:val="-4"/>
        </w:rPr>
        <w:t>of</w:t>
      </w:r>
      <w:r>
        <w:rPr>
          <w:color w:val="231F20"/>
          <w:spacing w:val="-9"/>
        </w:rPr>
        <w:t> </w:t>
      </w:r>
      <w:r>
        <w:rPr>
          <w:color w:val="231F20"/>
          <w:spacing w:val="-4"/>
        </w:rPr>
        <w:t>food,</w:t>
      </w:r>
      <w:r>
        <w:rPr>
          <w:color w:val="231F20"/>
          <w:spacing w:val="-9"/>
        </w:rPr>
        <w:t> </w:t>
      </w:r>
      <w:r>
        <w:rPr>
          <w:color w:val="231F20"/>
          <w:spacing w:val="-4"/>
        </w:rPr>
        <w:t>energy,</w:t>
      </w:r>
      <w:r>
        <w:rPr>
          <w:color w:val="231F20"/>
          <w:spacing w:val="-9"/>
        </w:rPr>
        <w:t> </w:t>
      </w:r>
      <w:r>
        <w:rPr>
          <w:color w:val="231F20"/>
          <w:spacing w:val="-4"/>
        </w:rPr>
        <w:t>pharmaceuticals,</w:t>
      </w:r>
      <w:r>
        <w:rPr>
          <w:color w:val="231F20"/>
          <w:spacing w:val="-9"/>
        </w:rPr>
        <w:t> </w:t>
      </w:r>
      <w:r>
        <w:rPr>
          <w:color w:val="231F20"/>
          <w:spacing w:val="-4"/>
        </w:rPr>
        <w:t>and semiconductors;</w:t>
      </w:r>
      <w:r>
        <w:rPr>
          <w:color w:val="231F20"/>
          <w:spacing w:val="-10"/>
        </w:rPr>
        <w:t> </w:t>
      </w:r>
      <w:r>
        <w:rPr>
          <w:color w:val="231F20"/>
          <w:spacing w:val="-4"/>
        </w:rPr>
        <w:t>and</w:t>
      </w:r>
      <w:r>
        <w:rPr>
          <w:color w:val="231F20"/>
          <w:spacing w:val="-9"/>
        </w:rPr>
        <w:t> </w:t>
      </w:r>
      <w:r>
        <w:rPr>
          <w:color w:val="231F20"/>
          <w:spacing w:val="-4"/>
        </w:rPr>
        <w:t>countries’</w:t>
      </w:r>
      <w:r>
        <w:rPr>
          <w:color w:val="231F20"/>
          <w:spacing w:val="-9"/>
        </w:rPr>
        <w:t> </w:t>
      </w:r>
      <w:r>
        <w:rPr>
          <w:color w:val="231F20"/>
          <w:spacing w:val="-4"/>
        </w:rPr>
        <w:t>failure</w:t>
      </w:r>
      <w:r>
        <w:rPr>
          <w:color w:val="231F20"/>
          <w:spacing w:val="-9"/>
        </w:rPr>
        <w:t> </w:t>
      </w:r>
      <w:r>
        <w:rPr>
          <w:color w:val="231F20"/>
          <w:spacing w:val="-4"/>
        </w:rPr>
        <w:t>to</w:t>
      </w:r>
      <w:r>
        <w:rPr>
          <w:color w:val="231F20"/>
          <w:spacing w:val="-9"/>
        </w:rPr>
        <w:t> </w:t>
      </w:r>
      <w:r>
        <w:rPr>
          <w:color w:val="231F20"/>
          <w:spacing w:val="-4"/>
        </w:rPr>
        <w:t>align </w:t>
      </w:r>
      <w:r>
        <w:rPr>
          <w:color w:val="231F20"/>
          <w:w w:val="90"/>
        </w:rPr>
        <w:t>incentives to curb greenhouse gas emissions are </w:t>
      </w:r>
      <w:r>
        <w:rPr>
          <w:color w:val="231F20"/>
        </w:rPr>
        <w:t>affecting</w:t>
      </w:r>
      <w:r>
        <w:rPr>
          <w:color w:val="231F20"/>
          <w:spacing w:val="-11"/>
        </w:rPr>
        <w:t> </w:t>
      </w:r>
      <w:r>
        <w:rPr>
          <w:color w:val="231F20"/>
        </w:rPr>
        <w:t>the</w:t>
      </w:r>
      <w:r>
        <w:rPr>
          <w:color w:val="231F20"/>
          <w:spacing w:val="-11"/>
        </w:rPr>
        <w:t> </w:t>
      </w:r>
      <w:r>
        <w:rPr>
          <w:color w:val="231F20"/>
        </w:rPr>
        <w:t>pace</w:t>
      </w:r>
      <w:r>
        <w:rPr>
          <w:color w:val="231F20"/>
          <w:spacing w:val="-11"/>
        </w:rPr>
        <w:t> </w:t>
      </w:r>
      <w:r>
        <w:rPr>
          <w:color w:val="231F20"/>
        </w:rPr>
        <w:t>and</w:t>
      </w:r>
      <w:r>
        <w:rPr>
          <w:color w:val="231F20"/>
          <w:spacing w:val="-11"/>
        </w:rPr>
        <w:t> </w:t>
      </w:r>
      <w:r>
        <w:rPr>
          <w:color w:val="231F20"/>
        </w:rPr>
        <w:t>nature</w:t>
      </w:r>
      <w:r>
        <w:rPr>
          <w:color w:val="231F20"/>
          <w:spacing w:val="-11"/>
        </w:rPr>
        <w:t> </w:t>
      </w:r>
      <w:r>
        <w:rPr>
          <w:color w:val="231F20"/>
        </w:rPr>
        <w:t>of</w:t>
      </w:r>
      <w:r>
        <w:rPr>
          <w:color w:val="231F20"/>
          <w:spacing w:val="-11"/>
        </w:rPr>
        <w:t> </w:t>
      </w:r>
      <w:r>
        <w:rPr>
          <w:color w:val="231F20"/>
        </w:rPr>
        <w:t>global</w:t>
      </w:r>
      <w:r>
        <w:rPr>
          <w:color w:val="231F20"/>
          <w:spacing w:val="-11"/>
        </w:rPr>
        <w:t> </w:t>
      </w:r>
      <w:r>
        <w:rPr>
          <w:color w:val="231F20"/>
        </w:rPr>
        <w:t>trade. </w:t>
      </w:r>
      <w:r>
        <w:rPr>
          <w:color w:val="231F20"/>
          <w:w w:val="90"/>
        </w:rPr>
        <w:t>These</w:t>
      </w:r>
      <w:r>
        <w:rPr>
          <w:color w:val="231F20"/>
          <w:spacing w:val="-1"/>
          <w:w w:val="90"/>
        </w:rPr>
        <w:t> </w:t>
      </w:r>
      <w:r>
        <w:rPr>
          <w:color w:val="231F20"/>
          <w:w w:val="90"/>
        </w:rPr>
        <w:t>events,</w:t>
      </w:r>
      <w:r>
        <w:rPr>
          <w:color w:val="231F20"/>
          <w:spacing w:val="-1"/>
          <w:w w:val="90"/>
        </w:rPr>
        <w:t> </w:t>
      </w:r>
      <w:r>
        <w:rPr>
          <w:color w:val="231F20"/>
          <w:w w:val="90"/>
        </w:rPr>
        <w:t>among</w:t>
      </w:r>
      <w:r>
        <w:rPr>
          <w:color w:val="231F20"/>
          <w:spacing w:val="-1"/>
          <w:w w:val="90"/>
        </w:rPr>
        <w:t> </w:t>
      </w:r>
      <w:r>
        <w:rPr>
          <w:color w:val="231F20"/>
          <w:w w:val="90"/>
        </w:rPr>
        <w:t>others,</w:t>
      </w:r>
      <w:r>
        <w:rPr>
          <w:color w:val="231F20"/>
          <w:spacing w:val="-1"/>
          <w:w w:val="90"/>
        </w:rPr>
        <w:t> </w:t>
      </w:r>
      <w:r>
        <w:rPr>
          <w:color w:val="231F20"/>
          <w:w w:val="90"/>
        </w:rPr>
        <w:t>have</w:t>
      </w:r>
      <w:r>
        <w:rPr>
          <w:color w:val="231F20"/>
          <w:spacing w:val="-1"/>
          <w:w w:val="90"/>
        </w:rPr>
        <w:t> </w:t>
      </w:r>
      <w:r>
        <w:rPr>
          <w:color w:val="231F20"/>
          <w:w w:val="90"/>
        </w:rPr>
        <w:t>raised</w:t>
      </w:r>
      <w:r>
        <w:rPr>
          <w:color w:val="231F20"/>
          <w:spacing w:val="-1"/>
          <w:w w:val="90"/>
        </w:rPr>
        <w:t> </w:t>
      </w:r>
      <w:r>
        <w:rPr>
          <w:color w:val="231F20"/>
          <w:w w:val="90"/>
        </w:rPr>
        <w:t>the</w:t>
      </w:r>
      <w:r>
        <w:rPr>
          <w:color w:val="231F20"/>
          <w:spacing w:val="-1"/>
          <w:w w:val="90"/>
        </w:rPr>
        <w:t> </w:t>
      </w:r>
      <w:r>
        <w:rPr>
          <w:color w:val="231F20"/>
          <w:w w:val="90"/>
        </w:rPr>
        <w:t>pro- </w:t>
      </w:r>
      <w:r>
        <w:rPr>
          <w:color w:val="231F20"/>
          <w:spacing w:val="-4"/>
        </w:rPr>
        <w:t>file of supply chain management and logistics </w:t>
      </w:r>
      <w:r>
        <w:rPr>
          <w:color w:val="231F20"/>
          <w:spacing w:val="-6"/>
        </w:rPr>
        <w:t>and</w:t>
      </w:r>
      <w:r>
        <w:rPr>
          <w:color w:val="231F20"/>
          <w:spacing w:val="-19"/>
        </w:rPr>
        <w:t> </w:t>
      </w:r>
      <w:r>
        <w:rPr>
          <w:color w:val="231F20"/>
          <w:spacing w:val="-6"/>
        </w:rPr>
        <w:t>have</w:t>
      </w:r>
      <w:r>
        <w:rPr>
          <w:color w:val="231F20"/>
          <w:spacing w:val="-17"/>
        </w:rPr>
        <w:t> </w:t>
      </w:r>
      <w:r>
        <w:rPr>
          <w:color w:val="231F20"/>
          <w:spacing w:val="-6"/>
        </w:rPr>
        <w:t>accelerated</w:t>
      </w:r>
      <w:r>
        <w:rPr>
          <w:color w:val="231F20"/>
          <w:spacing w:val="-17"/>
        </w:rPr>
        <w:t> </w:t>
      </w:r>
      <w:r>
        <w:rPr>
          <w:color w:val="231F20"/>
          <w:spacing w:val="-6"/>
        </w:rPr>
        <w:t>the</w:t>
      </w:r>
      <w:r>
        <w:rPr>
          <w:color w:val="231F20"/>
          <w:spacing w:val="-17"/>
        </w:rPr>
        <w:t> </w:t>
      </w:r>
      <w:r>
        <w:rPr>
          <w:color w:val="231F20"/>
          <w:spacing w:val="-6"/>
        </w:rPr>
        <w:t>path</w:t>
      </w:r>
      <w:r>
        <w:rPr>
          <w:color w:val="231F20"/>
          <w:spacing w:val="-17"/>
        </w:rPr>
        <w:t> </w:t>
      </w:r>
      <w:r>
        <w:rPr>
          <w:color w:val="231F20"/>
          <w:spacing w:val="-6"/>
        </w:rPr>
        <w:t>of</w:t>
      </w:r>
      <w:r>
        <w:rPr>
          <w:color w:val="231F20"/>
          <w:spacing w:val="-17"/>
        </w:rPr>
        <w:t> </w:t>
      </w:r>
      <w:r>
        <w:rPr>
          <w:color w:val="231F20"/>
          <w:spacing w:val="-6"/>
        </w:rPr>
        <w:t>transformation. </w:t>
      </w:r>
      <w:r>
        <w:rPr>
          <w:color w:val="231F20"/>
        </w:rPr>
        <w:t>Businesses</w:t>
      </w:r>
      <w:r>
        <w:rPr>
          <w:color w:val="231F20"/>
          <w:spacing w:val="-14"/>
        </w:rPr>
        <w:t> </w:t>
      </w:r>
      <w:r>
        <w:rPr>
          <w:color w:val="231F20"/>
        </w:rPr>
        <w:t>and</w:t>
      </w:r>
      <w:r>
        <w:rPr>
          <w:color w:val="231F20"/>
          <w:spacing w:val="-13"/>
        </w:rPr>
        <w:t> </w:t>
      </w:r>
      <w:r>
        <w:rPr>
          <w:color w:val="231F20"/>
        </w:rPr>
        <w:t>governments</w:t>
      </w:r>
      <w:r>
        <w:rPr>
          <w:color w:val="231F20"/>
          <w:spacing w:val="-13"/>
        </w:rPr>
        <w:t> </w:t>
      </w:r>
      <w:r>
        <w:rPr>
          <w:color w:val="231F20"/>
        </w:rPr>
        <w:t>are</w:t>
      </w:r>
      <w:r>
        <w:rPr>
          <w:color w:val="231F20"/>
          <w:spacing w:val="-13"/>
        </w:rPr>
        <w:t> </w:t>
      </w:r>
      <w:r>
        <w:rPr>
          <w:color w:val="231F20"/>
        </w:rPr>
        <w:t>concerned </w:t>
      </w:r>
      <w:r>
        <w:rPr>
          <w:color w:val="231F20"/>
          <w:spacing w:val="-2"/>
        </w:rPr>
        <w:t>about</w:t>
      </w:r>
      <w:r>
        <w:rPr>
          <w:color w:val="231F20"/>
          <w:spacing w:val="-12"/>
        </w:rPr>
        <w:t> </w:t>
      </w:r>
      <w:r>
        <w:rPr>
          <w:color w:val="231F20"/>
          <w:spacing w:val="-2"/>
        </w:rPr>
        <w:t>increasing</w:t>
      </w:r>
      <w:r>
        <w:rPr>
          <w:color w:val="231F20"/>
          <w:spacing w:val="-11"/>
        </w:rPr>
        <w:t> </w:t>
      </w:r>
      <w:r>
        <w:rPr>
          <w:color w:val="231F20"/>
          <w:spacing w:val="-2"/>
        </w:rPr>
        <w:t>the</w:t>
      </w:r>
      <w:r>
        <w:rPr>
          <w:color w:val="231F20"/>
          <w:spacing w:val="-11"/>
        </w:rPr>
        <w:t> </w:t>
      </w:r>
      <w:r>
        <w:rPr>
          <w:color w:val="231F20"/>
          <w:spacing w:val="-2"/>
        </w:rPr>
        <w:t>resilience</w:t>
      </w:r>
      <w:r>
        <w:rPr>
          <w:color w:val="231F20"/>
          <w:spacing w:val="-11"/>
        </w:rPr>
        <w:t> </w:t>
      </w:r>
      <w:r>
        <w:rPr>
          <w:color w:val="231F20"/>
          <w:spacing w:val="-2"/>
        </w:rPr>
        <w:t>and</w:t>
      </w:r>
      <w:r>
        <w:rPr>
          <w:color w:val="231F20"/>
          <w:spacing w:val="-11"/>
        </w:rPr>
        <w:t> </w:t>
      </w:r>
      <w:r>
        <w:rPr>
          <w:color w:val="231F20"/>
          <w:spacing w:val="-2"/>
        </w:rPr>
        <w:t>robustness </w:t>
      </w:r>
      <w:r>
        <w:rPr>
          <w:color w:val="231F20"/>
          <w:spacing w:val="-4"/>
        </w:rPr>
        <w:t>of supply chains, in addition to efficiency—in </w:t>
      </w:r>
      <w:r>
        <w:rPr>
          <w:color w:val="231F20"/>
          <w:w w:val="90"/>
        </w:rPr>
        <w:t>particular, where goods of primary necessity are </w:t>
      </w:r>
      <w:r>
        <w:rPr>
          <w:color w:val="231F20"/>
          <w:spacing w:val="-4"/>
        </w:rPr>
        <w:t>concerned</w:t>
      </w:r>
      <w:r>
        <w:rPr>
          <w:color w:val="231F20"/>
          <w:spacing w:val="-10"/>
        </w:rPr>
        <w:t> </w:t>
      </w:r>
      <w:r>
        <w:rPr>
          <w:color w:val="231F20"/>
          <w:spacing w:val="-4"/>
        </w:rPr>
        <w:t>(see</w:t>
      </w:r>
      <w:r>
        <w:rPr>
          <w:color w:val="231F20"/>
          <w:spacing w:val="-9"/>
        </w:rPr>
        <w:t> </w:t>
      </w:r>
      <w:r>
        <w:rPr>
          <w:color w:val="231F20"/>
          <w:spacing w:val="-4"/>
        </w:rPr>
        <w:t>box</w:t>
      </w:r>
      <w:r>
        <w:rPr>
          <w:color w:val="231F20"/>
          <w:spacing w:val="-9"/>
        </w:rPr>
        <w:t> </w:t>
      </w:r>
      <w:r>
        <w:rPr>
          <w:color w:val="231F20"/>
          <w:spacing w:val="-4"/>
        </w:rPr>
        <w:t>1.1</w:t>
      </w:r>
      <w:r>
        <w:rPr>
          <w:color w:val="231F20"/>
          <w:spacing w:val="-9"/>
        </w:rPr>
        <w:t> </w:t>
      </w:r>
      <w:r>
        <w:rPr>
          <w:color w:val="231F20"/>
          <w:spacing w:val="-4"/>
        </w:rPr>
        <w:t>in</w:t>
      </w:r>
      <w:r>
        <w:rPr>
          <w:color w:val="231F20"/>
          <w:spacing w:val="-9"/>
        </w:rPr>
        <w:t> </w:t>
      </w:r>
      <w:r>
        <w:rPr>
          <w:color w:val="231F20"/>
          <w:spacing w:val="-4"/>
        </w:rPr>
        <w:t>chapter</w:t>
      </w:r>
      <w:r>
        <w:rPr>
          <w:color w:val="231F20"/>
          <w:spacing w:val="-9"/>
        </w:rPr>
        <w:t> </w:t>
      </w:r>
      <w:r>
        <w:rPr>
          <w:color w:val="231F20"/>
          <w:spacing w:val="-4"/>
        </w:rPr>
        <w:t>1).</w:t>
      </w:r>
      <w:r>
        <w:rPr>
          <w:color w:val="231F20"/>
          <w:spacing w:val="-9"/>
        </w:rPr>
        <w:t> </w:t>
      </w:r>
      <w:r>
        <w:rPr>
          <w:color w:val="231F20"/>
          <w:spacing w:val="-4"/>
        </w:rPr>
        <w:t>One</w:t>
      </w:r>
      <w:r>
        <w:rPr>
          <w:color w:val="231F20"/>
          <w:spacing w:val="-9"/>
        </w:rPr>
        <w:t> </w:t>
      </w:r>
      <w:r>
        <w:rPr>
          <w:color w:val="231F20"/>
          <w:spacing w:val="-4"/>
        </w:rPr>
        <w:t>way to</w:t>
      </w:r>
      <w:r>
        <w:rPr>
          <w:color w:val="231F20"/>
          <w:spacing w:val="-5"/>
        </w:rPr>
        <w:t> </w:t>
      </w:r>
      <w:r>
        <w:rPr>
          <w:color w:val="231F20"/>
          <w:spacing w:val="-4"/>
        </w:rPr>
        <w:t>do</w:t>
      </w:r>
      <w:r>
        <w:rPr>
          <w:color w:val="231F20"/>
          <w:spacing w:val="-5"/>
        </w:rPr>
        <w:t> </w:t>
      </w:r>
      <w:r>
        <w:rPr>
          <w:color w:val="231F20"/>
          <w:spacing w:val="-4"/>
        </w:rPr>
        <w:t>this</w:t>
      </w:r>
      <w:r>
        <w:rPr>
          <w:color w:val="231F20"/>
          <w:spacing w:val="-5"/>
        </w:rPr>
        <w:t> </w:t>
      </w:r>
      <w:r>
        <w:rPr>
          <w:color w:val="231F20"/>
          <w:spacing w:val="-4"/>
        </w:rPr>
        <w:t>is</w:t>
      </w:r>
      <w:r>
        <w:rPr>
          <w:color w:val="231F20"/>
          <w:spacing w:val="-5"/>
        </w:rPr>
        <w:t> </w:t>
      </w:r>
      <w:r>
        <w:rPr>
          <w:color w:val="231F20"/>
          <w:spacing w:val="-4"/>
        </w:rPr>
        <w:t>to</w:t>
      </w:r>
      <w:r>
        <w:rPr>
          <w:color w:val="231F20"/>
          <w:spacing w:val="-5"/>
        </w:rPr>
        <w:t> </w:t>
      </w:r>
      <w:r>
        <w:rPr>
          <w:color w:val="231F20"/>
          <w:spacing w:val="-4"/>
        </w:rPr>
        <w:t>seek</w:t>
      </w:r>
      <w:r>
        <w:rPr>
          <w:color w:val="231F20"/>
          <w:spacing w:val="-5"/>
        </w:rPr>
        <w:t> </w:t>
      </w:r>
      <w:r>
        <w:rPr>
          <w:color w:val="231F20"/>
          <w:spacing w:val="-4"/>
        </w:rPr>
        <w:t>jurisdictions</w:t>
      </w:r>
      <w:r>
        <w:rPr>
          <w:color w:val="231F20"/>
          <w:spacing w:val="-6"/>
        </w:rPr>
        <w:t> </w:t>
      </w:r>
      <w:r>
        <w:rPr>
          <w:color w:val="231F20"/>
          <w:spacing w:val="-4"/>
        </w:rPr>
        <w:t>where</w:t>
      </w:r>
      <w:r>
        <w:rPr>
          <w:color w:val="231F20"/>
          <w:spacing w:val="-6"/>
        </w:rPr>
        <w:t> </w:t>
      </w:r>
      <w:r>
        <w:rPr>
          <w:color w:val="231F20"/>
          <w:spacing w:val="-4"/>
        </w:rPr>
        <w:t>supply </w:t>
      </w:r>
      <w:r>
        <w:rPr>
          <w:color w:val="231F20"/>
          <w:spacing w:val="-6"/>
        </w:rPr>
        <w:t>chain operations are less exposed to risk. Other </w:t>
      </w:r>
      <w:r>
        <w:rPr>
          <w:color w:val="231F20"/>
          <w:spacing w:val="-4"/>
        </w:rPr>
        <w:t>means</w:t>
      </w:r>
      <w:r>
        <w:rPr>
          <w:color w:val="231F20"/>
          <w:spacing w:val="-10"/>
        </w:rPr>
        <w:t> </w:t>
      </w:r>
      <w:r>
        <w:rPr>
          <w:color w:val="231F20"/>
          <w:spacing w:val="-4"/>
        </w:rPr>
        <w:t>are</w:t>
      </w:r>
      <w:r>
        <w:rPr>
          <w:color w:val="231F20"/>
          <w:spacing w:val="-9"/>
        </w:rPr>
        <w:t> </w:t>
      </w:r>
      <w:r>
        <w:rPr>
          <w:color w:val="231F20"/>
          <w:spacing w:val="-4"/>
        </w:rPr>
        <w:t>tightening</w:t>
      </w:r>
      <w:r>
        <w:rPr>
          <w:color w:val="231F20"/>
          <w:spacing w:val="-9"/>
        </w:rPr>
        <w:t> </w:t>
      </w:r>
      <w:r>
        <w:rPr>
          <w:color w:val="231F20"/>
          <w:spacing w:val="-4"/>
        </w:rPr>
        <w:t>vertical</w:t>
      </w:r>
      <w:r>
        <w:rPr>
          <w:color w:val="231F20"/>
          <w:spacing w:val="-9"/>
        </w:rPr>
        <w:t> </w:t>
      </w:r>
      <w:r>
        <w:rPr>
          <w:color w:val="231F20"/>
          <w:spacing w:val="-4"/>
        </w:rPr>
        <w:t>integration</w:t>
      </w:r>
      <w:r>
        <w:rPr>
          <w:color w:val="231F20"/>
          <w:spacing w:val="-9"/>
        </w:rPr>
        <w:t> </w:t>
      </w:r>
      <w:r>
        <w:rPr>
          <w:color w:val="231F20"/>
          <w:spacing w:val="-4"/>
        </w:rPr>
        <w:t>(such </w:t>
      </w:r>
      <w:r>
        <w:rPr>
          <w:color w:val="231F20"/>
          <w:w w:val="90"/>
        </w:rPr>
        <w:t>as buying up suppliers that firms rely on), diver- sifying</w:t>
      </w:r>
      <w:r>
        <w:rPr>
          <w:color w:val="231F20"/>
          <w:spacing w:val="-3"/>
        </w:rPr>
        <w:t> </w:t>
      </w:r>
      <w:r>
        <w:rPr>
          <w:color w:val="231F20"/>
          <w:w w:val="90"/>
        </w:rPr>
        <w:t>the</w:t>
      </w:r>
      <w:r>
        <w:rPr>
          <w:color w:val="231F20"/>
          <w:spacing w:val="-2"/>
        </w:rPr>
        <w:t> </w:t>
      </w:r>
      <w:r>
        <w:rPr>
          <w:color w:val="231F20"/>
          <w:w w:val="90"/>
        </w:rPr>
        <w:t>supplier</w:t>
      </w:r>
      <w:r>
        <w:rPr>
          <w:color w:val="231F20"/>
          <w:spacing w:val="-2"/>
        </w:rPr>
        <w:t> </w:t>
      </w:r>
      <w:r>
        <w:rPr>
          <w:color w:val="231F20"/>
          <w:w w:val="90"/>
        </w:rPr>
        <w:t>base,</w:t>
      </w:r>
      <w:r>
        <w:rPr>
          <w:color w:val="231F20"/>
          <w:spacing w:val="-2"/>
        </w:rPr>
        <w:t> </w:t>
      </w:r>
      <w:r>
        <w:rPr>
          <w:color w:val="231F20"/>
          <w:w w:val="90"/>
        </w:rPr>
        <w:t>and</w:t>
      </w:r>
      <w:r>
        <w:rPr>
          <w:color w:val="231F20"/>
          <w:spacing w:val="-2"/>
        </w:rPr>
        <w:t> </w:t>
      </w:r>
      <w:r>
        <w:rPr>
          <w:color w:val="231F20"/>
          <w:w w:val="90"/>
        </w:rPr>
        <w:t>building</w:t>
      </w:r>
      <w:r>
        <w:rPr>
          <w:color w:val="231F20"/>
          <w:spacing w:val="-2"/>
        </w:rPr>
        <w:t> </w:t>
      </w:r>
      <w:r>
        <w:rPr>
          <w:color w:val="231F20"/>
          <w:w w:val="90"/>
        </w:rPr>
        <w:t>up</w:t>
      </w:r>
      <w:r>
        <w:rPr>
          <w:color w:val="231F20"/>
          <w:spacing w:val="-2"/>
        </w:rPr>
        <w:t> </w:t>
      </w:r>
      <w:r>
        <w:rPr>
          <w:color w:val="231F20"/>
          <w:spacing w:val="-2"/>
          <w:w w:val="90"/>
        </w:rPr>
        <w:t>inven-</w:t>
      </w:r>
    </w:p>
    <w:p>
      <w:pPr>
        <w:pStyle w:val="BodyText"/>
        <w:spacing w:line="231" w:lineRule="exact"/>
        <w:ind w:left="199"/>
        <w:jc w:val="both"/>
      </w:pPr>
      <w:r>
        <w:rPr>
          <w:color w:val="231F20"/>
          <w:w w:val="90"/>
        </w:rPr>
        <w:t>tory</w:t>
      </w:r>
      <w:r>
        <w:rPr>
          <w:color w:val="231F20"/>
        </w:rPr>
        <w:t> </w:t>
      </w:r>
      <w:r>
        <w:rPr>
          <w:color w:val="231F20"/>
          <w:w w:val="90"/>
        </w:rPr>
        <w:t>buffers</w:t>
      </w:r>
      <w:r>
        <w:rPr>
          <w:color w:val="231F20"/>
          <w:spacing w:val="1"/>
        </w:rPr>
        <w:t> </w:t>
      </w:r>
      <w:r>
        <w:rPr>
          <w:color w:val="231F20"/>
          <w:w w:val="90"/>
        </w:rPr>
        <w:t>along</w:t>
      </w:r>
      <w:r>
        <w:rPr>
          <w:color w:val="231F20"/>
          <w:spacing w:val="1"/>
        </w:rPr>
        <w:t> </w:t>
      </w:r>
      <w:r>
        <w:rPr>
          <w:color w:val="231F20"/>
          <w:w w:val="90"/>
        </w:rPr>
        <w:t>the</w:t>
      </w:r>
      <w:r>
        <w:rPr>
          <w:color w:val="231F20"/>
          <w:spacing w:val="1"/>
        </w:rPr>
        <w:t> </w:t>
      </w:r>
      <w:r>
        <w:rPr>
          <w:color w:val="231F20"/>
          <w:w w:val="90"/>
        </w:rPr>
        <w:t>supply</w:t>
      </w:r>
      <w:r>
        <w:rPr>
          <w:color w:val="231F20"/>
          <w:spacing w:val="1"/>
        </w:rPr>
        <w:t> </w:t>
      </w:r>
      <w:r>
        <w:rPr>
          <w:color w:val="231F20"/>
          <w:spacing w:val="-2"/>
          <w:w w:val="90"/>
        </w:rPr>
        <w:t>chain.</w:t>
      </w:r>
    </w:p>
    <w:p>
      <w:pPr>
        <w:pStyle w:val="BodyText"/>
        <w:spacing w:line="268" w:lineRule="auto" w:before="25"/>
        <w:ind w:left="199" w:right="2817" w:firstLine="300"/>
        <w:jc w:val="both"/>
      </w:pPr>
      <w:r>
        <w:rPr>
          <w:color w:val="231F20"/>
        </w:rPr>
        <w:t>In</w:t>
      </w:r>
      <w:r>
        <w:rPr>
          <w:color w:val="231F20"/>
          <w:spacing w:val="-11"/>
        </w:rPr>
        <w:t> </w:t>
      </w:r>
      <w:r>
        <w:rPr>
          <w:color w:val="231F20"/>
        </w:rPr>
        <w:t>addition,</w:t>
      </w:r>
      <w:r>
        <w:rPr>
          <w:color w:val="231F20"/>
          <w:spacing w:val="-11"/>
        </w:rPr>
        <w:t> </w:t>
      </w:r>
      <w:r>
        <w:rPr>
          <w:color w:val="231F20"/>
        </w:rPr>
        <w:t>the</w:t>
      </w:r>
      <w:r>
        <w:rPr>
          <w:color w:val="231F20"/>
          <w:spacing w:val="-11"/>
        </w:rPr>
        <w:t> </w:t>
      </w:r>
      <w:r>
        <w:rPr>
          <w:color w:val="231F20"/>
        </w:rPr>
        <w:t>regulatory</w:t>
      </w:r>
      <w:r>
        <w:rPr>
          <w:color w:val="231F20"/>
          <w:spacing w:val="-11"/>
        </w:rPr>
        <w:t> </w:t>
      </w:r>
      <w:r>
        <w:rPr>
          <w:color w:val="231F20"/>
        </w:rPr>
        <w:t>pressure</w:t>
      </w:r>
      <w:r>
        <w:rPr>
          <w:color w:val="231F20"/>
          <w:spacing w:val="-11"/>
        </w:rPr>
        <w:t> </w:t>
      </w:r>
      <w:r>
        <w:rPr>
          <w:color w:val="231F20"/>
        </w:rPr>
        <w:t>to</w:t>
      </w:r>
      <w:r>
        <w:rPr>
          <w:color w:val="231F20"/>
          <w:spacing w:val="-11"/>
        </w:rPr>
        <w:t> </w:t>
      </w:r>
      <w:r>
        <w:rPr>
          <w:color w:val="231F20"/>
        </w:rPr>
        <w:t>re- duce</w:t>
      </w:r>
      <w:r>
        <w:rPr>
          <w:color w:val="231F20"/>
          <w:spacing w:val="-7"/>
        </w:rPr>
        <w:t> </w:t>
      </w:r>
      <w:r>
        <w:rPr>
          <w:color w:val="231F20"/>
        </w:rPr>
        <w:t>logistics-related</w:t>
      </w:r>
      <w:r>
        <w:rPr>
          <w:color w:val="231F20"/>
          <w:spacing w:val="-7"/>
        </w:rPr>
        <w:t> </w:t>
      </w:r>
      <w:r>
        <w:rPr>
          <w:color w:val="231F20"/>
        </w:rPr>
        <w:t>harmful</w:t>
      </w:r>
      <w:r>
        <w:rPr>
          <w:color w:val="231F20"/>
          <w:spacing w:val="-7"/>
        </w:rPr>
        <w:t> </w:t>
      </w:r>
      <w:r>
        <w:rPr>
          <w:color w:val="231F20"/>
        </w:rPr>
        <w:t>emissions</w:t>
      </w:r>
      <w:r>
        <w:rPr>
          <w:color w:val="231F20"/>
          <w:spacing w:val="-7"/>
        </w:rPr>
        <w:t> </w:t>
      </w:r>
      <w:r>
        <w:rPr>
          <w:color w:val="231F20"/>
        </w:rPr>
        <w:t>ap- </w:t>
      </w:r>
      <w:r>
        <w:rPr>
          <w:color w:val="231F20"/>
          <w:spacing w:val="-2"/>
        </w:rPr>
        <w:t>pears</w:t>
      </w:r>
      <w:r>
        <w:rPr>
          <w:color w:val="231F20"/>
          <w:spacing w:val="-12"/>
        </w:rPr>
        <w:t> </w:t>
      </w:r>
      <w:r>
        <w:rPr>
          <w:color w:val="231F20"/>
          <w:spacing w:val="-2"/>
        </w:rPr>
        <w:t>to</w:t>
      </w:r>
      <w:r>
        <w:rPr>
          <w:color w:val="231F20"/>
          <w:spacing w:val="-11"/>
        </w:rPr>
        <w:t> </w:t>
      </w:r>
      <w:r>
        <w:rPr>
          <w:color w:val="231F20"/>
          <w:spacing w:val="-2"/>
        </w:rPr>
        <w:t>be</w:t>
      </w:r>
      <w:r>
        <w:rPr>
          <w:color w:val="231F20"/>
          <w:spacing w:val="-11"/>
        </w:rPr>
        <w:t> </w:t>
      </w:r>
      <w:r>
        <w:rPr>
          <w:color w:val="231F20"/>
          <w:spacing w:val="-2"/>
        </w:rPr>
        <w:t>the</w:t>
      </w:r>
      <w:r>
        <w:rPr>
          <w:color w:val="231F20"/>
          <w:spacing w:val="-11"/>
        </w:rPr>
        <w:t> </w:t>
      </w:r>
      <w:r>
        <w:rPr>
          <w:color w:val="231F20"/>
          <w:spacing w:val="-2"/>
        </w:rPr>
        <w:t>main</w:t>
      </w:r>
      <w:r>
        <w:rPr>
          <w:color w:val="231F20"/>
          <w:spacing w:val="-11"/>
        </w:rPr>
        <w:t> </w:t>
      </w:r>
      <w:r>
        <w:rPr>
          <w:color w:val="231F20"/>
          <w:spacing w:val="-2"/>
        </w:rPr>
        <w:t>driver</w:t>
      </w:r>
      <w:r>
        <w:rPr>
          <w:color w:val="231F20"/>
          <w:spacing w:val="-11"/>
        </w:rPr>
        <w:t> </w:t>
      </w:r>
      <w:r>
        <w:rPr>
          <w:color w:val="231F20"/>
          <w:spacing w:val="-2"/>
        </w:rPr>
        <w:t>for</w:t>
      </w:r>
      <w:r>
        <w:rPr>
          <w:color w:val="231F20"/>
          <w:spacing w:val="-11"/>
        </w:rPr>
        <w:t> </w:t>
      </w:r>
      <w:r>
        <w:rPr>
          <w:color w:val="231F20"/>
          <w:spacing w:val="-2"/>
        </w:rPr>
        <w:t>stakeholders</w:t>
      </w:r>
      <w:r>
        <w:rPr>
          <w:color w:val="231F20"/>
          <w:spacing w:val="-11"/>
        </w:rPr>
        <w:t> </w:t>
      </w:r>
      <w:r>
        <w:rPr>
          <w:color w:val="231F20"/>
          <w:spacing w:val="-2"/>
        </w:rPr>
        <w:t>to switch</w:t>
      </w:r>
      <w:r>
        <w:rPr>
          <w:color w:val="231F20"/>
          <w:spacing w:val="-8"/>
        </w:rPr>
        <w:t> </w:t>
      </w:r>
      <w:r>
        <w:rPr>
          <w:color w:val="231F20"/>
          <w:spacing w:val="-2"/>
        </w:rPr>
        <w:t>to</w:t>
      </w:r>
      <w:r>
        <w:rPr>
          <w:color w:val="231F20"/>
          <w:spacing w:val="-8"/>
        </w:rPr>
        <w:t> </w:t>
      </w:r>
      <w:r>
        <w:rPr>
          <w:color w:val="231F20"/>
          <w:spacing w:val="-2"/>
        </w:rPr>
        <w:t>more</w:t>
      </w:r>
      <w:r>
        <w:rPr>
          <w:color w:val="231F20"/>
          <w:spacing w:val="-8"/>
        </w:rPr>
        <w:t> </w:t>
      </w:r>
      <w:r>
        <w:rPr>
          <w:color w:val="231F20"/>
          <w:spacing w:val="-2"/>
        </w:rPr>
        <w:t>environmentally</w:t>
      </w:r>
      <w:r>
        <w:rPr>
          <w:color w:val="231F20"/>
          <w:spacing w:val="-8"/>
        </w:rPr>
        <w:t> </w:t>
      </w:r>
      <w:r>
        <w:rPr>
          <w:color w:val="231F20"/>
          <w:spacing w:val="-2"/>
        </w:rPr>
        <w:t>friendly</w:t>
      </w:r>
      <w:r>
        <w:rPr>
          <w:color w:val="231F20"/>
          <w:spacing w:val="-8"/>
        </w:rPr>
        <w:t> </w:t>
      </w:r>
      <w:r>
        <w:rPr>
          <w:color w:val="231F20"/>
          <w:spacing w:val="-2"/>
        </w:rPr>
        <w:t>pro- </w:t>
      </w:r>
      <w:r>
        <w:rPr>
          <w:color w:val="231F20"/>
          <w:spacing w:val="-4"/>
        </w:rPr>
        <w:t>cesses</w:t>
      </w:r>
      <w:r>
        <w:rPr>
          <w:color w:val="231F20"/>
          <w:spacing w:val="-10"/>
        </w:rPr>
        <w:t> </w:t>
      </w:r>
      <w:r>
        <w:rPr>
          <w:color w:val="231F20"/>
          <w:spacing w:val="-4"/>
        </w:rPr>
        <w:t>or</w:t>
      </w:r>
      <w:r>
        <w:rPr>
          <w:color w:val="231F20"/>
          <w:spacing w:val="-9"/>
        </w:rPr>
        <w:t> </w:t>
      </w:r>
      <w:r>
        <w:rPr>
          <w:color w:val="231F20"/>
          <w:spacing w:val="-4"/>
        </w:rPr>
        <w:t>equipment,</w:t>
      </w:r>
      <w:r>
        <w:rPr>
          <w:color w:val="231F20"/>
          <w:spacing w:val="-9"/>
        </w:rPr>
        <w:t> </w:t>
      </w:r>
      <w:r>
        <w:rPr>
          <w:color w:val="231F20"/>
          <w:spacing w:val="-4"/>
        </w:rPr>
        <w:t>especially</w:t>
      </w:r>
      <w:r>
        <w:rPr>
          <w:color w:val="231F20"/>
          <w:spacing w:val="-9"/>
        </w:rPr>
        <w:t> </w:t>
      </w:r>
      <w:r>
        <w:rPr>
          <w:color w:val="231F20"/>
          <w:spacing w:val="-4"/>
        </w:rPr>
        <w:t>when</w:t>
      </w:r>
      <w:r>
        <w:rPr>
          <w:color w:val="231F20"/>
          <w:spacing w:val="-9"/>
        </w:rPr>
        <w:t> </w:t>
      </w:r>
      <w:r>
        <w:rPr>
          <w:color w:val="231F20"/>
          <w:spacing w:val="-4"/>
        </w:rPr>
        <w:t>it</w:t>
      </w:r>
      <w:r>
        <w:rPr>
          <w:color w:val="231F20"/>
          <w:spacing w:val="-9"/>
        </w:rPr>
        <w:t> </w:t>
      </w:r>
      <w:r>
        <w:rPr>
          <w:color w:val="231F20"/>
          <w:spacing w:val="-4"/>
        </w:rPr>
        <w:t>can</w:t>
      </w:r>
      <w:r>
        <w:rPr>
          <w:color w:val="231F20"/>
          <w:spacing w:val="-9"/>
        </w:rPr>
        <w:t> </w:t>
      </w:r>
      <w:r>
        <w:rPr>
          <w:color w:val="231F20"/>
          <w:spacing w:val="-4"/>
        </w:rPr>
        <w:t>be </w:t>
      </w:r>
      <w:r>
        <w:rPr>
          <w:color w:val="231F20"/>
          <w:spacing w:val="-6"/>
        </w:rPr>
        <w:t>combined</w:t>
      </w:r>
      <w:r>
        <w:rPr>
          <w:color w:val="231F20"/>
          <w:spacing w:val="-8"/>
        </w:rPr>
        <w:t> </w:t>
      </w:r>
      <w:r>
        <w:rPr>
          <w:color w:val="231F20"/>
          <w:spacing w:val="-6"/>
        </w:rPr>
        <w:t>with</w:t>
      </w:r>
      <w:r>
        <w:rPr>
          <w:color w:val="231F20"/>
          <w:spacing w:val="-7"/>
        </w:rPr>
        <w:t> </w:t>
      </w:r>
      <w:r>
        <w:rPr>
          <w:color w:val="231F20"/>
          <w:spacing w:val="-6"/>
        </w:rPr>
        <w:t>economic</w:t>
      </w:r>
      <w:r>
        <w:rPr>
          <w:color w:val="231F20"/>
          <w:spacing w:val="-7"/>
        </w:rPr>
        <w:t> </w:t>
      </w:r>
      <w:r>
        <w:rPr>
          <w:color w:val="231F20"/>
          <w:spacing w:val="-6"/>
        </w:rPr>
        <w:t>savings.</w:t>
      </w:r>
      <w:r>
        <w:rPr>
          <w:color w:val="231F20"/>
          <w:spacing w:val="-7"/>
        </w:rPr>
        <w:t> </w:t>
      </w:r>
      <w:r>
        <w:rPr>
          <w:color w:val="231F20"/>
          <w:spacing w:val="-6"/>
        </w:rPr>
        <w:t>But</w:t>
      </w:r>
      <w:r>
        <w:rPr>
          <w:color w:val="231F20"/>
          <w:spacing w:val="-7"/>
        </w:rPr>
        <w:t> </w:t>
      </w:r>
      <w:r>
        <w:rPr>
          <w:color w:val="231F20"/>
          <w:spacing w:val="-6"/>
        </w:rPr>
        <w:t>pressure </w:t>
      </w:r>
      <w:r>
        <w:rPr>
          <w:color w:val="231F20"/>
          <w:w w:val="90"/>
        </w:rPr>
        <w:t>from demand is growing, especially in high-per- </w:t>
      </w:r>
      <w:r>
        <w:rPr>
          <w:color w:val="231F20"/>
          <w:spacing w:val="-4"/>
        </w:rPr>
        <w:t>formance</w:t>
      </w:r>
      <w:r>
        <w:rPr>
          <w:color w:val="231F20"/>
          <w:spacing w:val="-10"/>
        </w:rPr>
        <w:t> </w:t>
      </w:r>
      <w:r>
        <w:rPr>
          <w:color w:val="231F20"/>
          <w:spacing w:val="-4"/>
        </w:rPr>
        <w:t>countries</w:t>
      </w:r>
      <w:r>
        <w:rPr>
          <w:color w:val="231F20"/>
          <w:spacing w:val="-9"/>
        </w:rPr>
        <w:t> </w:t>
      </w:r>
      <w:r>
        <w:rPr>
          <w:color w:val="231F20"/>
          <w:spacing w:val="-4"/>
        </w:rPr>
        <w:t>(figure</w:t>
      </w:r>
      <w:r>
        <w:rPr>
          <w:color w:val="231F20"/>
          <w:spacing w:val="-9"/>
        </w:rPr>
        <w:t> </w:t>
      </w:r>
      <w:r>
        <w:rPr>
          <w:color w:val="231F20"/>
          <w:spacing w:val="-4"/>
        </w:rPr>
        <w:t>4.1).</w:t>
      </w:r>
      <w:r>
        <w:rPr>
          <w:color w:val="231F20"/>
          <w:spacing w:val="-9"/>
        </w:rPr>
        <w:t> </w:t>
      </w:r>
      <w:r>
        <w:rPr>
          <w:color w:val="231F20"/>
          <w:spacing w:val="-4"/>
        </w:rPr>
        <w:t>Hence,</w:t>
      </w:r>
      <w:r>
        <w:rPr>
          <w:color w:val="231F20"/>
          <w:spacing w:val="-9"/>
        </w:rPr>
        <w:t> </w:t>
      </w:r>
      <w:r>
        <w:rPr>
          <w:color w:val="231F20"/>
          <w:spacing w:val="-4"/>
        </w:rPr>
        <w:t>imple- </w:t>
      </w:r>
      <w:r>
        <w:rPr>
          <w:color w:val="231F20"/>
          <w:w w:val="90"/>
        </w:rPr>
        <w:t>mentable “green logistics” policies have become </w:t>
      </w:r>
      <w:r>
        <w:rPr>
          <w:color w:val="231F20"/>
        </w:rPr>
        <w:t>more</w:t>
      </w:r>
      <w:r>
        <w:rPr>
          <w:color w:val="231F20"/>
          <w:spacing w:val="-14"/>
        </w:rPr>
        <w:t> </w:t>
      </w:r>
      <w:r>
        <w:rPr>
          <w:color w:val="231F20"/>
        </w:rPr>
        <w:t>important.</w:t>
      </w:r>
    </w:p>
    <w:p>
      <w:pPr>
        <w:pStyle w:val="BodyText"/>
        <w:spacing w:line="268" w:lineRule="auto"/>
        <w:ind w:left="199" w:right="2817" w:firstLine="300"/>
        <w:jc w:val="both"/>
      </w:pPr>
      <w:r>
        <w:rPr>
          <w:color w:val="231F20"/>
          <w:spacing w:val="-4"/>
        </w:rPr>
        <w:t>Efficient</w:t>
      </w:r>
      <w:r>
        <w:rPr>
          <w:color w:val="231F20"/>
          <w:spacing w:val="-8"/>
        </w:rPr>
        <w:t> </w:t>
      </w:r>
      <w:r>
        <w:rPr>
          <w:color w:val="231F20"/>
          <w:spacing w:val="-4"/>
        </w:rPr>
        <w:t>management</w:t>
      </w:r>
      <w:r>
        <w:rPr>
          <w:color w:val="231F20"/>
          <w:spacing w:val="-8"/>
        </w:rPr>
        <w:t> </w:t>
      </w:r>
      <w:r>
        <w:rPr>
          <w:color w:val="231F20"/>
          <w:spacing w:val="-4"/>
        </w:rPr>
        <w:t>and</w:t>
      </w:r>
      <w:r>
        <w:rPr>
          <w:color w:val="231F20"/>
          <w:spacing w:val="-8"/>
        </w:rPr>
        <w:t> </w:t>
      </w:r>
      <w:r>
        <w:rPr>
          <w:color w:val="231F20"/>
          <w:spacing w:val="-4"/>
        </w:rPr>
        <w:t>use</w:t>
      </w:r>
      <w:r>
        <w:rPr>
          <w:color w:val="231F20"/>
          <w:spacing w:val="-8"/>
        </w:rPr>
        <w:t> </w:t>
      </w:r>
      <w:r>
        <w:rPr>
          <w:color w:val="231F20"/>
          <w:spacing w:val="-4"/>
        </w:rPr>
        <w:t>of</w:t>
      </w:r>
      <w:r>
        <w:rPr>
          <w:color w:val="231F20"/>
          <w:spacing w:val="-8"/>
        </w:rPr>
        <w:t> </w:t>
      </w:r>
      <w:r>
        <w:rPr>
          <w:color w:val="231F20"/>
          <w:spacing w:val="-4"/>
        </w:rPr>
        <w:t>informa- </w:t>
      </w:r>
      <w:r>
        <w:rPr>
          <w:color w:val="231F20"/>
        </w:rPr>
        <w:t>tion</w:t>
      </w:r>
      <w:r>
        <w:rPr>
          <w:color w:val="231F20"/>
          <w:spacing w:val="-5"/>
        </w:rPr>
        <w:t> </w:t>
      </w:r>
      <w:r>
        <w:rPr>
          <w:color w:val="231F20"/>
        </w:rPr>
        <w:t>technology</w:t>
      </w:r>
      <w:r>
        <w:rPr>
          <w:color w:val="231F20"/>
          <w:spacing w:val="-5"/>
        </w:rPr>
        <w:t> </w:t>
      </w:r>
      <w:r>
        <w:rPr>
          <w:color w:val="231F20"/>
        </w:rPr>
        <w:t>solutions</w:t>
      </w:r>
      <w:r>
        <w:rPr>
          <w:color w:val="231F20"/>
          <w:spacing w:val="-5"/>
        </w:rPr>
        <w:t> </w:t>
      </w:r>
      <w:r>
        <w:rPr>
          <w:color w:val="231F20"/>
        </w:rPr>
        <w:t>in</w:t>
      </w:r>
      <w:r>
        <w:rPr>
          <w:color w:val="231F20"/>
          <w:spacing w:val="-5"/>
        </w:rPr>
        <w:t> </w:t>
      </w:r>
      <w:r>
        <w:rPr>
          <w:color w:val="231F20"/>
        </w:rPr>
        <w:t>both</w:t>
      </w:r>
      <w:r>
        <w:rPr>
          <w:color w:val="231F20"/>
          <w:spacing w:val="-5"/>
        </w:rPr>
        <w:t> </w:t>
      </w:r>
      <w:r>
        <w:rPr>
          <w:color w:val="231F20"/>
        </w:rPr>
        <w:t>the</w:t>
      </w:r>
      <w:r>
        <w:rPr>
          <w:color w:val="231F20"/>
          <w:spacing w:val="-5"/>
        </w:rPr>
        <w:t> </w:t>
      </w:r>
      <w:r>
        <w:rPr>
          <w:color w:val="231F20"/>
        </w:rPr>
        <w:t>private </w:t>
      </w:r>
      <w:r>
        <w:rPr>
          <w:color w:val="231F20"/>
          <w:spacing w:val="-6"/>
        </w:rPr>
        <w:t>and public sectors are tools for high-quality lo- </w:t>
      </w:r>
      <w:r>
        <w:rPr>
          <w:color w:val="231F20"/>
          <w:spacing w:val="-2"/>
        </w:rPr>
        <w:t>gistics.</w:t>
      </w:r>
      <w:r>
        <w:rPr>
          <w:color w:val="231F20"/>
          <w:spacing w:val="-6"/>
        </w:rPr>
        <w:t> </w:t>
      </w:r>
      <w:r>
        <w:rPr>
          <w:color w:val="231F20"/>
          <w:spacing w:val="-2"/>
        </w:rPr>
        <w:t>Here,</w:t>
      </w:r>
      <w:r>
        <w:rPr>
          <w:color w:val="231F20"/>
          <w:spacing w:val="-6"/>
        </w:rPr>
        <w:t> </w:t>
      </w:r>
      <w:r>
        <w:rPr>
          <w:color w:val="231F20"/>
          <w:spacing w:val="-2"/>
        </w:rPr>
        <w:t>the</w:t>
      </w:r>
      <w:r>
        <w:rPr>
          <w:color w:val="231F20"/>
          <w:spacing w:val="-6"/>
        </w:rPr>
        <w:t> </w:t>
      </w:r>
      <w:r>
        <w:rPr>
          <w:color w:val="231F20"/>
          <w:spacing w:val="-2"/>
        </w:rPr>
        <w:t>importance</w:t>
      </w:r>
      <w:r>
        <w:rPr>
          <w:color w:val="231F20"/>
          <w:spacing w:val="-6"/>
        </w:rPr>
        <w:t> </w:t>
      </w:r>
      <w:r>
        <w:rPr>
          <w:color w:val="231F20"/>
          <w:spacing w:val="-2"/>
        </w:rPr>
        <w:t>of</w:t>
      </w:r>
      <w:r>
        <w:rPr>
          <w:color w:val="231F20"/>
          <w:spacing w:val="-6"/>
        </w:rPr>
        <w:t> </w:t>
      </w:r>
      <w:r>
        <w:rPr>
          <w:color w:val="231F20"/>
          <w:spacing w:val="-2"/>
        </w:rPr>
        <w:t>digitalization </w:t>
      </w:r>
      <w:r>
        <w:rPr>
          <w:color w:val="231F20"/>
          <w:spacing w:val="-4"/>
        </w:rPr>
        <w:t>is</w:t>
      </w:r>
      <w:r>
        <w:rPr>
          <w:color w:val="231F20"/>
          <w:spacing w:val="-6"/>
        </w:rPr>
        <w:t> </w:t>
      </w:r>
      <w:r>
        <w:rPr>
          <w:color w:val="231F20"/>
          <w:spacing w:val="-4"/>
        </w:rPr>
        <w:t>growing,</w:t>
      </w:r>
      <w:r>
        <w:rPr>
          <w:color w:val="231F20"/>
          <w:spacing w:val="-6"/>
        </w:rPr>
        <w:t> </w:t>
      </w:r>
      <w:r>
        <w:rPr>
          <w:color w:val="231F20"/>
          <w:spacing w:val="-4"/>
        </w:rPr>
        <w:t>boosted</w:t>
      </w:r>
      <w:r>
        <w:rPr>
          <w:color w:val="231F20"/>
          <w:spacing w:val="-6"/>
        </w:rPr>
        <w:t> </w:t>
      </w:r>
      <w:r>
        <w:rPr>
          <w:color w:val="231F20"/>
          <w:spacing w:val="-4"/>
        </w:rPr>
        <w:t>by</w:t>
      </w:r>
      <w:r>
        <w:rPr>
          <w:color w:val="231F20"/>
          <w:spacing w:val="-6"/>
        </w:rPr>
        <w:t> </w:t>
      </w:r>
      <w:r>
        <w:rPr>
          <w:color w:val="231F20"/>
          <w:spacing w:val="-4"/>
        </w:rPr>
        <w:t>the</w:t>
      </w:r>
      <w:r>
        <w:rPr>
          <w:color w:val="231F20"/>
          <w:spacing w:val="-6"/>
        </w:rPr>
        <w:t> </w:t>
      </w:r>
      <w:r>
        <w:rPr>
          <w:color w:val="231F20"/>
          <w:spacing w:val="-4"/>
        </w:rPr>
        <w:t>rapid</w:t>
      </w:r>
      <w:r>
        <w:rPr>
          <w:color w:val="231F20"/>
          <w:spacing w:val="-6"/>
        </w:rPr>
        <w:t> </w:t>
      </w:r>
      <w:r>
        <w:rPr>
          <w:color w:val="231F20"/>
          <w:spacing w:val="-4"/>
        </w:rPr>
        <w:t>advancement </w:t>
      </w:r>
      <w:r>
        <w:rPr>
          <w:color w:val="231F20"/>
          <w:spacing w:val="-6"/>
        </w:rPr>
        <w:t>of</w:t>
      </w:r>
      <w:r>
        <w:rPr>
          <w:color w:val="231F20"/>
          <w:spacing w:val="-8"/>
        </w:rPr>
        <w:t> </w:t>
      </w:r>
      <w:r>
        <w:rPr>
          <w:color w:val="231F20"/>
          <w:spacing w:val="-6"/>
        </w:rPr>
        <w:t>software,</w:t>
      </w:r>
      <w:r>
        <w:rPr>
          <w:color w:val="231F20"/>
          <w:spacing w:val="-7"/>
        </w:rPr>
        <w:t> </w:t>
      </w:r>
      <w:r>
        <w:rPr>
          <w:color w:val="231F20"/>
          <w:spacing w:val="-6"/>
        </w:rPr>
        <w:t>hardware,</w:t>
      </w:r>
      <w:r>
        <w:rPr>
          <w:color w:val="231F20"/>
          <w:spacing w:val="-7"/>
        </w:rPr>
        <w:t> </w:t>
      </w:r>
      <w:r>
        <w:rPr>
          <w:color w:val="231F20"/>
          <w:spacing w:val="-6"/>
        </w:rPr>
        <w:t>and</w:t>
      </w:r>
      <w:r>
        <w:rPr>
          <w:color w:val="231F20"/>
          <w:spacing w:val="-7"/>
        </w:rPr>
        <w:t> </w:t>
      </w:r>
      <w:r>
        <w:rPr>
          <w:color w:val="231F20"/>
          <w:spacing w:val="-6"/>
        </w:rPr>
        <w:t>innovation.</w:t>
      </w:r>
      <w:r>
        <w:rPr>
          <w:color w:val="231F20"/>
          <w:spacing w:val="-7"/>
        </w:rPr>
        <w:t> </w:t>
      </w:r>
      <w:r>
        <w:rPr>
          <w:color w:val="231F20"/>
          <w:spacing w:val="-6"/>
        </w:rPr>
        <w:t>One</w:t>
      </w:r>
      <w:r>
        <w:rPr>
          <w:color w:val="231F20"/>
          <w:spacing w:val="-7"/>
        </w:rPr>
        <w:t> </w:t>
      </w:r>
      <w:r>
        <w:rPr>
          <w:color w:val="231F20"/>
          <w:spacing w:val="-6"/>
        </w:rPr>
        <w:t>ob- </w:t>
      </w:r>
      <w:r>
        <w:rPr>
          <w:color w:val="231F20"/>
          <w:w w:val="90"/>
        </w:rPr>
        <w:t>vious</w:t>
      </w:r>
      <w:r>
        <w:rPr>
          <w:color w:val="231F20"/>
          <w:spacing w:val="8"/>
        </w:rPr>
        <w:t> </w:t>
      </w:r>
      <w:r>
        <w:rPr>
          <w:color w:val="231F20"/>
          <w:w w:val="90"/>
        </w:rPr>
        <w:t>area</w:t>
      </w:r>
      <w:r>
        <w:rPr>
          <w:color w:val="231F20"/>
          <w:spacing w:val="8"/>
        </w:rPr>
        <w:t> </w:t>
      </w:r>
      <w:r>
        <w:rPr>
          <w:color w:val="231F20"/>
          <w:w w:val="90"/>
        </w:rPr>
        <w:t>of</w:t>
      </w:r>
      <w:r>
        <w:rPr>
          <w:color w:val="231F20"/>
          <w:spacing w:val="9"/>
        </w:rPr>
        <w:t> </w:t>
      </w:r>
      <w:r>
        <w:rPr>
          <w:color w:val="231F20"/>
          <w:w w:val="90"/>
        </w:rPr>
        <w:t>development</w:t>
      </w:r>
      <w:r>
        <w:rPr>
          <w:color w:val="231F20"/>
          <w:spacing w:val="8"/>
        </w:rPr>
        <w:t> </w:t>
      </w:r>
      <w:r>
        <w:rPr>
          <w:color w:val="231F20"/>
          <w:w w:val="90"/>
        </w:rPr>
        <w:t>is</w:t>
      </w:r>
      <w:r>
        <w:rPr>
          <w:color w:val="231F20"/>
          <w:spacing w:val="9"/>
        </w:rPr>
        <w:t> </w:t>
      </w:r>
      <w:r>
        <w:rPr>
          <w:color w:val="231F20"/>
          <w:w w:val="90"/>
        </w:rPr>
        <w:t>to</w:t>
      </w:r>
      <w:r>
        <w:rPr>
          <w:color w:val="231F20"/>
          <w:spacing w:val="8"/>
        </w:rPr>
        <w:t> </w:t>
      </w:r>
      <w:r>
        <w:rPr>
          <w:color w:val="231F20"/>
          <w:w w:val="90"/>
        </w:rPr>
        <w:t>increase</w:t>
      </w:r>
      <w:r>
        <w:rPr>
          <w:color w:val="231F20"/>
          <w:spacing w:val="8"/>
        </w:rPr>
        <w:t> </w:t>
      </w:r>
      <w:r>
        <w:rPr>
          <w:color w:val="231F20"/>
          <w:spacing w:val="-2"/>
          <w:w w:val="90"/>
        </w:rPr>
        <w:t>supply</w:t>
      </w:r>
    </w:p>
    <w:p>
      <w:pPr>
        <w:spacing w:after="0" w:line="268" w:lineRule="auto"/>
        <w:jc w:val="both"/>
        <w:sectPr>
          <w:type w:val="continuous"/>
          <w:pgSz w:w="12240" w:h="15840"/>
          <w:pgMar w:header="0" w:footer="0" w:top="1140" w:bottom="280" w:left="0" w:right="540"/>
          <w:cols w:num="2" w:equalWidth="0">
            <w:col w:w="4921" w:space="40"/>
            <w:col w:w="6739"/>
          </w:cols>
        </w:sectPr>
      </w:pPr>
    </w:p>
    <w:p>
      <w:pPr>
        <w:pStyle w:val="BodyText"/>
        <w:rPr>
          <w:sz w:val="20"/>
        </w:rPr>
      </w:pPr>
    </w:p>
    <w:p>
      <w:pPr>
        <w:pStyle w:val="BodyText"/>
        <w:rPr>
          <w:sz w:val="20"/>
        </w:rPr>
      </w:pPr>
    </w:p>
    <w:p>
      <w:pPr>
        <w:pStyle w:val="BodyText"/>
        <w:spacing w:before="140"/>
        <w:rPr>
          <w:sz w:val="20"/>
        </w:rPr>
      </w:pPr>
    </w:p>
    <w:p>
      <w:pPr>
        <w:pStyle w:val="BodyText"/>
        <w:ind w:left="3359"/>
        <w:rPr>
          <w:sz w:val="20"/>
        </w:rPr>
      </w:pPr>
      <w:r>
        <w:rPr>
          <w:sz w:val="20"/>
        </w:rPr>
        <mc:AlternateContent>
          <mc:Choice Requires="wps">
            <w:drawing>
              <wp:inline distT="0" distB="0" distL="0" distR="0">
                <wp:extent cx="4877435" cy="3218180"/>
                <wp:effectExtent l="0" t="9525" r="0" b="1269"/>
                <wp:docPr id="1497" name="Group 1497"/>
                <wp:cNvGraphicFramePr>
                  <a:graphicFrameLocks/>
                </wp:cNvGraphicFramePr>
                <a:graphic>
                  <a:graphicData uri="http://schemas.microsoft.com/office/word/2010/wordprocessingGroup">
                    <wpg:wgp>
                      <wpg:cNvPr id="1497" name="Group 1497"/>
                      <wpg:cNvGrpSpPr/>
                      <wpg:grpSpPr>
                        <a:xfrm>
                          <a:off x="0" y="0"/>
                          <a:ext cx="4877435" cy="3218180"/>
                          <a:chExt cx="4877435" cy="3218180"/>
                        </a:xfrm>
                      </wpg:grpSpPr>
                      <wps:wsp>
                        <wps:cNvPr id="1498" name="Graphic 1498"/>
                        <wps:cNvSpPr/>
                        <wps:spPr>
                          <a:xfrm>
                            <a:off x="198" y="385093"/>
                            <a:ext cx="4876800" cy="2832735"/>
                          </a:xfrm>
                          <a:custGeom>
                            <a:avLst/>
                            <a:gdLst/>
                            <a:ahLst/>
                            <a:cxnLst/>
                            <a:rect l="l" t="t" r="r" b="b"/>
                            <a:pathLst>
                              <a:path w="4876800" h="2832735">
                                <a:moveTo>
                                  <a:pt x="4876800" y="0"/>
                                </a:moveTo>
                                <a:lnTo>
                                  <a:pt x="0" y="0"/>
                                </a:lnTo>
                                <a:lnTo>
                                  <a:pt x="0" y="2757805"/>
                                </a:lnTo>
                                <a:lnTo>
                                  <a:pt x="6159" y="2786903"/>
                                </a:lnTo>
                                <a:lnTo>
                                  <a:pt x="22693" y="2810663"/>
                                </a:lnTo>
                                <a:lnTo>
                                  <a:pt x="46682" y="2826683"/>
                                </a:lnTo>
                                <a:lnTo>
                                  <a:pt x="75209" y="2832557"/>
                                </a:lnTo>
                                <a:lnTo>
                                  <a:pt x="4797920" y="2832557"/>
                                </a:lnTo>
                                <a:lnTo>
                                  <a:pt x="4827020" y="2827302"/>
                                </a:lnTo>
                                <a:lnTo>
                                  <a:pt x="4852271" y="2812316"/>
                                </a:lnTo>
                                <a:lnTo>
                                  <a:pt x="4870066" y="2788762"/>
                                </a:lnTo>
                                <a:lnTo>
                                  <a:pt x="4876800" y="2757805"/>
                                </a:lnTo>
                                <a:lnTo>
                                  <a:pt x="4876800" y="0"/>
                                </a:lnTo>
                                <a:close/>
                              </a:path>
                            </a:pathLst>
                          </a:custGeom>
                          <a:solidFill>
                            <a:srgbClr val="DFEAF7"/>
                          </a:solidFill>
                        </wps:spPr>
                        <wps:bodyPr wrap="square" lIns="0" tIns="0" rIns="0" bIns="0" rtlCol="0">
                          <a:prstTxWarp prst="textNoShape">
                            <a:avLst/>
                          </a:prstTxWarp>
                          <a:noAutofit/>
                        </wps:bodyPr>
                      </wps:wsp>
                      <wps:wsp>
                        <wps:cNvPr id="1499" name="Graphic 1499"/>
                        <wps:cNvSpPr/>
                        <wps:spPr>
                          <a:xfrm>
                            <a:off x="0" y="0"/>
                            <a:ext cx="512445" cy="358775"/>
                          </a:xfrm>
                          <a:custGeom>
                            <a:avLst/>
                            <a:gdLst/>
                            <a:ahLst/>
                            <a:cxnLst/>
                            <a:rect l="l" t="t" r="r" b="b"/>
                            <a:pathLst>
                              <a:path w="512445" h="358775">
                                <a:moveTo>
                                  <a:pt x="512178" y="0"/>
                                </a:moveTo>
                                <a:lnTo>
                                  <a:pt x="76200" y="0"/>
                                </a:lnTo>
                                <a:lnTo>
                                  <a:pt x="47213" y="3058"/>
                                </a:lnTo>
                                <a:lnTo>
                                  <a:pt x="22917" y="14506"/>
                                </a:lnTo>
                                <a:lnTo>
                                  <a:pt x="6212" y="37751"/>
                                </a:lnTo>
                                <a:lnTo>
                                  <a:pt x="0" y="76200"/>
                                </a:lnTo>
                                <a:lnTo>
                                  <a:pt x="0" y="358775"/>
                                </a:lnTo>
                                <a:lnTo>
                                  <a:pt x="512178" y="358775"/>
                                </a:lnTo>
                                <a:lnTo>
                                  <a:pt x="512178" y="0"/>
                                </a:lnTo>
                                <a:close/>
                              </a:path>
                            </a:pathLst>
                          </a:custGeom>
                          <a:solidFill>
                            <a:srgbClr val="008FDD"/>
                          </a:solidFill>
                        </wps:spPr>
                        <wps:bodyPr wrap="square" lIns="0" tIns="0" rIns="0" bIns="0" rtlCol="0">
                          <a:prstTxWarp prst="textNoShape">
                            <a:avLst/>
                          </a:prstTxWarp>
                          <a:noAutofit/>
                        </wps:bodyPr>
                      </wps:wsp>
                      <wps:wsp>
                        <wps:cNvPr id="1500" name="Graphic 1500"/>
                        <wps:cNvSpPr/>
                        <wps:spPr>
                          <a:xfrm>
                            <a:off x="512178" y="0"/>
                            <a:ext cx="4364355" cy="358775"/>
                          </a:xfrm>
                          <a:custGeom>
                            <a:avLst/>
                            <a:gdLst/>
                            <a:ahLst/>
                            <a:cxnLst/>
                            <a:rect l="l" t="t" r="r" b="b"/>
                            <a:pathLst>
                              <a:path w="4364355" h="358775">
                                <a:moveTo>
                                  <a:pt x="4287926" y="0"/>
                                </a:moveTo>
                                <a:lnTo>
                                  <a:pt x="0" y="0"/>
                                </a:lnTo>
                                <a:lnTo>
                                  <a:pt x="0" y="358775"/>
                                </a:lnTo>
                                <a:lnTo>
                                  <a:pt x="4364126" y="358775"/>
                                </a:lnTo>
                                <a:lnTo>
                                  <a:pt x="4364126" y="76200"/>
                                </a:lnTo>
                                <a:lnTo>
                                  <a:pt x="4358620" y="50979"/>
                                </a:lnTo>
                                <a:lnTo>
                                  <a:pt x="4343095" y="26265"/>
                                </a:lnTo>
                                <a:lnTo>
                                  <a:pt x="4319035" y="7468"/>
                                </a:lnTo>
                                <a:lnTo>
                                  <a:pt x="4287926" y="0"/>
                                </a:lnTo>
                                <a:close/>
                              </a:path>
                            </a:pathLst>
                          </a:custGeom>
                          <a:solidFill>
                            <a:srgbClr val="808285"/>
                          </a:solidFill>
                        </wps:spPr>
                        <wps:bodyPr wrap="square" lIns="0" tIns="0" rIns="0" bIns="0" rtlCol="0">
                          <a:prstTxWarp prst="textNoShape">
                            <a:avLst/>
                          </a:prstTxWarp>
                          <a:noAutofit/>
                        </wps:bodyPr>
                      </wps:wsp>
                      <wps:wsp>
                        <wps:cNvPr id="1501" name="Graphic 1501"/>
                        <wps:cNvSpPr/>
                        <wps:spPr>
                          <a:xfrm>
                            <a:off x="512179" y="0"/>
                            <a:ext cx="1270" cy="367665"/>
                          </a:xfrm>
                          <a:custGeom>
                            <a:avLst/>
                            <a:gdLst/>
                            <a:ahLst/>
                            <a:cxnLst/>
                            <a:rect l="l" t="t" r="r" b="b"/>
                            <a:pathLst>
                              <a:path w="0" h="367665">
                                <a:moveTo>
                                  <a:pt x="0" y="0"/>
                                </a:moveTo>
                                <a:lnTo>
                                  <a:pt x="0" y="367487"/>
                                </a:lnTo>
                              </a:path>
                            </a:pathLst>
                          </a:custGeom>
                          <a:ln w="25400">
                            <a:solidFill>
                              <a:srgbClr val="FFFFFF"/>
                            </a:solidFill>
                            <a:prstDash val="solid"/>
                          </a:ln>
                        </wps:spPr>
                        <wps:bodyPr wrap="square" lIns="0" tIns="0" rIns="0" bIns="0" rtlCol="0">
                          <a:prstTxWarp prst="textNoShape">
                            <a:avLst/>
                          </a:prstTxWarp>
                          <a:noAutofit/>
                        </wps:bodyPr>
                      </wps:wsp>
                      <wps:wsp>
                        <wps:cNvPr id="1502" name="Graphic 1502"/>
                        <wps:cNvSpPr/>
                        <wps:spPr>
                          <a:xfrm>
                            <a:off x="274403" y="2486124"/>
                            <a:ext cx="4458335" cy="1270"/>
                          </a:xfrm>
                          <a:custGeom>
                            <a:avLst/>
                            <a:gdLst/>
                            <a:ahLst/>
                            <a:cxnLst/>
                            <a:rect l="l" t="t" r="r" b="b"/>
                            <a:pathLst>
                              <a:path w="4458335" h="0">
                                <a:moveTo>
                                  <a:pt x="0" y="0"/>
                                </a:moveTo>
                                <a:lnTo>
                                  <a:pt x="4458093" y="0"/>
                                </a:lnTo>
                              </a:path>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503" name="Graphic 1503"/>
                        <wps:cNvSpPr/>
                        <wps:spPr>
                          <a:xfrm>
                            <a:off x="274403" y="1049893"/>
                            <a:ext cx="4458335" cy="1077595"/>
                          </a:xfrm>
                          <a:custGeom>
                            <a:avLst/>
                            <a:gdLst/>
                            <a:ahLst/>
                            <a:cxnLst/>
                            <a:rect l="l" t="t" r="r" b="b"/>
                            <a:pathLst>
                              <a:path w="4458335" h="1077595">
                                <a:moveTo>
                                  <a:pt x="0" y="1077172"/>
                                </a:moveTo>
                                <a:lnTo>
                                  <a:pt x="245198" y="1077172"/>
                                </a:lnTo>
                              </a:path>
                              <a:path w="4458335" h="1077595">
                                <a:moveTo>
                                  <a:pt x="646429" y="1077172"/>
                                </a:moveTo>
                                <a:lnTo>
                                  <a:pt x="1136815" y="1077172"/>
                                </a:lnTo>
                              </a:path>
                              <a:path w="4458335" h="1077595">
                                <a:moveTo>
                                  <a:pt x="1538046" y="1077172"/>
                                </a:moveTo>
                                <a:lnTo>
                                  <a:pt x="2028431" y="1077172"/>
                                </a:lnTo>
                              </a:path>
                              <a:path w="4458335" h="1077595">
                                <a:moveTo>
                                  <a:pt x="2429662" y="1077172"/>
                                </a:moveTo>
                                <a:lnTo>
                                  <a:pt x="2920047" y="1077172"/>
                                </a:lnTo>
                              </a:path>
                              <a:path w="4458335" h="1077595">
                                <a:moveTo>
                                  <a:pt x="3321278" y="1077172"/>
                                </a:moveTo>
                                <a:lnTo>
                                  <a:pt x="3811663" y="1077172"/>
                                </a:lnTo>
                              </a:path>
                              <a:path w="4458335" h="1077595">
                                <a:moveTo>
                                  <a:pt x="4212894" y="1077172"/>
                                </a:moveTo>
                                <a:lnTo>
                                  <a:pt x="4458093" y="1077172"/>
                                </a:lnTo>
                              </a:path>
                              <a:path w="4458335" h="1077595">
                                <a:moveTo>
                                  <a:pt x="0" y="718115"/>
                                </a:moveTo>
                                <a:lnTo>
                                  <a:pt x="245198" y="718115"/>
                                </a:lnTo>
                              </a:path>
                              <a:path w="4458335" h="1077595">
                                <a:moveTo>
                                  <a:pt x="646429" y="718115"/>
                                </a:moveTo>
                                <a:lnTo>
                                  <a:pt x="1136815" y="718115"/>
                                </a:lnTo>
                              </a:path>
                              <a:path w="4458335" h="1077595">
                                <a:moveTo>
                                  <a:pt x="1538046" y="718115"/>
                                </a:moveTo>
                                <a:lnTo>
                                  <a:pt x="2028431" y="718115"/>
                                </a:lnTo>
                              </a:path>
                              <a:path w="4458335" h="1077595">
                                <a:moveTo>
                                  <a:pt x="2429662" y="718115"/>
                                </a:moveTo>
                                <a:lnTo>
                                  <a:pt x="2920047" y="718115"/>
                                </a:lnTo>
                              </a:path>
                              <a:path w="4458335" h="1077595">
                                <a:moveTo>
                                  <a:pt x="3321278" y="718115"/>
                                </a:moveTo>
                                <a:lnTo>
                                  <a:pt x="3811663" y="718115"/>
                                </a:lnTo>
                              </a:path>
                              <a:path w="4458335" h="1077595">
                                <a:moveTo>
                                  <a:pt x="4212894" y="718115"/>
                                </a:moveTo>
                                <a:lnTo>
                                  <a:pt x="4458093" y="718115"/>
                                </a:lnTo>
                              </a:path>
                              <a:path w="4458335" h="1077595">
                                <a:moveTo>
                                  <a:pt x="0" y="359056"/>
                                </a:moveTo>
                                <a:lnTo>
                                  <a:pt x="245198" y="359056"/>
                                </a:lnTo>
                              </a:path>
                              <a:path w="4458335" h="1077595">
                                <a:moveTo>
                                  <a:pt x="646429" y="359056"/>
                                </a:moveTo>
                                <a:lnTo>
                                  <a:pt x="1136815" y="359056"/>
                                </a:lnTo>
                              </a:path>
                              <a:path w="4458335" h="1077595">
                                <a:moveTo>
                                  <a:pt x="1538046" y="359056"/>
                                </a:moveTo>
                                <a:lnTo>
                                  <a:pt x="2028431" y="359056"/>
                                </a:lnTo>
                              </a:path>
                              <a:path w="4458335" h="1077595">
                                <a:moveTo>
                                  <a:pt x="2429662" y="359056"/>
                                </a:moveTo>
                                <a:lnTo>
                                  <a:pt x="2920047" y="359056"/>
                                </a:lnTo>
                              </a:path>
                              <a:path w="4458335" h="1077595">
                                <a:moveTo>
                                  <a:pt x="3321278" y="359056"/>
                                </a:moveTo>
                                <a:lnTo>
                                  <a:pt x="3811663" y="359056"/>
                                </a:lnTo>
                              </a:path>
                              <a:path w="4458335" h="1077595">
                                <a:moveTo>
                                  <a:pt x="4212894" y="359056"/>
                                </a:moveTo>
                                <a:lnTo>
                                  <a:pt x="4458093" y="359056"/>
                                </a:lnTo>
                              </a:path>
                              <a:path w="4458335" h="1077595">
                                <a:moveTo>
                                  <a:pt x="0" y="0"/>
                                </a:moveTo>
                                <a:lnTo>
                                  <a:pt x="245198" y="0"/>
                                </a:lnTo>
                              </a:path>
                              <a:path w="4458335" h="1077595">
                                <a:moveTo>
                                  <a:pt x="646429" y="0"/>
                                </a:moveTo>
                                <a:lnTo>
                                  <a:pt x="1136815" y="0"/>
                                </a:lnTo>
                              </a:path>
                              <a:path w="4458335" h="1077595">
                                <a:moveTo>
                                  <a:pt x="1538046" y="0"/>
                                </a:moveTo>
                                <a:lnTo>
                                  <a:pt x="2028431" y="0"/>
                                </a:lnTo>
                              </a:path>
                              <a:path w="4458335" h="1077595">
                                <a:moveTo>
                                  <a:pt x="2429662" y="0"/>
                                </a:moveTo>
                                <a:lnTo>
                                  <a:pt x="2920047" y="0"/>
                                </a:lnTo>
                              </a:path>
                              <a:path w="4458335" h="1077595">
                                <a:moveTo>
                                  <a:pt x="3321278" y="0"/>
                                </a:moveTo>
                                <a:lnTo>
                                  <a:pt x="3811663" y="0"/>
                                </a:lnTo>
                              </a:path>
                              <a:path w="4458335" h="1077595">
                                <a:moveTo>
                                  <a:pt x="4212894"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504" name="Graphic 1504"/>
                        <wps:cNvSpPr/>
                        <wps:spPr>
                          <a:xfrm>
                            <a:off x="274403" y="690835"/>
                            <a:ext cx="4458335" cy="1270"/>
                          </a:xfrm>
                          <a:custGeom>
                            <a:avLst/>
                            <a:gdLst/>
                            <a:ahLst/>
                            <a:cxnLst/>
                            <a:rect l="l" t="t" r="r" b="b"/>
                            <a:pathLst>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505" name="Graphic 1505"/>
                        <wps:cNvSpPr/>
                        <wps:spPr>
                          <a:xfrm>
                            <a:off x="519602" y="690828"/>
                            <a:ext cx="3968115" cy="1710055"/>
                          </a:xfrm>
                          <a:custGeom>
                            <a:avLst/>
                            <a:gdLst/>
                            <a:ahLst/>
                            <a:cxnLst/>
                            <a:rect l="l" t="t" r="r" b="b"/>
                            <a:pathLst>
                              <a:path w="3968115" h="1710055">
                                <a:moveTo>
                                  <a:pt x="401231" y="0"/>
                                </a:moveTo>
                                <a:lnTo>
                                  <a:pt x="0" y="0"/>
                                </a:lnTo>
                                <a:lnTo>
                                  <a:pt x="0" y="1710016"/>
                                </a:lnTo>
                                <a:lnTo>
                                  <a:pt x="401231" y="1710016"/>
                                </a:lnTo>
                                <a:lnTo>
                                  <a:pt x="401231" y="0"/>
                                </a:lnTo>
                                <a:close/>
                              </a:path>
                              <a:path w="3968115" h="1710055">
                                <a:moveTo>
                                  <a:pt x="1292847" y="0"/>
                                </a:moveTo>
                                <a:lnTo>
                                  <a:pt x="891616" y="0"/>
                                </a:lnTo>
                                <a:lnTo>
                                  <a:pt x="891616" y="1494574"/>
                                </a:lnTo>
                                <a:lnTo>
                                  <a:pt x="1292847" y="1494574"/>
                                </a:lnTo>
                                <a:lnTo>
                                  <a:pt x="1292847" y="0"/>
                                </a:lnTo>
                                <a:close/>
                              </a:path>
                              <a:path w="3968115" h="1710055">
                                <a:moveTo>
                                  <a:pt x="2184463" y="0"/>
                                </a:moveTo>
                                <a:lnTo>
                                  <a:pt x="1783232" y="0"/>
                                </a:lnTo>
                                <a:lnTo>
                                  <a:pt x="1783232" y="1153477"/>
                                </a:lnTo>
                                <a:lnTo>
                                  <a:pt x="2184463" y="1153477"/>
                                </a:lnTo>
                                <a:lnTo>
                                  <a:pt x="2184463" y="0"/>
                                </a:lnTo>
                                <a:close/>
                              </a:path>
                              <a:path w="3968115" h="1710055">
                                <a:moveTo>
                                  <a:pt x="3076079" y="0"/>
                                </a:moveTo>
                                <a:lnTo>
                                  <a:pt x="2674848" y="0"/>
                                </a:lnTo>
                                <a:lnTo>
                                  <a:pt x="2674848" y="287248"/>
                                </a:lnTo>
                                <a:lnTo>
                                  <a:pt x="3076079" y="287248"/>
                                </a:lnTo>
                                <a:lnTo>
                                  <a:pt x="3076079" y="0"/>
                                </a:lnTo>
                                <a:close/>
                              </a:path>
                              <a:path w="3968115" h="1710055">
                                <a:moveTo>
                                  <a:pt x="3967683" y="0"/>
                                </a:moveTo>
                                <a:lnTo>
                                  <a:pt x="3566464" y="0"/>
                                </a:lnTo>
                                <a:lnTo>
                                  <a:pt x="3566464" y="430872"/>
                                </a:lnTo>
                                <a:lnTo>
                                  <a:pt x="3967683" y="430872"/>
                                </a:lnTo>
                                <a:lnTo>
                                  <a:pt x="3967683" y="0"/>
                                </a:lnTo>
                                <a:close/>
                              </a:path>
                            </a:pathLst>
                          </a:custGeom>
                          <a:solidFill>
                            <a:srgbClr val="939598"/>
                          </a:solidFill>
                        </wps:spPr>
                        <wps:bodyPr wrap="square" lIns="0" tIns="0" rIns="0" bIns="0" rtlCol="0">
                          <a:prstTxWarp prst="textNoShape">
                            <a:avLst/>
                          </a:prstTxWarp>
                          <a:noAutofit/>
                        </wps:bodyPr>
                      </wps:wsp>
                      <wps:wsp>
                        <wps:cNvPr id="1506" name="Graphic 1506"/>
                        <wps:cNvSpPr/>
                        <wps:spPr>
                          <a:xfrm>
                            <a:off x="519602" y="978077"/>
                            <a:ext cx="3968115" cy="1472565"/>
                          </a:xfrm>
                          <a:custGeom>
                            <a:avLst/>
                            <a:gdLst/>
                            <a:ahLst/>
                            <a:cxnLst/>
                            <a:rect l="l" t="t" r="r" b="b"/>
                            <a:pathLst>
                              <a:path w="3968115" h="1472565">
                                <a:moveTo>
                                  <a:pt x="401231" y="1422768"/>
                                </a:moveTo>
                                <a:lnTo>
                                  <a:pt x="0" y="1422768"/>
                                </a:lnTo>
                                <a:lnTo>
                                  <a:pt x="0" y="1472133"/>
                                </a:lnTo>
                                <a:lnTo>
                                  <a:pt x="401231" y="1472133"/>
                                </a:lnTo>
                                <a:lnTo>
                                  <a:pt x="401231" y="1422768"/>
                                </a:lnTo>
                                <a:close/>
                              </a:path>
                              <a:path w="3968115" h="1472565">
                                <a:moveTo>
                                  <a:pt x="1292847" y="1207338"/>
                                </a:moveTo>
                                <a:lnTo>
                                  <a:pt x="891616" y="1207338"/>
                                </a:lnTo>
                                <a:lnTo>
                                  <a:pt x="891616" y="1413802"/>
                                </a:lnTo>
                                <a:lnTo>
                                  <a:pt x="1292847" y="1413802"/>
                                </a:lnTo>
                                <a:lnTo>
                                  <a:pt x="1292847" y="1207338"/>
                                </a:lnTo>
                                <a:close/>
                              </a:path>
                              <a:path w="3968115" h="1472565">
                                <a:moveTo>
                                  <a:pt x="2184463" y="866228"/>
                                </a:moveTo>
                                <a:lnTo>
                                  <a:pt x="1783232" y="866228"/>
                                </a:lnTo>
                                <a:lnTo>
                                  <a:pt x="1783232" y="1184897"/>
                                </a:lnTo>
                                <a:lnTo>
                                  <a:pt x="2184463" y="1184897"/>
                                </a:lnTo>
                                <a:lnTo>
                                  <a:pt x="2184463" y="866228"/>
                                </a:lnTo>
                                <a:close/>
                              </a:path>
                              <a:path w="3968115" h="1472565">
                                <a:moveTo>
                                  <a:pt x="3076079" y="0"/>
                                </a:moveTo>
                                <a:lnTo>
                                  <a:pt x="2674848" y="0"/>
                                </a:lnTo>
                                <a:lnTo>
                                  <a:pt x="2674848" y="143624"/>
                                </a:lnTo>
                                <a:lnTo>
                                  <a:pt x="3076079" y="143624"/>
                                </a:lnTo>
                                <a:lnTo>
                                  <a:pt x="3076079" y="0"/>
                                </a:lnTo>
                                <a:close/>
                              </a:path>
                              <a:path w="3968115" h="1472565">
                                <a:moveTo>
                                  <a:pt x="3967683" y="143624"/>
                                </a:moveTo>
                                <a:lnTo>
                                  <a:pt x="3566464" y="143624"/>
                                </a:lnTo>
                                <a:lnTo>
                                  <a:pt x="3566464" y="287248"/>
                                </a:lnTo>
                                <a:lnTo>
                                  <a:pt x="3967683" y="287248"/>
                                </a:lnTo>
                                <a:lnTo>
                                  <a:pt x="3967683" y="143624"/>
                                </a:lnTo>
                                <a:close/>
                              </a:path>
                            </a:pathLst>
                          </a:custGeom>
                          <a:solidFill>
                            <a:srgbClr val="76AEE5"/>
                          </a:solidFill>
                        </wps:spPr>
                        <wps:bodyPr wrap="square" lIns="0" tIns="0" rIns="0" bIns="0" rtlCol="0">
                          <a:prstTxWarp prst="textNoShape">
                            <a:avLst/>
                          </a:prstTxWarp>
                          <a:noAutofit/>
                        </wps:bodyPr>
                      </wps:wsp>
                      <wps:wsp>
                        <wps:cNvPr id="1507" name="Graphic 1507"/>
                        <wps:cNvSpPr/>
                        <wps:spPr>
                          <a:xfrm>
                            <a:off x="519602" y="513295"/>
                            <a:ext cx="3968115" cy="1972945"/>
                          </a:xfrm>
                          <a:custGeom>
                            <a:avLst/>
                            <a:gdLst/>
                            <a:ahLst/>
                            <a:cxnLst/>
                            <a:rect l="l" t="t" r="r" b="b"/>
                            <a:pathLst>
                              <a:path w="3968115" h="1972945">
                                <a:moveTo>
                                  <a:pt x="401231" y="1936927"/>
                                </a:moveTo>
                                <a:lnTo>
                                  <a:pt x="0" y="1936927"/>
                                </a:lnTo>
                                <a:lnTo>
                                  <a:pt x="0" y="1972830"/>
                                </a:lnTo>
                                <a:lnTo>
                                  <a:pt x="401231" y="1972830"/>
                                </a:lnTo>
                                <a:lnTo>
                                  <a:pt x="401231" y="1936927"/>
                                </a:lnTo>
                                <a:close/>
                              </a:path>
                              <a:path w="3968115" h="1972945">
                                <a:moveTo>
                                  <a:pt x="1292847" y="1878571"/>
                                </a:moveTo>
                                <a:lnTo>
                                  <a:pt x="891616" y="1878571"/>
                                </a:lnTo>
                                <a:lnTo>
                                  <a:pt x="891616" y="1972830"/>
                                </a:lnTo>
                                <a:lnTo>
                                  <a:pt x="1292847" y="1972830"/>
                                </a:lnTo>
                                <a:lnTo>
                                  <a:pt x="1292847" y="1878571"/>
                                </a:lnTo>
                                <a:close/>
                              </a:path>
                              <a:path w="3968115" h="1972945">
                                <a:moveTo>
                                  <a:pt x="2184463" y="1649679"/>
                                </a:moveTo>
                                <a:lnTo>
                                  <a:pt x="1783232" y="1649679"/>
                                </a:lnTo>
                                <a:lnTo>
                                  <a:pt x="1783232" y="1972830"/>
                                </a:lnTo>
                                <a:lnTo>
                                  <a:pt x="2184463" y="1972830"/>
                                </a:lnTo>
                                <a:lnTo>
                                  <a:pt x="2184463" y="1649679"/>
                                </a:lnTo>
                                <a:close/>
                              </a:path>
                              <a:path w="3968115" h="1972945">
                                <a:moveTo>
                                  <a:pt x="2195614" y="0"/>
                                </a:moveTo>
                                <a:lnTo>
                                  <a:pt x="2144814" y="0"/>
                                </a:lnTo>
                                <a:lnTo>
                                  <a:pt x="2144814" y="50800"/>
                                </a:lnTo>
                                <a:lnTo>
                                  <a:pt x="2195614" y="50800"/>
                                </a:lnTo>
                                <a:lnTo>
                                  <a:pt x="2195614" y="0"/>
                                </a:lnTo>
                                <a:close/>
                              </a:path>
                              <a:path w="3968115" h="1972945">
                                <a:moveTo>
                                  <a:pt x="3076079" y="608406"/>
                                </a:moveTo>
                                <a:lnTo>
                                  <a:pt x="2674848" y="608406"/>
                                </a:lnTo>
                                <a:lnTo>
                                  <a:pt x="2674848" y="1972830"/>
                                </a:lnTo>
                                <a:lnTo>
                                  <a:pt x="3076079" y="1972830"/>
                                </a:lnTo>
                                <a:lnTo>
                                  <a:pt x="3076079" y="608406"/>
                                </a:lnTo>
                                <a:close/>
                              </a:path>
                              <a:path w="3968115" h="1972945">
                                <a:moveTo>
                                  <a:pt x="3967683" y="752030"/>
                                </a:moveTo>
                                <a:lnTo>
                                  <a:pt x="3566464" y="752030"/>
                                </a:lnTo>
                                <a:lnTo>
                                  <a:pt x="3566464" y="1972830"/>
                                </a:lnTo>
                                <a:lnTo>
                                  <a:pt x="3967683" y="1972830"/>
                                </a:lnTo>
                                <a:lnTo>
                                  <a:pt x="3967683" y="752030"/>
                                </a:lnTo>
                                <a:close/>
                              </a:path>
                            </a:pathLst>
                          </a:custGeom>
                          <a:solidFill>
                            <a:srgbClr val="008FDD"/>
                          </a:solidFill>
                        </wps:spPr>
                        <wps:bodyPr wrap="square" lIns="0" tIns="0" rIns="0" bIns="0" rtlCol="0">
                          <a:prstTxWarp prst="textNoShape">
                            <a:avLst/>
                          </a:prstTxWarp>
                          <a:noAutofit/>
                        </wps:bodyPr>
                      </wps:wsp>
                      <wps:wsp>
                        <wps:cNvPr id="1508" name="Graphic 1508"/>
                        <wps:cNvSpPr/>
                        <wps:spPr>
                          <a:xfrm>
                            <a:off x="4020560" y="513295"/>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939598"/>
                          </a:solidFill>
                        </wps:spPr>
                        <wps:bodyPr wrap="square" lIns="0" tIns="0" rIns="0" bIns="0" rtlCol="0">
                          <a:prstTxWarp prst="textNoShape">
                            <a:avLst/>
                          </a:prstTxWarp>
                          <a:noAutofit/>
                        </wps:bodyPr>
                      </wps:wsp>
                      <wps:wsp>
                        <wps:cNvPr id="1509" name="Graphic 1509"/>
                        <wps:cNvSpPr/>
                        <wps:spPr>
                          <a:xfrm>
                            <a:off x="3515977" y="513295"/>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76AEE5"/>
                          </a:solidFill>
                        </wps:spPr>
                        <wps:bodyPr wrap="square" lIns="0" tIns="0" rIns="0" bIns="0" rtlCol="0">
                          <a:prstTxWarp prst="textNoShape">
                            <a:avLst/>
                          </a:prstTxWarp>
                          <a:noAutofit/>
                        </wps:bodyPr>
                      </wps:wsp>
                      <wps:wsp>
                        <wps:cNvPr id="1510" name="Graphic 1510"/>
                        <wps:cNvSpPr/>
                        <wps:spPr>
                          <a:xfrm>
                            <a:off x="273893" y="2486124"/>
                            <a:ext cx="4415790" cy="1270"/>
                          </a:xfrm>
                          <a:custGeom>
                            <a:avLst/>
                            <a:gdLst/>
                            <a:ahLst/>
                            <a:cxnLst/>
                            <a:rect l="l" t="t" r="r" b="b"/>
                            <a:pathLst>
                              <a:path w="4415790" h="0">
                                <a:moveTo>
                                  <a:pt x="0" y="0"/>
                                </a:moveTo>
                                <a:lnTo>
                                  <a:pt x="4415764" y="0"/>
                                </a:lnTo>
                              </a:path>
                            </a:pathLst>
                          </a:custGeom>
                          <a:ln w="6350">
                            <a:solidFill>
                              <a:srgbClr val="FFFFFF"/>
                            </a:solidFill>
                            <a:prstDash val="solid"/>
                          </a:ln>
                        </wps:spPr>
                        <wps:bodyPr wrap="square" lIns="0" tIns="0" rIns="0" bIns="0" rtlCol="0">
                          <a:prstTxWarp prst="textNoShape">
                            <a:avLst/>
                          </a:prstTxWarp>
                          <a:noAutofit/>
                        </wps:bodyPr>
                      </wps:wsp>
                      <wps:wsp>
                        <wps:cNvPr id="1511" name="Textbox 1511"/>
                        <wps:cNvSpPr txBox="1"/>
                        <wps:spPr>
                          <a:xfrm>
                            <a:off x="76380" y="66855"/>
                            <a:ext cx="4043679" cy="248920"/>
                          </a:xfrm>
                          <a:prstGeom prst="rect">
                            <a:avLst/>
                          </a:prstGeom>
                        </wps:spPr>
                        <wps:txbx>
                          <w:txbxContent>
                            <w:p>
                              <w:pPr>
                                <w:spacing w:line="261" w:lineRule="auto" w:before="0"/>
                                <w:ind w:left="800" w:right="0" w:hanging="800"/>
                                <w:jc w:val="left"/>
                                <w:rPr>
                                  <w:rFonts w:ascii="Arial"/>
                                  <w:b/>
                                  <w:sz w:val="16"/>
                                </w:rPr>
                              </w:pPr>
                              <w:r>
                                <w:rPr>
                                  <w:rFonts w:ascii="Arial"/>
                                  <w:color w:val="FFFFFF"/>
                                  <w:w w:val="105"/>
                                  <w:sz w:val="16"/>
                                </w:rPr>
                                <w:t>Figure</w:t>
                              </w:r>
                              <w:r>
                                <w:rPr>
                                  <w:rFonts w:ascii="Arial"/>
                                  <w:color w:val="FFFFFF"/>
                                  <w:spacing w:val="-12"/>
                                  <w:w w:val="105"/>
                                  <w:sz w:val="16"/>
                                </w:rPr>
                                <w:t> </w:t>
                              </w:r>
                              <w:r>
                                <w:rPr>
                                  <w:rFonts w:ascii="Arial"/>
                                  <w:b/>
                                  <w:color w:val="FFFFFF"/>
                                  <w:w w:val="105"/>
                                  <w:sz w:val="16"/>
                                </w:rPr>
                                <w:t>4.1</w:t>
                              </w:r>
                              <w:r>
                                <w:rPr>
                                  <w:rFonts w:ascii="Arial"/>
                                  <w:b/>
                                  <w:color w:val="FFFFFF"/>
                                  <w:spacing w:val="49"/>
                                  <w:w w:val="105"/>
                                  <w:sz w:val="16"/>
                                </w:rPr>
                                <w:t> </w:t>
                              </w:r>
                              <w:r>
                                <w:rPr>
                                  <w:rFonts w:ascii="Arial"/>
                                  <w:b/>
                                  <w:color w:val="FFFFFF"/>
                                  <w:w w:val="105"/>
                                  <w:sz w:val="16"/>
                                </w:rPr>
                                <w:t>Demand</w:t>
                              </w:r>
                              <w:r>
                                <w:rPr>
                                  <w:rFonts w:ascii="Arial"/>
                                  <w:b/>
                                  <w:color w:val="FFFFFF"/>
                                  <w:spacing w:val="-12"/>
                                  <w:w w:val="105"/>
                                  <w:sz w:val="16"/>
                                </w:rPr>
                                <w:t> </w:t>
                              </w:r>
                              <w:r>
                                <w:rPr>
                                  <w:rFonts w:ascii="Arial"/>
                                  <w:b/>
                                  <w:color w:val="FFFFFF"/>
                                  <w:w w:val="105"/>
                                  <w:sz w:val="16"/>
                                </w:rPr>
                                <w:t>for</w:t>
                              </w:r>
                              <w:r>
                                <w:rPr>
                                  <w:rFonts w:ascii="Arial"/>
                                  <w:b/>
                                  <w:color w:val="FFFFFF"/>
                                  <w:spacing w:val="-12"/>
                                  <w:w w:val="105"/>
                                  <w:sz w:val="16"/>
                                </w:rPr>
                                <w:t> </w:t>
                              </w:r>
                              <w:r>
                                <w:rPr>
                                  <w:rFonts w:ascii="Arial"/>
                                  <w:b/>
                                  <w:color w:val="FFFFFF"/>
                                  <w:w w:val="105"/>
                                  <w:sz w:val="16"/>
                                </w:rPr>
                                <w:t>environmentally</w:t>
                              </w:r>
                              <w:r>
                                <w:rPr>
                                  <w:rFonts w:ascii="Arial"/>
                                  <w:b/>
                                  <w:color w:val="FFFFFF"/>
                                  <w:spacing w:val="-11"/>
                                  <w:w w:val="105"/>
                                  <w:sz w:val="16"/>
                                </w:rPr>
                                <w:t> </w:t>
                              </w:r>
                              <w:r>
                                <w:rPr>
                                  <w:rFonts w:ascii="Arial"/>
                                  <w:b/>
                                  <w:color w:val="FFFFFF"/>
                                  <w:w w:val="105"/>
                                  <w:sz w:val="16"/>
                                </w:rPr>
                                <w:t>friendly</w:t>
                              </w:r>
                              <w:r>
                                <w:rPr>
                                  <w:rFonts w:ascii="Arial"/>
                                  <w:b/>
                                  <w:color w:val="FFFFFF"/>
                                  <w:spacing w:val="-12"/>
                                  <w:w w:val="105"/>
                                  <w:sz w:val="16"/>
                                </w:rPr>
                                <w:t> </w:t>
                              </w:r>
                              <w:r>
                                <w:rPr>
                                  <w:rFonts w:ascii="Arial"/>
                                  <w:b/>
                                  <w:color w:val="FFFFFF"/>
                                  <w:w w:val="105"/>
                                  <w:sz w:val="16"/>
                                </w:rPr>
                                <w:t>shipping</w:t>
                              </w:r>
                              <w:r>
                                <w:rPr>
                                  <w:rFonts w:ascii="Arial"/>
                                  <w:b/>
                                  <w:color w:val="FFFFFF"/>
                                  <w:spacing w:val="-12"/>
                                  <w:w w:val="105"/>
                                  <w:sz w:val="16"/>
                                </w:rPr>
                                <w:t> </w:t>
                              </w:r>
                              <w:r>
                                <w:rPr>
                                  <w:rFonts w:ascii="Arial"/>
                                  <w:b/>
                                  <w:color w:val="FFFFFF"/>
                                  <w:w w:val="105"/>
                                  <w:sz w:val="16"/>
                                </w:rPr>
                                <w:t>options,</w:t>
                              </w:r>
                              <w:r>
                                <w:rPr>
                                  <w:rFonts w:ascii="Arial"/>
                                  <w:b/>
                                  <w:color w:val="FFFFFF"/>
                                  <w:spacing w:val="-12"/>
                                  <w:w w:val="105"/>
                                  <w:sz w:val="16"/>
                                </w:rPr>
                                <w:t> </w:t>
                              </w:r>
                              <w:r>
                                <w:rPr>
                                  <w:rFonts w:ascii="Arial"/>
                                  <w:b/>
                                  <w:color w:val="FFFFFF"/>
                                  <w:w w:val="105"/>
                                  <w:sz w:val="16"/>
                                </w:rPr>
                                <w:t>by</w:t>
                              </w:r>
                              <w:r>
                                <w:rPr>
                                  <w:rFonts w:ascii="Arial"/>
                                  <w:b/>
                                  <w:color w:val="FFFFFF"/>
                                  <w:spacing w:val="-11"/>
                                  <w:w w:val="105"/>
                                  <w:sz w:val="16"/>
                                </w:rPr>
                                <w:t> </w:t>
                              </w:r>
                              <w:r>
                                <w:rPr>
                                  <w:rFonts w:ascii="Arial"/>
                                  <w:b/>
                                  <w:color w:val="FFFFFF"/>
                                  <w:w w:val="105"/>
                                  <w:sz w:val="16"/>
                                </w:rPr>
                                <w:t>destination LPI score quintile</w:t>
                              </w:r>
                            </w:p>
                          </w:txbxContent>
                        </wps:txbx>
                        <wps:bodyPr wrap="square" lIns="0" tIns="0" rIns="0" bIns="0" rtlCol="0">
                          <a:noAutofit/>
                        </wps:bodyPr>
                      </wps:wsp>
                      <wps:wsp>
                        <wps:cNvPr id="1512" name="Textbox 1512"/>
                        <wps:cNvSpPr txBox="1"/>
                        <wps:spPr>
                          <a:xfrm>
                            <a:off x="76393" y="487005"/>
                            <a:ext cx="253365" cy="257810"/>
                          </a:xfrm>
                          <a:prstGeom prst="rect">
                            <a:avLst/>
                          </a:prstGeom>
                        </wps:spPr>
                        <wps:txbx>
                          <w:txbxContent>
                            <w:p>
                              <w:pPr>
                                <w:spacing w:line="159" w:lineRule="exact" w:before="0"/>
                                <w:ind w:left="0" w:right="0" w:firstLine="0"/>
                                <w:jc w:val="left"/>
                                <w:rPr>
                                  <w:rFonts w:ascii="Arial"/>
                                  <w:sz w:val="14"/>
                                </w:rPr>
                              </w:pPr>
                              <w:r>
                                <w:rPr>
                                  <w:rFonts w:ascii="Arial"/>
                                  <w:color w:val="231F20"/>
                                  <w:spacing w:val="-5"/>
                                  <w:w w:val="85"/>
                                  <w:sz w:val="14"/>
                                </w:rPr>
                                <w:t>Percent</w:t>
                              </w:r>
                            </w:p>
                            <w:p>
                              <w:pPr>
                                <w:spacing w:line="160" w:lineRule="exact" w:before="86"/>
                                <w:ind w:left="0" w:right="0" w:firstLine="0"/>
                                <w:jc w:val="left"/>
                                <w:rPr>
                                  <w:rFonts w:ascii="Arial"/>
                                  <w:sz w:val="14"/>
                                </w:rPr>
                              </w:pPr>
                              <w:r>
                                <w:rPr>
                                  <w:rFonts w:ascii="Arial"/>
                                  <w:color w:val="231F20"/>
                                  <w:spacing w:val="-5"/>
                                  <w:sz w:val="14"/>
                                </w:rPr>
                                <w:t>100</w:t>
                              </w:r>
                            </w:p>
                          </w:txbxContent>
                        </wps:txbx>
                        <wps:bodyPr wrap="square" lIns="0" tIns="0" rIns="0" bIns="0" rtlCol="0">
                          <a:noAutofit/>
                        </wps:bodyPr>
                      </wps:wsp>
                      <wps:wsp>
                        <wps:cNvPr id="1513" name="Textbox 1513"/>
                        <wps:cNvSpPr txBox="1"/>
                        <wps:spPr>
                          <a:xfrm>
                            <a:off x="2742270" y="487005"/>
                            <a:ext cx="2000885" cy="100965"/>
                          </a:xfrm>
                          <a:prstGeom prst="rect">
                            <a:avLst/>
                          </a:prstGeom>
                        </wps:spPr>
                        <wps:txbx>
                          <w:txbxContent>
                            <w:p>
                              <w:pPr>
                                <w:tabs>
                                  <w:tab w:pos="1340" w:val="left" w:leader="none"/>
                                  <w:tab w:pos="2135" w:val="left" w:leader="none"/>
                                </w:tabs>
                                <w:spacing w:line="158" w:lineRule="exact" w:before="0"/>
                                <w:ind w:left="0" w:right="0" w:firstLine="0"/>
                                <w:jc w:val="left"/>
                                <w:rPr>
                                  <w:rFonts w:ascii="Arial"/>
                                  <w:sz w:val="14"/>
                                </w:rPr>
                              </w:pPr>
                              <w:r>
                                <w:rPr>
                                  <w:rFonts w:ascii="Arial"/>
                                  <w:color w:val="231F20"/>
                                  <w:w w:val="75"/>
                                  <w:sz w:val="14"/>
                                </w:rPr>
                                <w:t>Often</w:t>
                              </w:r>
                              <w:r>
                                <w:rPr>
                                  <w:rFonts w:ascii="Arial"/>
                                  <w:color w:val="231F20"/>
                                  <w:spacing w:val="2"/>
                                  <w:sz w:val="14"/>
                                </w:rPr>
                                <w:t> </w:t>
                              </w:r>
                              <w:r>
                                <w:rPr>
                                  <w:rFonts w:ascii="Arial"/>
                                  <w:color w:val="231F20"/>
                                  <w:w w:val="75"/>
                                  <w:sz w:val="14"/>
                                </w:rPr>
                                <w:t>or</w:t>
                              </w:r>
                              <w:r>
                                <w:rPr>
                                  <w:rFonts w:ascii="Arial"/>
                                  <w:color w:val="231F20"/>
                                  <w:spacing w:val="3"/>
                                  <w:sz w:val="14"/>
                                </w:rPr>
                                <w:t> </w:t>
                              </w:r>
                              <w:r>
                                <w:rPr>
                                  <w:rFonts w:ascii="Arial"/>
                                  <w:color w:val="231F20"/>
                                  <w:w w:val="75"/>
                                  <w:sz w:val="14"/>
                                </w:rPr>
                                <w:t>nearly</w:t>
                              </w:r>
                              <w:r>
                                <w:rPr>
                                  <w:rFonts w:ascii="Arial"/>
                                  <w:color w:val="231F20"/>
                                  <w:spacing w:val="3"/>
                                  <w:sz w:val="14"/>
                                </w:rPr>
                                <w:t> </w:t>
                              </w:r>
                              <w:r>
                                <w:rPr>
                                  <w:rFonts w:ascii="Arial"/>
                                  <w:color w:val="231F20"/>
                                  <w:spacing w:val="-2"/>
                                  <w:w w:val="75"/>
                                  <w:sz w:val="14"/>
                                </w:rPr>
                                <w:t>always</w:t>
                              </w:r>
                              <w:r>
                                <w:rPr>
                                  <w:rFonts w:ascii="Arial"/>
                                  <w:color w:val="231F20"/>
                                  <w:sz w:val="14"/>
                                </w:rPr>
                                <w:tab/>
                              </w:r>
                              <w:r>
                                <w:rPr>
                                  <w:rFonts w:ascii="Arial"/>
                                  <w:color w:val="231F20"/>
                                  <w:spacing w:val="-2"/>
                                  <w:w w:val="85"/>
                                  <w:sz w:val="14"/>
                                </w:rPr>
                                <w:t>Sometimes</w:t>
                              </w:r>
                              <w:r>
                                <w:rPr>
                                  <w:rFonts w:ascii="Arial"/>
                                  <w:color w:val="231F20"/>
                                  <w:sz w:val="14"/>
                                </w:rPr>
                                <w:tab/>
                              </w:r>
                              <w:r>
                                <w:rPr>
                                  <w:rFonts w:ascii="Arial"/>
                                  <w:color w:val="231F20"/>
                                  <w:w w:val="75"/>
                                  <w:sz w:val="14"/>
                                </w:rPr>
                                <w:t>Hardly</w:t>
                              </w:r>
                              <w:r>
                                <w:rPr>
                                  <w:rFonts w:ascii="Arial"/>
                                  <w:color w:val="231F20"/>
                                  <w:spacing w:val="-4"/>
                                  <w:sz w:val="14"/>
                                </w:rPr>
                                <w:t> </w:t>
                              </w:r>
                              <w:r>
                                <w:rPr>
                                  <w:rFonts w:ascii="Arial"/>
                                  <w:color w:val="231F20"/>
                                  <w:w w:val="75"/>
                                  <w:sz w:val="14"/>
                                </w:rPr>
                                <w:t>ever</w:t>
                              </w:r>
                              <w:r>
                                <w:rPr>
                                  <w:rFonts w:ascii="Arial"/>
                                  <w:color w:val="231F20"/>
                                  <w:spacing w:val="-1"/>
                                  <w:sz w:val="14"/>
                                </w:rPr>
                                <w:t> </w:t>
                              </w:r>
                              <w:r>
                                <w:rPr>
                                  <w:rFonts w:ascii="Arial"/>
                                  <w:color w:val="231F20"/>
                                  <w:w w:val="75"/>
                                  <w:sz w:val="14"/>
                                </w:rPr>
                                <w:t>or</w:t>
                              </w:r>
                              <w:r>
                                <w:rPr>
                                  <w:rFonts w:ascii="Arial"/>
                                  <w:color w:val="231F20"/>
                                  <w:spacing w:val="-1"/>
                                  <w:sz w:val="14"/>
                                </w:rPr>
                                <w:t> </w:t>
                              </w:r>
                              <w:r>
                                <w:rPr>
                                  <w:rFonts w:ascii="Arial"/>
                                  <w:color w:val="231F20"/>
                                  <w:spacing w:val="-2"/>
                                  <w:w w:val="75"/>
                                  <w:sz w:val="14"/>
                                </w:rPr>
                                <w:t>rarely</w:t>
                              </w:r>
                            </w:p>
                          </w:txbxContent>
                        </wps:txbx>
                        <wps:bodyPr wrap="square" lIns="0" tIns="0" rIns="0" bIns="0" rtlCol="0">
                          <a:noAutofit/>
                        </wps:bodyPr>
                      </wps:wsp>
                      <wps:wsp>
                        <wps:cNvPr id="1514" name="Textbox 1514"/>
                        <wps:cNvSpPr txBox="1"/>
                        <wps:spPr>
                          <a:xfrm>
                            <a:off x="119407" y="1003338"/>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80</w:t>
                              </w:r>
                            </w:p>
                          </w:txbxContent>
                        </wps:txbx>
                        <wps:bodyPr wrap="square" lIns="0" tIns="0" rIns="0" bIns="0" rtlCol="0">
                          <a:noAutofit/>
                        </wps:bodyPr>
                      </wps:wsp>
                      <wps:wsp>
                        <wps:cNvPr id="1515" name="Textbox 1515"/>
                        <wps:cNvSpPr txBox="1"/>
                        <wps:spPr>
                          <a:xfrm>
                            <a:off x="119407" y="1362405"/>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60</w:t>
                              </w:r>
                            </w:p>
                          </w:txbxContent>
                        </wps:txbx>
                        <wps:bodyPr wrap="square" lIns="0" tIns="0" rIns="0" bIns="0" rtlCol="0">
                          <a:noAutofit/>
                        </wps:bodyPr>
                      </wps:wsp>
                      <wps:wsp>
                        <wps:cNvPr id="1516" name="Textbox 1516"/>
                        <wps:cNvSpPr txBox="1"/>
                        <wps:spPr>
                          <a:xfrm>
                            <a:off x="119407" y="1721472"/>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40</w:t>
                              </w:r>
                            </w:p>
                          </w:txbxContent>
                        </wps:txbx>
                        <wps:bodyPr wrap="square" lIns="0" tIns="0" rIns="0" bIns="0" rtlCol="0">
                          <a:noAutofit/>
                        </wps:bodyPr>
                      </wps:wsp>
                      <wps:wsp>
                        <wps:cNvPr id="1517" name="Textbox 1517"/>
                        <wps:cNvSpPr txBox="1"/>
                        <wps:spPr>
                          <a:xfrm>
                            <a:off x="119407" y="2080539"/>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7"/>
                                  <w:sz w:val="14"/>
                                </w:rPr>
                                <w:t>20</w:t>
                              </w:r>
                            </w:p>
                          </w:txbxContent>
                        </wps:txbx>
                        <wps:bodyPr wrap="square" lIns="0" tIns="0" rIns="0" bIns="0" rtlCol="0">
                          <a:noAutofit/>
                        </wps:bodyPr>
                      </wps:wsp>
                      <wps:wsp>
                        <wps:cNvPr id="1518" name="Textbox 1518"/>
                        <wps:cNvSpPr txBox="1"/>
                        <wps:spPr>
                          <a:xfrm>
                            <a:off x="162079" y="2439606"/>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0</w:t>
                              </w:r>
                            </w:p>
                          </w:txbxContent>
                        </wps:txbx>
                        <wps:bodyPr wrap="square" lIns="0" tIns="0" rIns="0" bIns="0" rtlCol="0">
                          <a:noAutofit/>
                        </wps:bodyPr>
                      </wps:wsp>
                      <wps:wsp>
                        <wps:cNvPr id="1519" name="Textbox 1519"/>
                        <wps:cNvSpPr txBox="1"/>
                        <wps:spPr>
                          <a:xfrm>
                            <a:off x="484210" y="2503547"/>
                            <a:ext cx="485140" cy="100965"/>
                          </a:xfrm>
                          <a:prstGeom prst="rect">
                            <a:avLst/>
                          </a:prstGeom>
                        </wps:spPr>
                        <wps:txbx>
                          <w:txbxContent>
                            <w:p>
                              <w:pPr>
                                <w:spacing w:line="158" w:lineRule="exact" w:before="0"/>
                                <w:ind w:left="0" w:right="0" w:firstLine="0"/>
                                <w:jc w:val="left"/>
                                <w:rPr>
                                  <w:rFonts w:ascii="Arial"/>
                                  <w:sz w:val="14"/>
                                </w:rPr>
                              </w:pPr>
                              <w:r>
                                <w:rPr>
                                  <w:rFonts w:ascii="Arial"/>
                                  <w:color w:val="231F20"/>
                                  <w:w w:val="75"/>
                                  <w:sz w:val="14"/>
                                </w:rPr>
                                <w:t>Bottom</w:t>
                              </w:r>
                              <w:r>
                                <w:rPr>
                                  <w:rFonts w:ascii="Arial"/>
                                  <w:color w:val="231F20"/>
                                  <w:spacing w:val="11"/>
                                  <w:sz w:val="14"/>
                                </w:rPr>
                                <w:t> </w:t>
                              </w:r>
                              <w:r>
                                <w:rPr>
                                  <w:rFonts w:ascii="Arial"/>
                                  <w:color w:val="231F20"/>
                                  <w:spacing w:val="-2"/>
                                  <w:w w:val="85"/>
                                  <w:sz w:val="14"/>
                                </w:rPr>
                                <w:t>quintile</w:t>
                              </w:r>
                            </w:p>
                          </w:txbxContent>
                        </wps:txbx>
                        <wps:bodyPr wrap="square" lIns="0" tIns="0" rIns="0" bIns="0" rtlCol="0">
                          <a:noAutofit/>
                        </wps:bodyPr>
                      </wps:wsp>
                      <wps:wsp>
                        <wps:cNvPr id="1520" name="Textbox 1520"/>
                        <wps:cNvSpPr txBox="1"/>
                        <wps:spPr>
                          <a:xfrm>
                            <a:off x="1387434" y="2503547"/>
                            <a:ext cx="461645" cy="100965"/>
                          </a:xfrm>
                          <a:prstGeom prst="rect">
                            <a:avLst/>
                          </a:prstGeom>
                        </wps:spPr>
                        <wps:txbx>
                          <w:txbxContent>
                            <w:p>
                              <w:pPr>
                                <w:spacing w:line="158" w:lineRule="exact" w:before="0"/>
                                <w:ind w:left="0" w:right="0" w:firstLine="0"/>
                                <w:jc w:val="left"/>
                                <w:rPr>
                                  <w:rFonts w:ascii="Arial"/>
                                  <w:sz w:val="14"/>
                                </w:rPr>
                              </w:pPr>
                              <w:r>
                                <w:rPr>
                                  <w:rFonts w:ascii="Arial"/>
                                  <w:color w:val="231F20"/>
                                  <w:w w:val="75"/>
                                  <w:sz w:val="14"/>
                                </w:rPr>
                                <w:t>Fourth</w:t>
                              </w:r>
                              <w:r>
                                <w:rPr>
                                  <w:rFonts w:ascii="Arial"/>
                                  <w:color w:val="231F20"/>
                                  <w:spacing w:val="6"/>
                                  <w:sz w:val="14"/>
                                </w:rPr>
                                <w:t> </w:t>
                              </w:r>
                              <w:r>
                                <w:rPr>
                                  <w:rFonts w:ascii="Arial"/>
                                  <w:color w:val="231F20"/>
                                  <w:spacing w:val="-2"/>
                                  <w:w w:val="85"/>
                                  <w:sz w:val="14"/>
                                </w:rPr>
                                <w:t>quintile</w:t>
                              </w:r>
                            </w:p>
                          </w:txbxContent>
                        </wps:txbx>
                        <wps:bodyPr wrap="square" lIns="0" tIns="0" rIns="0" bIns="0" rtlCol="0">
                          <a:noAutofit/>
                        </wps:bodyPr>
                      </wps:wsp>
                      <wps:wsp>
                        <wps:cNvPr id="1521" name="Textbox 1521"/>
                        <wps:cNvSpPr txBox="1"/>
                        <wps:spPr>
                          <a:xfrm>
                            <a:off x="390331" y="2605159"/>
                            <a:ext cx="1517650" cy="100965"/>
                          </a:xfrm>
                          <a:prstGeom prst="rect">
                            <a:avLst/>
                          </a:prstGeom>
                        </wps:spPr>
                        <wps:txbx>
                          <w:txbxContent>
                            <w:p>
                              <w:pPr>
                                <w:tabs>
                                  <w:tab w:pos="1477" w:val="left" w:leader="none"/>
                                </w:tabs>
                                <w:spacing w:line="158" w:lineRule="exact" w:before="0"/>
                                <w:ind w:left="0" w:right="0" w:firstLine="0"/>
                                <w:jc w:val="left"/>
                                <w:rPr>
                                  <w:rFonts w:ascii="Arial"/>
                                  <w:sz w:val="14"/>
                                </w:rPr>
                              </w:pPr>
                              <w:r>
                                <w:rPr>
                                  <w:rFonts w:ascii="Arial"/>
                                  <w:color w:val="231F20"/>
                                  <w:w w:val="75"/>
                                  <w:sz w:val="14"/>
                                </w:rPr>
                                <w:t>(lowest</w:t>
                              </w:r>
                              <w:r>
                                <w:rPr>
                                  <w:rFonts w:ascii="Arial"/>
                                  <w:color w:val="231F20"/>
                                  <w:spacing w:val="5"/>
                                  <w:sz w:val="14"/>
                                </w:rPr>
                                <w:t> </w:t>
                              </w:r>
                              <w:r>
                                <w:rPr>
                                  <w:rFonts w:ascii="Arial"/>
                                  <w:color w:val="231F20"/>
                                  <w:spacing w:val="-2"/>
                                  <w:w w:val="90"/>
                                  <w:sz w:val="14"/>
                                </w:rPr>
                                <w:t>performance)</w:t>
                              </w:r>
                              <w:r>
                                <w:rPr>
                                  <w:rFonts w:ascii="Arial"/>
                                  <w:color w:val="231F20"/>
                                  <w:sz w:val="14"/>
                                </w:rPr>
                                <w:tab/>
                              </w:r>
                              <w:r>
                                <w:rPr>
                                  <w:rFonts w:ascii="Arial"/>
                                  <w:color w:val="231F20"/>
                                  <w:w w:val="75"/>
                                  <w:sz w:val="14"/>
                                </w:rPr>
                                <w:t>(low</w:t>
                              </w:r>
                              <w:r>
                                <w:rPr>
                                  <w:rFonts w:ascii="Arial"/>
                                  <w:color w:val="231F20"/>
                                  <w:spacing w:val="-1"/>
                                  <w:sz w:val="14"/>
                                </w:rPr>
                                <w:t> </w:t>
                              </w:r>
                              <w:r>
                                <w:rPr>
                                  <w:rFonts w:ascii="Arial"/>
                                  <w:color w:val="231F20"/>
                                  <w:spacing w:val="-2"/>
                                  <w:w w:val="80"/>
                                  <w:sz w:val="14"/>
                                </w:rPr>
                                <w:t>performance)</w:t>
                              </w:r>
                            </w:p>
                          </w:txbxContent>
                        </wps:txbx>
                        <wps:bodyPr wrap="square" lIns="0" tIns="0" rIns="0" bIns="0" rtlCol="0">
                          <a:noAutofit/>
                        </wps:bodyPr>
                      </wps:wsp>
                      <wps:wsp>
                        <wps:cNvPr id="1522" name="Textbox 1522"/>
                        <wps:cNvSpPr txBox="1"/>
                        <wps:spPr>
                          <a:xfrm>
                            <a:off x="2149574" y="2503547"/>
                            <a:ext cx="2494280" cy="202565"/>
                          </a:xfrm>
                          <a:prstGeom prst="rect">
                            <a:avLst/>
                          </a:prstGeom>
                        </wps:spPr>
                        <wps:txbx>
                          <w:txbxContent>
                            <w:p>
                              <w:pPr>
                                <w:tabs>
                                  <w:tab w:pos="1493" w:val="left" w:leader="none"/>
                                  <w:tab w:pos="1582" w:val="left" w:leader="none"/>
                                  <w:tab w:pos="2823" w:val="left" w:leader="none"/>
                                  <w:tab w:pos="3083" w:val="left" w:leader="none"/>
                                </w:tabs>
                                <w:spacing w:before="0"/>
                                <w:ind w:left="0" w:right="18" w:firstLine="236"/>
                                <w:jc w:val="left"/>
                                <w:rPr>
                                  <w:rFonts w:ascii="Arial"/>
                                  <w:sz w:val="14"/>
                                </w:rPr>
                              </w:pPr>
                              <w:r>
                                <w:rPr>
                                  <w:rFonts w:ascii="Arial"/>
                                  <w:color w:val="231F20"/>
                                  <w:sz w:val="14"/>
                                </w:rPr>
                                <w:t>Third</w:t>
                              </w:r>
                              <w:r>
                                <w:rPr>
                                  <w:rFonts w:ascii="Arial"/>
                                  <w:color w:val="231F20"/>
                                  <w:spacing w:val="-10"/>
                                  <w:sz w:val="14"/>
                                </w:rPr>
                                <w:t> </w:t>
                              </w:r>
                              <w:r>
                                <w:rPr>
                                  <w:rFonts w:ascii="Arial"/>
                                  <w:color w:val="231F20"/>
                                  <w:sz w:val="14"/>
                                </w:rPr>
                                <w:t>quintile</w:t>
                                <w:tab/>
                                <w:tab/>
                                <w:t>Second</w:t>
                              </w:r>
                              <w:r>
                                <w:rPr>
                                  <w:rFonts w:ascii="Arial"/>
                                  <w:color w:val="231F20"/>
                                  <w:spacing w:val="-10"/>
                                  <w:sz w:val="14"/>
                                </w:rPr>
                                <w:t> </w:t>
                              </w:r>
                              <w:r>
                                <w:rPr>
                                  <w:rFonts w:ascii="Arial"/>
                                  <w:color w:val="231F20"/>
                                  <w:sz w:val="14"/>
                                </w:rPr>
                                <w:t>quintile</w:t>
                                <w:tab/>
                                <w:tab/>
                                <w:t>Top</w:t>
                              </w:r>
                              <w:r>
                                <w:rPr>
                                  <w:rFonts w:ascii="Arial"/>
                                  <w:color w:val="231F20"/>
                                  <w:spacing w:val="-10"/>
                                  <w:sz w:val="14"/>
                                </w:rPr>
                                <w:t> </w:t>
                              </w:r>
                              <w:r>
                                <w:rPr>
                                  <w:rFonts w:ascii="Arial"/>
                                  <w:color w:val="231F20"/>
                                  <w:sz w:val="14"/>
                                </w:rPr>
                                <w:t>quintile</w:t>
                              </w:r>
                              <w:r>
                                <w:rPr>
                                  <w:rFonts w:ascii="Arial"/>
                                  <w:color w:val="231F20"/>
                                  <w:spacing w:val="40"/>
                                  <w:sz w:val="14"/>
                                </w:rPr>
                                <w:t> </w:t>
                              </w:r>
                              <w:r>
                                <w:rPr>
                                  <w:rFonts w:ascii="Arial"/>
                                  <w:color w:val="231F20"/>
                                  <w:sz w:val="14"/>
                                </w:rPr>
                                <w:t>(average</w:t>
                              </w:r>
                              <w:r>
                                <w:rPr>
                                  <w:rFonts w:ascii="Arial"/>
                                  <w:color w:val="231F20"/>
                                  <w:spacing w:val="-10"/>
                                  <w:sz w:val="14"/>
                                </w:rPr>
                                <w:t> </w:t>
                              </w:r>
                              <w:r>
                                <w:rPr>
                                  <w:rFonts w:ascii="Arial"/>
                                  <w:color w:val="231F20"/>
                                  <w:sz w:val="14"/>
                                </w:rPr>
                                <w:t>performance)</w:t>
                                <w:tab/>
                                <w:t>(high</w:t>
                              </w:r>
                              <w:r>
                                <w:rPr>
                                  <w:rFonts w:ascii="Arial"/>
                                  <w:color w:val="231F20"/>
                                  <w:spacing w:val="-10"/>
                                  <w:sz w:val="14"/>
                                </w:rPr>
                                <w:t> </w:t>
                              </w:r>
                              <w:r>
                                <w:rPr>
                                  <w:rFonts w:ascii="Arial"/>
                                  <w:color w:val="231F20"/>
                                  <w:sz w:val="14"/>
                                </w:rPr>
                                <w:t>performance)</w:t>
                                <w:tab/>
                              </w:r>
                              <w:r>
                                <w:rPr>
                                  <w:rFonts w:ascii="Arial"/>
                                  <w:color w:val="231F20"/>
                                  <w:spacing w:val="-2"/>
                                  <w:w w:val="80"/>
                                  <w:sz w:val="14"/>
                                </w:rPr>
                                <w:t>(highest</w:t>
                              </w:r>
                              <w:r>
                                <w:rPr>
                                  <w:rFonts w:ascii="Arial"/>
                                  <w:color w:val="231F20"/>
                                  <w:spacing w:val="-10"/>
                                  <w:sz w:val="14"/>
                                </w:rPr>
                                <w:t> </w:t>
                              </w:r>
                              <w:r>
                                <w:rPr>
                                  <w:rFonts w:ascii="Arial"/>
                                  <w:color w:val="231F20"/>
                                  <w:spacing w:val="-2"/>
                                  <w:w w:val="80"/>
                                  <w:sz w:val="14"/>
                                </w:rPr>
                                <w:t>performance)</w:t>
                              </w:r>
                            </w:p>
                          </w:txbxContent>
                        </wps:txbx>
                        <wps:bodyPr wrap="square" lIns="0" tIns="0" rIns="0" bIns="0" rtlCol="0">
                          <a:noAutofit/>
                        </wps:bodyPr>
                      </wps:wsp>
                      <wps:wsp>
                        <wps:cNvPr id="1523" name="Textbox 1523"/>
                        <wps:cNvSpPr txBox="1"/>
                        <wps:spPr>
                          <a:xfrm>
                            <a:off x="76386" y="2842971"/>
                            <a:ext cx="4687570" cy="264160"/>
                          </a:xfrm>
                          <a:prstGeom prst="rect">
                            <a:avLst/>
                          </a:prstGeom>
                        </wps:spPr>
                        <wps:txbx>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1"/>
                                  <w:w w:val="80"/>
                                  <w:sz w:val="12"/>
                                </w:rPr>
                                <w:t> </w:t>
                              </w:r>
                              <w:r>
                                <w:rPr>
                                  <w:rFonts w:ascii="Arial"/>
                                  <w:color w:val="231F20"/>
                                  <w:w w:val="80"/>
                                  <w:sz w:val="12"/>
                                </w:rPr>
                                <w:t>2023</w:t>
                              </w:r>
                              <w:r>
                                <w:rPr>
                                  <w:rFonts w:ascii="Arial"/>
                                  <w:color w:val="231F20"/>
                                  <w:spacing w:val="-1"/>
                                  <w:w w:val="80"/>
                                  <w:sz w:val="12"/>
                                </w:rPr>
                                <w:t> </w:t>
                              </w:r>
                              <w:r>
                                <w:rPr>
                                  <w:rFonts w:ascii="Arial"/>
                                  <w:color w:val="231F20"/>
                                  <w:w w:val="80"/>
                                  <w:sz w:val="12"/>
                                </w:rPr>
                                <w:t>Logistics</w:t>
                              </w:r>
                              <w:r>
                                <w:rPr>
                                  <w:rFonts w:ascii="Arial"/>
                                  <w:color w:val="231F20"/>
                                  <w:spacing w:val="-1"/>
                                  <w:w w:val="80"/>
                                  <w:sz w:val="12"/>
                                </w:rPr>
                                <w:t> </w:t>
                              </w:r>
                              <w:r>
                                <w:rPr>
                                  <w:rFonts w:ascii="Arial"/>
                                  <w:color w:val="231F20"/>
                                  <w:w w:val="80"/>
                                  <w:sz w:val="12"/>
                                </w:rPr>
                                <w:t>Performance</w:t>
                              </w:r>
                              <w:r>
                                <w:rPr>
                                  <w:rFonts w:ascii="Arial"/>
                                  <w:color w:val="231F20"/>
                                  <w:spacing w:val="-1"/>
                                  <w:w w:val="80"/>
                                  <w:sz w:val="12"/>
                                </w:rPr>
                                <w:t> </w:t>
                              </w:r>
                              <w:r>
                                <w:rPr>
                                  <w:rFonts w:ascii="Arial"/>
                                  <w:color w:val="231F20"/>
                                  <w:spacing w:val="-2"/>
                                  <w:w w:val="80"/>
                                  <w:sz w:val="12"/>
                                </w:rPr>
                                <w:t>Index.</w:t>
                              </w:r>
                            </w:p>
                            <w:p>
                              <w:pPr>
                                <w:spacing w:line="242" w:lineRule="auto" w:before="0"/>
                                <w:ind w:left="0" w:right="0" w:firstLine="0"/>
                                <w:jc w:val="left"/>
                                <w:rPr>
                                  <w:rFonts w:ascii="Arial"/>
                                  <w:sz w:val="12"/>
                                </w:rPr>
                              </w:pPr>
                              <w:r>
                                <w:rPr>
                                  <w:rFonts w:ascii="Arial"/>
                                  <w:i/>
                                  <w:color w:val="231F20"/>
                                  <w:w w:val="80"/>
                                  <w:sz w:val="12"/>
                                </w:rPr>
                                <w:t>Note:</w:t>
                              </w:r>
                              <w:r>
                                <w:rPr>
                                  <w:rFonts w:ascii="Arial"/>
                                  <w:i/>
                                  <w:color w:val="231F20"/>
                                  <w:spacing w:val="-7"/>
                                  <w:w w:val="80"/>
                                  <w:sz w:val="12"/>
                                </w:rPr>
                                <w:t> </w:t>
                              </w:r>
                              <w:r>
                                <w:rPr>
                                  <w:rFonts w:ascii="Arial"/>
                                  <w:color w:val="231F20"/>
                                  <w:w w:val="80"/>
                                  <w:sz w:val="12"/>
                                </w:rPr>
                                <w:t>Refers</w:t>
                              </w:r>
                              <w:r>
                                <w:rPr>
                                  <w:rFonts w:ascii="Arial"/>
                                  <w:color w:val="231F20"/>
                                  <w:spacing w:val="-2"/>
                                  <w:w w:val="80"/>
                                  <w:sz w:val="12"/>
                                </w:rPr>
                                <w:t> </w:t>
                              </w:r>
                              <w:r>
                                <w:rPr>
                                  <w:rFonts w:ascii="Arial"/>
                                  <w:color w:val="231F20"/>
                                  <w:w w:val="80"/>
                                  <w:sz w:val="12"/>
                                </w:rPr>
                                <w:t>to</w:t>
                              </w:r>
                              <w:r>
                                <w:rPr>
                                  <w:rFonts w:ascii="Arial"/>
                                  <w:color w:val="231F20"/>
                                  <w:spacing w:val="-2"/>
                                  <w:w w:val="80"/>
                                  <w:sz w:val="12"/>
                                </w:rPr>
                                <w:t> </w:t>
                              </w:r>
                              <w:r>
                                <w:rPr>
                                  <w:rFonts w:ascii="Arial"/>
                                  <w:color w:val="231F20"/>
                                  <w:w w:val="80"/>
                                  <w:sz w:val="12"/>
                                </w:rPr>
                                <w:t>the</w:t>
                              </w:r>
                              <w:r>
                                <w:rPr>
                                  <w:rFonts w:ascii="Arial"/>
                                  <w:color w:val="231F20"/>
                                  <w:spacing w:val="-2"/>
                                  <w:w w:val="80"/>
                                  <w:sz w:val="12"/>
                                </w:rPr>
                                <w:t> </w:t>
                              </w:r>
                              <w:r>
                                <w:rPr>
                                  <w:rFonts w:ascii="Arial"/>
                                  <w:color w:val="231F20"/>
                                  <w:w w:val="80"/>
                                  <w:sz w:val="12"/>
                                </w:rPr>
                                <w:t>percentage</w:t>
                              </w:r>
                              <w:r>
                                <w:rPr>
                                  <w:rFonts w:ascii="Arial"/>
                                  <w:color w:val="231F20"/>
                                  <w:spacing w:val="-2"/>
                                  <w:w w:val="80"/>
                                  <w:sz w:val="12"/>
                                </w:rPr>
                                <w:t> </w:t>
                              </w:r>
                              <w:r>
                                <w:rPr>
                                  <w:rFonts w:ascii="Arial"/>
                                  <w:color w:val="231F20"/>
                                  <w:w w:val="80"/>
                                  <w:sz w:val="12"/>
                                </w:rPr>
                                <w:t>of</w:t>
                              </w:r>
                              <w:r>
                                <w:rPr>
                                  <w:rFonts w:ascii="Arial"/>
                                  <w:color w:val="231F20"/>
                                  <w:spacing w:val="-2"/>
                                  <w:w w:val="80"/>
                                  <w:sz w:val="12"/>
                                </w:rPr>
                                <w:t> </w:t>
                              </w:r>
                              <w:r>
                                <w:rPr>
                                  <w:rFonts w:ascii="Arial"/>
                                  <w:color w:val="231F20"/>
                                  <w:w w:val="80"/>
                                  <w:sz w:val="12"/>
                                </w:rPr>
                                <w:t>countries</w:t>
                              </w:r>
                              <w:r>
                                <w:rPr>
                                  <w:rFonts w:ascii="Arial"/>
                                  <w:color w:val="231F20"/>
                                  <w:spacing w:val="-2"/>
                                  <w:w w:val="80"/>
                                  <w:sz w:val="12"/>
                                </w:rPr>
                                <w:t> </w:t>
                              </w:r>
                              <w:r>
                                <w:rPr>
                                  <w:rFonts w:ascii="Arial"/>
                                  <w:color w:val="231F20"/>
                                  <w:w w:val="80"/>
                                  <w:sz w:val="12"/>
                                </w:rPr>
                                <w:t>in</w:t>
                              </w:r>
                              <w:r>
                                <w:rPr>
                                  <w:rFonts w:ascii="Arial"/>
                                  <w:color w:val="231F20"/>
                                  <w:spacing w:val="-1"/>
                                  <w:w w:val="80"/>
                                  <w:sz w:val="12"/>
                                </w:rPr>
                                <w:t> </w:t>
                              </w:r>
                              <w:r>
                                <w:rPr>
                                  <w:rFonts w:ascii="Arial"/>
                                  <w:color w:val="231F20"/>
                                  <w:w w:val="80"/>
                                  <w:sz w:val="12"/>
                                </w:rPr>
                                <w:t>each</w:t>
                              </w:r>
                              <w:r>
                                <w:rPr>
                                  <w:rFonts w:ascii="Arial"/>
                                  <w:color w:val="231F20"/>
                                  <w:spacing w:val="-2"/>
                                  <w:w w:val="80"/>
                                  <w:sz w:val="12"/>
                                </w:rPr>
                                <w:t> </w:t>
                              </w:r>
                              <w:r>
                                <w:rPr>
                                  <w:rFonts w:ascii="Arial"/>
                                  <w:color w:val="231F20"/>
                                  <w:w w:val="80"/>
                                  <w:sz w:val="12"/>
                                </w:rPr>
                                <w:t>quintile</w:t>
                              </w:r>
                              <w:r>
                                <w:rPr>
                                  <w:rFonts w:ascii="Arial"/>
                                  <w:color w:val="231F20"/>
                                  <w:spacing w:val="-2"/>
                                  <w:w w:val="80"/>
                                  <w:sz w:val="12"/>
                                </w:rPr>
                                <w:t> </w:t>
                              </w:r>
                              <w:r>
                                <w:rPr>
                                  <w:rFonts w:ascii="Arial"/>
                                  <w:color w:val="231F20"/>
                                  <w:w w:val="80"/>
                                  <w:sz w:val="12"/>
                                </w:rPr>
                                <w:t>reporting</w:t>
                              </w:r>
                              <w:r>
                                <w:rPr>
                                  <w:rFonts w:ascii="Arial"/>
                                  <w:color w:val="231F20"/>
                                  <w:spacing w:val="-2"/>
                                  <w:w w:val="80"/>
                                  <w:sz w:val="12"/>
                                </w:rPr>
                                <w:t> </w:t>
                              </w:r>
                              <w:r>
                                <w:rPr>
                                  <w:rFonts w:ascii="Arial"/>
                                  <w:color w:val="231F20"/>
                                  <w:w w:val="80"/>
                                  <w:sz w:val="12"/>
                                </w:rPr>
                                <w:t>the</w:t>
                              </w:r>
                              <w:r>
                                <w:rPr>
                                  <w:rFonts w:ascii="Arial"/>
                                  <w:color w:val="231F20"/>
                                  <w:spacing w:val="-2"/>
                                  <w:w w:val="80"/>
                                  <w:sz w:val="12"/>
                                </w:rPr>
                                <w:t> </w:t>
                              </w:r>
                              <w:r>
                                <w:rPr>
                                  <w:rFonts w:ascii="Arial"/>
                                  <w:color w:val="231F20"/>
                                  <w:w w:val="80"/>
                                  <w:sz w:val="12"/>
                                </w:rPr>
                                <w:t>listed</w:t>
                              </w:r>
                              <w:r>
                                <w:rPr>
                                  <w:rFonts w:ascii="Arial"/>
                                  <w:color w:val="231F20"/>
                                  <w:spacing w:val="-2"/>
                                  <w:w w:val="80"/>
                                  <w:sz w:val="12"/>
                                </w:rPr>
                                <w:t> </w:t>
                              </w:r>
                              <w:r>
                                <w:rPr>
                                  <w:rFonts w:ascii="Arial"/>
                                  <w:color w:val="231F20"/>
                                  <w:w w:val="80"/>
                                  <w:sz w:val="12"/>
                                </w:rPr>
                                <w:t>average</w:t>
                              </w:r>
                              <w:r>
                                <w:rPr>
                                  <w:rFonts w:ascii="Arial"/>
                                  <w:color w:val="231F20"/>
                                  <w:spacing w:val="-2"/>
                                  <w:w w:val="80"/>
                                  <w:sz w:val="12"/>
                                </w:rPr>
                                <w:t> </w:t>
                              </w:r>
                              <w:r>
                                <w:rPr>
                                  <w:rFonts w:ascii="Arial"/>
                                  <w:color w:val="231F20"/>
                                  <w:w w:val="80"/>
                                  <w:sz w:val="12"/>
                                </w:rPr>
                                <w:t>responses,</w:t>
                              </w:r>
                              <w:r>
                                <w:rPr>
                                  <w:rFonts w:ascii="Arial"/>
                                  <w:color w:val="231F20"/>
                                  <w:spacing w:val="-3"/>
                                  <w:w w:val="80"/>
                                  <w:sz w:val="12"/>
                                </w:rPr>
                                <w:t> </w:t>
                              </w:r>
                              <w:r>
                                <w:rPr>
                                  <w:rFonts w:ascii="Arial"/>
                                  <w:color w:val="231F20"/>
                                  <w:w w:val="80"/>
                                  <w:sz w:val="12"/>
                                </w:rPr>
                                <w:t>based</w:t>
                              </w:r>
                              <w:r>
                                <w:rPr>
                                  <w:rFonts w:ascii="Arial"/>
                                  <w:color w:val="231F20"/>
                                  <w:spacing w:val="-1"/>
                                  <w:w w:val="80"/>
                                  <w:sz w:val="12"/>
                                </w:rPr>
                                <w:t> </w:t>
                              </w:r>
                              <w:r>
                                <w:rPr>
                                  <w:rFonts w:ascii="Arial"/>
                                  <w:color w:val="231F20"/>
                                  <w:w w:val="80"/>
                                  <w:sz w:val="12"/>
                                </w:rPr>
                                <w:t>on</w:t>
                              </w:r>
                              <w:r>
                                <w:rPr>
                                  <w:rFonts w:ascii="Arial"/>
                                  <w:color w:val="231F20"/>
                                  <w:spacing w:val="-2"/>
                                  <w:w w:val="80"/>
                                  <w:sz w:val="12"/>
                                </w:rPr>
                                <w:t> </w:t>
                              </w:r>
                              <w:r>
                                <w:rPr>
                                  <w:rFonts w:ascii="Arial"/>
                                  <w:color w:val="231F20"/>
                                  <w:w w:val="80"/>
                                  <w:sz w:val="12"/>
                                </w:rPr>
                                <w:t>how</w:t>
                              </w:r>
                              <w:r>
                                <w:rPr>
                                  <w:rFonts w:ascii="Arial"/>
                                  <w:color w:val="231F20"/>
                                  <w:spacing w:val="-2"/>
                                  <w:w w:val="80"/>
                                  <w:sz w:val="12"/>
                                </w:rPr>
                                <w:t> </w:t>
                              </w:r>
                              <w:r>
                                <w:rPr>
                                  <w:rFonts w:ascii="Arial"/>
                                  <w:color w:val="231F20"/>
                                  <w:w w:val="80"/>
                                  <w:sz w:val="12"/>
                                </w:rPr>
                                <w:t>often</w:t>
                              </w:r>
                              <w:r>
                                <w:rPr>
                                  <w:rFonts w:ascii="Arial"/>
                                  <w:color w:val="231F20"/>
                                  <w:spacing w:val="-2"/>
                                  <w:w w:val="80"/>
                                  <w:sz w:val="12"/>
                                </w:rPr>
                                <w:t> </w:t>
                              </w:r>
                              <w:r>
                                <w:rPr>
                                  <w:rFonts w:ascii="Arial"/>
                                  <w:color w:val="231F20"/>
                                  <w:w w:val="80"/>
                                  <w:sz w:val="12"/>
                                </w:rPr>
                                <w:t>shippers</w:t>
                              </w:r>
                              <w:r>
                                <w:rPr>
                                  <w:rFonts w:ascii="Arial"/>
                                  <w:color w:val="231F20"/>
                                  <w:spacing w:val="-2"/>
                                  <w:w w:val="80"/>
                                  <w:sz w:val="12"/>
                                </w:rPr>
                                <w:t> </w:t>
                              </w:r>
                              <w:r>
                                <w:rPr>
                                  <w:rFonts w:ascii="Arial"/>
                                  <w:color w:val="231F20"/>
                                  <w:w w:val="80"/>
                                  <w:sz w:val="12"/>
                                </w:rPr>
                                <w:t>ask</w:t>
                              </w:r>
                              <w:r>
                                <w:rPr>
                                  <w:rFonts w:ascii="Arial"/>
                                  <w:color w:val="231F20"/>
                                  <w:spacing w:val="-2"/>
                                  <w:w w:val="80"/>
                                  <w:sz w:val="12"/>
                                </w:rPr>
                                <w:t> </w:t>
                              </w:r>
                              <w:r>
                                <w:rPr>
                                  <w:rFonts w:ascii="Arial"/>
                                  <w:color w:val="231F20"/>
                                  <w:w w:val="80"/>
                                  <w:sz w:val="12"/>
                                </w:rPr>
                                <w:t>for</w:t>
                              </w:r>
                              <w:r>
                                <w:rPr>
                                  <w:rFonts w:ascii="Arial"/>
                                  <w:color w:val="231F20"/>
                                  <w:spacing w:val="-2"/>
                                  <w:w w:val="80"/>
                                  <w:sz w:val="12"/>
                                </w:rPr>
                                <w:t> </w:t>
                              </w:r>
                              <w:r>
                                <w:rPr>
                                  <w:rFonts w:ascii="Arial"/>
                                  <w:color w:val="231F20"/>
                                  <w:w w:val="80"/>
                                  <w:sz w:val="12"/>
                                </w:rPr>
                                <w:t>environmentally</w:t>
                              </w:r>
                              <w:r>
                                <w:rPr>
                                  <w:rFonts w:ascii="Arial"/>
                                  <w:color w:val="231F20"/>
                                  <w:spacing w:val="-2"/>
                                  <w:w w:val="80"/>
                                  <w:sz w:val="12"/>
                                </w:rPr>
                                <w:t> </w:t>
                              </w:r>
                              <w:r>
                                <w:rPr>
                                  <w:rFonts w:ascii="Arial"/>
                                  <w:color w:val="231F20"/>
                                  <w:w w:val="80"/>
                                  <w:sz w:val="12"/>
                                </w:rPr>
                                <w:t>friendly</w:t>
                              </w:r>
                              <w:r>
                                <w:rPr>
                                  <w:rFonts w:ascii="Arial"/>
                                  <w:color w:val="231F20"/>
                                  <w:spacing w:val="-2"/>
                                  <w:w w:val="80"/>
                                  <w:sz w:val="12"/>
                                </w:rPr>
                                <w:t> </w:t>
                              </w:r>
                              <w:r>
                                <w:rPr>
                                  <w:rFonts w:ascii="Arial"/>
                                  <w:color w:val="231F20"/>
                                  <w:w w:val="80"/>
                                  <w:sz w:val="12"/>
                                </w:rPr>
                                <w:t>options</w:t>
                              </w:r>
                              <w:r>
                                <w:rPr>
                                  <w:rFonts w:ascii="Arial"/>
                                  <w:color w:val="231F20"/>
                                  <w:spacing w:val="-1"/>
                                  <w:w w:val="80"/>
                                  <w:sz w:val="12"/>
                                </w:rPr>
                                <w:t> </w:t>
                              </w:r>
                              <w:r>
                                <w:rPr>
                                  <w:rFonts w:ascii="Arial"/>
                                  <w:color w:val="231F20"/>
                                  <w:w w:val="80"/>
                                  <w:sz w:val="12"/>
                                </w:rPr>
                                <w:t>when</w:t>
                              </w:r>
                              <w:r>
                                <w:rPr>
                                  <w:rFonts w:ascii="Arial"/>
                                  <w:color w:val="231F20"/>
                                  <w:spacing w:val="40"/>
                                  <w:sz w:val="12"/>
                                </w:rPr>
                                <w:t> </w:t>
                              </w:r>
                              <w:r>
                                <w:rPr>
                                  <w:rFonts w:ascii="Arial"/>
                                  <w:color w:val="231F20"/>
                                  <w:w w:val="90"/>
                                  <w:sz w:val="12"/>
                                </w:rPr>
                                <w:t>shipping</w:t>
                              </w:r>
                              <w:r>
                                <w:rPr>
                                  <w:rFonts w:ascii="Arial"/>
                                  <w:color w:val="231F20"/>
                                  <w:spacing w:val="-8"/>
                                  <w:w w:val="90"/>
                                  <w:sz w:val="12"/>
                                </w:rPr>
                                <w:t> </w:t>
                              </w:r>
                              <w:r>
                                <w:rPr>
                                  <w:rFonts w:ascii="Arial"/>
                                  <w:color w:val="231F20"/>
                                  <w:w w:val="90"/>
                                  <w:sz w:val="12"/>
                                </w:rPr>
                                <w:t>to</w:t>
                              </w:r>
                              <w:r>
                                <w:rPr>
                                  <w:rFonts w:ascii="Arial"/>
                                  <w:color w:val="231F20"/>
                                  <w:spacing w:val="-5"/>
                                  <w:w w:val="90"/>
                                  <w:sz w:val="12"/>
                                </w:rPr>
                                <w:t> </w:t>
                              </w:r>
                              <w:r>
                                <w:rPr>
                                  <w:rFonts w:ascii="Arial"/>
                                  <w:color w:val="231F20"/>
                                  <w:w w:val="90"/>
                                  <w:sz w:val="12"/>
                                </w:rPr>
                                <w:t>destination</w:t>
                              </w:r>
                              <w:r>
                                <w:rPr>
                                  <w:rFonts w:ascii="Arial"/>
                                  <w:color w:val="231F20"/>
                                  <w:spacing w:val="-5"/>
                                  <w:w w:val="90"/>
                                  <w:sz w:val="12"/>
                                </w:rPr>
                                <w:t> </w:t>
                              </w:r>
                              <w:r>
                                <w:rPr>
                                  <w:rFonts w:ascii="Arial"/>
                                  <w:color w:val="231F20"/>
                                  <w:w w:val="90"/>
                                  <w:sz w:val="12"/>
                                </w:rPr>
                                <w:t>countries</w:t>
                              </w:r>
                              <w:r>
                                <w:rPr>
                                  <w:rFonts w:ascii="Arial"/>
                                  <w:color w:val="231F20"/>
                                  <w:spacing w:val="-6"/>
                                  <w:w w:val="90"/>
                                  <w:sz w:val="12"/>
                                </w:rPr>
                                <w:t> </w:t>
                              </w:r>
                              <w:r>
                                <w:rPr>
                                  <w:rFonts w:ascii="Arial"/>
                                  <w:color w:val="231F20"/>
                                  <w:w w:val="90"/>
                                  <w:sz w:val="12"/>
                                </w:rPr>
                                <w:t>in</w:t>
                              </w:r>
                              <w:r>
                                <w:rPr>
                                  <w:rFonts w:ascii="Arial"/>
                                  <w:color w:val="231F20"/>
                                  <w:spacing w:val="-5"/>
                                  <w:w w:val="90"/>
                                  <w:sz w:val="12"/>
                                </w:rPr>
                                <w:t> </w:t>
                              </w:r>
                              <w:r>
                                <w:rPr>
                                  <w:rFonts w:ascii="Arial"/>
                                  <w:color w:val="231F20"/>
                                  <w:w w:val="90"/>
                                  <w:sz w:val="12"/>
                                </w:rPr>
                                <w:t>each</w:t>
                              </w:r>
                              <w:r>
                                <w:rPr>
                                  <w:rFonts w:ascii="Arial"/>
                                  <w:color w:val="231F20"/>
                                  <w:spacing w:val="-5"/>
                                  <w:w w:val="90"/>
                                  <w:sz w:val="12"/>
                                </w:rPr>
                                <w:t> </w:t>
                              </w:r>
                              <w:r>
                                <w:rPr>
                                  <w:rFonts w:ascii="Arial"/>
                                  <w:color w:val="231F20"/>
                                  <w:w w:val="90"/>
                                  <w:sz w:val="12"/>
                                </w:rPr>
                                <w:t>group.</w:t>
                              </w:r>
                            </w:p>
                          </w:txbxContent>
                        </wps:txbx>
                        <wps:bodyPr wrap="square" lIns="0" tIns="0" rIns="0" bIns="0" rtlCol="0">
                          <a:noAutofit/>
                        </wps:bodyPr>
                      </wps:wsp>
                    </wpg:wgp>
                  </a:graphicData>
                </a:graphic>
              </wp:inline>
            </w:drawing>
          </mc:Choice>
          <mc:Fallback>
            <w:pict>
              <v:group style="width:384.05pt;height:253.4pt;mso-position-horizontal-relative:char;mso-position-vertical-relative:line" id="docshapegroup1264" coordorigin="0,0" coordsize="7681,5068">
                <v:shape style="position:absolute;left:0;top:606;width:7680;height:4461" id="docshape1265" coordorigin="0,606" coordsize="7680,4461" path="m7680,606l0,606,0,4949,10,4995,36,5033,74,5058,119,5067,7556,5067,7602,5059,7642,5035,7670,4998,7680,4949,7680,606xe" filled="true" fillcolor="#dfeaf7" stroked="false">
                  <v:path arrowok="t"/>
                  <v:fill type="solid"/>
                </v:shape>
                <v:shape style="position:absolute;left:0;top:0;width:807;height:565" id="docshape1266" coordorigin="0,0" coordsize="807,565" path="m807,0l120,0,74,5,36,23,10,59,0,120,0,565,807,565,807,0xe" filled="true" fillcolor="#008fdd" stroked="false">
                  <v:path arrowok="t"/>
                  <v:fill type="solid"/>
                </v:shape>
                <v:shape style="position:absolute;left:806;top:0;width:6873;height:565" id="docshape1267" coordorigin="807,0" coordsize="6873,565" path="m7559,0l807,0,807,565,7679,565,7679,120,7671,80,7646,41,7608,12,7559,0xe" filled="true" fillcolor="#808285" stroked="false">
                  <v:path arrowok="t"/>
                  <v:fill type="solid"/>
                </v:shape>
                <v:line style="position:absolute" from="807,0" to="807,579" stroked="true" strokeweight="2pt" strokecolor="#ffffff">
                  <v:stroke dashstyle="solid"/>
                </v:line>
                <v:shape style="position:absolute;left:432;top:3915;width:7021;height:2" id="docshape1268" coordorigin="432,3915" coordsize="7021,0" path="m432,3915l7453,3915m432,3915l7453,3915e" filled="false" stroked="true" strokeweight=".5pt" strokecolor="#ffffff">
                  <v:path arrowok="t"/>
                  <v:stroke dashstyle="solid"/>
                </v:shape>
                <v:shape style="position:absolute;left:432;top:1653;width:7021;height:1697" id="docshape1269" coordorigin="432,1653" coordsize="7021,1697" path="m432,3350l818,3350m1450,3350l2222,3350m2854,3350l3627,3350m4258,3350l5031,3350m5662,3350l6435,3350m7067,3350l7453,3350m432,2784l818,2784m1450,2784l2222,2784m2854,2784l3627,2784m4258,2784l5031,2784m5662,2784l6435,2784m7067,2784l7453,2784m432,2219l818,2219m1450,2219l2222,2219m2854,2219l3627,2219m4258,2219l5031,2219m5662,2219l6435,2219m7067,2219l7453,2219m432,1653l818,1653m1450,1653l2222,1653m2854,1653l3627,1653m4258,1653l5031,1653m5662,1653l6435,1653m7067,1653l7453,1653e" filled="false" stroked="true" strokeweight=".5pt" strokecolor="#ffffff">
                  <v:path arrowok="t"/>
                  <v:stroke dashstyle="solid"/>
                </v:shape>
                <v:line style="position:absolute" from="432,1088" to="7453,1088" stroked="true" strokeweight=".5pt" strokecolor="#ffffff">
                  <v:stroke dashstyle="solid"/>
                </v:line>
                <v:shape style="position:absolute;left:818;top:1087;width:6249;height:2693" id="docshape1270" coordorigin="818,1088" coordsize="6249,2693" path="m1450,1088l818,1088,818,3781,1450,3781,1450,1088xm2854,1088l2222,1088,2222,3442,2854,3442,2854,1088xm4258,1088l3627,1088,3627,2904,4258,2904,4258,1088xm5662,1088l5031,1088,5031,1540,5662,1540,5662,1088xm7067,1088l6435,1088,6435,1766,7067,1766,7067,1088xe" filled="true" fillcolor="#939598" stroked="false">
                  <v:path arrowok="t"/>
                  <v:fill type="solid"/>
                </v:shape>
                <v:shape style="position:absolute;left:818;top:1540;width:6249;height:2319" id="docshape1271" coordorigin="818,1540" coordsize="6249,2319" path="m1450,3781l818,3781,818,3859,1450,3859,1450,3781xm2854,3442l2222,3442,2222,3767,2854,3767,2854,3442xm4258,2904l3627,2904,3627,3406,4258,3406,4258,2904xm5662,1540l5031,1540,5031,1766,5662,1766,5662,1540xm7067,1766l6435,1766,6435,1993,7067,1993,7067,1766xe" filled="true" fillcolor="#76aee5" stroked="false">
                  <v:path arrowok="t"/>
                  <v:fill type="solid"/>
                </v:shape>
                <v:shape style="position:absolute;left:818;top:808;width:6249;height:3107" id="docshape1272" coordorigin="818,808" coordsize="6249,3107" path="m1450,3859l818,3859,818,3915,1450,3915,1450,3859xm2854,3767l2222,3767,2222,3915,2854,3915,2854,3767xm4258,3406l3627,3406,3627,3915,4258,3915,4258,3406xm4276,808l4196,808,4196,888,4276,888,4276,808xm5662,1766l5031,1766,5031,3915,5662,3915,5662,1766xm7067,1993l6435,1993,6435,3915,7067,3915,7067,1993xe" filled="true" fillcolor="#008fdd" stroked="false">
                  <v:path arrowok="t"/>
                  <v:fill type="solid"/>
                </v:shape>
                <v:rect style="position:absolute;left:6331;top:808;width:80;height:80" id="docshape1273" filled="true" fillcolor="#939598" stroked="false">
                  <v:fill type="solid"/>
                </v:rect>
                <v:rect style="position:absolute;left:5536;top:808;width:80;height:80" id="docshape1274" filled="true" fillcolor="#76aee5" stroked="false">
                  <v:fill type="solid"/>
                </v:rect>
                <v:line style="position:absolute" from="431,3915" to="7385,3915" stroked="true" strokeweight=".5pt" strokecolor="#ffffff">
                  <v:stroke dashstyle="solid"/>
                </v:line>
                <v:shape style="position:absolute;left:120;top:105;width:6368;height:392" type="#_x0000_t202" id="docshape1275" filled="false" stroked="false">
                  <v:textbox inset="0,0,0,0">
                    <w:txbxContent>
                      <w:p>
                        <w:pPr>
                          <w:spacing w:line="261" w:lineRule="auto" w:before="0"/>
                          <w:ind w:left="800" w:right="0" w:hanging="800"/>
                          <w:jc w:val="left"/>
                          <w:rPr>
                            <w:rFonts w:ascii="Arial"/>
                            <w:b/>
                            <w:sz w:val="16"/>
                          </w:rPr>
                        </w:pPr>
                        <w:r>
                          <w:rPr>
                            <w:rFonts w:ascii="Arial"/>
                            <w:color w:val="FFFFFF"/>
                            <w:w w:val="105"/>
                            <w:sz w:val="16"/>
                          </w:rPr>
                          <w:t>Figure</w:t>
                        </w:r>
                        <w:r>
                          <w:rPr>
                            <w:rFonts w:ascii="Arial"/>
                            <w:color w:val="FFFFFF"/>
                            <w:spacing w:val="-12"/>
                            <w:w w:val="105"/>
                            <w:sz w:val="16"/>
                          </w:rPr>
                          <w:t> </w:t>
                        </w:r>
                        <w:r>
                          <w:rPr>
                            <w:rFonts w:ascii="Arial"/>
                            <w:b/>
                            <w:color w:val="FFFFFF"/>
                            <w:w w:val="105"/>
                            <w:sz w:val="16"/>
                          </w:rPr>
                          <w:t>4.1</w:t>
                        </w:r>
                        <w:r>
                          <w:rPr>
                            <w:rFonts w:ascii="Arial"/>
                            <w:b/>
                            <w:color w:val="FFFFFF"/>
                            <w:spacing w:val="49"/>
                            <w:w w:val="105"/>
                            <w:sz w:val="16"/>
                          </w:rPr>
                          <w:t> </w:t>
                        </w:r>
                        <w:r>
                          <w:rPr>
                            <w:rFonts w:ascii="Arial"/>
                            <w:b/>
                            <w:color w:val="FFFFFF"/>
                            <w:w w:val="105"/>
                            <w:sz w:val="16"/>
                          </w:rPr>
                          <w:t>Demand</w:t>
                        </w:r>
                        <w:r>
                          <w:rPr>
                            <w:rFonts w:ascii="Arial"/>
                            <w:b/>
                            <w:color w:val="FFFFFF"/>
                            <w:spacing w:val="-12"/>
                            <w:w w:val="105"/>
                            <w:sz w:val="16"/>
                          </w:rPr>
                          <w:t> </w:t>
                        </w:r>
                        <w:r>
                          <w:rPr>
                            <w:rFonts w:ascii="Arial"/>
                            <w:b/>
                            <w:color w:val="FFFFFF"/>
                            <w:w w:val="105"/>
                            <w:sz w:val="16"/>
                          </w:rPr>
                          <w:t>for</w:t>
                        </w:r>
                        <w:r>
                          <w:rPr>
                            <w:rFonts w:ascii="Arial"/>
                            <w:b/>
                            <w:color w:val="FFFFFF"/>
                            <w:spacing w:val="-12"/>
                            <w:w w:val="105"/>
                            <w:sz w:val="16"/>
                          </w:rPr>
                          <w:t> </w:t>
                        </w:r>
                        <w:r>
                          <w:rPr>
                            <w:rFonts w:ascii="Arial"/>
                            <w:b/>
                            <w:color w:val="FFFFFF"/>
                            <w:w w:val="105"/>
                            <w:sz w:val="16"/>
                          </w:rPr>
                          <w:t>environmentally</w:t>
                        </w:r>
                        <w:r>
                          <w:rPr>
                            <w:rFonts w:ascii="Arial"/>
                            <w:b/>
                            <w:color w:val="FFFFFF"/>
                            <w:spacing w:val="-11"/>
                            <w:w w:val="105"/>
                            <w:sz w:val="16"/>
                          </w:rPr>
                          <w:t> </w:t>
                        </w:r>
                        <w:r>
                          <w:rPr>
                            <w:rFonts w:ascii="Arial"/>
                            <w:b/>
                            <w:color w:val="FFFFFF"/>
                            <w:w w:val="105"/>
                            <w:sz w:val="16"/>
                          </w:rPr>
                          <w:t>friendly</w:t>
                        </w:r>
                        <w:r>
                          <w:rPr>
                            <w:rFonts w:ascii="Arial"/>
                            <w:b/>
                            <w:color w:val="FFFFFF"/>
                            <w:spacing w:val="-12"/>
                            <w:w w:val="105"/>
                            <w:sz w:val="16"/>
                          </w:rPr>
                          <w:t> </w:t>
                        </w:r>
                        <w:r>
                          <w:rPr>
                            <w:rFonts w:ascii="Arial"/>
                            <w:b/>
                            <w:color w:val="FFFFFF"/>
                            <w:w w:val="105"/>
                            <w:sz w:val="16"/>
                          </w:rPr>
                          <w:t>shipping</w:t>
                        </w:r>
                        <w:r>
                          <w:rPr>
                            <w:rFonts w:ascii="Arial"/>
                            <w:b/>
                            <w:color w:val="FFFFFF"/>
                            <w:spacing w:val="-12"/>
                            <w:w w:val="105"/>
                            <w:sz w:val="16"/>
                          </w:rPr>
                          <w:t> </w:t>
                        </w:r>
                        <w:r>
                          <w:rPr>
                            <w:rFonts w:ascii="Arial"/>
                            <w:b/>
                            <w:color w:val="FFFFFF"/>
                            <w:w w:val="105"/>
                            <w:sz w:val="16"/>
                          </w:rPr>
                          <w:t>options,</w:t>
                        </w:r>
                        <w:r>
                          <w:rPr>
                            <w:rFonts w:ascii="Arial"/>
                            <w:b/>
                            <w:color w:val="FFFFFF"/>
                            <w:spacing w:val="-12"/>
                            <w:w w:val="105"/>
                            <w:sz w:val="16"/>
                          </w:rPr>
                          <w:t> </w:t>
                        </w:r>
                        <w:r>
                          <w:rPr>
                            <w:rFonts w:ascii="Arial"/>
                            <w:b/>
                            <w:color w:val="FFFFFF"/>
                            <w:w w:val="105"/>
                            <w:sz w:val="16"/>
                          </w:rPr>
                          <w:t>by</w:t>
                        </w:r>
                        <w:r>
                          <w:rPr>
                            <w:rFonts w:ascii="Arial"/>
                            <w:b/>
                            <w:color w:val="FFFFFF"/>
                            <w:spacing w:val="-11"/>
                            <w:w w:val="105"/>
                            <w:sz w:val="16"/>
                          </w:rPr>
                          <w:t> </w:t>
                        </w:r>
                        <w:r>
                          <w:rPr>
                            <w:rFonts w:ascii="Arial"/>
                            <w:b/>
                            <w:color w:val="FFFFFF"/>
                            <w:w w:val="105"/>
                            <w:sz w:val="16"/>
                          </w:rPr>
                          <w:t>destination LPI score quintile</w:t>
                        </w:r>
                      </w:p>
                    </w:txbxContent>
                  </v:textbox>
                  <w10:wrap type="none"/>
                </v:shape>
                <v:shape style="position:absolute;left:120;top:766;width:399;height:406" type="#_x0000_t202" id="docshape1276" filled="false" stroked="false">
                  <v:textbox inset="0,0,0,0">
                    <w:txbxContent>
                      <w:p>
                        <w:pPr>
                          <w:spacing w:line="159" w:lineRule="exact" w:before="0"/>
                          <w:ind w:left="0" w:right="0" w:firstLine="0"/>
                          <w:jc w:val="left"/>
                          <w:rPr>
                            <w:rFonts w:ascii="Arial"/>
                            <w:sz w:val="14"/>
                          </w:rPr>
                        </w:pPr>
                        <w:r>
                          <w:rPr>
                            <w:rFonts w:ascii="Arial"/>
                            <w:color w:val="231F20"/>
                            <w:spacing w:val="-5"/>
                            <w:w w:val="85"/>
                            <w:sz w:val="14"/>
                          </w:rPr>
                          <w:t>Percent</w:t>
                        </w:r>
                      </w:p>
                      <w:p>
                        <w:pPr>
                          <w:spacing w:line="160" w:lineRule="exact" w:before="86"/>
                          <w:ind w:left="0" w:right="0" w:firstLine="0"/>
                          <w:jc w:val="left"/>
                          <w:rPr>
                            <w:rFonts w:ascii="Arial"/>
                            <w:sz w:val="14"/>
                          </w:rPr>
                        </w:pPr>
                        <w:r>
                          <w:rPr>
                            <w:rFonts w:ascii="Arial"/>
                            <w:color w:val="231F20"/>
                            <w:spacing w:val="-5"/>
                            <w:sz w:val="14"/>
                          </w:rPr>
                          <w:t>100</w:t>
                        </w:r>
                      </w:p>
                    </w:txbxContent>
                  </v:textbox>
                  <w10:wrap type="none"/>
                </v:shape>
                <v:shape style="position:absolute;left:4318;top:766;width:3151;height:159" type="#_x0000_t202" id="docshape1277" filled="false" stroked="false">
                  <v:textbox inset="0,0,0,0">
                    <w:txbxContent>
                      <w:p>
                        <w:pPr>
                          <w:tabs>
                            <w:tab w:pos="1340" w:val="left" w:leader="none"/>
                            <w:tab w:pos="2135" w:val="left" w:leader="none"/>
                          </w:tabs>
                          <w:spacing w:line="158" w:lineRule="exact" w:before="0"/>
                          <w:ind w:left="0" w:right="0" w:firstLine="0"/>
                          <w:jc w:val="left"/>
                          <w:rPr>
                            <w:rFonts w:ascii="Arial"/>
                            <w:sz w:val="14"/>
                          </w:rPr>
                        </w:pPr>
                        <w:r>
                          <w:rPr>
                            <w:rFonts w:ascii="Arial"/>
                            <w:color w:val="231F20"/>
                            <w:w w:val="75"/>
                            <w:sz w:val="14"/>
                          </w:rPr>
                          <w:t>Often</w:t>
                        </w:r>
                        <w:r>
                          <w:rPr>
                            <w:rFonts w:ascii="Arial"/>
                            <w:color w:val="231F20"/>
                            <w:spacing w:val="2"/>
                            <w:sz w:val="14"/>
                          </w:rPr>
                          <w:t> </w:t>
                        </w:r>
                        <w:r>
                          <w:rPr>
                            <w:rFonts w:ascii="Arial"/>
                            <w:color w:val="231F20"/>
                            <w:w w:val="75"/>
                            <w:sz w:val="14"/>
                          </w:rPr>
                          <w:t>or</w:t>
                        </w:r>
                        <w:r>
                          <w:rPr>
                            <w:rFonts w:ascii="Arial"/>
                            <w:color w:val="231F20"/>
                            <w:spacing w:val="3"/>
                            <w:sz w:val="14"/>
                          </w:rPr>
                          <w:t> </w:t>
                        </w:r>
                        <w:r>
                          <w:rPr>
                            <w:rFonts w:ascii="Arial"/>
                            <w:color w:val="231F20"/>
                            <w:w w:val="75"/>
                            <w:sz w:val="14"/>
                          </w:rPr>
                          <w:t>nearly</w:t>
                        </w:r>
                        <w:r>
                          <w:rPr>
                            <w:rFonts w:ascii="Arial"/>
                            <w:color w:val="231F20"/>
                            <w:spacing w:val="3"/>
                            <w:sz w:val="14"/>
                          </w:rPr>
                          <w:t> </w:t>
                        </w:r>
                        <w:r>
                          <w:rPr>
                            <w:rFonts w:ascii="Arial"/>
                            <w:color w:val="231F20"/>
                            <w:spacing w:val="-2"/>
                            <w:w w:val="75"/>
                            <w:sz w:val="14"/>
                          </w:rPr>
                          <w:t>always</w:t>
                        </w:r>
                        <w:r>
                          <w:rPr>
                            <w:rFonts w:ascii="Arial"/>
                            <w:color w:val="231F20"/>
                            <w:sz w:val="14"/>
                          </w:rPr>
                          <w:tab/>
                        </w:r>
                        <w:r>
                          <w:rPr>
                            <w:rFonts w:ascii="Arial"/>
                            <w:color w:val="231F20"/>
                            <w:spacing w:val="-2"/>
                            <w:w w:val="85"/>
                            <w:sz w:val="14"/>
                          </w:rPr>
                          <w:t>Sometimes</w:t>
                        </w:r>
                        <w:r>
                          <w:rPr>
                            <w:rFonts w:ascii="Arial"/>
                            <w:color w:val="231F20"/>
                            <w:sz w:val="14"/>
                          </w:rPr>
                          <w:tab/>
                        </w:r>
                        <w:r>
                          <w:rPr>
                            <w:rFonts w:ascii="Arial"/>
                            <w:color w:val="231F20"/>
                            <w:w w:val="75"/>
                            <w:sz w:val="14"/>
                          </w:rPr>
                          <w:t>Hardly</w:t>
                        </w:r>
                        <w:r>
                          <w:rPr>
                            <w:rFonts w:ascii="Arial"/>
                            <w:color w:val="231F20"/>
                            <w:spacing w:val="-4"/>
                            <w:sz w:val="14"/>
                          </w:rPr>
                          <w:t> </w:t>
                        </w:r>
                        <w:r>
                          <w:rPr>
                            <w:rFonts w:ascii="Arial"/>
                            <w:color w:val="231F20"/>
                            <w:w w:val="75"/>
                            <w:sz w:val="14"/>
                          </w:rPr>
                          <w:t>ever</w:t>
                        </w:r>
                        <w:r>
                          <w:rPr>
                            <w:rFonts w:ascii="Arial"/>
                            <w:color w:val="231F20"/>
                            <w:spacing w:val="-1"/>
                            <w:sz w:val="14"/>
                          </w:rPr>
                          <w:t> </w:t>
                        </w:r>
                        <w:r>
                          <w:rPr>
                            <w:rFonts w:ascii="Arial"/>
                            <w:color w:val="231F20"/>
                            <w:w w:val="75"/>
                            <w:sz w:val="14"/>
                          </w:rPr>
                          <w:t>or</w:t>
                        </w:r>
                        <w:r>
                          <w:rPr>
                            <w:rFonts w:ascii="Arial"/>
                            <w:color w:val="231F20"/>
                            <w:spacing w:val="-1"/>
                            <w:sz w:val="14"/>
                          </w:rPr>
                          <w:t> </w:t>
                        </w:r>
                        <w:r>
                          <w:rPr>
                            <w:rFonts w:ascii="Arial"/>
                            <w:color w:val="231F20"/>
                            <w:spacing w:val="-2"/>
                            <w:w w:val="75"/>
                            <w:sz w:val="14"/>
                          </w:rPr>
                          <w:t>rarely</w:t>
                        </w:r>
                      </w:p>
                    </w:txbxContent>
                  </v:textbox>
                  <w10:wrap type="none"/>
                </v:shape>
                <v:shape style="position:absolute;left:188;top:1580;width:155;height:159" type="#_x0000_t202" id="docshape1278" filled="false" stroked="false">
                  <v:textbox inset="0,0,0,0">
                    <w:txbxContent>
                      <w:p>
                        <w:pPr>
                          <w:spacing w:line="158" w:lineRule="exact" w:before="0"/>
                          <w:ind w:left="0" w:right="0" w:firstLine="0"/>
                          <w:jc w:val="left"/>
                          <w:rPr>
                            <w:rFonts w:ascii="Arial"/>
                            <w:sz w:val="14"/>
                          </w:rPr>
                        </w:pPr>
                        <w:r>
                          <w:rPr>
                            <w:rFonts w:ascii="Arial"/>
                            <w:color w:val="231F20"/>
                            <w:spacing w:val="-7"/>
                            <w:sz w:val="14"/>
                          </w:rPr>
                          <w:t>80</w:t>
                        </w:r>
                      </w:p>
                    </w:txbxContent>
                  </v:textbox>
                  <w10:wrap type="none"/>
                </v:shape>
                <v:shape style="position:absolute;left:188;top:2145;width:155;height:159" type="#_x0000_t202" id="docshape1279" filled="false" stroked="false">
                  <v:textbox inset="0,0,0,0">
                    <w:txbxContent>
                      <w:p>
                        <w:pPr>
                          <w:spacing w:line="158" w:lineRule="exact" w:before="0"/>
                          <w:ind w:left="0" w:right="0" w:firstLine="0"/>
                          <w:jc w:val="left"/>
                          <w:rPr>
                            <w:rFonts w:ascii="Arial"/>
                            <w:sz w:val="14"/>
                          </w:rPr>
                        </w:pPr>
                        <w:r>
                          <w:rPr>
                            <w:rFonts w:ascii="Arial"/>
                            <w:color w:val="231F20"/>
                            <w:spacing w:val="-7"/>
                            <w:sz w:val="14"/>
                          </w:rPr>
                          <w:t>60</w:t>
                        </w:r>
                      </w:p>
                    </w:txbxContent>
                  </v:textbox>
                  <w10:wrap type="none"/>
                </v:shape>
                <v:shape style="position:absolute;left:188;top:2710;width:155;height:159" type="#_x0000_t202" id="docshape1280" filled="false" stroked="false">
                  <v:textbox inset="0,0,0,0">
                    <w:txbxContent>
                      <w:p>
                        <w:pPr>
                          <w:spacing w:line="158" w:lineRule="exact" w:before="0"/>
                          <w:ind w:left="0" w:right="0" w:firstLine="0"/>
                          <w:jc w:val="left"/>
                          <w:rPr>
                            <w:rFonts w:ascii="Arial"/>
                            <w:sz w:val="14"/>
                          </w:rPr>
                        </w:pPr>
                        <w:r>
                          <w:rPr>
                            <w:rFonts w:ascii="Arial"/>
                            <w:color w:val="231F20"/>
                            <w:spacing w:val="-7"/>
                            <w:sz w:val="14"/>
                          </w:rPr>
                          <w:t>40</w:t>
                        </w:r>
                      </w:p>
                    </w:txbxContent>
                  </v:textbox>
                  <w10:wrap type="none"/>
                </v:shape>
                <v:shape style="position:absolute;left:188;top:3276;width:155;height:159" type="#_x0000_t202" id="docshape1281" filled="false" stroked="false">
                  <v:textbox inset="0,0,0,0">
                    <w:txbxContent>
                      <w:p>
                        <w:pPr>
                          <w:spacing w:line="158" w:lineRule="exact" w:before="0"/>
                          <w:ind w:left="0" w:right="0" w:firstLine="0"/>
                          <w:jc w:val="left"/>
                          <w:rPr>
                            <w:rFonts w:ascii="Arial"/>
                            <w:sz w:val="14"/>
                          </w:rPr>
                        </w:pPr>
                        <w:r>
                          <w:rPr>
                            <w:rFonts w:ascii="Arial"/>
                            <w:color w:val="231F20"/>
                            <w:spacing w:val="-7"/>
                            <w:sz w:val="14"/>
                          </w:rPr>
                          <w:t>20</w:t>
                        </w:r>
                      </w:p>
                    </w:txbxContent>
                  </v:textbox>
                  <w10:wrap type="none"/>
                </v:shape>
                <v:shape style="position:absolute;left:255;top:3841;width:88;height:159" type="#_x0000_t202" id="docshape1282" filled="false" stroked="false">
                  <v:textbox inset="0,0,0,0">
                    <w:txbxContent>
                      <w:p>
                        <w:pPr>
                          <w:spacing w:line="158" w:lineRule="exact" w:before="0"/>
                          <w:ind w:left="0" w:right="0" w:firstLine="0"/>
                          <w:jc w:val="left"/>
                          <w:rPr>
                            <w:rFonts w:ascii="Arial"/>
                            <w:sz w:val="14"/>
                          </w:rPr>
                        </w:pPr>
                        <w:r>
                          <w:rPr>
                            <w:rFonts w:ascii="Arial"/>
                            <w:color w:val="231F20"/>
                            <w:spacing w:val="-10"/>
                            <w:sz w:val="14"/>
                          </w:rPr>
                          <w:t>0</w:t>
                        </w:r>
                      </w:p>
                    </w:txbxContent>
                  </v:textbox>
                  <w10:wrap type="none"/>
                </v:shape>
                <v:shape style="position:absolute;left:762;top:3942;width:764;height:159" type="#_x0000_t202" id="docshape1283" filled="false" stroked="false">
                  <v:textbox inset="0,0,0,0">
                    <w:txbxContent>
                      <w:p>
                        <w:pPr>
                          <w:spacing w:line="158" w:lineRule="exact" w:before="0"/>
                          <w:ind w:left="0" w:right="0" w:firstLine="0"/>
                          <w:jc w:val="left"/>
                          <w:rPr>
                            <w:rFonts w:ascii="Arial"/>
                            <w:sz w:val="14"/>
                          </w:rPr>
                        </w:pPr>
                        <w:r>
                          <w:rPr>
                            <w:rFonts w:ascii="Arial"/>
                            <w:color w:val="231F20"/>
                            <w:w w:val="75"/>
                            <w:sz w:val="14"/>
                          </w:rPr>
                          <w:t>Bottom</w:t>
                        </w:r>
                        <w:r>
                          <w:rPr>
                            <w:rFonts w:ascii="Arial"/>
                            <w:color w:val="231F20"/>
                            <w:spacing w:val="11"/>
                            <w:sz w:val="14"/>
                          </w:rPr>
                          <w:t> </w:t>
                        </w:r>
                        <w:r>
                          <w:rPr>
                            <w:rFonts w:ascii="Arial"/>
                            <w:color w:val="231F20"/>
                            <w:spacing w:val="-2"/>
                            <w:w w:val="85"/>
                            <w:sz w:val="14"/>
                          </w:rPr>
                          <w:t>quintile</w:t>
                        </w:r>
                      </w:p>
                    </w:txbxContent>
                  </v:textbox>
                  <w10:wrap type="none"/>
                </v:shape>
                <v:shape style="position:absolute;left:2184;top:3942;width:727;height:159" type="#_x0000_t202" id="docshape1284" filled="false" stroked="false">
                  <v:textbox inset="0,0,0,0">
                    <w:txbxContent>
                      <w:p>
                        <w:pPr>
                          <w:spacing w:line="158" w:lineRule="exact" w:before="0"/>
                          <w:ind w:left="0" w:right="0" w:firstLine="0"/>
                          <w:jc w:val="left"/>
                          <w:rPr>
                            <w:rFonts w:ascii="Arial"/>
                            <w:sz w:val="14"/>
                          </w:rPr>
                        </w:pPr>
                        <w:r>
                          <w:rPr>
                            <w:rFonts w:ascii="Arial"/>
                            <w:color w:val="231F20"/>
                            <w:w w:val="75"/>
                            <w:sz w:val="14"/>
                          </w:rPr>
                          <w:t>Fourth</w:t>
                        </w:r>
                        <w:r>
                          <w:rPr>
                            <w:rFonts w:ascii="Arial"/>
                            <w:color w:val="231F20"/>
                            <w:spacing w:val="6"/>
                            <w:sz w:val="14"/>
                          </w:rPr>
                          <w:t> </w:t>
                        </w:r>
                        <w:r>
                          <w:rPr>
                            <w:rFonts w:ascii="Arial"/>
                            <w:color w:val="231F20"/>
                            <w:spacing w:val="-2"/>
                            <w:w w:val="85"/>
                            <w:sz w:val="14"/>
                          </w:rPr>
                          <w:t>quintile</w:t>
                        </w:r>
                      </w:p>
                    </w:txbxContent>
                  </v:textbox>
                  <w10:wrap type="none"/>
                </v:shape>
                <v:shape style="position:absolute;left:614;top:4102;width:2390;height:159" type="#_x0000_t202" id="docshape1285" filled="false" stroked="false">
                  <v:textbox inset="0,0,0,0">
                    <w:txbxContent>
                      <w:p>
                        <w:pPr>
                          <w:tabs>
                            <w:tab w:pos="1477" w:val="left" w:leader="none"/>
                          </w:tabs>
                          <w:spacing w:line="158" w:lineRule="exact" w:before="0"/>
                          <w:ind w:left="0" w:right="0" w:firstLine="0"/>
                          <w:jc w:val="left"/>
                          <w:rPr>
                            <w:rFonts w:ascii="Arial"/>
                            <w:sz w:val="14"/>
                          </w:rPr>
                        </w:pPr>
                        <w:r>
                          <w:rPr>
                            <w:rFonts w:ascii="Arial"/>
                            <w:color w:val="231F20"/>
                            <w:w w:val="75"/>
                            <w:sz w:val="14"/>
                          </w:rPr>
                          <w:t>(lowest</w:t>
                        </w:r>
                        <w:r>
                          <w:rPr>
                            <w:rFonts w:ascii="Arial"/>
                            <w:color w:val="231F20"/>
                            <w:spacing w:val="5"/>
                            <w:sz w:val="14"/>
                          </w:rPr>
                          <w:t> </w:t>
                        </w:r>
                        <w:r>
                          <w:rPr>
                            <w:rFonts w:ascii="Arial"/>
                            <w:color w:val="231F20"/>
                            <w:spacing w:val="-2"/>
                            <w:w w:val="90"/>
                            <w:sz w:val="14"/>
                          </w:rPr>
                          <w:t>performance)</w:t>
                        </w:r>
                        <w:r>
                          <w:rPr>
                            <w:rFonts w:ascii="Arial"/>
                            <w:color w:val="231F20"/>
                            <w:sz w:val="14"/>
                          </w:rPr>
                          <w:tab/>
                        </w:r>
                        <w:r>
                          <w:rPr>
                            <w:rFonts w:ascii="Arial"/>
                            <w:color w:val="231F20"/>
                            <w:w w:val="75"/>
                            <w:sz w:val="14"/>
                          </w:rPr>
                          <w:t>(low</w:t>
                        </w:r>
                        <w:r>
                          <w:rPr>
                            <w:rFonts w:ascii="Arial"/>
                            <w:color w:val="231F20"/>
                            <w:spacing w:val="-1"/>
                            <w:sz w:val="14"/>
                          </w:rPr>
                          <w:t> </w:t>
                        </w:r>
                        <w:r>
                          <w:rPr>
                            <w:rFonts w:ascii="Arial"/>
                            <w:color w:val="231F20"/>
                            <w:spacing w:val="-2"/>
                            <w:w w:val="80"/>
                            <w:sz w:val="14"/>
                          </w:rPr>
                          <w:t>performance)</w:t>
                        </w:r>
                      </w:p>
                    </w:txbxContent>
                  </v:textbox>
                  <w10:wrap type="none"/>
                </v:shape>
                <v:shape style="position:absolute;left:3385;top:3942;width:3928;height:319" type="#_x0000_t202" id="docshape1286" filled="false" stroked="false">
                  <v:textbox inset="0,0,0,0">
                    <w:txbxContent>
                      <w:p>
                        <w:pPr>
                          <w:tabs>
                            <w:tab w:pos="1493" w:val="left" w:leader="none"/>
                            <w:tab w:pos="1582" w:val="left" w:leader="none"/>
                            <w:tab w:pos="2823" w:val="left" w:leader="none"/>
                            <w:tab w:pos="3083" w:val="left" w:leader="none"/>
                          </w:tabs>
                          <w:spacing w:before="0"/>
                          <w:ind w:left="0" w:right="18" w:firstLine="236"/>
                          <w:jc w:val="left"/>
                          <w:rPr>
                            <w:rFonts w:ascii="Arial"/>
                            <w:sz w:val="14"/>
                          </w:rPr>
                        </w:pPr>
                        <w:r>
                          <w:rPr>
                            <w:rFonts w:ascii="Arial"/>
                            <w:color w:val="231F20"/>
                            <w:sz w:val="14"/>
                          </w:rPr>
                          <w:t>Third</w:t>
                        </w:r>
                        <w:r>
                          <w:rPr>
                            <w:rFonts w:ascii="Arial"/>
                            <w:color w:val="231F20"/>
                            <w:spacing w:val="-10"/>
                            <w:sz w:val="14"/>
                          </w:rPr>
                          <w:t> </w:t>
                        </w:r>
                        <w:r>
                          <w:rPr>
                            <w:rFonts w:ascii="Arial"/>
                            <w:color w:val="231F20"/>
                            <w:sz w:val="14"/>
                          </w:rPr>
                          <w:t>quintile</w:t>
                          <w:tab/>
                          <w:tab/>
                          <w:t>Second</w:t>
                        </w:r>
                        <w:r>
                          <w:rPr>
                            <w:rFonts w:ascii="Arial"/>
                            <w:color w:val="231F20"/>
                            <w:spacing w:val="-10"/>
                            <w:sz w:val="14"/>
                          </w:rPr>
                          <w:t> </w:t>
                        </w:r>
                        <w:r>
                          <w:rPr>
                            <w:rFonts w:ascii="Arial"/>
                            <w:color w:val="231F20"/>
                            <w:sz w:val="14"/>
                          </w:rPr>
                          <w:t>quintile</w:t>
                          <w:tab/>
                          <w:tab/>
                          <w:t>Top</w:t>
                        </w:r>
                        <w:r>
                          <w:rPr>
                            <w:rFonts w:ascii="Arial"/>
                            <w:color w:val="231F20"/>
                            <w:spacing w:val="-10"/>
                            <w:sz w:val="14"/>
                          </w:rPr>
                          <w:t> </w:t>
                        </w:r>
                        <w:r>
                          <w:rPr>
                            <w:rFonts w:ascii="Arial"/>
                            <w:color w:val="231F20"/>
                            <w:sz w:val="14"/>
                          </w:rPr>
                          <w:t>quintile</w:t>
                        </w:r>
                        <w:r>
                          <w:rPr>
                            <w:rFonts w:ascii="Arial"/>
                            <w:color w:val="231F20"/>
                            <w:spacing w:val="40"/>
                            <w:sz w:val="14"/>
                          </w:rPr>
                          <w:t> </w:t>
                        </w:r>
                        <w:r>
                          <w:rPr>
                            <w:rFonts w:ascii="Arial"/>
                            <w:color w:val="231F20"/>
                            <w:sz w:val="14"/>
                          </w:rPr>
                          <w:t>(average</w:t>
                        </w:r>
                        <w:r>
                          <w:rPr>
                            <w:rFonts w:ascii="Arial"/>
                            <w:color w:val="231F20"/>
                            <w:spacing w:val="-10"/>
                            <w:sz w:val="14"/>
                          </w:rPr>
                          <w:t> </w:t>
                        </w:r>
                        <w:r>
                          <w:rPr>
                            <w:rFonts w:ascii="Arial"/>
                            <w:color w:val="231F20"/>
                            <w:sz w:val="14"/>
                          </w:rPr>
                          <w:t>performance)</w:t>
                          <w:tab/>
                          <w:t>(high</w:t>
                        </w:r>
                        <w:r>
                          <w:rPr>
                            <w:rFonts w:ascii="Arial"/>
                            <w:color w:val="231F20"/>
                            <w:spacing w:val="-10"/>
                            <w:sz w:val="14"/>
                          </w:rPr>
                          <w:t> </w:t>
                        </w:r>
                        <w:r>
                          <w:rPr>
                            <w:rFonts w:ascii="Arial"/>
                            <w:color w:val="231F20"/>
                            <w:sz w:val="14"/>
                          </w:rPr>
                          <w:t>performance)</w:t>
                          <w:tab/>
                        </w:r>
                        <w:r>
                          <w:rPr>
                            <w:rFonts w:ascii="Arial"/>
                            <w:color w:val="231F20"/>
                            <w:spacing w:val="-2"/>
                            <w:w w:val="80"/>
                            <w:sz w:val="14"/>
                          </w:rPr>
                          <w:t>(highest</w:t>
                        </w:r>
                        <w:r>
                          <w:rPr>
                            <w:rFonts w:ascii="Arial"/>
                            <w:color w:val="231F20"/>
                            <w:spacing w:val="-10"/>
                            <w:sz w:val="14"/>
                          </w:rPr>
                          <w:t> </w:t>
                        </w:r>
                        <w:r>
                          <w:rPr>
                            <w:rFonts w:ascii="Arial"/>
                            <w:color w:val="231F20"/>
                            <w:spacing w:val="-2"/>
                            <w:w w:val="80"/>
                            <w:sz w:val="14"/>
                          </w:rPr>
                          <w:t>performance)</w:t>
                        </w:r>
                      </w:p>
                    </w:txbxContent>
                  </v:textbox>
                  <w10:wrap type="none"/>
                </v:shape>
                <v:shape style="position:absolute;left:120;top:4477;width:7382;height:416" type="#_x0000_t202" id="docshape1287" filled="false" stroked="false">
                  <v:textbox inset="0,0,0,0">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1"/>
                            <w:w w:val="80"/>
                            <w:sz w:val="12"/>
                          </w:rPr>
                          <w:t> </w:t>
                        </w:r>
                        <w:r>
                          <w:rPr>
                            <w:rFonts w:ascii="Arial"/>
                            <w:color w:val="231F20"/>
                            <w:w w:val="80"/>
                            <w:sz w:val="12"/>
                          </w:rPr>
                          <w:t>2023</w:t>
                        </w:r>
                        <w:r>
                          <w:rPr>
                            <w:rFonts w:ascii="Arial"/>
                            <w:color w:val="231F20"/>
                            <w:spacing w:val="-1"/>
                            <w:w w:val="80"/>
                            <w:sz w:val="12"/>
                          </w:rPr>
                          <w:t> </w:t>
                        </w:r>
                        <w:r>
                          <w:rPr>
                            <w:rFonts w:ascii="Arial"/>
                            <w:color w:val="231F20"/>
                            <w:w w:val="80"/>
                            <w:sz w:val="12"/>
                          </w:rPr>
                          <w:t>Logistics</w:t>
                        </w:r>
                        <w:r>
                          <w:rPr>
                            <w:rFonts w:ascii="Arial"/>
                            <w:color w:val="231F20"/>
                            <w:spacing w:val="-1"/>
                            <w:w w:val="80"/>
                            <w:sz w:val="12"/>
                          </w:rPr>
                          <w:t> </w:t>
                        </w:r>
                        <w:r>
                          <w:rPr>
                            <w:rFonts w:ascii="Arial"/>
                            <w:color w:val="231F20"/>
                            <w:w w:val="80"/>
                            <w:sz w:val="12"/>
                          </w:rPr>
                          <w:t>Performance</w:t>
                        </w:r>
                        <w:r>
                          <w:rPr>
                            <w:rFonts w:ascii="Arial"/>
                            <w:color w:val="231F20"/>
                            <w:spacing w:val="-1"/>
                            <w:w w:val="80"/>
                            <w:sz w:val="12"/>
                          </w:rPr>
                          <w:t> </w:t>
                        </w:r>
                        <w:r>
                          <w:rPr>
                            <w:rFonts w:ascii="Arial"/>
                            <w:color w:val="231F20"/>
                            <w:spacing w:val="-2"/>
                            <w:w w:val="80"/>
                            <w:sz w:val="12"/>
                          </w:rPr>
                          <w:t>Index.</w:t>
                        </w:r>
                      </w:p>
                      <w:p>
                        <w:pPr>
                          <w:spacing w:line="242" w:lineRule="auto" w:before="0"/>
                          <w:ind w:left="0" w:right="0" w:firstLine="0"/>
                          <w:jc w:val="left"/>
                          <w:rPr>
                            <w:rFonts w:ascii="Arial"/>
                            <w:sz w:val="12"/>
                          </w:rPr>
                        </w:pPr>
                        <w:r>
                          <w:rPr>
                            <w:rFonts w:ascii="Arial"/>
                            <w:i/>
                            <w:color w:val="231F20"/>
                            <w:w w:val="80"/>
                            <w:sz w:val="12"/>
                          </w:rPr>
                          <w:t>Note:</w:t>
                        </w:r>
                        <w:r>
                          <w:rPr>
                            <w:rFonts w:ascii="Arial"/>
                            <w:i/>
                            <w:color w:val="231F20"/>
                            <w:spacing w:val="-7"/>
                            <w:w w:val="80"/>
                            <w:sz w:val="12"/>
                          </w:rPr>
                          <w:t> </w:t>
                        </w:r>
                        <w:r>
                          <w:rPr>
                            <w:rFonts w:ascii="Arial"/>
                            <w:color w:val="231F20"/>
                            <w:w w:val="80"/>
                            <w:sz w:val="12"/>
                          </w:rPr>
                          <w:t>Refers</w:t>
                        </w:r>
                        <w:r>
                          <w:rPr>
                            <w:rFonts w:ascii="Arial"/>
                            <w:color w:val="231F20"/>
                            <w:spacing w:val="-2"/>
                            <w:w w:val="80"/>
                            <w:sz w:val="12"/>
                          </w:rPr>
                          <w:t> </w:t>
                        </w:r>
                        <w:r>
                          <w:rPr>
                            <w:rFonts w:ascii="Arial"/>
                            <w:color w:val="231F20"/>
                            <w:w w:val="80"/>
                            <w:sz w:val="12"/>
                          </w:rPr>
                          <w:t>to</w:t>
                        </w:r>
                        <w:r>
                          <w:rPr>
                            <w:rFonts w:ascii="Arial"/>
                            <w:color w:val="231F20"/>
                            <w:spacing w:val="-2"/>
                            <w:w w:val="80"/>
                            <w:sz w:val="12"/>
                          </w:rPr>
                          <w:t> </w:t>
                        </w:r>
                        <w:r>
                          <w:rPr>
                            <w:rFonts w:ascii="Arial"/>
                            <w:color w:val="231F20"/>
                            <w:w w:val="80"/>
                            <w:sz w:val="12"/>
                          </w:rPr>
                          <w:t>the</w:t>
                        </w:r>
                        <w:r>
                          <w:rPr>
                            <w:rFonts w:ascii="Arial"/>
                            <w:color w:val="231F20"/>
                            <w:spacing w:val="-2"/>
                            <w:w w:val="80"/>
                            <w:sz w:val="12"/>
                          </w:rPr>
                          <w:t> </w:t>
                        </w:r>
                        <w:r>
                          <w:rPr>
                            <w:rFonts w:ascii="Arial"/>
                            <w:color w:val="231F20"/>
                            <w:w w:val="80"/>
                            <w:sz w:val="12"/>
                          </w:rPr>
                          <w:t>percentage</w:t>
                        </w:r>
                        <w:r>
                          <w:rPr>
                            <w:rFonts w:ascii="Arial"/>
                            <w:color w:val="231F20"/>
                            <w:spacing w:val="-2"/>
                            <w:w w:val="80"/>
                            <w:sz w:val="12"/>
                          </w:rPr>
                          <w:t> </w:t>
                        </w:r>
                        <w:r>
                          <w:rPr>
                            <w:rFonts w:ascii="Arial"/>
                            <w:color w:val="231F20"/>
                            <w:w w:val="80"/>
                            <w:sz w:val="12"/>
                          </w:rPr>
                          <w:t>of</w:t>
                        </w:r>
                        <w:r>
                          <w:rPr>
                            <w:rFonts w:ascii="Arial"/>
                            <w:color w:val="231F20"/>
                            <w:spacing w:val="-2"/>
                            <w:w w:val="80"/>
                            <w:sz w:val="12"/>
                          </w:rPr>
                          <w:t> </w:t>
                        </w:r>
                        <w:r>
                          <w:rPr>
                            <w:rFonts w:ascii="Arial"/>
                            <w:color w:val="231F20"/>
                            <w:w w:val="80"/>
                            <w:sz w:val="12"/>
                          </w:rPr>
                          <w:t>countries</w:t>
                        </w:r>
                        <w:r>
                          <w:rPr>
                            <w:rFonts w:ascii="Arial"/>
                            <w:color w:val="231F20"/>
                            <w:spacing w:val="-2"/>
                            <w:w w:val="80"/>
                            <w:sz w:val="12"/>
                          </w:rPr>
                          <w:t> </w:t>
                        </w:r>
                        <w:r>
                          <w:rPr>
                            <w:rFonts w:ascii="Arial"/>
                            <w:color w:val="231F20"/>
                            <w:w w:val="80"/>
                            <w:sz w:val="12"/>
                          </w:rPr>
                          <w:t>in</w:t>
                        </w:r>
                        <w:r>
                          <w:rPr>
                            <w:rFonts w:ascii="Arial"/>
                            <w:color w:val="231F20"/>
                            <w:spacing w:val="-1"/>
                            <w:w w:val="80"/>
                            <w:sz w:val="12"/>
                          </w:rPr>
                          <w:t> </w:t>
                        </w:r>
                        <w:r>
                          <w:rPr>
                            <w:rFonts w:ascii="Arial"/>
                            <w:color w:val="231F20"/>
                            <w:w w:val="80"/>
                            <w:sz w:val="12"/>
                          </w:rPr>
                          <w:t>each</w:t>
                        </w:r>
                        <w:r>
                          <w:rPr>
                            <w:rFonts w:ascii="Arial"/>
                            <w:color w:val="231F20"/>
                            <w:spacing w:val="-2"/>
                            <w:w w:val="80"/>
                            <w:sz w:val="12"/>
                          </w:rPr>
                          <w:t> </w:t>
                        </w:r>
                        <w:r>
                          <w:rPr>
                            <w:rFonts w:ascii="Arial"/>
                            <w:color w:val="231F20"/>
                            <w:w w:val="80"/>
                            <w:sz w:val="12"/>
                          </w:rPr>
                          <w:t>quintile</w:t>
                        </w:r>
                        <w:r>
                          <w:rPr>
                            <w:rFonts w:ascii="Arial"/>
                            <w:color w:val="231F20"/>
                            <w:spacing w:val="-2"/>
                            <w:w w:val="80"/>
                            <w:sz w:val="12"/>
                          </w:rPr>
                          <w:t> </w:t>
                        </w:r>
                        <w:r>
                          <w:rPr>
                            <w:rFonts w:ascii="Arial"/>
                            <w:color w:val="231F20"/>
                            <w:w w:val="80"/>
                            <w:sz w:val="12"/>
                          </w:rPr>
                          <w:t>reporting</w:t>
                        </w:r>
                        <w:r>
                          <w:rPr>
                            <w:rFonts w:ascii="Arial"/>
                            <w:color w:val="231F20"/>
                            <w:spacing w:val="-2"/>
                            <w:w w:val="80"/>
                            <w:sz w:val="12"/>
                          </w:rPr>
                          <w:t> </w:t>
                        </w:r>
                        <w:r>
                          <w:rPr>
                            <w:rFonts w:ascii="Arial"/>
                            <w:color w:val="231F20"/>
                            <w:w w:val="80"/>
                            <w:sz w:val="12"/>
                          </w:rPr>
                          <w:t>the</w:t>
                        </w:r>
                        <w:r>
                          <w:rPr>
                            <w:rFonts w:ascii="Arial"/>
                            <w:color w:val="231F20"/>
                            <w:spacing w:val="-2"/>
                            <w:w w:val="80"/>
                            <w:sz w:val="12"/>
                          </w:rPr>
                          <w:t> </w:t>
                        </w:r>
                        <w:r>
                          <w:rPr>
                            <w:rFonts w:ascii="Arial"/>
                            <w:color w:val="231F20"/>
                            <w:w w:val="80"/>
                            <w:sz w:val="12"/>
                          </w:rPr>
                          <w:t>listed</w:t>
                        </w:r>
                        <w:r>
                          <w:rPr>
                            <w:rFonts w:ascii="Arial"/>
                            <w:color w:val="231F20"/>
                            <w:spacing w:val="-2"/>
                            <w:w w:val="80"/>
                            <w:sz w:val="12"/>
                          </w:rPr>
                          <w:t> </w:t>
                        </w:r>
                        <w:r>
                          <w:rPr>
                            <w:rFonts w:ascii="Arial"/>
                            <w:color w:val="231F20"/>
                            <w:w w:val="80"/>
                            <w:sz w:val="12"/>
                          </w:rPr>
                          <w:t>average</w:t>
                        </w:r>
                        <w:r>
                          <w:rPr>
                            <w:rFonts w:ascii="Arial"/>
                            <w:color w:val="231F20"/>
                            <w:spacing w:val="-2"/>
                            <w:w w:val="80"/>
                            <w:sz w:val="12"/>
                          </w:rPr>
                          <w:t> </w:t>
                        </w:r>
                        <w:r>
                          <w:rPr>
                            <w:rFonts w:ascii="Arial"/>
                            <w:color w:val="231F20"/>
                            <w:w w:val="80"/>
                            <w:sz w:val="12"/>
                          </w:rPr>
                          <w:t>responses,</w:t>
                        </w:r>
                        <w:r>
                          <w:rPr>
                            <w:rFonts w:ascii="Arial"/>
                            <w:color w:val="231F20"/>
                            <w:spacing w:val="-3"/>
                            <w:w w:val="80"/>
                            <w:sz w:val="12"/>
                          </w:rPr>
                          <w:t> </w:t>
                        </w:r>
                        <w:r>
                          <w:rPr>
                            <w:rFonts w:ascii="Arial"/>
                            <w:color w:val="231F20"/>
                            <w:w w:val="80"/>
                            <w:sz w:val="12"/>
                          </w:rPr>
                          <w:t>based</w:t>
                        </w:r>
                        <w:r>
                          <w:rPr>
                            <w:rFonts w:ascii="Arial"/>
                            <w:color w:val="231F20"/>
                            <w:spacing w:val="-1"/>
                            <w:w w:val="80"/>
                            <w:sz w:val="12"/>
                          </w:rPr>
                          <w:t> </w:t>
                        </w:r>
                        <w:r>
                          <w:rPr>
                            <w:rFonts w:ascii="Arial"/>
                            <w:color w:val="231F20"/>
                            <w:w w:val="80"/>
                            <w:sz w:val="12"/>
                          </w:rPr>
                          <w:t>on</w:t>
                        </w:r>
                        <w:r>
                          <w:rPr>
                            <w:rFonts w:ascii="Arial"/>
                            <w:color w:val="231F20"/>
                            <w:spacing w:val="-2"/>
                            <w:w w:val="80"/>
                            <w:sz w:val="12"/>
                          </w:rPr>
                          <w:t> </w:t>
                        </w:r>
                        <w:r>
                          <w:rPr>
                            <w:rFonts w:ascii="Arial"/>
                            <w:color w:val="231F20"/>
                            <w:w w:val="80"/>
                            <w:sz w:val="12"/>
                          </w:rPr>
                          <w:t>how</w:t>
                        </w:r>
                        <w:r>
                          <w:rPr>
                            <w:rFonts w:ascii="Arial"/>
                            <w:color w:val="231F20"/>
                            <w:spacing w:val="-2"/>
                            <w:w w:val="80"/>
                            <w:sz w:val="12"/>
                          </w:rPr>
                          <w:t> </w:t>
                        </w:r>
                        <w:r>
                          <w:rPr>
                            <w:rFonts w:ascii="Arial"/>
                            <w:color w:val="231F20"/>
                            <w:w w:val="80"/>
                            <w:sz w:val="12"/>
                          </w:rPr>
                          <w:t>often</w:t>
                        </w:r>
                        <w:r>
                          <w:rPr>
                            <w:rFonts w:ascii="Arial"/>
                            <w:color w:val="231F20"/>
                            <w:spacing w:val="-2"/>
                            <w:w w:val="80"/>
                            <w:sz w:val="12"/>
                          </w:rPr>
                          <w:t> </w:t>
                        </w:r>
                        <w:r>
                          <w:rPr>
                            <w:rFonts w:ascii="Arial"/>
                            <w:color w:val="231F20"/>
                            <w:w w:val="80"/>
                            <w:sz w:val="12"/>
                          </w:rPr>
                          <w:t>shippers</w:t>
                        </w:r>
                        <w:r>
                          <w:rPr>
                            <w:rFonts w:ascii="Arial"/>
                            <w:color w:val="231F20"/>
                            <w:spacing w:val="-2"/>
                            <w:w w:val="80"/>
                            <w:sz w:val="12"/>
                          </w:rPr>
                          <w:t> </w:t>
                        </w:r>
                        <w:r>
                          <w:rPr>
                            <w:rFonts w:ascii="Arial"/>
                            <w:color w:val="231F20"/>
                            <w:w w:val="80"/>
                            <w:sz w:val="12"/>
                          </w:rPr>
                          <w:t>ask</w:t>
                        </w:r>
                        <w:r>
                          <w:rPr>
                            <w:rFonts w:ascii="Arial"/>
                            <w:color w:val="231F20"/>
                            <w:spacing w:val="-2"/>
                            <w:w w:val="80"/>
                            <w:sz w:val="12"/>
                          </w:rPr>
                          <w:t> </w:t>
                        </w:r>
                        <w:r>
                          <w:rPr>
                            <w:rFonts w:ascii="Arial"/>
                            <w:color w:val="231F20"/>
                            <w:w w:val="80"/>
                            <w:sz w:val="12"/>
                          </w:rPr>
                          <w:t>for</w:t>
                        </w:r>
                        <w:r>
                          <w:rPr>
                            <w:rFonts w:ascii="Arial"/>
                            <w:color w:val="231F20"/>
                            <w:spacing w:val="-2"/>
                            <w:w w:val="80"/>
                            <w:sz w:val="12"/>
                          </w:rPr>
                          <w:t> </w:t>
                        </w:r>
                        <w:r>
                          <w:rPr>
                            <w:rFonts w:ascii="Arial"/>
                            <w:color w:val="231F20"/>
                            <w:w w:val="80"/>
                            <w:sz w:val="12"/>
                          </w:rPr>
                          <w:t>environmentally</w:t>
                        </w:r>
                        <w:r>
                          <w:rPr>
                            <w:rFonts w:ascii="Arial"/>
                            <w:color w:val="231F20"/>
                            <w:spacing w:val="-2"/>
                            <w:w w:val="80"/>
                            <w:sz w:val="12"/>
                          </w:rPr>
                          <w:t> </w:t>
                        </w:r>
                        <w:r>
                          <w:rPr>
                            <w:rFonts w:ascii="Arial"/>
                            <w:color w:val="231F20"/>
                            <w:w w:val="80"/>
                            <w:sz w:val="12"/>
                          </w:rPr>
                          <w:t>friendly</w:t>
                        </w:r>
                        <w:r>
                          <w:rPr>
                            <w:rFonts w:ascii="Arial"/>
                            <w:color w:val="231F20"/>
                            <w:spacing w:val="-2"/>
                            <w:w w:val="80"/>
                            <w:sz w:val="12"/>
                          </w:rPr>
                          <w:t> </w:t>
                        </w:r>
                        <w:r>
                          <w:rPr>
                            <w:rFonts w:ascii="Arial"/>
                            <w:color w:val="231F20"/>
                            <w:w w:val="80"/>
                            <w:sz w:val="12"/>
                          </w:rPr>
                          <w:t>options</w:t>
                        </w:r>
                        <w:r>
                          <w:rPr>
                            <w:rFonts w:ascii="Arial"/>
                            <w:color w:val="231F20"/>
                            <w:spacing w:val="-1"/>
                            <w:w w:val="80"/>
                            <w:sz w:val="12"/>
                          </w:rPr>
                          <w:t> </w:t>
                        </w:r>
                        <w:r>
                          <w:rPr>
                            <w:rFonts w:ascii="Arial"/>
                            <w:color w:val="231F20"/>
                            <w:w w:val="80"/>
                            <w:sz w:val="12"/>
                          </w:rPr>
                          <w:t>when</w:t>
                        </w:r>
                        <w:r>
                          <w:rPr>
                            <w:rFonts w:ascii="Arial"/>
                            <w:color w:val="231F20"/>
                            <w:spacing w:val="40"/>
                            <w:sz w:val="12"/>
                          </w:rPr>
                          <w:t> </w:t>
                        </w:r>
                        <w:r>
                          <w:rPr>
                            <w:rFonts w:ascii="Arial"/>
                            <w:color w:val="231F20"/>
                            <w:w w:val="90"/>
                            <w:sz w:val="12"/>
                          </w:rPr>
                          <w:t>shipping</w:t>
                        </w:r>
                        <w:r>
                          <w:rPr>
                            <w:rFonts w:ascii="Arial"/>
                            <w:color w:val="231F20"/>
                            <w:spacing w:val="-8"/>
                            <w:w w:val="90"/>
                            <w:sz w:val="12"/>
                          </w:rPr>
                          <w:t> </w:t>
                        </w:r>
                        <w:r>
                          <w:rPr>
                            <w:rFonts w:ascii="Arial"/>
                            <w:color w:val="231F20"/>
                            <w:w w:val="90"/>
                            <w:sz w:val="12"/>
                          </w:rPr>
                          <w:t>to</w:t>
                        </w:r>
                        <w:r>
                          <w:rPr>
                            <w:rFonts w:ascii="Arial"/>
                            <w:color w:val="231F20"/>
                            <w:spacing w:val="-5"/>
                            <w:w w:val="90"/>
                            <w:sz w:val="12"/>
                          </w:rPr>
                          <w:t> </w:t>
                        </w:r>
                        <w:r>
                          <w:rPr>
                            <w:rFonts w:ascii="Arial"/>
                            <w:color w:val="231F20"/>
                            <w:w w:val="90"/>
                            <w:sz w:val="12"/>
                          </w:rPr>
                          <w:t>destination</w:t>
                        </w:r>
                        <w:r>
                          <w:rPr>
                            <w:rFonts w:ascii="Arial"/>
                            <w:color w:val="231F20"/>
                            <w:spacing w:val="-5"/>
                            <w:w w:val="90"/>
                            <w:sz w:val="12"/>
                          </w:rPr>
                          <w:t> </w:t>
                        </w:r>
                        <w:r>
                          <w:rPr>
                            <w:rFonts w:ascii="Arial"/>
                            <w:color w:val="231F20"/>
                            <w:w w:val="90"/>
                            <w:sz w:val="12"/>
                          </w:rPr>
                          <w:t>countries</w:t>
                        </w:r>
                        <w:r>
                          <w:rPr>
                            <w:rFonts w:ascii="Arial"/>
                            <w:color w:val="231F20"/>
                            <w:spacing w:val="-6"/>
                            <w:w w:val="90"/>
                            <w:sz w:val="12"/>
                          </w:rPr>
                          <w:t> </w:t>
                        </w:r>
                        <w:r>
                          <w:rPr>
                            <w:rFonts w:ascii="Arial"/>
                            <w:color w:val="231F20"/>
                            <w:w w:val="90"/>
                            <w:sz w:val="12"/>
                          </w:rPr>
                          <w:t>in</w:t>
                        </w:r>
                        <w:r>
                          <w:rPr>
                            <w:rFonts w:ascii="Arial"/>
                            <w:color w:val="231F20"/>
                            <w:spacing w:val="-5"/>
                            <w:w w:val="90"/>
                            <w:sz w:val="12"/>
                          </w:rPr>
                          <w:t> </w:t>
                        </w:r>
                        <w:r>
                          <w:rPr>
                            <w:rFonts w:ascii="Arial"/>
                            <w:color w:val="231F20"/>
                            <w:w w:val="90"/>
                            <w:sz w:val="12"/>
                          </w:rPr>
                          <w:t>each</w:t>
                        </w:r>
                        <w:r>
                          <w:rPr>
                            <w:rFonts w:ascii="Arial"/>
                            <w:color w:val="231F20"/>
                            <w:spacing w:val="-5"/>
                            <w:w w:val="90"/>
                            <w:sz w:val="12"/>
                          </w:rPr>
                          <w:t> </w:t>
                        </w:r>
                        <w:r>
                          <w:rPr>
                            <w:rFonts w:ascii="Arial"/>
                            <w:color w:val="231F20"/>
                            <w:w w:val="90"/>
                            <w:sz w:val="12"/>
                          </w:rPr>
                          <w:t>group.</w:t>
                        </w:r>
                      </w:p>
                    </w:txbxContent>
                  </v:textbox>
                  <w10:wrap type="none"/>
                </v:shape>
              </v:group>
            </w:pict>
          </mc:Fallback>
        </mc:AlternateContent>
      </w:r>
      <w:r>
        <w:rPr>
          <w:sz w:val="20"/>
        </w:rPr>
      </w:r>
    </w:p>
    <w:p>
      <w:pPr>
        <w:pStyle w:val="BodyText"/>
        <w:spacing w:before="9"/>
        <w:rPr>
          <w:sz w:val="15"/>
        </w:rPr>
      </w:pPr>
    </w:p>
    <w:p>
      <w:pPr>
        <w:spacing w:after="0"/>
        <w:rPr>
          <w:sz w:val="15"/>
        </w:rPr>
        <w:sectPr>
          <w:headerReference w:type="even" r:id="rId99"/>
          <w:footerReference w:type="even" r:id="rId100"/>
          <w:footerReference w:type="default" r:id="rId101"/>
          <w:pgSz w:w="12240" w:h="15840"/>
          <w:pgMar w:header="370" w:footer="548" w:top="560" w:bottom="740" w:left="0" w:right="540"/>
          <w:pgNumType w:start="30"/>
        </w:sectPr>
      </w:pPr>
    </w:p>
    <w:p>
      <w:pPr>
        <w:pStyle w:val="BodyText"/>
        <w:spacing w:line="268" w:lineRule="auto" w:before="97"/>
        <w:ind w:left="3360"/>
        <w:jc w:val="both"/>
      </w:pPr>
      <w:r>
        <w:rPr>
          <w:color w:val="231F20"/>
          <w:w w:val="90"/>
        </w:rPr>
        <w:t>chain</w:t>
      </w:r>
      <w:r>
        <w:rPr>
          <w:color w:val="231F20"/>
          <w:spacing w:val="-1"/>
          <w:w w:val="90"/>
        </w:rPr>
        <w:t> </w:t>
      </w:r>
      <w:r>
        <w:rPr>
          <w:color w:val="231F20"/>
          <w:w w:val="90"/>
        </w:rPr>
        <w:t>visibility,</w:t>
      </w:r>
      <w:r>
        <w:rPr>
          <w:color w:val="231F20"/>
          <w:spacing w:val="-1"/>
          <w:w w:val="90"/>
        </w:rPr>
        <w:t> </w:t>
      </w:r>
      <w:r>
        <w:rPr>
          <w:color w:val="231F20"/>
          <w:w w:val="90"/>
        </w:rPr>
        <w:t>the</w:t>
      </w:r>
      <w:r>
        <w:rPr>
          <w:color w:val="231F20"/>
          <w:spacing w:val="-1"/>
          <w:w w:val="90"/>
        </w:rPr>
        <w:t> </w:t>
      </w:r>
      <w:r>
        <w:rPr>
          <w:color w:val="231F20"/>
          <w:w w:val="90"/>
        </w:rPr>
        <w:t>benefits</w:t>
      </w:r>
      <w:r>
        <w:rPr>
          <w:color w:val="231F20"/>
          <w:spacing w:val="-1"/>
          <w:w w:val="90"/>
        </w:rPr>
        <w:t> </w:t>
      </w:r>
      <w:r>
        <w:rPr>
          <w:color w:val="231F20"/>
          <w:w w:val="90"/>
        </w:rPr>
        <w:t>of</w:t>
      </w:r>
      <w:r>
        <w:rPr>
          <w:color w:val="231F20"/>
          <w:spacing w:val="-1"/>
          <w:w w:val="90"/>
        </w:rPr>
        <w:t> </w:t>
      </w:r>
      <w:r>
        <w:rPr>
          <w:color w:val="231F20"/>
          <w:w w:val="90"/>
        </w:rPr>
        <w:t>which</w:t>
      </w:r>
      <w:r>
        <w:rPr>
          <w:color w:val="231F20"/>
          <w:spacing w:val="-1"/>
          <w:w w:val="90"/>
        </w:rPr>
        <w:t> </w:t>
      </w:r>
      <w:r>
        <w:rPr>
          <w:color w:val="231F20"/>
          <w:w w:val="90"/>
        </w:rPr>
        <w:t>were</w:t>
      </w:r>
      <w:r>
        <w:rPr>
          <w:color w:val="231F20"/>
          <w:spacing w:val="-1"/>
          <w:w w:val="90"/>
        </w:rPr>
        <w:t> </w:t>
      </w:r>
      <w:r>
        <w:rPr>
          <w:color w:val="231F20"/>
          <w:w w:val="90"/>
        </w:rPr>
        <w:t>made clear by the recent turmoil. Managing Big Data </w:t>
      </w:r>
      <w:r>
        <w:rPr>
          <w:color w:val="231F20"/>
          <w:spacing w:val="-4"/>
        </w:rPr>
        <w:t>approaches also brings new business opportu- </w:t>
      </w:r>
      <w:r>
        <w:rPr>
          <w:color w:val="231F20"/>
          <w:w w:val="90"/>
        </w:rPr>
        <w:t>nities, as well as analytical applications, which </w:t>
      </w:r>
      <w:r>
        <w:rPr>
          <w:color w:val="231F20"/>
        </w:rPr>
        <w:t>push</w:t>
      </w:r>
      <w:r>
        <w:rPr>
          <w:color w:val="231F20"/>
          <w:spacing w:val="-9"/>
        </w:rPr>
        <w:t> </w:t>
      </w:r>
      <w:r>
        <w:rPr>
          <w:color w:val="231F20"/>
        </w:rPr>
        <w:t>technological</w:t>
      </w:r>
      <w:r>
        <w:rPr>
          <w:color w:val="231F20"/>
          <w:spacing w:val="-9"/>
        </w:rPr>
        <w:t> </w:t>
      </w:r>
      <w:r>
        <w:rPr>
          <w:color w:val="231F20"/>
        </w:rPr>
        <w:t>innovation</w:t>
      </w:r>
      <w:r>
        <w:rPr>
          <w:color w:val="231F20"/>
          <w:spacing w:val="-9"/>
        </w:rPr>
        <w:t> </w:t>
      </w:r>
      <w:r>
        <w:rPr>
          <w:color w:val="231F20"/>
        </w:rPr>
        <w:t>further.</w:t>
      </w:r>
      <w:r>
        <w:rPr>
          <w:color w:val="231F20"/>
          <w:spacing w:val="-9"/>
        </w:rPr>
        <w:t> </w:t>
      </w:r>
      <w:r>
        <w:rPr>
          <w:color w:val="231F20"/>
        </w:rPr>
        <w:t>More efficient</w:t>
      </w:r>
      <w:r>
        <w:rPr>
          <w:color w:val="231F20"/>
          <w:spacing w:val="-14"/>
        </w:rPr>
        <w:t> </w:t>
      </w:r>
      <w:r>
        <w:rPr>
          <w:color w:val="231F20"/>
        </w:rPr>
        <w:t>use</w:t>
      </w:r>
      <w:r>
        <w:rPr>
          <w:color w:val="231F20"/>
          <w:spacing w:val="-13"/>
        </w:rPr>
        <w:t> </w:t>
      </w:r>
      <w:r>
        <w:rPr>
          <w:color w:val="231F20"/>
        </w:rPr>
        <w:t>of</w:t>
      </w:r>
      <w:r>
        <w:rPr>
          <w:color w:val="231F20"/>
          <w:spacing w:val="-13"/>
        </w:rPr>
        <w:t> </w:t>
      </w:r>
      <w:r>
        <w:rPr>
          <w:color w:val="231F20"/>
        </w:rPr>
        <w:t>Big</w:t>
      </w:r>
      <w:r>
        <w:rPr>
          <w:color w:val="231F20"/>
          <w:spacing w:val="-13"/>
        </w:rPr>
        <w:t> </w:t>
      </w:r>
      <w:r>
        <w:rPr>
          <w:color w:val="231F20"/>
        </w:rPr>
        <w:t>Data</w:t>
      </w:r>
      <w:r>
        <w:rPr>
          <w:color w:val="231F20"/>
          <w:spacing w:val="-13"/>
        </w:rPr>
        <w:t> </w:t>
      </w:r>
      <w:r>
        <w:rPr>
          <w:color w:val="231F20"/>
        </w:rPr>
        <w:t>approaches</w:t>
      </w:r>
      <w:r>
        <w:rPr>
          <w:color w:val="231F20"/>
          <w:spacing w:val="-13"/>
        </w:rPr>
        <w:t> </w:t>
      </w:r>
      <w:r>
        <w:rPr>
          <w:color w:val="231F20"/>
        </w:rPr>
        <w:t>is</w:t>
      </w:r>
      <w:r>
        <w:rPr>
          <w:color w:val="231F20"/>
          <w:spacing w:val="-13"/>
        </w:rPr>
        <w:t> </w:t>
      </w:r>
      <w:r>
        <w:rPr>
          <w:color w:val="231F20"/>
        </w:rPr>
        <w:t>an</w:t>
      </w:r>
      <w:r>
        <w:rPr>
          <w:color w:val="231F20"/>
          <w:spacing w:val="-13"/>
        </w:rPr>
        <w:t> </w:t>
      </w:r>
      <w:r>
        <w:rPr>
          <w:color w:val="231F20"/>
        </w:rPr>
        <w:t>in- </w:t>
      </w:r>
      <w:r>
        <w:rPr>
          <w:color w:val="231F20"/>
          <w:w w:val="90"/>
        </w:rPr>
        <w:t>creasingly important policy issue both domesti- </w:t>
      </w:r>
      <w:r>
        <w:rPr>
          <w:color w:val="231F20"/>
          <w:spacing w:val="-2"/>
        </w:rPr>
        <w:t>cally</w:t>
      </w:r>
      <w:r>
        <w:rPr>
          <w:color w:val="231F20"/>
          <w:spacing w:val="-8"/>
        </w:rPr>
        <w:t> </w:t>
      </w:r>
      <w:r>
        <w:rPr>
          <w:color w:val="231F20"/>
          <w:spacing w:val="-2"/>
        </w:rPr>
        <w:t>and</w:t>
      </w:r>
      <w:r>
        <w:rPr>
          <w:color w:val="231F20"/>
          <w:spacing w:val="-9"/>
        </w:rPr>
        <w:t> </w:t>
      </w:r>
      <w:r>
        <w:rPr>
          <w:color w:val="231F20"/>
          <w:spacing w:val="-2"/>
        </w:rPr>
        <w:t>in</w:t>
      </w:r>
      <w:r>
        <w:rPr>
          <w:color w:val="231F20"/>
          <w:spacing w:val="-8"/>
        </w:rPr>
        <w:t> </w:t>
      </w:r>
      <w:r>
        <w:rPr>
          <w:color w:val="231F20"/>
          <w:spacing w:val="-2"/>
        </w:rPr>
        <w:t>trade</w:t>
      </w:r>
      <w:r>
        <w:rPr>
          <w:color w:val="231F20"/>
          <w:spacing w:val="-8"/>
        </w:rPr>
        <w:t> </w:t>
      </w:r>
      <w:r>
        <w:rPr>
          <w:color w:val="231F20"/>
          <w:spacing w:val="-2"/>
        </w:rPr>
        <w:t>facilitation.</w:t>
      </w:r>
      <w:r>
        <w:rPr>
          <w:color w:val="231F20"/>
          <w:spacing w:val="-8"/>
        </w:rPr>
        <w:t> </w:t>
      </w:r>
      <w:r>
        <w:rPr>
          <w:color w:val="231F20"/>
          <w:spacing w:val="-2"/>
        </w:rPr>
        <w:t>Yet</w:t>
      </w:r>
      <w:r>
        <w:rPr>
          <w:color w:val="231F20"/>
          <w:spacing w:val="-8"/>
        </w:rPr>
        <w:t> </w:t>
      </w:r>
      <w:r>
        <w:rPr>
          <w:color w:val="231F20"/>
          <w:spacing w:val="-2"/>
        </w:rPr>
        <w:t>digitalizing</w:t>
      </w:r>
    </w:p>
    <w:p>
      <w:pPr>
        <w:pStyle w:val="BodyText"/>
        <w:spacing w:line="268" w:lineRule="auto" w:before="97"/>
        <w:ind w:left="199" w:right="657"/>
        <w:jc w:val="both"/>
      </w:pPr>
      <w:r>
        <w:rPr/>
        <w:br w:type="column"/>
      </w:r>
      <w:r>
        <w:rPr>
          <w:color w:val="231F20"/>
          <w:w w:val="90"/>
        </w:rPr>
        <w:t>supply chain processes can pose challenges for low-</w:t>
      </w:r>
      <w:r>
        <w:rPr>
          <w:color w:val="231F20"/>
          <w:spacing w:val="-1"/>
          <w:w w:val="90"/>
        </w:rPr>
        <w:t> </w:t>
      </w:r>
      <w:r>
        <w:rPr>
          <w:color w:val="231F20"/>
          <w:w w:val="90"/>
        </w:rPr>
        <w:t>and</w:t>
      </w:r>
      <w:r>
        <w:rPr>
          <w:color w:val="231F20"/>
          <w:spacing w:val="-1"/>
          <w:w w:val="90"/>
        </w:rPr>
        <w:t> </w:t>
      </w:r>
      <w:r>
        <w:rPr>
          <w:color w:val="231F20"/>
          <w:w w:val="90"/>
        </w:rPr>
        <w:t>middle-income</w:t>
      </w:r>
      <w:r>
        <w:rPr>
          <w:color w:val="231F20"/>
          <w:spacing w:val="-1"/>
          <w:w w:val="90"/>
        </w:rPr>
        <w:t> </w:t>
      </w:r>
      <w:r>
        <w:rPr>
          <w:color w:val="231F20"/>
          <w:w w:val="90"/>
        </w:rPr>
        <w:t>countries,</w:t>
      </w:r>
      <w:r>
        <w:rPr>
          <w:color w:val="231F20"/>
          <w:spacing w:val="-1"/>
          <w:w w:val="90"/>
        </w:rPr>
        <w:t> </w:t>
      </w:r>
      <w:r>
        <w:rPr>
          <w:color w:val="231F20"/>
          <w:w w:val="90"/>
        </w:rPr>
        <w:t>where</w:t>
      </w:r>
      <w:r>
        <w:rPr>
          <w:color w:val="231F20"/>
          <w:spacing w:val="-1"/>
          <w:w w:val="90"/>
        </w:rPr>
        <w:t> </w:t>
      </w:r>
      <w:r>
        <w:rPr>
          <w:color w:val="231F20"/>
          <w:w w:val="90"/>
        </w:rPr>
        <w:t>access to technology and reliability of basic infrastruc- </w:t>
      </w:r>
      <w:r>
        <w:rPr>
          <w:color w:val="231F20"/>
          <w:spacing w:val="-6"/>
        </w:rPr>
        <w:t>ture (particularly electricity), may constrain the </w:t>
      </w:r>
      <w:r>
        <w:rPr>
          <w:color w:val="231F20"/>
          <w:w w:val="90"/>
        </w:rPr>
        <w:t>ability to access them. Building capacity, ensur- ing access to appropriate technologies, and sup- </w:t>
      </w:r>
      <w:r>
        <w:rPr>
          <w:color w:val="231F20"/>
        </w:rPr>
        <w:t>porting</w:t>
      </w:r>
      <w:r>
        <w:rPr>
          <w:color w:val="231F20"/>
          <w:spacing w:val="-3"/>
        </w:rPr>
        <w:t> </w:t>
      </w:r>
      <w:r>
        <w:rPr>
          <w:color w:val="231F20"/>
        </w:rPr>
        <w:t>infrastructure</w:t>
      </w:r>
      <w:r>
        <w:rPr>
          <w:color w:val="231F20"/>
          <w:spacing w:val="-3"/>
        </w:rPr>
        <w:t> </w:t>
      </w:r>
      <w:r>
        <w:rPr>
          <w:color w:val="231F20"/>
        </w:rPr>
        <w:t>need</w:t>
      </w:r>
      <w:r>
        <w:rPr>
          <w:color w:val="231F20"/>
          <w:spacing w:val="-3"/>
        </w:rPr>
        <w:t> </w:t>
      </w:r>
      <w:r>
        <w:rPr>
          <w:color w:val="231F20"/>
        </w:rPr>
        <w:t>to</w:t>
      </w:r>
      <w:r>
        <w:rPr>
          <w:color w:val="231F20"/>
          <w:spacing w:val="-3"/>
        </w:rPr>
        <w:t> </w:t>
      </w:r>
      <w:r>
        <w:rPr>
          <w:color w:val="231F20"/>
        </w:rPr>
        <w:t>remain</w:t>
      </w:r>
      <w:r>
        <w:rPr>
          <w:color w:val="231F20"/>
          <w:spacing w:val="-3"/>
        </w:rPr>
        <w:t> </w:t>
      </w:r>
      <w:r>
        <w:rPr>
          <w:color w:val="231F20"/>
        </w:rPr>
        <w:t>part</w:t>
      </w:r>
      <w:r>
        <w:rPr>
          <w:color w:val="231F20"/>
          <w:spacing w:val="-3"/>
        </w:rPr>
        <w:t> </w:t>
      </w:r>
      <w:r>
        <w:rPr>
          <w:color w:val="231F20"/>
        </w:rPr>
        <w:t>of the policy agenda.</w:t>
      </w:r>
    </w:p>
    <w:p>
      <w:pPr>
        <w:spacing w:after="0" w:line="268" w:lineRule="auto"/>
        <w:jc w:val="both"/>
        <w:sectPr>
          <w:type w:val="continuous"/>
          <w:pgSz w:w="12240" w:h="15840"/>
          <w:pgMar w:header="370" w:footer="548" w:top="1140" w:bottom="280" w:left="0" w:right="540"/>
          <w:cols w:num="2" w:equalWidth="0">
            <w:col w:w="7081" w:space="40"/>
            <w:col w:w="4579"/>
          </w:cols>
        </w:sectPr>
      </w:pPr>
    </w:p>
    <w:p>
      <w:pPr>
        <w:pStyle w:val="Heading1"/>
        <w:spacing w:before="95"/>
      </w:pPr>
      <w:bookmarkStart w:name="_bookmark39" w:id="42"/>
      <w:bookmarkEnd w:id="42"/>
      <w:r>
        <w:rPr>
          <w:b w:val="0"/>
        </w:rPr>
      </w:r>
      <w:bookmarkStart w:name="_bookmark38" w:id="43"/>
      <w:bookmarkEnd w:id="43"/>
      <w:r>
        <w:rPr>
          <w:b w:val="0"/>
        </w:rPr>
      </w:r>
      <w:r>
        <w:rPr>
          <w:color w:val="231F20"/>
          <w:spacing w:val="-2"/>
          <w:w w:val="115"/>
        </w:rPr>
        <w:t>Notes</w:t>
      </w:r>
    </w:p>
    <w:p>
      <w:pPr>
        <w:pStyle w:val="BodyText"/>
        <w:rPr>
          <w:rFonts w:ascii="Arial"/>
          <w:b/>
          <w:sz w:val="14"/>
        </w:rPr>
      </w:pPr>
      <w:r>
        <w:rPr/>
        <mc:AlternateContent>
          <mc:Choice Requires="wps">
            <w:drawing>
              <wp:anchor distT="0" distB="0" distL="0" distR="0" allowOverlap="1" layoutInCell="1" locked="0" behindDoc="1" simplePos="0" relativeHeight="487620096">
                <wp:simplePos x="0" y="0"/>
                <wp:positionH relativeFrom="page">
                  <wp:posOffset>762000</wp:posOffset>
                </wp:positionH>
                <wp:positionV relativeFrom="paragraph">
                  <wp:posOffset>117499</wp:posOffset>
                </wp:positionV>
                <wp:extent cx="1524000" cy="171450"/>
                <wp:effectExtent l="0" t="0" r="0" b="0"/>
                <wp:wrapTopAndBottom/>
                <wp:docPr id="1524" name="Graphic 1524"/>
                <wp:cNvGraphicFramePr>
                  <a:graphicFrameLocks/>
                </wp:cNvGraphicFramePr>
                <a:graphic>
                  <a:graphicData uri="http://schemas.microsoft.com/office/word/2010/wordprocessingShape">
                    <wps:wsp>
                      <wps:cNvPr id="1524" name="Graphic 1524"/>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9.251953pt;width:120pt;height:13.5pt;mso-position-horizontal-relative:page;mso-position-vertical-relative:paragraph;z-index:-15696384;mso-wrap-distance-left:0;mso-wrap-distance-right:0" id="docshape1288"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620608">
                <wp:simplePos x="0" y="0"/>
                <wp:positionH relativeFrom="page">
                  <wp:posOffset>2438400</wp:posOffset>
                </wp:positionH>
                <wp:positionV relativeFrom="paragraph">
                  <wp:posOffset>117499</wp:posOffset>
                </wp:positionV>
                <wp:extent cx="4876800" cy="171450"/>
                <wp:effectExtent l="0" t="0" r="0" b="0"/>
                <wp:wrapTopAndBottom/>
                <wp:docPr id="1525" name="Graphic 1525"/>
                <wp:cNvGraphicFramePr>
                  <a:graphicFrameLocks/>
                </wp:cNvGraphicFramePr>
                <a:graphic>
                  <a:graphicData uri="http://schemas.microsoft.com/office/word/2010/wordprocessingShape">
                    <wps:wsp>
                      <wps:cNvPr id="1525" name="Graphic 1525"/>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9.251953pt;width:384pt;height:13.5pt;mso-position-horizontal-relative:page;mso-position-vertical-relative:paragraph;z-index:-15695872;mso-wrap-distance-left:0;mso-wrap-distance-right:0" id="docshape1289" filled="true" fillcolor="#c9dcf3" stroked="false">
                <v:fill type="solid"/>
                <w10:wrap type="topAndBottom"/>
              </v:rect>
            </w:pict>
          </mc:Fallback>
        </mc:AlternateConten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98"/>
        <w:rPr>
          <w:rFonts w:ascii="Arial"/>
          <w:b/>
          <w:sz w:val="20"/>
        </w:rPr>
      </w:pPr>
    </w:p>
    <w:p>
      <w:pPr>
        <w:spacing w:after="0"/>
        <w:rPr>
          <w:rFonts w:ascii="Arial"/>
          <w:sz w:val="20"/>
        </w:rPr>
        <w:sectPr>
          <w:headerReference w:type="default" r:id="rId102"/>
          <w:pgSz w:w="12240" w:h="15840"/>
          <w:pgMar w:header="0" w:footer="0" w:top="1120" w:bottom="740" w:left="0" w:right="540"/>
        </w:sectPr>
      </w:pPr>
    </w:p>
    <w:p>
      <w:pPr>
        <w:pStyle w:val="ListParagraph"/>
        <w:numPr>
          <w:ilvl w:val="0"/>
          <w:numId w:val="14"/>
        </w:numPr>
        <w:tabs>
          <w:tab w:pos="4200" w:val="left" w:leader="none"/>
        </w:tabs>
        <w:spacing w:line="259" w:lineRule="auto" w:before="103" w:after="0"/>
        <w:ind w:left="4200" w:right="119" w:hanging="360"/>
        <w:jc w:val="left"/>
        <w:rPr>
          <w:sz w:val="16"/>
        </w:rPr>
      </w:pPr>
      <w:r>
        <w:rPr>
          <w:color w:val="231F20"/>
          <w:w w:val="80"/>
          <w:sz w:val="16"/>
        </w:rPr>
        <w:t>The six LPI components are the efficiency of customs</w:t>
      </w:r>
      <w:r>
        <w:rPr>
          <w:color w:val="231F20"/>
          <w:sz w:val="16"/>
        </w:rPr>
        <w:t> </w:t>
      </w:r>
      <w:r>
        <w:rPr>
          <w:color w:val="231F20"/>
          <w:w w:val="80"/>
          <w:sz w:val="16"/>
        </w:rPr>
        <w:t>and border management clearance, the quality of trade</w:t>
      </w:r>
      <w:r>
        <w:rPr>
          <w:color w:val="231F20"/>
          <w:sz w:val="16"/>
        </w:rPr>
        <w:t> </w:t>
      </w:r>
      <w:r>
        <w:rPr>
          <w:color w:val="231F20"/>
          <w:w w:val="85"/>
          <w:sz w:val="16"/>
        </w:rPr>
        <w:t>and transport infrastructure, the ease of arranging</w:t>
      </w:r>
      <w:r>
        <w:rPr>
          <w:color w:val="231F20"/>
          <w:sz w:val="16"/>
        </w:rPr>
        <w:t> </w:t>
      </w:r>
      <w:r>
        <w:rPr>
          <w:color w:val="231F20"/>
          <w:w w:val="85"/>
          <w:sz w:val="16"/>
        </w:rPr>
        <w:t>competitively</w:t>
      </w:r>
      <w:r>
        <w:rPr>
          <w:color w:val="231F20"/>
          <w:spacing w:val="-1"/>
          <w:w w:val="85"/>
          <w:sz w:val="16"/>
        </w:rPr>
        <w:t> </w:t>
      </w:r>
      <w:r>
        <w:rPr>
          <w:color w:val="231F20"/>
          <w:w w:val="85"/>
          <w:sz w:val="16"/>
        </w:rPr>
        <w:t>priced</w:t>
      </w:r>
      <w:r>
        <w:rPr>
          <w:color w:val="231F20"/>
          <w:spacing w:val="-1"/>
          <w:w w:val="85"/>
          <w:sz w:val="16"/>
        </w:rPr>
        <w:t> </w:t>
      </w:r>
      <w:r>
        <w:rPr>
          <w:color w:val="231F20"/>
          <w:w w:val="85"/>
          <w:sz w:val="16"/>
        </w:rPr>
        <w:t>shipments,</w:t>
      </w:r>
      <w:r>
        <w:rPr>
          <w:color w:val="231F20"/>
          <w:spacing w:val="-1"/>
          <w:w w:val="85"/>
          <w:sz w:val="16"/>
        </w:rPr>
        <w:t> </w:t>
      </w:r>
      <w:r>
        <w:rPr>
          <w:color w:val="231F20"/>
          <w:w w:val="85"/>
          <w:sz w:val="16"/>
        </w:rPr>
        <w:t>the</w:t>
      </w:r>
      <w:r>
        <w:rPr>
          <w:color w:val="231F20"/>
          <w:spacing w:val="-1"/>
          <w:w w:val="85"/>
          <w:sz w:val="16"/>
        </w:rPr>
        <w:t> </w:t>
      </w:r>
      <w:r>
        <w:rPr>
          <w:color w:val="231F20"/>
          <w:w w:val="85"/>
          <w:sz w:val="16"/>
        </w:rPr>
        <w:t>competence</w:t>
      </w:r>
      <w:r>
        <w:rPr>
          <w:color w:val="231F20"/>
          <w:spacing w:val="-1"/>
          <w:w w:val="85"/>
          <w:sz w:val="16"/>
        </w:rPr>
        <w:t> </w:t>
      </w:r>
      <w:r>
        <w:rPr>
          <w:color w:val="231F20"/>
          <w:w w:val="85"/>
          <w:sz w:val="16"/>
        </w:rPr>
        <w:t>and</w:t>
      </w:r>
      <w:r>
        <w:rPr>
          <w:color w:val="231F20"/>
          <w:sz w:val="16"/>
        </w:rPr>
        <w:t> </w:t>
      </w:r>
      <w:r>
        <w:rPr>
          <w:color w:val="231F20"/>
          <w:w w:val="80"/>
          <w:sz w:val="16"/>
        </w:rPr>
        <w:t>quality of logistics services, the ability to track and trace</w:t>
      </w:r>
      <w:r>
        <w:rPr>
          <w:color w:val="231F20"/>
          <w:sz w:val="16"/>
        </w:rPr>
        <w:t> </w:t>
      </w:r>
      <w:r>
        <w:rPr>
          <w:color w:val="231F20"/>
          <w:w w:val="80"/>
          <w:sz w:val="16"/>
        </w:rPr>
        <w:t>consignments, and the frequency of on-time deliveries.</w:t>
      </w:r>
    </w:p>
    <w:p>
      <w:pPr>
        <w:pStyle w:val="ListParagraph"/>
        <w:numPr>
          <w:ilvl w:val="0"/>
          <w:numId w:val="14"/>
        </w:numPr>
        <w:tabs>
          <w:tab w:pos="4200" w:val="left" w:leader="none"/>
        </w:tabs>
        <w:spacing w:line="259" w:lineRule="auto" w:before="23" w:after="0"/>
        <w:ind w:left="4200" w:right="256" w:hanging="360"/>
        <w:jc w:val="left"/>
        <w:rPr>
          <w:sz w:val="16"/>
        </w:rPr>
      </w:pPr>
      <w:r>
        <w:rPr>
          <w:color w:val="231F20"/>
          <w:w w:val="85"/>
          <w:sz w:val="16"/>
        </w:rPr>
        <w:t>While</w:t>
      </w:r>
      <w:r>
        <w:rPr>
          <w:color w:val="231F20"/>
          <w:spacing w:val="-4"/>
          <w:w w:val="85"/>
          <w:sz w:val="16"/>
        </w:rPr>
        <w:t> </w:t>
      </w:r>
      <w:r>
        <w:rPr>
          <w:color w:val="231F20"/>
          <w:w w:val="85"/>
          <w:sz w:val="16"/>
        </w:rPr>
        <w:t>the</w:t>
      </w:r>
      <w:r>
        <w:rPr>
          <w:color w:val="231F20"/>
          <w:spacing w:val="-4"/>
          <w:w w:val="85"/>
          <w:sz w:val="16"/>
        </w:rPr>
        <w:t> </w:t>
      </w:r>
      <w:r>
        <w:rPr>
          <w:color w:val="231F20"/>
          <w:w w:val="85"/>
          <w:sz w:val="16"/>
        </w:rPr>
        <w:t>Covid-19</w:t>
      </w:r>
      <w:r>
        <w:rPr>
          <w:color w:val="231F20"/>
          <w:spacing w:val="-4"/>
          <w:w w:val="85"/>
          <w:sz w:val="16"/>
        </w:rPr>
        <w:t> </w:t>
      </w:r>
      <w:r>
        <w:rPr>
          <w:color w:val="231F20"/>
          <w:w w:val="85"/>
          <w:sz w:val="16"/>
        </w:rPr>
        <w:t>induced</w:t>
      </w:r>
      <w:r>
        <w:rPr>
          <w:color w:val="231F20"/>
          <w:spacing w:val="-4"/>
          <w:w w:val="85"/>
          <w:sz w:val="16"/>
        </w:rPr>
        <w:t> </w:t>
      </w:r>
      <w:r>
        <w:rPr>
          <w:color w:val="231F20"/>
          <w:w w:val="85"/>
          <w:sz w:val="16"/>
        </w:rPr>
        <w:t>supply</w:t>
      </w:r>
      <w:r>
        <w:rPr>
          <w:color w:val="231F20"/>
          <w:spacing w:val="-4"/>
          <w:w w:val="85"/>
          <w:sz w:val="16"/>
        </w:rPr>
        <w:t> </w:t>
      </w:r>
      <w:r>
        <w:rPr>
          <w:color w:val="231F20"/>
          <w:w w:val="85"/>
          <w:sz w:val="16"/>
        </w:rPr>
        <w:t>chain</w:t>
      </w:r>
      <w:r>
        <w:rPr>
          <w:color w:val="231F20"/>
          <w:spacing w:val="-4"/>
          <w:w w:val="85"/>
          <w:sz w:val="16"/>
        </w:rPr>
        <w:t> </w:t>
      </w:r>
      <w:r>
        <w:rPr>
          <w:color w:val="231F20"/>
          <w:w w:val="85"/>
          <w:sz w:val="16"/>
        </w:rPr>
        <w:t>crisis</w:t>
      </w:r>
      <w:r>
        <w:rPr>
          <w:color w:val="231F20"/>
          <w:spacing w:val="-4"/>
          <w:w w:val="85"/>
          <w:sz w:val="16"/>
        </w:rPr>
        <w:t> </w:t>
      </w:r>
      <w:r>
        <w:rPr>
          <w:color w:val="231F20"/>
          <w:w w:val="85"/>
          <w:sz w:val="16"/>
        </w:rPr>
        <w:t>had</w:t>
      </w:r>
      <w:r>
        <w:rPr>
          <w:color w:val="231F20"/>
          <w:sz w:val="16"/>
        </w:rPr>
        <w:t> </w:t>
      </w:r>
      <w:r>
        <w:rPr>
          <w:color w:val="231F20"/>
          <w:w w:val="85"/>
          <w:sz w:val="16"/>
        </w:rPr>
        <w:t>largely</w:t>
      </w:r>
      <w:r>
        <w:rPr>
          <w:color w:val="231F20"/>
          <w:spacing w:val="-4"/>
          <w:w w:val="85"/>
          <w:sz w:val="16"/>
        </w:rPr>
        <w:t> </w:t>
      </w:r>
      <w:r>
        <w:rPr>
          <w:color w:val="231F20"/>
          <w:w w:val="85"/>
          <w:sz w:val="16"/>
        </w:rPr>
        <w:t>subsided</w:t>
      </w:r>
      <w:r>
        <w:rPr>
          <w:color w:val="231F20"/>
          <w:spacing w:val="-4"/>
          <w:w w:val="85"/>
          <w:sz w:val="16"/>
        </w:rPr>
        <w:t> </w:t>
      </w:r>
      <w:r>
        <w:rPr>
          <w:color w:val="231F20"/>
          <w:w w:val="85"/>
          <w:sz w:val="16"/>
        </w:rPr>
        <w:t>by</w:t>
      </w:r>
      <w:r>
        <w:rPr>
          <w:color w:val="231F20"/>
          <w:spacing w:val="-4"/>
          <w:w w:val="85"/>
          <w:sz w:val="16"/>
        </w:rPr>
        <w:t> </w:t>
      </w:r>
      <w:r>
        <w:rPr>
          <w:color w:val="231F20"/>
          <w:w w:val="85"/>
          <w:sz w:val="16"/>
        </w:rPr>
        <w:t>the</w:t>
      </w:r>
      <w:r>
        <w:rPr>
          <w:color w:val="231F20"/>
          <w:spacing w:val="-4"/>
          <w:w w:val="85"/>
          <w:sz w:val="16"/>
        </w:rPr>
        <w:t> </w:t>
      </w:r>
      <w:r>
        <w:rPr>
          <w:color w:val="231F20"/>
          <w:w w:val="85"/>
          <w:sz w:val="16"/>
        </w:rPr>
        <w:t>time</w:t>
      </w:r>
      <w:r>
        <w:rPr>
          <w:color w:val="231F20"/>
          <w:spacing w:val="-4"/>
          <w:w w:val="85"/>
          <w:sz w:val="16"/>
        </w:rPr>
        <w:t> </w:t>
      </w:r>
      <w:r>
        <w:rPr>
          <w:color w:val="231F20"/>
          <w:w w:val="85"/>
          <w:sz w:val="16"/>
        </w:rPr>
        <w:t>of</w:t>
      </w:r>
      <w:r>
        <w:rPr>
          <w:color w:val="231F20"/>
          <w:spacing w:val="-4"/>
          <w:w w:val="85"/>
          <w:sz w:val="16"/>
        </w:rPr>
        <w:t> </w:t>
      </w:r>
      <w:r>
        <w:rPr>
          <w:color w:val="231F20"/>
          <w:w w:val="85"/>
          <w:sz w:val="16"/>
        </w:rPr>
        <w:t>the</w:t>
      </w:r>
      <w:r>
        <w:rPr>
          <w:color w:val="231F20"/>
          <w:spacing w:val="-4"/>
          <w:w w:val="85"/>
          <w:sz w:val="16"/>
        </w:rPr>
        <w:t> </w:t>
      </w:r>
      <w:r>
        <w:rPr>
          <w:color w:val="231F20"/>
          <w:w w:val="85"/>
          <w:sz w:val="16"/>
        </w:rPr>
        <w:t>survey,</w:t>
      </w:r>
      <w:r>
        <w:rPr>
          <w:color w:val="231F20"/>
          <w:spacing w:val="-4"/>
          <w:w w:val="85"/>
          <w:sz w:val="16"/>
        </w:rPr>
        <w:t> </w:t>
      </w:r>
      <w:r>
        <w:rPr>
          <w:color w:val="231F20"/>
          <w:w w:val="85"/>
          <w:sz w:val="16"/>
        </w:rPr>
        <w:t>many</w:t>
      </w:r>
      <w:r>
        <w:rPr>
          <w:color w:val="231F20"/>
          <w:spacing w:val="-4"/>
          <w:w w:val="85"/>
          <w:sz w:val="16"/>
        </w:rPr>
        <w:t> </w:t>
      </w:r>
      <w:r>
        <w:rPr>
          <w:color w:val="231F20"/>
          <w:w w:val="85"/>
          <w:sz w:val="16"/>
        </w:rPr>
        <w:t>of</w:t>
      </w:r>
      <w:r>
        <w:rPr>
          <w:color w:val="231F20"/>
          <w:sz w:val="16"/>
        </w:rPr>
        <w:t> </w:t>
      </w:r>
      <w:r>
        <w:rPr>
          <w:color w:val="231F20"/>
          <w:w w:val="80"/>
          <w:sz w:val="16"/>
        </w:rPr>
        <w:t>the respondents’ perceptions were likely to have been</w:t>
      </w:r>
      <w:r>
        <w:rPr>
          <w:color w:val="231F20"/>
          <w:sz w:val="16"/>
        </w:rPr>
        <w:t> </w:t>
      </w:r>
      <w:r>
        <w:rPr>
          <w:color w:val="231F20"/>
          <w:w w:val="80"/>
          <w:sz w:val="16"/>
        </w:rPr>
        <w:t>influenced by their experience over previous months.</w:t>
      </w:r>
    </w:p>
    <w:p>
      <w:pPr>
        <w:pStyle w:val="ListParagraph"/>
        <w:numPr>
          <w:ilvl w:val="0"/>
          <w:numId w:val="14"/>
        </w:numPr>
        <w:tabs>
          <w:tab w:pos="4199" w:val="left" w:leader="none"/>
        </w:tabs>
        <w:spacing w:line="240" w:lineRule="auto" w:before="20" w:after="0"/>
        <w:ind w:left="4199" w:right="0" w:hanging="359"/>
        <w:jc w:val="left"/>
        <w:rPr>
          <w:sz w:val="16"/>
        </w:rPr>
      </w:pPr>
      <w:r>
        <w:rPr>
          <w:color w:val="231F20"/>
          <w:w w:val="75"/>
          <w:sz w:val="16"/>
        </w:rPr>
        <w:t>Global</w:t>
      </w:r>
      <w:r>
        <w:rPr>
          <w:color w:val="231F20"/>
          <w:spacing w:val="10"/>
          <w:sz w:val="16"/>
        </w:rPr>
        <w:t> </w:t>
      </w:r>
      <w:r>
        <w:rPr>
          <w:color w:val="231F20"/>
          <w:w w:val="75"/>
          <w:sz w:val="16"/>
        </w:rPr>
        <w:t>GDP</w:t>
      </w:r>
      <w:r>
        <w:rPr>
          <w:color w:val="231F20"/>
          <w:spacing w:val="10"/>
          <w:sz w:val="16"/>
        </w:rPr>
        <w:t> </w:t>
      </w:r>
      <w:r>
        <w:rPr>
          <w:color w:val="231F20"/>
          <w:w w:val="75"/>
          <w:sz w:val="16"/>
        </w:rPr>
        <w:t>grew</w:t>
      </w:r>
      <w:r>
        <w:rPr>
          <w:color w:val="231F20"/>
          <w:spacing w:val="10"/>
          <w:sz w:val="16"/>
        </w:rPr>
        <w:t> </w:t>
      </w:r>
      <w:r>
        <w:rPr>
          <w:color w:val="231F20"/>
          <w:w w:val="75"/>
          <w:sz w:val="16"/>
        </w:rPr>
        <w:t>by</w:t>
      </w:r>
      <w:r>
        <w:rPr>
          <w:color w:val="231F20"/>
          <w:spacing w:val="10"/>
          <w:sz w:val="16"/>
        </w:rPr>
        <w:t> </w:t>
      </w:r>
      <w:r>
        <w:rPr>
          <w:color w:val="231F20"/>
          <w:w w:val="75"/>
          <w:sz w:val="16"/>
        </w:rPr>
        <w:t>2.6</w:t>
      </w:r>
      <w:r>
        <w:rPr>
          <w:color w:val="231F20"/>
          <w:spacing w:val="10"/>
          <w:sz w:val="16"/>
        </w:rPr>
        <w:t> </w:t>
      </w:r>
      <w:r>
        <w:rPr>
          <w:color w:val="231F20"/>
          <w:w w:val="75"/>
          <w:sz w:val="16"/>
        </w:rPr>
        <w:t>percent</w:t>
      </w:r>
      <w:r>
        <w:rPr>
          <w:color w:val="231F20"/>
          <w:spacing w:val="10"/>
          <w:sz w:val="16"/>
        </w:rPr>
        <w:t> </w:t>
      </w:r>
      <w:r>
        <w:rPr>
          <w:color w:val="231F20"/>
          <w:w w:val="75"/>
          <w:sz w:val="16"/>
        </w:rPr>
        <w:t>in</w:t>
      </w:r>
      <w:r>
        <w:rPr>
          <w:color w:val="231F20"/>
          <w:spacing w:val="10"/>
          <w:sz w:val="16"/>
        </w:rPr>
        <w:t> </w:t>
      </w:r>
      <w:r>
        <w:rPr>
          <w:color w:val="231F20"/>
          <w:w w:val="75"/>
          <w:sz w:val="16"/>
        </w:rPr>
        <w:t>2019,</w:t>
      </w:r>
      <w:r>
        <w:rPr>
          <w:color w:val="231F20"/>
          <w:spacing w:val="10"/>
          <w:sz w:val="16"/>
        </w:rPr>
        <w:t> </w:t>
      </w:r>
      <w:r>
        <w:rPr>
          <w:color w:val="231F20"/>
          <w:w w:val="75"/>
          <w:sz w:val="16"/>
        </w:rPr>
        <w:t>decreased</w:t>
      </w:r>
      <w:r>
        <w:rPr>
          <w:color w:val="231F20"/>
          <w:spacing w:val="11"/>
          <w:sz w:val="16"/>
        </w:rPr>
        <w:t> </w:t>
      </w:r>
      <w:r>
        <w:rPr>
          <w:color w:val="231F20"/>
          <w:spacing w:val="-5"/>
          <w:w w:val="75"/>
          <w:sz w:val="16"/>
        </w:rPr>
        <w:t>by</w:t>
      </w:r>
    </w:p>
    <w:p>
      <w:pPr>
        <w:pStyle w:val="ListParagraph"/>
        <w:numPr>
          <w:ilvl w:val="1"/>
          <w:numId w:val="14"/>
        </w:numPr>
        <w:tabs>
          <w:tab w:pos="4419" w:val="left" w:leader="none"/>
        </w:tabs>
        <w:spacing w:line="261" w:lineRule="auto" w:before="12" w:after="0"/>
        <w:ind w:left="4200" w:right="55" w:firstLine="0"/>
        <w:jc w:val="left"/>
        <w:rPr>
          <w:sz w:val="16"/>
        </w:rPr>
      </w:pPr>
      <w:r>
        <w:rPr>
          <w:color w:val="231F20"/>
          <w:w w:val="85"/>
          <w:sz w:val="16"/>
        </w:rPr>
        <w:t>percent in 2020, and grew by 5.9 percent in 2021.</w:t>
      </w:r>
      <w:r>
        <w:rPr>
          <w:color w:val="231F20"/>
          <w:sz w:val="16"/>
        </w:rPr>
        <w:t> </w:t>
      </w:r>
      <w:r>
        <w:rPr>
          <w:color w:val="231F20"/>
          <w:w w:val="80"/>
          <w:sz w:val="16"/>
        </w:rPr>
        <w:t>So, global GDP was higher in 2021 than in 2019 (</w:t>
      </w:r>
      <w:hyperlink r:id="rId103">
        <w:r>
          <w:rPr>
            <w:color w:val="231F20"/>
            <w:w w:val="80"/>
            <w:sz w:val="16"/>
          </w:rPr>
          <w:t>https://</w:t>
        </w:r>
      </w:hyperlink>
      <w:r>
        <w:rPr>
          <w:color w:val="231F20"/>
          <w:sz w:val="16"/>
        </w:rPr>
        <w:t> </w:t>
      </w:r>
      <w:hyperlink r:id="rId103">
        <w:r>
          <w:rPr>
            <w:color w:val="231F20"/>
            <w:spacing w:val="-2"/>
            <w:w w:val="80"/>
            <w:sz w:val="16"/>
          </w:rPr>
          <w:t>data.worldbank.org/indicator/NY.GDP.MKTP.KD.ZG</w:t>
        </w:r>
      </w:hyperlink>
      <w:r>
        <w:rPr>
          <w:color w:val="231F20"/>
          <w:spacing w:val="-2"/>
          <w:w w:val="80"/>
          <w:sz w:val="16"/>
        </w:rPr>
        <w:t>).</w:t>
      </w:r>
    </w:p>
    <w:p>
      <w:pPr>
        <w:pStyle w:val="ListParagraph"/>
        <w:numPr>
          <w:ilvl w:val="0"/>
          <w:numId w:val="14"/>
        </w:numPr>
        <w:tabs>
          <w:tab w:pos="4200" w:val="left" w:leader="none"/>
        </w:tabs>
        <w:spacing w:line="254" w:lineRule="auto" w:before="20" w:after="0"/>
        <w:ind w:left="4200" w:right="10" w:hanging="360"/>
        <w:jc w:val="left"/>
        <w:rPr>
          <w:sz w:val="16"/>
        </w:rPr>
      </w:pPr>
      <w:r>
        <w:rPr>
          <w:color w:val="231F20"/>
          <w:w w:val="80"/>
          <w:sz w:val="16"/>
        </w:rPr>
        <w:t>The quintiles have different numbers of countries because</w:t>
      </w:r>
      <w:r>
        <w:rPr>
          <w:color w:val="231F20"/>
          <w:sz w:val="16"/>
        </w:rPr>
        <w:t> </w:t>
      </w:r>
      <w:r>
        <w:rPr>
          <w:color w:val="231F20"/>
          <w:w w:val="90"/>
          <w:sz w:val="16"/>
        </w:rPr>
        <w:t>of</w:t>
      </w:r>
      <w:r>
        <w:rPr>
          <w:color w:val="231F20"/>
          <w:spacing w:val="-7"/>
          <w:w w:val="90"/>
          <w:sz w:val="16"/>
        </w:rPr>
        <w:t> </w:t>
      </w:r>
      <w:r>
        <w:rPr>
          <w:color w:val="231F20"/>
          <w:w w:val="90"/>
          <w:sz w:val="16"/>
        </w:rPr>
        <w:t>tied</w:t>
      </w:r>
      <w:r>
        <w:rPr>
          <w:color w:val="231F20"/>
          <w:spacing w:val="-7"/>
          <w:w w:val="90"/>
          <w:sz w:val="16"/>
        </w:rPr>
        <w:t> </w:t>
      </w:r>
      <w:r>
        <w:rPr>
          <w:color w:val="231F20"/>
          <w:w w:val="90"/>
          <w:sz w:val="16"/>
        </w:rPr>
        <w:t>scores</w:t>
      </w:r>
      <w:r>
        <w:rPr>
          <w:color w:val="231F20"/>
          <w:spacing w:val="-6"/>
          <w:w w:val="90"/>
          <w:sz w:val="16"/>
        </w:rPr>
        <w:t> </w:t>
      </w:r>
      <w:r>
        <w:rPr>
          <w:color w:val="231F20"/>
          <w:w w:val="90"/>
          <w:sz w:val="16"/>
        </w:rPr>
        <w:t>in</w:t>
      </w:r>
      <w:r>
        <w:rPr>
          <w:color w:val="231F20"/>
          <w:spacing w:val="-7"/>
          <w:w w:val="90"/>
          <w:sz w:val="16"/>
        </w:rPr>
        <w:t> </w:t>
      </w:r>
      <w:r>
        <w:rPr>
          <w:color w:val="231F20"/>
          <w:w w:val="90"/>
          <w:sz w:val="16"/>
        </w:rPr>
        <w:t>some</w:t>
      </w:r>
      <w:r>
        <w:rPr>
          <w:color w:val="231F20"/>
          <w:spacing w:val="-7"/>
          <w:w w:val="90"/>
          <w:sz w:val="16"/>
        </w:rPr>
        <w:t> </w:t>
      </w:r>
      <w:r>
        <w:rPr>
          <w:color w:val="231F20"/>
          <w:w w:val="90"/>
          <w:sz w:val="16"/>
        </w:rPr>
        <w:t>cases.</w:t>
      </w:r>
    </w:p>
    <w:p>
      <w:pPr>
        <w:pStyle w:val="ListParagraph"/>
        <w:numPr>
          <w:ilvl w:val="0"/>
          <w:numId w:val="14"/>
        </w:numPr>
        <w:tabs>
          <w:tab w:pos="4200" w:val="left" w:leader="none"/>
        </w:tabs>
        <w:spacing w:line="259" w:lineRule="auto" w:before="25" w:after="0"/>
        <w:ind w:left="4200" w:right="210" w:hanging="360"/>
        <w:jc w:val="left"/>
        <w:rPr>
          <w:sz w:val="16"/>
        </w:rPr>
      </w:pPr>
      <w:r>
        <w:rPr>
          <w:color w:val="231F20"/>
          <w:w w:val="80"/>
          <w:sz w:val="16"/>
        </w:rPr>
        <w:t>Lead time refers to the duration of a logistics process,</w:t>
      </w:r>
      <w:r>
        <w:rPr>
          <w:color w:val="231F20"/>
          <w:sz w:val="16"/>
        </w:rPr>
        <w:t> </w:t>
      </w:r>
      <w:r>
        <w:rPr>
          <w:color w:val="231F20"/>
          <w:w w:val="80"/>
          <w:sz w:val="16"/>
        </w:rPr>
        <w:t>irrespective of the location of the initial and end events</w:t>
      </w:r>
      <w:r>
        <w:rPr>
          <w:color w:val="231F20"/>
          <w:sz w:val="16"/>
        </w:rPr>
        <w:t> </w:t>
      </w:r>
      <w:r>
        <w:rPr>
          <w:color w:val="231F20"/>
          <w:w w:val="80"/>
          <w:sz w:val="16"/>
        </w:rPr>
        <w:t>defining the process. In contrast, dwell time refers to</w:t>
      </w:r>
      <w:r>
        <w:rPr>
          <w:color w:val="231F20"/>
          <w:sz w:val="16"/>
        </w:rPr>
        <w:t> </w:t>
      </w:r>
      <w:r>
        <w:rPr>
          <w:color w:val="231F20"/>
          <w:w w:val="85"/>
          <w:sz w:val="16"/>
        </w:rPr>
        <w:t>the</w:t>
      </w:r>
      <w:r>
        <w:rPr>
          <w:color w:val="231F20"/>
          <w:spacing w:val="-5"/>
          <w:w w:val="85"/>
          <w:sz w:val="16"/>
        </w:rPr>
        <w:t> </w:t>
      </w:r>
      <w:r>
        <w:rPr>
          <w:color w:val="231F20"/>
          <w:w w:val="85"/>
          <w:sz w:val="16"/>
        </w:rPr>
        <w:t>lead</w:t>
      </w:r>
      <w:r>
        <w:rPr>
          <w:color w:val="231F20"/>
          <w:spacing w:val="-4"/>
          <w:w w:val="85"/>
          <w:sz w:val="16"/>
        </w:rPr>
        <w:t> </w:t>
      </w:r>
      <w:r>
        <w:rPr>
          <w:color w:val="231F20"/>
          <w:w w:val="85"/>
          <w:sz w:val="16"/>
        </w:rPr>
        <w:t>time</w:t>
      </w:r>
      <w:r>
        <w:rPr>
          <w:color w:val="231F20"/>
          <w:spacing w:val="-5"/>
          <w:w w:val="85"/>
          <w:sz w:val="16"/>
        </w:rPr>
        <w:t> </w:t>
      </w:r>
      <w:r>
        <w:rPr>
          <w:color w:val="231F20"/>
          <w:w w:val="85"/>
          <w:sz w:val="16"/>
        </w:rPr>
        <w:t>between</w:t>
      </w:r>
      <w:r>
        <w:rPr>
          <w:color w:val="231F20"/>
          <w:spacing w:val="-4"/>
          <w:w w:val="85"/>
          <w:sz w:val="16"/>
        </w:rPr>
        <w:t> </w:t>
      </w:r>
      <w:r>
        <w:rPr>
          <w:color w:val="231F20"/>
          <w:w w:val="85"/>
          <w:sz w:val="16"/>
        </w:rPr>
        <w:t>the</w:t>
      </w:r>
      <w:r>
        <w:rPr>
          <w:color w:val="231F20"/>
          <w:spacing w:val="-5"/>
          <w:w w:val="85"/>
          <w:sz w:val="16"/>
        </w:rPr>
        <w:t> </w:t>
      </w:r>
      <w:r>
        <w:rPr>
          <w:color w:val="231F20"/>
          <w:w w:val="85"/>
          <w:sz w:val="16"/>
        </w:rPr>
        <w:t>first</w:t>
      </w:r>
      <w:r>
        <w:rPr>
          <w:color w:val="231F20"/>
          <w:spacing w:val="-4"/>
          <w:w w:val="85"/>
          <w:sz w:val="16"/>
        </w:rPr>
        <w:t> </w:t>
      </w:r>
      <w:r>
        <w:rPr>
          <w:color w:val="231F20"/>
          <w:w w:val="85"/>
          <w:sz w:val="16"/>
        </w:rPr>
        <w:t>and</w:t>
      </w:r>
      <w:r>
        <w:rPr>
          <w:color w:val="231F20"/>
          <w:spacing w:val="-4"/>
          <w:w w:val="85"/>
          <w:sz w:val="16"/>
        </w:rPr>
        <w:t> </w:t>
      </w:r>
      <w:r>
        <w:rPr>
          <w:color w:val="231F20"/>
          <w:w w:val="85"/>
          <w:sz w:val="16"/>
        </w:rPr>
        <w:t>last</w:t>
      </w:r>
      <w:r>
        <w:rPr>
          <w:color w:val="231F20"/>
          <w:spacing w:val="-5"/>
          <w:w w:val="85"/>
          <w:sz w:val="16"/>
        </w:rPr>
        <w:t> </w:t>
      </w:r>
      <w:r>
        <w:rPr>
          <w:color w:val="231F20"/>
          <w:w w:val="85"/>
          <w:sz w:val="16"/>
        </w:rPr>
        <w:t>events</w:t>
      </w:r>
      <w:r>
        <w:rPr>
          <w:color w:val="231F20"/>
          <w:spacing w:val="-4"/>
          <w:w w:val="85"/>
          <w:sz w:val="16"/>
        </w:rPr>
        <w:t> </w:t>
      </w:r>
      <w:r>
        <w:rPr>
          <w:color w:val="231F20"/>
          <w:w w:val="85"/>
          <w:sz w:val="16"/>
        </w:rPr>
        <w:t>at</w:t>
      </w:r>
      <w:r>
        <w:rPr>
          <w:color w:val="231F20"/>
          <w:spacing w:val="-5"/>
          <w:w w:val="85"/>
          <w:sz w:val="16"/>
        </w:rPr>
        <w:t> </w:t>
      </w:r>
      <w:r>
        <w:rPr>
          <w:color w:val="231F20"/>
          <w:w w:val="85"/>
          <w:sz w:val="16"/>
        </w:rPr>
        <w:t>the</w:t>
      </w:r>
    </w:p>
    <w:p>
      <w:pPr>
        <w:spacing w:line="261" w:lineRule="auto" w:before="0"/>
        <w:ind w:left="4200" w:right="75" w:firstLine="0"/>
        <w:jc w:val="left"/>
        <w:rPr>
          <w:rFonts w:ascii="Arial"/>
          <w:sz w:val="16"/>
        </w:rPr>
      </w:pPr>
      <w:r>
        <w:rPr>
          <w:rFonts w:ascii="Arial"/>
          <w:color w:val="231F20"/>
          <w:w w:val="80"/>
          <w:sz w:val="16"/>
        </w:rPr>
        <w:t>same location in a supply chain and is used mostly in the</w:t>
      </w:r>
      <w:r>
        <w:rPr>
          <w:rFonts w:ascii="Arial"/>
          <w:color w:val="231F20"/>
          <w:sz w:val="16"/>
        </w:rPr>
        <w:t> </w:t>
      </w:r>
      <w:r>
        <w:rPr>
          <w:rFonts w:ascii="Arial"/>
          <w:color w:val="231F20"/>
          <w:w w:val="90"/>
          <w:sz w:val="16"/>
        </w:rPr>
        <w:t>context</w:t>
      </w:r>
      <w:r>
        <w:rPr>
          <w:rFonts w:ascii="Arial"/>
          <w:color w:val="231F20"/>
          <w:spacing w:val="-5"/>
          <w:w w:val="90"/>
          <w:sz w:val="16"/>
        </w:rPr>
        <w:t> </w:t>
      </w:r>
      <w:r>
        <w:rPr>
          <w:rFonts w:ascii="Arial"/>
          <w:color w:val="231F20"/>
          <w:w w:val="90"/>
          <w:sz w:val="16"/>
        </w:rPr>
        <w:t>of</w:t>
      </w:r>
      <w:r>
        <w:rPr>
          <w:rFonts w:ascii="Arial"/>
          <w:color w:val="231F20"/>
          <w:spacing w:val="-5"/>
          <w:w w:val="90"/>
          <w:sz w:val="16"/>
        </w:rPr>
        <w:t> </w:t>
      </w:r>
      <w:r>
        <w:rPr>
          <w:rFonts w:ascii="Arial"/>
          <w:color w:val="231F20"/>
          <w:w w:val="90"/>
          <w:sz w:val="16"/>
        </w:rPr>
        <w:t>ports</w:t>
      </w:r>
      <w:r>
        <w:rPr>
          <w:rFonts w:ascii="Arial"/>
          <w:color w:val="231F20"/>
          <w:spacing w:val="-5"/>
          <w:w w:val="90"/>
          <w:sz w:val="16"/>
        </w:rPr>
        <w:t> </w:t>
      </w:r>
      <w:r>
        <w:rPr>
          <w:rFonts w:ascii="Arial"/>
          <w:color w:val="231F20"/>
          <w:w w:val="90"/>
          <w:sz w:val="16"/>
        </w:rPr>
        <w:t>and</w:t>
      </w:r>
      <w:r>
        <w:rPr>
          <w:rFonts w:ascii="Arial"/>
          <w:color w:val="231F20"/>
          <w:spacing w:val="-5"/>
          <w:w w:val="90"/>
          <w:sz w:val="16"/>
        </w:rPr>
        <w:t> </w:t>
      </w:r>
      <w:r>
        <w:rPr>
          <w:rFonts w:ascii="Arial"/>
          <w:color w:val="231F20"/>
          <w:w w:val="90"/>
          <w:sz w:val="16"/>
        </w:rPr>
        <w:t>airports.</w:t>
      </w:r>
    </w:p>
    <w:p>
      <w:pPr>
        <w:pStyle w:val="ListParagraph"/>
        <w:numPr>
          <w:ilvl w:val="0"/>
          <w:numId w:val="14"/>
        </w:numPr>
        <w:tabs>
          <w:tab w:pos="4200" w:val="left" w:leader="none"/>
        </w:tabs>
        <w:spacing w:line="256" w:lineRule="auto" w:before="19" w:after="0"/>
        <w:ind w:left="4200" w:right="203" w:hanging="360"/>
        <w:jc w:val="left"/>
        <w:rPr>
          <w:sz w:val="16"/>
        </w:rPr>
      </w:pPr>
      <w:r>
        <w:rPr>
          <w:color w:val="231F20"/>
          <w:w w:val="80"/>
          <w:sz w:val="16"/>
        </w:rPr>
        <w:t>Transport connections refer to the number of countries</w:t>
      </w:r>
      <w:r>
        <w:rPr>
          <w:color w:val="231F20"/>
          <w:sz w:val="16"/>
        </w:rPr>
        <w:t> </w:t>
      </w:r>
      <w:r>
        <w:rPr>
          <w:color w:val="231F20"/>
          <w:w w:val="85"/>
          <w:sz w:val="16"/>
        </w:rPr>
        <w:t>a</w:t>
      </w:r>
      <w:r>
        <w:rPr>
          <w:color w:val="231F20"/>
          <w:spacing w:val="-3"/>
          <w:w w:val="85"/>
          <w:sz w:val="16"/>
        </w:rPr>
        <w:t> </w:t>
      </w:r>
      <w:r>
        <w:rPr>
          <w:color w:val="231F20"/>
          <w:w w:val="85"/>
          <w:sz w:val="16"/>
        </w:rPr>
        <w:t>country</w:t>
      </w:r>
      <w:r>
        <w:rPr>
          <w:color w:val="231F20"/>
          <w:spacing w:val="-3"/>
          <w:w w:val="85"/>
          <w:sz w:val="16"/>
        </w:rPr>
        <w:t> </w:t>
      </w:r>
      <w:r>
        <w:rPr>
          <w:color w:val="231F20"/>
          <w:w w:val="85"/>
          <w:sz w:val="16"/>
        </w:rPr>
        <w:t>is</w:t>
      </w:r>
      <w:r>
        <w:rPr>
          <w:color w:val="231F20"/>
          <w:spacing w:val="-3"/>
          <w:w w:val="85"/>
          <w:sz w:val="16"/>
        </w:rPr>
        <w:t> </w:t>
      </w:r>
      <w:r>
        <w:rPr>
          <w:color w:val="231F20"/>
          <w:w w:val="85"/>
          <w:sz w:val="16"/>
        </w:rPr>
        <w:t>connected</w:t>
      </w:r>
      <w:r>
        <w:rPr>
          <w:color w:val="231F20"/>
          <w:spacing w:val="-3"/>
          <w:w w:val="85"/>
          <w:sz w:val="16"/>
        </w:rPr>
        <w:t> </w:t>
      </w:r>
      <w:r>
        <w:rPr>
          <w:color w:val="231F20"/>
          <w:w w:val="85"/>
          <w:sz w:val="16"/>
        </w:rPr>
        <w:t>to</w:t>
      </w:r>
      <w:r>
        <w:rPr>
          <w:color w:val="231F20"/>
          <w:spacing w:val="-3"/>
          <w:w w:val="85"/>
          <w:sz w:val="16"/>
        </w:rPr>
        <w:t> </w:t>
      </w:r>
      <w:r>
        <w:rPr>
          <w:color w:val="231F20"/>
          <w:w w:val="85"/>
          <w:sz w:val="16"/>
        </w:rPr>
        <w:t>by</w:t>
      </w:r>
      <w:r>
        <w:rPr>
          <w:color w:val="231F20"/>
          <w:spacing w:val="-3"/>
          <w:w w:val="85"/>
          <w:sz w:val="16"/>
        </w:rPr>
        <w:t> </w:t>
      </w:r>
      <w:r>
        <w:rPr>
          <w:color w:val="231F20"/>
          <w:w w:val="85"/>
          <w:sz w:val="16"/>
        </w:rPr>
        <w:t>one</w:t>
      </w:r>
      <w:r>
        <w:rPr>
          <w:color w:val="231F20"/>
          <w:spacing w:val="-3"/>
          <w:w w:val="85"/>
          <w:sz w:val="16"/>
        </w:rPr>
        <w:t> </w:t>
      </w:r>
      <w:r>
        <w:rPr>
          <w:color w:val="231F20"/>
          <w:w w:val="85"/>
          <w:sz w:val="16"/>
        </w:rPr>
        <w:t>of</w:t>
      </w:r>
      <w:r>
        <w:rPr>
          <w:color w:val="231F20"/>
          <w:spacing w:val="-3"/>
          <w:w w:val="85"/>
          <w:sz w:val="16"/>
        </w:rPr>
        <w:t> </w:t>
      </w:r>
      <w:r>
        <w:rPr>
          <w:color w:val="231F20"/>
          <w:w w:val="85"/>
          <w:sz w:val="16"/>
        </w:rPr>
        <w:t>the</w:t>
      </w:r>
      <w:r>
        <w:rPr>
          <w:color w:val="231F20"/>
          <w:spacing w:val="-3"/>
          <w:w w:val="85"/>
          <w:sz w:val="16"/>
        </w:rPr>
        <w:t> </w:t>
      </w:r>
      <w:r>
        <w:rPr>
          <w:color w:val="231F20"/>
          <w:w w:val="85"/>
          <w:sz w:val="16"/>
        </w:rPr>
        <w:t>three</w:t>
      </w:r>
      <w:r>
        <w:rPr>
          <w:color w:val="231F20"/>
          <w:spacing w:val="-3"/>
          <w:w w:val="85"/>
          <w:sz w:val="16"/>
        </w:rPr>
        <w:t> </w:t>
      </w:r>
      <w:r>
        <w:rPr>
          <w:color w:val="231F20"/>
          <w:w w:val="85"/>
          <w:sz w:val="16"/>
        </w:rPr>
        <w:t>modes</w:t>
      </w:r>
      <w:r>
        <w:rPr>
          <w:color w:val="231F20"/>
          <w:sz w:val="16"/>
        </w:rPr>
        <w:t> </w:t>
      </w:r>
      <w:r>
        <w:rPr>
          <w:color w:val="231F20"/>
          <w:w w:val="85"/>
          <w:sz w:val="16"/>
        </w:rPr>
        <w:t>analyzed</w:t>
      </w:r>
      <w:r>
        <w:rPr>
          <w:color w:val="231F20"/>
          <w:spacing w:val="-1"/>
          <w:w w:val="85"/>
          <w:sz w:val="16"/>
        </w:rPr>
        <w:t> </w:t>
      </w:r>
      <w:r>
        <w:rPr>
          <w:color w:val="231F20"/>
          <w:w w:val="85"/>
          <w:sz w:val="16"/>
        </w:rPr>
        <w:t>here</w:t>
      </w:r>
      <w:r>
        <w:rPr>
          <w:color w:val="231F20"/>
          <w:spacing w:val="-1"/>
          <w:w w:val="85"/>
          <w:sz w:val="16"/>
        </w:rPr>
        <w:t> </w:t>
      </w:r>
      <w:r>
        <w:rPr>
          <w:color w:val="231F20"/>
          <w:w w:val="85"/>
          <w:sz w:val="16"/>
        </w:rPr>
        <w:t>(air,</w:t>
      </w:r>
      <w:r>
        <w:rPr>
          <w:color w:val="231F20"/>
          <w:spacing w:val="-1"/>
          <w:w w:val="85"/>
          <w:sz w:val="16"/>
        </w:rPr>
        <w:t> </w:t>
      </w:r>
      <w:r>
        <w:rPr>
          <w:color w:val="231F20"/>
          <w:w w:val="85"/>
          <w:sz w:val="16"/>
        </w:rPr>
        <w:t>shipping,</w:t>
      </w:r>
      <w:r>
        <w:rPr>
          <w:color w:val="231F20"/>
          <w:spacing w:val="-1"/>
          <w:w w:val="85"/>
          <w:sz w:val="16"/>
        </w:rPr>
        <w:t> </w:t>
      </w:r>
      <w:r>
        <w:rPr>
          <w:color w:val="231F20"/>
          <w:w w:val="85"/>
          <w:sz w:val="16"/>
        </w:rPr>
        <w:t>or</w:t>
      </w:r>
      <w:r>
        <w:rPr>
          <w:color w:val="231F20"/>
          <w:spacing w:val="-1"/>
          <w:w w:val="85"/>
          <w:sz w:val="16"/>
        </w:rPr>
        <w:t> </w:t>
      </w:r>
      <w:r>
        <w:rPr>
          <w:color w:val="231F20"/>
          <w:w w:val="85"/>
          <w:sz w:val="16"/>
        </w:rPr>
        <w:t>postal).</w:t>
      </w:r>
    </w:p>
    <w:p>
      <w:pPr>
        <w:pStyle w:val="ListParagraph"/>
        <w:numPr>
          <w:ilvl w:val="0"/>
          <w:numId w:val="14"/>
        </w:numPr>
        <w:tabs>
          <w:tab w:pos="4200" w:val="left" w:leader="none"/>
        </w:tabs>
        <w:spacing w:line="256" w:lineRule="auto" w:before="25" w:after="0"/>
        <w:ind w:left="4200" w:right="19" w:hanging="360"/>
        <w:jc w:val="left"/>
        <w:rPr>
          <w:sz w:val="16"/>
        </w:rPr>
      </w:pPr>
      <w:r>
        <w:rPr>
          <w:color w:val="231F20"/>
          <w:w w:val="85"/>
          <w:sz w:val="16"/>
        </w:rPr>
        <w:t>The</w:t>
      </w:r>
      <w:r>
        <w:rPr>
          <w:color w:val="231F20"/>
          <w:spacing w:val="-4"/>
          <w:w w:val="85"/>
          <w:sz w:val="16"/>
        </w:rPr>
        <w:t> </w:t>
      </w:r>
      <w:r>
        <w:rPr>
          <w:color w:val="231F20"/>
          <w:w w:val="85"/>
          <w:sz w:val="16"/>
        </w:rPr>
        <w:t>question</w:t>
      </w:r>
      <w:r>
        <w:rPr>
          <w:color w:val="231F20"/>
          <w:spacing w:val="-4"/>
          <w:w w:val="85"/>
          <w:sz w:val="16"/>
        </w:rPr>
        <w:t> </w:t>
      </w:r>
      <w:r>
        <w:rPr>
          <w:color w:val="231F20"/>
          <w:w w:val="85"/>
          <w:sz w:val="16"/>
        </w:rPr>
        <w:t>in</w:t>
      </w:r>
      <w:r>
        <w:rPr>
          <w:color w:val="231F20"/>
          <w:spacing w:val="-4"/>
          <w:w w:val="85"/>
          <w:sz w:val="16"/>
        </w:rPr>
        <w:t> </w:t>
      </w:r>
      <w:r>
        <w:rPr>
          <w:color w:val="231F20"/>
          <w:w w:val="85"/>
          <w:sz w:val="16"/>
        </w:rPr>
        <w:t>the</w:t>
      </w:r>
      <w:r>
        <w:rPr>
          <w:color w:val="231F20"/>
          <w:spacing w:val="-4"/>
          <w:w w:val="85"/>
          <w:sz w:val="16"/>
        </w:rPr>
        <w:t> </w:t>
      </w:r>
      <w:r>
        <w:rPr>
          <w:color w:val="231F20"/>
          <w:w w:val="85"/>
          <w:sz w:val="16"/>
        </w:rPr>
        <w:t>LPI</w:t>
      </w:r>
      <w:r>
        <w:rPr>
          <w:color w:val="231F20"/>
          <w:spacing w:val="-4"/>
          <w:w w:val="85"/>
          <w:sz w:val="16"/>
        </w:rPr>
        <w:t> </w:t>
      </w:r>
      <w:r>
        <w:rPr>
          <w:color w:val="231F20"/>
          <w:w w:val="85"/>
          <w:sz w:val="16"/>
        </w:rPr>
        <w:t>survey</w:t>
      </w:r>
      <w:r>
        <w:rPr>
          <w:color w:val="231F20"/>
          <w:spacing w:val="-4"/>
          <w:w w:val="85"/>
          <w:sz w:val="16"/>
        </w:rPr>
        <w:t> </w:t>
      </w:r>
      <w:r>
        <w:rPr>
          <w:color w:val="231F20"/>
          <w:w w:val="85"/>
          <w:sz w:val="16"/>
        </w:rPr>
        <w:t>refers</w:t>
      </w:r>
      <w:r>
        <w:rPr>
          <w:color w:val="231F20"/>
          <w:spacing w:val="-4"/>
          <w:w w:val="85"/>
          <w:sz w:val="16"/>
        </w:rPr>
        <w:t> </w:t>
      </w:r>
      <w:r>
        <w:rPr>
          <w:color w:val="231F20"/>
          <w:w w:val="85"/>
          <w:sz w:val="16"/>
        </w:rPr>
        <w:t>only</w:t>
      </w:r>
      <w:r>
        <w:rPr>
          <w:color w:val="231F20"/>
          <w:spacing w:val="-4"/>
          <w:w w:val="85"/>
          <w:sz w:val="16"/>
        </w:rPr>
        <w:t> </w:t>
      </w:r>
      <w:r>
        <w:rPr>
          <w:color w:val="231F20"/>
          <w:w w:val="85"/>
          <w:sz w:val="16"/>
        </w:rPr>
        <w:t>to</w:t>
      </w:r>
      <w:r>
        <w:rPr>
          <w:color w:val="231F20"/>
          <w:spacing w:val="-4"/>
          <w:w w:val="85"/>
          <w:sz w:val="16"/>
        </w:rPr>
        <w:t> </w:t>
      </w:r>
      <w:r>
        <w:rPr>
          <w:color w:val="231F20"/>
          <w:w w:val="85"/>
          <w:sz w:val="16"/>
        </w:rPr>
        <w:t>how</w:t>
      </w:r>
      <w:r>
        <w:rPr>
          <w:color w:val="231F20"/>
          <w:spacing w:val="-4"/>
          <w:w w:val="85"/>
          <w:sz w:val="16"/>
        </w:rPr>
        <w:t> </w:t>
      </w:r>
      <w:r>
        <w:rPr>
          <w:color w:val="231F20"/>
          <w:w w:val="85"/>
          <w:sz w:val="16"/>
        </w:rPr>
        <w:t>often</w:t>
      </w:r>
      <w:r>
        <w:rPr>
          <w:color w:val="231F20"/>
          <w:sz w:val="16"/>
        </w:rPr>
        <w:t> </w:t>
      </w:r>
      <w:r>
        <w:rPr>
          <w:color w:val="231F20"/>
          <w:w w:val="80"/>
          <w:sz w:val="16"/>
        </w:rPr>
        <w:t>shippers asked for these options, not how often they were</w:t>
      </w:r>
      <w:r>
        <w:rPr>
          <w:color w:val="231F20"/>
          <w:sz w:val="16"/>
        </w:rPr>
        <w:t> </w:t>
      </w:r>
      <w:r>
        <w:rPr>
          <w:color w:val="231F20"/>
          <w:spacing w:val="-2"/>
          <w:w w:val="90"/>
          <w:sz w:val="16"/>
        </w:rPr>
        <w:t>chosen.</w:t>
      </w:r>
    </w:p>
    <w:p>
      <w:pPr>
        <w:pStyle w:val="ListParagraph"/>
        <w:numPr>
          <w:ilvl w:val="0"/>
          <w:numId w:val="14"/>
        </w:numPr>
        <w:tabs>
          <w:tab w:pos="4199" w:val="left" w:leader="none"/>
        </w:tabs>
        <w:spacing w:line="240" w:lineRule="auto" w:before="25" w:after="0"/>
        <w:ind w:left="4199" w:right="0" w:hanging="359"/>
        <w:jc w:val="left"/>
        <w:rPr>
          <w:sz w:val="16"/>
        </w:rPr>
      </w:pPr>
      <w:r>
        <w:rPr>
          <w:color w:val="231F20"/>
          <w:w w:val="80"/>
          <w:sz w:val="16"/>
        </w:rPr>
        <w:t>“Shipper”</w:t>
      </w:r>
      <w:r>
        <w:rPr>
          <w:color w:val="231F20"/>
          <w:spacing w:val="-6"/>
          <w:sz w:val="16"/>
        </w:rPr>
        <w:t> </w:t>
      </w:r>
      <w:r>
        <w:rPr>
          <w:color w:val="231F20"/>
          <w:w w:val="80"/>
          <w:sz w:val="16"/>
        </w:rPr>
        <w:t>refers</w:t>
      </w:r>
      <w:r>
        <w:rPr>
          <w:color w:val="231F20"/>
          <w:spacing w:val="-5"/>
          <w:sz w:val="16"/>
        </w:rPr>
        <w:t> </w:t>
      </w:r>
      <w:r>
        <w:rPr>
          <w:color w:val="231F20"/>
          <w:w w:val="80"/>
          <w:sz w:val="16"/>
        </w:rPr>
        <w:t>to</w:t>
      </w:r>
      <w:r>
        <w:rPr>
          <w:color w:val="231F20"/>
          <w:spacing w:val="-5"/>
          <w:sz w:val="16"/>
        </w:rPr>
        <w:t> </w:t>
      </w:r>
      <w:r>
        <w:rPr>
          <w:color w:val="231F20"/>
          <w:w w:val="80"/>
          <w:sz w:val="16"/>
        </w:rPr>
        <w:t>the</w:t>
      </w:r>
      <w:r>
        <w:rPr>
          <w:color w:val="231F20"/>
          <w:spacing w:val="-5"/>
          <w:sz w:val="16"/>
        </w:rPr>
        <w:t> </w:t>
      </w:r>
      <w:r>
        <w:rPr>
          <w:color w:val="231F20"/>
          <w:w w:val="80"/>
          <w:sz w:val="16"/>
        </w:rPr>
        <w:t>owner</w:t>
      </w:r>
      <w:r>
        <w:rPr>
          <w:color w:val="231F20"/>
          <w:spacing w:val="-5"/>
          <w:sz w:val="16"/>
        </w:rPr>
        <w:t> </w:t>
      </w:r>
      <w:r>
        <w:rPr>
          <w:color w:val="231F20"/>
          <w:w w:val="80"/>
          <w:sz w:val="16"/>
        </w:rPr>
        <w:t>of</w:t>
      </w:r>
      <w:r>
        <w:rPr>
          <w:color w:val="231F20"/>
          <w:spacing w:val="-5"/>
          <w:sz w:val="16"/>
        </w:rPr>
        <w:t> </w:t>
      </w:r>
      <w:r>
        <w:rPr>
          <w:color w:val="231F20"/>
          <w:w w:val="80"/>
          <w:sz w:val="16"/>
        </w:rPr>
        <w:t>goods</w:t>
      </w:r>
      <w:r>
        <w:rPr>
          <w:color w:val="231F20"/>
          <w:spacing w:val="-6"/>
          <w:sz w:val="16"/>
        </w:rPr>
        <w:t> </w:t>
      </w:r>
      <w:r>
        <w:rPr>
          <w:color w:val="231F20"/>
          <w:w w:val="80"/>
          <w:sz w:val="16"/>
        </w:rPr>
        <w:t>being</w:t>
      </w:r>
      <w:r>
        <w:rPr>
          <w:color w:val="231F20"/>
          <w:spacing w:val="-5"/>
          <w:sz w:val="16"/>
        </w:rPr>
        <w:t> </w:t>
      </w:r>
      <w:r>
        <w:rPr>
          <w:color w:val="231F20"/>
          <w:spacing w:val="-2"/>
          <w:w w:val="80"/>
          <w:sz w:val="16"/>
        </w:rPr>
        <w:t>transported.</w:t>
      </w:r>
    </w:p>
    <w:p>
      <w:pPr>
        <w:pStyle w:val="ListParagraph"/>
        <w:numPr>
          <w:ilvl w:val="0"/>
          <w:numId w:val="14"/>
        </w:numPr>
        <w:tabs>
          <w:tab w:pos="4200" w:val="left" w:leader="none"/>
        </w:tabs>
        <w:spacing w:line="254" w:lineRule="auto" w:before="33" w:after="0"/>
        <w:ind w:left="4200" w:right="194" w:hanging="360"/>
        <w:jc w:val="left"/>
        <w:rPr>
          <w:sz w:val="16"/>
        </w:rPr>
      </w:pPr>
      <w:r>
        <w:rPr>
          <w:color w:val="231F20"/>
          <w:w w:val="80"/>
          <w:sz w:val="16"/>
        </w:rPr>
        <w:t>World Bank estimate based on Automatic Identification</w:t>
      </w:r>
      <w:r>
        <w:rPr>
          <w:color w:val="231F20"/>
          <w:sz w:val="16"/>
        </w:rPr>
        <w:t> </w:t>
      </w:r>
      <w:r>
        <w:rPr>
          <w:color w:val="231F20"/>
          <w:w w:val="90"/>
          <w:sz w:val="16"/>
        </w:rPr>
        <w:t>System</w:t>
      </w:r>
      <w:r>
        <w:rPr>
          <w:color w:val="231F20"/>
          <w:spacing w:val="-6"/>
          <w:w w:val="90"/>
          <w:sz w:val="16"/>
        </w:rPr>
        <w:t> </w:t>
      </w:r>
      <w:r>
        <w:rPr>
          <w:color w:val="231F20"/>
          <w:w w:val="90"/>
          <w:sz w:val="16"/>
        </w:rPr>
        <w:t>data.</w:t>
      </w:r>
    </w:p>
    <w:p>
      <w:pPr>
        <w:pStyle w:val="ListParagraph"/>
        <w:numPr>
          <w:ilvl w:val="0"/>
          <w:numId w:val="14"/>
        </w:numPr>
        <w:tabs>
          <w:tab w:pos="4198" w:val="left" w:leader="none"/>
        </w:tabs>
        <w:spacing w:line="240" w:lineRule="auto" w:before="26" w:after="0"/>
        <w:ind w:left="4198" w:right="0" w:hanging="358"/>
        <w:jc w:val="left"/>
        <w:rPr>
          <w:sz w:val="16"/>
        </w:rPr>
      </w:pPr>
      <w:r>
        <w:rPr>
          <w:color w:val="231F20"/>
          <w:w w:val="70"/>
          <w:sz w:val="16"/>
        </w:rPr>
        <w:t>IATA</w:t>
      </w:r>
      <w:r>
        <w:rPr>
          <w:color w:val="231F20"/>
          <w:sz w:val="16"/>
        </w:rPr>
        <w:t> </w:t>
      </w:r>
      <w:r>
        <w:rPr>
          <w:color w:val="231F20"/>
          <w:spacing w:val="-2"/>
          <w:w w:val="90"/>
          <w:sz w:val="16"/>
        </w:rPr>
        <w:t>2022.</w:t>
      </w:r>
    </w:p>
    <w:p>
      <w:pPr>
        <w:pStyle w:val="ListParagraph"/>
        <w:numPr>
          <w:ilvl w:val="0"/>
          <w:numId w:val="14"/>
        </w:numPr>
        <w:tabs>
          <w:tab w:pos="4198" w:val="left" w:leader="none"/>
        </w:tabs>
        <w:spacing w:line="240" w:lineRule="auto" w:before="33" w:after="0"/>
        <w:ind w:left="4198" w:right="0" w:hanging="358"/>
        <w:jc w:val="left"/>
        <w:rPr>
          <w:sz w:val="16"/>
        </w:rPr>
      </w:pPr>
      <w:r>
        <w:rPr>
          <w:color w:val="231F20"/>
          <w:w w:val="75"/>
          <w:sz w:val="16"/>
        </w:rPr>
        <w:t>Beretzky</w:t>
      </w:r>
      <w:r>
        <w:rPr>
          <w:color w:val="231F20"/>
          <w:spacing w:val="12"/>
          <w:sz w:val="16"/>
        </w:rPr>
        <w:t> </w:t>
      </w:r>
      <w:r>
        <w:rPr>
          <w:color w:val="231F20"/>
          <w:w w:val="75"/>
          <w:sz w:val="16"/>
        </w:rPr>
        <w:t>and</w:t>
      </w:r>
      <w:r>
        <w:rPr>
          <w:color w:val="231F20"/>
          <w:spacing w:val="13"/>
          <w:sz w:val="16"/>
        </w:rPr>
        <w:t> </w:t>
      </w:r>
      <w:r>
        <w:rPr>
          <w:color w:val="231F20"/>
          <w:w w:val="75"/>
          <w:sz w:val="16"/>
        </w:rPr>
        <w:t>others</w:t>
      </w:r>
      <w:r>
        <w:rPr>
          <w:color w:val="231F20"/>
          <w:spacing w:val="12"/>
          <w:sz w:val="16"/>
        </w:rPr>
        <w:t> </w:t>
      </w:r>
      <w:r>
        <w:rPr>
          <w:color w:val="231F20"/>
          <w:spacing w:val="-4"/>
          <w:w w:val="75"/>
          <w:sz w:val="16"/>
        </w:rPr>
        <w:t>2022.</w:t>
      </w:r>
    </w:p>
    <w:p>
      <w:pPr>
        <w:pStyle w:val="ListParagraph"/>
        <w:numPr>
          <w:ilvl w:val="0"/>
          <w:numId w:val="14"/>
        </w:numPr>
        <w:tabs>
          <w:tab w:pos="4198" w:val="left" w:leader="none"/>
        </w:tabs>
        <w:spacing w:line="240" w:lineRule="auto" w:before="33" w:after="0"/>
        <w:ind w:left="4198" w:right="0" w:hanging="358"/>
        <w:jc w:val="left"/>
        <w:rPr>
          <w:sz w:val="16"/>
        </w:rPr>
      </w:pPr>
      <w:r>
        <w:rPr>
          <w:color w:val="231F20"/>
          <w:w w:val="70"/>
          <w:sz w:val="16"/>
        </w:rPr>
        <w:t>UNCTAD</w:t>
      </w:r>
      <w:r>
        <w:rPr>
          <w:color w:val="231F20"/>
          <w:spacing w:val="23"/>
          <w:sz w:val="16"/>
        </w:rPr>
        <w:t> </w:t>
      </w:r>
      <w:r>
        <w:rPr>
          <w:color w:val="231F20"/>
          <w:spacing w:val="-2"/>
          <w:w w:val="85"/>
          <w:sz w:val="16"/>
        </w:rPr>
        <w:t>2021a.</w:t>
      </w:r>
    </w:p>
    <w:p>
      <w:pPr>
        <w:pStyle w:val="ListParagraph"/>
        <w:numPr>
          <w:ilvl w:val="0"/>
          <w:numId w:val="14"/>
        </w:numPr>
        <w:tabs>
          <w:tab w:pos="4199" w:val="left" w:leader="none"/>
        </w:tabs>
        <w:spacing w:line="240" w:lineRule="auto" w:before="33" w:after="0"/>
        <w:ind w:left="4199" w:right="0" w:hanging="359"/>
        <w:jc w:val="left"/>
        <w:rPr>
          <w:sz w:val="16"/>
        </w:rPr>
      </w:pPr>
      <w:r>
        <w:rPr>
          <w:color w:val="231F20"/>
          <w:w w:val="75"/>
          <w:sz w:val="16"/>
        </w:rPr>
        <w:t>Beretzky</w:t>
      </w:r>
      <w:r>
        <w:rPr>
          <w:color w:val="231F20"/>
          <w:spacing w:val="12"/>
          <w:sz w:val="16"/>
        </w:rPr>
        <w:t> </w:t>
      </w:r>
      <w:r>
        <w:rPr>
          <w:color w:val="231F20"/>
          <w:w w:val="75"/>
          <w:sz w:val="16"/>
        </w:rPr>
        <w:t>and</w:t>
      </w:r>
      <w:r>
        <w:rPr>
          <w:color w:val="231F20"/>
          <w:spacing w:val="13"/>
          <w:sz w:val="16"/>
        </w:rPr>
        <w:t> </w:t>
      </w:r>
      <w:r>
        <w:rPr>
          <w:color w:val="231F20"/>
          <w:w w:val="75"/>
          <w:sz w:val="16"/>
        </w:rPr>
        <w:t>others</w:t>
      </w:r>
      <w:r>
        <w:rPr>
          <w:color w:val="231F20"/>
          <w:spacing w:val="12"/>
          <w:sz w:val="16"/>
        </w:rPr>
        <w:t> </w:t>
      </w:r>
      <w:r>
        <w:rPr>
          <w:color w:val="231F20"/>
          <w:spacing w:val="-4"/>
          <w:w w:val="75"/>
          <w:sz w:val="16"/>
        </w:rPr>
        <w:t>2022.</w:t>
      </w:r>
    </w:p>
    <w:p>
      <w:pPr>
        <w:pStyle w:val="ListParagraph"/>
        <w:numPr>
          <w:ilvl w:val="0"/>
          <w:numId w:val="14"/>
        </w:numPr>
        <w:tabs>
          <w:tab w:pos="4200" w:val="left" w:leader="none"/>
        </w:tabs>
        <w:spacing w:line="259" w:lineRule="auto" w:before="33" w:after="0"/>
        <w:ind w:left="4200" w:right="25" w:hanging="360"/>
        <w:jc w:val="left"/>
        <w:rPr>
          <w:sz w:val="16"/>
        </w:rPr>
      </w:pPr>
      <w:r>
        <w:rPr>
          <w:color w:val="231F20"/>
          <w:w w:val="80"/>
          <w:sz w:val="16"/>
        </w:rPr>
        <w:t>The cross-country datasets measure exports, shipping,</w:t>
      </w:r>
      <w:r>
        <w:rPr>
          <w:color w:val="231F20"/>
          <w:sz w:val="16"/>
        </w:rPr>
        <w:t> </w:t>
      </w:r>
      <w:r>
        <w:rPr>
          <w:color w:val="231F20"/>
          <w:w w:val="80"/>
          <w:sz w:val="16"/>
        </w:rPr>
        <w:t>and imports. The export and import legs help get logistics</w:t>
      </w:r>
      <w:r>
        <w:rPr>
          <w:color w:val="231F20"/>
          <w:sz w:val="16"/>
        </w:rPr>
        <w:t> </w:t>
      </w:r>
      <w:r>
        <w:rPr>
          <w:color w:val="231F20"/>
          <w:w w:val="85"/>
          <w:sz w:val="16"/>
        </w:rPr>
        <w:t>information</w:t>
      </w:r>
      <w:r>
        <w:rPr>
          <w:color w:val="231F20"/>
          <w:spacing w:val="-3"/>
          <w:w w:val="85"/>
          <w:sz w:val="16"/>
        </w:rPr>
        <w:t> </w:t>
      </w:r>
      <w:r>
        <w:rPr>
          <w:color w:val="231F20"/>
          <w:w w:val="85"/>
          <w:sz w:val="16"/>
        </w:rPr>
        <w:t>between</w:t>
      </w:r>
      <w:r>
        <w:rPr>
          <w:color w:val="231F20"/>
          <w:spacing w:val="-3"/>
          <w:w w:val="85"/>
          <w:sz w:val="16"/>
        </w:rPr>
        <w:t> </w:t>
      </w:r>
      <w:r>
        <w:rPr>
          <w:color w:val="231F20"/>
          <w:w w:val="85"/>
          <w:sz w:val="16"/>
        </w:rPr>
        <w:t>owners</w:t>
      </w:r>
      <w:r>
        <w:rPr>
          <w:color w:val="231F20"/>
          <w:spacing w:val="-3"/>
          <w:w w:val="85"/>
          <w:sz w:val="16"/>
        </w:rPr>
        <w:t> </w:t>
      </w:r>
      <w:r>
        <w:rPr>
          <w:color w:val="231F20"/>
          <w:w w:val="85"/>
          <w:sz w:val="16"/>
        </w:rPr>
        <w:t>of</w:t>
      </w:r>
      <w:r>
        <w:rPr>
          <w:color w:val="231F20"/>
          <w:spacing w:val="-3"/>
          <w:w w:val="85"/>
          <w:sz w:val="16"/>
        </w:rPr>
        <w:t> </w:t>
      </w:r>
      <w:r>
        <w:rPr>
          <w:color w:val="231F20"/>
          <w:w w:val="85"/>
          <w:sz w:val="16"/>
        </w:rPr>
        <w:t>goods</w:t>
      </w:r>
      <w:r>
        <w:rPr>
          <w:color w:val="231F20"/>
          <w:spacing w:val="-3"/>
          <w:w w:val="85"/>
          <w:sz w:val="16"/>
        </w:rPr>
        <w:t> </w:t>
      </w:r>
      <w:r>
        <w:rPr>
          <w:color w:val="231F20"/>
          <w:w w:val="85"/>
          <w:sz w:val="16"/>
        </w:rPr>
        <w:t>and</w:t>
      </w:r>
      <w:r>
        <w:rPr>
          <w:color w:val="231F20"/>
          <w:spacing w:val="-3"/>
          <w:w w:val="85"/>
          <w:sz w:val="16"/>
        </w:rPr>
        <w:t> </w:t>
      </w:r>
      <w:r>
        <w:rPr>
          <w:color w:val="231F20"/>
          <w:w w:val="85"/>
          <w:sz w:val="16"/>
        </w:rPr>
        <w:t>international</w:t>
      </w:r>
      <w:r>
        <w:rPr>
          <w:color w:val="231F20"/>
          <w:sz w:val="16"/>
        </w:rPr>
        <w:t> </w:t>
      </w:r>
      <w:r>
        <w:rPr>
          <w:color w:val="231F20"/>
          <w:w w:val="85"/>
          <w:sz w:val="16"/>
        </w:rPr>
        <w:t>gateways</w:t>
      </w:r>
      <w:r>
        <w:rPr>
          <w:color w:val="231F20"/>
          <w:spacing w:val="-2"/>
          <w:w w:val="85"/>
          <w:sz w:val="16"/>
        </w:rPr>
        <w:t> </w:t>
      </w:r>
      <w:r>
        <w:rPr>
          <w:color w:val="231F20"/>
          <w:w w:val="85"/>
          <w:sz w:val="16"/>
        </w:rPr>
        <w:t>(ports,</w:t>
      </w:r>
      <w:r>
        <w:rPr>
          <w:color w:val="231F20"/>
          <w:spacing w:val="-2"/>
          <w:w w:val="85"/>
          <w:sz w:val="16"/>
        </w:rPr>
        <w:t> </w:t>
      </w:r>
      <w:r>
        <w:rPr>
          <w:color w:val="231F20"/>
          <w:w w:val="85"/>
          <w:sz w:val="16"/>
        </w:rPr>
        <w:t>airport,</w:t>
      </w:r>
      <w:r>
        <w:rPr>
          <w:color w:val="231F20"/>
          <w:spacing w:val="-2"/>
          <w:w w:val="85"/>
          <w:sz w:val="16"/>
        </w:rPr>
        <w:t> </w:t>
      </w:r>
      <w:r>
        <w:rPr>
          <w:color w:val="231F20"/>
          <w:w w:val="85"/>
          <w:sz w:val="16"/>
        </w:rPr>
        <w:t>and</w:t>
      </w:r>
      <w:r>
        <w:rPr>
          <w:color w:val="231F20"/>
          <w:spacing w:val="-2"/>
          <w:w w:val="85"/>
          <w:sz w:val="16"/>
        </w:rPr>
        <w:t> </w:t>
      </w:r>
      <w:r>
        <w:rPr>
          <w:color w:val="231F20"/>
          <w:w w:val="85"/>
          <w:sz w:val="16"/>
        </w:rPr>
        <w:t>land</w:t>
      </w:r>
      <w:r>
        <w:rPr>
          <w:color w:val="231F20"/>
          <w:spacing w:val="-2"/>
          <w:w w:val="85"/>
          <w:sz w:val="16"/>
        </w:rPr>
        <w:t> </w:t>
      </w:r>
      <w:r>
        <w:rPr>
          <w:color w:val="231F20"/>
          <w:w w:val="85"/>
          <w:sz w:val="16"/>
        </w:rPr>
        <w:t>border</w:t>
      </w:r>
      <w:r>
        <w:rPr>
          <w:color w:val="231F20"/>
          <w:spacing w:val="-2"/>
          <w:w w:val="85"/>
          <w:sz w:val="16"/>
        </w:rPr>
        <w:t> </w:t>
      </w:r>
      <w:r>
        <w:rPr>
          <w:color w:val="231F20"/>
          <w:w w:val="85"/>
          <w:sz w:val="16"/>
        </w:rPr>
        <w:t>crossings).</w:t>
      </w:r>
    </w:p>
    <w:p>
      <w:pPr>
        <w:pStyle w:val="ListParagraph"/>
        <w:numPr>
          <w:ilvl w:val="0"/>
          <w:numId w:val="14"/>
        </w:numPr>
        <w:tabs>
          <w:tab w:pos="4198" w:val="left" w:leader="none"/>
          <w:tab w:pos="4200" w:val="left" w:leader="none"/>
        </w:tabs>
        <w:spacing w:line="256" w:lineRule="auto" w:before="20" w:after="0"/>
        <w:ind w:left="4200" w:right="238" w:hanging="360"/>
        <w:jc w:val="left"/>
        <w:rPr>
          <w:sz w:val="16"/>
        </w:rPr>
      </w:pPr>
      <w:r>
        <w:rPr>
          <w:color w:val="231F20"/>
          <w:w w:val="85"/>
          <w:sz w:val="16"/>
        </w:rPr>
        <w:t>The</w:t>
      </w:r>
      <w:r>
        <w:rPr>
          <w:color w:val="231F20"/>
          <w:spacing w:val="-1"/>
          <w:w w:val="85"/>
          <w:sz w:val="16"/>
        </w:rPr>
        <w:t> </w:t>
      </w:r>
      <w:r>
        <w:rPr>
          <w:color w:val="231F20"/>
          <w:w w:val="85"/>
          <w:sz w:val="16"/>
        </w:rPr>
        <w:t>analysis</w:t>
      </w:r>
      <w:r>
        <w:rPr>
          <w:color w:val="231F20"/>
          <w:spacing w:val="-1"/>
          <w:w w:val="85"/>
          <w:sz w:val="16"/>
        </w:rPr>
        <w:t> </w:t>
      </w:r>
      <w:r>
        <w:rPr>
          <w:color w:val="231F20"/>
          <w:w w:val="85"/>
          <w:sz w:val="16"/>
        </w:rPr>
        <w:t>is</w:t>
      </w:r>
      <w:r>
        <w:rPr>
          <w:color w:val="231F20"/>
          <w:spacing w:val="-1"/>
          <w:w w:val="85"/>
          <w:sz w:val="16"/>
        </w:rPr>
        <w:t> </w:t>
      </w:r>
      <w:r>
        <w:rPr>
          <w:color w:val="231F20"/>
          <w:w w:val="85"/>
          <w:sz w:val="16"/>
        </w:rPr>
        <w:t>in</w:t>
      </w:r>
      <w:r>
        <w:rPr>
          <w:color w:val="231F20"/>
          <w:spacing w:val="-1"/>
          <w:w w:val="85"/>
          <w:sz w:val="16"/>
        </w:rPr>
        <w:t> </w:t>
      </w:r>
      <w:r>
        <w:rPr>
          <w:color w:val="231F20"/>
          <w:w w:val="85"/>
          <w:sz w:val="16"/>
        </w:rPr>
        <w:t>terms</w:t>
      </w:r>
      <w:r>
        <w:rPr>
          <w:color w:val="231F20"/>
          <w:spacing w:val="-1"/>
          <w:w w:val="85"/>
          <w:sz w:val="16"/>
        </w:rPr>
        <w:t> </w:t>
      </w:r>
      <w:r>
        <w:rPr>
          <w:color w:val="231F20"/>
          <w:w w:val="85"/>
          <w:sz w:val="16"/>
        </w:rPr>
        <w:t>of</w:t>
      </w:r>
      <w:r>
        <w:rPr>
          <w:color w:val="231F20"/>
          <w:spacing w:val="-1"/>
          <w:w w:val="85"/>
          <w:sz w:val="16"/>
        </w:rPr>
        <w:t> </w:t>
      </w:r>
      <w:r>
        <w:rPr>
          <w:color w:val="231F20"/>
          <w:w w:val="85"/>
          <w:sz w:val="16"/>
        </w:rPr>
        <w:t>the</w:t>
      </w:r>
      <w:r>
        <w:rPr>
          <w:color w:val="231F20"/>
          <w:spacing w:val="-1"/>
          <w:w w:val="85"/>
          <w:sz w:val="16"/>
        </w:rPr>
        <w:t> </w:t>
      </w:r>
      <w:r>
        <w:rPr>
          <w:color w:val="231F20"/>
          <w:w w:val="85"/>
          <w:sz w:val="16"/>
        </w:rPr>
        <w:t>top</w:t>
      </w:r>
      <w:r>
        <w:rPr>
          <w:color w:val="231F20"/>
          <w:spacing w:val="-1"/>
          <w:w w:val="85"/>
          <w:sz w:val="16"/>
        </w:rPr>
        <w:t> </w:t>
      </w:r>
      <w:r>
        <w:rPr>
          <w:color w:val="231F20"/>
          <w:w w:val="85"/>
          <w:sz w:val="16"/>
        </w:rPr>
        <w:t>12</w:t>
      </w:r>
      <w:r>
        <w:rPr>
          <w:color w:val="231F20"/>
          <w:spacing w:val="-1"/>
          <w:w w:val="85"/>
          <w:sz w:val="16"/>
        </w:rPr>
        <w:t> </w:t>
      </w:r>
      <w:r>
        <w:rPr>
          <w:color w:val="231F20"/>
          <w:w w:val="85"/>
          <w:sz w:val="16"/>
        </w:rPr>
        <w:t>countries</w:t>
      </w:r>
      <w:r>
        <w:rPr>
          <w:color w:val="231F20"/>
          <w:spacing w:val="-1"/>
          <w:w w:val="85"/>
          <w:sz w:val="16"/>
        </w:rPr>
        <w:t> </w:t>
      </w:r>
      <w:r>
        <w:rPr>
          <w:color w:val="231F20"/>
          <w:w w:val="85"/>
          <w:sz w:val="16"/>
        </w:rPr>
        <w:t>and</w:t>
      </w:r>
      <w:r>
        <w:rPr>
          <w:color w:val="231F20"/>
          <w:sz w:val="16"/>
        </w:rPr>
        <w:t> </w:t>
      </w:r>
      <w:r>
        <w:rPr>
          <w:color w:val="231F20"/>
          <w:w w:val="80"/>
          <w:sz w:val="16"/>
        </w:rPr>
        <w:t>the bottom 10 countries because of tied scores at one</w:t>
      </w:r>
      <w:r>
        <w:rPr>
          <w:color w:val="231F20"/>
          <w:sz w:val="16"/>
        </w:rPr>
        <w:t> </w:t>
      </w:r>
      <w:r>
        <w:rPr>
          <w:color w:val="231F20"/>
          <w:w w:val="90"/>
          <w:sz w:val="16"/>
        </w:rPr>
        <w:t>decimal</w:t>
      </w:r>
      <w:r>
        <w:rPr>
          <w:color w:val="231F20"/>
          <w:spacing w:val="-6"/>
          <w:w w:val="90"/>
          <w:sz w:val="16"/>
        </w:rPr>
        <w:t> </w:t>
      </w:r>
      <w:r>
        <w:rPr>
          <w:color w:val="231F20"/>
          <w:w w:val="90"/>
          <w:sz w:val="16"/>
        </w:rPr>
        <w:t>point.</w:t>
      </w:r>
    </w:p>
    <w:p>
      <w:pPr>
        <w:pStyle w:val="ListParagraph"/>
        <w:numPr>
          <w:ilvl w:val="0"/>
          <w:numId w:val="14"/>
        </w:numPr>
        <w:tabs>
          <w:tab w:pos="4198" w:val="left" w:leader="none"/>
          <w:tab w:pos="4200" w:val="left" w:leader="none"/>
        </w:tabs>
        <w:spacing w:line="254" w:lineRule="auto" w:before="25" w:after="0"/>
        <w:ind w:left="4200" w:right="10" w:hanging="360"/>
        <w:jc w:val="left"/>
        <w:rPr>
          <w:sz w:val="16"/>
        </w:rPr>
      </w:pPr>
      <w:r>
        <w:rPr>
          <w:color w:val="231F20"/>
          <w:w w:val="80"/>
          <w:sz w:val="16"/>
        </w:rPr>
        <w:t>The quintiles have different numbers of countries because</w:t>
      </w:r>
      <w:r>
        <w:rPr>
          <w:color w:val="231F20"/>
          <w:sz w:val="16"/>
        </w:rPr>
        <w:t> </w:t>
      </w:r>
      <w:r>
        <w:rPr>
          <w:color w:val="231F20"/>
          <w:w w:val="90"/>
          <w:sz w:val="16"/>
        </w:rPr>
        <w:t>of tied scores.</w:t>
      </w:r>
    </w:p>
    <w:p>
      <w:pPr>
        <w:pStyle w:val="ListParagraph"/>
        <w:numPr>
          <w:ilvl w:val="0"/>
          <w:numId w:val="14"/>
        </w:numPr>
        <w:tabs>
          <w:tab w:pos="4200" w:val="left" w:leader="none"/>
        </w:tabs>
        <w:spacing w:line="259" w:lineRule="auto" w:before="25" w:after="0"/>
        <w:ind w:left="4200" w:right="0" w:hanging="360"/>
        <w:jc w:val="left"/>
        <w:rPr>
          <w:sz w:val="16"/>
        </w:rPr>
      </w:pPr>
      <w:r>
        <w:rPr>
          <w:color w:val="231F20"/>
          <w:w w:val="85"/>
          <w:sz w:val="16"/>
        </w:rPr>
        <w:t>The</w:t>
      </w:r>
      <w:r>
        <w:rPr>
          <w:color w:val="231F20"/>
          <w:spacing w:val="-3"/>
          <w:w w:val="85"/>
          <w:sz w:val="16"/>
        </w:rPr>
        <w:t> </w:t>
      </w:r>
      <w:r>
        <w:rPr>
          <w:color w:val="231F20"/>
          <w:w w:val="85"/>
          <w:sz w:val="16"/>
        </w:rPr>
        <w:t>observed</w:t>
      </w:r>
      <w:r>
        <w:rPr>
          <w:color w:val="231F20"/>
          <w:spacing w:val="-3"/>
          <w:w w:val="85"/>
          <w:sz w:val="16"/>
        </w:rPr>
        <w:t> </w:t>
      </w:r>
      <w:r>
        <w:rPr>
          <w:color w:val="231F20"/>
          <w:w w:val="85"/>
          <w:sz w:val="16"/>
        </w:rPr>
        <w:t>differences</w:t>
      </w:r>
      <w:r>
        <w:rPr>
          <w:color w:val="231F20"/>
          <w:spacing w:val="-3"/>
          <w:w w:val="85"/>
          <w:sz w:val="16"/>
        </w:rPr>
        <w:t> </w:t>
      </w:r>
      <w:r>
        <w:rPr>
          <w:color w:val="231F20"/>
          <w:w w:val="85"/>
          <w:sz w:val="16"/>
        </w:rPr>
        <w:t>do</w:t>
      </w:r>
      <w:r>
        <w:rPr>
          <w:color w:val="231F20"/>
          <w:spacing w:val="-3"/>
          <w:w w:val="85"/>
          <w:sz w:val="16"/>
        </w:rPr>
        <w:t> </w:t>
      </w:r>
      <w:r>
        <w:rPr>
          <w:color w:val="231F20"/>
          <w:w w:val="85"/>
          <w:sz w:val="16"/>
        </w:rPr>
        <w:t>not</w:t>
      </w:r>
      <w:r>
        <w:rPr>
          <w:color w:val="231F20"/>
          <w:spacing w:val="-3"/>
          <w:w w:val="85"/>
          <w:sz w:val="16"/>
        </w:rPr>
        <w:t> </w:t>
      </w:r>
      <w:r>
        <w:rPr>
          <w:color w:val="231F20"/>
          <w:w w:val="85"/>
          <w:sz w:val="16"/>
        </w:rPr>
        <w:t>rise</w:t>
      </w:r>
      <w:r>
        <w:rPr>
          <w:color w:val="231F20"/>
          <w:spacing w:val="-3"/>
          <w:w w:val="85"/>
          <w:sz w:val="16"/>
        </w:rPr>
        <w:t> </w:t>
      </w:r>
      <w:r>
        <w:rPr>
          <w:color w:val="231F20"/>
          <w:w w:val="85"/>
          <w:sz w:val="16"/>
        </w:rPr>
        <w:t>to</w:t>
      </w:r>
      <w:r>
        <w:rPr>
          <w:color w:val="231F20"/>
          <w:spacing w:val="-3"/>
          <w:w w:val="85"/>
          <w:sz w:val="16"/>
        </w:rPr>
        <w:t> </w:t>
      </w:r>
      <w:r>
        <w:rPr>
          <w:color w:val="231F20"/>
          <w:w w:val="85"/>
          <w:sz w:val="16"/>
        </w:rPr>
        <w:t>the</w:t>
      </w:r>
      <w:r>
        <w:rPr>
          <w:color w:val="231F20"/>
          <w:spacing w:val="-3"/>
          <w:w w:val="85"/>
          <w:sz w:val="16"/>
        </w:rPr>
        <w:t> </w:t>
      </w:r>
      <w:r>
        <w:rPr>
          <w:color w:val="231F20"/>
          <w:w w:val="85"/>
          <w:sz w:val="16"/>
        </w:rPr>
        <w:t>level</w:t>
      </w:r>
      <w:r>
        <w:rPr>
          <w:color w:val="231F20"/>
          <w:spacing w:val="-3"/>
          <w:w w:val="85"/>
          <w:sz w:val="16"/>
        </w:rPr>
        <w:t> </w:t>
      </w:r>
      <w:r>
        <w:rPr>
          <w:color w:val="231F20"/>
          <w:w w:val="85"/>
          <w:sz w:val="16"/>
        </w:rPr>
        <w:t>of</w:t>
      </w:r>
      <w:r>
        <w:rPr>
          <w:color w:val="231F20"/>
          <w:sz w:val="16"/>
        </w:rPr>
        <w:t> </w:t>
      </w:r>
      <w:r>
        <w:rPr>
          <w:color w:val="231F20"/>
          <w:w w:val="80"/>
          <w:sz w:val="16"/>
        </w:rPr>
        <w:t>systematic biases. The LPI is based on respondent</w:t>
      </w:r>
      <w:r>
        <w:rPr>
          <w:color w:val="231F20"/>
          <w:spacing w:val="40"/>
          <w:sz w:val="16"/>
        </w:rPr>
        <w:t> </w:t>
      </w:r>
      <w:r>
        <w:rPr>
          <w:color w:val="231F20"/>
          <w:w w:val="85"/>
          <w:sz w:val="16"/>
        </w:rPr>
        <w:t>ratings. It does not weight scores from different income</w:t>
      </w:r>
      <w:r>
        <w:rPr>
          <w:color w:val="231F20"/>
          <w:sz w:val="16"/>
        </w:rPr>
        <w:t> </w:t>
      </w:r>
      <w:r>
        <w:rPr>
          <w:color w:val="231F20"/>
          <w:w w:val="85"/>
          <w:sz w:val="16"/>
        </w:rPr>
        <w:t>groups</w:t>
      </w:r>
      <w:r>
        <w:rPr>
          <w:color w:val="231F20"/>
          <w:spacing w:val="-5"/>
          <w:w w:val="85"/>
          <w:sz w:val="16"/>
        </w:rPr>
        <w:t> </w:t>
      </w:r>
      <w:r>
        <w:rPr>
          <w:color w:val="231F20"/>
          <w:w w:val="85"/>
          <w:sz w:val="16"/>
        </w:rPr>
        <w:t>or</w:t>
      </w:r>
      <w:r>
        <w:rPr>
          <w:color w:val="231F20"/>
          <w:spacing w:val="-4"/>
          <w:w w:val="85"/>
          <w:sz w:val="16"/>
        </w:rPr>
        <w:t> </w:t>
      </w:r>
      <w:r>
        <w:rPr>
          <w:color w:val="231F20"/>
          <w:w w:val="85"/>
          <w:sz w:val="16"/>
        </w:rPr>
        <w:t>geographic</w:t>
      </w:r>
      <w:r>
        <w:rPr>
          <w:color w:val="231F20"/>
          <w:spacing w:val="-5"/>
          <w:w w:val="85"/>
          <w:sz w:val="16"/>
        </w:rPr>
        <w:t> </w:t>
      </w:r>
      <w:r>
        <w:rPr>
          <w:color w:val="231F20"/>
          <w:w w:val="85"/>
          <w:sz w:val="16"/>
        </w:rPr>
        <w:t>regions</w:t>
      </w:r>
      <w:r>
        <w:rPr>
          <w:color w:val="231F20"/>
          <w:spacing w:val="-4"/>
          <w:w w:val="85"/>
          <w:sz w:val="16"/>
        </w:rPr>
        <w:t> </w:t>
      </w:r>
      <w:r>
        <w:rPr>
          <w:color w:val="231F20"/>
          <w:w w:val="85"/>
          <w:sz w:val="16"/>
        </w:rPr>
        <w:t>differently.</w:t>
      </w:r>
      <w:r>
        <w:rPr>
          <w:color w:val="231F20"/>
          <w:spacing w:val="-5"/>
          <w:w w:val="85"/>
          <w:sz w:val="16"/>
        </w:rPr>
        <w:t> </w:t>
      </w:r>
      <w:r>
        <w:rPr>
          <w:color w:val="231F20"/>
          <w:w w:val="85"/>
          <w:sz w:val="16"/>
        </w:rPr>
        <w:t>The</w:t>
      </w:r>
      <w:r>
        <w:rPr>
          <w:color w:val="231F20"/>
          <w:spacing w:val="-4"/>
          <w:w w:val="85"/>
          <w:sz w:val="16"/>
        </w:rPr>
        <w:t> </w:t>
      </w:r>
      <w:r>
        <w:rPr>
          <w:color w:val="231F20"/>
          <w:w w:val="85"/>
          <w:sz w:val="16"/>
        </w:rPr>
        <w:t>survey</w:t>
      </w:r>
      <w:r>
        <w:rPr>
          <w:color w:val="231F20"/>
          <w:sz w:val="16"/>
        </w:rPr>
        <w:t> </w:t>
      </w:r>
      <w:r>
        <w:rPr>
          <w:color w:val="231F20"/>
          <w:w w:val="85"/>
          <w:sz w:val="16"/>
        </w:rPr>
        <w:t>engine</w:t>
      </w:r>
      <w:r>
        <w:rPr>
          <w:color w:val="231F20"/>
          <w:spacing w:val="-5"/>
          <w:w w:val="85"/>
          <w:sz w:val="16"/>
        </w:rPr>
        <w:t> </w:t>
      </w:r>
      <w:r>
        <w:rPr>
          <w:color w:val="231F20"/>
          <w:w w:val="85"/>
          <w:sz w:val="16"/>
        </w:rPr>
        <w:t>for</w:t>
      </w:r>
      <w:r>
        <w:rPr>
          <w:color w:val="231F20"/>
          <w:spacing w:val="-4"/>
          <w:w w:val="85"/>
          <w:sz w:val="16"/>
        </w:rPr>
        <w:t> </w:t>
      </w:r>
      <w:r>
        <w:rPr>
          <w:color w:val="231F20"/>
          <w:w w:val="85"/>
          <w:sz w:val="16"/>
        </w:rPr>
        <w:t>the</w:t>
      </w:r>
      <w:r>
        <w:rPr>
          <w:color w:val="231F20"/>
          <w:spacing w:val="-4"/>
          <w:w w:val="85"/>
          <w:sz w:val="16"/>
        </w:rPr>
        <w:t> </w:t>
      </w:r>
      <w:r>
        <w:rPr>
          <w:color w:val="231F20"/>
          <w:w w:val="85"/>
          <w:sz w:val="16"/>
        </w:rPr>
        <w:t>LPI</w:t>
      </w:r>
      <w:r>
        <w:rPr>
          <w:color w:val="231F20"/>
          <w:spacing w:val="-5"/>
          <w:w w:val="85"/>
          <w:sz w:val="16"/>
        </w:rPr>
        <w:t> </w:t>
      </w:r>
      <w:r>
        <w:rPr>
          <w:color w:val="231F20"/>
          <w:w w:val="85"/>
          <w:sz w:val="16"/>
        </w:rPr>
        <w:t>ensures</w:t>
      </w:r>
      <w:r>
        <w:rPr>
          <w:color w:val="231F20"/>
          <w:spacing w:val="-4"/>
          <w:w w:val="85"/>
          <w:sz w:val="16"/>
        </w:rPr>
        <w:t> </w:t>
      </w:r>
      <w:r>
        <w:rPr>
          <w:color w:val="231F20"/>
          <w:w w:val="85"/>
          <w:sz w:val="16"/>
        </w:rPr>
        <w:t>geographic</w:t>
      </w:r>
      <w:r>
        <w:rPr>
          <w:color w:val="231F20"/>
          <w:spacing w:val="-4"/>
          <w:w w:val="85"/>
          <w:sz w:val="16"/>
        </w:rPr>
        <w:t> </w:t>
      </w:r>
      <w:r>
        <w:rPr>
          <w:color w:val="231F20"/>
          <w:w w:val="85"/>
          <w:sz w:val="16"/>
        </w:rPr>
        <w:t>diversity</w:t>
      </w:r>
      <w:r>
        <w:rPr>
          <w:color w:val="231F20"/>
          <w:spacing w:val="-5"/>
          <w:w w:val="85"/>
          <w:sz w:val="16"/>
        </w:rPr>
        <w:t> </w:t>
      </w:r>
      <w:r>
        <w:rPr>
          <w:color w:val="231F20"/>
          <w:w w:val="85"/>
          <w:sz w:val="16"/>
        </w:rPr>
        <w:t>in</w:t>
      </w:r>
      <w:r>
        <w:rPr>
          <w:color w:val="231F20"/>
          <w:spacing w:val="-4"/>
          <w:w w:val="85"/>
          <w:sz w:val="16"/>
        </w:rPr>
        <w:t> </w:t>
      </w:r>
      <w:r>
        <w:rPr>
          <w:color w:val="231F20"/>
          <w:w w:val="85"/>
          <w:sz w:val="16"/>
        </w:rPr>
        <w:t>the</w:t>
      </w:r>
      <w:r>
        <w:rPr>
          <w:color w:val="231F20"/>
          <w:sz w:val="16"/>
        </w:rPr>
        <w:t> </w:t>
      </w:r>
      <w:r>
        <w:rPr>
          <w:color w:val="231F20"/>
          <w:w w:val="80"/>
          <w:sz w:val="16"/>
        </w:rPr>
        <w:t>respondent</w:t>
      </w:r>
      <w:r>
        <w:rPr>
          <w:color w:val="231F20"/>
          <w:spacing w:val="-2"/>
          <w:w w:val="80"/>
          <w:sz w:val="16"/>
        </w:rPr>
        <w:t> </w:t>
      </w:r>
      <w:r>
        <w:rPr>
          <w:color w:val="231F20"/>
          <w:w w:val="80"/>
          <w:sz w:val="16"/>
        </w:rPr>
        <w:t>base</w:t>
      </w:r>
      <w:r>
        <w:rPr>
          <w:color w:val="231F20"/>
          <w:spacing w:val="-2"/>
          <w:w w:val="80"/>
          <w:sz w:val="16"/>
        </w:rPr>
        <w:t> </w:t>
      </w:r>
      <w:r>
        <w:rPr>
          <w:color w:val="231F20"/>
          <w:w w:val="80"/>
          <w:sz w:val="16"/>
        </w:rPr>
        <w:t>for</w:t>
      </w:r>
      <w:r>
        <w:rPr>
          <w:color w:val="231F20"/>
          <w:spacing w:val="-2"/>
          <w:w w:val="80"/>
          <w:sz w:val="16"/>
        </w:rPr>
        <w:t> </w:t>
      </w:r>
      <w:r>
        <w:rPr>
          <w:color w:val="231F20"/>
          <w:w w:val="80"/>
          <w:sz w:val="16"/>
        </w:rPr>
        <w:t>the</w:t>
      </w:r>
      <w:r>
        <w:rPr>
          <w:color w:val="231F20"/>
          <w:spacing w:val="-2"/>
          <w:w w:val="80"/>
          <w:sz w:val="16"/>
        </w:rPr>
        <w:t> </w:t>
      </w:r>
      <w:r>
        <w:rPr>
          <w:color w:val="231F20"/>
          <w:w w:val="80"/>
          <w:sz w:val="16"/>
        </w:rPr>
        <w:t>countries</w:t>
      </w:r>
      <w:r>
        <w:rPr>
          <w:color w:val="231F20"/>
          <w:spacing w:val="-2"/>
          <w:w w:val="80"/>
          <w:sz w:val="16"/>
        </w:rPr>
        <w:t> </w:t>
      </w:r>
      <w:r>
        <w:rPr>
          <w:color w:val="231F20"/>
          <w:w w:val="80"/>
          <w:sz w:val="16"/>
        </w:rPr>
        <w:t>assessed</w:t>
      </w:r>
      <w:r>
        <w:rPr>
          <w:color w:val="231F20"/>
          <w:spacing w:val="-2"/>
          <w:w w:val="80"/>
          <w:sz w:val="16"/>
        </w:rPr>
        <w:t> </w:t>
      </w:r>
      <w:r>
        <w:rPr>
          <w:color w:val="231F20"/>
          <w:w w:val="80"/>
          <w:sz w:val="16"/>
        </w:rPr>
        <w:t>(see</w:t>
      </w:r>
      <w:r>
        <w:rPr>
          <w:color w:val="231F20"/>
          <w:spacing w:val="-2"/>
          <w:w w:val="80"/>
          <w:sz w:val="16"/>
        </w:rPr>
        <w:t> </w:t>
      </w:r>
      <w:r>
        <w:rPr>
          <w:color w:val="231F20"/>
          <w:w w:val="80"/>
          <w:sz w:val="16"/>
        </w:rPr>
        <w:t>appendix</w:t>
      </w:r>
      <w:r>
        <w:rPr>
          <w:color w:val="231F20"/>
          <w:sz w:val="16"/>
        </w:rPr>
        <w:t> </w:t>
      </w:r>
      <w:r>
        <w:rPr>
          <w:color w:val="231F20"/>
          <w:w w:val="85"/>
          <w:sz w:val="16"/>
        </w:rPr>
        <w:t>5 for details on the LPI methodology).</w:t>
      </w:r>
    </w:p>
    <w:p>
      <w:pPr>
        <w:pStyle w:val="ListParagraph"/>
        <w:numPr>
          <w:ilvl w:val="0"/>
          <w:numId w:val="14"/>
        </w:numPr>
        <w:tabs>
          <w:tab w:pos="566" w:val="left" w:leader="none"/>
          <w:tab w:pos="568" w:val="left" w:leader="none"/>
        </w:tabs>
        <w:spacing w:line="256" w:lineRule="auto" w:before="103" w:after="0"/>
        <w:ind w:left="568" w:right="260" w:hanging="360"/>
        <w:jc w:val="left"/>
        <w:rPr>
          <w:sz w:val="16"/>
        </w:rPr>
      </w:pPr>
      <w:r>
        <w:rPr/>
        <w:br w:type="column"/>
      </w:r>
      <w:r>
        <w:rPr>
          <w:color w:val="231F20"/>
          <w:w w:val="85"/>
          <w:sz w:val="16"/>
        </w:rPr>
        <w:t>“Timeliness of delivery” is defined in the LPI as “the</w:t>
      </w:r>
      <w:r>
        <w:rPr>
          <w:color w:val="231F20"/>
          <w:sz w:val="16"/>
        </w:rPr>
        <w:t> </w:t>
      </w:r>
      <w:r>
        <w:rPr>
          <w:color w:val="231F20"/>
          <w:w w:val="80"/>
          <w:sz w:val="16"/>
        </w:rPr>
        <w:t>frequency with which shipments reach consignees within</w:t>
      </w:r>
      <w:r>
        <w:rPr>
          <w:color w:val="231F20"/>
          <w:sz w:val="16"/>
        </w:rPr>
        <w:t> </w:t>
      </w:r>
      <w:r>
        <w:rPr>
          <w:color w:val="231F20"/>
          <w:w w:val="85"/>
          <w:sz w:val="16"/>
        </w:rPr>
        <w:t>the scheduled or expected delivery time.”</w:t>
      </w:r>
    </w:p>
    <w:p>
      <w:pPr>
        <w:pStyle w:val="ListParagraph"/>
        <w:numPr>
          <w:ilvl w:val="0"/>
          <w:numId w:val="14"/>
        </w:numPr>
        <w:tabs>
          <w:tab w:pos="566" w:val="left" w:leader="none"/>
        </w:tabs>
        <w:spacing w:line="240" w:lineRule="auto" w:before="25" w:after="0"/>
        <w:ind w:left="566" w:right="0" w:hanging="358"/>
        <w:jc w:val="left"/>
        <w:rPr>
          <w:sz w:val="16"/>
        </w:rPr>
      </w:pPr>
      <w:r>
        <w:rPr>
          <w:color w:val="231F20"/>
          <w:w w:val="75"/>
          <w:sz w:val="16"/>
        </w:rPr>
        <w:t>See</w:t>
      </w:r>
      <w:r>
        <w:rPr>
          <w:color w:val="231F20"/>
          <w:spacing w:val="-6"/>
          <w:sz w:val="16"/>
        </w:rPr>
        <w:t> </w:t>
      </w:r>
      <w:hyperlink r:id="rId104">
        <w:r>
          <w:rPr>
            <w:color w:val="231F20"/>
            <w:spacing w:val="-2"/>
            <w:w w:val="85"/>
            <w:sz w:val="16"/>
          </w:rPr>
          <w:t>https://www.hhs.gov/formula/index.html</w:t>
        </w:r>
      </w:hyperlink>
      <w:r>
        <w:rPr>
          <w:color w:val="231F20"/>
          <w:spacing w:val="-2"/>
          <w:w w:val="85"/>
          <w:sz w:val="16"/>
        </w:rPr>
        <w:t>.</w:t>
      </w:r>
    </w:p>
    <w:p>
      <w:pPr>
        <w:pStyle w:val="ListParagraph"/>
        <w:numPr>
          <w:ilvl w:val="0"/>
          <w:numId w:val="14"/>
        </w:numPr>
        <w:tabs>
          <w:tab w:pos="566" w:val="left" w:leader="none"/>
        </w:tabs>
        <w:spacing w:line="240" w:lineRule="auto" w:before="33" w:after="0"/>
        <w:ind w:left="566" w:right="0" w:hanging="358"/>
        <w:jc w:val="left"/>
        <w:rPr>
          <w:sz w:val="16"/>
        </w:rPr>
      </w:pPr>
      <w:r>
        <w:rPr>
          <w:color w:val="231F20"/>
          <w:w w:val="75"/>
          <w:sz w:val="16"/>
        </w:rPr>
        <w:t>Shah</w:t>
      </w:r>
      <w:r>
        <w:rPr>
          <w:color w:val="231F20"/>
          <w:sz w:val="16"/>
        </w:rPr>
        <w:t> </w:t>
      </w:r>
      <w:r>
        <w:rPr>
          <w:color w:val="231F20"/>
          <w:spacing w:val="-4"/>
          <w:w w:val="95"/>
          <w:sz w:val="16"/>
        </w:rPr>
        <w:t>2022.</w:t>
      </w:r>
    </w:p>
    <w:p>
      <w:pPr>
        <w:pStyle w:val="ListParagraph"/>
        <w:numPr>
          <w:ilvl w:val="0"/>
          <w:numId w:val="14"/>
        </w:numPr>
        <w:tabs>
          <w:tab w:pos="566" w:val="left" w:leader="none"/>
        </w:tabs>
        <w:spacing w:line="240" w:lineRule="auto" w:before="33" w:after="0"/>
        <w:ind w:left="566" w:right="0" w:hanging="358"/>
        <w:jc w:val="left"/>
        <w:rPr>
          <w:sz w:val="16"/>
        </w:rPr>
      </w:pPr>
      <w:r>
        <w:rPr>
          <w:color w:val="231F20"/>
          <w:w w:val="75"/>
          <w:sz w:val="16"/>
        </w:rPr>
        <w:t>Arvis,</w:t>
      </w:r>
      <w:r>
        <w:rPr>
          <w:color w:val="231F20"/>
          <w:spacing w:val="16"/>
          <w:sz w:val="16"/>
        </w:rPr>
        <w:t> </w:t>
      </w:r>
      <w:r>
        <w:rPr>
          <w:color w:val="231F20"/>
          <w:w w:val="75"/>
          <w:sz w:val="16"/>
        </w:rPr>
        <w:t>Marteau,</w:t>
      </w:r>
      <w:r>
        <w:rPr>
          <w:color w:val="231F20"/>
          <w:spacing w:val="16"/>
          <w:sz w:val="16"/>
        </w:rPr>
        <w:t> </w:t>
      </w:r>
      <w:r>
        <w:rPr>
          <w:color w:val="231F20"/>
          <w:w w:val="75"/>
          <w:sz w:val="16"/>
        </w:rPr>
        <w:t>and</w:t>
      </w:r>
      <w:r>
        <w:rPr>
          <w:color w:val="231F20"/>
          <w:spacing w:val="16"/>
          <w:sz w:val="16"/>
        </w:rPr>
        <w:t> </w:t>
      </w:r>
      <w:r>
        <w:rPr>
          <w:color w:val="231F20"/>
          <w:w w:val="75"/>
          <w:sz w:val="16"/>
        </w:rPr>
        <w:t>Raballand</w:t>
      </w:r>
      <w:r>
        <w:rPr>
          <w:color w:val="231F20"/>
          <w:spacing w:val="16"/>
          <w:sz w:val="16"/>
        </w:rPr>
        <w:t> </w:t>
      </w:r>
      <w:r>
        <w:rPr>
          <w:color w:val="231F20"/>
          <w:spacing w:val="-4"/>
          <w:w w:val="75"/>
          <w:sz w:val="16"/>
        </w:rPr>
        <w:t>2010.</w:t>
      </w:r>
    </w:p>
    <w:p>
      <w:pPr>
        <w:pStyle w:val="ListParagraph"/>
        <w:numPr>
          <w:ilvl w:val="0"/>
          <w:numId w:val="14"/>
        </w:numPr>
        <w:tabs>
          <w:tab w:pos="566" w:val="left" w:leader="none"/>
          <w:tab w:pos="568" w:val="left" w:leader="none"/>
        </w:tabs>
        <w:spacing w:line="259" w:lineRule="auto" w:before="33" w:after="0"/>
        <w:ind w:left="568" w:right="177" w:hanging="360"/>
        <w:jc w:val="left"/>
        <w:rPr>
          <w:sz w:val="16"/>
        </w:rPr>
      </w:pPr>
      <w:r>
        <w:rPr>
          <w:color w:val="231F20"/>
          <w:w w:val="85"/>
          <w:sz w:val="16"/>
        </w:rPr>
        <w:t>The</w:t>
      </w:r>
      <w:r>
        <w:rPr>
          <w:color w:val="231F20"/>
          <w:spacing w:val="-2"/>
          <w:w w:val="85"/>
          <w:sz w:val="16"/>
        </w:rPr>
        <w:t> </w:t>
      </w:r>
      <w:r>
        <w:rPr>
          <w:color w:val="231F20"/>
          <w:w w:val="85"/>
          <w:sz w:val="16"/>
        </w:rPr>
        <w:t>economic</w:t>
      </w:r>
      <w:r>
        <w:rPr>
          <w:color w:val="231F20"/>
          <w:spacing w:val="-2"/>
          <w:w w:val="85"/>
          <w:sz w:val="16"/>
        </w:rPr>
        <w:t> </w:t>
      </w:r>
      <w:r>
        <w:rPr>
          <w:color w:val="231F20"/>
          <w:w w:val="85"/>
          <w:sz w:val="16"/>
        </w:rPr>
        <w:t>literature</w:t>
      </w:r>
      <w:r>
        <w:rPr>
          <w:color w:val="231F20"/>
          <w:spacing w:val="-2"/>
          <w:w w:val="85"/>
          <w:sz w:val="16"/>
        </w:rPr>
        <w:t> </w:t>
      </w:r>
      <w:r>
        <w:rPr>
          <w:color w:val="231F20"/>
          <w:w w:val="85"/>
          <w:sz w:val="16"/>
        </w:rPr>
        <w:t>has</w:t>
      </w:r>
      <w:r>
        <w:rPr>
          <w:color w:val="231F20"/>
          <w:spacing w:val="-2"/>
          <w:w w:val="85"/>
          <w:sz w:val="16"/>
        </w:rPr>
        <w:t> </w:t>
      </w:r>
      <w:r>
        <w:rPr>
          <w:color w:val="231F20"/>
          <w:w w:val="85"/>
          <w:sz w:val="16"/>
        </w:rPr>
        <w:t>identified</w:t>
      </w:r>
      <w:r>
        <w:rPr>
          <w:color w:val="231F20"/>
          <w:spacing w:val="-2"/>
          <w:w w:val="85"/>
          <w:sz w:val="16"/>
        </w:rPr>
        <w:t> </w:t>
      </w:r>
      <w:r>
        <w:rPr>
          <w:color w:val="231F20"/>
          <w:w w:val="85"/>
          <w:sz w:val="16"/>
        </w:rPr>
        <w:t>time</w:t>
      </w:r>
      <w:r>
        <w:rPr>
          <w:color w:val="231F20"/>
          <w:spacing w:val="-2"/>
          <w:w w:val="85"/>
          <w:sz w:val="16"/>
        </w:rPr>
        <w:t> </w:t>
      </w:r>
      <w:r>
        <w:rPr>
          <w:color w:val="231F20"/>
          <w:w w:val="85"/>
          <w:sz w:val="16"/>
        </w:rPr>
        <w:t>as</w:t>
      </w:r>
      <w:r>
        <w:rPr>
          <w:color w:val="231F20"/>
          <w:spacing w:val="-2"/>
          <w:w w:val="85"/>
          <w:sz w:val="16"/>
        </w:rPr>
        <w:t> </w:t>
      </w:r>
      <w:r>
        <w:rPr>
          <w:color w:val="231F20"/>
          <w:w w:val="85"/>
          <w:sz w:val="16"/>
        </w:rPr>
        <w:t>a</w:t>
      </w:r>
      <w:r>
        <w:rPr>
          <w:color w:val="231F20"/>
          <w:spacing w:val="-2"/>
          <w:w w:val="85"/>
          <w:sz w:val="16"/>
        </w:rPr>
        <w:t> </w:t>
      </w:r>
      <w:r>
        <w:rPr>
          <w:color w:val="231F20"/>
          <w:w w:val="85"/>
          <w:sz w:val="16"/>
        </w:rPr>
        <w:t>major</w:t>
      </w:r>
      <w:r>
        <w:rPr>
          <w:color w:val="231F20"/>
          <w:sz w:val="16"/>
        </w:rPr>
        <w:t> </w:t>
      </w:r>
      <w:r>
        <w:rPr>
          <w:color w:val="231F20"/>
          <w:w w:val="80"/>
          <w:sz w:val="16"/>
        </w:rPr>
        <w:t>determinant of country-level export performance. Djankov,</w:t>
      </w:r>
      <w:r>
        <w:rPr>
          <w:color w:val="231F20"/>
          <w:sz w:val="16"/>
        </w:rPr>
        <w:t> </w:t>
      </w:r>
      <w:r>
        <w:rPr>
          <w:color w:val="231F20"/>
          <w:w w:val="85"/>
          <w:sz w:val="16"/>
        </w:rPr>
        <w:t>Freund,</w:t>
      </w:r>
      <w:r>
        <w:rPr>
          <w:color w:val="231F20"/>
          <w:spacing w:val="-3"/>
          <w:w w:val="85"/>
          <w:sz w:val="16"/>
        </w:rPr>
        <w:t> </w:t>
      </w:r>
      <w:r>
        <w:rPr>
          <w:color w:val="231F20"/>
          <w:w w:val="85"/>
          <w:sz w:val="16"/>
        </w:rPr>
        <w:t>and</w:t>
      </w:r>
      <w:r>
        <w:rPr>
          <w:color w:val="231F20"/>
          <w:spacing w:val="-3"/>
          <w:w w:val="85"/>
          <w:sz w:val="16"/>
        </w:rPr>
        <w:t> </w:t>
      </w:r>
      <w:r>
        <w:rPr>
          <w:color w:val="231F20"/>
          <w:w w:val="85"/>
          <w:sz w:val="16"/>
        </w:rPr>
        <w:t>Pham</w:t>
      </w:r>
      <w:r>
        <w:rPr>
          <w:color w:val="231F20"/>
          <w:spacing w:val="-3"/>
          <w:w w:val="85"/>
          <w:sz w:val="16"/>
        </w:rPr>
        <w:t> </w:t>
      </w:r>
      <w:r>
        <w:rPr>
          <w:color w:val="231F20"/>
          <w:w w:val="85"/>
          <w:sz w:val="16"/>
        </w:rPr>
        <w:t>(2010)</w:t>
      </w:r>
      <w:r>
        <w:rPr>
          <w:color w:val="231F20"/>
          <w:spacing w:val="-3"/>
          <w:w w:val="85"/>
          <w:sz w:val="16"/>
        </w:rPr>
        <w:t> </w:t>
      </w:r>
      <w:r>
        <w:rPr>
          <w:color w:val="231F20"/>
          <w:w w:val="85"/>
          <w:sz w:val="16"/>
        </w:rPr>
        <w:t>focus</w:t>
      </w:r>
      <w:r>
        <w:rPr>
          <w:color w:val="231F20"/>
          <w:spacing w:val="-3"/>
          <w:w w:val="85"/>
          <w:sz w:val="16"/>
        </w:rPr>
        <w:t> </w:t>
      </w:r>
      <w:r>
        <w:rPr>
          <w:color w:val="231F20"/>
          <w:w w:val="85"/>
          <w:sz w:val="16"/>
        </w:rPr>
        <w:t>on</w:t>
      </w:r>
      <w:r>
        <w:rPr>
          <w:color w:val="231F20"/>
          <w:spacing w:val="-3"/>
          <w:w w:val="85"/>
          <w:sz w:val="16"/>
        </w:rPr>
        <w:t> </w:t>
      </w:r>
      <w:r>
        <w:rPr>
          <w:color w:val="231F20"/>
          <w:w w:val="85"/>
          <w:sz w:val="16"/>
        </w:rPr>
        <w:t>time</w:t>
      </w:r>
      <w:r>
        <w:rPr>
          <w:color w:val="231F20"/>
          <w:spacing w:val="-3"/>
          <w:w w:val="85"/>
          <w:sz w:val="16"/>
        </w:rPr>
        <w:t> </w:t>
      </w:r>
      <w:r>
        <w:rPr>
          <w:color w:val="231F20"/>
          <w:w w:val="85"/>
          <w:sz w:val="16"/>
        </w:rPr>
        <w:t>spent</w:t>
      </w:r>
      <w:r>
        <w:rPr>
          <w:color w:val="231F20"/>
          <w:spacing w:val="-3"/>
          <w:w w:val="85"/>
          <w:sz w:val="16"/>
        </w:rPr>
        <w:t> </w:t>
      </w:r>
      <w:r>
        <w:rPr>
          <w:color w:val="231F20"/>
          <w:w w:val="85"/>
          <w:sz w:val="16"/>
        </w:rPr>
        <w:t>at</w:t>
      </w:r>
      <w:r>
        <w:rPr>
          <w:color w:val="231F20"/>
          <w:spacing w:val="-3"/>
          <w:w w:val="85"/>
          <w:sz w:val="16"/>
        </w:rPr>
        <w:t> </w:t>
      </w:r>
      <w:r>
        <w:rPr>
          <w:color w:val="231F20"/>
          <w:w w:val="85"/>
          <w:sz w:val="16"/>
        </w:rPr>
        <w:t>the</w:t>
      </w:r>
      <w:r>
        <w:rPr>
          <w:color w:val="231F20"/>
          <w:sz w:val="16"/>
        </w:rPr>
        <w:t> </w:t>
      </w:r>
      <w:r>
        <w:rPr>
          <w:color w:val="231F20"/>
          <w:w w:val="85"/>
          <w:sz w:val="16"/>
        </w:rPr>
        <w:t>border,</w:t>
      </w:r>
      <w:r>
        <w:rPr>
          <w:color w:val="231F20"/>
          <w:spacing w:val="-5"/>
          <w:w w:val="85"/>
          <w:sz w:val="16"/>
        </w:rPr>
        <w:t> </w:t>
      </w:r>
      <w:r>
        <w:rPr>
          <w:color w:val="231F20"/>
          <w:w w:val="85"/>
          <w:sz w:val="16"/>
        </w:rPr>
        <w:t>while</w:t>
      </w:r>
      <w:r>
        <w:rPr>
          <w:color w:val="231F20"/>
          <w:spacing w:val="-4"/>
          <w:w w:val="85"/>
          <w:sz w:val="16"/>
        </w:rPr>
        <w:t> </w:t>
      </w:r>
      <w:r>
        <w:rPr>
          <w:color w:val="231F20"/>
          <w:w w:val="85"/>
          <w:sz w:val="16"/>
        </w:rPr>
        <w:t>Hummels</w:t>
      </w:r>
      <w:r>
        <w:rPr>
          <w:color w:val="231F20"/>
          <w:spacing w:val="-5"/>
          <w:w w:val="85"/>
          <w:sz w:val="16"/>
        </w:rPr>
        <w:t> </w:t>
      </w:r>
      <w:r>
        <w:rPr>
          <w:color w:val="231F20"/>
          <w:w w:val="85"/>
          <w:sz w:val="16"/>
        </w:rPr>
        <w:t>and</w:t>
      </w:r>
      <w:r>
        <w:rPr>
          <w:color w:val="231F20"/>
          <w:spacing w:val="-4"/>
          <w:w w:val="85"/>
          <w:sz w:val="16"/>
        </w:rPr>
        <w:t> </w:t>
      </w:r>
      <w:r>
        <w:rPr>
          <w:color w:val="231F20"/>
          <w:w w:val="85"/>
          <w:sz w:val="16"/>
        </w:rPr>
        <w:t>Schaur</w:t>
      </w:r>
      <w:r>
        <w:rPr>
          <w:color w:val="231F20"/>
          <w:spacing w:val="-5"/>
          <w:w w:val="85"/>
          <w:sz w:val="16"/>
        </w:rPr>
        <w:t> </w:t>
      </w:r>
      <w:r>
        <w:rPr>
          <w:color w:val="231F20"/>
          <w:w w:val="85"/>
          <w:sz w:val="16"/>
        </w:rPr>
        <w:t>(2013)</w:t>
      </w:r>
      <w:r>
        <w:rPr>
          <w:color w:val="231F20"/>
          <w:spacing w:val="-4"/>
          <w:w w:val="85"/>
          <w:sz w:val="16"/>
        </w:rPr>
        <w:t> </w:t>
      </w:r>
      <w:r>
        <w:rPr>
          <w:color w:val="231F20"/>
          <w:w w:val="85"/>
          <w:sz w:val="16"/>
        </w:rPr>
        <w:t>examine</w:t>
      </w:r>
      <w:r>
        <w:rPr>
          <w:color w:val="231F20"/>
          <w:sz w:val="16"/>
        </w:rPr>
        <w:t> </w:t>
      </w:r>
      <w:r>
        <w:rPr>
          <w:color w:val="231F20"/>
          <w:w w:val="80"/>
          <w:sz w:val="16"/>
        </w:rPr>
        <w:t>transport time between exporting and importing countries.</w:t>
      </w:r>
      <w:r>
        <w:rPr>
          <w:color w:val="231F20"/>
          <w:sz w:val="16"/>
        </w:rPr>
        <w:t> </w:t>
      </w:r>
      <w:r>
        <w:rPr>
          <w:color w:val="231F20"/>
          <w:w w:val="80"/>
          <w:sz w:val="16"/>
        </w:rPr>
        <w:t>However, there has been no good identification of the role</w:t>
      </w:r>
      <w:r>
        <w:rPr>
          <w:color w:val="231F20"/>
          <w:sz w:val="16"/>
        </w:rPr>
        <w:t> </w:t>
      </w:r>
      <w:r>
        <w:rPr>
          <w:color w:val="231F20"/>
          <w:w w:val="85"/>
          <w:sz w:val="16"/>
        </w:rPr>
        <w:t>of</w:t>
      </w:r>
      <w:r>
        <w:rPr>
          <w:color w:val="231F20"/>
          <w:spacing w:val="-4"/>
          <w:w w:val="85"/>
          <w:sz w:val="16"/>
        </w:rPr>
        <w:t> </w:t>
      </w:r>
      <w:r>
        <w:rPr>
          <w:color w:val="231F20"/>
          <w:w w:val="85"/>
          <w:sz w:val="16"/>
        </w:rPr>
        <w:t>dispersion</w:t>
      </w:r>
      <w:r>
        <w:rPr>
          <w:color w:val="231F20"/>
          <w:spacing w:val="-4"/>
          <w:w w:val="85"/>
          <w:sz w:val="16"/>
        </w:rPr>
        <w:t> </w:t>
      </w:r>
      <w:r>
        <w:rPr>
          <w:color w:val="231F20"/>
          <w:w w:val="85"/>
          <w:sz w:val="16"/>
        </w:rPr>
        <w:t>in</w:t>
      </w:r>
      <w:r>
        <w:rPr>
          <w:color w:val="231F20"/>
          <w:spacing w:val="-4"/>
          <w:w w:val="85"/>
          <w:sz w:val="16"/>
        </w:rPr>
        <w:t> </w:t>
      </w:r>
      <w:r>
        <w:rPr>
          <w:color w:val="231F20"/>
          <w:w w:val="85"/>
          <w:sz w:val="16"/>
        </w:rPr>
        <w:t>time</w:t>
      </w:r>
      <w:r>
        <w:rPr>
          <w:color w:val="231F20"/>
          <w:spacing w:val="-4"/>
          <w:w w:val="85"/>
          <w:sz w:val="16"/>
        </w:rPr>
        <w:t> </w:t>
      </w:r>
      <w:r>
        <w:rPr>
          <w:color w:val="231F20"/>
          <w:w w:val="85"/>
          <w:sz w:val="16"/>
        </w:rPr>
        <w:t>or</w:t>
      </w:r>
      <w:r>
        <w:rPr>
          <w:color w:val="231F20"/>
          <w:spacing w:val="-4"/>
          <w:w w:val="85"/>
          <w:sz w:val="16"/>
        </w:rPr>
        <w:t> </w:t>
      </w:r>
      <w:r>
        <w:rPr>
          <w:color w:val="231F20"/>
          <w:w w:val="85"/>
          <w:sz w:val="16"/>
        </w:rPr>
        <w:t>reliability.</w:t>
      </w:r>
      <w:r>
        <w:rPr>
          <w:color w:val="231F20"/>
          <w:spacing w:val="-4"/>
          <w:w w:val="85"/>
          <w:sz w:val="16"/>
        </w:rPr>
        <w:t> </w:t>
      </w:r>
      <w:r>
        <w:rPr>
          <w:color w:val="231F20"/>
          <w:w w:val="85"/>
          <w:sz w:val="16"/>
        </w:rPr>
        <w:t>Future</w:t>
      </w:r>
      <w:r>
        <w:rPr>
          <w:color w:val="231F20"/>
          <w:spacing w:val="-4"/>
          <w:w w:val="85"/>
          <w:sz w:val="16"/>
        </w:rPr>
        <w:t> </w:t>
      </w:r>
      <w:r>
        <w:rPr>
          <w:color w:val="231F20"/>
          <w:w w:val="85"/>
          <w:sz w:val="16"/>
        </w:rPr>
        <w:t>research</w:t>
      </w:r>
      <w:r>
        <w:rPr>
          <w:color w:val="231F20"/>
          <w:spacing w:val="-4"/>
          <w:w w:val="85"/>
          <w:sz w:val="16"/>
        </w:rPr>
        <w:t> </w:t>
      </w:r>
      <w:r>
        <w:rPr>
          <w:color w:val="231F20"/>
          <w:w w:val="85"/>
          <w:sz w:val="16"/>
        </w:rPr>
        <w:t>could</w:t>
      </w:r>
      <w:r>
        <w:rPr>
          <w:color w:val="231F20"/>
          <w:sz w:val="16"/>
        </w:rPr>
        <w:t> </w:t>
      </w:r>
      <w:r>
        <w:rPr>
          <w:color w:val="231F20"/>
          <w:w w:val="80"/>
          <w:sz w:val="16"/>
        </w:rPr>
        <w:t>examine this question in detail, as existing studies do not</w:t>
      </w:r>
      <w:r>
        <w:rPr>
          <w:color w:val="231F20"/>
          <w:sz w:val="16"/>
        </w:rPr>
        <w:t> </w:t>
      </w:r>
      <w:r>
        <w:rPr>
          <w:color w:val="231F20"/>
          <w:w w:val="85"/>
          <w:sz w:val="16"/>
        </w:rPr>
        <w:t>focus</w:t>
      </w:r>
      <w:r>
        <w:rPr>
          <w:color w:val="231F20"/>
          <w:spacing w:val="-5"/>
          <w:w w:val="85"/>
          <w:sz w:val="16"/>
        </w:rPr>
        <w:t> </w:t>
      </w:r>
      <w:r>
        <w:rPr>
          <w:color w:val="231F20"/>
          <w:w w:val="85"/>
          <w:sz w:val="16"/>
        </w:rPr>
        <w:t>on</w:t>
      </w:r>
      <w:r>
        <w:rPr>
          <w:color w:val="231F20"/>
          <w:spacing w:val="-4"/>
          <w:w w:val="85"/>
          <w:sz w:val="16"/>
        </w:rPr>
        <w:t> </w:t>
      </w:r>
      <w:r>
        <w:rPr>
          <w:color w:val="231F20"/>
          <w:w w:val="85"/>
          <w:sz w:val="16"/>
        </w:rPr>
        <w:t>reliability,</w:t>
      </w:r>
      <w:r>
        <w:rPr>
          <w:color w:val="231F20"/>
          <w:spacing w:val="-5"/>
          <w:w w:val="85"/>
          <w:sz w:val="16"/>
        </w:rPr>
        <w:t> </w:t>
      </w:r>
      <w:r>
        <w:rPr>
          <w:color w:val="231F20"/>
          <w:w w:val="85"/>
          <w:sz w:val="16"/>
        </w:rPr>
        <w:t>even</w:t>
      </w:r>
      <w:r>
        <w:rPr>
          <w:color w:val="231F20"/>
          <w:spacing w:val="-4"/>
          <w:w w:val="85"/>
          <w:sz w:val="16"/>
        </w:rPr>
        <w:t> </w:t>
      </w:r>
      <w:r>
        <w:rPr>
          <w:color w:val="231F20"/>
          <w:w w:val="85"/>
          <w:sz w:val="16"/>
        </w:rPr>
        <w:t>when</w:t>
      </w:r>
      <w:r>
        <w:rPr>
          <w:color w:val="231F20"/>
          <w:spacing w:val="-5"/>
          <w:w w:val="85"/>
          <w:sz w:val="16"/>
        </w:rPr>
        <w:t> </w:t>
      </w:r>
      <w:r>
        <w:rPr>
          <w:color w:val="231F20"/>
          <w:w w:val="85"/>
          <w:sz w:val="16"/>
        </w:rPr>
        <w:t>they</w:t>
      </w:r>
      <w:r>
        <w:rPr>
          <w:color w:val="231F20"/>
          <w:spacing w:val="-4"/>
          <w:w w:val="85"/>
          <w:sz w:val="16"/>
        </w:rPr>
        <w:t> </w:t>
      </w:r>
      <w:r>
        <w:rPr>
          <w:color w:val="231F20"/>
          <w:w w:val="85"/>
          <w:sz w:val="16"/>
        </w:rPr>
        <w:t>use</w:t>
      </w:r>
      <w:r>
        <w:rPr>
          <w:color w:val="231F20"/>
          <w:spacing w:val="-5"/>
          <w:w w:val="85"/>
          <w:sz w:val="16"/>
        </w:rPr>
        <w:t> </w:t>
      </w:r>
      <w:r>
        <w:rPr>
          <w:color w:val="231F20"/>
          <w:w w:val="85"/>
          <w:sz w:val="16"/>
        </w:rPr>
        <w:t>highly</w:t>
      </w:r>
      <w:r>
        <w:rPr>
          <w:color w:val="231F20"/>
          <w:spacing w:val="-4"/>
          <w:w w:val="85"/>
          <w:sz w:val="16"/>
        </w:rPr>
        <w:t> </w:t>
      </w:r>
      <w:r>
        <w:rPr>
          <w:color w:val="231F20"/>
          <w:w w:val="85"/>
          <w:sz w:val="16"/>
        </w:rPr>
        <w:t>detailed</w:t>
      </w:r>
      <w:r>
        <w:rPr>
          <w:color w:val="231F20"/>
          <w:sz w:val="16"/>
        </w:rPr>
        <w:t> </w:t>
      </w:r>
      <w:r>
        <w:rPr>
          <w:color w:val="231F20"/>
          <w:w w:val="80"/>
          <w:sz w:val="16"/>
        </w:rPr>
        <w:t>data comparable to those presented here (for example,</w:t>
      </w:r>
      <w:r>
        <w:rPr>
          <w:color w:val="231F20"/>
          <w:sz w:val="16"/>
        </w:rPr>
        <w:t> </w:t>
      </w:r>
      <w:r>
        <w:rPr>
          <w:color w:val="231F20"/>
          <w:w w:val="85"/>
          <w:sz w:val="16"/>
        </w:rPr>
        <w:t>Volpe</w:t>
      </w:r>
      <w:r>
        <w:rPr>
          <w:color w:val="231F20"/>
          <w:spacing w:val="-3"/>
          <w:w w:val="85"/>
          <w:sz w:val="16"/>
        </w:rPr>
        <w:t> </w:t>
      </w:r>
      <w:r>
        <w:rPr>
          <w:color w:val="231F20"/>
          <w:w w:val="85"/>
          <w:sz w:val="16"/>
        </w:rPr>
        <w:t>Martincus,</w:t>
      </w:r>
      <w:r>
        <w:rPr>
          <w:color w:val="231F20"/>
          <w:spacing w:val="-3"/>
          <w:w w:val="85"/>
          <w:sz w:val="16"/>
        </w:rPr>
        <w:t> </w:t>
      </w:r>
      <w:r>
        <w:rPr>
          <w:color w:val="231F20"/>
          <w:w w:val="85"/>
          <w:sz w:val="16"/>
        </w:rPr>
        <w:t>Carballo,</w:t>
      </w:r>
      <w:r>
        <w:rPr>
          <w:color w:val="231F20"/>
          <w:spacing w:val="-3"/>
          <w:w w:val="85"/>
          <w:sz w:val="16"/>
        </w:rPr>
        <w:t> </w:t>
      </w:r>
      <w:r>
        <w:rPr>
          <w:color w:val="231F20"/>
          <w:w w:val="85"/>
          <w:sz w:val="16"/>
        </w:rPr>
        <w:t>and</w:t>
      </w:r>
      <w:r>
        <w:rPr>
          <w:color w:val="231F20"/>
          <w:spacing w:val="-3"/>
          <w:w w:val="85"/>
          <w:sz w:val="16"/>
        </w:rPr>
        <w:t> </w:t>
      </w:r>
      <w:r>
        <w:rPr>
          <w:color w:val="231F20"/>
          <w:w w:val="85"/>
          <w:sz w:val="16"/>
        </w:rPr>
        <w:t>Graziano</w:t>
      </w:r>
      <w:r>
        <w:rPr>
          <w:color w:val="231F20"/>
          <w:spacing w:val="-3"/>
          <w:w w:val="85"/>
          <w:sz w:val="16"/>
        </w:rPr>
        <w:t> </w:t>
      </w:r>
      <w:r>
        <w:rPr>
          <w:color w:val="231F20"/>
          <w:w w:val="85"/>
          <w:sz w:val="16"/>
        </w:rPr>
        <w:t>2016).</w:t>
      </w:r>
    </w:p>
    <w:p>
      <w:pPr>
        <w:pStyle w:val="ListParagraph"/>
        <w:numPr>
          <w:ilvl w:val="0"/>
          <w:numId w:val="14"/>
        </w:numPr>
        <w:tabs>
          <w:tab w:pos="567" w:val="left" w:leader="none"/>
        </w:tabs>
        <w:spacing w:line="240" w:lineRule="auto" w:before="29" w:after="0"/>
        <w:ind w:left="567" w:right="0" w:hanging="359"/>
        <w:jc w:val="left"/>
        <w:rPr>
          <w:sz w:val="16"/>
        </w:rPr>
      </w:pPr>
      <w:r>
        <w:rPr>
          <w:color w:val="231F20"/>
          <w:w w:val="75"/>
          <w:sz w:val="16"/>
        </w:rPr>
        <w:t>See</w:t>
      </w:r>
      <w:r>
        <w:rPr>
          <w:color w:val="231F20"/>
          <w:spacing w:val="-6"/>
          <w:sz w:val="16"/>
        </w:rPr>
        <w:t> </w:t>
      </w:r>
      <w:r>
        <w:rPr>
          <w:color w:val="231F20"/>
          <w:spacing w:val="-2"/>
          <w:w w:val="85"/>
          <w:sz w:val="16"/>
        </w:rPr>
        <w:t>https://resilientmaritimelogistics.unctad.org/.</w:t>
      </w:r>
    </w:p>
    <w:p>
      <w:pPr>
        <w:pStyle w:val="ListParagraph"/>
        <w:numPr>
          <w:ilvl w:val="0"/>
          <w:numId w:val="14"/>
        </w:numPr>
        <w:tabs>
          <w:tab w:pos="566" w:val="left" w:leader="none"/>
        </w:tabs>
        <w:spacing w:line="240" w:lineRule="auto" w:before="33" w:after="0"/>
        <w:ind w:left="566" w:right="0" w:hanging="358"/>
        <w:jc w:val="left"/>
        <w:rPr>
          <w:sz w:val="16"/>
        </w:rPr>
      </w:pPr>
      <w:r>
        <w:rPr>
          <w:color w:val="231F20"/>
          <w:w w:val="75"/>
          <w:sz w:val="16"/>
        </w:rPr>
        <w:t>Lynch</w:t>
      </w:r>
      <w:r>
        <w:rPr>
          <w:color w:val="231F20"/>
          <w:spacing w:val="5"/>
          <w:sz w:val="16"/>
        </w:rPr>
        <w:t> </w:t>
      </w:r>
      <w:r>
        <w:rPr>
          <w:color w:val="231F20"/>
          <w:spacing w:val="-4"/>
          <w:w w:val="95"/>
          <w:sz w:val="16"/>
        </w:rPr>
        <w:t>2021.</w:t>
      </w:r>
    </w:p>
    <w:p>
      <w:pPr>
        <w:pStyle w:val="ListParagraph"/>
        <w:numPr>
          <w:ilvl w:val="0"/>
          <w:numId w:val="14"/>
        </w:numPr>
        <w:tabs>
          <w:tab w:pos="566" w:val="left" w:leader="none"/>
          <w:tab w:pos="568" w:val="left" w:leader="none"/>
        </w:tabs>
        <w:spacing w:line="259" w:lineRule="auto" w:before="33" w:after="0"/>
        <w:ind w:left="568" w:right="221" w:hanging="360"/>
        <w:jc w:val="left"/>
        <w:rPr>
          <w:sz w:val="16"/>
        </w:rPr>
      </w:pPr>
      <w:r>
        <w:rPr>
          <w:color w:val="231F20"/>
          <w:w w:val="80"/>
          <w:sz w:val="16"/>
        </w:rPr>
        <w:t>The practice of stripping containers at ports in some low-</w:t>
      </w:r>
      <w:r>
        <w:rPr>
          <w:color w:val="231F20"/>
          <w:sz w:val="16"/>
        </w:rPr>
        <w:t> </w:t>
      </w:r>
      <w:r>
        <w:rPr>
          <w:color w:val="231F20"/>
          <w:w w:val="80"/>
          <w:sz w:val="16"/>
        </w:rPr>
        <w:t>and middle-income countries may explain some low dwell</w:t>
      </w:r>
      <w:r>
        <w:rPr>
          <w:color w:val="231F20"/>
          <w:sz w:val="16"/>
        </w:rPr>
        <w:t> </w:t>
      </w:r>
      <w:r>
        <w:rPr>
          <w:color w:val="231F20"/>
          <w:w w:val="85"/>
          <w:sz w:val="16"/>
        </w:rPr>
        <w:t>time. In the context of island states with low shipping</w:t>
      </w:r>
      <w:r>
        <w:rPr>
          <w:color w:val="231F20"/>
          <w:sz w:val="16"/>
        </w:rPr>
        <w:t> </w:t>
      </w:r>
      <w:r>
        <w:rPr>
          <w:color w:val="231F20"/>
          <w:w w:val="80"/>
          <w:sz w:val="16"/>
        </w:rPr>
        <w:t>frequencies, consignees are incentivized to move back</w:t>
      </w:r>
      <w:r>
        <w:rPr>
          <w:color w:val="231F20"/>
          <w:sz w:val="16"/>
        </w:rPr>
        <w:t> </w:t>
      </w:r>
      <w:r>
        <w:rPr>
          <w:color w:val="231F20"/>
          <w:w w:val="80"/>
          <w:sz w:val="16"/>
        </w:rPr>
        <w:t>containers as soon as possible to avoid demurrage fees.</w:t>
      </w:r>
    </w:p>
    <w:p>
      <w:pPr>
        <w:pStyle w:val="ListParagraph"/>
        <w:numPr>
          <w:ilvl w:val="0"/>
          <w:numId w:val="14"/>
        </w:numPr>
        <w:tabs>
          <w:tab w:pos="566" w:val="left" w:leader="none"/>
        </w:tabs>
        <w:spacing w:line="240" w:lineRule="auto" w:before="22" w:after="0"/>
        <w:ind w:left="566" w:right="0" w:hanging="358"/>
        <w:jc w:val="left"/>
        <w:rPr>
          <w:sz w:val="16"/>
        </w:rPr>
      </w:pPr>
      <w:r>
        <w:rPr>
          <w:color w:val="231F20"/>
          <w:w w:val="75"/>
          <w:sz w:val="16"/>
        </w:rPr>
        <w:t>World</w:t>
      </w:r>
      <w:r>
        <w:rPr>
          <w:color w:val="231F20"/>
          <w:spacing w:val="7"/>
          <w:sz w:val="16"/>
        </w:rPr>
        <w:t> </w:t>
      </w:r>
      <w:r>
        <w:rPr>
          <w:color w:val="231F20"/>
          <w:w w:val="75"/>
          <w:sz w:val="16"/>
        </w:rPr>
        <w:t>Bank</w:t>
      </w:r>
      <w:r>
        <w:rPr>
          <w:color w:val="231F20"/>
          <w:spacing w:val="7"/>
          <w:sz w:val="16"/>
        </w:rPr>
        <w:t> </w:t>
      </w:r>
      <w:r>
        <w:rPr>
          <w:color w:val="231F20"/>
          <w:spacing w:val="-2"/>
          <w:w w:val="75"/>
          <w:sz w:val="16"/>
        </w:rPr>
        <w:t>2022.</w:t>
      </w:r>
    </w:p>
    <w:p>
      <w:pPr>
        <w:pStyle w:val="ListParagraph"/>
        <w:numPr>
          <w:ilvl w:val="0"/>
          <w:numId w:val="14"/>
        </w:numPr>
        <w:tabs>
          <w:tab w:pos="566" w:val="left" w:leader="none"/>
        </w:tabs>
        <w:spacing w:line="240" w:lineRule="auto" w:before="33" w:after="0"/>
        <w:ind w:left="566" w:right="0" w:hanging="358"/>
        <w:jc w:val="left"/>
        <w:rPr>
          <w:sz w:val="16"/>
        </w:rPr>
      </w:pPr>
      <w:r>
        <w:rPr>
          <w:color w:val="231F20"/>
          <w:w w:val="75"/>
          <w:sz w:val="16"/>
        </w:rPr>
        <w:t>Raballand</w:t>
      </w:r>
      <w:r>
        <w:rPr>
          <w:color w:val="231F20"/>
          <w:spacing w:val="10"/>
          <w:sz w:val="16"/>
        </w:rPr>
        <w:t> </w:t>
      </w:r>
      <w:r>
        <w:rPr>
          <w:color w:val="231F20"/>
          <w:w w:val="75"/>
          <w:sz w:val="16"/>
        </w:rPr>
        <w:t>and</w:t>
      </w:r>
      <w:r>
        <w:rPr>
          <w:color w:val="231F20"/>
          <w:spacing w:val="10"/>
          <w:sz w:val="16"/>
        </w:rPr>
        <w:t> </w:t>
      </w:r>
      <w:r>
        <w:rPr>
          <w:color w:val="231F20"/>
          <w:w w:val="75"/>
          <w:sz w:val="16"/>
        </w:rPr>
        <w:t>others</w:t>
      </w:r>
      <w:r>
        <w:rPr>
          <w:color w:val="231F20"/>
          <w:spacing w:val="10"/>
          <w:sz w:val="16"/>
        </w:rPr>
        <w:t> </w:t>
      </w:r>
      <w:r>
        <w:rPr>
          <w:color w:val="231F20"/>
          <w:spacing w:val="-4"/>
          <w:w w:val="75"/>
          <w:sz w:val="16"/>
        </w:rPr>
        <w:t>2012.</w:t>
      </w:r>
    </w:p>
    <w:p>
      <w:pPr>
        <w:pStyle w:val="ListParagraph"/>
        <w:numPr>
          <w:ilvl w:val="0"/>
          <w:numId w:val="14"/>
        </w:numPr>
        <w:tabs>
          <w:tab w:pos="566" w:val="left" w:leader="none"/>
        </w:tabs>
        <w:spacing w:line="240" w:lineRule="auto" w:before="33" w:after="0"/>
        <w:ind w:left="566" w:right="0" w:hanging="358"/>
        <w:jc w:val="left"/>
        <w:rPr>
          <w:sz w:val="16"/>
        </w:rPr>
      </w:pPr>
      <w:r>
        <w:rPr>
          <w:color w:val="231F20"/>
          <w:w w:val="80"/>
          <w:sz w:val="16"/>
        </w:rPr>
        <w:t>World</w:t>
      </w:r>
      <w:r>
        <w:rPr>
          <w:color w:val="231F20"/>
          <w:sz w:val="16"/>
        </w:rPr>
        <w:t> </w:t>
      </w:r>
      <w:r>
        <w:rPr>
          <w:color w:val="231F20"/>
          <w:w w:val="80"/>
          <w:sz w:val="16"/>
        </w:rPr>
        <w:t>Bank</w:t>
      </w:r>
      <w:r>
        <w:rPr>
          <w:color w:val="231F20"/>
          <w:spacing w:val="1"/>
          <w:sz w:val="16"/>
        </w:rPr>
        <w:t> </w:t>
      </w:r>
      <w:r>
        <w:rPr>
          <w:color w:val="231F20"/>
          <w:w w:val="80"/>
          <w:sz w:val="16"/>
        </w:rPr>
        <w:t>2020b,</w:t>
      </w:r>
      <w:r>
        <w:rPr>
          <w:color w:val="231F20"/>
          <w:spacing w:val="1"/>
          <w:sz w:val="16"/>
        </w:rPr>
        <w:t> </w:t>
      </w:r>
      <w:r>
        <w:rPr>
          <w:color w:val="231F20"/>
          <w:spacing w:val="-2"/>
          <w:w w:val="80"/>
          <w:sz w:val="16"/>
        </w:rPr>
        <w:t>2021b.</w:t>
      </w:r>
    </w:p>
    <w:p>
      <w:pPr>
        <w:pStyle w:val="ListParagraph"/>
        <w:numPr>
          <w:ilvl w:val="0"/>
          <w:numId w:val="14"/>
        </w:numPr>
        <w:tabs>
          <w:tab w:pos="567" w:val="left" w:leader="none"/>
        </w:tabs>
        <w:spacing w:line="240" w:lineRule="auto" w:before="33" w:after="0"/>
        <w:ind w:left="567" w:right="0" w:hanging="359"/>
        <w:jc w:val="left"/>
        <w:rPr>
          <w:sz w:val="16"/>
        </w:rPr>
      </w:pPr>
      <w:r>
        <w:rPr>
          <w:color w:val="231F20"/>
          <w:w w:val="75"/>
          <w:sz w:val="16"/>
        </w:rPr>
        <w:t>World</w:t>
      </w:r>
      <w:r>
        <w:rPr>
          <w:color w:val="231F20"/>
          <w:spacing w:val="7"/>
          <w:sz w:val="16"/>
        </w:rPr>
        <w:t> </w:t>
      </w:r>
      <w:r>
        <w:rPr>
          <w:color w:val="231F20"/>
          <w:w w:val="75"/>
          <w:sz w:val="16"/>
        </w:rPr>
        <w:t>Bank</w:t>
      </w:r>
      <w:r>
        <w:rPr>
          <w:color w:val="231F20"/>
          <w:spacing w:val="7"/>
          <w:sz w:val="16"/>
        </w:rPr>
        <w:t> </w:t>
      </w:r>
      <w:r>
        <w:rPr>
          <w:color w:val="231F20"/>
          <w:spacing w:val="-2"/>
          <w:w w:val="75"/>
          <w:sz w:val="16"/>
        </w:rPr>
        <w:t>2007.</w:t>
      </w:r>
    </w:p>
    <w:p>
      <w:pPr>
        <w:pStyle w:val="ListParagraph"/>
        <w:numPr>
          <w:ilvl w:val="0"/>
          <w:numId w:val="14"/>
        </w:numPr>
        <w:tabs>
          <w:tab w:pos="566" w:val="left" w:leader="none"/>
        </w:tabs>
        <w:spacing w:line="240" w:lineRule="auto" w:before="33" w:after="0"/>
        <w:ind w:left="566" w:right="0" w:hanging="358"/>
        <w:jc w:val="left"/>
        <w:rPr>
          <w:sz w:val="16"/>
        </w:rPr>
      </w:pPr>
      <w:r>
        <w:rPr>
          <w:color w:val="231F20"/>
          <w:w w:val="75"/>
          <w:sz w:val="16"/>
        </w:rPr>
        <w:t>World</w:t>
      </w:r>
      <w:r>
        <w:rPr>
          <w:color w:val="231F20"/>
          <w:spacing w:val="7"/>
          <w:sz w:val="16"/>
        </w:rPr>
        <w:t> </w:t>
      </w:r>
      <w:r>
        <w:rPr>
          <w:color w:val="231F20"/>
          <w:w w:val="75"/>
          <w:sz w:val="16"/>
        </w:rPr>
        <w:t>Bank</w:t>
      </w:r>
      <w:r>
        <w:rPr>
          <w:color w:val="231F20"/>
          <w:spacing w:val="7"/>
          <w:sz w:val="16"/>
        </w:rPr>
        <w:t> </w:t>
      </w:r>
      <w:r>
        <w:rPr>
          <w:color w:val="231F20"/>
          <w:spacing w:val="-2"/>
          <w:w w:val="75"/>
          <w:sz w:val="16"/>
        </w:rPr>
        <w:t>2020a.</w:t>
      </w:r>
    </w:p>
    <w:p>
      <w:pPr>
        <w:pStyle w:val="ListParagraph"/>
        <w:numPr>
          <w:ilvl w:val="0"/>
          <w:numId w:val="14"/>
        </w:numPr>
        <w:tabs>
          <w:tab w:pos="566" w:val="left" w:leader="none"/>
          <w:tab w:pos="568" w:val="left" w:leader="none"/>
        </w:tabs>
        <w:spacing w:line="256" w:lineRule="auto" w:before="33" w:after="0"/>
        <w:ind w:left="568" w:right="269" w:hanging="360"/>
        <w:jc w:val="left"/>
        <w:rPr>
          <w:sz w:val="16"/>
        </w:rPr>
      </w:pPr>
      <w:r>
        <w:rPr>
          <w:color w:val="231F20"/>
          <w:w w:val="80"/>
          <w:sz w:val="16"/>
        </w:rPr>
        <w:t>World</w:t>
      </w:r>
      <w:r>
        <w:rPr>
          <w:color w:val="231F20"/>
          <w:spacing w:val="-2"/>
          <w:w w:val="80"/>
          <w:sz w:val="16"/>
        </w:rPr>
        <w:t> </w:t>
      </w:r>
      <w:r>
        <w:rPr>
          <w:color w:val="231F20"/>
          <w:w w:val="80"/>
          <w:sz w:val="16"/>
        </w:rPr>
        <w:t>Bank</w:t>
      </w:r>
      <w:r>
        <w:rPr>
          <w:color w:val="231F20"/>
          <w:spacing w:val="-2"/>
          <w:w w:val="80"/>
          <w:sz w:val="16"/>
        </w:rPr>
        <w:t> </w:t>
      </w:r>
      <w:r>
        <w:rPr>
          <w:color w:val="231F20"/>
          <w:w w:val="80"/>
          <w:sz w:val="16"/>
        </w:rPr>
        <w:t>2011.</w:t>
      </w:r>
      <w:r>
        <w:rPr>
          <w:color w:val="231F20"/>
          <w:spacing w:val="-2"/>
          <w:w w:val="80"/>
          <w:sz w:val="16"/>
        </w:rPr>
        <w:t> </w:t>
      </w:r>
      <w:r>
        <w:rPr>
          <w:color w:val="231F20"/>
          <w:w w:val="80"/>
          <w:sz w:val="16"/>
        </w:rPr>
        <w:t>The</w:t>
      </w:r>
      <w:r>
        <w:rPr>
          <w:color w:val="231F20"/>
          <w:spacing w:val="-2"/>
          <w:w w:val="80"/>
          <w:sz w:val="16"/>
        </w:rPr>
        <w:t> </w:t>
      </w:r>
      <w:r>
        <w:rPr>
          <w:color w:val="231F20"/>
          <w:w w:val="80"/>
          <w:sz w:val="16"/>
        </w:rPr>
        <w:t>World</w:t>
      </w:r>
      <w:r>
        <w:rPr>
          <w:color w:val="231F20"/>
          <w:spacing w:val="-2"/>
          <w:w w:val="80"/>
          <w:sz w:val="16"/>
        </w:rPr>
        <w:t> </w:t>
      </w:r>
      <w:r>
        <w:rPr>
          <w:color w:val="231F20"/>
          <w:w w:val="80"/>
          <w:sz w:val="16"/>
        </w:rPr>
        <w:t>Bank</w:t>
      </w:r>
      <w:r>
        <w:rPr>
          <w:color w:val="231F20"/>
          <w:spacing w:val="-2"/>
          <w:w w:val="80"/>
          <w:sz w:val="16"/>
        </w:rPr>
        <w:t> </w:t>
      </w:r>
      <w:r>
        <w:rPr>
          <w:color w:val="231F20"/>
          <w:w w:val="80"/>
          <w:sz w:val="16"/>
        </w:rPr>
        <w:t>has</w:t>
      </w:r>
      <w:r>
        <w:rPr>
          <w:color w:val="231F20"/>
          <w:spacing w:val="-2"/>
          <w:w w:val="80"/>
          <w:sz w:val="16"/>
        </w:rPr>
        <w:t> </w:t>
      </w:r>
      <w:r>
        <w:rPr>
          <w:color w:val="231F20"/>
          <w:w w:val="80"/>
          <w:sz w:val="16"/>
        </w:rPr>
        <w:t>published</w:t>
      </w:r>
      <w:r>
        <w:rPr>
          <w:color w:val="231F20"/>
          <w:spacing w:val="-2"/>
          <w:w w:val="80"/>
          <w:sz w:val="16"/>
        </w:rPr>
        <w:t> </w:t>
      </w:r>
      <w:r>
        <w:rPr>
          <w:color w:val="231F20"/>
          <w:w w:val="80"/>
          <w:sz w:val="16"/>
        </w:rPr>
        <w:t>several</w:t>
      </w:r>
      <w:r>
        <w:rPr>
          <w:color w:val="231F20"/>
          <w:sz w:val="16"/>
        </w:rPr>
        <w:t> </w:t>
      </w:r>
      <w:r>
        <w:rPr>
          <w:color w:val="231F20"/>
          <w:w w:val="80"/>
          <w:sz w:val="16"/>
        </w:rPr>
        <w:t>handbooks to support policy reform in these areas (see</w:t>
      </w:r>
      <w:r>
        <w:rPr>
          <w:color w:val="231F20"/>
          <w:sz w:val="16"/>
        </w:rPr>
        <w:t> </w:t>
      </w:r>
      <w:r>
        <w:rPr>
          <w:color w:val="231F20"/>
          <w:w w:val="90"/>
          <w:sz w:val="16"/>
        </w:rPr>
        <w:t>World</w:t>
      </w:r>
      <w:r>
        <w:rPr>
          <w:color w:val="231F20"/>
          <w:spacing w:val="-7"/>
          <w:w w:val="90"/>
          <w:sz w:val="16"/>
        </w:rPr>
        <w:t> </w:t>
      </w:r>
      <w:r>
        <w:rPr>
          <w:color w:val="231F20"/>
          <w:w w:val="90"/>
          <w:sz w:val="16"/>
        </w:rPr>
        <w:t>Bank</w:t>
      </w:r>
      <w:r>
        <w:rPr>
          <w:color w:val="231F20"/>
          <w:spacing w:val="-7"/>
          <w:w w:val="90"/>
          <w:sz w:val="16"/>
        </w:rPr>
        <w:t> </w:t>
      </w:r>
      <w:r>
        <w:rPr>
          <w:color w:val="231F20"/>
          <w:w w:val="90"/>
          <w:sz w:val="16"/>
        </w:rPr>
        <w:t>2010,</w:t>
      </w:r>
      <w:r>
        <w:rPr>
          <w:color w:val="231F20"/>
          <w:spacing w:val="-6"/>
          <w:w w:val="90"/>
          <w:sz w:val="16"/>
        </w:rPr>
        <w:t> </w:t>
      </w:r>
      <w:r>
        <w:rPr>
          <w:color w:val="231F20"/>
          <w:w w:val="90"/>
          <w:sz w:val="16"/>
        </w:rPr>
        <w:t>2011,</w:t>
      </w:r>
      <w:r>
        <w:rPr>
          <w:color w:val="231F20"/>
          <w:spacing w:val="-7"/>
          <w:w w:val="90"/>
          <w:sz w:val="16"/>
        </w:rPr>
        <w:t> </w:t>
      </w:r>
      <w:r>
        <w:rPr>
          <w:color w:val="231F20"/>
          <w:w w:val="90"/>
          <w:sz w:val="16"/>
        </w:rPr>
        <w:t>2013,</w:t>
      </w:r>
      <w:r>
        <w:rPr>
          <w:color w:val="231F20"/>
          <w:spacing w:val="-7"/>
          <w:w w:val="90"/>
          <w:sz w:val="16"/>
        </w:rPr>
        <w:t> </w:t>
      </w:r>
      <w:r>
        <w:rPr>
          <w:color w:val="231F20"/>
          <w:w w:val="90"/>
          <w:sz w:val="16"/>
        </w:rPr>
        <w:t>2014).</w:t>
      </w:r>
    </w:p>
    <w:p>
      <w:pPr>
        <w:pStyle w:val="ListParagraph"/>
        <w:numPr>
          <w:ilvl w:val="0"/>
          <w:numId w:val="14"/>
        </w:numPr>
        <w:tabs>
          <w:tab w:pos="566" w:val="left" w:leader="none"/>
        </w:tabs>
        <w:spacing w:line="240" w:lineRule="auto" w:before="25" w:after="0"/>
        <w:ind w:left="566" w:right="0" w:hanging="358"/>
        <w:jc w:val="left"/>
        <w:rPr>
          <w:sz w:val="16"/>
        </w:rPr>
      </w:pPr>
      <w:r>
        <w:rPr>
          <w:color w:val="231F20"/>
          <w:w w:val="80"/>
          <w:sz w:val="16"/>
        </w:rPr>
        <w:t>McKinnon</w:t>
      </w:r>
      <w:r>
        <w:rPr>
          <w:color w:val="231F20"/>
          <w:spacing w:val="-6"/>
          <w:sz w:val="16"/>
        </w:rPr>
        <w:t> </w:t>
      </w:r>
      <w:r>
        <w:rPr>
          <w:color w:val="231F20"/>
          <w:w w:val="80"/>
          <w:sz w:val="16"/>
        </w:rPr>
        <w:t>et</w:t>
      </w:r>
      <w:r>
        <w:rPr>
          <w:color w:val="231F20"/>
          <w:spacing w:val="-5"/>
          <w:sz w:val="16"/>
        </w:rPr>
        <w:t> </w:t>
      </w:r>
      <w:r>
        <w:rPr>
          <w:color w:val="231F20"/>
          <w:w w:val="80"/>
          <w:sz w:val="16"/>
        </w:rPr>
        <w:t>al.</w:t>
      </w:r>
      <w:r>
        <w:rPr>
          <w:color w:val="231F20"/>
          <w:spacing w:val="-5"/>
          <w:sz w:val="16"/>
        </w:rPr>
        <w:t> </w:t>
      </w:r>
      <w:r>
        <w:rPr>
          <w:color w:val="231F20"/>
          <w:w w:val="80"/>
          <w:sz w:val="16"/>
        </w:rPr>
        <w:t>2017</w:t>
      </w:r>
      <w:r>
        <w:rPr>
          <w:color w:val="231F20"/>
          <w:spacing w:val="-5"/>
          <w:sz w:val="16"/>
        </w:rPr>
        <w:t> </w:t>
      </w:r>
      <w:r>
        <w:rPr>
          <w:color w:val="231F20"/>
          <w:w w:val="80"/>
          <w:sz w:val="16"/>
        </w:rPr>
        <w:t>[add</w:t>
      </w:r>
      <w:r>
        <w:rPr>
          <w:color w:val="231F20"/>
          <w:spacing w:val="-5"/>
          <w:sz w:val="16"/>
        </w:rPr>
        <w:t> </w:t>
      </w:r>
      <w:r>
        <w:rPr>
          <w:color w:val="231F20"/>
          <w:w w:val="80"/>
          <w:sz w:val="16"/>
        </w:rPr>
        <w:t>to</w:t>
      </w:r>
      <w:r>
        <w:rPr>
          <w:color w:val="231F20"/>
          <w:spacing w:val="-6"/>
          <w:sz w:val="16"/>
        </w:rPr>
        <w:t> </w:t>
      </w:r>
      <w:r>
        <w:rPr>
          <w:color w:val="231F20"/>
          <w:w w:val="80"/>
          <w:sz w:val="16"/>
        </w:rPr>
        <w:t>reference</w:t>
      </w:r>
      <w:r>
        <w:rPr>
          <w:color w:val="231F20"/>
          <w:spacing w:val="-5"/>
          <w:sz w:val="16"/>
        </w:rPr>
        <w:t> </w:t>
      </w:r>
      <w:r>
        <w:rPr>
          <w:color w:val="231F20"/>
          <w:spacing w:val="-2"/>
          <w:w w:val="80"/>
          <w:sz w:val="16"/>
        </w:rPr>
        <w:t>list].</w:t>
      </w:r>
    </w:p>
    <w:p>
      <w:pPr>
        <w:pStyle w:val="ListParagraph"/>
        <w:numPr>
          <w:ilvl w:val="0"/>
          <w:numId w:val="14"/>
        </w:numPr>
        <w:tabs>
          <w:tab w:pos="567" w:val="left" w:leader="none"/>
        </w:tabs>
        <w:spacing w:line="240" w:lineRule="auto" w:before="33" w:after="0"/>
        <w:ind w:left="567" w:right="0" w:hanging="359"/>
        <w:jc w:val="left"/>
        <w:rPr>
          <w:sz w:val="16"/>
        </w:rPr>
      </w:pPr>
      <w:r>
        <w:rPr>
          <w:color w:val="231F20"/>
          <w:w w:val="75"/>
          <w:sz w:val="16"/>
        </w:rPr>
        <w:t>See</w:t>
      </w:r>
      <w:r>
        <w:rPr>
          <w:color w:val="231F20"/>
          <w:spacing w:val="-2"/>
          <w:w w:val="90"/>
          <w:sz w:val="16"/>
        </w:rPr>
        <w:t> https://</w:t>
      </w:r>
      <w:hyperlink r:id="rId105">
        <w:r>
          <w:rPr>
            <w:color w:val="231F20"/>
            <w:spacing w:val="-2"/>
            <w:w w:val="90"/>
            <w:sz w:val="16"/>
          </w:rPr>
          <w:t>www.dinalog.nl/en/.</w:t>
        </w:r>
      </w:hyperlink>
    </w:p>
    <w:p>
      <w:pPr>
        <w:pStyle w:val="ListParagraph"/>
        <w:numPr>
          <w:ilvl w:val="0"/>
          <w:numId w:val="14"/>
        </w:numPr>
        <w:tabs>
          <w:tab w:pos="568" w:val="left" w:leader="none"/>
        </w:tabs>
        <w:spacing w:line="254" w:lineRule="auto" w:before="33" w:after="0"/>
        <w:ind w:left="568" w:right="484" w:hanging="360"/>
        <w:jc w:val="left"/>
        <w:rPr>
          <w:sz w:val="16"/>
        </w:rPr>
      </w:pPr>
      <w:r>
        <w:rPr>
          <w:color w:val="231F20"/>
          <w:w w:val="80"/>
          <w:sz w:val="16"/>
        </w:rPr>
        <w:t>See, for example, </w:t>
      </w:r>
      <w:hyperlink r:id="rId106">
        <w:r>
          <w:rPr>
            <w:color w:val="231F20"/>
            <w:w w:val="80"/>
            <w:sz w:val="16"/>
          </w:rPr>
          <w:t>https://www.un.org/ohrlls/content/</w:t>
        </w:r>
      </w:hyperlink>
      <w:r>
        <w:rPr>
          <w:color w:val="231F20"/>
          <w:sz w:val="16"/>
        </w:rPr>
        <w:t> </w:t>
      </w:r>
      <w:hyperlink r:id="rId106">
        <w:r>
          <w:rPr>
            <w:color w:val="231F20"/>
            <w:spacing w:val="-2"/>
            <w:w w:val="85"/>
            <w:sz w:val="16"/>
          </w:rPr>
          <w:t>landlocked-developing-countries</w:t>
        </w:r>
      </w:hyperlink>
      <w:r>
        <w:rPr>
          <w:color w:val="231F20"/>
          <w:spacing w:val="-2"/>
          <w:w w:val="85"/>
          <w:sz w:val="16"/>
        </w:rPr>
        <w:t>.</w:t>
      </w:r>
    </w:p>
    <w:p>
      <w:pPr>
        <w:pStyle w:val="ListParagraph"/>
        <w:numPr>
          <w:ilvl w:val="0"/>
          <w:numId w:val="14"/>
        </w:numPr>
        <w:tabs>
          <w:tab w:pos="568" w:val="left" w:leader="none"/>
        </w:tabs>
        <w:spacing w:line="259" w:lineRule="auto" w:before="25" w:after="0"/>
        <w:ind w:left="568" w:right="261" w:hanging="360"/>
        <w:jc w:val="left"/>
        <w:rPr>
          <w:sz w:val="16"/>
        </w:rPr>
      </w:pPr>
      <w:r>
        <w:rPr>
          <w:color w:val="231F20"/>
          <w:w w:val="80"/>
          <w:sz w:val="16"/>
        </w:rPr>
        <w:t>The data for European landlocked countries point to the</w:t>
      </w:r>
      <w:r>
        <w:rPr>
          <w:color w:val="231F20"/>
          <w:sz w:val="16"/>
        </w:rPr>
        <w:t> </w:t>
      </w:r>
      <w:r>
        <w:rPr>
          <w:color w:val="231F20"/>
          <w:w w:val="80"/>
          <w:sz w:val="16"/>
        </w:rPr>
        <w:t>same phenomenon. However, it is less representative of</w:t>
      </w:r>
      <w:r>
        <w:rPr>
          <w:color w:val="231F20"/>
          <w:sz w:val="16"/>
        </w:rPr>
        <w:t> </w:t>
      </w:r>
      <w:r>
        <w:rPr>
          <w:color w:val="231F20"/>
          <w:w w:val="85"/>
          <w:sz w:val="16"/>
        </w:rPr>
        <w:t>the</w:t>
      </w:r>
      <w:r>
        <w:rPr>
          <w:color w:val="231F20"/>
          <w:spacing w:val="-1"/>
          <w:w w:val="85"/>
          <w:sz w:val="16"/>
        </w:rPr>
        <w:t> </w:t>
      </w:r>
      <w:r>
        <w:rPr>
          <w:color w:val="231F20"/>
          <w:w w:val="85"/>
          <w:sz w:val="16"/>
        </w:rPr>
        <w:t>time</w:t>
      </w:r>
      <w:r>
        <w:rPr>
          <w:color w:val="231F20"/>
          <w:spacing w:val="-1"/>
          <w:w w:val="85"/>
          <w:sz w:val="16"/>
        </w:rPr>
        <w:t> </w:t>
      </w:r>
      <w:r>
        <w:rPr>
          <w:color w:val="231F20"/>
          <w:w w:val="85"/>
          <w:sz w:val="16"/>
        </w:rPr>
        <w:t>to</w:t>
      </w:r>
      <w:r>
        <w:rPr>
          <w:color w:val="231F20"/>
          <w:spacing w:val="-1"/>
          <w:w w:val="85"/>
          <w:sz w:val="16"/>
        </w:rPr>
        <w:t> </w:t>
      </w:r>
      <w:r>
        <w:rPr>
          <w:color w:val="231F20"/>
          <w:w w:val="85"/>
          <w:sz w:val="16"/>
        </w:rPr>
        <w:t>trade,</w:t>
      </w:r>
      <w:r>
        <w:rPr>
          <w:color w:val="231F20"/>
          <w:spacing w:val="-1"/>
          <w:w w:val="85"/>
          <w:sz w:val="16"/>
        </w:rPr>
        <w:t> </w:t>
      </w:r>
      <w:r>
        <w:rPr>
          <w:color w:val="231F20"/>
          <w:w w:val="85"/>
          <w:sz w:val="16"/>
        </w:rPr>
        <w:t>unlike</w:t>
      </w:r>
      <w:r>
        <w:rPr>
          <w:color w:val="231F20"/>
          <w:spacing w:val="-1"/>
          <w:w w:val="85"/>
          <w:sz w:val="16"/>
        </w:rPr>
        <w:t> </w:t>
      </w:r>
      <w:r>
        <w:rPr>
          <w:color w:val="231F20"/>
          <w:w w:val="85"/>
          <w:sz w:val="16"/>
        </w:rPr>
        <w:t>in</w:t>
      </w:r>
      <w:r>
        <w:rPr>
          <w:color w:val="231F20"/>
          <w:spacing w:val="-1"/>
          <w:w w:val="85"/>
          <w:sz w:val="16"/>
        </w:rPr>
        <w:t> </w:t>
      </w:r>
      <w:r>
        <w:rPr>
          <w:color w:val="231F20"/>
          <w:w w:val="85"/>
          <w:sz w:val="16"/>
        </w:rPr>
        <w:t>developing</w:t>
      </w:r>
      <w:r>
        <w:rPr>
          <w:color w:val="231F20"/>
          <w:spacing w:val="-1"/>
          <w:w w:val="85"/>
          <w:sz w:val="16"/>
        </w:rPr>
        <w:t> </w:t>
      </w:r>
      <w:r>
        <w:rPr>
          <w:color w:val="231F20"/>
          <w:w w:val="85"/>
          <w:sz w:val="16"/>
        </w:rPr>
        <w:t>countries.</w:t>
      </w:r>
      <w:r>
        <w:rPr>
          <w:color w:val="231F20"/>
          <w:spacing w:val="-1"/>
          <w:w w:val="85"/>
          <w:sz w:val="16"/>
        </w:rPr>
        <w:t> </w:t>
      </w:r>
      <w:r>
        <w:rPr>
          <w:color w:val="231F20"/>
          <w:w w:val="85"/>
          <w:sz w:val="16"/>
        </w:rPr>
        <w:t>Most</w:t>
      </w:r>
      <w:r>
        <w:rPr>
          <w:color w:val="231F20"/>
          <w:sz w:val="16"/>
        </w:rPr>
        <w:t> </w:t>
      </w:r>
      <w:r>
        <w:rPr>
          <w:color w:val="231F20"/>
          <w:w w:val="80"/>
          <w:sz w:val="16"/>
        </w:rPr>
        <w:t>maritime imports for EU landlocked countries are cleared</w:t>
      </w:r>
      <w:r>
        <w:rPr>
          <w:color w:val="231F20"/>
          <w:sz w:val="16"/>
        </w:rPr>
        <w:t> </w:t>
      </w:r>
      <w:r>
        <w:rPr>
          <w:color w:val="231F20"/>
          <w:w w:val="80"/>
          <w:sz w:val="16"/>
        </w:rPr>
        <w:t>at the country of entry and reconsolidated to destination</w:t>
      </w:r>
      <w:r>
        <w:rPr>
          <w:color w:val="231F20"/>
          <w:sz w:val="16"/>
        </w:rPr>
        <w:t> </w:t>
      </w:r>
      <w:r>
        <w:rPr>
          <w:color w:val="231F20"/>
          <w:w w:val="85"/>
          <w:sz w:val="16"/>
        </w:rPr>
        <w:t>rather than containerized to destination.</w:t>
      </w:r>
    </w:p>
    <w:p>
      <w:pPr>
        <w:pStyle w:val="ListParagraph"/>
        <w:numPr>
          <w:ilvl w:val="0"/>
          <w:numId w:val="14"/>
        </w:numPr>
        <w:tabs>
          <w:tab w:pos="566" w:val="left" w:leader="none"/>
        </w:tabs>
        <w:spacing w:line="240" w:lineRule="auto" w:before="23" w:after="0"/>
        <w:ind w:left="566" w:right="0" w:hanging="358"/>
        <w:jc w:val="left"/>
        <w:rPr>
          <w:sz w:val="16"/>
        </w:rPr>
      </w:pPr>
      <w:r>
        <w:rPr>
          <w:color w:val="231F20"/>
          <w:w w:val="75"/>
          <w:sz w:val="16"/>
        </w:rPr>
        <w:t>Arvis</w:t>
      </w:r>
      <w:r>
        <w:rPr>
          <w:color w:val="231F20"/>
          <w:spacing w:val="9"/>
          <w:sz w:val="16"/>
        </w:rPr>
        <w:t> </w:t>
      </w:r>
      <w:r>
        <w:rPr>
          <w:color w:val="231F20"/>
          <w:w w:val="75"/>
          <w:sz w:val="16"/>
        </w:rPr>
        <w:t>and</w:t>
      </w:r>
      <w:r>
        <w:rPr>
          <w:color w:val="231F20"/>
          <w:spacing w:val="10"/>
          <w:sz w:val="16"/>
        </w:rPr>
        <w:t> </w:t>
      </w:r>
      <w:r>
        <w:rPr>
          <w:color w:val="231F20"/>
          <w:w w:val="75"/>
          <w:sz w:val="16"/>
        </w:rPr>
        <w:t>others</w:t>
      </w:r>
      <w:r>
        <w:rPr>
          <w:color w:val="231F20"/>
          <w:spacing w:val="10"/>
          <w:sz w:val="16"/>
        </w:rPr>
        <w:t> </w:t>
      </w:r>
      <w:r>
        <w:rPr>
          <w:color w:val="231F20"/>
          <w:spacing w:val="-2"/>
          <w:w w:val="75"/>
          <w:sz w:val="16"/>
        </w:rPr>
        <w:t>2011.</w:t>
      </w:r>
    </w:p>
    <w:p>
      <w:pPr>
        <w:pStyle w:val="ListParagraph"/>
        <w:numPr>
          <w:ilvl w:val="0"/>
          <w:numId w:val="14"/>
        </w:numPr>
        <w:tabs>
          <w:tab w:pos="566" w:val="left" w:leader="none"/>
          <w:tab w:pos="568" w:val="left" w:leader="none"/>
        </w:tabs>
        <w:spacing w:line="254" w:lineRule="auto" w:before="33" w:after="0"/>
        <w:ind w:left="568" w:right="235" w:hanging="360"/>
        <w:jc w:val="left"/>
        <w:rPr>
          <w:sz w:val="16"/>
        </w:rPr>
      </w:pPr>
      <w:r>
        <w:rPr>
          <w:color w:val="231F20"/>
          <w:w w:val="80"/>
          <w:sz w:val="16"/>
        </w:rPr>
        <w:t>See</w:t>
      </w:r>
      <w:r>
        <w:rPr>
          <w:color w:val="231F20"/>
          <w:spacing w:val="-1"/>
          <w:w w:val="80"/>
          <w:sz w:val="16"/>
        </w:rPr>
        <w:t> </w:t>
      </w:r>
      <w:hyperlink r:id="rId107">
        <w:r>
          <w:rPr>
            <w:color w:val="231F20"/>
            <w:w w:val="80"/>
            <w:sz w:val="16"/>
          </w:rPr>
          <w:t>https://www.portaltim.sieca.int/TIM/Portal/archivos/</w:t>
        </w:r>
      </w:hyperlink>
      <w:r>
        <w:rPr>
          <w:color w:val="231F20"/>
          <w:sz w:val="16"/>
        </w:rPr>
        <w:t> </w:t>
      </w:r>
      <w:hyperlink r:id="rId107">
        <w:r>
          <w:rPr>
            <w:color w:val="231F20"/>
            <w:spacing w:val="-2"/>
            <w:w w:val="90"/>
            <w:sz w:val="16"/>
          </w:rPr>
          <w:t>Manual_PortalTIM.pdf</w:t>
        </w:r>
      </w:hyperlink>
      <w:r>
        <w:rPr>
          <w:color w:val="231F20"/>
          <w:spacing w:val="-2"/>
          <w:w w:val="90"/>
          <w:sz w:val="16"/>
        </w:rPr>
        <w:t>.</w:t>
      </w:r>
    </w:p>
    <w:p>
      <w:pPr>
        <w:pStyle w:val="ListParagraph"/>
        <w:numPr>
          <w:ilvl w:val="0"/>
          <w:numId w:val="14"/>
        </w:numPr>
        <w:tabs>
          <w:tab w:pos="566" w:val="left" w:leader="none"/>
        </w:tabs>
        <w:spacing w:line="240" w:lineRule="auto" w:before="26" w:after="0"/>
        <w:ind w:left="566" w:right="0" w:hanging="358"/>
        <w:jc w:val="left"/>
        <w:rPr>
          <w:sz w:val="16"/>
        </w:rPr>
      </w:pPr>
      <w:r>
        <w:rPr>
          <w:color w:val="231F20"/>
          <w:w w:val="70"/>
          <w:sz w:val="16"/>
        </w:rPr>
        <w:t>UNCTAD</w:t>
      </w:r>
      <w:r>
        <w:rPr>
          <w:color w:val="231F20"/>
          <w:spacing w:val="23"/>
          <w:sz w:val="16"/>
        </w:rPr>
        <w:t> </w:t>
      </w:r>
      <w:r>
        <w:rPr>
          <w:color w:val="231F20"/>
          <w:spacing w:val="-2"/>
          <w:w w:val="90"/>
          <w:sz w:val="16"/>
        </w:rPr>
        <w:t>2021b.</w:t>
      </w:r>
    </w:p>
    <w:p>
      <w:pPr>
        <w:pStyle w:val="ListParagraph"/>
        <w:numPr>
          <w:ilvl w:val="0"/>
          <w:numId w:val="14"/>
        </w:numPr>
        <w:tabs>
          <w:tab w:pos="566" w:val="left" w:leader="none"/>
          <w:tab w:pos="568" w:val="left" w:leader="none"/>
        </w:tabs>
        <w:spacing w:line="254" w:lineRule="auto" w:before="33" w:after="0"/>
        <w:ind w:left="568" w:right="819" w:hanging="360"/>
        <w:jc w:val="left"/>
        <w:rPr>
          <w:sz w:val="16"/>
        </w:rPr>
      </w:pPr>
      <w:r>
        <w:rPr>
          <w:color w:val="231F20"/>
          <w:w w:val="80"/>
          <w:sz w:val="16"/>
        </w:rPr>
        <w:t>See, for example, Gupta and others (2020) and</w:t>
      </w:r>
      <w:r>
        <w:rPr>
          <w:color w:val="231F20"/>
          <w:sz w:val="16"/>
        </w:rPr>
        <w:t> </w:t>
      </w:r>
      <w:r>
        <w:rPr>
          <w:color w:val="231F20"/>
          <w:w w:val="85"/>
          <w:sz w:val="16"/>
        </w:rPr>
        <w:t>Seyedghorban and others (2020).</w:t>
      </w:r>
    </w:p>
    <w:p>
      <w:pPr>
        <w:pStyle w:val="ListParagraph"/>
        <w:numPr>
          <w:ilvl w:val="0"/>
          <w:numId w:val="14"/>
        </w:numPr>
        <w:tabs>
          <w:tab w:pos="567" w:val="left" w:leader="none"/>
        </w:tabs>
        <w:spacing w:line="240" w:lineRule="auto" w:before="26" w:after="0"/>
        <w:ind w:left="567" w:right="0" w:hanging="359"/>
        <w:jc w:val="left"/>
        <w:rPr>
          <w:sz w:val="16"/>
        </w:rPr>
      </w:pPr>
      <w:hyperlink r:id="rId108">
        <w:r>
          <w:rPr>
            <w:color w:val="231F20"/>
            <w:spacing w:val="-4"/>
            <w:w w:val="85"/>
            <w:sz w:val="16"/>
          </w:rPr>
          <w:t>https://www.newyorkfed.org/research/policy/gscpi#/overview</w:t>
        </w:r>
      </w:hyperlink>
      <w:r>
        <w:rPr>
          <w:color w:val="231F20"/>
          <w:spacing w:val="-4"/>
          <w:w w:val="85"/>
          <w:sz w:val="16"/>
        </w:rPr>
        <w:t>.</w:t>
      </w:r>
    </w:p>
    <w:p>
      <w:pPr>
        <w:pStyle w:val="ListParagraph"/>
        <w:numPr>
          <w:ilvl w:val="0"/>
          <w:numId w:val="14"/>
        </w:numPr>
        <w:tabs>
          <w:tab w:pos="566" w:val="left" w:leader="none"/>
          <w:tab w:pos="568" w:val="left" w:leader="none"/>
        </w:tabs>
        <w:spacing w:line="254" w:lineRule="auto" w:before="33" w:after="0"/>
        <w:ind w:left="568" w:right="585" w:hanging="360"/>
        <w:jc w:val="left"/>
        <w:rPr>
          <w:sz w:val="16"/>
        </w:rPr>
      </w:pPr>
      <w:r>
        <w:rPr>
          <w:color w:val="231F20"/>
          <w:w w:val="80"/>
          <w:sz w:val="16"/>
        </w:rPr>
        <w:t>Users of</w:t>
      </w:r>
      <w:r>
        <w:rPr>
          <w:color w:val="231F20"/>
          <w:spacing w:val="-1"/>
          <w:w w:val="80"/>
          <w:sz w:val="16"/>
        </w:rPr>
        <w:t> </w:t>
      </w:r>
      <w:r>
        <w:rPr>
          <w:color w:val="231F20"/>
          <w:w w:val="80"/>
          <w:sz w:val="16"/>
        </w:rPr>
        <w:t>logistics services</w:t>
      </w:r>
      <w:r>
        <w:rPr>
          <w:color w:val="231F20"/>
          <w:spacing w:val="-1"/>
          <w:w w:val="80"/>
          <w:sz w:val="16"/>
        </w:rPr>
        <w:t> </w:t>
      </w:r>
      <w:r>
        <w:rPr>
          <w:color w:val="231F20"/>
          <w:w w:val="80"/>
          <w:sz w:val="16"/>
        </w:rPr>
        <w:t>are owners</w:t>
      </w:r>
      <w:r>
        <w:rPr>
          <w:color w:val="231F20"/>
          <w:spacing w:val="-1"/>
          <w:w w:val="80"/>
          <w:sz w:val="16"/>
        </w:rPr>
        <w:t> </w:t>
      </w:r>
      <w:r>
        <w:rPr>
          <w:color w:val="231F20"/>
          <w:w w:val="80"/>
          <w:sz w:val="16"/>
        </w:rPr>
        <w:t>of goods</w:t>
      </w:r>
      <w:r>
        <w:rPr>
          <w:color w:val="231F20"/>
          <w:spacing w:val="-1"/>
          <w:w w:val="80"/>
          <w:sz w:val="16"/>
        </w:rPr>
        <w:t> </w:t>
      </w:r>
      <w:r>
        <w:rPr>
          <w:color w:val="231F20"/>
          <w:w w:val="80"/>
          <w:sz w:val="16"/>
        </w:rPr>
        <w:t>and</w:t>
      </w:r>
      <w:r>
        <w:rPr>
          <w:color w:val="231F20"/>
          <w:sz w:val="16"/>
        </w:rPr>
        <w:t> </w:t>
      </w:r>
      <w:r>
        <w:rPr>
          <w:color w:val="231F20"/>
          <w:w w:val="85"/>
          <w:sz w:val="16"/>
        </w:rPr>
        <w:t>customers of logistics service providers.</w:t>
      </w:r>
    </w:p>
    <w:p>
      <w:pPr>
        <w:spacing w:after="0" w:line="254" w:lineRule="auto"/>
        <w:jc w:val="left"/>
        <w:rPr>
          <w:sz w:val="16"/>
        </w:rPr>
        <w:sectPr>
          <w:type w:val="continuous"/>
          <w:pgSz w:w="12240" w:h="15840"/>
          <w:pgMar w:header="0" w:footer="0" w:top="1140" w:bottom="280" w:left="0" w:right="540"/>
          <w:cols w:num="2" w:equalWidth="0">
            <w:col w:w="7552" w:space="40"/>
            <w:col w:w="4108"/>
          </w:cols>
        </w:sectPr>
      </w:pPr>
    </w:p>
    <w:p>
      <w:pPr>
        <w:pStyle w:val="Heading1"/>
        <w:spacing w:before="134"/>
        <w:ind w:left="0" w:right="2590"/>
        <w:jc w:val="center"/>
      </w:pPr>
      <w:r>
        <w:rPr/>
        <mc:AlternateContent>
          <mc:Choice Requires="wps">
            <w:drawing>
              <wp:anchor distT="0" distB="0" distL="0" distR="0" allowOverlap="1" layoutInCell="1" locked="0" behindDoc="1" simplePos="0" relativeHeight="487621120">
                <wp:simplePos x="0" y="0"/>
                <wp:positionH relativeFrom="page">
                  <wp:posOffset>457200</wp:posOffset>
                </wp:positionH>
                <wp:positionV relativeFrom="paragraph">
                  <wp:posOffset>971550</wp:posOffset>
                </wp:positionV>
                <wp:extent cx="1524000" cy="171450"/>
                <wp:effectExtent l="0" t="0" r="0" b="0"/>
                <wp:wrapTopAndBottom/>
                <wp:docPr id="1529" name="Graphic 1529"/>
                <wp:cNvGraphicFramePr>
                  <a:graphicFrameLocks/>
                </wp:cNvGraphicFramePr>
                <a:graphic>
                  <a:graphicData uri="http://schemas.microsoft.com/office/word/2010/wordprocessingShape">
                    <wps:wsp>
                      <wps:cNvPr id="1529" name="Graphic 1529"/>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36pt;margin-top:76.5pt;width:120pt;height:13.5pt;mso-position-horizontal-relative:page;mso-position-vertical-relative:paragraph;z-index:-15695360;mso-wrap-distance-left:0;mso-wrap-distance-right:0" id="docshape1293"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621632">
                <wp:simplePos x="0" y="0"/>
                <wp:positionH relativeFrom="page">
                  <wp:posOffset>2133600</wp:posOffset>
                </wp:positionH>
                <wp:positionV relativeFrom="paragraph">
                  <wp:posOffset>971550</wp:posOffset>
                </wp:positionV>
                <wp:extent cx="4876800" cy="171450"/>
                <wp:effectExtent l="0" t="0" r="0" b="0"/>
                <wp:wrapTopAndBottom/>
                <wp:docPr id="1530" name="Graphic 1530"/>
                <wp:cNvGraphicFramePr>
                  <a:graphicFrameLocks/>
                </wp:cNvGraphicFramePr>
                <a:graphic>
                  <a:graphicData uri="http://schemas.microsoft.com/office/word/2010/wordprocessingShape">
                    <wps:wsp>
                      <wps:cNvPr id="1530" name="Graphic 1530"/>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68pt;margin-top:76.5pt;width:384pt;height:13.5pt;mso-position-horizontal-relative:page;mso-position-vertical-relative:paragraph;z-index:-15694848;mso-wrap-distance-left:0;mso-wrap-distance-right:0" id="docshape1294" filled="true" fillcolor="#c9dcf3" stroked="false">
                <v:fill type="solid"/>
                <w10:wrap type="topAndBottom"/>
              </v:rect>
            </w:pict>
          </mc:Fallback>
        </mc:AlternateContent>
      </w:r>
      <w:r>
        <w:rPr/>
        <mc:AlternateContent>
          <mc:Choice Requires="wps">
            <w:drawing>
              <wp:anchor distT="0" distB="0" distL="0" distR="0" allowOverlap="1" layoutInCell="1" locked="0" behindDoc="0" simplePos="0" relativeHeight="15762944">
                <wp:simplePos x="0" y="0"/>
                <wp:positionH relativeFrom="page">
                  <wp:posOffset>1237231</wp:posOffset>
                </wp:positionH>
                <wp:positionV relativeFrom="paragraph">
                  <wp:posOffset>184963</wp:posOffset>
                </wp:positionV>
                <wp:extent cx="159385" cy="628015"/>
                <wp:effectExtent l="0" t="0" r="0" b="0"/>
                <wp:wrapNone/>
                <wp:docPr id="1531" name="Textbox 1531"/>
                <wp:cNvGraphicFramePr>
                  <a:graphicFrameLocks/>
                </wp:cNvGraphicFramePr>
                <a:graphic>
                  <a:graphicData uri="http://schemas.microsoft.com/office/word/2010/wordprocessingShape">
                    <wps:wsp>
                      <wps:cNvPr id="1531" name="Textbox 1531"/>
                      <wps:cNvSpPr txBox="1"/>
                      <wps:spPr>
                        <a:xfrm>
                          <a:off x="0" y="0"/>
                          <a:ext cx="159385" cy="628015"/>
                        </a:xfrm>
                        <a:prstGeom prst="rect">
                          <a:avLst/>
                        </a:prstGeom>
                      </wps:spPr>
                      <wps:txbx>
                        <w:txbxContent>
                          <w:p>
                            <w:pPr>
                              <w:spacing w:before="28"/>
                              <w:ind w:left="20" w:right="0" w:firstLine="0"/>
                              <w:jc w:val="left"/>
                              <w:rPr>
                                <w:rFonts w:ascii="Arial"/>
                                <w:b/>
                                <w:sz w:val="17"/>
                              </w:rPr>
                            </w:pPr>
                            <w:r>
                              <w:rPr>
                                <w:rFonts w:ascii="Arial"/>
                                <w:b/>
                                <w:color w:val="231F20"/>
                                <w:spacing w:val="-2"/>
                                <w:w w:val="110"/>
                                <w:sz w:val="17"/>
                              </w:rPr>
                              <w:t>APPENDIX</w:t>
                            </w:r>
                          </w:p>
                        </w:txbxContent>
                      </wps:txbx>
                      <wps:bodyPr wrap="square" lIns="0" tIns="0" rIns="0" bIns="0" rtlCol="0" vert="vert270">
                        <a:noAutofit/>
                      </wps:bodyPr>
                    </wps:wsp>
                  </a:graphicData>
                </a:graphic>
              </wp:anchor>
            </w:drawing>
          </mc:Choice>
          <mc:Fallback>
            <w:pict>
              <v:shape style="position:absolute;margin-left:97.4198pt;margin-top:14.564048pt;width:12.55pt;height:49.45pt;mso-position-horizontal-relative:page;mso-position-vertical-relative:paragraph;z-index:15762944" type="#_x0000_t202" id="docshape1295" filled="false" stroked="false">
                <v:textbox inset="0,0,0,0" style="layout-flow:vertical;mso-layout-flow-alt:bottom-to-top">
                  <w:txbxContent>
                    <w:p>
                      <w:pPr>
                        <w:spacing w:before="28"/>
                        <w:ind w:left="20" w:right="0" w:firstLine="0"/>
                        <w:jc w:val="left"/>
                        <w:rPr>
                          <w:rFonts w:ascii="Arial"/>
                          <w:b/>
                          <w:sz w:val="17"/>
                        </w:rPr>
                      </w:pPr>
                      <w:r>
                        <w:rPr>
                          <w:rFonts w:ascii="Arial"/>
                          <w:b/>
                          <w:color w:val="231F20"/>
                          <w:spacing w:val="-2"/>
                          <w:w w:val="110"/>
                          <w:sz w:val="17"/>
                        </w:rPr>
                        <w:t>APPENDIX</w:t>
                      </w:r>
                    </w:p>
                  </w:txbxContent>
                </v:textbox>
                <w10:wrap type="none"/>
              </v:shape>
            </w:pict>
          </mc:Fallback>
        </mc:AlternateContent>
      </w:r>
      <w:bookmarkStart w:name="_bookmark40" w:id="44"/>
      <w:bookmarkEnd w:id="44"/>
      <w:r>
        <w:rPr>
          <w:b w:val="0"/>
        </w:rPr>
      </w:r>
      <w:r>
        <w:rPr>
          <w:color w:val="008FDD"/>
          <w:w w:val="120"/>
          <w:sz w:val="120"/>
        </w:rPr>
        <w:t>1</w:t>
      </w:r>
      <w:r>
        <w:rPr>
          <w:color w:val="008FDD"/>
          <w:spacing w:val="-161"/>
          <w:w w:val="120"/>
          <w:sz w:val="120"/>
        </w:rPr>
        <w:t> </w:t>
      </w:r>
      <w:r>
        <w:rPr>
          <w:color w:val="231F20"/>
          <w:w w:val="120"/>
        </w:rPr>
        <w:t>2023</w:t>
      </w:r>
      <w:r>
        <w:rPr>
          <w:color w:val="231F20"/>
          <w:spacing w:val="5"/>
          <w:w w:val="120"/>
        </w:rPr>
        <w:t> </w:t>
      </w:r>
      <w:r>
        <w:rPr>
          <w:color w:val="231F20"/>
          <w:w w:val="120"/>
        </w:rPr>
        <w:t>LPI</w:t>
      </w:r>
      <w:r>
        <w:rPr>
          <w:color w:val="231F20"/>
          <w:spacing w:val="9"/>
          <w:w w:val="120"/>
        </w:rPr>
        <w:t> </w:t>
      </w:r>
      <w:r>
        <w:rPr>
          <w:color w:val="231F20"/>
          <w:spacing w:val="-2"/>
          <w:w w:val="120"/>
        </w:rPr>
        <w:t>results</w:t>
      </w:r>
    </w:p>
    <w:p>
      <w:pPr>
        <w:pStyle w:val="BodyText"/>
        <w:spacing w:before="81" w:after="1"/>
        <w:rPr>
          <w:rFonts w:ascii="Arial"/>
          <w:b/>
          <w:sz w:val="20"/>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0"/>
        <w:gridCol w:w="622"/>
        <w:gridCol w:w="644"/>
        <w:gridCol w:w="480"/>
        <w:gridCol w:w="582"/>
        <w:gridCol w:w="80"/>
        <w:gridCol w:w="463"/>
        <w:gridCol w:w="574"/>
        <w:gridCol w:w="126"/>
        <w:gridCol w:w="463"/>
        <w:gridCol w:w="574"/>
        <w:gridCol w:w="126"/>
        <w:gridCol w:w="463"/>
        <w:gridCol w:w="574"/>
        <w:gridCol w:w="126"/>
        <w:gridCol w:w="463"/>
        <w:gridCol w:w="574"/>
        <w:gridCol w:w="126"/>
        <w:gridCol w:w="463"/>
        <w:gridCol w:w="574"/>
        <w:gridCol w:w="126"/>
        <w:gridCol w:w="468"/>
        <w:gridCol w:w="655"/>
      </w:tblGrid>
      <w:tr>
        <w:trPr>
          <w:trHeight w:val="533" w:hRule="atLeast"/>
        </w:trPr>
        <w:tc>
          <w:tcPr>
            <w:tcW w:w="990" w:type="dxa"/>
          </w:tcPr>
          <w:p>
            <w:pPr>
              <w:pStyle w:val="TableParagraph"/>
              <w:spacing w:before="0"/>
              <w:jc w:val="left"/>
              <w:rPr>
                <w:rFonts w:ascii="Times New Roman"/>
                <w:sz w:val="14"/>
              </w:rPr>
            </w:pPr>
          </w:p>
        </w:tc>
        <w:tc>
          <w:tcPr>
            <w:tcW w:w="622" w:type="dxa"/>
            <w:tcBorders>
              <w:bottom w:val="single" w:sz="4" w:space="0" w:color="008FDD"/>
            </w:tcBorders>
          </w:tcPr>
          <w:p>
            <w:pPr>
              <w:pStyle w:val="TableParagraph"/>
              <w:spacing w:before="0"/>
              <w:jc w:val="left"/>
              <w:rPr>
                <w:rFonts w:ascii="Times New Roman"/>
                <w:sz w:val="14"/>
              </w:rPr>
            </w:pPr>
          </w:p>
        </w:tc>
        <w:tc>
          <w:tcPr>
            <w:tcW w:w="644" w:type="dxa"/>
            <w:tcBorders>
              <w:bottom w:val="single" w:sz="4" w:space="0" w:color="008FDD"/>
            </w:tcBorders>
          </w:tcPr>
          <w:p>
            <w:pPr>
              <w:pStyle w:val="TableParagraph"/>
              <w:spacing w:before="0"/>
              <w:jc w:val="left"/>
              <w:rPr>
                <w:b/>
                <w:sz w:val="14"/>
              </w:rPr>
            </w:pPr>
          </w:p>
          <w:p>
            <w:pPr>
              <w:pStyle w:val="TableParagraph"/>
              <w:spacing w:before="1"/>
              <w:jc w:val="left"/>
              <w:rPr>
                <w:b/>
                <w:sz w:val="14"/>
              </w:rPr>
            </w:pPr>
          </w:p>
          <w:p>
            <w:pPr>
              <w:pStyle w:val="TableParagraph"/>
              <w:spacing w:before="0"/>
              <w:ind w:right="8"/>
              <w:jc w:val="right"/>
              <w:rPr>
                <w:b/>
                <w:sz w:val="14"/>
              </w:rPr>
            </w:pPr>
            <w:r>
              <w:rPr>
                <w:b/>
                <w:color w:val="231F20"/>
                <w:spacing w:val="-5"/>
                <w:w w:val="90"/>
                <w:sz w:val="14"/>
              </w:rPr>
              <w:t>LPI</w:t>
            </w:r>
          </w:p>
        </w:tc>
        <w:tc>
          <w:tcPr>
            <w:tcW w:w="480" w:type="dxa"/>
            <w:tcBorders>
              <w:bottom w:val="single" w:sz="4" w:space="0" w:color="008FDD"/>
            </w:tcBorders>
          </w:tcPr>
          <w:p>
            <w:pPr>
              <w:pStyle w:val="TableParagraph"/>
              <w:spacing w:before="0"/>
              <w:jc w:val="left"/>
              <w:rPr>
                <w:rFonts w:ascii="Times New Roman"/>
                <w:sz w:val="14"/>
              </w:rPr>
            </w:pPr>
          </w:p>
        </w:tc>
        <w:tc>
          <w:tcPr>
            <w:tcW w:w="582" w:type="dxa"/>
            <w:tcBorders>
              <w:bottom w:val="single" w:sz="4" w:space="0" w:color="008FDD"/>
            </w:tcBorders>
          </w:tcPr>
          <w:p>
            <w:pPr>
              <w:pStyle w:val="TableParagraph"/>
              <w:spacing w:before="0"/>
              <w:jc w:val="left"/>
              <w:rPr>
                <w:rFonts w:ascii="Times New Roman"/>
                <w:sz w:val="14"/>
              </w:rPr>
            </w:pPr>
          </w:p>
        </w:tc>
        <w:tc>
          <w:tcPr>
            <w:tcW w:w="1243" w:type="dxa"/>
            <w:gridSpan w:val="4"/>
          </w:tcPr>
          <w:p>
            <w:pPr>
              <w:pStyle w:val="TableParagraph"/>
              <w:spacing w:before="0"/>
              <w:jc w:val="left"/>
              <w:rPr>
                <w:b/>
                <w:sz w:val="14"/>
              </w:rPr>
            </w:pPr>
          </w:p>
          <w:p>
            <w:pPr>
              <w:pStyle w:val="TableParagraph"/>
              <w:spacing w:before="1"/>
              <w:jc w:val="left"/>
              <w:rPr>
                <w:b/>
                <w:sz w:val="14"/>
              </w:rPr>
            </w:pPr>
          </w:p>
          <w:p>
            <w:pPr>
              <w:pStyle w:val="TableParagraph"/>
              <w:spacing w:before="0"/>
              <w:ind w:left="330"/>
              <w:jc w:val="left"/>
              <w:rPr>
                <w:b/>
                <w:sz w:val="14"/>
              </w:rPr>
            </w:pPr>
            <w:r>
              <w:rPr>
                <w:b/>
                <w:color w:val="231F20"/>
                <w:spacing w:val="-2"/>
                <w:w w:val="90"/>
                <w:sz w:val="14"/>
              </w:rPr>
              <w:t>Customs</w:t>
            </w:r>
          </w:p>
        </w:tc>
        <w:tc>
          <w:tcPr>
            <w:tcW w:w="1163" w:type="dxa"/>
            <w:gridSpan w:val="3"/>
          </w:tcPr>
          <w:p>
            <w:pPr>
              <w:pStyle w:val="TableParagraph"/>
              <w:spacing w:before="0"/>
              <w:jc w:val="left"/>
              <w:rPr>
                <w:b/>
                <w:sz w:val="14"/>
              </w:rPr>
            </w:pPr>
          </w:p>
          <w:p>
            <w:pPr>
              <w:pStyle w:val="TableParagraph"/>
              <w:spacing w:before="1"/>
              <w:jc w:val="left"/>
              <w:rPr>
                <w:b/>
                <w:sz w:val="14"/>
              </w:rPr>
            </w:pPr>
          </w:p>
          <w:p>
            <w:pPr>
              <w:pStyle w:val="TableParagraph"/>
              <w:spacing w:before="0"/>
              <w:ind w:left="97"/>
              <w:jc w:val="left"/>
              <w:rPr>
                <w:b/>
                <w:sz w:val="14"/>
              </w:rPr>
            </w:pPr>
            <w:r>
              <w:rPr>
                <w:b/>
                <w:color w:val="231F20"/>
                <w:spacing w:val="-2"/>
                <w:w w:val="95"/>
                <w:sz w:val="14"/>
              </w:rPr>
              <w:t>Infrastructure</w:t>
            </w:r>
          </w:p>
        </w:tc>
        <w:tc>
          <w:tcPr>
            <w:tcW w:w="1163" w:type="dxa"/>
            <w:gridSpan w:val="3"/>
          </w:tcPr>
          <w:p>
            <w:pPr>
              <w:pStyle w:val="TableParagraph"/>
              <w:spacing w:before="2"/>
              <w:jc w:val="left"/>
              <w:rPr>
                <w:b/>
                <w:sz w:val="14"/>
              </w:rPr>
            </w:pPr>
          </w:p>
          <w:p>
            <w:pPr>
              <w:pStyle w:val="TableParagraph"/>
              <w:spacing w:before="0"/>
              <w:ind w:left="201" w:right="201" w:hanging="69"/>
              <w:jc w:val="left"/>
              <w:rPr>
                <w:b/>
                <w:sz w:val="14"/>
              </w:rPr>
            </w:pPr>
            <w:r>
              <w:rPr>
                <w:b/>
                <w:color w:val="231F20"/>
                <w:spacing w:val="-2"/>
                <w:w w:val="85"/>
                <w:sz w:val="14"/>
              </w:rPr>
              <w:t>International</w:t>
            </w:r>
            <w:r>
              <w:rPr>
                <w:b/>
                <w:color w:val="231F20"/>
                <w:spacing w:val="40"/>
                <w:sz w:val="14"/>
              </w:rPr>
              <w:t> </w:t>
            </w:r>
            <w:r>
              <w:rPr>
                <w:b/>
                <w:color w:val="231F20"/>
                <w:spacing w:val="-2"/>
                <w:w w:val="90"/>
                <w:sz w:val="14"/>
              </w:rPr>
              <w:t>shipments</w:t>
            </w:r>
          </w:p>
        </w:tc>
        <w:tc>
          <w:tcPr>
            <w:tcW w:w="1163" w:type="dxa"/>
            <w:gridSpan w:val="3"/>
          </w:tcPr>
          <w:p>
            <w:pPr>
              <w:pStyle w:val="TableParagraph"/>
              <w:spacing w:before="3"/>
              <w:ind w:left="149" w:right="201" w:firstLine="92"/>
              <w:jc w:val="left"/>
              <w:rPr>
                <w:b/>
                <w:sz w:val="14"/>
              </w:rPr>
            </w:pPr>
            <w:r>
              <w:rPr>
                <w:b/>
                <w:color w:val="231F20"/>
                <w:spacing w:val="-2"/>
                <w:w w:val="95"/>
                <w:sz w:val="14"/>
              </w:rPr>
              <w:t>Logistics</w:t>
            </w:r>
            <w:r>
              <w:rPr>
                <w:b/>
                <w:color w:val="231F20"/>
                <w:spacing w:val="40"/>
                <w:sz w:val="14"/>
              </w:rPr>
              <w:t> </w:t>
            </w:r>
            <w:r>
              <w:rPr>
                <w:b/>
                <w:color w:val="231F20"/>
                <w:spacing w:val="-2"/>
                <w:w w:val="80"/>
                <w:sz w:val="14"/>
              </w:rPr>
              <w:t>competence</w:t>
            </w:r>
            <w:r>
              <w:rPr>
                <w:b/>
                <w:color w:val="231F20"/>
                <w:spacing w:val="40"/>
                <w:sz w:val="14"/>
              </w:rPr>
              <w:t> </w:t>
            </w:r>
            <w:r>
              <w:rPr>
                <w:b/>
                <w:color w:val="231F20"/>
                <w:w w:val="80"/>
                <w:sz w:val="14"/>
              </w:rPr>
              <w:t>and</w:t>
            </w:r>
            <w:r>
              <w:rPr>
                <w:b/>
                <w:color w:val="231F20"/>
                <w:spacing w:val="4"/>
                <w:sz w:val="14"/>
              </w:rPr>
              <w:t> </w:t>
            </w:r>
            <w:r>
              <w:rPr>
                <w:b/>
                <w:color w:val="231F20"/>
                <w:spacing w:val="-2"/>
                <w:w w:val="85"/>
                <w:sz w:val="14"/>
              </w:rPr>
              <w:t>equality</w:t>
            </w:r>
          </w:p>
        </w:tc>
        <w:tc>
          <w:tcPr>
            <w:tcW w:w="1163" w:type="dxa"/>
            <w:gridSpan w:val="3"/>
          </w:tcPr>
          <w:p>
            <w:pPr>
              <w:pStyle w:val="TableParagraph"/>
              <w:spacing w:before="0"/>
              <w:jc w:val="left"/>
              <w:rPr>
                <w:b/>
                <w:sz w:val="14"/>
              </w:rPr>
            </w:pPr>
          </w:p>
          <w:p>
            <w:pPr>
              <w:pStyle w:val="TableParagraph"/>
              <w:spacing w:before="1"/>
              <w:jc w:val="left"/>
              <w:rPr>
                <w:b/>
                <w:sz w:val="14"/>
              </w:rPr>
            </w:pPr>
          </w:p>
          <w:p>
            <w:pPr>
              <w:pStyle w:val="TableParagraph"/>
              <w:spacing w:before="0"/>
              <w:ind w:left="193"/>
              <w:jc w:val="left"/>
              <w:rPr>
                <w:b/>
                <w:sz w:val="14"/>
              </w:rPr>
            </w:pPr>
            <w:r>
              <w:rPr>
                <w:b/>
                <w:color w:val="231F20"/>
                <w:spacing w:val="-2"/>
                <w:w w:val="90"/>
                <w:sz w:val="14"/>
              </w:rPr>
              <w:t>Timeliness</w:t>
            </w:r>
          </w:p>
        </w:tc>
        <w:tc>
          <w:tcPr>
            <w:tcW w:w="1123" w:type="dxa"/>
            <w:gridSpan w:val="2"/>
            <w:tcBorders>
              <w:bottom w:val="single" w:sz="4" w:space="0" w:color="008FDD"/>
            </w:tcBorders>
          </w:tcPr>
          <w:p>
            <w:pPr>
              <w:pStyle w:val="TableParagraph"/>
              <w:spacing w:before="2"/>
              <w:jc w:val="left"/>
              <w:rPr>
                <w:b/>
                <w:sz w:val="14"/>
              </w:rPr>
            </w:pPr>
          </w:p>
          <w:p>
            <w:pPr>
              <w:pStyle w:val="TableParagraph"/>
              <w:spacing w:before="0"/>
              <w:ind w:left="310" w:right="225" w:hanging="169"/>
              <w:jc w:val="left"/>
              <w:rPr>
                <w:b/>
                <w:sz w:val="14"/>
              </w:rPr>
            </w:pPr>
            <w:r>
              <w:rPr>
                <w:b/>
                <w:color w:val="231F20"/>
                <w:w w:val="85"/>
                <w:sz w:val="14"/>
              </w:rPr>
              <w:t>Tracking</w:t>
            </w:r>
            <w:r>
              <w:rPr>
                <w:b/>
                <w:color w:val="231F20"/>
                <w:spacing w:val="-4"/>
                <w:w w:val="85"/>
                <w:sz w:val="14"/>
              </w:rPr>
              <w:t> </w:t>
            </w:r>
            <w:r>
              <w:rPr>
                <w:b/>
                <w:color w:val="231F20"/>
                <w:w w:val="85"/>
                <w:sz w:val="14"/>
              </w:rPr>
              <w:t>and</w:t>
            </w:r>
            <w:r>
              <w:rPr>
                <w:b/>
                <w:color w:val="231F20"/>
                <w:spacing w:val="40"/>
                <w:sz w:val="14"/>
              </w:rPr>
              <w:t> </w:t>
            </w:r>
            <w:r>
              <w:rPr>
                <w:b/>
                <w:color w:val="231F20"/>
                <w:spacing w:val="-2"/>
                <w:w w:val="95"/>
                <w:sz w:val="14"/>
              </w:rPr>
              <w:t>tracing</w:t>
            </w:r>
          </w:p>
        </w:tc>
      </w:tr>
      <w:tr>
        <w:trPr>
          <w:trHeight w:val="406" w:hRule="atLeast"/>
        </w:trPr>
        <w:tc>
          <w:tcPr>
            <w:tcW w:w="990" w:type="dxa"/>
            <w:tcBorders>
              <w:bottom w:val="single" w:sz="4" w:space="0" w:color="008FDD"/>
            </w:tcBorders>
          </w:tcPr>
          <w:p>
            <w:pPr>
              <w:pStyle w:val="TableParagraph"/>
              <w:spacing w:before="39"/>
              <w:jc w:val="left"/>
              <w:rPr>
                <w:b/>
                <w:sz w:val="14"/>
              </w:rPr>
            </w:pPr>
          </w:p>
          <w:p>
            <w:pPr>
              <w:pStyle w:val="TableParagraph"/>
              <w:spacing w:before="0"/>
              <w:ind w:left="80"/>
              <w:jc w:val="left"/>
              <w:rPr>
                <w:b/>
                <w:sz w:val="14"/>
              </w:rPr>
            </w:pPr>
            <w:r>
              <w:rPr>
                <w:b/>
                <w:color w:val="231F20"/>
                <w:spacing w:val="-2"/>
                <w:w w:val="90"/>
                <w:sz w:val="14"/>
              </w:rPr>
              <w:t>Economy</w:t>
            </w:r>
          </w:p>
        </w:tc>
        <w:tc>
          <w:tcPr>
            <w:tcW w:w="622" w:type="dxa"/>
            <w:tcBorders>
              <w:top w:val="single" w:sz="4" w:space="0" w:color="008FDD"/>
              <w:bottom w:val="single" w:sz="4" w:space="0" w:color="008FDD"/>
            </w:tcBorders>
          </w:tcPr>
          <w:p>
            <w:pPr>
              <w:pStyle w:val="TableParagraph"/>
              <w:spacing w:before="43"/>
              <w:ind w:left="160"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644" w:type="dxa"/>
            <w:tcBorders>
              <w:top w:val="single" w:sz="4" w:space="0" w:color="008FDD"/>
              <w:bottom w:val="single" w:sz="4" w:space="0" w:color="008FDD"/>
            </w:tcBorders>
          </w:tcPr>
          <w:p>
            <w:pPr>
              <w:pStyle w:val="TableParagraph"/>
              <w:spacing w:before="42"/>
              <w:jc w:val="left"/>
              <w:rPr>
                <w:b/>
                <w:sz w:val="14"/>
              </w:rPr>
            </w:pPr>
          </w:p>
          <w:p>
            <w:pPr>
              <w:pStyle w:val="TableParagraph"/>
              <w:spacing w:before="0"/>
              <w:ind w:left="86"/>
              <w:jc w:val="left"/>
              <w:rPr>
                <w:b/>
                <w:sz w:val="14"/>
              </w:rPr>
            </w:pPr>
            <w:r>
              <w:rPr>
                <w:b/>
                <w:color w:val="231F20"/>
                <w:spacing w:val="-2"/>
                <w:w w:val="90"/>
                <w:sz w:val="14"/>
              </w:rPr>
              <w:t>Score</w:t>
            </w:r>
          </w:p>
        </w:tc>
        <w:tc>
          <w:tcPr>
            <w:tcW w:w="480" w:type="dxa"/>
            <w:tcBorders>
              <w:top w:val="single" w:sz="4" w:space="0" w:color="008FDD"/>
              <w:bottom w:val="single" w:sz="4" w:space="0" w:color="008FDD"/>
            </w:tcBorders>
          </w:tcPr>
          <w:p>
            <w:pPr>
              <w:pStyle w:val="TableParagraph"/>
              <w:spacing w:before="43"/>
              <w:ind w:left="10" w:right="107" w:firstLine="2"/>
              <w:jc w:val="left"/>
              <w:rPr>
                <w:b/>
                <w:sz w:val="14"/>
              </w:rPr>
            </w:pPr>
            <w:r>
              <w:rPr>
                <w:b/>
                <w:color w:val="231F20"/>
                <w:spacing w:val="-2"/>
                <w:w w:val="85"/>
                <w:sz w:val="14"/>
              </w:rPr>
              <w:t>Lower</w:t>
            </w:r>
            <w:r>
              <w:rPr>
                <w:b/>
                <w:color w:val="231F20"/>
                <w:spacing w:val="40"/>
                <w:sz w:val="14"/>
              </w:rPr>
              <w:t> </w:t>
            </w:r>
            <w:r>
              <w:rPr>
                <w:b/>
                <w:color w:val="231F20"/>
                <w:spacing w:val="-2"/>
                <w:w w:val="80"/>
                <w:sz w:val="14"/>
              </w:rPr>
              <w:t>bound</w:t>
            </w:r>
          </w:p>
        </w:tc>
        <w:tc>
          <w:tcPr>
            <w:tcW w:w="582" w:type="dxa"/>
            <w:tcBorders>
              <w:top w:val="single" w:sz="4" w:space="0" w:color="008FDD"/>
              <w:bottom w:val="single" w:sz="4" w:space="0" w:color="008FDD"/>
            </w:tcBorders>
          </w:tcPr>
          <w:p>
            <w:pPr>
              <w:pStyle w:val="TableParagraph"/>
              <w:spacing w:before="43"/>
              <w:ind w:left="111" w:firstLine="9"/>
              <w:jc w:val="left"/>
              <w:rPr>
                <w:b/>
                <w:sz w:val="14"/>
              </w:rPr>
            </w:pPr>
            <w:r>
              <w:rPr>
                <w:b/>
                <w:color w:val="231F20"/>
                <w:spacing w:val="-2"/>
                <w:w w:val="80"/>
                <w:sz w:val="14"/>
              </w:rPr>
              <w:t>Upper</w:t>
            </w:r>
            <w:r>
              <w:rPr>
                <w:b/>
                <w:color w:val="231F20"/>
                <w:spacing w:val="40"/>
                <w:sz w:val="14"/>
              </w:rPr>
              <w:t> </w:t>
            </w:r>
            <w:r>
              <w:rPr>
                <w:b/>
                <w:color w:val="231F20"/>
                <w:spacing w:val="-2"/>
                <w:w w:val="80"/>
                <w:sz w:val="14"/>
              </w:rPr>
              <w:t>bound</w:t>
            </w:r>
          </w:p>
        </w:tc>
        <w:tc>
          <w:tcPr>
            <w:tcW w:w="80" w:type="dxa"/>
            <w:tcBorders>
              <w:bottom w:val="single" w:sz="4" w:space="0" w:color="008FDD"/>
            </w:tcBorders>
          </w:tcPr>
          <w:p>
            <w:pPr>
              <w:pStyle w:val="TableParagraph"/>
              <w:spacing w:before="0"/>
              <w:jc w:val="left"/>
              <w:rPr>
                <w:rFonts w:ascii="Times New Roman"/>
                <w:sz w:val="14"/>
              </w:rPr>
            </w:pPr>
          </w:p>
        </w:tc>
        <w:tc>
          <w:tcPr>
            <w:tcW w:w="463" w:type="dxa"/>
            <w:tcBorders>
              <w:top w:val="single" w:sz="4" w:space="0" w:color="008FDD"/>
              <w:bottom w:val="single" w:sz="4" w:space="0" w:color="008FDD"/>
            </w:tcBorders>
          </w:tcPr>
          <w:p>
            <w:pPr>
              <w:pStyle w:val="TableParagraph"/>
              <w:spacing w:before="39"/>
              <w:jc w:val="left"/>
              <w:rPr>
                <w:b/>
                <w:sz w:val="14"/>
              </w:rPr>
            </w:pPr>
          </w:p>
          <w:p>
            <w:pPr>
              <w:pStyle w:val="TableParagraph"/>
              <w:spacing w:before="0"/>
              <w:ind w:left="8"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198"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4"/>
              </w:rPr>
            </w:pPr>
          </w:p>
        </w:tc>
        <w:tc>
          <w:tcPr>
            <w:tcW w:w="463" w:type="dxa"/>
            <w:tcBorders>
              <w:top w:val="single" w:sz="4" w:space="0" w:color="008FDD"/>
              <w:bottom w:val="single" w:sz="4" w:space="0" w:color="008FDD"/>
            </w:tcBorders>
          </w:tcPr>
          <w:p>
            <w:pPr>
              <w:pStyle w:val="TableParagraph"/>
              <w:spacing w:before="39"/>
              <w:jc w:val="left"/>
              <w:rPr>
                <w:b/>
                <w:sz w:val="14"/>
              </w:rPr>
            </w:pPr>
          </w:p>
          <w:p>
            <w:pPr>
              <w:pStyle w:val="TableParagraph"/>
              <w:spacing w:before="0"/>
              <w:ind w:left="10"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199"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4"/>
              </w:rPr>
            </w:pPr>
          </w:p>
        </w:tc>
        <w:tc>
          <w:tcPr>
            <w:tcW w:w="463" w:type="dxa"/>
            <w:tcBorders>
              <w:top w:val="single" w:sz="4" w:space="0" w:color="008FDD"/>
              <w:bottom w:val="single" w:sz="4" w:space="0" w:color="008FDD"/>
            </w:tcBorders>
          </w:tcPr>
          <w:p>
            <w:pPr>
              <w:pStyle w:val="TableParagraph"/>
              <w:spacing w:before="39"/>
              <w:jc w:val="left"/>
              <w:rPr>
                <w:b/>
                <w:sz w:val="14"/>
              </w:rPr>
            </w:pPr>
          </w:p>
          <w:p>
            <w:pPr>
              <w:pStyle w:val="TableParagraph"/>
              <w:spacing w:before="0"/>
              <w:ind w:left="11"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200"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4"/>
              </w:rPr>
            </w:pPr>
          </w:p>
        </w:tc>
        <w:tc>
          <w:tcPr>
            <w:tcW w:w="463" w:type="dxa"/>
            <w:tcBorders>
              <w:top w:val="single" w:sz="4" w:space="0" w:color="008FDD"/>
              <w:bottom w:val="single" w:sz="4" w:space="0" w:color="008FDD"/>
            </w:tcBorders>
          </w:tcPr>
          <w:p>
            <w:pPr>
              <w:pStyle w:val="TableParagraph"/>
              <w:spacing w:before="39"/>
              <w:jc w:val="left"/>
              <w:rPr>
                <w:b/>
                <w:sz w:val="14"/>
              </w:rPr>
            </w:pPr>
          </w:p>
          <w:p>
            <w:pPr>
              <w:pStyle w:val="TableParagraph"/>
              <w:spacing w:before="0"/>
              <w:ind w:left="13"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200"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4"/>
              </w:rPr>
            </w:pPr>
          </w:p>
        </w:tc>
        <w:tc>
          <w:tcPr>
            <w:tcW w:w="463" w:type="dxa"/>
            <w:tcBorders>
              <w:top w:val="single" w:sz="4" w:space="0" w:color="008FDD"/>
              <w:bottom w:val="single" w:sz="4" w:space="0" w:color="008FDD"/>
            </w:tcBorders>
          </w:tcPr>
          <w:p>
            <w:pPr>
              <w:pStyle w:val="TableParagraph"/>
              <w:spacing w:before="39"/>
              <w:jc w:val="left"/>
              <w:rPr>
                <w:b/>
                <w:sz w:val="14"/>
              </w:rPr>
            </w:pPr>
          </w:p>
          <w:p>
            <w:pPr>
              <w:pStyle w:val="TableParagraph"/>
              <w:spacing w:before="0"/>
              <w:ind w:left="14"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201"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4"/>
              </w:rPr>
            </w:pPr>
          </w:p>
        </w:tc>
        <w:tc>
          <w:tcPr>
            <w:tcW w:w="468" w:type="dxa"/>
            <w:tcBorders>
              <w:top w:val="single" w:sz="4" w:space="0" w:color="008FDD"/>
              <w:bottom w:val="single" w:sz="4" w:space="0" w:color="008FDD"/>
            </w:tcBorders>
          </w:tcPr>
          <w:p>
            <w:pPr>
              <w:pStyle w:val="TableParagraph"/>
              <w:spacing w:before="39"/>
              <w:jc w:val="left"/>
              <w:rPr>
                <w:b/>
                <w:sz w:val="14"/>
              </w:rPr>
            </w:pPr>
          </w:p>
          <w:p>
            <w:pPr>
              <w:pStyle w:val="TableParagraph"/>
              <w:spacing w:before="0"/>
              <w:ind w:left="8" w:right="45"/>
              <w:rPr>
                <w:b/>
                <w:sz w:val="14"/>
              </w:rPr>
            </w:pPr>
            <w:r>
              <w:rPr>
                <w:b/>
                <w:color w:val="231F20"/>
                <w:spacing w:val="-2"/>
                <w:w w:val="90"/>
                <w:sz w:val="14"/>
              </w:rPr>
              <w:t>Score</w:t>
            </w:r>
          </w:p>
        </w:tc>
        <w:tc>
          <w:tcPr>
            <w:tcW w:w="655" w:type="dxa"/>
            <w:tcBorders>
              <w:top w:val="single" w:sz="4" w:space="0" w:color="008FDD"/>
              <w:bottom w:val="single" w:sz="4" w:space="0" w:color="008FDD"/>
            </w:tcBorders>
          </w:tcPr>
          <w:p>
            <w:pPr>
              <w:pStyle w:val="TableParagraph"/>
              <w:spacing w:before="40"/>
              <w:ind w:left="207"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r>
      <w:tr>
        <w:trPr>
          <w:trHeight w:val="258" w:hRule="atLeast"/>
        </w:trPr>
        <w:tc>
          <w:tcPr>
            <w:tcW w:w="990" w:type="dxa"/>
            <w:tcBorders>
              <w:top w:val="single" w:sz="4" w:space="0" w:color="008FDD"/>
            </w:tcBorders>
          </w:tcPr>
          <w:p>
            <w:pPr>
              <w:pStyle w:val="TableParagraph"/>
              <w:spacing w:before="47"/>
              <w:ind w:left="80"/>
              <w:jc w:val="left"/>
              <w:rPr>
                <w:sz w:val="14"/>
              </w:rPr>
            </w:pPr>
            <w:r>
              <w:rPr>
                <w:color w:val="231F20"/>
                <w:spacing w:val="-2"/>
                <w:w w:val="90"/>
                <w:sz w:val="14"/>
              </w:rPr>
              <w:t>Singapore</w:t>
            </w:r>
          </w:p>
        </w:tc>
        <w:tc>
          <w:tcPr>
            <w:tcW w:w="622" w:type="dxa"/>
            <w:tcBorders>
              <w:top w:val="single" w:sz="4" w:space="0" w:color="008FDD"/>
            </w:tcBorders>
          </w:tcPr>
          <w:p>
            <w:pPr>
              <w:pStyle w:val="TableParagraph"/>
              <w:spacing w:before="47"/>
              <w:ind w:left="131" w:right="101"/>
              <w:rPr>
                <w:sz w:val="14"/>
              </w:rPr>
            </w:pPr>
            <w:r>
              <w:rPr>
                <w:color w:val="231F20"/>
                <w:spacing w:val="-10"/>
                <w:w w:val="95"/>
                <w:sz w:val="14"/>
              </w:rPr>
              <w:t>1</w:t>
            </w:r>
          </w:p>
        </w:tc>
        <w:tc>
          <w:tcPr>
            <w:tcW w:w="644" w:type="dxa"/>
            <w:tcBorders>
              <w:top w:val="single" w:sz="4" w:space="0" w:color="008FDD"/>
            </w:tcBorders>
          </w:tcPr>
          <w:p>
            <w:pPr>
              <w:pStyle w:val="TableParagraph"/>
              <w:spacing w:before="47"/>
              <w:ind w:left="165"/>
              <w:jc w:val="left"/>
              <w:rPr>
                <w:sz w:val="14"/>
              </w:rPr>
            </w:pPr>
            <w:r>
              <w:rPr>
                <w:color w:val="231F20"/>
                <w:spacing w:val="-5"/>
                <w:w w:val="95"/>
                <w:sz w:val="14"/>
              </w:rPr>
              <w:t>4.3</w:t>
            </w:r>
          </w:p>
        </w:tc>
        <w:tc>
          <w:tcPr>
            <w:tcW w:w="480" w:type="dxa"/>
            <w:tcBorders>
              <w:top w:val="single" w:sz="4" w:space="0" w:color="008FDD"/>
            </w:tcBorders>
          </w:tcPr>
          <w:p>
            <w:pPr>
              <w:pStyle w:val="TableParagraph"/>
              <w:spacing w:before="47"/>
              <w:ind w:left="102"/>
              <w:jc w:val="left"/>
              <w:rPr>
                <w:sz w:val="14"/>
              </w:rPr>
            </w:pPr>
            <w:r>
              <w:rPr>
                <w:color w:val="231F20"/>
                <w:spacing w:val="-5"/>
                <w:w w:val="95"/>
                <w:sz w:val="14"/>
              </w:rPr>
              <w:t>4.2</w:t>
            </w:r>
          </w:p>
        </w:tc>
        <w:tc>
          <w:tcPr>
            <w:tcW w:w="582" w:type="dxa"/>
            <w:tcBorders>
              <w:top w:val="single" w:sz="4" w:space="0" w:color="008FDD"/>
            </w:tcBorders>
          </w:tcPr>
          <w:p>
            <w:pPr>
              <w:pStyle w:val="TableParagraph"/>
              <w:spacing w:before="47"/>
              <w:ind w:left="6" w:right="6"/>
              <w:rPr>
                <w:sz w:val="14"/>
              </w:rPr>
            </w:pPr>
            <w:r>
              <w:rPr>
                <w:color w:val="231F20"/>
                <w:spacing w:val="-5"/>
                <w:w w:val="95"/>
                <w:sz w:val="14"/>
              </w:rPr>
              <w:t>4.4</w:t>
            </w:r>
          </w:p>
        </w:tc>
        <w:tc>
          <w:tcPr>
            <w:tcW w:w="80" w:type="dxa"/>
            <w:tcBorders>
              <w:top w:val="single" w:sz="4" w:space="0" w:color="008FDD"/>
            </w:tcBorders>
          </w:tcPr>
          <w:p>
            <w:pPr>
              <w:pStyle w:val="TableParagraph"/>
              <w:spacing w:before="0"/>
              <w:jc w:val="left"/>
              <w:rPr>
                <w:rFonts w:ascii="Times New Roman"/>
                <w:sz w:val="14"/>
              </w:rPr>
            </w:pPr>
          </w:p>
        </w:tc>
        <w:tc>
          <w:tcPr>
            <w:tcW w:w="463" w:type="dxa"/>
            <w:tcBorders>
              <w:top w:val="single" w:sz="4" w:space="0" w:color="008FDD"/>
            </w:tcBorders>
          </w:tcPr>
          <w:p>
            <w:pPr>
              <w:pStyle w:val="TableParagraph"/>
              <w:spacing w:before="47"/>
              <w:ind w:left="8" w:right="48"/>
              <w:rPr>
                <w:sz w:val="14"/>
              </w:rPr>
            </w:pPr>
            <w:r>
              <w:rPr>
                <w:color w:val="231F20"/>
                <w:spacing w:val="-5"/>
                <w:w w:val="95"/>
                <w:sz w:val="14"/>
              </w:rPr>
              <w:t>4.2</w:t>
            </w:r>
          </w:p>
        </w:tc>
        <w:tc>
          <w:tcPr>
            <w:tcW w:w="574" w:type="dxa"/>
            <w:tcBorders>
              <w:top w:val="single" w:sz="4" w:space="0" w:color="008FDD"/>
            </w:tcBorders>
          </w:tcPr>
          <w:p>
            <w:pPr>
              <w:pStyle w:val="TableParagraph"/>
              <w:spacing w:before="47"/>
              <w:ind w:left="161" w:right="6"/>
              <w:rPr>
                <w:sz w:val="14"/>
              </w:rPr>
            </w:pPr>
            <w:r>
              <w:rPr>
                <w:color w:val="231F20"/>
                <w:spacing w:val="-10"/>
                <w:w w:val="95"/>
                <w:sz w:val="14"/>
              </w:rPr>
              <w:t>1</w:t>
            </w:r>
          </w:p>
        </w:tc>
        <w:tc>
          <w:tcPr>
            <w:tcW w:w="126" w:type="dxa"/>
            <w:tcBorders>
              <w:top w:val="single" w:sz="4" w:space="0" w:color="008FDD"/>
            </w:tcBorders>
          </w:tcPr>
          <w:p>
            <w:pPr>
              <w:pStyle w:val="TableParagraph"/>
              <w:spacing w:before="0"/>
              <w:jc w:val="left"/>
              <w:rPr>
                <w:rFonts w:ascii="Times New Roman"/>
                <w:sz w:val="14"/>
              </w:rPr>
            </w:pPr>
          </w:p>
        </w:tc>
        <w:tc>
          <w:tcPr>
            <w:tcW w:w="463" w:type="dxa"/>
            <w:tcBorders>
              <w:top w:val="single" w:sz="4" w:space="0" w:color="008FDD"/>
            </w:tcBorders>
          </w:tcPr>
          <w:p>
            <w:pPr>
              <w:pStyle w:val="TableParagraph"/>
              <w:spacing w:before="47"/>
              <w:ind w:left="10" w:right="48"/>
              <w:rPr>
                <w:sz w:val="14"/>
              </w:rPr>
            </w:pPr>
            <w:r>
              <w:rPr>
                <w:color w:val="231F20"/>
                <w:spacing w:val="-5"/>
                <w:w w:val="95"/>
                <w:sz w:val="14"/>
              </w:rPr>
              <w:t>4.6</w:t>
            </w:r>
          </w:p>
        </w:tc>
        <w:tc>
          <w:tcPr>
            <w:tcW w:w="574" w:type="dxa"/>
            <w:tcBorders>
              <w:top w:val="single" w:sz="4" w:space="0" w:color="008FDD"/>
            </w:tcBorders>
          </w:tcPr>
          <w:p>
            <w:pPr>
              <w:pStyle w:val="TableParagraph"/>
              <w:spacing w:before="47"/>
              <w:ind w:left="161" w:right="4"/>
              <w:rPr>
                <w:sz w:val="14"/>
              </w:rPr>
            </w:pPr>
            <w:r>
              <w:rPr>
                <w:color w:val="231F20"/>
                <w:spacing w:val="-10"/>
                <w:w w:val="95"/>
                <w:sz w:val="14"/>
              </w:rPr>
              <w:t>1</w:t>
            </w:r>
          </w:p>
        </w:tc>
        <w:tc>
          <w:tcPr>
            <w:tcW w:w="126" w:type="dxa"/>
            <w:tcBorders>
              <w:top w:val="single" w:sz="4" w:space="0" w:color="008FDD"/>
            </w:tcBorders>
          </w:tcPr>
          <w:p>
            <w:pPr>
              <w:pStyle w:val="TableParagraph"/>
              <w:spacing w:before="0"/>
              <w:jc w:val="left"/>
              <w:rPr>
                <w:rFonts w:ascii="Times New Roman"/>
                <w:sz w:val="14"/>
              </w:rPr>
            </w:pPr>
          </w:p>
        </w:tc>
        <w:tc>
          <w:tcPr>
            <w:tcW w:w="463" w:type="dxa"/>
            <w:tcBorders>
              <w:top w:val="single" w:sz="4" w:space="0" w:color="008FDD"/>
            </w:tcBorders>
          </w:tcPr>
          <w:p>
            <w:pPr>
              <w:pStyle w:val="TableParagraph"/>
              <w:spacing w:before="47"/>
              <w:ind w:left="11" w:right="48"/>
              <w:rPr>
                <w:sz w:val="14"/>
              </w:rPr>
            </w:pPr>
            <w:r>
              <w:rPr>
                <w:color w:val="231F20"/>
                <w:spacing w:val="-5"/>
                <w:w w:val="95"/>
                <w:sz w:val="14"/>
              </w:rPr>
              <w:t>4.0</w:t>
            </w:r>
          </w:p>
        </w:tc>
        <w:tc>
          <w:tcPr>
            <w:tcW w:w="574" w:type="dxa"/>
            <w:tcBorders>
              <w:top w:val="single" w:sz="4" w:space="0" w:color="008FDD"/>
            </w:tcBorders>
          </w:tcPr>
          <w:p>
            <w:pPr>
              <w:pStyle w:val="TableParagraph"/>
              <w:spacing w:before="47"/>
              <w:ind w:left="158"/>
              <w:rPr>
                <w:sz w:val="14"/>
              </w:rPr>
            </w:pPr>
            <w:r>
              <w:rPr>
                <w:color w:val="231F20"/>
                <w:spacing w:val="-10"/>
                <w:w w:val="95"/>
                <w:sz w:val="14"/>
              </w:rPr>
              <w:t>2</w:t>
            </w:r>
          </w:p>
        </w:tc>
        <w:tc>
          <w:tcPr>
            <w:tcW w:w="126" w:type="dxa"/>
            <w:tcBorders>
              <w:top w:val="single" w:sz="4" w:space="0" w:color="008FDD"/>
            </w:tcBorders>
          </w:tcPr>
          <w:p>
            <w:pPr>
              <w:pStyle w:val="TableParagraph"/>
              <w:spacing w:before="0"/>
              <w:jc w:val="left"/>
              <w:rPr>
                <w:rFonts w:ascii="Times New Roman"/>
                <w:sz w:val="14"/>
              </w:rPr>
            </w:pPr>
          </w:p>
        </w:tc>
        <w:tc>
          <w:tcPr>
            <w:tcW w:w="463" w:type="dxa"/>
            <w:tcBorders>
              <w:top w:val="single" w:sz="4" w:space="0" w:color="008FDD"/>
            </w:tcBorders>
          </w:tcPr>
          <w:p>
            <w:pPr>
              <w:pStyle w:val="TableParagraph"/>
              <w:spacing w:before="47"/>
              <w:ind w:left="13" w:right="48"/>
              <w:rPr>
                <w:sz w:val="14"/>
              </w:rPr>
            </w:pPr>
            <w:r>
              <w:rPr>
                <w:color w:val="231F20"/>
                <w:spacing w:val="-5"/>
                <w:w w:val="95"/>
                <w:sz w:val="14"/>
              </w:rPr>
              <w:t>4.4</w:t>
            </w:r>
          </w:p>
        </w:tc>
        <w:tc>
          <w:tcPr>
            <w:tcW w:w="574" w:type="dxa"/>
            <w:tcBorders>
              <w:top w:val="single" w:sz="4" w:space="0" w:color="008FDD"/>
            </w:tcBorders>
          </w:tcPr>
          <w:p>
            <w:pPr>
              <w:pStyle w:val="TableParagraph"/>
              <w:spacing w:before="47"/>
              <w:ind w:left="161" w:right="1"/>
              <w:rPr>
                <w:sz w:val="14"/>
              </w:rPr>
            </w:pPr>
            <w:r>
              <w:rPr>
                <w:color w:val="231F20"/>
                <w:spacing w:val="-10"/>
                <w:w w:val="95"/>
                <w:sz w:val="14"/>
              </w:rPr>
              <w:t>1</w:t>
            </w:r>
          </w:p>
        </w:tc>
        <w:tc>
          <w:tcPr>
            <w:tcW w:w="126" w:type="dxa"/>
            <w:tcBorders>
              <w:top w:val="single" w:sz="4" w:space="0" w:color="008FDD"/>
            </w:tcBorders>
          </w:tcPr>
          <w:p>
            <w:pPr>
              <w:pStyle w:val="TableParagraph"/>
              <w:spacing w:before="0"/>
              <w:jc w:val="left"/>
              <w:rPr>
                <w:rFonts w:ascii="Times New Roman"/>
                <w:sz w:val="14"/>
              </w:rPr>
            </w:pPr>
          </w:p>
        </w:tc>
        <w:tc>
          <w:tcPr>
            <w:tcW w:w="463" w:type="dxa"/>
            <w:tcBorders>
              <w:top w:val="single" w:sz="4" w:space="0" w:color="008FDD"/>
            </w:tcBorders>
          </w:tcPr>
          <w:p>
            <w:pPr>
              <w:pStyle w:val="TableParagraph"/>
              <w:spacing w:before="47"/>
              <w:ind w:left="14" w:right="48"/>
              <w:rPr>
                <w:sz w:val="14"/>
              </w:rPr>
            </w:pPr>
            <w:r>
              <w:rPr>
                <w:color w:val="231F20"/>
                <w:spacing w:val="-5"/>
                <w:w w:val="95"/>
                <w:sz w:val="14"/>
              </w:rPr>
              <w:t>4.3</w:t>
            </w:r>
          </w:p>
        </w:tc>
        <w:tc>
          <w:tcPr>
            <w:tcW w:w="574" w:type="dxa"/>
            <w:tcBorders>
              <w:top w:val="single" w:sz="4" w:space="0" w:color="008FDD"/>
            </w:tcBorders>
          </w:tcPr>
          <w:p>
            <w:pPr>
              <w:pStyle w:val="TableParagraph"/>
              <w:spacing w:before="47"/>
              <w:ind w:left="161"/>
              <w:rPr>
                <w:sz w:val="14"/>
              </w:rPr>
            </w:pPr>
            <w:r>
              <w:rPr>
                <w:color w:val="231F20"/>
                <w:spacing w:val="-10"/>
                <w:w w:val="95"/>
                <w:sz w:val="14"/>
              </w:rPr>
              <w:t>1</w:t>
            </w:r>
          </w:p>
        </w:tc>
        <w:tc>
          <w:tcPr>
            <w:tcW w:w="126" w:type="dxa"/>
            <w:tcBorders>
              <w:top w:val="single" w:sz="4" w:space="0" w:color="008FDD"/>
            </w:tcBorders>
          </w:tcPr>
          <w:p>
            <w:pPr>
              <w:pStyle w:val="TableParagraph"/>
              <w:spacing w:before="0"/>
              <w:jc w:val="left"/>
              <w:rPr>
                <w:rFonts w:ascii="Times New Roman"/>
                <w:sz w:val="14"/>
              </w:rPr>
            </w:pPr>
          </w:p>
        </w:tc>
        <w:tc>
          <w:tcPr>
            <w:tcW w:w="468" w:type="dxa"/>
            <w:tcBorders>
              <w:top w:val="single" w:sz="4" w:space="0" w:color="008FDD"/>
            </w:tcBorders>
          </w:tcPr>
          <w:p>
            <w:pPr>
              <w:pStyle w:val="TableParagraph"/>
              <w:spacing w:before="47"/>
              <w:ind w:left="8" w:right="45"/>
              <w:rPr>
                <w:sz w:val="14"/>
              </w:rPr>
            </w:pPr>
            <w:r>
              <w:rPr>
                <w:color w:val="231F20"/>
                <w:spacing w:val="-5"/>
                <w:w w:val="95"/>
                <w:sz w:val="14"/>
              </w:rPr>
              <w:t>4.4</w:t>
            </w:r>
          </w:p>
        </w:tc>
        <w:tc>
          <w:tcPr>
            <w:tcW w:w="655" w:type="dxa"/>
            <w:tcBorders>
              <w:top w:val="single" w:sz="4" w:space="0" w:color="008FDD"/>
            </w:tcBorders>
          </w:tcPr>
          <w:p>
            <w:pPr>
              <w:pStyle w:val="TableParagraph"/>
              <w:spacing w:before="47"/>
              <w:ind w:left="132" w:right="60"/>
              <w:rPr>
                <w:sz w:val="14"/>
              </w:rPr>
            </w:pPr>
            <w:r>
              <w:rPr>
                <w:color w:val="231F20"/>
                <w:spacing w:val="-10"/>
                <w:w w:val="95"/>
                <w:sz w:val="14"/>
              </w:rPr>
              <w:t>1</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Finland</w:t>
            </w:r>
          </w:p>
        </w:tc>
        <w:tc>
          <w:tcPr>
            <w:tcW w:w="622" w:type="dxa"/>
            <w:shd w:val="clear" w:color="auto" w:fill="D4E3F5"/>
          </w:tcPr>
          <w:p>
            <w:pPr>
              <w:pStyle w:val="TableParagraph"/>
              <w:ind w:left="131" w:right="101"/>
              <w:rPr>
                <w:sz w:val="14"/>
              </w:rPr>
            </w:pPr>
            <w:r>
              <w:rPr>
                <w:color w:val="231F20"/>
                <w:spacing w:val="-10"/>
                <w:w w:val="95"/>
                <w:sz w:val="14"/>
              </w:rPr>
              <w:t>2</w:t>
            </w:r>
          </w:p>
        </w:tc>
        <w:tc>
          <w:tcPr>
            <w:tcW w:w="644" w:type="dxa"/>
            <w:shd w:val="clear" w:color="auto" w:fill="D4E3F5"/>
          </w:tcPr>
          <w:p>
            <w:pPr>
              <w:pStyle w:val="TableParagraph"/>
              <w:ind w:left="165"/>
              <w:jc w:val="left"/>
              <w:rPr>
                <w:sz w:val="14"/>
              </w:rPr>
            </w:pPr>
            <w:r>
              <w:rPr>
                <w:color w:val="231F20"/>
                <w:spacing w:val="-5"/>
                <w:w w:val="95"/>
                <w:sz w:val="14"/>
              </w:rPr>
              <w:t>4.2</w:t>
            </w:r>
          </w:p>
        </w:tc>
        <w:tc>
          <w:tcPr>
            <w:tcW w:w="480" w:type="dxa"/>
            <w:shd w:val="clear" w:color="auto" w:fill="D4E3F5"/>
          </w:tcPr>
          <w:p>
            <w:pPr>
              <w:pStyle w:val="TableParagraph"/>
              <w:ind w:left="104"/>
              <w:jc w:val="left"/>
              <w:rPr>
                <w:sz w:val="14"/>
              </w:rPr>
            </w:pPr>
            <w:r>
              <w:rPr>
                <w:color w:val="231F20"/>
                <w:spacing w:val="-5"/>
                <w:w w:val="95"/>
                <w:sz w:val="14"/>
              </w:rPr>
              <w:t>4.0</w:t>
            </w:r>
          </w:p>
        </w:tc>
        <w:tc>
          <w:tcPr>
            <w:tcW w:w="582" w:type="dxa"/>
            <w:shd w:val="clear" w:color="auto" w:fill="D4E3F5"/>
          </w:tcPr>
          <w:p>
            <w:pPr>
              <w:pStyle w:val="TableParagraph"/>
              <w:ind w:left="6" w:right="6"/>
              <w:rPr>
                <w:sz w:val="14"/>
              </w:rPr>
            </w:pPr>
            <w:r>
              <w:rPr>
                <w:color w:val="231F20"/>
                <w:spacing w:val="-5"/>
                <w:w w:val="95"/>
                <w:sz w:val="14"/>
              </w:rPr>
              <w:t>4.4</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8" w:right="48"/>
              <w:rPr>
                <w:sz w:val="14"/>
              </w:rPr>
            </w:pPr>
            <w:r>
              <w:rPr>
                <w:color w:val="231F20"/>
                <w:spacing w:val="-5"/>
                <w:w w:val="95"/>
                <w:sz w:val="14"/>
              </w:rPr>
              <w:t>4.0</w:t>
            </w:r>
          </w:p>
        </w:tc>
        <w:tc>
          <w:tcPr>
            <w:tcW w:w="574" w:type="dxa"/>
            <w:shd w:val="clear" w:color="auto" w:fill="D4E3F5"/>
          </w:tcPr>
          <w:p>
            <w:pPr>
              <w:pStyle w:val="TableParagraph"/>
              <w:ind w:left="161" w:right="6"/>
              <w:rPr>
                <w:sz w:val="14"/>
              </w:rPr>
            </w:pPr>
            <w:r>
              <w:rPr>
                <w:color w:val="231F20"/>
                <w:spacing w:val="-10"/>
                <w:w w:val="95"/>
                <w:sz w:val="14"/>
              </w:rPr>
              <w:t>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0" w:right="48"/>
              <w:rPr>
                <w:sz w:val="14"/>
              </w:rPr>
            </w:pPr>
            <w:r>
              <w:rPr>
                <w:color w:val="231F20"/>
                <w:spacing w:val="-5"/>
                <w:w w:val="95"/>
                <w:sz w:val="14"/>
              </w:rPr>
              <w:t>4.2</w:t>
            </w:r>
          </w:p>
        </w:tc>
        <w:tc>
          <w:tcPr>
            <w:tcW w:w="574" w:type="dxa"/>
            <w:shd w:val="clear" w:color="auto" w:fill="D4E3F5"/>
          </w:tcPr>
          <w:p>
            <w:pPr>
              <w:pStyle w:val="TableParagraph"/>
              <w:ind w:left="161" w:right="4"/>
              <w:rPr>
                <w:sz w:val="14"/>
              </w:rPr>
            </w:pPr>
            <w:r>
              <w:rPr>
                <w:color w:val="231F20"/>
                <w:spacing w:val="-10"/>
                <w:w w:val="95"/>
                <w:sz w:val="14"/>
              </w:rPr>
              <w:t>5</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3" w:right="48"/>
              <w:rPr>
                <w:sz w:val="14"/>
              </w:rPr>
            </w:pPr>
            <w:r>
              <w:rPr>
                <w:color w:val="231F20"/>
                <w:spacing w:val="-5"/>
                <w:w w:val="95"/>
                <w:sz w:val="14"/>
              </w:rPr>
              <w:t>4.1</w:t>
            </w:r>
          </w:p>
        </w:tc>
        <w:tc>
          <w:tcPr>
            <w:tcW w:w="574" w:type="dxa"/>
            <w:shd w:val="clear" w:color="auto" w:fill="D4E3F5"/>
          </w:tcPr>
          <w:p>
            <w:pPr>
              <w:pStyle w:val="TableParagraph"/>
              <w:ind w:left="158"/>
              <w:rPr>
                <w:sz w:val="14"/>
              </w:rPr>
            </w:pPr>
            <w:r>
              <w:rPr>
                <w:color w:val="231F20"/>
                <w:spacing w:val="-10"/>
                <w:w w:val="95"/>
                <w:sz w:val="14"/>
              </w:rPr>
              <w:t>1</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3" w:right="48"/>
              <w:rPr>
                <w:sz w:val="14"/>
              </w:rPr>
            </w:pPr>
            <w:r>
              <w:rPr>
                <w:color w:val="231F20"/>
                <w:spacing w:val="-5"/>
                <w:w w:val="95"/>
                <w:sz w:val="14"/>
              </w:rPr>
              <w:t>4.2</w:t>
            </w:r>
          </w:p>
        </w:tc>
        <w:tc>
          <w:tcPr>
            <w:tcW w:w="574" w:type="dxa"/>
            <w:shd w:val="clear" w:color="auto" w:fill="D4E3F5"/>
          </w:tcPr>
          <w:p>
            <w:pPr>
              <w:pStyle w:val="TableParagraph"/>
              <w:ind w:left="161" w:right="1"/>
              <w:rPr>
                <w:sz w:val="14"/>
              </w:rPr>
            </w:pPr>
            <w:r>
              <w:rPr>
                <w:color w:val="231F20"/>
                <w:spacing w:val="-10"/>
                <w:w w:val="95"/>
                <w:sz w:val="14"/>
              </w:rPr>
              <w:t>3</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4" w:right="48"/>
              <w:rPr>
                <w:sz w:val="14"/>
              </w:rPr>
            </w:pPr>
            <w:r>
              <w:rPr>
                <w:color w:val="231F20"/>
                <w:spacing w:val="-5"/>
                <w:w w:val="95"/>
                <w:sz w:val="14"/>
              </w:rPr>
              <w:t>4.3</w:t>
            </w:r>
          </w:p>
        </w:tc>
        <w:tc>
          <w:tcPr>
            <w:tcW w:w="574" w:type="dxa"/>
            <w:shd w:val="clear" w:color="auto" w:fill="D4E3F5"/>
          </w:tcPr>
          <w:p>
            <w:pPr>
              <w:pStyle w:val="TableParagraph"/>
              <w:ind w:left="161"/>
              <w:rPr>
                <w:sz w:val="14"/>
              </w:rPr>
            </w:pPr>
            <w:r>
              <w:rPr>
                <w:color w:val="231F20"/>
                <w:spacing w:val="-10"/>
                <w:w w:val="95"/>
                <w:sz w:val="14"/>
              </w:rPr>
              <w:t>1</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8" w:right="45"/>
              <w:rPr>
                <w:sz w:val="14"/>
              </w:rPr>
            </w:pPr>
            <w:r>
              <w:rPr>
                <w:color w:val="231F20"/>
                <w:spacing w:val="-5"/>
                <w:w w:val="95"/>
                <w:sz w:val="14"/>
              </w:rPr>
              <w:t>4.2</w:t>
            </w:r>
          </w:p>
        </w:tc>
        <w:tc>
          <w:tcPr>
            <w:tcW w:w="655" w:type="dxa"/>
            <w:shd w:val="clear" w:color="auto" w:fill="D4E3F5"/>
          </w:tcPr>
          <w:p>
            <w:pPr>
              <w:pStyle w:val="TableParagraph"/>
              <w:ind w:left="132" w:right="60"/>
              <w:rPr>
                <w:sz w:val="14"/>
              </w:rPr>
            </w:pPr>
            <w:r>
              <w:rPr>
                <w:color w:val="231F20"/>
                <w:spacing w:val="-10"/>
                <w:w w:val="95"/>
                <w:sz w:val="14"/>
              </w:rPr>
              <w:t>3</w:t>
            </w:r>
          </w:p>
        </w:tc>
      </w:tr>
      <w:tr>
        <w:trPr>
          <w:trHeight w:val="259" w:hRule="atLeast"/>
        </w:trPr>
        <w:tc>
          <w:tcPr>
            <w:tcW w:w="990" w:type="dxa"/>
          </w:tcPr>
          <w:p>
            <w:pPr>
              <w:pStyle w:val="TableParagraph"/>
              <w:ind w:left="80"/>
              <w:jc w:val="left"/>
              <w:rPr>
                <w:sz w:val="14"/>
              </w:rPr>
            </w:pPr>
            <w:r>
              <w:rPr>
                <w:color w:val="231F20"/>
                <w:spacing w:val="-2"/>
                <w:w w:val="90"/>
                <w:sz w:val="14"/>
              </w:rPr>
              <w:t>Denmark</w:t>
            </w:r>
          </w:p>
        </w:tc>
        <w:tc>
          <w:tcPr>
            <w:tcW w:w="622" w:type="dxa"/>
          </w:tcPr>
          <w:p>
            <w:pPr>
              <w:pStyle w:val="TableParagraph"/>
              <w:ind w:left="131" w:right="101"/>
              <w:rPr>
                <w:sz w:val="14"/>
              </w:rPr>
            </w:pPr>
            <w:r>
              <w:rPr>
                <w:color w:val="231F20"/>
                <w:spacing w:val="-10"/>
                <w:w w:val="95"/>
                <w:sz w:val="14"/>
              </w:rPr>
              <w:t>3</w:t>
            </w:r>
          </w:p>
        </w:tc>
        <w:tc>
          <w:tcPr>
            <w:tcW w:w="644" w:type="dxa"/>
          </w:tcPr>
          <w:p>
            <w:pPr>
              <w:pStyle w:val="TableParagraph"/>
              <w:ind w:left="170"/>
              <w:jc w:val="left"/>
              <w:rPr>
                <w:sz w:val="14"/>
              </w:rPr>
            </w:pPr>
            <w:r>
              <w:rPr>
                <w:color w:val="231F20"/>
                <w:spacing w:val="-5"/>
                <w:w w:val="95"/>
                <w:sz w:val="14"/>
              </w:rPr>
              <w:t>4.1</w:t>
            </w:r>
          </w:p>
        </w:tc>
        <w:tc>
          <w:tcPr>
            <w:tcW w:w="480" w:type="dxa"/>
          </w:tcPr>
          <w:p>
            <w:pPr>
              <w:pStyle w:val="TableParagraph"/>
              <w:ind w:left="104"/>
              <w:jc w:val="left"/>
              <w:rPr>
                <w:sz w:val="14"/>
              </w:rPr>
            </w:pPr>
            <w:r>
              <w:rPr>
                <w:color w:val="231F20"/>
                <w:spacing w:val="-5"/>
                <w:w w:val="95"/>
                <w:sz w:val="14"/>
              </w:rPr>
              <w:t>4.0</w:t>
            </w:r>
          </w:p>
        </w:tc>
        <w:tc>
          <w:tcPr>
            <w:tcW w:w="582" w:type="dxa"/>
          </w:tcPr>
          <w:p>
            <w:pPr>
              <w:pStyle w:val="TableParagraph"/>
              <w:ind w:left="6" w:right="6"/>
              <w:rPr>
                <w:sz w:val="14"/>
              </w:rPr>
            </w:pPr>
            <w:r>
              <w:rPr>
                <w:color w:val="231F20"/>
                <w:spacing w:val="-5"/>
                <w:w w:val="95"/>
                <w:sz w:val="14"/>
              </w:rPr>
              <w:t>4.2</w:t>
            </w:r>
          </w:p>
        </w:tc>
        <w:tc>
          <w:tcPr>
            <w:tcW w:w="80" w:type="dxa"/>
          </w:tcPr>
          <w:p>
            <w:pPr>
              <w:pStyle w:val="TableParagraph"/>
              <w:spacing w:before="0"/>
              <w:jc w:val="left"/>
              <w:rPr>
                <w:rFonts w:ascii="Times New Roman"/>
                <w:sz w:val="14"/>
              </w:rPr>
            </w:pPr>
          </w:p>
        </w:tc>
        <w:tc>
          <w:tcPr>
            <w:tcW w:w="463" w:type="dxa"/>
          </w:tcPr>
          <w:p>
            <w:pPr>
              <w:pStyle w:val="TableParagraph"/>
              <w:ind w:right="48"/>
              <w:rPr>
                <w:sz w:val="14"/>
              </w:rPr>
            </w:pPr>
            <w:r>
              <w:rPr>
                <w:color w:val="231F20"/>
                <w:spacing w:val="-5"/>
                <w:w w:val="95"/>
                <w:sz w:val="14"/>
              </w:rPr>
              <w:t>4.1</w:t>
            </w:r>
          </w:p>
        </w:tc>
        <w:tc>
          <w:tcPr>
            <w:tcW w:w="574" w:type="dxa"/>
          </w:tcPr>
          <w:p>
            <w:pPr>
              <w:pStyle w:val="TableParagraph"/>
              <w:ind w:left="161" w:right="6"/>
              <w:rPr>
                <w:sz w:val="14"/>
              </w:rPr>
            </w:pPr>
            <w:r>
              <w:rPr>
                <w:color w:val="231F20"/>
                <w:spacing w:val="-10"/>
                <w:w w:val="95"/>
                <w:sz w:val="14"/>
              </w:rPr>
              <w:t>2</w:t>
            </w:r>
          </w:p>
        </w:tc>
        <w:tc>
          <w:tcPr>
            <w:tcW w:w="126" w:type="dxa"/>
          </w:tcPr>
          <w:p>
            <w:pPr>
              <w:pStyle w:val="TableParagraph"/>
              <w:spacing w:before="0"/>
              <w:jc w:val="left"/>
              <w:rPr>
                <w:rFonts w:ascii="Times New Roman"/>
                <w:sz w:val="14"/>
              </w:rPr>
            </w:pPr>
          </w:p>
        </w:tc>
        <w:tc>
          <w:tcPr>
            <w:tcW w:w="463" w:type="dxa"/>
          </w:tcPr>
          <w:p>
            <w:pPr>
              <w:pStyle w:val="TableParagraph"/>
              <w:ind w:left="2" w:right="48"/>
              <w:rPr>
                <w:sz w:val="14"/>
              </w:rPr>
            </w:pPr>
            <w:r>
              <w:rPr>
                <w:color w:val="231F20"/>
                <w:spacing w:val="-5"/>
                <w:w w:val="95"/>
                <w:sz w:val="14"/>
              </w:rPr>
              <w:t>4.1</w:t>
            </w:r>
          </w:p>
        </w:tc>
        <w:tc>
          <w:tcPr>
            <w:tcW w:w="574" w:type="dxa"/>
          </w:tcPr>
          <w:p>
            <w:pPr>
              <w:pStyle w:val="TableParagraph"/>
              <w:ind w:left="161" w:right="4"/>
              <w:rPr>
                <w:sz w:val="14"/>
              </w:rPr>
            </w:pPr>
            <w:r>
              <w:rPr>
                <w:color w:val="231F20"/>
                <w:spacing w:val="-10"/>
                <w:w w:val="95"/>
                <w:sz w:val="14"/>
              </w:rPr>
              <w:t>9</w:t>
            </w:r>
          </w:p>
        </w:tc>
        <w:tc>
          <w:tcPr>
            <w:tcW w:w="126" w:type="dxa"/>
          </w:tcPr>
          <w:p>
            <w:pPr>
              <w:pStyle w:val="TableParagraph"/>
              <w:spacing w:before="0"/>
              <w:jc w:val="left"/>
              <w:rPr>
                <w:rFonts w:ascii="Times New Roman"/>
                <w:sz w:val="14"/>
              </w:rPr>
            </w:pPr>
          </w:p>
        </w:tc>
        <w:tc>
          <w:tcPr>
            <w:tcW w:w="463" w:type="dxa"/>
          </w:tcPr>
          <w:p>
            <w:pPr>
              <w:pStyle w:val="TableParagraph"/>
              <w:ind w:left="13" w:right="48"/>
              <w:rPr>
                <w:sz w:val="14"/>
              </w:rPr>
            </w:pPr>
            <w:r>
              <w:rPr>
                <w:color w:val="231F20"/>
                <w:spacing w:val="-5"/>
                <w:w w:val="95"/>
                <w:sz w:val="14"/>
              </w:rPr>
              <w:t>3.6</w:t>
            </w:r>
          </w:p>
        </w:tc>
        <w:tc>
          <w:tcPr>
            <w:tcW w:w="574" w:type="dxa"/>
          </w:tcPr>
          <w:p>
            <w:pPr>
              <w:pStyle w:val="TableParagraph"/>
              <w:ind w:left="161" w:right="70"/>
              <w:rPr>
                <w:sz w:val="14"/>
              </w:rPr>
            </w:pPr>
            <w:r>
              <w:rPr>
                <w:color w:val="231F20"/>
                <w:spacing w:val="-5"/>
                <w:w w:val="95"/>
                <w:sz w:val="14"/>
              </w:rPr>
              <w:t>14</w:t>
            </w:r>
          </w:p>
        </w:tc>
        <w:tc>
          <w:tcPr>
            <w:tcW w:w="126" w:type="dxa"/>
          </w:tcPr>
          <w:p>
            <w:pPr>
              <w:pStyle w:val="TableParagraph"/>
              <w:spacing w:before="0"/>
              <w:jc w:val="left"/>
              <w:rPr>
                <w:rFonts w:ascii="Times New Roman"/>
                <w:sz w:val="14"/>
              </w:rPr>
            </w:pPr>
          </w:p>
        </w:tc>
        <w:tc>
          <w:tcPr>
            <w:tcW w:w="463" w:type="dxa"/>
          </w:tcPr>
          <w:p>
            <w:pPr>
              <w:pStyle w:val="TableParagraph"/>
              <w:ind w:left="5" w:right="48"/>
              <w:rPr>
                <w:sz w:val="14"/>
              </w:rPr>
            </w:pPr>
            <w:r>
              <w:rPr>
                <w:color w:val="231F20"/>
                <w:spacing w:val="-5"/>
                <w:w w:val="95"/>
                <w:sz w:val="14"/>
              </w:rPr>
              <w:t>4.1</w:t>
            </w:r>
          </w:p>
        </w:tc>
        <w:tc>
          <w:tcPr>
            <w:tcW w:w="574" w:type="dxa"/>
          </w:tcPr>
          <w:p>
            <w:pPr>
              <w:pStyle w:val="TableParagraph"/>
              <w:ind w:left="161" w:right="1"/>
              <w:rPr>
                <w:sz w:val="14"/>
              </w:rPr>
            </w:pPr>
            <w:r>
              <w:rPr>
                <w:color w:val="231F20"/>
                <w:spacing w:val="-10"/>
                <w:w w:val="95"/>
                <w:sz w:val="14"/>
              </w:rPr>
              <w:t>9</w:t>
            </w:r>
          </w:p>
        </w:tc>
        <w:tc>
          <w:tcPr>
            <w:tcW w:w="126" w:type="dxa"/>
          </w:tcPr>
          <w:p>
            <w:pPr>
              <w:pStyle w:val="TableParagraph"/>
              <w:spacing w:before="0"/>
              <w:jc w:val="left"/>
              <w:rPr>
                <w:rFonts w:ascii="Times New Roman"/>
                <w:sz w:val="14"/>
              </w:rPr>
            </w:pPr>
          </w:p>
        </w:tc>
        <w:tc>
          <w:tcPr>
            <w:tcW w:w="463" w:type="dxa"/>
          </w:tcPr>
          <w:p>
            <w:pPr>
              <w:pStyle w:val="TableParagraph"/>
              <w:ind w:left="6" w:right="48"/>
              <w:rPr>
                <w:sz w:val="14"/>
              </w:rPr>
            </w:pPr>
            <w:r>
              <w:rPr>
                <w:color w:val="231F20"/>
                <w:spacing w:val="-5"/>
                <w:w w:val="95"/>
                <w:sz w:val="14"/>
              </w:rPr>
              <w:t>4.1</w:t>
            </w:r>
          </w:p>
        </w:tc>
        <w:tc>
          <w:tcPr>
            <w:tcW w:w="574" w:type="dxa"/>
          </w:tcPr>
          <w:p>
            <w:pPr>
              <w:pStyle w:val="TableParagraph"/>
              <w:ind w:left="161" w:right="64"/>
              <w:rPr>
                <w:sz w:val="14"/>
              </w:rPr>
            </w:pPr>
            <w:r>
              <w:rPr>
                <w:color w:val="231F20"/>
                <w:spacing w:val="-5"/>
                <w:w w:val="95"/>
                <w:sz w:val="14"/>
              </w:rPr>
              <w:t>10</w:t>
            </w:r>
          </w:p>
        </w:tc>
        <w:tc>
          <w:tcPr>
            <w:tcW w:w="126" w:type="dxa"/>
          </w:tcPr>
          <w:p>
            <w:pPr>
              <w:pStyle w:val="TableParagraph"/>
              <w:spacing w:before="0"/>
              <w:jc w:val="left"/>
              <w:rPr>
                <w:rFonts w:ascii="Times New Roman"/>
                <w:sz w:val="14"/>
              </w:rPr>
            </w:pPr>
          </w:p>
        </w:tc>
        <w:tc>
          <w:tcPr>
            <w:tcW w:w="468" w:type="dxa"/>
          </w:tcPr>
          <w:p>
            <w:pPr>
              <w:pStyle w:val="TableParagraph"/>
              <w:ind w:left="8" w:right="45"/>
              <w:rPr>
                <w:sz w:val="14"/>
              </w:rPr>
            </w:pPr>
            <w:r>
              <w:rPr>
                <w:color w:val="231F20"/>
                <w:spacing w:val="-5"/>
                <w:w w:val="95"/>
                <w:sz w:val="14"/>
              </w:rPr>
              <w:t>4.3</w:t>
            </w:r>
          </w:p>
        </w:tc>
        <w:tc>
          <w:tcPr>
            <w:tcW w:w="655" w:type="dxa"/>
          </w:tcPr>
          <w:p>
            <w:pPr>
              <w:pStyle w:val="TableParagraph"/>
              <w:ind w:left="132" w:right="60"/>
              <w:rPr>
                <w:sz w:val="14"/>
              </w:rPr>
            </w:pPr>
            <w:r>
              <w:rPr>
                <w:color w:val="231F20"/>
                <w:spacing w:val="-10"/>
                <w:w w:val="95"/>
                <w:sz w:val="14"/>
              </w:rPr>
              <w:t>2</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Germany</w:t>
            </w:r>
          </w:p>
        </w:tc>
        <w:tc>
          <w:tcPr>
            <w:tcW w:w="622" w:type="dxa"/>
            <w:shd w:val="clear" w:color="auto" w:fill="D4E3F5"/>
          </w:tcPr>
          <w:p>
            <w:pPr>
              <w:pStyle w:val="TableParagraph"/>
              <w:ind w:left="131" w:right="101"/>
              <w:rPr>
                <w:sz w:val="14"/>
              </w:rPr>
            </w:pPr>
            <w:r>
              <w:rPr>
                <w:color w:val="231F20"/>
                <w:spacing w:val="-10"/>
                <w:w w:val="95"/>
                <w:sz w:val="14"/>
              </w:rPr>
              <w:t>3</w:t>
            </w:r>
          </w:p>
        </w:tc>
        <w:tc>
          <w:tcPr>
            <w:tcW w:w="644" w:type="dxa"/>
            <w:shd w:val="clear" w:color="auto" w:fill="D4E3F5"/>
          </w:tcPr>
          <w:p>
            <w:pPr>
              <w:pStyle w:val="TableParagraph"/>
              <w:ind w:left="170"/>
              <w:jc w:val="left"/>
              <w:rPr>
                <w:sz w:val="14"/>
              </w:rPr>
            </w:pPr>
            <w:r>
              <w:rPr>
                <w:color w:val="231F20"/>
                <w:spacing w:val="-5"/>
                <w:w w:val="95"/>
                <w:sz w:val="14"/>
              </w:rPr>
              <w:t>4.1</w:t>
            </w:r>
          </w:p>
        </w:tc>
        <w:tc>
          <w:tcPr>
            <w:tcW w:w="480" w:type="dxa"/>
            <w:shd w:val="clear" w:color="auto" w:fill="D4E3F5"/>
          </w:tcPr>
          <w:p>
            <w:pPr>
              <w:pStyle w:val="TableParagraph"/>
              <w:ind w:left="104"/>
              <w:jc w:val="left"/>
              <w:rPr>
                <w:sz w:val="14"/>
              </w:rPr>
            </w:pPr>
            <w:r>
              <w:rPr>
                <w:color w:val="231F20"/>
                <w:spacing w:val="-5"/>
                <w:w w:val="95"/>
                <w:sz w:val="14"/>
              </w:rPr>
              <w:t>4.0</w:t>
            </w:r>
          </w:p>
        </w:tc>
        <w:tc>
          <w:tcPr>
            <w:tcW w:w="582" w:type="dxa"/>
            <w:shd w:val="clear" w:color="auto" w:fill="D4E3F5"/>
          </w:tcPr>
          <w:p>
            <w:pPr>
              <w:pStyle w:val="TableParagraph"/>
              <w:ind w:left="6" w:right="6"/>
              <w:rPr>
                <w:sz w:val="14"/>
              </w:rPr>
            </w:pPr>
            <w:r>
              <w:rPr>
                <w:color w:val="231F20"/>
                <w:spacing w:val="-5"/>
                <w:w w:val="95"/>
                <w:sz w:val="14"/>
              </w:rPr>
              <w:t>4.2</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0" w:right="48"/>
              <w:rPr>
                <w:sz w:val="14"/>
              </w:rPr>
            </w:pPr>
            <w:r>
              <w:rPr>
                <w:color w:val="231F20"/>
                <w:spacing w:val="-5"/>
                <w:w w:val="95"/>
                <w:sz w:val="14"/>
              </w:rPr>
              <w:t>3.9</w:t>
            </w:r>
          </w:p>
        </w:tc>
        <w:tc>
          <w:tcPr>
            <w:tcW w:w="574" w:type="dxa"/>
            <w:shd w:val="clear" w:color="auto" w:fill="D4E3F5"/>
          </w:tcPr>
          <w:p>
            <w:pPr>
              <w:pStyle w:val="TableParagraph"/>
              <w:ind w:left="161" w:right="6"/>
              <w:rPr>
                <w:sz w:val="14"/>
              </w:rPr>
            </w:pPr>
            <w:r>
              <w:rPr>
                <w:color w:val="231F20"/>
                <w:spacing w:val="-10"/>
                <w:w w:val="95"/>
                <w:sz w:val="14"/>
              </w:rPr>
              <w:t>7</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0" w:right="48"/>
              <w:rPr>
                <w:sz w:val="14"/>
              </w:rPr>
            </w:pPr>
            <w:r>
              <w:rPr>
                <w:color w:val="231F20"/>
                <w:spacing w:val="-5"/>
                <w:w w:val="95"/>
                <w:sz w:val="14"/>
              </w:rPr>
              <w:t>4.3</w:t>
            </w:r>
          </w:p>
        </w:tc>
        <w:tc>
          <w:tcPr>
            <w:tcW w:w="574" w:type="dxa"/>
            <w:shd w:val="clear" w:color="auto" w:fill="D4E3F5"/>
          </w:tcPr>
          <w:p>
            <w:pPr>
              <w:pStyle w:val="TableParagraph"/>
              <w:ind w:left="161" w:right="4"/>
              <w:rPr>
                <w:sz w:val="14"/>
              </w:rPr>
            </w:pPr>
            <w:r>
              <w:rPr>
                <w:color w:val="231F20"/>
                <w:spacing w:val="-10"/>
                <w:w w:val="95"/>
                <w:sz w:val="14"/>
              </w:rPr>
              <w:t>3</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0" w:right="48"/>
              <w:rPr>
                <w:sz w:val="14"/>
              </w:rPr>
            </w:pPr>
            <w:r>
              <w:rPr>
                <w:color w:val="231F20"/>
                <w:spacing w:val="-5"/>
                <w:w w:val="95"/>
                <w:sz w:val="14"/>
              </w:rPr>
              <w:t>3.7</w:t>
            </w:r>
          </w:p>
        </w:tc>
        <w:tc>
          <w:tcPr>
            <w:tcW w:w="574" w:type="dxa"/>
            <w:shd w:val="clear" w:color="auto" w:fill="D4E3F5"/>
          </w:tcPr>
          <w:p>
            <w:pPr>
              <w:pStyle w:val="TableParagraph"/>
              <w:ind w:left="158"/>
              <w:rPr>
                <w:sz w:val="14"/>
              </w:rPr>
            </w:pPr>
            <w:r>
              <w:rPr>
                <w:color w:val="231F20"/>
                <w:spacing w:val="-10"/>
                <w:w w:val="95"/>
                <w:sz w:val="14"/>
              </w:rPr>
              <w:t>8</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3" w:right="48"/>
              <w:rPr>
                <w:sz w:val="14"/>
              </w:rPr>
            </w:pPr>
            <w:r>
              <w:rPr>
                <w:color w:val="231F20"/>
                <w:spacing w:val="-5"/>
                <w:w w:val="95"/>
                <w:sz w:val="14"/>
              </w:rPr>
              <w:t>4.2</w:t>
            </w:r>
          </w:p>
        </w:tc>
        <w:tc>
          <w:tcPr>
            <w:tcW w:w="574" w:type="dxa"/>
            <w:shd w:val="clear" w:color="auto" w:fill="D4E3F5"/>
          </w:tcPr>
          <w:p>
            <w:pPr>
              <w:pStyle w:val="TableParagraph"/>
              <w:ind w:left="161" w:right="1"/>
              <w:rPr>
                <w:sz w:val="14"/>
              </w:rPr>
            </w:pPr>
            <w:r>
              <w:rPr>
                <w:color w:val="231F20"/>
                <w:spacing w:val="-10"/>
                <w:w w:val="95"/>
                <w:sz w:val="14"/>
              </w:rPr>
              <w:t>3</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6" w:right="48"/>
              <w:rPr>
                <w:sz w:val="14"/>
              </w:rPr>
            </w:pPr>
            <w:r>
              <w:rPr>
                <w:color w:val="231F20"/>
                <w:spacing w:val="-5"/>
                <w:w w:val="95"/>
                <w:sz w:val="14"/>
              </w:rPr>
              <w:t>4.1</w:t>
            </w:r>
          </w:p>
        </w:tc>
        <w:tc>
          <w:tcPr>
            <w:tcW w:w="574" w:type="dxa"/>
            <w:shd w:val="clear" w:color="auto" w:fill="D4E3F5"/>
          </w:tcPr>
          <w:p>
            <w:pPr>
              <w:pStyle w:val="TableParagraph"/>
              <w:ind w:left="161" w:right="64"/>
              <w:rPr>
                <w:sz w:val="14"/>
              </w:rPr>
            </w:pPr>
            <w:r>
              <w:rPr>
                <w:color w:val="231F20"/>
                <w:spacing w:val="-5"/>
                <w:w w:val="95"/>
                <w:sz w:val="14"/>
              </w:rPr>
              <w:t>10</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8" w:right="45"/>
              <w:rPr>
                <w:sz w:val="14"/>
              </w:rPr>
            </w:pPr>
            <w:r>
              <w:rPr>
                <w:color w:val="231F20"/>
                <w:spacing w:val="-5"/>
                <w:w w:val="95"/>
                <w:sz w:val="14"/>
              </w:rPr>
              <w:t>4.2</w:t>
            </w:r>
          </w:p>
        </w:tc>
        <w:tc>
          <w:tcPr>
            <w:tcW w:w="655" w:type="dxa"/>
            <w:shd w:val="clear" w:color="auto" w:fill="D4E3F5"/>
          </w:tcPr>
          <w:p>
            <w:pPr>
              <w:pStyle w:val="TableParagraph"/>
              <w:ind w:left="132" w:right="60"/>
              <w:rPr>
                <w:sz w:val="14"/>
              </w:rPr>
            </w:pPr>
            <w:r>
              <w:rPr>
                <w:color w:val="231F20"/>
                <w:spacing w:val="-10"/>
                <w:w w:val="95"/>
                <w:sz w:val="14"/>
              </w:rPr>
              <w:t>3</w:t>
            </w:r>
          </w:p>
        </w:tc>
      </w:tr>
      <w:tr>
        <w:trPr>
          <w:trHeight w:val="259" w:hRule="atLeast"/>
        </w:trPr>
        <w:tc>
          <w:tcPr>
            <w:tcW w:w="990" w:type="dxa"/>
          </w:tcPr>
          <w:p>
            <w:pPr>
              <w:pStyle w:val="TableParagraph"/>
              <w:ind w:left="80"/>
              <w:jc w:val="left"/>
              <w:rPr>
                <w:sz w:val="14"/>
              </w:rPr>
            </w:pPr>
            <w:r>
              <w:rPr>
                <w:color w:val="231F20"/>
                <w:spacing w:val="-2"/>
                <w:w w:val="90"/>
                <w:sz w:val="14"/>
              </w:rPr>
              <w:t>Netherlands</w:t>
            </w:r>
          </w:p>
        </w:tc>
        <w:tc>
          <w:tcPr>
            <w:tcW w:w="622" w:type="dxa"/>
          </w:tcPr>
          <w:p>
            <w:pPr>
              <w:pStyle w:val="TableParagraph"/>
              <w:ind w:left="131" w:right="101"/>
              <w:rPr>
                <w:sz w:val="14"/>
              </w:rPr>
            </w:pPr>
            <w:r>
              <w:rPr>
                <w:color w:val="231F20"/>
                <w:spacing w:val="-10"/>
                <w:w w:val="95"/>
                <w:sz w:val="14"/>
              </w:rPr>
              <w:t>3</w:t>
            </w:r>
          </w:p>
        </w:tc>
        <w:tc>
          <w:tcPr>
            <w:tcW w:w="644" w:type="dxa"/>
          </w:tcPr>
          <w:p>
            <w:pPr>
              <w:pStyle w:val="TableParagraph"/>
              <w:ind w:left="170"/>
              <w:jc w:val="left"/>
              <w:rPr>
                <w:sz w:val="14"/>
              </w:rPr>
            </w:pPr>
            <w:r>
              <w:rPr>
                <w:color w:val="231F20"/>
                <w:spacing w:val="-5"/>
                <w:w w:val="95"/>
                <w:sz w:val="14"/>
              </w:rPr>
              <w:t>4.1</w:t>
            </w:r>
          </w:p>
        </w:tc>
        <w:tc>
          <w:tcPr>
            <w:tcW w:w="480" w:type="dxa"/>
          </w:tcPr>
          <w:p>
            <w:pPr>
              <w:pStyle w:val="TableParagraph"/>
              <w:ind w:left="104"/>
              <w:jc w:val="left"/>
              <w:rPr>
                <w:sz w:val="14"/>
              </w:rPr>
            </w:pPr>
            <w:r>
              <w:rPr>
                <w:color w:val="231F20"/>
                <w:spacing w:val="-5"/>
                <w:w w:val="95"/>
                <w:sz w:val="14"/>
              </w:rPr>
              <w:t>4.0</w:t>
            </w:r>
          </w:p>
        </w:tc>
        <w:tc>
          <w:tcPr>
            <w:tcW w:w="582" w:type="dxa"/>
          </w:tcPr>
          <w:p>
            <w:pPr>
              <w:pStyle w:val="TableParagraph"/>
              <w:ind w:left="6" w:right="6"/>
              <w:rPr>
                <w:sz w:val="14"/>
              </w:rPr>
            </w:pPr>
            <w:r>
              <w:rPr>
                <w:color w:val="231F20"/>
                <w:spacing w:val="-5"/>
                <w:w w:val="95"/>
                <w:sz w:val="14"/>
              </w:rPr>
              <w:t>4.2</w:t>
            </w:r>
          </w:p>
        </w:tc>
        <w:tc>
          <w:tcPr>
            <w:tcW w:w="80" w:type="dxa"/>
          </w:tcPr>
          <w:p>
            <w:pPr>
              <w:pStyle w:val="TableParagraph"/>
              <w:spacing w:before="0"/>
              <w:jc w:val="left"/>
              <w:rPr>
                <w:rFonts w:ascii="Times New Roman"/>
                <w:sz w:val="14"/>
              </w:rPr>
            </w:pPr>
          </w:p>
        </w:tc>
        <w:tc>
          <w:tcPr>
            <w:tcW w:w="463" w:type="dxa"/>
          </w:tcPr>
          <w:p>
            <w:pPr>
              <w:pStyle w:val="TableParagraph"/>
              <w:ind w:left="10" w:right="48"/>
              <w:rPr>
                <w:sz w:val="14"/>
              </w:rPr>
            </w:pPr>
            <w:r>
              <w:rPr>
                <w:color w:val="231F20"/>
                <w:spacing w:val="-5"/>
                <w:w w:val="95"/>
                <w:sz w:val="14"/>
              </w:rPr>
              <w:t>3.9</w:t>
            </w:r>
          </w:p>
        </w:tc>
        <w:tc>
          <w:tcPr>
            <w:tcW w:w="574" w:type="dxa"/>
          </w:tcPr>
          <w:p>
            <w:pPr>
              <w:pStyle w:val="TableParagraph"/>
              <w:ind w:left="161" w:right="6"/>
              <w:rPr>
                <w:sz w:val="14"/>
              </w:rPr>
            </w:pPr>
            <w:r>
              <w:rPr>
                <w:color w:val="231F20"/>
                <w:spacing w:val="-10"/>
                <w:w w:val="95"/>
                <w:sz w:val="14"/>
              </w:rPr>
              <w:t>7</w:t>
            </w:r>
          </w:p>
        </w:tc>
        <w:tc>
          <w:tcPr>
            <w:tcW w:w="126" w:type="dxa"/>
          </w:tcPr>
          <w:p>
            <w:pPr>
              <w:pStyle w:val="TableParagraph"/>
              <w:spacing w:before="0"/>
              <w:jc w:val="left"/>
              <w:rPr>
                <w:rFonts w:ascii="Times New Roman"/>
                <w:sz w:val="14"/>
              </w:rPr>
            </w:pPr>
          </w:p>
        </w:tc>
        <w:tc>
          <w:tcPr>
            <w:tcW w:w="463" w:type="dxa"/>
          </w:tcPr>
          <w:p>
            <w:pPr>
              <w:pStyle w:val="TableParagraph"/>
              <w:ind w:left="10" w:right="48"/>
              <w:rPr>
                <w:sz w:val="14"/>
              </w:rPr>
            </w:pPr>
            <w:r>
              <w:rPr>
                <w:color w:val="231F20"/>
                <w:spacing w:val="-5"/>
                <w:w w:val="95"/>
                <w:sz w:val="14"/>
              </w:rPr>
              <w:t>4.2</w:t>
            </w:r>
          </w:p>
        </w:tc>
        <w:tc>
          <w:tcPr>
            <w:tcW w:w="574" w:type="dxa"/>
          </w:tcPr>
          <w:p>
            <w:pPr>
              <w:pStyle w:val="TableParagraph"/>
              <w:ind w:left="161" w:right="4"/>
              <w:rPr>
                <w:sz w:val="14"/>
              </w:rPr>
            </w:pPr>
            <w:r>
              <w:rPr>
                <w:color w:val="231F20"/>
                <w:spacing w:val="-10"/>
                <w:w w:val="95"/>
                <w:sz w:val="14"/>
              </w:rPr>
              <w:t>5</w:t>
            </w:r>
          </w:p>
        </w:tc>
        <w:tc>
          <w:tcPr>
            <w:tcW w:w="126" w:type="dxa"/>
          </w:tcPr>
          <w:p>
            <w:pPr>
              <w:pStyle w:val="TableParagraph"/>
              <w:spacing w:before="0"/>
              <w:jc w:val="left"/>
              <w:rPr>
                <w:rFonts w:ascii="Times New Roman"/>
                <w:sz w:val="14"/>
              </w:rPr>
            </w:pPr>
          </w:p>
        </w:tc>
        <w:tc>
          <w:tcPr>
            <w:tcW w:w="463" w:type="dxa"/>
          </w:tcPr>
          <w:p>
            <w:pPr>
              <w:pStyle w:val="TableParagraph"/>
              <w:ind w:left="10" w:right="48"/>
              <w:rPr>
                <w:sz w:val="14"/>
              </w:rPr>
            </w:pPr>
            <w:r>
              <w:rPr>
                <w:color w:val="231F20"/>
                <w:spacing w:val="-5"/>
                <w:w w:val="95"/>
                <w:sz w:val="14"/>
              </w:rPr>
              <w:t>3.7</w:t>
            </w:r>
          </w:p>
        </w:tc>
        <w:tc>
          <w:tcPr>
            <w:tcW w:w="574" w:type="dxa"/>
          </w:tcPr>
          <w:p>
            <w:pPr>
              <w:pStyle w:val="TableParagraph"/>
              <w:ind w:left="158"/>
              <w:rPr>
                <w:sz w:val="14"/>
              </w:rPr>
            </w:pPr>
            <w:r>
              <w:rPr>
                <w:color w:val="231F20"/>
                <w:spacing w:val="-10"/>
                <w:w w:val="95"/>
                <w:sz w:val="14"/>
              </w:rPr>
              <w:t>8</w:t>
            </w:r>
          </w:p>
        </w:tc>
        <w:tc>
          <w:tcPr>
            <w:tcW w:w="126" w:type="dxa"/>
          </w:tcPr>
          <w:p>
            <w:pPr>
              <w:pStyle w:val="TableParagraph"/>
              <w:spacing w:before="0"/>
              <w:jc w:val="left"/>
              <w:rPr>
                <w:rFonts w:ascii="Times New Roman"/>
                <w:sz w:val="14"/>
              </w:rPr>
            </w:pPr>
          </w:p>
        </w:tc>
        <w:tc>
          <w:tcPr>
            <w:tcW w:w="463" w:type="dxa"/>
          </w:tcPr>
          <w:p>
            <w:pPr>
              <w:pStyle w:val="TableParagraph"/>
              <w:ind w:left="13" w:right="48"/>
              <w:rPr>
                <w:sz w:val="14"/>
              </w:rPr>
            </w:pPr>
            <w:r>
              <w:rPr>
                <w:color w:val="231F20"/>
                <w:spacing w:val="-5"/>
                <w:w w:val="95"/>
                <w:sz w:val="14"/>
              </w:rPr>
              <w:t>4.2</w:t>
            </w:r>
          </w:p>
        </w:tc>
        <w:tc>
          <w:tcPr>
            <w:tcW w:w="574" w:type="dxa"/>
          </w:tcPr>
          <w:p>
            <w:pPr>
              <w:pStyle w:val="TableParagraph"/>
              <w:ind w:left="161" w:right="1"/>
              <w:rPr>
                <w:sz w:val="14"/>
              </w:rPr>
            </w:pPr>
            <w:r>
              <w:rPr>
                <w:color w:val="231F20"/>
                <w:spacing w:val="-10"/>
                <w:w w:val="95"/>
                <w:sz w:val="14"/>
              </w:rPr>
              <w:t>3</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4.0</w:t>
            </w:r>
          </w:p>
        </w:tc>
        <w:tc>
          <w:tcPr>
            <w:tcW w:w="574" w:type="dxa"/>
          </w:tcPr>
          <w:p>
            <w:pPr>
              <w:pStyle w:val="TableParagraph"/>
              <w:ind w:left="161" w:right="67"/>
              <w:rPr>
                <w:sz w:val="14"/>
              </w:rPr>
            </w:pPr>
            <w:r>
              <w:rPr>
                <w:color w:val="231F20"/>
                <w:spacing w:val="-5"/>
                <w:w w:val="95"/>
                <w:sz w:val="14"/>
              </w:rPr>
              <w:t>17</w:t>
            </w:r>
          </w:p>
        </w:tc>
        <w:tc>
          <w:tcPr>
            <w:tcW w:w="126" w:type="dxa"/>
          </w:tcPr>
          <w:p>
            <w:pPr>
              <w:pStyle w:val="TableParagraph"/>
              <w:spacing w:before="0"/>
              <w:jc w:val="left"/>
              <w:rPr>
                <w:rFonts w:ascii="Times New Roman"/>
                <w:sz w:val="14"/>
              </w:rPr>
            </w:pPr>
          </w:p>
        </w:tc>
        <w:tc>
          <w:tcPr>
            <w:tcW w:w="468" w:type="dxa"/>
          </w:tcPr>
          <w:p>
            <w:pPr>
              <w:pStyle w:val="TableParagraph"/>
              <w:ind w:left="8" w:right="45"/>
              <w:rPr>
                <w:sz w:val="14"/>
              </w:rPr>
            </w:pPr>
            <w:r>
              <w:rPr>
                <w:color w:val="231F20"/>
                <w:spacing w:val="-5"/>
                <w:w w:val="95"/>
                <w:sz w:val="14"/>
              </w:rPr>
              <w:t>4.2</w:t>
            </w:r>
          </w:p>
        </w:tc>
        <w:tc>
          <w:tcPr>
            <w:tcW w:w="655" w:type="dxa"/>
          </w:tcPr>
          <w:p>
            <w:pPr>
              <w:pStyle w:val="TableParagraph"/>
              <w:ind w:left="132" w:right="60"/>
              <w:rPr>
                <w:sz w:val="14"/>
              </w:rPr>
            </w:pPr>
            <w:r>
              <w:rPr>
                <w:color w:val="231F20"/>
                <w:spacing w:val="-10"/>
                <w:w w:val="95"/>
                <w:sz w:val="14"/>
              </w:rPr>
              <w:t>3</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Switzerland</w:t>
            </w:r>
          </w:p>
        </w:tc>
        <w:tc>
          <w:tcPr>
            <w:tcW w:w="622" w:type="dxa"/>
            <w:shd w:val="clear" w:color="auto" w:fill="D4E3F5"/>
          </w:tcPr>
          <w:p>
            <w:pPr>
              <w:pStyle w:val="TableParagraph"/>
              <w:ind w:left="131" w:right="101"/>
              <w:rPr>
                <w:sz w:val="14"/>
              </w:rPr>
            </w:pPr>
            <w:r>
              <w:rPr>
                <w:color w:val="231F20"/>
                <w:spacing w:val="-10"/>
                <w:w w:val="95"/>
                <w:sz w:val="14"/>
              </w:rPr>
              <w:t>3</w:t>
            </w:r>
          </w:p>
        </w:tc>
        <w:tc>
          <w:tcPr>
            <w:tcW w:w="644" w:type="dxa"/>
            <w:shd w:val="clear" w:color="auto" w:fill="D4E3F5"/>
          </w:tcPr>
          <w:p>
            <w:pPr>
              <w:pStyle w:val="TableParagraph"/>
              <w:ind w:left="170"/>
              <w:jc w:val="left"/>
              <w:rPr>
                <w:sz w:val="14"/>
              </w:rPr>
            </w:pPr>
            <w:r>
              <w:rPr>
                <w:color w:val="231F20"/>
                <w:spacing w:val="-5"/>
                <w:w w:val="95"/>
                <w:sz w:val="14"/>
              </w:rPr>
              <w:t>4.1</w:t>
            </w:r>
          </w:p>
        </w:tc>
        <w:tc>
          <w:tcPr>
            <w:tcW w:w="480" w:type="dxa"/>
            <w:shd w:val="clear" w:color="auto" w:fill="D4E3F5"/>
          </w:tcPr>
          <w:p>
            <w:pPr>
              <w:pStyle w:val="TableParagraph"/>
              <w:ind w:left="104"/>
              <w:jc w:val="left"/>
              <w:rPr>
                <w:sz w:val="14"/>
              </w:rPr>
            </w:pPr>
            <w:r>
              <w:rPr>
                <w:color w:val="231F20"/>
                <w:spacing w:val="-5"/>
                <w:w w:val="95"/>
                <w:sz w:val="14"/>
              </w:rPr>
              <w:t>4.0</w:t>
            </w:r>
          </w:p>
        </w:tc>
        <w:tc>
          <w:tcPr>
            <w:tcW w:w="582" w:type="dxa"/>
            <w:shd w:val="clear" w:color="auto" w:fill="D4E3F5"/>
          </w:tcPr>
          <w:p>
            <w:pPr>
              <w:pStyle w:val="TableParagraph"/>
              <w:ind w:left="6" w:right="6"/>
              <w:rPr>
                <w:sz w:val="14"/>
              </w:rPr>
            </w:pPr>
            <w:r>
              <w:rPr>
                <w:color w:val="231F20"/>
                <w:spacing w:val="-5"/>
                <w:w w:val="95"/>
                <w:sz w:val="14"/>
              </w:rPr>
              <w:t>4.2</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right="48"/>
              <w:rPr>
                <w:sz w:val="14"/>
              </w:rPr>
            </w:pPr>
            <w:r>
              <w:rPr>
                <w:color w:val="231F20"/>
                <w:spacing w:val="-5"/>
                <w:w w:val="95"/>
                <w:sz w:val="14"/>
              </w:rPr>
              <w:t>4.1</w:t>
            </w:r>
          </w:p>
        </w:tc>
        <w:tc>
          <w:tcPr>
            <w:tcW w:w="574" w:type="dxa"/>
            <w:shd w:val="clear" w:color="auto" w:fill="D4E3F5"/>
          </w:tcPr>
          <w:p>
            <w:pPr>
              <w:pStyle w:val="TableParagraph"/>
              <w:ind w:left="161" w:right="6"/>
              <w:rPr>
                <w:sz w:val="14"/>
              </w:rPr>
            </w:pPr>
            <w:r>
              <w:rPr>
                <w:color w:val="231F20"/>
                <w:spacing w:val="-10"/>
                <w:w w:val="95"/>
                <w:sz w:val="14"/>
              </w:rPr>
              <w:t>2</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0" w:right="48"/>
              <w:rPr>
                <w:sz w:val="14"/>
              </w:rPr>
            </w:pPr>
            <w:r>
              <w:rPr>
                <w:color w:val="231F20"/>
                <w:spacing w:val="-5"/>
                <w:w w:val="95"/>
                <w:sz w:val="14"/>
              </w:rPr>
              <w:t>4.4</w:t>
            </w:r>
          </w:p>
        </w:tc>
        <w:tc>
          <w:tcPr>
            <w:tcW w:w="574" w:type="dxa"/>
            <w:shd w:val="clear" w:color="auto" w:fill="D4E3F5"/>
          </w:tcPr>
          <w:p>
            <w:pPr>
              <w:pStyle w:val="TableParagraph"/>
              <w:ind w:left="161" w:right="4"/>
              <w:rPr>
                <w:sz w:val="14"/>
              </w:rPr>
            </w:pPr>
            <w:r>
              <w:rPr>
                <w:color w:val="231F20"/>
                <w:spacing w:val="-10"/>
                <w:w w:val="95"/>
                <w:sz w:val="14"/>
              </w:rPr>
              <w:t>2</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3" w:right="48"/>
              <w:rPr>
                <w:sz w:val="14"/>
              </w:rPr>
            </w:pPr>
            <w:r>
              <w:rPr>
                <w:color w:val="231F20"/>
                <w:spacing w:val="-5"/>
                <w:w w:val="95"/>
                <w:sz w:val="14"/>
              </w:rPr>
              <w:t>3.6</w:t>
            </w:r>
          </w:p>
        </w:tc>
        <w:tc>
          <w:tcPr>
            <w:tcW w:w="574" w:type="dxa"/>
            <w:shd w:val="clear" w:color="auto" w:fill="D4E3F5"/>
          </w:tcPr>
          <w:p>
            <w:pPr>
              <w:pStyle w:val="TableParagraph"/>
              <w:ind w:left="161" w:right="70"/>
              <w:rPr>
                <w:sz w:val="14"/>
              </w:rPr>
            </w:pPr>
            <w:r>
              <w:rPr>
                <w:color w:val="231F20"/>
                <w:spacing w:val="-5"/>
                <w:w w:val="95"/>
                <w:sz w:val="14"/>
              </w:rPr>
              <w:t>14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3" w:right="48"/>
              <w:rPr>
                <w:sz w:val="14"/>
              </w:rPr>
            </w:pPr>
            <w:r>
              <w:rPr>
                <w:color w:val="231F20"/>
                <w:spacing w:val="-5"/>
                <w:w w:val="95"/>
                <w:sz w:val="14"/>
              </w:rPr>
              <w:t>4.3</w:t>
            </w:r>
          </w:p>
        </w:tc>
        <w:tc>
          <w:tcPr>
            <w:tcW w:w="574" w:type="dxa"/>
            <w:shd w:val="clear" w:color="auto" w:fill="D4E3F5"/>
          </w:tcPr>
          <w:p>
            <w:pPr>
              <w:pStyle w:val="TableParagraph"/>
              <w:ind w:left="161" w:right="1"/>
              <w:rPr>
                <w:sz w:val="14"/>
              </w:rPr>
            </w:pPr>
            <w:r>
              <w:rPr>
                <w:color w:val="231F20"/>
                <w:spacing w:val="-10"/>
                <w:w w:val="95"/>
                <w:sz w:val="14"/>
              </w:rPr>
              <w:t>2</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4" w:right="48"/>
              <w:rPr>
                <w:sz w:val="14"/>
              </w:rPr>
            </w:pPr>
            <w:r>
              <w:rPr>
                <w:color w:val="231F20"/>
                <w:spacing w:val="-5"/>
                <w:w w:val="95"/>
                <w:sz w:val="14"/>
              </w:rPr>
              <w:t>4.2</w:t>
            </w:r>
          </w:p>
        </w:tc>
        <w:tc>
          <w:tcPr>
            <w:tcW w:w="574" w:type="dxa"/>
            <w:shd w:val="clear" w:color="auto" w:fill="D4E3F5"/>
          </w:tcPr>
          <w:p>
            <w:pPr>
              <w:pStyle w:val="TableParagraph"/>
              <w:ind w:left="161"/>
              <w:rPr>
                <w:sz w:val="14"/>
              </w:rPr>
            </w:pPr>
            <w:r>
              <w:rPr>
                <w:color w:val="231F20"/>
                <w:spacing w:val="-10"/>
                <w:w w:val="95"/>
                <w:sz w:val="14"/>
              </w:rPr>
              <w:t>4</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8" w:right="45"/>
              <w:rPr>
                <w:sz w:val="14"/>
              </w:rPr>
            </w:pPr>
            <w:r>
              <w:rPr>
                <w:color w:val="231F20"/>
                <w:spacing w:val="-5"/>
                <w:w w:val="95"/>
                <w:sz w:val="14"/>
              </w:rPr>
              <w:t>4.2</w:t>
            </w:r>
          </w:p>
        </w:tc>
        <w:tc>
          <w:tcPr>
            <w:tcW w:w="655" w:type="dxa"/>
            <w:shd w:val="clear" w:color="auto" w:fill="D4E3F5"/>
          </w:tcPr>
          <w:p>
            <w:pPr>
              <w:pStyle w:val="TableParagraph"/>
              <w:ind w:left="132" w:right="60"/>
              <w:rPr>
                <w:sz w:val="14"/>
              </w:rPr>
            </w:pPr>
            <w:r>
              <w:rPr>
                <w:color w:val="231F20"/>
                <w:spacing w:val="-10"/>
                <w:w w:val="95"/>
                <w:sz w:val="14"/>
              </w:rPr>
              <w:t>3</w:t>
            </w:r>
          </w:p>
        </w:tc>
      </w:tr>
      <w:tr>
        <w:trPr>
          <w:trHeight w:val="259" w:hRule="atLeast"/>
        </w:trPr>
        <w:tc>
          <w:tcPr>
            <w:tcW w:w="990" w:type="dxa"/>
          </w:tcPr>
          <w:p>
            <w:pPr>
              <w:pStyle w:val="TableParagraph"/>
              <w:ind w:left="80"/>
              <w:jc w:val="left"/>
              <w:rPr>
                <w:sz w:val="14"/>
              </w:rPr>
            </w:pPr>
            <w:r>
              <w:rPr>
                <w:color w:val="231F20"/>
                <w:spacing w:val="-2"/>
                <w:w w:val="90"/>
                <w:sz w:val="14"/>
              </w:rPr>
              <w:t>Austria</w:t>
            </w:r>
          </w:p>
        </w:tc>
        <w:tc>
          <w:tcPr>
            <w:tcW w:w="622" w:type="dxa"/>
          </w:tcPr>
          <w:p>
            <w:pPr>
              <w:pStyle w:val="TableParagraph"/>
              <w:ind w:left="131" w:right="101"/>
              <w:rPr>
                <w:sz w:val="14"/>
              </w:rPr>
            </w:pPr>
            <w:r>
              <w:rPr>
                <w:color w:val="231F20"/>
                <w:spacing w:val="-10"/>
                <w:w w:val="95"/>
                <w:sz w:val="14"/>
              </w:rPr>
              <w:t>7</w:t>
            </w:r>
          </w:p>
        </w:tc>
        <w:tc>
          <w:tcPr>
            <w:tcW w:w="644" w:type="dxa"/>
          </w:tcPr>
          <w:p>
            <w:pPr>
              <w:pStyle w:val="TableParagraph"/>
              <w:ind w:left="166"/>
              <w:jc w:val="left"/>
              <w:rPr>
                <w:sz w:val="14"/>
              </w:rPr>
            </w:pPr>
            <w:r>
              <w:rPr>
                <w:color w:val="231F20"/>
                <w:spacing w:val="-5"/>
                <w:w w:val="95"/>
                <w:sz w:val="14"/>
              </w:rPr>
              <w:t>4.0</w:t>
            </w:r>
          </w:p>
        </w:tc>
        <w:tc>
          <w:tcPr>
            <w:tcW w:w="480" w:type="dxa"/>
          </w:tcPr>
          <w:p>
            <w:pPr>
              <w:pStyle w:val="TableParagraph"/>
              <w:ind w:left="102"/>
              <w:jc w:val="left"/>
              <w:rPr>
                <w:sz w:val="14"/>
              </w:rPr>
            </w:pPr>
            <w:r>
              <w:rPr>
                <w:color w:val="231F20"/>
                <w:spacing w:val="-5"/>
                <w:w w:val="95"/>
                <w:sz w:val="14"/>
              </w:rPr>
              <w:t>3.8</w:t>
            </w:r>
          </w:p>
        </w:tc>
        <w:tc>
          <w:tcPr>
            <w:tcW w:w="582" w:type="dxa"/>
          </w:tcPr>
          <w:p>
            <w:pPr>
              <w:pStyle w:val="TableParagraph"/>
              <w:ind w:left="6" w:right="6"/>
              <w:rPr>
                <w:sz w:val="14"/>
              </w:rPr>
            </w:pPr>
            <w:r>
              <w:rPr>
                <w:color w:val="231F20"/>
                <w:spacing w:val="-5"/>
                <w:w w:val="95"/>
                <w:sz w:val="14"/>
              </w:rPr>
              <w:t>4.2</w:t>
            </w:r>
          </w:p>
        </w:tc>
        <w:tc>
          <w:tcPr>
            <w:tcW w:w="80" w:type="dxa"/>
          </w:tcPr>
          <w:p>
            <w:pPr>
              <w:pStyle w:val="TableParagraph"/>
              <w:spacing w:before="0"/>
              <w:jc w:val="left"/>
              <w:rPr>
                <w:rFonts w:ascii="Times New Roman"/>
                <w:sz w:val="14"/>
              </w:rPr>
            </w:pPr>
          </w:p>
        </w:tc>
        <w:tc>
          <w:tcPr>
            <w:tcW w:w="463" w:type="dxa"/>
          </w:tcPr>
          <w:p>
            <w:pPr>
              <w:pStyle w:val="TableParagraph"/>
              <w:ind w:left="7" w:right="48"/>
              <w:rPr>
                <w:sz w:val="14"/>
              </w:rPr>
            </w:pPr>
            <w:r>
              <w:rPr>
                <w:color w:val="231F20"/>
                <w:spacing w:val="-5"/>
                <w:w w:val="95"/>
                <w:sz w:val="14"/>
              </w:rPr>
              <w:t>3.7</w:t>
            </w:r>
          </w:p>
        </w:tc>
        <w:tc>
          <w:tcPr>
            <w:tcW w:w="574" w:type="dxa"/>
          </w:tcPr>
          <w:p>
            <w:pPr>
              <w:pStyle w:val="TableParagraph"/>
              <w:ind w:left="158" w:right="70"/>
              <w:rPr>
                <w:sz w:val="14"/>
              </w:rPr>
            </w:pPr>
            <w:r>
              <w:rPr>
                <w:color w:val="231F20"/>
                <w:spacing w:val="-5"/>
                <w:w w:val="95"/>
                <w:sz w:val="14"/>
              </w:rPr>
              <w:t>14</w:t>
            </w:r>
          </w:p>
        </w:tc>
        <w:tc>
          <w:tcPr>
            <w:tcW w:w="126" w:type="dxa"/>
          </w:tcPr>
          <w:p>
            <w:pPr>
              <w:pStyle w:val="TableParagraph"/>
              <w:spacing w:before="0"/>
              <w:jc w:val="left"/>
              <w:rPr>
                <w:rFonts w:ascii="Times New Roman"/>
                <w:sz w:val="14"/>
              </w:rPr>
            </w:pPr>
          </w:p>
        </w:tc>
        <w:tc>
          <w:tcPr>
            <w:tcW w:w="463" w:type="dxa"/>
          </w:tcPr>
          <w:p>
            <w:pPr>
              <w:pStyle w:val="TableParagraph"/>
              <w:ind w:left="12" w:right="48"/>
              <w:rPr>
                <w:sz w:val="14"/>
              </w:rPr>
            </w:pPr>
            <w:r>
              <w:rPr>
                <w:color w:val="231F20"/>
                <w:spacing w:val="-5"/>
                <w:w w:val="95"/>
                <w:sz w:val="14"/>
              </w:rPr>
              <w:t>3.9</w:t>
            </w:r>
          </w:p>
        </w:tc>
        <w:tc>
          <w:tcPr>
            <w:tcW w:w="574" w:type="dxa"/>
          </w:tcPr>
          <w:p>
            <w:pPr>
              <w:pStyle w:val="TableParagraph"/>
              <w:ind w:left="161" w:right="72"/>
              <w:rPr>
                <w:sz w:val="14"/>
              </w:rPr>
            </w:pPr>
            <w:r>
              <w:rPr>
                <w:color w:val="231F20"/>
                <w:spacing w:val="-5"/>
                <w:w w:val="95"/>
                <w:sz w:val="14"/>
              </w:rPr>
              <w:t>16</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3.8</w:t>
            </w:r>
          </w:p>
        </w:tc>
        <w:tc>
          <w:tcPr>
            <w:tcW w:w="574" w:type="dxa"/>
          </w:tcPr>
          <w:p>
            <w:pPr>
              <w:pStyle w:val="TableParagraph"/>
              <w:ind w:left="158"/>
              <w:rPr>
                <w:sz w:val="14"/>
              </w:rPr>
            </w:pPr>
            <w:r>
              <w:rPr>
                <w:color w:val="231F20"/>
                <w:spacing w:val="-10"/>
                <w:w w:val="95"/>
                <w:sz w:val="14"/>
              </w:rPr>
              <w:t>4</w:t>
            </w:r>
          </w:p>
        </w:tc>
        <w:tc>
          <w:tcPr>
            <w:tcW w:w="126" w:type="dxa"/>
          </w:tcPr>
          <w:p>
            <w:pPr>
              <w:pStyle w:val="TableParagraph"/>
              <w:spacing w:before="0"/>
              <w:jc w:val="left"/>
              <w:rPr>
                <w:rFonts w:ascii="Times New Roman"/>
                <w:sz w:val="14"/>
              </w:rPr>
            </w:pPr>
          </w:p>
        </w:tc>
        <w:tc>
          <w:tcPr>
            <w:tcW w:w="463" w:type="dxa"/>
          </w:tcPr>
          <w:p>
            <w:pPr>
              <w:pStyle w:val="TableParagraph"/>
              <w:ind w:left="13" w:right="48"/>
              <w:rPr>
                <w:sz w:val="14"/>
              </w:rPr>
            </w:pPr>
            <w:r>
              <w:rPr>
                <w:color w:val="231F20"/>
                <w:spacing w:val="-5"/>
                <w:w w:val="95"/>
                <w:sz w:val="14"/>
              </w:rPr>
              <w:t>4.0</w:t>
            </w:r>
          </w:p>
        </w:tc>
        <w:tc>
          <w:tcPr>
            <w:tcW w:w="574" w:type="dxa"/>
          </w:tcPr>
          <w:p>
            <w:pPr>
              <w:pStyle w:val="TableParagraph"/>
              <w:ind w:left="161" w:right="69"/>
              <w:rPr>
                <w:sz w:val="14"/>
              </w:rPr>
            </w:pPr>
            <w:r>
              <w:rPr>
                <w:color w:val="231F20"/>
                <w:spacing w:val="-5"/>
                <w:w w:val="95"/>
                <w:sz w:val="14"/>
              </w:rPr>
              <w:t>11</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4.3</w:t>
            </w:r>
          </w:p>
        </w:tc>
        <w:tc>
          <w:tcPr>
            <w:tcW w:w="574" w:type="dxa"/>
          </w:tcPr>
          <w:p>
            <w:pPr>
              <w:pStyle w:val="TableParagraph"/>
              <w:ind w:left="161"/>
              <w:rPr>
                <w:sz w:val="14"/>
              </w:rPr>
            </w:pPr>
            <w:r>
              <w:rPr>
                <w:color w:val="231F20"/>
                <w:spacing w:val="-10"/>
                <w:w w:val="95"/>
                <w:sz w:val="14"/>
              </w:rPr>
              <w:t>1</w:t>
            </w:r>
          </w:p>
        </w:tc>
        <w:tc>
          <w:tcPr>
            <w:tcW w:w="126" w:type="dxa"/>
          </w:tcPr>
          <w:p>
            <w:pPr>
              <w:pStyle w:val="TableParagraph"/>
              <w:spacing w:before="0"/>
              <w:jc w:val="left"/>
              <w:rPr>
                <w:rFonts w:ascii="Times New Roman"/>
                <w:sz w:val="14"/>
              </w:rPr>
            </w:pPr>
          </w:p>
        </w:tc>
        <w:tc>
          <w:tcPr>
            <w:tcW w:w="468" w:type="dxa"/>
          </w:tcPr>
          <w:p>
            <w:pPr>
              <w:pStyle w:val="TableParagraph"/>
              <w:ind w:left="8" w:right="45"/>
              <w:rPr>
                <w:sz w:val="14"/>
              </w:rPr>
            </w:pPr>
            <w:r>
              <w:rPr>
                <w:color w:val="231F20"/>
                <w:spacing w:val="-5"/>
                <w:w w:val="95"/>
                <w:sz w:val="14"/>
              </w:rPr>
              <w:t>4.2</w:t>
            </w:r>
          </w:p>
        </w:tc>
        <w:tc>
          <w:tcPr>
            <w:tcW w:w="655" w:type="dxa"/>
          </w:tcPr>
          <w:p>
            <w:pPr>
              <w:pStyle w:val="TableParagraph"/>
              <w:ind w:left="132" w:right="60"/>
              <w:rPr>
                <w:sz w:val="14"/>
              </w:rPr>
            </w:pPr>
            <w:r>
              <w:rPr>
                <w:color w:val="231F20"/>
                <w:spacing w:val="-10"/>
                <w:w w:val="95"/>
                <w:sz w:val="14"/>
              </w:rPr>
              <w:t>3</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Belgium</w:t>
            </w:r>
          </w:p>
        </w:tc>
        <w:tc>
          <w:tcPr>
            <w:tcW w:w="622" w:type="dxa"/>
            <w:shd w:val="clear" w:color="auto" w:fill="D4E3F5"/>
          </w:tcPr>
          <w:p>
            <w:pPr>
              <w:pStyle w:val="TableParagraph"/>
              <w:ind w:left="131" w:right="101"/>
              <w:rPr>
                <w:sz w:val="14"/>
              </w:rPr>
            </w:pPr>
            <w:r>
              <w:rPr>
                <w:color w:val="231F20"/>
                <w:spacing w:val="-10"/>
                <w:w w:val="95"/>
                <w:sz w:val="14"/>
              </w:rPr>
              <w:t>7</w:t>
            </w:r>
          </w:p>
        </w:tc>
        <w:tc>
          <w:tcPr>
            <w:tcW w:w="644" w:type="dxa"/>
            <w:shd w:val="clear" w:color="auto" w:fill="D4E3F5"/>
          </w:tcPr>
          <w:p>
            <w:pPr>
              <w:pStyle w:val="TableParagraph"/>
              <w:ind w:left="166"/>
              <w:jc w:val="left"/>
              <w:rPr>
                <w:sz w:val="14"/>
              </w:rPr>
            </w:pPr>
            <w:r>
              <w:rPr>
                <w:color w:val="231F20"/>
                <w:spacing w:val="-5"/>
                <w:w w:val="95"/>
                <w:sz w:val="14"/>
              </w:rPr>
              <w:t>4.0</w:t>
            </w:r>
          </w:p>
        </w:tc>
        <w:tc>
          <w:tcPr>
            <w:tcW w:w="480" w:type="dxa"/>
            <w:shd w:val="clear" w:color="auto" w:fill="D4E3F5"/>
          </w:tcPr>
          <w:p>
            <w:pPr>
              <w:pStyle w:val="TableParagraph"/>
              <w:ind w:left="102"/>
              <w:jc w:val="left"/>
              <w:rPr>
                <w:sz w:val="14"/>
              </w:rPr>
            </w:pPr>
            <w:r>
              <w:rPr>
                <w:color w:val="231F20"/>
                <w:spacing w:val="-5"/>
                <w:w w:val="95"/>
                <w:sz w:val="14"/>
              </w:rPr>
              <w:t>3.9</w:t>
            </w:r>
          </w:p>
        </w:tc>
        <w:tc>
          <w:tcPr>
            <w:tcW w:w="582" w:type="dxa"/>
            <w:shd w:val="clear" w:color="auto" w:fill="D4E3F5"/>
          </w:tcPr>
          <w:p>
            <w:pPr>
              <w:pStyle w:val="TableParagraph"/>
              <w:ind w:left="1" w:right="7"/>
              <w:rPr>
                <w:sz w:val="14"/>
              </w:rPr>
            </w:pPr>
            <w:r>
              <w:rPr>
                <w:color w:val="231F20"/>
                <w:spacing w:val="-5"/>
                <w:w w:val="95"/>
                <w:sz w:val="14"/>
              </w:rPr>
              <w:t>4.1</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0" w:right="48"/>
              <w:rPr>
                <w:sz w:val="14"/>
              </w:rPr>
            </w:pPr>
            <w:r>
              <w:rPr>
                <w:color w:val="231F20"/>
                <w:spacing w:val="-5"/>
                <w:w w:val="95"/>
                <w:sz w:val="14"/>
              </w:rPr>
              <w:t>3.9</w:t>
            </w:r>
          </w:p>
        </w:tc>
        <w:tc>
          <w:tcPr>
            <w:tcW w:w="574" w:type="dxa"/>
            <w:shd w:val="clear" w:color="auto" w:fill="D4E3F5"/>
          </w:tcPr>
          <w:p>
            <w:pPr>
              <w:pStyle w:val="TableParagraph"/>
              <w:ind w:left="161" w:right="6"/>
              <w:rPr>
                <w:sz w:val="14"/>
              </w:rPr>
            </w:pPr>
            <w:r>
              <w:rPr>
                <w:color w:val="231F20"/>
                <w:spacing w:val="-10"/>
                <w:w w:val="95"/>
                <w:sz w:val="14"/>
              </w:rPr>
              <w:t>7</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2" w:right="48"/>
              <w:rPr>
                <w:sz w:val="14"/>
              </w:rPr>
            </w:pPr>
            <w:r>
              <w:rPr>
                <w:color w:val="231F20"/>
                <w:spacing w:val="-5"/>
                <w:w w:val="95"/>
                <w:sz w:val="14"/>
              </w:rPr>
              <w:t>4.1</w:t>
            </w:r>
          </w:p>
        </w:tc>
        <w:tc>
          <w:tcPr>
            <w:tcW w:w="574" w:type="dxa"/>
            <w:shd w:val="clear" w:color="auto" w:fill="D4E3F5"/>
          </w:tcPr>
          <w:p>
            <w:pPr>
              <w:pStyle w:val="TableParagraph"/>
              <w:ind w:left="161" w:right="4"/>
              <w:rPr>
                <w:sz w:val="14"/>
              </w:rPr>
            </w:pPr>
            <w:r>
              <w:rPr>
                <w:color w:val="231F20"/>
                <w:spacing w:val="-10"/>
                <w:w w:val="95"/>
                <w:sz w:val="14"/>
              </w:rPr>
              <w:t>9</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4" w:right="48"/>
              <w:rPr>
                <w:sz w:val="14"/>
              </w:rPr>
            </w:pPr>
            <w:r>
              <w:rPr>
                <w:color w:val="231F20"/>
                <w:spacing w:val="-5"/>
                <w:w w:val="95"/>
                <w:sz w:val="14"/>
              </w:rPr>
              <w:t>3.8</w:t>
            </w:r>
          </w:p>
        </w:tc>
        <w:tc>
          <w:tcPr>
            <w:tcW w:w="574" w:type="dxa"/>
            <w:shd w:val="clear" w:color="auto" w:fill="D4E3F5"/>
          </w:tcPr>
          <w:p>
            <w:pPr>
              <w:pStyle w:val="TableParagraph"/>
              <w:ind w:left="158"/>
              <w:rPr>
                <w:sz w:val="14"/>
              </w:rPr>
            </w:pPr>
            <w:r>
              <w:rPr>
                <w:color w:val="231F20"/>
                <w:spacing w:val="-10"/>
                <w:w w:val="95"/>
                <w:sz w:val="14"/>
              </w:rPr>
              <w:t>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3" w:right="48"/>
              <w:rPr>
                <w:sz w:val="14"/>
              </w:rPr>
            </w:pPr>
            <w:r>
              <w:rPr>
                <w:color w:val="231F20"/>
                <w:spacing w:val="-5"/>
                <w:w w:val="95"/>
                <w:sz w:val="14"/>
              </w:rPr>
              <w:t>4.2</w:t>
            </w:r>
          </w:p>
        </w:tc>
        <w:tc>
          <w:tcPr>
            <w:tcW w:w="574" w:type="dxa"/>
            <w:shd w:val="clear" w:color="auto" w:fill="D4E3F5"/>
          </w:tcPr>
          <w:p>
            <w:pPr>
              <w:pStyle w:val="TableParagraph"/>
              <w:ind w:left="161" w:right="1"/>
              <w:rPr>
                <w:sz w:val="14"/>
              </w:rPr>
            </w:pPr>
            <w:r>
              <w:rPr>
                <w:color w:val="231F20"/>
                <w:spacing w:val="-10"/>
                <w:w w:val="95"/>
                <w:sz w:val="14"/>
              </w:rPr>
              <w:t>3</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4" w:right="48"/>
              <w:rPr>
                <w:sz w:val="14"/>
              </w:rPr>
            </w:pPr>
            <w:r>
              <w:rPr>
                <w:color w:val="231F20"/>
                <w:spacing w:val="-5"/>
                <w:w w:val="95"/>
                <w:sz w:val="14"/>
              </w:rPr>
              <w:t>4.2</w:t>
            </w:r>
          </w:p>
        </w:tc>
        <w:tc>
          <w:tcPr>
            <w:tcW w:w="574" w:type="dxa"/>
            <w:shd w:val="clear" w:color="auto" w:fill="D4E3F5"/>
          </w:tcPr>
          <w:p>
            <w:pPr>
              <w:pStyle w:val="TableParagraph"/>
              <w:ind w:left="161"/>
              <w:rPr>
                <w:sz w:val="14"/>
              </w:rPr>
            </w:pPr>
            <w:r>
              <w:rPr>
                <w:color w:val="231F20"/>
                <w:spacing w:val="-10"/>
                <w:w w:val="95"/>
                <w:sz w:val="14"/>
              </w:rPr>
              <w:t>4</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8" w:right="45"/>
              <w:rPr>
                <w:sz w:val="14"/>
              </w:rPr>
            </w:pPr>
            <w:r>
              <w:rPr>
                <w:color w:val="231F20"/>
                <w:spacing w:val="-5"/>
                <w:w w:val="95"/>
                <w:sz w:val="14"/>
              </w:rPr>
              <w:t>4.0</w:t>
            </w:r>
          </w:p>
        </w:tc>
        <w:tc>
          <w:tcPr>
            <w:tcW w:w="655" w:type="dxa"/>
            <w:shd w:val="clear" w:color="auto" w:fill="D4E3F5"/>
          </w:tcPr>
          <w:p>
            <w:pPr>
              <w:pStyle w:val="TableParagraph"/>
              <w:ind w:left="72" w:right="68"/>
              <w:rPr>
                <w:sz w:val="14"/>
              </w:rPr>
            </w:pPr>
            <w:r>
              <w:rPr>
                <w:color w:val="231F20"/>
                <w:spacing w:val="-5"/>
                <w:w w:val="95"/>
                <w:sz w:val="14"/>
              </w:rPr>
              <w:t>16</w:t>
            </w:r>
          </w:p>
        </w:tc>
      </w:tr>
      <w:tr>
        <w:trPr>
          <w:trHeight w:val="259" w:hRule="atLeast"/>
        </w:trPr>
        <w:tc>
          <w:tcPr>
            <w:tcW w:w="990" w:type="dxa"/>
          </w:tcPr>
          <w:p>
            <w:pPr>
              <w:pStyle w:val="TableParagraph"/>
              <w:ind w:left="80"/>
              <w:jc w:val="left"/>
              <w:rPr>
                <w:sz w:val="14"/>
              </w:rPr>
            </w:pPr>
            <w:r>
              <w:rPr>
                <w:color w:val="231F20"/>
                <w:spacing w:val="-2"/>
                <w:w w:val="85"/>
                <w:sz w:val="14"/>
              </w:rPr>
              <w:t>Canada</w:t>
            </w:r>
          </w:p>
        </w:tc>
        <w:tc>
          <w:tcPr>
            <w:tcW w:w="622" w:type="dxa"/>
          </w:tcPr>
          <w:p>
            <w:pPr>
              <w:pStyle w:val="TableParagraph"/>
              <w:ind w:left="131" w:right="101"/>
              <w:rPr>
                <w:sz w:val="14"/>
              </w:rPr>
            </w:pPr>
            <w:r>
              <w:rPr>
                <w:color w:val="231F20"/>
                <w:spacing w:val="-10"/>
                <w:w w:val="95"/>
                <w:sz w:val="14"/>
              </w:rPr>
              <w:t>7</w:t>
            </w:r>
          </w:p>
        </w:tc>
        <w:tc>
          <w:tcPr>
            <w:tcW w:w="644" w:type="dxa"/>
          </w:tcPr>
          <w:p>
            <w:pPr>
              <w:pStyle w:val="TableParagraph"/>
              <w:ind w:left="166"/>
              <w:jc w:val="left"/>
              <w:rPr>
                <w:sz w:val="14"/>
              </w:rPr>
            </w:pPr>
            <w:r>
              <w:rPr>
                <w:color w:val="231F20"/>
                <w:spacing w:val="-5"/>
                <w:w w:val="95"/>
                <w:sz w:val="14"/>
              </w:rPr>
              <w:t>4.0</w:t>
            </w:r>
          </w:p>
        </w:tc>
        <w:tc>
          <w:tcPr>
            <w:tcW w:w="480" w:type="dxa"/>
          </w:tcPr>
          <w:p>
            <w:pPr>
              <w:pStyle w:val="TableParagraph"/>
              <w:ind w:left="102"/>
              <w:jc w:val="left"/>
              <w:rPr>
                <w:sz w:val="14"/>
              </w:rPr>
            </w:pPr>
            <w:r>
              <w:rPr>
                <w:color w:val="231F20"/>
                <w:spacing w:val="-5"/>
                <w:w w:val="95"/>
                <w:sz w:val="14"/>
              </w:rPr>
              <w:t>3.9</w:t>
            </w:r>
          </w:p>
        </w:tc>
        <w:tc>
          <w:tcPr>
            <w:tcW w:w="582" w:type="dxa"/>
          </w:tcPr>
          <w:p>
            <w:pPr>
              <w:pStyle w:val="TableParagraph"/>
              <w:ind w:left="1" w:right="7"/>
              <w:rPr>
                <w:sz w:val="14"/>
              </w:rPr>
            </w:pPr>
            <w:r>
              <w:rPr>
                <w:color w:val="231F20"/>
                <w:spacing w:val="-5"/>
                <w:w w:val="95"/>
                <w:sz w:val="14"/>
              </w:rPr>
              <w:t>4.1</w:t>
            </w:r>
          </w:p>
        </w:tc>
        <w:tc>
          <w:tcPr>
            <w:tcW w:w="80" w:type="dxa"/>
          </w:tcPr>
          <w:p>
            <w:pPr>
              <w:pStyle w:val="TableParagraph"/>
              <w:spacing w:before="0"/>
              <w:jc w:val="left"/>
              <w:rPr>
                <w:rFonts w:ascii="Times New Roman"/>
                <w:sz w:val="14"/>
              </w:rPr>
            </w:pPr>
          </w:p>
        </w:tc>
        <w:tc>
          <w:tcPr>
            <w:tcW w:w="463" w:type="dxa"/>
          </w:tcPr>
          <w:p>
            <w:pPr>
              <w:pStyle w:val="TableParagraph"/>
              <w:ind w:left="8" w:right="48"/>
              <w:rPr>
                <w:sz w:val="14"/>
              </w:rPr>
            </w:pPr>
            <w:r>
              <w:rPr>
                <w:color w:val="231F20"/>
                <w:spacing w:val="-5"/>
                <w:w w:val="95"/>
                <w:sz w:val="14"/>
              </w:rPr>
              <w:t>4.0</w:t>
            </w:r>
          </w:p>
        </w:tc>
        <w:tc>
          <w:tcPr>
            <w:tcW w:w="574" w:type="dxa"/>
          </w:tcPr>
          <w:p>
            <w:pPr>
              <w:pStyle w:val="TableParagraph"/>
              <w:ind w:left="161" w:right="6"/>
              <w:rPr>
                <w:sz w:val="14"/>
              </w:rPr>
            </w:pPr>
            <w:r>
              <w:rPr>
                <w:color w:val="231F20"/>
                <w:spacing w:val="-10"/>
                <w:w w:val="95"/>
                <w:sz w:val="14"/>
              </w:rPr>
              <w:t>4</w:t>
            </w:r>
          </w:p>
        </w:tc>
        <w:tc>
          <w:tcPr>
            <w:tcW w:w="126" w:type="dxa"/>
          </w:tcPr>
          <w:p>
            <w:pPr>
              <w:pStyle w:val="TableParagraph"/>
              <w:spacing w:before="0"/>
              <w:jc w:val="left"/>
              <w:rPr>
                <w:rFonts w:ascii="Times New Roman"/>
                <w:sz w:val="14"/>
              </w:rPr>
            </w:pPr>
          </w:p>
        </w:tc>
        <w:tc>
          <w:tcPr>
            <w:tcW w:w="463" w:type="dxa"/>
          </w:tcPr>
          <w:p>
            <w:pPr>
              <w:pStyle w:val="TableParagraph"/>
              <w:ind w:left="10" w:right="48"/>
              <w:rPr>
                <w:sz w:val="14"/>
              </w:rPr>
            </w:pPr>
            <w:r>
              <w:rPr>
                <w:color w:val="231F20"/>
                <w:spacing w:val="-5"/>
                <w:w w:val="95"/>
                <w:sz w:val="14"/>
              </w:rPr>
              <w:t>4.3</w:t>
            </w:r>
          </w:p>
        </w:tc>
        <w:tc>
          <w:tcPr>
            <w:tcW w:w="574" w:type="dxa"/>
          </w:tcPr>
          <w:p>
            <w:pPr>
              <w:pStyle w:val="TableParagraph"/>
              <w:ind w:left="161" w:right="4"/>
              <w:rPr>
                <w:sz w:val="14"/>
              </w:rPr>
            </w:pPr>
            <w:r>
              <w:rPr>
                <w:color w:val="231F20"/>
                <w:spacing w:val="-10"/>
                <w:w w:val="95"/>
                <w:sz w:val="14"/>
              </w:rPr>
              <w:t>3</w:t>
            </w:r>
          </w:p>
        </w:tc>
        <w:tc>
          <w:tcPr>
            <w:tcW w:w="126" w:type="dxa"/>
          </w:tcPr>
          <w:p>
            <w:pPr>
              <w:pStyle w:val="TableParagraph"/>
              <w:spacing w:before="0"/>
              <w:jc w:val="left"/>
              <w:rPr>
                <w:rFonts w:ascii="Times New Roman"/>
                <w:sz w:val="14"/>
              </w:rPr>
            </w:pPr>
          </w:p>
        </w:tc>
        <w:tc>
          <w:tcPr>
            <w:tcW w:w="463" w:type="dxa"/>
          </w:tcPr>
          <w:p>
            <w:pPr>
              <w:pStyle w:val="TableParagraph"/>
              <w:ind w:left="13" w:right="48"/>
              <w:rPr>
                <w:sz w:val="14"/>
              </w:rPr>
            </w:pPr>
            <w:r>
              <w:rPr>
                <w:color w:val="231F20"/>
                <w:spacing w:val="-5"/>
                <w:w w:val="95"/>
                <w:sz w:val="14"/>
              </w:rPr>
              <w:t>3.6</w:t>
            </w:r>
          </w:p>
        </w:tc>
        <w:tc>
          <w:tcPr>
            <w:tcW w:w="574" w:type="dxa"/>
          </w:tcPr>
          <w:p>
            <w:pPr>
              <w:pStyle w:val="TableParagraph"/>
              <w:ind w:left="161" w:right="70"/>
              <w:rPr>
                <w:sz w:val="14"/>
              </w:rPr>
            </w:pPr>
            <w:r>
              <w:rPr>
                <w:color w:val="231F20"/>
                <w:spacing w:val="-5"/>
                <w:w w:val="95"/>
                <w:sz w:val="14"/>
              </w:rPr>
              <w:t>14</w:t>
            </w:r>
          </w:p>
        </w:tc>
        <w:tc>
          <w:tcPr>
            <w:tcW w:w="126" w:type="dxa"/>
          </w:tcPr>
          <w:p>
            <w:pPr>
              <w:pStyle w:val="TableParagraph"/>
              <w:spacing w:before="0"/>
              <w:jc w:val="left"/>
              <w:rPr>
                <w:rFonts w:ascii="Times New Roman"/>
                <w:sz w:val="14"/>
              </w:rPr>
            </w:pPr>
          </w:p>
        </w:tc>
        <w:tc>
          <w:tcPr>
            <w:tcW w:w="463" w:type="dxa"/>
          </w:tcPr>
          <w:p>
            <w:pPr>
              <w:pStyle w:val="TableParagraph"/>
              <w:ind w:left="13" w:right="48"/>
              <w:rPr>
                <w:sz w:val="14"/>
              </w:rPr>
            </w:pPr>
            <w:r>
              <w:rPr>
                <w:color w:val="231F20"/>
                <w:spacing w:val="-5"/>
                <w:w w:val="95"/>
                <w:sz w:val="14"/>
              </w:rPr>
              <w:t>4.2</w:t>
            </w:r>
          </w:p>
        </w:tc>
        <w:tc>
          <w:tcPr>
            <w:tcW w:w="574" w:type="dxa"/>
          </w:tcPr>
          <w:p>
            <w:pPr>
              <w:pStyle w:val="TableParagraph"/>
              <w:ind w:left="161" w:right="1"/>
              <w:rPr>
                <w:sz w:val="14"/>
              </w:rPr>
            </w:pPr>
            <w:r>
              <w:rPr>
                <w:color w:val="231F20"/>
                <w:spacing w:val="-10"/>
                <w:w w:val="95"/>
                <w:sz w:val="14"/>
              </w:rPr>
              <w:t>3</w:t>
            </w:r>
          </w:p>
        </w:tc>
        <w:tc>
          <w:tcPr>
            <w:tcW w:w="126" w:type="dxa"/>
          </w:tcPr>
          <w:p>
            <w:pPr>
              <w:pStyle w:val="TableParagraph"/>
              <w:spacing w:before="0"/>
              <w:jc w:val="left"/>
              <w:rPr>
                <w:rFonts w:ascii="Times New Roman"/>
                <w:sz w:val="14"/>
              </w:rPr>
            </w:pPr>
          </w:p>
        </w:tc>
        <w:tc>
          <w:tcPr>
            <w:tcW w:w="463" w:type="dxa"/>
          </w:tcPr>
          <w:p>
            <w:pPr>
              <w:pStyle w:val="TableParagraph"/>
              <w:ind w:left="6" w:right="48"/>
              <w:rPr>
                <w:sz w:val="14"/>
              </w:rPr>
            </w:pPr>
            <w:r>
              <w:rPr>
                <w:color w:val="231F20"/>
                <w:spacing w:val="-5"/>
                <w:w w:val="95"/>
                <w:sz w:val="14"/>
              </w:rPr>
              <w:t>4.1</w:t>
            </w:r>
          </w:p>
        </w:tc>
        <w:tc>
          <w:tcPr>
            <w:tcW w:w="574" w:type="dxa"/>
          </w:tcPr>
          <w:p>
            <w:pPr>
              <w:pStyle w:val="TableParagraph"/>
              <w:ind w:left="161" w:right="64"/>
              <w:rPr>
                <w:sz w:val="14"/>
              </w:rPr>
            </w:pPr>
            <w:r>
              <w:rPr>
                <w:color w:val="231F20"/>
                <w:spacing w:val="-5"/>
                <w:w w:val="95"/>
                <w:sz w:val="14"/>
              </w:rPr>
              <w:t>10</w:t>
            </w:r>
          </w:p>
        </w:tc>
        <w:tc>
          <w:tcPr>
            <w:tcW w:w="126" w:type="dxa"/>
          </w:tcPr>
          <w:p>
            <w:pPr>
              <w:pStyle w:val="TableParagraph"/>
              <w:spacing w:before="0"/>
              <w:jc w:val="left"/>
              <w:rPr>
                <w:rFonts w:ascii="Times New Roman"/>
                <w:sz w:val="14"/>
              </w:rPr>
            </w:pPr>
          </w:p>
        </w:tc>
        <w:tc>
          <w:tcPr>
            <w:tcW w:w="468" w:type="dxa"/>
          </w:tcPr>
          <w:p>
            <w:pPr>
              <w:pStyle w:val="TableParagraph"/>
              <w:ind w:right="45"/>
              <w:rPr>
                <w:sz w:val="14"/>
              </w:rPr>
            </w:pPr>
            <w:r>
              <w:rPr>
                <w:color w:val="231F20"/>
                <w:spacing w:val="-5"/>
                <w:w w:val="95"/>
                <w:sz w:val="14"/>
              </w:rPr>
              <w:t>4.1</w:t>
            </w:r>
          </w:p>
        </w:tc>
        <w:tc>
          <w:tcPr>
            <w:tcW w:w="655" w:type="dxa"/>
          </w:tcPr>
          <w:p>
            <w:pPr>
              <w:pStyle w:val="TableParagraph"/>
              <w:ind w:left="72" w:right="68"/>
              <w:rPr>
                <w:sz w:val="14"/>
              </w:rPr>
            </w:pPr>
            <w:r>
              <w:rPr>
                <w:color w:val="231F20"/>
                <w:spacing w:val="-5"/>
                <w:w w:val="95"/>
                <w:sz w:val="14"/>
              </w:rPr>
              <w:t>11</w:t>
            </w:r>
          </w:p>
        </w:tc>
      </w:tr>
      <w:tr>
        <w:trPr>
          <w:trHeight w:val="419" w:hRule="atLeast"/>
        </w:trPr>
        <w:tc>
          <w:tcPr>
            <w:tcW w:w="990" w:type="dxa"/>
            <w:shd w:val="clear" w:color="auto" w:fill="D4E3F5"/>
          </w:tcPr>
          <w:p>
            <w:pPr>
              <w:pStyle w:val="TableParagraph"/>
              <w:ind w:left="80" w:right="322"/>
              <w:jc w:val="left"/>
              <w:rPr>
                <w:sz w:val="14"/>
              </w:rPr>
            </w:pPr>
            <w:r>
              <w:rPr>
                <w:color w:val="231F20"/>
                <w:w w:val="80"/>
                <w:sz w:val="14"/>
              </w:rPr>
              <w:t>Hong</w:t>
            </w:r>
            <w:r>
              <w:rPr>
                <w:color w:val="231F20"/>
                <w:spacing w:val="-2"/>
                <w:w w:val="80"/>
                <w:sz w:val="14"/>
              </w:rPr>
              <w:t> </w:t>
            </w:r>
            <w:r>
              <w:rPr>
                <w:color w:val="231F20"/>
                <w:w w:val="80"/>
                <w:sz w:val="14"/>
              </w:rPr>
              <w:t>Kong</w:t>
            </w:r>
            <w:r>
              <w:rPr>
                <w:color w:val="231F20"/>
                <w:spacing w:val="40"/>
                <w:sz w:val="14"/>
              </w:rPr>
              <w:t> </w:t>
            </w:r>
            <w:r>
              <w:rPr>
                <w:color w:val="231F20"/>
                <w:w w:val="70"/>
                <w:sz w:val="14"/>
              </w:rPr>
              <w:t>SAR,</w:t>
            </w:r>
            <w:r>
              <w:rPr>
                <w:color w:val="231F20"/>
                <w:spacing w:val="17"/>
                <w:sz w:val="14"/>
              </w:rPr>
              <w:t> </w:t>
            </w:r>
            <w:r>
              <w:rPr>
                <w:color w:val="231F20"/>
                <w:spacing w:val="-2"/>
                <w:w w:val="80"/>
                <w:sz w:val="14"/>
              </w:rPr>
              <w:t>China</w:t>
            </w:r>
          </w:p>
        </w:tc>
        <w:tc>
          <w:tcPr>
            <w:tcW w:w="622" w:type="dxa"/>
            <w:shd w:val="clear" w:color="auto" w:fill="D4E3F5"/>
          </w:tcPr>
          <w:p>
            <w:pPr>
              <w:pStyle w:val="TableParagraph"/>
              <w:spacing w:before="47"/>
              <w:jc w:val="left"/>
              <w:rPr>
                <w:b/>
                <w:sz w:val="14"/>
              </w:rPr>
            </w:pPr>
          </w:p>
          <w:p>
            <w:pPr>
              <w:pStyle w:val="TableParagraph"/>
              <w:spacing w:before="0"/>
              <w:ind w:left="131" w:right="101"/>
              <w:rPr>
                <w:sz w:val="14"/>
              </w:rPr>
            </w:pPr>
            <w:r>
              <w:rPr>
                <w:color w:val="231F20"/>
                <w:spacing w:val="-10"/>
                <w:w w:val="95"/>
                <w:sz w:val="14"/>
              </w:rPr>
              <w:t>7</w:t>
            </w:r>
          </w:p>
        </w:tc>
        <w:tc>
          <w:tcPr>
            <w:tcW w:w="644" w:type="dxa"/>
            <w:shd w:val="clear" w:color="auto" w:fill="D4E3F5"/>
          </w:tcPr>
          <w:p>
            <w:pPr>
              <w:pStyle w:val="TableParagraph"/>
              <w:spacing w:before="47"/>
              <w:jc w:val="left"/>
              <w:rPr>
                <w:b/>
                <w:sz w:val="14"/>
              </w:rPr>
            </w:pPr>
          </w:p>
          <w:p>
            <w:pPr>
              <w:pStyle w:val="TableParagraph"/>
              <w:spacing w:before="0"/>
              <w:ind w:left="166"/>
              <w:jc w:val="left"/>
              <w:rPr>
                <w:sz w:val="14"/>
              </w:rPr>
            </w:pPr>
            <w:r>
              <w:rPr>
                <w:color w:val="231F20"/>
                <w:spacing w:val="-5"/>
                <w:w w:val="95"/>
                <w:sz w:val="14"/>
              </w:rPr>
              <w:t>4.0</w:t>
            </w:r>
          </w:p>
        </w:tc>
        <w:tc>
          <w:tcPr>
            <w:tcW w:w="480" w:type="dxa"/>
            <w:shd w:val="clear" w:color="auto" w:fill="D4E3F5"/>
          </w:tcPr>
          <w:p>
            <w:pPr>
              <w:pStyle w:val="TableParagraph"/>
              <w:spacing w:before="47"/>
              <w:jc w:val="left"/>
              <w:rPr>
                <w:b/>
                <w:sz w:val="14"/>
              </w:rPr>
            </w:pPr>
          </w:p>
          <w:p>
            <w:pPr>
              <w:pStyle w:val="TableParagraph"/>
              <w:spacing w:before="0"/>
              <w:ind w:left="102"/>
              <w:jc w:val="left"/>
              <w:rPr>
                <w:sz w:val="14"/>
              </w:rPr>
            </w:pPr>
            <w:r>
              <w:rPr>
                <w:color w:val="231F20"/>
                <w:spacing w:val="-5"/>
                <w:w w:val="95"/>
                <w:sz w:val="14"/>
              </w:rPr>
              <w:t>3.9</w:t>
            </w:r>
          </w:p>
        </w:tc>
        <w:tc>
          <w:tcPr>
            <w:tcW w:w="582" w:type="dxa"/>
            <w:shd w:val="clear" w:color="auto" w:fill="D4E3F5"/>
          </w:tcPr>
          <w:p>
            <w:pPr>
              <w:pStyle w:val="TableParagraph"/>
              <w:spacing w:before="47"/>
              <w:jc w:val="left"/>
              <w:rPr>
                <w:b/>
                <w:sz w:val="14"/>
              </w:rPr>
            </w:pPr>
          </w:p>
          <w:p>
            <w:pPr>
              <w:pStyle w:val="TableParagraph"/>
              <w:spacing w:before="0"/>
              <w:ind w:left="1" w:right="7"/>
              <w:rPr>
                <w:sz w:val="14"/>
              </w:rPr>
            </w:pPr>
            <w:r>
              <w:rPr>
                <w:color w:val="231F20"/>
                <w:spacing w:val="-5"/>
                <w:w w:val="95"/>
                <w:sz w:val="14"/>
              </w:rPr>
              <w:t>4.1</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spacing w:before="47"/>
              <w:jc w:val="left"/>
              <w:rPr>
                <w:b/>
                <w:sz w:val="14"/>
              </w:rPr>
            </w:pPr>
          </w:p>
          <w:p>
            <w:pPr>
              <w:pStyle w:val="TableParagraph"/>
              <w:spacing w:before="0"/>
              <w:ind w:left="11" w:right="48"/>
              <w:rPr>
                <w:sz w:val="14"/>
              </w:rPr>
            </w:pPr>
            <w:r>
              <w:rPr>
                <w:color w:val="231F20"/>
                <w:spacing w:val="-5"/>
                <w:w w:val="95"/>
                <w:sz w:val="14"/>
              </w:rPr>
              <w:t>3.8</w:t>
            </w:r>
          </w:p>
        </w:tc>
        <w:tc>
          <w:tcPr>
            <w:tcW w:w="574" w:type="dxa"/>
            <w:shd w:val="clear" w:color="auto" w:fill="D4E3F5"/>
          </w:tcPr>
          <w:p>
            <w:pPr>
              <w:pStyle w:val="TableParagraph"/>
              <w:spacing w:before="47"/>
              <w:jc w:val="left"/>
              <w:rPr>
                <w:b/>
                <w:sz w:val="14"/>
              </w:rPr>
            </w:pPr>
          </w:p>
          <w:p>
            <w:pPr>
              <w:pStyle w:val="TableParagraph"/>
              <w:spacing w:before="0"/>
              <w:ind w:left="158" w:right="70"/>
              <w:rPr>
                <w:sz w:val="14"/>
              </w:rPr>
            </w:pPr>
            <w:r>
              <w:rPr>
                <w:color w:val="231F20"/>
                <w:spacing w:val="-5"/>
                <w:w w:val="95"/>
                <w:sz w:val="14"/>
              </w:rPr>
              <w:t>12</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spacing w:before="47"/>
              <w:jc w:val="left"/>
              <w:rPr>
                <w:b/>
                <w:sz w:val="14"/>
              </w:rPr>
            </w:pPr>
          </w:p>
          <w:p>
            <w:pPr>
              <w:pStyle w:val="TableParagraph"/>
              <w:spacing w:before="0"/>
              <w:ind w:left="10" w:right="48"/>
              <w:rPr>
                <w:sz w:val="14"/>
              </w:rPr>
            </w:pPr>
            <w:r>
              <w:rPr>
                <w:color w:val="231F20"/>
                <w:spacing w:val="-5"/>
                <w:w w:val="95"/>
                <w:sz w:val="14"/>
              </w:rPr>
              <w:t>4.0</w:t>
            </w:r>
          </w:p>
        </w:tc>
        <w:tc>
          <w:tcPr>
            <w:tcW w:w="574" w:type="dxa"/>
            <w:shd w:val="clear" w:color="auto" w:fill="D4E3F5"/>
          </w:tcPr>
          <w:p>
            <w:pPr>
              <w:pStyle w:val="TableParagraph"/>
              <w:spacing w:before="47"/>
              <w:jc w:val="left"/>
              <w:rPr>
                <w:b/>
                <w:sz w:val="14"/>
              </w:rPr>
            </w:pPr>
          </w:p>
          <w:p>
            <w:pPr>
              <w:pStyle w:val="TableParagraph"/>
              <w:spacing w:before="0"/>
              <w:ind w:left="161" w:right="72"/>
              <w:rPr>
                <w:sz w:val="14"/>
              </w:rPr>
            </w:pPr>
            <w:r>
              <w:rPr>
                <w:color w:val="231F20"/>
                <w:spacing w:val="-5"/>
                <w:w w:val="95"/>
                <w:sz w:val="14"/>
              </w:rPr>
              <w:t>14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spacing w:before="47"/>
              <w:jc w:val="left"/>
              <w:rPr>
                <w:b/>
                <w:sz w:val="14"/>
              </w:rPr>
            </w:pPr>
          </w:p>
          <w:p>
            <w:pPr>
              <w:pStyle w:val="TableParagraph"/>
              <w:spacing w:before="0"/>
              <w:ind w:left="11" w:right="48"/>
              <w:rPr>
                <w:sz w:val="14"/>
              </w:rPr>
            </w:pPr>
            <w:r>
              <w:rPr>
                <w:color w:val="231F20"/>
                <w:spacing w:val="-5"/>
                <w:w w:val="95"/>
                <w:sz w:val="14"/>
              </w:rPr>
              <w:t>4.0</w:t>
            </w:r>
          </w:p>
        </w:tc>
        <w:tc>
          <w:tcPr>
            <w:tcW w:w="574" w:type="dxa"/>
            <w:shd w:val="clear" w:color="auto" w:fill="D4E3F5"/>
          </w:tcPr>
          <w:p>
            <w:pPr>
              <w:pStyle w:val="TableParagraph"/>
              <w:spacing w:before="47"/>
              <w:jc w:val="left"/>
              <w:rPr>
                <w:b/>
                <w:sz w:val="14"/>
              </w:rPr>
            </w:pPr>
          </w:p>
          <w:p>
            <w:pPr>
              <w:pStyle w:val="TableParagraph"/>
              <w:spacing w:before="0"/>
              <w:ind w:left="158"/>
              <w:rPr>
                <w:sz w:val="14"/>
              </w:rPr>
            </w:pPr>
            <w:r>
              <w:rPr>
                <w:color w:val="231F20"/>
                <w:spacing w:val="-10"/>
                <w:w w:val="95"/>
                <w:sz w:val="14"/>
              </w:rPr>
              <w:t>2</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spacing w:before="47"/>
              <w:jc w:val="left"/>
              <w:rPr>
                <w:b/>
                <w:sz w:val="14"/>
              </w:rPr>
            </w:pPr>
          </w:p>
          <w:p>
            <w:pPr>
              <w:pStyle w:val="TableParagraph"/>
              <w:spacing w:before="0"/>
              <w:ind w:left="13" w:right="48"/>
              <w:rPr>
                <w:sz w:val="14"/>
              </w:rPr>
            </w:pPr>
            <w:r>
              <w:rPr>
                <w:color w:val="231F20"/>
                <w:spacing w:val="-5"/>
                <w:w w:val="95"/>
                <w:sz w:val="14"/>
              </w:rPr>
              <w:t>4.0</w:t>
            </w:r>
          </w:p>
        </w:tc>
        <w:tc>
          <w:tcPr>
            <w:tcW w:w="574" w:type="dxa"/>
            <w:shd w:val="clear" w:color="auto" w:fill="D4E3F5"/>
          </w:tcPr>
          <w:p>
            <w:pPr>
              <w:pStyle w:val="TableParagraph"/>
              <w:spacing w:before="47"/>
              <w:jc w:val="left"/>
              <w:rPr>
                <w:b/>
                <w:sz w:val="14"/>
              </w:rPr>
            </w:pPr>
          </w:p>
          <w:p>
            <w:pPr>
              <w:pStyle w:val="TableParagraph"/>
              <w:spacing w:before="0"/>
              <w:ind w:left="161" w:right="69"/>
              <w:rPr>
                <w:sz w:val="14"/>
              </w:rPr>
            </w:pPr>
            <w:r>
              <w:rPr>
                <w:color w:val="231F20"/>
                <w:spacing w:val="-5"/>
                <w:w w:val="95"/>
                <w:sz w:val="14"/>
              </w:rPr>
              <w:t>11</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spacing w:before="47"/>
              <w:jc w:val="left"/>
              <w:rPr>
                <w:b/>
                <w:sz w:val="14"/>
              </w:rPr>
            </w:pPr>
          </w:p>
          <w:p>
            <w:pPr>
              <w:pStyle w:val="TableParagraph"/>
              <w:spacing w:before="0"/>
              <w:ind w:left="6" w:right="48"/>
              <w:rPr>
                <w:sz w:val="14"/>
              </w:rPr>
            </w:pPr>
            <w:r>
              <w:rPr>
                <w:color w:val="231F20"/>
                <w:spacing w:val="-5"/>
                <w:w w:val="95"/>
                <w:sz w:val="14"/>
              </w:rPr>
              <w:t>4.1</w:t>
            </w:r>
          </w:p>
        </w:tc>
        <w:tc>
          <w:tcPr>
            <w:tcW w:w="574" w:type="dxa"/>
            <w:shd w:val="clear" w:color="auto" w:fill="D4E3F5"/>
          </w:tcPr>
          <w:p>
            <w:pPr>
              <w:pStyle w:val="TableParagraph"/>
              <w:spacing w:before="47"/>
              <w:jc w:val="left"/>
              <w:rPr>
                <w:b/>
                <w:sz w:val="14"/>
              </w:rPr>
            </w:pPr>
          </w:p>
          <w:p>
            <w:pPr>
              <w:pStyle w:val="TableParagraph"/>
              <w:spacing w:before="0"/>
              <w:ind w:left="161" w:right="64"/>
              <w:rPr>
                <w:sz w:val="14"/>
              </w:rPr>
            </w:pPr>
            <w:r>
              <w:rPr>
                <w:color w:val="231F20"/>
                <w:spacing w:val="-5"/>
                <w:w w:val="95"/>
                <w:sz w:val="14"/>
              </w:rPr>
              <w:t>10</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spacing w:before="47"/>
              <w:jc w:val="left"/>
              <w:rPr>
                <w:b/>
                <w:sz w:val="14"/>
              </w:rPr>
            </w:pPr>
          </w:p>
          <w:p>
            <w:pPr>
              <w:pStyle w:val="TableParagraph"/>
              <w:spacing w:before="0"/>
              <w:ind w:left="8" w:right="45"/>
              <w:rPr>
                <w:sz w:val="14"/>
              </w:rPr>
            </w:pPr>
            <w:r>
              <w:rPr>
                <w:color w:val="231F20"/>
                <w:spacing w:val="-5"/>
                <w:w w:val="95"/>
                <w:sz w:val="14"/>
              </w:rPr>
              <w:t>4.2</w:t>
            </w:r>
          </w:p>
        </w:tc>
        <w:tc>
          <w:tcPr>
            <w:tcW w:w="655" w:type="dxa"/>
            <w:shd w:val="clear" w:color="auto" w:fill="D4E3F5"/>
          </w:tcPr>
          <w:p>
            <w:pPr>
              <w:pStyle w:val="TableParagraph"/>
              <w:spacing w:before="47"/>
              <w:jc w:val="left"/>
              <w:rPr>
                <w:b/>
                <w:sz w:val="14"/>
              </w:rPr>
            </w:pPr>
          </w:p>
          <w:p>
            <w:pPr>
              <w:pStyle w:val="TableParagraph"/>
              <w:spacing w:before="0"/>
              <w:ind w:left="132" w:right="60"/>
              <w:rPr>
                <w:sz w:val="14"/>
              </w:rPr>
            </w:pPr>
            <w:r>
              <w:rPr>
                <w:color w:val="231F20"/>
                <w:spacing w:val="-10"/>
                <w:w w:val="95"/>
                <w:sz w:val="14"/>
              </w:rPr>
              <w:t>3</w:t>
            </w:r>
          </w:p>
        </w:tc>
      </w:tr>
      <w:tr>
        <w:trPr>
          <w:trHeight w:val="259" w:hRule="atLeast"/>
        </w:trPr>
        <w:tc>
          <w:tcPr>
            <w:tcW w:w="990" w:type="dxa"/>
          </w:tcPr>
          <w:p>
            <w:pPr>
              <w:pStyle w:val="TableParagraph"/>
              <w:ind w:left="80"/>
              <w:jc w:val="left"/>
              <w:rPr>
                <w:sz w:val="14"/>
              </w:rPr>
            </w:pPr>
            <w:r>
              <w:rPr>
                <w:color w:val="231F20"/>
                <w:spacing w:val="-2"/>
                <w:w w:val="85"/>
                <w:sz w:val="14"/>
              </w:rPr>
              <w:t>Sweden</w:t>
            </w:r>
          </w:p>
        </w:tc>
        <w:tc>
          <w:tcPr>
            <w:tcW w:w="622" w:type="dxa"/>
          </w:tcPr>
          <w:p>
            <w:pPr>
              <w:pStyle w:val="TableParagraph"/>
              <w:ind w:left="131" w:right="101"/>
              <w:rPr>
                <w:sz w:val="14"/>
              </w:rPr>
            </w:pPr>
            <w:r>
              <w:rPr>
                <w:color w:val="231F20"/>
                <w:spacing w:val="-10"/>
                <w:w w:val="95"/>
                <w:sz w:val="14"/>
              </w:rPr>
              <w:t>7</w:t>
            </w:r>
          </w:p>
        </w:tc>
        <w:tc>
          <w:tcPr>
            <w:tcW w:w="644" w:type="dxa"/>
          </w:tcPr>
          <w:p>
            <w:pPr>
              <w:pStyle w:val="TableParagraph"/>
              <w:ind w:left="166"/>
              <w:jc w:val="left"/>
              <w:rPr>
                <w:sz w:val="14"/>
              </w:rPr>
            </w:pPr>
            <w:r>
              <w:rPr>
                <w:color w:val="231F20"/>
                <w:spacing w:val="-5"/>
                <w:w w:val="95"/>
                <w:sz w:val="14"/>
              </w:rPr>
              <w:t>4.0</w:t>
            </w:r>
          </w:p>
        </w:tc>
        <w:tc>
          <w:tcPr>
            <w:tcW w:w="480" w:type="dxa"/>
          </w:tcPr>
          <w:p>
            <w:pPr>
              <w:pStyle w:val="TableParagraph"/>
              <w:ind w:left="102"/>
              <w:jc w:val="left"/>
              <w:rPr>
                <w:sz w:val="14"/>
              </w:rPr>
            </w:pPr>
            <w:r>
              <w:rPr>
                <w:color w:val="231F20"/>
                <w:spacing w:val="-5"/>
                <w:w w:val="95"/>
                <w:sz w:val="14"/>
              </w:rPr>
              <w:t>3.8</w:t>
            </w:r>
          </w:p>
        </w:tc>
        <w:tc>
          <w:tcPr>
            <w:tcW w:w="582" w:type="dxa"/>
          </w:tcPr>
          <w:p>
            <w:pPr>
              <w:pStyle w:val="TableParagraph"/>
              <w:ind w:left="6" w:right="6"/>
              <w:rPr>
                <w:sz w:val="14"/>
              </w:rPr>
            </w:pPr>
            <w:r>
              <w:rPr>
                <w:color w:val="231F20"/>
                <w:spacing w:val="-5"/>
                <w:w w:val="95"/>
                <w:sz w:val="14"/>
              </w:rPr>
              <w:t>4.2</w:t>
            </w:r>
          </w:p>
        </w:tc>
        <w:tc>
          <w:tcPr>
            <w:tcW w:w="80" w:type="dxa"/>
          </w:tcPr>
          <w:p>
            <w:pPr>
              <w:pStyle w:val="TableParagraph"/>
              <w:spacing w:before="0"/>
              <w:jc w:val="left"/>
              <w:rPr>
                <w:rFonts w:ascii="Times New Roman"/>
                <w:sz w:val="14"/>
              </w:rPr>
            </w:pPr>
          </w:p>
        </w:tc>
        <w:tc>
          <w:tcPr>
            <w:tcW w:w="463" w:type="dxa"/>
          </w:tcPr>
          <w:p>
            <w:pPr>
              <w:pStyle w:val="TableParagraph"/>
              <w:ind w:left="8" w:right="48"/>
              <w:rPr>
                <w:sz w:val="14"/>
              </w:rPr>
            </w:pPr>
            <w:r>
              <w:rPr>
                <w:color w:val="231F20"/>
                <w:spacing w:val="-5"/>
                <w:w w:val="95"/>
                <w:sz w:val="14"/>
              </w:rPr>
              <w:t>4.0</w:t>
            </w:r>
          </w:p>
        </w:tc>
        <w:tc>
          <w:tcPr>
            <w:tcW w:w="574" w:type="dxa"/>
          </w:tcPr>
          <w:p>
            <w:pPr>
              <w:pStyle w:val="TableParagraph"/>
              <w:ind w:left="161" w:right="6"/>
              <w:rPr>
                <w:sz w:val="14"/>
              </w:rPr>
            </w:pPr>
            <w:r>
              <w:rPr>
                <w:color w:val="231F20"/>
                <w:spacing w:val="-10"/>
                <w:w w:val="95"/>
                <w:sz w:val="14"/>
              </w:rPr>
              <w:t>4</w:t>
            </w:r>
          </w:p>
        </w:tc>
        <w:tc>
          <w:tcPr>
            <w:tcW w:w="126" w:type="dxa"/>
          </w:tcPr>
          <w:p>
            <w:pPr>
              <w:pStyle w:val="TableParagraph"/>
              <w:spacing w:before="0"/>
              <w:jc w:val="left"/>
              <w:rPr>
                <w:rFonts w:ascii="Times New Roman"/>
                <w:sz w:val="14"/>
              </w:rPr>
            </w:pPr>
          </w:p>
        </w:tc>
        <w:tc>
          <w:tcPr>
            <w:tcW w:w="463" w:type="dxa"/>
          </w:tcPr>
          <w:p>
            <w:pPr>
              <w:pStyle w:val="TableParagraph"/>
              <w:ind w:left="10" w:right="48"/>
              <w:rPr>
                <w:sz w:val="14"/>
              </w:rPr>
            </w:pPr>
            <w:r>
              <w:rPr>
                <w:color w:val="231F20"/>
                <w:spacing w:val="-5"/>
                <w:w w:val="95"/>
                <w:sz w:val="14"/>
              </w:rPr>
              <w:t>4.2</w:t>
            </w:r>
          </w:p>
        </w:tc>
        <w:tc>
          <w:tcPr>
            <w:tcW w:w="574" w:type="dxa"/>
          </w:tcPr>
          <w:p>
            <w:pPr>
              <w:pStyle w:val="TableParagraph"/>
              <w:ind w:left="161" w:right="4"/>
              <w:rPr>
                <w:sz w:val="14"/>
              </w:rPr>
            </w:pPr>
            <w:r>
              <w:rPr>
                <w:color w:val="231F20"/>
                <w:spacing w:val="-10"/>
                <w:w w:val="95"/>
                <w:sz w:val="14"/>
              </w:rPr>
              <w:t>5</w:t>
            </w:r>
          </w:p>
        </w:tc>
        <w:tc>
          <w:tcPr>
            <w:tcW w:w="126"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3.4</w:t>
            </w:r>
          </w:p>
        </w:tc>
        <w:tc>
          <w:tcPr>
            <w:tcW w:w="574" w:type="dxa"/>
          </w:tcPr>
          <w:p>
            <w:pPr>
              <w:pStyle w:val="TableParagraph"/>
              <w:ind w:left="161" w:right="70"/>
              <w:rPr>
                <w:sz w:val="14"/>
              </w:rPr>
            </w:pPr>
            <w:r>
              <w:rPr>
                <w:color w:val="231F20"/>
                <w:spacing w:val="-5"/>
                <w:w w:val="95"/>
                <w:sz w:val="14"/>
              </w:rPr>
              <w:t>26</w:t>
            </w:r>
          </w:p>
        </w:tc>
        <w:tc>
          <w:tcPr>
            <w:tcW w:w="126" w:type="dxa"/>
          </w:tcPr>
          <w:p>
            <w:pPr>
              <w:pStyle w:val="TableParagraph"/>
              <w:spacing w:before="0"/>
              <w:jc w:val="left"/>
              <w:rPr>
                <w:rFonts w:ascii="Times New Roman"/>
                <w:sz w:val="14"/>
              </w:rPr>
            </w:pPr>
          </w:p>
        </w:tc>
        <w:tc>
          <w:tcPr>
            <w:tcW w:w="463" w:type="dxa"/>
          </w:tcPr>
          <w:p>
            <w:pPr>
              <w:pStyle w:val="TableParagraph"/>
              <w:ind w:left="13" w:right="48"/>
              <w:rPr>
                <w:sz w:val="14"/>
              </w:rPr>
            </w:pPr>
            <w:r>
              <w:rPr>
                <w:color w:val="231F20"/>
                <w:spacing w:val="-5"/>
                <w:w w:val="95"/>
                <w:sz w:val="14"/>
              </w:rPr>
              <w:t>4.2</w:t>
            </w:r>
          </w:p>
        </w:tc>
        <w:tc>
          <w:tcPr>
            <w:tcW w:w="574" w:type="dxa"/>
          </w:tcPr>
          <w:p>
            <w:pPr>
              <w:pStyle w:val="TableParagraph"/>
              <w:ind w:left="161" w:right="1"/>
              <w:rPr>
                <w:sz w:val="14"/>
              </w:rPr>
            </w:pPr>
            <w:r>
              <w:rPr>
                <w:color w:val="231F20"/>
                <w:spacing w:val="-10"/>
                <w:w w:val="95"/>
                <w:sz w:val="14"/>
              </w:rPr>
              <w:t>3</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4.2</w:t>
            </w:r>
          </w:p>
        </w:tc>
        <w:tc>
          <w:tcPr>
            <w:tcW w:w="574" w:type="dxa"/>
          </w:tcPr>
          <w:p>
            <w:pPr>
              <w:pStyle w:val="TableParagraph"/>
              <w:ind w:left="161"/>
              <w:rPr>
                <w:sz w:val="14"/>
              </w:rPr>
            </w:pPr>
            <w:r>
              <w:rPr>
                <w:color w:val="231F20"/>
                <w:spacing w:val="-10"/>
                <w:w w:val="95"/>
                <w:sz w:val="14"/>
              </w:rPr>
              <w:t>4</w:t>
            </w:r>
          </w:p>
        </w:tc>
        <w:tc>
          <w:tcPr>
            <w:tcW w:w="126" w:type="dxa"/>
          </w:tcPr>
          <w:p>
            <w:pPr>
              <w:pStyle w:val="TableParagraph"/>
              <w:spacing w:before="0"/>
              <w:jc w:val="left"/>
              <w:rPr>
                <w:rFonts w:ascii="Times New Roman"/>
                <w:sz w:val="14"/>
              </w:rPr>
            </w:pPr>
          </w:p>
        </w:tc>
        <w:tc>
          <w:tcPr>
            <w:tcW w:w="468" w:type="dxa"/>
          </w:tcPr>
          <w:p>
            <w:pPr>
              <w:pStyle w:val="TableParagraph"/>
              <w:ind w:right="45"/>
              <w:rPr>
                <w:sz w:val="14"/>
              </w:rPr>
            </w:pPr>
            <w:r>
              <w:rPr>
                <w:color w:val="231F20"/>
                <w:spacing w:val="-5"/>
                <w:w w:val="95"/>
                <w:sz w:val="14"/>
              </w:rPr>
              <w:t>4.1</w:t>
            </w:r>
          </w:p>
        </w:tc>
        <w:tc>
          <w:tcPr>
            <w:tcW w:w="655" w:type="dxa"/>
          </w:tcPr>
          <w:p>
            <w:pPr>
              <w:pStyle w:val="TableParagraph"/>
              <w:ind w:left="72" w:right="68"/>
              <w:rPr>
                <w:sz w:val="14"/>
              </w:rPr>
            </w:pPr>
            <w:r>
              <w:rPr>
                <w:color w:val="231F20"/>
                <w:spacing w:val="-5"/>
                <w:w w:val="95"/>
                <w:sz w:val="14"/>
              </w:rPr>
              <w:t>11</w:t>
            </w:r>
          </w:p>
        </w:tc>
      </w:tr>
      <w:tr>
        <w:trPr>
          <w:trHeight w:val="419" w:hRule="atLeast"/>
        </w:trPr>
        <w:tc>
          <w:tcPr>
            <w:tcW w:w="990" w:type="dxa"/>
            <w:shd w:val="clear" w:color="auto" w:fill="D4E3F5"/>
          </w:tcPr>
          <w:p>
            <w:pPr>
              <w:pStyle w:val="TableParagraph"/>
              <w:ind w:left="80" w:right="300"/>
              <w:jc w:val="left"/>
              <w:rPr>
                <w:sz w:val="14"/>
              </w:rPr>
            </w:pPr>
            <w:r>
              <w:rPr>
                <w:color w:val="231F20"/>
                <w:w w:val="80"/>
                <w:sz w:val="14"/>
              </w:rPr>
              <w:t>United</w:t>
            </w:r>
            <w:r>
              <w:rPr>
                <w:color w:val="231F20"/>
                <w:spacing w:val="-2"/>
                <w:w w:val="80"/>
                <w:sz w:val="14"/>
              </w:rPr>
              <w:t> </w:t>
            </w:r>
            <w:r>
              <w:rPr>
                <w:color w:val="231F20"/>
                <w:w w:val="80"/>
                <w:sz w:val="14"/>
              </w:rPr>
              <w:t>Arab</w:t>
            </w:r>
            <w:r>
              <w:rPr>
                <w:color w:val="231F20"/>
                <w:spacing w:val="40"/>
                <w:sz w:val="14"/>
              </w:rPr>
              <w:t> </w:t>
            </w:r>
            <w:r>
              <w:rPr>
                <w:color w:val="231F20"/>
                <w:spacing w:val="-2"/>
                <w:w w:val="90"/>
                <w:sz w:val="14"/>
              </w:rPr>
              <w:t>Emirates</w:t>
            </w:r>
          </w:p>
        </w:tc>
        <w:tc>
          <w:tcPr>
            <w:tcW w:w="622" w:type="dxa"/>
            <w:shd w:val="clear" w:color="auto" w:fill="D4E3F5"/>
          </w:tcPr>
          <w:p>
            <w:pPr>
              <w:pStyle w:val="TableParagraph"/>
              <w:spacing w:before="47"/>
              <w:jc w:val="left"/>
              <w:rPr>
                <w:b/>
                <w:sz w:val="14"/>
              </w:rPr>
            </w:pPr>
          </w:p>
          <w:p>
            <w:pPr>
              <w:pStyle w:val="TableParagraph"/>
              <w:spacing w:before="0"/>
              <w:ind w:left="131" w:right="101"/>
              <w:rPr>
                <w:sz w:val="14"/>
              </w:rPr>
            </w:pPr>
            <w:r>
              <w:rPr>
                <w:color w:val="231F20"/>
                <w:spacing w:val="-10"/>
                <w:w w:val="95"/>
                <w:sz w:val="14"/>
              </w:rPr>
              <w:t>7</w:t>
            </w:r>
          </w:p>
        </w:tc>
        <w:tc>
          <w:tcPr>
            <w:tcW w:w="644" w:type="dxa"/>
            <w:shd w:val="clear" w:color="auto" w:fill="D4E3F5"/>
          </w:tcPr>
          <w:p>
            <w:pPr>
              <w:pStyle w:val="TableParagraph"/>
              <w:spacing w:before="47"/>
              <w:jc w:val="left"/>
              <w:rPr>
                <w:b/>
                <w:sz w:val="14"/>
              </w:rPr>
            </w:pPr>
          </w:p>
          <w:p>
            <w:pPr>
              <w:pStyle w:val="TableParagraph"/>
              <w:spacing w:before="0"/>
              <w:ind w:left="166"/>
              <w:jc w:val="left"/>
              <w:rPr>
                <w:sz w:val="14"/>
              </w:rPr>
            </w:pPr>
            <w:r>
              <w:rPr>
                <w:color w:val="231F20"/>
                <w:spacing w:val="-5"/>
                <w:w w:val="95"/>
                <w:sz w:val="14"/>
              </w:rPr>
              <w:t>4.0</w:t>
            </w:r>
          </w:p>
        </w:tc>
        <w:tc>
          <w:tcPr>
            <w:tcW w:w="480" w:type="dxa"/>
            <w:shd w:val="clear" w:color="auto" w:fill="D4E3F5"/>
          </w:tcPr>
          <w:p>
            <w:pPr>
              <w:pStyle w:val="TableParagraph"/>
              <w:spacing w:before="47"/>
              <w:jc w:val="left"/>
              <w:rPr>
                <w:b/>
                <w:sz w:val="14"/>
              </w:rPr>
            </w:pPr>
          </w:p>
          <w:p>
            <w:pPr>
              <w:pStyle w:val="TableParagraph"/>
              <w:spacing w:before="0"/>
              <w:ind w:left="102"/>
              <w:jc w:val="left"/>
              <w:rPr>
                <w:sz w:val="14"/>
              </w:rPr>
            </w:pPr>
            <w:r>
              <w:rPr>
                <w:color w:val="231F20"/>
                <w:spacing w:val="-5"/>
                <w:w w:val="95"/>
                <w:sz w:val="14"/>
              </w:rPr>
              <w:t>3.9</w:t>
            </w:r>
          </w:p>
        </w:tc>
        <w:tc>
          <w:tcPr>
            <w:tcW w:w="582" w:type="dxa"/>
            <w:shd w:val="clear" w:color="auto" w:fill="D4E3F5"/>
          </w:tcPr>
          <w:p>
            <w:pPr>
              <w:pStyle w:val="TableParagraph"/>
              <w:spacing w:before="47"/>
              <w:jc w:val="left"/>
              <w:rPr>
                <w:b/>
                <w:sz w:val="14"/>
              </w:rPr>
            </w:pPr>
          </w:p>
          <w:p>
            <w:pPr>
              <w:pStyle w:val="TableParagraph"/>
              <w:spacing w:before="0"/>
              <w:ind w:left="1" w:right="7"/>
              <w:rPr>
                <w:sz w:val="14"/>
              </w:rPr>
            </w:pPr>
            <w:r>
              <w:rPr>
                <w:color w:val="231F20"/>
                <w:spacing w:val="-5"/>
                <w:w w:val="95"/>
                <w:sz w:val="14"/>
              </w:rPr>
              <w:t>4.1</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spacing w:before="47"/>
              <w:jc w:val="left"/>
              <w:rPr>
                <w:b/>
                <w:sz w:val="14"/>
              </w:rPr>
            </w:pPr>
          </w:p>
          <w:p>
            <w:pPr>
              <w:pStyle w:val="TableParagraph"/>
              <w:spacing w:before="0"/>
              <w:ind w:left="7" w:right="48"/>
              <w:rPr>
                <w:sz w:val="14"/>
              </w:rPr>
            </w:pPr>
            <w:r>
              <w:rPr>
                <w:color w:val="231F20"/>
                <w:spacing w:val="-5"/>
                <w:w w:val="95"/>
                <w:sz w:val="14"/>
              </w:rPr>
              <w:t>3.7</w:t>
            </w:r>
          </w:p>
        </w:tc>
        <w:tc>
          <w:tcPr>
            <w:tcW w:w="574" w:type="dxa"/>
            <w:shd w:val="clear" w:color="auto" w:fill="D4E3F5"/>
          </w:tcPr>
          <w:p>
            <w:pPr>
              <w:pStyle w:val="TableParagraph"/>
              <w:spacing w:before="47"/>
              <w:jc w:val="left"/>
              <w:rPr>
                <w:b/>
                <w:sz w:val="14"/>
              </w:rPr>
            </w:pPr>
          </w:p>
          <w:p>
            <w:pPr>
              <w:pStyle w:val="TableParagraph"/>
              <w:spacing w:before="0"/>
              <w:ind w:left="158" w:right="70"/>
              <w:rPr>
                <w:sz w:val="14"/>
              </w:rPr>
            </w:pPr>
            <w:r>
              <w:rPr>
                <w:color w:val="231F20"/>
                <w:spacing w:val="-5"/>
                <w:w w:val="95"/>
                <w:sz w:val="14"/>
              </w:rPr>
              <w:t>14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spacing w:before="47"/>
              <w:jc w:val="left"/>
              <w:rPr>
                <w:b/>
                <w:sz w:val="14"/>
              </w:rPr>
            </w:pPr>
          </w:p>
          <w:p>
            <w:pPr>
              <w:pStyle w:val="TableParagraph"/>
              <w:spacing w:before="0"/>
              <w:ind w:left="2" w:right="48"/>
              <w:rPr>
                <w:sz w:val="14"/>
              </w:rPr>
            </w:pPr>
            <w:r>
              <w:rPr>
                <w:color w:val="231F20"/>
                <w:spacing w:val="-5"/>
                <w:w w:val="95"/>
                <w:sz w:val="14"/>
              </w:rPr>
              <w:t>4.1</w:t>
            </w:r>
          </w:p>
        </w:tc>
        <w:tc>
          <w:tcPr>
            <w:tcW w:w="574" w:type="dxa"/>
            <w:shd w:val="clear" w:color="auto" w:fill="D4E3F5"/>
          </w:tcPr>
          <w:p>
            <w:pPr>
              <w:pStyle w:val="TableParagraph"/>
              <w:spacing w:before="47"/>
              <w:jc w:val="left"/>
              <w:rPr>
                <w:b/>
                <w:sz w:val="14"/>
              </w:rPr>
            </w:pPr>
          </w:p>
          <w:p>
            <w:pPr>
              <w:pStyle w:val="TableParagraph"/>
              <w:spacing w:before="0"/>
              <w:ind w:left="161" w:right="4"/>
              <w:rPr>
                <w:sz w:val="14"/>
              </w:rPr>
            </w:pPr>
            <w:r>
              <w:rPr>
                <w:color w:val="231F20"/>
                <w:spacing w:val="-10"/>
                <w:w w:val="95"/>
                <w:sz w:val="14"/>
              </w:rPr>
              <w:t>9</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spacing w:before="47"/>
              <w:jc w:val="left"/>
              <w:rPr>
                <w:b/>
                <w:sz w:val="14"/>
              </w:rPr>
            </w:pPr>
          </w:p>
          <w:p>
            <w:pPr>
              <w:pStyle w:val="TableParagraph"/>
              <w:spacing w:before="0"/>
              <w:ind w:left="14" w:right="48"/>
              <w:rPr>
                <w:sz w:val="14"/>
              </w:rPr>
            </w:pPr>
            <w:r>
              <w:rPr>
                <w:color w:val="231F20"/>
                <w:spacing w:val="-5"/>
                <w:w w:val="95"/>
                <w:sz w:val="14"/>
              </w:rPr>
              <w:t>3.8</w:t>
            </w:r>
          </w:p>
        </w:tc>
        <w:tc>
          <w:tcPr>
            <w:tcW w:w="574" w:type="dxa"/>
            <w:shd w:val="clear" w:color="auto" w:fill="D4E3F5"/>
          </w:tcPr>
          <w:p>
            <w:pPr>
              <w:pStyle w:val="TableParagraph"/>
              <w:spacing w:before="47"/>
              <w:jc w:val="left"/>
              <w:rPr>
                <w:b/>
                <w:sz w:val="14"/>
              </w:rPr>
            </w:pPr>
          </w:p>
          <w:p>
            <w:pPr>
              <w:pStyle w:val="TableParagraph"/>
              <w:spacing w:before="0"/>
              <w:ind w:left="158"/>
              <w:rPr>
                <w:sz w:val="14"/>
              </w:rPr>
            </w:pPr>
            <w:r>
              <w:rPr>
                <w:color w:val="231F20"/>
                <w:spacing w:val="-10"/>
                <w:w w:val="95"/>
                <w:sz w:val="14"/>
              </w:rPr>
              <w:t>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spacing w:before="47"/>
              <w:jc w:val="left"/>
              <w:rPr>
                <w:b/>
                <w:sz w:val="14"/>
              </w:rPr>
            </w:pPr>
          </w:p>
          <w:p>
            <w:pPr>
              <w:pStyle w:val="TableParagraph"/>
              <w:spacing w:before="0"/>
              <w:ind w:left="13" w:right="48"/>
              <w:rPr>
                <w:sz w:val="14"/>
              </w:rPr>
            </w:pPr>
            <w:r>
              <w:rPr>
                <w:color w:val="231F20"/>
                <w:spacing w:val="-5"/>
                <w:w w:val="95"/>
                <w:sz w:val="14"/>
              </w:rPr>
              <w:t>4.0</w:t>
            </w:r>
          </w:p>
        </w:tc>
        <w:tc>
          <w:tcPr>
            <w:tcW w:w="574" w:type="dxa"/>
            <w:shd w:val="clear" w:color="auto" w:fill="D4E3F5"/>
          </w:tcPr>
          <w:p>
            <w:pPr>
              <w:pStyle w:val="TableParagraph"/>
              <w:spacing w:before="47"/>
              <w:jc w:val="left"/>
              <w:rPr>
                <w:b/>
                <w:sz w:val="14"/>
              </w:rPr>
            </w:pPr>
          </w:p>
          <w:p>
            <w:pPr>
              <w:pStyle w:val="TableParagraph"/>
              <w:spacing w:before="0"/>
              <w:ind w:left="161" w:right="69"/>
              <w:rPr>
                <w:sz w:val="14"/>
              </w:rPr>
            </w:pPr>
            <w:r>
              <w:rPr>
                <w:color w:val="231F20"/>
                <w:spacing w:val="-5"/>
                <w:w w:val="95"/>
                <w:sz w:val="14"/>
              </w:rPr>
              <w:t>11</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spacing w:before="47"/>
              <w:jc w:val="left"/>
              <w:rPr>
                <w:b/>
                <w:sz w:val="14"/>
              </w:rPr>
            </w:pPr>
          </w:p>
          <w:p>
            <w:pPr>
              <w:pStyle w:val="TableParagraph"/>
              <w:spacing w:before="0"/>
              <w:ind w:left="14" w:right="48"/>
              <w:rPr>
                <w:sz w:val="14"/>
              </w:rPr>
            </w:pPr>
            <w:r>
              <w:rPr>
                <w:color w:val="231F20"/>
                <w:spacing w:val="-5"/>
                <w:w w:val="95"/>
                <w:sz w:val="14"/>
              </w:rPr>
              <w:t>4.2</w:t>
            </w:r>
          </w:p>
        </w:tc>
        <w:tc>
          <w:tcPr>
            <w:tcW w:w="574" w:type="dxa"/>
            <w:shd w:val="clear" w:color="auto" w:fill="D4E3F5"/>
          </w:tcPr>
          <w:p>
            <w:pPr>
              <w:pStyle w:val="TableParagraph"/>
              <w:spacing w:before="47"/>
              <w:jc w:val="left"/>
              <w:rPr>
                <w:b/>
                <w:sz w:val="14"/>
              </w:rPr>
            </w:pPr>
          </w:p>
          <w:p>
            <w:pPr>
              <w:pStyle w:val="TableParagraph"/>
              <w:spacing w:before="0"/>
              <w:ind w:left="161"/>
              <w:rPr>
                <w:sz w:val="14"/>
              </w:rPr>
            </w:pPr>
            <w:r>
              <w:rPr>
                <w:color w:val="231F20"/>
                <w:spacing w:val="-10"/>
                <w:w w:val="95"/>
                <w:sz w:val="14"/>
              </w:rPr>
              <w:t>4</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spacing w:before="47"/>
              <w:jc w:val="left"/>
              <w:rPr>
                <w:b/>
                <w:sz w:val="14"/>
              </w:rPr>
            </w:pPr>
          </w:p>
          <w:p>
            <w:pPr>
              <w:pStyle w:val="TableParagraph"/>
              <w:spacing w:before="0"/>
              <w:ind w:right="45"/>
              <w:rPr>
                <w:sz w:val="14"/>
              </w:rPr>
            </w:pPr>
            <w:r>
              <w:rPr>
                <w:color w:val="231F20"/>
                <w:spacing w:val="-5"/>
                <w:w w:val="95"/>
                <w:sz w:val="14"/>
              </w:rPr>
              <w:t>4.1</w:t>
            </w:r>
          </w:p>
        </w:tc>
        <w:tc>
          <w:tcPr>
            <w:tcW w:w="655" w:type="dxa"/>
            <w:shd w:val="clear" w:color="auto" w:fill="D4E3F5"/>
          </w:tcPr>
          <w:p>
            <w:pPr>
              <w:pStyle w:val="TableParagraph"/>
              <w:spacing w:before="47"/>
              <w:jc w:val="left"/>
              <w:rPr>
                <w:b/>
                <w:sz w:val="14"/>
              </w:rPr>
            </w:pPr>
          </w:p>
          <w:p>
            <w:pPr>
              <w:pStyle w:val="TableParagraph"/>
              <w:spacing w:before="0"/>
              <w:ind w:left="72" w:right="68"/>
              <w:rPr>
                <w:sz w:val="14"/>
              </w:rPr>
            </w:pPr>
            <w:r>
              <w:rPr>
                <w:color w:val="231F20"/>
                <w:spacing w:val="-5"/>
                <w:w w:val="95"/>
                <w:sz w:val="14"/>
              </w:rPr>
              <w:t>11</w:t>
            </w:r>
          </w:p>
        </w:tc>
      </w:tr>
      <w:tr>
        <w:trPr>
          <w:trHeight w:val="259" w:hRule="atLeast"/>
        </w:trPr>
        <w:tc>
          <w:tcPr>
            <w:tcW w:w="990" w:type="dxa"/>
          </w:tcPr>
          <w:p>
            <w:pPr>
              <w:pStyle w:val="TableParagraph"/>
              <w:ind w:left="80"/>
              <w:jc w:val="left"/>
              <w:rPr>
                <w:sz w:val="14"/>
              </w:rPr>
            </w:pPr>
            <w:r>
              <w:rPr>
                <w:color w:val="231F20"/>
                <w:spacing w:val="-2"/>
                <w:w w:val="85"/>
                <w:sz w:val="14"/>
              </w:rPr>
              <w:t>France</w:t>
            </w:r>
          </w:p>
        </w:tc>
        <w:tc>
          <w:tcPr>
            <w:tcW w:w="622" w:type="dxa"/>
          </w:tcPr>
          <w:p>
            <w:pPr>
              <w:pStyle w:val="TableParagraph"/>
              <w:ind w:left="67" w:right="101"/>
              <w:rPr>
                <w:sz w:val="14"/>
              </w:rPr>
            </w:pPr>
            <w:r>
              <w:rPr>
                <w:color w:val="231F20"/>
                <w:spacing w:val="-5"/>
                <w:w w:val="95"/>
                <w:sz w:val="14"/>
              </w:rPr>
              <w:t>13</w:t>
            </w:r>
          </w:p>
        </w:tc>
        <w:tc>
          <w:tcPr>
            <w:tcW w:w="644" w:type="dxa"/>
          </w:tcPr>
          <w:p>
            <w:pPr>
              <w:pStyle w:val="TableParagraph"/>
              <w:ind w:left="164"/>
              <w:jc w:val="left"/>
              <w:rPr>
                <w:sz w:val="14"/>
              </w:rPr>
            </w:pPr>
            <w:r>
              <w:rPr>
                <w:color w:val="231F20"/>
                <w:spacing w:val="-5"/>
                <w:w w:val="95"/>
                <w:sz w:val="14"/>
              </w:rPr>
              <w:t>3.9</w:t>
            </w:r>
          </w:p>
        </w:tc>
        <w:tc>
          <w:tcPr>
            <w:tcW w:w="480" w:type="dxa"/>
          </w:tcPr>
          <w:p>
            <w:pPr>
              <w:pStyle w:val="TableParagraph"/>
              <w:ind w:left="102"/>
              <w:jc w:val="left"/>
              <w:rPr>
                <w:sz w:val="14"/>
              </w:rPr>
            </w:pPr>
            <w:r>
              <w:rPr>
                <w:color w:val="231F20"/>
                <w:spacing w:val="-5"/>
                <w:w w:val="95"/>
                <w:sz w:val="14"/>
              </w:rPr>
              <w:t>3.8</w:t>
            </w:r>
          </w:p>
        </w:tc>
        <w:tc>
          <w:tcPr>
            <w:tcW w:w="582" w:type="dxa"/>
          </w:tcPr>
          <w:p>
            <w:pPr>
              <w:pStyle w:val="TableParagraph"/>
              <w:ind w:left="6" w:right="6"/>
              <w:rPr>
                <w:sz w:val="14"/>
              </w:rPr>
            </w:pPr>
            <w:r>
              <w:rPr>
                <w:color w:val="231F20"/>
                <w:spacing w:val="-5"/>
                <w:w w:val="95"/>
                <w:sz w:val="14"/>
              </w:rPr>
              <w:t>4.0</w:t>
            </w:r>
          </w:p>
        </w:tc>
        <w:tc>
          <w:tcPr>
            <w:tcW w:w="80" w:type="dxa"/>
          </w:tcPr>
          <w:p>
            <w:pPr>
              <w:pStyle w:val="TableParagraph"/>
              <w:spacing w:before="0"/>
              <w:jc w:val="left"/>
              <w:rPr>
                <w:rFonts w:ascii="Times New Roman"/>
                <w:sz w:val="14"/>
              </w:rPr>
            </w:pPr>
          </w:p>
        </w:tc>
        <w:tc>
          <w:tcPr>
            <w:tcW w:w="463" w:type="dxa"/>
          </w:tcPr>
          <w:p>
            <w:pPr>
              <w:pStyle w:val="TableParagraph"/>
              <w:ind w:left="7" w:right="48"/>
              <w:rPr>
                <w:sz w:val="14"/>
              </w:rPr>
            </w:pPr>
            <w:r>
              <w:rPr>
                <w:color w:val="231F20"/>
                <w:spacing w:val="-5"/>
                <w:w w:val="95"/>
                <w:sz w:val="14"/>
              </w:rPr>
              <w:t>3.7</w:t>
            </w:r>
          </w:p>
        </w:tc>
        <w:tc>
          <w:tcPr>
            <w:tcW w:w="574" w:type="dxa"/>
          </w:tcPr>
          <w:p>
            <w:pPr>
              <w:pStyle w:val="TableParagraph"/>
              <w:ind w:left="158" w:right="70"/>
              <w:rPr>
                <w:sz w:val="14"/>
              </w:rPr>
            </w:pPr>
            <w:r>
              <w:rPr>
                <w:color w:val="231F20"/>
                <w:spacing w:val="-5"/>
                <w:w w:val="95"/>
                <w:sz w:val="14"/>
              </w:rPr>
              <w:t>14</w:t>
            </w:r>
          </w:p>
        </w:tc>
        <w:tc>
          <w:tcPr>
            <w:tcW w:w="126" w:type="dxa"/>
          </w:tcPr>
          <w:p>
            <w:pPr>
              <w:pStyle w:val="TableParagraph"/>
              <w:spacing w:before="0"/>
              <w:jc w:val="left"/>
              <w:rPr>
                <w:rFonts w:ascii="Times New Roman"/>
                <w:sz w:val="14"/>
              </w:rPr>
            </w:pPr>
          </w:p>
        </w:tc>
        <w:tc>
          <w:tcPr>
            <w:tcW w:w="463" w:type="dxa"/>
          </w:tcPr>
          <w:p>
            <w:pPr>
              <w:pStyle w:val="TableParagraph"/>
              <w:ind w:left="12" w:right="48"/>
              <w:rPr>
                <w:sz w:val="14"/>
              </w:rPr>
            </w:pPr>
            <w:r>
              <w:rPr>
                <w:color w:val="231F20"/>
                <w:spacing w:val="-5"/>
                <w:w w:val="95"/>
                <w:sz w:val="14"/>
              </w:rPr>
              <w:t>3.8</w:t>
            </w:r>
          </w:p>
        </w:tc>
        <w:tc>
          <w:tcPr>
            <w:tcW w:w="574" w:type="dxa"/>
          </w:tcPr>
          <w:p>
            <w:pPr>
              <w:pStyle w:val="TableParagraph"/>
              <w:ind w:left="161" w:right="72"/>
              <w:rPr>
                <w:sz w:val="14"/>
              </w:rPr>
            </w:pPr>
            <w:r>
              <w:rPr>
                <w:color w:val="231F20"/>
                <w:spacing w:val="-5"/>
                <w:w w:val="95"/>
                <w:sz w:val="14"/>
              </w:rPr>
              <w:t>19</w:t>
            </w:r>
          </w:p>
        </w:tc>
        <w:tc>
          <w:tcPr>
            <w:tcW w:w="126" w:type="dxa"/>
          </w:tcPr>
          <w:p>
            <w:pPr>
              <w:pStyle w:val="TableParagraph"/>
              <w:spacing w:before="0"/>
              <w:jc w:val="left"/>
              <w:rPr>
                <w:rFonts w:ascii="Times New Roman"/>
                <w:sz w:val="14"/>
              </w:rPr>
            </w:pPr>
          </w:p>
        </w:tc>
        <w:tc>
          <w:tcPr>
            <w:tcW w:w="463" w:type="dxa"/>
          </w:tcPr>
          <w:p>
            <w:pPr>
              <w:pStyle w:val="TableParagraph"/>
              <w:ind w:left="10" w:right="48"/>
              <w:rPr>
                <w:sz w:val="14"/>
              </w:rPr>
            </w:pPr>
            <w:r>
              <w:rPr>
                <w:color w:val="231F20"/>
                <w:spacing w:val="-5"/>
                <w:w w:val="95"/>
                <w:sz w:val="14"/>
              </w:rPr>
              <w:t>3.7</w:t>
            </w:r>
          </w:p>
        </w:tc>
        <w:tc>
          <w:tcPr>
            <w:tcW w:w="574" w:type="dxa"/>
          </w:tcPr>
          <w:p>
            <w:pPr>
              <w:pStyle w:val="TableParagraph"/>
              <w:ind w:left="158"/>
              <w:rPr>
                <w:sz w:val="14"/>
              </w:rPr>
            </w:pPr>
            <w:r>
              <w:rPr>
                <w:color w:val="231F20"/>
                <w:spacing w:val="-10"/>
                <w:w w:val="95"/>
                <w:sz w:val="14"/>
              </w:rPr>
              <w:t>8</w:t>
            </w:r>
          </w:p>
        </w:tc>
        <w:tc>
          <w:tcPr>
            <w:tcW w:w="126" w:type="dxa"/>
          </w:tcPr>
          <w:p>
            <w:pPr>
              <w:pStyle w:val="TableParagraph"/>
              <w:spacing w:before="0"/>
              <w:jc w:val="left"/>
              <w:rPr>
                <w:rFonts w:ascii="Times New Roman"/>
                <w:sz w:val="14"/>
              </w:rPr>
            </w:pPr>
          </w:p>
        </w:tc>
        <w:tc>
          <w:tcPr>
            <w:tcW w:w="463" w:type="dxa"/>
          </w:tcPr>
          <w:p>
            <w:pPr>
              <w:pStyle w:val="TableParagraph"/>
              <w:ind w:left="15" w:right="48"/>
              <w:rPr>
                <w:sz w:val="14"/>
              </w:rPr>
            </w:pPr>
            <w:r>
              <w:rPr>
                <w:color w:val="231F20"/>
                <w:spacing w:val="-5"/>
                <w:w w:val="95"/>
                <w:sz w:val="14"/>
              </w:rPr>
              <w:t>3.8</w:t>
            </w:r>
          </w:p>
        </w:tc>
        <w:tc>
          <w:tcPr>
            <w:tcW w:w="574" w:type="dxa"/>
          </w:tcPr>
          <w:p>
            <w:pPr>
              <w:pStyle w:val="TableParagraph"/>
              <w:ind w:left="161" w:right="69"/>
              <w:rPr>
                <w:sz w:val="14"/>
              </w:rPr>
            </w:pPr>
            <w:r>
              <w:rPr>
                <w:color w:val="231F20"/>
                <w:spacing w:val="-5"/>
                <w:w w:val="95"/>
                <w:sz w:val="14"/>
              </w:rPr>
              <w:t>20</w:t>
            </w:r>
          </w:p>
        </w:tc>
        <w:tc>
          <w:tcPr>
            <w:tcW w:w="126" w:type="dxa"/>
          </w:tcPr>
          <w:p>
            <w:pPr>
              <w:pStyle w:val="TableParagraph"/>
              <w:spacing w:before="0"/>
              <w:jc w:val="left"/>
              <w:rPr>
                <w:rFonts w:ascii="Times New Roman"/>
                <w:sz w:val="14"/>
              </w:rPr>
            </w:pPr>
          </w:p>
        </w:tc>
        <w:tc>
          <w:tcPr>
            <w:tcW w:w="463" w:type="dxa"/>
          </w:tcPr>
          <w:p>
            <w:pPr>
              <w:pStyle w:val="TableParagraph"/>
              <w:ind w:left="6" w:right="48"/>
              <w:rPr>
                <w:sz w:val="14"/>
              </w:rPr>
            </w:pPr>
            <w:r>
              <w:rPr>
                <w:color w:val="231F20"/>
                <w:spacing w:val="-5"/>
                <w:w w:val="95"/>
                <w:sz w:val="14"/>
              </w:rPr>
              <w:t>4.1</w:t>
            </w:r>
          </w:p>
        </w:tc>
        <w:tc>
          <w:tcPr>
            <w:tcW w:w="574" w:type="dxa"/>
          </w:tcPr>
          <w:p>
            <w:pPr>
              <w:pStyle w:val="TableParagraph"/>
              <w:ind w:left="161" w:right="64"/>
              <w:rPr>
                <w:sz w:val="14"/>
              </w:rPr>
            </w:pPr>
            <w:r>
              <w:rPr>
                <w:color w:val="231F20"/>
                <w:spacing w:val="-5"/>
                <w:w w:val="95"/>
                <w:sz w:val="14"/>
              </w:rPr>
              <w:t>10</w:t>
            </w:r>
          </w:p>
        </w:tc>
        <w:tc>
          <w:tcPr>
            <w:tcW w:w="126" w:type="dxa"/>
          </w:tcPr>
          <w:p>
            <w:pPr>
              <w:pStyle w:val="TableParagraph"/>
              <w:spacing w:before="0"/>
              <w:jc w:val="left"/>
              <w:rPr>
                <w:rFonts w:ascii="Times New Roman"/>
                <w:sz w:val="14"/>
              </w:rPr>
            </w:pPr>
          </w:p>
        </w:tc>
        <w:tc>
          <w:tcPr>
            <w:tcW w:w="468" w:type="dxa"/>
          </w:tcPr>
          <w:p>
            <w:pPr>
              <w:pStyle w:val="TableParagraph"/>
              <w:ind w:left="8" w:right="45"/>
              <w:rPr>
                <w:sz w:val="14"/>
              </w:rPr>
            </w:pPr>
            <w:r>
              <w:rPr>
                <w:color w:val="231F20"/>
                <w:spacing w:val="-5"/>
                <w:w w:val="95"/>
                <w:sz w:val="14"/>
              </w:rPr>
              <w:t>4.0</w:t>
            </w:r>
          </w:p>
        </w:tc>
        <w:tc>
          <w:tcPr>
            <w:tcW w:w="655" w:type="dxa"/>
          </w:tcPr>
          <w:p>
            <w:pPr>
              <w:pStyle w:val="TableParagraph"/>
              <w:ind w:left="72" w:right="68"/>
              <w:rPr>
                <w:sz w:val="14"/>
              </w:rPr>
            </w:pPr>
            <w:r>
              <w:rPr>
                <w:color w:val="231F20"/>
                <w:spacing w:val="-5"/>
                <w:w w:val="95"/>
                <w:sz w:val="14"/>
              </w:rPr>
              <w:t>16</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Japan</w:t>
            </w:r>
          </w:p>
        </w:tc>
        <w:tc>
          <w:tcPr>
            <w:tcW w:w="622" w:type="dxa"/>
            <w:shd w:val="clear" w:color="auto" w:fill="D4E3F5"/>
          </w:tcPr>
          <w:p>
            <w:pPr>
              <w:pStyle w:val="TableParagraph"/>
              <w:ind w:left="67" w:right="101"/>
              <w:rPr>
                <w:sz w:val="14"/>
              </w:rPr>
            </w:pPr>
            <w:r>
              <w:rPr>
                <w:color w:val="231F20"/>
                <w:spacing w:val="-5"/>
                <w:w w:val="95"/>
                <w:sz w:val="14"/>
              </w:rPr>
              <w:t>13</w:t>
            </w:r>
          </w:p>
        </w:tc>
        <w:tc>
          <w:tcPr>
            <w:tcW w:w="644" w:type="dxa"/>
            <w:shd w:val="clear" w:color="auto" w:fill="D4E3F5"/>
          </w:tcPr>
          <w:p>
            <w:pPr>
              <w:pStyle w:val="TableParagraph"/>
              <w:ind w:left="164"/>
              <w:jc w:val="left"/>
              <w:rPr>
                <w:sz w:val="14"/>
              </w:rPr>
            </w:pPr>
            <w:r>
              <w:rPr>
                <w:color w:val="231F20"/>
                <w:spacing w:val="-5"/>
                <w:w w:val="95"/>
                <w:sz w:val="14"/>
              </w:rPr>
              <w:t>3.9</w:t>
            </w:r>
          </w:p>
        </w:tc>
        <w:tc>
          <w:tcPr>
            <w:tcW w:w="480" w:type="dxa"/>
            <w:shd w:val="clear" w:color="auto" w:fill="D4E3F5"/>
          </w:tcPr>
          <w:p>
            <w:pPr>
              <w:pStyle w:val="TableParagraph"/>
              <w:ind w:left="102"/>
              <w:jc w:val="left"/>
              <w:rPr>
                <w:sz w:val="14"/>
              </w:rPr>
            </w:pPr>
            <w:r>
              <w:rPr>
                <w:color w:val="231F20"/>
                <w:spacing w:val="-5"/>
                <w:w w:val="95"/>
                <w:sz w:val="14"/>
              </w:rPr>
              <w:t>3.8</w:t>
            </w:r>
          </w:p>
        </w:tc>
        <w:tc>
          <w:tcPr>
            <w:tcW w:w="582" w:type="dxa"/>
            <w:shd w:val="clear" w:color="auto" w:fill="D4E3F5"/>
          </w:tcPr>
          <w:p>
            <w:pPr>
              <w:pStyle w:val="TableParagraph"/>
              <w:ind w:left="6" w:right="6"/>
              <w:rPr>
                <w:sz w:val="14"/>
              </w:rPr>
            </w:pPr>
            <w:r>
              <w:rPr>
                <w:color w:val="231F20"/>
                <w:spacing w:val="-5"/>
                <w:w w:val="95"/>
                <w:sz w:val="14"/>
              </w:rPr>
              <w:t>4.0</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0" w:right="48"/>
              <w:rPr>
                <w:sz w:val="14"/>
              </w:rPr>
            </w:pPr>
            <w:r>
              <w:rPr>
                <w:color w:val="231F20"/>
                <w:spacing w:val="-5"/>
                <w:w w:val="95"/>
                <w:sz w:val="14"/>
              </w:rPr>
              <w:t>3.9</w:t>
            </w:r>
          </w:p>
        </w:tc>
        <w:tc>
          <w:tcPr>
            <w:tcW w:w="574" w:type="dxa"/>
            <w:shd w:val="clear" w:color="auto" w:fill="D4E3F5"/>
          </w:tcPr>
          <w:p>
            <w:pPr>
              <w:pStyle w:val="TableParagraph"/>
              <w:ind w:left="161" w:right="6"/>
              <w:rPr>
                <w:sz w:val="14"/>
              </w:rPr>
            </w:pPr>
            <w:r>
              <w:rPr>
                <w:color w:val="231F20"/>
                <w:spacing w:val="-10"/>
                <w:w w:val="95"/>
                <w:sz w:val="14"/>
              </w:rPr>
              <w:t>7</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0" w:right="48"/>
              <w:rPr>
                <w:sz w:val="14"/>
              </w:rPr>
            </w:pPr>
            <w:r>
              <w:rPr>
                <w:color w:val="231F20"/>
                <w:spacing w:val="-5"/>
                <w:w w:val="95"/>
                <w:sz w:val="14"/>
              </w:rPr>
              <w:t>4.2</w:t>
            </w:r>
          </w:p>
        </w:tc>
        <w:tc>
          <w:tcPr>
            <w:tcW w:w="574" w:type="dxa"/>
            <w:shd w:val="clear" w:color="auto" w:fill="D4E3F5"/>
          </w:tcPr>
          <w:p>
            <w:pPr>
              <w:pStyle w:val="TableParagraph"/>
              <w:ind w:left="161" w:right="4"/>
              <w:rPr>
                <w:sz w:val="14"/>
              </w:rPr>
            </w:pPr>
            <w:r>
              <w:rPr>
                <w:color w:val="231F20"/>
                <w:spacing w:val="-10"/>
                <w:w w:val="95"/>
                <w:sz w:val="14"/>
              </w:rPr>
              <w:t>5</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4" w:right="48"/>
              <w:rPr>
                <w:sz w:val="14"/>
              </w:rPr>
            </w:pPr>
            <w:r>
              <w:rPr>
                <w:color w:val="231F20"/>
                <w:spacing w:val="-5"/>
                <w:w w:val="95"/>
                <w:sz w:val="14"/>
              </w:rPr>
              <w:t>3.3</w:t>
            </w:r>
          </w:p>
        </w:tc>
        <w:tc>
          <w:tcPr>
            <w:tcW w:w="574" w:type="dxa"/>
            <w:shd w:val="clear" w:color="auto" w:fill="D4E3F5"/>
          </w:tcPr>
          <w:p>
            <w:pPr>
              <w:pStyle w:val="TableParagraph"/>
              <w:ind w:left="161" w:right="70"/>
              <w:rPr>
                <w:sz w:val="14"/>
              </w:rPr>
            </w:pPr>
            <w:r>
              <w:rPr>
                <w:color w:val="231F20"/>
                <w:spacing w:val="-5"/>
                <w:w w:val="95"/>
                <w:sz w:val="14"/>
              </w:rPr>
              <w:t>38</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5" w:right="48"/>
              <w:rPr>
                <w:sz w:val="14"/>
              </w:rPr>
            </w:pPr>
            <w:r>
              <w:rPr>
                <w:color w:val="231F20"/>
                <w:spacing w:val="-5"/>
                <w:w w:val="95"/>
                <w:sz w:val="14"/>
              </w:rPr>
              <w:t>4.1</w:t>
            </w:r>
          </w:p>
        </w:tc>
        <w:tc>
          <w:tcPr>
            <w:tcW w:w="574" w:type="dxa"/>
            <w:shd w:val="clear" w:color="auto" w:fill="D4E3F5"/>
          </w:tcPr>
          <w:p>
            <w:pPr>
              <w:pStyle w:val="TableParagraph"/>
              <w:ind w:left="161" w:right="1"/>
              <w:rPr>
                <w:sz w:val="14"/>
              </w:rPr>
            </w:pPr>
            <w:r>
              <w:rPr>
                <w:color w:val="231F20"/>
                <w:spacing w:val="-10"/>
                <w:w w:val="95"/>
                <w:sz w:val="14"/>
              </w:rPr>
              <w:t>9</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4" w:right="48"/>
              <w:rPr>
                <w:sz w:val="14"/>
              </w:rPr>
            </w:pPr>
            <w:r>
              <w:rPr>
                <w:color w:val="231F20"/>
                <w:spacing w:val="-5"/>
                <w:w w:val="95"/>
                <w:sz w:val="14"/>
              </w:rPr>
              <w:t>4.0</w:t>
            </w:r>
          </w:p>
        </w:tc>
        <w:tc>
          <w:tcPr>
            <w:tcW w:w="574" w:type="dxa"/>
            <w:shd w:val="clear" w:color="auto" w:fill="D4E3F5"/>
          </w:tcPr>
          <w:p>
            <w:pPr>
              <w:pStyle w:val="TableParagraph"/>
              <w:ind w:left="161" w:right="67"/>
              <w:rPr>
                <w:sz w:val="14"/>
              </w:rPr>
            </w:pPr>
            <w:r>
              <w:rPr>
                <w:color w:val="231F20"/>
                <w:spacing w:val="-5"/>
                <w:w w:val="95"/>
                <w:sz w:val="14"/>
              </w:rPr>
              <w:t>17</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8" w:right="45"/>
              <w:rPr>
                <w:sz w:val="14"/>
              </w:rPr>
            </w:pPr>
            <w:r>
              <w:rPr>
                <w:color w:val="231F20"/>
                <w:spacing w:val="-5"/>
                <w:w w:val="95"/>
                <w:sz w:val="14"/>
              </w:rPr>
              <w:t>4.0</w:t>
            </w:r>
          </w:p>
        </w:tc>
        <w:tc>
          <w:tcPr>
            <w:tcW w:w="655" w:type="dxa"/>
            <w:shd w:val="clear" w:color="auto" w:fill="D4E3F5"/>
          </w:tcPr>
          <w:p>
            <w:pPr>
              <w:pStyle w:val="TableParagraph"/>
              <w:ind w:left="72" w:right="68"/>
              <w:rPr>
                <w:sz w:val="14"/>
              </w:rPr>
            </w:pPr>
            <w:r>
              <w:rPr>
                <w:color w:val="231F20"/>
                <w:spacing w:val="-5"/>
                <w:w w:val="95"/>
                <w:sz w:val="14"/>
              </w:rPr>
              <w:t>16</w:t>
            </w:r>
          </w:p>
        </w:tc>
      </w:tr>
      <w:tr>
        <w:trPr>
          <w:trHeight w:val="259" w:hRule="atLeast"/>
        </w:trPr>
        <w:tc>
          <w:tcPr>
            <w:tcW w:w="990" w:type="dxa"/>
          </w:tcPr>
          <w:p>
            <w:pPr>
              <w:pStyle w:val="TableParagraph"/>
              <w:ind w:left="80"/>
              <w:jc w:val="left"/>
              <w:rPr>
                <w:sz w:val="14"/>
              </w:rPr>
            </w:pPr>
            <w:r>
              <w:rPr>
                <w:color w:val="231F20"/>
                <w:spacing w:val="-4"/>
                <w:w w:val="85"/>
                <w:sz w:val="14"/>
              </w:rPr>
              <w:t>Spain</w:t>
            </w:r>
          </w:p>
        </w:tc>
        <w:tc>
          <w:tcPr>
            <w:tcW w:w="622" w:type="dxa"/>
          </w:tcPr>
          <w:p>
            <w:pPr>
              <w:pStyle w:val="TableParagraph"/>
              <w:ind w:left="67" w:right="101"/>
              <w:rPr>
                <w:sz w:val="14"/>
              </w:rPr>
            </w:pPr>
            <w:r>
              <w:rPr>
                <w:color w:val="231F20"/>
                <w:spacing w:val="-5"/>
                <w:w w:val="95"/>
                <w:sz w:val="14"/>
              </w:rPr>
              <w:t>13</w:t>
            </w:r>
          </w:p>
        </w:tc>
        <w:tc>
          <w:tcPr>
            <w:tcW w:w="644" w:type="dxa"/>
          </w:tcPr>
          <w:p>
            <w:pPr>
              <w:pStyle w:val="TableParagraph"/>
              <w:ind w:left="164"/>
              <w:jc w:val="left"/>
              <w:rPr>
                <w:sz w:val="14"/>
              </w:rPr>
            </w:pPr>
            <w:r>
              <w:rPr>
                <w:color w:val="231F20"/>
                <w:spacing w:val="-5"/>
                <w:w w:val="95"/>
                <w:sz w:val="14"/>
              </w:rPr>
              <w:t>3.9</w:t>
            </w:r>
          </w:p>
        </w:tc>
        <w:tc>
          <w:tcPr>
            <w:tcW w:w="480" w:type="dxa"/>
          </w:tcPr>
          <w:p>
            <w:pPr>
              <w:pStyle w:val="TableParagraph"/>
              <w:ind w:left="102"/>
              <w:jc w:val="left"/>
              <w:rPr>
                <w:sz w:val="14"/>
              </w:rPr>
            </w:pPr>
            <w:r>
              <w:rPr>
                <w:color w:val="231F20"/>
                <w:spacing w:val="-5"/>
                <w:w w:val="95"/>
                <w:sz w:val="14"/>
              </w:rPr>
              <w:t>3.8</w:t>
            </w:r>
          </w:p>
        </w:tc>
        <w:tc>
          <w:tcPr>
            <w:tcW w:w="582" w:type="dxa"/>
          </w:tcPr>
          <w:p>
            <w:pPr>
              <w:pStyle w:val="TableParagraph"/>
              <w:ind w:left="6" w:right="6"/>
              <w:rPr>
                <w:sz w:val="14"/>
              </w:rPr>
            </w:pPr>
            <w:r>
              <w:rPr>
                <w:color w:val="231F20"/>
                <w:spacing w:val="-5"/>
                <w:w w:val="95"/>
                <w:sz w:val="14"/>
              </w:rPr>
              <w:t>4.0</w:t>
            </w:r>
          </w:p>
        </w:tc>
        <w:tc>
          <w:tcPr>
            <w:tcW w:w="80" w:type="dxa"/>
          </w:tcPr>
          <w:p>
            <w:pPr>
              <w:pStyle w:val="TableParagraph"/>
              <w:spacing w:before="0"/>
              <w:jc w:val="left"/>
              <w:rPr>
                <w:rFonts w:ascii="Times New Roman"/>
                <w:sz w:val="14"/>
              </w:rPr>
            </w:pPr>
          </w:p>
        </w:tc>
        <w:tc>
          <w:tcPr>
            <w:tcW w:w="463" w:type="dxa"/>
          </w:tcPr>
          <w:p>
            <w:pPr>
              <w:pStyle w:val="TableParagraph"/>
              <w:ind w:left="10" w:right="48"/>
              <w:rPr>
                <w:sz w:val="14"/>
              </w:rPr>
            </w:pPr>
            <w:r>
              <w:rPr>
                <w:color w:val="231F20"/>
                <w:spacing w:val="-5"/>
                <w:w w:val="95"/>
                <w:sz w:val="14"/>
              </w:rPr>
              <w:t>3.6</w:t>
            </w:r>
          </w:p>
        </w:tc>
        <w:tc>
          <w:tcPr>
            <w:tcW w:w="574" w:type="dxa"/>
          </w:tcPr>
          <w:p>
            <w:pPr>
              <w:pStyle w:val="TableParagraph"/>
              <w:ind w:left="158" w:right="70"/>
              <w:rPr>
                <w:sz w:val="14"/>
              </w:rPr>
            </w:pPr>
            <w:r>
              <w:rPr>
                <w:color w:val="231F20"/>
                <w:spacing w:val="-5"/>
                <w:w w:val="95"/>
                <w:sz w:val="14"/>
              </w:rPr>
              <w:t>20</w:t>
            </w:r>
          </w:p>
        </w:tc>
        <w:tc>
          <w:tcPr>
            <w:tcW w:w="126" w:type="dxa"/>
          </w:tcPr>
          <w:p>
            <w:pPr>
              <w:pStyle w:val="TableParagraph"/>
              <w:spacing w:before="0"/>
              <w:jc w:val="left"/>
              <w:rPr>
                <w:rFonts w:ascii="Times New Roman"/>
                <w:sz w:val="14"/>
              </w:rPr>
            </w:pPr>
          </w:p>
        </w:tc>
        <w:tc>
          <w:tcPr>
            <w:tcW w:w="463" w:type="dxa"/>
          </w:tcPr>
          <w:p>
            <w:pPr>
              <w:pStyle w:val="TableParagraph"/>
              <w:ind w:left="12" w:right="48"/>
              <w:rPr>
                <w:sz w:val="14"/>
              </w:rPr>
            </w:pPr>
            <w:r>
              <w:rPr>
                <w:color w:val="231F20"/>
                <w:spacing w:val="-5"/>
                <w:w w:val="95"/>
                <w:sz w:val="14"/>
              </w:rPr>
              <w:t>3.8</w:t>
            </w:r>
          </w:p>
        </w:tc>
        <w:tc>
          <w:tcPr>
            <w:tcW w:w="574" w:type="dxa"/>
          </w:tcPr>
          <w:p>
            <w:pPr>
              <w:pStyle w:val="TableParagraph"/>
              <w:ind w:left="161" w:right="72"/>
              <w:rPr>
                <w:sz w:val="14"/>
              </w:rPr>
            </w:pPr>
            <w:r>
              <w:rPr>
                <w:color w:val="231F20"/>
                <w:spacing w:val="-5"/>
                <w:w w:val="95"/>
                <w:sz w:val="14"/>
              </w:rPr>
              <w:t>19</w:t>
            </w:r>
          </w:p>
        </w:tc>
        <w:tc>
          <w:tcPr>
            <w:tcW w:w="126" w:type="dxa"/>
          </w:tcPr>
          <w:p>
            <w:pPr>
              <w:pStyle w:val="TableParagraph"/>
              <w:spacing w:before="0"/>
              <w:jc w:val="left"/>
              <w:rPr>
                <w:rFonts w:ascii="Times New Roman"/>
                <w:sz w:val="14"/>
              </w:rPr>
            </w:pPr>
          </w:p>
        </w:tc>
        <w:tc>
          <w:tcPr>
            <w:tcW w:w="463" w:type="dxa"/>
          </w:tcPr>
          <w:p>
            <w:pPr>
              <w:pStyle w:val="TableParagraph"/>
              <w:ind w:left="10" w:right="48"/>
              <w:rPr>
                <w:sz w:val="14"/>
              </w:rPr>
            </w:pPr>
            <w:r>
              <w:rPr>
                <w:color w:val="231F20"/>
                <w:spacing w:val="-5"/>
                <w:w w:val="95"/>
                <w:sz w:val="14"/>
              </w:rPr>
              <w:t>3.7</w:t>
            </w:r>
          </w:p>
        </w:tc>
        <w:tc>
          <w:tcPr>
            <w:tcW w:w="574" w:type="dxa"/>
          </w:tcPr>
          <w:p>
            <w:pPr>
              <w:pStyle w:val="TableParagraph"/>
              <w:ind w:left="158"/>
              <w:rPr>
                <w:sz w:val="14"/>
              </w:rPr>
            </w:pPr>
            <w:r>
              <w:rPr>
                <w:color w:val="231F20"/>
                <w:spacing w:val="-10"/>
                <w:w w:val="95"/>
                <w:sz w:val="14"/>
              </w:rPr>
              <w:t>8</w:t>
            </w:r>
          </w:p>
        </w:tc>
        <w:tc>
          <w:tcPr>
            <w:tcW w:w="126" w:type="dxa"/>
          </w:tcPr>
          <w:p>
            <w:pPr>
              <w:pStyle w:val="TableParagraph"/>
              <w:spacing w:before="0"/>
              <w:jc w:val="left"/>
              <w:rPr>
                <w:rFonts w:ascii="Times New Roman"/>
                <w:sz w:val="14"/>
              </w:rPr>
            </w:pPr>
          </w:p>
        </w:tc>
        <w:tc>
          <w:tcPr>
            <w:tcW w:w="463" w:type="dxa"/>
          </w:tcPr>
          <w:p>
            <w:pPr>
              <w:pStyle w:val="TableParagraph"/>
              <w:ind w:left="15" w:right="48"/>
              <w:rPr>
                <w:sz w:val="14"/>
              </w:rPr>
            </w:pPr>
            <w:r>
              <w:rPr>
                <w:color w:val="231F20"/>
                <w:spacing w:val="-5"/>
                <w:w w:val="95"/>
                <w:sz w:val="14"/>
              </w:rPr>
              <w:t>3.9</w:t>
            </w:r>
          </w:p>
        </w:tc>
        <w:tc>
          <w:tcPr>
            <w:tcW w:w="574" w:type="dxa"/>
          </w:tcPr>
          <w:p>
            <w:pPr>
              <w:pStyle w:val="TableParagraph"/>
              <w:ind w:left="161" w:right="69"/>
              <w:rPr>
                <w:sz w:val="14"/>
              </w:rPr>
            </w:pPr>
            <w:r>
              <w:rPr>
                <w:color w:val="231F20"/>
                <w:spacing w:val="-5"/>
                <w:w w:val="95"/>
                <w:sz w:val="14"/>
              </w:rPr>
              <w:t>14</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4.2</w:t>
            </w:r>
          </w:p>
        </w:tc>
        <w:tc>
          <w:tcPr>
            <w:tcW w:w="574" w:type="dxa"/>
          </w:tcPr>
          <w:p>
            <w:pPr>
              <w:pStyle w:val="TableParagraph"/>
              <w:ind w:left="161"/>
              <w:rPr>
                <w:sz w:val="14"/>
              </w:rPr>
            </w:pPr>
            <w:r>
              <w:rPr>
                <w:color w:val="231F20"/>
                <w:spacing w:val="-10"/>
                <w:w w:val="95"/>
                <w:sz w:val="14"/>
              </w:rPr>
              <w:t>4</w:t>
            </w:r>
          </w:p>
        </w:tc>
        <w:tc>
          <w:tcPr>
            <w:tcW w:w="126" w:type="dxa"/>
          </w:tcPr>
          <w:p>
            <w:pPr>
              <w:pStyle w:val="TableParagraph"/>
              <w:spacing w:before="0"/>
              <w:jc w:val="left"/>
              <w:rPr>
                <w:rFonts w:ascii="Times New Roman"/>
                <w:sz w:val="14"/>
              </w:rPr>
            </w:pPr>
          </w:p>
        </w:tc>
        <w:tc>
          <w:tcPr>
            <w:tcW w:w="468" w:type="dxa"/>
          </w:tcPr>
          <w:p>
            <w:pPr>
              <w:pStyle w:val="TableParagraph"/>
              <w:ind w:right="45"/>
              <w:rPr>
                <w:sz w:val="14"/>
              </w:rPr>
            </w:pPr>
            <w:r>
              <w:rPr>
                <w:color w:val="231F20"/>
                <w:spacing w:val="-5"/>
                <w:w w:val="95"/>
                <w:sz w:val="14"/>
              </w:rPr>
              <w:t>4.1</w:t>
            </w:r>
          </w:p>
        </w:tc>
        <w:tc>
          <w:tcPr>
            <w:tcW w:w="655" w:type="dxa"/>
          </w:tcPr>
          <w:p>
            <w:pPr>
              <w:pStyle w:val="TableParagraph"/>
              <w:ind w:left="72" w:right="68"/>
              <w:rPr>
                <w:sz w:val="14"/>
              </w:rPr>
            </w:pPr>
            <w:r>
              <w:rPr>
                <w:color w:val="231F20"/>
                <w:spacing w:val="-5"/>
                <w:w w:val="95"/>
                <w:sz w:val="14"/>
              </w:rPr>
              <w:t>11</w:t>
            </w:r>
          </w:p>
        </w:tc>
      </w:tr>
      <w:tr>
        <w:trPr>
          <w:trHeight w:val="259" w:hRule="atLeast"/>
        </w:trPr>
        <w:tc>
          <w:tcPr>
            <w:tcW w:w="990" w:type="dxa"/>
            <w:shd w:val="clear" w:color="auto" w:fill="D4E3F5"/>
          </w:tcPr>
          <w:p>
            <w:pPr>
              <w:pStyle w:val="TableParagraph"/>
              <w:ind w:left="80"/>
              <w:jc w:val="left"/>
              <w:rPr>
                <w:sz w:val="14"/>
              </w:rPr>
            </w:pPr>
            <w:r>
              <w:rPr>
                <w:color w:val="231F20"/>
                <w:w w:val="75"/>
                <w:sz w:val="14"/>
              </w:rPr>
              <w:t>Taiwan,</w:t>
            </w:r>
            <w:r>
              <w:rPr>
                <w:color w:val="231F20"/>
                <w:spacing w:val="7"/>
                <w:sz w:val="14"/>
              </w:rPr>
              <w:t> </w:t>
            </w:r>
            <w:r>
              <w:rPr>
                <w:color w:val="231F20"/>
                <w:spacing w:val="-2"/>
                <w:w w:val="90"/>
                <w:sz w:val="14"/>
              </w:rPr>
              <w:t>China</w:t>
            </w:r>
          </w:p>
        </w:tc>
        <w:tc>
          <w:tcPr>
            <w:tcW w:w="622" w:type="dxa"/>
            <w:shd w:val="clear" w:color="auto" w:fill="D4E3F5"/>
          </w:tcPr>
          <w:p>
            <w:pPr>
              <w:pStyle w:val="TableParagraph"/>
              <w:ind w:left="67" w:right="101"/>
              <w:rPr>
                <w:sz w:val="14"/>
              </w:rPr>
            </w:pPr>
            <w:r>
              <w:rPr>
                <w:color w:val="231F20"/>
                <w:spacing w:val="-5"/>
                <w:w w:val="95"/>
                <w:sz w:val="14"/>
              </w:rPr>
              <w:t>13</w:t>
            </w:r>
          </w:p>
        </w:tc>
        <w:tc>
          <w:tcPr>
            <w:tcW w:w="644" w:type="dxa"/>
            <w:shd w:val="clear" w:color="auto" w:fill="D4E3F5"/>
          </w:tcPr>
          <w:p>
            <w:pPr>
              <w:pStyle w:val="TableParagraph"/>
              <w:ind w:left="164"/>
              <w:jc w:val="left"/>
              <w:rPr>
                <w:sz w:val="14"/>
              </w:rPr>
            </w:pPr>
            <w:r>
              <w:rPr>
                <w:color w:val="231F20"/>
                <w:spacing w:val="-5"/>
                <w:w w:val="95"/>
                <w:sz w:val="14"/>
              </w:rPr>
              <w:t>3.9</w:t>
            </w:r>
          </w:p>
        </w:tc>
        <w:tc>
          <w:tcPr>
            <w:tcW w:w="480" w:type="dxa"/>
            <w:shd w:val="clear" w:color="auto" w:fill="D4E3F5"/>
          </w:tcPr>
          <w:p>
            <w:pPr>
              <w:pStyle w:val="TableParagraph"/>
              <w:ind w:left="104"/>
              <w:jc w:val="left"/>
              <w:rPr>
                <w:sz w:val="14"/>
              </w:rPr>
            </w:pPr>
            <w:r>
              <w:rPr>
                <w:color w:val="231F20"/>
                <w:spacing w:val="-5"/>
                <w:w w:val="95"/>
                <w:sz w:val="14"/>
              </w:rPr>
              <w:t>3.7</w:t>
            </w:r>
          </w:p>
        </w:tc>
        <w:tc>
          <w:tcPr>
            <w:tcW w:w="582" w:type="dxa"/>
            <w:shd w:val="clear" w:color="auto" w:fill="D4E3F5"/>
          </w:tcPr>
          <w:p>
            <w:pPr>
              <w:pStyle w:val="TableParagraph"/>
              <w:ind w:left="1" w:right="7"/>
              <w:rPr>
                <w:sz w:val="14"/>
              </w:rPr>
            </w:pPr>
            <w:r>
              <w:rPr>
                <w:color w:val="231F20"/>
                <w:spacing w:val="-5"/>
                <w:w w:val="95"/>
                <w:sz w:val="14"/>
              </w:rPr>
              <w:t>4.1</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3.5</w:t>
            </w:r>
          </w:p>
        </w:tc>
        <w:tc>
          <w:tcPr>
            <w:tcW w:w="574" w:type="dxa"/>
            <w:shd w:val="clear" w:color="auto" w:fill="D4E3F5"/>
          </w:tcPr>
          <w:p>
            <w:pPr>
              <w:pStyle w:val="TableParagraph"/>
              <w:ind w:left="158" w:right="70"/>
              <w:rPr>
                <w:sz w:val="14"/>
              </w:rPr>
            </w:pPr>
            <w:r>
              <w:rPr>
                <w:color w:val="231F20"/>
                <w:spacing w:val="-5"/>
                <w:w w:val="95"/>
                <w:sz w:val="14"/>
              </w:rPr>
              <w:t>22</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2" w:right="48"/>
              <w:rPr>
                <w:sz w:val="14"/>
              </w:rPr>
            </w:pPr>
            <w:r>
              <w:rPr>
                <w:color w:val="231F20"/>
                <w:spacing w:val="-5"/>
                <w:w w:val="95"/>
                <w:sz w:val="14"/>
              </w:rPr>
              <w:t>3.8</w:t>
            </w:r>
          </w:p>
        </w:tc>
        <w:tc>
          <w:tcPr>
            <w:tcW w:w="574" w:type="dxa"/>
            <w:shd w:val="clear" w:color="auto" w:fill="D4E3F5"/>
          </w:tcPr>
          <w:p>
            <w:pPr>
              <w:pStyle w:val="TableParagraph"/>
              <w:ind w:left="161" w:right="72"/>
              <w:rPr>
                <w:sz w:val="14"/>
              </w:rPr>
            </w:pPr>
            <w:r>
              <w:rPr>
                <w:color w:val="231F20"/>
                <w:spacing w:val="-5"/>
                <w:w w:val="95"/>
                <w:sz w:val="14"/>
              </w:rPr>
              <w:t>19</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0" w:right="48"/>
              <w:rPr>
                <w:sz w:val="14"/>
              </w:rPr>
            </w:pPr>
            <w:r>
              <w:rPr>
                <w:color w:val="231F20"/>
                <w:spacing w:val="-5"/>
                <w:w w:val="95"/>
                <w:sz w:val="14"/>
              </w:rPr>
              <w:t>3.7</w:t>
            </w:r>
          </w:p>
        </w:tc>
        <w:tc>
          <w:tcPr>
            <w:tcW w:w="574" w:type="dxa"/>
            <w:shd w:val="clear" w:color="auto" w:fill="D4E3F5"/>
          </w:tcPr>
          <w:p>
            <w:pPr>
              <w:pStyle w:val="TableParagraph"/>
              <w:ind w:left="158"/>
              <w:rPr>
                <w:sz w:val="14"/>
              </w:rPr>
            </w:pPr>
            <w:r>
              <w:rPr>
                <w:color w:val="231F20"/>
                <w:spacing w:val="-10"/>
                <w:w w:val="95"/>
                <w:sz w:val="14"/>
              </w:rPr>
              <w:t>8</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5" w:right="48"/>
              <w:rPr>
                <w:sz w:val="14"/>
              </w:rPr>
            </w:pPr>
            <w:r>
              <w:rPr>
                <w:color w:val="231F20"/>
                <w:spacing w:val="-5"/>
                <w:w w:val="95"/>
                <w:sz w:val="14"/>
              </w:rPr>
              <w:t>3.9</w:t>
            </w:r>
          </w:p>
        </w:tc>
        <w:tc>
          <w:tcPr>
            <w:tcW w:w="574" w:type="dxa"/>
            <w:shd w:val="clear" w:color="auto" w:fill="D4E3F5"/>
          </w:tcPr>
          <w:p>
            <w:pPr>
              <w:pStyle w:val="TableParagraph"/>
              <w:ind w:left="161" w:right="69"/>
              <w:rPr>
                <w:sz w:val="14"/>
              </w:rPr>
            </w:pPr>
            <w:r>
              <w:rPr>
                <w:color w:val="231F20"/>
                <w:spacing w:val="-5"/>
                <w:w w:val="95"/>
                <w:sz w:val="14"/>
              </w:rPr>
              <w:t>14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4" w:right="48"/>
              <w:rPr>
                <w:sz w:val="14"/>
              </w:rPr>
            </w:pPr>
            <w:r>
              <w:rPr>
                <w:color w:val="231F20"/>
                <w:spacing w:val="-5"/>
                <w:w w:val="95"/>
                <w:sz w:val="14"/>
              </w:rPr>
              <w:t>4.2</w:t>
            </w:r>
          </w:p>
        </w:tc>
        <w:tc>
          <w:tcPr>
            <w:tcW w:w="574" w:type="dxa"/>
            <w:shd w:val="clear" w:color="auto" w:fill="D4E3F5"/>
          </w:tcPr>
          <w:p>
            <w:pPr>
              <w:pStyle w:val="TableParagraph"/>
              <w:ind w:left="161"/>
              <w:rPr>
                <w:sz w:val="14"/>
              </w:rPr>
            </w:pPr>
            <w:r>
              <w:rPr>
                <w:color w:val="231F20"/>
                <w:spacing w:val="-10"/>
                <w:w w:val="95"/>
                <w:sz w:val="14"/>
              </w:rPr>
              <w:t>4</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8" w:right="45"/>
              <w:rPr>
                <w:sz w:val="14"/>
              </w:rPr>
            </w:pPr>
            <w:r>
              <w:rPr>
                <w:color w:val="231F20"/>
                <w:spacing w:val="-5"/>
                <w:w w:val="95"/>
                <w:sz w:val="14"/>
              </w:rPr>
              <w:t>4.2</w:t>
            </w:r>
          </w:p>
        </w:tc>
        <w:tc>
          <w:tcPr>
            <w:tcW w:w="655" w:type="dxa"/>
            <w:shd w:val="clear" w:color="auto" w:fill="D4E3F5"/>
          </w:tcPr>
          <w:p>
            <w:pPr>
              <w:pStyle w:val="TableParagraph"/>
              <w:ind w:left="132" w:right="60"/>
              <w:rPr>
                <w:sz w:val="14"/>
              </w:rPr>
            </w:pPr>
            <w:r>
              <w:rPr>
                <w:color w:val="231F20"/>
                <w:spacing w:val="-10"/>
                <w:w w:val="95"/>
                <w:sz w:val="14"/>
              </w:rPr>
              <w:t>3</w:t>
            </w:r>
          </w:p>
        </w:tc>
      </w:tr>
      <w:tr>
        <w:trPr>
          <w:trHeight w:val="259" w:hRule="atLeast"/>
        </w:trPr>
        <w:tc>
          <w:tcPr>
            <w:tcW w:w="990" w:type="dxa"/>
          </w:tcPr>
          <w:p>
            <w:pPr>
              <w:pStyle w:val="TableParagraph"/>
              <w:ind w:left="80"/>
              <w:jc w:val="left"/>
              <w:rPr>
                <w:sz w:val="14"/>
              </w:rPr>
            </w:pPr>
            <w:r>
              <w:rPr>
                <w:color w:val="231F20"/>
                <w:w w:val="75"/>
                <w:sz w:val="14"/>
              </w:rPr>
              <w:t>Korea,</w:t>
            </w:r>
            <w:r>
              <w:rPr>
                <w:color w:val="231F20"/>
                <w:spacing w:val="9"/>
                <w:sz w:val="14"/>
              </w:rPr>
              <w:t> </w:t>
            </w:r>
            <w:r>
              <w:rPr>
                <w:color w:val="231F20"/>
                <w:spacing w:val="-4"/>
                <w:w w:val="90"/>
                <w:sz w:val="14"/>
              </w:rPr>
              <w:t>Rep.</w:t>
            </w:r>
          </w:p>
        </w:tc>
        <w:tc>
          <w:tcPr>
            <w:tcW w:w="622" w:type="dxa"/>
          </w:tcPr>
          <w:p>
            <w:pPr>
              <w:pStyle w:val="TableParagraph"/>
              <w:ind w:left="67" w:right="101"/>
              <w:rPr>
                <w:sz w:val="14"/>
              </w:rPr>
            </w:pPr>
            <w:r>
              <w:rPr>
                <w:color w:val="231F20"/>
                <w:spacing w:val="-5"/>
                <w:w w:val="95"/>
                <w:sz w:val="14"/>
              </w:rPr>
              <w:t>17</w:t>
            </w:r>
          </w:p>
        </w:tc>
        <w:tc>
          <w:tcPr>
            <w:tcW w:w="644" w:type="dxa"/>
          </w:tcPr>
          <w:p>
            <w:pPr>
              <w:pStyle w:val="TableParagraph"/>
              <w:ind w:left="164"/>
              <w:jc w:val="left"/>
              <w:rPr>
                <w:sz w:val="14"/>
              </w:rPr>
            </w:pPr>
            <w:r>
              <w:rPr>
                <w:color w:val="231F20"/>
                <w:spacing w:val="-5"/>
                <w:w w:val="95"/>
                <w:sz w:val="14"/>
              </w:rPr>
              <w:t>3.8</w:t>
            </w:r>
          </w:p>
        </w:tc>
        <w:tc>
          <w:tcPr>
            <w:tcW w:w="480" w:type="dxa"/>
          </w:tcPr>
          <w:p>
            <w:pPr>
              <w:pStyle w:val="TableParagraph"/>
              <w:ind w:left="104"/>
              <w:jc w:val="left"/>
              <w:rPr>
                <w:sz w:val="14"/>
              </w:rPr>
            </w:pPr>
            <w:r>
              <w:rPr>
                <w:color w:val="231F20"/>
                <w:spacing w:val="-5"/>
                <w:w w:val="95"/>
                <w:sz w:val="14"/>
              </w:rPr>
              <w:t>3.7</w:t>
            </w:r>
          </w:p>
        </w:tc>
        <w:tc>
          <w:tcPr>
            <w:tcW w:w="582" w:type="dxa"/>
          </w:tcPr>
          <w:p>
            <w:pPr>
              <w:pStyle w:val="TableParagraph"/>
              <w:ind w:left="7" w:right="6"/>
              <w:rPr>
                <w:sz w:val="14"/>
              </w:rPr>
            </w:pPr>
            <w:r>
              <w:rPr>
                <w:color w:val="231F20"/>
                <w:spacing w:val="-5"/>
                <w:w w:val="95"/>
                <w:sz w:val="14"/>
              </w:rPr>
              <w:t>3.9</w:t>
            </w:r>
          </w:p>
        </w:tc>
        <w:tc>
          <w:tcPr>
            <w:tcW w:w="80" w:type="dxa"/>
          </w:tcPr>
          <w:p>
            <w:pPr>
              <w:pStyle w:val="TableParagraph"/>
              <w:spacing w:before="0"/>
              <w:jc w:val="left"/>
              <w:rPr>
                <w:rFonts w:ascii="Times New Roman"/>
                <w:sz w:val="14"/>
              </w:rPr>
            </w:pPr>
          </w:p>
        </w:tc>
        <w:tc>
          <w:tcPr>
            <w:tcW w:w="463" w:type="dxa"/>
          </w:tcPr>
          <w:p>
            <w:pPr>
              <w:pStyle w:val="TableParagraph"/>
              <w:ind w:left="10" w:right="48"/>
              <w:rPr>
                <w:sz w:val="14"/>
              </w:rPr>
            </w:pPr>
            <w:r>
              <w:rPr>
                <w:color w:val="231F20"/>
                <w:spacing w:val="-5"/>
                <w:w w:val="95"/>
                <w:sz w:val="14"/>
              </w:rPr>
              <w:t>3.9</w:t>
            </w:r>
          </w:p>
        </w:tc>
        <w:tc>
          <w:tcPr>
            <w:tcW w:w="574" w:type="dxa"/>
          </w:tcPr>
          <w:p>
            <w:pPr>
              <w:pStyle w:val="TableParagraph"/>
              <w:ind w:left="161" w:right="6"/>
              <w:rPr>
                <w:sz w:val="14"/>
              </w:rPr>
            </w:pPr>
            <w:r>
              <w:rPr>
                <w:color w:val="231F20"/>
                <w:spacing w:val="-10"/>
                <w:w w:val="95"/>
                <w:sz w:val="14"/>
              </w:rPr>
              <w:t>7</w:t>
            </w:r>
          </w:p>
        </w:tc>
        <w:tc>
          <w:tcPr>
            <w:tcW w:w="126" w:type="dxa"/>
          </w:tcPr>
          <w:p>
            <w:pPr>
              <w:pStyle w:val="TableParagraph"/>
              <w:spacing w:before="0"/>
              <w:jc w:val="left"/>
              <w:rPr>
                <w:rFonts w:ascii="Times New Roman"/>
                <w:sz w:val="14"/>
              </w:rPr>
            </w:pPr>
          </w:p>
        </w:tc>
        <w:tc>
          <w:tcPr>
            <w:tcW w:w="463" w:type="dxa"/>
          </w:tcPr>
          <w:p>
            <w:pPr>
              <w:pStyle w:val="TableParagraph"/>
              <w:ind w:left="2" w:right="48"/>
              <w:rPr>
                <w:sz w:val="14"/>
              </w:rPr>
            </w:pPr>
            <w:r>
              <w:rPr>
                <w:color w:val="231F20"/>
                <w:spacing w:val="-5"/>
                <w:w w:val="95"/>
                <w:sz w:val="14"/>
              </w:rPr>
              <w:t>4.1</w:t>
            </w:r>
          </w:p>
        </w:tc>
        <w:tc>
          <w:tcPr>
            <w:tcW w:w="574" w:type="dxa"/>
          </w:tcPr>
          <w:p>
            <w:pPr>
              <w:pStyle w:val="TableParagraph"/>
              <w:ind w:left="161" w:right="4"/>
              <w:rPr>
                <w:sz w:val="14"/>
              </w:rPr>
            </w:pPr>
            <w:r>
              <w:rPr>
                <w:color w:val="231F20"/>
                <w:spacing w:val="-10"/>
                <w:w w:val="95"/>
                <w:sz w:val="14"/>
              </w:rPr>
              <w:t>9</w:t>
            </w:r>
          </w:p>
        </w:tc>
        <w:tc>
          <w:tcPr>
            <w:tcW w:w="126"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3.4</w:t>
            </w:r>
          </w:p>
        </w:tc>
        <w:tc>
          <w:tcPr>
            <w:tcW w:w="574" w:type="dxa"/>
          </w:tcPr>
          <w:p>
            <w:pPr>
              <w:pStyle w:val="TableParagraph"/>
              <w:ind w:left="161" w:right="70"/>
              <w:rPr>
                <w:sz w:val="14"/>
              </w:rPr>
            </w:pPr>
            <w:r>
              <w:rPr>
                <w:color w:val="231F20"/>
                <w:spacing w:val="-5"/>
                <w:w w:val="95"/>
                <w:sz w:val="14"/>
              </w:rPr>
              <w:t>26</w:t>
            </w:r>
          </w:p>
        </w:tc>
        <w:tc>
          <w:tcPr>
            <w:tcW w:w="126" w:type="dxa"/>
          </w:tcPr>
          <w:p>
            <w:pPr>
              <w:pStyle w:val="TableParagraph"/>
              <w:spacing w:before="0"/>
              <w:jc w:val="left"/>
              <w:rPr>
                <w:rFonts w:ascii="Times New Roman"/>
                <w:sz w:val="14"/>
              </w:rPr>
            </w:pPr>
          </w:p>
        </w:tc>
        <w:tc>
          <w:tcPr>
            <w:tcW w:w="463" w:type="dxa"/>
          </w:tcPr>
          <w:p>
            <w:pPr>
              <w:pStyle w:val="TableParagraph"/>
              <w:ind w:left="15" w:right="48"/>
              <w:rPr>
                <w:sz w:val="14"/>
              </w:rPr>
            </w:pPr>
            <w:r>
              <w:rPr>
                <w:color w:val="231F20"/>
                <w:spacing w:val="-5"/>
                <w:w w:val="95"/>
                <w:sz w:val="14"/>
              </w:rPr>
              <w:t>3.8</w:t>
            </w:r>
          </w:p>
        </w:tc>
        <w:tc>
          <w:tcPr>
            <w:tcW w:w="574" w:type="dxa"/>
          </w:tcPr>
          <w:p>
            <w:pPr>
              <w:pStyle w:val="TableParagraph"/>
              <w:ind w:left="161" w:right="69"/>
              <w:rPr>
                <w:sz w:val="14"/>
              </w:rPr>
            </w:pPr>
            <w:r>
              <w:rPr>
                <w:color w:val="231F20"/>
                <w:spacing w:val="-5"/>
                <w:w w:val="95"/>
                <w:sz w:val="14"/>
              </w:rPr>
              <w:t>20</w:t>
            </w:r>
          </w:p>
        </w:tc>
        <w:tc>
          <w:tcPr>
            <w:tcW w:w="126" w:type="dxa"/>
          </w:tcPr>
          <w:p>
            <w:pPr>
              <w:pStyle w:val="TableParagraph"/>
              <w:spacing w:before="0"/>
              <w:jc w:val="left"/>
              <w:rPr>
                <w:rFonts w:ascii="Times New Roman"/>
                <w:sz w:val="14"/>
              </w:rPr>
            </w:pPr>
          </w:p>
        </w:tc>
        <w:tc>
          <w:tcPr>
            <w:tcW w:w="463" w:type="dxa"/>
          </w:tcPr>
          <w:p>
            <w:pPr>
              <w:pStyle w:val="TableParagraph"/>
              <w:ind w:left="17" w:right="48"/>
              <w:rPr>
                <w:sz w:val="14"/>
              </w:rPr>
            </w:pPr>
            <w:r>
              <w:rPr>
                <w:color w:val="231F20"/>
                <w:spacing w:val="-5"/>
                <w:w w:val="95"/>
                <w:sz w:val="14"/>
              </w:rPr>
              <w:t>3.8</w:t>
            </w:r>
          </w:p>
        </w:tc>
        <w:tc>
          <w:tcPr>
            <w:tcW w:w="574" w:type="dxa"/>
          </w:tcPr>
          <w:p>
            <w:pPr>
              <w:pStyle w:val="TableParagraph"/>
              <w:ind w:left="161" w:right="67"/>
              <w:rPr>
                <w:sz w:val="14"/>
              </w:rPr>
            </w:pPr>
            <w:r>
              <w:rPr>
                <w:color w:val="231F20"/>
                <w:spacing w:val="-5"/>
                <w:w w:val="95"/>
                <w:sz w:val="14"/>
              </w:rPr>
              <w:t>25</w:t>
            </w:r>
          </w:p>
        </w:tc>
        <w:tc>
          <w:tcPr>
            <w:tcW w:w="126" w:type="dxa"/>
          </w:tcPr>
          <w:p>
            <w:pPr>
              <w:pStyle w:val="TableParagraph"/>
              <w:spacing w:before="0"/>
              <w:jc w:val="left"/>
              <w:rPr>
                <w:rFonts w:ascii="Times New Roman"/>
                <w:sz w:val="14"/>
              </w:rPr>
            </w:pPr>
          </w:p>
        </w:tc>
        <w:tc>
          <w:tcPr>
            <w:tcW w:w="468" w:type="dxa"/>
          </w:tcPr>
          <w:p>
            <w:pPr>
              <w:pStyle w:val="TableParagraph"/>
              <w:ind w:left="10" w:right="45"/>
              <w:rPr>
                <w:sz w:val="14"/>
              </w:rPr>
            </w:pPr>
            <w:r>
              <w:rPr>
                <w:color w:val="231F20"/>
                <w:spacing w:val="-5"/>
                <w:w w:val="95"/>
                <w:sz w:val="14"/>
              </w:rPr>
              <w:t>3.8</w:t>
            </w:r>
          </w:p>
        </w:tc>
        <w:tc>
          <w:tcPr>
            <w:tcW w:w="655" w:type="dxa"/>
          </w:tcPr>
          <w:p>
            <w:pPr>
              <w:pStyle w:val="TableParagraph"/>
              <w:ind w:left="72" w:right="68"/>
              <w:rPr>
                <w:sz w:val="14"/>
              </w:rPr>
            </w:pPr>
            <w:r>
              <w:rPr>
                <w:color w:val="231F20"/>
                <w:spacing w:val="-5"/>
                <w:w w:val="95"/>
                <w:sz w:val="14"/>
              </w:rPr>
              <w:t>23</w:t>
            </w:r>
          </w:p>
        </w:tc>
      </w:tr>
      <w:tr>
        <w:trPr>
          <w:trHeight w:val="259" w:hRule="atLeast"/>
        </w:trPr>
        <w:tc>
          <w:tcPr>
            <w:tcW w:w="990" w:type="dxa"/>
            <w:shd w:val="clear" w:color="auto" w:fill="D4E3F5"/>
          </w:tcPr>
          <w:p>
            <w:pPr>
              <w:pStyle w:val="TableParagraph"/>
              <w:ind w:left="80"/>
              <w:jc w:val="left"/>
              <w:rPr>
                <w:sz w:val="14"/>
              </w:rPr>
            </w:pPr>
            <w:r>
              <w:rPr>
                <w:color w:val="231F20"/>
                <w:w w:val="75"/>
                <w:sz w:val="14"/>
              </w:rPr>
              <w:t>United</w:t>
            </w:r>
            <w:r>
              <w:rPr>
                <w:color w:val="231F20"/>
                <w:spacing w:val="9"/>
                <w:sz w:val="14"/>
              </w:rPr>
              <w:t> </w:t>
            </w:r>
            <w:r>
              <w:rPr>
                <w:color w:val="231F20"/>
                <w:spacing w:val="-2"/>
                <w:w w:val="90"/>
                <w:sz w:val="14"/>
              </w:rPr>
              <w:t>States</w:t>
            </w:r>
          </w:p>
        </w:tc>
        <w:tc>
          <w:tcPr>
            <w:tcW w:w="622" w:type="dxa"/>
            <w:shd w:val="clear" w:color="auto" w:fill="D4E3F5"/>
          </w:tcPr>
          <w:p>
            <w:pPr>
              <w:pStyle w:val="TableParagraph"/>
              <w:ind w:left="67" w:right="101"/>
              <w:rPr>
                <w:sz w:val="14"/>
              </w:rPr>
            </w:pPr>
            <w:r>
              <w:rPr>
                <w:color w:val="231F20"/>
                <w:spacing w:val="-5"/>
                <w:w w:val="95"/>
                <w:sz w:val="14"/>
              </w:rPr>
              <w:t>17</w:t>
            </w:r>
          </w:p>
        </w:tc>
        <w:tc>
          <w:tcPr>
            <w:tcW w:w="644" w:type="dxa"/>
            <w:shd w:val="clear" w:color="auto" w:fill="D4E3F5"/>
          </w:tcPr>
          <w:p>
            <w:pPr>
              <w:pStyle w:val="TableParagraph"/>
              <w:ind w:left="164"/>
              <w:jc w:val="left"/>
              <w:rPr>
                <w:sz w:val="14"/>
              </w:rPr>
            </w:pPr>
            <w:r>
              <w:rPr>
                <w:color w:val="231F20"/>
                <w:spacing w:val="-5"/>
                <w:w w:val="95"/>
                <w:sz w:val="14"/>
              </w:rPr>
              <w:t>3.8</w:t>
            </w:r>
          </w:p>
        </w:tc>
        <w:tc>
          <w:tcPr>
            <w:tcW w:w="480" w:type="dxa"/>
            <w:shd w:val="clear" w:color="auto" w:fill="D4E3F5"/>
          </w:tcPr>
          <w:p>
            <w:pPr>
              <w:pStyle w:val="TableParagraph"/>
              <w:ind w:left="104"/>
              <w:jc w:val="left"/>
              <w:rPr>
                <w:sz w:val="14"/>
              </w:rPr>
            </w:pPr>
            <w:r>
              <w:rPr>
                <w:color w:val="231F20"/>
                <w:spacing w:val="-5"/>
                <w:w w:val="95"/>
                <w:sz w:val="14"/>
              </w:rPr>
              <w:t>3.7</w:t>
            </w:r>
          </w:p>
        </w:tc>
        <w:tc>
          <w:tcPr>
            <w:tcW w:w="582" w:type="dxa"/>
            <w:shd w:val="clear" w:color="auto" w:fill="D4E3F5"/>
          </w:tcPr>
          <w:p>
            <w:pPr>
              <w:pStyle w:val="TableParagraph"/>
              <w:ind w:left="7" w:right="6"/>
              <w:rPr>
                <w:sz w:val="14"/>
              </w:rPr>
            </w:pPr>
            <w:r>
              <w:rPr>
                <w:color w:val="231F20"/>
                <w:spacing w:val="-5"/>
                <w:w w:val="95"/>
                <w:sz w:val="14"/>
              </w:rPr>
              <w:t>3.9</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7" w:right="48"/>
              <w:rPr>
                <w:sz w:val="14"/>
              </w:rPr>
            </w:pPr>
            <w:r>
              <w:rPr>
                <w:color w:val="231F20"/>
                <w:spacing w:val="-5"/>
                <w:w w:val="95"/>
                <w:sz w:val="14"/>
              </w:rPr>
              <w:t>3.7</w:t>
            </w:r>
          </w:p>
        </w:tc>
        <w:tc>
          <w:tcPr>
            <w:tcW w:w="574" w:type="dxa"/>
            <w:shd w:val="clear" w:color="auto" w:fill="D4E3F5"/>
          </w:tcPr>
          <w:p>
            <w:pPr>
              <w:pStyle w:val="TableParagraph"/>
              <w:ind w:left="158" w:right="70"/>
              <w:rPr>
                <w:sz w:val="14"/>
              </w:rPr>
            </w:pPr>
            <w:r>
              <w:rPr>
                <w:color w:val="231F20"/>
                <w:spacing w:val="-5"/>
                <w:w w:val="95"/>
                <w:sz w:val="14"/>
              </w:rPr>
              <w:t>14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2" w:right="48"/>
              <w:rPr>
                <w:sz w:val="14"/>
              </w:rPr>
            </w:pPr>
            <w:r>
              <w:rPr>
                <w:color w:val="231F20"/>
                <w:spacing w:val="-5"/>
                <w:w w:val="95"/>
                <w:sz w:val="14"/>
              </w:rPr>
              <w:t>3.9</w:t>
            </w:r>
          </w:p>
        </w:tc>
        <w:tc>
          <w:tcPr>
            <w:tcW w:w="574" w:type="dxa"/>
            <w:shd w:val="clear" w:color="auto" w:fill="D4E3F5"/>
          </w:tcPr>
          <w:p>
            <w:pPr>
              <w:pStyle w:val="TableParagraph"/>
              <w:ind w:left="161" w:right="72"/>
              <w:rPr>
                <w:sz w:val="14"/>
              </w:rPr>
            </w:pPr>
            <w:r>
              <w:rPr>
                <w:color w:val="231F20"/>
                <w:spacing w:val="-5"/>
                <w:w w:val="95"/>
                <w:sz w:val="14"/>
              </w:rPr>
              <w:t>16</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3.4</w:t>
            </w:r>
          </w:p>
        </w:tc>
        <w:tc>
          <w:tcPr>
            <w:tcW w:w="574" w:type="dxa"/>
            <w:shd w:val="clear" w:color="auto" w:fill="D4E3F5"/>
          </w:tcPr>
          <w:p>
            <w:pPr>
              <w:pStyle w:val="TableParagraph"/>
              <w:ind w:left="161" w:right="70"/>
              <w:rPr>
                <w:sz w:val="14"/>
              </w:rPr>
            </w:pPr>
            <w:r>
              <w:rPr>
                <w:color w:val="231F20"/>
                <w:spacing w:val="-5"/>
                <w:w w:val="95"/>
                <w:sz w:val="14"/>
              </w:rPr>
              <w:t>26</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5" w:right="48"/>
              <w:rPr>
                <w:sz w:val="14"/>
              </w:rPr>
            </w:pPr>
            <w:r>
              <w:rPr>
                <w:color w:val="231F20"/>
                <w:spacing w:val="-5"/>
                <w:w w:val="95"/>
                <w:sz w:val="14"/>
              </w:rPr>
              <w:t>3.9</w:t>
            </w:r>
          </w:p>
        </w:tc>
        <w:tc>
          <w:tcPr>
            <w:tcW w:w="574" w:type="dxa"/>
            <w:shd w:val="clear" w:color="auto" w:fill="D4E3F5"/>
          </w:tcPr>
          <w:p>
            <w:pPr>
              <w:pStyle w:val="TableParagraph"/>
              <w:ind w:left="161" w:right="69"/>
              <w:rPr>
                <w:sz w:val="14"/>
              </w:rPr>
            </w:pPr>
            <w:r>
              <w:rPr>
                <w:color w:val="231F20"/>
                <w:spacing w:val="-5"/>
                <w:w w:val="95"/>
                <w:sz w:val="14"/>
              </w:rPr>
              <w:t>14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7" w:right="48"/>
              <w:rPr>
                <w:sz w:val="14"/>
              </w:rPr>
            </w:pPr>
            <w:r>
              <w:rPr>
                <w:color w:val="231F20"/>
                <w:spacing w:val="-5"/>
                <w:w w:val="95"/>
                <w:sz w:val="14"/>
              </w:rPr>
              <w:t>3.8</w:t>
            </w:r>
          </w:p>
        </w:tc>
        <w:tc>
          <w:tcPr>
            <w:tcW w:w="574" w:type="dxa"/>
            <w:shd w:val="clear" w:color="auto" w:fill="D4E3F5"/>
          </w:tcPr>
          <w:p>
            <w:pPr>
              <w:pStyle w:val="TableParagraph"/>
              <w:ind w:left="161" w:right="67"/>
              <w:rPr>
                <w:sz w:val="14"/>
              </w:rPr>
            </w:pPr>
            <w:r>
              <w:rPr>
                <w:color w:val="231F20"/>
                <w:spacing w:val="-5"/>
                <w:w w:val="95"/>
                <w:sz w:val="14"/>
              </w:rPr>
              <w:t>25</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8" w:right="45"/>
              <w:rPr>
                <w:sz w:val="14"/>
              </w:rPr>
            </w:pPr>
            <w:r>
              <w:rPr>
                <w:color w:val="231F20"/>
                <w:spacing w:val="-5"/>
                <w:w w:val="95"/>
                <w:sz w:val="14"/>
              </w:rPr>
              <w:t>4.2</w:t>
            </w:r>
          </w:p>
        </w:tc>
        <w:tc>
          <w:tcPr>
            <w:tcW w:w="655" w:type="dxa"/>
            <w:shd w:val="clear" w:color="auto" w:fill="D4E3F5"/>
          </w:tcPr>
          <w:p>
            <w:pPr>
              <w:pStyle w:val="TableParagraph"/>
              <w:ind w:left="132" w:right="60"/>
              <w:rPr>
                <w:sz w:val="14"/>
              </w:rPr>
            </w:pPr>
            <w:r>
              <w:rPr>
                <w:color w:val="231F20"/>
                <w:spacing w:val="-10"/>
                <w:w w:val="95"/>
                <w:sz w:val="14"/>
              </w:rPr>
              <w:t>3</w:t>
            </w:r>
          </w:p>
        </w:tc>
      </w:tr>
      <w:tr>
        <w:trPr>
          <w:trHeight w:val="259" w:hRule="atLeast"/>
        </w:trPr>
        <w:tc>
          <w:tcPr>
            <w:tcW w:w="990" w:type="dxa"/>
          </w:tcPr>
          <w:p>
            <w:pPr>
              <w:pStyle w:val="TableParagraph"/>
              <w:ind w:left="80"/>
              <w:jc w:val="left"/>
              <w:rPr>
                <w:sz w:val="14"/>
              </w:rPr>
            </w:pPr>
            <w:r>
              <w:rPr>
                <w:color w:val="231F20"/>
                <w:spacing w:val="-2"/>
                <w:w w:val="90"/>
                <w:sz w:val="14"/>
              </w:rPr>
              <w:t>Australia</w:t>
            </w:r>
          </w:p>
        </w:tc>
        <w:tc>
          <w:tcPr>
            <w:tcW w:w="622" w:type="dxa"/>
          </w:tcPr>
          <w:p>
            <w:pPr>
              <w:pStyle w:val="TableParagraph"/>
              <w:ind w:left="67" w:right="101"/>
              <w:rPr>
                <w:sz w:val="14"/>
              </w:rPr>
            </w:pPr>
            <w:r>
              <w:rPr>
                <w:color w:val="231F20"/>
                <w:spacing w:val="-5"/>
                <w:w w:val="95"/>
                <w:sz w:val="14"/>
              </w:rPr>
              <w:t>19</w:t>
            </w:r>
          </w:p>
        </w:tc>
        <w:tc>
          <w:tcPr>
            <w:tcW w:w="644" w:type="dxa"/>
          </w:tcPr>
          <w:p>
            <w:pPr>
              <w:pStyle w:val="TableParagraph"/>
              <w:ind w:left="166"/>
              <w:jc w:val="left"/>
              <w:rPr>
                <w:sz w:val="14"/>
              </w:rPr>
            </w:pPr>
            <w:r>
              <w:rPr>
                <w:color w:val="231F20"/>
                <w:spacing w:val="-5"/>
                <w:w w:val="95"/>
                <w:sz w:val="14"/>
              </w:rPr>
              <w:t>3.7</w:t>
            </w:r>
          </w:p>
        </w:tc>
        <w:tc>
          <w:tcPr>
            <w:tcW w:w="480" w:type="dxa"/>
          </w:tcPr>
          <w:p>
            <w:pPr>
              <w:pStyle w:val="TableParagraph"/>
              <w:ind w:left="102"/>
              <w:jc w:val="left"/>
              <w:rPr>
                <w:sz w:val="14"/>
              </w:rPr>
            </w:pPr>
            <w:r>
              <w:rPr>
                <w:color w:val="231F20"/>
                <w:spacing w:val="-5"/>
                <w:w w:val="95"/>
                <w:sz w:val="14"/>
              </w:rPr>
              <w:t>3.5</w:t>
            </w:r>
          </w:p>
        </w:tc>
        <w:tc>
          <w:tcPr>
            <w:tcW w:w="582" w:type="dxa"/>
          </w:tcPr>
          <w:p>
            <w:pPr>
              <w:pStyle w:val="TableParagraph"/>
              <w:ind w:left="7" w:right="6"/>
              <w:rPr>
                <w:sz w:val="14"/>
              </w:rPr>
            </w:pPr>
            <w:r>
              <w:rPr>
                <w:color w:val="231F20"/>
                <w:spacing w:val="-5"/>
                <w:w w:val="95"/>
                <w:sz w:val="14"/>
              </w:rPr>
              <w:t>3.9</w:t>
            </w:r>
          </w:p>
        </w:tc>
        <w:tc>
          <w:tcPr>
            <w:tcW w:w="80" w:type="dxa"/>
          </w:tcPr>
          <w:p>
            <w:pPr>
              <w:pStyle w:val="TableParagraph"/>
              <w:spacing w:before="0"/>
              <w:jc w:val="left"/>
              <w:rPr>
                <w:rFonts w:ascii="Times New Roman"/>
                <w:sz w:val="14"/>
              </w:rPr>
            </w:pPr>
          </w:p>
        </w:tc>
        <w:tc>
          <w:tcPr>
            <w:tcW w:w="463" w:type="dxa"/>
          </w:tcPr>
          <w:p>
            <w:pPr>
              <w:pStyle w:val="TableParagraph"/>
              <w:ind w:left="7" w:right="48"/>
              <w:rPr>
                <w:sz w:val="14"/>
              </w:rPr>
            </w:pPr>
            <w:r>
              <w:rPr>
                <w:color w:val="231F20"/>
                <w:spacing w:val="-5"/>
                <w:w w:val="95"/>
                <w:sz w:val="14"/>
              </w:rPr>
              <w:t>3.7</w:t>
            </w:r>
          </w:p>
        </w:tc>
        <w:tc>
          <w:tcPr>
            <w:tcW w:w="574" w:type="dxa"/>
          </w:tcPr>
          <w:p>
            <w:pPr>
              <w:pStyle w:val="TableParagraph"/>
              <w:ind w:left="158" w:right="70"/>
              <w:rPr>
                <w:sz w:val="14"/>
              </w:rPr>
            </w:pPr>
            <w:r>
              <w:rPr>
                <w:color w:val="231F20"/>
                <w:spacing w:val="-5"/>
                <w:w w:val="95"/>
                <w:sz w:val="14"/>
              </w:rPr>
              <w:t>14</w:t>
            </w:r>
          </w:p>
        </w:tc>
        <w:tc>
          <w:tcPr>
            <w:tcW w:w="126" w:type="dxa"/>
          </w:tcPr>
          <w:p>
            <w:pPr>
              <w:pStyle w:val="TableParagraph"/>
              <w:spacing w:before="0"/>
              <w:jc w:val="left"/>
              <w:rPr>
                <w:rFonts w:ascii="Times New Roman"/>
                <w:sz w:val="14"/>
              </w:rPr>
            </w:pPr>
          </w:p>
        </w:tc>
        <w:tc>
          <w:tcPr>
            <w:tcW w:w="463" w:type="dxa"/>
          </w:tcPr>
          <w:p>
            <w:pPr>
              <w:pStyle w:val="TableParagraph"/>
              <w:ind w:left="2" w:right="48"/>
              <w:rPr>
                <w:sz w:val="14"/>
              </w:rPr>
            </w:pPr>
            <w:r>
              <w:rPr>
                <w:color w:val="231F20"/>
                <w:spacing w:val="-5"/>
                <w:w w:val="95"/>
                <w:sz w:val="14"/>
              </w:rPr>
              <w:t>4.1</w:t>
            </w:r>
          </w:p>
        </w:tc>
        <w:tc>
          <w:tcPr>
            <w:tcW w:w="574" w:type="dxa"/>
          </w:tcPr>
          <w:p>
            <w:pPr>
              <w:pStyle w:val="TableParagraph"/>
              <w:ind w:left="161" w:right="4"/>
              <w:rPr>
                <w:sz w:val="14"/>
              </w:rPr>
            </w:pPr>
            <w:r>
              <w:rPr>
                <w:color w:val="231F20"/>
                <w:spacing w:val="-10"/>
                <w:w w:val="95"/>
                <w:sz w:val="14"/>
              </w:rPr>
              <w:t>9</w:t>
            </w:r>
          </w:p>
        </w:tc>
        <w:tc>
          <w:tcPr>
            <w:tcW w:w="126" w:type="dxa"/>
          </w:tcPr>
          <w:p>
            <w:pPr>
              <w:pStyle w:val="TableParagraph"/>
              <w:spacing w:before="0"/>
              <w:jc w:val="left"/>
              <w:rPr>
                <w:rFonts w:ascii="Times New Roman"/>
                <w:sz w:val="14"/>
              </w:rPr>
            </w:pPr>
          </w:p>
        </w:tc>
        <w:tc>
          <w:tcPr>
            <w:tcW w:w="463" w:type="dxa"/>
          </w:tcPr>
          <w:p>
            <w:pPr>
              <w:pStyle w:val="TableParagraph"/>
              <w:ind w:left="3" w:right="48"/>
              <w:rPr>
                <w:sz w:val="14"/>
              </w:rPr>
            </w:pPr>
            <w:r>
              <w:rPr>
                <w:color w:val="231F20"/>
                <w:spacing w:val="-5"/>
                <w:w w:val="95"/>
                <w:sz w:val="14"/>
              </w:rPr>
              <w:t>3.1</w:t>
            </w:r>
          </w:p>
        </w:tc>
        <w:tc>
          <w:tcPr>
            <w:tcW w:w="574" w:type="dxa"/>
          </w:tcPr>
          <w:p>
            <w:pPr>
              <w:pStyle w:val="TableParagraph"/>
              <w:ind w:left="161" w:right="70"/>
              <w:rPr>
                <w:sz w:val="14"/>
              </w:rPr>
            </w:pPr>
            <w:r>
              <w:rPr>
                <w:color w:val="231F20"/>
                <w:spacing w:val="-5"/>
                <w:w w:val="95"/>
                <w:sz w:val="14"/>
              </w:rPr>
              <w:t>47</w:t>
            </w:r>
          </w:p>
        </w:tc>
        <w:tc>
          <w:tcPr>
            <w:tcW w:w="126" w:type="dxa"/>
          </w:tcPr>
          <w:p>
            <w:pPr>
              <w:pStyle w:val="TableParagraph"/>
              <w:spacing w:before="0"/>
              <w:jc w:val="left"/>
              <w:rPr>
                <w:rFonts w:ascii="Times New Roman"/>
                <w:sz w:val="14"/>
              </w:rPr>
            </w:pPr>
          </w:p>
        </w:tc>
        <w:tc>
          <w:tcPr>
            <w:tcW w:w="463" w:type="dxa"/>
          </w:tcPr>
          <w:p>
            <w:pPr>
              <w:pStyle w:val="TableParagraph"/>
              <w:ind w:left="15" w:right="48"/>
              <w:rPr>
                <w:sz w:val="14"/>
              </w:rPr>
            </w:pPr>
            <w:r>
              <w:rPr>
                <w:color w:val="231F20"/>
                <w:spacing w:val="-5"/>
                <w:w w:val="95"/>
                <w:sz w:val="14"/>
              </w:rPr>
              <w:t>3.9</w:t>
            </w:r>
          </w:p>
        </w:tc>
        <w:tc>
          <w:tcPr>
            <w:tcW w:w="574" w:type="dxa"/>
          </w:tcPr>
          <w:p>
            <w:pPr>
              <w:pStyle w:val="TableParagraph"/>
              <w:ind w:left="161" w:right="69"/>
              <w:rPr>
                <w:sz w:val="14"/>
              </w:rPr>
            </w:pPr>
            <w:r>
              <w:rPr>
                <w:color w:val="231F20"/>
                <w:spacing w:val="-5"/>
                <w:w w:val="95"/>
                <w:sz w:val="14"/>
              </w:rPr>
              <w:t>14</w:t>
            </w:r>
          </w:p>
        </w:tc>
        <w:tc>
          <w:tcPr>
            <w:tcW w:w="126" w:type="dxa"/>
          </w:tcPr>
          <w:p>
            <w:pPr>
              <w:pStyle w:val="TableParagraph"/>
              <w:spacing w:before="0"/>
              <w:jc w:val="left"/>
              <w:rPr>
                <w:rFonts w:ascii="Times New Roman"/>
                <w:sz w:val="14"/>
              </w:rPr>
            </w:pPr>
          </w:p>
        </w:tc>
        <w:tc>
          <w:tcPr>
            <w:tcW w:w="463" w:type="dxa"/>
          </w:tcPr>
          <w:p>
            <w:pPr>
              <w:pStyle w:val="TableParagraph"/>
              <w:ind w:left="16" w:right="48"/>
              <w:rPr>
                <w:sz w:val="14"/>
              </w:rPr>
            </w:pPr>
            <w:r>
              <w:rPr>
                <w:color w:val="231F20"/>
                <w:spacing w:val="-5"/>
                <w:w w:val="95"/>
                <w:sz w:val="14"/>
              </w:rPr>
              <w:t>3.6</w:t>
            </w:r>
          </w:p>
        </w:tc>
        <w:tc>
          <w:tcPr>
            <w:tcW w:w="574" w:type="dxa"/>
          </w:tcPr>
          <w:p>
            <w:pPr>
              <w:pStyle w:val="TableParagraph"/>
              <w:ind w:left="161" w:right="67"/>
              <w:rPr>
                <w:sz w:val="14"/>
              </w:rPr>
            </w:pPr>
            <w:r>
              <w:rPr>
                <w:color w:val="231F20"/>
                <w:spacing w:val="-5"/>
                <w:w w:val="95"/>
                <w:sz w:val="14"/>
              </w:rPr>
              <w:t>35</w:t>
            </w:r>
          </w:p>
        </w:tc>
        <w:tc>
          <w:tcPr>
            <w:tcW w:w="126" w:type="dxa"/>
          </w:tcPr>
          <w:p>
            <w:pPr>
              <w:pStyle w:val="TableParagraph"/>
              <w:spacing w:before="0"/>
              <w:jc w:val="left"/>
              <w:rPr>
                <w:rFonts w:ascii="Times New Roman"/>
                <w:sz w:val="14"/>
              </w:rPr>
            </w:pPr>
          </w:p>
        </w:tc>
        <w:tc>
          <w:tcPr>
            <w:tcW w:w="468" w:type="dxa"/>
          </w:tcPr>
          <w:p>
            <w:pPr>
              <w:pStyle w:val="TableParagraph"/>
              <w:ind w:right="45"/>
              <w:rPr>
                <w:sz w:val="14"/>
              </w:rPr>
            </w:pPr>
            <w:r>
              <w:rPr>
                <w:color w:val="231F20"/>
                <w:spacing w:val="-5"/>
                <w:w w:val="95"/>
                <w:sz w:val="14"/>
              </w:rPr>
              <w:t>4.1</w:t>
            </w:r>
          </w:p>
        </w:tc>
        <w:tc>
          <w:tcPr>
            <w:tcW w:w="655" w:type="dxa"/>
          </w:tcPr>
          <w:p>
            <w:pPr>
              <w:pStyle w:val="TableParagraph"/>
              <w:ind w:left="72" w:right="68"/>
              <w:rPr>
                <w:sz w:val="14"/>
              </w:rPr>
            </w:pPr>
            <w:r>
              <w:rPr>
                <w:color w:val="231F20"/>
                <w:spacing w:val="-5"/>
                <w:w w:val="95"/>
                <w:sz w:val="14"/>
              </w:rPr>
              <w:t>11</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China</w:t>
            </w:r>
          </w:p>
        </w:tc>
        <w:tc>
          <w:tcPr>
            <w:tcW w:w="622" w:type="dxa"/>
            <w:shd w:val="clear" w:color="auto" w:fill="D4E3F5"/>
          </w:tcPr>
          <w:p>
            <w:pPr>
              <w:pStyle w:val="TableParagraph"/>
              <w:ind w:left="67" w:right="101"/>
              <w:rPr>
                <w:sz w:val="14"/>
              </w:rPr>
            </w:pPr>
            <w:r>
              <w:rPr>
                <w:color w:val="231F20"/>
                <w:spacing w:val="-5"/>
                <w:w w:val="95"/>
                <w:sz w:val="14"/>
              </w:rPr>
              <w:t>19</w:t>
            </w:r>
          </w:p>
        </w:tc>
        <w:tc>
          <w:tcPr>
            <w:tcW w:w="644" w:type="dxa"/>
            <w:shd w:val="clear" w:color="auto" w:fill="D4E3F5"/>
          </w:tcPr>
          <w:p>
            <w:pPr>
              <w:pStyle w:val="TableParagraph"/>
              <w:ind w:left="166"/>
              <w:jc w:val="left"/>
              <w:rPr>
                <w:sz w:val="14"/>
              </w:rPr>
            </w:pPr>
            <w:r>
              <w:rPr>
                <w:color w:val="231F20"/>
                <w:spacing w:val="-5"/>
                <w:w w:val="95"/>
                <w:sz w:val="14"/>
              </w:rPr>
              <w:t>3.7</w:t>
            </w:r>
          </w:p>
        </w:tc>
        <w:tc>
          <w:tcPr>
            <w:tcW w:w="480" w:type="dxa"/>
            <w:shd w:val="clear" w:color="auto" w:fill="D4E3F5"/>
          </w:tcPr>
          <w:p>
            <w:pPr>
              <w:pStyle w:val="TableParagraph"/>
              <w:ind w:left="102"/>
              <w:jc w:val="left"/>
              <w:rPr>
                <w:sz w:val="14"/>
              </w:rPr>
            </w:pPr>
            <w:r>
              <w:rPr>
                <w:color w:val="231F20"/>
                <w:spacing w:val="-5"/>
                <w:w w:val="95"/>
                <w:sz w:val="14"/>
              </w:rPr>
              <w:t>3.6</w:t>
            </w:r>
          </w:p>
        </w:tc>
        <w:tc>
          <w:tcPr>
            <w:tcW w:w="582" w:type="dxa"/>
            <w:shd w:val="clear" w:color="auto" w:fill="D4E3F5"/>
          </w:tcPr>
          <w:p>
            <w:pPr>
              <w:pStyle w:val="TableParagraph"/>
              <w:ind w:left="7" w:right="6"/>
              <w:rPr>
                <w:sz w:val="14"/>
              </w:rPr>
            </w:pPr>
            <w:r>
              <w:rPr>
                <w:color w:val="231F20"/>
                <w:spacing w:val="-5"/>
                <w:w w:val="95"/>
                <w:sz w:val="14"/>
              </w:rPr>
              <w:t>3.8</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3.3</w:t>
            </w:r>
          </w:p>
        </w:tc>
        <w:tc>
          <w:tcPr>
            <w:tcW w:w="574" w:type="dxa"/>
            <w:shd w:val="clear" w:color="auto" w:fill="D4E3F5"/>
          </w:tcPr>
          <w:p>
            <w:pPr>
              <w:pStyle w:val="TableParagraph"/>
              <w:ind w:left="158" w:right="70"/>
              <w:rPr>
                <w:sz w:val="14"/>
              </w:rPr>
            </w:pPr>
            <w:r>
              <w:rPr>
                <w:color w:val="231F20"/>
                <w:spacing w:val="-5"/>
                <w:w w:val="95"/>
                <w:sz w:val="14"/>
              </w:rPr>
              <w:t>31</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0" w:right="48"/>
              <w:rPr>
                <w:sz w:val="14"/>
              </w:rPr>
            </w:pPr>
            <w:r>
              <w:rPr>
                <w:color w:val="231F20"/>
                <w:spacing w:val="-5"/>
                <w:w w:val="95"/>
                <w:sz w:val="14"/>
              </w:rPr>
              <w:t>4.0</w:t>
            </w:r>
          </w:p>
        </w:tc>
        <w:tc>
          <w:tcPr>
            <w:tcW w:w="574" w:type="dxa"/>
            <w:shd w:val="clear" w:color="auto" w:fill="D4E3F5"/>
          </w:tcPr>
          <w:p>
            <w:pPr>
              <w:pStyle w:val="TableParagraph"/>
              <w:ind w:left="161" w:right="72"/>
              <w:rPr>
                <w:sz w:val="14"/>
              </w:rPr>
            </w:pPr>
            <w:r>
              <w:rPr>
                <w:color w:val="231F20"/>
                <w:spacing w:val="-5"/>
                <w:w w:val="95"/>
                <w:sz w:val="14"/>
              </w:rPr>
              <w:t>14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3" w:right="48"/>
              <w:rPr>
                <w:sz w:val="14"/>
              </w:rPr>
            </w:pPr>
            <w:r>
              <w:rPr>
                <w:color w:val="231F20"/>
                <w:spacing w:val="-5"/>
                <w:w w:val="95"/>
                <w:sz w:val="14"/>
              </w:rPr>
              <w:t>3.6</w:t>
            </w:r>
          </w:p>
        </w:tc>
        <w:tc>
          <w:tcPr>
            <w:tcW w:w="574" w:type="dxa"/>
            <w:shd w:val="clear" w:color="auto" w:fill="D4E3F5"/>
          </w:tcPr>
          <w:p>
            <w:pPr>
              <w:pStyle w:val="TableParagraph"/>
              <w:ind w:left="161" w:right="70"/>
              <w:rPr>
                <w:sz w:val="14"/>
              </w:rPr>
            </w:pPr>
            <w:r>
              <w:rPr>
                <w:color w:val="231F20"/>
                <w:spacing w:val="-5"/>
                <w:w w:val="95"/>
                <w:sz w:val="14"/>
              </w:rPr>
              <w:t>14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5" w:right="48"/>
              <w:rPr>
                <w:sz w:val="14"/>
              </w:rPr>
            </w:pPr>
            <w:r>
              <w:rPr>
                <w:color w:val="231F20"/>
                <w:spacing w:val="-5"/>
                <w:w w:val="95"/>
                <w:sz w:val="14"/>
              </w:rPr>
              <w:t>3.8</w:t>
            </w:r>
          </w:p>
        </w:tc>
        <w:tc>
          <w:tcPr>
            <w:tcW w:w="574" w:type="dxa"/>
            <w:shd w:val="clear" w:color="auto" w:fill="D4E3F5"/>
          </w:tcPr>
          <w:p>
            <w:pPr>
              <w:pStyle w:val="TableParagraph"/>
              <w:ind w:left="161" w:right="69"/>
              <w:rPr>
                <w:sz w:val="14"/>
              </w:rPr>
            </w:pPr>
            <w:r>
              <w:rPr>
                <w:color w:val="231F20"/>
                <w:spacing w:val="-5"/>
                <w:w w:val="95"/>
                <w:sz w:val="14"/>
              </w:rPr>
              <w:t>20</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3" w:right="48"/>
              <w:rPr>
                <w:sz w:val="14"/>
              </w:rPr>
            </w:pPr>
            <w:r>
              <w:rPr>
                <w:color w:val="231F20"/>
                <w:spacing w:val="-5"/>
                <w:w w:val="95"/>
                <w:sz w:val="14"/>
              </w:rPr>
              <w:t>3.7</w:t>
            </w:r>
          </w:p>
        </w:tc>
        <w:tc>
          <w:tcPr>
            <w:tcW w:w="574" w:type="dxa"/>
            <w:shd w:val="clear" w:color="auto" w:fill="D4E3F5"/>
          </w:tcPr>
          <w:p>
            <w:pPr>
              <w:pStyle w:val="TableParagraph"/>
              <w:ind w:left="161" w:right="67"/>
              <w:rPr>
                <w:sz w:val="14"/>
              </w:rPr>
            </w:pPr>
            <w:r>
              <w:rPr>
                <w:color w:val="231F20"/>
                <w:spacing w:val="-5"/>
                <w:w w:val="95"/>
                <w:sz w:val="14"/>
              </w:rPr>
              <w:t>30</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10" w:right="45"/>
              <w:rPr>
                <w:sz w:val="14"/>
              </w:rPr>
            </w:pPr>
            <w:r>
              <w:rPr>
                <w:color w:val="231F20"/>
                <w:spacing w:val="-5"/>
                <w:w w:val="95"/>
                <w:sz w:val="14"/>
              </w:rPr>
              <w:t>3.8</w:t>
            </w:r>
          </w:p>
        </w:tc>
        <w:tc>
          <w:tcPr>
            <w:tcW w:w="655" w:type="dxa"/>
            <w:shd w:val="clear" w:color="auto" w:fill="D4E3F5"/>
          </w:tcPr>
          <w:p>
            <w:pPr>
              <w:pStyle w:val="TableParagraph"/>
              <w:ind w:left="72" w:right="68"/>
              <w:rPr>
                <w:sz w:val="14"/>
              </w:rPr>
            </w:pPr>
            <w:r>
              <w:rPr>
                <w:color w:val="231F20"/>
                <w:spacing w:val="-5"/>
                <w:w w:val="95"/>
                <w:sz w:val="14"/>
              </w:rPr>
              <w:t>23</w:t>
            </w:r>
          </w:p>
        </w:tc>
      </w:tr>
      <w:tr>
        <w:trPr>
          <w:trHeight w:val="259" w:hRule="atLeast"/>
        </w:trPr>
        <w:tc>
          <w:tcPr>
            <w:tcW w:w="990" w:type="dxa"/>
          </w:tcPr>
          <w:p>
            <w:pPr>
              <w:pStyle w:val="TableParagraph"/>
              <w:ind w:left="80"/>
              <w:jc w:val="left"/>
              <w:rPr>
                <w:sz w:val="14"/>
              </w:rPr>
            </w:pPr>
            <w:r>
              <w:rPr>
                <w:color w:val="231F20"/>
                <w:spacing w:val="-2"/>
                <w:w w:val="85"/>
                <w:sz w:val="14"/>
              </w:rPr>
              <w:t>Greece</w:t>
            </w:r>
          </w:p>
        </w:tc>
        <w:tc>
          <w:tcPr>
            <w:tcW w:w="622" w:type="dxa"/>
          </w:tcPr>
          <w:p>
            <w:pPr>
              <w:pStyle w:val="TableParagraph"/>
              <w:ind w:left="67" w:right="101"/>
              <w:rPr>
                <w:sz w:val="14"/>
              </w:rPr>
            </w:pPr>
            <w:r>
              <w:rPr>
                <w:color w:val="231F20"/>
                <w:spacing w:val="-5"/>
                <w:w w:val="95"/>
                <w:sz w:val="14"/>
              </w:rPr>
              <w:t>19</w:t>
            </w:r>
          </w:p>
        </w:tc>
        <w:tc>
          <w:tcPr>
            <w:tcW w:w="644" w:type="dxa"/>
          </w:tcPr>
          <w:p>
            <w:pPr>
              <w:pStyle w:val="TableParagraph"/>
              <w:ind w:left="166"/>
              <w:jc w:val="left"/>
              <w:rPr>
                <w:sz w:val="14"/>
              </w:rPr>
            </w:pPr>
            <w:r>
              <w:rPr>
                <w:color w:val="231F20"/>
                <w:spacing w:val="-5"/>
                <w:w w:val="95"/>
                <w:sz w:val="14"/>
              </w:rPr>
              <w:t>3.7</w:t>
            </w:r>
          </w:p>
        </w:tc>
        <w:tc>
          <w:tcPr>
            <w:tcW w:w="480" w:type="dxa"/>
          </w:tcPr>
          <w:p>
            <w:pPr>
              <w:pStyle w:val="TableParagraph"/>
              <w:ind w:left="102"/>
              <w:jc w:val="left"/>
              <w:rPr>
                <w:sz w:val="14"/>
              </w:rPr>
            </w:pPr>
            <w:r>
              <w:rPr>
                <w:color w:val="231F20"/>
                <w:spacing w:val="-5"/>
                <w:w w:val="95"/>
                <w:sz w:val="14"/>
              </w:rPr>
              <w:t>3.5</w:t>
            </w:r>
          </w:p>
        </w:tc>
        <w:tc>
          <w:tcPr>
            <w:tcW w:w="582" w:type="dxa"/>
          </w:tcPr>
          <w:p>
            <w:pPr>
              <w:pStyle w:val="TableParagraph"/>
              <w:ind w:left="7" w:right="6"/>
              <w:rPr>
                <w:sz w:val="14"/>
              </w:rPr>
            </w:pPr>
            <w:r>
              <w:rPr>
                <w:color w:val="231F20"/>
                <w:spacing w:val="-5"/>
                <w:w w:val="95"/>
                <w:sz w:val="14"/>
              </w:rPr>
              <w:t>3.9</w:t>
            </w:r>
          </w:p>
        </w:tc>
        <w:tc>
          <w:tcPr>
            <w:tcW w:w="80" w:type="dxa"/>
          </w:tcPr>
          <w:p>
            <w:pPr>
              <w:pStyle w:val="TableParagraph"/>
              <w:spacing w:before="0"/>
              <w:jc w:val="left"/>
              <w:rPr>
                <w:rFonts w:ascii="Times New Roman"/>
                <w:sz w:val="14"/>
              </w:rPr>
            </w:pPr>
          </w:p>
        </w:tc>
        <w:tc>
          <w:tcPr>
            <w:tcW w:w="463" w:type="dxa"/>
          </w:tcPr>
          <w:p>
            <w:pPr>
              <w:pStyle w:val="TableParagraph"/>
              <w:ind w:left="8" w:right="48"/>
              <w:rPr>
                <w:sz w:val="14"/>
              </w:rPr>
            </w:pPr>
            <w:r>
              <w:rPr>
                <w:color w:val="231F20"/>
                <w:spacing w:val="-5"/>
                <w:w w:val="95"/>
                <w:sz w:val="14"/>
              </w:rPr>
              <w:t>3.2</w:t>
            </w:r>
          </w:p>
        </w:tc>
        <w:tc>
          <w:tcPr>
            <w:tcW w:w="574" w:type="dxa"/>
          </w:tcPr>
          <w:p>
            <w:pPr>
              <w:pStyle w:val="TableParagraph"/>
              <w:ind w:left="158" w:right="70"/>
              <w:rPr>
                <w:sz w:val="14"/>
              </w:rPr>
            </w:pPr>
            <w:r>
              <w:rPr>
                <w:color w:val="231F20"/>
                <w:spacing w:val="-5"/>
                <w:w w:val="95"/>
                <w:sz w:val="14"/>
              </w:rPr>
              <w:t>37</w:t>
            </w:r>
          </w:p>
        </w:tc>
        <w:tc>
          <w:tcPr>
            <w:tcW w:w="126" w:type="dxa"/>
          </w:tcPr>
          <w:p>
            <w:pPr>
              <w:pStyle w:val="TableParagraph"/>
              <w:spacing w:before="0"/>
              <w:jc w:val="left"/>
              <w:rPr>
                <w:rFonts w:ascii="Times New Roman"/>
                <w:sz w:val="14"/>
              </w:rPr>
            </w:pPr>
          </w:p>
        </w:tc>
        <w:tc>
          <w:tcPr>
            <w:tcW w:w="463" w:type="dxa"/>
          </w:tcPr>
          <w:p>
            <w:pPr>
              <w:pStyle w:val="TableParagraph"/>
              <w:ind w:left="8" w:right="48"/>
              <w:rPr>
                <w:sz w:val="14"/>
              </w:rPr>
            </w:pPr>
            <w:r>
              <w:rPr>
                <w:color w:val="231F20"/>
                <w:spacing w:val="-5"/>
                <w:w w:val="95"/>
                <w:sz w:val="14"/>
              </w:rPr>
              <w:t>3.7</w:t>
            </w:r>
          </w:p>
        </w:tc>
        <w:tc>
          <w:tcPr>
            <w:tcW w:w="574" w:type="dxa"/>
          </w:tcPr>
          <w:p>
            <w:pPr>
              <w:pStyle w:val="TableParagraph"/>
              <w:ind w:left="161" w:right="72"/>
              <w:rPr>
                <w:sz w:val="14"/>
              </w:rPr>
            </w:pPr>
            <w:r>
              <w:rPr>
                <w:color w:val="231F20"/>
                <w:spacing w:val="-5"/>
                <w:w w:val="95"/>
                <w:sz w:val="14"/>
              </w:rPr>
              <w:t>25</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3.8</w:t>
            </w:r>
          </w:p>
        </w:tc>
        <w:tc>
          <w:tcPr>
            <w:tcW w:w="574" w:type="dxa"/>
          </w:tcPr>
          <w:p>
            <w:pPr>
              <w:pStyle w:val="TableParagraph"/>
              <w:ind w:left="158"/>
              <w:rPr>
                <w:sz w:val="14"/>
              </w:rPr>
            </w:pPr>
            <w:r>
              <w:rPr>
                <w:color w:val="231F20"/>
                <w:spacing w:val="-10"/>
                <w:w w:val="95"/>
                <w:sz w:val="14"/>
              </w:rPr>
              <w:t>4</w:t>
            </w:r>
          </w:p>
        </w:tc>
        <w:tc>
          <w:tcPr>
            <w:tcW w:w="126" w:type="dxa"/>
          </w:tcPr>
          <w:p>
            <w:pPr>
              <w:pStyle w:val="TableParagraph"/>
              <w:spacing w:before="0"/>
              <w:jc w:val="left"/>
              <w:rPr>
                <w:rFonts w:ascii="Times New Roman"/>
                <w:sz w:val="14"/>
              </w:rPr>
            </w:pPr>
          </w:p>
        </w:tc>
        <w:tc>
          <w:tcPr>
            <w:tcW w:w="463" w:type="dxa"/>
          </w:tcPr>
          <w:p>
            <w:pPr>
              <w:pStyle w:val="TableParagraph"/>
              <w:ind w:left="15" w:right="48"/>
              <w:rPr>
                <w:sz w:val="14"/>
              </w:rPr>
            </w:pPr>
            <w:r>
              <w:rPr>
                <w:color w:val="231F20"/>
                <w:spacing w:val="-5"/>
                <w:w w:val="95"/>
                <w:sz w:val="14"/>
              </w:rPr>
              <w:t>3.8</w:t>
            </w:r>
          </w:p>
        </w:tc>
        <w:tc>
          <w:tcPr>
            <w:tcW w:w="574" w:type="dxa"/>
          </w:tcPr>
          <w:p>
            <w:pPr>
              <w:pStyle w:val="TableParagraph"/>
              <w:ind w:left="161" w:right="69"/>
              <w:rPr>
                <w:sz w:val="14"/>
              </w:rPr>
            </w:pPr>
            <w:r>
              <w:rPr>
                <w:color w:val="231F20"/>
                <w:spacing w:val="-5"/>
                <w:w w:val="95"/>
                <w:sz w:val="14"/>
              </w:rPr>
              <w:t>20</w:t>
            </w:r>
          </w:p>
        </w:tc>
        <w:tc>
          <w:tcPr>
            <w:tcW w:w="126" w:type="dxa"/>
          </w:tcPr>
          <w:p>
            <w:pPr>
              <w:pStyle w:val="TableParagraph"/>
              <w:spacing w:before="0"/>
              <w:jc w:val="left"/>
              <w:rPr>
                <w:rFonts w:ascii="Times New Roman"/>
                <w:sz w:val="14"/>
              </w:rPr>
            </w:pPr>
          </w:p>
        </w:tc>
        <w:tc>
          <w:tcPr>
            <w:tcW w:w="463" w:type="dxa"/>
          </w:tcPr>
          <w:p>
            <w:pPr>
              <w:pStyle w:val="TableParagraph"/>
              <w:ind w:left="16" w:right="48"/>
              <w:rPr>
                <w:sz w:val="14"/>
              </w:rPr>
            </w:pPr>
            <w:r>
              <w:rPr>
                <w:color w:val="231F20"/>
                <w:spacing w:val="-5"/>
                <w:w w:val="95"/>
                <w:sz w:val="14"/>
              </w:rPr>
              <w:t>3.9</w:t>
            </w:r>
          </w:p>
        </w:tc>
        <w:tc>
          <w:tcPr>
            <w:tcW w:w="574" w:type="dxa"/>
          </w:tcPr>
          <w:p>
            <w:pPr>
              <w:pStyle w:val="TableParagraph"/>
              <w:ind w:left="161" w:right="67"/>
              <w:rPr>
                <w:sz w:val="14"/>
              </w:rPr>
            </w:pPr>
            <w:r>
              <w:rPr>
                <w:color w:val="231F20"/>
                <w:spacing w:val="-5"/>
                <w:w w:val="95"/>
                <w:sz w:val="14"/>
              </w:rPr>
              <w:t>21</w:t>
            </w:r>
          </w:p>
        </w:tc>
        <w:tc>
          <w:tcPr>
            <w:tcW w:w="126" w:type="dxa"/>
          </w:tcPr>
          <w:p>
            <w:pPr>
              <w:pStyle w:val="TableParagraph"/>
              <w:spacing w:before="0"/>
              <w:jc w:val="left"/>
              <w:rPr>
                <w:rFonts w:ascii="Times New Roman"/>
                <w:sz w:val="14"/>
              </w:rPr>
            </w:pPr>
          </w:p>
        </w:tc>
        <w:tc>
          <w:tcPr>
            <w:tcW w:w="468" w:type="dxa"/>
          </w:tcPr>
          <w:p>
            <w:pPr>
              <w:pStyle w:val="TableParagraph"/>
              <w:ind w:left="10" w:right="45"/>
              <w:rPr>
                <w:sz w:val="14"/>
              </w:rPr>
            </w:pPr>
            <w:r>
              <w:rPr>
                <w:color w:val="231F20"/>
                <w:spacing w:val="-5"/>
                <w:w w:val="95"/>
                <w:sz w:val="14"/>
              </w:rPr>
              <w:t>3.9</w:t>
            </w:r>
          </w:p>
        </w:tc>
        <w:tc>
          <w:tcPr>
            <w:tcW w:w="655" w:type="dxa"/>
          </w:tcPr>
          <w:p>
            <w:pPr>
              <w:pStyle w:val="TableParagraph"/>
              <w:ind w:left="72" w:right="68"/>
              <w:rPr>
                <w:sz w:val="14"/>
              </w:rPr>
            </w:pPr>
            <w:r>
              <w:rPr>
                <w:color w:val="231F20"/>
                <w:spacing w:val="-5"/>
                <w:w w:val="95"/>
                <w:sz w:val="14"/>
              </w:rPr>
              <w:t>20</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Italy</w:t>
            </w:r>
          </w:p>
        </w:tc>
        <w:tc>
          <w:tcPr>
            <w:tcW w:w="622" w:type="dxa"/>
            <w:shd w:val="clear" w:color="auto" w:fill="D4E3F5"/>
          </w:tcPr>
          <w:p>
            <w:pPr>
              <w:pStyle w:val="TableParagraph"/>
              <w:ind w:left="67" w:right="101"/>
              <w:rPr>
                <w:sz w:val="14"/>
              </w:rPr>
            </w:pPr>
            <w:r>
              <w:rPr>
                <w:color w:val="231F20"/>
                <w:spacing w:val="-5"/>
                <w:w w:val="95"/>
                <w:sz w:val="14"/>
              </w:rPr>
              <w:t>19</w:t>
            </w:r>
          </w:p>
        </w:tc>
        <w:tc>
          <w:tcPr>
            <w:tcW w:w="644" w:type="dxa"/>
            <w:shd w:val="clear" w:color="auto" w:fill="D4E3F5"/>
          </w:tcPr>
          <w:p>
            <w:pPr>
              <w:pStyle w:val="TableParagraph"/>
              <w:ind w:left="166"/>
              <w:jc w:val="left"/>
              <w:rPr>
                <w:sz w:val="14"/>
              </w:rPr>
            </w:pPr>
            <w:r>
              <w:rPr>
                <w:color w:val="231F20"/>
                <w:spacing w:val="-5"/>
                <w:w w:val="95"/>
                <w:sz w:val="14"/>
              </w:rPr>
              <w:t>3.7</w:t>
            </w:r>
          </w:p>
        </w:tc>
        <w:tc>
          <w:tcPr>
            <w:tcW w:w="480" w:type="dxa"/>
            <w:shd w:val="clear" w:color="auto" w:fill="D4E3F5"/>
          </w:tcPr>
          <w:p>
            <w:pPr>
              <w:pStyle w:val="TableParagraph"/>
              <w:ind w:left="102"/>
              <w:jc w:val="left"/>
              <w:rPr>
                <w:sz w:val="14"/>
              </w:rPr>
            </w:pPr>
            <w:r>
              <w:rPr>
                <w:color w:val="231F20"/>
                <w:spacing w:val="-5"/>
                <w:w w:val="95"/>
                <w:sz w:val="14"/>
              </w:rPr>
              <w:t>3.6</w:t>
            </w:r>
          </w:p>
        </w:tc>
        <w:tc>
          <w:tcPr>
            <w:tcW w:w="582" w:type="dxa"/>
            <w:shd w:val="clear" w:color="auto" w:fill="D4E3F5"/>
          </w:tcPr>
          <w:p>
            <w:pPr>
              <w:pStyle w:val="TableParagraph"/>
              <w:ind w:left="7" w:right="6"/>
              <w:rPr>
                <w:sz w:val="14"/>
              </w:rPr>
            </w:pPr>
            <w:r>
              <w:rPr>
                <w:color w:val="231F20"/>
                <w:spacing w:val="-5"/>
                <w:w w:val="95"/>
                <w:sz w:val="14"/>
              </w:rPr>
              <w:t>3.8</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8" w:right="48"/>
              <w:rPr>
                <w:sz w:val="14"/>
              </w:rPr>
            </w:pPr>
            <w:r>
              <w:rPr>
                <w:color w:val="231F20"/>
                <w:spacing w:val="-5"/>
                <w:w w:val="95"/>
                <w:sz w:val="14"/>
              </w:rPr>
              <w:t>3.4</w:t>
            </w:r>
          </w:p>
        </w:tc>
        <w:tc>
          <w:tcPr>
            <w:tcW w:w="574" w:type="dxa"/>
            <w:shd w:val="clear" w:color="auto" w:fill="D4E3F5"/>
          </w:tcPr>
          <w:p>
            <w:pPr>
              <w:pStyle w:val="TableParagraph"/>
              <w:ind w:left="158" w:right="70"/>
              <w:rPr>
                <w:sz w:val="14"/>
              </w:rPr>
            </w:pPr>
            <w:r>
              <w:rPr>
                <w:color w:val="231F20"/>
                <w:spacing w:val="-5"/>
                <w:w w:val="95"/>
                <w:sz w:val="14"/>
              </w:rPr>
              <w:t>24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2" w:right="48"/>
              <w:rPr>
                <w:sz w:val="14"/>
              </w:rPr>
            </w:pPr>
            <w:r>
              <w:rPr>
                <w:color w:val="231F20"/>
                <w:spacing w:val="-5"/>
                <w:w w:val="95"/>
                <w:sz w:val="14"/>
              </w:rPr>
              <w:t>3.8</w:t>
            </w:r>
          </w:p>
        </w:tc>
        <w:tc>
          <w:tcPr>
            <w:tcW w:w="574" w:type="dxa"/>
            <w:shd w:val="clear" w:color="auto" w:fill="D4E3F5"/>
          </w:tcPr>
          <w:p>
            <w:pPr>
              <w:pStyle w:val="TableParagraph"/>
              <w:ind w:left="161" w:right="72"/>
              <w:rPr>
                <w:sz w:val="14"/>
              </w:rPr>
            </w:pPr>
            <w:r>
              <w:rPr>
                <w:color w:val="231F20"/>
                <w:spacing w:val="-5"/>
                <w:w w:val="95"/>
                <w:sz w:val="14"/>
              </w:rPr>
              <w:t>19</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3.4</w:t>
            </w:r>
          </w:p>
        </w:tc>
        <w:tc>
          <w:tcPr>
            <w:tcW w:w="574" w:type="dxa"/>
            <w:shd w:val="clear" w:color="auto" w:fill="D4E3F5"/>
          </w:tcPr>
          <w:p>
            <w:pPr>
              <w:pStyle w:val="TableParagraph"/>
              <w:ind w:left="161" w:right="70"/>
              <w:rPr>
                <w:sz w:val="14"/>
              </w:rPr>
            </w:pPr>
            <w:r>
              <w:rPr>
                <w:color w:val="231F20"/>
                <w:spacing w:val="-5"/>
                <w:w w:val="95"/>
                <w:sz w:val="14"/>
              </w:rPr>
              <w:t>26</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5" w:right="48"/>
              <w:rPr>
                <w:sz w:val="14"/>
              </w:rPr>
            </w:pPr>
            <w:r>
              <w:rPr>
                <w:color w:val="231F20"/>
                <w:spacing w:val="-5"/>
                <w:w w:val="95"/>
                <w:sz w:val="14"/>
              </w:rPr>
              <w:t>3.8</w:t>
            </w:r>
          </w:p>
        </w:tc>
        <w:tc>
          <w:tcPr>
            <w:tcW w:w="574" w:type="dxa"/>
            <w:shd w:val="clear" w:color="auto" w:fill="D4E3F5"/>
          </w:tcPr>
          <w:p>
            <w:pPr>
              <w:pStyle w:val="TableParagraph"/>
              <w:ind w:left="161" w:right="69"/>
              <w:rPr>
                <w:sz w:val="14"/>
              </w:rPr>
            </w:pPr>
            <w:r>
              <w:rPr>
                <w:color w:val="231F20"/>
                <w:spacing w:val="-5"/>
                <w:w w:val="95"/>
                <w:sz w:val="14"/>
              </w:rPr>
              <w:t>20</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6" w:right="48"/>
              <w:rPr>
                <w:sz w:val="14"/>
              </w:rPr>
            </w:pPr>
            <w:r>
              <w:rPr>
                <w:color w:val="231F20"/>
                <w:spacing w:val="-5"/>
                <w:w w:val="95"/>
                <w:sz w:val="14"/>
              </w:rPr>
              <w:t>3.9</w:t>
            </w:r>
          </w:p>
        </w:tc>
        <w:tc>
          <w:tcPr>
            <w:tcW w:w="574" w:type="dxa"/>
            <w:shd w:val="clear" w:color="auto" w:fill="D4E3F5"/>
          </w:tcPr>
          <w:p>
            <w:pPr>
              <w:pStyle w:val="TableParagraph"/>
              <w:ind w:left="161" w:right="67"/>
              <w:rPr>
                <w:sz w:val="14"/>
              </w:rPr>
            </w:pPr>
            <w:r>
              <w:rPr>
                <w:color w:val="231F20"/>
                <w:spacing w:val="-5"/>
                <w:w w:val="95"/>
                <w:sz w:val="14"/>
              </w:rPr>
              <w:t>21</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10" w:right="45"/>
              <w:rPr>
                <w:sz w:val="14"/>
              </w:rPr>
            </w:pPr>
            <w:r>
              <w:rPr>
                <w:color w:val="231F20"/>
                <w:spacing w:val="-5"/>
                <w:w w:val="95"/>
                <w:sz w:val="14"/>
              </w:rPr>
              <w:t>3.9</w:t>
            </w:r>
          </w:p>
        </w:tc>
        <w:tc>
          <w:tcPr>
            <w:tcW w:w="655" w:type="dxa"/>
            <w:shd w:val="clear" w:color="auto" w:fill="D4E3F5"/>
          </w:tcPr>
          <w:p>
            <w:pPr>
              <w:pStyle w:val="TableParagraph"/>
              <w:ind w:left="72" w:right="68"/>
              <w:rPr>
                <w:sz w:val="14"/>
              </w:rPr>
            </w:pPr>
            <w:r>
              <w:rPr>
                <w:color w:val="231F20"/>
                <w:spacing w:val="-5"/>
                <w:w w:val="95"/>
                <w:sz w:val="14"/>
              </w:rPr>
              <w:t>20</w:t>
            </w:r>
          </w:p>
        </w:tc>
      </w:tr>
      <w:tr>
        <w:trPr>
          <w:trHeight w:val="259" w:hRule="atLeast"/>
        </w:trPr>
        <w:tc>
          <w:tcPr>
            <w:tcW w:w="990" w:type="dxa"/>
          </w:tcPr>
          <w:p>
            <w:pPr>
              <w:pStyle w:val="TableParagraph"/>
              <w:ind w:left="80"/>
              <w:jc w:val="left"/>
              <w:rPr>
                <w:sz w:val="14"/>
              </w:rPr>
            </w:pPr>
            <w:r>
              <w:rPr>
                <w:color w:val="231F20"/>
                <w:spacing w:val="-2"/>
                <w:w w:val="85"/>
                <w:sz w:val="14"/>
              </w:rPr>
              <w:t>Norway</w:t>
            </w:r>
          </w:p>
        </w:tc>
        <w:tc>
          <w:tcPr>
            <w:tcW w:w="622" w:type="dxa"/>
          </w:tcPr>
          <w:p>
            <w:pPr>
              <w:pStyle w:val="TableParagraph"/>
              <w:ind w:left="67" w:right="101"/>
              <w:rPr>
                <w:sz w:val="14"/>
              </w:rPr>
            </w:pPr>
            <w:r>
              <w:rPr>
                <w:color w:val="231F20"/>
                <w:spacing w:val="-5"/>
                <w:w w:val="95"/>
                <w:sz w:val="14"/>
              </w:rPr>
              <w:t>19</w:t>
            </w:r>
          </w:p>
        </w:tc>
        <w:tc>
          <w:tcPr>
            <w:tcW w:w="644" w:type="dxa"/>
          </w:tcPr>
          <w:p>
            <w:pPr>
              <w:pStyle w:val="TableParagraph"/>
              <w:ind w:left="166"/>
              <w:jc w:val="left"/>
              <w:rPr>
                <w:sz w:val="14"/>
              </w:rPr>
            </w:pPr>
            <w:r>
              <w:rPr>
                <w:color w:val="231F20"/>
                <w:spacing w:val="-5"/>
                <w:w w:val="95"/>
                <w:sz w:val="14"/>
              </w:rPr>
              <w:t>3.7</w:t>
            </w:r>
          </w:p>
        </w:tc>
        <w:tc>
          <w:tcPr>
            <w:tcW w:w="480" w:type="dxa"/>
          </w:tcPr>
          <w:p>
            <w:pPr>
              <w:pStyle w:val="TableParagraph"/>
              <w:ind w:left="102"/>
              <w:jc w:val="left"/>
              <w:rPr>
                <w:sz w:val="14"/>
              </w:rPr>
            </w:pPr>
            <w:r>
              <w:rPr>
                <w:color w:val="231F20"/>
                <w:spacing w:val="-5"/>
                <w:w w:val="95"/>
                <w:sz w:val="14"/>
              </w:rPr>
              <w:t>3.5</w:t>
            </w:r>
          </w:p>
        </w:tc>
        <w:tc>
          <w:tcPr>
            <w:tcW w:w="582" w:type="dxa"/>
          </w:tcPr>
          <w:p>
            <w:pPr>
              <w:pStyle w:val="TableParagraph"/>
              <w:ind w:left="7" w:right="6"/>
              <w:rPr>
                <w:sz w:val="14"/>
              </w:rPr>
            </w:pPr>
            <w:r>
              <w:rPr>
                <w:color w:val="231F20"/>
                <w:spacing w:val="-5"/>
                <w:w w:val="95"/>
                <w:sz w:val="14"/>
              </w:rPr>
              <w:t>3.9</w:t>
            </w:r>
          </w:p>
        </w:tc>
        <w:tc>
          <w:tcPr>
            <w:tcW w:w="80"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3.8</w:t>
            </w:r>
          </w:p>
        </w:tc>
        <w:tc>
          <w:tcPr>
            <w:tcW w:w="574" w:type="dxa"/>
          </w:tcPr>
          <w:p>
            <w:pPr>
              <w:pStyle w:val="TableParagraph"/>
              <w:ind w:left="158" w:right="70"/>
              <w:rPr>
                <w:sz w:val="14"/>
              </w:rPr>
            </w:pPr>
            <w:r>
              <w:rPr>
                <w:color w:val="231F20"/>
                <w:spacing w:val="-5"/>
                <w:w w:val="95"/>
                <w:sz w:val="14"/>
              </w:rPr>
              <w:t>12</w:t>
            </w:r>
          </w:p>
        </w:tc>
        <w:tc>
          <w:tcPr>
            <w:tcW w:w="126" w:type="dxa"/>
          </w:tcPr>
          <w:p>
            <w:pPr>
              <w:pStyle w:val="TableParagraph"/>
              <w:spacing w:before="0"/>
              <w:jc w:val="left"/>
              <w:rPr>
                <w:rFonts w:ascii="Times New Roman"/>
                <w:sz w:val="14"/>
              </w:rPr>
            </w:pPr>
          </w:p>
        </w:tc>
        <w:tc>
          <w:tcPr>
            <w:tcW w:w="463" w:type="dxa"/>
          </w:tcPr>
          <w:p>
            <w:pPr>
              <w:pStyle w:val="TableParagraph"/>
              <w:ind w:left="12" w:right="48"/>
              <w:rPr>
                <w:sz w:val="14"/>
              </w:rPr>
            </w:pPr>
            <w:r>
              <w:rPr>
                <w:color w:val="231F20"/>
                <w:spacing w:val="-5"/>
                <w:w w:val="95"/>
                <w:sz w:val="14"/>
              </w:rPr>
              <w:t>3.9</w:t>
            </w:r>
          </w:p>
        </w:tc>
        <w:tc>
          <w:tcPr>
            <w:tcW w:w="574" w:type="dxa"/>
          </w:tcPr>
          <w:p>
            <w:pPr>
              <w:pStyle w:val="TableParagraph"/>
              <w:ind w:left="161" w:right="72"/>
              <w:rPr>
                <w:sz w:val="14"/>
              </w:rPr>
            </w:pPr>
            <w:r>
              <w:rPr>
                <w:color w:val="231F20"/>
                <w:spacing w:val="-5"/>
                <w:w w:val="95"/>
                <w:sz w:val="14"/>
              </w:rPr>
              <w:t>16</w:t>
            </w:r>
          </w:p>
        </w:tc>
        <w:tc>
          <w:tcPr>
            <w:tcW w:w="126" w:type="dxa"/>
          </w:tcPr>
          <w:p>
            <w:pPr>
              <w:pStyle w:val="TableParagraph"/>
              <w:spacing w:before="0"/>
              <w:jc w:val="left"/>
              <w:rPr>
                <w:rFonts w:ascii="Times New Roman"/>
                <w:sz w:val="14"/>
              </w:rPr>
            </w:pPr>
          </w:p>
        </w:tc>
        <w:tc>
          <w:tcPr>
            <w:tcW w:w="463" w:type="dxa"/>
          </w:tcPr>
          <w:p>
            <w:pPr>
              <w:pStyle w:val="TableParagraph"/>
              <w:ind w:left="13" w:right="48"/>
              <w:rPr>
                <w:sz w:val="14"/>
              </w:rPr>
            </w:pPr>
            <w:r>
              <w:rPr>
                <w:color w:val="231F20"/>
                <w:spacing w:val="-5"/>
                <w:w w:val="95"/>
                <w:sz w:val="14"/>
              </w:rPr>
              <w:t>3.0</w:t>
            </w:r>
          </w:p>
        </w:tc>
        <w:tc>
          <w:tcPr>
            <w:tcW w:w="574" w:type="dxa"/>
          </w:tcPr>
          <w:p>
            <w:pPr>
              <w:pStyle w:val="TableParagraph"/>
              <w:ind w:left="161" w:right="70"/>
              <w:rPr>
                <w:sz w:val="14"/>
              </w:rPr>
            </w:pPr>
            <w:r>
              <w:rPr>
                <w:color w:val="231F20"/>
                <w:spacing w:val="-5"/>
                <w:w w:val="95"/>
                <w:sz w:val="14"/>
              </w:rPr>
              <w:t>57</w:t>
            </w:r>
          </w:p>
        </w:tc>
        <w:tc>
          <w:tcPr>
            <w:tcW w:w="126" w:type="dxa"/>
          </w:tcPr>
          <w:p>
            <w:pPr>
              <w:pStyle w:val="TableParagraph"/>
              <w:spacing w:before="0"/>
              <w:jc w:val="left"/>
              <w:rPr>
                <w:rFonts w:ascii="Times New Roman"/>
                <w:sz w:val="14"/>
              </w:rPr>
            </w:pPr>
          </w:p>
        </w:tc>
        <w:tc>
          <w:tcPr>
            <w:tcW w:w="463" w:type="dxa"/>
          </w:tcPr>
          <w:p>
            <w:pPr>
              <w:pStyle w:val="TableParagraph"/>
              <w:ind w:left="15" w:right="48"/>
              <w:rPr>
                <w:sz w:val="14"/>
              </w:rPr>
            </w:pPr>
            <w:r>
              <w:rPr>
                <w:color w:val="231F20"/>
                <w:spacing w:val="-5"/>
                <w:w w:val="95"/>
                <w:sz w:val="14"/>
              </w:rPr>
              <w:t>3.8</w:t>
            </w:r>
          </w:p>
        </w:tc>
        <w:tc>
          <w:tcPr>
            <w:tcW w:w="574" w:type="dxa"/>
          </w:tcPr>
          <w:p>
            <w:pPr>
              <w:pStyle w:val="TableParagraph"/>
              <w:ind w:left="161" w:right="69"/>
              <w:rPr>
                <w:sz w:val="14"/>
              </w:rPr>
            </w:pPr>
            <w:r>
              <w:rPr>
                <w:color w:val="231F20"/>
                <w:spacing w:val="-5"/>
                <w:w w:val="95"/>
                <w:sz w:val="14"/>
              </w:rPr>
              <w:t>20</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4.0</w:t>
            </w:r>
          </w:p>
        </w:tc>
        <w:tc>
          <w:tcPr>
            <w:tcW w:w="574" w:type="dxa"/>
          </w:tcPr>
          <w:p>
            <w:pPr>
              <w:pStyle w:val="TableParagraph"/>
              <w:ind w:left="161" w:right="67"/>
              <w:rPr>
                <w:sz w:val="14"/>
              </w:rPr>
            </w:pPr>
            <w:r>
              <w:rPr>
                <w:color w:val="231F20"/>
                <w:spacing w:val="-5"/>
                <w:w w:val="95"/>
                <w:sz w:val="14"/>
              </w:rPr>
              <w:t>17</w:t>
            </w:r>
          </w:p>
        </w:tc>
        <w:tc>
          <w:tcPr>
            <w:tcW w:w="126" w:type="dxa"/>
          </w:tcPr>
          <w:p>
            <w:pPr>
              <w:pStyle w:val="TableParagraph"/>
              <w:spacing w:before="0"/>
              <w:jc w:val="left"/>
              <w:rPr>
                <w:rFonts w:ascii="Times New Roman"/>
                <w:sz w:val="14"/>
              </w:rPr>
            </w:pPr>
          </w:p>
        </w:tc>
        <w:tc>
          <w:tcPr>
            <w:tcW w:w="468" w:type="dxa"/>
          </w:tcPr>
          <w:p>
            <w:pPr>
              <w:pStyle w:val="TableParagraph"/>
              <w:ind w:left="6" w:right="45"/>
              <w:rPr>
                <w:sz w:val="14"/>
              </w:rPr>
            </w:pPr>
            <w:r>
              <w:rPr>
                <w:color w:val="231F20"/>
                <w:spacing w:val="-5"/>
                <w:w w:val="95"/>
                <w:sz w:val="14"/>
              </w:rPr>
              <w:t>3.7</w:t>
            </w:r>
          </w:p>
        </w:tc>
        <w:tc>
          <w:tcPr>
            <w:tcW w:w="655" w:type="dxa"/>
          </w:tcPr>
          <w:p>
            <w:pPr>
              <w:pStyle w:val="TableParagraph"/>
              <w:ind w:left="72" w:right="68"/>
              <w:rPr>
                <w:sz w:val="14"/>
              </w:rPr>
            </w:pPr>
            <w:r>
              <w:rPr>
                <w:color w:val="231F20"/>
                <w:spacing w:val="-5"/>
                <w:w w:val="95"/>
                <w:sz w:val="14"/>
              </w:rPr>
              <w:t>29</w:t>
            </w:r>
          </w:p>
        </w:tc>
      </w:tr>
      <w:tr>
        <w:trPr>
          <w:trHeight w:val="259" w:hRule="atLeast"/>
        </w:trPr>
        <w:tc>
          <w:tcPr>
            <w:tcW w:w="990" w:type="dxa"/>
            <w:shd w:val="clear" w:color="auto" w:fill="D4E3F5"/>
          </w:tcPr>
          <w:p>
            <w:pPr>
              <w:pStyle w:val="TableParagraph"/>
              <w:ind w:left="80"/>
              <w:jc w:val="left"/>
              <w:rPr>
                <w:sz w:val="14"/>
              </w:rPr>
            </w:pPr>
            <w:r>
              <w:rPr>
                <w:color w:val="231F20"/>
                <w:w w:val="75"/>
                <w:sz w:val="14"/>
              </w:rPr>
              <w:t>South</w:t>
            </w:r>
            <w:r>
              <w:rPr>
                <w:color w:val="231F20"/>
                <w:spacing w:val="11"/>
                <w:sz w:val="14"/>
              </w:rPr>
              <w:t> </w:t>
            </w:r>
            <w:r>
              <w:rPr>
                <w:color w:val="231F20"/>
                <w:spacing w:val="-2"/>
                <w:w w:val="90"/>
                <w:sz w:val="14"/>
              </w:rPr>
              <w:t>Africa</w:t>
            </w:r>
          </w:p>
        </w:tc>
        <w:tc>
          <w:tcPr>
            <w:tcW w:w="622" w:type="dxa"/>
            <w:shd w:val="clear" w:color="auto" w:fill="D4E3F5"/>
          </w:tcPr>
          <w:p>
            <w:pPr>
              <w:pStyle w:val="TableParagraph"/>
              <w:ind w:left="67" w:right="101"/>
              <w:rPr>
                <w:sz w:val="14"/>
              </w:rPr>
            </w:pPr>
            <w:r>
              <w:rPr>
                <w:color w:val="231F20"/>
                <w:spacing w:val="-5"/>
                <w:w w:val="95"/>
                <w:sz w:val="14"/>
              </w:rPr>
              <w:t>19</w:t>
            </w:r>
          </w:p>
        </w:tc>
        <w:tc>
          <w:tcPr>
            <w:tcW w:w="644" w:type="dxa"/>
            <w:shd w:val="clear" w:color="auto" w:fill="D4E3F5"/>
          </w:tcPr>
          <w:p>
            <w:pPr>
              <w:pStyle w:val="TableParagraph"/>
              <w:ind w:left="166"/>
              <w:jc w:val="left"/>
              <w:rPr>
                <w:sz w:val="14"/>
              </w:rPr>
            </w:pPr>
            <w:r>
              <w:rPr>
                <w:color w:val="231F20"/>
                <w:spacing w:val="-5"/>
                <w:w w:val="95"/>
                <w:sz w:val="14"/>
              </w:rPr>
              <w:t>3.7</w:t>
            </w:r>
          </w:p>
        </w:tc>
        <w:tc>
          <w:tcPr>
            <w:tcW w:w="480" w:type="dxa"/>
            <w:shd w:val="clear" w:color="auto" w:fill="D4E3F5"/>
          </w:tcPr>
          <w:p>
            <w:pPr>
              <w:pStyle w:val="TableParagraph"/>
              <w:ind w:left="102"/>
              <w:jc w:val="left"/>
              <w:rPr>
                <w:sz w:val="14"/>
              </w:rPr>
            </w:pPr>
            <w:r>
              <w:rPr>
                <w:color w:val="231F20"/>
                <w:spacing w:val="-5"/>
                <w:w w:val="95"/>
                <w:sz w:val="14"/>
              </w:rPr>
              <w:t>3.5</w:t>
            </w:r>
          </w:p>
        </w:tc>
        <w:tc>
          <w:tcPr>
            <w:tcW w:w="582" w:type="dxa"/>
            <w:shd w:val="clear" w:color="auto" w:fill="D4E3F5"/>
          </w:tcPr>
          <w:p>
            <w:pPr>
              <w:pStyle w:val="TableParagraph"/>
              <w:ind w:left="7" w:right="6"/>
              <w:rPr>
                <w:sz w:val="14"/>
              </w:rPr>
            </w:pPr>
            <w:r>
              <w:rPr>
                <w:color w:val="231F20"/>
                <w:spacing w:val="-5"/>
                <w:w w:val="95"/>
                <w:sz w:val="14"/>
              </w:rPr>
              <w:t>3.9</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3.3</w:t>
            </w:r>
          </w:p>
        </w:tc>
        <w:tc>
          <w:tcPr>
            <w:tcW w:w="574" w:type="dxa"/>
            <w:shd w:val="clear" w:color="auto" w:fill="D4E3F5"/>
          </w:tcPr>
          <w:p>
            <w:pPr>
              <w:pStyle w:val="TableParagraph"/>
              <w:ind w:left="158" w:right="70"/>
              <w:rPr>
                <w:sz w:val="14"/>
              </w:rPr>
            </w:pPr>
            <w:r>
              <w:rPr>
                <w:color w:val="231F20"/>
                <w:spacing w:val="-5"/>
                <w:w w:val="95"/>
                <w:sz w:val="14"/>
              </w:rPr>
              <w:t>31</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3.6</w:t>
            </w:r>
          </w:p>
        </w:tc>
        <w:tc>
          <w:tcPr>
            <w:tcW w:w="574" w:type="dxa"/>
            <w:shd w:val="clear" w:color="auto" w:fill="D4E3F5"/>
          </w:tcPr>
          <w:p>
            <w:pPr>
              <w:pStyle w:val="TableParagraph"/>
              <w:ind w:left="161" w:right="72"/>
              <w:rPr>
                <w:sz w:val="14"/>
              </w:rPr>
            </w:pPr>
            <w:r>
              <w:rPr>
                <w:color w:val="231F20"/>
                <w:spacing w:val="-5"/>
                <w:w w:val="95"/>
                <w:sz w:val="14"/>
              </w:rPr>
              <w:t>30</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3" w:right="48"/>
              <w:rPr>
                <w:sz w:val="14"/>
              </w:rPr>
            </w:pPr>
            <w:r>
              <w:rPr>
                <w:color w:val="231F20"/>
                <w:spacing w:val="-5"/>
                <w:w w:val="95"/>
                <w:sz w:val="14"/>
              </w:rPr>
              <w:t>3.6</w:t>
            </w:r>
          </w:p>
        </w:tc>
        <w:tc>
          <w:tcPr>
            <w:tcW w:w="574" w:type="dxa"/>
            <w:shd w:val="clear" w:color="auto" w:fill="D4E3F5"/>
          </w:tcPr>
          <w:p>
            <w:pPr>
              <w:pStyle w:val="TableParagraph"/>
              <w:ind w:left="161" w:right="70"/>
              <w:rPr>
                <w:sz w:val="14"/>
              </w:rPr>
            </w:pPr>
            <w:r>
              <w:rPr>
                <w:color w:val="231F20"/>
                <w:spacing w:val="-5"/>
                <w:w w:val="95"/>
                <w:sz w:val="14"/>
              </w:rPr>
              <w:t>14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5" w:right="48"/>
              <w:rPr>
                <w:sz w:val="14"/>
              </w:rPr>
            </w:pPr>
            <w:r>
              <w:rPr>
                <w:color w:val="231F20"/>
                <w:spacing w:val="-5"/>
                <w:w w:val="95"/>
                <w:sz w:val="14"/>
              </w:rPr>
              <w:t>3.8</w:t>
            </w:r>
          </w:p>
        </w:tc>
        <w:tc>
          <w:tcPr>
            <w:tcW w:w="574" w:type="dxa"/>
            <w:shd w:val="clear" w:color="auto" w:fill="D4E3F5"/>
          </w:tcPr>
          <w:p>
            <w:pPr>
              <w:pStyle w:val="TableParagraph"/>
              <w:ind w:left="161" w:right="69"/>
              <w:rPr>
                <w:sz w:val="14"/>
              </w:rPr>
            </w:pPr>
            <w:r>
              <w:rPr>
                <w:color w:val="231F20"/>
                <w:spacing w:val="-5"/>
                <w:w w:val="95"/>
                <w:sz w:val="14"/>
              </w:rPr>
              <w:t>20</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7" w:right="48"/>
              <w:rPr>
                <w:sz w:val="14"/>
              </w:rPr>
            </w:pPr>
            <w:r>
              <w:rPr>
                <w:color w:val="231F20"/>
                <w:spacing w:val="-5"/>
                <w:w w:val="95"/>
                <w:sz w:val="14"/>
              </w:rPr>
              <w:t>3.8</w:t>
            </w:r>
          </w:p>
        </w:tc>
        <w:tc>
          <w:tcPr>
            <w:tcW w:w="574" w:type="dxa"/>
            <w:shd w:val="clear" w:color="auto" w:fill="D4E3F5"/>
          </w:tcPr>
          <w:p>
            <w:pPr>
              <w:pStyle w:val="TableParagraph"/>
              <w:ind w:left="161" w:right="67"/>
              <w:rPr>
                <w:sz w:val="14"/>
              </w:rPr>
            </w:pPr>
            <w:r>
              <w:rPr>
                <w:color w:val="231F20"/>
                <w:spacing w:val="-5"/>
                <w:w w:val="95"/>
                <w:sz w:val="14"/>
              </w:rPr>
              <w:t>25</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10" w:right="45"/>
              <w:rPr>
                <w:sz w:val="14"/>
              </w:rPr>
            </w:pPr>
            <w:r>
              <w:rPr>
                <w:color w:val="231F20"/>
                <w:spacing w:val="-5"/>
                <w:w w:val="95"/>
                <w:sz w:val="14"/>
              </w:rPr>
              <w:t>3.8</w:t>
            </w:r>
          </w:p>
        </w:tc>
        <w:tc>
          <w:tcPr>
            <w:tcW w:w="655" w:type="dxa"/>
            <w:shd w:val="clear" w:color="auto" w:fill="D4E3F5"/>
          </w:tcPr>
          <w:p>
            <w:pPr>
              <w:pStyle w:val="TableParagraph"/>
              <w:ind w:left="72" w:right="68"/>
              <w:rPr>
                <w:sz w:val="14"/>
              </w:rPr>
            </w:pPr>
            <w:r>
              <w:rPr>
                <w:color w:val="231F20"/>
                <w:spacing w:val="-5"/>
                <w:w w:val="95"/>
                <w:sz w:val="14"/>
              </w:rPr>
              <w:t>23</w:t>
            </w:r>
          </w:p>
        </w:tc>
      </w:tr>
      <w:tr>
        <w:trPr>
          <w:trHeight w:val="259" w:hRule="atLeast"/>
        </w:trPr>
        <w:tc>
          <w:tcPr>
            <w:tcW w:w="990" w:type="dxa"/>
          </w:tcPr>
          <w:p>
            <w:pPr>
              <w:pStyle w:val="TableParagraph"/>
              <w:ind w:left="80"/>
              <w:jc w:val="left"/>
              <w:rPr>
                <w:sz w:val="14"/>
              </w:rPr>
            </w:pPr>
            <w:r>
              <w:rPr>
                <w:color w:val="231F20"/>
                <w:w w:val="75"/>
                <w:sz w:val="14"/>
              </w:rPr>
              <w:t>United</w:t>
            </w:r>
            <w:r>
              <w:rPr>
                <w:color w:val="231F20"/>
                <w:spacing w:val="9"/>
                <w:sz w:val="14"/>
              </w:rPr>
              <w:t> </w:t>
            </w:r>
            <w:r>
              <w:rPr>
                <w:color w:val="231F20"/>
                <w:spacing w:val="-2"/>
                <w:w w:val="90"/>
                <w:sz w:val="14"/>
              </w:rPr>
              <w:t>Kingdom</w:t>
            </w:r>
          </w:p>
        </w:tc>
        <w:tc>
          <w:tcPr>
            <w:tcW w:w="622" w:type="dxa"/>
          </w:tcPr>
          <w:p>
            <w:pPr>
              <w:pStyle w:val="TableParagraph"/>
              <w:ind w:left="67" w:right="101"/>
              <w:rPr>
                <w:sz w:val="14"/>
              </w:rPr>
            </w:pPr>
            <w:r>
              <w:rPr>
                <w:color w:val="231F20"/>
                <w:spacing w:val="-5"/>
                <w:w w:val="95"/>
                <w:sz w:val="14"/>
              </w:rPr>
              <w:t>19</w:t>
            </w:r>
          </w:p>
        </w:tc>
        <w:tc>
          <w:tcPr>
            <w:tcW w:w="644" w:type="dxa"/>
          </w:tcPr>
          <w:p>
            <w:pPr>
              <w:pStyle w:val="TableParagraph"/>
              <w:ind w:left="166"/>
              <w:jc w:val="left"/>
              <w:rPr>
                <w:sz w:val="14"/>
              </w:rPr>
            </w:pPr>
            <w:r>
              <w:rPr>
                <w:color w:val="231F20"/>
                <w:spacing w:val="-5"/>
                <w:w w:val="95"/>
                <w:sz w:val="14"/>
              </w:rPr>
              <w:t>3.7</w:t>
            </w:r>
          </w:p>
        </w:tc>
        <w:tc>
          <w:tcPr>
            <w:tcW w:w="480" w:type="dxa"/>
          </w:tcPr>
          <w:p>
            <w:pPr>
              <w:pStyle w:val="TableParagraph"/>
              <w:ind w:left="102"/>
              <w:jc w:val="left"/>
              <w:rPr>
                <w:sz w:val="14"/>
              </w:rPr>
            </w:pPr>
            <w:r>
              <w:rPr>
                <w:color w:val="231F20"/>
                <w:spacing w:val="-5"/>
                <w:w w:val="95"/>
                <w:sz w:val="14"/>
              </w:rPr>
              <w:t>3.6</w:t>
            </w:r>
          </w:p>
        </w:tc>
        <w:tc>
          <w:tcPr>
            <w:tcW w:w="582" w:type="dxa"/>
          </w:tcPr>
          <w:p>
            <w:pPr>
              <w:pStyle w:val="TableParagraph"/>
              <w:ind w:left="7" w:right="6"/>
              <w:rPr>
                <w:sz w:val="14"/>
              </w:rPr>
            </w:pPr>
            <w:r>
              <w:rPr>
                <w:color w:val="231F20"/>
                <w:spacing w:val="-5"/>
                <w:w w:val="95"/>
                <w:sz w:val="14"/>
              </w:rPr>
              <w:t>3.8</w:t>
            </w:r>
          </w:p>
        </w:tc>
        <w:tc>
          <w:tcPr>
            <w:tcW w:w="80"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3.5</w:t>
            </w:r>
          </w:p>
        </w:tc>
        <w:tc>
          <w:tcPr>
            <w:tcW w:w="574" w:type="dxa"/>
          </w:tcPr>
          <w:p>
            <w:pPr>
              <w:pStyle w:val="TableParagraph"/>
              <w:ind w:left="158" w:right="70"/>
              <w:rPr>
                <w:sz w:val="14"/>
              </w:rPr>
            </w:pPr>
            <w:r>
              <w:rPr>
                <w:color w:val="231F20"/>
                <w:spacing w:val="-5"/>
                <w:w w:val="95"/>
                <w:sz w:val="14"/>
              </w:rPr>
              <w:t>22</w:t>
            </w:r>
          </w:p>
        </w:tc>
        <w:tc>
          <w:tcPr>
            <w:tcW w:w="126" w:type="dxa"/>
          </w:tcPr>
          <w:p>
            <w:pPr>
              <w:pStyle w:val="TableParagraph"/>
              <w:spacing w:before="0"/>
              <w:jc w:val="left"/>
              <w:rPr>
                <w:rFonts w:ascii="Times New Roman"/>
                <w:sz w:val="14"/>
              </w:rPr>
            </w:pPr>
          </w:p>
        </w:tc>
        <w:tc>
          <w:tcPr>
            <w:tcW w:w="463" w:type="dxa"/>
          </w:tcPr>
          <w:p>
            <w:pPr>
              <w:pStyle w:val="TableParagraph"/>
              <w:ind w:left="8" w:right="48"/>
              <w:rPr>
                <w:sz w:val="14"/>
              </w:rPr>
            </w:pPr>
            <w:r>
              <w:rPr>
                <w:color w:val="231F20"/>
                <w:spacing w:val="-5"/>
                <w:w w:val="95"/>
                <w:sz w:val="14"/>
              </w:rPr>
              <w:t>3.7</w:t>
            </w:r>
          </w:p>
        </w:tc>
        <w:tc>
          <w:tcPr>
            <w:tcW w:w="574" w:type="dxa"/>
          </w:tcPr>
          <w:p>
            <w:pPr>
              <w:pStyle w:val="TableParagraph"/>
              <w:ind w:left="161" w:right="72"/>
              <w:rPr>
                <w:sz w:val="14"/>
              </w:rPr>
            </w:pPr>
            <w:r>
              <w:rPr>
                <w:color w:val="231F20"/>
                <w:spacing w:val="-5"/>
                <w:w w:val="95"/>
                <w:sz w:val="14"/>
              </w:rPr>
              <w:t>25</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3.5</w:t>
            </w:r>
          </w:p>
        </w:tc>
        <w:tc>
          <w:tcPr>
            <w:tcW w:w="574" w:type="dxa"/>
          </w:tcPr>
          <w:p>
            <w:pPr>
              <w:pStyle w:val="TableParagraph"/>
              <w:ind w:left="161" w:right="70"/>
              <w:rPr>
                <w:sz w:val="14"/>
              </w:rPr>
            </w:pPr>
            <w:r>
              <w:rPr>
                <w:color w:val="231F20"/>
                <w:spacing w:val="-5"/>
                <w:w w:val="95"/>
                <w:sz w:val="14"/>
              </w:rPr>
              <w:t>22</w:t>
            </w:r>
          </w:p>
        </w:tc>
        <w:tc>
          <w:tcPr>
            <w:tcW w:w="126"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3.7</w:t>
            </w:r>
          </w:p>
        </w:tc>
        <w:tc>
          <w:tcPr>
            <w:tcW w:w="574" w:type="dxa"/>
          </w:tcPr>
          <w:p>
            <w:pPr>
              <w:pStyle w:val="TableParagraph"/>
              <w:ind w:left="161" w:right="69"/>
              <w:rPr>
                <w:sz w:val="14"/>
              </w:rPr>
            </w:pPr>
            <w:r>
              <w:rPr>
                <w:color w:val="231F20"/>
                <w:spacing w:val="-5"/>
                <w:w w:val="95"/>
                <w:sz w:val="14"/>
              </w:rPr>
              <w:t>28</w:t>
            </w:r>
          </w:p>
        </w:tc>
        <w:tc>
          <w:tcPr>
            <w:tcW w:w="126" w:type="dxa"/>
          </w:tcPr>
          <w:p>
            <w:pPr>
              <w:pStyle w:val="TableParagraph"/>
              <w:spacing w:before="0"/>
              <w:jc w:val="left"/>
              <w:rPr>
                <w:rFonts w:ascii="Times New Roman"/>
                <w:sz w:val="14"/>
              </w:rPr>
            </w:pPr>
          </w:p>
        </w:tc>
        <w:tc>
          <w:tcPr>
            <w:tcW w:w="463" w:type="dxa"/>
          </w:tcPr>
          <w:p>
            <w:pPr>
              <w:pStyle w:val="TableParagraph"/>
              <w:ind w:left="13" w:right="48"/>
              <w:rPr>
                <w:sz w:val="14"/>
              </w:rPr>
            </w:pPr>
            <w:r>
              <w:rPr>
                <w:color w:val="231F20"/>
                <w:spacing w:val="-5"/>
                <w:w w:val="95"/>
                <w:sz w:val="14"/>
              </w:rPr>
              <w:t>3.7</w:t>
            </w:r>
          </w:p>
        </w:tc>
        <w:tc>
          <w:tcPr>
            <w:tcW w:w="574" w:type="dxa"/>
          </w:tcPr>
          <w:p>
            <w:pPr>
              <w:pStyle w:val="TableParagraph"/>
              <w:ind w:left="161" w:right="67"/>
              <w:rPr>
                <w:sz w:val="14"/>
              </w:rPr>
            </w:pPr>
            <w:r>
              <w:rPr>
                <w:color w:val="231F20"/>
                <w:spacing w:val="-5"/>
                <w:w w:val="95"/>
                <w:sz w:val="14"/>
              </w:rPr>
              <w:t>30</w:t>
            </w:r>
          </w:p>
        </w:tc>
        <w:tc>
          <w:tcPr>
            <w:tcW w:w="126" w:type="dxa"/>
          </w:tcPr>
          <w:p>
            <w:pPr>
              <w:pStyle w:val="TableParagraph"/>
              <w:spacing w:before="0"/>
              <w:jc w:val="left"/>
              <w:rPr>
                <w:rFonts w:ascii="Times New Roman"/>
                <w:sz w:val="14"/>
              </w:rPr>
            </w:pPr>
          </w:p>
        </w:tc>
        <w:tc>
          <w:tcPr>
            <w:tcW w:w="468" w:type="dxa"/>
          </w:tcPr>
          <w:p>
            <w:pPr>
              <w:pStyle w:val="TableParagraph"/>
              <w:ind w:left="8" w:right="45"/>
              <w:rPr>
                <w:sz w:val="14"/>
              </w:rPr>
            </w:pPr>
            <w:r>
              <w:rPr>
                <w:color w:val="231F20"/>
                <w:spacing w:val="-5"/>
                <w:w w:val="95"/>
                <w:sz w:val="14"/>
              </w:rPr>
              <w:t>4.0</w:t>
            </w:r>
          </w:p>
        </w:tc>
        <w:tc>
          <w:tcPr>
            <w:tcW w:w="655" w:type="dxa"/>
          </w:tcPr>
          <w:p>
            <w:pPr>
              <w:pStyle w:val="TableParagraph"/>
              <w:ind w:left="72" w:right="68"/>
              <w:rPr>
                <w:sz w:val="14"/>
              </w:rPr>
            </w:pPr>
            <w:r>
              <w:rPr>
                <w:color w:val="231F20"/>
                <w:spacing w:val="-5"/>
                <w:w w:val="95"/>
                <w:sz w:val="14"/>
              </w:rPr>
              <w:t>16</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Estonia</w:t>
            </w:r>
          </w:p>
        </w:tc>
        <w:tc>
          <w:tcPr>
            <w:tcW w:w="622" w:type="dxa"/>
            <w:shd w:val="clear" w:color="auto" w:fill="D4E3F5"/>
          </w:tcPr>
          <w:p>
            <w:pPr>
              <w:pStyle w:val="TableParagraph"/>
              <w:ind w:left="67" w:right="101"/>
              <w:rPr>
                <w:sz w:val="14"/>
              </w:rPr>
            </w:pPr>
            <w:r>
              <w:rPr>
                <w:color w:val="231F20"/>
                <w:spacing w:val="-5"/>
                <w:w w:val="95"/>
                <w:sz w:val="14"/>
              </w:rPr>
              <w:t>26</w:t>
            </w:r>
          </w:p>
        </w:tc>
        <w:tc>
          <w:tcPr>
            <w:tcW w:w="644" w:type="dxa"/>
            <w:shd w:val="clear" w:color="auto" w:fill="D4E3F5"/>
          </w:tcPr>
          <w:p>
            <w:pPr>
              <w:pStyle w:val="TableParagraph"/>
              <w:ind w:left="165"/>
              <w:jc w:val="left"/>
              <w:rPr>
                <w:sz w:val="14"/>
              </w:rPr>
            </w:pPr>
            <w:r>
              <w:rPr>
                <w:color w:val="231F20"/>
                <w:spacing w:val="-5"/>
                <w:w w:val="95"/>
                <w:sz w:val="14"/>
              </w:rPr>
              <w:t>3.6</w:t>
            </w:r>
          </w:p>
        </w:tc>
        <w:tc>
          <w:tcPr>
            <w:tcW w:w="480" w:type="dxa"/>
            <w:shd w:val="clear" w:color="auto" w:fill="D4E3F5"/>
          </w:tcPr>
          <w:p>
            <w:pPr>
              <w:pStyle w:val="TableParagraph"/>
              <w:ind w:left="102"/>
              <w:jc w:val="left"/>
              <w:rPr>
                <w:sz w:val="14"/>
              </w:rPr>
            </w:pPr>
            <w:r>
              <w:rPr>
                <w:color w:val="231F20"/>
                <w:spacing w:val="-5"/>
                <w:w w:val="95"/>
                <w:sz w:val="14"/>
              </w:rPr>
              <w:t>3.3</w:t>
            </w:r>
          </w:p>
        </w:tc>
        <w:tc>
          <w:tcPr>
            <w:tcW w:w="582" w:type="dxa"/>
            <w:shd w:val="clear" w:color="auto" w:fill="D4E3F5"/>
          </w:tcPr>
          <w:p>
            <w:pPr>
              <w:pStyle w:val="TableParagraph"/>
              <w:ind w:left="7" w:right="6"/>
              <w:rPr>
                <w:sz w:val="14"/>
              </w:rPr>
            </w:pPr>
            <w:r>
              <w:rPr>
                <w:color w:val="231F20"/>
                <w:spacing w:val="-5"/>
                <w:w w:val="95"/>
                <w:sz w:val="14"/>
              </w:rPr>
              <w:t>3.9</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8" w:right="48"/>
              <w:rPr>
                <w:sz w:val="14"/>
              </w:rPr>
            </w:pPr>
            <w:r>
              <w:rPr>
                <w:color w:val="231F20"/>
                <w:spacing w:val="-5"/>
                <w:w w:val="95"/>
                <w:sz w:val="14"/>
              </w:rPr>
              <w:t>3.2</w:t>
            </w:r>
          </w:p>
        </w:tc>
        <w:tc>
          <w:tcPr>
            <w:tcW w:w="574" w:type="dxa"/>
            <w:shd w:val="clear" w:color="auto" w:fill="D4E3F5"/>
          </w:tcPr>
          <w:p>
            <w:pPr>
              <w:pStyle w:val="TableParagraph"/>
              <w:ind w:left="158" w:right="70"/>
              <w:rPr>
                <w:sz w:val="14"/>
              </w:rPr>
            </w:pPr>
            <w:r>
              <w:rPr>
                <w:color w:val="231F20"/>
                <w:spacing w:val="-5"/>
                <w:w w:val="95"/>
                <w:sz w:val="14"/>
              </w:rPr>
              <w:t>37</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2" w:right="48"/>
              <w:rPr>
                <w:sz w:val="14"/>
              </w:rPr>
            </w:pPr>
            <w:r>
              <w:rPr>
                <w:color w:val="231F20"/>
                <w:spacing w:val="-5"/>
                <w:w w:val="95"/>
                <w:sz w:val="14"/>
              </w:rPr>
              <w:t>3.5</w:t>
            </w:r>
          </w:p>
        </w:tc>
        <w:tc>
          <w:tcPr>
            <w:tcW w:w="574" w:type="dxa"/>
            <w:shd w:val="clear" w:color="auto" w:fill="D4E3F5"/>
          </w:tcPr>
          <w:p>
            <w:pPr>
              <w:pStyle w:val="TableParagraph"/>
              <w:ind w:left="161" w:right="72"/>
              <w:rPr>
                <w:sz w:val="14"/>
              </w:rPr>
            </w:pPr>
            <w:r>
              <w:rPr>
                <w:color w:val="231F20"/>
                <w:spacing w:val="-5"/>
                <w:w w:val="95"/>
                <w:sz w:val="14"/>
              </w:rPr>
              <w:t>39</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3.4</w:t>
            </w:r>
          </w:p>
        </w:tc>
        <w:tc>
          <w:tcPr>
            <w:tcW w:w="574" w:type="dxa"/>
            <w:shd w:val="clear" w:color="auto" w:fill="D4E3F5"/>
          </w:tcPr>
          <w:p>
            <w:pPr>
              <w:pStyle w:val="TableParagraph"/>
              <w:ind w:left="161" w:right="70"/>
              <w:rPr>
                <w:sz w:val="14"/>
              </w:rPr>
            </w:pPr>
            <w:r>
              <w:rPr>
                <w:color w:val="231F20"/>
                <w:spacing w:val="-5"/>
                <w:w w:val="95"/>
                <w:sz w:val="14"/>
              </w:rPr>
              <w:t>26</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3.7</w:t>
            </w:r>
          </w:p>
        </w:tc>
        <w:tc>
          <w:tcPr>
            <w:tcW w:w="574" w:type="dxa"/>
            <w:shd w:val="clear" w:color="auto" w:fill="D4E3F5"/>
          </w:tcPr>
          <w:p>
            <w:pPr>
              <w:pStyle w:val="TableParagraph"/>
              <w:ind w:left="161" w:right="69"/>
              <w:rPr>
                <w:sz w:val="14"/>
              </w:rPr>
            </w:pPr>
            <w:r>
              <w:rPr>
                <w:color w:val="231F20"/>
                <w:spacing w:val="-5"/>
                <w:w w:val="95"/>
                <w:sz w:val="14"/>
              </w:rPr>
              <w:t>28</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6" w:right="48"/>
              <w:rPr>
                <w:sz w:val="14"/>
              </w:rPr>
            </w:pPr>
            <w:r>
              <w:rPr>
                <w:color w:val="231F20"/>
                <w:spacing w:val="-5"/>
                <w:w w:val="95"/>
                <w:sz w:val="14"/>
              </w:rPr>
              <w:t>4.1</w:t>
            </w:r>
          </w:p>
        </w:tc>
        <w:tc>
          <w:tcPr>
            <w:tcW w:w="574" w:type="dxa"/>
            <w:shd w:val="clear" w:color="auto" w:fill="D4E3F5"/>
          </w:tcPr>
          <w:p>
            <w:pPr>
              <w:pStyle w:val="TableParagraph"/>
              <w:ind w:left="161" w:right="64"/>
              <w:rPr>
                <w:sz w:val="14"/>
              </w:rPr>
            </w:pPr>
            <w:r>
              <w:rPr>
                <w:color w:val="231F20"/>
                <w:spacing w:val="-5"/>
                <w:w w:val="95"/>
                <w:sz w:val="14"/>
              </w:rPr>
              <w:t>10</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10" w:right="45"/>
              <w:rPr>
                <w:sz w:val="14"/>
              </w:rPr>
            </w:pPr>
            <w:r>
              <w:rPr>
                <w:color w:val="231F20"/>
                <w:spacing w:val="-5"/>
                <w:w w:val="95"/>
                <w:sz w:val="14"/>
              </w:rPr>
              <w:t>3.8</w:t>
            </w:r>
          </w:p>
        </w:tc>
        <w:tc>
          <w:tcPr>
            <w:tcW w:w="655" w:type="dxa"/>
            <w:shd w:val="clear" w:color="auto" w:fill="D4E3F5"/>
          </w:tcPr>
          <w:p>
            <w:pPr>
              <w:pStyle w:val="TableParagraph"/>
              <w:ind w:left="72" w:right="68"/>
              <w:rPr>
                <w:sz w:val="14"/>
              </w:rPr>
            </w:pPr>
            <w:r>
              <w:rPr>
                <w:color w:val="231F20"/>
                <w:spacing w:val="-5"/>
                <w:w w:val="95"/>
                <w:sz w:val="14"/>
              </w:rPr>
              <w:t>23</w:t>
            </w:r>
          </w:p>
        </w:tc>
      </w:tr>
      <w:tr>
        <w:trPr>
          <w:trHeight w:val="259" w:hRule="atLeast"/>
        </w:trPr>
        <w:tc>
          <w:tcPr>
            <w:tcW w:w="990" w:type="dxa"/>
          </w:tcPr>
          <w:p>
            <w:pPr>
              <w:pStyle w:val="TableParagraph"/>
              <w:ind w:left="80"/>
              <w:jc w:val="left"/>
              <w:rPr>
                <w:sz w:val="14"/>
              </w:rPr>
            </w:pPr>
            <w:r>
              <w:rPr>
                <w:color w:val="231F20"/>
                <w:spacing w:val="-2"/>
                <w:w w:val="85"/>
                <w:sz w:val="14"/>
              </w:rPr>
              <w:t>Iceland</w:t>
            </w:r>
          </w:p>
        </w:tc>
        <w:tc>
          <w:tcPr>
            <w:tcW w:w="622" w:type="dxa"/>
          </w:tcPr>
          <w:p>
            <w:pPr>
              <w:pStyle w:val="TableParagraph"/>
              <w:ind w:left="67" w:right="101"/>
              <w:rPr>
                <w:sz w:val="14"/>
              </w:rPr>
            </w:pPr>
            <w:r>
              <w:rPr>
                <w:color w:val="231F20"/>
                <w:spacing w:val="-5"/>
                <w:w w:val="95"/>
                <w:sz w:val="14"/>
              </w:rPr>
              <w:t>26</w:t>
            </w:r>
          </w:p>
        </w:tc>
        <w:tc>
          <w:tcPr>
            <w:tcW w:w="644" w:type="dxa"/>
          </w:tcPr>
          <w:p>
            <w:pPr>
              <w:pStyle w:val="TableParagraph"/>
              <w:ind w:left="165"/>
              <w:jc w:val="left"/>
              <w:rPr>
                <w:sz w:val="14"/>
              </w:rPr>
            </w:pPr>
            <w:r>
              <w:rPr>
                <w:color w:val="231F20"/>
                <w:spacing w:val="-5"/>
                <w:w w:val="95"/>
                <w:sz w:val="14"/>
              </w:rPr>
              <w:t>3.6</w:t>
            </w:r>
          </w:p>
        </w:tc>
        <w:tc>
          <w:tcPr>
            <w:tcW w:w="480" w:type="dxa"/>
          </w:tcPr>
          <w:p>
            <w:pPr>
              <w:pStyle w:val="TableParagraph"/>
              <w:ind w:left="103"/>
              <w:jc w:val="left"/>
              <w:rPr>
                <w:sz w:val="14"/>
              </w:rPr>
            </w:pPr>
            <w:r>
              <w:rPr>
                <w:color w:val="231F20"/>
                <w:spacing w:val="-5"/>
                <w:w w:val="95"/>
                <w:sz w:val="14"/>
              </w:rPr>
              <w:t>3.4</w:t>
            </w:r>
          </w:p>
        </w:tc>
        <w:tc>
          <w:tcPr>
            <w:tcW w:w="582" w:type="dxa"/>
          </w:tcPr>
          <w:p>
            <w:pPr>
              <w:pStyle w:val="TableParagraph"/>
              <w:ind w:left="7" w:right="6"/>
              <w:rPr>
                <w:sz w:val="14"/>
              </w:rPr>
            </w:pPr>
            <w:r>
              <w:rPr>
                <w:color w:val="231F20"/>
                <w:spacing w:val="-5"/>
                <w:w w:val="95"/>
                <w:sz w:val="14"/>
              </w:rPr>
              <w:t>3.8</w:t>
            </w:r>
          </w:p>
        </w:tc>
        <w:tc>
          <w:tcPr>
            <w:tcW w:w="80" w:type="dxa"/>
          </w:tcPr>
          <w:p>
            <w:pPr>
              <w:pStyle w:val="TableParagraph"/>
              <w:spacing w:before="0"/>
              <w:jc w:val="left"/>
              <w:rPr>
                <w:rFonts w:ascii="Times New Roman"/>
                <w:sz w:val="14"/>
              </w:rPr>
            </w:pPr>
          </w:p>
        </w:tc>
        <w:tc>
          <w:tcPr>
            <w:tcW w:w="463" w:type="dxa"/>
          </w:tcPr>
          <w:p>
            <w:pPr>
              <w:pStyle w:val="TableParagraph"/>
              <w:ind w:left="7" w:right="48"/>
              <w:rPr>
                <w:sz w:val="14"/>
              </w:rPr>
            </w:pPr>
            <w:r>
              <w:rPr>
                <w:color w:val="231F20"/>
                <w:spacing w:val="-5"/>
                <w:w w:val="95"/>
                <w:sz w:val="14"/>
              </w:rPr>
              <w:t>3.7</w:t>
            </w:r>
          </w:p>
        </w:tc>
        <w:tc>
          <w:tcPr>
            <w:tcW w:w="574" w:type="dxa"/>
          </w:tcPr>
          <w:p>
            <w:pPr>
              <w:pStyle w:val="TableParagraph"/>
              <w:ind w:left="158" w:right="70"/>
              <w:rPr>
                <w:sz w:val="14"/>
              </w:rPr>
            </w:pPr>
            <w:r>
              <w:rPr>
                <w:color w:val="231F20"/>
                <w:spacing w:val="-5"/>
                <w:w w:val="95"/>
                <w:sz w:val="14"/>
              </w:rPr>
              <w:t>14</w:t>
            </w:r>
          </w:p>
        </w:tc>
        <w:tc>
          <w:tcPr>
            <w:tcW w:w="126"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3.6</w:t>
            </w:r>
          </w:p>
        </w:tc>
        <w:tc>
          <w:tcPr>
            <w:tcW w:w="574" w:type="dxa"/>
          </w:tcPr>
          <w:p>
            <w:pPr>
              <w:pStyle w:val="TableParagraph"/>
              <w:ind w:left="161" w:right="72"/>
              <w:rPr>
                <w:sz w:val="14"/>
              </w:rPr>
            </w:pPr>
            <w:r>
              <w:rPr>
                <w:color w:val="231F20"/>
                <w:spacing w:val="-5"/>
                <w:w w:val="95"/>
                <w:sz w:val="14"/>
              </w:rPr>
              <w:t>30</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3.3</w:t>
            </w:r>
          </w:p>
        </w:tc>
        <w:tc>
          <w:tcPr>
            <w:tcW w:w="574" w:type="dxa"/>
          </w:tcPr>
          <w:p>
            <w:pPr>
              <w:pStyle w:val="TableParagraph"/>
              <w:ind w:left="161" w:right="70"/>
              <w:rPr>
                <w:sz w:val="14"/>
              </w:rPr>
            </w:pPr>
            <w:r>
              <w:rPr>
                <w:color w:val="231F20"/>
                <w:spacing w:val="-5"/>
                <w:w w:val="95"/>
                <w:sz w:val="14"/>
              </w:rPr>
              <w:t>38</w:t>
            </w:r>
          </w:p>
        </w:tc>
        <w:tc>
          <w:tcPr>
            <w:tcW w:w="126" w:type="dxa"/>
          </w:tcPr>
          <w:p>
            <w:pPr>
              <w:pStyle w:val="TableParagraph"/>
              <w:spacing w:before="0"/>
              <w:jc w:val="left"/>
              <w:rPr>
                <w:rFonts w:ascii="Times New Roman"/>
                <w:sz w:val="14"/>
              </w:rPr>
            </w:pPr>
          </w:p>
        </w:tc>
        <w:tc>
          <w:tcPr>
            <w:tcW w:w="463" w:type="dxa"/>
          </w:tcPr>
          <w:p>
            <w:pPr>
              <w:pStyle w:val="TableParagraph"/>
              <w:ind w:left="15" w:right="48"/>
              <w:rPr>
                <w:sz w:val="14"/>
              </w:rPr>
            </w:pPr>
            <w:r>
              <w:rPr>
                <w:color w:val="231F20"/>
                <w:spacing w:val="-5"/>
                <w:w w:val="95"/>
                <w:sz w:val="14"/>
              </w:rPr>
              <w:t>3.5</w:t>
            </w:r>
          </w:p>
        </w:tc>
        <w:tc>
          <w:tcPr>
            <w:tcW w:w="574" w:type="dxa"/>
          </w:tcPr>
          <w:p>
            <w:pPr>
              <w:pStyle w:val="TableParagraph"/>
              <w:ind w:left="161" w:right="69"/>
              <w:rPr>
                <w:sz w:val="14"/>
              </w:rPr>
            </w:pPr>
            <w:r>
              <w:rPr>
                <w:color w:val="231F20"/>
                <w:spacing w:val="-5"/>
                <w:w w:val="95"/>
                <w:sz w:val="14"/>
              </w:rPr>
              <w:t>38</w:t>
            </w:r>
          </w:p>
        </w:tc>
        <w:tc>
          <w:tcPr>
            <w:tcW w:w="126" w:type="dxa"/>
          </w:tcPr>
          <w:p>
            <w:pPr>
              <w:pStyle w:val="TableParagraph"/>
              <w:spacing w:before="0"/>
              <w:jc w:val="left"/>
              <w:rPr>
                <w:rFonts w:ascii="Times New Roman"/>
                <w:sz w:val="14"/>
              </w:rPr>
            </w:pPr>
          </w:p>
        </w:tc>
        <w:tc>
          <w:tcPr>
            <w:tcW w:w="463" w:type="dxa"/>
          </w:tcPr>
          <w:p>
            <w:pPr>
              <w:pStyle w:val="TableParagraph"/>
              <w:ind w:left="16" w:right="48"/>
              <w:rPr>
                <w:sz w:val="14"/>
              </w:rPr>
            </w:pPr>
            <w:r>
              <w:rPr>
                <w:color w:val="231F20"/>
                <w:spacing w:val="-5"/>
                <w:w w:val="95"/>
                <w:sz w:val="14"/>
              </w:rPr>
              <w:t>3.6</w:t>
            </w:r>
          </w:p>
        </w:tc>
        <w:tc>
          <w:tcPr>
            <w:tcW w:w="574" w:type="dxa"/>
          </w:tcPr>
          <w:p>
            <w:pPr>
              <w:pStyle w:val="TableParagraph"/>
              <w:ind w:left="161" w:right="67"/>
              <w:rPr>
                <w:sz w:val="14"/>
              </w:rPr>
            </w:pPr>
            <w:r>
              <w:rPr>
                <w:color w:val="231F20"/>
                <w:spacing w:val="-5"/>
                <w:w w:val="95"/>
                <w:sz w:val="14"/>
              </w:rPr>
              <w:t>35</w:t>
            </w:r>
          </w:p>
        </w:tc>
        <w:tc>
          <w:tcPr>
            <w:tcW w:w="126" w:type="dxa"/>
          </w:tcPr>
          <w:p>
            <w:pPr>
              <w:pStyle w:val="TableParagraph"/>
              <w:spacing w:before="0"/>
              <w:jc w:val="left"/>
              <w:rPr>
                <w:rFonts w:ascii="Times New Roman"/>
                <w:sz w:val="14"/>
              </w:rPr>
            </w:pPr>
          </w:p>
        </w:tc>
        <w:tc>
          <w:tcPr>
            <w:tcW w:w="468" w:type="dxa"/>
          </w:tcPr>
          <w:p>
            <w:pPr>
              <w:pStyle w:val="TableParagraph"/>
              <w:ind w:left="6" w:right="45"/>
              <w:rPr>
                <w:sz w:val="14"/>
              </w:rPr>
            </w:pPr>
            <w:r>
              <w:rPr>
                <w:color w:val="231F20"/>
                <w:spacing w:val="-5"/>
                <w:w w:val="95"/>
                <w:sz w:val="14"/>
              </w:rPr>
              <w:t>3.7</w:t>
            </w:r>
          </w:p>
        </w:tc>
        <w:tc>
          <w:tcPr>
            <w:tcW w:w="655" w:type="dxa"/>
          </w:tcPr>
          <w:p>
            <w:pPr>
              <w:pStyle w:val="TableParagraph"/>
              <w:ind w:left="72" w:right="68"/>
              <w:rPr>
                <w:sz w:val="14"/>
              </w:rPr>
            </w:pPr>
            <w:r>
              <w:rPr>
                <w:color w:val="231F20"/>
                <w:spacing w:val="-5"/>
                <w:w w:val="95"/>
                <w:sz w:val="14"/>
              </w:rPr>
              <w:t>29</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Ireland</w:t>
            </w:r>
          </w:p>
        </w:tc>
        <w:tc>
          <w:tcPr>
            <w:tcW w:w="622" w:type="dxa"/>
            <w:shd w:val="clear" w:color="auto" w:fill="D4E3F5"/>
          </w:tcPr>
          <w:p>
            <w:pPr>
              <w:pStyle w:val="TableParagraph"/>
              <w:ind w:left="67" w:right="101"/>
              <w:rPr>
                <w:sz w:val="14"/>
              </w:rPr>
            </w:pPr>
            <w:r>
              <w:rPr>
                <w:color w:val="231F20"/>
                <w:spacing w:val="-5"/>
                <w:w w:val="95"/>
                <w:sz w:val="14"/>
              </w:rPr>
              <w:t>26</w:t>
            </w:r>
          </w:p>
        </w:tc>
        <w:tc>
          <w:tcPr>
            <w:tcW w:w="644" w:type="dxa"/>
            <w:shd w:val="clear" w:color="auto" w:fill="D4E3F5"/>
          </w:tcPr>
          <w:p>
            <w:pPr>
              <w:pStyle w:val="TableParagraph"/>
              <w:ind w:left="165"/>
              <w:jc w:val="left"/>
              <w:rPr>
                <w:sz w:val="14"/>
              </w:rPr>
            </w:pPr>
            <w:r>
              <w:rPr>
                <w:color w:val="231F20"/>
                <w:spacing w:val="-5"/>
                <w:w w:val="95"/>
                <w:sz w:val="14"/>
              </w:rPr>
              <w:t>3.6</w:t>
            </w:r>
          </w:p>
        </w:tc>
        <w:tc>
          <w:tcPr>
            <w:tcW w:w="480" w:type="dxa"/>
            <w:shd w:val="clear" w:color="auto" w:fill="D4E3F5"/>
          </w:tcPr>
          <w:p>
            <w:pPr>
              <w:pStyle w:val="TableParagraph"/>
              <w:ind w:left="103"/>
              <w:jc w:val="left"/>
              <w:rPr>
                <w:sz w:val="14"/>
              </w:rPr>
            </w:pPr>
            <w:r>
              <w:rPr>
                <w:color w:val="231F20"/>
                <w:spacing w:val="-5"/>
                <w:w w:val="95"/>
                <w:sz w:val="14"/>
              </w:rPr>
              <w:t>3.4</w:t>
            </w:r>
          </w:p>
        </w:tc>
        <w:tc>
          <w:tcPr>
            <w:tcW w:w="582" w:type="dxa"/>
            <w:shd w:val="clear" w:color="auto" w:fill="D4E3F5"/>
          </w:tcPr>
          <w:p>
            <w:pPr>
              <w:pStyle w:val="TableParagraph"/>
              <w:ind w:left="7" w:right="6"/>
              <w:rPr>
                <w:sz w:val="14"/>
              </w:rPr>
            </w:pPr>
            <w:r>
              <w:rPr>
                <w:color w:val="231F20"/>
                <w:spacing w:val="-5"/>
                <w:w w:val="95"/>
                <w:sz w:val="14"/>
              </w:rPr>
              <w:t>3.8</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8" w:right="48"/>
              <w:rPr>
                <w:sz w:val="14"/>
              </w:rPr>
            </w:pPr>
            <w:r>
              <w:rPr>
                <w:color w:val="231F20"/>
                <w:spacing w:val="-5"/>
                <w:w w:val="95"/>
                <w:sz w:val="14"/>
              </w:rPr>
              <w:t>3.4</w:t>
            </w:r>
          </w:p>
        </w:tc>
        <w:tc>
          <w:tcPr>
            <w:tcW w:w="574" w:type="dxa"/>
            <w:shd w:val="clear" w:color="auto" w:fill="D4E3F5"/>
          </w:tcPr>
          <w:p>
            <w:pPr>
              <w:pStyle w:val="TableParagraph"/>
              <w:ind w:left="158" w:right="70"/>
              <w:rPr>
                <w:sz w:val="14"/>
              </w:rPr>
            </w:pPr>
            <w:r>
              <w:rPr>
                <w:color w:val="231F20"/>
                <w:spacing w:val="-5"/>
                <w:w w:val="95"/>
                <w:sz w:val="14"/>
              </w:rPr>
              <w:t>24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2" w:right="48"/>
              <w:rPr>
                <w:sz w:val="14"/>
              </w:rPr>
            </w:pPr>
            <w:r>
              <w:rPr>
                <w:color w:val="231F20"/>
                <w:spacing w:val="-5"/>
                <w:w w:val="95"/>
                <w:sz w:val="14"/>
              </w:rPr>
              <w:t>3.5</w:t>
            </w:r>
          </w:p>
        </w:tc>
        <w:tc>
          <w:tcPr>
            <w:tcW w:w="574" w:type="dxa"/>
            <w:shd w:val="clear" w:color="auto" w:fill="D4E3F5"/>
          </w:tcPr>
          <w:p>
            <w:pPr>
              <w:pStyle w:val="TableParagraph"/>
              <w:ind w:left="161" w:right="72"/>
              <w:rPr>
                <w:sz w:val="14"/>
              </w:rPr>
            </w:pPr>
            <w:r>
              <w:rPr>
                <w:color w:val="231F20"/>
                <w:spacing w:val="-5"/>
                <w:w w:val="95"/>
                <w:sz w:val="14"/>
              </w:rPr>
              <w:t>39</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3" w:right="48"/>
              <w:rPr>
                <w:sz w:val="14"/>
              </w:rPr>
            </w:pPr>
            <w:r>
              <w:rPr>
                <w:color w:val="231F20"/>
                <w:spacing w:val="-5"/>
                <w:w w:val="95"/>
                <w:sz w:val="14"/>
              </w:rPr>
              <w:t>3.6</w:t>
            </w:r>
          </w:p>
        </w:tc>
        <w:tc>
          <w:tcPr>
            <w:tcW w:w="574" w:type="dxa"/>
            <w:shd w:val="clear" w:color="auto" w:fill="D4E3F5"/>
          </w:tcPr>
          <w:p>
            <w:pPr>
              <w:pStyle w:val="TableParagraph"/>
              <w:ind w:left="161" w:right="70"/>
              <w:rPr>
                <w:sz w:val="14"/>
              </w:rPr>
            </w:pPr>
            <w:r>
              <w:rPr>
                <w:color w:val="231F20"/>
                <w:spacing w:val="-5"/>
                <w:w w:val="95"/>
                <w:sz w:val="14"/>
              </w:rPr>
              <w:t>14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4" w:right="48"/>
              <w:rPr>
                <w:sz w:val="14"/>
              </w:rPr>
            </w:pPr>
            <w:r>
              <w:rPr>
                <w:color w:val="231F20"/>
                <w:spacing w:val="-5"/>
                <w:w w:val="95"/>
                <w:sz w:val="14"/>
              </w:rPr>
              <w:t>3.6</w:t>
            </w:r>
          </w:p>
        </w:tc>
        <w:tc>
          <w:tcPr>
            <w:tcW w:w="574" w:type="dxa"/>
            <w:shd w:val="clear" w:color="auto" w:fill="D4E3F5"/>
          </w:tcPr>
          <w:p>
            <w:pPr>
              <w:pStyle w:val="TableParagraph"/>
              <w:ind w:left="161" w:right="69"/>
              <w:rPr>
                <w:sz w:val="14"/>
              </w:rPr>
            </w:pPr>
            <w:r>
              <w:rPr>
                <w:color w:val="231F20"/>
                <w:spacing w:val="-5"/>
                <w:w w:val="95"/>
                <w:sz w:val="14"/>
              </w:rPr>
              <w:t>33</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3" w:right="48"/>
              <w:rPr>
                <w:sz w:val="14"/>
              </w:rPr>
            </w:pPr>
            <w:r>
              <w:rPr>
                <w:color w:val="231F20"/>
                <w:spacing w:val="-5"/>
                <w:w w:val="95"/>
                <w:sz w:val="14"/>
              </w:rPr>
              <w:t>3.7</w:t>
            </w:r>
          </w:p>
        </w:tc>
        <w:tc>
          <w:tcPr>
            <w:tcW w:w="574" w:type="dxa"/>
            <w:shd w:val="clear" w:color="auto" w:fill="D4E3F5"/>
          </w:tcPr>
          <w:p>
            <w:pPr>
              <w:pStyle w:val="TableParagraph"/>
              <w:ind w:left="161" w:right="67"/>
              <w:rPr>
                <w:sz w:val="14"/>
              </w:rPr>
            </w:pPr>
            <w:r>
              <w:rPr>
                <w:color w:val="231F20"/>
                <w:spacing w:val="-5"/>
                <w:w w:val="95"/>
                <w:sz w:val="14"/>
              </w:rPr>
              <w:t>30</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6" w:right="45"/>
              <w:rPr>
                <w:sz w:val="14"/>
              </w:rPr>
            </w:pPr>
            <w:r>
              <w:rPr>
                <w:color w:val="231F20"/>
                <w:spacing w:val="-5"/>
                <w:w w:val="95"/>
                <w:sz w:val="14"/>
              </w:rPr>
              <w:t>3.7</w:t>
            </w:r>
          </w:p>
        </w:tc>
        <w:tc>
          <w:tcPr>
            <w:tcW w:w="655" w:type="dxa"/>
            <w:shd w:val="clear" w:color="auto" w:fill="D4E3F5"/>
          </w:tcPr>
          <w:p>
            <w:pPr>
              <w:pStyle w:val="TableParagraph"/>
              <w:ind w:left="72" w:right="68"/>
              <w:rPr>
                <w:sz w:val="14"/>
              </w:rPr>
            </w:pPr>
            <w:r>
              <w:rPr>
                <w:color w:val="231F20"/>
                <w:spacing w:val="-5"/>
                <w:w w:val="95"/>
                <w:sz w:val="14"/>
              </w:rPr>
              <w:t>29</w:t>
            </w:r>
          </w:p>
        </w:tc>
      </w:tr>
      <w:tr>
        <w:trPr>
          <w:trHeight w:val="259" w:hRule="atLeast"/>
        </w:trPr>
        <w:tc>
          <w:tcPr>
            <w:tcW w:w="990" w:type="dxa"/>
          </w:tcPr>
          <w:p>
            <w:pPr>
              <w:pStyle w:val="TableParagraph"/>
              <w:ind w:left="80"/>
              <w:jc w:val="left"/>
              <w:rPr>
                <w:sz w:val="14"/>
              </w:rPr>
            </w:pPr>
            <w:r>
              <w:rPr>
                <w:color w:val="231F20"/>
                <w:spacing w:val="-2"/>
                <w:w w:val="85"/>
                <w:sz w:val="14"/>
              </w:rPr>
              <w:t>Israel</w:t>
            </w:r>
          </w:p>
        </w:tc>
        <w:tc>
          <w:tcPr>
            <w:tcW w:w="622" w:type="dxa"/>
          </w:tcPr>
          <w:p>
            <w:pPr>
              <w:pStyle w:val="TableParagraph"/>
              <w:ind w:left="67" w:right="101"/>
              <w:rPr>
                <w:sz w:val="14"/>
              </w:rPr>
            </w:pPr>
            <w:r>
              <w:rPr>
                <w:color w:val="231F20"/>
                <w:spacing w:val="-5"/>
                <w:w w:val="95"/>
                <w:sz w:val="14"/>
              </w:rPr>
              <w:t>26</w:t>
            </w:r>
          </w:p>
        </w:tc>
        <w:tc>
          <w:tcPr>
            <w:tcW w:w="644" w:type="dxa"/>
          </w:tcPr>
          <w:p>
            <w:pPr>
              <w:pStyle w:val="TableParagraph"/>
              <w:ind w:left="165"/>
              <w:jc w:val="left"/>
              <w:rPr>
                <w:sz w:val="14"/>
              </w:rPr>
            </w:pPr>
            <w:r>
              <w:rPr>
                <w:color w:val="231F20"/>
                <w:spacing w:val="-5"/>
                <w:w w:val="95"/>
                <w:sz w:val="14"/>
              </w:rPr>
              <w:t>3.6</w:t>
            </w:r>
          </w:p>
        </w:tc>
        <w:tc>
          <w:tcPr>
            <w:tcW w:w="480" w:type="dxa"/>
          </w:tcPr>
          <w:p>
            <w:pPr>
              <w:pStyle w:val="TableParagraph"/>
              <w:ind w:left="103"/>
              <w:jc w:val="left"/>
              <w:rPr>
                <w:sz w:val="14"/>
              </w:rPr>
            </w:pPr>
            <w:r>
              <w:rPr>
                <w:color w:val="231F20"/>
                <w:spacing w:val="-5"/>
                <w:w w:val="95"/>
                <w:sz w:val="14"/>
              </w:rPr>
              <w:t>3.4</w:t>
            </w:r>
          </w:p>
        </w:tc>
        <w:tc>
          <w:tcPr>
            <w:tcW w:w="582" w:type="dxa"/>
          </w:tcPr>
          <w:p>
            <w:pPr>
              <w:pStyle w:val="TableParagraph"/>
              <w:ind w:left="7" w:right="6"/>
              <w:rPr>
                <w:sz w:val="14"/>
              </w:rPr>
            </w:pPr>
            <w:r>
              <w:rPr>
                <w:color w:val="231F20"/>
                <w:spacing w:val="-5"/>
                <w:w w:val="95"/>
                <w:sz w:val="14"/>
              </w:rPr>
              <w:t>3.8</w:t>
            </w:r>
          </w:p>
        </w:tc>
        <w:tc>
          <w:tcPr>
            <w:tcW w:w="80" w:type="dxa"/>
          </w:tcPr>
          <w:p>
            <w:pPr>
              <w:pStyle w:val="TableParagraph"/>
              <w:spacing w:before="0"/>
              <w:jc w:val="left"/>
              <w:rPr>
                <w:rFonts w:ascii="Times New Roman"/>
                <w:sz w:val="14"/>
              </w:rPr>
            </w:pPr>
          </w:p>
        </w:tc>
        <w:tc>
          <w:tcPr>
            <w:tcW w:w="463" w:type="dxa"/>
          </w:tcPr>
          <w:p>
            <w:pPr>
              <w:pStyle w:val="TableParagraph"/>
              <w:ind w:left="8" w:right="48"/>
              <w:rPr>
                <w:sz w:val="14"/>
              </w:rPr>
            </w:pPr>
            <w:r>
              <w:rPr>
                <w:color w:val="231F20"/>
                <w:spacing w:val="-5"/>
                <w:w w:val="95"/>
                <w:sz w:val="14"/>
              </w:rPr>
              <w:t>3.4</w:t>
            </w:r>
          </w:p>
        </w:tc>
        <w:tc>
          <w:tcPr>
            <w:tcW w:w="574" w:type="dxa"/>
          </w:tcPr>
          <w:p>
            <w:pPr>
              <w:pStyle w:val="TableParagraph"/>
              <w:ind w:left="158" w:right="70"/>
              <w:rPr>
                <w:sz w:val="14"/>
              </w:rPr>
            </w:pPr>
            <w:r>
              <w:rPr>
                <w:color w:val="231F20"/>
                <w:spacing w:val="-5"/>
                <w:w w:val="95"/>
                <w:sz w:val="14"/>
              </w:rPr>
              <w:t>24</w:t>
            </w:r>
          </w:p>
        </w:tc>
        <w:tc>
          <w:tcPr>
            <w:tcW w:w="126" w:type="dxa"/>
          </w:tcPr>
          <w:p>
            <w:pPr>
              <w:pStyle w:val="TableParagraph"/>
              <w:spacing w:before="0"/>
              <w:jc w:val="left"/>
              <w:rPr>
                <w:rFonts w:ascii="Times New Roman"/>
                <w:sz w:val="14"/>
              </w:rPr>
            </w:pPr>
          </w:p>
        </w:tc>
        <w:tc>
          <w:tcPr>
            <w:tcW w:w="463" w:type="dxa"/>
          </w:tcPr>
          <w:p>
            <w:pPr>
              <w:pStyle w:val="TableParagraph"/>
              <w:ind w:left="8" w:right="48"/>
              <w:rPr>
                <w:sz w:val="14"/>
              </w:rPr>
            </w:pPr>
            <w:r>
              <w:rPr>
                <w:color w:val="231F20"/>
                <w:spacing w:val="-5"/>
                <w:w w:val="95"/>
                <w:sz w:val="14"/>
              </w:rPr>
              <w:t>3.7</w:t>
            </w:r>
          </w:p>
        </w:tc>
        <w:tc>
          <w:tcPr>
            <w:tcW w:w="574" w:type="dxa"/>
          </w:tcPr>
          <w:p>
            <w:pPr>
              <w:pStyle w:val="TableParagraph"/>
              <w:ind w:left="161" w:right="72"/>
              <w:rPr>
                <w:sz w:val="14"/>
              </w:rPr>
            </w:pPr>
            <w:r>
              <w:rPr>
                <w:color w:val="231F20"/>
                <w:spacing w:val="-5"/>
                <w:w w:val="95"/>
                <w:sz w:val="14"/>
              </w:rPr>
              <w:t>25</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3.5</w:t>
            </w:r>
          </w:p>
        </w:tc>
        <w:tc>
          <w:tcPr>
            <w:tcW w:w="574" w:type="dxa"/>
          </w:tcPr>
          <w:p>
            <w:pPr>
              <w:pStyle w:val="TableParagraph"/>
              <w:ind w:left="161" w:right="70"/>
              <w:rPr>
                <w:sz w:val="14"/>
              </w:rPr>
            </w:pPr>
            <w:r>
              <w:rPr>
                <w:color w:val="231F20"/>
                <w:spacing w:val="-5"/>
                <w:w w:val="95"/>
                <w:sz w:val="14"/>
              </w:rPr>
              <w:t>22</w:t>
            </w:r>
          </w:p>
        </w:tc>
        <w:tc>
          <w:tcPr>
            <w:tcW w:w="126" w:type="dxa"/>
          </w:tcPr>
          <w:p>
            <w:pPr>
              <w:pStyle w:val="TableParagraph"/>
              <w:spacing w:before="0"/>
              <w:jc w:val="left"/>
              <w:rPr>
                <w:rFonts w:ascii="Times New Roman"/>
                <w:sz w:val="14"/>
              </w:rPr>
            </w:pPr>
          </w:p>
        </w:tc>
        <w:tc>
          <w:tcPr>
            <w:tcW w:w="463" w:type="dxa"/>
          </w:tcPr>
          <w:p>
            <w:pPr>
              <w:pStyle w:val="TableParagraph"/>
              <w:ind w:left="15" w:right="48"/>
              <w:rPr>
                <w:sz w:val="14"/>
              </w:rPr>
            </w:pPr>
            <w:r>
              <w:rPr>
                <w:color w:val="231F20"/>
                <w:spacing w:val="-5"/>
                <w:w w:val="95"/>
                <w:sz w:val="14"/>
              </w:rPr>
              <w:t>3.8</w:t>
            </w:r>
          </w:p>
        </w:tc>
        <w:tc>
          <w:tcPr>
            <w:tcW w:w="574" w:type="dxa"/>
          </w:tcPr>
          <w:p>
            <w:pPr>
              <w:pStyle w:val="TableParagraph"/>
              <w:ind w:left="161" w:right="69"/>
              <w:rPr>
                <w:sz w:val="14"/>
              </w:rPr>
            </w:pPr>
            <w:r>
              <w:rPr>
                <w:color w:val="231F20"/>
                <w:spacing w:val="-5"/>
                <w:w w:val="95"/>
                <w:sz w:val="14"/>
              </w:rPr>
              <w:t>20</w:t>
            </w:r>
          </w:p>
        </w:tc>
        <w:tc>
          <w:tcPr>
            <w:tcW w:w="126" w:type="dxa"/>
          </w:tcPr>
          <w:p>
            <w:pPr>
              <w:pStyle w:val="TableParagraph"/>
              <w:spacing w:before="0"/>
              <w:jc w:val="left"/>
              <w:rPr>
                <w:rFonts w:ascii="Times New Roman"/>
                <w:sz w:val="14"/>
              </w:rPr>
            </w:pPr>
          </w:p>
        </w:tc>
        <w:tc>
          <w:tcPr>
            <w:tcW w:w="463" w:type="dxa"/>
          </w:tcPr>
          <w:p>
            <w:pPr>
              <w:pStyle w:val="TableParagraph"/>
              <w:ind w:left="17" w:right="48"/>
              <w:rPr>
                <w:sz w:val="14"/>
              </w:rPr>
            </w:pPr>
            <w:r>
              <w:rPr>
                <w:color w:val="231F20"/>
                <w:spacing w:val="-5"/>
                <w:w w:val="95"/>
                <w:sz w:val="14"/>
              </w:rPr>
              <w:t>3.8</w:t>
            </w:r>
          </w:p>
        </w:tc>
        <w:tc>
          <w:tcPr>
            <w:tcW w:w="574" w:type="dxa"/>
          </w:tcPr>
          <w:p>
            <w:pPr>
              <w:pStyle w:val="TableParagraph"/>
              <w:ind w:left="161" w:right="67"/>
              <w:rPr>
                <w:sz w:val="14"/>
              </w:rPr>
            </w:pPr>
            <w:r>
              <w:rPr>
                <w:color w:val="231F20"/>
                <w:spacing w:val="-5"/>
                <w:w w:val="95"/>
                <w:sz w:val="14"/>
              </w:rPr>
              <w:t>25</w:t>
            </w:r>
          </w:p>
        </w:tc>
        <w:tc>
          <w:tcPr>
            <w:tcW w:w="126" w:type="dxa"/>
          </w:tcPr>
          <w:p>
            <w:pPr>
              <w:pStyle w:val="TableParagraph"/>
              <w:spacing w:before="0"/>
              <w:jc w:val="left"/>
              <w:rPr>
                <w:rFonts w:ascii="Times New Roman"/>
                <w:sz w:val="14"/>
              </w:rPr>
            </w:pPr>
          </w:p>
        </w:tc>
        <w:tc>
          <w:tcPr>
            <w:tcW w:w="468" w:type="dxa"/>
          </w:tcPr>
          <w:p>
            <w:pPr>
              <w:pStyle w:val="TableParagraph"/>
              <w:ind w:left="6" w:right="45"/>
              <w:rPr>
                <w:sz w:val="14"/>
              </w:rPr>
            </w:pPr>
            <w:r>
              <w:rPr>
                <w:color w:val="231F20"/>
                <w:spacing w:val="-5"/>
                <w:w w:val="95"/>
                <w:sz w:val="14"/>
              </w:rPr>
              <w:t>3.7</w:t>
            </w:r>
          </w:p>
        </w:tc>
        <w:tc>
          <w:tcPr>
            <w:tcW w:w="655" w:type="dxa"/>
          </w:tcPr>
          <w:p>
            <w:pPr>
              <w:pStyle w:val="TableParagraph"/>
              <w:ind w:left="72" w:right="68"/>
              <w:rPr>
                <w:sz w:val="14"/>
              </w:rPr>
            </w:pPr>
            <w:r>
              <w:rPr>
                <w:color w:val="231F20"/>
                <w:spacing w:val="-5"/>
                <w:w w:val="95"/>
                <w:sz w:val="14"/>
              </w:rPr>
              <w:t>29</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Luxembourg</w:t>
            </w:r>
          </w:p>
        </w:tc>
        <w:tc>
          <w:tcPr>
            <w:tcW w:w="622" w:type="dxa"/>
            <w:shd w:val="clear" w:color="auto" w:fill="D4E3F5"/>
          </w:tcPr>
          <w:p>
            <w:pPr>
              <w:pStyle w:val="TableParagraph"/>
              <w:ind w:left="67" w:right="101"/>
              <w:rPr>
                <w:sz w:val="14"/>
              </w:rPr>
            </w:pPr>
            <w:r>
              <w:rPr>
                <w:color w:val="231F20"/>
                <w:spacing w:val="-5"/>
                <w:w w:val="95"/>
                <w:sz w:val="14"/>
              </w:rPr>
              <w:t>26</w:t>
            </w:r>
          </w:p>
        </w:tc>
        <w:tc>
          <w:tcPr>
            <w:tcW w:w="644" w:type="dxa"/>
            <w:shd w:val="clear" w:color="auto" w:fill="D4E3F5"/>
          </w:tcPr>
          <w:p>
            <w:pPr>
              <w:pStyle w:val="TableParagraph"/>
              <w:ind w:left="165"/>
              <w:jc w:val="left"/>
              <w:rPr>
                <w:sz w:val="14"/>
              </w:rPr>
            </w:pPr>
            <w:r>
              <w:rPr>
                <w:color w:val="231F20"/>
                <w:spacing w:val="-5"/>
                <w:w w:val="95"/>
                <w:sz w:val="14"/>
              </w:rPr>
              <w:t>3.6</w:t>
            </w:r>
          </w:p>
        </w:tc>
        <w:tc>
          <w:tcPr>
            <w:tcW w:w="480" w:type="dxa"/>
            <w:shd w:val="clear" w:color="auto" w:fill="D4E3F5"/>
          </w:tcPr>
          <w:p>
            <w:pPr>
              <w:pStyle w:val="TableParagraph"/>
              <w:ind w:left="102"/>
              <w:jc w:val="left"/>
              <w:rPr>
                <w:sz w:val="14"/>
              </w:rPr>
            </w:pPr>
            <w:r>
              <w:rPr>
                <w:color w:val="231F20"/>
                <w:spacing w:val="-5"/>
                <w:w w:val="95"/>
                <w:sz w:val="14"/>
              </w:rPr>
              <w:t>3.3</w:t>
            </w:r>
          </w:p>
        </w:tc>
        <w:tc>
          <w:tcPr>
            <w:tcW w:w="582" w:type="dxa"/>
            <w:shd w:val="clear" w:color="auto" w:fill="D4E3F5"/>
          </w:tcPr>
          <w:p>
            <w:pPr>
              <w:pStyle w:val="TableParagraph"/>
              <w:ind w:left="7" w:right="6"/>
              <w:rPr>
                <w:sz w:val="14"/>
              </w:rPr>
            </w:pPr>
            <w:r>
              <w:rPr>
                <w:color w:val="231F20"/>
                <w:spacing w:val="-5"/>
                <w:w w:val="95"/>
                <w:sz w:val="14"/>
              </w:rPr>
              <w:t>3.9</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0" w:right="48"/>
              <w:rPr>
                <w:sz w:val="14"/>
              </w:rPr>
            </w:pPr>
            <w:r>
              <w:rPr>
                <w:color w:val="231F20"/>
                <w:spacing w:val="-5"/>
                <w:w w:val="95"/>
                <w:sz w:val="14"/>
              </w:rPr>
              <w:t>3.6</w:t>
            </w:r>
          </w:p>
        </w:tc>
        <w:tc>
          <w:tcPr>
            <w:tcW w:w="574" w:type="dxa"/>
            <w:shd w:val="clear" w:color="auto" w:fill="D4E3F5"/>
          </w:tcPr>
          <w:p>
            <w:pPr>
              <w:pStyle w:val="TableParagraph"/>
              <w:ind w:left="158" w:right="70"/>
              <w:rPr>
                <w:sz w:val="14"/>
              </w:rPr>
            </w:pPr>
            <w:r>
              <w:rPr>
                <w:color w:val="231F20"/>
                <w:spacing w:val="-5"/>
                <w:w w:val="95"/>
                <w:sz w:val="14"/>
              </w:rPr>
              <w:t>20</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3.6</w:t>
            </w:r>
          </w:p>
        </w:tc>
        <w:tc>
          <w:tcPr>
            <w:tcW w:w="574" w:type="dxa"/>
            <w:shd w:val="clear" w:color="auto" w:fill="D4E3F5"/>
          </w:tcPr>
          <w:p>
            <w:pPr>
              <w:pStyle w:val="TableParagraph"/>
              <w:ind w:left="161" w:right="72"/>
              <w:rPr>
                <w:sz w:val="14"/>
              </w:rPr>
            </w:pPr>
            <w:r>
              <w:rPr>
                <w:color w:val="231F20"/>
                <w:spacing w:val="-5"/>
                <w:w w:val="95"/>
                <w:sz w:val="14"/>
              </w:rPr>
              <w:t>30</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3" w:right="48"/>
              <w:rPr>
                <w:sz w:val="14"/>
              </w:rPr>
            </w:pPr>
            <w:r>
              <w:rPr>
                <w:color w:val="231F20"/>
                <w:spacing w:val="-5"/>
                <w:w w:val="95"/>
                <w:sz w:val="14"/>
              </w:rPr>
              <w:t>3.6</w:t>
            </w:r>
          </w:p>
        </w:tc>
        <w:tc>
          <w:tcPr>
            <w:tcW w:w="574" w:type="dxa"/>
            <w:shd w:val="clear" w:color="auto" w:fill="D4E3F5"/>
          </w:tcPr>
          <w:p>
            <w:pPr>
              <w:pStyle w:val="TableParagraph"/>
              <w:ind w:left="161" w:right="70"/>
              <w:rPr>
                <w:sz w:val="14"/>
              </w:rPr>
            </w:pPr>
            <w:r>
              <w:rPr>
                <w:color w:val="231F20"/>
                <w:spacing w:val="-5"/>
                <w:w w:val="95"/>
                <w:sz w:val="14"/>
              </w:rPr>
              <w:t>14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5" w:right="48"/>
              <w:rPr>
                <w:sz w:val="14"/>
              </w:rPr>
            </w:pPr>
            <w:r>
              <w:rPr>
                <w:color w:val="231F20"/>
                <w:spacing w:val="-5"/>
                <w:w w:val="95"/>
                <w:sz w:val="14"/>
              </w:rPr>
              <w:t>3.9</w:t>
            </w:r>
          </w:p>
        </w:tc>
        <w:tc>
          <w:tcPr>
            <w:tcW w:w="574" w:type="dxa"/>
            <w:shd w:val="clear" w:color="auto" w:fill="D4E3F5"/>
          </w:tcPr>
          <w:p>
            <w:pPr>
              <w:pStyle w:val="TableParagraph"/>
              <w:ind w:left="161" w:right="69"/>
              <w:rPr>
                <w:sz w:val="14"/>
              </w:rPr>
            </w:pPr>
            <w:r>
              <w:rPr>
                <w:color w:val="231F20"/>
                <w:spacing w:val="-5"/>
                <w:w w:val="95"/>
                <w:sz w:val="14"/>
              </w:rPr>
              <w:t>14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7" w:right="48"/>
              <w:rPr>
                <w:sz w:val="14"/>
              </w:rPr>
            </w:pPr>
            <w:r>
              <w:rPr>
                <w:color w:val="231F20"/>
                <w:spacing w:val="-5"/>
                <w:w w:val="95"/>
                <w:sz w:val="14"/>
              </w:rPr>
              <w:t>3.5</w:t>
            </w:r>
          </w:p>
        </w:tc>
        <w:tc>
          <w:tcPr>
            <w:tcW w:w="574" w:type="dxa"/>
            <w:shd w:val="clear" w:color="auto" w:fill="D4E3F5"/>
          </w:tcPr>
          <w:p>
            <w:pPr>
              <w:pStyle w:val="TableParagraph"/>
              <w:ind w:left="161" w:right="67"/>
              <w:rPr>
                <w:sz w:val="14"/>
              </w:rPr>
            </w:pPr>
            <w:r>
              <w:rPr>
                <w:color w:val="231F20"/>
                <w:spacing w:val="-5"/>
                <w:w w:val="95"/>
                <w:sz w:val="14"/>
              </w:rPr>
              <w:t>46</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10" w:right="45"/>
              <w:rPr>
                <w:sz w:val="14"/>
              </w:rPr>
            </w:pPr>
            <w:r>
              <w:rPr>
                <w:color w:val="231F20"/>
                <w:spacing w:val="-5"/>
                <w:w w:val="95"/>
                <w:sz w:val="14"/>
              </w:rPr>
              <w:t>3.5</w:t>
            </w:r>
          </w:p>
        </w:tc>
        <w:tc>
          <w:tcPr>
            <w:tcW w:w="655" w:type="dxa"/>
            <w:shd w:val="clear" w:color="auto" w:fill="D4E3F5"/>
          </w:tcPr>
          <w:p>
            <w:pPr>
              <w:pStyle w:val="TableParagraph"/>
              <w:ind w:left="72" w:right="68"/>
              <w:rPr>
                <w:sz w:val="14"/>
              </w:rPr>
            </w:pPr>
            <w:r>
              <w:rPr>
                <w:color w:val="231F20"/>
                <w:spacing w:val="-5"/>
                <w:w w:val="95"/>
                <w:sz w:val="14"/>
              </w:rPr>
              <w:t>37</w:t>
            </w:r>
          </w:p>
        </w:tc>
      </w:tr>
      <w:tr>
        <w:trPr>
          <w:trHeight w:val="259" w:hRule="atLeast"/>
        </w:trPr>
        <w:tc>
          <w:tcPr>
            <w:tcW w:w="990" w:type="dxa"/>
          </w:tcPr>
          <w:p>
            <w:pPr>
              <w:pStyle w:val="TableParagraph"/>
              <w:ind w:left="80"/>
              <w:jc w:val="left"/>
              <w:rPr>
                <w:sz w:val="14"/>
              </w:rPr>
            </w:pPr>
            <w:r>
              <w:rPr>
                <w:color w:val="231F20"/>
                <w:spacing w:val="-2"/>
                <w:w w:val="90"/>
                <w:sz w:val="14"/>
              </w:rPr>
              <w:t>Malaysia</w:t>
            </w:r>
          </w:p>
        </w:tc>
        <w:tc>
          <w:tcPr>
            <w:tcW w:w="622" w:type="dxa"/>
          </w:tcPr>
          <w:p>
            <w:pPr>
              <w:pStyle w:val="TableParagraph"/>
              <w:ind w:left="67" w:right="101"/>
              <w:rPr>
                <w:sz w:val="14"/>
              </w:rPr>
            </w:pPr>
            <w:r>
              <w:rPr>
                <w:color w:val="231F20"/>
                <w:spacing w:val="-5"/>
                <w:w w:val="95"/>
                <w:sz w:val="14"/>
              </w:rPr>
              <w:t>26</w:t>
            </w:r>
          </w:p>
        </w:tc>
        <w:tc>
          <w:tcPr>
            <w:tcW w:w="644" w:type="dxa"/>
          </w:tcPr>
          <w:p>
            <w:pPr>
              <w:pStyle w:val="TableParagraph"/>
              <w:ind w:left="165"/>
              <w:jc w:val="left"/>
              <w:rPr>
                <w:sz w:val="14"/>
              </w:rPr>
            </w:pPr>
            <w:r>
              <w:rPr>
                <w:color w:val="231F20"/>
                <w:spacing w:val="-5"/>
                <w:w w:val="95"/>
                <w:sz w:val="14"/>
              </w:rPr>
              <w:t>3.6</w:t>
            </w:r>
          </w:p>
        </w:tc>
        <w:tc>
          <w:tcPr>
            <w:tcW w:w="480" w:type="dxa"/>
          </w:tcPr>
          <w:p>
            <w:pPr>
              <w:pStyle w:val="TableParagraph"/>
              <w:ind w:left="103"/>
              <w:jc w:val="left"/>
              <w:rPr>
                <w:sz w:val="14"/>
              </w:rPr>
            </w:pPr>
            <w:r>
              <w:rPr>
                <w:color w:val="231F20"/>
                <w:spacing w:val="-5"/>
                <w:w w:val="95"/>
                <w:sz w:val="14"/>
              </w:rPr>
              <w:t>3.4</w:t>
            </w:r>
          </w:p>
        </w:tc>
        <w:tc>
          <w:tcPr>
            <w:tcW w:w="582" w:type="dxa"/>
          </w:tcPr>
          <w:p>
            <w:pPr>
              <w:pStyle w:val="TableParagraph"/>
              <w:ind w:left="7" w:right="6"/>
              <w:rPr>
                <w:sz w:val="14"/>
              </w:rPr>
            </w:pPr>
            <w:r>
              <w:rPr>
                <w:color w:val="231F20"/>
                <w:spacing w:val="-5"/>
                <w:w w:val="95"/>
                <w:sz w:val="14"/>
              </w:rPr>
              <w:t>3.8</w:t>
            </w:r>
          </w:p>
        </w:tc>
        <w:tc>
          <w:tcPr>
            <w:tcW w:w="80"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3.3</w:t>
            </w:r>
          </w:p>
        </w:tc>
        <w:tc>
          <w:tcPr>
            <w:tcW w:w="574" w:type="dxa"/>
          </w:tcPr>
          <w:p>
            <w:pPr>
              <w:pStyle w:val="TableParagraph"/>
              <w:ind w:left="158" w:right="70"/>
              <w:rPr>
                <w:sz w:val="14"/>
              </w:rPr>
            </w:pPr>
            <w:r>
              <w:rPr>
                <w:color w:val="231F20"/>
                <w:spacing w:val="-5"/>
                <w:w w:val="95"/>
                <w:sz w:val="14"/>
              </w:rPr>
              <w:t>31</w:t>
            </w:r>
          </w:p>
        </w:tc>
        <w:tc>
          <w:tcPr>
            <w:tcW w:w="126"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3.6</w:t>
            </w:r>
          </w:p>
        </w:tc>
        <w:tc>
          <w:tcPr>
            <w:tcW w:w="574" w:type="dxa"/>
          </w:tcPr>
          <w:p>
            <w:pPr>
              <w:pStyle w:val="TableParagraph"/>
              <w:ind w:left="161" w:right="72"/>
              <w:rPr>
                <w:sz w:val="14"/>
              </w:rPr>
            </w:pPr>
            <w:r>
              <w:rPr>
                <w:color w:val="231F20"/>
                <w:spacing w:val="-5"/>
                <w:w w:val="95"/>
                <w:sz w:val="14"/>
              </w:rPr>
              <w:t>30</w:t>
            </w:r>
          </w:p>
        </w:tc>
        <w:tc>
          <w:tcPr>
            <w:tcW w:w="126" w:type="dxa"/>
          </w:tcPr>
          <w:p>
            <w:pPr>
              <w:pStyle w:val="TableParagraph"/>
              <w:spacing w:before="0"/>
              <w:jc w:val="left"/>
              <w:rPr>
                <w:rFonts w:ascii="Times New Roman"/>
                <w:sz w:val="14"/>
              </w:rPr>
            </w:pPr>
          </w:p>
        </w:tc>
        <w:tc>
          <w:tcPr>
            <w:tcW w:w="463" w:type="dxa"/>
          </w:tcPr>
          <w:p>
            <w:pPr>
              <w:pStyle w:val="TableParagraph"/>
              <w:ind w:left="10" w:right="48"/>
              <w:rPr>
                <w:sz w:val="14"/>
              </w:rPr>
            </w:pPr>
            <w:r>
              <w:rPr>
                <w:color w:val="231F20"/>
                <w:spacing w:val="-5"/>
                <w:w w:val="95"/>
                <w:sz w:val="14"/>
              </w:rPr>
              <w:t>3.7</w:t>
            </w:r>
          </w:p>
        </w:tc>
        <w:tc>
          <w:tcPr>
            <w:tcW w:w="574" w:type="dxa"/>
          </w:tcPr>
          <w:p>
            <w:pPr>
              <w:pStyle w:val="TableParagraph"/>
              <w:ind w:left="158"/>
              <w:rPr>
                <w:sz w:val="14"/>
              </w:rPr>
            </w:pPr>
            <w:r>
              <w:rPr>
                <w:color w:val="231F20"/>
                <w:spacing w:val="-10"/>
                <w:w w:val="95"/>
                <w:sz w:val="14"/>
              </w:rPr>
              <w:t>8</w:t>
            </w:r>
          </w:p>
        </w:tc>
        <w:tc>
          <w:tcPr>
            <w:tcW w:w="126"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3.7</w:t>
            </w:r>
          </w:p>
        </w:tc>
        <w:tc>
          <w:tcPr>
            <w:tcW w:w="574" w:type="dxa"/>
          </w:tcPr>
          <w:p>
            <w:pPr>
              <w:pStyle w:val="TableParagraph"/>
              <w:ind w:left="161" w:right="69"/>
              <w:rPr>
                <w:sz w:val="14"/>
              </w:rPr>
            </w:pPr>
            <w:r>
              <w:rPr>
                <w:color w:val="231F20"/>
                <w:spacing w:val="-5"/>
                <w:w w:val="95"/>
                <w:sz w:val="14"/>
              </w:rPr>
              <w:t>28</w:t>
            </w:r>
          </w:p>
        </w:tc>
        <w:tc>
          <w:tcPr>
            <w:tcW w:w="126" w:type="dxa"/>
          </w:tcPr>
          <w:p>
            <w:pPr>
              <w:pStyle w:val="TableParagraph"/>
              <w:spacing w:before="0"/>
              <w:jc w:val="left"/>
              <w:rPr>
                <w:rFonts w:ascii="Times New Roman"/>
                <w:sz w:val="14"/>
              </w:rPr>
            </w:pPr>
          </w:p>
        </w:tc>
        <w:tc>
          <w:tcPr>
            <w:tcW w:w="463" w:type="dxa"/>
          </w:tcPr>
          <w:p>
            <w:pPr>
              <w:pStyle w:val="TableParagraph"/>
              <w:ind w:left="13" w:right="48"/>
              <w:rPr>
                <w:sz w:val="14"/>
              </w:rPr>
            </w:pPr>
            <w:r>
              <w:rPr>
                <w:color w:val="231F20"/>
                <w:spacing w:val="-5"/>
                <w:w w:val="95"/>
                <w:sz w:val="14"/>
              </w:rPr>
              <w:t>3.7</w:t>
            </w:r>
          </w:p>
        </w:tc>
        <w:tc>
          <w:tcPr>
            <w:tcW w:w="574" w:type="dxa"/>
          </w:tcPr>
          <w:p>
            <w:pPr>
              <w:pStyle w:val="TableParagraph"/>
              <w:ind w:left="161" w:right="67"/>
              <w:rPr>
                <w:sz w:val="14"/>
              </w:rPr>
            </w:pPr>
            <w:r>
              <w:rPr>
                <w:color w:val="231F20"/>
                <w:spacing w:val="-5"/>
                <w:w w:val="95"/>
                <w:sz w:val="14"/>
              </w:rPr>
              <w:t>30</w:t>
            </w:r>
          </w:p>
        </w:tc>
        <w:tc>
          <w:tcPr>
            <w:tcW w:w="126" w:type="dxa"/>
          </w:tcPr>
          <w:p>
            <w:pPr>
              <w:pStyle w:val="TableParagraph"/>
              <w:spacing w:before="0"/>
              <w:jc w:val="left"/>
              <w:rPr>
                <w:rFonts w:ascii="Times New Roman"/>
                <w:sz w:val="14"/>
              </w:rPr>
            </w:pPr>
          </w:p>
        </w:tc>
        <w:tc>
          <w:tcPr>
            <w:tcW w:w="468" w:type="dxa"/>
          </w:tcPr>
          <w:p>
            <w:pPr>
              <w:pStyle w:val="TableParagraph"/>
              <w:ind w:left="6" w:right="45"/>
              <w:rPr>
                <w:sz w:val="14"/>
              </w:rPr>
            </w:pPr>
            <w:r>
              <w:rPr>
                <w:color w:val="231F20"/>
                <w:spacing w:val="-5"/>
                <w:w w:val="95"/>
                <w:sz w:val="14"/>
              </w:rPr>
              <w:t>3.7</w:t>
            </w:r>
          </w:p>
        </w:tc>
        <w:tc>
          <w:tcPr>
            <w:tcW w:w="655" w:type="dxa"/>
          </w:tcPr>
          <w:p>
            <w:pPr>
              <w:pStyle w:val="TableParagraph"/>
              <w:ind w:left="72" w:right="68"/>
              <w:rPr>
                <w:sz w:val="14"/>
              </w:rPr>
            </w:pPr>
            <w:r>
              <w:rPr>
                <w:color w:val="231F20"/>
                <w:spacing w:val="-5"/>
                <w:w w:val="95"/>
                <w:sz w:val="14"/>
              </w:rPr>
              <w:t>29</w:t>
            </w:r>
          </w:p>
        </w:tc>
      </w:tr>
      <w:tr>
        <w:trPr>
          <w:trHeight w:val="259" w:hRule="atLeast"/>
        </w:trPr>
        <w:tc>
          <w:tcPr>
            <w:tcW w:w="990" w:type="dxa"/>
            <w:shd w:val="clear" w:color="auto" w:fill="D4E3F5"/>
          </w:tcPr>
          <w:p>
            <w:pPr>
              <w:pStyle w:val="TableParagraph"/>
              <w:ind w:left="80"/>
              <w:jc w:val="left"/>
              <w:rPr>
                <w:sz w:val="14"/>
              </w:rPr>
            </w:pPr>
            <w:r>
              <w:rPr>
                <w:color w:val="231F20"/>
                <w:w w:val="75"/>
                <w:sz w:val="14"/>
              </w:rPr>
              <w:t>New</w:t>
            </w:r>
            <w:r>
              <w:rPr>
                <w:color w:val="231F20"/>
                <w:spacing w:val="4"/>
                <w:sz w:val="14"/>
              </w:rPr>
              <w:t> </w:t>
            </w:r>
            <w:r>
              <w:rPr>
                <w:color w:val="231F20"/>
                <w:spacing w:val="-2"/>
                <w:w w:val="85"/>
                <w:sz w:val="14"/>
              </w:rPr>
              <w:t>Zealand</w:t>
            </w:r>
          </w:p>
        </w:tc>
        <w:tc>
          <w:tcPr>
            <w:tcW w:w="622" w:type="dxa"/>
            <w:shd w:val="clear" w:color="auto" w:fill="D4E3F5"/>
          </w:tcPr>
          <w:p>
            <w:pPr>
              <w:pStyle w:val="TableParagraph"/>
              <w:ind w:left="67" w:right="101"/>
              <w:rPr>
                <w:sz w:val="14"/>
              </w:rPr>
            </w:pPr>
            <w:r>
              <w:rPr>
                <w:color w:val="231F20"/>
                <w:spacing w:val="-5"/>
                <w:w w:val="95"/>
                <w:sz w:val="14"/>
              </w:rPr>
              <w:t>26</w:t>
            </w:r>
          </w:p>
        </w:tc>
        <w:tc>
          <w:tcPr>
            <w:tcW w:w="644" w:type="dxa"/>
            <w:shd w:val="clear" w:color="auto" w:fill="D4E3F5"/>
          </w:tcPr>
          <w:p>
            <w:pPr>
              <w:pStyle w:val="TableParagraph"/>
              <w:ind w:left="165"/>
              <w:jc w:val="left"/>
              <w:rPr>
                <w:sz w:val="14"/>
              </w:rPr>
            </w:pPr>
            <w:r>
              <w:rPr>
                <w:color w:val="231F20"/>
                <w:spacing w:val="-5"/>
                <w:w w:val="95"/>
                <w:sz w:val="14"/>
              </w:rPr>
              <w:t>3.6</w:t>
            </w:r>
          </w:p>
        </w:tc>
        <w:tc>
          <w:tcPr>
            <w:tcW w:w="480" w:type="dxa"/>
            <w:shd w:val="clear" w:color="auto" w:fill="D4E3F5"/>
          </w:tcPr>
          <w:p>
            <w:pPr>
              <w:pStyle w:val="TableParagraph"/>
              <w:ind w:left="103"/>
              <w:jc w:val="left"/>
              <w:rPr>
                <w:sz w:val="14"/>
              </w:rPr>
            </w:pPr>
            <w:r>
              <w:rPr>
                <w:color w:val="231F20"/>
                <w:spacing w:val="-5"/>
                <w:w w:val="95"/>
                <w:sz w:val="14"/>
              </w:rPr>
              <w:t>3.4</w:t>
            </w:r>
          </w:p>
        </w:tc>
        <w:tc>
          <w:tcPr>
            <w:tcW w:w="582" w:type="dxa"/>
            <w:shd w:val="clear" w:color="auto" w:fill="D4E3F5"/>
          </w:tcPr>
          <w:p>
            <w:pPr>
              <w:pStyle w:val="TableParagraph"/>
              <w:ind w:left="7" w:right="6"/>
              <w:rPr>
                <w:sz w:val="14"/>
              </w:rPr>
            </w:pPr>
            <w:r>
              <w:rPr>
                <w:color w:val="231F20"/>
                <w:spacing w:val="-5"/>
                <w:w w:val="95"/>
                <w:sz w:val="14"/>
              </w:rPr>
              <w:t>3.8</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8" w:right="48"/>
              <w:rPr>
                <w:sz w:val="14"/>
              </w:rPr>
            </w:pPr>
            <w:r>
              <w:rPr>
                <w:color w:val="231F20"/>
                <w:spacing w:val="-5"/>
                <w:w w:val="95"/>
                <w:sz w:val="14"/>
              </w:rPr>
              <w:t>3.4</w:t>
            </w:r>
          </w:p>
        </w:tc>
        <w:tc>
          <w:tcPr>
            <w:tcW w:w="574" w:type="dxa"/>
            <w:shd w:val="clear" w:color="auto" w:fill="D4E3F5"/>
          </w:tcPr>
          <w:p>
            <w:pPr>
              <w:pStyle w:val="TableParagraph"/>
              <w:ind w:left="158" w:right="70"/>
              <w:rPr>
                <w:sz w:val="14"/>
              </w:rPr>
            </w:pPr>
            <w:r>
              <w:rPr>
                <w:color w:val="231F20"/>
                <w:spacing w:val="-5"/>
                <w:w w:val="95"/>
                <w:sz w:val="14"/>
              </w:rPr>
              <w:t>24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2" w:right="48"/>
              <w:rPr>
                <w:sz w:val="14"/>
              </w:rPr>
            </w:pPr>
            <w:r>
              <w:rPr>
                <w:color w:val="231F20"/>
                <w:spacing w:val="-5"/>
                <w:w w:val="95"/>
                <w:sz w:val="14"/>
              </w:rPr>
              <w:t>3.8</w:t>
            </w:r>
          </w:p>
        </w:tc>
        <w:tc>
          <w:tcPr>
            <w:tcW w:w="574" w:type="dxa"/>
            <w:shd w:val="clear" w:color="auto" w:fill="D4E3F5"/>
          </w:tcPr>
          <w:p>
            <w:pPr>
              <w:pStyle w:val="TableParagraph"/>
              <w:ind w:left="161" w:right="72"/>
              <w:rPr>
                <w:sz w:val="14"/>
              </w:rPr>
            </w:pPr>
            <w:r>
              <w:rPr>
                <w:color w:val="231F20"/>
                <w:spacing w:val="-5"/>
                <w:w w:val="95"/>
                <w:sz w:val="14"/>
              </w:rPr>
              <w:t>19</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3.2</w:t>
            </w:r>
          </w:p>
        </w:tc>
        <w:tc>
          <w:tcPr>
            <w:tcW w:w="574" w:type="dxa"/>
            <w:shd w:val="clear" w:color="auto" w:fill="D4E3F5"/>
          </w:tcPr>
          <w:p>
            <w:pPr>
              <w:pStyle w:val="TableParagraph"/>
              <w:ind w:left="161" w:right="70"/>
              <w:rPr>
                <w:sz w:val="14"/>
              </w:rPr>
            </w:pPr>
            <w:r>
              <w:rPr>
                <w:color w:val="231F20"/>
                <w:spacing w:val="-5"/>
                <w:w w:val="95"/>
                <w:sz w:val="14"/>
              </w:rPr>
              <w:t>43</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3.7</w:t>
            </w:r>
          </w:p>
        </w:tc>
        <w:tc>
          <w:tcPr>
            <w:tcW w:w="574" w:type="dxa"/>
            <w:shd w:val="clear" w:color="auto" w:fill="D4E3F5"/>
          </w:tcPr>
          <w:p>
            <w:pPr>
              <w:pStyle w:val="TableParagraph"/>
              <w:ind w:left="161" w:right="69"/>
              <w:rPr>
                <w:sz w:val="14"/>
              </w:rPr>
            </w:pPr>
            <w:r>
              <w:rPr>
                <w:color w:val="231F20"/>
                <w:spacing w:val="-5"/>
                <w:w w:val="95"/>
                <w:sz w:val="14"/>
              </w:rPr>
              <w:t>28</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7" w:right="48"/>
              <w:rPr>
                <w:sz w:val="14"/>
              </w:rPr>
            </w:pPr>
            <w:r>
              <w:rPr>
                <w:color w:val="231F20"/>
                <w:spacing w:val="-5"/>
                <w:w w:val="95"/>
                <w:sz w:val="14"/>
              </w:rPr>
              <w:t>3.8</w:t>
            </w:r>
          </w:p>
        </w:tc>
        <w:tc>
          <w:tcPr>
            <w:tcW w:w="574" w:type="dxa"/>
            <w:shd w:val="clear" w:color="auto" w:fill="D4E3F5"/>
          </w:tcPr>
          <w:p>
            <w:pPr>
              <w:pStyle w:val="TableParagraph"/>
              <w:ind w:left="161" w:right="67"/>
              <w:rPr>
                <w:sz w:val="14"/>
              </w:rPr>
            </w:pPr>
            <w:r>
              <w:rPr>
                <w:color w:val="231F20"/>
                <w:spacing w:val="-5"/>
                <w:w w:val="95"/>
                <w:sz w:val="14"/>
              </w:rPr>
              <w:t>25</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10" w:right="45"/>
              <w:rPr>
                <w:sz w:val="14"/>
              </w:rPr>
            </w:pPr>
            <w:r>
              <w:rPr>
                <w:color w:val="231F20"/>
                <w:spacing w:val="-5"/>
                <w:w w:val="95"/>
                <w:sz w:val="14"/>
              </w:rPr>
              <w:t>3.8</w:t>
            </w:r>
          </w:p>
        </w:tc>
        <w:tc>
          <w:tcPr>
            <w:tcW w:w="655" w:type="dxa"/>
            <w:shd w:val="clear" w:color="auto" w:fill="D4E3F5"/>
          </w:tcPr>
          <w:p>
            <w:pPr>
              <w:pStyle w:val="TableParagraph"/>
              <w:ind w:left="72" w:right="68"/>
              <w:rPr>
                <w:sz w:val="14"/>
              </w:rPr>
            </w:pPr>
            <w:r>
              <w:rPr>
                <w:color w:val="231F20"/>
                <w:spacing w:val="-5"/>
                <w:w w:val="95"/>
                <w:sz w:val="14"/>
              </w:rPr>
              <w:t>23</w:t>
            </w:r>
          </w:p>
        </w:tc>
      </w:tr>
      <w:tr>
        <w:trPr>
          <w:trHeight w:val="259" w:hRule="atLeast"/>
        </w:trPr>
        <w:tc>
          <w:tcPr>
            <w:tcW w:w="990" w:type="dxa"/>
          </w:tcPr>
          <w:p>
            <w:pPr>
              <w:pStyle w:val="TableParagraph"/>
              <w:ind w:left="80"/>
              <w:jc w:val="left"/>
              <w:rPr>
                <w:sz w:val="14"/>
              </w:rPr>
            </w:pPr>
            <w:r>
              <w:rPr>
                <w:color w:val="231F20"/>
                <w:spacing w:val="-2"/>
                <w:w w:val="85"/>
                <w:sz w:val="14"/>
              </w:rPr>
              <w:t>Poland</w:t>
            </w:r>
          </w:p>
        </w:tc>
        <w:tc>
          <w:tcPr>
            <w:tcW w:w="622" w:type="dxa"/>
          </w:tcPr>
          <w:p>
            <w:pPr>
              <w:pStyle w:val="TableParagraph"/>
              <w:ind w:left="67" w:right="101"/>
              <w:rPr>
                <w:sz w:val="14"/>
              </w:rPr>
            </w:pPr>
            <w:r>
              <w:rPr>
                <w:color w:val="231F20"/>
                <w:spacing w:val="-5"/>
                <w:w w:val="95"/>
                <w:sz w:val="14"/>
              </w:rPr>
              <w:t>26</w:t>
            </w:r>
          </w:p>
        </w:tc>
        <w:tc>
          <w:tcPr>
            <w:tcW w:w="644" w:type="dxa"/>
          </w:tcPr>
          <w:p>
            <w:pPr>
              <w:pStyle w:val="TableParagraph"/>
              <w:ind w:left="165"/>
              <w:jc w:val="left"/>
              <w:rPr>
                <w:sz w:val="14"/>
              </w:rPr>
            </w:pPr>
            <w:r>
              <w:rPr>
                <w:color w:val="231F20"/>
                <w:spacing w:val="-5"/>
                <w:w w:val="95"/>
                <w:sz w:val="14"/>
              </w:rPr>
              <w:t>3.6</w:t>
            </w:r>
          </w:p>
        </w:tc>
        <w:tc>
          <w:tcPr>
            <w:tcW w:w="480" w:type="dxa"/>
          </w:tcPr>
          <w:p>
            <w:pPr>
              <w:pStyle w:val="TableParagraph"/>
              <w:ind w:left="102"/>
              <w:jc w:val="left"/>
              <w:rPr>
                <w:sz w:val="14"/>
              </w:rPr>
            </w:pPr>
            <w:r>
              <w:rPr>
                <w:color w:val="231F20"/>
                <w:spacing w:val="-5"/>
                <w:w w:val="95"/>
                <w:sz w:val="14"/>
              </w:rPr>
              <w:t>3.5</w:t>
            </w:r>
          </w:p>
        </w:tc>
        <w:tc>
          <w:tcPr>
            <w:tcW w:w="582" w:type="dxa"/>
          </w:tcPr>
          <w:p>
            <w:pPr>
              <w:pStyle w:val="TableParagraph"/>
              <w:ind w:left="6" w:right="6"/>
              <w:rPr>
                <w:sz w:val="14"/>
              </w:rPr>
            </w:pPr>
            <w:r>
              <w:rPr>
                <w:color w:val="231F20"/>
                <w:spacing w:val="-5"/>
                <w:w w:val="95"/>
                <w:sz w:val="14"/>
              </w:rPr>
              <w:t>3.7</w:t>
            </w:r>
          </w:p>
        </w:tc>
        <w:tc>
          <w:tcPr>
            <w:tcW w:w="80" w:type="dxa"/>
          </w:tcPr>
          <w:p>
            <w:pPr>
              <w:pStyle w:val="TableParagraph"/>
              <w:spacing w:before="0"/>
              <w:jc w:val="left"/>
              <w:rPr>
                <w:rFonts w:ascii="Times New Roman"/>
                <w:sz w:val="14"/>
              </w:rPr>
            </w:pPr>
          </w:p>
        </w:tc>
        <w:tc>
          <w:tcPr>
            <w:tcW w:w="463" w:type="dxa"/>
          </w:tcPr>
          <w:p>
            <w:pPr>
              <w:pStyle w:val="TableParagraph"/>
              <w:ind w:left="8" w:right="48"/>
              <w:rPr>
                <w:sz w:val="14"/>
              </w:rPr>
            </w:pPr>
            <w:r>
              <w:rPr>
                <w:color w:val="231F20"/>
                <w:spacing w:val="-5"/>
                <w:w w:val="95"/>
                <w:sz w:val="14"/>
              </w:rPr>
              <w:t>3.4</w:t>
            </w:r>
          </w:p>
        </w:tc>
        <w:tc>
          <w:tcPr>
            <w:tcW w:w="574" w:type="dxa"/>
          </w:tcPr>
          <w:p>
            <w:pPr>
              <w:pStyle w:val="TableParagraph"/>
              <w:ind w:left="158" w:right="70"/>
              <w:rPr>
                <w:sz w:val="14"/>
              </w:rPr>
            </w:pPr>
            <w:r>
              <w:rPr>
                <w:color w:val="231F20"/>
                <w:spacing w:val="-5"/>
                <w:w w:val="95"/>
                <w:sz w:val="14"/>
              </w:rPr>
              <w:t>24</w:t>
            </w:r>
          </w:p>
        </w:tc>
        <w:tc>
          <w:tcPr>
            <w:tcW w:w="126" w:type="dxa"/>
          </w:tcPr>
          <w:p>
            <w:pPr>
              <w:pStyle w:val="TableParagraph"/>
              <w:spacing w:before="0"/>
              <w:jc w:val="left"/>
              <w:rPr>
                <w:rFonts w:ascii="Times New Roman"/>
                <w:sz w:val="14"/>
              </w:rPr>
            </w:pPr>
          </w:p>
        </w:tc>
        <w:tc>
          <w:tcPr>
            <w:tcW w:w="463" w:type="dxa"/>
          </w:tcPr>
          <w:p>
            <w:pPr>
              <w:pStyle w:val="TableParagraph"/>
              <w:ind w:left="12" w:right="48"/>
              <w:rPr>
                <w:sz w:val="14"/>
              </w:rPr>
            </w:pPr>
            <w:r>
              <w:rPr>
                <w:color w:val="231F20"/>
                <w:spacing w:val="-5"/>
                <w:w w:val="95"/>
                <w:sz w:val="14"/>
              </w:rPr>
              <w:t>3.5</w:t>
            </w:r>
          </w:p>
        </w:tc>
        <w:tc>
          <w:tcPr>
            <w:tcW w:w="574" w:type="dxa"/>
          </w:tcPr>
          <w:p>
            <w:pPr>
              <w:pStyle w:val="TableParagraph"/>
              <w:ind w:left="161" w:right="72"/>
              <w:rPr>
                <w:sz w:val="14"/>
              </w:rPr>
            </w:pPr>
            <w:r>
              <w:rPr>
                <w:color w:val="231F20"/>
                <w:spacing w:val="-5"/>
                <w:w w:val="95"/>
                <w:sz w:val="14"/>
              </w:rPr>
              <w:t>39</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3.3</w:t>
            </w:r>
          </w:p>
        </w:tc>
        <w:tc>
          <w:tcPr>
            <w:tcW w:w="574" w:type="dxa"/>
          </w:tcPr>
          <w:p>
            <w:pPr>
              <w:pStyle w:val="TableParagraph"/>
              <w:ind w:left="161" w:right="70"/>
              <w:rPr>
                <w:sz w:val="14"/>
              </w:rPr>
            </w:pPr>
            <w:r>
              <w:rPr>
                <w:color w:val="231F20"/>
                <w:spacing w:val="-5"/>
                <w:w w:val="95"/>
                <w:sz w:val="14"/>
              </w:rPr>
              <w:t>38</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3.6</w:t>
            </w:r>
          </w:p>
        </w:tc>
        <w:tc>
          <w:tcPr>
            <w:tcW w:w="574" w:type="dxa"/>
          </w:tcPr>
          <w:p>
            <w:pPr>
              <w:pStyle w:val="TableParagraph"/>
              <w:ind w:left="161" w:right="69"/>
              <w:rPr>
                <w:sz w:val="14"/>
              </w:rPr>
            </w:pPr>
            <w:r>
              <w:rPr>
                <w:color w:val="231F20"/>
                <w:spacing w:val="-5"/>
                <w:w w:val="95"/>
                <w:sz w:val="14"/>
              </w:rPr>
              <w:t>33</w:t>
            </w:r>
          </w:p>
        </w:tc>
        <w:tc>
          <w:tcPr>
            <w:tcW w:w="126" w:type="dxa"/>
          </w:tcPr>
          <w:p>
            <w:pPr>
              <w:pStyle w:val="TableParagraph"/>
              <w:spacing w:before="0"/>
              <w:jc w:val="left"/>
              <w:rPr>
                <w:rFonts w:ascii="Times New Roman"/>
                <w:sz w:val="14"/>
              </w:rPr>
            </w:pPr>
          </w:p>
        </w:tc>
        <w:tc>
          <w:tcPr>
            <w:tcW w:w="463" w:type="dxa"/>
          </w:tcPr>
          <w:p>
            <w:pPr>
              <w:pStyle w:val="TableParagraph"/>
              <w:ind w:left="16" w:right="48"/>
              <w:rPr>
                <w:sz w:val="14"/>
              </w:rPr>
            </w:pPr>
            <w:r>
              <w:rPr>
                <w:color w:val="231F20"/>
                <w:spacing w:val="-5"/>
                <w:w w:val="95"/>
                <w:sz w:val="14"/>
              </w:rPr>
              <w:t>3.9</w:t>
            </w:r>
          </w:p>
        </w:tc>
        <w:tc>
          <w:tcPr>
            <w:tcW w:w="574" w:type="dxa"/>
          </w:tcPr>
          <w:p>
            <w:pPr>
              <w:pStyle w:val="TableParagraph"/>
              <w:ind w:left="161" w:right="67"/>
              <w:rPr>
                <w:sz w:val="14"/>
              </w:rPr>
            </w:pPr>
            <w:r>
              <w:rPr>
                <w:color w:val="231F20"/>
                <w:spacing w:val="-5"/>
                <w:w w:val="95"/>
                <w:sz w:val="14"/>
              </w:rPr>
              <w:t>21</w:t>
            </w:r>
          </w:p>
        </w:tc>
        <w:tc>
          <w:tcPr>
            <w:tcW w:w="126" w:type="dxa"/>
          </w:tcPr>
          <w:p>
            <w:pPr>
              <w:pStyle w:val="TableParagraph"/>
              <w:spacing w:before="0"/>
              <w:jc w:val="left"/>
              <w:rPr>
                <w:rFonts w:ascii="Times New Roman"/>
                <w:sz w:val="14"/>
              </w:rPr>
            </w:pPr>
          </w:p>
        </w:tc>
        <w:tc>
          <w:tcPr>
            <w:tcW w:w="468" w:type="dxa"/>
          </w:tcPr>
          <w:p>
            <w:pPr>
              <w:pStyle w:val="TableParagraph"/>
              <w:ind w:left="10" w:right="45"/>
              <w:rPr>
                <w:sz w:val="14"/>
              </w:rPr>
            </w:pPr>
            <w:r>
              <w:rPr>
                <w:color w:val="231F20"/>
                <w:spacing w:val="-5"/>
                <w:w w:val="95"/>
                <w:sz w:val="14"/>
              </w:rPr>
              <w:t>3.8</w:t>
            </w:r>
          </w:p>
        </w:tc>
        <w:tc>
          <w:tcPr>
            <w:tcW w:w="655" w:type="dxa"/>
          </w:tcPr>
          <w:p>
            <w:pPr>
              <w:pStyle w:val="TableParagraph"/>
              <w:ind w:left="72" w:right="68"/>
              <w:rPr>
                <w:sz w:val="14"/>
              </w:rPr>
            </w:pPr>
            <w:r>
              <w:rPr>
                <w:color w:val="231F20"/>
                <w:spacing w:val="-5"/>
                <w:w w:val="95"/>
                <w:sz w:val="14"/>
              </w:rPr>
              <w:t>23</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Bahrain</w:t>
            </w:r>
          </w:p>
        </w:tc>
        <w:tc>
          <w:tcPr>
            <w:tcW w:w="622" w:type="dxa"/>
            <w:shd w:val="clear" w:color="auto" w:fill="D4E3F5"/>
          </w:tcPr>
          <w:p>
            <w:pPr>
              <w:pStyle w:val="TableParagraph"/>
              <w:ind w:left="67" w:right="101"/>
              <w:rPr>
                <w:sz w:val="14"/>
              </w:rPr>
            </w:pPr>
            <w:r>
              <w:rPr>
                <w:color w:val="231F20"/>
                <w:spacing w:val="-5"/>
                <w:w w:val="95"/>
                <w:sz w:val="14"/>
              </w:rPr>
              <w:t>34</w:t>
            </w:r>
          </w:p>
        </w:tc>
        <w:tc>
          <w:tcPr>
            <w:tcW w:w="644" w:type="dxa"/>
            <w:shd w:val="clear" w:color="auto" w:fill="D4E3F5"/>
          </w:tcPr>
          <w:p>
            <w:pPr>
              <w:pStyle w:val="TableParagraph"/>
              <w:ind w:left="164"/>
              <w:jc w:val="left"/>
              <w:rPr>
                <w:sz w:val="14"/>
              </w:rPr>
            </w:pPr>
            <w:r>
              <w:rPr>
                <w:color w:val="231F20"/>
                <w:spacing w:val="-5"/>
                <w:w w:val="95"/>
                <w:sz w:val="14"/>
              </w:rPr>
              <w:t>3.5</w:t>
            </w:r>
          </w:p>
        </w:tc>
        <w:tc>
          <w:tcPr>
            <w:tcW w:w="480" w:type="dxa"/>
            <w:shd w:val="clear" w:color="auto" w:fill="D4E3F5"/>
          </w:tcPr>
          <w:p>
            <w:pPr>
              <w:pStyle w:val="TableParagraph"/>
              <w:ind w:left="107"/>
              <w:jc w:val="left"/>
              <w:rPr>
                <w:sz w:val="14"/>
              </w:rPr>
            </w:pPr>
            <w:r>
              <w:rPr>
                <w:color w:val="231F20"/>
                <w:spacing w:val="-5"/>
                <w:w w:val="95"/>
                <w:sz w:val="14"/>
              </w:rPr>
              <w:t>3.1</w:t>
            </w:r>
          </w:p>
        </w:tc>
        <w:tc>
          <w:tcPr>
            <w:tcW w:w="582" w:type="dxa"/>
            <w:shd w:val="clear" w:color="auto" w:fill="D4E3F5"/>
          </w:tcPr>
          <w:p>
            <w:pPr>
              <w:pStyle w:val="TableParagraph"/>
              <w:ind w:left="7" w:right="6"/>
              <w:rPr>
                <w:sz w:val="14"/>
              </w:rPr>
            </w:pPr>
            <w:r>
              <w:rPr>
                <w:color w:val="231F20"/>
                <w:spacing w:val="-5"/>
                <w:w w:val="95"/>
                <w:sz w:val="14"/>
              </w:rPr>
              <w:t>3.9</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3.3</w:t>
            </w:r>
          </w:p>
        </w:tc>
        <w:tc>
          <w:tcPr>
            <w:tcW w:w="574" w:type="dxa"/>
            <w:shd w:val="clear" w:color="auto" w:fill="D4E3F5"/>
          </w:tcPr>
          <w:p>
            <w:pPr>
              <w:pStyle w:val="TableParagraph"/>
              <w:ind w:left="158" w:right="70"/>
              <w:rPr>
                <w:sz w:val="14"/>
              </w:rPr>
            </w:pPr>
            <w:r>
              <w:rPr>
                <w:color w:val="231F20"/>
                <w:spacing w:val="-5"/>
                <w:w w:val="95"/>
                <w:sz w:val="14"/>
              </w:rPr>
              <w:t>31</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3.6</w:t>
            </w:r>
          </w:p>
        </w:tc>
        <w:tc>
          <w:tcPr>
            <w:tcW w:w="574" w:type="dxa"/>
            <w:shd w:val="clear" w:color="auto" w:fill="D4E3F5"/>
          </w:tcPr>
          <w:p>
            <w:pPr>
              <w:pStyle w:val="TableParagraph"/>
              <w:ind w:left="161" w:right="72"/>
              <w:rPr>
                <w:sz w:val="14"/>
              </w:rPr>
            </w:pPr>
            <w:r>
              <w:rPr>
                <w:color w:val="231F20"/>
                <w:spacing w:val="-5"/>
                <w:w w:val="95"/>
                <w:sz w:val="14"/>
              </w:rPr>
              <w:t>30</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3" w:right="48"/>
              <w:rPr>
                <w:sz w:val="14"/>
              </w:rPr>
            </w:pPr>
            <w:r>
              <w:rPr>
                <w:color w:val="231F20"/>
                <w:spacing w:val="-5"/>
                <w:w w:val="95"/>
                <w:sz w:val="14"/>
              </w:rPr>
              <w:t>3.1</w:t>
            </w:r>
          </w:p>
        </w:tc>
        <w:tc>
          <w:tcPr>
            <w:tcW w:w="574" w:type="dxa"/>
            <w:shd w:val="clear" w:color="auto" w:fill="D4E3F5"/>
          </w:tcPr>
          <w:p>
            <w:pPr>
              <w:pStyle w:val="TableParagraph"/>
              <w:ind w:left="161" w:right="70"/>
              <w:rPr>
                <w:sz w:val="14"/>
              </w:rPr>
            </w:pPr>
            <w:r>
              <w:rPr>
                <w:color w:val="231F20"/>
                <w:spacing w:val="-5"/>
                <w:w w:val="95"/>
                <w:sz w:val="14"/>
              </w:rPr>
              <w:t>47</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5" w:right="48"/>
              <w:rPr>
                <w:sz w:val="14"/>
              </w:rPr>
            </w:pPr>
            <w:r>
              <w:rPr>
                <w:color w:val="231F20"/>
                <w:spacing w:val="-5"/>
                <w:w w:val="95"/>
                <w:sz w:val="14"/>
              </w:rPr>
              <w:t>3.3</w:t>
            </w:r>
          </w:p>
        </w:tc>
        <w:tc>
          <w:tcPr>
            <w:tcW w:w="574" w:type="dxa"/>
            <w:shd w:val="clear" w:color="auto" w:fill="D4E3F5"/>
          </w:tcPr>
          <w:p>
            <w:pPr>
              <w:pStyle w:val="TableParagraph"/>
              <w:ind w:left="161" w:right="69"/>
              <w:rPr>
                <w:sz w:val="14"/>
              </w:rPr>
            </w:pPr>
            <w:r>
              <w:rPr>
                <w:color w:val="231F20"/>
                <w:spacing w:val="-5"/>
                <w:w w:val="95"/>
                <w:sz w:val="14"/>
              </w:rPr>
              <w:t>46</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6" w:right="48"/>
              <w:rPr>
                <w:sz w:val="14"/>
              </w:rPr>
            </w:pPr>
            <w:r>
              <w:rPr>
                <w:color w:val="231F20"/>
                <w:spacing w:val="-5"/>
                <w:w w:val="95"/>
                <w:sz w:val="14"/>
              </w:rPr>
              <w:t>4.1</w:t>
            </w:r>
          </w:p>
        </w:tc>
        <w:tc>
          <w:tcPr>
            <w:tcW w:w="574" w:type="dxa"/>
            <w:shd w:val="clear" w:color="auto" w:fill="D4E3F5"/>
          </w:tcPr>
          <w:p>
            <w:pPr>
              <w:pStyle w:val="TableParagraph"/>
              <w:ind w:left="161" w:right="64"/>
              <w:rPr>
                <w:sz w:val="14"/>
              </w:rPr>
            </w:pPr>
            <w:r>
              <w:rPr>
                <w:color w:val="231F20"/>
                <w:spacing w:val="-5"/>
                <w:w w:val="95"/>
                <w:sz w:val="14"/>
              </w:rPr>
              <w:t>10</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8" w:right="45"/>
              <w:rPr>
                <w:sz w:val="14"/>
              </w:rPr>
            </w:pPr>
            <w:r>
              <w:rPr>
                <w:color w:val="231F20"/>
                <w:spacing w:val="-5"/>
                <w:w w:val="95"/>
                <w:sz w:val="14"/>
              </w:rPr>
              <w:t>3.4</w:t>
            </w:r>
          </w:p>
        </w:tc>
        <w:tc>
          <w:tcPr>
            <w:tcW w:w="655" w:type="dxa"/>
            <w:shd w:val="clear" w:color="auto" w:fill="D4E3F5"/>
          </w:tcPr>
          <w:p>
            <w:pPr>
              <w:pStyle w:val="TableParagraph"/>
              <w:ind w:left="72" w:right="68"/>
              <w:rPr>
                <w:sz w:val="14"/>
              </w:rPr>
            </w:pPr>
            <w:r>
              <w:rPr>
                <w:color w:val="231F20"/>
                <w:spacing w:val="-5"/>
                <w:w w:val="95"/>
                <w:sz w:val="14"/>
              </w:rPr>
              <w:t>41</w:t>
            </w:r>
          </w:p>
        </w:tc>
      </w:tr>
      <w:tr>
        <w:trPr>
          <w:trHeight w:val="259" w:hRule="atLeast"/>
        </w:trPr>
        <w:tc>
          <w:tcPr>
            <w:tcW w:w="990" w:type="dxa"/>
          </w:tcPr>
          <w:p>
            <w:pPr>
              <w:pStyle w:val="TableParagraph"/>
              <w:ind w:left="80"/>
              <w:jc w:val="left"/>
              <w:rPr>
                <w:sz w:val="14"/>
              </w:rPr>
            </w:pPr>
            <w:r>
              <w:rPr>
                <w:color w:val="231F20"/>
                <w:spacing w:val="-2"/>
                <w:w w:val="90"/>
                <w:sz w:val="14"/>
              </w:rPr>
              <w:t>Latvia</w:t>
            </w:r>
          </w:p>
        </w:tc>
        <w:tc>
          <w:tcPr>
            <w:tcW w:w="622" w:type="dxa"/>
          </w:tcPr>
          <w:p>
            <w:pPr>
              <w:pStyle w:val="TableParagraph"/>
              <w:ind w:left="67" w:right="101"/>
              <w:rPr>
                <w:sz w:val="14"/>
              </w:rPr>
            </w:pPr>
            <w:r>
              <w:rPr>
                <w:color w:val="231F20"/>
                <w:spacing w:val="-5"/>
                <w:w w:val="95"/>
                <w:sz w:val="14"/>
              </w:rPr>
              <w:t>34</w:t>
            </w:r>
          </w:p>
        </w:tc>
        <w:tc>
          <w:tcPr>
            <w:tcW w:w="644" w:type="dxa"/>
          </w:tcPr>
          <w:p>
            <w:pPr>
              <w:pStyle w:val="TableParagraph"/>
              <w:ind w:left="164"/>
              <w:jc w:val="left"/>
              <w:rPr>
                <w:sz w:val="14"/>
              </w:rPr>
            </w:pPr>
            <w:r>
              <w:rPr>
                <w:color w:val="231F20"/>
                <w:spacing w:val="-5"/>
                <w:w w:val="95"/>
                <w:sz w:val="14"/>
              </w:rPr>
              <w:t>3.5</w:t>
            </w:r>
          </w:p>
        </w:tc>
        <w:tc>
          <w:tcPr>
            <w:tcW w:w="480" w:type="dxa"/>
          </w:tcPr>
          <w:p>
            <w:pPr>
              <w:pStyle w:val="TableParagraph"/>
              <w:ind w:left="107"/>
              <w:jc w:val="left"/>
              <w:rPr>
                <w:sz w:val="14"/>
              </w:rPr>
            </w:pPr>
            <w:r>
              <w:rPr>
                <w:color w:val="231F20"/>
                <w:spacing w:val="-5"/>
                <w:w w:val="95"/>
                <w:sz w:val="14"/>
              </w:rPr>
              <w:t>3.1</w:t>
            </w:r>
          </w:p>
        </w:tc>
        <w:tc>
          <w:tcPr>
            <w:tcW w:w="582" w:type="dxa"/>
          </w:tcPr>
          <w:p>
            <w:pPr>
              <w:pStyle w:val="TableParagraph"/>
              <w:ind w:left="7" w:right="6"/>
              <w:rPr>
                <w:sz w:val="14"/>
              </w:rPr>
            </w:pPr>
            <w:r>
              <w:rPr>
                <w:color w:val="231F20"/>
                <w:spacing w:val="-5"/>
                <w:w w:val="95"/>
                <w:sz w:val="14"/>
              </w:rPr>
              <w:t>3.9</w:t>
            </w:r>
          </w:p>
        </w:tc>
        <w:tc>
          <w:tcPr>
            <w:tcW w:w="80"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3.3</w:t>
            </w:r>
          </w:p>
        </w:tc>
        <w:tc>
          <w:tcPr>
            <w:tcW w:w="574" w:type="dxa"/>
          </w:tcPr>
          <w:p>
            <w:pPr>
              <w:pStyle w:val="TableParagraph"/>
              <w:ind w:left="158" w:right="70"/>
              <w:rPr>
                <w:sz w:val="14"/>
              </w:rPr>
            </w:pPr>
            <w:r>
              <w:rPr>
                <w:color w:val="231F20"/>
                <w:spacing w:val="-5"/>
                <w:w w:val="95"/>
                <w:sz w:val="14"/>
              </w:rPr>
              <w:t>31</w:t>
            </w:r>
          </w:p>
        </w:tc>
        <w:tc>
          <w:tcPr>
            <w:tcW w:w="126" w:type="dxa"/>
          </w:tcPr>
          <w:p>
            <w:pPr>
              <w:pStyle w:val="TableParagraph"/>
              <w:spacing w:before="0"/>
              <w:jc w:val="left"/>
              <w:rPr>
                <w:rFonts w:ascii="Times New Roman"/>
                <w:sz w:val="14"/>
              </w:rPr>
            </w:pPr>
          </w:p>
        </w:tc>
        <w:tc>
          <w:tcPr>
            <w:tcW w:w="463" w:type="dxa"/>
          </w:tcPr>
          <w:p>
            <w:pPr>
              <w:pStyle w:val="TableParagraph"/>
              <w:ind w:left="12" w:right="48"/>
              <w:rPr>
                <w:sz w:val="14"/>
              </w:rPr>
            </w:pPr>
            <w:r>
              <w:rPr>
                <w:color w:val="231F20"/>
                <w:spacing w:val="-5"/>
                <w:w w:val="95"/>
                <w:sz w:val="14"/>
              </w:rPr>
              <w:t>3.3</w:t>
            </w:r>
          </w:p>
        </w:tc>
        <w:tc>
          <w:tcPr>
            <w:tcW w:w="574" w:type="dxa"/>
          </w:tcPr>
          <w:p>
            <w:pPr>
              <w:pStyle w:val="TableParagraph"/>
              <w:ind w:left="161" w:right="72"/>
              <w:rPr>
                <w:sz w:val="14"/>
              </w:rPr>
            </w:pPr>
            <w:r>
              <w:rPr>
                <w:color w:val="231F20"/>
                <w:spacing w:val="-5"/>
                <w:w w:val="95"/>
                <w:sz w:val="14"/>
              </w:rPr>
              <w:t>44</w:t>
            </w:r>
          </w:p>
        </w:tc>
        <w:tc>
          <w:tcPr>
            <w:tcW w:w="126"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3.2</w:t>
            </w:r>
          </w:p>
        </w:tc>
        <w:tc>
          <w:tcPr>
            <w:tcW w:w="574" w:type="dxa"/>
          </w:tcPr>
          <w:p>
            <w:pPr>
              <w:pStyle w:val="TableParagraph"/>
              <w:ind w:left="161" w:right="70"/>
              <w:rPr>
                <w:sz w:val="14"/>
              </w:rPr>
            </w:pPr>
            <w:r>
              <w:rPr>
                <w:color w:val="231F20"/>
                <w:spacing w:val="-5"/>
                <w:w w:val="95"/>
                <w:sz w:val="14"/>
              </w:rPr>
              <w:t>43</w:t>
            </w:r>
          </w:p>
        </w:tc>
        <w:tc>
          <w:tcPr>
            <w:tcW w:w="126"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3.7</w:t>
            </w:r>
          </w:p>
        </w:tc>
        <w:tc>
          <w:tcPr>
            <w:tcW w:w="574" w:type="dxa"/>
          </w:tcPr>
          <w:p>
            <w:pPr>
              <w:pStyle w:val="TableParagraph"/>
              <w:ind w:left="161" w:right="69"/>
              <w:rPr>
                <w:sz w:val="14"/>
              </w:rPr>
            </w:pPr>
            <w:r>
              <w:rPr>
                <w:color w:val="231F20"/>
                <w:spacing w:val="-5"/>
                <w:w w:val="95"/>
                <w:sz w:val="14"/>
              </w:rPr>
              <w:t>28</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4.0</w:t>
            </w:r>
          </w:p>
        </w:tc>
        <w:tc>
          <w:tcPr>
            <w:tcW w:w="574" w:type="dxa"/>
          </w:tcPr>
          <w:p>
            <w:pPr>
              <w:pStyle w:val="TableParagraph"/>
              <w:ind w:left="161" w:right="67"/>
              <w:rPr>
                <w:sz w:val="14"/>
              </w:rPr>
            </w:pPr>
            <w:r>
              <w:rPr>
                <w:color w:val="231F20"/>
                <w:spacing w:val="-5"/>
                <w:w w:val="95"/>
                <w:sz w:val="14"/>
              </w:rPr>
              <w:t>17</w:t>
            </w:r>
          </w:p>
        </w:tc>
        <w:tc>
          <w:tcPr>
            <w:tcW w:w="126" w:type="dxa"/>
          </w:tcPr>
          <w:p>
            <w:pPr>
              <w:pStyle w:val="TableParagraph"/>
              <w:spacing w:before="0"/>
              <w:jc w:val="left"/>
              <w:rPr>
                <w:rFonts w:ascii="Times New Roman"/>
                <w:sz w:val="14"/>
              </w:rPr>
            </w:pPr>
          </w:p>
        </w:tc>
        <w:tc>
          <w:tcPr>
            <w:tcW w:w="468" w:type="dxa"/>
          </w:tcPr>
          <w:p>
            <w:pPr>
              <w:pStyle w:val="TableParagraph"/>
              <w:ind w:left="9" w:right="45"/>
              <w:rPr>
                <w:sz w:val="14"/>
              </w:rPr>
            </w:pPr>
            <w:r>
              <w:rPr>
                <w:color w:val="231F20"/>
                <w:spacing w:val="-5"/>
                <w:w w:val="95"/>
                <w:sz w:val="14"/>
              </w:rPr>
              <w:t>3.6</w:t>
            </w:r>
          </w:p>
        </w:tc>
        <w:tc>
          <w:tcPr>
            <w:tcW w:w="655" w:type="dxa"/>
          </w:tcPr>
          <w:p>
            <w:pPr>
              <w:pStyle w:val="TableParagraph"/>
              <w:ind w:left="72" w:right="68"/>
              <w:rPr>
                <w:sz w:val="14"/>
              </w:rPr>
            </w:pPr>
            <w:r>
              <w:rPr>
                <w:color w:val="231F20"/>
                <w:spacing w:val="-5"/>
                <w:w w:val="95"/>
                <w:sz w:val="14"/>
              </w:rPr>
              <w:t>34</w:t>
            </w:r>
          </w:p>
        </w:tc>
      </w:tr>
      <w:tr>
        <w:trPr>
          <w:trHeight w:val="259" w:hRule="atLeast"/>
        </w:trPr>
        <w:tc>
          <w:tcPr>
            <w:tcW w:w="990" w:type="dxa"/>
            <w:shd w:val="clear" w:color="auto" w:fill="D4E3F5"/>
          </w:tcPr>
          <w:p>
            <w:pPr>
              <w:pStyle w:val="TableParagraph"/>
              <w:ind w:left="80"/>
              <w:jc w:val="left"/>
              <w:rPr>
                <w:sz w:val="14"/>
              </w:rPr>
            </w:pPr>
            <w:r>
              <w:rPr>
                <w:color w:val="231F20"/>
                <w:spacing w:val="-4"/>
                <w:w w:val="90"/>
                <w:sz w:val="14"/>
              </w:rPr>
              <w:t>Qatar</w:t>
            </w:r>
          </w:p>
        </w:tc>
        <w:tc>
          <w:tcPr>
            <w:tcW w:w="622" w:type="dxa"/>
            <w:shd w:val="clear" w:color="auto" w:fill="D4E3F5"/>
          </w:tcPr>
          <w:p>
            <w:pPr>
              <w:pStyle w:val="TableParagraph"/>
              <w:ind w:left="67" w:right="101"/>
              <w:rPr>
                <w:sz w:val="14"/>
              </w:rPr>
            </w:pPr>
            <w:r>
              <w:rPr>
                <w:color w:val="231F20"/>
                <w:spacing w:val="-5"/>
                <w:w w:val="95"/>
                <w:sz w:val="14"/>
              </w:rPr>
              <w:t>34</w:t>
            </w:r>
          </w:p>
        </w:tc>
        <w:tc>
          <w:tcPr>
            <w:tcW w:w="644" w:type="dxa"/>
            <w:shd w:val="clear" w:color="auto" w:fill="D4E3F5"/>
          </w:tcPr>
          <w:p>
            <w:pPr>
              <w:pStyle w:val="TableParagraph"/>
              <w:ind w:left="164"/>
              <w:jc w:val="left"/>
              <w:rPr>
                <w:sz w:val="14"/>
              </w:rPr>
            </w:pPr>
            <w:r>
              <w:rPr>
                <w:color w:val="231F20"/>
                <w:spacing w:val="-5"/>
                <w:w w:val="95"/>
                <w:sz w:val="14"/>
              </w:rPr>
              <w:t>3.5</w:t>
            </w:r>
          </w:p>
        </w:tc>
        <w:tc>
          <w:tcPr>
            <w:tcW w:w="480" w:type="dxa"/>
            <w:shd w:val="clear" w:color="auto" w:fill="D4E3F5"/>
          </w:tcPr>
          <w:p>
            <w:pPr>
              <w:pStyle w:val="TableParagraph"/>
              <w:ind w:left="107"/>
              <w:jc w:val="left"/>
              <w:rPr>
                <w:sz w:val="14"/>
              </w:rPr>
            </w:pPr>
            <w:r>
              <w:rPr>
                <w:color w:val="231F20"/>
                <w:spacing w:val="-5"/>
                <w:w w:val="95"/>
                <w:sz w:val="14"/>
              </w:rPr>
              <w:t>3.1</w:t>
            </w:r>
          </w:p>
        </w:tc>
        <w:tc>
          <w:tcPr>
            <w:tcW w:w="582" w:type="dxa"/>
            <w:shd w:val="clear" w:color="auto" w:fill="D4E3F5"/>
          </w:tcPr>
          <w:p>
            <w:pPr>
              <w:pStyle w:val="TableParagraph"/>
              <w:ind w:left="7" w:right="6"/>
              <w:rPr>
                <w:sz w:val="14"/>
              </w:rPr>
            </w:pPr>
            <w:r>
              <w:rPr>
                <w:color w:val="231F20"/>
                <w:spacing w:val="-5"/>
                <w:w w:val="95"/>
                <w:sz w:val="14"/>
              </w:rPr>
              <w:t>3.9</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right="48"/>
              <w:rPr>
                <w:sz w:val="14"/>
              </w:rPr>
            </w:pPr>
            <w:r>
              <w:rPr>
                <w:color w:val="231F20"/>
                <w:spacing w:val="-5"/>
                <w:w w:val="95"/>
                <w:sz w:val="14"/>
              </w:rPr>
              <w:t>3.1</w:t>
            </w:r>
          </w:p>
        </w:tc>
        <w:tc>
          <w:tcPr>
            <w:tcW w:w="574" w:type="dxa"/>
            <w:shd w:val="clear" w:color="auto" w:fill="D4E3F5"/>
          </w:tcPr>
          <w:p>
            <w:pPr>
              <w:pStyle w:val="TableParagraph"/>
              <w:ind w:left="158" w:right="70"/>
              <w:rPr>
                <w:sz w:val="14"/>
              </w:rPr>
            </w:pPr>
            <w:r>
              <w:rPr>
                <w:color w:val="231F20"/>
                <w:spacing w:val="-5"/>
                <w:w w:val="95"/>
                <w:sz w:val="14"/>
              </w:rPr>
              <w:t>43</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2" w:right="48"/>
              <w:rPr>
                <w:sz w:val="14"/>
              </w:rPr>
            </w:pPr>
            <w:r>
              <w:rPr>
                <w:color w:val="231F20"/>
                <w:spacing w:val="-5"/>
                <w:w w:val="95"/>
                <w:sz w:val="14"/>
              </w:rPr>
              <w:t>3.8</w:t>
            </w:r>
          </w:p>
        </w:tc>
        <w:tc>
          <w:tcPr>
            <w:tcW w:w="574" w:type="dxa"/>
            <w:shd w:val="clear" w:color="auto" w:fill="D4E3F5"/>
          </w:tcPr>
          <w:p>
            <w:pPr>
              <w:pStyle w:val="TableParagraph"/>
              <w:ind w:left="161" w:right="72"/>
              <w:rPr>
                <w:sz w:val="14"/>
              </w:rPr>
            </w:pPr>
            <w:r>
              <w:rPr>
                <w:color w:val="231F20"/>
                <w:spacing w:val="-5"/>
                <w:w w:val="95"/>
                <w:sz w:val="14"/>
              </w:rPr>
              <w:t>19</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3" w:right="48"/>
              <w:rPr>
                <w:sz w:val="14"/>
              </w:rPr>
            </w:pPr>
            <w:r>
              <w:rPr>
                <w:color w:val="231F20"/>
                <w:spacing w:val="-5"/>
                <w:w w:val="95"/>
                <w:sz w:val="14"/>
              </w:rPr>
              <w:t>3.1</w:t>
            </w:r>
          </w:p>
        </w:tc>
        <w:tc>
          <w:tcPr>
            <w:tcW w:w="574" w:type="dxa"/>
            <w:shd w:val="clear" w:color="auto" w:fill="D4E3F5"/>
          </w:tcPr>
          <w:p>
            <w:pPr>
              <w:pStyle w:val="TableParagraph"/>
              <w:ind w:left="161" w:right="70"/>
              <w:rPr>
                <w:sz w:val="14"/>
              </w:rPr>
            </w:pPr>
            <w:r>
              <w:rPr>
                <w:color w:val="231F20"/>
                <w:spacing w:val="-5"/>
                <w:w w:val="95"/>
                <w:sz w:val="14"/>
              </w:rPr>
              <w:t>47</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5" w:right="48"/>
              <w:rPr>
                <w:sz w:val="14"/>
              </w:rPr>
            </w:pPr>
            <w:r>
              <w:rPr>
                <w:color w:val="231F20"/>
                <w:spacing w:val="-5"/>
                <w:w w:val="95"/>
                <w:sz w:val="14"/>
              </w:rPr>
              <w:t>3.9</w:t>
            </w:r>
          </w:p>
        </w:tc>
        <w:tc>
          <w:tcPr>
            <w:tcW w:w="574" w:type="dxa"/>
            <w:shd w:val="clear" w:color="auto" w:fill="D4E3F5"/>
          </w:tcPr>
          <w:p>
            <w:pPr>
              <w:pStyle w:val="TableParagraph"/>
              <w:ind w:left="161" w:right="69"/>
              <w:rPr>
                <w:sz w:val="14"/>
              </w:rPr>
            </w:pPr>
            <w:r>
              <w:rPr>
                <w:color w:val="231F20"/>
                <w:spacing w:val="-5"/>
                <w:w w:val="95"/>
                <w:sz w:val="14"/>
              </w:rPr>
              <w:t>14</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7" w:right="48"/>
              <w:rPr>
                <w:sz w:val="14"/>
              </w:rPr>
            </w:pPr>
            <w:r>
              <w:rPr>
                <w:color w:val="231F20"/>
                <w:spacing w:val="-5"/>
                <w:w w:val="95"/>
                <w:sz w:val="14"/>
              </w:rPr>
              <w:t>3.5</w:t>
            </w:r>
          </w:p>
        </w:tc>
        <w:tc>
          <w:tcPr>
            <w:tcW w:w="574" w:type="dxa"/>
            <w:shd w:val="clear" w:color="auto" w:fill="D4E3F5"/>
          </w:tcPr>
          <w:p>
            <w:pPr>
              <w:pStyle w:val="TableParagraph"/>
              <w:ind w:left="161" w:right="67"/>
              <w:rPr>
                <w:sz w:val="14"/>
              </w:rPr>
            </w:pPr>
            <w:r>
              <w:rPr>
                <w:color w:val="231F20"/>
                <w:spacing w:val="-5"/>
                <w:w w:val="95"/>
                <w:sz w:val="14"/>
              </w:rPr>
              <w:t>46</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9" w:right="45"/>
              <w:rPr>
                <w:sz w:val="14"/>
              </w:rPr>
            </w:pPr>
            <w:r>
              <w:rPr>
                <w:color w:val="231F20"/>
                <w:spacing w:val="-5"/>
                <w:w w:val="95"/>
                <w:sz w:val="14"/>
              </w:rPr>
              <w:t>3.6</w:t>
            </w:r>
          </w:p>
        </w:tc>
        <w:tc>
          <w:tcPr>
            <w:tcW w:w="655" w:type="dxa"/>
            <w:shd w:val="clear" w:color="auto" w:fill="D4E3F5"/>
          </w:tcPr>
          <w:p>
            <w:pPr>
              <w:pStyle w:val="TableParagraph"/>
              <w:ind w:left="72" w:right="68"/>
              <w:rPr>
                <w:sz w:val="14"/>
              </w:rPr>
            </w:pPr>
            <w:r>
              <w:rPr>
                <w:color w:val="231F20"/>
                <w:spacing w:val="-5"/>
                <w:w w:val="95"/>
                <w:sz w:val="14"/>
              </w:rPr>
              <w:t>34</w:t>
            </w:r>
          </w:p>
        </w:tc>
      </w:tr>
      <w:tr>
        <w:trPr>
          <w:trHeight w:val="259" w:hRule="atLeast"/>
        </w:trPr>
        <w:tc>
          <w:tcPr>
            <w:tcW w:w="990" w:type="dxa"/>
          </w:tcPr>
          <w:p>
            <w:pPr>
              <w:pStyle w:val="TableParagraph"/>
              <w:ind w:left="80"/>
              <w:jc w:val="left"/>
              <w:rPr>
                <w:sz w:val="14"/>
              </w:rPr>
            </w:pPr>
            <w:r>
              <w:rPr>
                <w:color w:val="231F20"/>
                <w:spacing w:val="-2"/>
                <w:w w:val="90"/>
                <w:sz w:val="14"/>
              </w:rPr>
              <w:t>Thailand</w:t>
            </w:r>
          </w:p>
        </w:tc>
        <w:tc>
          <w:tcPr>
            <w:tcW w:w="622" w:type="dxa"/>
          </w:tcPr>
          <w:p>
            <w:pPr>
              <w:pStyle w:val="TableParagraph"/>
              <w:ind w:left="67" w:right="101"/>
              <w:rPr>
                <w:sz w:val="14"/>
              </w:rPr>
            </w:pPr>
            <w:r>
              <w:rPr>
                <w:color w:val="231F20"/>
                <w:spacing w:val="-5"/>
                <w:w w:val="95"/>
                <w:sz w:val="14"/>
              </w:rPr>
              <w:t>34</w:t>
            </w:r>
          </w:p>
        </w:tc>
        <w:tc>
          <w:tcPr>
            <w:tcW w:w="644" w:type="dxa"/>
          </w:tcPr>
          <w:p>
            <w:pPr>
              <w:pStyle w:val="TableParagraph"/>
              <w:ind w:left="164"/>
              <w:jc w:val="left"/>
              <w:rPr>
                <w:sz w:val="14"/>
              </w:rPr>
            </w:pPr>
            <w:r>
              <w:rPr>
                <w:color w:val="231F20"/>
                <w:spacing w:val="-5"/>
                <w:w w:val="95"/>
                <w:sz w:val="14"/>
              </w:rPr>
              <w:t>3.5</w:t>
            </w:r>
          </w:p>
        </w:tc>
        <w:tc>
          <w:tcPr>
            <w:tcW w:w="480" w:type="dxa"/>
          </w:tcPr>
          <w:p>
            <w:pPr>
              <w:pStyle w:val="TableParagraph"/>
              <w:ind w:left="102"/>
              <w:jc w:val="left"/>
              <w:rPr>
                <w:sz w:val="14"/>
              </w:rPr>
            </w:pPr>
            <w:r>
              <w:rPr>
                <w:color w:val="231F20"/>
                <w:spacing w:val="-5"/>
                <w:w w:val="95"/>
                <w:sz w:val="14"/>
              </w:rPr>
              <w:t>3.3</w:t>
            </w:r>
          </w:p>
        </w:tc>
        <w:tc>
          <w:tcPr>
            <w:tcW w:w="582" w:type="dxa"/>
          </w:tcPr>
          <w:p>
            <w:pPr>
              <w:pStyle w:val="TableParagraph"/>
              <w:ind w:left="6" w:right="6"/>
              <w:rPr>
                <w:sz w:val="14"/>
              </w:rPr>
            </w:pPr>
            <w:r>
              <w:rPr>
                <w:color w:val="231F20"/>
                <w:spacing w:val="-5"/>
                <w:w w:val="95"/>
                <w:sz w:val="14"/>
              </w:rPr>
              <w:t>3.7</w:t>
            </w:r>
          </w:p>
        </w:tc>
        <w:tc>
          <w:tcPr>
            <w:tcW w:w="80"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3.3</w:t>
            </w:r>
          </w:p>
        </w:tc>
        <w:tc>
          <w:tcPr>
            <w:tcW w:w="574" w:type="dxa"/>
          </w:tcPr>
          <w:p>
            <w:pPr>
              <w:pStyle w:val="TableParagraph"/>
              <w:ind w:left="158" w:right="70"/>
              <w:rPr>
                <w:sz w:val="14"/>
              </w:rPr>
            </w:pPr>
            <w:r>
              <w:rPr>
                <w:color w:val="231F20"/>
                <w:spacing w:val="-5"/>
                <w:w w:val="95"/>
                <w:sz w:val="14"/>
              </w:rPr>
              <w:t>31</w:t>
            </w:r>
          </w:p>
        </w:tc>
        <w:tc>
          <w:tcPr>
            <w:tcW w:w="126" w:type="dxa"/>
          </w:tcPr>
          <w:p>
            <w:pPr>
              <w:pStyle w:val="TableParagraph"/>
              <w:spacing w:before="0"/>
              <w:jc w:val="left"/>
              <w:rPr>
                <w:rFonts w:ascii="Times New Roman"/>
                <w:sz w:val="14"/>
              </w:rPr>
            </w:pPr>
          </w:p>
        </w:tc>
        <w:tc>
          <w:tcPr>
            <w:tcW w:w="463" w:type="dxa"/>
          </w:tcPr>
          <w:p>
            <w:pPr>
              <w:pStyle w:val="TableParagraph"/>
              <w:ind w:left="8" w:right="48"/>
              <w:rPr>
                <w:sz w:val="14"/>
              </w:rPr>
            </w:pPr>
            <w:r>
              <w:rPr>
                <w:color w:val="231F20"/>
                <w:spacing w:val="-5"/>
                <w:w w:val="95"/>
                <w:sz w:val="14"/>
              </w:rPr>
              <w:t>3.7</w:t>
            </w:r>
          </w:p>
        </w:tc>
        <w:tc>
          <w:tcPr>
            <w:tcW w:w="574" w:type="dxa"/>
          </w:tcPr>
          <w:p>
            <w:pPr>
              <w:pStyle w:val="TableParagraph"/>
              <w:ind w:left="161" w:right="72"/>
              <w:rPr>
                <w:sz w:val="14"/>
              </w:rPr>
            </w:pPr>
            <w:r>
              <w:rPr>
                <w:color w:val="231F20"/>
                <w:spacing w:val="-5"/>
                <w:w w:val="95"/>
                <w:sz w:val="14"/>
              </w:rPr>
              <w:t>25</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3.5</w:t>
            </w:r>
          </w:p>
        </w:tc>
        <w:tc>
          <w:tcPr>
            <w:tcW w:w="574" w:type="dxa"/>
          </w:tcPr>
          <w:p>
            <w:pPr>
              <w:pStyle w:val="TableParagraph"/>
              <w:ind w:left="161" w:right="70"/>
              <w:rPr>
                <w:sz w:val="14"/>
              </w:rPr>
            </w:pPr>
            <w:r>
              <w:rPr>
                <w:color w:val="231F20"/>
                <w:spacing w:val="-5"/>
                <w:w w:val="95"/>
                <w:sz w:val="14"/>
              </w:rPr>
              <w:t>22</w:t>
            </w:r>
          </w:p>
        </w:tc>
        <w:tc>
          <w:tcPr>
            <w:tcW w:w="126" w:type="dxa"/>
          </w:tcPr>
          <w:p>
            <w:pPr>
              <w:pStyle w:val="TableParagraph"/>
              <w:spacing w:before="0"/>
              <w:jc w:val="left"/>
              <w:rPr>
                <w:rFonts w:ascii="Times New Roman"/>
                <w:sz w:val="14"/>
              </w:rPr>
            </w:pPr>
          </w:p>
        </w:tc>
        <w:tc>
          <w:tcPr>
            <w:tcW w:w="463" w:type="dxa"/>
          </w:tcPr>
          <w:p>
            <w:pPr>
              <w:pStyle w:val="TableParagraph"/>
              <w:ind w:left="15" w:right="48"/>
              <w:rPr>
                <w:sz w:val="14"/>
              </w:rPr>
            </w:pPr>
            <w:r>
              <w:rPr>
                <w:color w:val="231F20"/>
                <w:spacing w:val="-5"/>
                <w:w w:val="95"/>
                <w:sz w:val="14"/>
              </w:rPr>
              <w:t>3.5</w:t>
            </w:r>
          </w:p>
        </w:tc>
        <w:tc>
          <w:tcPr>
            <w:tcW w:w="574" w:type="dxa"/>
          </w:tcPr>
          <w:p>
            <w:pPr>
              <w:pStyle w:val="TableParagraph"/>
              <w:ind w:left="161" w:right="69"/>
              <w:rPr>
                <w:sz w:val="14"/>
              </w:rPr>
            </w:pPr>
            <w:r>
              <w:rPr>
                <w:color w:val="231F20"/>
                <w:spacing w:val="-5"/>
                <w:w w:val="95"/>
                <w:sz w:val="14"/>
              </w:rPr>
              <w:t>38</w:t>
            </w:r>
          </w:p>
        </w:tc>
        <w:tc>
          <w:tcPr>
            <w:tcW w:w="126" w:type="dxa"/>
          </w:tcPr>
          <w:p>
            <w:pPr>
              <w:pStyle w:val="TableParagraph"/>
              <w:spacing w:before="0"/>
              <w:jc w:val="left"/>
              <w:rPr>
                <w:rFonts w:ascii="Times New Roman"/>
                <w:sz w:val="14"/>
              </w:rPr>
            </w:pPr>
          </w:p>
        </w:tc>
        <w:tc>
          <w:tcPr>
            <w:tcW w:w="463" w:type="dxa"/>
          </w:tcPr>
          <w:p>
            <w:pPr>
              <w:pStyle w:val="TableParagraph"/>
              <w:ind w:left="17" w:right="48"/>
              <w:rPr>
                <w:sz w:val="14"/>
              </w:rPr>
            </w:pPr>
            <w:r>
              <w:rPr>
                <w:color w:val="231F20"/>
                <w:spacing w:val="-5"/>
                <w:w w:val="95"/>
                <w:sz w:val="14"/>
              </w:rPr>
              <w:t>3.5</w:t>
            </w:r>
          </w:p>
        </w:tc>
        <w:tc>
          <w:tcPr>
            <w:tcW w:w="574" w:type="dxa"/>
          </w:tcPr>
          <w:p>
            <w:pPr>
              <w:pStyle w:val="TableParagraph"/>
              <w:ind w:left="161" w:right="67"/>
              <w:rPr>
                <w:sz w:val="14"/>
              </w:rPr>
            </w:pPr>
            <w:r>
              <w:rPr>
                <w:color w:val="231F20"/>
                <w:spacing w:val="-5"/>
                <w:w w:val="95"/>
                <w:sz w:val="14"/>
              </w:rPr>
              <w:t>46</w:t>
            </w:r>
          </w:p>
        </w:tc>
        <w:tc>
          <w:tcPr>
            <w:tcW w:w="126" w:type="dxa"/>
          </w:tcPr>
          <w:p>
            <w:pPr>
              <w:pStyle w:val="TableParagraph"/>
              <w:spacing w:before="0"/>
              <w:jc w:val="left"/>
              <w:rPr>
                <w:rFonts w:ascii="Times New Roman"/>
                <w:sz w:val="14"/>
              </w:rPr>
            </w:pPr>
          </w:p>
        </w:tc>
        <w:tc>
          <w:tcPr>
            <w:tcW w:w="468" w:type="dxa"/>
          </w:tcPr>
          <w:p>
            <w:pPr>
              <w:pStyle w:val="TableParagraph"/>
              <w:ind w:left="9" w:right="45"/>
              <w:rPr>
                <w:sz w:val="14"/>
              </w:rPr>
            </w:pPr>
            <w:r>
              <w:rPr>
                <w:color w:val="231F20"/>
                <w:spacing w:val="-5"/>
                <w:w w:val="95"/>
                <w:sz w:val="14"/>
              </w:rPr>
              <w:t>3.6</w:t>
            </w:r>
          </w:p>
        </w:tc>
        <w:tc>
          <w:tcPr>
            <w:tcW w:w="655" w:type="dxa"/>
          </w:tcPr>
          <w:p>
            <w:pPr>
              <w:pStyle w:val="TableParagraph"/>
              <w:ind w:left="72" w:right="68"/>
              <w:rPr>
                <w:sz w:val="14"/>
              </w:rPr>
            </w:pPr>
            <w:r>
              <w:rPr>
                <w:color w:val="231F20"/>
                <w:spacing w:val="-5"/>
                <w:w w:val="95"/>
                <w:sz w:val="14"/>
              </w:rPr>
              <w:t>34</w:t>
            </w:r>
          </w:p>
        </w:tc>
      </w:tr>
      <w:tr>
        <w:trPr>
          <w:trHeight w:val="259" w:hRule="atLeast"/>
        </w:trPr>
        <w:tc>
          <w:tcPr>
            <w:tcW w:w="990" w:type="dxa"/>
            <w:shd w:val="clear" w:color="auto" w:fill="D4E3F5"/>
          </w:tcPr>
          <w:p>
            <w:pPr>
              <w:pStyle w:val="TableParagraph"/>
              <w:ind w:left="80"/>
              <w:jc w:val="left"/>
              <w:rPr>
                <w:sz w:val="14"/>
              </w:rPr>
            </w:pPr>
            <w:r>
              <w:rPr>
                <w:color w:val="231F20"/>
                <w:spacing w:val="-4"/>
                <w:w w:val="85"/>
                <w:sz w:val="14"/>
              </w:rPr>
              <w:t>India</w:t>
            </w:r>
          </w:p>
        </w:tc>
        <w:tc>
          <w:tcPr>
            <w:tcW w:w="622" w:type="dxa"/>
            <w:shd w:val="clear" w:color="auto" w:fill="D4E3F5"/>
          </w:tcPr>
          <w:p>
            <w:pPr>
              <w:pStyle w:val="TableParagraph"/>
              <w:ind w:left="67" w:right="101"/>
              <w:rPr>
                <w:sz w:val="14"/>
              </w:rPr>
            </w:pPr>
            <w:r>
              <w:rPr>
                <w:color w:val="231F20"/>
                <w:spacing w:val="-5"/>
                <w:w w:val="95"/>
                <w:sz w:val="14"/>
              </w:rPr>
              <w:t>38</w:t>
            </w:r>
          </w:p>
        </w:tc>
        <w:tc>
          <w:tcPr>
            <w:tcW w:w="644" w:type="dxa"/>
            <w:shd w:val="clear" w:color="auto" w:fill="D4E3F5"/>
          </w:tcPr>
          <w:p>
            <w:pPr>
              <w:pStyle w:val="TableParagraph"/>
              <w:ind w:left="165"/>
              <w:jc w:val="left"/>
              <w:rPr>
                <w:sz w:val="14"/>
              </w:rPr>
            </w:pPr>
            <w:r>
              <w:rPr>
                <w:color w:val="231F20"/>
                <w:spacing w:val="-5"/>
                <w:w w:val="95"/>
                <w:sz w:val="14"/>
              </w:rPr>
              <w:t>3.4</w:t>
            </w:r>
          </w:p>
        </w:tc>
        <w:tc>
          <w:tcPr>
            <w:tcW w:w="480" w:type="dxa"/>
            <w:shd w:val="clear" w:color="auto" w:fill="D4E3F5"/>
          </w:tcPr>
          <w:p>
            <w:pPr>
              <w:pStyle w:val="TableParagraph"/>
              <w:ind w:left="102"/>
              <w:jc w:val="left"/>
              <w:rPr>
                <w:sz w:val="14"/>
              </w:rPr>
            </w:pPr>
            <w:r>
              <w:rPr>
                <w:color w:val="231F20"/>
                <w:spacing w:val="-5"/>
                <w:w w:val="95"/>
                <w:sz w:val="14"/>
              </w:rPr>
              <w:t>3.3</w:t>
            </w:r>
          </w:p>
        </w:tc>
        <w:tc>
          <w:tcPr>
            <w:tcW w:w="582" w:type="dxa"/>
            <w:shd w:val="clear" w:color="auto" w:fill="D4E3F5"/>
          </w:tcPr>
          <w:p>
            <w:pPr>
              <w:pStyle w:val="TableParagraph"/>
              <w:ind w:left="7" w:right="6"/>
              <w:rPr>
                <w:sz w:val="14"/>
              </w:rPr>
            </w:pPr>
            <w:r>
              <w:rPr>
                <w:color w:val="231F20"/>
                <w:spacing w:val="-5"/>
                <w:w w:val="95"/>
                <w:sz w:val="14"/>
              </w:rPr>
              <w:t>3.5</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0" w:right="48"/>
              <w:rPr>
                <w:sz w:val="14"/>
              </w:rPr>
            </w:pPr>
            <w:r>
              <w:rPr>
                <w:color w:val="231F20"/>
                <w:spacing w:val="-5"/>
                <w:w w:val="95"/>
                <w:sz w:val="14"/>
              </w:rPr>
              <w:t>3.0</w:t>
            </w:r>
          </w:p>
        </w:tc>
        <w:tc>
          <w:tcPr>
            <w:tcW w:w="574" w:type="dxa"/>
            <w:shd w:val="clear" w:color="auto" w:fill="D4E3F5"/>
          </w:tcPr>
          <w:p>
            <w:pPr>
              <w:pStyle w:val="TableParagraph"/>
              <w:ind w:left="158" w:right="70"/>
              <w:rPr>
                <w:sz w:val="14"/>
              </w:rPr>
            </w:pPr>
            <w:r>
              <w:rPr>
                <w:color w:val="231F20"/>
                <w:spacing w:val="-5"/>
                <w:w w:val="95"/>
                <w:sz w:val="14"/>
              </w:rPr>
              <w:t>47</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0" w:right="48"/>
              <w:rPr>
                <w:sz w:val="14"/>
              </w:rPr>
            </w:pPr>
            <w:r>
              <w:rPr>
                <w:color w:val="231F20"/>
                <w:spacing w:val="-5"/>
                <w:w w:val="95"/>
                <w:sz w:val="14"/>
              </w:rPr>
              <w:t>3.2</w:t>
            </w:r>
          </w:p>
        </w:tc>
        <w:tc>
          <w:tcPr>
            <w:tcW w:w="574" w:type="dxa"/>
            <w:shd w:val="clear" w:color="auto" w:fill="D4E3F5"/>
          </w:tcPr>
          <w:p>
            <w:pPr>
              <w:pStyle w:val="TableParagraph"/>
              <w:ind w:left="161" w:right="72"/>
              <w:rPr>
                <w:sz w:val="14"/>
              </w:rPr>
            </w:pPr>
            <w:r>
              <w:rPr>
                <w:color w:val="231F20"/>
                <w:spacing w:val="-5"/>
                <w:w w:val="95"/>
                <w:sz w:val="14"/>
              </w:rPr>
              <w:t>47</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4" w:right="48"/>
              <w:rPr>
                <w:sz w:val="14"/>
              </w:rPr>
            </w:pPr>
            <w:r>
              <w:rPr>
                <w:color w:val="231F20"/>
                <w:spacing w:val="-5"/>
                <w:w w:val="95"/>
                <w:sz w:val="14"/>
              </w:rPr>
              <w:t>3.5</w:t>
            </w:r>
          </w:p>
        </w:tc>
        <w:tc>
          <w:tcPr>
            <w:tcW w:w="574" w:type="dxa"/>
            <w:shd w:val="clear" w:color="auto" w:fill="D4E3F5"/>
          </w:tcPr>
          <w:p>
            <w:pPr>
              <w:pStyle w:val="TableParagraph"/>
              <w:ind w:left="161" w:right="70"/>
              <w:rPr>
                <w:sz w:val="14"/>
              </w:rPr>
            </w:pPr>
            <w:r>
              <w:rPr>
                <w:color w:val="231F20"/>
                <w:spacing w:val="-5"/>
                <w:w w:val="95"/>
                <w:sz w:val="14"/>
              </w:rPr>
              <w:t>22</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5" w:right="48"/>
              <w:rPr>
                <w:sz w:val="14"/>
              </w:rPr>
            </w:pPr>
            <w:r>
              <w:rPr>
                <w:color w:val="231F20"/>
                <w:spacing w:val="-5"/>
                <w:w w:val="95"/>
                <w:sz w:val="14"/>
              </w:rPr>
              <w:t>3.5</w:t>
            </w:r>
          </w:p>
        </w:tc>
        <w:tc>
          <w:tcPr>
            <w:tcW w:w="574" w:type="dxa"/>
            <w:shd w:val="clear" w:color="auto" w:fill="D4E3F5"/>
          </w:tcPr>
          <w:p>
            <w:pPr>
              <w:pStyle w:val="TableParagraph"/>
              <w:ind w:left="161" w:right="69"/>
              <w:rPr>
                <w:sz w:val="14"/>
              </w:rPr>
            </w:pPr>
            <w:r>
              <w:rPr>
                <w:color w:val="231F20"/>
                <w:spacing w:val="-5"/>
                <w:w w:val="95"/>
                <w:sz w:val="14"/>
              </w:rPr>
              <w:t>38</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6" w:right="48"/>
              <w:rPr>
                <w:sz w:val="14"/>
              </w:rPr>
            </w:pPr>
            <w:r>
              <w:rPr>
                <w:color w:val="231F20"/>
                <w:spacing w:val="-5"/>
                <w:w w:val="95"/>
                <w:sz w:val="14"/>
              </w:rPr>
              <w:t>3.6</w:t>
            </w:r>
          </w:p>
        </w:tc>
        <w:tc>
          <w:tcPr>
            <w:tcW w:w="574" w:type="dxa"/>
            <w:shd w:val="clear" w:color="auto" w:fill="D4E3F5"/>
          </w:tcPr>
          <w:p>
            <w:pPr>
              <w:pStyle w:val="TableParagraph"/>
              <w:ind w:left="161" w:right="67"/>
              <w:rPr>
                <w:sz w:val="14"/>
              </w:rPr>
            </w:pPr>
            <w:r>
              <w:rPr>
                <w:color w:val="231F20"/>
                <w:spacing w:val="-5"/>
                <w:w w:val="95"/>
                <w:sz w:val="14"/>
              </w:rPr>
              <w:t>35</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8" w:right="45"/>
              <w:rPr>
                <w:sz w:val="14"/>
              </w:rPr>
            </w:pPr>
            <w:r>
              <w:rPr>
                <w:color w:val="231F20"/>
                <w:spacing w:val="-5"/>
                <w:w w:val="95"/>
                <w:sz w:val="14"/>
              </w:rPr>
              <w:t>3.4</w:t>
            </w:r>
          </w:p>
        </w:tc>
        <w:tc>
          <w:tcPr>
            <w:tcW w:w="655" w:type="dxa"/>
            <w:shd w:val="clear" w:color="auto" w:fill="D4E3F5"/>
          </w:tcPr>
          <w:p>
            <w:pPr>
              <w:pStyle w:val="TableParagraph"/>
              <w:ind w:left="72" w:right="68"/>
              <w:rPr>
                <w:sz w:val="14"/>
              </w:rPr>
            </w:pPr>
            <w:r>
              <w:rPr>
                <w:color w:val="231F20"/>
                <w:spacing w:val="-5"/>
                <w:w w:val="95"/>
                <w:sz w:val="14"/>
              </w:rPr>
              <w:t>41</w:t>
            </w:r>
          </w:p>
        </w:tc>
      </w:tr>
      <w:tr>
        <w:trPr>
          <w:trHeight w:val="259" w:hRule="atLeast"/>
        </w:trPr>
        <w:tc>
          <w:tcPr>
            <w:tcW w:w="990" w:type="dxa"/>
          </w:tcPr>
          <w:p>
            <w:pPr>
              <w:pStyle w:val="TableParagraph"/>
              <w:ind w:left="80"/>
              <w:jc w:val="left"/>
              <w:rPr>
                <w:sz w:val="14"/>
              </w:rPr>
            </w:pPr>
            <w:r>
              <w:rPr>
                <w:color w:val="231F20"/>
                <w:spacing w:val="-2"/>
                <w:w w:val="90"/>
                <w:sz w:val="14"/>
              </w:rPr>
              <w:t>Lithuania</w:t>
            </w:r>
          </w:p>
        </w:tc>
        <w:tc>
          <w:tcPr>
            <w:tcW w:w="622" w:type="dxa"/>
          </w:tcPr>
          <w:p>
            <w:pPr>
              <w:pStyle w:val="TableParagraph"/>
              <w:ind w:left="67" w:right="101"/>
              <w:rPr>
                <w:sz w:val="14"/>
              </w:rPr>
            </w:pPr>
            <w:r>
              <w:rPr>
                <w:color w:val="231F20"/>
                <w:spacing w:val="-5"/>
                <w:w w:val="95"/>
                <w:sz w:val="14"/>
              </w:rPr>
              <w:t>38</w:t>
            </w:r>
          </w:p>
        </w:tc>
        <w:tc>
          <w:tcPr>
            <w:tcW w:w="644" w:type="dxa"/>
          </w:tcPr>
          <w:p>
            <w:pPr>
              <w:pStyle w:val="TableParagraph"/>
              <w:ind w:left="165"/>
              <w:jc w:val="left"/>
              <w:rPr>
                <w:sz w:val="14"/>
              </w:rPr>
            </w:pPr>
            <w:r>
              <w:rPr>
                <w:color w:val="231F20"/>
                <w:spacing w:val="-5"/>
                <w:w w:val="95"/>
                <w:sz w:val="14"/>
              </w:rPr>
              <w:t>3.4</w:t>
            </w:r>
          </w:p>
        </w:tc>
        <w:tc>
          <w:tcPr>
            <w:tcW w:w="480" w:type="dxa"/>
          </w:tcPr>
          <w:p>
            <w:pPr>
              <w:pStyle w:val="TableParagraph"/>
              <w:ind w:left="103"/>
              <w:jc w:val="left"/>
              <w:rPr>
                <w:sz w:val="14"/>
              </w:rPr>
            </w:pPr>
            <w:r>
              <w:rPr>
                <w:color w:val="231F20"/>
                <w:spacing w:val="-5"/>
                <w:w w:val="95"/>
                <w:sz w:val="14"/>
              </w:rPr>
              <w:t>3.0</w:t>
            </w:r>
          </w:p>
        </w:tc>
        <w:tc>
          <w:tcPr>
            <w:tcW w:w="582" w:type="dxa"/>
          </w:tcPr>
          <w:p>
            <w:pPr>
              <w:pStyle w:val="TableParagraph"/>
              <w:ind w:left="7" w:right="6"/>
              <w:rPr>
                <w:sz w:val="14"/>
              </w:rPr>
            </w:pPr>
            <w:r>
              <w:rPr>
                <w:color w:val="231F20"/>
                <w:spacing w:val="-5"/>
                <w:w w:val="95"/>
                <w:sz w:val="14"/>
              </w:rPr>
              <w:t>3.8</w:t>
            </w:r>
          </w:p>
        </w:tc>
        <w:tc>
          <w:tcPr>
            <w:tcW w:w="80" w:type="dxa"/>
          </w:tcPr>
          <w:p>
            <w:pPr>
              <w:pStyle w:val="TableParagraph"/>
              <w:spacing w:before="0"/>
              <w:jc w:val="left"/>
              <w:rPr>
                <w:rFonts w:ascii="Times New Roman"/>
                <w:sz w:val="14"/>
              </w:rPr>
            </w:pPr>
          </w:p>
        </w:tc>
        <w:tc>
          <w:tcPr>
            <w:tcW w:w="463" w:type="dxa"/>
          </w:tcPr>
          <w:p>
            <w:pPr>
              <w:pStyle w:val="TableParagraph"/>
              <w:ind w:left="8" w:right="48"/>
              <w:rPr>
                <w:sz w:val="14"/>
              </w:rPr>
            </w:pPr>
            <w:r>
              <w:rPr>
                <w:color w:val="231F20"/>
                <w:spacing w:val="-5"/>
                <w:w w:val="95"/>
                <w:sz w:val="14"/>
              </w:rPr>
              <w:t>3.2</w:t>
            </w:r>
          </w:p>
        </w:tc>
        <w:tc>
          <w:tcPr>
            <w:tcW w:w="574" w:type="dxa"/>
          </w:tcPr>
          <w:p>
            <w:pPr>
              <w:pStyle w:val="TableParagraph"/>
              <w:ind w:left="158" w:right="70"/>
              <w:rPr>
                <w:sz w:val="14"/>
              </w:rPr>
            </w:pPr>
            <w:r>
              <w:rPr>
                <w:color w:val="231F20"/>
                <w:spacing w:val="-5"/>
                <w:w w:val="95"/>
                <w:sz w:val="14"/>
              </w:rPr>
              <w:t>37</w:t>
            </w:r>
          </w:p>
        </w:tc>
        <w:tc>
          <w:tcPr>
            <w:tcW w:w="126" w:type="dxa"/>
          </w:tcPr>
          <w:p>
            <w:pPr>
              <w:pStyle w:val="TableParagraph"/>
              <w:spacing w:before="0"/>
              <w:jc w:val="left"/>
              <w:rPr>
                <w:rFonts w:ascii="Times New Roman"/>
                <w:sz w:val="14"/>
              </w:rPr>
            </w:pPr>
          </w:p>
        </w:tc>
        <w:tc>
          <w:tcPr>
            <w:tcW w:w="463" w:type="dxa"/>
          </w:tcPr>
          <w:p>
            <w:pPr>
              <w:pStyle w:val="TableParagraph"/>
              <w:ind w:left="12" w:right="48"/>
              <w:rPr>
                <w:sz w:val="14"/>
              </w:rPr>
            </w:pPr>
            <w:r>
              <w:rPr>
                <w:color w:val="231F20"/>
                <w:spacing w:val="-5"/>
                <w:w w:val="95"/>
                <w:sz w:val="14"/>
              </w:rPr>
              <w:t>3.5</w:t>
            </w:r>
          </w:p>
        </w:tc>
        <w:tc>
          <w:tcPr>
            <w:tcW w:w="574" w:type="dxa"/>
          </w:tcPr>
          <w:p>
            <w:pPr>
              <w:pStyle w:val="TableParagraph"/>
              <w:ind w:left="161" w:right="72"/>
              <w:rPr>
                <w:sz w:val="14"/>
              </w:rPr>
            </w:pPr>
            <w:r>
              <w:rPr>
                <w:color w:val="231F20"/>
                <w:spacing w:val="-5"/>
                <w:w w:val="95"/>
                <w:sz w:val="14"/>
              </w:rPr>
              <w:t>39</w:t>
            </w:r>
          </w:p>
        </w:tc>
        <w:tc>
          <w:tcPr>
            <w:tcW w:w="126" w:type="dxa"/>
          </w:tcPr>
          <w:p>
            <w:pPr>
              <w:pStyle w:val="TableParagraph"/>
              <w:spacing w:before="0"/>
              <w:jc w:val="left"/>
              <w:rPr>
                <w:rFonts w:ascii="Times New Roman"/>
                <w:sz w:val="14"/>
              </w:rPr>
            </w:pPr>
          </w:p>
        </w:tc>
        <w:tc>
          <w:tcPr>
            <w:tcW w:w="463" w:type="dxa"/>
          </w:tcPr>
          <w:p>
            <w:pPr>
              <w:pStyle w:val="TableParagraph"/>
              <w:ind w:left="11" w:right="48"/>
              <w:rPr>
                <w:sz w:val="14"/>
              </w:rPr>
            </w:pPr>
            <w:r>
              <w:rPr>
                <w:color w:val="231F20"/>
                <w:spacing w:val="-5"/>
                <w:w w:val="95"/>
                <w:sz w:val="14"/>
              </w:rPr>
              <w:t>3.4</w:t>
            </w:r>
          </w:p>
        </w:tc>
        <w:tc>
          <w:tcPr>
            <w:tcW w:w="574" w:type="dxa"/>
          </w:tcPr>
          <w:p>
            <w:pPr>
              <w:pStyle w:val="TableParagraph"/>
              <w:ind w:left="161" w:right="70"/>
              <w:rPr>
                <w:sz w:val="14"/>
              </w:rPr>
            </w:pPr>
            <w:r>
              <w:rPr>
                <w:color w:val="231F20"/>
                <w:spacing w:val="-5"/>
                <w:w w:val="95"/>
                <w:sz w:val="14"/>
              </w:rPr>
              <w:t>26</w:t>
            </w:r>
          </w:p>
        </w:tc>
        <w:tc>
          <w:tcPr>
            <w:tcW w:w="126" w:type="dxa"/>
          </w:tcPr>
          <w:p>
            <w:pPr>
              <w:pStyle w:val="TableParagraph"/>
              <w:spacing w:before="0"/>
              <w:jc w:val="left"/>
              <w:rPr>
                <w:rFonts w:ascii="Times New Roman"/>
                <w:sz w:val="14"/>
              </w:rPr>
            </w:pPr>
          </w:p>
        </w:tc>
        <w:tc>
          <w:tcPr>
            <w:tcW w:w="463" w:type="dxa"/>
          </w:tcPr>
          <w:p>
            <w:pPr>
              <w:pStyle w:val="TableParagraph"/>
              <w:ind w:left="14" w:right="48"/>
              <w:rPr>
                <w:sz w:val="14"/>
              </w:rPr>
            </w:pPr>
            <w:r>
              <w:rPr>
                <w:color w:val="231F20"/>
                <w:spacing w:val="-5"/>
                <w:w w:val="95"/>
                <w:sz w:val="14"/>
              </w:rPr>
              <w:t>3.6</w:t>
            </w:r>
          </w:p>
        </w:tc>
        <w:tc>
          <w:tcPr>
            <w:tcW w:w="574" w:type="dxa"/>
          </w:tcPr>
          <w:p>
            <w:pPr>
              <w:pStyle w:val="TableParagraph"/>
              <w:ind w:left="161" w:right="69"/>
              <w:rPr>
                <w:sz w:val="14"/>
              </w:rPr>
            </w:pPr>
            <w:r>
              <w:rPr>
                <w:color w:val="231F20"/>
                <w:spacing w:val="-5"/>
                <w:w w:val="95"/>
                <w:sz w:val="14"/>
              </w:rPr>
              <w:t>33</w:t>
            </w:r>
          </w:p>
        </w:tc>
        <w:tc>
          <w:tcPr>
            <w:tcW w:w="126" w:type="dxa"/>
          </w:tcPr>
          <w:p>
            <w:pPr>
              <w:pStyle w:val="TableParagraph"/>
              <w:spacing w:before="0"/>
              <w:jc w:val="left"/>
              <w:rPr>
                <w:rFonts w:ascii="Times New Roman"/>
                <w:sz w:val="14"/>
              </w:rPr>
            </w:pPr>
          </w:p>
        </w:tc>
        <w:tc>
          <w:tcPr>
            <w:tcW w:w="463" w:type="dxa"/>
          </w:tcPr>
          <w:p>
            <w:pPr>
              <w:pStyle w:val="TableParagraph"/>
              <w:ind w:left="16" w:right="48"/>
              <w:rPr>
                <w:sz w:val="14"/>
              </w:rPr>
            </w:pPr>
            <w:r>
              <w:rPr>
                <w:color w:val="231F20"/>
                <w:spacing w:val="-5"/>
                <w:w w:val="95"/>
                <w:sz w:val="14"/>
              </w:rPr>
              <w:t>3.6</w:t>
            </w:r>
          </w:p>
        </w:tc>
        <w:tc>
          <w:tcPr>
            <w:tcW w:w="574" w:type="dxa"/>
          </w:tcPr>
          <w:p>
            <w:pPr>
              <w:pStyle w:val="TableParagraph"/>
              <w:ind w:left="161" w:right="67"/>
              <w:rPr>
                <w:sz w:val="14"/>
              </w:rPr>
            </w:pPr>
            <w:r>
              <w:rPr>
                <w:color w:val="231F20"/>
                <w:spacing w:val="-5"/>
                <w:w w:val="95"/>
                <w:sz w:val="14"/>
              </w:rPr>
              <w:t>35</w:t>
            </w:r>
          </w:p>
        </w:tc>
        <w:tc>
          <w:tcPr>
            <w:tcW w:w="126" w:type="dxa"/>
          </w:tcPr>
          <w:p>
            <w:pPr>
              <w:pStyle w:val="TableParagraph"/>
              <w:spacing w:before="0"/>
              <w:jc w:val="left"/>
              <w:rPr>
                <w:rFonts w:ascii="Times New Roman"/>
                <w:sz w:val="14"/>
              </w:rPr>
            </w:pPr>
          </w:p>
        </w:tc>
        <w:tc>
          <w:tcPr>
            <w:tcW w:w="468" w:type="dxa"/>
          </w:tcPr>
          <w:p>
            <w:pPr>
              <w:pStyle w:val="TableParagraph"/>
              <w:ind w:right="45"/>
              <w:rPr>
                <w:sz w:val="14"/>
              </w:rPr>
            </w:pPr>
            <w:r>
              <w:rPr>
                <w:color w:val="231F20"/>
                <w:spacing w:val="-5"/>
                <w:w w:val="95"/>
                <w:sz w:val="14"/>
              </w:rPr>
              <w:t>3.1</w:t>
            </w:r>
          </w:p>
        </w:tc>
        <w:tc>
          <w:tcPr>
            <w:tcW w:w="655" w:type="dxa"/>
          </w:tcPr>
          <w:p>
            <w:pPr>
              <w:pStyle w:val="TableParagraph"/>
              <w:ind w:left="72" w:right="68"/>
              <w:rPr>
                <w:sz w:val="14"/>
              </w:rPr>
            </w:pPr>
            <w:r>
              <w:rPr>
                <w:color w:val="231F20"/>
                <w:spacing w:val="-5"/>
                <w:w w:val="95"/>
                <w:sz w:val="14"/>
              </w:rPr>
              <w:t>62</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Portugal</w:t>
            </w:r>
          </w:p>
        </w:tc>
        <w:tc>
          <w:tcPr>
            <w:tcW w:w="622" w:type="dxa"/>
            <w:shd w:val="clear" w:color="auto" w:fill="D4E3F5"/>
          </w:tcPr>
          <w:p>
            <w:pPr>
              <w:pStyle w:val="TableParagraph"/>
              <w:ind w:left="67" w:right="101"/>
              <w:rPr>
                <w:sz w:val="14"/>
              </w:rPr>
            </w:pPr>
            <w:r>
              <w:rPr>
                <w:color w:val="231F20"/>
                <w:spacing w:val="-5"/>
                <w:w w:val="95"/>
                <w:sz w:val="14"/>
              </w:rPr>
              <w:t>38</w:t>
            </w:r>
          </w:p>
        </w:tc>
        <w:tc>
          <w:tcPr>
            <w:tcW w:w="644" w:type="dxa"/>
            <w:shd w:val="clear" w:color="auto" w:fill="D4E3F5"/>
          </w:tcPr>
          <w:p>
            <w:pPr>
              <w:pStyle w:val="TableParagraph"/>
              <w:ind w:left="165"/>
              <w:jc w:val="left"/>
              <w:rPr>
                <w:sz w:val="14"/>
              </w:rPr>
            </w:pPr>
            <w:r>
              <w:rPr>
                <w:color w:val="231F20"/>
                <w:spacing w:val="-5"/>
                <w:w w:val="95"/>
                <w:sz w:val="14"/>
              </w:rPr>
              <w:t>3.4</w:t>
            </w:r>
          </w:p>
        </w:tc>
        <w:tc>
          <w:tcPr>
            <w:tcW w:w="480" w:type="dxa"/>
            <w:shd w:val="clear" w:color="auto" w:fill="D4E3F5"/>
          </w:tcPr>
          <w:p>
            <w:pPr>
              <w:pStyle w:val="TableParagraph"/>
              <w:ind w:left="107"/>
              <w:jc w:val="left"/>
              <w:rPr>
                <w:sz w:val="14"/>
              </w:rPr>
            </w:pPr>
            <w:r>
              <w:rPr>
                <w:color w:val="231F20"/>
                <w:spacing w:val="-5"/>
                <w:w w:val="95"/>
                <w:sz w:val="14"/>
              </w:rPr>
              <w:t>3.1</w:t>
            </w:r>
          </w:p>
        </w:tc>
        <w:tc>
          <w:tcPr>
            <w:tcW w:w="582" w:type="dxa"/>
            <w:shd w:val="clear" w:color="auto" w:fill="D4E3F5"/>
          </w:tcPr>
          <w:p>
            <w:pPr>
              <w:pStyle w:val="TableParagraph"/>
              <w:ind w:left="6" w:right="6"/>
              <w:rPr>
                <w:sz w:val="14"/>
              </w:rPr>
            </w:pPr>
            <w:r>
              <w:rPr>
                <w:color w:val="231F20"/>
                <w:spacing w:val="-5"/>
                <w:w w:val="95"/>
                <w:sz w:val="14"/>
              </w:rPr>
              <w:t>3.7</w:t>
            </w:r>
          </w:p>
        </w:tc>
        <w:tc>
          <w:tcPr>
            <w:tcW w:w="80"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8" w:right="48"/>
              <w:rPr>
                <w:sz w:val="14"/>
              </w:rPr>
            </w:pPr>
            <w:r>
              <w:rPr>
                <w:color w:val="231F20"/>
                <w:spacing w:val="-5"/>
                <w:w w:val="95"/>
                <w:sz w:val="14"/>
              </w:rPr>
              <w:t>3.2</w:t>
            </w:r>
          </w:p>
        </w:tc>
        <w:tc>
          <w:tcPr>
            <w:tcW w:w="574" w:type="dxa"/>
            <w:shd w:val="clear" w:color="auto" w:fill="D4E3F5"/>
          </w:tcPr>
          <w:p>
            <w:pPr>
              <w:pStyle w:val="TableParagraph"/>
              <w:ind w:left="158" w:right="70"/>
              <w:rPr>
                <w:sz w:val="14"/>
              </w:rPr>
            </w:pPr>
            <w:r>
              <w:rPr>
                <w:color w:val="231F20"/>
                <w:spacing w:val="-5"/>
                <w:w w:val="95"/>
                <w:sz w:val="14"/>
              </w:rPr>
              <w:t>37</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1" w:right="48"/>
              <w:rPr>
                <w:sz w:val="14"/>
              </w:rPr>
            </w:pPr>
            <w:r>
              <w:rPr>
                <w:color w:val="231F20"/>
                <w:spacing w:val="-5"/>
                <w:w w:val="95"/>
                <w:sz w:val="14"/>
              </w:rPr>
              <w:t>3.6</w:t>
            </w:r>
          </w:p>
        </w:tc>
        <w:tc>
          <w:tcPr>
            <w:tcW w:w="574" w:type="dxa"/>
            <w:shd w:val="clear" w:color="auto" w:fill="D4E3F5"/>
          </w:tcPr>
          <w:p>
            <w:pPr>
              <w:pStyle w:val="TableParagraph"/>
              <w:ind w:left="161" w:right="72"/>
              <w:rPr>
                <w:sz w:val="14"/>
              </w:rPr>
            </w:pPr>
            <w:r>
              <w:rPr>
                <w:color w:val="231F20"/>
                <w:spacing w:val="-5"/>
                <w:w w:val="95"/>
                <w:sz w:val="14"/>
              </w:rPr>
              <w:t>30</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3" w:right="48"/>
              <w:rPr>
                <w:sz w:val="14"/>
              </w:rPr>
            </w:pPr>
            <w:r>
              <w:rPr>
                <w:color w:val="231F20"/>
                <w:spacing w:val="-5"/>
                <w:w w:val="95"/>
                <w:sz w:val="14"/>
              </w:rPr>
              <w:t>3.1</w:t>
            </w:r>
          </w:p>
        </w:tc>
        <w:tc>
          <w:tcPr>
            <w:tcW w:w="574" w:type="dxa"/>
            <w:shd w:val="clear" w:color="auto" w:fill="D4E3F5"/>
          </w:tcPr>
          <w:p>
            <w:pPr>
              <w:pStyle w:val="TableParagraph"/>
              <w:ind w:left="161" w:right="70"/>
              <w:rPr>
                <w:sz w:val="14"/>
              </w:rPr>
            </w:pPr>
            <w:r>
              <w:rPr>
                <w:color w:val="231F20"/>
                <w:spacing w:val="-5"/>
                <w:w w:val="95"/>
                <w:sz w:val="14"/>
              </w:rPr>
              <w:t>47</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4" w:right="48"/>
              <w:rPr>
                <w:sz w:val="14"/>
              </w:rPr>
            </w:pPr>
            <w:r>
              <w:rPr>
                <w:color w:val="231F20"/>
                <w:spacing w:val="-5"/>
                <w:w w:val="95"/>
                <w:sz w:val="14"/>
              </w:rPr>
              <w:t>3.6</w:t>
            </w:r>
          </w:p>
        </w:tc>
        <w:tc>
          <w:tcPr>
            <w:tcW w:w="574" w:type="dxa"/>
            <w:shd w:val="clear" w:color="auto" w:fill="D4E3F5"/>
          </w:tcPr>
          <w:p>
            <w:pPr>
              <w:pStyle w:val="TableParagraph"/>
              <w:ind w:left="161" w:right="69"/>
              <w:rPr>
                <w:sz w:val="14"/>
              </w:rPr>
            </w:pPr>
            <w:r>
              <w:rPr>
                <w:color w:val="231F20"/>
                <w:spacing w:val="-5"/>
                <w:w w:val="95"/>
                <w:sz w:val="14"/>
              </w:rPr>
              <w:t>33</w:t>
            </w:r>
          </w:p>
        </w:tc>
        <w:tc>
          <w:tcPr>
            <w:tcW w:w="126" w:type="dxa"/>
            <w:shd w:val="clear" w:color="auto" w:fill="D4E3F5"/>
          </w:tcPr>
          <w:p>
            <w:pPr>
              <w:pStyle w:val="TableParagraph"/>
              <w:spacing w:before="0"/>
              <w:jc w:val="left"/>
              <w:rPr>
                <w:rFonts w:ascii="Times New Roman"/>
                <w:sz w:val="14"/>
              </w:rPr>
            </w:pPr>
          </w:p>
        </w:tc>
        <w:tc>
          <w:tcPr>
            <w:tcW w:w="463" w:type="dxa"/>
            <w:shd w:val="clear" w:color="auto" w:fill="D4E3F5"/>
          </w:tcPr>
          <w:p>
            <w:pPr>
              <w:pStyle w:val="TableParagraph"/>
              <w:ind w:left="16" w:right="48"/>
              <w:rPr>
                <w:sz w:val="14"/>
              </w:rPr>
            </w:pPr>
            <w:r>
              <w:rPr>
                <w:color w:val="231F20"/>
                <w:spacing w:val="-5"/>
                <w:w w:val="95"/>
                <w:sz w:val="14"/>
              </w:rPr>
              <w:t>3.6</w:t>
            </w:r>
          </w:p>
        </w:tc>
        <w:tc>
          <w:tcPr>
            <w:tcW w:w="574" w:type="dxa"/>
            <w:shd w:val="clear" w:color="auto" w:fill="D4E3F5"/>
          </w:tcPr>
          <w:p>
            <w:pPr>
              <w:pStyle w:val="TableParagraph"/>
              <w:ind w:left="161" w:right="67"/>
              <w:rPr>
                <w:sz w:val="14"/>
              </w:rPr>
            </w:pPr>
            <w:r>
              <w:rPr>
                <w:color w:val="231F20"/>
                <w:spacing w:val="-5"/>
                <w:w w:val="95"/>
                <w:sz w:val="14"/>
              </w:rPr>
              <w:t>35</w:t>
            </w:r>
          </w:p>
        </w:tc>
        <w:tc>
          <w:tcPr>
            <w:tcW w:w="126" w:type="dxa"/>
            <w:shd w:val="clear" w:color="auto" w:fill="D4E3F5"/>
          </w:tcPr>
          <w:p>
            <w:pPr>
              <w:pStyle w:val="TableParagraph"/>
              <w:spacing w:before="0"/>
              <w:jc w:val="left"/>
              <w:rPr>
                <w:rFonts w:ascii="Times New Roman"/>
                <w:sz w:val="14"/>
              </w:rPr>
            </w:pPr>
          </w:p>
        </w:tc>
        <w:tc>
          <w:tcPr>
            <w:tcW w:w="468" w:type="dxa"/>
            <w:shd w:val="clear" w:color="auto" w:fill="D4E3F5"/>
          </w:tcPr>
          <w:p>
            <w:pPr>
              <w:pStyle w:val="TableParagraph"/>
              <w:ind w:left="8" w:right="45"/>
              <w:rPr>
                <w:sz w:val="14"/>
              </w:rPr>
            </w:pPr>
            <w:r>
              <w:rPr>
                <w:color w:val="231F20"/>
                <w:spacing w:val="-5"/>
                <w:w w:val="95"/>
                <w:sz w:val="14"/>
              </w:rPr>
              <w:t>3.2</w:t>
            </w:r>
          </w:p>
        </w:tc>
        <w:tc>
          <w:tcPr>
            <w:tcW w:w="655" w:type="dxa"/>
            <w:shd w:val="clear" w:color="auto" w:fill="D4E3F5"/>
          </w:tcPr>
          <w:p>
            <w:pPr>
              <w:pStyle w:val="TableParagraph"/>
              <w:ind w:left="72" w:right="68"/>
              <w:rPr>
                <w:sz w:val="14"/>
              </w:rPr>
            </w:pPr>
            <w:r>
              <w:rPr>
                <w:color w:val="231F20"/>
                <w:spacing w:val="-5"/>
                <w:w w:val="95"/>
                <w:sz w:val="14"/>
              </w:rPr>
              <w:t>54</w:t>
            </w:r>
          </w:p>
        </w:tc>
      </w:tr>
      <w:tr>
        <w:trPr>
          <w:trHeight w:val="254" w:hRule="atLeast"/>
        </w:trPr>
        <w:tc>
          <w:tcPr>
            <w:tcW w:w="990" w:type="dxa"/>
            <w:tcBorders>
              <w:bottom w:val="single" w:sz="4" w:space="0" w:color="008FDD"/>
            </w:tcBorders>
          </w:tcPr>
          <w:p>
            <w:pPr>
              <w:pStyle w:val="TableParagraph"/>
              <w:ind w:left="80"/>
              <w:jc w:val="left"/>
              <w:rPr>
                <w:sz w:val="14"/>
              </w:rPr>
            </w:pPr>
            <w:r>
              <w:rPr>
                <w:color w:val="231F20"/>
                <w:w w:val="75"/>
                <w:sz w:val="14"/>
              </w:rPr>
              <w:t>Saudi</w:t>
            </w:r>
            <w:r>
              <w:rPr>
                <w:color w:val="231F20"/>
                <w:spacing w:val="6"/>
                <w:sz w:val="14"/>
              </w:rPr>
              <w:t> </w:t>
            </w:r>
            <w:r>
              <w:rPr>
                <w:color w:val="231F20"/>
                <w:spacing w:val="-2"/>
                <w:w w:val="90"/>
                <w:sz w:val="14"/>
              </w:rPr>
              <w:t>Arabia</w:t>
            </w:r>
          </w:p>
        </w:tc>
        <w:tc>
          <w:tcPr>
            <w:tcW w:w="622" w:type="dxa"/>
            <w:tcBorders>
              <w:bottom w:val="single" w:sz="4" w:space="0" w:color="008FDD"/>
            </w:tcBorders>
          </w:tcPr>
          <w:p>
            <w:pPr>
              <w:pStyle w:val="TableParagraph"/>
              <w:ind w:left="67" w:right="101"/>
              <w:rPr>
                <w:sz w:val="14"/>
              </w:rPr>
            </w:pPr>
            <w:r>
              <w:rPr>
                <w:color w:val="231F20"/>
                <w:spacing w:val="-5"/>
                <w:w w:val="95"/>
                <w:sz w:val="14"/>
              </w:rPr>
              <w:t>38</w:t>
            </w:r>
          </w:p>
        </w:tc>
        <w:tc>
          <w:tcPr>
            <w:tcW w:w="644" w:type="dxa"/>
            <w:tcBorders>
              <w:bottom w:val="single" w:sz="4" w:space="0" w:color="008FDD"/>
            </w:tcBorders>
          </w:tcPr>
          <w:p>
            <w:pPr>
              <w:pStyle w:val="TableParagraph"/>
              <w:ind w:left="165"/>
              <w:jc w:val="left"/>
              <w:rPr>
                <w:sz w:val="14"/>
              </w:rPr>
            </w:pPr>
            <w:r>
              <w:rPr>
                <w:color w:val="231F20"/>
                <w:spacing w:val="-5"/>
                <w:w w:val="95"/>
                <w:sz w:val="14"/>
              </w:rPr>
              <w:t>3.4</w:t>
            </w:r>
          </w:p>
        </w:tc>
        <w:tc>
          <w:tcPr>
            <w:tcW w:w="480" w:type="dxa"/>
            <w:tcBorders>
              <w:bottom w:val="single" w:sz="4" w:space="0" w:color="008FDD"/>
            </w:tcBorders>
          </w:tcPr>
          <w:p>
            <w:pPr>
              <w:pStyle w:val="TableParagraph"/>
              <w:ind w:left="101"/>
              <w:jc w:val="left"/>
              <w:rPr>
                <w:sz w:val="14"/>
              </w:rPr>
            </w:pPr>
            <w:r>
              <w:rPr>
                <w:color w:val="231F20"/>
                <w:spacing w:val="-5"/>
                <w:w w:val="95"/>
                <w:sz w:val="14"/>
              </w:rPr>
              <w:t>3.2</w:t>
            </w:r>
          </w:p>
        </w:tc>
        <w:tc>
          <w:tcPr>
            <w:tcW w:w="582" w:type="dxa"/>
            <w:tcBorders>
              <w:bottom w:val="single" w:sz="4" w:space="0" w:color="008FDD"/>
            </w:tcBorders>
          </w:tcPr>
          <w:p>
            <w:pPr>
              <w:pStyle w:val="TableParagraph"/>
              <w:ind w:left="6" w:right="6"/>
              <w:rPr>
                <w:sz w:val="14"/>
              </w:rPr>
            </w:pPr>
            <w:r>
              <w:rPr>
                <w:color w:val="231F20"/>
                <w:spacing w:val="-5"/>
                <w:w w:val="95"/>
                <w:sz w:val="14"/>
              </w:rPr>
              <w:t>3.6</w:t>
            </w:r>
          </w:p>
        </w:tc>
        <w:tc>
          <w:tcPr>
            <w:tcW w:w="80" w:type="dxa"/>
            <w:tcBorders>
              <w:bottom w:val="single" w:sz="4" w:space="0" w:color="008FDD"/>
            </w:tcBorders>
          </w:tcPr>
          <w:p>
            <w:pPr>
              <w:pStyle w:val="TableParagraph"/>
              <w:spacing w:before="0"/>
              <w:jc w:val="left"/>
              <w:rPr>
                <w:rFonts w:ascii="Times New Roman"/>
                <w:sz w:val="14"/>
              </w:rPr>
            </w:pPr>
          </w:p>
        </w:tc>
        <w:tc>
          <w:tcPr>
            <w:tcW w:w="463" w:type="dxa"/>
            <w:tcBorders>
              <w:bottom w:val="single" w:sz="4" w:space="0" w:color="008FDD"/>
            </w:tcBorders>
          </w:tcPr>
          <w:p>
            <w:pPr>
              <w:pStyle w:val="TableParagraph"/>
              <w:ind w:left="10" w:right="48"/>
              <w:rPr>
                <w:sz w:val="14"/>
              </w:rPr>
            </w:pPr>
            <w:r>
              <w:rPr>
                <w:color w:val="231F20"/>
                <w:spacing w:val="-5"/>
                <w:w w:val="95"/>
                <w:sz w:val="14"/>
              </w:rPr>
              <w:t>3.0</w:t>
            </w:r>
          </w:p>
        </w:tc>
        <w:tc>
          <w:tcPr>
            <w:tcW w:w="574" w:type="dxa"/>
            <w:tcBorders>
              <w:bottom w:val="single" w:sz="4" w:space="0" w:color="008FDD"/>
            </w:tcBorders>
          </w:tcPr>
          <w:p>
            <w:pPr>
              <w:pStyle w:val="TableParagraph"/>
              <w:ind w:left="158" w:right="70"/>
              <w:rPr>
                <w:sz w:val="14"/>
              </w:rPr>
            </w:pPr>
            <w:r>
              <w:rPr>
                <w:color w:val="231F20"/>
                <w:spacing w:val="-5"/>
                <w:w w:val="95"/>
                <w:sz w:val="14"/>
              </w:rPr>
              <w:t>47</w:t>
            </w:r>
          </w:p>
        </w:tc>
        <w:tc>
          <w:tcPr>
            <w:tcW w:w="126" w:type="dxa"/>
            <w:tcBorders>
              <w:bottom w:val="single" w:sz="4" w:space="0" w:color="008FDD"/>
            </w:tcBorders>
          </w:tcPr>
          <w:p>
            <w:pPr>
              <w:pStyle w:val="TableParagraph"/>
              <w:spacing w:before="0"/>
              <w:jc w:val="left"/>
              <w:rPr>
                <w:rFonts w:ascii="Times New Roman"/>
                <w:sz w:val="14"/>
              </w:rPr>
            </w:pPr>
          </w:p>
        </w:tc>
        <w:tc>
          <w:tcPr>
            <w:tcW w:w="463" w:type="dxa"/>
            <w:tcBorders>
              <w:bottom w:val="single" w:sz="4" w:space="0" w:color="008FDD"/>
            </w:tcBorders>
          </w:tcPr>
          <w:p>
            <w:pPr>
              <w:pStyle w:val="TableParagraph"/>
              <w:ind w:left="11" w:right="48"/>
              <w:rPr>
                <w:sz w:val="14"/>
              </w:rPr>
            </w:pPr>
            <w:r>
              <w:rPr>
                <w:color w:val="231F20"/>
                <w:spacing w:val="-5"/>
                <w:w w:val="95"/>
                <w:sz w:val="14"/>
              </w:rPr>
              <w:t>3.6</w:t>
            </w:r>
          </w:p>
        </w:tc>
        <w:tc>
          <w:tcPr>
            <w:tcW w:w="574" w:type="dxa"/>
            <w:tcBorders>
              <w:bottom w:val="single" w:sz="4" w:space="0" w:color="008FDD"/>
            </w:tcBorders>
          </w:tcPr>
          <w:p>
            <w:pPr>
              <w:pStyle w:val="TableParagraph"/>
              <w:ind w:left="161" w:right="72"/>
              <w:rPr>
                <w:sz w:val="14"/>
              </w:rPr>
            </w:pPr>
            <w:r>
              <w:rPr>
                <w:color w:val="231F20"/>
                <w:spacing w:val="-5"/>
                <w:w w:val="95"/>
                <w:sz w:val="14"/>
              </w:rPr>
              <w:t>30</w:t>
            </w:r>
          </w:p>
        </w:tc>
        <w:tc>
          <w:tcPr>
            <w:tcW w:w="126" w:type="dxa"/>
            <w:tcBorders>
              <w:bottom w:val="single" w:sz="4" w:space="0" w:color="008FDD"/>
            </w:tcBorders>
          </w:tcPr>
          <w:p>
            <w:pPr>
              <w:pStyle w:val="TableParagraph"/>
              <w:spacing w:before="0"/>
              <w:jc w:val="left"/>
              <w:rPr>
                <w:rFonts w:ascii="Times New Roman"/>
                <w:sz w:val="14"/>
              </w:rPr>
            </w:pPr>
          </w:p>
        </w:tc>
        <w:tc>
          <w:tcPr>
            <w:tcW w:w="463" w:type="dxa"/>
            <w:tcBorders>
              <w:bottom w:val="single" w:sz="4" w:space="0" w:color="008FDD"/>
            </w:tcBorders>
          </w:tcPr>
          <w:p>
            <w:pPr>
              <w:pStyle w:val="TableParagraph"/>
              <w:ind w:left="14" w:right="48"/>
              <w:rPr>
                <w:sz w:val="14"/>
              </w:rPr>
            </w:pPr>
            <w:r>
              <w:rPr>
                <w:color w:val="231F20"/>
                <w:spacing w:val="-5"/>
                <w:w w:val="95"/>
                <w:sz w:val="14"/>
              </w:rPr>
              <w:t>3.3</w:t>
            </w:r>
          </w:p>
        </w:tc>
        <w:tc>
          <w:tcPr>
            <w:tcW w:w="574" w:type="dxa"/>
            <w:tcBorders>
              <w:bottom w:val="single" w:sz="4" w:space="0" w:color="008FDD"/>
            </w:tcBorders>
          </w:tcPr>
          <w:p>
            <w:pPr>
              <w:pStyle w:val="TableParagraph"/>
              <w:ind w:left="161" w:right="70"/>
              <w:rPr>
                <w:sz w:val="14"/>
              </w:rPr>
            </w:pPr>
            <w:r>
              <w:rPr>
                <w:color w:val="231F20"/>
                <w:spacing w:val="-5"/>
                <w:w w:val="95"/>
                <w:sz w:val="14"/>
              </w:rPr>
              <w:t>38</w:t>
            </w:r>
          </w:p>
        </w:tc>
        <w:tc>
          <w:tcPr>
            <w:tcW w:w="126" w:type="dxa"/>
            <w:tcBorders>
              <w:bottom w:val="single" w:sz="4" w:space="0" w:color="008FDD"/>
            </w:tcBorders>
          </w:tcPr>
          <w:p>
            <w:pPr>
              <w:pStyle w:val="TableParagraph"/>
              <w:spacing w:before="0"/>
              <w:jc w:val="left"/>
              <w:rPr>
                <w:rFonts w:ascii="Times New Roman"/>
                <w:sz w:val="14"/>
              </w:rPr>
            </w:pPr>
          </w:p>
        </w:tc>
        <w:tc>
          <w:tcPr>
            <w:tcW w:w="463" w:type="dxa"/>
            <w:tcBorders>
              <w:bottom w:val="single" w:sz="4" w:space="0" w:color="008FDD"/>
            </w:tcBorders>
          </w:tcPr>
          <w:p>
            <w:pPr>
              <w:pStyle w:val="TableParagraph"/>
              <w:ind w:left="15" w:right="48"/>
              <w:rPr>
                <w:sz w:val="14"/>
              </w:rPr>
            </w:pPr>
            <w:r>
              <w:rPr>
                <w:color w:val="231F20"/>
                <w:spacing w:val="-5"/>
                <w:w w:val="95"/>
                <w:sz w:val="14"/>
              </w:rPr>
              <w:t>3.3</w:t>
            </w:r>
          </w:p>
        </w:tc>
        <w:tc>
          <w:tcPr>
            <w:tcW w:w="574" w:type="dxa"/>
            <w:tcBorders>
              <w:bottom w:val="single" w:sz="4" w:space="0" w:color="008FDD"/>
            </w:tcBorders>
          </w:tcPr>
          <w:p>
            <w:pPr>
              <w:pStyle w:val="TableParagraph"/>
              <w:ind w:left="161" w:right="69"/>
              <w:rPr>
                <w:sz w:val="14"/>
              </w:rPr>
            </w:pPr>
            <w:r>
              <w:rPr>
                <w:color w:val="231F20"/>
                <w:spacing w:val="-5"/>
                <w:w w:val="95"/>
                <w:sz w:val="14"/>
              </w:rPr>
              <w:t>46</w:t>
            </w:r>
          </w:p>
        </w:tc>
        <w:tc>
          <w:tcPr>
            <w:tcW w:w="126" w:type="dxa"/>
            <w:tcBorders>
              <w:bottom w:val="single" w:sz="4" w:space="0" w:color="008FDD"/>
            </w:tcBorders>
          </w:tcPr>
          <w:p>
            <w:pPr>
              <w:pStyle w:val="TableParagraph"/>
              <w:spacing w:before="0"/>
              <w:jc w:val="left"/>
              <w:rPr>
                <w:rFonts w:ascii="Times New Roman"/>
                <w:sz w:val="14"/>
              </w:rPr>
            </w:pPr>
          </w:p>
        </w:tc>
        <w:tc>
          <w:tcPr>
            <w:tcW w:w="463" w:type="dxa"/>
            <w:tcBorders>
              <w:bottom w:val="single" w:sz="4" w:space="0" w:color="008FDD"/>
            </w:tcBorders>
          </w:tcPr>
          <w:p>
            <w:pPr>
              <w:pStyle w:val="TableParagraph"/>
              <w:ind w:left="16" w:right="48"/>
              <w:rPr>
                <w:sz w:val="14"/>
              </w:rPr>
            </w:pPr>
            <w:r>
              <w:rPr>
                <w:color w:val="231F20"/>
                <w:spacing w:val="-5"/>
                <w:w w:val="95"/>
                <w:sz w:val="14"/>
              </w:rPr>
              <w:t>3.6</w:t>
            </w:r>
          </w:p>
        </w:tc>
        <w:tc>
          <w:tcPr>
            <w:tcW w:w="574" w:type="dxa"/>
            <w:tcBorders>
              <w:bottom w:val="single" w:sz="4" w:space="0" w:color="008FDD"/>
            </w:tcBorders>
          </w:tcPr>
          <w:p>
            <w:pPr>
              <w:pStyle w:val="TableParagraph"/>
              <w:ind w:left="161" w:right="67"/>
              <w:rPr>
                <w:sz w:val="14"/>
              </w:rPr>
            </w:pPr>
            <w:r>
              <w:rPr>
                <w:color w:val="231F20"/>
                <w:spacing w:val="-5"/>
                <w:w w:val="95"/>
                <w:sz w:val="14"/>
              </w:rPr>
              <w:t>35</w:t>
            </w:r>
          </w:p>
        </w:tc>
        <w:tc>
          <w:tcPr>
            <w:tcW w:w="126" w:type="dxa"/>
            <w:tcBorders>
              <w:bottom w:val="single" w:sz="4" w:space="0" w:color="008FDD"/>
            </w:tcBorders>
          </w:tcPr>
          <w:p>
            <w:pPr>
              <w:pStyle w:val="TableParagraph"/>
              <w:spacing w:before="0"/>
              <w:jc w:val="left"/>
              <w:rPr>
                <w:rFonts w:ascii="Times New Roman"/>
                <w:sz w:val="14"/>
              </w:rPr>
            </w:pPr>
          </w:p>
        </w:tc>
        <w:tc>
          <w:tcPr>
            <w:tcW w:w="468" w:type="dxa"/>
            <w:tcBorders>
              <w:bottom w:val="single" w:sz="4" w:space="0" w:color="008FDD"/>
            </w:tcBorders>
          </w:tcPr>
          <w:p>
            <w:pPr>
              <w:pStyle w:val="TableParagraph"/>
              <w:ind w:left="10" w:right="45"/>
              <w:rPr>
                <w:sz w:val="14"/>
              </w:rPr>
            </w:pPr>
            <w:r>
              <w:rPr>
                <w:color w:val="231F20"/>
                <w:spacing w:val="-5"/>
                <w:w w:val="95"/>
                <w:sz w:val="14"/>
              </w:rPr>
              <w:t>3.5</w:t>
            </w:r>
          </w:p>
        </w:tc>
        <w:tc>
          <w:tcPr>
            <w:tcW w:w="655" w:type="dxa"/>
            <w:tcBorders>
              <w:bottom w:val="single" w:sz="4" w:space="0" w:color="008FDD"/>
            </w:tcBorders>
          </w:tcPr>
          <w:p>
            <w:pPr>
              <w:pStyle w:val="TableParagraph"/>
              <w:ind w:left="72" w:right="68"/>
              <w:rPr>
                <w:sz w:val="14"/>
              </w:rPr>
            </w:pPr>
            <w:r>
              <w:rPr>
                <w:color w:val="231F20"/>
                <w:spacing w:val="-5"/>
                <w:w w:val="95"/>
                <w:sz w:val="14"/>
              </w:rPr>
              <w:t>37</w:t>
            </w:r>
          </w:p>
        </w:tc>
      </w:tr>
    </w:tbl>
    <w:p>
      <w:pPr>
        <w:spacing w:after="0"/>
        <w:rPr>
          <w:sz w:val="14"/>
        </w:rPr>
        <w:sectPr>
          <w:headerReference w:type="even" r:id="rId109"/>
          <w:footerReference w:type="even" r:id="rId110"/>
          <w:footerReference w:type="default" r:id="rId111"/>
          <w:pgSz w:w="12240" w:h="15840"/>
          <w:pgMar w:header="0" w:footer="548" w:top="600" w:bottom="740" w:left="0" w:right="540"/>
          <w:pgNumType w:start="32"/>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78"/>
        <w:rPr>
          <w:rFonts w:ascii="Arial"/>
          <w:b/>
          <w:sz w:val="20"/>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0"/>
        <w:gridCol w:w="622"/>
        <w:gridCol w:w="644"/>
        <w:gridCol w:w="480"/>
        <w:gridCol w:w="582"/>
        <w:gridCol w:w="80"/>
        <w:gridCol w:w="463"/>
        <w:gridCol w:w="574"/>
        <w:gridCol w:w="126"/>
        <w:gridCol w:w="463"/>
        <w:gridCol w:w="574"/>
        <w:gridCol w:w="126"/>
        <w:gridCol w:w="463"/>
        <w:gridCol w:w="574"/>
        <w:gridCol w:w="126"/>
        <w:gridCol w:w="463"/>
        <w:gridCol w:w="574"/>
        <w:gridCol w:w="126"/>
        <w:gridCol w:w="463"/>
        <w:gridCol w:w="574"/>
        <w:gridCol w:w="126"/>
        <w:gridCol w:w="468"/>
        <w:gridCol w:w="655"/>
      </w:tblGrid>
      <w:tr>
        <w:trPr>
          <w:trHeight w:val="533" w:hRule="atLeast"/>
        </w:trPr>
        <w:tc>
          <w:tcPr>
            <w:tcW w:w="990" w:type="dxa"/>
          </w:tcPr>
          <w:p>
            <w:pPr>
              <w:pStyle w:val="TableParagraph"/>
              <w:spacing w:before="0"/>
              <w:jc w:val="left"/>
              <w:rPr>
                <w:rFonts w:ascii="Times New Roman"/>
                <w:sz w:val="12"/>
              </w:rPr>
            </w:pPr>
          </w:p>
        </w:tc>
        <w:tc>
          <w:tcPr>
            <w:tcW w:w="622" w:type="dxa"/>
            <w:tcBorders>
              <w:bottom w:val="single" w:sz="4" w:space="0" w:color="008FDD"/>
            </w:tcBorders>
          </w:tcPr>
          <w:p>
            <w:pPr>
              <w:pStyle w:val="TableParagraph"/>
              <w:spacing w:before="0"/>
              <w:jc w:val="left"/>
              <w:rPr>
                <w:rFonts w:ascii="Times New Roman"/>
                <w:sz w:val="12"/>
              </w:rPr>
            </w:pPr>
          </w:p>
        </w:tc>
        <w:tc>
          <w:tcPr>
            <w:tcW w:w="644" w:type="dxa"/>
            <w:tcBorders>
              <w:bottom w:val="single" w:sz="4" w:space="0" w:color="008FDD"/>
            </w:tcBorders>
          </w:tcPr>
          <w:p>
            <w:pPr>
              <w:pStyle w:val="TableParagraph"/>
              <w:spacing w:before="0"/>
              <w:jc w:val="left"/>
              <w:rPr>
                <w:b/>
                <w:sz w:val="14"/>
              </w:rPr>
            </w:pPr>
          </w:p>
          <w:p>
            <w:pPr>
              <w:pStyle w:val="TableParagraph"/>
              <w:spacing w:before="1"/>
              <w:jc w:val="left"/>
              <w:rPr>
                <w:b/>
                <w:sz w:val="14"/>
              </w:rPr>
            </w:pPr>
          </w:p>
          <w:p>
            <w:pPr>
              <w:pStyle w:val="TableParagraph"/>
              <w:spacing w:before="0"/>
              <w:ind w:right="8"/>
              <w:jc w:val="right"/>
              <w:rPr>
                <w:b/>
                <w:sz w:val="14"/>
              </w:rPr>
            </w:pPr>
            <w:r>
              <w:rPr>
                <w:b/>
                <w:color w:val="231F20"/>
                <w:spacing w:val="-5"/>
                <w:w w:val="90"/>
                <w:sz w:val="14"/>
              </w:rPr>
              <w:t>LPI</w:t>
            </w:r>
          </w:p>
        </w:tc>
        <w:tc>
          <w:tcPr>
            <w:tcW w:w="480" w:type="dxa"/>
            <w:tcBorders>
              <w:bottom w:val="single" w:sz="4" w:space="0" w:color="008FDD"/>
            </w:tcBorders>
          </w:tcPr>
          <w:p>
            <w:pPr>
              <w:pStyle w:val="TableParagraph"/>
              <w:spacing w:before="0"/>
              <w:jc w:val="left"/>
              <w:rPr>
                <w:rFonts w:ascii="Times New Roman"/>
                <w:sz w:val="12"/>
              </w:rPr>
            </w:pPr>
          </w:p>
        </w:tc>
        <w:tc>
          <w:tcPr>
            <w:tcW w:w="582" w:type="dxa"/>
            <w:tcBorders>
              <w:bottom w:val="single" w:sz="4" w:space="0" w:color="008FDD"/>
            </w:tcBorders>
          </w:tcPr>
          <w:p>
            <w:pPr>
              <w:pStyle w:val="TableParagraph"/>
              <w:spacing w:before="0"/>
              <w:jc w:val="left"/>
              <w:rPr>
                <w:rFonts w:ascii="Times New Roman"/>
                <w:sz w:val="12"/>
              </w:rPr>
            </w:pPr>
          </w:p>
        </w:tc>
        <w:tc>
          <w:tcPr>
            <w:tcW w:w="1243" w:type="dxa"/>
            <w:gridSpan w:val="4"/>
          </w:tcPr>
          <w:p>
            <w:pPr>
              <w:pStyle w:val="TableParagraph"/>
              <w:spacing w:before="0"/>
              <w:jc w:val="left"/>
              <w:rPr>
                <w:b/>
                <w:sz w:val="14"/>
              </w:rPr>
            </w:pPr>
          </w:p>
          <w:p>
            <w:pPr>
              <w:pStyle w:val="TableParagraph"/>
              <w:spacing w:before="1"/>
              <w:jc w:val="left"/>
              <w:rPr>
                <w:b/>
                <w:sz w:val="14"/>
              </w:rPr>
            </w:pPr>
          </w:p>
          <w:p>
            <w:pPr>
              <w:pStyle w:val="TableParagraph"/>
              <w:spacing w:before="0"/>
              <w:ind w:left="330"/>
              <w:jc w:val="left"/>
              <w:rPr>
                <w:b/>
                <w:sz w:val="14"/>
              </w:rPr>
            </w:pPr>
            <w:r>
              <w:rPr>
                <w:b/>
                <w:color w:val="231F20"/>
                <w:spacing w:val="-2"/>
                <w:w w:val="90"/>
                <w:sz w:val="14"/>
              </w:rPr>
              <w:t>Customs</w:t>
            </w:r>
          </w:p>
        </w:tc>
        <w:tc>
          <w:tcPr>
            <w:tcW w:w="1163" w:type="dxa"/>
            <w:gridSpan w:val="3"/>
          </w:tcPr>
          <w:p>
            <w:pPr>
              <w:pStyle w:val="TableParagraph"/>
              <w:spacing w:before="0"/>
              <w:jc w:val="left"/>
              <w:rPr>
                <w:b/>
                <w:sz w:val="14"/>
              </w:rPr>
            </w:pPr>
          </w:p>
          <w:p>
            <w:pPr>
              <w:pStyle w:val="TableParagraph"/>
              <w:spacing w:before="1"/>
              <w:jc w:val="left"/>
              <w:rPr>
                <w:b/>
                <w:sz w:val="14"/>
              </w:rPr>
            </w:pPr>
          </w:p>
          <w:p>
            <w:pPr>
              <w:pStyle w:val="TableParagraph"/>
              <w:spacing w:before="0"/>
              <w:ind w:left="97"/>
              <w:jc w:val="left"/>
              <w:rPr>
                <w:b/>
                <w:sz w:val="14"/>
              </w:rPr>
            </w:pPr>
            <w:r>
              <w:rPr>
                <w:b/>
                <w:color w:val="231F20"/>
                <w:spacing w:val="-2"/>
                <w:w w:val="95"/>
                <w:sz w:val="14"/>
              </w:rPr>
              <w:t>Infrastructure</w:t>
            </w:r>
          </w:p>
        </w:tc>
        <w:tc>
          <w:tcPr>
            <w:tcW w:w="1163" w:type="dxa"/>
            <w:gridSpan w:val="3"/>
          </w:tcPr>
          <w:p>
            <w:pPr>
              <w:pStyle w:val="TableParagraph"/>
              <w:spacing w:before="2"/>
              <w:jc w:val="left"/>
              <w:rPr>
                <w:b/>
                <w:sz w:val="14"/>
              </w:rPr>
            </w:pPr>
          </w:p>
          <w:p>
            <w:pPr>
              <w:pStyle w:val="TableParagraph"/>
              <w:spacing w:before="0"/>
              <w:ind w:left="201" w:right="201" w:hanging="69"/>
              <w:jc w:val="left"/>
              <w:rPr>
                <w:b/>
                <w:sz w:val="14"/>
              </w:rPr>
            </w:pPr>
            <w:r>
              <w:rPr>
                <w:b/>
                <w:color w:val="231F20"/>
                <w:spacing w:val="-2"/>
                <w:w w:val="85"/>
                <w:sz w:val="14"/>
              </w:rPr>
              <w:t>International</w:t>
            </w:r>
            <w:r>
              <w:rPr>
                <w:b/>
                <w:color w:val="231F20"/>
                <w:spacing w:val="40"/>
                <w:sz w:val="14"/>
              </w:rPr>
              <w:t> </w:t>
            </w:r>
            <w:r>
              <w:rPr>
                <w:b/>
                <w:color w:val="231F20"/>
                <w:spacing w:val="-2"/>
                <w:w w:val="90"/>
                <w:sz w:val="14"/>
              </w:rPr>
              <w:t>shipments</w:t>
            </w:r>
          </w:p>
        </w:tc>
        <w:tc>
          <w:tcPr>
            <w:tcW w:w="1163" w:type="dxa"/>
            <w:gridSpan w:val="3"/>
          </w:tcPr>
          <w:p>
            <w:pPr>
              <w:pStyle w:val="TableParagraph"/>
              <w:spacing w:before="3"/>
              <w:ind w:left="149" w:right="201" w:firstLine="92"/>
              <w:jc w:val="left"/>
              <w:rPr>
                <w:b/>
                <w:sz w:val="14"/>
              </w:rPr>
            </w:pPr>
            <w:r>
              <w:rPr>
                <w:b/>
                <w:color w:val="231F20"/>
                <w:spacing w:val="-2"/>
                <w:w w:val="95"/>
                <w:sz w:val="14"/>
              </w:rPr>
              <w:t>Logistics</w:t>
            </w:r>
            <w:r>
              <w:rPr>
                <w:b/>
                <w:color w:val="231F20"/>
                <w:spacing w:val="40"/>
                <w:sz w:val="14"/>
              </w:rPr>
              <w:t> </w:t>
            </w:r>
            <w:r>
              <w:rPr>
                <w:b/>
                <w:color w:val="231F20"/>
                <w:spacing w:val="-2"/>
                <w:w w:val="80"/>
                <w:sz w:val="14"/>
              </w:rPr>
              <w:t>competence</w:t>
            </w:r>
            <w:r>
              <w:rPr>
                <w:b/>
                <w:color w:val="231F20"/>
                <w:spacing w:val="40"/>
                <w:sz w:val="14"/>
              </w:rPr>
              <w:t> </w:t>
            </w:r>
            <w:r>
              <w:rPr>
                <w:b/>
                <w:color w:val="231F20"/>
                <w:w w:val="80"/>
                <w:sz w:val="14"/>
              </w:rPr>
              <w:t>and</w:t>
            </w:r>
            <w:r>
              <w:rPr>
                <w:b/>
                <w:color w:val="231F20"/>
                <w:spacing w:val="4"/>
                <w:sz w:val="14"/>
              </w:rPr>
              <w:t> </w:t>
            </w:r>
            <w:r>
              <w:rPr>
                <w:b/>
                <w:color w:val="231F20"/>
                <w:spacing w:val="-2"/>
                <w:w w:val="85"/>
                <w:sz w:val="14"/>
              </w:rPr>
              <w:t>equality</w:t>
            </w:r>
          </w:p>
        </w:tc>
        <w:tc>
          <w:tcPr>
            <w:tcW w:w="1163" w:type="dxa"/>
            <w:gridSpan w:val="3"/>
          </w:tcPr>
          <w:p>
            <w:pPr>
              <w:pStyle w:val="TableParagraph"/>
              <w:spacing w:before="0"/>
              <w:jc w:val="left"/>
              <w:rPr>
                <w:b/>
                <w:sz w:val="14"/>
              </w:rPr>
            </w:pPr>
          </w:p>
          <w:p>
            <w:pPr>
              <w:pStyle w:val="TableParagraph"/>
              <w:spacing w:before="1"/>
              <w:jc w:val="left"/>
              <w:rPr>
                <w:b/>
                <w:sz w:val="14"/>
              </w:rPr>
            </w:pPr>
          </w:p>
          <w:p>
            <w:pPr>
              <w:pStyle w:val="TableParagraph"/>
              <w:spacing w:before="0"/>
              <w:ind w:left="193"/>
              <w:jc w:val="left"/>
              <w:rPr>
                <w:b/>
                <w:sz w:val="14"/>
              </w:rPr>
            </w:pPr>
            <w:r>
              <w:rPr>
                <w:b/>
                <w:color w:val="231F20"/>
                <w:spacing w:val="-2"/>
                <w:w w:val="90"/>
                <w:sz w:val="14"/>
              </w:rPr>
              <w:t>Timeliness</w:t>
            </w:r>
          </w:p>
        </w:tc>
        <w:tc>
          <w:tcPr>
            <w:tcW w:w="1123" w:type="dxa"/>
            <w:gridSpan w:val="2"/>
            <w:tcBorders>
              <w:bottom w:val="single" w:sz="4" w:space="0" w:color="008FDD"/>
            </w:tcBorders>
          </w:tcPr>
          <w:p>
            <w:pPr>
              <w:pStyle w:val="TableParagraph"/>
              <w:spacing w:before="2"/>
              <w:jc w:val="left"/>
              <w:rPr>
                <w:b/>
                <w:sz w:val="14"/>
              </w:rPr>
            </w:pPr>
          </w:p>
          <w:p>
            <w:pPr>
              <w:pStyle w:val="TableParagraph"/>
              <w:spacing w:before="0"/>
              <w:ind w:left="310" w:right="225" w:hanging="169"/>
              <w:jc w:val="left"/>
              <w:rPr>
                <w:b/>
                <w:sz w:val="14"/>
              </w:rPr>
            </w:pPr>
            <w:r>
              <w:rPr>
                <w:b/>
                <w:color w:val="231F20"/>
                <w:w w:val="85"/>
                <w:sz w:val="14"/>
              </w:rPr>
              <w:t>Tracking</w:t>
            </w:r>
            <w:r>
              <w:rPr>
                <w:b/>
                <w:color w:val="231F20"/>
                <w:spacing w:val="-4"/>
                <w:w w:val="85"/>
                <w:sz w:val="14"/>
              </w:rPr>
              <w:t> </w:t>
            </w:r>
            <w:r>
              <w:rPr>
                <w:b/>
                <w:color w:val="231F20"/>
                <w:w w:val="85"/>
                <w:sz w:val="14"/>
              </w:rPr>
              <w:t>and</w:t>
            </w:r>
            <w:r>
              <w:rPr>
                <w:b/>
                <w:color w:val="231F20"/>
                <w:spacing w:val="40"/>
                <w:sz w:val="14"/>
              </w:rPr>
              <w:t> </w:t>
            </w:r>
            <w:r>
              <w:rPr>
                <w:b/>
                <w:color w:val="231F20"/>
                <w:spacing w:val="-2"/>
                <w:w w:val="95"/>
                <w:sz w:val="14"/>
              </w:rPr>
              <w:t>tracing</w:t>
            </w:r>
          </w:p>
        </w:tc>
      </w:tr>
      <w:tr>
        <w:trPr>
          <w:trHeight w:val="406" w:hRule="atLeast"/>
        </w:trPr>
        <w:tc>
          <w:tcPr>
            <w:tcW w:w="990" w:type="dxa"/>
            <w:tcBorders>
              <w:bottom w:val="single" w:sz="4" w:space="0" w:color="008FDD"/>
            </w:tcBorders>
          </w:tcPr>
          <w:p>
            <w:pPr>
              <w:pStyle w:val="TableParagraph"/>
              <w:spacing w:before="39"/>
              <w:jc w:val="left"/>
              <w:rPr>
                <w:b/>
                <w:sz w:val="14"/>
              </w:rPr>
            </w:pPr>
          </w:p>
          <w:p>
            <w:pPr>
              <w:pStyle w:val="TableParagraph"/>
              <w:spacing w:before="0"/>
              <w:ind w:left="80"/>
              <w:jc w:val="left"/>
              <w:rPr>
                <w:b/>
                <w:sz w:val="14"/>
              </w:rPr>
            </w:pPr>
            <w:r>
              <w:rPr>
                <w:b/>
                <w:color w:val="231F20"/>
                <w:spacing w:val="-2"/>
                <w:w w:val="90"/>
                <w:sz w:val="14"/>
              </w:rPr>
              <w:t>Economy</w:t>
            </w:r>
          </w:p>
        </w:tc>
        <w:tc>
          <w:tcPr>
            <w:tcW w:w="622" w:type="dxa"/>
            <w:tcBorders>
              <w:top w:val="single" w:sz="4" w:space="0" w:color="008FDD"/>
              <w:bottom w:val="single" w:sz="4" w:space="0" w:color="008FDD"/>
            </w:tcBorders>
          </w:tcPr>
          <w:p>
            <w:pPr>
              <w:pStyle w:val="TableParagraph"/>
              <w:spacing w:before="43"/>
              <w:ind w:left="160"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644" w:type="dxa"/>
            <w:tcBorders>
              <w:top w:val="single" w:sz="4" w:space="0" w:color="008FDD"/>
              <w:bottom w:val="single" w:sz="4" w:space="0" w:color="008FDD"/>
            </w:tcBorders>
          </w:tcPr>
          <w:p>
            <w:pPr>
              <w:pStyle w:val="TableParagraph"/>
              <w:spacing w:before="42"/>
              <w:jc w:val="left"/>
              <w:rPr>
                <w:b/>
                <w:sz w:val="14"/>
              </w:rPr>
            </w:pPr>
          </w:p>
          <w:p>
            <w:pPr>
              <w:pStyle w:val="TableParagraph"/>
              <w:spacing w:before="0"/>
              <w:ind w:left="86"/>
              <w:jc w:val="left"/>
              <w:rPr>
                <w:b/>
                <w:sz w:val="14"/>
              </w:rPr>
            </w:pPr>
            <w:r>
              <w:rPr>
                <w:b/>
                <w:color w:val="231F20"/>
                <w:spacing w:val="-2"/>
                <w:w w:val="90"/>
                <w:sz w:val="14"/>
              </w:rPr>
              <w:t>Score</w:t>
            </w:r>
          </w:p>
        </w:tc>
        <w:tc>
          <w:tcPr>
            <w:tcW w:w="480" w:type="dxa"/>
            <w:tcBorders>
              <w:top w:val="single" w:sz="4" w:space="0" w:color="008FDD"/>
              <w:bottom w:val="single" w:sz="4" w:space="0" w:color="008FDD"/>
            </w:tcBorders>
          </w:tcPr>
          <w:p>
            <w:pPr>
              <w:pStyle w:val="TableParagraph"/>
              <w:spacing w:before="43"/>
              <w:ind w:left="10" w:right="107" w:firstLine="2"/>
              <w:jc w:val="left"/>
              <w:rPr>
                <w:b/>
                <w:sz w:val="14"/>
              </w:rPr>
            </w:pPr>
            <w:r>
              <w:rPr>
                <w:b/>
                <w:color w:val="231F20"/>
                <w:spacing w:val="-2"/>
                <w:w w:val="85"/>
                <w:sz w:val="14"/>
              </w:rPr>
              <w:t>Lower</w:t>
            </w:r>
            <w:r>
              <w:rPr>
                <w:b/>
                <w:color w:val="231F20"/>
                <w:spacing w:val="40"/>
                <w:sz w:val="14"/>
              </w:rPr>
              <w:t> </w:t>
            </w:r>
            <w:r>
              <w:rPr>
                <w:b/>
                <w:color w:val="231F20"/>
                <w:spacing w:val="-2"/>
                <w:w w:val="80"/>
                <w:sz w:val="14"/>
              </w:rPr>
              <w:t>bound</w:t>
            </w:r>
          </w:p>
        </w:tc>
        <w:tc>
          <w:tcPr>
            <w:tcW w:w="582" w:type="dxa"/>
            <w:tcBorders>
              <w:top w:val="single" w:sz="4" w:space="0" w:color="008FDD"/>
              <w:bottom w:val="single" w:sz="4" w:space="0" w:color="008FDD"/>
            </w:tcBorders>
          </w:tcPr>
          <w:p>
            <w:pPr>
              <w:pStyle w:val="TableParagraph"/>
              <w:spacing w:before="43"/>
              <w:ind w:left="111" w:firstLine="9"/>
              <w:jc w:val="left"/>
              <w:rPr>
                <w:b/>
                <w:sz w:val="14"/>
              </w:rPr>
            </w:pPr>
            <w:r>
              <w:rPr>
                <w:b/>
                <w:color w:val="231F20"/>
                <w:spacing w:val="-2"/>
                <w:w w:val="80"/>
                <w:sz w:val="14"/>
              </w:rPr>
              <w:t>Upper</w:t>
            </w:r>
            <w:r>
              <w:rPr>
                <w:b/>
                <w:color w:val="231F20"/>
                <w:spacing w:val="40"/>
                <w:sz w:val="14"/>
              </w:rPr>
              <w:t> </w:t>
            </w:r>
            <w:r>
              <w:rPr>
                <w:b/>
                <w:color w:val="231F20"/>
                <w:spacing w:val="-2"/>
                <w:w w:val="80"/>
                <w:sz w:val="14"/>
              </w:rPr>
              <w:t>bound</w:t>
            </w:r>
          </w:p>
        </w:tc>
        <w:tc>
          <w:tcPr>
            <w:tcW w:w="80"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b/>
                <w:sz w:val="14"/>
              </w:rPr>
            </w:pPr>
          </w:p>
          <w:p>
            <w:pPr>
              <w:pStyle w:val="TableParagraph"/>
              <w:spacing w:before="0"/>
              <w:ind w:left="8"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198"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b/>
                <w:sz w:val="14"/>
              </w:rPr>
            </w:pPr>
          </w:p>
          <w:p>
            <w:pPr>
              <w:pStyle w:val="TableParagraph"/>
              <w:spacing w:before="0"/>
              <w:ind w:left="10"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199"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b/>
                <w:sz w:val="14"/>
              </w:rPr>
            </w:pPr>
          </w:p>
          <w:p>
            <w:pPr>
              <w:pStyle w:val="TableParagraph"/>
              <w:spacing w:before="0"/>
              <w:ind w:left="11"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200"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b/>
                <w:sz w:val="14"/>
              </w:rPr>
            </w:pPr>
          </w:p>
          <w:p>
            <w:pPr>
              <w:pStyle w:val="TableParagraph"/>
              <w:spacing w:before="0"/>
              <w:ind w:left="13"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200"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b/>
                <w:sz w:val="14"/>
              </w:rPr>
            </w:pPr>
          </w:p>
          <w:p>
            <w:pPr>
              <w:pStyle w:val="TableParagraph"/>
              <w:spacing w:before="0"/>
              <w:ind w:left="14"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201"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8" w:type="dxa"/>
            <w:tcBorders>
              <w:top w:val="single" w:sz="4" w:space="0" w:color="008FDD"/>
              <w:bottom w:val="single" w:sz="4" w:space="0" w:color="008FDD"/>
            </w:tcBorders>
          </w:tcPr>
          <w:p>
            <w:pPr>
              <w:pStyle w:val="TableParagraph"/>
              <w:spacing w:before="39"/>
              <w:jc w:val="left"/>
              <w:rPr>
                <w:b/>
                <w:sz w:val="14"/>
              </w:rPr>
            </w:pPr>
          </w:p>
          <w:p>
            <w:pPr>
              <w:pStyle w:val="TableParagraph"/>
              <w:spacing w:before="0"/>
              <w:ind w:left="8" w:right="45"/>
              <w:rPr>
                <w:b/>
                <w:sz w:val="14"/>
              </w:rPr>
            </w:pPr>
            <w:r>
              <w:rPr>
                <w:b/>
                <w:color w:val="231F20"/>
                <w:spacing w:val="-2"/>
                <w:w w:val="90"/>
                <w:sz w:val="14"/>
              </w:rPr>
              <w:t>Score</w:t>
            </w:r>
          </w:p>
        </w:tc>
        <w:tc>
          <w:tcPr>
            <w:tcW w:w="655" w:type="dxa"/>
            <w:tcBorders>
              <w:top w:val="single" w:sz="4" w:space="0" w:color="008FDD"/>
              <w:bottom w:val="single" w:sz="4" w:space="0" w:color="008FDD"/>
            </w:tcBorders>
          </w:tcPr>
          <w:p>
            <w:pPr>
              <w:pStyle w:val="TableParagraph"/>
              <w:spacing w:before="40"/>
              <w:ind w:left="207"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r>
      <w:tr>
        <w:trPr>
          <w:trHeight w:val="254" w:hRule="atLeast"/>
        </w:trPr>
        <w:tc>
          <w:tcPr>
            <w:tcW w:w="990" w:type="dxa"/>
            <w:tcBorders>
              <w:top w:val="single" w:sz="4" w:space="0" w:color="008FDD"/>
            </w:tcBorders>
            <w:shd w:val="clear" w:color="auto" w:fill="D4E3F5"/>
          </w:tcPr>
          <w:p>
            <w:pPr>
              <w:pStyle w:val="TableParagraph"/>
              <w:spacing w:before="43"/>
              <w:ind w:left="80"/>
              <w:jc w:val="left"/>
              <w:rPr>
                <w:sz w:val="14"/>
              </w:rPr>
            </w:pPr>
            <w:r>
              <w:rPr>
                <w:color w:val="231F20"/>
                <w:spacing w:val="-2"/>
                <w:w w:val="90"/>
                <w:sz w:val="14"/>
              </w:rPr>
              <w:t>Türkiye</w:t>
            </w:r>
          </w:p>
        </w:tc>
        <w:tc>
          <w:tcPr>
            <w:tcW w:w="622" w:type="dxa"/>
            <w:tcBorders>
              <w:top w:val="single" w:sz="4" w:space="0" w:color="008FDD"/>
            </w:tcBorders>
            <w:shd w:val="clear" w:color="auto" w:fill="D4E3F5"/>
          </w:tcPr>
          <w:p>
            <w:pPr>
              <w:pStyle w:val="TableParagraph"/>
              <w:spacing w:before="43"/>
              <w:ind w:left="67" w:right="101"/>
              <w:rPr>
                <w:sz w:val="14"/>
              </w:rPr>
            </w:pPr>
            <w:r>
              <w:rPr>
                <w:color w:val="231F20"/>
                <w:spacing w:val="-5"/>
                <w:w w:val="95"/>
                <w:sz w:val="14"/>
              </w:rPr>
              <w:t>38</w:t>
            </w:r>
          </w:p>
        </w:tc>
        <w:tc>
          <w:tcPr>
            <w:tcW w:w="644" w:type="dxa"/>
            <w:tcBorders>
              <w:top w:val="single" w:sz="4" w:space="0" w:color="008FDD"/>
            </w:tcBorders>
            <w:shd w:val="clear" w:color="auto" w:fill="D4E3F5"/>
          </w:tcPr>
          <w:p>
            <w:pPr>
              <w:pStyle w:val="TableParagraph"/>
              <w:spacing w:before="43"/>
              <w:ind w:left="165"/>
              <w:jc w:val="left"/>
              <w:rPr>
                <w:sz w:val="14"/>
              </w:rPr>
            </w:pPr>
            <w:r>
              <w:rPr>
                <w:color w:val="231F20"/>
                <w:spacing w:val="-5"/>
                <w:w w:val="95"/>
                <w:sz w:val="14"/>
              </w:rPr>
              <w:t>3.4</w:t>
            </w:r>
          </w:p>
        </w:tc>
        <w:tc>
          <w:tcPr>
            <w:tcW w:w="480" w:type="dxa"/>
            <w:tcBorders>
              <w:top w:val="single" w:sz="4" w:space="0" w:color="008FDD"/>
            </w:tcBorders>
            <w:shd w:val="clear" w:color="auto" w:fill="D4E3F5"/>
          </w:tcPr>
          <w:p>
            <w:pPr>
              <w:pStyle w:val="TableParagraph"/>
              <w:spacing w:before="43"/>
              <w:ind w:left="102"/>
              <w:jc w:val="left"/>
              <w:rPr>
                <w:sz w:val="14"/>
              </w:rPr>
            </w:pPr>
            <w:r>
              <w:rPr>
                <w:color w:val="231F20"/>
                <w:spacing w:val="-5"/>
                <w:w w:val="95"/>
                <w:sz w:val="14"/>
              </w:rPr>
              <w:t>3.3</w:t>
            </w:r>
          </w:p>
        </w:tc>
        <w:tc>
          <w:tcPr>
            <w:tcW w:w="582" w:type="dxa"/>
            <w:tcBorders>
              <w:top w:val="single" w:sz="4" w:space="0" w:color="008FDD"/>
            </w:tcBorders>
            <w:shd w:val="clear" w:color="auto" w:fill="D4E3F5"/>
          </w:tcPr>
          <w:p>
            <w:pPr>
              <w:pStyle w:val="TableParagraph"/>
              <w:spacing w:before="43"/>
              <w:ind w:left="7" w:right="6"/>
              <w:rPr>
                <w:sz w:val="14"/>
              </w:rPr>
            </w:pPr>
            <w:r>
              <w:rPr>
                <w:color w:val="231F20"/>
                <w:spacing w:val="-5"/>
                <w:w w:val="95"/>
                <w:sz w:val="14"/>
              </w:rPr>
              <w:t>3.5</w:t>
            </w:r>
          </w:p>
        </w:tc>
        <w:tc>
          <w:tcPr>
            <w:tcW w:w="80" w:type="dxa"/>
            <w:tcBorders>
              <w:top w:val="single" w:sz="4" w:space="0" w:color="008FDD"/>
            </w:tcBorders>
            <w:shd w:val="clear" w:color="auto" w:fill="D4E3F5"/>
          </w:tcPr>
          <w:p>
            <w:pPr>
              <w:pStyle w:val="TableParagraph"/>
              <w:spacing w:before="0"/>
              <w:jc w:val="left"/>
              <w:rPr>
                <w:rFonts w:ascii="Times New Roman"/>
                <w:sz w:val="12"/>
              </w:rPr>
            </w:pPr>
          </w:p>
        </w:tc>
        <w:tc>
          <w:tcPr>
            <w:tcW w:w="463" w:type="dxa"/>
            <w:tcBorders>
              <w:top w:val="single" w:sz="4" w:space="0" w:color="008FDD"/>
            </w:tcBorders>
            <w:shd w:val="clear" w:color="auto" w:fill="D4E3F5"/>
          </w:tcPr>
          <w:p>
            <w:pPr>
              <w:pStyle w:val="TableParagraph"/>
              <w:spacing w:before="43"/>
              <w:ind w:left="10" w:right="48"/>
              <w:rPr>
                <w:sz w:val="14"/>
              </w:rPr>
            </w:pPr>
            <w:r>
              <w:rPr>
                <w:color w:val="231F20"/>
                <w:spacing w:val="-5"/>
                <w:w w:val="95"/>
                <w:sz w:val="14"/>
              </w:rPr>
              <w:t>3.0</w:t>
            </w:r>
          </w:p>
        </w:tc>
        <w:tc>
          <w:tcPr>
            <w:tcW w:w="574" w:type="dxa"/>
            <w:tcBorders>
              <w:top w:val="single" w:sz="4" w:space="0" w:color="008FDD"/>
            </w:tcBorders>
            <w:shd w:val="clear" w:color="auto" w:fill="D4E3F5"/>
          </w:tcPr>
          <w:p>
            <w:pPr>
              <w:pStyle w:val="TableParagraph"/>
              <w:spacing w:before="43"/>
              <w:ind w:left="158" w:right="70"/>
              <w:rPr>
                <w:sz w:val="14"/>
              </w:rPr>
            </w:pPr>
            <w:r>
              <w:rPr>
                <w:color w:val="231F20"/>
                <w:spacing w:val="-5"/>
                <w:w w:val="95"/>
                <w:sz w:val="14"/>
              </w:rPr>
              <w:t>47</w:t>
            </w:r>
          </w:p>
        </w:tc>
        <w:tc>
          <w:tcPr>
            <w:tcW w:w="126" w:type="dxa"/>
            <w:tcBorders>
              <w:top w:val="single" w:sz="4" w:space="0" w:color="008FDD"/>
            </w:tcBorders>
            <w:shd w:val="clear" w:color="auto" w:fill="D4E3F5"/>
          </w:tcPr>
          <w:p>
            <w:pPr>
              <w:pStyle w:val="TableParagraph"/>
              <w:spacing w:before="0"/>
              <w:jc w:val="left"/>
              <w:rPr>
                <w:rFonts w:ascii="Times New Roman"/>
                <w:sz w:val="12"/>
              </w:rPr>
            </w:pPr>
          </w:p>
        </w:tc>
        <w:tc>
          <w:tcPr>
            <w:tcW w:w="463" w:type="dxa"/>
            <w:tcBorders>
              <w:top w:val="single" w:sz="4" w:space="0" w:color="008FDD"/>
            </w:tcBorders>
            <w:shd w:val="clear" w:color="auto" w:fill="D4E3F5"/>
          </w:tcPr>
          <w:p>
            <w:pPr>
              <w:pStyle w:val="TableParagraph"/>
              <w:spacing w:before="43"/>
              <w:ind w:left="10" w:right="48"/>
              <w:rPr>
                <w:sz w:val="14"/>
              </w:rPr>
            </w:pPr>
            <w:r>
              <w:rPr>
                <w:color w:val="231F20"/>
                <w:spacing w:val="-5"/>
                <w:w w:val="95"/>
                <w:sz w:val="14"/>
              </w:rPr>
              <w:t>3.4</w:t>
            </w:r>
          </w:p>
        </w:tc>
        <w:tc>
          <w:tcPr>
            <w:tcW w:w="574" w:type="dxa"/>
            <w:tcBorders>
              <w:top w:val="single" w:sz="4" w:space="0" w:color="008FDD"/>
            </w:tcBorders>
            <w:shd w:val="clear" w:color="auto" w:fill="D4E3F5"/>
          </w:tcPr>
          <w:p>
            <w:pPr>
              <w:pStyle w:val="TableParagraph"/>
              <w:spacing w:before="43"/>
              <w:ind w:left="161" w:right="72"/>
              <w:rPr>
                <w:sz w:val="14"/>
              </w:rPr>
            </w:pPr>
            <w:r>
              <w:rPr>
                <w:color w:val="231F20"/>
                <w:spacing w:val="-5"/>
                <w:w w:val="95"/>
                <w:sz w:val="14"/>
              </w:rPr>
              <w:t>43</w:t>
            </w:r>
          </w:p>
        </w:tc>
        <w:tc>
          <w:tcPr>
            <w:tcW w:w="126" w:type="dxa"/>
            <w:tcBorders>
              <w:top w:val="single" w:sz="4" w:space="0" w:color="008FDD"/>
            </w:tcBorders>
            <w:shd w:val="clear" w:color="auto" w:fill="D4E3F5"/>
          </w:tcPr>
          <w:p>
            <w:pPr>
              <w:pStyle w:val="TableParagraph"/>
              <w:spacing w:before="0"/>
              <w:jc w:val="left"/>
              <w:rPr>
                <w:rFonts w:ascii="Times New Roman"/>
                <w:sz w:val="12"/>
              </w:rPr>
            </w:pPr>
          </w:p>
        </w:tc>
        <w:tc>
          <w:tcPr>
            <w:tcW w:w="463" w:type="dxa"/>
            <w:tcBorders>
              <w:top w:val="single" w:sz="4" w:space="0" w:color="008FDD"/>
            </w:tcBorders>
            <w:shd w:val="clear" w:color="auto" w:fill="D4E3F5"/>
          </w:tcPr>
          <w:p>
            <w:pPr>
              <w:pStyle w:val="TableParagraph"/>
              <w:spacing w:before="43"/>
              <w:ind w:left="11" w:right="48"/>
              <w:rPr>
                <w:sz w:val="14"/>
              </w:rPr>
            </w:pPr>
            <w:r>
              <w:rPr>
                <w:color w:val="231F20"/>
                <w:spacing w:val="-5"/>
                <w:w w:val="95"/>
                <w:sz w:val="14"/>
              </w:rPr>
              <w:t>3.4</w:t>
            </w:r>
          </w:p>
        </w:tc>
        <w:tc>
          <w:tcPr>
            <w:tcW w:w="574" w:type="dxa"/>
            <w:tcBorders>
              <w:top w:val="single" w:sz="4" w:space="0" w:color="008FDD"/>
            </w:tcBorders>
            <w:shd w:val="clear" w:color="auto" w:fill="D4E3F5"/>
          </w:tcPr>
          <w:p>
            <w:pPr>
              <w:pStyle w:val="TableParagraph"/>
              <w:spacing w:before="43"/>
              <w:ind w:left="161" w:right="70"/>
              <w:rPr>
                <w:sz w:val="14"/>
              </w:rPr>
            </w:pPr>
            <w:r>
              <w:rPr>
                <w:color w:val="231F20"/>
                <w:spacing w:val="-5"/>
                <w:w w:val="95"/>
                <w:sz w:val="14"/>
              </w:rPr>
              <w:t>26</w:t>
            </w:r>
          </w:p>
        </w:tc>
        <w:tc>
          <w:tcPr>
            <w:tcW w:w="126" w:type="dxa"/>
            <w:tcBorders>
              <w:top w:val="single" w:sz="4" w:space="0" w:color="008FDD"/>
            </w:tcBorders>
            <w:shd w:val="clear" w:color="auto" w:fill="D4E3F5"/>
          </w:tcPr>
          <w:p>
            <w:pPr>
              <w:pStyle w:val="TableParagraph"/>
              <w:spacing w:before="0"/>
              <w:jc w:val="left"/>
              <w:rPr>
                <w:rFonts w:ascii="Times New Roman"/>
                <w:sz w:val="12"/>
              </w:rPr>
            </w:pPr>
          </w:p>
        </w:tc>
        <w:tc>
          <w:tcPr>
            <w:tcW w:w="463" w:type="dxa"/>
            <w:tcBorders>
              <w:top w:val="single" w:sz="4" w:space="0" w:color="008FDD"/>
            </w:tcBorders>
            <w:shd w:val="clear" w:color="auto" w:fill="D4E3F5"/>
          </w:tcPr>
          <w:p>
            <w:pPr>
              <w:pStyle w:val="TableParagraph"/>
              <w:spacing w:before="43"/>
              <w:ind w:left="15" w:right="48"/>
              <w:rPr>
                <w:sz w:val="14"/>
              </w:rPr>
            </w:pPr>
            <w:r>
              <w:rPr>
                <w:color w:val="231F20"/>
                <w:spacing w:val="-5"/>
                <w:w w:val="95"/>
                <w:sz w:val="14"/>
              </w:rPr>
              <w:t>3.5</w:t>
            </w:r>
          </w:p>
        </w:tc>
        <w:tc>
          <w:tcPr>
            <w:tcW w:w="574" w:type="dxa"/>
            <w:tcBorders>
              <w:top w:val="single" w:sz="4" w:space="0" w:color="008FDD"/>
            </w:tcBorders>
            <w:shd w:val="clear" w:color="auto" w:fill="D4E3F5"/>
          </w:tcPr>
          <w:p>
            <w:pPr>
              <w:pStyle w:val="TableParagraph"/>
              <w:spacing w:before="43"/>
              <w:ind w:left="161" w:right="69"/>
              <w:rPr>
                <w:sz w:val="14"/>
              </w:rPr>
            </w:pPr>
            <w:r>
              <w:rPr>
                <w:color w:val="231F20"/>
                <w:spacing w:val="-5"/>
                <w:w w:val="95"/>
                <w:sz w:val="14"/>
              </w:rPr>
              <w:t>38</w:t>
            </w:r>
          </w:p>
        </w:tc>
        <w:tc>
          <w:tcPr>
            <w:tcW w:w="126" w:type="dxa"/>
            <w:tcBorders>
              <w:top w:val="single" w:sz="4" w:space="0" w:color="008FDD"/>
            </w:tcBorders>
            <w:shd w:val="clear" w:color="auto" w:fill="D4E3F5"/>
          </w:tcPr>
          <w:p>
            <w:pPr>
              <w:pStyle w:val="TableParagraph"/>
              <w:spacing w:before="0"/>
              <w:jc w:val="left"/>
              <w:rPr>
                <w:rFonts w:ascii="Times New Roman"/>
                <w:sz w:val="12"/>
              </w:rPr>
            </w:pPr>
          </w:p>
        </w:tc>
        <w:tc>
          <w:tcPr>
            <w:tcW w:w="463" w:type="dxa"/>
            <w:tcBorders>
              <w:top w:val="single" w:sz="4" w:space="0" w:color="008FDD"/>
            </w:tcBorders>
            <w:shd w:val="clear" w:color="auto" w:fill="D4E3F5"/>
          </w:tcPr>
          <w:p>
            <w:pPr>
              <w:pStyle w:val="TableParagraph"/>
              <w:spacing w:before="43"/>
              <w:ind w:left="16" w:right="48"/>
              <w:rPr>
                <w:sz w:val="14"/>
              </w:rPr>
            </w:pPr>
            <w:r>
              <w:rPr>
                <w:color w:val="231F20"/>
                <w:spacing w:val="-5"/>
                <w:w w:val="95"/>
                <w:sz w:val="14"/>
              </w:rPr>
              <w:t>3.6</w:t>
            </w:r>
          </w:p>
        </w:tc>
        <w:tc>
          <w:tcPr>
            <w:tcW w:w="574" w:type="dxa"/>
            <w:tcBorders>
              <w:top w:val="single" w:sz="4" w:space="0" w:color="008FDD"/>
            </w:tcBorders>
            <w:shd w:val="clear" w:color="auto" w:fill="D4E3F5"/>
          </w:tcPr>
          <w:p>
            <w:pPr>
              <w:pStyle w:val="TableParagraph"/>
              <w:spacing w:before="43"/>
              <w:ind w:left="161" w:right="67"/>
              <w:rPr>
                <w:sz w:val="14"/>
              </w:rPr>
            </w:pPr>
            <w:r>
              <w:rPr>
                <w:color w:val="231F20"/>
                <w:spacing w:val="-5"/>
                <w:w w:val="95"/>
                <w:sz w:val="14"/>
              </w:rPr>
              <w:t>35</w:t>
            </w:r>
          </w:p>
        </w:tc>
        <w:tc>
          <w:tcPr>
            <w:tcW w:w="126" w:type="dxa"/>
            <w:tcBorders>
              <w:top w:val="single" w:sz="4" w:space="0" w:color="008FDD"/>
            </w:tcBorders>
            <w:shd w:val="clear" w:color="auto" w:fill="D4E3F5"/>
          </w:tcPr>
          <w:p>
            <w:pPr>
              <w:pStyle w:val="TableParagraph"/>
              <w:spacing w:before="0"/>
              <w:jc w:val="left"/>
              <w:rPr>
                <w:rFonts w:ascii="Times New Roman"/>
                <w:sz w:val="12"/>
              </w:rPr>
            </w:pPr>
          </w:p>
        </w:tc>
        <w:tc>
          <w:tcPr>
            <w:tcW w:w="468" w:type="dxa"/>
            <w:tcBorders>
              <w:top w:val="single" w:sz="4" w:space="0" w:color="008FDD"/>
            </w:tcBorders>
            <w:shd w:val="clear" w:color="auto" w:fill="D4E3F5"/>
          </w:tcPr>
          <w:p>
            <w:pPr>
              <w:pStyle w:val="TableParagraph"/>
              <w:spacing w:before="43"/>
              <w:ind w:left="10" w:right="45"/>
              <w:rPr>
                <w:sz w:val="14"/>
              </w:rPr>
            </w:pPr>
            <w:r>
              <w:rPr>
                <w:color w:val="231F20"/>
                <w:spacing w:val="-5"/>
                <w:w w:val="95"/>
                <w:sz w:val="14"/>
              </w:rPr>
              <w:t>3.5</w:t>
            </w:r>
          </w:p>
        </w:tc>
        <w:tc>
          <w:tcPr>
            <w:tcW w:w="655" w:type="dxa"/>
            <w:tcBorders>
              <w:top w:val="single" w:sz="4" w:space="0" w:color="008FDD"/>
            </w:tcBorders>
            <w:shd w:val="clear" w:color="auto" w:fill="D4E3F5"/>
          </w:tcPr>
          <w:p>
            <w:pPr>
              <w:pStyle w:val="TableParagraph"/>
              <w:spacing w:before="43"/>
              <w:ind w:left="72" w:right="68"/>
              <w:rPr>
                <w:sz w:val="14"/>
              </w:rPr>
            </w:pPr>
            <w:r>
              <w:rPr>
                <w:color w:val="231F20"/>
                <w:spacing w:val="-5"/>
                <w:w w:val="95"/>
                <w:sz w:val="14"/>
              </w:rPr>
              <w:t>37</w:t>
            </w:r>
          </w:p>
        </w:tc>
      </w:tr>
      <w:tr>
        <w:trPr>
          <w:trHeight w:val="259" w:hRule="atLeast"/>
        </w:trPr>
        <w:tc>
          <w:tcPr>
            <w:tcW w:w="990" w:type="dxa"/>
          </w:tcPr>
          <w:p>
            <w:pPr>
              <w:pStyle w:val="TableParagraph"/>
              <w:ind w:left="80"/>
              <w:jc w:val="left"/>
              <w:rPr>
                <w:sz w:val="14"/>
              </w:rPr>
            </w:pPr>
            <w:r>
              <w:rPr>
                <w:color w:val="231F20"/>
                <w:spacing w:val="-2"/>
                <w:w w:val="90"/>
                <w:sz w:val="14"/>
              </w:rPr>
              <w:t>Croatia</w:t>
            </w:r>
          </w:p>
        </w:tc>
        <w:tc>
          <w:tcPr>
            <w:tcW w:w="622" w:type="dxa"/>
          </w:tcPr>
          <w:p>
            <w:pPr>
              <w:pStyle w:val="TableParagraph"/>
              <w:ind w:left="67" w:right="101"/>
              <w:rPr>
                <w:sz w:val="14"/>
              </w:rPr>
            </w:pPr>
            <w:r>
              <w:rPr>
                <w:color w:val="231F20"/>
                <w:spacing w:val="-5"/>
                <w:w w:val="95"/>
                <w:sz w:val="14"/>
              </w:rPr>
              <w:t>43</w:t>
            </w:r>
          </w:p>
        </w:tc>
        <w:tc>
          <w:tcPr>
            <w:tcW w:w="644" w:type="dxa"/>
          </w:tcPr>
          <w:p>
            <w:pPr>
              <w:pStyle w:val="TableParagraph"/>
              <w:ind w:left="164"/>
              <w:jc w:val="left"/>
              <w:rPr>
                <w:sz w:val="14"/>
              </w:rPr>
            </w:pPr>
            <w:r>
              <w:rPr>
                <w:color w:val="231F20"/>
                <w:spacing w:val="-5"/>
                <w:w w:val="95"/>
                <w:sz w:val="14"/>
              </w:rPr>
              <w:t>3.3</w:t>
            </w:r>
          </w:p>
        </w:tc>
        <w:tc>
          <w:tcPr>
            <w:tcW w:w="480" w:type="dxa"/>
          </w:tcPr>
          <w:p>
            <w:pPr>
              <w:pStyle w:val="TableParagraph"/>
              <w:ind w:left="103"/>
              <w:jc w:val="left"/>
              <w:rPr>
                <w:sz w:val="14"/>
              </w:rPr>
            </w:pPr>
            <w:r>
              <w:rPr>
                <w:color w:val="231F20"/>
                <w:spacing w:val="-5"/>
                <w:w w:val="95"/>
                <w:sz w:val="14"/>
              </w:rPr>
              <w:t>3.0</w:t>
            </w:r>
          </w:p>
        </w:tc>
        <w:tc>
          <w:tcPr>
            <w:tcW w:w="582" w:type="dxa"/>
          </w:tcPr>
          <w:p>
            <w:pPr>
              <w:pStyle w:val="TableParagraph"/>
              <w:ind w:left="6" w:right="6"/>
              <w:rPr>
                <w:sz w:val="14"/>
              </w:rPr>
            </w:pPr>
            <w:r>
              <w:rPr>
                <w:color w:val="231F20"/>
                <w:spacing w:val="-5"/>
                <w:w w:val="95"/>
                <w:sz w:val="14"/>
              </w:rPr>
              <w:t>3.6</w:t>
            </w:r>
          </w:p>
        </w:tc>
        <w:tc>
          <w:tcPr>
            <w:tcW w:w="80"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3.0</w:t>
            </w:r>
          </w:p>
        </w:tc>
        <w:tc>
          <w:tcPr>
            <w:tcW w:w="574" w:type="dxa"/>
          </w:tcPr>
          <w:p>
            <w:pPr>
              <w:pStyle w:val="TableParagraph"/>
              <w:ind w:left="158" w:right="70"/>
              <w:rPr>
                <w:sz w:val="14"/>
              </w:rPr>
            </w:pPr>
            <w:r>
              <w:rPr>
                <w:color w:val="231F20"/>
                <w:spacing w:val="-5"/>
                <w:w w:val="95"/>
                <w:sz w:val="14"/>
              </w:rPr>
              <w:t>47</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3.0</w:t>
            </w:r>
          </w:p>
        </w:tc>
        <w:tc>
          <w:tcPr>
            <w:tcW w:w="574" w:type="dxa"/>
          </w:tcPr>
          <w:p>
            <w:pPr>
              <w:pStyle w:val="TableParagraph"/>
              <w:ind w:left="161" w:right="72"/>
              <w:rPr>
                <w:sz w:val="14"/>
              </w:rPr>
            </w:pPr>
            <w:r>
              <w:rPr>
                <w:color w:val="231F20"/>
                <w:spacing w:val="-5"/>
                <w:w w:val="95"/>
                <w:sz w:val="14"/>
              </w:rPr>
              <w:t>55</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3.6</w:t>
            </w:r>
          </w:p>
        </w:tc>
        <w:tc>
          <w:tcPr>
            <w:tcW w:w="574" w:type="dxa"/>
          </w:tcPr>
          <w:p>
            <w:pPr>
              <w:pStyle w:val="TableParagraph"/>
              <w:ind w:left="161" w:right="70"/>
              <w:rPr>
                <w:sz w:val="14"/>
              </w:rPr>
            </w:pPr>
            <w:r>
              <w:rPr>
                <w:color w:val="231F20"/>
                <w:spacing w:val="-5"/>
                <w:w w:val="95"/>
                <w:sz w:val="14"/>
              </w:rPr>
              <w:t>14</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3.4</w:t>
            </w:r>
          </w:p>
        </w:tc>
        <w:tc>
          <w:tcPr>
            <w:tcW w:w="574" w:type="dxa"/>
          </w:tcPr>
          <w:p>
            <w:pPr>
              <w:pStyle w:val="TableParagraph"/>
              <w:ind w:left="161" w:right="69"/>
              <w:rPr>
                <w:sz w:val="14"/>
              </w:rPr>
            </w:pPr>
            <w:r>
              <w:rPr>
                <w:color w:val="231F20"/>
                <w:spacing w:val="-5"/>
                <w:w w:val="95"/>
                <w:sz w:val="14"/>
              </w:rPr>
              <w:t>42</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3.2</w:t>
            </w:r>
          </w:p>
        </w:tc>
        <w:tc>
          <w:tcPr>
            <w:tcW w:w="574" w:type="dxa"/>
          </w:tcPr>
          <w:p>
            <w:pPr>
              <w:pStyle w:val="TableParagraph"/>
              <w:ind w:left="161" w:right="67"/>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3.4</w:t>
            </w:r>
          </w:p>
        </w:tc>
        <w:tc>
          <w:tcPr>
            <w:tcW w:w="655" w:type="dxa"/>
          </w:tcPr>
          <w:p>
            <w:pPr>
              <w:pStyle w:val="TableParagraph"/>
              <w:ind w:left="72" w:right="68"/>
              <w:rPr>
                <w:sz w:val="14"/>
              </w:rPr>
            </w:pPr>
            <w:r>
              <w:rPr>
                <w:color w:val="231F20"/>
                <w:spacing w:val="-5"/>
                <w:w w:val="95"/>
                <w:sz w:val="14"/>
              </w:rPr>
              <w:t>41</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Czechia</w:t>
            </w:r>
          </w:p>
        </w:tc>
        <w:tc>
          <w:tcPr>
            <w:tcW w:w="622" w:type="dxa"/>
            <w:shd w:val="clear" w:color="auto" w:fill="D4E3F5"/>
          </w:tcPr>
          <w:p>
            <w:pPr>
              <w:pStyle w:val="TableParagraph"/>
              <w:ind w:left="67" w:right="101"/>
              <w:rPr>
                <w:sz w:val="14"/>
              </w:rPr>
            </w:pPr>
            <w:r>
              <w:rPr>
                <w:color w:val="231F20"/>
                <w:spacing w:val="-5"/>
                <w:w w:val="95"/>
                <w:sz w:val="14"/>
              </w:rPr>
              <w:t>43</w:t>
            </w:r>
          </w:p>
        </w:tc>
        <w:tc>
          <w:tcPr>
            <w:tcW w:w="644" w:type="dxa"/>
            <w:shd w:val="clear" w:color="auto" w:fill="D4E3F5"/>
          </w:tcPr>
          <w:p>
            <w:pPr>
              <w:pStyle w:val="TableParagraph"/>
              <w:ind w:left="164"/>
              <w:jc w:val="left"/>
              <w:rPr>
                <w:sz w:val="14"/>
              </w:rPr>
            </w:pPr>
            <w:r>
              <w:rPr>
                <w:color w:val="231F20"/>
                <w:spacing w:val="-5"/>
                <w:w w:val="95"/>
                <w:sz w:val="14"/>
              </w:rPr>
              <w:t>3.3</w:t>
            </w:r>
          </w:p>
        </w:tc>
        <w:tc>
          <w:tcPr>
            <w:tcW w:w="480" w:type="dxa"/>
            <w:shd w:val="clear" w:color="auto" w:fill="D4E3F5"/>
          </w:tcPr>
          <w:p>
            <w:pPr>
              <w:pStyle w:val="TableParagraph"/>
              <w:ind w:left="103"/>
              <w:jc w:val="left"/>
              <w:rPr>
                <w:sz w:val="14"/>
              </w:rPr>
            </w:pPr>
            <w:r>
              <w:rPr>
                <w:color w:val="231F20"/>
                <w:spacing w:val="-5"/>
                <w:w w:val="95"/>
                <w:sz w:val="14"/>
              </w:rPr>
              <w:t>3.0</w:t>
            </w:r>
          </w:p>
        </w:tc>
        <w:tc>
          <w:tcPr>
            <w:tcW w:w="582" w:type="dxa"/>
            <w:shd w:val="clear" w:color="auto" w:fill="D4E3F5"/>
          </w:tcPr>
          <w:p>
            <w:pPr>
              <w:pStyle w:val="TableParagraph"/>
              <w:ind w:left="6" w:right="6"/>
              <w:rPr>
                <w:sz w:val="14"/>
              </w:rPr>
            </w:pPr>
            <w:r>
              <w:rPr>
                <w:color w:val="231F20"/>
                <w:spacing w:val="-5"/>
                <w:w w:val="95"/>
                <w:sz w:val="14"/>
              </w:rPr>
              <w:t>3.6</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3.0</w:t>
            </w:r>
          </w:p>
        </w:tc>
        <w:tc>
          <w:tcPr>
            <w:tcW w:w="574" w:type="dxa"/>
            <w:shd w:val="clear" w:color="auto" w:fill="D4E3F5"/>
          </w:tcPr>
          <w:p>
            <w:pPr>
              <w:pStyle w:val="TableParagraph"/>
              <w:ind w:left="158" w:right="70"/>
              <w:rPr>
                <w:sz w:val="14"/>
              </w:rPr>
            </w:pPr>
            <w:r>
              <w:rPr>
                <w:color w:val="231F20"/>
                <w:spacing w:val="-5"/>
                <w:w w:val="95"/>
                <w:sz w:val="14"/>
              </w:rPr>
              <w:t>47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3.0</w:t>
            </w:r>
          </w:p>
        </w:tc>
        <w:tc>
          <w:tcPr>
            <w:tcW w:w="574" w:type="dxa"/>
            <w:shd w:val="clear" w:color="auto" w:fill="D4E3F5"/>
          </w:tcPr>
          <w:p>
            <w:pPr>
              <w:pStyle w:val="TableParagraph"/>
              <w:ind w:left="161" w:right="72"/>
              <w:rPr>
                <w:sz w:val="14"/>
              </w:rPr>
            </w:pPr>
            <w:r>
              <w:rPr>
                <w:color w:val="231F20"/>
                <w:spacing w:val="-5"/>
                <w:w w:val="95"/>
                <w:sz w:val="14"/>
              </w:rPr>
              <w:t>55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3.4</w:t>
            </w:r>
          </w:p>
        </w:tc>
        <w:tc>
          <w:tcPr>
            <w:tcW w:w="574" w:type="dxa"/>
            <w:shd w:val="clear" w:color="auto" w:fill="D4E3F5"/>
          </w:tcPr>
          <w:p>
            <w:pPr>
              <w:pStyle w:val="TableParagraph"/>
              <w:ind w:left="161" w:right="70"/>
              <w:rPr>
                <w:sz w:val="14"/>
              </w:rPr>
            </w:pPr>
            <w:r>
              <w:rPr>
                <w:color w:val="231F20"/>
                <w:spacing w:val="-5"/>
                <w:w w:val="95"/>
                <w:sz w:val="14"/>
              </w:rPr>
              <w:t>26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3.6</w:t>
            </w:r>
          </w:p>
        </w:tc>
        <w:tc>
          <w:tcPr>
            <w:tcW w:w="574" w:type="dxa"/>
            <w:shd w:val="clear" w:color="auto" w:fill="D4E3F5"/>
          </w:tcPr>
          <w:p>
            <w:pPr>
              <w:pStyle w:val="TableParagraph"/>
              <w:ind w:left="161" w:right="69"/>
              <w:rPr>
                <w:sz w:val="14"/>
              </w:rPr>
            </w:pPr>
            <w:r>
              <w:rPr>
                <w:color w:val="231F20"/>
                <w:spacing w:val="-5"/>
                <w:w w:val="95"/>
                <w:sz w:val="14"/>
              </w:rPr>
              <w:t>33</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3.7</w:t>
            </w:r>
          </w:p>
        </w:tc>
        <w:tc>
          <w:tcPr>
            <w:tcW w:w="574" w:type="dxa"/>
            <w:shd w:val="clear" w:color="auto" w:fill="D4E3F5"/>
          </w:tcPr>
          <w:p>
            <w:pPr>
              <w:pStyle w:val="TableParagraph"/>
              <w:ind w:left="161" w:right="67"/>
              <w:rPr>
                <w:sz w:val="14"/>
              </w:rPr>
            </w:pPr>
            <w:r>
              <w:rPr>
                <w:color w:val="231F20"/>
                <w:spacing w:val="-5"/>
                <w:w w:val="95"/>
                <w:sz w:val="14"/>
              </w:rPr>
              <w:t>30</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3.2</w:t>
            </w:r>
          </w:p>
        </w:tc>
        <w:tc>
          <w:tcPr>
            <w:tcW w:w="655" w:type="dxa"/>
            <w:shd w:val="clear" w:color="auto" w:fill="D4E3F5"/>
          </w:tcPr>
          <w:p>
            <w:pPr>
              <w:pStyle w:val="TableParagraph"/>
              <w:ind w:left="72" w:right="68"/>
              <w:rPr>
                <w:sz w:val="14"/>
              </w:rPr>
            </w:pPr>
            <w:r>
              <w:rPr>
                <w:color w:val="231F20"/>
                <w:spacing w:val="-5"/>
                <w:w w:val="95"/>
                <w:sz w:val="14"/>
              </w:rPr>
              <w:t>54</w:t>
            </w:r>
          </w:p>
        </w:tc>
      </w:tr>
      <w:tr>
        <w:trPr>
          <w:trHeight w:val="259" w:hRule="atLeast"/>
        </w:trPr>
        <w:tc>
          <w:tcPr>
            <w:tcW w:w="990" w:type="dxa"/>
          </w:tcPr>
          <w:p>
            <w:pPr>
              <w:pStyle w:val="TableParagraph"/>
              <w:ind w:left="80"/>
              <w:jc w:val="left"/>
              <w:rPr>
                <w:sz w:val="14"/>
              </w:rPr>
            </w:pPr>
            <w:r>
              <w:rPr>
                <w:color w:val="231F20"/>
                <w:spacing w:val="-2"/>
                <w:w w:val="90"/>
                <w:sz w:val="14"/>
              </w:rPr>
              <w:t>Malta</w:t>
            </w:r>
          </w:p>
        </w:tc>
        <w:tc>
          <w:tcPr>
            <w:tcW w:w="622" w:type="dxa"/>
          </w:tcPr>
          <w:p>
            <w:pPr>
              <w:pStyle w:val="TableParagraph"/>
              <w:ind w:left="67" w:right="101"/>
              <w:rPr>
                <w:sz w:val="14"/>
              </w:rPr>
            </w:pPr>
            <w:r>
              <w:rPr>
                <w:color w:val="231F20"/>
                <w:spacing w:val="-5"/>
                <w:w w:val="95"/>
                <w:sz w:val="14"/>
              </w:rPr>
              <w:t>43</w:t>
            </w:r>
          </w:p>
        </w:tc>
        <w:tc>
          <w:tcPr>
            <w:tcW w:w="644" w:type="dxa"/>
          </w:tcPr>
          <w:p>
            <w:pPr>
              <w:pStyle w:val="TableParagraph"/>
              <w:ind w:left="164"/>
              <w:jc w:val="left"/>
              <w:rPr>
                <w:sz w:val="14"/>
              </w:rPr>
            </w:pPr>
            <w:r>
              <w:rPr>
                <w:color w:val="231F20"/>
                <w:spacing w:val="-5"/>
                <w:w w:val="95"/>
                <w:sz w:val="14"/>
              </w:rPr>
              <w:t>3.3</w:t>
            </w:r>
          </w:p>
        </w:tc>
        <w:tc>
          <w:tcPr>
            <w:tcW w:w="480" w:type="dxa"/>
          </w:tcPr>
          <w:p>
            <w:pPr>
              <w:pStyle w:val="TableParagraph"/>
              <w:ind w:left="103"/>
              <w:jc w:val="left"/>
              <w:rPr>
                <w:sz w:val="14"/>
              </w:rPr>
            </w:pPr>
            <w:r>
              <w:rPr>
                <w:color w:val="231F20"/>
                <w:spacing w:val="-5"/>
                <w:w w:val="95"/>
                <w:sz w:val="14"/>
              </w:rPr>
              <w:t>3.0</w:t>
            </w:r>
          </w:p>
        </w:tc>
        <w:tc>
          <w:tcPr>
            <w:tcW w:w="582" w:type="dxa"/>
          </w:tcPr>
          <w:p>
            <w:pPr>
              <w:pStyle w:val="TableParagraph"/>
              <w:ind w:left="6" w:right="6"/>
              <w:rPr>
                <w:sz w:val="14"/>
              </w:rPr>
            </w:pPr>
            <w:r>
              <w:rPr>
                <w:color w:val="231F20"/>
                <w:spacing w:val="-5"/>
                <w:w w:val="95"/>
                <w:sz w:val="14"/>
              </w:rPr>
              <w:t>3.6</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3.4</w:t>
            </w:r>
          </w:p>
        </w:tc>
        <w:tc>
          <w:tcPr>
            <w:tcW w:w="574" w:type="dxa"/>
          </w:tcPr>
          <w:p>
            <w:pPr>
              <w:pStyle w:val="TableParagraph"/>
              <w:ind w:left="158" w:right="70"/>
              <w:rPr>
                <w:sz w:val="14"/>
              </w:rPr>
            </w:pPr>
            <w:r>
              <w:rPr>
                <w:color w:val="231F20"/>
                <w:spacing w:val="-5"/>
                <w:w w:val="95"/>
                <w:sz w:val="14"/>
              </w:rPr>
              <w:t>24</w:t>
            </w:r>
          </w:p>
        </w:tc>
        <w:tc>
          <w:tcPr>
            <w:tcW w:w="126"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3.7</w:t>
            </w:r>
          </w:p>
        </w:tc>
        <w:tc>
          <w:tcPr>
            <w:tcW w:w="574" w:type="dxa"/>
          </w:tcPr>
          <w:p>
            <w:pPr>
              <w:pStyle w:val="TableParagraph"/>
              <w:ind w:left="161" w:right="72"/>
              <w:rPr>
                <w:sz w:val="14"/>
              </w:rPr>
            </w:pPr>
            <w:r>
              <w:rPr>
                <w:color w:val="231F20"/>
                <w:spacing w:val="-5"/>
                <w:w w:val="95"/>
                <w:sz w:val="14"/>
              </w:rPr>
              <w:t>25</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3.0</w:t>
            </w:r>
          </w:p>
        </w:tc>
        <w:tc>
          <w:tcPr>
            <w:tcW w:w="574" w:type="dxa"/>
          </w:tcPr>
          <w:p>
            <w:pPr>
              <w:pStyle w:val="TableParagraph"/>
              <w:ind w:left="161" w:right="70"/>
              <w:rPr>
                <w:sz w:val="14"/>
              </w:rPr>
            </w:pPr>
            <w:r>
              <w:rPr>
                <w:color w:val="231F20"/>
                <w:spacing w:val="-5"/>
                <w:w w:val="95"/>
                <w:sz w:val="14"/>
              </w:rPr>
              <w:t>57</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3.4</w:t>
            </w:r>
          </w:p>
        </w:tc>
        <w:tc>
          <w:tcPr>
            <w:tcW w:w="574" w:type="dxa"/>
          </w:tcPr>
          <w:p>
            <w:pPr>
              <w:pStyle w:val="TableParagraph"/>
              <w:ind w:left="161" w:right="69"/>
              <w:rPr>
                <w:sz w:val="14"/>
              </w:rPr>
            </w:pPr>
            <w:r>
              <w:rPr>
                <w:color w:val="231F20"/>
                <w:spacing w:val="-5"/>
                <w:w w:val="95"/>
                <w:sz w:val="14"/>
              </w:rPr>
              <w:t>42</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3.2</w:t>
            </w:r>
          </w:p>
        </w:tc>
        <w:tc>
          <w:tcPr>
            <w:tcW w:w="574" w:type="dxa"/>
          </w:tcPr>
          <w:p>
            <w:pPr>
              <w:pStyle w:val="TableParagraph"/>
              <w:ind w:left="161" w:right="67"/>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3.4</w:t>
            </w:r>
          </w:p>
        </w:tc>
        <w:tc>
          <w:tcPr>
            <w:tcW w:w="655" w:type="dxa"/>
          </w:tcPr>
          <w:p>
            <w:pPr>
              <w:pStyle w:val="TableParagraph"/>
              <w:ind w:left="72" w:right="68"/>
              <w:rPr>
                <w:sz w:val="14"/>
              </w:rPr>
            </w:pPr>
            <w:r>
              <w:rPr>
                <w:color w:val="231F20"/>
                <w:spacing w:val="-5"/>
                <w:w w:val="95"/>
                <w:sz w:val="14"/>
              </w:rPr>
              <w:t>41</w:t>
            </w:r>
          </w:p>
        </w:tc>
      </w:tr>
      <w:tr>
        <w:trPr>
          <w:trHeight w:val="259" w:hRule="atLeast"/>
        </w:trPr>
        <w:tc>
          <w:tcPr>
            <w:tcW w:w="990" w:type="dxa"/>
            <w:shd w:val="clear" w:color="auto" w:fill="D4E3F5"/>
          </w:tcPr>
          <w:p>
            <w:pPr>
              <w:pStyle w:val="TableParagraph"/>
              <w:ind w:left="80"/>
              <w:jc w:val="left"/>
              <w:rPr>
                <w:sz w:val="14"/>
              </w:rPr>
            </w:pPr>
            <w:r>
              <w:rPr>
                <w:color w:val="231F20"/>
                <w:spacing w:val="-4"/>
                <w:w w:val="90"/>
                <w:sz w:val="14"/>
              </w:rPr>
              <w:t>Oman</w:t>
            </w:r>
          </w:p>
        </w:tc>
        <w:tc>
          <w:tcPr>
            <w:tcW w:w="622" w:type="dxa"/>
            <w:shd w:val="clear" w:color="auto" w:fill="D4E3F5"/>
          </w:tcPr>
          <w:p>
            <w:pPr>
              <w:pStyle w:val="TableParagraph"/>
              <w:ind w:left="67" w:right="101"/>
              <w:rPr>
                <w:sz w:val="14"/>
              </w:rPr>
            </w:pPr>
            <w:r>
              <w:rPr>
                <w:color w:val="231F20"/>
                <w:spacing w:val="-5"/>
                <w:w w:val="95"/>
                <w:sz w:val="14"/>
              </w:rPr>
              <w:t>43</w:t>
            </w:r>
          </w:p>
        </w:tc>
        <w:tc>
          <w:tcPr>
            <w:tcW w:w="644" w:type="dxa"/>
            <w:shd w:val="clear" w:color="auto" w:fill="D4E3F5"/>
          </w:tcPr>
          <w:p>
            <w:pPr>
              <w:pStyle w:val="TableParagraph"/>
              <w:ind w:left="164"/>
              <w:jc w:val="left"/>
              <w:rPr>
                <w:sz w:val="14"/>
              </w:rPr>
            </w:pPr>
            <w:r>
              <w:rPr>
                <w:color w:val="231F20"/>
                <w:spacing w:val="-5"/>
                <w:w w:val="95"/>
                <w:sz w:val="14"/>
              </w:rPr>
              <w:t>3.3</w:t>
            </w:r>
          </w:p>
        </w:tc>
        <w:tc>
          <w:tcPr>
            <w:tcW w:w="480" w:type="dxa"/>
            <w:shd w:val="clear" w:color="auto" w:fill="D4E3F5"/>
          </w:tcPr>
          <w:p>
            <w:pPr>
              <w:pStyle w:val="TableParagraph"/>
              <w:ind w:left="107"/>
              <w:jc w:val="left"/>
              <w:rPr>
                <w:sz w:val="14"/>
              </w:rPr>
            </w:pPr>
            <w:r>
              <w:rPr>
                <w:color w:val="231F20"/>
                <w:spacing w:val="-5"/>
                <w:w w:val="95"/>
                <w:sz w:val="14"/>
              </w:rPr>
              <w:t>3.1</w:t>
            </w:r>
          </w:p>
        </w:tc>
        <w:tc>
          <w:tcPr>
            <w:tcW w:w="582" w:type="dxa"/>
            <w:shd w:val="clear" w:color="auto" w:fill="D4E3F5"/>
          </w:tcPr>
          <w:p>
            <w:pPr>
              <w:pStyle w:val="TableParagraph"/>
              <w:ind w:left="7" w:right="6"/>
              <w:rPr>
                <w:sz w:val="14"/>
              </w:rPr>
            </w:pPr>
            <w:r>
              <w:rPr>
                <w:color w:val="231F20"/>
                <w:spacing w:val="-5"/>
                <w:w w:val="95"/>
                <w:sz w:val="14"/>
              </w:rPr>
              <w:t>3.5</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3.0</w:t>
            </w:r>
          </w:p>
        </w:tc>
        <w:tc>
          <w:tcPr>
            <w:tcW w:w="574" w:type="dxa"/>
            <w:shd w:val="clear" w:color="auto" w:fill="D4E3F5"/>
          </w:tcPr>
          <w:p>
            <w:pPr>
              <w:pStyle w:val="TableParagraph"/>
              <w:ind w:left="158" w:right="70"/>
              <w:rPr>
                <w:sz w:val="14"/>
              </w:rPr>
            </w:pPr>
            <w:r>
              <w:rPr>
                <w:color w:val="231F20"/>
                <w:spacing w:val="-5"/>
                <w:w w:val="95"/>
                <w:sz w:val="14"/>
              </w:rPr>
              <w:t>47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3.2</w:t>
            </w:r>
          </w:p>
        </w:tc>
        <w:tc>
          <w:tcPr>
            <w:tcW w:w="574" w:type="dxa"/>
            <w:shd w:val="clear" w:color="auto" w:fill="D4E3F5"/>
          </w:tcPr>
          <w:p>
            <w:pPr>
              <w:pStyle w:val="TableParagraph"/>
              <w:ind w:left="161" w:right="72"/>
              <w:rPr>
                <w:sz w:val="14"/>
              </w:rPr>
            </w:pPr>
            <w:r>
              <w:rPr>
                <w:color w:val="231F20"/>
                <w:spacing w:val="-5"/>
                <w:w w:val="95"/>
                <w:sz w:val="14"/>
              </w:rPr>
              <w:t>47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3.4</w:t>
            </w:r>
          </w:p>
        </w:tc>
        <w:tc>
          <w:tcPr>
            <w:tcW w:w="574" w:type="dxa"/>
            <w:shd w:val="clear" w:color="auto" w:fill="D4E3F5"/>
          </w:tcPr>
          <w:p>
            <w:pPr>
              <w:pStyle w:val="TableParagraph"/>
              <w:ind w:left="161" w:right="70"/>
              <w:rPr>
                <w:sz w:val="14"/>
              </w:rPr>
            </w:pPr>
            <w:r>
              <w:rPr>
                <w:color w:val="231F20"/>
                <w:spacing w:val="-5"/>
                <w:w w:val="95"/>
                <w:sz w:val="14"/>
              </w:rPr>
              <w:t>26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3.2</w:t>
            </w:r>
          </w:p>
        </w:tc>
        <w:tc>
          <w:tcPr>
            <w:tcW w:w="574" w:type="dxa"/>
            <w:shd w:val="clear" w:color="auto" w:fill="D4E3F5"/>
          </w:tcPr>
          <w:p>
            <w:pPr>
              <w:pStyle w:val="TableParagraph"/>
              <w:ind w:left="161" w:right="69"/>
              <w:rPr>
                <w:sz w:val="14"/>
              </w:rPr>
            </w:pPr>
            <w:r>
              <w:rPr>
                <w:color w:val="231F20"/>
                <w:spacing w:val="-5"/>
                <w:w w:val="95"/>
                <w:sz w:val="14"/>
              </w:rPr>
              <w:t>53</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6" w:right="48"/>
              <w:rPr>
                <w:sz w:val="14"/>
              </w:rPr>
            </w:pPr>
            <w:r>
              <w:rPr>
                <w:color w:val="231F20"/>
                <w:spacing w:val="-5"/>
                <w:w w:val="95"/>
                <w:sz w:val="14"/>
              </w:rPr>
              <w:t>3.1</w:t>
            </w:r>
          </w:p>
        </w:tc>
        <w:tc>
          <w:tcPr>
            <w:tcW w:w="574" w:type="dxa"/>
            <w:shd w:val="clear" w:color="auto" w:fill="D4E3F5"/>
          </w:tcPr>
          <w:p>
            <w:pPr>
              <w:pStyle w:val="TableParagraph"/>
              <w:ind w:left="161" w:right="67"/>
              <w:rPr>
                <w:sz w:val="14"/>
              </w:rPr>
            </w:pPr>
            <w:r>
              <w:rPr>
                <w:color w:val="231F20"/>
                <w:spacing w:val="-5"/>
                <w:w w:val="95"/>
                <w:sz w:val="14"/>
              </w:rPr>
              <w:t>76</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10" w:right="45"/>
              <w:rPr>
                <w:sz w:val="14"/>
              </w:rPr>
            </w:pPr>
            <w:r>
              <w:rPr>
                <w:color w:val="231F20"/>
                <w:spacing w:val="-5"/>
                <w:w w:val="95"/>
                <w:sz w:val="14"/>
              </w:rPr>
              <w:t>3.9</w:t>
            </w:r>
          </w:p>
        </w:tc>
        <w:tc>
          <w:tcPr>
            <w:tcW w:w="655" w:type="dxa"/>
            <w:shd w:val="clear" w:color="auto" w:fill="D4E3F5"/>
          </w:tcPr>
          <w:p>
            <w:pPr>
              <w:pStyle w:val="TableParagraph"/>
              <w:ind w:left="72" w:right="68"/>
              <w:rPr>
                <w:sz w:val="14"/>
              </w:rPr>
            </w:pPr>
            <w:r>
              <w:rPr>
                <w:color w:val="231F20"/>
                <w:spacing w:val="-5"/>
                <w:w w:val="95"/>
                <w:sz w:val="14"/>
              </w:rPr>
              <w:t>20</w:t>
            </w:r>
          </w:p>
        </w:tc>
      </w:tr>
      <w:tr>
        <w:trPr>
          <w:trHeight w:val="259" w:hRule="atLeast"/>
        </w:trPr>
        <w:tc>
          <w:tcPr>
            <w:tcW w:w="990" w:type="dxa"/>
          </w:tcPr>
          <w:p>
            <w:pPr>
              <w:pStyle w:val="TableParagraph"/>
              <w:ind w:left="80"/>
              <w:jc w:val="left"/>
              <w:rPr>
                <w:sz w:val="14"/>
              </w:rPr>
            </w:pPr>
            <w:r>
              <w:rPr>
                <w:color w:val="231F20"/>
                <w:spacing w:val="-2"/>
                <w:w w:val="90"/>
                <w:sz w:val="14"/>
              </w:rPr>
              <w:t>Philippines</w:t>
            </w:r>
          </w:p>
        </w:tc>
        <w:tc>
          <w:tcPr>
            <w:tcW w:w="622" w:type="dxa"/>
          </w:tcPr>
          <w:p>
            <w:pPr>
              <w:pStyle w:val="TableParagraph"/>
              <w:ind w:left="67" w:right="101"/>
              <w:rPr>
                <w:sz w:val="14"/>
              </w:rPr>
            </w:pPr>
            <w:r>
              <w:rPr>
                <w:color w:val="231F20"/>
                <w:spacing w:val="-5"/>
                <w:w w:val="95"/>
                <w:sz w:val="14"/>
              </w:rPr>
              <w:t>43</w:t>
            </w:r>
          </w:p>
        </w:tc>
        <w:tc>
          <w:tcPr>
            <w:tcW w:w="644" w:type="dxa"/>
          </w:tcPr>
          <w:p>
            <w:pPr>
              <w:pStyle w:val="TableParagraph"/>
              <w:ind w:left="164"/>
              <w:jc w:val="left"/>
              <w:rPr>
                <w:sz w:val="14"/>
              </w:rPr>
            </w:pPr>
            <w:r>
              <w:rPr>
                <w:color w:val="231F20"/>
                <w:spacing w:val="-5"/>
                <w:w w:val="95"/>
                <w:sz w:val="14"/>
              </w:rPr>
              <w:t>3.3</w:t>
            </w:r>
          </w:p>
        </w:tc>
        <w:tc>
          <w:tcPr>
            <w:tcW w:w="480" w:type="dxa"/>
          </w:tcPr>
          <w:p>
            <w:pPr>
              <w:pStyle w:val="TableParagraph"/>
              <w:ind w:left="103"/>
              <w:jc w:val="left"/>
              <w:rPr>
                <w:sz w:val="14"/>
              </w:rPr>
            </w:pPr>
            <w:r>
              <w:rPr>
                <w:color w:val="231F20"/>
                <w:spacing w:val="-5"/>
                <w:w w:val="95"/>
                <w:sz w:val="14"/>
              </w:rPr>
              <w:t>3.0</w:t>
            </w:r>
          </w:p>
        </w:tc>
        <w:tc>
          <w:tcPr>
            <w:tcW w:w="582" w:type="dxa"/>
          </w:tcPr>
          <w:p>
            <w:pPr>
              <w:pStyle w:val="TableParagraph"/>
              <w:ind w:left="6" w:right="6"/>
              <w:rPr>
                <w:sz w:val="14"/>
              </w:rPr>
            </w:pPr>
            <w:r>
              <w:rPr>
                <w:color w:val="231F20"/>
                <w:spacing w:val="-5"/>
                <w:w w:val="95"/>
                <w:sz w:val="14"/>
              </w:rPr>
              <w:t>3.6</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2.8</w:t>
            </w:r>
          </w:p>
        </w:tc>
        <w:tc>
          <w:tcPr>
            <w:tcW w:w="574" w:type="dxa"/>
          </w:tcPr>
          <w:p>
            <w:pPr>
              <w:pStyle w:val="TableParagraph"/>
              <w:ind w:left="158" w:right="70"/>
              <w:rPr>
                <w:sz w:val="14"/>
              </w:rPr>
            </w:pPr>
            <w:r>
              <w:rPr>
                <w:color w:val="231F20"/>
                <w:spacing w:val="-5"/>
                <w:w w:val="95"/>
                <w:sz w:val="14"/>
              </w:rPr>
              <w:t>59</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3.2</w:t>
            </w:r>
          </w:p>
        </w:tc>
        <w:tc>
          <w:tcPr>
            <w:tcW w:w="574" w:type="dxa"/>
          </w:tcPr>
          <w:p>
            <w:pPr>
              <w:pStyle w:val="TableParagraph"/>
              <w:ind w:left="161" w:right="72"/>
              <w:rPr>
                <w:sz w:val="14"/>
              </w:rPr>
            </w:pPr>
            <w:r>
              <w:rPr>
                <w:color w:val="231F20"/>
                <w:spacing w:val="-5"/>
                <w:w w:val="95"/>
                <w:sz w:val="14"/>
              </w:rPr>
              <w:t>47</w:t>
            </w:r>
          </w:p>
        </w:tc>
        <w:tc>
          <w:tcPr>
            <w:tcW w:w="126" w:type="dxa"/>
          </w:tcPr>
          <w:p>
            <w:pPr>
              <w:pStyle w:val="TableParagraph"/>
              <w:spacing w:before="0"/>
              <w:jc w:val="left"/>
              <w:rPr>
                <w:rFonts w:ascii="Times New Roman"/>
                <w:sz w:val="12"/>
              </w:rPr>
            </w:pPr>
          </w:p>
        </w:tc>
        <w:tc>
          <w:tcPr>
            <w:tcW w:w="463" w:type="dxa"/>
          </w:tcPr>
          <w:p>
            <w:pPr>
              <w:pStyle w:val="TableParagraph"/>
              <w:ind w:left="3" w:right="48"/>
              <w:rPr>
                <w:sz w:val="14"/>
              </w:rPr>
            </w:pPr>
            <w:r>
              <w:rPr>
                <w:color w:val="231F20"/>
                <w:spacing w:val="-5"/>
                <w:w w:val="95"/>
                <w:sz w:val="14"/>
              </w:rPr>
              <w:t>3.1</w:t>
            </w:r>
          </w:p>
        </w:tc>
        <w:tc>
          <w:tcPr>
            <w:tcW w:w="574" w:type="dxa"/>
          </w:tcPr>
          <w:p>
            <w:pPr>
              <w:pStyle w:val="TableParagraph"/>
              <w:ind w:left="161" w:right="70"/>
              <w:rPr>
                <w:sz w:val="14"/>
              </w:rPr>
            </w:pPr>
            <w:r>
              <w:rPr>
                <w:color w:val="231F20"/>
                <w:spacing w:val="-5"/>
                <w:w w:val="95"/>
                <w:sz w:val="14"/>
              </w:rPr>
              <w:t>47</w:t>
            </w:r>
          </w:p>
        </w:tc>
        <w:tc>
          <w:tcPr>
            <w:tcW w:w="126" w:type="dxa"/>
          </w:tcPr>
          <w:p>
            <w:pPr>
              <w:pStyle w:val="TableParagraph"/>
              <w:spacing w:before="0"/>
              <w:jc w:val="left"/>
              <w:rPr>
                <w:rFonts w:ascii="Times New Roman"/>
                <w:sz w:val="12"/>
              </w:rPr>
            </w:pPr>
          </w:p>
        </w:tc>
        <w:tc>
          <w:tcPr>
            <w:tcW w:w="463" w:type="dxa"/>
          </w:tcPr>
          <w:p>
            <w:pPr>
              <w:pStyle w:val="TableParagraph"/>
              <w:ind w:left="15" w:right="48"/>
              <w:rPr>
                <w:sz w:val="14"/>
              </w:rPr>
            </w:pPr>
            <w:r>
              <w:rPr>
                <w:color w:val="231F20"/>
                <w:spacing w:val="-5"/>
                <w:w w:val="95"/>
                <w:sz w:val="14"/>
              </w:rPr>
              <w:t>3.3</w:t>
            </w:r>
          </w:p>
        </w:tc>
        <w:tc>
          <w:tcPr>
            <w:tcW w:w="574" w:type="dxa"/>
          </w:tcPr>
          <w:p>
            <w:pPr>
              <w:pStyle w:val="TableParagraph"/>
              <w:ind w:left="161" w:right="69"/>
              <w:rPr>
                <w:sz w:val="14"/>
              </w:rPr>
            </w:pPr>
            <w:r>
              <w:rPr>
                <w:color w:val="231F20"/>
                <w:spacing w:val="-5"/>
                <w:w w:val="95"/>
                <w:sz w:val="14"/>
              </w:rPr>
              <w:t>46</w:t>
            </w:r>
          </w:p>
        </w:tc>
        <w:tc>
          <w:tcPr>
            <w:tcW w:w="126" w:type="dxa"/>
          </w:tcPr>
          <w:p>
            <w:pPr>
              <w:pStyle w:val="TableParagraph"/>
              <w:spacing w:before="0"/>
              <w:jc w:val="left"/>
              <w:rPr>
                <w:rFonts w:ascii="Times New Roman"/>
                <w:sz w:val="12"/>
              </w:rPr>
            </w:pPr>
          </w:p>
        </w:tc>
        <w:tc>
          <w:tcPr>
            <w:tcW w:w="463" w:type="dxa"/>
          </w:tcPr>
          <w:p>
            <w:pPr>
              <w:pStyle w:val="TableParagraph"/>
              <w:ind w:left="16" w:right="48"/>
              <w:rPr>
                <w:sz w:val="14"/>
              </w:rPr>
            </w:pPr>
            <w:r>
              <w:rPr>
                <w:color w:val="231F20"/>
                <w:spacing w:val="-5"/>
                <w:w w:val="95"/>
                <w:sz w:val="14"/>
              </w:rPr>
              <w:t>3.9</w:t>
            </w:r>
          </w:p>
        </w:tc>
        <w:tc>
          <w:tcPr>
            <w:tcW w:w="574" w:type="dxa"/>
          </w:tcPr>
          <w:p>
            <w:pPr>
              <w:pStyle w:val="TableParagraph"/>
              <w:ind w:left="161" w:right="67"/>
              <w:rPr>
                <w:sz w:val="14"/>
              </w:rPr>
            </w:pPr>
            <w:r>
              <w:rPr>
                <w:color w:val="231F20"/>
                <w:spacing w:val="-5"/>
                <w:w w:val="95"/>
                <w:sz w:val="14"/>
              </w:rPr>
              <w:t>21</w:t>
            </w:r>
          </w:p>
        </w:tc>
        <w:tc>
          <w:tcPr>
            <w:tcW w:w="126" w:type="dxa"/>
          </w:tcPr>
          <w:p>
            <w:pPr>
              <w:pStyle w:val="TableParagraph"/>
              <w:spacing w:before="0"/>
              <w:jc w:val="left"/>
              <w:rPr>
                <w:rFonts w:ascii="Times New Roman"/>
                <w:sz w:val="12"/>
              </w:rPr>
            </w:pPr>
          </w:p>
        </w:tc>
        <w:tc>
          <w:tcPr>
            <w:tcW w:w="468" w:type="dxa"/>
          </w:tcPr>
          <w:p>
            <w:pPr>
              <w:pStyle w:val="TableParagraph"/>
              <w:ind w:left="10" w:right="45"/>
              <w:rPr>
                <w:sz w:val="14"/>
              </w:rPr>
            </w:pPr>
            <w:r>
              <w:rPr>
                <w:color w:val="231F20"/>
                <w:spacing w:val="-5"/>
                <w:w w:val="95"/>
                <w:sz w:val="14"/>
              </w:rPr>
              <w:t>3.3</w:t>
            </w:r>
          </w:p>
        </w:tc>
        <w:tc>
          <w:tcPr>
            <w:tcW w:w="655" w:type="dxa"/>
          </w:tcPr>
          <w:p>
            <w:pPr>
              <w:pStyle w:val="TableParagraph"/>
              <w:ind w:left="72" w:right="68"/>
              <w:rPr>
                <w:sz w:val="14"/>
              </w:rPr>
            </w:pPr>
            <w:r>
              <w:rPr>
                <w:color w:val="231F20"/>
                <w:spacing w:val="-5"/>
                <w:w w:val="95"/>
                <w:sz w:val="14"/>
              </w:rPr>
              <w:t>49</w:t>
            </w:r>
          </w:p>
        </w:tc>
      </w:tr>
      <w:tr>
        <w:trPr>
          <w:trHeight w:val="259" w:hRule="atLeast"/>
        </w:trPr>
        <w:tc>
          <w:tcPr>
            <w:tcW w:w="990" w:type="dxa"/>
            <w:shd w:val="clear" w:color="auto" w:fill="D4E3F5"/>
          </w:tcPr>
          <w:p>
            <w:pPr>
              <w:pStyle w:val="TableParagraph"/>
              <w:ind w:left="80"/>
              <w:jc w:val="left"/>
              <w:rPr>
                <w:sz w:val="14"/>
              </w:rPr>
            </w:pPr>
            <w:r>
              <w:rPr>
                <w:color w:val="231F20"/>
                <w:w w:val="75"/>
                <w:sz w:val="14"/>
              </w:rPr>
              <w:t>Slovak</w:t>
            </w:r>
            <w:r>
              <w:rPr>
                <w:color w:val="231F20"/>
                <w:spacing w:val="4"/>
                <w:sz w:val="14"/>
              </w:rPr>
              <w:t> </w:t>
            </w:r>
            <w:r>
              <w:rPr>
                <w:color w:val="231F20"/>
                <w:spacing w:val="-2"/>
                <w:w w:val="85"/>
                <w:sz w:val="14"/>
              </w:rPr>
              <w:t>Republic</w:t>
            </w:r>
          </w:p>
        </w:tc>
        <w:tc>
          <w:tcPr>
            <w:tcW w:w="622" w:type="dxa"/>
            <w:shd w:val="clear" w:color="auto" w:fill="D4E3F5"/>
          </w:tcPr>
          <w:p>
            <w:pPr>
              <w:pStyle w:val="TableParagraph"/>
              <w:ind w:left="67" w:right="101"/>
              <w:rPr>
                <w:sz w:val="14"/>
              </w:rPr>
            </w:pPr>
            <w:r>
              <w:rPr>
                <w:color w:val="231F20"/>
                <w:spacing w:val="-5"/>
                <w:w w:val="95"/>
                <w:sz w:val="14"/>
              </w:rPr>
              <w:t>43</w:t>
            </w:r>
          </w:p>
        </w:tc>
        <w:tc>
          <w:tcPr>
            <w:tcW w:w="644" w:type="dxa"/>
            <w:shd w:val="clear" w:color="auto" w:fill="D4E3F5"/>
          </w:tcPr>
          <w:p>
            <w:pPr>
              <w:pStyle w:val="TableParagraph"/>
              <w:ind w:left="164"/>
              <w:jc w:val="left"/>
              <w:rPr>
                <w:sz w:val="14"/>
              </w:rPr>
            </w:pPr>
            <w:r>
              <w:rPr>
                <w:color w:val="231F20"/>
                <w:spacing w:val="-5"/>
                <w:w w:val="95"/>
                <w:sz w:val="14"/>
              </w:rPr>
              <w:t>3.3</w:t>
            </w:r>
          </w:p>
        </w:tc>
        <w:tc>
          <w:tcPr>
            <w:tcW w:w="480" w:type="dxa"/>
            <w:shd w:val="clear" w:color="auto" w:fill="D4E3F5"/>
          </w:tcPr>
          <w:p>
            <w:pPr>
              <w:pStyle w:val="TableParagraph"/>
              <w:ind w:left="103"/>
              <w:jc w:val="left"/>
              <w:rPr>
                <w:sz w:val="14"/>
              </w:rPr>
            </w:pPr>
            <w:r>
              <w:rPr>
                <w:color w:val="231F20"/>
                <w:spacing w:val="-5"/>
                <w:w w:val="95"/>
                <w:sz w:val="14"/>
              </w:rPr>
              <w:t>3.0</w:t>
            </w:r>
          </w:p>
        </w:tc>
        <w:tc>
          <w:tcPr>
            <w:tcW w:w="582" w:type="dxa"/>
            <w:shd w:val="clear" w:color="auto" w:fill="D4E3F5"/>
          </w:tcPr>
          <w:p>
            <w:pPr>
              <w:pStyle w:val="TableParagraph"/>
              <w:ind w:left="6" w:right="6"/>
              <w:rPr>
                <w:sz w:val="14"/>
              </w:rPr>
            </w:pPr>
            <w:r>
              <w:rPr>
                <w:color w:val="231F20"/>
                <w:spacing w:val="-5"/>
                <w:w w:val="95"/>
                <w:sz w:val="14"/>
              </w:rPr>
              <w:t>3.6</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3.2</w:t>
            </w:r>
          </w:p>
        </w:tc>
        <w:tc>
          <w:tcPr>
            <w:tcW w:w="574" w:type="dxa"/>
            <w:shd w:val="clear" w:color="auto" w:fill="D4E3F5"/>
          </w:tcPr>
          <w:p>
            <w:pPr>
              <w:pStyle w:val="TableParagraph"/>
              <w:ind w:left="158" w:right="70"/>
              <w:rPr>
                <w:sz w:val="14"/>
              </w:rPr>
            </w:pPr>
            <w:r>
              <w:rPr>
                <w:color w:val="231F20"/>
                <w:spacing w:val="-5"/>
                <w:w w:val="95"/>
                <w:sz w:val="14"/>
              </w:rPr>
              <w:t>37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2" w:right="48"/>
              <w:rPr>
                <w:sz w:val="14"/>
              </w:rPr>
            </w:pPr>
            <w:r>
              <w:rPr>
                <w:color w:val="231F20"/>
                <w:spacing w:val="-5"/>
                <w:w w:val="95"/>
                <w:sz w:val="14"/>
              </w:rPr>
              <w:t>3.3</w:t>
            </w:r>
          </w:p>
        </w:tc>
        <w:tc>
          <w:tcPr>
            <w:tcW w:w="574" w:type="dxa"/>
            <w:shd w:val="clear" w:color="auto" w:fill="D4E3F5"/>
          </w:tcPr>
          <w:p>
            <w:pPr>
              <w:pStyle w:val="TableParagraph"/>
              <w:ind w:left="161" w:right="72"/>
              <w:rPr>
                <w:sz w:val="14"/>
              </w:rPr>
            </w:pPr>
            <w:r>
              <w:rPr>
                <w:color w:val="231F20"/>
                <w:spacing w:val="-5"/>
                <w:w w:val="95"/>
                <w:sz w:val="14"/>
              </w:rPr>
              <w:t>44</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3.0</w:t>
            </w:r>
          </w:p>
        </w:tc>
        <w:tc>
          <w:tcPr>
            <w:tcW w:w="574" w:type="dxa"/>
            <w:shd w:val="clear" w:color="auto" w:fill="D4E3F5"/>
          </w:tcPr>
          <w:p>
            <w:pPr>
              <w:pStyle w:val="TableParagraph"/>
              <w:ind w:left="161" w:right="70"/>
              <w:rPr>
                <w:sz w:val="14"/>
              </w:rPr>
            </w:pPr>
            <w:r>
              <w:rPr>
                <w:color w:val="231F20"/>
                <w:spacing w:val="-5"/>
                <w:w w:val="95"/>
                <w:sz w:val="14"/>
              </w:rPr>
              <w:t>57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3.4</w:t>
            </w:r>
          </w:p>
        </w:tc>
        <w:tc>
          <w:tcPr>
            <w:tcW w:w="574" w:type="dxa"/>
            <w:shd w:val="clear" w:color="auto" w:fill="D4E3F5"/>
          </w:tcPr>
          <w:p>
            <w:pPr>
              <w:pStyle w:val="TableParagraph"/>
              <w:ind w:left="161" w:right="69"/>
              <w:rPr>
                <w:sz w:val="14"/>
              </w:rPr>
            </w:pPr>
            <w:r>
              <w:rPr>
                <w:color w:val="231F20"/>
                <w:spacing w:val="-5"/>
                <w:w w:val="95"/>
                <w:sz w:val="14"/>
              </w:rPr>
              <w:t>42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7" w:right="48"/>
              <w:rPr>
                <w:sz w:val="14"/>
              </w:rPr>
            </w:pPr>
            <w:r>
              <w:rPr>
                <w:color w:val="231F20"/>
                <w:spacing w:val="-5"/>
                <w:w w:val="95"/>
                <w:sz w:val="14"/>
              </w:rPr>
              <w:t>3.5</w:t>
            </w:r>
          </w:p>
        </w:tc>
        <w:tc>
          <w:tcPr>
            <w:tcW w:w="574" w:type="dxa"/>
            <w:shd w:val="clear" w:color="auto" w:fill="D4E3F5"/>
          </w:tcPr>
          <w:p>
            <w:pPr>
              <w:pStyle w:val="TableParagraph"/>
              <w:ind w:left="161" w:right="67"/>
              <w:rPr>
                <w:sz w:val="14"/>
              </w:rPr>
            </w:pPr>
            <w:r>
              <w:rPr>
                <w:color w:val="231F20"/>
                <w:spacing w:val="-5"/>
                <w:w w:val="95"/>
                <w:sz w:val="14"/>
              </w:rPr>
              <w:t>46</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10" w:right="45"/>
              <w:rPr>
                <w:sz w:val="14"/>
              </w:rPr>
            </w:pPr>
            <w:r>
              <w:rPr>
                <w:color w:val="231F20"/>
                <w:spacing w:val="-5"/>
                <w:w w:val="95"/>
                <w:sz w:val="14"/>
              </w:rPr>
              <w:t>3.3</w:t>
            </w:r>
          </w:p>
        </w:tc>
        <w:tc>
          <w:tcPr>
            <w:tcW w:w="655" w:type="dxa"/>
            <w:shd w:val="clear" w:color="auto" w:fill="D4E3F5"/>
          </w:tcPr>
          <w:p>
            <w:pPr>
              <w:pStyle w:val="TableParagraph"/>
              <w:ind w:left="72" w:right="68"/>
              <w:rPr>
                <w:sz w:val="14"/>
              </w:rPr>
            </w:pPr>
            <w:r>
              <w:rPr>
                <w:color w:val="231F20"/>
                <w:spacing w:val="-5"/>
                <w:w w:val="95"/>
                <w:sz w:val="14"/>
              </w:rPr>
              <w:t>49</w:t>
            </w:r>
          </w:p>
        </w:tc>
      </w:tr>
      <w:tr>
        <w:trPr>
          <w:trHeight w:val="259" w:hRule="atLeast"/>
        </w:trPr>
        <w:tc>
          <w:tcPr>
            <w:tcW w:w="990" w:type="dxa"/>
          </w:tcPr>
          <w:p>
            <w:pPr>
              <w:pStyle w:val="TableParagraph"/>
              <w:ind w:left="80"/>
              <w:jc w:val="left"/>
              <w:rPr>
                <w:sz w:val="14"/>
              </w:rPr>
            </w:pPr>
            <w:r>
              <w:rPr>
                <w:color w:val="231F20"/>
                <w:spacing w:val="-2"/>
                <w:w w:val="85"/>
                <w:sz w:val="14"/>
              </w:rPr>
              <w:t>Slovenia</w:t>
            </w:r>
          </w:p>
        </w:tc>
        <w:tc>
          <w:tcPr>
            <w:tcW w:w="622" w:type="dxa"/>
          </w:tcPr>
          <w:p>
            <w:pPr>
              <w:pStyle w:val="TableParagraph"/>
              <w:ind w:left="67" w:right="101"/>
              <w:rPr>
                <w:sz w:val="14"/>
              </w:rPr>
            </w:pPr>
            <w:r>
              <w:rPr>
                <w:color w:val="231F20"/>
                <w:spacing w:val="-5"/>
                <w:w w:val="95"/>
                <w:sz w:val="14"/>
              </w:rPr>
              <w:t>43</w:t>
            </w:r>
          </w:p>
        </w:tc>
        <w:tc>
          <w:tcPr>
            <w:tcW w:w="644" w:type="dxa"/>
          </w:tcPr>
          <w:p>
            <w:pPr>
              <w:pStyle w:val="TableParagraph"/>
              <w:ind w:left="164"/>
              <w:jc w:val="left"/>
              <w:rPr>
                <w:sz w:val="14"/>
              </w:rPr>
            </w:pPr>
            <w:r>
              <w:rPr>
                <w:color w:val="231F20"/>
                <w:spacing w:val="-5"/>
                <w:w w:val="95"/>
                <w:sz w:val="14"/>
              </w:rPr>
              <w:t>3.3</w:t>
            </w:r>
          </w:p>
        </w:tc>
        <w:tc>
          <w:tcPr>
            <w:tcW w:w="480" w:type="dxa"/>
          </w:tcPr>
          <w:p>
            <w:pPr>
              <w:pStyle w:val="TableParagraph"/>
              <w:ind w:left="103"/>
              <w:jc w:val="left"/>
              <w:rPr>
                <w:sz w:val="14"/>
              </w:rPr>
            </w:pPr>
            <w:r>
              <w:rPr>
                <w:color w:val="231F20"/>
                <w:spacing w:val="-5"/>
                <w:w w:val="95"/>
                <w:sz w:val="14"/>
              </w:rPr>
              <w:t>3.0</w:t>
            </w:r>
          </w:p>
        </w:tc>
        <w:tc>
          <w:tcPr>
            <w:tcW w:w="582" w:type="dxa"/>
          </w:tcPr>
          <w:p>
            <w:pPr>
              <w:pStyle w:val="TableParagraph"/>
              <w:ind w:left="6" w:right="6"/>
              <w:rPr>
                <w:sz w:val="14"/>
              </w:rPr>
            </w:pPr>
            <w:r>
              <w:rPr>
                <w:color w:val="231F20"/>
                <w:spacing w:val="-5"/>
                <w:w w:val="95"/>
                <w:sz w:val="14"/>
              </w:rPr>
              <w:t>3.6</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3.4</w:t>
            </w:r>
          </w:p>
        </w:tc>
        <w:tc>
          <w:tcPr>
            <w:tcW w:w="574" w:type="dxa"/>
          </w:tcPr>
          <w:p>
            <w:pPr>
              <w:pStyle w:val="TableParagraph"/>
              <w:ind w:left="158" w:right="70"/>
              <w:rPr>
                <w:sz w:val="14"/>
              </w:rPr>
            </w:pPr>
            <w:r>
              <w:rPr>
                <w:color w:val="231F20"/>
                <w:spacing w:val="-5"/>
                <w:w w:val="95"/>
                <w:sz w:val="14"/>
              </w:rPr>
              <w:t>24</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3.6</w:t>
            </w:r>
          </w:p>
        </w:tc>
        <w:tc>
          <w:tcPr>
            <w:tcW w:w="574" w:type="dxa"/>
          </w:tcPr>
          <w:p>
            <w:pPr>
              <w:pStyle w:val="TableParagraph"/>
              <w:ind w:left="161" w:right="72"/>
              <w:rPr>
                <w:sz w:val="14"/>
              </w:rPr>
            </w:pPr>
            <w:r>
              <w:rPr>
                <w:color w:val="231F20"/>
                <w:spacing w:val="-5"/>
                <w:w w:val="95"/>
                <w:sz w:val="14"/>
              </w:rPr>
              <w:t>30</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3.4</w:t>
            </w:r>
          </w:p>
        </w:tc>
        <w:tc>
          <w:tcPr>
            <w:tcW w:w="574" w:type="dxa"/>
          </w:tcPr>
          <w:p>
            <w:pPr>
              <w:pStyle w:val="TableParagraph"/>
              <w:ind w:left="161" w:right="70"/>
              <w:rPr>
                <w:sz w:val="14"/>
              </w:rPr>
            </w:pPr>
            <w:r>
              <w:rPr>
                <w:color w:val="231F20"/>
                <w:spacing w:val="-5"/>
                <w:w w:val="95"/>
                <w:sz w:val="14"/>
              </w:rPr>
              <w:t>26</w:t>
            </w:r>
          </w:p>
        </w:tc>
        <w:tc>
          <w:tcPr>
            <w:tcW w:w="126" w:type="dxa"/>
          </w:tcPr>
          <w:p>
            <w:pPr>
              <w:pStyle w:val="TableParagraph"/>
              <w:spacing w:before="0"/>
              <w:jc w:val="left"/>
              <w:rPr>
                <w:rFonts w:ascii="Times New Roman"/>
                <w:sz w:val="12"/>
              </w:rPr>
            </w:pPr>
          </w:p>
        </w:tc>
        <w:tc>
          <w:tcPr>
            <w:tcW w:w="463" w:type="dxa"/>
          </w:tcPr>
          <w:p>
            <w:pPr>
              <w:pStyle w:val="TableParagraph"/>
              <w:ind w:left="15" w:right="48"/>
              <w:rPr>
                <w:sz w:val="14"/>
              </w:rPr>
            </w:pPr>
            <w:r>
              <w:rPr>
                <w:color w:val="231F20"/>
                <w:spacing w:val="-5"/>
                <w:w w:val="95"/>
                <w:sz w:val="14"/>
              </w:rPr>
              <w:t>3.3</w:t>
            </w:r>
          </w:p>
        </w:tc>
        <w:tc>
          <w:tcPr>
            <w:tcW w:w="574" w:type="dxa"/>
          </w:tcPr>
          <w:p>
            <w:pPr>
              <w:pStyle w:val="TableParagraph"/>
              <w:ind w:left="161" w:right="69"/>
              <w:rPr>
                <w:sz w:val="14"/>
              </w:rPr>
            </w:pPr>
            <w:r>
              <w:rPr>
                <w:color w:val="231F20"/>
                <w:spacing w:val="-5"/>
                <w:w w:val="95"/>
                <w:sz w:val="14"/>
              </w:rPr>
              <w:t>46</w:t>
            </w:r>
          </w:p>
        </w:tc>
        <w:tc>
          <w:tcPr>
            <w:tcW w:w="126" w:type="dxa"/>
          </w:tcPr>
          <w:p>
            <w:pPr>
              <w:pStyle w:val="TableParagraph"/>
              <w:spacing w:before="0"/>
              <w:jc w:val="left"/>
              <w:rPr>
                <w:rFonts w:ascii="Times New Roman"/>
                <w:sz w:val="12"/>
              </w:rPr>
            </w:pPr>
          </w:p>
        </w:tc>
        <w:tc>
          <w:tcPr>
            <w:tcW w:w="463" w:type="dxa"/>
          </w:tcPr>
          <w:p>
            <w:pPr>
              <w:pStyle w:val="TableParagraph"/>
              <w:ind w:left="17" w:right="48"/>
              <w:rPr>
                <w:sz w:val="14"/>
              </w:rPr>
            </w:pPr>
            <w:r>
              <w:rPr>
                <w:color w:val="231F20"/>
                <w:spacing w:val="-5"/>
                <w:w w:val="95"/>
                <w:sz w:val="14"/>
              </w:rPr>
              <w:t>3.3</w:t>
            </w:r>
          </w:p>
        </w:tc>
        <w:tc>
          <w:tcPr>
            <w:tcW w:w="574" w:type="dxa"/>
          </w:tcPr>
          <w:p>
            <w:pPr>
              <w:pStyle w:val="TableParagraph"/>
              <w:ind w:left="161" w:right="67"/>
              <w:rPr>
                <w:sz w:val="14"/>
              </w:rPr>
            </w:pPr>
            <w:r>
              <w:rPr>
                <w:color w:val="231F20"/>
                <w:spacing w:val="-5"/>
                <w:w w:val="95"/>
                <w:sz w:val="14"/>
              </w:rPr>
              <w:t>59</w:t>
            </w:r>
          </w:p>
        </w:tc>
        <w:tc>
          <w:tcPr>
            <w:tcW w:w="126" w:type="dxa"/>
          </w:tcPr>
          <w:p>
            <w:pPr>
              <w:pStyle w:val="TableParagraph"/>
              <w:spacing w:before="0"/>
              <w:jc w:val="left"/>
              <w:rPr>
                <w:rFonts w:ascii="Times New Roman"/>
                <w:sz w:val="12"/>
              </w:rPr>
            </w:pPr>
          </w:p>
        </w:tc>
        <w:tc>
          <w:tcPr>
            <w:tcW w:w="468" w:type="dxa"/>
          </w:tcPr>
          <w:p>
            <w:pPr>
              <w:pStyle w:val="TableParagraph"/>
              <w:ind w:left="9" w:right="45"/>
              <w:rPr>
                <w:sz w:val="14"/>
              </w:rPr>
            </w:pPr>
            <w:r>
              <w:rPr>
                <w:color w:val="231F20"/>
                <w:spacing w:val="-5"/>
                <w:w w:val="95"/>
                <w:sz w:val="14"/>
              </w:rPr>
              <w:t>3.0</w:t>
            </w:r>
          </w:p>
        </w:tc>
        <w:tc>
          <w:tcPr>
            <w:tcW w:w="655" w:type="dxa"/>
          </w:tcPr>
          <w:p>
            <w:pPr>
              <w:pStyle w:val="TableParagraph"/>
              <w:ind w:left="72" w:right="68"/>
              <w:rPr>
                <w:sz w:val="14"/>
              </w:rPr>
            </w:pPr>
            <w:r>
              <w:rPr>
                <w:color w:val="231F20"/>
                <w:spacing w:val="-5"/>
                <w:w w:val="95"/>
                <w:sz w:val="14"/>
              </w:rPr>
              <w:t>65</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Vietnam</w:t>
            </w:r>
          </w:p>
        </w:tc>
        <w:tc>
          <w:tcPr>
            <w:tcW w:w="622" w:type="dxa"/>
            <w:shd w:val="clear" w:color="auto" w:fill="D4E3F5"/>
          </w:tcPr>
          <w:p>
            <w:pPr>
              <w:pStyle w:val="TableParagraph"/>
              <w:ind w:left="67" w:right="101"/>
              <w:rPr>
                <w:sz w:val="14"/>
              </w:rPr>
            </w:pPr>
            <w:r>
              <w:rPr>
                <w:color w:val="231F20"/>
                <w:spacing w:val="-5"/>
                <w:w w:val="95"/>
                <w:sz w:val="14"/>
              </w:rPr>
              <w:t>43</w:t>
            </w:r>
          </w:p>
        </w:tc>
        <w:tc>
          <w:tcPr>
            <w:tcW w:w="644" w:type="dxa"/>
            <w:shd w:val="clear" w:color="auto" w:fill="D4E3F5"/>
          </w:tcPr>
          <w:p>
            <w:pPr>
              <w:pStyle w:val="TableParagraph"/>
              <w:ind w:left="164"/>
              <w:jc w:val="left"/>
              <w:rPr>
                <w:sz w:val="14"/>
              </w:rPr>
            </w:pPr>
            <w:r>
              <w:rPr>
                <w:color w:val="231F20"/>
                <w:spacing w:val="-5"/>
                <w:w w:val="95"/>
                <w:sz w:val="14"/>
              </w:rPr>
              <w:t>3.3</w:t>
            </w:r>
          </w:p>
        </w:tc>
        <w:tc>
          <w:tcPr>
            <w:tcW w:w="480" w:type="dxa"/>
            <w:shd w:val="clear" w:color="auto" w:fill="D4E3F5"/>
          </w:tcPr>
          <w:p>
            <w:pPr>
              <w:pStyle w:val="TableParagraph"/>
              <w:ind w:left="107"/>
              <w:jc w:val="left"/>
              <w:rPr>
                <w:sz w:val="14"/>
              </w:rPr>
            </w:pPr>
            <w:r>
              <w:rPr>
                <w:color w:val="231F20"/>
                <w:spacing w:val="-5"/>
                <w:w w:val="95"/>
                <w:sz w:val="14"/>
              </w:rPr>
              <w:t>3.1</w:t>
            </w:r>
          </w:p>
        </w:tc>
        <w:tc>
          <w:tcPr>
            <w:tcW w:w="582" w:type="dxa"/>
            <w:shd w:val="clear" w:color="auto" w:fill="D4E3F5"/>
          </w:tcPr>
          <w:p>
            <w:pPr>
              <w:pStyle w:val="TableParagraph"/>
              <w:ind w:left="7" w:right="6"/>
              <w:rPr>
                <w:sz w:val="14"/>
              </w:rPr>
            </w:pPr>
            <w:r>
              <w:rPr>
                <w:color w:val="231F20"/>
                <w:spacing w:val="-5"/>
                <w:w w:val="95"/>
                <w:sz w:val="14"/>
              </w:rPr>
              <w:t>3.5</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right="48"/>
              <w:rPr>
                <w:sz w:val="14"/>
              </w:rPr>
            </w:pPr>
            <w:r>
              <w:rPr>
                <w:color w:val="231F20"/>
                <w:spacing w:val="-5"/>
                <w:w w:val="95"/>
                <w:sz w:val="14"/>
              </w:rPr>
              <w:t>3.1</w:t>
            </w:r>
          </w:p>
        </w:tc>
        <w:tc>
          <w:tcPr>
            <w:tcW w:w="574" w:type="dxa"/>
            <w:shd w:val="clear" w:color="auto" w:fill="D4E3F5"/>
          </w:tcPr>
          <w:p>
            <w:pPr>
              <w:pStyle w:val="TableParagraph"/>
              <w:ind w:left="158" w:right="70"/>
              <w:rPr>
                <w:sz w:val="14"/>
              </w:rPr>
            </w:pPr>
            <w:r>
              <w:rPr>
                <w:color w:val="231F20"/>
                <w:spacing w:val="-5"/>
                <w:w w:val="95"/>
                <w:sz w:val="14"/>
              </w:rPr>
              <w:t>43</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3.2</w:t>
            </w:r>
          </w:p>
        </w:tc>
        <w:tc>
          <w:tcPr>
            <w:tcW w:w="574" w:type="dxa"/>
            <w:shd w:val="clear" w:color="auto" w:fill="D4E3F5"/>
          </w:tcPr>
          <w:p>
            <w:pPr>
              <w:pStyle w:val="TableParagraph"/>
              <w:ind w:left="161" w:right="72"/>
              <w:rPr>
                <w:sz w:val="14"/>
              </w:rPr>
            </w:pPr>
            <w:r>
              <w:rPr>
                <w:color w:val="231F20"/>
                <w:spacing w:val="-5"/>
                <w:w w:val="95"/>
                <w:sz w:val="14"/>
              </w:rPr>
              <w:t>47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3.3</w:t>
            </w:r>
          </w:p>
        </w:tc>
        <w:tc>
          <w:tcPr>
            <w:tcW w:w="574" w:type="dxa"/>
            <w:shd w:val="clear" w:color="auto" w:fill="D4E3F5"/>
          </w:tcPr>
          <w:p>
            <w:pPr>
              <w:pStyle w:val="TableParagraph"/>
              <w:ind w:left="161" w:right="70"/>
              <w:rPr>
                <w:sz w:val="14"/>
              </w:rPr>
            </w:pPr>
            <w:r>
              <w:rPr>
                <w:color w:val="231F20"/>
                <w:spacing w:val="-5"/>
                <w:w w:val="95"/>
                <w:sz w:val="14"/>
              </w:rPr>
              <w:t>38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3.2</w:t>
            </w:r>
          </w:p>
        </w:tc>
        <w:tc>
          <w:tcPr>
            <w:tcW w:w="574" w:type="dxa"/>
            <w:shd w:val="clear" w:color="auto" w:fill="D4E3F5"/>
          </w:tcPr>
          <w:p>
            <w:pPr>
              <w:pStyle w:val="TableParagraph"/>
              <w:ind w:left="161" w:right="69"/>
              <w:rPr>
                <w:sz w:val="14"/>
              </w:rPr>
            </w:pPr>
            <w:r>
              <w:rPr>
                <w:color w:val="231F20"/>
                <w:spacing w:val="-5"/>
                <w:w w:val="95"/>
                <w:sz w:val="14"/>
              </w:rPr>
              <w:t>53</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7" w:right="48"/>
              <w:rPr>
                <w:sz w:val="14"/>
              </w:rPr>
            </w:pPr>
            <w:r>
              <w:rPr>
                <w:color w:val="231F20"/>
                <w:spacing w:val="-5"/>
                <w:w w:val="95"/>
                <w:sz w:val="14"/>
              </w:rPr>
              <w:t>3.3</w:t>
            </w:r>
          </w:p>
        </w:tc>
        <w:tc>
          <w:tcPr>
            <w:tcW w:w="574" w:type="dxa"/>
            <w:shd w:val="clear" w:color="auto" w:fill="D4E3F5"/>
          </w:tcPr>
          <w:p>
            <w:pPr>
              <w:pStyle w:val="TableParagraph"/>
              <w:ind w:left="161" w:right="67"/>
              <w:rPr>
                <w:sz w:val="14"/>
              </w:rPr>
            </w:pPr>
            <w:r>
              <w:rPr>
                <w:color w:val="231F20"/>
                <w:spacing w:val="-5"/>
                <w:w w:val="95"/>
                <w:sz w:val="14"/>
              </w:rPr>
              <w:t>59</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3.4</w:t>
            </w:r>
          </w:p>
        </w:tc>
        <w:tc>
          <w:tcPr>
            <w:tcW w:w="655" w:type="dxa"/>
            <w:shd w:val="clear" w:color="auto" w:fill="D4E3F5"/>
          </w:tcPr>
          <w:p>
            <w:pPr>
              <w:pStyle w:val="TableParagraph"/>
              <w:ind w:left="72" w:right="68"/>
              <w:rPr>
                <w:sz w:val="14"/>
              </w:rPr>
            </w:pPr>
            <w:r>
              <w:rPr>
                <w:color w:val="231F20"/>
                <w:spacing w:val="-5"/>
                <w:w w:val="95"/>
                <w:sz w:val="14"/>
              </w:rPr>
              <w:t>41</w:t>
            </w:r>
          </w:p>
        </w:tc>
      </w:tr>
      <w:tr>
        <w:trPr>
          <w:trHeight w:val="259" w:hRule="atLeast"/>
        </w:trPr>
        <w:tc>
          <w:tcPr>
            <w:tcW w:w="990" w:type="dxa"/>
          </w:tcPr>
          <w:p>
            <w:pPr>
              <w:pStyle w:val="TableParagraph"/>
              <w:ind w:left="80"/>
              <w:jc w:val="left"/>
              <w:rPr>
                <w:sz w:val="14"/>
              </w:rPr>
            </w:pPr>
            <w:r>
              <w:rPr>
                <w:color w:val="231F20"/>
                <w:spacing w:val="-2"/>
                <w:w w:val="90"/>
                <w:sz w:val="14"/>
              </w:rPr>
              <w:t>Brazil</w:t>
            </w:r>
          </w:p>
        </w:tc>
        <w:tc>
          <w:tcPr>
            <w:tcW w:w="622" w:type="dxa"/>
          </w:tcPr>
          <w:p>
            <w:pPr>
              <w:pStyle w:val="TableParagraph"/>
              <w:ind w:left="67" w:right="101"/>
              <w:rPr>
                <w:sz w:val="14"/>
              </w:rPr>
            </w:pPr>
            <w:r>
              <w:rPr>
                <w:color w:val="231F20"/>
                <w:spacing w:val="-5"/>
                <w:w w:val="95"/>
                <w:sz w:val="14"/>
              </w:rPr>
              <w:t>51</w:t>
            </w:r>
          </w:p>
        </w:tc>
        <w:tc>
          <w:tcPr>
            <w:tcW w:w="644" w:type="dxa"/>
          </w:tcPr>
          <w:p>
            <w:pPr>
              <w:pStyle w:val="TableParagraph"/>
              <w:ind w:left="164"/>
              <w:jc w:val="left"/>
              <w:rPr>
                <w:sz w:val="14"/>
              </w:rPr>
            </w:pPr>
            <w:r>
              <w:rPr>
                <w:color w:val="231F20"/>
                <w:spacing w:val="-5"/>
                <w:w w:val="95"/>
                <w:sz w:val="14"/>
              </w:rPr>
              <w:t>3.2</w:t>
            </w:r>
          </w:p>
        </w:tc>
        <w:tc>
          <w:tcPr>
            <w:tcW w:w="480" w:type="dxa"/>
          </w:tcPr>
          <w:p>
            <w:pPr>
              <w:pStyle w:val="TableParagraph"/>
              <w:ind w:left="107"/>
              <w:jc w:val="left"/>
              <w:rPr>
                <w:sz w:val="14"/>
              </w:rPr>
            </w:pPr>
            <w:r>
              <w:rPr>
                <w:color w:val="231F20"/>
                <w:spacing w:val="-5"/>
                <w:w w:val="95"/>
                <w:sz w:val="14"/>
              </w:rPr>
              <w:t>3.1</w:t>
            </w:r>
          </w:p>
        </w:tc>
        <w:tc>
          <w:tcPr>
            <w:tcW w:w="582" w:type="dxa"/>
          </w:tcPr>
          <w:p>
            <w:pPr>
              <w:pStyle w:val="TableParagraph"/>
              <w:ind w:left="7" w:right="6"/>
              <w:rPr>
                <w:sz w:val="14"/>
              </w:rPr>
            </w:pPr>
            <w:r>
              <w:rPr>
                <w:color w:val="231F20"/>
                <w:spacing w:val="-5"/>
                <w:w w:val="95"/>
                <w:sz w:val="14"/>
              </w:rPr>
              <w:t>3.3</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2.9</w:t>
            </w:r>
          </w:p>
        </w:tc>
        <w:tc>
          <w:tcPr>
            <w:tcW w:w="574" w:type="dxa"/>
          </w:tcPr>
          <w:p>
            <w:pPr>
              <w:pStyle w:val="TableParagraph"/>
              <w:ind w:left="158" w:right="70"/>
              <w:rPr>
                <w:sz w:val="14"/>
              </w:rPr>
            </w:pPr>
            <w:r>
              <w:rPr>
                <w:color w:val="231F20"/>
                <w:spacing w:val="-5"/>
                <w:w w:val="95"/>
                <w:sz w:val="14"/>
              </w:rPr>
              <w:t>56</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3.2</w:t>
            </w:r>
          </w:p>
        </w:tc>
        <w:tc>
          <w:tcPr>
            <w:tcW w:w="574" w:type="dxa"/>
          </w:tcPr>
          <w:p>
            <w:pPr>
              <w:pStyle w:val="TableParagraph"/>
              <w:ind w:left="161" w:right="72"/>
              <w:rPr>
                <w:sz w:val="14"/>
              </w:rPr>
            </w:pPr>
            <w:r>
              <w:rPr>
                <w:color w:val="231F20"/>
                <w:spacing w:val="-5"/>
                <w:w w:val="95"/>
                <w:sz w:val="14"/>
              </w:rPr>
              <w:t>47</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2.9</w:t>
            </w:r>
          </w:p>
        </w:tc>
        <w:tc>
          <w:tcPr>
            <w:tcW w:w="574" w:type="dxa"/>
          </w:tcPr>
          <w:p>
            <w:pPr>
              <w:pStyle w:val="TableParagraph"/>
              <w:ind w:left="161" w:right="70"/>
              <w:rPr>
                <w:sz w:val="14"/>
              </w:rPr>
            </w:pPr>
            <w:r>
              <w:rPr>
                <w:color w:val="231F20"/>
                <w:spacing w:val="-5"/>
                <w:w w:val="95"/>
                <w:sz w:val="14"/>
              </w:rPr>
              <w:t>68</w:t>
            </w:r>
          </w:p>
        </w:tc>
        <w:tc>
          <w:tcPr>
            <w:tcW w:w="126" w:type="dxa"/>
          </w:tcPr>
          <w:p>
            <w:pPr>
              <w:pStyle w:val="TableParagraph"/>
              <w:spacing w:before="0"/>
              <w:jc w:val="left"/>
              <w:rPr>
                <w:rFonts w:ascii="Times New Roman"/>
                <w:sz w:val="12"/>
              </w:rPr>
            </w:pPr>
          </w:p>
        </w:tc>
        <w:tc>
          <w:tcPr>
            <w:tcW w:w="463" w:type="dxa"/>
          </w:tcPr>
          <w:p>
            <w:pPr>
              <w:pStyle w:val="TableParagraph"/>
              <w:ind w:left="15" w:right="48"/>
              <w:rPr>
                <w:sz w:val="14"/>
              </w:rPr>
            </w:pPr>
            <w:r>
              <w:rPr>
                <w:color w:val="231F20"/>
                <w:spacing w:val="-5"/>
                <w:w w:val="95"/>
                <w:sz w:val="14"/>
              </w:rPr>
              <w:t>3.3</w:t>
            </w:r>
          </w:p>
        </w:tc>
        <w:tc>
          <w:tcPr>
            <w:tcW w:w="574" w:type="dxa"/>
          </w:tcPr>
          <w:p>
            <w:pPr>
              <w:pStyle w:val="TableParagraph"/>
              <w:ind w:left="161" w:right="69"/>
              <w:rPr>
                <w:sz w:val="14"/>
              </w:rPr>
            </w:pPr>
            <w:r>
              <w:rPr>
                <w:color w:val="231F20"/>
                <w:spacing w:val="-5"/>
                <w:w w:val="95"/>
                <w:sz w:val="14"/>
              </w:rPr>
              <w:t>46</w:t>
            </w:r>
          </w:p>
        </w:tc>
        <w:tc>
          <w:tcPr>
            <w:tcW w:w="126" w:type="dxa"/>
          </w:tcPr>
          <w:p>
            <w:pPr>
              <w:pStyle w:val="TableParagraph"/>
              <w:spacing w:before="0"/>
              <w:jc w:val="left"/>
              <w:rPr>
                <w:rFonts w:ascii="Times New Roman"/>
                <w:sz w:val="12"/>
              </w:rPr>
            </w:pPr>
          </w:p>
        </w:tc>
        <w:tc>
          <w:tcPr>
            <w:tcW w:w="463" w:type="dxa"/>
          </w:tcPr>
          <w:p>
            <w:pPr>
              <w:pStyle w:val="TableParagraph"/>
              <w:ind w:left="17" w:right="48"/>
              <w:rPr>
                <w:sz w:val="14"/>
              </w:rPr>
            </w:pPr>
            <w:r>
              <w:rPr>
                <w:color w:val="231F20"/>
                <w:spacing w:val="-5"/>
                <w:w w:val="95"/>
                <w:sz w:val="14"/>
              </w:rPr>
              <w:t>3.5</w:t>
            </w:r>
          </w:p>
        </w:tc>
        <w:tc>
          <w:tcPr>
            <w:tcW w:w="574" w:type="dxa"/>
          </w:tcPr>
          <w:p>
            <w:pPr>
              <w:pStyle w:val="TableParagraph"/>
              <w:ind w:left="161" w:right="67"/>
              <w:rPr>
                <w:sz w:val="14"/>
              </w:rPr>
            </w:pPr>
            <w:r>
              <w:rPr>
                <w:color w:val="231F20"/>
                <w:spacing w:val="-5"/>
                <w:w w:val="95"/>
                <w:sz w:val="14"/>
              </w:rPr>
              <w:t>46</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3.2</w:t>
            </w:r>
          </w:p>
        </w:tc>
        <w:tc>
          <w:tcPr>
            <w:tcW w:w="655" w:type="dxa"/>
          </w:tcPr>
          <w:p>
            <w:pPr>
              <w:pStyle w:val="TableParagraph"/>
              <w:ind w:left="72" w:right="68"/>
              <w:rPr>
                <w:sz w:val="14"/>
              </w:rPr>
            </w:pPr>
            <w:r>
              <w:rPr>
                <w:color w:val="231F20"/>
                <w:spacing w:val="-5"/>
                <w:w w:val="95"/>
                <w:sz w:val="14"/>
              </w:rPr>
              <w:t>54</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Bulgaria</w:t>
            </w:r>
          </w:p>
        </w:tc>
        <w:tc>
          <w:tcPr>
            <w:tcW w:w="622" w:type="dxa"/>
            <w:shd w:val="clear" w:color="auto" w:fill="D4E3F5"/>
          </w:tcPr>
          <w:p>
            <w:pPr>
              <w:pStyle w:val="TableParagraph"/>
              <w:ind w:left="67" w:right="101"/>
              <w:rPr>
                <w:sz w:val="14"/>
              </w:rPr>
            </w:pPr>
            <w:r>
              <w:rPr>
                <w:color w:val="231F20"/>
                <w:spacing w:val="-5"/>
                <w:w w:val="95"/>
                <w:sz w:val="14"/>
              </w:rPr>
              <w:t>51</w:t>
            </w:r>
          </w:p>
        </w:tc>
        <w:tc>
          <w:tcPr>
            <w:tcW w:w="644" w:type="dxa"/>
            <w:shd w:val="clear" w:color="auto" w:fill="D4E3F5"/>
          </w:tcPr>
          <w:p>
            <w:pPr>
              <w:pStyle w:val="TableParagraph"/>
              <w:ind w:left="164"/>
              <w:jc w:val="left"/>
              <w:rPr>
                <w:sz w:val="14"/>
              </w:rPr>
            </w:pPr>
            <w:r>
              <w:rPr>
                <w:color w:val="231F20"/>
                <w:spacing w:val="-5"/>
                <w:w w:val="95"/>
                <w:sz w:val="14"/>
              </w:rPr>
              <w:t>3.2</w:t>
            </w:r>
          </w:p>
        </w:tc>
        <w:tc>
          <w:tcPr>
            <w:tcW w:w="480" w:type="dxa"/>
            <w:shd w:val="clear" w:color="auto" w:fill="D4E3F5"/>
          </w:tcPr>
          <w:p>
            <w:pPr>
              <w:pStyle w:val="TableParagraph"/>
              <w:ind w:left="103"/>
              <w:jc w:val="left"/>
              <w:rPr>
                <w:sz w:val="14"/>
              </w:rPr>
            </w:pPr>
            <w:r>
              <w:rPr>
                <w:color w:val="231F20"/>
                <w:spacing w:val="-5"/>
                <w:w w:val="95"/>
                <w:sz w:val="14"/>
              </w:rPr>
              <w:t>3.0</w:t>
            </w:r>
          </w:p>
        </w:tc>
        <w:tc>
          <w:tcPr>
            <w:tcW w:w="582" w:type="dxa"/>
            <w:shd w:val="clear" w:color="auto" w:fill="D4E3F5"/>
          </w:tcPr>
          <w:p>
            <w:pPr>
              <w:pStyle w:val="TableParagraph"/>
              <w:ind w:left="6" w:right="6"/>
              <w:rPr>
                <w:sz w:val="14"/>
              </w:rPr>
            </w:pPr>
            <w:r>
              <w:rPr>
                <w:color w:val="231F20"/>
                <w:spacing w:val="-5"/>
                <w:w w:val="95"/>
                <w:sz w:val="14"/>
              </w:rPr>
              <w:t>3.4</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right="48"/>
              <w:rPr>
                <w:sz w:val="14"/>
              </w:rPr>
            </w:pPr>
            <w:r>
              <w:rPr>
                <w:color w:val="231F20"/>
                <w:spacing w:val="-5"/>
                <w:w w:val="95"/>
                <w:sz w:val="14"/>
              </w:rPr>
              <w:t>3.1</w:t>
            </w:r>
          </w:p>
        </w:tc>
        <w:tc>
          <w:tcPr>
            <w:tcW w:w="574" w:type="dxa"/>
            <w:shd w:val="clear" w:color="auto" w:fill="D4E3F5"/>
          </w:tcPr>
          <w:p>
            <w:pPr>
              <w:pStyle w:val="TableParagraph"/>
              <w:ind w:left="158" w:right="70"/>
              <w:rPr>
                <w:sz w:val="14"/>
              </w:rPr>
            </w:pPr>
            <w:r>
              <w:rPr>
                <w:color w:val="231F20"/>
                <w:spacing w:val="-5"/>
                <w:w w:val="95"/>
                <w:sz w:val="14"/>
              </w:rPr>
              <w:t>43</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2" w:right="48"/>
              <w:rPr>
                <w:sz w:val="14"/>
              </w:rPr>
            </w:pPr>
            <w:r>
              <w:rPr>
                <w:color w:val="231F20"/>
                <w:spacing w:val="-5"/>
                <w:w w:val="95"/>
                <w:sz w:val="14"/>
              </w:rPr>
              <w:t>3.1</w:t>
            </w:r>
          </w:p>
        </w:tc>
        <w:tc>
          <w:tcPr>
            <w:tcW w:w="574" w:type="dxa"/>
            <w:shd w:val="clear" w:color="auto" w:fill="D4E3F5"/>
          </w:tcPr>
          <w:p>
            <w:pPr>
              <w:pStyle w:val="TableParagraph"/>
              <w:ind w:left="161" w:right="72"/>
              <w:rPr>
                <w:sz w:val="14"/>
              </w:rPr>
            </w:pPr>
            <w:r>
              <w:rPr>
                <w:color w:val="231F20"/>
                <w:spacing w:val="-5"/>
                <w:w w:val="95"/>
                <w:sz w:val="14"/>
              </w:rPr>
              <w:t>52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3.0</w:t>
            </w:r>
          </w:p>
        </w:tc>
        <w:tc>
          <w:tcPr>
            <w:tcW w:w="574" w:type="dxa"/>
            <w:shd w:val="clear" w:color="auto" w:fill="D4E3F5"/>
          </w:tcPr>
          <w:p>
            <w:pPr>
              <w:pStyle w:val="TableParagraph"/>
              <w:ind w:left="161" w:right="70"/>
              <w:rPr>
                <w:sz w:val="14"/>
              </w:rPr>
            </w:pPr>
            <w:r>
              <w:rPr>
                <w:color w:val="231F20"/>
                <w:spacing w:val="-5"/>
                <w:w w:val="95"/>
                <w:sz w:val="14"/>
              </w:rPr>
              <w:t>57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5" w:right="48"/>
              <w:rPr>
                <w:sz w:val="14"/>
              </w:rPr>
            </w:pPr>
            <w:r>
              <w:rPr>
                <w:color w:val="231F20"/>
                <w:spacing w:val="-5"/>
                <w:w w:val="95"/>
                <w:sz w:val="14"/>
              </w:rPr>
              <w:t>3.3</w:t>
            </w:r>
          </w:p>
        </w:tc>
        <w:tc>
          <w:tcPr>
            <w:tcW w:w="574" w:type="dxa"/>
            <w:shd w:val="clear" w:color="auto" w:fill="D4E3F5"/>
          </w:tcPr>
          <w:p>
            <w:pPr>
              <w:pStyle w:val="TableParagraph"/>
              <w:ind w:left="161" w:right="69"/>
              <w:rPr>
                <w:sz w:val="14"/>
              </w:rPr>
            </w:pPr>
            <w:r>
              <w:rPr>
                <w:color w:val="231F20"/>
                <w:spacing w:val="-5"/>
                <w:w w:val="95"/>
                <w:sz w:val="14"/>
              </w:rPr>
              <w:t>46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7" w:right="48"/>
              <w:rPr>
                <w:sz w:val="14"/>
              </w:rPr>
            </w:pPr>
            <w:r>
              <w:rPr>
                <w:color w:val="231F20"/>
                <w:spacing w:val="-5"/>
                <w:w w:val="95"/>
                <w:sz w:val="14"/>
              </w:rPr>
              <w:t>3.5</w:t>
            </w:r>
          </w:p>
        </w:tc>
        <w:tc>
          <w:tcPr>
            <w:tcW w:w="574" w:type="dxa"/>
            <w:shd w:val="clear" w:color="auto" w:fill="D4E3F5"/>
          </w:tcPr>
          <w:p>
            <w:pPr>
              <w:pStyle w:val="TableParagraph"/>
              <w:ind w:left="161" w:right="67"/>
              <w:rPr>
                <w:sz w:val="14"/>
              </w:rPr>
            </w:pPr>
            <w:r>
              <w:rPr>
                <w:color w:val="231F20"/>
                <w:spacing w:val="-5"/>
                <w:w w:val="95"/>
                <w:sz w:val="14"/>
              </w:rPr>
              <w:t>46</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10" w:right="45"/>
              <w:rPr>
                <w:sz w:val="14"/>
              </w:rPr>
            </w:pPr>
            <w:r>
              <w:rPr>
                <w:color w:val="231F20"/>
                <w:spacing w:val="-5"/>
                <w:w w:val="95"/>
                <w:sz w:val="14"/>
              </w:rPr>
              <w:t>3.3</w:t>
            </w:r>
          </w:p>
        </w:tc>
        <w:tc>
          <w:tcPr>
            <w:tcW w:w="655" w:type="dxa"/>
            <w:shd w:val="clear" w:color="auto" w:fill="D4E3F5"/>
          </w:tcPr>
          <w:p>
            <w:pPr>
              <w:pStyle w:val="TableParagraph"/>
              <w:ind w:left="72" w:right="68"/>
              <w:rPr>
                <w:sz w:val="14"/>
              </w:rPr>
            </w:pPr>
            <w:r>
              <w:rPr>
                <w:color w:val="231F20"/>
                <w:spacing w:val="-5"/>
                <w:w w:val="95"/>
                <w:sz w:val="14"/>
              </w:rPr>
              <w:t>49</w:t>
            </w:r>
          </w:p>
        </w:tc>
      </w:tr>
      <w:tr>
        <w:trPr>
          <w:trHeight w:val="259" w:hRule="atLeast"/>
        </w:trPr>
        <w:tc>
          <w:tcPr>
            <w:tcW w:w="990" w:type="dxa"/>
          </w:tcPr>
          <w:p>
            <w:pPr>
              <w:pStyle w:val="TableParagraph"/>
              <w:ind w:left="80"/>
              <w:jc w:val="left"/>
              <w:rPr>
                <w:sz w:val="14"/>
              </w:rPr>
            </w:pPr>
            <w:r>
              <w:rPr>
                <w:color w:val="231F20"/>
                <w:spacing w:val="-2"/>
                <w:w w:val="85"/>
                <w:sz w:val="14"/>
              </w:rPr>
              <w:t>Cyprus</w:t>
            </w:r>
          </w:p>
        </w:tc>
        <w:tc>
          <w:tcPr>
            <w:tcW w:w="622" w:type="dxa"/>
          </w:tcPr>
          <w:p>
            <w:pPr>
              <w:pStyle w:val="TableParagraph"/>
              <w:ind w:left="67" w:right="101"/>
              <w:rPr>
                <w:sz w:val="14"/>
              </w:rPr>
            </w:pPr>
            <w:r>
              <w:rPr>
                <w:color w:val="231F20"/>
                <w:spacing w:val="-5"/>
                <w:w w:val="95"/>
                <w:sz w:val="14"/>
              </w:rPr>
              <w:t>51</w:t>
            </w:r>
          </w:p>
        </w:tc>
        <w:tc>
          <w:tcPr>
            <w:tcW w:w="644" w:type="dxa"/>
          </w:tcPr>
          <w:p>
            <w:pPr>
              <w:pStyle w:val="TableParagraph"/>
              <w:ind w:left="164"/>
              <w:jc w:val="left"/>
              <w:rPr>
                <w:sz w:val="14"/>
              </w:rPr>
            </w:pPr>
            <w:r>
              <w:rPr>
                <w:color w:val="231F20"/>
                <w:spacing w:val="-5"/>
                <w:w w:val="95"/>
                <w:sz w:val="14"/>
              </w:rPr>
              <w:t>3.2</w:t>
            </w:r>
          </w:p>
        </w:tc>
        <w:tc>
          <w:tcPr>
            <w:tcW w:w="480" w:type="dxa"/>
          </w:tcPr>
          <w:p>
            <w:pPr>
              <w:pStyle w:val="TableParagraph"/>
              <w:ind w:left="103"/>
              <w:jc w:val="left"/>
              <w:rPr>
                <w:sz w:val="14"/>
              </w:rPr>
            </w:pPr>
            <w:r>
              <w:rPr>
                <w:color w:val="231F20"/>
                <w:spacing w:val="-5"/>
                <w:w w:val="95"/>
                <w:sz w:val="14"/>
              </w:rPr>
              <w:t>2.9</w:t>
            </w:r>
          </w:p>
        </w:tc>
        <w:tc>
          <w:tcPr>
            <w:tcW w:w="582" w:type="dxa"/>
          </w:tcPr>
          <w:p>
            <w:pPr>
              <w:pStyle w:val="TableParagraph"/>
              <w:ind w:left="7" w:right="6"/>
              <w:rPr>
                <w:sz w:val="14"/>
              </w:rPr>
            </w:pPr>
            <w:r>
              <w:rPr>
                <w:color w:val="231F20"/>
                <w:spacing w:val="-5"/>
                <w:w w:val="95"/>
                <w:sz w:val="14"/>
              </w:rPr>
              <w:t>3.5</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2.9</w:t>
            </w:r>
          </w:p>
        </w:tc>
        <w:tc>
          <w:tcPr>
            <w:tcW w:w="574" w:type="dxa"/>
          </w:tcPr>
          <w:p>
            <w:pPr>
              <w:pStyle w:val="TableParagraph"/>
              <w:ind w:left="158" w:right="70"/>
              <w:rPr>
                <w:sz w:val="14"/>
              </w:rPr>
            </w:pPr>
            <w:r>
              <w:rPr>
                <w:color w:val="231F20"/>
                <w:spacing w:val="-5"/>
                <w:w w:val="95"/>
                <w:sz w:val="14"/>
              </w:rPr>
              <w:t>56</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2.8</w:t>
            </w:r>
          </w:p>
        </w:tc>
        <w:tc>
          <w:tcPr>
            <w:tcW w:w="574" w:type="dxa"/>
          </w:tcPr>
          <w:p>
            <w:pPr>
              <w:pStyle w:val="TableParagraph"/>
              <w:ind w:left="161" w:right="72"/>
              <w:rPr>
                <w:sz w:val="14"/>
              </w:rPr>
            </w:pPr>
            <w:r>
              <w:rPr>
                <w:color w:val="231F20"/>
                <w:spacing w:val="-5"/>
                <w:w w:val="95"/>
                <w:sz w:val="14"/>
              </w:rPr>
              <w:t>63</w:t>
            </w:r>
          </w:p>
        </w:tc>
        <w:tc>
          <w:tcPr>
            <w:tcW w:w="126" w:type="dxa"/>
          </w:tcPr>
          <w:p>
            <w:pPr>
              <w:pStyle w:val="TableParagraph"/>
              <w:spacing w:before="0"/>
              <w:jc w:val="left"/>
              <w:rPr>
                <w:rFonts w:ascii="Times New Roman"/>
                <w:sz w:val="12"/>
              </w:rPr>
            </w:pPr>
          </w:p>
        </w:tc>
        <w:tc>
          <w:tcPr>
            <w:tcW w:w="463" w:type="dxa"/>
          </w:tcPr>
          <w:p>
            <w:pPr>
              <w:pStyle w:val="TableParagraph"/>
              <w:ind w:left="3" w:right="48"/>
              <w:rPr>
                <w:sz w:val="14"/>
              </w:rPr>
            </w:pPr>
            <w:r>
              <w:rPr>
                <w:color w:val="231F20"/>
                <w:spacing w:val="-5"/>
                <w:w w:val="95"/>
                <w:sz w:val="14"/>
              </w:rPr>
              <w:t>3.1</w:t>
            </w:r>
          </w:p>
        </w:tc>
        <w:tc>
          <w:tcPr>
            <w:tcW w:w="574" w:type="dxa"/>
          </w:tcPr>
          <w:p>
            <w:pPr>
              <w:pStyle w:val="TableParagraph"/>
              <w:ind w:left="161" w:right="70"/>
              <w:rPr>
                <w:sz w:val="14"/>
              </w:rPr>
            </w:pPr>
            <w:r>
              <w:rPr>
                <w:color w:val="231F20"/>
                <w:spacing w:val="-5"/>
                <w:w w:val="95"/>
                <w:sz w:val="14"/>
              </w:rPr>
              <w:t>47</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3.2</w:t>
            </w:r>
          </w:p>
        </w:tc>
        <w:tc>
          <w:tcPr>
            <w:tcW w:w="574" w:type="dxa"/>
          </w:tcPr>
          <w:p>
            <w:pPr>
              <w:pStyle w:val="TableParagraph"/>
              <w:ind w:left="161" w:right="69"/>
              <w:rPr>
                <w:sz w:val="14"/>
              </w:rPr>
            </w:pPr>
            <w:r>
              <w:rPr>
                <w:color w:val="231F20"/>
                <w:spacing w:val="-5"/>
                <w:w w:val="95"/>
                <w:sz w:val="14"/>
              </w:rPr>
              <w:t>53</w:t>
            </w:r>
          </w:p>
        </w:tc>
        <w:tc>
          <w:tcPr>
            <w:tcW w:w="126" w:type="dxa"/>
          </w:tcPr>
          <w:p>
            <w:pPr>
              <w:pStyle w:val="TableParagraph"/>
              <w:spacing w:before="0"/>
              <w:jc w:val="left"/>
              <w:rPr>
                <w:rFonts w:ascii="Times New Roman"/>
                <w:sz w:val="12"/>
              </w:rPr>
            </w:pPr>
          </w:p>
        </w:tc>
        <w:tc>
          <w:tcPr>
            <w:tcW w:w="463" w:type="dxa"/>
          </w:tcPr>
          <w:p>
            <w:pPr>
              <w:pStyle w:val="TableParagraph"/>
              <w:ind w:left="17" w:right="48"/>
              <w:rPr>
                <w:sz w:val="14"/>
              </w:rPr>
            </w:pPr>
            <w:r>
              <w:rPr>
                <w:color w:val="231F20"/>
                <w:spacing w:val="-5"/>
                <w:w w:val="95"/>
                <w:sz w:val="14"/>
              </w:rPr>
              <w:t>3.5</w:t>
            </w:r>
          </w:p>
        </w:tc>
        <w:tc>
          <w:tcPr>
            <w:tcW w:w="574" w:type="dxa"/>
          </w:tcPr>
          <w:p>
            <w:pPr>
              <w:pStyle w:val="TableParagraph"/>
              <w:ind w:left="161" w:right="67"/>
              <w:rPr>
                <w:sz w:val="14"/>
              </w:rPr>
            </w:pPr>
            <w:r>
              <w:rPr>
                <w:color w:val="231F20"/>
                <w:spacing w:val="-5"/>
                <w:w w:val="95"/>
                <w:sz w:val="14"/>
              </w:rPr>
              <w:t>46</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3.4</w:t>
            </w:r>
          </w:p>
        </w:tc>
        <w:tc>
          <w:tcPr>
            <w:tcW w:w="655" w:type="dxa"/>
          </w:tcPr>
          <w:p>
            <w:pPr>
              <w:pStyle w:val="TableParagraph"/>
              <w:ind w:left="72" w:right="68"/>
              <w:rPr>
                <w:sz w:val="14"/>
              </w:rPr>
            </w:pPr>
            <w:r>
              <w:rPr>
                <w:color w:val="231F20"/>
                <w:spacing w:val="-5"/>
                <w:w w:val="95"/>
                <w:sz w:val="14"/>
              </w:rPr>
              <w:t>41</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Hungary</w:t>
            </w:r>
          </w:p>
        </w:tc>
        <w:tc>
          <w:tcPr>
            <w:tcW w:w="622" w:type="dxa"/>
            <w:shd w:val="clear" w:color="auto" w:fill="D4E3F5"/>
          </w:tcPr>
          <w:p>
            <w:pPr>
              <w:pStyle w:val="TableParagraph"/>
              <w:ind w:left="67" w:right="101"/>
              <w:rPr>
                <w:sz w:val="14"/>
              </w:rPr>
            </w:pPr>
            <w:r>
              <w:rPr>
                <w:color w:val="231F20"/>
                <w:spacing w:val="-5"/>
                <w:w w:val="95"/>
                <w:sz w:val="14"/>
              </w:rPr>
              <w:t>51</w:t>
            </w:r>
          </w:p>
        </w:tc>
        <w:tc>
          <w:tcPr>
            <w:tcW w:w="644" w:type="dxa"/>
            <w:shd w:val="clear" w:color="auto" w:fill="D4E3F5"/>
          </w:tcPr>
          <w:p>
            <w:pPr>
              <w:pStyle w:val="TableParagraph"/>
              <w:ind w:left="164"/>
              <w:jc w:val="left"/>
              <w:rPr>
                <w:sz w:val="14"/>
              </w:rPr>
            </w:pPr>
            <w:r>
              <w:rPr>
                <w:color w:val="231F20"/>
                <w:spacing w:val="-5"/>
                <w:w w:val="95"/>
                <w:sz w:val="14"/>
              </w:rPr>
              <w:t>3.2</w:t>
            </w:r>
          </w:p>
        </w:tc>
        <w:tc>
          <w:tcPr>
            <w:tcW w:w="480" w:type="dxa"/>
            <w:shd w:val="clear" w:color="auto" w:fill="D4E3F5"/>
          </w:tcPr>
          <w:p>
            <w:pPr>
              <w:pStyle w:val="TableParagraph"/>
              <w:ind w:left="103"/>
              <w:jc w:val="left"/>
              <w:rPr>
                <w:sz w:val="14"/>
              </w:rPr>
            </w:pPr>
            <w:r>
              <w:rPr>
                <w:color w:val="231F20"/>
                <w:spacing w:val="-5"/>
                <w:w w:val="95"/>
                <w:sz w:val="14"/>
              </w:rPr>
              <w:t>2.9</w:t>
            </w:r>
          </w:p>
        </w:tc>
        <w:tc>
          <w:tcPr>
            <w:tcW w:w="582" w:type="dxa"/>
            <w:shd w:val="clear" w:color="auto" w:fill="D4E3F5"/>
          </w:tcPr>
          <w:p>
            <w:pPr>
              <w:pStyle w:val="TableParagraph"/>
              <w:ind w:left="7" w:right="6"/>
              <w:rPr>
                <w:sz w:val="14"/>
              </w:rPr>
            </w:pPr>
            <w:r>
              <w:rPr>
                <w:color w:val="231F20"/>
                <w:spacing w:val="-5"/>
                <w:w w:val="95"/>
                <w:sz w:val="14"/>
              </w:rPr>
              <w:t>3.5</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7" w:right="48"/>
              <w:rPr>
                <w:sz w:val="14"/>
              </w:rPr>
            </w:pPr>
            <w:r>
              <w:rPr>
                <w:color w:val="231F20"/>
                <w:spacing w:val="-5"/>
                <w:w w:val="95"/>
                <w:sz w:val="14"/>
              </w:rPr>
              <w:t>2.7</w:t>
            </w:r>
          </w:p>
        </w:tc>
        <w:tc>
          <w:tcPr>
            <w:tcW w:w="574" w:type="dxa"/>
            <w:shd w:val="clear" w:color="auto" w:fill="D4E3F5"/>
          </w:tcPr>
          <w:p>
            <w:pPr>
              <w:pStyle w:val="TableParagraph"/>
              <w:ind w:left="158" w:right="70"/>
              <w:rPr>
                <w:sz w:val="14"/>
              </w:rPr>
            </w:pPr>
            <w:r>
              <w:rPr>
                <w:color w:val="231F20"/>
                <w:spacing w:val="-5"/>
                <w:w w:val="95"/>
                <w:sz w:val="14"/>
              </w:rPr>
              <w:t>65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2" w:right="48"/>
              <w:rPr>
                <w:sz w:val="14"/>
              </w:rPr>
            </w:pPr>
            <w:r>
              <w:rPr>
                <w:color w:val="231F20"/>
                <w:spacing w:val="-5"/>
                <w:w w:val="95"/>
                <w:sz w:val="14"/>
              </w:rPr>
              <w:t>3.1</w:t>
            </w:r>
          </w:p>
        </w:tc>
        <w:tc>
          <w:tcPr>
            <w:tcW w:w="574" w:type="dxa"/>
            <w:shd w:val="clear" w:color="auto" w:fill="D4E3F5"/>
          </w:tcPr>
          <w:p>
            <w:pPr>
              <w:pStyle w:val="TableParagraph"/>
              <w:ind w:left="161" w:right="72"/>
              <w:rPr>
                <w:sz w:val="14"/>
              </w:rPr>
            </w:pPr>
            <w:r>
              <w:rPr>
                <w:color w:val="231F20"/>
                <w:spacing w:val="-5"/>
                <w:w w:val="95"/>
                <w:sz w:val="14"/>
              </w:rPr>
              <w:t>52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3.4</w:t>
            </w:r>
          </w:p>
        </w:tc>
        <w:tc>
          <w:tcPr>
            <w:tcW w:w="574" w:type="dxa"/>
            <w:shd w:val="clear" w:color="auto" w:fill="D4E3F5"/>
          </w:tcPr>
          <w:p>
            <w:pPr>
              <w:pStyle w:val="TableParagraph"/>
              <w:ind w:left="161" w:right="70"/>
              <w:rPr>
                <w:sz w:val="14"/>
              </w:rPr>
            </w:pPr>
            <w:r>
              <w:rPr>
                <w:color w:val="231F20"/>
                <w:spacing w:val="-5"/>
                <w:w w:val="95"/>
                <w:sz w:val="14"/>
              </w:rPr>
              <w:t>26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5" w:right="48"/>
              <w:rPr>
                <w:sz w:val="14"/>
              </w:rPr>
            </w:pPr>
            <w:r>
              <w:rPr>
                <w:color w:val="231F20"/>
                <w:spacing w:val="-5"/>
                <w:w w:val="95"/>
                <w:sz w:val="14"/>
              </w:rPr>
              <w:t>3.1</w:t>
            </w:r>
          </w:p>
        </w:tc>
        <w:tc>
          <w:tcPr>
            <w:tcW w:w="574" w:type="dxa"/>
            <w:shd w:val="clear" w:color="auto" w:fill="D4E3F5"/>
          </w:tcPr>
          <w:p>
            <w:pPr>
              <w:pStyle w:val="TableParagraph"/>
              <w:ind w:left="161" w:right="69"/>
              <w:rPr>
                <w:sz w:val="14"/>
              </w:rPr>
            </w:pPr>
            <w:r>
              <w:rPr>
                <w:color w:val="231F20"/>
                <w:spacing w:val="-5"/>
                <w:w w:val="95"/>
                <w:sz w:val="14"/>
              </w:rPr>
              <w:t>57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6" w:right="48"/>
              <w:rPr>
                <w:sz w:val="14"/>
              </w:rPr>
            </w:pPr>
            <w:r>
              <w:rPr>
                <w:color w:val="231F20"/>
                <w:spacing w:val="-5"/>
                <w:w w:val="95"/>
                <w:sz w:val="14"/>
              </w:rPr>
              <w:t>3.6</w:t>
            </w:r>
          </w:p>
        </w:tc>
        <w:tc>
          <w:tcPr>
            <w:tcW w:w="574" w:type="dxa"/>
            <w:shd w:val="clear" w:color="auto" w:fill="D4E3F5"/>
          </w:tcPr>
          <w:p>
            <w:pPr>
              <w:pStyle w:val="TableParagraph"/>
              <w:ind w:left="161" w:right="67"/>
              <w:rPr>
                <w:sz w:val="14"/>
              </w:rPr>
            </w:pPr>
            <w:r>
              <w:rPr>
                <w:color w:val="231F20"/>
                <w:spacing w:val="-5"/>
                <w:w w:val="95"/>
                <w:sz w:val="14"/>
              </w:rPr>
              <w:t>35</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3.4</w:t>
            </w:r>
          </w:p>
        </w:tc>
        <w:tc>
          <w:tcPr>
            <w:tcW w:w="655" w:type="dxa"/>
            <w:shd w:val="clear" w:color="auto" w:fill="D4E3F5"/>
          </w:tcPr>
          <w:p>
            <w:pPr>
              <w:pStyle w:val="TableParagraph"/>
              <w:ind w:left="72" w:right="68"/>
              <w:rPr>
                <w:sz w:val="14"/>
              </w:rPr>
            </w:pPr>
            <w:r>
              <w:rPr>
                <w:color w:val="231F20"/>
                <w:spacing w:val="-5"/>
                <w:w w:val="95"/>
                <w:sz w:val="14"/>
              </w:rPr>
              <w:t>41</w:t>
            </w:r>
          </w:p>
        </w:tc>
      </w:tr>
      <w:tr>
        <w:trPr>
          <w:trHeight w:val="259" w:hRule="atLeast"/>
        </w:trPr>
        <w:tc>
          <w:tcPr>
            <w:tcW w:w="990" w:type="dxa"/>
          </w:tcPr>
          <w:p>
            <w:pPr>
              <w:pStyle w:val="TableParagraph"/>
              <w:ind w:left="80"/>
              <w:jc w:val="left"/>
              <w:rPr>
                <w:sz w:val="14"/>
              </w:rPr>
            </w:pPr>
            <w:r>
              <w:rPr>
                <w:color w:val="231F20"/>
                <w:spacing w:val="-2"/>
                <w:w w:val="90"/>
                <w:sz w:val="14"/>
              </w:rPr>
              <w:t>Kuwait</w:t>
            </w:r>
          </w:p>
        </w:tc>
        <w:tc>
          <w:tcPr>
            <w:tcW w:w="622" w:type="dxa"/>
          </w:tcPr>
          <w:p>
            <w:pPr>
              <w:pStyle w:val="TableParagraph"/>
              <w:ind w:left="67" w:right="101"/>
              <w:rPr>
                <w:sz w:val="14"/>
              </w:rPr>
            </w:pPr>
            <w:r>
              <w:rPr>
                <w:color w:val="231F20"/>
                <w:spacing w:val="-5"/>
                <w:w w:val="95"/>
                <w:sz w:val="14"/>
              </w:rPr>
              <w:t>51</w:t>
            </w:r>
          </w:p>
        </w:tc>
        <w:tc>
          <w:tcPr>
            <w:tcW w:w="644" w:type="dxa"/>
          </w:tcPr>
          <w:p>
            <w:pPr>
              <w:pStyle w:val="TableParagraph"/>
              <w:ind w:left="164"/>
              <w:jc w:val="left"/>
              <w:rPr>
                <w:sz w:val="14"/>
              </w:rPr>
            </w:pPr>
            <w:r>
              <w:rPr>
                <w:color w:val="231F20"/>
                <w:spacing w:val="-5"/>
                <w:w w:val="95"/>
                <w:sz w:val="14"/>
              </w:rPr>
              <w:t>3.2</w:t>
            </w:r>
          </w:p>
        </w:tc>
        <w:tc>
          <w:tcPr>
            <w:tcW w:w="480" w:type="dxa"/>
          </w:tcPr>
          <w:p>
            <w:pPr>
              <w:pStyle w:val="TableParagraph"/>
              <w:ind w:left="103"/>
              <w:jc w:val="left"/>
              <w:rPr>
                <w:sz w:val="14"/>
              </w:rPr>
            </w:pPr>
            <w:r>
              <w:rPr>
                <w:color w:val="231F20"/>
                <w:spacing w:val="-5"/>
                <w:w w:val="95"/>
                <w:sz w:val="14"/>
              </w:rPr>
              <w:t>2.9</w:t>
            </w:r>
          </w:p>
        </w:tc>
        <w:tc>
          <w:tcPr>
            <w:tcW w:w="582" w:type="dxa"/>
          </w:tcPr>
          <w:p>
            <w:pPr>
              <w:pStyle w:val="TableParagraph"/>
              <w:ind w:left="7" w:right="6"/>
              <w:rPr>
                <w:sz w:val="14"/>
              </w:rPr>
            </w:pPr>
            <w:r>
              <w:rPr>
                <w:color w:val="231F20"/>
                <w:spacing w:val="-5"/>
                <w:w w:val="95"/>
                <w:sz w:val="14"/>
              </w:rPr>
              <w:t>3.5</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3.2</w:t>
            </w:r>
          </w:p>
        </w:tc>
        <w:tc>
          <w:tcPr>
            <w:tcW w:w="574" w:type="dxa"/>
          </w:tcPr>
          <w:p>
            <w:pPr>
              <w:pStyle w:val="TableParagraph"/>
              <w:ind w:left="158" w:right="70"/>
              <w:rPr>
                <w:sz w:val="14"/>
              </w:rPr>
            </w:pPr>
            <w:r>
              <w:rPr>
                <w:color w:val="231F20"/>
                <w:spacing w:val="-5"/>
                <w:w w:val="95"/>
                <w:sz w:val="14"/>
              </w:rPr>
              <w:t>37</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3.6</w:t>
            </w:r>
          </w:p>
        </w:tc>
        <w:tc>
          <w:tcPr>
            <w:tcW w:w="574" w:type="dxa"/>
          </w:tcPr>
          <w:p>
            <w:pPr>
              <w:pStyle w:val="TableParagraph"/>
              <w:ind w:left="161" w:right="72"/>
              <w:rPr>
                <w:sz w:val="14"/>
              </w:rPr>
            </w:pPr>
            <w:r>
              <w:rPr>
                <w:color w:val="231F20"/>
                <w:spacing w:val="-5"/>
                <w:w w:val="95"/>
                <w:sz w:val="14"/>
              </w:rPr>
              <w:t>30</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3.2</w:t>
            </w:r>
          </w:p>
        </w:tc>
        <w:tc>
          <w:tcPr>
            <w:tcW w:w="574" w:type="dxa"/>
          </w:tcPr>
          <w:p>
            <w:pPr>
              <w:pStyle w:val="TableParagraph"/>
              <w:ind w:left="161" w:right="70"/>
              <w:rPr>
                <w:sz w:val="14"/>
              </w:rPr>
            </w:pPr>
            <w:r>
              <w:rPr>
                <w:color w:val="231F20"/>
                <w:spacing w:val="-5"/>
                <w:w w:val="95"/>
                <w:sz w:val="14"/>
              </w:rPr>
              <w:t>43</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2.9</w:t>
            </w:r>
          </w:p>
        </w:tc>
        <w:tc>
          <w:tcPr>
            <w:tcW w:w="574" w:type="dxa"/>
          </w:tcPr>
          <w:p>
            <w:pPr>
              <w:pStyle w:val="TableParagraph"/>
              <w:ind w:left="161" w:right="69"/>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2.8</w:t>
            </w:r>
          </w:p>
        </w:tc>
        <w:tc>
          <w:tcPr>
            <w:tcW w:w="574" w:type="dxa"/>
          </w:tcPr>
          <w:p>
            <w:pPr>
              <w:pStyle w:val="TableParagraph"/>
              <w:ind w:left="161" w:right="132"/>
              <w:rPr>
                <w:sz w:val="14"/>
              </w:rPr>
            </w:pPr>
            <w:r>
              <w:rPr>
                <w:color w:val="231F20"/>
                <w:spacing w:val="-5"/>
                <w:w w:val="95"/>
                <w:sz w:val="14"/>
              </w:rPr>
              <w:t>101</w:t>
            </w:r>
          </w:p>
        </w:tc>
        <w:tc>
          <w:tcPr>
            <w:tcW w:w="126" w:type="dxa"/>
          </w:tcPr>
          <w:p>
            <w:pPr>
              <w:pStyle w:val="TableParagraph"/>
              <w:spacing w:before="0"/>
              <w:jc w:val="left"/>
              <w:rPr>
                <w:rFonts w:ascii="Times New Roman"/>
                <w:sz w:val="12"/>
              </w:rPr>
            </w:pPr>
          </w:p>
        </w:tc>
        <w:tc>
          <w:tcPr>
            <w:tcW w:w="468" w:type="dxa"/>
          </w:tcPr>
          <w:p>
            <w:pPr>
              <w:pStyle w:val="TableParagraph"/>
              <w:ind w:left="10" w:right="45"/>
              <w:rPr>
                <w:sz w:val="14"/>
              </w:rPr>
            </w:pPr>
            <w:r>
              <w:rPr>
                <w:color w:val="231F20"/>
                <w:spacing w:val="-5"/>
                <w:w w:val="95"/>
                <w:sz w:val="14"/>
              </w:rPr>
              <w:t>3.3</w:t>
            </w:r>
          </w:p>
        </w:tc>
        <w:tc>
          <w:tcPr>
            <w:tcW w:w="655" w:type="dxa"/>
          </w:tcPr>
          <w:p>
            <w:pPr>
              <w:pStyle w:val="TableParagraph"/>
              <w:ind w:left="72" w:right="68"/>
              <w:rPr>
                <w:sz w:val="14"/>
              </w:rPr>
            </w:pPr>
            <w:r>
              <w:rPr>
                <w:color w:val="231F20"/>
                <w:spacing w:val="-5"/>
                <w:w w:val="95"/>
                <w:sz w:val="14"/>
              </w:rPr>
              <w:t>49</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Romania</w:t>
            </w:r>
          </w:p>
        </w:tc>
        <w:tc>
          <w:tcPr>
            <w:tcW w:w="622" w:type="dxa"/>
            <w:shd w:val="clear" w:color="auto" w:fill="D4E3F5"/>
          </w:tcPr>
          <w:p>
            <w:pPr>
              <w:pStyle w:val="TableParagraph"/>
              <w:ind w:left="67" w:right="101"/>
              <w:rPr>
                <w:sz w:val="14"/>
              </w:rPr>
            </w:pPr>
            <w:r>
              <w:rPr>
                <w:color w:val="231F20"/>
                <w:spacing w:val="-5"/>
                <w:w w:val="95"/>
                <w:sz w:val="14"/>
              </w:rPr>
              <w:t>51</w:t>
            </w:r>
          </w:p>
        </w:tc>
        <w:tc>
          <w:tcPr>
            <w:tcW w:w="644" w:type="dxa"/>
            <w:shd w:val="clear" w:color="auto" w:fill="D4E3F5"/>
          </w:tcPr>
          <w:p>
            <w:pPr>
              <w:pStyle w:val="TableParagraph"/>
              <w:ind w:left="164"/>
              <w:jc w:val="left"/>
              <w:rPr>
                <w:sz w:val="14"/>
              </w:rPr>
            </w:pPr>
            <w:r>
              <w:rPr>
                <w:color w:val="231F20"/>
                <w:spacing w:val="-5"/>
                <w:w w:val="95"/>
                <w:sz w:val="14"/>
              </w:rPr>
              <w:t>3.2</w:t>
            </w:r>
          </w:p>
        </w:tc>
        <w:tc>
          <w:tcPr>
            <w:tcW w:w="480" w:type="dxa"/>
            <w:shd w:val="clear" w:color="auto" w:fill="D4E3F5"/>
          </w:tcPr>
          <w:p>
            <w:pPr>
              <w:pStyle w:val="TableParagraph"/>
              <w:ind w:left="103"/>
              <w:jc w:val="left"/>
              <w:rPr>
                <w:sz w:val="14"/>
              </w:rPr>
            </w:pPr>
            <w:r>
              <w:rPr>
                <w:color w:val="231F20"/>
                <w:spacing w:val="-5"/>
                <w:w w:val="95"/>
                <w:sz w:val="14"/>
              </w:rPr>
              <w:t>3.0</w:t>
            </w:r>
          </w:p>
        </w:tc>
        <w:tc>
          <w:tcPr>
            <w:tcW w:w="582" w:type="dxa"/>
            <w:shd w:val="clear" w:color="auto" w:fill="D4E3F5"/>
          </w:tcPr>
          <w:p>
            <w:pPr>
              <w:pStyle w:val="TableParagraph"/>
              <w:ind w:left="6" w:right="6"/>
              <w:rPr>
                <w:sz w:val="14"/>
              </w:rPr>
            </w:pPr>
            <w:r>
              <w:rPr>
                <w:color w:val="231F20"/>
                <w:spacing w:val="-5"/>
                <w:w w:val="95"/>
                <w:sz w:val="14"/>
              </w:rPr>
              <w:t>3.4</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7" w:right="48"/>
              <w:rPr>
                <w:sz w:val="14"/>
              </w:rPr>
            </w:pPr>
            <w:r>
              <w:rPr>
                <w:color w:val="231F20"/>
                <w:spacing w:val="-5"/>
                <w:w w:val="95"/>
                <w:sz w:val="14"/>
              </w:rPr>
              <w:t>2.7</w:t>
            </w:r>
          </w:p>
        </w:tc>
        <w:tc>
          <w:tcPr>
            <w:tcW w:w="574" w:type="dxa"/>
            <w:shd w:val="clear" w:color="auto" w:fill="D4E3F5"/>
          </w:tcPr>
          <w:p>
            <w:pPr>
              <w:pStyle w:val="TableParagraph"/>
              <w:ind w:left="158" w:right="70"/>
              <w:rPr>
                <w:sz w:val="14"/>
              </w:rPr>
            </w:pPr>
            <w:r>
              <w:rPr>
                <w:color w:val="231F20"/>
                <w:spacing w:val="-5"/>
                <w:w w:val="95"/>
                <w:sz w:val="14"/>
              </w:rPr>
              <w:t>65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2.9</w:t>
            </w:r>
          </w:p>
        </w:tc>
        <w:tc>
          <w:tcPr>
            <w:tcW w:w="574" w:type="dxa"/>
            <w:shd w:val="clear" w:color="auto" w:fill="D4E3F5"/>
          </w:tcPr>
          <w:p>
            <w:pPr>
              <w:pStyle w:val="TableParagraph"/>
              <w:ind w:left="161" w:right="72"/>
              <w:rPr>
                <w:sz w:val="14"/>
              </w:rPr>
            </w:pPr>
            <w:r>
              <w:rPr>
                <w:color w:val="231F20"/>
                <w:spacing w:val="-5"/>
                <w:w w:val="95"/>
                <w:sz w:val="14"/>
              </w:rPr>
              <w:t>59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3.4</w:t>
            </w:r>
          </w:p>
        </w:tc>
        <w:tc>
          <w:tcPr>
            <w:tcW w:w="574" w:type="dxa"/>
            <w:shd w:val="clear" w:color="auto" w:fill="D4E3F5"/>
          </w:tcPr>
          <w:p>
            <w:pPr>
              <w:pStyle w:val="TableParagraph"/>
              <w:ind w:left="161" w:right="70"/>
              <w:rPr>
                <w:sz w:val="14"/>
              </w:rPr>
            </w:pPr>
            <w:r>
              <w:rPr>
                <w:color w:val="231F20"/>
                <w:spacing w:val="-5"/>
                <w:w w:val="95"/>
                <w:sz w:val="14"/>
              </w:rPr>
              <w:t>26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5" w:right="48"/>
              <w:rPr>
                <w:sz w:val="14"/>
              </w:rPr>
            </w:pPr>
            <w:r>
              <w:rPr>
                <w:color w:val="231F20"/>
                <w:spacing w:val="-5"/>
                <w:w w:val="95"/>
                <w:sz w:val="14"/>
              </w:rPr>
              <w:t>3.3</w:t>
            </w:r>
          </w:p>
        </w:tc>
        <w:tc>
          <w:tcPr>
            <w:tcW w:w="574" w:type="dxa"/>
            <w:shd w:val="clear" w:color="auto" w:fill="D4E3F5"/>
          </w:tcPr>
          <w:p>
            <w:pPr>
              <w:pStyle w:val="TableParagraph"/>
              <w:ind w:left="161" w:right="69"/>
              <w:rPr>
                <w:sz w:val="14"/>
              </w:rPr>
            </w:pPr>
            <w:r>
              <w:rPr>
                <w:color w:val="231F20"/>
                <w:spacing w:val="-5"/>
                <w:w w:val="95"/>
                <w:sz w:val="14"/>
              </w:rPr>
              <w:t>46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6" w:right="48"/>
              <w:rPr>
                <w:sz w:val="14"/>
              </w:rPr>
            </w:pPr>
            <w:r>
              <w:rPr>
                <w:color w:val="231F20"/>
                <w:spacing w:val="-5"/>
                <w:w w:val="95"/>
                <w:sz w:val="14"/>
              </w:rPr>
              <w:t>3.6</w:t>
            </w:r>
          </w:p>
        </w:tc>
        <w:tc>
          <w:tcPr>
            <w:tcW w:w="574" w:type="dxa"/>
            <w:shd w:val="clear" w:color="auto" w:fill="D4E3F5"/>
          </w:tcPr>
          <w:p>
            <w:pPr>
              <w:pStyle w:val="TableParagraph"/>
              <w:ind w:left="161" w:right="67"/>
              <w:rPr>
                <w:sz w:val="14"/>
              </w:rPr>
            </w:pPr>
            <w:r>
              <w:rPr>
                <w:color w:val="231F20"/>
                <w:spacing w:val="-5"/>
                <w:w w:val="95"/>
                <w:sz w:val="14"/>
              </w:rPr>
              <w:t>35</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10" w:right="45"/>
              <w:rPr>
                <w:sz w:val="14"/>
              </w:rPr>
            </w:pPr>
            <w:r>
              <w:rPr>
                <w:color w:val="231F20"/>
                <w:spacing w:val="-5"/>
                <w:w w:val="95"/>
                <w:sz w:val="14"/>
              </w:rPr>
              <w:t>3.5</w:t>
            </w:r>
          </w:p>
        </w:tc>
        <w:tc>
          <w:tcPr>
            <w:tcW w:w="655" w:type="dxa"/>
            <w:shd w:val="clear" w:color="auto" w:fill="D4E3F5"/>
          </w:tcPr>
          <w:p>
            <w:pPr>
              <w:pStyle w:val="TableParagraph"/>
              <w:ind w:left="72" w:right="68"/>
              <w:rPr>
                <w:sz w:val="14"/>
              </w:rPr>
            </w:pPr>
            <w:r>
              <w:rPr>
                <w:color w:val="231F20"/>
                <w:spacing w:val="-5"/>
                <w:w w:val="95"/>
                <w:sz w:val="14"/>
              </w:rPr>
              <w:t>37</w:t>
            </w:r>
          </w:p>
        </w:tc>
      </w:tr>
      <w:tr>
        <w:trPr>
          <w:trHeight w:val="259" w:hRule="atLeast"/>
        </w:trPr>
        <w:tc>
          <w:tcPr>
            <w:tcW w:w="990" w:type="dxa"/>
          </w:tcPr>
          <w:p>
            <w:pPr>
              <w:pStyle w:val="TableParagraph"/>
              <w:ind w:left="80"/>
              <w:jc w:val="left"/>
              <w:rPr>
                <w:sz w:val="14"/>
              </w:rPr>
            </w:pPr>
            <w:r>
              <w:rPr>
                <w:color w:val="231F20"/>
                <w:spacing w:val="-2"/>
                <w:w w:val="90"/>
                <w:sz w:val="14"/>
              </w:rPr>
              <w:t>Botswana</w:t>
            </w:r>
          </w:p>
        </w:tc>
        <w:tc>
          <w:tcPr>
            <w:tcW w:w="622" w:type="dxa"/>
          </w:tcPr>
          <w:p>
            <w:pPr>
              <w:pStyle w:val="TableParagraph"/>
              <w:ind w:left="67" w:right="101"/>
              <w:rPr>
                <w:sz w:val="14"/>
              </w:rPr>
            </w:pPr>
            <w:r>
              <w:rPr>
                <w:color w:val="231F20"/>
                <w:spacing w:val="-5"/>
                <w:w w:val="95"/>
                <w:sz w:val="14"/>
              </w:rPr>
              <w:t>57</w:t>
            </w:r>
          </w:p>
        </w:tc>
        <w:tc>
          <w:tcPr>
            <w:tcW w:w="644" w:type="dxa"/>
          </w:tcPr>
          <w:p>
            <w:pPr>
              <w:pStyle w:val="TableParagraph"/>
              <w:ind w:left="169"/>
              <w:jc w:val="left"/>
              <w:rPr>
                <w:sz w:val="14"/>
              </w:rPr>
            </w:pPr>
            <w:r>
              <w:rPr>
                <w:color w:val="231F20"/>
                <w:spacing w:val="-5"/>
                <w:w w:val="95"/>
                <w:sz w:val="14"/>
              </w:rPr>
              <w:t>3.1</w:t>
            </w:r>
          </w:p>
        </w:tc>
        <w:tc>
          <w:tcPr>
            <w:tcW w:w="480" w:type="dxa"/>
          </w:tcPr>
          <w:p>
            <w:pPr>
              <w:pStyle w:val="TableParagraph"/>
              <w:ind w:left="103"/>
              <w:jc w:val="left"/>
              <w:rPr>
                <w:sz w:val="14"/>
              </w:rPr>
            </w:pPr>
            <w:r>
              <w:rPr>
                <w:color w:val="231F20"/>
                <w:spacing w:val="-5"/>
                <w:w w:val="95"/>
                <w:sz w:val="14"/>
              </w:rPr>
              <w:t>2.6</w:t>
            </w:r>
          </w:p>
        </w:tc>
        <w:tc>
          <w:tcPr>
            <w:tcW w:w="582" w:type="dxa"/>
          </w:tcPr>
          <w:p>
            <w:pPr>
              <w:pStyle w:val="TableParagraph"/>
              <w:ind w:left="6" w:right="6"/>
              <w:rPr>
                <w:sz w:val="14"/>
              </w:rPr>
            </w:pPr>
            <w:r>
              <w:rPr>
                <w:color w:val="231F20"/>
                <w:spacing w:val="-5"/>
                <w:w w:val="95"/>
                <w:sz w:val="14"/>
              </w:rPr>
              <w:t>3.6</w:t>
            </w:r>
          </w:p>
        </w:tc>
        <w:tc>
          <w:tcPr>
            <w:tcW w:w="80"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3.0</w:t>
            </w:r>
          </w:p>
        </w:tc>
        <w:tc>
          <w:tcPr>
            <w:tcW w:w="574" w:type="dxa"/>
          </w:tcPr>
          <w:p>
            <w:pPr>
              <w:pStyle w:val="TableParagraph"/>
              <w:ind w:left="158" w:right="70"/>
              <w:rPr>
                <w:sz w:val="14"/>
              </w:rPr>
            </w:pPr>
            <w:r>
              <w:rPr>
                <w:color w:val="231F20"/>
                <w:spacing w:val="-5"/>
                <w:w w:val="95"/>
                <w:sz w:val="14"/>
              </w:rPr>
              <w:t>47</w:t>
            </w:r>
          </w:p>
        </w:tc>
        <w:tc>
          <w:tcPr>
            <w:tcW w:w="126" w:type="dxa"/>
          </w:tcPr>
          <w:p>
            <w:pPr>
              <w:pStyle w:val="TableParagraph"/>
              <w:spacing w:before="0"/>
              <w:jc w:val="left"/>
              <w:rPr>
                <w:rFonts w:ascii="Times New Roman"/>
                <w:sz w:val="12"/>
              </w:rPr>
            </w:pPr>
          </w:p>
        </w:tc>
        <w:tc>
          <w:tcPr>
            <w:tcW w:w="463" w:type="dxa"/>
          </w:tcPr>
          <w:p>
            <w:pPr>
              <w:pStyle w:val="TableParagraph"/>
              <w:ind w:left="2" w:right="48"/>
              <w:rPr>
                <w:sz w:val="14"/>
              </w:rPr>
            </w:pPr>
            <w:r>
              <w:rPr>
                <w:color w:val="231F20"/>
                <w:spacing w:val="-5"/>
                <w:w w:val="95"/>
                <w:sz w:val="14"/>
              </w:rPr>
              <w:t>3.1</w:t>
            </w:r>
          </w:p>
        </w:tc>
        <w:tc>
          <w:tcPr>
            <w:tcW w:w="574" w:type="dxa"/>
          </w:tcPr>
          <w:p>
            <w:pPr>
              <w:pStyle w:val="TableParagraph"/>
              <w:ind w:left="161" w:right="72"/>
              <w:rPr>
                <w:sz w:val="14"/>
              </w:rPr>
            </w:pPr>
            <w:r>
              <w:rPr>
                <w:color w:val="231F20"/>
                <w:spacing w:val="-5"/>
                <w:w w:val="95"/>
                <w:sz w:val="14"/>
              </w:rPr>
              <w:t>52</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3.0</w:t>
            </w:r>
          </w:p>
        </w:tc>
        <w:tc>
          <w:tcPr>
            <w:tcW w:w="574" w:type="dxa"/>
          </w:tcPr>
          <w:p>
            <w:pPr>
              <w:pStyle w:val="TableParagraph"/>
              <w:ind w:left="161" w:right="70"/>
              <w:rPr>
                <w:sz w:val="14"/>
              </w:rPr>
            </w:pPr>
            <w:r>
              <w:rPr>
                <w:color w:val="231F20"/>
                <w:spacing w:val="-5"/>
                <w:w w:val="95"/>
                <w:sz w:val="14"/>
              </w:rPr>
              <w:t>57</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3.4</w:t>
            </w:r>
          </w:p>
        </w:tc>
        <w:tc>
          <w:tcPr>
            <w:tcW w:w="574" w:type="dxa"/>
          </w:tcPr>
          <w:p>
            <w:pPr>
              <w:pStyle w:val="TableParagraph"/>
              <w:ind w:left="161" w:right="69"/>
              <w:rPr>
                <w:sz w:val="14"/>
              </w:rPr>
            </w:pPr>
            <w:r>
              <w:rPr>
                <w:color w:val="231F20"/>
                <w:spacing w:val="-5"/>
                <w:w w:val="95"/>
                <w:sz w:val="14"/>
              </w:rPr>
              <w:t>42</w:t>
            </w:r>
          </w:p>
        </w:tc>
        <w:tc>
          <w:tcPr>
            <w:tcW w:w="126" w:type="dxa"/>
          </w:tcPr>
          <w:p>
            <w:pPr>
              <w:pStyle w:val="TableParagraph"/>
              <w:spacing w:before="0"/>
              <w:jc w:val="left"/>
              <w:rPr>
                <w:rFonts w:ascii="Times New Roman"/>
                <w:sz w:val="12"/>
              </w:rPr>
            </w:pPr>
          </w:p>
        </w:tc>
        <w:tc>
          <w:tcPr>
            <w:tcW w:w="463" w:type="dxa"/>
          </w:tcPr>
          <w:p>
            <w:pPr>
              <w:pStyle w:val="TableParagraph"/>
              <w:ind w:left="17" w:right="48"/>
              <w:rPr>
                <w:sz w:val="14"/>
              </w:rPr>
            </w:pPr>
            <w:r>
              <w:rPr>
                <w:color w:val="231F20"/>
                <w:spacing w:val="-5"/>
                <w:w w:val="95"/>
                <w:sz w:val="14"/>
              </w:rPr>
              <w:t>3.3</w:t>
            </w:r>
          </w:p>
        </w:tc>
        <w:tc>
          <w:tcPr>
            <w:tcW w:w="574" w:type="dxa"/>
          </w:tcPr>
          <w:p>
            <w:pPr>
              <w:pStyle w:val="TableParagraph"/>
              <w:ind w:left="161" w:right="67"/>
              <w:rPr>
                <w:sz w:val="14"/>
              </w:rPr>
            </w:pPr>
            <w:r>
              <w:rPr>
                <w:color w:val="231F20"/>
                <w:spacing w:val="-5"/>
                <w:w w:val="95"/>
                <w:sz w:val="14"/>
              </w:rPr>
              <w:t>59</w:t>
            </w:r>
          </w:p>
        </w:tc>
        <w:tc>
          <w:tcPr>
            <w:tcW w:w="126" w:type="dxa"/>
          </w:tcPr>
          <w:p>
            <w:pPr>
              <w:pStyle w:val="TableParagraph"/>
              <w:spacing w:before="0"/>
              <w:jc w:val="left"/>
              <w:rPr>
                <w:rFonts w:ascii="Times New Roman"/>
                <w:sz w:val="12"/>
              </w:rPr>
            </w:pPr>
          </w:p>
        </w:tc>
        <w:tc>
          <w:tcPr>
            <w:tcW w:w="468" w:type="dxa"/>
          </w:tcPr>
          <w:p>
            <w:pPr>
              <w:pStyle w:val="TableParagraph"/>
              <w:ind w:left="9" w:right="45"/>
              <w:rPr>
                <w:sz w:val="14"/>
              </w:rPr>
            </w:pPr>
            <w:r>
              <w:rPr>
                <w:color w:val="231F20"/>
                <w:spacing w:val="-5"/>
                <w:w w:val="95"/>
                <w:sz w:val="14"/>
              </w:rPr>
              <w:t>3.0</w:t>
            </w:r>
          </w:p>
        </w:tc>
        <w:tc>
          <w:tcPr>
            <w:tcW w:w="655" w:type="dxa"/>
          </w:tcPr>
          <w:p>
            <w:pPr>
              <w:pStyle w:val="TableParagraph"/>
              <w:ind w:left="72" w:right="68"/>
              <w:rPr>
                <w:sz w:val="14"/>
              </w:rPr>
            </w:pPr>
            <w:r>
              <w:rPr>
                <w:color w:val="231F20"/>
                <w:spacing w:val="-5"/>
                <w:w w:val="95"/>
                <w:sz w:val="14"/>
              </w:rPr>
              <w:t>65</w:t>
            </w:r>
          </w:p>
        </w:tc>
      </w:tr>
      <w:tr>
        <w:trPr>
          <w:trHeight w:val="259" w:hRule="atLeast"/>
        </w:trPr>
        <w:tc>
          <w:tcPr>
            <w:tcW w:w="990" w:type="dxa"/>
            <w:shd w:val="clear" w:color="auto" w:fill="D4E3F5"/>
          </w:tcPr>
          <w:p>
            <w:pPr>
              <w:pStyle w:val="TableParagraph"/>
              <w:ind w:left="80"/>
              <w:jc w:val="left"/>
              <w:rPr>
                <w:sz w:val="14"/>
              </w:rPr>
            </w:pPr>
            <w:r>
              <w:rPr>
                <w:color w:val="231F20"/>
                <w:w w:val="75"/>
                <w:sz w:val="14"/>
              </w:rPr>
              <w:t>Egypt,</w:t>
            </w:r>
            <w:r>
              <w:rPr>
                <w:color w:val="231F20"/>
                <w:spacing w:val="5"/>
                <w:sz w:val="14"/>
              </w:rPr>
              <w:t> </w:t>
            </w:r>
            <w:r>
              <w:rPr>
                <w:color w:val="231F20"/>
                <w:w w:val="75"/>
                <w:sz w:val="14"/>
              </w:rPr>
              <w:t>Arab</w:t>
            </w:r>
            <w:r>
              <w:rPr>
                <w:color w:val="231F20"/>
                <w:spacing w:val="7"/>
                <w:sz w:val="14"/>
              </w:rPr>
              <w:t> </w:t>
            </w:r>
            <w:r>
              <w:rPr>
                <w:color w:val="231F20"/>
                <w:spacing w:val="-4"/>
                <w:w w:val="75"/>
                <w:sz w:val="14"/>
              </w:rPr>
              <w:t>Rep.</w:t>
            </w:r>
          </w:p>
        </w:tc>
        <w:tc>
          <w:tcPr>
            <w:tcW w:w="622" w:type="dxa"/>
            <w:shd w:val="clear" w:color="auto" w:fill="D4E3F5"/>
          </w:tcPr>
          <w:p>
            <w:pPr>
              <w:pStyle w:val="TableParagraph"/>
              <w:ind w:left="67" w:right="101"/>
              <w:rPr>
                <w:sz w:val="14"/>
              </w:rPr>
            </w:pPr>
            <w:r>
              <w:rPr>
                <w:color w:val="231F20"/>
                <w:spacing w:val="-5"/>
                <w:w w:val="95"/>
                <w:sz w:val="14"/>
              </w:rPr>
              <w:t>57</w:t>
            </w:r>
          </w:p>
        </w:tc>
        <w:tc>
          <w:tcPr>
            <w:tcW w:w="644" w:type="dxa"/>
            <w:shd w:val="clear" w:color="auto" w:fill="D4E3F5"/>
          </w:tcPr>
          <w:p>
            <w:pPr>
              <w:pStyle w:val="TableParagraph"/>
              <w:ind w:left="169"/>
              <w:jc w:val="left"/>
              <w:rPr>
                <w:sz w:val="14"/>
              </w:rPr>
            </w:pPr>
            <w:r>
              <w:rPr>
                <w:color w:val="231F20"/>
                <w:spacing w:val="-5"/>
                <w:w w:val="95"/>
                <w:sz w:val="14"/>
              </w:rPr>
              <w:t>3.1</w:t>
            </w:r>
          </w:p>
        </w:tc>
        <w:tc>
          <w:tcPr>
            <w:tcW w:w="480" w:type="dxa"/>
            <w:shd w:val="clear" w:color="auto" w:fill="D4E3F5"/>
          </w:tcPr>
          <w:p>
            <w:pPr>
              <w:pStyle w:val="TableParagraph"/>
              <w:ind w:left="103"/>
              <w:jc w:val="left"/>
              <w:rPr>
                <w:sz w:val="14"/>
              </w:rPr>
            </w:pPr>
            <w:r>
              <w:rPr>
                <w:color w:val="231F20"/>
                <w:spacing w:val="-5"/>
                <w:w w:val="95"/>
                <w:sz w:val="14"/>
              </w:rPr>
              <w:t>2.9</w:t>
            </w:r>
          </w:p>
        </w:tc>
        <w:tc>
          <w:tcPr>
            <w:tcW w:w="582" w:type="dxa"/>
            <w:shd w:val="clear" w:color="auto" w:fill="D4E3F5"/>
          </w:tcPr>
          <w:p>
            <w:pPr>
              <w:pStyle w:val="TableParagraph"/>
              <w:ind w:left="7" w:right="6"/>
              <w:rPr>
                <w:sz w:val="14"/>
              </w:rPr>
            </w:pPr>
            <w:r>
              <w:rPr>
                <w:color w:val="231F20"/>
                <w:spacing w:val="-5"/>
                <w:w w:val="95"/>
                <w:sz w:val="14"/>
              </w:rPr>
              <w:t>3.3</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2.8</w:t>
            </w:r>
          </w:p>
        </w:tc>
        <w:tc>
          <w:tcPr>
            <w:tcW w:w="574" w:type="dxa"/>
            <w:shd w:val="clear" w:color="auto" w:fill="D4E3F5"/>
          </w:tcPr>
          <w:p>
            <w:pPr>
              <w:pStyle w:val="TableParagraph"/>
              <w:ind w:left="158" w:right="70"/>
              <w:rPr>
                <w:sz w:val="14"/>
              </w:rPr>
            </w:pPr>
            <w:r>
              <w:rPr>
                <w:color w:val="231F20"/>
                <w:spacing w:val="-5"/>
                <w:w w:val="95"/>
                <w:sz w:val="14"/>
              </w:rPr>
              <w:t>59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3.0</w:t>
            </w:r>
          </w:p>
        </w:tc>
        <w:tc>
          <w:tcPr>
            <w:tcW w:w="574" w:type="dxa"/>
            <w:shd w:val="clear" w:color="auto" w:fill="D4E3F5"/>
          </w:tcPr>
          <w:p>
            <w:pPr>
              <w:pStyle w:val="TableParagraph"/>
              <w:ind w:left="161" w:right="72"/>
              <w:rPr>
                <w:sz w:val="14"/>
              </w:rPr>
            </w:pPr>
            <w:r>
              <w:rPr>
                <w:color w:val="231F20"/>
                <w:spacing w:val="-5"/>
                <w:w w:val="95"/>
                <w:sz w:val="14"/>
              </w:rPr>
              <w:t>55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3.2</w:t>
            </w:r>
          </w:p>
        </w:tc>
        <w:tc>
          <w:tcPr>
            <w:tcW w:w="574" w:type="dxa"/>
            <w:shd w:val="clear" w:color="auto" w:fill="D4E3F5"/>
          </w:tcPr>
          <w:p>
            <w:pPr>
              <w:pStyle w:val="TableParagraph"/>
              <w:ind w:left="161" w:right="70"/>
              <w:rPr>
                <w:sz w:val="14"/>
              </w:rPr>
            </w:pPr>
            <w:r>
              <w:rPr>
                <w:color w:val="231F20"/>
                <w:spacing w:val="-5"/>
                <w:w w:val="95"/>
                <w:sz w:val="14"/>
              </w:rPr>
              <w:t>43</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2.9</w:t>
            </w:r>
          </w:p>
        </w:tc>
        <w:tc>
          <w:tcPr>
            <w:tcW w:w="574" w:type="dxa"/>
            <w:shd w:val="clear" w:color="auto" w:fill="D4E3F5"/>
          </w:tcPr>
          <w:p>
            <w:pPr>
              <w:pStyle w:val="TableParagraph"/>
              <w:ind w:left="161" w:right="69"/>
              <w:rPr>
                <w:sz w:val="14"/>
              </w:rPr>
            </w:pPr>
            <w:r>
              <w:rPr>
                <w:color w:val="231F20"/>
                <w:spacing w:val="-5"/>
                <w:w w:val="95"/>
                <w:sz w:val="14"/>
              </w:rPr>
              <w:t>65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6" w:right="48"/>
              <w:rPr>
                <w:sz w:val="14"/>
              </w:rPr>
            </w:pPr>
            <w:r>
              <w:rPr>
                <w:color w:val="231F20"/>
                <w:spacing w:val="-5"/>
                <w:w w:val="95"/>
                <w:sz w:val="14"/>
              </w:rPr>
              <w:t>3.6</w:t>
            </w:r>
          </w:p>
        </w:tc>
        <w:tc>
          <w:tcPr>
            <w:tcW w:w="574" w:type="dxa"/>
            <w:shd w:val="clear" w:color="auto" w:fill="D4E3F5"/>
          </w:tcPr>
          <w:p>
            <w:pPr>
              <w:pStyle w:val="TableParagraph"/>
              <w:ind w:left="161" w:right="67"/>
              <w:rPr>
                <w:sz w:val="14"/>
              </w:rPr>
            </w:pPr>
            <w:r>
              <w:rPr>
                <w:color w:val="231F20"/>
                <w:spacing w:val="-5"/>
                <w:w w:val="95"/>
                <w:sz w:val="14"/>
              </w:rPr>
              <w:t>35</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2.9</w:t>
            </w:r>
          </w:p>
        </w:tc>
        <w:tc>
          <w:tcPr>
            <w:tcW w:w="655" w:type="dxa"/>
            <w:shd w:val="clear" w:color="auto" w:fill="D4E3F5"/>
          </w:tcPr>
          <w:p>
            <w:pPr>
              <w:pStyle w:val="TableParagraph"/>
              <w:ind w:left="72" w:right="68"/>
              <w:rPr>
                <w:sz w:val="14"/>
              </w:rPr>
            </w:pPr>
            <w:r>
              <w:rPr>
                <w:color w:val="231F20"/>
                <w:spacing w:val="-5"/>
                <w:w w:val="95"/>
                <w:sz w:val="14"/>
              </w:rPr>
              <w:t>72</w:t>
            </w:r>
          </w:p>
        </w:tc>
      </w:tr>
      <w:tr>
        <w:trPr>
          <w:trHeight w:val="419" w:hRule="atLeast"/>
        </w:trPr>
        <w:tc>
          <w:tcPr>
            <w:tcW w:w="990" w:type="dxa"/>
          </w:tcPr>
          <w:p>
            <w:pPr>
              <w:pStyle w:val="TableParagraph"/>
              <w:ind w:left="80" w:right="322"/>
              <w:jc w:val="left"/>
              <w:rPr>
                <w:sz w:val="14"/>
              </w:rPr>
            </w:pPr>
            <w:r>
              <w:rPr>
                <w:color w:val="231F20"/>
                <w:spacing w:val="-2"/>
                <w:w w:val="90"/>
                <w:sz w:val="14"/>
              </w:rPr>
              <w:t>North</w:t>
            </w:r>
            <w:r>
              <w:rPr>
                <w:color w:val="231F20"/>
                <w:spacing w:val="40"/>
                <w:sz w:val="14"/>
              </w:rPr>
              <w:t> </w:t>
            </w:r>
            <w:r>
              <w:rPr>
                <w:color w:val="231F20"/>
                <w:spacing w:val="-2"/>
                <w:w w:val="80"/>
                <w:sz w:val="14"/>
              </w:rPr>
              <w:t>Macedonia</w:t>
            </w:r>
          </w:p>
        </w:tc>
        <w:tc>
          <w:tcPr>
            <w:tcW w:w="622" w:type="dxa"/>
          </w:tcPr>
          <w:p>
            <w:pPr>
              <w:pStyle w:val="TableParagraph"/>
              <w:spacing w:before="47"/>
              <w:jc w:val="left"/>
              <w:rPr>
                <w:b/>
                <w:sz w:val="14"/>
              </w:rPr>
            </w:pPr>
          </w:p>
          <w:p>
            <w:pPr>
              <w:pStyle w:val="TableParagraph"/>
              <w:spacing w:before="0"/>
              <w:ind w:left="67" w:right="101"/>
              <w:rPr>
                <w:sz w:val="14"/>
              </w:rPr>
            </w:pPr>
            <w:r>
              <w:rPr>
                <w:color w:val="231F20"/>
                <w:spacing w:val="-5"/>
                <w:w w:val="95"/>
                <w:sz w:val="14"/>
              </w:rPr>
              <w:t>57</w:t>
            </w:r>
          </w:p>
        </w:tc>
        <w:tc>
          <w:tcPr>
            <w:tcW w:w="644" w:type="dxa"/>
          </w:tcPr>
          <w:p>
            <w:pPr>
              <w:pStyle w:val="TableParagraph"/>
              <w:spacing w:before="47"/>
              <w:jc w:val="left"/>
              <w:rPr>
                <w:b/>
                <w:sz w:val="14"/>
              </w:rPr>
            </w:pPr>
          </w:p>
          <w:p>
            <w:pPr>
              <w:pStyle w:val="TableParagraph"/>
              <w:spacing w:before="0"/>
              <w:ind w:left="169"/>
              <w:jc w:val="left"/>
              <w:rPr>
                <w:sz w:val="14"/>
              </w:rPr>
            </w:pPr>
            <w:r>
              <w:rPr>
                <w:color w:val="231F20"/>
                <w:spacing w:val="-5"/>
                <w:w w:val="95"/>
                <w:sz w:val="14"/>
              </w:rPr>
              <w:t>3.1</w:t>
            </w:r>
          </w:p>
        </w:tc>
        <w:tc>
          <w:tcPr>
            <w:tcW w:w="480" w:type="dxa"/>
          </w:tcPr>
          <w:p>
            <w:pPr>
              <w:pStyle w:val="TableParagraph"/>
              <w:spacing w:before="47"/>
              <w:jc w:val="left"/>
              <w:rPr>
                <w:b/>
                <w:sz w:val="14"/>
              </w:rPr>
            </w:pPr>
          </w:p>
          <w:p>
            <w:pPr>
              <w:pStyle w:val="TableParagraph"/>
              <w:spacing w:before="0"/>
              <w:ind w:left="103"/>
              <w:jc w:val="left"/>
              <w:rPr>
                <w:sz w:val="14"/>
              </w:rPr>
            </w:pPr>
            <w:r>
              <w:rPr>
                <w:color w:val="231F20"/>
                <w:spacing w:val="-5"/>
                <w:w w:val="95"/>
                <w:sz w:val="14"/>
              </w:rPr>
              <w:t>2.8</w:t>
            </w:r>
          </w:p>
        </w:tc>
        <w:tc>
          <w:tcPr>
            <w:tcW w:w="582" w:type="dxa"/>
          </w:tcPr>
          <w:p>
            <w:pPr>
              <w:pStyle w:val="TableParagraph"/>
              <w:spacing w:before="47"/>
              <w:jc w:val="left"/>
              <w:rPr>
                <w:b/>
                <w:sz w:val="14"/>
              </w:rPr>
            </w:pPr>
          </w:p>
          <w:p>
            <w:pPr>
              <w:pStyle w:val="TableParagraph"/>
              <w:spacing w:before="0"/>
              <w:ind w:left="6" w:right="6"/>
              <w:rPr>
                <w:sz w:val="14"/>
              </w:rPr>
            </w:pPr>
            <w:r>
              <w:rPr>
                <w:color w:val="231F20"/>
                <w:spacing w:val="-5"/>
                <w:w w:val="95"/>
                <w:sz w:val="14"/>
              </w:rPr>
              <w:t>3.4</w:t>
            </w:r>
          </w:p>
        </w:tc>
        <w:tc>
          <w:tcPr>
            <w:tcW w:w="80" w:type="dxa"/>
          </w:tcPr>
          <w:p>
            <w:pPr>
              <w:pStyle w:val="TableParagraph"/>
              <w:spacing w:before="0"/>
              <w:jc w:val="left"/>
              <w:rPr>
                <w:rFonts w:ascii="Times New Roman"/>
                <w:sz w:val="12"/>
              </w:rPr>
            </w:pPr>
          </w:p>
        </w:tc>
        <w:tc>
          <w:tcPr>
            <w:tcW w:w="463" w:type="dxa"/>
          </w:tcPr>
          <w:p>
            <w:pPr>
              <w:pStyle w:val="TableParagraph"/>
              <w:spacing w:before="47"/>
              <w:jc w:val="left"/>
              <w:rPr>
                <w:b/>
                <w:sz w:val="14"/>
              </w:rPr>
            </w:pPr>
          </w:p>
          <w:p>
            <w:pPr>
              <w:pStyle w:val="TableParagraph"/>
              <w:spacing w:before="0"/>
              <w:ind w:right="48"/>
              <w:rPr>
                <w:sz w:val="14"/>
              </w:rPr>
            </w:pPr>
            <w:r>
              <w:rPr>
                <w:color w:val="231F20"/>
                <w:spacing w:val="-5"/>
                <w:w w:val="95"/>
                <w:sz w:val="14"/>
              </w:rPr>
              <w:t>3.1</w:t>
            </w:r>
          </w:p>
        </w:tc>
        <w:tc>
          <w:tcPr>
            <w:tcW w:w="574" w:type="dxa"/>
          </w:tcPr>
          <w:p>
            <w:pPr>
              <w:pStyle w:val="TableParagraph"/>
              <w:spacing w:before="47"/>
              <w:jc w:val="left"/>
              <w:rPr>
                <w:b/>
                <w:sz w:val="14"/>
              </w:rPr>
            </w:pPr>
          </w:p>
          <w:p>
            <w:pPr>
              <w:pStyle w:val="TableParagraph"/>
              <w:spacing w:before="0"/>
              <w:ind w:left="158" w:right="70"/>
              <w:rPr>
                <w:sz w:val="14"/>
              </w:rPr>
            </w:pPr>
            <w:r>
              <w:rPr>
                <w:color w:val="231F20"/>
                <w:spacing w:val="-5"/>
                <w:w w:val="95"/>
                <w:sz w:val="14"/>
              </w:rPr>
              <w:t>43</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b/>
                <w:sz w:val="14"/>
              </w:rPr>
            </w:pPr>
          </w:p>
          <w:p>
            <w:pPr>
              <w:pStyle w:val="TableParagraph"/>
              <w:spacing w:before="0"/>
              <w:ind w:left="11" w:right="48"/>
              <w:rPr>
                <w:sz w:val="14"/>
              </w:rPr>
            </w:pPr>
            <w:r>
              <w:rPr>
                <w:color w:val="231F20"/>
                <w:spacing w:val="-5"/>
                <w:w w:val="95"/>
                <w:sz w:val="14"/>
              </w:rPr>
              <w:t>3.0</w:t>
            </w:r>
          </w:p>
        </w:tc>
        <w:tc>
          <w:tcPr>
            <w:tcW w:w="574" w:type="dxa"/>
          </w:tcPr>
          <w:p>
            <w:pPr>
              <w:pStyle w:val="TableParagraph"/>
              <w:spacing w:before="47"/>
              <w:jc w:val="left"/>
              <w:rPr>
                <w:b/>
                <w:sz w:val="14"/>
              </w:rPr>
            </w:pPr>
          </w:p>
          <w:p>
            <w:pPr>
              <w:pStyle w:val="TableParagraph"/>
              <w:spacing w:before="0"/>
              <w:ind w:left="161" w:right="72"/>
              <w:rPr>
                <w:sz w:val="14"/>
              </w:rPr>
            </w:pPr>
            <w:r>
              <w:rPr>
                <w:color w:val="231F20"/>
                <w:spacing w:val="-5"/>
                <w:w w:val="95"/>
                <w:sz w:val="14"/>
              </w:rPr>
              <w:t>55</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b/>
                <w:sz w:val="14"/>
              </w:rPr>
            </w:pPr>
          </w:p>
          <w:p>
            <w:pPr>
              <w:pStyle w:val="TableParagraph"/>
              <w:spacing w:before="0"/>
              <w:ind w:left="11" w:right="48"/>
              <w:rPr>
                <w:sz w:val="14"/>
              </w:rPr>
            </w:pPr>
            <w:r>
              <w:rPr>
                <w:color w:val="231F20"/>
                <w:spacing w:val="-5"/>
                <w:w w:val="95"/>
                <w:sz w:val="14"/>
              </w:rPr>
              <w:t>2.8</w:t>
            </w:r>
          </w:p>
        </w:tc>
        <w:tc>
          <w:tcPr>
            <w:tcW w:w="574" w:type="dxa"/>
          </w:tcPr>
          <w:p>
            <w:pPr>
              <w:pStyle w:val="TableParagraph"/>
              <w:spacing w:before="47"/>
              <w:jc w:val="left"/>
              <w:rPr>
                <w:b/>
                <w:sz w:val="14"/>
              </w:rPr>
            </w:pPr>
          </w:p>
          <w:p>
            <w:pPr>
              <w:pStyle w:val="TableParagraph"/>
              <w:spacing w:before="0"/>
              <w:ind w:left="161" w:right="70"/>
              <w:rPr>
                <w:sz w:val="14"/>
              </w:rPr>
            </w:pPr>
            <w:r>
              <w:rPr>
                <w:color w:val="231F20"/>
                <w:spacing w:val="-5"/>
                <w:w w:val="95"/>
                <w:sz w:val="14"/>
              </w:rPr>
              <w:t>75</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b/>
                <w:sz w:val="14"/>
              </w:rPr>
            </w:pPr>
          </w:p>
          <w:p>
            <w:pPr>
              <w:pStyle w:val="TableParagraph"/>
              <w:spacing w:before="0"/>
              <w:ind w:left="13" w:right="48"/>
              <w:rPr>
                <w:sz w:val="14"/>
              </w:rPr>
            </w:pPr>
            <w:r>
              <w:rPr>
                <w:color w:val="231F20"/>
                <w:spacing w:val="-5"/>
                <w:w w:val="95"/>
                <w:sz w:val="14"/>
              </w:rPr>
              <w:t>3.2</w:t>
            </w:r>
          </w:p>
        </w:tc>
        <w:tc>
          <w:tcPr>
            <w:tcW w:w="574" w:type="dxa"/>
          </w:tcPr>
          <w:p>
            <w:pPr>
              <w:pStyle w:val="TableParagraph"/>
              <w:spacing w:before="47"/>
              <w:jc w:val="left"/>
              <w:rPr>
                <w:b/>
                <w:sz w:val="14"/>
              </w:rPr>
            </w:pPr>
          </w:p>
          <w:p>
            <w:pPr>
              <w:pStyle w:val="TableParagraph"/>
              <w:spacing w:before="0"/>
              <w:ind w:left="161" w:right="69"/>
              <w:rPr>
                <w:sz w:val="14"/>
              </w:rPr>
            </w:pPr>
            <w:r>
              <w:rPr>
                <w:color w:val="231F20"/>
                <w:spacing w:val="-5"/>
                <w:w w:val="95"/>
                <w:sz w:val="14"/>
              </w:rPr>
              <w:t>53</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b/>
                <w:sz w:val="14"/>
              </w:rPr>
            </w:pPr>
          </w:p>
          <w:p>
            <w:pPr>
              <w:pStyle w:val="TableParagraph"/>
              <w:spacing w:before="0"/>
              <w:ind w:left="17" w:right="48"/>
              <w:rPr>
                <w:sz w:val="14"/>
              </w:rPr>
            </w:pPr>
            <w:r>
              <w:rPr>
                <w:color w:val="231F20"/>
                <w:spacing w:val="-5"/>
                <w:w w:val="95"/>
                <w:sz w:val="14"/>
              </w:rPr>
              <w:t>3.5</w:t>
            </w:r>
          </w:p>
        </w:tc>
        <w:tc>
          <w:tcPr>
            <w:tcW w:w="574" w:type="dxa"/>
          </w:tcPr>
          <w:p>
            <w:pPr>
              <w:pStyle w:val="TableParagraph"/>
              <w:spacing w:before="47"/>
              <w:jc w:val="left"/>
              <w:rPr>
                <w:b/>
                <w:sz w:val="14"/>
              </w:rPr>
            </w:pPr>
          </w:p>
          <w:p>
            <w:pPr>
              <w:pStyle w:val="TableParagraph"/>
              <w:spacing w:before="0"/>
              <w:ind w:left="161" w:right="67"/>
              <w:rPr>
                <w:sz w:val="14"/>
              </w:rPr>
            </w:pPr>
            <w:r>
              <w:rPr>
                <w:color w:val="231F20"/>
                <w:spacing w:val="-5"/>
                <w:w w:val="95"/>
                <w:sz w:val="14"/>
              </w:rPr>
              <w:t>46</w:t>
            </w:r>
          </w:p>
        </w:tc>
        <w:tc>
          <w:tcPr>
            <w:tcW w:w="126" w:type="dxa"/>
          </w:tcPr>
          <w:p>
            <w:pPr>
              <w:pStyle w:val="TableParagraph"/>
              <w:spacing w:before="0"/>
              <w:jc w:val="left"/>
              <w:rPr>
                <w:rFonts w:ascii="Times New Roman"/>
                <w:sz w:val="12"/>
              </w:rPr>
            </w:pPr>
          </w:p>
        </w:tc>
        <w:tc>
          <w:tcPr>
            <w:tcW w:w="468" w:type="dxa"/>
          </w:tcPr>
          <w:p>
            <w:pPr>
              <w:pStyle w:val="TableParagraph"/>
              <w:spacing w:before="47"/>
              <w:jc w:val="left"/>
              <w:rPr>
                <w:b/>
                <w:sz w:val="14"/>
              </w:rPr>
            </w:pPr>
          </w:p>
          <w:p>
            <w:pPr>
              <w:pStyle w:val="TableParagraph"/>
              <w:spacing w:before="0"/>
              <w:ind w:left="8" w:right="45"/>
              <w:rPr>
                <w:sz w:val="14"/>
              </w:rPr>
            </w:pPr>
            <w:r>
              <w:rPr>
                <w:color w:val="231F20"/>
                <w:spacing w:val="-5"/>
                <w:w w:val="95"/>
                <w:sz w:val="14"/>
              </w:rPr>
              <w:t>3.2</w:t>
            </w:r>
          </w:p>
        </w:tc>
        <w:tc>
          <w:tcPr>
            <w:tcW w:w="655" w:type="dxa"/>
          </w:tcPr>
          <w:p>
            <w:pPr>
              <w:pStyle w:val="TableParagraph"/>
              <w:spacing w:before="47"/>
              <w:jc w:val="left"/>
              <w:rPr>
                <w:b/>
                <w:sz w:val="14"/>
              </w:rPr>
            </w:pPr>
          </w:p>
          <w:p>
            <w:pPr>
              <w:pStyle w:val="TableParagraph"/>
              <w:spacing w:before="0"/>
              <w:ind w:left="72" w:right="68"/>
              <w:rPr>
                <w:sz w:val="14"/>
              </w:rPr>
            </w:pPr>
            <w:r>
              <w:rPr>
                <w:color w:val="231F20"/>
                <w:spacing w:val="-5"/>
                <w:w w:val="95"/>
                <w:sz w:val="14"/>
              </w:rPr>
              <w:t>54</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Panama</w:t>
            </w:r>
          </w:p>
        </w:tc>
        <w:tc>
          <w:tcPr>
            <w:tcW w:w="622" w:type="dxa"/>
            <w:shd w:val="clear" w:color="auto" w:fill="D4E3F5"/>
          </w:tcPr>
          <w:p>
            <w:pPr>
              <w:pStyle w:val="TableParagraph"/>
              <w:ind w:left="67" w:right="101"/>
              <w:rPr>
                <w:sz w:val="14"/>
              </w:rPr>
            </w:pPr>
            <w:r>
              <w:rPr>
                <w:color w:val="231F20"/>
                <w:spacing w:val="-5"/>
                <w:w w:val="95"/>
                <w:sz w:val="14"/>
              </w:rPr>
              <w:t>57</w:t>
            </w:r>
          </w:p>
        </w:tc>
        <w:tc>
          <w:tcPr>
            <w:tcW w:w="644" w:type="dxa"/>
            <w:shd w:val="clear" w:color="auto" w:fill="D4E3F5"/>
          </w:tcPr>
          <w:p>
            <w:pPr>
              <w:pStyle w:val="TableParagraph"/>
              <w:ind w:left="169"/>
              <w:jc w:val="left"/>
              <w:rPr>
                <w:sz w:val="14"/>
              </w:rPr>
            </w:pPr>
            <w:r>
              <w:rPr>
                <w:color w:val="231F20"/>
                <w:spacing w:val="-5"/>
                <w:w w:val="95"/>
                <w:sz w:val="14"/>
              </w:rPr>
              <w:t>3.1</w:t>
            </w:r>
          </w:p>
        </w:tc>
        <w:tc>
          <w:tcPr>
            <w:tcW w:w="480" w:type="dxa"/>
            <w:shd w:val="clear" w:color="auto" w:fill="D4E3F5"/>
          </w:tcPr>
          <w:p>
            <w:pPr>
              <w:pStyle w:val="TableParagraph"/>
              <w:ind w:left="103"/>
              <w:jc w:val="left"/>
              <w:rPr>
                <w:sz w:val="14"/>
              </w:rPr>
            </w:pPr>
            <w:r>
              <w:rPr>
                <w:color w:val="231F20"/>
                <w:spacing w:val="-5"/>
                <w:w w:val="95"/>
                <w:sz w:val="14"/>
              </w:rPr>
              <w:t>2.9</w:t>
            </w:r>
          </w:p>
        </w:tc>
        <w:tc>
          <w:tcPr>
            <w:tcW w:w="582" w:type="dxa"/>
            <w:shd w:val="clear" w:color="auto" w:fill="D4E3F5"/>
          </w:tcPr>
          <w:p>
            <w:pPr>
              <w:pStyle w:val="TableParagraph"/>
              <w:ind w:left="7" w:right="6"/>
              <w:rPr>
                <w:sz w:val="14"/>
              </w:rPr>
            </w:pPr>
            <w:r>
              <w:rPr>
                <w:color w:val="231F20"/>
                <w:spacing w:val="-5"/>
                <w:w w:val="95"/>
                <w:sz w:val="14"/>
              </w:rPr>
              <w:t>3.3</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3.0</w:t>
            </w:r>
          </w:p>
        </w:tc>
        <w:tc>
          <w:tcPr>
            <w:tcW w:w="574" w:type="dxa"/>
            <w:shd w:val="clear" w:color="auto" w:fill="D4E3F5"/>
          </w:tcPr>
          <w:p>
            <w:pPr>
              <w:pStyle w:val="TableParagraph"/>
              <w:ind w:left="158" w:right="70"/>
              <w:rPr>
                <w:sz w:val="14"/>
              </w:rPr>
            </w:pPr>
            <w:r>
              <w:rPr>
                <w:color w:val="231F20"/>
                <w:spacing w:val="-5"/>
                <w:w w:val="95"/>
                <w:sz w:val="14"/>
              </w:rPr>
              <w:t>47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2" w:right="48"/>
              <w:rPr>
                <w:sz w:val="14"/>
              </w:rPr>
            </w:pPr>
            <w:r>
              <w:rPr>
                <w:color w:val="231F20"/>
                <w:spacing w:val="-5"/>
                <w:w w:val="95"/>
                <w:sz w:val="14"/>
              </w:rPr>
              <w:t>3.3</w:t>
            </w:r>
          </w:p>
        </w:tc>
        <w:tc>
          <w:tcPr>
            <w:tcW w:w="574" w:type="dxa"/>
            <w:shd w:val="clear" w:color="auto" w:fill="D4E3F5"/>
          </w:tcPr>
          <w:p>
            <w:pPr>
              <w:pStyle w:val="TableParagraph"/>
              <w:ind w:left="161" w:right="72"/>
              <w:rPr>
                <w:sz w:val="14"/>
              </w:rPr>
            </w:pPr>
            <w:r>
              <w:rPr>
                <w:color w:val="231F20"/>
                <w:spacing w:val="-5"/>
                <w:w w:val="95"/>
                <w:sz w:val="14"/>
              </w:rPr>
              <w:t>44</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3" w:right="48"/>
              <w:rPr>
                <w:sz w:val="14"/>
              </w:rPr>
            </w:pPr>
            <w:r>
              <w:rPr>
                <w:color w:val="231F20"/>
                <w:spacing w:val="-5"/>
                <w:w w:val="95"/>
                <w:sz w:val="14"/>
              </w:rPr>
              <w:t>3.1</w:t>
            </w:r>
          </w:p>
        </w:tc>
        <w:tc>
          <w:tcPr>
            <w:tcW w:w="574" w:type="dxa"/>
            <w:shd w:val="clear" w:color="auto" w:fill="D4E3F5"/>
          </w:tcPr>
          <w:p>
            <w:pPr>
              <w:pStyle w:val="TableParagraph"/>
              <w:ind w:left="161" w:right="70"/>
              <w:rPr>
                <w:sz w:val="14"/>
              </w:rPr>
            </w:pPr>
            <w:r>
              <w:rPr>
                <w:color w:val="231F20"/>
                <w:spacing w:val="-5"/>
                <w:w w:val="95"/>
                <w:sz w:val="14"/>
              </w:rPr>
              <w:t>47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3.0</w:t>
            </w:r>
          </w:p>
        </w:tc>
        <w:tc>
          <w:tcPr>
            <w:tcW w:w="574" w:type="dxa"/>
            <w:shd w:val="clear" w:color="auto" w:fill="D4E3F5"/>
          </w:tcPr>
          <w:p>
            <w:pPr>
              <w:pStyle w:val="TableParagraph"/>
              <w:ind w:left="161" w:right="69"/>
              <w:rPr>
                <w:sz w:val="14"/>
              </w:rPr>
            </w:pPr>
            <w:r>
              <w:rPr>
                <w:color w:val="231F20"/>
                <w:spacing w:val="-5"/>
                <w:w w:val="95"/>
                <w:sz w:val="14"/>
              </w:rPr>
              <w:t>61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3.4</w:t>
            </w:r>
          </w:p>
        </w:tc>
        <w:tc>
          <w:tcPr>
            <w:tcW w:w="574" w:type="dxa"/>
            <w:shd w:val="clear" w:color="auto" w:fill="D4E3F5"/>
          </w:tcPr>
          <w:p>
            <w:pPr>
              <w:pStyle w:val="TableParagraph"/>
              <w:ind w:left="161" w:right="67"/>
              <w:rPr>
                <w:sz w:val="14"/>
              </w:rPr>
            </w:pPr>
            <w:r>
              <w:rPr>
                <w:color w:val="231F20"/>
                <w:spacing w:val="-5"/>
                <w:w w:val="95"/>
                <w:sz w:val="14"/>
              </w:rPr>
              <w:t>55</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2.9</w:t>
            </w:r>
          </w:p>
        </w:tc>
        <w:tc>
          <w:tcPr>
            <w:tcW w:w="655" w:type="dxa"/>
            <w:shd w:val="clear" w:color="auto" w:fill="D4E3F5"/>
          </w:tcPr>
          <w:p>
            <w:pPr>
              <w:pStyle w:val="TableParagraph"/>
              <w:ind w:left="72" w:right="68"/>
              <w:rPr>
                <w:sz w:val="14"/>
              </w:rPr>
            </w:pPr>
            <w:r>
              <w:rPr>
                <w:color w:val="231F20"/>
                <w:spacing w:val="-5"/>
                <w:w w:val="95"/>
                <w:sz w:val="14"/>
              </w:rPr>
              <w:t>72</w:t>
            </w:r>
          </w:p>
        </w:tc>
      </w:tr>
      <w:tr>
        <w:trPr>
          <w:trHeight w:val="419" w:hRule="atLeast"/>
        </w:trPr>
        <w:tc>
          <w:tcPr>
            <w:tcW w:w="990" w:type="dxa"/>
          </w:tcPr>
          <w:p>
            <w:pPr>
              <w:pStyle w:val="TableParagraph"/>
              <w:ind w:left="80"/>
              <w:jc w:val="left"/>
              <w:rPr>
                <w:sz w:val="14"/>
              </w:rPr>
            </w:pPr>
            <w:r>
              <w:rPr>
                <w:color w:val="231F20"/>
                <w:w w:val="85"/>
                <w:sz w:val="14"/>
              </w:rPr>
              <w:t>Bosnia</w:t>
            </w:r>
            <w:r>
              <w:rPr>
                <w:color w:val="231F20"/>
                <w:spacing w:val="-4"/>
                <w:w w:val="85"/>
                <w:sz w:val="14"/>
              </w:rPr>
              <w:t> </w:t>
            </w:r>
            <w:r>
              <w:rPr>
                <w:color w:val="231F20"/>
                <w:w w:val="85"/>
                <w:sz w:val="14"/>
              </w:rPr>
              <w:t>and</w:t>
            </w:r>
            <w:r>
              <w:rPr>
                <w:color w:val="231F20"/>
                <w:spacing w:val="40"/>
                <w:sz w:val="14"/>
              </w:rPr>
              <w:t> </w:t>
            </w:r>
            <w:r>
              <w:rPr>
                <w:color w:val="231F20"/>
                <w:spacing w:val="-2"/>
                <w:w w:val="75"/>
                <w:sz w:val="14"/>
              </w:rPr>
              <w:t>Herzegovina</w:t>
            </w:r>
          </w:p>
        </w:tc>
        <w:tc>
          <w:tcPr>
            <w:tcW w:w="622" w:type="dxa"/>
          </w:tcPr>
          <w:p>
            <w:pPr>
              <w:pStyle w:val="TableParagraph"/>
              <w:spacing w:before="47"/>
              <w:jc w:val="left"/>
              <w:rPr>
                <w:b/>
                <w:sz w:val="14"/>
              </w:rPr>
            </w:pPr>
          </w:p>
          <w:p>
            <w:pPr>
              <w:pStyle w:val="TableParagraph"/>
              <w:spacing w:before="0"/>
              <w:ind w:left="67" w:right="101"/>
              <w:rPr>
                <w:sz w:val="14"/>
              </w:rPr>
            </w:pPr>
            <w:r>
              <w:rPr>
                <w:color w:val="231F20"/>
                <w:spacing w:val="-5"/>
                <w:w w:val="95"/>
                <w:sz w:val="14"/>
              </w:rPr>
              <w:t>61</w:t>
            </w:r>
          </w:p>
        </w:tc>
        <w:tc>
          <w:tcPr>
            <w:tcW w:w="644" w:type="dxa"/>
          </w:tcPr>
          <w:p>
            <w:pPr>
              <w:pStyle w:val="TableParagraph"/>
              <w:spacing w:before="47"/>
              <w:jc w:val="left"/>
              <w:rPr>
                <w:b/>
                <w:sz w:val="14"/>
              </w:rPr>
            </w:pPr>
          </w:p>
          <w:p>
            <w:pPr>
              <w:pStyle w:val="TableParagraph"/>
              <w:spacing w:before="0"/>
              <w:ind w:left="165"/>
              <w:jc w:val="left"/>
              <w:rPr>
                <w:sz w:val="14"/>
              </w:rPr>
            </w:pPr>
            <w:r>
              <w:rPr>
                <w:color w:val="231F20"/>
                <w:spacing w:val="-5"/>
                <w:w w:val="95"/>
                <w:sz w:val="14"/>
              </w:rPr>
              <w:t>3.0</w:t>
            </w:r>
          </w:p>
        </w:tc>
        <w:tc>
          <w:tcPr>
            <w:tcW w:w="480" w:type="dxa"/>
          </w:tcPr>
          <w:p>
            <w:pPr>
              <w:pStyle w:val="TableParagraph"/>
              <w:spacing w:before="47"/>
              <w:jc w:val="left"/>
              <w:rPr>
                <w:b/>
                <w:sz w:val="14"/>
              </w:rPr>
            </w:pPr>
          </w:p>
          <w:p>
            <w:pPr>
              <w:pStyle w:val="TableParagraph"/>
              <w:spacing w:before="0"/>
              <w:ind w:left="103"/>
              <w:jc w:val="left"/>
              <w:rPr>
                <w:sz w:val="14"/>
              </w:rPr>
            </w:pPr>
            <w:r>
              <w:rPr>
                <w:color w:val="231F20"/>
                <w:spacing w:val="-5"/>
                <w:w w:val="95"/>
                <w:sz w:val="14"/>
              </w:rPr>
              <w:t>2.8</w:t>
            </w:r>
          </w:p>
        </w:tc>
        <w:tc>
          <w:tcPr>
            <w:tcW w:w="582" w:type="dxa"/>
          </w:tcPr>
          <w:p>
            <w:pPr>
              <w:pStyle w:val="TableParagraph"/>
              <w:spacing w:before="47"/>
              <w:jc w:val="left"/>
              <w:rPr>
                <w:b/>
                <w:sz w:val="14"/>
              </w:rPr>
            </w:pPr>
          </w:p>
          <w:p>
            <w:pPr>
              <w:pStyle w:val="TableParagraph"/>
              <w:spacing w:before="0"/>
              <w:ind w:left="6" w:right="6"/>
              <w:rPr>
                <w:sz w:val="14"/>
              </w:rPr>
            </w:pPr>
            <w:r>
              <w:rPr>
                <w:color w:val="231F20"/>
                <w:spacing w:val="-5"/>
                <w:w w:val="95"/>
                <w:sz w:val="14"/>
              </w:rPr>
              <w:t>3.2</w:t>
            </w:r>
          </w:p>
        </w:tc>
        <w:tc>
          <w:tcPr>
            <w:tcW w:w="80" w:type="dxa"/>
          </w:tcPr>
          <w:p>
            <w:pPr>
              <w:pStyle w:val="TableParagraph"/>
              <w:spacing w:before="0"/>
              <w:jc w:val="left"/>
              <w:rPr>
                <w:rFonts w:ascii="Times New Roman"/>
                <w:sz w:val="12"/>
              </w:rPr>
            </w:pPr>
          </w:p>
        </w:tc>
        <w:tc>
          <w:tcPr>
            <w:tcW w:w="463" w:type="dxa"/>
          </w:tcPr>
          <w:p>
            <w:pPr>
              <w:pStyle w:val="TableParagraph"/>
              <w:spacing w:before="47"/>
              <w:jc w:val="left"/>
              <w:rPr>
                <w:b/>
                <w:sz w:val="14"/>
              </w:rPr>
            </w:pPr>
          </w:p>
          <w:p>
            <w:pPr>
              <w:pStyle w:val="TableParagraph"/>
              <w:spacing w:before="0"/>
              <w:ind w:left="7" w:right="48"/>
              <w:rPr>
                <w:sz w:val="14"/>
              </w:rPr>
            </w:pPr>
            <w:r>
              <w:rPr>
                <w:color w:val="231F20"/>
                <w:spacing w:val="-5"/>
                <w:w w:val="95"/>
                <w:sz w:val="14"/>
              </w:rPr>
              <w:t>2.7</w:t>
            </w:r>
          </w:p>
        </w:tc>
        <w:tc>
          <w:tcPr>
            <w:tcW w:w="574" w:type="dxa"/>
          </w:tcPr>
          <w:p>
            <w:pPr>
              <w:pStyle w:val="TableParagraph"/>
              <w:spacing w:before="47"/>
              <w:jc w:val="left"/>
              <w:rPr>
                <w:b/>
                <w:sz w:val="14"/>
              </w:rPr>
            </w:pPr>
          </w:p>
          <w:p>
            <w:pPr>
              <w:pStyle w:val="TableParagraph"/>
              <w:spacing w:before="0"/>
              <w:ind w:left="158" w:right="70"/>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b/>
                <w:sz w:val="14"/>
              </w:rPr>
            </w:pPr>
          </w:p>
          <w:p>
            <w:pPr>
              <w:pStyle w:val="TableParagraph"/>
              <w:spacing w:before="0"/>
              <w:ind w:left="11" w:right="48"/>
              <w:rPr>
                <w:sz w:val="14"/>
              </w:rPr>
            </w:pPr>
            <w:r>
              <w:rPr>
                <w:color w:val="231F20"/>
                <w:spacing w:val="-5"/>
                <w:w w:val="95"/>
                <w:sz w:val="14"/>
              </w:rPr>
              <w:t>2.6</w:t>
            </w:r>
          </w:p>
        </w:tc>
        <w:tc>
          <w:tcPr>
            <w:tcW w:w="574" w:type="dxa"/>
          </w:tcPr>
          <w:p>
            <w:pPr>
              <w:pStyle w:val="TableParagraph"/>
              <w:spacing w:before="47"/>
              <w:jc w:val="left"/>
              <w:rPr>
                <w:b/>
                <w:sz w:val="14"/>
              </w:rPr>
            </w:pPr>
          </w:p>
          <w:p>
            <w:pPr>
              <w:pStyle w:val="TableParagraph"/>
              <w:spacing w:before="0"/>
              <w:ind w:left="161" w:right="72"/>
              <w:rPr>
                <w:sz w:val="14"/>
              </w:rPr>
            </w:pPr>
            <w:r>
              <w:rPr>
                <w:color w:val="231F20"/>
                <w:spacing w:val="-5"/>
                <w:w w:val="95"/>
                <w:sz w:val="14"/>
              </w:rPr>
              <w:t>76</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b/>
                <w:sz w:val="14"/>
              </w:rPr>
            </w:pPr>
          </w:p>
          <w:p>
            <w:pPr>
              <w:pStyle w:val="TableParagraph"/>
              <w:spacing w:before="0"/>
              <w:ind w:left="3" w:right="48"/>
              <w:rPr>
                <w:sz w:val="14"/>
              </w:rPr>
            </w:pPr>
            <w:r>
              <w:rPr>
                <w:color w:val="231F20"/>
                <w:spacing w:val="-5"/>
                <w:w w:val="95"/>
                <w:sz w:val="14"/>
              </w:rPr>
              <w:t>3.1</w:t>
            </w:r>
          </w:p>
        </w:tc>
        <w:tc>
          <w:tcPr>
            <w:tcW w:w="574" w:type="dxa"/>
          </w:tcPr>
          <w:p>
            <w:pPr>
              <w:pStyle w:val="TableParagraph"/>
              <w:spacing w:before="47"/>
              <w:jc w:val="left"/>
              <w:rPr>
                <w:b/>
                <w:sz w:val="14"/>
              </w:rPr>
            </w:pPr>
          </w:p>
          <w:p>
            <w:pPr>
              <w:pStyle w:val="TableParagraph"/>
              <w:spacing w:before="0"/>
              <w:ind w:left="161" w:right="70"/>
              <w:rPr>
                <w:sz w:val="14"/>
              </w:rPr>
            </w:pPr>
            <w:r>
              <w:rPr>
                <w:color w:val="231F20"/>
                <w:spacing w:val="-5"/>
                <w:w w:val="95"/>
                <w:sz w:val="14"/>
              </w:rPr>
              <w:t>47</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b/>
                <w:sz w:val="14"/>
              </w:rPr>
            </w:pPr>
          </w:p>
          <w:p>
            <w:pPr>
              <w:pStyle w:val="TableParagraph"/>
              <w:spacing w:before="0"/>
              <w:ind w:left="13" w:right="48"/>
              <w:rPr>
                <w:sz w:val="14"/>
              </w:rPr>
            </w:pPr>
            <w:r>
              <w:rPr>
                <w:color w:val="231F20"/>
                <w:spacing w:val="-5"/>
                <w:w w:val="95"/>
                <w:sz w:val="14"/>
              </w:rPr>
              <w:t>2.9</w:t>
            </w:r>
          </w:p>
        </w:tc>
        <w:tc>
          <w:tcPr>
            <w:tcW w:w="574" w:type="dxa"/>
          </w:tcPr>
          <w:p>
            <w:pPr>
              <w:pStyle w:val="TableParagraph"/>
              <w:spacing w:before="47"/>
              <w:jc w:val="left"/>
              <w:rPr>
                <w:b/>
                <w:sz w:val="14"/>
              </w:rPr>
            </w:pPr>
          </w:p>
          <w:p>
            <w:pPr>
              <w:pStyle w:val="TableParagraph"/>
              <w:spacing w:before="0"/>
              <w:ind w:left="161" w:right="69"/>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b/>
                <w:sz w:val="14"/>
              </w:rPr>
            </w:pPr>
          </w:p>
          <w:p>
            <w:pPr>
              <w:pStyle w:val="TableParagraph"/>
              <w:spacing w:before="0"/>
              <w:ind w:left="14" w:right="48"/>
              <w:rPr>
                <w:sz w:val="14"/>
              </w:rPr>
            </w:pPr>
            <w:r>
              <w:rPr>
                <w:color w:val="231F20"/>
                <w:spacing w:val="-5"/>
                <w:w w:val="95"/>
                <w:sz w:val="14"/>
              </w:rPr>
              <w:t>3.2</w:t>
            </w:r>
          </w:p>
        </w:tc>
        <w:tc>
          <w:tcPr>
            <w:tcW w:w="574" w:type="dxa"/>
          </w:tcPr>
          <w:p>
            <w:pPr>
              <w:pStyle w:val="TableParagraph"/>
              <w:spacing w:before="47"/>
              <w:jc w:val="left"/>
              <w:rPr>
                <w:b/>
                <w:sz w:val="14"/>
              </w:rPr>
            </w:pPr>
          </w:p>
          <w:p>
            <w:pPr>
              <w:pStyle w:val="TableParagraph"/>
              <w:spacing w:before="0"/>
              <w:ind w:left="161" w:right="67"/>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8" w:type="dxa"/>
          </w:tcPr>
          <w:p>
            <w:pPr>
              <w:pStyle w:val="TableParagraph"/>
              <w:spacing w:before="47"/>
              <w:jc w:val="left"/>
              <w:rPr>
                <w:b/>
                <w:sz w:val="14"/>
              </w:rPr>
            </w:pPr>
          </w:p>
          <w:p>
            <w:pPr>
              <w:pStyle w:val="TableParagraph"/>
              <w:spacing w:before="0"/>
              <w:ind w:left="8" w:right="45"/>
              <w:rPr>
                <w:sz w:val="14"/>
              </w:rPr>
            </w:pPr>
            <w:r>
              <w:rPr>
                <w:color w:val="231F20"/>
                <w:spacing w:val="-5"/>
                <w:w w:val="95"/>
                <w:sz w:val="14"/>
              </w:rPr>
              <w:t>3.2</w:t>
            </w:r>
          </w:p>
        </w:tc>
        <w:tc>
          <w:tcPr>
            <w:tcW w:w="655" w:type="dxa"/>
          </w:tcPr>
          <w:p>
            <w:pPr>
              <w:pStyle w:val="TableParagraph"/>
              <w:spacing w:before="47"/>
              <w:jc w:val="left"/>
              <w:rPr>
                <w:b/>
                <w:sz w:val="14"/>
              </w:rPr>
            </w:pPr>
          </w:p>
          <w:p>
            <w:pPr>
              <w:pStyle w:val="TableParagraph"/>
              <w:spacing w:before="0"/>
              <w:ind w:left="72" w:right="68"/>
              <w:rPr>
                <w:sz w:val="14"/>
              </w:rPr>
            </w:pPr>
            <w:r>
              <w:rPr>
                <w:color w:val="231F20"/>
                <w:spacing w:val="-5"/>
                <w:w w:val="95"/>
                <w:sz w:val="14"/>
              </w:rPr>
              <w:t>54</w:t>
            </w:r>
          </w:p>
        </w:tc>
      </w:tr>
      <w:tr>
        <w:trPr>
          <w:trHeight w:val="259" w:hRule="atLeast"/>
        </w:trPr>
        <w:tc>
          <w:tcPr>
            <w:tcW w:w="990" w:type="dxa"/>
            <w:shd w:val="clear" w:color="auto" w:fill="D4E3F5"/>
          </w:tcPr>
          <w:p>
            <w:pPr>
              <w:pStyle w:val="TableParagraph"/>
              <w:ind w:left="79"/>
              <w:jc w:val="left"/>
              <w:rPr>
                <w:sz w:val="14"/>
              </w:rPr>
            </w:pPr>
            <w:r>
              <w:rPr>
                <w:color w:val="231F20"/>
                <w:spacing w:val="-2"/>
                <w:w w:val="90"/>
                <w:sz w:val="14"/>
              </w:rPr>
              <w:t>Chile</w:t>
            </w:r>
          </w:p>
        </w:tc>
        <w:tc>
          <w:tcPr>
            <w:tcW w:w="622" w:type="dxa"/>
            <w:shd w:val="clear" w:color="auto" w:fill="D4E3F5"/>
          </w:tcPr>
          <w:p>
            <w:pPr>
              <w:pStyle w:val="TableParagraph"/>
              <w:ind w:left="67" w:right="101"/>
              <w:rPr>
                <w:sz w:val="14"/>
              </w:rPr>
            </w:pPr>
            <w:r>
              <w:rPr>
                <w:color w:val="231F20"/>
                <w:spacing w:val="-5"/>
                <w:w w:val="95"/>
                <w:sz w:val="14"/>
              </w:rPr>
              <w:t>61</w:t>
            </w:r>
          </w:p>
        </w:tc>
        <w:tc>
          <w:tcPr>
            <w:tcW w:w="644" w:type="dxa"/>
            <w:shd w:val="clear" w:color="auto" w:fill="D4E3F5"/>
          </w:tcPr>
          <w:p>
            <w:pPr>
              <w:pStyle w:val="TableParagraph"/>
              <w:ind w:left="165"/>
              <w:jc w:val="left"/>
              <w:rPr>
                <w:sz w:val="14"/>
              </w:rPr>
            </w:pPr>
            <w:r>
              <w:rPr>
                <w:color w:val="231F20"/>
                <w:spacing w:val="-5"/>
                <w:w w:val="95"/>
                <w:sz w:val="14"/>
              </w:rPr>
              <w:t>3.0</w:t>
            </w:r>
          </w:p>
        </w:tc>
        <w:tc>
          <w:tcPr>
            <w:tcW w:w="480" w:type="dxa"/>
            <w:shd w:val="clear" w:color="auto" w:fill="D4E3F5"/>
          </w:tcPr>
          <w:p>
            <w:pPr>
              <w:pStyle w:val="TableParagraph"/>
              <w:ind w:left="103"/>
              <w:jc w:val="left"/>
              <w:rPr>
                <w:sz w:val="14"/>
              </w:rPr>
            </w:pPr>
            <w:r>
              <w:rPr>
                <w:color w:val="231F20"/>
                <w:spacing w:val="-5"/>
                <w:w w:val="95"/>
                <w:sz w:val="14"/>
              </w:rPr>
              <w:t>2.8</w:t>
            </w:r>
          </w:p>
        </w:tc>
        <w:tc>
          <w:tcPr>
            <w:tcW w:w="582" w:type="dxa"/>
            <w:shd w:val="clear" w:color="auto" w:fill="D4E3F5"/>
          </w:tcPr>
          <w:p>
            <w:pPr>
              <w:pStyle w:val="TableParagraph"/>
              <w:ind w:left="6" w:right="6"/>
              <w:rPr>
                <w:sz w:val="14"/>
              </w:rPr>
            </w:pPr>
            <w:r>
              <w:rPr>
                <w:color w:val="231F20"/>
                <w:spacing w:val="-5"/>
                <w:w w:val="95"/>
                <w:sz w:val="14"/>
              </w:rPr>
              <w:t>3.2</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3.0</w:t>
            </w:r>
          </w:p>
        </w:tc>
        <w:tc>
          <w:tcPr>
            <w:tcW w:w="574" w:type="dxa"/>
            <w:shd w:val="clear" w:color="auto" w:fill="D4E3F5"/>
          </w:tcPr>
          <w:p>
            <w:pPr>
              <w:pStyle w:val="TableParagraph"/>
              <w:ind w:left="158" w:right="70"/>
              <w:rPr>
                <w:sz w:val="14"/>
              </w:rPr>
            </w:pPr>
            <w:r>
              <w:rPr>
                <w:color w:val="231F20"/>
                <w:spacing w:val="-5"/>
                <w:w w:val="95"/>
                <w:sz w:val="14"/>
              </w:rPr>
              <w:t>47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2.8</w:t>
            </w:r>
          </w:p>
        </w:tc>
        <w:tc>
          <w:tcPr>
            <w:tcW w:w="574" w:type="dxa"/>
            <w:shd w:val="clear" w:color="auto" w:fill="D4E3F5"/>
          </w:tcPr>
          <w:p>
            <w:pPr>
              <w:pStyle w:val="TableParagraph"/>
              <w:ind w:left="161" w:right="72"/>
              <w:rPr>
                <w:sz w:val="14"/>
              </w:rPr>
            </w:pPr>
            <w:r>
              <w:rPr>
                <w:color w:val="231F20"/>
                <w:spacing w:val="-5"/>
                <w:w w:val="95"/>
                <w:sz w:val="14"/>
              </w:rPr>
              <w:t>63</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2.7</w:t>
            </w:r>
          </w:p>
        </w:tc>
        <w:tc>
          <w:tcPr>
            <w:tcW w:w="574" w:type="dxa"/>
            <w:shd w:val="clear" w:color="auto" w:fill="D4E3F5"/>
          </w:tcPr>
          <w:p>
            <w:pPr>
              <w:pStyle w:val="TableParagraph"/>
              <w:ind w:left="161" w:right="70"/>
              <w:rPr>
                <w:sz w:val="14"/>
              </w:rPr>
            </w:pPr>
            <w:r>
              <w:rPr>
                <w:color w:val="231F20"/>
                <w:spacing w:val="-5"/>
                <w:w w:val="95"/>
                <w:sz w:val="14"/>
              </w:rPr>
              <w:t>85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5" w:right="48"/>
              <w:rPr>
                <w:sz w:val="14"/>
              </w:rPr>
            </w:pPr>
            <w:r>
              <w:rPr>
                <w:color w:val="231F20"/>
                <w:spacing w:val="-5"/>
                <w:w w:val="95"/>
                <w:sz w:val="14"/>
              </w:rPr>
              <w:t>3.1</w:t>
            </w:r>
          </w:p>
        </w:tc>
        <w:tc>
          <w:tcPr>
            <w:tcW w:w="574" w:type="dxa"/>
            <w:shd w:val="clear" w:color="auto" w:fill="D4E3F5"/>
          </w:tcPr>
          <w:p>
            <w:pPr>
              <w:pStyle w:val="TableParagraph"/>
              <w:ind w:left="161" w:right="69"/>
              <w:rPr>
                <w:sz w:val="14"/>
              </w:rPr>
            </w:pPr>
            <w:r>
              <w:rPr>
                <w:color w:val="231F20"/>
                <w:spacing w:val="-5"/>
                <w:w w:val="95"/>
                <w:sz w:val="14"/>
              </w:rPr>
              <w:t>57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3.2</w:t>
            </w:r>
          </w:p>
        </w:tc>
        <w:tc>
          <w:tcPr>
            <w:tcW w:w="574" w:type="dxa"/>
            <w:shd w:val="clear" w:color="auto" w:fill="D4E3F5"/>
          </w:tcPr>
          <w:p>
            <w:pPr>
              <w:pStyle w:val="TableParagraph"/>
              <w:ind w:left="161" w:right="67"/>
              <w:rPr>
                <w:sz w:val="14"/>
              </w:rPr>
            </w:pPr>
            <w:r>
              <w:rPr>
                <w:color w:val="231F20"/>
                <w:spacing w:val="-5"/>
                <w:w w:val="95"/>
                <w:sz w:val="14"/>
              </w:rPr>
              <w:t>65</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9" w:right="45"/>
              <w:rPr>
                <w:sz w:val="14"/>
              </w:rPr>
            </w:pPr>
            <w:r>
              <w:rPr>
                <w:color w:val="231F20"/>
                <w:spacing w:val="-5"/>
                <w:w w:val="95"/>
                <w:sz w:val="14"/>
              </w:rPr>
              <w:t>3.0</w:t>
            </w:r>
          </w:p>
        </w:tc>
        <w:tc>
          <w:tcPr>
            <w:tcW w:w="655" w:type="dxa"/>
            <w:shd w:val="clear" w:color="auto" w:fill="D4E3F5"/>
          </w:tcPr>
          <w:p>
            <w:pPr>
              <w:pStyle w:val="TableParagraph"/>
              <w:ind w:left="72" w:right="68"/>
              <w:rPr>
                <w:sz w:val="14"/>
              </w:rPr>
            </w:pPr>
            <w:r>
              <w:rPr>
                <w:color w:val="231F20"/>
                <w:spacing w:val="-5"/>
                <w:w w:val="95"/>
                <w:sz w:val="14"/>
              </w:rPr>
              <w:t>65</w:t>
            </w:r>
          </w:p>
        </w:tc>
      </w:tr>
      <w:tr>
        <w:trPr>
          <w:trHeight w:val="259" w:hRule="atLeast"/>
        </w:trPr>
        <w:tc>
          <w:tcPr>
            <w:tcW w:w="990" w:type="dxa"/>
          </w:tcPr>
          <w:p>
            <w:pPr>
              <w:pStyle w:val="TableParagraph"/>
              <w:ind w:left="79"/>
              <w:jc w:val="left"/>
              <w:rPr>
                <w:sz w:val="14"/>
              </w:rPr>
            </w:pPr>
            <w:r>
              <w:rPr>
                <w:color w:val="231F20"/>
                <w:spacing w:val="-2"/>
                <w:w w:val="85"/>
                <w:sz w:val="14"/>
              </w:rPr>
              <w:t>Indonesia</w:t>
            </w:r>
          </w:p>
        </w:tc>
        <w:tc>
          <w:tcPr>
            <w:tcW w:w="622" w:type="dxa"/>
          </w:tcPr>
          <w:p>
            <w:pPr>
              <w:pStyle w:val="TableParagraph"/>
              <w:ind w:left="67" w:right="101"/>
              <w:rPr>
                <w:sz w:val="14"/>
              </w:rPr>
            </w:pPr>
            <w:r>
              <w:rPr>
                <w:color w:val="231F20"/>
                <w:spacing w:val="-5"/>
                <w:w w:val="95"/>
                <w:sz w:val="14"/>
              </w:rPr>
              <w:t>61</w:t>
            </w:r>
          </w:p>
        </w:tc>
        <w:tc>
          <w:tcPr>
            <w:tcW w:w="644" w:type="dxa"/>
          </w:tcPr>
          <w:p>
            <w:pPr>
              <w:pStyle w:val="TableParagraph"/>
              <w:ind w:left="165"/>
              <w:jc w:val="left"/>
              <w:rPr>
                <w:sz w:val="14"/>
              </w:rPr>
            </w:pPr>
            <w:r>
              <w:rPr>
                <w:color w:val="231F20"/>
                <w:spacing w:val="-5"/>
                <w:w w:val="95"/>
                <w:sz w:val="14"/>
              </w:rPr>
              <w:t>3.0</w:t>
            </w:r>
          </w:p>
        </w:tc>
        <w:tc>
          <w:tcPr>
            <w:tcW w:w="480" w:type="dxa"/>
          </w:tcPr>
          <w:p>
            <w:pPr>
              <w:pStyle w:val="TableParagraph"/>
              <w:ind w:left="103"/>
              <w:jc w:val="left"/>
              <w:rPr>
                <w:sz w:val="14"/>
              </w:rPr>
            </w:pPr>
            <w:r>
              <w:rPr>
                <w:color w:val="231F20"/>
                <w:spacing w:val="-5"/>
                <w:w w:val="95"/>
                <w:sz w:val="14"/>
              </w:rPr>
              <w:t>2.9</w:t>
            </w:r>
          </w:p>
        </w:tc>
        <w:tc>
          <w:tcPr>
            <w:tcW w:w="582" w:type="dxa"/>
          </w:tcPr>
          <w:p>
            <w:pPr>
              <w:pStyle w:val="TableParagraph"/>
              <w:ind w:left="1" w:right="7"/>
              <w:rPr>
                <w:sz w:val="14"/>
              </w:rPr>
            </w:pPr>
            <w:r>
              <w:rPr>
                <w:color w:val="231F20"/>
                <w:spacing w:val="-5"/>
                <w:w w:val="95"/>
                <w:sz w:val="14"/>
              </w:rPr>
              <w:t>3.1</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2.8</w:t>
            </w:r>
          </w:p>
        </w:tc>
        <w:tc>
          <w:tcPr>
            <w:tcW w:w="574" w:type="dxa"/>
          </w:tcPr>
          <w:p>
            <w:pPr>
              <w:pStyle w:val="TableParagraph"/>
              <w:ind w:left="158" w:right="70"/>
              <w:rPr>
                <w:sz w:val="14"/>
              </w:rPr>
            </w:pPr>
            <w:r>
              <w:rPr>
                <w:color w:val="231F20"/>
                <w:spacing w:val="-5"/>
                <w:w w:val="95"/>
                <w:sz w:val="14"/>
              </w:rPr>
              <w:t>59</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2.9</w:t>
            </w:r>
          </w:p>
        </w:tc>
        <w:tc>
          <w:tcPr>
            <w:tcW w:w="574" w:type="dxa"/>
          </w:tcPr>
          <w:p>
            <w:pPr>
              <w:pStyle w:val="TableParagraph"/>
              <w:ind w:left="161" w:right="72"/>
              <w:rPr>
                <w:sz w:val="14"/>
              </w:rPr>
            </w:pPr>
            <w:r>
              <w:rPr>
                <w:color w:val="231F20"/>
                <w:spacing w:val="-5"/>
                <w:w w:val="95"/>
                <w:sz w:val="14"/>
              </w:rPr>
              <w:t>59</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3.0</w:t>
            </w:r>
          </w:p>
        </w:tc>
        <w:tc>
          <w:tcPr>
            <w:tcW w:w="574" w:type="dxa"/>
          </w:tcPr>
          <w:p>
            <w:pPr>
              <w:pStyle w:val="TableParagraph"/>
              <w:ind w:left="161" w:right="70"/>
              <w:rPr>
                <w:sz w:val="14"/>
              </w:rPr>
            </w:pPr>
            <w:r>
              <w:rPr>
                <w:color w:val="231F20"/>
                <w:spacing w:val="-5"/>
                <w:w w:val="95"/>
                <w:sz w:val="14"/>
              </w:rPr>
              <w:t>57</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2.9</w:t>
            </w:r>
          </w:p>
        </w:tc>
        <w:tc>
          <w:tcPr>
            <w:tcW w:w="574" w:type="dxa"/>
          </w:tcPr>
          <w:p>
            <w:pPr>
              <w:pStyle w:val="TableParagraph"/>
              <w:ind w:left="161" w:right="69"/>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3" w:type="dxa"/>
          </w:tcPr>
          <w:p>
            <w:pPr>
              <w:pStyle w:val="TableParagraph"/>
              <w:ind w:left="17" w:right="48"/>
              <w:rPr>
                <w:sz w:val="14"/>
              </w:rPr>
            </w:pPr>
            <w:r>
              <w:rPr>
                <w:color w:val="231F20"/>
                <w:spacing w:val="-5"/>
                <w:w w:val="95"/>
                <w:sz w:val="14"/>
              </w:rPr>
              <w:t>3.3</w:t>
            </w:r>
          </w:p>
        </w:tc>
        <w:tc>
          <w:tcPr>
            <w:tcW w:w="574" w:type="dxa"/>
          </w:tcPr>
          <w:p>
            <w:pPr>
              <w:pStyle w:val="TableParagraph"/>
              <w:ind w:left="161" w:right="67"/>
              <w:rPr>
                <w:sz w:val="14"/>
              </w:rPr>
            </w:pPr>
            <w:r>
              <w:rPr>
                <w:color w:val="231F20"/>
                <w:spacing w:val="-5"/>
                <w:w w:val="95"/>
                <w:sz w:val="14"/>
              </w:rPr>
              <w:t>59</w:t>
            </w:r>
          </w:p>
        </w:tc>
        <w:tc>
          <w:tcPr>
            <w:tcW w:w="126" w:type="dxa"/>
          </w:tcPr>
          <w:p>
            <w:pPr>
              <w:pStyle w:val="TableParagraph"/>
              <w:spacing w:before="0"/>
              <w:jc w:val="left"/>
              <w:rPr>
                <w:rFonts w:ascii="Times New Roman"/>
                <w:sz w:val="12"/>
              </w:rPr>
            </w:pPr>
          </w:p>
        </w:tc>
        <w:tc>
          <w:tcPr>
            <w:tcW w:w="468" w:type="dxa"/>
          </w:tcPr>
          <w:p>
            <w:pPr>
              <w:pStyle w:val="TableParagraph"/>
              <w:ind w:left="9" w:right="45"/>
              <w:rPr>
                <w:sz w:val="14"/>
              </w:rPr>
            </w:pPr>
            <w:r>
              <w:rPr>
                <w:color w:val="231F20"/>
                <w:spacing w:val="-5"/>
                <w:w w:val="95"/>
                <w:sz w:val="14"/>
              </w:rPr>
              <w:t>3.0</w:t>
            </w:r>
          </w:p>
        </w:tc>
        <w:tc>
          <w:tcPr>
            <w:tcW w:w="655" w:type="dxa"/>
          </w:tcPr>
          <w:p>
            <w:pPr>
              <w:pStyle w:val="TableParagraph"/>
              <w:ind w:left="72" w:right="68"/>
              <w:rPr>
                <w:sz w:val="14"/>
              </w:rPr>
            </w:pPr>
            <w:r>
              <w:rPr>
                <w:color w:val="231F20"/>
                <w:spacing w:val="-5"/>
                <w:w w:val="95"/>
                <w:sz w:val="14"/>
              </w:rPr>
              <w:t>65</w:t>
            </w:r>
          </w:p>
        </w:tc>
      </w:tr>
      <w:tr>
        <w:trPr>
          <w:trHeight w:val="259" w:hRule="atLeast"/>
        </w:trPr>
        <w:tc>
          <w:tcPr>
            <w:tcW w:w="990" w:type="dxa"/>
            <w:shd w:val="clear" w:color="auto" w:fill="D4E3F5"/>
          </w:tcPr>
          <w:p>
            <w:pPr>
              <w:pStyle w:val="TableParagraph"/>
              <w:ind w:left="79"/>
              <w:jc w:val="left"/>
              <w:rPr>
                <w:sz w:val="14"/>
              </w:rPr>
            </w:pPr>
            <w:r>
              <w:rPr>
                <w:color w:val="231F20"/>
                <w:spacing w:val="-4"/>
                <w:w w:val="90"/>
                <w:sz w:val="14"/>
              </w:rPr>
              <w:t>Peru</w:t>
            </w:r>
          </w:p>
        </w:tc>
        <w:tc>
          <w:tcPr>
            <w:tcW w:w="622" w:type="dxa"/>
            <w:shd w:val="clear" w:color="auto" w:fill="D4E3F5"/>
          </w:tcPr>
          <w:p>
            <w:pPr>
              <w:pStyle w:val="TableParagraph"/>
              <w:ind w:left="67" w:right="101"/>
              <w:rPr>
                <w:sz w:val="14"/>
              </w:rPr>
            </w:pPr>
            <w:r>
              <w:rPr>
                <w:color w:val="231F20"/>
                <w:spacing w:val="-5"/>
                <w:w w:val="95"/>
                <w:sz w:val="14"/>
              </w:rPr>
              <w:t>61</w:t>
            </w:r>
          </w:p>
        </w:tc>
        <w:tc>
          <w:tcPr>
            <w:tcW w:w="644" w:type="dxa"/>
            <w:shd w:val="clear" w:color="auto" w:fill="D4E3F5"/>
          </w:tcPr>
          <w:p>
            <w:pPr>
              <w:pStyle w:val="TableParagraph"/>
              <w:ind w:left="165"/>
              <w:jc w:val="left"/>
              <w:rPr>
                <w:sz w:val="14"/>
              </w:rPr>
            </w:pPr>
            <w:r>
              <w:rPr>
                <w:color w:val="231F20"/>
                <w:spacing w:val="-5"/>
                <w:w w:val="95"/>
                <w:sz w:val="14"/>
              </w:rPr>
              <w:t>3.0</w:t>
            </w:r>
          </w:p>
        </w:tc>
        <w:tc>
          <w:tcPr>
            <w:tcW w:w="480" w:type="dxa"/>
            <w:shd w:val="clear" w:color="auto" w:fill="D4E3F5"/>
          </w:tcPr>
          <w:p>
            <w:pPr>
              <w:pStyle w:val="TableParagraph"/>
              <w:ind w:left="103"/>
              <w:jc w:val="left"/>
              <w:rPr>
                <w:sz w:val="14"/>
              </w:rPr>
            </w:pPr>
            <w:r>
              <w:rPr>
                <w:color w:val="231F20"/>
                <w:spacing w:val="-5"/>
                <w:w w:val="95"/>
                <w:sz w:val="14"/>
              </w:rPr>
              <w:t>2.8</w:t>
            </w:r>
          </w:p>
        </w:tc>
        <w:tc>
          <w:tcPr>
            <w:tcW w:w="582" w:type="dxa"/>
            <w:shd w:val="clear" w:color="auto" w:fill="D4E3F5"/>
          </w:tcPr>
          <w:p>
            <w:pPr>
              <w:pStyle w:val="TableParagraph"/>
              <w:ind w:left="6" w:right="6"/>
              <w:rPr>
                <w:sz w:val="14"/>
              </w:rPr>
            </w:pPr>
            <w:r>
              <w:rPr>
                <w:color w:val="231F20"/>
                <w:spacing w:val="-5"/>
                <w:w w:val="95"/>
                <w:sz w:val="14"/>
              </w:rPr>
              <w:t>3.2</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2.6</w:t>
            </w:r>
          </w:p>
        </w:tc>
        <w:tc>
          <w:tcPr>
            <w:tcW w:w="574" w:type="dxa"/>
            <w:shd w:val="clear" w:color="auto" w:fill="D4E3F5"/>
          </w:tcPr>
          <w:p>
            <w:pPr>
              <w:pStyle w:val="TableParagraph"/>
              <w:ind w:left="158" w:right="70"/>
              <w:rPr>
                <w:sz w:val="14"/>
              </w:rPr>
            </w:pPr>
            <w:r>
              <w:rPr>
                <w:color w:val="231F20"/>
                <w:spacing w:val="-5"/>
                <w:w w:val="95"/>
                <w:sz w:val="14"/>
              </w:rPr>
              <w:t>74</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2.5</w:t>
            </w:r>
          </w:p>
        </w:tc>
        <w:tc>
          <w:tcPr>
            <w:tcW w:w="574" w:type="dxa"/>
            <w:shd w:val="clear" w:color="auto" w:fill="D4E3F5"/>
          </w:tcPr>
          <w:p>
            <w:pPr>
              <w:pStyle w:val="TableParagraph"/>
              <w:ind w:left="161" w:right="72"/>
              <w:rPr>
                <w:sz w:val="14"/>
              </w:rPr>
            </w:pPr>
            <w:r>
              <w:rPr>
                <w:color w:val="231F20"/>
                <w:spacing w:val="-5"/>
                <w:w w:val="95"/>
                <w:sz w:val="14"/>
              </w:rPr>
              <w:t>80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3" w:right="48"/>
              <w:rPr>
                <w:sz w:val="14"/>
              </w:rPr>
            </w:pPr>
            <w:r>
              <w:rPr>
                <w:color w:val="231F20"/>
                <w:spacing w:val="-5"/>
                <w:w w:val="95"/>
                <w:sz w:val="14"/>
              </w:rPr>
              <w:t>3.1</w:t>
            </w:r>
          </w:p>
        </w:tc>
        <w:tc>
          <w:tcPr>
            <w:tcW w:w="574" w:type="dxa"/>
            <w:shd w:val="clear" w:color="auto" w:fill="D4E3F5"/>
          </w:tcPr>
          <w:p>
            <w:pPr>
              <w:pStyle w:val="TableParagraph"/>
              <w:ind w:left="161" w:right="70"/>
              <w:rPr>
                <w:sz w:val="14"/>
              </w:rPr>
            </w:pPr>
            <w:r>
              <w:rPr>
                <w:color w:val="231F20"/>
                <w:spacing w:val="-5"/>
                <w:w w:val="95"/>
                <w:sz w:val="14"/>
              </w:rPr>
              <w:t>47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2.7</w:t>
            </w:r>
          </w:p>
        </w:tc>
        <w:tc>
          <w:tcPr>
            <w:tcW w:w="574" w:type="dxa"/>
            <w:shd w:val="clear" w:color="auto" w:fill="D4E3F5"/>
          </w:tcPr>
          <w:p>
            <w:pPr>
              <w:pStyle w:val="TableParagraph"/>
              <w:ind w:left="161" w:right="69"/>
              <w:rPr>
                <w:sz w:val="14"/>
              </w:rPr>
            </w:pPr>
            <w:r>
              <w:rPr>
                <w:color w:val="231F20"/>
                <w:spacing w:val="-5"/>
                <w:w w:val="95"/>
                <w:sz w:val="14"/>
              </w:rPr>
              <w:t>81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3.4</w:t>
            </w:r>
          </w:p>
        </w:tc>
        <w:tc>
          <w:tcPr>
            <w:tcW w:w="574" w:type="dxa"/>
            <w:shd w:val="clear" w:color="auto" w:fill="D4E3F5"/>
          </w:tcPr>
          <w:p>
            <w:pPr>
              <w:pStyle w:val="TableParagraph"/>
              <w:ind w:left="161" w:right="67"/>
              <w:rPr>
                <w:sz w:val="14"/>
              </w:rPr>
            </w:pPr>
            <w:r>
              <w:rPr>
                <w:color w:val="231F20"/>
                <w:spacing w:val="-5"/>
                <w:w w:val="95"/>
                <w:sz w:val="14"/>
              </w:rPr>
              <w:t>55</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3.4</w:t>
            </w:r>
          </w:p>
        </w:tc>
        <w:tc>
          <w:tcPr>
            <w:tcW w:w="655" w:type="dxa"/>
            <w:shd w:val="clear" w:color="auto" w:fill="D4E3F5"/>
          </w:tcPr>
          <w:p>
            <w:pPr>
              <w:pStyle w:val="TableParagraph"/>
              <w:ind w:left="72" w:right="68"/>
              <w:rPr>
                <w:sz w:val="14"/>
              </w:rPr>
            </w:pPr>
            <w:r>
              <w:rPr>
                <w:color w:val="231F20"/>
                <w:spacing w:val="-5"/>
                <w:w w:val="95"/>
                <w:sz w:val="14"/>
              </w:rPr>
              <w:t>41</w:t>
            </w:r>
          </w:p>
        </w:tc>
      </w:tr>
      <w:tr>
        <w:trPr>
          <w:trHeight w:val="259" w:hRule="atLeast"/>
        </w:trPr>
        <w:tc>
          <w:tcPr>
            <w:tcW w:w="990" w:type="dxa"/>
          </w:tcPr>
          <w:p>
            <w:pPr>
              <w:pStyle w:val="TableParagraph"/>
              <w:ind w:left="79"/>
              <w:jc w:val="left"/>
              <w:rPr>
                <w:sz w:val="14"/>
              </w:rPr>
            </w:pPr>
            <w:r>
              <w:rPr>
                <w:color w:val="231F20"/>
                <w:spacing w:val="-2"/>
                <w:w w:val="85"/>
                <w:sz w:val="14"/>
              </w:rPr>
              <w:t>Uruguay</w:t>
            </w:r>
          </w:p>
        </w:tc>
        <w:tc>
          <w:tcPr>
            <w:tcW w:w="622" w:type="dxa"/>
          </w:tcPr>
          <w:p>
            <w:pPr>
              <w:pStyle w:val="TableParagraph"/>
              <w:ind w:left="67" w:right="101"/>
              <w:rPr>
                <w:sz w:val="14"/>
              </w:rPr>
            </w:pPr>
            <w:r>
              <w:rPr>
                <w:color w:val="231F20"/>
                <w:spacing w:val="-5"/>
                <w:w w:val="95"/>
                <w:sz w:val="14"/>
              </w:rPr>
              <w:t>61</w:t>
            </w:r>
          </w:p>
        </w:tc>
        <w:tc>
          <w:tcPr>
            <w:tcW w:w="644" w:type="dxa"/>
          </w:tcPr>
          <w:p>
            <w:pPr>
              <w:pStyle w:val="TableParagraph"/>
              <w:ind w:left="165"/>
              <w:jc w:val="left"/>
              <w:rPr>
                <w:sz w:val="14"/>
              </w:rPr>
            </w:pPr>
            <w:r>
              <w:rPr>
                <w:color w:val="231F20"/>
                <w:spacing w:val="-5"/>
                <w:w w:val="95"/>
                <w:sz w:val="14"/>
              </w:rPr>
              <w:t>3.0</w:t>
            </w:r>
          </w:p>
        </w:tc>
        <w:tc>
          <w:tcPr>
            <w:tcW w:w="480" w:type="dxa"/>
          </w:tcPr>
          <w:p>
            <w:pPr>
              <w:pStyle w:val="TableParagraph"/>
              <w:ind w:left="104"/>
              <w:jc w:val="left"/>
              <w:rPr>
                <w:sz w:val="14"/>
              </w:rPr>
            </w:pPr>
            <w:r>
              <w:rPr>
                <w:color w:val="231F20"/>
                <w:spacing w:val="-5"/>
                <w:w w:val="95"/>
                <w:sz w:val="14"/>
              </w:rPr>
              <w:t>2.7</w:t>
            </w:r>
          </w:p>
        </w:tc>
        <w:tc>
          <w:tcPr>
            <w:tcW w:w="582" w:type="dxa"/>
          </w:tcPr>
          <w:p>
            <w:pPr>
              <w:pStyle w:val="TableParagraph"/>
              <w:ind w:left="7" w:right="6"/>
              <w:rPr>
                <w:sz w:val="14"/>
              </w:rPr>
            </w:pPr>
            <w:r>
              <w:rPr>
                <w:color w:val="231F20"/>
                <w:spacing w:val="-5"/>
                <w:w w:val="95"/>
                <w:sz w:val="14"/>
              </w:rPr>
              <w:t>3.3</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2.9</w:t>
            </w:r>
          </w:p>
        </w:tc>
        <w:tc>
          <w:tcPr>
            <w:tcW w:w="574" w:type="dxa"/>
          </w:tcPr>
          <w:p>
            <w:pPr>
              <w:pStyle w:val="TableParagraph"/>
              <w:ind w:left="158" w:right="70"/>
              <w:rPr>
                <w:sz w:val="14"/>
              </w:rPr>
            </w:pPr>
            <w:r>
              <w:rPr>
                <w:color w:val="231F20"/>
                <w:spacing w:val="-5"/>
                <w:w w:val="95"/>
                <w:sz w:val="14"/>
              </w:rPr>
              <w:t>56</w:t>
            </w:r>
          </w:p>
        </w:tc>
        <w:tc>
          <w:tcPr>
            <w:tcW w:w="126"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2.7</w:t>
            </w:r>
          </w:p>
        </w:tc>
        <w:tc>
          <w:tcPr>
            <w:tcW w:w="574" w:type="dxa"/>
          </w:tcPr>
          <w:p>
            <w:pPr>
              <w:pStyle w:val="TableParagraph"/>
              <w:ind w:left="161" w:right="72"/>
              <w:rPr>
                <w:sz w:val="14"/>
              </w:rPr>
            </w:pPr>
            <w:r>
              <w:rPr>
                <w:color w:val="231F20"/>
                <w:spacing w:val="-5"/>
                <w:w w:val="95"/>
                <w:sz w:val="14"/>
              </w:rPr>
              <w:t>68</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2.7</w:t>
            </w:r>
          </w:p>
        </w:tc>
        <w:tc>
          <w:tcPr>
            <w:tcW w:w="574" w:type="dxa"/>
          </w:tcPr>
          <w:p>
            <w:pPr>
              <w:pStyle w:val="TableParagraph"/>
              <w:ind w:left="161" w:right="70"/>
              <w:rPr>
                <w:sz w:val="14"/>
              </w:rPr>
            </w:pPr>
            <w:r>
              <w:rPr>
                <w:color w:val="231F20"/>
                <w:spacing w:val="-5"/>
                <w:w w:val="95"/>
                <w:sz w:val="14"/>
              </w:rPr>
              <w:t>85</w:t>
            </w:r>
          </w:p>
        </w:tc>
        <w:tc>
          <w:tcPr>
            <w:tcW w:w="126" w:type="dxa"/>
          </w:tcPr>
          <w:p>
            <w:pPr>
              <w:pStyle w:val="TableParagraph"/>
              <w:spacing w:before="0"/>
              <w:jc w:val="left"/>
              <w:rPr>
                <w:rFonts w:ascii="Times New Roman"/>
                <w:sz w:val="12"/>
              </w:rPr>
            </w:pPr>
          </w:p>
        </w:tc>
        <w:tc>
          <w:tcPr>
            <w:tcW w:w="463" w:type="dxa"/>
          </w:tcPr>
          <w:p>
            <w:pPr>
              <w:pStyle w:val="TableParagraph"/>
              <w:ind w:left="5" w:right="48"/>
              <w:rPr>
                <w:sz w:val="14"/>
              </w:rPr>
            </w:pPr>
            <w:r>
              <w:rPr>
                <w:color w:val="231F20"/>
                <w:spacing w:val="-5"/>
                <w:w w:val="95"/>
                <w:sz w:val="14"/>
              </w:rPr>
              <w:t>3.1</w:t>
            </w:r>
          </w:p>
        </w:tc>
        <w:tc>
          <w:tcPr>
            <w:tcW w:w="574" w:type="dxa"/>
          </w:tcPr>
          <w:p>
            <w:pPr>
              <w:pStyle w:val="TableParagraph"/>
              <w:ind w:left="161" w:right="69"/>
              <w:rPr>
                <w:sz w:val="14"/>
              </w:rPr>
            </w:pPr>
            <w:r>
              <w:rPr>
                <w:color w:val="231F20"/>
                <w:spacing w:val="-5"/>
                <w:w w:val="95"/>
                <w:sz w:val="14"/>
              </w:rPr>
              <w:t>57</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3.2</w:t>
            </w:r>
          </w:p>
        </w:tc>
        <w:tc>
          <w:tcPr>
            <w:tcW w:w="574" w:type="dxa"/>
          </w:tcPr>
          <w:p>
            <w:pPr>
              <w:pStyle w:val="TableParagraph"/>
              <w:ind w:left="161" w:right="67"/>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8" w:type="dxa"/>
          </w:tcPr>
          <w:p>
            <w:pPr>
              <w:pStyle w:val="TableParagraph"/>
              <w:ind w:left="10" w:right="45"/>
              <w:rPr>
                <w:sz w:val="14"/>
              </w:rPr>
            </w:pPr>
            <w:r>
              <w:rPr>
                <w:color w:val="231F20"/>
                <w:spacing w:val="-5"/>
                <w:w w:val="95"/>
                <w:sz w:val="14"/>
              </w:rPr>
              <w:t>3.3</w:t>
            </w:r>
          </w:p>
        </w:tc>
        <w:tc>
          <w:tcPr>
            <w:tcW w:w="655" w:type="dxa"/>
          </w:tcPr>
          <w:p>
            <w:pPr>
              <w:pStyle w:val="TableParagraph"/>
              <w:ind w:left="72" w:right="68"/>
              <w:rPr>
                <w:sz w:val="14"/>
              </w:rPr>
            </w:pPr>
            <w:r>
              <w:rPr>
                <w:color w:val="231F20"/>
                <w:spacing w:val="-5"/>
                <w:w w:val="95"/>
                <w:sz w:val="14"/>
              </w:rPr>
              <w:t>49</w:t>
            </w:r>
          </w:p>
        </w:tc>
      </w:tr>
      <w:tr>
        <w:trPr>
          <w:trHeight w:val="419" w:hRule="atLeast"/>
        </w:trPr>
        <w:tc>
          <w:tcPr>
            <w:tcW w:w="990" w:type="dxa"/>
            <w:shd w:val="clear" w:color="auto" w:fill="D4E3F5"/>
          </w:tcPr>
          <w:p>
            <w:pPr>
              <w:pStyle w:val="TableParagraph"/>
              <w:ind w:left="79" w:right="295"/>
              <w:jc w:val="left"/>
              <w:rPr>
                <w:sz w:val="14"/>
              </w:rPr>
            </w:pPr>
            <w:r>
              <w:rPr>
                <w:color w:val="231F20"/>
                <w:w w:val="80"/>
                <w:sz w:val="14"/>
              </w:rPr>
              <w:t>Antigua</w:t>
            </w:r>
            <w:r>
              <w:rPr>
                <w:color w:val="231F20"/>
                <w:spacing w:val="-2"/>
                <w:w w:val="80"/>
                <w:sz w:val="14"/>
              </w:rPr>
              <w:t> </w:t>
            </w:r>
            <w:r>
              <w:rPr>
                <w:color w:val="231F20"/>
                <w:w w:val="80"/>
                <w:sz w:val="14"/>
              </w:rPr>
              <w:t>and</w:t>
            </w:r>
            <w:r>
              <w:rPr>
                <w:color w:val="231F20"/>
                <w:spacing w:val="40"/>
                <w:sz w:val="14"/>
              </w:rPr>
              <w:t> </w:t>
            </w:r>
            <w:r>
              <w:rPr>
                <w:color w:val="231F20"/>
                <w:spacing w:val="-2"/>
                <w:w w:val="90"/>
                <w:sz w:val="14"/>
              </w:rPr>
              <w:t>Barbuda</w:t>
            </w:r>
          </w:p>
        </w:tc>
        <w:tc>
          <w:tcPr>
            <w:tcW w:w="622" w:type="dxa"/>
            <w:shd w:val="clear" w:color="auto" w:fill="D4E3F5"/>
          </w:tcPr>
          <w:p>
            <w:pPr>
              <w:pStyle w:val="TableParagraph"/>
              <w:spacing w:before="47"/>
              <w:jc w:val="left"/>
              <w:rPr>
                <w:b/>
                <w:sz w:val="14"/>
              </w:rPr>
            </w:pPr>
          </w:p>
          <w:p>
            <w:pPr>
              <w:pStyle w:val="TableParagraph"/>
              <w:spacing w:before="0"/>
              <w:ind w:left="67" w:right="101"/>
              <w:rPr>
                <w:sz w:val="14"/>
              </w:rPr>
            </w:pPr>
            <w:r>
              <w:rPr>
                <w:color w:val="231F20"/>
                <w:spacing w:val="-5"/>
                <w:w w:val="95"/>
                <w:sz w:val="14"/>
              </w:rPr>
              <w:t>66</w:t>
            </w:r>
          </w:p>
        </w:tc>
        <w:tc>
          <w:tcPr>
            <w:tcW w:w="644" w:type="dxa"/>
            <w:shd w:val="clear" w:color="auto" w:fill="D4E3F5"/>
          </w:tcPr>
          <w:p>
            <w:pPr>
              <w:pStyle w:val="TableParagraph"/>
              <w:spacing w:before="47"/>
              <w:jc w:val="left"/>
              <w:rPr>
                <w:b/>
                <w:sz w:val="14"/>
              </w:rPr>
            </w:pPr>
          </w:p>
          <w:p>
            <w:pPr>
              <w:pStyle w:val="TableParagraph"/>
              <w:spacing w:before="0"/>
              <w:ind w:left="165"/>
              <w:jc w:val="left"/>
              <w:rPr>
                <w:sz w:val="14"/>
              </w:rPr>
            </w:pPr>
            <w:r>
              <w:rPr>
                <w:color w:val="231F20"/>
                <w:spacing w:val="-5"/>
                <w:w w:val="95"/>
                <w:sz w:val="14"/>
              </w:rPr>
              <w:t>2.9</w:t>
            </w:r>
          </w:p>
        </w:tc>
        <w:tc>
          <w:tcPr>
            <w:tcW w:w="480" w:type="dxa"/>
            <w:shd w:val="clear" w:color="auto" w:fill="D4E3F5"/>
          </w:tcPr>
          <w:p>
            <w:pPr>
              <w:pStyle w:val="TableParagraph"/>
              <w:spacing w:before="47"/>
              <w:jc w:val="left"/>
              <w:rPr>
                <w:b/>
                <w:sz w:val="14"/>
              </w:rPr>
            </w:pPr>
          </w:p>
          <w:p>
            <w:pPr>
              <w:pStyle w:val="TableParagraph"/>
              <w:spacing w:before="0"/>
              <w:ind w:left="104"/>
              <w:jc w:val="left"/>
              <w:rPr>
                <w:sz w:val="14"/>
              </w:rPr>
            </w:pPr>
            <w:r>
              <w:rPr>
                <w:color w:val="231F20"/>
                <w:spacing w:val="-5"/>
                <w:w w:val="95"/>
                <w:sz w:val="14"/>
              </w:rPr>
              <w:t>2.7</w:t>
            </w:r>
          </w:p>
        </w:tc>
        <w:tc>
          <w:tcPr>
            <w:tcW w:w="582" w:type="dxa"/>
            <w:shd w:val="clear" w:color="auto" w:fill="D4E3F5"/>
          </w:tcPr>
          <w:p>
            <w:pPr>
              <w:pStyle w:val="TableParagraph"/>
              <w:spacing w:before="47"/>
              <w:jc w:val="left"/>
              <w:rPr>
                <w:b/>
                <w:sz w:val="14"/>
              </w:rPr>
            </w:pPr>
          </w:p>
          <w:p>
            <w:pPr>
              <w:pStyle w:val="TableParagraph"/>
              <w:spacing w:before="0"/>
              <w:ind w:left="1" w:right="7"/>
              <w:rPr>
                <w:sz w:val="14"/>
              </w:rPr>
            </w:pPr>
            <w:r>
              <w:rPr>
                <w:color w:val="231F20"/>
                <w:spacing w:val="-5"/>
                <w:w w:val="95"/>
                <w:sz w:val="14"/>
              </w:rPr>
              <w:t>3.1</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b/>
                <w:sz w:val="14"/>
              </w:rPr>
            </w:pPr>
          </w:p>
          <w:p>
            <w:pPr>
              <w:pStyle w:val="TableParagraph"/>
              <w:spacing w:before="0"/>
              <w:ind w:left="8" w:right="48"/>
              <w:rPr>
                <w:sz w:val="14"/>
              </w:rPr>
            </w:pPr>
            <w:r>
              <w:rPr>
                <w:color w:val="231F20"/>
                <w:spacing w:val="-5"/>
                <w:w w:val="95"/>
                <w:sz w:val="14"/>
              </w:rPr>
              <w:t>2.2</w:t>
            </w:r>
          </w:p>
        </w:tc>
        <w:tc>
          <w:tcPr>
            <w:tcW w:w="574" w:type="dxa"/>
            <w:shd w:val="clear" w:color="auto" w:fill="D4E3F5"/>
          </w:tcPr>
          <w:p>
            <w:pPr>
              <w:pStyle w:val="TableParagraph"/>
              <w:spacing w:before="47"/>
              <w:jc w:val="left"/>
              <w:rPr>
                <w:b/>
                <w:sz w:val="14"/>
              </w:rPr>
            </w:pPr>
          </w:p>
          <w:p>
            <w:pPr>
              <w:pStyle w:val="TableParagraph"/>
              <w:spacing w:before="0"/>
              <w:ind w:left="161" w:right="130"/>
              <w:rPr>
                <w:sz w:val="14"/>
              </w:rPr>
            </w:pPr>
            <w:r>
              <w:rPr>
                <w:color w:val="231F20"/>
                <w:spacing w:val="-5"/>
                <w:w w:val="95"/>
                <w:sz w:val="14"/>
              </w:rPr>
              <w:t>110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b/>
                <w:sz w:val="14"/>
              </w:rPr>
            </w:pPr>
          </w:p>
          <w:p>
            <w:pPr>
              <w:pStyle w:val="TableParagraph"/>
              <w:spacing w:before="0"/>
              <w:ind w:left="8" w:right="48"/>
              <w:rPr>
                <w:sz w:val="14"/>
              </w:rPr>
            </w:pPr>
            <w:r>
              <w:rPr>
                <w:color w:val="231F20"/>
                <w:spacing w:val="-5"/>
                <w:w w:val="95"/>
                <w:sz w:val="14"/>
              </w:rPr>
              <w:t>2.7</w:t>
            </w:r>
          </w:p>
        </w:tc>
        <w:tc>
          <w:tcPr>
            <w:tcW w:w="574" w:type="dxa"/>
            <w:shd w:val="clear" w:color="auto" w:fill="D4E3F5"/>
          </w:tcPr>
          <w:p>
            <w:pPr>
              <w:pStyle w:val="TableParagraph"/>
              <w:spacing w:before="47"/>
              <w:jc w:val="left"/>
              <w:rPr>
                <w:b/>
                <w:sz w:val="14"/>
              </w:rPr>
            </w:pPr>
          </w:p>
          <w:p>
            <w:pPr>
              <w:pStyle w:val="TableParagraph"/>
              <w:spacing w:before="0"/>
              <w:ind w:left="161" w:right="72"/>
              <w:rPr>
                <w:sz w:val="14"/>
              </w:rPr>
            </w:pPr>
            <w:r>
              <w:rPr>
                <w:color w:val="231F20"/>
                <w:spacing w:val="-5"/>
                <w:w w:val="95"/>
                <w:sz w:val="14"/>
              </w:rPr>
              <w:t>68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b/>
                <w:sz w:val="14"/>
              </w:rPr>
            </w:pPr>
          </w:p>
          <w:p>
            <w:pPr>
              <w:pStyle w:val="TableParagraph"/>
              <w:spacing w:before="0"/>
              <w:ind w:left="11" w:right="48"/>
              <w:rPr>
                <w:sz w:val="14"/>
              </w:rPr>
            </w:pPr>
            <w:r>
              <w:rPr>
                <w:color w:val="231F20"/>
                <w:spacing w:val="-5"/>
                <w:w w:val="95"/>
                <w:sz w:val="14"/>
              </w:rPr>
              <w:t>2.9</w:t>
            </w:r>
          </w:p>
        </w:tc>
        <w:tc>
          <w:tcPr>
            <w:tcW w:w="574" w:type="dxa"/>
            <w:shd w:val="clear" w:color="auto" w:fill="D4E3F5"/>
          </w:tcPr>
          <w:p>
            <w:pPr>
              <w:pStyle w:val="TableParagraph"/>
              <w:spacing w:before="47"/>
              <w:jc w:val="left"/>
              <w:rPr>
                <w:b/>
                <w:sz w:val="14"/>
              </w:rPr>
            </w:pPr>
          </w:p>
          <w:p>
            <w:pPr>
              <w:pStyle w:val="TableParagraph"/>
              <w:spacing w:before="0"/>
              <w:ind w:left="161" w:right="70"/>
              <w:rPr>
                <w:sz w:val="14"/>
              </w:rPr>
            </w:pPr>
            <w:r>
              <w:rPr>
                <w:color w:val="231F20"/>
                <w:spacing w:val="-5"/>
                <w:w w:val="95"/>
                <w:sz w:val="14"/>
              </w:rPr>
              <w:t>68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b/>
                <w:sz w:val="14"/>
              </w:rPr>
            </w:pPr>
          </w:p>
          <w:p>
            <w:pPr>
              <w:pStyle w:val="TableParagraph"/>
              <w:spacing w:before="0"/>
              <w:ind w:left="13" w:right="48"/>
              <w:rPr>
                <w:sz w:val="14"/>
              </w:rPr>
            </w:pPr>
            <w:r>
              <w:rPr>
                <w:color w:val="231F20"/>
                <w:spacing w:val="-5"/>
                <w:w w:val="95"/>
                <w:sz w:val="14"/>
              </w:rPr>
              <w:t>2.9</w:t>
            </w:r>
          </w:p>
        </w:tc>
        <w:tc>
          <w:tcPr>
            <w:tcW w:w="574" w:type="dxa"/>
            <w:shd w:val="clear" w:color="auto" w:fill="D4E3F5"/>
          </w:tcPr>
          <w:p>
            <w:pPr>
              <w:pStyle w:val="TableParagraph"/>
              <w:spacing w:before="47"/>
              <w:jc w:val="left"/>
              <w:rPr>
                <w:b/>
                <w:sz w:val="14"/>
              </w:rPr>
            </w:pPr>
          </w:p>
          <w:p>
            <w:pPr>
              <w:pStyle w:val="TableParagraph"/>
              <w:spacing w:before="0"/>
              <w:ind w:left="161" w:right="69"/>
              <w:rPr>
                <w:sz w:val="14"/>
              </w:rPr>
            </w:pPr>
            <w:r>
              <w:rPr>
                <w:color w:val="231F20"/>
                <w:spacing w:val="-5"/>
                <w:w w:val="95"/>
                <w:sz w:val="14"/>
              </w:rPr>
              <w:t>65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b/>
                <w:sz w:val="14"/>
              </w:rPr>
            </w:pPr>
          </w:p>
          <w:p>
            <w:pPr>
              <w:pStyle w:val="TableParagraph"/>
              <w:spacing w:before="0"/>
              <w:ind w:left="14" w:right="48"/>
              <w:rPr>
                <w:sz w:val="14"/>
              </w:rPr>
            </w:pPr>
            <w:r>
              <w:rPr>
                <w:color w:val="231F20"/>
                <w:spacing w:val="-5"/>
                <w:w w:val="95"/>
                <w:sz w:val="14"/>
              </w:rPr>
              <w:t>3.4</w:t>
            </w:r>
          </w:p>
        </w:tc>
        <w:tc>
          <w:tcPr>
            <w:tcW w:w="574" w:type="dxa"/>
            <w:shd w:val="clear" w:color="auto" w:fill="D4E3F5"/>
          </w:tcPr>
          <w:p>
            <w:pPr>
              <w:pStyle w:val="TableParagraph"/>
              <w:spacing w:before="47"/>
              <w:jc w:val="left"/>
              <w:rPr>
                <w:b/>
                <w:sz w:val="14"/>
              </w:rPr>
            </w:pPr>
          </w:p>
          <w:p>
            <w:pPr>
              <w:pStyle w:val="TableParagraph"/>
              <w:spacing w:before="0"/>
              <w:ind w:left="161" w:right="67"/>
              <w:rPr>
                <w:sz w:val="14"/>
              </w:rPr>
            </w:pPr>
            <w:r>
              <w:rPr>
                <w:color w:val="231F20"/>
                <w:spacing w:val="-5"/>
                <w:w w:val="95"/>
                <w:sz w:val="14"/>
              </w:rPr>
              <w:t>55</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spacing w:before="47"/>
              <w:jc w:val="left"/>
              <w:rPr>
                <w:b/>
                <w:sz w:val="14"/>
              </w:rPr>
            </w:pPr>
          </w:p>
          <w:p>
            <w:pPr>
              <w:pStyle w:val="TableParagraph"/>
              <w:spacing w:before="0"/>
              <w:ind w:left="8" w:right="45"/>
              <w:rPr>
                <w:sz w:val="14"/>
              </w:rPr>
            </w:pPr>
            <w:r>
              <w:rPr>
                <w:color w:val="231F20"/>
                <w:spacing w:val="-5"/>
                <w:w w:val="95"/>
                <w:sz w:val="14"/>
              </w:rPr>
              <w:t>3.2</w:t>
            </w:r>
          </w:p>
        </w:tc>
        <w:tc>
          <w:tcPr>
            <w:tcW w:w="655" w:type="dxa"/>
            <w:shd w:val="clear" w:color="auto" w:fill="D4E3F5"/>
          </w:tcPr>
          <w:p>
            <w:pPr>
              <w:pStyle w:val="TableParagraph"/>
              <w:spacing w:before="47"/>
              <w:jc w:val="left"/>
              <w:rPr>
                <w:b/>
                <w:sz w:val="14"/>
              </w:rPr>
            </w:pPr>
          </w:p>
          <w:p>
            <w:pPr>
              <w:pStyle w:val="TableParagraph"/>
              <w:spacing w:before="0"/>
              <w:ind w:left="72" w:right="68"/>
              <w:rPr>
                <w:sz w:val="14"/>
              </w:rPr>
            </w:pPr>
            <w:r>
              <w:rPr>
                <w:color w:val="231F20"/>
                <w:spacing w:val="-5"/>
                <w:w w:val="95"/>
                <w:sz w:val="14"/>
              </w:rPr>
              <w:t>54</w:t>
            </w:r>
          </w:p>
        </w:tc>
      </w:tr>
      <w:tr>
        <w:trPr>
          <w:trHeight w:val="259" w:hRule="atLeast"/>
        </w:trPr>
        <w:tc>
          <w:tcPr>
            <w:tcW w:w="990" w:type="dxa"/>
          </w:tcPr>
          <w:p>
            <w:pPr>
              <w:pStyle w:val="TableParagraph"/>
              <w:ind w:left="79"/>
              <w:jc w:val="left"/>
              <w:rPr>
                <w:sz w:val="14"/>
              </w:rPr>
            </w:pPr>
            <w:r>
              <w:rPr>
                <w:color w:val="231F20"/>
                <w:spacing w:val="-2"/>
                <w:w w:val="90"/>
                <w:sz w:val="14"/>
              </w:rPr>
              <w:t>Benin</w:t>
            </w:r>
          </w:p>
        </w:tc>
        <w:tc>
          <w:tcPr>
            <w:tcW w:w="622" w:type="dxa"/>
          </w:tcPr>
          <w:p>
            <w:pPr>
              <w:pStyle w:val="TableParagraph"/>
              <w:ind w:left="67" w:right="101"/>
              <w:rPr>
                <w:sz w:val="14"/>
              </w:rPr>
            </w:pPr>
            <w:r>
              <w:rPr>
                <w:color w:val="231F20"/>
                <w:spacing w:val="-5"/>
                <w:w w:val="95"/>
                <w:sz w:val="14"/>
              </w:rPr>
              <w:t>66</w:t>
            </w:r>
          </w:p>
        </w:tc>
        <w:tc>
          <w:tcPr>
            <w:tcW w:w="644" w:type="dxa"/>
          </w:tcPr>
          <w:p>
            <w:pPr>
              <w:pStyle w:val="TableParagraph"/>
              <w:ind w:left="165"/>
              <w:jc w:val="left"/>
              <w:rPr>
                <w:sz w:val="14"/>
              </w:rPr>
            </w:pPr>
            <w:r>
              <w:rPr>
                <w:color w:val="231F20"/>
                <w:spacing w:val="-5"/>
                <w:w w:val="95"/>
                <w:sz w:val="14"/>
              </w:rPr>
              <w:t>2.9</w:t>
            </w:r>
          </w:p>
        </w:tc>
        <w:tc>
          <w:tcPr>
            <w:tcW w:w="480" w:type="dxa"/>
          </w:tcPr>
          <w:p>
            <w:pPr>
              <w:pStyle w:val="TableParagraph"/>
              <w:ind w:left="102"/>
              <w:jc w:val="left"/>
              <w:rPr>
                <w:sz w:val="14"/>
              </w:rPr>
            </w:pPr>
            <w:r>
              <w:rPr>
                <w:color w:val="231F20"/>
                <w:spacing w:val="-5"/>
                <w:w w:val="95"/>
                <w:sz w:val="14"/>
              </w:rPr>
              <w:t>2.5</w:t>
            </w:r>
          </w:p>
        </w:tc>
        <w:tc>
          <w:tcPr>
            <w:tcW w:w="582" w:type="dxa"/>
          </w:tcPr>
          <w:p>
            <w:pPr>
              <w:pStyle w:val="TableParagraph"/>
              <w:ind w:left="7" w:right="6"/>
              <w:rPr>
                <w:sz w:val="14"/>
              </w:rPr>
            </w:pPr>
            <w:r>
              <w:rPr>
                <w:color w:val="231F20"/>
                <w:spacing w:val="-5"/>
                <w:w w:val="95"/>
                <w:sz w:val="14"/>
              </w:rPr>
              <w:t>3.3</w:t>
            </w:r>
          </w:p>
        </w:tc>
        <w:tc>
          <w:tcPr>
            <w:tcW w:w="80" w:type="dxa"/>
          </w:tcPr>
          <w:p>
            <w:pPr>
              <w:pStyle w:val="TableParagraph"/>
              <w:spacing w:before="0"/>
              <w:jc w:val="left"/>
              <w:rPr>
                <w:rFonts w:ascii="Times New Roman"/>
                <w:sz w:val="12"/>
              </w:rPr>
            </w:pPr>
          </w:p>
        </w:tc>
        <w:tc>
          <w:tcPr>
            <w:tcW w:w="463" w:type="dxa"/>
          </w:tcPr>
          <w:p>
            <w:pPr>
              <w:pStyle w:val="TableParagraph"/>
              <w:ind w:left="7" w:right="48"/>
              <w:rPr>
                <w:sz w:val="14"/>
              </w:rPr>
            </w:pPr>
            <w:r>
              <w:rPr>
                <w:color w:val="231F20"/>
                <w:spacing w:val="-5"/>
                <w:w w:val="95"/>
                <w:sz w:val="14"/>
              </w:rPr>
              <w:t>2.7</w:t>
            </w:r>
          </w:p>
        </w:tc>
        <w:tc>
          <w:tcPr>
            <w:tcW w:w="574" w:type="dxa"/>
          </w:tcPr>
          <w:p>
            <w:pPr>
              <w:pStyle w:val="TableParagraph"/>
              <w:ind w:left="158" w:right="70"/>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2.5</w:t>
            </w:r>
          </w:p>
        </w:tc>
        <w:tc>
          <w:tcPr>
            <w:tcW w:w="574" w:type="dxa"/>
          </w:tcPr>
          <w:p>
            <w:pPr>
              <w:pStyle w:val="TableParagraph"/>
              <w:ind w:left="161" w:right="72"/>
              <w:rPr>
                <w:sz w:val="14"/>
              </w:rPr>
            </w:pPr>
            <w:r>
              <w:rPr>
                <w:color w:val="231F20"/>
                <w:spacing w:val="-5"/>
                <w:w w:val="95"/>
                <w:sz w:val="14"/>
              </w:rPr>
              <w:t>80</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2.9</w:t>
            </w:r>
          </w:p>
        </w:tc>
        <w:tc>
          <w:tcPr>
            <w:tcW w:w="574" w:type="dxa"/>
          </w:tcPr>
          <w:p>
            <w:pPr>
              <w:pStyle w:val="TableParagraph"/>
              <w:ind w:left="161" w:right="70"/>
              <w:rPr>
                <w:sz w:val="14"/>
              </w:rPr>
            </w:pPr>
            <w:r>
              <w:rPr>
                <w:color w:val="231F20"/>
                <w:spacing w:val="-5"/>
                <w:w w:val="95"/>
                <w:sz w:val="14"/>
              </w:rPr>
              <w:t>68</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3.0</w:t>
            </w:r>
          </w:p>
        </w:tc>
        <w:tc>
          <w:tcPr>
            <w:tcW w:w="574" w:type="dxa"/>
          </w:tcPr>
          <w:p>
            <w:pPr>
              <w:pStyle w:val="TableParagraph"/>
              <w:ind w:left="161" w:right="69"/>
              <w:rPr>
                <w:sz w:val="14"/>
              </w:rPr>
            </w:pPr>
            <w:r>
              <w:rPr>
                <w:color w:val="231F20"/>
                <w:spacing w:val="-5"/>
                <w:w w:val="95"/>
                <w:sz w:val="14"/>
              </w:rPr>
              <w:t>61</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2.7</w:t>
            </w:r>
          </w:p>
        </w:tc>
        <w:tc>
          <w:tcPr>
            <w:tcW w:w="574" w:type="dxa"/>
          </w:tcPr>
          <w:p>
            <w:pPr>
              <w:pStyle w:val="TableParagraph"/>
              <w:ind w:left="161" w:right="135"/>
              <w:rPr>
                <w:sz w:val="14"/>
              </w:rPr>
            </w:pPr>
            <w:r>
              <w:rPr>
                <w:color w:val="231F20"/>
                <w:spacing w:val="-5"/>
                <w:w w:val="95"/>
                <w:sz w:val="14"/>
              </w:rPr>
              <w:t>109</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3.2</w:t>
            </w:r>
          </w:p>
        </w:tc>
        <w:tc>
          <w:tcPr>
            <w:tcW w:w="655" w:type="dxa"/>
          </w:tcPr>
          <w:p>
            <w:pPr>
              <w:pStyle w:val="TableParagraph"/>
              <w:ind w:left="72" w:right="68"/>
              <w:rPr>
                <w:sz w:val="14"/>
              </w:rPr>
            </w:pPr>
            <w:r>
              <w:rPr>
                <w:color w:val="231F20"/>
                <w:spacing w:val="-5"/>
                <w:w w:val="95"/>
                <w:sz w:val="14"/>
              </w:rPr>
              <w:t>54</w:t>
            </w:r>
          </w:p>
        </w:tc>
      </w:tr>
      <w:tr>
        <w:trPr>
          <w:trHeight w:val="259" w:hRule="atLeast"/>
        </w:trPr>
        <w:tc>
          <w:tcPr>
            <w:tcW w:w="990" w:type="dxa"/>
            <w:shd w:val="clear" w:color="auto" w:fill="D4E3F5"/>
          </w:tcPr>
          <w:p>
            <w:pPr>
              <w:pStyle w:val="TableParagraph"/>
              <w:ind w:left="79"/>
              <w:jc w:val="left"/>
              <w:rPr>
                <w:sz w:val="14"/>
              </w:rPr>
            </w:pPr>
            <w:r>
              <w:rPr>
                <w:color w:val="231F20"/>
                <w:spacing w:val="-2"/>
                <w:w w:val="90"/>
                <w:sz w:val="14"/>
              </w:rPr>
              <w:t>Colombia</w:t>
            </w:r>
          </w:p>
        </w:tc>
        <w:tc>
          <w:tcPr>
            <w:tcW w:w="622" w:type="dxa"/>
            <w:shd w:val="clear" w:color="auto" w:fill="D4E3F5"/>
          </w:tcPr>
          <w:p>
            <w:pPr>
              <w:pStyle w:val="TableParagraph"/>
              <w:ind w:left="67" w:right="101"/>
              <w:rPr>
                <w:sz w:val="14"/>
              </w:rPr>
            </w:pPr>
            <w:r>
              <w:rPr>
                <w:color w:val="231F20"/>
                <w:spacing w:val="-5"/>
                <w:w w:val="95"/>
                <w:sz w:val="14"/>
              </w:rPr>
              <w:t>66</w:t>
            </w:r>
          </w:p>
        </w:tc>
        <w:tc>
          <w:tcPr>
            <w:tcW w:w="644" w:type="dxa"/>
            <w:shd w:val="clear" w:color="auto" w:fill="D4E3F5"/>
          </w:tcPr>
          <w:p>
            <w:pPr>
              <w:pStyle w:val="TableParagraph"/>
              <w:ind w:left="165"/>
              <w:jc w:val="left"/>
              <w:rPr>
                <w:sz w:val="14"/>
              </w:rPr>
            </w:pPr>
            <w:r>
              <w:rPr>
                <w:color w:val="231F20"/>
                <w:spacing w:val="-5"/>
                <w:w w:val="95"/>
                <w:sz w:val="14"/>
              </w:rPr>
              <w:t>2.9</w:t>
            </w:r>
          </w:p>
        </w:tc>
        <w:tc>
          <w:tcPr>
            <w:tcW w:w="480" w:type="dxa"/>
            <w:shd w:val="clear" w:color="auto" w:fill="D4E3F5"/>
          </w:tcPr>
          <w:p>
            <w:pPr>
              <w:pStyle w:val="TableParagraph"/>
              <w:ind w:left="104"/>
              <w:jc w:val="left"/>
              <w:rPr>
                <w:sz w:val="14"/>
              </w:rPr>
            </w:pPr>
            <w:r>
              <w:rPr>
                <w:color w:val="231F20"/>
                <w:spacing w:val="-5"/>
                <w:w w:val="95"/>
                <w:sz w:val="14"/>
              </w:rPr>
              <w:t>2.7</w:t>
            </w:r>
          </w:p>
        </w:tc>
        <w:tc>
          <w:tcPr>
            <w:tcW w:w="582" w:type="dxa"/>
            <w:shd w:val="clear" w:color="auto" w:fill="D4E3F5"/>
          </w:tcPr>
          <w:p>
            <w:pPr>
              <w:pStyle w:val="TableParagraph"/>
              <w:ind w:left="1" w:right="7"/>
              <w:rPr>
                <w:sz w:val="14"/>
              </w:rPr>
            </w:pPr>
            <w:r>
              <w:rPr>
                <w:color w:val="231F20"/>
                <w:spacing w:val="-5"/>
                <w:w w:val="95"/>
                <w:sz w:val="14"/>
              </w:rPr>
              <w:t>3.1</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2.5</w:t>
            </w:r>
          </w:p>
        </w:tc>
        <w:tc>
          <w:tcPr>
            <w:tcW w:w="574" w:type="dxa"/>
            <w:shd w:val="clear" w:color="auto" w:fill="D4E3F5"/>
          </w:tcPr>
          <w:p>
            <w:pPr>
              <w:pStyle w:val="TableParagraph"/>
              <w:ind w:left="158" w:right="70"/>
              <w:rPr>
                <w:sz w:val="14"/>
              </w:rPr>
            </w:pPr>
            <w:r>
              <w:rPr>
                <w:color w:val="231F20"/>
                <w:spacing w:val="-5"/>
                <w:w w:val="95"/>
                <w:sz w:val="14"/>
              </w:rPr>
              <w:t>84</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2.9</w:t>
            </w:r>
          </w:p>
        </w:tc>
        <w:tc>
          <w:tcPr>
            <w:tcW w:w="574" w:type="dxa"/>
            <w:shd w:val="clear" w:color="auto" w:fill="D4E3F5"/>
          </w:tcPr>
          <w:p>
            <w:pPr>
              <w:pStyle w:val="TableParagraph"/>
              <w:ind w:left="161" w:right="72"/>
              <w:rPr>
                <w:sz w:val="14"/>
              </w:rPr>
            </w:pPr>
            <w:r>
              <w:rPr>
                <w:color w:val="231F20"/>
                <w:spacing w:val="-5"/>
                <w:w w:val="95"/>
                <w:sz w:val="14"/>
              </w:rPr>
              <w:t>59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3.0</w:t>
            </w:r>
          </w:p>
        </w:tc>
        <w:tc>
          <w:tcPr>
            <w:tcW w:w="574" w:type="dxa"/>
            <w:shd w:val="clear" w:color="auto" w:fill="D4E3F5"/>
          </w:tcPr>
          <w:p>
            <w:pPr>
              <w:pStyle w:val="TableParagraph"/>
              <w:ind w:left="161" w:right="70"/>
              <w:rPr>
                <w:sz w:val="14"/>
              </w:rPr>
            </w:pPr>
            <w:r>
              <w:rPr>
                <w:color w:val="231F20"/>
                <w:spacing w:val="-5"/>
                <w:w w:val="95"/>
                <w:sz w:val="14"/>
              </w:rPr>
              <w:t>57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5" w:right="48"/>
              <w:rPr>
                <w:sz w:val="14"/>
              </w:rPr>
            </w:pPr>
            <w:r>
              <w:rPr>
                <w:color w:val="231F20"/>
                <w:spacing w:val="-5"/>
                <w:w w:val="95"/>
                <w:sz w:val="14"/>
              </w:rPr>
              <w:t>3.1</w:t>
            </w:r>
          </w:p>
        </w:tc>
        <w:tc>
          <w:tcPr>
            <w:tcW w:w="574" w:type="dxa"/>
            <w:shd w:val="clear" w:color="auto" w:fill="D4E3F5"/>
          </w:tcPr>
          <w:p>
            <w:pPr>
              <w:pStyle w:val="TableParagraph"/>
              <w:ind w:left="161" w:right="69"/>
              <w:rPr>
                <w:sz w:val="14"/>
              </w:rPr>
            </w:pPr>
            <w:r>
              <w:rPr>
                <w:color w:val="231F20"/>
                <w:spacing w:val="-5"/>
                <w:w w:val="95"/>
                <w:sz w:val="14"/>
              </w:rPr>
              <w:t>57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3.2</w:t>
            </w:r>
          </w:p>
        </w:tc>
        <w:tc>
          <w:tcPr>
            <w:tcW w:w="574" w:type="dxa"/>
            <w:shd w:val="clear" w:color="auto" w:fill="D4E3F5"/>
          </w:tcPr>
          <w:p>
            <w:pPr>
              <w:pStyle w:val="TableParagraph"/>
              <w:ind w:left="161" w:right="67"/>
              <w:rPr>
                <w:sz w:val="14"/>
              </w:rPr>
            </w:pPr>
            <w:r>
              <w:rPr>
                <w:color w:val="231F20"/>
                <w:spacing w:val="-5"/>
                <w:w w:val="95"/>
                <w:sz w:val="14"/>
              </w:rPr>
              <w:t>65</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right="45"/>
              <w:rPr>
                <w:sz w:val="14"/>
              </w:rPr>
            </w:pPr>
            <w:r>
              <w:rPr>
                <w:color w:val="231F20"/>
                <w:spacing w:val="-5"/>
                <w:w w:val="95"/>
                <w:sz w:val="14"/>
              </w:rPr>
              <w:t>3.1</w:t>
            </w:r>
          </w:p>
        </w:tc>
        <w:tc>
          <w:tcPr>
            <w:tcW w:w="655" w:type="dxa"/>
            <w:shd w:val="clear" w:color="auto" w:fill="D4E3F5"/>
          </w:tcPr>
          <w:p>
            <w:pPr>
              <w:pStyle w:val="TableParagraph"/>
              <w:ind w:left="72" w:right="68"/>
              <w:rPr>
                <w:sz w:val="14"/>
              </w:rPr>
            </w:pPr>
            <w:r>
              <w:rPr>
                <w:color w:val="231F20"/>
                <w:spacing w:val="-5"/>
                <w:w w:val="95"/>
                <w:sz w:val="14"/>
              </w:rPr>
              <w:t>62</w:t>
            </w:r>
          </w:p>
        </w:tc>
      </w:tr>
      <w:tr>
        <w:trPr>
          <w:trHeight w:val="259" w:hRule="atLeast"/>
        </w:trPr>
        <w:tc>
          <w:tcPr>
            <w:tcW w:w="990" w:type="dxa"/>
          </w:tcPr>
          <w:p>
            <w:pPr>
              <w:pStyle w:val="TableParagraph"/>
              <w:ind w:left="79"/>
              <w:jc w:val="left"/>
              <w:rPr>
                <w:sz w:val="14"/>
              </w:rPr>
            </w:pPr>
            <w:r>
              <w:rPr>
                <w:color w:val="231F20"/>
                <w:w w:val="75"/>
                <w:sz w:val="14"/>
              </w:rPr>
              <w:t>Costa</w:t>
            </w:r>
            <w:r>
              <w:rPr>
                <w:color w:val="231F20"/>
                <w:spacing w:val="9"/>
                <w:sz w:val="14"/>
              </w:rPr>
              <w:t> </w:t>
            </w:r>
            <w:r>
              <w:rPr>
                <w:color w:val="231F20"/>
                <w:spacing w:val="-4"/>
                <w:w w:val="85"/>
                <w:sz w:val="14"/>
              </w:rPr>
              <w:t>Rica</w:t>
            </w:r>
          </w:p>
        </w:tc>
        <w:tc>
          <w:tcPr>
            <w:tcW w:w="622" w:type="dxa"/>
          </w:tcPr>
          <w:p>
            <w:pPr>
              <w:pStyle w:val="TableParagraph"/>
              <w:ind w:left="67" w:right="101"/>
              <w:rPr>
                <w:sz w:val="14"/>
              </w:rPr>
            </w:pPr>
            <w:r>
              <w:rPr>
                <w:color w:val="231F20"/>
                <w:spacing w:val="-5"/>
                <w:w w:val="95"/>
                <w:sz w:val="14"/>
              </w:rPr>
              <w:t>66</w:t>
            </w:r>
          </w:p>
        </w:tc>
        <w:tc>
          <w:tcPr>
            <w:tcW w:w="644" w:type="dxa"/>
          </w:tcPr>
          <w:p>
            <w:pPr>
              <w:pStyle w:val="TableParagraph"/>
              <w:ind w:left="165"/>
              <w:jc w:val="left"/>
              <w:rPr>
                <w:sz w:val="14"/>
              </w:rPr>
            </w:pPr>
            <w:r>
              <w:rPr>
                <w:color w:val="231F20"/>
                <w:spacing w:val="-5"/>
                <w:w w:val="95"/>
                <w:sz w:val="14"/>
              </w:rPr>
              <w:t>2.9</w:t>
            </w:r>
          </w:p>
        </w:tc>
        <w:tc>
          <w:tcPr>
            <w:tcW w:w="480" w:type="dxa"/>
          </w:tcPr>
          <w:p>
            <w:pPr>
              <w:pStyle w:val="TableParagraph"/>
              <w:ind w:left="103"/>
              <w:jc w:val="left"/>
              <w:rPr>
                <w:sz w:val="14"/>
              </w:rPr>
            </w:pPr>
            <w:r>
              <w:rPr>
                <w:color w:val="231F20"/>
                <w:spacing w:val="-5"/>
                <w:w w:val="95"/>
                <w:sz w:val="14"/>
              </w:rPr>
              <w:t>2.8</w:t>
            </w:r>
          </w:p>
        </w:tc>
        <w:tc>
          <w:tcPr>
            <w:tcW w:w="582" w:type="dxa"/>
          </w:tcPr>
          <w:p>
            <w:pPr>
              <w:pStyle w:val="TableParagraph"/>
              <w:ind w:left="6" w:right="6"/>
              <w:rPr>
                <w:sz w:val="14"/>
              </w:rPr>
            </w:pPr>
            <w:r>
              <w:rPr>
                <w:color w:val="231F20"/>
                <w:spacing w:val="-5"/>
                <w:w w:val="95"/>
                <w:sz w:val="14"/>
              </w:rPr>
              <w:t>3.0</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2.8</w:t>
            </w:r>
          </w:p>
        </w:tc>
        <w:tc>
          <w:tcPr>
            <w:tcW w:w="574" w:type="dxa"/>
          </w:tcPr>
          <w:p>
            <w:pPr>
              <w:pStyle w:val="TableParagraph"/>
              <w:ind w:left="158" w:right="70"/>
              <w:rPr>
                <w:sz w:val="14"/>
              </w:rPr>
            </w:pPr>
            <w:r>
              <w:rPr>
                <w:color w:val="231F20"/>
                <w:spacing w:val="-5"/>
                <w:w w:val="95"/>
                <w:sz w:val="14"/>
              </w:rPr>
              <w:t>59</w:t>
            </w:r>
          </w:p>
        </w:tc>
        <w:tc>
          <w:tcPr>
            <w:tcW w:w="126"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2.7</w:t>
            </w:r>
          </w:p>
        </w:tc>
        <w:tc>
          <w:tcPr>
            <w:tcW w:w="574" w:type="dxa"/>
          </w:tcPr>
          <w:p>
            <w:pPr>
              <w:pStyle w:val="TableParagraph"/>
              <w:ind w:left="161" w:right="72"/>
              <w:rPr>
                <w:sz w:val="14"/>
              </w:rPr>
            </w:pPr>
            <w:r>
              <w:rPr>
                <w:color w:val="231F20"/>
                <w:spacing w:val="-5"/>
                <w:w w:val="95"/>
                <w:sz w:val="14"/>
              </w:rPr>
              <w:t>68</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2.8</w:t>
            </w:r>
          </w:p>
        </w:tc>
        <w:tc>
          <w:tcPr>
            <w:tcW w:w="574" w:type="dxa"/>
          </w:tcPr>
          <w:p>
            <w:pPr>
              <w:pStyle w:val="TableParagraph"/>
              <w:ind w:left="161" w:right="70"/>
              <w:rPr>
                <w:sz w:val="14"/>
              </w:rPr>
            </w:pPr>
            <w:r>
              <w:rPr>
                <w:color w:val="231F20"/>
                <w:spacing w:val="-5"/>
                <w:w w:val="95"/>
                <w:sz w:val="14"/>
              </w:rPr>
              <w:t>75</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2.9</w:t>
            </w:r>
          </w:p>
        </w:tc>
        <w:tc>
          <w:tcPr>
            <w:tcW w:w="574" w:type="dxa"/>
          </w:tcPr>
          <w:p>
            <w:pPr>
              <w:pStyle w:val="TableParagraph"/>
              <w:ind w:left="161" w:right="69"/>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3.2</w:t>
            </w:r>
          </w:p>
        </w:tc>
        <w:tc>
          <w:tcPr>
            <w:tcW w:w="574" w:type="dxa"/>
          </w:tcPr>
          <w:p>
            <w:pPr>
              <w:pStyle w:val="TableParagraph"/>
              <w:ind w:left="161" w:right="67"/>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2.9</w:t>
            </w:r>
          </w:p>
        </w:tc>
        <w:tc>
          <w:tcPr>
            <w:tcW w:w="655" w:type="dxa"/>
          </w:tcPr>
          <w:p>
            <w:pPr>
              <w:pStyle w:val="TableParagraph"/>
              <w:ind w:left="72" w:right="68"/>
              <w:rPr>
                <w:sz w:val="14"/>
              </w:rPr>
            </w:pPr>
            <w:r>
              <w:rPr>
                <w:color w:val="231F20"/>
                <w:spacing w:val="-5"/>
                <w:w w:val="95"/>
                <w:sz w:val="14"/>
              </w:rPr>
              <w:t>72</w:t>
            </w:r>
          </w:p>
        </w:tc>
      </w:tr>
      <w:tr>
        <w:trPr>
          <w:trHeight w:val="259" w:hRule="atLeast"/>
        </w:trPr>
        <w:tc>
          <w:tcPr>
            <w:tcW w:w="990" w:type="dxa"/>
            <w:shd w:val="clear" w:color="auto" w:fill="D4E3F5"/>
          </w:tcPr>
          <w:p>
            <w:pPr>
              <w:pStyle w:val="TableParagraph"/>
              <w:ind w:left="79"/>
              <w:jc w:val="left"/>
              <w:rPr>
                <w:sz w:val="14"/>
              </w:rPr>
            </w:pPr>
            <w:r>
              <w:rPr>
                <w:color w:val="231F20"/>
                <w:spacing w:val="-2"/>
                <w:w w:val="90"/>
                <w:sz w:val="14"/>
              </w:rPr>
              <w:t>Honduras</w:t>
            </w:r>
          </w:p>
        </w:tc>
        <w:tc>
          <w:tcPr>
            <w:tcW w:w="622" w:type="dxa"/>
            <w:shd w:val="clear" w:color="auto" w:fill="D4E3F5"/>
          </w:tcPr>
          <w:p>
            <w:pPr>
              <w:pStyle w:val="TableParagraph"/>
              <w:ind w:left="67" w:right="101"/>
              <w:rPr>
                <w:sz w:val="14"/>
              </w:rPr>
            </w:pPr>
            <w:r>
              <w:rPr>
                <w:color w:val="231F20"/>
                <w:spacing w:val="-5"/>
                <w:w w:val="95"/>
                <w:sz w:val="14"/>
              </w:rPr>
              <w:t>66</w:t>
            </w:r>
          </w:p>
        </w:tc>
        <w:tc>
          <w:tcPr>
            <w:tcW w:w="644" w:type="dxa"/>
            <w:shd w:val="clear" w:color="auto" w:fill="D4E3F5"/>
          </w:tcPr>
          <w:p>
            <w:pPr>
              <w:pStyle w:val="TableParagraph"/>
              <w:ind w:left="165"/>
              <w:jc w:val="left"/>
              <w:rPr>
                <w:sz w:val="14"/>
              </w:rPr>
            </w:pPr>
            <w:r>
              <w:rPr>
                <w:color w:val="231F20"/>
                <w:spacing w:val="-5"/>
                <w:w w:val="95"/>
                <w:sz w:val="14"/>
              </w:rPr>
              <w:t>2.9</w:t>
            </w:r>
          </w:p>
        </w:tc>
        <w:tc>
          <w:tcPr>
            <w:tcW w:w="480" w:type="dxa"/>
            <w:shd w:val="clear" w:color="auto" w:fill="D4E3F5"/>
          </w:tcPr>
          <w:p>
            <w:pPr>
              <w:pStyle w:val="TableParagraph"/>
              <w:ind w:left="104"/>
              <w:jc w:val="left"/>
              <w:rPr>
                <w:sz w:val="14"/>
              </w:rPr>
            </w:pPr>
            <w:r>
              <w:rPr>
                <w:color w:val="231F20"/>
                <w:spacing w:val="-5"/>
                <w:w w:val="95"/>
                <w:sz w:val="14"/>
              </w:rPr>
              <w:t>2.7</w:t>
            </w:r>
          </w:p>
        </w:tc>
        <w:tc>
          <w:tcPr>
            <w:tcW w:w="582" w:type="dxa"/>
            <w:shd w:val="clear" w:color="auto" w:fill="D4E3F5"/>
          </w:tcPr>
          <w:p>
            <w:pPr>
              <w:pStyle w:val="TableParagraph"/>
              <w:ind w:left="1" w:right="7"/>
              <w:rPr>
                <w:sz w:val="14"/>
              </w:rPr>
            </w:pPr>
            <w:r>
              <w:rPr>
                <w:color w:val="231F20"/>
                <w:spacing w:val="-5"/>
                <w:w w:val="95"/>
                <w:sz w:val="14"/>
              </w:rPr>
              <w:t>3.1</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2.8</w:t>
            </w:r>
          </w:p>
        </w:tc>
        <w:tc>
          <w:tcPr>
            <w:tcW w:w="574" w:type="dxa"/>
            <w:shd w:val="clear" w:color="auto" w:fill="D4E3F5"/>
          </w:tcPr>
          <w:p>
            <w:pPr>
              <w:pStyle w:val="TableParagraph"/>
              <w:ind w:left="158" w:right="70"/>
              <w:rPr>
                <w:sz w:val="14"/>
              </w:rPr>
            </w:pPr>
            <w:r>
              <w:rPr>
                <w:color w:val="231F20"/>
                <w:spacing w:val="-5"/>
                <w:w w:val="95"/>
                <w:sz w:val="14"/>
              </w:rPr>
              <w:t>59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2.7</w:t>
            </w:r>
          </w:p>
        </w:tc>
        <w:tc>
          <w:tcPr>
            <w:tcW w:w="574" w:type="dxa"/>
            <w:shd w:val="clear" w:color="auto" w:fill="D4E3F5"/>
          </w:tcPr>
          <w:p>
            <w:pPr>
              <w:pStyle w:val="TableParagraph"/>
              <w:ind w:left="161" w:right="72"/>
              <w:rPr>
                <w:sz w:val="14"/>
              </w:rPr>
            </w:pPr>
            <w:r>
              <w:rPr>
                <w:color w:val="231F20"/>
                <w:spacing w:val="-5"/>
                <w:w w:val="95"/>
                <w:sz w:val="14"/>
              </w:rPr>
              <w:t>68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3.0</w:t>
            </w:r>
          </w:p>
        </w:tc>
        <w:tc>
          <w:tcPr>
            <w:tcW w:w="574" w:type="dxa"/>
            <w:shd w:val="clear" w:color="auto" w:fill="D4E3F5"/>
          </w:tcPr>
          <w:p>
            <w:pPr>
              <w:pStyle w:val="TableParagraph"/>
              <w:ind w:left="161" w:right="70"/>
              <w:rPr>
                <w:sz w:val="14"/>
              </w:rPr>
            </w:pPr>
            <w:r>
              <w:rPr>
                <w:color w:val="231F20"/>
                <w:spacing w:val="-5"/>
                <w:w w:val="95"/>
                <w:sz w:val="14"/>
              </w:rPr>
              <w:t>57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2.7</w:t>
            </w:r>
          </w:p>
        </w:tc>
        <w:tc>
          <w:tcPr>
            <w:tcW w:w="574" w:type="dxa"/>
            <w:shd w:val="clear" w:color="auto" w:fill="D4E3F5"/>
          </w:tcPr>
          <w:p>
            <w:pPr>
              <w:pStyle w:val="TableParagraph"/>
              <w:ind w:left="161" w:right="69"/>
              <w:rPr>
                <w:sz w:val="14"/>
              </w:rPr>
            </w:pPr>
            <w:r>
              <w:rPr>
                <w:color w:val="231F20"/>
                <w:spacing w:val="-5"/>
                <w:w w:val="95"/>
                <w:sz w:val="14"/>
              </w:rPr>
              <w:t>81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3.2</w:t>
            </w:r>
          </w:p>
        </w:tc>
        <w:tc>
          <w:tcPr>
            <w:tcW w:w="574" w:type="dxa"/>
            <w:shd w:val="clear" w:color="auto" w:fill="D4E3F5"/>
          </w:tcPr>
          <w:p>
            <w:pPr>
              <w:pStyle w:val="TableParagraph"/>
              <w:ind w:left="161" w:right="67"/>
              <w:rPr>
                <w:sz w:val="14"/>
              </w:rPr>
            </w:pPr>
            <w:r>
              <w:rPr>
                <w:color w:val="231F20"/>
                <w:spacing w:val="-5"/>
                <w:w w:val="95"/>
                <w:sz w:val="14"/>
              </w:rPr>
              <w:t>65</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9" w:right="45"/>
              <w:rPr>
                <w:sz w:val="14"/>
              </w:rPr>
            </w:pPr>
            <w:r>
              <w:rPr>
                <w:color w:val="231F20"/>
                <w:spacing w:val="-5"/>
                <w:w w:val="95"/>
                <w:sz w:val="14"/>
              </w:rPr>
              <w:t>2.6</w:t>
            </w:r>
          </w:p>
        </w:tc>
        <w:tc>
          <w:tcPr>
            <w:tcW w:w="655" w:type="dxa"/>
            <w:shd w:val="clear" w:color="auto" w:fill="D4E3F5"/>
          </w:tcPr>
          <w:p>
            <w:pPr>
              <w:pStyle w:val="TableParagraph"/>
              <w:ind w:left="72" w:right="68"/>
              <w:rPr>
                <w:sz w:val="14"/>
              </w:rPr>
            </w:pPr>
            <w:r>
              <w:rPr>
                <w:color w:val="231F20"/>
                <w:spacing w:val="-5"/>
                <w:w w:val="95"/>
                <w:sz w:val="14"/>
              </w:rPr>
              <w:t>94</w:t>
            </w:r>
          </w:p>
        </w:tc>
      </w:tr>
      <w:tr>
        <w:trPr>
          <w:trHeight w:val="259" w:hRule="atLeast"/>
        </w:trPr>
        <w:tc>
          <w:tcPr>
            <w:tcW w:w="990" w:type="dxa"/>
          </w:tcPr>
          <w:p>
            <w:pPr>
              <w:pStyle w:val="TableParagraph"/>
              <w:ind w:left="79"/>
              <w:jc w:val="left"/>
              <w:rPr>
                <w:sz w:val="14"/>
              </w:rPr>
            </w:pPr>
            <w:r>
              <w:rPr>
                <w:color w:val="231F20"/>
                <w:spacing w:val="-2"/>
                <w:w w:val="90"/>
                <w:sz w:val="14"/>
              </w:rPr>
              <w:t>Mexico</w:t>
            </w:r>
          </w:p>
        </w:tc>
        <w:tc>
          <w:tcPr>
            <w:tcW w:w="622" w:type="dxa"/>
          </w:tcPr>
          <w:p>
            <w:pPr>
              <w:pStyle w:val="TableParagraph"/>
              <w:ind w:left="67" w:right="101"/>
              <w:rPr>
                <w:sz w:val="14"/>
              </w:rPr>
            </w:pPr>
            <w:r>
              <w:rPr>
                <w:color w:val="231F20"/>
                <w:spacing w:val="-5"/>
                <w:w w:val="95"/>
                <w:sz w:val="14"/>
              </w:rPr>
              <w:t>66</w:t>
            </w:r>
          </w:p>
        </w:tc>
        <w:tc>
          <w:tcPr>
            <w:tcW w:w="644" w:type="dxa"/>
          </w:tcPr>
          <w:p>
            <w:pPr>
              <w:pStyle w:val="TableParagraph"/>
              <w:ind w:left="165"/>
              <w:jc w:val="left"/>
              <w:rPr>
                <w:sz w:val="14"/>
              </w:rPr>
            </w:pPr>
            <w:r>
              <w:rPr>
                <w:color w:val="231F20"/>
                <w:spacing w:val="-5"/>
                <w:w w:val="95"/>
                <w:sz w:val="14"/>
              </w:rPr>
              <w:t>2.9</w:t>
            </w:r>
          </w:p>
        </w:tc>
        <w:tc>
          <w:tcPr>
            <w:tcW w:w="480" w:type="dxa"/>
          </w:tcPr>
          <w:p>
            <w:pPr>
              <w:pStyle w:val="TableParagraph"/>
              <w:ind w:left="104"/>
              <w:jc w:val="left"/>
              <w:rPr>
                <w:sz w:val="14"/>
              </w:rPr>
            </w:pPr>
            <w:r>
              <w:rPr>
                <w:color w:val="231F20"/>
                <w:spacing w:val="-5"/>
                <w:w w:val="95"/>
                <w:sz w:val="14"/>
              </w:rPr>
              <w:t>2.7</w:t>
            </w:r>
          </w:p>
        </w:tc>
        <w:tc>
          <w:tcPr>
            <w:tcW w:w="582" w:type="dxa"/>
          </w:tcPr>
          <w:p>
            <w:pPr>
              <w:pStyle w:val="TableParagraph"/>
              <w:ind w:left="1" w:right="7"/>
              <w:rPr>
                <w:sz w:val="14"/>
              </w:rPr>
            </w:pPr>
            <w:r>
              <w:rPr>
                <w:color w:val="231F20"/>
                <w:spacing w:val="-5"/>
                <w:w w:val="95"/>
                <w:sz w:val="14"/>
              </w:rPr>
              <w:t>3.1</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2.5</w:t>
            </w:r>
          </w:p>
        </w:tc>
        <w:tc>
          <w:tcPr>
            <w:tcW w:w="574" w:type="dxa"/>
          </w:tcPr>
          <w:p>
            <w:pPr>
              <w:pStyle w:val="TableParagraph"/>
              <w:ind w:left="158" w:right="70"/>
              <w:rPr>
                <w:sz w:val="14"/>
              </w:rPr>
            </w:pPr>
            <w:r>
              <w:rPr>
                <w:color w:val="231F20"/>
                <w:spacing w:val="-5"/>
                <w:w w:val="95"/>
                <w:sz w:val="14"/>
              </w:rPr>
              <w:t>84</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2.8</w:t>
            </w:r>
          </w:p>
        </w:tc>
        <w:tc>
          <w:tcPr>
            <w:tcW w:w="574" w:type="dxa"/>
          </w:tcPr>
          <w:p>
            <w:pPr>
              <w:pStyle w:val="TableParagraph"/>
              <w:ind w:left="161" w:right="72"/>
              <w:rPr>
                <w:sz w:val="14"/>
              </w:rPr>
            </w:pPr>
            <w:r>
              <w:rPr>
                <w:color w:val="231F20"/>
                <w:spacing w:val="-5"/>
                <w:w w:val="95"/>
                <w:sz w:val="14"/>
              </w:rPr>
              <w:t>63</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2.8</w:t>
            </w:r>
          </w:p>
        </w:tc>
        <w:tc>
          <w:tcPr>
            <w:tcW w:w="574" w:type="dxa"/>
          </w:tcPr>
          <w:p>
            <w:pPr>
              <w:pStyle w:val="TableParagraph"/>
              <w:ind w:left="161" w:right="70"/>
              <w:rPr>
                <w:sz w:val="14"/>
              </w:rPr>
            </w:pPr>
            <w:r>
              <w:rPr>
                <w:color w:val="231F20"/>
                <w:spacing w:val="-5"/>
                <w:w w:val="95"/>
                <w:sz w:val="14"/>
              </w:rPr>
              <w:t>75</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3.0</w:t>
            </w:r>
          </w:p>
        </w:tc>
        <w:tc>
          <w:tcPr>
            <w:tcW w:w="574" w:type="dxa"/>
          </w:tcPr>
          <w:p>
            <w:pPr>
              <w:pStyle w:val="TableParagraph"/>
              <w:ind w:left="161" w:right="69"/>
              <w:rPr>
                <w:sz w:val="14"/>
              </w:rPr>
            </w:pPr>
            <w:r>
              <w:rPr>
                <w:color w:val="231F20"/>
                <w:spacing w:val="-5"/>
                <w:w w:val="95"/>
                <w:sz w:val="14"/>
              </w:rPr>
              <w:t>61</w:t>
            </w:r>
          </w:p>
        </w:tc>
        <w:tc>
          <w:tcPr>
            <w:tcW w:w="126" w:type="dxa"/>
          </w:tcPr>
          <w:p>
            <w:pPr>
              <w:pStyle w:val="TableParagraph"/>
              <w:spacing w:before="0"/>
              <w:jc w:val="left"/>
              <w:rPr>
                <w:rFonts w:ascii="Times New Roman"/>
                <w:sz w:val="12"/>
              </w:rPr>
            </w:pPr>
          </w:p>
        </w:tc>
        <w:tc>
          <w:tcPr>
            <w:tcW w:w="463" w:type="dxa"/>
          </w:tcPr>
          <w:p>
            <w:pPr>
              <w:pStyle w:val="TableParagraph"/>
              <w:ind w:left="17" w:right="48"/>
              <w:rPr>
                <w:sz w:val="14"/>
              </w:rPr>
            </w:pPr>
            <w:r>
              <w:rPr>
                <w:color w:val="231F20"/>
                <w:spacing w:val="-5"/>
                <w:w w:val="95"/>
                <w:sz w:val="14"/>
              </w:rPr>
              <w:t>3.5</w:t>
            </w:r>
          </w:p>
        </w:tc>
        <w:tc>
          <w:tcPr>
            <w:tcW w:w="574" w:type="dxa"/>
          </w:tcPr>
          <w:p>
            <w:pPr>
              <w:pStyle w:val="TableParagraph"/>
              <w:ind w:left="161" w:right="67"/>
              <w:rPr>
                <w:sz w:val="14"/>
              </w:rPr>
            </w:pPr>
            <w:r>
              <w:rPr>
                <w:color w:val="231F20"/>
                <w:spacing w:val="-5"/>
                <w:w w:val="95"/>
                <w:sz w:val="14"/>
              </w:rPr>
              <w:t>46</w:t>
            </w:r>
          </w:p>
        </w:tc>
        <w:tc>
          <w:tcPr>
            <w:tcW w:w="126" w:type="dxa"/>
          </w:tcPr>
          <w:p>
            <w:pPr>
              <w:pStyle w:val="TableParagraph"/>
              <w:spacing w:before="0"/>
              <w:jc w:val="left"/>
              <w:rPr>
                <w:rFonts w:ascii="Times New Roman"/>
                <w:sz w:val="12"/>
              </w:rPr>
            </w:pPr>
          </w:p>
        </w:tc>
        <w:tc>
          <w:tcPr>
            <w:tcW w:w="468" w:type="dxa"/>
          </w:tcPr>
          <w:p>
            <w:pPr>
              <w:pStyle w:val="TableParagraph"/>
              <w:ind w:right="45"/>
              <w:rPr>
                <w:sz w:val="14"/>
              </w:rPr>
            </w:pPr>
            <w:r>
              <w:rPr>
                <w:color w:val="231F20"/>
                <w:spacing w:val="-5"/>
                <w:w w:val="95"/>
                <w:sz w:val="14"/>
              </w:rPr>
              <w:t>3.1</w:t>
            </w:r>
          </w:p>
        </w:tc>
        <w:tc>
          <w:tcPr>
            <w:tcW w:w="655" w:type="dxa"/>
          </w:tcPr>
          <w:p>
            <w:pPr>
              <w:pStyle w:val="TableParagraph"/>
              <w:ind w:left="72" w:right="68"/>
              <w:rPr>
                <w:sz w:val="14"/>
              </w:rPr>
            </w:pPr>
            <w:r>
              <w:rPr>
                <w:color w:val="231F20"/>
                <w:spacing w:val="-5"/>
                <w:w w:val="95"/>
                <w:sz w:val="14"/>
              </w:rPr>
              <w:t>62</w:t>
            </w:r>
          </w:p>
        </w:tc>
      </w:tr>
      <w:tr>
        <w:trPr>
          <w:trHeight w:val="259" w:hRule="atLeast"/>
        </w:trPr>
        <w:tc>
          <w:tcPr>
            <w:tcW w:w="990" w:type="dxa"/>
            <w:shd w:val="clear" w:color="auto" w:fill="D4E3F5"/>
          </w:tcPr>
          <w:p>
            <w:pPr>
              <w:pStyle w:val="TableParagraph"/>
              <w:ind w:left="79"/>
              <w:jc w:val="left"/>
              <w:rPr>
                <w:sz w:val="14"/>
              </w:rPr>
            </w:pPr>
            <w:r>
              <w:rPr>
                <w:color w:val="231F20"/>
                <w:spacing w:val="-2"/>
                <w:w w:val="90"/>
                <w:sz w:val="14"/>
              </w:rPr>
              <w:t>Namibia</w:t>
            </w:r>
          </w:p>
        </w:tc>
        <w:tc>
          <w:tcPr>
            <w:tcW w:w="622" w:type="dxa"/>
            <w:shd w:val="clear" w:color="auto" w:fill="D4E3F5"/>
          </w:tcPr>
          <w:p>
            <w:pPr>
              <w:pStyle w:val="TableParagraph"/>
              <w:ind w:left="67" w:right="101"/>
              <w:rPr>
                <w:sz w:val="14"/>
              </w:rPr>
            </w:pPr>
            <w:r>
              <w:rPr>
                <w:color w:val="231F20"/>
                <w:spacing w:val="-5"/>
                <w:w w:val="95"/>
                <w:sz w:val="14"/>
              </w:rPr>
              <w:t>66</w:t>
            </w:r>
          </w:p>
        </w:tc>
        <w:tc>
          <w:tcPr>
            <w:tcW w:w="644" w:type="dxa"/>
            <w:shd w:val="clear" w:color="auto" w:fill="D4E3F5"/>
          </w:tcPr>
          <w:p>
            <w:pPr>
              <w:pStyle w:val="TableParagraph"/>
              <w:ind w:left="165"/>
              <w:jc w:val="left"/>
              <w:rPr>
                <w:sz w:val="14"/>
              </w:rPr>
            </w:pPr>
            <w:r>
              <w:rPr>
                <w:color w:val="231F20"/>
                <w:spacing w:val="-5"/>
                <w:w w:val="95"/>
                <w:sz w:val="14"/>
              </w:rPr>
              <w:t>2.9</w:t>
            </w:r>
          </w:p>
        </w:tc>
        <w:tc>
          <w:tcPr>
            <w:tcW w:w="480" w:type="dxa"/>
            <w:shd w:val="clear" w:color="auto" w:fill="D4E3F5"/>
          </w:tcPr>
          <w:p>
            <w:pPr>
              <w:pStyle w:val="TableParagraph"/>
              <w:ind w:left="102"/>
              <w:jc w:val="left"/>
              <w:rPr>
                <w:sz w:val="14"/>
              </w:rPr>
            </w:pPr>
            <w:r>
              <w:rPr>
                <w:color w:val="231F20"/>
                <w:spacing w:val="-5"/>
                <w:w w:val="95"/>
                <w:sz w:val="14"/>
              </w:rPr>
              <w:t>2.3</w:t>
            </w:r>
          </w:p>
        </w:tc>
        <w:tc>
          <w:tcPr>
            <w:tcW w:w="582" w:type="dxa"/>
            <w:shd w:val="clear" w:color="auto" w:fill="D4E3F5"/>
          </w:tcPr>
          <w:p>
            <w:pPr>
              <w:pStyle w:val="TableParagraph"/>
              <w:ind w:left="7" w:right="6"/>
              <w:rPr>
                <w:sz w:val="14"/>
              </w:rPr>
            </w:pPr>
            <w:r>
              <w:rPr>
                <w:color w:val="231F20"/>
                <w:spacing w:val="-5"/>
                <w:w w:val="95"/>
                <w:sz w:val="14"/>
              </w:rPr>
              <w:t>3.5</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2.8</w:t>
            </w:r>
          </w:p>
        </w:tc>
        <w:tc>
          <w:tcPr>
            <w:tcW w:w="574" w:type="dxa"/>
            <w:shd w:val="clear" w:color="auto" w:fill="D4E3F5"/>
          </w:tcPr>
          <w:p>
            <w:pPr>
              <w:pStyle w:val="TableParagraph"/>
              <w:ind w:left="158" w:right="70"/>
              <w:rPr>
                <w:sz w:val="14"/>
              </w:rPr>
            </w:pPr>
            <w:r>
              <w:rPr>
                <w:color w:val="231F20"/>
                <w:spacing w:val="-5"/>
                <w:w w:val="95"/>
                <w:sz w:val="14"/>
              </w:rPr>
              <w:t>59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2.8</w:t>
            </w:r>
          </w:p>
        </w:tc>
        <w:tc>
          <w:tcPr>
            <w:tcW w:w="574" w:type="dxa"/>
            <w:shd w:val="clear" w:color="auto" w:fill="D4E3F5"/>
          </w:tcPr>
          <w:p>
            <w:pPr>
              <w:pStyle w:val="TableParagraph"/>
              <w:ind w:left="161" w:right="72"/>
              <w:rPr>
                <w:sz w:val="14"/>
              </w:rPr>
            </w:pPr>
            <w:r>
              <w:rPr>
                <w:color w:val="231F20"/>
                <w:spacing w:val="-5"/>
                <w:w w:val="95"/>
                <w:sz w:val="14"/>
              </w:rPr>
              <w:t>63</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3.0</w:t>
            </w:r>
          </w:p>
        </w:tc>
        <w:tc>
          <w:tcPr>
            <w:tcW w:w="574" w:type="dxa"/>
            <w:shd w:val="clear" w:color="auto" w:fill="D4E3F5"/>
          </w:tcPr>
          <w:p>
            <w:pPr>
              <w:pStyle w:val="TableParagraph"/>
              <w:ind w:left="161" w:right="70"/>
              <w:rPr>
                <w:sz w:val="14"/>
              </w:rPr>
            </w:pPr>
            <w:r>
              <w:rPr>
                <w:color w:val="231F20"/>
                <w:spacing w:val="-5"/>
                <w:w w:val="95"/>
                <w:sz w:val="14"/>
              </w:rPr>
              <w:t>57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2.9</w:t>
            </w:r>
          </w:p>
        </w:tc>
        <w:tc>
          <w:tcPr>
            <w:tcW w:w="574" w:type="dxa"/>
            <w:shd w:val="clear" w:color="auto" w:fill="D4E3F5"/>
          </w:tcPr>
          <w:p>
            <w:pPr>
              <w:pStyle w:val="TableParagraph"/>
              <w:ind w:left="161" w:right="69"/>
              <w:rPr>
                <w:sz w:val="14"/>
              </w:rPr>
            </w:pPr>
            <w:r>
              <w:rPr>
                <w:color w:val="231F20"/>
                <w:spacing w:val="-5"/>
                <w:w w:val="95"/>
                <w:sz w:val="14"/>
              </w:rPr>
              <w:t>65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2.9</w:t>
            </w:r>
          </w:p>
        </w:tc>
        <w:tc>
          <w:tcPr>
            <w:tcW w:w="574" w:type="dxa"/>
            <w:shd w:val="clear" w:color="auto" w:fill="D4E3F5"/>
          </w:tcPr>
          <w:p>
            <w:pPr>
              <w:pStyle w:val="TableParagraph"/>
              <w:ind w:left="161" w:right="67"/>
              <w:rPr>
                <w:sz w:val="14"/>
              </w:rPr>
            </w:pPr>
            <w:r>
              <w:rPr>
                <w:color w:val="231F20"/>
                <w:spacing w:val="-5"/>
                <w:w w:val="95"/>
                <w:sz w:val="14"/>
              </w:rPr>
              <w:t>93</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2.8</w:t>
            </w:r>
          </w:p>
        </w:tc>
        <w:tc>
          <w:tcPr>
            <w:tcW w:w="655" w:type="dxa"/>
            <w:shd w:val="clear" w:color="auto" w:fill="D4E3F5"/>
          </w:tcPr>
          <w:p>
            <w:pPr>
              <w:pStyle w:val="TableParagraph"/>
              <w:ind w:left="72" w:right="68"/>
              <w:rPr>
                <w:sz w:val="14"/>
              </w:rPr>
            </w:pPr>
            <w:r>
              <w:rPr>
                <w:color w:val="231F20"/>
                <w:spacing w:val="-5"/>
                <w:w w:val="95"/>
                <w:sz w:val="14"/>
              </w:rPr>
              <w:t>80</w:t>
            </w:r>
          </w:p>
        </w:tc>
      </w:tr>
      <w:tr>
        <w:trPr>
          <w:trHeight w:val="259" w:hRule="atLeast"/>
        </w:trPr>
        <w:tc>
          <w:tcPr>
            <w:tcW w:w="990" w:type="dxa"/>
          </w:tcPr>
          <w:p>
            <w:pPr>
              <w:pStyle w:val="TableParagraph"/>
              <w:ind w:left="79"/>
              <w:jc w:val="left"/>
              <w:rPr>
                <w:sz w:val="14"/>
              </w:rPr>
            </w:pPr>
            <w:r>
              <w:rPr>
                <w:color w:val="231F20"/>
                <w:spacing w:val="-2"/>
                <w:w w:val="90"/>
                <w:sz w:val="14"/>
              </w:rPr>
              <w:t>Argentina</w:t>
            </w:r>
          </w:p>
        </w:tc>
        <w:tc>
          <w:tcPr>
            <w:tcW w:w="622" w:type="dxa"/>
          </w:tcPr>
          <w:p>
            <w:pPr>
              <w:pStyle w:val="TableParagraph"/>
              <w:ind w:left="67" w:right="101"/>
              <w:rPr>
                <w:sz w:val="14"/>
              </w:rPr>
            </w:pPr>
            <w:r>
              <w:rPr>
                <w:color w:val="231F20"/>
                <w:spacing w:val="-5"/>
                <w:w w:val="95"/>
                <w:sz w:val="14"/>
              </w:rPr>
              <w:t>73</w:t>
            </w:r>
          </w:p>
        </w:tc>
        <w:tc>
          <w:tcPr>
            <w:tcW w:w="644" w:type="dxa"/>
          </w:tcPr>
          <w:p>
            <w:pPr>
              <w:pStyle w:val="TableParagraph"/>
              <w:ind w:left="165"/>
              <w:jc w:val="left"/>
              <w:rPr>
                <w:sz w:val="14"/>
              </w:rPr>
            </w:pPr>
            <w:r>
              <w:rPr>
                <w:color w:val="231F20"/>
                <w:spacing w:val="-5"/>
                <w:w w:val="95"/>
                <w:sz w:val="14"/>
              </w:rPr>
              <w:t>2.8</w:t>
            </w:r>
          </w:p>
        </w:tc>
        <w:tc>
          <w:tcPr>
            <w:tcW w:w="480" w:type="dxa"/>
          </w:tcPr>
          <w:p>
            <w:pPr>
              <w:pStyle w:val="TableParagraph"/>
              <w:ind w:left="103"/>
              <w:jc w:val="left"/>
              <w:rPr>
                <w:sz w:val="14"/>
              </w:rPr>
            </w:pPr>
            <w:r>
              <w:rPr>
                <w:color w:val="231F20"/>
                <w:spacing w:val="-5"/>
                <w:w w:val="95"/>
                <w:sz w:val="14"/>
              </w:rPr>
              <w:t>2.6</w:t>
            </w:r>
          </w:p>
        </w:tc>
        <w:tc>
          <w:tcPr>
            <w:tcW w:w="582" w:type="dxa"/>
          </w:tcPr>
          <w:p>
            <w:pPr>
              <w:pStyle w:val="TableParagraph"/>
              <w:ind w:left="6" w:right="6"/>
              <w:rPr>
                <w:sz w:val="14"/>
              </w:rPr>
            </w:pPr>
            <w:r>
              <w:rPr>
                <w:color w:val="231F20"/>
                <w:spacing w:val="-5"/>
                <w:w w:val="95"/>
                <w:sz w:val="14"/>
              </w:rPr>
              <w:t>3.0</w:t>
            </w:r>
          </w:p>
        </w:tc>
        <w:tc>
          <w:tcPr>
            <w:tcW w:w="80" w:type="dxa"/>
          </w:tcPr>
          <w:p>
            <w:pPr>
              <w:pStyle w:val="TableParagraph"/>
              <w:spacing w:before="0"/>
              <w:jc w:val="left"/>
              <w:rPr>
                <w:rFonts w:ascii="Times New Roman"/>
                <w:sz w:val="12"/>
              </w:rPr>
            </w:pPr>
          </w:p>
        </w:tc>
        <w:tc>
          <w:tcPr>
            <w:tcW w:w="463" w:type="dxa"/>
          </w:tcPr>
          <w:p>
            <w:pPr>
              <w:pStyle w:val="TableParagraph"/>
              <w:ind w:left="7" w:right="48"/>
              <w:rPr>
                <w:sz w:val="14"/>
              </w:rPr>
            </w:pPr>
            <w:r>
              <w:rPr>
                <w:color w:val="231F20"/>
                <w:spacing w:val="-5"/>
                <w:w w:val="95"/>
                <w:sz w:val="14"/>
              </w:rPr>
              <w:t>2.7</w:t>
            </w:r>
          </w:p>
        </w:tc>
        <w:tc>
          <w:tcPr>
            <w:tcW w:w="574" w:type="dxa"/>
          </w:tcPr>
          <w:p>
            <w:pPr>
              <w:pStyle w:val="TableParagraph"/>
              <w:ind w:left="158" w:right="70"/>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2.8</w:t>
            </w:r>
          </w:p>
        </w:tc>
        <w:tc>
          <w:tcPr>
            <w:tcW w:w="574" w:type="dxa"/>
          </w:tcPr>
          <w:p>
            <w:pPr>
              <w:pStyle w:val="TableParagraph"/>
              <w:ind w:left="161" w:right="72"/>
              <w:rPr>
                <w:sz w:val="14"/>
              </w:rPr>
            </w:pPr>
            <w:r>
              <w:rPr>
                <w:color w:val="231F20"/>
                <w:spacing w:val="-5"/>
                <w:w w:val="95"/>
                <w:sz w:val="14"/>
              </w:rPr>
              <w:t>63</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2.7</w:t>
            </w:r>
          </w:p>
        </w:tc>
        <w:tc>
          <w:tcPr>
            <w:tcW w:w="574" w:type="dxa"/>
          </w:tcPr>
          <w:p>
            <w:pPr>
              <w:pStyle w:val="TableParagraph"/>
              <w:ind w:left="161" w:right="70"/>
              <w:rPr>
                <w:sz w:val="14"/>
              </w:rPr>
            </w:pPr>
            <w:r>
              <w:rPr>
                <w:color w:val="231F20"/>
                <w:spacing w:val="-5"/>
                <w:w w:val="95"/>
                <w:sz w:val="14"/>
              </w:rPr>
              <w:t>85</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2.7</w:t>
            </w:r>
          </w:p>
        </w:tc>
        <w:tc>
          <w:tcPr>
            <w:tcW w:w="574" w:type="dxa"/>
          </w:tcPr>
          <w:p>
            <w:pPr>
              <w:pStyle w:val="TableParagraph"/>
              <w:ind w:left="161" w:right="69"/>
              <w:rPr>
                <w:sz w:val="14"/>
              </w:rPr>
            </w:pPr>
            <w:r>
              <w:rPr>
                <w:color w:val="231F20"/>
                <w:spacing w:val="-5"/>
                <w:w w:val="95"/>
                <w:sz w:val="14"/>
              </w:rPr>
              <w:t>81</w:t>
            </w:r>
          </w:p>
        </w:tc>
        <w:tc>
          <w:tcPr>
            <w:tcW w:w="126" w:type="dxa"/>
          </w:tcPr>
          <w:p>
            <w:pPr>
              <w:pStyle w:val="TableParagraph"/>
              <w:spacing w:before="0"/>
              <w:jc w:val="left"/>
              <w:rPr>
                <w:rFonts w:ascii="Times New Roman"/>
                <w:sz w:val="12"/>
              </w:rPr>
            </w:pPr>
          </w:p>
        </w:tc>
        <w:tc>
          <w:tcPr>
            <w:tcW w:w="463" w:type="dxa"/>
          </w:tcPr>
          <w:p>
            <w:pPr>
              <w:pStyle w:val="TableParagraph"/>
              <w:ind w:left="6" w:right="48"/>
              <w:rPr>
                <w:sz w:val="14"/>
              </w:rPr>
            </w:pPr>
            <w:r>
              <w:rPr>
                <w:color w:val="231F20"/>
                <w:spacing w:val="-5"/>
                <w:w w:val="95"/>
                <w:sz w:val="14"/>
              </w:rPr>
              <w:t>3.1</w:t>
            </w:r>
          </w:p>
        </w:tc>
        <w:tc>
          <w:tcPr>
            <w:tcW w:w="574" w:type="dxa"/>
          </w:tcPr>
          <w:p>
            <w:pPr>
              <w:pStyle w:val="TableParagraph"/>
              <w:ind w:left="161" w:right="67"/>
              <w:rPr>
                <w:sz w:val="14"/>
              </w:rPr>
            </w:pPr>
            <w:r>
              <w:rPr>
                <w:color w:val="231F20"/>
                <w:spacing w:val="-5"/>
                <w:w w:val="95"/>
                <w:sz w:val="14"/>
              </w:rPr>
              <w:t>76</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2.9</w:t>
            </w:r>
          </w:p>
        </w:tc>
        <w:tc>
          <w:tcPr>
            <w:tcW w:w="655" w:type="dxa"/>
          </w:tcPr>
          <w:p>
            <w:pPr>
              <w:pStyle w:val="TableParagraph"/>
              <w:ind w:left="72" w:right="68"/>
              <w:rPr>
                <w:sz w:val="14"/>
              </w:rPr>
            </w:pPr>
            <w:r>
              <w:rPr>
                <w:color w:val="231F20"/>
                <w:spacing w:val="-5"/>
                <w:w w:val="95"/>
                <w:sz w:val="14"/>
              </w:rPr>
              <w:t>72</w:t>
            </w:r>
          </w:p>
        </w:tc>
      </w:tr>
      <w:tr>
        <w:trPr>
          <w:trHeight w:val="259" w:hRule="atLeast"/>
        </w:trPr>
        <w:tc>
          <w:tcPr>
            <w:tcW w:w="990" w:type="dxa"/>
            <w:shd w:val="clear" w:color="auto" w:fill="D4E3F5"/>
          </w:tcPr>
          <w:p>
            <w:pPr>
              <w:pStyle w:val="TableParagraph"/>
              <w:ind w:left="79"/>
              <w:jc w:val="left"/>
              <w:rPr>
                <w:sz w:val="14"/>
              </w:rPr>
            </w:pPr>
            <w:r>
              <w:rPr>
                <w:color w:val="231F20"/>
                <w:spacing w:val="-2"/>
                <w:w w:val="90"/>
                <w:sz w:val="14"/>
              </w:rPr>
              <w:t>Montenegro</w:t>
            </w:r>
          </w:p>
        </w:tc>
        <w:tc>
          <w:tcPr>
            <w:tcW w:w="622" w:type="dxa"/>
            <w:shd w:val="clear" w:color="auto" w:fill="D4E3F5"/>
          </w:tcPr>
          <w:p>
            <w:pPr>
              <w:pStyle w:val="TableParagraph"/>
              <w:ind w:left="67" w:right="101"/>
              <w:rPr>
                <w:sz w:val="14"/>
              </w:rPr>
            </w:pPr>
            <w:r>
              <w:rPr>
                <w:color w:val="231F20"/>
                <w:spacing w:val="-5"/>
                <w:w w:val="95"/>
                <w:sz w:val="14"/>
              </w:rPr>
              <w:t>73</w:t>
            </w:r>
          </w:p>
        </w:tc>
        <w:tc>
          <w:tcPr>
            <w:tcW w:w="644" w:type="dxa"/>
            <w:shd w:val="clear" w:color="auto" w:fill="D4E3F5"/>
          </w:tcPr>
          <w:p>
            <w:pPr>
              <w:pStyle w:val="TableParagraph"/>
              <w:ind w:left="165"/>
              <w:jc w:val="left"/>
              <w:rPr>
                <w:sz w:val="14"/>
              </w:rPr>
            </w:pPr>
            <w:r>
              <w:rPr>
                <w:color w:val="231F20"/>
                <w:spacing w:val="-5"/>
                <w:w w:val="95"/>
                <w:sz w:val="14"/>
              </w:rPr>
              <w:t>2.8</w:t>
            </w:r>
          </w:p>
        </w:tc>
        <w:tc>
          <w:tcPr>
            <w:tcW w:w="480" w:type="dxa"/>
            <w:shd w:val="clear" w:color="auto" w:fill="D4E3F5"/>
          </w:tcPr>
          <w:p>
            <w:pPr>
              <w:pStyle w:val="TableParagraph"/>
              <w:ind w:left="102"/>
              <w:jc w:val="left"/>
              <w:rPr>
                <w:sz w:val="14"/>
              </w:rPr>
            </w:pPr>
            <w:r>
              <w:rPr>
                <w:color w:val="231F20"/>
                <w:spacing w:val="-5"/>
                <w:w w:val="95"/>
                <w:sz w:val="14"/>
              </w:rPr>
              <w:t>2.5</w:t>
            </w:r>
          </w:p>
        </w:tc>
        <w:tc>
          <w:tcPr>
            <w:tcW w:w="582" w:type="dxa"/>
            <w:shd w:val="clear" w:color="auto" w:fill="D4E3F5"/>
          </w:tcPr>
          <w:p>
            <w:pPr>
              <w:pStyle w:val="TableParagraph"/>
              <w:ind w:left="1" w:right="7"/>
              <w:rPr>
                <w:sz w:val="14"/>
              </w:rPr>
            </w:pPr>
            <w:r>
              <w:rPr>
                <w:color w:val="231F20"/>
                <w:spacing w:val="-5"/>
                <w:w w:val="95"/>
                <w:sz w:val="14"/>
              </w:rPr>
              <w:t>3.1</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2.6</w:t>
            </w:r>
          </w:p>
        </w:tc>
        <w:tc>
          <w:tcPr>
            <w:tcW w:w="574" w:type="dxa"/>
            <w:shd w:val="clear" w:color="auto" w:fill="D4E3F5"/>
          </w:tcPr>
          <w:p>
            <w:pPr>
              <w:pStyle w:val="TableParagraph"/>
              <w:ind w:left="158" w:right="70"/>
              <w:rPr>
                <w:sz w:val="14"/>
              </w:rPr>
            </w:pPr>
            <w:r>
              <w:rPr>
                <w:color w:val="231F20"/>
                <w:spacing w:val="-5"/>
                <w:w w:val="95"/>
                <w:sz w:val="14"/>
              </w:rPr>
              <w:t>74</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2.5</w:t>
            </w:r>
          </w:p>
        </w:tc>
        <w:tc>
          <w:tcPr>
            <w:tcW w:w="574" w:type="dxa"/>
            <w:shd w:val="clear" w:color="auto" w:fill="D4E3F5"/>
          </w:tcPr>
          <w:p>
            <w:pPr>
              <w:pStyle w:val="TableParagraph"/>
              <w:ind w:left="161" w:right="72"/>
              <w:rPr>
                <w:sz w:val="14"/>
              </w:rPr>
            </w:pPr>
            <w:r>
              <w:rPr>
                <w:color w:val="231F20"/>
                <w:spacing w:val="-5"/>
                <w:w w:val="95"/>
                <w:sz w:val="14"/>
              </w:rPr>
              <w:t>80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2.8</w:t>
            </w:r>
          </w:p>
        </w:tc>
        <w:tc>
          <w:tcPr>
            <w:tcW w:w="574" w:type="dxa"/>
            <w:shd w:val="clear" w:color="auto" w:fill="D4E3F5"/>
          </w:tcPr>
          <w:p>
            <w:pPr>
              <w:pStyle w:val="TableParagraph"/>
              <w:ind w:left="161" w:right="70"/>
              <w:rPr>
                <w:sz w:val="14"/>
              </w:rPr>
            </w:pPr>
            <w:r>
              <w:rPr>
                <w:color w:val="231F20"/>
                <w:spacing w:val="-5"/>
                <w:w w:val="95"/>
                <w:sz w:val="14"/>
              </w:rPr>
              <w:t>75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2.8</w:t>
            </w:r>
          </w:p>
        </w:tc>
        <w:tc>
          <w:tcPr>
            <w:tcW w:w="574" w:type="dxa"/>
            <w:shd w:val="clear" w:color="auto" w:fill="D4E3F5"/>
          </w:tcPr>
          <w:p>
            <w:pPr>
              <w:pStyle w:val="TableParagraph"/>
              <w:ind w:left="161" w:right="69"/>
              <w:rPr>
                <w:sz w:val="14"/>
              </w:rPr>
            </w:pPr>
            <w:r>
              <w:rPr>
                <w:color w:val="231F20"/>
                <w:spacing w:val="-5"/>
                <w:w w:val="95"/>
                <w:sz w:val="14"/>
              </w:rPr>
              <w:t>76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3.2</w:t>
            </w:r>
          </w:p>
        </w:tc>
        <w:tc>
          <w:tcPr>
            <w:tcW w:w="574" w:type="dxa"/>
            <w:shd w:val="clear" w:color="auto" w:fill="D4E3F5"/>
          </w:tcPr>
          <w:p>
            <w:pPr>
              <w:pStyle w:val="TableParagraph"/>
              <w:ind w:left="161" w:right="67"/>
              <w:rPr>
                <w:sz w:val="14"/>
              </w:rPr>
            </w:pPr>
            <w:r>
              <w:rPr>
                <w:color w:val="231F20"/>
                <w:spacing w:val="-5"/>
                <w:w w:val="95"/>
                <w:sz w:val="14"/>
              </w:rPr>
              <w:t>65</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3.2</w:t>
            </w:r>
          </w:p>
        </w:tc>
        <w:tc>
          <w:tcPr>
            <w:tcW w:w="655" w:type="dxa"/>
            <w:shd w:val="clear" w:color="auto" w:fill="D4E3F5"/>
          </w:tcPr>
          <w:p>
            <w:pPr>
              <w:pStyle w:val="TableParagraph"/>
              <w:ind w:left="72" w:right="68"/>
              <w:rPr>
                <w:sz w:val="14"/>
              </w:rPr>
            </w:pPr>
            <w:r>
              <w:rPr>
                <w:color w:val="231F20"/>
                <w:spacing w:val="-5"/>
                <w:w w:val="95"/>
                <w:sz w:val="14"/>
              </w:rPr>
              <w:t>54</w:t>
            </w:r>
          </w:p>
        </w:tc>
      </w:tr>
      <w:tr>
        <w:trPr>
          <w:trHeight w:val="259" w:hRule="atLeast"/>
        </w:trPr>
        <w:tc>
          <w:tcPr>
            <w:tcW w:w="990" w:type="dxa"/>
          </w:tcPr>
          <w:p>
            <w:pPr>
              <w:pStyle w:val="TableParagraph"/>
              <w:ind w:left="79"/>
              <w:jc w:val="left"/>
              <w:rPr>
                <w:sz w:val="14"/>
              </w:rPr>
            </w:pPr>
            <w:r>
              <w:rPr>
                <w:color w:val="231F20"/>
                <w:spacing w:val="-2"/>
                <w:w w:val="85"/>
                <w:sz w:val="14"/>
              </w:rPr>
              <w:t>Rwanda</w:t>
            </w:r>
          </w:p>
        </w:tc>
        <w:tc>
          <w:tcPr>
            <w:tcW w:w="622" w:type="dxa"/>
          </w:tcPr>
          <w:p>
            <w:pPr>
              <w:pStyle w:val="TableParagraph"/>
              <w:ind w:left="67" w:right="101"/>
              <w:rPr>
                <w:sz w:val="14"/>
              </w:rPr>
            </w:pPr>
            <w:r>
              <w:rPr>
                <w:color w:val="231F20"/>
                <w:spacing w:val="-5"/>
                <w:w w:val="95"/>
                <w:sz w:val="14"/>
              </w:rPr>
              <w:t>73</w:t>
            </w:r>
          </w:p>
        </w:tc>
        <w:tc>
          <w:tcPr>
            <w:tcW w:w="644" w:type="dxa"/>
          </w:tcPr>
          <w:p>
            <w:pPr>
              <w:pStyle w:val="TableParagraph"/>
              <w:ind w:left="165"/>
              <w:jc w:val="left"/>
              <w:rPr>
                <w:sz w:val="14"/>
              </w:rPr>
            </w:pPr>
            <w:r>
              <w:rPr>
                <w:color w:val="231F20"/>
                <w:spacing w:val="-5"/>
                <w:w w:val="95"/>
                <w:sz w:val="14"/>
              </w:rPr>
              <w:t>2.8</w:t>
            </w:r>
          </w:p>
        </w:tc>
        <w:tc>
          <w:tcPr>
            <w:tcW w:w="480" w:type="dxa"/>
          </w:tcPr>
          <w:p>
            <w:pPr>
              <w:pStyle w:val="TableParagraph"/>
              <w:ind w:left="102"/>
              <w:jc w:val="left"/>
              <w:rPr>
                <w:sz w:val="14"/>
              </w:rPr>
            </w:pPr>
            <w:r>
              <w:rPr>
                <w:color w:val="231F20"/>
                <w:spacing w:val="-5"/>
                <w:w w:val="95"/>
                <w:sz w:val="14"/>
              </w:rPr>
              <w:t>2.5</w:t>
            </w:r>
          </w:p>
        </w:tc>
        <w:tc>
          <w:tcPr>
            <w:tcW w:w="582" w:type="dxa"/>
          </w:tcPr>
          <w:p>
            <w:pPr>
              <w:pStyle w:val="TableParagraph"/>
              <w:ind w:left="1" w:right="7"/>
              <w:rPr>
                <w:sz w:val="14"/>
              </w:rPr>
            </w:pPr>
            <w:r>
              <w:rPr>
                <w:color w:val="231F20"/>
                <w:spacing w:val="-5"/>
                <w:w w:val="95"/>
                <w:sz w:val="14"/>
              </w:rPr>
              <w:t>3.1</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2.5</w:t>
            </w:r>
          </w:p>
        </w:tc>
        <w:tc>
          <w:tcPr>
            <w:tcW w:w="574" w:type="dxa"/>
          </w:tcPr>
          <w:p>
            <w:pPr>
              <w:pStyle w:val="TableParagraph"/>
              <w:ind w:left="158" w:right="70"/>
              <w:rPr>
                <w:sz w:val="14"/>
              </w:rPr>
            </w:pPr>
            <w:r>
              <w:rPr>
                <w:color w:val="231F20"/>
                <w:spacing w:val="-5"/>
                <w:w w:val="95"/>
                <w:sz w:val="14"/>
              </w:rPr>
              <w:t>84</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2.9</w:t>
            </w:r>
          </w:p>
        </w:tc>
        <w:tc>
          <w:tcPr>
            <w:tcW w:w="574" w:type="dxa"/>
          </w:tcPr>
          <w:p>
            <w:pPr>
              <w:pStyle w:val="TableParagraph"/>
              <w:ind w:left="161" w:right="72"/>
              <w:rPr>
                <w:sz w:val="14"/>
              </w:rPr>
            </w:pPr>
            <w:r>
              <w:rPr>
                <w:color w:val="231F20"/>
                <w:spacing w:val="-5"/>
                <w:w w:val="95"/>
                <w:sz w:val="14"/>
              </w:rPr>
              <w:t>59</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2.4</w:t>
            </w:r>
          </w:p>
        </w:tc>
        <w:tc>
          <w:tcPr>
            <w:tcW w:w="574" w:type="dxa"/>
          </w:tcPr>
          <w:p>
            <w:pPr>
              <w:pStyle w:val="TableParagraph"/>
              <w:ind w:left="161" w:right="131"/>
              <w:rPr>
                <w:sz w:val="14"/>
              </w:rPr>
            </w:pPr>
            <w:r>
              <w:rPr>
                <w:color w:val="231F20"/>
                <w:spacing w:val="-5"/>
                <w:w w:val="95"/>
                <w:sz w:val="14"/>
              </w:rPr>
              <w:t>111</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3.0</w:t>
            </w:r>
          </w:p>
        </w:tc>
        <w:tc>
          <w:tcPr>
            <w:tcW w:w="574" w:type="dxa"/>
          </w:tcPr>
          <w:p>
            <w:pPr>
              <w:pStyle w:val="TableParagraph"/>
              <w:ind w:left="161" w:right="69"/>
              <w:rPr>
                <w:sz w:val="14"/>
              </w:rPr>
            </w:pPr>
            <w:r>
              <w:rPr>
                <w:color w:val="231F20"/>
                <w:spacing w:val="-5"/>
                <w:w w:val="95"/>
                <w:sz w:val="14"/>
              </w:rPr>
              <w:t>61</w:t>
            </w:r>
          </w:p>
        </w:tc>
        <w:tc>
          <w:tcPr>
            <w:tcW w:w="126" w:type="dxa"/>
          </w:tcPr>
          <w:p>
            <w:pPr>
              <w:pStyle w:val="TableParagraph"/>
              <w:spacing w:before="0"/>
              <w:jc w:val="left"/>
              <w:rPr>
                <w:rFonts w:ascii="Times New Roman"/>
                <w:sz w:val="12"/>
              </w:rPr>
            </w:pPr>
          </w:p>
        </w:tc>
        <w:tc>
          <w:tcPr>
            <w:tcW w:w="463" w:type="dxa"/>
          </w:tcPr>
          <w:p>
            <w:pPr>
              <w:pStyle w:val="TableParagraph"/>
              <w:ind w:left="6" w:right="48"/>
              <w:rPr>
                <w:sz w:val="14"/>
              </w:rPr>
            </w:pPr>
            <w:r>
              <w:rPr>
                <w:color w:val="231F20"/>
                <w:spacing w:val="-5"/>
                <w:w w:val="95"/>
                <w:sz w:val="14"/>
              </w:rPr>
              <w:t>3.1</w:t>
            </w:r>
          </w:p>
        </w:tc>
        <w:tc>
          <w:tcPr>
            <w:tcW w:w="574" w:type="dxa"/>
          </w:tcPr>
          <w:p>
            <w:pPr>
              <w:pStyle w:val="TableParagraph"/>
              <w:ind w:left="161" w:right="67"/>
              <w:rPr>
                <w:sz w:val="14"/>
              </w:rPr>
            </w:pPr>
            <w:r>
              <w:rPr>
                <w:color w:val="231F20"/>
                <w:spacing w:val="-5"/>
                <w:w w:val="95"/>
                <w:sz w:val="14"/>
              </w:rPr>
              <w:t>76</w:t>
            </w:r>
          </w:p>
        </w:tc>
        <w:tc>
          <w:tcPr>
            <w:tcW w:w="126" w:type="dxa"/>
          </w:tcPr>
          <w:p>
            <w:pPr>
              <w:pStyle w:val="TableParagraph"/>
              <w:spacing w:before="0"/>
              <w:jc w:val="left"/>
              <w:rPr>
                <w:rFonts w:ascii="Times New Roman"/>
                <w:sz w:val="12"/>
              </w:rPr>
            </w:pPr>
          </w:p>
        </w:tc>
        <w:tc>
          <w:tcPr>
            <w:tcW w:w="468" w:type="dxa"/>
          </w:tcPr>
          <w:p>
            <w:pPr>
              <w:pStyle w:val="TableParagraph"/>
              <w:ind w:left="9" w:right="45"/>
              <w:rPr>
                <w:sz w:val="14"/>
              </w:rPr>
            </w:pPr>
            <w:r>
              <w:rPr>
                <w:color w:val="231F20"/>
                <w:spacing w:val="-5"/>
                <w:w w:val="95"/>
                <w:sz w:val="14"/>
              </w:rPr>
              <w:t>3.0</w:t>
            </w:r>
          </w:p>
        </w:tc>
        <w:tc>
          <w:tcPr>
            <w:tcW w:w="655" w:type="dxa"/>
          </w:tcPr>
          <w:p>
            <w:pPr>
              <w:pStyle w:val="TableParagraph"/>
              <w:ind w:left="72" w:right="68"/>
              <w:rPr>
                <w:sz w:val="14"/>
              </w:rPr>
            </w:pPr>
            <w:r>
              <w:rPr>
                <w:color w:val="231F20"/>
                <w:spacing w:val="-5"/>
                <w:w w:val="95"/>
                <w:sz w:val="14"/>
              </w:rPr>
              <w:t>65</w:t>
            </w:r>
          </w:p>
        </w:tc>
      </w:tr>
      <w:tr>
        <w:trPr>
          <w:trHeight w:val="259" w:hRule="atLeast"/>
        </w:trPr>
        <w:tc>
          <w:tcPr>
            <w:tcW w:w="990" w:type="dxa"/>
            <w:shd w:val="clear" w:color="auto" w:fill="D4E3F5"/>
          </w:tcPr>
          <w:p>
            <w:pPr>
              <w:pStyle w:val="TableParagraph"/>
              <w:ind w:left="79"/>
              <w:jc w:val="left"/>
              <w:rPr>
                <w:sz w:val="14"/>
              </w:rPr>
            </w:pPr>
            <w:r>
              <w:rPr>
                <w:color w:val="231F20"/>
                <w:spacing w:val="-2"/>
                <w:w w:val="90"/>
                <w:sz w:val="14"/>
              </w:rPr>
              <w:t>Serbia</w:t>
            </w:r>
          </w:p>
        </w:tc>
        <w:tc>
          <w:tcPr>
            <w:tcW w:w="622" w:type="dxa"/>
            <w:shd w:val="clear" w:color="auto" w:fill="D4E3F5"/>
          </w:tcPr>
          <w:p>
            <w:pPr>
              <w:pStyle w:val="TableParagraph"/>
              <w:ind w:left="67" w:right="101"/>
              <w:rPr>
                <w:sz w:val="14"/>
              </w:rPr>
            </w:pPr>
            <w:r>
              <w:rPr>
                <w:color w:val="231F20"/>
                <w:spacing w:val="-5"/>
                <w:w w:val="95"/>
                <w:sz w:val="14"/>
              </w:rPr>
              <w:t>73</w:t>
            </w:r>
          </w:p>
        </w:tc>
        <w:tc>
          <w:tcPr>
            <w:tcW w:w="644" w:type="dxa"/>
            <w:shd w:val="clear" w:color="auto" w:fill="D4E3F5"/>
          </w:tcPr>
          <w:p>
            <w:pPr>
              <w:pStyle w:val="TableParagraph"/>
              <w:ind w:left="165"/>
              <w:jc w:val="left"/>
              <w:rPr>
                <w:sz w:val="14"/>
              </w:rPr>
            </w:pPr>
            <w:r>
              <w:rPr>
                <w:color w:val="231F20"/>
                <w:spacing w:val="-5"/>
                <w:w w:val="95"/>
                <w:sz w:val="14"/>
              </w:rPr>
              <w:t>2.8</w:t>
            </w:r>
          </w:p>
        </w:tc>
        <w:tc>
          <w:tcPr>
            <w:tcW w:w="480" w:type="dxa"/>
            <w:shd w:val="clear" w:color="auto" w:fill="D4E3F5"/>
          </w:tcPr>
          <w:p>
            <w:pPr>
              <w:pStyle w:val="TableParagraph"/>
              <w:ind w:left="103"/>
              <w:jc w:val="left"/>
              <w:rPr>
                <w:sz w:val="14"/>
              </w:rPr>
            </w:pPr>
            <w:r>
              <w:rPr>
                <w:color w:val="231F20"/>
                <w:spacing w:val="-5"/>
                <w:w w:val="95"/>
                <w:sz w:val="14"/>
              </w:rPr>
              <w:t>2.6</w:t>
            </w:r>
          </w:p>
        </w:tc>
        <w:tc>
          <w:tcPr>
            <w:tcW w:w="582" w:type="dxa"/>
            <w:shd w:val="clear" w:color="auto" w:fill="D4E3F5"/>
          </w:tcPr>
          <w:p>
            <w:pPr>
              <w:pStyle w:val="TableParagraph"/>
              <w:ind w:left="6" w:right="6"/>
              <w:rPr>
                <w:sz w:val="14"/>
              </w:rPr>
            </w:pPr>
            <w:r>
              <w:rPr>
                <w:color w:val="231F20"/>
                <w:spacing w:val="-5"/>
                <w:w w:val="95"/>
                <w:sz w:val="14"/>
              </w:rPr>
              <w:t>3.0</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2.2</w:t>
            </w:r>
          </w:p>
        </w:tc>
        <w:tc>
          <w:tcPr>
            <w:tcW w:w="574" w:type="dxa"/>
            <w:shd w:val="clear" w:color="auto" w:fill="D4E3F5"/>
          </w:tcPr>
          <w:p>
            <w:pPr>
              <w:pStyle w:val="TableParagraph"/>
              <w:ind w:left="161" w:right="130"/>
              <w:rPr>
                <w:sz w:val="14"/>
              </w:rPr>
            </w:pPr>
            <w:r>
              <w:rPr>
                <w:color w:val="231F20"/>
                <w:spacing w:val="-5"/>
                <w:w w:val="95"/>
                <w:sz w:val="14"/>
              </w:rPr>
              <w:t>110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2.4</w:t>
            </w:r>
          </w:p>
        </w:tc>
        <w:tc>
          <w:tcPr>
            <w:tcW w:w="574" w:type="dxa"/>
            <w:shd w:val="clear" w:color="auto" w:fill="D4E3F5"/>
          </w:tcPr>
          <w:p>
            <w:pPr>
              <w:pStyle w:val="TableParagraph"/>
              <w:ind w:left="161" w:right="72"/>
              <w:rPr>
                <w:sz w:val="14"/>
              </w:rPr>
            </w:pPr>
            <w:r>
              <w:rPr>
                <w:color w:val="231F20"/>
                <w:spacing w:val="-5"/>
                <w:w w:val="95"/>
                <w:sz w:val="14"/>
              </w:rPr>
              <w:t>89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2.9</w:t>
            </w:r>
          </w:p>
        </w:tc>
        <w:tc>
          <w:tcPr>
            <w:tcW w:w="574" w:type="dxa"/>
            <w:shd w:val="clear" w:color="auto" w:fill="D4E3F5"/>
          </w:tcPr>
          <w:p>
            <w:pPr>
              <w:pStyle w:val="TableParagraph"/>
              <w:ind w:left="161" w:right="70"/>
              <w:rPr>
                <w:sz w:val="14"/>
              </w:rPr>
            </w:pPr>
            <w:r>
              <w:rPr>
                <w:color w:val="231F20"/>
                <w:spacing w:val="-5"/>
                <w:w w:val="95"/>
                <w:sz w:val="14"/>
              </w:rPr>
              <w:t>68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2.7</w:t>
            </w:r>
          </w:p>
        </w:tc>
        <w:tc>
          <w:tcPr>
            <w:tcW w:w="574" w:type="dxa"/>
            <w:shd w:val="clear" w:color="auto" w:fill="D4E3F5"/>
          </w:tcPr>
          <w:p>
            <w:pPr>
              <w:pStyle w:val="TableParagraph"/>
              <w:ind w:left="161" w:right="69"/>
              <w:rPr>
                <w:sz w:val="14"/>
              </w:rPr>
            </w:pPr>
            <w:r>
              <w:rPr>
                <w:color w:val="231F20"/>
                <w:spacing w:val="-5"/>
                <w:w w:val="95"/>
                <w:sz w:val="14"/>
              </w:rPr>
              <w:t>81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3.4</w:t>
            </w:r>
          </w:p>
        </w:tc>
        <w:tc>
          <w:tcPr>
            <w:tcW w:w="574" w:type="dxa"/>
            <w:shd w:val="clear" w:color="auto" w:fill="D4E3F5"/>
          </w:tcPr>
          <w:p>
            <w:pPr>
              <w:pStyle w:val="TableParagraph"/>
              <w:ind w:left="161" w:right="67"/>
              <w:rPr>
                <w:sz w:val="14"/>
              </w:rPr>
            </w:pPr>
            <w:r>
              <w:rPr>
                <w:color w:val="231F20"/>
                <w:spacing w:val="-5"/>
                <w:w w:val="95"/>
                <w:sz w:val="14"/>
              </w:rPr>
              <w:t>55</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2.9</w:t>
            </w:r>
          </w:p>
        </w:tc>
        <w:tc>
          <w:tcPr>
            <w:tcW w:w="655" w:type="dxa"/>
            <w:shd w:val="clear" w:color="auto" w:fill="D4E3F5"/>
          </w:tcPr>
          <w:p>
            <w:pPr>
              <w:pStyle w:val="TableParagraph"/>
              <w:ind w:left="72" w:right="68"/>
              <w:rPr>
                <w:sz w:val="14"/>
              </w:rPr>
            </w:pPr>
            <w:r>
              <w:rPr>
                <w:color w:val="231F20"/>
                <w:spacing w:val="-5"/>
                <w:w w:val="95"/>
                <w:sz w:val="14"/>
              </w:rPr>
              <w:t>72</w:t>
            </w:r>
          </w:p>
        </w:tc>
      </w:tr>
      <w:tr>
        <w:trPr>
          <w:trHeight w:val="259" w:hRule="atLeast"/>
        </w:trPr>
        <w:tc>
          <w:tcPr>
            <w:tcW w:w="990" w:type="dxa"/>
          </w:tcPr>
          <w:p>
            <w:pPr>
              <w:pStyle w:val="TableParagraph"/>
              <w:ind w:left="79"/>
              <w:jc w:val="left"/>
              <w:rPr>
                <w:sz w:val="14"/>
              </w:rPr>
            </w:pPr>
            <w:r>
              <w:rPr>
                <w:color w:val="231F20"/>
                <w:w w:val="75"/>
                <w:sz w:val="14"/>
              </w:rPr>
              <w:t>Solomon</w:t>
            </w:r>
            <w:r>
              <w:rPr>
                <w:color w:val="231F20"/>
                <w:spacing w:val="16"/>
                <w:sz w:val="14"/>
              </w:rPr>
              <w:t> </w:t>
            </w:r>
            <w:r>
              <w:rPr>
                <w:color w:val="231F20"/>
                <w:spacing w:val="-2"/>
                <w:w w:val="85"/>
                <w:sz w:val="14"/>
              </w:rPr>
              <w:t>Islands</w:t>
            </w:r>
          </w:p>
        </w:tc>
        <w:tc>
          <w:tcPr>
            <w:tcW w:w="622" w:type="dxa"/>
          </w:tcPr>
          <w:p>
            <w:pPr>
              <w:pStyle w:val="TableParagraph"/>
              <w:ind w:left="67" w:right="101"/>
              <w:rPr>
                <w:sz w:val="14"/>
              </w:rPr>
            </w:pPr>
            <w:r>
              <w:rPr>
                <w:color w:val="231F20"/>
                <w:spacing w:val="-5"/>
                <w:w w:val="95"/>
                <w:sz w:val="14"/>
              </w:rPr>
              <w:t>73</w:t>
            </w:r>
          </w:p>
        </w:tc>
        <w:tc>
          <w:tcPr>
            <w:tcW w:w="644" w:type="dxa"/>
          </w:tcPr>
          <w:p>
            <w:pPr>
              <w:pStyle w:val="TableParagraph"/>
              <w:ind w:left="165"/>
              <w:jc w:val="left"/>
              <w:rPr>
                <w:sz w:val="14"/>
              </w:rPr>
            </w:pPr>
            <w:r>
              <w:rPr>
                <w:color w:val="231F20"/>
                <w:spacing w:val="-5"/>
                <w:w w:val="95"/>
                <w:sz w:val="14"/>
              </w:rPr>
              <w:t>2.8</w:t>
            </w:r>
          </w:p>
        </w:tc>
        <w:tc>
          <w:tcPr>
            <w:tcW w:w="480" w:type="dxa"/>
          </w:tcPr>
          <w:p>
            <w:pPr>
              <w:pStyle w:val="TableParagraph"/>
              <w:ind w:left="104"/>
              <w:jc w:val="left"/>
              <w:rPr>
                <w:sz w:val="14"/>
              </w:rPr>
            </w:pPr>
            <w:r>
              <w:rPr>
                <w:color w:val="231F20"/>
                <w:spacing w:val="-5"/>
                <w:w w:val="95"/>
                <w:sz w:val="14"/>
              </w:rPr>
              <w:t>2.4</w:t>
            </w:r>
          </w:p>
        </w:tc>
        <w:tc>
          <w:tcPr>
            <w:tcW w:w="582" w:type="dxa"/>
          </w:tcPr>
          <w:p>
            <w:pPr>
              <w:pStyle w:val="TableParagraph"/>
              <w:ind w:left="6" w:right="6"/>
              <w:rPr>
                <w:sz w:val="14"/>
              </w:rPr>
            </w:pPr>
            <w:r>
              <w:rPr>
                <w:color w:val="231F20"/>
                <w:spacing w:val="-5"/>
                <w:w w:val="95"/>
                <w:sz w:val="14"/>
              </w:rPr>
              <w:t>3.2</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2.4</w:t>
            </w:r>
          </w:p>
        </w:tc>
        <w:tc>
          <w:tcPr>
            <w:tcW w:w="574" w:type="dxa"/>
          </w:tcPr>
          <w:p>
            <w:pPr>
              <w:pStyle w:val="TableParagraph"/>
              <w:ind w:left="158" w:right="70"/>
              <w:rPr>
                <w:sz w:val="14"/>
              </w:rPr>
            </w:pPr>
            <w:r>
              <w:rPr>
                <w:color w:val="231F20"/>
                <w:spacing w:val="-5"/>
                <w:w w:val="95"/>
                <w:sz w:val="14"/>
              </w:rPr>
              <w:t>90</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2.6</w:t>
            </w:r>
          </w:p>
        </w:tc>
        <w:tc>
          <w:tcPr>
            <w:tcW w:w="574" w:type="dxa"/>
          </w:tcPr>
          <w:p>
            <w:pPr>
              <w:pStyle w:val="TableParagraph"/>
              <w:ind w:left="161" w:right="72"/>
              <w:rPr>
                <w:sz w:val="14"/>
              </w:rPr>
            </w:pPr>
            <w:r>
              <w:rPr>
                <w:color w:val="231F20"/>
                <w:spacing w:val="-5"/>
                <w:w w:val="95"/>
                <w:sz w:val="14"/>
              </w:rPr>
              <w:t>76</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2.9</w:t>
            </w:r>
          </w:p>
        </w:tc>
        <w:tc>
          <w:tcPr>
            <w:tcW w:w="574" w:type="dxa"/>
          </w:tcPr>
          <w:p>
            <w:pPr>
              <w:pStyle w:val="TableParagraph"/>
              <w:ind w:left="161" w:right="70"/>
              <w:rPr>
                <w:sz w:val="14"/>
              </w:rPr>
            </w:pPr>
            <w:r>
              <w:rPr>
                <w:color w:val="231F20"/>
                <w:spacing w:val="-5"/>
                <w:w w:val="95"/>
                <w:sz w:val="14"/>
              </w:rPr>
              <w:t>68</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2.9</w:t>
            </w:r>
          </w:p>
        </w:tc>
        <w:tc>
          <w:tcPr>
            <w:tcW w:w="574" w:type="dxa"/>
          </w:tcPr>
          <w:p>
            <w:pPr>
              <w:pStyle w:val="TableParagraph"/>
              <w:ind w:left="161" w:right="69"/>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3.2</w:t>
            </w:r>
          </w:p>
        </w:tc>
        <w:tc>
          <w:tcPr>
            <w:tcW w:w="574" w:type="dxa"/>
          </w:tcPr>
          <w:p>
            <w:pPr>
              <w:pStyle w:val="TableParagraph"/>
              <w:ind w:left="161" w:right="67"/>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2.9</w:t>
            </w:r>
          </w:p>
        </w:tc>
        <w:tc>
          <w:tcPr>
            <w:tcW w:w="655" w:type="dxa"/>
          </w:tcPr>
          <w:p>
            <w:pPr>
              <w:pStyle w:val="TableParagraph"/>
              <w:ind w:left="72" w:right="68"/>
              <w:rPr>
                <w:sz w:val="14"/>
              </w:rPr>
            </w:pPr>
            <w:r>
              <w:rPr>
                <w:color w:val="231F20"/>
                <w:spacing w:val="-5"/>
                <w:w w:val="95"/>
                <w:sz w:val="14"/>
              </w:rPr>
              <w:t>72</w:t>
            </w:r>
          </w:p>
        </w:tc>
      </w:tr>
      <w:tr>
        <w:trPr>
          <w:trHeight w:val="259" w:hRule="atLeast"/>
        </w:trPr>
        <w:tc>
          <w:tcPr>
            <w:tcW w:w="990" w:type="dxa"/>
            <w:shd w:val="clear" w:color="auto" w:fill="D4E3F5"/>
          </w:tcPr>
          <w:p>
            <w:pPr>
              <w:pStyle w:val="TableParagraph"/>
              <w:ind w:left="79"/>
              <w:jc w:val="left"/>
              <w:rPr>
                <w:sz w:val="14"/>
              </w:rPr>
            </w:pPr>
            <w:r>
              <w:rPr>
                <w:color w:val="231F20"/>
                <w:w w:val="75"/>
                <w:sz w:val="14"/>
              </w:rPr>
              <w:t>Sri</w:t>
            </w:r>
            <w:r>
              <w:rPr>
                <w:color w:val="231F20"/>
                <w:sz w:val="14"/>
              </w:rPr>
              <w:t> </w:t>
            </w:r>
            <w:r>
              <w:rPr>
                <w:color w:val="231F20"/>
                <w:spacing w:val="-2"/>
                <w:w w:val="85"/>
                <w:sz w:val="14"/>
              </w:rPr>
              <w:t>Lanka</w:t>
            </w:r>
          </w:p>
        </w:tc>
        <w:tc>
          <w:tcPr>
            <w:tcW w:w="622" w:type="dxa"/>
            <w:shd w:val="clear" w:color="auto" w:fill="D4E3F5"/>
          </w:tcPr>
          <w:p>
            <w:pPr>
              <w:pStyle w:val="TableParagraph"/>
              <w:ind w:left="67" w:right="101"/>
              <w:rPr>
                <w:sz w:val="14"/>
              </w:rPr>
            </w:pPr>
            <w:r>
              <w:rPr>
                <w:color w:val="231F20"/>
                <w:spacing w:val="-5"/>
                <w:w w:val="95"/>
                <w:sz w:val="14"/>
              </w:rPr>
              <w:t>73</w:t>
            </w:r>
          </w:p>
        </w:tc>
        <w:tc>
          <w:tcPr>
            <w:tcW w:w="644" w:type="dxa"/>
            <w:shd w:val="clear" w:color="auto" w:fill="D4E3F5"/>
          </w:tcPr>
          <w:p>
            <w:pPr>
              <w:pStyle w:val="TableParagraph"/>
              <w:ind w:left="165"/>
              <w:jc w:val="left"/>
              <w:rPr>
                <w:sz w:val="14"/>
              </w:rPr>
            </w:pPr>
            <w:r>
              <w:rPr>
                <w:color w:val="231F20"/>
                <w:spacing w:val="-5"/>
                <w:w w:val="95"/>
                <w:sz w:val="14"/>
              </w:rPr>
              <w:t>2.8</w:t>
            </w:r>
          </w:p>
        </w:tc>
        <w:tc>
          <w:tcPr>
            <w:tcW w:w="480" w:type="dxa"/>
            <w:shd w:val="clear" w:color="auto" w:fill="D4E3F5"/>
          </w:tcPr>
          <w:p>
            <w:pPr>
              <w:pStyle w:val="TableParagraph"/>
              <w:ind w:left="103"/>
              <w:jc w:val="left"/>
              <w:rPr>
                <w:sz w:val="14"/>
              </w:rPr>
            </w:pPr>
            <w:r>
              <w:rPr>
                <w:color w:val="231F20"/>
                <w:spacing w:val="-5"/>
                <w:w w:val="95"/>
                <w:sz w:val="14"/>
              </w:rPr>
              <w:t>2.6</w:t>
            </w:r>
          </w:p>
        </w:tc>
        <w:tc>
          <w:tcPr>
            <w:tcW w:w="582" w:type="dxa"/>
            <w:shd w:val="clear" w:color="auto" w:fill="D4E3F5"/>
          </w:tcPr>
          <w:p>
            <w:pPr>
              <w:pStyle w:val="TableParagraph"/>
              <w:ind w:left="6" w:right="6"/>
              <w:rPr>
                <w:sz w:val="14"/>
              </w:rPr>
            </w:pPr>
            <w:r>
              <w:rPr>
                <w:color w:val="231F20"/>
                <w:spacing w:val="-5"/>
                <w:w w:val="95"/>
                <w:sz w:val="14"/>
              </w:rPr>
              <w:t>3.0</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2.5</w:t>
            </w:r>
          </w:p>
        </w:tc>
        <w:tc>
          <w:tcPr>
            <w:tcW w:w="574" w:type="dxa"/>
            <w:shd w:val="clear" w:color="auto" w:fill="D4E3F5"/>
          </w:tcPr>
          <w:p>
            <w:pPr>
              <w:pStyle w:val="TableParagraph"/>
              <w:ind w:left="158" w:right="70"/>
              <w:rPr>
                <w:sz w:val="14"/>
              </w:rPr>
            </w:pPr>
            <w:r>
              <w:rPr>
                <w:color w:val="231F20"/>
                <w:spacing w:val="-5"/>
                <w:w w:val="95"/>
                <w:sz w:val="14"/>
              </w:rPr>
              <w:t>84</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2.4</w:t>
            </w:r>
          </w:p>
        </w:tc>
        <w:tc>
          <w:tcPr>
            <w:tcW w:w="574" w:type="dxa"/>
            <w:shd w:val="clear" w:color="auto" w:fill="D4E3F5"/>
          </w:tcPr>
          <w:p>
            <w:pPr>
              <w:pStyle w:val="TableParagraph"/>
              <w:ind w:left="161" w:right="72"/>
              <w:rPr>
                <w:sz w:val="14"/>
              </w:rPr>
            </w:pPr>
            <w:r>
              <w:rPr>
                <w:color w:val="231F20"/>
                <w:spacing w:val="-5"/>
                <w:w w:val="95"/>
                <w:sz w:val="14"/>
              </w:rPr>
              <w:t>89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2.8</w:t>
            </w:r>
          </w:p>
        </w:tc>
        <w:tc>
          <w:tcPr>
            <w:tcW w:w="574" w:type="dxa"/>
            <w:shd w:val="clear" w:color="auto" w:fill="D4E3F5"/>
          </w:tcPr>
          <w:p>
            <w:pPr>
              <w:pStyle w:val="TableParagraph"/>
              <w:ind w:left="161" w:right="70"/>
              <w:rPr>
                <w:sz w:val="14"/>
              </w:rPr>
            </w:pPr>
            <w:r>
              <w:rPr>
                <w:color w:val="231F20"/>
                <w:spacing w:val="-5"/>
                <w:w w:val="95"/>
                <w:sz w:val="14"/>
              </w:rPr>
              <w:t>75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2.7</w:t>
            </w:r>
          </w:p>
        </w:tc>
        <w:tc>
          <w:tcPr>
            <w:tcW w:w="574" w:type="dxa"/>
            <w:shd w:val="clear" w:color="auto" w:fill="D4E3F5"/>
          </w:tcPr>
          <w:p>
            <w:pPr>
              <w:pStyle w:val="TableParagraph"/>
              <w:ind w:left="161" w:right="69"/>
              <w:rPr>
                <w:sz w:val="14"/>
              </w:rPr>
            </w:pPr>
            <w:r>
              <w:rPr>
                <w:color w:val="231F20"/>
                <w:spacing w:val="-5"/>
                <w:w w:val="95"/>
                <w:sz w:val="14"/>
              </w:rPr>
              <w:t>81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7" w:right="48"/>
              <w:rPr>
                <w:sz w:val="14"/>
              </w:rPr>
            </w:pPr>
            <w:r>
              <w:rPr>
                <w:color w:val="231F20"/>
                <w:spacing w:val="-5"/>
                <w:w w:val="95"/>
                <w:sz w:val="14"/>
              </w:rPr>
              <w:t>3.3</w:t>
            </w:r>
          </w:p>
        </w:tc>
        <w:tc>
          <w:tcPr>
            <w:tcW w:w="574" w:type="dxa"/>
            <w:shd w:val="clear" w:color="auto" w:fill="D4E3F5"/>
          </w:tcPr>
          <w:p>
            <w:pPr>
              <w:pStyle w:val="TableParagraph"/>
              <w:ind w:left="161" w:right="67"/>
              <w:rPr>
                <w:sz w:val="14"/>
              </w:rPr>
            </w:pPr>
            <w:r>
              <w:rPr>
                <w:color w:val="231F20"/>
                <w:spacing w:val="-5"/>
                <w:w w:val="95"/>
                <w:sz w:val="14"/>
              </w:rPr>
              <w:t>59</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9" w:right="45"/>
              <w:rPr>
                <w:sz w:val="14"/>
              </w:rPr>
            </w:pPr>
            <w:r>
              <w:rPr>
                <w:color w:val="231F20"/>
                <w:spacing w:val="-5"/>
                <w:w w:val="95"/>
                <w:sz w:val="14"/>
              </w:rPr>
              <w:t>3.0</w:t>
            </w:r>
          </w:p>
        </w:tc>
        <w:tc>
          <w:tcPr>
            <w:tcW w:w="655" w:type="dxa"/>
            <w:shd w:val="clear" w:color="auto" w:fill="D4E3F5"/>
          </w:tcPr>
          <w:p>
            <w:pPr>
              <w:pStyle w:val="TableParagraph"/>
              <w:ind w:left="72" w:right="68"/>
              <w:rPr>
                <w:sz w:val="14"/>
              </w:rPr>
            </w:pPr>
            <w:r>
              <w:rPr>
                <w:color w:val="231F20"/>
                <w:spacing w:val="-5"/>
                <w:w w:val="95"/>
                <w:sz w:val="14"/>
              </w:rPr>
              <w:t>65</w:t>
            </w:r>
          </w:p>
        </w:tc>
      </w:tr>
      <w:tr>
        <w:trPr>
          <w:trHeight w:val="259" w:hRule="atLeast"/>
        </w:trPr>
        <w:tc>
          <w:tcPr>
            <w:tcW w:w="990" w:type="dxa"/>
          </w:tcPr>
          <w:p>
            <w:pPr>
              <w:pStyle w:val="TableParagraph"/>
              <w:ind w:left="79"/>
              <w:jc w:val="left"/>
              <w:rPr>
                <w:sz w:val="14"/>
              </w:rPr>
            </w:pPr>
            <w:r>
              <w:rPr>
                <w:color w:val="231F20"/>
                <w:w w:val="75"/>
                <w:sz w:val="14"/>
              </w:rPr>
              <w:t>Bahamas,</w:t>
            </w:r>
            <w:r>
              <w:rPr>
                <w:color w:val="231F20"/>
                <w:spacing w:val="23"/>
                <w:sz w:val="14"/>
              </w:rPr>
              <w:t> </w:t>
            </w:r>
            <w:r>
              <w:rPr>
                <w:color w:val="231F20"/>
                <w:spacing w:val="-5"/>
                <w:w w:val="85"/>
                <w:sz w:val="14"/>
              </w:rPr>
              <w:t>The</w:t>
            </w:r>
          </w:p>
        </w:tc>
        <w:tc>
          <w:tcPr>
            <w:tcW w:w="622" w:type="dxa"/>
          </w:tcPr>
          <w:p>
            <w:pPr>
              <w:pStyle w:val="TableParagraph"/>
              <w:ind w:left="67" w:right="101"/>
              <w:rPr>
                <w:sz w:val="14"/>
              </w:rPr>
            </w:pPr>
            <w:r>
              <w:rPr>
                <w:color w:val="231F20"/>
                <w:spacing w:val="-5"/>
                <w:w w:val="95"/>
                <w:sz w:val="14"/>
              </w:rPr>
              <w:t>79</w:t>
            </w:r>
          </w:p>
        </w:tc>
        <w:tc>
          <w:tcPr>
            <w:tcW w:w="644" w:type="dxa"/>
          </w:tcPr>
          <w:p>
            <w:pPr>
              <w:pStyle w:val="TableParagraph"/>
              <w:ind w:left="166"/>
              <w:jc w:val="left"/>
              <w:rPr>
                <w:sz w:val="14"/>
              </w:rPr>
            </w:pPr>
            <w:r>
              <w:rPr>
                <w:color w:val="231F20"/>
                <w:spacing w:val="-5"/>
                <w:w w:val="95"/>
                <w:sz w:val="14"/>
              </w:rPr>
              <w:t>2.7</w:t>
            </w:r>
          </w:p>
        </w:tc>
        <w:tc>
          <w:tcPr>
            <w:tcW w:w="480" w:type="dxa"/>
          </w:tcPr>
          <w:p>
            <w:pPr>
              <w:pStyle w:val="TableParagraph"/>
              <w:ind w:left="102"/>
              <w:jc w:val="left"/>
              <w:rPr>
                <w:sz w:val="14"/>
              </w:rPr>
            </w:pPr>
            <w:r>
              <w:rPr>
                <w:color w:val="231F20"/>
                <w:spacing w:val="-5"/>
                <w:w w:val="95"/>
                <w:sz w:val="14"/>
              </w:rPr>
              <w:t>2.5</w:t>
            </w:r>
          </w:p>
        </w:tc>
        <w:tc>
          <w:tcPr>
            <w:tcW w:w="582" w:type="dxa"/>
          </w:tcPr>
          <w:p>
            <w:pPr>
              <w:pStyle w:val="TableParagraph"/>
              <w:ind w:left="6" w:right="6"/>
              <w:rPr>
                <w:sz w:val="14"/>
              </w:rPr>
            </w:pPr>
            <w:r>
              <w:rPr>
                <w:color w:val="231F20"/>
                <w:spacing w:val="-5"/>
                <w:w w:val="95"/>
                <w:sz w:val="14"/>
              </w:rPr>
              <w:t>2.9</w:t>
            </w:r>
          </w:p>
        </w:tc>
        <w:tc>
          <w:tcPr>
            <w:tcW w:w="80" w:type="dxa"/>
          </w:tcPr>
          <w:p>
            <w:pPr>
              <w:pStyle w:val="TableParagraph"/>
              <w:spacing w:before="0"/>
              <w:jc w:val="left"/>
              <w:rPr>
                <w:rFonts w:ascii="Times New Roman"/>
                <w:sz w:val="12"/>
              </w:rPr>
            </w:pPr>
          </w:p>
        </w:tc>
        <w:tc>
          <w:tcPr>
            <w:tcW w:w="463" w:type="dxa"/>
          </w:tcPr>
          <w:p>
            <w:pPr>
              <w:pStyle w:val="TableParagraph"/>
              <w:ind w:left="7" w:right="48"/>
              <w:rPr>
                <w:sz w:val="14"/>
              </w:rPr>
            </w:pPr>
            <w:r>
              <w:rPr>
                <w:color w:val="231F20"/>
                <w:spacing w:val="-5"/>
                <w:w w:val="95"/>
                <w:sz w:val="14"/>
              </w:rPr>
              <w:t>2.7</w:t>
            </w:r>
          </w:p>
        </w:tc>
        <w:tc>
          <w:tcPr>
            <w:tcW w:w="574" w:type="dxa"/>
          </w:tcPr>
          <w:p>
            <w:pPr>
              <w:pStyle w:val="TableParagraph"/>
              <w:ind w:left="158" w:right="70"/>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2.5</w:t>
            </w:r>
          </w:p>
        </w:tc>
        <w:tc>
          <w:tcPr>
            <w:tcW w:w="574" w:type="dxa"/>
          </w:tcPr>
          <w:p>
            <w:pPr>
              <w:pStyle w:val="TableParagraph"/>
              <w:ind w:left="161" w:right="72"/>
              <w:rPr>
                <w:sz w:val="14"/>
              </w:rPr>
            </w:pPr>
            <w:r>
              <w:rPr>
                <w:color w:val="231F20"/>
                <w:spacing w:val="-5"/>
                <w:w w:val="95"/>
                <w:sz w:val="14"/>
              </w:rPr>
              <w:t>80</w:t>
            </w:r>
          </w:p>
        </w:tc>
        <w:tc>
          <w:tcPr>
            <w:tcW w:w="126" w:type="dxa"/>
          </w:tcPr>
          <w:p>
            <w:pPr>
              <w:pStyle w:val="TableParagraph"/>
              <w:spacing w:before="0"/>
              <w:jc w:val="left"/>
              <w:rPr>
                <w:rFonts w:ascii="Times New Roman"/>
                <w:sz w:val="12"/>
              </w:rPr>
            </w:pPr>
          </w:p>
        </w:tc>
        <w:tc>
          <w:tcPr>
            <w:tcW w:w="463" w:type="dxa"/>
          </w:tcPr>
          <w:p>
            <w:pPr>
              <w:pStyle w:val="TableParagraph"/>
              <w:ind w:left="3" w:right="48"/>
              <w:rPr>
                <w:sz w:val="14"/>
              </w:rPr>
            </w:pPr>
            <w:r>
              <w:rPr>
                <w:color w:val="231F20"/>
                <w:spacing w:val="-5"/>
                <w:w w:val="95"/>
                <w:sz w:val="14"/>
              </w:rPr>
              <w:t>3.1</w:t>
            </w:r>
          </w:p>
        </w:tc>
        <w:tc>
          <w:tcPr>
            <w:tcW w:w="574" w:type="dxa"/>
          </w:tcPr>
          <w:p>
            <w:pPr>
              <w:pStyle w:val="TableParagraph"/>
              <w:ind w:left="161" w:right="70"/>
              <w:rPr>
                <w:sz w:val="14"/>
              </w:rPr>
            </w:pPr>
            <w:r>
              <w:rPr>
                <w:color w:val="231F20"/>
                <w:spacing w:val="-5"/>
                <w:w w:val="95"/>
                <w:sz w:val="14"/>
              </w:rPr>
              <w:t>47</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2.5</w:t>
            </w:r>
          </w:p>
        </w:tc>
        <w:tc>
          <w:tcPr>
            <w:tcW w:w="574" w:type="dxa"/>
          </w:tcPr>
          <w:p>
            <w:pPr>
              <w:pStyle w:val="TableParagraph"/>
              <w:ind w:left="161" w:right="136"/>
              <w:rPr>
                <w:sz w:val="14"/>
              </w:rPr>
            </w:pPr>
            <w:r>
              <w:rPr>
                <w:color w:val="231F20"/>
                <w:spacing w:val="-5"/>
                <w:w w:val="95"/>
                <w:sz w:val="14"/>
              </w:rPr>
              <w:t>103</w:t>
            </w:r>
          </w:p>
        </w:tc>
        <w:tc>
          <w:tcPr>
            <w:tcW w:w="126" w:type="dxa"/>
          </w:tcPr>
          <w:p>
            <w:pPr>
              <w:pStyle w:val="TableParagraph"/>
              <w:spacing w:before="0"/>
              <w:jc w:val="left"/>
              <w:rPr>
                <w:rFonts w:ascii="Times New Roman"/>
                <w:sz w:val="12"/>
              </w:rPr>
            </w:pPr>
          </w:p>
        </w:tc>
        <w:tc>
          <w:tcPr>
            <w:tcW w:w="463" w:type="dxa"/>
          </w:tcPr>
          <w:p>
            <w:pPr>
              <w:pStyle w:val="TableParagraph"/>
              <w:ind w:left="16" w:right="48"/>
              <w:rPr>
                <w:sz w:val="14"/>
              </w:rPr>
            </w:pPr>
            <w:r>
              <w:rPr>
                <w:color w:val="231F20"/>
                <w:spacing w:val="-5"/>
                <w:w w:val="95"/>
                <w:sz w:val="14"/>
              </w:rPr>
              <w:t>3.0</w:t>
            </w:r>
          </w:p>
        </w:tc>
        <w:tc>
          <w:tcPr>
            <w:tcW w:w="574" w:type="dxa"/>
          </w:tcPr>
          <w:p>
            <w:pPr>
              <w:pStyle w:val="TableParagraph"/>
              <w:ind w:left="161" w:right="67"/>
              <w:rPr>
                <w:sz w:val="14"/>
              </w:rPr>
            </w:pPr>
            <w:r>
              <w:rPr>
                <w:color w:val="231F20"/>
                <w:spacing w:val="-5"/>
                <w:w w:val="95"/>
                <w:sz w:val="14"/>
              </w:rPr>
              <w:t>87</w:t>
            </w:r>
          </w:p>
        </w:tc>
        <w:tc>
          <w:tcPr>
            <w:tcW w:w="126" w:type="dxa"/>
          </w:tcPr>
          <w:p>
            <w:pPr>
              <w:pStyle w:val="TableParagraph"/>
              <w:spacing w:before="0"/>
              <w:jc w:val="left"/>
              <w:rPr>
                <w:rFonts w:ascii="Times New Roman"/>
                <w:sz w:val="12"/>
              </w:rPr>
            </w:pPr>
          </w:p>
        </w:tc>
        <w:tc>
          <w:tcPr>
            <w:tcW w:w="468" w:type="dxa"/>
          </w:tcPr>
          <w:p>
            <w:pPr>
              <w:pStyle w:val="TableParagraph"/>
              <w:ind w:left="9" w:right="45"/>
              <w:rPr>
                <w:sz w:val="14"/>
              </w:rPr>
            </w:pPr>
            <w:r>
              <w:rPr>
                <w:color w:val="231F20"/>
                <w:spacing w:val="-5"/>
                <w:w w:val="95"/>
                <w:sz w:val="14"/>
              </w:rPr>
              <w:t>2.6</w:t>
            </w:r>
          </w:p>
        </w:tc>
        <w:tc>
          <w:tcPr>
            <w:tcW w:w="655" w:type="dxa"/>
          </w:tcPr>
          <w:p>
            <w:pPr>
              <w:pStyle w:val="TableParagraph"/>
              <w:ind w:left="72" w:right="68"/>
              <w:rPr>
                <w:sz w:val="14"/>
              </w:rPr>
            </w:pPr>
            <w:r>
              <w:rPr>
                <w:color w:val="231F20"/>
                <w:spacing w:val="-5"/>
                <w:w w:val="95"/>
                <w:sz w:val="14"/>
              </w:rPr>
              <w:t>94</w:t>
            </w:r>
          </w:p>
        </w:tc>
      </w:tr>
      <w:tr>
        <w:trPr>
          <w:trHeight w:val="259" w:hRule="atLeast"/>
        </w:trPr>
        <w:tc>
          <w:tcPr>
            <w:tcW w:w="990" w:type="dxa"/>
            <w:shd w:val="clear" w:color="auto" w:fill="D4E3F5"/>
          </w:tcPr>
          <w:p>
            <w:pPr>
              <w:pStyle w:val="TableParagraph"/>
              <w:ind w:left="79"/>
              <w:jc w:val="left"/>
              <w:rPr>
                <w:sz w:val="14"/>
              </w:rPr>
            </w:pPr>
            <w:r>
              <w:rPr>
                <w:color w:val="231F20"/>
                <w:spacing w:val="-2"/>
                <w:w w:val="90"/>
                <w:sz w:val="14"/>
              </w:rPr>
              <w:t>Belarus</w:t>
            </w:r>
          </w:p>
        </w:tc>
        <w:tc>
          <w:tcPr>
            <w:tcW w:w="622" w:type="dxa"/>
            <w:shd w:val="clear" w:color="auto" w:fill="D4E3F5"/>
          </w:tcPr>
          <w:p>
            <w:pPr>
              <w:pStyle w:val="TableParagraph"/>
              <w:ind w:left="67" w:right="101"/>
              <w:rPr>
                <w:sz w:val="14"/>
              </w:rPr>
            </w:pPr>
            <w:r>
              <w:rPr>
                <w:color w:val="231F20"/>
                <w:spacing w:val="-5"/>
                <w:w w:val="95"/>
                <w:sz w:val="14"/>
              </w:rPr>
              <w:t>79</w:t>
            </w:r>
          </w:p>
        </w:tc>
        <w:tc>
          <w:tcPr>
            <w:tcW w:w="644" w:type="dxa"/>
            <w:shd w:val="clear" w:color="auto" w:fill="D4E3F5"/>
          </w:tcPr>
          <w:p>
            <w:pPr>
              <w:pStyle w:val="TableParagraph"/>
              <w:ind w:left="166"/>
              <w:jc w:val="left"/>
              <w:rPr>
                <w:sz w:val="14"/>
              </w:rPr>
            </w:pPr>
            <w:r>
              <w:rPr>
                <w:color w:val="231F20"/>
                <w:spacing w:val="-5"/>
                <w:w w:val="95"/>
                <w:sz w:val="14"/>
              </w:rPr>
              <w:t>2.7</w:t>
            </w:r>
          </w:p>
        </w:tc>
        <w:tc>
          <w:tcPr>
            <w:tcW w:w="480" w:type="dxa"/>
            <w:shd w:val="clear" w:color="auto" w:fill="D4E3F5"/>
          </w:tcPr>
          <w:p>
            <w:pPr>
              <w:pStyle w:val="TableParagraph"/>
              <w:ind w:left="104"/>
              <w:jc w:val="left"/>
              <w:rPr>
                <w:sz w:val="14"/>
              </w:rPr>
            </w:pPr>
            <w:r>
              <w:rPr>
                <w:color w:val="231F20"/>
                <w:spacing w:val="-5"/>
                <w:w w:val="95"/>
                <w:sz w:val="14"/>
              </w:rPr>
              <w:t>2.4</w:t>
            </w:r>
          </w:p>
        </w:tc>
        <w:tc>
          <w:tcPr>
            <w:tcW w:w="582" w:type="dxa"/>
            <w:shd w:val="clear" w:color="auto" w:fill="D4E3F5"/>
          </w:tcPr>
          <w:p>
            <w:pPr>
              <w:pStyle w:val="TableParagraph"/>
              <w:ind w:left="6" w:right="6"/>
              <w:rPr>
                <w:sz w:val="14"/>
              </w:rPr>
            </w:pPr>
            <w:r>
              <w:rPr>
                <w:color w:val="231F20"/>
                <w:spacing w:val="-5"/>
                <w:w w:val="95"/>
                <w:sz w:val="14"/>
              </w:rPr>
              <w:t>3.0</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2.6</w:t>
            </w:r>
          </w:p>
        </w:tc>
        <w:tc>
          <w:tcPr>
            <w:tcW w:w="574" w:type="dxa"/>
            <w:shd w:val="clear" w:color="auto" w:fill="D4E3F5"/>
          </w:tcPr>
          <w:p>
            <w:pPr>
              <w:pStyle w:val="TableParagraph"/>
              <w:ind w:left="158" w:right="70"/>
              <w:rPr>
                <w:sz w:val="14"/>
              </w:rPr>
            </w:pPr>
            <w:r>
              <w:rPr>
                <w:color w:val="231F20"/>
                <w:spacing w:val="-5"/>
                <w:w w:val="95"/>
                <w:sz w:val="14"/>
              </w:rPr>
              <w:t>74</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2.7</w:t>
            </w:r>
          </w:p>
        </w:tc>
        <w:tc>
          <w:tcPr>
            <w:tcW w:w="574" w:type="dxa"/>
            <w:shd w:val="clear" w:color="auto" w:fill="D4E3F5"/>
          </w:tcPr>
          <w:p>
            <w:pPr>
              <w:pStyle w:val="TableParagraph"/>
              <w:ind w:left="161" w:right="72"/>
              <w:rPr>
                <w:sz w:val="14"/>
              </w:rPr>
            </w:pPr>
            <w:r>
              <w:rPr>
                <w:color w:val="231F20"/>
                <w:spacing w:val="-5"/>
                <w:w w:val="95"/>
                <w:sz w:val="14"/>
              </w:rPr>
              <w:t>68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2.6</w:t>
            </w:r>
          </w:p>
        </w:tc>
        <w:tc>
          <w:tcPr>
            <w:tcW w:w="574" w:type="dxa"/>
            <w:shd w:val="clear" w:color="auto" w:fill="D4E3F5"/>
          </w:tcPr>
          <w:p>
            <w:pPr>
              <w:pStyle w:val="TableParagraph"/>
              <w:ind w:left="161" w:right="70"/>
              <w:rPr>
                <w:sz w:val="14"/>
              </w:rPr>
            </w:pPr>
            <w:r>
              <w:rPr>
                <w:color w:val="231F20"/>
                <w:spacing w:val="-5"/>
                <w:w w:val="95"/>
                <w:sz w:val="14"/>
              </w:rPr>
              <w:t>91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2.6</w:t>
            </w:r>
          </w:p>
        </w:tc>
        <w:tc>
          <w:tcPr>
            <w:tcW w:w="574" w:type="dxa"/>
            <w:shd w:val="clear" w:color="auto" w:fill="D4E3F5"/>
          </w:tcPr>
          <w:p>
            <w:pPr>
              <w:pStyle w:val="TableParagraph"/>
              <w:ind w:left="161" w:right="69"/>
              <w:rPr>
                <w:sz w:val="14"/>
              </w:rPr>
            </w:pPr>
            <w:r>
              <w:rPr>
                <w:color w:val="231F20"/>
                <w:spacing w:val="-5"/>
                <w:w w:val="95"/>
                <w:sz w:val="14"/>
              </w:rPr>
              <w:t>92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6" w:right="48"/>
              <w:rPr>
                <w:sz w:val="14"/>
              </w:rPr>
            </w:pPr>
            <w:r>
              <w:rPr>
                <w:color w:val="231F20"/>
                <w:spacing w:val="-5"/>
                <w:w w:val="95"/>
                <w:sz w:val="14"/>
              </w:rPr>
              <w:t>3.1</w:t>
            </w:r>
          </w:p>
        </w:tc>
        <w:tc>
          <w:tcPr>
            <w:tcW w:w="574" w:type="dxa"/>
            <w:shd w:val="clear" w:color="auto" w:fill="D4E3F5"/>
          </w:tcPr>
          <w:p>
            <w:pPr>
              <w:pStyle w:val="TableParagraph"/>
              <w:ind w:left="161" w:right="67"/>
              <w:rPr>
                <w:sz w:val="14"/>
              </w:rPr>
            </w:pPr>
            <w:r>
              <w:rPr>
                <w:color w:val="231F20"/>
                <w:spacing w:val="-5"/>
                <w:w w:val="95"/>
                <w:sz w:val="14"/>
              </w:rPr>
              <w:t>76</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9" w:right="45"/>
              <w:rPr>
                <w:sz w:val="14"/>
              </w:rPr>
            </w:pPr>
            <w:r>
              <w:rPr>
                <w:color w:val="231F20"/>
                <w:spacing w:val="-5"/>
                <w:w w:val="95"/>
                <w:sz w:val="14"/>
              </w:rPr>
              <w:t>2.6</w:t>
            </w:r>
          </w:p>
        </w:tc>
        <w:tc>
          <w:tcPr>
            <w:tcW w:w="655" w:type="dxa"/>
            <w:shd w:val="clear" w:color="auto" w:fill="D4E3F5"/>
          </w:tcPr>
          <w:p>
            <w:pPr>
              <w:pStyle w:val="TableParagraph"/>
              <w:ind w:left="72" w:right="68"/>
              <w:rPr>
                <w:sz w:val="14"/>
              </w:rPr>
            </w:pPr>
            <w:r>
              <w:rPr>
                <w:color w:val="231F20"/>
                <w:spacing w:val="-5"/>
                <w:w w:val="95"/>
                <w:sz w:val="14"/>
              </w:rPr>
              <w:t>94</w:t>
            </w:r>
          </w:p>
        </w:tc>
      </w:tr>
      <w:tr>
        <w:trPr>
          <w:trHeight w:val="259" w:hRule="atLeast"/>
        </w:trPr>
        <w:tc>
          <w:tcPr>
            <w:tcW w:w="990" w:type="dxa"/>
          </w:tcPr>
          <w:p>
            <w:pPr>
              <w:pStyle w:val="TableParagraph"/>
              <w:ind w:left="79"/>
              <w:jc w:val="left"/>
              <w:rPr>
                <w:sz w:val="14"/>
              </w:rPr>
            </w:pPr>
            <w:r>
              <w:rPr>
                <w:color w:val="231F20"/>
                <w:spacing w:val="-2"/>
                <w:w w:val="90"/>
                <w:sz w:val="14"/>
              </w:rPr>
              <w:t>Djibouti</w:t>
            </w:r>
          </w:p>
        </w:tc>
        <w:tc>
          <w:tcPr>
            <w:tcW w:w="622" w:type="dxa"/>
          </w:tcPr>
          <w:p>
            <w:pPr>
              <w:pStyle w:val="TableParagraph"/>
              <w:ind w:left="67" w:right="101"/>
              <w:rPr>
                <w:sz w:val="14"/>
              </w:rPr>
            </w:pPr>
            <w:r>
              <w:rPr>
                <w:color w:val="231F20"/>
                <w:spacing w:val="-5"/>
                <w:w w:val="95"/>
                <w:sz w:val="14"/>
              </w:rPr>
              <w:t>79</w:t>
            </w:r>
          </w:p>
        </w:tc>
        <w:tc>
          <w:tcPr>
            <w:tcW w:w="644" w:type="dxa"/>
          </w:tcPr>
          <w:p>
            <w:pPr>
              <w:pStyle w:val="TableParagraph"/>
              <w:ind w:left="166"/>
              <w:jc w:val="left"/>
              <w:rPr>
                <w:sz w:val="14"/>
              </w:rPr>
            </w:pPr>
            <w:r>
              <w:rPr>
                <w:color w:val="231F20"/>
                <w:spacing w:val="-5"/>
                <w:w w:val="95"/>
                <w:sz w:val="14"/>
              </w:rPr>
              <w:t>2.7</w:t>
            </w:r>
          </w:p>
        </w:tc>
        <w:tc>
          <w:tcPr>
            <w:tcW w:w="480" w:type="dxa"/>
          </w:tcPr>
          <w:p>
            <w:pPr>
              <w:pStyle w:val="TableParagraph"/>
              <w:ind w:left="102"/>
              <w:jc w:val="left"/>
              <w:rPr>
                <w:sz w:val="14"/>
              </w:rPr>
            </w:pPr>
            <w:r>
              <w:rPr>
                <w:color w:val="231F20"/>
                <w:spacing w:val="-5"/>
                <w:w w:val="95"/>
                <w:sz w:val="14"/>
              </w:rPr>
              <w:t>2.5</w:t>
            </w:r>
          </w:p>
        </w:tc>
        <w:tc>
          <w:tcPr>
            <w:tcW w:w="582" w:type="dxa"/>
          </w:tcPr>
          <w:p>
            <w:pPr>
              <w:pStyle w:val="TableParagraph"/>
              <w:ind w:left="6" w:right="6"/>
              <w:rPr>
                <w:sz w:val="14"/>
              </w:rPr>
            </w:pPr>
            <w:r>
              <w:rPr>
                <w:color w:val="231F20"/>
                <w:spacing w:val="-5"/>
                <w:w w:val="95"/>
                <w:sz w:val="14"/>
              </w:rPr>
              <w:t>2.9</w:t>
            </w:r>
          </w:p>
        </w:tc>
        <w:tc>
          <w:tcPr>
            <w:tcW w:w="80"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2.6</w:t>
            </w:r>
          </w:p>
        </w:tc>
        <w:tc>
          <w:tcPr>
            <w:tcW w:w="574" w:type="dxa"/>
          </w:tcPr>
          <w:p>
            <w:pPr>
              <w:pStyle w:val="TableParagraph"/>
              <w:ind w:left="158" w:right="70"/>
              <w:rPr>
                <w:sz w:val="14"/>
              </w:rPr>
            </w:pPr>
            <w:r>
              <w:rPr>
                <w:color w:val="231F20"/>
                <w:spacing w:val="-5"/>
                <w:w w:val="95"/>
                <w:sz w:val="14"/>
              </w:rPr>
              <w:t>74</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2.3</w:t>
            </w:r>
          </w:p>
        </w:tc>
        <w:tc>
          <w:tcPr>
            <w:tcW w:w="574" w:type="dxa"/>
          </w:tcPr>
          <w:p>
            <w:pPr>
              <w:pStyle w:val="TableParagraph"/>
              <w:ind w:left="161" w:right="139"/>
              <w:rPr>
                <w:sz w:val="14"/>
              </w:rPr>
            </w:pPr>
            <w:r>
              <w:rPr>
                <w:color w:val="231F20"/>
                <w:spacing w:val="-5"/>
                <w:w w:val="95"/>
                <w:sz w:val="14"/>
              </w:rPr>
              <w:t>108</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2.5</w:t>
            </w:r>
          </w:p>
        </w:tc>
        <w:tc>
          <w:tcPr>
            <w:tcW w:w="574" w:type="dxa"/>
          </w:tcPr>
          <w:p>
            <w:pPr>
              <w:pStyle w:val="TableParagraph"/>
              <w:ind w:left="161" w:right="137"/>
              <w:rPr>
                <w:sz w:val="14"/>
              </w:rPr>
            </w:pPr>
            <w:r>
              <w:rPr>
                <w:color w:val="231F20"/>
                <w:spacing w:val="-5"/>
                <w:w w:val="95"/>
                <w:sz w:val="14"/>
              </w:rPr>
              <w:t>102</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2.8</w:t>
            </w:r>
          </w:p>
        </w:tc>
        <w:tc>
          <w:tcPr>
            <w:tcW w:w="574" w:type="dxa"/>
          </w:tcPr>
          <w:p>
            <w:pPr>
              <w:pStyle w:val="TableParagraph"/>
              <w:ind w:left="161" w:right="69"/>
              <w:rPr>
                <w:sz w:val="14"/>
              </w:rPr>
            </w:pPr>
            <w:r>
              <w:rPr>
                <w:color w:val="231F20"/>
                <w:spacing w:val="-5"/>
                <w:w w:val="95"/>
                <w:sz w:val="14"/>
              </w:rPr>
              <w:t>76</w:t>
            </w:r>
          </w:p>
        </w:tc>
        <w:tc>
          <w:tcPr>
            <w:tcW w:w="126" w:type="dxa"/>
          </w:tcPr>
          <w:p>
            <w:pPr>
              <w:pStyle w:val="TableParagraph"/>
              <w:spacing w:before="0"/>
              <w:jc w:val="left"/>
              <w:rPr>
                <w:rFonts w:ascii="Times New Roman"/>
                <w:sz w:val="12"/>
              </w:rPr>
            </w:pPr>
          </w:p>
        </w:tc>
        <w:tc>
          <w:tcPr>
            <w:tcW w:w="463" w:type="dxa"/>
          </w:tcPr>
          <w:p>
            <w:pPr>
              <w:pStyle w:val="TableParagraph"/>
              <w:ind w:left="16" w:right="48"/>
              <w:rPr>
                <w:sz w:val="14"/>
              </w:rPr>
            </w:pPr>
            <w:r>
              <w:rPr>
                <w:color w:val="231F20"/>
                <w:spacing w:val="-5"/>
                <w:w w:val="95"/>
                <w:sz w:val="14"/>
              </w:rPr>
              <w:t>3.6</w:t>
            </w:r>
          </w:p>
        </w:tc>
        <w:tc>
          <w:tcPr>
            <w:tcW w:w="574" w:type="dxa"/>
          </w:tcPr>
          <w:p>
            <w:pPr>
              <w:pStyle w:val="TableParagraph"/>
              <w:ind w:left="161" w:right="67"/>
              <w:rPr>
                <w:sz w:val="14"/>
              </w:rPr>
            </w:pPr>
            <w:r>
              <w:rPr>
                <w:color w:val="231F20"/>
                <w:spacing w:val="-5"/>
                <w:w w:val="95"/>
                <w:sz w:val="14"/>
              </w:rPr>
              <w:t>35</w:t>
            </w:r>
          </w:p>
        </w:tc>
        <w:tc>
          <w:tcPr>
            <w:tcW w:w="126" w:type="dxa"/>
          </w:tcPr>
          <w:p>
            <w:pPr>
              <w:pStyle w:val="TableParagraph"/>
              <w:spacing w:before="0"/>
              <w:jc w:val="left"/>
              <w:rPr>
                <w:rFonts w:ascii="Times New Roman"/>
                <w:sz w:val="12"/>
              </w:rPr>
            </w:pPr>
          </w:p>
        </w:tc>
        <w:tc>
          <w:tcPr>
            <w:tcW w:w="468" w:type="dxa"/>
          </w:tcPr>
          <w:p>
            <w:pPr>
              <w:pStyle w:val="TableParagraph"/>
              <w:ind w:left="6" w:right="45"/>
              <w:rPr>
                <w:sz w:val="14"/>
              </w:rPr>
            </w:pPr>
            <w:r>
              <w:rPr>
                <w:color w:val="231F20"/>
                <w:spacing w:val="-5"/>
                <w:w w:val="95"/>
                <w:sz w:val="14"/>
              </w:rPr>
              <w:t>2.7</w:t>
            </w:r>
          </w:p>
        </w:tc>
        <w:tc>
          <w:tcPr>
            <w:tcW w:w="655" w:type="dxa"/>
          </w:tcPr>
          <w:p>
            <w:pPr>
              <w:pStyle w:val="TableParagraph"/>
              <w:ind w:left="72" w:right="68"/>
              <w:rPr>
                <w:sz w:val="14"/>
              </w:rPr>
            </w:pPr>
            <w:r>
              <w:rPr>
                <w:color w:val="231F20"/>
                <w:spacing w:val="-5"/>
                <w:w w:val="95"/>
                <w:sz w:val="14"/>
              </w:rPr>
              <w:t>87</w:t>
            </w:r>
          </w:p>
        </w:tc>
      </w:tr>
      <w:tr>
        <w:trPr>
          <w:trHeight w:val="259" w:hRule="atLeast"/>
        </w:trPr>
        <w:tc>
          <w:tcPr>
            <w:tcW w:w="990" w:type="dxa"/>
            <w:shd w:val="clear" w:color="auto" w:fill="D4E3F5"/>
          </w:tcPr>
          <w:p>
            <w:pPr>
              <w:pStyle w:val="TableParagraph"/>
              <w:ind w:left="79"/>
              <w:jc w:val="left"/>
              <w:rPr>
                <w:sz w:val="14"/>
              </w:rPr>
            </w:pPr>
            <w:r>
              <w:rPr>
                <w:color w:val="231F20"/>
                <w:w w:val="70"/>
                <w:sz w:val="14"/>
              </w:rPr>
              <w:t>El</w:t>
            </w:r>
            <w:r>
              <w:rPr>
                <w:color w:val="231F20"/>
                <w:spacing w:val="-6"/>
                <w:sz w:val="14"/>
              </w:rPr>
              <w:t> </w:t>
            </w:r>
            <w:r>
              <w:rPr>
                <w:color w:val="231F20"/>
                <w:spacing w:val="-2"/>
                <w:w w:val="85"/>
                <w:sz w:val="14"/>
              </w:rPr>
              <w:t>Salvador</w:t>
            </w:r>
          </w:p>
        </w:tc>
        <w:tc>
          <w:tcPr>
            <w:tcW w:w="622" w:type="dxa"/>
            <w:shd w:val="clear" w:color="auto" w:fill="D4E3F5"/>
          </w:tcPr>
          <w:p>
            <w:pPr>
              <w:pStyle w:val="TableParagraph"/>
              <w:ind w:left="67" w:right="101"/>
              <w:rPr>
                <w:sz w:val="14"/>
              </w:rPr>
            </w:pPr>
            <w:r>
              <w:rPr>
                <w:color w:val="231F20"/>
                <w:spacing w:val="-5"/>
                <w:w w:val="95"/>
                <w:sz w:val="14"/>
              </w:rPr>
              <w:t>79</w:t>
            </w:r>
          </w:p>
        </w:tc>
        <w:tc>
          <w:tcPr>
            <w:tcW w:w="644" w:type="dxa"/>
            <w:shd w:val="clear" w:color="auto" w:fill="D4E3F5"/>
          </w:tcPr>
          <w:p>
            <w:pPr>
              <w:pStyle w:val="TableParagraph"/>
              <w:ind w:left="166"/>
              <w:jc w:val="left"/>
              <w:rPr>
                <w:sz w:val="14"/>
              </w:rPr>
            </w:pPr>
            <w:r>
              <w:rPr>
                <w:color w:val="231F20"/>
                <w:spacing w:val="-5"/>
                <w:w w:val="95"/>
                <w:sz w:val="14"/>
              </w:rPr>
              <w:t>2.7</w:t>
            </w:r>
          </w:p>
        </w:tc>
        <w:tc>
          <w:tcPr>
            <w:tcW w:w="480" w:type="dxa"/>
            <w:shd w:val="clear" w:color="auto" w:fill="D4E3F5"/>
          </w:tcPr>
          <w:p>
            <w:pPr>
              <w:pStyle w:val="TableParagraph"/>
              <w:ind w:left="102"/>
              <w:jc w:val="left"/>
              <w:rPr>
                <w:sz w:val="14"/>
              </w:rPr>
            </w:pPr>
            <w:r>
              <w:rPr>
                <w:color w:val="231F20"/>
                <w:spacing w:val="-5"/>
                <w:w w:val="95"/>
                <w:sz w:val="14"/>
              </w:rPr>
              <w:t>2.5</w:t>
            </w:r>
          </w:p>
        </w:tc>
        <w:tc>
          <w:tcPr>
            <w:tcW w:w="582" w:type="dxa"/>
            <w:shd w:val="clear" w:color="auto" w:fill="D4E3F5"/>
          </w:tcPr>
          <w:p>
            <w:pPr>
              <w:pStyle w:val="TableParagraph"/>
              <w:ind w:left="6" w:right="6"/>
              <w:rPr>
                <w:sz w:val="14"/>
              </w:rPr>
            </w:pPr>
            <w:r>
              <w:rPr>
                <w:color w:val="231F20"/>
                <w:spacing w:val="-5"/>
                <w:w w:val="95"/>
                <w:sz w:val="14"/>
              </w:rPr>
              <w:t>2.9</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2.4</w:t>
            </w:r>
          </w:p>
        </w:tc>
        <w:tc>
          <w:tcPr>
            <w:tcW w:w="574" w:type="dxa"/>
            <w:shd w:val="clear" w:color="auto" w:fill="D4E3F5"/>
          </w:tcPr>
          <w:p>
            <w:pPr>
              <w:pStyle w:val="TableParagraph"/>
              <w:ind w:left="158" w:right="70"/>
              <w:rPr>
                <w:sz w:val="14"/>
              </w:rPr>
            </w:pPr>
            <w:r>
              <w:rPr>
                <w:color w:val="231F20"/>
                <w:spacing w:val="-5"/>
                <w:w w:val="95"/>
                <w:sz w:val="14"/>
              </w:rPr>
              <w:t>90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2.2</w:t>
            </w:r>
          </w:p>
        </w:tc>
        <w:tc>
          <w:tcPr>
            <w:tcW w:w="574" w:type="dxa"/>
            <w:shd w:val="clear" w:color="auto" w:fill="D4E3F5"/>
          </w:tcPr>
          <w:p>
            <w:pPr>
              <w:pStyle w:val="TableParagraph"/>
              <w:ind w:left="161" w:right="128"/>
              <w:rPr>
                <w:sz w:val="14"/>
              </w:rPr>
            </w:pPr>
            <w:r>
              <w:rPr>
                <w:color w:val="231F20"/>
                <w:spacing w:val="-5"/>
                <w:w w:val="95"/>
                <w:sz w:val="14"/>
              </w:rPr>
              <w:t>118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2.6</w:t>
            </w:r>
          </w:p>
        </w:tc>
        <w:tc>
          <w:tcPr>
            <w:tcW w:w="574" w:type="dxa"/>
            <w:shd w:val="clear" w:color="auto" w:fill="D4E3F5"/>
          </w:tcPr>
          <w:p>
            <w:pPr>
              <w:pStyle w:val="TableParagraph"/>
              <w:ind w:left="161" w:right="70"/>
              <w:rPr>
                <w:sz w:val="14"/>
              </w:rPr>
            </w:pPr>
            <w:r>
              <w:rPr>
                <w:color w:val="231F20"/>
                <w:spacing w:val="-5"/>
                <w:w w:val="95"/>
                <w:sz w:val="14"/>
              </w:rPr>
              <w:t>91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2.7</w:t>
            </w:r>
          </w:p>
        </w:tc>
        <w:tc>
          <w:tcPr>
            <w:tcW w:w="574" w:type="dxa"/>
            <w:shd w:val="clear" w:color="auto" w:fill="D4E3F5"/>
          </w:tcPr>
          <w:p>
            <w:pPr>
              <w:pStyle w:val="TableParagraph"/>
              <w:ind w:left="161" w:right="69"/>
              <w:rPr>
                <w:sz w:val="14"/>
              </w:rPr>
            </w:pPr>
            <w:r>
              <w:rPr>
                <w:color w:val="231F20"/>
                <w:spacing w:val="-5"/>
                <w:w w:val="95"/>
                <w:sz w:val="14"/>
              </w:rPr>
              <w:t>81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3.2</w:t>
            </w:r>
          </w:p>
        </w:tc>
        <w:tc>
          <w:tcPr>
            <w:tcW w:w="574" w:type="dxa"/>
            <w:shd w:val="clear" w:color="auto" w:fill="D4E3F5"/>
          </w:tcPr>
          <w:p>
            <w:pPr>
              <w:pStyle w:val="TableParagraph"/>
              <w:ind w:left="161" w:right="67"/>
              <w:rPr>
                <w:sz w:val="14"/>
              </w:rPr>
            </w:pPr>
            <w:r>
              <w:rPr>
                <w:color w:val="231F20"/>
                <w:spacing w:val="-5"/>
                <w:w w:val="95"/>
                <w:sz w:val="14"/>
              </w:rPr>
              <w:t>65</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2.9</w:t>
            </w:r>
          </w:p>
        </w:tc>
        <w:tc>
          <w:tcPr>
            <w:tcW w:w="655" w:type="dxa"/>
            <w:shd w:val="clear" w:color="auto" w:fill="D4E3F5"/>
          </w:tcPr>
          <w:p>
            <w:pPr>
              <w:pStyle w:val="TableParagraph"/>
              <w:ind w:left="72" w:right="68"/>
              <w:rPr>
                <w:sz w:val="14"/>
              </w:rPr>
            </w:pPr>
            <w:r>
              <w:rPr>
                <w:color w:val="231F20"/>
                <w:spacing w:val="-5"/>
                <w:w w:val="95"/>
                <w:sz w:val="14"/>
              </w:rPr>
              <w:t>72</w:t>
            </w:r>
          </w:p>
        </w:tc>
      </w:tr>
      <w:tr>
        <w:trPr>
          <w:trHeight w:val="259" w:hRule="atLeast"/>
        </w:trPr>
        <w:tc>
          <w:tcPr>
            <w:tcW w:w="990" w:type="dxa"/>
          </w:tcPr>
          <w:p>
            <w:pPr>
              <w:pStyle w:val="TableParagraph"/>
              <w:ind w:left="79"/>
              <w:jc w:val="left"/>
              <w:rPr>
                <w:sz w:val="14"/>
              </w:rPr>
            </w:pPr>
            <w:r>
              <w:rPr>
                <w:color w:val="231F20"/>
                <w:spacing w:val="-2"/>
                <w:w w:val="85"/>
                <w:sz w:val="14"/>
              </w:rPr>
              <w:t>Georgia</w:t>
            </w:r>
          </w:p>
        </w:tc>
        <w:tc>
          <w:tcPr>
            <w:tcW w:w="622" w:type="dxa"/>
          </w:tcPr>
          <w:p>
            <w:pPr>
              <w:pStyle w:val="TableParagraph"/>
              <w:ind w:left="67" w:right="101"/>
              <w:rPr>
                <w:sz w:val="14"/>
              </w:rPr>
            </w:pPr>
            <w:r>
              <w:rPr>
                <w:color w:val="231F20"/>
                <w:spacing w:val="-5"/>
                <w:w w:val="95"/>
                <w:sz w:val="14"/>
              </w:rPr>
              <w:t>79</w:t>
            </w:r>
          </w:p>
        </w:tc>
        <w:tc>
          <w:tcPr>
            <w:tcW w:w="644" w:type="dxa"/>
          </w:tcPr>
          <w:p>
            <w:pPr>
              <w:pStyle w:val="TableParagraph"/>
              <w:ind w:left="166"/>
              <w:jc w:val="left"/>
              <w:rPr>
                <w:sz w:val="14"/>
              </w:rPr>
            </w:pPr>
            <w:r>
              <w:rPr>
                <w:color w:val="231F20"/>
                <w:spacing w:val="-5"/>
                <w:w w:val="95"/>
                <w:sz w:val="14"/>
              </w:rPr>
              <w:t>2.7</w:t>
            </w:r>
          </w:p>
        </w:tc>
        <w:tc>
          <w:tcPr>
            <w:tcW w:w="480" w:type="dxa"/>
          </w:tcPr>
          <w:p>
            <w:pPr>
              <w:pStyle w:val="TableParagraph"/>
              <w:ind w:left="104"/>
              <w:jc w:val="left"/>
              <w:rPr>
                <w:sz w:val="14"/>
              </w:rPr>
            </w:pPr>
            <w:r>
              <w:rPr>
                <w:color w:val="231F20"/>
                <w:spacing w:val="-5"/>
                <w:w w:val="95"/>
                <w:sz w:val="14"/>
              </w:rPr>
              <w:t>2.4</w:t>
            </w:r>
          </w:p>
        </w:tc>
        <w:tc>
          <w:tcPr>
            <w:tcW w:w="582" w:type="dxa"/>
          </w:tcPr>
          <w:p>
            <w:pPr>
              <w:pStyle w:val="TableParagraph"/>
              <w:ind w:left="6" w:right="6"/>
              <w:rPr>
                <w:sz w:val="14"/>
              </w:rPr>
            </w:pPr>
            <w:r>
              <w:rPr>
                <w:color w:val="231F20"/>
                <w:spacing w:val="-5"/>
                <w:w w:val="95"/>
                <w:sz w:val="14"/>
              </w:rPr>
              <w:t>3.0</w:t>
            </w:r>
          </w:p>
        </w:tc>
        <w:tc>
          <w:tcPr>
            <w:tcW w:w="80"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2.6</w:t>
            </w:r>
          </w:p>
        </w:tc>
        <w:tc>
          <w:tcPr>
            <w:tcW w:w="574" w:type="dxa"/>
          </w:tcPr>
          <w:p>
            <w:pPr>
              <w:pStyle w:val="TableParagraph"/>
              <w:ind w:left="158" w:right="70"/>
              <w:rPr>
                <w:sz w:val="14"/>
              </w:rPr>
            </w:pPr>
            <w:r>
              <w:rPr>
                <w:color w:val="231F20"/>
                <w:spacing w:val="-5"/>
                <w:w w:val="95"/>
                <w:sz w:val="14"/>
              </w:rPr>
              <w:t>74</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2.3</w:t>
            </w:r>
          </w:p>
        </w:tc>
        <w:tc>
          <w:tcPr>
            <w:tcW w:w="574" w:type="dxa"/>
          </w:tcPr>
          <w:p>
            <w:pPr>
              <w:pStyle w:val="TableParagraph"/>
              <w:ind w:left="161" w:right="139"/>
              <w:rPr>
                <w:sz w:val="14"/>
              </w:rPr>
            </w:pPr>
            <w:r>
              <w:rPr>
                <w:color w:val="231F20"/>
                <w:spacing w:val="-5"/>
                <w:w w:val="95"/>
                <w:sz w:val="14"/>
              </w:rPr>
              <w:t>108</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2.7</w:t>
            </w:r>
          </w:p>
        </w:tc>
        <w:tc>
          <w:tcPr>
            <w:tcW w:w="574" w:type="dxa"/>
          </w:tcPr>
          <w:p>
            <w:pPr>
              <w:pStyle w:val="TableParagraph"/>
              <w:ind w:left="161" w:right="70"/>
              <w:rPr>
                <w:sz w:val="14"/>
              </w:rPr>
            </w:pPr>
            <w:r>
              <w:rPr>
                <w:color w:val="231F20"/>
                <w:spacing w:val="-5"/>
                <w:w w:val="95"/>
                <w:sz w:val="14"/>
              </w:rPr>
              <w:t>85</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2.6</w:t>
            </w:r>
          </w:p>
        </w:tc>
        <w:tc>
          <w:tcPr>
            <w:tcW w:w="574" w:type="dxa"/>
          </w:tcPr>
          <w:p>
            <w:pPr>
              <w:pStyle w:val="TableParagraph"/>
              <w:ind w:left="161" w:right="69"/>
              <w:rPr>
                <w:sz w:val="14"/>
              </w:rPr>
            </w:pPr>
            <w:r>
              <w:rPr>
                <w:color w:val="231F20"/>
                <w:spacing w:val="-5"/>
                <w:w w:val="95"/>
                <w:sz w:val="14"/>
              </w:rPr>
              <w:t>92</w:t>
            </w:r>
          </w:p>
        </w:tc>
        <w:tc>
          <w:tcPr>
            <w:tcW w:w="126" w:type="dxa"/>
          </w:tcPr>
          <w:p>
            <w:pPr>
              <w:pStyle w:val="TableParagraph"/>
              <w:spacing w:before="0"/>
              <w:jc w:val="left"/>
              <w:rPr>
                <w:rFonts w:ascii="Times New Roman"/>
                <w:sz w:val="12"/>
              </w:rPr>
            </w:pPr>
          </w:p>
        </w:tc>
        <w:tc>
          <w:tcPr>
            <w:tcW w:w="463" w:type="dxa"/>
          </w:tcPr>
          <w:p>
            <w:pPr>
              <w:pStyle w:val="TableParagraph"/>
              <w:ind w:left="6" w:right="48"/>
              <w:rPr>
                <w:sz w:val="14"/>
              </w:rPr>
            </w:pPr>
            <w:r>
              <w:rPr>
                <w:color w:val="231F20"/>
                <w:spacing w:val="-5"/>
                <w:w w:val="95"/>
                <w:sz w:val="14"/>
              </w:rPr>
              <w:t>3.1</w:t>
            </w:r>
          </w:p>
        </w:tc>
        <w:tc>
          <w:tcPr>
            <w:tcW w:w="574" w:type="dxa"/>
          </w:tcPr>
          <w:p>
            <w:pPr>
              <w:pStyle w:val="TableParagraph"/>
              <w:ind w:left="161" w:right="67"/>
              <w:rPr>
                <w:sz w:val="14"/>
              </w:rPr>
            </w:pPr>
            <w:r>
              <w:rPr>
                <w:color w:val="231F20"/>
                <w:spacing w:val="-5"/>
                <w:w w:val="95"/>
                <w:sz w:val="14"/>
              </w:rPr>
              <w:t>76</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2.8</w:t>
            </w:r>
          </w:p>
        </w:tc>
        <w:tc>
          <w:tcPr>
            <w:tcW w:w="655" w:type="dxa"/>
          </w:tcPr>
          <w:p>
            <w:pPr>
              <w:pStyle w:val="TableParagraph"/>
              <w:ind w:left="72" w:right="68"/>
              <w:rPr>
                <w:sz w:val="14"/>
              </w:rPr>
            </w:pPr>
            <w:r>
              <w:rPr>
                <w:color w:val="231F20"/>
                <w:spacing w:val="-5"/>
                <w:w w:val="95"/>
                <w:sz w:val="14"/>
              </w:rPr>
              <w:t>80</w:t>
            </w:r>
          </w:p>
        </w:tc>
      </w:tr>
      <w:tr>
        <w:trPr>
          <w:trHeight w:val="259" w:hRule="atLeast"/>
        </w:trPr>
        <w:tc>
          <w:tcPr>
            <w:tcW w:w="990" w:type="dxa"/>
            <w:shd w:val="clear" w:color="auto" w:fill="D4E3F5"/>
          </w:tcPr>
          <w:p>
            <w:pPr>
              <w:pStyle w:val="TableParagraph"/>
              <w:ind w:left="79"/>
              <w:jc w:val="left"/>
              <w:rPr>
                <w:sz w:val="14"/>
              </w:rPr>
            </w:pPr>
            <w:r>
              <w:rPr>
                <w:color w:val="231F20"/>
                <w:spacing w:val="-2"/>
                <w:w w:val="85"/>
                <w:sz w:val="14"/>
              </w:rPr>
              <w:t>Kazakhstan</w:t>
            </w:r>
          </w:p>
        </w:tc>
        <w:tc>
          <w:tcPr>
            <w:tcW w:w="622" w:type="dxa"/>
            <w:shd w:val="clear" w:color="auto" w:fill="D4E3F5"/>
          </w:tcPr>
          <w:p>
            <w:pPr>
              <w:pStyle w:val="TableParagraph"/>
              <w:ind w:left="67" w:right="101"/>
              <w:rPr>
                <w:sz w:val="14"/>
              </w:rPr>
            </w:pPr>
            <w:r>
              <w:rPr>
                <w:color w:val="231F20"/>
                <w:spacing w:val="-5"/>
                <w:w w:val="95"/>
                <w:sz w:val="14"/>
              </w:rPr>
              <w:t>79</w:t>
            </w:r>
          </w:p>
        </w:tc>
        <w:tc>
          <w:tcPr>
            <w:tcW w:w="644" w:type="dxa"/>
            <w:shd w:val="clear" w:color="auto" w:fill="D4E3F5"/>
          </w:tcPr>
          <w:p>
            <w:pPr>
              <w:pStyle w:val="TableParagraph"/>
              <w:ind w:left="166"/>
              <w:jc w:val="left"/>
              <w:rPr>
                <w:sz w:val="14"/>
              </w:rPr>
            </w:pPr>
            <w:r>
              <w:rPr>
                <w:color w:val="231F20"/>
                <w:spacing w:val="-5"/>
                <w:w w:val="95"/>
                <w:sz w:val="14"/>
              </w:rPr>
              <w:t>2.7</w:t>
            </w:r>
          </w:p>
        </w:tc>
        <w:tc>
          <w:tcPr>
            <w:tcW w:w="480" w:type="dxa"/>
            <w:shd w:val="clear" w:color="auto" w:fill="D4E3F5"/>
          </w:tcPr>
          <w:p>
            <w:pPr>
              <w:pStyle w:val="TableParagraph"/>
              <w:ind w:left="102"/>
              <w:jc w:val="left"/>
              <w:rPr>
                <w:sz w:val="14"/>
              </w:rPr>
            </w:pPr>
            <w:r>
              <w:rPr>
                <w:color w:val="231F20"/>
                <w:spacing w:val="-5"/>
                <w:w w:val="95"/>
                <w:sz w:val="14"/>
              </w:rPr>
              <w:t>2.5</w:t>
            </w:r>
          </w:p>
        </w:tc>
        <w:tc>
          <w:tcPr>
            <w:tcW w:w="582" w:type="dxa"/>
            <w:shd w:val="clear" w:color="auto" w:fill="D4E3F5"/>
          </w:tcPr>
          <w:p>
            <w:pPr>
              <w:pStyle w:val="TableParagraph"/>
              <w:ind w:left="6" w:right="6"/>
              <w:rPr>
                <w:sz w:val="14"/>
              </w:rPr>
            </w:pPr>
            <w:r>
              <w:rPr>
                <w:color w:val="231F20"/>
                <w:spacing w:val="-5"/>
                <w:w w:val="95"/>
                <w:sz w:val="14"/>
              </w:rPr>
              <w:t>2.9</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2.6</w:t>
            </w:r>
          </w:p>
        </w:tc>
        <w:tc>
          <w:tcPr>
            <w:tcW w:w="574" w:type="dxa"/>
            <w:shd w:val="clear" w:color="auto" w:fill="D4E3F5"/>
          </w:tcPr>
          <w:p>
            <w:pPr>
              <w:pStyle w:val="TableParagraph"/>
              <w:ind w:left="158" w:right="70"/>
              <w:rPr>
                <w:sz w:val="14"/>
              </w:rPr>
            </w:pPr>
            <w:r>
              <w:rPr>
                <w:color w:val="231F20"/>
                <w:spacing w:val="-5"/>
                <w:w w:val="95"/>
                <w:sz w:val="14"/>
              </w:rPr>
              <w:t>74</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2.5</w:t>
            </w:r>
          </w:p>
        </w:tc>
        <w:tc>
          <w:tcPr>
            <w:tcW w:w="574" w:type="dxa"/>
            <w:shd w:val="clear" w:color="auto" w:fill="D4E3F5"/>
          </w:tcPr>
          <w:p>
            <w:pPr>
              <w:pStyle w:val="TableParagraph"/>
              <w:ind w:left="161" w:right="72"/>
              <w:rPr>
                <w:sz w:val="14"/>
              </w:rPr>
            </w:pPr>
            <w:r>
              <w:rPr>
                <w:color w:val="231F20"/>
                <w:spacing w:val="-5"/>
                <w:w w:val="95"/>
                <w:sz w:val="14"/>
              </w:rPr>
              <w:t>80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2.6</w:t>
            </w:r>
          </w:p>
        </w:tc>
        <w:tc>
          <w:tcPr>
            <w:tcW w:w="574" w:type="dxa"/>
            <w:shd w:val="clear" w:color="auto" w:fill="D4E3F5"/>
          </w:tcPr>
          <w:p>
            <w:pPr>
              <w:pStyle w:val="TableParagraph"/>
              <w:ind w:left="161" w:right="70"/>
              <w:rPr>
                <w:sz w:val="14"/>
              </w:rPr>
            </w:pPr>
            <w:r>
              <w:rPr>
                <w:color w:val="231F20"/>
                <w:spacing w:val="-5"/>
                <w:w w:val="95"/>
                <w:sz w:val="14"/>
              </w:rPr>
              <w:t>91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2.7</w:t>
            </w:r>
          </w:p>
        </w:tc>
        <w:tc>
          <w:tcPr>
            <w:tcW w:w="574" w:type="dxa"/>
            <w:shd w:val="clear" w:color="auto" w:fill="D4E3F5"/>
          </w:tcPr>
          <w:p>
            <w:pPr>
              <w:pStyle w:val="TableParagraph"/>
              <w:ind w:left="161" w:right="69"/>
              <w:rPr>
                <w:sz w:val="14"/>
              </w:rPr>
            </w:pPr>
            <w:r>
              <w:rPr>
                <w:color w:val="231F20"/>
                <w:spacing w:val="-5"/>
                <w:w w:val="95"/>
                <w:sz w:val="14"/>
              </w:rPr>
              <w:t>81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2.9</w:t>
            </w:r>
          </w:p>
        </w:tc>
        <w:tc>
          <w:tcPr>
            <w:tcW w:w="574" w:type="dxa"/>
            <w:shd w:val="clear" w:color="auto" w:fill="D4E3F5"/>
          </w:tcPr>
          <w:p>
            <w:pPr>
              <w:pStyle w:val="TableParagraph"/>
              <w:ind w:left="161" w:right="67"/>
              <w:rPr>
                <w:sz w:val="14"/>
              </w:rPr>
            </w:pPr>
            <w:r>
              <w:rPr>
                <w:color w:val="231F20"/>
                <w:spacing w:val="-5"/>
                <w:w w:val="95"/>
                <w:sz w:val="14"/>
              </w:rPr>
              <w:t>93</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2.8</w:t>
            </w:r>
          </w:p>
        </w:tc>
        <w:tc>
          <w:tcPr>
            <w:tcW w:w="655" w:type="dxa"/>
            <w:shd w:val="clear" w:color="auto" w:fill="D4E3F5"/>
          </w:tcPr>
          <w:p>
            <w:pPr>
              <w:pStyle w:val="TableParagraph"/>
              <w:ind w:left="72" w:right="68"/>
              <w:rPr>
                <w:sz w:val="14"/>
              </w:rPr>
            </w:pPr>
            <w:r>
              <w:rPr>
                <w:color w:val="231F20"/>
                <w:spacing w:val="-5"/>
                <w:w w:val="95"/>
                <w:sz w:val="14"/>
              </w:rPr>
              <w:t>80</w:t>
            </w:r>
          </w:p>
        </w:tc>
      </w:tr>
      <w:tr>
        <w:trPr>
          <w:trHeight w:val="414" w:hRule="atLeast"/>
        </w:trPr>
        <w:tc>
          <w:tcPr>
            <w:tcW w:w="990" w:type="dxa"/>
            <w:tcBorders>
              <w:bottom w:val="single" w:sz="4" w:space="0" w:color="008FDD"/>
            </w:tcBorders>
          </w:tcPr>
          <w:p>
            <w:pPr>
              <w:pStyle w:val="TableParagraph"/>
              <w:ind w:left="79" w:right="328"/>
              <w:jc w:val="left"/>
              <w:rPr>
                <w:sz w:val="14"/>
              </w:rPr>
            </w:pPr>
            <w:r>
              <w:rPr>
                <w:color w:val="231F20"/>
                <w:spacing w:val="-2"/>
                <w:w w:val="80"/>
                <w:sz w:val="14"/>
              </w:rPr>
              <w:t>Papua</w:t>
            </w:r>
            <w:r>
              <w:rPr>
                <w:color w:val="231F20"/>
                <w:spacing w:val="-8"/>
                <w:sz w:val="14"/>
              </w:rPr>
              <w:t> </w:t>
            </w:r>
            <w:r>
              <w:rPr>
                <w:color w:val="231F20"/>
                <w:spacing w:val="-2"/>
                <w:w w:val="80"/>
                <w:sz w:val="14"/>
              </w:rPr>
              <w:t>New</w:t>
            </w:r>
            <w:r>
              <w:rPr>
                <w:color w:val="231F20"/>
                <w:spacing w:val="40"/>
                <w:sz w:val="14"/>
              </w:rPr>
              <w:t> </w:t>
            </w:r>
            <w:r>
              <w:rPr>
                <w:color w:val="231F20"/>
                <w:spacing w:val="-2"/>
                <w:w w:val="85"/>
                <w:sz w:val="14"/>
              </w:rPr>
              <w:t>Guinea</w:t>
            </w:r>
          </w:p>
        </w:tc>
        <w:tc>
          <w:tcPr>
            <w:tcW w:w="622" w:type="dxa"/>
            <w:tcBorders>
              <w:bottom w:val="single" w:sz="4" w:space="0" w:color="008FDD"/>
            </w:tcBorders>
          </w:tcPr>
          <w:p>
            <w:pPr>
              <w:pStyle w:val="TableParagraph"/>
              <w:spacing w:before="47"/>
              <w:jc w:val="left"/>
              <w:rPr>
                <w:b/>
                <w:sz w:val="14"/>
              </w:rPr>
            </w:pPr>
          </w:p>
          <w:p>
            <w:pPr>
              <w:pStyle w:val="TableParagraph"/>
              <w:spacing w:before="0"/>
              <w:ind w:left="67" w:right="101"/>
              <w:rPr>
                <w:sz w:val="14"/>
              </w:rPr>
            </w:pPr>
            <w:r>
              <w:rPr>
                <w:color w:val="231F20"/>
                <w:spacing w:val="-5"/>
                <w:w w:val="95"/>
                <w:sz w:val="14"/>
              </w:rPr>
              <w:t>79</w:t>
            </w:r>
          </w:p>
        </w:tc>
        <w:tc>
          <w:tcPr>
            <w:tcW w:w="644" w:type="dxa"/>
            <w:tcBorders>
              <w:bottom w:val="single" w:sz="4" w:space="0" w:color="008FDD"/>
            </w:tcBorders>
          </w:tcPr>
          <w:p>
            <w:pPr>
              <w:pStyle w:val="TableParagraph"/>
              <w:spacing w:before="47"/>
              <w:jc w:val="left"/>
              <w:rPr>
                <w:b/>
                <w:sz w:val="14"/>
              </w:rPr>
            </w:pPr>
          </w:p>
          <w:p>
            <w:pPr>
              <w:pStyle w:val="TableParagraph"/>
              <w:spacing w:before="0"/>
              <w:ind w:left="166"/>
              <w:jc w:val="left"/>
              <w:rPr>
                <w:sz w:val="14"/>
              </w:rPr>
            </w:pPr>
            <w:r>
              <w:rPr>
                <w:color w:val="231F20"/>
                <w:spacing w:val="-5"/>
                <w:w w:val="95"/>
                <w:sz w:val="14"/>
              </w:rPr>
              <w:t>2.7</w:t>
            </w:r>
          </w:p>
        </w:tc>
        <w:tc>
          <w:tcPr>
            <w:tcW w:w="480" w:type="dxa"/>
            <w:tcBorders>
              <w:bottom w:val="single" w:sz="4" w:space="0" w:color="008FDD"/>
            </w:tcBorders>
          </w:tcPr>
          <w:p>
            <w:pPr>
              <w:pStyle w:val="TableParagraph"/>
              <w:spacing w:before="47"/>
              <w:jc w:val="left"/>
              <w:rPr>
                <w:b/>
                <w:sz w:val="14"/>
              </w:rPr>
            </w:pPr>
          </w:p>
          <w:p>
            <w:pPr>
              <w:pStyle w:val="TableParagraph"/>
              <w:spacing w:before="0"/>
              <w:ind w:left="104"/>
              <w:jc w:val="left"/>
              <w:rPr>
                <w:sz w:val="14"/>
              </w:rPr>
            </w:pPr>
            <w:r>
              <w:rPr>
                <w:color w:val="231F20"/>
                <w:spacing w:val="-5"/>
                <w:w w:val="95"/>
                <w:sz w:val="14"/>
              </w:rPr>
              <w:t>2.4</w:t>
            </w:r>
          </w:p>
        </w:tc>
        <w:tc>
          <w:tcPr>
            <w:tcW w:w="582" w:type="dxa"/>
            <w:tcBorders>
              <w:bottom w:val="single" w:sz="4" w:space="0" w:color="008FDD"/>
            </w:tcBorders>
          </w:tcPr>
          <w:p>
            <w:pPr>
              <w:pStyle w:val="TableParagraph"/>
              <w:spacing w:before="47"/>
              <w:jc w:val="left"/>
              <w:rPr>
                <w:b/>
                <w:sz w:val="14"/>
              </w:rPr>
            </w:pPr>
          </w:p>
          <w:p>
            <w:pPr>
              <w:pStyle w:val="TableParagraph"/>
              <w:spacing w:before="0"/>
              <w:ind w:left="6" w:right="6"/>
              <w:rPr>
                <w:sz w:val="14"/>
              </w:rPr>
            </w:pPr>
            <w:r>
              <w:rPr>
                <w:color w:val="231F20"/>
                <w:spacing w:val="-5"/>
                <w:w w:val="95"/>
                <w:sz w:val="14"/>
              </w:rPr>
              <w:t>3.0</w:t>
            </w:r>
          </w:p>
        </w:tc>
        <w:tc>
          <w:tcPr>
            <w:tcW w:w="80" w:type="dxa"/>
            <w:tcBorders>
              <w:bottom w:val="single" w:sz="4" w:space="0" w:color="008FDD"/>
            </w:tcBorders>
          </w:tcPr>
          <w:p>
            <w:pPr>
              <w:pStyle w:val="TableParagraph"/>
              <w:spacing w:before="0"/>
              <w:jc w:val="left"/>
              <w:rPr>
                <w:rFonts w:ascii="Times New Roman"/>
                <w:sz w:val="12"/>
              </w:rPr>
            </w:pPr>
          </w:p>
        </w:tc>
        <w:tc>
          <w:tcPr>
            <w:tcW w:w="463" w:type="dxa"/>
            <w:tcBorders>
              <w:bottom w:val="single" w:sz="4" w:space="0" w:color="008FDD"/>
            </w:tcBorders>
          </w:tcPr>
          <w:p>
            <w:pPr>
              <w:pStyle w:val="TableParagraph"/>
              <w:spacing w:before="47"/>
              <w:jc w:val="left"/>
              <w:rPr>
                <w:b/>
                <w:sz w:val="14"/>
              </w:rPr>
            </w:pPr>
          </w:p>
          <w:p>
            <w:pPr>
              <w:pStyle w:val="TableParagraph"/>
              <w:spacing w:before="0"/>
              <w:ind w:left="8" w:right="48"/>
              <w:rPr>
                <w:sz w:val="14"/>
              </w:rPr>
            </w:pPr>
            <w:r>
              <w:rPr>
                <w:color w:val="231F20"/>
                <w:spacing w:val="-5"/>
                <w:w w:val="95"/>
                <w:sz w:val="14"/>
              </w:rPr>
              <w:t>2.4</w:t>
            </w:r>
          </w:p>
        </w:tc>
        <w:tc>
          <w:tcPr>
            <w:tcW w:w="574" w:type="dxa"/>
            <w:tcBorders>
              <w:bottom w:val="single" w:sz="4" w:space="0" w:color="008FDD"/>
            </w:tcBorders>
          </w:tcPr>
          <w:p>
            <w:pPr>
              <w:pStyle w:val="TableParagraph"/>
              <w:spacing w:before="47"/>
              <w:jc w:val="left"/>
              <w:rPr>
                <w:b/>
                <w:sz w:val="14"/>
              </w:rPr>
            </w:pPr>
          </w:p>
          <w:p>
            <w:pPr>
              <w:pStyle w:val="TableParagraph"/>
              <w:spacing w:before="0"/>
              <w:ind w:left="158" w:right="70"/>
              <w:rPr>
                <w:sz w:val="14"/>
              </w:rPr>
            </w:pPr>
            <w:r>
              <w:rPr>
                <w:color w:val="231F20"/>
                <w:spacing w:val="-5"/>
                <w:w w:val="95"/>
                <w:sz w:val="14"/>
              </w:rPr>
              <w:t>90</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bottom w:val="single" w:sz="4" w:space="0" w:color="008FDD"/>
            </w:tcBorders>
          </w:tcPr>
          <w:p>
            <w:pPr>
              <w:pStyle w:val="TableParagraph"/>
              <w:spacing w:before="47"/>
              <w:jc w:val="left"/>
              <w:rPr>
                <w:b/>
                <w:sz w:val="14"/>
              </w:rPr>
            </w:pPr>
          </w:p>
          <w:p>
            <w:pPr>
              <w:pStyle w:val="TableParagraph"/>
              <w:spacing w:before="0"/>
              <w:ind w:left="10" w:right="48"/>
              <w:rPr>
                <w:sz w:val="14"/>
              </w:rPr>
            </w:pPr>
            <w:r>
              <w:rPr>
                <w:color w:val="231F20"/>
                <w:spacing w:val="-5"/>
                <w:w w:val="95"/>
                <w:sz w:val="14"/>
              </w:rPr>
              <w:t>2.4</w:t>
            </w:r>
          </w:p>
        </w:tc>
        <w:tc>
          <w:tcPr>
            <w:tcW w:w="574" w:type="dxa"/>
            <w:tcBorders>
              <w:bottom w:val="single" w:sz="4" w:space="0" w:color="008FDD"/>
            </w:tcBorders>
          </w:tcPr>
          <w:p>
            <w:pPr>
              <w:pStyle w:val="TableParagraph"/>
              <w:spacing w:before="47"/>
              <w:jc w:val="left"/>
              <w:rPr>
                <w:b/>
                <w:sz w:val="14"/>
              </w:rPr>
            </w:pPr>
          </w:p>
          <w:p>
            <w:pPr>
              <w:pStyle w:val="TableParagraph"/>
              <w:spacing w:before="0"/>
              <w:ind w:left="161" w:right="72"/>
              <w:rPr>
                <w:sz w:val="14"/>
              </w:rPr>
            </w:pPr>
            <w:r>
              <w:rPr>
                <w:color w:val="231F20"/>
                <w:spacing w:val="-5"/>
                <w:w w:val="95"/>
                <w:sz w:val="14"/>
              </w:rPr>
              <w:t>89</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bottom w:val="single" w:sz="4" w:space="0" w:color="008FDD"/>
            </w:tcBorders>
          </w:tcPr>
          <w:p>
            <w:pPr>
              <w:pStyle w:val="TableParagraph"/>
              <w:spacing w:before="47"/>
              <w:jc w:val="left"/>
              <w:rPr>
                <w:b/>
                <w:sz w:val="14"/>
              </w:rPr>
            </w:pPr>
          </w:p>
          <w:p>
            <w:pPr>
              <w:pStyle w:val="TableParagraph"/>
              <w:spacing w:before="0"/>
              <w:ind w:left="13" w:right="48"/>
              <w:rPr>
                <w:sz w:val="14"/>
              </w:rPr>
            </w:pPr>
            <w:r>
              <w:rPr>
                <w:color w:val="231F20"/>
                <w:spacing w:val="-5"/>
                <w:w w:val="95"/>
                <w:sz w:val="14"/>
              </w:rPr>
              <w:t>2.6</w:t>
            </w:r>
          </w:p>
        </w:tc>
        <w:tc>
          <w:tcPr>
            <w:tcW w:w="574" w:type="dxa"/>
            <w:tcBorders>
              <w:bottom w:val="single" w:sz="4" w:space="0" w:color="008FDD"/>
            </w:tcBorders>
          </w:tcPr>
          <w:p>
            <w:pPr>
              <w:pStyle w:val="TableParagraph"/>
              <w:spacing w:before="47"/>
              <w:jc w:val="left"/>
              <w:rPr>
                <w:b/>
                <w:sz w:val="14"/>
              </w:rPr>
            </w:pPr>
          </w:p>
          <w:p>
            <w:pPr>
              <w:pStyle w:val="TableParagraph"/>
              <w:spacing w:before="0"/>
              <w:ind w:left="161" w:right="70"/>
              <w:rPr>
                <w:sz w:val="14"/>
              </w:rPr>
            </w:pPr>
            <w:r>
              <w:rPr>
                <w:color w:val="231F20"/>
                <w:spacing w:val="-5"/>
                <w:w w:val="95"/>
                <w:sz w:val="14"/>
              </w:rPr>
              <w:t>91</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bottom w:val="single" w:sz="4" w:space="0" w:color="008FDD"/>
            </w:tcBorders>
          </w:tcPr>
          <w:p>
            <w:pPr>
              <w:pStyle w:val="TableParagraph"/>
              <w:spacing w:before="47"/>
              <w:jc w:val="left"/>
              <w:rPr>
                <w:b/>
                <w:sz w:val="14"/>
              </w:rPr>
            </w:pPr>
          </w:p>
          <w:p>
            <w:pPr>
              <w:pStyle w:val="TableParagraph"/>
              <w:spacing w:before="0"/>
              <w:ind w:left="11" w:right="48"/>
              <w:rPr>
                <w:sz w:val="14"/>
              </w:rPr>
            </w:pPr>
            <w:r>
              <w:rPr>
                <w:color w:val="231F20"/>
                <w:spacing w:val="-5"/>
                <w:w w:val="95"/>
                <w:sz w:val="14"/>
              </w:rPr>
              <w:t>2.7</w:t>
            </w:r>
          </w:p>
        </w:tc>
        <w:tc>
          <w:tcPr>
            <w:tcW w:w="574" w:type="dxa"/>
            <w:tcBorders>
              <w:bottom w:val="single" w:sz="4" w:space="0" w:color="008FDD"/>
            </w:tcBorders>
          </w:tcPr>
          <w:p>
            <w:pPr>
              <w:pStyle w:val="TableParagraph"/>
              <w:spacing w:before="47"/>
              <w:jc w:val="left"/>
              <w:rPr>
                <w:b/>
                <w:sz w:val="14"/>
              </w:rPr>
            </w:pPr>
          </w:p>
          <w:p>
            <w:pPr>
              <w:pStyle w:val="TableParagraph"/>
              <w:spacing w:before="0"/>
              <w:ind w:left="161" w:right="69"/>
              <w:rPr>
                <w:sz w:val="14"/>
              </w:rPr>
            </w:pPr>
            <w:r>
              <w:rPr>
                <w:color w:val="231F20"/>
                <w:spacing w:val="-5"/>
                <w:w w:val="95"/>
                <w:sz w:val="14"/>
              </w:rPr>
              <w:t>81</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bottom w:val="single" w:sz="4" w:space="0" w:color="008FDD"/>
            </w:tcBorders>
          </w:tcPr>
          <w:p>
            <w:pPr>
              <w:pStyle w:val="TableParagraph"/>
              <w:spacing w:before="47"/>
              <w:jc w:val="left"/>
              <w:rPr>
                <w:b/>
                <w:sz w:val="14"/>
              </w:rPr>
            </w:pPr>
          </w:p>
          <w:p>
            <w:pPr>
              <w:pStyle w:val="TableParagraph"/>
              <w:spacing w:before="0"/>
              <w:ind w:left="17" w:right="48"/>
              <w:rPr>
                <w:sz w:val="14"/>
              </w:rPr>
            </w:pPr>
            <w:r>
              <w:rPr>
                <w:color w:val="231F20"/>
                <w:spacing w:val="-5"/>
                <w:w w:val="95"/>
                <w:sz w:val="14"/>
              </w:rPr>
              <w:t>3.3</w:t>
            </w:r>
          </w:p>
        </w:tc>
        <w:tc>
          <w:tcPr>
            <w:tcW w:w="574" w:type="dxa"/>
            <w:tcBorders>
              <w:bottom w:val="single" w:sz="4" w:space="0" w:color="008FDD"/>
            </w:tcBorders>
          </w:tcPr>
          <w:p>
            <w:pPr>
              <w:pStyle w:val="TableParagraph"/>
              <w:spacing w:before="47"/>
              <w:jc w:val="left"/>
              <w:rPr>
                <w:b/>
                <w:sz w:val="14"/>
              </w:rPr>
            </w:pPr>
          </w:p>
          <w:p>
            <w:pPr>
              <w:pStyle w:val="TableParagraph"/>
              <w:spacing w:before="0"/>
              <w:ind w:left="161" w:right="67"/>
              <w:rPr>
                <w:sz w:val="14"/>
              </w:rPr>
            </w:pPr>
            <w:r>
              <w:rPr>
                <w:color w:val="231F20"/>
                <w:spacing w:val="-5"/>
                <w:w w:val="95"/>
                <w:sz w:val="14"/>
              </w:rPr>
              <w:t>59</w:t>
            </w:r>
          </w:p>
        </w:tc>
        <w:tc>
          <w:tcPr>
            <w:tcW w:w="126" w:type="dxa"/>
            <w:tcBorders>
              <w:bottom w:val="single" w:sz="4" w:space="0" w:color="008FDD"/>
            </w:tcBorders>
          </w:tcPr>
          <w:p>
            <w:pPr>
              <w:pStyle w:val="TableParagraph"/>
              <w:spacing w:before="0"/>
              <w:jc w:val="left"/>
              <w:rPr>
                <w:rFonts w:ascii="Times New Roman"/>
                <w:sz w:val="12"/>
              </w:rPr>
            </w:pPr>
          </w:p>
        </w:tc>
        <w:tc>
          <w:tcPr>
            <w:tcW w:w="468" w:type="dxa"/>
            <w:tcBorders>
              <w:bottom w:val="single" w:sz="4" w:space="0" w:color="008FDD"/>
            </w:tcBorders>
          </w:tcPr>
          <w:p>
            <w:pPr>
              <w:pStyle w:val="TableParagraph"/>
              <w:spacing w:before="47"/>
              <w:jc w:val="left"/>
              <w:rPr>
                <w:b/>
                <w:sz w:val="14"/>
              </w:rPr>
            </w:pPr>
          </w:p>
          <w:p>
            <w:pPr>
              <w:pStyle w:val="TableParagraph"/>
              <w:spacing w:before="0"/>
              <w:ind w:left="9" w:right="45"/>
              <w:rPr>
                <w:sz w:val="14"/>
              </w:rPr>
            </w:pPr>
            <w:r>
              <w:rPr>
                <w:color w:val="231F20"/>
                <w:spacing w:val="-5"/>
                <w:w w:val="95"/>
                <w:sz w:val="14"/>
              </w:rPr>
              <w:t>3.0</w:t>
            </w:r>
          </w:p>
        </w:tc>
        <w:tc>
          <w:tcPr>
            <w:tcW w:w="655" w:type="dxa"/>
            <w:tcBorders>
              <w:bottom w:val="single" w:sz="4" w:space="0" w:color="008FDD"/>
            </w:tcBorders>
          </w:tcPr>
          <w:p>
            <w:pPr>
              <w:pStyle w:val="TableParagraph"/>
              <w:spacing w:before="47"/>
              <w:jc w:val="left"/>
              <w:rPr>
                <w:b/>
                <w:sz w:val="14"/>
              </w:rPr>
            </w:pPr>
          </w:p>
          <w:p>
            <w:pPr>
              <w:pStyle w:val="TableParagraph"/>
              <w:spacing w:before="0"/>
              <w:ind w:left="72" w:right="68"/>
              <w:rPr>
                <w:sz w:val="14"/>
              </w:rPr>
            </w:pPr>
            <w:r>
              <w:rPr>
                <w:color w:val="231F20"/>
                <w:spacing w:val="-5"/>
                <w:w w:val="95"/>
                <w:sz w:val="14"/>
              </w:rPr>
              <w:t>65</w:t>
            </w:r>
          </w:p>
        </w:tc>
      </w:tr>
    </w:tbl>
    <w:p>
      <w:pPr>
        <w:spacing w:after="0"/>
        <w:rPr>
          <w:sz w:val="14"/>
        </w:rPr>
        <w:sectPr>
          <w:headerReference w:type="default" r:id="rId112"/>
          <w:pgSz w:w="12240" w:h="15840"/>
          <w:pgMar w:header="370" w:footer="0" w:top="560" w:bottom="740" w:left="0" w:right="540"/>
        </w:sectPr>
      </w:pPr>
    </w:p>
    <w:p>
      <w:pPr>
        <w:spacing w:before="87"/>
        <w:ind w:left="720" w:right="0" w:firstLine="0"/>
        <w:jc w:val="left"/>
        <w:rPr>
          <w:rFonts w:ascii="Arial"/>
          <w:sz w:val="12"/>
        </w:rPr>
      </w:pPr>
      <w:r>
        <w:rPr>
          <w:rFonts w:ascii="Arial"/>
          <w:color w:val="008FDD"/>
          <w:w w:val="110"/>
          <w:sz w:val="12"/>
        </w:rPr>
        <w:t>Appendix</w:t>
      </w:r>
      <w:r>
        <w:rPr>
          <w:rFonts w:ascii="Arial"/>
          <w:color w:val="008FDD"/>
          <w:spacing w:val="5"/>
          <w:w w:val="110"/>
          <w:sz w:val="12"/>
        </w:rPr>
        <w:t> </w:t>
      </w:r>
      <w:r>
        <w:rPr>
          <w:rFonts w:ascii="Arial"/>
          <w:color w:val="008FDD"/>
          <w:w w:val="110"/>
          <w:sz w:val="12"/>
        </w:rPr>
        <w:t>1</w:t>
      </w:r>
      <w:r>
        <w:rPr>
          <w:rFonts w:ascii="Arial"/>
          <w:color w:val="008FDD"/>
          <w:spacing w:val="72"/>
          <w:w w:val="150"/>
          <w:sz w:val="12"/>
        </w:rPr>
        <w:t> </w:t>
      </w:r>
      <w:r>
        <w:rPr>
          <w:rFonts w:ascii="Arial"/>
          <w:color w:val="008FDD"/>
          <w:w w:val="110"/>
          <w:sz w:val="12"/>
        </w:rPr>
        <w:t>2023</w:t>
      </w:r>
      <w:r>
        <w:rPr>
          <w:rFonts w:ascii="Arial"/>
          <w:color w:val="008FDD"/>
          <w:spacing w:val="5"/>
          <w:w w:val="110"/>
          <w:sz w:val="12"/>
        </w:rPr>
        <w:t> </w:t>
      </w:r>
      <w:r>
        <w:rPr>
          <w:rFonts w:ascii="Arial"/>
          <w:color w:val="008FDD"/>
          <w:w w:val="110"/>
          <w:sz w:val="12"/>
        </w:rPr>
        <w:t>LPI</w:t>
      </w:r>
      <w:r>
        <w:rPr>
          <w:rFonts w:ascii="Arial"/>
          <w:color w:val="008FDD"/>
          <w:spacing w:val="6"/>
          <w:w w:val="110"/>
          <w:sz w:val="12"/>
        </w:rPr>
        <w:t> </w:t>
      </w:r>
      <w:r>
        <w:rPr>
          <w:rFonts w:ascii="Arial"/>
          <w:color w:val="008FDD"/>
          <w:spacing w:val="-2"/>
          <w:w w:val="110"/>
          <w:sz w:val="12"/>
        </w:rPr>
        <w:t>results</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3"/>
        <w:rPr>
          <w:rFonts w:ascii="Arial"/>
          <w:sz w:val="20"/>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0"/>
        <w:gridCol w:w="622"/>
        <w:gridCol w:w="644"/>
        <w:gridCol w:w="480"/>
        <w:gridCol w:w="582"/>
        <w:gridCol w:w="80"/>
        <w:gridCol w:w="463"/>
        <w:gridCol w:w="574"/>
        <w:gridCol w:w="126"/>
        <w:gridCol w:w="463"/>
        <w:gridCol w:w="574"/>
        <w:gridCol w:w="126"/>
        <w:gridCol w:w="463"/>
        <w:gridCol w:w="574"/>
        <w:gridCol w:w="126"/>
        <w:gridCol w:w="463"/>
        <w:gridCol w:w="574"/>
        <w:gridCol w:w="126"/>
        <w:gridCol w:w="463"/>
        <w:gridCol w:w="574"/>
        <w:gridCol w:w="126"/>
        <w:gridCol w:w="468"/>
        <w:gridCol w:w="655"/>
      </w:tblGrid>
      <w:tr>
        <w:trPr>
          <w:trHeight w:val="533" w:hRule="atLeast"/>
        </w:trPr>
        <w:tc>
          <w:tcPr>
            <w:tcW w:w="990" w:type="dxa"/>
          </w:tcPr>
          <w:p>
            <w:pPr>
              <w:pStyle w:val="TableParagraph"/>
              <w:spacing w:before="0"/>
              <w:jc w:val="left"/>
              <w:rPr>
                <w:rFonts w:ascii="Times New Roman"/>
                <w:sz w:val="12"/>
              </w:rPr>
            </w:pPr>
          </w:p>
        </w:tc>
        <w:tc>
          <w:tcPr>
            <w:tcW w:w="622" w:type="dxa"/>
            <w:tcBorders>
              <w:bottom w:val="single" w:sz="4" w:space="0" w:color="008FDD"/>
            </w:tcBorders>
          </w:tcPr>
          <w:p>
            <w:pPr>
              <w:pStyle w:val="TableParagraph"/>
              <w:spacing w:before="0"/>
              <w:jc w:val="left"/>
              <w:rPr>
                <w:rFonts w:ascii="Times New Roman"/>
                <w:sz w:val="12"/>
              </w:rPr>
            </w:pPr>
          </w:p>
        </w:tc>
        <w:tc>
          <w:tcPr>
            <w:tcW w:w="644" w:type="dxa"/>
            <w:tcBorders>
              <w:bottom w:val="single" w:sz="4" w:space="0" w:color="008FDD"/>
            </w:tcBorders>
          </w:tcPr>
          <w:p>
            <w:pPr>
              <w:pStyle w:val="TableParagraph"/>
              <w:spacing w:before="0"/>
              <w:jc w:val="left"/>
              <w:rPr>
                <w:sz w:val="14"/>
              </w:rPr>
            </w:pPr>
          </w:p>
          <w:p>
            <w:pPr>
              <w:pStyle w:val="TableParagraph"/>
              <w:spacing w:before="1"/>
              <w:jc w:val="left"/>
              <w:rPr>
                <w:sz w:val="14"/>
              </w:rPr>
            </w:pPr>
          </w:p>
          <w:p>
            <w:pPr>
              <w:pStyle w:val="TableParagraph"/>
              <w:spacing w:before="0"/>
              <w:ind w:right="8"/>
              <w:jc w:val="right"/>
              <w:rPr>
                <w:b/>
                <w:sz w:val="14"/>
              </w:rPr>
            </w:pPr>
            <w:r>
              <w:rPr>
                <w:b/>
                <w:color w:val="231F20"/>
                <w:spacing w:val="-5"/>
                <w:w w:val="90"/>
                <w:sz w:val="14"/>
              </w:rPr>
              <w:t>LPI</w:t>
            </w:r>
          </w:p>
        </w:tc>
        <w:tc>
          <w:tcPr>
            <w:tcW w:w="480" w:type="dxa"/>
            <w:tcBorders>
              <w:bottom w:val="single" w:sz="4" w:space="0" w:color="008FDD"/>
            </w:tcBorders>
          </w:tcPr>
          <w:p>
            <w:pPr>
              <w:pStyle w:val="TableParagraph"/>
              <w:spacing w:before="0"/>
              <w:jc w:val="left"/>
              <w:rPr>
                <w:rFonts w:ascii="Times New Roman"/>
                <w:sz w:val="12"/>
              </w:rPr>
            </w:pPr>
          </w:p>
        </w:tc>
        <w:tc>
          <w:tcPr>
            <w:tcW w:w="582" w:type="dxa"/>
            <w:tcBorders>
              <w:bottom w:val="single" w:sz="4" w:space="0" w:color="008FDD"/>
            </w:tcBorders>
          </w:tcPr>
          <w:p>
            <w:pPr>
              <w:pStyle w:val="TableParagraph"/>
              <w:spacing w:before="0"/>
              <w:jc w:val="left"/>
              <w:rPr>
                <w:rFonts w:ascii="Times New Roman"/>
                <w:sz w:val="12"/>
              </w:rPr>
            </w:pPr>
          </w:p>
        </w:tc>
        <w:tc>
          <w:tcPr>
            <w:tcW w:w="1243" w:type="dxa"/>
            <w:gridSpan w:val="4"/>
          </w:tcPr>
          <w:p>
            <w:pPr>
              <w:pStyle w:val="TableParagraph"/>
              <w:spacing w:before="0"/>
              <w:jc w:val="left"/>
              <w:rPr>
                <w:sz w:val="14"/>
              </w:rPr>
            </w:pPr>
          </w:p>
          <w:p>
            <w:pPr>
              <w:pStyle w:val="TableParagraph"/>
              <w:spacing w:before="1"/>
              <w:jc w:val="left"/>
              <w:rPr>
                <w:sz w:val="14"/>
              </w:rPr>
            </w:pPr>
          </w:p>
          <w:p>
            <w:pPr>
              <w:pStyle w:val="TableParagraph"/>
              <w:spacing w:before="0"/>
              <w:ind w:left="330"/>
              <w:jc w:val="left"/>
              <w:rPr>
                <w:b/>
                <w:sz w:val="14"/>
              </w:rPr>
            </w:pPr>
            <w:r>
              <w:rPr>
                <w:b/>
                <w:color w:val="231F20"/>
                <w:spacing w:val="-2"/>
                <w:w w:val="90"/>
                <w:sz w:val="14"/>
              </w:rPr>
              <w:t>Customs</w:t>
            </w:r>
          </w:p>
        </w:tc>
        <w:tc>
          <w:tcPr>
            <w:tcW w:w="1163" w:type="dxa"/>
            <w:gridSpan w:val="3"/>
          </w:tcPr>
          <w:p>
            <w:pPr>
              <w:pStyle w:val="TableParagraph"/>
              <w:spacing w:before="0"/>
              <w:jc w:val="left"/>
              <w:rPr>
                <w:sz w:val="14"/>
              </w:rPr>
            </w:pPr>
          </w:p>
          <w:p>
            <w:pPr>
              <w:pStyle w:val="TableParagraph"/>
              <w:spacing w:before="1"/>
              <w:jc w:val="left"/>
              <w:rPr>
                <w:sz w:val="14"/>
              </w:rPr>
            </w:pPr>
          </w:p>
          <w:p>
            <w:pPr>
              <w:pStyle w:val="TableParagraph"/>
              <w:spacing w:before="0"/>
              <w:ind w:left="97"/>
              <w:jc w:val="left"/>
              <w:rPr>
                <w:b/>
                <w:sz w:val="14"/>
              </w:rPr>
            </w:pPr>
            <w:r>
              <w:rPr>
                <w:b/>
                <w:color w:val="231F20"/>
                <w:spacing w:val="-2"/>
                <w:w w:val="95"/>
                <w:sz w:val="14"/>
              </w:rPr>
              <w:t>Infrastructure</w:t>
            </w:r>
          </w:p>
        </w:tc>
        <w:tc>
          <w:tcPr>
            <w:tcW w:w="1163" w:type="dxa"/>
            <w:gridSpan w:val="3"/>
          </w:tcPr>
          <w:p>
            <w:pPr>
              <w:pStyle w:val="TableParagraph"/>
              <w:spacing w:before="2"/>
              <w:jc w:val="left"/>
              <w:rPr>
                <w:sz w:val="14"/>
              </w:rPr>
            </w:pPr>
          </w:p>
          <w:p>
            <w:pPr>
              <w:pStyle w:val="TableParagraph"/>
              <w:spacing w:before="0"/>
              <w:ind w:left="201" w:right="201" w:hanging="69"/>
              <w:jc w:val="left"/>
              <w:rPr>
                <w:b/>
                <w:sz w:val="14"/>
              </w:rPr>
            </w:pPr>
            <w:r>
              <w:rPr>
                <w:b/>
                <w:color w:val="231F20"/>
                <w:spacing w:val="-2"/>
                <w:w w:val="85"/>
                <w:sz w:val="14"/>
              </w:rPr>
              <w:t>International</w:t>
            </w:r>
            <w:r>
              <w:rPr>
                <w:b/>
                <w:color w:val="231F20"/>
                <w:spacing w:val="40"/>
                <w:sz w:val="14"/>
              </w:rPr>
              <w:t> </w:t>
            </w:r>
            <w:r>
              <w:rPr>
                <w:b/>
                <w:color w:val="231F20"/>
                <w:spacing w:val="-2"/>
                <w:w w:val="90"/>
                <w:sz w:val="14"/>
              </w:rPr>
              <w:t>shipments</w:t>
            </w:r>
          </w:p>
        </w:tc>
        <w:tc>
          <w:tcPr>
            <w:tcW w:w="1163" w:type="dxa"/>
            <w:gridSpan w:val="3"/>
          </w:tcPr>
          <w:p>
            <w:pPr>
              <w:pStyle w:val="TableParagraph"/>
              <w:spacing w:before="3"/>
              <w:ind w:left="149" w:right="201" w:firstLine="92"/>
              <w:jc w:val="left"/>
              <w:rPr>
                <w:b/>
                <w:sz w:val="14"/>
              </w:rPr>
            </w:pPr>
            <w:r>
              <w:rPr>
                <w:b/>
                <w:color w:val="231F20"/>
                <w:spacing w:val="-2"/>
                <w:w w:val="95"/>
                <w:sz w:val="14"/>
              </w:rPr>
              <w:t>Logistics</w:t>
            </w:r>
            <w:r>
              <w:rPr>
                <w:b/>
                <w:color w:val="231F20"/>
                <w:spacing w:val="40"/>
                <w:sz w:val="14"/>
              </w:rPr>
              <w:t> </w:t>
            </w:r>
            <w:r>
              <w:rPr>
                <w:b/>
                <w:color w:val="231F20"/>
                <w:spacing w:val="-2"/>
                <w:w w:val="80"/>
                <w:sz w:val="14"/>
              </w:rPr>
              <w:t>competence</w:t>
            </w:r>
            <w:r>
              <w:rPr>
                <w:b/>
                <w:color w:val="231F20"/>
                <w:spacing w:val="40"/>
                <w:sz w:val="14"/>
              </w:rPr>
              <w:t> </w:t>
            </w:r>
            <w:r>
              <w:rPr>
                <w:b/>
                <w:color w:val="231F20"/>
                <w:w w:val="80"/>
                <w:sz w:val="14"/>
              </w:rPr>
              <w:t>and</w:t>
            </w:r>
            <w:r>
              <w:rPr>
                <w:b/>
                <w:color w:val="231F20"/>
                <w:spacing w:val="4"/>
                <w:sz w:val="14"/>
              </w:rPr>
              <w:t> </w:t>
            </w:r>
            <w:r>
              <w:rPr>
                <w:b/>
                <w:color w:val="231F20"/>
                <w:spacing w:val="-2"/>
                <w:w w:val="85"/>
                <w:sz w:val="14"/>
              </w:rPr>
              <w:t>equality</w:t>
            </w:r>
          </w:p>
        </w:tc>
        <w:tc>
          <w:tcPr>
            <w:tcW w:w="1163" w:type="dxa"/>
            <w:gridSpan w:val="3"/>
          </w:tcPr>
          <w:p>
            <w:pPr>
              <w:pStyle w:val="TableParagraph"/>
              <w:spacing w:before="0"/>
              <w:jc w:val="left"/>
              <w:rPr>
                <w:sz w:val="14"/>
              </w:rPr>
            </w:pPr>
          </w:p>
          <w:p>
            <w:pPr>
              <w:pStyle w:val="TableParagraph"/>
              <w:spacing w:before="1"/>
              <w:jc w:val="left"/>
              <w:rPr>
                <w:sz w:val="14"/>
              </w:rPr>
            </w:pPr>
          </w:p>
          <w:p>
            <w:pPr>
              <w:pStyle w:val="TableParagraph"/>
              <w:spacing w:before="0"/>
              <w:ind w:left="193"/>
              <w:jc w:val="left"/>
              <w:rPr>
                <w:b/>
                <w:sz w:val="14"/>
              </w:rPr>
            </w:pPr>
            <w:r>
              <w:rPr>
                <w:b/>
                <w:color w:val="231F20"/>
                <w:spacing w:val="-2"/>
                <w:w w:val="90"/>
                <w:sz w:val="14"/>
              </w:rPr>
              <w:t>Timeliness</w:t>
            </w:r>
          </w:p>
        </w:tc>
        <w:tc>
          <w:tcPr>
            <w:tcW w:w="1123" w:type="dxa"/>
            <w:gridSpan w:val="2"/>
            <w:tcBorders>
              <w:bottom w:val="single" w:sz="4" w:space="0" w:color="008FDD"/>
            </w:tcBorders>
          </w:tcPr>
          <w:p>
            <w:pPr>
              <w:pStyle w:val="TableParagraph"/>
              <w:spacing w:before="2"/>
              <w:jc w:val="left"/>
              <w:rPr>
                <w:sz w:val="14"/>
              </w:rPr>
            </w:pPr>
          </w:p>
          <w:p>
            <w:pPr>
              <w:pStyle w:val="TableParagraph"/>
              <w:spacing w:before="0"/>
              <w:ind w:left="310" w:right="225" w:hanging="169"/>
              <w:jc w:val="left"/>
              <w:rPr>
                <w:b/>
                <w:sz w:val="14"/>
              </w:rPr>
            </w:pPr>
            <w:r>
              <w:rPr>
                <w:b/>
                <w:color w:val="231F20"/>
                <w:w w:val="85"/>
                <w:sz w:val="14"/>
              </w:rPr>
              <w:t>Tracking</w:t>
            </w:r>
            <w:r>
              <w:rPr>
                <w:b/>
                <w:color w:val="231F20"/>
                <w:spacing w:val="-4"/>
                <w:w w:val="85"/>
                <w:sz w:val="14"/>
              </w:rPr>
              <w:t> </w:t>
            </w:r>
            <w:r>
              <w:rPr>
                <w:b/>
                <w:color w:val="231F20"/>
                <w:w w:val="85"/>
                <w:sz w:val="14"/>
              </w:rPr>
              <w:t>and</w:t>
            </w:r>
            <w:r>
              <w:rPr>
                <w:b/>
                <w:color w:val="231F20"/>
                <w:spacing w:val="40"/>
                <w:sz w:val="14"/>
              </w:rPr>
              <w:t> </w:t>
            </w:r>
            <w:r>
              <w:rPr>
                <w:b/>
                <w:color w:val="231F20"/>
                <w:spacing w:val="-2"/>
                <w:w w:val="95"/>
                <w:sz w:val="14"/>
              </w:rPr>
              <w:t>tracing</w:t>
            </w:r>
          </w:p>
        </w:tc>
      </w:tr>
      <w:tr>
        <w:trPr>
          <w:trHeight w:val="406" w:hRule="atLeast"/>
        </w:trPr>
        <w:tc>
          <w:tcPr>
            <w:tcW w:w="990" w:type="dxa"/>
            <w:tcBorders>
              <w:bottom w:val="single" w:sz="4" w:space="0" w:color="008FDD"/>
            </w:tcBorders>
          </w:tcPr>
          <w:p>
            <w:pPr>
              <w:pStyle w:val="TableParagraph"/>
              <w:spacing w:before="39"/>
              <w:jc w:val="left"/>
              <w:rPr>
                <w:sz w:val="14"/>
              </w:rPr>
            </w:pPr>
          </w:p>
          <w:p>
            <w:pPr>
              <w:pStyle w:val="TableParagraph"/>
              <w:spacing w:before="0"/>
              <w:ind w:left="80"/>
              <w:jc w:val="left"/>
              <w:rPr>
                <w:b/>
                <w:sz w:val="14"/>
              </w:rPr>
            </w:pPr>
            <w:r>
              <w:rPr>
                <w:b/>
                <w:color w:val="231F20"/>
                <w:spacing w:val="-2"/>
                <w:w w:val="90"/>
                <w:sz w:val="14"/>
              </w:rPr>
              <w:t>Economy</w:t>
            </w:r>
          </w:p>
        </w:tc>
        <w:tc>
          <w:tcPr>
            <w:tcW w:w="622" w:type="dxa"/>
            <w:tcBorders>
              <w:top w:val="single" w:sz="4" w:space="0" w:color="008FDD"/>
              <w:bottom w:val="single" w:sz="4" w:space="0" w:color="008FDD"/>
            </w:tcBorders>
          </w:tcPr>
          <w:p>
            <w:pPr>
              <w:pStyle w:val="TableParagraph"/>
              <w:spacing w:before="43"/>
              <w:ind w:left="160"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644" w:type="dxa"/>
            <w:tcBorders>
              <w:top w:val="single" w:sz="4" w:space="0" w:color="008FDD"/>
              <w:bottom w:val="single" w:sz="4" w:space="0" w:color="008FDD"/>
            </w:tcBorders>
          </w:tcPr>
          <w:p>
            <w:pPr>
              <w:pStyle w:val="TableParagraph"/>
              <w:spacing w:before="42"/>
              <w:jc w:val="left"/>
              <w:rPr>
                <w:sz w:val="14"/>
              </w:rPr>
            </w:pPr>
          </w:p>
          <w:p>
            <w:pPr>
              <w:pStyle w:val="TableParagraph"/>
              <w:spacing w:before="0"/>
              <w:ind w:left="86"/>
              <w:jc w:val="left"/>
              <w:rPr>
                <w:b/>
                <w:sz w:val="14"/>
              </w:rPr>
            </w:pPr>
            <w:r>
              <w:rPr>
                <w:b/>
                <w:color w:val="231F20"/>
                <w:spacing w:val="-2"/>
                <w:w w:val="90"/>
                <w:sz w:val="14"/>
              </w:rPr>
              <w:t>Score</w:t>
            </w:r>
          </w:p>
        </w:tc>
        <w:tc>
          <w:tcPr>
            <w:tcW w:w="480" w:type="dxa"/>
            <w:tcBorders>
              <w:top w:val="single" w:sz="4" w:space="0" w:color="008FDD"/>
              <w:bottom w:val="single" w:sz="4" w:space="0" w:color="008FDD"/>
            </w:tcBorders>
          </w:tcPr>
          <w:p>
            <w:pPr>
              <w:pStyle w:val="TableParagraph"/>
              <w:spacing w:before="43"/>
              <w:ind w:left="10" w:right="107" w:firstLine="2"/>
              <w:jc w:val="left"/>
              <w:rPr>
                <w:b/>
                <w:sz w:val="14"/>
              </w:rPr>
            </w:pPr>
            <w:r>
              <w:rPr>
                <w:b/>
                <w:color w:val="231F20"/>
                <w:spacing w:val="-2"/>
                <w:w w:val="85"/>
                <w:sz w:val="14"/>
              </w:rPr>
              <w:t>Lower</w:t>
            </w:r>
            <w:r>
              <w:rPr>
                <w:b/>
                <w:color w:val="231F20"/>
                <w:spacing w:val="40"/>
                <w:sz w:val="14"/>
              </w:rPr>
              <w:t> </w:t>
            </w:r>
            <w:r>
              <w:rPr>
                <w:b/>
                <w:color w:val="231F20"/>
                <w:spacing w:val="-2"/>
                <w:w w:val="80"/>
                <w:sz w:val="14"/>
              </w:rPr>
              <w:t>bound</w:t>
            </w:r>
          </w:p>
        </w:tc>
        <w:tc>
          <w:tcPr>
            <w:tcW w:w="582" w:type="dxa"/>
            <w:tcBorders>
              <w:top w:val="single" w:sz="4" w:space="0" w:color="008FDD"/>
              <w:bottom w:val="single" w:sz="4" w:space="0" w:color="008FDD"/>
            </w:tcBorders>
          </w:tcPr>
          <w:p>
            <w:pPr>
              <w:pStyle w:val="TableParagraph"/>
              <w:spacing w:before="43"/>
              <w:ind w:left="111" w:firstLine="9"/>
              <w:jc w:val="left"/>
              <w:rPr>
                <w:b/>
                <w:sz w:val="14"/>
              </w:rPr>
            </w:pPr>
            <w:r>
              <w:rPr>
                <w:b/>
                <w:color w:val="231F20"/>
                <w:spacing w:val="-2"/>
                <w:w w:val="80"/>
                <w:sz w:val="14"/>
              </w:rPr>
              <w:t>Upper</w:t>
            </w:r>
            <w:r>
              <w:rPr>
                <w:b/>
                <w:color w:val="231F20"/>
                <w:spacing w:val="40"/>
                <w:sz w:val="14"/>
              </w:rPr>
              <w:t> </w:t>
            </w:r>
            <w:r>
              <w:rPr>
                <w:b/>
                <w:color w:val="231F20"/>
                <w:spacing w:val="-2"/>
                <w:w w:val="80"/>
                <w:sz w:val="14"/>
              </w:rPr>
              <w:t>bound</w:t>
            </w:r>
          </w:p>
        </w:tc>
        <w:tc>
          <w:tcPr>
            <w:tcW w:w="80"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sz w:val="14"/>
              </w:rPr>
            </w:pPr>
          </w:p>
          <w:p>
            <w:pPr>
              <w:pStyle w:val="TableParagraph"/>
              <w:spacing w:before="0"/>
              <w:ind w:left="8"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198"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sz w:val="14"/>
              </w:rPr>
            </w:pPr>
          </w:p>
          <w:p>
            <w:pPr>
              <w:pStyle w:val="TableParagraph"/>
              <w:spacing w:before="0"/>
              <w:ind w:left="10"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199"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sz w:val="14"/>
              </w:rPr>
            </w:pPr>
          </w:p>
          <w:p>
            <w:pPr>
              <w:pStyle w:val="TableParagraph"/>
              <w:spacing w:before="0"/>
              <w:ind w:left="11"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200"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sz w:val="14"/>
              </w:rPr>
            </w:pPr>
          </w:p>
          <w:p>
            <w:pPr>
              <w:pStyle w:val="TableParagraph"/>
              <w:spacing w:before="0"/>
              <w:ind w:left="13"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200"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sz w:val="14"/>
              </w:rPr>
            </w:pPr>
          </w:p>
          <w:p>
            <w:pPr>
              <w:pStyle w:val="TableParagraph"/>
              <w:spacing w:before="0"/>
              <w:ind w:left="14"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201"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8" w:type="dxa"/>
            <w:tcBorders>
              <w:top w:val="single" w:sz="4" w:space="0" w:color="008FDD"/>
              <w:bottom w:val="single" w:sz="4" w:space="0" w:color="008FDD"/>
            </w:tcBorders>
          </w:tcPr>
          <w:p>
            <w:pPr>
              <w:pStyle w:val="TableParagraph"/>
              <w:spacing w:before="39"/>
              <w:jc w:val="left"/>
              <w:rPr>
                <w:sz w:val="14"/>
              </w:rPr>
            </w:pPr>
          </w:p>
          <w:p>
            <w:pPr>
              <w:pStyle w:val="TableParagraph"/>
              <w:spacing w:before="0"/>
              <w:ind w:left="8" w:right="45"/>
              <w:rPr>
                <w:b/>
                <w:sz w:val="14"/>
              </w:rPr>
            </w:pPr>
            <w:r>
              <w:rPr>
                <w:b/>
                <w:color w:val="231F20"/>
                <w:spacing w:val="-2"/>
                <w:w w:val="90"/>
                <w:sz w:val="14"/>
              </w:rPr>
              <w:t>Score</w:t>
            </w:r>
          </w:p>
        </w:tc>
        <w:tc>
          <w:tcPr>
            <w:tcW w:w="655" w:type="dxa"/>
            <w:tcBorders>
              <w:top w:val="single" w:sz="4" w:space="0" w:color="008FDD"/>
              <w:bottom w:val="single" w:sz="4" w:space="0" w:color="008FDD"/>
            </w:tcBorders>
          </w:tcPr>
          <w:p>
            <w:pPr>
              <w:pStyle w:val="TableParagraph"/>
              <w:spacing w:before="40"/>
              <w:ind w:left="207"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r>
      <w:tr>
        <w:trPr>
          <w:trHeight w:val="254" w:hRule="atLeast"/>
        </w:trPr>
        <w:tc>
          <w:tcPr>
            <w:tcW w:w="990" w:type="dxa"/>
            <w:tcBorders>
              <w:top w:val="single" w:sz="4" w:space="0" w:color="008FDD"/>
            </w:tcBorders>
            <w:shd w:val="clear" w:color="auto" w:fill="D4E3F5"/>
          </w:tcPr>
          <w:p>
            <w:pPr>
              <w:pStyle w:val="TableParagraph"/>
              <w:spacing w:before="43"/>
              <w:ind w:left="80"/>
              <w:jc w:val="left"/>
              <w:rPr>
                <w:sz w:val="14"/>
              </w:rPr>
            </w:pPr>
            <w:r>
              <w:rPr>
                <w:color w:val="231F20"/>
                <w:spacing w:val="-2"/>
                <w:w w:val="85"/>
                <w:sz w:val="14"/>
              </w:rPr>
              <w:t>Paraguay</w:t>
            </w:r>
          </w:p>
        </w:tc>
        <w:tc>
          <w:tcPr>
            <w:tcW w:w="622" w:type="dxa"/>
            <w:tcBorders>
              <w:top w:val="single" w:sz="4" w:space="0" w:color="008FDD"/>
            </w:tcBorders>
            <w:shd w:val="clear" w:color="auto" w:fill="D4E3F5"/>
          </w:tcPr>
          <w:p>
            <w:pPr>
              <w:pStyle w:val="TableParagraph"/>
              <w:spacing w:before="43"/>
              <w:ind w:left="67" w:right="101"/>
              <w:rPr>
                <w:sz w:val="14"/>
              </w:rPr>
            </w:pPr>
            <w:r>
              <w:rPr>
                <w:color w:val="231F20"/>
                <w:spacing w:val="-5"/>
                <w:w w:val="95"/>
                <w:sz w:val="14"/>
              </w:rPr>
              <w:t>79</w:t>
            </w:r>
          </w:p>
        </w:tc>
        <w:tc>
          <w:tcPr>
            <w:tcW w:w="644" w:type="dxa"/>
            <w:tcBorders>
              <w:top w:val="single" w:sz="4" w:space="0" w:color="008FDD"/>
            </w:tcBorders>
            <w:shd w:val="clear" w:color="auto" w:fill="D4E3F5"/>
          </w:tcPr>
          <w:p>
            <w:pPr>
              <w:pStyle w:val="TableParagraph"/>
              <w:spacing w:before="43"/>
              <w:ind w:left="166"/>
              <w:jc w:val="left"/>
              <w:rPr>
                <w:sz w:val="14"/>
              </w:rPr>
            </w:pPr>
            <w:r>
              <w:rPr>
                <w:color w:val="231F20"/>
                <w:spacing w:val="-5"/>
                <w:w w:val="95"/>
                <w:sz w:val="14"/>
              </w:rPr>
              <w:t>2.7</w:t>
            </w:r>
          </w:p>
        </w:tc>
        <w:tc>
          <w:tcPr>
            <w:tcW w:w="480" w:type="dxa"/>
            <w:tcBorders>
              <w:top w:val="single" w:sz="4" w:space="0" w:color="008FDD"/>
            </w:tcBorders>
            <w:shd w:val="clear" w:color="auto" w:fill="D4E3F5"/>
          </w:tcPr>
          <w:p>
            <w:pPr>
              <w:pStyle w:val="TableParagraph"/>
              <w:spacing w:before="43"/>
              <w:ind w:left="102"/>
              <w:jc w:val="left"/>
              <w:rPr>
                <w:sz w:val="14"/>
              </w:rPr>
            </w:pPr>
            <w:r>
              <w:rPr>
                <w:color w:val="231F20"/>
                <w:spacing w:val="-5"/>
                <w:w w:val="95"/>
                <w:sz w:val="14"/>
              </w:rPr>
              <w:t>2.5</w:t>
            </w:r>
          </w:p>
        </w:tc>
        <w:tc>
          <w:tcPr>
            <w:tcW w:w="582" w:type="dxa"/>
            <w:tcBorders>
              <w:top w:val="single" w:sz="4" w:space="0" w:color="008FDD"/>
            </w:tcBorders>
            <w:shd w:val="clear" w:color="auto" w:fill="D4E3F5"/>
          </w:tcPr>
          <w:p>
            <w:pPr>
              <w:pStyle w:val="TableParagraph"/>
              <w:spacing w:before="43"/>
              <w:ind w:left="6" w:right="6"/>
              <w:rPr>
                <w:sz w:val="14"/>
              </w:rPr>
            </w:pPr>
            <w:r>
              <w:rPr>
                <w:color w:val="231F20"/>
                <w:spacing w:val="-5"/>
                <w:w w:val="95"/>
                <w:sz w:val="14"/>
              </w:rPr>
              <w:t>2.9</w:t>
            </w:r>
          </w:p>
        </w:tc>
        <w:tc>
          <w:tcPr>
            <w:tcW w:w="80" w:type="dxa"/>
            <w:tcBorders>
              <w:top w:val="single" w:sz="4" w:space="0" w:color="008FDD"/>
            </w:tcBorders>
            <w:shd w:val="clear" w:color="auto" w:fill="D4E3F5"/>
          </w:tcPr>
          <w:p>
            <w:pPr>
              <w:pStyle w:val="TableParagraph"/>
              <w:spacing w:before="0"/>
              <w:jc w:val="left"/>
              <w:rPr>
                <w:rFonts w:ascii="Times New Roman"/>
                <w:sz w:val="12"/>
              </w:rPr>
            </w:pPr>
          </w:p>
        </w:tc>
        <w:tc>
          <w:tcPr>
            <w:tcW w:w="463" w:type="dxa"/>
            <w:tcBorders>
              <w:top w:val="single" w:sz="4" w:space="0" w:color="008FDD"/>
            </w:tcBorders>
            <w:shd w:val="clear" w:color="auto" w:fill="D4E3F5"/>
          </w:tcPr>
          <w:p>
            <w:pPr>
              <w:pStyle w:val="TableParagraph"/>
              <w:spacing w:before="43"/>
              <w:ind w:left="8" w:right="48"/>
              <w:rPr>
                <w:sz w:val="14"/>
              </w:rPr>
            </w:pPr>
            <w:r>
              <w:rPr>
                <w:color w:val="231F20"/>
                <w:spacing w:val="-5"/>
                <w:w w:val="95"/>
                <w:sz w:val="14"/>
              </w:rPr>
              <w:t>2.4</w:t>
            </w:r>
          </w:p>
        </w:tc>
        <w:tc>
          <w:tcPr>
            <w:tcW w:w="574" w:type="dxa"/>
            <w:tcBorders>
              <w:top w:val="single" w:sz="4" w:space="0" w:color="008FDD"/>
            </w:tcBorders>
            <w:shd w:val="clear" w:color="auto" w:fill="D4E3F5"/>
          </w:tcPr>
          <w:p>
            <w:pPr>
              <w:pStyle w:val="TableParagraph"/>
              <w:spacing w:before="43"/>
              <w:ind w:left="158" w:right="70"/>
              <w:rPr>
                <w:sz w:val="14"/>
              </w:rPr>
            </w:pPr>
            <w:r>
              <w:rPr>
                <w:color w:val="231F20"/>
                <w:spacing w:val="-5"/>
                <w:w w:val="95"/>
                <w:sz w:val="14"/>
              </w:rPr>
              <w:t>90</w:t>
            </w:r>
          </w:p>
        </w:tc>
        <w:tc>
          <w:tcPr>
            <w:tcW w:w="126" w:type="dxa"/>
            <w:tcBorders>
              <w:top w:val="single" w:sz="4" w:space="0" w:color="008FDD"/>
            </w:tcBorders>
            <w:shd w:val="clear" w:color="auto" w:fill="D4E3F5"/>
          </w:tcPr>
          <w:p>
            <w:pPr>
              <w:pStyle w:val="TableParagraph"/>
              <w:spacing w:before="0"/>
              <w:jc w:val="left"/>
              <w:rPr>
                <w:rFonts w:ascii="Times New Roman"/>
                <w:sz w:val="12"/>
              </w:rPr>
            </w:pPr>
          </w:p>
        </w:tc>
        <w:tc>
          <w:tcPr>
            <w:tcW w:w="463" w:type="dxa"/>
            <w:tcBorders>
              <w:top w:val="single" w:sz="4" w:space="0" w:color="008FDD"/>
            </w:tcBorders>
            <w:shd w:val="clear" w:color="auto" w:fill="D4E3F5"/>
          </w:tcPr>
          <w:p>
            <w:pPr>
              <w:pStyle w:val="TableParagraph"/>
              <w:spacing w:before="43"/>
              <w:ind w:left="10" w:right="48"/>
              <w:rPr>
                <w:sz w:val="14"/>
              </w:rPr>
            </w:pPr>
            <w:r>
              <w:rPr>
                <w:color w:val="231F20"/>
                <w:spacing w:val="-5"/>
                <w:w w:val="95"/>
                <w:sz w:val="14"/>
              </w:rPr>
              <w:t>2.5</w:t>
            </w:r>
          </w:p>
        </w:tc>
        <w:tc>
          <w:tcPr>
            <w:tcW w:w="574" w:type="dxa"/>
            <w:tcBorders>
              <w:top w:val="single" w:sz="4" w:space="0" w:color="008FDD"/>
            </w:tcBorders>
            <w:shd w:val="clear" w:color="auto" w:fill="D4E3F5"/>
          </w:tcPr>
          <w:p>
            <w:pPr>
              <w:pStyle w:val="TableParagraph"/>
              <w:spacing w:before="43"/>
              <w:ind w:left="161" w:right="72"/>
              <w:rPr>
                <w:sz w:val="14"/>
              </w:rPr>
            </w:pPr>
            <w:r>
              <w:rPr>
                <w:color w:val="231F20"/>
                <w:spacing w:val="-5"/>
                <w:w w:val="95"/>
                <w:sz w:val="14"/>
              </w:rPr>
              <w:t>80</w:t>
            </w:r>
          </w:p>
        </w:tc>
        <w:tc>
          <w:tcPr>
            <w:tcW w:w="126" w:type="dxa"/>
            <w:tcBorders>
              <w:top w:val="single" w:sz="4" w:space="0" w:color="008FDD"/>
            </w:tcBorders>
            <w:shd w:val="clear" w:color="auto" w:fill="D4E3F5"/>
          </w:tcPr>
          <w:p>
            <w:pPr>
              <w:pStyle w:val="TableParagraph"/>
              <w:spacing w:before="0"/>
              <w:jc w:val="left"/>
              <w:rPr>
                <w:rFonts w:ascii="Times New Roman"/>
                <w:sz w:val="12"/>
              </w:rPr>
            </w:pPr>
          </w:p>
        </w:tc>
        <w:tc>
          <w:tcPr>
            <w:tcW w:w="463" w:type="dxa"/>
            <w:tcBorders>
              <w:top w:val="single" w:sz="4" w:space="0" w:color="008FDD"/>
            </w:tcBorders>
            <w:shd w:val="clear" w:color="auto" w:fill="D4E3F5"/>
          </w:tcPr>
          <w:p>
            <w:pPr>
              <w:pStyle w:val="TableParagraph"/>
              <w:spacing w:before="43"/>
              <w:ind w:left="10" w:right="48"/>
              <w:rPr>
                <w:sz w:val="14"/>
              </w:rPr>
            </w:pPr>
            <w:r>
              <w:rPr>
                <w:color w:val="231F20"/>
                <w:spacing w:val="-5"/>
                <w:w w:val="95"/>
                <w:sz w:val="14"/>
              </w:rPr>
              <w:t>2.7</w:t>
            </w:r>
          </w:p>
        </w:tc>
        <w:tc>
          <w:tcPr>
            <w:tcW w:w="574" w:type="dxa"/>
            <w:tcBorders>
              <w:top w:val="single" w:sz="4" w:space="0" w:color="008FDD"/>
            </w:tcBorders>
            <w:shd w:val="clear" w:color="auto" w:fill="D4E3F5"/>
          </w:tcPr>
          <w:p>
            <w:pPr>
              <w:pStyle w:val="TableParagraph"/>
              <w:spacing w:before="43"/>
              <w:ind w:left="161" w:right="70"/>
              <w:rPr>
                <w:sz w:val="14"/>
              </w:rPr>
            </w:pPr>
            <w:r>
              <w:rPr>
                <w:color w:val="231F20"/>
                <w:spacing w:val="-5"/>
                <w:w w:val="95"/>
                <w:sz w:val="14"/>
              </w:rPr>
              <w:t>85</w:t>
            </w:r>
          </w:p>
        </w:tc>
        <w:tc>
          <w:tcPr>
            <w:tcW w:w="126" w:type="dxa"/>
            <w:tcBorders>
              <w:top w:val="single" w:sz="4" w:space="0" w:color="008FDD"/>
            </w:tcBorders>
            <w:shd w:val="clear" w:color="auto" w:fill="D4E3F5"/>
          </w:tcPr>
          <w:p>
            <w:pPr>
              <w:pStyle w:val="TableParagraph"/>
              <w:spacing w:before="0"/>
              <w:jc w:val="left"/>
              <w:rPr>
                <w:rFonts w:ascii="Times New Roman"/>
                <w:sz w:val="12"/>
              </w:rPr>
            </w:pPr>
          </w:p>
        </w:tc>
        <w:tc>
          <w:tcPr>
            <w:tcW w:w="463" w:type="dxa"/>
            <w:tcBorders>
              <w:top w:val="single" w:sz="4" w:space="0" w:color="008FDD"/>
            </w:tcBorders>
            <w:shd w:val="clear" w:color="auto" w:fill="D4E3F5"/>
          </w:tcPr>
          <w:p>
            <w:pPr>
              <w:pStyle w:val="TableParagraph"/>
              <w:spacing w:before="43"/>
              <w:ind w:left="14" w:right="48"/>
              <w:rPr>
                <w:sz w:val="14"/>
              </w:rPr>
            </w:pPr>
            <w:r>
              <w:rPr>
                <w:color w:val="231F20"/>
                <w:spacing w:val="-5"/>
                <w:w w:val="95"/>
                <w:sz w:val="14"/>
              </w:rPr>
              <w:t>2.6</w:t>
            </w:r>
          </w:p>
        </w:tc>
        <w:tc>
          <w:tcPr>
            <w:tcW w:w="574" w:type="dxa"/>
            <w:tcBorders>
              <w:top w:val="single" w:sz="4" w:space="0" w:color="008FDD"/>
            </w:tcBorders>
            <w:shd w:val="clear" w:color="auto" w:fill="D4E3F5"/>
          </w:tcPr>
          <w:p>
            <w:pPr>
              <w:pStyle w:val="TableParagraph"/>
              <w:spacing w:before="43"/>
              <w:ind w:left="161" w:right="69"/>
              <w:rPr>
                <w:sz w:val="14"/>
              </w:rPr>
            </w:pPr>
            <w:r>
              <w:rPr>
                <w:color w:val="231F20"/>
                <w:spacing w:val="-5"/>
                <w:w w:val="95"/>
                <w:sz w:val="14"/>
              </w:rPr>
              <w:t>92</w:t>
            </w:r>
          </w:p>
        </w:tc>
        <w:tc>
          <w:tcPr>
            <w:tcW w:w="126" w:type="dxa"/>
            <w:tcBorders>
              <w:top w:val="single" w:sz="4" w:space="0" w:color="008FDD"/>
            </w:tcBorders>
            <w:shd w:val="clear" w:color="auto" w:fill="D4E3F5"/>
          </w:tcPr>
          <w:p>
            <w:pPr>
              <w:pStyle w:val="TableParagraph"/>
              <w:spacing w:before="0"/>
              <w:jc w:val="left"/>
              <w:rPr>
                <w:rFonts w:ascii="Times New Roman"/>
                <w:sz w:val="12"/>
              </w:rPr>
            </w:pPr>
          </w:p>
        </w:tc>
        <w:tc>
          <w:tcPr>
            <w:tcW w:w="463" w:type="dxa"/>
            <w:tcBorders>
              <w:top w:val="single" w:sz="4" w:space="0" w:color="008FDD"/>
            </w:tcBorders>
            <w:shd w:val="clear" w:color="auto" w:fill="D4E3F5"/>
          </w:tcPr>
          <w:p>
            <w:pPr>
              <w:pStyle w:val="TableParagraph"/>
              <w:spacing w:before="43"/>
              <w:ind w:left="16" w:right="48"/>
              <w:rPr>
                <w:sz w:val="14"/>
              </w:rPr>
            </w:pPr>
            <w:r>
              <w:rPr>
                <w:color w:val="231F20"/>
                <w:spacing w:val="-5"/>
                <w:w w:val="95"/>
                <w:sz w:val="14"/>
              </w:rPr>
              <w:t>3.0</w:t>
            </w:r>
          </w:p>
        </w:tc>
        <w:tc>
          <w:tcPr>
            <w:tcW w:w="574" w:type="dxa"/>
            <w:tcBorders>
              <w:top w:val="single" w:sz="4" w:space="0" w:color="008FDD"/>
            </w:tcBorders>
            <w:shd w:val="clear" w:color="auto" w:fill="D4E3F5"/>
          </w:tcPr>
          <w:p>
            <w:pPr>
              <w:pStyle w:val="TableParagraph"/>
              <w:spacing w:before="43"/>
              <w:ind w:left="161" w:right="67"/>
              <w:rPr>
                <w:sz w:val="14"/>
              </w:rPr>
            </w:pPr>
            <w:r>
              <w:rPr>
                <w:color w:val="231F20"/>
                <w:spacing w:val="-5"/>
                <w:w w:val="95"/>
                <w:sz w:val="14"/>
              </w:rPr>
              <w:t>87</w:t>
            </w:r>
          </w:p>
        </w:tc>
        <w:tc>
          <w:tcPr>
            <w:tcW w:w="126" w:type="dxa"/>
            <w:tcBorders>
              <w:top w:val="single" w:sz="4" w:space="0" w:color="008FDD"/>
            </w:tcBorders>
            <w:shd w:val="clear" w:color="auto" w:fill="D4E3F5"/>
          </w:tcPr>
          <w:p>
            <w:pPr>
              <w:pStyle w:val="TableParagraph"/>
              <w:spacing w:before="0"/>
              <w:jc w:val="left"/>
              <w:rPr>
                <w:rFonts w:ascii="Times New Roman"/>
                <w:sz w:val="12"/>
              </w:rPr>
            </w:pPr>
          </w:p>
        </w:tc>
        <w:tc>
          <w:tcPr>
            <w:tcW w:w="468" w:type="dxa"/>
            <w:tcBorders>
              <w:top w:val="single" w:sz="4" w:space="0" w:color="008FDD"/>
            </w:tcBorders>
            <w:shd w:val="clear" w:color="auto" w:fill="D4E3F5"/>
          </w:tcPr>
          <w:p>
            <w:pPr>
              <w:pStyle w:val="TableParagraph"/>
              <w:spacing w:before="43"/>
              <w:ind w:left="8" w:right="45"/>
              <w:rPr>
                <w:sz w:val="14"/>
              </w:rPr>
            </w:pPr>
            <w:r>
              <w:rPr>
                <w:color w:val="231F20"/>
                <w:spacing w:val="-5"/>
                <w:w w:val="95"/>
                <w:sz w:val="14"/>
              </w:rPr>
              <w:t>2.8</w:t>
            </w:r>
          </w:p>
        </w:tc>
        <w:tc>
          <w:tcPr>
            <w:tcW w:w="655" w:type="dxa"/>
            <w:tcBorders>
              <w:top w:val="single" w:sz="4" w:space="0" w:color="008FDD"/>
            </w:tcBorders>
            <w:shd w:val="clear" w:color="auto" w:fill="D4E3F5"/>
          </w:tcPr>
          <w:p>
            <w:pPr>
              <w:pStyle w:val="TableParagraph"/>
              <w:spacing w:before="43"/>
              <w:ind w:left="72" w:right="68"/>
              <w:rPr>
                <w:sz w:val="14"/>
              </w:rPr>
            </w:pPr>
            <w:r>
              <w:rPr>
                <w:color w:val="231F20"/>
                <w:spacing w:val="-5"/>
                <w:w w:val="95"/>
                <w:sz w:val="14"/>
              </w:rPr>
              <w:t>80</w:t>
            </w:r>
          </w:p>
        </w:tc>
      </w:tr>
      <w:tr>
        <w:trPr>
          <w:trHeight w:val="259" w:hRule="atLeast"/>
        </w:trPr>
        <w:tc>
          <w:tcPr>
            <w:tcW w:w="990" w:type="dxa"/>
          </w:tcPr>
          <w:p>
            <w:pPr>
              <w:pStyle w:val="TableParagraph"/>
              <w:ind w:left="80"/>
              <w:jc w:val="left"/>
              <w:rPr>
                <w:sz w:val="14"/>
              </w:rPr>
            </w:pPr>
            <w:r>
              <w:rPr>
                <w:color w:val="231F20"/>
                <w:spacing w:val="-2"/>
                <w:w w:val="90"/>
                <w:sz w:val="14"/>
              </w:rPr>
              <w:t>Ukraine</w:t>
            </w:r>
          </w:p>
        </w:tc>
        <w:tc>
          <w:tcPr>
            <w:tcW w:w="622" w:type="dxa"/>
          </w:tcPr>
          <w:p>
            <w:pPr>
              <w:pStyle w:val="TableParagraph"/>
              <w:ind w:left="67" w:right="101"/>
              <w:rPr>
                <w:sz w:val="14"/>
              </w:rPr>
            </w:pPr>
            <w:r>
              <w:rPr>
                <w:color w:val="231F20"/>
                <w:spacing w:val="-5"/>
                <w:w w:val="95"/>
                <w:sz w:val="14"/>
              </w:rPr>
              <w:t>79</w:t>
            </w:r>
          </w:p>
        </w:tc>
        <w:tc>
          <w:tcPr>
            <w:tcW w:w="644" w:type="dxa"/>
          </w:tcPr>
          <w:p>
            <w:pPr>
              <w:pStyle w:val="TableParagraph"/>
              <w:ind w:left="166"/>
              <w:jc w:val="left"/>
              <w:rPr>
                <w:sz w:val="14"/>
              </w:rPr>
            </w:pPr>
            <w:r>
              <w:rPr>
                <w:color w:val="231F20"/>
                <w:spacing w:val="-5"/>
                <w:w w:val="95"/>
                <w:sz w:val="14"/>
              </w:rPr>
              <w:t>2.7</w:t>
            </w:r>
          </w:p>
        </w:tc>
        <w:tc>
          <w:tcPr>
            <w:tcW w:w="480" w:type="dxa"/>
          </w:tcPr>
          <w:p>
            <w:pPr>
              <w:pStyle w:val="TableParagraph"/>
              <w:ind w:left="104"/>
              <w:jc w:val="left"/>
              <w:rPr>
                <w:sz w:val="14"/>
              </w:rPr>
            </w:pPr>
            <w:r>
              <w:rPr>
                <w:color w:val="231F20"/>
                <w:spacing w:val="-5"/>
                <w:w w:val="95"/>
                <w:sz w:val="14"/>
              </w:rPr>
              <w:t>2.4</w:t>
            </w:r>
          </w:p>
        </w:tc>
        <w:tc>
          <w:tcPr>
            <w:tcW w:w="582" w:type="dxa"/>
          </w:tcPr>
          <w:p>
            <w:pPr>
              <w:pStyle w:val="TableParagraph"/>
              <w:ind w:left="6" w:right="6"/>
              <w:rPr>
                <w:sz w:val="14"/>
              </w:rPr>
            </w:pPr>
            <w:r>
              <w:rPr>
                <w:color w:val="231F20"/>
                <w:spacing w:val="-5"/>
                <w:w w:val="95"/>
                <w:sz w:val="14"/>
              </w:rPr>
              <w:t>3.0</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2.4</w:t>
            </w:r>
          </w:p>
        </w:tc>
        <w:tc>
          <w:tcPr>
            <w:tcW w:w="574" w:type="dxa"/>
          </w:tcPr>
          <w:p>
            <w:pPr>
              <w:pStyle w:val="TableParagraph"/>
              <w:ind w:left="158" w:right="70"/>
              <w:rPr>
                <w:sz w:val="14"/>
              </w:rPr>
            </w:pPr>
            <w:r>
              <w:rPr>
                <w:color w:val="231F20"/>
                <w:spacing w:val="-5"/>
                <w:w w:val="95"/>
                <w:sz w:val="14"/>
              </w:rPr>
              <w:t>90</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2.4</w:t>
            </w:r>
          </w:p>
        </w:tc>
        <w:tc>
          <w:tcPr>
            <w:tcW w:w="574" w:type="dxa"/>
          </w:tcPr>
          <w:p>
            <w:pPr>
              <w:pStyle w:val="TableParagraph"/>
              <w:ind w:left="161" w:right="72"/>
              <w:rPr>
                <w:sz w:val="14"/>
              </w:rPr>
            </w:pPr>
            <w:r>
              <w:rPr>
                <w:color w:val="231F20"/>
                <w:spacing w:val="-5"/>
                <w:w w:val="95"/>
                <w:sz w:val="14"/>
              </w:rPr>
              <w:t>89</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2.8</w:t>
            </w:r>
          </w:p>
        </w:tc>
        <w:tc>
          <w:tcPr>
            <w:tcW w:w="574" w:type="dxa"/>
          </w:tcPr>
          <w:p>
            <w:pPr>
              <w:pStyle w:val="TableParagraph"/>
              <w:ind w:left="161" w:right="70"/>
              <w:rPr>
                <w:sz w:val="14"/>
              </w:rPr>
            </w:pPr>
            <w:r>
              <w:rPr>
                <w:color w:val="231F20"/>
                <w:spacing w:val="-5"/>
                <w:w w:val="95"/>
                <w:sz w:val="14"/>
              </w:rPr>
              <w:t>75</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2.6</w:t>
            </w:r>
          </w:p>
        </w:tc>
        <w:tc>
          <w:tcPr>
            <w:tcW w:w="574" w:type="dxa"/>
          </w:tcPr>
          <w:p>
            <w:pPr>
              <w:pStyle w:val="TableParagraph"/>
              <w:ind w:left="161" w:right="69"/>
              <w:rPr>
                <w:sz w:val="14"/>
              </w:rPr>
            </w:pPr>
            <w:r>
              <w:rPr>
                <w:color w:val="231F20"/>
                <w:spacing w:val="-5"/>
                <w:w w:val="95"/>
                <w:sz w:val="14"/>
              </w:rPr>
              <w:t>92</w:t>
            </w:r>
          </w:p>
        </w:tc>
        <w:tc>
          <w:tcPr>
            <w:tcW w:w="126" w:type="dxa"/>
          </w:tcPr>
          <w:p>
            <w:pPr>
              <w:pStyle w:val="TableParagraph"/>
              <w:spacing w:before="0"/>
              <w:jc w:val="left"/>
              <w:rPr>
                <w:rFonts w:ascii="Times New Roman"/>
                <w:sz w:val="12"/>
              </w:rPr>
            </w:pPr>
          </w:p>
        </w:tc>
        <w:tc>
          <w:tcPr>
            <w:tcW w:w="463" w:type="dxa"/>
          </w:tcPr>
          <w:p>
            <w:pPr>
              <w:pStyle w:val="TableParagraph"/>
              <w:ind w:left="6" w:right="48"/>
              <w:rPr>
                <w:sz w:val="14"/>
              </w:rPr>
            </w:pPr>
            <w:r>
              <w:rPr>
                <w:color w:val="231F20"/>
                <w:spacing w:val="-5"/>
                <w:w w:val="95"/>
                <w:sz w:val="14"/>
              </w:rPr>
              <w:t>3.1</w:t>
            </w:r>
          </w:p>
        </w:tc>
        <w:tc>
          <w:tcPr>
            <w:tcW w:w="574" w:type="dxa"/>
          </w:tcPr>
          <w:p>
            <w:pPr>
              <w:pStyle w:val="TableParagraph"/>
              <w:ind w:left="161" w:right="67"/>
              <w:rPr>
                <w:sz w:val="14"/>
              </w:rPr>
            </w:pPr>
            <w:r>
              <w:rPr>
                <w:color w:val="231F20"/>
                <w:spacing w:val="-5"/>
                <w:w w:val="95"/>
                <w:sz w:val="14"/>
              </w:rPr>
              <w:t>76</w:t>
            </w:r>
          </w:p>
        </w:tc>
        <w:tc>
          <w:tcPr>
            <w:tcW w:w="126" w:type="dxa"/>
          </w:tcPr>
          <w:p>
            <w:pPr>
              <w:pStyle w:val="TableParagraph"/>
              <w:spacing w:before="0"/>
              <w:jc w:val="left"/>
              <w:rPr>
                <w:rFonts w:ascii="Times New Roman"/>
                <w:sz w:val="12"/>
              </w:rPr>
            </w:pPr>
          </w:p>
        </w:tc>
        <w:tc>
          <w:tcPr>
            <w:tcW w:w="468" w:type="dxa"/>
          </w:tcPr>
          <w:p>
            <w:pPr>
              <w:pStyle w:val="TableParagraph"/>
              <w:ind w:left="9" w:right="45"/>
              <w:rPr>
                <w:sz w:val="14"/>
              </w:rPr>
            </w:pPr>
            <w:r>
              <w:rPr>
                <w:color w:val="231F20"/>
                <w:spacing w:val="-5"/>
                <w:w w:val="95"/>
                <w:sz w:val="14"/>
              </w:rPr>
              <w:t>2.6</w:t>
            </w:r>
          </w:p>
        </w:tc>
        <w:tc>
          <w:tcPr>
            <w:tcW w:w="655" w:type="dxa"/>
          </w:tcPr>
          <w:p>
            <w:pPr>
              <w:pStyle w:val="TableParagraph"/>
              <w:ind w:left="72" w:right="68"/>
              <w:rPr>
                <w:sz w:val="14"/>
              </w:rPr>
            </w:pPr>
            <w:r>
              <w:rPr>
                <w:color w:val="231F20"/>
                <w:spacing w:val="-5"/>
                <w:w w:val="95"/>
                <w:sz w:val="14"/>
              </w:rPr>
              <w:t>94</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Bangladesh</w:t>
            </w:r>
          </w:p>
        </w:tc>
        <w:tc>
          <w:tcPr>
            <w:tcW w:w="622" w:type="dxa"/>
            <w:shd w:val="clear" w:color="auto" w:fill="D4E3F5"/>
          </w:tcPr>
          <w:p>
            <w:pPr>
              <w:pStyle w:val="TableParagraph"/>
              <w:ind w:left="67" w:right="101"/>
              <w:rPr>
                <w:sz w:val="14"/>
              </w:rPr>
            </w:pPr>
            <w:r>
              <w:rPr>
                <w:color w:val="231F20"/>
                <w:spacing w:val="-5"/>
                <w:w w:val="95"/>
                <w:sz w:val="14"/>
              </w:rPr>
              <w:t>88</w:t>
            </w:r>
          </w:p>
        </w:tc>
        <w:tc>
          <w:tcPr>
            <w:tcW w:w="644" w:type="dxa"/>
            <w:shd w:val="clear" w:color="auto" w:fill="D4E3F5"/>
          </w:tcPr>
          <w:p>
            <w:pPr>
              <w:pStyle w:val="TableParagraph"/>
              <w:ind w:left="165"/>
              <w:jc w:val="left"/>
              <w:rPr>
                <w:sz w:val="14"/>
              </w:rPr>
            </w:pPr>
            <w:r>
              <w:rPr>
                <w:color w:val="231F20"/>
                <w:spacing w:val="-5"/>
                <w:w w:val="95"/>
                <w:sz w:val="14"/>
              </w:rPr>
              <w:t>2.6</w:t>
            </w:r>
          </w:p>
        </w:tc>
        <w:tc>
          <w:tcPr>
            <w:tcW w:w="480" w:type="dxa"/>
            <w:shd w:val="clear" w:color="auto" w:fill="D4E3F5"/>
          </w:tcPr>
          <w:p>
            <w:pPr>
              <w:pStyle w:val="TableParagraph"/>
              <w:ind w:left="102"/>
              <w:jc w:val="left"/>
              <w:rPr>
                <w:sz w:val="14"/>
              </w:rPr>
            </w:pPr>
            <w:r>
              <w:rPr>
                <w:color w:val="231F20"/>
                <w:spacing w:val="-5"/>
                <w:w w:val="95"/>
                <w:sz w:val="14"/>
              </w:rPr>
              <w:t>2.3</w:t>
            </w:r>
          </w:p>
        </w:tc>
        <w:tc>
          <w:tcPr>
            <w:tcW w:w="582" w:type="dxa"/>
            <w:shd w:val="clear" w:color="auto" w:fill="D4E3F5"/>
          </w:tcPr>
          <w:p>
            <w:pPr>
              <w:pStyle w:val="TableParagraph"/>
              <w:ind w:left="6" w:right="6"/>
              <w:rPr>
                <w:sz w:val="14"/>
              </w:rPr>
            </w:pPr>
            <w:r>
              <w:rPr>
                <w:color w:val="231F20"/>
                <w:spacing w:val="-5"/>
                <w:w w:val="95"/>
                <w:sz w:val="14"/>
              </w:rPr>
              <w:t>2.9</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2.3</w:t>
            </w:r>
          </w:p>
        </w:tc>
        <w:tc>
          <w:tcPr>
            <w:tcW w:w="574" w:type="dxa"/>
            <w:shd w:val="clear" w:color="auto" w:fill="D4E3F5"/>
          </w:tcPr>
          <w:p>
            <w:pPr>
              <w:pStyle w:val="TableParagraph"/>
              <w:ind w:left="161" w:right="138"/>
              <w:rPr>
                <w:sz w:val="14"/>
              </w:rPr>
            </w:pPr>
            <w:r>
              <w:rPr>
                <w:color w:val="231F20"/>
                <w:spacing w:val="-5"/>
                <w:w w:val="95"/>
                <w:sz w:val="14"/>
              </w:rPr>
              <w:t>101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2.3</w:t>
            </w:r>
          </w:p>
        </w:tc>
        <w:tc>
          <w:tcPr>
            <w:tcW w:w="574" w:type="dxa"/>
            <w:shd w:val="clear" w:color="auto" w:fill="D4E3F5"/>
          </w:tcPr>
          <w:p>
            <w:pPr>
              <w:pStyle w:val="TableParagraph"/>
              <w:ind w:left="161" w:right="139"/>
              <w:rPr>
                <w:sz w:val="14"/>
              </w:rPr>
            </w:pPr>
            <w:r>
              <w:rPr>
                <w:color w:val="231F20"/>
                <w:spacing w:val="-5"/>
                <w:w w:val="95"/>
                <w:sz w:val="14"/>
              </w:rPr>
              <w:t>108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2.6</w:t>
            </w:r>
          </w:p>
        </w:tc>
        <w:tc>
          <w:tcPr>
            <w:tcW w:w="574" w:type="dxa"/>
            <w:shd w:val="clear" w:color="auto" w:fill="D4E3F5"/>
          </w:tcPr>
          <w:p>
            <w:pPr>
              <w:pStyle w:val="TableParagraph"/>
              <w:ind w:left="161" w:right="70"/>
              <w:rPr>
                <w:sz w:val="14"/>
              </w:rPr>
            </w:pPr>
            <w:r>
              <w:rPr>
                <w:color w:val="231F20"/>
                <w:spacing w:val="-5"/>
                <w:w w:val="95"/>
                <w:sz w:val="14"/>
              </w:rPr>
              <w:t>91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2.7</w:t>
            </w:r>
          </w:p>
        </w:tc>
        <w:tc>
          <w:tcPr>
            <w:tcW w:w="574" w:type="dxa"/>
            <w:shd w:val="clear" w:color="auto" w:fill="D4E3F5"/>
          </w:tcPr>
          <w:p>
            <w:pPr>
              <w:pStyle w:val="TableParagraph"/>
              <w:ind w:left="161" w:right="69"/>
              <w:rPr>
                <w:sz w:val="14"/>
              </w:rPr>
            </w:pPr>
            <w:r>
              <w:rPr>
                <w:color w:val="231F20"/>
                <w:spacing w:val="-5"/>
                <w:w w:val="95"/>
                <w:sz w:val="14"/>
              </w:rPr>
              <w:t>81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6" w:right="48"/>
              <w:rPr>
                <w:sz w:val="14"/>
              </w:rPr>
            </w:pPr>
            <w:r>
              <w:rPr>
                <w:color w:val="231F20"/>
                <w:spacing w:val="-5"/>
                <w:w w:val="95"/>
                <w:sz w:val="14"/>
              </w:rPr>
              <w:t>3.0</w:t>
            </w:r>
          </w:p>
        </w:tc>
        <w:tc>
          <w:tcPr>
            <w:tcW w:w="574" w:type="dxa"/>
            <w:shd w:val="clear" w:color="auto" w:fill="D4E3F5"/>
          </w:tcPr>
          <w:p>
            <w:pPr>
              <w:pStyle w:val="TableParagraph"/>
              <w:ind w:left="161" w:right="67"/>
              <w:rPr>
                <w:sz w:val="14"/>
              </w:rPr>
            </w:pPr>
            <w:r>
              <w:rPr>
                <w:color w:val="231F20"/>
                <w:spacing w:val="-5"/>
                <w:w w:val="95"/>
                <w:sz w:val="14"/>
              </w:rPr>
              <w:t>87</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2.4</w:t>
            </w:r>
          </w:p>
        </w:tc>
        <w:tc>
          <w:tcPr>
            <w:tcW w:w="655" w:type="dxa"/>
            <w:shd w:val="clear" w:color="auto" w:fill="D4E3F5"/>
          </w:tcPr>
          <w:p>
            <w:pPr>
              <w:pStyle w:val="TableParagraph"/>
              <w:ind w:left="72" w:right="132"/>
              <w:rPr>
                <w:sz w:val="14"/>
              </w:rPr>
            </w:pPr>
            <w:r>
              <w:rPr>
                <w:color w:val="231F20"/>
                <w:spacing w:val="-5"/>
                <w:w w:val="95"/>
                <w:sz w:val="14"/>
              </w:rPr>
              <w:t>105</w:t>
            </w:r>
          </w:p>
        </w:tc>
      </w:tr>
      <w:tr>
        <w:trPr>
          <w:trHeight w:val="259" w:hRule="atLeast"/>
        </w:trPr>
        <w:tc>
          <w:tcPr>
            <w:tcW w:w="990" w:type="dxa"/>
          </w:tcPr>
          <w:p>
            <w:pPr>
              <w:pStyle w:val="TableParagraph"/>
              <w:ind w:left="80"/>
              <w:jc w:val="left"/>
              <w:rPr>
                <w:sz w:val="14"/>
              </w:rPr>
            </w:pPr>
            <w:r>
              <w:rPr>
                <w:color w:val="231F20"/>
                <w:w w:val="75"/>
                <w:sz w:val="14"/>
              </w:rPr>
              <w:t>Congo,</w:t>
            </w:r>
            <w:r>
              <w:rPr>
                <w:color w:val="231F20"/>
                <w:spacing w:val="10"/>
                <w:sz w:val="14"/>
              </w:rPr>
              <w:t> </w:t>
            </w:r>
            <w:r>
              <w:rPr>
                <w:color w:val="231F20"/>
                <w:spacing w:val="-4"/>
                <w:w w:val="90"/>
                <w:sz w:val="14"/>
              </w:rPr>
              <w:t>Rep.</w:t>
            </w:r>
          </w:p>
        </w:tc>
        <w:tc>
          <w:tcPr>
            <w:tcW w:w="622" w:type="dxa"/>
          </w:tcPr>
          <w:p>
            <w:pPr>
              <w:pStyle w:val="TableParagraph"/>
              <w:ind w:left="67" w:right="101"/>
              <w:rPr>
                <w:sz w:val="14"/>
              </w:rPr>
            </w:pPr>
            <w:r>
              <w:rPr>
                <w:color w:val="231F20"/>
                <w:spacing w:val="-5"/>
                <w:w w:val="95"/>
                <w:sz w:val="14"/>
              </w:rPr>
              <w:t>88</w:t>
            </w:r>
          </w:p>
        </w:tc>
        <w:tc>
          <w:tcPr>
            <w:tcW w:w="644" w:type="dxa"/>
          </w:tcPr>
          <w:p>
            <w:pPr>
              <w:pStyle w:val="TableParagraph"/>
              <w:ind w:left="165"/>
              <w:jc w:val="left"/>
              <w:rPr>
                <w:sz w:val="14"/>
              </w:rPr>
            </w:pPr>
            <w:r>
              <w:rPr>
                <w:color w:val="231F20"/>
                <w:spacing w:val="-5"/>
                <w:w w:val="95"/>
                <w:sz w:val="14"/>
              </w:rPr>
              <w:t>2.6</w:t>
            </w:r>
          </w:p>
        </w:tc>
        <w:tc>
          <w:tcPr>
            <w:tcW w:w="480" w:type="dxa"/>
          </w:tcPr>
          <w:p>
            <w:pPr>
              <w:pStyle w:val="TableParagraph"/>
              <w:ind w:left="102"/>
              <w:jc w:val="left"/>
              <w:rPr>
                <w:sz w:val="14"/>
              </w:rPr>
            </w:pPr>
            <w:r>
              <w:rPr>
                <w:color w:val="231F20"/>
                <w:spacing w:val="-5"/>
                <w:w w:val="95"/>
                <w:sz w:val="14"/>
              </w:rPr>
              <w:t>2.3</w:t>
            </w:r>
          </w:p>
        </w:tc>
        <w:tc>
          <w:tcPr>
            <w:tcW w:w="582" w:type="dxa"/>
          </w:tcPr>
          <w:p>
            <w:pPr>
              <w:pStyle w:val="TableParagraph"/>
              <w:ind w:left="6" w:right="6"/>
              <w:rPr>
                <w:sz w:val="14"/>
              </w:rPr>
            </w:pPr>
            <w:r>
              <w:rPr>
                <w:color w:val="231F20"/>
                <w:spacing w:val="-5"/>
                <w:w w:val="95"/>
                <w:sz w:val="14"/>
              </w:rPr>
              <w:t>2.9</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2.3</w:t>
            </w:r>
          </w:p>
        </w:tc>
        <w:tc>
          <w:tcPr>
            <w:tcW w:w="574" w:type="dxa"/>
          </w:tcPr>
          <w:p>
            <w:pPr>
              <w:pStyle w:val="TableParagraph"/>
              <w:ind w:left="161" w:right="138"/>
              <w:rPr>
                <w:sz w:val="14"/>
              </w:rPr>
            </w:pPr>
            <w:r>
              <w:rPr>
                <w:color w:val="231F20"/>
                <w:spacing w:val="-5"/>
                <w:w w:val="95"/>
                <w:sz w:val="14"/>
              </w:rPr>
              <w:t>101</w:t>
            </w:r>
          </w:p>
        </w:tc>
        <w:tc>
          <w:tcPr>
            <w:tcW w:w="126" w:type="dxa"/>
          </w:tcPr>
          <w:p>
            <w:pPr>
              <w:pStyle w:val="TableParagraph"/>
              <w:spacing w:before="0"/>
              <w:jc w:val="left"/>
              <w:rPr>
                <w:rFonts w:ascii="Times New Roman"/>
                <w:sz w:val="12"/>
              </w:rPr>
            </w:pPr>
          </w:p>
        </w:tc>
        <w:tc>
          <w:tcPr>
            <w:tcW w:w="463" w:type="dxa"/>
          </w:tcPr>
          <w:p>
            <w:pPr>
              <w:pStyle w:val="TableParagraph"/>
              <w:ind w:left="2" w:right="48"/>
              <w:rPr>
                <w:sz w:val="14"/>
              </w:rPr>
            </w:pPr>
            <w:r>
              <w:rPr>
                <w:color w:val="231F20"/>
                <w:spacing w:val="-5"/>
                <w:w w:val="95"/>
                <w:sz w:val="14"/>
              </w:rPr>
              <w:t>2.1</w:t>
            </w:r>
          </w:p>
        </w:tc>
        <w:tc>
          <w:tcPr>
            <w:tcW w:w="574" w:type="dxa"/>
          </w:tcPr>
          <w:p>
            <w:pPr>
              <w:pStyle w:val="TableParagraph"/>
              <w:ind w:left="161" w:right="136"/>
              <w:rPr>
                <w:sz w:val="14"/>
              </w:rPr>
            </w:pPr>
            <w:r>
              <w:rPr>
                <w:color w:val="231F20"/>
                <w:spacing w:val="-5"/>
                <w:w w:val="95"/>
                <w:sz w:val="14"/>
              </w:rPr>
              <w:t>125</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2.6</w:t>
            </w:r>
          </w:p>
        </w:tc>
        <w:tc>
          <w:tcPr>
            <w:tcW w:w="574" w:type="dxa"/>
          </w:tcPr>
          <w:p>
            <w:pPr>
              <w:pStyle w:val="TableParagraph"/>
              <w:ind w:left="161" w:right="70"/>
              <w:rPr>
                <w:sz w:val="14"/>
              </w:rPr>
            </w:pPr>
            <w:r>
              <w:rPr>
                <w:color w:val="231F20"/>
                <w:spacing w:val="-5"/>
                <w:w w:val="95"/>
                <w:sz w:val="14"/>
              </w:rPr>
              <w:t>91</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2.9</w:t>
            </w:r>
          </w:p>
        </w:tc>
        <w:tc>
          <w:tcPr>
            <w:tcW w:w="574" w:type="dxa"/>
          </w:tcPr>
          <w:p>
            <w:pPr>
              <w:pStyle w:val="TableParagraph"/>
              <w:ind w:left="161" w:right="69"/>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2.9</w:t>
            </w:r>
          </w:p>
        </w:tc>
        <w:tc>
          <w:tcPr>
            <w:tcW w:w="574" w:type="dxa"/>
          </w:tcPr>
          <w:p>
            <w:pPr>
              <w:pStyle w:val="TableParagraph"/>
              <w:ind w:left="161" w:right="67"/>
              <w:rPr>
                <w:sz w:val="14"/>
              </w:rPr>
            </w:pPr>
            <w:r>
              <w:rPr>
                <w:color w:val="231F20"/>
                <w:spacing w:val="-5"/>
                <w:w w:val="95"/>
                <w:sz w:val="14"/>
              </w:rPr>
              <w:t>93</w:t>
            </w:r>
          </w:p>
        </w:tc>
        <w:tc>
          <w:tcPr>
            <w:tcW w:w="126" w:type="dxa"/>
          </w:tcPr>
          <w:p>
            <w:pPr>
              <w:pStyle w:val="TableParagraph"/>
              <w:spacing w:before="0"/>
              <w:jc w:val="left"/>
              <w:rPr>
                <w:rFonts w:ascii="Times New Roman"/>
                <w:sz w:val="12"/>
              </w:rPr>
            </w:pPr>
          </w:p>
        </w:tc>
        <w:tc>
          <w:tcPr>
            <w:tcW w:w="468" w:type="dxa"/>
          </w:tcPr>
          <w:p>
            <w:pPr>
              <w:pStyle w:val="TableParagraph"/>
              <w:ind w:left="6" w:right="45"/>
              <w:rPr>
                <w:sz w:val="14"/>
              </w:rPr>
            </w:pPr>
            <w:r>
              <w:rPr>
                <w:color w:val="231F20"/>
                <w:spacing w:val="-5"/>
                <w:w w:val="95"/>
                <w:sz w:val="14"/>
              </w:rPr>
              <w:t>2.7</w:t>
            </w:r>
          </w:p>
        </w:tc>
        <w:tc>
          <w:tcPr>
            <w:tcW w:w="655" w:type="dxa"/>
          </w:tcPr>
          <w:p>
            <w:pPr>
              <w:pStyle w:val="TableParagraph"/>
              <w:ind w:left="72" w:right="68"/>
              <w:rPr>
                <w:sz w:val="14"/>
              </w:rPr>
            </w:pPr>
            <w:r>
              <w:rPr>
                <w:color w:val="231F20"/>
                <w:spacing w:val="-5"/>
                <w:w w:val="95"/>
                <w:sz w:val="14"/>
              </w:rPr>
              <w:t>87</w:t>
            </w:r>
          </w:p>
        </w:tc>
      </w:tr>
      <w:tr>
        <w:trPr>
          <w:trHeight w:val="419" w:hRule="atLeast"/>
        </w:trPr>
        <w:tc>
          <w:tcPr>
            <w:tcW w:w="990" w:type="dxa"/>
            <w:shd w:val="clear" w:color="auto" w:fill="D4E3F5"/>
          </w:tcPr>
          <w:p>
            <w:pPr>
              <w:pStyle w:val="TableParagraph"/>
              <w:ind w:left="80"/>
              <w:jc w:val="left"/>
              <w:rPr>
                <w:sz w:val="14"/>
              </w:rPr>
            </w:pPr>
            <w:r>
              <w:rPr>
                <w:color w:val="231F20"/>
                <w:spacing w:val="-2"/>
                <w:w w:val="80"/>
                <w:sz w:val="14"/>
              </w:rPr>
              <w:t>Dominican</w:t>
            </w:r>
            <w:r>
              <w:rPr>
                <w:color w:val="231F20"/>
                <w:spacing w:val="40"/>
                <w:sz w:val="14"/>
              </w:rPr>
              <w:t> </w:t>
            </w:r>
            <w:r>
              <w:rPr>
                <w:color w:val="231F20"/>
                <w:spacing w:val="-2"/>
                <w:w w:val="90"/>
                <w:sz w:val="14"/>
              </w:rPr>
              <w:t>Republic</w:t>
            </w:r>
          </w:p>
        </w:tc>
        <w:tc>
          <w:tcPr>
            <w:tcW w:w="622" w:type="dxa"/>
            <w:shd w:val="clear" w:color="auto" w:fill="D4E3F5"/>
          </w:tcPr>
          <w:p>
            <w:pPr>
              <w:pStyle w:val="TableParagraph"/>
              <w:spacing w:before="47"/>
              <w:jc w:val="left"/>
              <w:rPr>
                <w:sz w:val="14"/>
              </w:rPr>
            </w:pPr>
          </w:p>
          <w:p>
            <w:pPr>
              <w:pStyle w:val="TableParagraph"/>
              <w:spacing w:before="0"/>
              <w:ind w:left="67" w:right="101"/>
              <w:rPr>
                <w:sz w:val="14"/>
              </w:rPr>
            </w:pPr>
            <w:r>
              <w:rPr>
                <w:color w:val="231F20"/>
                <w:spacing w:val="-5"/>
                <w:w w:val="95"/>
                <w:sz w:val="14"/>
              </w:rPr>
              <w:t>88</w:t>
            </w:r>
          </w:p>
        </w:tc>
        <w:tc>
          <w:tcPr>
            <w:tcW w:w="644" w:type="dxa"/>
            <w:shd w:val="clear" w:color="auto" w:fill="D4E3F5"/>
          </w:tcPr>
          <w:p>
            <w:pPr>
              <w:pStyle w:val="TableParagraph"/>
              <w:spacing w:before="47"/>
              <w:jc w:val="left"/>
              <w:rPr>
                <w:sz w:val="14"/>
              </w:rPr>
            </w:pPr>
          </w:p>
          <w:p>
            <w:pPr>
              <w:pStyle w:val="TableParagraph"/>
              <w:spacing w:before="0"/>
              <w:ind w:left="165"/>
              <w:jc w:val="left"/>
              <w:rPr>
                <w:sz w:val="14"/>
              </w:rPr>
            </w:pPr>
            <w:r>
              <w:rPr>
                <w:color w:val="231F20"/>
                <w:spacing w:val="-5"/>
                <w:w w:val="95"/>
                <w:sz w:val="14"/>
              </w:rPr>
              <w:t>2.6</w:t>
            </w:r>
          </w:p>
        </w:tc>
        <w:tc>
          <w:tcPr>
            <w:tcW w:w="480" w:type="dxa"/>
            <w:shd w:val="clear" w:color="auto" w:fill="D4E3F5"/>
          </w:tcPr>
          <w:p>
            <w:pPr>
              <w:pStyle w:val="TableParagraph"/>
              <w:spacing w:before="47"/>
              <w:jc w:val="left"/>
              <w:rPr>
                <w:sz w:val="14"/>
              </w:rPr>
            </w:pPr>
          </w:p>
          <w:p>
            <w:pPr>
              <w:pStyle w:val="TableParagraph"/>
              <w:spacing w:before="0"/>
              <w:ind w:left="102"/>
              <w:jc w:val="left"/>
              <w:rPr>
                <w:sz w:val="14"/>
              </w:rPr>
            </w:pPr>
            <w:r>
              <w:rPr>
                <w:color w:val="231F20"/>
                <w:spacing w:val="-5"/>
                <w:w w:val="95"/>
                <w:sz w:val="14"/>
              </w:rPr>
              <w:t>2.3</w:t>
            </w:r>
          </w:p>
        </w:tc>
        <w:tc>
          <w:tcPr>
            <w:tcW w:w="582" w:type="dxa"/>
            <w:shd w:val="clear" w:color="auto" w:fill="D4E3F5"/>
          </w:tcPr>
          <w:p>
            <w:pPr>
              <w:pStyle w:val="TableParagraph"/>
              <w:spacing w:before="47"/>
              <w:jc w:val="left"/>
              <w:rPr>
                <w:sz w:val="14"/>
              </w:rPr>
            </w:pPr>
          </w:p>
          <w:p>
            <w:pPr>
              <w:pStyle w:val="TableParagraph"/>
              <w:spacing w:before="0"/>
              <w:ind w:left="6" w:right="6"/>
              <w:rPr>
                <w:sz w:val="14"/>
              </w:rPr>
            </w:pPr>
            <w:r>
              <w:rPr>
                <w:color w:val="231F20"/>
                <w:spacing w:val="-5"/>
                <w:w w:val="95"/>
                <w:sz w:val="14"/>
              </w:rPr>
              <w:t>2.9</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10" w:right="48"/>
              <w:rPr>
                <w:sz w:val="14"/>
              </w:rPr>
            </w:pPr>
            <w:r>
              <w:rPr>
                <w:color w:val="231F20"/>
                <w:spacing w:val="-5"/>
                <w:w w:val="95"/>
                <w:sz w:val="14"/>
              </w:rPr>
              <w:t>2.6</w:t>
            </w:r>
          </w:p>
        </w:tc>
        <w:tc>
          <w:tcPr>
            <w:tcW w:w="574" w:type="dxa"/>
            <w:shd w:val="clear" w:color="auto" w:fill="D4E3F5"/>
          </w:tcPr>
          <w:p>
            <w:pPr>
              <w:pStyle w:val="TableParagraph"/>
              <w:spacing w:before="47"/>
              <w:jc w:val="left"/>
              <w:rPr>
                <w:sz w:val="14"/>
              </w:rPr>
            </w:pPr>
          </w:p>
          <w:p>
            <w:pPr>
              <w:pStyle w:val="TableParagraph"/>
              <w:spacing w:before="0"/>
              <w:ind w:left="158" w:right="70"/>
              <w:rPr>
                <w:sz w:val="14"/>
              </w:rPr>
            </w:pPr>
            <w:r>
              <w:rPr>
                <w:color w:val="231F20"/>
                <w:spacing w:val="-5"/>
                <w:w w:val="95"/>
                <w:sz w:val="14"/>
              </w:rPr>
              <w:t>74</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8" w:right="48"/>
              <w:rPr>
                <w:sz w:val="14"/>
              </w:rPr>
            </w:pPr>
            <w:r>
              <w:rPr>
                <w:color w:val="231F20"/>
                <w:spacing w:val="-5"/>
                <w:w w:val="95"/>
                <w:sz w:val="14"/>
              </w:rPr>
              <w:t>2.7</w:t>
            </w:r>
          </w:p>
        </w:tc>
        <w:tc>
          <w:tcPr>
            <w:tcW w:w="574" w:type="dxa"/>
            <w:shd w:val="clear" w:color="auto" w:fill="D4E3F5"/>
          </w:tcPr>
          <w:p>
            <w:pPr>
              <w:pStyle w:val="TableParagraph"/>
              <w:spacing w:before="47"/>
              <w:jc w:val="left"/>
              <w:rPr>
                <w:sz w:val="14"/>
              </w:rPr>
            </w:pPr>
          </w:p>
          <w:p>
            <w:pPr>
              <w:pStyle w:val="TableParagraph"/>
              <w:spacing w:before="0"/>
              <w:ind w:left="161" w:right="72"/>
              <w:rPr>
                <w:sz w:val="14"/>
              </w:rPr>
            </w:pPr>
            <w:r>
              <w:rPr>
                <w:color w:val="231F20"/>
                <w:spacing w:val="-5"/>
                <w:w w:val="95"/>
                <w:sz w:val="14"/>
              </w:rPr>
              <w:t>68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11" w:right="48"/>
              <w:rPr>
                <w:sz w:val="14"/>
              </w:rPr>
            </w:pPr>
            <w:r>
              <w:rPr>
                <w:color w:val="231F20"/>
                <w:spacing w:val="-5"/>
                <w:w w:val="95"/>
                <w:sz w:val="14"/>
              </w:rPr>
              <w:t>2.4</w:t>
            </w:r>
          </w:p>
        </w:tc>
        <w:tc>
          <w:tcPr>
            <w:tcW w:w="574" w:type="dxa"/>
            <w:shd w:val="clear" w:color="auto" w:fill="D4E3F5"/>
          </w:tcPr>
          <w:p>
            <w:pPr>
              <w:pStyle w:val="TableParagraph"/>
              <w:spacing w:before="47"/>
              <w:jc w:val="left"/>
              <w:rPr>
                <w:sz w:val="14"/>
              </w:rPr>
            </w:pPr>
          </w:p>
          <w:p>
            <w:pPr>
              <w:pStyle w:val="TableParagraph"/>
              <w:spacing w:before="0"/>
              <w:ind w:left="161" w:right="131"/>
              <w:rPr>
                <w:sz w:val="14"/>
              </w:rPr>
            </w:pPr>
            <w:r>
              <w:rPr>
                <w:color w:val="231F20"/>
                <w:spacing w:val="-5"/>
                <w:w w:val="95"/>
                <w:sz w:val="14"/>
              </w:rPr>
              <w:t>111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14" w:right="48"/>
              <w:rPr>
                <w:sz w:val="14"/>
              </w:rPr>
            </w:pPr>
            <w:r>
              <w:rPr>
                <w:color w:val="231F20"/>
                <w:spacing w:val="-5"/>
                <w:w w:val="95"/>
                <w:sz w:val="14"/>
              </w:rPr>
              <w:t>2.6</w:t>
            </w:r>
          </w:p>
        </w:tc>
        <w:tc>
          <w:tcPr>
            <w:tcW w:w="574" w:type="dxa"/>
            <w:shd w:val="clear" w:color="auto" w:fill="D4E3F5"/>
          </w:tcPr>
          <w:p>
            <w:pPr>
              <w:pStyle w:val="TableParagraph"/>
              <w:spacing w:before="47"/>
              <w:jc w:val="left"/>
              <w:rPr>
                <w:sz w:val="14"/>
              </w:rPr>
            </w:pPr>
          </w:p>
          <w:p>
            <w:pPr>
              <w:pStyle w:val="TableParagraph"/>
              <w:spacing w:before="0"/>
              <w:ind w:left="161" w:right="69"/>
              <w:rPr>
                <w:sz w:val="14"/>
              </w:rPr>
            </w:pPr>
            <w:r>
              <w:rPr>
                <w:color w:val="231F20"/>
                <w:spacing w:val="-5"/>
                <w:w w:val="95"/>
                <w:sz w:val="14"/>
              </w:rPr>
              <w:t>92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6" w:right="48"/>
              <w:rPr>
                <w:sz w:val="14"/>
              </w:rPr>
            </w:pPr>
            <w:r>
              <w:rPr>
                <w:color w:val="231F20"/>
                <w:spacing w:val="-5"/>
                <w:w w:val="95"/>
                <w:sz w:val="14"/>
              </w:rPr>
              <w:t>3.1</w:t>
            </w:r>
          </w:p>
        </w:tc>
        <w:tc>
          <w:tcPr>
            <w:tcW w:w="574" w:type="dxa"/>
            <w:shd w:val="clear" w:color="auto" w:fill="D4E3F5"/>
          </w:tcPr>
          <w:p>
            <w:pPr>
              <w:pStyle w:val="TableParagraph"/>
              <w:spacing w:before="47"/>
              <w:jc w:val="left"/>
              <w:rPr>
                <w:sz w:val="14"/>
              </w:rPr>
            </w:pPr>
          </w:p>
          <w:p>
            <w:pPr>
              <w:pStyle w:val="TableParagraph"/>
              <w:spacing w:before="0"/>
              <w:ind w:left="161" w:right="67"/>
              <w:rPr>
                <w:sz w:val="14"/>
              </w:rPr>
            </w:pPr>
            <w:r>
              <w:rPr>
                <w:color w:val="231F20"/>
                <w:spacing w:val="-5"/>
                <w:w w:val="95"/>
                <w:sz w:val="14"/>
              </w:rPr>
              <w:t>76</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spacing w:before="47"/>
              <w:jc w:val="left"/>
              <w:rPr>
                <w:sz w:val="14"/>
              </w:rPr>
            </w:pPr>
          </w:p>
          <w:p>
            <w:pPr>
              <w:pStyle w:val="TableParagraph"/>
              <w:spacing w:before="0"/>
              <w:ind w:left="8" w:right="45"/>
              <w:rPr>
                <w:sz w:val="14"/>
              </w:rPr>
            </w:pPr>
            <w:r>
              <w:rPr>
                <w:color w:val="231F20"/>
                <w:spacing w:val="-5"/>
                <w:w w:val="95"/>
                <w:sz w:val="14"/>
              </w:rPr>
              <w:t>2.4</w:t>
            </w:r>
          </w:p>
        </w:tc>
        <w:tc>
          <w:tcPr>
            <w:tcW w:w="655" w:type="dxa"/>
            <w:shd w:val="clear" w:color="auto" w:fill="D4E3F5"/>
          </w:tcPr>
          <w:p>
            <w:pPr>
              <w:pStyle w:val="TableParagraph"/>
              <w:spacing w:before="47"/>
              <w:jc w:val="left"/>
              <w:rPr>
                <w:sz w:val="14"/>
              </w:rPr>
            </w:pPr>
          </w:p>
          <w:p>
            <w:pPr>
              <w:pStyle w:val="TableParagraph"/>
              <w:spacing w:before="0"/>
              <w:ind w:left="72" w:right="132"/>
              <w:rPr>
                <w:sz w:val="14"/>
              </w:rPr>
            </w:pPr>
            <w:r>
              <w:rPr>
                <w:color w:val="231F20"/>
                <w:spacing w:val="-5"/>
                <w:w w:val="95"/>
                <w:sz w:val="14"/>
              </w:rPr>
              <w:t>105</w:t>
            </w:r>
          </w:p>
        </w:tc>
      </w:tr>
      <w:tr>
        <w:trPr>
          <w:trHeight w:val="259" w:hRule="atLeast"/>
        </w:trPr>
        <w:tc>
          <w:tcPr>
            <w:tcW w:w="990" w:type="dxa"/>
          </w:tcPr>
          <w:p>
            <w:pPr>
              <w:pStyle w:val="TableParagraph"/>
              <w:ind w:left="80"/>
              <w:jc w:val="left"/>
              <w:rPr>
                <w:sz w:val="14"/>
              </w:rPr>
            </w:pPr>
            <w:r>
              <w:rPr>
                <w:color w:val="231F20"/>
                <w:spacing w:val="-2"/>
                <w:w w:val="90"/>
                <w:sz w:val="14"/>
              </w:rPr>
              <w:t>Guatemala</w:t>
            </w:r>
          </w:p>
        </w:tc>
        <w:tc>
          <w:tcPr>
            <w:tcW w:w="622" w:type="dxa"/>
          </w:tcPr>
          <w:p>
            <w:pPr>
              <w:pStyle w:val="TableParagraph"/>
              <w:ind w:left="67" w:right="101"/>
              <w:rPr>
                <w:sz w:val="14"/>
              </w:rPr>
            </w:pPr>
            <w:r>
              <w:rPr>
                <w:color w:val="231F20"/>
                <w:spacing w:val="-5"/>
                <w:w w:val="95"/>
                <w:sz w:val="14"/>
              </w:rPr>
              <w:t>88</w:t>
            </w:r>
          </w:p>
        </w:tc>
        <w:tc>
          <w:tcPr>
            <w:tcW w:w="644" w:type="dxa"/>
          </w:tcPr>
          <w:p>
            <w:pPr>
              <w:pStyle w:val="TableParagraph"/>
              <w:ind w:left="165"/>
              <w:jc w:val="left"/>
              <w:rPr>
                <w:sz w:val="14"/>
              </w:rPr>
            </w:pPr>
            <w:r>
              <w:rPr>
                <w:color w:val="231F20"/>
                <w:spacing w:val="-5"/>
                <w:w w:val="95"/>
                <w:sz w:val="14"/>
              </w:rPr>
              <w:t>2.6</w:t>
            </w:r>
          </w:p>
        </w:tc>
        <w:tc>
          <w:tcPr>
            <w:tcW w:w="480" w:type="dxa"/>
          </w:tcPr>
          <w:p>
            <w:pPr>
              <w:pStyle w:val="TableParagraph"/>
              <w:ind w:left="104"/>
              <w:jc w:val="left"/>
              <w:rPr>
                <w:sz w:val="14"/>
              </w:rPr>
            </w:pPr>
            <w:r>
              <w:rPr>
                <w:color w:val="231F20"/>
                <w:spacing w:val="-5"/>
                <w:w w:val="95"/>
                <w:sz w:val="14"/>
              </w:rPr>
              <w:t>2.4</w:t>
            </w:r>
          </w:p>
        </w:tc>
        <w:tc>
          <w:tcPr>
            <w:tcW w:w="582" w:type="dxa"/>
          </w:tcPr>
          <w:p>
            <w:pPr>
              <w:pStyle w:val="TableParagraph"/>
              <w:ind w:left="6" w:right="6"/>
              <w:rPr>
                <w:sz w:val="14"/>
              </w:rPr>
            </w:pPr>
            <w:r>
              <w:rPr>
                <w:color w:val="231F20"/>
                <w:spacing w:val="-5"/>
                <w:w w:val="95"/>
                <w:sz w:val="14"/>
              </w:rPr>
              <w:t>2.8</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2.3</w:t>
            </w:r>
          </w:p>
        </w:tc>
        <w:tc>
          <w:tcPr>
            <w:tcW w:w="574" w:type="dxa"/>
          </w:tcPr>
          <w:p>
            <w:pPr>
              <w:pStyle w:val="TableParagraph"/>
              <w:ind w:left="161" w:right="138"/>
              <w:rPr>
                <w:sz w:val="14"/>
              </w:rPr>
            </w:pPr>
            <w:r>
              <w:rPr>
                <w:color w:val="231F20"/>
                <w:spacing w:val="-5"/>
                <w:w w:val="95"/>
                <w:sz w:val="14"/>
              </w:rPr>
              <w:t>101</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2.4</w:t>
            </w:r>
          </w:p>
        </w:tc>
        <w:tc>
          <w:tcPr>
            <w:tcW w:w="574" w:type="dxa"/>
          </w:tcPr>
          <w:p>
            <w:pPr>
              <w:pStyle w:val="TableParagraph"/>
              <w:ind w:left="161" w:right="72"/>
              <w:rPr>
                <w:sz w:val="14"/>
              </w:rPr>
            </w:pPr>
            <w:r>
              <w:rPr>
                <w:color w:val="231F20"/>
                <w:spacing w:val="-5"/>
                <w:w w:val="95"/>
                <w:sz w:val="14"/>
              </w:rPr>
              <w:t>89</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2.8</w:t>
            </w:r>
          </w:p>
        </w:tc>
        <w:tc>
          <w:tcPr>
            <w:tcW w:w="574" w:type="dxa"/>
          </w:tcPr>
          <w:p>
            <w:pPr>
              <w:pStyle w:val="TableParagraph"/>
              <w:ind w:left="161" w:right="70"/>
              <w:rPr>
                <w:sz w:val="14"/>
              </w:rPr>
            </w:pPr>
            <w:r>
              <w:rPr>
                <w:color w:val="231F20"/>
                <w:spacing w:val="-5"/>
                <w:w w:val="95"/>
                <w:sz w:val="14"/>
              </w:rPr>
              <w:t>75</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2.7</w:t>
            </w:r>
          </w:p>
        </w:tc>
        <w:tc>
          <w:tcPr>
            <w:tcW w:w="574" w:type="dxa"/>
          </w:tcPr>
          <w:p>
            <w:pPr>
              <w:pStyle w:val="TableParagraph"/>
              <w:ind w:left="161" w:right="69"/>
              <w:rPr>
                <w:sz w:val="14"/>
              </w:rPr>
            </w:pPr>
            <w:r>
              <w:rPr>
                <w:color w:val="231F20"/>
                <w:spacing w:val="-5"/>
                <w:w w:val="95"/>
                <w:sz w:val="14"/>
              </w:rPr>
              <w:t>81</w:t>
            </w:r>
          </w:p>
        </w:tc>
        <w:tc>
          <w:tcPr>
            <w:tcW w:w="126" w:type="dxa"/>
          </w:tcPr>
          <w:p>
            <w:pPr>
              <w:pStyle w:val="TableParagraph"/>
              <w:spacing w:before="0"/>
              <w:jc w:val="left"/>
              <w:rPr>
                <w:rFonts w:ascii="Times New Roman"/>
                <w:sz w:val="12"/>
              </w:rPr>
            </w:pPr>
          </w:p>
        </w:tc>
        <w:tc>
          <w:tcPr>
            <w:tcW w:w="463" w:type="dxa"/>
          </w:tcPr>
          <w:p>
            <w:pPr>
              <w:pStyle w:val="TableParagraph"/>
              <w:ind w:left="16" w:right="48"/>
              <w:rPr>
                <w:sz w:val="14"/>
              </w:rPr>
            </w:pPr>
            <w:r>
              <w:rPr>
                <w:color w:val="231F20"/>
                <w:spacing w:val="-5"/>
                <w:w w:val="95"/>
                <w:sz w:val="14"/>
              </w:rPr>
              <w:t>2.6</w:t>
            </w:r>
          </w:p>
        </w:tc>
        <w:tc>
          <w:tcPr>
            <w:tcW w:w="574" w:type="dxa"/>
          </w:tcPr>
          <w:p>
            <w:pPr>
              <w:pStyle w:val="TableParagraph"/>
              <w:ind w:left="161" w:right="124"/>
              <w:rPr>
                <w:sz w:val="14"/>
              </w:rPr>
            </w:pPr>
            <w:r>
              <w:rPr>
                <w:color w:val="231F20"/>
                <w:spacing w:val="-5"/>
                <w:w w:val="95"/>
                <w:sz w:val="14"/>
              </w:rPr>
              <w:t>116</w:t>
            </w:r>
          </w:p>
        </w:tc>
        <w:tc>
          <w:tcPr>
            <w:tcW w:w="126" w:type="dxa"/>
          </w:tcPr>
          <w:p>
            <w:pPr>
              <w:pStyle w:val="TableParagraph"/>
              <w:spacing w:before="0"/>
              <w:jc w:val="left"/>
              <w:rPr>
                <w:rFonts w:ascii="Times New Roman"/>
                <w:sz w:val="12"/>
              </w:rPr>
            </w:pPr>
          </w:p>
        </w:tc>
        <w:tc>
          <w:tcPr>
            <w:tcW w:w="468" w:type="dxa"/>
          </w:tcPr>
          <w:p>
            <w:pPr>
              <w:pStyle w:val="TableParagraph"/>
              <w:ind w:left="6" w:right="45"/>
              <w:rPr>
                <w:sz w:val="14"/>
              </w:rPr>
            </w:pPr>
            <w:r>
              <w:rPr>
                <w:color w:val="231F20"/>
                <w:spacing w:val="-5"/>
                <w:w w:val="95"/>
                <w:sz w:val="14"/>
              </w:rPr>
              <w:t>2.7</w:t>
            </w:r>
          </w:p>
        </w:tc>
        <w:tc>
          <w:tcPr>
            <w:tcW w:w="655" w:type="dxa"/>
          </w:tcPr>
          <w:p>
            <w:pPr>
              <w:pStyle w:val="TableParagraph"/>
              <w:ind w:left="72" w:right="68"/>
              <w:rPr>
                <w:sz w:val="14"/>
              </w:rPr>
            </w:pPr>
            <w:r>
              <w:rPr>
                <w:color w:val="231F20"/>
                <w:spacing w:val="-5"/>
                <w:w w:val="95"/>
                <w:sz w:val="14"/>
              </w:rPr>
              <w:t>87</w:t>
            </w:r>
          </w:p>
        </w:tc>
      </w:tr>
      <w:tr>
        <w:trPr>
          <w:trHeight w:val="259" w:hRule="atLeast"/>
        </w:trPr>
        <w:tc>
          <w:tcPr>
            <w:tcW w:w="990" w:type="dxa"/>
            <w:shd w:val="clear" w:color="auto" w:fill="D4E3F5"/>
          </w:tcPr>
          <w:p>
            <w:pPr>
              <w:pStyle w:val="TableParagraph"/>
              <w:ind w:left="80"/>
              <w:jc w:val="left"/>
              <w:rPr>
                <w:sz w:val="14"/>
              </w:rPr>
            </w:pPr>
            <w:r>
              <w:rPr>
                <w:color w:val="231F20"/>
                <w:w w:val="75"/>
                <w:sz w:val="14"/>
              </w:rPr>
              <w:t>Guinea-</w:t>
            </w:r>
            <w:r>
              <w:rPr>
                <w:color w:val="231F20"/>
                <w:spacing w:val="-2"/>
                <w:w w:val="85"/>
                <w:sz w:val="14"/>
              </w:rPr>
              <w:t>Bissau</w:t>
            </w:r>
          </w:p>
        </w:tc>
        <w:tc>
          <w:tcPr>
            <w:tcW w:w="622" w:type="dxa"/>
            <w:shd w:val="clear" w:color="auto" w:fill="D4E3F5"/>
          </w:tcPr>
          <w:p>
            <w:pPr>
              <w:pStyle w:val="TableParagraph"/>
              <w:ind w:left="67" w:right="101"/>
              <w:rPr>
                <w:sz w:val="14"/>
              </w:rPr>
            </w:pPr>
            <w:r>
              <w:rPr>
                <w:color w:val="231F20"/>
                <w:spacing w:val="-5"/>
                <w:w w:val="95"/>
                <w:sz w:val="14"/>
              </w:rPr>
              <w:t>88</w:t>
            </w:r>
          </w:p>
        </w:tc>
        <w:tc>
          <w:tcPr>
            <w:tcW w:w="644" w:type="dxa"/>
            <w:shd w:val="clear" w:color="auto" w:fill="D4E3F5"/>
          </w:tcPr>
          <w:p>
            <w:pPr>
              <w:pStyle w:val="TableParagraph"/>
              <w:ind w:left="165"/>
              <w:jc w:val="left"/>
              <w:rPr>
                <w:sz w:val="14"/>
              </w:rPr>
            </w:pPr>
            <w:r>
              <w:rPr>
                <w:color w:val="231F20"/>
                <w:spacing w:val="-5"/>
                <w:w w:val="95"/>
                <w:sz w:val="14"/>
              </w:rPr>
              <w:t>2.6</w:t>
            </w:r>
          </w:p>
        </w:tc>
        <w:tc>
          <w:tcPr>
            <w:tcW w:w="480" w:type="dxa"/>
            <w:shd w:val="clear" w:color="auto" w:fill="D4E3F5"/>
          </w:tcPr>
          <w:p>
            <w:pPr>
              <w:pStyle w:val="TableParagraph"/>
              <w:ind w:left="102"/>
              <w:jc w:val="left"/>
              <w:rPr>
                <w:sz w:val="14"/>
              </w:rPr>
            </w:pPr>
            <w:r>
              <w:rPr>
                <w:color w:val="231F20"/>
                <w:spacing w:val="-5"/>
                <w:w w:val="95"/>
                <w:sz w:val="14"/>
              </w:rPr>
              <w:t>2.2</w:t>
            </w:r>
          </w:p>
        </w:tc>
        <w:tc>
          <w:tcPr>
            <w:tcW w:w="582" w:type="dxa"/>
            <w:shd w:val="clear" w:color="auto" w:fill="D4E3F5"/>
          </w:tcPr>
          <w:p>
            <w:pPr>
              <w:pStyle w:val="TableParagraph"/>
              <w:ind w:left="6" w:right="6"/>
              <w:rPr>
                <w:sz w:val="14"/>
              </w:rPr>
            </w:pPr>
            <w:r>
              <w:rPr>
                <w:color w:val="231F20"/>
                <w:spacing w:val="-5"/>
                <w:w w:val="95"/>
                <w:sz w:val="14"/>
              </w:rPr>
              <w:t>3.0</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7" w:right="48"/>
              <w:rPr>
                <w:sz w:val="14"/>
              </w:rPr>
            </w:pPr>
            <w:r>
              <w:rPr>
                <w:color w:val="231F20"/>
                <w:spacing w:val="-5"/>
                <w:w w:val="95"/>
                <w:sz w:val="14"/>
              </w:rPr>
              <w:t>2.7</w:t>
            </w:r>
          </w:p>
        </w:tc>
        <w:tc>
          <w:tcPr>
            <w:tcW w:w="574" w:type="dxa"/>
            <w:shd w:val="clear" w:color="auto" w:fill="D4E3F5"/>
          </w:tcPr>
          <w:p>
            <w:pPr>
              <w:pStyle w:val="TableParagraph"/>
              <w:ind w:left="158" w:right="70"/>
              <w:rPr>
                <w:sz w:val="14"/>
              </w:rPr>
            </w:pPr>
            <w:r>
              <w:rPr>
                <w:color w:val="231F20"/>
                <w:spacing w:val="-5"/>
                <w:w w:val="95"/>
                <w:sz w:val="14"/>
              </w:rPr>
              <w:t>65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2.4</w:t>
            </w:r>
          </w:p>
        </w:tc>
        <w:tc>
          <w:tcPr>
            <w:tcW w:w="574" w:type="dxa"/>
            <w:shd w:val="clear" w:color="auto" w:fill="D4E3F5"/>
          </w:tcPr>
          <w:p>
            <w:pPr>
              <w:pStyle w:val="TableParagraph"/>
              <w:ind w:left="161" w:right="72"/>
              <w:rPr>
                <w:sz w:val="14"/>
              </w:rPr>
            </w:pPr>
            <w:r>
              <w:rPr>
                <w:color w:val="231F20"/>
                <w:spacing w:val="-5"/>
                <w:w w:val="95"/>
                <w:sz w:val="14"/>
              </w:rPr>
              <w:t>89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2.9</w:t>
            </w:r>
          </w:p>
        </w:tc>
        <w:tc>
          <w:tcPr>
            <w:tcW w:w="574" w:type="dxa"/>
            <w:shd w:val="clear" w:color="auto" w:fill="D4E3F5"/>
          </w:tcPr>
          <w:p>
            <w:pPr>
              <w:pStyle w:val="TableParagraph"/>
              <w:ind w:left="161" w:right="70"/>
              <w:rPr>
                <w:sz w:val="14"/>
              </w:rPr>
            </w:pPr>
            <w:r>
              <w:rPr>
                <w:color w:val="231F20"/>
                <w:spacing w:val="-5"/>
                <w:w w:val="95"/>
                <w:sz w:val="14"/>
              </w:rPr>
              <w:t>68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2.9</w:t>
            </w:r>
          </w:p>
        </w:tc>
        <w:tc>
          <w:tcPr>
            <w:tcW w:w="574" w:type="dxa"/>
            <w:shd w:val="clear" w:color="auto" w:fill="D4E3F5"/>
          </w:tcPr>
          <w:p>
            <w:pPr>
              <w:pStyle w:val="TableParagraph"/>
              <w:ind w:left="161" w:right="69"/>
              <w:rPr>
                <w:sz w:val="14"/>
              </w:rPr>
            </w:pPr>
            <w:r>
              <w:rPr>
                <w:color w:val="231F20"/>
                <w:spacing w:val="-5"/>
                <w:w w:val="95"/>
                <w:sz w:val="14"/>
              </w:rPr>
              <w:t>65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2.4</w:t>
            </w:r>
          </w:p>
        </w:tc>
        <w:tc>
          <w:tcPr>
            <w:tcW w:w="574" w:type="dxa"/>
            <w:shd w:val="clear" w:color="auto" w:fill="D4E3F5"/>
          </w:tcPr>
          <w:p>
            <w:pPr>
              <w:pStyle w:val="TableParagraph"/>
              <w:ind w:left="161" w:right="133"/>
              <w:rPr>
                <w:sz w:val="14"/>
              </w:rPr>
            </w:pPr>
            <w:r>
              <w:rPr>
                <w:color w:val="231F20"/>
                <w:spacing w:val="-5"/>
                <w:w w:val="95"/>
                <w:sz w:val="14"/>
              </w:rPr>
              <w:t>129</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2.3</w:t>
            </w:r>
          </w:p>
        </w:tc>
        <w:tc>
          <w:tcPr>
            <w:tcW w:w="655" w:type="dxa"/>
            <w:shd w:val="clear" w:color="auto" w:fill="D4E3F5"/>
          </w:tcPr>
          <w:p>
            <w:pPr>
              <w:pStyle w:val="TableParagraph"/>
              <w:ind w:left="72" w:right="120"/>
              <w:rPr>
                <w:sz w:val="14"/>
              </w:rPr>
            </w:pPr>
            <w:r>
              <w:rPr>
                <w:color w:val="231F20"/>
                <w:spacing w:val="-5"/>
                <w:w w:val="95"/>
                <w:sz w:val="14"/>
              </w:rPr>
              <w:t>117</w:t>
            </w:r>
          </w:p>
        </w:tc>
      </w:tr>
      <w:tr>
        <w:trPr>
          <w:trHeight w:val="259" w:hRule="atLeast"/>
        </w:trPr>
        <w:tc>
          <w:tcPr>
            <w:tcW w:w="990" w:type="dxa"/>
          </w:tcPr>
          <w:p>
            <w:pPr>
              <w:pStyle w:val="TableParagraph"/>
              <w:ind w:left="80"/>
              <w:jc w:val="left"/>
              <w:rPr>
                <w:sz w:val="14"/>
              </w:rPr>
            </w:pPr>
            <w:r>
              <w:rPr>
                <w:color w:val="231F20"/>
                <w:spacing w:val="-4"/>
                <w:w w:val="90"/>
                <w:sz w:val="14"/>
              </w:rPr>
              <w:t>Mali</w:t>
            </w:r>
          </w:p>
        </w:tc>
        <w:tc>
          <w:tcPr>
            <w:tcW w:w="622" w:type="dxa"/>
          </w:tcPr>
          <w:p>
            <w:pPr>
              <w:pStyle w:val="TableParagraph"/>
              <w:ind w:left="67" w:right="101"/>
              <w:rPr>
                <w:sz w:val="14"/>
              </w:rPr>
            </w:pPr>
            <w:r>
              <w:rPr>
                <w:color w:val="231F20"/>
                <w:spacing w:val="-5"/>
                <w:w w:val="95"/>
                <w:sz w:val="14"/>
              </w:rPr>
              <w:t>88</w:t>
            </w:r>
          </w:p>
        </w:tc>
        <w:tc>
          <w:tcPr>
            <w:tcW w:w="644" w:type="dxa"/>
          </w:tcPr>
          <w:p>
            <w:pPr>
              <w:pStyle w:val="TableParagraph"/>
              <w:ind w:left="165"/>
              <w:jc w:val="left"/>
              <w:rPr>
                <w:sz w:val="14"/>
              </w:rPr>
            </w:pPr>
            <w:r>
              <w:rPr>
                <w:color w:val="231F20"/>
                <w:spacing w:val="-5"/>
                <w:w w:val="95"/>
                <w:sz w:val="14"/>
              </w:rPr>
              <w:t>2.6</w:t>
            </w:r>
          </w:p>
        </w:tc>
        <w:tc>
          <w:tcPr>
            <w:tcW w:w="480" w:type="dxa"/>
          </w:tcPr>
          <w:p>
            <w:pPr>
              <w:pStyle w:val="TableParagraph"/>
              <w:ind w:left="108"/>
              <w:jc w:val="left"/>
              <w:rPr>
                <w:sz w:val="14"/>
              </w:rPr>
            </w:pPr>
            <w:r>
              <w:rPr>
                <w:color w:val="231F20"/>
                <w:spacing w:val="-5"/>
                <w:w w:val="95"/>
                <w:sz w:val="14"/>
              </w:rPr>
              <w:t>2.1</w:t>
            </w:r>
          </w:p>
        </w:tc>
        <w:tc>
          <w:tcPr>
            <w:tcW w:w="582" w:type="dxa"/>
          </w:tcPr>
          <w:p>
            <w:pPr>
              <w:pStyle w:val="TableParagraph"/>
              <w:ind w:left="1" w:right="7"/>
              <w:rPr>
                <w:sz w:val="14"/>
              </w:rPr>
            </w:pPr>
            <w:r>
              <w:rPr>
                <w:color w:val="231F20"/>
                <w:spacing w:val="-5"/>
                <w:w w:val="95"/>
                <w:sz w:val="14"/>
              </w:rPr>
              <w:t>3.1</w:t>
            </w:r>
          </w:p>
        </w:tc>
        <w:tc>
          <w:tcPr>
            <w:tcW w:w="80"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2.6</w:t>
            </w:r>
          </w:p>
        </w:tc>
        <w:tc>
          <w:tcPr>
            <w:tcW w:w="574" w:type="dxa"/>
          </w:tcPr>
          <w:p>
            <w:pPr>
              <w:pStyle w:val="TableParagraph"/>
              <w:ind w:left="158" w:right="70"/>
              <w:rPr>
                <w:sz w:val="14"/>
              </w:rPr>
            </w:pPr>
            <w:r>
              <w:rPr>
                <w:color w:val="231F20"/>
                <w:spacing w:val="-5"/>
                <w:w w:val="95"/>
                <w:sz w:val="14"/>
              </w:rPr>
              <w:t>74</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2.0</w:t>
            </w:r>
          </w:p>
        </w:tc>
        <w:tc>
          <w:tcPr>
            <w:tcW w:w="574" w:type="dxa"/>
          </w:tcPr>
          <w:p>
            <w:pPr>
              <w:pStyle w:val="TableParagraph"/>
              <w:ind w:left="161" w:right="138"/>
              <w:rPr>
                <w:sz w:val="14"/>
              </w:rPr>
            </w:pPr>
            <w:r>
              <w:rPr>
                <w:color w:val="231F20"/>
                <w:spacing w:val="-5"/>
                <w:w w:val="95"/>
                <w:sz w:val="14"/>
              </w:rPr>
              <w:t>130</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2.6</w:t>
            </w:r>
          </w:p>
        </w:tc>
        <w:tc>
          <w:tcPr>
            <w:tcW w:w="574" w:type="dxa"/>
          </w:tcPr>
          <w:p>
            <w:pPr>
              <w:pStyle w:val="TableParagraph"/>
              <w:ind w:left="161" w:right="70"/>
              <w:rPr>
                <w:sz w:val="14"/>
              </w:rPr>
            </w:pPr>
            <w:r>
              <w:rPr>
                <w:color w:val="231F20"/>
                <w:spacing w:val="-5"/>
                <w:w w:val="95"/>
                <w:sz w:val="14"/>
              </w:rPr>
              <w:t>91</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2.5</w:t>
            </w:r>
          </w:p>
        </w:tc>
        <w:tc>
          <w:tcPr>
            <w:tcW w:w="574" w:type="dxa"/>
          </w:tcPr>
          <w:p>
            <w:pPr>
              <w:pStyle w:val="TableParagraph"/>
              <w:ind w:left="161" w:right="136"/>
              <w:rPr>
                <w:sz w:val="14"/>
              </w:rPr>
            </w:pPr>
            <w:r>
              <w:rPr>
                <w:color w:val="231F20"/>
                <w:spacing w:val="-5"/>
                <w:w w:val="95"/>
                <w:sz w:val="14"/>
              </w:rPr>
              <w:t>103</w:t>
            </w:r>
          </w:p>
        </w:tc>
        <w:tc>
          <w:tcPr>
            <w:tcW w:w="126" w:type="dxa"/>
          </w:tcPr>
          <w:p>
            <w:pPr>
              <w:pStyle w:val="TableParagraph"/>
              <w:spacing w:before="0"/>
              <w:jc w:val="left"/>
              <w:rPr>
                <w:rFonts w:ascii="Times New Roman"/>
                <w:sz w:val="12"/>
              </w:rPr>
            </w:pPr>
          </w:p>
        </w:tc>
        <w:tc>
          <w:tcPr>
            <w:tcW w:w="463" w:type="dxa"/>
          </w:tcPr>
          <w:p>
            <w:pPr>
              <w:pStyle w:val="TableParagraph"/>
              <w:ind w:left="6" w:right="48"/>
              <w:rPr>
                <w:sz w:val="14"/>
              </w:rPr>
            </w:pPr>
            <w:r>
              <w:rPr>
                <w:color w:val="231F20"/>
                <w:spacing w:val="-5"/>
                <w:w w:val="95"/>
                <w:sz w:val="14"/>
              </w:rPr>
              <w:t>3.1</w:t>
            </w:r>
          </w:p>
        </w:tc>
        <w:tc>
          <w:tcPr>
            <w:tcW w:w="574" w:type="dxa"/>
          </w:tcPr>
          <w:p>
            <w:pPr>
              <w:pStyle w:val="TableParagraph"/>
              <w:ind w:left="161" w:right="67"/>
              <w:rPr>
                <w:sz w:val="14"/>
              </w:rPr>
            </w:pPr>
            <w:r>
              <w:rPr>
                <w:color w:val="231F20"/>
                <w:spacing w:val="-5"/>
                <w:w w:val="95"/>
                <w:sz w:val="14"/>
              </w:rPr>
              <w:t>76</w:t>
            </w:r>
          </w:p>
        </w:tc>
        <w:tc>
          <w:tcPr>
            <w:tcW w:w="126" w:type="dxa"/>
          </w:tcPr>
          <w:p>
            <w:pPr>
              <w:pStyle w:val="TableParagraph"/>
              <w:spacing w:before="0"/>
              <w:jc w:val="left"/>
              <w:rPr>
                <w:rFonts w:ascii="Times New Roman"/>
                <w:sz w:val="12"/>
              </w:rPr>
            </w:pPr>
          </w:p>
        </w:tc>
        <w:tc>
          <w:tcPr>
            <w:tcW w:w="468" w:type="dxa"/>
          </w:tcPr>
          <w:p>
            <w:pPr>
              <w:pStyle w:val="TableParagraph"/>
              <w:ind w:left="6" w:right="45"/>
              <w:rPr>
                <w:sz w:val="14"/>
              </w:rPr>
            </w:pPr>
            <w:r>
              <w:rPr>
                <w:color w:val="231F20"/>
                <w:spacing w:val="-5"/>
                <w:w w:val="95"/>
                <w:sz w:val="14"/>
              </w:rPr>
              <w:t>2.7</w:t>
            </w:r>
          </w:p>
        </w:tc>
        <w:tc>
          <w:tcPr>
            <w:tcW w:w="655" w:type="dxa"/>
          </w:tcPr>
          <w:p>
            <w:pPr>
              <w:pStyle w:val="TableParagraph"/>
              <w:ind w:left="72" w:right="68"/>
              <w:rPr>
                <w:sz w:val="14"/>
              </w:rPr>
            </w:pPr>
            <w:r>
              <w:rPr>
                <w:color w:val="231F20"/>
                <w:spacing w:val="-5"/>
                <w:w w:val="95"/>
                <w:sz w:val="14"/>
              </w:rPr>
              <w:t>87</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Nigeria</w:t>
            </w:r>
          </w:p>
        </w:tc>
        <w:tc>
          <w:tcPr>
            <w:tcW w:w="622" w:type="dxa"/>
            <w:shd w:val="clear" w:color="auto" w:fill="D4E3F5"/>
          </w:tcPr>
          <w:p>
            <w:pPr>
              <w:pStyle w:val="TableParagraph"/>
              <w:ind w:left="67" w:right="101"/>
              <w:rPr>
                <w:sz w:val="14"/>
              </w:rPr>
            </w:pPr>
            <w:r>
              <w:rPr>
                <w:color w:val="231F20"/>
                <w:spacing w:val="-5"/>
                <w:w w:val="95"/>
                <w:sz w:val="14"/>
              </w:rPr>
              <w:t>88</w:t>
            </w:r>
          </w:p>
        </w:tc>
        <w:tc>
          <w:tcPr>
            <w:tcW w:w="644" w:type="dxa"/>
            <w:shd w:val="clear" w:color="auto" w:fill="D4E3F5"/>
          </w:tcPr>
          <w:p>
            <w:pPr>
              <w:pStyle w:val="TableParagraph"/>
              <w:ind w:left="165"/>
              <w:jc w:val="left"/>
              <w:rPr>
                <w:sz w:val="14"/>
              </w:rPr>
            </w:pPr>
            <w:r>
              <w:rPr>
                <w:color w:val="231F20"/>
                <w:spacing w:val="-5"/>
                <w:w w:val="95"/>
                <w:sz w:val="14"/>
              </w:rPr>
              <w:t>2.6</w:t>
            </w:r>
          </w:p>
        </w:tc>
        <w:tc>
          <w:tcPr>
            <w:tcW w:w="480" w:type="dxa"/>
            <w:shd w:val="clear" w:color="auto" w:fill="D4E3F5"/>
          </w:tcPr>
          <w:p>
            <w:pPr>
              <w:pStyle w:val="TableParagraph"/>
              <w:ind w:left="102"/>
              <w:jc w:val="left"/>
              <w:rPr>
                <w:sz w:val="14"/>
              </w:rPr>
            </w:pPr>
            <w:r>
              <w:rPr>
                <w:color w:val="231F20"/>
                <w:spacing w:val="-5"/>
                <w:w w:val="95"/>
                <w:sz w:val="14"/>
              </w:rPr>
              <w:t>2.3</w:t>
            </w:r>
          </w:p>
        </w:tc>
        <w:tc>
          <w:tcPr>
            <w:tcW w:w="582" w:type="dxa"/>
            <w:shd w:val="clear" w:color="auto" w:fill="D4E3F5"/>
          </w:tcPr>
          <w:p>
            <w:pPr>
              <w:pStyle w:val="TableParagraph"/>
              <w:ind w:left="6" w:right="6"/>
              <w:rPr>
                <w:sz w:val="14"/>
              </w:rPr>
            </w:pPr>
            <w:r>
              <w:rPr>
                <w:color w:val="231F20"/>
                <w:spacing w:val="-5"/>
                <w:w w:val="95"/>
                <w:sz w:val="14"/>
              </w:rPr>
              <w:t>2.9</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2.4</w:t>
            </w:r>
          </w:p>
        </w:tc>
        <w:tc>
          <w:tcPr>
            <w:tcW w:w="574" w:type="dxa"/>
            <w:shd w:val="clear" w:color="auto" w:fill="D4E3F5"/>
          </w:tcPr>
          <w:p>
            <w:pPr>
              <w:pStyle w:val="TableParagraph"/>
              <w:ind w:left="158" w:right="70"/>
              <w:rPr>
                <w:sz w:val="14"/>
              </w:rPr>
            </w:pPr>
            <w:r>
              <w:rPr>
                <w:color w:val="231F20"/>
                <w:spacing w:val="-5"/>
                <w:w w:val="95"/>
                <w:sz w:val="14"/>
              </w:rPr>
              <w:t>90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2.4</w:t>
            </w:r>
          </w:p>
        </w:tc>
        <w:tc>
          <w:tcPr>
            <w:tcW w:w="574" w:type="dxa"/>
            <w:shd w:val="clear" w:color="auto" w:fill="D4E3F5"/>
          </w:tcPr>
          <w:p>
            <w:pPr>
              <w:pStyle w:val="TableParagraph"/>
              <w:ind w:left="161" w:right="72"/>
              <w:rPr>
                <w:sz w:val="14"/>
              </w:rPr>
            </w:pPr>
            <w:r>
              <w:rPr>
                <w:color w:val="231F20"/>
                <w:spacing w:val="-5"/>
                <w:w w:val="95"/>
                <w:sz w:val="14"/>
              </w:rPr>
              <w:t>89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2.5</w:t>
            </w:r>
          </w:p>
        </w:tc>
        <w:tc>
          <w:tcPr>
            <w:tcW w:w="574" w:type="dxa"/>
            <w:shd w:val="clear" w:color="auto" w:fill="D4E3F5"/>
          </w:tcPr>
          <w:p>
            <w:pPr>
              <w:pStyle w:val="TableParagraph"/>
              <w:ind w:left="161" w:right="137"/>
              <w:rPr>
                <w:sz w:val="14"/>
              </w:rPr>
            </w:pPr>
            <w:r>
              <w:rPr>
                <w:color w:val="231F20"/>
                <w:spacing w:val="-5"/>
                <w:w w:val="95"/>
                <w:sz w:val="14"/>
              </w:rPr>
              <w:t>102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2.3</w:t>
            </w:r>
          </w:p>
        </w:tc>
        <w:tc>
          <w:tcPr>
            <w:tcW w:w="574" w:type="dxa"/>
            <w:shd w:val="clear" w:color="auto" w:fill="D4E3F5"/>
          </w:tcPr>
          <w:p>
            <w:pPr>
              <w:pStyle w:val="TableParagraph"/>
              <w:ind w:left="161" w:right="125"/>
              <w:rPr>
                <w:sz w:val="14"/>
              </w:rPr>
            </w:pPr>
            <w:r>
              <w:rPr>
                <w:color w:val="231F20"/>
                <w:spacing w:val="-5"/>
                <w:w w:val="95"/>
                <w:sz w:val="14"/>
              </w:rPr>
              <w:t>119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6" w:right="48"/>
              <w:rPr>
                <w:sz w:val="14"/>
              </w:rPr>
            </w:pPr>
            <w:r>
              <w:rPr>
                <w:color w:val="231F20"/>
                <w:spacing w:val="-5"/>
                <w:w w:val="95"/>
                <w:sz w:val="14"/>
              </w:rPr>
              <w:t>3.1</w:t>
            </w:r>
          </w:p>
        </w:tc>
        <w:tc>
          <w:tcPr>
            <w:tcW w:w="574" w:type="dxa"/>
            <w:shd w:val="clear" w:color="auto" w:fill="D4E3F5"/>
          </w:tcPr>
          <w:p>
            <w:pPr>
              <w:pStyle w:val="TableParagraph"/>
              <w:ind w:left="161" w:right="67"/>
              <w:rPr>
                <w:sz w:val="14"/>
              </w:rPr>
            </w:pPr>
            <w:r>
              <w:rPr>
                <w:color w:val="231F20"/>
                <w:spacing w:val="-5"/>
                <w:w w:val="95"/>
                <w:sz w:val="14"/>
              </w:rPr>
              <w:t>76</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6" w:right="45"/>
              <w:rPr>
                <w:sz w:val="14"/>
              </w:rPr>
            </w:pPr>
            <w:r>
              <w:rPr>
                <w:color w:val="231F20"/>
                <w:spacing w:val="-5"/>
                <w:w w:val="95"/>
                <w:sz w:val="14"/>
              </w:rPr>
              <w:t>2.7</w:t>
            </w:r>
          </w:p>
        </w:tc>
        <w:tc>
          <w:tcPr>
            <w:tcW w:w="655" w:type="dxa"/>
            <w:shd w:val="clear" w:color="auto" w:fill="D4E3F5"/>
          </w:tcPr>
          <w:p>
            <w:pPr>
              <w:pStyle w:val="TableParagraph"/>
              <w:ind w:left="72" w:right="68"/>
              <w:rPr>
                <w:sz w:val="14"/>
              </w:rPr>
            </w:pPr>
            <w:r>
              <w:rPr>
                <w:color w:val="231F20"/>
                <w:spacing w:val="-5"/>
                <w:w w:val="95"/>
                <w:sz w:val="14"/>
              </w:rPr>
              <w:t>87</w:t>
            </w:r>
          </w:p>
        </w:tc>
      </w:tr>
      <w:tr>
        <w:trPr>
          <w:trHeight w:val="419" w:hRule="atLeast"/>
        </w:trPr>
        <w:tc>
          <w:tcPr>
            <w:tcW w:w="990" w:type="dxa"/>
          </w:tcPr>
          <w:p>
            <w:pPr>
              <w:pStyle w:val="TableParagraph"/>
              <w:ind w:left="80" w:right="322"/>
              <w:jc w:val="left"/>
              <w:rPr>
                <w:sz w:val="14"/>
              </w:rPr>
            </w:pPr>
            <w:r>
              <w:rPr>
                <w:color w:val="231F20"/>
                <w:spacing w:val="-2"/>
                <w:w w:val="90"/>
                <w:sz w:val="14"/>
              </w:rPr>
              <w:t>Russian</w:t>
            </w:r>
            <w:r>
              <w:rPr>
                <w:color w:val="231F20"/>
                <w:spacing w:val="40"/>
                <w:sz w:val="14"/>
              </w:rPr>
              <w:t> </w:t>
            </w:r>
            <w:r>
              <w:rPr>
                <w:color w:val="231F20"/>
                <w:spacing w:val="-2"/>
                <w:w w:val="75"/>
                <w:sz w:val="14"/>
              </w:rPr>
              <w:t>Federation</w:t>
            </w:r>
          </w:p>
        </w:tc>
        <w:tc>
          <w:tcPr>
            <w:tcW w:w="622" w:type="dxa"/>
          </w:tcPr>
          <w:p>
            <w:pPr>
              <w:pStyle w:val="TableParagraph"/>
              <w:spacing w:before="47"/>
              <w:jc w:val="left"/>
              <w:rPr>
                <w:sz w:val="14"/>
              </w:rPr>
            </w:pPr>
          </w:p>
          <w:p>
            <w:pPr>
              <w:pStyle w:val="TableParagraph"/>
              <w:spacing w:before="0"/>
              <w:ind w:left="67" w:right="101"/>
              <w:rPr>
                <w:sz w:val="14"/>
              </w:rPr>
            </w:pPr>
            <w:r>
              <w:rPr>
                <w:color w:val="231F20"/>
                <w:spacing w:val="-5"/>
                <w:w w:val="95"/>
                <w:sz w:val="14"/>
              </w:rPr>
              <w:t>88</w:t>
            </w:r>
          </w:p>
        </w:tc>
        <w:tc>
          <w:tcPr>
            <w:tcW w:w="644" w:type="dxa"/>
          </w:tcPr>
          <w:p>
            <w:pPr>
              <w:pStyle w:val="TableParagraph"/>
              <w:spacing w:before="47"/>
              <w:jc w:val="left"/>
              <w:rPr>
                <w:sz w:val="14"/>
              </w:rPr>
            </w:pPr>
          </w:p>
          <w:p>
            <w:pPr>
              <w:pStyle w:val="TableParagraph"/>
              <w:spacing w:before="0"/>
              <w:ind w:left="165"/>
              <w:jc w:val="left"/>
              <w:rPr>
                <w:sz w:val="14"/>
              </w:rPr>
            </w:pPr>
            <w:r>
              <w:rPr>
                <w:color w:val="231F20"/>
                <w:spacing w:val="-5"/>
                <w:w w:val="95"/>
                <w:sz w:val="14"/>
              </w:rPr>
              <w:t>2.6</w:t>
            </w:r>
          </w:p>
        </w:tc>
        <w:tc>
          <w:tcPr>
            <w:tcW w:w="480" w:type="dxa"/>
          </w:tcPr>
          <w:p>
            <w:pPr>
              <w:pStyle w:val="TableParagraph"/>
              <w:spacing w:before="47"/>
              <w:jc w:val="left"/>
              <w:rPr>
                <w:sz w:val="14"/>
              </w:rPr>
            </w:pPr>
          </w:p>
          <w:p>
            <w:pPr>
              <w:pStyle w:val="TableParagraph"/>
              <w:spacing w:before="0"/>
              <w:ind w:left="102"/>
              <w:jc w:val="left"/>
              <w:rPr>
                <w:sz w:val="14"/>
              </w:rPr>
            </w:pPr>
            <w:r>
              <w:rPr>
                <w:color w:val="231F20"/>
                <w:spacing w:val="-5"/>
                <w:w w:val="95"/>
                <w:sz w:val="14"/>
              </w:rPr>
              <w:t>2.5</w:t>
            </w:r>
          </w:p>
        </w:tc>
        <w:tc>
          <w:tcPr>
            <w:tcW w:w="582" w:type="dxa"/>
          </w:tcPr>
          <w:p>
            <w:pPr>
              <w:pStyle w:val="TableParagraph"/>
              <w:spacing w:before="47"/>
              <w:jc w:val="left"/>
              <w:rPr>
                <w:sz w:val="14"/>
              </w:rPr>
            </w:pPr>
          </w:p>
          <w:p>
            <w:pPr>
              <w:pStyle w:val="TableParagraph"/>
              <w:spacing w:before="0"/>
              <w:ind w:left="6" w:right="6"/>
              <w:rPr>
                <w:sz w:val="14"/>
              </w:rPr>
            </w:pPr>
            <w:r>
              <w:rPr>
                <w:color w:val="231F20"/>
                <w:spacing w:val="-5"/>
                <w:w w:val="95"/>
                <w:sz w:val="14"/>
              </w:rPr>
              <w:t>2.7</w:t>
            </w:r>
          </w:p>
        </w:tc>
        <w:tc>
          <w:tcPr>
            <w:tcW w:w="80"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8" w:right="48"/>
              <w:rPr>
                <w:sz w:val="14"/>
              </w:rPr>
            </w:pPr>
            <w:r>
              <w:rPr>
                <w:color w:val="231F20"/>
                <w:spacing w:val="-5"/>
                <w:w w:val="95"/>
                <w:sz w:val="14"/>
              </w:rPr>
              <w:t>2.4</w:t>
            </w:r>
          </w:p>
        </w:tc>
        <w:tc>
          <w:tcPr>
            <w:tcW w:w="574" w:type="dxa"/>
          </w:tcPr>
          <w:p>
            <w:pPr>
              <w:pStyle w:val="TableParagraph"/>
              <w:spacing w:before="47"/>
              <w:jc w:val="left"/>
              <w:rPr>
                <w:sz w:val="14"/>
              </w:rPr>
            </w:pPr>
          </w:p>
          <w:p>
            <w:pPr>
              <w:pStyle w:val="TableParagraph"/>
              <w:spacing w:before="0"/>
              <w:ind w:left="158" w:right="70"/>
              <w:rPr>
                <w:sz w:val="14"/>
              </w:rPr>
            </w:pPr>
            <w:r>
              <w:rPr>
                <w:color w:val="231F20"/>
                <w:spacing w:val="-5"/>
                <w:w w:val="95"/>
                <w:sz w:val="14"/>
              </w:rPr>
              <w:t>90</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8" w:right="48"/>
              <w:rPr>
                <w:sz w:val="14"/>
              </w:rPr>
            </w:pPr>
            <w:r>
              <w:rPr>
                <w:color w:val="231F20"/>
                <w:spacing w:val="-5"/>
                <w:w w:val="95"/>
                <w:sz w:val="14"/>
              </w:rPr>
              <w:t>2.7</w:t>
            </w:r>
          </w:p>
        </w:tc>
        <w:tc>
          <w:tcPr>
            <w:tcW w:w="574" w:type="dxa"/>
          </w:tcPr>
          <w:p>
            <w:pPr>
              <w:pStyle w:val="TableParagraph"/>
              <w:spacing w:before="47"/>
              <w:jc w:val="left"/>
              <w:rPr>
                <w:sz w:val="14"/>
              </w:rPr>
            </w:pPr>
          </w:p>
          <w:p>
            <w:pPr>
              <w:pStyle w:val="TableParagraph"/>
              <w:spacing w:before="0"/>
              <w:ind w:left="161" w:right="72"/>
              <w:rPr>
                <w:sz w:val="14"/>
              </w:rPr>
            </w:pPr>
            <w:r>
              <w:rPr>
                <w:color w:val="231F20"/>
                <w:spacing w:val="-5"/>
                <w:w w:val="95"/>
                <w:sz w:val="14"/>
              </w:rPr>
              <w:t>68</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11" w:right="48"/>
              <w:rPr>
                <w:sz w:val="14"/>
              </w:rPr>
            </w:pPr>
            <w:r>
              <w:rPr>
                <w:color w:val="231F20"/>
                <w:spacing w:val="-5"/>
                <w:w w:val="95"/>
                <w:sz w:val="14"/>
              </w:rPr>
              <w:t>2.3</w:t>
            </w:r>
          </w:p>
        </w:tc>
        <w:tc>
          <w:tcPr>
            <w:tcW w:w="574" w:type="dxa"/>
          </w:tcPr>
          <w:p>
            <w:pPr>
              <w:pStyle w:val="TableParagraph"/>
              <w:spacing w:before="47"/>
              <w:jc w:val="left"/>
              <w:rPr>
                <w:sz w:val="14"/>
              </w:rPr>
            </w:pPr>
          </w:p>
          <w:p>
            <w:pPr>
              <w:pStyle w:val="TableParagraph"/>
              <w:spacing w:before="0"/>
              <w:ind w:left="161" w:right="134"/>
              <w:rPr>
                <w:sz w:val="14"/>
              </w:rPr>
            </w:pPr>
            <w:r>
              <w:rPr>
                <w:color w:val="231F20"/>
                <w:spacing w:val="-5"/>
                <w:w w:val="95"/>
                <w:sz w:val="14"/>
              </w:rPr>
              <w:t>121</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14" w:right="48"/>
              <w:rPr>
                <w:sz w:val="14"/>
              </w:rPr>
            </w:pPr>
            <w:r>
              <w:rPr>
                <w:color w:val="231F20"/>
                <w:spacing w:val="-5"/>
                <w:w w:val="95"/>
                <w:sz w:val="14"/>
              </w:rPr>
              <w:t>2.6</w:t>
            </w:r>
          </w:p>
        </w:tc>
        <w:tc>
          <w:tcPr>
            <w:tcW w:w="574" w:type="dxa"/>
          </w:tcPr>
          <w:p>
            <w:pPr>
              <w:pStyle w:val="TableParagraph"/>
              <w:spacing w:before="47"/>
              <w:jc w:val="left"/>
              <w:rPr>
                <w:sz w:val="14"/>
              </w:rPr>
            </w:pPr>
          </w:p>
          <w:p>
            <w:pPr>
              <w:pStyle w:val="TableParagraph"/>
              <w:spacing w:before="0"/>
              <w:ind w:left="161" w:right="69"/>
              <w:rPr>
                <w:sz w:val="14"/>
              </w:rPr>
            </w:pPr>
            <w:r>
              <w:rPr>
                <w:color w:val="231F20"/>
                <w:spacing w:val="-5"/>
                <w:w w:val="95"/>
                <w:sz w:val="14"/>
              </w:rPr>
              <w:t>92</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14" w:right="48"/>
              <w:rPr>
                <w:sz w:val="14"/>
              </w:rPr>
            </w:pPr>
            <w:r>
              <w:rPr>
                <w:color w:val="231F20"/>
                <w:spacing w:val="-5"/>
                <w:w w:val="95"/>
                <w:sz w:val="14"/>
              </w:rPr>
              <w:t>2.9</w:t>
            </w:r>
          </w:p>
        </w:tc>
        <w:tc>
          <w:tcPr>
            <w:tcW w:w="574" w:type="dxa"/>
          </w:tcPr>
          <w:p>
            <w:pPr>
              <w:pStyle w:val="TableParagraph"/>
              <w:spacing w:before="47"/>
              <w:jc w:val="left"/>
              <w:rPr>
                <w:sz w:val="14"/>
              </w:rPr>
            </w:pPr>
          </w:p>
          <w:p>
            <w:pPr>
              <w:pStyle w:val="TableParagraph"/>
              <w:spacing w:before="0"/>
              <w:ind w:left="161" w:right="67"/>
              <w:rPr>
                <w:sz w:val="14"/>
              </w:rPr>
            </w:pPr>
            <w:r>
              <w:rPr>
                <w:color w:val="231F20"/>
                <w:spacing w:val="-5"/>
                <w:w w:val="95"/>
                <w:sz w:val="14"/>
              </w:rPr>
              <w:t>93</w:t>
            </w:r>
          </w:p>
        </w:tc>
        <w:tc>
          <w:tcPr>
            <w:tcW w:w="126" w:type="dxa"/>
          </w:tcPr>
          <w:p>
            <w:pPr>
              <w:pStyle w:val="TableParagraph"/>
              <w:spacing w:before="0"/>
              <w:jc w:val="left"/>
              <w:rPr>
                <w:rFonts w:ascii="Times New Roman"/>
                <w:sz w:val="12"/>
              </w:rPr>
            </w:pPr>
          </w:p>
        </w:tc>
        <w:tc>
          <w:tcPr>
            <w:tcW w:w="468" w:type="dxa"/>
          </w:tcPr>
          <w:p>
            <w:pPr>
              <w:pStyle w:val="TableParagraph"/>
              <w:spacing w:before="47"/>
              <w:jc w:val="left"/>
              <w:rPr>
                <w:sz w:val="14"/>
              </w:rPr>
            </w:pPr>
          </w:p>
          <w:p>
            <w:pPr>
              <w:pStyle w:val="TableParagraph"/>
              <w:spacing w:before="0"/>
              <w:ind w:left="8" w:right="45"/>
              <w:rPr>
                <w:sz w:val="14"/>
              </w:rPr>
            </w:pPr>
            <w:r>
              <w:rPr>
                <w:color w:val="231F20"/>
                <w:spacing w:val="-5"/>
                <w:w w:val="95"/>
                <w:sz w:val="14"/>
              </w:rPr>
              <w:t>2.5</w:t>
            </w:r>
          </w:p>
        </w:tc>
        <w:tc>
          <w:tcPr>
            <w:tcW w:w="655" w:type="dxa"/>
          </w:tcPr>
          <w:p>
            <w:pPr>
              <w:pStyle w:val="TableParagraph"/>
              <w:spacing w:before="47"/>
              <w:jc w:val="left"/>
              <w:rPr>
                <w:sz w:val="14"/>
              </w:rPr>
            </w:pPr>
          </w:p>
          <w:p>
            <w:pPr>
              <w:pStyle w:val="TableParagraph"/>
              <w:spacing w:before="0"/>
              <w:ind w:left="72" w:right="68"/>
              <w:rPr>
                <w:sz w:val="14"/>
              </w:rPr>
            </w:pPr>
            <w:r>
              <w:rPr>
                <w:color w:val="231F20"/>
                <w:spacing w:val="-5"/>
                <w:w w:val="95"/>
                <w:sz w:val="14"/>
              </w:rPr>
              <w:t>98</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Uzbekistan</w:t>
            </w:r>
          </w:p>
        </w:tc>
        <w:tc>
          <w:tcPr>
            <w:tcW w:w="622" w:type="dxa"/>
            <w:shd w:val="clear" w:color="auto" w:fill="D4E3F5"/>
          </w:tcPr>
          <w:p>
            <w:pPr>
              <w:pStyle w:val="TableParagraph"/>
              <w:ind w:left="67" w:right="101"/>
              <w:rPr>
                <w:sz w:val="14"/>
              </w:rPr>
            </w:pPr>
            <w:r>
              <w:rPr>
                <w:color w:val="231F20"/>
                <w:spacing w:val="-5"/>
                <w:w w:val="95"/>
                <w:sz w:val="14"/>
              </w:rPr>
              <w:t>88</w:t>
            </w:r>
          </w:p>
        </w:tc>
        <w:tc>
          <w:tcPr>
            <w:tcW w:w="644" w:type="dxa"/>
            <w:shd w:val="clear" w:color="auto" w:fill="D4E3F5"/>
          </w:tcPr>
          <w:p>
            <w:pPr>
              <w:pStyle w:val="TableParagraph"/>
              <w:ind w:left="165"/>
              <w:jc w:val="left"/>
              <w:rPr>
                <w:sz w:val="14"/>
              </w:rPr>
            </w:pPr>
            <w:r>
              <w:rPr>
                <w:color w:val="231F20"/>
                <w:spacing w:val="-5"/>
                <w:w w:val="95"/>
                <w:sz w:val="14"/>
              </w:rPr>
              <w:t>2.6</w:t>
            </w:r>
          </w:p>
        </w:tc>
        <w:tc>
          <w:tcPr>
            <w:tcW w:w="480" w:type="dxa"/>
            <w:shd w:val="clear" w:color="auto" w:fill="D4E3F5"/>
          </w:tcPr>
          <w:p>
            <w:pPr>
              <w:pStyle w:val="TableParagraph"/>
              <w:ind w:left="108"/>
              <w:jc w:val="left"/>
              <w:rPr>
                <w:sz w:val="14"/>
              </w:rPr>
            </w:pPr>
            <w:r>
              <w:rPr>
                <w:color w:val="231F20"/>
                <w:spacing w:val="-5"/>
                <w:w w:val="95"/>
                <w:sz w:val="14"/>
              </w:rPr>
              <w:t>2.1</w:t>
            </w:r>
          </w:p>
        </w:tc>
        <w:tc>
          <w:tcPr>
            <w:tcW w:w="582" w:type="dxa"/>
            <w:shd w:val="clear" w:color="auto" w:fill="D4E3F5"/>
          </w:tcPr>
          <w:p>
            <w:pPr>
              <w:pStyle w:val="TableParagraph"/>
              <w:ind w:left="1" w:right="7"/>
              <w:rPr>
                <w:sz w:val="14"/>
              </w:rPr>
            </w:pPr>
            <w:r>
              <w:rPr>
                <w:color w:val="231F20"/>
                <w:spacing w:val="-5"/>
                <w:w w:val="95"/>
                <w:sz w:val="14"/>
              </w:rPr>
              <w:t>3.1</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2.6</w:t>
            </w:r>
          </w:p>
        </w:tc>
        <w:tc>
          <w:tcPr>
            <w:tcW w:w="574" w:type="dxa"/>
            <w:shd w:val="clear" w:color="auto" w:fill="D4E3F5"/>
          </w:tcPr>
          <w:p>
            <w:pPr>
              <w:pStyle w:val="TableParagraph"/>
              <w:ind w:left="158" w:right="70"/>
              <w:rPr>
                <w:sz w:val="14"/>
              </w:rPr>
            </w:pPr>
            <w:r>
              <w:rPr>
                <w:color w:val="231F20"/>
                <w:spacing w:val="-5"/>
                <w:w w:val="95"/>
                <w:sz w:val="14"/>
              </w:rPr>
              <w:t>74</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2.4</w:t>
            </w:r>
          </w:p>
        </w:tc>
        <w:tc>
          <w:tcPr>
            <w:tcW w:w="574" w:type="dxa"/>
            <w:shd w:val="clear" w:color="auto" w:fill="D4E3F5"/>
          </w:tcPr>
          <w:p>
            <w:pPr>
              <w:pStyle w:val="TableParagraph"/>
              <w:ind w:left="161" w:right="72"/>
              <w:rPr>
                <w:sz w:val="14"/>
              </w:rPr>
            </w:pPr>
            <w:r>
              <w:rPr>
                <w:color w:val="231F20"/>
                <w:spacing w:val="-5"/>
                <w:w w:val="95"/>
                <w:sz w:val="14"/>
              </w:rPr>
              <w:t>89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2.6</w:t>
            </w:r>
          </w:p>
        </w:tc>
        <w:tc>
          <w:tcPr>
            <w:tcW w:w="574" w:type="dxa"/>
            <w:shd w:val="clear" w:color="auto" w:fill="D4E3F5"/>
          </w:tcPr>
          <w:p>
            <w:pPr>
              <w:pStyle w:val="TableParagraph"/>
              <w:ind w:left="161" w:right="70"/>
              <w:rPr>
                <w:sz w:val="14"/>
              </w:rPr>
            </w:pPr>
            <w:r>
              <w:rPr>
                <w:color w:val="231F20"/>
                <w:spacing w:val="-5"/>
                <w:w w:val="95"/>
                <w:sz w:val="14"/>
              </w:rPr>
              <w:t>91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2.6</w:t>
            </w:r>
          </w:p>
        </w:tc>
        <w:tc>
          <w:tcPr>
            <w:tcW w:w="574" w:type="dxa"/>
            <w:shd w:val="clear" w:color="auto" w:fill="D4E3F5"/>
          </w:tcPr>
          <w:p>
            <w:pPr>
              <w:pStyle w:val="TableParagraph"/>
              <w:ind w:left="161" w:right="69"/>
              <w:rPr>
                <w:sz w:val="14"/>
              </w:rPr>
            </w:pPr>
            <w:r>
              <w:rPr>
                <w:color w:val="231F20"/>
                <w:spacing w:val="-5"/>
                <w:w w:val="95"/>
                <w:sz w:val="14"/>
              </w:rPr>
              <w:t>92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2.8</w:t>
            </w:r>
          </w:p>
        </w:tc>
        <w:tc>
          <w:tcPr>
            <w:tcW w:w="574" w:type="dxa"/>
            <w:shd w:val="clear" w:color="auto" w:fill="D4E3F5"/>
          </w:tcPr>
          <w:p>
            <w:pPr>
              <w:pStyle w:val="TableParagraph"/>
              <w:ind w:left="161" w:right="132"/>
              <w:rPr>
                <w:sz w:val="14"/>
              </w:rPr>
            </w:pPr>
            <w:r>
              <w:rPr>
                <w:color w:val="231F20"/>
                <w:spacing w:val="-5"/>
                <w:w w:val="95"/>
                <w:sz w:val="14"/>
              </w:rPr>
              <w:t>101</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2.4</w:t>
            </w:r>
          </w:p>
        </w:tc>
        <w:tc>
          <w:tcPr>
            <w:tcW w:w="655" w:type="dxa"/>
            <w:shd w:val="clear" w:color="auto" w:fill="D4E3F5"/>
          </w:tcPr>
          <w:p>
            <w:pPr>
              <w:pStyle w:val="TableParagraph"/>
              <w:ind w:left="72" w:right="132"/>
              <w:rPr>
                <w:sz w:val="14"/>
              </w:rPr>
            </w:pPr>
            <w:r>
              <w:rPr>
                <w:color w:val="231F20"/>
                <w:spacing w:val="-5"/>
                <w:w w:val="95"/>
                <w:sz w:val="14"/>
              </w:rPr>
              <w:t>105</w:t>
            </w:r>
          </w:p>
        </w:tc>
      </w:tr>
      <w:tr>
        <w:trPr>
          <w:trHeight w:val="259" w:hRule="atLeast"/>
        </w:trPr>
        <w:tc>
          <w:tcPr>
            <w:tcW w:w="990" w:type="dxa"/>
          </w:tcPr>
          <w:p>
            <w:pPr>
              <w:pStyle w:val="TableParagraph"/>
              <w:ind w:left="80"/>
              <w:jc w:val="left"/>
              <w:rPr>
                <w:sz w:val="14"/>
              </w:rPr>
            </w:pPr>
            <w:r>
              <w:rPr>
                <w:color w:val="231F20"/>
                <w:spacing w:val="-2"/>
                <w:w w:val="90"/>
                <w:sz w:val="14"/>
              </w:rPr>
              <w:t>Albania</w:t>
            </w:r>
          </w:p>
        </w:tc>
        <w:tc>
          <w:tcPr>
            <w:tcW w:w="622" w:type="dxa"/>
          </w:tcPr>
          <w:p>
            <w:pPr>
              <w:pStyle w:val="TableParagraph"/>
              <w:ind w:left="67" w:right="101"/>
              <w:rPr>
                <w:sz w:val="14"/>
              </w:rPr>
            </w:pPr>
            <w:r>
              <w:rPr>
                <w:color w:val="231F20"/>
                <w:spacing w:val="-5"/>
                <w:w w:val="95"/>
                <w:sz w:val="14"/>
              </w:rPr>
              <w:t>97</w:t>
            </w:r>
          </w:p>
        </w:tc>
        <w:tc>
          <w:tcPr>
            <w:tcW w:w="644" w:type="dxa"/>
          </w:tcPr>
          <w:p>
            <w:pPr>
              <w:pStyle w:val="TableParagraph"/>
              <w:ind w:left="165"/>
              <w:jc w:val="left"/>
              <w:rPr>
                <w:sz w:val="14"/>
              </w:rPr>
            </w:pPr>
            <w:r>
              <w:rPr>
                <w:color w:val="231F20"/>
                <w:spacing w:val="-5"/>
                <w:w w:val="95"/>
                <w:sz w:val="14"/>
              </w:rPr>
              <w:t>2.5</w:t>
            </w:r>
          </w:p>
        </w:tc>
        <w:tc>
          <w:tcPr>
            <w:tcW w:w="480" w:type="dxa"/>
          </w:tcPr>
          <w:p>
            <w:pPr>
              <w:pStyle w:val="TableParagraph"/>
              <w:ind w:left="108"/>
              <w:jc w:val="left"/>
              <w:rPr>
                <w:sz w:val="14"/>
              </w:rPr>
            </w:pPr>
            <w:r>
              <w:rPr>
                <w:color w:val="231F20"/>
                <w:spacing w:val="-5"/>
                <w:w w:val="95"/>
                <w:sz w:val="14"/>
              </w:rPr>
              <w:t>2.1</w:t>
            </w:r>
          </w:p>
        </w:tc>
        <w:tc>
          <w:tcPr>
            <w:tcW w:w="582" w:type="dxa"/>
          </w:tcPr>
          <w:p>
            <w:pPr>
              <w:pStyle w:val="TableParagraph"/>
              <w:ind w:left="6" w:right="6"/>
              <w:rPr>
                <w:sz w:val="14"/>
              </w:rPr>
            </w:pPr>
            <w:r>
              <w:rPr>
                <w:color w:val="231F20"/>
                <w:spacing w:val="-5"/>
                <w:w w:val="95"/>
                <w:sz w:val="14"/>
              </w:rPr>
              <w:t>2.9</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2.4</w:t>
            </w:r>
          </w:p>
        </w:tc>
        <w:tc>
          <w:tcPr>
            <w:tcW w:w="574" w:type="dxa"/>
          </w:tcPr>
          <w:p>
            <w:pPr>
              <w:pStyle w:val="TableParagraph"/>
              <w:ind w:left="158" w:right="70"/>
              <w:rPr>
                <w:sz w:val="14"/>
              </w:rPr>
            </w:pPr>
            <w:r>
              <w:rPr>
                <w:color w:val="231F20"/>
                <w:spacing w:val="-5"/>
                <w:w w:val="95"/>
                <w:sz w:val="14"/>
              </w:rPr>
              <w:t>90</w:t>
            </w:r>
          </w:p>
        </w:tc>
        <w:tc>
          <w:tcPr>
            <w:tcW w:w="126"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2.7</w:t>
            </w:r>
          </w:p>
        </w:tc>
        <w:tc>
          <w:tcPr>
            <w:tcW w:w="574" w:type="dxa"/>
          </w:tcPr>
          <w:p>
            <w:pPr>
              <w:pStyle w:val="TableParagraph"/>
              <w:ind w:left="161" w:right="72"/>
              <w:rPr>
                <w:sz w:val="14"/>
              </w:rPr>
            </w:pPr>
            <w:r>
              <w:rPr>
                <w:color w:val="231F20"/>
                <w:spacing w:val="-5"/>
                <w:w w:val="95"/>
                <w:sz w:val="14"/>
              </w:rPr>
              <w:t>68</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2.8</w:t>
            </w:r>
          </w:p>
        </w:tc>
        <w:tc>
          <w:tcPr>
            <w:tcW w:w="574" w:type="dxa"/>
          </w:tcPr>
          <w:p>
            <w:pPr>
              <w:pStyle w:val="TableParagraph"/>
              <w:ind w:left="161" w:right="70"/>
              <w:rPr>
                <w:sz w:val="14"/>
              </w:rPr>
            </w:pPr>
            <w:r>
              <w:rPr>
                <w:color w:val="231F20"/>
                <w:spacing w:val="-5"/>
                <w:w w:val="95"/>
                <w:sz w:val="14"/>
              </w:rPr>
              <w:t>75</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2.3</w:t>
            </w:r>
          </w:p>
        </w:tc>
        <w:tc>
          <w:tcPr>
            <w:tcW w:w="574" w:type="dxa"/>
          </w:tcPr>
          <w:p>
            <w:pPr>
              <w:pStyle w:val="TableParagraph"/>
              <w:ind w:left="161" w:right="125"/>
              <w:rPr>
                <w:sz w:val="14"/>
              </w:rPr>
            </w:pPr>
            <w:r>
              <w:rPr>
                <w:color w:val="231F20"/>
                <w:spacing w:val="-5"/>
                <w:w w:val="95"/>
                <w:sz w:val="14"/>
              </w:rPr>
              <w:t>119</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2.5</w:t>
            </w:r>
          </w:p>
        </w:tc>
        <w:tc>
          <w:tcPr>
            <w:tcW w:w="574" w:type="dxa"/>
          </w:tcPr>
          <w:p>
            <w:pPr>
              <w:pStyle w:val="TableParagraph"/>
              <w:ind w:left="161" w:right="127"/>
              <w:rPr>
                <w:sz w:val="14"/>
              </w:rPr>
            </w:pPr>
            <w:r>
              <w:rPr>
                <w:color w:val="231F20"/>
                <w:spacing w:val="-5"/>
                <w:w w:val="95"/>
                <w:sz w:val="14"/>
              </w:rPr>
              <w:t>124</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2.3</w:t>
            </w:r>
          </w:p>
        </w:tc>
        <w:tc>
          <w:tcPr>
            <w:tcW w:w="655" w:type="dxa"/>
          </w:tcPr>
          <w:p>
            <w:pPr>
              <w:pStyle w:val="TableParagraph"/>
              <w:ind w:left="72" w:right="120"/>
              <w:rPr>
                <w:sz w:val="14"/>
              </w:rPr>
            </w:pPr>
            <w:r>
              <w:rPr>
                <w:color w:val="231F20"/>
                <w:spacing w:val="-5"/>
                <w:w w:val="95"/>
                <w:sz w:val="14"/>
              </w:rPr>
              <w:t>117</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Algeria</w:t>
            </w:r>
          </w:p>
        </w:tc>
        <w:tc>
          <w:tcPr>
            <w:tcW w:w="622" w:type="dxa"/>
            <w:shd w:val="clear" w:color="auto" w:fill="D4E3F5"/>
          </w:tcPr>
          <w:p>
            <w:pPr>
              <w:pStyle w:val="TableParagraph"/>
              <w:ind w:left="67" w:right="101"/>
              <w:rPr>
                <w:sz w:val="14"/>
              </w:rPr>
            </w:pPr>
            <w:r>
              <w:rPr>
                <w:color w:val="231F20"/>
                <w:spacing w:val="-5"/>
                <w:w w:val="95"/>
                <w:sz w:val="14"/>
              </w:rPr>
              <w:t>97</w:t>
            </w:r>
          </w:p>
        </w:tc>
        <w:tc>
          <w:tcPr>
            <w:tcW w:w="644" w:type="dxa"/>
            <w:shd w:val="clear" w:color="auto" w:fill="D4E3F5"/>
          </w:tcPr>
          <w:p>
            <w:pPr>
              <w:pStyle w:val="TableParagraph"/>
              <w:ind w:left="165"/>
              <w:jc w:val="left"/>
              <w:rPr>
                <w:sz w:val="14"/>
              </w:rPr>
            </w:pPr>
            <w:r>
              <w:rPr>
                <w:color w:val="231F20"/>
                <w:spacing w:val="-5"/>
                <w:w w:val="95"/>
                <w:sz w:val="14"/>
              </w:rPr>
              <w:t>2.5</w:t>
            </w:r>
          </w:p>
        </w:tc>
        <w:tc>
          <w:tcPr>
            <w:tcW w:w="480" w:type="dxa"/>
            <w:shd w:val="clear" w:color="auto" w:fill="D4E3F5"/>
          </w:tcPr>
          <w:p>
            <w:pPr>
              <w:pStyle w:val="TableParagraph"/>
              <w:ind w:left="108"/>
              <w:jc w:val="left"/>
              <w:rPr>
                <w:sz w:val="14"/>
              </w:rPr>
            </w:pPr>
            <w:r>
              <w:rPr>
                <w:color w:val="231F20"/>
                <w:spacing w:val="-5"/>
                <w:w w:val="95"/>
                <w:sz w:val="14"/>
              </w:rPr>
              <w:t>2.1</w:t>
            </w:r>
          </w:p>
        </w:tc>
        <w:tc>
          <w:tcPr>
            <w:tcW w:w="582" w:type="dxa"/>
            <w:shd w:val="clear" w:color="auto" w:fill="D4E3F5"/>
          </w:tcPr>
          <w:p>
            <w:pPr>
              <w:pStyle w:val="TableParagraph"/>
              <w:ind w:left="6" w:right="6"/>
              <w:rPr>
                <w:sz w:val="14"/>
              </w:rPr>
            </w:pPr>
            <w:r>
              <w:rPr>
                <w:color w:val="231F20"/>
                <w:spacing w:val="-5"/>
                <w:w w:val="95"/>
                <w:sz w:val="14"/>
              </w:rPr>
              <w:t>2.9</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2.3</w:t>
            </w:r>
          </w:p>
        </w:tc>
        <w:tc>
          <w:tcPr>
            <w:tcW w:w="574" w:type="dxa"/>
            <w:shd w:val="clear" w:color="auto" w:fill="D4E3F5"/>
          </w:tcPr>
          <w:p>
            <w:pPr>
              <w:pStyle w:val="TableParagraph"/>
              <w:ind w:left="161" w:right="138"/>
              <w:rPr>
                <w:sz w:val="14"/>
              </w:rPr>
            </w:pPr>
            <w:r>
              <w:rPr>
                <w:color w:val="231F20"/>
                <w:spacing w:val="-5"/>
                <w:w w:val="95"/>
                <w:sz w:val="14"/>
              </w:rPr>
              <w:t>101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2" w:right="48"/>
              <w:rPr>
                <w:sz w:val="14"/>
              </w:rPr>
            </w:pPr>
            <w:r>
              <w:rPr>
                <w:color w:val="231F20"/>
                <w:spacing w:val="-5"/>
                <w:w w:val="95"/>
                <w:sz w:val="14"/>
              </w:rPr>
              <w:t>2.1</w:t>
            </w:r>
          </w:p>
        </w:tc>
        <w:tc>
          <w:tcPr>
            <w:tcW w:w="574" w:type="dxa"/>
            <w:shd w:val="clear" w:color="auto" w:fill="D4E3F5"/>
          </w:tcPr>
          <w:p>
            <w:pPr>
              <w:pStyle w:val="TableParagraph"/>
              <w:ind w:left="161" w:right="136"/>
              <w:rPr>
                <w:sz w:val="14"/>
              </w:rPr>
            </w:pPr>
            <w:r>
              <w:rPr>
                <w:color w:val="231F20"/>
                <w:spacing w:val="-5"/>
                <w:w w:val="95"/>
                <w:sz w:val="14"/>
              </w:rPr>
              <w:t>125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3.0</w:t>
            </w:r>
          </w:p>
        </w:tc>
        <w:tc>
          <w:tcPr>
            <w:tcW w:w="574" w:type="dxa"/>
            <w:shd w:val="clear" w:color="auto" w:fill="D4E3F5"/>
          </w:tcPr>
          <w:p>
            <w:pPr>
              <w:pStyle w:val="TableParagraph"/>
              <w:ind w:left="161" w:right="70"/>
              <w:rPr>
                <w:sz w:val="14"/>
              </w:rPr>
            </w:pPr>
            <w:r>
              <w:rPr>
                <w:color w:val="231F20"/>
                <w:spacing w:val="-5"/>
                <w:w w:val="95"/>
                <w:sz w:val="14"/>
              </w:rPr>
              <w:t>57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2.2</w:t>
            </w:r>
          </w:p>
        </w:tc>
        <w:tc>
          <w:tcPr>
            <w:tcW w:w="574" w:type="dxa"/>
            <w:shd w:val="clear" w:color="auto" w:fill="D4E3F5"/>
          </w:tcPr>
          <w:p>
            <w:pPr>
              <w:pStyle w:val="TableParagraph"/>
              <w:ind w:left="161" w:right="134"/>
              <w:rPr>
                <w:sz w:val="14"/>
              </w:rPr>
            </w:pPr>
            <w:r>
              <w:rPr>
                <w:color w:val="231F20"/>
                <w:spacing w:val="-5"/>
                <w:w w:val="95"/>
                <w:sz w:val="14"/>
              </w:rPr>
              <w:t>126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6" w:right="48"/>
              <w:rPr>
                <w:sz w:val="14"/>
              </w:rPr>
            </w:pPr>
            <w:r>
              <w:rPr>
                <w:color w:val="231F20"/>
                <w:spacing w:val="-5"/>
                <w:w w:val="95"/>
                <w:sz w:val="14"/>
              </w:rPr>
              <w:t>2.6</w:t>
            </w:r>
          </w:p>
        </w:tc>
        <w:tc>
          <w:tcPr>
            <w:tcW w:w="574" w:type="dxa"/>
            <w:shd w:val="clear" w:color="auto" w:fill="D4E3F5"/>
          </w:tcPr>
          <w:p>
            <w:pPr>
              <w:pStyle w:val="TableParagraph"/>
              <w:ind w:left="161" w:right="124"/>
              <w:rPr>
                <w:sz w:val="14"/>
              </w:rPr>
            </w:pPr>
            <w:r>
              <w:rPr>
                <w:color w:val="231F20"/>
                <w:spacing w:val="-5"/>
                <w:w w:val="95"/>
                <w:sz w:val="14"/>
              </w:rPr>
              <w:t>116</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2.5</w:t>
            </w:r>
          </w:p>
        </w:tc>
        <w:tc>
          <w:tcPr>
            <w:tcW w:w="655" w:type="dxa"/>
            <w:shd w:val="clear" w:color="auto" w:fill="D4E3F5"/>
          </w:tcPr>
          <w:p>
            <w:pPr>
              <w:pStyle w:val="TableParagraph"/>
              <w:ind w:left="72" w:right="68"/>
              <w:rPr>
                <w:sz w:val="14"/>
              </w:rPr>
            </w:pPr>
            <w:r>
              <w:rPr>
                <w:color w:val="231F20"/>
                <w:spacing w:val="-5"/>
                <w:w w:val="95"/>
                <w:sz w:val="14"/>
              </w:rPr>
              <w:t>98</w:t>
            </w:r>
          </w:p>
        </w:tc>
      </w:tr>
      <w:tr>
        <w:trPr>
          <w:trHeight w:val="259" w:hRule="atLeast"/>
        </w:trPr>
        <w:tc>
          <w:tcPr>
            <w:tcW w:w="990" w:type="dxa"/>
          </w:tcPr>
          <w:p>
            <w:pPr>
              <w:pStyle w:val="TableParagraph"/>
              <w:ind w:left="80"/>
              <w:jc w:val="left"/>
              <w:rPr>
                <w:sz w:val="14"/>
              </w:rPr>
            </w:pPr>
            <w:r>
              <w:rPr>
                <w:color w:val="231F20"/>
                <w:spacing w:val="-2"/>
                <w:w w:val="90"/>
                <w:sz w:val="14"/>
              </w:rPr>
              <w:t>Armenia</w:t>
            </w:r>
          </w:p>
        </w:tc>
        <w:tc>
          <w:tcPr>
            <w:tcW w:w="622" w:type="dxa"/>
          </w:tcPr>
          <w:p>
            <w:pPr>
              <w:pStyle w:val="TableParagraph"/>
              <w:ind w:left="67" w:right="101"/>
              <w:rPr>
                <w:sz w:val="14"/>
              </w:rPr>
            </w:pPr>
            <w:r>
              <w:rPr>
                <w:color w:val="231F20"/>
                <w:spacing w:val="-5"/>
                <w:w w:val="95"/>
                <w:sz w:val="14"/>
              </w:rPr>
              <w:t>97</w:t>
            </w:r>
          </w:p>
        </w:tc>
        <w:tc>
          <w:tcPr>
            <w:tcW w:w="644" w:type="dxa"/>
          </w:tcPr>
          <w:p>
            <w:pPr>
              <w:pStyle w:val="TableParagraph"/>
              <w:ind w:left="165"/>
              <w:jc w:val="left"/>
              <w:rPr>
                <w:sz w:val="14"/>
              </w:rPr>
            </w:pPr>
            <w:r>
              <w:rPr>
                <w:color w:val="231F20"/>
                <w:spacing w:val="-5"/>
                <w:w w:val="95"/>
                <w:sz w:val="14"/>
              </w:rPr>
              <w:t>2.5</w:t>
            </w:r>
          </w:p>
        </w:tc>
        <w:tc>
          <w:tcPr>
            <w:tcW w:w="480" w:type="dxa"/>
          </w:tcPr>
          <w:p>
            <w:pPr>
              <w:pStyle w:val="TableParagraph"/>
              <w:ind w:left="102"/>
              <w:jc w:val="left"/>
              <w:rPr>
                <w:sz w:val="14"/>
              </w:rPr>
            </w:pPr>
            <w:r>
              <w:rPr>
                <w:color w:val="231F20"/>
                <w:spacing w:val="-5"/>
                <w:w w:val="95"/>
                <w:sz w:val="14"/>
              </w:rPr>
              <w:t>2.3</w:t>
            </w:r>
          </w:p>
        </w:tc>
        <w:tc>
          <w:tcPr>
            <w:tcW w:w="582" w:type="dxa"/>
          </w:tcPr>
          <w:p>
            <w:pPr>
              <w:pStyle w:val="TableParagraph"/>
              <w:ind w:left="6" w:right="6"/>
              <w:rPr>
                <w:sz w:val="14"/>
              </w:rPr>
            </w:pPr>
            <w:r>
              <w:rPr>
                <w:color w:val="231F20"/>
                <w:spacing w:val="-5"/>
                <w:w w:val="95"/>
                <w:sz w:val="14"/>
              </w:rPr>
              <w:t>2.7</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2.5</w:t>
            </w:r>
          </w:p>
        </w:tc>
        <w:tc>
          <w:tcPr>
            <w:tcW w:w="574" w:type="dxa"/>
          </w:tcPr>
          <w:p>
            <w:pPr>
              <w:pStyle w:val="TableParagraph"/>
              <w:ind w:left="158" w:right="70"/>
              <w:rPr>
                <w:sz w:val="14"/>
              </w:rPr>
            </w:pPr>
            <w:r>
              <w:rPr>
                <w:color w:val="231F20"/>
                <w:spacing w:val="-5"/>
                <w:w w:val="95"/>
                <w:sz w:val="14"/>
              </w:rPr>
              <w:t>84</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2.6</w:t>
            </w:r>
          </w:p>
        </w:tc>
        <w:tc>
          <w:tcPr>
            <w:tcW w:w="574" w:type="dxa"/>
          </w:tcPr>
          <w:p>
            <w:pPr>
              <w:pStyle w:val="TableParagraph"/>
              <w:ind w:left="161" w:right="72"/>
              <w:rPr>
                <w:sz w:val="14"/>
              </w:rPr>
            </w:pPr>
            <w:r>
              <w:rPr>
                <w:color w:val="231F20"/>
                <w:spacing w:val="-5"/>
                <w:w w:val="95"/>
                <w:sz w:val="14"/>
              </w:rPr>
              <w:t>76</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2.2</w:t>
            </w:r>
          </w:p>
        </w:tc>
        <w:tc>
          <w:tcPr>
            <w:tcW w:w="574" w:type="dxa"/>
          </w:tcPr>
          <w:p>
            <w:pPr>
              <w:pStyle w:val="TableParagraph"/>
              <w:ind w:left="161" w:right="135"/>
              <w:rPr>
                <w:sz w:val="14"/>
              </w:rPr>
            </w:pPr>
            <w:r>
              <w:rPr>
                <w:color w:val="231F20"/>
                <w:spacing w:val="-5"/>
                <w:w w:val="95"/>
                <w:sz w:val="14"/>
              </w:rPr>
              <w:t>128</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2.6</w:t>
            </w:r>
          </w:p>
        </w:tc>
        <w:tc>
          <w:tcPr>
            <w:tcW w:w="574" w:type="dxa"/>
          </w:tcPr>
          <w:p>
            <w:pPr>
              <w:pStyle w:val="TableParagraph"/>
              <w:ind w:left="161" w:right="69"/>
              <w:rPr>
                <w:sz w:val="14"/>
              </w:rPr>
            </w:pPr>
            <w:r>
              <w:rPr>
                <w:color w:val="231F20"/>
                <w:spacing w:val="-5"/>
                <w:w w:val="95"/>
                <w:sz w:val="14"/>
              </w:rPr>
              <w:t>92</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2.7</w:t>
            </w:r>
          </w:p>
        </w:tc>
        <w:tc>
          <w:tcPr>
            <w:tcW w:w="574" w:type="dxa"/>
          </w:tcPr>
          <w:p>
            <w:pPr>
              <w:pStyle w:val="TableParagraph"/>
              <w:ind w:left="161" w:right="135"/>
              <w:rPr>
                <w:sz w:val="14"/>
              </w:rPr>
            </w:pPr>
            <w:r>
              <w:rPr>
                <w:color w:val="231F20"/>
                <w:spacing w:val="-5"/>
                <w:w w:val="95"/>
                <w:sz w:val="14"/>
              </w:rPr>
              <w:t>109</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2.3</w:t>
            </w:r>
          </w:p>
        </w:tc>
        <w:tc>
          <w:tcPr>
            <w:tcW w:w="655" w:type="dxa"/>
          </w:tcPr>
          <w:p>
            <w:pPr>
              <w:pStyle w:val="TableParagraph"/>
              <w:ind w:left="72" w:right="120"/>
              <w:rPr>
                <w:sz w:val="14"/>
              </w:rPr>
            </w:pPr>
            <w:r>
              <w:rPr>
                <w:color w:val="231F20"/>
                <w:spacing w:val="-5"/>
                <w:w w:val="95"/>
                <w:sz w:val="14"/>
              </w:rPr>
              <w:t>117</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Bhutan</w:t>
            </w:r>
          </w:p>
        </w:tc>
        <w:tc>
          <w:tcPr>
            <w:tcW w:w="622" w:type="dxa"/>
            <w:shd w:val="clear" w:color="auto" w:fill="D4E3F5"/>
          </w:tcPr>
          <w:p>
            <w:pPr>
              <w:pStyle w:val="TableParagraph"/>
              <w:ind w:left="67" w:right="101"/>
              <w:rPr>
                <w:sz w:val="14"/>
              </w:rPr>
            </w:pPr>
            <w:r>
              <w:rPr>
                <w:color w:val="231F20"/>
                <w:spacing w:val="-5"/>
                <w:w w:val="95"/>
                <w:sz w:val="14"/>
              </w:rPr>
              <w:t>97</w:t>
            </w:r>
          </w:p>
        </w:tc>
        <w:tc>
          <w:tcPr>
            <w:tcW w:w="644" w:type="dxa"/>
            <w:shd w:val="clear" w:color="auto" w:fill="D4E3F5"/>
          </w:tcPr>
          <w:p>
            <w:pPr>
              <w:pStyle w:val="TableParagraph"/>
              <w:ind w:left="165"/>
              <w:jc w:val="left"/>
              <w:rPr>
                <w:sz w:val="14"/>
              </w:rPr>
            </w:pPr>
            <w:r>
              <w:rPr>
                <w:color w:val="231F20"/>
                <w:spacing w:val="-5"/>
                <w:w w:val="95"/>
                <w:sz w:val="14"/>
              </w:rPr>
              <w:t>2.5</w:t>
            </w:r>
          </w:p>
        </w:tc>
        <w:tc>
          <w:tcPr>
            <w:tcW w:w="480" w:type="dxa"/>
            <w:shd w:val="clear" w:color="auto" w:fill="D4E3F5"/>
          </w:tcPr>
          <w:p>
            <w:pPr>
              <w:pStyle w:val="TableParagraph"/>
              <w:ind w:left="102"/>
              <w:jc w:val="left"/>
              <w:rPr>
                <w:sz w:val="14"/>
              </w:rPr>
            </w:pPr>
            <w:r>
              <w:rPr>
                <w:color w:val="231F20"/>
                <w:spacing w:val="-5"/>
                <w:w w:val="95"/>
                <w:sz w:val="14"/>
              </w:rPr>
              <w:t>2.3</w:t>
            </w:r>
          </w:p>
        </w:tc>
        <w:tc>
          <w:tcPr>
            <w:tcW w:w="582" w:type="dxa"/>
            <w:shd w:val="clear" w:color="auto" w:fill="D4E3F5"/>
          </w:tcPr>
          <w:p>
            <w:pPr>
              <w:pStyle w:val="TableParagraph"/>
              <w:ind w:left="6" w:right="6"/>
              <w:rPr>
                <w:sz w:val="14"/>
              </w:rPr>
            </w:pPr>
            <w:r>
              <w:rPr>
                <w:color w:val="231F20"/>
                <w:spacing w:val="-5"/>
                <w:w w:val="95"/>
                <w:sz w:val="14"/>
              </w:rPr>
              <w:t>2.7</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7" w:right="48"/>
              <w:rPr>
                <w:sz w:val="14"/>
              </w:rPr>
            </w:pPr>
            <w:r>
              <w:rPr>
                <w:color w:val="231F20"/>
                <w:spacing w:val="-5"/>
                <w:w w:val="95"/>
                <w:sz w:val="14"/>
              </w:rPr>
              <w:t>2.7</w:t>
            </w:r>
          </w:p>
        </w:tc>
        <w:tc>
          <w:tcPr>
            <w:tcW w:w="574" w:type="dxa"/>
            <w:shd w:val="clear" w:color="auto" w:fill="D4E3F5"/>
          </w:tcPr>
          <w:p>
            <w:pPr>
              <w:pStyle w:val="TableParagraph"/>
              <w:ind w:left="158" w:right="70"/>
              <w:rPr>
                <w:sz w:val="14"/>
              </w:rPr>
            </w:pPr>
            <w:r>
              <w:rPr>
                <w:color w:val="231F20"/>
                <w:spacing w:val="-5"/>
                <w:w w:val="95"/>
                <w:sz w:val="14"/>
              </w:rPr>
              <w:t>65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2.2</w:t>
            </w:r>
          </w:p>
        </w:tc>
        <w:tc>
          <w:tcPr>
            <w:tcW w:w="574" w:type="dxa"/>
            <w:shd w:val="clear" w:color="auto" w:fill="D4E3F5"/>
          </w:tcPr>
          <w:p>
            <w:pPr>
              <w:pStyle w:val="TableParagraph"/>
              <w:ind w:left="161" w:right="128"/>
              <w:rPr>
                <w:sz w:val="14"/>
              </w:rPr>
            </w:pPr>
            <w:r>
              <w:rPr>
                <w:color w:val="231F20"/>
                <w:spacing w:val="-5"/>
                <w:w w:val="95"/>
                <w:sz w:val="14"/>
              </w:rPr>
              <w:t>118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2.3</w:t>
            </w:r>
          </w:p>
        </w:tc>
        <w:tc>
          <w:tcPr>
            <w:tcW w:w="574" w:type="dxa"/>
            <w:shd w:val="clear" w:color="auto" w:fill="D4E3F5"/>
          </w:tcPr>
          <w:p>
            <w:pPr>
              <w:pStyle w:val="TableParagraph"/>
              <w:ind w:left="161" w:right="134"/>
              <w:rPr>
                <w:sz w:val="14"/>
              </w:rPr>
            </w:pPr>
            <w:r>
              <w:rPr>
                <w:color w:val="231F20"/>
                <w:spacing w:val="-5"/>
                <w:w w:val="95"/>
                <w:sz w:val="14"/>
              </w:rPr>
              <w:t>121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2.6</w:t>
            </w:r>
          </w:p>
        </w:tc>
        <w:tc>
          <w:tcPr>
            <w:tcW w:w="574" w:type="dxa"/>
            <w:shd w:val="clear" w:color="auto" w:fill="D4E3F5"/>
          </w:tcPr>
          <w:p>
            <w:pPr>
              <w:pStyle w:val="TableParagraph"/>
              <w:ind w:left="161" w:right="69"/>
              <w:rPr>
                <w:sz w:val="14"/>
              </w:rPr>
            </w:pPr>
            <w:r>
              <w:rPr>
                <w:color w:val="231F20"/>
                <w:spacing w:val="-5"/>
                <w:w w:val="95"/>
                <w:sz w:val="14"/>
              </w:rPr>
              <w:t>92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6" w:right="48"/>
              <w:rPr>
                <w:sz w:val="14"/>
              </w:rPr>
            </w:pPr>
            <w:r>
              <w:rPr>
                <w:color w:val="231F20"/>
                <w:spacing w:val="-5"/>
                <w:w w:val="95"/>
                <w:sz w:val="14"/>
              </w:rPr>
              <w:t>2.6</w:t>
            </w:r>
          </w:p>
        </w:tc>
        <w:tc>
          <w:tcPr>
            <w:tcW w:w="574" w:type="dxa"/>
            <w:shd w:val="clear" w:color="auto" w:fill="D4E3F5"/>
          </w:tcPr>
          <w:p>
            <w:pPr>
              <w:pStyle w:val="TableParagraph"/>
              <w:ind w:left="161" w:right="124"/>
              <w:rPr>
                <w:sz w:val="14"/>
              </w:rPr>
            </w:pPr>
            <w:r>
              <w:rPr>
                <w:color w:val="231F20"/>
                <w:spacing w:val="-5"/>
                <w:w w:val="95"/>
                <w:sz w:val="14"/>
              </w:rPr>
              <w:t>116</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2.3</w:t>
            </w:r>
          </w:p>
        </w:tc>
        <w:tc>
          <w:tcPr>
            <w:tcW w:w="655" w:type="dxa"/>
            <w:shd w:val="clear" w:color="auto" w:fill="D4E3F5"/>
          </w:tcPr>
          <w:p>
            <w:pPr>
              <w:pStyle w:val="TableParagraph"/>
              <w:ind w:left="72" w:right="120"/>
              <w:rPr>
                <w:sz w:val="14"/>
              </w:rPr>
            </w:pPr>
            <w:r>
              <w:rPr>
                <w:color w:val="231F20"/>
                <w:spacing w:val="-5"/>
                <w:w w:val="95"/>
                <w:sz w:val="14"/>
              </w:rPr>
              <w:t>117</w:t>
            </w:r>
          </w:p>
        </w:tc>
      </w:tr>
      <w:tr>
        <w:trPr>
          <w:trHeight w:val="419" w:hRule="atLeast"/>
        </w:trPr>
        <w:tc>
          <w:tcPr>
            <w:tcW w:w="990" w:type="dxa"/>
          </w:tcPr>
          <w:p>
            <w:pPr>
              <w:pStyle w:val="TableParagraph"/>
              <w:ind w:left="80"/>
              <w:jc w:val="left"/>
              <w:rPr>
                <w:sz w:val="14"/>
              </w:rPr>
            </w:pPr>
            <w:r>
              <w:rPr>
                <w:color w:val="231F20"/>
                <w:w w:val="80"/>
                <w:sz w:val="14"/>
              </w:rPr>
              <w:t>Central</w:t>
            </w:r>
            <w:r>
              <w:rPr>
                <w:color w:val="231F20"/>
                <w:spacing w:val="-2"/>
                <w:w w:val="80"/>
                <w:sz w:val="14"/>
              </w:rPr>
              <w:t> </w:t>
            </w:r>
            <w:r>
              <w:rPr>
                <w:color w:val="231F20"/>
                <w:w w:val="80"/>
                <w:sz w:val="14"/>
              </w:rPr>
              <w:t>African</w:t>
            </w:r>
            <w:r>
              <w:rPr>
                <w:color w:val="231F20"/>
                <w:spacing w:val="40"/>
                <w:sz w:val="14"/>
              </w:rPr>
              <w:t> </w:t>
            </w:r>
            <w:r>
              <w:rPr>
                <w:color w:val="231F20"/>
                <w:spacing w:val="-2"/>
                <w:w w:val="90"/>
                <w:sz w:val="14"/>
              </w:rPr>
              <w:t>Republic</w:t>
            </w:r>
          </w:p>
        </w:tc>
        <w:tc>
          <w:tcPr>
            <w:tcW w:w="622" w:type="dxa"/>
          </w:tcPr>
          <w:p>
            <w:pPr>
              <w:pStyle w:val="TableParagraph"/>
              <w:spacing w:before="47"/>
              <w:jc w:val="left"/>
              <w:rPr>
                <w:sz w:val="14"/>
              </w:rPr>
            </w:pPr>
          </w:p>
          <w:p>
            <w:pPr>
              <w:pStyle w:val="TableParagraph"/>
              <w:spacing w:before="0"/>
              <w:ind w:left="67" w:right="101"/>
              <w:rPr>
                <w:sz w:val="14"/>
              </w:rPr>
            </w:pPr>
            <w:r>
              <w:rPr>
                <w:color w:val="231F20"/>
                <w:spacing w:val="-5"/>
                <w:w w:val="95"/>
                <w:sz w:val="14"/>
              </w:rPr>
              <w:t>97</w:t>
            </w:r>
          </w:p>
        </w:tc>
        <w:tc>
          <w:tcPr>
            <w:tcW w:w="644" w:type="dxa"/>
          </w:tcPr>
          <w:p>
            <w:pPr>
              <w:pStyle w:val="TableParagraph"/>
              <w:spacing w:before="47"/>
              <w:jc w:val="left"/>
              <w:rPr>
                <w:sz w:val="14"/>
              </w:rPr>
            </w:pPr>
          </w:p>
          <w:p>
            <w:pPr>
              <w:pStyle w:val="TableParagraph"/>
              <w:spacing w:before="0"/>
              <w:ind w:left="165"/>
              <w:jc w:val="left"/>
              <w:rPr>
                <w:sz w:val="14"/>
              </w:rPr>
            </w:pPr>
            <w:r>
              <w:rPr>
                <w:color w:val="231F20"/>
                <w:spacing w:val="-5"/>
                <w:w w:val="95"/>
                <w:sz w:val="14"/>
              </w:rPr>
              <w:t>2.5</w:t>
            </w:r>
          </w:p>
        </w:tc>
        <w:tc>
          <w:tcPr>
            <w:tcW w:w="480" w:type="dxa"/>
          </w:tcPr>
          <w:p>
            <w:pPr>
              <w:pStyle w:val="TableParagraph"/>
              <w:spacing w:before="47"/>
              <w:jc w:val="left"/>
              <w:rPr>
                <w:sz w:val="14"/>
              </w:rPr>
            </w:pPr>
          </w:p>
          <w:p>
            <w:pPr>
              <w:pStyle w:val="TableParagraph"/>
              <w:spacing w:before="0"/>
              <w:ind w:left="106"/>
              <w:jc w:val="left"/>
              <w:rPr>
                <w:sz w:val="14"/>
              </w:rPr>
            </w:pPr>
            <w:r>
              <w:rPr>
                <w:color w:val="231F20"/>
                <w:spacing w:val="-5"/>
                <w:w w:val="95"/>
                <w:sz w:val="14"/>
              </w:rPr>
              <w:t>1.9</w:t>
            </w:r>
          </w:p>
        </w:tc>
        <w:tc>
          <w:tcPr>
            <w:tcW w:w="582" w:type="dxa"/>
          </w:tcPr>
          <w:p>
            <w:pPr>
              <w:pStyle w:val="TableParagraph"/>
              <w:spacing w:before="47"/>
              <w:jc w:val="left"/>
              <w:rPr>
                <w:sz w:val="14"/>
              </w:rPr>
            </w:pPr>
          </w:p>
          <w:p>
            <w:pPr>
              <w:pStyle w:val="TableParagraph"/>
              <w:spacing w:before="0"/>
              <w:ind w:left="1" w:right="7"/>
              <w:rPr>
                <w:sz w:val="14"/>
              </w:rPr>
            </w:pPr>
            <w:r>
              <w:rPr>
                <w:color w:val="231F20"/>
                <w:spacing w:val="-5"/>
                <w:w w:val="95"/>
                <w:sz w:val="14"/>
              </w:rPr>
              <w:t>3.1</w:t>
            </w:r>
          </w:p>
        </w:tc>
        <w:tc>
          <w:tcPr>
            <w:tcW w:w="80"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8" w:right="48"/>
              <w:rPr>
                <w:sz w:val="14"/>
              </w:rPr>
            </w:pPr>
            <w:r>
              <w:rPr>
                <w:color w:val="231F20"/>
                <w:spacing w:val="-5"/>
                <w:w w:val="95"/>
                <w:sz w:val="14"/>
              </w:rPr>
              <w:t>2.4</w:t>
            </w:r>
          </w:p>
        </w:tc>
        <w:tc>
          <w:tcPr>
            <w:tcW w:w="574" w:type="dxa"/>
          </w:tcPr>
          <w:p>
            <w:pPr>
              <w:pStyle w:val="TableParagraph"/>
              <w:spacing w:before="47"/>
              <w:jc w:val="left"/>
              <w:rPr>
                <w:sz w:val="14"/>
              </w:rPr>
            </w:pPr>
          </w:p>
          <w:p>
            <w:pPr>
              <w:pStyle w:val="TableParagraph"/>
              <w:spacing w:before="0"/>
              <w:ind w:left="158" w:right="70"/>
              <w:rPr>
                <w:sz w:val="14"/>
              </w:rPr>
            </w:pPr>
            <w:r>
              <w:rPr>
                <w:color w:val="231F20"/>
                <w:spacing w:val="-5"/>
                <w:w w:val="95"/>
                <w:sz w:val="14"/>
              </w:rPr>
              <w:t>90</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11" w:right="48"/>
              <w:rPr>
                <w:sz w:val="14"/>
              </w:rPr>
            </w:pPr>
            <w:r>
              <w:rPr>
                <w:color w:val="231F20"/>
                <w:spacing w:val="-5"/>
                <w:w w:val="95"/>
                <w:sz w:val="14"/>
              </w:rPr>
              <w:t>2.6</w:t>
            </w:r>
          </w:p>
        </w:tc>
        <w:tc>
          <w:tcPr>
            <w:tcW w:w="574" w:type="dxa"/>
          </w:tcPr>
          <w:p>
            <w:pPr>
              <w:pStyle w:val="TableParagraph"/>
              <w:spacing w:before="47"/>
              <w:jc w:val="left"/>
              <w:rPr>
                <w:sz w:val="14"/>
              </w:rPr>
            </w:pPr>
          </w:p>
          <w:p>
            <w:pPr>
              <w:pStyle w:val="TableParagraph"/>
              <w:spacing w:before="0"/>
              <w:ind w:left="161" w:right="72"/>
              <w:rPr>
                <w:sz w:val="14"/>
              </w:rPr>
            </w:pPr>
            <w:r>
              <w:rPr>
                <w:color w:val="231F20"/>
                <w:spacing w:val="-5"/>
                <w:w w:val="95"/>
                <w:sz w:val="14"/>
              </w:rPr>
              <w:t>76</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3" w:right="48"/>
              <w:rPr>
                <w:sz w:val="14"/>
              </w:rPr>
            </w:pPr>
            <w:r>
              <w:rPr>
                <w:color w:val="231F20"/>
                <w:spacing w:val="-5"/>
                <w:w w:val="95"/>
                <w:sz w:val="14"/>
              </w:rPr>
              <w:t>2.1</w:t>
            </w:r>
          </w:p>
        </w:tc>
        <w:tc>
          <w:tcPr>
            <w:tcW w:w="574" w:type="dxa"/>
          </w:tcPr>
          <w:p>
            <w:pPr>
              <w:pStyle w:val="TableParagraph"/>
              <w:spacing w:before="47"/>
              <w:jc w:val="left"/>
              <w:rPr>
                <w:sz w:val="14"/>
              </w:rPr>
            </w:pPr>
          </w:p>
          <w:p>
            <w:pPr>
              <w:pStyle w:val="TableParagraph"/>
              <w:spacing w:before="0"/>
              <w:ind w:left="161" w:right="135"/>
              <w:rPr>
                <w:sz w:val="14"/>
              </w:rPr>
            </w:pPr>
            <w:r>
              <w:rPr>
                <w:color w:val="231F20"/>
                <w:spacing w:val="-5"/>
                <w:w w:val="95"/>
                <w:sz w:val="14"/>
              </w:rPr>
              <w:t>132</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13" w:right="48"/>
              <w:rPr>
                <w:sz w:val="14"/>
              </w:rPr>
            </w:pPr>
            <w:r>
              <w:rPr>
                <w:color w:val="231F20"/>
                <w:spacing w:val="-5"/>
                <w:w w:val="95"/>
                <w:sz w:val="14"/>
              </w:rPr>
              <w:t>2.9</w:t>
            </w:r>
          </w:p>
        </w:tc>
        <w:tc>
          <w:tcPr>
            <w:tcW w:w="574" w:type="dxa"/>
          </w:tcPr>
          <w:p>
            <w:pPr>
              <w:pStyle w:val="TableParagraph"/>
              <w:spacing w:before="47"/>
              <w:jc w:val="left"/>
              <w:rPr>
                <w:sz w:val="14"/>
              </w:rPr>
            </w:pPr>
          </w:p>
          <w:p>
            <w:pPr>
              <w:pStyle w:val="TableParagraph"/>
              <w:spacing w:before="0"/>
              <w:ind w:left="161" w:right="69"/>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16" w:right="48"/>
              <w:rPr>
                <w:sz w:val="14"/>
              </w:rPr>
            </w:pPr>
            <w:r>
              <w:rPr>
                <w:color w:val="231F20"/>
                <w:spacing w:val="-5"/>
                <w:w w:val="95"/>
                <w:sz w:val="14"/>
              </w:rPr>
              <w:t>2.6</w:t>
            </w:r>
          </w:p>
        </w:tc>
        <w:tc>
          <w:tcPr>
            <w:tcW w:w="574" w:type="dxa"/>
          </w:tcPr>
          <w:p>
            <w:pPr>
              <w:pStyle w:val="TableParagraph"/>
              <w:spacing w:before="47"/>
              <w:jc w:val="left"/>
              <w:rPr>
                <w:sz w:val="14"/>
              </w:rPr>
            </w:pPr>
          </w:p>
          <w:p>
            <w:pPr>
              <w:pStyle w:val="TableParagraph"/>
              <w:spacing w:before="0"/>
              <w:ind w:left="161" w:right="124"/>
              <w:rPr>
                <w:sz w:val="14"/>
              </w:rPr>
            </w:pPr>
            <w:r>
              <w:rPr>
                <w:color w:val="231F20"/>
                <w:spacing w:val="-5"/>
                <w:w w:val="95"/>
                <w:sz w:val="14"/>
              </w:rPr>
              <w:t>116</w:t>
            </w:r>
          </w:p>
        </w:tc>
        <w:tc>
          <w:tcPr>
            <w:tcW w:w="126" w:type="dxa"/>
          </w:tcPr>
          <w:p>
            <w:pPr>
              <w:pStyle w:val="TableParagraph"/>
              <w:spacing w:before="0"/>
              <w:jc w:val="left"/>
              <w:rPr>
                <w:rFonts w:ascii="Times New Roman"/>
                <w:sz w:val="12"/>
              </w:rPr>
            </w:pPr>
          </w:p>
        </w:tc>
        <w:tc>
          <w:tcPr>
            <w:tcW w:w="468" w:type="dxa"/>
          </w:tcPr>
          <w:p>
            <w:pPr>
              <w:pStyle w:val="TableParagraph"/>
              <w:spacing w:before="47"/>
              <w:jc w:val="left"/>
              <w:rPr>
                <w:sz w:val="14"/>
              </w:rPr>
            </w:pPr>
          </w:p>
          <w:p>
            <w:pPr>
              <w:pStyle w:val="TableParagraph"/>
              <w:spacing w:before="0"/>
              <w:ind w:left="8" w:right="45"/>
              <w:rPr>
                <w:sz w:val="14"/>
              </w:rPr>
            </w:pPr>
            <w:r>
              <w:rPr>
                <w:color w:val="231F20"/>
                <w:spacing w:val="-5"/>
                <w:w w:val="95"/>
                <w:sz w:val="14"/>
              </w:rPr>
              <w:t>2.4</w:t>
            </w:r>
          </w:p>
        </w:tc>
        <w:tc>
          <w:tcPr>
            <w:tcW w:w="655" w:type="dxa"/>
          </w:tcPr>
          <w:p>
            <w:pPr>
              <w:pStyle w:val="TableParagraph"/>
              <w:spacing w:before="47"/>
              <w:jc w:val="left"/>
              <w:rPr>
                <w:sz w:val="14"/>
              </w:rPr>
            </w:pPr>
          </w:p>
          <w:p>
            <w:pPr>
              <w:pStyle w:val="TableParagraph"/>
              <w:spacing w:before="0"/>
              <w:ind w:left="72" w:right="132"/>
              <w:rPr>
                <w:sz w:val="14"/>
              </w:rPr>
            </w:pPr>
            <w:r>
              <w:rPr>
                <w:color w:val="231F20"/>
                <w:spacing w:val="-5"/>
                <w:w w:val="95"/>
                <w:sz w:val="14"/>
              </w:rPr>
              <w:t>105</w:t>
            </w:r>
          </w:p>
        </w:tc>
      </w:tr>
      <w:tr>
        <w:trPr>
          <w:trHeight w:val="419" w:hRule="atLeast"/>
        </w:trPr>
        <w:tc>
          <w:tcPr>
            <w:tcW w:w="990" w:type="dxa"/>
            <w:shd w:val="clear" w:color="auto" w:fill="D4E3F5"/>
          </w:tcPr>
          <w:p>
            <w:pPr>
              <w:pStyle w:val="TableParagraph"/>
              <w:ind w:left="80" w:right="40"/>
              <w:jc w:val="left"/>
              <w:rPr>
                <w:sz w:val="14"/>
              </w:rPr>
            </w:pPr>
            <w:r>
              <w:rPr>
                <w:color w:val="231F20"/>
                <w:spacing w:val="-2"/>
                <w:w w:val="80"/>
                <w:sz w:val="14"/>
              </w:rPr>
              <w:t>Congo,</w:t>
            </w:r>
            <w:r>
              <w:rPr>
                <w:color w:val="231F20"/>
                <w:spacing w:val="-8"/>
                <w:sz w:val="14"/>
              </w:rPr>
              <w:t> </w:t>
            </w:r>
            <w:r>
              <w:rPr>
                <w:color w:val="231F20"/>
                <w:spacing w:val="-2"/>
                <w:w w:val="80"/>
                <w:sz w:val="14"/>
              </w:rPr>
              <w:t>Dem.</w:t>
            </w:r>
            <w:r>
              <w:rPr>
                <w:color w:val="231F20"/>
                <w:spacing w:val="40"/>
                <w:sz w:val="14"/>
              </w:rPr>
              <w:t> </w:t>
            </w:r>
            <w:r>
              <w:rPr>
                <w:color w:val="231F20"/>
                <w:spacing w:val="-4"/>
                <w:w w:val="90"/>
                <w:sz w:val="14"/>
              </w:rPr>
              <w:t>Rep.</w:t>
            </w:r>
          </w:p>
        </w:tc>
        <w:tc>
          <w:tcPr>
            <w:tcW w:w="622" w:type="dxa"/>
            <w:shd w:val="clear" w:color="auto" w:fill="D4E3F5"/>
          </w:tcPr>
          <w:p>
            <w:pPr>
              <w:pStyle w:val="TableParagraph"/>
              <w:spacing w:before="47"/>
              <w:jc w:val="left"/>
              <w:rPr>
                <w:sz w:val="14"/>
              </w:rPr>
            </w:pPr>
          </w:p>
          <w:p>
            <w:pPr>
              <w:pStyle w:val="TableParagraph"/>
              <w:spacing w:before="0"/>
              <w:ind w:left="67" w:right="101"/>
              <w:rPr>
                <w:sz w:val="14"/>
              </w:rPr>
            </w:pPr>
            <w:r>
              <w:rPr>
                <w:color w:val="231F20"/>
                <w:spacing w:val="-5"/>
                <w:w w:val="95"/>
                <w:sz w:val="14"/>
              </w:rPr>
              <w:t>97</w:t>
            </w:r>
          </w:p>
        </w:tc>
        <w:tc>
          <w:tcPr>
            <w:tcW w:w="644" w:type="dxa"/>
            <w:shd w:val="clear" w:color="auto" w:fill="D4E3F5"/>
          </w:tcPr>
          <w:p>
            <w:pPr>
              <w:pStyle w:val="TableParagraph"/>
              <w:spacing w:before="47"/>
              <w:jc w:val="left"/>
              <w:rPr>
                <w:sz w:val="14"/>
              </w:rPr>
            </w:pPr>
          </w:p>
          <w:p>
            <w:pPr>
              <w:pStyle w:val="TableParagraph"/>
              <w:spacing w:before="0"/>
              <w:ind w:left="165"/>
              <w:jc w:val="left"/>
              <w:rPr>
                <w:sz w:val="14"/>
              </w:rPr>
            </w:pPr>
            <w:r>
              <w:rPr>
                <w:color w:val="231F20"/>
                <w:spacing w:val="-5"/>
                <w:w w:val="95"/>
                <w:sz w:val="14"/>
              </w:rPr>
              <w:t>2.5</w:t>
            </w:r>
          </w:p>
        </w:tc>
        <w:tc>
          <w:tcPr>
            <w:tcW w:w="480" w:type="dxa"/>
            <w:shd w:val="clear" w:color="auto" w:fill="D4E3F5"/>
          </w:tcPr>
          <w:p>
            <w:pPr>
              <w:pStyle w:val="TableParagraph"/>
              <w:spacing w:before="47"/>
              <w:jc w:val="left"/>
              <w:rPr>
                <w:sz w:val="14"/>
              </w:rPr>
            </w:pPr>
          </w:p>
          <w:p>
            <w:pPr>
              <w:pStyle w:val="TableParagraph"/>
              <w:spacing w:before="0"/>
              <w:ind w:left="102"/>
              <w:jc w:val="left"/>
              <w:rPr>
                <w:sz w:val="14"/>
              </w:rPr>
            </w:pPr>
            <w:r>
              <w:rPr>
                <w:color w:val="231F20"/>
                <w:spacing w:val="-5"/>
                <w:w w:val="95"/>
                <w:sz w:val="14"/>
              </w:rPr>
              <w:t>2.2</w:t>
            </w:r>
          </w:p>
        </w:tc>
        <w:tc>
          <w:tcPr>
            <w:tcW w:w="582" w:type="dxa"/>
            <w:shd w:val="clear" w:color="auto" w:fill="D4E3F5"/>
          </w:tcPr>
          <w:p>
            <w:pPr>
              <w:pStyle w:val="TableParagraph"/>
              <w:spacing w:before="47"/>
              <w:jc w:val="left"/>
              <w:rPr>
                <w:sz w:val="14"/>
              </w:rPr>
            </w:pPr>
          </w:p>
          <w:p>
            <w:pPr>
              <w:pStyle w:val="TableParagraph"/>
              <w:spacing w:before="0"/>
              <w:ind w:left="6" w:right="6"/>
              <w:rPr>
                <w:sz w:val="14"/>
              </w:rPr>
            </w:pPr>
            <w:r>
              <w:rPr>
                <w:color w:val="231F20"/>
                <w:spacing w:val="-5"/>
                <w:w w:val="95"/>
                <w:sz w:val="14"/>
              </w:rPr>
              <w:t>2.8</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8" w:right="48"/>
              <w:rPr>
                <w:sz w:val="14"/>
              </w:rPr>
            </w:pPr>
            <w:r>
              <w:rPr>
                <w:color w:val="231F20"/>
                <w:spacing w:val="-5"/>
                <w:w w:val="95"/>
                <w:sz w:val="14"/>
              </w:rPr>
              <w:t>2.3</w:t>
            </w:r>
          </w:p>
        </w:tc>
        <w:tc>
          <w:tcPr>
            <w:tcW w:w="574" w:type="dxa"/>
            <w:shd w:val="clear" w:color="auto" w:fill="D4E3F5"/>
          </w:tcPr>
          <w:p>
            <w:pPr>
              <w:pStyle w:val="TableParagraph"/>
              <w:spacing w:before="47"/>
              <w:jc w:val="left"/>
              <w:rPr>
                <w:sz w:val="14"/>
              </w:rPr>
            </w:pPr>
          </w:p>
          <w:p>
            <w:pPr>
              <w:pStyle w:val="TableParagraph"/>
              <w:spacing w:before="0"/>
              <w:ind w:left="161" w:right="138"/>
              <w:rPr>
                <w:sz w:val="14"/>
              </w:rPr>
            </w:pPr>
            <w:r>
              <w:rPr>
                <w:color w:val="231F20"/>
                <w:spacing w:val="-5"/>
                <w:w w:val="95"/>
                <w:sz w:val="14"/>
              </w:rPr>
              <w:t>101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10" w:right="48"/>
              <w:rPr>
                <w:sz w:val="14"/>
              </w:rPr>
            </w:pPr>
            <w:r>
              <w:rPr>
                <w:color w:val="231F20"/>
                <w:spacing w:val="-5"/>
                <w:w w:val="95"/>
                <w:sz w:val="14"/>
              </w:rPr>
              <w:t>2.3</w:t>
            </w:r>
          </w:p>
        </w:tc>
        <w:tc>
          <w:tcPr>
            <w:tcW w:w="574" w:type="dxa"/>
            <w:shd w:val="clear" w:color="auto" w:fill="D4E3F5"/>
          </w:tcPr>
          <w:p>
            <w:pPr>
              <w:pStyle w:val="TableParagraph"/>
              <w:spacing w:before="47"/>
              <w:jc w:val="left"/>
              <w:rPr>
                <w:sz w:val="14"/>
              </w:rPr>
            </w:pPr>
          </w:p>
          <w:p>
            <w:pPr>
              <w:pStyle w:val="TableParagraph"/>
              <w:spacing w:before="0"/>
              <w:ind w:left="161" w:right="139"/>
              <w:rPr>
                <w:sz w:val="14"/>
              </w:rPr>
            </w:pPr>
            <w:r>
              <w:rPr>
                <w:color w:val="231F20"/>
                <w:spacing w:val="-5"/>
                <w:w w:val="95"/>
                <w:sz w:val="14"/>
              </w:rPr>
              <w:t>108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11" w:right="48"/>
              <w:rPr>
                <w:sz w:val="14"/>
              </w:rPr>
            </w:pPr>
            <w:r>
              <w:rPr>
                <w:color w:val="231F20"/>
                <w:spacing w:val="-5"/>
                <w:w w:val="95"/>
                <w:sz w:val="14"/>
              </w:rPr>
              <w:t>2.5</w:t>
            </w:r>
          </w:p>
        </w:tc>
        <w:tc>
          <w:tcPr>
            <w:tcW w:w="574" w:type="dxa"/>
            <w:shd w:val="clear" w:color="auto" w:fill="D4E3F5"/>
          </w:tcPr>
          <w:p>
            <w:pPr>
              <w:pStyle w:val="TableParagraph"/>
              <w:spacing w:before="47"/>
              <w:jc w:val="left"/>
              <w:rPr>
                <w:sz w:val="14"/>
              </w:rPr>
            </w:pPr>
          </w:p>
          <w:p>
            <w:pPr>
              <w:pStyle w:val="TableParagraph"/>
              <w:spacing w:before="0"/>
              <w:ind w:left="161" w:right="137"/>
              <w:rPr>
                <w:sz w:val="14"/>
              </w:rPr>
            </w:pPr>
            <w:r>
              <w:rPr>
                <w:color w:val="231F20"/>
                <w:spacing w:val="-5"/>
                <w:w w:val="95"/>
                <w:sz w:val="14"/>
              </w:rPr>
              <w:t>102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13" w:right="48"/>
              <w:rPr>
                <w:sz w:val="14"/>
              </w:rPr>
            </w:pPr>
            <w:r>
              <w:rPr>
                <w:color w:val="231F20"/>
                <w:spacing w:val="-5"/>
                <w:w w:val="95"/>
                <w:sz w:val="14"/>
              </w:rPr>
              <w:t>2.4</w:t>
            </w:r>
          </w:p>
        </w:tc>
        <w:tc>
          <w:tcPr>
            <w:tcW w:w="574" w:type="dxa"/>
            <w:shd w:val="clear" w:color="auto" w:fill="D4E3F5"/>
          </w:tcPr>
          <w:p>
            <w:pPr>
              <w:pStyle w:val="TableParagraph"/>
              <w:spacing w:before="47"/>
              <w:jc w:val="left"/>
              <w:rPr>
                <w:sz w:val="14"/>
              </w:rPr>
            </w:pPr>
          </w:p>
          <w:p>
            <w:pPr>
              <w:pStyle w:val="TableParagraph"/>
              <w:spacing w:before="0"/>
              <w:ind w:left="161" w:right="125"/>
              <w:rPr>
                <w:sz w:val="14"/>
              </w:rPr>
            </w:pPr>
            <w:r>
              <w:rPr>
                <w:color w:val="231F20"/>
                <w:spacing w:val="-5"/>
                <w:w w:val="95"/>
                <w:sz w:val="14"/>
              </w:rPr>
              <w:t>110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14" w:right="48"/>
              <w:rPr>
                <w:sz w:val="14"/>
              </w:rPr>
            </w:pPr>
            <w:r>
              <w:rPr>
                <w:color w:val="231F20"/>
                <w:spacing w:val="-5"/>
                <w:w w:val="95"/>
                <w:sz w:val="14"/>
              </w:rPr>
              <w:t>2.8</w:t>
            </w:r>
          </w:p>
        </w:tc>
        <w:tc>
          <w:tcPr>
            <w:tcW w:w="574" w:type="dxa"/>
            <w:shd w:val="clear" w:color="auto" w:fill="D4E3F5"/>
          </w:tcPr>
          <w:p>
            <w:pPr>
              <w:pStyle w:val="TableParagraph"/>
              <w:spacing w:before="47"/>
              <w:jc w:val="left"/>
              <w:rPr>
                <w:sz w:val="14"/>
              </w:rPr>
            </w:pPr>
          </w:p>
          <w:p>
            <w:pPr>
              <w:pStyle w:val="TableParagraph"/>
              <w:spacing w:before="0"/>
              <w:ind w:left="161" w:right="132"/>
              <w:rPr>
                <w:sz w:val="14"/>
              </w:rPr>
            </w:pPr>
            <w:r>
              <w:rPr>
                <w:color w:val="231F20"/>
                <w:spacing w:val="-5"/>
                <w:w w:val="95"/>
                <w:sz w:val="14"/>
              </w:rPr>
              <w:t>101</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spacing w:before="47"/>
              <w:jc w:val="left"/>
              <w:rPr>
                <w:sz w:val="14"/>
              </w:rPr>
            </w:pPr>
          </w:p>
          <w:p>
            <w:pPr>
              <w:pStyle w:val="TableParagraph"/>
              <w:spacing w:before="0"/>
              <w:ind w:left="8" w:right="45"/>
              <w:rPr>
                <w:sz w:val="14"/>
              </w:rPr>
            </w:pPr>
            <w:r>
              <w:rPr>
                <w:color w:val="231F20"/>
                <w:spacing w:val="-5"/>
                <w:w w:val="95"/>
                <w:sz w:val="14"/>
              </w:rPr>
              <w:t>2.5</w:t>
            </w:r>
          </w:p>
        </w:tc>
        <w:tc>
          <w:tcPr>
            <w:tcW w:w="655" w:type="dxa"/>
            <w:shd w:val="clear" w:color="auto" w:fill="D4E3F5"/>
          </w:tcPr>
          <w:p>
            <w:pPr>
              <w:pStyle w:val="TableParagraph"/>
              <w:spacing w:before="47"/>
              <w:jc w:val="left"/>
              <w:rPr>
                <w:sz w:val="14"/>
              </w:rPr>
            </w:pPr>
          </w:p>
          <w:p>
            <w:pPr>
              <w:pStyle w:val="TableParagraph"/>
              <w:spacing w:before="0"/>
              <w:ind w:left="72" w:right="68"/>
              <w:rPr>
                <w:sz w:val="14"/>
              </w:rPr>
            </w:pPr>
            <w:r>
              <w:rPr>
                <w:color w:val="231F20"/>
                <w:spacing w:val="-5"/>
                <w:w w:val="95"/>
                <w:sz w:val="14"/>
              </w:rPr>
              <w:t>98</w:t>
            </w:r>
          </w:p>
        </w:tc>
      </w:tr>
      <w:tr>
        <w:trPr>
          <w:trHeight w:val="259" w:hRule="atLeast"/>
        </w:trPr>
        <w:tc>
          <w:tcPr>
            <w:tcW w:w="990" w:type="dxa"/>
          </w:tcPr>
          <w:p>
            <w:pPr>
              <w:pStyle w:val="TableParagraph"/>
              <w:ind w:left="80"/>
              <w:jc w:val="left"/>
              <w:rPr>
                <w:sz w:val="14"/>
              </w:rPr>
            </w:pPr>
            <w:r>
              <w:rPr>
                <w:color w:val="231F20"/>
                <w:spacing w:val="-2"/>
                <w:w w:val="85"/>
                <w:sz w:val="14"/>
              </w:rPr>
              <w:t>Ghana</w:t>
            </w:r>
          </w:p>
        </w:tc>
        <w:tc>
          <w:tcPr>
            <w:tcW w:w="622" w:type="dxa"/>
          </w:tcPr>
          <w:p>
            <w:pPr>
              <w:pStyle w:val="TableParagraph"/>
              <w:ind w:left="67" w:right="101"/>
              <w:rPr>
                <w:sz w:val="14"/>
              </w:rPr>
            </w:pPr>
            <w:r>
              <w:rPr>
                <w:color w:val="231F20"/>
                <w:spacing w:val="-5"/>
                <w:w w:val="95"/>
                <w:sz w:val="14"/>
              </w:rPr>
              <w:t>97</w:t>
            </w:r>
          </w:p>
        </w:tc>
        <w:tc>
          <w:tcPr>
            <w:tcW w:w="644" w:type="dxa"/>
          </w:tcPr>
          <w:p>
            <w:pPr>
              <w:pStyle w:val="TableParagraph"/>
              <w:ind w:left="165"/>
              <w:jc w:val="left"/>
              <w:rPr>
                <w:sz w:val="14"/>
              </w:rPr>
            </w:pPr>
            <w:r>
              <w:rPr>
                <w:color w:val="231F20"/>
                <w:spacing w:val="-5"/>
                <w:w w:val="95"/>
                <w:sz w:val="14"/>
              </w:rPr>
              <w:t>2.5</w:t>
            </w:r>
          </w:p>
        </w:tc>
        <w:tc>
          <w:tcPr>
            <w:tcW w:w="480" w:type="dxa"/>
          </w:tcPr>
          <w:p>
            <w:pPr>
              <w:pStyle w:val="TableParagraph"/>
              <w:ind w:left="102"/>
              <w:jc w:val="left"/>
              <w:rPr>
                <w:sz w:val="14"/>
              </w:rPr>
            </w:pPr>
            <w:r>
              <w:rPr>
                <w:color w:val="231F20"/>
                <w:spacing w:val="-5"/>
                <w:w w:val="95"/>
                <w:sz w:val="14"/>
              </w:rPr>
              <w:t>2.2</w:t>
            </w:r>
          </w:p>
        </w:tc>
        <w:tc>
          <w:tcPr>
            <w:tcW w:w="582" w:type="dxa"/>
          </w:tcPr>
          <w:p>
            <w:pPr>
              <w:pStyle w:val="TableParagraph"/>
              <w:ind w:left="6" w:right="6"/>
              <w:rPr>
                <w:sz w:val="14"/>
              </w:rPr>
            </w:pPr>
            <w:r>
              <w:rPr>
                <w:color w:val="231F20"/>
                <w:spacing w:val="-5"/>
                <w:w w:val="95"/>
                <w:sz w:val="14"/>
              </w:rPr>
              <w:t>2.8</w:t>
            </w:r>
          </w:p>
        </w:tc>
        <w:tc>
          <w:tcPr>
            <w:tcW w:w="80" w:type="dxa"/>
          </w:tcPr>
          <w:p>
            <w:pPr>
              <w:pStyle w:val="TableParagraph"/>
              <w:spacing w:before="0"/>
              <w:jc w:val="left"/>
              <w:rPr>
                <w:rFonts w:ascii="Times New Roman"/>
                <w:sz w:val="12"/>
              </w:rPr>
            </w:pPr>
          </w:p>
        </w:tc>
        <w:tc>
          <w:tcPr>
            <w:tcW w:w="463" w:type="dxa"/>
          </w:tcPr>
          <w:p>
            <w:pPr>
              <w:pStyle w:val="TableParagraph"/>
              <w:ind w:left="7" w:right="48"/>
              <w:rPr>
                <w:sz w:val="14"/>
              </w:rPr>
            </w:pPr>
            <w:r>
              <w:rPr>
                <w:color w:val="231F20"/>
                <w:spacing w:val="-5"/>
                <w:w w:val="95"/>
                <w:sz w:val="14"/>
              </w:rPr>
              <w:t>2.7</w:t>
            </w:r>
          </w:p>
        </w:tc>
        <w:tc>
          <w:tcPr>
            <w:tcW w:w="574" w:type="dxa"/>
          </w:tcPr>
          <w:p>
            <w:pPr>
              <w:pStyle w:val="TableParagraph"/>
              <w:ind w:left="158" w:right="70"/>
              <w:rPr>
                <w:sz w:val="14"/>
              </w:rPr>
            </w:pPr>
            <w:r>
              <w:rPr>
                <w:color w:val="231F20"/>
                <w:spacing w:val="-5"/>
                <w:w w:val="95"/>
                <w:sz w:val="14"/>
              </w:rPr>
              <w:t>65</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2.4</w:t>
            </w:r>
          </w:p>
        </w:tc>
        <w:tc>
          <w:tcPr>
            <w:tcW w:w="574" w:type="dxa"/>
          </w:tcPr>
          <w:p>
            <w:pPr>
              <w:pStyle w:val="TableParagraph"/>
              <w:ind w:left="161" w:right="72"/>
              <w:rPr>
                <w:sz w:val="14"/>
              </w:rPr>
            </w:pPr>
            <w:r>
              <w:rPr>
                <w:color w:val="231F20"/>
                <w:spacing w:val="-5"/>
                <w:w w:val="95"/>
                <w:sz w:val="14"/>
              </w:rPr>
              <w:t>89</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2.4</w:t>
            </w:r>
          </w:p>
        </w:tc>
        <w:tc>
          <w:tcPr>
            <w:tcW w:w="574" w:type="dxa"/>
          </w:tcPr>
          <w:p>
            <w:pPr>
              <w:pStyle w:val="TableParagraph"/>
              <w:ind w:left="161" w:right="131"/>
              <w:rPr>
                <w:sz w:val="14"/>
              </w:rPr>
            </w:pPr>
            <w:r>
              <w:rPr>
                <w:color w:val="231F20"/>
                <w:spacing w:val="-5"/>
                <w:w w:val="95"/>
                <w:sz w:val="14"/>
              </w:rPr>
              <w:t>111</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2.5</w:t>
            </w:r>
          </w:p>
        </w:tc>
        <w:tc>
          <w:tcPr>
            <w:tcW w:w="574" w:type="dxa"/>
          </w:tcPr>
          <w:p>
            <w:pPr>
              <w:pStyle w:val="TableParagraph"/>
              <w:ind w:left="161" w:right="136"/>
              <w:rPr>
                <w:sz w:val="14"/>
              </w:rPr>
            </w:pPr>
            <w:r>
              <w:rPr>
                <w:color w:val="231F20"/>
                <w:spacing w:val="-5"/>
                <w:w w:val="95"/>
                <w:sz w:val="14"/>
              </w:rPr>
              <w:t>103</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2.7</w:t>
            </w:r>
          </w:p>
        </w:tc>
        <w:tc>
          <w:tcPr>
            <w:tcW w:w="574" w:type="dxa"/>
          </w:tcPr>
          <w:p>
            <w:pPr>
              <w:pStyle w:val="TableParagraph"/>
              <w:ind w:left="161" w:right="135"/>
              <w:rPr>
                <w:sz w:val="14"/>
              </w:rPr>
            </w:pPr>
            <w:r>
              <w:rPr>
                <w:color w:val="231F20"/>
                <w:spacing w:val="-5"/>
                <w:w w:val="95"/>
                <w:sz w:val="14"/>
              </w:rPr>
              <w:t>109</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2.2</w:t>
            </w:r>
          </w:p>
        </w:tc>
        <w:tc>
          <w:tcPr>
            <w:tcW w:w="655" w:type="dxa"/>
          </w:tcPr>
          <w:p>
            <w:pPr>
              <w:pStyle w:val="TableParagraph"/>
              <w:ind w:left="72" w:right="131"/>
              <w:rPr>
                <w:sz w:val="14"/>
              </w:rPr>
            </w:pPr>
            <w:r>
              <w:rPr>
                <w:color w:val="231F20"/>
                <w:spacing w:val="-5"/>
                <w:w w:val="95"/>
                <w:sz w:val="14"/>
              </w:rPr>
              <w:t>129</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Grenada</w:t>
            </w:r>
          </w:p>
        </w:tc>
        <w:tc>
          <w:tcPr>
            <w:tcW w:w="622" w:type="dxa"/>
            <w:shd w:val="clear" w:color="auto" w:fill="D4E3F5"/>
          </w:tcPr>
          <w:p>
            <w:pPr>
              <w:pStyle w:val="TableParagraph"/>
              <w:ind w:left="67" w:right="101"/>
              <w:rPr>
                <w:sz w:val="14"/>
              </w:rPr>
            </w:pPr>
            <w:r>
              <w:rPr>
                <w:color w:val="231F20"/>
                <w:spacing w:val="-5"/>
                <w:w w:val="95"/>
                <w:sz w:val="14"/>
              </w:rPr>
              <w:t>97</w:t>
            </w:r>
          </w:p>
        </w:tc>
        <w:tc>
          <w:tcPr>
            <w:tcW w:w="644" w:type="dxa"/>
            <w:shd w:val="clear" w:color="auto" w:fill="D4E3F5"/>
          </w:tcPr>
          <w:p>
            <w:pPr>
              <w:pStyle w:val="TableParagraph"/>
              <w:ind w:left="165"/>
              <w:jc w:val="left"/>
              <w:rPr>
                <w:sz w:val="14"/>
              </w:rPr>
            </w:pPr>
            <w:r>
              <w:rPr>
                <w:color w:val="231F20"/>
                <w:spacing w:val="-5"/>
                <w:w w:val="95"/>
                <w:sz w:val="14"/>
              </w:rPr>
              <w:t>2.5</w:t>
            </w:r>
          </w:p>
        </w:tc>
        <w:tc>
          <w:tcPr>
            <w:tcW w:w="480" w:type="dxa"/>
            <w:shd w:val="clear" w:color="auto" w:fill="D4E3F5"/>
          </w:tcPr>
          <w:p>
            <w:pPr>
              <w:pStyle w:val="TableParagraph"/>
              <w:ind w:left="102"/>
              <w:jc w:val="left"/>
              <w:rPr>
                <w:sz w:val="14"/>
              </w:rPr>
            </w:pPr>
            <w:r>
              <w:rPr>
                <w:color w:val="231F20"/>
                <w:spacing w:val="-5"/>
                <w:w w:val="95"/>
                <w:sz w:val="14"/>
              </w:rPr>
              <w:t>2.3</w:t>
            </w:r>
          </w:p>
        </w:tc>
        <w:tc>
          <w:tcPr>
            <w:tcW w:w="582" w:type="dxa"/>
            <w:shd w:val="clear" w:color="auto" w:fill="D4E3F5"/>
          </w:tcPr>
          <w:p>
            <w:pPr>
              <w:pStyle w:val="TableParagraph"/>
              <w:ind w:left="6" w:right="6"/>
              <w:rPr>
                <w:sz w:val="14"/>
              </w:rPr>
            </w:pPr>
            <w:r>
              <w:rPr>
                <w:color w:val="231F20"/>
                <w:spacing w:val="-5"/>
                <w:w w:val="95"/>
                <w:sz w:val="14"/>
              </w:rPr>
              <w:t>2.7</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2.6</w:t>
            </w:r>
          </w:p>
        </w:tc>
        <w:tc>
          <w:tcPr>
            <w:tcW w:w="574" w:type="dxa"/>
            <w:shd w:val="clear" w:color="auto" w:fill="D4E3F5"/>
          </w:tcPr>
          <w:p>
            <w:pPr>
              <w:pStyle w:val="TableParagraph"/>
              <w:ind w:left="158" w:right="70"/>
              <w:rPr>
                <w:sz w:val="14"/>
              </w:rPr>
            </w:pPr>
            <w:r>
              <w:rPr>
                <w:color w:val="231F20"/>
                <w:spacing w:val="-5"/>
                <w:w w:val="95"/>
                <w:sz w:val="14"/>
              </w:rPr>
              <w:t>74</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2.5</w:t>
            </w:r>
          </w:p>
        </w:tc>
        <w:tc>
          <w:tcPr>
            <w:tcW w:w="574" w:type="dxa"/>
            <w:shd w:val="clear" w:color="auto" w:fill="D4E3F5"/>
          </w:tcPr>
          <w:p>
            <w:pPr>
              <w:pStyle w:val="TableParagraph"/>
              <w:ind w:left="161" w:right="72"/>
              <w:rPr>
                <w:sz w:val="14"/>
              </w:rPr>
            </w:pPr>
            <w:r>
              <w:rPr>
                <w:color w:val="231F20"/>
                <w:spacing w:val="-5"/>
                <w:w w:val="95"/>
                <w:sz w:val="14"/>
              </w:rPr>
              <w:t>80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2.6</w:t>
            </w:r>
          </w:p>
        </w:tc>
        <w:tc>
          <w:tcPr>
            <w:tcW w:w="574" w:type="dxa"/>
            <w:shd w:val="clear" w:color="auto" w:fill="D4E3F5"/>
          </w:tcPr>
          <w:p>
            <w:pPr>
              <w:pStyle w:val="TableParagraph"/>
              <w:ind w:left="161" w:right="70"/>
              <w:rPr>
                <w:sz w:val="14"/>
              </w:rPr>
            </w:pPr>
            <w:r>
              <w:rPr>
                <w:color w:val="231F20"/>
                <w:spacing w:val="-5"/>
                <w:w w:val="95"/>
                <w:sz w:val="14"/>
              </w:rPr>
              <w:t>91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2.2</w:t>
            </w:r>
          </w:p>
        </w:tc>
        <w:tc>
          <w:tcPr>
            <w:tcW w:w="574" w:type="dxa"/>
            <w:shd w:val="clear" w:color="auto" w:fill="D4E3F5"/>
          </w:tcPr>
          <w:p>
            <w:pPr>
              <w:pStyle w:val="TableParagraph"/>
              <w:ind w:left="161" w:right="134"/>
              <w:rPr>
                <w:sz w:val="14"/>
              </w:rPr>
            </w:pPr>
            <w:r>
              <w:rPr>
                <w:color w:val="231F20"/>
                <w:spacing w:val="-5"/>
                <w:w w:val="95"/>
                <w:sz w:val="14"/>
              </w:rPr>
              <w:t>126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6" w:right="48"/>
              <w:rPr>
                <w:sz w:val="14"/>
              </w:rPr>
            </w:pPr>
            <w:r>
              <w:rPr>
                <w:color w:val="231F20"/>
                <w:spacing w:val="-5"/>
                <w:w w:val="95"/>
                <w:sz w:val="14"/>
              </w:rPr>
              <w:t>3.1</w:t>
            </w:r>
          </w:p>
        </w:tc>
        <w:tc>
          <w:tcPr>
            <w:tcW w:w="574" w:type="dxa"/>
            <w:shd w:val="clear" w:color="auto" w:fill="D4E3F5"/>
          </w:tcPr>
          <w:p>
            <w:pPr>
              <w:pStyle w:val="TableParagraph"/>
              <w:ind w:left="161" w:right="67"/>
              <w:rPr>
                <w:sz w:val="14"/>
              </w:rPr>
            </w:pPr>
            <w:r>
              <w:rPr>
                <w:color w:val="231F20"/>
                <w:spacing w:val="-5"/>
                <w:w w:val="95"/>
                <w:sz w:val="14"/>
              </w:rPr>
              <w:t>76</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2.3</w:t>
            </w:r>
          </w:p>
        </w:tc>
        <w:tc>
          <w:tcPr>
            <w:tcW w:w="655" w:type="dxa"/>
            <w:shd w:val="clear" w:color="auto" w:fill="D4E3F5"/>
          </w:tcPr>
          <w:p>
            <w:pPr>
              <w:pStyle w:val="TableParagraph"/>
              <w:ind w:left="72" w:right="120"/>
              <w:rPr>
                <w:sz w:val="14"/>
              </w:rPr>
            </w:pPr>
            <w:r>
              <w:rPr>
                <w:color w:val="231F20"/>
                <w:spacing w:val="-5"/>
                <w:w w:val="95"/>
                <w:sz w:val="14"/>
              </w:rPr>
              <w:t>117</w:t>
            </w:r>
          </w:p>
        </w:tc>
      </w:tr>
      <w:tr>
        <w:trPr>
          <w:trHeight w:val="259" w:hRule="atLeast"/>
        </w:trPr>
        <w:tc>
          <w:tcPr>
            <w:tcW w:w="990" w:type="dxa"/>
          </w:tcPr>
          <w:p>
            <w:pPr>
              <w:pStyle w:val="TableParagraph"/>
              <w:ind w:left="80"/>
              <w:jc w:val="left"/>
              <w:rPr>
                <w:sz w:val="14"/>
              </w:rPr>
            </w:pPr>
            <w:r>
              <w:rPr>
                <w:color w:val="231F20"/>
                <w:spacing w:val="-2"/>
                <w:w w:val="85"/>
                <w:sz w:val="14"/>
              </w:rPr>
              <w:t>Guinea</w:t>
            </w:r>
          </w:p>
        </w:tc>
        <w:tc>
          <w:tcPr>
            <w:tcW w:w="622" w:type="dxa"/>
          </w:tcPr>
          <w:p>
            <w:pPr>
              <w:pStyle w:val="TableParagraph"/>
              <w:ind w:left="67" w:right="101"/>
              <w:rPr>
                <w:sz w:val="14"/>
              </w:rPr>
            </w:pPr>
            <w:r>
              <w:rPr>
                <w:color w:val="231F20"/>
                <w:spacing w:val="-5"/>
                <w:w w:val="95"/>
                <w:sz w:val="14"/>
              </w:rPr>
              <w:t>97</w:t>
            </w:r>
          </w:p>
        </w:tc>
        <w:tc>
          <w:tcPr>
            <w:tcW w:w="644" w:type="dxa"/>
          </w:tcPr>
          <w:p>
            <w:pPr>
              <w:pStyle w:val="TableParagraph"/>
              <w:ind w:left="165"/>
              <w:jc w:val="left"/>
              <w:rPr>
                <w:sz w:val="14"/>
              </w:rPr>
            </w:pPr>
            <w:r>
              <w:rPr>
                <w:color w:val="231F20"/>
                <w:spacing w:val="-5"/>
                <w:w w:val="95"/>
                <w:sz w:val="14"/>
              </w:rPr>
              <w:t>2.5</w:t>
            </w:r>
          </w:p>
        </w:tc>
        <w:tc>
          <w:tcPr>
            <w:tcW w:w="480" w:type="dxa"/>
          </w:tcPr>
          <w:p>
            <w:pPr>
              <w:pStyle w:val="TableParagraph"/>
              <w:ind w:left="102"/>
              <w:jc w:val="left"/>
              <w:rPr>
                <w:sz w:val="14"/>
              </w:rPr>
            </w:pPr>
            <w:r>
              <w:rPr>
                <w:color w:val="231F20"/>
                <w:spacing w:val="-5"/>
                <w:w w:val="95"/>
                <w:sz w:val="14"/>
              </w:rPr>
              <w:t>2.3</w:t>
            </w:r>
          </w:p>
        </w:tc>
        <w:tc>
          <w:tcPr>
            <w:tcW w:w="582" w:type="dxa"/>
          </w:tcPr>
          <w:p>
            <w:pPr>
              <w:pStyle w:val="TableParagraph"/>
              <w:ind w:left="6" w:right="6"/>
              <w:rPr>
                <w:sz w:val="14"/>
              </w:rPr>
            </w:pPr>
            <w:r>
              <w:rPr>
                <w:color w:val="231F20"/>
                <w:spacing w:val="-5"/>
                <w:w w:val="95"/>
                <w:sz w:val="14"/>
              </w:rPr>
              <w:t>2.7</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2.4</w:t>
            </w:r>
          </w:p>
        </w:tc>
        <w:tc>
          <w:tcPr>
            <w:tcW w:w="574" w:type="dxa"/>
          </w:tcPr>
          <w:p>
            <w:pPr>
              <w:pStyle w:val="TableParagraph"/>
              <w:ind w:left="158" w:right="70"/>
              <w:rPr>
                <w:sz w:val="14"/>
              </w:rPr>
            </w:pPr>
            <w:r>
              <w:rPr>
                <w:color w:val="231F20"/>
                <w:spacing w:val="-5"/>
                <w:w w:val="95"/>
                <w:sz w:val="14"/>
              </w:rPr>
              <w:t>90</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2.4</w:t>
            </w:r>
          </w:p>
        </w:tc>
        <w:tc>
          <w:tcPr>
            <w:tcW w:w="574" w:type="dxa"/>
          </w:tcPr>
          <w:p>
            <w:pPr>
              <w:pStyle w:val="TableParagraph"/>
              <w:ind w:left="161" w:right="72"/>
              <w:rPr>
                <w:sz w:val="14"/>
              </w:rPr>
            </w:pPr>
            <w:r>
              <w:rPr>
                <w:color w:val="231F20"/>
                <w:spacing w:val="-5"/>
                <w:w w:val="95"/>
                <w:sz w:val="14"/>
              </w:rPr>
              <w:t>89</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2.2</w:t>
            </w:r>
          </w:p>
        </w:tc>
        <w:tc>
          <w:tcPr>
            <w:tcW w:w="574" w:type="dxa"/>
          </w:tcPr>
          <w:p>
            <w:pPr>
              <w:pStyle w:val="TableParagraph"/>
              <w:ind w:left="161" w:right="135"/>
              <w:rPr>
                <w:sz w:val="14"/>
              </w:rPr>
            </w:pPr>
            <w:r>
              <w:rPr>
                <w:color w:val="231F20"/>
                <w:spacing w:val="-5"/>
                <w:w w:val="95"/>
                <w:sz w:val="14"/>
              </w:rPr>
              <w:t>128</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2.7</w:t>
            </w:r>
          </w:p>
        </w:tc>
        <w:tc>
          <w:tcPr>
            <w:tcW w:w="574" w:type="dxa"/>
          </w:tcPr>
          <w:p>
            <w:pPr>
              <w:pStyle w:val="TableParagraph"/>
              <w:ind w:left="161" w:right="69"/>
              <w:rPr>
                <w:sz w:val="14"/>
              </w:rPr>
            </w:pPr>
            <w:r>
              <w:rPr>
                <w:color w:val="231F20"/>
                <w:spacing w:val="-5"/>
                <w:w w:val="95"/>
                <w:sz w:val="14"/>
              </w:rPr>
              <w:t>81</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2.5</w:t>
            </w:r>
          </w:p>
        </w:tc>
        <w:tc>
          <w:tcPr>
            <w:tcW w:w="574" w:type="dxa"/>
          </w:tcPr>
          <w:p>
            <w:pPr>
              <w:pStyle w:val="TableParagraph"/>
              <w:ind w:left="161" w:right="127"/>
              <w:rPr>
                <w:sz w:val="14"/>
              </w:rPr>
            </w:pPr>
            <w:r>
              <w:rPr>
                <w:color w:val="231F20"/>
                <w:spacing w:val="-5"/>
                <w:w w:val="95"/>
                <w:sz w:val="14"/>
              </w:rPr>
              <w:t>124</w:t>
            </w:r>
          </w:p>
        </w:tc>
        <w:tc>
          <w:tcPr>
            <w:tcW w:w="126" w:type="dxa"/>
          </w:tcPr>
          <w:p>
            <w:pPr>
              <w:pStyle w:val="TableParagraph"/>
              <w:spacing w:before="0"/>
              <w:jc w:val="left"/>
              <w:rPr>
                <w:rFonts w:ascii="Times New Roman"/>
                <w:sz w:val="12"/>
              </w:rPr>
            </w:pPr>
          </w:p>
        </w:tc>
        <w:tc>
          <w:tcPr>
            <w:tcW w:w="468" w:type="dxa"/>
          </w:tcPr>
          <w:p>
            <w:pPr>
              <w:pStyle w:val="TableParagraph"/>
              <w:ind w:left="6" w:right="45"/>
              <w:rPr>
                <w:sz w:val="14"/>
              </w:rPr>
            </w:pPr>
            <w:r>
              <w:rPr>
                <w:color w:val="231F20"/>
                <w:spacing w:val="-5"/>
                <w:w w:val="95"/>
                <w:sz w:val="14"/>
              </w:rPr>
              <w:t>2.7</w:t>
            </w:r>
          </w:p>
        </w:tc>
        <w:tc>
          <w:tcPr>
            <w:tcW w:w="655" w:type="dxa"/>
          </w:tcPr>
          <w:p>
            <w:pPr>
              <w:pStyle w:val="TableParagraph"/>
              <w:ind w:left="72" w:right="68"/>
              <w:rPr>
                <w:sz w:val="14"/>
              </w:rPr>
            </w:pPr>
            <w:r>
              <w:rPr>
                <w:color w:val="231F20"/>
                <w:spacing w:val="-5"/>
                <w:w w:val="95"/>
                <w:sz w:val="14"/>
              </w:rPr>
              <w:t>87</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Jamaica</w:t>
            </w:r>
          </w:p>
        </w:tc>
        <w:tc>
          <w:tcPr>
            <w:tcW w:w="622" w:type="dxa"/>
            <w:shd w:val="clear" w:color="auto" w:fill="D4E3F5"/>
          </w:tcPr>
          <w:p>
            <w:pPr>
              <w:pStyle w:val="TableParagraph"/>
              <w:ind w:left="67" w:right="101"/>
              <w:rPr>
                <w:sz w:val="14"/>
              </w:rPr>
            </w:pPr>
            <w:r>
              <w:rPr>
                <w:color w:val="231F20"/>
                <w:spacing w:val="-5"/>
                <w:w w:val="95"/>
                <w:sz w:val="14"/>
              </w:rPr>
              <w:t>97</w:t>
            </w:r>
          </w:p>
        </w:tc>
        <w:tc>
          <w:tcPr>
            <w:tcW w:w="644" w:type="dxa"/>
            <w:shd w:val="clear" w:color="auto" w:fill="D4E3F5"/>
          </w:tcPr>
          <w:p>
            <w:pPr>
              <w:pStyle w:val="TableParagraph"/>
              <w:ind w:left="165"/>
              <w:jc w:val="left"/>
              <w:rPr>
                <w:sz w:val="14"/>
              </w:rPr>
            </w:pPr>
            <w:r>
              <w:rPr>
                <w:color w:val="231F20"/>
                <w:spacing w:val="-5"/>
                <w:w w:val="95"/>
                <w:sz w:val="14"/>
              </w:rPr>
              <w:t>2.5</w:t>
            </w:r>
          </w:p>
        </w:tc>
        <w:tc>
          <w:tcPr>
            <w:tcW w:w="480" w:type="dxa"/>
            <w:shd w:val="clear" w:color="auto" w:fill="D4E3F5"/>
          </w:tcPr>
          <w:p>
            <w:pPr>
              <w:pStyle w:val="TableParagraph"/>
              <w:ind w:left="102"/>
              <w:jc w:val="left"/>
              <w:rPr>
                <w:sz w:val="14"/>
              </w:rPr>
            </w:pPr>
            <w:r>
              <w:rPr>
                <w:color w:val="231F20"/>
                <w:spacing w:val="-5"/>
                <w:w w:val="95"/>
                <w:sz w:val="14"/>
              </w:rPr>
              <w:t>2.3</w:t>
            </w:r>
          </w:p>
        </w:tc>
        <w:tc>
          <w:tcPr>
            <w:tcW w:w="582" w:type="dxa"/>
            <w:shd w:val="clear" w:color="auto" w:fill="D4E3F5"/>
          </w:tcPr>
          <w:p>
            <w:pPr>
              <w:pStyle w:val="TableParagraph"/>
              <w:ind w:left="6" w:right="6"/>
              <w:rPr>
                <w:sz w:val="14"/>
              </w:rPr>
            </w:pPr>
            <w:r>
              <w:rPr>
                <w:color w:val="231F20"/>
                <w:spacing w:val="-5"/>
                <w:w w:val="95"/>
                <w:sz w:val="14"/>
              </w:rPr>
              <w:t>2.7</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2.2</w:t>
            </w:r>
          </w:p>
        </w:tc>
        <w:tc>
          <w:tcPr>
            <w:tcW w:w="574" w:type="dxa"/>
            <w:shd w:val="clear" w:color="auto" w:fill="D4E3F5"/>
          </w:tcPr>
          <w:p>
            <w:pPr>
              <w:pStyle w:val="TableParagraph"/>
              <w:ind w:left="161" w:right="130"/>
              <w:rPr>
                <w:sz w:val="14"/>
              </w:rPr>
            </w:pPr>
            <w:r>
              <w:rPr>
                <w:color w:val="231F20"/>
                <w:spacing w:val="-5"/>
                <w:w w:val="95"/>
                <w:sz w:val="14"/>
              </w:rPr>
              <w:t>110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2.4</w:t>
            </w:r>
          </w:p>
        </w:tc>
        <w:tc>
          <w:tcPr>
            <w:tcW w:w="574" w:type="dxa"/>
            <w:shd w:val="clear" w:color="auto" w:fill="D4E3F5"/>
          </w:tcPr>
          <w:p>
            <w:pPr>
              <w:pStyle w:val="TableParagraph"/>
              <w:ind w:left="161" w:right="72"/>
              <w:rPr>
                <w:sz w:val="14"/>
              </w:rPr>
            </w:pPr>
            <w:r>
              <w:rPr>
                <w:color w:val="231F20"/>
                <w:spacing w:val="-5"/>
                <w:w w:val="95"/>
                <w:sz w:val="14"/>
              </w:rPr>
              <w:t>89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2.4</w:t>
            </w:r>
          </w:p>
        </w:tc>
        <w:tc>
          <w:tcPr>
            <w:tcW w:w="574" w:type="dxa"/>
            <w:shd w:val="clear" w:color="auto" w:fill="D4E3F5"/>
          </w:tcPr>
          <w:p>
            <w:pPr>
              <w:pStyle w:val="TableParagraph"/>
              <w:ind w:left="161" w:right="131"/>
              <w:rPr>
                <w:sz w:val="14"/>
              </w:rPr>
            </w:pPr>
            <w:r>
              <w:rPr>
                <w:color w:val="231F20"/>
                <w:spacing w:val="-5"/>
                <w:w w:val="95"/>
                <w:sz w:val="14"/>
              </w:rPr>
              <w:t>111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2.5</w:t>
            </w:r>
          </w:p>
        </w:tc>
        <w:tc>
          <w:tcPr>
            <w:tcW w:w="574" w:type="dxa"/>
            <w:shd w:val="clear" w:color="auto" w:fill="D4E3F5"/>
          </w:tcPr>
          <w:p>
            <w:pPr>
              <w:pStyle w:val="TableParagraph"/>
              <w:ind w:left="161" w:right="136"/>
              <w:rPr>
                <w:sz w:val="14"/>
              </w:rPr>
            </w:pPr>
            <w:r>
              <w:rPr>
                <w:color w:val="231F20"/>
                <w:spacing w:val="-5"/>
                <w:w w:val="95"/>
                <w:sz w:val="14"/>
              </w:rPr>
              <w:t>103</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2.9</w:t>
            </w:r>
          </w:p>
        </w:tc>
        <w:tc>
          <w:tcPr>
            <w:tcW w:w="574" w:type="dxa"/>
            <w:shd w:val="clear" w:color="auto" w:fill="D4E3F5"/>
          </w:tcPr>
          <w:p>
            <w:pPr>
              <w:pStyle w:val="TableParagraph"/>
              <w:ind w:left="161" w:right="67"/>
              <w:rPr>
                <w:sz w:val="14"/>
              </w:rPr>
            </w:pPr>
            <w:r>
              <w:rPr>
                <w:color w:val="231F20"/>
                <w:spacing w:val="-5"/>
                <w:w w:val="95"/>
                <w:sz w:val="14"/>
              </w:rPr>
              <w:t>93</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2.8</w:t>
            </w:r>
          </w:p>
        </w:tc>
        <w:tc>
          <w:tcPr>
            <w:tcW w:w="655" w:type="dxa"/>
            <w:shd w:val="clear" w:color="auto" w:fill="D4E3F5"/>
          </w:tcPr>
          <w:p>
            <w:pPr>
              <w:pStyle w:val="TableParagraph"/>
              <w:ind w:left="72" w:right="68"/>
              <w:rPr>
                <w:sz w:val="14"/>
              </w:rPr>
            </w:pPr>
            <w:r>
              <w:rPr>
                <w:color w:val="231F20"/>
                <w:spacing w:val="-5"/>
                <w:w w:val="95"/>
                <w:sz w:val="14"/>
              </w:rPr>
              <w:t>80</w:t>
            </w:r>
          </w:p>
        </w:tc>
      </w:tr>
      <w:tr>
        <w:trPr>
          <w:trHeight w:val="259" w:hRule="atLeast"/>
        </w:trPr>
        <w:tc>
          <w:tcPr>
            <w:tcW w:w="990" w:type="dxa"/>
          </w:tcPr>
          <w:p>
            <w:pPr>
              <w:pStyle w:val="TableParagraph"/>
              <w:ind w:left="80"/>
              <w:jc w:val="left"/>
              <w:rPr>
                <w:sz w:val="14"/>
              </w:rPr>
            </w:pPr>
            <w:r>
              <w:rPr>
                <w:color w:val="231F20"/>
                <w:spacing w:val="-2"/>
                <w:w w:val="90"/>
                <w:sz w:val="14"/>
              </w:rPr>
              <w:t>Mauritius</w:t>
            </w:r>
          </w:p>
        </w:tc>
        <w:tc>
          <w:tcPr>
            <w:tcW w:w="622" w:type="dxa"/>
          </w:tcPr>
          <w:p>
            <w:pPr>
              <w:pStyle w:val="TableParagraph"/>
              <w:ind w:left="67" w:right="101"/>
              <w:rPr>
                <w:sz w:val="14"/>
              </w:rPr>
            </w:pPr>
            <w:r>
              <w:rPr>
                <w:color w:val="231F20"/>
                <w:spacing w:val="-5"/>
                <w:w w:val="95"/>
                <w:sz w:val="14"/>
              </w:rPr>
              <w:t>97</w:t>
            </w:r>
          </w:p>
        </w:tc>
        <w:tc>
          <w:tcPr>
            <w:tcW w:w="644" w:type="dxa"/>
          </w:tcPr>
          <w:p>
            <w:pPr>
              <w:pStyle w:val="TableParagraph"/>
              <w:ind w:left="165"/>
              <w:jc w:val="left"/>
              <w:rPr>
                <w:sz w:val="14"/>
              </w:rPr>
            </w:pPr>
            <w:r>
              <w:rPr>
                <w:color w:val="231F20"/>
                <w:spacing w:val="-5"/>
                <w:w w:val="95"/>
                <w:sz w:val="14"/>
              </w:rPr>
              <w:t>2.5</w:t>
            </w:r>
          </w:p>
        </w:tc>
        <w:tc>
          <w:tcPr>
            <w:tcW w:w="480" w:type="dxa"/>
          </w:tcPr>
          <w:p>
            <w:pPr>
              <w:pStyle w:val="TableParagraph"/>
              <w:ind w:left="102"/>
              <w:jc w:val="left"/>
              <w:rPr>
                <w:sz w:val="14"/>
              </w:rPr>
            </w:pPr>
            <w:r>
              <w:rPr>
                <w:color w:val="231F20"/>
                <w:spacing w:val="-5"/>
                <w:w w:val="95"/>
                <w:sz w:val="14"/>
              </w:rPr>
              <w:t>2.3</w:t>
            </w:r>
          </w:p>
        </w:tc>
        <w:tc>
          <w:tcPr>
            <w:tcW w:w="582" w:type="dxa"/>
          </w:tcPr>
          <w:p>
            <w:pPr>
              <w:pStyle w:val="TableParagraph"/>
              <w:ind w:left="6" w:right="6"/>
              <w:rPr>
                <w:sz w:val="14"/>
              </w:rPr>
            </w:pPr>
            <w:r>
              <w:rPr>
                <w:color w:val="231F20"/>
                <w:spacing w:val="-5"/>
                <w:w w:val="95"/>
                <w:sz w:val="14"/>
              </w:rPr>
              <w:t>2.7</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2.4</w:t>
            </w:r>
          </w:p>
        </w:tc>
        <w:tc>
          <w:tcPr>
            <w:tcW w:w="574" w:type="dxa"/>
          </w:tcPr>
          <w:p>
            <w:pPr>
              <w:pStyle w:val="TableParagraph"/>
              <w:ind w:left="158" w:right="70"/>
              <w:rPr>
                <w:sz w:val="14"/>
              </w:rPr>
            </w:pPr>
            <w:r>
              <w:rPr>
                <w:color w:val="231F20"/>
                <w:spacing w:val="-5"/>
                <w:w w:val="95"/>
                <w:sz w:val="14"/>
              </w:rPr>
              <w:t>90</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2.5</w:t>
            </w:r>
          </w:p>
        </w:tc>
        <w:tc>
          <w:tcPr>
            <w:tcW w:w="574" w:type="dxa"/>
          </w:tcPr>
          <w:p>
            <w:pPr>
              <w:pStyle w:val="TableParagraph"/>
              <w:ind w:left="161" w:right="72"/>
              <w:rPr>
                <w:sz w:val="14"/>
              </w:rPr>
            </w:pPr>
            <w:r>
              <w:rPr>
                <w:color w:val="231F20"/>
                <w:spacing w:val="-5"/>
                <w:w w:val="95"/>
                <w:sz w:val="14"/>
              </w:rPr>
              <w:t>80</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1.9</w:t>
            </w:r>
          </w:p>
        </w:tc>
        <w:tc>
          <w:tcPr>
            <w:tcW w:w="574" w:type="dxa"/>
          </w:tcPr>
          <w:p>
            <w:pPr>
              <w:pStyle w:val="TableParagraph"/>
              <w:ind w:left="161" w:right="134"/>
              <w:rPr>
                <w:sz w:val="14"/>
              </w:rPr>
            </w:pPr>
            <w:r>
              <w:rPr>
                <w:color w:val="231F20"/>
                <w:spacing w:val="-5"/>
                <w:w w:val="95"/>
                <w:sz w:val="14"/>
              </w:rPr>
              <w:t>137</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2.5</w:t>
            </w:r>
          </w:p>
        </w:tc>
        <w:tc>
          <w:tcPr>
            <w:tcW w:w="574" w:type="dxa"/>
          </w:tcPr>
          <w:p>
            <w:pPr>
              <w:pStyle w:val="TableParagraph"/>
              <w:ind w:left="161" w:right="136"/>
              <w:rPr>
                <w:sz w:val="14"/>
              </w:rPr>
            </w:pPr>
            <w:r>
              <w:rPr>
                <w:color w:val="231F20"/>
                <w:spacing w:val="-5"/>
                <w:w w:val="95"/>
                <w:sz w:val="14"/>
              </w:rPr>
              <w:t>103</w:t>
            </w:r>
          </w:p>
        </w:tc>
        <w:tc>
          <w:tcPr>
            <w:tcW w:w="126" w:type="dxa"/>
          </w:tcPr>
          <w:p>
            <w:pPr>
              <w:pStyle w:val="TableParagraph"/>
              <w:spacing w:before="0"/>
              <w:jc w:val="left"/>
              <w:rPr>
                <w:rFonts w:ascii="Times New Roman"/>
                <w:sz w:val="12"/>
              </w:rPr>
            </w:pPr>
          </w:p>
        </w:tc>
        <w:tc>
          <w:tcPr>
            <w:tcW w:w="463" w:type="dxa"/>
          </w:tcPr>
          <w:p>
            <w:pPr>
              <w:pStyle w:val="TableParagraph"/>
              <w:ind w:left="6" w:right="48"/>
              <w:rPr>
                <w:sz w:val="14"/>
              </w:rPr>
            </w:pPr>
            <w:r>
              <w:rPr>
                <w:color w:val="231F20"/>
                <w:spacing w:val="-5"/>
                <w:w w:val="95"/>
                <w:sz w:val="14"/>
              </w:rPr>
              <w:t>3.1</w:t>
            </w:r>
          </w:p>
        </w:tc>
        <w:tc>
          <w:tcPr>
            <w:tcW w:w="574" w:type="dxa"/>
          </w:tcPr>
          <w:p>
            <w:pPr>
              <w:pStyle w:val="TableParagraph"/>
              <w:ind w:left="161" w:right="67"/>
              <w:rPr>
                <w:sz w:val="14"/>
              </w:rPr>
            </w:pPr>
            <w:r>
              <w:rPr>
                <w:color w:val="231F20"/>
                <w:spacing w:val="-5"/>
                <w:w w:val="95"/>
                <w:sz w:val="14"/>
              </w:rPr>
              <w:t>76</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2.9</w:t>
            </w:r>
          </w:p>
        </w:tc>
        <w:tc>
          <w:tcPr>
            <w:tcW w:w="655" w:type="dxa"/>
          </w:tcPr>
          <w:p>
            <w:pPr>
              <w:pStyle w:val="TableParagraph"/>
              <w:ind w:left="72" w:right="68"/>
              <w:rPr>
                <w:sz w:val="14"/>
              </w:rPr>
            </w:pPr>
            <w:r>
              <w:rPr>
                <w:color w:val="231F20"/>
                <w:spacing w:val="-5"/>
                <w:w w:val="95"/>
                <w:sz w:val="14"/>
              </w:rPr>
              <w:t>72</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Moldova</w:t>
            </w:r>
          </w:p>
        </w:tc>
        <w:tc>
          <w:tcPr>
            <w:tcW w:w="622" w:type="dxa"/>
            <w:shd w:val="clear" w:color="auto" w:fill="D4E3F5"/>
          </w:tcPr>
          <w:p>
            <w:pPr>
              <w:pStyle w:val="TableParagraph"/>
              <w:ind w:left="67" w:right="101"/>
              <w:rPr>
                <w:sz w:val="14"/>
              </w:rPr>
            </w:pPr>
            <w:r>
              <w:rPr>
                <w:color w:val="231F20"/>
                <w:spacing w:val="-5"/>
                <w:w w:val="95"/>
                <w:sz w:val="14"/>
              </w:rPr>
              <w:t>97</w:t>
            </w:r>
          </w:p>
        </w:tc>
        <w:tc>
          <w:tcPr>
            <w:tcW w:w="644" w:type="dxa"/>
            <w:shd w:val="clear" w:color="auto" w:fill="D4E3F5"/>
          </w:tcPr>
          <w:p>
            <w:pPr>
              <w:pStyle w:val="TableParagraph"/>
              <w:ind w:left="165"/>
              <w:jc w:val="left"/>
              <w:rPr>
                <w:sz w:val="14"/>
              </w:rPr>
            </w:pPr>
            <w:r>
              <w:rPr>
                <w:color w:val="231F20"/>
                <w:spacing w:val="-5"/>
                <w:w w:val="95"/>
                <w:sz w:val="14"/>
              </w:rPr>
              <w:t>2.5</w:t>
            </w:r>
          </w:p>
        </w:tc>
        <w:tc>
          <w:tcPr>
            <w:tcW w:w="480" w:type="dxa"/>
            <w:shd w:val="clear" w:color="auto" w:fill="D4E3F5"/>
          </w:tcPr>
          <w:p>
            <w:pPr>
              <w:pStyle w:val="TableParagraph"/>
              <w:ind w:left="108"/>
              <w:jc w:val="left"/>
              <w:rPr>
                <w:sz w:val="14"/>
              </w:rPr>
            </w:pPr>
            <w:r>
              <w:rPr>
                <w:color w:val="231F20"/>
                <w:spacing w:val="-5"/>
                <w:w w:val="95"/>
                <w:sz w:val="14"/>
              </w:rPr>
              <w:t>2.1</w:t>
            </w:r>
          </w:p>
        </w:tc>
        <w:tc>
          <w:tcPr>
            <w:tcW w:w="582" w:type="dxa"/>
            <w:shd w:val="clear" w:color="auto" w:fill="D4E3F5"/>
          </w:tcPr>
          <w:p>
            <w:pPr>
              <w:pStyle w:val="TableParagraph"/>
              <w:ind w:left="6" w:right="6"/>
              <w:rPr>
                <w:sz w:val="14"/>
              </w:rPr>
            </w:pPr>
            <w:r>
              <w:rPr>
                <w:color w:val="231F20"/>
                <w:spacing w:val="-5"/>
                <w:w w:val="95"/>
                <w:sz w:val="14"/>
              </w:rPr>
              <w:t>2.9</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1.9</w:t>
            </w:r>
          </w:p>
        </w:tc>
        <w:tc>
          <w:tcPr>
            <w:tcW w:w="574" w:type="dxa"/>
            <w:shd w:val="clear" w:color="auto" w:fill="D4E3F5"/>
          </w:tcPr>
          <w:p>
            <w:pPr>
              <w:pStyle w:val="TableParagraph"/>
              <w:ind w:left="161" w:right="140"/>
              <w:rPr>
                <w:sz w:val="14"/>
              </w:rPr>
            </w:pPr>
            <w:r>
              <w:rPr>
                <w:color w:val="231F20"/>
                <w:spacing w:val="-5"/>
                <w:w w:val="95"/>
                <w:sz w:val="14"/>
              </w:rPr>
              <w:t>133</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1.9</w:t>
            </w:r>
          </w:p>
        </w:tc>
        <w:tc>
          <w:tcPr>
            <w:tcW w:w="574" w:type="dxa"/>
            <w:shd w:val="clear" w:color="auto" w:fill="D4E3F5"/>
          </w:tcPr>
          <w:p>
            <w:pPr>
              <w:pStyle w:val="TableParagraph"/>
              <w:ind w:left="161" w:right="136"/>
              <w:rPr>
                <w:sz w:val="14"/>
              </w:rPr>
            </w:pPr>
            <w:r>
              <w:rPr>
                <w:color w:val="231F20"/>
                <w:spacing w:val="-5"/>
                <w:w w:val="95"/>
                <w:sz w:val="14"/>
              </w:rPr>
              <w:t>132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2.7</w:t>
            </w:r>
          </w:p>
        </w:tc>
        <w:tc>
          <w:tcPr>
            <w:tcW w:w="574" w:type="dxa"/>
            <w:shd w:val="clear" w:color="auto" w:fill="D4E3F5"/>
          </w:tcPr>
          <w:p>
            <w:pPr>
              <w:pStyle w:val="TableParagraph"/>
              <w:ind w:left="161" w:right="70"/>
              <w:rPr>
                <w:sz w:val="14"/>
              </w:rPr>
            </w:pPr>
            <w:r>
              <w:rPr>
                <w:color w:val="231F20"/>
                <w:spacing w:val="-5"/>
                <w:w w:val="95"/>
                <w:sz w:val="14"/>
              </w:rPr>
              <w:t>85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2.8</w:t>
            </w:r>
          </w:p>
        </w:tc>
        <w:tc>
          <w:tcPr>
            <w:tcW w:w="574" w:type="dxa"/>
            <w:shd w:val="clear" w:color="auto" w:fill="D4E3F5"/>
          </w:tcPr>
          <w:p>
            <w:pPr>
              <w:pStyle w:val="TableParagraph"/>
              <w:ind w:left="161" w:right="69"/>
              <w:rPr>
                <w:sz w:val="14"/>
              </w:rPr>
            </w:pPr>
            <w:r>
              <w:rPr>
                <w:color w:val="231F20"/>
                <w:spacing w:val="-5"/>
                <w:w w:val="95"/>
                <w:sz w:val="14"/>
              </w:rPr>
              <w:t>76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6" w:right="48"/>
              <w:rPr>
                <w:sz w:val="14"/>
              </w:rPr>
            </w:pPr>
            <w:r>
              <w:rPr>
                <w:color w:val="231F20"/>
                <w:spacing w:val="-5"/>
                <w:w w:val="95"/>
                <w:sz w:val="14"/>
              </w:rPr>
              <w:t>3.0</w:t>
            </w:r>
          </w:p>
        </w:tc>
        <w:tc>
          <w:tcPr>
            <w:tcW w:w="574" w:type="dxa"/>
            <w:shd w:val="clear" w:color="auto" w:fill="D4E3F5"/>
          </w:tcPr>
          <w:p>
            <w:pPr>
              <w:pStyle w:val="TableParagraph"/>
              <w:ind w:left="161" w:right="67"/>
              <w:rPr>
                <w:sz w:val="14"/>
              </w:rPr>
            </w:pPr>
            <w:r>
              <w:rPr>
                <w:color w:val="231F20"/>
                <w:spacing w:val="-5"/>
                <w:w w:val="95"/>
                <w:sz w:val="14"/>
              </w:rPr>
              <w:t>87</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2.8</w:t>
            </w:r>
          </w:p>
        </w:tc>
        <w:tc>
          <w:tcPr>
            <w:tcW w:w="655" w:type="dxa"/>
            <w:shd w:val="clear" w:color="auto" w:fill="D4E3F5"/>
          </w:tcPr>
          <w:p>
            <w:pPr>
              <w:pStyle w:val="TableParagraph"/>
              <w:ind w:left="72" w:right="68"/>
              <w:rPr>
                <w:sz w:val="14"/>
              </w:rPr>
            </w:pPr>
            <w:r>
              <w:rPr>
                <w:color w:val="231F20"/>
                <w:spacing w:val="-5"/>
                <w:w w:val="95"/>
                <w:sz w:val="14"/>
              </w:rPr>
              <w:t>80</w:t>
            </w:r>
          </w:p>
        </w:tc>
      </w:tr>
      <w:tr>
        <w:trPr>
          <w:trHeight w:val="259" w:hRule="atLeast"/>
        </w:trPr>
        <w:tc>
          <w:tcPr>
            <w:tcW w:w="990" w:type="dxa"/>
          </w:tcPr>
          <w:p>
            <w:pPr>
              <w:pStyle w:val="TableParagraph"/>
              <w:ind w:left="80"/>
              <w:jc w:val="left"/>
              <w:rPr>
                <w:sz w:val="14"/>
              </w:rPr>
            </w:pPr>
            <w:r>
              <w:rPr>
                <w:color w:val="231F20"/>
                <w:spacing w:val="-2"/>
                <w:w w:val="90"/>
                <w:sz w:val="14"/>
              </w:rPr>
              <w:t>Mongolia</w:t>
            </w:r>
          </w:p>
        </w:tc>
        <w:tc>
          <w:tcPr>
            <w:tcW w:w="622" w:type="dxa"/>
          </w:tcPr>
          <w:p>
            <w:pPr>
              <w:pStyle w:val="TableParagraph"/>
              <w:ind w:left="67" w:right="101"/>
              <w:rPr>
                <w:sz w:val="14"/>
              </w:rPr>
            </w:pPr>
            <w:r>
              <w:rPr>
                <w:color w:val="231F20"/>
                <w:spacing w:val="-5"/>
                <w:w w:val="95"/>
                <w:sz w:val="14"/>
              </w:rPr>
              <w:t>97</w:t>
            </w:r>
          </w:p>
        </w:tc>
        <w:tc>
          <w:tcPr>
            <w:tcW w:w="644" w:type="dxa"/>
          </w:tcPr>
          <w:p>
            <w:pPr>
              <w:pStyle w:val="TableParagraph"/>
              <w:ind w:left="165"/>
              <w:jc w:val="left"/>
              <w:rPr>
                <w:sz w:val="14"/>
              </w:rPr>
            </w:pPr>
            <w:r>
              <w:rPr>
                <w:color w:val="231F20"/>
                <w:spacing w:val="-5"/>
                <w:w w:val="95"/>
                <w:sz w:val="14"/>
              </w:rPr>
              <w:t>2.5</w:t>
            </w:r>
          </w:p>
        </w:tc>
        <w:tc>
          <w:tcPr>
            <w:tcW w:w="480" w:type="dxa"/>
          </w:tcPr>
          <w:p>
            <w:pPr>
              <w:pStyle w:val="TableParagraph"/>
              <w:ind w:left="102"/>
              <w:jc w:val="left"/>
              <w:rPr>
                <w:sz w:val="14"/>
              </w:rPr>
            </w:pPr>
            <w:r>
              <w:rPr>
                <w:color w:val="231F20"/>
                <w:spacing w:val="-5"/>
                <w:w w:val="95"/>
                <w:sz w:val="14"/>
              </w:rPr>
              <w:t>2.2</w:t>
            </w:r>
          </w:p>
        </w:tc>
        <w:tc>
          <w:tcPr>
            <w:tcW w:w="582" w:type="dxa"/>
          </w:tcPr>
          <w:p>
            <w:pPr>
              <w:pStyle w:val="TableParagraph"/>
              <w:ind w:left="6" w:right="6"/>
              <w:rPr>
                <w:sz w:val="14"/>
              </w:rPr>
            </w:pPr>
            <w:r>
              <w:rPr>
                <w:color w:val="231F20"/>
                <w:spacing w:val="-5"/>
                <w:w w:val="95"/>
                <w:sz w:val="14"/>
              </w:rPr>
              <w:t>2.8</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2.5</w:t>
            </w:r>
          </w:p>
        </w:tc>
        <w:tc>
          <w:tcPr>
            <w:tcW w:w="574" w:type="dxa"/>
          </w:tcPr>
          <w:p>
            <w:pPr>
              <w:pStyle w:val="TableParagraph"/>
              <w:ind w:left="158" w:right="70"/>
              <w:rPr>
                <w:sz w:val="14"/>
              </w:rPr>
            </w:pPr>
            <w:r>
              <w:rPr>
                <w:color w:val="231F20"/>
                <w:spacing w:val="-5"/>
                <w:w w:val="95"/>
                <w:sz w:val="14"/>
              </w:rPr>
              <w:t>84</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2.3</w:t>
            </w:r>
          </w:p>
        </w:tc>
        <w:tc>
          <w:tcPr>
            <w:tcW w:w="574" w:type="dxa"/>
          </w:tcPr>
          <w:p>
            <w:pPr>
              <w:pStyle w:val="TableParagraph"/>
              <w:ind w:left="161" w:right="139"/>
              <w:rPr>
                <w:sz w:val="14"/>
              </w:rPr>
            </w:pPr>
            <w:r>
              <w:rPr>
                <w:color w:val="231F20"/>
                <w:spacing w:val="-5"/>
                <w:w w:val="95"/>
                <w:sz w:val="14"/>
              </w:rPr>
              <w:t>108</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2.5</w:t>
            </w:r>
          </w:p>
        </w:tc>
        <w:tc>
          <w:tcPr>
            <w:tcW w:w="574" w:type="dxa"/>
          </w:tcPr>
          <w:p>
            <w:pPr>
              <w:pStyle w:val="TableParagraph"/>
              <w:ind w:left="161" w:right="137"/>
              <w:rPr>
                <w:sz w:val="14"/>
              </w:rPr>
            </w:pPr>
            <w:r>
              <w:rPr>
                <w:color w:val="231F20"/>
                <w:spacing w:val="-5"/>
                <w:w w:val="95"/>
                <w:sz w:val="14"/>
              </w:rPr>
              <w:t>102</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2.3</w:t>
            </w:r>
          </w:p>
        </w:tc>
        <w:tc>
          <w:tcPr>
            <w:tcW w:w="574" w:type="dxa"/>
          </w:tcPr>
          <w:p>
            <w:pPr>
              <w:pStyle w:val="TableParagraph"/>
              <w:ind w:left="161" w:right="125"/>
              <w:rPr>
                <w:sz w:val="14"/>
              </w:rPr>
            </w:pPr>
            <w:r>
              <w:rPr>
                <w:color w:val="231F20"/>
                <w:spacing w:val="-5"/>
                <w:w w:val="95"/>
                <w:sz w:val="14"/>
              </w:rPr>
              <w:t>119</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2.7</w:t>
            </w:r>
          </w:p>
        </w:tc>
        <w:tc>
          <w:tcPr>
            <w:tcW w:w="574" w:type="dxa"/>
          </w:tcPr>
          <w:p>
            <w:pPr>
              <w:pStyle w:val="TableParagraph"/>
              <w:ind w:left="161" w:right="135"/>
              <w:rPr>
                <w:sz w:val="14"/>
              </w:rPr>
            </w:pPr>
            <w:r>
              <w:rPr>
                <w:color w:val="231F20"/>
                <w:spacing w:val="-5"/>
                <w:w w:val="95"/>
                <w:sz w:val="14"/>
              </w:rPr>
              <w:t>109</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2.4</w:t>
            </w:r>
          </w:p>
        </w:tc>
        <w:tc>
          <w:tcPr>
            <w:tcW w:w="655" w:type="dxa"/>
          </w:tcPr>
          <w:p>
            <w:pPr>
              <w:pStyle w:val="TableParagraph"/>
              <w:ind w:left="72" w:right="132"/>
              <w:rPr>
                <w:sz w:val="14"/>
              </w:rPr>
            </w:pPr>
            <w:r>
              <w:rPr>
                <w:color w:val="231F20"/>
                <w:spacing w:val="-5"/>
                <w:w w:val="95"/>
                <w:sz w:val="14"/>
              </w:rPr>
              <w:t>105</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Nicaragua</w:t>
            </w:r>
          </w:p>
        </w:tc>
        <w:tc>
          <w:tcPr>
            <w:tcW w:w="622" w:type="dxa"/>
            <w:shd w:val="clear" w:color="auto" w:fill="D4E3F5"/>
          </w:tcPr>
          <w:p>
            <w:pPr>
              <w:pStyle w:val="TableParagraph"/>
              <w:ind w:left="67" w:right="101"/>
              <w:rPr>
                <w:sz w:val="14"/>
              </w:rPr>
            </w:pPr>
            <w:r>
              <w:rPr>
                <w:color w:val="231F20"/>
                <w:spacing w:val="-5"/>
                <w:w w:val="95"/>
                <w:sz w:val="14"/>
              </w:rPr>
              <w:t>97</w:t>
            </w:r>
          </w:p>
        </w:tc>
        <w:tc>
          <w:tcPr>
            <w:tcW w:w="644" w:type="dxa"/>
            <w:shd w:val="clear" w:color="auto" w:fill="D4E3F5"/>
          </w:tcPr>
          <w:p>
            <w:pPr>
              <w:pStyle w:val="TableParagraph"/>
              <w:ind w:left="165"/>
              <w:jc w:val="left"/>
              <w:rPr>
                <w:sz w:val="14"/>
              </w:rPr>
            </w:pPr>
            <w:r>
              <w:rPr>
                <w:color w:val="231F20"/>
                <w:spacing w:val="-5"/>
                <w:w w:val="95"/>
                <w:sz w:val="14"/>
              </w:rPr>
              <w:t>2.5</w:t>
            </w:r>
          </w:p>
        </w:tc>
        <w:tc>
          <w:tcPr>
            <w:tcW w:w="480" w:type="dxa"/>
            <w:shd w:val="clear" w:color="auto" w:fill="D4E3F5"/>
          </w:tcPr>
          <w:p>
            <w:pPr>
              <w:pStyle w:val="TableParagraph"/>
              <w:ind w:left="102"/>
              <w:jc w:val="left"/>
              <w:rPr>
                <w:sz w:val="14"/>
              </w:rPr>
            </w:pPr>
            <w:r>
              <w:rPr>
                <w:color w:val="231F20"/>
                <w:spacing w:val="-5"/>
                <w:w w:val="95"/>
                <w:sz w:val="14"/>
              </w:rPr>
              <w:t>2.2</w:t>
            </w:r>
          </w:p>
        </w:tc>
        <w:tc>
          <w:tcPr>
            <w:tcW w:w="582" w:type="dxa"/>
            <w:shd w:val="clear" w:color="auto" w:fill="D4E3F5"/>
          </w:tcPr>
          <w:p>
            <w:pPr>
              <w:pStyle w:val="TableParagraph"/>
              <w:ind w:left="6" w:right="6"/>
              <w:rPr>
                <w:sz w:val="14"/>
              </w:rPr>
            </w:pPr>
            <w:r>
              <w:rPr>
                <w:color w:val="231F20"/>
                <w:spacing w:val="-5"/>
                <w:w w:val="95"/>
                <w:sz w:val="14"/>
              </w:rPr>
              <w:t>2.8</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2.0</w:t>
            </w:r>
          </w:p>
        </w:tc>
        <w:tc>
          <w:tcPr>
            <w:tcW w:w="574" w:type="dxa"/>
            <w:shd w:val="clear" w:color="auto" w:fill="D4E3F5"/>
          </w:tcPr>
          <w:p>
            <w:pPr>
              <w:pStyle w:val="TableParagraph"/>
              <w:ind w:left="161" w:right="139"/>
              <w:rPr>
                <w:sz w:val="14"/>
              </w:rPr>
            </w:pPr>
            <w:r>
              <w:rPr>
                <w:color w:val="231F20"/>
                <w:spacing w:val="-5"/>
                <w:w w:val="95"/>
                <w:sz w:val="14"/>
              </w:rPr>
              <w:t>129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1.9</w:t>
            </w:r>
          </w:p>
        </w:tc>
        <w:tc>
          <w:tcPr>
            <w:tcW w:w="574" w:type="dxa"/>
            <w:shd w:val="clear" w:color="auto" w:fill="D4E3F5"/>
          </w:tcPr>
          <w:p>
            <w:pPr>
              <w:pStyle w:val="TableParagraph"/>
              <w:ind w:left="161" w:right="136"/>
              <w:rPr>
                <w:sz w:val="14"/>
              </w:rPr>
            </w:pPr>
            <w:r>
              <w:rPr>
                <w:color w:val="231F20"/>
                <w:spacing w:val="-5"/>
                <w:w w:val="95"/>
                <w:sz w:val="14"/>
              </w:rPr>
              <w:t>132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2.8</w:t>
            </w:r>
          </w:p>
        </w:tc>
        <w:tc>
          <w:tcPr>
            <w:tcW w:w="574" w:type="dxa"/>
            <w:shd w:val="clear" w:color="auto" w:fill="D4E3F5"/>
          </w:tcPr>
          <w:p>
            <w:pPr>
              <w:pStyle w:val="TableParagraph"/>
              <w:ind w:left="161" w:right="70"/>
              <w:rPr>
                <w:sz w:val="14"/>
              </w:rPr>
            </w:pPr>
            <w:r>
              <w:rPr>
                <w:color w:val="231F20"/>
                <w:spacing w:val="-5"/>
                <w:w w:val="95"/>
                <w:sz w:val="14"/>
              </w:rPr>
              <w:t>75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2.8</w:t>
            </w:r>
          </w:p>
        </w:tc>
        <w:tc>
          <w:tcPr>
            <w:tcW w:w="574" w:type="dxa"/>
            <w:shd w:val="clear" w:color="auto" w:fill="D4E3F5"/>
          </w:tcPr>
          <w:p>
            <w:pPr>
              <w:pStyle w:val="TableParagraph"/>
              <w:ind w:left="161" w:right="69"/>
              <w:rPr>
                <w:sz w:val="14"/>
              </w:rPr>
            </w:pPr>
            <w:r>
              <w:rPr>
                <w:color w:val="231F20"/>
                <w:spacing w:val="-5"/>
                <w:w w:val="95"/>
                <w:sz w:val="14"/>
              </w:rPr>
              <w:t>76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2.9</w:t>
            </w:r>
          </w:p>
        </w:tc>
        <w:tc>
          <w:tcPr>
            <w:tcW w:w="574" w:type="dxa"/>
            <w:shd w:val="clear" w:color="auto" w:fill="D4E3F5"/>
          </w:tcPr>
          <w:p>
            <w:pPr>
              <w:pStyle w:val="TableParagraph"/>
              <w:ind w:left="161" w:right="67"/>
              <w:rPr>
                <w:sz w:val="14"/>
              </w:rPr>
            </w:pPr>
            <w:r>
              <w:rPr>
                <w:color w:val="231F20"/>
                <w:spacing w:val="-5"/>
                <w:w w:val="95"/>
                <w:sz w:val="14"/>
              </w:rPr>
              <w:t>93</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2.4</w:t>
            </w:r>
          </w:p>
        </w:tc>
        <w:tc>
          <w:tcPr>
            <w:tcW w:w="655" w:type="dxa"/>
            <w:shd w:val="clear" w:color="auto" w:fill="D4E3F5"/>
          </w:tcPr>
          <w:p>
            <w:pPr>
              <w:pStyle w:val="TableParagraph"/>
              <w:ind w:left="72" w:right="132"/>
              <w:rPr>
                <w:sz w:val="14"/>
              </w:rPr>
            </w:pPr>
            <w:r>
              <w:rPr>
                <w:color w:val="231F20"/>
                <w:spacing w:val="-5"/>
                <w:w w:val="95"/>
                <w:sz w:val="14"/>
              </w:rPr>
              <w:t>105</w:t>
            </w:r>
          </w:p>
        </w:tc>
      </w:tr>
      <w:tr>
        <w:trPr>
          <w:trHeight w:val="259" w:hRule="atLeast"/>
        </w:trPr>
        <w:tc>
          <w:tcPr>
            <w:tcW w:w="990" w:type="dxa"/>
          </w:tcPr>
          <w:p>
            <w:pPr>
              <w:pStyle w:val="TableParagraph"/>
              <w:ind w:left="80"/>
              <w:jc w:val="left"/>
              <w:rPr>
                <w:sz w:val="14"/>
              </w:rPr>
            </w:pPr>
            <w:r>
              <w:rPr>
                <w:color w:val="231F20"/>
                <w:spacing w:val="-2"/>
                <w:w w:val="90"/>
                <w:sz w:val="14"/>
              </w:rPr>
              <w:t>Tajikistan</w:t>
            </w:r>
          </w:p>
        </w:tc>
        <w:tc>
          <w:tcPr>
            <w:tcW w:w="622" w:type="dxa"/>
          </w:tcPr>
          <w:p>
            <w:pPr>
              <w:pStyle w:val="TableParagraph"/>
              <w:ind w:left="67" w:right="101"/>
              <w:rPr>
                <w:sz w:val="14"/>
              </w:rPr>
            </w:pPr>
            <w:r>
              <w:rPr>
                <w:color w:val="231F20"/>
                <w:spacing w:val="-5"/>
                <w:w w:val="95"/>
                <w:sz w:val="14"/>
              </w:rPr>
              <w:t>97</w:t>
            </w:r>
          </w:p>
        </w:tc>
        <w:tc>
          <w:tcPr>
            <w:tcW w:w="644" w:type="dxa"/>
          </w:tcPr>
          <w:p>
            <w:pPr>
              <w:pStyle w:val="TableParagraph"/>
              <w:ind w:left="165"/>
              <w:jc w:val="left"/>
              <w:rPr>
                <w:sz w:val="14"/>
              </w:rPr>
            </w:pPr>
            <w:r>
              <w:rPr>
                <w:color w:val="231F20"/>
                <w:spacing w:val="-5"/>
                <w:w w:val="95"/>
                <w:sz w:val="14"/>
              </w:rPr>
              <w:t>2.5</w:t>
            </w:r>
          </w:p>
        </w:tc>
        <w:tc>
          <w:tcPr>
            <w:tcW w:w="480" w:type="dxa"/>
          </w:tcPr>
          <w:p>
            <w:pPr>
              <w:pStyle w:val="TableParagraph"/>
              <w:ind w:left="102"/>
              <w:jc w:val="left"/>
              <w:rPr>
                <w:sz w:val="14"/>
              </w:rPr>
            </w:pPr>
            <w:r>
              <w:rPr>
                <w:color w:val="231F20"/>
                <w:spacing w:val="-5"/>
                <w:w w:val="95"/>
                <w:sz w:val="14"/>
              </w:rPr>
              <w:t>2.2</w:t>
            </w:r>
          </w:p>
        </w:tc>
        <w:tc>
          <w:tcPr>
            <w:tcW w:w="582" w:type="dxa"/>
          </w:tcPr>
          <w:p>
            <w:pPr>
              <w:pStyle w:val="TableParagraph"/>
              <w:ind w:left="6" w:right="6"/>
              <w:rPr>
                <w:sz w:val="14"/>
              </w:rPr>
            </w:pPr>
            <w:r>
              <w:rPr>
                <w:color w:val="231F20"/>
                <w:spacing w:val="-5"/>
                <w:w w:val="95"/>
                <w:sz w:val="14"/>
              </w:rPr>
              <w:t>2.8</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2.2</w:t>
            </w:r>
          </w:p>
        </w:tc>
        <w:tc>
          <w:tcPr>
            <w:tcW w:w="574" w:type="dxa"/>
          </w:tcPr>
          <w:p>
            <w:pPr>
              <w:pStyle w:val="TableParagraph"/>
              <w:ind w:left="161" w:right="130"/>
              <w:rPr>
                <w:sz w:val="14"/>
              </w:rPr>
            </w:pPr>
            <w:r>
              <w:rPr>
                <w:color w:val="231F20"/>
                <w:spacing w:val="-5"/>
                <w:w w:val="95"/>
                <w:sz w:val="14"/>
              </w:rPr>
              <w:t>110</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2.5</w:t>
            </w:r>
          </w:p>
        </w:tc>
        <w:tc>
          <w:tcPr>
            <w:tcW w:w="574" w:type="dxa"/>
          </w:tcPr>
          <w:p>
            <w:pPr>
              <w:pStyle w:val="TableParagraph"/>
              <w:ind w:left="161" w:right="72"/>
              <w:rPr>
                <w:sz w:val="14"/>
              </w:rPr>
            </w:pPr>
            <w:r>
              <w:rPr>
                <w:color w:val="231F20"/>
                <w:spacing w:val="-5"/>
                <w:w w:val="95"/>
                <w:sz w:val="14"/>
              </w:rPr>
              <w:t>80</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2.5</w:t>
            </w:r>
          </w:p>
        </w:tc>
        <w:tc>
          <w:tcPr>
            <w:tcW w:w="574" w:type="dxa"/>
          </w:tcPr>
          <w:p>
            <w:pPr>
              <w:pStyle w:val="TableParagraph"/>
              <w:ind w:left="161" w:right="137"/>
              <w:rPr>
                <w:sz w:val="14"/>
              </w:rPr>
            </w:pPr>
            <w:r>
              <w:rPr>
                <w:color w:val="231F20"/>
                <w:spacing w:val="-5"/>
                <w:w w:val="95"/>
                <w:sz w:val="14"/>
              </w:rPr>
              <w:t>102</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2.8</w:t>
            </w:r>
          </w:p>
        </w:tc>
        <w:tc>
          <w:tcPr>
            <w:tcW w:w="574" w:type="dxa"/>
          </w:tcPr>
          <w:p>
            <w:pPr>
              <w:pStyle w:val="TableParagraph"/>
              <w:ind w:left="161" w:right="69"/>
              <w:rPr>
                <w:sz w:val="14"/>
              </w:rPr>
            </w:pPr>
            <w:r>
              <w:rPr>
                <w:color w:val="231F20"/>
                <w:spacing w:val="-5"/>
                <w:w w:val="95"/>
                <w:sz w:val="14"/>
              </w:rPr>
              <w:t>76</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2.9</w:t>
            </w:r>
          </w:p>
        </w:tc>
        <w:tc>
          <w:tcPr>
            <w:tcW w:w="574" w:type="dxa"/>
          </w:tcPr>
          <w:p>
            <w:pPr>
              <w:pStyle w:val="TableParagraph"/>
              <w:ind w:left="161" w:right="67"/>
              <w:rPr>
                <w:sz w:val="14"/>
              </w:rPr>
            </w:pPr>
            <w:r>
              <w:rPr>
                <w:color w:val="231F20"/>
                <w:spacing w:val="-5"/>
                <w:w w:val="95"/>
                <w:sz w:val="14"/>
              </w:rPr>
              <w:t>93</w:t>
            </w:r>
          </w:p>
        </w:tc>
        <w:tc>
          <w:tcPr>
            <w:tcW w:w="126" w:type="dxa"/>
          </w:tcPr>
          <w:p>
            <w:pPr>
              <w:pStyle w:val="TableParagraph"/>
              <w:spacing w:before="0"/>
              <w:jc w:val="left"/>
              <w:rPr>
                <w:rFonts w:ascii="Times New Roman"/>
                <w:sz w:val="12"/>
              </w:rPr>
            </w:pPr>
          </w:p>
        </w:tc>
        <w:tc>
          <w:tcPr>
            <w:tcW w:w="468" w:type="dxa"/>
          </w:tcPr>
          <w:p>
            <w:pPr>
              <w:pStyle w:val="TableParagraph"/>
              <w:ind w:left="9" w:right="45"/>
              <w:rPr>
                <w:sz w:val="14"/>
              </w:rPr>
            </w:pPr>
            <w:r>
              <w:rPr>
                <w:color w:val="231F20"/>
                <w:spacing w:val="-5"/>
                <w:w w:val="95"/>
                <w:sz w:val="14"/>
              </w:rPr>
              <w:t>2.0</w:t>
            </w:r>
          </w:p>
        </w:tc>
        <w:tc>
          <w:tcPr>
            <w:tcW w:w="655" w:type="dxa"/>
          </w:tcPr>
          <w:p>
            <w:pPr>
              <w:pStyle w:val="TableParagraph"/>
              <w:ind w:left="72" w:right="132"/>
              <w:rPr>
                <w:sz w:val="14"/>
              </w:rPr>
            </w:pPr>
            <w:r>
              <w:rPr>
                <w:color w:val="231F20"/>
                <w:spacing w:val="-5"/>
                <w:w w:val="95"/>
                <w:sz w:val="14"/>
              </w:rPr>
              <w:t>134</w:t>
            </w:r>
          </w:p>
        </w:tc>
      </w:tr>
      <w:tr>
        <w:trPr>
          <w:trHeight w:val="259" w:hRule="atLeast"/>
        </w:trPr>
        <w:tc>
          <w:tcPr>
            <w:tcW w:w="990" w:type="dxa"/>
            <w:shd w:val="clear" w:color="auto" w:fill="D4E3F5"/>
          </w:tcPr>
          <w:p>
            <w:pPr>
              <w:pStyle w:val="TableParagraph"/>
              <w:ind w:left="80"/>
              <w:jc w:val="left"/>
              <w:rPr>
                <w:sz w:val="14"/>
              </w:rPr>
            </w:pPr>
            <w:r>
              <w:rPr>
                <w:color w:val="231F20"/>
                <w:spacing w:val="-4"/>
                <w:w w:val="85"/>
                <w:sz w:val="14"/>
              </w:rPr>
              <w:t>Togo</w:t>
            </w:r>
          </w:p>
        </w:tc>
        <w:tc>
          <w:tcPr>
            <w:tcW w:w="622" w:type="dxa"/>
            <w:shd w:val="clear" w:color="auto" w:fill="D4E3F5"/>
          </w:tcPr>
          <w:p>
            <w:pPr>
              <w:pStyle w:val="TableParagraph"/>
              <w:ind w:left="67" w:right="101"/>
              <w:rPr>
                <w:sz w:val="14"/>
              </w:rPr>
            </w:pPr>
            <w:r>
              <w:rPr>
                <w:color w:val="231F20"/>
                <w:spacing w:val="-5"/>
                <w:w w:val="95"/>
                <w:sz w:val="14"/>
              </w:rPr>
              <w:t>97</w:t>
            </w:r>
          </w:p>
        </w:tc>
        <w:tc>
          <w:tcPr>
            <w:tcW w:w="644" w:type="dxa"/>
            <w:shd w:val="clear" w:color="auto" w:fill="D4E3F5"/>
          </w:tcPr>
          <w:p>
            <w:pPr>
              <w:pStyle w:val="TableParagraph"/>
              <w:ind w:left="165"/>
              <w:jc w:val="left"/>
              <w:rPr>
                <w:sz w:val="14"/>
              </w:rPr>
            </w:pPr>
            <w:r>
              <w:rPr>
                <w:color w:val="231F20"/>
                <w:spacing w:val="-5"/>
                <w:w w:val="95"/>
                <w:sz w:val="14"/>
              </w:rPr>
              <w:t>2.5</w:t>
            </w:r>
          </w:p>
        </w:tc>
        <w:tc>
          <w:tcPr>
            <w:tcW w:w="480" w:type="dxa"/>
            <w:shd w:val="clear" w:color="auto" w:fill="D4E3F5"/>
          </w:tcPr>
          <w:p>
            <w:pPr>
              <w:pStyle w:val="TableParagraph"/>
              <w:ind w:left="102"/>
              <w:jc w:val="left"/>
              <w:rPr>
                <w:sz w:val="14"/>
              </w:rPr>
            </w:pPr>
            <w:r>
              <w:rPr>
                <w:color w:val="231F20"/>
                <w:spacing w:val="-5"/>
                <w:w w:val="95"/>
                <w:sz w:val="14"/>
              </w:rPr>
              <w:t>2.2</w:t>
            </w:r>
          </w:p>
        </w:tc>
        <w:tc>
          <w:tcPr>
            <w:tcW w:w="582" w:type="dxa"/>
            <w:shd w:val="clear" w:color="auto" w:fill="D4E3F5"/>
          </w:tcPr>
          <w:p>
            <w:pPr>
              <w:pStyle w:val="TableParagraph"/>
              <w:ind w:left="6" w:right="6"/>
              <w:rPr>
                <w:sz w:val="14"/>
              </w:rPr>
            </w:pPr>
            <w:r>
              <w:rPr>
                <w:color w:val="231F20"/>
                <w:spacing w:val="-5"/>
                <w:w w:val="95"/>
                <w:sz w:val="14"/>
              </w:rPr>
              <w:t>2.8</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2.3</w:t>
            </w:r>
          </w:p>
        </w:tc>
        <w:tc>
          <w:tcPr>
            <w:tcW w:w="574" w:type="dxa"/>
            <w:shd w:val="clear" w:color="auto" w:fill="D4E3F5"/>
          </w:tcPr>
          <w:p>
            <w:pPr>
              <w:pStyle w:val="TableParagraph"/>
              <w:ind w:left="161" w:right="138"/>
              <w:rPr>
                <w:sz w:val="14"/>
              </w:rPr>
            </w:pPr>
            <w:r>
              <w:rPr>
                <w:color w:val="231F20"/>
                <w:spacing w:val="-5"/>
                <w:w w:val="95"/>
                <w:sz w:val="14"/>
              </w:rPr>
              <w:t>101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2.3</w:t>
            </w:r>
          </w:p>
        </w:tc>
        <w:tc>
          <w:tcPr>
            <w:tcW w:w="574" w:type="dxa"/>
            <w:shd w:val="clear" w:color="auto" w:fill="D4E3F5"/>
          </w:tcPr>
          <w:p>
            <w:pPr>
              <w:pStyle w:val="TableParagraph"/>
              <w:ind w:left="161" w:right="139"/>
              <w:rPr>
                <w:sz w:val="14"/>
              </w:rPr>
            </w:pPr>
            <w:r>
              <w:rPr>
                <w:color w:val="231F20"/>
                <w:spacing w:val="-5"/>
                <w:w w:val="95"/>
                <w:sz w:val="14"/>
              </w:rPr>
              <w:t>108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3.0</w:t>
            </w:r>
          </w:p>
        </w:tc>
        <w:tc>
          <w:tcPr>
            <w:tcW w:w="574" w:type="dxa"/>
            <w:shd w:val="clear" w:color="auto" w:fill="D4E3F5"/>
          </w:tcPr>
          <w:p>
            <w:pPr>
              <w:pStyle w:val="TableParagraph"/>
              <w:ind w:left="161" w:right="70"/>
              <w:rPr>
                <w:sz w:val="14"/>
              </w:rPr>
            </w:pPr>
            <w:r>
              <w:rPr>
                <w:color w:val="231F20"/>
                <w:spacing w:val="-5"/>
                <w:w w:val="95"/>
                <w:sz w:val="14"/>
              </w:rPr>
              <w:t>57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2.4</w:t>
            </w:r>
          </w:p>
        </w:tc>
        <w:tc>
          <w:tcPr>
            <w:tcW w:w="574" w:type="dxa"/>
            <w:shd w:val="clear" w:color="auto" w:fill="D4E3F5"/>
          </w:tcPr>
          <w:p>
            <w:pPr>
              <w:pStyle w:val="TableParagraph"/>
              <w:ind w:left="161" w:right="125"/>
              <w:rPr>
                <w:sz w:val="14"/>
              </w:rPr>
            </w:pPr>
            <w:r>
              <w:rPr>
                <w:color w:val="231F20"/>
                <w:spacing w:val="-5"/>
                <w:w w:val="95"/>
                <w:sz w:val="14"/>
              </w:rPr>
              <w:t>110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2.8</w:t>
            </w:r>
          </w:p>
        </w:tc>
        <w:tc>
          <w:tcPr>
            <w:tcW w:w="574" w:type="dxa"/>
            <w:shd w:val="clear" w:color="auto" w:fill="D4E3F5"/>
          </w:tcPr>
          <w:p>
            <w:pPr>
              <w:pStyle w:val="TableParagraph"/>
              <w:ind w:left="161" w:right="132"/>
              <w:rPr>
                <w:sz w:val="14"/>
              </w:rPr>
            </w:pPr>
            <w:r>
              <w:rPr>
                <w:color w:val="231F20"/>
                <w:spacing w:val="-5"/>
                <w:w w:val="95"/>
                <w:sz w:val="14"/>
              </w:rPr>
              <w:t>101</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2.3</w:t>
            </w:r>
          </w:p>
        </w:tc>
        <w:tc>
          <w:tcPr>
            <w:tcW w:w="655" w:type="dxa"/>
            <w:shd w:val="clear" w:color="auto" w:fill="D4E3F5"/>
          </w:tcPr>
          <w:p>
            <w:pPr>
              <w:pStyle w:val="TableParagraph"/>
              <w:ind w:left="72" w:right="120"/>
              <w:rPr>
                <w:sz w:val="14"/>
              </w:rPr>
            </w:pPr>
            <w:r>
              <w:rPr>
                <w:color w:val="231F20"/>
                <w:spacing w:val="-5"/>
                <w:w w:val="95"/>
                <w:sz w:val="14"/>
              </w:rPr>
              <w:t>117</w:t>
            </w:r>
          </w:p>
        </w:tc>
      </w:tr>
      <w:tr>
        <w:trPr>
          <w:trHeight w:val="419" w:hRule="atLeast"/>
        </w:trPr>
        <w:tc>
          <w:tcPr>
            <w:tcW w:w="990" w:type="dxa"/>
          </w:tcPr>
          <w:p>
            <w:pPr>
              <w:pStyle w:val="TableParagraph"/>
              <w:ind w:left="80"/>
              <w:jc w:val="left"/>
              <w:rPr>
                <w:sz w:val="14"/>
              </w:rPr>
            </w:pPr>
            <w:r>
              <w:rPr>
                <w:color w:val="231F20"/>
                <w:spacing w:val="-2"/>
                <w:w w:val="80"/>
                <w:sz w:val="14"/>
              </w:rPr>
              <w:t>Trinidad</w:t>
            </w:r>
            <w:r>
              <w:rPr>
                <w:color w:val="231F20"/>
                <w:spacing w:val="-8"/>
                <w:sz w:val="14"/>
              </w:rPr>
              <w:t> </w:t>
            </w:r>
            <w:r>
              <w:rPr>
                <w:color w:val="231F20"/>
                <w:spacing w:val="-2"/>
                <w:w w:val="80"/>
                <w:sz w:val="14"/>
              </w:rPr>
              <w:t>and</w:t>
            </w:r>
            <w:r>
              <w:rPr>
                <w:color w:val="231F20"/>
                <w:spacing w:val="40"/>
                <w:sz w:val="14"/>
              </w:rPr>
              <w:t> </w:t>
            </w:r>
            <w:r>
              <w:rPr>
                <w:color w:val="231F20"/>
                <w:spacing w:val="-2"/>
                <w:w w:val="90"/>
                <w:sz w:val="14"/>
              </w:rPr>
              <w:t>Tobago</w:t>
            </w:r>
          </w:p>
        </w:tc>
        <w:tc>
          <w:tcPr>
            <w:tcW w:w="622" w:type="dxa"/>
          </w:tcPr>
          <w:p>
            <w:pPr>
              <w:pStyle w:val="TableParagraph"/>
              <w:spacing w:before="47"/>
              <w:jc w:val="left"/>
              <w:rPr>
                <w:sz w:val="14"/>
              </w:rPr>
            </w:pPr>
          </w:p>
          <w:p>
            <w:pPr>
              <w:pStyle w:val="TableParagraph"/>
              <w:spacing w:before="0"/>
              <w:ind w:left="67" w:right="101"/>
              <w:rPr>
                <w:sz w:val="14"/>
              </w:rPr>
            </w:pPr>
            <w:r>
              <w:rPr>
                <w:color w:val="231F20"/>
                <w:spacing w:val="-5"/>
                <w:w w:val="95"/>
                <w:sz w:val="14"/>
              </w:rPr>
              <w:t>97</w:t>
            </w:r>
          </w:p>
        </w:tc>
        <w:tc>
          <w:tcPr>
            <w:tcW w:w="644" w:type="dxa"/>
          </w:tcPr>
          <w:p>
            <w:pPr>
              <w:pStyle w:val="TableParagraph"/>
              <w:spacing w:before="47"/>
              <w:jc w:val="left"/>
              <w:rPr>
                <w:sz w:val="14"/>
              </w:rPr>
            </w:pPr>
          </w:p>
          <w:p>
            <w:pPr>
              <w:pStyle w:val="TableParagraph"/>
              <w:spacing w:before="0"/>
              <w:ind w:left="165"/>
              <w:jc w:val="left"/>
              <w:rPr>
                <w:sz w:val="14"/>
              </w:rPr>
            </w:pPr>
            <w:r>
              <w:rPr>
                <w:color w:val="231F20"/>
                <w:spacing w:val="-5"/>
                <w:w w:val="95"/>
                <w:sz w:val="14"/>
              </w:rPr>
              <w:t>2.5</w:t>
            </w:r>
          </w:p>
        </w:tc>
        <w:tc>
          <w:tcPr>
            <w:tcW w:w="480" w:type="dxa"/>
          </w:tcPr>
          <w:p>
            <w:pPr>
              <w:pStyle w:val="TableParagraph"/>
              <w:spacing w:before="47"/>
              <w:jc w:val="left"/>
              <w:rPr>
                <w:sz w:val="14"/>
              </w:rPr>
            </w:pPr>
          </w:p>
          <w:p>
            <w:pPr>
              <w:pStyle w:val="TableParagraph"/>
              <w:spacing w:before="0"/>
              <w:ind w:left="102"/>
              <w:jc w:val="left"/>
              <w:rPr>
                <w:sz w:val="14"/>
              </w:rPr>
            </w:pPr>
            <w:r>
              <w:rPr>
                <w:color w:val="231F20"/>
                <w:spacing w:val="-5"/>
                <w:w w:val="95"/>
                <w:sz w:val="14"/>
              </w:rPr>
              <w:t>2.3</w:t>
            </w:r>
          </w:p>
        </w:tc>
        <w:tc>
          <w:tcPr>
            <w:tcW w:w="582" w:type="dxa"/>
          </w:tcPr>
          <w:p>
            <w:pPr>
              <w:pStyle w:val="TableParagraph"/>
              <w:spacing w:before="47"/>
              <w:jc w:val="left"/>
              <w:rPr>
                <w:sz w:val="14"/>
              </w:rPr>
            </w:pPr>
          </w:p>
          <w:p>
            <w:pPr>
              <w:pStyle w:val="TableParagraph"/>
              <w:spacing w:before="0"/>
              <w:ind w:left="6" w:right="6"/>
              <w:rPr>
                <w:sz w:val="14"/>
              </w:rPr>
            </w:pPr>
            <w:r>
              <w:rPr>
                <w:color w:val="231F20"/>
                <w:spacing w:val="-5"/>
                <w:w w:val="95"/>
                <w:sz w:val="14"/>
              </w:rPr>
              <w:t>2.7</w:t>
            </w:r>
          </w:p>
        </w:tc>
        <w:tc>
          <w:tcPr>
            <w:tcW w:w="80"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8" w:right="48"/>
              <w:rPr>
                <w:sz w:val="14"/>
              </w:rPr>
            </w:pPr>
            <w:r>
              <w:rPr>
                <w:color w:val="231F20"/>
                <w:spacing w:val="-5"/>
                <w:w w:val="95"/>
                <w:sz w:val="14"/>
              </w:rPr>
              <w:t>2.2</w:t>
            </w:r>
          </w:p>
        </w:tc>
        <w:tc>
          <w:tcPr>
            <w:tcW w:w="574" w:type="dxa"/>
          </w:tcPr>
          <w:p>
            <w:pPr>
              <w:pStyle w:val="TableParagraph"/>
              <w:spacing w:before="47"/>
              <w:jc w:val="left"/>
              <w:rPr>
                <w:sz w:val="14"/>
              </w:rPr>
            </w:pPr>
          </w:p>
          <w:p>
            <w:pPr>
              <w:pStyle w:val="TableParagraph"/>
              <w:spacing w:before="0"/>
              <w:ind w:left="161" w:right="130"/>
              <w:rPr>
                <w:sz w:val="14"/>
              </w:rPr>
            </w:pPr>
            <w:r>
              <w:rPr>
                <w:color w:val="231F20"/>
                <w:spacing w:val="-5"/>
                <w:w w:val="95"/>
                <w:sz w:val="14"/>
              </w:rPr>
              <w:t>110</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10" w:right="48"/>
              <w:rPr>
                <w:sz w:val="14"/>
              </w:rPr>
            </w:pPr>
            <w:r>
              <w:rPr>
                <w:color w:val="231F20"/>
                <w:spacing w:val="-5"/>
                <w:w w:val="95"/>
                <w:sz w:val="14"/>
              </w:rPr>
              <w:t>2.4</w:t>
            </w:r>
          </w:p>
        </w:tc>
        <w:tc>
          <w:tcPr>
            <w:tcW w:w="574" w:type="dxa"/>
          </w:tcPr>
          <w:p>
            <w:pPr>
              <w:pStyle w:val="TableParagraph"/>
              <w:spacing w:before="47"/>
              <w:jc w:val="left"/>
              <w:rPr>
                <w:sz w:val="14"/>
              </w:rPr>
            </w:pPr>
          </w:p>
          <w:p>
            <w:pPr>
              <w:pStyle w:val="TableParagraph"/>
              <w:spacing w:before="0"/>
              <w:ind w:left="161" w:right="72"/>
              <w:rPr>
                <w:sz w:val="14"/>
              </w:rPr>
            </w:pPr>
            <w:r>
              <w:rPr>
                <w:color w:val="231F20"/>
                <w:spacing w:val="-5"/>
                <w:w w:val="95"/>
                <w:sz w:val="14"/>
              </w:rPr>
              <w:t>89</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11" w:right="48"/>
              <w:rPr>
                <w:sz w:val="14"/>
              </w:rPr>
            </w:pPr>
            <w:r>
              <w:rPr>
                <w:color w:val="231F20"/>
                <w:spacing w:val="-5"/>
                <w:w w:val="95"/>
                <w:sz w:val="14"/>
              </w:rPr>
              <w:t>2.5</w:t>
            </w:r>
          </w:p>
        </w:tc>
        <w:tc>
          <w:tcPr>
            <w:tcW w:w="574" w:type="dxa"/>
          </w:tcPr>
          <w:p>
            <w:pPr>
              <w:pStyle w:val="TableParagraph"/>
              <w:spacing w:before="47"/>
              <w:jc w:val="left"/>
              <w:rPr>
                <w:sz w:val="14"/>
              </w:rPr>
            </w:pPr>
          </w:p>
          <w:p>
            <w:pPr>
              <w:pStyle w:val="TableParagraph"/>
              <w:spacing w:before="0"/>
              <w:ind w:left="161" w:right="137"/>
              <w:rPr>
                <w:sz w:val="14"/>
              </w:rPr>
            </w:pPr>
            <w:r>
              <w:rPr>
                <w:color w:val="231F20"/>
                <w:spacing w:val="-5"/>
                <w:w w:val="95"/>
                <w:sz w:val="14"/>
              </w:rPr>
              <w:t>102</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13" w:right="48"/>
              <w:rPr>
                <w:sz w:val="14"/>
              </w:rPr>
            </w:pPr>
            <w:r>
              <w:rPr>
                <w:color w:val="231F20"/>
                <w:spacing w:val="-5"/>
                <w:w w:val="95"/>
                <w:sz w:val="14"/>
              </w:rPr>
              <w:t>2.4</w:t>
            </w:r>
          </w:p>
        </w:tc>
        <w:tc>
          <w:tcPr>
            <w:tcW w:w="574" w:type="dxa"/>
          </w:tcPr>
          <w:p>
            <w:pPr>
              <w:pStyle w:val="TableParagraph"/>
              <w:spacing w:before="47"/>
              <w:jc w:val="left"/>
              <w:rPr>
                <w:sz w:val="14"/>
              </w:rPr>
            </w:pPr>
          </w:p>
          <w:p>
            <w:pPr>
              <w:pStyle w:val="TableParagraph"/>
              <w:spacing w:before="0"/>
              <w:ind w:left="161" w:right="125"/>
              <w:rPr>
                <w:sz w:val="14"/>
              </w:rPr>
            </w:pPr>
            <w:r>
              <w:rPr>
                <w:color w:val="231F20"/>
                <w:spacing w:val="-5"/>
                <w:w w:val="95"/>
                <w:sz w:val="14"/>
              </w:rPr>
              <w:t>110</w:t>
            </w:r>
          </w:p>
        </w:tc>
        <w:tc>
          <w:tcPr>
            <w:tcW w:w="126" w:type="dxa"/>
          </w:tcPr>
          <w:p>
            <w:pPr>
              <w:pStyle w:val="TableParagraph"/>
              <w:spacing w:before="0"/>
              <w:jc w:val="left"/>
              <w:rPr>
                <w:rFonts w:ascii="Times New Roman"/>
                <w:sz w:val="12"/>
              </w:rPr>
            </w:pPr>
          </w:p>
        </w:tc>
        <w:tc>
          <w:tcPr>
            <w:tcW w:w="463" w:type="dxa"/>
          </w:tcPr>
          <w:p>
            <w:pPr>
              <w:pStyle w:val="TableParagraph"/>
              <w:spacing w:before="47"/>
              <w:jc w:val="left"/>
              <w:rPr>
                <w:sz w:val="14"/>
              </w:rPr>
            </w:pPr>
          </w:p>
          <w:p>
            <w:pPr>
              <w:pStyle w:val="TableParagraph"/>
              <w:spacing w:before="0"/>
              <w:ind w:left="14" w:right="48"/>
              <w:rPr>
                <w:sz w:val="14"/>
              </w:rPr>
            </w:pPr>
            <w:r>
              <w:rPr>
                <w:color w:val="231F20"/>
                <w:spacing w:val="-5"/>
                <w:w w:val="95"/>
                <w:sz w:val="14"/>
              </w:rPr>
              <w:t>2.9</w:t>
            </w:r>
          </w:p>
        </w:tc>
        <w:tc>
          <w:tcPr>
            <w:tcW w:w="574" w:type="dxa"/>
          </w:tcPr>
          <w:p>
            <w:pPr>
              <w:pStyle w:val="TableParagraph"/>
              <w:spacing w:before="47"/>
              <w:jc w:val="left"/>
              <w:rPr>
                <w:sz w:val="14"/>
              </w:rPr>
            </w:pPr>
          </w:p>
          <w:p>
            <w:pPr>
              <w:pStyle w:val="TableParagraph"/>
              <w:spacing w:before="0"/>
              <w:ind w:left="161" w:right="67"/>
              <w:rPr>
                <w:sz w:val="14"/>
              </w:rPr>
            </w:pPr>
            <w:r>
              <w:rPr>
                <w:color w:val="231F20"/>
                <w:spacing w:val="-5"/>
                <w:w w:val="95"/>
                <w:sz w:val="14"/>
              </w:rPr>
              <w:t>93</w:t>
            </w:r>
          </w:p>
        </w:tc>
        <w:tc>
          <w:tcPr>
            <w:tcW w:w="126" w:type="dxa"/>
          </w:tcPr>
          <w:p>
            <w:pPr>
              <w:pStyle w:val="TableParagraph"/>
              <w:spacing w:before="0"/>
              <w:jc w:val="left"/>
              <w:rPr>
                <w:rFonts w:ascii="Times New Roman"/>
                <w:sz w:val="12"/>
              </w:rPr>
            </w:pPr>
          </w:p>
        </w:tc>
        <w:tc>
          <w:tcPr>
            <w:tcW w:w="468" w:type="dxa"/>
          </w:tcPr>
          <w:p>
            <w:pPr>
              <w:pStyle w:val="TableParagraph"/>
              <w:spacing w:before="47"/>
              <w:jc w:val="left"/>
              <w:rPr>
                <w:sz w:val="14"/>
              </w:rPr>
            </w:pPr>
          </w:p>
          <w:p>
            <w:pPr>
              <w:pStyle w:val="TableParagraph"/>
              <w:spacing w:before="0"/>
              <w:ind w:left="8" w:right="45"/>
              <w:rPr>
                <w:sz w:val="14"/>
              </w:rPr>
            </w:pPr>
            <w:r>
              <w:rPr>
                <w:color w:val="231F20"/>
                <w:spacing w:val="-5"/>
                <w:w w:val="95"/>
                <w:sz w:val="14"/>
              </w:rPr>
              <w:t>2.5</w:t>
            </w:r>
          </w:p>
        </w:tc>
        <w:tc>
          <w:tcPr>
            <w:tcW w:w="655" w:type="dxa"/>
          </w:tcPr>
          <w:p>
            <w:pPr>
              <w:pStyle w:val="TableParagraph"/>
              <w:spacing w:before="47"/>
              <w:jc w:val="left"/>
              <w:rPr>
                <w:sz w:val="14"/>
              </w:rPr>
            </w:pPr>
          </w:p>
          <w:p>
            <w:pPr>
              <w:pStyle w:val="TableParagraph"/>
              <w:spacing w:before="0"/>
              <w:ind w:left="72" w:right="68"/>
              <w:rPr>
                <w:sz w:val="14"/>
              </w:rPr>
            </w:pPr>
            <w:r>
              <w:rPr>
                <w:color w:val="231F20"/>
                <w:spacing w:val="-5"/>
                <w:w w:val="95"/>
                <w:sz w:val="14"/>
              </w:rPr>
              <w:t>98</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Zimbabwe</w:t>
            </w:r>
          </w:p>
        </w:tc>
        <w:tc>
          <w:tcPr>
            <w:tcW w:w="622" w:type="dxa"/>
            <w:shd w:val="clear" w:color="auto" w:fill="D4E3F5"/>
          </w:tcPr>
          <w:p>
            <w:pPr>
              <w:pStyle w:val="TableParagraph"/>
              <w:ind w:left="67" w:right="101"/>
              <w:rPr>
                <w:sz w:val="14"/>
              </w:rPr>
            </w:pPr>
            <w:r>
              <w:rPr>
                <w:color w:val="231F20"/>
                <w:spacing w:val="-5"/>
                <w:w w:val="95"/>
                <w:sz w:val="14"/>
              </w:rPr>
              <w:t>97</w:t>
            </w:r>
          </w:p>
        </w:tc>
        <w:tc>
          <w:tcPr>
            <w:tcW w:w="644" w:type="dxa"/>
            <w:shd w:val="clear" w:color="auto" w:fill="D4E3F5"/>
          </w:tcPr>
          <w:p>
            <w:pPr>
              <w:pStyle w:val="TableParagraph"/>
              <w:ind w:left="165"/>
              <w:jc w:val="left"/>
              <w:rPr>
                <w:sz w:val="14"/>
              </w:rPr>
            </w:pPr>
            <w:r>
              <w:rPr>
                <w:color w:val="231F20"/>
                <w:spacing w:val="-5"/>
                <w:w w:val="95"/>
                <w:sz w:val="14"/>
              </w:rPr>
              <w:t>2.5</w:t>
            </w:r>
          </w:p>
        </w:tc>
        <w:tc>
          <w:tcPr>
            <w:tcW w:w="480" w:type="dxa"/>
            <w:shd w:val="clear" w:color="auto" w:fill="D4E3F5"/>
          </w:tcPr>
          <w:p>
            <w:pPr>
              <w:pStyle w:val="TableParagraph"/>
              <w:ind w:left="102"/>
              <w:jc w:val="left"/>
              <w:rPr>
                <w:sz w:val="14"/>
              </w:rPr>
            </w:pPr>
            <w:r>
              <w:rPr>
                <w:color w:val="231F20"/>
                <w:spacing w:val="-5"/>
                <w:w w:val="95"/>
                <w:sz w:val="14"/>
              </w:rPr>
              <w:t>2.3</w:t>
            </w:r>
          </w:p>
        </w:tc>
        <w:tc>
          <w:tcPr>
            <w:tcW w:w="582" w:type="dxa"/>
            <w:shd w:val="clear" w:color="auto" w:fill="D4E3F5"/>
          </w:tcPr>
          <w:p>
            <w:pPr>
              <w:pStyle w:val="TableParagraph"/>
              <w:ind w:left="6" w:right="6"/>
              <w:rPr>
                <w:sz w:val="14"/>
              </w:rPr>
            </w:pPr>
            <w:r>
              <w:rPr>
                <w:color w:val="231F20"/>
                <w:spacing w:val="-5"/>
                <w:w w:val="95"/>
                <w:sz w:val="14"/>
              </w:rPr>
              <w:t>2.7</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2.2</w:t>
            </w:r>
          </w:p>
        </w:tc>
        <w:tc>
          <w:tcPr>
            <w:tcW w:w="574" w:type="dxa"/>
            <w:shd w:val="clear" w:color="auto" w:fill="D4E3F5"/>
          </w:tcPr>
          <w:p>
            <w:pPr>
              <w:pStyle w:val="TableParagraph"/>
              <w:ind w:left="161" w:right="130"/>
              <w:rPr>
                <w:sz w:val="14"/>
              </w:rPr>
            </w:pPr>
            <w:r>
              <w:rPr>
                <w:color w:val="231F20"/>
                <w:spacing w:val="-5"/>
                <w:w w:val="95"/>
                <w:sz w:val="14"/>
              </w:rPr>
              <w:t>110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2.4</w:t>
            </w:r>
          </w:p>
        </w:tc>
        <w:tc>
          <w:tcPr>
            <w:tcW w:w="574" w:type="dxa"/>
            <w:shd w:val="clear" w:color="auto" w:fill="D4E3F5"/>
          </w:tcPr>
          <w:p>
            <w:pPr>
              <w:pStyle w:val="TableParagraph"/>
              <w:ind w:left="161" w:right="72"/>
              <w:rPr>
                <w:sz w:val="14"/>
              </w:rPr>
            </w:pPr>
            <w:r>
              <w:rPr>
                <w:color w:val="231F20"/>
                <w:spacing w:val="-5"/>
                <w:w w:val="95"/>
                <w:sz w:val="14"/>
              </w:rPr>
              <w:t>89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2.5</w:t>
            </w:r>
          </w:p>
        </w:tc>
        <w:tc>
          <w:tcPr>
            <w:tcW w:w="574" w:type="dxa"/>
            <w:shd w:val="clear" w:color="auto" w:fill="D4E3F5"/>
          </w:tcPr>
          <w:p>
            <w:pPr>
              <w:pStyle w:val="TableParagraph"/>
              <w:ind w:left="161" w:right="137"/>
              <w:rPr>
                <w:sz w:val="14"/>
              </w:rPr>
            </w:pPr>
            <w:r>
              <w:rPr>
                <w:color w:val="231F20"/>
                <w:spacing w:val="-5"/>
                <w:w w:val="95"/>
                <w:sz w:val="14"/>
              </w:rPr>
              <w:t>102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2.3</w:t>
            </w:r>
          </w:p>
        </w:tc>
        <w:tc>
          <w:tcPr>
            <w:tcW w:w="574" w:type="dxa"/>
            <w:shd w:val="clear" w:color="auto" w:fill="D4E3F5"/>
          </w:tcPr>
          <w:p>
            <w:pPr>
              <w:pStyle w:val="TableParagraph"/>
              <w:ind w:left="161" w:right="125"/>
              <w:rPr>
                <w:sz w:val="14"/>
              </w:rPr>
            </w:pPr>
            <w:r>
              <w:rPr>
                <w:color w:val="231F20"/>
                <w:spacing w:val="-5"/>
                <w:w w:val="95"/>
                <w:sz w:val="14"/>
              </w:rPr>
              <w:t>119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2.8</w:t>
            </w:r>
          </w:p>
        </w:tc>
        <w:tc>
          <w:tcPr>
            <w:tcW w:w="574" w:type="dxa"/>
            <w:shd w:val="clear" w:color="auto" w:fill="D4E3F5"/>
          </w:tcPr>
          <w:p>
            <w:pPr>
              <w:pStyle w:val="TableParagraph"/>
              <w:ind w:left="161" w:right="132"/>
              <w:rPr>
                <w:sz w:val="14"/>
              </w:rPr>
            </w:pPr>
            <w:r>
              <w:rPr>
                <w:color w:val="231F20"/>
                <w:spacing w:val="-5"/>
                <w:w w:val="95"/>
                <w:sz w:val="14"/>
              </w:rPr>
              <w:t>101</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6" w:right="45"/>
              <w:rPr>
                <w:sz w:val="14"/>
              </w:rPr>
            </w:pPr>
            <w:r>
              <w:rPr>
                <w:color w:val="231F20"/>
                <w:spacing w:val="-5"/>
                <w:w w:val="95"/>
                <w:sz w:val="14"/>
              </w:rPr>
              <w:t>2.7</w:t>
            </w:r>
          </w:p>
        </w:tc>
        <w:tc>
          <w:tcPr>
            <w:tcW w:w="655" w:type="dxa"/>
            <w:shd w:val="clear" w:color="auto" w:fill="D4E3F5"/>
          </w:tcPr>
          <w:p>
            <w:pPr>
              <w:pStyle w:val="TableParagraph"/>
              <w:ind w:left="72" w:right="68"/>
              <w:rPr>
                <w:sz w:val="14"/>
              </w:rPr>
            </w:pPr>
            <w:r>
              <w:rPr>
                <w:color w:val="231F20"/>
                <w:spacing w:val="-5"/>
                <w:w w:val="95"/>
                <w:sz w:val="14"/>
              </w:rPr>
              <w:t>87</w:t>
            </w:r>
          </w:p>
        </w:tc>
      </w:tr>
      <w:tr>
        <w:trPr>
          <w:trHeight w:val="259" w:hRule="atLeast"/>
        </w:trPr>
        <w:tc>
          <w:tcPr>
            <w:tcW w:w="990" w:type="dxa"/>
          </w:tcPr>
          <w:p>
            <w:pPr>
              <w:pStyle w:val="TableParagraph"/>
              <w:ind w:left="80"/>
              <w:jc w:val="left"/>
              <w:rPr>
                <w:sz w:val="14"/>
              </w:rPr>
            </w:pPr>
            <w:r>
              <w:rPr>
                <w:color w:val="231F20"/>
                <w:spacing w:val="-2"/>
                <w:w w:val="90"/>
                <w:sz w:val="14"/>
              </w:rPr>
              <w:t>Bolivia</w:t>
            </w:r>
          </w:p>
        </w:tc>
        <w:tc>
          <w:tcPr>
            <w:tcW w:w="622" w:type="dxa"/>
          </w:tcPr>
          <w:p>
            <w:pPr>
              <w:pStyle w:val="TableParagraph"/>
              <w:ind w:left="30" w:right="120"/>
              <w:rPr>
                <w:sz w:val="14"/>
              </w:rPr>
            </w:pPr>
            <w:r>
              <w:rPr>
                <w:color w:val="231F20"/>
                <w:spacing w:val="-5"/>
                <w:w w:val="95"/>
                <w:sz w:val="14"/>
              </w:rPr>
              <w:t>115</w:t>
            </w:r>
          </w:p>
        </w:tc>
        <w:tc>
          <w:tcPr>
            <w:tcW w:w="644" w:type="dxa"/>
          </w:tcPr>
          <w:p>
            <w:pPr>
              <w:pStyle w:val="TableParagraph"/>
              <w:ind w:left="166"/>
              <w:jc w:val="left"/>
              <w:rPr>
                <w:sz w:val="14"/>
              </w:rPr>
            </w:pPr>
            <w:r>
              <w:rPr>
                <w:color w:val="231F20"/>
                <w:spacing w:val="-5"/>
                <w:w w:val="95"/>
                <w:sz w:val="14"/>
              </w:rPr>
              <w:t>2.4</w:t>
            </w:r>
          </w:p>
        </w:tc>
        <w:tc>
          <w:tcPr>
            <w:tcW w:w="480" w:type="dxa"/>
          </w:tcPr>
          <w:p>
            <w:pPr>
              <w:pStyle w:val="TableParagraph"/>
              <w:ind w:left="102"/>
              <w:jc w:val="left"/>
              <w:rPr>
                <w:sz w:val="14"/>
              </w:rPr>
            </w:pPr>
            <w:r>
              <w:rPr>
                <w:color w:val="231F20"/>
                <w:spacing w:val="-5"/>
                <w:w w:val="95"/>
                <w:sz w:val="14"/>
              </w:rPr>
              <w:t>2.2</w:t>
            </w:r>
          </w:p>
        </w:tc>
        <w:tc>
          <w:tcPr>
            <w:tcW w:w="582" w:type="dxa"/>
          </w:tcPr>
          <w:p>
            <w:pPr>
              <w:pStyle w:val="TableParagraph"/>
              <w:ind w:left="6" w:right="6"/>
              <w:rPr>
                <w:sz w:val="14"/>
              </w:rPr>
            </w:pPr>
            <w:r>
              <w:rPr>
                <w:color w:val="231F20"/>
                <w:spacing w:val="-5"/>
                <w:w w:val="95"/>
                <w:sz w:val="14"/>
              </w:rPr>
              <w:t>2.6</w:t>
            </w:r>
          </w:p>
        </w:tc>
        <w:tc>
          <w:tcPr>
            <w:tcW w:w="80" w:type="dxa"/>
          </w:tcPr>
          <w:p>
            <w:pPr>
              <w:pStyle w:val="TableParagraph"/>
              <w:spacing w:before="0"/>
              <w:jc w:val="left"/>
              <w:rPr>
                <w:rFonts w:ascii="Times New Roman"/>
                <w:sz w:val="12"/>
              </w:rPr>
            </w:pPr>
          </w:p>
        </w:tc>
        <w:tc>
          <w:tcPr>
            <w:tcW w:w="463" w:type="dxa"/>
          </w:tcPr>
          <w:p>
            <w:pPr>
              <w:pStyle w:val="TableParagraph"/>
              <w:ind w:right="48"/>
              <w:rPr>
                <w:sz w:val="14"/>
              </w:rPr>
            </w:pPr>
            <w:r>
              <w:rPr>
                <w:color w:val="231F20"/>
                <w:spacing w:val="-5"/>
                <w:w w:val="95"/>
                <w:sz w:val="14"/>
              </w:rPr>
              <w:t>2.1</w:t>
            </w:r>
          </w:p>
        </w:tc>
        <w:tc>
          <w:tcPr>
            <w:tcW w:w="574" w:type="dxa"/>
          </w:tcPr>
          <w:p>
            <w:pPr>
              <w:pStyle w:val="TableParagraph"/>
              <w:ind w:left="161" w:right="139"/>
              <w:rPr>
                <w:sz w:val="14"/>
              </w:rPr>
            </w:pPr>
            <w:r>
              <w:rPr>
                <w:color w:val="231F20"/>
                <w:spacing w:val="-5"/>
                <w:w w:val="95"/>
                <w:sz w:val="14"/>
              </w:rPr>
              <w:t>120</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2.4</w:t>
            </w:r>
          </w:p>
        </w:tc>
        <w:tc>
          <w:tcPr>
            <w:tcW w:w="574" w:type="dxa"/>
          </w:tcPr>
          <w:p>
            <w:pPr>
              <w:pStyle w:val="TableParagraph"/>
              <w:ind w:left="161" w:right="72"/>
              <w:rPr>
                <w:sz w:val="14"/>
              </w:rPr>
            </w:pPr>
            <w:r>
              <w:rPr>
                <w:color w:val="231F20"/>
                <w:spacing w:val="-5"/>
                <w:w w:val="95"/>
                <w:sz w:val="14"/>
              </w:rPr>
              <w:t>89</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2.5</w:t>
            </w:r>
          </w:p>
        </w:tc>
        <w:tc>
          <w:tcPr>
            <w:tcW w:w="574" w:type="dxa"/>
          </w:tcPr>
          <w:p>
            <w:pPr>
              <w:pStyle w:val="TableParagraph"/>
              <w:ind w:left="161" w:right="137"/>
              <w:rPr>
                <w:sz w:val="14"/>
              </w:rPr>
            </w:pPr>
            <w:r>
              <w:rPr>
                <w:color w:val="231F20"/>
                <w:spacing w:val="-5"/>
                <w:w w:val="95"/>
                <w:sz w:val="14"/>
              </w:rPr>
              <w:t>102</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2.4</w:t>
            </w:r>
          </w:p>
        </w:tc>
        <w:tc>
          <w:tcPr>
            <w:tcW w:w="574" w:type="dxa"/>
          </w:tcPr>
          <w:p>
            <w:pPr>
              <w:pStyle w:val="TableParagraph"/>
              <w:ind w:left="161" w:right="125"/>
              <w:rPr>
                <w:sz w:val="14"/>
              </w:rPr>
            </w:pPr>
            <w:r>
              <w:rPr>
                <w:color w:val="231F20"/>
                <w:spacing w:val="-5"/>
                <w:w w:val="95"/>
                <w:sz w:val="14"/>
              </w:rPr>
              <w:t>110</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2.4</w:t>
            </w:r>
          </w:p>
        </w:tc>
        <w:tc>
          <w:tcPr>
            <w:tcW w:w="574" w:type="dxa"/>
          </w:tcPr>
          <w:p>
            <w:pPr>
              <w:pStyle w:val="TableParagraph"/>
              <w:ind w:left="161" w:right="133"/>
              <w:rPr>
                <w:sz w:val="14"/>
              </w:rPr>
            </w:pPr>
            <w:r>
              <w:rPr>
                <w:color w:val="231F20"/>
                <w:spacing w:val="-5"/>
                <w:w w:val="95"/>
                <w:sz w:val="14"/>
              </w:rPr>
              <w:t>129</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2.5</w:t>
            </w:r>
          </w:p>
        </w:tc>
        <w:tc>
          <w:tcPr>
            <w:tcW w:w="655" w:type="dxa"/>
          </w:tcPr>
          <w:p>
            <w:pPr>
              <w:pStyle w:val="TableParagraph"/>
              <w:ind w:left="72" w:right="68"/>
              <w:rPr>
                <w:sz w:val="14"/>
              </w:rPr>
            </w:pPr>
            <w:r>
              <w:rPr>
                <w:color w:val="231F20"/>
                <w:spacing w:val="-5"/>
                <w:w w:val="95"/>
                <w:sz w:val="14"/>
              </w:rPr>
              <w:t>98</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Cambodia</w:t>
            </w:r>
          </w:p>
        </w:tc>
        <w:tc>
          <w:tcPr>
            <w:tcW w:w="622" w:type="dxa"/>
            <w:shd w:val="clear" w:color="auto" w:fill="D4E3F5"/>
          </w:tcPr>
          <w:p>
            <w:pPr>
              <w:pStyle w:val="TableParagraph"/>
              <w:ind w:left="30" w:right="120"/>
              <w:rPr>
                <w:sz w:val="14"/>
              </w:rPr>
            </w:pPr>
            <w:r>
              <w:rPr>
                <w:color w:val="231F20"/>
                <w:spacing w:val="-5"/>
                <w:w w:val="95"/>
                <w:sz w:val="14"/>
              </w:rPr>
              <w:t>115</w:t>
            </w:r>
          </w:p>
        </w:tc>
        <w:tc>
          <w:tcPr>
            <w:tcW w:w="644" w:type="dxa"/>
            <w:shd w:val="clear" w:color="auto" w:fill="D4E3F5"/>
          </w:tcPr>
          <w:p>
            <w:pPr>
              <w:pStyle w:val="TableParagraph"/>
              <w:ind w:left="166"/>
              <w:jc w:val="left"/>
              <w:rPr>
                <w:sz w:val="14"/>
              </w:rPr>
            </w:pPr>
            <w:r>
              <w:rPr>
                <w:color w:val="231F20"/>
                <w:spacing w:val="-5"/>
                <w:w w:val="95"/>
                <w:sz w:val="14"/>
              </w:rPr>
              <w:t>2.4</w:t>
            </w:r>
          </w:p>
        </w:tc>
        <w:tc>
          <w:tcPr>
            <w:tcW w:w="480" w:type="dxa"/>
            <w:shd w:val="clear" w:color="auto" w:fill="D4E3F5"/>
          </w:tcPr>
          <w:p>
            <w:pPr>
              <w:pStyle w:val="TableParagraph"/>
              <w:ind w:left="103"/>
              <w:jc w:val="left"/>
              <w:rPr>
                <w:sz w:val="14"/>
              </w:rPr>
            </w:pPr>
            <w:r>
              <w:rPr>
                <w:color w:val="231F20"/>
                <w:spacing w:val="-5"/>
                <w:w w:val="95"/>
                <w:sz w:val="14"/>
              </w:rPr>
              <w:t>2.0</w:t>
            </w:r>
          </w:p>
        </w:tc>
        <w:tc>
          <w:tcPr>
            <w:tcW w:w="582" w:type="dxa"/>
            <w:shd w:val="clear" w:color="auto" w:fill="D4E3F5"/>
          </w:tcPr>
          <w:p>
            <w:pPr>
              <w:pStyle w:val="TableParagraph"/>
              <w:ind w:left="6" w:right="6"/>
              <w:rPr>
                <w:sz w:val="14"/>
              </w:rPr>
            </w:pPr>
            <w:r>
              <w:rPr>
                <w:color w:val="231F20"/>
                <w:spacing w:val="-5"/>
                <w:w w:val="95"/>
                <w:sz w:val="14"/>
              </w:rPr>
              <w:t>2.8</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2.2</w:t>
            </w:r>
          </w:p>
        </w:tc>
        <w:tc>
          <w:tcPr>
            <w:tcW w:w="574" w:type="dxa"/>
            <w:shd w:val="clear" w:color="auto" w:fill="D4E3F5"/>
          </w:tcPr>
          <w:p>
            <w:pPr>
              <w:pStyle w:val="TableParagraph"/>
              <w:ind w:left="161" w:right="130"/>
              <w:rPr>
                <w:sz w:val="14"/>
              </w:rPr>
            </w:pPr>
            <w:r>
              <w:rPr>
                <w:color w:val="231F20"/>
                <w:spacing w:val="-5"/>
                <w:w w:val="95"/>
                <w:sz w:val="14"/>
              </w:rPr>
              <w:t>110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2" w:right="48"/>
              <w:rPr>
                <w:sz w:val="14"/>
              </w:rPr>
            </w:pPr>
            <w:r>
              <w:rPr>
                <w:color w:val="231F20"/>
                <w:spacing w:val="-5"/>
                <w:w w:val="95"/>
                <w:sz w:val="14"/>
              </w:rPr>
              <w:t>2.1</w:t>
            </w:r>
          </w:p>
        </w:tc>
        <w:tc>
          <w:tcPr>
            <w:tcW w:w="574" w:type="dxa"/>
            <w:shd w:val="clear" w:color="auto" w:fill="D4E3F5"/>
          </w:tcPr>
          <w:p>
            <w:pPr>
              <w:pStyle w:val="TableParagraph"/>
              <w:ind w:left="161" w:right="136"/>
              <w:rPr>
                <w:sz w:val="14"/>
              </w:rPr>
            </w:pPr>
            <w:r>
              <w:rPr>
                <w:color w:val="231F20"/>
                <w:spacing w:val="-5"/>
                <w:w w:val="95"/>
                <w:sz w:val="14"/>
              </w:rPr>
              <w:t>125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2.3</w:t>
            </w:r>
          </w:p>
        </w:tc>
        <w:tc>
          <w:tcPr>
            <w:tcW w:w="574" w:type="dxa"/>
            <w:shd w:val="clear" w:color="auto" w:fill="D4E3F5"/>
          </w:tcPr>
          <w:p>
            <w:pPr>
              <w:pStyle w:val="TableParagraph"/>
              <w:ind w:left="161" w:right="134"/>
              <w:rPr>
                <w:sz w:val="14"/>
              </w:rPr>
            </w:pPr>
            <w:r>
              <w:rPr>
                <w:color w:val="231F20"/>
                <w:spacing w:val="-5"/>
                <w:w w:val="95"/>
                <w:sz w:val="14"/>
              </w:rPr>
              <w:t>121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2.4</w:t>
            </w:r>
          </w:p>
        </w:tc>
        <w:tc>
          <w:tcPr>
            <w:tcW w:w="574" w:type="dxa"/>
            <w:shd w:val="clear" w:color="auto" w:fill="D4E3F5"/>
          </w:tcPr>
          <w:p>
            <w:pPr>
              <w:pStyle w:val="TableParagraph"/>
              <w:ind w:left="161" w:right="125"/>
              <w:rPr>
                <w:sz w:val="14"/>
              </w:rPr>
            </w:pPr>
            <w:r>
              <w:rPr>
                <w:color w:val="231F20"/>
                <w:spacing w:val="-5"/>
                <w:w w:val="95"/>
                <w:sz w:val="14"/>
              </w:rPr>
              <w:t>110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2.7</w:t>
            </w:r>
          </w:p>
        </w:tc>
        <w:tc>
          <w:tcPr>
            <w:tcW w:w="574" w:type="dxa"/>
            <w:shd w:val="clear" w:color="auto" w:fill="D4E3F5"/>
          </w:tcPr>
          <w:p>
            <w:pPr>
              <w:pStyle w:val="TableParagraph"/>
              <w:ind w:left="161" w:right="135"/>
              <w:rPr>
                <w:sz w:val="14"/>
              </w:rPr>
            </w:pPr>
            <w:r>
              <w:rPr>
                <w:color w:val="231F20"/>
                <w:spacing w:val="-5"/>
                <w:w w:val="95"/>
                <w:sz w:val="14"/>
              </w:rPr>
              <w:t>109</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2.8</w:t>
            </w:r>
          </w:p>
        </w:tc>
        <w:tc>
          <w:tcPr>
            <w:tcW w:w="655" w:type="dxa"/>
            <w:shd w:val="clear" w:color="auto" w:fill="D4E3F5"/>
          </w:tcPr>
          <w:p>
            <w:pPr>
              <w:pStyle w:val="TableParagraph"/>
              <w:ind w:left="72" w:right="68"/>
              <w:rPr>
                <w:sz w:val="14"/>
              </w:rPr>
            </w:pPr>
            <w:r>
              <w:rPr>
                <w:color w:val="231F20"/>
                <w:spacing w:val="-5"/>
                <w:w w:val="95"/>
                <w:sz w:val="14"/>
              </w:rPr>
              <w:t>80</w:t>
            </w:r>
          </w:p>
        </w:tc>
      </w:tr>
      <w:tr>
        <w:trPr>
          <w:trHeight w:val="259" w:hRule="atLeast"/>
        </w:trPr>
        <w:tc>
          <w:tcPr>
            <w:tcW w:w="990" w:type="dxa"/>
          </w:tcPr>
          <w:p>
            <w:pPr>
              <w:pStyle w:val="TableParagraph"/>
              <w:ind w:left="80"/>
              <w:jc w:val="left"/>
              <w:rPr>
                <w:sz w:val="14"/>
              </w:rPr>
            </w:pPr>
            <w:r>
              <w:rPr>
                <w:color w:val="231F20"/>
                <w:spacing w:val="-2"/>
                <w:w w:val="85"/>
                <w:sz w:val="14"/>
              </w:rPr>
              <w:t>Gabon</w:t>
            </w:r>
          </w:p>
        </w:tc>
        <w:tc>
          <w:tcPr>
            <w:tcW w:w="622" w:type="dxa"/>
          </w:tcPr>
          <w:p>
            <w:pPr>
              <w:pStyle w:val="TableParagraph"/>
              <w:ind w:left="30" w:right="120"/>
              <w:rPr>
                <w:sz w:val="14"/>
              </w:rPr>
            </w:pPr>
            <w:r>
              <w:rPr>
                <w:color w:val="231F20"/>
                <w:spacing w:val="-5"/>
                <w:w w:val="95"/>
                <w:sz w:val="14"/>
              </w:rPr>
              <w:t>115</w:t>
            </w:r>
          </w:p>
        </w:tc>
        <w:tc>
          <w:tcPr>
            <w:tcW w:w="644" w:type="dxa"/>
          </w:tcPr>
          <w:p>
            <w:pPr>
              <w:pStyle w:val="TableParagraph"/>
              <w:ind w:left="166"/>
              <w:jc w:val="left"/>
              <w:rPr>
                <w:sz w:val="14"/>
              </w:rPr>
            </w:pPr>
            <w:r>
              <w:rPr>
                <w:color w:val="231F20"/>
                <w:spacing w:val="-5"/>
                <w:w w:val="95"/>
                <w:sz w:val="14"/>
              </w:rPr>
              <w:t>2.4</w:t>
            </w:r>
          </w:p>
        </w:tc>
        <w:tc>
          <w:tcPr>
            <w:tcW w:w="480" w:type="dxa"/>
          </w:tcPr>
          <w:p>
            <w:pPr>
              <w:pStyle w:val="TableParagraph"/>
              <w:ind w:left="103"/>
              <w:jc w:val="left"/>
              <w:rPr>
                <w:sz w:val="14"/>
              </w:rPr>
            </w:pPr>
            <w:r>
              <w:rPr>
                <w:color w:val="231F20"/>
                <w:spacing w:val="-5"/>
                <w:w w:val="95"/>
                <w:sz w:val="14"/>
              </w:rPr>
              <w:t>2.0</w:t>
            </w:r>
          </w:p>
        </w:tc>
        <w:tc>
          <w:tcPr>
            <w:tcW w:w="582" w:type="dxa"/>
          </w:tcPr>
          <w:p>
            <w:pPr>
              <w:pStyle w:val="TableParagraph"/>
              <w:ind w:left="6" w:right="6"/>
              <w:rPr>
                <w:sz w:val="14"/>
              </w:rPr>
            </w:pPr>
            <w:r>
              <w:rPr>
                <w:color w:val="231F20"/>
                <w:spacing w:val="-5"/>
                <w:w w:val="95"/>
                <w:sz w:val="14"/>
              </w:rPr>
              <w:t>2.8</w:t>
            </w:r>
          </w:p>
        </w:tc>
        <w:tc>
          <w:tcPr>
            <w:tcW w:w="80"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2.0</w:t>
            </w:r>
          </w:p>
        </w:tc>
        <w:tc>
          <w:tcPr>
            <w:tcW w:w="574" w:type="dxa"/>
          </w:tcPr>
          <w:p>
            <w:pPr>
              <w:pStyle w:val="TableParagraph"/>
              <w:ind w:left="161" w:right="139"/>
              <w:rPr>
                <w:sz w:val="14"/>
              </w:rPr>
            </w:pPr>
            <w:r>
              <w:rPr>
                <w:color w:val="231F20"/>
                <w:spacing w:val="-5"/>
                <w:w w:val="95"/>
                <w:sz w:val="14"/>
              </w:rPr>
              <w:t>129</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2.2</w:t>
            </w:r>
          </w:p>
        </w:tc>
        <w:tc>
          <w:tcPr>
            <w:tcW w:w="574" w:type="dxa"/>
          </w:tcPr>
          <w:p>
            <w:pPr>
              <w:pStyle w:val="TableParagraph"/>
              <w:ind w:left="161" w:right="128"/>
              <w:rPr>
                <w:sz w:val="14"/>
              </w:rPr>
            </w:pPr>
            <w:r>
              <w:rPr>
                <w:color w:val="231F20"/>
                <w:spacing w:val="-5"/>
                <w:w w:val="95"/>
                <w:sz w:val="14"/>
              </w:rPr>
              <w:t>118</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2.6</w:t>
            </w:r>
          </w:p>
        </w:tc>
        <w:tc>
          <w:tcPr>
            <w:tcW w:w="574" w:type="dxa"/>
          </w:tcPr>
          <w:p>
            <w:pPr>
              <w:pStyle w:val="TableParagraph"/>
              <w:ind w:left="161" w:right="70"/>
              <w:rPr>
                <w:sz w:val="14"/>
              </w:rPr>
            </w:pPr>
            <w:r>
              <w:rPr>
                <w:color w:val="231F20"/>
                <w:spacing w:val="-5"/>
                <w:w w:val="95"/>
                <w:sz w:val="14"/>
              </w:rPr>
              <w:t>91</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2.0</w:t>
            </w:r>
          </w:p>
        </w:tc>
        <w:tc>
          <w:tcPr>
            <w:tcW w:w="574" w:type="dxa"/>
          </w:tcPr>
          <w:p>
            <w:pPr>
              <w:pStyle w:val="TableParagraph"/>
              <w:ind w:left="161" w:right="135"/>
              <w:rPr>
                <w:sz w:val="14"/>
              </w:rPr>
            </w:pPr>
            <w:r>
              <w:rPr>
                <w:color w:val="231F20"/>
                <w:spacing w:val="-5"/>
                <w:w w:val="95"/>
                <w:sz w:val="14"/>
              </w:rPr>
              <w:t>135</w:t>
            </w:r>
          </w:p>
        </w:tc>
        <w:tc>
          <w:tcPr>
            <w:tcW w:w="126" w:type="dxa"/>
          </w:tcPr>
          <w:p>
            <w:pPr>
              <w:pStyle w:val="TableParagraph"/>
              <w:spacing w:before="0"/>
              <w:jc w:val="left"/>
              <w:rPr>
                <w:rFonts w:ascii="Times New Roman"/>
                <w:sz w:val="12"/>
              </w:rPr>
            </w:pPr>
          </w:p>
        </w:tc>
        <w:tc>
          <w:tcPr>
            <w:tcW w:w="463" w:type="dxa"/>
          </w:tcPr>
          <w:p>
            <w:pPr>
              <w:pStyle w:val="TableParagraph"/>
              <w:ind w:left="16" w:right="48"/>
              <w:rPr>
                <w:sz w:val="14"/>
              </w:rPr>
            </w:pPr>
            <w:r>
              <w:rPr>
                <w:color w:val="231F20"/>
                <w:spacing w:val="-5"/>
                <w:w w:val="95"/>
                <w:sz w:val="14"/>
              </w:rPr>
              <w:t>3.0</w:t>
            </w:r>
          </w:p>
        </w:tc>
        <w:tc>
          <w:tcPr>
            <w:tcW w:w="574" w:type="dxa"/>
          </w:tcPr>
          <w:p>
            <w:pPr>
              <w:pStyle w:val="TableParagraph"/>
              <w:ind w:left="161" w:right="67"/>
              <w:rPr>
                <w:sz w:val="14"/>
              </w:rPr>
            </w:pPr>
            <w:r>
              <w:rPr>
                <w:color w:val="231F20"/>
                <w:spacing w:val="-5"/>
                <w:w w:val="95"/>
                <w:sz w:val="14"/>
              </w:rPr>
              <w:t>87</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2.5</w:t>
            </w:r>
          </w:p>
        </w:tc>
        <w:tc>
          <w:tcPr>
            <w:tcW w:w="655" w:type="dxa"/>
          </w:tcPr>
          <w:p>
            <w:pPr>
              <w:pStyle w:val="TableParagraph"/>
              <w:ind w:left="72" w:right="68"/>
              <w:rPr>
                <w:sz w:val="14"/>
              </w:rPr>
            </w:pPr>
            <w:r>
              <w:rPr>
                <w:color w:val="231F20"/>
                <w:spacing w:val="-5"/>
                <w:w w:val="95"/>
                <w:sz w:val="14"/>
              </w:rPr>
              <w:t>98</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Guyana</w:t>
            </w:r>
          </w:p>
        </w:tc>
        <w:tc>
          <w:tcPr>
            <w:tcW w:w="622" w:type="dxa"/>
            <w:shd w:val="clear" w:color="auto" w:fill="D4E3F5"/>
          </w:tcPr>
          <w:p>
            <w:pPr>
              <w:pStyle w:val="TableParagraph"/>
              <w:ind w:left="30" w:right="120"/>
              <w:rPr>
                <w:sz w:val="14"/>
              </w:rPr>
            </w:pPr>
            <w:r>
              <w:rPr>
                <w:color w:val="231F20"/>
                <w:spacing w:val="-5"/>
                <w:w w:val="95"/>
                <w:sz w:val="14"/>
              </w:rPr>
              <w:t>115</w:t>
            </w:r>
          </w:p>
        </w:tc>
        <w:tc>
          <w:tcPr>
            <w:tcW w:w="644" w:type="dxa"/>
            <w:shd w:val="clear" w:color="auto" w:fill="D4E3F5"/>
          </w:tcPr>
          <w:p>
            <w:pPr>
              <w:pStyle w:val="TableParagraph"/>
              <w:ind w:left="166"/>
              <w:jc w:val="left"/>
              <w:rPr>
                <w:sz w:val="14"/>
              </w:rPr>
            </w:pPr>
            <w:r>
              <w:rPr>
                <w:color w:val="231F20"/>
                <w:spacing w:val="-5"/>
                <w:w w:val="95"/>
                <w:sz w:val="14"/>
              </w:rPr>
              <w:t>2.4</w:t>
            </w:r>
          </w:p>
        </w:tc>
        <w:tc>
          <w:tcPr>
            <w:tcW w:w="480" w:type="dxa"/>
            <w:shd w:val="clear" w:color="auto" w:fill="D4E3F5"/>
          </w:tcPr>
          <w:p>
            <w:pPr>
              <w:pStyle w:val="TableParagraph"/>
              <w:ind w:left="102"/>
              <w:jc w:val="left"/>
              <w:rPr>
                <w:sz w:val="14"/>
              </w:rPr>
            </w:pPr>
            <w:r>
              <w:rPr>
                <w:color w:val="231F20"/>
                <w:spacing w:val="-5"/>
                <w:w w:val="95"/>
                <w:sz w:val="14"/>
              </w:rPr>
              <w:t>2.2</w:t>
            </w:r>
          </w:p>
        </w:tc>
        <w:tc>
          <w:tcPr>
            <w:tcW w:w="582" w:type="dxa"/>
            <w:shd w:val="clear" w:color="auto" w:fill="D4E3F5"/>
          </w:tcPr>
          <w:p>
            <w:pPr>
              <w:pStyle w:val="TableParagraph"/>
              <w:ind w:left="6" w:right="6"/>
              <w:rPr>
                <w:sz w:val="14"/>
              </w:rPr>
            </w:pPr>
            <w:r>
              <w:rPr>
                <w:color w:val="231F20"/>
                <w:spacing w:val="-5"/>
                <w:w w:val="95"/>
                <w:sz w:val="14"/>
              </w:rPr>
              <w:t>2.6</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2.3</w:t>
            </w:r>
          </w:p>
        </w:tc>
        <w:tc>
          <w:tcPr>
            <w:tcW w:w="574" w:type="dxa"/>
            <w:shd w:val="clear" w:color="auto" w:fill="D4E3F5"/>
          </w:tcPr>
          <w:p>
            <w:pPr>
              <w:pStyle w:val="TableParagraph"/>
              <w:ind w:left="161" w:right="138"/>
              <w:rPr>
                <w:sz w:val="14"/>
              </w:rPr>
            </w:pPr>
            <w:r>
              <w:rPr>
                <w:color w:val="231F20"/>
                <w:spacing w:val="-5"/>
                <w:w w:val="95"/>
                <w:sz w:val="14"/>
              </w:rPr>
              <w:t>101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2.4</w:t>
            </w:r>
          </w:p>
        </w:tc>
        <w:tc>
          <w:tcPr>
            <w:tcW w:w="574" w:type="dxa"/>
            <w:shd w:val="clear" w:color="auto" w:fill="D4E3F5"/>
          </w:tcPr>
          <w:p>
            <w:pPr>
              <w:pStyle w:val="TableParagraph"/>
              <w:ind w:left="161" w:right="72"/>
              <w:rPr>
                <w:sz w:val="14"/>
              </w:rPr>
            </w:pPr>
            <w:r>
              <w:rPr>
                <w:color w:val="231F20"/>
                <w:spacing w:val="-5"/>
                <w:w w:val="95"/>
                <w:sz w:val="14"/>
              </w:rPr>
              <w:t>89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3" w:right="48"/>
              <w:rPr>
                <w:sz w:val="14"/>
              </w:rPr>
            </w:pPr>
            <w:r>
              <w:rPr>
                <w:color w:val="231F20"/>
                <w:spacing w:val="-5"/>
                <w:w w:val="95"/>
                <w:sz w:val="14"/>
              </w:rPr>
              <w:t>2.1</w:t>
            </w:r>
          </w:p>
        </w:tc>
        <w:tc>
          <w:tcPr>
            <w:tcW w:w="574" w:type="dxa"/>
            <w:shd w:val="clear" w:color="auto" w:fill="D4E3F5"/>
          </w:tcPr>
          <w:p>
            <w:pPr>
              <w:pStyle w:val="TableParagraph"/>
              <w:ind w:left="161" w:right="135"/>
              <w:rPr>
                <w:sz w:val="14"/>
              </w:rPr>
            </w:pPr>
            <w:r>
              <w:rPr>
                <w:color w:val="231F20"/>
                <w:spacing w:val="-5"/>
                <w:w w:val="95"/>
                <w:sz w:val="14"/>
              </w:rPr>
              <w:t>132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2.6</w:t>
            </w:r>
          </w:p>
        </w:tc>
        <w:tc>
          <w:tcPr>
            <w:tcW w:w="574" w:type="dxa"/>
            <w:shd w:val="clear" w:color="auto" w:fill="D4E3F5"/>
          </w:tcPr>
          <w:p>
            <w:pPr>
              <w:pStyle w:val="TableParagraph"/>
              <w:ind w:left="161" w:right="69"/>
              <w:rPr>
                <w:sz w:val="14"/>
              </w:rPr>
            </w:pPr>
            <w:r>
              <w:rPr>
                <w:color w:val="231F20"/>
                <w:spacing w:val="-5"/>
                <w:w w:val="95"/>
                <w:sz w:val="14"/>
              </w:rPr>
              <w:t>92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6" w:right="48"/>
              <w:rPr>
                <w:sz w:val="14"/>
              </w:rPr>
            </w:pPr>
            <w:r>
              <w:rPr>
                <w:color w:val="231F20"/>
                <w:spacing w:val="-5"/>
                <w:w w:val="95"/>
                <w:sz w:val="14"/>
              </w:rPr>
              <w:t>2.6</w:t>
            </w:r>
          </w:p>
        </w:tc>
        <w:tc>
          <w:tcPr>
            <w:tcW w:w="574" w:type="dxa"/>
            <w:shd w:val="clear" w:color="auto" w:fill="D4E3F5"/>
          </w:tcPr>
          <w:p>
            <w:pPr>
              <w:pStyle w:val="TableParagraph"/>
              <w:ind w:left="161" w:right="124"/>
              <w:rPr>
                <w:sz w:val="14"/>
              </w:rPr>
            </w:pPr>
            <w:r>
              <w:rPr>
                <w:color w:val="231F20"/>
                <w:spacing w:val="-5"/>
                <w:w w:val="95"/>
                <w:sz w:val="14"/>
              </w:rPr>
              <w:t>116</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2.2</w:t>
            </w:r>
          </w:p>
        </w:tc>
        <w:tc>
          <w:tcPr>
            <w:tcW w:w="655" w:type="dxa"/>
            <w:shd w:val="clear" w:color="auto" w:fill="D4E3F5"/>
          </w:tcPr>
          <w:p>
            <w:pPr>
              <w:pStyle w:val="TableParagraph"/>
              <w:ind w:left="72" w:right="131"/>
              <w:rPr>
                <w:sz w:val="14"/>
              </w:rPr>
            </w:pPr>
            <w:r>
              <w:rPr>
                <w:color w:val="231F20"/>
                <w:spacing w:val="-5"/>
                <w:w w:val="95"/>
                <w:sz w:val="14"/>
              </w:rPr>
              <w:t>129</w:t>
            </w:r>
          </w:p>
        </w:tc>
      </w:tr>
      <w:tr>
        <w:trPr>
          <w:trHeight w:val="259" w:hRule="atLeast"/>
        </w:trPr>
        <w:tc>
          <w:tcPr>
            <w:tcW w:w="990" w:type="dxa"/>
          </w:tcPr>
          <w:p>
            <w:pPr>
              <w:pStyle w:val="TableParagraph"/>
              <w:ind w:left="80"/>
              <w:jc w:val="left"/>
              <w:rPr>
                <w:sz w:val="14"/>
              </w:rPr>
            </w:pPr>
            <w:r>
              <w:rPr>
                <w:color w:val="231F20"/>
                <w:spacing w:val="-4"/>
                <w:w w:val="85"/>
                <w:sz w:val="14"/>
              </w:rPr>
              <w:t>Iraq</w:t>
            </w:r>
          </w:p>
        </w:tc>
        <w:tc>
          <w:tcPr>
            <w:tcW w:w="622" w:type="dxa"/>
          </w:tcPr>
          <w:p>
            <w:pPr>
              <w:pStyle w:val="TableParagraph"/>
              <w:ind w:left="30" w:right="120"/>
              <w:rPr>
                <w:sz w:val="14"/>
              </w:rPr>
            </w:pPr>
            <w:r>
              <w:rPr>
                <w:color w:val="231F20"/>
                <w:spacing w:val="-5"/>
                <w:w w:val="95"/>
                <w:sz w:val="14"/>
              </w:rPr>
              <w:t>115</w:t>
            </w:r>
          </w:p>
        </w:tc>
        <w:tc>
          <w:tcPr>
            <w:tcW w:w="644" w:type="dxa"/>
          </w:tcPr>
          <w:p>
            <w:pPr>
              <w:pStyle w:val="TableParagraph"/>
              <w:ind w:left="166"/>
              <w:jc w:val="left"/>
              <w:rPr>
                <w:sz w:val="14"/>
              </w:rPr>
            </w:pPr>
            <w:r>
              <w:rPr>
                <w:color w:val="231F20"/>
                <w:spacing w:val="-5"/>
                <w:w w:val="95"/>
                <w:sz w:val="14"/>
              </w:rPr>
              <w:t>2.4</w:t>
            </w:r>
          </w:p>
        </w:tc>
        <w:tc>
          <w:tcPr>
            <w:tcW w:w="480" w:type="dxa"/>
          </w:tcPr>
          <w:p>
            <w:pPr>
              <w:pStyle w:val="TableParagraph"/>
              <w:ind w:left="102"/>
              <w:jc w:val="left"/>
              <w:rPr>
                <w:sz w:val="14"/>
              </w:rPr>
            </w:pPr>
            <w:r>
              <w:rPr>
                <w:color w:val="231F20"/>
                <w:spacing w:val="-5"/>
                <w:w w:val="95"/>
                <w:sz w:val="14"/>
              </w:rPr>
              <w:t>2.2</w:t>
            </w:r>
          </w:p>
        </w:tc>
        <w:tc>
          <w:tcPr>
            <w:tcW w:w="582" w:type="dxa"/>
          </w:tcPr>
          <w:p>
            <w:pPr>
              <w:pStyle w:val="TableParagraph"/>
              <w:ind w:left="6" w:right="6"/>
              <w:rPr>
                <w:sz w:val="14"/>
              </w:rPr>
            </w:pPr>
            <w:r>
              <w:rPr>
                <w:color w:val="231F20"/>
                <w:spacing w:val="-5"/>
                <w:w w:val="95"/>
                <w:sz w:val="14"/>
              </w:rPr>
              <w:t>2.6</w:t>
            </w:r>
          </w:p>
        </w:tc>
        <w:tc>
          <w:tcPr>
            <w:tcW w:w="80" w:type="dxa"/>
          </w:tcPr>
          <w:p>
            <w:pPr>
              <w:pStyle w:val="TableParagraph"/>
              <w:spacing w:before="0"/>
              <w:jc w:val="left"/>
              <w:rPr>
                <w:rFonts w:ascii="Times New Roman"/>
                <w:sz w:val="12"/>
              </w:rPr>
            </w:pPr>
          </w:p>
        </w:tc>
        <w:tc>
          <w:tcPr>
            <w:tcW w:w="463" w:type="dxa"/>
          </w:tcPr>
          <w:p>
            <w:pPr>
              <w:pStyle w:val="TableParagraph"/>
              <w:ind w:right="48"/>
              <w:rPr>
                <w:sz w:val="14"/>
              </w:rPr>
            </w:pPr>
            <w:r>
              <w:rPr>
                <w:color w:val="231F20"/>
                <w:spacing w:val="-5"/>
                <w:w w:val="95"/>
                <w:sz w:val="14"/>
              </w:rPr>
              <w:t>2.1</w:t>
            </w:r>
          </w:p>
        </w:tc>
        <w:tc>
          <w:tcPr>
            <w:tcW w:w="574" w:type="dxa"/>
          </w:tcPr>
          <w:p>
            <w:pPr>
              <w:pStyle w:val="TableParagraph"/>
              <w:ind w:left="161" w:right="139"/>
              <w:rPr>
                <w:sz w:val="14"/>
              </w:rPr>
            </w:pPr>
            <w:r>
              <w:rPr>
                <w:color w:val="231F20"/>
                <w:spacing w:val="-5"/>
                <w:w w:val="95"/>
                <w:sz w:val="14"/>
              </w:rPr>
              <w:t>120</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2.2</w:t>
            </w:r>
          </w:p>
        </w:tc>
        <w:tc>
          <w:tcPr>
            <w:tcW w:w="574" w:type="dxa"/>
          </w:tcPr>
          <w:p>
            <w:pPr>
              <w:pStyle w:val="TableParagraph"/>
              <w:ind w:left="161" w:right="128"/>
              <w:rPr>
                <w:sz w:val="14"/>
              </w:rPr>
            </w:pPr>
            <w:r>
              <w:rPr>
                <w:color w:val="231F20"/>
                <w:spacing w:val="-5"/>
                <w:w w:val="95"/>
                <w:sz w:val="14"/>
              </w:rPr>
              <w:t>118</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2.5</w:t>
            </w:r>
          </w:p>
        </w:tc>
        <w:tc>
          <w:tcPr>
            <w:tcW w:w="574" w:type="dxa"/>
          </w:tcPr>
          <w:p>
            <w:pPr>
              <w:pStyle w:val="TableParagraph"/>
              <w:ind w:left="161" w:right="137"/>
              <w:rPr>
                <w:sz w:val="14"/>
              </w:rPr>
            </w:pPr>
            <w:r>
              <w:rPr>
                <w:color w:val="231F20"/>
                <w:spacing w:val="-5"/>
                <w:w w:val="95"/>
                <w:sz w:val="14"/>
              </w:rPr>
              <w:t>102</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2.2</w:t>
            </w:r>
          </w:p>
        </w:tc>
        <w:tc>
          <w:tcPr>
            <w:tcW w:w="574" w:type="dxa"/>
          </w:tcPr>
          <w:p>
            <w:pPr>
              <w:pStyle w:val="TableParagraph"/>
              <w:ind w:left="161" w:right="134"/>
              <w:rPr>
                <w:sz w:val="14"/>
              </w:rPr>
            </w:pPr>
            <w:r>
              <w:rPr>
                <w:color w:val="231F20"/>
                <w:spacing w:val="-5"/>
                <w:w w:val="95"/>
                <w:sz w:val="14"/>
              </w:rPr>
              <w:t>126</w:t>
            </w:r>
          </w:p>
        </w:tc>
        <w:tc>
          <w:tcPr>
            <w:tcW w:w="126" w:type="dxa"/>
          </w:tcPr>
          <w:p>
            <w:pPr>
              <w:pStyle w:val="TableParagraph"/>
              <w:spacing w:before="0"/>
              <w:jc w:val="left"/>
              <w:rPr>
                <w:rFonts w:ascii="Times New Roman"/>
                <w:sz w:val="12"/>
              </w:rPr>
            </w:pPr>
          </w:p>
        </w:tc>
        <w:tc>
          <w:tcPr>
            <w:tcW w:w="463" w:type="dxa"/>
          </w:tcPr>
          <w:p>
            <w:pPr>
              <w:pStyle w:val="TableParagraph"/>
              <w:ind w:left="16" w:right="48"/>
              <w:rPr>
                <w:sz w:val="14"/>
              </w:rPr>
            </w:pPr>
            <w:r>
              <w:rPr>
                <w:color w:val="231F20"/>
                <w:spacing w:val="-5"/>
                <w:w w:val="95"/>
                <w:sz w:val="14"/>
              </w:rPr>
              <w:t>3.0</w:t>
            </w:r>
          </w:p>
        </w:tc>
        <w:tc>
          <w:tcPr>
            <w:tcW w:w="574" w:type="dxa"/>
          </w:tcPr>
          <w:p>
            <w:pPr>
              <w:pStyle w:val="TableParagraph"/>
              <w:ind w:left="161" w:right="67"/>
              <w:rPr>
                <w:sz w:val="14"/>
              </w:rPr>
            </w:pPr>
            <w:r>
              <w:rPr>
                <w:color w:val="231F20"/>
                <w:spacing w:val="-5"/>
                <w:w w:val="95"/>
                <w:sz w:val="14"/>
              </w:rPr>
              <w:t>87</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2.4</w:t>
            </w:r>
          </w:p>
        </w:tc>
        <w:tc>
          <w:tcPr>
            <w:tcW w:w="655" w:type="dxa"/>
          </w:tcPr>
          <w:p>
            <w:pPr>
              <w:pStyle w:val="TableParagraph"/>
              <w:ind w:left="72" w:right="132"/>
              <w:rPr>
                <w:sz w:val="14"/>
              </w:rPr>
            </w:pPr>
            <w:r>
              <w:rPr>
                <w:color w:val="231F20"/>
                <w:spacing w:val="-5"/>
                <w:w w:val="95"/>
                <w:sz w:val="14"/>
              </w:rPr>
              <w:t>105</w:t>
            </w:r>
          </w:p>
        </w:tc>
      </w:tr>
      <w:tr>
        <w:trPr>
          <w:trHeight w:val="259" w:hRule="atLeast"/>
        </w:trPr>
        <w:tc>
          <w:tcPr>
            <w:tcW w:w="990" w:type="dxa"/>
            <w:shd w:val="clear" w:color="auto" w:fill="D4E3F5"/>
          </w:tcPr>
          <w:p>
            <w:pPr>
              <w:pStyle w:val="TableParagraph"/>
              <w:ind w:left="80"/>
              <w:jc w:val="left"/>
              <w:rPr>
                <w:sz w:val="14"/>
              </w:rPr>
            </w:pPr>
            <w:r>
              <w:rPr>
                <w:color w:val="231F20"/>
                <w:w w:val="75"/>
                <w:sz w:val="14"/>
              </w:rPr>
              <w:t>Lao</w:t>
            </w:r>
            <w:r>
              <w:rPr>
                <w:color w:val="231F20"/>
                <w:spacing w:val="1"/>
                <w:sz w:val="14"/>
              </w:rPr>
              <w:t> </w:t>
            </w:r>
            <w:r>
              <w:rPr>
                <w:color w:val="231F20"/>
                <w:spacing w:val="-5"/>
                <w:w w:val="80"/>
                <w:sz w:val="14"/>
              </w:rPr>
              <w:t>PDR</w:t>
            </w:r>
          </w:p>
        </w:tc>
        <w:tc>
          <w:tcPr>
            <w:tcW w:w="622" w:type="dxa"/>
            <w:shd w:val="clear" w:color="auto" w:fill="D4E3F5"/>
          </w:tcPr>
          <w:p>
            <w:pPr>
              <w:pStyle w:val="TableParagraph"/>
              <w:ind w:left="30" w:right="120"/>
              <w:rPr>
                <w:sz w:val="14"/>
              </w:rPr>
            </w:pPr>
            <w:r>
              <w:rPr>
                <w:color w:val="231F20"/>
                <w:spacing w:val="-5"/>
                <w:w w:val="95"/>
                <w:sz w:val="14"/>
              </w:rPr>
              <w:t>115</w:t>
            </w:r>
          </w:p>
        </w:tc>
        <w:tc>
          <w:tcPr>
            <w:tcW w:w="644" w:type="dxa"/>
            <w:shd w:val="clear" w:color="auto" w:fill="D4E3F5"/>
          </w:tcPr>
          <w:p>
            <w:pPr>
              <w:pStyle w:val="TableParagraph"/>
              <w:ind w:left="166"/>
              <w:jc w:val="left"/>
              <w:rPr>
                <w:sz w:val="14"/>
              </w:rPr>
            </w:pPr>
            <w:r>
              <w:rPr>
                <w:color w:val="231F20"/>
                <w:spacing w:val="-5"/>
                <w:w w:val="95"/>
                <w:sz w:val="14"/>
              </w:rPr>
              <w:t>2.4</w:t>
            </w:r>
          </w:p>
        </w:tc>
        <w:tc>
          <w:tcPr>
            <w:tcW w:w="480" w:type="dxa"/>
            <w:shd w:val="clear" w:color="auto" w:fill="D4E3F5"/>
          </w:tcPr>
          <w:p>
            <w:pPr>
              <w:pStyle w:val="TableParagraph"/>
              <w:ind w:left="108"/>
              <w:jc w:val="left"/>
              <w:rPr>
                <w:sz w:val="14"/>
              </w:rPr>
            </w:pPr>
            <w:r>
              <w:rPr>
                <w:color w:val="231F20"/>
                <w:spacing w:val="-5"/>
                <w:w w:val="95"/>
                <w:sz w:val="14"/>
              </w:rPr>
              <w:t>2.1</w:t>
            </w:r>
          </w:p>
        </w:tc>
        <w:tc>
          <w:tcPr>
            <w:tcW w:w="582" w:type="dxa"/>
            <w:shd w:val="clear" w:color="auto" w:fill="D4E3F5"/>
          </w:tcPr>
          <w:p>
            <w:pPr>
              <w:pStyle w:val="TableParagraph"/>
              <w:ind w:left="6" w:right="6"/>
              <w:rPr>
                <w:sz w:val="14"/>
              </w:rPr>
            </w:pPr>
            <w:r>
              <w:rPr>
                <w:color w:val="231F20"/>
                <w:spacing w:val="-5"/>
                <w:w w:val="95"/>
                <w:sz w:val="14"/>
              </w:rPr>
              <w:t>2.7</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2.3</w:t>
            </w:r>
          </w:p>
        </w:tc>
        <w:tc>
          <w:tcPr>
            <w:tcW w:w="574" w:type="dxa"/>
            <w:shd w:val="clear" w:color="auto" w:fill="D4E3F5"/>
          </w:tcPr>
          <w:p>
            <w:pPr>
              <w:pStyle w:val="TableParagraph"/>
              <w:ind w:left="161" w:right="138"/>
              <w:rPr>
                <w:sz w:val="14"/>
              </w:rPr>
            </w:pPr>
            <w:r>
              <w:rPr>
                <w:color w:val="231F20"/>
                <w:spacing w:val="-5"/>
                <w:w w:val="95"/>
                <w:sz w:val="14"/>
              </w:rPr>
              <w:t>101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2.3</w:t>
            </w:r>
          </w:p>
        </w:tc>
        <w:tc>
          <w:tcPr>
            <w:tcW w:w="574" w:type="dxa"/>
            <w:shd w:val="clear" w:color="auto" w:fill="D4E3F5"/>
          </w:tcPr>
          <w:p>
            <w:pPr>
              <w:pStyle w:val="TableParagraph"/>
              <w:ind w:left="161" w:right="139"/>
              <w:rPr>
                <w:sz w:val="14"/>
              </w:rPr>
            </w:pPr>
            <w:r>
              <w:rPr>
                <w:color w:val="231F20"/>
                <w:spacing w:val="-5"/>
                <w:w w:val="95"/>
                <w:sz w:val="14"/>
              </w:rPr>
              <w:t>108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2.3</w:t>
            </w:r>
          </w:p>
        </w:tc>
        <w:tc>
          <w:tcPr>
            <w:tcW w:w="574" w:type="dxa"/>
            <w:shd w:val="clear" w:color="auto" w:fill="D4E3F5"/>
          </w:tcPr>
          <w:p>
            <w:pPr>
              <w:pStyle w:val="TableParagraph"/>
              <w:ind w:left="161" w:right="134"/>
              <w:rPr>
                <w:sz w:val="14"/>
              </w:rPr>
            </w:pPr>
            <w:r>
              <w:rPr>
                <w:color w:val="231F20"/>
                <w:spacing w:val="-5"/>
                <w:w w:val="95"/>
                <w:sz w:val="14"/>
              </w:rPr>
              <w:t>121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2.4</w:t>
            </w:r>
          </w:p>
        </w:tc>
        <w:tc>
          <w:tcPr>
            <w:tcW w:w="574" w:type="dxa"/>
            <w:shd w:val="clear" w:color="auto" w:fill="D4E3F5"/>
          </w:tcPr>
          <w:p>
            <w:pPr>
              <w:pStyle w:val="TableParagraph"/>
              <w:ind w:left="161" w:right="125"/>
              <w:rPr>
                <w:sz w:val="14"/>
              </w:rPr>
            </w:pPr>
            <w:r>
              <w:rPr>
                <w:color w:val="231F20"/>
                <w:spacing w:val="-5"/>
                <w:w w:val="95"/>
                <w:sz w:val="14"/>
              </w:rPr>
              <w:t>110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2.8</w:t>
            </w:r>
          </w:p>
        </w:tc>
        <w:tc>
          <w:tcPr>
            <w:tcW w:w="574" w:type="dxa"/>
            <w:shd w:val="clear" w:color="auto" w:fill="D4E3F5"/>
          </w:tcPr>
          <w:p>
            <w:pPr>
              <w:pStyle w:val="TableParagraph"/>
              <w:ind w:left="161" w:right="132"/>
              <w:rPr>
                <w:sz w:val="14"/>
              </w:rPr>
            </w:pPr>
            <w:r>
              <w:rPr>
                <w:color w:val="231F20"/>
                <w:spacing w:val="-5"/>
                <w:w w:val="95"/>
                <w:sz w:val="14"/>
              </w:rPr>
              <w:t>101</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2.4</w:t>
            </w:r>
          </w:p>
        </w:tc>
        <w:tc>
          <w:tcPr>
            <w:tcW w:w="655" w:type="dxa"/>
            <w:shd w:val="clear" w:color="auto" w:fill="D4E3F5"/>
          </w:tcPr>
          <w:p>
            <w:pPr>
              <w:pStyle w:val="TableParagraph"/>
              <w:ind w:left="72" w:right="132"/>
              <w:rPr>
                <w:sz w:val="14"/>
              </w:rPr>
            </w:pPr>
            <w:r>
              <w:rPr>
                <w:color w:val="231F20"/>
                <w:spacing w:val="-5"/>
                <w:w w:val="95"/>
                <w:sz w:val="14"/>
              </w:rPr>
              <w:t>105</w:t>
            </w:r>
          </w:p>
        </w:tc>
      </w:tr>
      <w:tr>
        <w:trPr>
          <w:trHeight w:val="259" w:hRule="atLeast"/>
        </w:trPr>
        <w:tc>
          <w:tcPr>
            <w:tcW w:w="990" w:type="dxa"/>
          </w:tcPr>
          <w:p>
            <w:pPr>
              <w:pStyle w:val="TableParagraph"/>
              <w:ind w:left="80"/>
              <w:jc w:val="left"/>
              <w:rPr>
                <w:sz w:val="14"/>
              </w:rPr>
            </w:pPr>
            <w:r>
              <w:rPr>
                <w:color w:val="231F20"/>
                <w:spacing w:val="-2"/>
                <w:w w:val="90"/>
                <w:sz w:val="14"/>
              </w:rPr>
              <w:t>Liberia</w:t>
            </w:r>
          </w:p>
        </w:tc>
        <w:tc>
          <w:tcPr>
            <w:tcW w:w="622" w:type="dxa"/>
          </w:tcPr>
          <w:p>
            <w:pPr>
              <w:pStyle w:val="TableParagraph"/>
              <w:ind w:left="30" w:right="120"/>
              <w:rPr>
                <w:sz w:val="14"/>
              </w:rPr>
            </w:pPr>
            <w:r>
              <w:rPr>
                <w:color w:val="231F20"/>
                <w:spacing w:val="-5"/>
                <w:w w:val="95"/>
                <w:sz w:val="14"/>
              </w:rPr>
              <w:t>115</w:t>
            </w:r>
          </w:p>
        </w:tc>
        <w:tc>
          <w:tcPr>
            <w:tcW w:w="644" w:type="dxa"/>
          </w:tcPr>
          <w:p>
            <w:pPr>
              <w:pStyle w:val="TableParagraph"/>
              <w:ind w:left="166"/>
              <w:jc w:val="left"/>
              <w:rPr>
                <w:sz w:val="14"/>
              </w:rPr>
            </w:pPr>
            <w:r>
              <w:rPr>
                <w:color w:val="231F20"/>
                <w:spacing w:val="-5"/>
                <w:w w:val="95"/>
                <w:sz w:val="14"/>
              </w:rPr>
              <w:t>2.4</w:t>
            </w:r>
          </w:p>
        </w:tc>
        <w:tc>
          <w:tcPr>
            <w:tcW w:w="480" w:type="dxa"/>
          </w:tcPr>
          <w:p>
            <w:pPr>
              <w:pStyle w:val="TableParagraph"/>
              <w:ind w:left="106"/>
              <w:jc w:val="left"/>
              <w:rPr>
                <w:sz w:val="14"/>
              </w:rPr>
            </w:pPr>
            <w:r>
              <w:rPr>
                <w:color w:val="231F20"/>
                <w:spacing w:val="-5"/>
                <w:w w:val="95"/>
                <w:sz w:val="14"/>
              </w:rPr>
              <w:t>1.8</w:t>
            </w:r>
          </w:p>
        </w:tc>
        <w:tc>
          <w:tcPr>
            <w:tcW w:w="582" w:type="dxa"/>
          </w:tcPr>
          <w:p>
            <w:pPr>
              <w:pStyle w:val="TableParagraph"/>
              <w:ind w:left="6" w:right="6"/>
              <w:rPr>
                <w:sz w:val="14"/>
              </w:rPr>
            </w:pPr>
            <w:r>
              <w:rPr>
                <w:color w:val="231F20"/>
                <w:spacing w:val="-5"/>
                <w:w w:val="95"/>
                <w:sz w:val="14"/>
              </w:rPr>
              <w:t>3.0</w:t>
            </w:r>
          </w:p>
        </w:tc>
        <w:tc>
          <w:tcPr>
            <w:tcW w:w="80" w:type="dxa"/>
          </w:tcPr>
          <w:p>
            <w:pPr>
              <w:pStyle w:val="TableParagraph"/>
              <w:spacing w:before="0"/>
              <w:jc w:val="left"/>
              <w:rPr>
                <w:rFonts w:ascii="Times New Roman"/>
                <w:sz w:val="12"/>
              </w:rPr>
            </w:pPr>
          </w:p>
        </w:tc>
        <w:tc>
          <w:tcPr>
            <w:tcW w:w="463" w:type="dxa"/>
          </w:tcPr>
          <w:p>
            <w:pPr>
              <w:pStyle w:val="TableParagraph"/>
              <w:ind w:right="48"/>
              <w:rPr>
                <w:sz w:val="14"/>
              </w:rPr>
            </w:pPr>
            <w:r>
              <w:rPr>
                <w:color w:val="231F20"/>
                <w:spacing w:val="-5"/>
                <w:w w:val="95"/>
                <w:sz w:val="14"/>
              </w:rPr>
              <w:t>2.1</w:t>
            </w:r>
          </w:p>
        </w:tc>
        <w:tc>
          <w:tcPr>
            <w:tcW w:w="574" w:type="dxa"/>
          </w:tcPr>
          <w:p>
            <w:pPr>
              <w:pStyle w:val="TableParagraph"/>
              <w:ind w:left="161" w:right="139"/>
              <w:rPr>
                <w:sz w:val="14"/>
              </w:rPr>
            </w:pPr>
            <w:r>
              <w:rPr>
                <w:color w:val="231F20"/>
                <w:spacing w:val="-5"/>
                <w:w w:val="95"/>
                <w:sz w:val="14"/>
              </w:rPr>
              <w:t>120</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2.4</w:t>
            </w:r>
          </w:p>
        </w:tc>
        <w:tc>
          <w:tcPr>
            <w:tcW w:w="574" w:type="dxa"/>
          </w:tcPr>
          <w:p>
            <w:pPr>
              <w:pStyle w:val="TableParagraph"/>
              <w:ind w:left="161" w:right="72"/>
              <w:rPr>
                <w:sz w:val="14"/>
              </w:rPr>
            </w:pPr>
            <w:r>
              <w:rPr>
                <w:color w:val="231F20"/>
                <w:spacing w:val="-5"/>
                <w:w w:val="95"/>
                <w:sz w:val="14"/>
              </w:rPr>
              <w:t>89</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2.8</w:t>
            </w:r>
          </w:p>
        </w:tc>
        <w:tc>
          <w:tcPr>
            <w:tcW w:w="574" w:type="dxa"/>
          </w:tcPr>
          <w:p>
            <w:pPr>
              <w:pStyle w:val="TableParagraph"/>
              <w:ind w:left="161" w:right="70"/>
              <w:rPr>
                <w:sz w:val="14"/>
              </w:rPr>
            </w:pPr>
            <w:r>
              <w:rPr>
                <w:color w:val="231F20"/>
                <w:spacing w:val="-5"/>
                <w:w w:val="95"/>
                <w:sz w:val="14"/>
              </w:rPr>
              <w:t>75</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2.4</w:t>
            </w:r>
          </w:p>
        </w:tc>
        <w:tc>
          <w:tcPr>
            <w:tcW w:w="574" w:type="dxa"/>
          </w:tcPr>
          <w:p>
            <w:pPr>
              <w:pStyle w:val="TableParagraph"/>
              <w:ind w:left="161" w:right="125"/>
              <w:rPr>
                <w:sz w:val="14"/>
              </w:rPr>
            </w:pPr>
            <w:r>
              <w:rPr>
                <w:color w:val="231F20"/>
                <w:spacing w:val="-5"/>
                <w:w w:val="95"/>
                <w:sz w:val="14"/>
              </w:rPr>
              <w:t>110</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2.3</w:t>
            </w:r>
          </w:p>
        </w:tc>
        <w:tc>
          <w:tcPr>
            <w:tcW w:w="574" w:type="dxa"/>
          </w:tcPr>
          <w:p>
            <w:pPr>
              <w:pStyle w:val="TableParagraph"/>
              <w:ind w:left="161" w:right="134"/>
              <w:rPr>
                <w:sz w:val="14"/>
              </w:rPr>
            </w:pPr>
            <w:r>
              <w:rPr>
                <w:color w:val="231F20"/>
                <w:spacing w:val="-5"/>
                <w:w w:val="95"/>
                <w:sz w:val="14"/>
              </w:rPr>
              <w:t>133</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2.4</w:t>
            </w:r>
          </w:p>
        </w:tc>
        <w:tc>
          <w:tcPr>
            <w:tcW w:w="655" w:type="dxa"/>
          </w:tcPr>
          <w:p>
            <w:pPr>
              <w:pStyle w:val="TableParagraph"/>
              <w:ind w:left="72" w:right="132"/>
              <w:rPr>
                <w:sz w:val="14"/>
              </w:rPr>
            </w:pPr>
            <w:r>
              <w:rPr>
                <w:color w:val="231F20"/>
                <w:spacing w:val="-5"/>
                <w:w w:val="95"/>
                <w:sz w:val="14"/>
              </w:rPr>
              <w:t>105</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Sudan</w:t>
            </w:r>
          </w:p>
        </w:tc>
        <w:tc>
          <w:tcPr>
            <w:tcW w:w="622" w:type="dxa"/>
            <w:shd w:val="clear" w:color="auto" w:fill="D4E3F5"/>
          </w:tcPr>
          <w:p>
            <w:pPr>
              <w:pStyle w:val="TableParagraph"/>
              <w:ind w:left="30" w:right="120"/>
              <w:rPr>
                <w:sz w:val="14"/>
              </w:rPr>
            </w:pPr>
            <w:r>
              <w:rPr>
                <w:color w:val="231F20"/>
                <w:spacing w:val="-5"/>
                <w:w w:val="95"/>
                <w:sz w:val="14"/>
              </w:rPr>
              <w:t>115</w:t>
            </w:r>
          </w:p>
        </w:tc>
        <w:tc>
          <w:tcPr>
            <w:tcW w:w="644" w:type="dxa"/>
            <w:shd w:val="clear" w:color="auto" w:fill="D4E3F5"/>
          </w:tcPr>
          <w:p>
            <w:pPr>
              <w:pStyle w:val="TableParagraph"/>
              <w:ind w:left="166"/>
              <w:jc w:val="left"/>
              <w:rPr>
                <w:sz w:val="14"/>
              </w:rPr>
            </w:pPr>
            <w:r>
              <w:rPr>
                <w:color w:val="231F20"/>
                <w:spacing w:val="-5"/>
                <w:w w:val="95"/>
                <w:sz w:val="14"/>
              </w:rPr>
              <w:t>2.4</w:t>
            </w:r>
          </w:p>
        </w:tc>
        <w:tc>
          <w:tcPr>
            <w:tcW w:w="480" w:type="dxa"/>
            <w:shd w:val="clear" w:color="auto" w:fill="D4E3F5"/>
          </w:tcPr>
          <w:p>
            <w:pPr>
              <w:pStyle w:val="TableParagraph"/>
              <w:ind w:left="102"/>
              <w:jc w:val="left"/>
              <w:rPr>
                <w:sz w:val="14"/>
              </w:rPr>
            </w:pPr>
            <w:r>
              <w:rPr>
                <w:color w:val="231F20"/>
                <w:spacing w:val="-5"/>
                <w:w w:val="95"/>
                <w:sz w:val="14"/>
              </w:rPr>
              <w:t>2.2</w:t>
            </w:r>
          </w:p>
        </w:tc>
        <w:tc>
          <w:tcPr>
            <w:tcW w:w="582" w:type="dxa"/>
            <w:shd w:val="clear" w:color="auto" w:fill="D4E3F5"/>
          </w:tcPr>
          <w:p>
            <w:pPr>
              <w:pStyle w:val="TableParagraph"/>
              <w:ind w:left="6" w:right="6"/>
              <w:rPr>
                <w:sz w:val="14"/>
              </w:rPr>
            </w:pPr>
            <w:r>
              <w:rPr>
                <w:color w:val="231F20"/>
                <w:spacing w:val="-5"/>
                <w:w w:val="95"/>
                <w:sz w:val="14"/>
              </w:rPr>
              <w:t>2.6</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right="48"/>
              <w:rPr>
                <w:sz w:val="14"/>
              </w:rPr>
            </w:pPr>
            <w:r>
              <w:rPr>
                <w:color w:val="231F20"/>
                <w:spacing w:val="-5"/>
                <w:w w:val="95"/>
                <w:sz w:val="14"/>
              </w:rPr>
              <w:t>2.1</w:t>
            </w:r>
          </w:p>
        </w:tc>
        <w:tc>
          <w:tcPr>
            <w:tcW w:w="574" w:type="dxa"/>
            <w:shd w:val="clear" w:color="auto" w:fill="D4E3F5"/>
          </w:tcPr>
          <w:p>
            <w:pPr>
              <w:pStyle w:val="TableParagraph"/>
              <w:ind w:left="161" w:right="139"/>
              <w:rPr>
                <w:sz w:val="14"/>
              </w:rPr>
            </w:pPr>
            <w:r>
              <w:rPr>
                <w:color w:val="231F20"/>
                <w:spacing w:val="-5"/>
                <w:w w:val="95"/>
                <w:sz w:val="14"/>
              </w:rPr>
              <w:t>120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2.3</w:t>
            </w:r>
          </w:p>
        </w:tc>
        <w:tc>
          <w:tcPr>
            <w:tcW w:w="574" w:type="dxa"/>
            <w:shd w:val="clear" w:color="auto" w:fill="D4E3F5"/>
          </w:tcPr>
          <w:p>
            <w:pPr>
              <w:pStyle w:val="TableParagraph"/>
              <w:ind w:left="161" w:right="139"/>
              <w:rPr>
                <w:sz w:val="14"/>
              </w:rPr>
            </w:pPr>
            <w:r>
              <w:rPr>
                <w:color w:val="231F20"/>
                <w:spacing w:val="-5"/>
                <w:w w:val="95"/>
                <w:sz w:val="14"/>
              </w:rPr>
              <w:t>108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2.4</w:t>
            </w:r>
          </w:p>
        </w:tc>
        <w:tc>
          <w:tcPr>
            <w:tcW w:w="574" w:type="dxa"/>
            <w:shd w:val="clear" w:color="auto" w:fill="D4E3F5"/>
          </w:tcPr>
          <w:p>
            <w:pPr>
              <w:pStyle w:val="TableParagraph"/>
              <w:ind w:left="161" w:right="131"/>
              <w:rPr>
                <w:sz w:val="14"/>
              </w:rPr>
            </w:pPr>
            <w:r>
              <w:rPr>
                <w:color w:val="231F20"/>
                <w:spacing w:val="-5"/>
                <w:w w:val="95"/>
                <w:sz w:val="14"/>
              </w:rPr>
              <w:t>111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2.4</w:t>
            </w:r>
          </w:p>
        </w:tc>
        <w:tc>
          <w:tcPr>
            <w:tcW w:w="574" w:type="dxa"/>
            <w:shd w:val="clear" w:color="auto" w:fill="D4E3F5"/>
          </w:tcPr>
          <w:p>
            <w:pPr>
              <w:pStyle w:val="TableParagraph"/>
              <w:ind w:left="161" w:right="125"/>
              <w:rPr>
                <w:sz w:val="14"/>
              </w:rPr>
            </w:pPr>
            <w:r>
              <w:rPr>
                <w:color w:val="231F20"/>
                <w:spacing w:val="-5"/>
                <w:w w:val="95"/>
                <w:sz w:val="14"/>
              </w:rPr>
              <w:t>110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2.7</w:t>
            </w:r>
          </w:p>
        </w:tc>
        <w:tc>
          <w:tcPr>
            <w:tcW w:w="574" w:type="dxa"/>
            <w:shd w:val="clear" w:color="auto" w:fill="D4E3F5"/>
          </w:tcPr>
          <w:p>
            <w:pPr>
              <w:pStyle w:val="TableParagraph"/>
              <w:ind w:left="161" w:right="135"/>
              <w:rPr>
                <w:sz w:val="14"/>
              </w:rPr>
            </w:pPr>
            <w:r>
              <w:rPr>
                <w:color w:val="231F20"/>
                <w:spacing w:val="-5"/>
                <w:w w:val="95"/>
                <w:sz w:val="14"/>
              </w:rPr>
              <w:t>109</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2.3</w:t>
            </w:r>
          </w:p>
        </w:tc>
        <w:tc>
          <w:tcPr>
            <w:tcW w:w="655" w:type="dxa"/>
            <w:shd w:val="clear" w:color="auto" w:fill="D4E3F5"/>
          </w:tcPr>
          <w:p>
            <w:pPr>
              <w:pStyle w:val="TableParagraph"/>
              <w:ind w:left="72" w:right="120"/>
              <w:rPr>
                <w:sz w:val="14"/>
              </w:rPr>
            </w:pPr>
            <w:r>
              <w:rPr>
                <w:color w:val="231F20"/>
                <w:spacing w:val="-5"/>
                <w:w w:val="95"/>
                <w:sz w:val="14"/>
              </w:rPr>
              <w:t>117</w:t>
            </w:r>
          </w:p>
        </w:tc>
      </w:tr>
      <w:tr>
        <w:trPr>
          <w:trHeight w:val="259" w:hRule="atLeast"/>
        </w:trPr>
        <w:tc>
          <w:tcPr>
            <w:tcW w:w="990" w:type="dxa"/>
          </w:tcPr>
          <w:p>
            <w:pPr>
              <w:pStyle w:val="TableParagraph"/>
              <w:ind w:left="80"/>
              <w:jc w:val="left"/>
              <w:rPr>
                <w:sz w:val="14"/>
              </w:rPr>
            </w:pPr>
            <w:r>
              <w:rPr>
                <w:color w:val="231F20"/>
                <w:w w:val="75"/>
                <w:sz w:val="14"/>
              </w:rPr>
              <w:t>Burkina</w:t>
            </w:r>
            <w:r>
              <w:rPr>
                <w:color w:val="231F20"/>
                <w:spacing w:val="20"/>
                <w:sz w:val="14"/>
              </w:rPr>
              <w:t> </w:t>
            </w:r>
            <w:r>
              <w:rPr>
                <w:color w:val="231F20"/>
                <w:spacing w:val="-4"/>
                <w:w w:val="85"/>
                <w:sz w:val="14"/>
              </w:rPr>
              <w:t>Faso</w:t>
            </w:r>
          </w:p>
        </w:tc>
        <w:tc>
          <w:tcPr>
            <w:tcW w:w="622" w:type="dxa"/>
          </w:tcPr>
          <w:p>
            <w:pPr>
              <w:pStyle w:val="TableParagraph"/>
              <w:ind w:left="30" w:right="129"/>
              <w:rPr>
                <w:sz w:val="14"/>
              </w:rPr>
            </w:pPr>
            <w:r>
              <w:rPr>
                <w:color w:val="231F20"/>
                <w:spacing w:val="-5"/>
                <w:w w:val="95"/>
                <w:sz w:val="14"/>
              </w:rPr>
              <w:t>123</w:t>
            </w:r>
          </w:p>
        </w:tc>
        <w:tc>
          <w:tcPr>
            <w:tcW w:w="644" w:type="dxa"/>
          </w:tcPr>
          <w:p>
            <w:pPr>
              <w:pStyle w:val="TableParagraph"/>
              <w:ind w:left="165"/>
              <w:jc w:val="left"/>
              <w:rPr>
                <w:sz w:val="14"/>
              </w:rPr>
            </w:pPr>
            <w:r>
              <w:rPr>
                <w:color w:val="231F20"/>
                <w:spacing w:val="-5"/>
                <w:w w:val="95"/>
                <w:sz w:val="14"/>
              </w:rPr>
              <w:t>2.3</w:t>
            </w:r>
          </w:p>
        </w:tc>
        <w:tc>
          <w:tcPr>
            <w:tcW w:w="480" w:type="dxa"/>
          </w:tcPr>
          <w:p>
            <w:pPr>
              <w:pStyle w:val="TableParagraph"/>
              <w:ind w:left="106"/>
              <w:jc w:val="left"/>
              <w:rPr>
                <w:sz w:val="14"/>
              </w:rPr>
            </w:pPr>
            <w:r>
              <w:rPr>
                <w:color w:val="231F20"/>
                <w:spacing w:val="-5"/>
                <w:w w:val="95"/>
                <w:sz w:val="14"/>
              </w:rPr>
              <w:t>1.8</w:t>
            </w:r>
          </w:p>
        </w:tc>
        <w:tc>
          <w:tcPr>
            <w:tcW w:w="582" w:type="dxa"/>
          </w:tcPr>
          <w:p>
            <w:pPr>
              <w:pStyle w:val="TableParagraph"/>
              <w:ind w:left="6" w:right="6"/>
              <w:rPr>
                <w:sz w:val="14"/>
              </w:rPr>
            </w:pPr>
            <w:r>
              <w:rPr>
                <w:color w:val="231F20"/>
                <w:spacing w:val="-5"/>
                <w:w w:val="95"/>
                <w:sz w:val="14"/>
              </w:rPr>
              <w:t>2.8</w:t>
            </w:r>
          </w:p>
        </w:tc>
        <w:tc>
          <w:tcPr>
            <w:tcW w:w="80"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2.0</w:t>
            </w:r>
          </w:p>
        </w:tc>
        <w:tc>
          <w:tcPr>
            <w:tcW w:w="574" w:type="dxa"/>
          </w:tcPr>
          <w:p>
            <w:pPr>
              <w:pStyle w:val="TableParagraph"/>
              <w:ind w:left="161" w:right="139"/>
              <w:rPr>
                <w:sz w:val="14"/>
              </w:rPr>
            </w:pPr>
            <w:r>
              <w:rPr>
                <w:color w:val="231F20"/>
                <w:spacing w:val="-5"/>
                <w:w w:val="95"/>
                <w:sz w:val="14"/>
              </w:rPr>
              <w:t>129</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2.3</w:t>
            </w:r>
          </w:p>
        </w:tc>
        <w:tc>
          <w:tcPr>
            <w:tcW w:w="574" w:type="dxa"/>
          </w:tcPr>
          <w:p>
            <w:pPr>
              <w:pStyle w:val="TableParagraph"/>
              <w:ind w:left="161" w:right="139"/>
              <w:rPr>
                <w:sz w:val="14"/>
              </w:rPr>
            </w:pPr>
            <w:r>
              <w:rPr>
                <w:color w:val="231F20"/>
                <w:spacing w:val="-5"/>
                <w:w w:val="95"/>
                <w:sz w:val="14"/>
              </w:rPr>
              <w:t>108</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2.4</w:t>
            </w:r>
          </w:p>
        </w:tc>
        <w:tc>
          <w:tcPr>
            <w:tcW w:w="574" w:type="dxa"/>
          </w:tcPr>
          <w:p>
            <w:pPr>
              <w:pStyle w:val="TableParagraph"/>
              <w:ind w:left="161" w:right="131"/>
              <w:rPr>
                <w:sz w:val="14"/>
              </w:rPr>
            </w:pPr>
            <w:r>
              <w:rPr>
                <w:color w:val="231F20"/>
                <w:spacing w:val="-5"/>
                <w:w w:val="95"/>
                <w:sz w:val="14"/>
              </w:rPr>
              <w:t>111</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2.4</w:t>
            </w:r>
          </w:p>
        </w:tc>
        <w:tc>
          <w:tcPr>
            <w:tcW w:w="574" w:type="dxa"/>
          </w:tcPr>
          <w:p>
            <w:pPr>
              <w:pStyle w:val="TableParagraph"/>
              <w:ind w:left="161" w:right="125"/>
              <w:rPr>
                <w:sz w:val="14"/>
              </w:rPr>
            </w:pPr>
            <w:r>
              <w:rPr>
                <w:color w:val="231F20"/>
                <w:spacing w:val="-5"/>
                <w:w w:val="95"/>
                <w:sz w:val="14"/>
              </w:rPr>
              <w:t>110</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2.4</w:t>
            </w:r>
          </w:p>
        </w:tc>
        <w:tc>
          <w:tcPr>
            <w:tcW w:w="574" w:type="dxa"/>
          </w:tcPr>
          <w:p>
            <w:pPr>
              <w:pStyle w:val="TableParagraph"/>
              <w:ind w:left="161" w:right="133"/>
              <w:rPr>
                <w:sz w:val="14"/>
              </w:rPr>
            </w:pPr>
            <w:r>
              <w:rPr>
                <w:color w:val="231F20"/>
                <w:spacing w:val="-5"/>
                <w:w w:val="95"/>
                <w:sz w:val="14"/>
              </w:rPr>
              <w:t>129</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2.2</w:t>
            </w:r>
          </w:p>
        </w:tc>
        <w:tc>
          <w:tcPr>
            <w:tcW w:w="655" w:type="dxa"/>
          </w:tcPr>
          <w:p>
            <w:pPr>
              <w:pStyle w:val="TableParagraph"/>
              <w:ind w:left="72" w:right="131"/>
              <w:rPr>
                <w:sz w:val="14"/>
              </w:rPr>
            </w:pPr>
            <w:r>
              <w:rPr>
                <w:color w:val="231F20"/>
                <w:spacing w:val="-5"/>
                <w:w w:val="95"/>
                <w:sz w:val="14"/>
              </w:rPr>
              <w:t>129</w:t>
            </w:r>
          </w:p>
        </w:tc>
      </w:tr>
      <w:tr>
        <w:trPr>
          <w:trHeight w:val="259" w:hRule="atLeast"/>
        </w:trPr>
        <w:tc>
          <w:tcPr>
            <w:tcW w:w="990" w:type="dxa"/>
            <w:shd w:val="clear" w:color="auto" w:fill="D4E3F5"/>
          </w:tcPr>
          <w:p>
            <w:pPr>
              <w:pStyle w:val="TableParagraph"/>
              <w:ind w:left="80"/>
              <w:jc w:val="left"/>
              <w:rPr>
                <w:sz w:val="14"/>
              </w:rPr>
            </w:pPr>
            <w:r>
              <w:rPr>
                <w:color w:val="231F20"/>
                <w:spacing w:val="-4"/>
                <w:w w:val="90"/>
                <w:sz w:val="14"/>
              </w:rPr>
              <w:t>Fiji</w:t>
            </w:r>
          </w:p>
        </w:tc>
        <w:tc>
          <w:tcPr>
            <w:tcW w:w="622" w:type="dxa"/>
            <w:shd w:val="clear" w:color="auto" w:fill="D4E3F5"/>
          </w:tcPr>
          <w:p>
            <w:pPr>
              <w:pStyle w:val="TableParagraph"/>
              <w:ind w:left="30" w:right="129"/>
              <w:rPr>
                <w:sz w:val="14"/>
              </w:rPr>
            </w:pPr>
            <w:r>
              <w:rPr>
                <w:color w:val="231F20"/>
                <w:spacing w:val="-5"/>
                <w:w w:val="95"/>
                <w:sz w:val="14"/>
              </w:rPr>
              <w:t>123</w:t>
            </w:r>
          </w:p>
        </w:tc>
        <w:tc>
          <w:tcPr>
            <w:tcW w:w="644" w:type="dxa"/>
            <w:shd w:val="clear" w:color="auto" w:fill="D4E3F5"/>
          </w:tcPr>
          <w:p>
            <w:pPr>
              <w:pStyle w:val="TableParagraph"/>
              <w:ind w:left="165"/>
              <w:jc w:val="left"/>
              <w:rPr>
                <w:sz w:val="14"/>
              </w:rPr>
            </w:pPr>
            <w:r>
              <w:rPr>
                <w:color w:val="231F20"/>
                <w:spacing w:val="-5"/>
                <w:w w:val="95"/>
                <w:sz w:val="14"/>
              </w:rPr>
              <w:t>2.3</w:t>
            </w:r>
          </w:p>
        </w:tc>
        <w:tc>
          <w:tcPr>
            <w:tcW w:w="480" w:type="dxa"/>
            <w:shd w:val="clear" w:color="auto" w:fill="D4E3F5"/>
          </w:tcPr>
          <w:p>
            <w:pPr>
              <w:pStyle w:val="TableParagraph"/>
              <w:ind w:left="103"/>
              <w:jc w:val="left"/>
              <w:rPr>
                <w:sz w:val="14"/>
              </w:rPr>
            </w:pPr>
            <w:r>
              <w:rPr>
                <w:color w:val="231F20"/>
                <w:spacing w:val="-5"/>
                <w:w w:val="95"/>
                <w:sz w:val="14"/>
              </w:rPr>
              <w:t>2.0</w:t>
            </w:r>
          </w:p>
        </w:tc>
        <w:tc>
          <w:tcPr>
            <w:tcW w:w="582" w:type="dxa"/>
            <w:shd w:val="clear" w:color="auto" w:fill="D4E3F5"/>
          </w:tcPr>
          <w:p>
            <w:pPr>
              <w:pStyle w:val="TableParagraph"/>
              <w:ind w:left="6" w:right="6"/>
              <w:rPr>
                <w:sz w:val="14"/>
              </w:rPr>
            </w:pPr>
            <w:r>
              <w:rPr>
                <w:color w:val="231F20"/>
                <w:spacing w:val="-5"/>
                <w:w w:val="95"/>
                <w:sz w:val="14"/>
              </w:rPr>
              <w:t>2.6</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2.3</w:t>
            </w:r>
          </w:p>
        </w:tc>
        <w:tc>
          <w:tcPr>
            <w:tcW w:w="574" w:type="dxa"/>
            <w:shd w:val="clear" w:color="auto" w:fill="D4E3F5"/>
          </w:tcPr>
          <w:p>
            <w:pPr>
              <w:pStyle w:val="TableParagraph"/>
              <w:ind w:left="161" w:right="138"/>
              <w:rPr>
                <w:sz w:val="14"/>
              </w:rPr>
            </w:pPr>
            <w:r>
              <w:rPr>
                <w:color w:val="231F20"/>
                <w:spacing w:val="-5"/>
                <w:w w:val="95"/>
                <w:sz w:val="14"/>
              </w:rPr>
              <w:t>101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2.2</w:t>
            </w:r>
          </w:p>
        </w:tc>
        <w:tc>
          <w:tcPr>
            <w:tcW w:w="574" w:type="dxa"/>
            <w:shd w:val="clear" w:color="auto" w:fill="D4E3F5"/>
          </w:tcPr>
          <w:p>
            <w:pPr>
              <w:pStyle w:val="TableParagraph"/>
              <w:ind w:left="161" w:right="128"/>
              <w:rPr>
                <w:sz w:val="14"/>
              </w:rPr>
            </w:pPr>
            <w:r>
              <w:rPr>
                <w:color w:val="231F20"/>
                <w:spacing w:val="-5"/>
                <w:w w:val="95"/>
                <w:sz w:val="14"/>
              </w:rPr>
              <w:t>118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2.3</w:t>
            </w:r>
          </w:p>
        </w:tc>
        <w:tc>
          <w:tcPr>
            <w:tcW w:w="574" w:type="dxa"/>
            <w:shd w:val="clear" w:color="auto" w:fill="D4E3F5"/>
          </w:tcPr>
          <w:p>
            <w:pPr>
              <w:pStyle w:val="TableParagraph"/>
              <w:ind w:left="161" w:right="134"/>
              <w:rPr>
                <w:sz w:val="14"/>
              </w:rPr>
            </w:pPr>
            <w:r>
              <w:rPr>
                <w:color w:val="231F20"/>
                <w:spacing w:val="-5"/>
                <w:w w:val="95"/>
                <w:sz w:val="14"/>
              </w:rPr>
              <w:t>121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2.3</w:t>
            </w:r>
          </w:p>
        </w:tc>
        <w:tc>
          <w:tcPr>
            <w:tcW w:w="574" w:type="dxa"/>
            <w:shd w:val="clear" w:color="auto" w:fill="D4E3F5"/>
          </w:tcPr>
          <w:p>
            <w:pPr>
              <w:pStyle w:val="TableParagraph"/>
              <w:ind w:left="161" w:right="125"/>
              <w:rPr>
                <w:sz w:val="14"/>
              </w:rPr>
            </w:pPr>
            <w:r>
              <w:rPr>
                <w:color w:val="231F20"/>
                <w:spacing w:val="-5"/>
                <w:w w:val="95"/>
                <w:sz w:val="14"/>
              </w:rPr>
              <w:t>119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2.3</w:t>
            </w:r>
          </w:p>
        </w:tc>
        <w:tc>
          <w:tcPr>
            <w:tcW w:w="574" w:type="dxa"/>
            <w:shd w:val="clear" w:color="auto" w:fill="D4E3F5"/>
          </w:tcPr>
          <w:p>
            <w:pPr>
              <w:pStyle w:val="TableParagraph"/>
              <w:ind w:left="161" w:right="134"/>
              <w:rPr>
                <w:sz w:val="14"/>
              </w:rPr>
            </w:pPr>
            <w:r>
              <w:rPr>
                <w:color w:val="231F20"/>
                <w:spacing w:val="-5"/>
                <w:w w:val="95"/>
                <w:sz w:val="14"/>
              </w:rPr>
              <w:t>133</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2.2</w:t>
            </w:r>
          </w:p>
        </w:tc>
        <w:tc>
          <w:tcPr>
            <w:tcW w:w="655" w:type="dxa"/>
            <w:shd w:val="clear" w:color="auto" w:fill="D4E3F5"/>
          </w:tcPr>
          <w:p>
            <w:pPr>
              <w:pStyle w:val="TableParagraph"/>
              <w:ind w:left="72" w:right="131"/>
              <w:rPr>
                <w:sz w:val="14"/>
              </w:rPr>
            </w:pPr>
            <w:r>
              <w:rPr>
                <w:color w:val="231F20"/>
                <w:spacing w:val="-5"/>
                <w:w w:val="95"/>
                <w:sz w:val="14"/>
              </w:rPr>
              <w:t>129</w:t>
            </w:r>
          </w:p>
        </w:tc>
      </w:tr>
      <w:tr>
        <w:trPr>
          <w:trHeight w:val="259" w:hRule="atLeast"/>
        </w:trPr>
        <w:tc>
          <w:tcPr>
            <w:tcW w:w="990" w:type="dxa"/>
          </w:tcPr>
          <w:p>
            <w:pPr>
              <w:pStyle w:val="TableParagraph"/>
              <w:ind w:left="80"/>
              <w:jc w:val="left"/>
              <w:rPr>
                <w:sz w:val="14"/>
              </w:rPr>
            </w:pPr>
            <w:r>
              <w:rPr>
                <w:color w:val="231F20"/>
                <w:w w:val="75"/>
                <w:sz w:val="14"/>
              </w:rPr>
              <w:t>Gambia,</w:t>
            </w:r>
            <w:r>
              <w:rPr>
                <w:color w:val="231F20"/>
                <w:spacing w:val="16"/>
                <w:sz w:val="14"/>
              </w:rPr>
              <w:t> </w:t>
            </w:r>
            <w:r>
              <w:rPr>
                <w:color w:val="231F20"/>
                <w:spacing w:val="-5"/>
                <w:w w:val="80"/>
                <w:sz w:val="14"/>
              </w:rPr>
              <w:t>The</w:t>
            </w:r>
          </w:p>
        </w:tc>
        <w:tc>
          <w:tcPr>
            <w:tcW w:w="622" w:type="dxa"/>
          </w:tcPr>
          <w:p>
            <w:pPr>
              <w:pStyle w:val="TableParagraph"/>
              <w:ind w:left="30" w:right="129"/>
              <w:rPr>
                <w:sz w:val="14"/>
              </w:rPr>
            </w:pPr>
            <w:r>
              <w:rPr>
                <w:color w:val="231F20"/>
                <w:spacing w:val="-5"/>
                <w:w w:val="95"/>
                <w:sz w:val="14"/>
              </w:rPr>
              <w:t>123</w:t>
            </w:r>
          </w:p>
        </w:tc>
        <w:tc>
          <w:tcPr>
            <w:tcW w:w="644" w:type="dxa"/>
          </w:tcPr>
          <w:p>
            <w:pPr>
              <w:pStyle w:val="TableParagraph"/>
              <w:ind w:left="165"/>
              <w:jc w:val="left"/>
              <w:rPr>
                <w:sz w:val="14"/>
              </w:rPr>
            </w:pPr>
            <w:r>
              <w:rPr>
                <w:color w:val="231F20"/>
                <w:spacing w:val="-5"/>
                <w:w w:val="95"/>
                <w:sz w:val="14"/>
              </w:rPr>
              <w:t>2.3</w:t>
            </w:r>
          </w:p>
        </w:tc>
        <w:tc>
          <w:tcPr>
            <w:tcW w:w="480" w:type="dxa"/>
          </w:tcPr>
          <w:p>
            <w:pPr>
              <w:pStyle w:val="TableParagraph"/>
              <w:ind w:left="103"/>
              <w:jc w:val="left"/>
              <w:rPr>
                <w:sz w:val="14"/>
              </w:rPr>
            </w:pPr>
            <w:r>
              <w:rPr>
                <w:color w:val="231F20"/>
                <w:spacing w:val="-5"/>
                <w:w w:val="95"/>
                <w:sz w:val="14"/>
              </w:rPr>
              <w:t>2.0</w:t>
            </w:r>
          </w:p>
        </w:tc>
        <w:tc>
          <w:tcPr>
            <w:tcW w:w="582" w:type="dxa"/>
          </w:tcPr>
          <w:p>
            <w:pPr>
              <w:pStyle w:val="TableParagraph"/>
              <w:ind w:left="6" w:right="6"/>
              <w:rPr>
                <w:sz w:val="14"/>
              </w:rPr>
            </w:pPr>
            <w:r>
              <w:rPr>
                <w:color w:val="231F20"/>
                <w:spacing w:val="-5"/>
                <w:w w:val="95"/>
                <w:sz w:val="14"/>
              </w:rPr>
              <w:t>2.6</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1.8</w:t>
            </w:r>
          </w:p>
        </w:tc>
        <w:tc>
          <w:tcPr>
            <w:tcW w:w="574" w:type="dxa"/>
          </w:tcPr>
          <w:p>
            <w:pPr>
              <w:pStyle w:val="TableParagraph"/>
              <w:ind w:left="161" w:right="140"/>
              <w:rPr>
                <w:sz w:val="14"/>
              </w:rPr>
            </w:pPr>
            <w:r>
              <w:rPr>
                <w:color w:val="231F20"/>
                <w:spacing w:val="-5"/>
                <w:w w:val="95"/>
                <w:sz w:val="14"/>
              </w:rPr>
              <w:t>135</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2.3</w:t>
            </w:r>
          </w:p>
        </w:tc>
        <w:tc>
          <w:tcPr>
            <w:tcW w:w="574" w:type="dxa"/>
          </w:tcPr>
          <w:p>
            <w:pPr>
              <w:pStyle w:val="TableParagraph"/>
              <w:ind w:left="161" w:right="139"/>
              <w:rPr>
                <w:sz w:val="14"/>
              </w:rPr>
            </w:pPr>
            <w:r>
              <w:rPr>
                <w:color w:val="231F20"/>
                <w:spacing w:val="-5"/>
                <w:w w:val="95"/>
                <w:sz w:val="14"/>
              </w:rPr>
              <w:t>108</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2.6</w:t>
            </w:r>
          </w:p>
        </w:tc>
        <w:tc>
          <w:tcPr>
            <w:tcW w:w="574" w:type="dxa"/>
          </w:tcPr>
          <w:p>
            <w:pPr>
              <w:pStyle w:val="TableParagraph"/>
              <w:ind w:left="161" w:right="70"/>
              <w:rPr>
                <w:sz w:val="14"/>
              </w:rPr>
            </w:pPr>
            <w:r>
              <w:rPr>
                <w:color w:val="231F20"/>
                <w:spacing w:val="-5"/>
                <w:w w:val="95"/>
                <w:sz w:val="14"/>
              </w:rPr>
              <w:t>91</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2.3</w:t>
            </w:r>
          </w:p>
        </w:tc>
        <w:tc>
          <w:tcPr>
            <w:tcW w:w="574" w:type="dxa"/>
          </w:tcPr>
          <w:p>
            <w:pPr>
              <w:pStyle w:val="TableParagraph"/>
              <w:ind w:left="161" w:right="125"/>
              <w:rPr>
                <w:sz w:val="14"/>
              </w:rPr>
            </w:pPr>
            <w:r>
              <w:rPr>
                <w:color w:val="231F20"/>
                <w:spacing w:val="-5"/>
                <w:w w:val="95"/>
                <w:sz w:val="14"/>
              </w:rPr>
              <w:t>119</w:t>
            </w:r>
          </w:p>
        </w:tc>
        <w:tc>
          <w:tcPr>
            <w:tcW w:w="126" w:type="dxa"/>
          </w:tcPr>
          <w:p>
            <w:pPr>
              <w:pStyle w:val="TableParagraph"/>
              <w:spacing w:before="0"/>
              <w:jc w:val="left"/>
              <w:rPr>
                <w:rFonts w:ascii="Times New Roman"/>
                <w:sz w:val="12"/>
              </w:rPr>
            </w:pPr>
          </w:p>
        </w:tc>
        <w:tc>
          <w:tcPr>
            <w:tcW w:w="463" w:type="dxa"/>
          </w:tcPr>
          <w:p>
            <w:pPr>
              <w:pStyle w:val="TableParagraph"/>
              <w:ind w:left="16" w:right="48"/>
              <w:rPr>
                <w:sz w:val="14"/>
              </w:rPr>
            </w:pPr>
            <w:r>
              <w:rPr>
                <w:color w:val="231F20"/>
                <w:spacing w:val="-5"/>
                <w:w w:val="95"/>
                <w:sz w:val="14"/>
              </w:rPr>
              <w:t>2.6</w:t>
            </w:r>
          </w:p>
        </w:tc>
        <w:tc>
          <w:tcPr>
            <w:tcW w:w="574" w:type="dxa"/>
          </w:tcPr>
          <w:p>
            <w:pPr>
              <w:pStyle w:val="TableParagraph"/>
              <w:ind w:left="161" w:right="124"/>
              <w:rPr>
                <w:sz w:val="14"/>
              </w:rPr>
            </w:pPr>
            <w:r>
              <w:rPr>
                <w:color w:val="231F20"/>
                <w:spacing w:val="-5"/>
                <w:w w:val="95"/>
                <w:sz w:val="14"/>
              </w:rPr>
              <w:t>116</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2.4</w:t>
            </w:r>
          </w:p>
        </w:tc>
        <w:tc>
          <w:tcPr>
            <w:tcW w:w="655" w:type="dxa"/>
          </w:tcPr>
          <w:p>
            <w:pPr>
              <w:pStyle w:val="TableParagraph"/>
              <w:ind w:left="72" w:right="132"/>
              <w:rPr>
                <w:sz w:val="14"/>
              </w:rPr>
            </w:pPr>
            <w:r>
              <w:rPr>
                <w:color w:val="231F20"/>
                <w:spacing w:val="-5"/>
                <w:w w:val="95"/>
                <w:sz w:val="14"/>
              </w:rPr>
              <w:t>105</w:t>
            </w:r>
          </w:p>
        </w:tc>
      </w:tr>
      <w:tr>
        <w:trPr>
          <w:trHeight w:val="259" w:hRule="atLeast"/>
        </w:trPr>
        <w:tc>
          <w:tcPr>
            <w:tcW w:w="990" w:type="dxa"/>
            <w:shd w:val="clear" w:color="auto" w:fill="D4E3F5"/>
          </w:tcPr>
          <w:p>
            <w:pPr>
              <w:pStyle w:val="TableParagraph"/>
              <w:ind w:left="80"/>
              <w:jc w:val="left"/>
              <w:rPr>
                <w:sz w:val="14"/>
              </w:rPr>
            </w:pPr>
            <w:r>
              <w:rPr>
                <w:color w:val="231F20"/>
                <w:w w:val="75"/>
                <w:sz w:val="14"/>
              </w:rPr>
              <w:t>Iran,</w:t>
            </w:r>
            <w:r>
              <w:rPr>
                <w:color w:val="231F20"/>
                <w:spacing w:val="-3"/>
                <w:sz w:val="14"/>
              </w:rPr>
              <w:t> </w:t>
            </w:r>
            <w:r>
              <w:rPr>
                <w:color w:val="231F20"/>
                <w:w w:val="75"/>
                <w:sz w:val="14"/>
              </w:rPr>
              <w:t>Islamic</w:t>
            </w:r>
            <w:r>
              <w:rPr>
                <w:color w:val="231F20"/>
                <w:spacing w:val="-2"/>
                <w:sz w:val="14"/>
              </w:rPr>
              <w:t> </w:t>
            </w:r>
            <w:r>
              <w:rPr>
                <w:color w:val="231F20"/>
                <w:spacing w:val="-4"/>
                <w:w w:val="75"/>
                <w:sz w:val="14"/>
              </w:rPr>
              <w:t>Rep.</w:t>
            </w:r>
          </w:p>
        </w:tc>
        <w:tc>
          <w:tcPr>
            <w:tcW w:w="622" w:type="dxa"/>
            <w:shd w:val="clear" w:color="auto" w:fill="D4E3F5"/>
          </w:tcPr>
          <w:p>
            <w:pPr>
              <w:pStyle w:val="TableParagraph"/>
              <w:ind w:left="30" w:right="129"/>
              <w:rPr>
                <w:sz w:val="14"/>
              </w:rPr>
            </w:pPr>
            <w:r>
              <w:rPr>
                <w:color w:val="231F20"/>
                <w:spacing w:val="-5"/>
                <w:w w:val="95"/>
                <w:sz w:val="14"/>
              </w:rPr>
              <w:t>123</w:t>
            </w:r>
          </w:p>
        </w:tc>
        <w:tc>
          <w:tcPr>
            <w:tcW w:w="644" w:type="dxa"/>
            <w:shd w:val="clear" w:color="auto" w:fill="D4E3F5"/>
          </w:tcPr>
          <w:p>
            <w:pPr>
              <w:pStyle w:val="TableParagraph"/>
              <w:ind w:left="165"/>
              <w:jc w:val="left"/>
              <w:rPr>
                <w:sz w:val="14"/>
              </w:rPr>
            </w:pPr>
            <w:r>
              <w:rPr>
                <w:color w:val="231F20"/>
                <w:spacing w:val="-5"/>
                <w:w w:val="95"/>
                <w:sz w:val="14"/>
              </w:rPr>
              <w:t>2.3</w:t>
            </w:r>
          </w:p>
        </w:tc>
        <w:tc>
          <w:tcPr>
            <w:tcW w:w="480" w:type="dxa"/>
            <w:shd w:val="clear" w:color="auto" w:fill="D4E3F5"/>
          </w:tcPr>
          <w:p>
            <w:pPr>
              <w:pStyle w:val="TableParagraph"/>
              <w:ind w:left="108"/>
              <w:jc w:val="left"/>
              <w:rPr>
                <w:sz w:val="14"/>
              </w:rPr>
            </w:pPr>
            <w:r>
              <w:rPr>
                <w:color w:val="231F20"/>
                <w:spacing w:val="-5"/>
                <w:w w:val="95"/>
                <w:sz w:val="14"/>
              </w:rPr>
              <w:t>2.1</w:t>
            </w:r>
          </w:p>
        </w:tc>
        <w:tc>
          <w:tcPr>
            <w:tcW w:w="582" w:type="dxa"/>
            <w:shd w:val="clear" w:color="auto" w:fill="D4E3F5"/>
          </w:tcPr>
          <w:p>
            <w:pPr>
              <w:pStyle w:val="TableParagraph"/>
              <w:ind w:left="6" w:right="6"/>
              <w:rPr>
                <w:sz w:val="14"/>
              </w:rPr>
            </w:pPr>
            <w:r>
              <w:rPr>
                <w:color w:val="231F20"/>
                <w:spacing w:val="-5"/>
                <w:w w:val="95"/>
                <w:sz w:val="14"/>
              </w:rPr>
              <w:t>2.5</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2.2</w:t>
            </w:r>
          </w:p>
        </w:tc>
        <w:tc>
          <w:tcPr>
            <w:tcW w:w="574" w:type="dxa"/>
            <w:shd w:val="clear" w:color="auto" w:fill="D4E3F5"/>
          </w:tcPr>
          <w:p>
            <w:pPr>
              <w:pStyle w:val="TableParagraph"/>
              <w:ind w:left="161" w:right="130"/>
              <w:rPr>
                <w:sz w:val="14"/>
              </w:rPr>
            </w:pPr>
            <w:r>
              <w:rPr>
                <w:color w:val="231F20"/>
                <w:spacing w:val="-5"/>
                <w:w w:val="95"/>
                <w:sz w:val="14"/>
              </w:rPr>
              <w:t>110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2.4</w:t>
            </w:r>
          </w:p>
        </w:tc>
        <w:tc>
          <w:tcPr>
            <w:tcW w:w="574" w:type="dxa"/>
            <w:shd w:val="clear" w:color="auto" w:fill="D4E3F5"/>
          </w:tcPr>
          <w:p>
            <w:pPr>
              <w:pStyle w:val="TableParagraph"/>
              <w:ind w:left="161" w:right="72"/>
              <w:rPr>
                <w:sz w:val="14"/>
              </w:rPr>
            </w:pPr>
            <w:r>
              <w:rPr>
                <w:color w:val="231F20"/>
                <w:spacing w:val="-5"/>
                <w:w w:val="95"/>
                <w:sz w:val="14"/>
              </w:rPr>
              <w:t>89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2.4</w:t>
            </w:r>
          </w:p>
        </w:tc>
        <w:tc>
          <w:tcPr>
            <w:tcW w:w="574" w:type="dxa"/>
            <w:shd w:val="clear" w:color="auto" w:fill="D4E3F5"/>
          </w:tcPr>
          <w:p>
            <w:pPr>
              <w:pStyle w:val="TableParagraph"/>
              <w:ind w:left="161" w:right="131"/>
              <w:rPr>
                <w:sz w:val="14"/>
              </w:rPr>
            </w:pPr>
            <w:r>
              <w:rPr>
                <w:color w:val="231F20"/>
                <w:spacing w:val="-5"/>
                <w:w w:val="95"/>
                <w:sz w:val="14"/>
              </w:rPr>
              <w:t>111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5" w:right="48"/>
              <w:rPr>
                <w:sz w:val="14"/>
              </w:rPr>
            </w:pPr>
            <w:r>
              <w:rPr>
                <w:color w:val="231F20"/>
                <w:spacing w:val="-5"/>
                <w:w w:val="95"/>
                <w:sz w:val="14"/>
              </w:rPr>
              <w:t>2.1</w:t>
            </w:r>
          </w:p>
        </w:tc>
        <w:tc>
          <w:tcPr>
            <w:tcW w:w="574" w:type="dxa"/>
            <w:shd w:val="clear" w:color="auto" w:fill="D4E3F5"/>
          </w:tcPr>
          <w:p>
            <w:pPr>
              <w:pStyle w:val="TableParagraph"/>
              <w:ind w:left="161" w:right="135"/>
              <w:rPr>
                <w:sz w:val="14"/>
              </w:rPr>
            </w:pPr>
            <w:r>
              <w:rPr>
                <w:color w:val="231F20"/>
                <w:spacing w:val="-5"/>
                <w:w w:val="95"/>
                <w:sz w:val="14"/>
              </w:rPr>
              <w:t>133</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2.7</w:t>
            </w:r>
          </w:p>
        </w:tc>
        <w:tc>
          <w:tcPr>
            <w:tcW w:w="574" w:type="dxa"/>
            <w:shd w:val="clear" w:color="auto" w:fill="D4E3F5"/>
          </w:tcPr>
          <w:p>
            <w:pPr>
              <w:pStyle w:val="TableParagraph"/>
              <w:ind w:left="161" w:right="135"/>
              <w:rPr>
                <w:sz w:val="14"/>
              </w:rPr>
            </w:pPr>
            <w:r>
              <w:rPr>
                <w:color w:val="231F20"/>
                <w:spacing w:val="-5"/>
                <w:w w:val="95"/>
                <w:sz w:val="14"/>
              </w:rPr>
              <w:t>109</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2.4</w:t>
            </w:r>
          </w:p>
        </w:tc>
        <w:tc>
          <w:tcPr>
            <w:tcW w:w="655" w:type="dxa"/>
            <w:shd w:val="clear" w:color="auto" w:fill="D4E3F5"/>
          </w:tcPr>
          <w:p>
            <w:pPr>
              <w:pStyle w:val="TableParagraph"/>
              <w:ind w:left="72" w:right="132"/>
              <w:rPr>
                <w:sz w:val="14"/>
              </w:rPr>
            </w:pPr>
            <w:r>
              <w:rPr>
                <w:color w:val="231F20"/>
                <w:spacing w:val="-5"/>
                <w:w w:val="95"/>
                <w:sz w:val="14"/>
              </w:rPr>
              <w:t>105</w:t>
            </w:r>
          </w:p>
        </w:tc>
      </w:tr>
      <w:tr>
        <w:trPr>
          <w:trHeight w:val="259" w:hRule="atLeast"/>
        </w:trPr>
        <w:tc>
          <w:tcPr>
            <w:tcW w:w="990" w:type="dxa"/>
          </w:tcPr>
          <w:p>
            <w:pPr>
              <w:pStyle w:val="TableParagraph"/>
              <w:ind w:left="80"/>
              <w:jc w:val="left"/>
              <w:rPr>
                <w:sz w:val="14"/>
              </w:rPr>
            </w:pPr>
            <w:r>
              <w:rPr>
                <w:color w:val="231F20"/>
                <w:w w:val="75"/>
                <w:sz w:val="14"/>
              </w:rPr>
              <w:t>Kyrgyz</w:t>
            </w:r>
            <w:r>
              <w:rPr>
                <w:color w:val="231F20"/>
                <w:spacing w:val="-1"/>
                <w:sz w:val="14"/>
              </w:rPr>
              <w:t> </w:t>
            </w:r>
            <w:r>
              <w:rPr>
                <w:color w:val="231F20"/>
                <w:spacing w:val="-2"/>
                <w:w w:val="85"/>
                <w:sz w:val="14"/>
              </w:rPr>
              <w:t>Republic</w:t>
            </w:r>
          </w:p>
        </w:tc>
        <w:tc>
          <w:tcPr>
            <w:tcW w:w="622" w:type="dxa"/>
          </w:tcPr>
          <w:p>
            <w:pPr>
              <w:pStyle w:val="TableParagraph"/>
              <w:ind w:left="30" w:right="129"/>
              <w:rPr>
                <w:sz w:val="14"/>
              </w:rPr>
            </w:pPr>
            <w:r>
              <w:rPr>
                <w:color w:val="231F20"/>
                <w:spacing w:val="-5"/>
                <w:w w:val="95"/>
                <w:sz w:val="14"/>
              </w:rPr>
              <w:t>123</w:t>
            </w:r>
          </w:p>
        </w:tc>
        <w:tc>
          <w:tcPr>
            <w:tcW w:w="644" w:type="dxa"/>
          </w:tcPr>
          <w:p>
            <w:pPr>
              <w:pStyle w:val="TableParagraph"/>
              <w:ind w:left="165"/>
              <w:jc w:val="left"/>
              <w:rPr>
                <w:sz w:val="14"/>
              </w:rPr>
            </w:pPr>
            <w:r>
              <w:rPr>
                <w:color w:val="231F20"/>
                <w:spacing w:val="-5"/>
                <w:w w:val="95"/>
                <w:sz w:val="14"/>
              </w:rPr>
              <w:t>2.3</w:t>
            </w:r>
          </w:p>
        </w:tc>
        <w:tc>
          <w:tcPr>
            <w:tcW w:w="480" w:type="dxa"/>
          </w:tcPr>
          <w:p>
            <w:pPr>
              <w:pStyle w:val="TableParagraph"/>
              <w:ind w:left="108"/>
              <w:jc w:val="left"/>
              <w:rPr>
                <w:sz w:val="14"/>
              </w:rPr>
            </w:pPr>
            <w:r>
              <w:rPr>
                <w:color w:val="231F20"/>
                <w:spacing w:val="-5"/>
                <w:w w:val="95"/>
                <w:sz w:val="14"/>
              </w:rPr>
              <w:t>2.1</w:t>
            </w:r>
          </w:p>
        </w:tc>
        <w:tc>
          <w:tcPr>
            <w:tcW w:w="582" w:type="dxa"/>
          </w:tcPr>
          <w:p>
            <w:pPr>
              <w:pStyle w:val="TableParagraph"/>
              <w:ind w:left="6" w:right="6"/>
              <w:rPr>
                <w:sz w:val="14"/>
              </w:rPr>
            </w:pPr>
            <w:r>
              <w:rPr>
                <w:color w:val="231F20"/>
                <w:spacing w:val="-5"/>
                <w:w w:val="95"/>
                <w:sz w:val="14"/>
              </w:rPr>
              <w:t>2.5</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2.2</w:t>
            </w:r>
          </w:p>
        </w:tc>
        <w:tc>
          <w:tcPr>
            <w:tcW w:w="574" w:type="dxa"/>
          </w:tcPr>
          <w:p>
            <w:pPr>
              <w:pStyle w:val="TableParagraph"/>
              <w:ind w:left="161" w:right="130"/>
              <w:rPr>
                <w:sz w:val="14"/>
              </w:rPr>
            </w:pPr>
            <w:r>
              <w:rPr>
                <w:color w:val="231F20"/>
                <w:spacing w:val="-5"/>
                <w:w w:val="95"/>
                <w:sz w:val="14"/>
              </w:rPr>
              <w:t>110</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2.4</w:t>
            </w:r>
          </w:p>
        </w:tc>
        <w:tc>
          <w:tcPr>
            <w:tcW w:w="574" w:type="dxa"/>
          </w:tcPr>
          <w:p>
            <w:pPr>
              <w:pStyle w:val="TableParagraph"/>
              <w:ind w:left="161" w:right="72"/>
              <w:rPr>
                <w:sz w:val="14"/>
              </w:rPr>
            </w:pPr>
            <w:r>
              <w:rPr>
                <w:color w:val="231F20"/>
                <w:spacing w:val="-5"/>
                <w:w w:val="95"/>
                <w:sz w:val="14"/>
              </w:rPr>
              <w:t>89</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2.4</w:t>
            </w:r>
          </w:p>
        </w:tc>
        <w:tc>
          <w:tcPr>
            <w:tcW w:w="574" w:type="dxa"/>
          </w:tcPr>
          <w:p>
            <w:pPr>
              <w:pStyle w:val="TableParagraph"/>
              <w:ind w:left="161" w:right="131"/>
              <w:rPr>
                <w:sz w:val="14"/>
              </w:rPr>
            </w:pPr>
            <w:r>
              <w:rPr>
                <w:color w:val="231F20"/>
                <w:spacing w:val="-5"/>
                <w:w w:val="95"/>
                <w:sz w:val="14"/>
              </w:rPr>
              <w:t>111</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2.2</w:t>
            </w:r>
          </w:p>
        </w:tc>
        <w:tc>
          <w:tcPr>
            <w:tcW w:w="574" w:type="dxa"/>
          </w:tcPr>
          <w:p>
            <w:pPr>
              <w:pStyle w:val="TableParagraph"/>
              <w:ind w:left="161" w:right="134"/>
              <w:rPr>
                <w:sz w:val="14"/>
              </w:rPr>
            </w:pPr>
            <w:r>
              <w:rPr>
                <w:color w:val="231F20"/>
                <w:spacing w:val="-5"/>
                <w:w w:val="95"/>
                <w:sz w:val="14"/>
              </w:rPr>
              <w:t>126</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2.4</w:t>
            </w:r>
          </w:p>
        </w:tc>
        <w:tc>
          <w:tcPr>
            <w:tcW w:w="574" w:type="dxa"/>
          </w:tcPr>
          <w:p>
            <w:pPr>
              <w:pStyle w:val="TableParagraph"/>
              <w:ind w:left="161" w:right="133"/>
              <w:rPr>
                <w:sz w:val="14"/>
              </w:rPr>
            </w:pPr>
            <w:r>
              <w:rPr>
                <w:color w:val="231F20"/>
                <w:spacing w:val="-5"/>
                <w:w w:val="95"/>
                <w:sz w:val="14"/>
              </w:rPr>
              <w:t>129</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2.3</w:t>
            </w:r>
          </w:p>
        </w:tc>
        <w:tc>
          <w:tcPr>
            <w:tcW w:w="655" w:type="dxa"/>
          </w:tcPr>
          <w:p>
            <w:pPr>
              <w:pStyle w:val="TableParagraph"/>
              <w:ind w:left="72" w:right="120"/>
              <w:rPr>
                <w:sz w:val="14"/>
              </w:rPr>
            </w:pPr>
            <w:r>
              <w:rPr>
                <w:color w:val="231F20"/>
                <w:spacing w:val="-5"/>
                <w:w w:val="95"/>
                <w:sz w:val="14"/>
              </w:rPr>
              <w:t>117</w:t>
            </w:r>
          </w:p>
        </w:tc>
      </w:tr>
      <w:tr>
        <w:trPr>
          <w:trHeight w:val="254" w:hRule="atLeast"/>
        </w:trPr>
        <w:tc>
          <w:tcPr>
            <w:tcW w:w="990" w:type="dxa"/>
            <w:tcBorders>
              <w:bottom w:val="single" w:sz="4" w:space="0" w:color="008FDD"/>
            </w:tcBorders>
            <w:shd w:val="clear" w:color="auto" w:fill="D4E3F5"/>
          </w:tcPr>
          <w:p>
            <w:pPr>
              <w:pStyle w:val="TableParagraph"/>
              <w:ind w:left="80"/>
              <w:jc w:val="left"/>
              <w:rPr>
                <w:sz w:val="14"/>
              </w:rPr>
            </w:pPr>
            <w:r>
              <w:rPr>
                <w:color w:val="231F20"/>
                <w:spacing w:val="-2"/>
                <w:w w:val="90"/>
                <w:sz w:val="14"/>
              </w:rPr>
              <w:t>Madagascar</w:t>
            </w:r>
          </w:p>
        </w:tc>
        <w:tc>
          <w:tcPr>
            <w:tcW w:w="622" w:type="dxa"/>
            <w:tcBorders>
              <w:bottom w:val="single" w:sz="4" w:space="0" w:color="008FDD"/>
            </w:tcBorders>
            <w:shd w:val="clear" w:color="auto" w:fill="D4E3F5"/>
          </w:tcPr>
          <w:p>
            <w:pPr>
              <w:pStyle w:val="TableParagraph"/>
              <w:ind w:left="30" w:right="129"/>
              <w:rPr>
                <w:sz w:val="14"/>
              </w:rPr>
            </w:pPr>
            <w:r>
              <w:rPr>
                <w:color w:val="231F20"/>
                <w:spacing w:val="-5"/>
                <w:w w:val="95"/>
                <w:sz w:val="14"/>
              </w:rPr>
              <w:t>123</w:t>
            </w:r>
          </w:p>
        </w:tc>
        <w:tc>
          <w:tcPr>
            <w:tcW w:w="644" w:type="dxa"/>
            <w:tcBorders>
              <w:bottom w:val="single" w:sz="4" w:space="0" w:color="008FDD"/>
            </w:tcBorders>
            <w:shd w:val="clear" w:color="auto" w:fill="D4E3F5"/>
          </w:tcPr>
          <w:p>
            <w:pPr>
              <w:pStyle w:val="TableParagraph"/>
              <w:ind w:left="165"/>
              <w:jc w:val="left"/>
              <w:rPr>
                <w:sz w:val="14"/>
              </w:rPr>
            </w:pPr>
            <w:r>
              <w:rPr>
                <w:color w:val="231F20"/>
                <w:spacing w:val="-5"/>
                <w:w w:val="95"/>
                <w:sz w:val="14"/>
              </w:rPr>
              <w:t>2.3</w:t>
            </w:r>
          </w:p>
        </w:tc>
        <w:tc>
          <w:tcPr>
            <w:tcW w:w="480" w:type="dxa"/>
            <w:tcBorders>
              <w:bottom w:val="single" w:sz="4" w:space="0" w:color="008FDD"/>
            </w:tcBorders>
            <w:shd w:val="clear" w:color="auto" w:fill="D4E3F5"/>
          </w:tcPr>
          <w:p>
            <w:pPr>
              <w:pStyle w:val="TableParagraph"/>
              <w:ind w:left="103"/>
              <w:jc w:val="left"/>
              <w:rPr>
                <w:sz w:val="14"/>
              </w:rPr>
            </w:pPr>
            <w:r>
              <w:rPr>
                <w:color w:val="231F20"/>
                <w:spacing w:val="-5"/>
                <w:w w:val="95"/>
                <w:sz w:val="14"/>
              </w:rPr>
              <w:t>2.0</w:t>
            </w:r>
          </w:p>
        </w:tc>
        <w:tc>
          <w:tcPr>
            <w:tcW w:w="582" w:type="dxa"/>
            <w:tcBorders>
              <w:bottom w:val="single" w:sz="4" w:space="0" w:color="008FDD"/>
            </w:tcBorders>
            <w:shd w:val="clear" w:color="auto" w:fill="D4E3F5"/>
          </w:tcPr>
          <w:p>
            <w:pPr>
              <w:pStyle w:val="TableParagraph"/>
              <w:ind w:left="6" w:right="6"/>
              <w:rPr>
                <w:sz w:val="14"/>
              </w:rPr>
            </w:pPr>
            <w:r>
              <w:rPr>
                <w:color w:val="231F20"/>
                <w:spacing w:val="-5"/>
                <w:w w:val="95"/>
                <w:sz w:val="14"/>
              </w:rPr>
              <w:t>2.6</w:t>
            </w:r>
          </w:p>
        </w:tc>
        <w:tc>
          <w:tcPr>
            <w:tcW w:w="80" w:type="dxa"/>
            <w:tcBorders>
              <w:bottom w:val="single" w:sz="4" w:space="0" w:color="008FDD"/>
            </w:tcBorders>
            <w:shd w:val="clear" w:color="auto" w:fill="D4E3F5"/>
          </w:tcPr>
          <w:p>
            <w:pPr>
              <w:pStyle w:val="TableParagraph"/>
              <w:spacing w:before="0"/>
              <w:jc w:val="left"/>
              <w:rPr>
                <w:rFonts w:ascii="Times New Roman"/>
                <w:sz w:val="12"/>
              </w:rPr>
            </w:pPr>
          </w:p>
        </w:tc>
        <w:tc>
          <w:tcPr>
            <w:tcW w:w="463" w:type="dxa"/>
            <w:tcBorders>
              <w:bottom w:val="single" w:sz="4" w:space="0" w:color="008FDD"/>
            </w:tcBorders>
            <w:shd w:val="clear" w:color="auto" w:fill="D4E3F5"/>
          </w:tcPr>
          <w:p>
            <w:pPr>
              <w:pStyle w:val="TableParagraph"/>
              <w:ind w:left="8" w:right="48"/>
              <w:rPr>
                <w:sz w:val="14"/>
              </w:rPr>
            </w:pPr>
            <w:r>
              <w:rPr>
                <w:color w:val="231F20"/>
                <w:spacing w:val="-5"/>
                <w:w w:val="95"/>
                <w:sz w:val="14"/>
              </w:rPr>
              <w:t>1.8</w:t>
            </w:r>
          </w:p>
        </w:tc>
        <w:tc>
          <w:tcPr>
            <w:tcW w:w="574" w:type="dxa"/>
            <w:tcBorders>
              <w:bottom w:val="single" w:sz="4" w:space="0" w:color="008FDD"/>
            </w:tcBorders>
            <w:shd w:val="clear" w:color="auto" w:fill="D4E3F5"/>
          </w:tcPr>
          <w:p>
            <w:pPr>
              <w:pStyle w:val="TableParagraph"/>
              <w:ind w:left="161" w:right="140"/>
              <w:rPr>
                <w:sz w:val="14"/>
              </w:rPr>
            </w:pPr>
            <w:r>
              <w:rPr>
                <w:color w:val="231F20"/>
                <w:spacing w:val="-5"/>
                <w:w w:val="95"/>
                <w:sz w:val="14"/>
              </w:rPr>
              <w:t>135</w:t>
            </w:r>
          </w:p>
        </w:tc>
        <w:tc>
          <w:tcPr>
            <w:tcW w:w="126" w:type="dxa"/>
            <w:tcBorders>
              <w:bottom w:val="single" w:sz="4" w:space="0" w:color="008FDD"/>
            </w:tcBorders>
            <w:shd w:val="clear" w:color="auto" w:fill="D4E3F5"/>
          </w:tcPr>
          <w:p>
            <w:pPr>
              <w:pStyle w:val="TableParagraph"/>
              <w:spacing w:before="0"/>
              <w:jc w:val="left"/>
              <w:rPr>
                <w:rFonts w:ascii="Times New Roman"/>
                <w:sz w:val="12"/>
              </w:rPr>
            </w:pPr>
          </w:p>
        </w:tc>
        <w:tc>
          <w:tcPr>
            <w:tcW w:w="463" w:type="dxa"/>
            <w:tcBorders>
              <w:bottom w:val="single" w:sz="4" w:space="0" w:color="008FDD"/>
            </w:tcBorders>
            <w:shd w:val="clear" w:color="auto" w:fill="D4E3F5"/>
          </w:tcPr>
          <w:p>
            <w:pPr>
              <w:pStyle w:val="TableParagraph"/>
              <w:ind w:left="10" w:right="48"/>
              <w:rPr>
                <w:sz w:val="14"/>
              </w:rPr>
            </w:pPr>
            <w:r>
              <w:rPr>
                <w:color w:val="231F20"/>
                <w:spacing w:val="-5"/>
                <w:w w:val="95"/>
                <w:sz w:val="14"/>
              </w:rPr>
              <w:t>1.8</w:t>
            </w:r>
          </w:p>
        </w:tc>
        <w:tc>
          <w:tcPr>
            <w:tcW w:w="574" w:type="dxa"/>
            <w:tcBorders>
              <w:bottom w:val="single" w:sz="4" w:space="0" w:color="008FDD"/>
            </w:tcBorders>
            <w:shd w:val="clear" w:color="auto" w:fill="D4E3F5"/>
          </w:tcPr>
          <w:p>
            <w:pPr>
              <w:pStyle w:val="TableParagraph"/>
              <w:ind w:left="161" w:right="138"/>
              <w:rPr>
                <w:sz w:val="14"/>
              </w:rPr>
            </w:pPr>
            <w:r>
              <w:rPr>
                <w:color w:val="231F20"/>
                <w:spacing w:val="-5"/>
                <w:w w:val="95"/>
                <w:sz w:val="14"/>
              </w:rPr>
              <w:t>136</w:t>
            </w:r>
          </w:p>
        </w:tc>
        <w:tc>
          <w:tcPr>
            <w:tcW w:w="126" w:type="dxa"/>
            <w:tcBorders>
              <w:bottom w:val="single" w:sz="4" w:space="0" w:color="008FDD"/>
            </w:tcBorders>
            <w:shd w:val="clear" w:color="auto" w:fill="D4E3F5"/>
          </w:tcPr>
          <w:p>
            <w:pPr>
              <w:pStyle w:val="TableParagraph"/>
              <w:spacing w:before="0"/>
              <w:jc w:val="left"/>
              <w:rPr>
                <w:rFonts w:ascii="Times New Roman"/>
                <w:sz w:val="12"/>
              </w:rPr>
            </w:pPr>
          </w:p>
        </w:tc>
        <w:tc>
          <w:tcPr>
            <w:tcW w:w="463" w:type="dxa"/>
            <w:tcBorders>
              <w:bottom w:val="single" w:sz="4" w:space="0" w:color="008FDD"/>
            </w:tcBorders>
            <w:shd w:val="clear" w:color="auto" w:fill="D4E3F5"/>
          </w:tcPr>
          <w:p>
            <w:pPr>
              <w:pStyle w:val="TableParagraph"/>
              <w:ind w:left="11" w:right="48"/>
              <w:rPr>
                <w:sz w:val="14"/>
              </w:rPr>
            </w:pPr>
            <w:r>
              <w:rPr>
                <w:color w:val="231F20"/>
                <w:spacing w:val="-5"/>
                <w:w w:val="95"/>
                <w:sz w:val="14"/>
              </w:rPr>
              <w:t>2.9</w:t>
            </w:r>
          </w:p>
        </w:tc>
        <w:tc>
          <w:tcPr>
            <w:tcW w:w="574" w:type="dxa"/>
            <w:tcBorders>
              <w:bottom w:val="single" w:sz="4" w:space="0" w:color="008FDD"/>
            </w:tcBorders>
            <w:shd w:val="clear" w:color="auto" w:fill="D4E3F5"/>
          </w:tcPr>
          <w:p>
            <w:pPr>
              <w:pStyle w:val="TableParagraph"/>
              <w:ind w:left="161" w:right="70"/>
              <w:rPr>
                <w:sz w:val="14"/>
              </w:rPr>
            </w:pPr>
            <w:r>
              <w:rPr>
                <w:color w:val="231F20"/>
                <w:spacing w:val="-5"/>
                <w:w w:val="95"/>
                <w:sz w:val="14"/>
              </w:rPr>
              <w:t>68</w:t>
            </w:r>
          </w:p>
        </w:tc>
        <w:tc>
          <w:tcPr>
            <w:tcW w:w="126" w:type="dxa"/>
            <w:tcBorders>
              <w:bottom w:val="single" w:sz="4" w:space="0" w:color="008FDD"/>
            </w:tcBorders>
            <w:shd w:val="clear" w:color="auto" w:fill="D4E3F5"/>
          </w:tcPr>
          <w:p>
            <w:pPr>
              <w:pStyle w:val="TableParagraph"/>
              <w:spacing w:before="0"/>
              <w:jc w:val="left"/>
              <w:rPr>
                <w:rFonts w:ascii="Times New Roman"/>
                <w:sz w:val="12"/>
              </w:rPr>
            </w:pPr>
          </w:p>
        </w:tc>
        <w:tc>
          <w:tcPr>
            <w:tcW w:w="463" w:type="dxa"/>
            <w:tcBorders>
              <w:bottom w:val="single" w:sz="4" w:space="0" w:color="008FDD"/>
            </w:tcBorders>
            <w:shd w:val="clear" w:color="auto" w:fill="D4E3F5"/>
          </w:tcPr>
          <w:p>
            <w:pPr>
              <w:pStyle w:val="TableParagraph"/>
              <w:ind w:left="13" w:right="48"/>
              <w:rPr>
                <w:sz w:val="14"/>
              </w:rPr>
            </w:pPr>
            <w:r>
              <w:rPr>
                <w:color w:val="231F20"/>
                <w:spacing w:val="-5"/>
                <w:w w:val="95"/>
                <w:sz w:val="14"/>
              </w:rPr>
              <w:t>2.2</w:t>
            </w:r>
          </w:p>
        </w:tc>
        <w:tc>
          <w:tcPr>
            <w:tcW w:w="574" w:type="dxa"/>
            <w:tcBorders>
              <w:bottom w:val="single" w:sz="4" w:space="0" w:color="008FDD"/>
            </w:tcBorders>
            <w:shd w:val="clear" w:color="auto" w:fill="D4E3F5"/>
          </w:tcPr>
          <w:p>
            <w:pPr>
              <w:pStyle w:val="TableParagraph"/>
              <w:ind w:left="161" w:right="134"/>
              <w:rPr>
                <w:sz w:val="14"/>
              </w:rPr>
            </w:pPr>
            <w:r>
              <w:rPr>
                <w:color w:val="231F20"/>
                <w:spacing w:val="-5"/>
                <w:w w:val="95"/>
                <w:sz w:val="14"/>
              </w:rPr>
              <w:t>126</w:t>
            </w:r>
          </w:p>
        </w:tc>
        <w:tc>
          <w:tcPr>
            <w:tcW w:w="126" w:type="dxa"/>
            <w:tcBorders>
              <w:bottom w:val="single" w:sz="4" w:space="0" w:color="008FDD"/>
            </w:tcBorders>
            <w:shd w:val="clear" w:color="auto" w:fill="D4E3F5"/>
          </w:tcPr>
          <w:p>
            <w:pPr>
              <w:pStyle w:val="TableParagraph"/>
              <w:spacing w:before="0"/>
              <w:jc w:val="left"/>
              <w:rPr>
                <w:rFonts w:ascii="Times New Roman"/>
                <w:sz w:val="12"/>
              </w:rPr>
            </w:pPr>
          </w:p>
        </w:tc>
        <w:tc>
          <w:tcPr>
            <w:tcW w:w="463" w:type="dxa"/>
            <w:tcBorders>
              <w:bottom w:val="single" w:sz="4" w:space="0" w:color="008FDD"/>
            </w:tcBorders>
            <w:shd w:val="clear" w:color="auto" w:fill="D4E3F5"/>
          </w:tcPr>
          <w:p>
            <w:pPr>
              <w:pStyle w:val="TableParagraph"/>
              <w:ind w:left="16" w:right="48"/>
              <w:rPr>
                <w:sz w:val="14"/>
              </w:rPr>
            </w:pPr>
            <w:r>
              <w:rPr>
                <w:color w:val="231F20"/>
                <w:spacing w:val="-5"/>
                <w:w w:val="95"/>
                <w:sz w:val="14"/>
              </w:rPr>
              <w:t>2.6</w:t>
            </w:r>
          </w:p>
        </w:tc>
        <w:tc>
          <w:tcPr>
            <w:tcW w:w="574" w:type="dxa"/>
            <w:tcBorders>
              <w:bottom w:val="single" w:sz="4" w:space="0" w:color="008FDD"/>
            </w:tcBorders>
            <w:shd w:val="clear" w:color="auto" w:fill="D4E3F5"/>
          </w:tcPr>
          <w:p>
            <w:pPr>
              <w:pStyle w:val="TableParagraph"/>
              <w:ind w:left="161" w:right="124"/>
              <w:rPr>
                <w:sz w:val="14"/>
              </w:rPr>
            </w:pPr>
            <w:r>
              <w:rPr>
                <w:color w:val="231F20"/>
                <w:spacing w:val="-5"/>
                <w:w w:val="95"/>
                <w:sz w:val="14"/>
              </w:rPr>
              <w:t>116</w:t>
            </w:r>
          </w:p>
        </w:tc>
        <w:tc>
          <w:tcPr>
            <w:tcW w:w="126" w:type="dxa"/>
            <w:tcBorders>
              <w:bottom w:val="single" w:sz="4" w:space="0" w:color="008FDD"/>
            </w:tcBorders>
            <w:shd w:val="clear" w:color="auto" w:fill="D4E3F5"/>
          </w:tcPr>
          <w:p>
            <w:pPr>
              <w:pStyle w:val="TableParagraph"/>
              <w:spacing w:before="0"/>
              <w:jc w:val="left"/>
              <w:rPr>
                <w:rFonts w:ascii="Times New Roman"/>
                <w:sz w:val="12"/>
              </w:rPr>
            </w:pPr>
          </w:p>
        </w:tc>
        <w:tc>
          <w:tcPr>
            <w:tcW w:w="468" w:type="dxa"/>
            <w:tcBorders>
              <w:bottom w:val="single" w:sz="4" w:space="0" w:color="008FDD"/>
            </w:tcBorders>
            <w:shd w:val="clear" w:color="auto" w:fill="D4E3F5"/>
          </w:tcPr>
          <w:p>
            <w:pPr>
              <w:pStyle w:val="TableParagraph"/>
              <w:ind w:left="9" w:right="45"/>
              <w:rPr>
                <w:sz w:val="14"/>
              </w:rPr>
            </w:pPr>
            <w:r>
              <w:rPr>
                <w:color w:val="231F20"/>
                <w:spacing w:val="-5"/>
                <w:w w:val="95"/>
                <w:sz w:val="14"/>
              </w:rPr>
              <w:t>2.0</w:t>
            </w:r>
          </w:p>
        </w:tc>
        <w:tc>
          <w:tcPr>
            <w:tcW w:w="655" w:type="dxa"/>
            <w:tcBorders>
              <w:bottom w:val="single" w:sz="4" w:space="0" w:color="008FDD"/>
            </w:tcBorders>
            <w:shd w:val="clear" w:color="auto" w:fill="D4E3F5"/>
          </w:tcPr>
          <w:p>
            <w:pPr>
              <w:pStyle w:val="TableParagraph"/>
              <w:ind w:left="72" w:right="132"/>
              <w:rPr>
                <w:sz w:val="14"/>
              </w:rPr>
            </w:pPr>
            <w:r>
              <w:rPr>
                <w:color w:val="231F20"/>
                <w:spacing w:val="-5"/>
                <w:w w:val="95"/>
                <w:sz w:val="14"/>
              </w:rPr>
              <w:t>134</w:t>
            </w:r>
          </w:p>
        </w:tc>
      </w:tr>
    </w:tbl>
    <w:p>
      <w:pPr>
        <w:spacing w:after="0"/>
        <w:rPr>
          <w:sz w:val="14"/>
        </w:rPr>
        <w:sectPr>
          <w:headerReference w:type="even" r:id="rId113"/>
          <w:pgSz w:w="12240" w:h="15840"/>
          <w:pgMar w:header="0" w:footer="0" w:top="340" w:bottom="740" w:left="0" w:right="54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8"/>
        <w:rPr>
          <w:rFonts w:ascii="Arial"/>
          <w:sz w:val="20"/>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0"/>
        <w:gridCol w:w="622"/>
        <w:gridCol w:w="644"/>
        <w:gridCol w:w="480"/>
        <w:gridCol w:w="582"/>
        <w:gridCol w:w="80"/>
        <w:gridCol w:w="463"/>
        <w:gridCol w:w="574"/>
        <w:gridCol w:w="126"/>
        <w:gridCol w:w="463"/>
        <w:gridCol w:w="574"/>
        <w:gridCol w:w="126"/>
        <w:gridCol w:w="463"/>
        <w:gridCol w:w="574"/>
        <w:gridCol w:w="126"/>
        <w:gridCol w:w="463"/>
        <w:gridCol w:w="574"/>
        <w:gridCol w:w="126"/>
        <w:gridCol w:w="463"/>
        <w:gridCol w:w="574"/>
        <w:gridCol w:w="126"/>
        <w:gridCol w:w="468"/>
        <w:gridCol w:w="655"/>
      </w:tblGrid>
      <w:tr>
        <w:trPr>
          <w:trHeight w:val="533" w:hRule="atLeast"/>
        </w:trPr>
        <w:tc>
          <w:tcPr>
            <w:tcW w:w="990" w:type="dxa"/>
          </w:tcPr>
          <w:p>
            <w:pPr>
              <w:pStyle w:val="TableParagraph"/>
              <w:spacing w:before="0"/>
              <w:jc w:val="left"/>
              <w:rPr>
                <w:rFonts w:ascii="Times New Roman"/>
                <w:sz w:val="12"/>
              </w:rPr>
            </w:pPr>
          </w:p>
        </w:tc>
        <w:tc>
          <w:tcPr>
            <w:tcW w:w="622" w:type="dxa"/>
            <w:tcBorders>
              <w:bottom w:val="single" w:sz="4" w:space="0" w:color="008FDD"/>
            </w:tcBorders>
          </w:tcPr>
          <w:p>
            <w:pPr>
              <w:pStyle w:val="TableParagraph"/>
              <w:spacing w:before="0"/>
              <w:jc w:val="left"/>
              <w:rPr>
                <w:rFonts w:ascii="Times New Roman"/>
                <w:sz w:val="12"/>
              </w:rPr>
            </w:pPr>
          </w:p>
        </w:tc>
        <w:tc>
          <w:tcPr>
            <w:tcW w:w="644" w:type="dxa"/>
            <w:tcBorders>
              <w:bottom w:val="single" w:sz="4" w:space="0" w:color="008FDD"/>
            </w:tcBorders>
          </w:tcPr>
          <w:p>
            <w:pPr>
              <w:pStyle w:val="TableParagraph"/>
              <w:spacing w:before="0"/>
              <w:jc w:val="left"/>
              <w:rPr>
                <w:sz w:val="14"/>
              </w:rPr>
            </w:pPr>
          </w:p>
          <w:p>
            <w:pPr>
              <w:pStyle w:val="TableParagraph"/>
              <w:spacing w:before="1"/>
              <w:jc w:val="left"/>
              <w:rPr>
                <w:sz w:val="14"/>
              </w:rPr>
            </w:pPr>
          </w:p>
          <w:p>
            <w:pPr>
              <w:pStyle w:val="TableParagraph"/>
              <w:spacing w:before="0"/>
              <w:ind w:right="8"/>
              <w:jc w:val="right"/>
              <w:rPr>
                <w:b/>
                <w:sz w:val="14"/>
              </w:rPr>
            </w:pPr>
            <w:r>
              <w:rPr>
                <w:b/>
                <w:color w:val="231F20"/>
                <w:spacing w:val="-5"/>
                <w:w w:val="90"/>
                <w:sz w:val="14"/>
              </w:rPr>
              <w:t>LPI</w:t>
            </w:r>
          </w:p>
        </w:tc>
        <w:tc>
          <w:tcPr>
            <w:tcW w:w="480" w:type="dxa"/>
            <w:tcBorders>
              <w:bottom w:val="single" w:sz="4" w:space="0" w:color="008FDD"/>
            </w:tcBorders>
          </w:tcPr>
          <w:p>
            <w:pPr>
              <w:pStyle w:val="TableParagraph"/>
              <w:spacing w:before="0"/>
              <w:jc w:val="left"/>
              <w:rPr>
                <w:rFonts w:ascii="Times New Roman"/>
                <w:sz w:val="12"/>
              </w:rPr>
            </w:pPr>
          </w:p>
        </w:tc>
        <w:tc>
          <w:tcPr>
            <w:tcW w:w="582" w:type="dxa"/>
            <w:tcBorders>
              <w:bottom w:val="single" w:sz="4" w:space="0" w:color="008FDD"/>
            </w:tcBorders>
          </w:tcPr>
          <w:p>
            <w:pPr>
              <w:pStyle w:val="TableParagraph"/>
              <w:spacing w:before="0"/>
              <w:jc w:val="left"/>
              <w:rPr>
                <w:rFonts w:ascii="Times New Roman"/>
                <w:sz w:val="12"/>
              </w:rPr>
            </w:pPr>
          </w:p>
        </w:tc>
        <w:tc>
          <w:tcPr>
            <w:tcW w:w="1243" w:type="dxa"/>
            <w:gridSpan w:val="4"/>
          </w:tcPr>
          <w:p>
            <w:pPr>
              <w:pStyle w:val="TableParagraph"/>
              <w:spacing w:before="0"/>
              <w:jc w:val="left"/>
              <w:rPr>
                <w:sz w:val="14"/>
              </w:rPr>
            </w:pPr>
          </w:p>
          <w:p>
            <w:pPr>
              <w:pStyle w:val="TableParagraph"/>
              <w:spacing w:before="1"/>
              <w:jc w:val="left"/>
              <w:rPr>
                <w:sz w:val="14"/>
              </w:rPr>
            </w:pPr>
          </w:p>
          <w:p>
            <w:pPr>
              <w:pStyle w:val="TableParagraph"/>
              <w:spacing w:before="0"/>
              <w:ind w:left="330"/>
              <w:jc w:val="left"/>
              <w:rPr>
                <w:b/>
                <w:sz w:val="14"/>
              </w:rPr>
            </w:pPr>
            <w:r>
              <w:rPr>
                <w:b/>
                <w:color w:val="231F20"/>
                <w:spacing w:val="-2"/>
                <w:w w:val="90"/>
                <w:sz w:val="14"/>
              </w:rPr>
              <w:t>Customs</w:t>
            </w:r>
          </w:p>
        </w:tc>
        <w:tc>
          <w:tcPr>
            <w:tcW w:w="1163" w:type="dxa"/>
            <w:gridSpan w:val="3"/>
          </w:tcPr>
          <w:p>
            <w:pPr>
              <w:pStyle w:val="TableParagraph"/>
              <w:spacing w:before="0"/>
              <w:jc w:val="left"/>
              <w:rPr>
                <w:sz w:val="14"/>
              </w:rPr>
            </w:pPr>
          </w:p>
          <w:p>
            <w:pPr>
              <w:pStyle w:val="TableParagraph"/>
              <w:spacing w:before="1"/>
              <w:jc w:val="left"/>
              <w:rPr>
                <w:sz w:val="14"/>
              </w:rPr>
            </w:pPr>
          </w:p>
          <w:p>
            <w:pPr>
              <w:pStyle w:val="TableParagraph"/>
              <w:spacing w:before="0"/>
              <w:ind w:left="97"/>
              <w:jc w:val="left"/>
              <w:rPr>
                <w:b/>
                <w:sz w:val="14"/>
              </w:rPr>
            </w:pPr>
            <w:r>
              <w:rPr>
                <w:b/>
                <w:color w:val="231F20"/>
                <w:spacing w:val="-2"/>
                <w:w w:val="95"/>
                <w:sz w:val="14"/>
              </w:rPr>
              <w:t>Infrastructure</w:t>
            </w:r>
          </w:p>
        </w:tc>
        <w:tc>
          <w:tcPr>
            <w:tcW w:w="1163" w:type="dxa"/>
            <w:gridSpan w:val="3"/>
          </w:tcPr>
          <w:p>
            <w:pPr>
              <w:pStyle w:val="TableParagraph"/>
              <w:spacing w:before="2"/>
              <w:jc w:val="left"/>
              <w:rPr>
                <w:sz w:val="14"/>
              </w:rPr>
            </w:pPr>
          </w:p>
          <w:p>
            <w:pPr>
              <w:pStyle w:val="TableParagraph"/>
              <w:spacing w:before="0"/>
              <w:ind w:left="201" w:right="201" w:hanging="69"/>
              <w:jc w:val="left"/>
              <w:rPr>
                <w:b/>
                <w:sz w:val="14"/>
              </w:rPr>
            </w:pPr>
            <w:r>
              <w:rPr>
                <w:b/>
                <w:color w:val="231F20"/>
                <w:spacing w:val="-2"/>
                <w:w w:val="85"/>
                <w:sz w:val="14"/>
              </w:rPr>
              <w:t>International</w:t>
            </w:r>
            <w:r>
              <w:rPr>
                <w:b/>
                <w:color w:val="231F20"/>
                <w:spacing w:val="40"/>
                <w:sz w:val="14"/>
              </w:rPr>
              <w:t> </w:t>
            </w:r>
            <w:r>
              <w:rPr>
                <w:b/>
                <w:color w:val="231F20"/>
                <w:spacing w:val="-2"/>
                <w:w w:val="90"/>
                <w:sz w:val="14"/>
              </w:rPr>
              <w:t>shipments</w:t>
            </w:r>
          </w:p>
        </w:tc>
        <w:tc>
          <w:tcPr>
            <w:tcW w:w="1163" w:type="dxa"/>
            <w:gridSpan w:val="3"/>
          </w:tcPr>
          <w:p>
            <w:pPr>
              <w:pStyle w:val="TableParagraph"/>
              <w:spacing w:before="3"/>
              <w:ind w:left="149" w:right="201" w:firstLine="92"/>
              <w:jc w:val="left"/>
              <w:rPr>
                <w:b/>
                <w:sz w:val="14"/>
              </w:rPr>
            </w:pPr>
            <w:r>
              <w:rPr>
                <w:b/>
                <w:color w:val="231F20"/>
                <w:spacing w:val="-2"/>
                <w:w w:val="95"/>
                <w:sz w:val="14"/>
              </w:rPr>
              <w:t>Logistics</w:t>
            </w:r>
            <w:r>
              <w:rPr>
                <w:b/>
                <w:color w:val="231F20"/>
                <w:spacing w:val="40"/>
                <w:sz w:val="14"/>
              </w:rPr>
              <w:t> </w:t>
            </w:r>
            <w:r>
              <w:rPr>
                <w:b/>
                <w:color w:val="231F20"/>
                <w:spacing w:val="-2"/>
                <w:w w:val="80"/>
                <w:sz w:val="14"/>
              </w:rPr>
              <w:t>competence</w:t>
            </w:r>
            <w:r>
              <w:rPr>
                <w:b/>
                <w:color w:val="231F20"/>
                <w:spacing w:val="40"/>
                <w:sz w:val="14"/>
              </w:rPr>
              <w:t> </w:t>
            </w:r>
            <w:r>
              <w:rPr>
                <w:b/>
                <w:color w:val="231F20"/>
                <w:w w:val="80"/>
                <w:sz w:val="14"/>
              </w:rPr>
              <w:t>and</w:t>
            </w:r>
            <w:r>
              <w:rPr>
                <w:b/>
                <w:color w:val="231F20"/>
                <w:spacing w:val="4"/>
                <w:sz w:val="14"/>
              </w:rPr>
              <w:t> </w:t>
            </w:r>
            <w:r>
              <w:rPr>
                <w:b/>
                <w:color w:val="231F20"/>
                <w:spacing w:val="-2"/>
                <w:w w:val="85"/>
                <w:sz w:val="14"/>
              </w:rPr>
              <w:t>equality</w:t>
            </w:r>
          </w:p>
        </w:tc>
        <w:tc>
          <w:tcPr>
            <w:tcW w:w="1163" w:type="dxa"/>
            <w:gridSpan w:val="3"/>
          </w:tcPr>
          <w:p>
            <w:pPr>
              <w:pStyle w:val="TableParagraph"/>
              <w:spacing w:before="0"/>
              <w:jc w:val="left"/>
              <w:rPr>
                <w:sz w:val="14"/>
              </w:rPr>
            </w:pPr>
          </w:p>
          <w:p>
            <w:pPr>
              <w:pStyle w:val="TableParagraph"/>
              <w:spacing w:before="1"/>
              <w:jc w:val="left"/>
              <w:rPr>
                <w:sz w:val="14"/>
              </w:rPr>
            </w:pPr>
          </w:p>
          <w:p>
            <w:pPr>
              <w:pStyle w:val="TableParagraph"/>
              <w:spacing w:before="0"/>
              <w:ind w:left="193"/>
              <w:jc w:val="left"/>
              <w:rPr>
                <w:b/>
                <w:sz w:val="14"/>
              </w:rPr>
            </w:pPr>
            <w:r>
              <w:rPr>
                <w:b/>
                <w:color w:val="231F20"/>
                <w:spacing w:val="-2"/>
                <w:w w:val="90"/>
                <w:sz w:val="14"/>
              </w:rPr>
              <w:t>Timeliness</w:t>
            </w:r>
          </w:p>
        </w:tc>
        <w:tc>
          <w:tcPr>
            <w:tcW w:w="1123" w:type="dxa"/>
            <w:gridSpan w:val="2"/>
            <w:tcBorders>
              <w:bottom w:val="single" w:sz="4" w:space="0" w:color="008FDD"/>
            </w:tcBorders>
          </w:tcPr>
          <w:p>
            <w:pPr>
              <w:pStyle w:val="TableParagraph"/>
              <w:spacing w:before="2"/>
              <w:jc w:val="left"/>
              <w:rPr>
                <w:sz w:val="14"/>
              </w:rPr>
            </w:pPr>
          </w:p>
          <w:p>
            <w:pPr>
              <w:pStyle w:val="TableParagraph"/>
              <w:spacing w:before="0"/>
              <w:ind w:left="310" w:right="225" w:hanging="169"/>
              <w:jc w:val="left"/>
              <w:rPr>
                <w:b/>
                <w:sz w:val="14"/>
              </w:rPr>
            </w:pPr>
            <w:r>
              <w:rPr>
                <w:b/>
                <w:color w:val="231F20"/>
                <w:w w:val="85"/>
                <w:sz w:val="14"/>
              </w:rPr>
              <w:t>Tracking</w:t>
            </w:r>
            <w:r>
              <w:rPr>
                <w:b/>
                <w:color w:val="231F20"/>
                <w:spacing w:val="-4"/>
                <w:w w:val="85"/>
                <w:sz w:val="14"/>
              </w:rPr>
              <w:t> </w:t>
            </w:r>
            <w:r>
              <w:rPr>
                <w:b/>
                <w:color w:val="231F20"/>
                <w:w w:val="85"/>
                <w:sz w:val="14"/>
              </w:rPr>
              <w:t>and</w:t>
            </w:r>
            <w:r>
              <w:rPr>
                <w:b/>
                <w:color w:val="231F20"/>
                <w:spacing w:val="40"/>
                <w:sz w:val="14"/>
              </w:rPr>
              <w:t> </w:t>
            </w:r>
            <w:r>
              <w:rPr>
                <w:b/>
                <w:color w:val="231F20"/>
                <w:spacing w:val="-2"/>
                <w:w w:val="95"/>
                <w:sz w:val="14"/>
              </w:rPr>
              <w:t>tracing</w:t>
            </w:r>
          </w:p>
        </w:tc>
      </w:tr>
      <w:tr>
        <w:trPr>
          <w:trHeight w:val="406" w:hRule="atLeast"/>
        </w:trPr>
        <w:tc>
          <w:tcPr>
            <w:tcW w:w="990" w:type="dxa"/>
            <w:tcBorders>
              <w:bottom w:val="single" w:sz="4" w:space="0" w:color="008FDD"/>
            </w:tcBorders>
          </w:tcPr>
          <w:p>
            <w:pPr>
              <w:pStyle w:val="TableParagraph"/>
              <w:spacing w:before="39"/>
              <w:jc w:val="left"/>
              <w:rPr>
                <w:sz w:val="14"/>
              </w:rPr>
            </w:pPr>
          </w:p>
          <w:p>
            <w:pPr>
              <w:pStyle w:val="TableParagraph"/>
              <w:spacing w:before="0"/>
              <w:ind w:left="80"/>
              <w:jc w:val="left"/>
              <w:rPr>
                <w:b/>
                <w:sz w:val="14"/>
              </w:rPr>
            </w:pPr>
            <w:r>
              <w:rPr>
                <w:b/>
                <w:color w:val="231F20"/>
                <w:spacing w:val="-2"/>
                <w:w w:val="90"/>
                <w:sz w:val="14"/>
              </w:rPr>
              <w:t>Economy</w:t>
            </w:r>
          </w:p>
        </w:tc>
        <w:tc>
          <w:tcPr>
            <w:tcW w:w="622" w:type="dxa"/>
            <w:tcBorders>
              <w:top w:val="single" w:sz="4" w:space="0" w:color="008FDD"/>
              <w:bottom w:val="single" w:sz="4" w:space="0" w:color="008FDD"/>
            </w:tcBorders>
          </w:tcPr>
          <w:p>
            <w:pPr>
              <w:pStyle w:val="TableParagraph"/>
              <w:spacing w:before="43"/>
              <w:ind w:left="160"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644" w:type="dxa"/>
            <w:tcBorders>
              <w:top w:val="single" w:sz="4" w:space="0" w:color="008FDD"/>
              <w:bottom w:val="single" w:sz="4" w:space="0" w:color="008FDD"/>
            </w:tcBorders>
          </w:tcPr>
          <w:p>
            <w:pPr>
              <w:pStyle w:val="TableParagraph"/>
              <w:spacing w:before="42"/>
              <w:jc w:val="left"/>
              <w:rPr>
                <w:sz w:val="14"/>
              </w:rPr>
            </w:pPr>
          </w:p>
          <w:p>
            <w:pPr>
              <w:pStyle w:val="TableParagraph"/>
              <w:spacing w:before="0"/>
              <w:ind w:left="86"/>
              <w:jc w:val="left"/>
              <w:rPr>
                <w:b/>
                <w:sz w:val="14"/>
              </w:rPr>
            </w:pPr>
            <w:r>
              <w:rPr>
                <w:b/>
                <w:color w:val="231F20"/>
                <w:spacing w:val="-2"/>
                <w:w w:val="90"/>
                <w:sz w:val="14"/>
              </w:rPr>
              <w:t>Score</w:t>
            </w:r>
          </w:p>
        </w:tc>
        <w:tc>
          <w:tcPr>
            <w:tcW w:w="480" w:type="dxa"/>
            <w:tcBorders>
              <w:top w:val="single" w:sz="4" w:space="0" w:color="008FDD"/>
              <w:bottom w:val="single" w:sz="4" w:space="0" w:color="008FDD"/>
            </w:tcBorders>
          </w:tcPr>
          <w:p>
            <w:pPr>
              <w:pStyle w:val="TableParagraph"/>
              <w:spacing w:before="43"/>
              <w:ind w:left="10" w:right="107" w:firstLine="2"/>
              <w:jc w:val="left"/>
              <w:rPr>
                <w:b/>
                <w:sz w:val="14"/>
              </w:rPr>
            </w:pPr>
            <w:r>
              <w:rPr>
                <w:b/>
                <w:color w:val="231F20"/>
                <w:spacing w:val="-2"/>
                <w:w w:val="85"/>
                <w:sz w:val="14"/>
              </w:rPr>
              <w:t>Lower</w:t>
            </w:r>
            <w:r>
              <w:rPr>
                <w:b/>
                <w:color w:val="231F20"/>
                <w:spacing w:val="40"/>
                <w:sz w:val="14"/>
              </w:rPr>
              <w:t> </w:t>
            </w:r>
            <w:r>
              <w:rPr>
                <w:b/>
                <w:color w:val="231F20"/>
                <w:spacing w:val="-2"/>
                <w:w w:val="80"/>
                <w:sz w:val="14"/>
              </w:rPr>
              <w:t>bound</w:t>
            </w:r>
          </w:p>
        </w:tc>
        <w:tc>
          <w:tcPr>
            <w:tcW w:w="582" w:type="dxa"/>
            <w:tcBorders>
              <w:top w:val="single" w:sz="4" w:space="0" w:color="008FDD"/>
              <w:bottom w:val="single" w:sz="4" w:space="0" w:color="008FDD"/>
            </w:tcBorders>
          </w:tcPr>
          <w:p>
            <w:pPr>
              <w:pStyle w:val="TableParagraph"/>
              <w:spacing w:before="43"/>
              <w:ind w:left="111" w:firstLine="9"/>
              <w:jc w:val="left"/>
              <w:rPr>
                <w:b/>
                <w:sz w:val="14"/>
              </w:rPr>
            </w:pPr>
            <w:r>
              <w:rPr>
                <w:b/>
                <w:color w:val="231F20"/>
                <w:spacing w:val="-2"/>
                <w:w w:val="80"/>
                <w:sz w:val="14"/>
              </w:rPr>
              <w:t>Upper</w:t>
            </w:r>
            <w:r>
              <w:rPr>
                <w:b/>
                <w:color w:val="231F20"/>
                <w:spacing w:val="40"/>
                <w:sz w:val="14"/>
              </w:rPr>
              <w:t> </w:t>
            </w:r>
            <w:r>
              <w:rPr>
                <w:b/>
                <w:color w:val="231F20"/>
                <w:spacing w:val="-2"/>
                <w:w w:val="80"/>
                <w:sz w:val="14"/>
              </w:rPr>
              <w:t>bound</w:t>
            </w:r>
          </w:p>
        </w:tc>
        <w:tc>
          <w:tcPr>
            <w:tcW w:w="80"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sz w:val="14"/>
              </w:rPr>
            </w:pPr>
          </w:p>
          <w:p>
            <w:pPr>
              <w:pStyle w:val="TableParagraph"/>
              <w:spacing w:before="0"/>
              <w:ind w:left="8"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198"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sz w:val="14"/>
              </w:rPr>
            </w:pPr>
          </w:p>
          <w:p>
            <w:pPr>
              <w:pStyle w:val="TableParagraph"/>
              <w:spacing w:before="0"/>
              <w:ind w:left="10"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199"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sz w:val="14"/>
              </w:rPr>
            </w:pPr>
          </w:p>
          <w:p>
            <w:pPr>
              <w:pStyle w:val="TableParagraph"/>
              <w:spacing w:before="0"/>
              <w:ind w:left="11"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200"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sz w:val="14"/>
              </w:rPr>
            </w:pPr>
          </w:p>
          <w:p>
            <w:pPr>
              <w:pStyle w:val="TableParagraph"/>
              <w:spacing w:before="0"/>
              <w:ind w:left="13"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200"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top w:val="single" w:sz="4" w:space="0" w:color="008FDD"/>
              <w:bottom w:val="single" w:sz="4" w:space="0" w:color="008FDD"/>
            </w:tcBorders>
          </w:tcPr>
          <w:p>
            <w:pPr>
              <w:pStyle w:val="TableParagraph"/>
              <w:spacing w:before="39"/>
              <w:jc w:val="left"/>
              <w:rPr>
                <w:sz w:val="14"/>
              </w:rPr>
            </w:pPr>
          </w:p>
          <w:p>
            <w:pPr>
              <w:pStyle w:val="TableParagraph"/>
              <w:spacing w:before="0"/>
              <w:ind w:left="14" w:right="48"/>
              <w:rPr>
                <w:b/>
                <w:sz w:val="14"/>
              </w:rPr>
            </w:pPr>
            <w:r>
              <w:rPr>
                <w:b/>
                <w:color w:val="231F20"/>
                <w:spacing w:val="-2"/>
                <w:w w:val="90"/>
                <w:sz w:val="14"/>
              </w:rPr>
              <w:t>Score</w:t>
            </w:r>
          </w:p>
        </w:tc>
        <w:tc>
          <w:tcPr>
            <w:tcW w:w="574" w:type="dxa"/>
            <w:tcBorders>
              <w:top w:val="single" w:sz="4" w:space="0" w:color="008FDD"/>
              <w:bottom w:val="single" w:sz="4" w:space="0" w:color="008FDD"/>
            </w:tcBorders>
          </w:tcPr>
          <w:p>
            <w:pPr>
              <w:pStyle w:val="TableParagraph"/>
              <w:spacing w:before="40"/>
              <w:ind w:left="201" w:right="-8"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c>
          <w:tcPr>
            <w:tcW w:w="126" w:type="dxa"/>
            <w:tcBorders>
              <w:bottom w:val="single" w:sz="4" w:space="0" w:color="008FDD"/>
            </w:tcBorders>
          </w:tcPr>
          <w:p>
            <w:pPr>
              <w:pStyle w:val="TableParagraph"/>
              <w:spacing w:before="0"/>
              <w:jc w:val="left"/>
              <w:rPr>
                <w:rFonts w:ascii="Times New Roman"/>
                <w:sz w:val="12"/>
              </w:rPr>
            </w:pPr>
          </w:p>
        </w:tc>
        <w:tc>
          <w:tcPr>
            <w:tcW w:w="468" w:type="dxa"/>
            <w:tcBorders>
              <w:top w:val="single" w:sz="4" w:space="0" w:color="008FDD"/>
              <w:bottom w:val="single" w:sz="4" w:space="0" w:color="008FDD"/>
            </w:tcBorders>
          </w:tcPr>
          <w:p>
            <w:pPr>
              <w:pStyle w:val="TableParagraph"/>
              <w:spacing w:before="39"/>
              <w:jc w:val="left"/>
              <w:rPr>
                <w:sz w:val="14"/>
              </w:rPr>
            </w:pPr>
          </w:p>
          <w:p>
            <w:pPr>
              <w:pStyle w:val="TableParagraph"/>
              <w:spacing w:before="0"/>
              <w:ind w:left="8" w:right="45"/>
              <w:rPr>
                <w:b/>
                <w:sz w:val="14"/>
              </w:rPr>
            </w:pPr>
            <w:r>
              <w:rPr>
                <w:b/>
                <w:color w:val="231F20"/>
                <w:spacing w:val="-2"/>
                <w:w w:val="90"/>
                <w:sz w:val="14"/>
              </w:rPr>
              <w:t>Score</w:t>
            </w:r>
          </w:p>
        </w:tc>
        <w:tc>
          <w:tcPr>
            <w:tcW w:w="655" w:type="dxa"/>
            <w:tcBorders>
              <w:top w:val="single" w:sz="4" w:space="0" w:color="008FDD"/>
              <w:bottom w:val="single" w:sz="4" w:space="0" w:color="008FDD"/>
            </w:tcBorders>
          </w:tcPr>
          <w:p>
            <w:pPr>
              <w:pStyle w:val="TableParagraph"/>
              <w:spacing w:before="40"/>
              <w:ind w:left="207" w:hanging="112"/>
              <w:jc w:val="left"/>
              <w:rPr>
                <w:b/>
                <w:sz w:val="14"/>
              </w:rPr>
            </w:pPr>
            <w:r>
              <w:rPr>
                <w:b/>
                <w:color w:val="231F20"/>
                <w:spacing w:val="-2"/>
                <w:w w:val="80"/>
                <w:sz w:val="14"/>
              </w:rPr>
              <w:t>Grouped</w:t>
            </w:r>
            <w:r>
              <w:rPr>
                <w:b/>
                <w:color w:val="231F20"/>
                <w:spacing w:val="40"/>
                <w:sz w:val="14"/>
              </w:rPr>
              <w:t> </w:t>
            </w:r>
            <w:r>
              <w:rPr>
                <w:b/>
                <w:color w:val="231F20"/>
                <w:spacing w:val="-4"/>
                <w:w w:val="95"/>
                <w:sz w:val="14"/>
              </w:rPr>
              <w:t>rank</w:t>
            </w:r>
          </w:p>
        </w:tc>
      </w:tr>
      <w:tr>
        <w:trPr>
          <w:trHeight w:val="254" w:hRule="atLeast"/>
        </w:trPr>
        <w:tc>
          <w:tcPr>
            <w:tcW w:w="990" w:type="dxa"/>
            <w:tcBorders>
              <w:top w:val="single" w:sz="4" w:space="0" w:color="008FDD"/>
            </w:tcBorders>
          </w:tcPr>
          <w:p>
            <w:pPr>
              <w:pStyle w:val="TableParagraph"/>
              <w:spacing w:before="43"/>
              <w:ind w:left="80"/>
              <w:jc w:val="left"/>
              <w:rPr>
                <w:sz w:val="14"/>
              </w:rPr>
            </w:pPr>
            <w:r>
              <w:rPr>
                <w:color w:val="231F20"/>
                <w:spacing w:val="-2"/>
                <w:w w:val="90"/>
                <w:sz w:val="14"/>
              </w:rPr>
              <w:t>Mauritania</w:t>
            </w:r>
          </w:p>
        </w:tc>
        <w:tc>
          <w:tcPr>
            <w:tcW w:w="622" w:type="dxa"/>
            <w:tcBorders>
              <w:top w:val="single" w:sz="4" w:space="0" w:color="008FDD"/>
            </w:tcBorders>
          </w:tcPr>
          <w:p>
            <w:pPr>
              <w:pStyle w:val="TableParagraph"/>
              <w:spacing w:before="43"/>
              <w:ind w:left="30" w:right="129"/>
              <w:rPr>
                <w:sz w:val="14"/>
              </w:rPr>
            </w:pPr>
            <w:r>
              <w:rPr>
                <w:color w:val="231F20"/>
                <w:spacing w:val="-5"/>
                <w:w w:val="95"/>
                <w:sz w:val="14"/>
              </w:rPr>
              <w:t>123</w:t>
            </w:r>
          </w:p>
        </w:tc>
        <w:tc>
          <w:tcPr>
            <w:tcW w:w="644" w:type="dxa"/>
            <w:tcBorders>
              <w:top w:val="single" w:sz="4" w:space="0" w:color="008FDD"/>
            </w:tcBorders>
          </w:tcPr>
          <w:p>
            <w:pPr>
              <w:pStyle w:val="TableParagraph"/>
              <w:spacing w:before="43"/>
              <w:ind w:left="165"/>
              <w:jc w:val="left"/>
              <w:rPr>
                <w:sz w:val="14"/>
              </w:rPr>
            </w:pPr>
            <w:r>
              <w:rPr>
                <w:color w:val="231F20"/>
                <w:spacing w:val="-5"/>
                <w:w w:val="95"/>
                <w:sz w:val="14"/>
              </w:rPr>
              <w:t>2.3</w:t>
            </w:r>
          </w:p>
        </w:tc>
        <w:tc>
          <w:tcPr>
            <w:tcW w:w="480" w:type="dxa"/>
            <w:tcBorders>
              <w:top w:val="single" w:sz="4" w:space="0" w:color="008FDD"/>
            </w:tcBorders>
          </w:tcPr>
          <w:p>
            <w:pPr>
              <w:pStyle w:val="TableParagraph"/>
              <w:spacing w:before="43"/>
              <w:ind w:left="106"/>
              <w:jc w:val="left"/>
              <w:rPr>
                <w:sz w:val="14"/>
              </w:rPr>
            </w:pPr>
            <w:r>
              <w:rPr>
                <w:color w:val="231F20"/>
                <w:spacing w:val="-5"/>
                <w:w w:val="95"/>
                <w:sz w:val="14"/>
              </w:rPr>
              <w:t>1.9</w:t>
            </w:r>
          </w:p>
        </w:tc>
        <w:tc>
          <w:tcPr>
            <w:tcW w:w="582" w:type="dxa"/>
            <w:tcBorders>
              <w:top w:val="single" w:sz="4" w:space="0" w:color="008FDD"/>
            </w:tcBorders>
          </w:tcPr>
          <w:p>
            <w:pPr>
              <w:pStyle w:val="TableParagraph"/>
              <w:spacing w:before="43"/>
              <w:ind w:left="6" w:right="6"/>
              <w:rPr>
                <w:sz w:val="14"/>
              </w:rPr>
            </w:pPr>
            <w:r>
              <w:rPr>
                <w:color w:val="231F20"/>
                <w:spacing w:val="-5"/>
                <w:w w:val="95"/>
                <w:sz w:val="14"/>
              </w:rPr>
              <w:t>2.7</w:t>
            </w:r>
          </w:p>
        </w:tc>
        <w:tc>
          <w:tcPr>
            <w:tcW w:w="80" w:type="dxa"/>
            <w:tcBorders>
              <w:top w:val="single" w:sz="4" w:space="0" w:color="008FDD"/>
            </w:tcBorders>
          </w:tcPr>
          <w:p>
            <w:pPr>
              <w:pStyle w:val="TableParagraph"/>
              <w:spacing w:before="0"/>
              <w:jc w:val="left"/>
              <w:rPr>
                <w:rFonts w:ascii="Times New Roman"/>
                <w:sz w:val="12"/>
              </w:rPr>
            </w:pPr>
          </w:p>
        </w:tc>
        <w:tc>
          <w:tcPr>
            <w:tcW w:w="463" w:type="dxa"/>
            <w:tcBorders>
              <w:top w:val="single" w:sz="4" w:space="0" w:color="008FDD"/>
            </w:tcBorders>
          </w:tcPr>
          <w:p>
            <w:pPr>
              <w:pStyle w:val="TableParagraph"/>
              <w:spacing w:before="43"/>
              <w:ind w:right="48"/>
              <w:rPr>
                <w:sz w:val="14"/>
              </w:rPr>
            </w:pPr>
            <w:r>
              <w:rPr>
                <w:color w:val="231F20"/>
                <w:spacing w:val="-5"/>
                <w:w w:val="95"/>
                <w:sz w:val="14"/>
              </w:rPr>
              <w:t>2.1</w:t>
            </w:r>
          </w:p>
        </w:tc>
        <w:tc>
          <w:tcPr>
            <w:tcW w:w="574" w:type="dxa"/>
            <w:tcBorders>
              <w:top w:val="single" w:sz="4" w:space="0" w:color="008FDD"/>
            </w:tcBorders>
          </w:tcPr>
          <w:p>
            <w:pPr>
              <w:pStyle w:val="TableParagraph"/>
              <w:spacing w:before="43"/>
              <w:ind w:left="161" w:right="139"/>
              <w:rPr>
                <w:sz w:val="14"/>
              </w:rPr>
            </w:pPr>
            <w:r>
              <w:rPr>
                <w:color w:val="231F20"/>
                <w:spacing w:val="-5"/>
                <w:w w:val="95"/>
                <w:sz w:val="14"/>
              </w:rPr>
              <w:t>120</w:t>
            </w:r>
          </w:p>
        </w:tc>
        <w:tc>
          <w:tcPr>
            <w:tcW w:w="126" w:type="dxa"/>
            <w:tcBorders>
              <w:top w:val="single" w:sz="4" w:space="0" w:color="008FDD"/>
            </w:tcBorders>
          </w:tcPr>
          <w:p>
            <w:pPr>
              <w:pStyle w:val="TableParagraph"/>
              <w:spacing w:before="0"/>
              <w:jc w:val="left"/>
              <w:rPr>
                <w:rFonts w:ascii="Times New Roman"/>
                <w:sz w:val="12"/>
              </w:rPr>
            </w:pPr>
          </w:p>
        </w:tc>
        <w:tc>
          <w:tcPr>
            <w:tcW w:w="463" w:type="dxa"/>
            <w:tcBorders>
              <w:top w:val="single" w:sz="4" w:space="0" w:color="008FDD"/>
            </w:tcBorders>
          </w:tcPr>
          <w:p>
            <w:pPr>
              <w:pStyle w:val="TableParagraph"/>
              <w:spacing w:before="43"/>
              <w:ind w:left="11" w:right="48"/>
              <w:rPr>
                <w:sz w:val="14"/>
              </w:rPr>
            </w:pPr>
            <w:r>
              <w:rPr>
                <w:color w:val="231F20"/>
                <w:spacing w:val="-5"/>
                <w:w w:val="95"/>
                <w:sz w:val="14"/>
              </w:rPr>
              <w:t>2.0</w:t>
            </w:r>
          </w:p>
        </w:tc>
        <w:tc>
          <w:tcPr>
            <w:tcW w:w="574" w:type="dxa"/>
            <w:tcBorders>
              <w:top w:val="single" w:sz="4" w:space="0" w:color="008FDD"/>
            </w:tcBorders>
          </w:tcPr>
          <w:p>
            <w:pPr>
              <w:pStyle w:val="TableParagraph"/>
              <w:spacing w:before="43"/>
              <w:ind w:left="161" w:right="138"/>
              <w:rPr>
                <w:sz w:val="14"/>
              </w:rPr>
            </w:pPr>
            <w:r>
              <w:rPr>
                <w:color w:val="231F20"/>
                <w:spacing w:val="-5"/>
                <w:w w:val="95"/>
                <w:sz w:val="14"/>
              </w:rPr>
              <w:t>130</w:t>
            </w:r>
          </w:p>
        </w:tc>
        <w:tc>
          <w:tcPr>
            <w:tcW w:w="126" w:type="dxa"/>
            <w:tcBorders>
              <w:top w:val="single" w:sz="4" w:space="0" w:color="008FDD"/>
            </w:tcBorders>
          </w:tcPr>
          <w:p>
            <w:pPr>
              <w:pStyle w:val="TableParagraph"/>
              <w:spacing w:before="0"/>
              <w:jc w:val="left"/>
              <w:rPr>
                <w:rFonts w:ascii="Times New Roman"/>
                <w:sz w:val="12"/>
              </w:rPr>
            </w:pPr>
          </w:p>
        </w:tc>
        <w:tc>
          <w:tcPr>
            <w:tcW w:w="463" w:type="dxa"/>
            <w:tcBorders>
              <w:top w:val="single" w:sz="4" w:space="0" w:color="008FDD"/>
            </w:tcBorders>
          </w:tcPr>
          <w:p>
            <w:pPr>
              <w:pStyle w:val="TableParagraph"/>
              <w:spacing w:before="43"/>
              <w:ind w:left="11" w:right="48"/>
              <w:rPr>
                <w:sz w:val="14"/>
              </w:rPr>
            </w:pPr>
            <w:r>
              <w:rPr>
                <w:color w:val="231F20"/>
                <w:spacing w:val="-5"/>
                <w:w w:val="95"/>
                <w:sz w:val="14"/>
              </w:rPr>
              <w:t>2.2</w:t>
            </w:r>
          </w:p>
        </w:tc>
        <w:tc>
          <w:tcPr>
            <w:tcW w:w="574" w:type="dxa"/>
            <w:tcBorders>
              <w:top w:val="single" w:sz="4" w:space="0" w:color="008FDD"/>
            </w:tcBorders>
          </w:tcPr>
          <w:p>
            <w:pPr>
              <w:pStyle w:val="TableParagraph"/>
              <w:spacing w:before="43"/>
              <w:ind w:left="161" w:right="135"/>
              <w:rPr>
                <w:sz w:val="14"/>
              </w:rPr>
            </w:pPr>
            <w:r>
              <w:rPr>
                <w:color w:val="231F20"/>
                <w:spacing w:val="-5"/>
                <w:w w:val="95"/>
                <w:sz w:val="14"/>
              </w:rPr>
              <w:t>128</w:t>
            </w:r>
          </w:p>
        </w:tc>
        <w:tc>
          <w:tcPr>
            <w:tcW w:w="126" w:type="dxa"/>
            <w:tcBorders>
              <w:top w:val="single" w:sz="4" w:space="0" w:color="008FDD"/>
            </w:tcBorders>
          </w:tcPr>
          <w:p>
            <w:pPr>
              <w:pStyle w:val="TableParagraph"/>
              <w:spacing w:before="0"/>
              <w:jc w:val="left"/>
              <w:rPr>
                <w:rFonts w:ascii="Times New Roman"/>
                <w:sz w:val="12"/>
              </w:rPr>
            </w:pPr>
          </w:p>
        </w:tc>
        <w:tc>
          <w:tcPr>
            <w:tcW w:w="463" w:type="dxa"/>
            <w:tcBorders>
              <w:top w:val="single" w:sz="4" w:space="0" w:color="008FDD"/>
            </w:tcBorders>
          </w:tcPr>
          <w:p>
            <w:pPr>
              <w:pStyle w:val="TableParagraph"/>
              <w:spacing w:before="43"/>
              <w:ind w:left="13" w:right="48"/>
              <w:rPr>
                <w:sz w:val="14"/>
              </w:rPr>
            </w:pPr>
            <w:r>
              <w:rPr>
                <w:color w:val="231F20"/>
                <w:spacing w:val="-5"/>
                <w:w w:val="95"/>
                <w:sz w:val="14"/>
              </w:rPr>
              <w:t>2.5</w:t>
            </w:r>
          </w:p>
        </w:tc>
        <w:tc>
          <w:tcPr>
            <w:tcW w:w="574" w:type="dxa"/>
            <w:tcBorders>
              <w:top w:val="single" w:sz="4" w:space="0" w:color="008FDD"/>
            </w:tcBorders>
          </w:tcPr>
          <w:p>
            <w:pPr>
              <w:pStyle w:val="TableParagraph"/>
              <w:spacing w:before="43"/>
              <w:ind w:left="161" w:right="136"/>
              <w:rPr>
                <w:sz w:val="14"/>
              </w:rPr>
            </w:pPr>
            <w:r>
              <w:rPr>
                <w:color w:val="231F20"/>
                <w:spacing w:val="-5"/>
                <w:w w:val="95"/>
                <w:sz w:val="14"/>
              </w:rPr>
              <w:t>103</w:t>
            </w:r>
          </w:p>
        </w:tc>
        <w:tc>
          <w:tcPr>
            <w:tcW w:w="126" w:type="dxa"/>
            <w:tcBorders>
              <w:top w:val="single" w:sz="4" w:space="0" w:color="008FDD"/>
            </w:tcBorders>
          </w:tcPr>
          <w:p>
            <w:pPr>
              <w:pStyle w:val="TableParagraph"/>
              <w:spacing w:before="0"/>
              <w:jc w:val="left"/>
              <w:rPr>
                <w:rFonts w:ascii="Times New Roman"/>
                <w:sz w:val="12"/>
              </w:rPr>
            </w:pPr>
          </w:p>
        </w:tc>
        <w:tc>
          <w:tcPr>
            <w:tcW w:w="463" w:type="dxa"/>
            <w:tcBorders>
              <w:top w:val="single" w:sz="4" w:space="0" w:color="008FDD"/>
            </w:tcBorders>
          </w:tcPr>
          <w:p>
            <w:pPr>
              <w:pStyle w:val="TableParagraph"/>
              <w:spacing w:before="43"/>
              <w:ind w:left="14" w:right="48"/>
              <w:rPr>
                <w:sz w:val="14"/>
              </w:rPr>
            </w:pPr>
            <w:r>
              <w:rPr>
                <w:color w:val="231F20"/>
                <w:spacing w:val="-5"/>
                <w:w w:val="95"/>
                <w:sz w:val="14"/>
              </w:rPr>
              <w:t>2.8</w:t>
            </w:r>
          </w:p>
        </w:tc>
        <w:tc>
          <w:tcPr>
            <w:tcW w:w="574" w:type="dxa"/>
            <w:tcBorders>
              <w:top w:val="single" w:sz="4" w:space="0" w:color="008FDD"/>
            </w:tcBorders>
          </w:tcPr>
          <w:p>
            <w:pPr>
              <w:pStyle w:val="TableParagraph"/>
              <w:spacing w:before="43"/>
              <w:ind w:left="161" w:right="132"/>
              <w:rPr>
                <w:sz w:val="14"/>
              </w:rPr>
            </w:pPr>
            <w:r>
              <w:rPr>
                <w:color w:val="231F20"/>
                <w:spacing w:val="-5"/>
                <w:w w:val="95"/>
                <w:sz w:val="14"/>
              </w:rPr>
              <w:t>101</w:t>
            </w:r>
          </w:p>
        </w:tc>
        <w:tc>
          <w:tcPr>
            <w:tcW w:w="126" w:type="dxa"/>
            <w:tcBorders>
              <w:top w:val="single" w:sz="4" w:space="0" w:color="008FDD"/>
            </w:tcBorders>
          </w:tcPr>
          <w:p>
            <w:pPr>
              <w:pStyle w:val="TableParagraph"/>
              <w:spacing w:before="0"/>
              <w:jc w:val="left"/>
              <w:rPr>
                <w:rFonts w:ascii="Times New Roman"/>
                <w:sz w:val="12"/>
              </w:rPr>
            </w:pPr>
          </w:p>
        </w:tc>
        <w:tc>
          <w:tcPr>
            <w:tcW w:w="468" w:type="dxa"/>
            <w:tcBorders>
              <w:top w:val="single" w:sz="4" w:space="0" w:color="008FDD"/>
            </w:tcBorders>
          </w:tcPr>
          <w:p>
            <w:pPr>
              <w:pStyle w:val="TableParagraph"/>
              <w:spacing w:before="43"/>
              <w:ind w:left="8" w:right="45"/>
              <w:rPr>
                <w:sz w:val="14"/>
              </w:rPr>
            </w:pPr>
            <w:r>
              <w:rPr>
                <w:color w:val="231F20"/>
                <w:spacing w:val="-5"/>
                <w:w w:val="95"/>
                <w:sz w:val="14"/>
              </w:rPr>
              <w:t>2.5</w:t>
            </w:r>
          </w:p>
        </w:tc>
        <w:tc>
          <w:tcPr>
            <w:tcW w:w="655" w:type="dxa"/>
            <w:tcBorders>
              <w:top w:val="single" w:sz="4" w:space="0" w:color="008FDD"/>
            </w:tcBorders>
          </w:tcPr>
          <w:p>
            <w:pPr>
              <w:pStyle w:val="TableParagraph"/>
              <w:spacing w:before="43"/>
              <w:ind w:left="72" w:right="68"/>
              <w:rPr>
                <w:sz w:val="14"/>
              </w:rPr>
            </w:pPr>
            <w:r>
              <w:rPr>
                <w:color w:val="231F20"/>
                <w:spacing w:val="-5"/>
                <w:w w:val="95"/>
                <w:sz w:val="14"/>
              </w:rPr>
              <w:t>98</w:t>
            </w:r>
          </w:p>
        </w:tc>
      </w:tr>
      <w:tr>
        <w:trPr>
          <w:trHeight w:val="419" w:hRule="atLeast"/>
        </w:trPr>
        <w:tc>
          <w:tcPr>
            <w:tcW w:w="990" w:type="dxa"/>
            <w:shd w:val="clear" w:color="auto" w:fill="D4E3F5"/>
          </w:tcPr>
          <w:p>
            <w:pPr>
              <w:pStyle w:val="TableParagraph"/>
              <w:ind w:left="80" w:right="306"/>
              <w:jc w:val="left"/>
              <w:rPr>
                <w:sz w:val="14"/>
              </w:rPr>
            </w:pPr>
            <w:r>
              <w:rPr>
                <w:color w:val="231F20"/>
                <w:w w:val="80"/>
                <w:sz w:val="14"/>
              </w:rPr>
              <w:t>Syrian</w:t>
            </w:r>
            <w:r>
              <w:rPr>
                <w:color w:val="231F20"/>
                <w:spacing w:val="-2"/>
                <w:w w:val="80"/>
                <w:sz w:val="14"/>
              </w:rPr>
              <w:t> </w:t>
            </w:r>
            <w:r>
              <w:rPr>
                <w:color w:val="231F20"/>
                <w:w w:val="80"/>
                <w:sz w:val="14"/>
              </w:rPr>
              <w:t>Arab</w:t>
            </w:r>
            <w:r>
              <w:rPr>
                <w:color w:val="231F20"/>
                <w:spacing w:val="40"/>
                <w:sz w:val="14"/>
              </w:rPr>
              <w:t> </w:t>
            </w:r>
            <w:r>
              <w:rPr>
                <w:color w:val="231F20"/>
                <w:spacing w:val="-2"/>
                <w:w w:val="90"/>
                <w:sz w:val="14"/>
              </w:rPr>
              <w:t>Republic</w:t>
            </w:r>
          </w:p>
        </w:tc>
        <w:tc>
          <w:tcPr>
            <w:tcW w:w="622" w:type="dxa"/>
            <w:shd w:val="clear" w:color="auto" w:fill="D4E3F5"/>
          </w:tcPr>
          <w:p>
            <w:pPr>
              <w:pStyle w:val="TableParagraph"/>
              <w:spacing w:before="47"/>
              <w:jc w:val="left"/>
              <w:rPr>
                <w:sz w:val="14"/>
              </w:rPr>
            </w:pPr>
          </w:p>
          <w:p>
            <w:pPr>
              <w:pStyle w:val="TableParagraph"/>
              <w:spacing w:before="0"/>
              <w:ind w:left="30" w:right="129"/>
              <w:rPr>
                <w:sz w:val="14"/>
              </w:rPr>
            </w:pPr>
            <w:r>
              <w:rPr>
                <w:color w:val="231F20"/>
                <w:spacing w:val="-5"/>
                <w:w w:val="95"/>
                <w:sz w:val="14"/>
              </w:rPr>
              <w:t>123</w:t>
            </w:r>
          </w:p>
        </w:tc>
        <w:tc>
          <w:tcPr>
            <w:tcW w:w="644" w:type="dxa"/>
            <w:shd w:val="clear" w:color="auto" w:fill="D4E3F5"/>
          </w:tcPr>
          <w:p>
            <w:pPr>
              <w:pStyle w:val="TableParagraph"/>
              <w:spacing w:before="47"/>
              <w:jc w:val="left"/>
              <w:rPr>
                <w:sz w:val="14"/>
              </w:rPr>
            </w:pPr>
          </w:p>
          <w:p>
            <w:pPr>
              <w:pStyle w:val="TableParagraph"/>
              <w:spacing w:before="0"/>
              <w:ind w:left="165"/>
              <w:jc w:val="left"/>
              <w:rPr>
                <w:sz w:val="14"/>
              </w:rPr>
            </w:pPr>
            <w:r>
              <w:rPr>
                <w:color w:val="231F20"/>
                <w:spacing w:val="-5"/>
                <w:w w:val="95"/>
                <w:sz w:val="14"/>
              </w:rPr>
              <w:t>2.3</w:t>
            </w:r>
          </w:p>
        </w:tc>
        <w:tc>
          <w:tcPr>
            <w:tcW w:w="480" w:type="dxa"/>
            <w:shd w:val="clear" w:color="auto" w:fill="D4E3F5"/>
          </w:tcPr>
          <w:p>
            <w:pPr>
              <w:pStyle w:val="TableParagraph"/>
              <w:spacing w:before="47"/>
              <w:jc w:val="left"/>
              <w:rPr>
                <w:sz w:val="14"/>
              </w:rPr>
            </w:pPr>
          </w:p>
          <w:p>
            <w:pPr>
              <w:pStyle w:val="TableParagraph"/>
              <w:spacing w:before="0"/>
              <w:ind w:left="108"/>
              <w:jc w:val="left"/>
              <w:rPr>
                <w:sz w:val="14"/>
              </w:rPr>
            </w:pPr>
            <w:r>
              <w:rPr>
                <w:color w:val="231F20"/>
                <w:spacing w:val="-5"/>
                <w:w w:val="95"/>
                <w:sz w:val="14"/>
              </w:rPr>
              <w:t>2.1</w:t>
            </w:r>
          </w:p>
        </w:tc>
        <w:tc>
          <w:tcPr>
            <w:tcW w:w="582" w:type="dxa"/>
            <w:shd w:val="clear" w:color="auto" w:fill="D4E3F5"/>
          </w:tcPr>
          <w:p>
            <w:pPr>
              <w:pStyle w:val="TableParagraph"/>
              <w:spacing w:before="47"/>
              <w:jc w:val="left"/>
              <w:rPr>
                <w:sz w:val="14"/>
              </w:rPr>
            </w:pPr>
          </w:p>
          <w:p>
            <w:pPr>
              <w:pStyle w:val="TableParagraph"/>
              <w:spacing w:before="0"/>
              <w:ind w:left="6" w:right="6"/>
              <w:rPr>
                <w:sz w:val="14"/>
              </w:rPr>
            </w:pPr>
            <w:r>
              <w:rPr>
                <w:color w:val="231F20"/>
                <w:spacing w:val="-5"/>
                <w:w w:val="95"/>
                <w:sz w:val="14"/>
              </w:rPr>
              <w:t>2.5</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8" w:right="48"/>
              <w:rPr>
                <w:sz w:val="14"/>
              </w:rPr>
            </w:pPr>
            <w:r>
              <w:rPr>
                <w:color w:val="231F20"/>
                <w:spacing w:val="-5"/>
                <w:w w:val="95"/>
                <w:sz w:val="14"/>
              </w:rPr>
              <w:t>2.2</w:t>
            </w:r>
          </w:p>
        </w:tc>
        <w:tc>
          <w:tcPr>
            <w:tcW w:w="574" w:type="dxa"/>
            <w:shd w:val="clear" w:color="auto" w:fill="D4E3F5"/>
          </w:tcPr>
          <w:p>
            <w:pPr>
              <w:pStyle w:val="TableParagraph"/>
              <w:spacing w:before="47"/>
              <w:jc w:val="left"/>
              <w:rPr>
                <w:sz w:val="14"/>
              </w:rPr>
            </w:pPr>
          </w:p>
          <w:p>
            <w:pPr>
              <w:pStyle w:val="TableParagraph"/>
              <w:spacing w:before="0"/>
              <w:ind w:left="161" w:right="130"/>
              <w:rPr>
                <w:sz w:val="14"/>
              </w:rPr>
            </w:pPr>
            <w:r>
              <w:rPr>
                <w:color w:val="231F20"/>
                <w:spacing w:val="-5"/>
                <w:w w:val="95"/>
                <w:sz w:val="14"/>
              </w:rPr>
              <w:t>110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10" w:right="48"/>
              <w:rPr>
                <w:sz w:val="14"/>
              </w:rPr>
            </w:pPr>
            <w:r>
              <w:rPr>
                <w:color w:val="231F20"/>
                <w:spacing w:val="-5"/>
                <w:w w:val="95"/>
                <w:sz w:val="14"/>
              </w:rPr>
              <w:t>2.2</w:t>
            </w:r>
          </w:p>
        </w:tc>
        <w:tc>
          <w:tcPr>
            <w:tcW w:w="574" w:type="dxa"/>
            <w:shd w:val="clear" w:color="auto" w:fill="D4E3F5"/>
          </w:tcPr>
          <w:p>
            <w:pPr>
              <w:pStyle w:val="TableParagraph"/>
              <w:spacing w:before="47"/>
              <w:jc w:val="left"/>
              <w:rPr>
                <w:sz w:val="14"/>
              </w:rPr>
            </w:pPr>
          </w:p>
          <w:p>
            <w:pPr>
              <w:pStyle w:val="TableParagraph"/>
              <w:spacing w:before="0"/>
              <w:ind w:left="161" w:right="128"/>
              <w:rPr>
                <w:sz w:val="14"/>
              </w:rPr>
            </w:pPr>
            <w:r>
              <w:rPr>
                <w:color w:val="231F20"/>
                <w:spacing w:val="-5"/>
                <w:w w:val="95"/>
                <w:sz w:val="14"/>
              </w:rPr>
              <w:t>118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11" w:right="48"/>
              <w:rPr>
                <w:sz w:val="14"/>
              </w:rPr>
            </w:pPr>
            <w:r>
              <w:rPr>
                <w:color w:val="231F20"/>
                <w:spacing w:val="-5"/>
                <w:w w:val="95"/>
                <w:sz w:val="14"/>
              </w:rPr>
              <w:t>2.3</w:t>
            </w:r>
          </w:p>
        </w:tc>
        <w:tc>
          <w:tcPr>
            <w:tcW w:w="574" w:type="dxa"/>
            <w:shd w:val="clear" w:color="auto" w:fill="D4E3F5"/>
          </w:tcPr>
          <w:p>
            <w:pPr>
              <w:pStyle w:val="TableParagraph"/>
              <w:spacing w:before="47"/>
              <w:jc w:val="left"/>
              <w:rPr>
                <w:sz w:val="14"/>
              </w:rPr>
            </w:pPr>
          </w:p>
          <w:p>
            <w:pPr>
              <w:pStyle w:val="TableParagraph"/>
              <w:spacing w:before="0"/>
              <w:ind w:left="161" w:right="134"/>
              <w:rPr>
                <w:sz w:val="14"/>
              </w:rPr>
            </w:pPr>
            <w:r>
              <w:rPr>
                <w:color w:val="231F20"/>
                <w:spacing w:val="-5"/>
                <w:w w:val="95"/>
                <w:sz w:val="14"/>
              </w:rPr>
              <w:t>121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13" w:right="48"/>
              <w:rPr>
                <w:sz w:val="14"/>
              </w:rPr>
            </w:pPr>
            <w:r>
              <w:rPr>
                <w:color w:val="231F20"/>
                <w:spacing w:val="-5"/>
                <w:w w:val="95"/>
                <w:sz w:val="14"/>
              </w:rPr>
              <w:t>2.2</w:t>
            </w:r>
          </w:p>
        </w:tc>
        <w:tc>
          <w:tcPr>
            <w:tcW w:w="574" w:type="dxa"/>
            <w:shd w:val="clear" w:color="auto" w:fill="D4E3F5"/>
          </w:tcPr>
          <w:p>
            <w:pPr>
              <w:pStyle w:val="TableParagraph"/>
              <w:spacing w:before="47"/>
              <w:jc w:val="left"/>
              <w:rPr>
                <w:sz w:val="14"/>
              </w:rPr>
            </w:pPr>
          </w:p>
          <w:p>
            <w:pPr>
              <w:pStyle w:val="TableParagraph"/>
              <w:spacing w:before="0"/>
              <w:ind w:left="161" w:right="134"/>
              <w:rPr>
                <w:sz w:val="14"/>
              </w:rPr>
            </w:pPr>
            <w:r>
              <w:rPr>
                <w:color w:val="231F20"/>
                <w:spacing w:val="-5"/>
                <w:w w:val="95"/>
                <w:sz w:val="14"/>
              </w:rPr>
              <w:t>126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spacing w:before="47"/>
              <w:jc w:val="left"/>
              <w:rPr>
                <w:sz w:val="14"/>
              </w:rPr>
            </w:pPr>
          </w:p>
          <w:p>
            <w:pPr>
              <w:pStyle w:val="TableParagraph"/>
              <w:spacing w:before="0"/>
              <w:ind w:left="14" w:right="48"/>
              <w:rPr>
                <w:sz w:val="14"/>
              </w:rPr>
            </w:pPr>
            <w:r>
              <w:rPr>
                <w:color w:val="231F20"/>
                <w:spacing w:val="-5"/>
                <w:w w:val="95"/>
                <w:sz w:val="14"/>
              </w:rPr>
              <w:t>2.5</w:t>
            </w:r>
          </w:p>
        </w:tc>
        <w:tc>
          <w:tcPr>
            <w:tcW w:w="574" w:type="dxa"/>
            <w:shd w:val="clear" w:color="auto" w:fill="D4E3F5"/>
          </w:tcPr>
          <w:p>
            <w:pPr>
              <w:pStyle w:val="TableParagraph"/>
              <w:spacing w:before="47"/>
              <w:jc w:val="left"/>
              <w:rPr>
                <w:sz w:val="14"/>
              </w:rPr>
            </w:pPr>
          </w:p>
          <w:p>
            <w:pPr>
              <w:pStyle w:val="TableParagraph"/>
              <w:spacing w:before="0"/>
              <w:ind w:left="161" w:right="127"/>
              <w:rPr>
                <w:sz w:val="14"/>
              </w:rPr>
            </w:pPr>
            <w:r>
              <w:rPr>
                <w:color w:val="231F20"/>
                <w:spacing w:val="-5"/>
                <w:w w:val="95"/>
                <w:sz w:val="14"/>
              </w:rPr>
              <w:t>124</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spacing w:before="47"/>
              <w:jc w:val="left"/>
              <w:rPr>
                <w:sz w:val="14"/>
              </w:rPr>
            </w:pPr>
          </w:p>
          <w:p>
            <w:pPr>
              <w:pStyle w:val="TableParagraph"/>
              <w:spacing w:before="0"/>
              <w:ind w:left="8" w:right="45"/>
              <w:rPr>
                <w:sz w:val="14"/>
              </w:rPr>
            </w:pPr>
            <w:r>
              <w:rPr>
                <w:color w:val="231F20"/>
                <w:spacing w:val="-5"/>
                <w:w w:val="95"/>
                <w:sz w:val="14"/>
              </w:rPr>
              <w:t>2.3</w:t>
            </w:r>
          </w:p>
        </w:tc>
        <w:tc>
          <w:tcPr>
            <w:tcW w:w="655" w:type="dxa"/>
            <w:shd w:val="clear" w:color="auto" w:fill="D4E3F5"/>
          </w:tcPr>
          <w:p>
            <w:pPr>
              <w:pStyle w:val="TableParagraph"/>
              <w:spacing w:before="47"/>
              <w:jc w:val="left"/>
              <w:rPr>
                <w:sz w:val="14"/>
              </w:rPr>
            </w:pPr>
          </w:p>
          <w:p>
            <w:pPr>
              <w:pStyle w:val="TableParagraph"/>
              <w:spacing w:before="0"/>
              <w:ind w:left="72" w:right="120"/>
              <w:rPr>
                <w:sz w:val="14"/>
              </w:rPr>
            </w:pPr>
            <w:r>
              <w:rPr>
                <w:color w:val="231F20"/>
                <w:spacing w:val="-5"/>
                <w:w w:val="95"/>
                <w:sz w:val="14"/>
              </w:rPr>
              <w:t>117</w:t>
            </w:r>
          </w:p>
        </w:tc>
      </w:tr>
      <w:tr>
        <w:trPr>
          <w:trHeight w:val="259" w:hRule="atLeast"/>
        </w:trPr>
        <w:tc>
          <w:tcPr>
            <w:tcW w:w="990" w:type="dxa"/>
          </w:tcPr>
          <w:p>
            <w:pPr>
              <w:pStyle w:val="TableParagraph"/>
              <w:ind w:left="80"/>
              <w:jc w:val="left"/>
              <w:rPr>
                <w:sz w:val="14"/>
              </w:rPr>
            </w:pPr>
            <w:r>
              <w:rPr>
                <w:color w:val="231F20"/>
                <w:w w:val="75"/>
                <w:sz w:val="14"/>
              </w:rPr>
              <w:t>Venezuela,</w:t>
            </w:r>
            <w:r>
              <w:rPr>
                <w:color w:val="231F20"/>
                <w:spacing w:val="7"/>
                <w:sz w:val="14"/>
              </w:rPr>
              <w:t> </w:t>
            </w:r>
            <w:r>
              <w:rPr>
                <w:color w:val="231F20"/>
                <w:spacing w:val="-5"/>
                <w:w w:val="85"/>
                <w:sz w:val="14"/>
              </w:rPr>
              <w:t>RB</w:t>
            </w:r>
          </w:p>
        </w:tc>
        <w:tc>
          <w:tcPr>
            <w:tcW w:w="622" w:type="dxa"/>
          </w:tcPr>
          <w:p>
            <w:pPr>
              <w:pStyle w:val="TableParagraph"/>
              <w:ind w:left="30" w:right="129"/>
              <w:rPr>
                <w:sz w:val="14"/>
              </w:rPr>
            </w:pPr>
            <w:r>
              <w:rPr>
                <w:color w:val="231F20"/>
                <w:spacing w:val="-5"/>
                <w:w w:val="95"/>
                <w:sz w:val="14"/>
              </w:rPr>
              <w:t>123</w:t>
            </w:r>
          </w:p>
        </w:tc>
        <w:tc>
          <w:tcPr>
            <w:tcW w:w="644" w:type="dxa"/>
          </w:tcPr>
          <w:p>
            <w:pPr>
              <w:pStyle w:val="TableParagraph"/>
              <w:ind w:left="165"/>
              <w:jc w:val="left"/>
              <w:rPr>
                <w:sz w:val="14"/>
              </w:rPr>
            </w:pPr>
            <w:r>
              <w:rPr>
                <w:color w:val="231F20"/>
                <w:spacing w:val="-5"/>
                <w:w w:val="95"/>
                <w:sz w:val="14"/>
              </w:rPr>
              <w:t>2.3</w:t>
            </w:r>
          </w:p>
        </w:tc>
        <w:tc>
          <w:tcPr>
            <w:tcW w:w="480" w:type="dxa"/>
          </w:tcPr>
          <w:p>
            <w:pPr>
              <w:pStyle w:val="TableParagraph"/>
              <w:ind w:left="103"/>
              <w:jc w:val="left"/>
              <w:rPr>
                <w:sz w:val="14"/>
              </w:rPr>
            </w:pPr>
            <w:r>
              <w:rPr>
                <w:color w:val="231F20"/>
                <w:spacing w:val="-5"/>
                <w:w w:val="95"/>
                <w:sz w:val="14"/>
              </w:rPr>
              <w:t>2.0</w:t>
            </w:r>
          </w:p>
        </w:tc>
        <w:tc>
          <w:tcPr>
            <w:tcW w:w="582" w:type="dxa"/>
          </w:tcPr>
          <w:p>
            <w:pPr>
              <w:pStyle w:val="TableParagraph"/>
              <w:ind w:left="6" w:right="6"/>
              <w:rPr>
                <w:sz w:val="14"/>
              </w:rPr>
            </w:pPr>
            <w:r>
              <w:rPr>
                <w:color w:val="231F20"/>
                <w:spacing w:val="-5"/>
                <w:w w:val="95"/>
                <w:sz w:val="14"/>
              </w:rPr>
              <w:t>2.6</w:t>
            </w:r>
          </w:p>
        </w:tc>
        <w:tc>
          <w:tcPr>
            <w:tcW w:w="80" w:type="dxa"/>
          </w:tcPr>
          <w:p>
            <w:pPr>
              <w:pStyle w:val="TableParagraph"/>
              <w:spacing w:before="0"/>
              <w:jc w:val="left"/>
              <w:rPr>
                <w:rFonts w:ascii="Times New Roman"/>
                <w:sz w:val="12"/>
              </w:rPr>
            </w:pPr>
          </w:p>
        </w:tc>
        <w:tc>
          <w:tcPr>
            <w:tcW w:w="463" w:type="dxa"/>
          </w:tcPr>
          <w:p>
            <w:pPr>
              <w:pStyle w:val="TableParagraph"/>
              <w:ind w:right="48"/>
              <w:rPr>
                <w:sz w:val="14"/>
              </w:rPr>
            </w:pPr>
            <w:r>
              <w:rPr>
                <w:color w:val="231F20"/>
                <w:spacing w:val="-5"/>
                <w:w w:val="95"/>
                <w:sz w:val="14"/>
              </w:rPr>
              <w:t>2.1</w:t>
            </w:r>
          </w:p>
        </w:tc>
        <w:tc>
          <w:tcPr>
            <w:tcW w:w="574" w:type="dxa"/>
          </w:tcPr>
          <w:p>
            <w:pPr>
              <w:pStyle w:val="TableParagraph"/>
              <w:ind w:left="161" w:right="139"/>
              <w:rPr>
                <w:sz w:val="14"/>
              </w:rPr>
            </w:pPr>
            <w:r>
              <w:rPr>
                <w:color w:val="231F20"/>
                <w:spacing w:val="-5"/>
                <w:w w:val="95"/>
                <w:sz w:val="14"/>
              </w:rPr>
              <w:t>120</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2.4</w:t>
            </w:r>
          </w:p>
        </w:tc>
        <w:tc>
          <w:tcPr>
            <w:tcW w:w="574" w:type="dxa"/>
          </w:tcPr>
          <w:p>
            <w:pPr>
              <w:pStyle w:val="TableParagraph"/>
              <w:ind w:left="161" w:right="72"/>
              <w:rPr>
                <w:sz w:val="14"/>
              </w:rPr>
            </w:pPr>
            <w:r>
              <w:rPr>
                <w:color w:val="231F20"/>
                <w:spacing w:val="-5"/>
                <w:w w:val="95"/>
                <w:sz w:val="14"/>
              </w:rPr>
              <w:t>89</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2.0</w:t>
            </w:r>
          </w:p>
        </w:tc>
        <w:tc>
          <w:tcPr>
            <w:tcW w:w="574" w:type="dxa"/>
          </w:tcPr>
          <w:p>
            <w:pPr>
              <w:pStyle w:val="TableParagraph"/>
              <w:ind w:left="161" w:right="137"/>
              <w:rPr>
                <w:sz w:val="14"/>
              </w:rPr>
            </w:pPr>
            <w:r>
              <w:rPr>
                <w:color w:val="231F20"/>
                <w:spacing w:val="-5"/>
                <w:w w:val="95"/>
                <w:sz w:val="14"/>
              </w:rPr>
              <w:t>135</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2.5</w:t>
            </w:r>
          </w:p>
        </w:tc>
        <w:tc>
          <w:tcPr>
            <w:tcW w:w="574" w:type="dxa"/>
          </w:tcPr>
          <w:p>
            <w:pPr>
              <w:pStyle w:val="TableParagraph"/>
              <w:ind w:left="161" w:right="136"/>
              <w:rPr>
                <w:sz w:val="14"/>
              </w:rPr>
            </w:pPr>
            <w:r>
              <w:rPr>
                <w:color w:val="231F20"/>
                <w:spacing w:val="-5"/>
                <w:w w:val="95"/>
                <w:sz w:val="14"/>
              </w:rPr>
              <w:t>103</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2.5</w:t>
            </w:r>
          </w:p>
        </w:tc>
        <w:tc>
          <w:tcPr>
            <w:tcW w:w="574" w:type="dxa"/>
          </w:tcPr>
          <w:p>
            <w:pPr>
              <w:pStyle w:val="TableParagraph"/>
              <w:ind w:left="161" w:right="127"/>
              <w:rPr>
                <w:sz w:val="14"/>
              </w:rPr>
            </w:pPr>
            <w:r>
              <w:rPr>
                <w:color w:val="231F20"/>
                <w:spacing w:val="-5"/>
                <w:w w:val="95"/>
                <w:sz w:val="14"/>
              </w:rPr>
              <w:t>124</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2.3</w:t>
            </w:r>
          </w:p>
        </w:tc>
        <w:tc>
          <w:tcPr>
            <w:tcW w:w="655" w:type="dxa"/>
          </w:tcPr>
          <w:p>
            <w:pPr>
              <w:pStyle w:val="TableParagraph"/>
              <w:ind w:left="72" w:right="120"/>
              <w:rPr>
                <w:sz w:val="14"/>
              </w:rPr>
            </w:pPr>
            <w:r>
              <w:rPr>
                <w:color w:val="231F20"/>
                <w:spacing w:val="-5"/>
                <w:w w:val="95"/>
                <w:sz w:val="14"/>
              </w:rPr>
              <w:t>117</w:t>
            </w:r>
          </w:p>
        </w:tc>
      </w:tr>
      <w:tr>
        <w:trPr>
          <w:trHeight w:val="259" w:hRule="atLeast"/>
        </w:trPr>
        <w:tc>
          <w:tcPr>
            <w:tcW w:w="990" w:type="dxa"/>
            <w:shd w:val="clear" w:color="auto" w:fill="D4E3F5"/>
          </w:tcPr>
          <w:p>
            <w:pPr>
              <w:pStyle w:val="TableParagraph"/>
              <w:ind w:left="80"/>
              <w:jc w:val="left"/>
              <w:rPr>
                <w:sz w:val="14"/>
              </w:rPr>
            </w:pPr>
            <w:r>
              <w:rPr>
                <w:color w:val="231F20"/>
                <w:spacing w:val="-4"/>
                <w:w w:val="85"/>
                <w:sz w:val="14"/>
              </w:rPr>
              <w:t>Cuba</w:t>
            </w:r>
          </w:p>
        </w:tc>
        <w:tc>
          <w:tcPr>
            <w:tcW w:w="622" w:type="dxa"/>
            <w:shd w:val="clear" w:color="auto" w:fill="D4E3F5"/>
          </w:tcPr>
          <w:p>
            <w:pPr>
              <w:pStyle w:val="TableParagraph"/>
              <w:ind w:left="30" w:right="129"/>
              <w:rPr>
                <w:sz w:val="14"/>
              </w:rPr>
            </w:pPr>
            <w:r>
              <w:rPr>
                <w:color w:val="231F20"/>
                <w:spacing w:val="-5"/>
                <w:w w:val="95"/>
                <w:sz w:val="14"/>
              </w:rPr>
              <w:t>132</w:t>
            </w:r>
          </w:p>
        </w:tc>
        <w:tc>
          <w:tcPr>
            <w:tcW w:w="644" w:type="dxa"/>
            <w:shd w:val="clear" w:color="auto" w:fill="D4E3F5"/>
          </w:tcPr>
          <w:p>
            <w:pPr>
              <w:pStyle w:val="TableParagraph"/>
              <w:ind w:left="164"/>
              <w:jc w:val="left"/>
              <w:rPr>
                <w:sz w:val="14"/>
              </w:rPr>
            </w:pPr>
            <w:r>
              <w:rPr>
                <w:color w:val="231F20"/>
                <w:spacing w:val="-5"/>
                <w:w w:val="95"/>
                <w:sz w:val="14"/>
              </w:rPr>
              <w:t>2.2</w:t>
            </w:r>
          </w:p>
        </w:tc>
        <w:tc>
          <w:tcPr>
            <w:tcW w:w="480" w:type="dxa"/>
            <w:shd w:val="clear" w:color="auto" w:fill="D4E3F5"/>
          </w:tcPr>
          <w:p>
            <w:pPr>
              <w:pStyle w:val="TableParagraph"/>
              <w:ind w:left="106"/>
              <w:jc w:val="left"/>
              <w:rPr>
                <w:sz w:val="14"/>
              </w:rPr>
            </w:pPr>
            <w:r>
              <w:rPr>
                <w:color w:val="231F20"/>
                <w:spacing w:val="-5"/>
                <w:w w:val="95"/>
                <w:sz w:val="14"/>
              </w:rPr>
              <w:t>1.8</w:t>
            </w:r>
          </w:p>
        </w:tc>
        <w:tc>
          <w:tcPr>
            <w:tcW w:w="582" w:type="dxa"/>
            <w:shd w:val="clear" w:color="auto" w:fill="D4E3F5"/>
          </w:tcPr>
          <w:p>
            <w:pPr>
              <w:pStyle w:val="TableParagraph"/>
              <w:ind w:left="6" w:right="6"/>
              <w:rPr>
                <w:sz w:val="14"/>
              </w:rPr>
            </w:pPr>
            <w:r>
              <w:rPr>
                <w:color w:val="231F20"/>
                <w:spacing w:val="-5"/>
                <w:w w:val="95"/>
                <w:sz w:val="14"/>
              </w:rPr>
              <w:t>2.6</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2.0</w:t>
            </w:r>
          </w:p>
        </w:tc>
        <w:tc>
          <w:tcPr>
            <w:tcW w:w="574" w:type="dxa"/>
            <w:shd w:val="clear" w:color="auto" w:fill="D4E3F5"/>
          </w:tcPr>
          <w:p>
            <w:pPr>
              <w:pStyle w:val="TableParagraph"/>
              <w:ind w:left="161" w:right="139"/>
              <w:rPr>
                <w:sz w:val="14"/>
              </w:rPr>
            </w:pPr>
            <w:r>
              <w:rPr>
                <w:color w:val="231F20"/>
                <w:spacing w:val="-5"/>
                <w:w w:val="95"/>
                <w:sz w:val="14"/>
              </w:rPr>
              <w:t>129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2.2</w:t>
            </w:r>
          </w:p>
        </w:tc>
        <w:tc>
          <w:tcPr>
            <w:tcW w:w="574" w:type="dxa"/>
            <w:shd w:val="clear" w:color="auto" w:fill="D4E3F5"/>
          </w:tcPr>
          <w:p>
            <w:pPr>
              <w:pStyle w:val="TableParagraph"/>
              <w:ind w:left="161" w:right="128"/>
              <w:rPr>
                <w:sz w:val="14"/>
              </w:rPr>
            </w:pPr>
            <w:r>
              <w:rPr>
                <w:color w:val="231F20"/>
                <w:spacing w:val="-5"/>
                <w:w w:val="95"/>
                <w:sz w:val="14"/>
              </w:rPr>
              <w:t>118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3" w:right="48"/>
              <w:rPr>
                <w:sz w:val="14"/>
              </w:rPr>
            </w:pPr>
            <w:r>
              <w:rPr>
                <w:color w:val="231F20"/>
                <w:spacing w:val="-5"/>
                <w:w w:val="95"/>
                <w:sz w:val="14"/>
              </w:rPr>
              <w:t>2.1</w:t>
            </w:r>
          </w:p>
        </w:tc>
        <w:tc>
          <w:tcPr>
            <w:tcW w:w="574" w:type="dxa"/>
            <w:shd w:val="clear" w:color="auto" w:fill="D4E3F5"/>
          </w:tcPr>
          <w:p>
            <w:pPr>
              <w:pStyle w:val="TableParagraph"/>
              <w:ind w:left="161" w:right="135"/>
              <w:rPr>
                <w:sz w:val="14"/>
              </w:rPr>
            </w:pPr>
            <w:r>
              <w:rPr>
                <w:color w:val="231F20"/>
                <w:spacing w:val="-5"/>
                <w:w w:val="95"/>
                <w:sz w:val="14"/>
              </w:rPr>
              <w:t>132</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2.2</w:t>
            </w:r>
          </w:p>
        </w:tc>
        <w:tc>
          <w:tcPr>
            <w:tcW w:w="574" w:type="dxa"/>
            <w:shd w:val="clear" w:color="auto" w:fill="D4E3F5"/>
          </w:tcPr>
          <w:p>
            <w:pPr>
              <w:pStyle w:val="TableParagraph"/>
              <w:ind w:left="161" w:right="134"/>
              <w:rPr>
                <w:sz w:val="14"/>
              </w:rPr>
            </w:pPr>
            <w:r>
              <w:rPr>
                <w:color w:val="231F20"/>
                <w:spacing w:val="-5"/>
                <w:w w:val="95"/>
                <w:sz w:val="14"/>
              </w:rPr>
              <w:t>126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6" w:right="48"/>
              <w:rPr>
                <w:sz w:val="14"/>
              </w:rPr>
            </w:pPr>
            <w:r>
              <w:rPr>
                <w:color w:val="231F20"/>
                <w:spacing w:val="-5"/>
                <w:w w:val="95"/>
                <w:sz w:val="14"/>
              </w:rPr>
              <w:t>2.6</w:t>
            </w:r>
          </w:p>
        </w:tc>
        <w:tc>
          <w:tcPr>
            <w:tcW w:w="574" w:type="dxa"/>
            <w:shd w:val="clear" w:color="auto" w:fill="D4E3F5"/>
          </w:tcPr>
          <w:p>
            <w:pPr>
              <w:pStyle w:val="TableParagraph"/>
              <w:ind w:left="161" w:right="124"/>
              <w:rPr>
                <w:sz w:val="14"/>
              </w:rPr>
            </w:pPr>
            <w:r>
              <w:rPr>
                <w:color w:val="231F20"/>
                <w:spacing w:val="-5"/>
                <w:w w:val="95"/>
                <w:sz w:val="14"/>
              </w:rPr>
              <w:t>116</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2.4</w:t>
            </w:r>
          </w:p>
        </w:tc>
        <w:tc>
          <w:tcPr>
            <w:tcW w:w="655" w:type="dxa"/>
            <w:shd w:val="clear" w:color="auto" w:fill="D4E3F5"/>
          </w:tcPr>
          <w:p>
            <w:pPr>
              <w:pStyle w:val="TableParagraph"/>
              <w:ind w:left="72" w:right="132"/>
              <w:rPr>
                <w:sz w:val="14"/>
              </w:rPr>
            </w:pPr>
            <w:r>
              <w:rPr>
                <w:color w:val="231F20"/>
                <w:spacing w:val="-5"/>
                <w:w w:val="95"/>
                <w:sz w:val="14"/>
              </w:rPr>
              <w:t>105</w:t>
            </w:r>
          </w:p>
        </w:tc>
      </w:tr>
      <w:tr>
        <w:trPr>
          <w:trHeight w:val="259" w:hRule="atLeast"/>
        </w:trPr>
        <w:tc>
          <w:tcPr>
            <w:tcW w:w="990" w:type="dxa"/>
          </w:tcPr>
          <w:p>
            <w:pPr>
              <w:pStyle w:val="TableParagraph"/>
              <w:ind w:left="80"/>
              <w:jc w:val="left"/>
              <w:rPr>
                <w:sz w:val="14"/>
              </w:rPr>
            </w:pPr>
            <w:r>
              <w:rPr>
                <w:color w:val="231F20"/>
                <w:w w:val="75"/>
                <w:sz w:val="14"/>
              </w:rPr>
              <w:t>Yemen,</w:t>
            </w:r>
            <w:r>
              <w:rPr>
                <w:color w:val="231F20"/>
                <w:spacing w:val="2"/>
                <w:sz w:val="14"/>
              </w:rPr>
              <w:t> </w:t>
            </w:r>
            <w:r>
              <w:rPr>
                <w:color w:val="231F20"/>
                <w:spacing w:val="-4"/>
                <w:w w:val="90"/>
                <w:sz w:val="14"/>
              </w:rPr>
              <w:t>Rep.</w:t>
            </w:r>
          </w:p>
        </w:tc>
        <w:tc>
          <w:tcPr>
            <w:tcW w:w="622" w:type="dxa"/>
          </w:tcPr>
          <w:p>
            <w:pPr>
              <w:pStyle w:val="TableParagraph"/>
              <w:ind w:left="30" w:right="129"/>
              <w:rPr>
                <w:sz w:val="14"/>
              </w:rPr>
            </w:pPr>
            <w:r>
              <w:rPr>
                <w:color w:val="231F20"/>
                <w:spacing w:val="-5"/>
                <w:w w:val="95"/>
                <w:sz w:val="14"/>
              </w:rPr>
              <w:t>132</w:t>
            </w:r>
          </w:p>
        </w:tc>
        <w:tc>
          <w:tcPr>
            <w:tcW w:w="644" w:type="dxa"/>
          </w:tcPr>
          <w:p>
            <w:pPr>
              <w:pStyle w:val="TableParagraph"/>
              <w:ind w:left="164"/>
              <w:jc w:val="left"/>
              <w:rPr>
                <w:sz w:val="14"/>
              </w:rPr>
            </w:pPr>
            <w:r>
              <w:rPr>
                <w:color w:val="231F20"/>
                <w:spacing w:val="-5"/>
                <w:w w:val="95"/>
                <w:sz w:val="14"/>
              </w:rPr>
              <w:t>2.2</w:t>
            </w:r>
          </w:p>
        </w:tc>
        <w:tc>
          <w:tcPr>
            <w:tcW w:w="480" w:type="dxa"/>
          </w:tcPr>
          <w:p>
            <w:pPr>
              <w:pStyle w:val="TableParagraph"/>
              <w:ind w:left="106"/>
              <w:jc w:val="left"/>
              <w:rPr>
                <w:sz w:val="14"/>
              </w:rPr>
            </w:pPr>
            <w:r>
              <w:rPr>
                <w:color w:val="231F20"/>
                <w:spacing w:val="-5"/>
                <w:w w:val="95"/>
                <w:sz w:val="14"/>
              </w:rPr>
              <w:t>1.8</w:t>
            </w:r>
          </w:p>
        </w:tc>
        <w:tc>
          <w:tcPr>
            <w:tcW w:w="582" w:type="dxa"/>
          </w:tcPr>
          <w:p>
            <w:pPr>
              <w:pStyle w:val="TableParagraph"/>
              <w:ind w:left="6" w:right="6"/>
              <w:rPr>
                <w:sz w:val="14"/>
              </w:rPr>
            </w:pPr>
            <w:r>
              <w:rPr>
                <w:color w:val="231F20"/>
                <w:spacing w:val="-5"/>
                <w:w w:val="95"/>
                <w:sz w:val="14"/>
              </w:rPr>
              <w:t>2.6</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1.7</w:t>
            </w:r>
          </w:p>
        </w:tc>
        <w:tc>
          <w:tcPr>
            <w:tcW w:w="574" w:type="dxa"/>
          </w:tcPr>
          <w:p>
            <w:pPr>
              <w:pStyle w:val="TableParagraph"/>
              <w:ind w:left="161" w:right="137"/>
              <w:rPr>
                <w:sz w:val="14"/>
              </w:rPr>
            </w:pPr>
            <w:r>
              <w:rPr>
                <w:color w:val="231F20"/>
                <w:spacing w:val="-5"/>
                <w:w w:val="95"/>
                <w:sz w:val="14"/>
              </w:rPr>
              <w:t>137</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1.9</w:t>
            </w:r>
          </w:p>
        </w:tc>
        <w:tc>
          <w:tcPr>
            <w:tcW w:w="574" w:type="dxa"/>
          </w:tcPr>
          <w:p>
            <w:pPr>
              <w:pStyle w:val="TableParagraph"/>
              <w:ind w:left="161" w:right="136"/>
              <w:rPr>
                <w:sz w:val="14"/>
              </w:rPr>
            </w:pPr>
            <w:r>
              <w:rPr>
                <w:color w:val="231F20"/>
                <w:spacing w:val="-5"/>
                <w:w w:val="95"/>
                <w:sz w:val="14"/>
              </w:rPr>
              <w:t>132</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1.7</w:t>
            </w:r>
          </w:p>
        </w:tc>
        <w:tc>
          <w:tcPr>
            <w:tcW w:w="574" w:type="dxa"/>
          </w:tcPr>
          <w:p>
            <w:pPr>
              <w:pStyle w:val="TableParagraph"/>
              <w:ind w:left="161" w:right="136"/>
              <w:rPr>
                <w:sz w:val="14"/>
              </w:rPr>
            </w:pPr>
            <w:r>
              <w:rPr>
                <w:color w:val="231F20"/>
                <w:spacing w:val="-5"/>
                <w:w w:val="95"/>
                <w:sz w:val="14"/>
              </w:rPr>
              <w:t>139</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2.6</w:t>
            </w:r>
          </w:p>
        </w:tc>
        <w:tc>
          <w:tcPr>
            <w:tcW w:w="574" w:type="dxa"/>
          </w:tcPr>
          <w:p>
            <w:pPr>
              <w:pStyle w:val="TableParagraph"/>
              <w:ind w:left="161" w:right="69"/>
              <w:rPr>
                <w:sz w:val="14"/>
              </w:rPr>
            </w:pPr>
            <w:r>
              <w:rPr>
                <w:color w:val="231F20"/>
                <w:spacing w:val="-5"/>
                <w:w w:val="95"/>
                <w:sz w:val="14"/>
              </w:rPr>
              <w:t>92</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2.8</w:t>
            </w:r>
          </w:p>
        </w:tc>
        <w:tc>
          <w:tcPr>
            <w:tcW w:w="574" w:type="dxa"/>
          </w:tcPr>
          <w:p>
            <w:pPr>
              <w:pStyle w:val="TableParagraph"/>
              <w:ind w:left="161" w:right="132"/>
              <w:rPr>
                <w:sz w:val="14"/>
              </w:rPr>
            </w:pPr>
            <w:r>
              <w:rPr>
                <w:color w:val="231F20"/>
                <w:spacing w:val="-5"/>
                <w:w w:val="95"/>
                <w:sz w:val="14"/>
              </w:rPr>
              <w:t>101</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2.3</w:t>
            </w:r>
          </w:p>
        </w:tc>
        <w:tc>
          <w:tcPr>
            <w:tcW w:w="655" w:type="dxa"/>
          </w:tcPr>
          <w:p>
            <w:pPr>
              <w:pStyle w:val="TableParagraph"/>
              <w:ind w:left="72" w:right="120"/>
              <w:rPr>
                <w:sz w:val="14"/>
              </w:rPr>
            </w:pPr>
            <w:r>
              <w:rPr>
                <w:color w:val="231F20"/>
                <w:spacing w:val="-5"/>
                <w:w w:val="95"/>
                <w:sz w:val="14"/>
              </w:rPr>
              <w:t>117</w:t>
            </w:r>
          </w:p>
        </w:tc>
      </w:tr>
      <w:tr>
        <w:trPr>
          <w:trHeight w:val="259" w:hRule="atLeast"/>
        </w:trPr>
        <w:tc>
          <w:tcPr>
            <w:tcW w:w="990" w:type="dxa"/>
            <w:shd w:val="clear" w:color="auto" w:fill="D4E3F5"/>
          </w:tcPr>
          <w:p>
            <w:pPr>
              <w:pStyle w:val="TableParagraph"/>
              <w:ind w:left="80"/>
              <w:jc w:val="left"/>
              <w:rPr>
                <w:sz w:val="14"/>
              </w:rPr>
            </w:pPr>
            <w:r>
              <w:rPr>
                <w:color w:val="231F20"/>
                <w:spacing w:val="-2"/>
                <w:w w:val="85"/>
                <w:sz w:val="14"/>
              </w:rPr>
              <w:t>Angola</w:t>
            </w:r>
          </w:p>
        </w:tc>
        <w:tc>
          <w:tcPr>
            <w:tcW w:w="622" w:type="dxa"/>
            <w:shd w:val="clear" w:color="auto" w:fill="D4E3F5"/>
          </w:tcPr>
          <w:p>
            <w:pPr>
              <w:pStyle w:val="TableParagraph"/>
              <w:ind w:left="30" w:right="131"/>
              <w:rPr>
                <w:sz w:val="14"/>
              </w:rPr>
            </w:pPr>
            <w:r>
              <w:rPr>
                <w:color w:val="231F20"/>
                <w:spacing w:val="-5"/>
                <w:w w:val="95"/>
                <w:sz w:val="14"/>
              </w:rPr>
              <w:t>134</w:t>
            </w:r>
          </w:p>
        </w:tc>
        <w:tc>
          <w:tcPr>
            <w:tcW w:w="644" w:type="dxa"/>
            <w:shd w:val="clear" w:color="auto" w:fill="D4E3F5"/>
          </w:tcPr>
          <w:p>
            <w:pPr>
              <w:pStyle w:val="TableParagraph"/>
              <w:ind w:left="170"/>
              <w:jc w:val="left"/>
              <w:rPr>
                <w:sz w:val="14"/>
              </w:rPr>
            </w:pPr>
            <w:r>
              <w:rPr>
                <w:color w:val="231F20"/>
                <w:spacing w:val="-5"/>
                <w:w w:val="95"/>
                <w:sz w:val="14"/>
              </w:rPr>
              <w:t>2.1</w:t>
            </w:r>
          </w:p>
        </w:tc>
        <w:tc>
          <w:tcPr>
            <w:tcW w:w="480" w:type="dxa"/>
            <w:shd w:val="clear" w:color="auto" w:fill="D4E3F5"/>
          </w:tcPr>
          <w:p>
            <w:pPr>
              <w:pStyle w:val="TableParagraph"/>
              <w:ind w:left="106"/>
              <w:jc w:val="left"/>
              <w:rPr>
                <w:sz w:val="14"/>
              </w:rPr>
            </w:pPr>
            <w:r>
              <w:rPr>
                <w:color w:val="231F20"/>
                <w:spacing w:val="-5"/>
                <w:w w:val="95"/>
                <w:sz w:val="14"/>
              </w:rPr>
              <w:t>1.8</w:t>
            </w:r>
          </w:p>
        </w:tc>
        <w:tc>
          <w:tcPr>
            <w:tcW w:w="582" w:type="dxa"/>
            <w:shd w:val="clear" w:color="auto" w:fill="D4E3F5"/>
          </w:tcPr>
          <w:p>
            <w:pPr>
              <w:pStyle w:val="TableParagraph"/>
              <w:ind w:left="6" w:right="6"/>
              <w:rPr>
                <w:sz w:val="14"/>
              </w:rPr>
            </w:pPr>
            <w:r>
              <w:rPr>
                <w:color w:val="231F20"/>
                <w:spacing w:val="-5"/>
                <w:w w:val="95"/>
                <w:sz w:val="14"/>
              </w:rPr>
              <w:t>2.4</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8" w:right="48"/>
              <w:rPr>
                <w:sz w:val="14"/>
              </w:rPr>
            </w:pPr>
            <w:r>
              <w:rPr>
                <w:color w:val="231F20"/>
                <w:spacing w:val="-5"/>
                <w:w w:val="95"/>
                <w:sz w:val="14"/>
              </w:rPr>
              <w:t>1.7</w:t>
            </w:r>
          </w:p>
        </w:tc>
        <w:tc>
          <w:tcPr>
            <w:tcW w:w="574" w:type="dxa"/>
            <w:shd w:val="clear" w:color="auto" w:fill="D4E3F5"/>
          </w:tcPr>
          <w:p>
            <w:pPr>
              <w:pStyle w:val="TableParagraph"/>
              <w:ind w:left="161" w:right="137"/>
              <w:rPr>
                <w:sz w:val="14"/>
              </w:rPr>
            </w:pPr>
            <w:r>
              <w:rPr>
                <w:color w:val="231F20"/>
                <w:spacing w:val="-5"/>
                <w:w w:val="95"/>
                <w:sz w:val="14"/>
              </w:rPr>
              <w:t>137</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2" w:right="48"/>
              <w:rPr>
                <w:sz w:val="14"/>
              </w:rPr>
            </w:pPr>
            <w:r>
              <w:rPr>
                <w:color w:val="231F20"/>
                <w:spacing w:val="-5"/>
                <w:w w:val="95"/>
                <w:sz w:val="14"/>
              </w:rPr>
              <w:t>2.1</w:t>
            </w:r>
          </w:p>
        </w:tc>
        <w:tc>
          <w:tcPr>
            <w:tcW w:w="574" w:type="dxa"/>
            <w:shd w:val="clear" w:color="auto" w:fill="D4E3F5"/>
          </w:tcPr>
          <w:p>
            <w:pPr>
              <w:pStyle w:val="TableParagraph"/>
              <w:ind w:left="161" w:right="136"/>
              <w:rPr>
                <w:sz w:val="14"/>
              </w:rPr>
            </w:pPr>
            <w:r>
              <w:rPr>
                <w:color w:val="231F20"/>
                <w:spacing w:val="-5"/>
                <w:w w:val="95"/>
                <w:sz w:val="14"/>
              </w:rPr>
              <w:t>125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2.4</w:t>
            </w:r>
          </w:p>
        </w:tc>
        <w:tc>
          <w:tcPr>
            <w:tcW w:w="574" w:type="dxa"/>
            <w:shd w:val="clear" w:color="auto" w:fill="D4E3F5"/>
          </w:tcPr>
          <w:p>
            <w:pPr>
              <w:pStyle w:val="TableParagraph"/>
              <w:ind w:left="161" w:right="131"/>
              <w:rPr>
                <w:sz w:val="14"/>
              </w:rPr>
            </w:pPr>
            <w:r>
              <w:rPr>
                <w:color w:val="231F20"/>
                <w:spacing w:val="-5"/>
                <w:w w:val="95"/>
                <w:sz w:val="14"/>
              </w:rPr>
              <w:t>111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3" w:right="48"/>
              <w:rPr>
                <w:sz w:val="14"/>
              </w:rPr>
            </w:pPr>
            <w:r>
              <w:rPr>
                <w:color w:val="231F20"/>
                <w:spacing w:val="-5"/>
                <w:w w:val="95"/>
                <w:sz w:val="14"/>
              </w:rPr>
              <w:t>2.3</w:t>
            </w:r>
          </w:p>
        </w:tc>
        <w:tc>
          <w:tcPr>
            <w:tcW w:w="574" w:type="dxa"/>
            <w:shd w:val="clear" w:color="auto" w:fill="D4E3F5"/>
          </w:tcPr>
          <w:p>
            <w:pPr>
              <w:pStyle w:val="TableParagraph"/>
              <w:ind w:left="161" w:right="125"/>
              <w:rPr>
                <w:sz w:val="14"/>
              </w:rPr>
            </w:pPr>
            <w:r>
              <w:rPr>
                <w:color w:val="231F20"/>
                <w:spacing w:val="-5"/>
                <w:w w:val="95"/>
                <w:sz w:val="14"/>
              </w:rPr>
              <w:t>119</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6" w:right="48"/>
              <w:rPr>
                <w:sz w:val="14"/>
              </w:rPr>
            </w:pPr>
            <w:r>
              <w:rPr>
                <w:color w:val="231F20"/>
                <w:spacing w:val="-5"/>
                <w:w w:val="95"/>
                <w:sz w:val="14"/>
              </w:rPr>
              <w:t>2.1</w:t>
            </w:r>
          </w:p>
        </w:tc>
        <w:tc>
          <w:tcPr>
            <w:tcW w:w="574" w:type="dxa"/>
            <w:shd w:val="clear" w:color="auto" w:fill="D4E3F5"/>
          </w:tcPr>
          <w:p>
            <w:pPr>
              <w:pStyle w:val="TableParagraph"/>
              <w:ind w:left="161" w:right="134"/>
              <w:rPr>
                <w:sz w:val="14"/>
              </w:rPr>
            </w:pPr>
            <w:r>
              <w:rPr>
                <w:color w:val="231F20"/>
                <w:spacing w:val="-5"/>
                <w:w w:val="95"/>
                <w:sz w:val="14"/>
              </w:rPr>
              <w:t>138</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2.3</w:t>
            </w:r>
          </w:p>
        </w:tc>
        <w:tc>
          <w:tcPr>
            <w:tcW w:w="655" w:type="dxa"/>
            <w:shd w:val="clear" w:color="auto" w:fill="D4E3F5"/>
          </w:tcPr>
          <w:p>
            <w:pPr>
              <w:pStyle w:val="TableParagraph"/>
              <w:ind w:left="72" w:right="120"/>
              <w:rPr>
                <w:sz w:val="14"/>
              </w:rPr>
            </w:pPr>
            <w:r>
              <w:rPr>
                <w:color w:val="231F20"/>
                <w:spacing w:val="-5"/>
                <w:w w:val="95"/>
                <w:sz w:val="14"/>
              </w:rPr>
              <w:t>117</w:t>
            </w:r>
          </w:p>
        </w:tc>
      </w:tr>
      <w:tr>
        <w:trPr>
          <w:trHeight w:val="259" w:hRule="atLeast"/>
        </w:trPr>
        <w:tc>
          <w:tcPr>
            <w:tcW w:w="990" w:type="dxa"/>
          </w:tcPr>
          <w:p>
            <w:pPr>
              <w:pStyle w:val="TableParagraph"/>
              <w:ind w:left="80"/>
              <w:jc w:val="left"/>
              <w:rPr>
                <w:sz w:val="14"/>
              </w:rPr>
            </w:pPr>
            <w:r>
              <w:rPr>
                <w:color w:val="231F20"/>
                <w:spacing w:val="-2"/>
                <w:w w:val="85"/>
                <w:sz w:val="14"/>
              </w:rPr>
              <w:t>Cameroon</w:t>
            </w:r>
          </w:p>
        </w:tc>
        <w:tc>
          <w:tcPr>
            <w:tcW w:w="622" w:type="dxa"/>
          </w:tcPr>
          <w:p>
            <w:pPr>
              <w:pStyle w:val="TableParagraph"/>
              <w:ind w:left="30" w:right="131"/>
              <w:rPr>
                <w:sz w:val="14"/>
              </w:rPr>
            </w:pPr>
            <w:r>
              <w:rPr>
                <w:color w:val="231F20"/>
                <w:spacing w:val="-5"/>
                <w:w w:val="95"/>
                <w:sz w:val="14"/>
              </w:rPr>
              <w:t>134</w:t>
            </w:r>
          </w:p>
        </w:tc>
        <w:tc>
          <w:tcPr>
            <w:tcW w:w="644" w:type="dxa"/>
          </w:tcPr>
          <w:p>
            <w:pPr>
              <w:pStyle w:val="TableParagraph"/>
              <w:ind w:left="170"/>
              <w:jc w:val="left"/>
              <w:rPr>
                <w:sz w:val="14"/>
              </w:rPr>
            </w:pPr>
            <w:r>
              <w:rPr>
                <w:color w:val="231F20"/>
                <w:spacing w:val="-5"/>
                <w:w w:val="95"/>
                <w:sz w:val="14"/>
              </w:rPr>
              <w:t>2.1</w:t>
            </w:r>
          </w:p>
        </w:tc>
        <w:tc>
          <w:tcPr>
            <w:tcW w:w="480" w:type="dxa"/>
          </w:tcPr>
          <w:p>
            <w:pPr>
              <w:pStyle w:val="TableParagraph"/>
              <w:ind w:left="106"/>
              <w:jc w:val="left"/>
              <w:rPr>
                <w:sz w:val="14"/>
              </w:rPr>
            </w:pPr>
            <w:r>
              <w:rPr>
                <w:color w:val="231F20"/>
                <w:spacing w:val="-5"/>
                <w:w w:val="95"/>
                <w:sz w:val="14"/>
              </w:rPr>
              <w:t>1.8</w:t>
            </w:r>
          </w:p>
        </w:tc>
        <w:tc>
          <w:tcPr>
            <w:tcW w:w="582" w:type="dxa"/>
          </w:tcPr>
          <w:p>
            <w:pPr>
              <w:pStyle w:val="TableParagraph"/>
              <w:ind w:left="6" w:right="6"/>
              <w:rPr>
                <w:sz w:val="14"/>
              </w:rPr>
            </w:pPr>
            <w:r>
              <w:rPr>
                <w:color w:val="231F20"/>
                <w:spacing w:val="-5"/>
                <w:w w:val="95"/>
                <w:sz w:val="14"/>
              </w:rPr>
              <w:t>2.4</w:t>
            </w:r>
          </w:p>
        </w:tc>
        <w:tc>
          <w:tcPr>
            <w:tcW w:w="80" w:type="dxa"/>
          </w:tcPr>
          <w:p>
            <w:pPr>
              <w:pStyle w:val="TableParagraph"/>
              <w:spacing w:before="0"/>
              <w:jc w:val="left"/>
              <w:rPr>
                <w:rFonts w:ascii="Times New Roman"/>
                <w:sz w:val="12"/>
              </w:rPr>
            </w:pPr>
          </w:p>
        </w:tc>
        <w:tc>
          <w:tcPr>
            <w:tcW w:w="463" w:type="dxa"/>
          </w:tcPr>
          <w:p>
            <w:pPr>
              <w:pStyle w:val="TableParagraph"/>
              <w:ind w:right="48"/>
              <w:rPr>
                <w:sz w:val="14"/>
              </w:rPr>
            </w:pPr>
            <w:r>
              <w:rPr>
                <w:color w:val="231F20"/>
                <w:spacing w:val="-5"/>
                <w:w w:val="95"/>
                <w:sz w:val="14"/>
              </w:rPr>
              <w:t>2.1</w:t>
            </w:r>
          </w:p>
        </w:tc>
        <w:tc>
          <w:tcPr>
            <w:tcW w:w="574" w:type="dxa"/>
          </w:tcPr>
          <w:p>
            <w:pPr>
              <w:pStyle w:val="TableParagraph"/>
              <w:ind w:left="161" w:right="139"/>
              <w:rPr>
                <w:sz w:val="14"/>
              </w:rPr>
            </w:pPr>
            <w:r>
              <w:rPr>
                <w:color w:val="231F20"/>
                <w:spacing w:val="-5"/>
                <w:w w:val="95"/>
                <w:sz w:val="14"/>
              </w:rPr>
              <w:t>120</w:t>
            </w:r>
          </w:p>
        </w:tc>
        <w:tc>
          <w:tcPr>
            <w:tcW w:w="126" w:type="dxa"/>
          </w:tcPr>
          <w:p>
            <w:pPr>
              <w:pStyle w:val="TableParagraph"/>
              <w:spacing w:before="0"/>
              <w:jc w:val="left"/>
              <w:rPr>
                <w:rFonts w:ascii="Times New Roman"/>
                <w:sz w:val="12"/>
              </w:rPr>
            </w:pPr>
          </w:p>
        </w:tc>
        <w:tc>
          <w:tcPr>
            <w:tcW w:w="463" w:type="dxa"/>
          </w:tcPr>
          <w:p>
            <w:pPr>
              <w:pStyle w:val="TableParagraph"/>
              <w:ind w:left="2" w:right="48"/>
              <w:rPr>
                <w:sz w:val="14"/>
              </w:rPr>
            </w:pPr>
            <w:r>
              <w:rPr>
                <w:color w:val="231F20"/>
                <w:spacing w:val="-5"/>
                <w:w w:val="95"/>
                <w:sz w:val="14"/>
              </w:rPr>
              <w:t>2.1</w:t>
            </w:r>
          </w:p>
        </w:tc>
        <w:tc>
          <w:tcPr>
            <w:tcW w:w="574" w:type="dxa"/>
          </w:tcPr>
          <w:p>
            <w:pPr>
              <w:pStyle w:val="TableParagraph"/>
              <w:ind w:left="161" w:right="136"/>
              <w:rPr>
                <w:sz w:val="14"/>
              </w:rPr>
            </w:pPr>
            <w:r>
              <w:rPr>
                <w:color w:val="231F20"/>
                <w:spacing w:val="-5"/>
                <w:w w:val="95"/>
                <w:sz w:val="14"/>
              </w:rPr>
              <w:t>125</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2.2</w:t>
            </w:r>
          </w:p>
        </w:tc>
        <w:tc>
          <w:tcPr>
            <w:tcW w:w="574" w:type="dxa"/>
          </w:tcPr>
          <w:p>
            <w:pPr>
              <w:pStyle w:val="TableParagraph"/>
              <w:ind w:left="161" w:right="135"/>
              <w:rPr>
                <w:sz w:val="14"/>
              </w:rPr>
            </w:pPr>
            <w:r>
              <w:rPr>
                <w:color w:val="231F20"/>
                <w:spacing w:val="-5"/>
                <w:w w:val="95"/>
                <w:sz w:val="14"/>
              </w:rPr>
              <w:t>128</w:t>
            </w:r>
          </w:p>
        </w:tc>
        <w:tc>
          <w:tcPr>
            <w:tcW w:w="126" w:type="dxa"/>
          </w:tcPr>
          <w:p>
            <w:pPr>
              <w:pStyle w:val="TableParagraph"/>
              <w:spacing w:before="0"/>
              <w:jc w:val="left"/>
              <w:rPr>
                <w:rFonts w:ascii="Times New Roman"/>
                <w:sz w:val="12"/>
              </w:rPr>
            </w:pPr>
          </w:p>
        </w:tc>
        <w:tc>
          <w:tcPr>
            <w:tcW w:w="463" w:type="dxa"/>
          </w:tcPr>
          <w:p>
            <w:pPr>
              <w:pStyle w:val="TableParagraph"/>
              <w:ind w:left="5" w:right="48"/>
              <w:rPr>
                <w:sz w:val="14"/>
              </w:rPr>
            </w:pPr>
            <w:r>
              <w:rPr>
                <w:color w:val="231F20"/>
                <w:spacing w:val="-5"/>
                <w:w w:val="95"/>
                <w:sz w:val="14"/>
              </w:rPr>
              <w:t>2.1</w:t>
            </w:r>
          </w:p>
        </w:tc>
        <w:tc>
          <w:tcPr>
            <w:tcW w:w="574" w:type="dxa"/>
          </w:tcPr>
          <w:p>
            <w:pPr>
              <w:pStyle w:val="TableParagraph"/>
              <w:ind w:left="161" w:right="135"/>
              <w:rPr>
                <w:sz w:val="14"/>
              </w:rPr>
            </w:pPr>
            <w:r>
              <w:rPr>
                <w:color w:val="231F20"/>
                <w:spacing w:val="-5"/>
                <w:w w:val="95"/>
                <w:sz w:val="14"/>
              </w:rPr>
              <w:t>133</w:t>
            </w:r>
          </w:p>
        </w:tc>
        <w:tc>
          <w:tcPr>
            <w:tcW w:w="126" w:type="dxa"/>
          </w:tcPr>
          <w:p>
            <w:pPr>
              <w:pStyle w:val="TableParagraph"/>
              <w:spacing w:before="0"/>
              <w:jc w:val="left"/>
              <w:rPr>
                <w:rFonts w:ascii="Times New Roman"/>
                <w:sz w:val="12"/>
              </w:rPr>
            </w:pPr>
          </w:p>
        </w:tc>
        <w:tc>
          <w:tcPr>
            <w:tcW w:w="463" w:type="dxa"/>
          </w:tcPr>
          <w:p>
            <w:pPr>
              <w:pStyle w:val="TableParagraph"/>
              <w:ind w:left="6" w:right="48"/>
              <w:rPr>
                <w:sz w:val="14"/>
              </w:rPr>
            </w:pPr>
            <w:r>
              <w:rPr>
                <w:color w:val="231F20"/>
                <w:spacing w:val="-5"/>
                <w:w w:val="95"/>
                <w:sz w:val="14"/>
              </w:rPr>
              <w:t>2.1</w:t>
            </w:r>
          </w:p>
        </w:tc>
        <w:tc>
          <w:tcPr>
            <w:tcW w:w="574" w:type="dxa"/>
          </w:tcPr>
          <w:p>
            <w:pPr>
              <w:pStyle w:val="TableParagraph"/>
              <w:ind w:left="161" w:right="134"/>
              <w:rPr>
                <w:sz w:val="14"/>
              </w:rPr>
            </w:pPr>
            <w:r>
              <w:rPr>
                <w:color w:val="231F20"/>
                <w:spacing w:val="-5"/>
                <w:w w:val="95"/>
                <w:sz w:val="14"/>
              </w:rPr>
              <w:t>138</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1.8</w:t>
            </w:r>
          </w:p>
        </w:tc>
        <w:tc>
          <w:tcPr>
            <w:tcW w:w="655" w:type="dxa"/>
          </w:tcPr>
          <w:p>
            <w:pPr>
              <w:pStyle w:val="TableParagraph"/>
              <w:ind w:left="72" w:right="131"/>
              <w:rPr>
                <w:sz w:val="14"/>
              </w:rPr>
            </w:pPr>
            <w:r>
              <w:rPr>
                <w:color w:val="231F20"/>
                <w:spacing w:val="-5"/>
                <w:w w:val="95"/>
                <w:sz w:val="14"/>
              </w:rPr>
              <w:t>136</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Haiti</w:t>
            </w:r>
          </w:p>
        </w:tc>
        <w:tc>
          <w:tcPr>
            <w:tcW w:w="622" w:type="dxa"/>
            <w:shd w:val="clear" w:color="auto" w:fill="D4E3F5"/>
          </w:tcPr>
          <w:p>
            <w:pPr>
              <w:pStyle w:val="TableParagraph"/>
              <w:ind w:left="30" w:right="131"/>
              <w:rPr>
                <w:sz w:val="14"/>
              </w:rPr>
            </w:pPr>
            <w:r>
              <w:rPr>
                <w:color w:val="231F20"/>
                <w:spacing w:val="-5"/>
                <w:w w:val="95"/>
                <w:sz w:val="14"/>
              </w:rPr>
              <w:t>134</w:t>
            </w:r>
          </w:p>
        </w:tc>
        <w:tc>
          <w:tcPr>
            <w:tcW w:w="644" w:type="dxa"/>
            <w:shd w:val="clear" w:color="auto" w:fill="D4E3F5"/>
          </w:tcPr>
          <w:p>
            <w:pPr>
              <w:pStyle w:val="TableParagraph"/>
              <w:ind w:left="170"/>
              <w:jc w:val="left"/>
              <w:rPr>
                <w:sz w:val="14"/>
              </w:rPr>
            </w:pPr>
            <w:r>
              <w:rPr>
                <w:color w:val="231F20"/>
                <w:spacing w:val="-5"/>
                <w:w w:val="95"/>
                <w:sz w:val="14"/>
              </w:rPr>
              <w:t>2.1</w:t>
            </w:r>
          </w:p>
        </w:tc>
        <w:tc>
          <w:tcPr>
            <w:tcW w:w="480" w:type="dxa"/>
            <w:shd w:val="clear" w:color="auto" w:fill="D4E3F5"/>
          </w:tcPr>
          <w:p>
            <w:pPr>
              <w:pStyle w:val="TableParagraph"/>
              <w:ind w:left="106"/>
              <w:jc w:val="left"/>
              <w:rPr>
                <w:sz w:val="14"/>
              </w:rPr>
            </w:pPr>
            <w:r>
              <w:rPr>
                <w:color w:val="231F20"/>
                <w:spacing w:val="-5"/>
                <w:w w:val="95"/>
                <w:sz w:val="14"/>
              </w:rPr>
              <w:t>1.8</w:t>
            </w:r>
          </w:p>
        </w:tc>
        <w:tc>
          <w:tcPr>
            <w:tcW w:w="582" w:type="dxa"/>
            <w:shd w:val="clear" w:color="auto" w:fill="D4E3F5"/>
          </w:tcPr>
          <w:p>
            <w:pPr>
              <w:pStyle w:val="TableParagraph"/>
              <w:ind w:left="6" w:right="6"/>
              <w:rPr>
                <w:sz w:val="14"/>
              </w:rPr>
            </w:pPr>
            <w:r>
              <w:rPr>
                <w:color w:val="231F20"/>
                <w:spacing w:val="-5"/>
                <w:w w:val="95"/>
                <w:sz w:val="14"/>
              </w:rPr>
              <w:t>2.4</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right="48"/>
              <w:rPr>
                <w:sz w:val="14"/>
              </w:rPr>
            </w:pPr>
            <w:r>
              <w:rPr>
                <w:color w:val="231F20"/>
                <w:spacing w:val="-5"/>
                <w:w w:val="95"/>
                <w:sz w:val="14"/>
              </w:rPr>
              <w:t>2.1</w:t>
            </w:r>
          </w:p>
        </w:tc>
        <w:tc>
          <w:tcPr>
            <w:tcW w:w="574" w:type="dxa"/>
            <w:shd w:val="clear" w:color="auto" w:fill="D4E3F5"/>
          </w:tcPr>
          <w:p>
            <w:pPr>
              <w:pStyle w:val="TableParagraph"/>
              <w:ind w:left="161" w:right="139"/>
              <w:rPr>
                <w:sz w:val="14"/>
              </w:rPr>
            </w:pPr>
            <w:r>
              <w:rPr>
                <w:color w:val="231F20"/>
                <w:spacing w:val="-5"/>
                <w:w w:val="95"/>
                <w:sz w:val="14"/>
              </w:rPr>
              <w:t>120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1.8</w:t>
            </w:r>
          </w:p>
        </w:tc>
        <w:tc>
          <w:tcPr>
            <w:tcW w:w="574" w:type="dxa"/>
            <w:shd w:val="clear" w:color="auto" w:fill="D4E3F5"/>
          </w:tcPr>
          <w:p>
            <w:pPr>
              <w:pStyle w:val="TableParagraph"/>
              <w:ind w:left="161" w:right="138"/>
              <w:rPr>
                <w:sz w:val="14"/>
              </w:rPr>
            </w:pPr>
            <w:r>
              <w:rPr>
                <w:color w:val="231F20"/>
                <w:spacing w:val="-5"/>
                <w:w w:val="95"/>
                <w:sz w:val="14"/>
              </w:rPr>
              <w:t>136</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2.3</w:t>
            </w:r>
          </w:p>
        </w:tc>
        <w:tc>
          <w:tcPr>
            <w:tcW w:w="574" w:type="dxa"/>
            <w:shd w:val="clear" w:color="auto" w:fill="D4E3F5"/>
          </w:tcPr>
          <w:p>
            <w:pPr>
              <w:pStyle w:val="TableParagraph"/>
              <w:ind w:left="161" w:right="134"/>
              <w:rPr>
                <w:sz w:val="14"/>
              </w:rPr>
            </w:pPr>
            <w:r>
              <w:rPr>
                <w:color w:val="231F20"/>
                <w:spacing w:val="-5"/>
                <w:w w:val="95"/>
                <w:sz w:val="14"/>
              </w:rPr>
              <w:t>121</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2.0</w:t>
            </w:r>
          </w:p>
        </w:tc>
        <w:tc>
          <w:tcPr>
            <w:tcW w:w="574" w:type="dxa"/>
            <w:shd w:val="clear" w:color="auto" w:fill="D4E3F5"/>
          </w:tcPr>
          <w:p>
            <w:pPr>
              <w:pStyle w:val="TableParagraph"/>
              <w:ind w:left="161" w:right="135"/>
              <w:rPr>
                <w:sz w:val="14"/>
              </w:rPr>
            </w:pPr>
            <w:r>
              <w:rPr>
                <w:color w:val="231F20"/>
                <w:spacing w:val="-5"/>
                <w:w w:val="95"/>
                <w:sz w:val="14"/>
              </w:rPr>
              <w:t>135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2.5</w:t>
            </w:r>
          </w:p>
        </w:tc>
        <w:tc>
          <w:tcPr>
            <w:tcW w:w="574" w:type="dxa"/>
            <w:shd w:val="clear" w:color="auto" w:fill="D4E3F5"/>
          </w:tcPr>
          <w:p>
            <w:pPr>
              <w:pStyle w:val="TableParagraph"/>
              <w:ind w:left="161" w:right="127"/>
              <w:rPr>
                <w:sz w:val="14"/>
              </w:rPr>
            </w:pPr>
            <w:r>
              <w:rPr>
                <w:color w:val="231F20"/>
                <w:spacing w:val="-5"/>
                <w:w w:val="95"/>
                <w:sz w:val="14"/>
              </w:rPr>
              <w:t>124</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right="45"/>
              <w:rPr>
                <w:sz w:val="14"/>
              </w:rPr>
            </w:pPr>
            <w:r>
              <w:rPr>
                <w:color w:val="231F20"/>
                <w:spacing w:val="-5"/>
                <w:w w:val="95"/>
                <w:sz w:val="14"/>
              </w:rPr>
              <w:t>2.1</w:t>
            </w:r>
          </w:p>
        </w:tc>
        <w:tc>
          <w:tcPr>
            <w:tcW w:w="655" w:type="dxa"/>
            <w:shd w:val="clear" w:color="auto" w:fill="D4E3F5"/>
          </w:tcPr>
          <w:p>
            <w:pPr>
              <w:pStyle w:val="TableParagraph"/>
              <w:ind w:left="72" w:right="131"/>
              <w:rPr>
                <w:sz w:val="14"/>
              </w:rPr>
            </w:pPr>
            <w:r>
              <w:rPr>
                <w:color w:val="231F20"/>
                <w:spacing w:val="-5"/>
                <w:w w:val="95"/>
                <w:sz w:val="14"/>
              </w:rPr>
              <w:t>133</w:t>
            </w:r>
          </w:p>
        </w:tc>
      </w:tr>
      <w:tr>
        <w:trPr>
          <w:trHeight w:val="259" w:hRule="atLeast"/>
        </w:trPr>
        <w:tc>
          <w:tcPr>
            <w:tcW w:w="990" w:type="dxa"/>
          </w:tcPr>
          <w:p>
            <w:pPr>
              <w:pStyle w:val="TableParagraph"/>
              <w:ind w:left="80"/>
              <w:jc w:val="left"/>
              <w:rPr>
                <w:sz w:val="14"/>
              </w:rPr>
            </w:pPr>
            <w:r>
              <w:rPr>
                <w:color w:val="231F20"/>
                <w:spacing w:val="-2"/>
                <w:w w:val="90"/>
                <w:sz w:val="14"/>
              </w:rPr>
              <w:t>Somalia</w:t>
            </w:r>
          </w:p>
        </w:tc>
        <w:tc>
          <w:tcPr>
            <w:tcW w:w="622" w:type="dxa"/>
          </w:tcPr>
          <w:p>
            <w:pPr>
              <w:pStyle w:val="TableParagraph"/>
              <w:ind w:left="30" w:right="128"/>
              <w:rPr>
                <w:sz w:val="14"/>
              </w:rPr>
            </w:pPr>
            <w:r>
              <w:rPr>
                <w:color w:val="231F20"/>
                <w:spacing w:val="-5"/>
                <w:w w:val="95"/>
                <w:sz w:val="14"/>
              </w:rPr>
              <w:t>137</w:t>
            </w:r>
          </w:p>
        </w:tc>
        <w:tc>
          <w:tcPr>
            <w:tcW w:w="644" w:type="dxa"/>
          </w:tcPr>
          <w:p>
            <w:pPr>
              <w:pStyle w:val="TableParagraph"/>
              <w:ind w:left="165"/>
              <w:jc w:val="left"/>
              <w:rPr>
                <w:sz w:val="14"/>
              </w:rPr>
            </w:pPr>
            <w:r>
              <w:rPr>
                <w:color w:val="231F20"/>
                <w:spacing w:val="-5"/>
                <w:w w:val="95"/>
                <w:sz w:val="14"/>
              </w:rPr>
              <w:t>2.0</w:t>
            </w:r>
          </w:p>
        </w:tc>
        <w:tc>
          <w:tcPr>
            <w:tcW w:w="480" w:type="dxa"/>
          </w:tcPr>
          <w:p>
            <w:pPr>
              <w:pStyle w:val="TableParagraph"/>
              <w:ind w:left="108"/>
              <w:jc w:val="left"/>
              <w:rPr>
                <w:sz w:val="14"/>
              </w:rPr>
            </w:pPr>
            <w:r>
              <w:rPr>
                <w:color w:val="231F20"/>
                <w:spacing w:val="-5"/>
                <w:w w:val="95"/>
                <w:sz w:val="14"/>
              </w:rPr>
              <w:t>1.7</w:t>
            </w:r>
          </w:p>
        </w:tc>
        <w:tc>
          <w:tcPr>
            <w:tcW w:w="582" w:type="dxa"/>
          </w:tcPr>
          <w:p>
            <w:pPr>
              <w:pStyle w:val="TableParagraph"/>
              <w:ind w:left="6" w:right="6"/>
              <w:rPr>
                <w:sz w:val="14"/>
              </w:rPr>
            </w:pPr>
            <w:r>
              <w:rPr>
                <w:color w:val="231F20"/>
                <w:spacing w:val="-5"/>
                <w:w w:val="95"/>
                <w:sz w:val="14"/>
              </w:rPr>
              <w:t>2.3</w:t>
            </w:r>
          </w:p>
        </w:tc>
        <w:tc>
          <w:tcPr>
            <w:tcW w:w="80" w:type="dxa"/>
          </w:tcPr>
          <w:p>
            <w:pPr>
              <w:pStyle w:val="TableParagraph"/>
              <w:spacing w:before="0"/>
              <w:jc w:val="left"/>
              <w:rPr>
                <w:rFonts w:ascii="Times New Roman"/>
                <w:sz w:val="12"/>
              </w:rPr>
            </w:pPr>
          </w:p>
        </w:tc>
        <w:tc>
          <w:tcPr>
            <w:tcW w:w="463" w:type="dxa"/>
          </w:tcPr>
          <w:p>
            <w:pPr>
              <w:pStyle w:val="TableParagraph"/>
              <w:ind w:left="8" w:right="48"/>
              <w:rPr>
                <w:sz w:val="14"/>
              </w:rPr>
            </w:pPr>
            <w:r>
              <w:rPr>
                <w:color w:val="231F20"/>
                <w:spacing w:val="-5"/>
                <w:w w:val="95"/>
                <w:sz w:val="14"/>
              </w:rPr>
              <w:t>1.5</w:t>
            </w:r>
          </w:p>
        </w:tc>
        <w:tc>
          <w:tcPr>
            <w:tcW w:w="574" w:type="dxa"/>
          </w:tcPr>
          <w:p>
            <w:pPr>
              <w:pStyle w:val="TableParagraph"/>
              <w:ind w:left="161" w:right="139"/>
              <w:rPr>
                <w:sz w:val="14"/>
              </w:rPr>
            </w:pPr>
            <w:r>
              <w:rPr>
                <w:color w:val="231F20"/>
                <w:spacing w:val="-5"/>
                <w:w w:val="95"/>
                <w:sz w:val="14"/>
              </w:rPr>
              <w:t>139</w:t>
            </w:r>
          </w:p>
        </w:tc>
        <w:tc>
          <w:tcPr>
            <w:tcW w:w="126" w:type="dxa"/>
          </w:tcPr>
          <w:p>
            <w:pPr>
              <w:pStyle w:val="TableParagraph"/>
              <w:spacing w:before="0"/>
              <w:jc w:val="left"/>
              <w:rPr>
                <w:rFonts w:ascii="Times New Roman"/>
                <w:sz w:val="12"/>
              </w:rPr>
            </w:pPr>
          </w:p>
        </w:tc>
        <w:tc>
          <w:tcPr>
            <w:tcW w:w="463" w:type="dxa"/>
          </w:tcPr>
          <w:p>
            <w:pPr>
              <w:pStyle w:val="TableParagraph"/>
              <w:ind w:left="10" w:right="48"/>
              <w:rPr>
                <w:sz w:val="14"/>
              </w:rPr>
            </w:pPr>
            <w:r>
              <w:rPr>
                <w:color w:val="231F20"/>
                <w:spacing w:val="-5"/>
                <w:w w:val="95"/>
                <w:sz w:val="14"/>
              </w:rPr>
              <w:t>1.9</w:t>
            </w:r>
          </w:p>
        </w:tc>
        <w:tc>
          <w:tcPr>
            <w:tcW w:w="574" w:type="dxa"/>
          </w:tcPr>
          <w:p>
            <w:pPr>
              <w:pStyle w:val="TableParagraph"/>
              <w:ind w:left="161" w:right="136"/>
              <w:rPr>
                <w:sz w:val="14"/>
              </w:rPr>
            </w:pPr>
            <w:r>
              <w:rPr>
                <w:color w:val="231F20"/>
                <w:spacing w:val="-5"/>
                <w:w w:val="95"/>
                <w:sz w:val="14"/>
              </w:rPr>
              <w:t>132</w:t>
            </w:r>
          </w:p>
        </w:tc>
        <w:tc>
          <w:tcPr>
            <w:tcW w:w="126" w:type="dxa"/>
          </w:tcPr>
          <w:p>
            <w:pPr>
              <w:pStyle w:val="TableParagraph"/>
              <w:spacing w:before="0"/>
              <w:jc w:val="left"/>
              <w:rPr>
                <w:rFonts w:ascii="Times New Roman"/>
                <w:sz w:val="12"/>
              </w:rPr>
            </w:pPr>
          </w:p>
        </w:tc>
        <w:tc>
          <w:tcPr>
            <w:tcW w:w="463" w:type="dxa"/>
          </w:tcPr>
          <w:p>
            <w:pPr>
              <w:pStyle w:val="TableParagraph"/>
              <w:ind w:left="11" w:right="48"/>
              <w:rPr>
                <w:sz w:val="14"/>
              </w:rPr>
            </w:pPr>
            <w:r>
              <w:rPr>
                <w:color w:val="231F20"/>
                <w:spacing w:val="-5"/>
                <w:w w:val="95"/>
                <w:sz w:val="14"/>
              </w:rPr>
              <w:t>2.4</w:t>
            </w:r>
          </w:p>
        </w:tc>
        <w:tc>
          <w:tcPr>
            <w:tcW w:w="574" w:type="dxa"/>
          </w:tcPr>
          <w:p>
            <w:pPr>
              <w:pStyle w:val="TableParagraph"/>
              <w:ind w:left="161" w:right="131"/>
              <w:rPr>
                <w:sz w:val="14"/>
              </w:rPr>
            </w:pPr>
            <w:r>
              <w:rPr>
                <w:color w:val="231F20"/>
                <w:spacing w:val="-5"/>
                <w:w w:val="95"/>
                <w:sz w:val="14"/>
              </w:rPr>
              <w:t>111</w:t>
            </w:r>
          </w:p>
        </w:tc>
        <w:tc>
          <w:tcPr>
            <w:tcW w:w="126" w:type="dxa"/>
          </w:tcPr>
          <w:p>
            <w:pPr>
              <w:pStyle w:val="TableParagraph"/>
              <w:spacing w:before="0"/>
              <w:jc w:val="left"/>
              <w:rPr>
                <w:rFonts w:ascii="Times New Roman"/>
                <w:sz w:val="12"/>
              </w:rPr>
            </w:pPr>
          </w:p>
        </w:tc>
        <w:tc>
          <w:tcPr>
            <w:tcW w:w="463" w:type="dxa"/>
          </w:tcPr>
          <w:p>
            <w:pPr>
              <w:pStyle w:val="TableParagraph"/>
              <w:ind w:left="13" w:right="48"/>
              <w:rPr>
                <w:sz w:val="14"/>
              </w:rPr>
            </w:pPr>
            <w:r>
              <w:rPr>
                <w:color w:val="231F20"/>
                <w:spacing w:val="-5"/>
                <w:w w:val="95"/>
                <w:sz w:val="14"/>
              </w:rPr>
              <w:t>1.8</w:t>
            </w:r>
          </w:p>
        </w:tc>
        <w:tc>
          <w:tcPr>
            <w:tcW w:w="574" w:type="dxa"/>
          </w:tcPr>
          <w:p>
            <w:pPr>
              <w:pStyle w:val="TableParagraph"/>
              <w:ind w:left="161" w:right="134"/>
              <w:rPr>
                <w:sz w:val="14"/>
              </w:rPr>
            </w:pPr>
            <w:r>
              <w:rPr>
                <w:color w:val="231F20"/>
                <w:spacing w:val="-5"/>
                <w:w w:val="95"/>
                <w:sz w:val="14"/>
              </w:rPr>
              <w:t>139</w:t>
            </w:r>
          </w:p>
        </w:tc>
        <w:tc>
          <w:tcPr>
            <w:tcW w:w="126" w:type="dxa"/>
          </w:tcPr>
          <w:p>
            <w:pPr>
              <w:pStyle w:val="TableParagraph"/>
              <w:spacing w:before="0"/>
              <w:jc w:val="left"/>
              <w:rPr>
                <w:rFonts w:ascii="Times New Roman"/>
                <w:sz w:val="12"/>
              </w:rPr>
            </w:pPr>
          </w:p>
        </w:tc>
        <w:tc>
          <w:tcPr>
            <w:tcW w:w="463" w:type="dxa"/>
          </w:tcPr>
          <w:p>
            <w:pPr>
              <w:pStyle w:val="TableParagraph"/>
              <w:ind w:left="14" w:right="48"/>
              <w:rPr>
                <w:sz w:val="14"/>
              </w:rPr>
            </w:pPr>
            <w:r>
              <w:rPr>
                <w:color w:val="231F20"/>
                <w:spacing w:val="-5"/>
                <w:w w:val="95"/>
                <w:sz w:val="14"/>
              </w:rPr>
              <w:t>2.3</w:t>
            </w:r>
          </w:p>
        </w:tc>
        <w:tc>
          <w:tcPr>
            <w:tcW w:w="574" w:type="dxa"/>
          </w:tcPr>
          <w:p>
            <w:pPr>
              <w:pStyle w:val="TableParagraph"/>
              <w:ind w:left="161" w:right="134"/>
              <w:rPr>
                <w:sz w:val="14"/>
              </w:rPr>
            </w:pPr>
            <w:r>
              <w:rPr>
                <w:color w:val="231F20"/>
                <w:spacing w:val="-5"/>
                <w:w w:val="95"/>
                <w:sz w:val="14"/>
              </w:rPr>
              <w:t>133</w:t>
            </w:r>
          </w:p>
        </w:tc>
        <w:tc>
          <w:tcPr>
            <w:tcW w:w="126" w:type="dxa"/>
          </w:tcPr>
          <w:p>
            <w:pPr>
              <w:pStyle w:val="TableParagraph"/>
              <w:spacing w:before="0"/>
              <w:jc w:val="left"/>
              <w:rPr>
                <w:rFonts w:ascii="Times New Roman"/>
                <w:sz w:val="12"/>
              </w:rPr>
            </w:pPr>
          </w:p>
        </w:tc>
        <w:tc>
          <w:tcPr>
            <w:tcW w:w="468" w:type="dxa"/>
          </w:tcPr>
          <w:p>
            <w:pPr>
              <w:pStyle w:val="TableParagraph"/>
              <w:ind w:left="8" w:right="45"/>
              <w:rPr>
                <w:sz w:val="14"/>
              </w:rPr>
            </w:pPr>
            <w:r>
              <w:rPr>
                <w:color w:val="231F20"/>
                <w:spacing w:val="-5"/>
                <w:w w:val="95"/>
                <w:sz w:val="14"/>
              </w:rPr>
              <w:t>1.8</w:t>
            </w:r>
          </w:p>
        </w:tc>
        <w:tc>
          <w:tcPr>
            <w:tcW w:w="655" w:type="dxa"/>
          </w:tcPr>
          <w:p>
            <w:pPr>
              <w:pStyle w:val="TableParagraph"/>
              <w:ind w:left="72" w:right="131"/>
              <w:rPr>
                <w:sz w:val="14"/>
              </w:rPr>
            </w:pPr>
            <w:r>
              <w:rPr>
                <w:color w:val="231F20"/>
                <w:spacing w:val="-5"/>
                <w:w w:val="95"/>
                <w:sz w:val="14"/>
              </w:rPr>
              <w:t>136</w:t>
            </w:r>
          </w:p>
        </w:tc>
      </w:tr>
      <w:tr>
        <w:trPr>
          <w:trHeight w:val="259" w:hRule="atLeast"/>
        </w:trPr>
        <w:tc>
          <w:tcPr>
            <w:tcW w:w="990" w:type="dxa"/>
            <w:shd w:val="clear" w:color="auto" w:fill="D4E3F5"/>
          </w:tcPr>
          <w:p>
            <w:pPr>
              <w:pStyle w:val="TableParagraph"/>
              <w:ind w:left="80"/>
              <w:jc w:val="left"/>
              <w:rPr>
                <w:sz w:val="14"/>
              </w:rPr>
            </w:pPr>
            <w:r>
              <w:rPr>
                <w:color w:val="231F20"/>
                <w:spacing w:val="-2"/>
                <w:w w:val="90"/>
                <w:sz w:val="14"/>
              </w:rPr>
              <w:t>Afghanistan</w:t>
            </w:r>
          </w:p>
        </w:tc>
        <w:tc>
          <w:tcPr>
            <w:tcW w:w="622" w:type="dxa"/>
            <w:shd w:val="clear" w:color="auto" w:fill="D4E3F5"/>
          </w:tcPr>
          <w:p>
            <w:pPr>
              <w:pStyle w:val="TableParagraph"/>
              <w:ind w:left="30" w:right="130"/>
              <w:rPr>
                <w:sz w:val="14"/>
              </w:rPr>
            </w:pPr>
            <w:r>
              <w:rPr>
                <w:color w:val="231F20"/>
                <w:spacing w:val="-5"/>
                <w:w w:val="95"/>
                <w:sz w:val="14"/>
              </w:rPr>
              <w:t>138</w:t>
            </w:r>
          </w:p>
        </w:tc>
        <w:tc>
          <w:tcPr>
            <w:tcW w:w="644" w:type="dxa"/>
            <w:shd w:val="clear" w:color="auto" w:fill="D4E3F5"/>
          </w:tcPr>
          <w:p>
            <w:pPr>
              <w:pStyle w:val="TableParagraph"/>
              <w:ind w:left="168"/>
              <w:jc w:val="left"/>
              <w:rPr>
                <w:sz w:val="14"/>
              </w:rPr>
            </w:pPr>
            <w:r>
              <w:rPr>
                <w:color w:val="231F20"/>
                <w:spacing w:val="-5"/>
                <w:w w:val="95"/>
                <w:sz w:val="14"/>
              </w:rPr>
              <w:t>1.9</w:t>
            </w:r>
          </w:p>
        </w:tc>
        <w:tc>
          <w:tcPr>
            <w:tcW w:w="480" w:type="dxa"/>
            <w:shd w:val="clear" w:color="auto" w:fill="D4E3F5"/>
          </w:tcPr>
          <w:p>
            <w:pPr>
              <w:pStyle w:val="TableParagraph"/>
              <w:ind w:left="108"/>
              <w:jc w:val="left"/>
              <w:rPr>
                <w:sz w:val="14"/>
              </w:rPr>
            </w:pPr>
            <w:r>
              <w:rPr>
                <w:color w:val="231F20"/>
                <w:spacing w:val="-5"/>
                <w:w w:val="95"/>
                <w:sz w:val="14"/>
              </w:rPr>
              <w:t>1.7</w:t>
            </w:r>
          </w:p>
        </w:tc>
        <w:tc>
          <w:tcPr>
            <w:tcW w:w="582" w:type="dxa"/>
            <w:shd w:val="clear" w:color="auto" w:fill="D4E3F5"/>
          </w:tcPr>
          <w:p>
            <w:pPr>
              <w:pStyle w:val="TableParagraph"/>
              <w:ind w:left="1" w:right="7"/>
              <w:rPr>
                <w:sz w:val="14"/>
              </w:rPr>
            </w:pPr>
            <w:r>
              <w:rPr>
                <w:color w:val="231F20"/>
                <w:spacing w:val="-5"/>
                <w:w w:val="95"/>
                <w:sz w:val="14"/>
              </w:rPr>
              <w:t>2.1</w:t>
            </w:r>
          </w:p>
        </w:tc>
        <w:tc>
          <w:tcPr>
            <w:tcW w:w="80"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right="48"/>
              <w:rPr>
                <w:sz w:val="14"/>
              </w:rPr>
            </w:pPr>
            <w:r>
              <w:rPr>
                <w:color w:val="231F20"/>
                <w:spacing w:val="-5"/>
                <w:w w:val="95"/>
                <w:sz w:val="14"/>
              </w:rPr>
              <w:t>2.1</w:t>
            </w:r>
          </w:p>
        </w:tc>
        <w:tc>
          <w:tcPr>
            <w:tcW w:w="574" w:type="dxa"/>
            <w:shd w:val="clear" w:color="auto" w:fill="D4E3F5"/>
          </w:tcPr>
          <w:p>
            <w:pPr>
              <w:pStyle w:val="TableParagraph"/>
              <w:ind w:left="161" w:right="139"/>
              <w:rPr>
                <w:sz w:val="14"/>
              </w:rPr>
            </w:pPr>
            <w:r>
              <w:rPr>
                <w:color w:val="231F20"/>
                <w:spacing w:val="-5"/>
                <w:w w:val="95"/>
                <w:sz w:val="14"/>
              </w:rPr>
              <w:t>120</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0" w:right="48"/>
              <w:rPr>
                <w:sz w:val="14"/>
              </w:rPr>
            </w:pPr>
            <w:r>
              <w:rPr>
                <w:color w:val="231F20"/>
                <w:spacing w:val="-5"/>
                <w:w w:val="95"/>
                <w:sz w:val="14"/>
              </w:rPr>
              <w:t>1.7</w:t>
            </w:r>
          </w:p>
        </w:tc>
        <w:tc>
          <w:tcPr>
            <w:tcW w:w="574" w:type="dxa"/>
            <w:shd w:val="clear" w:color="auto" w:fill="D4E3F5"/>
          </w:tcPr>
          <w:p>
            <w:pPr>
              <w:pStyle w:val="TableParagraph"/>
              <w:ind w:left="161" w:right="138"/>
              <w:rPr>
                <w:sz w:val="14"/>
              </w:rPr>
            </w:pPr>
            <w:r>
              <w:rPr>
                <w:color w:val="231F20"/>
                <w:spacing w:val="-5"/>
                <w:w w:val="95"/>
                <w:sz w:val="14"/>
              </w:rPr>
              <w:t>138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1" w:right="48"/>
              <w:rPr>
                <w:sz w:val="14"/>
              </w:rPr>
            </w:pPr>
            <w:r>
              <w:rPr>
                <w:color w:val="231F20"/>
                <w:spacing w:val="-5"/>
                <w:w w:val="95"/>
                <w:sz w:val="14"/>
              </w:rPr>
              <w:t>1.8</w:t>
            </w:r>
          </w:p>
        </w:tc>
        <w:tc>
          <w:tcPr>
            <w:tcW w:w="574" w:type="dxa"/>
            <w:shd w:val="clear" w:color="auto" w:fill="D4E3F5"/>
          </w:tcPr>
          <w:p>
            <w:pPr>
              <w:pStyle w:val="TableParagraph"/>
              <w:ind w:left="161" w:right="137"/>
              <w:rPr>
                <w:sz w:val="14"/>
              </w:rPr>
            </w:pPr>
            <w:r>
              <w:rPr>
                <w:color w:val="231F20"/>
                <w:spacing w:val="-5"/>
                <w:w w:val="95"/>
                <w:sz w:val="14"/>
              </w:rPr>
              <w:t>138</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2.0</w:t>
            </w:r>
          </w:p>
        </w:tc>
        <w:tc>
          <w:tcPr>
            <w:tcW w:w="574" w:type="dxa"/>
            <w:shd w:val="clear" w:color="auto" w:fill="D4E3F5"/>
          </w:tcPr>
          <w:p>
            <w:pPr>
              <w:pStyle w:val="TableParagraph"/>
              <w:ind w:left="161" w:right="135"/>
              <w:rPr>
                <w:sz w:val="14"/>
              </w:rPr>
            </w:pPr>
            <w:r>
              <w:rPr>
                <w:color w:val="231F20"/>
                <w:spacing w:val="-5"/>
                <w:w w:val="95"/>
                <w:sz w:val="14"/>
              </w:rPr>
              <w:t>135</w:t>
            </w:r>
          </w:p>
        </w:tc>
        <w:tc>
          <w:tcPr>
            <w:tcW w:w="126" w:type="dxa"/>
            <w:shd w:val="clear" w:color="auto" w:fill="D4E3F5"/>
          </w:tcPr>
          <w:p>
            <w:pPr>
              <w:pStyle w:val="TableParagraph"/>
              <w:spacing w:before="0"/>
              <w:jc w:val="left"/>
              <w:rPr>
                <w:rFonts w:ascii="Times New Roman"/>
                <w:sz w:val="12"/>
              </w:rPr>
            </w:pPr>
          </w:p>
        </w:tc>
        <w:tc>
          <w:tcPr>
            <w:tcW w:w="463" w:type="dxa"/>
            <w:shd w:val="clear" w:color="auto" w:fill="D4E3F5"/>
          </w:tcPr>
          <w:p>
            <w:pPr>
              <w:pStyle w:val="TableParagraph"/>
              <w:ind w:left="14" w:right="48"/>
              <w:rPr>
                <w:sz w:val="14"/>
              </w:rPr>
            </w:pPr>
            <w:r>
              <w:rPr>
                <w:color w:val="231F20"/>
                <w:spacing w:val="-5"/>
                <w:w w:val="95"/>
                <w:sz w:val="14"/>
              </w:rPr>
              <w:t>2.3</w:t>
            </w:r>
          </w:p>
        </w:tc>
        <w:tc>
          <w:tcPr>
            <w:tcW w:w="574" w:type="dxa"/>
            <w:shd w:val="clear" w:color="auto" w:fill="D4E3F5"/>
          </w:tcPr>
          <w:p>
            <w:pPr>
              <w:pStyle w:val="TableParagraph"/>
              <w:ind w:left="161" w:right="134"/>
              <w:rPr>
                <w:sz w:val="14"/>
              </w:rPr>
            </w:pPr>
            <w:r>
              <w:rPr>
                <w:color w:val="231F20"/>
                <w:spacing w:val="-5"/>
                <w:w w:val="95"/>
                <w:sz w:val="14"/>
              </w:rPr>
              <w:t>133</w:t>
            </w:r>
          </w:p>
        </w:tc>
        <w:tc>
          <w:tcPr>
            <w:tcW w:w="126" w:type="dxa"/>
            <w:shd w:val="clear" w:color="auto" w:fill="D4E3F5"/>
          </w:tcPr>
          <w:p>
            <w:pPr>
              <w:pStyle w:val="TableParagraph"/>
              <w:spacing w:before="0"/>
              <w:jc w:val="left"/>
              <w:rPr>
                <w:rFonts w:ascii="Times New Roman"/>
                <w:sz w:val="12"/>
              </w:rPr>
            </w:pPr>
          </w:p>
        </w:tc>
        <w:tc>
          <w:tcPr>
            <w:tcW w:w="468" w:type="dxa"/>
            <w:shd w:val="clear" w:color="auto" w:fill="D4E3F5"/>
          </w:tcPr>
          <w:p>
            <w:pPr>
              <w:pStyle w:val="TableParagraph"/>
              <w:ind w:left="8" w:right="45"/>
              <w:rPr>
                <w:sz w:val="14"/>
              </w:rPr>
            </w:pPr>
            <w:r>
              <w:rPr>
                <w:color w:val="231F20"/>
                <w:spacing w:val="-5"/>
                <w:w w:val="95"/>
                <w:sz w:val="14"/>
              </w:rPr>
              <w:t>1.6</w:t>
            </w:r>
          </w:p>
        </w:tc>
        <w:tc>
          <w:tcPr>
            <w:tcW w:w="655" w:type="dxa"/>
            <w:shd w:val="clear" w:color="auto" w:fill="D4E3F5"/>
          </w:tcPr>
          <w:p>
            <w:pPr>
              <w:pStyle w:val="TableParagraph"/>
              <w:ind w:left="72" w:right="130"/>
              <w:rPr>
                <w:sz w:val="14"/>
              </w:rPr>
            </w:pPr>
            <w:r>
              <w:rPr>
                <w:color w:val="231F20"/>
                <w:spacing w:val="-5"/>
                <w:w w:val="95"/>
                <w:sz w:val="14"/>
              </w:rPr>
              <w:t>139</w:t>
            </w:r>
          </w:p>
        </w:tc>
      </w:tr>
      <w:tr>
        <w:trPr>
          <w:trHeight w:val="254" w:hRule="atLeast"/>
        </w:trPr>
        <w:tc>
          <w:tcPr>
            <w:tcW w:w="990" w:type="dxa"/>
            <w:tcBorders>
              <w:bottom w:val="single" w:sz="4" w:space="0" w:color="008FDD"/>
            </w:tcBorders>
          </w:tcPr>
          <w:p>
            <w:pPr>
              <w:pStyle w:val="TableParagraph"/>
              <w:ind w:left="80"/>
              <w:jc w:val="left"/>
              <w:rPr>
                <w:sz w:val="14"/>
              </w:rPr>
            </w:pPr>
            <w:r>
              <w:rPr>
                <w:color w:val="231F20"/>
                <w:spacing w:val="-2"/>
                <w:w w:val="90"/>
                <w:sz w:val="14"/>
              </w:rPr>
              <w:t>Libya</w:t>
            </w:r>
          </w:p>
        </w:tc>
        <w:tc>
          <w:tcPr>
            <w:tcW w:w="622" w:type="dxa"/>
            <w:tcBorders>
              <w:bottom w:val="single" w:sz="4" w:space="0" w:color="008FDD"/>
            </w:tcBorders>
          </w:tcPr>
          <w:p>
            <w:pPr>
              <w:pStyle w:val="TableParagraph"/>
              <w:ind w:left="30" w:right="130"/>
              <w:rPr>
                <w:sz w:val="14"/>
              </w:rPr>
            </w:pPr>
            <w:r>
              <w:rPr>
                <w:color w:val="231F20"/>
                <w:spacing w:val="-5"/>
                <w:w w:val="95"/>
                <w:sz w:val="14"/>
              </w:rPr>
              <w:t>138</w:t>
            </w:r>
          </w:p>
        </w:tc>
        <w:tc>
          <w:tcPr>
            <w:tcW w:w="644" w:type="dxa"/>
            <w:tcBorders>
              <w:bottom w:val="single" w:sz="4" w:space="0" w:color="008FDD"/>
            </w:tcBorders>
          </w:tcPr>
          <w:p>
            <w:pPr>
              <w:pStyle w:val="TableParagraph"/>
              <w:ind w:left="168"/>
              <w:jc w:val="left"/>
              <w:rPr>
                <w:sz w:val="14"/>
              </w:rPr>
            </w:pPr>
            <w:r>
              <w:rPr>
                <w:color w:val="231F20"/>
                <w:spacing w:val="-5"/>
                <w:w w:val="95"/>
                <w:sz w:val="14"/>
              </w:rPr>
              <w:t>1.9</w:t>
            </w:r>
          </w:p>
        </w:tc>
        <w:tc>
          <w:tcPr>
            <w:tcW w:w="480" w:type="dxa"/>
            <w:tcBorders>
              <w:bottom w:val="single" w:sz="4" w:space="0" w:color="008FDD"/>
            </w:tcBorders>
          </w:tcPr>
          <w:p>
            <w:pPr>
              <w:pStyle w:val="TableParagraph"/>
              <w:ind w:left="106"/>
              <w:jc w:val="left"/>
              <w:rPr>
                <w:sz w:val="14"/>
              </w:rPr>
            </w:pPr>
            <w:r>
              <w:rPr>
                <w:color w:val="231F20"/>
                <w:spacing w:val="-5"/>
                <w:w w:val="95"/>
                <w:sz w:val="14"/>
              </w:rPr>
              <w:t>1.6</w:t>
            </w:r>
          </w:p>
        </w:tc>
        <w:tc>
          <w:tcPr>
            <w:tcW w:w="582" w:type="dxa"/>
            <w:tcBorders>
              <w:bottom w:val="single" w:sz="4" w:space="0" w:color="008FDD"/>
            </w:tcBorders>
          </w:tcPr>
          <w:p>
            <w:pPr>
              <w:pStyle w:val="TableParagraph"/>
              <w:ind w:left="6" w:right="6"/>
              <w:rPr>
                <w:sz w:val="14"/>
              </w:rPr>
            </w:pPr>
            <w:r>
              <w:rPr>
                <w:color w:val="231F20"/>
                <w:spacing w:val="-5"/>
                <w:w w:val="95"/>
                <w:sz w:val="14"/>
              </w:rPr>
              <w:t>2.2</w:t>
            </w:r>
          </w:p>
        </w:tc>
        <w:tc>
          <w:tcPr>
            <w:tcW w:w="80" w:type="dxa"/>
            <w:tcBorders>
              <w:bottom w:val="single" w:sz="4" w:space="0" w:color="008FDD"/>
            </w:tcBorders>
          </w:tcPr>
          <w:p>
            <w:pPr>
              <w:pStyle w:val="TableParagraph"/>
              <w:spacing w:before="0"/>
              <w:jc w:val="left"/>
              <w:rPr>
                <w:rFonts w:ascii="Times New Roman"/>
                <w:sz w:val="12"/>
              </w:rPr>
            </w:pPr>
          </w:p>
        </w:tc>
        <w:tc>
          <w:tcPr>
            <w:tcW w:w="463" w:type="dxa"/>
            <w:tcBorders>
              <w:bottom w:val="single" w:sz="4" w:space="0" w:color="008FDD"/>
            </w:tcBorders>
          </w:tcPr>
          <w:p>
            <w:pPr>
              <w:pStyle w:val="TableParagraph"/>
              <w:ind w:left="8" w:right="48"/>
              <w:rPr>
                <w:sz w:val="14"/>
              </w:rPr>
            </w:pPr>
            <w:r>
              <w:rPr>
                <w:color w:val="231F20"/>
                <w:spacing w:val="-5"/>
                <w:w w:val="95"/>
                <w:sz w:val="14"/>
              </w:rPr>
              <w:t>1.9</w:t>
            </w:r>
          </w:p>
        </w:tc>
        <w:tc>
          <w:tcPr>
            <w:tcW w:w="574" w:type="dxa"/>
            <w:tcBorders>
              <w:bottom w:val="single" w:sz="4" w:space="0" w:color="008FDD"/>
            </w:tcBorders>
          </w:tcPr>
          <w:p>
            <w:pPr>
              <w:pStyle w:val="TableParagraph"/>
              <w:ind w:left="161" w:right="140"/>
              <w:rPr>
                <w:sz w:val="14"/>
              </w:rPr>
            </w:pPr>
            <w:r>
              <w:rPr>
                <w:color w:val="231F20"/>
                <w:spacing w:val="-5"/>
                <w:w w:val="95"/>
                <w:sz w:val="14"/>
              </w:rPr>
              <w:t>133</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bottom w:val="single" w:sz="4" w:space="0" w:color="008FDD"/>
            </w:tcBorders>
          </w:tcPr>
          <w:p>
            <w:pPr>
              <w:pStyle w:val="TableParagraph"/>
              <w:ind w:left="10" w:right="48"/>
              <w:rPr>
                <w:sz w:val="14"/>
              </w:rPr>
            </w:pPr>
            <w:r>
              <w:rPr>
                <w:color w:val="231F20"/>
                <w:spacing w:val="-5"/>
                <w:w w:val="95"/>
                <w:sz w:val="14"/>
              </w:rPr>
              <w:t>1.7</w:t>
            </w:r>
          </w:p>
        </w:tc>
        <w:tc>
          <w:tcPr>
            <w:tcW w:w="574" w:type="dxa"/>
            <w:tcBorders>
              <w:bottom w:val="single" w:sz="4" w:space="0" w:color="008FDD"/>
            </w:tcBorders>
          </w:tcPr>
          <w:p>
            <w:pPr>
              <w:pStyle w:val="TableParagraph"/>
              <w:ind w:left="161" w:right="138"/>
              <w:rPr>
                <w:sz w:val="14"/>
              </w:rPr>
            </w:pPr>
            <w:r>
              <w:rPr>
                <w:color w:val="231F20"/>
                <w:spacing w:val="-5"/>
                <w:w w:val="95"/>
                <w:sz w:val="14"/>
              </w:rPr>
              <w:t>138</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bottom w:val="single" w:sz="4" w:space="0" w:color="008FDD"/>
            </w:tcBorders>
          </w:tcPr>
          <w:p>
            <w:pPr>
              <w:pStyle w:val="TableParagraph"/>
              <w:ind w:left="13" w:right="48"/>
              <w:rPr>
                <w:sz w:val="14"/>
              </w:rPr>
            </w:pPr>
            <w:r>
              <w:rPr>
                <w:color w:val="231F20"/>
                <w:spacing w:val="-5"/>
                <w:w w:val="95"/>
                <w:sz w:val="14"/>
              </w:rPr>
              <w:t>2.0</w:t>
            </w:r>
          </w:p>
        </w:tc>
        <w:tc>
          <w:tcPr>
            <w:tcW w:w="574" w:type="dxa"/>
            <w:tcBorders>
              <w:bottom w:val="single" w:sz="4" w:space="0" w:color="008FDD"/>
            </w:tcBorders>
          </w:tcPr>
          <w:p>
            <w:pPr>
              <w:pStyle w:val="TableParagraph"/>
              <w:ind w:left="161" w:right="137"/>
              <w:rPr>
                <w:sz w:val="14"/>
              </w:rPr>
            </w:pPr>
            <w:r>
              <w:rPr>
                <w:color w:val="231F20"/>
                <w:spacing w:val="-5"/>
                <w:w w:val="95"/>
                <w:sz w:val="14"/>
              </w:rPr>
              <w:t>135</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bottom w:val="single" w:sz="4" w:space="0" w:color="008FDD"/>
            </w:tcBorders>
          </w:tcPr>
          <w:p>
            <w:pPr>
              <w:pStyle w:val="TableParagraph"/>
              <w:ind w:left="13" w:right="48"/>
              <w:rPr>
                <w:sz w:val="14"/>
              </w:rPr>
            </w:pPr>
            <w:r>
              <w:rPr>
                <w:color w:val="231F20"/>
                <w:spacing w:val="-5"/>
                <w:w w:val="95"/>
                <w:sz w:val="14"/>
              </w:rPr>
              <w:t>1.9</w:t>
            </w:r>
          </w:p>
        </w:tc>
        <w:tc>
          <w:tcPr>
            <w:tcW w:w="574" w:type="dxa"/>
            <w:tcBorders>
              <w:bottom w:val="single" w:sz="4" w:space="0" w:color="008FDD"/>
            </w:tcBorders>
          </w:tcPr>
          <w:p>
            <w:pPr>
              <w:pStyle w:val="TableParagraph"/>
              <w:ind w:left="161" w:right="135"/>
              <w:rPr>
                <w:sz w:val="14"/>
              </w:rPr>
            </w:pPr>
            <w:r>
              <w:rPr>
                <w:color w:val="231F20"/>
                <w:spacing w:val="-5"/>
                <w:w w:val="95"/>
                <w:sz w:val="14"/>
              </w:rPr>
              <w:t>138</w:t>
            </w:r>
          </w:p>
        </w:tc>
        <w:tc>
          <w:tcPr>
            <w:tcW w:w="126" w:type="dxa"/>
            <w:tcBorders>
              <w:bottom w:val="single" w:sz="4" w:space="0" w:color="008FDD"/>
            </w:tcBorders>
          </w:tcPr>
          <w:p>
            <w:pPr>
              <w:pStyle w:val="TableParagraph"/>
              <w:spacing w:before="0"/>
              <w:jc w:val="left"/>
              <w:rPr>
                <w:rFonts w:ascii="Times New Roman"/>
                <w:sz w:val="12"/>
              </w:rPr>
            </w:pPr>
          </w:p>
        </w:tc>
        <w:tc>
          <w:tcPr>
            <w:tcW w:w="463" w:type="dxa"/>
            <w:tcBorders>
              <w:bottom w:val="single" w:sz="4" w:space="0" w:color="008FDD"/>
            </w:tcBorders>
          </w:tcPr>
          <w:p>
            <w:pPr>
              <w:pStyle w:val="TableParagraph"/>
              <w:ind w:left="14" w:right="48"/>
              <w:rPr>
                <w:sz w:val="14"/>
              </w:rPr>
            </w:pPr>
            <w:r>
              <w:rPr>
                <w:color w:val="231F20"/>
                <w:spacing w:val="-5"/>
                <w:w w:val="95"/>
                <w:sz w:val="14"/>
              </w:rPr>
              <w:t>2.2</w:t>
            </w:r>
          </w:p>
        </w:tc>
        <w:tc>
          <w:tcPr>
            <w:tcW w:w="574" w:type="dxa"/>
            <w:tcBorders>
              <w:bottom w:val="single" w:sz="4" w:space="0" w:color="008FDD"/>
            </w:tcBorders>
          </w:tcPr>
          <w:p>
            <w:pPr>
              <w:pStyle w:val="TableParagraph"/>
              <w:ind w:left="161" w:right="131"/>
              <w:rPr>
                <w:sz w:val="14"/>
              </w:rPr>
            </w:pPr>
            <w:r>
              <w:rPr>
                <w:color w:val="231F20"/>
                <w:spacing w:val="-5"/>
                <w:w w:val="95"/>
                <w:sz w:val="14"/>
              </w:rPr>
              <w:t>137</w:t>
            </w:r>
          </w:p>
        </w:tc>
        <w:tc>
          <w:tcPr>
            <w:tcW w:w="126" w:type="dxa"/>
            <w:tcBorders>
              <w:bottom w:val="single" w:sz="4" w:space="0" w:color="008FDD"/>
            </w:tcBorders>
          </w:tcPr>
          <w:p>
            <w:pPr>
              <w:pStyle w:val="TableParagraph"/>
              <w:spacing w:before="0"/>
              <w:jc w:val="left"/>
              <w:rPr>
                <w:rFonts w:ascii="Times New Roman"/>
                <w:sz w:val="12"/>
              </w:rPr>
            </w:pPr>
          </w:p>
        </w:tc>
        <w:tc>
          <w:tcPr>
            <w:tcW w:w="468" w:type="dxa"/>
            <w:tcBorders>
              <w:bottom w:val="single" w:sz="4" w:space="0" w:color="008FDD"/>
            </w:tcBorders>
          </w:tcPr>
          <w:p>
            <w:pPr>
              <w:pStyle w:val="TableParagraph"/>
              <w:ind w:left="8" w:right="45"/>
              <w:rPr>
                <w:sz w:val="14"/>
              </w:rPr>
            </w:pPr>
            <w:r>
              <w:rPr>
                <w:color w:val="231F20"/>
                <w:spacing w:val="-5"/>
                <w:w w:val="95"/>
                <w:sz w:val="14"/>
              </w:rPr>
              <w:t>1.8</w:t>
            </w:r>
          </w:p>
        </w:tc>
        <w:tc>
          <w:tcPr>
            <w:tcW w:w="655" w:type="dxa"/>
            <w:tcBorders>
              <w:bottom w:val="single" w:sz="4" w:space="0" w:color="008FDD"/>
            </w:tcBorders>
          </w:tcPr>
          <w:p>
            <w:pPr>
              <w:pStyle w:val="TableParagraph"/>
              <w:ind w:left="72" w:right="131"/>
              <w:rPr>
                <w:sz w:val="14"/>
              </w:rPr>
            </w:pPr>
            <w:r>
              <w:rPr>
                <w:color w:val="231F20"/>
                <w:spacing w:val="-5"/>
                <w:w w:val="95"/>
                <w:sz w:val="14"/>
              </w:rPr>
              <w:t>136</w:t>
            </w:r>
          </w:p>
        </w:tc>
      </w:tr>
    </w:tbl>
    <w:p>
      <w:pPr>
        <w:pStyle w:val="BodyText"/>
        <w:spacing w:before="52"/>
        <w:rPr>
          <w:rFonts w:ascii="Arial"/>
          <w:sz w:val="12"/>
        </w:rPr>
      </w:pPr>
    </w:p>
    <w:p>
      <w:pPr>
        <w:spacing w:before="0"/>
        <w:ind w:left="1200" w:right="0" w:firstLine="0"/>
        <w:jc w:val="left"/>
        <w:rPr>
          <w:rFonts w:ascii="Arial"/>
          <w:sz w:val="12"/>
        </w:rPr>
      </w:pPr>
      <w:r>
        <w:rPr>
          <w:rFonts w:ascii="Arial"/>
          <w:i/>
          <w:color w:val="231F20"/>
          <w:w w:val="75"/>
          <w:sz w:val="12"/>
        </w:rPr>
        <w:t>Source:</w:t>
      </w:r>
      <w:r>
        <w:rPr>
          <w:rFonts w:ascii="Arial"/>
          <w:i/>
          <w:color w:val="231F20"/>
          <w:spacing w:val="7"/>
          <w:sz w:val="12"/>
        </w:rPr>
        <w:t> </w:t>
      </w:r>
      <w:r>
        <w:rPr>
          <w:rFonts w:ascii="Arial"/>
          <w:color w:val="231F20"/>
          <w:w w:val="75"/>
          <w:sz w:val="12"/>
        </w:rPr>
        <w:t>World</w:t>
      </w:r>
      <w:r>
        <w:rPr>
          <w:rFonts w:ascii="Arial"/>
          <w:color w:val="231F20"/>
          <w:spacing w:val="8"/>
          <w:sz w:val="12"/>
        </w:rPr>
        <w:t> </w:t>
      </w:r>
      <w:r>
        <w:rPr>
          <w:rFonts w:ascii="Arial"/>
          <w:color w:val="231F20"/>
          <w:spacing w:val="-2"/>
          <w:w w:val="75"/>
          <w:sz w:val="12"/>
        </w:rPr>
        <w:t>Bank.</w:t>
      </w:r>
    </w:p>
    <w:p>
      <w:pPr>
        <w:spacing w:after="0"/>
        <w:jc w:val="left"/>
        <w:rPr>
          <w:rFonts w:ascii="Arial"/>
          <w:sz w:val="12"/>
        </w:rPr>
        <w:sectPr>
          <w:headerReference w:type="default" r:id="rId114"/>
          <w:footerReference w:type="default" r:id="rId115"/>
          <w:footerReference w:type="even" r:id="rId116"/>
          <w:pgSz w:w="12240" w:h="15840"/>
          <w:pgMar w:header="370" w:footer="548" w:top="560" w:bottom="740" w:left="0" w:right="540"/>
          <w:pgNumType w:start="35"/>
        </w:sectPr>
      </w:pPr>
    </w:p>
    <w:p>
      <w:pPr>
        <w:pStyle w:val="BodyText"/>
        <w:spacing w:before="9"/>
        <w:rPr>
          <w:rFonts w:ascii="Arial"/>
          <w:sz w:val="40"/>
        </w:rPr>
      </w:pPr>
    </w:p>
    <w:p>
      <w:pPr>
        <w:pStyle w:val="Heading1"/>
        <w:spacing w:line="230" w:lineRule="auto"/>
        <w:ind w:left="3360" w:right="1648"/>
      </w:pPr>
      <w:r>
        <w:rPr/>
        <mc:AlternateContent>
          <mc:Choice Requires="wps">
            <w:drawing>
              <wp:anchor distT="0" distB="0" distL="0" distR="0" allowOverlap="1" layoutInCell="1" locked="0" behindDoc="0" simplePos="0" relativeHeight="15764992">
                <wp:simplePos x="0" y="0"/>
                <wp:positionH relativeFrom="page">
                  <wp:posOffset>1237231</wp:posOffset>
                </wp:positionH>
                <wp:positionV relativeFrom="paragraph">
                  <wp:posOffset>-106476</wp:posOffset>
                </wp:positionV>
                <wp:extent cx="159385" cy="628015"/>
                <wp:effectExtent l="0" t="0" r="0" b="0"/>
                <wp:wrapNone/>
                <wp:docPr id="1537" name="Textbox 1537"/>
                <wp:cNvGraphicFramePr>
                  <a:graphicFrameLocks/>
                </wp:cNvGraphicFramePr>
                <a:graphic>
                  <a:graphicData uri="http://schemas.microsoft.com/office/word/2010/wordprocessingShape">
                    <wps:wsp>
                      <wps:cNvPr id="1537" name="Textbox 1537"/>
                      <wps:cNvSpPr txBox="1"/>
                      <wps:spPr>
                        <a:xfrm>
                          <a:off x="0" y="0"/>
                          <a:ext cx="159385" cy="628015"/>
                        </a:xfrm>
                        <a:prstGeom prst="rect">
                          <a:avLst/>
                        </a:prstGeom>
                      </wps:spPr>
                      <wps:txbx>
                        <w:txbxContent>
                          <w:p>
                            <w:pPr>
                              <w:spacing w:before="28"/>
                              <w:ind w:left="20" w:right="0" w:firstLine="0"/>
                              <w:jc w:val="left"/>
                              <w:rPr>
                                <w:rFonts w:ascii="Arial"/>
                                <w:b/>
                                <w:sz w:val="17"/>
                              </w:rPr>
                            </w:pPr>
                            <w:r>
                              <w:rPr>
                                <w:rFonts w:ascii="Arial"/>
                                <w:b/>
                                <w:color w:val="231F20"/>
                                <w:spacing w:val="-2"/>
                                <w:w w:val="110"/>
                                <w:sz w:val="17"/>
                              </w:rPr>
                              <w:t>APPENDIX</w:t>
                            </w:r>
                          </w:p>
                        </w:txbxContent>
                      </wps:txbx>
                      <wps:bodyPr wrap="square" lIns="0" tIns="0" rIns="0" bIns="0" rtlCol="0" vert="vert270">
                        <a:noAutofit/>
                      </wps:bodyPr>
                    </wps:wsp>
                  </a:graphicData>
                </a:graphic>
              </wp:anchor>
            </w:drawing>
          </mc:Choice>
          <mc:Fallback>
            <w:pict>
              <v:shape style="position:absolute;margin-left:97.4198pt;margin-top:-8.383999pt;width:12.55pt;height:49.45pt;mso-position-horizontal-relative:page;mso-position-vertical-relative:paragraph;z-index:15764992" type="#_x0000_t202" id="docshape1301" filled="false" stroked="false">
                <v:textbox inset="0,0,0,0" style="layout-flow:vertical;mso-layout-flow-alt:bottom-to-top">
                  <w:txbxContent>
                    <w:p>
                      <w:pPr>
                        <w:spacing w:before="28"/>
                        <w:ind w:left="20" w:right="0" w:firstLine="0"/>
                        <w:jc w:val="left"/>
                        <w:rPr>
                          <w:rFonts w:ascii="Arial"/>
                          <w:b/>
                          <w:sz w:val="17"/>
                        </w:rPr>
                      </w:pPr>
                      <w:r>
                        <w:rPr>
                          <w:rFonts w:ascii="Arial"/>
                          <w:b/>
                          <w:color w:val="231F20"/>
                          <w:spacing w:val="-2"/>
                          <w:w w:val="110"/>
                          <w:sz w:val="17"/>
                        </w:rPr>
                        <w:t>APPENDIX</w:t>
                      </w:r>
                    </w:p>
                  </w:txbxContent>
                </v:textbox>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1432570</wp:posOffset>
                </wp:positionH>
                <wp:positionV relativeFrom="paragraph">
                  <wp:posOffset>-242672</wp:posOffset>
                </wp:positionV>
                <wp:extent cx="548640" cy="942340"/>
                <wp:effectExtent l="0" t="0" r="0" b="0"/>
                <wp:wrapNone/>
                <wp:docPr id="1538" name="Textbox 1538"/>
                <wp:cNvGraphicFramePr>
                  <a:graphicFrameLocks/>
                </wp:cNvGraphicFramePr>
                <a:graphic>
                  <a:graphicData uri="http://schemas.microsoft.com/office/word/2010/wordprocessingShape">
                    <wps:wsp>
                      <wps:cNvPr id="1538" name="Textbox 1538"/>
                      <wps:cNvSpPr txBox="1"/>
                      <wps:spPr>
                        <a:xfrm>
                          <a:off x="0" y="0"/>
                          <a:ext cx="548640" cy="942340"/>
                        </a:xfrm>
                        <a:prstGeom prst="rect">
                          <a:avLst/>
                        </a:prstGeom>
                      </wps:spPr>
                      <wps:txbx>
                        <w:txbxContent>
                          <w:p>
                            <w:pPr>
                              <w:spacing w:before="57"/>
                              <w:ind w:left="0" w:right="0" w:firstLine="0"/>
                              <w:jc w:val="left"/>
                              <w:rPr>
                                <w:rFonts w:ascii="Arial"/>
                                <w:b/>
                                <w:sz w:val="120"/>
                              </w:rPr>
                            </w:pPr>
                            <w:r>
                              <w:rPr>
                                <w:rFonts w:ascii="Arial"/>
                                <w:b/>
                                <w:color w:val="008FDD"/>
                                <w:spacing w:val="-10"/>
                                <w:w w:val="125"/>
                                <w:sz w:val="120"/>
                              </w:rPr>
                              <w:t>2</w:t>
                            </w:r>
                          </w:p>
                        </w:txbxContent>
                      </wps:txbx>
                      <wps:bodyPr wrap="square" lIns="0" tIns="0" rIns="0" bIns="0" rtlCol="0">
                        <a:noAutofit/>
                      </wps:bodyPr>
                    </wps:wsp>
                  </a:graphicData>
                </a:graphic>
              </wp:anchor>
            </w:drawing>
          </mc:Choice>
          <mc:Fallback>
            <w:pict>
              <v:shape style="position:absolute;margin-left:112.800797pt;margin-top:-19.108047pt;width:43.2pt;height:74.2pt;mso-position-horizontal-relative:page;mso-position-vertical-relative:paragraph;z-index:15765504" type="#_x0000_t202" id="docshape1302" filled="false" stroked="false">
                <v:textbox inset="0,0,0,0">
                  <w:txbxContent>
                    <w:p>
                      <w:pPr>
                        <w:spacing w:before="57"/>
                        <w:ind w:left="0" w:right="0" w:firstLine="0"/>
                        <w:jc w:val="left"/>
                        <w:rPr>
                          <w:rFonts w:ascii="Arial"/>
                          <w:b/>
                          <w:sz w:val="120"/>
                        </w:rPr>
                      </w:pPr>
                      <w:r>
                        <w:rPr>
                          <w:rFonts w:ascii="Arial"/>
                          <w:b/>
                          <w:color w:val="008FDD"/>
                          <w:spacing w:val="-10"/>
                          <w:w w:val="125"/>
                          <w:sz w:val="120"/>
                        </w:rPr>
                        <w:t>2</w:t>
                      </w:r>
                    </w:p>
                  </w:txbxContent>
                </v:textbox>
                <w10:wrap type="none"/>
              </v:shape>
            </w:pict>
          </mc:Fallback>
        </mc:AlternateContent>
      </w:r>
      <w:bookmarkStart w:name="_bookmark41" w:id="45"/>
      <w:bookmarkEnd w:id="45"/>
      <w:r>
        <w:rPr>
          <w:b w:val="0"/>
        </w:rPr>
      </w:r>
      <w:r>
        <w:rPr>
          <w:color w:val="231F20"/>
          <w:spacing w:val="-2"/>
          <w:w w:val="110"/>
        </w:rPr>
        <w:t>Lead</w:t>
      </w:r>
      <w:r>
        <w:rPr>
          <w:color w:val="231F20"/>
          <w:spacing w:val="-29"/>
          <w:w w:val="110"/>
        </w:rPr>
        <w:t> </w:t>
      </w:r>
      <w:r>
        <w:rPr>
          <w:color w:val="231F20"/>
          <w:spacing w:val="-2"/>
          <w:w w:val="110"/>
        </w:rPr>
        <w:t>time</w:t>
      </w:r>
      <w:r>
        <w:rPr>
          <w:color w:val="231F20"/>
          <w:spacing w:val="-29"/>
          <w:w w:val="110"/>
        </w:rPr>
        <w:t> </w:t>
      </w:r>
      <w:r>
        <w:rPr>
          <w:color w:val="231F20"/>
          <w:spacing w:val="-2"/>
          <w:w w:val="110"/>
        </w:rPr>
        <w:t>data</w:t>
      </w:r>
      <w:r>
        <w:rPr>
          <w:color w:val="231F20"/>
          <w:spacing w:val="-28"/>
          <w:w w:val="110"/>
        </w:rPr>
        <w:t> </w:t>
      </w:r>
      <w:r>
        <w:rPr>
          <w:color w:val="231F20"/>
          <w:spacing w:val="-2"/>
          <w:w w:val="110"/>
        </w:rPr>
        <w:t>from</w:t>
      </w:r>
      <w:r>
        <w:rPr>
          <w:color w:val="231F20"/>
          <w:spacing w:val="-29"/>
          <w:w w:val="110"/>
        </w:rPr>
        <w:t> </w:t>
      </w:r>
      <w:r>
        <w:rPr>
          <w:color w:val="231F20"/>
          <w:spacing w:val="-2"/>
          <w:w w:val="110"/>
        </w:rPr>
        <w:t>supply </w:t>
      </w:r>
      <w:r>
        <w:rPr>
          <w:color w:val="231F20"/>
          <w:w w:val="110"/>
        </w:rPr>
        <w:t>chain tracking datasets</w:t>
      </w:r>
    </w:p>
    <w:p>
      <w:pPr>
        <w:pStyle w:val="BodyText"/>
        <w:spacing w:before="1"/>
        <w:rPr>
          <w:rFonts w:ascii="Arial"/>
          <w:b/>
          <w:sz w:val="14"/>
        </w:rPr>
      </w:pPr>
      <w:r>
        <w:rPr/>
        <mc:AlternateContent>
          <mc:Choice Requires="wps">
            <w:drawing>
              <wp:anchor distT="0" distB="0" distL="0" distR="0" allowOverlap="1" layoutInCell="1" locked="0" behindDoc="1" simplePos="0" relativeHeight="487622656">
                <wp:simplePos x="0" y="0"/>
                <wp:positionH relativeFrom="page">
                  <wp:posOffset>457200</wp:posOffset>
                </wp:positionH>
                <wp:positionV relativeFrom="paragraph">
                  <wp:posOffset>118690</wp:posOffset>
                </wp:positionV>
                <wp:extent cx="1524000" cy="171450"/>
                <wp:effectExtent l="0" t="0" r="0" b="0"/>
                <wp:wrapTopAndBottom/>
                <wp:docPr id="1539" name="Graphic 1539"/>
                <wp:cNvGraphicFramePr>
                  <a:graphicFrameLocks/>
                </wp:cNvGraphicFramePr>
                <a:graphic>
                  <a:graphicData uri="http://schemas.microsoft.com/office/word/2010/wordprocessingShape">
                    <wps:wsp>
                      <wps:cNvPr id="1539" name="Graphic 1539"/>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36pt;margin-top:9.345703pt;width:120pt;height:13.5pt;mso-position-horizontal-relative:page;mso-position-vertical-relative:paragraph;z-index:-15693824;mso-wrap-distance-left:0;mso-wrap-distance-right:0" id="docshape1303"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623168">
                <wp:simplePos x="0" y="0"/>
                <wp:positionH relativeFrom="page">
                  <wp:posOffset>2133600</wp:posOffset>
                </wp:positionH>
                <wp:positionV relativeFrom="paragraph">
                  <wp:posOffset>118690</wp:posOffset>
                </wp:positionV>
                <wp:extent cx="4876800" cy="171450"/>
                <wp:effectExtent l="0" t="0" r="0" b="0"/>
                <wp:wrapTopAndBottom/>
                <wp:docPr id="1540" name="Graphic 1540"/>
                <wp:cNvGraphicFramePr>
                  <a:graphicFrameLocks/>
                </wp:cNvGraphicFramePr>
                <a:graphic>
                  <a:graphicData uri="http://schemas.microsoft.com/office/word/2010/wordprocessingShape">
                    <wps:wsp>
                      <wps:cNvPr id="1540" name="Graphic 1540"/>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68pt;margin-top:9.345703pt;width:384pt;height:13.5pt;mso-position-horizontal-relative:page;mso-position-vertical-relative:paragraph;z-index:-15693312;mso-wrap-distance-left:0;mso-wrap-distance-right:0" id="docshape1304" filled="true" fillcolor="#c9dcf3" stroked="false">
                <v:fill type="solid"/>
                <w10:wrap type="topAndBottom"/>
              </v:rect>
            </w:pict>
          </mc:Fallback>
        </mc:AlternateContent>
      </w:r>
      <w:r>
        <w:rPr/>
        <mc:AlternateContent>
          <mc:Choice Requires="wps">
            <w:drawing>
              <wp:anchor distT="0" distB="0" distL="0" distR="0" allowOverlap="1" layoutInCell="1" locked="0" behindDoc="1" simplePos="0" relativeHeight="487623680">
                <wp:simplePos x="0" y="0"/>
                <wp:positionH relativeFrom="page">
                  <wp:posOffset>419100</wp:posOffset>
                </wp:positionH>
                <wp:positionV relativeFrom="paragraph">
                  <wp:posOffset>461590</wp:posOffset>
                </wp:positionV>
                <wp:extent cx="6629400" cy="389255"/>
                <wp:effectExtent l="0" t="0" r="0" b="0"/>
                <wp:wrapTopAndBottom/>
                <wp:docPr id="1541" name="Group 1541"/>
                <wp:cNvGraphicFramePr>
                  <a:graphicFrameLocks/>
                </wp:cNvGraphicFramePr>
                <a:graphic>
                  <a:graphicData uri="http://schemas.microsoft.com/office/word/2010/wordprocessingGroup">
                    <wpg:wgp>
                      <wpg:cNvPr id="1541" name="Group 1541"/>
                      <wpg:cNvGrpSpPr/>
                      <wpg:grpSpPr>
                        <a:xfrm>
                          <a:off x="0" y="0"/>
                          <a:ext cx="6629400" cy="389255"/>
                          <a:chExt cx="6629400" cy="389255"/>
                        </a:xfrm>
                      </wpg:grpSpPr>
                      <wps:wsp>
                        <wps:cNvPr id="1542" name="Graphic 1542"/>
                        <wps:cNvSpPr/>
                        <wps:spPr>
                          <a:xfrm>
                            <a:off x="152400" y="38100"/>
                            <a:ext cx="6457950" cy="254000"/>
                          </a:xfrm>
                          <a:custGeom>
                            <a:avLst/>
                            <a:gdLst/>
                            <a:ahLst/>
                            <a:cxnLst/>
                            <a:rect l="l" t="t" r="r" b="b"/>
                            <a:pathLst>
                              <a:path w="6457950" h="254000">
                                <a:moveTo>
                                  <a:pt x="6416866" y="0"/>
                                </a:moveTo>
                                <a:lnTo>
                                  <a:pt x="0" y="0"/>
                                </a:lnTo>
                                <a:lnTo>
                                  <a:pt x="0" y="254000"/>
                                </a:lnTo>
                                <a:lnTo>
                                  <a:pt x="6457950" y="254000"/>
                                </a:lnTo>
                                <a:lnTo>
                                  <a:pt x="6457950" y="76200"/>
                                </a:lnTo>
                                <a:lnTo>
                                  <a:pt x="6450453" y="39157"/>
                                </a:lnTo>
                                <a:lnTo>
                                  <a:pt x="6430022" y="8877"/>
                                </a:lnTo>
                                <a:lnTo>
                                  <a:pt x="6416866" y="0"/>
                                </a:lnTo>
                                <a:close/>
                              </a:path>
                            </a:pathLst>
                          </a:custGeom>
                          <a:solidFill>
                            <a:srgbClr val="808285"/>
                          </a:solidFill>
                        </wps:spPr>
                        <wps:bodyPr wrap="square" lIns="0" tIns="0" rIns="0" bIns="0" rtlCol="0">
                          <a:prstTxWarp prst="textNoShape">
                            <a:avLst/>
                          </a:prstTxWarp>
                          <a:noAutofit/>
                        </wps:bodyPr>
                      </wps:wsp>
                      <wps:wsp>
                        <wps:cNvPr id="1543" name="Graphic 1543"/>
                        <wps:cNvSpPr/>
                        <wps:spPr>
                          <a:xfrm>
                            <a:off x="622300" y="38098"/>
                            <a:ext cx="1270" cy="254635"/>
                          </a:xfrm>
                          <a:custGeom>
                            <a:avLst/>
                            <a:gdLst/>
                            <a:ahLst/>
                            <a:cxnLst/>
                            <a:rect l="l" t="t" r="r" b="b"/>
                            <a:pathLst>
                              <a:path w="0" h="254635">
                                <a:moveTo>
                                  <a:pt x="0" y="25415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544" name="Graphic 1544"/>
                        <wps:cNvSpPr/>
                        <wps:spPr>
                          <a:xfrm>
                            <a:off x="38100" y="38251"/>
                            <a:ext cx="571500" cy="254000"/>
                          </a:xfrm>
                          <a:custGeom>
                            <a:avLst/>
                            <a:gdLst/>
                            <a:ahLst/>
                            <a:cxnLst/>
                            <a:rect l="l" t="t" r="r" b="b"/>
                            <a:pathLst>
                              <a:path w="571500" h="254000">
                                <a:moveTo>
                                  <a:pt x="0" y="254000"/>
                                </a:moveTo>
                                <a:lnTo>
                                  <a:pt x="571500" y="254000"/>
                                </a:lnTo>
                                <a:lnTo>
                                  <a:pt x="571500" y="0"/>
                                </a:lnTo>
                                <a:lnTo>
                                  <a:pt x="0" y="0"/>
                                </a:lnTo>
                                <a:lnTo>
                                  <a:pt x="0" y="254000"/>
                                </a:lnTo>
                                <a:close/>
                              </a:path>
                            </a:pathLst>
                          </a:custGeom>
                          <a:solidFill>
                            <a:srgbClr val="008FDD"/>
                          </a:solidFill>
                        </wps:spPr>
                        <wps:bodyPr wrap="square" lIns="0" tIns="0" rIns="0" bIns="0" rtlCol="0">
                          <a:prstTxWarp prst="textNoShape">
                            <a:avLst/>
                          </a:prstTxWarp>
                          <a:noAutofit/>
                        </wps:bodyPr>
                      </wps:wsp>
                      <wps:wsp>
                        <wps:cNvPr id="1545" name="Graphic 1545"/>
                        <wps:cNvSpPr/>
                        <wps:spPr>
                          <a:xfrm>
                            <a:off x="19050" y="19050"/>
                            <a:ext cx="6591300" cy="351155"/>
                          </a:xfrm>
                          <a:custGeom>
                            <a:avLst/>
                            <a:gdLst/>
                            <a:ahLst/>
                            <a:cxnLst/>
                            <a:rect l="l" t="t" r="r" b="b"/>
                            <a:pathLst>
                              <a:path w="6591300" h="351155">
                                <a:moveTo>
                                  <a:pt x="95250" y="0"/>
                                </a:moveTo>
                                <a:lnTo>
                                  <a:pt x="58207" y="7497"/>
                                </a:lnTo>
                                <a:lnTo>
                                  <a:pt x="27927" y="27932"/>
                                </a:lnTo>
                                <a:lnTo>
                                  <a:pt x="7496" y="58212"/>
                                </a:lnTo>
                                <a:lnTo>
                                  <a:pt x="0" y="95250"/>
                                </a:lnTo>
                                <a:lnTo>
                                  <a:pt x="0" y="331889"/>
                                </a:lnTo>
                                <a:lnTo>
                                  <a:pt x="0" y="350939"/>
                                </a:lnTo>
                                <a:lnTo>
                                  <a:pt x="19050" y="350939"/>
                                </a:lnTo>
                                <a:lnTo>
                                  <a:pt x="6572250" y="350939"/>
                                </a:lnTo>
                                <a:lnTo>
                                  <a:pt x="6591300" y="350939"/>
                                </a:lnTo>
                                <a:lnTo>
                                  <a:pt x="6591300" y="331889"/>
                                </a:lnTo>
                                <a:lnTo>
                                  <a:pt x="6591300" y="95250"/>
                                </a:lnTo>
                                <a:lnTo>
                                  <a:pt x="6583803" y="58212"/>
                                </a:lnTo>
                                <a:lnTo>
                                  <a:pt x="6563372" y="27932"/>
                                </a:lnTo>
                                <a:lnTo>
                                  <a:pt x="6533092" y="7497"/>
                                </a:lnTo>
                                <a:lnTo>
                                  <a:pt x="64960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546" name="Textbox 1546"/>
                        <wps:cNvSpPr txBox="1"/>
                        <wps:spPr>
                          <a:xfrm>
                            <a:off x="0" y="0"/>
                            <a:ext cx="6629400" cy="389255"/>
                          </a:xfrm>
                          <a:prstGeom prst="rect">
                            <a:avLst/>
                          </a:prstGeom>
                        </wps:spPr>
                        <wps:txbx>
                          <w:txbxContent>
                            <w:p>
                              <w:pPr>
                                <w:spacing w:line="240" w:lineRule="auto" w:before="20"/>
                                <w:rPr>
                                  <w:rFonts w:ascii="Arial"/>
                                  <w:b/>
                                  <w:sz w:val="16"/>
                                </w:rPr>
                              </w:pPr>
                            </w:p>
                            <w:p>
                              <w:pPr>
                                <w:spacing w:before="0"/>
                                <w:ind w:left="1080" w:right="0" w:firstLine="0"/>
                                <w:jc w:val="left"/>
                                <w:rPr>
                                  <w:rFonts w:ascii="Arial"/>
                                  <w:b/>
                                  <w:sz w:val="16"/>
                                </w:rPr>
                              </w:pPr>
                              <w:r>
                                <w:rPr>
                                  <w:rFonts w:ascii="Arial"/>
                                  <w:b/>
                                  <w:color w:val="FFFFFF"/>
                                  <w:w w:val="105"/>
                                  <w:sz w:val="16"/>
                                </w:rPr>
                                <w:t>Lead</w:t>
                              </w:r>
                              <w:r>
                                <w:rPr>
                                  <w:rFonts w:ascii="Arial"/>
                                  <w:b/>
                                  <w:color w:val="FFFFFF"/>
                                  <w:spacing w:val="13"/>
                                  <w:w w:val="105"/>
                                  <w:sz w:val="16"/>
                                </w:rPr>
                                <w:t> </w:t>
                              </w:r>
                              <w:r>
                                <w:rPr>
                                  <w:rFonts w:ascii="Arial"/>
                                  <w:b/>
                                  <w:color w:val="FFFFFF"/>
                                  <w:w w:val="105"/>
                                  <w:sz w:val="16"/>
                                </w:rPr>
                                <w:t>time</w:t>
                              </w:r>
                              <w:r>
                                <w:rPr>
                                  <w:rFonts w:ascii="Arial"/>
                                  <w:b/>
                                  <w:color w:val="FFFFFF"/>
                                  <w:spacing w:val="14"/>
                                  <w:w w:val="105"/>
                                  <w:sz w:val="16"/>
                                </w:rPr>
                                <w:t> </w:t>
                              </w:r>
                              <w:r>
                                <w:rPr>
                                  <w:rFonts w:ascii="Arial"/>
                                  <w:b/>
                                  <w:color w:val="FFFFFF"/>
                                  <w:w w:val="105"/>
                                  <w:sz w:val="16"/>
                                </w:rPr>
                                <w:t>data</w:t>
                              </w:r>
                              <w:r>
                                <w:rPr>
                                  <w:rFonts w:ascii="Arial"/>
                                  <w:b/>
                                  <w:color w:val="FFFFFF"/>
                                  <w:spacing w:val="13"/>
                                  <w:w w:val="105"/>
                                  <w:sz w:val="16"/>
                                </w:rPr>
                                <w:t> </w:t>
                              </w:r>
                              <w:r>
                                <w:rPr>
                                  <w:rFonts w:ascii="Arial"/>
                                  <w:b/>
                                  <w:color w:val="FFFFFF"/>
                                  <w:w w:val="105"/>
                                  <w:sz w:val="16"/>
                                </w:rPr>
                                <w:t>for</w:t>
                              </w:r>
                              <w:r>
                                <w:rPr>
                                  <w:rFonts w:ascii="Arial"/>
                                  <w:b/>
                                  <w:color w:val="FFFFFF"/>
                                  <w:spacing w:val="14"/>
                                  <w:w w:val="105"/>
                                  <w:sz w:val="16"/>
                                </w:rPr>
                                <w:t> </w:t>
                              </w:r>
                              <w:r>
                                <w:rPr>
                                  <w:rFonts w:ascii="Arial"/>
                                  <w:b/>
                                  <w:color w:val="FFFFFF"/>
                                  <w:w w:val="105"/>
                                  <w:sz w:val="16"/>
                                </w:rPr>
                                <w:t>container</w:t>
                              </w:r>
                              <w:r>
                                <w:rPr>
                                  <w:rFonts w:ascii="Arial"/>
                                  <w:b/>
                                  <w:color w:val="FFFFFF"/>
                                  <w:spacing w:val="14"/>
                                  <w:w w:val="105"/>
                                  <w:sz w:val="16"/>
                                </w:rPr>
                                <w:t> </w:t>
                              </w:r>
                              <w:r>
                                <w:rPr>
                                  <w:rFonts w:ascii="Arial"/>
                                  <w:b/>
                                  <w:color w:val="FFFFFF"/>
                                  <w:w w:val="105"/>
                                  <w:sz w:val="16"/>
                                </w:rPr>
                                <w:t>shipping,</w:t>
                              </w:r>
                              <w:r>
                                <w:rPr>
                                  <w:rFonts w:ascii="Arial"/>
                                  <w:b/>
                                  <w:color w:val="FFFFFF"/>
                                  <w:spacing w:val="13"/>
                                  <w:w w:val="105"/>
                                  <w:sz w:val="16"/>
                                </w:rPr>
                                <w:t> </w:t>
                              </w:r>
                              <w:r>
                                <w:rPr>
                                  <w:rFonts w:ascii="Arial"/>
                                  <w:b/>
                                  <w:color w:val="FFFFFF"/>
                                  <w:spacing w:val="-4"/>
                                  <w:w w:val="105"/>
                                  <w:sz w:val="16"/>
                                </w:rPr>
                                <w:t>2022</w:t>
                              </w:r>
                            </w:p>
                          </w:txbxContent>
                        </wps:txbx>
                        <wps:bodyPr wrap="square" lIns="0" tIns="0" rIns="0" bIns="0" rtlCol="0">
                          <a:noAutofit/>
                        </wps:bodyPr>
                      </wps:wsp>
                      <wps:wsp>
                        <wps:cNvPr id="1547" name="Textbox 1547"/>
                        <wps:cNvSpPr txBox="1"/>
                        <wps:spPr>
                          <a:xfrm>
                            <a:off x="38100" y="38251"/>
                            <a:ext cx="571500" cy="254000"/>
                          </a:xfrm>
                          <a:prstGeom prst="rect">
                            <a:avLst/>
                          </a:prstGeom>
                        </wps:spPr>
                        <wps:txbx>
                          <w:txbxContent>
                            <w:p>
                              <w:pPr>
                                <w:spacing w:before="144"/>
                                <w:ind w:left="1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b/>
                                  <w:color w:val="FFFFFF"/>
                                  <w:spacing w:val="-4"/>
                                  <w:w w:val="90"/>
                                  <w:sz w:val="16"/>
                                </w:rPr>
                                <w:t>A2.1</w:t>
                              </w:r>
                            </w:p>
                          </w:txbxContent>
                        </wps:txbx>
                        <wps:bodyPr wrap="square" lIns="0" tIns="0" rIns="0" bIns="0" rtlCol="0">
                          <a:noAutofit/>
                        </wps:bodyPr>
                      </wps:wsp>
                    </wpg:wgp>
                  </a:graphicData>
                </a:graphic>
              </wp:anchor>
            </w:drawing>
          </mc:Choice>
          <mc:Fallback>
            <w:pict>
              <v:group style="position:absolute;margin-left:33pt;margin-top:36.345703pt;width:522pt;height:30.65pt;mso-position-horizontal-relative:page;mso-position-vertical-relative:paragraph;z-index:-15692800;mso-wrap-distance-left:0;mso-wrap-distance-right:0" id="docshapegroup1305" coordorigin="660,727" coordsize="10440,613">
                <v:shape style="position:absolute;left:900;top:786;width:10170;height:400" id="docshape1306" coordorigin="900,787" coordsize="10170,400" path="m11005,787l900,787,900,1187,11070,1187,11070,907,11058,849,11026,801,11005,787xe" filled="true" fillcolor="#808285" stroked="false">
                  <v:path arrowok="t"/>
                  <v:fill type="solid"/>
                </v:shape>
                <v:line style="position:absolute" from="1640,1187" to="1640,787" stroked="true" strokeweight="2pt" strokecolor="#ffffff">
                  <v:stroke dashstyle="solid"/>
                </v:line>
                <v:rect style="position:absolute;left:720;top:787;width:900;height:400" id="docshape1307" filled="true" fillcolor="#008fdd" stroked="false">
                  <v:fill type="solid"/>
                </v:rect>
                <v:shape style="position:absolute;left:690;top:756;width:10380;height:553" id="docshape1308" coordorigin="690,757" coordsize="10380,553" path="m840,757l782,769,734,801,702,849,690,907,690,1280,690,1310,720,1310,11040,1310,11070,1310,11070,1280,11070,907,11058,849,11026,801,10978,769,10920,757,840,757xe" filled="false" stroked="true" strokeweight="3pt" strokecolor="#ffffff">
                  <v:path arrowok="t"/>
                  <v:stroke dashstyle="solid"/>
                </v:shape>
                <v:shape style="position:absolute;left:660;top:726;width:10440;height:613" type="#_x0000_t202" id="docshape1309" filled="false" stroked="false">
                  <v:textbox inset="0,0,0,0">
                    <w:txbxContent>
                      <w:p>
                        <w:pPr>
                          <w:spacing w:line="240" w:lineRule="auto" w:before="20"/>
                          <w:rPr>
                            <w:rFonts w:ascii="Arial"/>
                            <w:b/>
                            <w:sz w:val="16"/>
                          </w:rPr>
                        </w:pPr>
                      </w:p>
                      <w:p>
                        <w:pPr>
                          <w:spacing w:before="0"/>
                          <w:ind w:left="1080" w:right="0" w:firstLine="0"/>
                          <w:jc w:val="left"/>
                          <w:rPr>
                            <w:rFonts w:ascii="Arial"/>
                            <w:b/>
                            <w:sz w:val="16"/>
                          </w:rPr>
                        </w:pPr>
                        <w:r>
                          <w:rPr>
                            <w:rFonts w:ascii="Arial"/>
                            <w:b/>
                            <w:color w:val="FFFFFF"/>
                            <w:w w:val="105"/>
                            <w:sz w:val="16"/>
                          </w:rPr>
                          <w:t>Lead</w:t>
                        </w:r>
                        <w:r>
                          <w:rPr>
                            <w:rFonts w:ascii="Arial"/>
                            <w:b/>
                            <w:color w:val="FFFFFF"/>
                            <w:spacing w:val="13"/>
                            <w:w w:val="105"/>
                            <w:sz w:val="16"/>
                          </w:rPr>
                          <w:t> </w:t>
                        </w:r>
                        <w:r>
                          <w:rPr>
                            <w:rFonts w:ascii="Arial"/>
                            <w:b/>
                            <w:color w:val="FFFFFF"/>
                            <w:w w:val="105"/>
                            <w:sz w:val="16"/>
                          </w:rPr>
                          <w:t>time</w:t>
                        </w:r>
                        <w:r>
                          <w:rPr>
                            <w:rFonts w:ascii="Arial"/>
                            <w:b/>
                            <w:color w:val="FFFFFF"/>
                            <w:spacing w:val="14"/>
                            <w:w w:val="105"/>
                            <w:sz w:val="16"/>
                          </w:rPr>
                          <w:t> </w:t>
                        </w:r>
                        <w:r>
                          <w:rPr>
                            <w:rFonts w:ascii="Arial"/>
                            <w:b/>
                            <w:color w:val="FFFFFF"/>
                            <w:w w:val="105"/>
                            <w:sz w:val="16"/>
                          </w:rPr>
                          <w:t>data</w:t>
                        </w:r>
                        <w:r>
                          <w:rPr>
                            <w:rFonts w:ascii="Arial"/>
                            <w:b/>
                            <w:color w:val="FFFFFF"/>
                            <w:spacing w:val="13"/>
                            <w:w w:val="105"/>
                            <w:sz w:val="16"/>
                          </w:rPr>
                          <w:t> </w:t>
                        </w:r>
                        <w:r>
                          <w:rPr>
                            <w:rFonts w:ascii="Arial"/>
                            <w:b/>
                            <w:color w:val="FFFFFF"/>
                            <w:w w:val="105"/>
                            <w:sz w:val="16"/>
                          </w:rPr>
                          <w:t>for</w:t>
                        </w:r>
                        <w:r>
                          <w:rPr>
                            <w:rFonts w:ascii="Arial"/>
                            <w:b/>
                            <w:color w:val="FFFFFF"/>
                            <w:spacing w:val="14"/>
                            <w:w w:val="105"/>
                            <w:sz w:val="16"/>
                          </w:rPr>
                          <w:t> </w:t>
                        </w:r>
                        <w:r>
                          <w:rPr>
                            <w:rFonts w:ascii="Arial"/>
                            <w:b/>
                            <w:color w:val="FFFFFF"/>
                            <w:w w:val="105"/>
                            <w:sz w:val="16"/>
                          </w:rPr>
                          <w:t>container</w:t>
                        </w:r>
                        <w:r>
                          <w:rPr>
                            <w:rFonts w:ascii="Arial"/>
                            <w:b/>
                            <w:color w:val="FFFFFF"/>
                            <w:spacing w:val="14"/>
                            <w:w w:val="105"/>
                            <w:sz w:val="16"/>
                          </w:rPr>
                          <w:t> </w:t>
                        </w:r>
                        <w:r>
                          <w:rPr>
                            <w:rFonts w:ascii="Arial"/>
                            <w:b/>
                            <w:color w:val="FFFFFF"/>
                            <w:w w:val="105"/>
                            <w:sz w:val="16"/>
                          </w:rPr>
                          <w:t>shipping,</w:t>
                        </w:r>
                        <w:r>
                          <w:rPr>
                            <w:rFonts w:ascii="Arial"/>
                            <w:b/>
                            <w:color w:val="FFFFFF"/>
                            <w:spacing w:val="13"/>
                            <w:w w:val="105"/>
                            <w:sz w:val="16"/>
                          </w:rPr>
                          <w:t> </w:t>
                        </w:r>
                        <w:r>
                          <w:rPr>
                            <w:rFonts w:ascii="Arial"/>
                            <w:b/>
                            <w:color w:val="FFFFFF"/>
                            <w:spacing w:val="-4"/>
                            <w:w w:val="105"/>
                            <w:sz w:val="16"/>
                          </w:rPr>
                          <w:t>2022</w:t>
                        </w:r>
                      </w:p>
                    </w:txbxContent>
                  </v:textbox>
                  <w10:wrap type="none"/>
                </v:shape>
                <v:shape style="position:absolute;left:720;top:787;width:900;height:400" type="#_x0000_t202" id="docshape1310" filled="false" stroked="false">
                  <v:textbox inset="0,0,0,0">
                    <w:txbxContent>
                      <w:p>
                        <w:pPr>
                          <w:spacing w:before="144"/>
                          <w:ind w:left="1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b/>
                            <w:color w:val="FFFFFF"/>
                            <w:spacing w:val="-4"/>
                            <w:w w:val="90"/>
                            <w:sz w:val="16"/>
                          </w:rPr>
                          <w:t>A2.1</w:t>
                        </w:r>
                      </w:p>
                    </w:txbxContent>
                  </v:textbox>
                  <w10:wrap type="none"/>
                </v:shape>
                <w10:wrap type="topAndBottom"/>
              </v:group>
            </w:pict>
          </mc:Fallback>
        </mc:AlternateContent>
      </w:r>
    </w:p>
    <w:p>
      <w:pPr>
        <w:pStyle w:val="BodyText"/>
        <w:spacing w:before="16"/>
        <w:rPr>
          <w:rFonts w:ascii="Arial"/>
          <w:b/>
          <w:sz w:val="20"/>
        </w:rPr>
      </w:pPr>
    </w:p>
    <w:p>
      <w:pPr>
        <w:pStyle w:val="BodyText"/>
        <w:spacing w:before="7"/>
        <w:rPr>
          <w:rFonts w:ascii="Arial"/>
          <w:b/>
          <w:sz w:val="3"/>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0"/>
        <w:gridCol w:w="1087"/>
        <w:gridCol w:w="1087"/>
        <w:gridCol w:w="1062"/>
        <w:gridCol w:w="1245"/>
        <w:gridCol w:w="1195"/>
        <w:gridCol w:w="1022"/>
        <w:gridCol w:w="1149"/>
        <w:gridCol w:w="1095"/>
      </w:tblGrid>
      <w:tr>
        <w:trPr>
          <w:trHeight w:val="373" w:hRule="atLeast"/>
        </w:trPr>
        <w:tc>
          <w:tcPr>
            <w:tcW w:w="1380" w:type="dxa"/>
          </w:tcPr>
          <w:p>
            <w:pPr>
              <w:pStyle w:val="TableParagraph"/>
              <w:spacing w:before="0"/>
              <w:jc w:val="left"/>
              <w:rPr>
                <w:rFonts w:ascii="Times New Roman"/>
                <w:sz w:val="14"/>
              </w:rPr>
            </w:pPr>
          </w:p>
        </w:tc>
        <w:tc>
          <w:tcPr>
            <w:tcW w:w="1087" w:type="dxa"/>
            <w:vMerge w:val="restart"/>
            <w:tcBorders>
              <w:bottom w:val="single" w:sz="4" w:space="0" w:color="008FDD"/>
            </w:tcBorders>
          </w:tcPr>
          <w:p>
            <w:pPr>
              <w:pStyle w:val="TableParagraph"/>
              <w:spacing w:before="102"/>
              <w:jc w:val="left"/>
              <w:rPr>
                <w:b/>
                <w:sz w:val="14"/>
              </w:rPr>
            </w:pPr>
          </w:p>
          <w:p>
            <w:pPr>
              <w:pStyle w:val="TableParagraph"/>
              <w:spacing w:before="0"/>
              <w:ind w:left="283" w:hanging="57"/>
              <w:jc w:val="left"/>
              <w:rPr>
                <w:b/>
                <w:sz w:val="14"/>
              </w:rPr>
            </w:pPr>
            <w:r>
              <w:rPr>
                <w:b/>
                <w:color w:val="231F20"/>
                <w:spacing w:val="-2"/>
                <w:w w:val="85"/>
                <w:sz w:val="14"/>
              </w:rPr>
              <w:t>Number</w:t>
            </w:r>
            <w:r>
              <w:rPr>
                <w:b/>
                <w:color w:val="231F20"/>
                <w:spacing w:val="-8"/>
                <w:sz w:val="14"/>
              </w:rPr>
              <w:t> </w:t>
            </w:r>
            <w:r>
              <w:rPr>
                <w:b/>
                <w:color w:val="231F20"/>
                <w:spacing w:val="-2"/>
                <w:w w:val="85"/>
                <w:sz w:val="14"/>
              </w:rPr>
              <w:t>of</w:t>
            </w:r>
            <w:r>
              <w:rPr>
                <w:b/>
                <w:color w:val="231F20"/>
                <w:spacing w:val="40"/>
                <w:sz w:val="14"/>
              </w:rPr>
              <w:t> </w:t>
            </w:r>
            <w:r>
              <w:rPr>
                <w:b/>
                <w:color w:val="231F20"/>
                <w:spacing w:val="-2"/>
                <w:w w:val="90"/>
                <w:sz w:val="14"/>
              </w:rPr>
              <w:t>services</w:t>
            </w:r>
          </w:p>
        </w:tc>
        <w:tc>
          <w:tcPr>
            <w:tcW w:w="1087" w:type="dxa"/>
            <w:vMerge w:val="restart"/>
            <w:tcBorders>
              <w:bottom w:val="single" w:sz="4" w:space="0" w:color="008FDD"/>
            </w:tcBorders>
          </w:tcPr>
          <w:p>
            <w:pPr>
              <w:pStyle w:val="TableParagraph"/>
              <w:spacing w:before="102"/>
              <w:jc w:val="left"/>
              <w:rPr>
                <w:b/>
                <w:sz w:val="14"/>
              </w:rPr>
            </w:pPr>
          </w:p>
          <w:p>
            <w:pPr>
              <w:pStyle w:val="TableParagraph"/>
              <w:spacing w:before="0"/>
              <w:ind w:left="302" w:hanging="41"/>
              <w:jc w:val="left"/>
              <w:rPr>
                <w:b/>
                <w:sz w:val="14"/>
              </w:rPr>
            </w:pPr>
            <w:r>
              <w:rPr>
                <w:b/>
                <w:color w:val="231F20"/>
                <w:spacing w:val="-2"/>
                <w:w w:val="85"/>
                <w:sz w:val="14"/>
              </w:rPr>
              <w:t>Number</w:t>
            </w:r>
            <w:r>
              <w:rPr>
                <w:b/>
                <w:color w:val="231F20"/>
                <w:spacing w:val="-8"/>
                <w:sz w:val="14"/>
              </w:rPr>
              <w:t> </w:t>
            </w:r>
            <w:r>
              <w:rPr>
                <w:b/>
                <w:color w:val="231F20"/>
                <w:spacing w:val="-2"/>
                <w:w w:val="85"/>
                <w:sz w:val="14"/>
              </w:rPr>
              <w:t>of</w:t>
            </w:r>
            <w:r>
              <w:rPr>
                <w:b/>
                <w:color w:val="231F20"/>
                <w:spacing w:val="40"/>
                <w:sz w:val="14"/>
              </w:rPr>
              <w:t> </w:t>
            </w:r>
            <w:r>
              <w:rPr>
                <w:b/>
                <w:color w:val="231F20"/>
                <w:spacing w:val="-2"/>
                <w:w w:val="90"/>
                <w:sz w:val="14"/>
              </w:rPr>
              <w:t>alliances</w:t>
            </w:r>
          </w:p>
        </w:tc>
        <w:tc>
          <w:tcPr>
            <w:tcW w:w="1062" w:type="dxa"/>
            <w:vMerge w:val="restart"/>
            <w:tcBorders>
              <w:bottom w:val="single" w:sz="4" w:space="0" w:color="008FDD"/>
            </w:tcBorders>
          </w:tcPr>
          <w:p>
            <w:pPr>
              <w:pStyle w:val="TableParagraph"/>
              <w:spacing w:before="103"/>
              <w:ind w:left="225" w:right="90" w:firstLine="70"/>
              <w:jc w:val="left"/>
              <w:rPr>
                <w:b/>
                <w:sz w:val="14"/>
              </w:rPr>
            </w:pPr>
            <w:r>
              <w:rPr>
                <w:b/>
                <w:color w:val="231F20"/>
                <w:w w:val="95"/>
                <w:sz w:val="14"/>
              </w:rPr>
              <w:t>Number</w:t>
            </w:r>
            <w:r>
              <w:rPr>
                <w:b/>
                <w:color w:val="231F20"/>
                <w:spacing w:val="-8"/>
                <w:w w:val="95"/>
                <w:sz w:val="14"/>
              </w:rPr>
              <w:t> </w:t>
            </w:r>
            <w:r>
              <w:rPr>
                <w:b/>
                <w:color w:val="231F20"/>
                <w:w w:val="95"/>
                <w:sz w:val="14"/>
              </w:rPr>
              <w:t>of</w:t>
            </w:r>
            <w:r>
              <w:rPr>
                <w:b/>
                <w:color w:val="231F20"/>
                <w:spacing w:val="40"/>
                <w:sz w:val="14"/>
              </w:rPr>
              <w:t> </w:t>
            </w:r>
            <w:r>
              <w:rPr>
                <w:b/>
                <w:color w:val="231F20"/>
                <w:spacing w:val="-2"/>
                <w:w w:val="85"/>
                <w:sz w:val="14"/>
              </w:rPr>
              <w:t>international</w:t>
            </w:r>
            <w:r>
              <w:rPr>
                <w:b/>
                <w:color w:val="231F20"/>
                <w:spacing w:val="40"/>
                <w:sz w:val="14"/>
              </w:rPr>
              <w:t> </w:t>
            </w:r>
            <w:r>
              <w:rPr>
                <w:b/>
                <w:color w:val="231F20"/>
                <w:spacing w:val="-2"/>
                <w:w w:val="85"/>
                <w:sz w:val="14"/>
              </w:rPr>
              <w:t>connections</w:t>
            </w:r>
          </w:p>
        </w:tc>
        <w:tc>
          <w:tcPr>
            <w:tcW w:w="2440" w:type="dxa"/>
            <w:gridSpan w:val="2"/>
          </w:tcPr>
          <w:p>
            <w:pPr>
              <w:pStyle w:val="TableParagraph"/>
              <w:spacing w:before="2"/>
              <w:jc w:val="left"/>
              <w:rPr>
                <w:b/>
                <w:sz w:val="14"/>
              </w:rPr>
            </w:pPr>
          </w:p>
          <w:p>
            <w:pPr>
              <w:pStyle w:val="TableParagraph"/>
              <w:spacing w:line="130" w:lineRule="exact" w:before="0"/>
              <w:ind w:right="7"/>
              <w:rPr>
                <w:b/>
                <w:sz w:val="14"/>
              </w:rPr>
            </w:pPr>
            <w:r>
              <w:rPr>
                <w:b/>
                <w:color w:val="231F20"/>
                <w:w w:val="80"/>
                <w:sz w:val="14"/>
              </w:rPr>
              <w:t>Turnaround</w:t>
            </w:r>
            <w:r>
              <w:rPr>
                <w:b/>
                <w:color w:val="231F20"/>
                <w:spacing w:val="11"/>
                <w:sz w:val="14"/>
              </w:rPr>
              <w:t> </w:t>
            </w:r>
            <w:r>
              <w:rPr>
                <w:b/>
                <w:color w:val="231F20"/>
                <w:w w:val="80"/>
                <w:sz w:val="14"/>
              </w:rPr>
              <w:t>time</w:t>
            </w:r>
            <w:r>
              <w:rPr>
                <w:b/>
                <w:color w:val="231F20"/>
                <w:spacing w:val="12"/>
                <w:sz w:val="14"/>
              </w:rPr>
              <w:t> </w:t>
            </w:r>
            <w:r>
              <w:rPr>
                <w:b/>
                <w:color w:val="231F20"/>
                <w:w w:val="80"/>
                <w:sz w:val="14"/>
              </w:rPr>
              <w:t>at</w:t>
            </w:r>
            <w:r>
              <w:rPr>
                <w:b/>
                <w:color w:val="231F20"/>
                <w:spacing w:val="11"/>
                <w:sz w:val="14"/>
              </w:rPr>
              <w:t> </w:t>
            </w:r>
            <w:r>
              <w:rPr>
                <w:b/>
                <w:color w:val="231F20"/>
                <w:w w:val="80"/>
                <w:sz w:val="14"/>
              </w:rPr>
              <w:t>port</w:t>
            </w:r>
            <w:r>
              <w:rPr>
                <w:b/>
                <w:color w:val="231F20"/>
                <w:spacing w:val="12"/>
                <w:sz w:val="14"/>
              </w:rPr>
              <w:t> </w:t>
            </w:r>
            <w:r>
              <w:rPr>
                <w:b/>
                <w:color w:val="231F20"/>
                <w:spacing w:val="-2"/>
                <w:w w:val="80"/>
                <w:sz w:val="14"/>
              </w:rPr>
              <w:t>(days)</w:t>
            </w:r>
          </w:p>
          <w:p>
            <w:pPr>
              <w:pStyle w:val="TableParagraph"/>
              <w:tabs>
                <w:tab w:pos="2243" w:val="left" w:leader="none"/>
              </w:tabs>
              <w:spacing w:line="59" w:lineRule="exact" w:before="0"/>
              <w:ind w:right="7"/>
              <w:rPr>
                <w:b/>
                <w:sz w:val="14"/>
              </w:rPr>
            </w:pPr>
            <w:r>
              <w:rPr>
                <w:b/>
                <w:color w:val="231F20"/>
                <w:w w:val="86"/>
                <w:sz w:val="14"/>
                <w:u w:val="single" w:color="008FDD"/>
              </w:rPr>
              <w:t> </w:t>
            </w:r>
            <w:r>
              <w:rPr>
                <w:b/>
                <w:color w:val="231F20"/>
                <w:sz w:val="14"/>
                <w:u w:val="single" w:color="008FDD"/>
              </w:rPr>
              <w:tab/>
            </w:r>
          </w:p>
        </w:tc>
        <w:tc>
          <w:tcPr>
            <w:tcW w:w="1022" w:type="dxa"/>
            <w:vMerge w:val="restart"/>
            <w:tcBorders>
              <w:bottom w:val="single" w:sz="4" w:space="0" w:color="008FDD"/>
            </w:tcBorders>
          </w:tcPr>
          <w:p>
            <w:pPr>
              <w:pStyle w:val="TableParagraph"/>
              <w:spacing w:before="102"/>
              <w:jc w:val="left"/>
              <w:rPr>
                <w:b/>
                <w:sz w:val="14"/>
              </w:rPr>
            </w:pPr>
          </w:p>
          <w:p>
            <w:pPr>
              <w:pStyle w:val="TableParagraph"/>
              <w:spacing w:before="0"/>
              <w:ind w:left="294" w:hanging="197"/>
              <w:jc w:val="left"/>
              <w:rPr>
                <w:b/>
                <w:sz w:val="14"/>
              </w:rPr>
            </w:pPr>
            <w:r>
              <w:rPr>
                <w:b/>
                <w:color w:val="231F20"/>
                <w:spacing w:val="-2"/>
                <w:w w:val="85"/>
                <w:sz w:val="14"/>
              </w:rPr>
              <w:t>Interquartile</w:t>
            </w:r>
            <w:r>
              <w:rPr>
                <w:b/>
                <w:color w:val="231F20"/>
                <w:spacing w:val="40"/>
                <w:sz w:val="14"/>
              </w:rPr>
              <w:t> </w:t>
            </w:r>
            <w:r>
              <w:rPr>
                <w:b/>
                <w:color w:val="231F20"/>
                <w:spacing w:val="-4"/>
                <w:w w:val="95"/>
                <w:sz w:val="14"/>
              </w:rPr>
              <w:t>range</w:t>
            </w:r>
          </w:p>
        </w:tc>
        <w:tc>
          <w:tcPr>
            <w:tcW w:w="2244" w:type="dxa"/>
            <w:gridSpan w:val="2"/>
            <w:tcBorders>
              <w:bottom w:val="single" w:sz="4" w:space="0" w:color="008FDD"/>
            </w:tcBorders>
          </w:tcPr>
          <w:p>
            <w:pPr>
              <w:pStyle w:val="TableParagraph"/>
              <w:spacing w:before="3"/>
              <w:ind w:left="429" w:right="227" w:hanging="205"/>
              <w:jc w:val="left"/>
              <w:rPr>
                <w:b/>
                <w:sz w:val="14"/>
              </w:rPr>
            </w:pPr>
            <w:r>
              <w:rPr>
                <w:b/>
                <w:color w:val="231F20"/>
                <w:w w:val="85"/>
                <w:sz w:val="14"/>
              </w:rPr>
              <w:t>Weighted</w:t>
            </w:r>
            <w:r>
              <w:rPr>
                <w:b/>
                <w:color w:val="231F20"/>
                <w:spacing w:val="-2"/>
                <w:w w:val="85"/>
                <w:sz w:val="14"/>
              </w:rPr>
              <w:t> </w:t>
            </w:r>
            <w:r>
              <w:rPr>
                <w:b/>
                <w:color w:val="231F20"/>
                <w:w w:val="85"/>
                <w:sz w:val="14"/>
              </w:rPr>
              <w:t>by</w:t>
            </w:r>
            <w:r>
              <w:rPr>
                <w:b/>
                <w:color w:val="231F20"/>
                <w:spacing w:val="-2"/>
                <w:w w:val="85"/>
                <w:sz w:val="14"/>
              </w:rPr>
              <w:t> </w:t>
            </w:r>
            <w:r>
              <w:rPr>
                <w:b/>
                <w:color w:val="231F20"/>
                <w:w w:val="85"/>
                <w:sz w:val="14"/>
              </w:rPr>
              <w:t>ship’s</w:t>
            </w:r>
            <w:r>
              <w:rPr>
                <w:b/>
                <w:color w:val="231F20"/>
                <w:spacing w:val="-2"/>
                <w:w w:val="85"/>
                <w:sz w:val="14"/>
              </w:rPr>
              <w:t> </w:t>
            </w:r>
            <w:r>
              <w:rPr>
                <w:b/>
                <w:color w:val="231F20"/>
                <w:w w:val="85"/>
                <w:sz w:val="14"/>
              </w:rPr>
              <w:t>twenty-foot</w:t>
            </w:r>
            <w:r>
              <w:rPr>
                <w:b/>
                <w:color w:val="231F20"/>
                <w:spacing w:val="40"/>
                <w:sz w:val="14"/>
              </w:rPr>
              <w:t> </w:t>
            </w:r>
            <w:r>
              <w:rPr>
                <w:b/>
                <w:color w:val="231F20"/>
                <w:w w:val="90"/>
                <w:sz w:val="14"/>
              </w:rPr>
              <w:t>equivalent unit capacity</w:t>
            </w:r>
          </w:p>
        </w:tc>
      </w:tr>
      <w:tr>
        <w:trPr>
          <w:trHeight w:val="246" w:hRule="atLeast"/>
        </w:trPr>
        <w:tc>
          <w:tcPr>
            <w:tcW w:w="1380" w:type="dxa"/>
            <w:tcBorders>
              <w:bottom w:val="single" w:sz="4" w:space="0" w:color="008FDD"/>
            </w:tcBorders>
          </w:tcPr>
          <w:p>
            <w:pPr>
              <w:pStyle w:val="TableParagraph"/>
              <w:spacing w:before="40"/>
              <w:ind w:left="80"/>
              <w:jc w:val="left"/>
              <w:rPr>
                <w:b/>
                <w:sz w:val="14"/>
              </w:rPr>
            </w:pPr>
            <w:r>
              <w:rPr>
                <w:b/>
                <w:color w:val="231F20"/>
                <w:spacing w:val="-2"/>
                <w:w w:val="90"/>
                <w:sz w:val="14"/>
              </w:rPr>
              <w:t>Economy</w:t>
            </w:r>
          </w:p>
        </w:tc>
        <w:tc>
          <w:tcPr>
            <w:tcW w:w="1087" w:type="dxa"/>
            <w:vMerge/>
            <w:tcBorders>
              <w:top w:val="nil"/>
              <w:bottom w:val="single" w:sz="4" w:space="0" w:color="008FDD"/>
            </w:tcBorders>
          </w:tcPr>
          <w:p>
            <w:pPr>
              <w:rPr>
                <w:sz w:val="2"/>
                <w:szCs w:val="2"/>
              </w:rPr>
            </w:pPr>
          </w:p>
        </w:tc>
        <w:tc>
          <w:tcPr>
            <w:tcW w:w="1087" w:type="dxa"/>
            <w:vMerge/>
            <w:tcBorders>
              <w:top w:val="nil"/>
              <w:bottom w:val="single" w:sz="4" w:space="0" w:color="008FDD"/>
            </w:tcBorders>
          </w:tcPr>
          <w:p>
            <w:pPr>
              <w:rPr>
                <w:sz w:val="2"/>
                <w:szCs w:val="2"/>
              </w:rPr>
            </w:pPr>
          </w:p>
        </w:tc>
        <w:tc>
          <w:tcPr>
            <w:tcW w:w="1062" w:type="dxa"/>
            <w:vMerge/>
            <w:tcBorders>
              <w:top w:val="nil"/>
              <w:bottom w:val="single" w:sz="4" w:space="0" w:color="008FDD"/>
            </w:tcBorders>
          </w:tcPr>
          <w:p>
            <w:pPr>
              <w:rPr>
                <w:sz w:val="2"/>
                <w:szCs w:val="2"/>
              </w:rPr>
            </w:pPr>
          </w:p>
        </w:tc>
        <w:tc>
          <w:tcPr>
            <w:tcW w:w="1245" w:type="dxa"/>
            <w:tcBorders>
              <w:bottom w:val="single" w:sz="4" w:space="0" w:color="008FDD"/>
            </w:tcBorders>
          </w:tcPr>
          <w:p>
            <w:pPr>
              <w:pStyle w:val="TableParagraph"/>
              <w:spacing w:before="40"/>
              <w:ind w:left="65"/>
              <w:rPr>
                <w:b/>
                <w:sz w:val="14"/>
              </w:rPr>
            </w:pPr>
            <w:r>
              <w:rPr>
                <w:b/>
                <w:color w:val="231F20"/>
                <w:spacing w:val="-2"/>
                <w:w w:val="95"/>
                <w:sz w:val="14"/>
              </w:rPr>
              <w:t>Median</w:t>
            </w:r>
          </w:p>
        </w:tc>
        <w:tc>
          <w:tcPr>
            <w:tcW w:w="1195" w:type="dxa"/>
            <w:tcBorders>
              <w:bottom w:val="single" w:sz="4" w:space="0" w:color="008FDD"/>
            </w:tcBorders>
          </w:tcPr>
          <w:p>
            <w:pPr>
              <w:pStyle w:val="TableParagraph"/>
              <w:spacing w:before="40"/>
              <w:ind w:left="29" w:right="155"/>
              <w:rPr>
                <w:b/>
                <w:sz w:val="14"/>
              </w:rPr>
            </w:pPr>
            <w:r>
              <w:rPr>
                <w:b/>
                <w:color w:val="231F20"/>
                <w:spacing w:val="-4"/>
                <w:w w:val="95"/>
                <w:sz w:val="14"/>
              </w:rPr>
              <w:t>Mean</w:t>
            </w:r>
          </w:p>
        </w:tc>
        <w:tc>
          <w:tcPr>
            <w:tcW w:w="1022" w:type="dxa"/>
            <w:vMerge/>
            <w:tcBorders>
              <w:top w:val="nil"/>
              <w:bottom w:val="single" w:sz="4" w:space="0" w:color="008FDD"/>
            </w:tcBorders>
          </w:tcPr>
          <w:p>
            <w:pPr>
              <w:rPr>
                <w:sz w:val="2"/>
                <w:szCs w:val="2"/>
              </w:rPr>
            </w:pPr>
          </w:p>
        </w:tc>
        <w:tc>
          <w:tcPr>
            <w:tcW w:w="1149" w:type="dxa"/>
            <w:tcBorders>
              <w:top w:val="single" w:sz="4" w:space="0" w:color="008FDD"/>
              <w:bottom w:val="single" w:sz="4" w:space="0" w:color="008FDD"/>
            </w:tcBorders>
          </w:tcPr>
          <w:p>
            <w:pPr>
              <w:pStyle w:val="TableParagraph"/>
              <w:spacing w:before="43"/>
              <w:ind w:left="20" w:right="48"/>
              <w:rPr>
                <w:b/>
                <w:sz w:val="14"/>
              </w:rPr>
            </w:pPr>
            <w:r>
              <w:rPr>
                <w:b/>
                <w:color w:val="231F20"/>
                <w:spacing w:val="-2"/>
                <w:w w:val="95"/>
                <w:sz w:val="14"/>
              </w:rPr>
              <w:t>Median</w:t>
            </w:r>
          </w:p>
        </w:tc>
        <w:tc>
          <w:tcPr>
            <w:tcW w:w="1095" w:type="dxa"/>
            <w:tcBorders>
              <w:top w:val="single" w:sz="4" w:space="0" w:color="008FDD"/>
              <w:bottom w:val="single" w:sz="4" w:space="0" w:color="008FDD"/>
            </w:tcBorders>
          </w:tcPr>
          <w:p>
            <w:pPr>
              <w:pStyle w:val="TableParagraph"/>
              <w:spacing w:before="43"/>
              <w:ind w:left="29" w:right="55"/>
              <w:rPr>
                <w:b/>
                <w:sz w:val="14"/>
              </w:rPr>
            </w:pPr>
            <w:r>
              <w:rPr>
                <w:b/>
                <w:color w:val="231F20"/>
                <w:spacing w:val="-4"/>
                <w:w w:val="95"/>
                <w:sz w:val="14"/>
              </w:rPr>
              <w:t>Mean</w:t>
            </w:r>
          </w:p>
        </w:tc>
      </w:tr>
      <w:tr>
        <w:trPr>
          <w:trHeight w:val="258" w:hRule="atLeast"/>
        </w:trPr>
        <w:tc>
          <w:tcPr>
            <w:tcW w:w="1380" w:type="dxa"/>
            <w:tcBorders>
              <w:top w:val="single" w:sz="4" w:space="0" w:color="008FDD"/>
            </w:tcBorders>
          </w:tcPr>
          <w:p>
            <w:pPr>
              <w:pStyle w:val="TableParagraph"/>
              <w:spacing w:before="47"/>
              <w:ind w:left="80"/>
              <w:jc w:val="left"/>
              <w:rPr>
                <w:sz w:val="14"/>
              </w:rPr>
            </w:pPr>
            <w:r>
              <w:rPr>
                <w:color w:val="231F20"/>
                <w:spacing w:val="-2"/>
                <w:w w:val="90"/>
                <w:sz w:val="14"/>
              </w:rPr>
              <w:t>Albania</w:t>
            </w:r>
          </w:p>
        </w:tc>
        <w:tc>
          <w:tcPr>
            <w:tcW w:w="1087" w:type="dxa"/>
            <w:tcBorders>
              <w:top w:val="single" w:sz="4" w:space="0" w:color="008FDD"/>
            </w:tcBorders>
          </w:tcPr>
          <w:p>
            <w:pPr>
              <w:pStyle w:val="TableParagraph"/>
              <w:spacing w:before="47"/>
              <w:ind w:left="139" w:right="46"/>
              <w:rPr>
                <w:sz w:val="14"/>
              </w:rPr>
            </w:pPr>
            <w:r>
              <w:rPr>
                <w:color w:val="231F20"/>
                <w:spacing w:val="-10"/>
                <w:w w:val="95"/>
                <w:sz w:val="14"/>
              </w:rPr>
              <w:t>3</w:t>
            </w:r>
          </w:p>
        </w:tc>
        <w:tc>
          <w:tcPr>
            <w:tcW w:w="1087" w:type="dxa"/>
            <w:tcBorders>
              <w:top w:val="single" w:sz="4" w:space="0" w:color="008FDD"/>
            </w:tcBorders>
          </w:tcPr>
          <w:p>
            <w:pPr>
              <w:pStyle w:val="TableParagraph"/>
              <w:spacing w:before="47"/>
              <w:ind w:left="93" w:right="60"/>
              <w:rPr>
                <w:sz w:val="14"/>
              </w:rPr>
            </w:pPr>
            <w:r>
              <w:rPr>
                <w:color w:val="231F20"/>
                <w:spacing w:val="-10"/>
                <w:w w:val="95"/>
                <w:sz w:val="14"/>
              </w:rPr>
              <w:t>0</w:t>
            </w:r>
          </w:p>
        </w:tc>
        <w:tc>
          <w:tcPr>
            <w:tcW w:w="1062" w:type="dxa"/>
            <w:tcBorders>
              <w:top w:val="single" w:sz="4" w:space="0" w:color="008FDD"/>
            </w:tcBorders>
          </w:tcPr>
          <w:p>
            <w:pPr>
              <w:pStyle w:val="TableParagraph"/>
              <w:spacing w:before="47"/>
              <w:ind w:right="407"/>
              <w:jc w:val="right"/>
              <w:rPr>
                <w:sz w:val="14"/>
              </w:rPr>
            </w:pPr>
            <w:r>
              <w:rPr>
                <w:color w:val="231F20"/>
                <w:spacing w:val="-10"/>
                <w:w w:val="95"/>
                <w:sz w:val="14"/>
              </w:rPr>
              <w:t>7</w:t>
            </w:r>
          </w:p>
        </w:tc>
        <w:tc>
          <w:tcPr>
            <w:tcW w:w="1245" w:type="dxa"/>
            <w:tcBorders>
              <w:top w:val="single" w:sz="4" w:space="0" w:color="008FDD"/>
            </w:tcBorders>
          </w:tcPr>
          <w:p>
            <w:pPr>
              <w:pStyle w:val="TableParagraph"/>
              <w:spacing w:before="47"/>
              <w:ind w:left="65"/>
              <w:rPr>
                <w:sz w:val="14"/>
              </w:rPr>
            </w:pPr>
            <w:r>
              <w:rPr>
                <w:color w:val="231F20"/>
                <w:spacing w:val="-5"/>
                <w:w w:val="95"/>
                <w:sz w:val="14"/>
              </w:rPr>
              <w:t>1.2</w:t>
            </w:r>
          </w:p>
        </w:tc>
        <w:tc>
          <w:tcPr>
            <w:tcW w:w="1195" w:type="dxa"/>
            <w:tcBorders>
              <w:top w:val="single" w:sz="4" w:space="0" w:color="008FDD"/>
            </w:tcBorders>
          </w:tcPr>
          <w:p>
            <w:pPr>
              <w:pStyle w:val="TableParagraph"/>
              <w:spacing w:before="47"/>
              <w:ind w:left="24" w:right="155"/>
              <w:rPr>
                <w:sz w:val="14"/>
              </w:rPr>
            </w:pPr>
            <w:r>
              <w:rPr>
                <w:color w:val="231F20"/>
                <w:spacing w:val="-5"/>
                <w:w w:val="95"/>
                <w:sz w:val="14"/>
              </w:rPr>
              <w:t>1.4</w:t>
            </w:r>
          </w:p>
        </w:tc>
        <w:tc>
          <w:tcPr>
            <w:tcW w:w="1022" w:type="dxa"/>
            <w:tcBorders>
              <w:top w:val="single" w:sz="4" w:space="0" w:color="008FDD"/>
            </w:tcBorders>
          </w:tcPr>
          <w:p>
            <w:pPr>
              <w:pStyle w:val="TableParagraph"/>
              <w:spacing w:before="47"/>
              <w:ind w:left="18" w:right="127"/>
              <w:rPr>
                <w:sz w:val="14"/>
              </w:rPr>
            </w:pPr>
            <w:r>
              <w:rPr>
                <w:color w:val="231F20"/>
                <w:spacing w:val="-5"/>
                <w:w w:val="95"/>
                <w:sz w:val="14"/>
              </w:rPr>
              <w:t>0.5</w:t>
            </w:r>
          </w:p>
        </w:tc>
        <w:tc>
          <w:tcPr>
            <w:tcW w:w="1149" w:type="dxa"/>
            <w:tcBorders>
              <w:top w:val="single" w:sz="4" w:space="0" w:color="008FDD"/>
            </w:tcBorders>
          </w:tcPr>
          <w:p>
            <w:pPr>
              <w:pStyle w:val="TableParagraph"/>
              <w:spacing w:before="47"/>
              <w:ind w:left="20" w:right="48"/>
              <w:rPr>
                <w:sz w:val="14"/>
              </w:rPr>
            </w:pPr>
            <w:r>
              <w:rPr>
                <w:color w:val="231F20"/>
                <w:spacing w:val="-5"/>
                <w:w w:val="95"/>
                <w:sz w:val="14"/>
              </w:rPr>
              <w:t>1.2</w:t>
            </w:r>
          </w:p>
        </w:tc>
        <w:tc>
          <w:tcPr>
            <w:tcW w:w="1095" w:type="dxa"/>
            <w:tcBorders>
              <w:top w:val="single" w:sz="4" w:space="0" w:color="008FDD"/>
            </w:tcBorders>
          </w:tcPr>
          <w:p>
            <w:pPr>
              <w:pStyle w:val="TableParagraph"/>
              <w:spacing w:before="47"/>
              <w:ind w:left="24" w:right="55"/>
              <w:rPr>
                <w:sz w:val="14"/>
              </w:rPr>
            </w:pPr>
            <w:r>
              <w:rPr>
                <w:color w:val="231F20"/>
                <w:spacing w:val="-5"/>
                <w:w w:val="95"/>
                <w:sz w:val="14"/>
              </w:rPr>
              <w:t>1.4</w:t>
            </w:r>
          </w:p>
        </w:tc>
      </w:tr>
      <w:tr>
        <w:trPr>
          <w:trHeight w:val="259" w:hRule="atLeast"/>
        </w:trPr>
        <w:tc>
          <w:tcPr>
            <w:tcW w:w="1380" w:type="dxa"/>
            <w:shd w:val="clear" w:color="auto" w:fill="D4E3F5"/>
          </w:tcPr>
          <w:p>
            <w:pPr>
              <w:pStyle w:val="TableParagraph"/>
              <w:ind w:left="80"/>
              <w:jc w:val="left"/>
              <w:rPr>
                <w:sz w:val="14"/>
              </w:rPr>
            </w:pPr>
            <w:r>
              <w:rPr>
                <w:color w:val="231F20"/>
                <w:spacing w:val="-2"/>
                <w:w w:val="90"/>
                <w:sz w:val="14"/>
              </w:rPr>
              <w:t>Algeria</w:t>
            </w:r>
          </w:p>
        </w:tc>
        <w:tc>
          <w:tcPr>
            <w:tcW w:w="1087" w:type="dxa"/>
            <w:shd w:val="clear" w:color="auto" w:fill="D4E3F5"/>
          </w:tcPr>
          <w:p>
            <w:pPr>
              <w:pStyle w:val="TableParagraph"/>
              <w:ind w:left="93" w:right="67"/>
              <w:rPr>
                <w:sz w:val="14"/>
              </w:rPr>
            </w:pPr>
            <w:r>
              <w:rPr>
                <w:color w:val="231F20"/>
                <w:spacing w:val="-5"/>
                <w:w w:val="95"/>
                <w:sz w:val="14"/>
              </w:rPr>
              <w:t>25</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10"/>
              <w:jc w:val="right"/>
              <w:rPr>
                <w:sz w:val="14"/>
              </w:rPr>
            </w:pPr>
            <w:r>
              <w:rPr>
                <w:color w:val="231F20"/>
                <w:spacing w:val="-5"/>
                <w:w w:val="95"/>
                <w:sz w:val="14"/>
              </w:rPr>
              <w:t>18</w:t>
            </w:r>
          </w:p>
        </w:tc>
        <w:tc>
          <w:tcPr>
            <w:tcW w:w="1245" w:type="dxa"/>
            <w:shd w:val="clear" w:color="auto" w:fill="D4E3F5"/>
          </w:tcPr>
          <w:p>
            <w:pPr>
              <w:pStyle w:val="TableParagraph"/>
              <w:ind w:left="65" w:right="8"/>
              <w:rPr>
                <w:sz w:val="14"/>
              </w:rPr>
            </w:pPr>
            <w:r>
              <w:rPr>
                <w:color w:val="231F20"/>
                <w:spacing w:val="-5"/>
                <w:w w:val="95"/>
                <w:sz w:val="14"/>
              </w:rPr>
              <w:t>2.5</w:t>
            </w:r>
          </w:p>
        </w:tc>
        <w:tc>
          <w:tcPr>
            <w:tcW w:w="1195" w:type="dxa"/>
            <w:shd w:val="clear" w:color="auto" w:fill="D4E3F5"/>
          </w:tcPr>
          <w:p>
            <w:pPr>
              <w:pStyle w:val="TableParagraph"/>
              <w:ind w:right="155"/>
              <w:rPr>
                <w:sz w:val="14"/>
              </w:rPr>
            </w:pPr>
            <w:r>
              <w:rPr>
                <w:color w:val="231F20"/>
                <w:spacing w:val="-5"/>
                <w:w w:val="95"/>
                <w:sz w:val="14"/>
              </w:rPr>
              <w:t>3.1</w:t>
            </w:r>
          </w:p>
        </w:tc>
        <w:tc>
          <w:tcPr>
            <w:tcW w:w="1022" w:type="dxa"/>
            <w:shd w:val="clear" w:color="auto" w:fill="D4E3F5"/>
          </w:tcPr>
          <w:p>
            <w:pPr>
              <w:pStyle w:val="TableParagraph"/>
              <w:ind w:left="16" w:right="127"/>
              <w:rPr>
                <w:sz w:val="14"/>
              </w:rPr>
            </w:pPr>
            <w:r>
              <w:rPr>
                <w:color w:val="231F20"/>
                <w:spacing w:val="-5"/>
                <w:w w:val="95"/>
                <w:sz w:val="14"/>
              </w:rPr>
              <w:t>2.4</w:t>
            </w:r>
          </w:p>
        </w:tc>
        <w:tc>
          <w:tcPr>
            <w:tcW w:w="1149" w:type="dxa"/>
            <w:shd w:val="clear" w:color="auto" w:fill="D4E3F5"/>
          </w:tcPr>
          <w:p>
            <w:pPr>
              <w:pStyle w:val="TableParagraph"/>
              <w:ind w:left="7" w:right="48"/>
              <w:rPr>
                <w:sz w:val="14"/>
              </w:rPr>
            </w:pPr>
            <w:r>
              <w:rPr>
                <w:color w:val="231F20"/>
                <w:spacing w:val="-5"/>
                <w:w w:val="95"/>
                <w:sz w:val="14"/>
              </w:rPr>
              <w:t>2.7</w:t>
            </w:r>
          </w:p>
        </w:tc>
        <w:tc>
          <w:tcPr>
            <w:tcW w:w="1095" w:type="dxa"/>
            <w:shd w:val="clear" w:color="auto" w:fill="D4E3F5"/>
          </w:tcPr>
          <w:p>
            <w:pPr>
              <w:pStyle w:val="TableParagraph"/>
              <w:ind w:left="19" w:right="55"/>
              <w:rPr>
                <w:sz w:val="14"/>
              </w:rPr>
            </w:pPr>
            <w:r>
              <w:rPr>
                <w:color w:val="231F20"/>
                <w:spacing w:val="-5"/>
                <w:w w:val="95"/>
                <w:sz w:val="14"/>
              </w:rPr>
              <w:t>3.2</w:t>
            </w:r>
          </w:p>
        </w:tc>
      </w:tr>
      <w:tr>
        <w:trPr>
          <w:trHeight w:val="259" w:hRule="atLeast"/>
        </w:trPr>
        <w:tc>
          <w:tcPr>
            <w:tcW w:w="1380" w:type="dxa"/>
          </w:tcPr>
          <w:p>
            <w:pPr>
              <w:pStyle w:val="TableParagraph"/>
              <w:ind w:left="80"/>
              <w:jc w:val="left"/>
              <w:rPr>
                <w:sz w:val="14"/>
              </w:rPr>
            </w:pPr>
            <w:r>
              <w:rPr>
                <w:color w:val="231F20"/>
                <w:spacing w:val="-2"/>
                <w:w w:val="85"/>
                <w:sz w:val="14"/>
              </w:rPr>
              <w:t>Angola</w:t>
            </w:r>
          </w:p>
        </w:tc>
        <w:tc>
          <w:tcPr>
            <w:tcW w:w="1087" w:type="dxa"/>
          </w:tcPr>
          <w:p>
            <w:pPr>
              <w:pStyle w:val="TableParagraph"/>
              <w:ind w:left="93" w:right="67"/>
              <w:rPr>
                <w:sz w:val="14"/>
              </w:rPr>
            </w:pPr>
            <w:r>
              <w:rPr>
                <w:color w:val="231F20"/>
                <w:spacing w:val="-5"/>
                <w:w w:val="95"/>
                <w:sz w:val="14"/>
              </w:rPr>
              <w:t>11</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1"/>
              <w:jc w:val="right"/>
              <w:rPr>
                <w:sz w:val="14"/>
              </w:rPr>
            </w:pPr>
            <w:r>
              <w:rPr>
                <w:color w:val="231F20"/>
                <w:spacing w:val="-5"/>
                <w:w w:val="95"/>
                <w:sz w:val="14"/>
              </w:rPr>
              <w:t>22</w:t>
            </w:r>
          </w:p>
        </w:tc>
        <w:tc>
          <w:tcPr>
            <w:tcW w:w="1245" w:type="dxa"/>
          </w:tcPr>
          <w:p>
            <w:pPr>
              <w:pStyle w:val="TableParagraph"/>
              <w:ind w:left="65" w:right="8"/>
              <w:rPr>
                <w:sz w:val="14"/>
              </w:rPr>
            </w:pPr>
            <w:r>
              <w:rPr>
                <w:color w:val="231F20"/>
                <w:spacing w:val="-5"/>
                <w:w w:val="95"/>
                <w:sz w:val="14"/>
              </w:rPr>
              <w:t>2.5</w:t>
            </w:r>
          </w:p>
        </w:tc>
        <w:tc>
          <w:tcPr>
            <w:tcW w:w="1195" w:type="dxa"/>
          </w:tcPr>
          <w:p>
            <w:pPr>
              <w:pStyle w:val="TableParagraph"/>
              <w:ind w:right="155"/>
              <w:rPr>
                <w:sz w:val="14"/>
              </w:rPr>
            </w:pPr>
            <w:r>
              <w:rPr>
                <w:color w:val="231F20"/>
                <w:spacing w:val="-5"/>
                <w:w w:val="95"/>
                <w:sz w:val="14"/>
              </w:rPr>
              <w:t>3.1</w:t>
            </w:r>
          </w:p>
        </w:tc>
        <w:tc>
          <w:tcPr>
            <w:tcW w:w="1022" w:type="dxa"/>
          </w:tcPr>
          <w:p>
            <w:pPr>
              <w:pStyle w:val="TableParagraph"/>
              <w:ind w:left="18" w:right="127"/>
              <w:rPr>
                <w:sz w:val="14"/>
              </w:rPr>
            </w:pPr>
            <w:r>
              <w:rPr>
                <w:color w:val="231F20"/>
                <w:spacing w:val="-5"/>
                <w:w w:val="95"/>
                <w:sz w:val="14"/>
              </w:rPr>
              <w:t>2.0</w:t>
            </w:r>
          </w:p>
        </w:tc>
        <w:tc>
          <w:tcPr>
            <w:tcW w:w="1149" w:type="dxa"/>
          </w:tcPr>
          <w:p>
            <w:pPr>
              <w:pStyle w:val="TableParagraph"/>
              <w:ind w:left="13" w:right="48"/>
              <w:rPr>
                <w:sz w:val="14"/>
              </w:rPr>
            </w:pPr>
            <w:r>
              <w:rPr>
                <w:color w:val="231F20"/>
                <w:spacing w:val="-5"/>
                <w:w w:val="95"/>
                <w:sz w:val="14"/>
              </w:rPr>
              <w:t>3.3</w:t>
            </w:r>
          </w:p>
        </w:tc>
        <w:tc>
          <w:tcPr>
            <w:tcW w:w="1095" w:type="dxa"/>
          </w:tcPr>
          <w:p>
            <w:pPr>
              <w:pStyle w:val="TableParagraph"/>
              <w:ind w:left="20" w:right="55"/>
              <w:rPr>
                <w:sz w:val="14"/>
              </w:rPr>
            </w:pPr>
            <w:r>
              <w:rPr>
                <w:color w:val="231F20"/>
                <w:spacing w:val="-5"/>
                <w:w w:val="95"/>
                <w:sz w:val="14"/>
              </w:rPr>
              <w:t>3.8</w:t>
            </w:r>
          </w:p>
        </w:tc>
      </w:tr>
      <w:tr>
        <w:trPr>
          <w:trHeight w:val="259" w:hRule="atLeast"/>
        </w:trPr>
        <w:tc>
          <w:tcPr>
            <w:tcW w:w="1380" w:type="dxa"/>
            <w:shd w:val="clear" w:color="auto" w:fill="D4E3F5"/>
          </w:tcPr>
          <w:p>
            <w:pPr>
              <w:pStyle w:val="TableParagraph"/>
              <w:ind w:left="80"/>
              <w:jc w:val="left"/>
              <w:rPr>
                <w:sz w:val="14"/>
              </w:rPr>
            </w:pPr>
            <w:r>
              <w:rPr>
                <w:color w:val="231F20"/>
                <w:w w:val="75"/>
                <w:sz w:val="14"/>
              </w:rPr>
              <w:t>Antigua</w:t>
            </w:r>
            <w:r>
              <w:rPr>
                <w:color w:val="231F20"/>
                <w:spacing w:val="11"/>
                <w:sz w:val="14"/>
              </w:rPr>
              <w:t> </w:t>
            </w:r>
            <w:r>
              <w:rPr>
                <w:color w:val="231F20"/>
                <w:w w:val="75"/>
                <w:sz w:val="14"/>
              </w:rPr>
              <w:t>and</w:t>
            </w:r>
            <w:r>
              <w:rPr>
                <w:color w:val="231F20"/>
                <w:spacing w:val="12"/>
                <w:sz w:val="14"/>
              </w:rPr>
              <w:t> </w:t>
            </w:r>
            <w:r>
              <w:rPr>
                <w:color w:val="231F20"/>
                <w:spacing w:val="-2"/>
                <w:w w:val="75"/>
                <w:sz w:val="14"/>
              </w:rPr>
              <w:t>Barbuda</w:t>
            </w:r>
          </w:p>
        </w:tc>
        <w:tc>
          <w:tcPr>
            <w:tcW w:w="1087" w:type="dxa"/>
            <w:shd w:val="clear" w:color="auto" w:fill="D4E3F5"/>
          </w:tcPr>
          <w:p>
            <w:pPr>
              <w:pStyle w:val="TableParagraph"/>
              <w:ind w:left="139" w:right="46"/>
              <w:rPr>
                <w:sz w:val="14"/>
              </w:rPr>
            </w:pPr>
            <w:r>
              <w:rPr>
                <w:color w:val="231F20"/>
                <w:spacing w:val="-10"/>
                <w:w w:val="95"/>
                <w:sz w:val="14"/>
              </w:rPr>
              <w:t>4</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1"/>
              <w:jc w:val="right"/>
              <w:rPr>
                <w:sz w:val="14"/>
              </w:rPr>
            </w:pPr>
            <w:r>
              <w:rPr>
                <w:color w:val="231F20"/>
                <w:spacing w:val="-5"/>
                <w:w w:val="95"/>
                <w:sz w:val="14"/>
              </w:rPr>
              <w:t>22</w:t>
            </w:r>
          </w:p>
        </w:tc>
        <w:tc>
          <w:tcPr>
            <w:tcW w:w="1245" w:type="dxa"/>
            <w:shd w:val="clear" w:color="auto" w:fill="D4E3F5"/>
          </w:tcPr>
          <w:p>
            <w:pPr>
              <w:pStyle w:val="TableParagraph"/>
              <w:ind w:left="65" w:right="8"/>
              <w:rPr>
                <w:sz w:val="14"/>
              </w:rPr>
            </w:pPr>
            <w:r>
              <w:rPr>
                <w:color w:val="231F20"/>
                <w:spacing w:val="-5"/>
                <w:w w:val="95"/>
                <w:sz w:val="14"/>
              </w:rPr>
              <w:t>0.5</w:t>
            </w:r>
          </w:p>
        </w:tc>
        <w:tc>
          <w:tcPr>
            <w:tcW w:w="1195" w:type="dxa"/>
            <w:shd w:val="clear" w:color="auto" w:fill="D4E3F5"/>
          </w:tcPr>
          <w:p>
            <w:pPr>
              <w:pStyle w:val="TableParagraph"/>
              <w:ind w:left="19" w:right="155"/>
              <w:rPr>
                <w:sz w:val="14"/>
              </w:rPr>
            </w:pPr>
            <w:r>
              <w:rPr>
                <w:color w:val="231F20"/>
                <w:spacing w:val="-5"/>
                <w:w w:val="95"/>
                <w:sz w:val="14"/>
              </w:rPr>
              <w:t>0.5</w:t>
            </w:r>
          </w:p>
        </w:tc>
        <w:tc>
          <w:tcPr>
            <w:tcW w:w="1022" w:type="dxa"/>
            <w:shd w:val="clear" w:color="auto" w:fill="D4E3F5"/>
          </w:tcPr>
          <w:p>
            <w:pPr>
              <w:pStyle w:val="TableParagraph"/>
              <w:ind w:right="127"/>
              <w:rPr>
                <w:sz w:val="14"/>
              </w:rPr>
            </w:pPr>
            <w:r>
              <w:rPr>
                <w:color w:val="231F20"/>
                <w:spacing w:val="-5"/>
                <w:w w:val="95"/>
                <w:sz w:val="14"/>
              </w:rPr>
              <w:t>0.1</w:t>
            </w:r>
          </w:p>
        </w:tc>
        <w:tc>
          <w:tcPr>
            <w:tcW w:w="1149" w:type="dxa"/>
            <w:shd w:val="clear" w:color="auto" w:fill="D4E3F5"/>
          </w:tcPr>
          <w:p>
            <w:pPr>
              <w:pStyle w:val="TableParagraph"/>
              <w:ind w:left="12" w:right="48"/>
              <w:rPr>
                <w:sz w:val="14"/>
              </w:rPr>
            </w:pPr>
            <w:r>
              <w:rPr>
                <w:color w:val="231F20"/>
                <w:spacing w:val="-5"/>
                <w:w w:val="95"/>
                <w:sz w:val="14"/>
              </w:rPr>
              <w:t>0.5</w:t>
            </w:r>
          </w:p>
        </w:tc>
        <w:tc>
          <w:tcPr>
            <w:tcW w:w="1095" w:type="dxa"/>
            <w:shd w:val="clear" w:color="auto" w:fill="D4E3F5"/>
          </w:tcPr>
          <w:p>
            <w:pPr>
              <w:pStyle w:val="TableParagraph"/>
              <w:ind w:left="19" w:right="55"/>
              <w:rPr>
                <w:sz w:val="14"/>
              </w:rPr>
            </w:pPr>
            <w:r>
              <w:rPr>
                <w:color w:val="231F20"/>
                <w:spacing w:val="-5"/>
                <w:w w:val="95"/>
                <w:sz w:val="14"/>
              </w:rPr>
              <w:t>0.5</w:t>
            </w:r>
          </w:p>
        </w:tc>
      </w:tr>
      <w:tr>
        <w:trPr>
          <w:trHeight w:val="259" w:hRule="atLeast"/>
        </w:trPr>
        <w:tc>
          <w:tcPr>
            <w:tcW w:w="1380" w:type="dxa"/>
          </w:tcPr>
          <w:p>
            <w:pPr>
              <w:pStyle w:val="TableParagraph"/>
              <w:ind w:left="80"/>
              <w:jc w:val="left"/>
              <w:rPr>
                <w:sz w:val="14"/>
              </w:rPr>
            </w:pPr>
            <w:r>
              <w:rPr>
                <w:color w:val="231F20"/>
                <w:spacing w:val="-2"/>
                <w:w w:val="90"/>
                <w:sz w:val="14"/>
              </w:rPr>
              <w:t>Argentina</w:t>
            </w:r>
          </w:p>
        </w:tc>
        <w:tc>
          <w:tcPr>
            <w:tcW w:w="1087" w:type="dxa"/>
          </w:tcPr>
          <w:p>
            <w:pPr>
              <w:pStyle w:val="TableParagraph"/>
              <w:ind w:left="93" w:right="67"/>
              <w:rPr>
                <w:sz w:val="14"/>
              </w:rPr>
            </w:pPr>
            <w:r>
              <w:rPr>
                <w:color w:val="231F20"/>
                <w:spacing w:val="-5"/>
                <w:w w:val="95"/>
                <w:sz w:val="14"/>
              </w:rPr>
              <w:t>23</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3"/>
              <w:jc w:val="right"/>
              <w:rPr>
                <w:sz w:val="14"/>
              </w:rPr>
            </w:pPr>
            <w:r>
              <w:rPr>
                <w:color w:val="231F20"/>
                <w:spacing w:val="-5"/>
                <w:w w:val="95"/>
                <w:sz w:val="14"/>
              </w:rPr>
              <w:t>21</w:t>
            </w:r>
          </w:p>
        </w:tc>
        <w:tc>
          <w:tcPr>
            <w:tcW w:w="1245" w:type="dxa"/>
          </w:tcPr>
          <w:p>
            <w:pPr>
              <w:pStyle w:val="TableParagraph"/>
              <w:ind w:left="65" w:right="1"/>
              <w:rPr>
                <w:sz w:val="14"/>
              </w:rPr>
            </w:pPr>
            <w:r>
              <w:rPr>
                <w:color w:val="231F20"/>
                <w:spacing w:val="-5"/>
                <w:w w:val="95"/>
                <w:sz w:val="14"/>
              </w:rPr>
              <w:t>1.5</w:t>
            </w:r>
          </w:p>
        </w:tc>
        <w:tc>
          <w:tcPr>
            <w:tcW w:w="1195" w:type="dxa"/>
          </w:tcPr>
          <w:p>
            <w:pPr>
              <w:pStyle w:val="TableParagraph"/>
              <w:ind w:left="26" w:right="155"/>
              <w:rPr>
                <w:sz w:val="14"/>
              </w:rPr>
            </w:pPr>
            <w:r>
              <w:rPr>
                <w:color w:val="231F20"/>
                <w:spacing w:val="-5"/>
                <w:w w:val="95"/>
                <w:sz w:val="14"/>
              </w:rPr>
              <w:t>1.8</w:t>
            </w:r>
          </w:p>
        </w:tc>
        <w:tc>
          <w:tcPr>
            <w:tcW w:w="1022" w:type="dxa"/>
          </w:tcPr>
          <w:p>
            <w:pPr>
              <w:pStyle w:val="TableParagraph"/>
              <w:ind w:left="24" w:right="127"/>
              <w:rPr>
                <w:sz w:val="14"/>
              </w:rPr>
            </w:pPr>
            <w:r>
              <w:rPr>
                <w:color w:val="231F20"/>
                <w:spacing w:val="-5"/>
                <w:w w:val="95"/>
                <w:sz w:val="14"/>
              </w:rPr>
              <w:t>1.0</w:t>
            </w:r>
          </w:p>
        </w:tc>
        <w:tc>
          <w:tcPr>
            <w:tcW w:w="1149" w:type="dxa"/>
          </w:tcPr>
          <w:p>
            <w:pPr>
              <w:pStyle w:val="TableParagraph"/>
              <w:ind w:left="18" w:right="48"/>
              <w:rPr>
                <w:sz w:val="14"/>
              </w:rPr>
            </w:pPr>
            <w:r>
              <w:rPr>
                <w:color w:val="231F20"/>
                <w:spacing w:val="-5"/>
                <w:w w:val="95"/>
                <w:sz w:val="14"/>
              </w:rPr>
              <w:t>1.6</w:t>
            </w:r>
          </w:p>
        </w:tc>
        <w:tc>
          <w:tcPr>
            <w:tcW w:w="1095" w:type="dxa"/>
          </w:tcPr>
          <w:p>
            <w:pPr>
              <w:pStyle w:val="TableParagraph"/>
              <w:ind w:left="26" w:right="55"/>
              <w:rPr>
                <w:sz w:val="14"/>
              </w:rPr>
            </w:pPr>
            <w:r>
              <w:rPr>
                <w:color w:val="231F20"/>
                <w:spacing w:val="-5"/>
                <w:w w:val="95"/>
                <w:sz w:val="14"/>
              </w:rPr>
              <w:t>1.8</w:t>
            </w:r>
          </w:p>
        </w:tc>
      </w:tr>
      <w:tr>
        <w:trPr>
          <w:trHeight w:val="259" w:hRule="atLeast"/>
        </w:trPr>
        <w:tc>
          <w:tcPr>
            <w:tcW w:w="1380" w:type="dxa"/>
            <w:shd w:val="clear" w:color="auto" w:fill="D4E3F5"/>
          </w:tcPr>
          <w:p>
            <w:pPr>
              <w:pStyle w:val="TableParagraph"/>
              <w:ind w:left="80"/>
              <w:jc w:val="left"/>
              <w:rPr>
                <w:sz w:val="14"/>
              </w:rPr>
            </w:pPr>
            <w:r>
              <w:rPr>
                <w:color w:val="231F20"/>
                <w:spacing w:val="-2"/>
                <w:w w:val="90"/>
                <w:sz w:val="14"/>
              </w:rPr>
              <w:t>Australia</w:t>
            </w:r>
          </w:p>
        </w:tc>
        <w:tc>
          <w:tcPr>
            <w:tcW w:w="1087" w:type="dxa"/>
            <w:shd w:val="clear" w:color="auto" w:fill="D4E3F5"/>
          </w:tcPr>
          <w:p>
            <w:pPr>
              <w:pStyle w:val="TableParagraph"/>
              <w:ind w:left="93" w:right="67"/>
              <w:rPr>
                <w:sz w:val="14"/>
              </w:rPr>
            </w:pPr>
            <w:r>
              <w:rPr>
                <w:color w:val="231F20"/>
                <w:spacing w:val="-5"/>
                <w:w w:val="95"/>
                <w:sz w:val="14"/>
              </w:rPr>
              <w:t>58</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1"/>
              <w:jc w:val="right"/>
              <w:rPr>
                <w:sz w:val="14"/>
              </w:rPr>
            </w:pPr>
            <w:r>
              <w:rPr>
                <w:color w:val="231F20"/>
                <w:spacing w:val="-5"/>
                <w:w w:val="95"/>
                <w:sz w:val="14"/>
              </w:rPr>
              <w:t>36</w:t>
            </w:r>
          </w:p>
        </w:tc>
        <w:tc>
          <w:tcPr>
            <w:tcW w:w="1245" w:type="dxa"/>
            <w:shd w:val="clear" w:color="auto" w:fill="D4E3F5"/>
          </w:tcPr>
          <w:p>
            <w:pPr>
              <w:pStyle w:val="TableParagraph"/>
              <w:ind w:left="65" w:right="5"/>
              <w:rPr>
                <w:sz w:val="14"/>
              </w:rPr>
            </w:pPr>
            <w:r>
              <w:rPr>
                <w:color w:val="231F20"/>
                <w:spacing w:val="-5"/>
                <w:w w:val="95"/>
                <w:sz w:val="14"/>
              </w:rPr>
              <w:t>1.7</w:t>
            </w:r>
          </w:p>
        </w:tc>
        <w:tc>
          <w:tcPr>
            <w:tcW w:w="1195" w:type="dxa"/>
            <w:shd w:val="clear" w:color="auto" w:fill="D4E3F5"/>
          </w:tcPr>
          <w:p>
            <w:pPr>
              <w:pStyle w:val="TableParagraph"/>
              <w:ind w:left="19" w:right="155"/>
              <w:rPr>
                <w:sz w:val="14"/>
              </w:rPr>
            </w:pPr>
            <w:r>
              <w:rPr>
                <w:color w:val="231F20"/>
                <w:spacing w:val="-5"/>
                <w:w w:val="95"/>
                <w:sz w:val="14"/>
              </w:rPr>
              <w:t>2.0</w:t>
            </w:r>
          </w:p>
        </w:tc>
        <w:tc>
          <w:tcPr>
            <w:tcW w:w="1022" w:type="dxa"/>
            <w:shd w:val="clear" w:color="auto" w:fill="D4E3F5"/>
          </w:tcPr>
          <w:p>
            <w:pPr>
              <w:pStyle w:val="TableParagraph"/>
              <w:ind w:left="6" w:right="127"/>
              <w:rPr>
                <w:sz w:val="14"/>
              </w:rPr>
            </w:pPr>
            <w:r>
              <w:rPr>
                <w:color w:val="231F20"/>
                <w:spacing w:val="-5"/>
                <w:w w:val="95"/>
                <w:sz w:val="14"/>
              </w:rPr>
              <w:t>1.1</w:t>
            </w:r>
          </w:p>
        </w:tc>
        <w:tc>
          <w:tcPr>
            <w:tcW w:w="1149" w:type="dxa"/>
            <w:shd w:val="clear" w:color="auto" w:fill="D4E3F5"/>
          </w:tcPr>
          <w:p>
            <w:pPr>
              <w:pStyle w:val="TableParagraph"/>
              <w:ind w:left="18" w:right="48"/>
              <w:rPr>
                <w:sz w:val="14"/>
              </w:rPr>
            </w:pPr>
            <w:r>
              <w:rPr>
                <w:color w:val="231F20"/>
                <w:spacing w:val="-5"/>
                <w:w w:val="95"/>
                <w:sz w:val="14"/>
              </w:rPr>
              <w:t>1.9</w:t>
            </w:r>
          </w:p>
        </w:tc>
        <w:tc>
          <w:tcPr>
            <w:tcW w:w="1095" w:type="dxa"/>
            <w:shd w:val="clear" w:color="auto" w:fill="D4E3F5"/>
          </w:tcPr>
          <w:p>
            <w:pPr>
              <w:pStyle w:val="TableParagraph"/>
              <w:ind w:left="1" w:right="55"/>
              <w:rPr>
                <w:sz w:val="14"/>
              </w:rPr>
            </w:pPr>
            <w:r>
              <w:rPr>
                <w:color w:val="231F20"/>
                <w:spacing w:val="-5"/>
                <w:w w:val="95"/>
                <w:sz w:val="14"/>
              </w:rPr>
              <w:t>2.1</w:t>
            </w:r>
          </w:p>
        </w:tc>
      </w:tr>
      <w:tr>
        <w:trPr>
          <w:trHeight w:val="259" w:hRule="atLeast"/>
        </w:trPr>
        <w:tc>
          <w:tcPr>
            <w:tcW w:w="1380" w:type="dxa"/>
          </w:tcPr>
          <w:p>
            <w:pPr>
              <w:pStyle w:val="TableParagraph"/>
              <w:ind w:left="80"/>
              <w:jc w:val="left"/>
              <w:rPr>
                <w:sz w:val="14"/>
              </w:rPr>
            </w:pPr>
            <w:r>
              <w:rPr>
                <w:color w:val="231F20"/>
                <w:w w:val="75"/>
                <w:sz w:val="14"/>
              </w:rPr>
              <w:t>Bahamas,</w:t>
            </w:r>
            <w:r>
              <w:rPr>
                <w:color w:val="231F20"/>
                <w:spacing w:val="23"/>
                <w:sz w:val="14"/>
              </w:rPr>
              <w:t> </w:t>
            </w:r>
            <w:r>
              <w:rPr>
                <w:color w:val="231F20"/>
                <w:spacing w:val="-5"/>
                <w:w w:val="85"/>
                <w:sz w:val="14"/>
              </w:rPr>
              <w:t>The</w:t>
            </w:r>
          </w:p>
        </w:tc>
        <w:tc>
          <w:tcPr>
            <w:tcW w:w="1087" w:type="dxa"/>
          </w:tcPr>
          <w:p>
            <w:pPr>
              <w:pStyle w:val="TableParagraph"/>
              <w:ind w:left="93" w:right="67"/>
              <w:rPr>
                <w:sz w:val="14"/>
              </w:rPr>
            </w:pPr>
            <w:r>
              <w:rPr>
                <w:color w:val="231F20"/>
                <w:spacing w:val="-5"/>
                <w:w w:val="95"/>
                <w:sz w:val="14"/>
              </w:rPr>
              <w:t>17</w:t>
            </w:r>
          </w:p>
        </w:tc>
        <w:tc>
          <w:tcPr>
            <w:tcW w:w="1087" w:type="dxa"/>
          </w:tcPr>
          <w:p>
            <w:pPr>
              <w:pStyle w:val="TableParagraph"/>
              <w:ind w:left="93" w:right="60"/>
              <w:rPr>
                <w:sz w:val="14"/>
              </w:rPr>
            </w:pPr>
            <w:r>
              <w:rPr>
                <w:color w:val="231F20"/>
                <w:spacing w:val="-10"/>
                <w:w w:val="95"/>
                <w:sz w:val="14"/>
              </w:rPr>
              <w:t>2</w:t>
            </w:r>
          </w:p>
        </w:tc>
        <w:tc>
          <w:tcPr>
            <w:tcW w:w="1062" w:type="dxa"/>
          </w:tcPr>
          <w:p>
            <w:pPr>
              <w:pStyle w:val="TableParagraph"/>
              <w:ind w:right="401"/>
              <w:jc w:val="right"/>
              <w:rPr>
                <w:sz w:val="14"/>
              </w:rPr>
            </w:pPr>
            <w:r>
              <w:rPr>
                <w:color w:val="231F20"/>
                <w:spacing w:val="-5"/>
                <w:w w:val="95"/>
                <w:sz w:val="14"/>
              </w:rPr>
              <w:t>35</w:t>
            </w:r>
          </w:p>
        </w:tc>
        <w:tc>
          <w:tcPr>
            <w:tcW w:w="1245" w:type="dxa"/>
          </w:tcPr>
          <w:p>
            <w:pPr>
              <w:pStyle w:val="TableParagraph"/>
              <w:ind w:left="65" w:right="2"/>
              <w:rPr>
                <w:sz w:val="14"/>
              </w:rPr>
            </w:pPr>
            <w:r>
              <w:rPr>
                <w:color w:val="231F20"/>
                <w:spacing w:val="-5"/>
                <w:w w:val="95"/>
                <w:sz w:val="14"/>
              </w:rPr>
              <w:t>1.0</w:t>
            </w:r>
          </w:p>
        </w:tc>
        <w:tc>
          <w:tcPr>
            <w:tcW w:w="1195" w:type="dxa"/>
          </w:tcPr>
          <w:p>
            <w:pPr>
              <w:pStyle w:val="TableParagraph"/>
              <w:ind w:left="26" w:right="155"/>
              <w:rPr>
                <w:sz w:val="14"/>
              </w:rPr>
            </w:pPr>
            <w:r>
              <w:rPr>
                <w:color w:val="231F20"/>
                <w:spacing w:val="-5"/>
                <w:w w:val="95"/>
                <w:sz w:val="14"/>
              </w:rPr>
              <w:t>1.3</w:t>
            </w:r>
          </w:p>
        </w:tc>
        <w:tc>
          <w:tcPr>
            <w:tcW w:w="1022" w:type="dxa"/>
          </w:tcPr>
          <w:p>
            <w:pPr>
              <w:pStyle w:val="TableParagraph"/>
              <w:ind w:left="23" w:right="127"/>
              <w:rPr>
                <w:sz w:val="14"/>
              </w:rPr>
            </w:pPr>
            <w:r>
              <w:rPr>
                <w:color w:val="231F20"/>
                <w:spacing w:val="-5"/>
                <w:w w:val="95"/>
                <w:sz w:val="14"/>
              </w:rPr>
              <w:t>1.4</w:t>
            </w:r>
          </w:p>
        </w:tc>
        <w:tc>
          <w:tcPr>
            <w:tcW w:w="1149" w:type="dxa"/>
          </w:tcPr>
          <w:p>
            <w:pPr>
              <w:pStyle w:val="TableParagraph"/>
              <w:ind w:left="19" w:right="48"/>
              <w:rPr>
                <w:sz w:val="14"/>
              </w:rPr>
            </w:pPr>
            <w:r>
              <w:rPr>
                <w:color w:val="231F20"/>
                <w:spacing w:val="-5"/>
                <w:w w:val="95"/>
                <w:sz w:val="14"/>
              </w:rPr>
              <w:t>1.5</w:t>
            </w:r>
          </w:p>
        </w:tc>
        <w:tc>
          <w:tcPr>
            <w:tcW w:w="1095" w:type="dxa"/>
          </w:tcPr>
          <w:p>
            <w:pPr>
              <w:pStyle w:val="TableParagraph"/>
              <w:ind w:left="22" w:right="55"/>
              <w:rPr>
                <w:sz w:val="14"/>
              </w:rPr>
            </w:pPr>
            <w:r>
              <w:rPr>
                <w:color w:val="231F20"/>
                <w:spacing w:val="-5"/>
                <w:w w:val="95"/>
                <w:sz w:val="14"/>
              </w:rPr>
              <w:t>1.7</w:t>
            </w:r>
          </w:p>
        </w:tc>
      </w:tr>
      <w:tr>
        <w:trPr>
          <w:trHeight w:val="259" w:hRule="atLeast"/>
        </w:trPr>
        <w:tc>
          <w:tcPr>
            <w:tcW w:w="1380" w:type="dxa"/>
            <w:shd w:val="clear" w:color="auto" w:fill="D4E3F5"/>
          </w:tcPr>
          <w:p>
            <w:pPr>
              <w:pStyle w:val="TableParagraph"/>
              <w:ind w:left="80"/>
              <w:jc w:val="left"/>
              <w:rPr>
                <w:sz w:val="14"/>
              </w:rPr>
            </w:pPr>
            <w:r>
              <w:rPr>
                <w:color w:val="231F20"/>
                <w:spacing w:val="-2"/>
                <w:w w:val="90"/>
                <w:sz w:val="14"/>
              </w:rPr>
              <w:t>Bahrain</w:t>
            </w:r>
          </w:p>
        </w:tc>
        <w:tc>
          <w:tcPr>
            <w:tcW w:w="1087" w:type="dxa"/>
            <w:shd w:val="clear" w:color="auto" w:fill="D4E3F5"/>
          </w:tcPr>
          <w:p>
            <w:pPr>
              <w:pStyle w:val="TableParagraph"/>
              <w:ind w:left="139" w:right="46"/>
              <w:rPr>
                <w:sz w:val="14"/>
              </w:rPr>
            </w:pPr>
            <w:r>
              <w:rPr>
                <w:color w:val="231F20"/>
                <w:spacing w:val="-10"/>
                <w:w w:val="95"/>
                <w:sz w:val="14"/>
              </w:rPr>
              <w:t>7</w:t>
            </w:r>
          </w:p>
        </w:tc>
        <w:tc>
          <w:tcPr>
            <w:tcW w:w="1087" w:type="dxa"/>
            <w:shd w:val="clear" w:color="auto" w:fill="D4E3F5"/>
          </w:tcPr>
          <w:p>
            <w:pPr>
              <w:pStyle w:val="TableParagraph"/>
              <w:ind w:left="93" w:right="60"/>
              <w:rPr>
                <w:sz w:val="14"/>
              </w:rPr>
            </w:pPr>
            <w:r>
              <w:rPr>
                <w:color w:val="231F20"/>
                <w:spacing w:val="-10"/>
                <w:w w:val="95"/>
                <w:sz w:val="14"/>
              </w:rPr>
              <w:t>1</w:t>
            </w:r>
          </w:p>
        </w:tc>
        <w:tc>
          <w:tcPr>
            <w:tcW w:w="1062" w:type="dxa"/>
            <w:shd w:val="clear" w:color="auto" w:fill="D4E3F5"/>
          </w:tcPr>
          <w:p>
            <w:pPr>
              <w:pStyle w:val="TableParagraph"/>
              <w:ind w:right="407"/>
              <w:jc w:val="right"/>
              <w:rPr>
                <w:sz w:val="14"/>
              </w:rPr>
            </w:pPr>
            <w:r>
              <w:rPr>
                <w:color w:val="231F20"/>
                <w:spacing w:val="-5"/>
                <w:w w:val="95"/>
                <w:sz w:val="14"/>
              </w:rPr>
              <w:t>10</w:t>
            </w:r>
          </w:p>
        </w:tc>
        <w:tc>
          <w:tcPr>
            <w:tcW w:w="1245" w:type="dxa"/>
            <w:shd w:val="clear" w:color="auto" w:fill="D4E3F5"/>
          </w:tcPr>
          <w:p>
            <w:pPr>
              <w:pStyle w:val="TableParagraph"/>
              <w:ind w:left="65" w:right="8"/>
              <w:rPr>
                <w:sz w:val="14"/>
              </w:rPr>
            </w:pPr>
            <w:r>
              <w:rPr>
                <w:color w:val="231F20"/>
                <w:spacing w:val="-5"/>
                <w:w w:val="95"/>
                <w:sz w:val="14"/>
              </w:rPr>
              <w:t>0.8</w:t>
            </w:r>
          </w:p>
        </w:tc>
        <w:tc>
          <w:tcPr>
            <w:tcW w:w="1195" w:type="dxa"/>
            <w:shd w:val="clear" w:color="auto" w:fill="D4E3F5"/>
          </w:tcPr>
          <w:p>
            <w:pPr>
              <w:pStyle w:val="TableParagraph"/>
              <w:ind w:left="19" w:right="155"/>
              <w:rPr>
                <w:sz w:val="14"/>
              </w:rPr>
            </w:pPr>
            <w:r>
              <w:rPr>
                <w:color w:val="231F20"/>
                <w:spacing w:val="-5"/>
                <w:w w:val="95"/>
                <w:sz w:val="14"/>
              </w:rPr>
              <w:t>2.0</w:t>
            </w:r>
          </w:p>
        </w:tc>
        <w:tc>
          <w:tcPr>
            <w:tcW w:w="1022" w:type="dxa"/>
            <w:shd w:val="clear" w:color="auto" w:fill="D4E3F5"/>
          </w:tcPr>
          <w:p>
            <w:pPr>
              <w:pStyle w:val="TableParagraph"/>
              <w:ind w:left="18" w:right="127"/>
              <w:rPr>
                <w:sz w:val="14"/>
              </w:rPr>
            </w:pPr>
            <w:r>
              <w:rPr>
                <w:color w:val="231F20"/>
                <w:spacing w:val="-5"/>
                <w:w w:val="95"/>
                <w:sz w:val="14"/>
              </w:rPr>
              <w:t>0.5</w:t>
            </w:r>
          </w:p>
        </w:tc>
        <w:tc>
          <w:tcPr>
            <w:tcW w:w="1149" w:type="dxa"/>
            <w:shd w:val="clear" w:color="auto" w:fill="D4E3F5"/>
          </w:tcPr>
          <w:p>
            <w:pPr>
              <w:pStyle w:val="TableParagraph"/>
              <w:ind w:left="12" w:right="48"/>
              <w:rPr>
                <w:sz w:val="14"/>
              </w:rPr>
            </w:pPr>
            <w:r>
              <w:rPr>
                <w:color w:val="231F20"/>
                <w:spacing w:val="-5"/>
                <w:w w:val="95"/>
                <w:sz w:val="14"/>
              </w:rPr>
              <w:t>0.9</w:t>
            </w:r>
          </w:p>
        </w:tc>
        <w:tc>
          <w:tcPr>
            <w:tcW w:w="1095" w:type="dxa"/>
            <w:shd w:val="clear" w:color="auto" w:fill="D4E3F5"/>
          </w:tcPr>
          <w:p>
            <w:pPr>
              <w:pStyle w:val="TableParagraph"/>
              <w:ind w:left="22" w:right="55"/>
              <w:rPr>
                <w:sz w:val="14"/>
              </w:rPr>
            </w:pPr>
            <w:r>
              <w:rPr>
                <w:color w:val="231F20"/>
                <w:spacing w:val="-5"/>
                <w:w w:val="95"/>
                <w:sz w:val="14"/>
              </w:rPr>
              <w:t>1.7</w:t>
            </w:r>
          </w:p>
        </w:tc>
      </w:tr>
      <w:tr>
        <w:trPr>
          <w:trHeight w:val="259" w:hRule="atLeast"/>
        </w:trPr>
        <w:tc>
          <w:tcPr>
            <w:tcW w:w="1380" w:type="dxa"/>
          </w:tcPr>
          <w:p>
            <w:pPr>
              <w:pStyle w:val="TableParagraph"/>
              <w:ind w:left="80"/>
              <w:jc w:val="left"/>
              <w:rPr>
                <w:sz w:val="14"/>
              </w:rPr>
            </w:pPr>
            <w:r>
              <w:rPr>
                <w:color w:val="231F20"/>
                <w:spacing w:val="-2"/>
                <w:w w:val="90"/>
                <w:sz w:val="14"/>
              </w:rPr>
              <w:t>Bangladesh</w:t>
            </w:r>
          </w:p>
        </w:tc>
        <w:tc>
          <w:tcPr>
            <w:tcW w:w="1087" w:type="dxa"/>
          </w:tcPr>
          <w:p>
            <w:pPr>
              <w:pStyle w:val="TableParagraph"/>
              <w:ind w:left="93" w:right="67"/>
              <w:rPr>
                <w:sz w:val="14"/>
              </w:rPr>
            </w:pPr>
            <w:r>
              <w:rPr>
                <w:color w:val="231F20"/>
                <w:spacing w:val="-5"/>
                <w:w w:val="95"/>
                <w:sz w:val="14"/>
              </w:rPr>
              <w:t>32</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11"/>
              <w:jc w:val="right"/>
              <w:rPr>
                <w:sz w:val="14"/>
              </w:rPr>
            </w:pPr>
            <w:r>
              <w:rPr>
                <w:color w:val="231F20"/>
                <w:spacing w:val="-5"/>
                <w:w w:val="95"/>
                <w:sz w:val="14"/>
              </w:rPr>
              <w:t>12</w:t>
            </w:r>
          </w:p>
        </w:tc>
        <w:tc>
          <w:tcPr>
            <w:tcW w:w="1245" w:type="dxa"/>
          </w:tcPr>
          <w:p>
            <w:pPr>
              <w:pStyle w:val="TableParagraph"/>
              <w:ind w:left="65" w:right="9"/>
              <w:rPr>
                <w:sz w:val="14"/>
              </w:rPr>
            </w:pPr>
            <w:r>
              <w:rPr>
                <w:color w:val="231F20"/>
                <w:spacing w:val="-5"/>
                <w:w w:val="95"/>
                <w:sz w:val="14"/>
              </w:rPr>
              <w:t>3.0</w:t>
            </w:r>
          </w:p>
        </w:tc>
        <w:tc>
          <w:tcPr>
            <w:tcW w:w="1195" w:type="dxa"/>
          </w:tcPr>
          <w:p>
            <w:pPr>
              <w:pStyle w:val="TableParagraph"/>
              <w:ind w:left="19" w:right="155"/>
              <w:rPr>
                <w:sz w:val="14"/>
              </w:rPr>
            </w:pPr>
            <w:r>
              <w:rPr>
                <w:color w:val="231F20"/>
                <w:spacing w:val="-5"/>
                <w:w w:val="95"/>
                <w:sz w:val="14"/>
              </w:rPr>
              <w:t>2.9</w:t>
            </w:r>
          </w:p>
        </w:tc>
        <w:tc>
          <w:tcPr>
            <w:tcW w:w="1022" w:type="dxa"/>
          </w:tcPr>
          <w:p>
            <w:pPr>
              <w:pStyle w:val="TableParagraph"/>
              <w:ind w:left="24" w:right="127"/>
              <w:rPr>
                <w:sz w:val="14"/>
              </w:rPr>
            </w:pPr>
            <w:r>
              <w:rPr>
                <w:color w:val="231F20"/>
                <w:spacing w:val="-5"/>
                <w:w w:val="95"/>
                <w:sz w:val="14"/>
              </w:rPr>
              <w:t>1.0</w:t>
            </w:r>
          </w:p>
        </w:tc>
        <w:tc>
          <w:tcPr>
            <w:tcW w:w="1149" w:type="dxa"/>
          </w:tcPr>
          <w:p>
            <w:pPr>
              <w:pStyle w:val="TableParagraph"/>
              <w:ind w:left="11" w:right="48"/>
              <w:rPr>
                <w:sz w:val="14"/>
              </w:rPr>
            </w:pPr>
            <w:r>
              <w:rPr>
                <w:color w:val="231F20"/>
                <w:spacing w:val="-5"/>
                <w:w w:val="95"/>
                <w:sz w:val="14"/>
              </w:rPr>
              <w:t>3.0</w:t>
            </w:r>
          </w:p>
        </w:tc>
        <w:tc>
          <w:tcPr>
            <w:tcW w:w="1095" w:type="dxa"/>
          </w:tcPr>
          <w:p>
            <w:pPr>
              <w:pStyle w:val="TableParagraph"/>
              <w:ind w:right="55"/>
              <w:rPr>
                <w:sz w:val="14"/>
              </w:rPr>
            </w:pPr>
            <w:r>
              <w:rPr>
                <w:color w:val="231F20"/>
                <w:spacing w:val="-5"/>
                <w:w w:val="95"/>
                <w:sz w:val="14"/>
              </w:rPr>
              <w:t>3.1</w:t>
            </w:r>
          </w:p>
        </w:tc>
      </w:tr>
      <w:tr>
        <w:trPr>
          <w:trHeight w:val="259" w:hRule="atLeast"/>
        </w:trPr>
        <w:tc>
          <w:tcPr>
            <w:tcW w:w="1380" w:type="dxa"/>
            <w:shd w:val="clear" w:color="auto" w:fill="D4E3F5"/>
          </w:tcPr>
          <w:p>
            <w:pPr>
              <w:pStyle w:val="TableParagraph"/>
              <w:ind w:left="80"/>
              <w:jc w:val="left"/>
              <w:rPr>
                <w:sz w:val="14"/>
              </w:rPr>
            </w:pPr>
            <w:r>
              <w:rPr>
                <w:color w:val="231F20"/>
                <w:spacing w:val="-2"/>
                <w:w w:val="90"/>
                <w:sz w:val="14"/>
              </w:rPr>
              <w:t>Belgium</w:t>
            </w:r>
          </w:p>
        </w:tc>
        <w:tc>
          <w:tcPr>
            <w:tcW w:w="1087" w:type="dxa"/>
            <w:shd w:val="clear" w:color="auto" w:fill="D4E3F5"/>
          </w:tcPr>
          <w:p>
            <w:pPr>
              <w:pStyle w:val="TableParagraph"/>
              <w:ind w:left="93" w:right="120"/>
              <w:rPr>
                <w:sz w:val="14"/>
              </w:rPr>
            </w:pPr>
            <w:r>
              <w:rPr>
                <w:color w:val="231F20"/>
                <w:spacing w:val="-5"/>
                <w:w w:val="95"/>
                <w:sz w:val="14"/>
              </w:rPr>
              <w:t>114</w:t>
            </w:r>
          </w:p>
        </w:tc>
        <w:tc>
          <w:tcPr>
            <w:tcW w:w="1087" w:type="dxa"/>
            <w:shd w:val="clear" w:color="auto" w:fill="D4E3F5"/>
          </w:tcPr>
          <w:p>
            <w:pPr>
              <w:pStyle w:val="TableParagraph"/>
              <w:ind w:left="93" w:right="60"/>
              <w:rPr>
                <w:sz w:val="14"/>
              </w:rPr>
            </w:pPr>
            <w:r>
              <w:rPr>
                <w:color w:val="231F20"/>
                <w:spacing w:val="-10"/>
                <w:w w:val="95"/>
                <w:sz w:val="14"/>
              </w:rPr>
              <w:t>3</w:t>
            </w:r>
          </w:p>
        </w:tc>
        <w:tc>
          <w:tcPr>
            <w:tcW w:w="1062" w:type="dxa"/>
            <w:shd w:val="clear" w:color="auto" w:fill="D4E3F5"/>
          </w:tcPr>
          <w:p>
            <w:pPr>
              <w:pStyle w:val="TableParagraph"/>
              <w:ind w:right="401"/>
              <w:jc w:val="right"/>
              <w:rPr>
                <w:sz w:val="14"/>
              </w:rPr>
            </w:pPr>
            <w:r>
              <w:rPr>
                <w:color w:val="231F20"/>
                <w:spacing w:val="-5"/>
                <w:w w:val="95"/>
                <w:sz w:val="14"/>
              </w:rPr>
              <w:t>88</w:t>
            </w:r>
          </w:p>
        </w:tc>
        <w:tc>
          <w:tcPr>
            <w:tcW w:w="1245" w:type="dxa"/>
            <w:shd w:val="clear" w:color="auto" w:fill="D4E3F5"/>
          </w:tcPr>
          <w:p>
            <w:pPr>
              <w:pStyle w:val="TableParagraph"/>
              <w:ind w:left="65" w:right="1"/>
              <w:rPr>
                <w:sz w:val="14"/>
              </w:rPr>
            </w:pPr>
            <w:r>
              <w:rPr>
                <w:color w:val="231F20"/>
                <w:spacing w:val="-5"/>
                <w:w w:val="95"/>
                <w:sz w:val="14"/>
              </w:rPr>
              <w:t>1.3</w:t>
            </w:r>
          </w:p>
        </w:tc>
        <w:tc>
          <w:tcPr>
            <w:tcW w:w="1195" w:type="dxa"/>
            <w:shd w:val="clear" w:color="auto" w:fill="D4E3F5"/>
          </w:tcPr>
          <w:p>
            <w:pPr>
              <w:pStyle w:val="TableParagraph"/>
              <w:ind w:left="25" w:right="155"/>
              <w:rPr>
                <w:sz w:val="14"/>
              </w:rPr>
            </w:pPr>
            <w:r>
              <w:rPr>
                <w:color w:val="231F20"/>
                <w:spacing w:val="-5"/>
                <w:w w:val="95"/>
                <w:sz w:val="14"/>
              </w:rPr>
              <w:t>1.6</w:t>
            </w:r>
          </w:p>
        </w:tc>
        <w:tc>
          <w:tcPr>
            <w:tcW w:w="1022" w:type="dxa"/>
            <w:shd w:val="clear" w:color="auto" w:fill="D4E3F5"/>
          </w:tcPr>
          <w:p>
            <w:pPr>
              <w:pStyle w:val="TableParagraph"/>
              <w:ind w:left="24" w:right="127"/>
              <w:rPr>
                <w:sz w:val="14"/>
              </w:rPr>
            </w:pPr>
            <w:r>
              <w:rPr>
                <w:color w:val="231F20"/>
                <w:spacing w:val="-5"/>
                <w:w w:val="95"/>
                <w:sz w:val="14"/>
              </w:rPr>
              <w:t>1.0</w:t>
            </w:r>
          </w:p>
        </w:tc>
        <w:tc>
          <w:tcPr>
            <w:tcW w:w="1149" w:type="dxa"/>
            <w:shd w:val="clear" w:color="auto" w:fill="D4E3F5"/>
          </w:tcPr>
          <w:p>
            <w:pPr>
              <w:pStyle w:val="TableParagraph"/>
              <w:ind w:left="15" w:right="48"/>
              <w:rPr>
                <w:sz w:val="14"/>
              </w:rPr>
            </w:pPr>
            <w:r>
              <w:rPr>
                <w:color w:val="231F20"/>
                <w:spacing w:val="-5"/>
                <w:w w:val="95"/>
                <w:sz w:val="14"/>
              </w:rPr>
              <w:t>1.7</w:t>
            </w:r>
          </w:p>
        </w:tc>
        <w:tc>
          <w:tcPr>
            <w:tcW w:w="1095" w:type="dxa"/>
            <w:shd w:val="clear" w:color="auto" w:fill="D4E3F5"/>
          </w:tcPr>
          <w:p>
            <w:pPr>
              <w:pStyle w:val="TableParagraph"/>
              <w:ind w:left="25" w:right="55"/>
              <w:rPr>
                <w:sz w:val="14"/>
              </w:rPr>
            </w:pPr>
            <w:r>
              <w:rPr>
                <w:color w:val="231F20"/>
                <w:spacing w:val="-5"/>
                <w:w w:val="95"/>
                <w:sz w:val="14"/>
              </w:rPr>
              <w:t>1.9</w:t>
            </w:r>
          </w:p>
        </w:tc>
      </w:tr>
      <w:tr>
        <w:trPr>
          <w:trHeight w:val="259" w:hRule="atLeast"/>
        </w:trPr>
        <w:tc>
          <w:tcPr>
            <w:tcW w:w="1380" w:type="dxa"/>
          </w:tcPr>
          <w:p>
            <w:pPr>
              <w:pStyle w:val="TableParagraph"/>
              <w:ind w:left="80"/>
              <w:jc w:val="left"/>
              <w:rPr>
                <w:sz w:val="14"/>
              </w:rPr>
            </w:pPr>
            <w:r>
              <w:rPr>
                <w:color w:val="231F20"/>
                <w:spacing w:val="-2"/>
                <w:w w:val="90"/>
                <w:sz w:val="14"/>
              </w:rPr>
              <w:t>Benin</w:t>
            </w:r>
          </w:p>
        </w:tc>
        <w:tc>
          <w:tcPr>
            <w:tcW w:w="1087" w:type="dxa"/>
          </w:tcPr>
          <w:p>
            <w:pPr>
              <w:pStyle w:val="TableParagraph"/>
              <w:ind w:left="93" w:right="67"/>
              <w:rPr>
                <w:sz w:val="14"/>
              </w:rPr>
            </w:pPr>
            <w:r>
              <w:rPr>
                <w:color w:val="231F20"/>
                <w:spacing w:val="-5"/>
                <w:w w:val="95"/>
                <w:sz w:val="14"/>
              </w:rPr>
              <w:t>16</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2"/>
              <w:jc w:val="right"/>
              <w:rPr>
                <w:sz w:val="14"/>
              </w:rPr>
            </w:pPr>
            <w:r>
              <w:rPr>
                <w:color w:val="231F20"/>
                <w:spacing w:val="-5"/>
                <w:w w:val="95"/>
                <w:sz w:val="14"/>
              </w:rPr>
              <w:t>26</w:t>
            </w:r>
          </w:p>
        </w:tc>
        <w:tc>
          <w:tcPr>
            <w:tcW w:w="1245" w:type="dxa"/>
          </w:tcPr>
          <w:p>
            <w:pPr>
              <w:pStyle w:val="TableParagraph"/>
              <w:ind w:left="65" w:right="1"/>
              <w:rPr>
                <w:sz w:val="14"/>
              </w:rPr>
            </w:pPr>
            <w:r>
              <w:rPr>
                <w:color w:val="231F20"/>
                <w:spacing w:val="-5"/>
                <w:w w:val="95"/>
                <w:sz w:val="14"/>
              </w:rPr>
              <w:t>1.5</w:t>
            </w:r>
          </w:p>
        </w:tc>
        <w:tc>
          <w:tcPr>
            <w:tcW w:w="1195" w:type="dxa"/>
          </w:tcPr>
          <w:p>
            <w:pPr>
              <w:pStyle w:val="TableParagraph"/>
              <w:ind w:left="26" w:right="155"/>
              <w:rPr>
                <w:sz w:val="14"/>
              </w:rPr>
            </w:pPr>
            <w:r>
              <w:rPr>
                <w:color w:val="231F20"/>
                <w:spacing w:val="-5"/>
                <w:w w:val="95"/>
                <w:sz w:val="14"/>
              </w:rPr>
              <w:t>1.5</w:t>
            </w:r>
          </w:p>
        </w:tc>
        <w:tc>
          <w:tcPr>
            <w:tcW w:w="1022" w:type="dxa"/>
          </w:tcPr>
          <w:p>
            <w:pPr>
              <w:pStyle w:val="TableParagraph"/>
              <w:ind w:left="18" w:right="127"/>
              <w:rPr>
                <w:sz w:val="14"/>
              </w:rPr>
            </w:pPr>
            <w:r>
              <w:rPr>
                <w:color w:val="231F20"/>
                <w:spacing w:val="-5"/>
                <w:w w:val="95"/>
                <w:sz w:val="14"/>
              </w:rPr>
              <w:t>0.8</w:t>
            </w:r>
          </w:p>
        </w:tc>
        <w:tc>
          <w:tcPr>
            <w:tcW w:w="1149" w:type="dxa"/>
          </w:tcPr>
          <w:p>
            <w:pPr>
              <w:pStyle w:val="TableParagraph"/>
              <w:ind w:left="19" w:right="48"/>
              <w:rPr>
                <w:sz w:val="14"/>
              </w:rPr>
            </w:pPr>
            <w:r>
              <w:rPr>
                <w:color w:val="231F20"/>
                <w:spacing w:val="-5"/>
                <w:w w:val="95"/>
                <w:sz w:val="14"/>
              </w:rPr>
              <w:t>1.5</w:t>
            </w:r>
          </w:p>
        </w:tc>
        <w:tc>
          <w:tcPr>
            <w:tcW w:w="1095" w:type="dxa"/>
          </w:tcPr>
          <w:p>
            <w:pPr>
              <w:pStyle w:val="TableParagraph"/>
              <w:ind w:left="26" w:right="55"/>
              <w:rPr>
                <w:sz w:val="14"/>
              </w:rPr>
            </w:pPr>
            <w:r>
              <w:rPr>
                <w:color w:val="231F20"/>
                <w:spacing w:val="-5"/>
                <w:w w:val="95"/>
                <w:sz w:val="14"/>
              </w:rPr>
              <w:t>1.5</w:t>
            </w:r>
          </w:p>
        </w:tc>
      </w:tr>
      <w:tr>
        <w:trPr>
          <w:trHeight w:val="259" w:hRule="atLeast"/>
        </w:trPr>
        <w:tc>
          <w:tcPr>
            <w:tcW w:w="1380" w:type="dxa"/>
            <w:shd w:val="clear" w:color="auto" w:fill="D4E3F5"/>
          </w:tcPr>
          <w:p>
            <w:pPr>
              <w:pStyle w:val="TableParagraph"/>
              <w:ind w:left="80"/>
              <w:jc w:val="left"/>
              <w:rPr>
                <w:sz w:val="14"/>
              </w:rPr>
            </w:pPr>
            <w:r>
              <w:rPr>
                <w:color w:val="231F20"/>
                <w:spacing w:val="-2"/>
                <w:w w:val="90"/>
                <w:sz w:val="14"/>
              </w:rPr>
              <w:t>Brazil</w:t>
            </w:r>
          </w:p>
        </w:tc>
        <w:tc>
          <w:tcPr>
            <w:tcW w:w="1087" w:type="dxa"/>
            <w:shd w:val="clear" w:color="auto" w:fill="D4E3F5"/>
          </w:tcPr>
          <w:p>
            <w:pPr>
              <w:pStyle w:val="TableParagraph"/>
              <w:ind w:left="93" w:right="67"/>
              <w:rPr>
                <w:sz w:val="14"/>
              </w:rPr>
            </w:pPr>
            <w:r>
              <w:rPr>
                <w:color w:val="231F20"/>
                <w:spacing w:val="-5"/>
                <w:w w:val="95"/>
                <w:sz w:val="14"/>
              </w:rPr>
              <w:t>33</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0"/>
              <w:jc w:val="right"/>
              <w:rPr>
                <w:sz w:val="14"/>
              </w:rPr>
            </w:pPr>
            <w:r>
              <w:rPr>
                <w:color w:val="231F20"/>
                <w:spacing w:val="-5"/>
                <w:w w:val="95"/>
                <w:sz w:val="14"/>
              </w:rPr>
              <w:t>34</w:t>
            </w:r>
          </w:p>
        </w:tc>
        <w:tc>
          <w:tcPr>
            <w:tcW w:w="1245" w:type="dxa"/>
            <w:shd w:val="clear" w:color="auto" w:fill="D4E3F5"/>
          </w:tcPr>
          <w:p>
            <w:pPr>
              <w:pStyle w:val="TableParagraph"/>
              <w:ind w:left="65" w:right="8"/>
              <w:rPr>
                <w:sz w:val="14"/>
              </w:rPr>
            </w:pPr>
            <w:r>
              <w:rPr>
                <w:color w:val="231F20"/>
                <w:spacing w:val="-5"/>
                <w:w w:val="95"/>
                <w:sz w:val="14"/>
              </w:rPr>
              <w:t>0.8</w:t>
            </w:r>
          </w:p>
        </w:tc>
        <w:tc>
          <w:tcPr>
            <w:tcW w:w="1195" w:type="dxa"/>
            <w:shd w:val="clear" w:color="auto" w:fill="D4E3F5"/>
          </w:tcPr>
          <w:p>
            <w:pPr>
              <w:pStyle w:val="TableParagraph"/>
              <w:ind w:left="25" w:right="155"/>
              <w:rPr>
                <w:sz w:val="14"/>
              </w:rPr>
            </w:pPr>
            <w:r>
              <w:rPr>
                <w:color w:val="231F20"/>
                <w:spacing w:val="-5"/>
                <w:w w:val="95"/>
                <w:sz w:val="14"/>
              </w:rPr>
              <w:t>1.0</w:t>
            </w:r>
          </w:p>
        </w:tc>
        <w:tc>
          <w:tcPr>
            <w:tcW w:w="1022" w:type="dxa"/>
            <w:shd w:val="clear" w:color="auto" w:fill="D4E3F5"/>
          </w:tcPr>
          <w:p>
            <w:pPr>
              <w:pStyle w:val="TableParagraph"/>
              <w:ind w:left="18" w:right="127"/>
              <w:rPr>
                <w:sz w:val="14"/>
              </w:rPr>
            </w:pPr>
            <w:r>
              <w:rPr>
                <w:color w:val="231F20"/>
                <w:spacing w:val="-5"/>
                <w:w w:val="95"/>
                <w:sz w:val="14"/>
              </w:rPr>
              <w:t>0.5</w:t>
            </w:r>
          </w:p>
        </w:tc>
        <w:tc>
          <w:tcPr>
            <w:tcW w:w="1149" w:type="dxa"/>
            <w:shd w:val="clear" w:color="auto" w:fill="D4E3F5"/>
          </w:tcPr>
          <w:p>
            <w:pPr>
              <w:pStyle w:val="TableParagraph"/>
              <w:ind w:left="12" w:right="48"/>
              <w:rPr>
                <w:sz w:val="14"/>
              </w:rPr>
            </w:pPr>
            <w:r>
              <w:rPr>
                <w:color w:val="231F20"/>
                <w:spacing w:val="-5"/>
                <w:w w:val="95"/>
                <w:sz w:val="14"/>
              </w:rPr>
              <w:t>0.9</w:t>
            </w:r>
          </w:p>
        </w:tc>
        <w:tc>
          <w:tcPr>
            <w:tcW w:w="1095" w:type="dxa"/>
            <w:shd w:val="clear" w:color="auto" w:fill="D4E3F5"/>
          </w:tcPr>
          <w:p>
            <w:pPr>
              <w:pStyle w:val="TableParagraph"/>
              <w:ind w:left="25" w:right="55"/>
              <w:rPr>
                <w:sz w:val="14"/>
              </w:rPr>
            </w:pPr>
            <w:r>
              <w:rPr>
                <w:color w:val="231F20"/>
                <w:spacing w:val="-5"/>
                <w:w w:val="95"/>
                <w:sz w:val="14"/>
              </w:rPr>
              <w:t>1.0</w:t>
            </w:r>
          </w:p>
        </w:tc>
      </w:tr>
      <w:tr>
        <w:trPr>
          <w:trHeight w:val="259" w:hRule="atLeast"/>
        </w:trPr>
        <w:tc>
          <w:tcPr>
            <w:tcW w:w="1380" w:type="dxa"/>
          </w:tcPr>
          <w:p>
            <w:pPr>
              <w:pStyle w:val="TableParagraph"/>
              <w:ind w:left="80"/>
              <w:jc w:val="left"/>
              <w:rPr>
                <w:sz w:val="14"/>
              </w:rPr>
            </w:pPr>
            <w:r>
              <w:rPr>
                <w:color w:val="231F20"/>
                <w:spacing w:val="-2"/>
                <w:w w:val="90"/>
                <w:sz w:val="14"/>
              </w:rPr>
              <w:t>Bulgaria</w:t>
            </w:r>
          </w:p>
        </w:tc>
        <w:tc>
          <w:tcPr>
            <w:tcW w:w="1087" w:type="dxa"/>
          </w:tcPr>
          <w:p>
            <w:pPr>
              <w:pStyle w:val="TableParagraph"/>
              <w:ind w:left="139" w:right="46"/>
              <w:rPr>
                <w:sz w:val="14"/>
              </w:rPr>
            </w:pPr>
            <w:r>
              <w:rPr>
                <w:color w:val="231F20"/>
                <w:spacing w:val="-10"/>
                <w:w w:val="95"/>
                <w:sz w:val="14"/>
              </w:rPr>
              <w:t>6</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7"/>
              <w:jc w:val="right"/>
              <w:rPr>
                <w:sz w:val="14"/>
              </w:rPr>
            </w:pPr>
            <w:r>
              <w:rPr>
                <w:color w:val="231F20"/>
                <w:spacing w:val="-10"/>
                <w:w w:val="95"/>
                <w:sz w:val="14"/>
              </w:rPr>
              <w:t>8</w:t>
            </w:r>
          </w:p>
        </w:tc>
        <w:tc>
          <w:tcPr>
            <w:tcW w:w="1245" w:type="dxa"/>
          </w:tcPr>
          <w:p>
            <w:pPr>
              <w:pStyle w:val="TableParagraph"/>
              <w:ind w:left="65" w:right="2"/>
              <w:rPr>
                <w:sz w:val="14"/>
              </w:rPr>
            </w:pPr>
            <w:r>
              <w:rPr>
                <w:color w:val="231F20"/>
                <w:spacing w:val="-5"/>
                <w:w w:val="95"/>
                <w:sz w:val="14"/>
              </w:rPr>
              <w:t>1.0</w:t>
            </w:r>
          </w:p>
        </w:tc>
        <w:tc>
          <w:tcPr>
            <w:tcW w:w="1195" w:type="dxa"/>
          </w:tcPr>
          <w:p>
            <w:pPr>
              <w:pStyle w:val="TableParagraph"/>
              <w:ind w:left="26" w:right="155"/>
              <w:rPr>
                <w:sz w:val="14"/>
              </w:rPr>
            </w:pPr>
            <w:r>
              <w:rPr>
                <w:color w:val="231F20"/>
                <w:spacing w:val="-5"/>
                <w:w w:val="95"/>
                <w:sz w:val="14"/>
              </w:rPr>
              <w:t>1.3</w:t>
            </w:r>
          </w:p>
        </w:tc>
        <w:tc>
          <w:tcPr>
            <w:tcW w:w="1022" w:type="dxa"/>
          </w:tcPr>
          <w:p>
            <w:pPr>
              <w:pStyle w:val="TableParagraph"/>
              <w:ind w:left="18" w:right="127"/>
              <w:rPr>
                <w:sz w:val="14"/>
              </w:rPr>
            </w:pPr>
            <w:r>
              <w:rPr>
                <w:color w:val="231F20"/>
                <w:spacing w:val="-5"/>
                <w:w w:val="95"/>
                <w:sz w:val="14"/>
              </w:rPr>
              <w:t>0.5</w:t>
            </w:r>
          </w:p>
        </w:tc>
        <w:tc>
          <w:tcPr>
            <w:tcW w:w="1149" w:type="dxa"/>
          </w:tcPr>
          <w:p>
            <w:pPr>
              <w:pStyle w:val="TableParagraph"/>
              <w:ind w:left="18" w:right="48"/>
              <w:rPr>
                <w:sz w:val="14"/>
              </w:rPr>
            </w:pPr>
            <w:r>
              <w:rPr>
                <w:color w:val="231F20"/>
                <w:spacing w:val="-5"/>
                <w:w w:val="95"/>
                <w:sz w:val="14"/>
              </w:rPr>
              <w:t>1.0</w:t>
            </w:r>
          </w:p>
        </w:tc>
        <w:tc>
          <w:tcPr>
            <w:tcW w:w="1095" w:type="dxa"/>
          </w:tcPr>
          <w:p>
            <w:pPr>
              <w:pStyle w:val="TableParagraph"/>
              <w:ind w:left="7" w:right="55"/>
              <w:rPr>
                <w:sz w:val="14"/>
              </w:rPr>
            </w:pPr>
            <w:r>
              <w:rPr>
                <w:color w:val="231F20"/>
                <w:spacing w:val="-5"/>
                <w:w w:val="95"/>
                <w:sz w:val="14"/>
              </w:rPr>
              <w:t>1.1</w:t>
            </w:r>
          </w:p>
        </w:tc>
      </w:tr>
      <w:tr>
        <w:trPr>
          <w:trHeight w:val="259" w:hRule="atLeast"/>
        </w:trPr>
        <w:tc>
          <w:tcPr>
            <w:tcW w:w="1380" w:type="dxa"/>
            <w:shd w:val="clear" w:color="auto" w:fill="D4E3F5"/>
          </w:tcPr>
          <w:p>
            <w:pPr>
              <w:pStyle w:val="TableParagraph"/>
              <w:ind w:left="80"/>
              <w:jc w:val="left"/>
              <w:rPr>
                <w:sz w:val="14"/>
              </w:rPr>
            </w:pPr>
            <w:r>
              <w:rPr>
                <w:color w:val="231F20"/>
                <w:spacing w:val="-2"/>
                <w:w w:val="85"/>
                <w:sz w:val="14"/>
              </w:rPr>
              <w:t>Cambodia</w:t>
            </w:r>
          </w:p>
        </w:tc>
        <w:tc>
          <w:tcPr>
            <w:tcW w:w="1087" w:type="dxa"/>
            <w:shd w:val="clear" w:color="auto" w:fill="D4E3F5"/>
          </w:tcPr>
          <w:p>
            <w:pPr>
              <w:pStyle w:val="TableParagraph"/>
              <w:ind w:left="93" w:right="67"/>
              <w:rPr>
                <w:sz w:val="14"/>
              </w:rPr>
            </w:pPr>
            <w:r>
              <w:rPr>
                <w:color w:val="231F20"/>
                <w:spacing w:val="-5"/>
                <w:w w:val="95"/>
                <w:sz w:val="14"/>
              </w:rPr>
              <w:t>12</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7"/>
              <w:jc w:val="right"/>
              <w:rPr>
                <w:sz w:val="14"/>
              </w:rPr>
            </w:pPr>
            <w:r>
              <w:rPr>
                <w:color w:val="231F20"/>
                <w:spacing w:val="-5"/>
                <w:w w:val="95"/>
                <w:sz w:val="14"/>
              </w:rPr>
              <w:t>10</w:t>
            </w:r>
          </w:p>
        </w:tc>
        <w:tc>
          <w:tcPr>
            <w:tcW w:w="1245" w:type="dxa"/>
            <w:shd w:val="clear" w:color="auto" w:fill="D4E3F5"/>
          </w:tcPr>
          <w:p>
            <w:pPr>
              <w:pStyle w:val="TableParagraph"/>
              <w:ind w:left="65" w:right="8"/>
              <w:rPr>
                <w:sz w:val="14"/>
              </w:rPr>
            </w:pPr>
            <w:r>
              <w:rPr>
                <w:color w:val="231F20"/>
                <w:spacing w:val="-5"/>
                <w:w w:val="95"/>
                <w:sz w:val="14"/>
              </w:rPr>
              <w:t>0.8</w:t>
            </w:r>
          </w:p>
        </w:tc>
        <w:tc>
          <w:tcPr>
            <w:tcW w:w="1195" w:type="dxa"/>
            <w:shd w:val="clear" w:color="auto" w:fill="D4E3F5"/>
          </w:tcPr>
          <w:p>
            <w:pPr>
              <w:pStyle w:val="TableParagraph"/>
              <w:ind w:left="19" w:right="155"/>
              <w:rPr>
                <w:sz w:val="14"/>
              </w:rPr>
            </w:pPr>
            <w:r>
              <w:rPr>
                <w:color w:val="231F20"/>
                <w:spacing w:val="-5"/>
                <w:w w:val="95"/>
                <w:sz w:val="14"/>
              </w:rPr>
              <w:t>0.9</w:t>
            </w:r>
          </w:p>
        </w:tc>
        <w:tc>
          <w:tcPr>
            <w:tcW w:w="1022" w:type="dxa"/>
            <w:shd w:val="clear" w:color="auto" w:fill="D4E3F5"/>
          </w:tcPr>
          <w:p>
            <w:pPr>
              <w:pStyle w:val="TableParagraph"/>
              <w:ind w:left="18" w:right="127"/>
              <w:rPr>
                <w:sz w:val="14"/>
              </w:rPr>
            </w:pPr>
            <w:r>
              <w:rPr>
                <w:color w:val="231F20"/>
                <w:spacing w:val="-5"/>
                <w:w w:val="95"/>
                <w:sz w:val="14"/>
              </w:rPr>
              <w:t>0.5</w:t>
            </w:r>
          </w:p>
        </w:tc>
        <w:tc>
          <w:tcPr>
            <w:tcW w:w="1149" w:type="dxa"/>
            <w:shd w:val="clear" w:color="auto" w:fill="D4E3F5"/>
          </w:tcPr>
          <w:p>
            <w:pPr>
              <w:pStyle w:val="TableParagraph"/>
              <w:ind w:left="12" w:right="48"/>
              <w:rPr>
                <w:sz w:val="14"/>
              </w:rPr>
            </w:pPr>
            <w:r>
              <w:rPr>
                <w:color w:val="231F20"/>
                <w:spacing w:val="-5"/>
                <w:w w:val="95"/>
                <w:sz w:val="14"/>
              </w:rPr>
              <w:t>0.8</w:t>
            </w:r>
          </w:p>
        </w:tc>
        <w:tc>
          <w:tcPr>
            <w:tcW w:w="1095" w:type="dxa"/>
            <w:shd w:val="clear" w:color="auto" w:fill="D4E3F5"/>
          </w:tcPr>
          <w:p>
            <w:pPr>
              <w:pStyle w:val="TableParagraph"/>
              <w:ind w:left="25" w:right="55"/>
              <w:rPr>
                <w:sz w:val="14"/>
              </w:rPr>
            </w:pPr>
            <w:r>
              <w:rPr>
                <w:color w:val="231F20"/>
                <w:spacing w:val="-5"/>
                <w:w w:val="95"/>
                <w:sz w:val="14"/>
              </w:rPr>
              <w:t>1.0</w:t>
            </w:r>
          </w:p>
        </w:tc>
      </w:tr>
      <w:tr>
        <w:trPr>
          <w:trHeight w:val="259" w:hRule="atLeast"/>
        </w:trPr>
        <w:tc>
          <w:tcPr>
            <w:tcW w:w="1380" w:type="dxa"/>
          </w:tcPr>
          <w:p>
            <w:pPr>
              <w:pStyle w:val="TableParagraph"/>
              <w:ind w:left="80"/>
              <w:jc w:val="left"/>
              <w:rPr>
                <w:sz w:val="14"/>
              </w:rPr>
            </w:pPr>
            <w:r>
              <w:rPr>
                <w:color w:val="231F20"/>
                <w:spacing w:val="-2"/>
                <w:w w:val="85"/>
                <w:sz w:val="14"/>
              </w:rPr>
              <w:t>Cameroon</w:t>
            </w:r>
          </w:p>
        </w:tc>
        <w:tc>
          <w:tcPr>
            <w:tcW w:w="1087" w:type="dxa"/>
          </w:tcPr>
          <w:p>
            <w:pPr>
              <w:pStyle w:val="TableParagraph"/>
              <w:ind w:left="93" w:right="67"/>
              <w:rPr>
                <w:sz w:val="14"/>
              </w:rPr>
            </w:pPr>
            <w:r>
              <w:rPr>
                <w:color w:val="231F20"/>
                <w:spacing w:val="-5"/>
                <w:w w:val="95"/>
                <w:sz w:val="14"/>
              </w:rPr>
              <w:t>16</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2"/>
              <w:jc w:val="right"/>
              <w:rPr>
                <w:sz w:val="14"/>
              </w:rPr>
            </w:pPr>
            <w:r>
              <w:rPr>
                <w:color w:val="231F20"/>
                <w:spacing w:val="-5"/>
                <w:w w:val="95"/>
                <w:sz w:val="14"/>
              </w:rPr>
              <w:t>26</w:t>
            </w:r>
          </w:p>
        </w:tc>
        <w:tc>
          <w:tcPr>
            <w:tcW w:w="1245" w:type="dxa"/>
          </w:tcPr>
          <w:p>
            <w:pPr>
              <w:pStyle w:val="TableParagraph"/>
              <w:ind w:left="65" w:right="2"/>
              <w:rPr>
                <w:sz w:val="14"/>
              </w:rPr>
            </w:pPr>
            <w:r>
              <w:rPr>
                <w:color w:val="231F20"/>
                <w:spacing w:val="-5"/>
                <w:w w:val="95"/>
                <w:sz w:val="14"/>
              </w:rPr>
              <w:t>1.6</w:t>
            </w:r>
          </w:p>
        </w:tc>
        <w:tc>
          <w:tcPr>
            <w:tcW w:w="1195" w:type="dxa"/>
          </w:tcPr>
          <w:p>
            <w:pPr>
              <w:pStyle w:val="TableParagraph"/>
              <w:ind w:left="25" w:right="155"/>
              <w:rPr>
                <w:sz w:val="14"/>
              </w:rPr>
            </w:pPr>
            <w:r>
              <w:rPr>
                <w:color w:val="231F20"/>
                <w:spacing w:val="-5"/>
                <w:w w:val="95"/>
                <w:sz w:val="14"/>
              </w:rPr>
              <w:t>1.6</w:t>
            </w:r>
          </w:p>
        </w:tc>
        <w:tc>
          <w:tcPr>
            <w:tcW w:w="1022" w:type="dxa"/>
          </w:tcPr>
          <w:p>
            <w:pPr>
              <w:pStyle w:val="TableParagraph"/>
              <w:ind w:left="18" w:right="127"/>
              <w:rPr>
                <w:sz w:val="14"/>
              </w:rPr>
            </w:pPr>
            <w:r>
              <w:rPr>
                <w:color w:val="231F20"/>
                <w:spacing w:val="-5"/>
                <w:w w:val="95"/>
                <w:sz w:val="14"/>
              </w:rPr>
              <w:t>0.8</w:t>
            </w:r>
          </w:p>
        </w:tc>
        <w:tc>
          <w:tcPr>
            <w:tcW w:w="1149" w:type="dxa"/>
          </w:tcPr>
          <w:p>
            <w:pPr>
              <w:pStyle w:val="TableParagraph"/>
              <w:ind w:left="19" w:right="48"/>
              <w:rPr>
                <w:sz w:val="14"/>
              </w:rPr>
            </w:pPr>
            <w:r>
              <w:rPr>
                <w:color w:val="231F20"/>
                <w:spacing w:val="-5"/>
                <w:w w:val="95"/>
                <w:sz w:val="14"/>
              </w:rPr>
              <w:t>1.5</w:t>
            </w:r>
          </w:p>
        </w:tc>
        <w:tc>
          <w:tcPr>
            <w:tcW w:w="1095" w:type="dxa"/>
          </w:tcPr>
          <w:p>
            <w:pPr>
              <w:pStyle w:val="TableParagraph"/>
              <w:ind w:left="25" w:right="55"/>
              <w:rPr>
                <w:sz w:val="14"/>
              </w:rPr>
            </w:pPr>
            <w:r>
              <w:rPr>
                <w:color w:val="231F20"/>
                <w:spacing w:val="-5"/>
                <w:w w:val="95"/>
                <w:sz w:val="14"/>
              </w:rPr>
              <w:t>1.6</w:t>
            </w:r>
          </w:p>
        </w:tc>
      </w:tr>
      <w:tr>
        <w:trPr>
          <w:trHeight w:val="259" w:hRule="atLeast"/>
        </w:trPr>
        <w:tc>
          <w:tcPr>
            <w:tcW w:w="1380" w:type="dxa"/>
            <w:shd w:val="clear" w:color="auto" w:fill="D4E3F5"/>
          </w:tcPr>
          <w:p>
            <w:pPr>
              <w:pStyle w:val="TableParagraph"/>
              <w:ind w:left="80"/>
              <w:jc w:val="left"/>
              <w:rPr>
                <w:sz w:val="14"/>
              </w:rPr>
            </w:pPr>
            <w:r>
              <w:rPr>
                <w:color w:val="231F20"/>
                <w:spacing w:val="-2"/>
                <w:w w:val="85"/>
                <w:sz w:val="14"/>
              </w:rPr>
              <w:t>Canada</w:t>
            </w:r>
          </w:p>
        </w:tc>
        <w:tc>
          <w:tcPr>
            <w:tcW w:w="1087" w:type="dxa"/>
            <w:shd w:val="clear" w:color="auto" w:fill="D4E3F5"/>
          </w:tcPr>
          <w:p>
            <w:pPr>
              <w:pStyle w:val="TableParagraph"/>
              <w:ind w:left="93" w:right="67"/>
              <w:rPr>
                <w:sz w:val="14"/>
              </w:rPr>
            </w:pPr>
            <w:r>
              <w:rPr>
                <w:color w:val="231F20"/>
                <w:spacing w:val="-5"/>
                <w:w w:val="95"/>
                <w:sz w:val="14"/>
              </w:rPr>
              <w:t>48</w:t>
            </w:r>
          </w:p>
        </w:tc>
        <w:tc>
          <w:tcPr>
            <w:tcW w:w="1087" w:type="dxa"/>
            <w:shd w:val="clear" w:color="auto" w:fill="D4E3F5"/>
          </w:tcPr>
          <w:p>
            <w:pPr>
              <w:pStyle w:val="TableParagraph"/>
              <w:ind w:left="93" w:right="60"/>
              <w:rPr>
                <w:sz w:val="14"/>
              </w:rPr>
            </w:pPr>
            <w:r>
              <w:rPr>
                <w:color w:val="231F20"/>
                <w:spacing w:val="-10"/>
                <w:w w:val="95"/>
                <w:sz w:val="14"/>
              </w:rPr>
              <w:t>3</w:t>
            </w:r>
          </w:p>
        </w:tc>
        <w:tc>
          <w:tcPr>
            <w:tcW w:w="1062" w:type="dxa"/>
            <w:shd w:val="clear" w:color="auto" w:fill="D4E3F5"/>
          </w:tcPr>
          <w:p>
            <w:pPr>
              <w:pStyle w:val="TableParagraph"/>
              <w:ind w:right="408"/>
              <w:jc w:val="right"/>
              <w:rPr>
                <w:sz w:val="14"/>
              </w:rPr>
            </w:pPr>
            <w:r>
              <w:rPr>
                <w:color w:val="231F20"/>
                <w:spacing w:val="-5"/>
                <w:w w:val="95"/>
                <w:sz w:val="14"/>
              </w:rPr>
              <w:t>41</w:t>
            </w:r>
          </w:p>
        </w:tc>
        <w:tc>
          <w:tcPr>
            <w:tcW w:w="1245" w:type="dxa"/>
            <w:shd w:val="clear" w:color="auto" w:fill="D4E3F5"/>
          </w:tcPr>
          <w:p>
            <w:pPr>
              <w:pStyle w:val="TableParagraph"/>
              <w:ind w:left="65" w:right="8"/>
              <w:rPr>
                <w:sz w:val="14"/>
              </w:rPr>
            </w:pPr>
            <w:r>
              <w:rPr>
                <w:color w:val="231F20"/>
                <w:spacing w:val="-5"/>
                <w:w w:val="95"/>
                <w:sz w:val="14"/>
              </w:rPr>
              <w:t>2.0</w:t>
            </w:r>
          </w:p>
        </w:tc>
        <w:tc>
          <w:tcPr>
            <w:tcW w:w="1195" w:type="dxa"/>
            <w:shd w:val="clear" w:color="auto" w:fill="D4E3F5"/>
          </w:tcPr>
          <w:p>
            <w:pPr>
              <w:pStyle w:val="TableParagraph"/>
              <w:ind w:left="14" w:right="155"/>
              <w:rPr>
                <w:sz w:val="14"/>
              </w:rPr>
            </w:pPr>
            <w:r>
              <w:rPr>
                <w:color w:val="231F20"/>
                <w:spacing w:val="-5"/>
                <w:w w:val="95"/>
                <w:sz w:val="14"/>
              </w:rPr>
              <w:t>2.7</w:t>
            </w:r>
          </w:p>
        </w:tc>
        <w:tc>
          <w:tcPr>
            <w:tcW w:w="1022" w:type="dxa"/>
            <w:shd w:val="clear" w:color="auto" w:fill="D4E3F5"/>
          </w:tcPr>
          <w:p>
            <w:pPr>
              <w:pStyle w:val="TableParagraph"/>
              <w:ind w:left="18" w:right="127"/>
              <w:rPr>
                <w:sz w:val="14"/>
              </w:rPr>
            </w:pPr>
            <w:r>
              <w:rPr>
                <w:color w:val="231F20"/>
                <w:spacing w:val="-5"/>
                <w:w w:val="95"/>
                <w:sz w:val="14"/>
              </w:rPr>
              <w:t>2.6</w:t>
            </w:r>
          </w:p>
        </w:tc>
        <w:tc>
          <w:tcPr>
            <w:tcW w:w="1149" w:type="dxa"/>
            <w:shd w:val="clear" w:color="auto" w:fill="D4E3F5"/>
          </w:tcPr>
          <w:p>
            <w:pPr>
              <w:pStyle w:val="TableParagraph"/>
              <w:ind w:left="12" w:right="48"/>
              <w:rPr>
                <w:sz w:val="14"/>
              </w:rPr>
            </w:pPr>
            <w:r>
              <w:rPr>
                <w:color w:val="231F20"/>
                <w:spacing w:val="-5"/>
                <w:w w:val="95"/>
                <w:sz w:val="14"/>
              </w:rPr>
              <w:t>2.5</w:t>
            </w:r>
          </w:p>
        </w:tc>
        <w:tc>
          <w:tcPr>
            <w:tcW w:w="1095" w:type="dxa"/>
            <w:shd w:val="clear" w:color="auto" w:fill="D4E3F5"/>
          </w:tcPr>
          <w:p>
            <w:pPr>
              <w:pStyle w:val="TableParagraph"/>
              <w:ind w:left="19" w:right="55"/>
              <w:rPr>
                <w:sz w:val="14"/>
              </w:rPr>
            </w:pPr>
            <w:r>
              <w:rPr>
                <w:color w:val="231F20"/>
                <w:spacing w:val="-5"/>
                <w:w w:val="95"/>
                <w:sz w:val="14"/>
              </w:rPr>
              <w:t>3.2</w:t>
            </w:r>
          </w:p>
        </w:tc>
      </w:tr>
      <w:tr>
        <w:trPr>
          <w:trHeight w:val="259" w:hRule="atLeast"/>
        </w:trPr>
        <w:tc>
          <w:tcPr>
            <w:tcW w:w="1380" w:type="dxa"/>
          </w:tcPr>
          <w:p>
            <w:pPr>
              <w:pStyle w:val="TableParagraph"/>
              <w:ind w:left="80"/>
              <w:jc w:val="left"/>
              <w:rPr>
                <w:sz w:val="14"/>
              </w:rPr>
            </w:pPr>
            <w:r>
              <w:rPr>
                <w:color w:val="231F20"/>
                <w:spacing w:val="-2"/>
                <w:w w:val="90"/>
                <w:sz w:val="14"/>
              </w:rPr>
              <w:t>Chile</w:t>
            </w:r>
          </w:p>
        </w:tc>
        <w:tc>
          <w:tcPr>
            <w:tcW w:w="1087" w:type="dxa"/>
          </w:tcPr>
          <w:p>
            <w:pPr>
              <w:pStyle w:val="TableParagraph"/>
              <w:ind w:left="93" w:right="67"/>
              <w:rPr>
                <w:sz w:val="14"/>
              </w:rPr>
            </w:pPr>
            <w:r>
              <w:rPr>
                <w:color w:val="231F20"/>
                <w:spacing w:val="-5"/>
                <w:w w:val="95"/>
                <w:sz w:val="14"/>
              </w:rPr>
              <w:t>18</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10"/>
              <w:jc w:val="right"/>
              <w:rPr>
                <w:sz w:val="14"/>
              </w:rPr>
            </w:pPr>
            <w:r>
              <w:rPr>
                <w:color w:val="231F20"/>
                <w:spacing w:val="-5"/>
                <w:w w:val="95"/>
                <w:sz w:val="14"/>
              </w:rPr>
              <w:t>18</w:t>
            </w:r>
          </w:p>
        </w:tc>
        <w:tc>
          <w:tcPr>
            <w:tcW w:w="1245" w:type="dxa"/>
          </w:tcPr>
          <w:p>
            <w:pPr>
              <w:pStyle w:val="TableParagraph"/>
              <w:ind w:left="65" w:right="1"/>
              <w:rPr>
                <w:sz w:val="14"/>
              </w:rPr>
            </w:pPr>
            <w:r>
              <w:rPr>
                <w:color w:val="231F20"/>
                <w:spacing w:val="-5"/>
                <w:w w:val="95"/>
                <w:sz w:val="14"/>
              </w:rPr>
              <w:t>1.3</w:t>
            </w:r>
          </w:p>
        </w:tc>
        <w:tc>
          <w:tcPr>
            <w:tcW w:w="1195" w:type="dxa"/>
          </w:tcPr>
          <w:p>
            <w:pPr>
              <w:pStyle w:val="TableParagraph"/>
              <w:ind w:left="26" w:right="155"/>
              <w:rPr>
                <w:sz w:val="14"/>
              </w:rPr>
            </w:pPr>
            <w:r>
              <w:rPr>
                <w:color w:val="231F20"/>
                <w:spacing w:val="-5"/>
                <w:w w:val="95"/>
                <w:sz w:val="14"/>
              </w:rPr>
              <w:t>1.5</w:t>
            </w:r>
          </w:p>
        </w:tc>
        <w:tc>
          <w:tcPr>
            <w:tcW w:w="1022" w:type="dxa"/>
          </w:tcPr>
          <w:p>
            <w:pPr>
              <w:pStyle w:val="TableParagraph"/>
              <w:ind w:left="24" w:right="127"/>
              <w:rPr>
                <w:sz w:val="14"/>
              </w:rPr>
            </w:pPr>
            <w:r>
              <w:rPr>
                <w:color w:val="231F20"/>
                <w:spacing w:val="-5"/>
                <w:w w:val="95"/>
                <w:sz w:val="14"/>
              </w:rPr>
              <w:t>1.0</w:t>
            </w:r>
          </w:p>
        </w:tc>
        <w:tc>
          <w:tcPr>
            <w:tcW w:w="1149" w:type="dxa"/>
          </w:tcPr>
          <w:p>
            <w:pPr>
              <w:pStyle w:val="TableParagraph"/>
              <w:ind w:left="19" w:right="48"/>
              <w:rPr>
                <w:sz w:val="14"/>
              </w:rPr>
            </w:pPr>
            <w:r>
              <w:rPr>
                <w:color w:val="231F20"/>
                <w:spacing w:val="-5"/>
                <w:w w:val="95"/>
                <w:sz w:val="14"/>
              </w:rPr>
              <w:t>1.5</w:t>
            </w:r>
          </w:p>
        </w:tc>
        <w:tc>
          <w:tcPr>
            <w:tcW w:w="1095" w:type="dxa"/>
          </w:tcPr>
          <w:p>
            <w:pPr>
              <w:pStyle w:val="TableParagraph"/>
              <w:ind w:left="25" w:right="55"/>
              <w:rPr>
                <w:sz w:val="14"/>
              </w:rPr>
            </w:pPr>
            <w:r>
              <w:rPr>
                <w:color w:val="231F20"/>
                <w:spacing w:val="-5"/>
                <w:w w:val="95"/>
                <w:sz w:val="14"/>
              </w:rPr>
              <w:t>1.9</w:t>
            </w:r>
          </w:p>
        </w:tc>
      </w:tr>
      <w:tr>
        <w:trPr>
          <w:trHeight w:val="259" w:hRule="atLeast"/>
        </w:trPr>
        <w:tc>
          <w:tcPr>
            <w:tcW w:w="1380" w:type="dxa"/>
            <w:shd w:val="clear" w:color="auto" w:fill="D4E3F5"/>
          </w:tcPr>
          <w:p>
            <w:pPr>
              <w:pStyle w:val="TableParagraph"/>
              <w:ind w:left="80"/>
              <w:jc w:val="left"/>
              <w:rPr>
                <w:sz w:val="14"/>
              </w:rPr>
            </w:pPr>
            <w:r>
              <w:rPr>
                <w:color w:val="231F20"/>
                <w:spacing w:val="-2"/>
                <w:w w:val="85"/>
                <w:sz w:val="14"/>
              </w:rPr>
              <w:t>China</w:t>
            </w:r>
          </w:p>
        </w:tc>
        <w:tc>
          <w:tcPr>
            <w:tcW w:w="1087" w:type="dxa"/>
            <w:shd w:val="clear" w:color="auto" w:fill="D4E3F5"/>
          </w:tcPr>
          <w:p>
            <w:pPr>
              <w:pStyle w:val="TableParagraph"/>
              <w:ind w:left="93" w:right="139"/>
              <w:rPr>
                <w:sz w:val="14"/>
              </w:rPr>
            </w:pPr>
            <w:r>
              <w:rPr>
                <w:color w:val="231F20"/>
                <w:spacing w:val="-5"/>
                <w:w w:val="95"/>
                <w:sz w:val="14"/>
              </w:rPr>
              <w:t>590</w:t>
            </w:r>
          </w:p>
        </w:tc>
        <w:tc>
          <w:tcPr>
            <w:tcW w:w="1087" w:type="dxa"/>
            <w:shd w:val="clear" w:color="auto" w:fill="D4E3F5"/>
          </w:tcPr>
          <w:p>
            <w:pPr>
              <w:pStyle w:val="TableParagraph"/>
              <w:ind w:left="93" w:right="60"/>
              <w:rPr>
                <w:sz w:val="14"/>
              </w:rPr>
            </w:pPr>
            <w:r>
              <w:rPr>
                <w:color w:val="231F20"/>
                <w:spacing w:val="-10"/>
                <w:w w:val="95"/>
                <w:sz w:val="14"/>
              </w:rPr>
              <w:t>4</w:t>
            </w:r>
          </w:p>
        </w:tc>
        <w:tc>
          <w:tcPr>
            <w:tcW w:w="1062" w:type="dxa"/>
            <w:shd w:val="clear" w:color="auto" w:fill="D4E3F5"/>
          </w:tcPr>
          <w:p>
            <w:pPr>
              <w:pStyle w:val="TableParagraph"/>
              <w:ind w:right="402"/>
              <w:jc w:val="right"/>
              <w:rPr>
                <w:sz w:val="14"/>
              </w:rPr>
            </w:pPr>
            <w:r>
              <w:rPr>
                <w:color w:val="231F20"/>
                <w:spacing w:val="-5"/>
                <w:w w:val="95"/>
                <w:sz w:val="14"/>
              </w:rPr>
              <w:t>92</w:t>
            </w:r>
          </w:p>
        </w:tc>
        <w:tc>
          <w:tcPr>
            <w:tcW w:w="1245" w:type="dxa"/>
            <w:shd w:val="clear" w:color="auto" w:fill="D4E3F5"/>
          </w:tcPr>
          <w:p>
            <w:pPr>
              <w:pStyle w:val="TableParagraph"/>
              <w:ind w:left="65" w:right="8"/>
              <w:rPr>
                <w:sz w:val="14"/>
              </w:rPr>
            </w:pPr>
            <w:r>
              <w:rPr>
                <w:color w:val="231F20"/>
                <w:spacing w:val="-5"/>
                <w:w w:val="95"/>
                <w:sz w:val="14"/>
              </w:rPr>
              <w:t>0.8</w:t>
            </w:r>
          </w:p>
        </w:tc>
        <w:tc>
          <w:tcPr>
            <w:tcW w:w="1195" w:type="dxa"/>
            <w:shd w:val="clear" w:color="auto" w:fill="D4E3F5"/>
          </w:tcPr>
          <w:p>
            <w:pPr>
              <w:pStyle w:val="TableParagraph"/>
              <w:ind w:left="7" w:right="155"/>
              <w:rPr>
                <w:sz w:val="14"/>
              </w:rPr>
            </w:pPr>
            <w:r>
              <w:rPr>
                <w:color w:val="231F20"/>
                <w:spacing w:val="-5"/>
                <w:w w:val="95"/>
                <w:sz w:val="14"/>
              </w:rPr>
              <w:t>1.1</w:t>
            </w:r>
          </w:p>
        </w:tc>
        <w:tc>
          <w:tcPr>
            <w:tcW w:w="1022" w:type="dxa"/>
            <w:shd w:val="clear" w:color="auto" w:fill="D4E3F5"/>
          </w:tcPr>
          <w:p>
            <w:pPr>
              <w:pStyle w:val="TableParagraph"/>
              <w:ind w:left="18" w:right="127"/>
              <w:rPr>
                <w:sz w:val="14"/>
              </w:rPr>
            </w:pPr>
            <w:r>
              <w:rPr>
                <w:color w:val="231F20"/>
                <w:spacing w:val="-5"/>
                <w:w w:val="95"/>
                <w:sz w:val="14"/>
              </w:rPr>
              <w:t>0.5</w:t>
            </w:r>
          </w:p>
        </w:tc>
        <w:tc>
          <w:tcPr>
            <w:tcW w:w="1149" w:type="dxa"/>
            <w:shd w:val="clear" w:color="auto" w:fill="D4E3F5"/>
          </w:tcPr>
          <w:p>
            <w:pPr>
              <w:pStyle w:val="TableParagraph"/>
              <w:ind w:left="18" w:right="48"/>
              <w:rPr>
                <w:sz w:val="14"/>
              </w:rPr>
            </w:pPr>
            <w:r>
              <w:rPr>
                <w:color w:val="231F20"/>
                <w:spacing w:val="-5"/>
                <w:w w:val="95"/>
                <w:sz w:val="14"/>
              </w:rPr>
              <w:t>1.0</w:t>
            </w:r>
          </w:p>
        </w:tc>
        <w:tc>
          <w:tcPr>
            <w:tcW w:w="1095" w:type="dxa"/>
            <w:shd w:val="clear" w:color="auto" w:fill="D4E3F5"/>
          </w:tcPr>
          <w:p>
            <w:pPr>
              <w:pStyle w:val="TableParagraph"/>
              <w:ind w:left="24" w:right="55"/>
              <w:rPr>
                <w:sz w:val="14"/>
              </w:rPr>
            </w:pPr>
            <w:r>
              <w:rPr>
                <w:color w:val="231F20"/>
                <w:spacing w:val="-5"/>
                <w:w w:val="95"/>
                <w:sz w:val="14"/>
              </w:rPr>
              <w:t>1.4</w:t>
            </w:r>
          </w:p>
        </w:tc>
      </w:tr>
      <w:tr>
        <w:trPr>
          <w:trHeight w:val="259" w:hRule="atLeast"/>
        </w:trPr>
        <w:tc>
          <w:tcPr>
            <w:tcW w:w="1380" w:type="dxa"/>
          </w:tcPr>
          <w:p>
            <w:pPr>
              <w:pStyle w:val="TableParagraph"/>
              <w:ind w:left="80"/>
              <w:jc w:val="left"/>
              <w:rPr>
                <w:sz w:val="14"/>
              </w:rPr>
            </w:pPr>
            <w:r>
              <w:rPr>
                <w:color w:val="231F20"/>
                <w:spacing w:val="-2"/>
                <w:w w:val="90"/>
                <w:sz w:val="14"/>
              </w:rPr>
              <w:t>Colombia</w:t>
            </w:r>
          </w:p>
        </w:tc>
        <w:tc>
          <w:tcPr>
            <w:tcW w:w="1087" w:type="dxa"/>
          </w:tcPr>
          <w:p>
            <w:pPr>
              <w:pStyle w:val="TableParagraph"/>
              <w:ind w:left="93" w:right="67"/>
              <w:rPr>
                <w:sz w:val="14"/>
              </w:rPr>
            </w:pPr>
            <w:r>
              <w:rPr>
                <w:color w:val="231F20"/>
                <w:spacing w:val="-5"/>
                <w:w w:val="95"/>
                <w:sz w:val="14"/>
              </w:rPr>
              <w:t>52</w:t>
            </w:r>
          </w:p>
        </w:tc>
        <w:tc>
          <w:tcPr>
            <w:tcW w:w="1087" w:type="dxa"/>
          </w:tcPr>
          <w:p>
            <w:pPr>
              <w:pStyle w:val="TableParagraph"/>
              <w:ind w:left="93" w:right="60"/>
              <w:rPr>
                <w:sz w:val="14"/>
              </w:rPr>
            </w:pPr>
            <w:r>
              <w:rPr>
                <w:color w:val="231F20"/>
                <w:spacing w:val="-10"/>
                <w:w w:val="95"/>
                <w:sz w:val="14"/>
              </w:rPr>
              <w:t>1</w:t>
            </w:r>
          </w:p>
        </w:tc>
        <w:tc>
          <w:tcPr>
            <w:tcW w:w="1062" w:type="dxa"/>
          </w:tcPr>
          <w:p>
            <w:pPr>
              <w:pStyle w:val="TableParagraph"/>
              <w:ind w:right="401"/>
              <w:jc w:val="right"/>
              <w:rPr>
                <w:sz w:val="14"/>
              </w:rPr>
            </w:pPr>
            <w:r>
              <w:rPr>
                <w:color w:val="231F20"/>
                <w:spacing w:val="-5"/>
                <w:w w:val="95"/>
                <w:sz w:val="14"/>
              </w:rPr>
              <w:t>55</w:t>
            </w:r>
          </w:p>
        </w:tc>
        <w:tc>
          <w:tcPr>
            <w:tcW w:w="1245" w:type="dxa"/>
          </w:tcPr>
          <w:p>
            <w:pPr>
              <w:pStyle w:val="TableParagraph"/>
              <w:ind w:left="65" w:right="8"/>
              <w:rPr>
                <w:sz w:val="14"/>
              </w:rPr>
            </w:pPr>
            <w:r>
              <w:rPr>
                <w:color w:val="231F20"/>
                <w:spacing w:val="-5"/>
                <w:w w:val="95"/>
                <w:sz w:val="14"/>
              </w:rPr>
              <w:t>0.6</w:t>
            </w:r>
          </w:p>
        </w:tc>
        <w:tc>
          <w:tcPr>
            <w:tcW w:w="1195" w:type="dxa"/>
          </w:tcPr>
          <w:p>
            <w:pPr>
              <w:pStyle w:val="TableParagraph"/>
              <w:ind w:left="14" w:right="155"/>
              <w:rPr>
                <w:sz w:val="14"/>
              </w:rPr>
            </w:pPr>
            <w:r>
              <w:rPr>
                <w:color w:val="231F20"/>
                <w:spacing w:val="-5"/>
                <w:w w:val="95"/>
                <w:sz w:val="14"/>
              </w:rPr>
              <w:t>0.7</w:t>
            </w:r>
          </w:p>
        </w:tc>
        <w:tc>
          <w:tcPr>
            <w:tcW w:w="1022" w:type="dxa"/>
          </w:tcPr>
          <w:p>
            <w:pPr>
              <w:pStyle w:val="TableParagraph"/>
              <w:ind w:left="16" w:right="127"/>
              <w:rPr>
                <w:sz w:val="14"/>
              </w:rPr>
            </w:pPr>
            <w:r>
              <w:rPr>
                <w:color w:val="231F20"/>
                <w:spacing w:val="-5"/>
                <w:w w:val="95"/>
                <w:sz w:val="14"/>
              </w:rPr>
              <w:t>0.4</w:t>
            </w:r>
          </w:p>
        </w:tc>
        <w:tc>
          <w:tcPr>
            <w:tcW w:w="1149" w:type="dxa"/>
          </w:tcPr>
          <w:p>
            <w:pPr>
              <w:pStyle w:val="TableParagraph"/>
              <w:ind w:left="12" w:right="48"/>
              <w:rPr>
                <w:sz w:val="14"/>
              </w:rPr>
            </w:pPr>
            <w:r>
              <w:rPr>
                <w:color w:val="231F20"/>
                <w:spacing w:val="-5"/>
                <w:w w:val="95"/>
                <w:sz w:val="14"/>
              </w:rPr>
              <w:t>0.8</w:t>
            </w:r>
          </w:p>
        </w:tc>
        <w:tc>
          <w:tcPr>
            <w:tcW w:w="1095" w:type="dxa"/>
          </w:tcPr>
          <w:p>
            <w:pPr>
              <w:pStyle w:val="TableParagraph"/>
              <w:ind w:left="19" w:right="55"/>
              <w:rPr>
                <w:sz w:val="14"/>
              </w:rPr>
            </w:pPr>
            <w:r>
              <w:rPr>
                <w:color w:val="231F20"/>
                <w:spacing w:val="-5"/>
                <w:w w:val="95"/>
                <w:sz w:val="14"/>
              </w:rPr>
              <w:t>0.8</w:t>
            </w:r>
          </w:p>
        </w:tc>
      </w:tr>
      <w:tr>
        <w:trPr>
          <w:trHeight w:val="259" w:hRule="atLeast"/>
        </w:trPr>
        <w:tc>
          <w:tcPr>
            <w:tcW w:w="1380" w:type="dxa"/>
            <w:shd w:val="clear" w:color="auto" w:fill="D4E3F5"/>
          </w:tcPr>
          <w:p>
            <w:pPr>
              <w:pStyle w:val="TableParagraph"/>
              <w:ind w:left="80"/>
              <w:jc w:val="left"/>
              <w:rPr>
                <w:sz w:val="14"/>
              </w:rPr>
            </w:pPr>
            <w:r>
              <w:rPr>
                <w:color w:val="231F20"/>
                <w:w w:val="75"/>
                <w:sz w:val="14"/>
              </w:rPr>
              <w:t>Congo,</w:t>
            </w:r>
            <w:r>
              <w:rPr>
                <w:color w:val="231F20"/>
                <w:spacing w:val="9"/>
                <w:sz w:val="14"/>
              </w:rPr>
              <w:t> </w:t>
            </w:r>
            <w:r>
              <w:rPr>
                <w:color w:val="231F20"/>
                <w:w w:val="75"/>
                <w:sz w:val="14"/>
              </w:rPr>
              <w:t>Dem.</w:t>
            </w:r>
            <w:r>
              <w:rPr>
                <w:color w:val="231F20"/>
                <w:spacing w:val="10"/>
                <w:sz w:val="14"/>
              </w:rPr>
              <w:t> </w:t>
            </w:r>
            <w:r>
              <w:rPr>
                <w:color w:val="231F20"/>
                <w:spacing w:val="-4"/>
                <w:w w:val="75"/>
                <w:sz w:val="14"/>
              </w:rPr>
              <w:t>Rep.</w:t>
            </w:r>
          </w:p>
        </w:tc>
        <w:tc>
          <w:tcPr>
            <w:tcW w:w="1087" w:type="dxa"/>
            <w:shd w:val="clear" w:color="auto" w:fill="D4E3F5"/>
          </w:tcPr>
          <w:p>
            <w:pPr>
              <w:pStyle w:val="TableParagraph"/>
              <w:ind w:left="139" w:right="46"/>
              <w:rPr>
                <w:sz w:val="14"/>
              </w:rPr>
            </w:pPr>
            <w:r>
              <w:rPr>
                <w:color w:val="231F20"/>
                <w:spacing w:val="-10"/>
                <w:w w:val="95"/>
                <w:sz w:val="14"/>
              </w:rPr>
              <w:t>6</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7"/>
              <w:jc w:val="right"/>
              <w:rPr>
                <w:sz w:val="14"/>
              </w:rPr>
            </w:pPr>
            <w:r>
              <w:rPr>
                <w:color w:val="231F20"/>
                <w:spacing w:val="-10"/>
                <w:w w:val="95"/>
                <w:sz w:val="14"/>
              </w:rPr>
              <w:t>7</w:t>
            </w:r>
          </w:p>
        </w:tc>
        <w:tc>
          <w:tcPr>
            <w:tcW w:w="1245" w:type="dxa"/>
            <w:shd w:val="clear" w:color="auto" w:fill="D4E3F5"/>
          </w:tcPr>
          <w:p>
            <w:pPr>
              <w:pStyle w:val="TableParagraph"/>
              <w:ind w:left="65" w:right="1"/>
              <w:rPr>
                <w:sz w:val="14"/>
              </w:rPr>
            </w:pPr>
            <w:r>
              <w:rPr>
                <w:color w:val="231F20"/>
                <w:spacing w:val="-5"/>
                <w:w w:val="95"/>
                <w:sz w:val="14"/>
              </w:rPr>
              <w:t>1.8</w:t>
            </w:r>
          </w:p>
        </w:tc>
        <w:tc>
          <w:tcPr>
            <w:tcW w:w="1195" w:type="dxa"/>
            <w:shd w:val="clear" w:color="auto" w:fill="D4E3F5"/>
          </w:tcPr>
          <w:p>
            <w:pPr>
              <w:pStyle w:val="TableParagraph"/>
              <w:ind w:left="26" w:right="155"/>
              <w:rPr>
                <w:sz w:val="14"/>
              </w:rPr>
            </w:pPr>
            <w:r>
              <w:rPr>
                <w:color w:val="231F20"/>
                <w:spacing w:val="-5"/>
                <w:w w:val="95"/>
                <w:sz w:val="14"/>
              </w:rPr>
              <w:t>1.8</w:t>
            </w:r>
          </w:p>
        </w:tc>
        <w:tc>
          <w:tcPr>
            <w:tcW w:w="1022" w:type="dxa"/>
            <w:shd w:val="clear" w:color="auto" w:fill="D4E3F5"/>
          </w:tcPr>
          <w:p>
            <w:pPr>
              <w:pStyle w:val="TableParagraph"/>
              <w:ind w:left="23" w:right="127"/>
              <w:rPr>
                <w:sz w:val="14"/>
              </w:rPr>
            </w:pPr>
            <w:r>
              <w:rPr>
                <w:color w:val="231F20"/>
                <w:spacing w:val="-5"/>
                <w:w w:val="95"/>
                <w:sz w:val="14"/>
              </w:rPr>
              <w:t>1.4</w:t>
            </w:r>
          </w:p>
        </w:tc>
        <w:tc>
          <w:tcPr>
            <w:tcW w:w="1149" w:type="dxa"/>
            <w:shd w:val="clear" w:color="auto" w:fill="D4E3F5"/>
          </w:tcPr>
          <w:p>
            <w:pPr>
              <w:pStyle w:val="TableParagraph"/>
              <w:ind w:left="18" w:right="48"/>
              <w:rPr>
                <w:sz w:val="14"/>
              </w:rPr>
            </w:pPr>
            <w:r>
              <w:rPr>
                <w:color w:val="231F20"/>
                <w:spacing w:val="-5"/>
                <w:w w:val="95"/>
                <w:sz w:val="14"/>
              </w:rPr>
              <w:t>1.0</w:t>
            </w:r>
          </w:p>
        </w:tc>
        <w:tc>
          <w:tcPr>
            <w:tcW w:w="1095" w:type="dxa"/>
            <w:shd w:val="clear" w:color="auto" w:fill="D4E3F5"/>
          </w:tcPr>
          <w:p>
            <w:pPr>
              <w:pStyle w:val="TableParagraph"/>
              <w:ind w:left="22" w:right="55"/>
              <w:rPr>
                <w:sz w:val="14"/>
              </w:rPr>
            </w:pPr>
            <w:r>
              <w:rPr>
                <w:color w:val="231F20"/>
                <w:spacing w:val="-5"/>
                <w:w w:val="95"/>
                <w:sz w:val="14"/>
              </w:rPr>
              <w:t>1.7</w:t>
            </w:r>
          </w:p>
        </w:tc>
      </w:tr>
      <w:tr>
        <w:trPr>
          <w:trHeight w:val="259" w:hRule="atLeast"/>
        </w:trPr>
        <w:tc>
          <w:tcPr>
            <w:tcW w:w="1380" w:type="dxa"/>
          </w:tcPr>
          <w:p>
            <w:pPr>
              <w:pStyle w:val="TableParagraph"/>
              <w:ind w:left="80"/>
              <w:jc w:val="left"/>
              <w:rPr>
                <w:sz w:val="14"/>
              </w:rPr>
            </w:pPr>
            <w:r>
              <w:rPr>
                <w:color w:val="231F20"/>
                <w:w w:val="75"/>
                <w:sz w:val="14"/>
              </w:rPr>
              <w:t>Congo,</w:t>
            </w:r>
            <w:r>
              <w:rPr>
                <w:color w:val="231F20"/>
                <w:spacing w:val="10"/>
                <w:sz w:val="14"/>
              </w:rPr>
              <w:t> </w:t>
            </w:r>
            <w:r>
              <w:rPr>
                <w:color w:val="231F20"/>
                <w:spacing w:val="-4"/>
                <w:w w:val="90"/>
                <w:sz w:val="14"/>
              </w:rPr>
              <w:t>Rep.</w:t>
            </w:r>
          </w:p>
        </w:tc>
        <w:tc>
          <w:tcPr>
            <w:tcW w:w="1087" w:type="dxa"/>
          </w:tcPr>
          <w:p>
            <w:pPr>
              <w:pStyle w:val="TableParagraph"/>
              <w:ind w:left="93" w:right="67"/>
              <w:rPr>
                <w:sz w:val="14"/>
              </w:rPr>
            </w:pPr>
            <w:r>
              <w:rPr>
                <w:color w:val="231F20"/>
                <w:spacing w:val="-5"/>
                <w:w w:val="95"/>
                <w:sz w:val="14"/>
              </w:rPr>
              <w:t>15</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2"/>
              <w:jc w:val="right"/>
              <w:rPr>
                <w:sz w:val="14"/>
              </w:rPr>
            </w:pPr>
            <w:r>
              <w:rPr>
                <w:color w:val="231F20"/>
                <w:spacing w:val="-5"/>
                <w:w w:val="95"/>
                <w:sz w:val="14"/>
              </w:rPr>
              <w:t>23</w:t>
            </w:r>
          </w:p>
        </w:tc>
        <w:tc>
          <w:tcPr>
            <w:tcW w:w="1245" w:type="dxa"/>
          </w:tcPr>
          <w:p>
            <w:pPr>
              <w:pStyle w:val="TableParagraph"/>
              <w:ind w:left="65" w:right="1"/>
              <w:rPr>
                <w:sz w:val="14"/>
              </w:rPr>
            </w:pPr>
            <w:r>
              <w:rPr>
                <w:color w:val="231F20"/>
                <w:spacing w:val="-5"/>
                <w:w w:val="95"/>
                <w:sz w:val="14"/>
              </w:rPr>
              <w:t>1.8</w:t>
            </w:r>
          </w:p>
        </w:tc>
        <w:tc>
          <w:tcPr>
            <w:tcW w:w="1195" w:type="dxa"/>
          </w:tcPr>
          <w:p>
            <w:pPr>
              <w:pStyle w:val="TableParagraph"/>
              <w:ind w:left="17" w:right="155"/>
              <w:rPr>
                <w:sz w:val="14"/>
              </w:rPr>
            </w:pPr>
            <w:r>
              <w:rPr>
                <w:color w:val="231F20"/>
                <w:spacing w:val="-5"/>
                <w:w w:val="95"/>
                <w:sz w:val="14"/>
              </w:rPr>
              <w:t>2.4</w:t>
            </w:r>
          </w:p>
        </w:tc>
        <w:tc>
          <w:tcPr>
            <w:tcW w:w="1022" w:type="dxa"/>
          </w:tcPr>
          <w:p>
            <w:pPr>
              <w:pStyle w:val="TableParagraph"/>
              <w:ind w:left="26" w:right="127"/>
              <w:rPr>
                <w:sz w:val="14"/>
              </w:rPr>
            </w:pPr>
            <w:r>
              <w:rPr>
                <w:color w:val="231F20"/>
                <w:spacing w:val="-5"/>
                <w:w w:val="95"/>
                <w:sz w:val="14"/>
              </w:rPr>
              <w:t>1.2</w:t>
            </w:r>
          </w:p>
        </w:tc>
        <w:tc>
          <w:tcPr>
            <w:tcW w:w="1149" w:type="dxa"/>
          </w:tcPr>
          <w:p>
            <w:pPr>
              <w:pStyle w:val="TableParagraph"/>
              <w:ind w:left="18" w:right="48"/>
              <w:rPr>
                <w:sz w:val="14"/>
              </w:rPr>
            </w:pPr>
            <w:r>
              <w:rPr>
                <w:color w:val="231F20"/>
                <w:spacing w:val="-5"/>
                <w:w w:val="95"/>
                <w:sz w:val="14"/>
              </w:rPr>
              <w:t>1.9</w:t>
            </w:r>
          </w:p>
        </w:tc>
        <w:tc>
          <w:tcPr>
            <w:tcW w:w="1095" w:type="dxa"/>
          </w:tcPr>
          <w:p>
            <w:pPr>
              <w:pStyle w:val="TableParagraph"/>
              <w:ind w:left="1" w:right="55"/>
              <w:rPr>
                <w:sz w:val="14"/>
              </w:rPr>
            </w:pPr>
            <w:r>
              <w:rPr>
                <w:color w:val="231F20"/>
                <w:spacing w:val="-5"/>
                <w:w w:val="95"/>
                <w:sz w:val="14"/>
              </w:rPr>
              <w:t>2.1</w:t>
            </w:r>
          </w:p>
        </w:tc>
      </w:tr>
      <w:tr>
        <w:trPr>
          <w:trHeight w:val="259" w:hRule="atLeast"/>
        </w:trPr>
        <w:tc>
          <w:tcPr>
            <w:tcW w:w="1380" w:type="dxa"/>
            <w:shd w:val="clear" w:color="auto" w:fill="D4E3F5"/>
          </w:tcPr>
          <w:p>
            <w:pPr>
              <w:pStyle w:val="TableParagraph"/>
              <w:ind w:left="80"/>
              <w:jc w:val="left"/>
              <w:rPr>
                <w:sz w:val="14"/>
              </w:rPr>
            </w:pPr>
            <w:r>
              <w:rPr>
                <w:color w:val="231F20"/>
                <w:w w:val="75"/>
                <w:sz w:val="14"/>
              </w:rPr>
              <w:t>Costa</w:t>
            </w:r>
            <w:r>
              <w:rPr>
                <w:color w:val="231F20"/>
                <w:spacing w:val="9"/>
                <w:sz w:val="14"/>
              </w:rPr>
              <w:t> </w:t>
            </w:r>
            <w:r>
              <w:rPr>
                <w:color w:val="231F20"/>
                <w:spacing w:val="-4"/>
                <w:w w:val="85"/>
                <w:sz w:val="14"/>
              </w:rPr>
              <w:t>Rica</w:t>
            </w:r>
          </w:p>
        </w:tc>
        <w:tc>
          <w:tcPr>
            <w:tcW w:w="1087" w:type="dxa"/>
            <w:shd w:val="clear" w:color="auto" w:fill="D4E3F5"/>
          </w:tcPr>
          <w:p>
            <w:pPr>
              <w:pStyle w:val="TableParagraph"/>
              <w:ind w:left="93" w:right="67"/>
              <w:rPr>
                <w:sz w:val="14"/>
              </w:rPr>
            </w:pPr>
            <w:r>
              <w:rPr>
                <w:color w:val="231F20"/>
                <w:spacing w:val="-5"/>
                <w:w w:val="95"/>
                <w:sz w:val="14"/>
              </w:rPr>
              <w:t>27</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4"/>
              <w:jc w:val="right"/>
              <w:rPr>
                <w:sz w:val="14"/>
              </w:rPr>
            </w:pPr>
            <w:r>
              <w:rPr>
                <w:color w:val="231F20"/>
                <w:spacing w:val="-5"/>
                <w:w w:val="95"/>
                <w:sz w:val="14"/>
              </w:rPr>
              <w:t>31</w:t>
            </w:r>
          </w:p>
        </w:tc>
        <w:tc>
          <w:tcPr>
            <w:tcW w:w="1245" w:type="dxa"/>
            <w:shd w:val="clear" w:color="auto" w:fill="D4E3F5"/>
          </w:tcPr>
          <w:p>
            <w:pPr>
              <w:pStyle w:val="TableParagraph"/>
              <w:ind w:left="65" w:right="8"/>
              <w:rPr>
                <w:sz w:val="14"/>
              </w:rPr>
            </w:pPr>
            <w:r>
              <w:rPr>
                <w:color w:val="231F20"/>
                <w:spacing w:val="-5"/>
                <w:w w:val="95"/>
                <w:sz w:val="14"/>
              </w:rPr>
              <w:t>0.6</w:t>
            </w:r>
          </w:p>
        </w:tc>
        <w:tc>
          <w:tcPr>
            <w:tcW w:w="1195" w:type="dxa"/>
            <w:shd w:val="clear" w:color="auto" w:fill="D4E3F5"/>
          </w:tcPr>
          <w:p>
            <w:pPr>
              <w:pStyle w:val="TableParagraph"/>
              <w:ind w:left="14" w:right="155"/>
              <w:rPr>
                <w:sz w:val="14"/>
              </w:rPr>
            </w:pPr>
            <w:r>
              <w:rPr>
                <w:color w:val="231F20"/>
                <w:spacing w:val="-5"/>
                <w:w w:val="95"/>
                <w:sz w:val="14"/>
              </w:rPr>
              <w:t>0.7</w:t>
            </w:r>
          </w:p>
        </w:tc>
        <w:tc>
          <w:tcPr>
            <w:tcW w:w="1022" w:type="dxa"/>
            <w:shd w:val="clear" w:color="auto" w:fill="D4E3F5"/>
          </w:tcPr>
          <w:p>
            <w:pPr>
              <w:pStyle w:val="TableParagraph"/>
              <w:ind w:left="18" w:right="127"/>
              <w:rPr>
                <w:sz w:val="14"/>
              </w:rPr>
            </w:pPr>
            <w:r>
              <w:rPr>
                <w:color w:val="231F20"/>
                <w:spacing w:val="-5"/>
                <w:w w:val="95"/>
                <w:sz w:val="14"/>
              </w:rPr>
              <w:t>0.3</w:t>
            </w:r>
          </w:p>
        </w:tc>
        <w:tc>
          <w:tcPr>
            <w:tcW w:w="1149" w:type="dxa"/>
            <w:shd w:val="clear" w:color="auto" w:fill="D4E3F5"/>
          </w:tcPr>
          <w:p>
            <w:pPr>
              <w:pStyle w:val="TableParagraph"/>
              <w:ind w:left="12" w:right="48"/>
              <w:rPr>
                <w:sz w:val="14"/>
              </w:rPr>
            </w:pPr>
            <w:r>
              <w:rPr>
                <w:color w:val="231F20"/>
                <w:spacing w:val="-5"/>
                <w:w w:val="95"/>
                <w:sz w:val="14"/>
              </w:rPr>
              <w:t>0.6</w:t>
            </w:r>
          </w:p>
        </w:tc>
        <w:tc>
          <w:tcPr>
            <w:tcW w:w="1095" w:type="dxa"/>
            <w:shd w:val="clear" w:color="auto" w:fill="D4E3F5"/>
          </w:tcPr>
          <w:p>
            <w:pPr>
              <w:pStyle w:val="TableParagraph"/>
              <w:ind w:left="14" w:right="55"/>
              <w:rPr>
                <w:sz w:val="14"/>
              </w:rPr>
            </w:pPr>
            <w:r>
              <w:rPr>
                <w:color w:val="231F20"/>
                <w:spacing w:val="-5"/>
                <w:w w:val="95"/>
                <w:sz w:val="14"/>
              </w:rPr>
              <w:t>0.7</w:t>
            </w:r>
          </w:p>
        </w:tc>
      </w:tr>
      <w:tr>
        <w:trPr>
          <w:trHeight w:val="259" w:hRule="atLeast"/>
        </w:trPr>
        <w:tc>
          <w:tcPr>
            <w:tcW w:w="1380" w:type="dxa"/>
          </w:tcPr>
          <w:p>
            <w:pPr>
              <w:pStyle w:val="TableParagraph"/>
              <w:ind w:left="80"/>
              <w:jc w:val="left"/>
              <w:rPr>
                <w:sz w:val="14"/>
              </w:rPr>
            </w:pPr>
            <w:r>
              <w:rPr>
                <w:color w:val="231F20"/>
                <w:spacing w:val="-2"/>
                <w:w w:val="90"/>
                <w:sz w:val="14"/>
              </w:rPr>
              <w:t>Croatia</w:t>
            </w:r>
          </w:p>
        </w:tc>
        <w:tc>
          <w:tcPr>
            <w:tcW w:w="1087" w:type="dxa"/>
          </w:tcPr>
          <w:p>
            <w:pPr>
              <w:pStyle w:val="TableParagraph"/>
              <w:ind w:left="139" w:right="46"/>
              <w:rPr>
                <w:sz w:val="14"/>
              </w:rPr>
            </w:pPr>
            <w:r>
              <w:rPr>
                <w:color w:val="231F20"/>
                <w:spacing w:val="-10"/>
                <w:w w:val="95"/>
                <w:sz w:val="14"/>
              </w:rPr>
              <w:t>7</w:t>
            </w:r>
          </w:p>
        </w:tc>
        <w:tc>
          <w:tcPr>
            <w:tcW w:w="1087" w:type="dxa"/>
          </w:tcPr>
          <w:p>
            <w:pPr>
              <w:pStyle w:val="TableParagraph"/>
              <w:ind w:left="93" w:right="60"/>
              <w:rPr>
                <w:sz w:val="14"/>
              </w:rPr>
            </w:pPr>
            <w:r>
              <w:rPr>
                <w:color w:val="231F20"/>
                <w:spacing w:val="-10"/>
                <w:w w:val="95"/>
                <w:sz w:val="14"/>
              </w:rPr>
              <w:t>2</w:t>
            </w:r>
          </w:p>
        </w:tc>
        <w:tc>
          <w:tcPr>
            <w:tcW w:w="1062" w:type="dxa"/>
          </w:tcPr>
          <w:p>
            <w:pPr>
              <w:pStyle w:val="TableParagraph"/>
              <w:ind w:right="410"/>
              <w:jc w:val="right"/>
              <w:rPr>
                <w:sz w:val="14"/>
              </w:rPr>
            </w:pPr>
            <w:r>
              <w:rPr>
                <w:color w:val="231F20"/>
                <w:spacing w:val="-5"/>
                <w:w w:val="95"/>
                <w:sz w:val="14"/>
              </w:rPr>
              <w:t>15</w:t>
            </w:r>
          </w:p>
        </w:tc>
        <w:tc>
          <w:tcPr>
            <w:tcW w:w="1245" w:type="dxa"/>
          </w:tcPr>
          <w:p>
            <w:pPr>
              <w:pStyle w:val="TableParagraph"/>
              <w:ind w:left="65" w:right="8"/>
              <w:rPr>
                <w:sz w:val="14"/>
              </w:rPr>
            </w:pPr>
            <w:r>
              <w:rPr>
                <w:color w:val="231F20"/>
                <w:spacing w:val="-5"/>
                <w:w w:val="95"/>
                <w:sz w:val="14"/>
              </w:rPr>
              <w:t>0.8</w:t>
            </w:r>
          </w:p>
        </w:tc>
        <w:tc>
          <w:tcPr>
            <w:tcW w:w="1195" w:type="dxa"/>
          </w:tcPr>
          <w:p>
            <w:pPr>
              <w:pStyle w:val="TableParagraph"/>
              <w:ind w:left="7" w:right="155"/>
              <w:rPr>
                <w:sz w:val="14"/>
              </w:rPr>
            </w:pPr>
            <w:r>
              <w:rPr>
                <w:color w:val="231F20"/>
                <w:spacing w:val="-5"/>
                <w:w w:val="95"/>
                <w:sz w:val="14"/>
              </w:rPr>
              <w:t>1.1</w:t>
            </w:r>
          </w:p>
        </w:tc>
        <w:tc>
          <w:tcPr>
            <w:tcW w:w="1022" w:type="dxa"/>
          </w:tcPr>
          <w:p>
            <w:pPr>
              <w:pStyle w:val="TableParagraph"/>
              <w:ind w:left="18" w:right="127"/>
              <w:rPr>
                <w:sz w:val="14"/>
              </w:rPr>
            </w:pPr>
            <w:r>
              <w:rPr>
                <w:color w:val="231F20"/>
                <w:spacing w:val="-5"/>
                <w:w w:val="95"/>
                <w:sz w:val="14"/>
              </w:rPr>
              <w:t>0.9</w:t>
            </w:r>
          </w:p>
        </w:tc>
        <w:tc>
          <w:tcPr>
            <w:tcW w:w="1149" w:type="dxa"/>
          </w:tcPr>
          <w:p>
            <w:pPr>
              <w:pStyle w:val="TableParagraph"/>
              <w:ind w:left="15" w:right="48"/>
              <w:rPr>
                <w:sz w:val="14"/>
              </w:rPr>
            </w:pPr>
            <w:r>
              <w:rPr>
                <w:color w:val="231F20"/>
                <w:spacing w:val="-5"/>
                <w:w w:val="95"/>
                <w:sz w:val="14"/>
              </w:rPr>
              <w:t>1.7</w:t>
            </w:r>
          </w:p>
        </w:tc>
        <w:tc>
          <w:tcPr>
            <w:tcW w:w="1095" w:type="dxa"/>
          </w:tcPr>
          <w:p>
            <w:pPr>
              <w:pStyle w:val="TableParagraph"/>
              <w:ind w:left="25" w:right="55"/>
              <w:rPr>
                <w:sz w:val="14"/>
              </w:rPr>
            </w:pPr>
            <w:r>
              <w:rPr>
                <w:color w:val="231F20"/>
                <w:spacing w:val="-5"/>
                <w:w w:val="95"/>
                <w:sz w:val="14"/>
              </w:rPr>
              <w:t>1.6</w:t>
            </w:r>
          </w:p>
        </w:tc>
      </w:tr>
      <w:tr>
        <w:trPr>
          <w:trHeight w:val="259" w:hRule="atLeast"/>
        </w:trPr>
        <w:tc>
          <w:tcPr>
            <w:tcW w:w="1380" w:type="dxa"/>
            <w:shd w:val="clear" w:color="auto" w:fill="D4E3F5"/>
          </w:tcPr>
          <w:p>
            <w:pPr>
              <w:pStyle w:val="TableParagraph"/>
              <w:ind w:left="80"/>
              <w:jc w:val="left"/>
              <w:rPr>
                <w:sz w:val="14"/>
              </w:rPr>
            </w:pPr>
            <w:r>
              <w:rPr>
                <w:color w:val="231F20"/>
                <w:spacing w:val="-4"/>
                <w:w w:val="85"/>
                <w:sz w:val="14"/>
              </w:rPr>
              <w:t>Cuba</w:t>
            </w:r>
          </w:p>
        </w:tc>
        <w:tc>
          <w:tcPr>
            <w:tcW w:w="1087" w:type="dxa"/>
            <w:shd w:val="clear" w:color="auto" w:fill="D4E3F5"/>
          </w:tcPr>
          <w:p>
            <w:pPr>
              <w:pStyle w:val="TableParagraph"/>
              <w:ind w:left="139" w:right="46"/>
              <w:rPr>
                <w:sz w:val="14"/>
              </w:rPr>
            </w:pPr>
            <w:r>
              <w:rPr>
                <w:color w:val="231F20"/>
                <w:spacing w:val="-10"/>
                <w:w w:val="95"/>
                <w:sz w:val="14"/>
              </w:rPr>
              <w:t>7</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10"/>
              <w:jc w:val="right"/>
              <w:rPr>
                <w:sz w:val="14"/>
              </w:rPr>
            </w:pPr>
            <w:r>
              <w:rPr>
                <w:color w:val="231F20"/>
                <w:spacing w:val="-5"/>
                <w:w w:val="95"/>
                <w:sz w:val="14"/>
              </w:rPr>
              <w:t>15</w:t>
            </w:r>
          </w:p>
        </w:tc>
        <w:tc>
          <w:tcPr>
            <w:tcW w:w="1245" w:type="dxa"/>
            <w:shd w:val="clear" w:color="auto" w:fill="D4E3F5"/>
          </w:tcPr>
          <w:p>
            <w:pPr>
              <w:pStyle w:val="TableParagraph"/>
              <w:ind w:left="65" w:right="2"/>
              <w:rPr>
                <w:sz w:val="14"/>
              </w:rPr>
            </w:pPr>
            <w:r>
              <w:rPr>
                <w:color w:val="231F20"/>
                <w:spacing w:val="-5"/>
                <w:w w:val="95"/>
                <w:sz w:val="14"/>
              </w:rPr>
              <w:t>1.0</w:t>
            </w:r>
          </w:p>
        </w:tc>
        <w:tc>
          <w:tcPr>
            <w:tcW w:w="1195" w:type="dxa"/>
            <w:shd w:val="clear" w:color="auto" w:fill="D4E3F5"/>
          </w:tcPr>
          <w:p>
            <w:pPr>
              <w:pStyle w:val="TableParagraph"/>
              <w:ind w:left="24" w:right="155"/>
              <w:rPr>
                <w:sz w:val="14"/>
              </w:rPr>
            </w:pPr>
            <w:r>
              <w:rPr>
                <w:color w:val="231F20"/>
                <w:spacing w:val="-5"/>
                <w:w w:val="95"/>
                <w:sz w:val="14"/>
              </w:rPr>
              <w:t>1.4</w:t>
            </w:r>
          </w:p>
        </w:tc>
        <w:tc>
          <w:tcPr>
            <w:tcW w:w="1022" w:type="dxa"/>
            <w:shd w:val="clear" w:color="auto" w:fill="D4E3F5"/>
          </w:tcPr>
          <w:p>
            <w:pPr>
              <w:pStyle w:val="TableParagraph"/>
              <w:ind w:left="26" w:right="127"/>
              <w:rPr>
                <w:sz w:val="14"/>
              </w:rPr>
            </w:pPr>
            <w:r>
              <w:rPr>
                <w:color w:val="231F20"/>
                <w:spacing w:val="-5"/>
                <w:w w:val="95"/>
                <w:sz w:val="14"/>
              </w:rPr>
              <w:t>1.2</w:t>
            </w:r>
          </w:p>
        </w:tc>
        <w:tc>
          <w:tcPr>
            <w:tcW w:w="1149" w:type="dxa"/>
            <w:shd w:val="clear" w:color="auto" w:fill="D4E3F5"/>
          </w:tcPr>
          <w:p>
            <w:pPr>
              <w:pStyle w:val="TableParagraph"/>
              <w:ind w:left="20" w:right="48"/>
              <w:rPr>
                <w:sz w:val="14"/>
              </w:rPr>
            </w:pPr>
            <w:r>
              <w:rPr>
                <w:color w:val="231F20"/>
                <w:spacing w:val="-5"/>
                <w:w w:val="95"/>
                <w:sz w:val="14"/>
              </w:rPr>
              <w:t>1.2</w:t>
            </w:r>
          </w:p>
        </w:tc>
        <w:tc>
          <w:tcPr>
            <w:tcW w:w="1095" w:type="dxa"/>
            <w:shd w:val="clear" w:color="auto" w:fill="D4E3F5"/>
          </w:tcPr>
          <w:p>
            <w:pPr>
              <w:pStyle w:val="TableParagraph"/>
              <w:ind w:left="26" w:right="55"/>
              <w:rPr>
                <w:sz w:val="14"/>
              </w:rPr>
            </w:pPr>
            <w:r>
              <w:rPr>
                <w:color w:val="231F20"/>
                <w:spacing w:val="-5"/>
                <w:w w:val="95"/>
                <w:sz w:val="14"/>
              </w:rPr>
              <w:t>1.5</w:t>
            </w:r>
          </w:p>
        </w:tc>
      </w:tr>
      <w:tr>
        <w:trPr>
          <w:trHeight w:val="259" w:hRule="atLeast"/>
        </w:trPr>
        <w:tc>
          <w:tcPr>
            <w:tcW w:w="1380" w:type="dxa"/>
          </w:tcPr>
          <w:p>
            <w:pPr>
              <w:pStyle w:val="TableParagraph"/>
              <w:ind w:left="80"/>
              <w:jc w:val="left"/>
              <w:rPr>
                <w:sz w:val="14"/>
              </w:rPr>
            </w:pPr>
            <w:r>
              <w:rPr>
                <w:color w:val="231F20"/>
                <w:spacing w:val="-2"/>
                <w:w w:val="85"/>
                <w:sz w:val="14"/>
              </w:rPr>
              <w:t>Cyprus</w:t>
            </w:r>
          </w:p>
        </w:tc>
        <w:tc>
          <w:tcPr>
            <w:tcW w:w="1087" w:type="dxa"/>
          </w:tcPr>
          <w:p>
            <w:pPr>
              <w:pStyle w:val="TableParagraph"/>
              <w:ind w:left="93" w:right="67"/>
              <w:rPr>
                <w:sz w:val="14"/>
              </w:rPr>
            </w:pPr>
            <w:r>
              <w:rPr>
                <w:color w:val="231F20"/>
                <w:spacing w:val="-5"/>
                <w:w w:val="95"/>
                <w:sz w:val="14"/>
              </w:rPr>
              <w:t>12</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11"/>
              <w:jc w:val="right"/>
              <w:rPr>
                <w:sz w:val="14"/>
              </w:rPr>
            </w:pPr>
            <w:r>
              <w:rPr>
                <w:color w:val="231F20"/>
                <w:spacing w:val="-5"/>
                <w:w w:val="95"/>
                <w:sz w:val="14"/>
              </w:rPr>
              <w:t>13</w:t>
            </w:r>
          </w:p>
        </w:tc>
        <w:tc>
          <w:tcPr>
            <w:tcW w:w="1245" w:type="dxa"/>
          </w:tcPr>
          <w:p>
            <w:pPr>
              <w:pStyle w:val="TableParagraph"/>
              <w:ind w:left="65" w:right="8"/>
              <w:rPr>
                <w:sz w:val="14"/>
              </w:rPr>
            </w:pPr>
            <w:r>
              <w:rPr>
                <w:color w:val="231F20"/>
                <w:spacing w:val="-5"/>
                <w:w w:val="95"/>
                <w:sz w:val="14"/>
              </w:rPr>
              <w:t>0.6</w:t>
            </w:r>
          </w:p>
        </w:tc>
        <w:tc>
          <w:tcPr>
            <w:tcW w:w="1195" w:type="dxa"/>
          </w:tcPr>
          <w:p>
            <w:pPr>
              <w:pStyle w:val="TableParagraph"/>
              <w:ind w:left="14" w:right="155"/>
              <w:rPr>
                <w:sz w:val="14"/>
              </w:rPr>
            </w:pPr>
            <w:r>
              <w:rPr>
                <w:color w:val="231F20"/>
                <w:spacing w:val="-5"/>
                <w:w w:val="95"/>
                <w:sz w:val="14"/>
              </w:rPr>
              <w:t>0.7</w:t>
            </w:r>
          </w:p>
        </w:tc>
        <w:tc>
          <w:tcPr>
            <w:tcW w:w="1022" w:type="dxa"/>
          </w:tcPr>
          <w:p>
            <w:pPr>
              <w:pStyle w:val="TableParagraph"/>
              <w:ind w:left="18" w:right="127"/>
              <w:rPr>
                <w:sz w:val="14"/>
              </w:rPr>
            </w:pPr>
            <w:r>
              <w:rPr>
                <w:color w:val="231F20"/>
                <w:spacing w:val="-5"/>
                <w:w w:val="95"/>
                <w:sz w:val="14"/>
              </w:rPr>
              <w:t>0.5</w:t>
            </w:r>
          </w:p>
        </w:tc>
        <w:tc>
          <w:tcPr>
            <w:tcW w:w="1149" w:type="dxa"/>
          </w:tcPr>
          <w:p>
            <w:pPr>
              <w:pStyle w:val="TableParagraph"/>
              <w:ind w:left="7" w:right="48"/>
              <w:rPr>
                <w:sz w:val="14"/>
              </w:rPr>
            </w:pPr>
            <w:r>
              <w:rPr>
                <w:color w:val="231F20"/>
                <w:spacing w:val="-5"/>
                <w:w w:val="95"/>
                <w:sz w:val="14"/>
              </w:rPr>
              <w:t>0.7</w:t>
            </w:r>
          </w:p>
        </w:tc>
        <w:tc>
          <w:tcPr>
            <w:tcW w:w="1095" w:type="dxa"/>
          </w:tcPr>
          <w:p>
            <w:pPr>
              <w:pStyle w:val="TableParagraph"/>
              <w:ind w:left="19" w:right="55"/>
              <w:rPr>
                <w:sz w:val="14"/>
              </w:rPr>
            </w:pPr>
            <w:r>
              <w:rPr>
                <w:color w:val="231F20"/>
                <w:spacing w:val="-5"/>
                <w:w w:val="95"/>
                <w:sz w:val="14"/>
              </w:rPr>
              <w:t>0.8</w:t>
            </w:r>
          </w:p>
        </w:tc>
      </w:tr>
      <w:tr>
        <w:trPr>
          <w:trHeight w:val="259" w:hRule="atLeast"/>
        </w:trPr>
        <w:tc>
          <w:tcPr>
            <w:tcW w:w="1380" w:type="dxa"/>
            <w:shd w:val="clear" w:color="auto" w:fill="D4E3F5"/>
          </w:tcPr>
          <w:p>
            <w:pPr>
              <w:pStyle w:val="TableParagraph"/>
              <w:ind w:left="80"/>
              <w:jc w:val="left"/>
              <w:rPr>
                <w:sz w:val="14"/>
              </w:rPr>
            </w:pPr>
            <w:r>
              <w:rPr>
                <w:color w:val="231F20"/>
                <w:spacing w:val="-2"/>
                <w:w w:val="90"/>
                <w:sz w:val="14"/>
              </w:rPr>
              <w:t>Denmark</w:t>
            </w:r>
          </w:p>
        </w:tc>
        <w:tc>
          <w:tcPr>
            <w:tcW w:w="1087" w:type="dxa"/>
            <w:shd w:val="clear" w:color="auto" w:fill="D4E3F5"/>
          </w:tcPr>
          <w:p>
            <w:pPr>
              <w:pStyle w:val="TableParagraph"/>
              <w:ind w:left="93" w:right="67"/>
              <w:rPr>
                <w:sz w:val="14"/>
              </w:rPr>
            </w:pPr>
            <w:r>
              <w:rPr>
                <w:color w:val="231F20"/>
                <w:spacing w:val="-5"/>
                <w:w w:val="95"/>
                <w:sz w:val="14"/>
              </w:rPr>
              <w:t>17</w:t>
            </w:r>
          </w:p>
        </w:tc>
        <w:tc>
          <w:tcPr>
            <w:tcW w:w="1087" w:type="dxa"/>
            <w:shd w:val="clear" w:color="auto" w:fill="D4E3F5"/>
          </w:tcPr>
          <w:p>
            <w:pPr>
              <w:pStyle w:val="TableParagraph"/>
              <w:ind w:left="93" w:right="60"/>
              <w:rPr>
                <w:sz w:val="14"/>
              </w:rPr>
            </w:pPr>
            <w:r>
              <w:rPr>
                <w:color w:val="231F20"/>
                <w:spacing w:val="-10"/>
                <w:w w:val="95"/>
                <w:sz w:val="14"/>
              </w:rPr>
              <w:t>1</w:t>
            </w:r>
          </w:p>
        </w:tc>
        <w:tc>
          <w:tcPr>
            <w:tcW w:w="1062" w:type="dxa"/>
            <w:shd w:val="clear" w:color="auto" w:fill="D4E3F5"/>
          </w:tcPr>
          <w:p>
            <w:pPr>
              <w:pStyle w:val="TableParagraph"/>
              <w:ind w:right="402"/>
              <w:jc w:val="right"/>
              <w:rPr>
                <w:sz w:val="14"/>
              </w:rPr>
            </w:pPr>
            <w:r>
              <w:rPr>
                <w:color w:val="231F20"/>
                <w:spacing w:val="-5"/>
                <w:w w:val="95"/>
                <w:sz w:val="14"/>
              </w:rPr>
              <w:t>20</w:t>
            </w:r>
          </w:p>
        </w:tc>
        <w:tc>
          <w:tcPr>
            <w:tcW w:w="1245" w:type="dxa"/>
            <w:shd w:val="clear" w:color="auto" w:fill="D4E3F5"/>
          </w:tcPr>
          <w:p>
            <w:pPr>
              <w:pStyle w:val="TableParagraph"/>
              <w:ind w:left="65" w:right="8"/>
              <w:rPr>
                <w:sz w:val="14"/>
              </w:rPr>
            </w:pPr>
            <w:r>
              <w:rPr>
                <w:color w:val="231F20"/>
                <w:spacing w:val="-5"/>
                <w:w w:val="95"/>
                <w:sz w:val="14"/>
              </w:rPr>
              <w:t>0.5</w:t>
            </w:r>
          </w:p>
        </w:tc>
        <w:tc>
          <w:tcPr>
            <w:tcW w:w="1195" w:type="dxa"/>
            <w:shd w:val="clear" w:color="auto" w:fill="D4E3F5"/>
          </w:tcPr>
          <w:p>
            <w:pPr>
              <w:pStyle w:val="TableParagraph"/>
              <w:ind w:left="19" w:right="155"/>
              <w:rPr>
                <w:sz w:val="14"/>
              </w:rPr>
            </w:pPr>
            <w:r>
              <w:rPr>
                <w:color w:val="231F20"/>
                <w:spacing w:val="-5"/>
                <w:w w:val="95"/>
                <w:sz w:val="14"/>
              </w:rPr>
              <w:t>0.8</w:t>
            </w:r>
          </w:p>
        </w:tc>
        <w:tc>
          <w:tcPr>
            <w:tcW w:w="1022" w:type="dxa"/>
            <w:shd w:val="clear" w:color="auto" w:fill="D4E3F5"/>
          </w:tcPr>
          <w:p>
            <w:pPr>
              <w:pStyle w:val="TableParagraph"/>
              <w:ind w:left="18" w:right="127"/>
              <w:rPr>
                <w:sz w:val="14"/>
              </w:rPr>
            </w:pPr>
            <w:r>
              <w:rPr>
                <w:color w:val="231F20"/>
                <w:spacing w:val="-5"/>
                <w:w w:val="95"/>
                <w:sz w:val="14"/>
              </w:rPr>
              <w:t>0.5</w:t>
            </w:r>
          </w:p>
        </w:tc>
        <w:tc>
          <w:tcPr>
            <w:tcW w:w="1149" w:type="dxa"/>
            <w:shd w:val="clear" w:color="auto" w:fill="D4E3F5"/>
          </w:tcPr>
          <w:p>
            <w:pPr>
              <w:pStyle w:val="TableParagraph"/>
              <w:ind w:left="18" w:right="48"/>
              <w:rPr>
                <w:sz w:val="14"/>
              </w:rPr>
            </w:pPr>
            <w:r>
              <w:rPr>
                <w:color w:val="231F20"/>
                <w:spacing w:val="-5"/>
                <w:w w:val="95"/>
                <w:sz w:val="14"/>
              </w:rPr>
              <w:t>1.0</w:t>
            </w:r>
          </w:p>
        </w:tc>
        <w:tc>
          <w:tcPr>
            <w:tcW w:w="1095" w:type="dxa"/>
            <w:shd w:val="clear" w:color="auto" w:fill="D4E3F5"/>
          </w:tcPr>
          <w:p>
            <w:pPr>
              <w:pStyle w:val="TableParagraph"/>
              <w:ind w:left="26" w:right="55"/>
              <w:rPr>
                <w:sz w:val="14"/>
              </w:rPr>
            </w:pPr>
            <w:r>
              <w:rPr>
                <w:color w:val="231F20"/>
                <w:spacing w:val="-5"/>
                <w:w w:val="95"/>
                <w:sz w:val="14"/>
              </w:rPr>
              <w:t>1.3</w:t>
            </w:r>
          </w:p>
        </w:tc>
      </w:tr>
      <w:tr>
        <w:trPr>
          <w:trHeight w:val="259" w:hRule="atLeast"/>
        </w:trPr>
        <w:tc>
          <w:tcPr>
            <w:tcW w:w="1380" w:type="dxa"/>
          </w:tcPr>
          <w:p>
            <w:pPr>
              <w:pStyle w:val="TableParagraph"/>
              <w:ind w:left="80"/>
              <w:jc w:val="left"/>
              <w:rPr>
                <w:sz w:val="14"/>
              </w:rPr>
            </w:pPr>
            <w:r>
              <w:rPr>
                <w:color w:val="231F20"/>
                <w:spacing w:val="-2"/>
                <w:w w:val="90"/>
                <w:sz w:val="14"/>
              </w:rPr>
              <w:t>Djibouti</w:t>
            </w:r>
          </w:p>
        </w:tc>
        <w:tc>
          <w:tcPr>
            <w:tcW w:w="1087" w:type="dxa"/>
          </w:tcPr>
          <w:p>
            <w:pPr>
              <w:pStyle w:val="TableParagraph"/>
              <w:ind w:left="93" w:right="67"/>
              <w:rPr>
                <w:sz w:val="14"/>
              </w:rPr>
            </w:pPr>
            <w:r>
              <w:rPr>
                <w:color w:val="231F20"/>
                <w:spacing w:val="-5"/>
                <w:w w:val="95"/>
                <w:sz w:val="14"/>
              </w:rPr>
              <w:t>13</w:t>
            </w:r>
          </w:p>
        </w:tc>
        <w:tc>
          <w:tcPr>
            <w:tcW w:w="1087" w:type="dxa"/>
          </w:tcPr>
          <w:p>
            <w:pPr>
              <w:pStyle w:val="TableParagraph"/>
              <w:ind w:left="93" w:right="60"/>
              <w:rPr>
                <w:sz w:val="14"/>
              </w:rPr>
            </w:pPr>
            <w:r>
              <w:rPr>
                <w:color w:val="231F20"/>
                <w:spacing w:val="-10"/>
                <w:w w:val="95"/>
                <w:sz w:val="14"/>
              </w:rPr>
              <w:t>1</w:t>
            </w:r>
          </w:p>
        </w:tc>
        <w:tc>
          <w:tcPr>
            <w:tcW w:w="1062" w:type="dxa"/>
          </w:tcPr>
          <w:p>
            <w:pPr>
              <w:pStyle w:val="TableParagraph"/>
              <w:ind w:right="408"/>
              <w:jc w:val="right"/>
              <w:rPr>
                <w:sz w:val="14"/>
              </w:rPr>
            </w:pPr>
            <w:r>
              <w:rPr>
                <w:color w:val="231F20"/>
                <w:spacing w:val="-5"/>
                <w:w w:val="95"/>
                <w:sz w:val="14"/>
              </w:rPr>
              <w:t>24</w:t>
            </w:r>
          </w:p>
        </w:tc>
        <w:tc>
          <w:tcPr>
            <w:tcW w:w="1245" w:type="dxa"/>
          </w:tcPr>
          <w:p>
            <w:pPr>
              <w:pStyle w:val="TableParagraph"/>
              <w:ind w:left="65" w:right="8"/>
              <w:rPr>
                <w:sz w:val="14"/>
              </w:rPr>
            </w:pPr>
            <w:r>
              <w:rPr>
                <w:color w:val="231F20"/>
                <w:spacing w:val="-5"/>
                <w:w w:val="95"/>
                <w:sz w:val="14"/>
              </w:rPr>
              <w:t>0.8</w:t>
            </w:r>
          </w:p>
        </w:tc>
        <w:tc>
          <w:tcPr>
            <w:tcW w:w="1195" w:type="dxa"/>
          </w:tcPr>
          <w:p>
            <w:pPr>
              <w:pStyle w:val="TableParagraph"/>
              <w:ind w:left="19" w:right="155"/>
              <w:rPr>
                <w:sz w:val="14"/>
              </w:rPr>
            </w:pPr>
            <w:r>
              <w:rPr>
                <w:color w:val="231F20"/>
                <w:spacing w:val="-5"/>
                <w:w w:val="95"/>
                <w:sz w:val="14"/>
              </w:rPr>
              <w:t>0.8</w:t>
            </w:r>
          </w:p>
        </w:tc>
        <w:tc>
          <w:tcPr>
            <w:tcW w:w="1022" w:type="dxa"/>
          </w:tcPr>
          <w:p>
            <w:pPr>
              <w:pStyle w:val="TableParagraph"/>
              <w:ind w:left="16" w:right="127"/>
              <w:rPr>
                <w:sz w:val="14"/>
              </w:rPr>
            </w:pPr>
            <w:r>
              <w:rPr>
                <w:color w:val="231F20"/>
                <w:spacing w:val="-5"/>
                <w:w w:val="95"/>
                <w:sz w:val="14"/>
              </w:rPr>
              <w:t>0.4</w:t>
            </w:r>
          </w:p>
        </w:tc>
        <w:tc>
          <w:tcPr>
            <w:tcW w:w="1149" w:type="dxa"/>
          </w:tcPr>
          <w:p>
            <w:pPr>
              <w:pStyle w:val="TableParagraph"/>
              <w:ind w:left="12" w:right="48"/>
              <w:rPr>
                <w:sz w:val="14"/>
              </w:rPr>
            </w:pPr>
            <w:r>
              <w:rPr>
                <w:color w:val="231F20"/>
                <w:spacing w:val="-5"/>
                <w:w w:val="95"/>
                <w:sz w:val="14"/>
              </w:rPr>
              <w:t>0.8</w:t>
            </w:r>
          </w:p>
        </w:tc>
        <w:tc>
          <w:tcPr>
            <w:tcW w:w="1095" w:type="dxa"/>
          </w:tcPr>
          <w:p>
            <w:pPr>
              <w:pStyle w:val="TableParagraph"/>
              <w:ind w:left="19" w:right="55"/>
              <w:rPr>
                <w:sz w:val="14"/>
              </w:rPr>
            </w:pPr>
            <w:r>
              <w:rPr>
                <w:color w:val="231F20"/>
                <w:spacing w:val="-5"/>
                <w:w w:val="95"/>
                <w:sz w:val="14"/>
              </w:rPr>
              <w:t>0.9</w:t>
            </w:r>
          </w:p>
        </w:tc>
      </w:tr>
      <w:tr>
        <w:trPr>
          <w:trHeight w:val="259" w:hRule="atLeast"/>
        </w:trPr>
        <w:tc>
          <w:tcPr>
            <w:tcW w:w="1380" w:type="dxa"/>
            <w:shd w:val="clear" w:color="auto" w:fill="D4E3F5"/>
          </w:tcPr>
          <w:p>
            <w:pPr>
              <w:pStyle w:val="TableParagraph"/>
              <w:ind w:left="80"/>
              <w:jc w:val="left"/>
              <w:rPr>
                <w:sz w:val="14"/>
              </w:rPr>
            </w:pPr>
            <w:r>
              <w:rPr>
                <w:color w:val="231F20"/>
                <w:w w:val="75"/>
                <w:sz w:val="14"/>
              </w:rPr>
              <w:t>Dominican</w:t>
            </w:r>
            <w:r>
              <w:rPr>
                <w:color w:val="231F20"/>
                <w:spacing w:val="25"/>
                <w:sz w:val="14"/>
              </w:rPr>
              <w:t> </w:t>
            </w:r>
            <w:r>
              <w:rPr>
                <w:color w:val="231F20"/>
                <w:spacing w:val="-2"/>
                <w:w w:val="90"/>
                <w:sz w:val="14"/>
              </w:rPr>
              <w:t>Republic</w:t>
            </w:r>
          </w:p>
        </w:tc>
        <w:tc>
          <w:tcPr>
            <w:tcW w:w="1087" w:type="dxa"/>
            <w:shd w:val="clear" w:color="auto" w:fill="D4E3F5"/>
          </w:tcPr>
          <w:p>
            <w:pPr>
              <w:pStyle w:val="TableParagraph"/>
              <w:ind w:left="93" w:right="67"/>
              <w:rPr>
                <w:sz w:val="14"/>
              </w:rPr>
            </w:pPr>
            <w:r>
              <w:rPr>
                <w:color w:val="231F20"/>
                <w:spacing w:val="-5"/>
                <w:w w:val="95"/>
                <w:sz w:val="14"/>
              </w:rPr>
              <w:t>35</w:t>
            </w:r>
          </w:p>
        </w:tc>
        <w:tc>
          <w:tcPr>
            <w:tcW w:w="1087" w:type="dxa"/>
            <w:shd w:val="clear" w:color="auto" w:fill="D4E3F5"/>
          </w:tcPr>
          <w:p>
            <w:pPr>
              <w:pStyle w:val="TableParagraph"/>
              <w:ind w:left="93" w:right="60"/>
              <w:rPr>
                <w:sz w:val="14"/>
              </w:rPr>
            </w:pPr>
            <w:r>
              <w:rPr>
                <w:color w:val="231F20"/>
                <w:spacing w:val="-10"/>
                <w:w w:val="95"/>
                <w:sz w:val="14"/>
              </w:rPr>
              <w:t>1</w:t>
            </w:r>
          </w:p>
        </w:tc>
        <w:tc>
          <w:tcPr>
            <w:tcW w:w="1062" w:type="dxa"/>
            <w:shd w:val="clear" w:color="auto" w:fill="D4E3F5"/>
          </w:tcPr>
          <w:p>
            <w:pPr>
              <w:pStyle w:val="TableParagraph"/>
              <w:ind w:right="407"/>
              <w:jc w:val="right"/>
              <w:rPr>
                <w:sz w:val="14"/>
              </w:rPr>
            </w:pPr>
            <w:r>
              <w:rPr>
                <w:color w:val="231F20"/>
                <w:spacing w:val="-5"/>
                <w:w w:val="95"/>
                <w:sz w:val="14"/>
              </w:rPr>
              <w:t>51</w:t>
            </w:r>
          </w:p>
        </w:tc>
        <w:tc>
          <w:tcPr>
            <w:tcW w:w="1245" w:type="dxa"/>
            <w:shd w:val="clear" w:color="auto" w:fill="D4E3F5"/>
          </w:tcPr>
          <w:p>
            <w:pPr>
              <w:pStyle w:val="TableParagraph"/>
              <w:ind w:left="65" w:right="8"/>
              <w:rPr>
                <w:sz w:val="14"/>
              </w:rPr>
            </w:pPr>
            <w:r>
              <w:rPr>
                <w:color w:val="231F20"/>
                <w:spacing w:val="-5"/>
                <w:w w:val="95"/>
                <w:sz w:val="14"/>
              </w:rPr>
              <w:t>0.9</w:t>
            </w:r>
          </w:p>
        </w:tc>
        <w:tc>
          <w:tcPr>
            <w:tcW w:w="1195" w:type="dxa"/>
            <w:shd w:val="clear" w:color="auto" w:fill="D4E3F5"/>
          </w:tcPr>
          <w:p>
            <w:pPr>
              <w:pStyle w:val="TableParagraph"/>
              <w:ind w:left="7" w:right="155"/>
              <w:rPr>
                <w:sz w:val="14"/>
              </w:rPr>
            </w:pPr>
            <w:r>
              <w:rPr>
                <w:color w:val="231F20"/>
                <w:spacing w:val="-5"/>
                <w:w w:val="95"/>
                <w:sz w:val="14"/>
              </w:rPr>
              <w:t>1.1</w:t>
            </w:r>
          </w:p>
        </w:tc>
        <w:tc>
          <w:tcPr>
            <w:tcW w:w="1022" w:type="dxa"/>
            <w:shd w:val="clear" w:color="auto" w:fill="D4E3F5"/>
          </w:tcPr>
          <w:p>
            <w:pPr>
              <w:pStyle w:val="TableParagraph"/>
              <w:ind w:left="18" w:right="127"/>
              <w:rPr>
                <w:sz w:val="14"/>
              </w:rPr>
            </w:pPr>
            <w:r>
              <w:rPr>
                <w:color w:val="231F20"/>
                <w:spacing w:val="-5"/>
                <w:w w:val="95"/>
                <w:sz w:val="14"/>
              </w:rPr>
              <w:t>0.6</w:t>
            </w:r>
          </w:p>
        </w:tc>
        <w:tc>
          <w:tcPr>
            <w:tcW w:w="1149" w:type="dxa"/>
            <w:shd w:val="clear" w:color="auto" w:fill="D4E3F5"/>
          </w:tcPr>
          <w:p>
            <w:pPr>
              <w:pStyle w:val="TableParagraph"/>
              <w:ind w:left="20" w:right="48"/>
              <w:rPr>
                <w:sz w:val="14"/>
              </w:rPr>
            </w:pPr>
            <w:r>
              <w:rPr>
                <w:color w:val="231F20"/>
                <w:spacing w:val="-5"/>
                <w:w w:val="95"/>
                <w:sz w:val="14"/>
              </w:rPr>
              <w:t>1.2</w:t>
            </w:r>
          </w:p>
        </w:tc>
        <w:tc>
          <w:tcPr>
            <w:tcW w:w="1095" w:type="dxa"/>
            <w:shd w:val="clear" w:color="auto" w:fill="D4E3F5"/>
          </w:tcPr>
          <w:p>
            <w:pPr>
              <w:pStyle w:val="TableParagraph"/>
              <w:ind w:left="24" w:right="55"/>
              <w:rPr>
                <w:sz w:val="14"/>
              </w:rPr>
            </w:pPr>
            <w:r>
              <w:rPr>
                <w:color w:val="231F20"/>
                <w:spacing w:val="-5"/>
                <w:w w:val="95"/>
                <w:sz w:val="14"/>
              </w:rPr>
              <w:t>1.4</w:t>
            </w:r>
          </w:p>
        </w:tc>
      </w:tr>
      <w:tr>
        <w:trPr>
          <w:trHeight w:val="259" w:hRule="atLeast"/>
        </w:trPr>
        <w:tc>
          <w:tcPr>
            <w:tcW w:w="1380" w:type="dxa"/>
          </w:tcPr>
          <w:p>
            <w:pPr>
              <w:pStyle w:val="TableParagraph"/>
              <w:ind w:left="80"/>
              <w:jc w:val="left"/>
              <w:rPr>
                <w:sz w:val="14"/>
              </w:rPr>
            </w:pPr>
            <w:r>
              <w:rPr>
                <w:color w:val="231F20"/>
                <w:w w:val="75"/>
                <w:sz w:val="14"/>
              </w:rPr>
              <w:t>Egypt,</w:t>
            </w:r>
            <w:r>
              <w:rPr>
                <w:color w:val="231F20"/>
                <w:spacing w:val="7"/>
                <w:sz w:val="14"/>
              </w:rPr>
              <w:t> </w:t>
            </w:r>
            <w:r>
              <w:rPr>
                <w:color w:val="231F20"/>
                <w:w w:val="75"/>
                <w:sz w:val="14"/>
              </w:rPr>
              <w:t>Arab</w:t>
            </w:r>
            <w:r>
              <w:rPr>
                <w:color w:val="231F20"/>
                <w:spacing w:val="9"/>
                <w:sz w:val="14"/>
              </w:rPr>
              <w:t> </w:t>
            </w:r>
            <w:r>
              <w:rPr>
                <w:color w:val="231F20"/>
                <w:spacing w:val="-4"/>
                <w:w w:val="75"/>
                <w:sz w:val="14"/>
              </w:rPr>
              <w:t>Rep.</w:t>
            </w:r>
          </w:p>
        </w:tc>
        <w:tc>
          <w:tcPr>
            <w:tcW w:w="1087" w:type="dxa"/>
          </w:tcPr>
          <w:p>
            <w:pPr>
              <w:pStyle w:val="TableParagraph"/>
              <w:ind w:left="93" w:right="67"/>
              <w:rPr>
                <w:sz w:val="14"/>
              </w:rPr>
            </w:pPr>
            <w:r>
              <w:rPr>
                <w:color w:val="231F20"/>
                <w:spacing w:val="-5"/>
                <w:w w:val="95"/>
                <w:sz w:val="14"/>
              </w:rPr>
              <w:t>69</w:t>
            </w:r>
          </w:p>
        </w:tc>
        <w:tc>
          <w:tcPr>
            <w:tcW w:w="1087" w:type="dxa"/>
          </w:tcPr>
          <w:p>
            <w:pPr>
              <w:pStyle w:val="TableParagraph"/>
              <w:ind w:left="93" w:right="60"/>
              <w:rPr>
                <w:sz w:val="14"/>
              </w:rPr>
            </w:pPr>
            <w:r>
              <w:rPr>
                <w:color w:val="231F20"/>
                <w:spacing w:val="-10"/>
                <w:w w:val="95"/>
                <w:sz w:val="14"/>
              </w:rPr>
              <w:t>3</w:t>
            </w:r>
          </w:p>
        </w:tc>
        <w:tc>
          <w:tcPr>
            <w:tcW w:w="1062" w:type="dxa"/>
          </w:tcPr>
          <w:p>
            <w:pPr>
              <w:pStyle w:val="TableParagraph"/>
              <w:ind w:right="400"/>
              <w:jc w:val="right"/>
              <w:rPr>
                <w:sz w:val="14"/>
              </w:rPr>
            </w:pPr>
            <w:r>
              <w:rPr>
                <w:color w:val="231F20"/>
                <w:spacing w:val="-5"/>
                <w:w w:val="95"/>
                <w:sz w:val="14"/>
              </w:rPr>
              <w:t>46</w:t>
            </w:r>
          </w:p>
        </w:tc>
        <w:tc>
          <w:tcPr>
            <w:tcW w:w="1245" w:type="dxa"/>
          </w:tcPr>
          <w:p>
            <w:pPr>
              <w:pStyle w:val="TableParagraph"/>
              <w:ind w:left="65" w:right="20"/>
              <w:rPr>
                <w:sz w:val="14"/>
              </w:rPr>
            </w:pPr>
            <w:r>
              <w:rPr>
                <w:color w:val="231F20"/>
                <w:spacing w:val="-5"/>
                <w:w w:val="95"/>
                <w:sz w:val="14"/>
              </w:rPr>
              <w:t>1.1</w:t>
            </w:r>
          </w:p>
        </w:tc>
        <w:tc>
          <w:tcPr>
            <w:tcW w:w="1195" w:type="dxa"/>
          </w:tcPr>
          <w:p>
            <w:pPr>
              <w:pStyle w:val="TableParagraph"/>
              <w:ind w:left="26" w:right="155"/>
              <w:rPr>
                <w:sz w:val="14"/>
              </w:rPr>
            </w:pPr>
            <w:r>
              <w:rPr>
                <w:color w:val="231F20"/>
                <w:spacing w:val="-5"/>
                <w:w w:val="95"/>
                <w:sz w:val="14"/>
              </w:rPr>
              <w:t>1.3</w:t>
            </w:r>
          </w:p>
        </w:tc>
        <w:tc>
          <w:tcPr>
            <w:tcW w:w="1022" w:type="dxa"/>
          </w:tcPr>
          <w:p>
            <w:pPr>
              <w:pStyle w:val="TableParagraph"/>
              <w:ind w:left="13" w:right="127"/>
              <w:rPr>
                <w:sz w:val="14"/>
              </w:rPr>
            </w:pPr>
            <w:r>
              <w:rPr>
                <w:color w:val="231F20"/>
                <w:spacing w:val="-5"/>
                <w:w w:val="95"/>
                <w:sz w:val="14"/>
              </w:rPr>
              <w:t>0.7</w:t>
            </w:r>
          </w:p>
        </w:tc>
        <w:tc>
          <w:tcPr>
            <w:tcW w:w="1149" w:type="dxa"/>
          </w:tcPr>
          <w:p>
            <w:pPr>
              <w:pStyle w:val="TableParagraph"/>
              <w:ind w:left="20" w:right="48"/>
              <w:rPr>
                <w:sz w:val="14"/>
              </w:rPr>
            </w:pPr>
            <w:r>
              <w:rPr>
                <w:color w:val="231F20"/>
                <w:spacing w:val="-5"/>
                <w:w w:val="95"/>
                <w:sz w:val="14"/>
              </w:rPr>
              <w:t>1.2</w:t>
            </w:r>
          </w:p>
        </w:tc>
        <w:tc>
          <w:tcPr>
            <w:tcW w:w="1095" w:type="dxa"/>
          </w:tcPr>
          <w:p>
            <w:pPr>
              <w:pStyle w:val="TableParagraph"/>
              <w:ind w:left="24" w:right="55"/>
              <w:rPr>
                <w:sz w:val="14"/>
              </w:rPr>
            </w:pPr>
            <w:r>
              <w:rPr>
                <w:color w:val="231F20"/>
                <w:spacing w:val="-5"/>
                <w:w w:val="95"/>
                <w:sz w:val="14"/>
              </w:rPr>
              <w:t>1.4</w:t>
            </w:r>
          </w:p>
        </w:tc>
      </w:tr>
      <w:tr>
        <w:trPr>
          <w:trHeight w:val="259" w:hRule="atLeast"/>
        </w:trPr>
        <w:tc>
          <w:tcPr>
            <w:tcW w:w="1380" w:type="dxa"/>
            <w:shd w:val="clear" w:color="auto" w:fill="D4E3F5"/>
          </w:tcPr>
          <w:p>
            <w:pPr>
              <w:pStyle w:val="TableParagraph"/>
              <w:ind w:left="80"/>
              <w:jc w:val="left"/>
              <w:rPr>
                <w:sz w:val="14"/>
              </w:rPr>
            </w:pPr>
            <w:r>
              <w:rPr>
                <w:color w:val="231F20"/>
                <w:w w:val="70"/>
                <w:sz w:val="14"/>
              </w:rPr>
              <w:t>El</w:t>
            </w:r>
            <w:r>
              <w:rPr>
                <w:color w:val="231F20"/>
                <w:spacing w:val="-6"/>
                <w:sz w:val="14"/>
              </w:rPr>
              <w:t> </w:t>
            </w:r>
            <w:r>
              <w:rPr>
                <w:color w:val="231F20"/>
                <w:spacing w:val="-2"/>
                <w:w w:val="85"/>
                <w:sz w:val="14"/>
              </w:rPr>
              <w:t>Salvador</w:t>
            </w:r>
          </w:p>
        </w:tc>
        <w:tc>
          <w:tcPr>
            <w:tcW w:w="1087" w:type="dxa"/>
            <w:shd w:val="clear" w:color="auto" w:fill="D4E3F5"/>
          </w:tcPr>
          <w:p>
            <w:pPr>
              <w:pStyle w:val="TableParagraph"/>
              <w:ind w:left="139" w:right="46"/>
              <w:rPr>
                <w:sz w:val="14"/>
              </w:rPr>
            </w:pPr>
            <w:r>
              <w:rPr>
                <w:color w:val="231F20"/>
                <w:spacing w:val="-10"/>
                <w:w w:val="95"/>
                <w:sz w:val="14"/>
              </w:rPr>
              <w:t>4</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7"/>
              <w:jc w:val="right"/>
              <w:rPr>
                <w:sz w:val="14"/>
              </w:rPr>
            </w:pPr>
            <w:r>
              <w:rPr>
                <w:color w:val="231F20"/>
                <w:spacing w:val="-10"/>
                <w:w w:val="95"/>
                <w:sz w:val="14"/>
              </w:rPr>
              <w:t>7</w:t>
            </w:r>
          </w:p>
        </w:tc>
        <w:tc>
          <w:tcPr>
            <w:tcW w:w="1245" w:type="dxa"/>
            <w:shd w:val="clear" w:color="auto" w:fill="D4E3F5"/>
          </w:tcPr>
          <w:p>
            <w:pPr>
              <w:pStyle w:val="TableParagraph"/>
              <w:ind w:left="65"/>
              <w:rPr>
                <w:sz w:val="14"/>
              </w:rPr>
            </w:pPr>
            <w:r>
              <w:rPr>
                <w:color w:val="231F20"/>
                <w:spacing w:val="-5"/>
                <w:w w:val="95"/>
                <w:sz w:val="14"/>
              </w:rPr>
              <w:t>1.2</w:t>
            </w:r>
          </w:p>
        </w:tc>
        <w:tc>
          <w:tcPr>
            <w:tcW w:w="1195" w:type="dxa"/>
            <w:shd w:val="clear" w:color="auto" w:fill="D4E3F5"/>
          </w:tcPr>
          <w:p>
            <w:pPr>
              <w:pStyle w:val="TableParagraph"/>
              <w:ind w:left="26" w:right="155"/>
              <w:rPr>
                <w:sz w:val="14"/>
              </w:rPr>
            </w:pPr>
            <w:r>
              <w:rPr>
                <w:color w:val="231F20"/>
                <w:spacing w:val="-5"/>
                <w:w w:val="95"/>
                <w:sz w:val="14"/>
              </w:rPr>
              <w:t>1.3</w:t>
            </w:r>
          </w:p>
        </w:tc>
        <w:tc>
          <w:tcPr>
            <w:tcW w:w="1022" w:type="dxa"/>
            <w:shd w:val="clear" w:color="auto" w:fill="D4E3F5"/>
          </w:tcPr>
          <w:p>
            <w:pPr>
              <w:pStyle w:val="TableParagraph"/>
              <w:ind w:left="16" w:right="127"/>
              <w:rPr>
                <w:sz w:val="14"/>
              </w:rPr>
            </w:pPr>
            <w:r>
              <w:rPr>
                <w:color w:val="231F20"/>
                <w:spacing w:val="-5"/>
                <w:w w:val="95"/>
                <w:sz w:val="14"/>
              </w:rPr>
              <w:t>0.4</w:t>
            </w:r>
          </w:p>
        </w:tc>
        <w:tc>
          <w:tcPr>
            <w:tcW w:w="1149" w:type="dxa"/>
            <w:shd w:val="clear" w:color="auto" w:fill="D4E3F5"/>
          </w:tcPr>
          <w:p>
            <w:pPr>
              <w:pStyle w:val="TableParagraph"/>
              <w:ind w:left="20" w:right="48"/>
              <w:rPr>
                <w:sz w:val="14"/>
              </w:rPr>
            </w:pPr>
            <w:r>
              <w:rPr>
                <w:color w:val="231F20"/>
                <w:spacing w:val="-5"/>
                <w:w w:val="95"/>
                <w:sz w:val="14"/>
              </w:rPr>
              <w:t>1.2</w:t>
            </w:r>
          </w:p>
        </w:tc>
        <w:tc>
          <w:tcPr>
            <w:tcW w:w="1095" w:type="dxa"/>
            <w:shd w:val="clear" w:color="auto" w:fill="D4E3F5"/>
          </w:tcPr>
          <w:p>
            <w:pPr>
              <w:pStyle w:val="TableParagraph"/>
              <w:ind w:left="26" w:right="55"/>
              <w:rPr>
                <w:sz w:val="14"/>
              </w:rPr>
            </w:pPr>
            <w:r>
              <w:rPr>
                <w:color w:val="231F20"/>
                <w:spacing w:val="-5"/>
                <w:w w:val="95"/>
                <w:sz w:val="14"/>
              </w:rPr>
              <w:t>1.3</w:t>
            </w:r>
          </w:p>
        </w:tc>
      </w:tr>
      <w:tr>
        <w:trPr>
          <w:trHeight w:val="259" w:hRule="atLeast"/>
        </w:trPr>
        <w:tc>
          <w:tcPr>
            <w:tcW w:w="1380" w:type="dxa"/>
          </w:tcPr>
          <w:p>
            <w:pPr>
              <w:pStyle w:val="TableParagraph"/>
              <w:ind w:left="80"/>
              <w:jc w:val="left"/>
              <w:rPr>
                <w:sz w:val="14"/>
              </w:rPr>
            </w:pPr>
            <w:r>
              <w:rPr>
                <w:color w:val="231F20"/>
                <w:spacing w:val="-2"/>
                <w:w w:val="85"/>
                <w:sz w:val="14"/>
              </w:rPr>
              <w:t>Estonia</w:t>
            </w:r>
          </w:p>
        </w:tc>
        <w:tc>
          <w:tcPr>
            <w:tcW w:w="1087" w:type="dxa"/>
          </w:tcPr>
          <w:p>
            <w:pPr>
              <w:pStyle w:val="TableParagraph"/>
              <w:ind w:left="139" w:right="46"/>
              <w:rPr>
                <w:sz w:val="14"/>
              </w:rPr>
            </w:pPr>
            <w:r>
              <w:rPr>
                <w:color w:val="231F20"/>
                <w:spacing w:val="-10"/>
                <w:w w:val="95"/>
                <w:sz w:val="14"/>
              </w:rPr>
              <w:t>8</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13"/>
              <w:jc w:val="right"/>
              <w:rPr>
                <w:sz w:val="14"/>
              </w:rPr>
            </w:pPr>
            <w:r>
              <w:rPr>
                <w:color w:val="231F20"/>
                <w:spacing w:val="-5"/>
                <w:w w:val="95"/>
                <w:sz w:val="14"/>
              </w:rPr>
              <w:t>11</w:t>
            </w:r>
          </w:p>
        </w:tc>
        <w:tc>
          <w:tcPr>
            <w:tcW w:w="1245" w:type="dxa"/>
          </w:tcPr>
          <w:p>
            <w:pPr>
              <w:pStyle w:val="TableParagraph"/>
              <w:ind w:left="65" w:right="8"/>
              <w:rPr>
                <w:sz w:val="14"/>
              </w:rPr>
            </w:pPr>
            <w:r>
              <w:rPr>
                <w:color w:val="231F20"/>
                <w:spacing w:val="-5"/>
                <w:w w:val="95"/>
                <w:sz w:val="14"/>
              </w:rPr>
              <w:t>0.8</w:t>
            </w:r>
          </w:p>
        </w:tc>
        <w:tc>
          <w:tcPr>
            <w:tcW w:w="1195" w:type="dxa"/>
          </w:tcPr>
          <w:p>
            <w:pPr>
              <w:pStyle w:val="TableParagraph"/>
              <w:ind w:left="25" w:right="155"/>
              <w:rPr>
                <w:sz w:val="14"/>
              </w:rPr>
            </w:pPr>
            <w:r>
              <w:rPr>
                <w:color w:val="231F20"/>
                <w:spacing w:val="-5"/>
                <w:w w:val="95"/>
                <w:sz w:val="14"/>
              </w:rPr>
              <w:t>1.0</w:t>
            </w:r>
          </w:p>
        </w:tc>
        <w:tc>
          <w:tcPr>
            <w:tcW w:w="1022" w:type="dxa"/>
          </w:tcPr>
          <w:p>
            <w:pPr>
              <w:pStyle w:val="TableParagraph"/>
              <w:ind w:left="18" w:right="127"/>
              <w:rPr>
                <w:sz w:val="14"/>
              </w:rPr>
            </w:pPr>
            <w:r>
              <w:rPr>
                <w:color w:val="231F20"/>
                <w:spacing w:val="-5"/>
                <w:w w:val="95"/>
                <w:sz w:val="14"/>
              </w:rPr>
              <w:t>0.8</w:t>
            </w:r>
          </w:p>
        </w:tc>
        <w:tc>
          <w:tcPr>
            <w:tcW w:w="1149" w:type="dxa"/>
          </w:tcPr>
          <w:p>
            <w:pPr>
              <w:pStyle w:val="TableParagraph"/>
              <w:ind w:right="48"/>
              <w:rPr>
                <w:sz w:val="14"/>
              </w:rPr>
            </w:pPr>
            <w:r>
              <w:rPr>
                <w:color w:val="231F20"/>
                <w:spacing w:val="-5"/>
                <w:w w:val="95"/>
                <w:sz w:val="14"/>
              </w:rPr>
              <w:t>1.1</w:t>
            </w:r>
          </w:p>
        </w:tc>
        <w:tc>
          <w:tcPr>
            <w:tcW w:w="1095" w:type="dxa"/>
          </w:tcPr>
          <w:p>
            <w:pPr>
              <w:pStyle w:val="TableParagraph"/>
              <w:ind w:left="27" w:right="55"/>
              <w:rPr>
                <w:sz w:val="14"/>
              </w:rPr>
            </w:pPr>
            <w:r>
              <w:rPr>
                <w:color w:val="231F20"/>
                <w:spacing w:val="-5"/>
                <w:w w:val="95"/>
                <w:sz w:val="14"/>
              </w:rPr>
              <w:t>1.2</w:t>
            </w:r>
          </w:p>
        </w:tc>
      </w:tr>
      <w:tr>
        <w:trPr>
          <w:trHeight w:val="259" w:hRule="atLeast"/>
        </w:trPr>
        <w:tc>
          <w:tcPr>
            <w:tcW w:w="1380" w:type="dxa"/>
            <w:shd w:val="clear" w:color="auto" w:fill="D4E3F5"/>
          </w:tcPr>
          <w:p>
            <w:pPr>
              <w:pStyle w:val="TableParagraph"/>
              <w:ind w:left="80"/>
              <w:jc w:val="left"/>
              <w:rPr>
                <w:sz w:val="14"/>
              </w:rPr>
            </w:pPr>
            <w:r>
              <w:rPr>
                <w:color w:val="231F20"/>
                <w:spacing w:val="-4"/>
                <w:w w:val="90"/>
                <w:sz w:val="14"/>
              </w:rPr>
              <w:t>Fiji</w:t>
            </w:r>
          </w:p>
        </w:tc>
        <w:tc>
          <w:tcPr>
            <w:tcW w:w="1087" w:type="dxa"/>
            <w:shd w:val="clear" w:color="auto" w:fill="D4E3F5"/>
          </w:tcPr>
          <w:p>
            <w:pPr>
              <w:pStyle w:val="TableParagraph"/>
              <w:ind w:left="93" w:right="67"/>
              <w:rPr>
                <w:sz w:val="14"/>
              </w:rPr>
            </w:pPr>
            <w:r>
              <w:rPr>
                <w:color w:val="231F20"/>
                <w:spacing w:val="-5"/>
                <w:w w:val="95"/>
                <w:sz w:val="14"/>
              </w:rPr>
              <w:t>14</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3"/>
              <w:jc w:val="right"/>
              <w:rPr>
                <w:sz w:val="14"/>
              </w:rPr>
            </w:pPr>
            <w:r>
              <w:rPr>
                <w:color w:val="231F20"/>
                <w:spacing w:val="-5"/>
                <w:w w:val="95"/>
                <w:sz w:val="14"/>
              </w:rPr>
              <w:t>25</w:t>
            </w:r>
          </w:p>
        </w:tc>
        <w:tc>
          <w:tcPr>
            <w:tcW w:w="1245" w:type="dxa"/>
            <w:shd w:val="clear" w:color="auto" w:fill="D4E3F5"/>
          </w:tcPr>
          <w:p>
            <w:pPr>
              <w:pStyle w:val="TableParagraph"/>
              <w:ind w:left="65"/>
              <w:rPr>
                <w:sz w:val="14"/>
              </w:rPr>
            </w:pPr>
            <w:r>
              <w:rPr>
                <w:color w:val="231F20"/>
                <w:spacing w:val="-5"/>
                <w:w w:val="95"/>
                <w:sz w:val="14"/>
              </w:rPr>
              <w:t>1.2</w:t>
            </w:r>
          </w:p>
        </w:tc>
        <w:tc>
          <w:tcPr>
            <w:tcW w:w="1195" w:type="dxa"/>
            <w:shd w:val="clear" w:color="auto" w:fill="D4E3F5"/>
          </w:tcPr>
          <w:p>
            <w:pPr>
              <w:pStyle w:val="TableParagraph"/>
              <w:ind w:left="24" w:right="155"/>
              <w:rPr>
                <w:sz w:val="14"/>
              </w:rPr>
            </w:pPr>
            <w:r>
              <w:rPr>
                <w:color w:val="231F20"/>
                <w:spacing w:val="-5"/>
                <w:w w:val="95"/>
                <w:sz w:val="14"/>
              </w:rPr>
              <w:t>1.4</w:t>
            </w:r>
          </w:p>
        </w:tc>
        <w:tc>
          <w:tcPr>
            <w:tcW w:w="1022" w:type="dxa"/>
            <w:shd w:val="clear" w:color="auto" w:fill="D4E3F5"/>
          </w:tcPr>
          <w:p>
            <w:pPr>
              <w:pStyle w:val="TableParagraph"/>
              <w:ind w:left="18" w:right="127"/>
              <w:rPr>
                <w:sz w:val="14"/>
              </w:rPr>
            </w:pPr>
            <w:r>
              <w:rPr>
                <w:color w:val="231F20"/>
                <w:spacing w:val="-5"/>
                <w:w w:val="95"/>
                <w:sz w:val="14"/>
              </w:rPr>
              <w:t>0.8</w:t>
            </w:r>
          </w:p>
        </w:tc>
        <w:tc>
          <w:tcPr>
            <w:tcW w:w="1149" w:type="dxa"/>
            <w:shd w:val="clear" w:color="auto" w:fill="D4E3F5"/>
          </w:tcPr>
          <w:p>
            <w:pPr>
              <w:pStyle w:val="TableParagraph"/>
              <w:ind w:left="19" w:right="48"/>
              <w:rPr>
                <w:sz w:val="14"/>
              </w:rPr>
            </w:pPr>
            <w:r>
              <w:rPr>
                <w:color w:val="231F20"/>
                <w:spacing w:val="-5"/>
                <w:w w:val="95"/>
                <w:sz w:val="14"/>
              </w:rPr>
              <w:t>1.3</w:t>
            </w:r>
          </w:p>
        </w:tc>
        <w:tc>
          <w:tcPr>
            <w:tcW w:w="1095" w:type="dxa"/>
            <w:shd w:val="clear" w:color="auto" w:fill="D4E3F5"/>
          </w:tcPr>
          <w:p>
            <w:pPr>
              <w:pStyle w:val="TableParagraph"/>
              <w:ind w:left="24" w:right="55"/>
              <w:rPr>
                <w:sz w:val="14"/>
              </w:rPr>
            </w:pPr>
            <w:r>
              <w:rPr>
                <w:color w:val="231F20"/>
                <w:spacing w:val="-5"/>
                <w:w w:val="95"/>
                <w:sz w:val="14"/>
              </w:rPr>
              <w:t>1.4</w:t>
            </w:r>
          </w:p>
        </w:tc>
      </w:tr>
      <w:tr>
        <w:trPr>
          <w:trHeight w:val="259" w:hRule="atLeast"/>
        </w:trPr>
        <w:tc>
          <w:tcPr>
            <w:tcW w:w="1380" w:type="dxa"/>
          </w:tcPr>
          <w:p>
            <w:pPr>
              <w:pStyle w:val="TableParagraph"/>
              <w:ind w:left="80"/>
              <w:jc w:val="left"/>
              <w:rPr>
                <w:sz w:val="14"/>
              </w:rPr>
            </w:pPr>
            <w:r>
              <w:rPr>
                <w:color w:val="231F20"/>
                <w:spacing w:val="-2"/>
                <w:w w:val="90"/>
                <w:sz w:val="14"/>
              </w:rPr>
              <w:t>Finland</w:t>
            </w:r>
          </w:p>
        </w:tc>
        <w:tc>
          <w:tcPr>
            <w:tcW w:w="1087" w:type="dxa"/>
          </w:tcPr>
          <w:p>
            <w:pPr>
              <w:pStyle w:val="TableParagraph"/>
              <w:ind w:left="93" w:right="67"/>
              <w:rPr>
                <w:sz w:val="14"/>
              </w:rPr>
            </w:pPr>
            <w:r>
              <w:rPr>
                <w:color w:val="231F20"/>
                <w:spacing w:val="-5"/>
                <w:w w:val="95"/>
                <w:sz w:val="14"/>
              </w:rPr>
              <w:t>30</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10"/>
              <w:jc w:val="right"/>
              <w:rPr>
                <w:sz w:val="14"/>
              </w:rPr>
            </w:pPr>
            <w:r>
              <w:rPr>
                <w:color w:val="231F20"/>
                <w:spacing w:val="-5"/>
                <w:w w:val="95"/>
                <w:sz w:val="14"/>
              </w:rPr>
              <w:t>15</w:t>
            </w:r>
          </w:p>
        </w:tc>
        <w:tc>
          <w:tcPr>
            <w:tcW w:w="1245" w:type="dxa"/>
          </w:tcPr>
          <w:p>
            <w:pPr>
              <w:pStyle w:val="TableParagraph"/>
              <w:ind w:left="65" w:right="1"/>
              <w:rPr>
                <w:sz w:val="14"/>
              </w:rPr>
            </w:pPr>
            <w:r>
              <w:rPr>
                <w:color w:val="231F20"/>
                <w:spacing w:val="-5"/>
                <w:w w:val="95"/>
                <w:sz w:val="14"/>
              </w:rPr>
              <w:t>1.3</w:t>
            </w:r>
          </w:p>
        </w:tc>
        <w:tc>
          <w:tcPr>
            <w:tcW w:w="1195" w:type="dxa"/>
          </w:tcPr>
          <w:p>
            <w:pPr>
              <w:pStyle w:val="TableParagraph"/>
              <w:ind w:left="24" w:right="155"/>
              <w:rPr>
                <w:sz w:val="14"/>
              </w:rPr>
            </w:pPr>
            <w:r>
              <w:rPr>
                <w:color w:val="231F20"/>
                <w:spacing w:val="-5"/>
                <w:w w:val="95"/>
                <w:sz w:val="14"/>
              </w:rPr>
              <w:t>1.4</w:t>
            </w:r>
          </w:p>
        </w:tc>
        <w:tc>
          <w:tcPr>
            <w:tcW w:w="1022" w:type="dxa"/>
          </w:tcPr>
          <w:p>
            <w:pPr>
              <w:pStyle w:val="TableParagraph"/>
              <w:ind w:left="6" w:right="127"/>
              <w:rPr>
                <w:sz w:val="14"/>
              </w:rPr>
            </w:pPr>
            <w:r>
              <w:rPr>
                <w:color w:val="231F20"/>
                <w:spacing w:val="-5"/>
                <w:w w:val="95"/>
                <w:sz w:val="14"/>
              </w:rPr>
              <w:t>1.1</w:t>
            </w:r>
          </w:p>
        </w:tc>
        <w:tc>
          <w:tcPr>
            <w:tcW w:w="1149" w:type="dxa"/>
          </w:tcPr>
          <w:p>
            <w:pPr>
              <w:pStyle w:val="TableParagraph"/>
              <w:ind w:left="17" w:right="48"/>
              <w:rPr>
                <w:sz w:val="14"/>
              </w:rPr>
            </w:pPr>
            <w:r>
              <w:rPr>
                <w:color w:val="231F20"/>
                <w:spacing w:val="-5"/>
                <w:w w:val="95"/>
                <w:sz w:val="14"/>
              </w:rPr>
              <w:t>1.4</w:t>
            </w:r>
          </w:p>
        </w:tc>
        <w:tc>
          <w:tcPr>
            <w:tcW w:w="1095" w:type="dxa"/>
          </w:tcPr>
          <w:p>
            <w:pPr>
              <w:pStyle w:val="TableParagraph"/>
              <w:ind w:left="25" w:right="55"/>
              <w:rPr>
                <w:sz w:val="14"/>
              </w:rPr>
            </w:pPr>
            <w:r>
              <w:rPr>
                <w:color w:val="231F20"/>
                <w:spacing w:val="-5"/>
                <w:w w:val="95"/>
                <w:sz w:val="14"/>
              </w:rPr>
              <w:t>1.6</w:t>
            </w:r>
          </w:p>
        </w:tc>
      </w:tr>
      <w:tr>
        <w:trPr>
          <w:trHeight w:val="259" w:hRule="atLeast"/>
        </w:trPr>
        <w:tc>
          <w:tcPr>
            <w:tcW w:w="1380" w:type="dxa"/>
            <w:shd w:val="clear" w:color="auto" w:fill="D4E3F5"/>
          </w:tcPr>
          <w:p>
            <w:pPr>
              <w:pStyle w:val="TableParagraph"/>
              <w:ind w:left="80"/>
              <w:jc w:val="left"/>
              <w:rPr>
                <w:sz w:val="14"/>
              </w:rPr>
            </w:pPr>
            <w:r>
              <w:rPr>
                <w:color w:val="231F20"/>
                <w:spacing w:val="-2"/>
                <w:w w:val="85"/>
                <w:sz w:val="14"/>
              </w:rPr>
              <w:t>France</w:t>
            </w:r>
          </w:p>
        </w:tc>
        <w:tc>
          <w:tcPr>
            <w:tcW w:w="1087" w:type="dxa"/>
            <w:shd w:val="clear" w:color="auto" w:fill="D4E3F5"/>
          </w:tcPr>
          <w:p>
            <w:pPr>
              <w:pStyle w:val="TableParagraph"/>
              <w:ind w:left="93" w:right="67"/>
              <w:rPr>
                <w:sz w:val="14"/>
              </w:rPr>
            </w:pPr>
            <w:r>
              <w:rPr>
                <w:color w:val="231F20"/>
                <w:spacing w:val="-5"/>
                <w:w w:val="95"/>
                <w:sz w:val="14"/>
              </w:rPr>
              <w:t>71</w:t>
            </w:r>
          </w:p>
        </w:tc>
        <w:tc>
          <w:tcPr>
            <w:tcW w:w="1087" w:type="dxa"/>
            <w:shd w:val="clear" w:color="auto" w:fill="D4E3F5"/>
          </w:tcPr>
          <w:p>
            <w:pPr>
              <w:pStyle w:val="TableParagraph"/>
              <w:ind w:left="93" w:right="60"/>
              <w:rPr>
                <w:sz w:val="14"/>
              </w:rPr>
            </w:pPr>
            <w:r>
              <w:rPr>
                <w:color w:val="231F20"/>
                <w:spacing w:val="-10"/>
                <w:w w:val="95"/>
                <w:sz w:val="14"/>
              </w:rPr>
              <w:t>4</w:t>
            </w:r>
          </w:p>
        </w:tc>
        <w:tc>
          <w:tcPr>
            <w:tcW w:w="1062" w:type="dxa"/>
            <w:shd w:val="clear" w:color="auto" w:fill="D4E3F5"/>
          </w:tcPr>
          <w:p>
            <w:pPr>
              <w:pStyle w:val="TableParagraph"/>
              <w:ind w:right="405"/>
              <w:jc w:val="right"/>
              <w:rPr>
                <w:sz w:val="14"/>
              </w:rPr>
            </w:pPr>
            <w:r>
              <w:rPr>
                <w:color w:val="231F20"/>
                <w:spacing w:val="-5"/>
                <w:w w:val="95"/>
                <w:sz w:val="14"/>
              </w:rPr>
              <w:t>76</w:t>
            </w:r>
          </w:p>
        </w:tc>
        <w:tc>
          <w:tcPr>
            <w:tcW w:w="1245" w:type="dxa"/>
            <w:shd w:val="clear" w:color="auto" w:fill="D4E3F5"/>
          </w:tcPr>
          <w:p>
            <w:pPr>
              <w:pStyle w:val="TableParagraph"/>
              <w:ind w:left="65" w:right="20"/>
              <w:rPr>
                <w:sz w:val="14"/>
              </w:rPr>
            </w:pPr>
            <w:r>
              <w:rPr>
                <w:color w:val="231F20"/>
                <w:spacing w:val="-5"/>
                <w:w w:val="95"/>
                <w:sz w:val="14"/>
              </w:rPr>
              <w:t>1.1</w:t>
            </w:r>
          </w:p>
        </w:tc>
        <w:tc>
          <w:tcPr>
            <w:tcW w:w="1195" w:type="dxa"/>
            <w:shd w:val="clear" w:color="auto" w:fill="D4E3F5"/>
          </w:tcPr>
          <w:p>
            <w:pPr>
              <w:pStyle w:val="TableParagraph"/>
              <w:ind w:left="26" w:right="155"/>
              <w:rPr>
                <w:sz w:val="14"/>
              </w:rPr>
            </w:pPr>
            <w:r>
              <w:rPr>
                <w:color w:val="231F20"/>
                <w:spacing w:val="-5"/>
                <w:w w:val="95"/>
                <w:sz w:val="14"/>
              </w:rPr>
              <w:t>1.5</w:t>
            </w:r>
          </w:p>
        </w:tc>
        <w:tc>
          <w:tcPr>
            <w:tcW w:w="1022" w:type="dxa"/>
            <w:shd w:val="clear" w:color="auto" w:fill="D4E3F5"/>
          </w:tcPr>
          <w:p>
            <w:pPr>
              <w:pStyle w:val="TableParagraph"/>
              <w:ind w:left="6" w:right="127"/>
              <w:rPr>
                <w:sz w:val="14"/>
              </w:rPr>
            </w:pPr>
            <w:r>
              <w:rPr>
                <w:color w:val="231F20"/>
                <w:spacing w:val="-5"/>
                <w:w w:val="95"/>
                <w:sz w:val="14"/>
              </w:rPr>
              <w:t>1.1</w:t>
            </w:r>
          </w:p>
        </w:tc>
        <w:tc>
          <w:tcPr>
            <w:tcW w:w="1149" w:type="dxa"/>
            <w:shd w:val="clear" w:color="auto" w:fill="D4E3F5"/>
          </w:tcPr>
          <w:p>
            <w:pPr>
              <w:pStyle w:val="TableParagraph"/>
              <w:ind w:left="15" w:right="48"/>
              <w:rPr>
                <w:sz w:val="14"/>
              </w:rPr>
            </w:pPr>
            <w:r>
              <w:rPr>
                <w:color w:val="231F20"/>
                <w:spacing w:val="-5"/>
                <w:w w:val="95"/>
                <w:sz w:val="14"/>
              </w:rPr>
              <w:t>1.7</w:t>
            </w:r>
          </w:p>
        </w:tc>
        <w:tc>
          <w:tcPr>
            <w:tcW w:w="1095" w:type="dxa"/>
            <w:shd w:val="clear" w:color="auto" w:fill="D4E3F5"/>
          </w:tcPr>
          <w:p>
            <w:pPr>
              <w:pStyle w:val="TableParagraph"/>
              <w:ind w:left="19" w:right="55"/>
              <w:rPr>
                <w:sz w:val="14"/>
              </w:rPr>
            </w:pPr>
            <w:r>
              <w:rPr>
                <w:color w:val="231F20"/>
                <w:spacing w:val="-5"/>
                <w:w w:val="95"/>
                <w:sz w:val="14"/>
              </w:rPr>
              <w:t>2.0</w:t>
            </w:r>
          </w:p>
        </w:tc>
      </w:tr>
      <w:tr>
        <w:trPr>
          <w:trHeight w:val="259" w:hRule="atLeast"/>
        </w:trPr>
        <w:tc>
          <w:tcPr>
            <w:tcW w:w="1380" w:type="dxa"/>
          </w:tcPr>
          <w:p>
            <w:pPr>
              <w:pStyle w:val="TableParagraph"/>
              <w:ind w:left="80"/>
              <w:jc w:val="left"/>
              <w:rPr>
                <w:sz w:val="14"/>
              </w:rPr>
            </w:pPr>
            <w:r>
              <w:rPr>
                <w:color w:val="231F20"/>
                <w:spacing w:val="-2"/>
                <w:w w:val="85"/>
                <w:sz w:val="14"/>
              </w:rPr>
              <w:t>Gabon</w:t>
            </w:r>
          </w:p>
        </w:tc>
        <w:tc>
          <w:tcPr>
            <w:tcW w:w="1087" w:type="dxa"/>
          </w:tcPr>
          <w:p>
            <w:pPr>
              <w:pStyle w:val="TableParagraph"/>
              <w:ind w:left="139" w:right="46"/>
              <w:rPr>
                <w:sz w:val="14"/>
              </w:rPr>
            </w:pPr>
            <w:r>
              <w:rPr>
                <w:color w:val="231F20"/>
                <w:spacing w:val="-10"/>
                <w:w w:val="95"/>
                <w:sz w:val="14"/>
              </w:rPr>
              <w:t>9</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9"/>
              <w:jc w:val="right"/>
              <w:rPr>
                <w:sz w:val="14"/>
              </w:rPr>
            </w:pPr>
            <w:r>
              <w:rPr>
                <w:color w:val="231F20"/>
                <w:spacing w:val="-5"/>
                <w:w w:val="95"/>
                <w:sz w:val="14"/>
              </w:rPr>
              <w:t>16</w:t>
            </w:r>
          </w:p>
        </w:tc>
        <w:tc>
          <w:tcPr>
            <w:tcW w:w="1245" w:type="dxa"/>
          </w:tcPr>
          <w:p>
            <w:pPr>
              <w:pStyle w:val="TableParagraph"/>
              <w:ind w:left="65" w:right="1"/>
              <w:rPr>
                <w:sz w:val="14"/>
              </w:rPr>
            </w:pPr>
            <w:r>
              <w:rPr>
                <w:color w:val="231F20"/>
                <w:spacing w:val="-5"/>
                <w:w w:val="95"/>
                <w:sz w:val="14"/>
              </w:rPr>
              <w:t>1.5</w:t>
            </w:r>
          </w:p>
        </w:tc>
        <w:tc>
          <w:tcPr>
            <w:tcW w:w="1195" w:type="dxa"/>
          </w:tcPr>
          <w:p>
            <w:pPr>
              <w:pStyle w:val="TableParagraph"/>
              <w:ind w:left="26" w:right="155"/>
              <w:rPr>
                <w:sz w:val="14"/>
              </w:rPr>
            </w:pPr>
            <w:r>
              <w:rPr>
                <w:color w:val="231F20"/>
                <w:spacing w:val="-5"/>
                <w:w w:val="95"/>
                <w:sz w:val="14"/>
              </w:rPr>
              <w:t>1.5</w:t>
            </w:r>
          </w:p>
        </w:tc>
        <w:tc>
          <w:tcPr>
            <w:tcW w:w="1022" w:type="dxa"/>
          </w:tcPr>
          <w:p>
            <w:pPr>
              <w:pStyle w:val="TableParagraph"/>
              <w:ind w:left="24" w:right="127"/>
              <w:rPr>
                <w:sz w:val="14"/>
              </w:rPr>
            </w:pPr>
            <w:r>
              <w:rPr>
                <w:color w:val="231F20"/>
                <w:spacing w:val="-5"/>
                <w:w w:val="95"/>
                <w:sz w:val="14"/>
              </w:rPr>
              <w:t>1.0</w:t>
            </w:r>
          </w:p>
        </w:tc>
        <w:tc>
          <w:tcPr>
            <w:tcW w:w="1149" w:type="dxa"/>
          </w:tcPr>
          <w:p>
            <w:pPr>
              <w:pStyle w:val="TableParagraph"/>
              <w:ind w:left="19" w:right="48"/>
              <w:rPr>
                <w:sz w:val="14"/>
              </w:rPr>
            </w:pPr>
            <w:r>
              <w:rPr>
                <w:color w:val="231F20"/>
                <w:spacing w:val="-5"/>
                <w:w w:val="95"/>
                <w:sz w:val="14"/>
              </w:rPr>
              <w:t>1.5</w:t>
            </w:r>
          </w:p>
        </w:tc>
        <w:tc>
          <w:tcPr>
            <w:tcW w:w="1095" w:type="dxa"/>
          </w:tcPr>
          <w:p>
            <w:pPr>
              <w:pStyle w:val="TableParagraph"/>
              <w:ind w:left="26" w:right="55"/>
              <w:rPr>
                <w:sz w:val="14"/>
              </w:rPr>
            </w:pPr>
            <w:r>
              <w:rPr>
                <w:color w:val="231F20"/>
                <w:spacing w:val="-5"/>
                <w:w w:val="95"/>
                <w:sz w:val="14"/>
              </w:rPr>
              <w:t>1.5</w:t>
            </w:r>
          </w:p>
        </w:tc>
      </w:tr>
      <w:tr>
        <w:trPr>
          <w:trHeight w:val="259" w:hRule="atLeast"/>
        </w:trPr>
        <w:tc>
          <w:tcPr>
            <w:tcW w:w="1380" w:type="dxa"/>
            <w:shd w:val="clear" w:color="auto" w:fill="D4E3F5"/>
          </w:tcPr>
          <w:p>
            <w:pPr>
              <w:pStyle w:val="TableParagraph"/>
              <w:ind w:left="80"/>
              <w:jc w:val="left"/>
              <w:rPr>
                <w:sz w:val="14"/>
              </w:rPr>
            </w:pPr>
            <w:r>
              <w:rPr>
                <w:color w:val="231F20"/>
                <w:w w:val="75"/>
                <w:sz w:val="14"/>
              </w:rPr>
              <w:t>Gambia,</w:t>
            </w:r>
            <w:r>
              <w:rPr>
                <w:color w:val="231F20"/>
                <w:spacing w:val="16"/>
                <w:sz w:val="14"/>
              </w:rPr>
              <w:t> </w:t>
            </w:r>
            <w:r>
              <w:rPr>
                <w:color w:val="231F20"/>
                <w:spacing w:val="-5"/>
                <w:w w:val="80"/>
                <w:sz w:val="14"/>
              </w:rPr>
              <w:t>The</w:t>
            </w:r>
          </w:p>
        </w:tc>
        <w:tc>
          <w:tcPr>
            <w:tcW w:w="1087" w:type="dxa"/>
            <w:shd w:val="clear" w:color="auto" w:fill="D4E3F5"/>
          </w:tcPr>
          <w:p>
            <w:pPr>
              <w:pStyle w:val="TableParagraph"/>
              <w:ind w:left="139" w:right="46"/>
              <w:rPr>
                <w:sz w:val="14"/>
              </w:rPr>
            </w:pPr>
            <w:r>
              <w:rPr>
                <w:color w:val="231F20"/>
                <w:spacing w:val="-10"/>
                <w:w w:val="95"/>
                <w:sz w:val="14"/>
              </w:rPr>
              <w:t>3</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7"/>
              <w:jc w:val="right"/>
              <w:rPr>
                <w:sz w:val="14"/>
              </w:rPr>
            </w:pPr>
            <w:r>
              <w:rPr>
                <w:color w:val="231F20"/>
                <w:spacing w:val="-10"/>
                <w:w w:val="95"/>
                <w:sz w:val="14"/>
              </w:rPr>
              <w:t>3</w:t>
            </w:r>
          </w:p>
        </w:tc>
        <w:tc>
          <w:tcPr>
            <w:tcW w:w="1245" w:type="dxa"/>
            <w:shd w:val="clear" w:color="auto" w:fill="D4E3F5"/>
          </w:tcPr>
          <w:p>
            <w:pPr>
              <w:pStyle w:val="TableParagraph"/>
              <w:ind w:left="65" w:right="9"/>
              <w:rPr>
                <w:sz w:val="14"/>
              </w:rPr>
            </w:pPr>
            <w:r>
              <w:rPr>
                <w:color w:val="231F20"/>
                <w:spacing w:val="-5"/>
                <w:w w:val="95"/>
                <w:sz w:val="14"/>
              </w:rPr>
              <w:t>6.8</w:t>
            </w:r>
          </w:p>
        </w:tc>
        <w:tc>
          <w:tcPr>
            <w:tcW w:w="1195" w:type="dxa"/>
            <w:shd w:val="clear" w:color="auto" w:fill="D4E3F5"/>
          </w:tcPr>
          <w:p>
            <w:pPr>
              <w:pStyle w:val="TableParagraph"/>
              <w:ind w:left="13" w:right="155"/>
              <w:rPr>
                <w:sz w:val="14"/>
              </w:rPr>
            </w:pPr>
            <w:r>
              <w:rPr>
                <w:color w:val="231F20"/>
                <w:spacing w:val="-5"/>
                <w:w w:val="95"/>
                <w:sz w:val="14"/>
              </w:rPr>
              <w:t>6.7</w:t>
            </w:r>
          </w:p>
        </w:tc>
        <w:tc>
          <w:tcPr>
            <w:tcW w:w="1022" w:type="dxa"/>
            <w:shd w:val="clear" w:color="auto" w:fill="D4E3F5"/>
          </w:tcPr>
          <w:p>
            <w:pPr>
              <w:pStyle w:val="TableParagraph"/>
              <w:ind w:left="13" w:right="127"/>
              <w:rPr>
                <w:sz w:val="14"/>
              </w:rPr>
            </w:pPr>
            <w:r>
              <w:rPr>
                <w:color w:val="231F20"/>
                <w:spacing w:val="-5"/>
                <w:w w:val="95"/>
                <w:sz w:val="14"/>
              </w:rPr>
              <w:t>2.7</w:t>
            </w:r>
          </w:p>
        </w:tc>
        <w:tc>
          <w:tcPr>
            <w:tcW w:w="1149" w:type="dxa"/>
            <w:shd w:val="clear" w:color="auto" w:fill="D4E3F5"/>
          </w:tcPr>
          <w:p>
            <w:pPr>
              <w:pStyle w:val="TableParagraph"/>
              <w:ind w:left="13" w:right="48"/>
              <w:rPr>
                <w:sz w:val="14"/>
              </w:rPr>
            </w:pPr>
            <w:r>
              <w:rPr>
                <w:color w:val="231F20"/>
                <w:spacing w:val="-5"/>
                <w:w w:val="95"/>
                <w:sz w:val="14"/>
              </w:rPr>
              <w:t>6.9</w:t>
            </w:r>
          </w:p>
        </w:tc>
        <w:tc>
          <w:tcPr>
            <w:tcW w:w="1095" w:type="dxa"/>
            <w:shd w:val="clear" w:color="auto" w:fill="D4E3F5"/>
          </w:tcPr>
          <w:p>
            <w:pPr>
              <w:pStyle w:val="TableParagraph"/>
              <w:ind w:left="18" w:right="55"/>
              <w:rPr>
                <w:sz w:val="14"/>
              </w:rPr>
            </w:pPr>
            <w:r>
              <w:rPr>
                <w:color w:val="231F20"/>
                <w:spacing w:val="-5"/>
                <w:w w:val="95"/>
                <w:sz w:val="14"/>
              </w:rPr>
              <w:t>6.8</w:t>
            </w:r>
          </w:p>
        </w:tc>
      </w:tr>
      <w:tr>
        <w:trPr>
          <w:trHeight w:val="259" w:hRule="atLeast"/>
        </w:trPr>
        <w:tc>
          <w:tcPr>
            <w:tcW w:w="1380" w:type="dxa"/>
          </w:tcPr>
          <w:p>
            <w:pPr>
              <w:pStyle w:val="TableParagraph"/>
              <w:ind w:left="80"/>
              <w:jc w:val="left"/>
              <w:rPr>
                <w:sz w:val="14"/>
              </w:rPr>
            </w:pPr>
            <w:r>
              <w:rPr>
                <w:color w:val="231F20"/>
                <w:spacing w:val="-2"/>
                <w:w w:val="85"/>
                <w:sz w:val="14"/>
              </w:rPr>
              <w:t>Georgia</w:t>
            </w:r>
          </w:p>
        </w:tc>
        <w:tc>
          <w:tcPr>
            <w:tcW w:w="1087" w:type="dxa"/>
          </w:tcPr>
          <w:p>
            <w:pPr>
              <w:pStyle w:val="TableParagraph"/>
              <w:ind w:left="139" w:right="46"/>
              <w:rPr>
                <w:sz w:val="14"/>
              </w:rPr>
            </w:pPr>
            <w:r>
              <w:rPr>
                <w:color w:val="231F20"/>
                <w:spacing w:val="-10"/>
                <w:w w:val="95"/>
                <w:sz w:val="14"/>
              </w:rPr>
              <w:t>5</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7"/>
              <w:jc w:val="right"/>
              <w:rPr>
                <w:sz w:val="14"/>
              </w:rPr>
            </w:pPr>
            <w:r>
              <w:rPr>
                <w:color w:val="231F20"/>
                <w:spacing w:val="-10"/>
                <w:w w:val="95"/>
                <w:sz w:val="14"/>
              </w:rPr>
              <w:t>5</w:t>
            </w:r>
          </w:p>
        </w:tc>
        <w:tc>
          <w:tcPr>
            <w:tcW w:w="1245" w:type="dxa"/>
          </w:tcPr>
          <w:p>
            <w:pPr>
              <w:pStyle w:val="TableParagraph"/>
              <w:ind w:left="65" w:right="3"/>
              <w:rPr>
                <w:sz w:val="14"/>
              </w:rPr>
            </w:pPr>
            <w:r>
              <w:rPr>
                <w:color w:val="231F20"/>
                <w:spacing w:val="-5"/>
                <w:w w:val="95"/>
                <w:sz w:val="14"/>
              </w:rPr>
              <w:t>1.4</w:t>
            </w:r>
          </w:p>
        </w:tc>
        <w:tc>
          <w:tcPr>
            <w:tcW w:w="1195" w:type="dxa"/>
          </w:tcPr>
          <w:p>
            <w:pPr>
              <w:pStyle w:val="TableParagraph"/>
              <w:ind w:left="22" w:right="155"/>
              <w:rPr>
                <w:sz w:val="14"/>
              </w:rPr>
            </w:pPr>
            <w:r>
              <w:rPr>
                <w:color w:val="231F20"/>
                <w:spacing w:val="-5"/>
                <w:w w:val="95"/>
                <w:sz w:val="14"/>
              </w:rPr>
              <w:t>1.7</w:t>
            </w:r>
          </w:p>
        </w:tc>
        <w:tc>
          <w:tcPr>
            <w:tcW w:w="1022" w:type="dxa"/>
          </w:tcPr>
          <w:p>
            <w:pPr>
              <w:pStyle w:val="TableParagraph"/>
              <w:ind w:left="18" w:right="127"/>
              <w:rPr>
                <w:sz w:val="14"/>
              </w:rPr>
            </w:pPr>
            <w:r>
              <w:rPr>
                <w:color w:val="231F20"/>
                <w:spacing w:val="-5"/>
                <w:w w:val="95"/>
                <w:sz w:val="14"/>
              </w:rPr>
              <w:t>0.6</w:t>
            </w:r>
          </w:p>
        </w:tc>
        <w:tc>
          <w:tcPr>
            <w:tcW w:w="1149" w:type="dxa"/>
          </w:tcPr>
          <w:p>
            <w:pPr>
              <w:pStyle w:val="TableParagraph"/>
              <w:ind w:left="19" w:right="48"/>
              <w:rPr>
                <w:sz w:val="14"/>
              </w:rPr>
            </w:pPr>
            <w:r>
              <w:rPr>
                <w:color w:val="231F20"/>
                <w:spacing w:val="-5"/>
                <w:w w:val="95"/>
                <w:sz w:val="14"/>
              </w:rPr>
              <w:t>1.5</w:t>
            </w:r>
          </w:p>
        </w:tc>
        <w:tc>
          <w:tcPr>
            <w:tcW w:w="1095" w:type="dxa"/>
          </w:tcPr>
          <w:p>
            <w:pPr>
              <w:pStyle w:val="TableParagraph"/>
              <w:ind w:left="25" w:right="55"/>
              <w:rPr>
                <w:sz w:val="14"/>
              </w:rPr>
            </w:pPr>
            <w:r>
              <w:rPr>
                <w:color w:val="231F20"/>
                <w:spacing w:val="-5"/>
                <w:w w:val="95"/>
                <w:sz w:val="14"/>
              </w:rPr>
              <w:t>1.6</w:t>
            </w:r>
          </w:p>
        </w:tc>
      </w:tr>
      <w:tr>
        <w:trPr>
          <w:trHeight w:val="259" w:hRule="atLeast"/>
        </w:trPr>
        <w:tc>
          <w:tcPr>
            <w:tcW w:w="1380" w:type="dxa"/>
            <w:shd w:val="clear" w:color="auto" w:fill="D4E3F5"/>
          </w:tcPr>
          <w:p>
            <w:pPr>
              <w:pStyle w:val="TableParagraph"/>
              <w:ind w:left="80"/>
              <w:jc w:val="left"/>
              <w:rPr>
                <w:sz w:val="14"/>
              </w:rPr>
            </w:pPr>
            <w:r>
              <w:rPr>
                <w:color w:val="231F20"/>
                <w:spacing w:val="-2"/>
                <w:w w:val="85"/>
                <w:sz w:val="14"/>
              </w:rPr>
              <w:t>Germany</w:t>
            </w:r>
          </w:p>
        </w:tc>
        <w:tc>
          <w:tcPr>
            <w:tcW w:w="1087" w:type="dxa"/>
            <w:shd w:val="clear" w:color="auto" w:fill="D4E3F5"/>
          </w:tcPr>
          <w:p>
            <w:pPr>
              <w:pStyle w:val="TableParagraph"/>
              <w:ind w:left="93" w:right="120"/>
              <w:rPr>
                <w:sz w:val="14"/>
              </w:rPr>
            </w:pPr>
            <w:r>
              <w:rPr>
                <w:color w:val="231F20"/>
                <w:spacing w:val="-5"/>
                <w:w w:val="95"/>
                <w:sz w:val="14"/>
              </w:rPr>
              <w:t>119</w:t>
            </w:r>
          </w:p>
        </w:tc>
        <w:tc>
          <w:tcPr>
            <w:tcW w:w="1087" w:type="dxa"/>
            <w:shd w:val="clear" w:color="auto" w:fill="D4E3F5"/>
          </w:tcPr>
          <w:p>
            <w:pPr>
              <w:pStyle w:val="TableParagraph"/>
              <w:ind w:left="93" w:right="60"/>
              <w:rPr>
                <w:sz w:val="14"/>
              </w:rPr>
            </w:pPr>
            <w:r>
              <w:rPr>
                <w:color w:val="231F20"/>
                <w:spacing w:val="-10"/>
                <w:w w:val="95"/>
                <w:sz w:val="14"/>
              </w:rPr>
              <w:t>3</w:t>
            </w:r>
          </w:p>
        </w:tc>
        <w:tc>
          <w:tcPr>
            <w:tcW w:w="1062" w:type="dxa"/>
            <w:shd w:val="clear" w:color="auto" w:fill="D4E3F5"/>
          </w:tcPr>
          <w:p>
            <w:pPr>
              <w:pStyle w:val="TableParagraph"/>
              <w:ind w:right="404"/>
              <w:jc w:val="right"/>
              <w:rPr>
                <w:sz w:val="14"/>
              </w:rPr>
            </w:pPr>
            <w:r>
              <w:rPr>
                <w:color w:val="231F20"/>
                <w:spacing w:val="-5"/>
                <w:w w:val="95"/>
                <w:sz w:val="14"/>
              </w:rPr>
              <w:t>70</w:t>
            </w:r>
          </w:p>
        </w:tc>
        <w:tc>
          <w:tcPr>
            <w:tcW w:w="1245" w:type="dxa"/>
            <w:shd w:val="clear" w:color="auto" w:fill="D4E3F5"/>
          </w:tcPr>
          <w:p>
            <w:pPr>
              <w:pStyle w:val="TableParagraph"/>
              <w:ind w:left="65" w:right="1"/>
              <w:rPr>
                <w:sz w:val="14"/>
              </w:rPr>
            </w:pPr>
            <w:r>
              <w:rPr>
                <w:color w:val="231F20"/>
                <w:spacing w:val="-5"/>
                <w:w w:val="95"/>
                <w:sz w:val="14"/>
              </w:rPr>
              <w:t>1.3</w:t>
            </w:r>
          </w:p>
        </w:tc>
        <w:tc>
          <w:tcPr>
            <w:tcW w:w="1195" w:type="dxa"/>
            <w:shd w:val="clear" w:color="auto" w:fill="D4E3F5"/>
          </w:tcPr>
          <w:p>
            <w:pPr>
              <w:pStyle w:val="TableParagraph"/>
              <w:ind w:left="22" w:right="155"/>
              <w:rPr>
                <w:sz w:val="14"/>
              </w:rPr>
            </w:pPr>
            <w:r>
              <w:rPr>
                <w:color w:val="231F20"/>
                <w:spacing w:val="-5"/>
                <w:w w:val="95"/>
                <w:sz w:val="14"/>
              </w:rPr>
              <w:t>1.7</w:t>
            </w:r>
          </w:p>
        </w:tc>
        <w:tc>
          <w:tcPr>
            <w:tcW w:w="1022" w:type="dxa"/>
            <w:shd w:val="clear" w:color="auto" w:fill="D4E3F5"/>
          </w:tcPr>
          <w:p>
            <w:pPr>
              <w:pStyle w:val="TableParagraph"/>
              <w:ind w:left="25" w:right="127"/>
              <w:rPr>
                <w:sz w:val="14"/>
              </w:rPr>
            </w:pPr>
            <w:r>
              <w:rPr>
                <w:color w:val="231F20"/>
                <w:spacing w:val="-5"/>
                <w:w w:val="95"/>
                <w:sz w:val="14"/>
              </w:rPr>
              <w:t>1.3</w:t>
            </w:r>
          </w:p>
        </w:tc>
        <w:tc>
          <w:tcPr>
            <w:tcW w:w="1149" w:type="dxa"/>
            <w:shd w:val="clear" w:color="auto" w:fill="D4E3F5"/>
          </w:tcPr>
          <w:p>
            <w:pPr>
              <w:pStyle w:val="TableParagraph"/>
              <w:ind w:left="12" w:right="48"/>
              <w:rPr>
                <w:sz w:val="14"/>
              </w:rPr>
            </w:pPr>
            <w:r>
              <w:rPr>
                <w:color w:val="231F20"/>
                <w:spacing w:val="-5"/>
                <w:w w:val="95"/>
                <w:sz w:val="14"/>
              </w:rPr>
              <w:t>2.0</w:t>
            </w:r>
          </w:p>
        </w:tc>
        <w:tc>
          <w:tcPr>
            <w:tcW w:w="1095" w:type="dxa"/>
            <w:shd w:val="clear" w:color="auto" w:fill="D4E3F5"/>
          </w:tcPr>
          <w:p>
            <w:pPr>
              <w:pStyle w:val="TableParagraph"/>
              <w:ind w:left="17" w:right="55"/>
              <w:rPr>
                <w:sz w:val="14"/>
              </w:rPr>
            </w:pPr>
            <w:r>
              <w:rPr>
                <w:color w:val="231F20"/>
                <w:spacing w:val="-5"/>
                <w:w w:val="95"/>
                <w:sz w:val="14"/>
              </w:rPr>
              <w:t>2.4</w:t>
            </w:r>
          </w:p>
        </w:tc>
      </w:tr>
      <w:tr>
        <w:trPr>
          <w:trHeight w:val="259" w:hRule="atLeast"/>
        </w:trPr>
        <w:tc>
          <w:tcPr>
            <w:tcW w:w="1380" w:type="dxa"/>
          </w:tcPr>
          <w:p>
            <w:pPr>
              <w:pStyle w:val="TableParagraph"/>
              <w:ind w:left="80"/>
              <w:jc w:val="left"/>
              <w:rPr>
                <w:sz w:val="14"/>
              </w:rPr>
            </w:pPr>
            <w:r>
              <w:rPr>
                <w:color w:val="231F20"/>
                <w:spacing w:val="-2"/>
                <w:w w:val="85"/>
                <w:sz w:val="14"/>
              </w:rPr>
              <w:t>Ghana</w:t>
            </w:r>
          </w:p>
        </w:tc>
        <w:tc>
          <w:tcPr>
            <w:tcW w:w="1087" w:type="dxa"/>
          </w:tcPr>
          <w:p>
            <w:pPr>
              <w:pStyle w:val="TableParagraph"/>
              <w:ind w:left="93" w:right="67"/>
              <w:rPr>
                <w:sz w:val="14"/>
              </w:rPr>
            </w:pPr>
            <w:r>
              <w:rPr>
                <w:color w:val="231F20"/>
                <w:spacing w:val="-5"/>
                <w:w w:val="95"/>
                <w:sz w:val="14"/>
              </w:rPr>
              <w:t>22</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2"/>
              <w:jc w:val="right"/>
              <w:rPr>
                <w:sz w:val="14"/>
              </w:rPr>
            </w:pPr>
            <w:r>
              <w:rPr>
                <w:color w:val="231F20"/>
                <w:spacing w:val="-5"/>
                <w:w w:val="95"/>
                <w:sz w:val="14"/>
              </w:rPr>
              <w:t>29</w:t>
            </w:r>
          </w:p>
        </w:tc>
        <w:tc>
          <w:tcPr>
            <w:tcW w:w="1245" w:type="dxa"/>
          </w:tcPr>
          <w:p>
            <w:pPr>
              <w:pStyle w:val="TableParagraph"/>
              <w:ind w:left="65" w:right="20"/>
              <w:rPr>
                <w:sz w:val="14"/>
              </w:rPr>
            </w:pPr>
            <w:r>
              <w:rPr>
                <w:color w:val="231F20"/>
                <w:spacing w:val="-5"/>
                <w:w w:val="95"/>
                <w:sz w:val="14"/>
              </w:rPr>
              <w:t>1.1</w:t>
            </w:r>
          </w:p>
        </w:tc>
        <w:tc>
          <w:tcPr>
            <w:tcW w:w="1195" w:type="dxa"/>
          </w:tcPr>
          <w:p>
            <w:pPr>
              <w:pStyle w:val="TableParagraph"/>
              <w:ind w:left="27" w:right="155"/>
              <w:rPr>
                <w:sz w:val="14"/>
              </w:rPr>
            </w:pPr>
            <w:r>
              <w:rPr>
                <w:color w:val="231F20"/>
                <w:spacing w:val="-5"/>
                <w:w w:val="95"/>
                <w:sz w:val="14"/>
              </w:rPr>
              <w:t>1.2</w:t>
            </w:r>
          </w:p>
        </w:tc>
        <w:tc>
          <w:tcPr>
            <w:tcW w:w="1022" w:type="dxa"/>
          </w:tcPr>
          <w:p>
            <w:pPr>
              <w:pStyle w:val="TableParagraph"/>
              <w:ind w:left="18" w:right="127"/>
              <w:rPr>
                <w:sz w:val="14"/>
              </w:rPr>
            </w:pPr>
            <w:r>
              <w:rPr>
                <w:color w:val="231F20"/>
                <w:spacing w:val="-5"/>
                <w:w w:val="95"/>
                <w:sz w:val="14"/>
              </w:rPr>
              <w:t>0.5</w:t>
            </w:r>
          </w:p>
        </w:tc>
        <w:tc>
          <w:tcPr>
            <w:tcW w:w="1149" w:type="dxa"/>
          </w:tcPr>
          <w:p>
            <w:pPr>
              <w:pStyle w:val="TableParagraph"/>
              <w:ind w:right="48"/>
              <w:rPr>
                <w:sz w:val="14"/>
              </w:rPr>
            </w:pPr>
            <w:r>
              <w:rPr>
                <w:color w:val="231F20"/>
                <w:spacing w:val="-5"/>
                <w:w w:val="95"/>
                <w:sz w:val="14"/>
              </w:rPr>
              <w:t>1.1</w:t>
            </w:r>
          </w:p>
        </w:tc>
        <w:tc>
          <w:tcPr>
            <w:tcW w:w="1095" w:type="dxa"/>
          </w:tcPr>
          <w:p>
            <w:pPr>
              <w:pStyle w:val="TableParagraph"/>
              <w:ind w:left="27" w:right="55"/>
              <w:rPr>
                <w:sz w:val="14"/>
              </w:rPr>
            </w:pPr>
            <w:r>
              <w:rPr>
                <w:color w:val="231F20"/>
                <w:spacing w:val="-5"/>
                <w:w w:val="95"/>
                <w:sz w:val="14"/>
              </w:rPr>
              <w:t>1.2</w:t>
            </w:r>
          </w:p>
        </w:tc>
      </w:tr>
      <w:tr>
        <w:trPr>
          <w:trHeight w:val="259" w:hRule="atLeast"/>
        </w:trPr>
        <w:tc>
          <w:tcPr>
            <w:tcW w:w="1380" w:type="dxa"/>
            <w:shd w:val="clear" w:color="auto" w:fill="D4E3F5"/>
          </w:tcPr>
          <w:p>
            <w:pPr>
              <w:pStyle w:val="TableParagraph"/>
              <w:ind w:left="80"/>
              <w:jc w:val="left"/>
              <w:rPr>
                <w:sz w:val="14"/>
              </w:rPr>
            </w:pPr>
            <w:r>
              <w:rPr>
                <w:color w:val="231F20"/>
                <w:spacing w:val="-2"/>
                <w:w w:val="85"/>
                <w:sz w:val="14"/>
              </w:rPr>
              <w:t>Greece</w:t>
            </w:r>
          </w:p>
        </w:tc>
        <w:tc>
          <w:tcPr>
            <w:tcW w:w="1087" w:type="dxa"/>
            <w:shd w:val="clear" w:color="auto" w:fill="D4E3F5"/>
          </w:tcPr>
          <w:p>
            <w:pPr>
              <w:pStyle w:val="TableParagraph"/>
              <w:ind w:left="93" w:right="67"/>
              <w:rPr>
                <w:sz w:val="14"/>
              </w:rPr>
            </w:pPr>
            <w:r>
              <w:rPr>
                <w:color w:val="231F20"/>
                <w:spacing w:val="-5"/>
                <w:w w:val="95"/>
                <w:sz w:val="14"/>
              </w:rPr>
              <w:t>55</w:t>
            </w:r>
          </w:p>
        </w:tc>
        <w:tc>
          <w:tcPr>
            <w:tcW w:w="1087" w:type="dxa"/>
            <w:shd w:val="clear" w:color="auto" w:fill="D4E3F5"/>
          </w:tcPr>
          <w:p>
            <w:pPr>
              <w:pStyle w:val="TableParagraph"/>
              <w:ind w:left="93" w:right="60"/>
              <w:rPr>
                <w:sz w:val="14"/>
              </w:rPr>
            </w:pPr>
            <w:r>
              <w:rPr>
                <w:color w:val="231F20"/>
                <w:spacing w:val="-10"/>
                <w:w w:val="95"/>
                <w:sz w:val="14"/>
              </w:rPr>
              <w:t>3</w:t>
            </w:r>
          </w:p>
        </w:tc>
        <w:tc>
          <w:tcPr>
            <w:tcW w:w="1062" w:type="dxa"/>
            <w:shd w:val="clear" w:color="auto" w:fill="D4E3F5"/>
          </w:tcPr>
          <w:p>
            <w:pPr>
              <w:pStyle w:val="TableParagraph"/>
              <w:ind w:right="400"/>
              <w:jc w:val="right"/>
              <w:rPr>
                <w:sz w:val="14"/>
              </w:rPr>
            </w:pPr>
            <w:r>
              <w:rPr>
                <w:color w:val="231F20"/>
                <w:spacing w:val="-5"/>
                <w:w w:val="95"/>
                <w:sz w:val="14"/>
              </w:rPr>
              <w:t>44</w:t>
            </w:r>
          </w:p>
        </w:tc>
        <w:tc>
          <w:tcPr>
            <w:tcW w:w="1245" w:type="dxa"/>
            <w:shd w:val="clear" w:color="auto" w:fill="D4E3F5"/>
          </w:tcPr>
          <w:p>
            <w:pPr>
              <w:pStyle w:val="TableParagraph"/>
              <w:ind w:left="65"/>
              <w:rPr>
                <w:sz w:val="14"/>
              </w:rPr>
            </w:pPr>
            <w:r>
              <w:rPr>
                <w:color w:val="231F20"/>
                <w:spacing w:val="-5"/>
                <w:w w:val="95"/>
                <w:sz w:val="14"/>
              </w:rPr>
              <w:t>1.2</w:t>
            </w:r>
          </w:p>
        </w:tc>
        <w:tc>
          <w:tcPr>
            <w:tcW w:w="1195" w:type="dxa"/>
            <w:shd w:val="clear" w:color="auto" w:fill="D4E3F5"/>
          </w:tcPr>
          <w:p>
            <w:pPr>
              <w:pStyle w:val="TableParagraph"/>
              <w:ind w:left="24" w:right="155"/>
              <w:rPr>
                <w:sz w:val="14"/>
              </w:rPr>
            </w:pPr>
            <w:r>
              <w:rPr>
                <w:color w:val="231F20"/>
                <w:spacing w:val="-5"/>
                <w:w w:val="95"/>
                <w:sz w:val="14"/>
              </w:rPr>
              <w:t>1.4</w:t>
            </w:r>
          </w:p>
        </w:tc>
        <w:tc>
          <w:tcPr>
            <w:tcW w:w="1022" w:type="dxa"/>
            <w:shd w:val="clear" w:color="auto" w:fill="D4E3F5"/>
          </w:tcPr>
          <w:p>
            <w:pPr>
              <w:pStyle w:val="TableParagraph"/>
              <w:ind w:left="13" w:right="127"/>
              <w:rPr>
                <w:sz w:val="14"/>
              </w:rPr>
            </w:pPr>
            <w:r>
              <w:rPr>
                <w:color w:val="231F20"/>
                <w:spacing w:val="-5"/>
                <w:w w:val="95"/>
                <w:sz w:val="14"/>
              </w:rPr>
              <w:t>0.7</w:t>
            </w:r>
          </w:p>
        </w:tc>
        <w:tc>
          <w:tcPr>
            <w:tcW w:w="1149" w:type="dxa"/>
            <w:shd w:val="clear" w:color="auto" w:fill="D4E3F5"/>
          </w:tcPr>
          <w:p>
            <w:pPr>
              <w:pStyle w:val="TableParagraph"/>
              <w:ind w:left="19" w:right="48"/>
              <w:rPr>
                <w:sz w:val="14"/>
              </w:rPr>
            </w:pPr>
            <w:r>
              <w:rPr>
                <w:color w:val="231F20"/>
                <w:spacing w:val="-5"/>
                <w:w w:val="95"/>
                <w:sz w:val="14"/>
              </w:rPr>
              <w:t>1.3</w:t>
            </w:r>
          </w:p>
        </w:tc>
        <w:tc>
          <w:tcPr>
            <w:tcW w:w="1095" w:type="dxa"/>
            <w:shd w:val="clear" w:color="auto" w:fill="D4E3F5"/>
          </w:tcPr>
          <w:p>
            <w:pPr>
              <w:pStyle w:val="TableParagraph"/>
              <w:ind w:left="24" w:right="55"/>
              <w:rPr>
                <w:sz w:val="14"/>
              </w:rPr>
            </w:pPr>
            <w:r>
              <w:rPr>
                <w:color w:val="231F20"/>
                <w:spacing w:val="-5"/>
                <w:w w:val="95"/>
                <w:sz w:val="14"/>
              </w:rPr>
              <w:t>1.4</w:t>
            </w:r>
          </w:p>
        </w:tc>
      </w:tr>
      <w:tr>
        <w:trPr>
          <w:trHeight w:val="259" w:hRule="atLeast"/>
        </w:trPr>
        <w:tc>
          <w:tcPr>
            <w:tcW w:w="1380" w:type="dxa"/>
          </w:tcPr>
          <w:p>
            <w:pPr>
              <w:pStyle w:val="TableParagraph"/>
              <w:ind w:left="80"/>
              <w:jc w:val="left"/>
              <w:rPr>
                <w:sz w:val="14"/>
              </w:rPr>
            </w:pPr>
            <w:r>
              <w:rPr>
                <w:color w:val="231F20"/>
                <w:spacing w:val="-2"/>
                <w:w w:val="85"/>
                <w:sz w:val="14"/>
              </w:rPr>
              <w:t>Grenada</w:t>
            </w:r>
          </w:p>
        </w:tc>
        <w:tc>
          <w:tcPr>
            <w:tcW w:w="1087" w:type="dxa"/>
          </w:tcPr>
          <w:p>
            <w:pPr>
              <w:pStyle w:val="TableParagraph"/>
              <w:ind w:left="139" w:right="46"/>
              <w:rPr>
                <w:sz w:val="14"/>
              </w:rPr>
            </w:pPr>
            <w:r>
              <w:rPr>
                <w:color w:val="231F20"/>
                <w:spacing w:val="-10"/>
                <w:w w:val="95"/>
                <w:sz w:val="14"/>
              </w:rPr>
              <w:t>4</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11"/>
              <w:jc w:val="right"/>
              <w:rPr>
                <w:sz w:val="14"/>
              </w:rPr>
            </w:pPr>
            <w:r>
              <w:rPr>
                <w:color w:val="231F20"/>
                <w:spacing w:val="-5"/>
                <w:w w:val="95"/>
                <w:sz w:val="14"/>
              </w:rPr>
              <w:t>17</w:t>
            </w:r>
          </w:p>
        </w:tc>
        <w:tc>
          <w:tcPr>
            <w:tcW w:w="1245" w:type="dxa"/>
          </w:tcPr>
          <w:p>
            <w:pPr>
              <w:pStyle w:val="TableParagraph"/>
              <w:ind w:left="65" w:right="8"/>
              <w:rPr>
                <w:sz w:val="14"/>
              </w:rPr>
            </w:pPr>
            <w:r>
              <w:rPr>
                <w:color w:val="231F20"/>
                <w:spacing w:val="-5"/>
                <w:w w:val="95"/>
                <w:sz w:val="14"/>
              </w:rPr>
              <w:t>0.3</w:t>
            </w:r>
          </w:p>
        </w:tc>
        <w:tc>
          <w:tcPr>
            <w:tcW w:w="1195" w:type="dxa"/>
          </w:tcPr>
          <w:p>
            <w:pPr>
              <w:pStyle w:val="TableParagraph"/>
              <w:ind w:left="17" w:right="155"/>
              <w:rPr>
                <w:sz w:val="14"/>
              </w:rPr>
            </w:pPr>
            <w:r>
              <w:rPr>
                <w:color w:val="231F20"/>
                <w:spacing w:val="-5"/>
                <w:w w:val="95"/>
                <w:sz w:val="14"/>
              </w:rPr>
              <w:t>0.4</w:t>
            </w:r>
          </w:p>
        </w:tc>
        <w:tc>
          <w:tcPr>
            <w:tcW w:w="1022" w:type="dxa"/>
          </w:tcPr>
          <w:p>
            <w:pPr>
              <w:pStyle w:val="TableParagraph"/>
              <w:ind w:left="19" w:right="127"/>
              <w:rPr>
                <w:sz w:val="14"/>
              </w:rPr>
            </w:pPr>
            <w:r>
              <w:rPr>
                <w:color w:val="231F20"/>
                <w:spacing w:val="-5"/>
                <w:w w:val="95"/>
                <w:sz w:val="14"/>
              </w:rPr>
              <w:t>0.2</w:t>
            </w:r>
          </w:p>
        </w:tc>
        <w:tc>
          <w:tcPr>
            <w:tcW w:w="1149" w:type="dxa"/>
          </w:tcPr>
          <w:p>
            <w:pPr>
              <w:pStyle w:val="TableParagraph"/>
              <w:ind w:left="12" w:right="48"/>
              <w:rPr>
                <w:sz w:val="14"/>
              </w:rPr>
            </w:pPr>
            <w:r>
              <w:rPr>
                <w:color w:val="231F20"/>
                <w:spacing w:val="-5"/>
                <w:w w:val="95"/>
                <w:sz w:val="14"/>
              </w:rPr>
              <w:t>0.3</w:t>
            </w:r>
          </w:p>
        </w:tc>
        <w:tc>
          <w:tcPr>
            <w:tcW w:w="1095" w:type="dxa"/>
          </w:tcPr>
          <w:p>
            <w:pPr>
              <w:pStyle w:val="TableParagraph"/>
              <w:ind w:left="17" w:right="55"/>
              <w:rPr>
                <w:sz w:val="14"/>
              </w:rPr>
            </w:pPr>
            <w:r>
              <w:rPr>
                <w:color w:val="231F20"/>
                <w:spacing w:val="-5"/>
                <w:w w:val="95"/>
                <w:sz w:val="14"/>
              </w:rPr>
              <w:t>0.4</w:t>
            </w:r>
          </w:p>
        </w:tc>
      </w:tr>
      <w:tr>
        <w:trPr>
          <w:trHeight w:val="254" w:hRule="atLeast"/>
        </w:trPr>
        <w:tc>
          <w:tcPr>
            <w:tcW w:w="1380" w:type="dxa"/>
            <w:tcBorders>
              <w:bottom w:val="single" w:sz="4" w:space="0" w:color="008FDD"/>
            </w:tcBorders>
            <w:shd w:val="clear" w:color="auto" w:fill="D4E3F5"/>
          </w:tcPr>
          <w:p>
            <w:pPr>
              <w:pStyle w:val="TableParagraph"/>
              <w:ind w:left="80"/>
              <w:jc w:val="left"/>
              <w:rPr>
                <w:sz w:val="14"/>
              </w:rPr>
            </w:pPr>
            <w:r>
              <w:rPr>
                <w:color w:val="231F20"/>
                <w:spacing w:val="-2"/>
                <w:w w:val="90"/>
                <w:sz w:val="14"/>
              </w:rPr>
              <w:t>Guatemala</w:t>
            </w:r>
          </w:p>
        </w:tc>
        <w:tc>
          <w:tcPr>
            <w:tcW w:w="1087" w:type="dxa"/>
            <w:tcBorders>
              <w:bottom w:val="single" w:sz="4" w:space="0" w:color="008FDD"/>
            </w:tcBorders>
            <w:shd w:val="clear" w:color="auto" w:fill="D4E3F5"/>
          </w:tcPr>
          <w:p>
            <w:pPr>
              <w:pStyle w:val="TableParagraph"/>
              <w:ind w:left="93" w:right="67"/>
              <w:rPr>
                <w:sz w:val="14"/>
              </w:rPr>
            </w:pPr>
            <w:r>
              <w:rPr>
                <w:color w:val="231F20"/>
                <w:spacing w:val="-5"/>
                <w:w w:val="95"/>
                <w:sz w:val="14"/>
              </w:rPr>
              <w:t>29</w:t>
            </w:r>
          </w:p>
        </w:tc>
        <w:tc>
          <w:tcPr>
            <w:tcW w:w="1087" w:type="dxa"/>
            <w:tcBorders>
              <w:bottom w:val="single" w:sz="4" w:space="0" w:color="008FDD"/>
            </w:tcBorders>
            <w:shd w:val="clear" w:color="auto" w:fill="D4E3F5"/>
          </w:tcPr>
          <w:p>
            <w:pPr>
              <w:pStyle w:val="TableParagraph"/>
              <w:ind w:left="93" w:right="60"/>
              <w:rPr>
                <w:sz w:val="14"/>
              </w:rPr>
            </w:pPr>
            <w:r>
              <w:rPr>
                <w:color w:val="231F20"/>
                <w:spacing w:val="-10"/>
                <w:w w:val="95"/>
                <w:sz w:val="14"/>
              </w:rPr>
              <w:t>0</w:t>
            </w:r>
          </w:p>
        </w:tc>
        <w:tc>
          <w:tcPr>
            <w:tcW w:w="1062" w:type="dxa"/>
            <w:tcBorders>
              <w:bottom w:val="single" w:sz="4" w:space="0" w:color="008FDD"/>
            </w:tcBorders>
            <w:shd w:val="clear" w:color="auto" w:fill="D4E3F5"/>
          </w:tcPr>
          <w:p>
            <w:pPr>
              <w:pStyle w:val="TableParagraph"/>
              <w:ind w:right="410"/>
              <w:jc w:val="right"/>
              <w:rPr>
                <w:sz w:val="14"/>
              </w:rPr>
            </w:pPr>
            <w:r>
              <w:rPr>
                <w:color w:val="231F20"/>
                <w:spacing w:val="-5"/>
                <w:w w:val="95"/>
                <w:sz w:val="14"/>
              </w:rPr>
              <w:t>19</w:t>
            </w:r>
          </w:p>
        </w:tc>
        <w:tc>
          <w:tcPr>
            <w:tcW w:w="1245" w:type="dxa"/>
            <w:tcBorders>
              <w:bottom w:val="single" w:sz="4" w:space="0" w:color="008FDD"/>
            </w:tcBorders>
            <w:shd w:val="clear" w:color="auto" w:fill="D4E3F5"/>
          </w:tcPr>
          <w:p>
            <w:pPr>
              <w:pStyle w:val="TableParagraph"/>
              <w:ind w:left="65" w:right="8"/>
              <w:rPr>
                <w:sz w:val="14"/>
              </w:rPr>
            </w:pPr>
            <w:r>
              <w:rPr>
                <w:color w:val="231F20"/>
                <w:spacing w:val="-5"/>
                <w:w w:val="95"/>
                <w:sz w:val="14"/>
              </w:rPr>
              <w:t>0.6</w:t>
            </w:r>
          </w:p>
        </w:tc>
        <w:tc>
          <w:tcPr>
            <w:tcW w:w="1195" w:type="dxa"/>
            <w:tcBorders>
              <w:bottom w:val="single" w:sz="4" w:space="0" w:color="008FDD"/>
            </w:tcBorders>
            <w:shd w:val="clear" w:color="auto" w:fill="D4E3F5"/>
          </w:tcPr>
          <w:p>
            <w:pPr>
              <w:pStyle w:val="TableParagraph"/>
              <w:ind w:left="14" w:right="155"/>
              <w:rPr>
                <w:sz w:val="14"/>
              </w:rPr>
            </w:pPr>
            <w:r>
              <w:rPr>
                <w:color w:val="231F20"/>
                <w:spacing w:val="-5"/>
                <w:w w:val="95"/>
                <w:sz w:val="14"/>
              </w:rPr>
              <w:t>0.7</w:t>
            </w:r>
          </w:p>
        </w:tc>
        <w:tc>
          <w:tcPr>
            <w:tcW w:w="1022" w:type="dxa"/>
            <w:tcBorders>
              <w:bottom w:val="single" w:sz="4" w:space="0" w:color="008FDD"/>
            </w:tcBorders>
            <w:shd w:val="clear" w:color="auto" w:fill="D4E3F5"/>
          </w:tcPr>
          <w:p>
            <w:pPr>
              <w:pStyle w:val="TableParagraph"/>
              <w:ind w:left="18" w:right="127"/>
              <w:rPr>
                <w:sz w:val="14"/>
              </w:rPr>
            </w:pPr>
            <w:r>
              <w:rPr>
                <w:color w:val="231F20"/>
                <w:spacing w:val="-5"/>
                <w:w w:val="95"/>
                <w:sz w:val="14"/>
              </w:rPr>
              <w:t>0.5</w:t>
            </w:r>
          </w:p>
        </w:tc>
        <w:tc>
          <w:tcPr>
            <w:tcW w:w="1149" w:type="dxa"/>
            <w:tcBorders>
              <w:bottom w:val="single" w:sz="4" w:space="0" w:color="008FDD"/>
            </w:tcBorders>
            <w:shd w:val="clear" w:color="auto" w:fill="D4E3F5"/>
          </w:tcPr>
          <w:p>
            <w:pPr>
              <w:pStyle w:val="TableParagraph"/>
              <w:ind w:left="7" w:right="48"/>
              <w:rPr>
                <w:sz w:val="14"/>
              </w:rPr>
            </w:pPr>
            <w:r>
              <w:rPr>
                <w:color w:val="231F20"/>
                <w:spacing w:val="-5"/>
                <w:w w:val="95"/>
                <w:sz w:val="14"/>
              </w:rPr>
              <w:t>0.7</w:t>
            </w:r>
          </w:p>
        </w:tc>
        <w:tc>
          <w:tcPr>
            <w:tcW w:w="1095" w:type="dxa"/>
            <w:tcBorders>
              <w:bottom w:val="single" w:sz="4" w:space="0" w:color="008FDD"/>
            </w:tcBorders>
            <w:shd w:val="clear" w:color="auto" w:fill="D4E3F5"/>
          </w:tcPr>
          <w:p>
            <w:pPr>
              <w:pStyle w:val="TableParagraph"/>
              <w:ind w:left="19" w:right="55"/>
              <w:rPr>
                <w:sz w:val="14"/>
              </w:rPr>
            </w:pPr>
            <w:r>
              <w:rPr>
                <w:color w:val="231F20"/>
                <w:spacing w:val="-5"/>
                <w:w w:val="95"/>
                <w:sz w:val="14"/>
              </w:rPr>
              <w:t>0.8</w:t>
            </w:r>
          </w:p>
        </w:tc>
      </w:tr>
    </w:tbl>
    <w:p>
      <w:pPr>
        <w:spacing w:after="0"/>
        <w:rPr>
          <w:sz w:val="14"/>
        </w:rPr>
        <w:sectPr>
          <w:headerReference w:type="even" r:id="rId117"/>
          <w:pgSz w:w="12240" w:h="15840"/>
          <w:pgMar w:header="0" w:footer="0" w:top="320" w:bottom="740" w:left="0" w:right="540"/>
        </w:sectPr>
      </w:pPr>
    </w:p>
    <w:p>
      <w:pPr>
        <w:pStyle w:val="BodyText"/>
        <w:rPr>
          <w:rFonts w:ascii="Arial"/>
          <w:b/>
          <w:sz w:val="20"/>
        </w:rPr>
      </w:pPr>
    </w:p>
    <w:p>
      <w:pPr>
        <w:pStyle w:val="BodyText"/>
        <w:rPr>
          <w:rFonts w:ascii="Arial"/>
          <w:b/>
          <w:sz w:val="20"/>
        </w:rPr>
      </w:pPr>
    </w:p>
    <w:p>
      <w:pPr>
        <w:pStyle w:val="BodyText"/>
        <w:spacing w:before="170"/>
        <w:rPr>
          <w:rFonts w:ascii="Arial"/>
          <w:b/>
          <w:sz w:val="20"/>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7"/>
        <w:gridCol w:w="1040"/>
        <w:gridCol w:w="1087"/>
        <w:gridCol w:w="1062"/>
        <w:gridCol w:w="1245"/>
        <w:gridCol w:w="1195"/>
        <w:gridCol w:w="921"/>
        <w:gridCol w:w="1249"/>
        <w:gridCol w:w="1095"/>
      </w:tblGrid>
      <w:tr>
        <w:trPr>
          <w:trHeight w:val="393" w:hRule="atLeast"/>
        </w:trPr>
        <w:tc>
          <w:tcPr>
            <w:tcW w:w="1427" w:type="dxa"/>
          </w:tcPr>
          <w:p>
            <w:pPr>
              <w:pStyle w:val="TableParagraph"/>
              <w:spacing w:before="0"/>
              <w:jc w:val="left"/>
              <w:rPr>
                <w:rFonts w:ascii="Times New Roman"/>
                <w:sz w:val="12"/>
              </w:rPr>
            </w:pPr>
          </w:p>
        </w:tc>
        <w:tc>
          <w:tcPr>
            <w:tcW w:w="1040" w:type="dxa"/>
            <w:vMerge w:val="restart"/>
            <w:tcBorders>
              <w:bottom w:val="single" w:sz="4" w:space="0" w:color="008FDD"/>
            </w:tcBorders>
          </w:tcPr>
          <w:p>
            <w:pPr>
              <w:pStyle w:val="TableParagraph"/>
              <w:spacing w:before="102"/>
              <w:jc w:val="left"/>
              <w:rPr>
                <w:b/>
                <w:sz w:val="14"/>
              </w:rPr>
            </w:pPr>
          </w:p>
          <w:p>
            <w:pPr>
              <w:pStyle w:val="TableParagraph"/>
              <w:spacing w:before="0"/>
              <w:ind w:left="236" w:right="261" w:hanging="57"/>
              <w:jc w:val="left"/>
              <w:rPr>
                <w:b/>
                <w:sz w:val="14"/>
              </w:rPr>
            </w:pPr>
            <w:r>
              <w:rPr>
                <w:b/>
                <w:color w:val="231F20"/>
                <w:spacing w:val="-2"/>
                <w:w w:val="85"/>
                <w:sz w:val="14"/>
              </w:rPr>
              <w:t>Number</w:t>
            </w:r>
            <w:r>
              <w:rPr>
                <w:b/>
                <w:color w:val="231F20"/>
                <w:spacing w:val="-8"/>
                <w:sz w:val="14"/>
              </w:rPr>
              <w:t> </w:t>
            </w:r>
            <w:r>
              <w:rPr>
                <w:b/>
                <w:color w:val="231F20"/>
                <w:spacing w:val="-2"/>
                <w:w w:val="85"/>
                <w:sz w:val="14"/>
              </w:rPr>
              <w:t>of</w:t>
            </w:r>
            <w:r>
              <w:rPr>
                <w:b/>
                <w:color w:val="231F20"/>
                <w:spacing w:val="40"/>
                <w:sz w:val="14"/>
              </w:rPr>
              <w:t> </w:t>
            </w:r>
            <w:r>
              <w:rPr>
                <w:b/>
                <w:color w:val="231F20"/>
                <w:spacing w:val="-2"/>
                <w:w w:val="90"/>
                <w:sz w:val="14"/>
              </w:rPr>
              <w:t>services</w:t>
            </w:r>
          </w:p>
        </w:tc>
        <w:tc>
          <w:tcPr>
            <w:tcW w:w="1087" w:type="dxa"/>
            <w:vMerge w:val="restart"/>
            <w:tcBorders>
              <w:bottom w:val="single" w:sz="4" w:space="0" w:color="008FDD"/>
            </w:tcBorders>
          </w:tcPr>
          <w:p>
            <w:pPr>
              <w:pStyle w:val="TableParagraph"/>
              <w:spacing w:before="102"/>
              <w:jc w:val="left"/>
              <w:rPr>
                <w:b/>
                <w:sz w:val="14"/>
              </w:rPr>
            </w:pPr>
          </w:p>
          <w:p>
            <w:pPr>
              <w:pStyle w:val="TableParagraph"/>
              <w:spacing w:before="0"/>
              <w:ind w:left="302" w:hanging="41"/>
              <w:jc w:val="left"/>
              <w:rPr>
                <w:b/>
                <w:sz w:val="14"/>
              </w:rPr>
            </w:pPr>
            <w:r>
              <w:rPr>
                <w:b/>
                <w:color w:val="231F20"/>
                <w:spacing w:val="-2"/>
                <w:w w:val="85"/>
                <w:sz w:val="14"/>
              </w:rPr>
              <w:t>Number</w:t>
            </w:r>
            <w:r>
              <w:rPr>
                <w:b/>
                <w:color w:val="231F20"/>
                <w:spacing w:val="-8"/>
                <w:sz w:val="14"/>
              </w:rPr>
              <w:t> </w:t>
            </w:r>
            <w:r>
              <w:rPr>
                <w:b/>
                <w:color w:val="231F20"/>
                <w:spacing w:val="-2"/>
                <w:w w:val="85"/>
                <w:sz w:val="14"/>
              </w:rPr>
              <w:t>of</w:t>
            </w:r>
            <w:r>
              <w:rPr>
                <w:b/>
                <w:color w:val="231F20"/>
                <w:spacing w:val="40"/>
                <w:sz w:val="14"/>
              </w:rPr>
              <w:t> </w:t>
            </w:r>
            <w:r>
              <w:rPr>
                <w:b/>
                <w:color w:val="231F20"/>
                <w:spacing w:val="-2"/>
                <w:w w:val="90"/>
                <w:sz w:val="14"/>
              </w:rPr>
              <w:t>alliances</w:t>
            </w:r>
          </w:p>
        </w:tc>
        <w:tc>
          <w:tcPr>
            <w:tcW w:w="1062" w:type="dxa"/>
            <w:vMerge w:val="restart"/>
            <w:tcBorders>
              <w:bottom w:val="single" w:sz="4" w:space="0" w:color="008FDD"/>
            </w:tcBorders>
          </w:tcPr>
          <w:p>
            <w:pPr>
              <w:pStyle w:val="TableParagraph"/>
              <w:spacing w:before="103"/>
              <w:ind w:left="225" w:right="90" w:firstLine="70"/>
              <w:jc w:val="left"/>
              <w:rPr>
                <w:b/>
                <w:sz w:val="14"/>
              </w:rPr>
            </w:pPr>
            <w:r>
              <w:rPr>
                <w:b/>
                <w:color w:val="231F20"/>
                <w:w w:val="95"/>
                <w:sz w:val="14"/>
              </w:rPr>
              <w:t>Number</w:t>
            </w:r>
            <w:r>
              <w:rPr>
                <w:b/>
                <w:color w:val="231F20"/>
                <w:spacing w:val="-8"/>
                <w:w w:val="95"/>
                <w:sz w:val="14"/>
              </w:rPr>
              <w:t> </w:t>
            </w:r>
            <w:r>
              <w:rPr>
                <w:b/>
                <w:color w:val="231F20"/>
                <w:w w:val="95"/>
                <w:sz w:val="14"/>
              </w:rPr>
              <w:t>of</w:t>
            </w:r>
            <w:r>
              <w:rPr>
                <w:b/>
                <w:color w:val="231F20"/>
                <w:spacing w:val="40"/>
                <w:sz w:val="14"/>
              </w:rPr>
              <w:t> </w:t>
            </w:r>
            <w:r>
              <w:rPr>
                <w:b/>
                <w:color w:val="231F20"/>
                <w:spacing w:val="-2"/>
                <w:w w:val="85"/>
                <w:sz w:val="14"/>
              </w:rPr>
              <w:t>international</w:t>
            </w:r>
            <w:r>
              <w:rPr>
                <w:b/>
                <w:color w:val="231F20"/>
                <w:spacing w:val="40"/>
                <w:sz w:val="14"/>
              </w:rPr>
              <w:t> </w:t>
            </w:r>
            <w:r>
              <w:rPr>
                <w:b/>
                <w:color w:val="231F20"/>
                <w:spacing w:val="-2"/>
                <w:w w:val="85"/>
                <w:sz w:val="14"/>
              </w:rPr>
              <w:t>connections</w:t>
            </w:r>
          </w:p>
        </w:tc>
        <w:tc>
          <w:tcPr>
            <w:tcW w:w="2440" w:type="dxa"/>
            <w:gridSpan w:val="2"/>
          </w:tcPr>
          <w:p>
            <w:pPr>
              <w:pStyle w:val="TableParagraph"/>
              <w:spacing w:before="2"/>
              <w:jc w:val="left"/>
              <w:rPr>
                <w:b/>
                <w:sz w:val="14"/>
              </w:rPr>
            </w:pPr>
          </w:p>
          <w:p>
            <w:pPr>
              <w:pStyle w:val="TableParagraph"/>
              <w:spacing w:line="130" w:lineRule="exact" w:before="0"/>
              <w:ind w:right="7"/>
              <w:rPr>
                <w:b/>
                <w:sz w:val="14"/>
              </w:rPr>
            </w:pPr>
            <w:r>
              <w:rPr>
                <w:b/>
                <w:color w:val="231F20"/>
                <w:w w:val="80"/>
                <w:sz w:val="14"/>
              </w:rPr>
              <w:t>Turnaround</w:t>
            </w:r>
            <w:r>
              <w:rPr>
                <w:b/>
                <w:color w:val="231F20"/>
                <w:spacing w:val="11"/>
                <w:sz w:val="14"/>
              </w:rPr>
              <w:t> </w:t>
            </w:r>
            <w:r>
              <w:rPr>
                <w:b/>
                <w:color w:val="231F20"/>
                <w:w w:val="80"/>
                <w:sz w:val="14"/>
              </w:rPr>
              <w:t>time</w:t>
            </w:r>
            <w:r>
              <w:rPr>
                <w:b/>
                <w:color w:val="231F20"/>
                <w:spacing w:val="12"/>
                <w:sz w:val="14"/>
              </w:rPr>
              <w:t> </w:t>
            </w:r>
            <w:r>
              <w:rPr>
                <w:b/>
                <w:color w:val="231F20"/>
                <w:w w:val="80"/>
                <w:sz w:val="14"/>
              </w:rPr>
              <w:t>at</w:t>
            </w:r>
            <w:r>
              <w:rPr>
                <w:b/>
                <w:color w:val="231F20"/>
                <w:spacing w:val="11"/>
                <w:sz w:val="14"/>
              </w:rPr>
              <w:t> </w:t>
            </w:r>
            <w:r>
              <w:rPr>
                <w:b/>
                <w:color w:val="231F20"/>
                <w:w w:val="80"/>
                <w:sz w:val="14"/>
              </w:rPr>
              <w:t>port</w:t>
            </w:r>
            <w:r>
              <w:rPr>
                <w:b/>
                <w:color w:val="231F20"/>
                <w:spacing w:val="12"/>
                <w:sz w:val="14"/>
              </w:rPr>
              <w:t> </w:t>
            </w:r>
            <w:r>
              <w:rPr>
                <w:b/>
                <w:color w:val="231F20"/>
                <w:spacing w:val="-2"/>
                <w:w w:val="80"/>
                <w:sz w:val="14"/>
              </w:rPr>
              <w:t>(days)</w:t>
            </w:r>
          </w:p>
          <w:p>
            <w:pPr>
              <w:pStyle w:val="TableParagraph"/>
              <w:tabs>
                <w:tab w:pos="2243" w:val="left" w:leader="none"/>
              </w:tabs>
              <w:spacing w:line="80" w:lineRule="exact" w:before="0"/>
              <w:ind w:right="7"/>
              <w:rPr>
                <w:b/>
                <w:sz w:val="14"/>
              </w:rPr>
            </w:pPr>
            <w:r>
              <w:rPr>
                <w:b/>
                <w:color w:val="231F20"/>
                <w:w w:val="86"/>
                <w:sz w:val="14"/>
                <w:u w:val="single" w:color="008FDD"/>
              </w:rPr>
              <w:t> </w:t>
            </w:r>
            <w:r>
              <w:rPr>
                <w:b/>
                <w:color w:val="231F20"/>
                <w:sz w:val="14"/>
                <w:u w:val="single" w:color="008FDD"/>
              </w:rPr>
              <w:tab/>
            </w:r>
          </w:p>
        </w:tc>
        <w:tc>
          <w:tcPr>
            <w:tcW w:w="921" w:type="dxa"/>
            <w:vMerge w:val="restart"/>
            <w:tcBorders>
              <w:bottom w:val="single" w:sz="4" w:space="0" w:color="008FDD"/>
            </w:tcBorders>
          </w:tcPr>
          <w:p>
            <w:pPr>
              <w:pStyle w:val="TableParagraph"/>
              <w:spacing w:before="102"/>
              <w:jc w:val="left"/>
              <w:rPr>
                <w:b/>
                <w:sz w:val="14"/>
              </w:rPr>
            </w:pPr>
          </w:p>
          <w:p>
            <w:pPr>
              <w:pStyle w:val="TableParagraph"/>
              <w:spacing w:before="0"/>
              <w:ind w:left="294" w:hanging="197"/>
              <w:jc w:val="left"/>
              <w:rPr>
                <w:b/>
                <w:sz w:val="14"/>
              </w:rPr>
            </w:pPr>
            <w:r>
              <w:rPr>
                <w:b/>
                <w:color w:val="231F20"/>
                <w:spacing w:val="-2"/>
                <w:w w:val="85"/>
                <w:sz w:val="14"/>
              </w:rPr>
              <w:t>Interquartile</w:t>
            </w:r>
            <w:r>
              <w:rPr>
                <w:b/>
                <w:color w:val="231F20"/>
                <w:spacing w:val="40"/>
                <w:sz w:val="14"/>
              </w:rPr>
              <w:t> </w:t>
            </w:r>
            <w:r>
              <w:rPr>
                <w:b/>
                <w:color w:val="231F20"/>
                <w:spacing w:val="-4"/>
                <w:w w:val="95"/>
                <w:sz w:val="14"/>
              </w:rPr>
              <w:t>range</w:t>
            </w:r>
          </w:p>
        </w:tc>
        <w:tc>
          <w:tcPr>
            <w:tcW w:w="2344" w:type="dxa"/>
            <w:gridSpan w:val="2"/>
          </w:tcPr>
          <w:p>
            <w:pPr>
              <w:pStyle w:val="TableParagraph"/>
              <w:spacing w:line="160" w:lineRule="exact" w:before="3"/>
              <w:ind w:left="98"/>
              <w:rPr>
                <w:b/>
                <w:sz w:val="14"/>
              </w:rPr>
            </w:pPr>
            <w:r>
              <w:rPr>
                <w:b/>
                <w:color w:val="231F20"/>
                <w:w w:val="80"/>
                <w:sz w:val="14"/>
              </w:rPr>
              <w:t>Weighted</w:t>
            </w:r>
            <w:r>
              <w:rPr>
                <w:b/>
                <w:color w:val="231F20"/>
                <w:spacing w:val="23"/>
                <w:sz w:val="14"/>
              </w:rPr>
              <w:t> </w:t>
            </w:r>
            <w:r>
              <w:rPr>
                <w:b/>
                <w:color w:val="231F20"/>
                <w:w w:val="80"/>
                <w:sz w:val="14"/>
              </w:rPr>
              <w:t>by</w:t>
            </w:r>
            <w:r>
              <w:rPr>
                <w:b/>
                <w:color w:val="231F20"/>
                <w:spacing w:val="24"/>
                <w:sz w:val="14"/>
              </w:rPr>
              <w:t> </w:t>
            </w:r>
            <w:r>
              <w:rPr>
                <w:b/>
                <w:color w:val="231F20"/>
                <w:w w:val="80"/>
                <w:sz w:val="14"/>
              </w:rPr>
              <w:t>ship’s</w:t>
            </w:r>
            <w:r>
              <w:rPr>
                <w:b/>
                <w:color w:val="231F20"/>
                <w:spacing w:val="24"/>
                <w:sz w:val="14"/>
              </w:rPr>
              <w:t> </w:t>
            </w:r>
            <w:r>
              <w:rPr>
                <w:b/>
                <w:color w:val="231F20"/>
                <w:w w:val="80"/>
                <w:sz w:val="14"/>
              </w:rPr>
              <w:t>twenty-</w:t>
            </w:r>
            <w:r>
              <w:rPr>
                <w:b/>
                <w:color w:val="231F20"/>
                <w:spacing w:val="-4"/>
                <w:w w:val="80"/>
                <w:sz w:val="14"/>
              </w:rPr>
              <w:t>foot</w:t>
            </w:r>
          </w:p>
          <w:p>
            <w:pPr>
              <w:pStyle w:val="TableParagraph"/>
              <w:tabs>
                <w:tab w:pos="529" w:val="left" w:leader="none"/>
                <w:tab w:pos="2341" w:val="left" w:leader="none"/>
              </w:tabs>
              <w:spacing w:line="160" w:lineRule="exact" w:before="0"/>
              <w:ind w:left="97"/>
              <w:rPr>
                <w:b/>
                <w:sz w:val="14"/>
              </w:rPr>
            </w:pPr>
            <w:r>
              <w:rPr>
                <w:b/>
                <w:color w:val="231F20"/>
                <w:sz w:val="14"/>
                <w:u w:val="single" w:color="008FDD"/>
              </w:rPr>
              <w:tab/>
            </w:r>
            <w:r>
              <w:rPr>
                <w:b/>
                <w:color w:val="231F20"/>
                <w:w w:val="80"/>
                <w:sz w:val="14"/>
                <w:u w:val="single" w:color="008FDD"/>
              </w:rPr>
              <w:t>equivalent</w:t>
            </w:r>
            <w:r>
              <w:rPr>
                <w:b/>
                <w:color w:val="231F20"/>
                <w:spacing w:val="18"/>
                <w:sz w:val="14"/>
                <w:u w:val="single" w:color="008FDD"/>
              </w:rPr>
              <w:t> </w:t>
            </w:r>
            <w:r>
              <w:rPr>
                <w:b/>
                <w:color w:val="231F20"/>
                <w:w w:val="80"/>
                <w:sz w:val="14"/>
                <w:u w:val="single" w:color="008FDD"/>
              </w:rPr>
              <w:t>unit</w:t>
            </w:r>
            <w:r>
              <w:rPr>
                <w:b/>
                <w:color w:val="231F20"/>
                <w:spacing w:val="19"/>
                <w:sz w:val="14"/>
                <w:u w:val="single" w:color="008FDD"/>
              </w:rPr>
              <w:t> </w:t>
            </w:r>
            <w:r>
              <w:rPr>
                <w:b/>
                <w:color w:val="231F20"/>
                <w:spacing w:val="-2"/>
                <w:w w:val="80"/>
                <w:sz w:val="14"/>
                <w:u w:val="single" w:color="008FDD"/>
              </w:rPr>
              <w:t>capacity</w:t>
            </w:r>
            <w:r>
              <w:rPr>
                <w:b/>
                <w:color w:val="231F20"/>
                <w:sz w:val="14"/>
                <w:u w:val="single" w:color="008FDD"/>
              </w:rPr>
              <w:tab/>
            </w:r>
          </w:p>
        </w:tc>
      </w:tr>
      <w:tr>
        <w:trPr>
          <w:trHeight w:val="225" w:hRule="atLeast"/>
        </w:trPr>
        <w:tc>
          <w:tcPr>
            <w:tcW w:w="1427" w:type="dxa"/>
            <w:tcBorders>
              <w:bottom w:val="single" w:sz="4" w:space="0" w:color="008FDD"/>
            </w:tcBorders>
          </w:tcPr>
          <w:p>
            <w:pPr>
              <w:pStyle w:val="TableParagraph"/>
              <w:spacing w:before="19"/>
              <w:ind w:left="80"/>
              <w:jc w:val="left"/>
              <w:rPr>
                <w:b/>
                <w:sz w:val="14"/>
              </w:rPr>
            </w:pPr>
            <w:r>
              <w:rPr>
                <w:b/>
                <w:color w:val="231F20"/>
                <w:spacing w:val="-2"/>
                <w:w w:val="90"/>
                <w:sz w:val="14"/>
              </w:rPr>
              <w:t>Economy</w:t>
            </w:r>
          </w:p>
        </w:tc>
        <w:tc>
          <w:tcPr>
            <w:tcW w:w="1040" w:type="dxa"/>
            <w:vMerge/>
            <w:tcBorders>
              <w:top w:val="nil"/>
              <w:bottom w:val="single" w:sz="4" w:space="0" w:color="008FDD"/>
            </w:tcBorders>
          </w:tcPr>
          <w:p>
            <w:pPr>
              <w:rPr>
                <w:sz w:val="2"/>
                <w:szCs w:val="2"/>
              </w:rPr>
            </w:pPr>
          </w:p>
        </w:tc>
        <w:tc>
          <w:tcPr>
            <w:tcW w:w="1087" w:type="dxa"/>
            <w:vMerge/>
            <w:tcBorders>
              <w:top w:val="nil"/>
              <w:bottom w:val="single" w:sz="4" w:space="0" w:color="008FDD"/>
            </w:tcBorders>
          </w:tcPr>
          <w:p>
            <w:pPr>
              <w:rPr>
                <w:sz w:val="2"/>
                <w:szCs w:val="2"/>
              </w:rPr>
            </w:pPr>
          </w:p>
        </w:tc>
        <w:tc>
          <w:tcPr>
            <w:tcW w:w="1062" w:type="dxa"/>
            <w:vMerge/>
            <w:tcBorders>
              <w:top w:val="nil"/>
              <w:bottom w:val="single" w:sz="4" w:space="0" w:color="008FDD"/>
            </w:tcBorders>
          </w:tcPr>
          <w:p>
            <w:pPr>
              <w:rPr>
                <w:sz w:val="2"/>
                <w:szCs w:val="2"/>
              </w:rPr>
            </w:pPr>
          </w:p>
        </w:tc>
        <w:tc>
          <w:tcPr>
            <w:tcW w:w="1245" w:type="dxa"/>
            <w:tcBorders>
              <w:bottom w:val="single" w:sz="4" w:space="0" w:color="008FDD"/>
            </w:tcBorders>
          </w:tcPr>
          <w:p>
            <w:pPr>
              <w:pStyle w:val="TableParagraph"/>
              <w:spacing w:before="19"/>
              <w:ind w:left="65"/>
              <w:rPr>
                <w:b/>
                <w:sz w:val="14"/>
              </w:rPr>
            </w:pPr>
            <w:r>
              <w:rPr>
                <w:b/>
                <w:color w:val="231F20"/>
                <w:spacing w:val="-2"/>
                <w:w w:val="95"/>
                <w:sz w:val="14"/>
              </w:rPr>
              <w:t>Median</w:t>
            </w:r>
          </w:p>
        </w:tc>
        <w:tc>
          <w:tcPr>
            <w:tcW w:w="1195" w:type="dxa"/>
            <w:tcBorders>
              <w:bottom w:val="single" w:sz="4" w:space="0" w:color="008FDD"/>
            </w:tcBorders>
          </w:tcPr>
          <w:p>
            <w:pPr>
              <w:pStyle w:val="TableParagraph"/>
              <w:spacing w:before="19"/>
              <w:ind w:left="29" w:right="155"/>
              <w:rPr>
                <w:b/>
                <w:sz w:val="14"/>
              </w:rPr>
            </w:pPr>
            <w:r>
              <w:rPr>
                <w:b/>
                <w:color w:val="231F20"/>
                <w:spacing w:val="-4"/>
                <w:w w:val="95"/>
                <w:sz w:val="14"/>
              </w:rPr>
              <w:t>Mean</w:t>
            </w:r>
          </w:p>
        </w:tc>
        <w:tc>
          <w:tcPr>
            <w:tcW w:w="921" w:type="dxa"/>
            <w:vMerge/>
            <w:tcBorders>
              <w:top w:val="nil"/>
              <w:bottom w:val="single" w:sz="4" w:space="0" w:color="008FDD"/>
            </w:tcBorders>
          </w:tcPr>
          <w:p>
            <w:pPr>
              <w:rPr>
                <w:sz w:val="2"/>
                <w:szCs w:val="2"/>
              </w:rPr>
            </w:pPr>
          </w:p>
        </w:tc>
        <w:tc>
          <w:tcPr>
            <w:tcW w:w="1249" w:type="dxa"/>
            <w:tcBorders>
              <w:bottom w:val="single" w:sz="4" w:space="0" w:color="008FDD"/>
            </w:tcBorders>
          </w:tcPr>
          <w:p>
            <w:pPr>
              <w:pStyle w:val="TableParagraph"/>
              <w:spacing w:before="19"/>
              <w:ind w:left="71"/>
              <w:rPr>
                <w:b/>
                <w:sz w:val="14"/>
              </w:rPr>
            </w:pPr>
            <w:r>
              <w:rPr>
                <w:b/>
                <w:color w:val="231F20"/>
                <w:spacing w:val="-2"/>
                <w:w w:val="95"/>
                <w:sz w:val="14"/>
              </w:rPr>
              <w:t>Median</w:t>
            </w:r>
          </w:p>
        </w:tc>
        <w:tc>
          <w:tcPr>
            <w:tcW w:w="1095" w:type="dxa"/>
            <w:tcBorders>
              <w:bottom w:val="single" w:sz="4" w:space="0" w:color="008FDD"/>
            </w:tcBorders>
          </w:tcPr>
          <w:p>
            <w:pPr>
              <w:pStyle w:val="TableParagraph"/>
              <w:spacing w:before="19"/>
              <w:ind w:left="31" w:right="55"/>
              <w:rPr>
                <w:b/>
                <w:sz w:val="14"/>
              </w:rPr>
            </w:pPr>
            <w:r>
              <w:rPr>
                <w:b/>
                <w:color w:val="231F20"/>
                <w:spacing w:val="-4"/>
                <w:w w:val="95"/>
                <w:sz w:val="14"/>
              </w:rPr>
              <w:t>Mean</w:t>
            </w:r>
          </w:p>
        </w:tc>
      </w:tr>
      <w:tr>
        <w:trPr>
          <w:trHeight w:val="254" w:hRule="atLeast"/>
        </w:trPr>
        <w:tc>
          <w:tcPr>
            <w:tcW w:w="1427" w:type="dxa"/>
            <w:tcBorders>
              <w:top w:val="single" w:sz="4" w:space="0" w:color="008FDD"/>
            </w:tcBorders>
          </w:tcPr>
          <w:p>
            <w:pPr>
              <w:pStyle w:val="TableParagraph"/>
              <w:spacing w:before="43"/>
              <w:ind w:left="80"/>
              <w:jc w:val="left"/>
              <w:rPr>
                <w:sz w:val="14"/>
              </w:rPr>
            </w:pPr>
            <w:r>
              <w:rPr>
                <w:color w:val="231F20"/>
                <w:spacing w:val="-2"/>
                <w:w w:val="85"/>
                <w:sz w:val="14"/>
              </w:rPr>
              <w:t>Guinea</w:t>
            </w:r>
          </w:p>
        </w:tc>
        <w:tc>
          <w:tcPr>
            <w:tcW w:w="1040" w:type="dxa"/>
            <w:tcBorders>
              <w:top w:val="single" w:sz="4" w:space="0" w:color="008FDD"/>
            </w:tcBorders>
          </w:tcPr>
          <w:p>
            <w:pPr>
              <w:pStyle w:val="TableParagraph"/>
              <w:spacing w:before="43"/>
              <w:ind w:right="462"/>
              <w:jc w:val="right"/>
              <w:rPr>
                <w:sz w:val="14"/>
              </w:rPr>
            </w:pPr>
            <w:r>
              <w:rPr>
                <w:color w:val="231F20"/>
                <w:spacing w:val="-10"/>
                <w:w w:val="95"/>
                <w:sz w:val="14"/>
              </w:rPr>
              <w:t>4</w:t>
            </w:r>
          </w:p>
        </w:tc>
        <w:tc>
          <w:tcPr>
            <w:tcW w:w="1087" w:type="dxa"/>
            <w:tcBorders>
              <w:top w:val="single" w:sz="4" w:space="0" w:color="008FDD"/>
            </w:tcBorders>
          </w:tcPr>
          <w:p>
            <w:pPr>
              <w:pStyle w:val="TableParagraph"/>
              <w:spacing w:before="43"/>
              <w:ind w:left="93" w:right="60"/>
              <w:rPr>
                <w:sz w:val="14"/>
              </w:rPr>
            </w:pPr>
            <w:r>
              <w:rPr>
                <w:color w:val="231F20"/>
                <w:spacing w:val="-10"/>
                <w:w w:val="95"/>
                <w:sz w:val="14"/>
              </w:rPr>
              <w:t>0</w:t>
            </w:r>
          </w:p>
        </w:tc>
        <w:tc>
          <w:tcPr>
            <w:tcW w:w="1062" w:type="dxa"/>
            <w:tcBorders>
              <w:top w:val="single" w:sz="4" w:space="0" w:color="008FDD"/>
            </w:tcBorders>
          </w:tcPr>
          <w:p>
            <w:pPr>
              <w:pStyle w:val="TableParagraph"/>
              <w:spacing w:before="43"/>
              <w:ind w:right="407"/>
              <w:jc w:val="right"/>
              <w:rPr>
                <w:sz w:val="14"/>
              </w:rPr>
            </w:pPr>
            <w:r>
              <w:rPr>
                <w:color w:val="231F20"/>
                <w:spacing w:val="-5"/>
                <w:w w:val="95"/>
                <w:sz w:val="14"/>
              </w:rPr>
              <w:t>10</w:t>
            </w:r>
          </w:p>
        </w:tc>
        <w:tc>
          <w:tcPr>
            <w:tcW w:w="1245" w:type="dxa"/>
            <w:tcBorders>
              <w:top w:val="single" w:sz="4" w:space="0" w:color="008FDD"/>
            </w:tcBorders>
          </w:tcPr>
          <w:p>
            <w:pPr>
              <w:pStyle w:val="TableParagraph"/>
              <w:spacing w:before="43"/>
              <w:ind w:left="65" w:right="8"/>
              <w:rPr>
                <w:sz w:val="14"/>
              </w:rPr>
            </w:pPr>
            <w:r>
              <w:rPr>
                <w:color w:val="231F20"/>
                <w:spacing w:val="-5"/>
                <w:w w:val="95"/>
                <w:sz w:val="14"/>
              </w:rPr>
              <w:t>2.0</w:t>
            </w:r>
          </w:p>
        </w:tc>
        <w:tc>
          <w:tcPr>
            <w:tcW w:w="1195" w:type="dxa"/>
            <w:tcBorders>
              <w:top w:val="single" w:sz="4" w:space="0" w:color="008FDD"/>
            </w:tcBorders>
          </w:tcPr>
          <w:p>
            <w:pPr>
              <w:pStyle w:val="TableParagraph"/>
              <w:spacing w:before="43"/>
              <w:ind w:left="19" w:right="155"/>
              <w:rPr>
                <w:sz w:val="14"/>
              </w:rPr>
            </w:pPr>
            <w:r>
              <w:rPr>
                <w:color w:val="231F20"/>
                <w:spacing w:val="-5"/>
                <w:w w:val="95"/>
                <w:sz w:val="14"/>
              </w:rPr>
              <w:t>2.0</w:t>
            </w:r>
          </w:p>
        </w:tc>
        <w:tc>
          <w:tcPr>
            <w:tcW w:w="921" w:type="dxa"/>
            <w:tcBorders>
              <w:top w:val="single" w:sz="4" w:space="0" w:color="008FDD"/>
            </w:tcBorders>
          </w:tcPr>
          <w:p>
            <w:pPr>
              <w:pStyle w:val="TableParagraph"/>
              <w:spacing w:before="43"/>
              <w:ind w:left="18" w:right="26"/>
              <w:rPr>
                <w:sz w:val="14"/>
              </w:rPr>
            </w:pPr>
            <w:r>
              <w:rPr>
                <w:color w:val="231F20"/>
                <w:spacing w:val="-5"/>
                <w:w w:val="95"/>
                <w:sz w:val="14"/>
              </w:rPr>
              <w:t>0.8</w:t>
            </w:r>
          </w:p>
        </w:tc>
        <w:tc>
          <w:tcPr>
            <w:tcW w:w="1249" w:type="dxa"/>
            <w:tcBorders>
              <w:top w:val="single" w:sz="4" w:space="0" w:color="008FDD"/>
            </w:tcBorders>
          </w:tcPr>
          <w:p>
            <w:pPr>
              <w:pStyle w:val="TableParagraph"/>
              <w:spacing w:before="43"/>
              <w:ind w:left="71" w:right="8"/>
              <w:rPr>
                <w:sz w:val="14"/>
              </w:rPr>
            </w:pPr>
            <w:r>
              <w:rPr>
                <w:color w:val="231F20"/>
                <w:spacing w:val="-5"/>
                <w:w w:val="95"/>
                <w:sz w:val="14"/>
              </w:rPr>
              <w:t>2.0</w:t>
            </w:r>
          </w:p>
        </w:tc>
        <w:tc>
          <w:tcPr>
            <w:tcW w:w="1095" w:type="dxa"/>
            <w:tcBorders>
              <w:top w:val="single" w:sz="4" w:space="0" w:color="008FDD"/>
            </w:tcBorders>
          </w:tcPr>
          <w:p>
            <w:pPr>
              <w:pStyle w:val="TableParagraph"/>
              <w:spacing w:before="43"/>
              <w:ind w:left="21" w:right="55"/>
              <w:rPr>
                <w:sz w:val="14"/>
              </w:rPr>
            </w:pPr>
            <w:r>
              <w:rPr>
                <w:color w:val="231F20"/>
                <w:spacing w:val="-5"/>
                <w:w w:val="95"/>
                <w:sz w:val="14"/>
              </w:rPr>
              <w:t>2.0</w:t>
            </w:r>
          </w:p>
        </w:tc>
      </w:tr>
      <w:tr>
        <w:trPr>
          <w:trHeight w:val="259" w:hRule="atLeast"/>
        </w:trPr>
        <w:tc>
          <w:tcPr>
            <w:tcW w:w="1427" w:type="dxa"/>
            <w:shd w:val="clear" w:color="auto" w:fill="D4E3F5"/>
          </w:tcPr>
          <w:p>
            <w:pPr>
              <w:pStyle w:val="TableParagraph"/>
              <w:ind w:left="80"/>
              <w:jc w:val="left"/>
              <w:rPr>
                <w:sz w:val="14"/>
              </w:rPr>
            </w:pPr>
            <w:r>
              <w:rPr>
                <w:color w:val="231F20"/>
                <w:w w:val="75"/>
                <w:sz w:val="14"/>
              </w:rPr>
              <w:t>Guinea-</w:t>
            </w:r>
            <w:r>
              <w:rPr>
                <w:color w:val="231F20"/>
                <w:spacing w:val="-2"/>
                <w:w w:val="85"/>
                <w:sz w:val="14"/>
              </w:rPr>
              <w:t>Bissau</w:t>
            </w:r>
          </w:p>
        </w:tc>
        <w:tc>
          <w:tcPr>
            <w:tcW w:w="1040" w:type="dxa"/>
            <w:shd w:val="clear" w:color="auto" w:fill="D4E3F5"/>
          </w:tcPr>
          <w:p>
            <w:pPr>
              <w:pStyle w:val="TableParagraph"/>
              <w:ind w:right="462"/>
              <w:jc w:val="right"/>
              <w:rPr>
                <w:sz w:val="14"/>
              </w:rPr>
            </w:pPr>
            <w:r>
              <w:rPr>
                <w:color w:val="231F20"/>
                <w:spacing w:val="-10"/>
                <w:w w:val="95"/>
                <w:sz w:val="14"/>
              </w:rPr>
              <w:t>2</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7"/>
              <w:jc w:val="right"/>
              <w:rPr>
                <w:sz w:val="14"/>
              </w:rPr>
            </w:pPr>
            <w:r>
              <w:rPr>
                <w:color w:val="231F20"/>
                <w:spacing w:val="-10"/>
                <w:w w:val="95"/>
                <w:sz w:val="14"/>
              </w:rPr>
              <w:t>4</w:t>
            </w:r>
          </w:p>
        </w:tc>
        <w:tc>
          <w:tcPr>
            <w:tcW w:w="1245" w:type="dxa"/>
            <w:shd w:val="clear" w:color="auto" w:fill="D4E3F5"/>
          </w:tcPr>
          <w:p>
            <w:pPr>
              <w:pStyle w:val="TableParagraph"/>
              <w:ind w:left="65" w:right="7"/>
              <w:rPr>
                <w:sz w:val="14"/>
              </w:rPr>
            </w:pPr>
            <w:r>
              <w:rPr>
                <w:color w:val="231F20"/>
                <w:spacing w:val="-5"/>
                <w:w w:val="95"/>
                <w:sz w:val="14"/>
              </w:rPr>
              <w:t>3.9</w:t>
            </w:r>
          </w:p>
        </w:tc>
        <w:tc>
          <w:tcPr>
            <w:tcW w:w="1195" w:type="dxa"/>
            <w:shd w:val="clear" w:color="auto" w:fill="D4E3F5"/>
          </w:tcPr>
          <w:p>
            <w:pPr>
              <w:pStyle w:val="TableParagraph"/>
              <w:ind w:left="20" w:right="155"/>
              <w:rPr>
                <w:sz w:val="14"/>
              </w:rPr>
            </w:pPr>
            <w:r>
              <w:rPr>
                <w:color w:val="231F20"/>
                <w:spacing w:val="-5"/>
                <w:w w:val="95"/>
                <w:sz w:val="14"/>
              </w:rPr>
              <w:t>3.5</w:t>
            </w:r>
          </w:p>
        </w:tc>
        <w:tc>
          <w:tcPr>
            <w:tcW w:w="921" w:type="dxa"/>
            <w:shd w:val="clear" w:color="auto" w:fill="D4E3F5"/>
          </w:tcPr>
          <w:p>
            <w:pPr>
              <w:pStyle w:val="TableParagraph"/>
              <w:ind w:left="6" w:right="26"/>
              <w:rPr>
                <w:sz w:val="14"/>
              </w:rPr>
            </w:pPr>
            <w:r>
              <w:rPr>
                <w:color w:val="231F20"/>
                <w:spacing w:val="-5"/>
                <w:w w:val="95"/>
                <w:sz w:val="14"/>
              </w:rPr>
              <w:t>1.1</w:t>
            </w:r>
          </w:p>
        </w:tc>
        <w:tc>
          <w:tcPr>
            <w:tcW w:w="1249" w:type="dxa"/>
            <w:shd w:val="clear" w:color="auto" w:fill="D4E3F5"/>
          </w:tcPr>
          <w:p>
            <w:pPr>
              <w:pStyle w:val="TableParagraph"/>
              <w:ind w:left="71" w:right="14"/>
              <w:rPr>
                <w:sz w:val="14"/>
              </w:rPr>
            </w:pPr>
            <w:r>
              <w:rPr>
                <w:color w:val="231F20"/>
                <w:spacing w:val="-5"/>
                <w:w w:val="95"/>
                <w:sz w:val="14"/>
              </w:rPr>
              <w:t>3.7</w:t>
            </w:r>
          </w:p>
        </w:tc>
        <w:tc>
          <w:tcPr>
            <w:tcW w:w="1095" w:type="dxa"/>
            <w:shd w:val="clear" w:color="auto" w:fill="D4E3F5"/>
          </w:tcPr>
          <w:p>
            <w:pPr>
              <w:pStyle w:val="TableParagraph"/>
              <w:ind w:left="22" w:right="55"/>
              <w:rPr>
                <w:sz w:val="14"/>
              </w:rPr>
            </w:pPr>
            <w:r>
              <w:rPr>
                <w:color w:val="231F20"/>
                <w:spacing w:val="-5"/>
                <w:w w:val="95"/>
                <w:sz w:val="14"/>
              </w:rPr>
              <w:t>3.5</w:t>
            </w:r>
          </w:p>
        </w:tc>
      </w:tr>
      <w:tr>
        <w:trPr>
          <w:trHeight w:val="259" w:hRule="atLeast"/>
        </w:trPr>
        <w:tc>
          <w:tcPr>
            <w:tcW w:w="1427" w:type="dxa"/>
          </w:tcPr>
          <w:p>
            <w:pPr>
              <w:pStyle w:val="TableParagraph"/>
              <w:ind w:left="80"/>
              <w:jc w:val="left"/>
              <w:rPr>
                <w:sz w:val="14"/>
              </w:rPr>
            </w:pPr>
            <w:r>
              <w:rPr>
                <w:color w:val="231F20"/>
                <w:spacing w:val="-2"/>
                <w:w w:val="85"/>
                <w:sz w:val="14"/>
              </w:rPr>
              <w:t>Guyana</w:t>
            </w:r>
          </w:p>
        </w:tc>
        <w:tc>
          <w:tcPr>
            <w:tcW w:w="1040" w:type="dxa"/>
          </w:tcPr>
          <w:p>
            <w:pPr>
              <w:pStyle w:val="TableParagraph"/>
              <w:ind w:right="462"/>
              <w:jc w:val="right"/>
              <w:rPr>
                <w:sz w:val="14"/>
              </w:rPr>
            </w:pPr>
            <w:r>
              <w:rPr>
                <w:color w:val="231F20"/>
                <w:spacing w:val="-10"/>
                <w:w w:val="95"/>
                <w:sz w:val="14"/>
              </w:rPr>
              <w:t>9</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9"/>
              <w:jc w:val="right"/>
              <w:rPr>
                <w:sz w:val="14"/>
              </w:rPr>
            </w:pPr>
            <w:r>
              <w:rPr>
                <w:color w:val="231F20"/>
                <w:spacing w:val="-5"/>
                <w:w w:val="95"/>
                <w:sz w:val="14"/>
              </w:rPr>
              <w:t>16</w:t>
            </w:r>
          </w:p>
        </w:tc>
        <w:tc>
          <w:tcPr>
            <w:tcW w:w="1245" w:type="dxa"/>
          </w:tcPr>
          <w:p>
            <w:pPr>
              <w:pStyle w:val="TableParagraph"/>
              <w:ind w:left="65" w:right="1"/>
              <w:rPr>
                <w:sz w:val="14"/>
              </w:rPr>
            </w:pPr>
            <w:r>
              <w:rPr>
                <w:color w:val="231F20"/>
                <w:spacing w:val="-5"/>
                <w:w w:val="95"/>
                <w:sz w:val="14"/>
              </w:rPr>
              <w:t>1.5</w:t>
            </w:r>
          </w:p>
        </w:tc>
        <w:tc>
          <w:tcPr>
            <w:tcW w:w="1195" w:type="dxa"/>
          </w:tcPr>
          <w:p>
            <w:pPr>
              <w:pStyle w:val="TableParagraph"/>
              <w:ind w:left="24" w:right="155"/>
              <w:rPr>
                <w:sz w:val="14"/>
              </w:rPr>
            </w:pPr>
            <w:r>
              <w:rPr>
                <w:color w:val="231F20"/>
                <w:spacing w:val="-5"/>
                <w:w w:val="95"/>
                <w:sz w:val="14"/>
              </w:rPr>
              <w:t>1.4</w:t>
            </w:r>
          </w:p>
        </w:tc>
        <w:tc>
          <w:tcPr>
            <w:tcW w:w="921" w:type="dxa"/>
          </w:tcPr>
          <w:p>
            <w:pPr>
              <w:pStyle w:val="TableParagraph"/>
              <w:ind w:left="18" w:right="26"/>
              <w:rPr>
                <w:sz w:val="14"/>
              </w:rPr>
            </w:pPr>
            <w:r>
              <w:rPr>
                <w:color w:val="231F20"/>
                <w:spacing w:val="-5"/>
                <w:w w:val="95"/>
                <w:sz w:val="14"/>
              </w:rPr>
              <w:t>0.6</w:t>
            </w:r>
          </w:p>
        </w:tc>
        <w:tc>
          <w:tcPr>
            <w:tcW w:w="1249" w:type="dxa"/>
          </w:tcPr>
          <w:p>
            <w:pPr>
              <w:pStyle w:val="TableParagraph"/>
              <w:ind w:left="71" w:right="1"/>
              <w:rPr>
                <w:sz w:val="14"/>
              </w:rPr>
            </w:pPr>
            <w:r>
              <w:rPr>
                <w:color w:val="231F20"/>
                <w:spacing w:val="-5"/>
                <w:w w:val="95"/>
                <w:sz w:val="14"/>
              </w:rPr>
              <w:t>1.5</w:t>
            </w:r>
          </w:p>
        </w:tc>
        <w:tc>
          <w:tcPr>
            <w:tcW w:w="1095" w:type="dxa"/>
          </w:tcPr>
          <w:p>
            <w:pPr>
              <w:pStyle w:val="TableParagraph"/>
              <w:ind w:left="26" w:right="55"/>
              <w:rPr>
                <w:sz w:val="14"/>
              </w:rPr>
            </w:pPr>
            <w:r>
              <w:rPr>
                <w:color w:val="231F20"/>
                <w:spacing w:val="-5"/>
                <w:w w:val="95"/>
                <w:sz w:val="14"/>
              </w:rPr>
              <w:t>1.4</w:t>
            </w:r>
          </w:p>
        </w:tc>
      </w:tr>
      <w:tr>
        <w:trPr>
          <w:trHeight w:val="259" w:hRule="atLeast"/>
        </w:trPr>
        <w:tc>
          <w:tcPr>
            <w:tcW w:w="1427" w:type="dxa"/>
            <w:shd w:val="clear" w:color="auto" w:fill="D4E3F5"/>
          </w:tcPr>
          <w:p>
            <w:pPr>
              <w:pStyle w:val="TableParagraph"/>
              <w:ind w:left="80"/>
              <w:jc w:val="left"/>
              <w:rPr>
                <w:sz w:val="14"/>
              </w:rPr>
            </w:pPr>
            <w:r>
              <w:rPr>
                <w:color w:val="231F20"/>
                <w:spacing w:val="-2"/>
                <w:w w:val="90"/>
                <w:sz w:val="14"/>
              </w:rPr>
              <w:t>Haiti</w:t>
            </w:r>
          </w:p>
        </w:tc>
        <w:tc>
          <w:tcPr>
            <w:tcW w:w="1040" w:type="dxa"/>
            <w:shd w:val="clear" w:color="auto" w:fill="D4E3F5"/>
          </w:tcPr>
          <w:p>
            <w:pPr>
              <w:pStyle w:val="TableParagraph"/>
              <w:ind w:right="462"/>
              <w:jc w:val="right"/>
              <w:rPr>
                <w:sz w:val="14"/>
              </w:rPr>
            </w:pPr>
            <w:r>
              <w:rPr>
                <w:color w:val="231F20"/>
                <w:spacing w:val="-5"/>
                <w:w w:val="95"/>
                <w:sz w:val="14"/>
              </w:rPr>
              <w:t>10</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7"/>
              <w:jc w:val="right"/>
              <w:rPr>
                <w:sz w:val="14"/>
              </w:rPr>
            </w:pPr>
            <w:r>
              <w:rPr>
                <w:color w:val="231F20"/>
                <w:spacing w:val="-5"/>
                <w:w w:val="95"/>
                <w:sz w:val="14"/>
              </w:rPr>
              <w:t>10</w:t>
            </w:r>
          </w:p>
        </w:tc>
        <w:tc>
          <w:tcPr>
            <w:tcW w:w="1245" w:type="dxa"/>
            <w:shd w:val="clear" w:color="auto" w:fill="D4E3F5"/>
          </w:tcPr>
          <w:p>
            <w:pPr>
              <w:pStyle w:val="TableParagraph"/>
              <w:ind w:left="65" w:right="8"/>
              <w:rPr>
                <w:sz w:val="14"/>
              </w:rPr>
            </w:pPr>
            <w:r>
              <w:rPr>
                <w:color w:val="231F20"/>
                <w:spacing w:val="-5"/>
                <w:w w:val="95"/>
                <w:sz w:val="14"/>
              </w:rPr>
              <w:t>0.8</w:t>
            </w:r>
          </w:p>
        </w:tc>
        <w:tc>
          <w:tcPr>
            <w:tcW w:w="1195" w:type="dxa"/>
            <w:shd w:val="clear" w:color="auto" w:fill="D4E3F5"/>
          </w:tcPr>
          <w:p>
            <w:pPr>
              <w:pStyle w:val="TableParagraph"/>
              <w:ind w:left="19" w:right="155"/>
              <w:rPr>
                <w:sz w:val="14"/>
              </w:rPr>
            </w:pPr>
            <w:r>
              <w:rPr>
                <w:color w:val="231F20"/>
                <w:spacing w:val="-5"/>
                <w:w w:val="95"/>
                <w:sz w:val="14"/>
              </w:rPr>
              <w:t>0.8</w:t>
            </w:r>
          </w:p>
        </w:tc>
        <w:tc>
          <w:tcPr>
            <w:tcW w:w="921" w:type="dxa"/>
            <w:shd w:val="clear" w:color="auto" w:fill="D4E3F5"/>
          </w:tcPr>
          <w:p>
            <w:pPr>
              <w:pStyle w:val="TableParagraph"/>
              <w:ind w:left="18" w:right="26"/>
              <w:rPr>
                <w:sz w:val="14"/>
              </w:rPr>
            </w:pPr>
            <w:r>
              <w:rPr>
                <w:color w:val="231F20"/>
                <w:spacing w:val="-5"/>
                <w:w w:val="95"/>
                <w:sz w:val="14"/>
              </w:rPr>
              <w:t>0.6</w:t>
            </w:r>
          </w:p>
        </w:tc>
        <w:tc>
          <w:tcPr>
            <w:tcW w:w="1249" w:type="dxa"/>
            <w:shd w:val="clear" w:color="auto" w:fill="D4E3F5"/>
          </w:tcPr>
          <w:p>
            <w:pPr>
              <w:pStyle w:val="TableParagraph"/>
              <w:ind w:left="71" w:right="8"/>
              <w:rPr>
                <w:sz w:val="14"/>
              </w:rPr>
            </w:pPr>
            <w:r>
              <w:rPr>
                <w:color w:val="231F20"/>
                <w:spacing w:val="-5"/>
                <w:w w:val="95"/>
                <w:sz w:val="14"/>
              </w:rPr>
              <w:t>0.8</w:t>
            </w:r>
          </w:p>
        </w:tc>
        <w:tc>
          <w:tcPr>
            <w:tcW w:w="1095" w:type="dxa"/>
            <w:shd w:val="clear" w:color="auto" w:fill="D4E3F5"/>
          </w:tcPr>
          <w:p>
            <w:pPr>
              <w:pStyle w:val="TableParagraph"/>
              <w:ind w:left="21" w:right="55"/>
              <w:rPr>
                <w:sz w:val="14"/>
              </w:rPr>
            </w:pPr>
            <w:r>
              <w:rPr>
                <w:color w:val="231F20"/>
                <w:spacing w:val="-5"/>
                <w:w w:val="95"/>
                <w:sz w:val="14"/>
              </w:rPr>
              <w:t>0.8</w:t>
            </w:r>
          </w:p>
        </w:tc>
      </w:tr>
      <w:tr>
        <w:trPr>
          <w:trHeight w:val="259" w:hRule="atLeast"/>
        </w:trPr>
        <w:tc>
          <w:tcPr>
            <w:tcW w:w="1427" w:type="dxa"/>
          </w:tcPr>
          <w:p>
            <w:pPr>
              <w:pStyle w:val="TableParagraph"/>
              <w:ind w:left="80"/>
              <w:jc w:val="left"/>
              <w:rPr>
                <w:sz w:val="14"/>
              </w:rPr>
            </w:pPr>
            <w:r>
              <w:rPr>
                <w:color w:val="231F20"/>
                <w:spacing w:val="-2"/>
                <w:w w:val="90"/>
                <w:sz w:val="14"/>
              </w:rPr>
              <w:t>Honduras</w:t>
            </w:r>
          </w:p>
        </w:tc>
        <w:tc>
          <w:tcPr>
            <w:tcW w:w="1040" w:type="dxa"/>
          </w:tcPr>
          <w:p>
            <w:pPr>
              <w:pStyle w:val="TableParagraph"/>
              <w:ind w:right="457"/>
              <w:jc w:val="right"/>
              <w:rPr>
                <w:sz w:val="14"/>
              </w:rPr>
            </w:pPr>
            <w:r>
              <w:rPr>
                <w:color w:val="231F20"/>
                <w:spacing w:val="-5"/>
                <w:w w:val="95"/>
                <w:sz w:val="14"/>
              </w:rPr>
              <w:t>20</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11"/>
              <w:jc w:val="right"/>
              <w:rPr>
                <w:sz w:val="14"/>
              </w:rPr>
            </w:pPr>
            <w:r>
              <w:rPr>
                <w:color w:val="231F20"/>
                <w:spacing w:val="-5"/>
                <w:w w:val="95"/>
                <w:sz w:val="14"/>
              </w:rPr>
              <w:t>13</w:t>
            </w:r>
          </w:p>
        </w:tc>
        <w:tc>
          <w:tcPr>
            <w:tcW w:w="1245" w:type="dxa"/>
          </w:tcPr>
          <w:p>
            <w:pPr>
              <w:pStyle w:val="TableParagraph"/>
              <w:ind w:left="65" w:right="8"/>
              <w:rPr>
                <w:sz w:val="14"/>
              </w:rPr>
            </w:pPr>
            <w:r>
              <w:rPr>
                <w:color w:val="231F20"/>
                <w:spacing w:val="-5"/>
                <w:w w:val="95"/>
                <w:sz w:val="14"/>
              </w:rPr>
              <w:t>0.5</w:t>
            </w:r>
          </w:p>
        </w:tc>
        <w:tc>
          <w:tcPr>
            <w:tcW w:w="1195" w:type="dxa"/>
          </w:tcPr>
          <w:p>
            <w:pPr>
              <w:pStyle w:val="TableParagraph"/>
              <w:ind w:left="19" w:right="155"/>
              <w:rPr>
                <w:sz w:val="14"/>
              </w:rPr>
            </w:pPr>
            <w:r>
              <w:rPr>
                <w:color w:val="231F20"/>
                <w:spacing w:val="-5"/>
                <w:w w:val="95"/>
                <w:sz w:val="14"/>
              </w:rPr>
              <w:t>0.6</w:t>
            </w:r>
          </w:p>
        </w:tc>
        <w:tc>
          <w:tcPr>
            <w:tcW w:w="921" w:type="dxa"/>
          </w:tcPr>
          <w:p>
            <w:pPr>
              <w:pStyle w:val="TableParagraph"/>
              <w:ind w:left="18" w:right="26"/>
              <w:rPr>
                <w:sz w:val="14"/>
              </w:rPr>
            </w:pPr>
            <w:r>
              <w:rPr>
                <w:color w:val="231F20"/>
                <w:spacing w:val="-5"/>
                <w:w w:val="95"/>
                <w:sz w:val="14"/>
              </w:rPr>
              <w:t>0.3</w:t>
            </w:r>
          </w:p>
        </w:tc>
        <w:tc>
          <w:tcPr>
            <w:tcW w:w="1249" w:type="dxa"/>
          </w:tcPr>
          <w:p>
            <w:pPr>
              <w:pStyle w:val="TableParagraph"/>
              <w:ind w:left="71" w:right="8"/>
              <w:rPr>
                <w:sz w:val="14"/>
              </w:rPr>
            </w:pPr>
            <w:r>
              <w:rPr>
                <w:color w:val="231F20"/>
                <w:spacing w:val="-5"/>
                <w:w w:val="95"/>
                <w:sz w:val="14"/>
              </w:rPr>
              <w:t>0.5</w:t>
            </w:r>
          </w:p>
        </w:tc>
        <w:tc>
          <w:tcPr>
            <w:tcW w:w="1095" w:type="dxa"/>
          </w:tcPr>
          <w:p>
            <w:pPr>
              <w:pStyle w:val="TableParagraph"/>
              <w:ind w:left="21" w:right="55"/>
              <w:rPr>
                <w:sz w:val="14"/>
              </w:rPr>
            </w:pPr>
            <w:r>
              <w:rPr>
                <w:color w:val="231F20"/>
                <w:spacing w:val="-5"/>
                <w:w w:val="95"/>
                <w:sz w:val="14"/>
              </w:rPr>
              <w:t>0.6</w:t>
            </w:r>
          </w:p>
        </w:tc>
      </w:tr>
      <w:tr>
        <w:trPr>
          <w:trHeight w:val="259" w:hRule="atLeast"/>
        </w:trPr>
        <w:tc>
          <w:tcPr>
            <w:tcW w:w="1427" w:type="dxa"/>
            <w:shd w:val="clear" w:color="auto" w:fill="D4E3F5"/>
          </w:tcPr>
          <w:p>
            <w:pPr>
              <w:pStyle w:val="TableParagraph"/>
              <w:ind w:left="80"/>
              <w:jc w:val="left"/>
              <w:rPr>
                <w:sz w:val="14"/>
              </w:rPr>
            </w:pPr>
            <w:r>
              <w:rPr>
                <w:color w:val="231F20"/>
                <w:w w:val="75"/>
                <w:sz w:val="14"/>
              </w:rPr>
              <w:t>Hong</w:t>
            </w:r>
            <w:r>
              <w:rPr>
                <w:color w:val="231F20"/>
                <w:spacing w:val="1"/>
                <w:sz w:val="14"/>
              </w:rPr>
              <w:t> </w:t>
            </w:r>
            <w:r>
              <w:rPr>
                <w:color w:val="231F20"/>
                <w:w w:val="75"/>
                <w:sz w:val="14"/>
              </w:rPr>
              <w:t>Kong</w:t>
            </w:r>
            <w:r>
              <w:rPr>
                <w:color w:val="231F20"/>
                <w:spacing w:val="2"/>
                <w:sz w:val="14"/>
              </w:rPr>
              <w:t> </w:t>
            </w:r>
            <w:r>
              <w:rPr>
                <w:color w:val="231F20"/>
                <w:w w:val="75"/>
                <w:sz w:val="14"/>
              </w:rPr>
              <w:t>SAR,</w:t>
            </w:r>
            <w:r>
              <w:rPr>
                <w:color w:val="231F20"/>
                <w:spacing w:val="1"/>
                <w:sz w:val="14"/>
              </w:rPr>
              <w:t> </w:t>
            </w:r>
            <w:r>
              <w:rPr>
                <w:color w:val="231F20"/>
                <w:spacing w:val="-2"/>
                <w:w w:val="75"/>
                <w:sz w:val="14"/>
              </w:rPr>
              <w:t>China</w:t>
            </w:r>
          </w:p>
        </w:tc>
        <w:tc>
          <w:tcPr>
            <w:tcW w:w="1040" w:type="dxa"/>
            <w:shd w:val="clear" w:color="auto" w:fill="D4E3F5"/>
          </w:tcPr>
          <w:p>
            <w:pPr>
              <w:pStyle w:val="TableParagraph"/>
              <w:ind w:right="461"/>
              <w:jc w:val="right"/>
              <w:rPr>
                <w:sz w:val="14"/>
              </w:rPr>
            </w:pPr>
            <w:r>
              <w:rPr>
                <w:color w:val="231F20"/>
                <w:spacing w:val="-5"/>
                <w:w w:val="95"/>
                <w:sz w:val="14"/>
              </w:rPr>
              <w:t>183</w:t>
            </w:r>
          </w:p>
        </w:tc>
        <w:tc>
          <w:tcPr>
            <w:tcW w:w="1087" w:type="dxa"/>
            <w:shd w:val="clear" w:color="auto" w:fill="D4E3F5"/>
          </w:tcPr>
          <w:p>
            <w:pPr>
              <w:pStyle w:val="TableParagraph"/>
              <w:ind w:left="93" w:right="60"/>
              <w:rPr>
                <w:sz w:val="14"/>
              </w:rPr>
            </w:pPr>
            <w:r>
              <w:rPr>
                <w:color w:val="231F20"/>
                <w:spacing w:val="-10"/>
                <w:w w:val="95"/>
                <w:sz w:val="14"/>
              </w:rPr>
              <w:t>4</w:t>
            </w:r>
          </w:p>
        </w:tc>
        <w:tc>
          <w:tcPr>
            <w:tcW w:w="1062" w:type="dxa"/>
            <w:shd w:val="clear" w:color="auto" w:fill="D4E3F5"/>
          </w:tcPr>
          <w:p>
            <w:pPr>
              <w:pStyle w:val="TableParagraph"/>
              <w:ind w:right="402"/>
              <w:jc w:val="right"/>
              <w:rPr>
                <w:sz w:val="14"/>
              </w:rPr>
            </w:pPr>
            <w:r>
              <w:rPr>
                <w:color w:val="231F20"/>
                <w:spacing w:val="-5"/>
                <w:w w:val="95"/>
                <w:sz w:val="14"/>
              </w:rPr>
              <w:t>59</w:t>
            </w:r>
          </w:p>
        </w:tc>
        <w:tc>
          <w:tcPr>
            <w:tcW w:w="1245" w:type="dxa"/>
            <w:shd w:val="clear" w:color="auto" w:fill="D4E3F5"/>
          </w:tcPr>
          <w:p>
            <w:pPr>
              <w:pStyle w:val="TableParagraph"/>
              <w:ind w:left="65" w:right="8"/>
              <w:rPr>
                <w:sz w:val="14"/>
              </w:rPr>
            </w:pPr>
            <w:r>
              <w:rPr>
                <w:color w:val="231F20"/>
                <w:spacing w:val="-5"/>
                <w:w w:val="95"/>
                <w:sz w:val="14"/>
              </w:rPr>
              <w:t>0.6</w:t>
            </w:r>
          </w:p>
        </w:tc>
        <w:tc>
          <w:tcPr>
            <w:tcW w:w="1195" w:type="dxa"/>
            <w:shd w:val="clear" w:color="auto" w:fill="D4E3F5"/>
          </w:tcPr>
          <w:p>
            <w:pPr>
              <w:pStyle w:val="TableParagraph"/>
              <w:ind w:left="14" w:right="155"/>
              <w:rPr>
                <w:sz w:val="14"/>
              </w:rPr>
            </w:pPr>
            <w:r>
              <w:rPr>
                <w:color w:val="231F20"/>
                <w:spacing w:val="-5"/>
                <w:w w:val="95"/>
                <w:sz w:val="14"/>
              </w:rPr>
              <w:t>0.7</w:t>
            </w:r>
          </w:p>
        </w:tc>
        <w:tc>
          <w:tcPr>
            <w:tcW w:w="921" w:type="dxa"/>
            <w:shd w:val="clear" w:color="auto" w:fill="D4E3F5"/>
          </w:tcPr>
          <w:p>
            <w:pPr>
              <w:pStyle w:val="TableParagraph"/>
              <w:ind w:left="18" w:right="26"/>
              <w:rPr>
                <w:sz w:val="14"/>
              </w:rPr>
            </w:pPr>
            <w:r>
              <w:rPr>
                <w:color w:val="231F20"/>
                <w:spacing w:val="-5"/>
                <w:w w:val="95"/>
                <w:sz w:val="14"/>
              </w:rPr>
              <w:t>0.3</w:t>
            </w:r>
          </w:p>
        </w:tc>
        <w:tc>
          <w:tcPr>
            <w:tcW w:w="1249" w:type="dxa"/>
            <w:shd w:val="clear" w:color="auto" w:fill="D4E3F5"/>
          </w:tcPr>
          <w:p>
            <w:pPr>
              <w:pStyle w:val="TableParagraph"/>
              <w:ind w:left="71" w:right="13"/>
              <w:rPr>
                <w:sz w:val="14"/>
              </w:rPr>
            </w:pPr>
            <w:r>
              <w:rPr>
                <w:color w:val="231F20"/>
                <w:spacing w:val="-5"/>
                <w:w w:val="95"/>
                <w:sz w:val="14"/>
              </w:rPr>
              <w:t>0.7</w:t>
            </w:r>
          </w:p>
        </w:tc>
        <w:tc>
          <w:tcPr>
            <w:tcW w:w="1095" w:type="dxa"/>
            <w:shd w:val="clear" w:color="auto" w:fill="D4E3F5"/>
          </w:tcPr>
          <w:p>
            <w:pPr>
              <w:pStyle w:val="TableParagraph"/>
              <w:ind w:left="21" w:right="55"/>
              <w:rPr>
                <w:sz w:val="14"/>
              </w:rPr>
            </w:pPr>
            <w:r>
              <w:rPr>
                <w:color w:val="231F20"/>
                <w:spacing w:val="-5"/>
                <w:w w:val="95"/>
                <w:sz w:val="14"/>
              </w:rPr>
              <w:t>0.8</w:t>
            </w:r>
          </w:p>
        </w:tc>
      </w:tr>
      <w:tr>
        <w:trPr>
          <w:trHeight w:val="259" w:hRule="atLeast"/>
        </w:trPr>
        <w:tc>
          <w:tcPr>
            <w:tcW w:w="1427" w:type="dxa"/>
          </w:tcPr>
          <w:p>
            <w:pPr>
              <w:pStyle w:val="TableParagraph"/>
              <w:ind w:left="80"/>
              <w:jc w:val="left"/>
              <w:rPr>
                <w:sz w:val="14"/>
              </w:rPr>
            </w:pPr>
            <w:r>
              <w:rPr>
                <w:color w:val="231F20"/>
                <w:spacing w:val="-2"/>
                <w:w w:val="85"/>
                <w:sz w:val="14"/>
              </w:rPr>
              <w:t>Iceland</w:t>
            </w:r>
          </w:p>
        </w:tc>
        <w:tc>
          <w:tcPr>
            <w:tcW w:w="1040" w:type="dxa"/>
          </w:tcPr>
          <w:p>
            <w:pPr>
              <w:pStyle w:val="TableParagraph"/>
              <w:ind w:right="462"/>
              <w:jc w:val="right"/>
              <w:rPr>
                <w:sz w:val="14"/>
              </w:rPr>
            </w:pPr>
            <w:r>
              <w:rPr>
                <w:color w:val="231F20"/>
                <w:spacing w:val="-10"/>
                <w:w w:val="95"/>
                <w:sz w:val="14"/>
              </w:rPr>
              <w:t>8</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7"/>
              <w:jc w:val="right"/>
              <w:rPr>
                <w:sz w:val="14"/>
              </w:rPr>
            </w:pPr>
            <w:r>
              <w:rPr>
                <w:color w:val="231F20"/>
                <w:spacing w:val="-5"/>
                <w:w w:val="95"/>
                <w:sz w:val="14"/>
              </w:rPr>
              <w:t>10</w:t>
            </w:r>
          </w:p>
        </w:tc>
        <w:tc>
          <w:tcPr>
            <w:tcW w:w="1245" w:type="dxa"/>
          </w:tcPr>
          <w:p>
            <w:pPr>
              <w:pStyle w:val="TableParagraph"/>
              <w:ind w:left="65" w:right="8"/>
              <w:rPr>
                <w:sz w:val="14"/>
              </w:rPr>
            </w:pPr>
            <w:r>
              <w:rPr>
                <w:color w:val="231F20"/>
                <w:spacing w:val="-5"/>
                <w:w w:val="95"/>
                <w:sz w:val="14"/>
              </w:rPr>
              <w:t>0.6</w:t>
            </w:r>
          </w:p>
        </w:tc>
        <w:tc>
          <w:tcPr>
            <w:tcW w:w="1195" w:type="dxa"/>
          </w:tcPr>
          <w:p>
            <w:pPr>
              <w:pStyle w:val="TableParagraph"/>
              <w:ind w:left="19" w:right="155"/>
              <w:rPr>
                <w:sz w:val="14"/>
              </w:rPr>
            </w:pPr>
            <w:r>
              <w:rPr>
                <w:color w:val="231F20"/>
                <w:spacing w:val="-5"/>
                <w:w w:val="95"/>
                <w:sz w:val="14"/>
              </w:rPr>
              <w:t>0.8</w:t>
            </w:r>
          </w:p>
        </w:tc>
        <w:tc>
          <w:tcPr>
            <w:tcW w:w="921" w:type="dxa"/>
          </w:tcPr>
          <w:p>
            <w:pPr>
              <w:pStyle w:val="TableParagraph"/>
              <w:ind w:left="18" w:right="26"/>
              <w:rPr>
                <w:sz w:val="14"/>
              </w:rPr>
            </w:pPr>
            <w:r>
              <w:rPr>
                <w:color w:val="231F20"/>
                <w:spacing w:val="-5"/>
                <w:w w:val="95"/>
                <w:sz w:val="14"/>
              </w:rPr>
              <w:t>0.9</w:t>
            </w:r>
          </w:p>
        </w:tc>
        <w:tc>
          <w:tcPr>
            <w:tcW w:w="1249" w:type="dxa"/>
          </w:tcPr>
          <w:p>
            <w:pPr>
              <w:pStyle w:val="TableParagraph"/>
              <w:ind w:left="71" w:right="8"/>
              <w:rPr>
                <w:sz w:val="14"/>
              </w:rPr>
            </w:pPr>
            <w:r>
              <w:rPr>
                <w:color w:val="231F20"/>
                <w:spacing w:val="-5"/>
                <w:w w:val="95"/>
                <w:sz w:val="14"/>
              </w:rPr>
              <w:t>0.8</w:t>
            </w:r>
          </w:p>
        </w:tc>
        <w:tc>
          <w:tcPr>
            <w:tcW w:w="1095" w:type="dxa"/>
          </w:tcPr>
          <w:p>
            <w:pPr>
              <w:pStyle w:val="TableParagraph"/>
              <w:ind w:left="21" w:right="55"/>
              <w:rPr>
                <w:sz w:val="14"/>
              </w:rPr>
            </w:pPr>
            <w:r>
              <w:rPr>
                <w:color w:val="231F20"/>
                <w:spacing w:val="-5"/>
                <w:w w:val="95"/>
                <w:sz w:val="14"/>
              </w:rPr>
              <w:t>0.9</w:t>
            </w:r>
          </w:p>
        </w:tc>
      </w:tr>
      <w:tr>
        <w:trPr>
          <w:trHeight w:val="259" w:hRule="atLeast"/>
        </w:trPr>
        <w:tc>
          <w:tcPr>
            <w:tcW w:w="1427" w:type="dxa"/>
            <w:shd w:val="clear" w:color="auto" w:fill="D4E3F5"/>
          </w:tcPr>
          <w:p>
            <w:pPr>
              <w:pStyle w:val="TableParagraph"/>
              <w:ind w:left="80"/>
              <w:jc w:val="left"/>
              <w:rPr>
                <w:sz w:val="14"/>
              </w:rPr>
            </w:pPr>
            <w:r>
              <w:rPr>
                <w:color w:val="231F20"/>
                <w:spacing w:val="-4"/>
                <w:w w:val="85"/>
                <w:sz w:val="14"/>
              </w:rPr>
              <w:t>India</w:t>
            </w:r>
          </w:p>
        </w:tc>
        <w:tc>
          <w:tcPr>
            <w:tcW w:w="1040" w:type="dxa"/>
            <w:shd w:val="clear" w:color="auto" w:fill="D4E3F5"/>
          </w:tcPr>
          <w:p>
            <w:pPr>
              <w:pStyle w:val="TableParagraph"/>
              <w:ind w:right="461"/>
              <w:jc w:val="right"/>
              <w:rPr>
                <w:sz w:val="14"/>
              </w:rPr>
            </w:pPr>
            <w:r>
              <w:rPr>
                <w:color w:val="231F20"/>
                <w:spacing w:val="-5"/>
                <w:w w:val="95"/>
                <w:sz w:val="14"/>
              </w:rPr>
              <w:t>117</w:t>
            </w:r>
          </w:p>
        </w:tc>
        <w:tc>
          <w:tcPr>
            <w:tcW w:w="1087" w:type="dxa"/>
            <w:shd w:val="clear" w:color="auto" w:fill="D4E3F5"/>
          </w:tcPr>
          <w:p>
            <w:pPr>
              <w:pStyle w:val="TableParagraph"/>
              <w:ind w:left="93" w:right="60"/>
              <w:rPr>
                <w:sz w:val="14"/>
              </w:rPr>
            </w:pPr>
            <w:r>
              <w:rPr>
                <w:color w:val="231F20"/>
                <w:spacing w:val="-10"/>
                <w:w w:val="95"/>
                <w:sz w:val="14"/>
              </w:rPr>
              <w:t>2</w:t>
            </w:r>
          </w:p>
        </w:tc>
        <w:tc>
          <w:tcPr>
            <w:tcW w:w="1062" w:type="dxa"/>
            <w:shd w:val="clear" w:color="auto" w:fill="D4E3F5"/>
          </w:tcPr>
          <w:p>
            <w:pPr>
              <w:pStyle w:val="TableParagraph"/>
              <w:ind w:right="401"/>
              <w:jc w:val="right"/>
              <w:rPr>
                <w:sz w:val="14"/>
              </w:rPr>
            </w:pPr>
            <w:r>
              <w:rPr>
                <w:color w:val="231F20"/>
                <w:spacing w:val="-5"/>
                <w:w w:val="95"/>
                <w:sz w:val="14"/>
              </w:rPr>
              <w:t>58</w:t>
            </w:r>
          </w:p>
        </w:tc>
        <w:tc>
          <w:tcPr>
            <w:tcW w:w="1245" w:type="dxa"/>
            <w:shd w:val="clear" w:color="auto" w:fill="D4E3F5"/>
          </w:tcPr>
          <w:p>
            <w:pPr>
              <w:pStyle w:val="TableParagraph"/>
              <w:ind w:left="65" w:right="8"/>
              <w:rPr>
                <w:sz w:val="14"/>
              </w:rPr>
            </w:pPr>
            <w:r>
              <w:rPr>
                <w:color w:val="231F20"/>
                <w:spacing w:val="-5"/>
                <w:w w:val="95"/>
                <w:sz w:val="14"/>
              </w:rPr>
              <w:t>0.9</w:t>
            </w:r>
          </w:p>
        </w:tc>
        <w:tc>
          <w:tcPr>
            <w:tcW w:w="1195" w:type="dxa"/>
            <w:shd w:val="clear" w:color="auto" w:fill="D4E3F5"/>
          </w:tcPr>
          <w:p>
            <w:pPr>
              <w:pStyle w:val="TableParagraph"/>
              <w:ind w:left="7" w:right="155"/>
              <w:rPr>
                <w:sz w:val="14"/>
              </w:rPr>
            </w:pPr>
            <w:r>
              <w:rPr>
                <w:color w:val="231F20"/>
                <w:spacing w:val="-5"/>
                <w:w w:val="95"/>
                <w:sz w:val="14"/>
              </w:rPr>
              <w:t>1.1</w:t>
            </w:r>
          </w:p>
        </w:tc>
        <w:tc>
          <w:tcPr>
            <w:tcW w:w="921" w:type="dxa"/>
            <w:shd w:val="clear" w:color="auto" w:fill="D4E3F5"/>
          </w:tcPr>
          <w:p>
            <w:pPr>
              <w:pStyle w:val="TableParagraph"/>
              <w:ind w:left="13" w:right="26"/>
              <w:rPr>
                <w:sz w:val="14"/>
              </w:rPr>
            </w:pPr>
            <w:r>
              <w:rPr>
                <w:color w:val="231F20"/>
                <w:spacing w:val="-5"/>
                <w:w w:val="95"/>
                <w:sz w:val="14"/>
              </w:rPr>
              <w:t>0.7</w:t>
            </w:r>
          </w:p>
        </w:tc>
        <w:tc>
          <w:tcPr>
            <w:tcW w:w="1249" w:type="dxa"/>
            <w:shd w:val="clear" w:color="auto" w:fill="D4E3F5"/>
          </w:tcPr>
          <w:p>
            <w:pPr>
              <w:pStyle w:val="TableParagraph"/>
              <w:ind w:left="71" w:right="2"/>
              <w:rPr>
                <w:sz w:val="14"/>
              </w:rPr>
            </w:pPr>
            <w:r>
              <w:rPr>
                <w:color w:val="231F20"/>
                <w:spacing w:val="-5"/>
                <w:w w:val="95"/>
                <w:sz w:val="14"/>
              </w:rPr>
              <w:t>1.0</w:t>
            </w:r>
          </w:p>
        </w:tc>
        <w:tc>
          <w:tcPr>
            <w:tcW w:w="1095" w:type="dxa"/>
            <w:shd w:val="clear" w:color="auto" w:fill="D4E3F5"/>
          </w:tcPr>
          <w:p>
            <w:pPr>
              <w:pStyle w:val="TableParagraph"/>
              <w:ind w:left="9" w:right="55"/>
              <w:rPr>
                <w:sz w:val="14"/>
              </w:rPr>
            </w:pPr>
            <w:r>
              <w:rPr>
                <w:color w:val="231F20"/>
                <w:spacing w:val="-5"/>
                <w:w w:val="95"/>
                <w:sz w:val="14"/>
              </w:rPr>
              <w:t>1.1</w:t>
            </w:r>
          </w:p>
        </w:tc>
      </w:tr>
      <w:tr>
        <w:trPr>
          <w:trHeight w:val="259" w:hRule="atLeast"/>
        </w:trPr>
        <w:tc>
          <w:tcPr>
            <w:tcW w:w="1427" w:type="dxa"/>
          </w:tcPr>
          <w:p>
            <w:pPr>
              <w:pStyle w:val="TableParagraph"/>
              <w:ind w:left="80"/>
              <w:jc w:val="left"/>
              <w:rPr>
                <w:sz w:val="14"/>
              </w:rPr>
            </w:pPr>
            <w:r>
              <w:rPr>
                <w:color w:val="231F20"/>
                <w:spacing w:val="-2"/>
                <w:w w:val="85"/>
                <w:sz w:val="14"/>
              </w:rPr>
              <w:t>Indonesia</w:t>
            </w:r>
          </w:p>
        </w:tc>
        <w:tc>
          <w:tcPr>
            <w:tcW w:w="1040" w:type="dxa"/>
          </w:tcPr>
          <w:p>
            <w:pPr>
              <w:pStyle w:val="TableParagraph"/>
              <w:ind w:right="461"/>
              <w:jc w:val="right"/>
              <w:rPr>
                <w:sz w:val="14"/>
              </w:rPr>
            </w:pPr>
            <w:r>
              <w:rPr>
                <w:color w:val="231F20"/>
                <w:spacing w:val="-5"/>
                <w:w w:val="95"/>
                <w:sz w:val="14"/>
              </w:rPr>
              <w:t>118</w:t>
            </w:r>
          </w:p>
        </w:tc>
        <w:tc>
          <w:tcPr>
            <w:tcW w:w="1087" w:type="dxa"/>
          </w:tcPr>
          <w:p>
            <w:pPr>
              <w:pStyle w:val="TableParagraph"/>
              <w:ind w:left="93" w:right="60"/>
              <w:rPr>
                <w:sz w:val="14"/>
              </w:rPr>
            </w:pPr>
            <w:r>
              <w:rPr>
                <w:color w:val="231F20"/>
                <w:spacing w:val="-10"/>
                <w:w w:val="95"/>
                <w:sz w:val="14"/>
              </w:rPr>
              <w:t>1</w:t>
            </w:r>
          </w:p>
        </w:tc>
        <w:tc>
          <w:tcPr>
            <w:tcW w:w="1062" w:type="dxa"/>
          </w:tcPr>
          <w:p>
            <w:pPr>
              <w:pStyle w:val="TableParagraph"/>
              <w:ind w:right="411"/>
              <w:jc w:val="right"/>
              <w:rPr>
                <w:sz w:val="14"/>
              </w:rPr>
            </w:pPr>
            <w:r>
              <w:rPr>
                <w:color w:val="231F20"/>
                <w:spacing w:val="-5"/>
                <w:w w:val="95"/>
                <w:sz w:val="14"/>
              </w:rPr>
              <w:t>17</w:t>
            </w:r>
          </w:p>
        </w:tc>
        <w:tc>
          <w:tcPr>
            <w:tcW w:w="1245" w:type="dxa"/>
          </w:tcPr>
          <w:p>
            <w:pPr>
              <w:pStyle w:val="TableParagraph"/>
              <w:ind w:left="65" w:right="20"/>
              <w:rPr>
                <w:sz w:val="14"/>
              </w:rPr>
            </w:pPr>
            <w:r>
              <w:rPr>
                <w:color w:val="231F20"/>
                <w:spacing w:val="-5"/>
                <w:w w:val="95"/>
                <w:sz w:val="14"/>
              </w:rPr>
              <w:t>1.1</w:t>
            </w:r>
          </w:p>
        </w:tc>
        <w:tc>
          <w:tcPr>
            <w:tcW w:w="1195" w:type="dxa"/>
          </w:tcPr>
          <w:p>
            <w:pPr>
              <w:pStyle w:val="TableParagraph"/>
              <w:ind w:left="26" w:right="155"/>
              <w:rPr>
                <w:sz w:val="14"/>
              </w:rPr>
            </w:pPr>
            <w:r>
              <w:rPr>
                <w:color w:val="231F20"/>
                <w:spacing w:val="-5"/>
                <w:w w:val="95"/>
                <w:sz w:val="14"/>
              </w:rPr>
              <w:t>1.8</w:t>
            </w:r>
          </w:p>
        </w:tc>
        <w:tc>
          <w:tcPr>
            <w:tcW w:w="921" w:type="dxa"/>
          </w:tcPr>
          <w:p>
            <w:pPr>
              <w:pStyle w:val="TableParagraph"/>
              <w:ind w:left="18" w:right="26"/>
              <w:rPr>
                <w:sz w:val="14"/>
              </w:rPr>
            </w:pPr>
            <w:r>
              <w:rPr>
                <w:color w:val="231F20"/>
                <w:spacing w:val="-5"/>
                <w:w w:val="95"/>
                <w:sz w:val="14"/>
              </w:rPr>
              <w:t>0.9</w:t>
            </w:r>
          </w:p>
        </w:tc>
        <w:tc>
          <w:tcPr>
            <w:tcW w:w="1249" w:type="dxa"/>
          </w:tcPr>
          <w:p>
            <w:pPr>
              <w:pStyle w:val="TableParagraph"/>
              <w:ind w:left="71" w:right="20"/>
              <w:rPr>
                <w:sz w:val="14"/>
              </w:rPr>
            </w:pPr>
            <w:r>
              <w:rPr>
                <w:color w:val="231F20"/>
                <w:spacing w:val="-5"/>
                <w:w w:val="95"/>
                <w:sz w:val="14"/>
              </w:rPr>
              <w:t>1.1</w:t>
            </w:r>
          </w:p>
        </w:tc>
        <w:tc>
          <w:tcPr>
            <w:tcW w:w="1095" w:type="dxa"/>
          </w:tcPr>
          <w:p>
            <w:pPr>
              <w:pStyle w:val="TableParagraph"/>
              <w:ind w:left="28" w:right="55"/>
              <w:rPr>
                <w:sz w:val="14"/>
              </w:rPr>
            </w:pPr>
            <w:r>
              <w:rPr>
                <w:color w:val="231F20"/>
                <w:spacing w:val="-5"/>
                <w:w w:val="95"/>
                <w:sz w:val="14"/>
              </w:rPr>
              <w:t>1.5</w:t>
            </w:r>
          </w:p>
        </w:tc>
      </w:tr>
      <w:tr>
        <w:trPr>
          <w:trHeight w:val="259" w:hRule="atLeast"/>
        </w:trPr>
        <w:tc>
          <w:tcPr>
            <w:tcW w:w="1427" w:type="dxa"/>
            <w:shd w:val="clear" w:color="auto" w:fill="D4E3F5"/>
          </w:tcPr>
          <w:p>
            <w:pPr>
              <w:pStyle w:val="TableParagraph"/>
              <w:ind w:left="80"/>
              <w:jc w:val="left"/>
              <w:rPr>
                <w:sz w:val="14"/>
              </w:rPr>
            </w:pPr>
            <w:r>
              <w:rPr>
                <w:color w:val="231F20"/>
                <w:w w:val="75"/>
                <w:sz w:val="14"/>
              </w:rPr>
              <w:t>Iran,</w:t>
            </w:r>
            <w:r>
              <w:rPr>
                <w:color w:val="231F20"/>
                <w:spacing w:val="11"/>
                <w:sz w:val="14"/>
              </w:rPr>
              <w:t> </w:t>
            </w:r>
            <w:r>
              <w:rPr>
                <w:color w:val="231F20"/>
                <w:w w:val="75"/>
                <w:sz w:val="14"/>
              </w:rPr>
              <w:t>Islamic</w:t>
            </w:r>
            <w:r>
              <w:rPr>
                <w:color w:val="231F20"/>
                <w:spacing w:val="12"/>
                <w:sz w:val="14"/>
              </w:rPr>
              <w:t> </w:t>
            </w:r>
            <w:r>
              <w:rPr>
                <w:color w:val="231F20"/>
                <w:spacing w:val="-4"/>
                <w:w w:val="75"/>
                <w:sz w:val="14"/>
              </w:rPr>
              <w:t>Rep.</w:t>
            </w:r>
          </w:p>
        </w:tc>
        <w:tc>
          <w:tcPr>
            <w:tcW w:w="1040" w:type="dxa"/>
            <w:shd w:val="clear" w:color="auto" w:fill="D4E3F5"/>
          </w:tcPr>
          <w:p>
            <w:pPr>
              <w:pStyle w:val="TableParagraph"/>
              <w:ind w:right="465"/>
              <w:jc w:val="right"/>
              <w:rPr>
                <w:sz w:val="14"/>
              </w:rPr>
            </w:pPr>
            <w:r>
              <w:rPr>
                <w:color w:val="231F20"/>
                <w:spacing w:val="-5"/>
                <w:w w:val="95"/>
                <w:sz w:val="14"/>
              </w:rPr>
              <w:t>15</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13"/>
              <w:jc w:val="right"/>
              <w:rPr>
                <w:sz w:val="14"/>
              </w:rPr>
            </w:pPr>
            <w:r>
              <w:rPr>
                <w:color w:val="231F20"/>
                <w:spacing w:val="-5"/>
                <w:w w:val="95"/>
                <w:sz w:val="14"/>
              </w:rPr>
              <w:t>11</w:t>
            </w:r>
          </w:p>
        </w:tc>
        <w:tc>
          <w:tcPr>
            <w:tcW w:w="1245" w:type="dxa"/>
            <w:shd w:val="clear" w:color="auto" w:fill="D4E3F5"/>
          </w:tcPr>
          <w:p>
            <w:pPr>
              <w:pStyle w:val="TableParagraph"/>
              <w:ind w:left="65" w:right="20"/>
              <w:rPr>
                <w:sz w:val="14"/>
              </w:rPr>
            </w:pPr>
            <w:r>
              <w:rPr>
                <w:color w:val="231F20"/>
                <w:spacing w:val="-5"/>
                <w:w w:val="95"/>
                <w:sz w:val="14"/>
              </w:rPr>
              <w:t>1.1</w:t>
            </w:r>
          </w:p>
        </w:tc>
        <w:tc>
          <w:tcPr>
            <w:tcW w:w="1195" w:type="dxa"/>
            <w:shd w:val="clear" w:color="auto" w:fill="D4E3F5"/>
          </w:tcPr>
          <w:p>
            <w:pPr>
              <w:pStyle w:val="TableParagraph"/>
              <w:ind w:left="22" w:right="155"/>
              <w:rPr>
                <w:sz w:val="14"/>
              </w:rPr>
            </w:pPr>
            <w:r>
              <w:rPr>
                <w:color w:val="231F20"/>
                <w:spacing w:val="-5"/>
                <w:w w:val="95"/>
                <w:sz w:val="14"/>
              </w:rPr>
              <w:t>1.7</w:t>
            </w:r>
          </w:p>
        </w:tc>
        <w:tc>
          <w:tcPr>
            <w:tcW w:w="921" w:type="dxa"/>
            <w:shd w:val="clear" w:color="auto" w:fill="D4E3F5"/>
          </w:tcPr>
          <w:p>
            <w:pPr>
              <w:pStyle w:val="TableParagraph"/>
              <w:ind w:left="24" w:right="26"/>
              <w:rPr>
                <w:sz w:val="14"/>
              </w:rPr>
            </w:pPr>
            <w:r>
              <w:rPr>
                <w:color w:val="231F20"/>
                <w:spacing w:val="-5"/>
                <w:w w:val="95"/>
                <w:sz w:val="14"/>
              </w:rPr>
              <w:t>1.0</w:t>
            </w:r>
          </w:p>
        </w:tc>
        <w:tc>
          <w:tcPr>
            <w:tcW w:w="1249" w:type="dxa"/>
            <w:shd w:val="clear" w:color="auto" w:fill="D4E3F5"/>
          </w:tcPr>
          <w:p>
            <w:pPr>
              <w:pStyle w:val="TableParagraph"/>
              <w:ind w:left="71" w:right="8"/>
              <w:rPr>
                <w:sz w:val="14"/>
              </w:rPr>
            </w:pPr>
            <w:r>
              <w:rPr>
                <w:color w:val="231F20"/>
                <w:spacing w:val="-5"/>
                <w:w w:val="95"/>
                <w:sz w:val="14"/>
              </w:rPr>
              <w:t>2.0</w:t>
            </w:r>
          </w:p>
        </w:tc>
        <w:tc>
          <w:tcPr>
            <w:tcW w:w="1095" w:type="dxa"/>
            <w:shd w:val="clear" w:color="auto" w:fill="D4E3F5"/>
          </w:tcPr>
          <w:p>
            <w:pPr>
              <w:pStyle w:val="TableParagraph"/>
              <w:ind w:left="21" w:right="55"/>
              <w:rPr>
                <w:sz w:val="14"/>
              </w:rPr>
            </w:pPr>
            <w:r>
              <w:rPr>
                <w:color w:val="231F20"/>
                <w:spacing w:val="-5"/>
                <w:w w:val="95"/>
                <w:sz w:val="14"/>
              </w:rPr>
              <w:t>2.9</w:t>
            </w:r>
          </w:p>
        </w:tc>
      </w:tr>
      <w:tr>
        <w:trPr>
          <w:trHeight w:val="259" w:hRule="atLeast"/>
        </w:trPr>
        <w:tc>
          <w:tcPr>
            <w:tcW w:w="1427" w:type="dxa"/>
          </w:tcPr>
          <w:p>
            <w:pPr>
              <w:pStyle w:val="TableParagraph"/>
              <w:ind w:left="80"/>
              <w:jc w:val="left"/>
              <w:rPr>
                <w:sz w:val="14"/>
              </w:rPr>
            </w:pPr>
            <w:r>
              <w:rPr>
                <w:color w:val="231F20"/>
                <w:spacing w:val="-4"/>
                <w:w w:val="85"/>
                <w:sz w:val="14"/>
              </w:rPr>
              <w:t>Iraq</w:t>
            </w:r>
          </w:p>
        </w:tc>
        <w:tc>
          <w:tcPr>
            <w:tcW w:w="1040" w:type="dxa"/>
          </w:tcPr>
          <w:p>
            <w:pPr>
              <w:pStyle w:val="TableParagraph"/>
              <w:ind w:right="462"/>
              <w:jc w:val="right"/>
              <w:rPr>
                <w:sz w:val="14"/>
              </w:rPr>
            </w:pPr>
            <w:r>
              <w:rPr>
                <w:color w:val="231F20"/>
                <w:spacing w:val="-5"/>
                <w:w w:val="95"/>
                <w:sz w:val="14"/>
              </w:rPr>
              <w:t>10</w:t>
            </w:r>
          </w:p>
        </w:tc>
        <w:tc>
          <w:tcPr>
            <w:tcW w:w="1087" w:type="dxa"/>
          </w:tcPr>
          <w:p>
            <w:pPr>
              <w:pStyle w:val="TableParagraph"/>
              <w:ind w:left="93" w:right="60"/>
              <w:rPr>
                <w:sz w:val="14"/>
              </w:rPr>
            </w:pPr>
            <w:r>
              <w:rPr>
                <w:color w:val="231F20"/>
                <w:spacing w:val="-10"/>
                <w:w w:val="95"/>
                <w:sz w:val="14"/>
              </w:rPr>
              <w:t>2</w:t>
            </w:r>
          </w:p>
        </w:tc>
        <w:tc>
          <w:tcPr>
            <w:tcW w:w="1062" w:type="dxa"/>
          </w:tcPr>
          <w:p>
            <w:pPr>
              <w:pStyle w:val="TableParagraph"/>
              <w:ind w:right="409"/>
              <w:jc w:val="right"/>
              <w:rPr>
                <w:sz w:val="14"/>
              </w:rPr>
            </w:pPr>
            <w:r>
              <w:rPr>
                <w:color w:val="231F20"/>
                <w:spacing w:val="-5"/>
                <w:w w:val="95"/>
                <w:sz w:val="14"/>
              </w:rPr>
              <w:t>16</w:t>
            </w:r>
          </w:p>
        </w:tc>
        <w:tc>
          <w:tcPr>
            <w:tcW w:w="1245" w:type="dxa"/>
          </w:tcPr>
          <w:p>
            <w:pPr>
              <w:pStyle w:val="TableParagraph"/>
              <w:ind w:left="65" w:right="1"/>
              <w:rPr>
                <w:sz w:val="14"/>
              </w:rPr>
            </w:pPr>
            <w:r>
              <w:rPr>
                <w:color w:val="231F20"/>
                <w:spacing w:val="-5"/>
                <w:w w:val="95"/>
                <w:sz w:val="14"/>
              </w:rPr>
              <w:t>1.5</w:t>
            </w:r>
          </w:p>
        </w:tc>
        <w:tc>
          <w:tcPr>
            <w:tcW w:w="1195" w:type="dxa"/>
          </w:tcPr>
          <w:p>
            <w:pPr>
              <w:pStyle w:val="TableParagraph"/>
              <w:ind w:left="25" w:right="155"/>
              <w:rPr>
                <w:sz w:val="14"/>
              </w:rPr>
            </w:pPr>
            <w:r>
              <w:rPr>
                <w:color w:val="231F20"/>
                <w:spacing w:val="-5"/>
                <w:w w:val="95"/>
                <w:sz w:val="14"/>
              </w:rPr>
              <w:t>1.6</w:t>
            </w:r>
          </w:p>
        </w:tc>
        <w:tc>
          <w:tcPr>
            <w:tcW w:w="921" w:type="dxa"/>
          </w:tcPr>
          <w:p>
            <w:pPr>
              <w:pStyle w:val="TableParagraph"/>
              <w:ind w:left="6" w:right="26"/>
              <w:rPr>
                <w:sz w:val="14"/>
              </w:rPr>
            </w:pPr>
            <w:r>
              <w:rPr>
                <w:color w:val="231F20"/>
                <w:spacing w:val="-5"/>
                <w:w w:val="95"/>
                <w:sz w:val="14"/>
              </w:rPr>
              <w:t>1.1</w:t>
            </w:r>
          </w:p>
        </w:tc>
        <w:tc>
          <w:tcPr>
            <w:tcW w:w="1249" w:type="dxa"/>
          </w:tcPr>
          <w:p>
            <w:pPr>
              <w:pStyle w:val="TableParagraph"/>
              <w:ind w:left="71" w:right="5"/>
              <w:rPr>
                <w:sz w:val="14"/>
              </w:rPr>
            </w:pPr>
            <w:r>
              <w:rPr>
                <w:color w:val="231F20"/>
                <w:spacing w:val="-5"/>
                <w:w w:val="95"/>
                <w:sz w:val="14"/>
              </w:rPr>
              <w:t>1.7</w:t>
            </w:r>
          </w:p>
        </w:tc>
        <w:tc>
          <w:tcPr>
            <w:tcW w:w="1095" w:type="dxa"/>
          </w:tcPr>
          <w:p>
            <w:pPr>
              <w:pStyle w:val="TableParagraph"/>
              <w:ind w:left="27" w:right="55"/>
              <w:rPr>
                <w:sz w:val="14"/>
              </w:rPr>
            </w:pPr>
            <w:r>
              <w:rPr>
                <w:color w:val="231F20"/>
                <w:spacing w:val="-5"/>
                <w:w w:val="95"/>
                <w:sz w:val="14"/>
              </w:rPr>
              <w:t>1.9</w:t>
            </w:r>
          </w:p>
        </w:tc>
      </w:tr>
      <w:tr>
        <w:trPr>
          <w:trHeight w:val="259" w:hRule="atLeast"/>
        </w:trPr>
        <w:tc>
          <w:tcPr>
            <w:tcW w:w="1427" w:type="dxa"/>
            <w:shd w:val="clear" w:color="auto" w:fill="D4E3F5"/>
          </w:tcPr>
          <w:p>
            <w:pPr>
              <w:pStyle w:val="TableParagraph"/>
              <w:ind w:left="80"/>
              <w:jc w:val="left"/>
              <w:rPr>
                <w:sz w:val="14"/>
              </w:rPr>
            </w:pPr>
            <w:r>
              <w:rPr>
                <w:color w:val="231F20"/>
                <w:spacing w:val="-2"/>
                <w:w w:val="85"/>
                <w:sz w:val="14"/>
              </w:rPr>
              <w:t>Ireland</w:t>
            </w:r>
          </w:p>
        </w:tc>
        <w:tc>
          <w:tcPr>
            <w:tcW w:w="1040" w:type="dxa"/>
            <w:shd w:val="clear" w:color="auto" w:fill="D4E3F5"/>
          </w:tcPr>
          <w:p>
            <w:pPr>
              <w:pStyle w:val="TableParagraph"/>
              <w:ind w:right="457"/>
              <w:jc w:val="right"/>
              <w:rPr>
                <w:sz w:val="14"/>
              </w:rPr>
            </w:pPr>
            <w:r>
              <w:rPr>
                <w:color w:val="231F20"/>
                <w:spacing w:val="-5"/>
                <w:w w:val="95"/>
                <w:sz w:val="14"/>
              </w:rPr>
              <w:t>23</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9"/>
              <w:jc w:val="right"/>
              <w:rPr>
                <w:sz w:val="14"/>
              </w:rPr>
            </w:pPr>
            <w:r>
              <w:rPr>
                <w:color w:val="231F20"/>
                <w:spacing w:val="-5"/>
                <w:w w:val="95"/>
                <w:sz w:val="14"/>
              </w:rPr>
              <w:t>16</w:t>
            </w:r>
          </w:p>
        </w:tc>
        <w:tc>
          <w:tcPr>
            <w:tcW w:w="1245" w:type="dxa"/>
            <w:shd w:val="clear" w:color="auto" w:fill="D4E3F5"/>
          </w:tcPr>
          <w:p>
            <w:pPr>
              <w:pStyle w:val="TableParagraph"/>
              <w:ind w:left="65"/>
              <w:rPr>
                <w:sz w:val="14"/>
              </w:rPr>
            </w:pPr>
            <w:r>
              <w:rPr>
                <w:color w:val="231F20"/>
                <w:spacing w:val="-5"/>
                <w:w w:val="95"/>
                <w:sz w:val="14"/>
              </w:rPr>
              <w:t>1.2</w:t>
            </w:r>
          </w:p>
        </w:tc>
        <w:tc>
          <w:tcPr>
            <w:tcW w:w="1195" w:type="dxa"/>
            <w:shd w:val="clear" w:color="auto" w:fill="D4E3F5"/>
          </w:tcPr>
          <w:p>
            <w:pPr>
              <w:pStyle w:val="TableParagraph"/>
              <w:ind w:left="26" w:right="155"/>
              <w:rPr>
                <w:sz w:val="14"/>
              </w:rPr>
            </w:pPr>
            <w:r>
              <w:rPr>
                <w:color w:val="231F20"/>
                <w:spacing w:val="-5"/>
                <w:w w:val="95"/>
                <w:sz w:val="14"/>
              </w:rPr>
              <w:t>1.3</w:t>
            </w:r>
          </w:p>
        </w:tc>
        <w:tc>
          <w:tcPr>
            <w:tcW w:w="921" w:type="dxa"/>
            <w:shd w:val="clear" w:color="auto" w:fill="D4E3F5"/>
          </w:tcPr>
          <w:p>
            <w:pPr>
              <w:pStyle w:val="TableParagraph"/>
              <w:ind w:left="24" w:right="26"/>
              <w:rPr>
                <w:sz w:val="14"/>
              </w:rPr>
            </w:pPr>
            <w:r>
              <w:rPr>
                <w:color w:val="231F20"/>
                <w:spacing w:val="-5"/>
                <w:w w:val="95"/>
                <w:sz w:val="14"/>
              </w:rPr>
              <w:t>1.0</w:t>
            </w:r>
          </w:p>
        </w:tc>
        <w:tc>
          <w:tcPr>
            <w:tcW w:w="1249" w:type="dxa"/>
            <w:shd w:val="clear" w:color="auto" w:fill="D4E3F5"/>
          </w:tcPr>
          <w:p>
            <w:pPr>
              <w:pStyle w:val="TableParagraph"/>
              <w:ind w:left="71" w:right="20"/>
              <w:rPr>
                <w:sz w:val="14"/>
              </w:rPr>
            </w:pPr>
            <w:r>
              <w:rPr>
                <w:color w:val="231F20"/>
                <w:spacing w:val="-5"/>
                <w:w w:val="95"/>
                <w:sz w:val="14"/>
              </w:rPr>
              <w:t>1.1</w:t>
            </w:r>
          </w:p>
        </w:tc>
        <w:tc>
          <w:tcPr>
            <w:tcW w:w="1095" w:type="dxa"/>
            <w:shd w:val="clear" w:color="auto" w:fill="D4E3F5"/>
          </w:tcPr>
          <w:p>
            <w:pPr>
              <w:pStyle w:val="TableParagraph"/>
              <w:ind w:left="28" w:right="55"/>
              <w:rPr>
                <w:sz w:val="14"/>
              </w:rPr>
            </w:pPr>
            <w:r>
              <w:rPr>
                <w:color w:val="231F20"/>
                <w:spacing w:val="-5"/>
                <w:w w:val="95"/>
                <w:sz w:val="14"/>
              </w:rPr>
              <w:t>1.3</w:t>
            </w:r>
          </w:p>
        </w:tc>
      </w:tr>
      <w:tr>
        <w:trPr>
          <w:trHeight w:val="259" w:hRule="atLeast"/>
        </w:trPr>
        <w:tc>
          <w:tcPr>
            <w:tcW w:w="1427" w:type="dxa"/>
          </w:tcPr>
          <w:p>
            <w:pPr>
              <w:pStyle w:val="TableParagraph"/>
              <w:ind w:left="80"/>
              <w:jc w:val="left"/>
              <w:rPr>
                <w:sz w:val="14"/>
              </w:rPr>
            </w:pPr>
            <w:r>
              <w:rPr>
                <w:color w:val="231F20"/>
                <w:spacing w:val="-2"/>
                <w:w w:val="85"/>
                <w:sz w:val="14"/>
              </w:rPr>
              <w:t>Israel</w:t>
            </w:r>
          </w:p>
        </w:tc>
        <w:tc>
          <w:tcPr>
            <w:tcW w:w="1040" w:type="dxa"/>
          </w:tcPr>
          <w:p>
            <w:pPr>
              <w:pStyle w:val="TableParagraph"/>
              <w:ind w:right="456"/>
              <w:jc w:val="right"/>
              <w:rPr>
                <w:sz w:val="14"/>
              </w:rPr>
            </w:pPr>
            <w:r>
              <w:rPr>
                <w:color w:val="231F20"/>
                <w:spacing w:val="-5"/>
                <w:w w:val="95"/>
                <w:sz w:val="14"/>
              </w:rPr>
              <w:t>36</w:t>
            </w:r>
          </w:p>
        </w:tc>
        <w:tc>
          <w:tcPr>
            <w:tcW w:w="1087" w:type="dxa"/>
          </w:tcPr>
          <w:p>
            <w:pPr>
              <w:pStyle w:val="TableParagraph"/>
              <w:ind w:left="93" w:right="60"/>
              <w:rPr>
                <w:sz w:val="14"/>
              </w:rPr>
            </w:pPr>
            <w:r>
              <w:rPr>
                <w:color w:val="231F20"/>
                <w:spacing w:val="-10"/>
                <w:w w:val="95"/>
                <w:sz w:val="14"/>
              </w:rPr>
              <w:t>2</w:t>
            </w:r>
          </w:p>
        </w:tc>
        <w:tc>
          <w:tcPr>
            <w:tcW w:w="1062" w:type="dxa"/>
          </w:tcPr>
          <w:p>
            <w:pPr>
              <w:pStyle w:val="TableParagraph"/>
              <w:ind w:right="401"/>
              <w:jc w:val="right"/>
              <w:rPr>
                <w:sz w:val="14"/>
              </w:rPr>
            </w:pPr>
            <w:r>
              <w:rPr>
                <w:color w:val="231F20"/>
                <w:spacing w:val="-5"/>
                <w:w w:val="95"/>
                <w:sz w:val="14"/>
              </w:rPr>
              <w:t>35</w:t>
            </w:r>
          </w:p>
        </w:tc>
        <w:tc>
          <w:tcPr>
            <w:tcW w:w="1245" w:type="dxa"/>
          </w:tcPr>
          <w:p>
            <w:pPr>
              <w:pStyle w:val="TableParagraph"/>
              <w:ind w:left="65"/>
              <w:rPr>
                <w:sz w:val="14"/>
              </w:rPr>
            </w:pPr>
            <w:r>
              <w:rPr>
                <w:color w:val="231F20"/>
                <w:spacing w:val="-5"/>
                <w:w w:val="95"/>
                <w:sz w:val="14"/>
              </w:rPr>
              <w:t>1.2</w:t>
            </w:r>
          </w:p>
        </w:tc>
        <w:tc>
          <w:tcPr>
            <w:tcW w:w="1195" w:type="dxa"/>
          </w:tcPr>
          <w:p>
            <w:pPr>
              <w:pStyle w:val="TableParagraph"/>
              <w:ind w:left="26" w:right="155"/>
              <w:rPr>
                <w:sz w:val="14"/>
              </w:rPr>
            </w:pPr>
            <w:r>
              <w:rPr>
                <w:color w:val="231F20"/>
                <w:spacing w:val="-5"/>
                <w:w w:val="95"/>
                <w:sz w:val="14"/>
              </w:rPr>
              <w:t>1.5</w:t>
            </w:r>
          </w:p>
        </w:tc>
        <w:tc>
          <w:tcPr>
            <w:tcW w:w="921" w:type="dxa"/>
          </w:tcPr>
          <w:p>
            <w:pPr>
              <w:pStyle w:val="TableParagraph"/>
              <w:ind w:left="24" w:right="26"/>
              <w:rPr>
                <w:sz w:val="14"/>
              </w:rPr>
            </w:pPr>
            <w:r>
              <w:rPr>
                <w:color w:val="231F20"/>
                <w:spacing w:val="-5"/>
                <w:w w:val="95"/>
                <w:sz w:val="14"/>
              </w:rPr>
              <w:t>1.0</w:t>
            </w:r>
          </w:p>
        </w:tc>
        <w:tc>
          <w:tcPr>
            <w:tcW w:w="1249" w:type="dxa"/>
          </w:tcPr>
          <w:p>
            <w:pPr>
              <w:pStyle w:val="TableParagraph"/>
              <w:ind w:left="71" w:right="1"/>
              <w:rPr>
                <w:sz w:val="14"/>
              </w:rPr>
            </w:pPr>
            <w:r>
              <w:rPr>
                <w:color w:val="231F20"/>
                <w:spacing w:val="-5"/>
                <w:w w:val="95"/>
                <w:sz w:val="14"/>
              </w:rPr>
              <w:t>1.3</w:t>
            </w:r>
          </w:p>
        </w:tc>
        <w:tc>
          <w:tcPr>
            <w:tcW w:w="1095" w:type="dxa"/>
          </w:tcPr>
          <w:p>
            <w:pPr>
              <w:pStyle w:val="TableParagraph"/>
              <w:ind w:left="27" w:right="55"/>
              <w:rPr>
                <w:sz w:val="14"/>
              </w:rPr>
            </w:pPr>
            <w:r>
              <w:rPr>
                <w:color w:val="231F20"/>
                <w:spacing w:val="-5"/>
                <w:w w:val="95"/>
                <w:sz w:val="14"/>
              </w:rPr>
              <w:t>1.6</w:t>
            </w:r>
          </w:p>
        </w:tc>
      </w:tr>
      <w:tr>
        <w:trPr>
          <w:trHeight w:val="259" w:hRule="atLeast"/>
        </w:trPr>
        <w:tc>
          <w:tcPr>
            <w:tcW w:w="1427" w:type="dxa"/>
            <w:shd w:val="clear" w:color="auto" w:fill="D4E3F5"/>
          </w:tcPr>
          <w:p>
            <w:pPr>
              <w:pStyle w:val="TableParagraph"/>
              <w:ind w:left="80"/>
              <w:jc w:val="left"/>
              <w:rPr>
                <w:sz w:val="14"/>
              </w:rPr>
            </w:pPr>
            <w:r>
              <w:rPr>
                <w:color w:val="231F20"/>
                <w:spacing w:val="-2"/>
                <w:w w:val="85"/>
                <w:sz w:val="14"/>
              </w:rPr>
              <w:t>Italy</w:t>
            </w:r>
          </w:p>
        </w:tc>
        <w:tc>
          <w:tcPr>
            <w:tcW w:w="1040" w:type="dxa"/>
            <w:shd w:val="clear" w:color="auto" w:fill="D4E3F5"/>
          </w:tcPr>
          <w:p>
            <w:pPr>
              <w:pStyle w:val="TableParagraph"/>
              <w:ind w:right="456"/>
              <w:jc w:val="right"/>
              <w:rPr>
                <w:sz w:val="14"/>
              </w:rPr>
            </w:pPr>
            <w:r>
              <w:rPr>
                <w:color w:val="231F20"/>
                <w:spacing w:val="-5"/>
                <w:w w:val="95"/>
                <w:sz w:val="14"/>
              </w:rPr>
              <w:t>94</w:t>
            </w:r>
          </w:p>
        </w:tc>
        <w:tc>
          <w:tcPr>
            <w:tcW w:w="1087" w:type="dxa"/>
            <w:shd w:val="clear" w:color="auto" w:fill="D4E3F5"/>
          </w:tcPr>
          <w:p>
            <w:pPr>
              <w:pStyle w:val="TableParagraph"/>
              <w:ind w:left="93" w:right="60"/>
              <w:rPr>
                <w:sz w:val="14"/>
              </w:rPr>
            </w:pPr>
            <w:r>
              <w:rPr>
                <w:color w:val="231F20"/>
                <w:spacing w:val="-10"/>
                <w:w w:val="95"/>
                <w:sz w:val="14"/>
              </w:rPr>
              <w:t>4</w:t>
            </w:r>
          </w:p>
        </w:tc>
        <w:tc>
          <w:tcPr>
            <w:tcW w:w="1062" w:type="dxa"/>
            <w:shd w:val="clear" w:color="auto" w:fill="D4E3F5"/>
          </w:tcPr>
          <w:p>
            <w:pPr>
              <w:pStyle w:val="TableParagraph"/>
              <w:ind w:right="413"/>
              <w:jc w:val="right"/>
              <w:rPr>
                <w:sz w:val="14"/>
              </w:rPr>
            </w:pPr>
            <w:r>
              <w:rPr>
                <w:color w:val="231F20"/>
                <w:spacing w:val="-5"/>
                <w:w w:val="95"/>
                <w:sz w:val="14"/>
              </w:rPr>
              <w:t>74</w:t>
            </w:r>
          </w:p>
        </w:tc>
        <w:tc>
          <w:tcPr>
            <w:tcW w:w="1245" w:type="dxa"/>
            <w:shd w:val="clear" w:color="auto" w:fill="D4E3F5"/>
          </w:tcPr>
          <w:p>
            <w:pPr>
              <w:pStyle w:val="TableParagraph"/>
              <w:ind w:left="65" w:right="2"/>
              <w:rPr>
                <w:sz w:val="14"/>
              </w:rPr>
            </w:pPr>
            <w:r>
              <w:rPr>
                <w:color w:val="231F20"/>
                <w:spacing w:val="-5"/>
                <w:w w:val="95"/>
                <w:sz w:val="14"/>
              </w:rPr>
              <w:t>1.0</w:t>
            </w:r>
          </w:p>
        </w:tc>
        <w:tc>
          <w:tcPr>
            <w:tcW w:w="1195" w:type="dxa"/>
            <w:shd w:val="clear" w:color="auto" w:fill="D4E3F5"/>
          </w:tcPr>
          <w:p>
            <w:pPr>
              <w:pStyle w:val="TableParagraph"/>
              <w:ind w:left="26" w:right="155"/>
              <w:rPr>
                <w:sz w:val="14"/>
              </w:rPr>
            </w:pPr>
            <w:r>
              <w:rPr>
                <w:color w:val="231F20"/>
                <w:spacing w:val="-5"/>
                <w:w w:val="95"/>
                <w:sz w:val="14"/>
              </w:rPr>
              <w:t>1.3</w:t>
            </w:r>
          </w:p>
        </w:tc>
        <w:tc>
          <w:tcPr>
            <w:tcW w:w="921" w:type="dxa"/>
            <w:shd w:val="clear" w:color="auto" w:fill="D4E3F5"/>
          </w:tcPr>
          <w:p>
            <w:pPr>
              <w:pStyle w:val="TableParagraph"/>
              <w:ind w:left="24" w:right="26"/>
              <w:rPr>
                <w:sz w:val="14"/>
              </w:rPr>
            </w:pPr>
            <w:r>
              <w:rPr>
                <w:color w:val="231F20"/>
                <w:spacing w:val="-5"/>
                <w:w w:val="95"/>
                <w:sz w:val="14"/>
              </w:rPr>
              <w:t>1.0</w:t>
            </w:r>
          </w:p>
        </w:tc>
        <w:tc>
          <w:tcPr>
            <w:tcW w:w="1249" w:type="dxa"/>
            <w:shd w:val="clear" w:color="auto" w:fill="D4E3F5"/>
          </w:tcPr>
          <w:p>
            <w:pPr>
              <w:pStyle w:val="TableParagraph"/>
              <w:ind w:left="71" w:right="1"/>
              <w:rPr>
                <w:sz w:val="14"/>
              </w:rPr>
            </w:pPr>
            <w:r>
              <w:rPr>
                <w:color w:val="231F20"/>
                <w:spacing w:val="-5"/>
                <w:w w:val="95"/>
                <w:sz w:val="14"/>
              </w:rPr>
              <w:t>1.5</w:t>
            </w:r>
          </w:p>
        </w:tc>
        <w:tc>
          <w:tcPr>
            <w:tcW w:w="1095" w:type="dxa"/>
            <w:shd w:val="clear" w:color="auto" w:fill="D4E3F5"/>
          </w:tcPr>
          <w:p>
            <w:pPr>
              <w:pStyle w:val="TableParagraph"/>
              <w:ind w:left="27" w:right="55"/>
              <w:rPr>
                <w:sz w:val="14"/>
              </w:rPr>
            </w:pPr>
            <w:r>
              <w:rPr>
                <w:color w:val="231F20"/>
                <w:spacing w:val="-5"/>
                <w:w w:val="95"/>
                <w:sz w:val="14"/>
              </w:rPr>
              <w:t>1.9</w:t>
            </w:r>
          </w:p>
        </w:tc>
      </w:tr>
      <w:tr>
        <w:trPr>
          <w:trHeight w:val="259" w:hRule="atLeast"/>
        </w:trPr>
        <w:tc>
          <w:tcPr>
            <w:tcW w:w="1427" w:type="dxa"/>
          </w:tcPr>
          <w:p>
            <w:pPr>
              <w:pStyle w:val="TableParagraph"/>
              <w:ind w:left="80"/>
              <w:jc w:val="left"/>
              <w:rPr>
                <w:sz w:val="14"/>
              </w:rPr>
            </w:pPr>
            <w:r>
              <w:rPr>
                <w:color w:val="231F20"/>
                <w:spacing w:val="-2"/>
                <w:w w:val="90"/>
                <w:sz w:val="14"/>
              </w:rPr>
              <w:t>Jamaica</w:t>
            </w:r>
          </w:p>
        </w:tc>
        <w:tc>
          <w:tcPr>
            <w:tcW w:w="1040" w:type="dxa"/>
          </w:tcPr>
          <w:p>
            <w:pPr>
              <w:pStyle w:val="TableParagraph"/>
              <w:ind w:right="456"/>
              <w:jc w:val="right"/>
              <w:rPr>
                <w:sz w:val="14"/>
              </w:rPr>
            </w:pPr>
            <w:r>
              <w:rPr>
                <w:color w:val="231F20"/>
                <w:spacing w:val="-5"/>
                <w:w w:val="95"/>
                <w:sz w:val="14"/>
              </w:rPr>
              <w:t>33</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0"/>
              <w:jc w:val="right"/>
              <w:rPr>
                <w:sz w:val="14"/>
              </w:rPr>
            </w:pPr>
            <w:r>
              <w:rPr>
                <w:color w:val="231F20"/>
                <w:spacing w:val="-5"/>
                <w:w w:val="95"/>
                <w:sz w:val="14"/>
              </w:rPr>
              <w:t>46</w:t>
            </w:r>
          </w:p>
        </w:tc>
        <w:tc>
          <w:tcPr>
            <w:tcW w:w="1245" w:type="dxa"/>
          </w:tcPr>
          <w:p>
            <w:pPr>
              <w:pStyle w:val="TableParagraph"/>
              <w:ind w:left="65" w:right="20"/>
              <w:rPr>
                <w:sz w:val="14"/>
              </w:rPr>
            </w:pPr>
            <w:r>
              <w:rPr>
                <w:color w:val="231F20"/>
                <w:spacing w:val="-5"/>
                <w:w w:val="95"/>
                <w:sz w:val="14"/>
              </w:rPr>
              <w:t>1.1</w:t>
            </w:r>
          </w:p>
        </w:tc>
        <w:tc>
          <w:tcPr>
            <w:tcW w:w="1195" w:type="dxa"/>
          </w:tcPr>
          <w:p>
            <w:pPr>
              <w:pStyle w:val="TableParagraph"/>
              <w:ind w:left="24" w:right="155"/>
              <w:rPr>
                <w:sz w:val="14"/>
              </w:rPr>
            </w:pPr>
            <w:r>
              <w:rPr>
                <w:color w:val="231F20"/>
                <w:spacing w:val="-5"/>
                <w:w w:val="95"/>
                <w:sz w:val="14"/>
              </w:rPr>
              <w:t>1.4</w:t>
            </w:r>
          </w:p>
        </w:tc>
        <w:tc>
          <w:tcPr>
            <w:tcW w:w="921" w:type="dxa"/>
          </w:tcPr>
          <w:p>
            <w:pPr>
              <w:pStyle w:val="TableParagraph"/>
              <w:ind w:left="18" w:right="26"/>
              <w:rPr>
                <w:sz w:val="14"/>
              </w:rPr>
            </w:pPr>
            <w:r>
              <w:rPr>
                <w:color w:val="231F20"/>
                <w:spacing w:val="-5"/>
                <w:w w:val="95"/>
                <w:sz w:val="14"/>
              </w:rPr>
              <w:t>0.6</w:t>
            </w:r>
          </w:p>
        </w:tc>
        <w:tc>
          <w:tcPr>
            <w:tcW w:w="1249" w:type="dxa"/>
          </w:tcPr>
          <w:p>
            <w:pPr>
              <w:pStyle w:val="TableParagraph"/>
              <w:ind w:left="71"/>
              <w:rPr>
                <w:sz w:val="14"/>
              </w:rPr>
            </w:pPr>
            <w:r>
              <w:rPr>
                <w:color w:val="231F20"/>
                <w:spacing w:val="-5"/>
                <w:w w:val="95"/>
                <w:sz w:val="14"/>
              </w:rPr>
              <w:t>1.2</w:t>
            </w:r>
          </w:p>
        </w:tc>
        <w:tc>
          <w:tcPr>
            <w:tcW w:w="1095" w:type="dxa"/>
          </w:tcPr>
          <w:p>
            <w:pPr>
              <w:pStyle w:val="TableParagraph"/>
              <w:ind w:left="27" w:right="55"/>
              <w:rPr>
                <w:sz w:val="14"/>
              </w:rPr>
            </w:pPr>
            <w:r>
              <w:rPr>
                <w:color w:val="231F20"/>
                <w:spacing w:val="-5"/>
                <w:w w:val="95"/>
                <w:sz w:val="14"/>
              </w:rPr>
              <w:t>1.6</w:t>
            </w:r>
          </w:p>
        </w:tc>
      </w:tr>
      <w:tr>
        <w:trPr>
          <w:trHeight w:val="259" w:hRule="atLeast"/>
        </w:trPr>
        <w:tc>
          <w:tcPr>
            <w:tcW w:w="1427" w:type="dxa"/>
            <w:shd w:val="clear" w:color="auto" w:fill="D4E3F5"/>
          </w:tcPr>
          <w:p>
            <w:pPr>
              <w:pStyle w:val="TableParagraph"/>
              <w:ind w:left="80"/>
              <w:jc w:val="left"/>
              <w:rPr>
                <w:sz w:val="14"/>
              </w:rPr>
            </w:pPr>
            <w:r>
              <w:rPr>
                <w:color w:val="231F20"/>
                <w:spacing w:val="-2"/>
                <w:w w:val="90"/>
                <w:sz w:val="14"/>
              </w:rPr>
              <w:t>Japan</w:t>
            </w:r>
          </w:p>
        </w:tc>
        <w:tc>
          <w:tcPr>
            <w:tcW w:w="1040" w:type="dxa"/>
            <w:shd w:val="clear" w:color="auto" w:fill="D4E3F5"/>
          </w:tcPr>
          <w:p>
            <w:pPr>
              <w:pStyle w:val="TableParagraph"/>
              <w:ind w:right="461"/>
              <w:jc w:val="right"/>
              <w:rPr>
                <w:sz w:val="14"/>
              </w:rPr>
            </w:pPr>
            <w:r>
              <w:rPr>
                <w:color w:val="231F20"/>
                <w:spacing w:val="-5"/>
                <w:w w:val="95"/>
                <w:sz w:val="14"/>
              </w:rPr>
              <w:t>206</w:t>
            </w:r>
          </w:p>
        </w:tc>
        <w:tc>
          <w:tcPr>
            <w:tcW w:w="1087" w:type="dxa"/>
            <w:shd w:val="clear" w:color="auto" w:fill="D4E3F5"/>
          </w:tcPr>
          <w:p>
            <w:pPr>
              <w:pStyle w:val="TableParagraph"/>
              <w:ind w:left="93" w:right="60"/>
              <w:rPr>
                <w:sz w:val="14"/>
              </w:rPr>
            </w:pPr>
            <w:r>
              <w:rPr>
                <w:color w:val="231F20"/>
                <w:spacing w:val="-10"/>
                <w:w w:val="95"/>
                <w:sz w:val="14"/>
              </w:rPr>
              <w:t>3</w:t>
            </w:r>
          </w:p>
        </w:tc>
        <w:tc>
          <w:tcPr>
            <w:tcW w:w="1062" w:type="dxa"/>
            <w:shd w:val="clear" w:color="auto" w:fill="D4E3F5"/>
          </w:tcPr>
          <w:p>
            <w:pPr>
              <w:pStyle w:val="TableParagraph"/>
              <w:ind w:right="404"/>
              <w:jc w:val="right"/>
              <w:rPr>
                <w:sz w:val="14"/>
              </w:rPr>
            </w:pPr>
            <w:r>
              <w:rPr>
                <w:color w:val="231F20"/>
                <w:spacing w:val="-5"/>
                <w:w w:val="95"/>
                <w:sz w:val="14"/>
              </w:rPr>
              <w:t>42</w:t>
            </w:r>
          </w:p>
        </w:tc>
        <w:tc>
          <w:tcPr>
            <w:tcW w:w="1245" w:type="dxa"/>
            <w:shd w:val="clear" w:color="auto" w:fill="D4E3F5"/>
          </w:tcPr>
          <w:p>
            <w:pPr>
              <w:pStyle w:val="TableParagraph"/>
              <w:ind w:left="65" w:right="8"/>
              <w:rPr>
                <w:sz w:val="14"/>
              </w:rPr>
            </w:pPr>
            <w:r>
              <w:rPr>
                <w:color w:val="231F20"/>
                <w:spacing w:val="-5"/>
                <w:w w:val="95"/>
                <w:sz w:val="14"/>
              </w:rPr>
              <w:t>0.3</w:t>
            </w:r>
          </w:p>
        </w:tc>
        <w:tc>
          <w:tcPr>
            <w:tcW w:w="1195" w:type="dxa"/>
            <w:shd w:val="clear" w:color="auto" w:fill="D4E3F5"/>
          </w:tcPr>
          <w:p>
            <w:pPr>
              <w:pStyle w:val="TableParagraph"/>
              <w:ind w:left="19" w:right="155"/>
              <w:rPr>
                <w:sz w:val="14"/>
              </w:rPr>
            </w:pPr>
            <w:r>
              <w:rPr>
                <w:color w:val="231F20"/>
                <w:spacing w:val="-5"/>
                <w:w w:val="95"/>
                <w:sz w:val="14"/>
              </w:rPr>
              <w:t>0.5</w:t>
            </w:r>
          </w:p>
        </w:tc>
        <w:tc>
          <w:tcPr>
            <w:tcW w:w="921" w:type="dxa"/>
            <w:shd w:val="clear" w:color="auto" w:fill="D4E3F5"/>
          </w:tcPr>
          <w:p>
            <w:pPr>
              <w:pStyle w:val="TableParagraph"/>
              <w:ind w:left="18" w:right="26"/>
              <w:rPr>
                <w:sz w:val="14"/>
              </w:rPr>
            </w:pPr>
            <w:r>
              <w:rPr>
                <w:color w:val="231F20"/>
                <w:spacing w:val="-5"/>
                <w:w w:val="95"/>
                <w:sz w:val="14"/>
              </w:rPr>
              <w:t>0.3</w:t>
            </w:r>
          </w:p>
        </w:tc>
        <w:tc>
          <w:tcPr>
            <w:tcW w:w="1249" w:type="dxa"/>
            <w:shd w:val="clear" w:color="auto" w:fill="D4E3F5"/>
          </w:tcPr>
          <w:p>
            <w:pPr>
              <w:pStyle w:val="TableParagraph"/>
              <w:ind w:left="71" w:right="8"/>
              <w:rPr>
                <w:sz w:val="14"/>
              </w:rPr>
            </w:pPr>
            <w:r>
              <w:rPr>
                <w:color w:val="231F20"/>
                <w:spacing w:val="-5"/>
                <w:w w:val="95"/>
                <w:sz w:val="14"/>
              </w:rPr>
              <w:t>0.5</w:t>
            </w:r>
          </w:p>
        </w:tc>
        <w:tc>
          <w:tcPr>
            <w:tcW w:w="1095" w:type="dxa"/>
            <w:shd w:val="clear" w:color="auto" w:fill="D4E3F5"/>
          </w:tcPr>
          <w:p>
            <w:pPr>
              <w:pStyle w:val="TableParagraph"/>
              <w:ind w:left="21" w:right="55"/>
              <w:rPr>
                <w:sz w:val="14"/>
              </w:rPr>
            </w:pPr>
            <w:r>
              <w:rPr>
                <w:color w:val="231F20"/>
                <w:spacing w:val="-5"/>
                <w:w w:val="95"/>
                <w:sz w:val="14"/>
              </w:rPr>
              <w:t>0.6</w:t>
            </w:r>
          </w:p>
        </w:tc>
      </w:tr>
      <w:tr>
        <w:trPr>
          <w:trHeight w:val="259" w:hRule="atLeast"/>
        </w:trPr>
        <w:tc>
          <w:tcPr>
            <w:tcW w:w="1427" w:type="dxa"/>
          </w:tcPr>
          <w:p>
            <w:pPr>
              <w:pStyle w:val="TableParagraph"/>
              <w:ind w:left="80"/>
              <w:jc w:val="left"/>
              <w:rPr>
                <w:sz w:val="14"/>
              </w:rPr>
            </w:pPr>
            <w:r>
              <w:rPr>
                <w:color w:val="231F20"/>
                <w:w w:val="75"/>
                <w:sz w:val="14"/>
              </w:rPr>
              <w:t>Korea,</w:t>
            </w:r>
            <w:r>
              <w:rPr>
                <w:color w:val="231F20"/>
                <w:spacing w:val="9"/>
                <w:sz w:val="14"/>
              </w:rPr>
              <w:t> </w:t>
            </w:r>
            <w:r>
              <w:rPr>
                <w:color w:val="231F20"/>
                <w:spacing w:val="-4"/>
                <w:w w:val="90"/>
                <w:sz w:val="14"/>
              </w:rPr>
              <w:t>Rep.</w:t>
            </w:r>
          </w:p>
        </w:tc>
        <w:tc>
          <w:tcPr>
            <w:tcW w:w="1040" w:type="dxa"/>
          </w:tcPr>
          <w:p>
            <w:pPr>
              <w:pStyle w:val="TableParagraph"/>
              <w:ind w:right="460"/>
              <w:jc w:val="right"/>
              <w:rPr>
                <w:sz w:val="14"/>
              </w:rPr>
            </w:pPr>
            <w:r>
              <w:rPr>
                <w:color w:val="231F20"/>
                <w:spacing w:val="-5"/>
                <w:w w:val="95"/>
                <w:sz w:val="14"/>
              </w:rPr>
              <w:t>268</w:t>
            </w:r>
          </w:p>
        </w:tc>
        <w:tc>
          <w:tcPr>
            <w:tcW w:w="1087" w:type="dxa"/>
          </w:tcPr>
          <w:p>
            <w:pPr>
              <w:pStyle w:val="TableParagraph"/>
              <w:ind w:left="93" w:right="60"/>
              <w:rPr>
                <w:sz w:val="14"/>
              </w:rPr>
            </w:pPr>
            <w:r>
              <w:rPr>
                <w:color w:val="231F20"/>
                <w:spacing w:val="-10"/>
                <w:w w:val="95"/>
                <w:sz w:val="14"/>
              </w:rPr>
              <w:t>5</w:t>
            </w:r>
          </w:p>
        </w:tc>
        <w:tc>
          <w:tcPr>
            <w:tcW w:w="1062" w:type="dxa"/>
          </w:tcPr>
          <w:p>
            <w:pPr>
              <w:pStyle w:val="TableParagraph"/>
              <w:ind w:right="404"/>
              <w:jc w:val="right"/>
              <w:rPr>
                <w:sz w:val="14"/>
              </w:rPr>
            </w:pPr>
            <w:r>
              <w:rPr>
                <w:color w:val="231F20"/>
                <w:spacing w:val="-5"/>
                <w:w w:val="95"/>
                <w:sz w:val="14"/>
              </w:rPr>
              <w:t>78</w:t>
            </w:r>
          </w:p>
        </w:tc>
        <w:tc>
          <w:tcPr>
            <w:tcW w:w="1245" w:type="dxa"/>
          </w:tcPr>
          <w:p>
            <w:pPr>
              <w:pStyle w:val="TableParagraph"/>
              <w:ind w:left="65" w:right="13"/>
              <w:rPr>
                <w:sz w:val="14"/>
              </w:rPr>
            </w:pPr>
            <w:r>
              <w:rPr>
                <w:color w:val="231F20"/>
                <w:spacing w:val="-5"/>
                <w:w w:val="95"/>
                <w:sz w:val="14"/>
              </w:rPr>
              <w:t>0.7</w:t>
            </w:r>
          </w:p>
        </w:tc>
        <w:tc>
          <w:tcPr>
            <w:tcW w:w="1195" w:type="dxa"/>
          </w:tcPr>
          <w:p>
            <w:pPr>
              <w:pStyle w:val="TableParagraph"/>
              <w:ind w:left="25" w:right="155"/>
              <w:rPr>
                <w:sz w:val="14"/>
              </w:rPr>
            </w:pPr>
            <w:r>
              <w:rPr>
                <w:color w:val="231F20"/>
                <w:spacing w:val="-5"/>
                <w:w w:val="95"/>
                <w:sz w:val="14"/>
              </w:rPr>
              <w:t>1.0</w:t>
            </w:r>
          </w:p>
        </w:tc>
        <w:tc>
          <w:tcPr>
            <w:tcW w:w="921" w:type="dxa"/>
          </w:tcPr>
          <w:p>
            <w:pPr>
              <w:pStyle w:val="TableParagraph"/>
              <w:ind w:left="18" w:right="26"/>
              <w:rPr>
                <w:sz w:val="14"/>
              </w:rPr>
            </w:pPr>
            <w:r>
              <w:rPr>
                <w:color w:val="231F20"/>
                <w:spacing w:val="-5"/>
                <w:w w:val="95"/>
                <w:sz w:val="14"/>
              </w:rPr>
              <w:t>0.6</w:t>
            </w:r>
          </w:p>
        </w:tc>
        <w:tc>
          <w:tcPr>
            <w:tcW w:w="1249" w:type="dxa"/>
          </w:tcPr>
          <w:p>
            <w:pPr>
              <w:pStyle w:val="TableParagraph"/>
              <w:ind w:left="71" w:right="2"/>
              <w:rPr>
                <w:sz w:val="14"/>
              </w:rPr>
            </w:pPr>
            <w:r>
              <w:rPr>
                <w:color w:val="231F20"/>
                <w:spacing w:val="-5"/>
                <w:w w:val="95"/>
                <w:sz w:val="14"/>
              </w:rPr>
              <w:t>1.0</w:t>
            </w:r>
          </w:p>
        </w:tc>
        <w:tc>
          <w:tcPr>
            <w:tcW w:w="1095" w:type="dxa"/>
          </w:tcPr>
          <w:p>
            <w:pPr>
              <w:pStyle w:val="TableParagraph"/>
              <w:ind w:left="28" w:right="55"/>
              <w:rPr>
                <w:sz w:val="14"/>
              </w:rPr>
            </w:pPr>
            <w:r>
              <w:rPr>
                <w:color w:val="231F20"/>
                <w:spacing w:val="-5"/>
                <w:w w:val="95"/>
                <w:sz w:val="14"/>
              </w:rPr>
              <w:t>1.3</w:t>
            </w:r>
          </w:p>
        </w:tc>
      </w:tr>
      <w:tr>
        <w:trPr>
          <w:trHeight w:val="259" w:hRule="atLeast"/>
        </w:trPr>
        <w:tc>
          <w:tcPr>
            <w:tcW w:w="1427" w:type="dxa"/>
            <w:shd w:val="clear" w:color="auto" w:fill="D4E3F5"/>
          </w:tcPr>
          <w:p>
            <w:pPr>
              <w:pStyle w:val="TableParagraph"/>
              <w:ind w:left="80"/>
              <w:jc w:val="left"/>
              <w:rPr>
                <w:sz w:val="14"/>
              </w:rPr>
            </w:pPr>
            <w:r>
              <w:rPr>
                <w:color w:val="231F20"/>
                <w:spacing w:val="-2"/>
                <w:w w:val="90"/>
                <w:sz w:val="14"/>
              </w:rPr>
              <w:t>Kuwait</w:t>
            </w:r>
          </w:p>
        </w:tc>
        <w:tc>
          <w:tcPr>
            <w:tcW w:w="1040" w:type="dxa"/>
            <w:shd w:val="clear" w:color="auto" w:fill="D4E3F5"/>
          </w:tcPr>
          <w:p>
            <w:pPr>
              <w:pStyle w:val="TableParagraph"/>
              <w:ind w:right="462"/>
              <w:jc w:val="right"/>
              <w:rPr>
                <w:sz w:val="14"/>
              </w:rPr>
            </w:pPr>
            <w:r>
              <w:rPr>
                <w:color w:val="231F20"/>
                <w:spacing w:val="-10"/>
                <w:w w:val="95"/>
                <w:sz w:val="14"/>
              </w:rPr>
              <w:t>8</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7"/>
              <w:jc w:val="right"/>
              <w:rPr>
                <w:sz w:val="14"/>
              </w:rPr>
            </w:pPr>
            <w:r>
              <w:rPr>
                <w:color w:val="231F20"/>
                <w:spacing w:val="-10"/>
                <w:w w:val="95"/>
                <w:sz w:val="14"/>
              </w:rPr>
              <w:t>7</w:t>
            </w:r>
          </w:p>
        </w:tc>
        <w:tc>
          <w:tcPr>
            <w:tcW w:w="1245" w:type="dxa"/>
            <w:shd w:val="clear" w:color="auto" w:fill="D4E3F5"/>
          </w:tcPr>
          <w:p>
            <w:pPr>
              <w:pStyle w:val="TableParagraph"/>
              <w:ind w:left="65" w:right="8"/>
              <w:rPr>
                <w:sz w:val="14"/>
              </w:rPr>
            </w:pPr>
            <w:r>
              <w:rPr>
                <w:color w:val="231F20"/>
                <w:spacing w:val="-5"/>
                <w:w w:val="95"/>
                <w:sz w:val="14"/>
              </w:rPr>
              <w:t>0.8</w:t>
            </w:r>
          </w:p>
        </w:tc>
        <w:tc>
          <w:tcPr>
            <w:tcW w:w="1195" w:type="dxa"/>
            <w:shd w:val="clear" w:color="auto" w:fill="D4E3F5"/>
          </w:tcPr>
          <w:p>
            <w:pPr>
              <w:pStyle w:val="TableParagraph"/>
              <w:ind w:left="19" w:right="155"/>
              <w:rPr>
                <w:sz w:val="14"/>
              </w:rPr>
            </w:pPr>
            <w:r>
              <w:rPr>
                <w:color w:val="231F20"/>
                <w:spacing w:val="-5"/>
                <w:w w:val="95"/>
                <w:sz w:val="14"/>
              </w:rPr>
              <w:t>0.9</w:t>
            </w:r>
          </w:p>
        </w:tc>
        <w:tc>
          <w:tcPr>
            <w:tcW w:w="921" w:type="dxa"/>
            <w:shd w:val="clear" w:color="auto" w:fill="D4E3F5"/>
          </w:tcPr>
          <w:p>
            <w:pPr>
              <w:pStyle w:val="TableParagraph"/>
              <w:ind w:left="18" w:right="26"/>
              <w:rPr>
                <w:sz w:val="14"/>
              </w:rPr>
            </w:pPr>
            <w:r>
              <w:rPr>
                <w:color w:val="231F20"/>
                <w:spacing w:val="-5"/>
                <w:w w:val="95"/>
                <w:sz w:val="14"/>
              </w:rPr>
              <w:t>0.5</w:t>
            </w:r>
          </w:p>
        </w:tc>
        <w:tc>
          <w:tcPr>
            <w:tcW w:w="1249" w:type="dxa"/>
            <w:shd w:val="clear" w:color="auto" w:fill="D4E3F5"/>
          </w:tcPr>
          <w:p>
            <w:pPr>
              <w:pStyle w:val="TableParagraph"/>
              <w:ind w:left="71" w:right="8"/>
              <w:rPr>
                <w:sz w:val="14"/>
              </w:rPr>
            </w:pPr>
            <w:r>
              <w:rPr>
                <w:color w:val="231F20"/>
                <w:spacing w:val="-5"/>
                <w:w w:val="95"/>
                <w:sz w:val="14"/>
              </w:rPr>
              <w:t>0.8</w:t>
            </w:r>
          </w:p>
        </w:tc>
        <w:tc>
          <w:tcPr>
            <w:tcW w:w="1095" w:type="dxa"/>
            <w:shd w:val="clear" w:color="auto" w:fill="D4E3F5"/>
          </w:tcPr>
          <w:p>
            <w:pPr>
              <w:pStyle w:val="TableParagraph"/>
              <w:ind w:left="21" w:right="55"/>
              <w:rPr>
                <w:sz w:val="14"/>
              </w:rPr>
            </w:pPr>
            <w:r>
              <w:rPr>
                <w:color w:val="231F20"/>
                <w:spacing w:val="-5"/>
                <w:w w:val="95"/>
                <w:sz w:val="14"/>
              </w:rPr>
              <w:t>0.9</w:t>
            </w:r>
          </w:p>
        </w:tc>
      </w:tr>
      <w:tr>
        <w:trPr>
          <w:trHeight w:val="259" w:hRule="atLeast"/>
        </w:trPr>
        <w:tc>
          <w:tcPr>
            <w:tcW w:w="1427" w:type="dxa"/>
          </w:tcPr>
          <w:p>
            <w:pPr>
              <w:pStyle w:val="TableParagraph"/>
              <w:ind w:left="80"/>
              <w:jc w:val="left"/>
              <w:rPr>
                <w:sz w:val="14"/>
              </w:rPr>
            </w:pPr>
            <w:r>
              <w:rPr>
                <w:color w:val="231F20"/>
                <w:spacing w:val="-2"/>
                <w:w w:val="90"/>
                <w:sz w:val="14"/>
              </w:rPr>
              <w:t>Latvia</w:t>
            </w:r>
          </w:p>
        </w:tc>
        <w:tc>
          <w:tcPr>
            <w:tcW w:w="1040" w:type="dxa"/>
          </w:tcPr>
          <w:p>
            <w:pPr>
              <w:pStyle w:val="TableParagraph"/>
              <w:ind w:right="462"/>
              <w:jc w:val="right"/>
              <w:rPr>
                <w:sz w:val="14"/>
              </w:rPr>
            </w:pPr>
            <w:r>
              <w:rPr>
                <w:color w:val="231F20"/>
                <w:spacing w:val="-10"/>
                <w:w w:val="95"/>
                <w:sz w:val="14"/>
              </w:rPr>
              <w:t>9</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7"/>
              <w:jc w:val="right"/>
              <w:rPr>
                <w:sz w:val="14"/>
              </w:rPr>
            </w:pPr>
            <w:r>
              <w:rPr>
                <w:color w:val="231F20"/>
                <w:spacing w:val="-5"/>
                <w:w w:val="95"/>
                <w:sz w:val="14"/>
              </w:rPr>
              <w:t>10</w:t>
            </w:r>
          </w:p>
        </w:tc>
        <w:tc>
          <w:tcPr>
            <w:tcW w:w="1245" w:type="dxa"/>
          </w:tcPr>
          <w:p>
            <w:pPr>
              <w:pStyle w:val="TableParagraph"/>
              <w:ind w:left="65" w:right="1"/>
              <w:rPr>
                <w:sz w:val="14"/>
              </w:rPr>
            </w:pPr>
            <w:r>
              <w:rPr>
                <w:color w:val="231F20"/>
                <w:spacing w:val="-5"/>
                <w:w w:val="95"/>
                <w:sz w:val="14"/>
              </w:rPr>
              <w:t>1.3</w:t>
            </w:r>
          </w:p>
        </w:tc>
        <w:tc>
          <w:tcPr>
            <w:tcW w:w="1195" w:type="dxa"/>
          </w:tcPr>
          <w:p>
            <w:pPr>
              <w:pStyle w:val="TableParagraph"/>
              <w:ind w:left="24" w:right="155"/>
              <w:rPr>
                <w:sz w:val="14"/>
              </w:rPr>
            </w:pPr>
            <w:r>
              <w:rPr>
                <w:color w:val="231F20"/>
                <w:spacing w:val="-5"/>
                <w:w w:val="95"/>
                <w:sz w:val="14"/>
              </w:rPr>
              <w:t>1.4</w:t>
            </w:r>
          </w:p>
        </w:tc>
        <w:tc>
          <w:tcPr>
            <w:tcW w:w="921" w:type="dxa"/>
          </w:tcPr>
          <w:p>
            <w:pPr>
              <w:pStyle w:val="TableParagraph"/>
              <w:ind w:left="6" w:right="26"/>
              <w:rPr>
                <w:sz w:val="14"/>
              </w:rPr>
            </w:pPr>
            <w:r>
              <w:rPr>
                <w:color w:val="231F20"/>
                <w:spacing w:val="-5"/>
                <w:w w:val="95"/>
                <w:sz w:val="14"/>
              </w:rPr>
              <w:t>1.1</w:t>
            </w:r>
          </w:p>
        </w:tc>
        <w:tc>
          <w:tcPr>
            <w:tcW w:w="1249" w:type="dxa"/>
          </w:tcPr>
          <w:p>
            <w:pPr>
              <w:pStyle w:val="TableParagraph"/>
              <w:ind w:left="71" w:right="3"/>
              <w:rPr>
                <w:sz w:val="14"/>
              </w:rPr>
            </w:pPr>
            <w:r>
              <w:rPr>
                <w:color w:val="231F20"/>
                <w:spacing w:val="-5"/>
                <w:w w:val="95"/>
                <w:sz w:val="14"/>
              </w:rPr>
              <w:t>1.4</w:t>
            </w:r>
          </w:p>
        </w:tc>
        <w:tc>
          <w:tcPr>
            <w:tcW w:w="1095" w:type="dxa"/>
          </w:tcPr>
          <w:p>
            <w:pPr>
              <w:pStyle w:val="TableParagraph"/>
              <w:ind w:left="28" w:right="55"/>
              <w:rPr>
                <w:sz w:val="14"/>
              </w:rPr>
            </w:pPr>
            <w:r>
              <w:rPr>
                <w:color w:val="231F20"/>
                <w:spacing w:val="-5"/>
                <w:w w:val="95"/>
                <w:sz w:val="14"/>
              </w:rPr>
              <w:t>1.5</w:t>
            </w:r>
          </w:p>
        </w:tc>
      </w:tr>
      <w:tr>
        <w:trPr>
          <w:trHeight w:val="259" w:hRule="atLeast"/>
        </w:trPr>
        <w:tc>
          <w:tcPr>
            <w:tcW w:w="1427" w:type="dxa"/>
            <w:shd w:val="clear" w:color="auto" w:fill="D4E3F5"/>
          </w:tcPr>
          <w:p>
            <w:pPr>
              <w:pStyle w:val="TableParagraph"/>
              <w:ind w:left="80"/>
              <w:jc w:val="left"/>
              <w:rPr>
                <w:sz w:val="14"/>
              </w:rPr>
            </w:pPr>
            <w:r>
              <w:rPr>
                <w:color w:val="231F20"/>
                <w:spacing w:val="-2"/>
                <w:w w:val="90"/>
                <w:sz w:val="14"/>
              </w:rPr>
              <w:t>Liberia</w:t>
            </w:r>
          </w:p>
        </w:tc>
        <w:tc>
          <w:tcPr>
            <w:tcW w:w="1040" w:type="dxa"/>
            <w:shd w:val="clear" w:color="auto" w:fill="D4E3F5"/>
          </w:tcPr>
          <w:p>
            <w:pPr>
              <w:pStyle w:val="TableParagraph"/>
              <w:ind w:right="462"/>
              <w:jc w:val="right"/>
              <w:rPr>
                <w:sz w:val="14"/>
              </w:rPr>
            </w:pPr>
            <w:r>
              <w:rPr>
                <w:color w:val="231F20"/>
                <w:spacing w:val="-10"/>
                <w:w w:val="95"/>
                <w:sz w:val="14"/>
              </w:rPr>
              <w:t>3</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7"/>
              <w:jc w:val="right"/>
              <w:rPr>
                <w:sz w:val="14"/>
              </w:rPr>
            </w:pPr>
            <w:r>
              <w:rPr>
                <w:color w:val="231F20"/>
                <w:spacing w:val="-10"/>
                <w:w w:val="95"/>
                <w:sz w:val="14"/>
              </w:rPr>
              <w:t>5</w:t>
            </w:r>
          </w:p>
        </w:tc>
        <w:tc>
          <w:tcPr>
            <w:tcW w:w="1245" w:type="dxa"/>
            <w:shd w:val="clear" w:color="auto" w:fill="D4E3F5"/>
          </w:tcPr>
          <w:p>
            <w:pPr>
              <w:pStyle w:val="TableParagraph"/>
              <w:ind w:left="65" w:right="8"/>
              <w:rPr>
                <w:sz w:val="14"/>
              </w:rPr>
            </w:pPr>
            <w:r>
              <w:rPr>
                <w:color w:val="231F20"/>
                <w:spacing w:val="-5"/>
                <w:w w:val="95"/>
                <w:sz w:val="14"/>
              </w:rPr>
              <w:t>2.0</w:t>
            </w:r>
          </w:p>
        </w:tc>
        <w:tc>
          <w:tcPr>
            <w:tcW w:w="1195" w:type="dxa"/>
            <w:shd w:val="clear" w:color="auto" w:fill="D4E3F5"/>
          </w:tcPr>
          <w:p>
            <w:pPr>
              <w:pStyle w:val="TableParagraph"/>
              <w:ind w:left="19" w:right="155"/>
              <w:rPr>
                <w:sz w:val="14"/>
              </w:rPr>
            </w:pPr>
            <w:r>
              <w:rPr>
                <w:color w:val="231F20"/>
                <w:spacing w:val="-5"/>
                <w:w w:val="95"/>
                <w:sz w:val="14"/>
              </w:rPr>
              <w:t>2.3</w:t>
            </w:r>
          </w:p>
        </w:tc>
        <w:tc>
          <w:tcPr>
            <w:tcW w:w="921" w:type="dxa"/>
            <w:shd w:val="clear" w:color="auto" w:fill="D4E3F5"/>
          </w:tcPr>
          <w:p>
            <w:pPr>
              <w:pStyle w:val="TableParagraph"/>
              <w:ind w:left="18" w:right="26"/>
              <w:rPr>
                <w:sz w:val="14"/>
              </w:rPr>
            </w:pPr>
            <w:r>
              <w:rPr>
                <w:color w:val="231F20"/>
                <w:spacing w:val="-5"/>
                <w:w w:val="95"/>
                <w:sz w:val="14"/>
              </w:rPr>
              <w:t>0.8</w:t>
            </w:r>
          </w:p>
        </w:tc>
        <w:tc>
          <w:tcPr>
            <w:tcW w:w="1249" w:type="dxa"/>
            <w:shd w:val="clear" w:color="auto" w:fill="D4E3F5"/>
          </w:tcPr>
          <w:p>
            <w:pPr>
              <w:pStyle w:val="TableParagraph"/>
              <w:ind w:left="71" w:right="8"/>
              <w:rPr>
                <w:sz w:val="14"/>
              </w:rPr>
            </w:pPr>
            <w:r>
              <w:rPr>
                <w:color w:val="231F20"/>
                <w:spacing w:val="-5"/>
                <w:w w:val="95"/>
                <w:sz w:val="14"/>
              </w:rPr>
              <w:t>2.0</w:t>
            </w:r>
          </w:p>
        </w:tc>
        <w:tc>
          <w:tcPr>
            <w:tcW w:w="1095" w:type="dxa"/>
            <w:shd w:val="clear" w:color="auto" w:fill="D4E3F5"/>
          </w:tcPr>
          <w:p>
            <w:pPr>
              <w:pStyle w:val="TableParagraph"/>
              <w:ind w:left="21" w:right="55"/>
              <w:rPr>
                <w:sz w:val="14"/>
              </w:rPr>
            </w:pPr>
            <w:r>
              <w:rPr>
                <w:color w:val="231F20"/>
                <w:spacing w:val="-5"/>
                <w:w w:val="95"/>
                <w:sz w:val="14"/>
              </w:rPr>
              <w:t>2.3</w:t>
            </w:r>
          </w:p>
        </w:tc>
      </w:tr>
      <w:tr>
        <w:trPr>
          <w:trHeight w:val="259" w:hRule="atLeast"/>
        </w:trPr>
        <w:tc>
          <w:tcPr>
            <w:tcW w:w="1427" w:type="dxa"/>
          </w:tcPr>
          <w:p>
            <w:pPr>
              <w:pStyle w:val="TableParagraph"/>
              <w:ind w:left="80"/>
              <w:jc w:val="left"/>
              <w:rPr>
                <w:sz w:val="14"/>
              </w:rPr>
            </w:pPr>
            <w:r>
              <w:rPr>
                <w:color w:val="231F20"/>
                <w:spacing w:val="-2"/>
                <w:w w:val="90"/>
                <w:sz w:val="14"/>
              </w:rPr>
              <w:t>Libya</w:t>
            </w:r>
          </w:p>
        </w:tc>
        <w:tc>
          <w:tcPr>
            <w:tcW w:w="1040" w:type="dxa"/>
          </w:tcPr>
          <w:p>
            <w:pPr>
              <w:pStyle w:val="TableParagraph"/>
              <w:ind w:right="464"/>
              <w:jc w:val="right"/>
              <w:rPr>
                <w:sz w:val="14"/>
              </w:rPr>
            </w:pPr>
            <w:r>
              <w:rPr>
                <w:color w:val="231F20"/>
                <w:spacing w:val="-5"/>
                <w:w w:val="95"/>
                <w:sz w:val="14"/>
              </w:rPr>
              <w:t>16</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8"/>
              <w:jc w:val="right"/>
              <w:rPr>
                <w:sz w:val="14"/>
              </w:rPr>
            </w:pPr>
            <w:r>
              <w:rPr>
                <w:color w:val="231F20"/>
                <w:spacing w:val="-5"/>
                <w:w w:val="95"/>
                <w:sz w:val="14"/>
              </w:rPr>
              <w:t>24</w:t>
            </w:r>
          </w:p>
        </w:tc>
        <w:tc>
          <w:tcPr>
            <w:tcW w:w="1245" w:type="dxa"/>
          </w:tcPr>
          <w:p>
            <w:pPr>
              <w:pStyle w:val="TableParagraph"/>
              <w:ind w:left="65" w:right="8"/>
              <w:rPr>
                <w:sz w:val="14"/>
              </w:rPr>
            </w:pPr>
            <w:r>
              <w:rPr>
                <w:color w:val="231F20"/>
                <w:spacing w:val="-5"/>
                <w:w w:val="95"/>
                <w:sz w:val="14"/>
              </w:rPr>
              <w:t>2.0</w:t>
            </w:r>
          </w:p>
        </w:tc>
        <w:tc>
          <w:tcPr>
            <w:tcW w:w="1195" w:type="dxa"/>
          </w:tcPr>
          <w:p>
            <w:pPr>
              <w:pStyle w:val="TableParagraph"/>
              <w:ind w:left="17" w:right="155"/>
              <w:rPr>
                <w:sz w:val="14"/>
              </w:rPr>
            </w:pPr>
            <w:r>
              <w:rPr>
                <w:color w:val="231F20"/>
                <w:spacing w:val="-5"/>
                <w:w w:val="95"/>
                <w:sz w:val="14"/>
              </w:rPr>
              <w:t>2.4</w:t>
            </w:r>
          </w:p>
        </w:tc>
        <w:tc>
          <w:tcPr>
            <w:tcW w:w="921" w:type="dxa"/>
          </w:tcPr>
          <w:p>
            <w:pPr>
              <w:pStyle w:val="TableParagraph"/>
              <w:ind w:left="24" w:right="26"/>
              <w:rPr>
                <w:sz w:val="14"/>
              </w:rPr>
            </w:pPr>
            <w:r>
              <w:rPr>
                <w:color w:val="231F20"/>
                <w:spacing w:val="-5"/>
                <w:w w:val="95"/>
                <w:sz w:val="14"/>
              </w:rPr>
              <w:t>1.6</w:t>
            </w:r>
          </w:p>
        </w:tc>
        <w:tc>
          <w:tcPr>
            <w:tcW w:w="1249" w:type="dxa"/>
          </w:tcPr>
          <w:p>
            <w:pPr>
              <w:pStyle w:val="TableParagraph"/>
              <w:ind w:left="71" w:right="8"/>
              <w:rPr>
                <w:sz w:val="14"/>
              </w:rPr>
            </w:pPr>
            <w:r>
              <w:rPr>
                <w:color w:val="231F20"/>
                <w:spacing w:val="-5"/>
                <w:w w:val="95"/>
                <w:sz w:val="14"/>
              </w:rPr>
              <w:t>2.0</w:t>
            </w:r>
          </w:p>
        </w:tc>
        <w:tc>
          <w:tcPr>
            <w:tcW w:w="1095" w:type="dxa"/>
          </w:tcPr>
          <w:p>
            <w:pPr>
              <w:pStyle w:val="TableParagraph"/>
              <w:ind w:left="19" w:right="55"/>
              <w:rPr>
                <w:sz w:val="14"/>
              </w:rPr>
            </w:pPr>
            <w:r>
              <w:rPr>
                <w:color w:val="231F20"/>
                <w:spacing w:val="-5"/>
                <w:w w:val="95"/>
                <w:sz w:val="14"/>
              </w:rPr>
              <w:t>2.4</w:t>
            </w:r>
          </w:p>
        </w:tc>
      </w:tr>
      <w:tr>
        <w:trPr>
          <w:trHeight w:val="259" w:hRule="atLeast"/>
        </w:trPr>
        <w:tc>
          <w:tcPr>
            <w:tcW w:w="1427" w:type="dxa"/>
            <w:shd w:val="clear" w:color="auto" w:fill="D4E3F5"/>
          </w:tcPr>
          <w:p>
            <w:pPr>
              <w:pStyle w:val="TableParagraph"/>
              <w:ind w:left="80"/>
              <w:jc w:val="left"/>
              <w:rPr>
                <w:sz w:val="14"/>
              </w:rPr>
            </w:pPr>
            <w:r>
              <w:rPr>
                <w:color w:val="231F20"/>
                <w:spacing w:val="-2"/>
                <w:w w:val="90"/>
                <w:sz w:val="14"/>
              </w:rPr>
              <w:t>Lithuania</w:t>
            </w:r>
          </w:p>
        </w:tc>
        <w:tc>
          <w:tcPr>
            <w:tcW w:w="1040" w:type="dxa"/>
            <w:shd w:val="clear" w:color="auto" w:fill="D4E3F5"/>
          </w:tcPr>
          <w:p>
            <w:pPr>
              <w:pStyle w:val="TableParagraph"/>
              <w:ind w:right="464"/>
              <w:jc w:val="right"/>
              <w:rPr>
                <w:sz w:val="14"/>
              </w:rPr>
            </w:pPr>
            <w:r>
              <w:rPr>
                <w:color w:val="231F20"/>
                <w:spacing w:val="-5"/>
                <w:w w:val="95"/>
                <w:sz w:val="14"/>
              </w:rPr>
              <w:t>16</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2"/>
              <w:jc w:val="right"/>
              <w:rPr>
                <w:sz w:val="14"/>
              </w:rPr>
            </w:pPr>
            <w:r>
              <w:rPr>
                <w:color w:val="231F20"/>
                <w:spacing w:val="-5"/>
                <w:w w:val="95"/>
                <w:sz w:val="14"/>
              </w:rPr>
              <w:t>23</w:t>
            </w:r>
          </w:p>
        </w:tc>
        <w:tc>
          <w:tcPr>
            <w:tcW w:w="1245" w:type="dxa"/>
            <w:shd w:val="clear" w:color="auto" w:fill="D4E3F5"/>
          </w:tcPr>
          <w:p>
            <w:pPr>
              <w:pStyle w:val="TableParagraph"/>
              <w:ind w:left="65" w:right="13"/>
              <w:rPr>
                <w:sz w:val="14"/>
              </w:rPr>
            </w:pPr>
            <w:r>
              <w:rPr>
                <w:color w:val="231F20"/>
                <w:spacing w:val="-5"/>
                <w:w w:val="95"/>
                <w:sz w:val="14"/>
              </w:rPr>
              <w:t>0.7</w:t>
            </w:r>
          </w:p>
        </w:tc>
        <w:tc>
          <w:tcPr>
            <w:tcW w:w="1195" w:type="dxa"/>
            <w:shd w:val="clear" w:color="auto" w:fill="D4E3F5"/>
          </w:tcPr>
          <w:p>
            <w:pPr>
              <w:pStyle w:val="TableParagraph"/>
              <w:ind w:left="19" w:right="155"/>
              <w:rPr>
                <w:sz w:val="14"/>
              </w:rPr>
            </w:pPr>
            <w:r>
              <w:rPr>
                <w:color w:val="231F20"/>
                <w:spacing w:val="-5"/>
                <w:w w:val="95"/>
                <w:sz w:val="14"/>
              </w:rPr>
              <w:t>0.8</w:t>
            </w:r>
          </w:p>
        </w:tc>
        <w:tc>
          <w:tcPr>
            <w:tcW w:w="921" w:type="dxa"/>
            <w:shd w:val="clear" w:color="auto" w:fill="D4E3F5"/>
          </w:tcPr>
          <w:p>
            <w:pPr>
              <w:pStyle w:val="TableParagraph"/>
              <w:ind w:left="18" w:right="26"/>
              <w:rPr>
                <w:sz w:val="14"/>
              </w:rPr>
            </w:pPr>
            <w:r>
              <w:rPr>
                <w:color w:val="231F20"/>
                <w:spacing w:val="-5"/>
                <w:w w:val="95"/>
                <w:sz w:val="14"/>
              </w:rPr>
              <w:t>0.5</w:t>
            </w:r>
          </w:p>
        </w:tc>
        <w:tc>
          <w:tcPr>
            <w:tcW w:w="1249" w:type="dxa"/>
            <w:shd w:val="clear" w:color="auto" w:fill="D4E3F5"/>
          </w:tcPr>
          <w:p>
            <w:pPr>
              <w:pStyle w:val="TableParagraph"/>
              <w:ind w:left="71" w:right="8"/>
              <w:rPr>
                <w:sz w:val="14"/>
              </w:rPr>
            </w:pPr>
            <w:r>
              <w:rPr>
                <w:color w:val="231F20"/>
                <w:spacing w:val="-5"/>
                <w:w w:val="95"/>
                <w:sz w:val="14"/>
              </w:rPr>
              <w:t>0.9</w:t>
            </w:r>
          </w:p>
        </w:tc>
        <w:tc>
          <w:tcPr>
            <w:tcW w:w="1095" w:type="dxa"/>
            <w:shd w:val="clear" w:color="auto" w:fill="D4E3F5"/>
          </w:tcPr>
          <w:p>
            <w:pPr>
              <w:pStyle w:val="TableParagraph"/>
              <w:ind w:left="9" w:right="55"/>
              <w:rPr>
                <w:sz w:val="14"/>
              </w:rPr>
            </w:pPr>
            <w:r>
              <w:rPr>
                <w:color w:val="231F20"/>
                <w:spacing w:val="-5"/>
                <w:w w:val="95"/>
                <w:sz w:val="14"/>
              </w:rPr>
              <w:t>1.1</w:t>
            </w:r>
          </w:p>
        </w:tc>
      </w:tr>
      <w:tr>
        <w:trPr>
          <w:trHeight w:val="259" w:hRule="atLeast"/>
        </w:trPr>
        <w:tc>
          <w:tcPr>
            <w:tcW w:w="1427" w:type="dxa"/>
          </w:tcPr>
          <w:p>
            <w:pPr>
              <w:pStyle w:val="TableParagraph"/>
              <w:ind w:left="80"/>
              <w:jc w:val="left"/>
              <w:rPr>
                <w:sz w:val="14"/>
              </w:rPr>
            </w:pPr>
            <w:r>
              <w:rPr>
                <w:color w:val="231F20"/>
                <w:spacing w:val="-2"/>
                <w:w w:val="90"/>
                <w:sz w:val="14"/>
              </w:rPr>
              <w:t>Madagascar</w:t>
            </w:r>
          </w:p>
        </w:tc>
        <w:tc>
          <w:tcPr>
            <w:tcW w:w="1040" w:type="dxa"/>
          </w:tcPr>
          <w:p>
            <w:pPr>
              <w:pStyle w:val="TableParagraph"/>
              <w:ind w:right="462"/>
              <w:jc w:val="right"/>
              <w:rPr>
                <w:sz w:val="14"/>
              </w:rPr>
            </w:pPr>
            <w:r>
              <w:rPr>
                <w:color w:val="231F20"/>
                <w:spacing w:val="-10"/>
                <w:w w:val="95"/>
                <w:sz w:val="14"/>
              </w:rPr>
              <w:t>8</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7"/>
              <w:jc w:val="right"/>
              <w:rPr>
                <w:sz w:val="14"/>
              </w:rPr>
            </w:pPr>
            <w:r>
              <w:rPr>
                <w:color w:val="231F20"/>
                <w:spacing w:val="-10"/>
                <w:w w:val="95"/>
                <w:sz w:val="14"/>
              </w:rPr>
              <w:t>9</w:t>
            </w:r>
          </w:p>
        </w:tc>
        <w:tc>
          <w:tcPr>
            <w:tcW w:w="1245" w:type="dxa"/>
          </w:tcPr>
          <w:p>
            <w:pPr>
              <w:pStyle w:val="TableParagraph"/>
              <w:ind w:left="65" w:right="8"/>
              <w:rPr>
                <w:sz w:val="14"/>
              </w:rPr>
            </w:pPr>
            <w:r>
              <w:rPr>
                <w:color w:val="231F20"/>
                <w:spacing w:val="-5"/>
                <w:w w:val="95"/>
                <w:sz w:val="14"/>
              </w:rPr>
              <w:t>0.9</w:t>
            </w:r>
          </w:p>
        </w:tc>
        <w:tc>
          <w:tcPr>
            <w:tcW w:w="1195" w:type="dxa"/>
          </w:tcPr>
          <w:p>
            <w:pPr>
              <w:pStyle w:val="TableParagraph"/>
              <w:ind w:left="19" w:right="155"/>
              <w:rPr>
                <w:sz w:val="14"/>
              </w:rPr>
            </w:pPr>
            <w:r>
              <w:rPr>
                <w:color w:val="231F20"/>
                <w:spacing w:val="-5"/>
                <w:w w:val="95"/>
                <w:sz w:val="14"/>
              </w:rPr>
              <w:t>0.9</w:t>
            </w:r>
          </w:p>
        </w:tc>
        <w:tc>
          <w:tcPr>
            <w:tcW w:w="921" w:type="dxa"/>
          </w:tcPr>
          <w:p>
            <w:pPr>
              <w:pStyle w:val="TableParagraph"/>
              <w:ind w:left="16" w:right="26"/>
              <w:rPr>
                <w:sz w:val="14"/>
              </w:rPr>
            </w:pPr>
            <w:r>
              <w:rPr>
                <w:color w:val="231F20"/>
                <w:spacing w:val="-5"/>
                <w:w w:val="95"/>
                <w:sz w:val="14"/>
              </w:rPr>
              <w:t>0.4</w:t>
            </w:r>
          </w:p>
        </w:tc>
        <w:tc>
          <w:tcPr>
            <w:tcW w:w="1249" w:type="dxa"/>
          </w:tcPr>
          <w:p>
            <w:pPr>
              <w:pStyle w:val="TableParagraph"/>
              <w:ind w:left="71" w:right="8"/>
              <w:rPr>
                <w:sz w:val="14"/>
              </w:rPr>
            </w:pPr>
            <w:r>
              <w:rPr>
                <w:color w:val="231F20"/>
                <w:spacing w:val="-5"/>
                <w:w w:val="95"/>
                <w:sz w:val="14"/>
              </w:rPr>
              <w:t>0.9</w:t>
            </w:r>
          </w:p>
        </w:tc>
        <w:tc>
          <w:tcPr>
            <w:tcW w:w="1095" w:type="dxa"/>
          </w:tcPr>
          <w:p>
            <w:pPr>
              <w:pStyle w:val="TableParagraph"/>
              <w:ind w:left="21" w:right="55"/>
              <w:rPr>
                <w:sz w:val="14"/>
              </w:rPr>
            </w:pPr>
            <w:r>
              <w:rPr>
                <w:color w:val="231F20"/>
                <w:spacing w:val="-5"/>
                <w:w w:val="95"/>
                <w:sz w:val="14"/>
              </w:rPr>
              <w:t>0.9</w:t>
            </w:r>
          </w:p>
        </w:tc>
      </w:tr>
      <w:tr>
        <w:trPr>
          <w:trHeight w:val="259" w:hRule="atLeast"/>
        </w:trPr>
        <w:tc>
          <w:tcPr>
            <w:tcW w:w="1427" w:type="dxa"/>
            <w:shd w:val="clear" w:color="auto" w:fill="D4E3F5"/>
          </w:tcPr>
          <w:p>
            <w:pPr>
              <w:pStyle w:val="TableParagraph"/>
              <w:ind w:left="80"/>
              <w:jc w:val="left"/>
              <w:rPr>
                <w:sz w:val="14"/>
              </w:rPr>
            </w:pPr>
            <w:r>
              <w:rPr>
                <w:color w:val="231F20"/>
                <w:spacing w:val="-2"/>
                <w:w w:val="90"/>
                <w:sz w:val="14"/>
              </w:rPr>
              <w:t>Malaysia</w:t>
            </w:r>
          </w:p>
        </w:tc>
        <w:tc>
          <w:tcPr>
            <w:tcW w:w="1040" w:type="dxa"/>
            <w:shd w:val="clear" w:color="auto" w:fill="D4E3F5"/>
          </w:tcPr>
          <w:p>
            <w:pPr>
              <w:pStyle w:val="TableParagraph"/>
              <w:ind w:right="461"/>
              <w:jc w:val="right"/>
              <w:rPr>
                <w:sz w:val="14"/>
              </w:rPr>
            </w:pPr>
            <w:r>
              <w:rPr>
                <w:color w:val="231F20"/>
                <w:spacing w:val="-5"/>
                <w:w w:val="95"/>
                <w:sz w:val="14"/>
              </w:rPr>
              <w:t>208</w:t>
            </w:r>
          </w:p>
        </w:tc>
        <w:tc>
          <w:tcPr>
            <w:tcW w:w="1087" w:type="dxa"/>
            <w:shd w:val="clear" w:color="auto" w:fill="D4E3F5"/>
          </w:tcPr>
          <w:p>
            <w:pPr>
              <w:pStyle w:val="TableParagraph"/>
              <w:ind w:left="93" w:right="60"/>
              <w:rPr>
                <w:sz w:val="14"/>
              </w:rPr>
            </w:pPr>
            <w:r>
              <w:rPr>
                <w:color w:val="231F20"/>
                <w:spacing w:val="-10"/>
                <w:w w:val="95"/>
                <w:sz w:val="14"/>
              </w:rPr>
              <w:t>4</w:t>
            </w:r>
          </w:p>
        </w:tc>
        <w:tc>
          <w:tcPr>
            <w:tcW w:w="1062" w:type="dxa"/>
            <w:shd w:val="clear" w:color="auto" w:fill="D4E3F5"/>
          </w:tcPr>
          <w:p>
            <w:pPr>
              <w:pStyle w:val="TableParagraph"/>
              <w:ind w:right="404"/>
              <w:jc w:val="right"/>
              <w:rPr>
                <w:sz w:val="14"/>
              </w:rPr>
            </w:pPr>
            <w:r>
              <w:rPr>
                <w:color w:val="231F20"/>
                <w:spacing w:val="-5"/>
                <w:w w:val="95"/>
                <w:sz w:val="14"/>
              </w:rPr>
              <w:t>70</w:t>
            </w:r>
          </w:p>
        </w:tc>
        <w:tc>
          <w:tcPr>
            <w:tcW w:w="1245" w:type="dxa"/>
            <w:shd w:val="clear" w:color="auto" w:fill="D4E3F5"/>
          </w:tcPr>
          <w:p>
            <w:pPr>
              <w:pStyle w:val="TableParagraph"/>
              <w:ind w:left="65" w:right="2"/>
              <w:rPr>
                <w:sz w:val="14"/>
              </w:rPr>
            </w:pPr>
            <w:r>
              <w:rPr>
                <w:color w:val="231F20"/>
                <w:spacing w:val="-5"/>
                <w:w w:val="95"/>
                <w:sz w:val="14"/>
              </w:rPr>
              <w:t>1.0</w:t>
            </w:r>
          </w:p>
        </w:tc>
        <w:tc>
          <w:tcPr>
            <w:tcW w:w="1195" w:type="dxa"/>
            <w:shd w:val="clear" w:color="auto" w:fill="D4E3F5"/>
          </w:tcPr>
          <w:p>
            <w:pPr>
              <w:pStyle w:val="TableParagraph"/>
              <w:ind w:left="27" w:right="155"/>
              <w:rPr>
                <w:sz w:val="14"/>
              </w:rPr>
            </w:pPr>
            <w:r>
              <w:rPr>
                <w:color w:val="231F20"/>
                <w:spacing w:val="-5"/>
                <w:w w:val="95"/>
                <w:sz w:val="14"/>
              </w:rPr>
              <w:t>1.2</w:t>
            </w:r>
          </w:p>
        </w:tc>
        <w:tc>
          <w:tcPr>
            <w:tcW w:w="921" w:type="dxa"/>
            <w:shd w:val="clear" w:color="auto" w:fill="D4E3F5"/>
          </w:tcPr>
          <w:p>
            <w:pPr>
              <w:pStyle w:val="TableParagraph"/>
              <w:ind w:left="13" w:right="26"/>
              <w:rPr>
                <w:sz w:val="14"/>
              </w:rPr>
            </w:pPr>
            <w:r>
              <w:rPr>
                <w:color w:val="231F20"/>
                <w:spacing w:val="-5"/>
                <w:w w:val="95"/>
                <w:sz w:val="14"/>
              </w:rPr>
              <w:t>0.7</w:t>
            </w:r>
          </w:p>
        </w:tc>
        <w:tc>
          <w:tcPr>
            <w:tcW w:w="1249" w:type="dxa"/>
            <w:shd w:val="clear" w:color="auto" w:fill="D4E3F5"/>
          </w:tcPr>
          <w:p>
            <w:pPr>
              <w:pStyle w:val="TableParagraph"/>
              <w:ind w:left="71" w:right="2"/>
              <w:rPr>
                <w:sz w:val="14"/>
              </w:rPr>
            </w:pPr>
            <w:r>
              <w:rPr>
                <w:color w:val="231F20"/>
                <w:spacing w:val="-5"/>
                <w:w w:val="95"/>
                <w:sz w:val="14"/>
              </w:rPr>
              <w:t>1.0</w:t>
            </w:r>
          </w:p>
        </w:tc>
        <w:tc>
          <w:tcPr>
            <w:tcW w:w="1095" w:type="dxa"/>
            <w:shd w:val="clear" w:color="auto" w:fill="D4E3F5"/>
          </w:tcPr>
          <w:p>
            <w:pPr>
              <w:pStyle w:val="TableParagraph"/>
              <w:ind w:left="26" w:right="55"/>
              <w:rPr>
                <w:sz w:val="14"/>
              </w:rPr>
            </w:pPr>
            <w:r>
              <w:rPr>
                <w:color w:val="231F20"/>
                <w:spacing w:val="-5"/>
                <w:w w:val="95"/>
                <w:sz w:val="14"/>
              </w:rPr>
              <w:t>1.4</w:t>
            </w:r>
          </w:p>
        </w:tc>
      </w:tr>
      <w:tr>
        <w:trPr>
          <w:trHeight w:val="259" w:hRule="atLeast"/>
        </w:trPr>
        <w:tc>
          <w:tcPr>
            <w:tcW w:w="1427" w:type="dxa"/>
          </w:tcPr>
          <w:p>
            <w:pPr>
              <w:pStyle w:val="TableParagraph"/>
              <w:ind w:left="80"/>
              <w:jc w:val="left"/>
              <w:rPr>
                <w:sz w:val="14"/>
              </w:rPr>
            </w:pPr>
            <w:r>
              <w:rPr>
                <w:color w:val="231F20"/>
                <w:spacing w:val="-2"/>
                <w:w w:val="90"/>
                <w:sz w:val="14"/>
              </w:rPr>
              <w:t>Malta</w:t>
            </w:r>
          </w:p>
        </w:tc>
        <w:tc>
          <w:tcPr>
            <w:tcW w:w="1040" w:type="dxa"/>
          </w:tcPr>
          <w:p>
            <w:pPr>
              <w:pStyle w:val="TableParagraph"/>
              <w:ind w:right="456"/>
              <w:jc w:val="right"/>
              <w:rPr>
                <w:sz w:val="14"/>
              </w:rPr>
            </w:pPr>
            <w:r>
              <w:rPr>
                <w:color w:val="231F20"/>
                <w:spacing w:val="-5"/>
                <w:w w:val="95"/>
                <w:sz w:val="14"/>
              </w:rPr>
              <w:t>22</w:t>
            </w:r>
          </w:p>
        </w:tc>
        <w:tc>
          <w:tcPr>
            <w:tcW w:w="1087" w:type="dxa"/>
          </w:tcPr>
          <w:p>
            <w:pPr>
              <w:pStyle w:val="TableParagraph"/>
              <w:ind w:left="93" w:right="60"/>
              <w:rPr>
                <w:sz w:val="14"/>
              </w:rPr>
            </w:pPr>
            <w:r>
              <w:rPr>
                <w:color w:val="231F20"/>
                <w:spacing w:val="-10"/>
                <w:w w:val="95"/>
                <w:sz w:val="14"/>
              </w:rPr>
              <w:t>1</w:t>
            </w:r>
          </w:p>
        </w:tc>
        <w:tc>
          <w:tcPr>
            <w:tcW w:w="1062" w:type="dxa"/>
          </w:tcPr>
          <w:p>
            <w:pPr>
              <w:pStyle w:val="TableParagraph"/>
              <w:ind w:right="400"/>
              <w:jc w:val="right"/>
              <w:rPr>
                <w:sz w:val="14"/>
              </w:rPr>
            </w:pPr>
            <w:r>
              <w:rPr>
                <w:color w:val="231F20"/>
                <w:spacing w:val="-5"/>
                <w:w w:val="95"/>
                <w:sz w:val="14"/>
              </w:rPr>
              <w:t>45</w:t>
            </w:r>
          </w:p>
        </w:tc>
        <w:tc>
          <w:tcPr>
            <w:tcW w:w="1245" w:type="dxa"/>
          </w:tcPr>
          <w:p>
            <w:pPr>
              <w:pStyle w:val="TableParagraph"/>
              <w:ind w:left="65"/>
              <w:rPr>
                <w:sz w:val="14"/>
              </w:rPr>
            </w:pPr>
            <w:r>
              <w:rPr>
                <w:color w:val="231F20"/>
                <w:spacing w:val="-5"/>
                <w:w w:val="95"/>
                <w:sz w:val="14"/>
              </w:rPr>
              <w:t>1.2</w:t>
            </w:r>
          </w:p>
        </w:tc>
        <w:tc>
          <w:tcPr>
            <w:tcW w:w="1195" w:type="dxa"/>
          </w:tcPr>
          <w:p>
            <w:pPr>
              <w:pStyle w:val="TableParagraph"/>
              <w:ind w:left="26" w:right="155"/>
              <w:rPr>
                <w:sz w:val="14"/>
              </w:rPr>
            </w:pPr>
            <w:r>
              <w:rPr>
                <w:color w:val="231F20"/>
                <w:spacing w:val="-5"/>
                <w:w w:val="95"/>
                <w:sz w:val="14"/>
              </w:rPr>
              <w:t>1.3</w:t>
            </w:r>
          </w:p>
        </w:tc>
        <w:tc>
          <w:tcPr>
            <w:tcW w:w="921" w:type="dxa"/>
          </w:tcPr>
          <w:p>
            <w:pPr>
              <w:pStyle w:val="TableParagraph"/>
              <w:ind w:left="13" w:right="26"/>
              <w:rPr>
                <w:sz w:val="14"/>
              </w:rPr>
            </w:pPr>
            <w:r>
              <w:rPr>
                <w:color w:val="231F20"/>
                <w:spacing w:val="-5"/>
                <w:w w:val="95"/>
                <w:sz w:val="14"/>
              </w:rPr>
              <w:t>0.7</w:t>
            </w:r>
          </w:p>
        </w:tc>
        <w:tc>
          <w:tcPr>
            <w:tcW w:w="1249" w:type="dxa"/>
          </w:tcPr>
          <w:p>
            <w:pPr>
              <w:pStyle w:val="TableParagraph"/>
              <w:ind w:left="71" w:right="1"/>
              <w:rPr>
                <w:sz w:val="14"/>
              </w:rPr>
            </w:pPr>
            <w:r>
              <w:rPr>
                <w:color w:val="231F20"/>
                <w:spacing w:val="-5"/>
                <w:w w:val="95"/>
                <w:sz w:val="14"/>
              </w:rPr>
              <w:t>1.3</w:t>
            </w:r>
          </w:p>
        </w:tc>
        <w:tc>
          <w:tcPr>
            <w:tcW w:w="1095" w:type="dxa"/>
          </w:tcPr>
          <w:p>
            <w:pPr>
              <w:pStyle w:val="TableParagraph"/>
              <w:ind w:left="26" w:right="55"/>
              <w:rPr>
                <w:sz w:val="14"/>
              </w:rPr>
            </w:pPr>
            <w:r>
              <w:rPr>
                <w:color w:val="231F20"/>
                <w:spacing w:val="-5"/>
                <w:w w:val="95"/>
                <w:sz w:val="14"/>
              </w:rPr>
              <w:t>1.4</w:t>
            </w:r>
          </w:p>
        </w:tc>
      </w:tr>
      <w:tr>
        <w:trPr>
          <w:trHeight w:val="259" w:hRule="atLeast"/>
        </w:trPr>
        <w:tc>
          <w:tcPr>
            <w:tcW w:w="1427" w:type="dxa"/>
            <w:shd w:val="clear" w:color="auto" w:fill="D4E3F5"/>
          </w:tcPr>
          <w:p>
            <w:pPr>
              <w:pStyle w:val="TableParagraph"/>
              <w:ind w:left="80"/>
              <w:jc w:val="left"/>
              <w:rPr>
                <w:sz w:val="14"/>
              </w:rPr>
            </w:pPr>
            <w:r>
              <w:rPr>
                <w:color w:val="231F20"/>
                <w:spacing w:val="-2"/>
                <w:w w:val="90"/>
                <w:sz w:val="14"/>
              </w:rPr>
              <w:t>Mauritania</w:t>
            </w:r>
          </w:p>
        </w:tc>
        <w:tc>
          <w:tcPr>
            <w:tcW w:w="1040" w:type="dxa"/>
            <w:shd w:val="clear" w:color="auto" w:fill="D4E3F5"/>
          </w:tcPr>
          <w:p>
            <w:pPr>
              <w:pStyle w:val="TableParagraph"/>
              <w:ind w:right="462"/>
              <w:jc w:val="right"/>
              <w:rPr>
                <w:sz w:val="14"/>
              </w:rPr>
            </w:pPr>
            <w:r>
              <w:rPr>
                <w:color w:val="231F20"/>
                <w:spacing w:val="-10"/>
                <w:w w:val="95"/>
                <w:sz w:val="14"/>
              </w:rPr>
              <w:t>7</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7"/>
              <w:jc w:val="right"/>
              <w:rPr>
                <w:sz w:val="14"/>
              </w:rPr>
            </w:pPr>
            <w:r>
              <w:rPr>
                <w:color w:val="231F20"/>
                <w:spacing w:val="-10"/>
                <w:w w:val="95"/>
                <w:sz w:val="14"/>
              </w:rPr>
              <w:t>5</w:t>
            </w:r>
          </w:p>
        </w:tc>
        <w:tc>
          <w:tcPr>
            <w:tcW w:w="1245" w:type="dxa"/>
            <w:shd w:val="clear" w:color="auto" w:fill="D4E3F5"/>
          </w:tcPr>
          <w:p>
            <w:pPr>
              <w:pStyle w:val="TableParagraph"/>
              <w:ind w:left="65" w:right="26"/>
              <w:rPr>
                <w:sz w:val="14"/>
              </w:rPr>
            </w:pPr>
            <w:r>
              <w:rPr>
                <w:color w:val="231F20"/>
                <w:spacing w:val="-5"/>
                <w:w w:val="95"/>
                <w:sz w:val="14"/>
              </w:rPr>
              <w:t>2.1</w:t>
            </w:r>
          </w:p>
        </w:tc>
        <w:tc>
          <w:tcPr>
            <w:tcW w:w="1195" w:type="dxa"/>
            <w:shd w:val="clear" w:color="auto" w:fill="D4E3F5"/>
          </w:tcPr>
          <w:p>
            <w:pPr>
              <w:pStyle w:val="TableParagraph"/>
              <w:ind w:left="19" w:right="155"/>
              <w:rPr>
                <w:sz w:val="14"/>
              </w:rPr>
            </w:pPr>
            <w:r>
              <w:rPr>
                <w:color w:val="231F20"/>
                <w:spacing w:val="-5"/>
                <w:w w:val="95"/>
                <w:sz w:val="14"/>
              </w:rPr>
              <w:t>2.6</w:t>
            </w:r>
          </w:p>
        </w:tc>
        <w:tc>
          <w:tcPr>
            <w:tcW w:w="921" w:type="dxa"/>
            <w:shd w:val="clear" w:color="auto" w:fill="D4E3F5"/>
          </w:tcPr>
          <w:p>
            <w:pPr>
              <w:pStyle w:val="TableParagraph"/>
              <w:ind w:left="25" w:right="26"/>
              <w:rPr>
                <w:sz w:val="14"/>
              </w:rPr>
            </w:pPr>
            <w:r>
              <w:rPr>
                <w:color w:val="231F20"/>
                <w:spacing w:val="-5"/>
                <w:w w:val="95"/>
                <w:sz w:val="14"/>
              </w:rPr>
              <w:t>1.3</w:t>
            </w:r>
          </w:p>
        </w:tc>
        <w:tc>
          <w:tcPr>
            <w:tcW w:w="1249" w:type="dxa"/>
            <w:shd w:val="clear" w:color="auto" w:fill="D4E3F5"/>
          </w:tcPr>
          <w:p>
            <w:pPr>
              <w:pStyle w:val="TableParagraph"/>
              <w:ind w:left="71" w:right="8"/>
              <w:rPr>
                <w:sz w:val="14"/>
              </w:rPr>
            </w:pPr>
            <w:r>
              <w:rPr>
                <w:color w:val="231F20"/>
                <w:spacing w:val="-5"/>
                <w:w w:val="95"/>
                <w:sz w:val="14"/>
              </w:rPr>
              <w:t>2.0</w:t>
            </w:r>
          </w:p>
        </w:tc>
        <w:tc>
          <w:tcPr>
            <w:tcW w:w="1095" w:type="dxa"/>
            <w:shd w:val="clear" w:color="auto" w:fill="D4E3F5"/>
          </w:tcPr>
          <w:p>
            <w:pPr>
              <w:pStyle w:val="TableParagraph"/>
              <w:ind w:left="21" w:right="55"/>
              <w:rPr>
                <w:sz w:val="14"/>
              </w:rPr>
            </w:pPr>
            <w:r>
              <w:rPr>
                <w:color w:val="231F20"/>
                <w:spacing w:val="-5"/>
                <w:w w:val="95"/>
                <w:sz w:val="14"/>
              </w:rPr>
              <w:t>2.6</w:t>
            </w:r>
          </w:p>
        </w:tc>
      </w:tr>
      <w:tr>
        <w:trPr>
          <w:trHeight w:val="259" w:hRule="atLeast"/>
        </w:trPr>
        <w:tc>
          <w:tcPr>
            <w:tcW w:w="1427" w:type="dxa"/>
          </w:tcPr>
          <w:p>
            <w:pPr>
              <w:pStyle w:val="TableParagraph"/>
              <w:ind w:left="80"/>
              <w:jc w:val="left"/>
              <w:rPr>
                <w:sz w:val="14"/>
              </w:rPr>
            </w:pPr>
            <w:r>
              <w:rPr>
                <w:color w:val="231F20"/>
                <w:spacing w:val="-2"/>
                <w:w w:val="90"/>
                <w:sz w:val="14"/>
              </w:rPr>
              <w:t>Mauritius</w:t>
            </w:r>
          </w:p>
        </w:tc>
        <w:tc>
          <w:tcPr>
            <w:tcW w:w="1040" w:type="dxa"/>
          </w:tcPr>
          <w:p>
            <w:pPr>
              <w:pStyle w:val="TableParagraph"/>
              <w:ind w:right="466"/>
              <w:jc w:val="right"/>
              <w:rPr>
                <w:sz w:val="14"/>
              </w:rPr>
            </w:pPr>
            <w:r>
              <w:rPr>
                <w:color w:val="231F20"/>
                <w:spacing w:val="-5"/>
                <w:w w:val="95"/>
                <w:sz w:val="14"/>
              </w:rPr>
              <w:t>13</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2"/>
              <w:jc w:val="right"/>
              <w:rPr>
                <w:sz w:val="14"/>
              </w:rPr>
            </w:pPr>
            <w:r>
              <w:rPr>
                <w:color w:val="231F20"/>
                <w:spacing w:val="-5"/>
                <w:w w:val="95"/>
                <w:sz w:val="14"/>
              </w:rPr>
              <w:t>26</w:t>
            </w:r>
          </w:p>
        </w:tc>
        <w:tc>
          <w:tcPr>
            <w:tcW w:w="1245" w:type="dxa"/>
          </w:tcPr>
          <w:p>
            <w:pPr>
              <w:pStyle w:val="TableParagraph"/>
              <w:ind w:left="65" w:right="1"/>
              <w:rPr>
                <w:sz w:val="14"/>
              </w:rPr>
            </w:pPr>
            <w:r>
              <w:rPr>
                <w:color w:val="231F20"/>
                <w:spacing w:val="-5"/>
                <w:w w:val="95"/>
                <w:sz w:val="14"/>
              </w:rPr>
              <w:t>1.3</w:t>
            </w:r>
          </w:p>
        </w:tc>
        <w:tc>
          <w:tcPr>
            <w:tcW w:w="1195" w:type="dxa"/>
          </w:tcPr>
          <w:p>
            <w:pPr>
              <w:pStyle w:val="TableParagraph"/>
              <w:ind w:left="26" w:right="155"/>
              <w:rPr>
                <w:sz w:val="14"/>
              </w:rPr>
            </w:pPr>
            <w:r>
              <w:rPr>
                <w:color w:val="231F20"/>
                <w:spacing w:val="-5"/>
                <w:w w:val="95"/>
                <w:sz w:val="14"/>
              </w:rPr>
              <w:t>1.5</w:t>
            </w:r>
          </w:p>
        </w:tc>
        <w:tc>
          <w:tcPr>
            <w:tcW w:w="921" w:type="dxa"/>
          </w:tcPr>
          <w:p>
            <w:pPr>
              <w:pStyle w:val="TableParagraph"/>
              <w:ind w:left="18" w:right="26"/>
              <w:rPr>
                <w:sz w:val="14"/>
              </w:rPr>
            </w:pPr>
            <w:r>
              <w:rPr>
                <w:color w:val="231F20"/>
                <w:spacing w:val="-5"/>
                <w:w w:val="95"/>
                <w:sz w:val="14"/>
              </w:rPr>
              <w:t>0.8</w:t>
            </w:r>
          </w:p>
        </w:tc>
        <w:tc>
          <w:tcPr>
            <w:tcW w:w="1249" w:type="dxa"/>
          </w:tcPr>
          <w:p>
            <w:pPr>
              <w:pStyle w:val="TableParagraph"/>
              <w:ind w:left="71" w:right="20"/>
              <w:rPr>
                <w:sz w:val="14"/>
              </w:rPr>
            </w:pPr>
            <w:r>
              <w:rPr>
                <w:color w:val="231F20"/>
                <w:spacing w:val="-5"/>
                <w:w w:val="95"/>
                <w:sz w:val="14"/>
              </w:rPr>
              <w:t>1.1</w:t>
            </w:r>
          </w:p>
        </w:tc>
        <w:tc>
          <w:tcPr>
            <w:tcW w:w="1095" w:type="dxa"/>
          </w:tcPr>
          <w:p>
            <w:pPr>
              <w:pStyle w:val="TableParagraph"/>
              <w:ind w:left="26" w:right="55"/>
              <w:rPr>
                <w:sz w:val="14"/>
              </w:rPr>
            </w:pPr>
            <w:r>
              <w:rPr>
                <w:color w:val="231F20"/>
                <w:spacing w:val="-5"/>
                <w:w w:val="95"/>
                <w:sz w:val="14"/>
              </w:rPr>
              <w:t>1.4</w:t>
            </w:r>
          </w:p>
        </w:tc>
      </w:tr>
      <w:tr>
        <w:trPr>
          <w:trHeight w:val="259" w:hRule="atLeast"/>
        </w:trPr>
        <w:tc>
          <w:tcPr>
            <w:tcW w:w="1427" w:type="dxa"/>
            <w:shd w:val="clear" w:color="auto" w:fill="D4E3F5"/>
          </w:tcPr>
          <w:p>
            <w:pPr>
              <w:pStyle w:val="TableParagraph"/>
              <w:ind w:left="80"/>
              <w:jc w:val="left"/>
              <w:rPr>
                <w:sz w:val="14"/>
              </w:rPr>
            </w:pPr>
            <w:r>
              <w:rPr>
                <w:color w:val="231F20"/>
                <w:spacing w:val="-2"/>
                <w:w w:val="90"/>
                <w:sz w:val="14"/>
              </w:rPr>
              <w:t>Mexico</w:t>
            </w:r>
          </w:p>
        </w:tc>
        <w:tc>
          <w:tcPr>
            <w:tcW w:w="1040" w:type="dxa"/>
            <w:shd w:val="clear" w:color="auto" w:fill="D4E3F5"/>
          </w:tcPr>
          <w:p>
            <w:pPr>
              <w:pStyle w:val="TableParagraph"/>
              <w:ind w:right="457"/>
              <w:jc w:val="right"/>
              <w:rPr>
                <w:sz w:val="14"/>
              </w:rPr>
            </w:pPr>
            <w:r>
              <w:rPr>
                <w:color w:val="231F20"/>
                <w:spacing w:val="-5"/>
                <w:w w:val="95"/>
                <w:sz w:val="14"/>
              </w:rPr>
              <w:t>49</w:t>
            </w:r>
          </w:p>
        </w:tc>
        <w:tc>
          <w:tcPr>
            <w:tcW w:w="1087" w:type="dxa"/>
            <w:shd w:val="clear" w:color="auto" w:fill="D4E3F5"/>
          </w:tcPr>
          <w:p>
            <w:pPr>
              <w:pStyle w:val="TableParagraph"/>
              <w:ind w:left="93" w:right="60"/>
              <w:rPr>
                <w:sz w:val="14"/>
              </w:rPr>
            </w:pPr>
            <w:r>
              <w:rPr>
                <w:color w:val="231F20"/>
                <w:spacing w:val="-10"/>
                <w:w w:val="95"/>
                <w:sz w:val="14"/>
              </w:rPr>
              <w:t>3</w:t>
            </w:r>
          </w:p>
        </w:tc>
        <w:tc>
          <w:tcPr>
            <w:tcW w:w="1062" w:type="dxa"/>
            <w:shd w:val="clear" w:color="auto" w:fill="D4E3F5"/>
          </w:tcPr>
          <w:p>
            <w:pPr>
              <w:pStyle w:val="TableParagraph"/>
              <w:ind w:right="400"/>
              <w:jc w:val="right"/>
              <w:rPr>
                <w:sz w:val="14"/>
              </w:rPr>
            </w:pPr>
            <w:r>
              <w:rPr>
                <w:color w:val="231F20"/>
                <w:spacing w:val="-5"/>
                <w:w w:val="95"/>
                <w:sz w:val="14"/>
              </w:rPr>
              <w:t>46</w:t>
            </w:r>
          </w:p>
        </w:tc>
        <w:tc>
          <w:tcPr>
            <w:tcW w:w="1245" w:type="dxa"/>
            <w:shd w:val="clear" w:color="auto" w:fill="D4E3F5"/>
          </w:tcPr>
          <w:p>
            <w:pPr>
              <w:pStyle w:val="TableParagraph"/>
              <w:ind w:left="65" w:right="8"/>
              <w:rPr>
                <w:sz w:val="14"/>
              </w:rPr>
            </w:pPr>
            <w:r>
              <w:rPr>
                <w:color w:val="231F20"/>
                <w:spacing w:val="-5"/>
                <w:w w:val="95"/>
                <w:sz w:val="14"/>
              </w:rPr>
              <w:t>0.9</w:t>
            </w:r>
          </w:p>
        </w:tc>
        <w:tc>
          <w:tcPr>
            <w:tcW w:w="1195" w:type="dxa"/>
            <w:shd w:val="clear" w:color="auto" w:fill="D4E3F5"/>
          </w:tcPr>
          <w:p>
            <w:pPr>
              <w:pStyle w:val="TableParagraph"/>
              <w:ind w:left="7" w:right="155"/>
              <w:rPr>
                <w:sz w:val="14"/>
              </w:rPr>
            </w:pPr>
            <w:r>
              <w:rPr>
                <w:color w:val="231F20"/>
                <w:spacing w:val="-5"/>
                <w:w w:val="95"/>
                <w:sz w:val="14"/>
              </w:rPr>
              <w:t>1.1</w:t>
            </w:r>
          </w:p>
        </w:tc>
        <w:tc>
          <w:tcPr>
            <w:tcW w:w="921" w:type="dxa"/>
            <w:shd w:val="clear" w:color="auto" w:fill="D4E3F5"/>
          </w:tcPr>
          <w:p>
            <w:pPr>
              <w:pStyle w:val="TableParagraph"/>
              <w:ind w:left="18" w:right="26"/>
              <w:rPr>
                <w:sz w:val="14"/>
              </w:rPr>
            </w:pPr>
            <w:r>
              <w:rPr>
                <w:color w:val="231F20"/>
                <w:spacing w:val="-5"/>
                <w:w w:val="95"/>
                <w:sz w:val="14"/>
              </w:rPr>
              <w:t>0.6</w:t>
            </w:r>
          </w:p>
        </w:tc>
        <w:tc>
          <w:tcPr>
            <w:tcW w:w="1249" w:type="dxa"/>
            <w:shd w:val="clear" w:color="auto" w:fill="D4E3F5"/>
          </w:tcPr>
          <w:p>
            <w:pPr>
              <w:pStyle w:val="TableParagraph"/>
              <w:ind w:left="71" w:right="2"/>
              <w:rPr>
                <w:sz w:val="14"/>
              </w:rPr>
            </w:pPr>
            <w:r>
              <w:rPr>
                <w:color w:val="231F20"/>
                <w:spacing w:val="-5"/>
                <w:w w:val="95"/>
                <w:sz w:val="14"/>
              </w:rPr>
              <w:t>1.0</w:t>
            </w:r>
          </w:p>
        </w:tc>
        <w:tc>
          <w:tcPr>
            <w:tcW w:w="1095" w:type="dxa"/>
            <w:shd w:val="clear" w:color="auto" w:fill="D4E3F5"/>
          </w:tcPr>
          <w:p>
            <w:pPr>
              <w:pStyle w:val="TableParagraph"/>
              <w:ind w:left="28" w:right="55"/>
              <w:rPr>
                <w:sz w:val="14"/>
              </w:rPr>
            </w:pPr>
            <w:r>
              <w:rPr>
                <w:color w:val="231F20"/>
                <w:spacing w:val="-5"/>
                <w:w w:val="95"/>
                <w:sz w:val="14"/>
              </w:rPr>
              <w:t>1.3</w:t>
            </w:r>
          </w:p>
        </w:tc>
      </w:tr>
      <w:tr>
        <w:trPr>
          <w:trHeight w:val="259" w:hRule="atLeast"/>
        </w:trPr>
        <w:tc>
          <w:tcPr>
            <w:tcW w:w="1427" w:type="dxa"/>
          </w:tcPr>
          <w:p>
            <w:pPr>
              <w:pStyle w:val="TableParagraph"/>
              <w:ind w:left="80"/>
              <w:jc w:val="left"/>
              <w:rPr>
                <w:sz w:val="14"/>
              </w:rPr>
            </w:pPr>
            <w:r>
              <w:rPr>
                <w:color w:val="231F20"/>
                <w:spacing w:val="-2"/>
                <w:w w:val="90"/>
                <w:sz w:val="14"/>
              </w:rPr>
              <w:t>Montenegro</w:t>
            </w:r>
          </w:p>
        </w:tc>
        <w:tc>
          <w:tcPr>
            <w:tcW w:w="1040" w:type="dxa"/>
          </w:tcPr>
          <w:p>
            <w:pPr>
              <w:pStyle w:val="TableParagraph"/>
              <w:ind w:right="462"/>
              <w:jc w:val="right"/>
              <w:rPr>
                <w:sz w:val="14"/>
              </w:rPr>
            </w:pPr>
            <w:r>
              <w:rPr>
                <w:color w:val="231F20"/>
                <w:spacing w:val="-10"/>
                <w:w w:val="95"/>
                <w:sz w:val="14"/>
              </w:rPr>
              <w:t>3</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7"/>
              <w:jc w:val="right"/>
              <w:rPr>
                <w:sz w:val="14"/>
              </w:rPr>
            </w:pPr>
            <w:r>
              <w:rPr>
                <w:color w:val="231F20"/>
                <w:spacing w:val="-10"/>
                <w:w w:val="95"/>
                <w:sz w:val="14"/>
              </w:rPr>
              <w:t>7</w:t>
            </w:r>
          </w:p>
        </w:tc>
        <w:tc>
          <w:tcPr>
            <w:tcW w:w="1245" w:type="dxa"/>
          </w:tcPr>
          <w:p>
            <w:pPr>
              <w:pStyle w:val="TableParagraph"/>
              <w:ind w:left="65" w:right="10"/>
              <w:rPr>
                <w:sz w:val="14"/>
              </w:rPr>
            </w:pPr>
            <w:r>
              <w:rPr>
                <w:color w:val="231F20"/>
                <w:spacing w:val="-5"/>
                <w:w w:val="95"/>
                <w:sz w:val="14"/>
              </w:rPr>
              <w:t>0.4</w:t>
            </w:r>
          </w:p>
        </w:tc>
        <w:tc>
          <w:tcPr>
            <w:tcW w:w="1195" w:type="dxa"/>
          </w:tcPr>
          <w:p>
            <w:pPr>
              <w:pStyle w:val="TableParagraph"/>
              <w:ind w:left="17" w:right="155"/>
              <w:rPr>
                <w:sz w:val="14"/>
              </w:rPr>
            </w:pPr>
            <w:r>
              <w:rPr>
                <w:color w:val="231F20"/>
                <w:spacing w:val="-5"/>
                <w:w w:val="95"/>
                <w:sz w:val="14"/>
              </w:rPr>
              <w:t>0.4</w:t>
            </w:r>
          </w:p>
        </w:tc>
        <w:tc>
          <w:tcPr>
            <w:tcW w:w="921" w:type="dxa"/>
          </w:tcPr>
          <w:p>
            <w:pPr>
              <w:pStyle w:val="TableParagraph"/>
              <w:ind w:left="19" w:right="26"/>
              <w:rPr>
                <w:sz w:val="14"/>
              </w:rPr>
            </w:pPr>
            <w:r>
              <w:rPr>
                <w:color w:val="231F20"/>
                <w:spacing w:val="-5"/>
                <w:w w:val="95"/>
                <w:sz w:val="14"/>
              </w:rPr>
              <w:t>0.2</w:t>
            </w:r>
          </w:p>
        </w:tc>
        <w:tc>
          <w:tcPr>
            <w:tcW w:w="1249" w:type="dxa"/>
          </w:tcPr>
          <w:p>
            <w:pPr>
              <w:pStyle w:val="TableParagraph"/>
              <w:ind w:left="71" w:right="10"/>
              <w:rPr>
                <w:sz w:val="14"/>
              </w:rPr>
            </w:pPr>
            <w:r>
              <w:rPr>
                <w:color w:val="231F20"/>
                <w:spacing w:val="-5"/>
                <w:w w:val="95"/>
                <w:sz w:val="14"/>
              </w:rPr>
              <w:t>0.4</w:t>
            </w:r>
          </w:p>
        </w:tc>
        <w:tc>
          <w:tcPr>
            <w:tcW w:w="1095" w:type="dxa"/>
          </w:tcPr>
          <w:p>
            <w:pPr>
              <w:pStyle w:val="TableParagraph"/>
              <w:ind w:left="19" w:right="55"/>
              <w:rPr>
                <w:sz w:val="14"/>
              </w:rPr>
            </w:pPr>
            <w:r>
              <w:rPr>
                <w:color w:val="231F20"/>
                <w:spacing w:val="-5"/>
                <w:w w:val="95"/>
                <w:sz w:val="14"/>
              </w:rPr>
              <w:t>0.4</w:t>
            </w:r>
          </w:p>
        </w:tc>
      </w:tr>
      <w:tr>
        <w:trPr>
          <w:trHeight w:val="259" w:hRule="atLeast"/>
        </w:trPr>
        <w:tc>
          <w:tcPr>
            <w:tcW w:w="1427" w:type="dxa"/>
            <w:shd w:val="clear" w:color="auto" w:fill="D4E3F5"/>
          </w:tcPr>
          <w:p>
            <w:pPr>
              <w:pStyle w:val="TableParagraph"/>
              <w:ind w:left="80"/>
              <w:jc w:val="left"/>
              <w:rPr>
                <w:sz w:val="14"/>
              </w:rPr>
            </w:pPr>
            <w:r>
              <w:rPr>
                <w:color w:val="231F20"/>
                <w:spacing w:val="-2"/>
                <w:w w:val="90"/>
                <w:sz w:val="14"/>
              </w:rPr>
              <w:t>Myanmar</w:t>
            </w:r>
          </w:p>
        </w:tc>
        <w:tc>
          <w:tcPr>
            <w:tcW w:w="1040" w:type="dxa"/>
            <w:shd w:val="clear" w:color="auto" w:fill="D4E3F5"/>
          </w:tcPr>
          <w:p>
            <w:pPr>
              <w:pStyle w:val="TableParagraph"/>
              <w:ind w:right="466"/>
              <w:jc w:val="right"/>
              <w:rPr>
                <w:sz w:val="14"/>
              </w:rPr>
            </w:pPr>
            <w:r>
              <w:rPr>
                <w:color w:val="231F20"/>
                <w:spacing w:val="-5"/>
                <w:w w:val="95"/>
                <w:sz w:val="14"/>
              </w:rPr>
              <w:t>12</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13"/>
              <w:jc w:val="right"/>
              <w:rPr>
                <w:sz w:val="14"/>
              </w:rPr>
            </w:pPr>
            <w:r>
              <w:rPr>
                <w:color w:val="231F20"/>
                <w:spacing w:val="-5"/>
                <w:w w:val="95"/>
                <w:sz w:val="14"/>
              </w:rPr>
              <w:t>11</w:t>
            </w:r>
          </w:p>
        </w:tc>
        <w:tc>
          <w:tcPr>
            <w:tcW w:w="1245" w:type="dxa"/>
            <w:shd w:val="clear" w:color="auto" w:fill="D4E3F5"/>
          </w:tcPr>
          <w:p>
            <w:pPr>
              <w:pStyle w:val="TableParagraph"/>
              <w:ind w:left="65" w:right="8"/>
              <w:rPr>
                <w:sz w:val="14"/>
              </w:rPr>
            </w:pPr>
            <w:r>
              <w:rPr>
                <w:color w:val="231F20"/>
                <w:spacing w:val="-5"/>
                <w:w w:val="95"/>
                <w:sz w:val="14"/>
              </w:rPr>
              <w:t>2.0</w:t>
            </w:r>
          </w:p>
        </w:tc>
        <w:tc>
          <w:tcPr>
            <w:tcW w:w="1195" w:type="dxa"/>
            <w:shd w:val="clear" w:color="auto" w:fill="D4E3F5"/>
          </w:tcPr>
          <w:p>
            <w:pPr>
              <w:pStyle w:val="TableParagraph"/>
              <w:ind w:left="19" w:right="155"/>
              <w:rPr>
                <w:sz w:val="14"/>
              </w:rPr>
            </w:pPr>
            <w:r>
              <w:rPr>
                <w:color w:val="231F20"/>
                <w:spacing w:val="-5"/>
                <w:w w:val="95"/>
                <w:sz w:val="14"/>
              </w:rPr>
              <w:t>2.0</w:t>
            </w:r>
          </w:p>
        </w:tc>
        <w:tc>
          <w:tcPr>
            <w:tcW w:w="921" w:type="dxa"/>
            <w:shd w:val="clear" w:color="auto" w:fill="D4E3F5"/>
          </w:tcPr>
          <w:p>
            <w:pPr>
              <w:pStyle w:val="TableParagraph"/>
              <w:ind w:left="6" w:right="26"/>
              <w:rPr>
                <w:sz w:val="14"/>
              </w:rPr>
            </w:pPr>
            <w:r>
              <w:rPr>
                <w:color w:val="231F20"/>
                <w:spacing w:val="-5"/>
                <w:w w:val="95"/>
                <w:sz w:val="14"/>
              </w:rPr>
              <w:t>1.1</w:t>
            </w:r>
          </w:p>
        </w:tc>
        <w:tc>
          <w:tcPr>
            <w:tcW w:w="1249" w:type="dxa"/>
            <w:shd w:val="clear" w:color="auto" w:fill="D4E3F5"/>
          </w:tcPr>
          <w:p>
            <w:pPr>
              <w:pStyle w:val="TableParagraph"/>
              <w:ind w:left="71" w:right="8"/>
              <w:rPr>
                <w:sz w:val="14"/>
              </w:rPr>
            </w:pPr>
            <w:r>
              <w:rPr>
                <w:color w:val="231F20"/>
                <w:spacing w:val="-5"/>
                <w:w w:val="95"/>
                <w:sz w:val="14"/>
              </w:rPr>
              <w:t>2.0</w:t>
            </w:r>
          </w:p>
        </w:tc>
        <w:tc>
          <w:tcPr>
            <w:tcW w:w="1095" w:type="dxa"/>
            <w:shd w:val="clear" w:color="auto" w:fill="D4E3F5"/>
          </w:tcPr>
          <w:p>
            <w:pPr>
              <w:pStyle w:val="TableParagraph"/>
              <w:ind w:left="21" w:right="55"/>
              <w:rPr>
                <w:sz w:val="14"/>
              </w:rPr>
            </w:pPr>
            <w:r>
              <w:rPr>
                <w:color w:val="231F20"/>
                <w:spacing w:val="-5"/>
                <w:w w:val="95"/>
                <w:sz w:val="14"/>
              </w:rPr>
              <w:t>2.0</w:t>
            </w:r>
          </w:p>
        </w:tc>
      </w:tr>
      <w:tr>
        <w:trPr>
          <w:trHeight w:val="259" w:hRule="atLeast"/>
        </w:trPr>
        <w:tc>
          <w:tcPr>
            <w:tcW w:w="1427" w:type="dxa"/>
          </w:tcPr>
          <w:p>
            <w:pPr>
              <w:pStyle w:val="TableParagraph"/>
              <w:ind w:left="80"/>
              <w:jc w:val="left"/>
              <w:rPr>
                <w:sz w:val="14"/>
              </w:rPr>
            </w:pPr>
            <w:r>
              <w:rPr>
                <w:color w:val="231F20"/>
                <w:spacing w:val="-2"/>
                <w:w w:val="90"/>
                <w:sz w:val="14"/>
              </w:rPr>
              <w:t>Namibia</w:t>
            </w:r>
          </w:p>
        </w:tc>
        <w:tc>
          <w:tcPr>
            <w:tcW w:w="1040" w:type="dxa"/>
          </w:tcPr>
          <w:p>
            <w:pPr>
              <w:pStyle w:val="TableParagraph"/>
              <w:ind w:right="462"/>
              <w:jc w:val="right"/>
              <w:rPr>
                <w:sz w:val="14"/>
              </w:rPr>
            </w:pPr>
            <w:r>
              <w:rPr>
                <w:color w:val="231F20"/>
                <w:spacing w:val="-10"/>
                <w:w w:val="95"/>
                <w:sz w:val="14"/>
              </w:rPr>
              <w:t>6</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10"/>
              <w:jc w:val="right"/>
              <w:rPr>
                <w:sz w:val="14"/>
              </w:rPr>
            </w:pPr>
            <w:r>
              <w:rPr>
                <w:color w:val="231F20"/>
                <w:spacing w:val="-5"/>
                <w:w w:val="95"/>
                <w:sz w:val="14"/>
              </w:rPr>
              <w:t>18</w:t>
            </w:r>
          </w:p>
        </w:tc>
        <w:tc>
          <w:tcPr>
            <w:tcW w:w="1245" w:type="dxa"/>
          </w:tcPr>
          <w:p>
            <w:pPr>
              <w:pStyle w:val="TableParagraph"/>
              <w:ind w:left="65" w:right="1"/>
              <w:rPr>
                <w:sz w:val="14"/>
              </w:rPr>
            </w:pPr>
            <w:r>
              <w:rPr>
                <w:color w:val="231F20"/>
                <w:spacing w:val="-5"/>
                <w:w w:val="95"/>
                <w:sz w:val="14"/>
              </w:rPr>
              <w:t>1.3</w:t>
            </w:r>
          </w:p>
        </w:tc>
        <w:tc>
          <w:tcPr>
            <w:tcW w:w="1195" w:type="dxa"/>
          </w:tcPr>
          <w:p>
            <w:pPr>
              <w:pStyle w:val="TableParagraph"/>
              <w:ind w:left="26" w:right="155"/>
              <w:rPr>
                <w:sz w:val="14"/>
              </w:rPr>
            </w:pPr>
            <w:r>
              <w:rPr>
                <w:color w:val="231F20"/>
                <w:spacing w:val="-5"/>
                <w:w w:val="95"/>
                <w:sz w:val="14"/>
              </w:rPr>
              <w:t>1.3</w:t>
            </w:r>
          </w:p>
        </w:tc>
        <w:tc>
          <w:tcPr>
            <w:tcW w:w="921" w:type="dxa"/>
          </w:tcPr>
          <w:p>
            <w:pPr>
              <w:pStyle w:val="TableParagraph"/>
              <w:ind w:left="18" w:right="26"/>
              <w:rPr>
                <w:sz w:val="14"/>
              </w:rPr>
            </w:pPr>
            <w:r>
              <w:rPr>
                <w:color w:val="231F20"/>
                <w:spacing w:val="-5"/>
                <w:w w:val="95"/>
                <w:sz w:val="14"/>
              </w:rPr>
              <w:t>0.6</w:t>
            </w:r>
          </w:p>
        </w:tc>
        <w:tc>
          <w:tcPr>
            <w:tcW w:w="1249" w:type="dxa"/>
          </w:tcPr>
          <w:p>
            <w:pPr>
              <w:pStyle w:val="TableParagraph"/>
              <w:ind w:left="71"/>
              <w:rPr>
                <w:sz w:val="14"/>
              </w:rPr>
            </w:pPr>
            <w:r>
              <w:rPr>
                <w:color w:val="231F20"/>
                <w:spacing w:val="-5"/>
                <w:w w:val="95"/>
                <w:sz w:val="14"/>
              </w:rPr>
              <w:t>1.2</w:t>
            </w:r>
          </w:p>
        </w:tc>
        <w:tc>
          <w:tcPr>
            <w:tcW w:w="1095" w:type="dxa"/>
          </w:tcPr>
          <w:p>
            <w:pPr>
              <w:pStyle w:val="TableParagraph"/>
              <w:ind w:left="29" w:right="55"/>
              <w:rPr>
                <w:sz w:val="14"/>
              </w:rPr>
            </w:pPr>
            <w:r>
              <w:rPr>
                <w:color w:val="231F20"/>
                <w:spacing w:val="-5"/>
                <w:w w:val="95"/>
                <w:sz w:val="14"/>
              </w:rPr>
              <w:t>1.2</w:t>
            </w:r>
          </w:p>
        </w:tc>
      </w:tr>
      <w:tr>
        <w:trPr>
          <w:trHeight w:val="259" w:hRule="atLeast"/>
        </w:trPr>
        <w:tc>
          <w:tcPr>
            <w:tcW w:w="1427" w:type="dxa"/>
            <w:shd w:val="clear" w:color="auto" w:fill="D4E3F5"/>
          </w:tcPr>
          <w:p>
            <w:pPr>
              <w:pStyle w:val="TableParagraph"/>
              <w:ind w:left="80"/>
              <w:jc w:val="left"/>
              <w:rPr>
                <w:sz w:val="14"/>
              </w:rPr>
            </w:pPr>
            <w:r>
              <w:rPr>
                <w:color w:val="231F20"/>
                <w:spacing w:val="-2"/>
                <w:w w:val="90"/>
                <w:sz w:val="14"/>
              </w:rPr>
              <w:t>Netherlands</w:t>
            </w:r>
          </w:p>
        </w:tc>
        <w:tc>
          <w:tcPr>
            <w:tcW w:w="1040" w:type="dxa"/>
            <w:shd w:val="clear" w:color="auto" w:fill="D4E3F5"/>
          </w:tcPr>
          <w:p>
            <w:pPr>
              <w:pStyle w:val="TableParagraph"/>
              <w:ind w:right="461"/>
              <w:jc w:val="right"/>
              <w:rPr>
                <w:sz w:val="14"/>
              </w:rPr>
            </w:pPr>
            <w:r>
              <w:rPr>
                <w:color w:val="231F20"/>
                <w:spacing w:val="-5"/>
                <w:w w:val="95"/>
                <w:sz w:val="14"/>
              </w:rPr>
              <w:t>137</w:t>
            </w:r>
          </w:p>
        </w:tc>
        <w:tc>
          <w:tcPr>
            <w:tcW w:w="1087" w:type="dxa"/>
            <w:shd w:val="clear" w:color="auto" w:fill="D4E3F5"/>
          </w:tcPr>
          <w:p>
            <w:pPr>
              <w:pStyle w:val="TableParagraph"/>
              <w:ind w:left="93" w:right="60"/>
              <w:rPr>
                <w:sz w:val="14"/>
              </w:rPr>
            </w:pPr>
            <w:r>
              <w:rPr>
                <w:color w:val="231F20"/>
                <w:spacing w:val="-10"/>
                <w:w w:val="95"/>
                <w:sz w:val="14"/>
              </w:rPr>
              <w:t>3</w:t>
            </w:r>
          </w:p>
        </w:tc>
        <w:tc>
          <w:tcPr>
            <w:tcW w:w="1062" w:type="dxa"/>
            <w:shd w:val="clear" w:color="auto" w:fill="D4E3F5"/>
          </w:tcPr>
          <w:p>
            <w:pPr>
              <w:pStyle w:val="TableParagraph"/>
              <w:ind w:right="404"/>
              <w:jc w:val="right"/>
              <w:rPr>
                <w:sz w:val="14"/>
              </w:rPr>
            </w:pPr>
            <w:r>
              <w:rPr>
                <w:color w:val="231F20"/>
                <w:spacing w:val="-5"/>
                <w:w w:val="95"/>
                <w:sz w:val="14"/>
              </w:rPr>
              <w:t>87</w:t>
            </w:r>
          </w:p>
        </w:tc>
        <w:tc>
          <w:tcPr>
            <w:tcW w:w="1245" w:type="dxa"/>
            <w:shd w:val="clear" w:color="auto" w:fill="D4E3F5"/>
          </w:tcPr>
          <w:p>
            <w:pPr>
              <w:pStyle w:val="TableParagraph"/>
              <w:ind w:left="65" w:right="8"/>
              <w:rPr>
                <w:sz w:val="14"/>
              </w:rPr>
            </w:pPr>
            <w:r>
              <w:rPr>
                <w:color w:val="231F20"/>
                <w:spacing w:val="-5"/>
                <w:w w:val="95"/>
                <w:sz w:val="14"/>
              </w:rPr>
              <w:t>0.9</w:t>
            </w:r>
          </w:p>
        </w:tc>
        <w:tc>
          <w:tcPr>
            <w:tcW w:w="1195" w:type="dxa"/>
            <w:shd w:val="clear" w:color="auto" w:fill="D4E3F5"/>
          </w:tcPr>
          <w:p>
            <w:pPr>
              <w:pStyle w:val="TableParagraph"/>
              <w:ind w:left="26" w:right="155"/>
              <w:rPr>
                <w:sz w:val="14"/>
              </w:rPr>
            </w:pPr>
            <w:r>
              <w:rPr>
                <w:color w:val="231F20"/>
                <w:spacing w:val="-5"/>
                <w:w w:val="95"/>
                <w:sz w:val="14"/>
              </w:rPr>
              <w:t>1.3</w:t>
            </w:r>
          </w:p>
        </w:tc>
        <w:tc>
          <w:tcPr>
            <w:tcW w:w="921" w:type="dxa"/>
            <w:shd w:val="clear" w:color="auto" w:fill="D4E3F5"/>
          </w:tcPr>
          <w:p>
            <w:pPr>
              <w:pStyle w:val="TableParagraph"/>
              <w:ind w:left="6" w:right="26"/>
              <w:rPr>
                <w:sz w:val="14"/>
              </w:rPr>
            </w:pPr>
            <w:r>
              <w:rPr>
                <w:color w:val="231F20"/>
                <w:spacing w:val="-5"/>
                <w:w w:val="95"/>
                <w:sz w:val="14"/>
              </w:rPr>
              <w:t>1.1</w:t>
            </w:r>
          </w:p>
        </w:tc>
        <w:tc>
          <w:tcPr>
            <w:tcW w:w="1249" w:type="dxa"/>
            <w:shd w:val="clear" w:color="auto" w:fill="D4E3F5"/>
          </w:tcPr>
          <w:p>
            <w:pPr>
              <w:pStyle w:val="TableParagraph"/>
              <w:ind w:left="71" w:right="1"/>
              <w:rPr>
                <w:sz w:val="14"/>
              </w:rPr>
            </w:pPr>
            <w:r>
              <w:rPr>
                <w:color w:val="231F20"/>
                <w:spacing w:val="-5"/>
                <w:w w:val="95"/>
                <w:sz w:val="14"/>
              </w:rPr>
              <w:t>1.8</w:t>
            </w:r>
          </w:p>
        </w:tc>
        <w:tc>
          <w:tcPr>
            <w:tcW w:w="1095" w:type="dxa"/>
            <w:shd w:val="clear" w:color="auto" w:fill="D4E3F5"/>
          </w:tcPr>
          <w:p>
            <w:pPr>
              <w:pStyle w:val="TableParagraph"/>
              <w:ind w:left="21" w:right="55"/>
              <w:rPr>
                <w:sz w:val="14"/>
              </w:rPr>
            </w:pPr>
            <w:r>
              <w:rPr>
                <w:color w:val="231F20"/>
                <w:spacing w:val="-5"/>
                <w:w w:val="95"/>
                <w:sz w:val="14"/>
              </w:rPr>
              <w:t>2.0</w:t>
            </w:r>
          </w:p>
        </w:tc>
      </w:tr>
      <w:tr>
        <w:trPr>
          <w:trHeight w:val="259" w:hRule="atLeast"/>
        </w:trPr>
        <w:tc>
          <w:tcPr>
            <w:tcW w:w="1427" w:type="dxa"/>
          </w:tcPr>
          <w:p>
            <w:pPr>
              <w:pStyle w:val="TableParagraph"/>
              <w:ind w:left="80"/>
              <w:jc w:val="left"/>
              <w:rPr>
                <w:sz w:val="14"/>
              </w:rPr>
            </w:pPr>
            <w:r>
              <w:rPr>
                <w:color w:val="231F20"/>
                <w:w w:val="75"/>
                <w:sz w:val="14"/>
              </w:rPr>
              <w:t>New</w:t>
            </w:r>
            <w:r>
              <w:rPr>
                <w:color w:val="231F20"/>
                <w:spacing w:val="4"/>
                <w:sz w:val="14"/>
              </w:rPr>
              <w:t> </w:t>
            </w:r>
            <w:r>
              <w:rPr>
                <w:color w:val="231F20"/>
                <w:spacing w:val="-2"/>
                <w:w w:val="85"/>
                <w:sz w:val="14"/>
              </w:rPr>
              <w:t>Zealand</w:t>
            </w:r>
          </w:p>
        </w:tc>
        <w:tc>
          <w:tcPr>
            <w:tcW w:w="1040" w:type="dxa"/>
          </w:tcPr>
          <w:p>
            <w:pPr>
              <w:pStyle w:val="TableParagraph"/>
              <w:ind w:right="458"/>
              <w:jc w:val="right"/>
              <w:rPr>
                <w:sz w:val="14"/>
              </w:rPr>
            </w:pPr>
            <w:r>
              <w:rPr>
                <w:color w:val="231F20"/>
                <w:spacing w:val="-5"/>
                <w:w w:val="95"/>
                <w:sz w:val="14"/>
              </w:rPr>
              <w:t>32</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1"/>
              <w:jc w:val="right"/>
              <w:rPr>
                <w:sz w:val="14"/>
              </w:rPr>
            </w:pPr>
            <w:r>
              <w:rPr>
                <w:color w:val="231F20"/>
                <w:spacing w:val="-5"/>
                <w:w w:val="95"/>
                <w:sz w:val="14"/>
              </w:rPr>
              <w:t>33</w:t>
            </w:r>
          </w:p>
        </w:tc>
        <w:tc>
          <w:tcPr>
            <w:tcW w:w="1245" w:type="dxa"/>
          </w:tcPr>
          <w:p>
            <w:pPr>
              <w:pStyle w:val="TableParagraph"/>
              <w:ind w:left="65" w:right="20"/>
              <w:rPr>
                <w:sz w:val="14"/>
              </w:rPr>
            </w:pPr>
            <w:r>
              <w:rPr>
                <w:color w:val="231F20"/>
                <w:spacing w:val="-5"/>
                <w:w w:val="95"/>
                <w:sz w:val="14"/>
              </w:rPr>
              <w:t>1.1</w:t>
            </w:r>
          </w:p>
        </w:tc>
        <w:tc>
          <w:tcPr>
            <w:tcW w:w="1195" w:type="dxa"/>
          </w:tcPr>
          <w:p>
            <w:pPr>
              <w:pStyle w:val="TableParagraph"/>
              <w:ind w:left="25" w:right="155"/>
              <w:rPr>
                <w:sz w:val="14"/>
              </w:rPr>
            </w:pPr>
            <w:r>
              <w:rPr>
                <w:color w:val="231F20"/>
                <w:spacing w:val="-5"/>
                <w:w w:val="95"/>
                <w:sz w:val="14"/>
              </w:rPr>
              <w:t>1.6</w:t>
            </w:r>
          </w:p>
        </w:tc>
        <w:tc>
          <w:tcPr>
            <w:tcW w:w="921" w:type="dxa"/>
          </w:tcPr>
          <w:p>
            <w:pPr>
              <w:pStyle w:val="TableParagraph"/>
              <w:ind w:left="24" w:right="26"/>
              <w:rPr>
                <w:sz w:val="14"/>
              </w:rPr>
            </w:pPr>
            <w:r>
              <w:rPr>
                <w:color w:val="231F20"/>
                <w:spacing w:val="-5"/>
                <w:w w:val="95"/>
                <w:sz w:val="14"/>
              </w:rPr>
              <w:t>1.0</w:t>
            </w:r>
          </w:p>
        </w:tc>
        <w:tc>
          <w:tcPr>
            <w:tcW w:w="1249" w:type="dxa"/>
          </w:tcPr>
          <w:p>
            <w:pPr>
              <w:pStyle w:val="TableParagraph"/>
              <w:ind w:left="71"/>
              <w:rPr>
                <w:sz w:val="14"/>
              </w:rPr>
            </w:pPr>
            <w:r>
              <w:rPr>
                <w:color w:val="231F20"/>
                <w:spacing w:val="-5"/>
                <w:w w:val="95"/>
                <w:sz w:val="14"/>
              </w:rPr>
              <w:t>1.2</w:t>
            </w:r>
          </w:p>
        </w:tc>
        <w:tc>
          <w:tcPr>
            <w:tcW w:w="1095" w:type="dxa"/>
          </w:tcPr>
          <w:p>
            <w:pPr>
              <w:pStyle w:val="TableParagraph"/>
              <w:ind w:left="28" w:right="55"/>
              <w:rPr>
                <w:sz w:val="14"/>
              </w:rPr>
            </w:pPr>
            <w:r>
              <w:rPr>
                <w:color w:val="231F20"/>
                <w:spacing w:val="-5"/>
                <w:w w:val="95"/>
                <w:sz w:val="14"/>
              </w:rPr>
              <w:t>1.5</w:t>
            </w:r>
          </w:p>
        </w:tc>
      </w:tr>
      <w:tr>
        <w:trPr>
          <w:trHeight w:val="259" w:hRule="atLeast"/>
        </w:trPr>
        <w:tc>
          <w:tcPr>
            <w:tcW w:w="1427" w:type="dxa"/>
            <w:shd w:val="clear" w:color="auto" w:fill="D4E3F5"/>
          </w:tcPr>
          <w:p>
            <w:pPr>
              <w:pStyle w:val="TableParagraph"/>
              <w:ind w:left="80"/>
              <w:jc w:val="left"/>
              <w:rPr>
                <w:sz w:val="14"/>
              </w:rPr>
            </w:pPr>
            <w:r>
              <w:rPr>
                <w:color w:val="231F20"/>
                <w:spacing w:val="-2"/>
                <w:w w:val="90"/>
                <w:sz w:val="14"/>
              </w:rPr>
              <w:t>Nicaragua</w:t>
            </w:r>
          </w:p>
        </w:tc>
        <w:tc>
          <w:tcPr>
            <w:tcW w:w="1040" w:type="dxa"/>
            <w:shd w:val="clear" w:color="auto" w:fill="D4E3F5"/>
          </w:tcPr>
          <w:p>
            <w:pPr>
              <w:pStyle w:val="TableParagraph"/>
              <w:ind w:right="462"/>
              <w:jc w:val="right"/>
              <w:rPr>
                <w:sz w:val="14"/>
              </w:rPr>
            </w:pPr>
            <w:r>
              <w:rPr>
                <w:color w:val="231F20"/>
                <w:spacing w:val="-10"/>
                <w:w w:val="95"/>
                <w:sz w:val="14"/>
              </w:rPr>
              <w:t>6</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7"/>
              <w:jc w:val="right"/>
              <w:rPr>
                <w:sz w:val="14"/>
              </w:rPr>
            </w:pPr>
            <w:r>
              <w:rPr>
                <w:color w:val="231F20"/>
                <w:spacing w:val="-10"/>
                <w:w w:val="95"/>
                <w:sz w:val="14"/>
              </w:rPr>
              <w:t>8</w:t>
            </w:r>
          </w:p>
        </w:tc>
        <w:tc>
          <w:tcPr>
            <w:tcW w:w="1245" w:type="dxa"/>
            <w:shd w:val="clear" w:color="auto" w:fill="D4E3F5"/>
          </w:tcPr>
          <w:p>
            <w:pPr>
              <w:pStyle w:val="TableParagraph"/>
              <w:ind w:left="65" w:right="20"/>
              <w:rPr>
                <w:sz w:val="14"/>
              </w:rPr>
            </w:pPr>
            <w:r>
              <w:rPr>
                <w:color w:val="231F20"/>
                <w:spacing w:val="-5"/>
                <w:w w:val="95"/>
                <w:sz w:val="14"/>
              </w:rPr>
              <w:t>1.1</w:t>
            </w:r>
          </w:p>
        </w:tc>
        <w:tc>
          <w:tcPr>
            <w:tcW w:w="1195" w:type="dxa"/>
            <w:shd w:val="clear" w:color="auto" w:fill="D4E3F5"/>
          </w:tcPr>
          <w:p>
            <w:pPr>
              <w:pStyle w:val="TableParagraph"/>
              <w:ind w:left="27" w:right="155"/>
              <w:rPr>
                <w:sz w:val="14"/>
              </w:rPr>
            </w:pPr>
            <w:r>
              <w:rPr>
                <w:color w:val="231F20"/>
                <w:spacing w:val="-5"/>
                <w:w w:val="95"/>
                <w:sz w:val="14"/>
              </w:rPr>
              <w:t>1.2</w:t>
            </w:r>
          </w:p>
        </w:tc>
        <w:tc>
          <w:tcPr>
            <w:tcW w:w="921" w:type="dxa"/>
            <w:shd w:val="clear" w:color="auto" w:fill="D4E3F5"/>
          </w:tcPr>
          <w:p>
            <w:pPr>
              <w:pStyle w:val="TableParagraph"/>
              <w:ind w:left="13" w:right="26"/>
              <w:rPr>
                <w:sz w:val="14"/>
              </w:rPr>
            </w:pPr>
            <w:r>
              <w:rPr>
                <w:color w:val="231F20"/>
                <w:spacing w:val="-5"/>
                <w:w w:val="95"/>
                <w:sz w:val="14"/>
              </w:rPr>
              <w:t>0.7</w:t>
            </w:r>
          </w:p>
        </w:tc>
        <w:tc>
          <w:tcPr>
            <w:tcW w:w="1249" w:type="dxa"/>
            <w:shd w:val="clear" w:color="auto" w:fill="D4E3F5"/>
          </w:tcPr>
          <w:p>
            <w:pPr>
              <w:pStyle w:val="TableParagraph"/>
              <w:ind w:left="71"/>
              <w:rPr>
                <w:sz w:val="14"/>
              </w:rPr>
            </w:pPr>
            <w:r>
              <w:rPr>
                <w:color w:val="231F20"/>
                <w:spacing w:val="-5"/>
                <w:w w:val="95"/>
                <w:sz w:val="14"/>
              </w:rPr>
              <w:t>1.2</w:t>
            </w:r>
          </w:p>
        </w:tc>
        <w:tc>
          <w:tcPr>
            <w:tcW w:w="1095" w:type="dxa"/>
            <w:shd w:val="clear" w:color="auto" w:fill="D4E3F5"/>
          </w:tcPr>
          <w:p>
            <w:pPr>
              <w:pStyle w:val="TableParagraph"/>
              <w:ind w:left="29" w:right="55"/>
              <w:rPr>
                <w:sz w:val="14"/>
              </w:rPr>
            </w:pPr>
            <w:r>
              <w:rPr>
                <w:color w:val="231F20"/>
                <w:spacing w:val="-5"/>
                <w:w w:val="95"/>
                <w:sz w:val="14"/>
              </w:rPr>
              <w:t>1.2</w:t>
            </w:r>
          </w:p>
        </w:tc>
      </w:tr>
      <w:tr>
        <w:trPr>
          <w:trHeight w:val="259" w:hRule="atLeast"/>
        </w:trPr>
        <w:tc>
          <w:tcPr>
            <w:tcW w:w="1427" w:type="dxa"/>
          </w:tcPr>
          <w:p>
            <w:pPr>
              <w:pStyle w:val="TableParagraph"/>
              <w:ind w:left="80"/>
              <w:jc w:val="left"/>
              <w:rPr>
                <w:sz w:val="14"/>
              </w:rPr>
            </w:pPr>
            <w:r>
              <w:rPr>
                <w:color w:val="231F20"/>
                <w:spacing w:val="-2"/>
                <w:w w:val="90"/>
                <w:sz w:val="14"/>
              </w:rPr>
              <w:t>Nigeria</w:t>
            </w:r>
          </w:p>
        </w:tc>
        <w:tc>
          <w:tcPr>
            <w:tcW w:w="1040" w:type="dxa"/>
          </w:tcPr>
          <w:p>
            <w:pPr>
              <w:pStyle w:val="TableParagraph"/>
              <w:ind w:right="457"/>
              <w:jc w:val="right"/>
              <w:rPr>
                <w:sz w:val="14"/>
              </w:rPr>
            </w:pPr>
            <w:r>
              <w:rPr>
                <w:color w:val="231F20"/>
                <w:spacing w:val="-5"/>
                <w:w w:val="95"/>
                <w:sz w:val="14"/>
              </w:rPr>
              <w:t>23</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1"/>
              <w:jc w:val="right"/>
              <w:rPr>
                <w:sz w:val="14"/>
              </w:rPr>
            </w:pPr>
            <w:r>
              <w:rPr>
                <w:color w:val="231F20"/>
                <w:spacing w:val="-5"/>
                <w:w w:val="95"/>
                <w:sz w:val="14"/>
              </w:rPr>
              <w:t>30</w:t>
            </w:r>
          </w:p>
        </w:tc>
        <w:tc>
          <w:tcPr>
            <w:tcW w:w="1245" w:type="dxa"/>
          </w:tcPr>
          <w:p>
            <w:pPr>
              <w:pStyle w:val="TableParagraph"/>
              <w:ind w:left="65" w:right="8"/>
              <w:rPr>
                <w:sz w:val="14"/>
              </w:rPr>
            </w:pPr>
            <w:r>
              <w:rPr>
                <w:color w:val="231F20"/>
                <w:spacing w:val="-5"/>
                <w:w w:val="95"/>
                <w:sz w:val="14"/>
              </w:rPr>
              <w:t>2.9</w:t>
            </w:r>
          </w:p>
        </w:tc>
        <w:tc>
          <w:tcPr>
            <w:tcW w:w="1195" w:type="dxa"/>
          </w:tcPr>
          <w:p>
            <w:pPr>
              <w:pStyle w:val="TableParagraph"/>
              <w:ind w:left="16" w:right="155"/>
              <w:rPr>
                <w:sz w:val="14"/>
              </w:rPr>
            </w:pPr>
            <w:r>
              <w:rPr>
                <w:color w:val="231F20"/>
                <w:spacing w:val="-5"/>
                <w:w w:val="95"/>
                <w:sz w:val="14"/>
              </w:rPr>
              <w:t>3.4</w:t>
            </w:r>
          </w:p>
        </w:tc>
        <w:tc>
          <w:tcPr>
            <w:tcW w:w="921" w:type="dxa"/>
          </w:tcPr>
          <w:p>
            <w:pPr>
              <w:pStyle w:val="TableParagraph"/>
              <w:ind w:left="13" w:right="26"/>
              <w:rPr>
                <w:sz w:val="14"/>
              </w:rPr>
            </w:pPr>
            <w:r>
              <w:rPr>
                <w:color w:val="231F20"/>
                <w:spacing w:val="-5"/>
                <w:w w:val="95"/>
                <w:sz w:val="14"/>
              </w:rPr>
              <w:t>2.7</w:t>
            </w:r>
          </w:p>
        </w:tc>
        <w:tc>
          <w:tcPr>
            <w:tcW w:w="1249" w:type="dxa"/>
          </w:tcPr>
          <w:p>
            <w:pPr>
              <w:pStyle w:val="TableParagraph"/>
              <w:ind w:left="71" w:right="8"/>
              <w:rPr>
                <w:sz w:val="14"/>
              </w:rPr>
            </w:pPr>
            <w:r>
              <w:rPr>
                <w:color w:val="231F20"/>
                <w:spacing w:val="-5"/>
                <w:w w:val="95"/>
                <w:sz w:val="14"/>
              </w:rPr>
              <w:t>2.9</w:t>
            </w:r>
          </w:p>
        </w:tc>
        <w:tc>
          <w:tcPr>
            <w:tcW w:w="1095" w:type="dxa"/>
          </w:tcPr>
          <w:p>
            <w:pPr>
              <w:pStyle w:val="TableParagraph"/>
              <w:ind w:left="18" w:right="55"/>
              <w:rPr>
                <w:sz w:val="14"/>
              </w:rPr>
            </w:pPr>
            <w:r>
              <w:rPr>
                <w:color w:val="231F20"/>
                <w:spacing w:val="-5"/>
                <w:w w:val="95"/>
                <w:sz w:val="14"/>
              </w:rPr>
              <w:t>3.4</w:t>
            </w:r>
          </w:p>
        </w:tc>
      </w:tr>
      <w:tr>
        <w:trPr>
          <w:trHeight w:val="259" w:hRule="atLeast"/>
        </w:trPr>
        <w:tc>
          <w:tcPr>
            <w:tcW w:w="1427" w:type="dxa"/>
            <w:shd w:val="clear" w:color="auto" w:fill="D4E3F5"/>
          </w:tcPr>
          <w:p>
            <w:pPr>
              <w:pStyle w:val="TableParagraph"/>
              <w:ind w:left="80"/>
              <w:jc w:val="left"/>
              <w:rPr>
                <w:sz w:val="14"/>
              </w:rPr>
            </w:pPr>
            <w:r>
              <w:rPr>
                <w:color w:val="231F20"/>
                <w:spacing w:val="-2"/>
                <w:w w:val="85"/>
                <w:sz w:val="14"/>
              </w:rPr>
              <w:t>Norway</w:t>
            </w:r>
          </w:p>
        </w:tc>
        <w:tc>
          <w:tcPr>
            <w:tcW w:w="1040" w:type="dxa"/>
            <w:shd w:val="clear" w:color="auto" w:fill="D4E3F5"/>
          </w:tcPr>
          <w:p>
            <w:pPr>
              <w:pStyle w:val="TableParagraph"/>
              <w:ind w:right="456"/>
              <w:jc w:val="right"/>
              <w:rPr>
                <w:sz w:val="14"/>
              </w:rPr>
            </w:pPr>
            <w:r>
              <w:rPr>
                <w:color w:val="231F20"/>
                <w:spacing w:val="-5"/>
                <w:w w:val="95"/>
                <w:sz w:val="14"/>
              </w:rPr>
              <w:t>30</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10"/>
              <w:jc w:val="right"/>
              <w:rPr>
                <w:sz w:val="14"/>
              </w:rPr>
            </w:pPr>
            <w:r>
              <w:rPr>
                <w:color w:val="231F20"/>
                <w:spacing w:val="-5"/>
                <w:w w:val="95"/>
                <w:sz w:val="14"/>
              </w:rPr>
              <w:t>14</w:t>
            </w:r>
          </w:p>
        </w:tc>
        <w:tc>
          <w:tcPr>
            <w:tcW w:w="1245" w:type="dxa"/>
            <w:shd w:val="clear" w:color="auto" w:fill="D4E3F5"/>
          </w:tcPr>
          <w:p>
            <w:pPr>
              <w:pStyle w:val="TableParagraph"/>
              <w:ind w:left="65" w:right="8"/>
              <w:rPr>
                <w:sz w:val="14"/>
              </w:rPr>
            </w:pPr>
            <w:r>
              <w:rPr>
                <w:color w:val="231F20"/>
                <w:spacing w:val="-5"/>
                <w:w w:val="95"/>
                <w:sz w:val="14"/>
              </w:rPr>
              <w:t>0.3</w:t>
            </w:r>
          </w:p>
        </w:tc>
        <w:tc>
          <w:tcPr>
            <w:tcW w:w="1195" w:type="dxa"/>
            <w:shd w:val="clear" w:color="auto" w:fill="D4E3F5"/>
          </w:tcPr>
          <w:p>
            <w:pPr>
              <w:pStyle w:val="TableParagraph"/>
              <w:ind w:left="19" w:right="155"/>
              <w:rPr>
                <w:sz w:val="14"/>
              </w:rPr>
            </w:pPr>
            <w:r>
              <w:rPr>
                <w:color w:val="231F20"/>
                <w:spacing w:val="-5"/>
                <w:w w:val="95"/>
                <w:sz w:val="14"/>
              </w:rPr>
              <w:t>0.5</w:t>
            </w:r>
          </w:p>
        </w:tc>
        <w:tc>
          <w:tcPr>
            <w:tcW w:w="921" w:type="dxa"/>
            <w:shd w:val="clear" w:color="auto" w:fill="D4E3F5"/>
          </w:tcPr>
          <w:p>
            <w:pPr>
              <w:pStyle w:val="TableParagraph"/>
              <w:ind w:left="18" w:right="26"/>
              <w:rPr>
                <w:sz w:val="14"/>
              </w:rPr>
            </w:pPr>
            <w:r>
              <w:rPr>
                <w:color w:val="231F20"/>
                <w:spacing w:val="-5"/>
                <w:w w:val="95"/>
                <w:sz w:val="14"/>
              </w:rPr>
              <w:t>0.3</w:t>
            </w:r>
          </w:p>
        </w:tc>
        <w:tc>
          <w:tcPr>
            <w:tcW w:w="1249" w:type="dxa"/>
            <w:shd w:val="clear" w:color="auto" w:fill="D4E3F5"/>
          </w:tcPr>
          <w:p>
            <w:pPr>
              <w:pStyle w:val="TableParagraph"/>
              <w:ind w:left="71" w:right="8"/>
              <w:rPr>
                <w:sz w:val="14"/>
              </w:rPr>
            </w:pPr>
            <w:r>
              <w:rPr>
                <w:color w:val="231F20"/>
                <w:spacing w:val="-5"/>
                <w:w w:val="95"/>
                <w:sz w:val="14"/>
              </w:rPr>
              <w:t>0.3</w:t>
            </w:r>
          </w:p>
        </w:tc>
        <w:tc>
          <w:tcPr>
            <w:tcW w:w="1095" w:type="dxa"/>
            <w:shd w:val="clear" w:color="auto" w:fill="D4E3F5"/>
          </w:tcPr>
          <w:p>
            <w:pPr>
              <w:pStyle w:val="TableParagraph"/>
              <w:ind w:left="19" w:right="55"/>
              <w:rPr>
                <w:sz w:val="14"/>
              </w:rPr>
            </w:pPr>
            <w:r>
              <w:rPr>
                <w:color w:val="231F20"/>
                <w:spacing w:val="-5"/>
                <w:w w:val="95"/>
                <w:sz w:val="14"/>
              </w:rPr>
              <w:t>0.4</w:t>
            </w:r>
          </w:p>
        </w:tc>
      </w:tr>
      <w:tr>
        <w:trPr>
          <w:trHeight w:val="259" w:hRule="atLeast"/>
        </w:trPr>
        <w:tc>
          <w:tcPr>
            <w:tcW w:w="1427" w:type="dxa"/>
          </w:tcPr>
          <w:p>
            <w:pPr>
              <w:pStyle w:val="TableParagraph"/>
              <w:ind w:left="80"/>
              <w:jc w:val="left"/>
              <w:rPr>
                <w:sz w:val="14"/>
              </w:rPr>
            </w:pPr>
            <w:r>
              <w:rPr>
                <w:color w:val="231F20"/>
                <w:spacing w:val="-4"/>
                <w:w w:val="90"/>
                <w:sz w:val="14"/>
              </w:rPr>
              <w:t>Oman</w:t>
            </w:r>
          </w:p>
        </w:tc>
        <w:tc>
          <w:tcPr>
            <w:tcW w:w="1040" w:type="dxa"/>
          </w:tcPr>
          <w:p>
            <w:pPr>
              <w:pStyle w:val="TableParagraph"/>
              <w:ind w:right="456"/>
              <w:jc w:val="right"/>
              <w:rPr>
                <w:sz w:val="14"/>
              </w:rPr>
            </w:pPr>
            <w:r>
              <w:rPr>
                <w:color w:val="231F20"/>
                <w:spacing w:val="-5"/>
                <w:w w:val="95"/>
                <w:sz w:val="14"/>
              </w:rPr>
              <w:t>30</w:t>
            </w:r>
          </w:p>
        </w:tc>
        <w:tc>
          <w:tcPr>
            <w:tcW w:w="1087" w:type="dxa"/>
          </w:tcPr>
          <w:p>
            <w:pPr>
              <w:pStyle w:val="TableParagraph"/>
              <w:ind w:left="93" w:right="60"/>
              <w:rPr>
                <w:sz w:val="14"/>
              </w:rPr>
            </w:pPr>
            <w:r>
              <w:rPr>
                <w:color w:val="231F20"/>
                <w:spacing w:val="-10"/>
                <w:w w:val="95"/>
                <w:sz w:val="14"/>
              </w:rPr>
              <w:t>3</w:t>
            </w:r>
          </w:p>
        </w:tc>
        <w:tc>
          <w:tcPr>
            <w:tcW w:w="1062" w:type="dxa"/>
          </w:tcPr>
          <w:p>
            <w:pPr>
              <w:pStyle w:val="TableParagraph"/>
              <w:ind w:right="401"/>
              <w:jc w:val="right"/>
              <w:rPr>
                <w:sz w:val="14"/>
              </w:rPr>
            </w:pPr>
            <w:r>
              <w:rPr>
                <w:color w:val="231F20"/>
                <w:spacing w:val="-5"/>
                <w:w w:val="95"/>
                <w:sz w:val="14"/>
              </w:rPr>
              <w:t>40</w:t>
            </w:r>
          </w:p>
        </w:tc>
        <w:tc>
          <w:tcPr>
            <w:tcW w:w="1245" w:type="dxa"/>
          </w:tcPr>
          <w:p>
            <w:pPr>
              <w:pStyle w:val="TableParagraph"/>
              <w:ind w:left="65" w:right="8"/>
              <w:rPr>
                <w:sz w:val="14"/>
              </w:rPr>
            </w:pPr>
            <w:r>
              <w:rPr>
                <w:color w:val="231F20"/>
                <w:spacing w:val="-5"/>
                <w:w w:val="95"/>
                <w:sz w:val="14"/>
              </w:rPr>
              <w:t>0.8</w:t>
            </w:r>
          </w:p>
        </w:tc>
        <w:tc>
          <w:tcPr>
            <w:tcW w:w="1195" w:type="dxa"/>
          </w:tcPr>
          <w:p>
            <w:pPr>
              <w:pStyle w:val="TableParagraph"/>
              <w:ind w:left="19" w:right="155"/>
              <w:rPr>
                <w:sz w:val="14"/>
              </w:rPr>
            </w:pPr>
            <w:r>
              <w:rPr>
                <w:color w:val="231F20"/>
                <w:spacing w:val="-5"/>
                <w:w w:val="95"/>
                <w:sz w:val="14"/>
              </w:rPr>
              <w:t>0.9</w:t>
            </w:r>
          </w:p>
        </w:tc>
        <w:tc>
          <w:tcPr>
            <w:tcW w:w="921" w:type="dxa"/>
          </w:tcPr>
          <w:p>
            <w:pPr>
              <w:pStyle w:val="TableParagraph"/>
              <w:ind w:left="16" w:right="26"/>
              <w:rPr>
                <w:sz w:val="14"/>
              </w:rPr>
            </w:pPr>
            <w:r>
              <w:rPr>
                <w:color w:val="231F20"/>
                <w:spacing w:val="-5"/>
                <w:w w:val="95"/>
                <w:sz w:val="14"/>
              </w:rPr>
              <w:t>0.4</w:t>
            </w:r>
          </w:p>
        </w:tc>
        <w:tc>
          <w:tcPr>
            <w:tcW w:w="1249" w:type="dxa"/>
          </w:tcPr>
          <w:p>
            <w:pPr>
              <w:pStyle w:val="TableParagraph"/>
              <w:ind w:left="71" w:right="8"/>
              <w:rPr>
                <w:sz w:val="14"/>
              </w:rPr>
            </w:pPr>
            <w:r>
              <w:rPr>
                <w:color w:val="231F20"/>
                <w:spacing w:val="-5"/>
                <w:w w:val="95"/>
                <w:sz w:val="14"/>
              </w:rPr>
              <w:t>0.9</w:t>
            </w:r>
          </w:p>
        </w:tc>
        <w:tc>
          <w:tcPr>
            <w:tcW w:w="1095" w:type="dxa"/>
          </w:tcPr>
          <w:p>
            <w:pPr>
              <w:pStyle w:val="TableParagraph"/>
              <w:ind w:left="27" w:right="55"/>
              <w:rPr>
                <w:sz w:val="14"/>
              </w:rPr>
            </w:pPr>
            <w:r>
              <w:rPr>
                <w:color w:val="231F20"/>
                <w:spacing w:val="-5"/>
                <w:w w:val="95"/>
                <w:sz w:val="14"/>
              </w:rPr>
              <w:t>1.0</w:t>
            </w:r>
          </w:p>
        </w:tc>
      </w:tr>
      <w:tr>
        <w:trPr>
          <w:trHeight w:val="259" w:hRule="atLeast"/>
        </w:trPr>
        <w:tc>
          <w:tcPr>
            <w:tcW w:w="1427" w:type="dxa"/>
            <w:shd w:val="clear" w:color="auto" w:fill="D4E3F5"/>
          </w:tcPr>
          <w:p>
            <w:pPr>
              <w:pStyle w:val="TableParagraph"/>
              <w:ind w:left="80"/>
              <w:jc w:val="left"/>
              <w:rPr>
                <w:sz w:val="14"/>
              </w:rPr>
            </w:pPr>
            <w:r>
              <w:rPr>
                <w:color w:val="231F20"/>
                <w:spacing w:val="-2"/>
                <w:w w:val="85"/>
                <w:sz w:val="14"/>
              </w:rPr>
              <w:t>Panama</w:t>
            </w:r>
          </w:p>
        </w:tc>
        <w:tc>
          <w:tcPr>
            <w:tcW w:w="1040" w:type="dxa"/>
            <w:shd w:val="clear" w:color="auto" w:fill="D4E3F5"/>
          </w:tcPr>
          <w:p>
            <w:pPr>
              <w:pStyle w:val="TableParagraph"/>
              <w:ind w:right="456"/>
              <w:jc w:val="right"/>
              <w:rPr>
                <w:sz w:val="14"/>
              </w:rPr>
            </w:pPr>
            <w:r>
              <w:rPr>
                <w:color w:val="231F20"/>
                <w:spacing w:val="-5"/>
                <w:w w:val="95"/>
                <w:sz w:val="14"/>
              </w:rPr>
              <w:t>65</w:t>
            </w:r>
          </w:p>
        </w:tc>
        <w:tc>
          <w:tcPr>
            <w:tcW w:w="1087" w:type="dxa"/>
            <w:shd w:val="clear" w:color="auto" w:fill="D4E3F5"/>
          </w:tcPr>
          <w:p>
            <w:pPr>
              <w:pStyle w:val="TableParagraph"/>
              <w:ind w:left="93" w:right="60"/>
              <w:rPr>
                <w:sz w:val="14"/>
              </w:rPr>
            </w:pPr>
            <w:r>
              <w:rPr>
                <w:color w:val="231F20"/>
                <w:spacing w:val="-10"/>
                <w:w w:val="95"/>
                <w:sz w:val="14"/>
              </w:rPr>
              <w:t>4</w:t>
            </w:r>
          </w:p>
        </w:tc>
        <w:tc>
          <w:tcPr>
            <w:tcW w:w="1062" w:type="dxa"/>
            <w:shd w:val="clear" w:color="auto" w:fill="D4E3F5"/>
          </w:tcPr>
          <w:p>
            <w:pPr>
              <w:pStyle w:val="TableParagraph"/>
              <w:ind w:right="401"/>
              <w:jc w:val="right"/>
              <w:rPr>
                <w:sz w:val="14"/>
              </w:rPr>
            </w:pPr>
            <w:r>
              <w:rPr>
                <w:color w:val="231F20"/>
                <w:spacing w:val="-5"/>
                <w:w w:val="95"/>
                <w:sz w:val="14"/>
              </w:rPr>
              <w:t>56</w:t>
            </w:r>
          </w:p>
        </w:tc>
        <w:tc>
          <w:tcPr>
            <w:tcW w:w="1245" w:type="dxa"/>
            <w:shd w:val="clear" w:color="auto" w:fill="D4E3F5"/>
          </w:tcPr>
          <w:p>
            <w:pPr>
              <w:pStyle w:val="TableParagraph"/>
              <w:ind w:left="65" w:right="8"/>
              <w:rPr>
                <w:sz w:val="14"/>
              </w:rPr>
            </w:pPr>
            <w:r>
              <w:rPr>
                <w:color w:val="231F20"/>
                <w:spacing w:val="-5"/>
                <w:w w:val="95"/>
                <w:sz w:val="14"/>
              </w:rPr>
              <w:t>0.9</w:t>
            </w:r>
          </w:p>
        </w:tc>
        <w:tc>
          <w:tcPr>
            <w:tcW w:w="1195" w:type="dxa"/>
            <w:shd w:val="clear" w:color="auto" w:fill="D4E3F5"/>
          </w:tcPr>
          <w:p>
            <w:pPr>
              <w:pStyle w:val="TableParagraph"/>
              <w:ind w:left="7" w:right="155"/>
              <w:rPr>
                <w:sz w:val="14"/>
              </w:rPr>
            </w:pPr>
            <w:r>
              <w:rPr>
                <w:color w:val="231F20"/>
                <w:spacing w:val="-5"/>
                <w:w w:val="95"/>
                <w:sz w:val="14"/>
              </w:rPr>
              <w:t>1.1</w:t>
            </w:r>
          </w:p>
        </w:tc>
        <w:tc>
          <w:tcPr>
            <w:tcW w:w="921" w:type="dxa"/>
            <w:shd w:val="clear" w:color="auto" w:fill="D4E3F5"/>
          </w:tcPr>
          <w:p>
            <w:pPr>
              <w:pStyle w:val="TableParagraph"/>
              <w:ind w:left="13" w:right="26"/>
              <w:rPr>
                <w:sz w:val="14"/>
              </w:rPr>
            </w:pPr>
            <w:r>
              <w:rPr>
                <w:color w:val="231F20"/>
                <w:spacing w:val="-5"/>
                <w:w w:val="95"/>
                <w:sz w:val="14"/>
              </w:rPr>
              <w:t>0.7</w:t>
            </w:r>
          </w:p>
        </w:tc>
        <w:tc>
          <w:tcPr>
            <w:tcW w:w="1249" w:type="dxa"/>
            <w:shd w:val="clear" w:color="auto" w:fill="D4E3F5"/>
          </w:tcPr>
          <w:p>
            <w:pPr>
              <w:pStyle w:val="TableParagraph"/>
              <w:ind w:left="71" w:right="2"/>
              <w:rPr>
                <w:sz w:val="14"/>
              </w:rPr>
            </w:pPr>
            <w:r>
              <w:rPr>
                <w:color w:val="231F20"/>
                <w:spacing w:val="-5"/>
                <w:w w:val="95"/>
                <w:sz w:val="14"/>
              </w:rPr>
              <w:t>1.0</w:t>
            </w:r>
          </w:p>
        </w:tc>
        <w:tc>
          <w:tcPr>
            <w:tcW w:w="1095" w:type="dxa"/>
            <w:shd w:val="clear" w:color="auto" w:fill="D4E3F5"/>
          </w:tcPr>
          <w:p>
            <w:pPr>
              <w:pStyle w:val="TableParagraph"/>
              <w:ind w:left="29" w:right="55"/>
              <w:rPr>
                <w:sz w:val="14"/>
              </w:rPr>
            </w:pPr>
            <w:r>
              <w:rPr>
                <w:color w:val="231F20"/>
                <w:spacing w:val="-5"/>
                <w:w w:val="95"/>
                <w:sz w:val="14"/>
              </w:rPr>
              <w:t>1.2</w:t>
            </w:r>
          </w:p>
        </w:tc>
      </w:tr>
      <w:tr>
        <w:trPr>
          <w:trHeight w:val="259" w:hRule="atLeast"/>
        </w:trPr>
        <w:tc>
          <w:tcPr>
            <w:tcW w:w="1427" w:type="dxa"/>
          </w:tcPr>
          <w:p>
            <w:pPr>
              <w:pStyle w:val="TableParagraph"/>
              <w:ind w:left="80"/>
              <w:jc w:val="left"/>
              <w:rPr>
                <w:sz w:val="14"/>
              </w:rPr>
            </w:pPr>
            <w:r>
              <w:rPr>
                <w:color w:val="231F20"/>
                <w:w w:val="75"/>
                <w:sz w:val="14"/>
              </w:rPr>
              <w:t>Papua</w:t>
            </w:r>
            <w:r>
              <w:rPr>
                <w:color w:val="231F20"/>
                <w:spacing w:val="3"/>
                <w:sz w:val="14"/>
              </w:rPr>
              <w:t> </w:t>
            </w:r>
            <w:r>
              <w:rPr>
                <w:color w:val="231F20"/>
                <w:w w:val="75"/>
                <w:sz w:val="14"/>
              </w:rPr>
              <w:t>New</w:t>
            </w:r>
            <w:r>
              <w:rPr>
                <w:color w:val="231F20"/>
                <w:spacing w:val="4"/>
                <w:sz w:val="14"/>
              </w:rPr>
              <w:t> </w:t>
            </w:r>
            <w:r>
              <w:rPr>
                <w:color w:val="231F20"/>
                <w:spacing w:val="-2"/>
                <w:w w:val="75"/>
                <w:sz w:val="14"/>
              </w:rPr>
              <w:t>Guinea</w:t>
            </w:r>
          </w:p>
        </w:tc>
        <w:tc>
          <w:tcPr>
            <w:tcW w:w="1040" w:type="dxa"/>
          </w:tcPr>
          <w:p>
            <w:pPr>
              <w:pStyle w:val="TableParagraph"/>
              <w:ind w:right="465"/>
              <w:jc w:val="right"/>
              <w:rPr>
                <w:sz w:val="14"/>
              </w:rPr>
            </w:pPr>
            <w:r>
              <w:rPr>
                <w:color w:val="231F20"/>
                <w:spacing w:val="-5"/>
                <w:w w:val="95"/>
                <w:sz w:val="14"/>
              </w:rPr>
              <w:t>19</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10"/>
              <w:jc w:val="right"/>
              <w:rPr>
                <w:sz w:val="14"/>
              </w:rPr>
            </w:pPr>
            <w:r>
              <w:rPr>
                <w:color w:val="231F20"/>
                <w:spacing w:val="-5"/>
                <w:w w:val="95"/>
                <w:sz w:val="14"/>
              </w:rPr>
              <w:t>18</w:t>
            </w:r>
          </w:p>
        </w:tc>
        <w:tc>
          <w:tcPr>
            <w:tcW w:w="1245" w:type="dxa"/>
          </w:tcPr>
          <w:p>
            <w:pPr>
              <w:pStyle w:val="TableParagraph"/>
              <w:ind w:left="65" w:right="1"/>
              <w:rPr>
                <w:sz w:val="14"/>
              </w:rPr>
            </w:pPr>
            <w:r>
              <w:rPr>
                <w:color w:val="231F20"/>
                <w:spacing w:val="-5"/>
                <w:w w:val="95"/>
                <w:sz w:val="14"/>
              </w:rPr>
              <w:t>1.5</w:t>
            </w:r>
          </w:p>
        </w:tc>
        <w:tc>
          <w:tcPr>
            <w:tcW w:w="1195" w:type="dxa"/>
          </w:tcPr>
          <w:p>
            <w:pPr>
              <w:pStyle w:val="TableParagraph"/>
              <w:ind w:left="25" w:right="155"/>
              <w:rPr>
                <w:sz w:val="14"/>
              </w:rPr>
            </w:pPr>
            <w:r>
              <w:rPr>
                <w:color w:val="231F20"/>
                <w:spacing w:val="-5"/>
                <w:w w:val="95"/>
                <w:sz w:val="14"/>
              </w:rPr>
              <w:t>1.9</w:t>
            </w:r>
          </w:p>
        </w:tc>
        <w:tc>
          <w:tcPr>
            <w:tcW w:w="921" w:type="dxa"/>
          </w:tcPr>
          <w:p>
            <w:pPr>
              <w:pStyle w:val="TableParagraph"/>
              <w:ind w:left="6" w:right="26"/>
              <w:rPr>
                <w:sz w:val="14"/>
              </w:rPr>
            </w:pPr>
            <w:r>
              <w:rPr>
                <w:color w:val="231F20"/>
                <w:spacing w:val="-5"/>
                <w:w w:val="95"/>
                <w:sz w:val="14"/>
              </w:rPr>
              <w:t>1.1</w:t>
            </w:r>
          </w:p>
        </w:tc>
        <w:tc>
          <w:tcPr>
            <w:tcW w:w="1249" w:type="dxa"/>
          </w:tcPr>
          <w:p>
            <w:pPr>
              <w:pStyle w:val="TableParagraph"/>
              <w:ind w:left="71" w:right="2"/>
              <w:rPr>
                <w:sz w:val="14"/>
              </w:rPr>
            </w:pPr>
            <w:r>
              <w:rPr>
                <w:color w:val="231F20"/>
                <w:spacing w:val="-5"/>
                <w:w w:val="95"/>
                <w:sz w:val="14"/>
              </w:rPr>
              <w:t>1.6</w:t>
            </w:r>
          </w:p>
        </w:tc>
        <w:tc>
          <w:tcPr>
            <w:tcW w:w="1095" w:type="dxa"/>
          </w:tcPr>
          <w:p>
            <w:pPr>
              <w:pStyle w:val="TableParagraph"/>
              <w:ind w:left="28" w:right="55"/>
              <w:rPr>
                <w:sz w:val="14"/>
              </w:rPr>
            </w:pPr>
            <w:r>
              <w:rPr>
                <w:color w:val="231F20"/>
                <w:spacing w:val="-5"/>
                <w:w w:val="95"/>
                <w:sz w:val="14"/>
              </w:rPr>
              <w:t>1.8</w:t>
            </w:r>
          </w:p>
        </w:tc>
      </w:tr>
      <w:tr>
        <w:trPr>
          <w:trHeight w:val="259" w:hRule="atLeast"/>
        </w:trPr>
        <w:tc>
          <w:tcPr>
            <w:tcW w:w="1427" w:type="dxa"/>
            <w:shd w:val="clear" w:color="auto" w:fill="D4E3F5"/>
          </w:tcPr>
          <w:p>
            <w:pPr>
              <w:pStyle w:val="TableParagraph"/>
              <w:ind w:left="80"/>
              <w:jc w:val="left"/>
              <w:rPr>
                <w:sz w:val="14"/>
              </w:rPr>
            </w:pPr>
            <w:r>
              <w:rPr>
                <w:color w:val="231F20"/>
                <w:spacing w:val="-2"/>
                <w:w w:val="85"/>
                <w:sz w:val="14"/>
              </w:rPr>
              <w:t>Paraguay</w:t>
            </w:r>
          </w:p>
        </w:tc>
        <w:tc>
          <w:tcPr>
            <w:tcW w:w="1040" w:type="dxa"/>
            <w:shd w:val="clear" w:color="auto" w:fill="D4E3F5"/>
          </w:tcPr>
          <w:p>
            <w:pPr>
              <w:pStyle w:val="TableParagraph"/>
              <w:ind w:right="462"/>
              <w:jc w:val="right"/>
              <w:rPr>
                <w:sz w:val="14"/>
              </w:rPr>
            </w:pPr>
            <w:r>
              <w:rPr>
                <w:color w:val="231F20"/>
                <w:spacing w:val="-10"/>
                <w:w w:val="95"/>
                <w:sz w:val="14"/>
              </w:rPr>
              <w:t>3</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7"/>
              <w:jc w:val="right"/>
              <w:rPr>
                <w:sz w:val="14"/>
              </w:rPr>
            </w:pPr>
            <w:r>
              <w:rPr>
                <w:color w:val="231F20"/>
                <w:spacing w:val="-10"/>
                <w:w w:val="95"/>
                <w:sz w:val="14"/>
              </w:rPr>
              <w:t>2</w:t>
            </w:r>
          </w:p>
        </w:tc>
        <w:tc>
          <w:tcPr>
            <w:tcW w:w="1245" w:type="dxa"/>
            <w:shd w:val="clear" w:color="auto" w:fill="D4E3F5"/>
          </w:tcPr>
          <w:p>
            <w:pPr>
              <w:pStyle w:val="TableParagraph"/>
              <w:ind w:left="65" w:right="8"/>
              <w:rPr>
                <w:sz w:val="14"/>
              </w:rPr>
            </w:pPr>
            <w:r>
              <w:rPr>
                <w:color w:val="231F20"/>
                <w:spacing w:val="-5"/>
                <w:w w:val="95"/>
                <w:sz w:val="14"/>
              </w:rPr>
              <w:t>0.0</w:t>
            </w:r>
          </w:p>
        </w:tc>
        <w:tc>
          <w:tcPr>
            <w:tcW w:w="1195" w:type="dxa"/>
            <w:shd w:val="clear" w:color="auto" w:fill="D4E3F5"/>
          </w:tcPr>
          <w:p>
            <w:pPr>
              <w:pStyle w:val="TableParagraph"/>
              <w:ind w:left="19" w:right="155"/>
              <w:rPr>
                <w:sz w:val="14"/>
              </w:rPr>
            </w:pPr>
            <w:r>
              <w:rPr>
                <w:color w:val="231F20"/>
                <w:spacing w:val="-5"/>
                <w:w w:val="95"/>
                <w:sz w:val="14"/>
              </w:rPr>
              <w:t>0.0</w:t>
            </w:r>
          </w:p>
        </w:tc>
        <w:tc>
          <w:tcPr>
            <w:tcW w:w="921" w:type="dxa"/>
            <w:shd w:val="clear" w:color="auto" w:fill="D4E3F5"/>
          </w:tcPr>
          <w:p>
            <w:pPr>
              <w:pStyle w:val="TableParagraph"/>
              <w:ind w:left="18" w:right="26"/>
              <w:rPr>
                <w:sz w:val="14"/>
              </w:rPr>
            </w:pPr>
            <w:r>
              <w:rPr>
                <w:color w:val="231F20"/>
                <w:spacing w:val="-5"/>
                <w:w w:val="95"/>
                <w:sz w:val="14"/>
              </w:rPr>
              <w:t>0.0</w:t>
            </w:r>
          </w:p>
        </w:tc>
        <w:tc>
          <w:tcPr>
            <w:tcW w:w="1249" w:type="dxa"/>
            <w:shd w:val="clear" w:color="auto" w:fill="D4E3F5"/>
          </w:tcPr>
          <w:p>
            <w:pPr>
              <w:pStyle w:val="TableParagraph"/>
              <w:ind w:left="71" w:right="8"/>
              <w:rPr>
                <w:sz w:val="14"/>
              </w:rPr>
            </w:pPr>
            <w:r>
              <w:rPr>
                <w:color w:val="231F20"/>
                <w:spacing w:val="-5"/>
                <w:w w:val="95"/>
                <w:sz w:val="14"/>
              </w:rPr>
              <w:t>0.0</w:t>
            </w:r>
          </w:p>
        </w:tc>
        <w:tc>
          <w:tcPr>
            <w:tcW w:w="1095" w:type="dxa"/>
            <w:shd w:val="clear" w:color="auto" w:fill="D4E3F5"/>
          </w:tcPr>
          <w:p>
            <w:pPr>
              <w:pStyle w:val="TableParagraph"/>
              <w:ind w:left="21" w:right="55"/>
              <w:rPr>
                <w:sz w:val="14"/>
              </w:rPr>
            </w:pPr>
            <w:r>
              <w:rPr>
                <w:color w:val="231F20"/>
                <w:spacing w:val="-5"/>
                <w:w w:val="95"/>
                <w:sz w:val="14"/>
              </w:rPr>
              <w:t>0.0</w:t>
            </w:r>
          </w:p>
        </w:tc>
      </w:tr>
      <w:tr>
        <w:trPr>
          <w:trHeight w:val="259" w:hRule="atLeast"/>
        </w:trPr>
        <w:tc>
          <w:tcPr>
            <w:tcW w:w="1427" w:type="dxa"/>
          </w:tcPr>
          <w:p>
            <w:pPr>
              <w:pStyle w:val="TableParagraph"/>
              <w:ind w:left="80"/>
              <w:jc w:val="left"/>
              <w:rPr>
                <w:sz w:val="14"/>
              </w:rPr>
            </w:pPr>
            <w:r>
              <w:rPr>
                <w:color w:val="231F20"/>
                <w:spacing w:val="-4"/>
                <w:w w:val="90"/>
                <w:sz w:val="14"/>
              </w:rPr>
              <w:t>Peru</w:t>
            </w:r>
          </w:p>
        </w:tc>
        <w:tc>
          <w:tcPr>
            <w:tcW w:w="1040" w:type="dxa"/>
          </w:tcPr>
          <w:p>
            <w:pPr>
              <w:pStyle w:val="TableParagraph"/>
              <w:ind w:right="458"/>
              <w:jc w:val="right"/>
              <w:rPr>
                <w:sz w:val="14"/>
              </w:rPr>
            </w:pPr>
            <w:r>
              <w:rPr>
                <w:color w:val="231F20"/>
                <w:spacing w:val="-5"/>
                <w:w w:val="95"/>
                <w:sz w:val="14"/>
              </w:rPr>
              <w:t>25</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4"/>
              <w:jc w:val="right"/>
              <w:rPr>
                <w:sz w:val="14"/>
              </w:rPr>
            </w:pPr>
            <w:r>
              <w:rPr>
                <w:color w:val="231F20"/>
                <w:spacing w:val="-5"/>
                <w:w w:val="95"/>
                <w:sz w:val="14"/>
              </w:rPr>
              <w:t>31</w:t>
            </w:r>
          </w:p>
        </w:tc>
        <w:tc>
          <w:tcPr>
            <w:tcW w:w="1245" w:type="dxa"/>
          </w:tcPr>
          <w:p>
            <w:pPr>
              <w:pStyle w:val="TableParagraph"/>
              <w:ind w:left="65" w:right="8"/>
              <w:rPr>
                <w:sz w:val="14"/>
              </w:rPr>
            </w:pPr>
            <w:r>
              <w:rPr>
                <w:color w:val="231F20"/>
                <w:spacing w:val="-5"/>
                <w:w w:val="95"/>
                <w:sz w:val="14"/>
              </w:rPr>
              <w:t>0.8</w:t>
            </w:r>
          </w:p>
        </w:tc>
        <w:tc>
          <w:tcPr>
            <w:tcW w:w="1195" w:type="dxa"/>
          </w:tcPr>
          <w:p>
            <w:pPr>
              <w:pStyle w:val="TableParagraph"/>
              <w:ind w:left="19" w:right="155"/>
              <w:rPr>
                <w:sz w:val="14"/>
              </w:rPr>
            </w:pPr>
            <w:r>
              <w:rPr>
                <w:color w:val="231F20"/>
                <w:spacing w:val="-5"/>
                <w:w w:val="95"/>
                <w:sz w:val="14"/>
              </w:rPr>
              <w:t>0.9</w:t>
            </w:r>
          </w:p>
        </w:tc>
        <w:tc>
          <w:tcPr>
            <w:tcW w:w="921" w:type="dxa"/>
          </w:tcPr>
          <w:p>
            <w:pPr>
              <w:pStyle w:val="TableParagraph"/>
              <w:ind w:left="18" w:right="26"/>
              <w:rPr>
                <w:sz w:val="14"/>
              </w:rPr>
            </w:pPr>
            <w:r>
              <w:rPr>
                <w:color w:val="231F20"/>
                <w:spacing w:val="-5"/>
                <w:w w:val="95"/>
                <w:sz w:val="14"/>
              </w:rPr>
              <w:t>0.5</w:t>
            </w:r>
          </w:p>
        </w:tc>
        <w:tc>
          <w:tcPr>
            <w:tcW w:w="1249" w:type="dxa"/>
          </w:tcPr>
          <w:p>
            <w:pPr>
              <w:pStyle w:val="TableParagraph"/>
              <w:ind w:left="71" w:right="8"/>
              <w:rPr>
                <w:sz w:val="14"/>
              </w:rPr>
            </w:pPr>
            <w:r>
              <w:rPr>
                <w:color w:val="231F20"/>
                <w:spacing w:val="-5"/>
                <w:w w:val="95"/>
                <w:sz w:val="14"/>
              </w:rPr>
              <w:t>0.9</w:t>
            </w:r>
          </w:p>
        </w:tc>
        <w:tc>
          <w:tcPr>
            <w:tcW w:w="1095" w:type="dxa"/>
          </w:tcPr>
          <w:p>
            <w:pPr>
              <w:pStyle w:val="TableParagraph"/>
              <w:ind w:left="21" w:right="55"/>
              <w:rPr>
                <w:sz w:val="14"/>
              </w:rPr>
            </w:pPr>
            <w:r>
              <w:rPr>
                <w:color w:val="231F20"/>
                <w:spacing w:val="-5"/>
                <w:w w:val="95"/>
                <w:sz w:val="14"/>
              </w:rPr>
              <w:t>0.9</w:t>
            </w:r>
          </w:p>
        </w:tc>
      </w:tr>
      <w:tr>
        <w:trPr>
          <w:trHeight w:val="259" w:hRule="atLeast"/>
        </w:trPr>
        <w:tc>
          <w:tcPr>
            <w:tcW w:w="1427" w:type="dxa"/>
            <w:shd w:val="clear" w:color="auto" w:fill="D4E3F5"/>
          </w:tcPr>
          <w:p>
            <w:pPr>
              <w:pStyle w:val="TableParagraph"/>
              <w:ind w:left="80"/>
              <w:jc w:val="left"/>
              <w:rPr>
                <w:sz w:val="14"/>
              </w:rPr>
            </w:pPr>
            <w:r>
              <w:rPr>
                <w:color w:val="231F20"/>
                <w:spacing w:val="-2"/>
                <w:w w:val="90"/>
                <w:sz w:val="14"/>
              </w:rPr>
              <w:t>Philippines</w:t>
            </w:r>
          </w:p>
        </w:tc>
        <w:tc>
          <w:tcPr>
            <w:tcW w:w="1040" w:type="dxa"/>
            <w:shd w:val="clear" w:color="auto" w:fill="D4E3F5"/>
          </w:tcPr>
          <w:p>
            <w:pPr>
              <w:pStyle w:val="TableParagraph"/>
              <w:ind w:right="456"/>
              <w:jc w:val="right"/>
              <w:rPr>
                <w:sz w:val="14"/>
              </w:rPr>
            </w:pPr>
            <w:r>
              <w:rPr>
                <w:color w:val="231F20"/>
                <w:spacing w:val="-5"/>
                <w:w w:val="95"/>
                <w:sz w:val="14"/>
              </w:rPr>
              <w:t>66</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10"/>
              <w:jc w:val="right"/>
              <w:rPr>
                <w:sz w:val="14"/>
              </w:rPr>
            </w:pPr>
            <w:r>
              <w:rPr>
                <w:color w:val="231F20"/>
                <w:spacing w:val="-5"/>
                <w:w w:val="95"/>
                <w:sz w:val="14"/>
              </w:rPr>
              <w:t>15</w:t>
            </w:r>
          </w:p>
        </w:tc>
        <w:tc>
          <w:tcPr>
            <w:tcW w:w="1245" w:type="dxa"/>
            <w:shd w:val="clear" w:color="auto" w:fill="D4E3F5"/>
          </w:tcPr>
          <w:p>
            <w:pPr>
              <w:pStyle w:val="TableParagraph"/>
              <w:ind w:left="65" w:right="2"/>
              <w:rPr>
                <w:sz w:val="14"/>
              </w:rPr>
            </w:pPr>
            <w:r>
              <w:rPr>
                <w:color w:val="231F20"/>
                <w:spacing w:val="-5"/>
                <w:w w:val="95"/>
                <w:sz w:val="14"/>
              </w:rPr>
              <w:t>1.0</w:t>
            </w:r>
          </w:p>
        </w:tc>
        <w:tc>
          <w:tcPr>
            <w:tcW w:w="1195" w:type="dxa"/>
            <w:shd w:val="clear" w:color="auto" w:fill="D4E3F5"/>
          </w:tcPr>
          <w:p>
            <w:pPr>
              <w:pStyle w:val="TableParagraph"/>
              <w:ind w:left="26" w:right="155"/>
              <w:rPr>
                <w:sz w:val="14"/>
              </w:rPr>
            </w:pPr>
            <w:r>
              <w:rPr>
                <w:color w:val="231F20"/>
                <w:spacing w:val="-5"/>
                <w:w w:val="95"/>
                <w:sz w:val="14"/>
              </w:rPr>
              <w:t>1.3</w:t>
            </w:r>
          </w:p>
        </w:tc>
        <w:tc>
          <w:tcPr>
            <w:tcW w:w="921" w:type="dxa"/>
            <w:shd w:val="clear" w:color="auto" w:fill="D4E3F5"/>
          </w:tcPr>
          <w:p>
            <w:pPr>
              <w:pStyle w:val="TableParagraph"/>
              <w:ind w:left="18" w:right="26"/>
              <w:rPr>
                <w:sz w:val="14"/>
              </w:rPr>
            </w:pPr>
            <w:r>
              <w:rPr>
                <w:color w:val="231F20"/>
                <w:spacing w:val="-5"/>
                <w:w w:val="95"/>
                <w:sz w:val="14"/>
              </w:rPr>
              <w:t>0.8</w:t>
            </w:r>
          </w:p>
        </w:tc>
        <w:tc>
          <w:tcPr>
            <w:tcW w:w="1249" w:type="dxa"/>
            <w:shd w:val="clear" w:color="auto" w:fill="D4E3F5"/>
          </w:tcPr>
          <w:p>
            <w:pPr>
              <w:pStyle w:val="TableParagraph"/>
              <w:ind w:left="71" w:right="20"/>
              <w:rPr>
                <w:sz w:val="14"/>
              </w:rPr>
            </w:pPr>
            <w:r>
              <w:rPr>
                <w:color w:val="231F20"/>
                <w:spacing w:val="-5"/>
                <w:w w:val="95"/>
                <w:sz w:val="14"/>
              </w:rPr>
              <w:t>1.1</w:t>
            </w:r>
          </w:p>
        </w:tc>
        <w:tc>
          <w:tcPr>
            <w:tcW w:w="1095" w:type="dxa"/>
            <w:shd w:val="clear" w:color="auto" w:fill="D4E3F5"/>
          </w:tcPr>
          <w:p>
            <w:pPr>
              <w:pStyle w:val="TableParagraph"/>
              <w:ind w:left="28" w:right="55"/>
              <w:rPr>
                <w:sz w:val="14"/>
              </w:rPr>
            </w:pPr>
            <w:r>
              <w:rPr>
                <w:color w:val="231F20"/>
                <w:spacing w:val="-5"/>
                <w:w w:val="95"/>
                <w:sz w:val="14"/>
              </w:rPr>
              <w:t>1.3</w:t>
            </w:r>
          </w:p>
        </w:tc>
      </w:tr>
      <w:tr>
        <w:trPr>
          <w:trHeight w:val="259" w:hRule="atLeast"/>
        </w:trPr>
        <w:tc>
          <w:tcPr>
            <w:tcW w:w="1427" w:type="dxa"/>
          </w:tcPr>
          <w:p>
            <w:pPr>
              <w:pStyle w:val="TableParagraph"/>
              <w:ind w:left="80"/>
              <w:jc w:val="left"/>
              <w:rPr>
                <w:sz w:val="14"/>
              </w:rPr>
            </w:pPr>
            <w:r>
              <w:rPr>
                <w:color w:val="231F20"/>
                <w:spacing w:val="-2"/>
                <w:w w:val="85"/>
                <w:sz w:val="14"/>
              </w:rPr>
              <w:t>Poland</w:t>
            </w:r>
          </w:p>
        </w:tc>
        <w:tc>
          <w:tcPr>
            <w:tcW w:w="1040" w:type="dxa"/>
          </w:tcPr>
          <w:p>
            <w:pPr>
              <w:pStyle w:val="TableParagraph"/>
              <w:ind w:right="457"/>
              <w:jc w:val="right"/>
              <w:rPr>
                <w:sz w:val="14"/>
              </w:rPr>
            </w:pPr>
            <w:r>
              <w:rPr>
                <w:color w:val="231F20"/>
                <w:spacing w:val="-5"/>
                <w:w w:val="95"/>
                <w:sz w:val="14"/>
              </w:rPr>
              <w:t>29</w:t>
            </w:r>
          </w:p>
        </w:tc>
        <w:tc>
          <w:tcPr>
            <w:tcW w:w="1087" w:type="dxa"/>
          </w:tcPr>
          <w:p>
            <w:pPr>
              <w:pStyle w:val="TableParagraph"/>
              <w:ind w:left="93" w:right="60"/>
              <w:rPr>
                <w:sz w:val="14"/>
              </w:rPr>
            </w:pPr>
            <w:r>
              <w:rPr>
                <w:color w:val="231F20"/>
                <w:spacing w:val="-10"/>
                <w:w w:val="95"/>
                <w:sz w:val="14"/>
              </w:rPr>
              <w:t>2</w:t>
            </w:r>
          </w:p>
        </w:tc>
        <w:tc>
          <w:tcPr>
            <w:tcW w:w="1062" w:type="dxa"/>
          </w:tcPr>
          <w:p>
            <w:pPr>
              <w:pStyle w:val="TableParagraph"/>
              <w:ind w:right="401"/>
              <w:jc w:val="right"/>
              <w:rPr>
                <w:sz w:val="14"/>
              </w:rPr>
            </w:pPr>
            <w:r>
              <w:rPr>
                <w:color w:val="231F20"/>
                <w:spacing w:val="-5"/>
                <w:w w:val="95"/>
                <w:sz w:val="14"/>
              </w:rPr>
              <w:t>33</w:t>
            </w:r>
          </w:p>
        </w:tc>
        <w:tc>
          <w:tcPr>
            <w:tcW w:w="1245" w:type="dxa"/>
          </w:tcPr>
          <w:p>
            <w:pPr>
              <w:pStyle w:val="TableParagraph"/>
              <w:ind w:left="65" w:right="8"/>
              <w:rPr>
                <w:sz w:val="14"/>
              </w:rPr>
            </w:pPr>
            <w:r>
              <w:rPr>
                <w:color w:val="231F20"/>
                <w:spacing w:val="-5"/>
                <w:w w:val="95"/>
                <w:sz w:val="14"/>
              </w:rPr>
              <w:t>0.9</w:t>
            </w:r>
          </w:p>
        </w:tc>
        <w:tc>
          <w:tcPr>
            <w:tcW w:w="1195" w:type="dxa"/>
          </w:tcPr>
          <w:p>
            <w:pPr>
              <w:pStyle w:val="TableParagraph"/>
              <w:ind w:left="24" w:right="155"/>
              <w:rPr>
                <w:sz w:val="14"/>
              </w:rPr>
            </w:pPr>
            <w:r>
              <w:rPr>
                <w:color w:val="231F20"/>
                <w:spacing w:val="-5"/>
                <w:w w:val="95"/>
                <w:sz w:val="14"/>
              </w:rPr>
              <w:t>1.4</w:t>
            </w:r>
          </w:p>
        </w:tc>
        <w:tc>
          <w:tcPr>
            <w:tcW w:w="921" w:type="dxa"/>
          </w:tcPr>
          <w:p>
            <w:pPr>
              <w:pStyle w:val="TableParagraph"/>
              <w:ind w:left="13" w:right="26"/>
              <w:rPr>
                <w:sz w:val="14"/>
              </w:rPr>
            </w:pPr>
            <w:r>
              <w:rPr>
                <w:color w:val="231F20"/>
                <w:spacing w:val="-5"/>
                <w:w w:val="95"/>
                <w:sz w:val="14"/>
              </w:rPr>
              <w:t>0.7</w:t>
            </w:r>
          </w:p>
        </w:tc>
        <w:tc>
          <w:tcPr>
            <w:tcW w:w="1249" w:type="dxa"/>
          </w:tcPr>
          <w:p>
            <w:pPr>
              <w:pStyle w:val="TableParagraph"/>
              <w:ind w:left="71" w:right="26"/>
              <w:rPr>
                <w:sz w:val="14"/>
              </w:rPr>
            </w:pPr>
            <w:r>
              <w:rPr>
                <w:color w:val="231F20"/>
                <w:spacing w:val="-5"/>
                <w:w w:val="95"/>
                <w:sz w:val="14"/>
              </w:rPr>
              <w:t>2.1</w:t>
            </w:r>
          </w:p>
        </w:tc>
        <w:tc>
          <w:tcPr>
            <w:tcW w:w="1095" w:type="dxa"/>
          </w:tcPr>
          <w:p>
            <w:pPr>
              <w:pStyle w:val="TableParagraph"/>
              <w:ind w:left="19" w:right="55"/>
              <w:rPr>
                <w:sz w:val="14"/>
              </w:rPr>
            </w:pPr>
            <w:r>
              <w:rPr>
                <w:color w:val="231F20"/>
                <w:spacing w:val="-5"/>
                <w:w w:val="95"/>
                <w:sz w:val="14"/>
              </w:rPr>
              <w:t>2.4</w:t>
            </w:r>
          </w:p>
        </w:tc>
      </w:tr>
      <w:tr>
        <w:trPr>
          <w:trHeight w:val="259" w:hRule="atLeast"/>
        </w:trPr>
        <w:tc>
          <w:tcPr>
            <w:tcW w:w="1427" w:type="dxa"/>
            <w:shd w:val="clear" w:color="auto" w:fill="D4E3F5"/>
          </w:tcPr>
          <w:p>
            <w:pPr>
              <w:pStyle w:val="TableParagraph"/>
              <w:ind w:left="80"/>
              <w:jc w:val="left"/>
              <w:rPr>
                <w:sz w:val="14"/>
              </w:rPr>
            </w:pPr>
            <w:r>
              <w:rPr>
                <w:color w:val="231F20"/>
                <w:spacing w:val="-2"/>
                <w:w w:val="90"/>
                <w:sz w:val="14"/>
              </w:rPr>
              <w:t>Portugal</w:t>
            </w:r>
          </w:p>
        </w:tc>
        <w:tc>
          <w:tcPr>
            <w:tcW w:w="1040" w:type="dxa"/>
            <w:shd w:val="clear" w:color="auto" w:fill="D4E3F5"/>
          </w:tcPr>
          <w:p>
            <w:pPr>
              <w:pStyle w:val="TableParagraph"/>
              <w:ind w:right="456"/>
              <w:jc w:val="right"/>
              <w:rPr>
                <w:sz w:val="14"/>
              </w:rPr>
            </w:pPr>
            <w:r>
              <w:rPr>
                <w:color w:val="231F20"/>
                <w:spacing w:val="-5"/>
                <w:w w:val="95"/>
                <w:sz w:val="14"/>
              </w:rPr>
              <w:t>50</w:t>
            </w:r>
          </w:p>
        </w:tc>
        <w:tc>
          <w:tcPr>
            <w:tcW w:w="1087" w:type="dxa"/>
            <w:shd w:val="clear" w:color="auto" w:fill="D4E3F5"/>
          </w:tcPr>
          <w:p>
            <w:pPr>
              <w:pStyle w:val="TableParagraph"/>
              <w:ind w:left="93" w:right="60"/>
              <w:rPr>
                <w:sz w:val="14"/>
              </w:rPr>
            </w:pPr>
            <w:r>
              <w:rPr>
                <w:color w:val="231F20"/>
                <w:spacing w:val="-10"/>
                <w:w w:val="95"/>
                <w:sz w:val="14"/>
              </w:rPr>
              <w:t>1</w:t>
            </w:r>
          </w:p>
        </w:tc>
        <w:tc>
          <w:tcPr>
            <w:tcW w:w="1062" w:type="dxa"/>
            <w:shd w:val="clear" w:color="auto" w:fill="D4E3F5"/>
          </w:tcPr>
          <w:p>
            <w:pPr>
              <w:pStyle w:val="TableParagraph"/>
              <w:ind w:right="400"/>
              <w:jc w:val="right"/>
              <w:rPr>
                <w:sz w:val="14"/>
              </w:rPr>
            </w:pPr>
            <w:r>
              <w:rPr>
                <w:color w:val="231F20"/>
                <w:spacing w:val="-5"/>
                <w:w w:val="95"/>
                <w:sz w:val="14"/>
              </w:rPr>
              <w:t>48</w:t>
            </w:r>
          </w:p>
        </w:tc>
        <w:tc>
          <w:tcPr>
            <w:tcW w:w="1245" w:type="dxa"/>
            <w:shd w:val="clear" w:color="auto" w:fill="D4E3F5"/>
          </w:tcPr>
          <w:p>
            <w:pPr>
              <w:pStyle w:val="TableParagraph"/>
              <w:ind w:left="65" w:right="8"/>
              <w:rPr>
                <w:sz w:val="14"/>
              </w:rPr>
            </w:pPr>
            <w:r>
              <w:rPr>
                <w:color w:val="231F20"/>
                <w:spacing w:val="-5"/>
                <w:w w:val="95"/>
                <w:sz w:val="14"/>
              </w:rPr>
              <w:t>0.8</w:t>
            </w:r>
          </w:p>
        </w:tc>
        <w:tc>
          <w:tcPr>
            <w:tcW w:w="1195" w:type="dxa"/>
            <w:shd w:val="clear" w:color="auto" w:fill="D4E3F5"/>
          </w:tcPr>
          <w:p>
            <w:pPr>
              <w:pStyle w:val="TableParagraph"/>
              <w:ind w:left="7" w:right="155"/>
              <w:rPr>
                <w:sz w:val="14"/>
              </w:rPr>
            </w:pPr>
            <w:r>
              <w:rPr>
                <w:color w:val="231F20"/>
                <w:spacing w:val="-5"/>
                <w:w w:val="95"/>
                <w:sz w:val="14"/>
              </w:rPr>
              <w:t>1.1</w:t>
            </w:r>
          </w:p>
        </w:tc>
        <w:tc>
          <w:tcPr>
            <w:tcW w:w="921" w:type="dxa"/>
            <w:shd w:val="clear" w:color="auto" w:fill="D4E3F5"/>
          </w:tcPr>
          <w:p>
            <w:pPr>
              <w:pStyle w:val="TableParagraph"/>
              <w:ind w:left="13" w:right="26"/>
              <w:rPr>
                <w:sz w:val="14"/>
              </w:rPr>
            </w:pPr>
            <w:r>
              <w:rPr>
                <w:color w:val="231F20"/>
                <w:spacing w:val="-5"/>
                <w:w w:val="95"/>
                <w:sz w:val="14"/>
              </w:rPr>
              <w:t>0.7</w:t>
            </w:r>
          </w:p>
        </w:tc>
        <w:tc>
          <w:tcPr>
            <w:tcW w:w="1249" w:type="dxa"/>
            <w:shd w:val="clear" w:color="auto" w:fill="D4E3F5"/>
          </w:tcPr>
          <w:p>
            <w:pPr>
              <w:pStyle w:val="TableParagraph"/>
              <w:ind w:left="71" w:right="2"/>
              <w:rPr>
                <w:sz w:val="14"/>
              </w:rPr>
            </w:pPr>
            <w:r>
              <w:rPr>
                <w:color w:val="231F20"/>
                <w:spacing w:val="-5"/>
                <w:w w:val="95"/>
                <w:sz w:val="14"/>
              </w:rPr>
              <w:t>1.0</w:t>
            </w:r>
          </w:p>
        </w:tc>
        <w:tc>
          <w:tcPr>
            <w:tcW w:w="1095" w:type="dxa"/>
            <w:shd w:val="clear" w:color="auto" w:fill="D4E3F5"/>
          </w:tcPr>
          <w:p>
            <w:pPr>
              <w:pStyle w:val="TableParagraph"/>
              <w:ind w:left="26" w:right="55"/>
              <w:rPr>
                <w:sz w:val="14"/>
              </w:rPr>
            </w:pPr>
            <w:r>
              <w:rPr>
                <w:color w:val="231F20"/>
                <w:spacing w:val="-5"/>
                <w:w w:val="95"/>
                <w:sz w:val="14"/>
              </w:rPr>
              <w:t>1.4</w:t>
            </w:r>
          </w:p>
        </w:tc>
      </w:tr>
      <w:tr>
        <w:trPr>
          <w:trHeight w:val="259" w:hRule="atLeast"/>
        </w:trPr>
        <w:tc>
          <w:tcPr>
            <w:tcW w:w="1427" w:type="dxa"/>
          </w:tcPr>
          <w:p>
            <w:pPr>
              <w:pStyle w:val="TableParagraph"/>
              <w:ind w:left="80"/>
              <w:jc w:val="left"/>
              <w:rPr>
                <w:sz w:val="14"/>
              </w:rPr>
            </w:pPr>
            <w:r>
              <w:rPr>
                <w:color w:val="231F20"/>
                <w:spacing w:val="-4"/>
                <w:w w:val="90"/>
                <w:sz w:val="14"/>
              </w:rPr>
              <w:t>Qatar</w:t>
            </w:r>
          </w:p>
        </w:tc>
        <w:tc>
          <w:tcPr>
            <w:tcW w:w="1040" w:type="dxa"/>
          </w:tcPr>
          <w:p>
            <w:pPr>
              <w:pStyle w:val="TableParagraph"/>
              <w:ind w:right="466"/>
              <w:jc w:val="right"/>
              <w:rPr>
                <w:sz w:val="14"/>
              </w:rPr>
            </w:pPr>
            <w:r>
              <w:rPr>
                <w:color w:val="231F20"/>
                <w:spacing w:val="-5"/>
                <w:w w:val="95"/>
                <w:sz w:val="14"/>
              </w:rPr>
              <w:t>17</w:t>
            </w:r>
          </w:p>
        </w:tc>
        <w:tc>
          <w:tcPr>
            <w:tcW w:w="1087" w:type="dxa"/>
          </w:tcPr>
          <w:p>
            <w:pPr>
              <w:pStyle w:val="TableParagraph"/>
              <w:ind w:left="93" w:right="60"/>
              <w:rPr>
                <w:sz w:val="14"/>
              </w:rPr>
            </w:pPr>
            <w:r>
              <w:rPr>
                <w:color w:val="231F20"/>
                <w:spacing w:val="-10"/>
                <w:w w:val="95"/>
                <w:sz w:val="14"/>
              </w:rPr>
              <w:t>1</w:t>
            </w:r>
          </w:p>
        </w:tc>
        <w:tc>
          <w:tcPr>
            <w:tcW w:w="1062" w:type="dxa"/>
          </w:tcPr>
          <w:p>
            <w:pPr>
              <w:pStyle w:val="TableParagraph"/>
              <w:ind w:right="403"/>
              <w:jc w:val="right"/>
              <w:rPr>
                <w:sz w:val="14"/>
              </w:rPr>
            </w:pPr>
            <w:r>
              <w:rPr>
                <w:color w:val="231F20"/>
                <w:spacing w:val="-5"/>
                <w:w w:val="95"/>
                <w:sz w:val="14"/>
              </w:rPr>
              <w:t>25</w:t>
            </w:r>
          </w:p>
        </w:tc>
        <w:tc>
          <w:tcPr>
            <w:tcW w:w="1245" w:type="dxa"/>
          </w:tcPr>
          <w:p>
            <w:pPr>
              <w:pStyle w:val="TableParagraph"/>
              <w:ind w:left="65" w:right="8"/>
              <w:rPr>
                <w:sz w:val="14"/>
              </w:rPr>
            </w:pPr>
            <w:r>
              <w:rPr>
                <w:color w:val="231F20"/>
                <w:spacing w:val="-5"/>
                <w:w w:val="95"/>
                <w:sz w:val="14"/>
              </w:rPr>
              <w:t>0.6</w:t>
            </w:r>
          </w:p>
        </w:tc>
        <w:tc>
          <w:tcPr>
            <w:tcW w:w="1195" w:type="dxa"/>
          </w:tcPr>
          <w:p>
            <w:pPr>
              <w:pStyle w:val="TableParagraph"/>
              <w:ind w:left="14" w:right="155"/>
              <w:rPr>
                <w:sz w:val="14"/>
              </w:rPr>
            </w:pPr>
            <w:r>
              <w:rPr>
                <w:color w:val="231F20"/>
                <w:spacing w:val="-5"/>
                <w:w w:val="95"/>
                <w:sz w:val="14"/>
              </w:rPr>
              <w:t>0.7</w:t>
            </w:r>
          </w:p>
        </w:tc>
        <w:tc>
          <w:tcPr>
            <w:tcW w:w="921" w:type="dxa"/>
          </w:tcPr>
          <w:p>
            <w:pPr>
              <w:pStyle w:val="TableParagraph"/>
              <w:ind w:left="18" w:right="26"/>
              <w:rPr>
                <w:sz w:val="14"/>
              </w:rPr>
            </w:pPr>
            <w:r>
              <w:rPr>
                <w:color w:val="231F20"/>
                <w:spacing w:val="-5"/>
                <w:w w:val="95"/>
                <w:sz w:val="14"/>
              </w:rPr>
              <w:t>0.5</w:t>
            </w:r>
          </w:p>
        </w:tc>
        <w:tc>
          <w:tcPr>
            <w:tcW w:w="1249" w:type="dxa"/>
          </w:tcPr>
          <w:p>
            <w:pPr>
              <w:pStyle w:val="TableParagraph"/>
              <w:ind w:left="71" w:right="13"/>
              <w:rPr>
                <w:sz w:val="14"/>
              </w:rPr>
            </w:pPr>
            <w:r>
              <w:rPr>
                <w:color w:val="231F20"/>
                <w:spacing w:val="-5"/>
                <w:w w:val="95"/>
                <w:sz w:val="14"/>
              </w:rPr>
              <w:t>0.7</w:t>
            </w:r>
          </w:p>
        </w:tc>
        <w:tc>
          <w:tcPr>
            <w:tcW w:w="1095" w:type="dxa"/>
          </w:tcPr>
          <w:p>
            <w:pPr>
              <w:pStyle w:val="TableParagraph"/>
              <w:ind w:left="21" w:right="55"/>
              <w:rPr>
                <w:sz w:val="14"/>
              </w:rPr>
            </w:pPr>
            <w:r>
              <w:rPr>
                <w:color w:val="231F20"/>
                <w:spacing w:val="-5"/>
                <w:w w:val="95"/>
                <w:sz w:val="14"/>
              </w:rPr>
              <w:t>0.8</w:t>
            </w:r>
          </w:p>
        </w:tc>
      </w:tr>
      <w:tr>
        <w:trPr>
          <w:trHeight w:val="259" w:hRule="atLeast"/>
        </w:trPr>
        <w:tc>
          <w:tcPr>
            <w:tcW w:w="1427" w:type="dxa"/>
            <w:shd w:val="clear" w:color="auto" w:fill="D4E3F5"/>
          </w:tcPr>
          <w:p>
            <w:pPr>
              <w:pStyle w:val="TableParagraph"/>
              <w:ind w:left="80"/>
              <w:jc w:val="left"/>
              <w:rPr>
                <w:sz w:val="14"/>
              </w:rPr>
            </w:pPr>
            <w:r>
              <w:rPr>
                <w:color w:val="231F20"/>
                <w:spacing w:val="-2"/>
                <w:w w:val="85"/>
                <w:sz w:val="14"/>
              </w:rPr>
              <w:t>Romania</w:t>
            </w:r>
          </w:p>
        </w:tc>
        <w:tc>
          <w:tcPr>
            <w:tcW w:w="1040" w:type="dxa"/>
            <w:shd w:val="clear" w:color="auto" w:fill="D4E3F5"/>
          </w:tcPr>
          <w:p>
            <w:pPr>
              <w:pStyle w:val="TableParagraph"/>
              <w:ind w:right="466"/>
              <w:jc w:val="right"/>
              <w:rPr>
                <w:sz w:val="14"/>
              </w:rPr>
            </w:pPr>
            <w:r>
              <w:rPr>
                <w:color w:val="231F20"/>
                <w:spacing w:val="-5"/>
                <w:w w:val="95"/>
                <w:sz w:val="14"/>
              </w:rPr>
              <w:t>13</w:t>
            </w:r>
          </w:p>
        </w:tc>
        <w:tc>
          <w:tcPr>
            <w:tcW w:w="1087" w:type="dxa"/>
            <w:shd w:val="clear" w:color="auto" w:fill="D4E3F5"/>
          </w:tcPr>
          <w:p>
            <w:pPr>
              <w:pStyle w:val="TableParagraph"/>
              <w:ind w:left="93" w:right="60"/>
              <w:rPr>
                <w:sz w:val="14"/>
              </w:rPr>
            </w:pPr>
            <w:r>
              <w:rPr>
                <w:color w:val="231F20"/>
                <w:spacing w:val="-10"/>
                <w:w w:val="95"/>
                <w:sz w:val="14"/>
              </w:rPr>
              <w:t>1</w:t>
            </w:r>
          </w:p>
        </w:tc>
        <w:tc>
          <w:tcPr>
            <w:tcW w:w="1062" w:type="dxa"/>
            <w:shd w:val="clear" w:color="auto" w:fill="D4E3F5"/>
          </w:tcPr>
          <w:p>
            <w:pPr>
              <w:pStyle w:val="TableParagraph"/>
              <w:ind w:right="402"/>
              <w:jc w:val="right"/>
              <w:rPr>
                <w:sz w:val="14"/>
              </w:rPr>
            </w:pPr>
            <w:r>
              <w:rPr>
                <w:color w:val="231F20"/>
                <w:spacing w:val="-5"/>
                <w:w w:val="95"/>
                <w:sz w:val="14"/>
              </w:rPr>
              <w:t>20</w:t>
            </w:r>
          </w:p>
        </w:tc>
        <w:tc>
          <w:tcPr>
            <w:tcW w:w="1245" w:type="dxa"/>
            <w:shd w:val="clear" w:color="auto" w:fill="D4E3F5"/>
          </w:tcPr>
          <w:p>
            <w:pPr>
              <w:pStyle w:val="TableParagraph"/>
              <w:ind w:left="65" w:right="1"/>
              <w:rPr>
                <w:sz w:val="14"/>
              </w:rPr>
            </w:pPr>
            <w:r>
              <w:rPr>
                <w:color w:val="231F20"/>
                <w:spacing w:val="-5"/>
                <w:w w:val="95"/>
                <w:sz w:val="14"/>
              </w:rPr>
              <w:t>1.5</w:t>
            </w:r>
          </w:p>
        </w:tc>
        <w:tc>
          <w:tcPr>
            <w:tcW w:w="1195" w:type="dxa"/>
            <w:shd w:val="clear" w:color="auto" w:fill="D4E3F5"/>
          </w:tcPr>
          <w:p>
            <w:pPr>
              <w:pStyle w:val="TableParagraph"/>
              <w:ind w:left="19" w:right="155"/>
              <w:rPr>
                <w:sz w:val="14"/>
              </w:rPr>
            </w:pPr>
            <w:r>
              <w:rPr>
                <w:color w:val="231F20"/>
                <w:spacing w:val="-5"/>
                <w:w w:val="95"/>
                <w:sz w:val="14"/>
              </w:rPr>
              <w:t>2.5</w:t>
            </w:r>
          </w:p>
        </w:tc>
        <w:tc>
          <w:tcPr>
            <w:tcW w:w="921" w:type="dxa"/>
            <w:shd w:val="clear" w:color="auto" w:fill="D4E3F5"/>
          </w:tcPr>
          <w:p>
            <w:pPr>
              <w:pStyle w:val="TableParagraph"/>
              <w:ind w:left="24" w:right="26"/>
              <w:rPr>
                <w:sz w:val="14"/>
              </w:rPr>
            </w:pPr>
            <w:r>
              <w:rPr>
                <w:color w:val="231F20"/>
                <w:spacing w:val="-5"/>
                <w:w w:val="95"/>
                <w:sz w:val="14"/>
              </w:rPr>
              <w:t>1.6</w:t>
            </w:r>
          </w:p>
        </w:tc>
        <w:tc>
          <w:tcPr>
            <w:tcW w:w="1249" w:type="dxa"/>
            <w:shd w:val="clear" w:color="auto" w:fill="D4E3F5"/>
          </w:tcPr>
          <w:p>
            <w:pPr>
              <w:pStyle w:val="TableParagraph"/>
              <w:ind w:left="71" w:right="26"/>
              <w:rPr>
                <w:sz w:val="14"/>
              </w:rPr>
            </w:pPr>
            <w:r>
              <w:rPr>
                <w:color w:val="231F20"/>
                <w:spacing w:val="-5"/>
                <w:w w:val="95"/>
                <w:sz w:val="14"/>
              </w:rPr>
              <w:t>2.1</w:t>
            </w:r>
          </w:p>
        </w:tc>
        <w:tc>
          <w:tcPr>
            <w:tcW w:w="1095" w:type="dxa"/>
            <w:shd w:val="clear" w:color="auto" w:fill="D4E3F5"/>
          </w:tcPr>
          <w:p>
            <w:pPr>
              <w:pStyle w:val="TableParagraph"/>
              <w:ind w:left="19" w:right="55"/>
              <w:rPr>
                <w:sz w:val="14"/>
              </w:rPr>
            </w:pPr>
            <w:r>
              <w:rPr>
                <w:color w:val="231F20"/>
                <w:spacing w:val="-5"/>
                <w:w w:val="95"/>
                <w:sz w:val="14"/>
              </w:rPr>
              <w:t>2.4</w:t>
            </w:r>
          </w:p>
        </w:tc>
      </w:tr>
      <w:tr>
        <w:trPr>
          <w:trHeight w:val="259" w:hRule="atLeast"/>
        </w:trPr>
        <w:tc>
          <w:tcPr>
            <w:tcW w:w="1427" w:type="dxa"/>
          </w:tcPr>
          <w:p>
            <w:pPr>
              <w:pStyle w:val="TableParagraph"/>
              <w:ind w:left="80"/>
              <w:jc w:val="left"/>
              <w:rPr>
                <w:sz w:val="14"/>
              </w:rPr>
            </w:pPr>
            <w:r>
              <w:rPr>
                <w:color w:val="231F20"/>
                <w:w w:val="75"/>
                <w:sz w:val="14"/>
              </w:rPr>
              <w:t>Russian</w:t>
            </w:r>
            <w:r>
              <w:rPr>
                <w:color w:val="231F20"/>
                <w:spacing w:val="8"/>
                <w:sz w:val="14"/>
              </w:rPr>
              <w:t> </w:t>
            </w:r>
            <w:r>
              <w:rPr>
                <w:color w:val="231F20"/>
                <w:spacing w:val="-2"/>
                <w:w w:val="90"/>
                <w:sz w:val="14"/>
              </w:rPr>
              <w:t>Federation</w:t>
            </w:r>
          </w:p>
        </w:tc>
        <w:tc>
          <w:tcPr>
            <w:tcW w:w="1040" w:type="dxa"/>
          </w:tcPr>
          <w:p>
            <w:pPr>
              <w:pStyle w:val="TableParagraph"/>
              <w:ind w:right="455"/>
              <w:jc w:val="right"/>
              <w:rPr>
                <w:sz w:val="14"/>
              </w:rPr>
            </w:pPr>
            <w:r>
              <w:rPr>
                <w:color w:val="231F20"/>
                <w:spacing w:val="-5"/>
                <w:w w:val="95"/>
                <w:sz w:val="14"/>
              </w:rPr>
              <w:t>45</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0"/>
              <w:jc w:val="right"/>
              <w:rPr>
                <w:sz w:val="14"/>
              </w:rPr>
            </w:pPr>
            <w:r>
              <w:rPr>
                <w:color w:val="231F20"/>
                <w:spacing w:val="-5"/>
                <w:w w:val="95"/>
                <w:sz w:val="14"/>
              </w:rPr>
              <w:t>34</w:t>
            </w:r>
          </w:p>
        </w:tc>
        <w:tc>
          <w:tcPr>
            <w:tcW w:w="1245" w:type="dxa"/>
          </w:tcPr>
          <w:p>
            <w:pPr>
              <w:pStyle w:val="TableParagraph"/>
              <w:ind w:left="65" w:right="1"/>
              <w:rPr>
                <w:sz w:val="14"/>
              </w:rPr>
            </w:pPr>
            <w:r>
              <w:rPr>
                <w:color w:val="231F20"/>
                <w:spacing w:val="-5"/>
                <w:w w:val="95"/>
                <w:sz w:val="14"/>
              </w:rPr>
              <w:t>1.8</w:t>
            </w:r>
          </w:p>
        </w:tc>
        <w:tc>
          <w:tcPr>
            <w:tcW w:w="1195" w:type="dxa"/>
          </w:tcPr>
          <w:p>
            <w:pPr>
              <w:pStyle w:val="TableParagraph"/>
              <w:ind w:left="20" w:right="155"/>
              <w:rPr>
                <w:sz w:val="14"/>
              </w:rPr>
            </w:pPr>
            <w:r>
              <w:rPr>
                <w:color w:val="231F20"/>
                <w:spacing w:val="-5"/>
                <w:w w:val="95"/>
                <w:sz w:val="14"/>
              </w:rPr>
              <w:t>2.2</w:t>
            </w:r>
          </w:p>
        </w:tc>
        <w:tc>
          <w:tcPr>
            <w:tcW w:w="921" w:type="dxa"/>
          </w:tcPr>
          <w:p>
            <w:pPr>
              <w:pStyle w:val="TableParagraph"/>
              <w:ind w:left="25" w:right="26"/>
              <w:rPr>
                <w:sz w:val="14"/>
              </w:rPr>
            </w:pPr>
            <w:r>
              <w:rPr>
                <w:color w:val="231F20"/>
                <w:spacing w:val="-5"/>
                <w:w w:val="95"/>
                <w:sz w:val="14"/>
              </w:rPr>
              <w:t>1.5</w:t>
            </w:r>
          </w:p>
        </w:tc>
        <w:tc>
          <w:tcPr>
            <w:tcW w:w="1249" w:type="dxa"/>
          </w:tcPr>
          <w:p>
            <w:pPr>
              <w:pStyle w:val="TableParagraph"/>
              <w:ind w:left="71" w:right="2"/>
              <w:rPr>
                <w:sz w:val="14"/>
              </w:rPr>
            </w:pPr>
            <w:r>
              <w:rPr>
                <w:color w:val="231F20"/>
                <w:spacing w:val="-5"/>
                <w:w w:val="95"/>
                <w:sz w:val="14"/>
              </w:rPr>
              <w:t>1.9</w:t>
            </w:r>
          </w:p>
        </w:tc>
        <w:tc>
          <w:tcPr>
            <w:tcW w:w="1095" w:type="dxa"/>
          </w:tcPr>
          <w:p>
            <w:pPr>
              <w:pStyle w:val="TableParagraph"/>
              <w:ind w:left="21" w:right="55"/>
              <w:rPr>
                <w:sz w:val="14"/>
              </w:rPr>
            </w:pPr>
            <w:r>
              <w:rPr>
                <w:color w:val="231F20"/>
                <w:spacing w:val="-5"/>
                <w:w w:val="95"/>
                <w:sz w:val="14"/>
              </w:rPr>
              <w:t>2.3</w:t>
            </w:r>
          </w:p>
        </w:tc>
      </w:tr>
      <w:tr>
        <w:trPr>
          <w:trHeight w:val="254" w:hRule="atLeast"/>
        </w:trPr>
        <w:tc>
          <w:tcPr>
            <w:tcW w:w="1427" w:type="dxa"/>
            <w:tcBorders>
              <w:bottom w:val="single" w:sz="4" w:space="0" w:color="008FDD"/>
            </w:tcBorders>
            <w:shd w:val="clear" w:color="auto" w:fill="D4E3F5"/>
          </w:tcPr>
          <w:p>
            <w:pPr>
              <w:pStyle w:val="TableParagraph"/>
              <w:ind w:left="80"/>
              <w:jc w:val="left"/>
              <w:rPr>
                <w:sz w:val="14"/>
              </w:rPr>
            </w:pPr>
            <w:r>
              <w:rPr>
                <w:color w:val="231F20"/>
                <w:w w:val="75"/>
                <w:sz w:val="14"/>
              </w:rPr>
              <w:t>Saudi</w:t>
            </w:r>
            <w:r>
              <w:rPr>
                <w:color w:val="231F20"/>
                <w:spacing w:val="6"/>
                <w:sz w:val="14"/>
              </w:rPr>
              <w:t> </w:t>
            </w:r>
            <w:r>
              <w:rPr>
                <w:color w:val="231F20"/>
                <w:spacing w:val="-2"/>
                <w:w w:val="90"/>
                <w:sz w:val="14"/>
              </w:rPr>
              <w:t>Arabia</w:t>
            </w:r>
          </w:p>
        </w:tc>
        <w:tc>
          <w:tcPr>
            <w:tcW w:w="1040" w:type="dxa"/>
            <w:tcBorders>
              <w:bottom w:val="single" w:sz="4" w:space="0" w:color="008FDD"/>
            </w:tcBorders>
            <w:shd w:val="clear" w:color="auto" w:fill="D4E3F5"/>
          </w:tcPr>
          <w:p>
            <w:pPr>
              <w:pStyle w:val="TableParagraph"/>
              <w:ind w:right="456"/>
              <w:jc w:val="right"/>
              <w:rPr>
                <w:sz w:val="14"/>
              </w:rPr>
            </w:pPr>
            <w:r>
              <w:rPr>
                <w:color w:val="231F20"/>
                <w:spacing w:val="-5"/>
                <w:w w:val="95"/>
                <w:sz w:val="14"/>
              </w:rPr>
              <w:t>63</w:t>
            </w:r>
          </w:p>
        </w:tc>
        <w:tc>
          <w:tcPr>
            <w:tcW w:w="1087" w:type="dxa"/>
            <w:tcBorders>
              <w:bottom w:val="single" w:sz="4" w:space="0" w:color="008FDD"/>
            </w:tcBorders>
            <w:shd w:val="clear" w:color="auto" w:fill="D4E3F5"/>
          </w:tcPr>
          <w:p>
            <w:pPr>
              <w:pStyle w:val="TableParagraph"/>
              <w:ind w:left="93" w:right="60"/>
              <w:rPr>
                <w:sz w:val="14"/>
              </w:rPr>
            </w:pPr>
            <w:r>
              <w:rPr>
                <w:color w:val="231F20"/>
                <w:spacing w:val="-10"/>
                <w:w w:val="95"/>
                <w:sz w:val="14"/>
              </w:rPr>
              <w:t>3</w:t>
            </w:r>
          </w:p>
        </w:tc>
        <w:tc>
          <w:tcPr>
            <w:tcW w:w="1062" w:type="dxa"/>
            <w:tcBorders>
              <w:bottom w:val="single" w:sz="4" w:space="0" w:color="008FDD"/>
            </w:tcBorders>
            <w:shd w:val="clear" w:color="auto" w:fill="D4E3F5"/>
          </w:tcPr>
          <w:p>
            <w:pPr>
              <w:pStyle w:val="TableParagraph"/>
              <w:ind w:right="402"/>
              <w:jc w:val="right"/>
              <w:rPr>
                <w:sz w:val="14"/>
              </w:rPr>
            </w:pPr>
            <w:r>
              <w:rPr>
                <w:color w:val="231F20"/>
                <w:spacing w:val="-5"/>
                <w:w w:val="95"/>
                <w:sz w:val="14"/>
              </w:rPr>
              <w:t>49</w:t>
            </w:r>
          </w:p>
        </w:tc>
        <w:tc>
          <w:tcPr>
            <w:tcW w:w="1245" w:type="dxa"/>
            <w:tcBorders>
              <w:bottom w:val="single" w:sz="4" w:space="0" w:color="008FDD"/>
            </w:tcBorders>
            <w:shd w:val="clear" w:color="auto" w:fill="D4E3F5"/>
          </w:tcPr>
          <w:p>
            <w:pPr>
              <w:pStyle w:val="TableParagraph"/>
              <w:ind w:left="65" w:right="8"/>
              <w:rPr>
                <w:sz w:val="14"/>
              </w:rPr>
            </w:pPr>
            <w:r>
              <w:rPr>
                <w:color w:val="231F20"/>
                <w:spacing w:val="-5"/>
                <w:w w:val="95"/>
                <w:sz w:val="14"/>
              </w:rPr>
              <w:t>0.8</w:t>
            </w:r>
          </w:p>
        </w:tc>
        <w:tc>
          <w:tcPr>
            <w:tcW w:w="1195" w:type="dxa"/>
            <w:tcBorders>
              <w:bottom w:val="single" w:sz="4" w:space="0" w:color="008FDD"/>
            </w:tcBorders>
            <w:shd w:val="clear" w:color="auto" w:fill="D4E3F5"/>
          </w:tcPr>
          <w:p>
            <w:pPr>
              <w:pStyle w:val="TableParagraph"/>
              <w:ind w:left="7" w:right="155"/>
              <w:rPr>
                <w:sz w:val="14"/>
              </w:rPr>
            </w:pPr>
            <w:r>
              <w:rPr>
                <w:color w:val="231F20"/>
                <w:spacing w:val="-5"/>
                <w:w w:val="95"/>
                <w:sz w:val="14"/>
              </w:rPr>
              <w:t>1.1</w:t>
            </w:r>
          </w:p>
        </w:tc>
        <w:tc>
          <w:tcPr>
            <w:tcW w:w="921" w:type="dxa"/>
            <w:tcBorders>
              <w:bottom w:val="single" w:sz="4" w:space="0" w:color="008FDD"/>
            </w:tcBorders>
            <w:shd w:val="clear" w:color="auto" w:fill="D4E3F5"/>
          </w:tcPr>
          <w:p>
            <w:pPr>
              <w:pStyle w:val="TableParagraph"/>
              <w:ind w:left="18" w:right="26"/>
              <w:rPr>
                <w:sz w:val="14"/>
              </w:rPr>
            </w:pPr>
            <w:r>
              <w:rPr>
                <w:color w:val="231F20"/>
                <w:spacing w:val="-5"/>
                <w:w w:val="95"/>
                <w:sz w:val="14"/>
              </w:rPr>
              <w:t>0.6</w:t>
            </w:r>
          </w:p>
        </w:tc>
        <w:tc>
          <w:tcPr>
            <w:tcW w:w="1249" w:type="dxa"/>
            <w:tcBorders>
              <w:bottom w:val="single" w:sz="4" w:space="0" w:color="008FDD"/>
            </w:tcBorders>
            <w:shd w:val="clear" w:color="auto" w:fill="D4E3F5"/>
          </w:tcPr>
          <w:p>
            <w:pPr>
              <w:pStyle w:val="TableParagraph"/>
              <w:ind w:left="71" w:right="8"/>
              <w:rPr>
                <w:sz w:val="14"/>
              </w:rPr>
            </w:pPr>
            <w:r>
              <w:rPr>
                <w:color w:val="231F20"/>
                <w:spacing w:val="-5"/>
                <w:w w:val="95"/>
                <w:sz w:val="14"/>
              </w:rPr>
              <w:t>0.9</w:t>
            </w:r>
          </w:p>
        </w:tc>
        <w:tc>
          <w:tcPr>
            <w:tcW w:w="1095" w:type="dxa"/>
            <w:tcBorders>
              <w:bottom w:val="single" w:sz="4" w:space="0" w:color="008FDD"/>
            </w:tcBorders>
            <w:shd w:val="clear" w:color="auto" w:fill="D4E3F5"/>
          </w:tcPr>
          <w:p>
            <w:pPr>
              <w:pStyle w:val="TableParagraph"/>
              <w:ind w:left="9" w:right="55"/>
              <w:rPr>
                <w:sz w:val="14"/>
              </w:rPr>
            </w:pPr>
            <w:r>
              <w:rPr>
                <w:color w:val="231F20"/>
                <w:spacing w:val="-5"/>
                <w:w w:val="95"/>
                <w:sz w:val="14"/>
              </w:rPr>
              <w:t>1.1</w:t>
            </w:r>
          </w:p>
        </w:tc>
      </w:tr>
    </w:tbl>
    <w:p>
      <w:pPr>
        <w:spacing w:after="0"/>
        <w:rPr>
          <w:sz w:val="14"/>
        </w:rPr>
        <w:sectPr>
          <w:headerReference w:type="default" r:id="rId118"/>
          <w:headerReference w:type="even" r:id="rId119"/>
          <w:footerReference w:type="default" r:id="rId120"/>
          <w:footerReference w:type="even" r:id="rId121"/>
          <w:pgSz w:w="12240" w:h="15840"/>
          <w:pgMar w:header="370" w:footer="548" w:top="560" w:bottom="740" w:left="0" w:right="540"/>
          <w:pgNumType w:start="37"/>
        </w:sectPr>
      </w:pPr>
    </w:p>
    <w:p>
      <w:pPr>
        <w:pStyle w:val="BodyText"/>
        <w:rPr>
          <w:rFonts w:ascii="Arial"/>
          <w:b/>
          <w:sz w:val="20"/>
        </w:rPr>
      </w:pPr>
    </w:p>
    <w:p>
      <w:pPr>
        <w:pStyle w:val="BodyText"/>
        <w:rPr>
          <w:rFonts w:ascii="Arial"/>
          <w:b/>
          <w:sz w:val="20"/>
        </w:rPr>
      </w:pPr>
    </w:p>
    <w:p>
      <w:pPr>
        <w:pStyle w:val="BodyText"/>
        <w:spacing w:before="101" w:after="1"/>
        <w:rPr>
          <w:rFonts w:ascii="Arial"/>
          <w:b/>
          <w:sz w:val="20"/>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0"/>
        <w:gridCol w:w="1087"/>
        <w:gridCol w:w="1087"/>
        <w:gridCol w:w="1062"/>
        <w:gridCol w:w="1245"/>
        <w:gridCol w:w="1195"/>
        <w:gridCol w:w="921"/>
        <w:gridCol w:w="1249"/>
        <w:gridCol w:w="1095"/>
      </w:tblGrid>
      <w:tr>
        <w:trPr>
          <w:trHeight w:val="393" w:hRule="atLeast"/>
        </w:trPr>
        <w:tc>
          <w:tcPr>
            <w:tcW w:w="1380" w:type="dxa"/>
          </w:tcPr>
          <w:p>
            <w:pPr>
              <w:pStyle w:val="TableParagraph"/>
              <w:spacing w:before="0"/>
              <w:jc w:val="left"/>
              <w:rPr>
                <w:rFonts w:ascii="Times New Roman"/>
                <w:sz w:val="12"/>
              </w:rPr>
            </w:pPr>
          </w:p>
        </w:tc>
        <w:tc>
          <w:tcPr>
            <w:tcW w:w="1087" w:type="dxa"/>
            <w:vMerge w:val="restart"/>
            <w:tcBorders>
              <w:bottom w:val="single" w:sz="4" w:space="0" w:color="008FDD"/>
            </w:tcBorders>
          </w:tcPr>
          <w:p>
            <w:pPr>
              <w:pStyle w:val="TableParagraph"/>
              <w:spacing w:before="102"/>
              <w:jc w:val="left"/>
              <w:rPr>
                <w:b/>
                <w:sz w:val="14"/>
              </w:rPr>
            </w:pPr>
          </w:p>
          <w:p>
            <w:pPr>
              <w:pStyle w:val="TableParagraph"/>
              <w:spacing w:before="0"/>
              <w:ind w:left="283" w:hanging="57"/>
              <w:jc w:val="left"/>
              <w:rPr>
                <w:b/>
                <w:sz w:val="14"/>
              </w:rPr>
            </w:pPr>
            <w:r>
              <w:rPr>
                <w:b/>
                <w:color w:val="231F20"/>
                <w:spacing w:val="-2"/>
                <w:w w:val="85"/>
                <w:sz w:val="14"/>
              </w:rPr>
              <w:t>Number</w:t>
            </w:r>
            <w:r>
              <w:rPr>
                <w:b/>
                <w:color w:val="231F20"/>
                <w:spacing w:val="-8"/>
                <w:sz w:val="14"/>
              </w:rPr>
              <w:t> </w:t>
            </w:r>
            <w:r>
              <w:rPr>
                <w:b/>
                <w:color w:val="231F20"/>
                <w:spacing w:val="-2"/>
                <w:w w:val="85"/>
                <w:sz w:val="14"/>
              </w:rPr>
              <w:t>of</w:t>
            </w:r>
            <w:r>
              <w:rPr>
                <w:b/>
                <w:color w:val="231F20"/>
                <w:spacing w:val="40"/>
                <w:sz w:val="14"/>
              </w:rPr>
              <w:t> </w:t>
            </w:r>
            <w:r>
              <w:rPr>
                <w:b/>
                <w:color w:val="231F20"/>
                <w:spacing w:val="-2"/>
                <w:w w:val="90"/>
                <w:sz w:val="14"/>
              </w:rPr>
              <w:t>services</w:t>
            </w:r>
          </w:p>
        </w:tc>
        <w:tc>
          <w:tcPr>
            <w:tcW w:w="1087" w:type="dxa"/>
            <w:vMerge w:val="restart"/>
            <w:tcBorders>
              <w:bottom w:val="single" w:sz="4" w:space="0" w:color="008FDD"/>
            </w:tcBorders>
          </w:tcPr>
          <w:p>
            <w:pPr>
              <w:pStyle w:val="TableParagraph"/>
              <w:spacing w:before="102"/>
              <w:jc w:val="left"/>
              <w:rPr>
                <w:b/>
                <w:sz w:val="14"/>
              </w:rPr>
            </w:pPr>
          </w:p>
          <w:p>
            <w:pPr>
              <w:pStyle w:val="TableParagraph"/>
              <w:spacing w:before="0"/>
              <w:ind w:left="302" w:hanging="41"/>
              <w:jc w:val="left"/>
              <w:rPr>
                <w:b/>
                <w:sz w:val="14"/>
              </w:rPr>
            </w:pPr>
            <w:r>
              <w:rPr>
                <w:b/>
                <w:color w:val="231F20"/>
                <w:spacing w:val="-2"/>
                <w:w w:val="85"/>
                <w:sz w:val="14"/>
              </w:rPr>
              <w:t>Number</w:t>
            </w:r>
            <w:r>
              <w:rPr>
                <w:b/>
                <w:color w:val="231F20"/>
                <w:spacing w:val="-8"/>
                <w:sz w:val="14"/>
              </w:rPr>
              <w:t> </w:t>
            </w:r>
            <w:r>
              <w:rPr>
                <w:b/>
                <w:color w:val="231F20"/>
                <w:spacing w:val="-2"/>
                <w:w w:val="85"/>
                <w:sz w:val="14"/>
              </w:rPr>
              <w:t>of</w:t>
            </w:r>
            <w:r>
              <w:rPr>
                <w:b/>
                <w:color w:val="231F20"/>
                <w:spacing w:val="40"/>
                <w:sz w:val="14"/>
              </w:rPr>
              <w:t> </w:t>
            </w:r>
            <w:r>
              <w:rPr>
                <w:b/>
                <w:color w:val="231F20"/>
                <w:spacing w:val="-2"/>
                <w:w w:val="90"/>
                <w:sz w:val="14"/>
              </w:rPr>
              <w:t>alliances</w:t>
            </w:r>
          </w:p>
        </w:tc>
        <w:tc>
          <w:tcPr>
            <w:tcW w:w="1062" w:type="dxa"/>
            <w:vMerge w:val="restart"/>
            <w:tcBorders>
              <w:bottom w:val="single" w:sz="4" w:space="0" w:color="008FDD"/>
            </w:tcBorders>
          </w:tcPr>
          <w:p>
            <w:pPr>
              <w:pStyle w:val="TableParagraph"/>
              <w:spacing w:before="103"/>
              <w:ind w:left="225" w:right="90" w:firstLine="70"/>
              <w:jc w:val="left"/>
              <w:rPr>
                <w:b/>
                <w:sz w:val="14"/>
              </w:rPr>
            </w:pPr>
            <w:r>
              <w:rPr>
                <w:b/>
                <w:color w:val="231F20"/>
                <w:w w:val="95"/>
                <w:sz w:val="14"/>
              </w:rPr>
              <w:t>Number</w:t>
            </w:r>
            <w:r>
              <w:rPr>
                <w:b/>
                <w:color w:val="231F20"/>
                <w:spacing w:val="-8"/>
                <w:w w:val="95"/>
                <w:sz w:val="14"/>
              </w:rPr>
              <w:t> </w:t>
            </w:r>
            <w:r>
              <w:rPr>
                <w:b/>
                <w:color w:val="231F20"/>
                <w:w w:val="95"/>
                <w:sz w:val="14"/>
              </w:rPr>
              <w:t>of</w:t>
            </w:r>
            <w:r>
              <w:rPr>
                <w:b/>
                <w:color w:val="231F20"/>
                <w:spacing w:val="40"/>
                <w:sz w:val="14"/>
              </w:rPr>
              <w:t> </w:t>
            </w:r>
            <w:r>
              <w:rPr>
                <w:b/>
                <w:color w:val="231F20"/>
                <w:spacing w:val="-2"/>
                <w:w w:val="85"/>
                <w:sz w:val="14"/>
              </w:rPr>
              <w:t>international</w:t>
            </w:r>
            <w:r>
              <w:rPr>
                <w:b/>
                <w:color w:val="231F20"/>
                <w:spacing w:val="40"/>
                <w:sz w:val="14"/>
              </w:rPr>
              <w:t> </w:t>
            </w:r>
            <w:r>
              <w:rPr>
                <w:b/>
                <w:color w:val="231F20"/>
                <w:spacing w:val="-2"/>
                <w:w w:val="85"/>
                <w:sz w:val="14"/>
              </w:rPr>
              <w:t>connections</w:t>
            </w:r>
          </w:p>
        </w:tc>
        <w:tc>
          <w:tcPr>
            <w:tcW w:w="2440" w:type="dxa"/>
            <w:gridSpan w:val="2"/>
          </w:tcPr>
          <w:p>
            <w:pPr>
              <w:pStyle w:val="TableParagraph"/>
              <w:spacing w:before="2"/>
              <w:jc w:val="left"/>
              <w:rPr>
                <w:b/>
                <w:sz w:val="14"/>
              </w:rPr>
            </w:pPr>
          </w:p>
          <w:p>
            <w:pPr>
              <w:pStyle w:val="TableParagraph"/>
              <w:spacing w:line="130" w:lineRule="exact" w:before="0"/>
              <w:ind w:right="7"/>
              <w:rPr>
                <w:b/>
                <w:sz w:val="14"/>
              </w:rPr>
            </w:pPr>
            <w:r>
              <w:rPr>
                <w:b/>
                <w:color w:val="231F20"/>
                <w:w w:val="80"/>
                <w:sz w:val="14"/>
              </w:rPr>
              <w:t>Turnaround</w:t>
            </w:r>
            <w:r>
              <w:rPr>
                <w:b/>
                <w:color w:val="231F20"/>
                <w:spacing w:val="11"/>
                <w:sz w:val="14"/>
              </w:rPr>
              <w:t> </w:t>
            </w:r>
            <w:r>
              <w:rPr>
                <w:b/>
                <w:color w:val="231F20"/>
                <w:w w:val="80"/>
                <w:sz w:val="14"/>
              </w:rPr>
              <w:t>time</w:t>
            </w:r>
            <w:r>
              <w:rPr>
                <w:b/>
                <w:color w:val="231F20"/>
                <w:spacing w:val="12"/>
                <w:sz w:val="14"/>
              </w:rPr>
              <w:t> </w:t>
            </w:r>
            <w:r>
              <w:rPr>
                <w:b/>
                <w:color w:val="231F20"/>
                <w:w w:val="80"/>
                <w:sz w:val="14"/>
              </w:rPr>
              <w:t>at</w:t>
            </w:r>
            <w:r>
              <w:rPr>
                <w:b/>
                <w:color w:val="231F20"/>
                <w:spacing w:val="11"/>
                <w:sz w:val="14"/>
              </w:rPr>
              <w:t> </w:t>
            </w:r>
            <w:r>
              <w:rPr>
                <w:b/>
                <w:color w:val="231F20"/>
                <w:w w:val="80"/>
                <w:sz w:val="14"/>
              </w:rPr>
              <w:t>port</w:t>
            </w:r>
            <w:r>
              <w:rPr>
                <w:b/>
                <w:color w:val="231F20"/>
                <w:spacing w:val="12"/>
                <w:sz w:val="14"/>
              </w:rPr>
              <w:t> </w:t>
            </w:r>
            <w:r>
              <w:rPr>
                <w:b/>
                <w:color w:val="231F20"/>
                <w:spacing w:val="-2"/>
                <w:w w:val="80"/>
                <w:sz w:val="14"/>
              </w:rPr>
              <w:t>(days)</w:t>
            </w:r>
          </w:p>
          <w:p>
            <w:pPr>
              <w:pStyle w:val="TableParagraph"/>
              <w:tabs>
                <w:tab w:pos="2243" w:val="left" w:leader="none"/>
              </w:tabs>
              <w:spacing w:line="80" w:lineRule="exact" w:before="0"/>
              <w:ind w:right="7"/>
              <w:rPr>
                <w:b/>
                <w:sz w:val="14"/>
              </w:rPr>
            </w:pPr>
            <w:r>
              <w:rPr>
                <w:b/>
                <w:color w:val="231F20"/>
                <w:w w:val="86"/>
                <w:sz w:val="14"/>
                <w:u w:val="single" w:color="008FDD"/>
              </w:rPr>
              <w:t> </w:t>
            </w:r>
            <w:r>
              <w:rPr>
                <w:b/>
                <w:color w:val="231F20"/>
                <w:sz w:val="14"/>
                <w:u w:val="single" w:color="008FDD"/>
              </w:rPr>
              <w:tab/>
            </w:r>
          </w:p>
        </w:tc>
        <w:tc>
          <w:tcPr>
            <w:tcW w:w="921" w:type="dxa"/>
            <w:vMerge w:val="restart"/>
            <w:tcBorders>
              <w:bottom w:val="single" w:sz="4" w:space="0" w:color="008FDD"/>
            </w:tcBorders>
          </w:tcPr>
          <w:p>
            <w:pPr>
              <w:pStyle w:val="TableParagraph"/>
              <w:spacing w:before="102"/>
              <w:jc w:val="left"/>
              <w:rPr>
                <w:b/>
                <w:sz w:val="14"/>
              </w:rPr>
            </w:pPr>
          </w:p>
          <w:p>
            <w:pPr>
              <w:pStyle w:val="TableParagraph"/>
              <w:spacing w:before="0"/>
              <w:ind w:left="294" w:hanging="197"/>
              <w:jc w:val="left"/>
              <w:rPr>
                <w:b/>
                <w:sz w:val="14"/>
              </w:rPr>
            </w:pPr>
            <w:r>
              <w:rPr>
                <w:b/>
                <w:color w:val="231F20"/>
                <w:spacing w:val="-2"/>
                <w:w w:val="85"/>
                <w:sz w:val="14"/>
              </w:rPr>
              <w:t>Interquartile</w:t>
            </w:r>
            <w:r>
              <w:rPr>
                <w:b/>
                <w:color w:val="231F20"/>
                <w:spacing w:val="40"/>
                <w:sz w:val="14"/>
              </w:rPr>
              <w:t> </w:t>
            </w:r>
            <w:r>
              <w:rPr>
                <w:b/>
                <w:color w:val="231F20"/>
                <w:spacing w:val="-4"/>
                <w:w w:val="95"/>
                <w:sz w:val="14"/>
              </w:rPr>
              <w:t>range</w:t>
            </w:r>
          </w:p>
        </w:tc>
        <w:tc>
          <w:tcPr>
            <w:tcW w:w="2344" w:type="dxa"/>
            <w:gridSpan w:val="2"/>
          </w:tcPr>
          <w:p>
            <w:pPr>
              <w:pStyle w:val="TableParagraph"/>
              <w:spacing w:line="160" w:lineRule="exact" w:before="3"/>
              <w:ind w:left="98"/>
              <w:rPr>
                <w:b/>
                <w:sz w:val="14"/>
              </w:rPr>
            </w:pPr>
            <w:r>
              <w:rPr>
                <w:b/>
                <w:color w:val="231F20"/>
                <w:w w:val="80"/>
                <w:sz w:val="14"/>
              </w:rPr>
              <w:t>Weighted</w:t>
            </w:r>
            <w:r>
              <w:rPr>
                <w:b/>
                <w:color w:val="231F20"/>
                <w:spacing w:val="23"/>
                <w:sz w:val="14"/>
              </w:rPr>
              <w:t> </w:t>
            </w:r>
            <w:r>
              <w:rPr>
                <w:b/>
                <w:color w:val="231F20"/>
                <w:w w:val="80"/>
                <w:sz w:val="14"/>
              </w:rPr>
              <w:t>by</w:t>
            </w:r>
            <w:r>
              <w:rPr>
                <w:b/>
                <w:color w:val="231F20"/>
                <w:spacing w:val="24"/>
                <w:sz w:val="14"/>
              </w:rPr>
              <w:t> </w:t>
            </w:r>
            <w:r>
              <w:rPr>
                <w:b/>
                <w:color w:val="231F20"/>
                <w:w w:val="80"/>
                <w:sz w:val="14"/>
              </w:rPr>
              <w:t>ship’s</w:t>
            </w:r>
            <w:r>
              <w:rPr>
                <w:b/>
                <w:color w:val="231F20"/>
                <w:spacing w:val="24"/>
                <w:sz w:val="14"/>
              </w:rPr>
              <w:t> </w:t>
            </w:r>
            <w:r>
              <w:rPr>
                <w:b/>
                <w:color w:val="231F20"/>
                <w:w w:val="80"/>
                <w:sz w:val="14"/>
              </w:rPr>
              <w:t>twenty-</w:t>
            </w:r>
            <w:r>
              <w:rPr>
                <w:b/>
                <w:color w:val="231F20"/>
                <w:spacing w:val="-4"/>
                <w:w w:val="80"/>
                <w:sz w:val="14"/>
              </w:rPr>
              <w:t>foot</w:t>
            </w:r>
          </w:p>
          <w:p>
            <w:pPr>
              <w:pStyle w:val="TableParagraph"/>
              <w:tabs>
                <w:tab w:pos="529" w:val="left" w:leader="none"/>
                <w:tab w:pos="2341" w:val="left" w:leader="none"/>
              </w:tabs>
              <w:spacing w:line="160" w:lineRule="exact" w:before="0"/>
              <w:ind w:left="97"/>
              <w:rPr>
                <w:b/>
                <w:sz w:val="14"/>
              </w:rPr>
            </w:pPr>
            <w:r>
              <w:rPr>
                <w:b/>
                <w:color w:val="231F20"/>
                <w:sz w:val="14"/>
                <w:u w:val="single" w:color="008FDD"/>
              </w:rPr>
              <w:tab/>
            </w:r>
            <w:r>
              <w:rPr>
                <w:b/>
                <w:color w:val="231F20"/>
                <w:w w:val="80"/>
                <w:sz w:val="14"/>
                <w:u w:val="single" w:color="008FDD"/>
              </w:rPr>
              <w:t>equivalent</w:t>
            </w:r>
            <w:r>
              <w:rPr>
                <w:b/>
                <w:color w:val="231F20"/>
                <w:spacing w:val="18"/>
                <w:sz w:val="14"/>
                <w:u w:val="single" w:color="008FDD"/>
              </w:rPr>
              <w:t> </w:t>
            </w:r>
            <w:r>
              <w:rPr>
                <w:b/>
                <w:color w:val="231F20"/>
                <w:w w:val="80"/>
                <w:sz w:val="14"/>
                <w:u w:val="single" w:color="008FDD"/>
              </w:rPr>
              <w:t>unit</w:t>
            </w:r>
            <w:r>
              <w:rPr>
                <w:b/>
                <w:color w:val="231F20"/>
                <w:spacing w:val="19"/>
                <w:sz w:val="14"/>
                <w:u w:val="single" w:color="008FDD"/>
              </w:rPr>
              <w:t> </w:t>
            </w:r>
            <w:r>
              <w:rPr>
                <w:b/>
                <w:color w:val="231F20"/>
                <w:spacing w:val="-2"/>
                <w:w w:val="80"/>
                <w:sz w:val="14"/>
                <w:u w:val="single" w:color="008FDD"/>
              </w:rPr>
              <w:t>capacity</w:t>
            </w:r>
            <w:r>
              <w:rPr>
                <w:b/>
                <w:color w:val="231F20"/>
                <w:sz w:val="14"/>
                <w:u w:val="single" w:color="008FDD"/>
              </w:rPr>
              <w:tab/>
            </w:r>
          </w:p>
        </w:tc>
      </w:tr>
      <w:tr>
        <w:trPr>
          <w:trHeight w:val="225" w:hRule="atLeast"/>
        </w:trPr>
        <w:tc>
          <w:tcPr>
            <w:tcW w:w="1380" w:type="dxa"/>
            <w:tcBorders>
              <w:bottom w:val="single" w:sz="4" w:space="0" w:color="008FDD"/>
            </w:tcBorders>
          </w:tcPr>
          <w:p>
            <w:pPr>
              <w:pStyle w:val="TableParagraph"/>
              <w:spacing w:before="19"/>
              <w:ind w:left="80"/>
              <w:jc w:val="left"/>
              <w:rPr>
                <w:b/>
                <w:sz w:val="14"/>
              </w:rPr>
            </w:pPr>
            <w:r>
              <w:rPr>
                <w:b/>
                <w:color w:val="231F20"/>
                <w:spacing w:val="-2"/>
                <w:w w:val="90"/>
                <w:sz w:val="14"/>
              </w:rPr>
              <w:t>Economy</w:t>
            </w:r>
          </w:p>
        </w:tc>
        <w:tc>
          <w:tcPr>
            <w:tcW w:w="1087" w:type="dxa"/>
            <w:vMerge/>
            <w:tcBorders>
              <w:top w:val="nil"/>
              <w:bottom w:val="single" w:sz="4" w:space="0" w:color="008FDD"/>
            </w:tcBorders>
          </w:tcPr>
          <w:p>
            <w:pPr>
              <w:rPr>
                <w:sz w:val="2"/>
                <w:szCs w:val="2"/>
              </w:rPr>
            </w:pPr>
          </w:p>
        </w:tc>
        <w:tc>
          <w:tcPr>
            <w:tcW w:w="1087" w:type="dxa"/>
            <w:vMerge/>
            <w:tcBorders>
              <w:top w:val="nil"/>
              <w:bottom w:val="single" w:sz="4" w:space="0" w:color="008FDD"/>
            </w:tcBorders>
          </w:tcPr>
          <w:p>
            <w:pPr>
              <w:rPr>
                <w:sz w:val="2"/>
                <w:szCs w:val="2"/>
              </w:rPr>
            </w:pPr>
          </w:p>
        </w:tc>
        <w:tc>
          <w:tcPr>
            <w:tcW w:w="1062" w:type="dxa"/>
            <w:vMerge/>
            <w:tcBorders>
              <w:top w:val="nil"/>
              <w:bottom w:val="single" w:sz="4" w:space="0" w:color="008FDD"/>
            </w:tcBorders>
          </w:tcPr>
          <w:p>
            <w:pPr>
              <w:rPr>
                <w:sz w:val="2"/>
                <w:szCs w:val="2"/>
              </w:rPr>
            </w:pPr>
          </w:p>
        </w:tc>
        <w:tc>
          <w:tcPr>
            <w:tcW w:w="1245" w:type="dxa"/>
            <w:tcBorders>
              <w:bottom w:val="single" w:sz="4" w:space="0" w:color="008FDD"/>
            </w:tcBorders>
          </w:tcPr>
          <w:p>
            <w:pPr>
              <w:pStyle w:val="TableParagraph"/>
              <w:spacing w:before="19"/>
              <w:ind w:left="65"/>
              <w:rPr>
                <w:b/>
                <w:sz w:val="14"/>
              </w:rPr>
            </w:pPr>
            <w:r>
              <w:rPr>
                <w:b/>
                <w:color w:val="231F20"/>
                <w:spacing w:val="-2"/>
                <w:w w:val="95"/>
                <w:sz w:val="14"/>
              </w:rPr>
              <w:t>Median</w:t>
            </w:r>
          </w:p>
        </w:tc>
        <w:tc>
          <w:tcPr>
            <w:tcW w:w="1195" w:type="dxa"/>
            <w:tcBorders>
              <w:bottom w:val="single" w:sz="4" w:space="0" w:color="008FDD"/>
            </w:tcBorders>
          </w:tcPr>
          <w:p>
            <w:pPr>
              <w:pStyle w:val="TableParagraph"/>
              <w:spacing w:before="19"/>
              <w:ind w:left="29" w:right="155"/>
              <w:rPr>
                <w:b/>
                <w:sz w:val="14"/>
              </w:rPr>
            </w:pPr>
            <w:r>
              <w:rPr>
                <w:b/>
                <w:color w:val="231F20"/>
                <w:spacing w:val="-4"/>
                <w:w w:val="95"/>
                <w:sz w:val="14"/>
              </w:rPr>
              <w:t>Mean</w:t>
            </w:r>
          </w:p>
        </w:tc>
        <w:tc>
          <w:tcPr>
            <w:tcW w:w="921" w:type="dxa"/>
            <w:vMerge/>
            <w:tcBorders>
              <w:top w:val="nil"/>
              <w:bottom w:val="single" w:sz="4" w:space="0" w:color="008FDD"/>
            </w:tcBorders>
          </w:tcPr>
          <w:p>
            <w:pPr>
              <w:rPr>
                <w:sz w:val="2"/>
                <w:szCs w:val="2"/>
              </w:rPr>
            </w:pPr>
          </w:p>
        </w:tc>
        <w:tc>
          <w:tcPr>
            <w:tcW w:w="1249" w:type="dxa"/>
            <w:tcBorders>
              <w:bottom w:val="single" w:sz="4" w:space="0" w:color="008FDD"/>
            </w:tcBorders>
          </w:tcPr>
          <w:p>
            <w:pPr>
              <w:pStyle w:val="TableParagraph"/>
              <w:spacing w:before="19"/>
              <w:ind w:left="71"/>
              <w:rPr>
                <w:b/>
                <w:sz w:val="14"/>
              </w:rPr>
            </w:pPr>
            <w:r>
              <w:rPr>
                <w:b/>
                <w:color w:val="231F20"/>
                <w:spacing w:val="-2"/>
                <w:w w:val="95"/>
                <w:sz w:val="14"/>
              </w:rPr>
              <w:t>Median</w:t>
            </w:r>
          </w:p>
        </w:tc>
        <w:tc>
          <w:tcPr>
            <w:tcW w:w="1095" w:type="dxa"/>
            <w:tcBorders>
              <w:bottom w:val="single" w:sz="4" w:space="0" w:color="008FDD"/>
            </w:tcBorders>
          </w:tcPr>
          <w:p>
            <w:pPr>
              <w:pStyle w:val="TableParagraph"/>
              <w:spacing w:before="19"/>
              <w:ind w:left="31" w:right="55"/>
              <w:rPr>
                <w:b/>
                <w:sz w:val="14"/>
              </w:rPr>
            </w:pPr>
            <w:r>
              <w:rPr>
                <w:b/>
                <w:color w:val="231F20"/>
                <w:spacing w:val="-4"/>
                <w:w w:val="95"/>
                <w:sz w:val="14"/>
              </w:rPr>
              <w:t>Mean</w:t>
            </w:r>
          </w:p>
        </w:tc>
      </w:tr>
      <w:tr>
        <w:trPr>
          <w:trHeight w:val="254" w:hRule="atLeast"/>
        </w:trPr>
        <w:tc>
          <w:tcPr>
            <w:tcW w:w="1380" w:type="dxa"/>
            <w:tcBorders>
              <w:top w:val="single" w:sz="4" w:space="0" w:color="008FDD"/>
            </w:tcBorders>
          </w:tcPr>
          <w:p>
            <w:pPr>
              <w:pStyle w:val="TableParagraph"/>
              <w:spacing w:before="43"/>
              <w:ind w:left="80"/>
              <w:jc w:val="left"/>
              <w:rPr>
                <w:sz w:val="14"/>
              </w:rPr>
            </w:pPr>
            <w:r>
              <w:rPr>
                <w:color w:val="231F20"/>
                <w:spacing w:val="-2"/>
                <w:w w:val="90"/>
                <w:sz w:val="14"/>
              </w:rPr>
              <w:t>Singapore</w:t>
            </w:r>
          </w:p>
        </w:tc>
        <w:tc>
          <w:tcPr>
            <w:tcW w:w="1087" w:type="dxa"/>
            <w:tcBorders>
              <w:top w:val="single" w:sz="4" w:space="0" w:color="008FDD"/>
            </w:tcBorders>
          </w:tcPr>
          <w:p>
            <w:pPr>
              <w:pStyle w:val="TableParagraph"/>
              <w:spacing w:before="43"/>
              <w:ind w:left="419"/>
              <w:jc w:val="left"/>
              <w:rPr>
                <w:sz w:val="14"/>
              </w:rPr>
            </w:pPr>
            <w:r>
              <w:rPr>
                <w:color w:val="231F20"/>
                <w:spacing w:val="-5"/>
                <w:w w:val="95"/>
                <w:sz w:val="14"/>
              </w:rPr>
              <w:t>240</w:t>
            </w:r>
          </w:p>
        </w:tc>
        <w:tc>
          <w:tcPr>
            <w:tcW w:w="1087" w:type="dxa"/>
            <w:tcBorders>
              <w:top w:val="single" w:sz="4" w:space="0" w:color="008FDD"/>
            </w:tcBorders>
          </w:tcPr>
          <w:p>
            <w:pPr>
              <w:pStyle w:val="TableParagraph"/>
              <w:spacing w:before="43"/>
              <w:ind w:left="93" w:right="60"/>
              <w:rPr>
                <w:sz w:val="14"/>
              </w:rPr>
            </w:pPr>
            <w:r>
              <w:rPr>
                <w:color w:val="231F20"/>
                <w:spacing w:val="-10"/>
                <w:w w:val="95"/>
                <w:sz w:val="14"/>
              </w:rPr>
              <w:t>5</w:t>
            </w:r>
          </w:p>
        </w:tc>
        <w:tc>
          <w:tcPr>
            <w:tcW w:w="1062" w:type="dxa"/>
            <w:tcBorders>
              <w:top w:val="single" w:sz="4" w:space="0" w:color="008FDD"/>
            </w:tcBorders>
          </w:tcPr>
          <w:p>
            <w:pPr>
              <w:pStyle w:val="TableParagraph"/>
              <w:spacing w:before="43"/>
              <w:ind w:right="404"/>
              <w:jc w:val="right"/>
              <w:rPr>
                <w:sz w:val="14"/>
              </w:rPr>
            </w:pPr>
            <w:r>
              <w:rPr>
                <w:color w:val="231F20"/>
                <w:spacing w:val="-5"/>
                <w:w w:val="95"/>
                <w:sz w:val="14"/>
              </w:rPr>
              <w:t>81</w:t>
            </w:r>
          </w:p>
        </w:tc>
        <w:tc>
          <w:tcPr>
            <w:tcW w:w="1245" w:type="dxa"/>
            <w:tcBorders>
              <w:top w:val="single" w:sz="4" w:space="0" w:color="008FDD"/>
            </w:tcBorders>
          </w:tcPr>
          <w:p>
            <w:pPr>
              <w:pStyle w:val="TableParagraph"/>
              <w:spacing w:before="43"/>
              <w:ind w:left="65" w:right="2"/>
              <w:rPr>
                <w:sz w:val="14"/>
              </w:rPr>
            </w:pPr>
            <w:r>
              <w:rPr>
                <w:color w:val="231F20"/>
                <w:spacing w:val="-5"/>
                <w:w w:val="95"/>
                <w:sz w:val="14"/>
              </w:rPr>
              <w:t>1.0</w:t>
            </w:r>
          </w:p>
        </w:tc>
        <w:tc>
          <w:tcPr>
            <w:tcW w:w="1195" w:type="dxa"/>
            <w:tcBorders>
              <w:top w:val="single" w:sz="4" w:space="0" w:color="008FDD"/>
            </w:tcBorders>
          </w:tcPr>
          <w:p>
            <w:pPr>
              <w:pStyle w:val="TableParagraph"/>
              <w:spacing w:before="43"/>
              <w:ind w:left="27" w:right="155"/>
              <w:rPr>
                <w:sz w:val="14"/>
              </w:rPr>
            </w:pPr>
            <w:r>
              <w:rPr>
                <w:color w:val="231F20"/>
                <w:spacing w:val="-5"/>
                <w:w w:val="95"/>
                <w:sz w:val="14"/>
              </w:rPr>
              <w:t>1.2</w:t>
            </w:r>
          </w:p>
        </w:tc>
        <w:tc>
          <w:tcPr>
            <w:tcW w:w="921" w:type="dxa"/>
            <w:tcBorders>
              <w:top w:val="single" w:sz="4" w:space="0" w:color="008FDD"/>
            </w:tcBorders>
          </w:tcPr>
          <w:p>
            <w:pPr>
              <w:pStyle w:val="TableParagraph"/>
              <w:spacing w:before="43"/>
              <w:ind w:left="18" w:right="26"/>
              <w:rPr>
                <w:sz w:val="14"/>
              </w:rPr>
            </w:pPr>
            <w:r>
              <w:rPr>
                <w:color w:val="231F20"/>
                <w:spacing w:val="-5"/>
                <w:w w:val="95"/>
                <w:sz w:val="14"/>
              </w:rPr>
              <w:t>0.6</w:t>
            </w:r>
          </w:p>
        </w:tc>
        <w:tc>
          <w:tcPr>
            <w:tcW w:w="1249" w:type="dxa"/>
            <w:tcBorders>
              <w:top w:val="single" w:sz="4" w:space="0" w:color="008FDD"/>
            </w:tcBorders>
          </w:tcPr>
          <w:p>
            <w:pPr>
              <w:pStyle w:val="TableParagraph"/>
              <w:spacing w:before="43"/>
              <w:ind w:left="71"/>
              <w:rPr>
                <w:sz w:val="14"/>
              </w:rPr>
            </w:pPr>
            <w:r>
              <w:rPr>
                <w:color w:val="231F20"/>
                <w:spacing w:val="-5"/>
                <w:w w:val="95"/>
                <w:sz w:val="14"/>
              </w:rPr>
              <w:t>1.2</w:t>
            </w:r>
          </w:p>
        </w:tc>
        <w:tc>
          <w:tcPr>
            <w:tcW w:w="1095" w:type="dxa"/>
            <w:tcBorders>
              <w:top w:val="single" w:sz="4" w:space="0" w:color="008FDD"/>
            </w:tcBorders>
          </w:tcPr>
          <w:p>
            <w:pPr>
              <w:pStyle w:val="TableParagraph"/>
              <w:spacing w:before="43"/>
              <w:ind w:left="28" w:right="55"/>
              <w:rPr>
                <w:sz w:val="14"/>
              </w:rPr>
            </w:pPr>
            <w:r>
              <w:rPr>
                <w:color w:val="231F20"/>
                <w:spacing w:val="-5"/>
                <w:w w:val="95"/>
                <w:sz w:val="14"/>
              </w:rPr>
              <w:t>1.3</w:t>
            </w:r>
          </w:p>
        </w:tc>
      </w:tr>
      <w:tr>
        <w:trPr>
          <w:trHeight w:val="259" w:hRule="atLeast"/>
        </w:trPr>
        <w:tc>
          <w:tcPr>
            <w:tcW w:w="1380" w:type="dxa"/>
            <w:shd w:val="clear" w:color="auto" w:fill="D4E3F5"/>
          </w:tcPr>
          <w:p>
            <w:pPr>
              <w:pStyle w:val="TableParagraph"/>
              <w:ind w:left="80"/>
              <w:jc w:val="left"/>
              <w:rPr>
                <w:sz w:val="14"/>
              </w:rPr>
            </w:pPr>
            <w:r>
              <w:rPr>
                <w:color w:val="231F20"/>
                <w:spacing w:val="-2"/>
                <w:w w:val="85"/>
                <w:sz w:val="14"/>
              </w:rPr>
              <w:t>Slovenia</w:t>
            </w:r>
          </w:p>
        </w:tc>
        <w:tc>
          <w:tcPr>
            <w:tcW w:w="1087" w:type="dxa"/>
            <w:shd w:val="clear" w:color="auto" w:fill="D4E3F5"/>
          </w:tcPr>
          <w:p>
            <w:pPr>
              <w:pStyle w:val="TableParagraph"/>
              <w:ind w:left="93" w:right="67"/>
              <w:rPr>
                <w:sz w:val="14"/>
              </w:rPr>
            </w:pPr>
            <w:r>
              <w:rPr>
                <w:color w:val="231F20"/>
                <w:spacing w:val="-5"/>
                <w:w w:val="95"/>
                <w:sz w:val="14"/>
              </w:rPr>
              <w:t>14</w:t>
            </w:r>
          </w:p>
        </w:tc>
        <w:tc>
          <w:tcPr>
            <w:tcW w:w="1087" w:type="dxa"/>
            <w:shd w:val="clear" w:color="auto" w:fill="D4E3F5"/>
          </w:tcPr>
          <w:p>
            <w:pPr>
              <w:pStyle w:val="TableParagraph"/>
              <w:ind w:left="93" w:right="60"/>
              <w:rPr>
                <w:sz w:val="14"/>
              </w:rPr>
            </w:pPr>
            <w:r>
              <w:rPr>
                <w:color w:val="231F20"/>
                <w:spacing w:val="-10"/>
                <w:w w:val="95"/>
                <w:sz w:val="14"/>
              </w:rPr>
              <w:t>2</w:t>
            </w:r>
          </w:p>
        </w:tc>
        <w:tc>
          <w:tcPr>
            <w:tcW w:w="1062" w:type="dxa"/>
            <w:shd w:val="clear" w:color="auto" w:fill="D4E3F5"/>
          </w:tcPr>
          <w:p>
            <w:pPr>
              <w:pStyle w:val="TableParagraph"/>
              <w:ind w:right="410"/>
              <w:jc w:val="right"/>
              <w:rPr>
                <w:sz w:val="14"/>
              </w:rPr>
            </w:pPr>
            <w:r>
              <w:rPr>
                <w:color w:val="231F20"/>
                <w:spacing w:val="-5"/>
                <w:w w:val="95"/>
                <w:sz w:val="14"/>
              </w:rPr>
              <w:t>19</w:t>
            </w:r>
          </w:p>
        </w:tc>
        <w:tc>
          <w:tcPr>
            <w:tcW w:w="1245" w:type="dxa"/>
            <w:shd w:val="clear" w:color="auto" w:fill="D4E3F5"/>
          </w:tcPr>
          <w:p>
            <w:pPr>
              <w:pStyle w:val="TableParagraph"/>
              <w:ind w:left="65" w:right="8"/>
              <w:rPr>
                <w:sz w:val="14"/>
              </w:rPr>
            </w:pPr>
            <w:r>
              <w:rPr>
                <w:color w:val="231F20"/>
                <w:spacing w:val="-5"/>
                <w:w w:val="95"/>
                <w:sz w:val="14"/>
              </w:rPr>
              <w:t>0.9</w:t>
            </w:r>
          </w:p>
        </w:tc>
        <w:tc>
          <w:tcPr>
            <w:tcW w:w="1195" w:type="dxa"/>
            <w:shd w:val="clear" w:color="auto" w:fill="D4E3F5"/>
          </w:tcPr>
          <w:p>
            <w:pPr>
              <w:pStyle w:val="TableParagraph"/>
              <w:ind w:left="26" w:right="155"/>
              <w:rPr>
                <w:sz w:val="14"/>
              </w:rPr>
            </w:pPr>
            <w:r>
              <w:rPr>
                <w:color w:val="231F20"/>
                <w:spacing w:val="-5"/>
                <w:w w:val="95"/>
                <w:sz w:val="14"/>
              </w:rPr>
              <w:t>1.3</w:t>
            </w:r>
          </w:p>
        </w:tc>
        <w:tc>
          <w:tcPr>
            <w:tcW w:w="921" w:type="dxa"/>
            <w:shd w:val="clear" w:color="auto" w:fill="D4E3F5"/>
          </w:tcPr>
          <w:p>
            <w:pPr>
              <w:pStyle w:val="TableParagraph"/>
              <w:ind w:left="13" w:right="26"/>
              <w:rPr>
                <w:sz w:val="14"/>
              </w:rPr>
            </w:pPr>
            <w:r>
              <w:rPr>
                <w:color w:val="231F20"/>
                <w:spacing w:val="-5"/>
                <w:w w:val="95"/>
                <w:sz w:val="14"/>
              </w:rPr>
              <w:t>0.7</w:t>
            </w:r>
          </w:p>
        </w:tc>
        <w:tc>
          <w:tcPr>
            <w:tcW w:w="1249" w:type="dxa"/>
            <w:shd w:val="clear" w:color="auto" w:fill="D4E3F5"/>
          </w:tcPr>
          <w:p>
            <w:pPr>
              <w:pStyle w:val="TableParagraph"/>
              <w:ind w:left="71" w:right="10"/>
              <w:rPr>
                <w:sz w:val="14"/>
              </w:rPr>
            </w:pPr>
            <w:r>
              <w:rPr>
                <w:color w:val="231F20"/>
                <w:spacing w:val="-5"/>
                <w:w w:val="95"/>
                <w:sz w:val="14"/>
              </w:rPr>
              <w:t>2.4</w:t>
            </w:r>
          </w:p>
        </w:tc>
        <w:tc>
          <w:tcPr>
            <w:tcW w:w="1095" w:type="dxa"/>
            <w:shd w:val="clear" w:color="auto" w:fill="D4E3F5"/>
          </w:tcPr>
          <w:p>
            <w:pPr>
              <w:pStyle w:val="TableParagraph"/>
              <w:ind w:left="22" w:right="55"/>
              <w:rPr>
                <w:sz w:val="14"/>
              </w:rPr>
            </w:pPr>
            <w:r>
              <w:rPr>
                <w:color w:val="231F20"/>
                <w:spacing w:val="-5"/>
                <w:w w:val="95"/>
                <w:sz w:val="14"/>
              </w:rPr>
              <w:t>2.2</w:t>
            </w:r>
          </w:p>
        </w:tc>
      </w:tr>
      <w:tr>
        <w:trPr>
          <w:trHeight w:val="259" w:hRule="atLeast"/>
        </w:trPr>
        <w:tc>
          <w:tcPr>
            <w:tcW w:w="1380" w:type="dxa"/>
          </w:tcPr>
          <w:p>
            <w:pPr>
              <w:pStyle w:val="TableParagraph"/>
              <w:ind w:left="80"/>
              <w:jc w:val="left"/>
              <w:rPr>
                <w:sz w:val="14"/>
              </w:rPr>
            </w:pPr>
            <w:r>
              <w:rPr>
                <w:color w:val="231F20"/>
                <w:w w:val="75"/>
                <w:sz w:val="14"/>
              </w:rPr>
              <w:t>Solomon</w:t>
            </w:r>
            <w:r>
              <w:rPr>
                <w:color w:val="231F20"/>
                <w:spacing w:val="16"/>
                <w:sz w:val="14"/>
              </w:rPr>
              <w:t> </w:t>
            </w:r>
            <w:r>
              <w:rPr>
                <w:color w:val="231F20"/>
                <w:spacing w:val="-2"/>
                <w:w w:val="85"/>
                <w:sz w:val="14"/>
              </w:rPr>
              <w:t>Islands</w:t>
            </w:r>
          </w:p>
        </w:tc>
        <w:tc>
          <w:tcPr>
            <w:tcW w:w="1087" w:type="dxa"/>
          </w:tcPr>
          <w:p>
            <w:pPr>
              <w:pStyle w:val="TableParagraph"/>
              <w:ind w:left="139" w:right="46"/>
              <w:rPr>
                <w:sz w:val="14"/>
              </w:rPr>
            </w:pPr>
            <w:r>
              <w:rPr>
                <w:color w:val="231F20"/>
                <w:spacing w:val="-10"/>
                <w:w w:val="95"/>
                <w:sz w:val="14"/>
              </w:rPr>
              <w:t>7</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10"/>
              <w:jc w:val="right"/>
              <w:rPr>
                <w:sz w:val="14"/>
              </w:rPr>
            </w:pPr>
            <w:r>
              <w:rPr>
                <w:color w:val="231F20"/>
                <w:spacing w:val="-5"/>
                <w:w w:val="95"/>
                <w:sz w:val="14"/>
              </w:rPr>
              <w:t>18</w:t>
            </w:r>
          </w:p>
        </w:tc>
        <w:tc>
          <w:tcPr>
            <w:tcW w:w="1245" w:type="dxa"/>
          </w:tcPr>
          <w:p>
            <w:pPr>
              <w:pStyle w:val="TableParagraph"/>
              <w:ind w:left="65" w:right="2"/>
              <w:rPr>
                <w:sz w:val="14"/>
              </w:rPr>
            </w:pPr>
            <w:r>
              <w:rPr>
                <w:color w:val="231F20"/>
                <w:spacing w:val="-5"/>
                <w:w w:val="95"/>
                <w:sz w:val="14"/>
              </w:rPr>
              <w:t>1.6</w:t>
            </w:r>
          </w:p>
        </w:tc>
        <w:tc>
          <w:tcPr>
            <w:tcW w:w="1195" w:type="dxa"/>
          </w:tcPr>
          <w:p>
            <w:pPr>
              <w:pStyle w:val="TableParagraph"/>
              <w:ind w:left="26" w:right="155"/>
              <w:rPr>
                <w:sz w:val="14"/>
              </w:rPr>
            </w:pPr>
            <w:r>
              <w:rPr>
                <w:color w:val="231F20"/>
                <w:spacing w:val="-5"/>
                <w:w w:val="95"/>
                <w:sz w:val="14"/>
              </w:rPr>
              <w:t>1.8</w:t>
            </w:r>
          </w:p>
        </w:tc>
        <w:tc>
          <w:tcPr>
            <w:tcW w:w="921" w:type="dxa"/>
          </w:tcPr>
          <w:p>
            <w:pPr>
              <w:pStyle w:val="TableParagraph"/>
              <w:ind w:left="23" w:right="26"/>
              <w:rPr>
                <w:sz w:val="14"/>
              </w:rPr>
            </w:pPr>
            <w:r>
              <w:rPr>
                <w:color w:val="231F20"/>
                <w:spacing w:val="-5"/>
                <w:w w:val="95"/>
                <w:sz w:val="14"/>
              </w:rPr>
              <w:t>1.4</w:t>
            </w:r>
          </w:p>
        </w:tc>
        <w:tc>
          <w:tcPr>
            <w:tcW w:w="1249" w:type="dxa"/>
          </w:tcPr>
          <w:p>
            <w:pPr>
              <w:pStyle w:val="TableParagraph"/>
              <w:ind w:left="71" w:right="2"/>
              <w:rPr>
                <w:sz w:val="14"/>
              </w:rPr>
            </w:pPr>
            <w:r>
              <w:rPr>
                <w:color w:val="231F20"/>
                <w:spacing w:val="-5"/>
                <w:w w:val="95"/>
                <w:sz w:val="14"/>
              </w:rPr>
              <w:t>1.6</w:t>
            </w:r>
          </w:p>
        </w:tc>
        <w:tc>
          <w:tcPr>
            <w:tcW w:w="1095" w:type="dxa"/>
          </w:tcPr>
          <w:p>
            <w:pPr>
              <w:pStyle w:val="TableParagraph"/>
              <w:ind w:left="27" w:right="55"/>
              <w:rPr>
                <w:sz w:val="14"/>
              </w:rPr>
            </w:pPr>
            <w:r>
              <w:rPr>
                <w:color w:val="231F20"/>
                <w:spacing w:val="-5"/>
                <w:w w:val="95"/>
                <w:sz w:val="14"/>
              </w:rPr>
              <w:t>1.9</w:t>
            </w:r>
          </w:p>
        </w:tc>
      </w:tr>
      <w:tr>
        <w:trPr>
          <w:trHeight w:val="259" w:hRule="atLeast"/>
        </w:trPr>
        <w:tc>
          <w:tcPr>
            <w:tcW w:w="1380" w:type="dxa"/>
            <w:shd w:val="clear" w:color="auto" w:fill="D4E3F5"/>
          </w:tcPr>
          <w:p>
            <w:pPr>
              <w:pStyle w:val="TableParagraph"/>
              <w:ind w:left="80"/>
              <w:jc w:val="left"/>
              <w:rPr>
                <w:sz w:val="14"/>
              </w:rPr>
            </w:pPr>
            <w:r>
              <w:rPr>
                <w:color w:val="231F20"/>
                <w:spacing w:val="-2"/>
                <w:w w:val="90"/>
                <w:sz w:val="14"/>
              </w:rPr>
              <w:t>Somalia</w:t>
            </w:r>
          </w:p>
        </w:tc>
        <w:tc>
          <w:tcPr>
            <w:tcW w:w="1087" w:type="dxa"/>
            <w:shd w:val="clear" w:color="auto" w:fill="D4E3F5"/>
          </w:tcPr>
          <w:p>
            <w:pPr>
              <w:pStyle w:val="TableParagraph"/>
              <w:ind w:left="139" w:right="46"/>
              <w:rPr>
                <w:sz w:val="14"/>
              </w:rPr>
            </w:pPr>
            <w:r>
              <w:rPr>
                <w:color w:val="231F20"/>
                <w:spacing w:val="-10"/>
                <w:w w:val="95"/>
                <w:sz w:val="14"/>
              </w:rPr>
              <w:t>9</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10"/>
              <w:jc w:val="right"/>
              <w:rPr>
                <w:sz w:val="14"/>
              </w:rPr>
            </w:pPr>
            <w:r>
              <w:rPr>
                <w:color w:val="231F20"/>
                <w:spacing w:val="-5"/>
                <w:w w:val="95"/>
                <w:sz w:val="14"/>
              </w:rPr>
              <w:t>14</w:t>
            </w:r>
          </w:p>
        </w:tc>
        <w:tc>
          <w:tcPr>
            <w:tcW w:w="1245" w:type="dxa"/>
            <w:shd w:val="clear" w:color="auto" w:fill="D4E3F5"/>
          </w:tcPr>
          <w:p>
            <w:pPr>
              <w:pStyle w:val="TableParagraph"/>
              <w:ind w:left="65" w:right="2"/>
              <w:rPr>
                <w:sz w:val="14"/>
              </w:rPr>
            </w:pPr>
            <w:r>
              <w:rPr>
                <w:color w:val="231F20"/>
                <w:spacing w:val="-5"/>
                <w:w w:val="95"/>
                <w:sz w:val="14"/>
              </w:rPr>
              <w:t>1.0</w:t>
            </w:r>
          </w:p>
        </w:tc>
        <w:tc>
          <w:tcPr>
            <w:tcW w:w="1195" w:type="dxa"/>
            <w:shd w:val="clear" w:color="auto" w:fill="D4E3F5"/>
          </w:tcPr>
          <w:p>
            <w:pPr>
              <w:pStyle w:val="TableParagraph"/>
              <w:ind w:left="27" w:right="155"/>
              <w:rPr>
                <w:sz w:val="14"/>
              </w:rPr>
            </w:pPr>
            <w:r>
              <w:rPr>
                <w:color w:val="231F20"/>
                <w:spacing w:val="-5"/>
                <w:w w:val="95"/>
                <w:sz w:val="14"/>
              </w:rPr>
              <w:t>1.2</w:t>
            </w:r>
          </w:p>
        </w:tc>
        <w:tc>
          <w:tcPr>
            <w:tcW w:w="921" w:type="dxa"/>
            <w:shd w:val="clear" w:color="auto" w:fill="D4E3F5"/>
          </w:tcPr>
          <w:p>
            <w:pPr>
              <w:pStyle w:val="TableParagraph"/>
              <w:ind w:left="25" w:right="26"/>
              <w:rPr>
                <w:sz w:val="14"/>
              </w:rPr>
            </w:pPr>
            <w:r>
              <w:rPr>
                <w:color w:val="231F20"/>
                <w:spacing w:val="-5"/>
                <w:w w:val="95"/>
                <w:sz w:val="14"/>
              </w:rPr>
              <w:t>1.3</w:t>
            </w:r>
          </w:p>
        </w:tc>
        <w:tc>
          <w:tcPr>
            <w:tcW w:w="1249" w:type="dxa"/>
            <w:shd w:val="clear" w:color="auto" w:fill="D4E3F5"/>
          </w:tcPr>
          <w:p>
            <w:pPr>
              <w:pStyle w:val="TableParagraph"/>
              <w:ind w:left="71" w:right="2"/>
              <w:rPr>
                <w:sz w:val="14"/>
              </w:rPr>
            </w:pPr>
            <w:r>
              <w:rPr>
                <w:color w:val="231F20"/>
                <w:spacing w:val="-5"/>
                <w:w w:val="95"/>
                <w:sz w:val="14"/>
              </w:rPr>
              <w:t>1.0</w:t>
            </w:r>
          </w:p>
        </w:tc>
        <w:tc>
          <w:tcPr>
            <w:tcW w:w="1095" w:type="dxa"/>
            <w:shd w:val="clear" w:color="auto" w:fill="D4E3F5"/>
          </w:tcPr>
          <w:p>
            <w:pPr>
              <w:pStyle w:val="TableParagraph"/>
              <w:ind w:left="28" w:right="55"/>
              <w:rPr>
                <w:sz w:val="14"/>
              </w:rPr>
            </w:pPr>
            <w:r>
              <w:rPr>
                <w:color w:val="231F20"/>
                <w:spacing w:val="-5"/>
                <w:w w:val="95"/>
                <w:sz w:val="14"/>
              </w:rPr>
              <w:t>1.3</w:t>
            </w:r>
          </w:p>
        </w:tc>
      </w:tr>
      <w:tr>
        <w:trPr>
          <w:trHeight w:val="259" w:hRule="atLeast"/>
        </w:trPr>
        <w:tc>
          <w:tcPr>
            <w:tcW w:w="1380" w:type="dxa"/>
          </w:tcPr>
          <w:p>
            <w:pPr>
              <w:pStyle w:val="TableParagraph"/>
              <w:ind w:left="80"/>
              <w:jc w:val="left"/>
              <w:rPr>
                <w:sz w:val="14"/>
              </w:rPr>
            </w:pPr>
            <w:r>
              <w:rPr>
                <w:color w:val="231F20"/>
                <w:w w:val="75"/>
                <w:sz w:val="14"/>
              </w:rPr>
              <w:t>South</w:t>
            </w:r>
            <w:r>
              <w:rPr>
                <w:color w:val="231F20"/>
                <w:spacing w:val="11"/>
                <w:sz w:val="14"/>
              </w:rPr>
              <w:t> </w:t>
            </w:r>
            <w:r>
              <w:rPr>
                <w:color w:val="231F20"/>
                <w:spacing w:val="-2"/>
                <w:w w:val="90"/>
                <w:sz w:val="14"/>
              </w:rPr>
              <w:t>Africa</w:t>
            </w:r>
          </w:p>
        </w:tc>
        <w:tc>
          <w:tcPr>
            <w:tcW w:w="1087" w:type="dxa"/>
          </w:tcPr>
          <w:p>
            <w:pPr>
              <w:pStyle w:val="TableParagraph"/>
              <w:ind w:left="93" w:right="67"/>
              <w:rPr>
                <w:sz w:val="14"/>
              </w:rPr>
            </w:pPr>
            <w:r>
              <w:rPr>
                <w:color w:val="231F20"/>
                <w:spacing w:val="-5"/>
                <w:w w:val="95"/>
                <w:sz w:val="14"/>
              </w:rPr>
              <w:t>26</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4"/>
              <w:jc w:val="right"/>
              <w:rPr>
                <w:sz w:val="14"/>
              </w:rPr>
            </w:pPr>
            <w:r>
              <w:rPr>
                <w:color w:val="231F20"/>
                <w:spacing w:val="-5"/>
                <w:w w:val="95"/>
                <w:sz w:val="14"/>
              </w:rPr>
              <w:t>37</w:t>
            </w:r>
          </w:p>
        </w:tc>
        <w:tc>
          <w:tcPr>
            <w:tcW w:w="1245" w:type="dxa"/>
          </w:tcPr>
          <w:p>
            <w:pPr>
              <w:pStyle w:val="TableParagraph"/>
              <w:ind w:left="65" w:right="8"/>
              <w:rPr>
                <w:sz w:val="14"/>
              </w:rPr>
            </w:pPr>
            <w:r>
              <w:rPr>
                <w:color w:val="231F20"/>
                <w:spacing w:val="-5"/>
                <w:w w:val="95"/>
                <w:sz w:val="14"/>
              </w:rPr>
              <w:t>2.8</w:t>
            </w:r>
          </w:p>
        </w:tc>
        <w:tc>
          <w:tcPr>
            <w:tcW w:w="1195" w:type="dxa"/>
          </w:tcPr>
          <w:p>
            <w:pPr>
              <w:pStyle w:val="TableParagraph"/>
              <w:ind w:left="20" w:right="155"/>
              <w:rPr>
                <w:sz w:val="14"/>
              </w:rPr>
            </w:pPr>
            <w:r>
              <w:rPr>
                <w:color w:val="231F20"/>
                <w:spacing w:val="-5"/>
                <w:w w:val="95"/>
                <w:sz w:val="14"/>
              </w:rPr>
              <w:t>3.3</w:t>
            </w:r>
          </w:p>
        </w:tc>
        <w:tc>
          <w:tcPr>
            <w:tcW w:w="921" w:type="dxa"/>
          </w:tcPr>
          <w:p>
            <w:pPr>
              <w:pStyle w:val="TableParagraph"/>
              <w:ind w:left="18" w:right="26"/>
              <w:rPr>
                <w:sz w:val="14"/>
              </w:rPr>
            </w:pPr>
            <w:r>
              <w:rPr>
                <w:color w:val="231F20"/>
                <w:spacing w:val="-5"/>
                <w:w w:val="95"/>
                <w:sz w:val="14"/>
              </w:rPr>
              <w:t>2.6</w:t>
            </w:r>
          </w:p>
        </w:tc>
        <w:tc>
          <w:tcPr>
            <w:tcW w:w="1249" w:type="dxa"/>
          </w:tcPr>
          <w:p>
            <w:pPr>
              <w:pStyle w:val="TableParagraph"/>
              <w:ind w:left="71" w:right="9"/>
              <w:rPr>
                <w:sz w:val="14"/>
              </w:rPr>
            </w:pPr>
            <w:r>
              <w:rPr>
                <w:color w:val="231F20"/>
                <w:spacing w:val="-5"/>
                <w:w w:val="95"/>
                <w:sz w:val="14"/>
              </w:rPr>
              <w:t>3.0</w:t>
            </w:r>
          </w:p>
        </w:tc>
        <w:tc>
          <w:tcPr>
            <w:tcW w:w="1095" w:type="dxa"/>
          </w:tcPr>
          <w:p>
            <w:pPr>
              <w:pStyle w:val="TableParagraph"/>
              <w:ind w:left="22" w:right="55"/>
              <w:rPr>
                <w:sz w:val="14"/>
              </w:rPr>
            </w:pPr>
            <w:r>
              <w:rPr>
                <w:color w:val="231F20"/>
                <w:spacing w:val="-5"/>
                <w:w w:val="95"/>
                <w:sz w:val="14"/>
              </w:rPr>
              <w:t>3.5</w:t>
            </w:r>
          </w:p>
        </w:tc>
      </w:tr>
      <w:tr>
        <w:trPr>
          <w:trHeight w:val="259" w:hRule="atLeast"/>
        </w:trPr>
        <w:tc>
          <w:tcPr>
            <w:tcW w:w="1380" w:type="dxa"/>
            <w:shd w:val="clear" w:color="auto" w:fill="D4E3F5"/>
          </w:tcPr>
          <w:p>
            <w:pPr>
              <w:pStyle w:val="TableParagraph"/>
              <w:ind w:left="80"/>
              <w:jc w:val="left"/>
              <w:rPr>
                <w:sz w:val="14"/>
              </w:rPr>
            </w:pPr>
            <w:r>
              <w:rPr>
                <w:color w:val="231F20"/>
                <w:spacing w:val="-4"/>
                <w:w w:val="85"/>
                <w:sz w:val="14"/>
              </w:rPr>
              <w:t>Spain</w:t>
            </w:r>
          </w:p>
        </w:tc>
        <w:tc>
          <w:tcPr>
            <w:tcW w:w="1087" w:type="dxa"/>
            <w:shd w:val="clear" w:color="auto" w:fill="D4E3F5"/>
          </w:tcPr>
          <w:p>
            <w:pPr>
              <w:pStyle w:val="TableParagraph"/>
              <w:ind w:left="93" w:right="132"/>
              <w:rPr>
                <w:sz w:val="14"/>
              </w:rPr>
            </w:pPr>
            <w:r>
              <w:rPr>
                <w:color w:val="231F20"/>
                <w:spacing w:val="-5"/>
                <w:w w:val="95"/>
                <w:sz w:val="14"/>
              </w:rPr>
              <w:t>144</w:t>
            </w:r>
          </w:p>
        </w:tc>
        <w:tc>
          <w:tcPr>
            <w:tcW w:w="1087" w:type="dxa"/>
            <w:shd w:val="clear" w:color="auto" w:fill="D4E3F5"/>
          </w:tcPr>
          <w:p>
            <w:pPr>
              <w:pStyle w:val="TableParagraph"/>
              <w:ind w:left="93" w:right="60"/>
              <w:rPr>
                <w:sz w:val="14"/>
              </w:rPr>
            </w:pPr>
            <w:r>
              <w:rPr>
                <w:color w:val="231F20"/>
                <w:spacing w:val="-10"/>
                <w:w w:val="95"/>
                <w:sz w:val="14"/>
              </w:rPr>
              <w:t>4</w:t>
            </w:r>
          </w:p>
        </w:tc>
        <w:tc>
          <w:tcPr>
            <w:tcW w:w="1062" w:type="dxa"/>
            <w:shd w:val="clear" w:color="auto" w:fill="D4E3F5"/>
          </w:tcPr>
          <w:p>
            <w:pPr>
              <w:pStyle w:val="TableParagraph"/>
              <w:ind w:right="401"/>
              <w:jc w:val="right"/>
              <w:rPr>
                <w:sz w:val="14"/>
              </w:rPr>
            </w:pPr>
            <w:r>
              <w:rPr>
                <w:color w:val="231F20"/>
                <w:spacing w:val="-5"/>
                <w:w w:val="95"/>
                <w:sz w:val="14"/>
              </w:rPr>
              <w:t>90</w:t>
            </w:r>
          </w:p>
        </w:tc>
        <w:tc>
          <w:tcPr>
            <w:tcW w:w="1245" w:type="dxa"/>
            <w:shd w:val="clear" w:color="auto" w:fill="D4E3F5"/>
          </w:tcPr>
          <w:p>
            <w:pPr>
              <w:pStyle w:val="TableParagraph"/>
              <w:ind w:left="65" w:right="13"/>
              <w:rPr>
                <w:sz w:val="14"/>
              </w:rPr>
            </w:pPr>
            <w:r>
              <w:rPr>
                <w:color w:val="231F20"/>
                <w:spacing w:val="-5"/>
                <w:w w:val="95"/>
                <w:sz w:val="14"/>
              </w:rPr>
              <w:t>0.7</w:t>
            </w:r>
          </w:p>
        </w:tc>
        <w:tc>
          <w:tcPr>
            <w:tcW w:w="1195" w:type="dxa"/>
            <w:shd w:val="clear" w:color="auto" w:fill="D4E3F5"/>
          </w:tcPr>
          <w:p>
            <w:pPr>
              <w:pStyle w:val="TableParagraph"/>
              <w:ind w:left="25" w:right="155"/>
              <w:rPr>
                <w:sz w:val="14"/>
              </w:rPr>
            </w:pPr>
            <w:r>
              <w:rPr>
                <w:color w:val="231F20"/>
                <w:spacing w:val="-5"/>
                <w:w w:val="95"/>
                <w:sz w:val="14"/>
              </w:rPr>
              <w:t>1.0</w:t>
            </w:r>
          </w:p>
        </w:tc>
        <w:tc>
          <w:tcPr>
            <w:tcW w:w="921" w:type="dxa"/>
            <w:shd w:val="clear" w:color="auto" w:fill="D4E3F5"/>
          </w:tcPr>
          <w:p>
            <w:pPr>
              <w:pStyle w:val="TableParagraph"/>
              <w:ind w:left="13" w:right="26"/>
              <w:rPr>
                <w:sz w:val="14"/>
              </w:rPr>
            </w:pPr>
            <w:r>
              <w:rPr>
                <w:color w:val="231F20"/>
                <w:spacing w:val="-5"/>
                <w:w w:val="95"/>
                <w:sz w:val="14"/>
              </w:rPr>
              <w:t>0.7</w:t>
            </w:r>
          </w:p>
        </w:tc>
        <w:tc>
          <w:tcPr>
            <w:tcW w:w="1249" w:type="dxa"/>
            <w:shd w:val="clear" w:color="auto" w:fill="D4E3F5"/>
          </w:tcPr>
          <w:p>
            <w:pPr>
              <w:pStyle w:val="TableParagraph"/>
              <w:ind w:left="71" w:right="20"/>
              <w:rPr>
                <w:sz w:val="14"/>
              </w:rPr>
            </w:pPr>
            <w:r>
              <w:rPr>
                <w:color w:val="231F20"/>
                <w:spacing w:val="-5"/>
                <w:w w:val="95"/>
                <w:sz w:val="14"/>
              </w:rPr>
              <w:t>1.1</w:t>
            </w:r>
          </w:p>
        </w:tc>
        <w:tc>
          <w:tcPr>
            <w:tcW w:w="1095" w:type="dxa"/>
            <w:shd w:val="clear" w:color="auto" w:fill="D4E3F5"/>
          </w:tcPr>
          <w:p>
            <w:pPr>
              <w:pStyle w:val="TableParagraph"/>
              <w:ind w:left="26" w:right="55"/>
              <w:rPr>
                <w:sz w:val="14"/>
              </w:rPr>
            </w:pPr>
            <w:r>
              <w:rPr>
                <w:color w:val="231F20"/>
                <w:spacing w:val="-5"/>
                <w:w w:val="95"/>
                <w:sz w:val="14"/>
              </w:rPr>
              <w:t>1.4</w:t>
            </w:r>
          </w:p>
        </w:tc>
      </w:tr>
      <w:tr>
        <w:trPr>
          <w:trHeight w:val="259" w:hRule="atLeast"/>
        </w:trPr>
        <w:tc>
          <w:tcPr>
            <w:tcW w:w="1380" w:type="dxa"/>
          </w:tcPr>
          <w:p>
            <w:pPr>
              <w:pStyle w:val="TableParagraph"/>
              <w:ind w:left="80"/>
              <w:jc w:val="left"/>
              <w:rPr>
                <w:sz w:val="14"/>
              </w:rPr>
            </w:pPr>
            <w:r>
              <w:rPr>
                <w:color w:val="231F20"/>
                <w:w w:val="75"/>
                <w:sz w:val="14"/>
              </w:rPr>
              <w:t>Sri</w:t>
            </w:r>
            <w:r>
              <w:rPr>
                <w:color w:val="231F20"/>
                <w:sz w:val="14"/>
              </w:rPr>
              <w:t> </w:t>
            </w:r>
            <w:r>
              <w:rPr>
                <w:color w:val="231F20"/>
                <w:spacing w:val="-2"/>
                <w:w w:val="85"/>
                <w:sz w:val="14"/>
              </w:rPr>
              <w:t>Lanka</w:t>
            </w:r>
          </w:p>
        </w:tc>
        <w:tc>
          <w:tcPr>
            <w:tcW w:w="1087" w:type="dxa"/>
          </w:tcPr>
          <w:p>
            <w:pPr>
              <w:pStyle w:val="TableParagraph"/>
              <w:ind w:left="93" w:right="67"/>
              <w:rPr>
                <w:sz w:val="14"/>
              </w:rPr>
            </w:pPr>
            <w:r>
              <w:rPr>
                <w:color w:val="231F20"/>
                <w:spacing w:val="-5"/>
                <w:w w:val="95"/>
                <w:sz w:val="14"/>
              </w:rPr>
              <w:t>67</w:t>
            </w:r>
          </w:p>
        </w:tc>
        <w:tc>
          <w:tcPr>
            <w:tcW w:w="1087" w:type="dxa"/>
          </w:tcPr>
          <w:p>
            <w:pPr>
              <w:pStyle w:val="TableParagraph"/>
              <w:ind w:left="93" w:right="60"/>
              <w:rPr>
                <w:sz w:val="14"/>
              </w:rPr>
            </w:pPr>
            <w:r>
              <w:rPr>
                <w:color w:val="231F20"/>
                <w:spacing w:val="-10"/>
                <w:w w:val="95"/>
                <w:sz w:val="14"/>
              </w:rPr>
              <w:t>3</w:t>
            </w:r>
          </w:p>
        </w:tc>
        <w:tc>
          <w:tcPr>
            <w:tcW w:w="1062" w:type="dxa"/>
          </w:tcPr>
          <w:p>
            <w:pPr>
              <w:pStyle w:val="TableParagraph"/>
              <w:ind w:right="401"/>
              <w:jc w:val="right"/>
              <w:rPr>
                <w:sz w:val="14"/>
              </w:rPr>
            </w:pPr>
            <w:r>
              <w:rPr>
                <w:color w:val="231F20"/>
                <w:spacing w:val="-5"/>
                <w:w w:val="95"/>
                <w:sz w:val="14"/>
              </w:rPr>
              <w:t>50</w:t>
            </w:r>
          </w:p>
        </w:tc>
        <w:tc>
          <w:tcPr>
            <w:tcW w:w="1245" w:type="dxa"/>
          </w:tcPr>
          <w:p>
            <w:pPr>
              <w:pStyle w:val="TableParagraph"/>
              <w:ind w:left="65" w:right="2"/>
              <w:rPr>
                <w:sz w:val="14"/>
              </w:rPr>
            </w:pPr>
            <w:r>
              <w:rPr>
                <w:color w:val="231F20"/>
                <w:spacing w:val="-5"/>
                <w:w w:val="95"/>
                <w:sz w:val="14"/>
              </w:rPr>
              <w:t>1.0</w:t>
            </w:r>
          </w:p>
        </w:tc>
        <w:tc>
          <w:tcPr>
            <w:tcW w:w="1195" w:type="dxa"/>
          </w:tcPr>
          <w:p>
            <w:pPr>
              <w:pStyle w:val="TableParagraph"/>
              <w:ind w:left="26" w:right="155"/>
              <w:rPr>
                <w:sz w:val="14"/>
              </w:rPr>
            </w:pPr>
            <w:r>
              <w:rPr>
                <w:color w:val="231F20"/>
                <w:spacing w:val="-5"/>
                <w:w w:val="95"/>
                <w:sz w:val="14"/>
              </w:rPr>
              <w:t>1.3</w:t>
            </w:r>
          </w:p>
        </w:tc>
        <w:tc>
          <w:tcPr>
            <w:tcW w:w="921" w:type="dxa"/>
          </w:tcPr>
          <w:p>
            <w:pPr>
              <w:pStyle w:val="TableParagraph"/>
              <w:ind w:left="18" w:right="26"/>
              <w:rPr>
                <w:sz w:val="14"/>
              </w:rPr>
            </w:pPr>
            <w:r>
              <w:rPr>
                <w:color w:val="231F20"/>
                <w:spacing w:val="-5"/>
                <w:w w:val="95"/>
                <w:sz w:val="14"/>
              </w:rPr>
              <w:t>0.6</w:t>
            </w:r>
          </w:p>
        </w:tc>
        <w:tc>
          <w:tcPr>
            <w:tcW w:w="1249" w:type="dxa"/>
          </w:tcPr>
          <w:p>
            <w:pPr>
              <w:pStyle w:val="TableParagraph"/>
              <w:ind w:left="71" w:right="2"/>
              <w:rPr>
                <w:sz w:val="14"/>
              </w:rPr>
            </w:pPr>
            <w:r>
              <w:rPr>
                <w:color w:val="231F20"/>
                <w:spacing w:val="-5"/>
                <w:w w:val="95"/>
                <w:sz w:val="14"/>
              </w:rPr>
              <w:t>1.0</w:t>
            </w:r>
          </w:p>
        </w:tc>
        <w:tc>
          <w:tcPr>
            <w:tcW w:w="1095" w:type="dxa"/>
          </w:tcPr>
          <w:p>
            <w:pPr>
              <w:pStyle w:val="TableParagraph"/>
              <w:ind w:left="28" w:right="55"/>
              <w:rPr>
                <w:sz w:val="14"/>
              </w:rPr>
            </w:pPr>
            <w:r>
              <w:rPr>
                <w:color w:val="231F20"/>
                <w:spacing w:val="-5"/>
                <w:w w:val="95"/>
                <w:sz w:val="14"/>
              </w:rPr>
              <w:t>1.3</w:t>
            </w:r>
          </w:p>
        </w:tc>
      </w:tr>
      <w:tr>
        <w:trPr>
          <w:trHeight w:val="259" w:hRule="atLeast"/>
        </w:trPr>
        <w:tc>
          <w:tcPr>
            <w:tcW w:w="1380" w:type="dxa"/>
            <w:shd w:val="clear" w:color="auto" w:fill="D4E3F5"/>
          </w:tcPr>
          <w:p>
            <w:pPr>
              <w:pStyle w:val="TableParagraph"/>
              <w:ind w:left="80"/>
              <w:jc w:val="left"/>
              <w:rPr>
                <w:sz w:val="14"/>
              </w:rPr>
            </w:pPr>
            <w:r>
              <w:rPr>
                <w:color w:val="231F20"/>
                <w:spacing w:val="-2"/>
                <w:w w:val="85"/>
                <w:sz w:val="14"/>
              </w:rPr>
              <w:t>Sudan</w:t>
            </w:r>
          </w:p>
        </w:tc>
        <w:tc>
          <w:tcPr>
            <w:tcW w:w="1087" w:type="dxa"/>
            <w:shd w:val="clear" w:color="auto" w:fill="D4E3F5"/>
          </w:tcPr>
          <w:p>
            <w:pPr>
              <w:pStyle w:val="TableParagraph"/>
              <w:ind w:left="139" w:right="46"/>
              <w:rPr>
                <w:sz w:val="14"/>
              </w:rPr>
            </w:pPr>
            <w:r>
              <w:rPr>
                <w:color w:val="231F20"/>
                <w:spacing w:val="-10"/>
                <w:w w:val="95"/>
                <w:sz w:val="14"/>
              </w:rPr>
              <w:t>4</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7"/>
              <w:jc w:val="right"/>
              <w:rPr>
                <w:sz w:val="14"/>
              </w:rPr>
            </w:pPr>
            <w:r>
              <w:rPr>
                <w:color w:val="231F20"/>
                <w:spacing w:val="-10"/>
                <w:w w:val="95"/>
                <w:sz w:val="14"/>
              </w:rPr>
              <w:t>1</w:t>
            </w:r>
          </w:p>
        </w:tc>
        <w:tc>
          <w:tcPr>
            <w:tcW w:w="1245" w:type="dxa"/>
            <w:shd w:val="clear" w:color="auto" w:fill="D4E3F5"/>
          </w:tcPr>
          <w:p>
            <w:pPr>
              <w:pStyle w:val="TableParagraph"/>
              <w:ind w:left="65" w:right="8"/>
              <w:rPr>
                <w:sz w:val="14"/>
              </w:rPr>
            </w:pPr>
            <w:r>
              <w:rPr>
                <w:color w:val="231F20"/>
                <w:spacing w:val="-5"/>
                <w:w w:val="95"/>
                <w:sz w:val="14"/>
              </w:rPr>
              <w:t>6.6</w:t>
            </w:r>
          </w:p>
        </w:tc>
        <w:tc>
          <w:tcPr>
            <w:tcW w:w="1195" w:type="dxa"/>
            <w:shd w:val="clear" w:color="auto" w:fill="D4E3F5"/>
          </w:tcPr>
          <w:p>
            <w:pPr>
              <w:pStyle w:val="TableParagraph"/>
              <w:ind w:left="20" w:right="155"/>
              <w:rPr>
                <w:sz w:val="14"/>
              </w:rPr>
            </w:pPr>
            <w:r>
              <w:rPr>
                <w:color w:val="231F20"/>
                <w:spacing w:val="-5"/>
                <w:w w:val="95"/>
                <w:sz w:val="14"/>
              </w:rPr>
              <w:t>6.2</w:t>
            </w:r>
          </w:p>
        </w:tc>
        <w:tc>
          <w:tcPr>
            <w:tcW w:w="921" w:type="dxa"/>
            <w:shd w:val="clear" w:color="auto" w:fill="D4E3F5"/>
          </w:tcPr>
          <w:p>
            <w:pPr>
              <w:pStyle w:val="TableParagraph"/>
              <w:ind w:left="15" w:right="26"/>
              <w:rPr>
                <w:sz w:val="14"/>
              </w:rPr>
            </w:pPr>
            <w:r>
              <w:rPr>
                <w:color w:val="231F20"/>
                <w:spacing w:val="-5"/>
                <w:w w:val="95"/>
                <w:sz w:val="14"/>
              </w:rPr>
              <w:t>3.4</w:t>
            </w:r>
          </w:p>
        </w:tc>
        <w:tc>
          <w:tcPr>
            <w:tcW w:w="1249" w:type="dxa"/>
            <w:shd w:val="clear" w:color="auto" w:fill="D4E3F5"/>
          </w:tcPr>
          <w:p>
            <w:pPr>
              <w:pStyle w:val="TableParagraph"/>
              <w:ind w:left="71" w:right="7"/>
              <w:rPr>
                <w:sz w:val="14"/>
              </w:rPr>
            </w:pPr>
            <w:r>
              <w:rPr>
                <w:color w:val="231F20"/>
                <w:spacing w:val="-5"/>
                <w:w w:val="95"/>
                <w:sz w:val="14"/>
              </w:rPr>
              <w:t>6.9</w:t>
            </w:r>
          </w:p>
        </w:tc>
        <w:tc>
          <w:tcPr>
            <w:tcW w:w="1095" w:type="dxa"/>
            <w:shd w:val="clear" w:color="auto" w:fill="D4E3F5"/>
          </w:tcPr>
          <w:p>
            <w:pPr>
              <w:pStyle w:val="TableParagraph"/>
              <w:ind w:left="21" w:right="55"/>
              <w:rPr>
                <w:sz w:val="14"/>
              </w:rPr>
            </w:pPr>
            <w:r>
              <w:rPr>
                <w:color w:val="231F20"/>
                <w:spacing w:val="-5"/>
                <w:w w:val="95"/>
                <w:sz w:val="14"/>
              </w:rPr>
              <w:t>6.6</w:t>
            </w:r>
          </w:p>
        </w:tc>
      </w:tr>
      <w:tr>
        <w:trPr>
          <w:trHeight w:val="259" w:hRule="atLeast"/>
        </w:trPr>
        <w:tc>
          <w:tcPr>
            <w:tcW w:w="1380" w:type="dxa"/>
          </w:tcPr>
          <w:p>
            <w:pPr>
              <w:pStyle w:val="TableParagraph"/>
              <w:ind w:left="80"/>
              <w:jc w:val="left"/>
              <w:rPr>
                <w:sz w:val="14"/>
              </w:rPr>
            </w:pPr>
            <w:r>
              <w:rPr>
                <w:color w:val="231F20"/>
                <w:spacing w:val="-2"/>
                <w:w w:val="85"/>
                <w:sz w:val="14"/>
              </w:rPr>
              <w:t>Sweden</w:t>
            </w:r>
          </w:p>
        </w:tc>
        <w:tc>
          <w:tcPr>
            <w:tcW w:w="1087" w:type="dxa"/>
          </w:tcPr>
          <w:p>
            <w:pPr>
              <w:pStyle w:val="TableParagraph"/>
              <w:ind w:left="93" w:right="67"/>
              <w:rPr>
                <w:sz w:val="14"/>
              </w:rPr>
            </w:pPr>
            <w:r>
              <w:rPr>
                <w:color w:val="231F20"/>
                <w:spacing w:val="-5"/>
                <w:w w:val="95"/>
                <w:sz w:val="14"/>
              </w:rPr>
              <w:t>30</w:t>
            </w:r>
          </w:p>
        </w:tc>
        <w:tc>
          <w:tcPr>
            <w:tcW w:w="1087" w:type="dxa"/>
          </w:tcPr>
          <w:p>
            <w:pPr>
              <w:pStyle w:val="TableParagraph"/>
              <w:ind w:left="93" w:right="60"/>
              <w:rPr>
                <w:sz w:val="14"/>
              </w:rPr>
            </w:pPr>
            <w:r>
              <w:rPr>
                <w:color w:val="231F20"/>
                <w:spacing w:val="-10"/>
                <w:w w:val="95"/>
                <w:sz w:val="14"/>
              </w:rPr>
              <w:t>1</w:t>
            </w:r>
          </w:p>
        </w:tc>
        <w:tc>
          <w:tcPr>
            <w:tcW w:w="1062" w:type="dxa"/>
          </w:tcPr>
          <w:p>
            <w:pPr>
              <w:pStyle w:val="TableParagraph"/>
              <w:ind w:right="403"/>
              <w:jc w:val="right"/>
              <w:rPr>
                <w:sz w:val="14"/>
              </w:rPr>
            </w:pPr>
            <w:r>
              <w:rPr>
                <w:color w:val="231F20"/>
                <w:spacing w:val="-5"/>
                <w:w w:val="95"/>
                <w:sz w:val="14"/>
              </w:rPr>
              <w:t>25</w:t>
            </w:r>
          </w:p>
        </w:tc>
        <w:tc>
          <w:tcPr>
            <w:tcW w:w="1245" w:type="dxa"/>
          </w:tcPr>
          <w:p>
            <w:pPr>
              <w:pStyle w:val="TableParagraph"/>
              <w:ind w:left="65" w:right="8"/>
              <w:rPr>
                <w:sz w:val="14"/>
              </w:rPr>
            </w:pPr>
            <w:r>
              <w:rPr>
                <w:color w:val="231F20"/>
                <w:spacing w:val="-5"/>
                <w:w w:val="95"/>
                <w:sz w:val="14"/>
              </w:rPr>
              <w:t>0.8</w:t>
            </w:r>
          </w:p>
        </w:tc>
        <w:tc>
          <w:tcPr>
            <w:tcW w:w="1195" w:type="dxa"/>
          </w:tcPr>
          <w:p>
            <w:pPr>
              <w:pStyle w:val="TableParagraph"/>
              <w:ind w:left="25" w:right="155"/>
              <w:rPr>
                <w:sz w:val="14"/>
              </w:rPr>
            </w:pPr>
            <w:r>
              <w:rPr>
                <w:color w:val="231F20"/>
                <w:spacing w:val="-5"/>
                <w:w w:val="95"/>
                <w:sz w:val="14"/>
              </w:rPr>
              <w:t>1.0</w:t>
            </w:r>
          </w:p>
        </w:tc>
        <w:tc>
          <w:tcPr>
            <w:tcW w:w="921" w:type="dxa"/>
          </w:tcPr>
          <w:p>
            <w:pPr>
              <w:pStyle w:val="TableParagraph"/>
              <w:ind w:left="13" w:right="26"/>
              <w:rPr>
                <w:sz w:val="14"/>
              </w:rPr>
            </w:pPr>
            <w:r>
              <w:rPr>
                <w:color w:val="231F20"/>
                <w:spacing w:val="-5"/>
                <w:w w:val="95"/>
                <w:sz w:val="14"/>
              </w:rPr>
              <w:t>0.7</w:t>
            </w:r>
          </w:p>
        </w:tc>
        <w:tc>
          <w:tcPr>
            <w:tcW w:w="1249" w:type="dxa"/>
          </w:tcPr>
          <w:p>
            <w:pPr>
              <w:pStyle w:val="TableParagraph"/>
              <w:ind w:left="71" w:right="20"/>
              <w:rPr>
                <w:sz w:val="14"/>
              </w:rPr>
            </w:pPr>
            <w:r>
              <w:rPr>
                <w:color w:val="231F20"/>
                <w:spacing w:val="-5"/>
                <w:w w:val="95"/>
                <w:sz w:val="14"/>
              </w:rPr>
              <w:t>1.1</w:t>
            </w:r>
          </w:p>
        </w:tc>
        <w:tc>
          <w:tcPr>
            <w:tcW w:w="1095" w:type="dxa"/>
          </w:tcPr>
          <w:p>
            <w:pPr>
              <w:pStyle w:val="TableParagraph"/>
              <w:ind w:left="28" w:right="55"/>
              <w:rPr>
                <w:sz w:val="14"/>
              </w:rPr>
            </w:pPr>
            <w:r>
              <w:rPr>
                <w:color w:val="231F20"/>
                <w:spacing w:val="-5"/>
                <w:w w:val="95"/>
                <w:sz w:val="14"/>
              </w:rPr>
              <w:t>1.3</w:t>
            </w:r>
          </w:p>
        </w:tc>
      </w:tr>
      <w:tr>
        <w:trPr>
          <w:trHeight w:val="259" w:hRule="atLeast"/>
        </w:trPr>
        <w:tc>
          <w:tcPr>
            <w:tcW w:w="1380" w:type="dxa"/>
            <w:shd w:val="clear" w:color="auto" w:fill="D4E3F5"/>
          </w:tcPr>
          <w:p>
            <w:pPr>
              <w:pStyle w:val="TableParagraph"/>
              <w:ind w:left="80"/>
              <w:jc w:val="left"/>
              <w:rPr>
                <w:sz w:val="14"/>
              </w:rPr>
            </w:pPr>
            <w:r>
              <w:rPr>
                <w:color w:val="231F20"/>
                <w:w w:val="75"/>
                <w:sz w:val="14"/>
              </w:rPr>
              <w:t>Syrian</w:t>
            </w:r>
            <w:r>
              <w:rPr>
                <w:color w:val="231F20"/>
                <w:spacing w:val="9"/>
                <w:sz w:val="14"/>
              </w:rPr>
              <w:t> </w:t>
            </w:r>
            <w:r>
              <w:rPr>
                <w:color w:val="231F20"/>
                <w:w w:val="75"/>
                <w:sz w:val="14"/>
              </w:rPr>
              <w:t>Arab</w:t>
            </w:r>
            <w:r>
              <w:rPr>
                <w:color w:val="231F20"/>
                <w:spacing w:val="9"/>
                <w:sz w:val="14"/>
              </w:rPr>
              <w:t> </w:t>
            </w:r>
            <w:r>
              <w:rPr>
                <w:color w:val="231F20"/>
                <w:spacing w:val="-2"/>
                <w:w w:val="75"/>
                <w:sz w:val="14"/>
              </w:rPr>
              <w:t>Republic</w:t>
            </w:r>
          </w:p>
        </w:tc>
        <w:tc>
          <w:tcPr>
            <w:tcW w:w="1087" w:type="dxa"/>
            <w:shd w:val="clear" w:color="auto" w:fill="D4E3F5"/>
          </w:tcPr>
          <w:p>
            <w:pPr>
              <w:pStyle w:val="TableParagraph"/>
              <w:ind w:left="139" w:right="46"/>
              <w:rPr>
                <w:sz w:val="14"/>
              </w:rPr>
            </w:pPr>
            <w:r>
              <w:rPr>
                <w:color w:val="231F20"/>
                <w:spacing w:val="-10"/>
                <w:w w:val="95"/>
                <w:sz w:val="14"/>
              </w:rPr>
              <w:t>5</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11"/>
              <w:jc w:val="right"/>
              <w:rPr>
                <w:sz w:val="14"/>
              </w:rPr>
            </w:pPr>
            <w:r>
              <w:rPr>
                <w:color w:val="231F20"/>
                <w:spacing w:val="-5"/>
                <w:w w:val="95"/>
                <w:sz w:val="14"/>
              </w:rPr>
              <w:t>12</w:t>
            </w:r>
          </w:p>
        </w:tc>
        <w:tc>
          <w:tcPr>
            <w:tcW w:w="1245" w:type="dxa"/>
            <w:shd w:val="clear" w:color="auto" w:fill="D4E3F5"/>
          </w:tcPr>
          <w:p>
            <w:pPr>
              <w:pStyle w:val="TableParagraph"/>
              <w:ind w:left="65" w:right="8"/>
              <w:rPr>
                <w:sz w:val="14"/>
              </w:rPr>
            </w:pPr>
            <w:r>
              <w:rPr>
                <w:color w:val="231F20"/>
                <w:spacing w:val="-5"/>
                <w:w w:val="95"/>
                <w:sz w:val="14"/>
              </w:rPr>
              <w:t>0.9</w:t>
            </w:r>
          </w:p>
        </w:tc>
        <w:tc>
          <w:tcPr>
            <w:tcW w:w="1195" w:type="dxa"/>
            <w:shd w:val="clear" w:color="auto" w:fill="D4E3F5"/>
          </w:tcPr>
          <w:p>
            <w:pPr>
              <w:pStyle w:val="TableParagraph"/>
              <w:ind w:left="27" w:right="155"/>
              <w:rPr>
                <w:sz w:val="14"/>
              </w:rPr>
            </w:pPr>
            <w:r>
              <w:rPr>
                <w:color w:val="231F20"/>
                <w:spacing w:val="-5"/>
                <w:w w:val="95"/>
                <w:sz w:val="14"/>
              </w:rPr>
              <w:t>1.2</w:t>
            </w:r>
          </w:p>
        </w:tc>
        <w:tc>
          <w:tcPr>
            <w:tcW w:w="921" w:type="dxa"/>
            <w:shd w:val="clear" w:color="auto" w:fill="D4E3F5"/>
          </w:tcPr>
          <w:p>
            <w:pPr>
              <w:pStyle w:val="TableParagraph"/>
              <w:ind w:left="18" w:right="26"/>
              <w:rPr>
                <w:sz w:val="14"/>
              </w:rPr>
            </w:pPr>
            <w:r>
              <w:rPr>
                <w:color w:val="231F20"/>
                <w:spacing w:val="-5"/>
                <w:w w:val="95"/>
                <w:sz w:val="14"/>
              </w:rPr>
              <w:t>0.8</w:t>
            </w:r>
          </w:p>
        </w:tc>
        <w:tc>
          <w:tcPr>
            <w:tcW w:w="1249" w:type="dxa"/>
            <w:shd w:val="clear" w:color="auto" w:fill="D4E3F5"/>
          </w:tcPr>
          <w:p>
            <w:pPr>
              <w:pStyle w:val="TableParagraph"/>
              <w:ind w:left="71" w:right="8"/>
              <w:rPr>
                <w:sz w:val="14"/>
              </w:rPr>
            </w:pPr>
            <w:r>
              <w:rPr>
                <w:color w:val="231F20"/>
                <w:spacing w:val="-5"/>
                <w:w w:val="95"/>
                <w:sz w:val="14"/>
              </w:rPr>
              <w:t>0.9</w:t>
            </w:r>
          </w:p>
        </w:tc>
        <w:tc>
          <w:tcPr>
            <w:tcW w:w="1095" w:type="dxa"/>
            <w:shd w:val="clear" w:color="auto" w:fill="D4E3F5"/>
          </w:tcPr>
          <w:p>
            <w:pPr>
              <w:pStyle w:val="TableParagraph"/>
              <w:ind w:left="28" w:right="55"/>
              <w:rPr>
                <w:sz w:val="14"/>
              </w:rPr>
            </w:pPr>
            <w:r>
              <w:rPr>
                <w:color w:val="231F20"/>
                <w:spacing w:val="-5"/>
                <w:w w:val="95"/>
                <w:sz w:val="14"/>
              </w:rPr>
              <w:t>1.3</w:t>
            </w:r>
          </w:p>
        </w:tc>
      </w:tr>
      <w:tr>
        <w:trPr>
          <w:trHeight w:val="259" w:hRule="atLeast"/>
        </w:trPr>
        <w:tc>
          <w:tcPr>
            <w:tcW w:w="1380" w:type="dxa"/>
          </w:tcPr>
          <w:p>
            <w:pPr>
              <w:pStyle w:val="TableParagraph"/>
              <w:ind w:left="80"/>
              <w:jc w:val="left"/>
              <w:rPr>
                <w:sz w:val="14"/>
              </w:rPr>
            </w:pPr>
            <w:r>
              <w:rPr>
                <w:color w:val="231F20"/>
                <w:w w:val="75"/>
                <w:sz w:val="14"/>
              </w:rPr>
              <w:t>Taiwan,</w:t>
            </w:r>
            <w:r>
              <w:rPr>
                <w:color w:val="231F20"/>
                <w:spacing w:val="7"/>
                <w:sz w:val="14"/>
              </w:rPr>
              <w:t> </w:t>
            </w:r>
            <w:r>
              <w:rPr>
                <w:color w:val="231F20"/>
                <w:spacing w:val="-2"/>
                <w:w w:val="90"/>
                <w:sz w:val="14"/>
              </w:rPr>
              <w:t>China</w:t>
            </w:r>
          </w:p>
        </w:tc>
        <w:tc>
          <w:tcPr>
            <w:tcW w:w="1087" w:type="dxa"/>
          </w:tcPr>
          <w:p>
            <w:pPr>
              <w:pStyle w:val="TableParagraph"/>
              <w:ind w:left="93" w:right="124"/>
              <w:rPr>
                <w:sz w:val="14"/>
              </w:rPr>
            </w:pPr>
            <w:r>
              <w:rPr>
                <w:color w:val="231F20"/>
                <w:spacing w:val="-5"/>
                <w:w w:val="95"/>
                <w:sz w:val="14"/>
              </w:rPr>
              <w:t>141</w:t>
            </w:r>
          </w:p>
        </w:tc>
        <w:tc>
          <w:tcPr>
            <w:tcW w:w="1087" w:type="dxa"/>
          </w:tcPr>
          <w:p>
            <w:pPr>
              <w:pStyle w:val="TableParagraph"/>
              <w:ind w:left="93" w:right="60"/>
              <w:rPr>
                <w:sz w:val="14"/>
              </w:rPr>
            </w:pPr>
            <w:r>
              <w:rPr>
                <w:color w:val="231F20"/>
                <w:spacing w:val="-10"/>
                <w:w w:val="95"/>
                <w:sz w:val="14"/>
              </w:rPr>
              <w:t>3</w:t>
            </w:r>
          </w:p>
        </w:tc>
        <w:tc>
          <w:tcPr>
            <w:tcW w:w="1062" w:type="dxa"/>
          </w:tcPr>
          <w:p>
            <w:pPr>
              <w:pStyle w:val="TableParagraph"/>
              <w:ind w:right="405"/>
              <w:jc w:val="right"/>
              <w:rPr>
                <w:sz w:val="14"/>
              </w:rPr>
            </w:pPr>
            <w:r>
              <w:rPr>
                <w:color w:val="231F20"/>
                <w:spacing w:val="-5"/>
                <w:w w:val="95"/>
                <w:sz w:val="14"/>
              </w:rPr>
              <w:t>61</w:t>
            </w:r>
          </w:p>
        </w:tc>
        <w:tc>
          <w:tcPr>
            <w:tcW w:w="1245" w:type="dxa"/>
          </w:tcPr>
          <w:p>
            <w:pPr>
              <w:pStyle w:val="TableParagraph"/>
              <w:ind w:left="65" w:right="8"/>
              <w:rPr>
                <w:sz w:val="14"/>
              </w:rPr>
            </w:pPr>
            <w:r>
              <w:rPr>
                <w:color w:val="231F20"/>
                <w:spacing w:val="-5"/>
                <w:w w:val="95"/>
                <w:sz w:val="14"/>
              </w:rPr>
              <w:t>0.5</w:t>
            </w:r>
          </w:p>
        </w:tc>
        <w:tc>
          <w:tcPr>
            <w:tcW w:w="1195" w:type="dxa"/>
          </w:tcPr>
          <w:p>
            <w:pPr>
              <w:pStyle w:val="TableParagraph"/>
              <w:ind w:left="19" w:right="155"/>
              <w:rPr>
                <w:sz w:val="14"/>
              </w:rPr>
            </w:pPr>
            <w:r>
              <w:rPr>
                <w:color w:val="231F20"/>
                <w:spacing w:val="-5"/>
                <w:w w:val="95"/>
                <w:sz w:val="14"/>
              </w:rPr>
              <w:t>0.8</w:t>
            </w:r>
          </w:p>
        </w:tc>
        <w:tc>
          <w:tcPr>
            <w:tcW w:w="921" w:type="dxa"/>
          </w:tcPr>
          <w:p>
            <w:pPr>
              <w:pStyle w:val="TableParagraph"/>
              <w:ind w:left="18" w:right="26"/>
              <w:rPr>
                <w:sz w:val="14"/>
              </w:rPr>
            </w:pPr>
            <w:r>
              <w:rPr>
                <w:color w:val="231F20"/>
                <w:spacing w:val="-5"/>
                <w:w w:val="95"/>
                <w:sz w:val="14"/>
              </w:rPr>
              <w:t>0.5</w:t>
            </w:r>
          </w:p>
        </w:tc>
        <w:tc>
          <w:tcPr>
            <w:tcW w:w="1249" w:type="dxa"/>
          </w:tcPr>
          <w:p>
            <w:pPr>
              <w:pStyle w:val="TableParagraph"/>
              <w:ind w:left="71" w:right="8"/>
              <w:rPr>
                <w:sz w:val="14"/>
              </w:rPr>
            </w:pPr>
            <w:r>
              <w:rPr>
                <w:color w:val="231F20"/>
                <w:spacing w:val="-5"/>
                <w:w w:val="95"/>
                <w:sz w:val="14"/>
              </w:rPr>
              <w:t>0.8</w:t>
            </w:r>
          </w:p>
        </w:tc>
        <w:tc>
          <w:tcPr>
            <w:tcW w:w="1095" w:type="dxa"/>
          </w:tcPr>
          <w:p>
            <w:pPr>
              <w:pStyle w:val="TableParagraph"/>
              <w:ind w:left="27" w:right="55"/>
              <w:rPr>
                <w:sz w:val="14"/>
              </w:rPr>
            </w:pPr>
            <w:r>
              <w:rPr>
                <w:color w:val="231F20"/>
                <w:spacing w:val="-5"/>
                <w:w w:val="95"/>
                <w:sz w:val="14"/>
              </w:rPr>
              <w:t>1.0</w:t>
            </w:r>
          </w:p>
        </w:tc>
      </w:tr>
      <w:tr>
        <w:trPr>
          <w:trHeight w:val="259" w:hRule="atLeast"/>
        </w:trPr>
        <w:tc>
          <w:tcPr>
            <w:tcW w:w="1380" w:type="dxa"/>
            <w:shd w:val="clear" w:color="auto" w:fill="D4E3F5"/>
          </w:tcPr>
          <w:p>
            <w:pPr>
              <w:pStyle w:val="TableParagraph"/>
              <w:ind w:left="80"/>
              <w:jc w:val="left"/>
              <w:rPr>
                <w:sz w:val="14"/>
              </w:rPr>
            </w:pPr>
            <w:r>
              <w:rPr>
                <w:color w:val="231F20"/>
                <w:spacing w:val="-2"/>
                <w:w w:val="90"/>
                <w:sz w:val="14"/>
              </w:rPr>
              <w:t>Thailand</w:t>
            </w:r>
          </w:p>
        </w:tc>
        <w:tc>
          <w:tcPr>
            <w:tcW w:w="1087" w:type="dxa"/>
            <w:shd w:val="clear" w:color="auto" w:fill="D4E3F5"/>
          </w:tcPr>
          <w:p>
            <w:pPr>
              <w:pStyle w:val="TableParagraph"/>
              <w:ind w:left="93" w:right="67"/>
              <w:rPr>
                <w:sz w:val="14"/>
              </w:rPr>
            </w:pPr>
            <w:r>
              <w:rPr>
                <w:color w:val="231F20"/>
                <w:spacing w:val="-5"/>
                <w:w w:val="95"/>
                <w:sz w:val="14"/>
              </w:rPr>
              <w:t>89</w:t>
            </w:r>
          </w:p>
        </w:tc>
        <w:tc>
          <w:tcPr>
            <w:tcW w:w="1087" w:type="dxa"/>
            <w:shd w:val="clear" w:color="auto" w:fill="D4E3F5"/>
          </w:tcPr>
          <w:p>
            <w:pPr>
              <w:pStyle w:val="TableParagraph"/>
              <w:ind w:left="93" w:right="60"/>
              <w:rPr>
                <w:sz w:val="14"/>
              </w:rPr>
            </w:pPr>
            <w:r>
              <w:rPr>
                <w:color w:val="231F20"/>
                <w:spacing w:val="-10"/>
                <w:w w:val="95"/>
                <w:sz w:val="14"/>
              </w:rPr>
              <w:t>3</w:t>
            </w:r>
          </w:p>
        </w:tc>
        <w:tc>
          <w:tcPr>
            <w:tcW w:w="1062" w:type="dxa"/>
            <w:shd w:val="clear" w:color="auto" w:fill="D4E3F5"/>
          </w:tcPr>
          <w:p>
            <w:pPr>
              <w:pStyle w:val="TableParagraph"/>
              <w:ind w:right="401"/>
              <w:jc w:val="right"/>
              <w:rPr>
                <w:sz w:val="14"/>
              </w:rPr>
            </w:pPr>
            <w:r>
              <w:rPr>
                <w:color w:val="231F20"/>
                <w:spacing w:val="-5"/>
                <w:w w:val="95"/>
                <w:sz w:val="14"/>
              </w:rPr>
              <w:t>33</w:t>
            </w:r>
          </w:p>
        </w:tc>
        <w:tc>
          <w:tcPr>
            <w:tcW w:w="1245" w:type="dxa"/>
            <w:shd w:val="clear" w:color="auto" w:fill="D4E3F5"/>
          </w:tcPr>
          <w:p>
            <w:pPr>
              <w:pStyle w:val="TableParagraph"/>
              <w:ind w:left="65" w:right="8"/>
              <w:rPr>
                <w:sz w:val="14"/>
              </w:rPr>
            </w:pPr>
            <w:r>
              <w:rPr>
                <w:color w:val="231F20"/>
                <w:spacing w:val="-5"/>
                <w:w w:val="95"/>
                <w:sz w:val="14"/>
              </w:rPr>
              <w:t>0.8</w:t>
            </w:r>
          </w:p>
        </w:tc>
        <w:tc>
          <w:tcPr>
            <w:tcW w:w="1195" w:type="dxa"/>
            <w:shd w:val="clear" w:color="auto" w:fill="D4E3F5"/>
          </w:tcPr>
          <w:p>
            <w:pPr>
              <w:pStyle w:val="TableParagraph"/>
              <w:ind w:left="25" w:right="155"/>
              <w:rPr>
                <w:sz w:val="14"/>
              </w:rPr>
            </w:pPr>
            <w:r>
              <w:rPr>
                <w:color w:val="231F20"/>
                <w:spacing w:val="-5"/>
                <w:w w:val="95"/>
                <w:sz w:val="14"/>
              </w:rPr>
              <w:t>1.0</w:t>
            </w:r>
          </w:p>
        </w:tc>
        <w:tc>
          <w:tcPr>
            <w:tcW w:w="921" w:type="dxa"/>
            <w:shd w:val="clear" w:color="auto" w:fill="D4E3F5"/>
          </w:tcPr>
          <w:p>
            <w:pPr>
              <w:pStyle w:val="TableParagraph"/>
              <w:ind w:left="18" w:right="26"/>
              <w:rPr>
                <w:sz w:val="14"/>
              </w:rPr>
            </w:pPr>
            <w:r>
              <w:rPr>
                <w:color w:val="231F20"/>
                <w:spacing w:val="-5"/>
                <w:w w:val="95"/>
                <w:sz w:val="14"/>
              </w:rPr>
              <w:t>0.8</w:t>
            </w:r>
          </w:p>
        </w:tc>
        <w:tc>
          <w:tcPr>
            <w:tcW w:w="1249" w:type="dxa"/>
            <w:shd w:val="clear" w:color="auto" w:fill="D4E3F5"/>
          </w:tcPr>
          <w:p>
            <w:pPr>
              <w:pStyle w:val="TableParagraph"/>
              <w:ind w:left="71" w:right="20"/>
              <w:rPr>
                <w:sz w:val="14"/>
              </w:rPr>
            </w:pPr>
            <w:r>
              <w:rPr>
                <w:color w:val="231F20"/>
                <w:spacing w:val="-5"/>
                <w:w w:val="95"/>
                <w:sz w:val="14"/>
              </w:rPr>
              <w:t>1.1</w:t>
            </w:r>
          </w:p>
        </w:tc>
        <w:tc>
          <w:tcPr>
            <w:tcW w:w="1095" w:type="dxa"/>
            <w:shd w:val="clear" w:color="auto" w:fill="D4E3F5"/>
          </w:tcPr>
          <w:p>
            <w:pPr>
              <w:pStyle w:val="TableParagraph"/>
              <w:ind w:left="26" w:right="55"/>
              <w:rPr>
                <w:sz w:val="14"/>
              </w:rPr>
            </w:pPr>
            <w:r>
              <w:rPr>
                <w:color w:val="231F20"/>
                <w:spacing w:val="-5"/>
                <w:w w:val="95"/>
                <w:sz w:val="14"/>
              </w:rPr>
              <w:t>1.4</w:t>
            </w:r>
          </w:p>
        </w:tc>
      </w:tr>
      <w:tr>
        <w:trPr>
          <w:trHeight w:val="259" w:hRule="atLeast"/>
        </w:trPr>
        <w:tc>
          <w:tcPr>
            <w:tcW w:w="1380" w:type="dxa"/>
          </w:tcPr>
          <w:p>
            <w:pPr>
              <w:pStyle w:val="TableParagraph"/>
              <w:ind w:left="80"/>
              <w:jc w:val="left"/>
              <w:rPr>
                <w:sz w:val="14"/>
              </w:rPr>
            </w:pPr>
            <w:r>
              <w:rPr>
                <w:color w:val="231F20"/>
                <w:spacing w:val="-4"/>
                <w:w w:val="85"/>
                <w:sz w:val="14"/>
              </w:rPr>
              <w:t>Togo</w:t>
            </w:r>
          </w:p>
        </w:tc>
        <w:tc>
          <w:tcPr>
            <w:tcW w:w="1087" w:type="dxa"/>
          </w:tcPr>
          <w:p>
            <w:pPr>
              <w:pStyle w:val="TableParagraph"/>
              <w:ind w:left="93" w:right="67"/>
              <w:rPr>
                <w:sz w:val="14"/>
              </w:rPr>
            </w:pPr>
            <w:r>
              <w:rPr>
                <w:color w:val="231F20"/>
                <w:spacing w:val="-5"/>
                <w:w w:val="95"/>
                <w:sz w:val="14"/>
              </w:rPr>
              <w:t>25</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1"/>
              <w:jc w:val="right"/>
              <w:rPr>
                <w:sz w:val="14"/>
              </w:rPr>
            </w:pPr>
            <w:r>
              <w:rPr>
                <w:color w:val="231F20"/>
                <w:spacing w:val="-5"/>
                <w:w w:val="95"/>
                <w:sz w:val="14"/>
              </w:rPr>
              <w:t>30</w:t>
            </w:r>
          </w:p>
        </w:tc>
        <w:tc>
          <w:tcPr>
            <w:tcW w:w="1245" w:type="dxa"/>
          </w:tcPr>
          <w:p>
            <w:pPr>
              <w:pStyle w:val="TableParagraph"/>
              <w:ind w:left="65" w:right="20"/>
              <w:rPr>
                <w:sz w:val="14"/>
              </w:rPr>
            </w:pPr>
            <w:r>
              <w:rPr>
                <w:color w:val="231F20"/>
                <w:spacing w:val="-5"/>
                <w:w w:val="95"/>
                <w:sz w:val="14"/>
              </w:rPr>
              <w:t>1.1</w:t>
            </w:r>
          </w:p>
        </w:tc>
        <w:tc>
          <w:tcPr>
            <w:tcW w:w="1195" w:type="dxa"/>
          </w:tcPr>
          <w:p>
            <w:pPr>
              <w:pStyle w:val="TableParagraph"/>
              <w:ind w:left="24" w:right="155"/>
              <w:rPr>
                <w:sz w:val="14"/>
              </w:rPr>
            </w:pPr>
            <w:r>
              <w:rPr>
                <w:color w:val="231F20"/>
                <w:spacing w:val="-5"/>
                <w:w w:val="95"/>
                <w:sz w:val="14"/>
              </w:rPr>
              <w:t>1.4</w:t>
            </w:r>
          </w:p>
        </w:tc>
        <w:tc>
          <w:tcPr>
            <w:tcW w:w="921" w:type="dxa"/>
          </w:tcPr>
          <w:p>
            <w:pPr>
              <w:pStyle w:val="TableParagraph"/>
              <w:ind w:left="18" w:right="26"/>
              <w:rPr>
                <w:sz w:val="14"/>
              </w:rPr>
            </w:pPr>
            <w:r>
              <w:rPr>
                <w:color w:val="231F20"/>
                <w:spacing w:val="-5"/>
                <w:w w:val="95"/>
                <w:sz w:val="14"/>
              </w:rPr>
              <w:t>0.5</w:t>
            </w:r>
          </w:p>
        </w:tc>
        <w:tc>
          <w:tcPr>
            <w:tcW w:w="1249" w:type="dxa"/>
          </w:tcPr>
          <w:p>
            <w:pPr>
              <w:pStyle w:val="TableParagraph"/>
              <w:ind w:left="71"/>
              <w:rPr>
                <w:sz w:val="14"/>
              </w:rPr>
            </w:pPr>
            <w:r>
              <w:rPr>
                <w:color w:val="231F20"/>
                <w:spacing w:val="-5"/>
                <w:w w:val="95"/>
                <w:sz w:val="14"/>
              </w:rPr>
              <w:t>1.2</w:t>
            </w:r>
          </w:p>
        </w:tc>
        <w:tc>
          <w:tcPr>
            <w:tcW w:w="1095" w:type="dxa"/>
          </w:tcPr>
          <w:p>
            <w:pPr>
              <w:pStyle w:val="TableParagraph"/>
              <w:ind w:left="26" w:right="55"/>
              <w:rPr>
                <w:sz w:val="14"/>
              </w:rPr>
            </w:pPr>
            <w:r>
              <w:rPr>
                <w:color w:val="231F20"/>
                <w:spacing w:val="-5"/>
                <w:w w:val="95"/>
                <w:sz w:val="14"/>
              </w:rPr>
              <w:t>1.4</w:t>
            </w:r>
          </w:p>
        </w:tc>
      </w:tr>
      <w:tr>
        <w:trPr>
          <w:trHeight w:val="259" w:hRule="atLeast"/>
        </w:trPr>
        <w:tc>
          <w:tcPr>
            <w:tcW w:w="1380" w:type="dxa"/>
            <w:shd w:val="clear" w:color="auto" w:fill="D4E3F5"/>
          </w:tcPr>
          <w:p>
            <w:pPr>
              <w:pStyle w:val="TableParagraph"/>
              <w:ind w:left="80"/>
              <w:jc w:val="left"/>
              <w:rPr>
                <w:sz w:val="14"/>
              </w:rPr>
            </w:pPr>
            <w:r>
              <w:rPr>
                <w:color w:val="231F20"/>
                <w:w w:val="75"/>
                <w:sz w:val="14"/>
              </w:rPr>
              <w:t>Trinidad</w:t>
            </w:r>
            <w:r>
              <w:rPr>
                <w:color w:val="231F20"/>
                <w:spacing w:val="6"/>
                <w:sz w:val="14"/>
              </w:rPr>
              <w:t> </w:t>
            </w:r>
            <w:r>
              <w:rPr>
                <w:color w:val="231F20"/>
                <w:w w:val="75"/>
                <w:sz w:val="14"/>
              </w:rPr>
              <w:t>and</w:t>
            </w:r>
            <w:r>
              <w:rPr>
                <w:color w:val="231F20"/>
                <w:spacing w:val="6"/>
                <w:sz w:val="14"/>
              </w:rPr>
              <w:t> </w:t>
            </w:r>
            <w:r>
              <w:rPr>
                <w:color w:val="231F20"/>
                <w:spacing w:val="-2"/>
                <w:w w:val="75"/>
                <w:sz w:val="14"/>
              </w:rPr>
              <w:t>Tobago</w:t>
            </w:r>
          </w:p>
        </w:tc>
        <w:tc>
          <w:tcPr>
            <w:tcW w:w="1087" w:type="dxa"/>
            <w:shd w:val="clear" w:color="auto" w:fill="D4E3F5"/>
          </w:tcPr>
          <w:p>
            <w:pPr>
              <w:pStyle w:val="TableParagraph"/>
              <w:ind w:left="93" w:right="67"/>
              <w:rPr>
                <w:sz w:val="14"/>
              </w:rPr>
            </w:pPr>
            <w:r>
              <w:rPr>
                <w:color w:val="231F20"/>
                <w:spacing w:val="-5"/>
                <w:w w:val="95"/>
                <w:sz w:val="14"/>
              </w:rPr>
              <w:t>16</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3"/>
              <w:jc w:val="right"/>
              <w:rPr>
                <w:sz w:val="14"/>
              </w:rPr>
            </w:pPr>
            <w:r>
              <w:rPr>
                <w:color w:val="231F20"/>
                <w:spacing w:val="-5"/>
                <w:w w:val="95"/>
                <w:sz w:val="14"/>
              </w:rPr>
              <w:t>27</w:t>
            </w:r>
          </w:p>
        </w:tc>
        <w:tc>
          <w:tcPr>
            <w:tcW w:w="1245" w:type="dxa"/>
            <w:shd w:val="clear" w:color="auto" w:fill="D4E3F5"/>
          </w:tcPr>
          <w:p>
            <w:pPr>
              <w:pStyle w:val="TableParagraph"/>
              <w:ind w:left="65" w:right="8"/>
              <w:rPr>
                <w:sz w:val="14"/>
              </w:rPr>
            </w:pPr>
            <w:r>
              <w:rPr>
                <w:color w:val="231F20"/>
                <w:spacing w:val="-5"/>
                <w:w w:val="95"/>
                <w:sz w:val="14"/>
              </w:rPr>
              <w:t>0.8</w:t>
            </w:r>
          </w:p>
        </w:tc>
        <w:tc>
          <w:tcPr>
            <w:tcW w:w="1195" w:type="dxa"/>
            <w:shd w:val="clear" w:color="auto" w:fill="D4E3F5"/>
          </w:tcPr>
          <w:p>
            <w:pPr>
              <w:pStyle w:val="TableParagraph"/>
              <w:ind w:left="19" w:right="155"/>
              <w:rPr>
                <w:sz w:val="14"/>
              </w:rPr>
            </w:pPr>
            <w:r>
              <w:rPr>
                <w:color w:val="231F20"/>
                <w:spacing w:val="-5"/>
                <w:w w:val="95"/>
                <w:sz w:val="14"/>
              </w:rPr>
              <w:t>0.9</w:t>
            </w:r>
          </w:p>
        </w:tc>
        <w:tc>
          <w:tcPr>
            <w:tcW w:w="921" w:type="dxa"/>
            <w:shd w:val="clear" w:color="auto" w:fill="D4E3F5"/>
          </w:tcPr>
          <w:p>
            <w:pPr>
              <w:pStyle w:val="TableParagraph"/>
              <w:ind w:left="18" w:right="26"/>
              <w:rPr>
                <w:sz w:val="14"/>
              </w:rPr>
            </w:pPr>
            <w:r>
              <w:rPr>
                <w:color w:val="231F20"/>
                <w:spacing w:val="-5"/>
                <w:w w:val="95"/>
                <w:sz w:val="14"/>
              </w:rPr>
              <w:t>0.5</w:t>
            </w:r>
          </w:p>
        </w:tc>
        <w:tc>
          <w:tcPr>
            <w:tcW w:w="1249" w:type="dxa"/>
            <w:shd w:val="clear" w:color="auto" w:fill="D4E3F5"/>
          </w:tcPr>
          <w:p>
            <w:pPr>
              <w:pStyle w:val="TableParagraph"/>
              <w:ind w:left="71" w:right="8"/>
              <w:rPr>
                <w:sz w:val="14"/>
              </w:rPr>
            </w:pPr>
            <w:r>
              <w:rPr>
                <w:color w:val="231F20"/>
                <w:spacing w:val="-5"/>
                <w:w w:val="95"/>
                <w:sz w:val="14"/>
              </w:rPr>
              <w:t>0.8</w:t>
            </w:r>
          </w:p>
        </w:tc>
        <w:tc>
          <w:tcPr>
            <w:tcW w:w="1095" w:type="dxa"/>
            <w:shd w:val="clear" w:color="auto" w:fill="D4E3F5"/>
          </w:tcPr>
          <w:p>
            <w:pPr>
              <w:pStyle w:val="TableParagraph"/>
              <w:ind w:left="27" w:right="55"/>
              <w:rPr>
                <w:sz w:val="14"/>
              </w:rPr>
            </w:pPr>
            <w:r>
              <w:rPr>
                <w:color w:val="231F20"/>
                <w:spacing w:val="-5"/>
                <w:w w:val="95"/>
                <w:sz w:val="14"/>
              </w:rPr>
              <w:t>1.0</w:t>
            </w:r>
          </w:p>
        </w:tc>
      </w:tr>
      <w:tr>
        <w:trPr>
          <w:trHeight w:val="259" w:hRule="atLeast"/>
        </w:trPr>
        <w:tc>
          <w:tcPr>
            <w:tcW w:w="1380" w:type="dxa"/>
          </w:tcPr>
          <w:p>
            <w:pPr>
              <w:pStyle w:val="TableParagraph"/>
              <w:ind w:left="80"/>
              <w:jc w:val="left"/>
              <w:rPr>
                <w:sz w:val="14"/>
              </w:rPr>
            </w:pPr>
            <w:r>
              <w:rPr>
                <w:color w:val="231F20"/>
                <w:spacing w:val="-2"/>
                <w:w w:val="90"/>
                <w:sz w:val="14"/>
              </w:rPr>
              <w:t>Türkiye</w:t>
            </w:r>
          </w:p>
        </w:tc>
        <w:tc>
          <w:tcPr>
            <w:tcW w:w="1087" w:type="dxa"/>
          </w:tcPr>
          <w:p>
            <w:pPr>
              <w:pStyle w:val="TableParagraph"/>
              <w:ind w:left="93" w:right="132"/>
              <w:rPr>
                <w:sz w:val="14"/>
              </w:rPr>
            </w:pPr>
            <w:r>
              <w:rPr>
                <w:color w:val="231F20"/>
                <w:spacing w:val="-5"/>
                <w:w w:val="95"/>
                <w:sz w:val="14"/>
              </w:rPr>
              <w:t>109</w:t>
            </w:r>
          </w:p>
        </w:tc>
        <w:tc>
          <w:tcPr>
            <w:tcW w:w="1087" w:type="dxa"/>
          </w:tcPr>
          <w:p>
            <w:pPr>
              <w:pStyle w:val="TableParagraph"/>
              <w:ind w:left="93" w:right="60"/>
              <w:rPr>
                <w:sz w:val="14"/>
              </w:rPr>
            </w:pPr>
            <w:r>
              <w:rPr>
                <w:color w:val="231F20"/>
                <w:spacing w:val="-10"/>
                <w:w w:val="95"/>
                <w:sz w:val="14"/>
              </w:rPr>
              <w:t>3</w:t>
            </w:r>
          </w:p>
        </w:tc>
        <w:tc>
          <w:tcPr>
            <w:tcW w:w="1062" w:type="dxa"/>
          </w:tcPr>
          <w:p>
            <w:pPr>
              <w:pStyle w:val="TableParagraph"/>
              <w:ind w:right="401"/>
              <w:jc w:val="right"/>
              <w:rPr>
                <w:sz w:val="14"/>
              </w:rPr>
            </w:pPr>
            <w:r>
              <w:rPr>
                <w:color w:val="231F20"/>
                <w:spacing w:val="-5"/>
                <w:w w:val="95"/>
                <w:sz w:val="14"/>
              </w:rPr>
              <w:t>50</w:t>
            </w:r>
          </w:p>
        </w:tc>
        <w:tc>
          <w:tcPr>
            <w:tcW w:w="1245" w:type="dxa"/>
          </w:tcPr>
          <w:p>
            <w:pPr>
              <w:pStyle w:val="TableParagraph"/>
              <w:ind w:left="65" w:right="13"/>
              <w:rPr>
                <w:sz w:val="14"/>
              </w:rPr>
            </w:pPr>
            <w:r>
              <w:rPr>
                <w:color w:val="231F20"/>
                <w:spacing w:val="-5"/>
                <w:w w:val="95"/>
                <w:sz w:val="14"/>
              </w:rPr>
              <w:t>0.7</w:t>
            </w:r>
          </w:p>
        </w:tc>
        <w:tc>
          <w:tcPr>
            <w:tcW w:w="1195" w:type="dxa"/>
          </w:tcPr>
          <w:p>
            <w:pPr>
              <w:pStyle w:val="TableParagraph"/>
              <w:ind w:left="25" w:right="155"/>
              <w:rPr>
                <w:sz w:val="14"/>
              </w:rPr>
            </w:pPr>
            <w:r>
              <w:rPr>
                <w:color w:val="231F20"/>
                <w:spacing w:val="-5"/>
                <w:w w:val="95"/>
                <w:sz w:val="14"/>
              </w:rPr>
              <w:t>1.0</w:t>
            </w:r>
          </w:p>
        </w:tc>
        <w:tc>
          <w:tcPr>
            <w:tcW w:w="921" w:type="dxa"/>
          </w:tcPr>
          <w:p>
            <w:pPr>
              <w:pStyle w:val="TableParagraph"/>
              <w:ind w:left="18" w:right="26"/>
              <w:rPr>
                <w:sz w:val="14"/>
              </w:rPr>
            </w:pPr>
            <w:r>
              <w:rPr>
                <w:color w:val="231F20"/>
                <w:spacing w:val="-5"/>
                <w:w w:val="95"/>
                <w:sz w:val="14"/>
              </w:rPr>
              <w:t>0.6</w:t>
            </w:r>
          </w:p>
        </w:tc>
        <w:tc>
          <w:tcPr>
            <w:tcW w:w="1249" w:type="dxa"/>
          </w:tcPr>
          <w:p>
            <w:pPr>
              <w:pStyle w:val="TableParagraph"/>
              <w:ind w:left="71" w:right="2"/>
              <w:rPr>
                <w:sz w:val="14"/>
              </w:rPr>
            </w:pPr>
            <w:r>
              <w:rPr>
                <w:color w:val="231F20"/>
                <w:spacing w:val="-5"/>
                <w:w w:val="95"/>
                <w:sz w:val="14"/>
              </w:rPr>
              <w:t>1.0</w:t>
            </w:r>
          </w:p>
        </w:tc>
        <w:tc>
          <w:tcPr>
            <w:tcW w:w="1095" w:type="dxa"/>
          </w:tcPr>
          <w:p>
            <w:pPr>
              <w:pStyle w:val="TableParagraph"/>
              <w:ind w:left="29" w:right="55"/>
              <w:rPr>
                <w:sz w:val="14"/>
              </w:rPr>
            </w:pPr>
            <w:r>
              <w:rPr>
                <w:color w:val="231F20"/>
                <w:spacing w:val="-5"/>
                <w:w w:val="95"/>
                <w:sz w:val="14"/>
              </w:rPr>
              <w:t>1.2</w:t>
            </w:r>
          </w:p>
        </w:tc>
      </w:tr>
      <w:tr>
        <w:trPr>
          <w:trHeight w:val="259" w:hRule="atLeast"/>
        </w:trPr>
        <w:tc>
          <w:tcPr>
            <w:tcW w:w="1380" w:type="dxa"/>
            <w:shd w:val="clear" w:color="auto" w:fill="D4E3F5"/>
          </w:tcPr>
          <w:p>
            <w:pPr>
              <w:pStyle w:val="TableParagraph"/>
              <w:ind w:left="80"/>
              <w:jc w:val="left"/>
              <w:rPr>
                <w:sz w:val="14"/>
              </w:rPr>
            </w:pPr>
            <w:r>
              <w:rPr>
                <w:color w:val="231F20"/>
                <w:spacing w:val="-2"/>
                <w:w w:val="90"/>
                <w:sz w:val="14"/>
              </w:rPr>
              <w:t>Ukraine</w:t>
            </w:r>
          </w:p>
        </w:tc>
        <w:tc>
          <w:tcPr>
            <w:tcW w:w="1087" w:type="dxa"/>
            <w:shd w:val="clear" w:color="auto" w:fill="D4E3F5"/>
          </w:tcPr>
          <w:p>
            <w:pPr>
              <w:pStyle w:val="TableParagraph"/>
              <w:ind w:left="624"/>
              <w:jc w:val="left"/>
              <w:rPr>
                <w:sz w:val="14"/>
              </w:rPr>
            </w:pPr>
            <w:r>
              <w:rPr>
                <w:color w:val="231F20"/>
                <w:spacing w:val="-5"/>
                <w:w w:val="90"/>
                <w:sz w:val="14"/>
              </w:rPr>
              <w:t>N/A</w:t>
            </w:r>
          </w:p>
        </w:tc>
        <w:tc>
          <w:tcPr>
            <w:tcW w:w="1087" w:type="dxa"/>
            <w:shd w:val="clear" w:color="auto" w:fill="D4E3F5"/>
          </w:tcPr>
          <w:p>
            <w:pPr>
              <w:pStyle w:val="TableParagraph"/>
              <w:ind w:left="93" w:right="62"/>
              <w:rPr>
                <w:sz w:val="14"/>
              </w:rPr>
            </w:pPr>
            <w:r>
              <w:rPr>
                <w:color w:val="231F20"/>
                <w:spacing w:val="-5"/>
                <w:w w:val="90"/>
                <w:sz w:val="14"/>
              </w:rPr>
              <w:t>N/A</w:t>
            </w:r>
          </w:p>
        </w:tc>
        <w:tc>
          <w:tcPr>
            <w:tcW w:w="1062" w:type="dxa"/>
            <w:shd w:val="clear" w:color="auto" w:fill="D4E3F5"/>
          </w:tcPr>
          <w:p>
            <w:pPr>
              <w:pStyle w:val="TableParagraph"/>
              <w:ind w:right="407"/>
              <w:jc w:val="right"/>
              <w:rPr>
                <w:sz w:val="14"/>
              </w:rPr>
            </w:pPr>
            <w:r>
              <w:rPr>
                <w:color w:val="231F20"/>
                <w:spacing w:val="-10"/>
                <w:w w:val="95"/>
                <w:sz w:val="14"/>
              </w:rPr>
              <w:t>0</w:t>
            </w:r>
          </w:p>
        </w:tc>
        <w:tc>
          <w:tcPr>
            <w:tcW w:w="1245" w:type="dxa"/>
            <w:shd w:val="clear" w:color="auto" w:fill="D4E3F5"/>
          </w:tcPr>
          <w:p>
            <w:pPr>
              <w:pStyle w:val="TableParagraph"/>
              <w:ind w:left="65" w:right="8"/>
              <w:rPr>
                <w:sz w:val="14"/>
              </w:rPr>
            </w:pPr>
            <w:r>
              <w:rPr>
                <w:color w:val="231F20"/>
                <w:spacing w:val="-5"/>
                <w:w w:val="95"/>
                <w:sz w:val="14"/>
              </w:rPr>
              <w:t>0.9</w:t>
            </w:r>
          </w:p>
        </w:tc>
        <w:tc>
          <w:tcPr>
            <w:tcW w:w="1195" w:type="dxa"/>
            <w:shd w:val="clear" w:color="auto" w:fill="D4E3F5"/>
          </w:tcPr>
          <w:p>
            <w:pPr>
              <w:pStyle w:val="TableParagraph"/>
              <w:ind w:left="27" w:right="155"/>
              <w:rPr>
                <w:sz w:val="14"/>
              </w:rPr>
            </w:pPr>
            <w:r>
              <w:rPr>
                <w:color w:val="231F20"/>
                <w:spacing w:val="-5"/>
                <w:w w:val="95"/>
                <w:sz w:val="14"/>
              </w:rPr>
              <w:t>1.2</w:t>
            </w:r>
          </w:p>
        </w:tc>
        <w:tc>
          <w:tcPr>
            <w:tcW w:w="921" w:type="dxa"/>
            <w:shd w:val="clear" w:color="auto" w:fill="D4E3F5"/>
          </w:tcPr>
          <w:p>
            <w:pPr>
              <w:pStyle w:val="TableParagraph"/>
              <w:ind w:left="18" w:right="26"/>
              <w:rPr>
                <w:sz w:val="14"/>
              </w:rPr>
            </w:pPr>
            <w:r>
              <w:rPr>
                <w:color w:val="231F20"/>
                <w:spacing w:val="-5"/>
                <w:w w:val="95"/>
                <w:sz w:val="14"/>
              </w:rPr>
              <w:t>0.8</w:t>
            </w:r>
          </w:p>
        </w:tc>
        <w:tc>
          <w:tcPr>
            <w:tcW w:w="1249" w:type="dxa"/>
            <w:shd w:val="clear" w:color="auto" w:fill="D4E3F5"/>
          </w:tcPr>
          <w:p>
            <w:pPr>
              <w:pStyle w:val="TableParagraph"/>
              <w:ind w:left="71"/>
              <w:rPr>
                <w:sz w:val="14"/>
              </w:rPr>
            </w:pPr>
            <w:r>
              <w:rPr>
                <w:color w:val="231F20"/>
                <w:spacing w:val="-5"/>
                <w:w w:val="95"/>
                <w:sz w:val="14"/>
              </w:rPr>
              <w:t>1.2</w:t>
            </w:r>
          </w:p>
        </w:tc>
        <w:tc>
          <w:tcPr>
            <w:tcW w:w="1095" w:type="dxa"/>
            <w:shd w:val="clear" w:color="auto" w:fill="D4E3F5"/>
          </w:tcPr>
          <w:p>
            <w:pPr>
              <w:pStyle w:val="TableParagraph"/>
              <w:ind w:left="28" w:right="55"/>
              <w:rPr>
                <w:sz w:val="14"/>
              </w:rPr>
            </w:pPr>
            <w:r>
              <w:rPr>
                <w:color w:val="231F20"/>
                <w:spacing w:val="-5"/>
                <w:w w:val="95"/>
                <w:sz w:val="14"/>
              </w:rPr>
              <w:t>1.3</w:t>
            </w:r>
          </w:p>
        </w:tc>
      </w:tr>
      <w:tr>
        <w:trPr>
          <w:trHeight w:val="259" w:hRule="atLeast"/>
        </w:trPr>
        <w:tc>
          <w:tcPr>
            <w:tcW w:w="1380" w:type="dxa"/>
          </w:tcPr>
          <w:p>
            <w:pPr>
              <w:pStyle w:val="TableParagraph"/>
              <w:ind w:left="80"/>
              <w:jc w:val="left"/>
              <w:rPr>
                <w:sz w:val="14"/>
              </w:rPr>
            </w:pPr>
            <w:r>
              <w:rPr>
                <w:color w:val="231F20"/>
                <w:w w:val="75"/>
                <w:sz w:val="14"/>
              </w:rPr>
              <w:t>United</w:t>
            </w:r>
            <w:r>
              <w:rPr>
                <w:color w:val="231F20"/>
                <w:spacing w:val="9"/>
                <w:sz w:val="14"/>
              </w:rPr>
              <w:t> </w:t>
            </w:r>
            <w:r>
              <w:rPr>
                <w:color w:val="231F20"/>
                <w:w w:val="75"/>
                <w:sz w:val="14"/>
              </w:rPr>
              <w:t>Arab</w:t>
            </w:r>
            <w:r>
              <w:rPr>
                <w:color w:val="231F20"/>
                <w:spacing w:val="9"/>
                <w:sz w:val="14"/>
              </w:rPr>
              <w:t> </w:t>
            </w:r>
            <w:r>
              <w:rPr>
                <w:color w:val="231F20"/>
                <w:spacing w:val="-2"/>
                <w:w w:val="75"/>
                <w:sz w:val="14"/>
              </w:rPr>
              <w:t>Emirates</w:t>
            </w:r>
          </w:p>
        </w:tc>
        <w:tc>
          <w:tcPr>
            <w:tcW w:w="1087" w:type="dxa"/>
          </w:tcPr>
          <w:p>
            <w:pPr>
              <w:pStyle w:val="TableParagraph"/>
              <w:ind w:left="93" w:right="67"/>
              <w:rPr>
                <w:sz w:val="14"/>
              </w:rPr>
            </w:pPr>
            <w:r>
              <w:rPr>
                <w:color w:val="231F20"/>
                <w:spacing w:val="-5"/>
                <w:w w:val="95"/>
                <w:sz w:val="14"/>
              </w:rPr>
              <w:t>85</w:t>
            </w:r>
          </w:p>
        </w:tc>
        <w:tc>
          <w:tcPr>
            <w:tcW w:w="1087" w:type="dxa"/>
          </w:tcPr>
          <w:p>
            <w:pPr>
              <w:pStyle w:val="TableParagraph"/>
              <w:ind w:left="93" w:right="60"/>
              <w:rPr>
                <w:sz w:val="14"/>
              </w:rPr>
            </w:pPr>
            <w:r>
              <w:rPr>
                <w:color w:val="231F20"/>
                <w:spacing w:val="-10"/>
                <w:w w:val="95"/>
                <w:sz w:val="14"/>
              </w:rPr>
              <w:t>3</w:t>
            </w:r>
          </w:p>
        </w:tc>
        <w:tc>
          <w:tcPr>
            <w:tcW w:w="1062" w:type="dxa"/>
          </w:tcPr>
          <w:p>
            <w:pPr>
              <w:pStyle w:val="TableParagraph"/>
              <w:ind w:right="401"/>
              <w:jc w:val="right"/>
              <w:rPr>
                <w:sz w:val="14"/>
              </w:rPr>
            </w:pPr>
            <w:r>
              <w:rPr>
                <w:color w:val="231F20"/>
                <w:spacing w:val="-5"/>
                <w:w w:val="95"/>
                <w:sz w:val="14"/>
              </w:rPr>
              <w:t>55</w:t>
            </w:r>
          </w:p>
        </w:tc>
        <w:tc>
          <w:tcPr>
            <w:tcW w:w="1245" w:type="dxa"/>
          </w:tcPr>
          <w:p>
            <w:pPr>
              <w:pStyle w:val="TableParagraph"/>
              <w:ind w:left="65" w:right="20"/>
              <w:rPr>
                <w:sz w:val="14"/>
              </w:rPr>
            </w:pPr>
            <w:r>
              <w:rPr>
                <w:color w:val="231F20"/>
                <w:spacing w:val="-5"/>
                <w:w w:val="95"/>
                <w:sz w:val="14"/>
              </w:rPr>
              <w:t>1.1</w:t>
            </w:r>
          </w:p>
        </w:tc>
        <w:tc>
          <w:tcPr>
            <w:tcW w:w="1195" w:type="dxa"/>
          </w:tcPr>
          <w:p>
            <w:pPr>
              <w:pStyle w:val="TableParagraph"/>
              <w:ind w:left="25" w:right="155"/>
              <w:rPr>
                <w:sz w:val="14"/>
              </w:rPr>
            </w:pPr>
            <w:r>
              <w:rPr>
                <w:color w:val="231F20"/>
                <w:spacing w:val="-5"/>
                <w:w w:val="95"/>
                <w:sz w:val="14"/>
              </w:rPr>
              <w:t>1.6</w:t>
            </w:r>
          </w:p>
        </w:tc>
        <w:tc>
          <w:tcPr>
            <w:tcW w:w="921" w:type="dxa"/>
          </w:tcPr>
          <w:p>
            <w:pPr>
              <w:pStyle w:val="TableParagraph"/>
              <w:ind w:left="24" w:right="26"/>
              <w:rPr>
                <w:sz w:val="14"/>
              </w:rPr>
            </w:pPr>
            <w:r>
              <w:rPr>
                <w:color w:val="231F20"/>
                <w:spacing w:val="-5"/>
                <w:w w:val="95"/>
                <w:sz w:val="14"/>
              </w:rPr>
              <w:t>1.0</w:t>
            </w:r>
          </w:p>
        </w:tc>
        <w:tc>
          <w:tcPr>
            <w:tcW w:w="1249" w:type="dxa"/>
          </w:tcPr>
          <w:p>
            <w:pPr>
              <w:pStyle w:val="TableParagraph"/>
              <w:ind w:left="71"/>
              <w:rPr>
                <w:sz w:val="14"/>
              </w:rPr>
            </w:pPr>
            <w:r>
              <w:rPr>
                <w:color w:val="231F20"/>
                <w:spacing w:val="-5"/>
                <w:w w:val="95"/>
                <w:sz w:val="14"/>
              </w:rPr>
              <w:t>1.2</w:t>
            </w:r>
          </w:p>
        </w:tc>
        <w:tc>
          <w:tcPr>
            <w:tcW w:w="1095" w:type="dxa"/>
          </w:tcPr>
          <w:p>
            <w:pPr>
              <w:pStyle w:val="TableParagraph"/>
              <w:ind w:left="27" w:right="55"/>
              <w:rPr>
                <w:sz w:val="14"/>
              </w:rPr>
            </w:pPr>
            <w:r>
              <w:rPr>
                <w:color w:val="231F20"/>
                <w:spacing w:val="-5"/>
                <w:w w:val="95"/>
                <w:sz w:val="14"/>
              </w:rPr>
              <w:t>1.6</w:t>
            </w:r>
          </w:p>
        </w:tc>
      </w:tr>
      <w:tr>
        <w:trPr>
          <w:trHeight w:val="259" w:hRule="atLeast"/>
        </w:trPr>
        <w:tc>
          <w:tcPr>
            <w:tcW w:w="1380" w:type="dxa"/>
            <w:shd w:val="clear" w:color="auto" w:fill="D4E3F5"/>
          </w:tcPr>
          <w:p>
            <w:pPr>
              <w:pStyle w:val="TableParagraph"/>
              <w:ind w:left="80"/>
              <w:jc w:val="left"/>
              <w:rPr>
                <w:sz w:val="14"/>
              </w:rPr>
            </w:pPr>
            <w:r>
              <w:rPr>
                <w:color w:val="231F20"/>
                <w:w w:val="75"/>
                <w:sz w:val="14"/>
              </w:rPr>
              <w:t>United</w:t>
            </w:r>
            <w:r>
              <w:rPr>
                <w:color w:val="231F20"/>
                <w:spacing w:val="9"/>
                <w:sz w:val="14"/>
              </w:rPr>
              <w:t> </w:t>
            </w:r>
            <w:r>
              <w:rPr>
                <w:color w:val="231F20"/>
                <w:spacing w:val="-2"/>
                <w:w w:val="90"/>
                <w:sz w:val="14"/>
              </w:rPr>
              <w:t>Kingdom</w:t>
            </w:r>
          </w:p>
        </w:tc>
        <w:tc>
          <w:tcPr>
            <w:tcW w:w="1087" w:type="dxa"/>
            <w:shd w:val="clear" w:color="auto" w:fill="D4E3F5"/>
          </w:tcPr>
          <w:p>
            <w:pPr>
              <w:pStyle w:val="TableParagraph"/>
              <w:ind w:left="93" w:right="131"/>
              <w:rPr>
                <w:sz w:val="14"/>
              </w:rPr>
            </w:pPr>
            <w:r>
              <w:rPr>
                <w:color w:val="231F20"/>
                <w:spacing w:val="-5"/>
                <w:w w:val="95"/>
                <w:sz w:val="14"/>
              </w:rPr>
              <w:t>133</w:t>
            </w:r>
          </w:p>
        </w:tc>
        <w:tc>
          <w:tcPr>
            <w:tcW w:w="1087" w:type="dxa"/>
            <w:shd w:val="clear" w:color="auto" w:fill="D4E3F5"/>
          </w:tcPr>
          <w:p>
            <w:pPr>
              <w:pStyle w:val="TableParagraph"/>
              <w:ind w:left="93" w:right="60"/>
              <w:rPr>
                <w:sz w:val="14"/>
              </w:rPr>
            </w:pPr>
            <w:r>
              <w:rPr>
                <w:color w:val="231F20"/>
                <w:spacing w:val="-10"/>
                <w:w w:val="95"/>
                <w:sz w:val="14"/>
              </w:rPr>
              <w:t>3</w:t>
            </w:r>
          </w:p>
        </w:tc>
        <w:tc>
          <w:tcPr>
            <w:tcW w:w="1062" w:type="dxa"/>
            <w:shd w:val="clear" w:color="auto" w:fill="D4E3F5"/>
          </w:tcPr>
          <w:p>
            <w:pPr>
              <w:pStyle w:val="TableParagraph"/>
              <w:ind w:right="401"/>
              <w:jc w:val="right"/>
              <w:rPr>
                <w:sz w:val="14"/>
              </w:rPr>
            </w:pPr>
            <w:r>
              <w:rPr>
                <w:color w:val="231F20"/>
                <w:spacing w:val="-5"/>
                <w:w w:val="95"/>
                <w:sz w:val="14"/>
              </w:rPr>
              <w:t>90</w:t>
            </w:r>
          </w:p>
        </w:tc>
        <w:tc>
          <w:tcPr>
            <w:tcW w:w="1245" w:type="dxa"/>
            <w:shd w:val="clear" w:color="auto" w:fill="D4E3F5"/>
          </w:tcPr>
          <w:p>
            <w:pPr>
              <w:pStyle w:val="TableParagraph"/>
              <w:ind w:left="65" w:right="8"/>
              <w:rPr>
                <w:sz w:val="14"/>
              </w:rPr>
            </w:pPr>
            <w:r>
              <w:rPr>
                <w:color w:val="231F20"/>
                <w:spacing w:val="-5"/>
                <w:w w:val="95"/>
                <w:sz w:val="14"/>
              </w:rPr>
              <w:t>0.9</w:t>
            </w:r>
          </w:p>
        </w:tc>
        <w:tc>
          <w:tcPr>
            <w:tcW w:w="1195" w:type="dxa"/>
            <w:shd w:val="clear" w:color="auto" w:fill="D4E3F5"/>
          </w:tcPr>
          <w:p>
            <w:pPr>
              <w:pStyle w:val="TableParagraph"/>
              <w:ind w:left="27" w:right="155"/>
              <w:rPr>
                <w:sz w:val="14"/>
              </w:rPr>
            </w:pPr>
            <w:r>
              <w:rPr>
                <w:color w:val="231F20"/>
                <w:spacing w:val="-5"/>
                <w:w w:val="95"/>
                <w:sz w:val="14"/>
              </w:rPr>
              <w:t>1.2</w:t>
            </w:r>
          </w:p>
        </w:tc>
        <w:tc>
          <w:tcPr>
            <w:tcW w:w="921" w:type="dxa"/>
            <w:shd w:val="clear" w:color="auto" w:fill="D4E3F5"/>
          </w:tcPr>
          <w:p>
            <w:pPr>
              <w:pStyle w:val="TableParagraph"/>
              <w:ind w:left="18" w:right="26"/>
              <w:rPr>
                <w:sz w:val="14"/>
              </w:rPr>
            </w:pPr>
            <w:r>
              <w:rPr>
                <w:color w:val="231F20"/>
                <w:spacing w:val="-5"/>
                <w:w w:val="95"/>
                <w:sz w:val="14"/>
              </w:rPr>
              <w:t>0.9</w:t>
            </w:r>
          </w:p>
        </w:tc>
        <w:tc>
          <w:tcPr>
            <w:tcW w:w="1249" w:type="dxa"/>
            <w:shd w:val="clear" w:color="auto" w:fill="D4E3F5"/>
          </w:tcPr>
          <w:p>
            <w:pPr>
              <w:pStyle w:val="TableParagraph"/>
              <w:ind w:left="71" w:right="1"/>
              <w:rPr>
                <w:sz w:val="14"/>
              </w:rPr>
            </w:pPr>
            <w:r>
              <w:rPr>
                <w:color w:val="231F20"/>
                <w:spacing w:val="-5"/>
                <w:w w:val="95"/>
                <w:sz w:val="14"/>
              </w:rPr>
              <w:t>1.3</w:t>
            </w:r>
          </w:p>
        </w:tc>
        <w:tc>
          <w:tcPr>
            <w:tcW w:w="1095" w:type="dxa"/>
            <w:shd w:val="clear" w:color="auto" w:fill="D4E3F5"/>
          </w:tcPr>
          <w:p>
            <w:pPr>
              <w:pStyle w:val="TableParagraph"/>
              <w:ind w:left="28" w:right="55"/>
              <w:rPr>
                <w:sz w:val="14"/>
              </w:rPr>
            </w:pPr>
            <w:r>
              <w:rPr>
                <w:color w:val="231F20"/>
                <w:spacing w:val="-5"/>
                <w:w w:val="95"/>
                <w:sz w:val="14"/>
              </w:rPr>
              <w:t>1.8</w:t>
            </w:r>
          </w:p>
        </w:tc>
      </w:tr>
      <w:tr>
        <w:trPr>
          <w:trHeight w:val="259" w:hRule="atLeast"/>
        </w:trPr>
        <w:tc>
          <w:tcPr>
            <w:tcW w:w="1380" w:type="dxa"/>
          </w:tcPr>
          <w:p>
            <w:pPr>
              <w:pStyle w:val="TableParagraph"/>
              <w:ind w:left="80"/>
              <w:jc w:val="left"/>
              <w:rPr>
                <w:sz w:val="14"/>
              </w:rPr>
            </w:pPr>
            <w:r>
              <w:rPr>
                <w:color w:val="231F20"/>
                <w:w w:val="75"/>
                <w:sz w:val="14"/>
              </w:rPr>
              <w:t>United</w:t>
            </w:r>
            <w:r>
              <w:rPr>
                <w:color w:val="231F20"/>
                <w:spacing w:val="9"/>
                <w:sz w:val="14"/>
              </w:rPr>
              <w:t> </w:t>
            </w:r>
            <w:r>
              <w:rPr>
                <w:color w:val="231F20"/>
                <w:spacing w:val="-2"/>
                <w:w w:val="90"/>
                <w:sz w:val="14"/>
              </w:rPr>
              <w:t>States</w:t>
            </w:r>
          </w:p>
        </w:tc>
        <w:tc>
          <w:tcPr>
            <w:tcW w:w="1087" w:type="dxa"/>
          </w:tcPr>
          <w:p>
            <w:pPr>
              <w:pStyle w:val="TableParagraph"/>
              <w:ind w:left="414"/>
              <w:jc w:val="left"/>
              <w:rPr>
                <w:sz w:val="14"/>
              </w:rPr>
            </w:pPr>
            <w:r>
              <w:rPr>
                <w:color w:val="231F20"/>
                <w:spacing w:val="-5"/>
                <w:w w:val="95"/>
                <w:sz w:val="14"/>
              </w:rPr>
              <w:t>223</w:t>
            </w:r>
          </w:p>
        </w:tc>
        <w:tc>
          <w:tcPr>
            <w:tcW w:w="1087" w:type="dxa"/>
          </w:tcPr>
          <w:p>
            <w:pPr>
              <w:pStyle w:val="TableParagraph"/>
              <w:ind w:left="93" w:right="60"/>
              <w:rPr>
                <w:sz w:val="14"/>
              </w:rPr>
            </w:pPr>
            <w:r>
              <w:rPr>
                <w:color w:val="231F20"/>
                <w:spacing w:val="-10"/>
                <w:w w:val="95"/>
                <w:sz w:val="14"/>
              </w:rPr>
              <w:t>5</w:t>
            </w:r>
          </w:p>
        </w:tc>
        <w:tc>
          <w:tcPr>
            <w:tcW w:w="1062" w:type="dxa"/>
          </w:tcPr>
          <w:p>
            <w:pPr>
              <w:pStyle w:val="TableParagraph"/>
              <w:ind w:right="407"/>
              <w:jc w:val="right"/>
              <w:rPr>
                <w:sz w:val="14"/>
              </w:rPr>
            </w:pPr>
            <w:r>
              <w:rPr>
                <w:color w:val="231F20"/>
                <w:spacing w:val="-5"/>
                <w:w w:val="95"/>
                <w:sz w:val="14"/>
              </w:rPr>
              <w:t>102</w:t>
            </w:r>
          </w:p>
        </w:tc>
        <w:tc>
          <w:tcPr>
            <w:tcW w:w="1245" w:type="dxa"/>
          </w:tcPr>
          <w:p>
            <w:pPr>
              <w:pStyle w:val="TableParagraph"/>
              <w:ind w:left="65" w:right="1"/>
              <w:rPr>
                <w:sz w:val="14"/>
              </w:rPr>
            </w:pPr>
            <w:r>
              <w:rPr>
                <w:color w:val="231F20"/>
                <w:spacing w:val="-5"/>
                <w:w w:val="95"/>
                <w:sz w:val="14"/>
              </w:rPr>
              <w:t>1.5</w:t>
            </w:r>
          </w:p>
        </w:tc>
        <w:tc>
          <w:tcPr>
            <w:tcW w:w="1195" w:type="dxa"/>
          </w:tcPr>
          <w:p>
            <w:pPr>
              <w:pStyle w:val="TableParagraph"/>
              <w:ind w:left="1" w:right="155"/>
              <w:rPr>
                <w:sz w:val="14"/>
              </w:rPr>
            </w:pPr>
            <w:r>
              <w:rPr>
                <w:color w:val="231F20"/>
                <w:spacing w:val="-5"/>
                <w:w w:val="95"/>
                <w:sz w:val="14"/>
              </w:rPr>
              <w:t>2.1</w:t>
            </w:r>
          </w:p>
        </w:tc>
        <w:tc>
          <w:tcPr>
            <w:tcW w:w="921" w:type="dxa"/>
          </w:tcPr>
          <w:p>
            <w:pPr>
              <w:pStyle w:val="TableParagraph"/>
              <w:ind w:left="23" w:right="26"/>
              <w:rPr>
                <w:sz w:val="14"/>
              </w:rPr>
            </w:pPr>
            <w:r>
              <w:rPr>
                <w:color w:val="231F20"/>
                <w:spacing w:val="-5"/>
                <w:w w:val="95"/>
                <w:sz w:val="14"/>
              </w:rPr>
              <w:t>1.4</w:t>
            </w:r>
          </w:p>
        </w:tc>
        <w:tc>
          <w:tcPr>
            <w:tcW w:w="1249" w:type="dxa"/>
          </w:tcPr>
          <w:p>
            <w:pPr>
              <w:pStyle w:val="TableParagraph"/>
              <w:ind w:left="71" w:right="2"/>
              <w:rPr>
                <w:sz w:val="14"/>
              </w:rPr>
            </w:pPr>
            <w:r>
              <w:rPr>
                <w:color w:val="231F20"/>
                <w:spacing w:val="-5"/>
                <w:w w:val="95"/>
                <w:sz w:val="14"/>
              </w:rPr>
              <w:t>1.9</w:t>
            </w:r>
          </w:p>
        </w:tc>
        <w:tc>
          <w:tcPr>
            <w:tcW w:w="1095" w:type="dxa"/>
          </w:tcPr>
          <w:p>
            <w:pPr>
              <w:pStyle w:val="TableParagraph"/>
              <w:ind w:left="16" w:right="55"/>
              <w:rPr>
                <w:sz w:val="14"/>
              </w:rPr>
            </w:pPr>
            <w:r>
              <w:rPr>
                <w:color w:val="231F20"/>
                <w:spacing w:val="-5"/>
                <w:w w:val="95"/>
                <w:sz w:val="14"/>
              </w:rPr>
              <w:t>2.7</w:t>
            </w:r>
          </w:p>
        </w:tc>
      </w:tr>
      <w:tr>
        <w:trPr>
          <w:trHeight w:val="259" w:hRule="atLeast"/>
        </w:trPr>
        <w:tc>
          <w:tcPr>
            <w:tcW w:w="1380" w:type="dxa"/>
            <w:shd w:val="clear" w:color="auto" w:fill="D4E3F5"/>
          </w:tcPr>
          <w:p>
            <w:pPr>
              <w:pStyle w:val="TableParagraph"/>
              <w:ind w:left="80"/>
              <w:jc w:val="left"/>
              <w:rPr>
                <w:sz w:val="14"/>
              </w:rPr>
            </w:pPr>
            <w:r>
              <w:rPr>
                <w:color w:val="231F20"/>
                <w:spacing w:val="-2"/>
                <w:w w:val="85"/>
                <w:sz w:val="14"/>
              </w:rPr>
              <w:t>Uruguay</w:t>
            </w:r>
          </w:p>
        </w:tc>
        <w:tc>
          <w:tcPr>
            <w:tcW w:w="1087" w:type="dxa"/>
            <w:shd w:val="clear" w:color="auto" w:fill="D4E3F5"/>
          </w:tcPr>
          <w:p>
            <w:pPr>
              <w:pStyle w:val="TableParagraph"/>
              <w:ind w:left="93" w:right="67"/>
              <w:rPr>
                <w:sz w:val="14"/>
              </w:rPr>
            </w:pPr>
            <w:r>
              <w:rPr>
                <w:color w:val="231F20"/>
                <w:spacing w:val="-5"/>
                <w:w w:val="95"/>
                <w:sz w:val="14"/>
              </w:rPr>
              <w:t>19</w:t>
            </w:r>
          </w:p>
        </w:tc>
        <w:tc>
          <w:tcPr>
            <w:tcW w:w="1087" w:type="dxa"/>
            <w:shd w:val="clear" w:color="auto" w:fill="D4E3F5"/>
          </w:tcPr>
          <w:p>
            <w:pPr>
              <w:pStyle w:val="TableParagraph"/>
              <w:ind w:left="93" w:right="60"/>
              <w:rPr>
                <w:sz w:val="14"/>
              </w:rPr>
            </w:pPr>
            <w:r>
              <w:rPr>
                <w:color w:val="231F20"/>
                <w:spacing w:val="-10"/>
                <w:w w:val="95"/>
                <w:sz w:val="14"/>
              </w:rPr>
              <w:t>0</w:t>
            </w:r>
          </w:p>
        </w:tc>
        <w:tc>
          <w:tcPr>
            <w:tcW w:w="1062" w:type="dxa"/>
            <w:shd w:val="clear" w:color="auto" w:fill="D4E3F5"/>
          </w:tcPr>
          <w:p>
            <w:pPr>
              <w:pStyle w:val="TableParagraph"/>
              <w:ind w:right="402"/>
              <w:jc w:val="right"/>
              <w:rPr>
                <w:sz w:val="14"/>
              </w:rPr>
            </w:pPr>
            <w:r>
              <w:rPr>
                <w:color w:val="231F20"/>
                <w:spacing w:val="-5"/>
                <w:w w:val="95"/>
                <w:sz w:val="14"/>
              </w:rPr>
              <w:t>23</w:t>
            </w:r>
          </w:p>
        </w:tc>
        <w:tc>
          <w:tcPr>
            <w:tcW w:w="1245" w:type="dxa"/>
            <w:shd w:val="clear" w:color="auto" w:fill="D4E3F5"/>
          </w:tcPr>
          <w:p>
            <w:pPr>
              <w:pStyle w:val="TableParagraph"/>
              <w:ind w:left="65" w:right="8"/>
              <w:rPr>
                <w:sz w:val="14"/>
              </w:rPr>
            </w:pPr>
            <w:r>
              <w:rPr>
                <w:color w:val="231F20"/>
                <w:spacing w:val="-5"/>
                <w:w w:val="95"/>
                <w:sz w:val="14"/>
              </w:rPr>
              <w:t>0.9</w:t>
            </w:r>
          </w:p>
        </w:tc>
        <w:tc>
          <w:tcPr>
            <w:tcW w:w="1195" w:type="dxa"/>
            <w:shd w:val="clear" w:color="auto" w:fill="D4E3F5"/>
          </w:tcPr>
          <w:p>
            <w:pPr>
              <w:pStyle w:val="TableParagraph"/>
              <w:ind w:left="27" w:right="155"/>
              <w:rPr>
                <w:sz w:val="14"/>
              </w:rPr>
            </w:pPr>
            <w:r>
              <w:rPr>
                <w:color w:val="231F20"/>
                <w:spacing w:val="-5"/>
                <w:w w:val="95"/>
                <w:sz w:val="14"/>
              </w:rPr>
              <w:t>1.2</w:t>
            </w:r>
          </w:p>
        </w:tc>
        <w:tc>
          <w:tcPr>
            <w:tcW w:w="921" w:type="dxa"/>
            <w:shd w:val="clear" w:color="auto" w:fill="D4E3F5"/>
          </w:tcPr>
          <w:p>
            <w:pPr>
              <w:pStyle w:val="TableParagraph"/>
              <w:ind w:left="18" w:right="26"/>
              <w:rPr>
                <w:sz w:val="14"/>
              </w:rPr>
            </w:pPr>
            <w:r>
              <w:rPr>
                <w:color w:val="231F20"/>
                <w:spacing w:val="-5"/>
                <w:w w:val="95"/>
                <w:sz w:val="14"/>
              </w:rPr>
              <w:t>0.8</w:t>
            </w:r>
          </w:p>
        </w:tc>
        <w:tc>
          <w:tcPr>
            <w:tcW w:w="1249" w:type="dxa"/>
            <w:shd w:val="clear" w:color="auto" w:fill="D4E3F5"/>
          </w:tcPr>
          <w:p>
            <w:pPr>
              <w:pStyle w:val="TableParagraph"/>
              <w:ind w:left="71" w:right="2"/>
              <w:rPr>
                <w:sz w:val="14"/>
              </w:rPr>
            </w:pPr>
            <w:r>
              <w:rPr>
                <w:color w:val="231F20"/>
                <w:spacing w:val="-5"/>
                <w:w w:val="95"/>
                <w:sz w:val="14"/>
              </w:rPr>
              <w:t>1.0</w:t>
            </w:r>
          </w:p>
        </w:tc>
        <w:tc>
          <w:tcPr>
            <w:tcW w:w="1095" w:type="dxa"/>
            <w:shd w:val="clear" w:color="auto" w:fill="D4E3F5"/>
          </w:tcPr>
          <w:p>
            <w:pPr>
              <w:pStyle w:val="TableParagraph"/>
              <w:ind w:left="9" w:right="55"/>
              <w:rPr>
                <w:sz w:val="14"/>
              </w:rPr>
            </w:pPr>
            <w:r>
              <w:rPr>
                <w:color w:val="231F20"/>
                <w:spacing w:val="-5"/>
                <w:w w:val="95"/>
                <w:sz w:val="14"/>
              </w:rPr>
              <w:t>1.1</w:t>
            </w:r>
          </w:p>
        </w:tc>
      </w:tr>
      <w:tr>
        <w:trPr>
          <w:trHeight w:val="259" w:hRule="atLeast"/>
        </w:trPr>
        <w:tc>
          <w:tcPr>
            <w:tcW w:w="1380" w:type="dxa"/>
          </w:tcPr>
          <w:p>
            <w:pPr>
              <w:pStyle w:val="TableParagraph"/>
              <w:ind w:left="80"/>
              <w:jc w:val="left"/>
              <w:rPr>
                <w:sz w:val="14"/>
              </w:rPr>
            </w:pPr>
            <w:r>
              <w:rPr>
                <w:color w:val="231F20"/>
                <w:w w:val="75"/>
                <w:sz w:val="14"/>
              </w:rPr>
              <w:t>Venezuela,</w:t>
            </w:r>
            <w:r>
              <w:rPr>
                <w:color w:val="231F20"/>
                <w:spacing w:val="7"/>
                <w:sz w:val="14"/>
              </w:rPr>
              <w:t> </w:t>
            </w:r>
            <w:r>
              <w:rPr>
                <w:color w:val="231F20"/>
                <w:spacing w:val="-5"/>
                <w:w w:val="85"/>
                <w:sz w:val="14"/>
              </w:rPr>
              <w:t>RB</w:t>
            </w:r>
          </w:p>
        </w:tc>
        <w:tc>
          <w:tcPr>
            <w:tcW w:w="1087" w:type="dxa"/>
          </w:tcPr>
          <w:p>
            <w:pPr>
              <w:pStyle w:val="TableParagraph"/>
              <w:ind w:left="139" w:right="46"/>
              <w:rPr>
                <w:sz w:val="14"/>
              </w:rPr>
            </w:pPr>
            <w:r>
              <w:rPr>
                <w:color w:val="231F20"/>
                <w:spacing w:val="-10"/>
                <w:w w:val="95"/>
                <w:sz w:val="14"/>
              </w:rPr>
              <w:t>6</w:t>
            </w:r>
          </w:p>
        </w:tc>
        <w:tc>
          <w:tcPr>
            <w:tcW w:w="1087" w:type="dxa"/>
          </w:tcPr>
          <w:p>
            <w:pPr>
              <w:pStyle w:val="TableParagraph"/>
              <w:ind w:left="93" w:right="60"/>
              <w:rPr>
                <w:sz w:val="14"/>
              </w:rPr>
            </w:pPr>
            <w:r>
              <w:rPr>
                <w:color w:val="231F20"/>
                <w:spacing w:val="-10"/>
                <w:w w:val="95"/>
                <w:sz w:val="14"/>
              </w:rPr>
              <w:t>0</w:t>
            </w:r>
          </w:p>
        </w:tc>
        <w:tc>
          <w:tcPr>
            <w:tcW w:w="1062" w:type="dxa"/>
          </w:tcPr>
          <w:p>
            <w:pPr>
              <w:pStyle w:val="TableParagraph"/>
              <w:ind w:right="407"/>
              <w:jc w:val="right"/>
              <w:rPr>
                <w:sz w:val="14"/>
              </w:rPr>
            </w:pPr>
            <w:r>
              <w:rPr>
                <w:color w:val="231F20"/>
                <w:spacing w:val="-10"/>
                <w:w w:val="95"/>
                <w:sz w:val="14"/>
              </w:rPr>
              <w:t>7</w:t>
            </w:r>
          </w:p>
        </w:tc>
        <w:tc>
          <w:tcPr>
            <w:tcW w:w="1245" w:type="dxa"/>
          </w:tcPr>
          <w:p>
            <w:pPr>
              <w:pStyle w:val="TableParagraph"/>
              <w:ind w:left="65" w:right="2"/>
              <w:rPr>
                <w:sz w:val="14"/>
              </w:rPr>
            </w:pPr>
            <w:r>
              <w:rPr>
                <w:color w:val="231F20"/>
                <w:spacing w:val="-5"/>
                <w:w w:val="95"/>
                <w:sz w:val="14"/>
              </w:rPr>
              <w:t>1.6</w:t>
            </w:r>
          </w:p>
        </w:tc>
        <w:tc>
          <w:tcPr>
            <w:tcW w:w="1195" w:type="dxa"/>
          </w:tcPr>
          <w:p>
            <w:pPr>
              <w:pStyle w:val="TableParagraph"/>
              <w:ind w:left="19" w:right="155"/>
              <w:rPr>
                <w:sz w:val="14"/>
              </w:rPr>
            </w:pPr>
            <w:r>
              <w:rPr>
                <w:color w:val="231F20"/>
                <w:spacing w:val="-5"/>
                <w:w w:val="95"/>
                <w:sz w:val="14"/>
              </w:rPr>
              <w:t>2.0</w:t>
            </w:r>
          </w:p>
        </w:tc>
        <w:tc>
          <w:tcPr>
            <w:tcW w:w="921" w:type="dxa"/>
          </w:tcPr>
          <w:p>
            <w:pPr>
              <w:pStyle w:val="TableParagraph"/>
              <w:ind w:left="25" w:right="26"/>
              <w:rPr>
                <w:sz w:val="14"/>
              </w:rPr>
            </w:pPr>
            <w:r>
              <w:rPr>
                <w:color w:val="231F20"/>
                <w:spacing w:val="-5"/>
                <w:w w:val="95"/>
                <w:sz w:val="14"/>
              </w:rPr>
              <w:t>1.3</w:t>
            </w:r>
          </w:p>
        </w:tc>
        <w:tc>
          <w:tcPr>
            <w:tcW w:w="1249" w:type="dxa"/>
          </w:tcPr>
          <w:p>
            <w:pPr>
              <w:pStyle w:val="TableParagraph"/>
              <w:ind w:left="71" w:right="1"/>
              <w:rPr>
                <w:sz w:val="14"/>
              </w:rPr>
            </w:pPr>
            <w:r>
              <w:rPr>
                <w:color w:val="231F20"/>
                <w:spacing w:val="-5"/>
                <w:w w:val="95"/>
                <w:sz w:val="14"/>
              </w:rPr>
              <w:t>1.8</w:t>
            </w:r>
          </w:p>
        </w:tc>
        <w:tc>
          <w:tcPr>
            <w:tcW w:w="1095" w:type="dxa"/>
          </w:tcPr>
          <w:p>
            <w:pPr>
              <w:pStyle w:val="TableParagraph"/>
              <w:ind w:left="22" w:right="55"/>
              <w:rPr>
                <w:sz w:val="14"/>
              </w:rPr>
            </w:pPr>
            <w:r>
              <w:rPr>
                <w:color w:val="231F20"/>
                <w:spacing w:val="-5"/>
                <w:w w:val="95"/>
                <w:sz w:val="14"/>
              </w:rPr>
              <w:t>2.2</w:t>
            </w:r>
          </w:p>
        </w:tc>
      </w:tr>
      <w:tr>
        <w:trPr>
          <w:trHeight w:val="259" w:hRule="atLeast"/>
        </w:trPr>
        <w:tc>
          <w:tcPr>
            <w:tcW w:w="1380" w:type="dxa"/>
            <w:shd w:val="clear" w:color="auto" w:fill="D4E3F5"/>
          </w:tcPr>
          <w:p>
            <w:pPr>
              <w:pStyle w:val="TableParagraph"/>
              <w:ind w:left="80"/>
              <w:jc w:val="left"/>
              <w:rPr>
                <w:sz w:val="14"/>
              </w:rPr>
            </w:pPr>
            <w:r>
              <w:rPr>
                <w:color w:val="231F20"/>
                <w:spacing w:val="-2"/>
                <w:w w:val="90"/>
                <w:sz w:val="14"/>
              </w:rPr>
              <w:t>Vietnam</w:t>
            </w:r>
          </w:p>
        </w:tc>
        <w:tc>
          <w:tcPr>
            <w:tcW w:w="1087" w:type="dxa"/>
            <w:shd w:val="clear" w:color="auto" w:fill="D4E3F5"/>
          </w:tcPr>
          <w:p>
            <w:pPr>
              <w:pStyle w:val="TableParagraph"/>
              <w:ind w:left="93" w:right="131"/>
              <w:rPr>
                <w:sz w:val="14"/>
              </w:rPr>
            </w:pPr>
            <w:r>
              <w:rPr>
                <w:color w:val="231F20"/>
                <w:spacing w:val="-5"/>
                <w:w w:val="95"/>
                <w:sz w:val="14"/>
              </w:rPr>
              <w:t>180</w:t>
            </w:r>
          </w:p>
        </w:tc>
        <w:tc>
          <w:tcPr>
            <w:tcW w:w="1087" w:type="dxa"/>
            <w:shd w:val="clear" w:color="auto" w:fill="D4E3F5"/>
          </w:tcPr>
          <w:p>
            <w:pPr>
              <w:pStyle w:val="TableParagraph"/>
              <w:ind w:left="93" w:right="60"/>
              <w:rPr>
                <w:sz w:val="14"/>
              </w:rPr>
            </w:pPr>
            <w:r>
              <w:rPr>
                <w:color w:val="231F20"/>
                <w:spacing w:val="-10"/>
                <w:w w:val="95"/>
                <w:sz w:val="14"/>
              </w:rPr>
              <w:t>3</w:t>
            </w:r>
          </w:p>
        </w:tc>
        <w:tc>
          <w:tcPr>
            <w:tcW w:w="1062" w:type="dxa"/>
            <w:shd w:val="clear" w:color="auto" w:fill="D4E3F5"/>
          </w:tcPr>
          <w:p>
            <w:pPr>
              <w:pStyle w:val="TableParagraph"/>
              <w:ind w:right="400"/>
              <w:jc w:val="right"/>
              <w:rPr>
                <w:sz w:val="14"/>
              </w:rPr>
            </w:pPr>
            <w:r>
              <w:rPr>
                <w:color w:val="231F20"/>
                <w:spacing w:val="-5"/>
                <w:w w:val="95"/>
                <w:sz w:val="14"/>
              </w:rPr>
              <w:t>34</w:t>
            </w:r>
          </w:p>
        </w:tc>
        <w:tc>
          <w:tcPr>
            <w:tcW w:w="1245" w:type="dxa"/>
            <w:shd w:val="clear" w:color="auto" w:fill="D4E3F5"/>
          </w:tcPr>
          <w:p>
            <w:pPr>
              <w:pStyle w:val="TableParagraph"/>
              <w:ind w:left="65" w:right="8"/>
              <w:rPr>
                <w:sz w:val="14"/>
              </w:rPr>
            </w:pPr>
            <w:r>
              <w:rPr>
                <w:color w:val="231F20"/>
                <w:spacing w:val="-5"/>
                <w:w w:val="95"/>
                <w:sz w:val="14"/>
              </w:rPr>
              <w:t>0.8</w:t>
            </w:r>
          </w:p>
        </w:tc>
        <w:tc>
          <w:tcPr>
            <w:tcW w:w="1195" w:type="dxa"/>
            <w:shd w:val="clear" w:color="auto" w:fill="D4E3F5"/>
          </w:tcPr>
          <w:p>
            <w:pPr>
              <w:pStyle w:val="TableParagraph"/>
              <w:ind w:left="19" w:right="155"/>
              <w:rPr>
                <w:sz w:val="14"/>
              </w:rPr>
            </w:pPr>
            <w:r>
              <w:rPr>
                <w:color w:val="231F20"/>
                <w:spacing w:val="-5"/>
                <w:w w:val="95"/>
                <w:sz w:val="14"/>
              </w:rPr>
              <w:t>0.9</w:t>
            </w:r>
          </w:p>
        </w:tc>
        <w:tc>
          <w:tcPr>
            <w:tcW w:w="921" w:type="dxa"/>
            <w:shd w:val="clear" w:color="auto" w:fill="D4E3F5"/>
          </w:tcPr>
          <w:p>
            <w:pPr>
              <w:pStyle w:val="TableParagraph"/>
              <w:ind w:left="18" w:right="26"/>
              <w:rPr>
                <w:sz w:val="14"/>
              </w:rPr>
            </w:pPr>
            <w:r>
              <w:rPr>
                <w:color w:val="231F20"/>
                <w:spacing w:val="-5"/>
                <w:w w:val="95"/>
                <w:sz w:val="14"/>
              </w:rPr>
              <w:t>0.5</w:t>
            </w:r>
          </w:p>
        </w:tc>
        <w:tc>
          <w:tcPr>
            <w:tcW w:w="1249" w:type="dxa"/>
            <w:shd w:val="clear" w:color="auto" w:fill="D4E3F5"/>
          </w:tcPr>
          <w:p>
            <w:pPr>
              <w:pStyle w:val="TableParagraph"/>
              <w:ind w:left="71" w:right="8"/>
              <w:rPr>
                <w:sz w:val="14"/>
              </w:rPr>
            </w:pPr>
            <w:r>
              <w:rPr>
                <w:color w:val="231F20"/>
                <w:spacing w:val="-5"/>
                <w:w w:val="95"/>
                <w:sz w:val="14"/>
              </w:rPr>
              <w:t>0.9</w:t>
            </w:r>
          </w:p>
        </w:tc>
        <w:tc>
          <w:tcPr>
            <w:tcW w:w="1095" w:type="dxa"/>
            <w:shd w:val="clear" w:color="auto" w:fill="D4E3F5"/>
          </w:tcPr>
          <w:p>
            <w:pPr>
              <w:pStyle w:val="TableParagraph"/>
              <w:ind w:left="27" w:right="55"/>
              <w:rPr>
                <w:sz w:val="14"/>
              </w:rPr>
            </w:pPr>
            <w:r>
              <w:rPr>
                <w:color w:val="231F20"/>
                <w:spacing w:val="-5"/>
                <w:w w:val="95"/>
                <w:sz w:val="14"/>
              </w:rPr>
              <w:t>1.0</w:t>
            </w:r>
          </w:p>
        </w:tc>
      </w:tr>
      <w:tr>
        <w:trPr>
          <w:trHeight w:val="254" w:hRule="atLeast"/>
        </w:trPr>
        <w:tc>
          <w:tcPr>
            <w:tcW w:w="1380" w:type="dxa"/>
            <w:tcBorders>
              <w:bottom w:val="single" w:sz="4" w:space="0" w:color="008FDD"/>
            </w:tcBorders>
          </w:tcPr>
          <w:p>
            <w:pPr>
              <w:pStyle w:val="TableParagraph"/>
              <w:ind w:left="80"/>
              <w:jc w:val="left"/>
              <w:rPr>
                <w:sz w:val="14"/>
              </w:rPr>
            </w:pPr>
            <w:r>
              <w:rPr>
                <w:color w:val="231F20"/>
                <w:w w:val="75"/>
                <w:sz w:val="14"/>
              </w:rPr>
              <w:t>Yemen,</w:t>
            </w:r>
            <w:r>
              <w:rPr>
                <w:color w:val="231F20"/>
                <w:spacing w:val="2"/>
                <w:sz w:val="14"/>
              </w:rPr>
              <w:t> </w:t>
            </w:r>
            <w:r>
              <w:rPr>
                <w:color w:val="231F20"/>
                <w:spacing w:val="-4"/>
                <w:w w:val="90"/>
                <w:sz w:val="14"/>
              </w:rPr>
              <w:t>Rep.</w:t>
            </w:r>
          </w:p>
        </w:tc>
        <w:tc>
          <w:tcPr>
            <w:tcW w:w="1087" w:type="dxa"/>
            <w:tcBorders>
              <w:bottom w:val="single" w:sz="4" w:space="0" w:color="008FDD"/>
            </w:tcBorders>
          </w:tcPr>
          <w:p>
            <w:pPr>
              <w:pStyle w:val="TableParagraph"/>
              <w:ind w:left="139" w:right="46"/>
              <w:rPr>
                <w:sz w:val="14"/>
              </w:rPr>
            </w:pPr>
            <w:r>
              <w:rPr>
                <w:color w:val="231F20"/>
                <w:spacing w:val="-10"/>
                <w:w w:val="95"/>
                <w:sz w:val="14"/>
              </w:rPr>
              <w:t>9</w:t>
            </w:r>
          </w:p>
        </w:tc>
        <w:tc>
          <w:tcPr>
            <w:tcW w:w="1087" w:type="dxa"/>
            <w:tcBorders>
              <w:bottom w:val="single" w:sz="4" w:space="0" w:color="008FDD"/>
            </w:tcBorders>
          </w:tcPr>
          <w:p>
            <w:pPr>
              <w:pStyle w:val="TableParagraph"/>
              <w:ind w:left="93" w:right="60"/>
              <w:rPr>
                <w:sz w:val="14"/>
              </w:rPr>
            </w:pPr>
            <w:r>
              <w:rPr>
                <w:color w:val="231F20"/>
                <w:spacing w:val="-10"/>
                <w:w w:val="95"/>
                <w:sz w:val="14"/>
              </w:rPr>
              <w:t>0</w:t>
            </w:r>
          </w:p>
        </w:tc>
        <w:tc>
          <w:tcPr>
            <w:tcW w:w="1062" w:type="dxa"/>
            <w:tcBorders>
              <w:bottom w:val="single" w:sz="4" w:space="0" w:color="008FDD"/>
            </w:tcBorders>
          </w:tcPr>
          <w:p>
            <w:pPr>
              <w:pStyle w:val="TableParagraph"/>
              <w:ind w:right="407"/>
              <w:jc w:val="right"/>
              <w:rPr>
                <w:sz w:val="14"/>
              </w:rPr>
            </w:pPr>
            <w:r>
              <w:rPr>
                <w:color w:val="231F20"/>
                <w:spacing w:val="-10"/>
                <w:w w:val="95"/>
                <w:sz w:val="14"/>
              </w:rPr>
              <w:t>8</w:t>
            </w:r>
          </w:p>
        </w:tc>
        <w:tc>
          <w:tcPr>
            <w:tcW w:w="1245" w:type="dxa"/>
            <w:tcBorders>
              <w:bottom w:val="single" w:sz="4" w:space="0" w:color="008FDD"/>
            </w:tcBorders>
          </w:tcPr>
          <w:p>
            <w:pPr>
              <w:pStyle w:val="TableParagraph"/>
              <w:ind w:left="65" w:right="8"/>
              <w:rPr>
                <w:sz w:val="14"/>
              </w:rPr>
            </w:pPr>
            <w:r>
              <w:rPr>
                <w:color w:val="231F20"/>
                <w:spacing w:val="-5"/>
                <w:w w:val="95"/>
                <w:sz w:val="14"/>
              </w:rPr>
              <w:t>2.8</w:t>
            </w:r>
          </w:p>
        </w:tc>
        <w:tc>
          <w:tcPr>
            <w:tcW w:w="1195" w:type="dxa"/>
            <w:tcBorders>
              <w:bottom w:val="single" w:sz="4" w:space="0" w:color="008FDD"/>
            </w:tcBorders>
          </w:tcPr>
          <w:p>
            <w:pPr>
              <w:pStyle w:val="TableParagraph"/>
              <w:ind w:left="18" w:right="155"/>
              <w:rPr>
                <w:sz w:val="14"/>
              </w:rPr>
            </w:pPr>
            <w:r>
              <w:rPr>
                <w:color w:val="231F20"/>
                <w:spacing w:val="-5"/>
                <w:w w:val="95"/>
                <w:sz w:val="14"/>
              </w:rPr>
              <w:t>3.6</w:t>
            </w:r>
          </w:p>
        </w:tc>
        <w:tc>
          <w:tcPr>
            <w:tcW w:w="921" w:type="dxa"/>
            <w:tcBorders>
              <w:bottom w:val="single" w:sz="4" w:space="0" w:color="008FDD"/>
            </w:tcBorders>
          </w:tcPr>
          <w:p>
            <w:pPr>
              <w:pStyle w:val="TableParagraph"/>
              <w:ind w:right="26"/>
              <w:rPr>
                <w:sz w:val="14"/>
              </w:rPr>
            </w:pPr>
            <w:r>
              <w:rPr>
                <w:color w:val="231F20"/>
                <w:spacing w:val="-5"/>
                <w:w w:val="95"/>
                <w:sz w:val="14"/>
              </w:rPr>
              <w:t>2.1</w:t>
            </w:r>
          </w:p>
        </w:tc>
        <w:tc>
          <w:tcPr>
            <w:tcW w:w="1249" w:type="dxa"/>
            <w:tcBorders>
              <w:bottom w:val="single" w:sz="4" w:space="0" w:color="008FDD"/>
            </w:tcBorders>
          </w:tcPr>
          <w:p>
            <w:pPr>
              <w:pStyle w:val="TableParagraph"/>
              <w:ind w:left="71" w:right="27"/>
              <w:rPr>
                <w:sz w:val="14"/>
              </w:rPr>
            </w:pPr>
            <w:r>
              <w:rPr>
                <w:color w:val="231F20"/>
                <w:spacing w:val="-5"/>
                <w:w w:val="95"/>
                <w:sz w:val="14"/>
              </w:rPr>
              <w:t>3.1</w:t>
            </w:r>
          </w:p>
        </w:tc>
        <w:tc>
          <w:tcPr>
            <w:tcW w:w="1095" w:type="dxa"/>
            <w:tcBorders>
              <w:bottom w:val="single" w:sz="4" w:space="0" w:color="008FDD"/>
            </w:tcBorders>
          </w:tcPr>
          <w:p>
            <w:pPr>
              <w:pStyle w:val="TableParagraph"/>
              <w:ind w:left="15" w:right="55"/>
              <w:rPr>
                <w:sz w:val="14"/>
              </w:rPr>
            </w:pPr>
            <w:r>
              <w:rPr>
                <w:color w:val="231F20"/>
                <w:spacing w:val="-5"/>
                <w:w w:val="95"/>
                <w:sz w:val="14"/>
              </w:rPr>
              <w:t>3.7</w:t>
            </w:r>
          </w:p>
        </w:tc>
      </w:tr>
    </w:tbl>
    <w:p>
      <w:pPr>
        <w:pStyle w:val="BodyText"/>
        <w:rPr>
          <w:rFonts w:ascii="Arial"/>
          <w:b/>
          <w:sz w:val="12"/>
        </w:rPr>
      </w:pPr>
    </w:p>
    <w:p>
      <w:pPr>
        <w:pStyle w:val="BodyText"/>
        <w:rPr>
          <w:rFonts w:ascii="Arial"/>
          <w:b/>
          <w:sz w:val="12"/>
        </w:rPr>
      </w:pPr>
    </w:p>
    <w:p>
      <w:pPr>
        <w:pStyle w:val="BodyText"/>
        <w:spacing w:before="29"/>
        <w:rPr>
          <w:rFonts w:ascii="Arial"/>
          <w:b/>
          <w:sz w:val="12"/>
        </w:rPr>
      </w:pPr>
    </w:p>
    <w:p>
      <w:pPr>
        <w:spacing w:before="0"/>
        <w:ind w:left="720" w:right="0" w:firstLine="0"/>
        <w:jc w:val="left"/>
        <w:rPr>
          <w:rFonts w:ascii="Arial"/>
          <w:sz w:val="12"/>
        </w:rPr>
      </w:pPr>
      <w:bookmarkStart w:name="_bookmark42" w:id="46"/>
      <w:bookmarkEnd w:id="46"/>
      <w:r>
        <w:rPr/>
      </w:r>
      <w:r>
        <w:rPr>
          <w:rFonts w:ascii="Arial"/>
          <w:i/>
          <w:color w:val="231F20"/>
          <w:w w:val="75"/>
          <w:sz w:val="12"/>
        </w:rPr>
        <w:t>Source:</w:t>
      </w:r>
      <w:r>
        <w:rPr>
          <w:rFonts w:ascii="Arial"/>
          <w:i/>
          <w:color w:val="231F20"/>
          <w:spacing w:val="11"/>
          <w:sz w:val="12"/>
        </w:rPr>
        <w:t> </w:t>
      </w:r>
      <w:r>
        <w:rPr>
          <w:rFonts w:ascii="Arial"/>
          <w:color w:val="231F20"/>
          <w:w w:val="75"/>
          <w:sz w:val="12"/>
        </w:rPr>
        <w:t>World</w:t>
      </w:r>
      <w:r>
        <w:rPr>
          <w:rFonts w:ascii="Arial"/>
          <w:color w:val="231F20"/>
          <w:spacing w:val="12"/>
          <w:sz w:val="12"/>
        </w:rPr>
        <w:t> </w:t>
      </w:r>
      <w:r>
        <w:rPr>
          <w:rFonts w:ascii="Arial"/>
          <w:color w:val="231F20"/>
          <w:w w:val="75"/>
          <w:sz w:val="12"/>
        </w:rPr>
        <w:t>Bank</w:t>
      </w:r>
      <w:r>
        <w:rPr>
          <w:rFonts w:ascii="Arial"/>
          <w:color w:val="231F20"/>
          <w:spacing w:val="11"/>
          <w:sz w:val="12"/>
        </w:rPr>
        <w:t> </w:t>
      </w:r>
      <w:r>
        <w:rPr>
          <w:rFonts w:ascii="Arial"/>
          <w:color w:val="231F20"/>
          <w:w w:val="75"/>
          <w:sz w:val="12"/>
        </w:rPr>
        <w:t>calculations</w:t>
      </w:r>
      <w:r>
        <w:rPr>
          <w:rFonts w:ascii="Arial"/>
          <w:color w:val="231F20"/>
          <w:spacing w:val="12"/>
          <w:sz w:val="12"/>
        </w:rPr>
        <w:t> </w:t>
      </w:r>
      <w:r>
        <w:rPr>
          <w:rFonts w:ascii="Arial"/>
          <w:color w:val="231F20"/>
          <w:w w:val="75"/>
          <w:sz w:val="12"/>
        </w:rPr>
        <w:t>based</w:t>
      </w:r>
      <w:r>
        <w:rPr>
          <w:rFonts w:ascii="Arial"/>
          <w:color w:val="231F20"/>
          <w:spacing w:val="12"/>
          <w:sz w:val="12"/>
        </w:rPr>
        <w:t> </w:t>
      </w:r>
      <w:r>
        <w:rPr>
          <w:rFonts w:ascii="Arial"/>
          <w:color w:val="231F20"/>
          <w:w w:val="75"/>
          <w:sz w:val="12"/>
        </w:rPr>
        <w:t>on</w:t>
      </w:r>
      <w:r>
        <w:rPr>
          <w:rFonts w:ascii="Arial"/>
          <w:color w:val="231F20"/>
          <w:spacing w:val="11"/>
          <w:sz w:val="12"/>
        </w:rPr>
        <w:t> </w:t>
      </w:r>
      <w:r>
        <w:rPr>
          <w:rFonts w:ascii="Arial"/>
          <w:color w:val="231F20"/>
          <w:w w:val="75"/>
          <w:sz w:val="12"/>
        </w:rPr>
        <w:t>data</w:t>
      </w:r>
      <w:r>
        <w:rPr>
          <w:rFonts w:ascii="Arial"/>
          <w:color w:val="231F20"/>
          <w:spacing w:val="12"/>
          <w:sz w:val="12"/>
        </w:rPr>
        <w:t> </w:t>
      </w:r>
      <w:r>
        <w:rPr>
          <w:rFonts w:ascii="Arial"/>
          <w:color w:val="231F20"/>
          <w:w w:val="75"/>
          <w:sz w:val="12"/>
        </w:rPr>
        <w:t>from</w:t>
      </w:r>
      <w:r>
        <w:rPr>
          <w:rFonts w:ascii="Arial"/>
          <w:color w:val="231F20"/>
          <w:spacing w:val="11"/>
          <w:sz w:val="12"/>
        </w:rPr>
        <w:t> </w:t>
      </w:r>
      <w:r>
        <w:rPr>
          <w:rFonts w:ascii="Arial"/>
          <w:color w:val="231F20"/>
          <w:w w:val="75"/>
          <w:sz w:val="12"/>
        </w:rPr>
        <w:t>MDS</w:t>
      </w:r>
      <w:r>
        <w:rPr>
          <w:rFonts w:ascii="Arial"/>
          <w:color w:val="231F20"/>
          <w:spacing w:val="12"/>
          <w:sz w:val="12"/>
        </w:rPr>
        <w:t> </w:t>
      </w:r>
      <w:r>
        <w:rPr>
          <w:rFonts w:ascii="Arial"/>
          <w:color w:val="231F20"/>
          <w:w w:val="75"/>
          <w:sz w:val="12"/>
        </w:rPr>
        <w:t>Transmodal</w:t>
      </w:r>
      <w:r>
        <w:rPr>
          <w:rFonts w:ascii="Arial"/>
          <w:color w:val="231F20"/>
          <w:spacing w:val="12"/>
          <w:sz w:val="12"/>
        </w:rPr>
        <w:t> </w:t>
      </w:r>
      <w:r>
        <w:rPr>
          <w:rFonts w:ascii="Arial"/>
          <w:color w:val="231F20"/>
          <w:w w:val="75"/>
          <w:sz w:val="12"/>
        </w:rPr>
        <w:t>and</w:t>
      </w:r>
      <w:r>
        <w:rPr>
          <w:rFonts w:ascii="Arial"/>
          <w:color w:val="231F20"/>
          <w:spacing w:val="11"/>
          <w:sz w:val="12"/>
        </w:rPr>
        <w:t> </w:t>
      </w:r>
      <w:r>
        <w:rPr>
          <w:rFonts w:ascii="Arial"/>
          <w:color w:val="231F20"/>
          <w:spacing w:val="-2"/>
          <w:w w:val="75"/>
          <w:sz w:val="12"/>
        </w:rPr>
        <w:t>MarineTraffic.</w:t>
      </w:r>
    </w:p>
    <w:p>
      <w:pPr>
        <w:spacing w:before="22"/>
        <w:ind w:left="720" w:right="0" w:firstLine="0"/>
        <w:jc w:val="left"/>
        <w:rPr>
          <w:rFonts w:ascii="Arial"/>
          <w:sz w:val="12"/>
        </w:rPr>
      </w:pPr>
      <w:r>
        <w:rPr/>
        <mc:AlternateContent>
          <mc:Choice Requires="wps">
            <w:drawing>
              <wp:anchor distT="0" distB="0" distL="0" distR="0" allowOverlap="1" layoutInCell="1" locked="0" behindDoc="1" simplePos="0" relativeHeight="466766848">
                <wp:simplePos x="0" y="0"/>
                <wp:positionH relativeFrom="page">
                  <wp:posOffset>2095500</wp:posOffset>
                </wp:positionH>
                <wp:positionV relativeFrom="paragraph">
                  <wp:posOffset>388701</wp:posOffset>
                </wp:positionV>
                <wp:extent cx="4953000" cy="836294"/>
                <wp:effectExtent l="0" t="0" r="0" b="0"/>
                <wp:wrapNone/>
                <wp:docPr id="1553" name="Group 1553"/>
                <wp:cNvGraphicFramePr>
                  <a:graphicFrameLocks/>
                </wp:cNvGraphicFramePr>
                <a:graphic>
                  <a:graphicData uri="http://schemas.microsoft.com/office/word/2010/wordprocessingGroup">
                    <wpg:wgp>
                      <wpg:cNvPr id="1553" name="Group 1553"/>
                      <wpg:cNvGrpSpPr/>
                      <wpg:grpSpPr>
                        <a:xfrm>
                          <a:off x="0" y="0"/>
                          <a:ext cx="4953000" cy="836294"/>
                          <a:chExt cx="4953000" cy="836294"/>
                        </a:xfrm>
                      </wpg:grpSpPr>
                      <wps:wsp>
                        <wps:cNvPr id="1554" name="Graphic 1554"/>
                        <wps:cNvSpPr/>
                        <wps:spPr>
                          <a:xfrm>
                            <a:off x="63500" y="19050"/>
                            <a:ext cx="4870450" cy="226060"/>
                          </a:xfrm>
                          <a:custGeom>
                            <a:avLst/>
                            <a:gdLst/>
                            <a:ahLst/>
                            <a:cxnLst/>
                            <a:rect l="l" t="t" r="r" b="b"/>
                            <a:pathLst>
                              <a:path w="4870450" h="226060">
                                <a:moveTo>
                                  <a:pt x="4775200" y="0"/>
                                </a:moveTo>
                                <a:lnTo>
                                  <a:pt x="50800" y="0"/>
                                </a:lnTo>
                                <a:lnTo>
                                  <a:pt x="13757" y="7496"/>
                                </a:lnTo>
                                <a:lnTo>
                                  <a:pt x="0" y="16778"/>
                                </a:lnTo>
                                <a:lnTo>
                                  <a:pt x="0" y="225907"/>
                                </a:lnTo>
                                <a:lnTo>
                                  <a:pt x="4870450" y="225907"/>
                                </a:lnTo>
                                <a:lnTo>
                                  <a:pt x="4870450" y="95250"/>
                                </a:lnTo>
                                <a:lnTo>
                                  <a:pt x="4862953" y="58207"/>
                                </a:lnTo>
                                <a:lnTo>
                                  <a:pt x="4842522" y="27927"/>
                                </a:lnTo>
                                <a:lnTo>
                                  <a:pt x="4812242" y="7496"/>
                                </a:lnTo>
                                <a:lnTo>
                                  <a:pt x="4775200" y="0"/>
                                </a:lnTo>
                                <a:close/>
                              </a:path>
                            </a:pathLst>
                          </a:custGeom>
                          <a:solidFill>
                            <a:srgbClr val="808285"/>
                          </a:solidFill>
                        </wps:spPr>
                        <wps:bodyPr wrap="square" lIns="0" tIns="0" rIns="0" bIns="0" rtlCol="0">
                          <a:prstTxWarp prst="textNoShape">
                            <a:avLst/>
                          </a:prstTxWarp>
                          <a:noAutofit/>
                        </wps:bodyPr>
                      </wps:wsp>
                      <wps:wsp>
                        <wps:cNvPr id="1555" name="Graphic 1555"/>
                        <wps:cNvSpPr/>
                        <wps:spPr>
                          <a:xfrm>
                            <a:off x="571500" y="29057"/>
                            <a:ext cx="1270" cy="225425"/>
                          </a:xfrm>
                          <a:custGeom>
                            <a:avLst/>
                            <a:gdLst/>
                            <a:ahLst/>
                            <a:cxnLst/>
                            <a:rect l="l" t="t" r="r" b="b"/>
                            <a:pathLst>
                              <a:path w="0" h="225425">
                                <a:moveTo>
                                  <a:pt x="0" y="2249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556" name="Graphic 1556"/>
                        <wps:cNvSpPr/>
                        <wps:spPr>
                          <a:xfrm>
                            <a:off x="38100" y="38100"/>
                            <a:ext cx="520700" cy="206375"/>
                          </a:xfrm>
                          <a:custGeom>
                            <a:avLst/>
                            <a:gdLst/>
                            <a:ahLst/>
                            <a:cxnLst/>
                            <a:rect l="l" t="t" r="r" b="b"/>
                            <a:pathLst>
                              <a:path w="520700" h="206375">
                                <a:moveTo>
                                  <a:pt x="0" y="206375"/>
                                </a:moveTo>
                                <a:lnTo>
                                  <a:pt x="520700" y="206375"/>
                                </a:lnTo>
                                <a:lnTo>
                                  <a:pt x="520700" y="0"/>
                                </a:lnTo>
                                <a:lnTo>
                                  <a:pt x="0" y="0"/>
                                </a:lnTo>
                                <a:lnTo>
                                  <a:pt x="0" y="206375"/>
                                </a:lnTo>
                                <a:close/>
                              </a:path>
                            </a:pathLst>
                          </a:custGeom>
                          <a:solidFill>
                            <a:srgbClr val="008FDD"/>
                          </a:solidFill>
                        </wps:spPr>
                        <wps:bodyPr wrap="square" lIns="0" tIns="0" rIns="0" bIns="0" rtlCol="0">
                          <a:prstTxWarp prst="textNoShape">
                            <a:avLst/>
                          </a:prstTxWarp>
                          <a:noAutofit/>
                        </wps:bodyPr>
                      </wps:wsp>
                      <wps:wsp>
                        <wps:cNvPr id="1557" name="Graphic 1557"/>
                        <wps:cNvSpPr/>
                        <wps:spPr>
                          <a:xfrm>
                            <a:off x="19050" y="19050"/>
                            <a:ext cx="4914900" cy="431800"/>
                          </a:xfrm>
                          <a:custGeom>
                            <a:avLst/>
                            <a:gdLst/>
                            <a:ahLst/>
                            <a:cxnLst/>
                            <a:rect l="l" t="t" r="r" b="b"/>
                            <a:pathLst>
                              <a:path w="4914900" h="431800">
                                <a:moveTo>
                                  <a:pt x="95250" y="0"/>
                                </a:moveTo>
                                <a:lnTo>
                                  <a:pt x="58212" y="7497"/>
                                </a:lnTo>
                                <a:lnTo>
                                  <a:pt x="27932" y="27932"/>
                                </a:lnTo>
                                <a:lnTo>
                                  <a:pt x="7497" y="58212"/>
                                </a:lnTo>
                                <a:lnTo>
                                  <a:pt x="0" y="95250"/>
                                </a:lnTo>
                                <a:lnTo>
                                  <a:pt x="0" y="412750"/>
                                </a:lnTo>
                                <a:lnTo>
                                  <a:pt x="0" y="431800"/>
                                </a:lnTo>
                                <a:lnTo>
                                  <a:pt x="19050" y="431800"/>
                                </a:lnTo>
                                <a:lnTo>
                                  <a:pt x="4895850" y="431800"/>
                                </a:lnTo>
                                <a:lnTo>
                                  <a:pt x="4914900" y="431800"/>
                                </a:lnTo>
                                <a:lnTo>
                                  <a:pt x="4914900" y="412750"/>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558" name="Graphic 1558"/>
                        <wps:cNvSpPr/>
                        <wps:spPr>
                          <a:xfrm>
                            <a:off x="38100" y="302259"/>
                            <a:ext cx="4876800" cy="534035"/>
                          </a:xfrm>
                          <a:custGeom>
                            <a:avLst/>
                            <a:gdLst/>
                            <a:ahLst/>
                            <a:cxnLst/>
                            <a:rect l="l" t="t" r="r" b="b"/>
                            <a:pathLst>
                              <a:path w="4876800" h="534035">
                                <a:moveTo>
                                  <a:pt x="4876800" y="0"/>
                                </a:moveTo>
                                <a:lnTo>
                                  <a:pt x="1950720" y="0"/>
                                </a:lnTo>
                                <a:lnTo>
                                  <a:pt x="1950720" y="317"/>
                                </a:lnTo>
                                <a:lnTo>
                                  <a:pt x="975360" y="317"/>
                                </a:lnTo>
                                <a:lnTo>
                                  <a:pt x="0" y="317"/>
                                </a:lnTo>
                                <a:lnTo>
                                  <a:pt x="0" y="533666"/>
                                </a:lnTo>
                                <a:lnTo>
                                  <a:pt x="975360" y="533666"/>
                                </a:lnTo>
                                <a:lnTo>
                                  <a:pt x="1950720" y="533666"/>
                                </a:lnTo>
                                <a:lnTo>
                                  <a:pt x="1950720" y="368300"/>
                                </a:lnTo>
                                <a:lnTo>
                                  <a:pt x="4876800" y="368300"/>
                                </a:lnTo>
                                <a:lnTo>
                                  <a:pt x="4876800" y="0"/>
                                </a:lnTo>
                                <a:close/>
                              </a:path>
                            </a:pathLst>
                          </a:custGeom>
                          <a:solidFill>
                            <a:srgbClr val="FFFFFF"/>
                          </a:solidFill>
                        </wps:spPr>
                        <wps:bodyPr wrap="square" lIns="0" tIns="0" rIns="0" bIns="0" rtlCol="0">
                          <a:prstTxWarp prst="textNoShape">
                            <a:avLst/>
                          </a:prstTxWarp>
                          <a:noAutofit/>
                        </wps:bodyPr>
                      </wps:wsp>
                      <wps:wsp>
                        <wps:cNvPr id="1559" name="Textbox 1559"/>
                        <wps:cNvSpPr txBox="1"/>
                        <wps:spPr>
                          <a:xfrm>
                            <a:off x="0" y="0"/>
                            <a:ext cx="4953000" cy="836294"/>
                          </a:xfrm>
                          <a:prstGeom prst="rect">
                            <a:avLst/>
                          </a:prstGeom>
                        </wps:spPr>
                        <wps:txbx>
                          <w:txbxContent>
                            <w:p>
                              <w:pPr>
                                <w:spacing w:before="130"/>
                                <w:ind w:left="1059" w:right="0" w:firstLine="0"/>
                                <w:jc w:val="left"/>
                                <w:rPr>
                                  <w:rFonts w:ascii="Arial"/>
                                  <w:b/>
                                  <w:sz w:val="16"/>
                                </w:rPr>
                              </w:pPr>
                              <w:r>
                                <w:rPr>
                                  <w:rFonts w:ascii="Arial"/>
                                  <w:b/>
                                  <w:color w:val="FFFFFF"/>
                                  <w:w w:val="105"/>
                                  <w:sz w:val="16"/>
                                </w:rPr>
                                <w:t>Lead</w:t>
                              </w:r>
                              <w:r>
                                <w:rPr>
                                  <w:rFonts w:ascii="Arial"/>
                                  <w:b/>
                                  <w:color w:val="FFFFFF"/>
                                  <w:spacing w:val="10"/>
                                  <w:w w:val="105"/>
                                  <w:sz w:val="16"/>
                                </w:rPr>
                                <w:t> </w:t>
                              </w:r>
                              <w:r>
                                <w:rPr>
                                  <w:rFonts w:ascii="Arial"/>
                                  <w:b/>
                                  <w:color w:val="FFFFFF"/>
                                  <w:w w:val="105"/>
                                  <w:sz w:val="16"/>
                                </w:rPr>
                                <w:t>time</w:t>
                              </w:r>
                              <w:r>
                                <w:rPr>
                                  <w:rFonts w:ascii="Arial"/>
                                  <w:b/>
                                  <w:color w:val="FFFFFF"/>
                                  <w:spacing w:val="13"/>
                                  <w:w w:val="105"/>
                                  <w:sz w:val="16"/>
                                </w:rPr>
                                <w:t> </w:t>
                              </w:r>
                              <w:r>
                                <w:rPr>
                                  <w:rFonts w:ascii="Arial"/>
                                  <w:b/>
                                  <w:color w:val="FFFFFF"/>
                                  <w:w w:val="105"/>
                                  <w:sz w:val="16"/>
                                </w:rPr>
                                <w:t>data</w:t>
                              </w:r>
                              <w:r>
                                <w:rPr>
                                  <w:rFonts w:ascii="Arial"/>
                                  <w:b/>
                                  <w:color w:val="FFFFFF"/>
                                  <w:spacing w:val="12"/>
                                  <w:w w:val="105"/>
                                  <w:sz w:val="16"/>
                                </w:rPr>
                                <w:t> </w:t>
                              </w:r>
                              <w:r>
                                <w:rPr>
                                  <w:rFonts w:ascii="Arial"/>
                                  <w:b/>
                                  <w:color w:val="FFFFFF"/>
                                  <w:w w:val="105"/>
                                  <w:sz w:val="16"/>
                                </w:rPr>
                                <w:t>for</w:t>
                              </w:r>
                              <w:r>
                                <w:rPr>
                                  <w:rFonts w:ascii="Arial"/>
                                  <w:b/>
                                  <w:color w:val="FFFFFF"/>
                                  <w:spacing w:val="13"/>
                                  <w:w w:val="105"/>
                                  <w:sz w:val="16"/>
                                </w:rPr>
                                <w:t> </w:t>
                              </w:r>
                              <w:r>
                                <w:rPr>
                                  <w:rFonts w:ascii="Arial"/>
                                  <w:b/>
                                  <w:color w:val="FFFFFF"/>
                                  <w:w w:val="105"/>
                                  <w:sz w:val="16"/>
                                </w:rPr>
                                <w:t>aviation,</w:t>
                              </w:r>
                              <w:r>
                                <w:rPr>
                                  <w:rFonts w:ascii="Arial"/>
                                  <w:b/>
                                  <w:color w:val="FFFFFF"/>
                                  <w:spacing w:val="13"/>
                                  <w:w w:val="105"/>
                                  <w:sz w:val="16"/>
                                </w:rPr>
                                <w:t> </w:t>
                              </w:r>
                              <w:r>
                                <w:rPr>
                                  <w:rFonts w:ascii="Arial"/>
                                  <w:b/>
                                  <w:color w:val="FFFFFF"/>
                                  <w:w w:val="105"/>
                                  <w:sz w:val="16"/>
                                </w:rPr>
                                <w:t>second</w:t>
                              </w:r>
                              <w:r>
                                <w:rPr>
                                  <w:rFonts w:ascii="Arial"/>
                                  <w:b/>
                                  <w:color w:val="FFFFFF"/>
                                  <w:spacing w:val="12"/>
                                  <w:w w:val="105"/>
                                  <w:sz w:val="16"/>
                                </w:rPr>
                                <w:t> </w:t>
                              </w:r>
                              <w:r>
                                <w:rPr>
                                  <w:rFonts w:ascii="Arial"/>
                                  <w:b/>
                                  <w:color w:val="FFFFFF"/>
                                  <w:w w:val="105"/>
                                  <w:sz w:val="16"/>
                                </w:rPr>
                                <w:t>quarter</w:t>
                              </w:r>
                              <w:r>
                                <w:rPr>
                                  <w:rFonts w:ascii="Arial"/>
                                  <w:b/>
                                  <w:color w:val="FFFFFF"/>
                                  <w:spacing w:val="13"/>
                                  <w:w w:val="105"/>
                                  <w:sz w:val="16"/>
                                </w:rPr>
                                <w:t> </w:t>
                              </w:r>
                              <w:r>
                                <w:rPr>
                                  <w:rFonts w:ascii="Arial"/>
                                  <w:b/>
                                  <w:color w:val="FFFFFF"/>
                                  <w:w w:val="105"/>
                                  <w:sz w:val="16"/>
                                </w:rPr>
                                <w:t>of</w:t>
                              </w:r>
                              <w:r>
                                <w:rPr>
                                  <w:rFonts w:ascii="Arial"/>
                                  <w:b/>
                                  <w:color w:val="FFFFFF"/>
                                  <w:spacing w:val="13"/>
                                  <w:w w:val="105"/>
                                  <w:sz w:val="16"/>
                                </w:rPr>
                                <w:t> </w:t>
                              </w:r>
                              <w:r>
                                <w:rPr>
                                  <w:rFonts w:ascii="Arial"/>
                                  <w:b/>
                                  <w:color w:val="FFFFFF"/>
                                  <w:spacing w:val="-4"/>
                                  <w:w w:val="105"/>
                                  <w:sz w:val="16"/>
                                </w:rPr>
                                <w:t>2022</w:t>
                              </w:r>
                            </w:p>
                          </w:txbxContent>
                        </wps:txbx>
                        <wps:bodyPr wrap="square" lIns="0" tIns="0" rIns="0" bIns="0" rtlCol="0">
                          <a:noAutofit/>
                        </wps:bodyPr>
                      </wps:wsp>
                      <wps:wsp>
                        <wps:cNvPr id="1560" name="Textbox 1560"/>
                        <wps:cNvSpPr txBox="1"/>
                        <wps:spPr>
                          <a:xfrm>
                            <a:off x="38100" y="38100"/>
                            <a:ext cx="520700" cy="206375"/>
                          </a:xfrm>
                          <a:prstGeom prst="rect">
                            <a:avLst/>
                          </a:prstGeom>
                        </wps:spPr>
                        <wps:txbx>
                          <w:txbxContent>
                            <w:p>
                              <w:pPr>
                                <w:spacing w:before="70"/>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2.2</w:t>
                              </w:r>
                            </w:p>
                          </w:txbxContent>
                        </wps:txbx>
                        <wps:bodyPr wrap="square" lIns="0" tIns="0" rIns="0" bIns="0" rtlCol="0">
                          <a:noAutofit/>
                        </wps:bodyPr>
                      </wps:wsp>
                    </wpg:wgp>
                  </a:graphicData>
                </a:graphic>
              </wp:anchor>
            </w:drawing>
          </mc:Choice>
          <mc:Fallback>
            <w:pict>
              <v:group style="position:absolute;margin-left:165pt;margin-top:30.606443pt;width:390pt;height:65.850pt;mso-position-horizontal-relative:page;mso-position-vertical-relative:paragraph;z-index:-36549632" id="docshapegroup1316" coordorigin="3300,612" coordsize="7800,1317">
                <v:shape style="position:absolute;left:3400;top:642;width:7670;height:356" id="docshape1317" coordorigin="3400,642" coordsize="7670,356" path="m10920,642l3480,642,3422,654,3400,669,3400,998,11070,998,11070,792,11058,734,11026,686,10978,654,10920,642xe" filled="true" fillcolor="#808285" stroked="false">
                  <v:path arrowok="t"/>
                  <v:fill type="solid"/>
                </v:shape>
                <v:line style="position:absolute" from="4200,1012" to="4200,658" stroked="true" strokeweight="2pt" strokecolor="#ffffff">
                  <v:stroke dashstyle="solid"/>
                </v:line>
                <v:rect style="position:absolute;left:3360;top:672;width:820;height:325" id="docshape1318" filled="true" fillcolor="#008fdd" stroked="false">
                  <v:fill type="solid"/>
                </v:rect>
                <v:shape style="position:absolute;left:3330;top:642;width:7740;height:680" id="docshape1319" coordorigin="3330,642" coordsize="7740,680" path="m3480,642l3422,654,3374,686,3342,734,3330,792,3330,1292,3330,1322,3360,1322,11040,1322,11070,1322,11070,1292,11070,792,11058,734,11026,686,10978,654,10920,642,3480,642xe" filled="false" stroked="true" strokeweight="3pt" strokecolor="#ffffff">
                  <v:path arrowok="t"/>
                  <v:stroke dashstyle="solid"/>
                </v:shape>
                <v:shape style="position:absolute;left:3360;top:1088;width:7680;height:841" id="docshape1320" coordorigin="3360,1088" coordsize="7680,841" path="m11040,1088l6432,1088,6432,1089,4896,1089,3360,1089,3360,1929,4896,1929,6432,1929,6432,1668,11040,1668,11040,1088xe" filled="true" fillcolor="#ffffff" stroked="false">
                  <v:path arrowok="t"/>
                  <v:fill type="solid"/>
                </v:shape>
                <v:shape style="position:absolute;left:3300;top:612;width:7800;height:1317" type="#_x0000_t202" id="docshape1321" filled="false" stroked="false">
                  <v:textbox inset="0,0,0,0">
                    <w:txbxContent>
                      <w:p>
                        <w:pPr>
                          <w:spacing w:before="130"/>
                          <w:ind w:left="1059" w:right="0" w:firstLine="0"/>
                          <w:jc w:val="left"/>
                          <w:rPr>
                            <w:rFonts w:ascii="Arial"/>
                            <w:b/>
                            <w:sz w:val="16"/>
                          </w:rPr>
                        </w:pPr>
                        <w:r>
                          <w:rPr>
                            <w:rFonts w:ascii="Arial"/>
                            <w:b/>
                            <w:color w:val="FFFFFF"/>
                            <w:w w:val="105"/>
                            <w:sz w:val="16"/>
                          </w:rPr>
                          <w:t>Lead</w:t>
                        </w:r>
                        <w:r>
                          <w:rPr>
                            <w:rFonts w:ascii="Arial"/>
                            <w:b/>
                            <w:color w:val="FFFFFF"/>
                            <w:spacing w:val="10"/>
                            <w:w w:val="105"/>
                            <w:sz w:val="16"/>
                          </w:rPr>
                          <w:t> </w:t>
                        </w:r>
                        <w:r>
                          <w:rPr>
                            <w:rFonts w:ascii="Arial"/>
                            <w:b/>
                            <w:color w:val="FFFFFF"/>
                            <w:w w:val="105"/>
                            <w:sz w:val="16"/>
                          </w:rPr>
                          <w:t>time</w:t>
                        </w:r>
                        <w:r>
                          <w:rPr>
                            <w:rFonts w:ascii="Arial"/>
                            <w:b/>
                            <w:color w:val="FFFFFF"/>
                            <w:spacing w:val="13"/>
                            <w:w w:val="105"/>
                            <w:sz w:val="16"/>
                          </w:rPr>
                          <w:t> </w:t>
                        </w:r>
                        <w:r>
                          <w:rPr>
                            <w:rFonts w:ascii="Arial"/>
                            <w:b/>
                            <w:color w:val="FFFFFF"/>
                            <w:w w:val="105"/>
                            <w:sz w:val="16"/>
                          </w:rPr>
                          <w:t>data</w:t>
                        </w:r>
                        <w:r>
                          <w:rPr>
                            <w:rFonts w:ascii="Arial"/>
                            <w:b/>
                            <w:color w:val="FFFFFF"/>
                            <w:spacing w:val="12"/>
                            <w:w w:val="105"/>
                            <w:sz w:val="16"/>
                          </w:rPr>
                          <w:t> </w:t>
                        </w:r>
                        <w:r>
                          <w:rPr>
                            <w:rFonts w:ascii="Arial"/>
                            <w:b/>
                            <w:color w:val="FFFFFF"/>
                            <w:w w:val="105"/>
                            <w:sz w:val="16"/>
                          </w:rPr>
                          <w:t>for</w:t>
                        </w:r>
                        <w:r>
                          <w:rPr>
                            <w:rFonts w:ascii="Arial"/>
                            <w:b/>
                            <w:color w:val="FFFFFF"/>
                            <w:spacing w:val="13"/>
                            <w:w w:val="105"/>
                            <w:sz w:val="16"/>
                          </w:rPr>
                          <w:t> </w:t>
                        </w:r>
                        <w:r>
                          <w:rPr>
                            <w:rFonts w:ascii="Arial"/>
                            <w:b/>
                            <w:color w:val="FFFFFF"/>
                            <w:w w:val="105"/>
                            <w:sz w:val="16"/>
                          </w:rPr>
                          <w:t>aviation,</w:t>
                        </w:r>
                        <w:r>
                          <w:rPr>
                            <w:rFonts w:ascii="Arial"/>
                            <w:b/>
                            <w:color w:val="FFFFFF"/>
                            <w:spacing w:val="13"/>
                            <w:w w:val="105"/>
                            <w:sz w:val="16"/>
                          </w:rPr>
                          <w:t> </w:t>
                        </w:r>
                        <w:r>
                          <w:rPr>
                            <w:rFonts w:ascii="Arial"/>
                            <w:b/>
                            <w:color w:val="FFFFFF"/>
                            <w:w w:val="105"/>
                            <w:sz w:val="16"/>
                          </w:rPr>
                          <w:t>second</w:t>
                        </w:r>
                        <w:r>
                          <w:rPr>
                            <w:rFonts w:ascii="Arial"/>
                            <w:b/>
                            <w:color w:val="FFFFFF"/>
                            <w:spacing w:val="12"/>
                            <w:w w:val="105"/>
                            <w:sz w:val="16"/>
                          </w:rPr>
                          <w:t> </w:t>
                        </w:r>
                        <w:r>
                          <w:rPr>
                            <w:rFonts w:ascii="Arial"/>
                            <w:b/>
                            <w:color w:val="FFFFFF"/>
                            <w:w w:val="105"/>
                            <w:sz w:val="16"/>
                          </w:rPr>
                          <w:t>quarter</w:t>
                        </w:r>
                        <w:r>
                          <w:rPr>
                            <w:rFonts w:ascii="Arial"/>
                            <w:b/>
                            <w:color w:val="FFFFFF"/>
                            <w:spacing w:val="13"/>
                            <w:w w:val="105"/>
                            <w:sz w:val="16"/>
                          </w:rPr>
                          <w:t> </w:t>
                        </w:r>
                        <w:r>
                          <w:rPr>
                            <w:rFonts w:ascii="Arial"/>
                            <w:b/>
                            <w:color w:val="FFFFFF"/>
                            <w:w w:val="105"/>
                            <w:sz w:val="16"/>
                          </w:rPr>
                          <w:t>of</w:t>
                        </w:r>
                        <w:r>
                          <w:rPr>
                            <w:rFonts w:ascii="Arial"/>
                            <w:b/>
                            <w:color w:val="FFFFFF"/>
                            <w:spacing w:val="13"/>
                            <w:w w:val="105"/>
                            <w:sz w:val="16"/>
                          </w:rPr>
                          <w:t> </w:t>
                        </w:r>
                        <w:r>
                          <w:rPr>
                            <w:rFonts w:ascii="Arial"/>
                            <w:b/>
                            <w:color w:val="FFFFFF"/>
                            <w:spacing w:val="-4"/>
                            <w:w w:val="105"/>
                            <w:sz w:val="16"/>
                          </w:rPr>
                          <w:t>2022</w:t>
                        </w:r>
                      </w:p>
                    </w:txbxContent>
                  </v:textbox>
                  <w10:wrap type="none"/>
                </v:shape>
                <v:shape style="position:absolute;left:3360;top:672;width:820;height:325" type="#_x0000_t202" id="docshape1322" filled="false" stroked="false">
                  <v:textbox inset="0,0,0,0">
                    <w:txbxContent>
                      <w:p>
                        <w:pPr>
                          <w:spacing w:before="70"/>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2.2</w:t>
                        </w:r>
                      </w:p>
                    </w:txbxContent>
                  </v:textbox>
                  <w10:wrap type="none"/>
                </v:shape>
                <w10:wrap type="none"/>
              </v:group>
            </w:pict>
          </mc:Fallback>
        </mc:AlternateContent>
      </w:r>
      <w:r>
        <w:rPr>
          <w:rFonts w:ascii="Arial"/>
          <w:i/>
          <w:color w:val="231F20"/>
          <w:w w:val="80"/>
          <w:sz w:val="12"/>
        </w:rPr>
        <w:t>Note:</w:t>
      </w:r>
      <w:r>
        <w:rPr>
          <w:rFonts w:ascii="Arial"/>
          <w:i/>
          <w:color w:val="231F20"/>
          <w:spacing w:val="-2"/>
          <w:sz w:val="12"/>
        </w:rPr>
        <w:t> </w:t>
      </w:r>
      <w:r>
        <w:rPr>
          <w:rFonts w:ascii="Arial"/>
          <w:color w:val="231F20"/>
          <w:w w:val="80"/>
          <w:sz w:val="12"/>
        </w:rPr>
        <w:t>Data</w:t>
      </w:r>
      <w:r>
        <w:rPr>
          <w:rFonts w:ascii="Arial"/>
          <w:color w:val="231F20"/>
          <w:spacing w:val="-1"/>
          <w:sz w:val="12"/>
        </w:rPr>
        <w:t> </w:t>
      </w:r>
      <w:r>
        <w:rPr>
          <w:rFonts w:ascii="Arial"/>
          <w:color w:val="231F20"/>
          <w:w w:val="80"/>
          <w:sz w:val="12"/>
        </w:rPr>
        <w:t>on</w:t>
      </w:r>
      <w:r>
        <w:rPr>
          <w:rFonts w:ascii="Arial"/>
          <w:color w:val="231F20"/>
          <w:spacing w:val="-2"/>
          <w:sz w:val="12"/>
        </w:rPr>
        <w:t> </w:t>
      </w:r>
      <w:r>
        <w:rPr>
          <w:rFonts w:ascii="Arial"/>
          <w:color w:val="231F20"/>
          <w:w w:val="80"/>
          <w:sz w:val="12"/>
        </w:rPr>
        <w:t>the</w:t>
      </w:r>
      <w:r>
        <w:rPr>
          <w:rFonts w:ascii="Arial"/>
          <w:color w:val="231F20"/>
          <w:spacing w:val="-1"/>
          <w:sz w:val="12"/>
        </w:rPr>
        <w:t> </w:t>
      </w:r>
      <w:r>
        <w:rPr>
          <w:rFonts w:ascii="Arial"/>
          <w:color w:val="231F20"/>
          <w:w w:val="80"/>
          <w:sz w:val="12"/>
        </w:rPr>
        <w:t>number</w:t>
      </w:r>
      <w:r>
        <w:rPr>
          <w:rFonts w:ascii="Arial"/>
          <w:color w:val="231F20"/>
          <w:spacing w:val="-1"/>
          <w:sz w:val="12"/>
        </w:rPr>
        <w:t> </w:t>
      </w:r>
      <w:r>
        <w:rPr>
          <w:rFonts w:ascii="Arial"/>
          <w:color w:val="231F20"/>
          <w:w w:val="80"/>
          <w:sz w:val="12"/>
        </w:rPr>
        <w:t>of</w:t>
      </w:r>
      <w:r>
        <w:rPr>
          <w:rFonts w:ascii="Arial"/>
          <w:color w:val="231F20"/>
          <w:spacing w:val="-2"/>
          <w:sz w:val="12"/>
        </w:rPr>
        <w:t> </w:t>
      </w:r>
      <w:r>
        <w:rPr>
          <w:rFonts w:ascii="Arial"/>
          <w:color w:val="231F20"/>
          <w:w w:val="80"/>
          <w:sz w:val="12"/>
        </w:rPr>
        <w:t>international</w:t>
      </w:r>
      <w:r>
        <w:rPr>
          <w:rFonts w:ascii="Arial"/>
          <w:color w:val="231F20"/>
          <w:spacing w:val="-1"/>
          <w:sz w:val="12"/>
        </w:rPr>
        <w:t> </w:t>
      </w:r>
      <w:r>
        <w:rPr>
          <w:rFonts w:ascii="Arial"/>
          <w:color w:val="231F20"/>
          <w:w w:val="80"/>
          <w:sz w:val="12"/>
        </w:rPr>
        <w:t>connections</w:t>
      </w:r>
      <w:r>
        <w:rPr>
          <w:rFonts w:ascii="Arial"/>
          <w:color w:val="231F20"/>
          <w:spacing w:val="-2"/>
          <w:sz w:val="12"/>
        </w:rPr>
        <w:t> </w:t>
      </w:r>
      <w:r>
        <w:rPr>
          <w:rFonts w:ascii="Arial"/>
          <w:color w:val="231F20"/>
          <w:w w:val="80"/>
          <w:sz w:val="12"/>
        </w:rPr>
        <w:t>are</w:t>
      </w:r>
      <w:r>
        <w:rPr>
          <w:rFonts w:ascii="Arial"/>
          <w:color w:val="231F20"/>
          <w:spacing w:val="-1"/>
          <w:sz w:val="12"/>
        </w:rPr>
        <w:t> </w:t>
      </w:r>
      <w:r>
        <w:rPr>
          <w:rFonts w:ascii="Arial"/>
          <w:color w:val="231F20"/>
          <w:w w:val="80"/>
          <w:sz w:val="12"/>
        </w:rPr>
        <w:t>for</w:t>
      </w:r>
      <w:r>
        <w:rPr>
          <w:rFonts w:ascii="Arial"/>
          <w:color w:val="231F20"/>
          <w:spacing w:val="-1"/>
          <w:sz w:val="12"/>
        </w:rPr>
        <w:t> </w:t>
      </w:r>
      <w:r>
        <w:rPr>
          <w:rFonts w:ascii="Arial"/>
          <w:color w:val="231F20"/>
          <w:w w:val="80"/>
          <w:sz w:val="12"/>
        </w:rPr>
        <w:t>the</w:t>
      </w:r>
      <w:r>
        <w:rPr>
          <w:rFonts w:ascii="Arial"/>
          <w:color w:val="231F20"/>
          <w:spacing w:val="-2"/>
          <w:sz w:val="12"/>
        </w:rPr>
        <w:t> </w:t>
      </w:r>
      <w:r>
        <w:rPr>
          <w:rFonts w:ascii="Arial"/>
          <w:color w:val="231F20"/>
          <w:w w:val="80"/>
          <w:sz w:val="12"/>
        </w:rPr>
        <w:t>second</w:t>
      </w:r>
      <w:r>
        <w:rPr>
          <w:rFonts w:ascii="Arial"/>
          <w:color w:val="231F20"/>
          <w:spacing w:val="-1"/>
          <w:sz w:val="12"/>
        </w:rPr>
        <w:t> </w:t>
      </w:r>
      <w:r>
        <w:rPr>
          <w:rFonts w:ascii="Arial"/>
          <w:color w:val="231F20"/>
          <w:w w:val="80"/>
          <w:sz w:val="12"/>
        </w:rPr>
        <w:t>quarter</w:t>
      </w:r>
      <w:r>
        <w:rPr>
          <w:rFonts w:ascii="Arial"/>
          <w:color w:val="231F20"/>
          <w:spacing w:val="-2"/>
          <w:sz w:val="12"/>
        </w:rPr>
        <w:t> </w:t>
      </w:r>
      <w:r>
        <w:rPr>
          <w:rFonts w:ascii="Arial"/>
          <w:color w:val="231F20"/>
          <w:w w:val="80"/>
          <w:sz w:val="12"/>
        </w:rPr>
        <w:t>of</w:t>
      </w:r>
      <w:r>
        <w:rPr>
          <w:rFonts w:ascii="Arial"/>
          <w:color w:val="231F20"/>
          <w:spacing w:val="-1"/>
          <w:sz w:val="12"/>
        </w:rPr>
        <w:t> </w:t>
      </w:r>
      <w:r>
        <w:rPr>
          <w:rFonts w:ascii="Arial"/>
          <w:color w:val="231F20"/>
          <w:w w:val="80"/>
          <w:sz w:val="12"/>
        </w:rPr>
        <w:t>2022,</w:t>
      </w:r>
      <w:r>
        <w:rPr>
          <w:rFonts w:ascii="Arial"/>
          <w:color w:val="231F20"/>
          <w:spacing w:val="-1"/>
          <w:sz w:val="12"/>
        </w:rPr>
        <w:t> </w:t>
      </w:r>
      <w:r>
        <w:rPr>
          <w:rFonts w:ascii="Arial"/>
          <w:color w:val="231F20"/>
          <w:w w:val="80"/>
          <w:sz w:val="12"/>
        </w:rPr>
        <w:t>and</w:t>
      </w:r>
      <w:r>
        <w:rPr>
          <w:rFonts w:ascii="Arial"/>
          <w:color w:val="231F20"/>
          <w:spacing w:val="-2"/>
          <w:sz w:val="12"/>
        </w:rPr>
        <w:t> </w:t>
      </w:r>
      <w:r>
        <w:rPr>
          <w:rFonts w:ascii="Arial"/>
          <w:color w:val="231F20"/>
          <w:w w:val="80"/>
          <w:sz w:val="12"/>
        </w:rPr>
        <w:t>data</w:t>
      </w:r>
      <w:r>
        <w:rPr>
          <w:rFonts w:ascii="Arial"/>
          <w:color w:val="231F20"/>
          <w:spacing w:val="-1"/>
          <w:sz w:val="12"/>
        </w:rPr>
        <w:t> </w:t>
      </w:r>
      <w:r>
        <w:rPr>
          <w:rFonts w:ascii="Arial"/>
          <w:color w:val="231F20"/>
          <w:w w:val="80"/>
          <w:sz w:val="12"/>
        </w:rPr>
        <w:t>on</w:t>
      </w:r>
      <w:r>
        <w:rPr>
          <w:rFonts w:ascii="Arial"/>
          <w:color w:val="231F20"/>
          <w:spacing w:val="-2"/>
          <w:sz w:val="12"/>
        </w:rPr>
        <w:t> </w:t>
      </w:r>
      <w:r>
        <w:rPr>
          <w:rFonts w:ascii="Arial"/>
          <w:color w:val="231F20"/>
          <w:w w:val="80"/>
          <w:sz w:val="12"/>
        </w:rPr>
        <w:t>turnaround</w:t>
      </w:r>
      <w:r>
        <w:rPr>
          <w:rFonts w:ascii="Arial"/>
          <w:color w:val="231F20"/>
          <w:spacing w:val="-1"/>
          <w:sz w:val="12"/>
        </w:rPr>
        <w:t> </w:t>
      </w:r>
      <w:r>
        <w:rPr>
          <w:rFonts w:ascii="Arial"/>
          <w:color w:val="231F20"/>
          <w:w w:val="80"/>
          <w:sz w:val="12"/>
        </w:rPr>
        <w:t>time</w:t>
      </w:r>
      <w:r>
        <w:rPr>
          <w:rFonts w:ascii="Arial"/>
          <w:color w:val="231F20"/>
          <w:spacing w:val="-1"/>
          <w:sz w:val="12"/>
        </w:rPr>
        <w:t> </w:t>
      </w:r>
      <w:r>
        <w:rPr>
          <w:rFonts w:ascii="Arial"/>
          <w:color w:val="231F20"/>
          <w:w w:val="80"/>
          <w:sz w:val="12"/>
        </w:rPr>
        <w:t>at</w:t>
      </w:r>
      <w:r>
        <w:rPr>
          <w:rFonts w:ascii="Arial"/>
          <w:color w:val="231F20"/>
          <w:spacing w:val="-2"/>
          <w:sz w:val="12"/>
        </w:rPr>
        <w:t> </w:t>
      </w:r>
      <w:r>
        <w:rPr>
          <w:rFonts w:ascii="Arial"/>
          <w:color w:val="231F20"/>
          <w:w w:val="80"/>
          <w:sz w:val="12"/>
        </w:rPr>
        <w:t>ports</w:t>
      </w:r>
      <w:r>
        <w:rPr>
          <w:rFonts w:ascii="Arial"/>
          <w:color w:val="231F20"/>
          <w:spacing w:val="-1"/>
          <w:sz w:val="12"/>
        </w:rPr>
        <w:t> </w:t>
      </w:r>
      <w:r>
        <w:rPr>
          <w:rFonts w:ascii="Arial"/>
          <w:color w:val="231F20"/>
          <w:w w:val="80"/>
          <w:sz w:val="12"/>
        </w:rPr>
        <w:t>are</w:t>
      </w:r>
      <w:r>
        <w:rPr>
          <w:rFonts w:ascii="Arial"/>
          <w:color w:val="231F20"/>
          <w:spacing w:val="-2"/>
          <w:sz w:val="12"/>
        </w:rPr>
        <w:t> </w:t>
      </w:r>
      <w:r>
        <w:rPr>
          <w:rFonts w:ascii="Arial"/>
          <w:color w:val="231F20"/>
          <w:w w:val="80"/>
          <w:sz w:val="12"/>
        </w:rPr>
        <w:t>for</w:t>
      </w:r>
      <w:r>
        <w:rPr>
          <w:rFonts w:ascii="Arial"/>
          <w:color w:val="231F20"/>
          <w:spacing w:val="-1"/>
          <w:sz w:val="12"/>
        </w:rPr>
        <w:t> </w:t>
      </w:r>
      <w:r>
        <w:rPr>
          <w:rFonts w:ascii="Arial"/>
          <w:color w:val="231F20"/>
          <w:w w:val="80"/>
          <w:sz w:val="12"/>
        </w:rPr>
        <w:t>June</w:t>
      </w:r>
      <w:r>
        <w:rPr>
          <w:rFonts w:ascii="Arial"/>
          <w:color w:val="231F20"/>
          <w:spacing w:val="-1"/>
          <w:sz w:val="12"/>
        </w:rPr>
        <w:t> </w:t>
      </w:r>
      <w:r>
        <w:rPr>
          <w:rFonts w:ascii="Arial"/>
          <w:color w:val="231F20"/>
          <w:spacing w:val="-4"/>
          <w:w w:val="80"/>
          <w:sz w:val="12"/>
        </w:rPr>
        <w:t>2022.</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50"/>
        <w:rPr>
          <w:rFonts w:ascii="Arial"/>
          <w:sz w:val="20"/>
        </w:rPr>
      </w:pPr>
    </w:p>
    <w:tbl>
      <w:tblPr>
        <w:tblW w:w="0" w:type="auto"/>
        <w:jc w:val="left"/>
        <w:tblInd w:w="3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3"/>
        <w:gridCol w:w="1789"/>
        <w:gridCol w:w="1563"/>
        <w:gridCol w:w="1317"/>
        <w:gridCol w:w="1727"/>
      </w:tblGrid>
      <w:tr>
        <w:trPr>
          <w:trHeight w:val="529" w:hRule="atLeast"/>
        </w:trPr>
        <w:tc>
          <w:tcPr>
            <w:tcW w:w="1283" w:type="dxa"/>
            <w:shd w:val="clear" w:color="auto" w:fill="FFFFFF"/>
          </w:tcPr>
          <w:p>
            <w:pPr>
              <w:pStyle w:val="TableParagraph"/>
              <w:spacing w:before="0"/>
              <w:jc w:val="left"/>
              <w:rPr>
                <w:rFonts w:ascii="Times New Roman"/>
                <w:sz w:val="12"/>
              </w:rPr>
            </w:pPr>
          </w:p>
        </w:tc>
        <w:tc>
          <w:tcPr>
            <w:tcW w:w="1789" w:type="dxa"/>
            <w:vMerge w:val="restart"/>
            <w:tcBorders>
              <w:bottom w:val="single" w:sz="4" w:space="0" w:color="008FDD"/>
            </w:tcBorders>
            <w:shd w:val="clear" w:color="auto" w:fill="FFFFFF"/>
          </w:tcPr>
          <w:p>
            <w:pPr>
              <w:pStyle w:val="TableParagraph"/>
              <w:spacing w:before="102"/>
              <w:jc w:val="left"/>
              <w:rPr>
                <w:sz w:val="14"/>
              </w:rPr>
            </w:pPr>
          </w:p>
          <w:p>
            <w:pPr>
              <w:pStyle w:val="TableParagraph"/>
              <w:spacing w:before="0"/>
              <w:ind w:left="469" w:right="212" w:hanging="3"/>
              <w:rPr>
                <w:b/>
                <w:sz w:val="14"/>
              </w:rPr>
            </w:pPr>
            <w:r>
              <w:rPr>
                <w:b/>
                <w:color w:val="231F20"/>
                <w:w w:val="85"/>
                <w:sz w:val="14"/>
              </w:rPr>
              <w:t>Average</w:t>
            </w:r>
            <w:r>
              <w:rPr>
                <w:b/>
                <w:color w:val="231F20"/>
                <w:spacing w:val="-4"/>
                <w:w w:val="85"/>
                <w:sz w:val="14"/>
              </w:rPr>
              <w:t> </w:t>
            </w:r>
            <w:r>
              <w:rPr>
                <w:b/>
                <w:color w:val="231F20"/>
                <w:w w:val="85"/>
                <w:sz w:val="14"/>
              </w:rPr>
              <w:t>number</w:t>
            </w:r>
            <w:r>
              <w:rPr>
                <w:b/>
                <w:color w:val="231F20"/>
                <w:spacing w:val="-4"/>
                <w:w w:val="85"/>
                <w:sz w:val="14"/>
              </w:rPr>
              <w:t> </w:t>
            </w:r>
            <w:r>
              <w:rPr>
                <w:b/>
                <w:color w:val="231F20"/>
                <w:w w:val="85"/>
                <w:sz w:val="14"/>
              </w:rPr>
              <w:t>of</w:t>
            </w:r>
            <w:r>
              <w:rPr>
                <w:b/>
                <w:color w:val="231F20"/>
                <w:spacing w:val="40"/>
                <w:sz w:val="14"/>
              </w:rPr>
              <w:t> </w:t>
            </w:r>
            <w:r>
              <w:rPr>
                <w:b/>
                <w:color w:val="231F20"/>
                <w:w w:val="80"/>
                <w:sz w:val="14"/>
              </w:rPr>
              <w:t>partners</w:t>
            </w:r>
            <w:r>
              <w:rPr>
                <w:b/>
                <w:color w:val="231F20"/>
                <w:spacing w:val="-2"/>
                <w:w w:val="80"/>
                <w:sz w:val="14"/>
              </w:rPr>
              <w:t> </w:t>
            </w:r>
            <w:r>
              <w:rPr>
                <w:b/>
                <w:color w:val="231F20"/>
                <w:w w:val="80"/>
                <w:sz w:val="14"/>
              </w:rPr>
              <w:t>(incoming</w:t>
            </w:r>
            <w:r>
              <w:rPr>
                <w:b/>
                <w:color w:val="231F20"/>
                <w:spacing w:val="40"/>
                <w:sz w:val="14"/>
              </w:rPr>
              <w:t> </w:t>
            </w:r>
            <w:r>
              <w:rPr>
                <w:b/>
                <w:color w:val="231F20"/>
                <w:w w:val="95"/>
                <w:sz w:val="14"/>
              </w:rPr>
              <w:t>and</w:t>
            </w:r>
            <w:r>
              <w:rPr>
                <w:b/>
                <w:color w:val="231F20"/>
                <w:spacing w:val="-8"/>
                <w:w w:val="95"/>
                <w:sz w:val="14"/>
              </w:rPr>
              <w:t> </w:t>
            </w:r>
            <w:r>
              <w:rPr>
                <w:b/>
                <w:color w:val="231F20"/>
                <w:w w:val="95"/>
                <w:sz w:val="14"/>
              </w:rPr>
              <w:t>outgoing)</w:t>
            </w:r>
          </w:p>
        </w:tc>
        <w:tc>
          <w:tcPr>
            <w:tcW w:w="4607" w:type="dxa"/>
            <w:gridSpan w:val="3"/>
            <w:tcBorders>
              <w:bottom w:val="single" w:sz="4" w:space="0" w:color="008FDD"/>
            </w:tcBorders>
            <w:shd w:val="clear" w:color="auto" w:fill="FFFFFF"/>
          </w:tcPr>
          <w:p>
            <w:pPr>
              <w:pStyle w:val="TableParagraph"/>
              <w:spacing w:before="3"/>
              <w:ind w:left="525" w:right="522"/>
              <w:rPr>
                <w:b/>
                <w:sz w:val="14"/>
              </w:rPr>
            </w:pPr>
            <w:r>
              <w:rPr>
                <w:b/>
                <w:color w:val="231F20"/>
                <w:w w:val="85"/>
                <w:sz w:val="14"/>
              </w:rPr>
              <w:t>Aviation import dwell time (time from advisory to the</w:t>
            </w:r>
            <w:r>
              <w:rPr>
                <w:b/>
                <w:color w:val="231F20"/>
                <w:spacing w:val="40"/>
                <w:sz w:val="14"/>
              </w:rPr>
              <w:t> </w:t>
            </w:r>
            <w:r>
              <w:rPr>
                <w:b/>
                <w:color w:val="231F20"/>
                <w:w w:val="90"/>
                <w:sz w:val="14"/>
              </w:rPr>
              <w:t>consignee</w:t>
            </w:r>
            <w:r>
              <w:rPr>
                <w:b/>
                <w:color w:val="231F20"/>
                <w:spacing w:val="-1"/>
                <w:w w:val="90"/>
                <w:sz w:val="14"/>
              </w:rPr>
              <w:t> </w:t>
            </w:r>
            <w:r>
              <w:rPr>
                <w:b/>
                <w:color w:val="231F20"/>
                <w:w w:val="90"/>
                <w:sz w:val="14"/>
              </w:rPr>
              <w:t>of</w:t>
            </w:r>
            <w:r>
              <w:rPr>
                <w:b/>
                <w:color w:val="231F20"/>
                <w:spacing w:val="-1"/>
                <w:w w:val="90"/>
                <w:sz w:val="14"/>
              </w:rPr>
              <w:t> </w:t>
            </w:r>
            <w:r>
              <w:rPr>
                <w:b/>
                <w:color w:val="231F20"/>
                <w:w w:val="90"/>
                <w:sz w:val="14"/>
              </w:rPr>
              <w:t>the</w:t>
            </w:r>
            <w:r>
              <w:rPr>
                <w:b/>
                <w:color w:val="231F20"/>
                <w:spacing w:val="-1"/>
                <w:w w:val="90"/>
                <w:sz w:val="14"/>
              </w:rPr>
              <w:t> </w:t>
            </w:r>
            <w:r>
              <w:rPr>
                <w:b/>
                <w:color w:val="231F20"/>
                <w:w w:val="90"/>
                <w:sz w:val="14"/>
              </w:rPr>
              <w:t>freight’s</w:t>
            </w:r>
            <w:r>
              <w:rPr>
                <w:b/>
                <w:color w:val="231F20"/>
                <w:spacing w:val="-1"/>
                <w:w w:val="90"/>
                <w:sz w:val="14"/>
              </w:rPr>
              <w:t> </w:t>
            </w:r>
            <w:r>
              <w:rPr>
                <w:b/>
                <w:color w:val="231F20"/>
                <w:w w:val="90"/>
                <w:sz w:val="14"/>
              </w:rPr>
              <w:t>arrival</w:t>
            </w:r>
            <w:r>
              <w:rPr>
                <w:b/>
                <w:color w:val="231F20"/>
                <w:spacing w:val="-1"/>
                <w:w w:val="90"/>
                <w:sz w:val="14"/>
              </w:rPr>
              <w:t> </w:t>
            </w:r>
            <w:r>
              <w:rPr>
                <w:b/>
                <w:color w:val="231F20"/>
                <w:w w:val="90"/>
                <w:sz w:val="14"/>
              </w:rPr>
              <w:t>to</w:t>
            </w:r>
            <w:r>
              <w:rPr>
                <w:b/>
                <w:color w:val="231F20"/>
                <w:spacing w:val="-1"/>
                <w:w w:val="90"/>
                <w:sz w:val="14"/>
              </w:rPr>
              <w:t> </w:t>
            </w:r>
            <w:r>
              <w:rPr>
                <w:b/>
                <w:color w:val="231F20"/>
                <w:w w:val="90"/>
                <w:sz w:val="14"/>
              </w:rPr>
              <w:t>delivery)</w:t>
            </w:r>
          </w:p>
          <w:p>
            <w:pPr>
              <w:pStyle w:val="TableParagraph"/>
              <w:spacing w:line="159" w:lineRule="exact" w:before="0"/>
              <w:ind w:left="525" w:right="525"/>
              <w:rPr>
                <w:b/>
                <w:sz w:val="14"/>
              </w:rPr>
            </w:pPr>
            <w:r>
              <w:rPr>
                <w:b/>
                <w:color w:val="231F20"/>
                <w:spacing w:val="-2"/>
                <w:w w:val="95"/>
                <w:sz w:val="14"/>
              </w:rPr>
              <w:t>(days)</w:t>
            </w:r>
          </w:p>
        </w:tc>
      </w:tr>
      <w:tr>
        <w:trPr>
          <w:trHeight w:val="249" w:hRule="atLeast"/>
        </w:trPr>
        <w:tc>
          <w:tcPr>
            <w:tcW w:w="1283" w:type="dxa"/>
            <w:tcBorders>
              <w:bottom w:val="single" w:sz="4" w:space="0" w:color="008FDD"/>
            </w:tcBorders>
          </w:tcPr>
          <w:p>
            <w:pPr>
              <w:pStyle w:val="TableParagraph"/>
              <w:spacing w:before="43"/>
              <w:ind w:left="80"/>
              <w:jc w:val="left"/>
              <w:rPr>
                <w:b/>
                <w:sz w:val="14"/>
              </w:rPr>
            </w:pPr>
            <w:r>
              <w:rPr>
                <w:b/>
                <w:color w:val="231F20"/>
                <w:spacing w:val="-2"/>
                <w:w w:val="90"/>
                <w:sz w:val="14"/>
              </w:rPr>
              <w:t>Economy</w:t>
            </w:r>
          </w:p>
        </w:tc>
        <w:tc>
          <w:tcPr>
            <w:tcW w:w="1789" w:type="dxa"/>
            <w:vMerge/>
            <w:tcBorders>
              <w:top w:val="nil"/>
              <w:bottom w:val="single" w:sz="4" w:space="0" w:color="008FDD"/>
            </w:tcBorders>
            <w:shd w:val="clear" w:color="auto" w:fill="FFFFFF"/>
          </w:tcPr>
          <w:p>
            <w:pPr>
              <w:rPr>
                <w:sz w:val="2"/>
                <w:szCs w:val="2"/>
              </w:rPr>
            </w:pPr>
          </w:p>
        </w:tc>
        <w:tc>
          <w:tcPr>
            <w:tcW w:w="1563" w:type="dxa"/>
            <w:tcBorders>
              <w:top w:val="single" w:sz="4" w:space="0" w:color="008FDD"/>
              <w:bottom w:val="single" w:sz="4" w:space="0" w:color="008FDD"/>
            </w:tcBorders>
          </w:tcPr>
          <w:p>
            <w:pPr>
              <w:pStyle w:val="TableParagraph"/>
              <w:spacing w:before="43"/>
              <w:ind w:left="64" w:right="88"/>
              <w:rPr>
                <w:b/>
                <w:sz w:val="14"/>
              </w:rPr>
            </w:pPr>
            <w:r>
              <w:rPr>
                <w:b/>
                <w:color w:val="231F20"/>
                <w:spacing w:val="-2"/>
                <w:w w:val="95"/>
                <w:sz w:val="14"/>
              </w:rPr>
              <w:t>Median</w:t>
            </w:r>
          </w:p>
        </w:tc>
        <w:tc>
          <w:tcPr>
            <w:tcW w:w="1317" w:type="dxa"/>
            <w:tcBorders>
              <w:top w:val="single" w:sz="4" w:space="0" w:color="008FDD"/>
              <w:bottom w:val="single" w:sz="4" w:space="0" w:color="008FDD"/>
            </w:tcBorders>
          </w:tcPr>
          <w:p>
            <w:pPr>
              <w:pStyle w:val="TableParagraph"/>
              <w:spacing w:before="43"/>
              <w:ind w:left="167"/>
              <w:rPr>
                <w:b/>
                <w:sz w:val="14"/>
              </w:rPr>
            </w:pPr>
            <w:r>
              <w:rPr>
                <w:b/>
                <w:color w:val="231F20"/>
                <w:spacing w:val="-4"/>
                <w:w w:val="95"/>
                <w:sz w:val="14"/>
              </w:rPr>
              <w:t>Mean</w:t>
            </w:r>
          </w:p>
        </w:tc>
        <w:tc>
          <w:tcPr>
            <w:tcW w:w="1727" w:type="dxa"/>
            <w:tcBorders>
              <w:top w:val="single" w:sz="4" w:space="0" w:color="008FDD"/>
              <w:bottom w:val="single" w:sz="4" w:space="0" w:color="008FDD"/>
            </w:tcBorders>
          </w:tcPr>
          <w:p>
            <w:pPr>
              <w:pStyle w:val="TableParagraph"/>
              <w:spacing w:before="43"/>
              <w:ind w:left="226" w:right="34"/>
              <w:rPr>
                <w:b/>
                <w:sz w:val="14"/>
              </w:rPr>
            </w:pPr>
            <w:r>
              <w:rPr>
                <w:b/>
                <w:color w:val="231F20"/>
                <w:spacing w:val="4"/>
                <w:w w:val="80"/>
                <w:sz w:val="14"/>
              </w:rPr>
              <w:t>Interquartile</w:t>
            </w:r>
            <w:r>
              <w:rPr>
                <w:b/>
                <w:color w:val="231F20"/>
                <w:spacing w:val="6"/>
                <w:sz w:val="14"/>
              </w:rPr>
              <w:t> </w:t>
            </w:r>
            <w:r>
              <w:rPr>
                <w:b/>
                <w:color w:val="231F20"/>
                <w:spacing w:val="-2"/>
                <w:w w:val="95"/>
                <w:sz w:val="14"/>
              </w:rPr>
              <w:t>range</w:t>
            </w:r>
          </w:p>
        </w:tc>
      </w:tr>
      <w:tr>
        <w:trPr>
          <w:trHeight w:val="258" w:hRule="atLeast"/>
        </w:trPr>
        <w:tc>
          <w:tcPr>
            <w:tcW w:w="1283" w:type="dxa"/>
            <w:tcBorders>
              <w:top w:val="single" w:sz="4" w:space="0" w:color="008FDD"/>
            </w:tcBorders>
          </w:tcPr>
          <w:p>
            <w:pPr>
              <w:pStyle w:val="TableParagraph"/>
              <w:spacing w:before="47"/>
              <w:ind w:left="80"/>
              <w:jc w:val="left"/>
              <w:rPr>
                <w:sz w:val="14"/>
              </w:rPr>
            </w:pPr>
            <w:r>
              <w:rPr>
                <w:color w:val="231F20"/>
                <w:spacing w:val="-2"/>
                <w:w w:val="90"/>
                <w:sz w:val="14"/>
              </w:rPr>
              <w:t>Algeria</w:t>
            </w:r>
          </w:p>
        </w:tc>
        <w:tc>
          <w:tcPr>
            <w:tcW w:w="1789" w:type="dxa"/>
            <w:tcBorders>
              <w:top w:val="single" w:sz="4" w:space="0" w:color="008FDD"/>
            </w:tcBorders>
          </w:tcPr>
          <w:p>
            <w:pPr>
              <w:pStyle w:val="TableParagraph"/>
              <w:spacing w:before="47"/>
              <w:ind w:left="935"/>
              <w:jc w:val="left"/>
              <w:rPr>
                <w:sz w:val="14"/>
              </w:rPr>
            </w:pPr>
            <w:r>
              <w:rPr>
                <w:color w:val="231F20"/>
                <w:spacing w:val="-4"/>
                <w:w w:val="95"/>
                <w:sz w:val="14"/>
              </w:rPr>
              <w:t>52.5</w:t>
            </w:r>
          </w:p>
        </w:tc>
        <w:tc>
          <w:tcPr>
            <w:tcW w:w="1563" w:type="dxa"/>
            <w:tcBorders>
              <w:top w:val="single" w:sz="4" w:space="0" w:color="008FDD"/>
            </w:tcBorders>
          </w:tcPr>
          <w:p>
            <w:pPr>
              <w:pStyle w:val="TableParagraph"/>
              <w:spacing w:before="47"/>
              <w:ind w:left="17" w:right="88"/>
              <w:rPr>
                <w:sz w:val="14"/>
              </w:rPr>
            </w:pPr>
            <w:r>
              <w:rPr>
                <w:color w:val="231F20"/>
                <w:spacing w:val="-4"/>
                <w:w w:val="95"/>
                <w:sz w:val="14"/>
              </w:rPr>
              <w:t>10.3</w:t>
            </w:r>
          </w:p>
        </w:tc>
        <w:tc>
          <w:tcPr>
            <w:tcW w:w="1317" w:type="dxa"/>
            <w:tcBorders>
              <w:top w:val="single" w:sz="4" w:space="0" w:color="008FDD"/>
            </w:tcBorders>
          </w:tcPr>
          <w:p>
            <w:pPr>
              <w:pStyle w:val="TableParagraph"/>
              <w:spacing w:before="47"/>
              <w:ind w:left="183"/>
              <w:rPr>
                <w:sz w:val="14"/>
              </w:rPr>
            </w:pPr>
            <w:r>
              <w:rPr>
                <w:color w:val="231F20"/>
                <w:spacing w:val="-5"/>
                <w:w w:val="95"/>
                <w:sz w:val="14"/>
              </w:rPr>
              <w:t>9.9</w:t>
            </w:r>
          </w:p>
        </w:tc>
        <w:tc>
          <w:tcPr>
            <w:tcW w:w="1727" w:type="dxa"/>
            <w:tcBorders>
              <w:top w:val="single" w:sz="4" w:space="0" w:color="008FDD"/>
            </w:tcBorders>
          </w:tcPr>
          <w:p>
            <w:pPr>
              <w:pStyle w:val="TableParagraph"/>
              <w:spacing w:before="47"/>
              <w:ind w:left="226" w:right="78"/>
              <w:rPr>
                <w:sz w:val="14"/>
              </w:rPr>
            </w:pPr>
            <w:r>
              <w:rPr>
                <w:color w:val="231F20"/>
                <w:spacing w:val="-4"/>
                <w:w w:val="95"/>
                <w:sz w:val="14"/>
              </w:rPr>
              <w:t>12.9</w:t>
            </w:r>
          </w:p>
        </w:tc>
      </w:tr>
      <w:tr>
        <w:trPr>
          <w:trHeight w:val="259" w:hRule="atLeast"/>
        </w:trPr>
        <w:tc>
          <w:tcPr>
            <w:tcW w:w="1283" w:type="dxa"/>
            <w:shd w:val="clear" w:color="auto" w:fill="D4E3F5"/>
          </w:tcPr>
          <w:p>
            <w:pPr>
              <w:pStyle w:val="TableParagraph"/>
              <w:ind w:left="80"/>
              <w:jc w:val="left"/>
              <w:rPr>
                <w:sz w:val="14"/>
              </w:rPr>
            </w:pPr>
            <w:r>
              <w:rPr>
                <w:color w:val="231F20"/>
                <w:spacing w:val="-2"/>
                <w:w w:val="85"/>
                <w:sz w:val="14"/>
              </w:rPr>
              <w:t>Angola</w:t>
            </w:r>
          </w:p>
        </w:tc>
        <w:tc>
          <w:tcPr>
            <w:tcW w:w="1789" w:type="dxa"/>
            <w:shd w:val="clear" w:color="auto" w:fill="D4E3F5"/>
          </w:tcPr>
          <w:p>
            <w:pPr>
              <w:pStyle w:val="TableParagraph"/>
              <w:ind w:left="934"/>
              <w:jc w:val="left"/>
              <w:rPr>
                <w:sz w:val="14"/>
              </w:rPr>
            </w:pPr>
            <w:r>
              <w:rPr>
                <w:color w:val="231F20"/>
                <w:spacing w:val="-4"/>
                <w:w w:val="95"/>
                <w:sz w:val="14"/>
              </w:rPr>
              <w:t>59.5</w:t>
            </w:r>
          </w:p>
        </w:tc>
        <w:tc>
          <w:tcPr>
            <w:tcW w:w="1563" w:type="dxa"/>
            <w:shd w:val="clear" w:color="auto" w:fill="D4E3F5"/>
          </w:tcPr>
          <w:p>
            <w:pPr>
              <w:pStyle w:val="TableParagraph"/>
              <w:ind w:left="17" w:right="88"/>
              <w:rPr>
                <w:sz w:val="14"/>
              </w:rPr>
            </w:pPr>
            <w:r>
              <w:rPr>
                <w:color w:val="231F20"/>
                <w:spacing w:val="-4"/>
                <w:w w:val="95"/>
                <w:sz w:val="14"/>
              </w:rPr>
              <w:t>10.0</w:t>
            </w:r>
          </w:p>
        </w:tc>
        <w:tc>
          <w:tcPr>
            <w:tcW w:w="1317" w:type="dxa"/>
            <w:shd w:val="clear" w:color="auto" w:fill="D4E3F5"/>
          </w:tcPr>
          <w:p>
            <w:pPr>
              <w:pStyle w:val="TableParagraph"/>
              <w:ind w:left="183"/>
              <w:rPr>
                <w:sz w:val="14"/>
              </w:rPr>
            </w:pPr>
            <w:r>
              <w:rPr>
                <w:color w:val="231F20"/>
                <w:spacing w:val="-5"/>
                <w:w w:val="95"/>
                <w:sz w:val="14"/>
              </w:rPr>
              <w:t>9.6</w:t>
            </w:r>
          </w:p>
        </w:tc>
        <w:tc>
          <w:tcPr>
            <w:tcW w:w="1727" w:type="dxa"/>
            <w:shd w:val="clear" w:color="auto" w:fill="D4E3F5"/>
          </w:tcPr>
          <w:p>
            <w:pPr>
              <w:pStyle w:val="TableParagraph"/>
              <w:ind w:left="226" w:right="69"/>
              <w:rPr>
                <w:sz w:val="14"/>
              </w:rPr>
            </w:pPr>
            <w:r>
              <w:rPr>
                <w:color w:val="231F20"/>
                <w:spacing w:val="-4"/>
                <w:w w:val="95"/>
                <w:sz w:val="14"/>
              </w:rPr>
              <w:t>11.8</w:t>
            </w:r>
          </w:p>
        </w:tc>
      </w:tr>
      <w:tr>
        <w:trPr>
          <w:trHeight w:val="259" w:hRule="atLeast"/>
        </w:trPr>
        <w:tc>
          <w:tcPr>
            <w:tcW w:w="1283" w:type="dxa"/>
          </w:tcPr>
          <w:p>
            <w:pPr>
              <w:pStyle w:val="TableParagraph"/>
              <w:ind w:left="80"/>
              <w:jc w:val="left"/>
              <w:rPr>
                <w:sz w:val="14"/>
              </w:rPr>
            </w:pPr>
            <w:r>
              <w:rPr>
                <w:color w:val="231F20"/>
                <w:spacing w:val="-2"/>
                <w:w w:val="90"/>
                <w:sz w:val="14"/>
              </w:rPr>
              <w:t>Argentina</w:t>
            </w:r>
          </w:p>
        </w:tc>
        <w:tc>
          <w:tcPr>
            <w:tcW w:w="1789" w:type="dxa"/>
          </w:tcPr>
          <w:p>
            <w:pPr>
              <w:pStyle w:val="TableParagraph"/>
              <w:ind w:left="933"/>
              <w:jc w:val="left"/>
              <w:rPr>
                <w:sz w:val="14"/>
              </w:rPr>
            </w:pPr>
            <w:r>
              <w:rPr>
                <w:color w:val="231F20"/>
                <w:spacing w:val="-4"/>
                <w:w w:val="95"/>
                <w:sz w:val="14"/>
              </w:rPr>
              <w:t>84.5</w:t>
            </w:r>
          </w:p>
        </w:tc>
        <w:tc>
          <w:tcPr>
            <w:tcW w:w="1563" w:type="dxa"/>
          </w:tcPr>
          <w:p>
            <w:pPr>
              <w:pStyle w:val="TableParagraph"/>
              <w:ind w:left="87" w:right="88"/>
              <w:rPr>
                <w:sz w:val="14"/>
              </w:rPr>
            </w:pPr>
            <w:r>
              <w:rPr>
                <w:color w:val="231F20"/>
                <w:spacing w:val="-5"/>
                <w:w w:val="95"/>
                <w:sz w:val="14"/>
              </w:rPr>
              <w:t>1.4</w:t>
            </w:r>
          </w:p>
        </w:tc>
        <w:tc>
          <w:tcPr>
            <w:tcW w:w="1317" w:type="dxa"/>
          </w:tcPr>
          <w:p>
            <w:pPr>
              <w:pStyle w:val="TableParagraph"/>
              <w:ind w:left="193" w:right="5"/>
              <w:rPr>
                <w:sz w:val="14"/>
              </w:rPr>
            </w:pPr>
            <w:r>
              <w:rPr>
                <w:color w:val="231F20"/>
                <w:spacing w:val="-5"/>
                <w:w w:val="95"/>
                <w:sz w:val="14"/>
              </w:rPr>
              <w:t>1.4</w:t>
            </w:r>
          </w:p>
        </w:tc>
        <w:tc>
          <w:tcPr>
            <w:tcW w:w="1727" w:type="dxa"/>
          </w:tcPr>
          <w:p>
            <w:pPr>
              <w:pStyle w:val="TableParagraph"/>
              <w:ind w:left="226" w:right="15"/>
              <w:rPr>
                <w:sz w:val="14"/>
              </w:rPr>
            </w:pPr>
            <w:r>
              <w:rPr>
                <w:color w:val="231F20"/>
                <w:spacing w:val="-5"/>
                <w:w w:val="95"/>
                <w:sz w:val="14"/>
              </w:rPr>
              <w:t>2.6</w:t>
            </w:r>
          </w:p>
        </w:tc>
      </w:tr>
      <w:tr>
        <w:trPr>
          <w:trHeight w:val="259" w:hRule="atLeast"/>
        </w:trPr>
        <w:tc>
          <w:tcPr>
            <w:tcW w:w="1283" w:type="dxa"/>
            <w:shd w:val="clear" w:color="auto" w:fill="D4E3F5"/>
          </w:tcPr>
          <w:p>
            <w:pPr>
              <w:pStyle w:val="TableParagraph"/>
              <w:ind w:left="80"/>
              <w:jc w:val="left"/>
              <w:rPr>
                <w:sz w:val="14"/>
              </w:rPr>
            </w:pPr>
            <w:r>
              <w:rPr>
                <w:color w:val="231F20"/>
                <w:spacing w:val="-2"/>
                <w:w w:val="90"/>
                <w:sz w:val="14"/>
              </w:rPr>
              <w:t>Armenia</w:t>
            </w:r>
          </w:p>
        </w:tc>
        <w:tc>
          <w:tcPr>
            <w:tcW w:w="1789" w:type="dxa"/>
            <w:shd w:val="clear" w:color="auto" w:fill="D4E3F5"/>
          </w:tcPr>
          <w:p>
            <w:pPr>
              <w:pStyle w:val="TableParagraph"/>
              <w:ind w:left="934"/>
              <w:jc w:val="left"/>
              <w:rPr>
                <w:sz w:val="14"/>
              </w:rPr>
            </w:pPr>
            <w:r>
              <w:rPr>
                <w:color w:val="231F20"/>
                <w:spacing w:val="-5"/>
                <w:w w:val="95"/>
                <w:sz w:val="14"/>
              </w:rPr>
              <w:t>53</w:t>
            </w:r>
          </w:p>
        </w:tc>
        <w:tc>
          <w:tcPr>
            <w:tcW w:w="1563" w:type="dxa"/>
            <w:shd w:val="clear" w:color="auto" w:fill="D4E3F5"/>
          </w:tcPr>
          <w:p>
            <w:pPr>
              <w:pStyle w:val="TableParagraph"/>
              <w:ind w:left="82" w:right="88"/>
              <w:rPr>
                <w:sz w:val="14"/>
              </w:rPr>
            </w:pPr>
            <w:r>
              <w:rPr>
                <w:color w:val="231F20"/>
                <w:spacing w:val="-5"/>
                <w:w w:val="95"/>
                <w:sz w:val="14"/>
              </w:rPr>
              <w:t>2.6</w:t>
            </w:r>
          </w:p>
        </w:tc>
        <w:tc>
          <w:tcPr>
            <w:tcW w:w="1317" w:type="dxa"/>
            <w:shd w:val="clear" w:color="auto" w:fill="D4E3F5"/>
          </w:tcPr>
          <w:p>
            <w:pPr>
              <w:pStyle w:val="TableParagraph"/>
              <w:ind w:left="183"/>
              <w:rPr>
                <w:sz w:val="14"/>
              </w:rPr>
            </w:pPr>
            <w:r>
              <w:rPr>
                <w:color w:val="231F20"/>
                <w:spacing w:val="-5"/>
                <w:w w:val="95"/>
                <w:sz w:val="14"/>
              </w:rPr>
              <w:t>4.0</w:t>
            </w:r>
          </w:p>
        </w:tc>
        <w:tc>
          <w:tcPr>
            <w:tcW w:w="1727" w:type="dxa"/>
            <w:shd w:val="clear" w:color="auto" w:fill="D4E3F5"/>
          </w:tcPr>
          <w:p>
            <w:pPr>
              <w:pStyle w:val="TableParagraph"/>
              <w:ind w:left="226" w:right="14"/>
              <w:rPr>
                <w:sz w:val="14"/>
              </w:rPr>
            </w:pPr>
            <w:r>
              <w:rPr>
                <w:color w:val="231F20"/>
                <w:spacing w:val="-5"/>
                <w:w w:val="95"/>
                <w:sz w:val="14"/>
              </w:rPr>
              <w:t>5.2</w:t>
            </w:r>
          </w:p>
        </w:tc>
      </w:tr>
      <w:tr>
        <w:trPr>
          <w:trHeight w:val="259" w:hRule="atLeast"/>
        </w:trPr>
        <w:tc>
          <w:tcPr>
            <w:tcW w:w="1283" w:type="dxa"/>
          </w:tcPr>
          <w:p>
            <w:pPr>
              <w:pStyle w:val="TableParagraph"/>
              <w:ind w:left="80"/>
              <w:jc w:val="left"/>
              <w:rPr>
                <w:sz w:val="14"/>
              </w:rPr>
            </w:pPr>
            <w:r>
              <w:rPr>
                <w:color w:val="231F20"/>
                <w:spacing w:val="-2"/>
                <w:w w:val="90"/>
                <w:sz w:val="14"/>
              </w:rPr>
              <w:t>Australia</w:t>
            </w:r>
          </w:p>
        </w:tc>
        <w:tc>
          <w:tcPr>
            <w:tcW w:w="1789" w:type="dxa"/>
          </w:tcPr>
          <w:p>
            <w:pPr>
              <w:pStyle w:val="TableParagraph"/>
              <w:ind w:left="932"/>
              <w:jc w:val="left"/>
              <w:rPr>
                <w:sz w:val="14"/>
              </w:rPr>
            </w:pPr>
            <w:r>
              <w:rPr>
                <w:color w:val="231F20"/>
                <w:spacing w:val="-4"/>
                <w:w w:val="95"/>
                <w:sz w:val="14"/>
              </w:rPr>
              <w:t>98.5</w:t>
            </w:r>
          </w:p>
        </w:tc>
        <w:tc>
          <w:tcPr>
            <w:tcW w:w="1563" w:type="dxa"/>
          </w:tcPr>
          <w:p>
            <w:pPr>
              <w:pStyle w:val="TableParagraph"/>
              <w:ind w:left="87" w:right="88"/>
              <w:rPr>
                <w:sz w:val="14"/>
              </w:rPr>
            </w:pPr>
            <w:r>
              <w:rPr>
                <w:color w:val="231F20"/>
                <w:spacing w:val="-5"/>
                <w:w w:val="95"/>
                <w:sz w:val="14"/>
              </w:rPr>
              <w:t>1.3</w:t>
            </w:r>
          </w:p>
        </w:tc>
        <w:tc>
          <w:tcPr>
            <w:tcW w:w="1317" w:type="dxa"/>
          </w:tcPr>
          <w:p>
            <w:pPr>
              <w:pStyle w:val="TableParagraph"/>
              <w:ind w:left="183"/>
              <w:rPr>
                <w:sz w:val="14"/>
              </w:rPr>
            </w:pPr>
            <w:r>
              <w:rPr>
                <w:color w:val="231F20"/>
                <w:spacing w:val="-5"/>
                <w:w w:val="95"/>
                <w:sz w:val="14"/>
              </w:rPr>
              <w:t>0.8</w:t>
            </w:r>
          </w:p>
        </w:tc>
        <w:tc>
          <w:tcPr>
            <w:tcW w:w="1727" w:type="dxa"/>
          </w:tcPr>
          <w:p>
            <w:pPr>
              <w:pStyle w:val="TableParagraph"/>
              <w:ind w:left="226" w:right="15"/>
              <w:rPr>
                <w:sz w:val="14"/>
              </w:rPr>
            </w:pPr>
            <w:r>
              <w:rPr>
                <w:color w:val="231F20"/>
                <w:spacing w:val="-5"/>
                <w:w w:val="95"/>
                <w:sz w:val="14"/>
              </w:rPr>
              <w:t>2.0</w:t>
            </w:r>
          </w:p>
        </w:tc>
      </w:tr>
      <w:tr>
        <w:trPr>
          <w:trHeight w:val="259" w:hRule="atLeast"/>
        </w:trPr>
        <w:tc>
          <w:tcPr>
            <w:tcW w:w="1283" w:type="dxa"/>
            <w:shd w:val="clear" w:color="auto" w:fill="D4E3F5"/>
          </w:tcPr>
          <w:p>
            <w:pPr>
              <w:pStyle w:val="TableParagraph"/>
              <w:ind w:left="80"/>
              <w:jc w:val="left"/>
              <w:rPr>
                <w:sz w:val="14"/>
              </w:rPr>
            </w:pPr>
            <w:r>
              <w:rPr>
                <w:color w:val="231F20"/>
                <w:spacing w:val="-2"/>
                <w:w w:val="90"/>
                <w:sz w:val="14"/>
              </w:rPr>
              <w:t>Austria</w:t>
            </w:r>
          </w:p>
        </w:tc>
        <w:tc>
          <w:tcPr>
            <w:tcW w:w="1789" w:type="dxa"/>
            <w:shd w:val="clear" w:color="auto" w:fill="D4E3F5"/>
          </w:tcPr>
          <w:p>
            <w:pPr>
              <w:pStyle w:val="TableParagraph"/>
              <w:ind w:left="872"/>
              <w:jc w:val="left"/>
              <w:rPr>
                <w:sz w:val="14"/>
              </w:rPr>
            </w:pPr>
            <w:r>
              <w:rPr>
                <w:color w:val="231F20"/>
                <w:spacing w:val="-5"/>
                <w:w w:val="95"/>
                <w:sz w:val="14"/>
              </w:rPr>
              <w:t>122</w:t>
            </w:r>
          </w:p>
        </w:tc>
        <w:tc>
          <w:tcPr>
            <w:tcW w:w="1563" w:type="dxa"/>
            <w:shd w:val="clear" w:color="auto" w:fill="D4E3F5"/>
          </w:tcPr>
          <w:p>
            <w:pPr>
              <w:pStyle w:val="TableParagraph"/>
              <w:ind w:left="82" w:right="88"/>
              <w:rPr>
                <w:sz w:val="14"/>
              </w:rPr>
            </w:pPr>
            <w:r>
              <w:rPr>
                <w:color w:val="231F20"/>
                <w:spacing w:val="-5"/>
                <w:w w:val="95"/>
                <w:sz w:val="14"/>
              </w:rPr>
              <w:t>0.9</w:t>
            </w:r>
          </w:p>
        </w:tc>
        <w:tc>
          <w:tcPr>
            <w:tcW w:w="1317" w:type="dxa"/>
            <w:shd w:val="clear" w:color="auto" w:fill="D4E3F5"/>
          </w:tcPr>
          <w:p>
            <w:pPr>
              <w:pStyle w:val="TableParagraph"/>
              <w:ind w:left="178"/>
              <w:rPr>
                <w:sz w:val="14"/>
              </w:rPr>
            </w:pPr>
            <w:r>
              <w:rPr>
                <w:color w:val="231F20"/>
                <w:spacing w:val="-5"/>
                <w:w w:val="95"/>
                <w:sz w:val="14"/>
              </w:rPr>
              <w:t>0.7</w:t>
            </w:r>
          </w:p>
        </w:tc>
        <w:tc>
          <w:tcPr>
            <w:tcW w:w="1727" w:type="dxa"/>
            <w:shd w:val="clear" w:color="auto" w:fill="D4E3F5"/>
          </w:tcPr>
          <w:p>
            <w:pPr>
              <w:pStyle w:val="TableParagraph"/>
              <w:ind w:left="226" w:right="12"/>
              <w:rPr>
                <w:sz w:val="14"/>
              </w:rPr>
            </w:pPr>
            <w:r>
              <w:rPr>
                <w:color w:val="231F20"/>
                <w:spacing w:val="-5"/>
                <w:w w:val="95"/>
                <w:sz w:val="14"/>
              </w:rPr>
              <w:t>1.7</w:t>
            </w:r>
          </w:p>
        </w:tc>
      </w:tr>
      <w:tr>
        <w:trPr>
          <w:trHeight w:val="259" w:hRule="atLeast"/>
        </w:trPr>
        <w:tc>
          <w:tcPr>
            <w:tcW w:w="1283" w:type="dxa"/>
          </w:tcPr>
          <w:p>
            <w:pPr>
              <w:pStyle w:val="TableParagraph"/>
              <w:ind w:left="80"/>
              <w:jc w:val="left"/>
              <w:rPr>
                <w:sz w:val="14"/>
              </w:rPr>
            </w:pPr>
            <w:r>
              <w:rPr>
                <w:color w:val="231F20"/>
                <w:w w:val="75"/>
                <w:sz w:val="14"/>
              </w:rPr>
              <w:t>Bahamas,</w:t>
            </w:r>
            <w:r>
              <w:rPr>
                <w:color w:val="231F20"/>
                <w:spacing w:val="23"/>
                <w:sz w:val="14"/>
              </w:rPr>
              <w:t> </w:t>
            </w:r>
            <w:r>
              <w:rPr>
                <w:color w:val="231F20"/>
                <w:spacing w:val="-5"/>
                <w:w w:val="85"/>
                <w:sz w:val="14"/>
              </w:rPr>
              <w:t>The</w:t>
            </w:r>
          </w:p>
        </w:tc>
        <w:tc>
          <w:tcPr>
            <w:tcW w:w="1789" w:type="dxa"/>
          </w:tcPr>
          <w:p>
            <w:pPr>
              <w:pStyle w:val="TableParagraph"/>
              <w:ind w:left="943"/>
              <w:jc w:val="left"/>
              <w:rPr>
                <w:sz w:val="14"/>
              </w:rPr>
            </w:pPr>
            <w:r>
              <w:rPr>
                <w:color w:val="231F20"/>
                <w:spacing w:val="-5"/>
                <w:w w:val="95"/>
                <w:sz w:val="14"/>
              </w:rPr>
              <w:t>15</w:t>
            </w:r>
          </w:p>
        </w:tc>
        <w:tc>
          <w:tcPr>
            <w:tcW w:w="1563" w:type="dxa"/>
          </w:tcPr>
          <w:p>
            <w:pPr>
              <w:pStyle w:val="TableParagraph"/>
              <w:ind w:left="83" w:right="88"/>
              <w:rPr>
                <w:sz w:val="14"/>
              </w:rPr>
            </w:pPr>
            <w:r>
              <w:rPr>
                <w:color w:val="231F20"/>
                <w:spacing w:val="-5"/>
                <w:w w:val="95"/>
                <w:sz w:val="14"/>
              </w:rPr>
              <w:t>4.8</w:t>
            </w:r>
          </w:p>
        </w:tc>
        <w:tc>
          <w:tcPr>
            <w:tcW w:w="1317" w:type="dxa"/>
          </w:tcPr>
          <w:p>
            <w:pPr>
              <w:pStyle w:val="TableParagraph"/>
              <w:ind w:left="181"/>
              <w:rPr>
                <w:sz w:val="14"/>
              </w:rPr>
            </w:pPr>
            <w:r>
              <w:rPr>
                <w:color w:val="231F20"/>
                <w:spacing w:val="-5"/>
                <w:w w:val="95"/>
                <w:sz w:val="14"/>
              </w:rPr>
              <w:t>2.4</w:t>
            </w:r>
          </w:p>
        </w:tc>
        <w:tc>
          <w:tcPr>
            <w:tcW w:w="1727" w:type="dxa"/>
          </w:tcPr>
          <w:p>
            <w:pPr>
              <w:pStyle w:val="TableParagraph"/>
              <w:ind w:left="226" w:right="21"/>
              <w:rPr>
                <w:sz w:val="14"/>
              </w:rPr>
            </w:pPr>
            <w:r>
              <w:rPr>
                <w:color w:val="231F20"/>
                <w:spacing w:val="-5"/>
                <w:w w:val="95"/>
                <w:sz w:val="14"/>
              </w:rPr>
              <w:t>6.7</w:t>
            </w:r>
          </w:p>
        </w:tc>
      </w:tr>
      <w:tr>
        <w:trPr>
          <w:trHeight w:val="259" w:hRule="atLeast"/>
        </w:trPr>
        <w:tc>
          <w:tcPr>
            <w:tcW w:w="1283" w:type="dxa"/>
            <w:shd w:val="clear" w:color="auto" w:fill="D4E3F5"/>
          </w:tcPr>
          <w:p>
            <w:pPr>
              <w:pStyle w:val="TableParagraph"/>
              <w:ind w:left="80"/>
              <w:jc w:val="left"/>
              <w:rPr>
                <w:sz w:val="14"/>
              </w:rPr>
            </w:pPr>
            <w:r>
              <w:rPr>
                <w:color w:val="231F20"/>
                <w:spacing w:val="-2"/>
                <w:w w:val="90"/>
                <w:sz w:val="14"/>
              </w:rPr>
              <w:t>Bahrain</w:t>
            </w:r>
          </w:p>
        </w:tc>
        <w:tc>
          <w:tcPr>
            <w:tcW w:w="1789" w:type="dxa"/>
            <w:shd w:val="clear" w:color="auto" w:fill="D4E3F5"/>
          </w:tcPr>
          <w:p>
            <w:pPr>
              <w:pStyle w:val="TableParagraph"/>
              <w:ind w:left="937"/>
              <w:jc w:val="left"/>
              <w:rPr>
                <w:sz w:val="14"/>
              </w:rPr>
            </w:pPr>
            <w:r>
              <w:rPr>
                <w:color w:val="231F20"/>
                <w:spacing w:val="-5"/>
                <w:w w:val="95"/>
                <w:sz w:val="14"/>
              </w:rPr>
              <w:t>71</w:t>
            </w:r>
          </w:p>
        </w:tc>
        <w:tc>
          <w:tcPr>
            <w:tcW w:w="1563" w:type="dxa"/>
            <w:shd w:val="clear" w:color="auto" w:fill="D4E3F5"/>
          </w:tcPr>
          <w:p>
            <w:pPr>
              <w:pStyle w:val="TableParagraph"/>
              <w:ind w:left="87" w:right="88"/>
              <w:rPr>
                <w:sz w:val="14"/>
              </w:rPr>
            </w:pPr>
            <w:r>
              <w:rPr>
                <w:color w:val="231F20"/>
                <w:spacing w:val="-5"/>
                <w:w w:val="95"/>
                <w:sz w:val="14"/>
              </w:rPr>
              <w:t>1.5</w:t>
            </w:r>
          </w:p>
        </w:tc>
        <w:tc>
          <w:tcPr>
            <w:tcW w:w="1317" w:type="dxa"/>
            <w:shd w:val="clear" w:color="auto" w:fill="D4E3F5"/>
          </w:tcPr>
          <w:p>
            <w:pPr>
              <w:pStyle w:val="TableParagraph"/>
              <w:ind w:left="193" w:right="4"/>
              <w:rPr>
                <w:sz w:val="14"/>
              </w:rPr>
            </w:pPr>
            <w:r>
              <w:rPr>
                <w:color w:val="231F20"/>
                <w:spacing w:val="-5"/>
                <w:w w:val="95"/>
                <w:sz w:val="14"/>
              </w:rPr>
              <w:t>1.9</w:t>
            </w:r>
          </w:p>
        </w:tc>
        <w:tc>
          <w:tcPr>
            <w:tcW w:w="1727" w:type="dxa"/>
            <w:shd w:val="clear" w:color="auto" w:fill="D4E3F5"/>
          </w:tcPr>
          <w:p>
            <w:pPr>
              <w:pStyle w:val="TableParagraph"/>
              <w:ind w:left="226" w:right="16"/>
              <w:rPr>
                <w:sz w:val="14"/>
              </w:rPr>
            </w:pPr>
            <w:r>
              <w:rPr>
                <w:color w:val="231F20"/>
                <w:spacing w:val="-5"/>
                <w:w w:val="95"/>
                <w:sz w:val="14"/>
              </w:rPr>
              <w:t>3.0</w:t>
            </w:r>
          </w:p>
        </w:tc>
      </w:tr>
      <w:tr>
        <w:trPr>
          <w:trHeight w:val="259" w:hRule="atLeast"/>
        </w:trPr>
        <w:tc>
          <w:tcPr>
            <w:tcW w:w="1283" w:type="dxa"/>
          </w:tcPr>
          <w:p>
            <w:pPr>
              <w:pStyle w:val="TableParagraph"/>
              <w:ind w:left="80"/>
              <w:jc w:val="left"/>
              <w:rPr>
                <w:sz w:val="14"/>
              </w:rPr>
            </w:pPr>
            <w:r>
              <w:rPr>
                <w:color w:val="231F20"/>
                <w:spacing w:val="-2"/>
                <w:w w:val="90"/>
                <w:sz w:val="14"/>
              </w:rPr>
              <w:t>Bangladesh</w:t>
            </w:r>
          </w:p>
        </w:tc>
        <w:tc>
          <w:tcPr>
            <w:tcW w:w="1789" w:type="dxa"/>
          </w:tcPr>
          <w:p>
            <w:pPr>
              <w:pStyle w:val="TableParagraph"/>
              <w:ind w:left="936"/>
              <w:jc w:val="left"/>
              <w:rPr>
                <w:sz w:val="14"/>
              </w:rPr>
            </w:pPr>
            <w:r>
              <w:rPr>
                <w:color w:val="231F20"/>
                <w:spacing w:val="-5"/>
                <w:w w:val="95"/>
                <w:sz w:val="14"/>
              </w:rPr>
              <w:t>73</w:t>
            </w:r>
          </w:p>
        </w:tc>
        <w:tc>
          <w:tcPr>
            <w:tcW w:w="1563" w:type="dxa"/>
          </w:tcPr>
          <w:p>
            <w:pPr>
              <w:pStyle w:val="TableParagraph"/>
              <w:ind w:left="83" w:right="88"/>
              <w:rPr>
                <w:sz w:val="14"/>
              </w:rPr>
            </w:pPr>
            <w:r>
              <w:rPr>
                <w:color w:val="231F20"/>
                <w:spacing w:val="-5"/>
                <w:w w:val="95"/>
                <w:sz w:val="14"/>
              </w:rPr>
              <w:t>4.9</w:t>
            </w:r>
          </w:p>
        </w:tc>
        <w:tc>
          <w:tcPr>
            <w:tcW w:w="1317" w:type="dxa"/>
          </w:tcPr>
          <w:p>
            <w:pPr>
              <w:pStyle w:val="TableParagraph"/>
              <w:ind w:left="184"/>
              <w:rPr>
                <w:sz w:val="14"/>
              </w:rPr>
            </w:pPr>
            <w:r>
              <w:rPr>
                <w:color w:val="231F20"/>
                <w:spacing w:val="-5"/>
                <w:w w:val="95"/>
                <w:sz w:val="14"/>
              </w:rPr>
              <w:t>3.8</w:t>
            </w:r>
          </w:p>
        </w:tc>
        <w:tc>
          <w:tcPr>
            <w:tcW w:w="1727" w:type="dxa"/>
          </w:tcPr>
          <w:p>
            <w:pPr>
              <w:pStyle w:val="TableParagraph"/>
              <w:ind w:left="226" w:right="16"/>
              <w:rPr>
                <w:sz w:val="14"/>
              </w:rPr>
            </w:pPr>
            <w:r>
              <w:rPr>
                <w:color w:val="231F20"/>
                <w:spacing w:val="-5"/>
                <w:w w:val="95"/>
                <w:sz w:val="14"/>
              </w:rPr>
              <w:t>8.0</w:t>
            </w:r>
          </w:p>
        </w:tc>
      </w:tr>
      <w:tr>
        <w:trPr>
          <w:trHeight w:val="259" w:hRule="atLeast"/>
        </w:trPr>
        <w:tc>
          <w:tcPr>
            <w:tcW w:w="1283" w:type="dxa"/>
            <w:shd w:val="clear" w:color="auto" w:fill="D4E3F5"/>
          </w:tcPr>
          <w:p>
            <w:pPr>
              <w:pStyle w:val="TableParagraph"/>
              <w:ind w:left="80"/>
              <w:jc w:val="left"/>
              <w:rPr>
                <w:sz w:val="14"/>
              </w:rPr>
            </w:pPr>
            <w:r>
              <w:rPr>
                <w:color w:val="231F20"/>
                <w:spacing w:val="-2"/>
                <w:w w:val="90"/>
                <w:sz w:val="14"/>
              </w:rPr>
              <w:t>Belgium</w:t>
            </w:r>
          </w:p>
        </w:tc>
        <w:tc>
          <w:tcPr>
            <w:tcW w:w="1789" w:type="dxa"/>
            <w:shd w:val="clear" w:color="auto" w:fill="D4E3F5"/>
          </w:tcPr>
          <w:p>
            <w:pPr>
              <w:pStyle w:val="TableParagraph"/>
              <w:ind w:left="878"/>
              <w:jc w:val="left"/>
              <w:rPr>
                <w:sz w:val="14"/>
              </w:rPr>
            </w:pPr>
            <w:r>
              <w:rPr>
                <w:color w:val="231F20"/>
                <w:spacing w:val="-5"/>
                <w:w w:val="95"/>
                <w:sz w:val="14"/>
              </w:rPr>
              <w:t>141</w:t>
            </w:r>
          </w:p>
        </w:tc>
        <w:tc>
          <w:tcPr>
            <w:tcW w:w="1563" w:type="dxa"/>
            <w:shd w:val="clear" w:color="auto" w:fill="D4E3F5"/>
          </w:tcPr>
          <w:p>
            <w:pPr>
              <w:pStyle w:val="TableParagraph"/>
              <w:ind w:left="82" w:right="88"/>
              <w:rPr>
                <w:sz w:val="14"/>
              </w:rPr>
            </w:pPr>
            <w:r>
              <w:rPr>
                <w:color w:val="231F20"/>
                <w:spacing w:val="-5"/>
                <w:w w:val="95"/>
                <w:sz w:val="14"/>
              </w:rPr>
              <w:t>0.9</w:t>
            </w:r>
          </w:p>
        </w:tc>
        <w:tc>
          <w:tcPr>
            <w:tcW w:w="1317" w:type="dxa"/>
            <w:shd w:val="clear" w:color="auto" w:fill="D4E3F5"/>
          </w:tcPr>
          <w:p>
            <w:pPr>
              <w:pStyle w:val="TableParagraph"/>
              <w:ind w:left="183"/>
              <w:rPr>
                <w:sz w:val="14"/>
              </w:rPr>
            </w:pPr>
            <w:r>
              <w:rPr>
                <w:color w:val="231F20"/>
                <w:spacing w:val="-5"/>
                <w:w w:val="95"/>
                <w:sz w:val="14"/>
              </w:rPr>
              <w:t>0.9</w:t>
            </w:r>
          </w:p>
        </w:tc>
        <w:tc>
          <w:tcPr>
            <w:tcW w:w="1727" w:type="dxa"/>
            <w:shd w:val="clear" w:color="auto" w:fill="D4E3F5"/>
          </w:tcPr>
          <w:p>
            <w:pPr>
              <w:pStyle w:val="TableParagraph"/>
              <w:ind w:left="226" w:right="8"/>
              <w:rPr>
                <w:sz w:val="14"/>
              </w:rPr>
            </w:pPr>
            <w:r>
              <w:rPr>
                <w:color w:val="231F20"/>
                <w:spacing w:val="-5"/>
                <w:w w:val="95"/>
                <w:sz w:val="14"/>
              </w:rPr>
              <w:t>1.5</w:t>
            </w:r>
          </w:p>
        </w:tc>
      </w:tr>
      <w:tr>
        <w:trPr>
          <w:trHeight w:val="259" w:hRule="atLeast"/>
        </w:trPr>
        <w:tc>
          <w:tcPr>
            <w:tcW w:w="1283" w:type="dxa"/>
          </w:tcPr>
          <w:p>
            <w:pPr>
              <w:pStyle w:val="TableParagraph"/>
              <w:ind w:left="80"/>
              <w:jc w:val="left"/>
              <w:rPr>
                <w:sz w:val="14"/>
              </w:rPr>
            </w:pPr>
            <w:r>
              <w:rPr>
                <w:color w:val="231F20"/>
                <w:spacing w:val="-2"/>
                <w:w w:val="90"/>
                <w:sz w:val="14"/>
              </w:rPr>
              <w:t>Benin</w:t>
            </w:r>
          </w:p>
        </w:tc>
        <w:tc>
          <w:tcPr>
            <w:tcW w:w="1789" w:type="dxa"/>
          </w:tcPr>
          <w:p>
            <w:pPr>
              <w:pStyle w:val="TableParagraph"/>
              <w:ind w:left="934"/>
              <w:jc w:val="left"/>
              <w:rPr>
                <w:sz w:val="14"/>
              </w:rPr>
            </w:pPr>
            <w:r>
              <w:rPr>
                <w:color w:val="231F20"/>
                <w:spacing w:val="-5"/>
                <w:w w:val="95"/>
                <w:sz w:val="14"/>
              </w:rPr>
              <w:t>35</w:t>
            </w:r>
          </w:p>
        </w:tc>
        <w:tc>
          <w:tcPr>
            <w:tcW w:w="1563" w:type="dxa"/>
          </w:tcPr>
          <w:p>
            <w:pPr>
              <w:pStyle w:val="TableParagraph"/>
              <w:ind w:left="82" w:right="88"/>
              <w:rPr>
                <w:sz w:val="14"/>
              </w:rPr>
            </w:pPr>
            <w:r>
              <w:rPr>
                <w:color w:val="231F20"/>
                <w:spacing w:val="-5"/>
                <w:w w:val="95"/>
                <w:sz w:val="14"/>
              </w:rPr>
              <w:t>4.6</w:t>
            </w:r>
          </w:p>
        </w:tc>
        <w:tc>
          <w:tcPr>
            <w:tcW w:w="1317" w:type="dxa"/>
          </w:tcPr>
          <w:p>
            <w:pPr>
              <w:pStyle w:val="TableParagraph"/>
              <w:ind w:left="179"/>
              <w:rPr>
                <w:sz w:val="14"/>
              </w:rPr>
            </w:pPr>
            <w:r>
              <w:rPr>
                <w:color w:val="231F20"/>
                <w:spacing w:val="-5"/>
                <w:w w:val="95"/>
                <w:sz w:val="14"/>
              </w:rPr>
              <w:t>4.7</w:t>
            </w:r>
          </w:p>
        </w:tc>
        <w:tc>
          <w:tcPr>
            <w:tcW w:w="1727" w:type="dxa"/>
          </w:tcPr>
          <w:p>
            <w:pPr>
              <w:pStyle w:val="TableParagraph"/>
              <w:ind w:left="226" w:right="14"/>
              <w:rPr>
                <w:sz w:val="14"/>
              </w:rPr>
            </w:pPr>
            <w:r>
              <w:rPr>
                <w:color w:val="231F20"/>
                <w:spacing w:val="-5"/>
                <w:w w:val="95"/>
                <w:sz w:val="14"/>
              </w:rPr>
              <w:t>5.2</w:t>
            </w:r>
          </w:p>
        </w:tc>
      </w:tr>
      <w:tr>
        <w:trPr>
          <w:trHeight w:val="259" w:hRule="atLeast"/>
        </w:trPr>
        <w:tc>
          <w:tcPr>
            <w:tcW w:w="1283" w:type="dxa"/>
            <w:shd w:val="clear" w:color="auto" w:fill="D4E3F5"/>
          </w:tcPr>
          <w:p>
            <w:pPr>
              <w:pStyle w:val="TableParagraph"/>
              <w:ind w:left="80"/>
              <w:jc w:val="left"/>
              <w:rPr>
                <w:sz w:val="14"/>
              </w:rPr>
            </w:pPr>
            <w:r>
              <w:rPr>
                <w:color w:val="231F20"/>
                <w:spacing w:val="-2"/>
                <w:w w:val="90"/>
                <w:sz w:val="14"/>
              </w:rPr>
              <w:t>Brazil</w:t>
            </w:r>
          </w:p>
        </w:tc>
        <w:tc>
          <w:tcPr>
            <w:tcW w:w="1789" w:type="dxa"/>
            <w:shd w:val="clear" w:color="auto" w:fill="D4E3F5"/>
          </w:tcPr>
          <w:p>
            <w:pPr>
              <w:pStyle w:val="TableParagraph"/>
              <w:ind w:left="879"/>
              <w:jc w:val="left"/>
              <w:rPr>
                <w:sz w:val="14"/>
              </w:rPr>
            </w:pPr>
            <w:r>
              <w:rPr>
                <w:color w:val="231F20"/>
                <w:spacing w:val="-2"/>
                <w:w w:val="95"/>
                <w:sz w:val="14"/>
              </w:rPr>
              <w:t>116.5</w:t>
            </w:r>
          </w:p>
        </w:tc>
        <w:tc>
          <w:tcPr>
            <w:tcW w:w="1563" w:type="dxa"/>
            <w:shd w:val="clear" w:color="auto" w:fill="D4E3F5"/>
          </w:tcPr>
          <w:p>
            <w:pPr>
              <w:pStyle w:val="TableParagraph"/>
              <w:ind w:left="82" w:right="88"/>
              <w:rPr>
                <w:sz w:val="14"/>
              </w:rPr>
            </w:pPr>
            <w:r>
              <w:rPr>
                <w:color w:val="231F20"/>
                <w:spacing w:val="-5"/>
                <w:w w:val="95"/>
                <w:sz w:val="14"/>
              </w:rPr>
              <w:t>2.6</w:t>
            </w:r>
          </w:p>
        </w:tc>
        <w:tc>
          <w:tcPr>
            <w:tcW w:w="1317" w:type="dxa"/>
            <w:shd w:val="clear" w:color="auto" w:fill="D4E3F5"/>
          </w:tcPr>
          <w:p>
            <w:pPr>
              <w:pStyle w:val="TableParagraph"/>
              <w:ind w:left="193" w:right="7"/>
              <w:rPr>
                <w:sz w:val="14"/>
              </w:rPr>
            </w:pPr>
            <w:r>
              <w:rPr>
                <w:color w:val="231F20"/>
                <w:spacing w:val="-5"/>
                <w:w w:val="95"/>
                <w:sz w:val="14"/>
              </w:rPr>
              <w:t>1.7</w:t>
            </w:r>
          </w:p>
        </w:tc>
        <w:tc>
          <w:tcPr>
            <w:tcW w:w="1727" w:type="dxa"/>
            <w:shd w:val="clear" w:color="auto" w:fill="D4E3F5"/>
          </w:tcPr>
          <w:p>
            <w:pPr>
              <w:pStyle w:val="TableParagraph"/>
              <w:ind w:left="226" w:right="16"/>
              <w:rPr>
                <w:sz w:val="14"/>
              </w:rPr>
            </w:pPr>
            <w:r>
              <w:rPr>
                <w:color w:val="231F20"/>
                <w:spacing w:val="-5"/>
                <w:w w:val="95"/>
                <w:sz w:val="14"/>
              </w:rPr>
              <w:t>3.6</w:t>
            </w:r>
          </w:p>
        </w:tc>
      </w:tr>
      <w:tr>
        <w:trPr>
          <w:trHeight w:val="259" w:hRule="atLeast"/>
        </w:trPr>
        <w:tc>
          <w:tcPr>
            <w:tcW w:w="1283" w:type="dxa"/>
          </w:tcPr>
          <w:p>
            <w:pPr>
              <w:pStyle w:val="TableParagraph"/>
              <w:ind w:left="80"/>
              <w:jc w:val="left"/>
              <w:rPr>
                <w:sz w:val="14"/>
              </w:rPr>
            </w:pPr>
            <w:r>
              <w:rPr>
                <w:color w:val="231F20"/>
                <w:spacing w:val="-2"/>
                <w:w w:val="90"/>
                <w:sz w:val="14"/>
              </w:rPr>
              <w:t>Bulgaria</w:t>
            </w:r>
          </w:p>
        </w:tc>
        <w:tc>
          <w:tcPr>
            <w:tcW w:w="1789" w:type="dxa"/>
          </w:tcPr>
          <w:p>
            <w:pPr>
              <w:pStyle w:val="TableParagraph"/>
              <w:ind w:left="931"/>
              <w:jc w:val="left"/>
              <w:rPr>
                <w:sz w:val="14"/>
              </w:rPr>
            </w:pPr>
            <w:r>
              <w:rPr>
                <w:color w:val="231F20"/>
                <w:spacing w:val="-4"/>
                <w:w w:val="95"/>
                <w:sz w:val="14"/>
              </w:rPr>
              <w:t>83.5</w:t>
            </w:r>
          </w:p>
        </w:tc>
        <w:tc>
          <w:tcPr>
            <w:tcW w:w="1563" w:type="dxa"/>
          </w:tcPr>
          <w:p>
            <w:pPr>
              <w:pStyle w:val="TableParagraph"/>
              <w:ind w:left="70" w:right="88"/>
              <w:rPr>
                <w:sz w:val="14"/>
              </w:rPr>
            </w:pPr>
            <w:r>
              <w:rPr>
                <w:color w:val="231F20"/>
                <w:spacing w:val="-5"/>
                <w:w w:val="95"/>
                <w:sz w:val="14"/>
              </w:rPr>
              <w:t>1.1</w:t>
            </w:r>
          </w:p>
        </w:tc>
        <w:tc>
          <w:tcPr>
            <w:tcW w:w="1317" w:type="dxa"/>
          </w:tcPr>
          <w:p>
            <w:pPr>
              <w:pStyle w:val="TableParagraph"/>
              <w:ind w:left="193" w:right="3"/>
              <w:rPr>
                <w:sz w:val="14"/>
              </w:rPr>
            </w:pPr>
            <w:r>
              <w:rPr>
                <w:color w:val="231F20"/>
                <w:spacing w:val="-5"/>
                <w:w w:val="95"/>
                <w:sz w:val="14"/>
              </w:rPr>
              <w:t>1.3</w:t>
            </w:r>
          </w:p>
        </w:tc>
        <w:tc>
          <w:tcPr>
            <w:tcW w:w="1727" w:type="dxa"/>
          </w:tcPr>
          <w:p>
            <w:pPr>
              <w:pStyle w:val="TableParagraph"/>
              <w:ind w:left="226" w:right="15"/>
              <w:rPr>
                <w:sz w:val="14"/>
              </w:rPr>
            </w:pPr>
            <w:r>
              <w:rPr>
                <w:color w:val="231F20"/>
                <w:spacing w:val="-5"/>
                <w:w w:val="95"/>
                <w:sz w:val="14"/>
              </w:rPr>
              <w:t>2.3</w:t>
            </w:r>
          </w:p>
        </w:tc>
      </w:tr>
      <w:tr>
        <w:trPr>
          <w:trHeight w:val="259" w:hRule="atLeast"/>
        </w:trPr>
        <w:tc>
          <w:tcPr>
            <w:tcW w:w="1283" w:type="dxa"/>
            <w:shd w:val="clear" w:color="auto" w:fill="D4E3F5"/>
          </w:tcPr>
          <w:p>
            <w:pPr>
              <w:pStyle w:val="TableParagraph"/>
              <w:ind w:left="80"/>
              <w:jc w:val="left"/>
              <w:rPr>
                <w:sz w:val="14"/>
              </w:rPr>
            </w:pPr>
            <w:r>
              <w:rPr>
                <w:color w:val="231F20"/>
                <w:spacing w:val="-2"/>
                <w:w w:val="85"/>
                <w:sz w:val="14"/>
              </w:rPr>
              <w:t>Cambodia</w:t>
            </w:r>
          </w:p>
        </w:tc>
        <w:tc>
          <w:tcPr>
            <w:tcW w:w="1789" w:type="dxa"/>
            <w:shd w:val="clear" w:color="auto" w:fill="D4E3F5"/>
          </w:tcPr>
          <w:p>
            <w:pPr>
              <w:pStyle w:val="TableParagraph"/>
              <w:ind w:left="932"/>
              <w:jc w:val="left"/>
              <w:rPr>
                <w:sz w:val="14"/>
              </w:rPr>
            </w:pPr>
            <w:r>
              <w:rPr>
                <w:color w:val="231F20"/>
                <w:spacing w:val="-4"/>
                <w:w w:val="95"/>
                <w:sz w:val="14"/>
              </w:rPr>
              <w:t>56.5</w:t>
            </w:r>
          </w:p>
        </w:tc>
        <w:tc>
          <w:tcPr>
            <w:tcW w:w="1563" w:type="dxa"/>
            <w:shd w:val="clear" w:color="auto" w:fill="D4E3F5"/>
          </w:tcPr>
          <w:p>
            <w:pPr>
              <w:pStyle w:val="TableParagraph"/>
              <w:ind w:left="63" w:right="88"/>
              <w:rPr>
                <w:sz w:val="14"/>
              </w:rPr>
            </w:pPr>
            <w:r>
              <w:rPr>
                <w:color w:val="231F20"/>
                <w:spacing w:val="-5"/>
                <w:w w:val="95"/>
                <w:sz w:val="14"/>
              </w:rPr>
              <w:t>3.1</w:t>
            </w:r>
          </w:p>
        </w:tc>
        <w:tc>
          <w:tcPr>
            <w:tcW w:w="1317" w:type="dxa"/>
            <w:shd w:val="clear" w:color="auto" w:fill="D4E3F5"/>
          </w:tcPr>
          <w:p>
            <w:pPr>
              <w:pStyle w:val="TableParagraph"/>
              <w:ind w:left="184"/>
              <w:rPr>
                <w:sz w:val="14"/>
              </w:rPr>
            </w:pPr>
            <w:r>
              <w:rPr>
                <w:color w:val="231F20"/>
                <w:spacing w:val="-5"/>
                <w:w w:val="95"/>
                <w:sz w:val="14"/>
              </w:rPr>
              <w:t>3.5</w:t>
            </w:r>
          </w:p>
        </w:tc>
        <w:tc>
          <w:tcPr>
            <w:tcW w:w="1727" w:type="dxa"/>
            <w:shd w:val="clear" w:color="auto" w:fill="D4E3F5"/>
          </w:tcPr>
          <w:p>
            <w:pPr>
              <w:pStyle w:val="TableParagraph"/>
              <w:ind w:left="226" w:right="14"/>
              <w:rPr>
                <w:sz w:val="14"/>
              </w:rPr>
            </w:pPr>
            <w:r>
              <w:rPr>
                <w:color w:val="231F20"/>
                <w:spacing w:val="-5"/>
                <w:w w:val="95"/>
                <w:sz w:val="14"/>
              </w:rPr>
              <w:t>5.2</w:t>
            </w:r>
          </w:p>
        </w:tc>
      </w:tr>
      <w:tr>
        <w:trPr>
          <w:trHeight w:val="259" w:hRule="atLeast"/>
        </w:trPr>
        <w:tc>
          <w:tcPr>
            <w:tcW w:w="1283" w:type="dxa"/>
          </w:tcPr>
          <w:p>
            <w:pPr>
              <w:pStyle w:val="TableParagraph"/>
              <w:ind w:left="80"/>
              <w:jc w:val="left"/>
              <w:rPr>
                <w:sz w:val="14"/>
              </w:rPr>
            </w:pPr>
            <w:r>
              <w:rPr>
                <w:color w:val="231F20"/>
                <w:spacing w:val="-2"/>
                <w:w w:val="85"/>
                <w:sz w:val="14"/>
              </w:rPr>
              <w:t>Cameroon</w:t>
            </w:r>
          </w:p>
        </w:tc>
        <w:tc>
          <w:tcPr>
            <w:tcW w:w="1789" w:type="dxa"/>
          </w:tcPr>
          <w:p>
            <w:pPr>
              <w:pStyle w:val="TableParagraph"/>
              <w:ind w:left="933"/>
              <w:jc w:val="left"/>
              <w:rPr>
                <w:sz w:val="14"/>
              </w:rPr>
            </w:pPr>
            <w:r>
              <w:rPr>
                <w:color w:val="231F20"/>
                <w:spacing w:val="-4"/>
                <w:w w:val="95"/>
                <w:sz w:val="14"/>
              </w:rPr>
              <w:t>54.5</w:t>
            </w:r>
          </w:p>
        </w:tc>
        <w:tc>
          <w:tcPr>
            <w:tcW w:w="1563" w:type="dxa"/>
          </w:tcPr>
          <w:p>
            <w:pPr>
              <w:pStyle w:val="TableParagraph"/>
              <w:ind w:left="76" w:right="88"/>
              <w:rPr>
                <w:sz w:val="14"/>
              </w:rPr>
            </w:pPr>
            <w:r>
              <w:rPr>
                <w:color w:val="231F20"/>
                <w:spacing w:val="-5"/>
                <w:w w:val="95"/>
                <w:sz w:val="14"/>
              </w:rPr>
              <w:t>3.7</w:t>
            </w:r>
          </w:p>
        </w:tc>
        <w:tc>
          <w:tcPr>
            <w:tcW w:w="1317" w:type="dxa"/>
          </w:tcPr>
          <w:p>
            <w:pPr>
              <w:pStyle w:val="TableParagraph"/>
              <w:ind w:left="183"/>
              <w:rPr>
                <w:sz w:val="14"/>
              </w:rPr>
            </w:pPr>
            <w:r>
              <w:rPr>
                <w:color w:val="231F20"/>
                <w:spacing w:val="-5"/>
                <w:w w:val="95"/>
                <w:sz w:val="14"/>
              </w:rPr>
              <w:t>2.9</w:t>
            </w:r>
          </w:p>
        </w:tc>
        <w:tc>
          <w:tcPr>
            <w:tcW w:w="1727" w:type="dxa"/>
          </w:tcPr>
          <w:p>
            <w:pPr>
              <w:pStyle w:val="TableParagraph"/>
              <w:ind w:left="226" w:right="32"/>
              <w:rPr>
                <w:sz w:val="14"/>
              </w:rPr>
            </w:pPr>
            <w:r>
              <w:rPr>
                <w:color w:val="231F20"/>
                <w:spacing w:val="-5"/>
                <w:w w:val="95"/>
                <w:sz w:val="14"/>
              </w:rPr>
              <w:t>4.1</w:t>
            </w:r>
          </w:p>
        </w:tc>
      </w:tr>
      <w:tr>
        <w:trPr>
          <w:trHeight w:val="254" w:hRule="atLeast"/>
        </w:trPr>
        <w:tc>
          <w:tcPr>
            <w:tcW w:w="1283" w:type="dxa"/>
            <w:tcBorders>
              <w:bottom w:val="single" w:sz="4" w:space="0" w:color="008FDD"/>
            </w:tcBorders>
            <w:shd w:val="clear" w:color="auto" w:fill="D4E3F5"/>
          </w:tcPr>
          <w:p>
            <w:pPr>
              <w:pStyle w:val="TableParagraph"/>
              <w:ind w:left="80"/>
              <w:jc w:val="left"/>
              <w:rPr>
                <w:sz w:val="14"/>
              </w:rPr>
            </w:pPr>
            <w:r>
              <w:rPr>
                <w:color w:val="231F20"/>
                <w:spacing w:val="-2"/>
                <w:w w:val="85"/>
                <w:sz w:val="14"/>
              </w:rPr>
              <w:t>Canada</w:t>
            </w:r>
          </w:p>
        </w:tc>
        <w:tc>
          <w:tcPr>
            <w:tcW w:w="1789" w:type="dxa"/>
            <w:tcBorders>
              <w:bottom w:val="single" w:sz="4" w:space="0" w:color="008FDD"/>
            </w:tcBorders>
            <w:shd w:val="clear" w:color="auto" w:fill="D4E3F5"/>
          </w:tcPr>
          <w:p>
            <w:pPr>
              <w:pStyle w:val="TableParagraph"/>
              <w:ind w:left="876"/>
              <w:jc w:val="left"/>
              <w:rPr>
                <w:sz w:val="14"/>
              </w:rPr>
            </w:pPr>
            <w:r>
              <w:rPr>
                <w:color w:val="231F20"/>
                <w:spacing w:val="-5"/>
                <w:w w:val="95"/>
                <w:sz w:val="14"/>
              </w:rPr>
              <w:t>147</w:t>
            </w:r>
          </w:p>
        </w:tc>
        <w:tc>
          <w:tcPr>
            <w:tcW w:w="1563" w:type="dxa"/>
            <w:tcBorders>
              <w:bottom w:val="single" w:sz="4" w:space="0" w:color="008FDD"/>
            </w:tcBorders>
            <w:shd w:val="clear" w:color="auto" w:fill="D4E3F5"/>
          </w:tcPr>
          <w:p>
            <w:pPr>
              <w:pStyle w:val="TableParagraph"/>
              <w:ind w:left="87" w:right="88"/>
              <w:rPr>
                <w:sz w:val="14"/>
              </w:rPr>
            </w:pPr>
            <w:r>
              <w:rPr>
                <w:color w:val="231F20"/>
                <w:spacing w:val="-5"/>
                <w:w w:val="95"/>
                <w:sz w:val="14"/>
              </w:rPr>
              <w:t>1.8</w:t>
            </w:r>
          </w:p>
        </w:tc>
        <w:tc>
          <w:tcPr>
            <w:tcW w:w="1317" w:type="dxa"/>
            <w:tcBorders>
              <w:bottom w:val="single" w:sz="4" w:space="0" w:color="008FDD"/>
            </w:tcBorders>
            <w:shd w:val="clear" w:color="auto" w:fill="D4E3F5"/>
          </w:tcPr>
          <w:p>
            <w:pPr>
              <w:pStyle w:val="TableParagraph"/>
              <w:ind w:left="193" w:right="3"/>
              <w:rPr>
                <w:sz w:val="14"/>
              </w:rPr>
            </w:pPr>
            <w:r>
              <w:rPr>
                <w:color w:val="231F20"/>
                <w:spacing w:val="-5"/>
                <w:w w:val="95"/>
                <w:sz w:val="14"/>
              </w:rPr>
              <w:t>1.3</w:t>
            </w:r>
          </w:p>
        </w:tc>
        <w:tc>
          <w:tcPr>
            <w:tcW w:w="1727" w:type="dxa"/>
            <w:tcBorders>
              <w:bottom w:val="single" w:sz="4" w:space="0" w:color="008FDD"/>
            </w:tcBorders>
            <w:shd w:val="clear" w:color="auto" w:fill="D4E3F5"/>
          </w:tcPr>
          <w:p>
            <w:pPr>
              <w:pStyle w:val="TableParagraph"/>
              <w:ind w:left="226" w:right="14"/>
              <w:rPr>
                <w:sz w:val="14"/>
              </w:rPr>
            </w:pPr>
            <w:r>
              <w:rPr>
                <w:color w:val="231F20"/>
                <w:spacing w:val="-5"/>
                <w:w w:val="95"/>
                <w:sz w:val="14"/>
              </w:rPr>
              <w:t>2.2</w:t>
            </w:r>
          </w:p>
        </w:tc>
      </w:tr>
    </w:tbl>
    <w:p>
      <w:pPr>
        <w:spacing w:after="0"/>
        <w:rPr>
          <w:sz w:val="14"/>
        </w:rPr>
        <w:sectPr>
          <w:pgSz w:w="12240" w:h="15840"/>
          <w:pgMar w:header="370" w:footer="548" w:top="560" w:bottom="740" w:left="0" w:right="540"/>
        </w:sectPr>
      </w:pPr>
    </w:p>
    <w:p>
      <w:pPr>
        <w:pStyle w:val="BodyText"/>
        <w:rPr>
          <w:rFonts w:ascii="Arial"/>
          <w:sz w:val="20"/>
        </w:rPr>
      </w:pPr>
    </w:p>
    <w:p>
      <w:pPr>
        <w:pStyle w:val="BodyText"/>
        <w:rPr>
          <w:rFonts w:ascii="Arial"/>
          <w:sz w:val="20"/>
        </w:rPr>
      </w:pPr>
    </w:p>
    <w:p>
      <w:pPr>
        <w:pStyle w:val="BodyText"/>
        <w:spacing w:before="101" w:after="1"/>
        <w:rPr>
          <w:rFonts w:ascii="Arial"/>
          <w:sz w:val="20"/>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0"/>
        <w:gridCol w:w="1573"/>
        <w:gridCol w:w="1564"/>
        <w:gridCol w:w="1318"/>
        <w:gridCol w:w="1728"/>
      </w:tblGrid>
      <w:tr>
        <w:trPr>
          <w:trHeight w:val="529" w:hRule="atLeast"/>
        </w:trPr>
        <w:tc>
          <w:tcPr>
            <w:tcW w:w="1500" w:type="dxa"/>
          </w:tcPr>
          <w:p>
            <w:pPr>
              <w:pStyle w:val="TableParagraph"/>
              <w:spacing w:before="0"/>
              <w:jc w:val="left"/>
              <w:rPr>
                <w:rFonts w:ascii="Times New Roman"/>
                <w:sz w:val="12"/>
              </w:rPr>
            </w:pPr>
          </w:p>
        </w:tc>
        <w:tc>
          <w:tcPr>
            <w:tcW w:w="1573" w:type="dxa"/>
            <w:vMerge w:val="restart"/>
            <w:tcBorders>
              <w:bottom w:val="single" w:sz="4" w:space="0" w:color="008FDD"/>
            </w:tcBorders>
          </w:tcPr>
          <w:p>
            <w:pPr>
              <w:pStyle w:val="TableParagraph"/>
              <w:spacing w:before="102"/>
              <w:jc w:val="left"/>
              <w:rPr>
                <w:sz w:val="14"/>
              </w:rPr>
            </w:pPr>
          </w:p>
          <w:p>
            <w:pPr>
              <w:pStyle w:val="TableParagraph"/>
              <w:spacing w:before="0"/>
              <w:ind w:left="252" w:right="213" w:hanging="3"/>
              <w:rPr>
                <w:b/>
                <w:sz w:val="14"/>
              </w:rPr>
            </w:pPr>
            <w:r>
              <w:rPr>
                <w:b/>
                <w:color w:val="231F20"/>
                <w:w w:val="85"/>
                <w:sz w:val="14"/>
              </w:rPr>
              <w:t>Average</w:t>
            </w:r>
            <w:r>
              <w:rPr>
                <w:b/>
                <w:color w:val="231F20"/>
                <w:spacing w:val="-4"/>
                <w:w w:val="85"/>
                <w:sz w:val="14"/>
              </w:rPr>
              <w:t> </w:t>
            </w:r>
            <w:r>
              <w:rPr>
                <w:b/>
                <w:color w:val="231F20"/>
                <w:w w:val="85"/>
                <w:sz w:val="14"/>
              </w:rPr>
              <w:t>number</w:t>
            </w:r>
            <w:r>
              <w:rPr>
                <w:b/>
                <w:color w:val="231F20"/>
                <w:spacing w:val="-4"/>
                <w:w w:val="85"/>
                <w:sz w:val="14"/>
              </w:rPr>
              <w:t> </w:t>
            </w:r>
            <w:r>
              <w:rPr>
                <w:b/>
                <w:color w:val="231F20"/>
                <w:w w:val="85"/>
                <w:sz w:val="14"/>
              </w:rPr>
              <w:t>of</w:t>
            </w:r>
            <w:r>
              <w:rPr>
                <w:b/>
                <w:color w:val="231F20"/>
                <w:spacing w:val="40"/>
                <w:sz w:val="14"/>
              </w:rPr>
              <w:t> </w:t>
            </w:r>
            <w:r>
              <w:rPr>
                <w:b/>
                <w:color w:val="231F20"/>
                <w:w w:val="80"/>
                <w:sz w:val="14"/>
              </w:rPr>
              <w:t>partners</w:t>
            </w:r>
            <w:r>
              <w:rPr>
                <w:b/>
                <w:color w:val="231F20"/>
                <w:spacing w:val="-2"/>
                <w:w w:val="80"/>
                <w:sz w:val="14"/>
              </w:rPr>
              <w:t> </w:t>
            </w:r>
            <w:r>
              <w:rPr>
                <w:b/>
                <w:color w:val="231F20"/>
                <w:w w:val="80"/>
                <w:sz w:val="14"/>
              </w:rPr>
              <w:t>(incoming</w:t>
            </w:r>
            <w:r>
              <w:rPr>
                <w:b/>
                <w:color w:val="231F20"/>
                <w:spacing w:val="40"/>
                <w:sz w:val="14"/>
              </w:rPr>
              <w:t> </w:t>
            </w:r>
            <w:r>
              <w:rPr>
                <w:b/>
                <w:color w:val="231F20"/>
                <w:w w:val="95"/>
                <w:sz w:val="14"/>
              </w:rPr>
              <w:t>and</w:t>
            </w:r>
            <w:r>
              <w:rPr>
                <w:b/>
                <w:color w:val="231F20"/>
                <w:spacing w:val="-8"/>
                <w:w w:val="95"/>
                <w:sz w:val="14"/>
              </w:rPr>
              <w:t> </w:t>
            </w:r>
            <w:r>
              <w:rPr>
                <w:b/>
                <w:color w:val="231F20"/>
                <w:w w:val="95"/>
                <w:sz w:val="14"/>
              </w:rPr>
              <w:t>outgoing)</w:t>
            </w:r>
          </w:p>
        </w:tc>
        <w:tc>
          <w:tcPr>
            <w:tcW w:w="4610" w:type="dxa"/>
            <w:gridSpan w:val="3"/>
            <w:tcBorders>
              <w:bottom w:val="single" w:sz="4" w:space="0" w:color="008FDD"/>
            </w:tcBorders>
          </w:tcPr>
          <w:p>
            <w:pPr>
              <w:pStyle w:val="TableParagraph"/>
              <w:spacing w:before="3"/>
              <w:ind w:left="784" w:right="786"/>
              <w:rPr>
                <w:b/>
                <w:sz w:val="14"/>
              </w:rPr>
            </w:pPr>
            <w:r>
              <w:rPr>
                <w:b/>
                <w:color w:val="231F20"/>
                <w:w w:val="85"/>
                <w:sz w:val="14"/>
              </w:rPr>
              <w:t>Aviation import dwell time (time from advisory to the</w:t>
            </w:r>
            <w:r>
              <w:rPr>
                <w:b/>
                <w:color w:val="231F20"/>
                <w:spacing w:val="40"/>
                <w:sz w:val="14"/>
              </w:rPr>
              <w:t> </w:t>
            </w:r>
            <w:r>
              <w:rPr>
                <w:b/>
                <w:color w:val="231F20"/>
                <w:w w:val="90"/>
                <w:sz w:val="14"/>
              </w:rPr>
              <w:t>consignee</w:t>
            </w:r>
            <w:r>
              <w:rPr>
                <w:b/>
                <w:color w:val="231F20"/>
                <w:spacing w:val="-1"/>
                <w:w w:val="90"/>
                <w:sz w:val="14"/>
              </w:rPr>
              <w:t> </w:t>
            </w:r>
            <w:r>
              <w:rPr>
                <w:b/>
                <w:color w:val="231F20"/>
                <w:w w:val="90"/>
                <w:sz w:val="14"/>
              </w:rPr>
              <w:t>of</w:t>
            </w:r>
            <w:r>
              <w:rPr>
                <w:b/>
                <w:color w:val="231F20"/>
                <w:spacing w:val="-1"/>
                <w:w w:val="90"/>
                <w:sz w:val="14"/>
              </w:rPr>
              <w:t> </w:t>
            </w:r>
            <w:r>
              <w:rPr>
                <w:b/>
                <w:color w:val="231F20"/>
                <w:w w:val="90"/>
                <w:sz w:val="14"/>
              </w:rPr>
              <w:t>the</w:t>
            </w:r>
            <w:r>
              <w:rPr>
                <w:b/>
                <w:color w:val="231F20"/>
                <w:spacing w:val="-1"/>
                <w:w w:val="90"/>
                <w:sz w:val="14"/>
              </w:rPr>
              <w:t> </w:t>
            </w:r>
            <w:r>
              <w:rPr>
                <w:b/>
                <w:color w:val="231F20"/>
                <w:w w:val="90"/>
                <w:sz w:val="14"/>
              </w:rPr>
              <w:t>freight’s</w:t>
            </w:r>
            <w:r>
              <w:rPr>
                <w:b/>
                <w:color w:val="231F20"/>
                <w:spacing w:val="-1"/>
                <w:w w:val="90"/>
                <w:sz w:val="14"/>
              </w:rPr>
              <w:t> </w:t>
            </w:r>
            <w:r>
              <w:rPr>
                <w:b/>
                <w:color w:val="231F20"/>
                <w:w w:val="90"/>
                <w:sz w:val="14"/>
              </w:rPr>
              <w:t>arrival</w:t>
            </w:r>
            <w:r>
              <w:rPr>
                <w:b/>
                <w:color w:val="231F20"/>
                <w:spacing w:val="-1"/>
                <w:w w:val="90"/>
                <w:sz w:val="14"/>
              </w:rPr>
              <w:t> </w:t>
            </w:r>
            <w:r>
              <w:rPr>
                <w:b/>
                <w:color w:val="231F20"/>
                <w:w w:val="90"/>
                <w:sz w:val="14"/>
              </w:rPr>
              <w:t>to</w:t>
            </w:r>
            <w:r>
              <w:rPr>
                <w:b/>
                <w:color w:val="231F20"/>
                <w:spacing w:val="-1"/>
                <w:w w:val="90"/>
                <w:sz w:val="14"/>
              </w:rPr>
              <w:t> </w:t>
            </w:r>
            <w:r>
              <w:rPr>
                <w:b/>
                <w:color w:val="231F20"/>
                <w:w w:val="90"/>
                <w:sz w:val="14"/>
              </w:rPr>
              <w:t>delivery)</w:t>
            </w:r>
          </w:p>
          <w:p>
            <w:pPr>
              <w:pStyle w:val="TableParagraph"/>
              <w:spacing w:line="159" w:lineRule="exact" w:before="0"/>
              <w:ind w:right="2"/>
              <w:rPr>
                <w:b/>
                <w:sz w:val="14"/>
              </w:rPr>
            </w:pPr>
            <w:r>
              <w:rPr>
                <w:b/>
                <w:color w:val="231F20"/>
                <w:spacing w:val="-2"/>
                <w:w w:val="95"/>
                <w:sz w:val="14"/>
              </w:rPr>
              <w:t>(days)</w:t>
            </w:r>
          </w:p>
        </w:tc>
      </w:tr>
      <w:tr>
        <w:trPr>
          <w:trHeight w:val="249" w:hRule="atLeast"/>
        </w:trPr>
        <w:tc>
          <w:tcPr>
            <w:tcW w:w="1500" w:type="dxa"/>
            <w:tcBorders>
              <w:bottom w:val="single" w:sz="4" w:space="0" w:color="008FDD"/>
            </w:tcBorders>
          </w:tcPr>
          <w:p>
            <w:pPr>
              <w:pStyle w:val="TableParagraph"/>
              <w:spacing w:before="43"/>
              <w:ind w:left="80"/>
              <w:jc w:val="left"/>
              <w:rPr>
                <w:b/>
                <w:sz w:val="14"/>
              </w:rPr>
            </w:pPr>
            <w:r>
              <w:rPr>
                <w:b/>
                <w:color w:val="231F20"/>
                <w:spacing w:val="-2"/>
                <w:w w:val="90"/>
                <w:sz w:val="14"/>
              </w:rPr>
              <w:t>Economy</w:t>
            </w:r>
          </w:p>
        </w:tc>
        <w:tc>
          <w:tcPr>
            <w:tcW w:w="1573" w:type="dxa"/>
            <w:vMerge/>
            <w:tcBorders>
              <w:top w:val="nil"/>
              <w:bottom w:val="single" w:sz="4" w:space="0" w:color="008FDD"/>
            </w:tcBorders>
          </w:tcPr>
          <w:p>
            <w:pPr>
              <w:rPr>
                <w:sz w:val="2"/>
                <w:szCs w:val="2"/>
              </w:rPr>
            </w:pPr>
          </w:p>
        </w:tc>
        <w:tc>
          <w:tcPr>
            <w:tcW w:w="1564" w:type="dxa"/>
            <w:tcBorders>
              <w:top w:val="single" w:sz="4" w:space="0" w:color="008FDD"/>
              <w:bottom w:val="single" w:sz="4" w:space="0" w:color="008FDD"/>
            </w:tcBorders>
          </w:tcPr>
          <w:p>
            <w:pPr>
              <w:pStyle w:val="TableParagraph"/>
              <w:spacing w:before="43"/>
              <w:ind w:left="58" w:right="85"/>
              <w:rPr>
                <w:b/>
                <w:sz w:val="14"/>
              </w:rPr>
            </w:pPr>
            <w:r>
              <w:rPr>
                <w:b/>
                <w:color w:val="231F20"/>
                <w:spacing w:val="-2"/>
                <w:w w:val="95"/>
                <w:sz w:val="14"/>
              </w:rPr>
              <w:t>Median</w:t>
            </w:r>
          </w:p>
        </w:tc>
        <w:tc>
          <w:tcPr>
            <w:tcW w:w="1318" w:type="dxa"/>
            <w:tcBorders>
              <w:top w:val="single" w:sz="4" w:space="0" w:color="008FDD"/>
              <w:bottom w:val="single" w:sz="4" w:space="0" w:color="008FDD"/>
            </w:tcBorders>
          </w:tcPr>
          <w:p>
            <w:pPr>
              <w:pStyle w:val="TableParagraph"/>
              <w:spacing w:before="43"/>
              <w:ind w:left="162"/>
              <w:rPr>
                <w:b/>
                <w:sz w:val="14"/>
              </w:rPr>
            </w:pPr>
            <w:r>
              <w:rPr>
                <w:b/>
                <w:color w:val="231F20"/>
                <w:spacing w:val="-4"/>
                <w:w w:val="95"/>
                <w:sz w:val="14"/>
              </w:rPr>
              <w:t>Mean</w:t>
            </w:r>
          </w:p>
        </w:tc>
        <w:tc>
          <w:tcPr>
            <w:tcW w:w="1728" w:type="dxa"/>
            <w:tcBorders>
              <w:top w:val="single" w:sz="4" w:space="0" w:color="008FDD"/>
              <w:bottom w:val="single" w:sz="4" w:space="0" w:color="008FDD"/>
            </w:tcBorders>
          </w:tcPr>
          <w:p>
            <w:pPr>
              <w:pStyle w:val="TableParagraph"/>
              <w:spacing w:before="43"/>
              <w:ind w:left="217" w:right="32"/>
              <w:rPr>
                <w:b/>
                <w:sz w:val="14"/>
              </w:rPr>
            </w:pPr>
            <w:r>
              <w:rPr>
                <w:b/>
                <w:color w:val="231F20"/>
                <w:spacing w:val="4"/>
                <w:w w:val="80"/>
                <w:sz w:val="14"/>
              </w:rPr>
              <w:t>Interquartile</w:t>
            </w:r>
            <w:r>
              <w:rPr>
                <w:b/>
                <w:color w:val="231F20"/>
                <w:spacing w:val="6"/>
                <w:sz w:val="14"/>
              </w:rPr>
              <w:t> </w:t>
            </w:r>
            <w:r>
              <w:rPr>
                <w:b/>
                <w:color w:val="231F20"/>
                <w:spacing w:val="-2"/>
                <w:w w:val="95"/>
                <w:sz w:val="14"/>
              </w:rPr>
              <w:t>range</w:t>
            </w:r>
          </w:p>
        </w:tc>
      </w:tr>
      <w:tr>
        <w:trPr>
          <w:trHeight w:val="254" w:hRule="atLeast"/>
        </w:trPr>
        <w:tc>
          <w:tcPr>
            <w:tcW w:w="1500" w:type="dxa"/>
            <w:tcBorders>
              <w:top w:val="single" w:sz="4" w:space="0" w:color="008FDD"/>
            </w:tcBorders>
          </w:tcPr>
          <w:p>
            <w:pPr>
              <w:pStyle w:val="TableParagraph"/>
              <w:spacing w:before="43"/>
              <w:ind w:left="80"/>
              <w:jc w:val="left"/>
              <w:rPr>
                <w:sz w:val="14"/>
              </w:rPr>
            </w:pPr>
            <w:r>
              <w:rPr>
                <w:color w:val="231F20"/>
                <w:spacing w:val="-2"/>
                <w:w w:val="90"/>
                <w:sz w:val="14"/>
              </w:rPr>
              <w:t>Chile</w:t>
            </w:r>
          </w:p>
        </w:tc>
        <w:tc>
          <w:tcPr>
            <w:tcW w:w="1573" w:type="dxa"/>
            <w:tcBorders>
              <w:top w:val="single" w:sz="4" w:space="0" w:color="008FDD"/>
            </w:tcBorders>
          </w:tcPr>
          <w:p>
            <w:pPr>
              <w:pStyle w:val="TableParagraph"/>
              <w:spacing w:before="43"/>
              <w:ind w:left="714"/>
              <w:jc w:val="left"/>
              <w:rPr>
                <w:sz w:val="14"/>
              </w:rPr>
            </w:pPr>
            <w:r>
              <w:rPr>
                <w:color w:val="231F20"/>
                <w:spacing w:val="-4"/>
                <w:w w:val="95"/>
                <w:sz w:val="14"/>
              </w:rPr>
              <w:t>63.5</w:t>
            </w:r>
          </w:p>
        </w:tc>
        <w:tc>
          <w:tcPr>
            <w:tcW w:w="1564" w:type="dxa"/>
            <w:tcBorders>
              <w:top w:val="single" w:sz="4" w:space="0" w:color="008FDD"/>
            </w:tcBorders>
          </w:tcPr>
          <w:p>
            <w:pPr>
              <w:pStyle w:val="TableParagraph"/>
              <w:spacing w:before="43"/>
              <w:ind w:left="76" w:right="85"/>
              <w:rPr>
                <w:sz w:val="14"/>
              </w:rPr>
            </w:pPr>
            <w:r>
              <w:rPr>
                <w:color w:val="231F20"/>
                <w:spacing w:val="-5"/>
                <w:w w:val="95"/>
                <w:sz w:val="14"/>
              </w:rPr>
              <w:t>2.0</w:t>
            </w:r>
          </w:p>
        </w:tc>
        <w:tc>
          <w:tcPr>
            <w:tcW w:w="1318" w:type="dxa"/>
            <w:tcBorders>
              <w:top w:val="single" w:sz="4" w:space="0" w:color="008FDD"/>
            </w:tcBorders>
          </w:tcPr>
          <w:p>
            <w:pPr>
              <w:pStyle w:val="TableParagraph"/>
              <w:spacing w:before="43"/>
              <w:ind w:left="192" w:right="7"/>
              <w:rPr>
                <w:sz w:val="14"/>
              </w:rPr>
            </w:pPr>
            <w:r>
              <w:rPr>
                <w:color w:val="231F20"/>
                <w:spacing w:val="-5"/>
                <w:w w:val="95"/>
                <w:sz w:val="14"/>
              </w:rPr>
              <w:t>1.5</w:t>
            </w:r>
          </w:p>
        </w:tc>
        <w:tc>
          <w:tcPr>
            <w:tcW w:w="1728" w:type="dxa"/>
            <w:tcBorders>
              <w:top w:val="single" w:sz="4" w:space="0" w:color="008FDD"/>
            </w:tcBorders>
          </w:tcPr>
          <w:p>
            <w:pPr>
              <w:pStyle w:val="TableParagraph"/>
              <w:spacing w:before="43"/>
              <w:ind w:left="217" w:right="13"/>
              <w:rPr>
                <w:sz w:val="14"/>
              </w:rPr>
            </w:pPr>
            <w:r>
              <w:rPr>
                <w:color w:val="231F20"/>
                <w:spacing w:val="-5"/>
                <w:w w:val="95"/>
                <w:sz w:val="14"/>
              </w:rPr>
              <w:t>4.6</w:t>
            </w:r>
          </w:p>
        </w:tc>
      </w:tr>
      <w:tr>
        <w:trPr>
          <w:trHeight w:val="259" w:hRule="atLeast"/>
        </w:trPr>
        <w:tc>
          <w:tcPr>
            <w:tcW w:w="1500" w:type="dxa"/>
            <w:shd w:val="clear" w:color="auto" w:fill="D4E3F5"/>
          </w:tcPr>
          <w:p>
            <w:pPr>
              <w:pStyle w:val="TableParagraph"/>
              <w:ind w:left="80"/>
              <w:jc w:val="left"/>
              <w:rPr>
                <w:sz w:val="14"/>
              </w:rPr>
            </w:pPr>
            <w:r>
              <w:rPr>
                <w:color w:val="231F20"/>
                <w:spacing w:val="-2"/>
                <w:w w:val="85"/>
                <w:sz w:val="14"/>
              </w:rPr>
              <w:t>China</w:t>
            </w:r>
          </w:p>
        </w:tc>
        <w:tc>
          <w:tcPr>
            <w:tcW w:w="1573" w:type="dxa"/>
            <w:shd w:val="clear" w:color="auto" w:fill="D4E3F5"/>
          </w:tcPr>
          <w:p>
            <w:pPr>
              <w:pStyle w:val="TableParagraph"/>
              <w:ind w:left="657"/>
              <w:jc w:val="left"/>
              <w:rPr>
                <w:sz w:val="14"/>
              </w:rPr>
            </w:pPr>
            <w:r>
              <w:rPr>
                <w:color w:val="231F20"/>
                <w:spacing w:val="-5"/>
                <w:w w:val="95"/>
                <w:sz w:val="14"/>
              </w:rPr>
              <w:t>127</w:t>
            </w:r>
          </w:p>
        </w:tc>
        <w:tc>
          <w:tcPr>
            <w:tcW w:w="1564" w:type="dxa"/>
            <w:shd w:val="clear" w:color="auto" w:fill="D4E3F5"/>
          </w:tcPr>
          <w:p>
            <w:pPr>
              <w:pStyle w:val="TableParagraph"/>
              <w:ind w:left="73" w:right="85"/>
              <w:rPr>
                <w:sz w:val="14"/>
              </w:rPr>
            </w:pPr>
            <w:r>
              <w:rPr>
                <w:color w:val="231F20"/>
                <w:spacing w:val="-5"/>
                <w:w w:val="95"/>
                <w:sz w:val="14"/>
              </w:rPr>
              <w:t>3.4</w:t>
            </w:r>
          </w:p>
        </w:tc>
        <w:tc>
          <w:tcPr>
            <w:tcW w:w="1318" w:type="dxa"/>
            <w:shd w:val="clear" w:color="auto" w:fill="D4E3F5"/>
          </w:tcPr>
          <w:p>
            <w:pPr>
              <w:pStyle w:val="TableParagraph"/>
              <w:ind w:left="178"/>
              <w:rPr>
                <w:sz w:val="14"/>
              </w:rPr>
            </w:pPr>
            <w:r>
              <w:rPr>
                <w:color w:val="231F20"/>
                <w:spacing w:val="-5"/>
                <w:w w:val="95"/>
                <w:sz w:val="14"/>
              </w:rPr>
              <w:t>2.5</w:t>
            </w:r>
          </w:p>
        </w:tc>
        <w:tc>
          <w:tcPr>
            <w:tcW w:w="1728" w:type="dxa"/>
            <w:shd w:val="clear" w:color="auto" w:fill="D4E3F5"/>
          </w:tcPr>
          <w:p>
            <w:pPr>
              <w:pStyle w:val="TableParagraph"/>
              <w:ind w:left="217" w:right="17"/>
              <w:rPr>
                <w:sz w:val="14"/>
              </w:rPr>
            </w:pPr>
            <w:r>
              <w:rPr>
                <w:color w:val="231F20"/>
                <w:spacing w:val="-5"/>
                <w:w w:val="95"/>
                <w:sz w:val="14"/>
              </w:rPr>
              <w:t>4.7</w:t>
            </w:r>
          </w:p>
        </w:tc>
      </w:tr>
      <w:tr>
        <w:trPr>
          <w:trHeight w:val="259" w:hRule="atLeast"/>
        </w:trPr>
        <w:tc>
          <w:tcPr>
            <w:tcW w:w="1500" w:type="dxa"/>
          </w:tcPr>
          <w:p>
            <w:pPr>
              <w:pStyle w:val="TableParagraph"/>
              <w:ind w:left="80"/>
              <w:jc w:val="left"/>
              <w:rPr>
                <w:sz w:val="14"/>
              </w:rPr>
            </w:pPr>
            <w:r>
              <w:rPr>
                <w:color w:val="231F20"/>
                <w:spacing w:val="-2"/>
                <w:w w:val="90"/>
                <w:sz w:val="14"/>
              </w:rPr>
              <w:t>Colombia</w:t>
            </w:r>
          </w:p>
        </w:tc>
        <w:tc>
          <w:tcPr>
            <w:tcW w:w="1573" w:type="dxa"/>
          </w:tcPr>
          <w:p>
            <w:pPr>
              <w:pStyle w:val="TableParagraph"/>
              <w:ind w:left="717"/>
              <w:jc w:val="left"/>
              <w:rPr>
                <w:sz w:val="14"/>
              </w:rPr>
            </w:pPr>
            <w:r>
              <w:rPr>
                <w:color w:val="231F20"/>
                <w:spacing w:val="-5"/>
                <w:w w:val="95"/>
                <w:sz w:val="14"/>
              </w:rPr>
              <w:t>80</w:t>
            </w:r>
          </w:p>
        </w:tc>
        <w:tc>
          <w:tcPr>
            <w:tcW w:w="1564" w:type="dxa"/>
          </w:tcPr>
          <w:p>
            <w:pPr>
              <w:pStyle w:val="TableParagraph"/>
              <w:ind w:left="76" w:right="85"/>
              <w:rPr>
                <w:sz w:val="14"/>
              </w:rPr>
            </w:pPr>
            <w:r>
              <w:rPr>
                <w:color w:val="231F20"/>
                <w:spacing w:val="-5"/>
                <w:w w:val="95"/>
                <w:sz w:val="14"/>
              </w:rPr>
              <w:t>2.0</w:t>
            </w:r>
          </w:p>
        </w:tc>
        <w:tc>
          <w:tcPr>
            <w:tcW w:w="1318" w:type="dxa"/>
          </w:tcPr>
          <w:p>
            <w:pPr>
              <w:pStyle w:val="TableParagraph"/>
              <w:ind w:left="192" w:right="11"/>
              <w:rPr>
                <w:sz w:val="14"/>
              </w:rPr>
            </w:pPr>
            <w:r>
              <w:rPr>
                <w:color w:val="231F20"/>
                <w:spacing w:val="-5"/>
                <w:w w:val="95"/>
                <w:sz w:val="14"/>
              </w:rPr>
              <w:t>1.7</w:t>
            </w:r>
          </w:p>
        </w:tc>
        <w:tc>
          <w:tcPr>
            <w:tcW w:w="1728" w:type="dxa"/>
          </w:tcPr>
          <w:p>
            <w:pPr>
              <w:pStyle w:val="TableParagraph"/>
              <w:ind w:left="217" w:right="13"/>
              <w:rPr>
                <w:sz w:val="14"/>
              </w:rPr>
            </w:pPr>
            <w:r>
              <w:rPr>
                <w:color w:val="231F20"/>
                <w:spacing w:val="-5"/>
                <w:w w:val="95"/>
                <w:sz w:val="14"/>
              </w:rPr>
              <w:t>2.8</w:t>
            </w:r>
          </w:p>
        </w:tc>
      </w:tr>
      <w:tr>
        <w:trPr>
          <w:trHeight w:val="259" w:hRule="atLeast"/>
        </w:trPr>
        <w:tc>
          <w:tcPr>
            <w:tcW w:w="1500" w:type="dxa"/>
            <w:shd w:val="clear" w:color="auto" w:fill="D4E3F5"/>
          </w:tcPr>
          <w:p>
            <w:pPr>
              <w:pStyle w:val="TableParagraph"/>
              <w:ind w:left="80"/>
              <w:jc w:val="left"/>
              <w:rPr>
                <w:sz w:val="14"/>
              </w:rPr>
            </w:pPr>
            <w:r>
              <w:rPr>
                <w:color w:val="231F20"/>
                <w:w w:val="75"/>
                <w:sz w:val="14"/>
              </w:rPr>
              <w:t>Congo,</w:t>
            </w:r>
            <w:r>
              <w:rPr>
                <w:color w:val="231F20"/>
                <w:spacing w:val="9"/>
                <w:sz w:val="14"/>
              </w:rPr>
              <w:t> </w:t>
            </w:r>
            <w:r>
              <w:rPr>
                <w:color w:val="231F20"/>
                <w:w w:val="75"/>
                <w:sz w:val="14"/>
              </w:rPr>
              <w:t>Dem.</w:t>
            </w:r>
            <w:r>
              <w:rPr>
                <w:color w:val="231F20"/>
                <w:spacing w:val="10"/>
                <w:sz w:val="14"/>
              </w:rPr>
              <w:t> </w:t>
            </w:r>
            <w:r>
              <w:rPr>
                <w:color w:val="231F20"/>
                <w:spacing w:val="-4"/>
                <w:w w:val="75"/>
                <w:sz w:val="14"/>
              </w:rPr>
              <w:t>Rep.</w:t>
            </w:r>
          </w:p>
        </w:tc>
        <w:tc>
          <w:tcPr>
            <w:tcW w:w="1573" w:type="dxa"/>
            <w:shd w:val="clear" w:color="auto" w:fill="D4E3F5"/>
          </w:tcPr>
          <w:p>
            <w:pPr>
              <w:pStyle w:val="TableParagraph"/>
              <w:ind w:left="720"/>
              <w:jc w:val="left"/>
              <w:rPr>
                <w:sz w:val="14"/>
              </w:rPr>
            </w:pPr>
            <w:r>
              <w:rPr>
                <w:color w:val="231F20"/>
                <w:spacing w:val="-5"/>
                <w:w w:val="95"/>
                <w:sz w:val="14"/>
              </w:rPr>
              <w:t>42</w:t>
            </w:r>
          </w:p>
        </w:tc>
        <w:tc>
          <w:tcPr>
            <w:tcW w:w="1564" w:type="dxa"/>
            <w:shd w:val="clear" w:color="auto" w:fill="D4E3F5"/>
          </w:tcPr>
          <w:p>
            <w:pPr>
              <w:pStyle w:val="TableParagraph"/>
              <w:ind w:left="79" w:right="85"/>
              <w:rPr>
                <w:sz w:val="14"/>
              </w:rPr>
            </w:pPr>
            <w:r>
              <w:rPr>
                <w:color w:val="231F20"/>
                <w:spacing w:val="-5"/>
                <w:w w:val="95"/>
                <w:sz w:val="14"/>
              </w:rPr>
              <w:t>1.7</w:t>
            </w:r>
          </w:p>
        </w:tc>
        <w:tc>
          <w:tcPr>
            <w:tcW w:w="1318" w:type="dxa"/>
            <w:shd w:val="clear" w:color="auto" w:fill="D4E3F5"/>
          </w:tcPr>
          <w:p>
            <w:pPr>
              <w:pStyle w:val="TableParagraph"/>
              <w:ind w:left="192" w:right="7"/>
              <w:rPr>
                <w:sz w:val="14"/>
              </w:rPr>
            </w:pPr>
            <w:r>
              <w:rPr>
                <w:color w:val="231F20"/>
                <w:spacing w:val="-5"/>
                <w:w w:val="95"/>
                <w:sz w:val="14"/>
              </w:rPr>
              <w:t>1.8</w:t>
            </w:r>
          </w:p>
        </w:tc>
        <w:tc>
          <w:tcPr>
            <w:tcW w:w="1728" w:type="dxa"/>
            <w:shd w:val="clear" w:color="auto" w:fill="D4E3F5"/>
          </w:tcPr>
          <w:p>
            <w:pPr>
              <w:pStyle w:val="TableParagraph"/>
              <w:ind w:left="217" w:right="12"/>
              <w:rPr>
                <w:sz w:val="14"/>
              </w:rPr>
            </w:pPr>
            <w:r>
              <w:rPr>
                <w:color w:val="231F20"/>
                <w:spacing w:val="-5"/>
                <w:w w:val="95"/>
                <w:sz w:val="14"/>
              </w:rPr>
              <w:t>3.9</w:t>
            </w:r>
          </w:p>
        </w:tc>
      </w:tr>
      <w:tr>
        <w:trPr>
          <w:trHeight w:val="259" w:hRule="atLeast"/>
        </w:trPr>
        <w:tc>
          <w:tcPr>
            <w:tcW w:w="1500" w:type="dxa"/>
          </w:tcPr>
          <w:p>
            <w:pPr>
              <w:pStyle w:val="TableParagraph"/>
              <w:ind w:left="80"/>
              <w:jc w:val="left"/>
              <w:rPr>
                <w:sz w:val="14"/>
              </w:rPr>
            </w:pPr>
            <w:r>
              <w:rPr>
                <w:color w:val="231F20"/>
                <w:w w:val="75"/>
                <w:sz w:val="14"/>
              </w:rPr>
              <w:t>Congo,</w:t>
            </w:r>
            <w:r>
              <w:rPr>
                <w:color w:val="231F20"/>
                <w:spacing w:val="10"/>
                <w:sz w:val="14"/>
              </w:rPr>
              <w:t> </w:t>
            </w:r>
            <w:r>
              <w:rPr>
                <w:color w:val="231F20"/>
                <w:spacing w:val="-4"/>
                <w:w w:val="90"/>
                <w:sz w:val="14"/>
              </w:rPr>
              <w:t>Rep.</w:t>
            </w:r>
          </w:p>
        </w:tc>
        <w:tc>
          <w:tcPr>
            <w:tcW w:w="1573" w:type="dxa"/>
          </w:tcPr>
          <w:p>
            <w:pPr>
              <w:pStyle w:val="TableParagraph"/>
              <w:ind w:left="718"/>
              <w:jc w:val="left"/>
              <w:rPr>
                <w:sz w:val="14"/>
              </w:rPr>
            </w:pPr>
            <w:r>
              <w:rPr>
                <w:color w:val="231F20"/>
                <w:spacing w:val="-5"/>
                <w:w w:val="95"/>
                <w:sz w:val="14"/>
              </w:rPr>
              <w:t>32</w:t>
            </w:r>
          </w:p>
        </w:tc>
        <w:tc>
          <w:tcPr>
            <w:tcW w:w="1564" w:type="dxa"/>
          </w:tcPr>
          <w:p>
            <w:pPr>
              <w:pStyle w:val="TableParagraph"/>
              <w:ind w:left="77" w:right="85"/>
              <w:rPr>
                <w:sz w:val="14"/>
              </w:rPr>
            </w:pPr>
            <w:r>
              <w:rPr>
                <w:color w:val="231F20"/>
                <w:spacing w:val="-5"/>
                <w:w w:val="95"/>
                <w:sz w:val="14"/>
              </w:rPr>
              <w:t>3.3</w:t>
            </w:r>
          </w:p>
        </w:tc>
        <w:tc>
          <w:tcPr>
            <w:tcW w:w="1318" w:type="dxa"/>
          </w:tcPr>
          <w:p>
            <w:pPr>
              <w:pStyle w:val="TableParagraph"/>
              <w:ind w:left="177"/>
              <w:rPr>
                <w:sz w:val="14"/>
              </w:rPr>
            </w:pPr>
            <w:r>
              <w:rPr>
                <w:color w:val="231F20"/>
                <w:spacing w:val="-5"/>
                <w:w w:val="95"/>
                <w:sz w:val="14"/>
              </w:rPr>
              <w:t>3.0</w:t>
            </w:r>
          </w:p>
        </w:tc>
        <w:tc>
          <w:tcPr>
            <w:tcW w:w="1728" w:type="dxa"/>
          </w:tcPr>
          <w:p>
            <w:pPr>
              <w:pStyle w:val="TableParagraph"/>
              <w:ind w:left="217" w:right="17"/>
              <w:rPr>
                <w:sz w:val="14"/>
              </w:rPr>
            </w:pPr>
            <w:r>
              <w:rPr>
                <w:color w:val="231F20"/>
                <w:spacing w:val="-5"/>
                <w:w w:val="95"/>
                <w:sz w:val="14"/>
              </w:rPr>
              <w:t>4.7</w:t>
            </w:r>
          </w:p>
        </w:tc>
      </w:tr>
      <w:tr>
        <w:trPr>
          <w:trHeight w:val="259" w:hRule="atLeast"/>
        </w:trPr>
        <w:tc>
          <w:tcPr>
            <w:tcW w:w="1500" w:type="dxa"/>
            <w:shd w:val="clear" w:color="auto" w:fill="D4E3F5"/>
          </w:tcPr>
          <w:p>
            <w:pPr>
              <w:pStyle w:val="TableParagraph"/>
              <w:ind w:left="80"/>
              <w:jc w:val="left"/>
              <w:rPr>
                <w:sz w:val="14"/>
              </w:rPr>
            </w:pPr>
            <w:r>
              <w:rPr>
                <w:color w:val="231F20"/>
                <w:w w:val="75"/>
                <w:sz w:val="14"/>
              </w:rPr>
              <w:t>Costa</w:t>
            </w:r>
            <w:r>
              <w:rPr>
                <w:color w:val="231F20"/>
                <w:spacing w:val="9"/>
                <w:sz w:val="14"/>
              </w:rPr>
              <w:t> </w:t>
            </w:r>
            <w:r>
              <w:rPr>
                <w:color w:val="231F20"/>
                <w:spacing w:val="-4"/>
                <w:w w:val="85"/>
                <w:sz w:val="14"/>
              </w:rPr>
              <w:t>Rica</w:t>
            </w:r>
          </w:p>
        </w:tc>
        <w:tc>
          <w:tcPr>
            <w:tcW w:w="1573" w:type="dxa"/>
            <w:shd w:val="clear" w:color="auto" w:fill="D4E3F5"/>
          </w:tcPr>
          <w:p>
            <w:pPr>
              <w:pStyle w:val="TableParagraph"/>
              <w:ind w:left="717"/>
              <w:jc w:val="left"/>
              <w:rPr>
                <w:sz w:val="14"/>
              </w:rPr>
            </w:pPr>
            <w:r>
              <w:rPr>
                <w:color w:val="231F20"/>
                <w:spacing w:val="-5"/>
                <w:w w:val="95"/>
                <w:sz w:val="14"/>
              </w:rPr>
              <w:t>55</w:t>
            </w:r>
          </w:p>
        </w:tc>
        <w:tc>
          <w:tcPr>
            <w:tcW w:w="1564" w:type="dxa"/>
            <w:shd w:val="clear" w:color="auto" w:fill="D4E3F5"/>
          </w:tcPr>
          <w:p>
            <w:pPr>
              <w:pStyle w:val="TableParagraph"/>
              <w:ind w:left="83" w:right="85"/>
              <w:rPr>
                <w:sz w:val="14"/>
              </w:rPr>
            </w:pPr>
            <w:r>
              <w:rPr>
                <w:color w:val="231F20"/>
                <w:spacing w:val="-5"/>
                <w:w w:val="95"/>
                <w:sz w:val="14"/>
              </w:rPr>
              <w:t>1.8</w:t>
            </w:r>
          </w:p>
        </w:tc>
        <w:tc>
          <w:tcPr>
            <w:tcW w:w="1318" w:type="dxa"/>
            <w:shd w:val="clear" w:color="auto" w:fill="D4E3F5"/>
          </w:tcPr>
          <w:p>
            <w:pPr>
              <w:pStyle w:val="TableParagraph"/>
              <w:ind w:left="192" w:right="11"/>
              <w:rPr>
                <w:sz w:val="14"/>
              </w:rPr>
            </w:pPr>
            <w:r>
              <w:rPr>
                <w:color w:val="231F20"/>
                <w:spacing w:val="-5"/>
                <w:w w:val="95"/>
                <w:sz w:val="14"/>
              </w:rPr>
              <w:t>1.7</w:t>
            </w:r>
          </w:p>
        </w:tc>
        <w:tc>
          <w:tcPr>
            <w:tcW w:w="1728" w:type="dxa"/>
            <w:shd w:val="clear" w:color="auto" w:fill="D4E3F5"/>
          </w:tcPr>
          <w:p>
            <w:pPr>
              <w:pStyle w:val="TableParagraph"/>
              <w:ind w:left="217" w:right="13"/>
              <w:rPr>
                <w:sz w:val="14"/>
              </w:rPr>
            </w:pPr>
            <w:r>
              <w:rPr>
                <w:color w:val="231F20"/>
                <w:spacing w:val="-5"/>
                <w:w w:val="95"/>
                <w:sz w:val="14"/>
              </w:rPr>
              <w:t>2.9</w:t>
            </w:r>
          </w:p>
        </w:tc>
      </w:tr>
      <w:tr>
        <w:trPr>
          <w:trHeight w:val="259" w:hRule="atLeast"/>
        </w:trPr>
        <w:tc>
          <w:tcPr>
            <w:tcW w:w="1500" w:type="dxa"/>
          </w:tcPr>
          <w:p>
            <w:pPr>
              <w:pStyle w:val="TableParagraph"/>
              <w:ind w:left="80"/>
              <w:jc w:val="left"/>
              <w:rPr>
                <w:sz w:val="14"/>
              </w:rPr>
            </w:pPr>
            <w:r>
              <w:rPr>
                <w:color w:val="231F20"/>
                <w:spacing w:val="-2"/>
                <w:w w:val="90"/>
                <w:sz w:val="14"/>
              </w:rPr>
              <w:t>Croatia</w:t>
            </w:r>
          </w:p>
        </w:tc>
        <w:tc>
          <w:tcPr>
            <w:tcW w:w="1573" w:type="dxa"/>
          </w:tcPr>
          <w:p>
            <w:pPr>
              <w:pStyle w:val="TableParagraph"/>
              <w:ind w:left="714"/>
              <w:jc w:val="left"/>
              <w:rPr>
                <w:sz w:val="14"/>
              </w:rPr>
            </w:pPr>
            <w:r>
              <w:rPr>
                <w:color w:val="231F20"/>
                <w:spacing w:val="-4"/>
                <w:w w:val="95"/>
                <w:sz w:val="14"/>
              </w:rPr>
              <w:t>68.5</w:t>
            </w:r>
          </w:p>
        </w:tc>
        <w:tc>
          <w:tcPr>
            <w:tcW w:w="1564" w:type="dxa"/>
          </w:tcPr>
          <w:p>
            <w:pPr>
              <w:pStyle w:val="TableParagraph"/>
              <w:ind w:left="77" w:right="85"/>
              <w:rPr>
                <w:sz w:val="14"/>
              </w:rPr>
            </w:pPr>
            <w:r>
              <w:rPr>
                <w:color w:val="231F20"/>
                <w:spacing w:val="-5"/>
                <w:w w:val="95"/>
                <w:sz w:val="14"/>
              </w:rPr>
              <w:t>2.2</w:t>
            </w:r>
          </w:p>
        </w:tc>
        <w:tc>
          <w:tcPr>
            <w:tcW w:w="1318" w:type="dxa"/>
          </w:tcPr>
          <w:p>
            <w:pPr>
              <w:pStyle w:val="TableParagraph"/>
              <w:ind w:left="178"/>
              <w:rPr>
                <w:sz w:val="14"/>
              </w:rPr>
            </w:pPr>
            <w:r>
              <w:rPr>
                <w:color w:val="231F20"/>
                <w:spacing w:val="-5"/>
                <w:w w:val="95"/>
                <w:sz w:val="14"/>
              </w:rPr>
              <w:t>2.6</w:t>
            </w:r>
          </w:p>
        </w:tc>
        <w:tc>
          <w:tcPr>
            <w:tcW w:w="1728" w:type="dxa"/>
          </w:tcPr>
          <w:p>
            <w:pPr>
              <w:pStyle w:val="TableParagraph"/>
              <w:ind w:left="217" w:right="14"/>
              <w:rPr>
                <w:sz w:val="14"/>
              </w:rPr>
            </w:pPr>
            <w:r>
              <w:rPr>
                <w:color w:val="231F20"/>
                <w:spacing w:val="-5"/>
                <w:w w:val="95"/>
                <w:sz w:val="14"/>
              </w:rPr>
              <w:t>3.0</w:t>
            </w:r>
          </w:p>
        </w:tc>
      </w:tr>
      <w:tr>
        <w:trPr>
          <w:trHeight w:val="259" w:hRule="atLeast"/>
        </w:trPr>
        <w:tc>
          <w:tcPr>
            <w:tcW w:w="1500" w:type="dxa"/>
            <w:shd w:val="clear" w:color="auto" w:fill="D4E3F5"/>
          </w:tcPr>
          <w:p>
            <w:pPr>
              <w:pStyle w:val="TableParagraph"/>
              <w:ind w:left="80"/>
              <w:jc w:val="left"/>
              <w:rPr>
                <w:sz w:val="14"/>
              </w:rPr>
            </w:pPr>
            <w:r>
              <w:rPr>
                <w:color w:val="231F20"/>
                <w:spacing w:val="-4"/>
                <w:w w:val="85"/>
                <w:sz w:val="14"/>
              </w:rPr>
              <w:t>Cuba</w:t>
            </w:r>
          </w:p>
        </w:tc>
        <w:tc>
          <w:tcPr>
            <w:tcW w:w="1573" w:type="dxa"/>
            <w:shd w:val="clear" w:color="auto" w:fill="D4E3F5"/>
          </w:tcPr>
          <w:p>
            <w:pPr>
              <w:pStyle w:val="TableParagraph"/>
              <w:ind w:left="725"/>
              <w:jc w:val="left"/>
              <w:rPr>
                <w:sz w:val="14"/>
              </w:rPr>
            </w:pPr>
            <w:r>
              <w:rPr>
                <w:color w:val="231F20"/>
                <w:spacing w:val="-4"/>
                <w:w w:val="95"/>
                <w:sz w:val="14"/>
              </w:rPr>
              <w:t>31.5</w:t>
            </w:r>
          </w:p>
        </w:tc>
        <w:tc>
          <w:tcPr>
            <w:tcW w:w="1564" w:type="dxa"/>
            <w:shd w:val="clear" w:color="auto" w:fill="D4E3F5"/>
          </w:tcPr>
          <w:p>
            <w:pPr>
              <w:pStyle w:val="TableParagraph"/>
              <w:ind w:left="77" w:right="85"/>
              <w:rPr>
                <w:sz w:val="14"/>
              </w:rPr>
            </w:pPr>
            <w:r>
              <w:rPr>
                <w:color w:val="231F20"/>
                <w:spacing w:val="-5"/>
                <w:w w:val="95"/>
                <w:sz w:val="14"/>
              </w:rPr>
              <w:t>8.3</w:t>
            </w:r>
          </w:p>
        </w:tc>
        <w:tc>
          <w:tcPr>
            <w:tcW w:w="1318" w:type="dxa"/>
            <w:shd w:val="clear" w:color="auto" w:fill="D4E3F5"/>
          </w:tcPr>
          <w:p>
            <w:pPr>
              <w:pStyle w:val="TableParagraph"/>
              <w:ind w:left="192" w:right="9"/>
              <w:rPr>
                <w:sz w:val="14"/>
              </w:rPr>
            </w:pPr>
            <w:r>
              <w:rPr>
                <w:color w:val="231F20"/>
                <w:spacing w:val="-5"/>
                <w:w w:val="95"/>
                <w:sz w:val="14"/>
              </w:rPr>
              <w:t>1.4</w:t>
            </w:r>
          </w:p>
        </w:tc>
        <w:tc>
          <w:tcPr>
            <w:tcW w:w="1728" w:type="dxa"/>
            <w:shd w:val="clear" w:color="auto" w:fill="D4E3F5"/>
          </w:tcPr>
          <w:p>
            <w:pPr>
              <w:pStyle w:val="TableParagraph"/>
              <w:ind w:left="217" w:right="79"/>
              <w:rPr>
                <w:sz w:val="14"/>
              </w:rPr>
            </w:pPr>
            <w:r>
              <w:rPr>
                <w:color w:val="231F20"/>
                <w:spacing w:val="-4"/>
                <w:w w:val="95"/>
                <w:sz w:val="14"/>
              </w:rPr>
              <w:t>10.4</w:t>
            </w:r>
          </w:p>
        </w:tc>
      </w:tr>
      <w:tr>
        <w:trPr>
          <w:trHeight w:val="259" w:hRule="atLeast"/>
        </w:trPr>
        <w:tc>
          <w:tcPr>
            <w:tcW w:w="1500" w:type="dxa"/>
          </w:tcPr>
          <w:p>
            <w:pPr>
              <w:pStyle w:val="TableParagraph"/>
              <w:ind w:left="80"/>
              <w:jc w:val="left"/>
              <w:rPr>
                <w:sz w:val="14"/>
              </w:rPr>
            </w:pPr>
            <w:r>
              <w:rPr>
                <w:color w:val="231F20"/>
                <w:spacing w:val="-2"/>
                <w:w w:val="85"/>
                <w:sz w:val="14"/>
              </w:rPr>
              <w:t>Cyprus</w:t>
            </w:r>
          </w:p>
        </w:tc>
        <w:tc>
          <w:tcPr>
            <w:tcW w:w="1573" w:type="dxa"/>
          </w:tcPr>
          <w:p>
            <w:pPr>
              <w:pStyle w:val="TableParagraph"/>
              <w:ind w:left="718"/>
              <w:jc w:val="left"/>
              <w:rPr>
                <w:sz w:val="14"/>
              </w:rPr>
            </w:pPr>
            <w:r>
              <w:rPr>
                <w:color w:val="231F20"/>
                <w:spacing w:val="-5"/>
                <w:w w:val="95"/>
                <w:sz w:val="14"/>
              </w:rPr>
              <w:t>89</w:t>
            </w:r>
          </w:p>
        </w:tc>
        <w:tc>
          <w:tcPr>
            <w:tcW w:w="1564" w:type="dxa"/>
          </w:tcPr>
          <w:p>
            <w:pPr>
              <w:pStyle w:val="TableParagraph"/>
              <w:ind w:left="83" w:right="85"/>
              <w:rPr>
                <w:sz w:val="14"/>
              </w:rPr>
            </w:pPr>
            <w:r>
              <w:rPr>
                <w:color w:val="231F20"/>
                <w:spacing w:val="-5"/>
                <w:w w:val="95"/>
                <w:sz w:val="14"/>
              </w:rPr>
              <w:t>1.8</w:t>
            </w:r>
          </w:p>
        </w:tc>
        <w:tc>
          <w:tcPr>
            <w:tcW w:w="1318" w:type="dxa"/>
          </w:tcPr>
          <w:p>
            <w:pPr>
              <w:pStyle w:val="TableParagraph"/>
              <w:ind w:left="192" w:right="7"/>
              <w:rPr>
                <w:sz w:val="14"/>
              </w:rPr>
            </w:pPr>
            <w:r>
              <w:rPr>
                <w:color w:val="231F20"/>
                <w:spacing w:val="-5"/>
                <w:w w:val="95"/>
                <w:sz w:val="14"/>
              </w:rPr>
              <w:t>1.3</w:t>
            </w:r>
          </w:p>
        </w:tc>
        <w:tc>
          <w:tcPr>
            <w:tcW w:w="1728" w:type="dxa"/>
          </w:tcPr>
          <w:p>
            <w:pPr>
              <w:pStyle w:val="TableParagraph"/>
              <w:ind w:left="217" w:right="13"/>
              <w:rPr>
                <w:sz w:val="14"/>
              </w:rPr>
            </w:pPr>
            <w:r>
              <w:rPr>
                <w:color w:val="231F20"/>
                <w:spacing w:val="-5"/>
                <w:w w:val="95"/>
                <w:sz w:val="14"/>
              </w:rPr>
              <w:t>2.5</w:t>
            </w:r>
          </w:p>
        </w:tc>
      </w:tr>
      <w:tr>
        <w:trPr>
          <w:trHeight w:val="259" w:hRule="atLeast"/>
        </w:trPr>
        <w:tc>
          <w:tcPr>
            <w:tcW w:w="1500" w:type="dxa"/>
            <w:shd w:val="clear" w:color="auto" w:fill="D4E3F5"/>
          </w:tcPr>
          <w:p>
            <w:pPr>
              <w:pStyle w:val="TableParagraph"/>
              <w:ind w:left="80"/>
              <w:jc w:val="left"/>
              <w:rPr>
                <w:sz w:val="14"/>
              </w:rPr>
            </w:pPr>
            <w:r>
              <w:rPr>
                <w:color w:val="231F20"/>
                <w:spacing w:val="-2"/>
                <w:w w:val="85"/>
                <w:sz w:val="14"/>
              </w:rPr>
              <w:t>Czechia</w:t>
            </w:r>
          </w:p>
        </w:tc>
        <w:tc>
          <w:tcPr>
            <w:tcW w:w="1573" w:type="dxa"/>
            <w:shd w:val="clear" w:color="auto" w:fill="D4E3F5"/>
          </w:tcPr>
          <w:p>
            <w:pPr>
              <w:pStyle w:val="TableParagraph"/>
              <w:ind w:left="664"/>
              <w:jc w:val="left"/>
              <w:rPr>
                <w:sz w:val="14"/>
              </w:rPr>
            </w:pPr>
            <w:r>
              <w:rPr>
                <w:color w:val="231F20"/>
                <w:spacing w:val="-2"/>
                <w:w w:val="95"/>
                <w:sz w:val="14"/>
              </w:rPr>
              <w:t>115.5</w:t>
            </w:r>
          </w:p>
        </w:tc>
        <w:tc>
          <w:tcPr>
            <w:tcW w:w="1564" w:type="dxa"/>
            <w:shd w:val="clear" w:color="auto" w:fill="D4E3F5"/>
          </w:tcPr>
          <w:p>
            <w:pPr>
              <w:pStyle w:val="TableParagraph"/>
              <w:ind w:left="83" w:right="85"/>
              <w:rPr>
                <w:sz w:val="14"/>
              </w:rPr>
            </w:pPr>
            <w:r>
              <w:rPr>
                <w:color w:val="231F20"/>
                <w:spacing w:val="-5"/>
                <w:w w:val="95"/>
                <w:sz w:val="14"/>
              </w:rPr>
              <w:t>1.8</w:t>
            </w:r>
          </w:p>
        </w:tc>
        <w:tc>
          <w:tcPr>
            <w:tcW w:w="1318" w:type="dxa"/>
            <w:shd w:val="clear" w:color="auto" w:fill="D4E3F5"/>
          </w:tcPr>
          <w:p>
            <w:pPr>
              <w:pStyle w:val="TableParagraph"/>
              <w:ind w:left="192" w:right="7"/>
              <w:rPr>
                <w:sz w:val="14"/>
              </w:rPr>
            </w:pPr>
            <w:r>
              <w:rPr>
                <w:color w:val="231F20"/>
                <w:spacing w:val="-5"/>
                <w:w w:val="95"/>
                <w:sz w:val="14"/>
              </w:rPr>
              <w:t>1.8</w:t>
            </w:r>
          </w:p>
        </w:tc>
        <w:tc>
          <w:tcPr>
            <w:tcW w:w="1728" w:type="dxa"/>
            <w:shd w:val="clear" w:color="auto" w:fill="D4E3F5"/>
          </w:tcPr>
          <w:p>
            <w:pPr>
              <w:pStyle w:val="TableParagraph"/>
              <w:ind w:left="217" w:right="13"/>
              <w:rPr>
                <w:sz w:val="14"/>
              </w:rPr>
            </w:pPr>
            <w:r>
              <w:rPr>
                <w:color w:val="231F20"/>
                <w:spacing w:val="-5"/>
                <w:w w:val="95"/>
                <w:sz w:val="14"/>
              </w:rPr>
              <w:t>2.3</w:t>
            </w:r>
          </w:p>
        </w:tc>
      </w:tr>
      <w:tr>
        <w:trPr>
          <w:trHeight w:val="259" w:hRule="atLeast"/>
        </w:trPr>
        <w:tc>
          <w:tcPr>
            <w:tcW w:w="1500" w:type="dxa"/>
          </w:tcPr>
          <w:p>
            <w:pPr>
              <w:pStyle w:val="TableParagraph"/>
              <w:ind w:left="80"/>
              <w:jc w:val="left"/>
              <w:rPr>
                <w:sz w:val="14"/>
              </w:rPr>
            </w:pPr>
            <w:r>
              <w:rPr>
                <w:color w:val="231F20"/>
                <w:spacing w:val="-2"/>
                <w:w w:val="90"/>
                <w:sz w:val="14"/>
              </w:rPr>
              <w:t>Denmark</w:t>
            </w:r>
          </w:p>
        </w:tc>
        <w:tc>
          <w:tcPr>
            <w:tcW w:w="1573" w:type="dxa"/>
          </w:tcPr>
          <w:p>
            <w:pPr>
              <w:pStyle w:val="TableParagraph"/>
              <w:ind w:left="656"/>
              <w:jc w:val="left"/>
              <w:rPr>
                <w:sz w:val="14"/>
              </w:rPr>
            </w:pPr>
            <w:r>
              <w:rPr>
                <w:color w:val="231F20"/>
                <w:spacing w:val="-5"/>
                <w:w w:val="95"/>
                <w:sz w:val="14"/>
              </w:rPr>
              <w:t>123</w:t>
            </w:r>
          </w:p>
        </w:tc>
        <w:tc>
          <w:tcPr>
            <w:tcW w:w="1564" w:type="dxa"/>
          </w:tcPr>
          <w:p>
            <w:pPr>
              <w:pStyle w:val="TableParagraph"/>
              <w:ind w:left="83" w:right="85"/>
              <w:rPr>
                <w:sz w:val="14"/>
              </w:rPr>
            </w:pPr>
            <w:r>
              <w:rPr>
                <w:color w:val="231F20"/>
                <w:spacing w:val="-5"/>
                <w:w w:val="95"/>
                <w:sz w:val="14"/>
              </w:rPr>
              <w:t>1.3</w:t>
            </w:r>
          </w:p>
        </w:tc>
        <w:tc>
          <w:tcPr>
            <w:tcW w:w="1318" w:type="dxa"/>
          </w:tcPr>
          <w:p>
            <w:pPr>
              <w:pStyle w:val="TableParagraph"/>
              <w:ind w:left="192" w:right="7"/>
              <w:rPr>
                <w:sz w:val="14"/>
              </w:rPr>
            </w:pPr>
            <w:r>
              <w:rPr>
                <w:color w:val="231F20"/>
                <w:spacing w:val="-5"/>
                <w:w w:val="95"/>
                <w:sz w:val="14"/>
              </w:rPr>
              <w:t>1.8</w:t>
            </w:r>
          </w:p>
        </w:tc>
        <w:tc>
          <w:tcPr>
            <w:tcW w:w="1728" w:type="dxa"/>
          </w:tcPr>
          <w:p>
            <w:pPr>
              <w:pStyle w:val="TableParagraph"/>
              <w:ind w:left="217" w:right="12"/>
              <w:rPr>
                <w:sz w:val="14"/>
              </w:rPr>
            </w:pPr>
            <w:r>
              <w:rPr>
                <w:color w:val="231F20"/>
                <w:spacing w:val="-5"/>
                <w:w w:val="95"/>
                <w:sz w:val="14"/>
              </w:rPr>
              <w:t>2.2</w:t>
            </w:r>
          </w:p>
        </w:tc>
      </w:tr>
      <w:tr>
        <w:trPr>
          <w:trHeight w:val="259" w:hRule="atLeast"/>
        </w:trPr>
        <w:tc>
          <w:tcPr>
            <w:tcW w:w="1500" w:type="dxa"/>
            <w:shd w:val="clear" w:color="auto" w:fill="D4E3F5"/>
          </w:tcPr>
          <w:p>
            <w:pPr>
              <w:pStyle w:val="TableParagraph"/>
              <w:ind w:left="80"/>
              <w:jc w:val="left"/>
              <w:rPr>
                <w:sz w:val="14"/>
              </w:rPr>
            </w:pPr>
            <w:r>
              <w:rPr>
                <w:color w:val="231F20"/>
                <w:spacing w:val="-2"/>
                <w:w w:val="90"/>
                <w:sz w:val="14"/>
              </w:rPr>
              <w:t>Djibouti</w:t>
            </w:r>
          </w:p>
        </w:tc>
        <w:tc>
          <w:tcPr>
            <w:tcW w:w="1573" w:type="dxa"/>
            <w:shd w:val="clear" w:color="auto" w:fill="D4E3F5"/>
          </w:tcPr>
          <w:p>
            <w:pPr>
              <w:pStyle w:val="TableParagraph"/>
              <w:ind w:left="723"/>
              <w:jc w:val="left"/>
              <w:rPr>
                <w:sz w:val="14"/>
              </w:rPr>
            </w:pPr>
            <w:r>
              <w:rPr>
                <w:color w:val="231F20"/>
                <w:spacing w:val="-5"/>
                <w:w w:val="95"/>
                <w:sz w:val="14"/>
              </w:rPr>
              <w:t>24</w:t>
            </w:r>
          </w:p>
        </w:tc>
        <w:tc>
          <w:tcPr>
            <w:tcW w:w="1564" w:type="dxa"/>
            <w:shd w:val="clear" w:color="auto" w:fill="D4E3F5"/>
          </w:tcPr>
          <w:p>
            <w:pPr>
              <w:pStyle w:val="TableParagraph"/>
              <w:ind w:left="76" w:right="85"/>
              <w:rPr>
                <w:sz w:val="14"/>
              </w:rPr>
            </w:pPr>
            <w:r>
              <w:rPr>
                <w:color w:val="231F20"/>
                <w:spacing w:val="-5"/>
                <w:w w:val="95"/>
                <w:sz w:val="14"/>
              </w:rPr>
              <w:t>5.0</w:t>
            </w:r>
          </w:p>
        </w:tc>
        <w:tc>
          <w:tcPr>
            <w:tcW w:w="1318" w:type="dxa"/>
            <w:shd w:val="clear" w:color="auto" w:fill="D4E3F5"/>
          </w:tcPr>
          <w:p>
            <w:pPr>
              <w:pStyle w:val="TableParagraph"/>
              <w:ind w:left="179"/>
              <w:rPr>
                <w:sz w:val="14"/>
              </w:rPr>
            </w:pPr>
            <w:r>
              <w:rPr>
                <w:color w:val="231F20"/>
                <w:spacing w:val="-5"/>
                <w:w w:val="95"/>
                <w:sz w:val="14"/>
              </w:rPr>
              <w:t>4.9</w:t>
            </w:r>
          </w:p>
        </w:tc>
        <w:tc>
          <w:tcPr>
            <w:tcW w:w="1728" w:type="dxa"/>
            <w:shd w:val="clear" w:color="auto" w:fill="D4E3F5"/>
          </w:tcPr>
          <w:p>
            <w:pPr>
              <w:pStyle w:val="TableParagraph"/>
              <w:ind w:left="217" w:right="76"/>
              <w:rPr>
                <w:sz w:val="14"/>
              </w:rPr>
            </w:pPr>
            <w:r>
              <w:rPr>
                <w:color w:val="231F20"/>
                <w:spacing w:val="-4"/>
                <w:w w:val="95"/>
                <w:sz w:val="14"/>
              </w:rPr>
              <w:t>12.0</w:t>
            </w:r>
          </w:p>
        </w:tc>
      </w:tr>
      <w:tr>
        <w:trPr>
          <w:trHeight w:val="259" w:hRule="atLeast"/>
        </w:trPr>
        <w:tc>
          <w:tcPr>
            <w:tcW w:w="1500" w:type="dxa"/>
          </w:tcPr>
          <w:p>
            <w:pPr>
              <w:pStyle w:val="TableParagraph"/>
              <w:ind w:left="80"/>
              <w:jc w:val="left"/>
              <w:rPr>
                <w:sz w:val="14"/>
              </w:rPr>
            </w:pPr>
            <w:r>
              <w:rPr>
                <w:color w:val="231F20"/>
                <w:w w:val="75"/>
                <w:sz w:val="14"/>
              </w:rPr>
              <w:t>Dominican</w:t>
            </w:r>
            <w:r>
              <w:rPr>
                <w:color w:val="231F20"/>
                <w:spacing w:val="25"/>
                <w:sz w:val="14"/>
              </w:rPr>
              <w:t> </w:t>
            </w:r>
            <w:r>
              <w:rPr>
                <w:color w:val="231F20"/>
                <w:spacing w:val="-2"/>
                <w:w w:val="90"/>
                <w:sz w:val="14"/>
              </w:rPr>
              <w:t>Republic</w:t>
            </w:r>
          </w:p>
        </w:tc>
        <w:tc>
          <w:tcPr>
            <w:tcW w:w="1573" w:type="dxa"/>
          </w:tcPr>
          <w:p>
            <w:pPr>
              <w:pStyle w:val="TableParagraph"/>
              <w:ind w:left="717"/>
              <w:jc w:val="left"/>
              <w:rPr>
                <w:sz w:val="14"/>
              </w:rPr>
            </w:pPr>
            <w:r>
              <w:rPr>
                <w:color w:val="231F20"/>
                <w:spacing w:val="-5"/>
                <w:w w:val="95"/>
                <w:sz w:val="14"/>
              </w:rPr>
              <w:t>53</w:t>
            </w:r>
          </w:p>
        </w:tc>
        <w:tc>
          <w:tcPr>
            <w:tcW w:w="1564" w:type="dxa"/>
          </w:tcPr>
          <w:p>
            <w:pPr>
              <w:pStyle w:val="TableParagraph"/>
              <w:ind w:left="71" w:right="85"/>
              <w:rPr>
                <w:sz w:val="14"/>
              </w:rPr>
            </w:pPr>
            <w:r>
              <w:rPr>
                <w:color w:val="231F20"/>
                <w:spacing w:val="-5"/>
                <w:w w:val="95"/>
                <w:sz w:val="14"/>
              </w:rPr>
              <w:t>2.7</w:t>
            </w:r>
          </w:p>
        </w:tc>
        <w:tc>
          <w:tcPr>
            <w:tcW w:w="1318" w:type="dxa"/>
          </w:tcPr>
          <w:p>
            <w:pPr>
              <w:pStyle w:val="TableParagraph"/>
              <w:ind w:left="178"/>
              <w:rPr>
                <w:sz w:val="14"/>
              </w:rPr>
            </w:pPr>
            <w:r>
              <w:rPr>
                <w:color w:val="231F20"/>
                <w:spacing w:val="-5"/>
                <w:w w:val="95"/>
                <w:sz w:val="14"/>
              </w:rPr>
              <w:t>2.8</w:t>
            </w:r>
          </w:p>
        </w:tc>
        <w:tc>
          <w:tcPr>
            <w:tcW w:w="1728" w:type="dxa"/>
          </w:tcPr>
          <w:p>
            <w:pPr>
              <w:pStyle w:val="TableParagraph"/>
              <w:ind w:left="217" w:right="32"/>
              <w:rPr>
                <w:sz w:val="14"/>
              </w:rPr>
            </w:pPr>
            <w:r>
              <w:rPr>
                <w:color w:val="231F20"/>
                <w:spacing w:val="-5"/>
                <w:w w:val="95"/>
                <w:sz w:val="14"/>
              </w:rPr>
              <w:t>5.1</w:t>
            </w:r>
          </w:p>
        </w:tc>
      </w:tr>
      <w:tr>
        <w:trPr>
          <w:trHeight w:val="259" w:hRule="atLeast"/>
        </w:trPr>
        <w:tc>
          <w:tcPr>
            <w:tcW w:w="1500" w:type="dxa"/>
            <w:shd w:val="clear" w:color="auto" w:fill="D4E3F5"/>
          </w:tcPr>
          <w:p>
            <w:pPr>
              <w:pStyle w:val="TableParagraph"/>
              <w:ind w:left="80"/>
              <w:jc w:val="left"/>
              <w:rPr>
                <w:sz w:val="14"/>
              </w:rPr>
            </w:pPr>
            <w:r>
              <w:rPr>
                <w:color w:val="231F20"/>
                <w:w w:val="75"/>
                <w:sz w:val="14"/>
              </w:rPr>
              <w:t>Egypt,</w:t>
            </w:r>
            <w:r>
              <w:rPr>
                <w:color w:val="231F20"/>
                <w:spacing w:val="7"/>
                <w:sz w:val="14"/>
              </w:rPr>
              <w:t> </w:t>
            </w:r>
            <w:r>
              <w:rPr>
                <w:color w:val="231F20"/>
                <w:w w:val="75"/>
                <w:sz w:val="14"/>
              </w:rPr>
              <w:t>Arab</w:t>
            </w:r>
            <w:r>
              <w:rPr>
                <w:color w:val="231F20"/>
                <w:spacing w:val="9"/>
                <w:sz w:val="14"/>
              </w:rPr>
              <w:t> </w:t>
            </w:r>
            <w:r>
              <w:rPr>
                <w:color w:val="231F20"/>
                <w:spacing w:val="-4"/>
                <w:w w:val="75"/>
                <w:sz w:val="14"/>
              </w:rPr>
              <w:t>Rep.</w:t>
            </w:r>
          </w:p>
        </w:tc>
        <w:tc>
          <w:tcPr>
            <w:tcW w:w="1573" w:type="dxa"/>
            <w:shd w:val="clear" w:color="auto" w:fill="D4E3F5"/>
          </w:tcPr>
          <w:p>
            <w:pPr>
              <w:pStyle w:val="TableParagraph"/>
              <w:ind w:left="668"/>
              <w:jc w:val="left"/>
              <w:rPr>
                <w:sz w:val="14"/>
              </w:rPr>
            </w:pPr>
            <w:r>
              <w:rPr>
                <w:color w:val="231F20"/>
                <w:spacing w:val="-2"/>
                <w:w w:val="95"/>
                <w:sz w:val="14"/>
              </w:rPr>
              <w:t>107.5</w:t>
            </w:r>
          </w:p>
        </w:tc>
        <w:tc>
          <w:tcPr>
            <w:tcW w:w="1564" w:type="dxa"/>
            <w:shd w:val="clear" w:color="auto" w:fill="D4E3F5"/>
          </w:tcPr>
          <w:p>
            <w:pPr>
              <w:pStyle w:val="TableParagraph"/>
              <w:ind w:left="77" w:right="85"/>
              <w:rPr>
                <w:sz w:val="14"/>
              </w:rPr>
            </w:pPr>
            <w:r>
              <w:rPr>
                <w:color w:val="231F20"/>
                <w:spacing w:val="-5"/>
                <w:w w:val="95"/>
                <w:sz w:val="14"/>
              </w:rPr>
              <w:t>8.3</w:t>
            </w:r>
          </w:p>
        </w:tc>
        <w:tc>
          <w:tcPr>
            <w:tcW w:w="1318" w:type="dxa"/>
            <w:shd w:val="clear" w:color="auto" w:fill="D4E3F5"/>
          </w:tcPr>
          <w:p>
            <w:pPr>
              <w:pStyle w:val="TableParagraph"/>
              <w:ind w:left="172"/>
              <w:rPr>
                <w:sz w:val="14"/>
              </w:rPr>
            </w:pPr>
            <w:r>
              <w:rPr>
                <w:color w:val="231F20"/>
                <w:spacing w:val="-5"/>
                <w:w w:val="95"/>
                <w:sz w:val="14"/>
              </w:rPr>
              <w:t>8.7</w:t>
            </w:r>
          </w:p>
        </w:tc>
        <w:tc>
          <w:tcPr>
            <w:tcW w:w="1728" w:type="dxa"/>
            <w:shd w:val="clear" w:color="auto" w:fill="D4E3F5"/>
          </w:tcPr>
          <w:p>
            <w:pPr>
              <w:pStyle w:val="TableParagraph"/>
              <w:ind w:left="217" w:right="68"/>
              <w:rPr>
                <w:sz w:val="14"/>
              </w:rPr>
            </w:pPr>
            <w:r>
              <w:rPr>
                <w:color w:val="231F20"/>
                <w:spacing w:val="-4"/>
                <w:w w:val="95"/>
                <w:sz w:val="14"/>
              </w:rPr>
              <w:t>11.0</w:t>
            </w:r>
          </w:p>
        </w:tc>
      </w:tr>
      <w:tr>
        <w:trPr>
          <w:trHeight w:val="259" w:hRule="atLeast"/>
        </w:trPr>
        <w:tc>
          <w:tcPr>
            <w:tcW w:w="1500" w:type="dxa"/>
          </w:tcPr>
          <w:p>
            <w:pPr>
              <w:pStyle w:val="TableParagraph"/>
              <w:ind w:left="80"/>
              <w:jc w:val="left"/>
              <w:rPr>
                <w:sz w:val="14"/>
              </w:rPr>
            </w:pPr>
            <w:r>
              <w:rPr>
                <w:color w:val="231F20"/>
                <w:w w:val="70"/>
                <w:sz w:val="14"/>
              </w:rPr>
              <w:t>El</w:t>
            </w:r>
            <w:r>
              <w:rPr>
                <w:color w:val="231F20"/>
                <w:spacing w:val="-6"/>
                <w:sz w:val="14"/>
              </w:rPr>
              <w:t> </w:t>
            </w:r>
            <w:r>
              <w:rPr>
                <w:color w:val="231F20"/>
                <w:spacing w:val="-2"/>
                <w:w w:val="85"/>
                <w:sz w:val="14"/>
              </w:rPr>
              <w:t>Salvador</w:t>
            </w:r>
          </w:p>
        </w:tc>
        <w:tc>
          <w:tcPr>
            <w:tcW w:w="1573" w:type="dxa"/>
          </w:tcPr>
          <w:p>
            <w:pPr>
              <w:pStyle w:val="TableParagraph"/>
              <w:ind w:left="719"/>
              <w:jc w:val="left"/>
              <w:rPr>
                <w:sz w:val="14"/>
              </w:rPr>
            </w:pPr>
            <w:r>
              <w:rPr>
                <w:color w:val="231F20"/>
                <w:spacing w:val="-5"/>
                <w:w w:val="95"/>
                <w:sz w:val="14"/>
              </w:rPr>
              <w:t>21</w:t>
            </w:r>
          </w:p>
        </w:tc>
        <w:tc>
          <w:tcPr>
            <w:tcW w:w="1564" w:type="dxa"/>
          </w:tcPr>
          <w:p>
            <w:pPr>
              <w:pStyle w:val="TableParagraph"/>
              <w:ind w:left="82" w:right="85"/>
              <w:rPr>
                <w:sz w:val="14"/>
              </w:rPr>
            </w:pPr>
            <w:r>
              <w:rPr>
                <w:color w:val="231F20"/>
                <w:spacing w:val="-5"/>
                <w:w w:val="95"/>
                <w:sz w:val="14"/>
              </w:rPr>
              <w:t>1.6</w:t>
            </w:r>
          </w:p>
        </w:tc>
        <w:tc>
          <w:tcPr>
            <w:tcW w:w="1318" w:type="dxa"/>
          </w:tcPr>
          <w:p>
            <w:pPr>
              <w:pStyle w:val="TableParagraph"/>
              <w:ind w:left="192" w:right="8"/>
              <w:rPr>
                <w:sz w:val="14"/>
              </w:rPr>
            </w:pPr>
            <w:r>
              <w:rPr>
                <w:color w:val="231F20"/>
                <w:spacing w:val="-5"/>
                <w:w w:val="95"/>
                <w:sz w:val="14"/>
              </w:rPr>
              <w:t>1.6</w:t>
            </w:r>
          </w:p>
        </w:tc>
        <w:tc>
          <w:tcPr>
            <w:tcW w:w="1728" w:type="dxa"/>
          </w:tcPr>
          <w:p>
            <w:pPr>
              <w:pStyle w:val="TableParagraph"/>
              <w:ind w:left="217" w:right="12"/>
              <w:rPr>
                <w:sz w:val="14"/>
              </w:rPr>
            </w:pPr>
            <w:r>
              <w:rPr>
                <w:color w:val="231F20"/>
                <w:spacing w:val="-5"/>
                <w:w w:val="95"/>
                <w:sz w:val="14"/>
              </w:rPr>
              <w:t>2.2</w:t>
            </w:r>
          </w:p>
        </w:tc>
      </w:tr>
      <w:tr>
        <w:trPr>
          <w:trHeight w:val="259" w:hRule="atLeast"/>
        </w:trPr>
        <w:tc>
          <w:tcPr>
            <w:tcW w:w="1500" w:type="dxa"/>
            <w:shd w:val="clear" w:color="auto" w:fill="D4E3F5"/>
          </w:tcPr>
          <w:p>
            <w:pPr>
              <w:pStyle w:val="TableParagraph"/>
              <w:ind w:left="80"/>
              <w:jc w:val="left"/>
              <w:rPr>
                <w:sz w:val="14"/>
              </w:rPr>
            </w:pPr>
            <w:r>
              <w:rPr>
                <w:color w:val="231F20"/>
                <w:spacing w:val="-2"/>
                <w:w w:val="85"/>
                <w:sz w:val="14"/>
              </w:rPr>
              <w:t>Estonia</w:t>
            </w:r>
          </w:p>
        </w:tc>
        <w:tc>
          <w:tcPr>
            <w:tcW w:w="1573" w:type="dxa"/>
            <w:shd w:val="clear" w:color="auto" w:fill="D4E3F5"/>
          </w:tcPr>
          <w:p>
            <w:pPr>
              <w:pStyle w:val="TableParagraph"/>
              <w:ind w:left="717"/>
              <w:jc w:val="left"/>
              <w:rPr>
                <w:sz w:val="14"/>
              </w:rPr>
            </w:pPr>
            <w:r>
              <w:rPr>
                <w:color w:val="231F20"/>
                <w:spacing w:val="-4"/>
                <w:w w:val="95"/>
                <w:sz w:val="14"/>
              </w:rPr>
              <w:t>69.5</w:t>
            </w:r>
          </w:p>
        </w:tc>
        <w:tc>
          <w:tcPr>
            <w:tcW w:w="1564" w:type="dxa"/>
            <w:shd w:val="clear" w:color="auto" w:fill="D4E3F5"/>
          </w:tcPr>
          <w:p>
            <w:pPr>
              <w:pStyle w:val="TableParagraph"/>
              <w:ind w:left="83" w:right="85"/>
              <w:rPr>
                <w:sz w:val="14"/>
              </w:rPr>
            </w:pPr>
            <w:r>
              <w:rPr>
                <w:color w:val="231F20"/>
                <w:spacing w:val="-5"/>
                <w:w w:val="95"/>
                <w:sz w:val="14"/>
              </w:rPr>
              <w:t>1.8</w:t>
            </w:r>
          </w:p>
        </w:tc>
        <w:tc>
          <w:tcPr>
            <w:tcW w:w="1318" w:type="dxa"/>
            <w:shd w:val="clear" w:color="auto" w:fill="D4E3F5"/>
          </w:tcPr>
          <w:p>
            <w:pPr>
              <w:pStyle w:val="TableParagraph"/>
              <w:ind w:left="192" w:right="11"/>
              <w:rPr>
                <w:sz w:val="14"/>
              </w:rPr>
            </w:pPr>
            <w:r>
              <w:rPr>
                <w:color w:val="231F20"/>
                <w:spacing w:val="-5"/>
                <w:w w:val="95"/>
                <w:sz w:val="14"/>
              </w:rPr>
              <w:t>1.7</w:t>
            </w:r>
          </w:p>
        </w:tc>
        <w:tc>
          <w:tcPr>
            <w:tcW w:w="1728" w:type="dxa"/>
            <w:shd w:val="clear" w:color="auto" w:fill="D4E3F5"/>
          </w:tcPr>
          <w:p>
            <w:pPr>
              <w:pStyle w:val="TableParagraph"/>
              <w:ind w:left="217" w:right="14"/>
              <w:rPr>
                <w:sz w:val="14"/>
              </w:rPr>
            </w:pPr>
            <w:r>
              <w:rPr>
                <w:color w:val="231F20"/>
                <w:spacing w:val="-5"/>
                <w:w w:val="95"/>
                <w:sz w:val="14"/>
              </w:rPr>
              <w:t>3.0</w:t>
            </w:r>
          </w:p>
        </w:tc>
      </w:tr>
      <w:tr>
        <w:trPr>
          <w:trHeight w:val="259" w:hRule="atLeast"/>
        </w:trPr>
        <w:tc>
          <w:tcPr>
            <w:tcW w:w="1500" w:type="dxa"/>
          </w:tcPr>
          <w:p>
            <w:pPr>
              <w:pStyle w:val="TableParagraph"/>
              <w:ind w:left="80"/>
              <w:jc w:val="left"/>
              <w:rPr>
                <w:sz w:val="14"/>
              </w:rPr>
            </w:pPr>
            <w:r>
              <w:rPr>
                <w:color w:val="231F20"/>
                <w:spacing w:val="-2"/>
                <w:w w:val="90"/>
                <w:sz w:val="14"/>
              </w:rPr>
              <w:t>Finland</w:t>
            </w:r>
          </w:p>
        </w:tc>
        <w:tc>
          <w:tcPr>
            <w:tcW w:w="1573" w:type="dxa"/>
          </w:tcPr>
          <w:p>
            <w:pPr>
              <w:pStyle w:val="TableParagraph"/>
              <w:ind w:left="653"/>
              <w:jc w:val="left"/>
              <w:rPr>
                <w:sz w:val="14"/>
              </w:rPr>
            </w:pPr>
            <w:r>
              <w:rPr>
                <w:color w:val="231F20"/>
                <w:spacing w:val="-5"/>
                <w:w w:val="95"/>
                <w:sz w:val="14"/>
              </w:rPr>
              <w:t>104</w:t>
            </w:r>
          </w:p>
        </w:tc>
        <w:tc>
          <w:tcPr>
            <w:tcW w:w="1564" w:type="dxa"/>
          </w:tcPr>
          <w:p>
            <w:pPr>
              <w:pStyle w:val="TableParagraph"/>
              <w:ind w:left="84" w:right="85"/>
              <w:rPr>
                <w:sz w:val="14"/>
              </w:rPr>
            </w:pPr>
            <w:r>
              <w:rPr>
                <w:color w:val="231F20"/>
                <w:spacing w:val="-5"/>
                <w:w w:val="95"/>
                <w:sz w:val="14"/>
              </w:rPr>
              <w:t>1.2</w:t>
            </w:r>
          </w:p>
        </w:tc>
        <w:tc>
          <w:tcPr>
            <w:tcW w:w="1318" w:type="dxa"/>
          </w:tcPr>
          <w:p>
            <w:pPr>
              <w:pStyle w:val="TableParagraph"/>
              <w:ind w:left="192" w:right="11"/>
              <w:rPr>
                <w:sz w:val="14"/>
              </w:rPr>
            </w:pPr>
            <w:r>
              <w:rPr>
                <w:color w:val="231F20"/>
                <w:spacing w:val="-5"/>
                <w:w w:val="95"/>
                <w:sz w:val="14"/>
              </w:rPr>
              <w:t>1.7</w:t>
            </w:r>
          </w:p>
        </w:tc>
        <w:tc>
          <w:tcPr>
            <w:tcW w:w="1728" w:type="dxa"/>
          </w:tcPr>
          <w:p>
            <w:pPr>
              <w:pStyle w:val="TableParagraph"/>
              <w:ind w:left="217" w:right="31"/>
              <w:rPr>
                <w:sz w:val="14"/>
              </w:rPr>
            </w:pPr>
            <w:r>
              <w:rPr>
                <w:color w:val="231F20"/>
                <w:spacing w:val="-5"/>
                <w:w w:val="95"/>
                <w:sz w:val="14"/>
              </w:rPr>
              <w:t>2.1</w:t>
            </w:r>
          </w:p>
        </w:tc>
      </w:tr>
      <w:tr>
        <w:trPr>
          <w:trHeight w:val="259" w:hRule="atLeast"/>
        </w:trPr>
        <w:tc>
          <w:tcPr>
            <w:tcW w:w="1500" w:type="dxa"/>
            <w:shd w:val="clear" w:color="auto" w:fill="D4E3F5"/>
          </w:tcPr>
          <w:p>
            <w:pPr>
              <w:pStyle w:val="TableParagraph"/>
              <w:ind w:left="80"/>
              <w:jc w:val="left"/>
              <w:rPr>
                <w:sz w:val="14"/>
              </w:rPr>
            </w:pPr>
            <w:r>
              <w:rPr>
                <w:color w:val="231F20"/>
                <w:spacing w:val="-2"/>
                <w:w w:val="85"/>
                <w:sz w:val="14"/>
              </w:rPr>
              <w:t>France</w:t>
            </w:r>
          </w:p>
        </w:tc>
        <w:tc>
          <w:tcPr>
            <w:tcW w:w="1573" w:type="dxa"/>
            <w:shd w:val="clear" w:color="auto" w:fill="D4E3F5"/>
          </w:tcPr>
          <w:p>
            <w:pPr>
              <w:pStyle w:val="TableParagraph"/>
              <w:ind w:left="655"/>
              <w:jc w:val="left"/>
              <w:rPr>
                <w:sz w:val="14"/>
              </w:rPr>
            </w:pPr>
            <w:r>
              <w:rPr>
                <w:color w:val="231F20"/>
                <w:spacing w:val="-2"/>
                <w:w w:val="95"/>
                <w:sz w:val="14"/>
              </w:rPr>
              <w:t>149.5</w:t>
            </w:r>
          </w:p>
        </w:tc>
        <w:tc>
          <w:tcPr>
            <w:tcW w:w="1564" w:type="dxa"/>
            <w:shd w:val="clear" w:color="auto" w:fill="D4E3F5"/>
          </w:tcPr>
          <w:p>
            <w:pPr>
              <w:pStyle w:val="TableParagraph"/>
              <w:ind w:left="58" w:right="85"/>
              <w:rPr>
                <w:sz w:val="14"/>
              </w:rPr>
            </w:pPr>
            <w:r>
              <w:rPr>
                <w:color w:val="231F20"/>
                <w:spacing w:val="-5"/>
                <w:w w:val="95"/>
                <w:sz w:val="14"/>
              </w:rPr>
              <w:t>2.1</w:t>
            </w:r>
          </w:p>
        </w:tc>
        <w:tc>
          <w:tcPr>
            <w:tcW w:w="1318" w:type="dxa"/>
            <w:shd w:val="clear" w:color="auto" w:fill="D4E3F5"/>
          </w:tcPr>
          <w:p>
            <w:pPr>
              <w:pStyle w:val="TableParagraph"/>
              <w:ind w:left="192" w:right="7"/>
              <w:rPr>
                <w:sz w:val="14"/>
              </w:rPr>
            </w:pPr>
            <w:r>
              <w:rPr>
                <w:color w:val="231F20"/>
                <w:spacing w:val="-5"/>
                <w:w w:val="95"/>
                <w:sz w:val="14"/>
              </w:rPr>
              <w:t>1.3</w:t>
            </w:r>
          </w:p>
        </w:tc>
        <w:tc>
          <w:tcPr>
            <w:tcW w:w="1728" w:type="dxa"/>
            <w:shd w:val="clear" w:color="auto" w:fill="D4E3F5"/>
          </w:tcPr>
          <w:p>
            <w:pPr>
              <w:pStyle w:val="TableParagraph"/>
              <w:ind w:left="217" w:right="13"/>
              <w:rPr>
                <w:sz w:val="14"/>
              </w:rPr>
            </w:pPr>
            <w:r>
              <w:rPr>
                <w:color w:val="231F20"/>
                <w:spacing w:val="-5"/>
                <w:w w:val="95"/>
                <w:sz w:val="14"/>
              </w:rPr>
              <w:t>2.8</w:t>
            </w:r>
          </w:p>
        </w:tc>
      </w:tr>
      <w:tr>
        <w:trPr>
          <w:trHeight w:val="259" w:hRule="atLeast"/>
        </w:trPr>
        <w:tc>
          <w:tcPr>
            <w:tcW w:w="1500" w:type="dxa"/>
          </w:tcPr>
          <w:p>
            <w:pPr>
              <w:pStyle w:val="TableParagraph"/>
              <w:ind w:left="80"/>
              <w:jc w:val="left"/>
              <w:rPr>
                <w:sz w:val="14"/>
              </w:rPr>
            </w:pPr>
            <w:r>
              <w:rPr>
                <w:color w:val="231F20"/>
                <w:spacing w:val="-2"/>
                <w:w w:val="85"/>
                <w:sz w:val="14"/>
              </w:rPr>
              <w:t>Gabon</w:t>
            </w:r>
          </w:p>
        </w:tc>
        <w:tc>
          <w:tcPr>
            <w:tcW w:w="1573" w:type="dxa"/>
          </w:tcPr>
          <w:p>
            <w:pPr>
              <w:pStyle w:val="TableParagraph"/>
              <w:ind w:left="718"/>
              <w:jc w:val="left"/>
              <w:rPr>
                <w:sz w:val="14"/>
              </w:rPr>
            </w:pPr>
            <w:r>
              <w:rPr>
                <w:color w:val="231F20"/>
                <w:spacing w:val="-5"/>
                <w:w w:val="95"/>
                <w:sz w:val="14"/>
              </w:rPr>
              <w:t>32</w:t>
            </w:r>
          </w:p>
        </w:tc>
        <w:tc>
          <w:tcPr>
            <w:tcW w:w="1564" w:type="dxa"/>
          </w:tcPr>
          <w:p>
            <w:pPr>
              <w:pStyle w:val="TableParagraph"/>
              <w:ind w:left="10" w:right="85"/>
              <w:rPr>
                <w:sz w:val="14"/>
              </w:rPr>
            </w:pPr>
            <w:r>
              <w:rPr>
                <w:color w:val="231F20"/>
                <w:spacing w:val="-4"/>
                <w:w w:val="95"/>
                <w:sz w:val="14"/>
              </w:rPr>
              <w:t>12.7</w:t>
            </w:r>
          </w:p>
        </w:tc>
        <w:tc>
          <w:tcPr>
            <w:tcW w:w="1318" w:type="dxa"/>
          </w:tcPr>
          <w:p>
            <w:pPr>
              <w:pStyle w:val="TableParagraph"/>
              <w:ind w:left="178"/>
              <w:rPr>
                <w:sz w:val="14"/>
              </w:rPr>
            </w:pPr>
            <w:r>
              <w:rPr>
                <w:color w:val="231F20"/>
                <w:spacing w:val="-5"/>
                <w:w w:val="95"/>
                <w:sz w:val="14"/>
              </w:rPr>
              <w:t>8.2</w:t>
            </w:r>
          </w:p>
        </w:tc>
        <w:tc>
          <w:tcPr>
            <w:tcW w:w="1728" w:type="dxa"/>
          </w:tcPr>
          <w:p>
            <w:pPr>
              <w:pStyle w:val="TableParagraph"/>
              <w:ind w:left="217" w:right="71"/>
              <w:rPr>
                <w:sz w:val="14"/>
              </w:rPr>
            </w:pPr>
            <w:r>
              <w:rPr>
                <w:color w:val="231F20"/>
                <w:spacing w:val="-4"/>
                <w:w w:val="95"/>
                <w:sz w:val="14"/>
              </w:rPr>
              <w:t>74.3</w:t>
            </w:r>
          </w:p>
        </w:tc>
      </w:tr>
      <w:tr>
        <w:trPr>
          <w:trHeight w:val="259" w:hRule="atLeast"/>
        </w:trPr>
        <w:tc>
          <w:tcPr>
            <w:tcW w:w="1500" w:type="dxa"/>
            <w:shd w:val="clear" w:color="auto" w:fill="D4E3F5"/>
          </w:tcPr>
          <w:p>
            <w:pPr>
              <w:pStyle w:val="TableParagraph"/>
              <w:ind w:left="80"/>
              <w:jc w:val="left"/>
              <w:rPr>
                <w:sz w:val="14"/>
              </w:rPr>
            </w:pPr>
            <w:r>
              <w:rPr>
                <w:color w:val="231F20"/>
                <w:spacing w:val="-2"/>
                <w:w w:val="85"/>
                <w:sz w:val="14"/>
              </w:rPr>
              <w:t>Georgia</w:t>
            </w:r>
          </w:p>
        </w:tc>
        <w:tc>
          <w:tcPr>
            <w:tcW w:w="1573" w:type="dxa"/>
            <w:shd w:val="clear" w:color="auto" w:fill="D4E3F5"/>
          </w:tcPr>
          <w:p>
            <w:pPr>
              <w:pStyle w:val="TableParagraph"/>
              <w:ind w:left="730"/>
              <w:jc w:val="left"/>
              <w:rPr>
                <w:sz w:val="14"/>
              </w:rPr>
            </w:pPr>
            <w:r>
              <w:rPr>
                <w:color w:val="231F20"/>
                <w:spacing w:val="-4"/>
                <w:w w:val="95"/>
                <w:sz w:val="14"/>
              </w:rPr>
              <w:t>67.5</w:t>
            </w:r>
          </w:p>
        </w:tc>
        <w:tc>
          <w:tcPr>
            <w:tcW w:w="1564" w:type="dxa"/>
            <w:shd w:val="clear" w:color="auto" w:fill="D4E3F5"/>
          </w:tcPr>
          <w:p>
            <w:pPr>
              <w:pStyle w:val="TableParagraph"/>
              <w:ind w:left="71" w:right="85"/>
              <w:rPr>
                <w:sz w:val="14"/>
              </w:rPr>
            </w:pPr>
            <w:r>
              <w:rPr>
                <w:color w:val="231F20"/>
                <w:spacing w:val="-5"/>
                <w:w w:val="95"/>
                <w:sz w:val="14"/>
              </w:rPr>
              <w:t>2.7</w:t>
            </w:r>
          </w:p>
        </w:tc>
        <w:tc>
          <w:tcPr>
            <w:tcW w:w="1318" w:type="dxa"/>
            <w:shd w:val="clear" w:color="auto" w:fill="D4E3F5"/>
          </w:tcPr>
          <w:p>
            <w:pPr>
              <w:pStyle w:val="TableParagraph"/>
              <w:ind w:left="178"/>
              <w:rPr>
                <w:sz w:val="14"/>
              </w:rPr>
            </w:pPr>
            <w:r>
              <w:rPr>
                <w:color w:val="231F20"/>
                <w:spacing w:val="-5"/>
                <w:w w:val="95"/>
                <w:sz w:val="14"/>
              </w:rPr>
              <w:t>2.9</w:t>
            </w:r>
          </w:p>
        </w:tc>
        <w:tc>
          <w:tcPr>
            <w:tcW w:w="1728" w:type="dxa"/>
            <w:shd w:val="clear" w:color="auto" w:fill="D4E3F5"/>
          </w:tcPr>
          <w:p>
            <w:pPr>
              <w:pStyle w:val="TableParagraph"/>
              <w:ind w:left="217" w:right="13"/>
              <w:rPr>
                <w:sz w:val="14"/>
              </w:rPr>
            </w:pPr>
            <w:r>
              <w:rPr>
                <w:color w:val="231F20"/>
                <w:spacing w:val="-5"/>
                <w:w w:val="95"/>
                <w:sz w:val="14"/>
              </w:rPr>
              <w:t>3.2</w:t>
            </w:r>
          </w:p>
        </w:tc>
      </w:tr>
      <w:tr>
        <w:trPr>
          <w:trHeight w:val="259" w:hRule="atLeast"/>
        </w:trPr>
        <w:tc>
          <w:tcPr>
            <w:tcW w:w="1500" w:type="dxa"/>
          </w:tcPr>
          <w:p>
            <w:pPr>
              <w:pStyle w:val="TableParagraph"/>
              <w:ind w:left="80"/>
              <w:jc w:val="left"/>
              <w:rPr>
                <w:sz w:val="14"/>
              </w:rPr>
            </w:pPr>
            <w:r>
              <w:rPr>
                <w:color w:val="231F20"/>
                <w:spacing w:val="-2"/>
                <w:w w:val="85"/>
                <w:sz w:val="14"/>
              </w:rPr>
              <w:t>Germany</w:t>
            </w:r>
          </w:p>
        </w:tc>
        <w:tc>
          <w:tcPr>
            <w:tcW w:w="1573" w:type="dxa"/>
          </w:tcPr>
          <w:p>
            <w:pPr>
              <w:pStyle w:val="TableParagraph"/>
              <w:ind w:left="655"/>
              <w:jc w:val="left"/>
              <w:rPr>
                <w:sz w:val="14"/>
              </w:rPr>
            </w:pPr>
            <w:r>
              <w:rPr>
                <w:color w:val="231F20"/>
                <w:spacing w:val="-2"/>
                <w:w w:val="95"/>
                <w:sz w:val="14"/>
              </w:rPr>
              <w:t>149.5</w:t>
            </w:r>
          </w:p>
        </w:tc>
        <w:tc>
          <w:tcPr>
            <w:tcW w:w="1564" w:type="dxa"/>
          </w:tcPr>
          <w:p>
            <w:pPr>
              <w:pStyle w:val="TableParagraph"/>
              <w:ind w:left="76" w:right="85"/>
              <w:rPr>
                <w:sz w:val="14"/>
              </w:rPr>
            </w:pPr>
            <w:r>
              <w:rPr>
                <w:color w:val="231F20"/>
                <w:spacing w:val="-5"/>
                <w:w w:val="95"/>
                <w:sz w:val="14"/>
              </w:rPr>
              <w:t>2.8</w:t>
            </w:r>
          </w:p>
        </w:tc>
        <w:tc>
          <w:tcPr>
            <w:tcW w:w="1318" w:type="dxa"/>
          </w:tcPr>
          <w:p>
            <w:pPr>
              <w:pStyle w:val="TableParagraph"/>
              <w:ind w:left="192" w:right="7"/>
              <w:rPr>
                <w:sz w:val="14"/>
              </w:rPr>
            </w:pPr>
            <w:r>
              <w:rPr>
                <w:color w:val="231F20"/>
                <w:spacing w:val="-5"/>
                <w:w w:val="95"/>
                <w:sz w:val="14"/>
              </w:rPr>
              <w:t>1.5</w:t>
            </w:r>
          </w:p>
        </w:tc>
        <w:tc>
          <w:tcPr>
            <w:tcW w:w="1728" w:type="dxa"/>
          </w:tcPr>
          <w:p>
            <w:pPr>
              <w:pStyle w:val="TableParagraph"/>
              <w:ind w:left="217" w:right="12"/>
              <w:rPr>
                <w:sz w:val="14"/>
              </w:rPr>
            </w:pPr>
            <w:r>
              <w:rPr>
                <w:color w:val="231F20"/>
                <w:spacing w:val="-5"/>
                <w:w w:val="95"/>
                <w:sz w:val="14"/>
              </w:rPr>
              <w:t>3.3</w:t>
            </w:r>
          </w:p>
        </w:tc>
      </w:tr>
      <w:tr>
        <w:trPr>
          <w:trHeight w:val="259" w:hRule="atLeast"/>
        </w:trPr>
        <w:tc>
          <w:tcPr>
            <w:tcW w:w="1500" w:type="dxa"/>
            <w:shd w:val="clear" w:color="auto" w:fill="D4E3F5"/>
          </w:tcPr>
          <w:p>
            <w:pPr>
              <w:pStyle w:val="TableParagraph"/>
              <w:ind w:left="80"/>
              <w:jc w:val="left"/>
              <w:rPr>
                <w:sz w:val="14"/>
              </w:rPr>
            </w:pPr>
            <w:r>
              <w:rPr>
                <w:color w:val="231F20"/>
                <w:spacing w:val="-2"/>
                <w:w w:val="85"/>
                <w:sz w:val="14"/>
              </w:rPr>
              <w:t>Ghana</w:t>
            </w:r>
          </w:p>
        </w:tc>
        <w:tc>
          <w:tcPr>
            <w:tcW w:w="1573" w:type="dxa"/>
            <w:shd w:val="clear" w:color="auto" w:fill="D4E3F5"/>
          </w:tcPr>
          <w:p>
            <w:pPr>
              <w:pStyle w:val="TableParagraph"/>
              <w:ind w:left="716"/>
              <w:jc w:val="left"/>
              <w:rPr>
                <w:sz w:val="14"/>
              </w:rPr>
            </w:pPr>
            <w:r>
              <w:rPr>
                <w:color w:val="231F20"/>
                <w:spacing w:val="-4"/>
                <w:w w:val="95"/>
                <w:sz w:val="14"/>
              </w:rPr>
              <w:t>80.5</w:t>
            </w:r>
          </w:p>
        </w:tc>
        <w:tc>
          <w:tcPr>
            <w:tcW w:w="1564" w:type="dxa"/>
            <w:shd w:val="clear" w:color="auto" w:fill="D4E3F5"/>
          </w:tcPr>
          <w:p>
            <w:pPr>
              <w:pStyle w:val="TableParagraph"/>
              <w:ind w:left="72" w:right="85"/>
              <w:rPr>
                <w:sz w:val="14"/>
              </w:rPr>
            </w:pPr>
            <w:r>
              <w:rPr>
                <w:color w:val="231F20"/>
                <w:spacing w:val="-5"/>
                <w:w w:val="95"/>
                <w:sz w:val="14"/>
              </w:rPr>
              <w:t>4.7</w:t>
            </w:r>
          </w:p>
        </w:tc>
        <w:tc>
          <w:tcPr>
            <w:tcW w:w="1318" w:type="dxa"/>
            <w:shd w:val="clear" w:color="auto" w:fill="D4E3F5"/>
          </w:tcPr>
          <w:p>
            <w:pPr>
              <w:pStyle w:val="TableParagraph"/>
              <w:ind w:left="178"/>
              <w:rPr>
                <w:sz w:val="14"/>
              </w:rPr>
            </w:pPr>
            <w:r>
              <w:rPr>
                <w:color w:val="231F20"/>
                <w:spacing w:val="-5"/>
                <w:w w:val="95"/>
                <w:sz w:val="14"/>
              </w:rPr>
              <w:t>5.5</w:t>
            </w:r>
          </w:p>
        </w:tc>
        <w:tc>
          <w:tcPr>
            <w:tcW w:w="1728" w:type="dxa"/>
            <w:shd w:val="clear" w:color="auto" w:fill="D4E3F5"/>
          </w:tcPr>
          <w:p>
            <w:pPr>
              <w:pStyle w:val="TableParagraph"/>
              <w:ind w:left="217" w:right="32"/>
              <w:rPr>
                <w:sz w:val="14"/>
              </w:rPr>
            </w:pPr>
            <w:r>
              <w:rPr>
                <w:color w:val="231F20"/>
                <w:spacing w:val="-5"/>
                <w:w w:val="95"/>
                <w:sz w:val="14"/>
              </w:rPr>
              <w:t>6.1</w:t>
            </w:r>
          </w:p>
        </w:tc>
      </w:tr>
      <w:tr>
        <w:trPr>
          <w:trHeight w:val="259" w:hRule="atLeast"/>
        </w:trPr>
        <w:tc>
          <w:tcPr>
            <w:tcW w:w="1500" w:type="dxa"/>
          </w:tcPr>
          <w:p>
            <w:pPr>
              <w:pStyle w:val="TableParagraph"/>
              <w:ind w:left="80"/>
              <w:jc w:val="left"/>
              <w:rPr>
                <w:sz w:val="14"/>
              </w:rPr>
            </w:pPr>
            <w:r>
              <w:rPr>
                <w:color w:val="231F20"/>
                <w:spacing w:val="-2"/>
                <w:w w:val="85"/>
                <w:sz w:val="14"/>
              </w:rPr>
              <w:t>Greece</w:t>
            </w:r>
          </w:p>
        </w:tc>
        <w:tc>
          <w:tcPr>
            <w:tcW w:w="1573" w:type="dxa"/>
          </w:tcPr>
          <w:p>
            <w:pPr>
              <w:pStyle w:val="TableParagraph"/>
              <w:ind w:left="673"/>
              <w:jc w:val="left"/>
              <w:rPr>
                <w:sz w:val="14"/>
              </w:rPr>
            </w:pPr>
            <w:r>
              <w:rPr>
                <w:color w:val="231F20"/>
                <w:spacing w:val="-2"/>
                <w:w w:val="95"/>
                <w:sz w:val="14"/>
              </w:rPr>
              <w:t>111.5</w:t>
            </w:r>
          </w:p>
        </w:tc>
        <w:tc>
          <w:tcPr>
            <w:tcW w:w="1564" w:type="dxa"/>
          </w:tcPr>
          <w:p>
            <w:pPr>
              <w:pStyle w:val="TableParagraph"/>
              <w:ind w:left="82" w:right="85"/>
              <w:rPr>
                <w:sz w:val="14"/>
              </w:rPr>
            </w:pPr>
            <w:r>
              <w:rPr>
                <w:color w:val="231F20"/>
                <w:spacing w:val="-5"/>
                <w:w w:val="95"/>
                <w:sz w:val="14"/>
              </w:rPr>
              <w:t>1.9</w:t>
            </w:r>
          </w:p>
        </w:tc>
        <w:tc>
          <w:tcPr>
            <w:tcW w:w="1318" w:type="dxa"/>
          </w:tcPr>
          <w:p>
            <w:pPr>
              <w:pStyle w:val="TableParagraph"/>
              <w:ind w:left="179"/>
              <w:rPr>
                <w:sz w:val="14"/>
              </w:rPr>
            </w:pPr>
            <w:r>
              <w:rPr>
                <w:color w:val="231F20"/>
                <w:spacing w:val="-5"/>
                <w:w w:val="95"/>
                <w:sz w:val="14"/>
              </w:rPr>
              <w:t>2.2</w:t>
            </w:r>
          </w:p>
        </w:tc>
        <w:tc>
          <w:tcPr>
            <w:tcW w:w="1728" w:type="dxa"/>
          </w:tcPr>
          <w:p>
            <w:pPr>
              <w:pStyle w:val="TableParagraph"/>
              <w:ind w:left="217" w:right="13"/>
              <w:rPr>
                <w:sz w:val="14"/>
              </w:rPr>
            </w:pPr>
            <w:r>
              <w:rPr>
                <w:color w:val="231F20"/>
                <w:spacing w:val="-5"/>
                <w:w w:val="95"/>
                <w:sz w:val="14"/>
              </w:rPr>
              <w:t>2.8</w:t>
            </w:r>
          </w:p>
        </w:tc>
      </w:tr>
      <w:tr>
        <w:trPr>
          <w:trHeight w:val="259" w:hRule="atLeast"/>
        </w:trPr>
        <w:tc>
          <w:tcPr>
            <w:tcW w:w="1500" w:type="dxa"/>
            <w:shd w:val="clear" w:color="auto" w:fill="D4E3F5"/>
          </w:tcPr>
          <w:p>
            <w:pPr>
              <w:pStyle w:val="TableParagraph"/>
              <w:ind w:left="80"/>
              <w:jc w:val="left"/>
              <w:rPr>
                <w:sz w:val="14"/>
              </w:rPr>
            </w:pPr>
            <w:r>
              <w:rPr>
                <w:color w:val="231F20"/>
                <w:spacing w:val="-2"/>
                <w:w w:val="90"/>
                <w:sz w:val="14"/>
              </w:rPr>
              <w:t>Guatemala</w:t>
            </w:r>
          </w:p>
        </w:tc>
        <w:tc>
          <w:tcPr>
            <w:tcW w:w="1573" w:type="dxa"/>
            <w:shd w:val="clear" w:color="auto" w:fill="D4E3F5"/>
          </w:tcPr>
          <w:p>
            <w:pPr>
              <w:pStyle w:val="TableParagraph"/>
              <w:ind w:left="717"/>
              <w:jc w:val="left"/>
              <w:rPr>
                <w:sz w:val="14"/>
              </w:rPr>
            </w:pPr>
            <w:r>
              <w:rPr>
                <w:color w:val="231F20"/>
                <w:spacing w:val="-4"/>
                <w:w w:val="95"/>
                <w:sz w:val="14"/>
              </w:rPr>
              <w:t>32.5</w:t>
            </w:r>
          </w:p>
        </w:tc>
        <w:tc>
          <w:tcPr>
            <w:tcW w:w="1564" w:type="dxa"/>
            <w:shd w:val="clear" w:color="auto" w:fill="D4E3F5"/>
          </w:tcPr>
          <w:p>
            <w:pPr>
              <w:pStyle w:val="TableParagraph"/>
              <w:ind w:left="76" w:right="85"/>
              <w:rPr>
                <w:sz w:val="14"/>
              </w:rPr>
            </w:pPr>
            <w:r>
              <w:rPr>
                <w:color w:val="231F20"/>
                <w:spacing w:val="-5"/>
                <w:w w:val="95"/>
                <w:sz w:val="14"/>
              </w:rPr>
              <w:t>0.8</w:t>
            </w:r>
          </w:p>
        </w:tc>
        <w:tc>
          <w:tcPr>
            <w:tcW w:w="1318" w:type="dxa"/>
            <w:shd w:val="clear" w:color="auto" w:fill="D4E3F5"/>
          </w:tcPr>
          <w:p>
            <w:pPr>
              <w:pStyle w:val="TableParagraph"/>
              <w:ind w:left="192" w:right="7"/>
              <w:rPr>
                <w:sz w:val="14"/>
              </w:rPr>
            </w:pPr>
            <w:r>
              <w:rPr>
                <w:color w:val="231F20"/>
                <w:spacing w:val="-5"/>
                <w:w w:val="95"/>
                <w:sz w:val="14"/>
              </w:rPr>
              <w:t>1.5</w:t>
            </w:r>
          </w:p>
        </w:tc>
        <w:tc>
          <w:tcPr>
            <w:tcW w:w="1728" w:type="dxa"/>
            <w:shd w:val="clear" w:color="auto" w:fill="D4E3F5"/>
          </w:tcPr>
          <w:p>
            <w:pPr>
              <w:pStyle w:val="TableParagraph"/>
              <w:ind w:left="217" w:right="14"/>
              <w:rPr>
                <w:sz w:val="14"/>
              </w:rPr>
            </w:pPr>
            <w:r>
              <w:rPr>
                <w:color w:val="231F20"/>
                <w:spacing w:val="-5"/>
                <w:w w:val="95"/>
                <w:sz w:val="14"/>
              </w:rPr>
              <w:t>3.6</w:t>
            </w:r>
          </w:p>
        </w:tc>
      </w:tr>
      <w:tr>
        <w:trPr>
          <w:trHeight w:val="259" w:hRule="atLeast"/>
        </w:trPr>
        <w:tc>
          <w:tcPr>
            <w:tcW w:w="1500" w:type="dxa"/>
          </w:tcPr>
          <w:p>
            <w:pPr>
              <w:pStyle w:val="TableParagraph"/>
              <w:ind w:left="80"/>
              <w:jc w:val="left"/>
              <w:rPr>
                <w:sz w:val="14"/>
              </w:rPr>
            </w:pPr>
            <w:r>
              <w:rPr>
                <w:color w:val="231F20"/>
                <w:spacing w:val="-2"/>
                <w:w w:val="85"/>
                <w:sz w:val="14"/>
              </w:rPr>
              <w:t>Guinea</w:t>
            </w:r>
          </w:p>
        </w:tc>
        <w:tc>
          <w:tcPr>
            <w:tcW w:w="1573" w:type="dxa"/>
          </w:tcPr>
          <w:p>
            <w:pPr>
              <w:pStyle w:val="TableParagraph"/>
              <w:ind w:left="723"/>
              <w:jc w:val="left"/>
              <w:rPr>
                <w:sz w:val="14"/>
              </w:rPr>
            </w:pPr>
            <w:r>
              <w:rPr>
                <w:color w:val="231F20"/>
                <w:spacing w:val="-5"/>
                <w:w w:val="95"/>
                <w:sz w:val="14"/>
              </w:rPr>
              <w:t>41</w:t>
            </w:r>
          </w:p>
        </w:tc>
        <w:tc>
          <w:tcPr>
            <w:tcW w:w="1564" w:type="dxa"/>
          </w:tcPr>
          <w:p>
            <w:pPr>
              <w:pStyle w:val="TableParagraph"/>
              <w:ind w:left="76" w:right="85"/>
              <w:rPr>
                <w:sz w:val="14"/>
              </w:rPr>
            </w:pPr>
            <w:r>
              <w:rPr>
                <w:color w:val="231F20"/>
                <w:spacing w:val="-5"/>
                <w:w w:val="95"/>
                <w:sz w:val="14"/>
              </w:rPr>
              <w:t>0.0</w:t>
            </w:r>
          </w:p>
        </w:tc>
        <w:tc>
          <w:tcPr>
            <w:tcW w:w="1318" w:type="dxa"/>
          </w:tcPr>
          <w:p>
            <w:pPr>
              <w:pStyle w:val="TableParagraph"/>
              <w:ind w:left="178"/>
              <w:rPr>
                <w:sz w:val="14"/>
              </w:rPr>
            </w:pPr>
            <w:r>
              <w:rPr>
                <w:color w:val="231F20"/>
                <w:spacing w:val="-5"/>
                <w:w w:val="95"/>
                <w:sz w:val="14"/>
              </w:rPr>
              <w:t>0.0</w:t>
            </w:r>
          </w:p>
        </w:tc>
        <w:tc>
          <w:tcPr>
            <w:tcW w:w="1728" w:type="dxa"/>
          </w:tcPr>
          <w:p>
            <w:pPr>
              <w:pStyle w:val="TableParagraph"/>
              <w:ind w:left="217" w:right="12"/>
              <w:rPr>
                <w:sz w:val="14"/>
              </w:rPr>
            </w:pPr>
            <w:r>
              <w:rPr>
                <w:color w:val="231F20"/>
                <w:spacing w:val="-5"/>
                <w:w w:val="95"/>
                <w:sz w:val="14"/>
              </w:rPr>
              <w:t>6.9</w:t>
            </w:r>
          </w:p>
        </w:tc>
      </w:tr>
      <w:tr>
        <w:trPr>
          <w:trHeight w:val="259" w:hRule="atLeast"/>
        </w:trPr>
        <w:tc>
          <w:tcPr>
            <w:tcW w:w="1500" w:type="dxa"/>
            <w:shd w:val="clear" w:color="auto" w:fill="D4E3F5"/>
          </w:tcPr>
          <w:p>
            <w:pPr>
              <w:pStyle w:val="TableParagraph"/>
              <w:ind w:left="80"/>
              <w:jc w:val="left"/>
              <w:rPr>
                <w:sz w:val="14"/>
              </w:rPr>
            </w:pPr>
            <w:r>
              <w:rPr>
                <w:color w:val="231F20"/>
                <w:spacing w:val="-2"/>
                <w:w w:val="90"/>
                <w:sz w:val="14"/>
              </w:rPr>
              <w:t>Honduras</w:t>
            </w:r>
          </w:p>
        </w:tc>
        <w:tc>
          <w:tcPr>
            <w:tcW w:w="1573" w:type="dxa"/>
            <w:shd w:val="clear" w:color="auto" w:fill="D4E3F5"/>
          </w:tcPr>
          <w:p>
            <w:pPr>
              <w:pStyle w:val="TableParagraph"/>
              <w:ind w:left="723"/>
              <w:jc w:val="left"/>
              <w:rPr>
                <w:sz w:val="14"/>
              </w:rPr>
            </w:pPr>
            <w:r>
              <w:rPr>
                <w:color w:val="231F20"/>
                <w:spacing w:val="-4"/>
                <w:w w:val="95"/>
                <w:sz w:val="14"/>
              </w:rPr>
              <w:t>16.5</w:t>
            </w:r>
          </w:p>
        </w:tc>
        <w:tc>
          <w:tcPr>
            <w:tcW w:w="1564" w:type="dxa"/>
            <w:shd w:val="clear" w:color="auto" w:fill="D4E3F5"/>
          </w:tcPr>
          <w:p>
            <w:pPr>
              <w:pStyle w:val="TableParagraph"/>
              <w:ind w:left="76" w:right="85"/>
              <w:rPr>
                <w:sz w:val="14"/>
              </w:rPr>
            </w:pPr>
            <w:r>
              <w:rPr>
                <w:color w:val="231F20"/>
                <w:spacing w:val="-5"/>
                <w:w w:val="95"/>
                <w:sz w:val="14"/>
              </w:rPr>
              <w:t>2.5</w:t>
            </w:r>
          </w:p>
        </w:tc>
        <w:tc>
          <w:tcPr>
            <w:tcW w:w="1318" w:type="dxa"/>
            <w:shd w:val="clear" w:color="auto" w:fill="D4E3F5"/>
          </w:tcPr>
          <w:p>
            <w:pPr>
              <w:pStyle w:val="TableParagraph"/>
              <w:ind w:left="192" w:right="7"/>
              <w:rPr>
                <w:sz w:val="14"/>
              </w:rPr>
            </w:pPr>
            <w:r>
              <w:rPr>
                <w:color w:val="231F20"/>
                <w:spacing w:val="-5"/>
                <w:w w:val="95"/>
                <w:sz w:val="14"/>
              </w:rPr>
              <w:t>1.8</w:t>
            </w:r>
          </w:p>
        </w:tc>
        <w:tc>
          <w:tcPr>
            <w:tcW w:w="1728" w:type="dxa"/>
            <w:shd w:val="clear" w:color="auto" w:fill="D4E3F5"/>
          </w:tcPr>
          <w:p>
            <w:pPr>
              <w:pStyle w:val="TableParagraph"/>
              <w:ind w:left="217" w:right="76"/>
              <w:rPr>
                <w:sz w:val="14"/>
              </w:rPr>
            </w:pPr>
            <w:r>
              <w:rPr>
                <w:color w:val="231F20"/>
                <w:spacing w:val="-4"/>
                <w:w w:val="95"/>
                <w:sz w:val="14"/>
              </w:rPr>
              <w:t>10.6</w:t>
            </w:r>
          </w:p>
        </w:tc>
      </w:tr>
      <w:tr>
        <w:trPr>
          <w:trHeight w:val="259" w:hRule="atLeast"/>
        </w:trPr>
        <w:tc>
          <w:tcPr>
            <w:tcW w:w="1500" w:type="dxa"/>
          </w:tcPr>
          <w:p>
            <w:pPr>
              <w:pStyle w:val="TableParagraph"/>
              <w:ind w:left="80"/>
              <w:jc w:val="left"/>
              <w:rPr>
                <w:sz w:val="14"/>
              </w:rPr>
            </w:pPr>
            <w:r>
              <w:rPr>
                <w:color w:val="231F20"/>
                <w:w w:val="75"/>
                <w:sz w:val="14"/>
              </w:rPr>
              <w:t>Hong</w:t>
            </w:r>
            <w:r>
              <w:rPr>
                <w:color w:val="231F20"/>
                <w:spacing w:val="1"/>
                <w:sz w:val="14"/>
              </w:rPr>
              <w:t> </w:t>
            </w:r>
            <w:r>
              <w:rPr>
                <w:color w:val="231F20"/>
                <w:w w:val="75"/>
                <w:sz w:val="14"/>
              </w:rPr>
              <w:t>Kong</w:t>
            </w:r>
            <w:r>
              <w:rPr>
                <w:color w:val="231F20"/>
                <w:spacing w:val="2"/>
                <w:sz w:val="14"/>
              </w:rPr>
              <w:t> </w:t>
            </w:r>
            <w:r>
              <w:rPr>
                <w:color w:val="231F20"/>
                <w:w w:val="75"/>
                <w:sz w:val="14"/>
              </w:rPr>
              <w:t>SAR,</w:t>
            </w:r>
            <w:r>
              <w:rPr>
                <w:color w:val="231F20"/>
                <w:spacing w:val="1"/>
                <w:sz w:val="14"/>
              </w:rPr>
              <w:t> </w:t>
            </w:r>
            <w:r>
              <w:rPr>
                <w:color w:val="231F20"/>
                <w:spacing w:val="-2"/>
                <w:w w:val="75"/>
                <w:sz w:val="14"/>
              </w:rPr>
              <w:t>China</w:t>
            </w:r>
          </w:p>
        </w:tc>
        <w:tc>
          <w:tcPr>
            <w:tcW w:w="1573" w:type="dxa"/>
          </w:tcPr>
          <w:p>
            <w:pPr>
              <w:pStyle w:val="TableParagraph"/>
              <w:ind w:left="653"/>
              <w:jc w:val="left"/>
              <w:rPr>
                <w:sz w:val="14"/>
              </w:rPr>
            </w:pPr>
            <w:r>
              <w:rPr>
                <w:color w:val="231F20"/>
                <w:spacing w:val="-2"/>
                <w:w w:val="95"/>
                <w:sz w:val="14"/>
              </w:rPr>
              <w:t>135.5</w:t>
            </w:r>
          </w:p>
        </w:tc>
        <w:tc>
          <w:tcPr>
            <w:tcW w:w="1564" w:type="dxa"/>
          </w:tcPr>
          <w:p>
            <w:pPr>
              <w:pStyle w:val="TableParagraph"/>
              <w:ind w:left="82" w:right="85"/>
              <w:rPr>
                <w:sz w:val="14"/>
              </w:rPr>
            </w:pPr>
            <w:r>
              <w:rPr>
                <w:color w:val="231F20"/>
                <w:spacing w:val="-5"/>
                <w:w w:val="95"/>
                <w:sz w:val="14"/>
              </w:rPr>
              <w:t>1.6</w:t>
            </w:r>
          </w:p>
        </w:tc>
        <w:tc>
          <w:tcPr>
            <w:tcW w:w="1318" w:type="dxa"/>
          </w:tcPr>
          <w:p>
            <w:pPr>
              <w:pStyle w:val="TableParagraph"/>
              <w:ind w:left="173"/>
              <w:rPr>
                <w:sz w:val="14"/>
              </w:rPr>
            </w:pPr>
            <w:r>
              <w:rPr>
                <w:color w:val="231F20"/>
                <w:spacing w:val="-5"/>
                <w:w w:val="95"/>
                <w:sz w:val="14"/>
              </w:rPr>
              <w:t>0.7</w:t>
            </w:r>
          </w:p>
        </w:tc>
        <w:tc>
          <w:tcPr>
            <w:tcW w:w="1728" w:type="dxa"/>
          </w:tcPr>
          <w:p>
            <w:pPr>
              <w:pStyle w:val="TableParagraph"/>
              <w:ind w:left="217" w:right="13"/>
              <w:rPr>
                <w:sz w:val="14"/>
              </w:rPr>
            </w:pPr>
            <w:r>
              <w:rPr>
                <w:color w:val="231F20"/>
                <w:spacing w:val="-5"/>
                <w:w w:val="95"/>
                <w:sz w:val="14"/>
              </w:rPr>
              <w:t>2.0</w:t>
            </w:r>
          </w:p>
        </w:tc>
      </w:tr>
      <w:tr>
        <w:trPr>
          <w:trHeight w:val="259" w:hRule="atLeast"/>
        </w:trPr>
        <w:tc>
          <w:tcPr>
            <w:tcW w:w="1500" w:type="dxa"/>
            <w:shd w:val="clear" w:color="auto" w:fill="D4E3F5"/>
          </w:tcPr>
          <w:p>
            <w:pPr>
              <w:pStyle w:val="TableParagraph"/>
              <w:ind w:left="80"/>
              <w:jc w:val="left"/>
              <w:rPr>
                <w:sz w:val="14"/>
              </w:rPr>
            </w:pPr>
            <w:r>
              <w:rPr>
                <w:color w:val="231F20"/>
                <w:spacing w:val="-2"/>
                <w:w w:val="85"/>
                <w:sz w:val="14"/>
              </w:rPr>
              <w:t>Hungary</w:t>
            </w:r>
          </w:p>
        </w:tc>
        <w:tc>
          <w:tcPr>
            <w:tcW w:w="1573" w:type="dxa"/>
            <w:shd w:val="clear" w:color="auto" w:fill="D4E3F5"/>
          </w:tcPr>
          <w:p>
            <w:pPr>
              <w:pStyle w:val="TableParagraph"/>
              <w:ind w:left="656"/>
              <w:jc w:val="left"/>
              <w:rPr>
                <w:sz w:val="14"/>
              </w:rPr>
            </w:pPr>
            <w:r>
              <w:rPr>
                <w:color w:val="231F20"/>
                <w:spacing w:val="-5"/>
                <w:w w:val="95"/>
                <w:sz w:val="14"/>
              </w:rPr>
              <w:t>101</w:t>
            </w:r>
          </w:p>
        </w:tc>
        <w:tc>
          <w:tcPr>
            <w:tcW w:w="1564" w:type="dxa"/>
            <w:shd w:val="clear" w:color="auto" w:fill="D4E3F5"/>
          </w:tcPr>
          <w:p>
            <w:pPr>
              <w:pStyle w:val="TableParagraph"/>
              <w:ind w:left="82" w:right="85"/>
              <w:rPr>
                <w:sz w:val="14"/>
              </w:rPr>
            </w:pPr>
            <w:r>
              <w:rPr>
                <w:color w:val="231F20"/>
                <w:spacing w:val="-5"/>
                <w:w w:val="95"/>
                <w:sz w:val="14"/>
              </w:rPr>
              <w:t>1.0</w:t>
            </w:r>
          </w:p>
        </w:tc>
        <w:tc>
          <w:tcPr>
            <w:tcW w:w="1318" w:type="dxa"/>
            <w:shd w:val="clear" w:color="auto" w:fill="D4E3F5"/>
          </w:tcPr>
          <w:p>
            <w:pPr>
              <w:pStyle w:val="TableParagraph"/>
              <w:ind w:left="166"/>
              <w:rPr>
                <w:sz w:val="14"/>
              </w:rPr>
            </w:pPr>
            <w:r>
              <w:rPr>
                <w:color w:val="231F20"/>
                <w:spacing w:val="-5"/>
                <w:w w:val="95"/>
                <w:sz w:val="14"/>
              </w:rPr>
              <w:t>1.1</w:t>
            </w:r>
          </w:p>
        </w:tc>
        <w:tc>
          <w:tcPr>
            <w:tcW w:w="1728" w:type="dxa"/>
            <w:shd w:val="clear" w:color="auto" w:fill="D4E3F5"/>
          </w:tcPr>
          <w:p>
            <w:pPr>
              <w:pStyle w:val="TableParagraph"/>
              <w:ind w:left="217" w:right="7"/>
              <w:rPr>
                <w:sz w:val="14"/>
              </w:rPr>
            </w:pPr>
            <w:r>
              <w:rPr>
                <w:color w:val="231F20"/>
                <w:spacing w:val="-5"/>
                <w:w w:val="95"/>
                <w:sz w:val="14"/>
              </w:rPr>
              <w:t>1.6</w:t>
            </w:r>
          </w:p>
        </w:tc>
      </w:tr>
      <w:tr>
        <w:trPr>
          <w:trHeight w:val="259" w:hRule="atLeast"/>
        </w:trPr>
        <w:tc>
          <w:tcPr>
            <w:tcW w:w="1500" w:type="dxa"/>
          </w:tcPr>
          <w:p>
            <w:pPr>
              <w:pStyle w:val="TableParagraph"/>
              <w:ind w:left="80"/>
              <w:jc w:val="left"/>
              <w:rPr>
                <w:sz w:val="14"/>
              </w:rPr>
            </w:pPr>
            <w:r>
              <w:rPr>
                <w:color w:val="231F20"/>
                <w:spacing w:val="-2"/>
                <w:w w:val="85"/>
                <w:sz w:val="14"/>
              </w:rPr>
              <w:t>Iceland</w:t>
            </w:r>
          </w:p>
        </w:tc>
        <w:tc>
          <w:tcPr>
            <w:tcW w:w="1573" w:type="dxa"/>
          </w:tcPr>
          <w:p>
            <w:pPr>
              <w:pStyle w:val="TableParagraph"/>
              <w:ind w:left="723"/>
              <w:jc w:val="left"/>
              <w:rPr>
                <w:sz w:val="14"/>
              </w:rPr>
            </w:pPr>
            <w:r>
              <w:rPr>
                <w:color w:val="231F20"/>
                <w:spacing w:val="-4"/>
                <w:w w:val="95"/>
                <w:sz w:val="14"/>
              </w:rPr>
              <w:t>10.5</w:t>
            </w:r>
          </w:p>
        </w:tc>
        <w:tc>
          <w:tcPr>
            <w:tcW w:w="1564" w:type="dxa"/>
          </w:tcPr>
          <w:p>
            <w:pPr>
              <w:pStyle w:val="TableParagraph"/>
              <w:ind w:left="82" w:right="85"/>
              <w:rPr>
                <w:sz w:val="14"/>
              </w:rPr>
            </w:pPr>
            <w:r>
              <w:rPr>
                <w:color w:val="231F20"/>
                <w:spacing w:val="-5"/>
                <w:w w:val="95"/>
                <w:sz w:val="14"/>
              </w:rPr>
              <w:t>1.9</w:t>
            </w:r>
          </w:p>
        </w:tc>
        <w:tc>
          <w:tcPr>
            <w:tcW w:w="1318" w:type="dxa"/>
          </w:tcPr>
          <w:p>
            <w:pPr>
              <w:pStyle w:val="TableParagraph"/>
              <w:ind w:left="192" w:right="11"/>
              <w:rPr>
                <w:sz w:val="14"/>
              </w:rPr>
            </w:pPr>
            <w:r>
              <w:rPr>
                <w:color w:val="231F20"/>
                <w:spacing w:val="-5"/>
                <w:w w:val="95"/>
                <w:sz w:val="14"/>
              </w:rPr>
              <w:t>1.7</w:t>
            </w:r>
          </w:p>
        </w:tc>
        <w:tc>
          <w:tcPr>
            <w:tcW w:w="1728" w:type="dxa"/>
          </w:tcPr>
          <w:p>
            <w:pPr>
              <w:pStyle w:val="TableParagraph"/>
              <w:ind w:left="217" w:right="31"/>
              <w:rPr>
                <w:sz w:val="14"/>
              </w:rPr>
            </w:pPr>
            <w:r>
              <w:rPr>
                <w:color w:val="231F20"/>
                <w:spacing w:val="-5"/>
                <w:w w:val="95"/>
                <w:sz w:val="14"/>
              </w:rPr>
              <w:t>2.1</w:t>
            </w:r>
          </w:p>
        </w:tc>
      </w:tr>
      <w:tr>
        <w:trPr>
          <w:trHeight w:val="259" w:hRule="atLeast"/>
        </w:trPr>
        <w:tc>
          <w:tcPr>
            <w:tcW w:w="1500" w:type="dxa"/>
            <w:shd w:val="clear" w:color="auto" w:fill="D4E3F5"/>
          </w:tcPr>
          <w:p>
            <w:pPr>
              <w:pStyle w:val="TableParagraph"/>
              <w:ind w:left="80"/>
              <w:jc w:val="left"/>
              <w:rPr>
                <w:sz w:val="14"/>
              </w:rPr>
            </w:pPr>
            <w:r>
              <w:rPr>
                <w:color w:val="231F20"/>
                <w:spacing w:val="-4"/>
                <w:w w:val="85"/>
                <w:sz w:val="14"/>
              </w:rPr>
              <w:t>India</w:t>
            </w:r>
          </w:p>
        </w:tc>
        <w:tc>
          <w:tcPr>
            <w:tcW w:w="1573" w:type="dxa"/>
            <w:shd w:val="clear" w:color="auto" w:fill="D4E3F5"/>
          </w:tcPr>
          <w:p>
            <w:pPr>
              <w:pStyle w:val="TableParagraph"/>
              <w:ind w:left="654"/>
              <w:jc w:val="left"/>
              <w:rPr>
                <w:sz w:val="14"/>
              </w:rPr>
            </w:pPr>
            <w:r>
              <w:rPr>
                <w:color w:val="231F20"/>
                <w:spacing w:val="-5"/>
                <w:w w:val="95"/>
                <w:sz w:val="14"/>
              </w:rPr>
              <w:t>133</w:t>
            </w:r>
          </w:p>
        </w:tc>
        <w:tc>
          <w:tcPr>
            <w:tcW w:w="1564" w:type="dxa"/>
            <w:shd w:val="clear" w:color="auto" w:fill="D4E3F5"/>
          </w:tcPr>
          <w:p>
            <w:pPr>
              <w:pStyle w:val="TableParagraph"/>
              <w:ind w:left="75" w:right="85"/>
              <w:rPr>
                <w:sz w:val="14"/>
              </w:rPr>
            </w:pPr>
            <w:r>
              <w:rPr>
                <w:color w:val="231F20"/>
                <w:spacing w:val="-5"/>
                <w:w w:val="95"/>
                <w:sz w:val="14"/>
              </w:rPr>
              <w:t>3.0</w:t>
            </w:r>
          </w:p>
        </w:tc>
        <w:tc>
          <w:tcPr>
            <w:tcW w:w="1318" w:type="dxa"/>
            <w:shd w:val="clear" w:color="auto" w:fill="D4E3F5"/>
          </w:tcPr>
          <w:p>
            <w:pPr>
              <w:pStyle w:val="TableParagraph"/>
              <w:ind w:left="192" w:right="8"/>
              <w:rPr>
                <w:sz w:val="14"/>
              </w:rPr>
            </w:pPr>
            <w:r>
              <w:rPr>
                <w:color w:val="231F20"/>
                <w:spacing w:val="-5"/>
                <w:w w:val="95"/>
                <w:sz w:val="14"/>
              </w:rPr>
              <w:t>1.9</w:t>
            </w:r>
          </w:p>
        </w:tc>
        <w:tc>
          <w:tcPr>
            <w:tcW w:w="1728" w:type="dxa"/>
            <w:shd w:val="clear" w:color="auto" w:fill="D4E3F5"/>
          </w:tcPr>
          <w:p>
            <w:pPr>
              <w:pStyle w:val="TableParagraph"/>
              <w:ind w:left="217" w:right="12"/>
              <w:rPr>
                <w:sz w:val="14"/>
              </w:rPr>
            </w:pPr>
            <w:r>
              <w:rPr>
                <w:color w:val="231F20"/>
                <w:spacing w:val="-5"/>
                <w:w w:val="95"/>
                <w:sz w:val="14"/>
              </w:rPr>
              <w:t>3.8</w:t>
            </w:r>
          </w:p>
        </w:tc>
      </w:tr>
      <w:tr>
        <w:trPr>
          <w:trHeight w:val="259" w:hRule="atLeast"/>
        </w:trPr>
        <w:tc>
          <w:tcPr>
            <w:tcW w:w="1500" w:type="dxa"/>
          </w:tcPr>
          <w:p>
            <w:pPr>
              <w:pStyle w:val="TableParagraph"/>
              <w:ind w:left="80"/>
              <w:jc w:val="left"/>
              <w:rPr>
                <w:sz w:val="14"/>
              </w:rPr>
            </w:pPr>
            <w:r>
              <w:rPr>
                <w:color w:val="231F20"/>
                <w:spacing w:val="-2"/>
                <w:w w:val="85"/>
                <w:sz w:val="14"/>
              </w:rPr>
              <w:t>Indonesia</w:t>
            </w:r>
          </w:p>
        </w:tc>
        <w:tc>
          <w:tcPr>
            <w:tcW w:w="1573" w:type="dxa"/>
          </w:tcPr>
          <w:p>
            <w:pPr>
              <w:pStyle w:val="TableParagraph"/>
              <w:ind w:left="653"/>
              <w:jc w:val="left"/>
              <w:rPr>
                <w:sz w:val="14"/>
              </w:rPr>
            </w:pPr>
            <w:r>
              <w:rPr>
                <w:color w:val="231F20"/>
                <w:spacing w:val="-5"/>
                <w:w w:val="95"/>
                <w:sz w:val="14"/>
              </w:rPr>
              <w:t>104</w:t>
            </w:r>
          </w:p>
        </w:tc>
        <w:tc>
          <w:tcPr>
            <w:tcW w:w="1564" w:type="dxa"/>
          </w:tcPr>
          <w:p>
            <w:pPr>
              <w:pStyle w:val="TableParagraph"/>
              <w:ind w:left="76" w:right="85"/>
              <w:rPr>
                <w:sz w:val="14"/>
              </w:rPr>
            </w:pPr>
            <w:r>
              <w:rPr>
                <w:color w:val="231F20"/>
                <w:spacing w:val="-5"/>
                <w:w w:val="95"/>
                <w:sz w:val="14"/>
              </w:rPr>
              <w:t>2.6</w:t>
            </w:r>
          </w:p>
        </w:tc>
        <w:tc>
          <w:tcPr>
            <w:tcW w:w="1318" w:type="dxa"/>
          </w:tcPr>
          <w:p>
            <w:pPr>
              <w:pStyle w:val="TableParagraph"/>
              <w:ind w:left="176"/>
              <w:rPr>
                <w:sz w:val="14"/>
              </w:rPr>
            </w:pPr>
            <w:r>
              <w:rPr>
                <w:color w:val="231F20"/>
                <w:spacing w:val="-5"/>
                <w:w w:val="95"/>
                <w:sz w:val="14"/>
              </w:rPr>
              <w:t>2.4</w:t>
            </w:r>
          </w:p>
        </w:tc>
        <w:tc>
          <w:tcPr>
            <w:tcW w:w="1728" w:type="dxa"/>
          </w:tcPr>
          <w:p>
            <w:pPr>
              <w:pStyle w:val="TableParagraph"/>
              <w:ind w:left="217" w:right="19"/>
              <w:rPr>
                <w:sz w:val="14"/>
              </w:rPr>
            </w:pPr>
            <w:r>
              <w:rPr>
                <w:color w:val="231F20"/>
                <w:spacing w:val="-5"/>
                <w:w w:val="95"/>
                <w:sz w:val="14"/>
              </w:rPr>
              <w:t>3.7</w:t>
            </w:r>
          </w:p>
        </w:tc>
      </w:tr>
      <w:tr>
        <w:trPr>
          <w:trHeight w:val="259" w:hRule="atLeast"/>
        </w:trPr>
        <w:tc>
          <w:tcPr>
            <w:tcW w:w="1500" w:type="dxa"/>
            <w:shd w:val="clear" w:color="auto" w:fill="D4E3F5"/>
          </w:tcPr>
          <w:p>
            <w:pPr>
              <w:pStyle w:val="TableParagraph"/>
              <w:ind w:left="80"/>
              <w:jc w:val="left"/>
              <w:rPr>
                <w:sz w:val="14"/>
              </w:rPr>
            </w:pPr>
            <w:r>
              <w:rPr>
                <w:color w:val="231F20"/>
                <w:w w:val="75"/>
                <w:sz w:val="14"/>
              </w:rPr>
              <w:t>Iran,</w:t>
            </w:r>
            <w:r>
              <w:rPr>
                <w:color w:val="231F20"/>
                <w:spacing w:val="11"/>
                <w:sz w:val="14"/>
              </w:rPr>
              <w:t> </w:t>
            </w:r>
            <w:r>
              <w:rPr>
                <w:color w:val="231F20"/>
                <w:w w:val="75"/>
                <w:sz w:val="14"/>
              </w:rPr>
              <w:t>Islamic</w:t>
            </w:r>
            <w:r>
              <w:rPr>
                <w:color w:val="231F20"/>
                <w:spacing w:val="12"/>
                <w:sz w:val="14"/>
              </w:rPr>
              <w:t> </w:t>
            </w:r>
            <w:r>
              <w:rPr>
                <w:color w:val="231F20"/>
                <w:spacing w:val="-4"/>
                <w:w w:val="75"/>
                <w:sz w:val="14"/>
              </w:rPr>
              <w:t>Rep.</w:t>
            </w:r>
          </w:p>
        </w:tc>
        <w:tc>
          <w:tcPr>
            <w:tcW w:w="1573" w:type="dxa"/>
            <w:shd w:val="clear" w:color="auto" w:fill="D4E3F5"/>
          </w:tcPr>
          <w:p>
            <w:pPr>
              <w:pStyle w:val="TableParagraph"/>
              <w:ind w:left="717"/>
              <w:jc w:val="left"/>
              <w:rPr>
                <w:sz w:val="14"/>
              </w:rPr>
            </w:pPr>
            <w:r>
              <w:rPr>
                <w:color w:val="231F20"/>
                <w:spacing w:val="-5"/>
                <w:w w:val="95"/>
                <w:sz w:val="14"/>
              </w:rPr>
              <w:t>77</w:t>
            </w:r>
          </w:p>
        </w:tc>
        <w:tc>
          <w:tcPr>
            <w:tcW w:w="1564" w:type="dxa"/>
            <w:shd w:val="clear" w:color="auto" w:fill="D4E3F5"/>
          </w:tcPr>
          <w:p>
            <w:pPr>
              <w:pStyle w:val="TableParagraph"/>
              <w:ind w:left="77" w:right="85"/>
              <w:rPr>
                <w:sz w:val="14"/>
              </w:rPr>
            </w:pPr>
            <w:r>
              <w:rPr>
                <w:color w:val="231F20"/>
                <w:spacing w:val="-5"/>
                <w:w w:val="95"/>
                <w:sz w:val="14"/>
              </w:rPr>
              <w:t>3.9</w:t>
            </w:r>
          </w:p>
        </w:tc>
        <w:tc>
          <w:tcPr>
            <w:tcW w:w="1318" w:type="dxa"/>
            <w:shd w:val="clear" w:color="auto" w:fill="D4E3F5"/>
          </w:tcPr>
          <w:p>
            <w:pPr>
              <w:pStyle w:val="TableParagraph"/>
              <w:ind w:left="178"/>
              <w:rPr>
                <w:sz w:val="14"/>
              </w:rPr>
            </w:pPr>
            <w:r>
              <w:rPr>
                <w:color w:val="231F20"/>
                <w:spacing w:val="-5"/>
                <w:w w:val="95"/>
                <w:sz w:val="14"/>
              </w:rPr>
              <w:t>2.9</w:t>
            </w:r>
          </w:p>
        </w:tc>
        <w:tc>
          <w:tcPr>
            <w:tcW w:w="1728" w:type="dxa"/>
            <w:shd w:val="clear" w:color="auto" w:fill="D4E3F5"/>
          </w:tcPr>
          <w:p>
            <w:pPr>
              <w:pStyle w:val="TableParagraph"/>
              <w:ind w:left="217" w:right="32"/>
              <w:rPr>
                <w:sz w:val="14"/>
              </w:rPr>
            </w:pPr>
            <w:r>
              <w:rPr>
                <w:color w:val="231F20"/>
                <w:spacing w:val="-5"/>
                <w:w w:val="95"/>
                <w:sz w:val="14"/>
              </w:rPr>
              <w:t>6.1</w:t>
            </w:r>
          </w:p>
        </w:tc>
      </w:tr>
      <w:tr>
        <w:trPr>
          <w:trHeight w:val="259" w:hRule="atLeast"/>
        </w:trPr>
        <w:tc>
          <w:tcPr>
            <w:tcW w:w="1500" w:type="dxa"/>
          </w:tcPr>
          <w:p>
            <w:pPr>
              <w:pStyle w:val="TableParagraph"/>
              <w:ind w:left="80"/>
              <w:jc w:val="left"/>
              <w:rPr>
                <w:sz w:val="14"/>
              </w:rPr>
            </w:pPr>
            <w:r>
              <w:rPr>
                <w:color w:val="231F20"/>
                <w:spacing w:val="-4"/>
                <w:w w:val="85"/>
                <w:sz w:val="14"/>
              </w:rPr>
              <w:t>Iraq</w:t>
            </w:r>
          </w:p>
        </w:tc>
        <w:tc>
          <w:tcPr>
            <w:tcW w:w="1573" w:type="dxa"/>
          </w:tcPr>
          <w:p>
            <w:pPr>
              <w:pStyle w:val="TableParagraph"/>
              <w:ind w:left="714"/>
              <w:jc w:val="left"/>
              <w:rPr>
                <w:sz w:val="14"/>
              </w:rPr>
            </w:pPr>
            <w:r>
              <w:rPr>
                <w:color w:val="231F20"/>
                <w:spacing w:val="-4"/>
                <w:w w:val="95"/>
                <w:sz w:val="14"/>
              </w:rPr>
              <w:t>68.5</w:t>
            </w:r>
          </w:p>
        </w:tc>
        <w:tc>
          <w:tcPr>
            <w:tcW w:w="1564" w:type="dxa"/>
          </w:tcPr>
          <w:p>
            <w:pPr>
              <w:pStyle w:val="TableParagraph"/>
              <w:ind w:left="58" w:right="85"/>
              <w:rPr>
                <w:sz w:val="14"/>
              </w:rPr>
            </w:pPr>
            <w:r>
              <w:rPr>
                <w:color w:val="231F20"/>
                <w:spacing w:val="-5"/>
                <w:w w:val="95"/>
                <w:sz w:val="14"/>
              </w:rPr>
              <w:t>2.1</w:t>
            </w:r>
          </w:p>
        </w:tc>
        <w:tc>
          <w:tcPr>
            <w:tcW w:w="1318" w:type="dxa"/>
          </w:tcPr>
          <w:p>
            <w:pPr>
              <w:pStyle w:val="TableParagraph"/>
              <w:ind w:left="178"/>
              <w:rPr>
                <w:sz w:val="14"/>
              </w:rPr>
            </w:pPr>
            <w:r>
              <w:rPr>
                <w:color w:val="231F20"/>
                <w:spacing w:val="-5"/>
                <w:w w:val="95"/>
                <w:sz w:val="14"/>
              </w:rPr>
              <w:t>2.6</w:t>
            </w:r>
          </w:p>
        </w:tc>
        <w:tc>
          <w:tcPr>
            <w:tcW w:w="1728" w:type="dxa"/>
          </w:tcPr>
          <w:p>
            <w:pPr>
              <w:pStyle w:val="TableParagraph"/>
              <w:ind w:left="217" w:right="13"/>
              <w:rPr>
                <w:sz w:val="14"/>
              </w:rPr>
            </w:pPr>
            <w:r>
              <w:rPr>
                <w:color w:val="231F20"/>
                <w:spacing w:val="-5"/>
                <w:w w:val="95"/>
                <w:sz w:val="14"/>
              </w:rPr>
              <w:t>2.5</w:t>
            </w:r>
          </w:p>
        </w:tc>
      </w:tr>
      <w:tr>
        <w:trPr>
          <w:trHeight w:val="259" w:hRule="atLeast"/>
        </w:trPr>
        <w:tc>
          <w:tcPr>
            <w:tcW w:w="1500" w:type="dxa"/>
            <w:shd w:val="clear" w:color="auto" w:fill="D4E3F5"/>
          </w:tcPr>
          <w:p>
            <w:pPr>
              <w:pStyle w:val="TableParagraph"/>
              <w:ind w:left="80"/>
              <w:jc w:val="left"/>
              <w:rPr>
                <w:sz w:val="14"/>
              </w:rPr>
            </w:pPr>
            <w:r>
              <w:rPr>
                <w:color w:val="231F20"/>
                <w:spacing w:val="-2"/>
                <w:w w:val="85"/>
                <w:sz w:val="14"/>
              </w:rPr>
              <w:t>Ireland</w:t>
            </w:r>
          </w:p>
        </w:tc>
        <w:tc>
          <w:tcPr>
            <w:tcW w:w="1573" w:type="dxa"/>
            <w:shd w:val="clear" w:color="auto" w:fill="D4E3F5"/>
          </w:tcPr>
          <w:p>
            <w:pPr>
              <w:pStyle w:val="TableParagraph"/>
              <w:ind w:left="665"/>
              <w:jc w:val="left"/>
              <w:rPr>
                <w:sz w:val="14"/>
              </w:rPr>
            </w:pPr>
            <w:r>
              <w:rPr>
                <w:color w:val="231F20"/>
                <w:spacing w:val="-2"/>
                <w:w w:val="95"/>
                <w:sz w:val="14"/>
              </w:rPr>
              <w:t>114.5</w:t>
            </w:r>
          </w:p>
        </w:tc>
        <w:tc>
          <w:tcPr>
            <w:tcW w:w="1564" w:type="dxa"/>
            <w:shd w:val="clear" w:color="auto" w:fill="D4E3F5"/>
          </w:tcPr>
          <w:p>
            <w:pPr>
              <w:pStyle w:val="TableParagraph"/>
              <w:ind w:left="83" w:right="85"/>
              <w:rPr>
                <w:sz w:val="14"/>
              </w:rPr>
            </w:pPr>
            <w:r>
              <w:rPr>
                <w:color w:val="231F20"/>
                <w:spacing w:val="-5"/>
                <w:w w:val="95"/>
                <w:sz w:val="14"/>
              </w:rPr>
              <w:t>1.3</w:t>
            </w:r>
          </w:p>
        </w:tc>
        <w:tc>
          <w:tcPr>
            <w:tcW w:w="1318" w:type="dxa"/>
            <w:shd w:val="clear" w:color="auto" w:fill="D4E3F5"/>
          </w:tcPr>
          <w:p>
            <w:pPr>
              <w:pStyle w:val="TableParagraph"/>
              <w:ind w:left="192" w:right="8"/>
              <w:rPr>
                <w:sz w:val="14"/>
              </w:rPr>
            </w:pPr>
            <w:r>
              <w:rPr>
                <w:color w:val="231F20"/>
                <w:spacing w:val="-5"/>
                <w:w w:val="95"/>
                <w:sz w:val="14"/>
              </w:rPr>
              <w:t>1.6</w:t>
            </w:r>
          </w:p>
        </w:tc>
        <w:tc>
          <w:tcPr>
            <w:tcW w:w="1728" w:type="dxa"/>
            <w:shd w:val="clear" w:color="auto" w:fill="D4E3F5"/>
          </w:tcPr>
          <w:p>
            <w:pPr>
              <w:pStyle w:val="TableParagraph"/>
              <w:ind w:left="217" w:right="12"/>
              <w:rPr>
                <w:sz w:val="14"/>
              </w:rPr>
            </w:pPr>
            <w:r>
              <w:rPr>
                <w:color w:val="231F20"/>
                <w:spacing w:val="-5"/>
                <w:w w:val="95"/>
                <w:sz w:val="14"/>
              </w:rPr>
              <w:t>2.2</w:t>
            </w:r>
          </w:p>
        </w:tc>
      </w:tr>
      <w:tr>
        <w:trPr>
          <w:trHeight w:val="259" w:hRule="atLeast"/>
        </w:trPr>
        <w:tc>
          <w:tcPr>
            <w:tcW w:w="1500" w:type="dxa"/>
          </w:tcPr>
          <w:p>
            <w:pPr>
              <w:pStyle w:val="TableParagraph"/>
              <w:ind w:left="80"/>
              <w:jc w:val="left"/>
              <w:rPr>
                <w:sz w:val="14"/>
              </w:rPr>
            </w:pPr>
            <w:r>
              <w:rPr>
                <w:color w:val="231F20"/>
                <w:spacing w:val="-2"/>
                <w:w w:val="85"/>
                <w:sz w:val="14"/>
              </w:rPr>
              <w:t>Israel</w:t>
            </w:r>
          </w:p>
        </w:tc>
        <w:tc>
          <w:tcPr>
            <w:tcW w:w="1573" w:type="dxa"/>
          </w:tcPr>
          <w:p>
            <w:pPr>
              <w:pStyle w:val="TableParagraph"/>
              <w:ind w:left="651"/>
              <w:jc w:val="left"/>
              <w:rPr>
                <w:sz w:val="14"/>
              </w:rPr>
            </w:pPr>
            <w:r>
              <w:rPr>
                <w:color w:val="231F20"/>
                <w:spacing w:val="-2"/>
                <w:w w:val="95"/>
                <w:sz w:val="14"/>
              </w:rPr>
              <w:t>100.5</w:t>
            </w:r>
          </w:p>
        </w:tc>
        <w:tc>
          <w:tcPr>
            <w:tcW w:w="1564" w:type="dxa"/>
          </w:tcPr>
          <w:p>
            <w:pPr>
              <w:pStyle w:val="TableParagraph"/>
              <w:ind w:left="71" w:right="85"/>
              <w:rPr>
                <w:sz w:val="14"/>
              </w:rPr>
            </w:pPr>
            <w:r>
              <w:rPr>
                <w:color w:val="231F20"/>
                <w:spacing w:val="-5"/>
                <w:w w:val="95"/>
                <w:sz w:val="14"/>
              </w:rPr>
              <w:t>2.7</w:t>
            </w:r>
          </w:p>
        </w:tc>
        <w:tc>
          <w:tcPr>
            <w:tcW w:w="1318" w:type="dxa"/>
          </w:tcPr>
          <w:p>
            <w:pPr>
              <w:pStyle w:val="TableParagraph"/>
              <w:ind w:left="178"/>
              <w:rPr>
                <w:sz w:val="14"/>
              </w:rPr>
            </w:pPr>
            <w:r>
              <w:rPr>
                <w:color w:val="231F20"/>
                <w:spacing w:val="-5"/>
                <w:w w:val="95"/>
                <w:sz w:val="14"/>
              </w:rPr>
              <w:t>3.2</w:t>
            </w:r>
          </w:p>
        </w:tc>
        <w:tc>
          <w:tcPr>
            <w:tcW w:w="1728" w:type="dxa"/>
          </w:tcPr>
          <w:p>
            <w:pPr>
              <w:pStyle w:val="TableParagraph"/>
              <w:ind w:left="217" w:right="12"/>
              <w:rPr>
                <w:sz w:val="14"/>
              </w:rPr>
            </w:pPr>
            <w:r>
              <w:rPr>
                <w:color w:val="231F20"/>
                <w:spacing w:val="-5"/>
                <w:w w:val="95"/>
                <w:sz w:val="14"/>
              </w:rPr>
              <w:t>4.3</w:t>
            </w:r>
          </w:p>
        </w:tc>
      </w:tr>
      <w:tr>
        <w:trPr>
          <w:trHeight w:val="259" w:hRule="atLeast"/>
        </w:trPr>
        <w:tc>
          <w:tcPr>
            <w:tcW w:w="1500" w:type="dxa"/>
            <w:shd w:val="clear" w:color="auto" w:fill="D4E3F5"/>
          </w:tcPr>
          <w:p>
            <w:pPr>
              <w:pStyle w:val="TableParagraph"/>
              <w:ind w:left="80"/>
              <w:jc w:val="left"/>
              <w:rPr>
                <w:sz w:val="14"/>
              </w:rPr>
            </w:pPr>
            <w:r>
              <w:rPr>
                <w:color w:val="231F20"/>
                <w:spacing w:val="-2"/>
                <w:w w:val="85"/>
                <w:sz w:val="14"/>
              </w:rPr>
              <w:t>Italy</w:t>
            </w:r>
          </w:p>
        </w:tc>
        <w:tc>
          <w:tcPr>
            <w:tcW w:w="1573" w:type="dxa"/>
            <w:shd w:val="clear" w:color="auto" w:fill="D4E3F5"/>
          </w:tcPr>
          <w:p>
            <w:pPr>
              <w:pStyle w:val="TableParagraph"/>
              <w:ind w:left="653"/>
              <w:jc w:val="left"/>
              <w:rPr>
                <w:sz w:val="14"/>
              </w:rPr>
            </w:pPr>
            <w:r>
              <w:rPr>
                <w:color w:val="231F20"/>
                <w:spacing w:val="-2"/>
                <w:w w:val="95"/>
                <w:sz w:val="14"/>
              </w:rPr>
              <w:t>144.5</w:t>
            </w:r>
          </w:p>
        </w:tc>
        <w:tc>
          <w:tcPr>
            <w:tcW w:w="1564" w:type="dxa"/>
            <w:shd w:val="clear" w:color="auto" w:fill="D4E3F5"/>
          </w:tcPr>
          <w:p>
            <w:pPr>
              <w:pStyle w:val="TableParagraph"/>
              <w:ind w:left="75" w:right="85"/>
              <w:rPr>
                <w:sz w:val="14"/>
              </w:rPr>
            </w:pPr>
            <w:r>
              <w:rPr>
                <w:color w:val="231F20"/>
                <w:spacing w:val="-5"/>
                <w:w w:val="95"/>
                <w:sz w:val="14"/>
              </w:rPr>
              <w:t>3.0</w:t>
            </w:r>
          </w:p>
        </w:tc>
        <w:tc>
          <w:tcPr>
            <w:tcW w:w="1318" w:type="dxa"/>
            <w:shd w:val="clear" w:color="auto" w:fill="D4E3F5"/>
          </w:tcPr>
          <w:p>
            <w:pPr>
              <w:pStyle w:val="TableParagraph"/>
              <w:ind w:left="178"/>
              <w:rPr>
                <w:sz w:val="14"/>
              </w:rPr>
            </w:pPr>
            <w:r>
              <w:rPr>
                <w:color w:val="231F20"/>
                <w:spacing w:val="-5"/>
                <w:w w:val="95"/>
                <w:sz w:val="14"/>
              </w:rPr>
              <w:t>2.6</w:t>
            </w:r>
          </w:p>
        </w:tc>
        <w:tc>
          <w:tcPr>
            <w:tcW w:w="1728" w:type="dxa"/>
            <w:shd w:val="clear" w:color="auto" w:fill="D4E3F5"/>
          </w:tcPr>
          <w:p>
            <w:pPr>
              <w:pStyle w:val="TableParagraph"/>
              <w:ind w:left="217" w:right="13"/>
              <w:rPr>
                <w:sz w:val="14"/>
              </w:rPr>
            </w:pPr>
            <w:r>
              <w:rPr>
                <w:color w:val="231F20"/>
                <w:spacing w:val="-5"/>
                <w:w w:val="95"/>
                <w:sz w:val="14"/>
              </w:rPr>
              <w:t>4.0</w:t>
            </w:r>
          </w:p>
        </w:tc>
      </w:tr>
      <w:tr>
        <w:trPr>
          <w:trHeight w:val="259" w:hRule="atLeast"/>
        </w:trPr>
        <w:tc>
          <w:tcPr>
            <w:tcW w:w="1500" w:type="dxa"/>
          </w:tcPr>
          <w:p>
            <w:pPr>
              <w:pStyle w:val="TableParagraph"/>
              <w:ind w:left="80"/>
              <w:jc w:val="left"/>
              <w:rPr>
                <w:sz w:val="14"/>
              </w:rPr>
            </w:pPr>
            <w:r>
              <w:rPr>
                <w:color w:val="231F20"/>
                <w:spacing w:val="-2"/>
                <w:w w:val="90"/>
                <w:sz w:val="14"/>
              </w:rPr>
              <w:t>Jamaica</w:t>
            </w:r>
          </w:p>
        </w:tc>
        <w:tc>
          <w:tcPr>
            <w:tcW w:w="1573" w:type="dxa"/>
          </w:tcPr>
          <w:p>
            <w:pPr>
              <w:pStyle w:val="TableParagraph"/>
              <w:ind w:left="730"/>
              <w:jc w:val="left"/>
              <w:rPr>
                <w:sz w:val="14"/>
              </w:rPr>
            </w:pPr>
            <w:r>
              <w:rPr>
                <w:color w:val="231F20"/>
                <w:spacing w:val="-4"/>
                <w:w w:val="95"/>
                <w:sz w:val="14"/>
              </w:rPr>
              <w:t>27.5</w:t>
            </w:r>
          </w:p>
        </w:tc>
        <w:tc>
          <w:tcPr>
            <w:tcW w:w="1564" w:type="dxa"/>
          </w:tcPr>
          <w:p>
            <w:pPr>
              <w:pStyle w:val="TableParagraph"/>
              <w:ind w:left="77" w:right="85"/>
              <w:rPr>
                <w:sz w:val="14"/>
              </w:rPr>
            </w:pPr>
            <w:r>
              <w:rPr>
                <w:color w:val="231F20"/>
                <w:spacing w:val="-5"/>
                <w:w w:val="95"/>
                <w:sz w:val="14"/>
              </w:rPr>
              <w:t>4.8</w:t>
            </w:r>
          </w:p>
        </w:tc>
        <w:tc>
          <w:tcPr>
            <w:tcW w:w="1318" w:type="dxa"/>
          </w:tcPr>
          <w:p>
            <w:pPr>
              <w:pStyle w:val="TableParagraph"/>
              <w:ind w:left="179"/>
              <w:rPr>
                <w:sz w:val="14"/>
              </w:rPr>
            </w:pPr>
            <w:r>
              <w:rPr>
                <w:color w:val="231F20"/>
                <w:spacing w:val="-5"/>
                <w:w w:val="95"/>
                <w:sz w:val="14"/>
              </w:rPr>
              <w:t>4.9</w:t>
            </w:r>
          </w:p>
        </w:tc>
        <w:tc>
          <w:tcPr>
            <w:tcW w:w="1728" w:type="dxa"/>
          </w:tcPr>
          <w:p>
            <w:pPr>
              <w:pStyle w:val="TableParagraph"/>
              <w:ind w:left="217" w:right="1"/>
              <w:rPr>
                <w:sz w:val="14"/>
              </w:rPr>
            </w:pPr>
            <w:r>
              <w:rPr>
                <w:color w:val="231F20"/>
                <w:spacing w:val="-5"/>
                <w:w w:val="95"/>
                <w:sz w:val="14"/>
              </w:rPr>
              <w:t>7.9</w:t>
            </w:r>
          </w:p>
        </w:tc>
      </w:tr>
      <w:tr>
        <w:trPr>
          <w:trHeight w:val="259" w:hRule="atLeast"/>
        </w:trPr>
        <w:tc>
          <w:tcPr>
            <w:tcW w:w="1500" w:type="dxa"/>
            <w:shd w:val="clear" w:color="auto" w:fill="D4E3F5"/>
          </w:tcPr>
          <w:p>
            <w:pPr>
              <w:pStyle w:val="TableParagraph"/>
              <w:ind w:left="80"/>
              <w:jc w:val="left"/>
              <w:rPr>
                <w:sz w:val="14"/>
              </w:rPr>
            </w:pPr>
            <w:r>
              <w:rPr>
                <w:color w:val="231F20"/>
                <w:spacing w:val="-2"/>
                <w:w w:val="90"/>
                <w:sz w:val="14"/>
              </w:rPr>
              <w:t>Japan</w:t>
            </w:r>
          </w:p>
        </w:tc>
        <w:tc>
          <w:tcPr>
            <w:tcW w:w="1573" w:type="dxa"/>
            <w:shd w:val="clear" w:color="auto" w:fill="D4E3F5"/>
          </w:tcPr>
          <w:p>
            <w:pPr>
              <w:pStyle w:val="TableParagraph"/>
              <w:ind w:left="655"/>
              <w:jc w:val="left"/>
              <w:rPr>
                <w:sz w:val="14"/>
              </w:rPr>
            </w:pPr>
            <w:r>
              <w:rPr>
                <w:color w:val="231F20"/>
                <w:spacing w:val="-5"/>
                <w:w w:val="95"/>
                <w:sz w:val="14"/>
              </w:rPr>
              <w:t>135</w:t>
            </w:r>
          </w:p>
        </w:tc>
        <w:tc>
          <w:tcPr>
            <w:tcW w:w="1564" w:type="dxa"/>
            <w:shd w:val="clear" w:color="auto" w:fill="D4E3F5"/>
          </w:tcPr>
          <w:p>
            <w:pPr>
              <w:pStyle w:val="TableParagraph"/>
              <w:ind w:left="76" w:right="85"/>
              <w:rPr>
                <w:sz w:val="14"/>
              </w:rPr>
            </w:pPr>
            <w:r>
              <w:rPr>
                <w:color w:val="231F20"/>
                <w:spacing w:val="-5"/>
                <w:w w:val="95"/>
                <w:sz w:val="14"/>
              </w:rPr>
              <w:t>2.6</w:t>
            </w:r>
          </w:p>
        </w:tc>
        <w:tc>
          <w:tcPr>
            <w:tcW w:w="1318" w:type="dxa"/>
            <w:shd w:val="clear" w:color="auto" w:fill="D4E3F5"/>
          </w:tcPr>
          <w:p>
            <w:pPr>
              <w:pStyle w:val="TableParagraph"/>
              <w:ind w:left="192" w:right="7"/>
              <w:rPr>
                <w:sz w:val="14"/>
              </w:rPr>
            </w:pPr>
            <w:r>
              <w:rPr>
                <w:color w:val="231F20"/>
                <w:spacing w:val="-5"/>
                <w:w w:val="95"/>
                <w:sz w:val="14"/>
              </w:rPr>
              <w:t>1.8</w:t>
            </w:r>
          </w:p>
        </w:tc>
        <w:tc>
          <w:tcPr>
            <w:tcW w:w="1728" w:type="dxa"/>
            <w:shd w:val="clear" w:color="auto" w:fill="D4E3F5"/>
          </w:tcPr>
          <w:p>
            <w:pPr>
              <w:pStyle w:val="TableParagraph"/>
              <w:ind w:left="217" w:right="16"/>
              <w:rPr>
                <w:sz w:val="14"/>
              </w:rPr>
            </w:pPr>
            <w:r>
              <w:rPr>
                <w:color w:val="231F20"/>
                <w:spacing w:val="-5"/>
                <w:w w:val="95"/>
                <w:sz w:val="14"/>
              </w:rPr>
              <w:t>3.4</w:t>
            </w:r>
          </w:p>
        </w:tc>
      </w:tr>
      <w:tr>
        <w:trPr>
          <w:trHeight w:val="259" w:hRule="atLeast"/>
        </w:trPr>
        <w:tc>
          <w:tcPr>
            <w:tcW w:w="1500" w:type="dxa"/>
          </w:tcPr>
          <w:p>
            <w:pPr>
              <w:pStyle w:val="TableParagraph"/>
              <w:ind w:left="80"/>
              <w:jc w:val="left"/>
              <w:rPr>
                <w:sz w:val="14"/>
              </w:rPr>
            </w:pPr>
            <w:r>
              <w:rPr>
                <w:color w:val="231F20"/>
                <w:spacing w:val="-2"/>
                <w:w w:val="85"/>
                <w:sz w:val="14"/>
              </w:rPr>
              <w:t>Kazakhstan</w:t>
            </w:r>
          </w:p>
        </w:tc>
        <w:tc>
          <w:tcPr>
            <w:tcW w:w="1573" w:type="dxa"/>
          </w:tcPr>
          <w:p>
            <w:pPr>
              <w:pStyle w:val="TableParagraph"/>
              <w:ind w:left="717"/>
              <w:jc w:val="left"/>
              <w:rPr>
                <w:sz w:val="14"/>
              </w:rPr>
            </w:pPr>
            <w:r>
              <w:rPr>
                <w:color w:val="231F20"/>
                <w:spacing w:val="-5"/>
                <w:w w:val="95"/>
                <w:sz w:val="14"/>
              </w:rPr>
              <w:t>53</w:t>
            </w:r>
          </w:p>
        </w:tc>
        <w:tc>
          <w:tcPr>
            <w:tcW w:w="1564" w:type="dxa"/>
          </w:tcPr>
          <w:p>
            <w:pPr>
              <w:pStyle w:val="TableParagraph"/>
              <w:ind w:left="76" w:right="85"/>
              <w:rPr>
                <w:sz w:val="14"/>
              </w:rPr>
            </w:pPr>
            <w:r>
              <w:rPr>
                <w:color w:val="231F20"/>
                <w:spacing w:val="-5"/>
                <w:w w:val="95"/>
                <w:sz w:val="14"/>
              </w:rPr>
              <w:t>5.0</w:t>
            </w:r>
          </w:p>
        </w:tc>
        <w:tc>
          <w:tcPr>
            <w:tcW w:w="1318" w:type="dxa"/>
          </w:tcPr>
          <w:p>
            <w:pPr>
              <w:pStyle w:val="TableParagraph"/>
              <w:ind w:left="178"/>
              <w:rPr>
                <w:sz w:val="14"/>
              </w:rPr>
            </w:pPr>
            <w:r>
              <w:rPr>
                <w:color w:val="231F20"/>
                <w:spacing w:val="-5"/>
                <w:w w:val="95"/>
                <w:sz w:val="14"/>
              </w:rPr>
              <w:t>2.8</w:t>
            </w:r>
          </w:p>
        </w:tc>
        <w:tc>
          <w:tcPr>
            <w:tcW w:w="1728" w:type="dxa"/>
          </w:tcPr>
          <w:p>
            <w:pPr>
              <w:pStyle w:val="TableParagraph"/>
              <w:ind w:left="217" w:right="12"/>
              <w:rPr>
                <w:sz w:val="14"/>
              </w:rPr>
            </w:pPr>
            <w:r>
              <w:rPr>
                <w:color w:val="231F20"/>
                <w:spacing w:val="-5"/>
                <w:w w:val="95"/>
                <w:sz w:val="14"/>
              </w:rPr>
              <w:t>8.5</w:t>
            </w:r>
          </w:p>
        </w:tc>
      </w:tr>
      <w:tr>
        <w:trPr>
          <w:trHeight w:val="259" w:hRule="atLeast"/>
        </w:trPr>
        <w:tc>
          <w:tcPr>
            <w:tcW w:w="1500" w:type="dxa"/>
            <w:shd w:val="clear" w:color="auto" w:fill="D4E3F5"/>
          </w:tcPr>
          <w:p>
            <w:pPr>
              <w:pStyle w:val="TableParagraph"/>
              <w:ind w:left="80"/>
              <w:jc w:val="left"/>
              <w:rPr>
                <w:sz w:val="14"/>
              </w:rPr>
            </w:pPr>
            <w:r>
              <w:rPr>
                <w:color w:val="231F20"/>
                <w:w w:val="75"/>
                <w:sz w:val="14"/>
              </w:rPr>
              <w:t>Korea,</w:t>
            </w:r>
            <w:r>
              <w:rPr>
                <w:color w:val="231F20"/>
                <w:spacing w:val="9"/>
                <w:sz w:val="14"/>
              </w:rPr>
              <w:t> </w:t>
            </w:r>
            <w:r>
              <w:rPr>
                <w:color w:val="231F20"/>
                <w:spacing w:val="-4"/>
                <w:w w:val="90"/>
                <w:sz w:val="14"/>
              </w:rPr>
              <w:t>Rep.</w:t>
            </w:r>
          </w:p>
        </w:tc>
        <w:tc>
          <w:tcPr>
            <w:tcW w:w="1573" w:type="dxa"/>
            <w:shd w:val="clear" w:color="auto" w:fill="D4E3F5"/>
          </w:tcPr>
          <w:p>
            <w:pPr>
              <w:pStyle w:val="TableParagraph"/>
              <w:ind w:left="655"/>
              <w:jc w:val="left"/>
              <w:rPr>
                <w:sz w:val="14"/>
              </w:rPr>
            </w:pPr>
            <w:r>
              <w:rPr>
                <w:color w:val="231F20"/>
                <w:spacing w:val="-5"/>
                <w:w w:val="95"/>
                <w:sz w:val="14"/>
              </w:rPr>
              <w:t>129</w:t>
            </w:r>
          </w:p>
        </w:tc>
        <w:tc>
          <w:tcPr>
            <w:tcW w:w="1564" w:type="dxa"/>
            <w:shd w:val="clear" w:color="auto" w:fill="D4E3F5"/>
          </w:tcPr>
          <w:p>
            <w:pPr>
              <w:pStyle w:val="TableParagraph"/>
              <w:ind w:left="81" w:right="85"/>
              <w:rPr>
                <w:sz w:val="14"/>
              </w:rPr>
            </w:pPr>
            <w:r>
              <w:rPr>
                <w:color w:val="231F20"/>
                <w:spacing w:val="-5"/>
                <w:w w:val="95"/>
                <w:sz w:val="14"/>
              </w:rPr>
              <w:t>1.4</w:t>
            </w:r>
          </w:p>
        </w:tc>
        <w:tc>
          <w:tcPr>
            <w:tcW w:w="1318" w:type="dxa"/>
            <w:shd w:val="clear" w:color="auto" w:fill="D4E3F5"/>
          </w:tcPr>
          <w:p>
            <w:pPr>
              <w:pStyle w:val="TableParagraph"/>
              <w:ind w:left="192" w:right="8"/>
              <w:rPr>
                <w:sz w:val="14"/>
              </w:rPr>
            </w:pPr>
            <w:r>
              <w:rPr>
                <w:color w:val="231F20"/>
                <w:spacing w:val="-5"/>
                <w:w w:val="95"/>
                <w:sz w:val="14"/>
              </w:rPr>
              <w:t>1.0</w:t>
            </w:r>
          </w:p>
        </w:tc>
        <w:tc>
          <w:tcPr>
            <w:tcW w:w="1728" w:type="dxa"/>
            <w:shd w:val="clear" w:color="auto" w:fill="D4E3F5"/>
          </w:tcPr>
          <w:p>
            <w:pPr>
              <w:pStyle w:val="TableParagraph"/>
              <w:ind w:left="217" w:right="31"/>
              <w:rPr>
                <w:sz w:val="14"/>
              </w:rPr>
            </w:pPr>
            <w:r>
              <w:rPr>
                <w:color w:val="231F20"/>
                <w:spacing w:val="-5"/>
                <w:w w:val="95"/>
                <w:sz w:val="14"/>
              </w:rPr>
              <w:t>2.1</w:t>
            </w:r>
          </w:p>
        </w:tc>
      </w:tr>
      <w:tr>
        <w:trPr>
          <w:trHeight w:val="259" w:hRule="atLeast"/>
        </w:trPr>
        <w:tc>
          <w:tcPr>
            <w:tcW w:w="1500" w:type="dxa"/>
          </w:tcPr>
          <w:p>
            <w:pPr>
              <w:pStyle w:val="TableParagraph"/>
              <w:ind w:left="80"/>
              <w:jc w:val="left"/>
              <w:rPr>
                <w:sz w:val="14"/>
              </w:rPr>
            </w:pPr>
            <w:r>
              <w:rPr>
                <w:color w:val="231F20"/>
                <w:spacing w:val="-2"/>
                <w:w w:val="90"/>
                <w:sz w:val="14"/>
              </w:rPr>
              <w:t>Kuwait</w:t>
            </w:r>
          </w:p>
        </w:tc>
        <w:tc>
          <w:tcPr>
            <w:tcW w:w="1573" w:type="dxa"/>
          </w:tcPr>
          <w:p>
            <w:pPr>
              <w:pStyle w:val="TableParagraph"/>
              <w:ind w:left="716"/>
              <w:jc w:val="left"/>
              <w:rPr>
                <w:sz w:val="14"/>
              </w:rPr>
            </w:pPr>
            <w:r>
              <w:rPr>
                <w:color w:val="231F20"/>
                <w:spacing w:val="-5"/>
                <w:w w:val="95"/>
                <w:sz w:val="14"/>
              </w:rPr>
              <w:t>94</w:t>
            </w:r>
          </w:p>
        </w:tc>
        <w:tc>
          <w:tcPr>
            <w:tcW w:w="1564" w:type="dxa"/>
          </w:tcPr>
          <w:p>
            <w:pPr>
              <w:pStyle w:val="TableParagraph"/>
              <w:ind w:left="76" w:right="85"/>
              <w:rPr>
                <w:sz w:val="14"/>
              </w:rPr>
            </w:pPr>
            <w:r>
              <w:rPr>
                <w:color w:val="231F20"/>
                <w:spacing w:val="-5"/>
                <w:w w:val="95"/>
                <w:sz w:val="14"/>
              </w:rPr>
              <w:t>2.8</w:t>
            </w:r>
          </w:p>
        </w:tc>
        <w:tc>
          <w:tcPr>
            <w:tcW w:w="1318" w:type="dxa"/>
          </w:tcPr>
          <w:p>
            <w:pPr>
              <w:pStyle w:val="TableParagraph"/>
              <w:ind w:left="173"/>
              <w:rPr>
                <w:sz w:val="14"/>
              </w:rPr>
            </w:pPr>
            <w:r>
              <w:rPr>
                <w:color w:val="231F20"/>
                <w:spacing w:val="-5"/>
                <w:w w:val="95"/>
                <w:sz w:val="14"/>
              </w:rPr>
              <w:t>2.7</w:t>
            </w:r>
          </w:p>
        </w:tc>
        <w:tc>
          <w:tcPr>
            <w:tcW w:w="1728" w:type="dxa"/>
          </w:tcPr>
          <w:p>
            <w:pPr>
              <w:pStyle w:val="TableParagraph"/>
              <w:ind w:left="217" w:right="12"/>
              <w:rPr>
                <w:sz w:val="14"/>
              </w:rPr>
            </w:pPr>
            <w:r>
              <w:rPr>
                <w:color w:val="231F20"/>
                <w:spacing w:val="-5"/>
                <w:w w:val="95"/>
                <w:sz w:val="14"/>
              </w:rPr>
              <w:t>4.8</w:t>
            </w:r>
          </w:p>
        </w:tc>
      </w:tr>
      <w:tr>
        <w:trPr>
          <w:trHeight w:val="259" w:hRule="atLeast"/>
        </w:trPr>
        <w:tc>
          <w:tcPr>
            <w:tcW w:w="1500" w:type="dxa"/>
            <w:shd w:val="clear" w:color="auto" w:fill="D4E3F5"/>
          </w:tcPr>
          <w:p>
            <w:pPr>
              <w:pStyle w:val="TableParagraph"/>
              <w:ind w:left="80"/>
              <w:jc w:val="left"/>
              <w:rPr>
                <w:sz w:val="14"/>
              </w:rPr>
            </w:pPr>
            <w:r>
              <w:rPr>
                <w:color w:val="231F20"/>
                <w:spacing w:val="-2"/>
                <w:w w:val="90"/>
                <w:sz w:val="14"/>
              </w:rPr>
              <w:t>Latvia</w:t>
            </w:r>
          </w:p>
        </w:tc>
        <w:tc>
          <w:tcPr>
            <w:tcW w:w="1573" w:type="dxa"/>
            <w:shd w:val="clear" w:color="auto" w:fill="D4E3F5"/>
          </w:tcPr>
          <w:p>
            <w:pPr>
              <w:pStyle w:val="TableParagraph"/>
              <w:ind w:left="716"/>
              <w:jc w:val="left"/>
              <w:rPr>
                <w:sz w:val="14"/>
              </w:rPr>
            </w:pPr>
            <w:r>
              <w:rPr>
                <w:color w:val="231F20"/>
                <w:spacing w:val="-4"/>
                <w:w w:val="95"/>
                <w:sz w:val="14"/>
              </w:rPr>
              <w:t>64.5</w:t>
            </w:r>
          </w:p>
        </w:tc>
        <w:tc>
          <w:tcPr>
            <w:tcW w:w="1564" w:type="dxa"/>
            <w:shd w:val="clear" w:color="auto" w:fill="D4E3F5"/>
          </w:tcPr>
          <w:p>
            <w:pPr>
              <w:pStyle w:val="TableParagraph"/>
              <w:ind w:left="75" w:right="85"/>
              <w:rPr>
                <w:sz w:val="14"/>
              </w:rPr>
            </w:pPr>
            <w:r>
              <w:rPr>
                <w:color w:val="231F20"/>
                <w:spacing w:val="-5"/>
                <w:w w:val="95"/>
                <w:sz w:val="14"/>
              </w:rPr>
              <w:t>3.0</w:t>
            </w:r>
          </w:p>
        </w:tc>
        <w:tc>
          <w:tcPr>
            <w:tcW w:w="1318" w:type="dxa"/>
            <w:shd w:val="clear" w:color="auto" w:fill="D4E3F5"/>
          </w:tcPr>
          <w:p>
            <w:pPr>
              <w:pStyle w:val="TableParagraph"/>
              <w:ind w:left="160"/>
              <w:rPr>
                <w:sz w:val="14"/>
              </w:rPr>
            </w:pPr>
            <w:r>
              <w:rPr>
                <w:color w:val="231F20"/>
                <w:spacing w:val="-5"/>
                <w:w w:val="95"/>
                <w:sz w:val="14"/>
              </w:rPr>
              <w:t>2.1</w:t>
            </w:r>
          </w:p>
        </w:tc>
        <w:tc>
          <w:tcPr>
            <w:tcW w:w="1728" w:type="dxa"/>
            <w:shd w:val="clear" w:color="auto" w:fill="D4E3F5"/>
          </w:tcPr>
          <w:p>
            <w:pPr>
              <w:pStyle w:val="TableParagraph"/>
              <w:ind w:left="217" w:right="12"/>
              <w:rPr>
                <w:sz w:val="14"/>
              </w:rPr>
            </w:pPr>
            <w:r>
              <w:rPr>
                <w:color w:val="231F20"/>
                <w:spacing w:val="-5"/>
                <w:w w:val="95"/>
                <w:sz w:val="14"/>
              </w:rPr>
              <w:t>3.9</w:t>
            </w:r>
          </w:p>
        </w:tc>
      </w:tr>
      <w:tr>
        <w:trPr>
          <w:trHeight w:val="259" w:hRule="atLeast"/>
        </w:trPr>
        <w:tc>
          <w:tcPr>
            <w:tcW w:w="1500" w:type="dxa"/>
          </w:tcPr>
          <w:p>
            <w:pPr>
              <w:pStyle w:val="TableParagraph"/>
              <w:ind w:left="80"/>
              <w:jc w:val="left"/>
              <w:rPr>
                <w:sz w:val="14"/>
              </w:rPr>
            </w:pPr>
            <w:r>
              <w:rPr>
                <w:color w:val="231F20"/>
                <w:spacing w:val="-2"/>
                <w:w w:val="90"/>
                <w:sz w:val="14"/>
              </w:rPr>
              <w:t>Lithuania</w:t>
            </w:r>
          </w:p>
        </w:tc>
        <w:tc>
          <w:tcPr>
            <w:tcW w:w="1573" w:type="dxa"/>
          </w:tcPr>
          <w:p>
            <w:pPr>
              <w:pStyle w:val="TableParagraph"/>
              <w:ind w:left="718"/>
              <w:jc w:val="left"/>
              <w:rPr>
                <w:sz w:val="14"/>
              </w:rPr>
            </w:pPr>
            <w:r>
              <w:rPr>
                <w:color w:val="231F20"/>
                <w:spacing w:val="-4"/>
                <w:w w:val="95"/>
                <w:sz w:val="14"/>
              </w:rPr>
              <w:t>75.5</w:t>
            </w:r>
          </w:p>
        </w:tc>
        <w:tc>
          <w:tcPr>
            <w:tcW w:w="1564" w:type="dxa"/>
          </w:tcPr>
          <w:p>
            <w:pPr>
              <w:pStyle w:val="TableParagraph"/>
              <w:ind w:left="76" w:right="85"/>
              <w:rPr>
                <w:sz w:val="14"/>
              </w:rPr>
            </w:pPr>
            <w:r>
              <w:rPr>
                <w:color w:val="231F20"/>
                <w:spacing w:val="-5"/>
                <w:w w:val="95"/>
                <w:sz w:val="14"/>
              </w:rPr>
              <w:t>2.9</w:t>
            </w:r>
          </w:p>
        </w:tc>
        <w:tc>
          <w:tcPr>
            <w:tcW w:w="1318" w:type="dxa"/>
          </w:tcPr>
          <w:p>
            <w:pPr>
              <w:pStyle w:val="TableParagraph"/>
              <w:ind w:left="176"/>
              <w:rPr>
                <w:sz w:val="14"/>
              </w:rPr>
            </w:pPr>
            <w:r>
              <w:rPr>
                <w:color w:val="231F20"/>
                <w:spacing w:val="-5"/>
                <w:w w:val="95"/>
                <w:sz w:val="14"/>
              </w:rPr>
              <w:t>2.4</w:t>
            </w:r>
          </w:p>
        </w:tc>
        <w:tc>
          <w:tcPr>
            <w:tcW w:w="1728" w:type="dxa"/>
          </w:tcPr>
          <w:p>
            <w:pPr>
              <w:pStyle w:val="TableParagraph"/>
              <w:ind w:left="217" w:right="15"/>
              <w:rPr>
                <w:sz w:val="14"/>
              </w:rPr>
            </w:pPr>
            <w:r>
              <w:rPr>
                <w:color w:val="231F20"/>
                <w:spacing w:val="-5"/>
                <w:w w:val="95"/>
                <w:sz w:val="14"/>
              </w:rPr>
              <w:t>2.4</w:t>
            </w:r>
          </w:p>
        </w:tc>
      </w:tr>
      <w:tr>
        <w:trPr>
          <w:trHeight w:val="259" w:hRule="atLeast"/>
        </w:trPr>
        <w:tc>
          <w:tcPr>
            <w:tcW w:w="1500" w:type="dxa"/>
            <w:shd w:val="clear" w:color="auto" w:fill="D4E3F5"/>
          </w:tcPr>
          <w:p>
            <w:pPr>
              <w:pStyle w:val="TableParagraph"/>
              <w:ind w:left="80"/>
              <w:jc w:val="left"/>
              <w:rPr>
                <w:sz w:val="14"/>
              </w:rPr>
            </w:pPr>
            <w:r>
              <w:rPr>
                <w:color w:val="231F20"/>
                <w:spacing w:val="-2"/>
                <w:w w:val="90"/>
                <w:sz w:val="14"/>
              </w:rPr>
              <w:t>Luxembourg</w:t>
            </w:r>
          </w:p>
        </w:tc>
        <w:tc>
          <w:tcPr>
            <w:tcW w:w="1573" w:type="dxa"/>
            <w:shd w:val="clear" w:color="auto" w:fill="D4E3F5"/>
          </w:tcPr>
          <w:p>
            <w:pPr>
              <w:pStyle w:val="TableParagraph"/>
              <w:ind w:left="717"/>
              <w:jc w:val="left"/>
              <w:rPr>
                <w:sz w:val="14"/>
              </w:rPr>
            </w:pPr>
            <w:r>
              <w:rPr>
                <w:color w:val="231F20"/>
                <w:spacing w:val="-5"/>
                <w:w w:val="95"/>
                <w:sz w:val="14"/>
              </w:rPr>
              <w:t>68</w:t>
            </w:r>
          </w:p>
        </w:tc>
        <w:tc>
          <w:tcPr>
            <w:tcW w:w="1564" w:type="dxa"/>
            <w:shd w:val="clear" w:color="auto" w:fill="D4E3F5"/>
          </w:tcPr>
          <w:p>
            <w:pPr>
              <w:pStyle w:val="TableParagraph"/>
              <w:ind w:left="76" w:right="85"/>
              <w:rPr>
                <w:sz w:val="14"/>
              </w:rPr>
            </w:pPr>
            <w:r>
              <w:rPr>
                <w:color w:val="231F20"/>
                <w:spacing w:val="-5"/>
                <w:w w:val="95"/>
                <w:sz w:val="14"/>
              </w:rPr>
              <w:t>0.8</w:t>
            </w:r>
          </w:p>
        </w:tc>
        <w:tc>
          <w:tcPr>
            <w:tcW w:w="1318" w:type="dxa"/>
            <w:shd w:val="clear" w:color="auto" w:fill="D4E3F5"/>
          </w:tcPr>
          <w:p>
            <w:pPr>
              <w:pStyle w:val="TableParagraph"/>
              <w:ind w:left="178"/>
              <w:rPr>
                <w:sz w:val="14"/>
              </w:rPr>
            </w:pPr>
            <w:r>
              <w:rPr>
                <w:color w:val="231F20"/>
                <w:spacing w:val="-5"/>
                <w:w w:val="95"/>
                <w:sz w:val="14"/>
              </w:rPr>
              <w:t>0.8</w:t>
            </w:r>
          </w:p>
        </w:tc>
        <w:tc>
          <w:tcPr>
            <w:tcW w:w="1728" w:type="dxa"/>
            <w:shd w:val="clear" w:color="auto" w:fill="D4E3F5"/>
          </w:tcPr>
          <w:p>
            <w:pPr>
              <w:pStyle w:val="TableParagraph"/>
              <w:ind w:left="217" w:right="6"/>
              <w:rPr>
                <w:sz w:val="14"/>
              </w:rPr>
            </w:pPr>
            <w:r>
              <w:rPr>
                <w:color w:val="231F20"/>
                <w:spacing w:val="-5"/>
                <w:w w:val="95"/>
                <w:sz w:val="14"/>
              </w:rPr>
              <w:t>1.5</w:t>
            </w:r>
          </w:p>
        </w:tc>
      </w:tr>
      <w:tr>
        <w:trPr>
          <w:trHeight w:val="259" w:hRule="atLeast"/>
        </w:trPr>
        <w:tc>
          <w:tcPr>
            <w:tcW w:w="1500" w:type="dxa"/>
          </w:tcPr>
          <w:p>
            <w:pPr>
              <w:pStyle w:val="TableParagraph"/>
              <w:ind w:left="80"/>
              <w:jc w:val="left"/>
              <w:rPr>
                <w:sz w:val="14"/>
              </w:rPr>
            </w:pPr>
            <w:r>
              <w:rPr>
                <w:color w:val="231F20"/>
                <w:spacing w:val="-2"/>
                <w:w w:val="90"/>
                <w:sz w:val="14"/>
              </w:rPr>
              <w:t>Madagascar</w:t>
            </w:r>
          </w:p>
        </w:tc>
        <w:tc>
          <w:tcPr>
            <w:tcW w:w="1573" w:type="dxa"/>
          </w:tcPr>
          <w:p>
            <w:pPr>
              <w:pStyle w:val="TableParagraph"/>
              <w:ind w:left="719"/>
              <w:jc w:val="left"/>
              <w:rPr>
                <w:sz w:val="14"/>
              </w:rPr>
            </w:pPr>
            <w:r>
              <w:rPr>
                <w:color w:val="231F20"/>
                <w:spacing w:val="-5"/>
                <w:w w:val="95"/>
                <w:sz w:val="14"/>
              </w:rPr>
              <w:t>52</w:t>
            </w:r>
          </w:p>
        </w:tc>
        <w:tc>
          <w:tcPr>
            <w:tcW w:w="1564" w:type="dxa"/>
          </w:tcPr>
          <w:p>
            <w:pPr>
              <w:pStyle w:val="TableParagraph"/>
              <w:ind w:left="58" w:right="85"/>
              <w:rPr>
                <w:sz w:val="14"/>
              </w:rPr>
            </w:pPr>
            <w:r>
              <w:rPr>
                <w:color w:val="231F20"/>
                <w:spacing w:val="-5"/>
                <w:w w:val="95"/>
                <w:sz w:val="14"/>
              </w:rPr>
              <w:t>2.1</w:t>
            </w:r>
          </w:p>
        </w:tc>
        <w:tc>
          <w:tcPr>
            <w:tcW w:w="1318" w:type="dxa"/>
          </w:tcPr>
          <w:p>
            <w:pPr>
              <w:pStyle w:val="TableParagraph"/>
              <w:ind w:left="178"/>
              <w:rPr>
                <w:sz w:val="14"/>
              </w:rPr>
            </w:pPr>
            <w:r>
              <w:rPr>
                <w:color w:val="231F20"/>
                <w:spacing w:val="-5"/>
                <w:w w:val="95"/>
                <w:sz w:val="14"/>
              </w:rPr>
              <w:t>2.6</w:t>
            </w:r>
          </w:p>
        </w:tc>
        <w:tc>
          <w:tcPr>
            <w:tcW w:w="1728" w:type="dxa"/>
          </w:tcPr>
          <w:p>
            <w:pPr>
              <w:pStyle w:val="TableParagraph"/>
              <w:ind w:left="217" w:right="13"/>
              <w:rPr>
                <w:sz w:val="14"/>
              </w:rPr>
            </w:pPr>
            <w:r>
              <w:rPr>
                <w:color w:val="231F20"/>
                <w:spacing w:val="-5"/>
                <w:w w:val="95"/>
                <w:sz w:val="14"/>
              </w:rPr>
              <w:t>2.3</w:t>
            </w:r>
          </w:p>
        </w:tc>
      </w:tr>
      <w:tr>
        <w:trPr>
          <w:trHeight w:val="259" w:hRule="atLeast"/>
        </w:trPr>
        <w:tc>
          <w:tcPr>
            <w:tcW w:w="1500" w:type="dxa"/>
            <w:shd w:val="clear" w:color="auto" w:fill="D4E3F5"/>
          </w:tcPr>
          <w:p>
            <w:pPr>
              <w:pStyle w:val="TableParagraph"/>
              <w:ind w:left="80"/>
              <w:jc w:val="left"/>
              <w:rPr>
                <w:sz w:val="14"/>
              </w:rPr>
            </w:pPr>
            <w:r>
              <w:rPr>
                <w:color w:val="231F20"/>
                <w:spacing w:val="-2"/>
                <w:w w:val="90"/>
                <w:sz w:val="14"/>
              </w:rPr>
              <w:t>Malaysia</w:t>
            </w:r>
          </w:p>
        </w:tc>
        <w:tc>
          <w:tcPr>
            <w:tcW w:w="1573" w:type="dxa"/>
            <w:shd w:val="clear" w:color="auto" w:fill="D4E3F5"/>
          </w:tcPr>
          <w:p>
            <w:pPr>
              <w:pStyle w:val="TableParagraph"/>
              <w:ind w:left="668"/>
              <w:jc w:val="left"/>
              <w:rPr>
                <w:sz w:val="14"/>
              </w:rPr>
            </w:pPr>
            <w:r>
              <w:rPr>
                <w:color w:val="231F20"/>
                <w:spacing w:val="-5"/>
                <w:w w:val="95"/>
                <w:sz w:val="14"/>
              </w:rPr>
              <w:t>111</w:t>
            </w:r>
          </w:p>
        </w:tc>
        <w:tc>
          <w:tcPr>
            <w:tcW w:w="1564" w:type="dxa"/>
            <w:shd w:val="clear" w:color="auto" w:fill="D4E3F5"/>
          </w:tcPr>
          <w:p>
            <w:pPr>
              <w:pStyle w:val="TableParagraph"/>
              <w:ind w:left="64" w:right="85"/>
              <w:rPr>
                <w:sz w:val="14"/>
              </w:rPr>
            </w:pPr>
            <w:r>
              <w:rPr>
                <w:color w:val="231F20"/>
                <w:spacing w:val="-5"/>
                <w:w w:val="95"/>
                <w:sz w:val="14"/>
              </w:rPr>
              <w:t>1.1</w:t>
            </w:r>
          </w:p>
        </w:tc>
        <w:tc>
          <w:tcPr>
            <w:tcW w:w="1318" w:type="dxa"/>
            <w:shd w:val="clear" w:color="auto" w:fill="D4E3F5"/>
          </w:tcPr>
          <w:p>
            <w:pPr>
              <w:pStyle w:val="TableParagraph"/>
              <w:ind w:left="178"/>
              <w:rPr>
                <w:sz w:val="14"/>
              </w:rPr>
            </w:pPr>
            <w:r>
              <w:rPr>
                <w:color w:val="231F20"/>
                <w:spacing w:val="-5"/>
                <w:w w:val="95"/>
                <w:sz w:val="14"/>
              </w:rPr>
              <w:t>0.8</w:t>
            </w:r>
          </w:p>
        </w:tc>
        <w:tc>
          <w:tcPr>
            <w:tcW w:w="1728" w:type="dxa"/>
            <w:shd w:val="clear" w:color="auto" w:fill="D4E3F5"/>
          </w:tcPr>
          <w:p>
            <w:pPr>
              <w:pStyle w:val="TableParagraph"/>
              <w:ind w:left="217" w:right="31"/>
              <w:rPr>
                <w:sz w:val="14"/>
              </w:rPr>
            </w:pPr>
            <w:r>
              <w:rPr>
                <w:color w:val="231F20"/>
                <w:spacing w:val="-5"/>
                <w:w w:val="95"/>
                <w:sz w:val="14"/>
              </w:rPr>
              <w:t>2.1</w:t>
            </w:r>
          </w:p>
        </w:tc>
      </w:tr>
      <w:tr>
        <w:trPr>
          <w:trHeight w:val="259" w:hRule="atLeast"/>
        </w:trPr>
        <w:tc>
          <w:tcPr>
            <w:tcW w:w="1500" w:type="dxa"/>
          </w:tcPr>
          <w:p>
            <w:pPr>
              <w:pStyle w:val="TableParagraph"/>
              <w:ind w:left="80"/>
              <w:jc w:val="left"/>
              <w:rPr>
                <w:sz w:val="14"/>
              </w:rPr>
            </w:pPr>
            <w:r>
              <w:rPr>
                <w:color w:val="231F20"/>
                <w:spacing w:val="-4"/>
                <w:w w:val="90"/>
                <w:sz w:val="14"/>
              </w:rPr>
              <w:t>Mali</w:t>
            </w:r>
          </w:p>
        </w:tc>
        <w:tc>
          <w:tcPr>
            <w:tcW w:w="1573" w:type="dxa"/>
          </w:tcPr>
          <w:p>
            <w:pPr>
              <w:pStyle w:val="TableParagraph"/>
              <w:ind w:left="716"/>
              <w:jc w:val="left"/>
              <w:rPr>
                <w:sz w:val="14"/>
              </w:rPr>
            </w:pPr>
            <w:r>
              <w:rPr>
                <w:color w:val="231F20"/>
                <w:spacing w:val="-4"/>
                <w:w w:val="95"/>
                <w:sz w:val="14"/>
              </w:rPr>
              <w:t>50.5</w:t>
            </w:r>
          </w:p>
        </w:tc>
        <w:tc>
          <w:tcPr>
            <w:tcW w:w="1564" w:type="dxa"/>
          </w:tcPr>
          <w:p>
            <w:pPr>
              <w:pStyle w:val="TableParagraph"/>
              <w:ind w:left="71" w:right="85"/>
              <w:rPr>
                <w:sz w:val="14"/>
              </w:rPr>
            </w:pPr>
            <w:r>
              <w:rPr>
                <w:color w:val="231F20"/>
                <w:spacing w:val="-5"/>
                <w:w w:val="95"/>
                <w:sz w:val="14"/>
              </w:rPr>
              <w:t>2.7</w:t>
            </w:r>
          </w:p>
        </w:tc>
        <w:tc>
          <w:tcPr>
            <w:tcW w:w="1318" w:type="dxa"/>
          </w:tcPr>
          <w:p>
            <w:pPr>
              <w:pStyle w:val="TableParagraph"/>
              <w:ind w:left="177"/>
              <w:rPr>
                <w:sz w:val="14"/>
              </w:rPr>
            </w:pPr>
            <w:r>
              <w:rPr>
                <w:color w:val="231F20"/>
                <w:spacing w:val="-5"/>
                <w:w w:val="95"/>
                <w:sz w:val="14"/>
              </w:rPr>
              <w:t>3.0</w:t>
            </w:r>
          </w:p>
        </w:tc>
        <w:tc>
          <w:tcPr>
            <w:tcW w:w="1728" w:type="dxa"/>
          </w:tcPr>
          <w:p>
            <w:pPr>
              <w:pStyle w:val="TableParagraph"/>
              <w:ind w:left="217" w:right="30"/>
              <w:rPr>
                <w:sz w:val="14"/>
              </w:rPr>
            </w:pPr>
            <w:r>
              <w:rPr>
                <w:color w:val="231F20"/>
                <w:spacing w:val="-5"/>
                <w:w w:val="95"/>
                <w:sz w:val="14"/>
              </w:rPr>
              <w:t>4.1</w:t>
            </w:r>
          </w:p>
        </w:tc>
      </w:tr>
      <w:tr>
        <w:trPr>
          <w:trHeight w:val="254" w:hRule="atLeast"/>
        </w:trPr>
        <w:tc>
          <w:tcPr>
            <w:tcW w:w="1500" w:type="dxa"/>
            <w:tcBorders>
              <w:bottom w:val="single" w:sz="4" w:space="0" w:color="008FDD"/>
            </w:tcBorders>
            <w:shd w:val="clear" w:color="auto" w:fill="D4E3F5"/>
          </w:tcPr>
          <w:p>
            <w:pPr>
              <w:pStyle w:val="TableParagraph"/>
              <w:ind w:left="80"/>
              <w:jc w:val="left"/>
              <w:rPr>
                <w:sz w:val="14"/>
              </w:rPr>
            </w:pPr>
            <w:r>
              <w:rPr>
                <w:color w:val="231F20"/>
                <w:spacing w:val="-2"/>
                <w:w w:val="90"/>
                <w:sz w:val="14"/>
              </w:rPr>
              <w:t>Malta</w:t>
            </w:r>
          </w:p>
        </w:tc>
        <w:tc>
          <w:tcPr>
            <w:tcW w:w="1573" w:type="dxa"/>
            <w:tcBorders>
              <w:bottom w:val="single" w:sz="4" w:space="0" w:color="008FDD"/>
            </w:tcBorders>
            <w:shd w:val="clear" w:color="auto" w:fill="D4E3F5"/>
          </w:tcPr>
          <w:p>
            <w:pPr>
              <w:pStyle w:val="TableParagraph"/>
              <w:ind w:left="716"/>
              <w:jc w:val="left"/>
              <w:rPr>
                <w:sz w:val="14"/>
              </w:rPr>
            </w:pPr>
            <w:r>
              <w:rPr>
                <w:color w:val="231F20"/>
                <w:spacing w:val="-5"/>
                <w:w w:val="95"/>
                <w:sz w:val="14"/>
              </w:rPr>
              <w:t>66</w:t>
            </w:r>
          </w:p>
        </w:tc>
        <w:tc>
          <w:tcPr>
            <w:tcW w:w="1564" w:type="dxa"/>
            <w:tcBorders>
              <w:bottom w:val="single" w:sz="4" w:space="0" w:color="008FDD"/>
            </w:tcBorders>
            <w:shd w:val="clear" w:color="auto" w:fill="D4E3F5"/>
          </w:tcPr>
          <w:p>
            <w:pPr>
              <w:pStyle w:val="TableParagraph"/>
              <w:ind w:left="83" w:right="85"/>
              <w:rPr>
                <w:sz w:val="14"/>
              </w:rPr>
            </w:pPr>
            <w:r>
              <w:rPr>
                <w:color w:val="231F20"/>
                <w:spacing w:val="-5"/>
                <w:w w:val="95"/>
                <w:sz w:val="14"/>
              </w:rPr>
              <w:t>1.8</w:t>
            </w:r>
          </w:p>
        </w:tc>
        <w:tc>
          <w:tcPr>
            <w:tcW w:w="1318" w:type="dxa"/>
            <w:tcBorders>
              <w:bottom w:val="single" w:sz="4" w:space="0" w:color="008FDD"/>
            </w:tcBorders>
            <w:shd w:val="clear" w:color="auto" w:fill="D4E3F5"/>
          </w:tcPr>
          <w:p>
            <w:pPr>
              <w:pStyle w:val="TableParagraph"/>
              <w:ind w:left="178"/>
              <w:rPr>
                <w:sz w:val="14"/>
              </w:rPr>
            </w:pPr>
            <w:r>
              <w:rPr>
                <w:color w:val="231F20"/>
                <w:spacing w:val="-5"/>
                <w:w w:val="95"/>
                <w:sz w:val="14"/>
              </w:rPr>
              <w:t>2.0</w:t>
            </w:r>
          </w:p>
        </w:tc>
        <w:tc>
          <w:tcPr>
            <w:tcW w:w="1728" w:type="dxa"/>
            <w:tcBorders>
              <w:bottom w:val="single" w:sz="4" w:space="0" w:color="008FDD"/>
            </w:tcBorders>
            <w:shd w:val="clear" w:color="auto" w:fill="D4E3F5"/>
          </w:tcPr>
          <w:p>
            <w:pPr>
              <w:pStyle w:val="TableParagraph"/>
              <w:ind w:left="217" w:right="32"/>
              <w:rPr>
                <w:sz w:val="14"/>
              </w:rPr>
            </w:pPr>
            <w:r>
              <w:rPr>
                <w:color w:val="231F20"/>
                <w:spacing w:val="-5"/>
                <w:w w:val="95"/>
                <w:sz w:val="14"/>
              </w:rPr>
              <w:t>3.1</w:t>
            </w:r>
          </w:p>
        </w:tc>
      </w:tr>
    </w:tbl>
    <w:p>
      <w:pPr>
        <w:spacing w:after="0"/>
        <w:rPr>
          <w:sz w:val="14"/>
        </w:rPr>
        <w:sectPr>
          <w:pgSz w:w="12240" w:h="15840"/>
          <w:pgMar w:header="370" w:footer="548" w:top="560" w:bottom="740" w:left="0" w:right="54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78"/>
        <w:rPr>
          <w:rFonts w:ascii="Arial"/>
          <w:sz w:val="20"/>
        </w:rPr>
      </w:pPr>
    </w:p>
    <w:tbl>
      <w:tblPr>
        <w:tblW w:w="0" w:type="auto"/>
        <w:jc w:val="left"/>
        <w:tblInd w:w="3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2"/>
        <w:gridCol w:w="1619"/>
        <w:gridCol w:w="1563"/>
        <w:gridCol w:w="1317"/>
        <w:gridCol w:w="1727"/>
      </w:tblGrid>
      <w:tr>
        <w:trPr>
          <w:trHeight w:val="529" w:hRule="atLeast"/>
        </w:trPr>
        <w:tc>
          <w:tcPr>
            <w:tcW w:w="1452" w:type="dxa"/>
          </w:tcPr>
          <w:p>
            <w:pPr>
              <w:pStyle w:val="TableParagraph"/>
              <w:spacing w:before="0"/>
              <w:jc w:val="left"/>
              <w:rPr>
                <w:rFonts w:ascii="Times New Roman"/>
                <w:sz w:val="12"/>
              </w:rPr>
            </w:pPr>
          </w:p>
        </w:tc>
        <w:tc>
          <w:tcPr>
            <w:tcW w:w="1619" w:type="dxa"/>
            <w:vMerge w:val="restart"/>
            <w:tcBorders>
              <w:bottom w:val="single" w:sz="4" w:space="0" w:color="008FDD"/>
            </w:tcBorders>
          </w:tcPr>
          <w:p>
            <w:pPr>
              <w:pStyle w:val="TableParagraph"/>
              <w:spacing w:before="102"/>
              <w:jc w:val="left"/>
              <w:rPr>
                <w:sz w:val="14"/>
              </w:rPr>
            </w:pPr>
          </w:p>
          <w:p>
            <w:pPr>
              <w:pStyle w:val="TableParagraph"/>
              <w:spacing w:before="0"/>
              <w:ind w:left="300" w:right="211" w:hanging="3"/>
              <w:rPr>
                <w:b/>
                <w:sz w:val="14"/>
              </w:rPr>
            </w:pPr>
            <w:r>
              <w:rPr>
                <w:b/>
                <w:color w:val="231F20"/>
                <w:w w:val="85"/>
                <w:sz w:val="14"/>
              </w:rPr>
              <w:t>Average</w:t>
            </w:r>
            <w:r>
              <w:rPr>
                <w:b/>
                <w:color w:val="231F20"/>
                <w:spacing w:val="-4"/>
                <w:w w:val="85"/>
                <w:sz w:val="14"/>
              </w:rPr>
              <w:t> </w:t>
            </w:r>
            <w:r>
              <w:rPr>
                <w:b/>
                <w:color w:val="231F20"/>
                <w:w w:val="85"/>
                <w:sz w:val="14"/>
              </w:rPr>
              <w:t>number</w:t>
            </w:r>
            <w:r>
              <w:rPr>
                <w:b/>
                <w:color w:val="231F20"/>
                <w:spacing w:val="-4"/>
                <w:w w:val="85"/>
                <w:sz w:val="14"/>
              </w:rPr>
              <w:t> </w:t>
            </w:r>
            <w:r>
              <w:rPr>
                <w:b/>
                <w:color w:val="231F20"/>
                <w:w w:val="85"/>
                <w:sz w:val="14"/>
              </w:rPr>
              <w:t>of</w:t>
            </w:r>
            <w:r>
              <w:rPr>
                <w:b/>
                <w:color w:val="231F20"/>
                <w:spacing w:val="40"/>
                <w:sz w:val="14"/>
              </w:rPr>
              <w:t> </w:t>
            </w:r>
            <w:r>
              <w:rPr>
                <w:b/>
                <w:color w:val="231F20"/>
                <w:w w:val="80"/>
                <w:sz w:val="14"/>
              </w:rPr>
              <w:t>partners</w:t>
            </w:r>
            <w:r>
              <w:rPr>
                <w:b/>
                <w:color w:val="231F20"/>
                <w:spacing w:val="-2"/>
                <w:w w:val="80"/>
                <w:sz w:val="14"/>
              </w:rPr>
              <w:t> </w:t>
            </w:r>
            <w:r>
              <w:rPr>
                <w:b/>
                <w:color w:val="231F20"/>
                <w:w w:val="80"/>
                <w:sz w:val="14"/>
              </w:rPr>
              <w:t>(incoming</w:t>
            </w:r>
            <w:r>
              <w:rPr>
                <w:b/>
                <w:color w:val="231F20"/>
                <w:spacing w:val="40"/>
                <w:sz w:val="14"/>
              </w:rPr>
              <w:t> </w:t>
            </w:r>
            <w:r>
              <w:rPr>
                <w:b/>
                <w:color w:val="231F20"/>
                <w:w w:val="95"/>
                <w:sz w:val="14"/>
              </w:rPr>
              <w:t>and</w:t>
            </w:r>
            <w:r>
              <w:rPr>
                <w:b/>
                <w:color w:val="231F20"/>
                <w:spacing w:val="-8"/>
                <w:w w:val="95"/>
                <w:sz w:val="14"/>
              </w:rPr>
              <w:t> </w:t>
            </w:r>
            <w:r>
              <w:rPr>
                <w:b/>
                <w:color w:val="231F20"/>
                <w:w w:val="95"/>
                <w:sz w:val="14"/>
              </w:rPr>
              <w:t>outgoing)</w:t>
            </w:r>
          </w:p>
        </w:tc>
        <w:tc>
          <w:tcPr>
            <w:tcW w:w="4607" w:type="dxa"/>
            <w:gridSpan w:val="3"/>
            <w:tcBorders>
              <w:bottom w:val="single" w:sz="4" w:space="0" w:color="008FDD"/>
            </w:tcBorders>
          </w:tcPr>
          <w:p>
            <w:pPr>
              <w:pStyle w:val="TableParagraph"/>
              <w:spacing w:before="3"/>
              <w:ind w:left="526" w:right="521"/>
              <w:rPr>
                <w:b/>
                <w:sz w:val="14"/>
              </w:rPr>
            </w:pPr>
            <w:r>
              <w:rPr>
                <w:b/>
                <w:color w:val="231F20"/>
                <w:w w:val="85"/>
                <w:sz w:val="14"/>
              </w:rPr>
              <w:t>Aviation import dwell time (time from advisory to the</w:t>
            </w:r>
            <w:r>
              <w:rPr>
                <w:b/>
                <w:color w:val="231F20"/>
                <w:spacing w:val="40"/>
                <w:sz w:val="14"/>
              </w:rPr>
              <w:t> </w:t>
            </w:r>
            <w:r>
              <w:rPr>
                <w:b/>
                <w:color w:val="231F20"/>
                <w:w w:val="90"/>
                <w:sz w:val="14"/>
              </w:rPr>
              <w:t>consignee</w:t>
            </w:r>
            <w:r>
              <w:rPr>
                <w:b/>
                <w:color w:val="231F20"/>
                <w:spacing w:val="-1"/>
                <w:w w:val="90"/>
                <w:sz w:val="14"/>
              </w:rPr>
              <w:t> </w:t>
            </w:r>
            <w:r>
              <w:rPr>
                <w:b/>
                <w:color w:val="231F20"/>
                <w:w w:val="90"/>
                <w:sz w:val="14"/>
              </w:rPr>
              <w:t>of</w:t>
            </w:r>
            <w:r>
              <w:rPr>
                <w:b/>
                <w:color w:val="231F20"/>
                <w:spacing w:val="-1"/>
                <w:w w:val="90"/>
                <w:sz w:val="14"/>
              </w:rPr>
              <w:t> </w:t>
            </w:r>
            <w:r>
              <w:rPr>
                <w:b/>
                <w:color w:val="231F20"/>
                <w:w w:val="90"/>
                <w:sz w:val="14"/>
              </w:rPr>
              <w:t>the</w:t>
            </w:r>
            <w:r>
              <w:rPr>
                <w:b/>
                <w:color w:val="231F20"/>
                <w:spacing w:val="-1"/>
                <w:w w:val="90"/>
                <w:sz w:val="14"/>
              </w:rPr>
              <w:t> </w:t>
            </w:r>
            <w:r>
              <w:rPr>
                <w:b/>
                <w:color w:val="231F20"/>
                <w:w w:val="90"/>
                <w:sz w:val="14"/>
              </w:rPr>
              <w:t>freight’s</w:t>
            </w:r>
            <w:r>
              <w:rPr>
                <w:b/>
                <w:color w:val="231F20"/>
                <w:spacing w:val="-1"/>
                <w:w w:val="90"/>
                <w:sz w:val="14"/>
              </w:rPr>
              <w:t> </w:t>
            </w:r>
            <w:r>
              <w:rPr>
                <w:b/>
                <w:color w:val="231F20"/>
                <w:w w:val="90"/>
                <w:sz w:val="14"/>
              </w:rPr>
              <w:t>arrival</w:t>
            </w:r>
            <w:r>
              <w:rPr>
                <w:b/>
                <w:color w:val="231F20"/>
                <w:spacing w:val="-1"/>
                <w:w w:val="90"/>
                <w:sz w:val="14"/>
              </w:rPr>
              <w:t> </w:t>
            </w:r>
            <w:r>
              <w:rPr>
                <w:b/>
                <w:color w:val="231F20"/>
                <w:w w:val="90"/>
                <w:sz w:val="14"/>
              </w:rPr>
              <w:t>to</w:t>
            </w:r>
            <w:r>
              <w:rPr>
                <w:b/>
                <w:color w:val="231F20"/>
                <w:spacing w:val="-1"/>
                <w:w w:val="90"/>
                <w:sz w:val="14"/>
              </w:rPr>
              <w:t> </w:t>
            </w:r>
            <w:r>
              <w:rPr>
                <w:b/>
                <w:color w:val="231F20"/>
                <w:w w:val="90"/>
                <w:sz w:val="14"/>
              </w:rPr>
              <w:t>delivery)</w:t>
            </w:r>
          </w:p>
          <w:p>
            <w:pPr>
              <w:pStyle w:val="TableParagraph"/>
              <w:spacing w:line="159" w:lineRule="exact" w:before="0"/>
              <w:ind w:left="526" w:right="524"/>
              <w:rPr>
                <w:b/>
                <w:sz w:val="14"/>
              </w:rPr>
            </w:pPr>
            <w:r>
              <w:rPr>
                <w:b/>
                <w:color w:val="231F20"/>
                <w:spacing w:val="-2"/>
                <w:w w:val="95"/>
                <w:sz w:val="14"/>
              </w:rPr>
              <w:t>(days)</w:t>
            </w:r>
          </w:p>
        </w:tc>
      </w:tr>
      <w:tr>
        <w:trPr>
          <w:trHeight w:val="249" w:hRule="atLeast"/>
        </w:trPr>
        <w:tc>
          <w:tcPr>
            <w:tcW w:w="1452" w:type="dxa"/>
            <w:tcBorders>
              <w:bottom w:val="single" w:sz="4" w:space="0" w:color="008FDD"/>
            </w:tcBorders>
          </w:tcPr>
          <w:p>
            <w:pPr>
              <w:pStyle w:val="TableParagraph"/>
              <w:spacing w:before="43"/>
              <w:ind w:left="80"/>
              <w:jc w:val="left"/>
              <w:rPr>
                <w:b/>
                <w:sz w:val="14"/>
              </w:rPr>
            </w:pPr>
            <w:r>
              <w:rPr>
                <w:b/>
                <w:color w:val="231F20"/>
                <w:spacing w:val="-2"/>
                <w:w w:val="90"/>
                <w:sz w:val="14"/>
              </w:rPr>
              <w:t>Economy</w:t>
            </w:r>
          </w:p>
        </w:tc>
        <w:tc>
          <w:tcPr>
            <w:tcW w:w="1619" w:type="dxa"/>
            <w:vMerge/>
            <w:tcBorders>
              <w:top w:val="nil"/>
              <w:bottom w:val="single" w:sz="4" w:space="0" w:color="008FDD"/>
            </w:tcBorders>
          </w:tcPr>
          <w:p>
            <w:pPr>
              <w:rPr>
                <w:sz w:val="2"/>
                <w:szCs w:val="2"/>
              </w:rPr>
            </w:pPr>
          </w:p>
        </w:tc>
        <w:tc>
          <w:tcPr>
            <w:tcW w:w="1563" w:type="dxa"/>
            <w:tcBorders>
              <w:top w:val="single" w:sz="4" w:space="0" w:color="008FDD"/>
              <w:bottom w:val="single" w:sz="4" w:space="0" w:color="008FDD"/>
            </w:tcBorders>
          </w:tcPr>
          <w:p>
            <w:pPr>
              <w:pStyle w:val="TableParagraph"/>
              <w:spacing w:before="43"/>
              <w:ind w:left="66" w:right="88"/>
              <w:rPr>
                <w:b/>
                <w:sz w:val="14"/>
              </w:rPr>
            </w:pPr>
            <w:r>
              <w:rPr>
                <w:b/>
                <w:color w:val="231F20"/>
                <w:spacing w:val="-2"/>
                <w:w w:val="95"/>
                <w:sz w:val="14"/>
              </w:rPr>
              <w:t>Median</w:t>
            </w:r>
          </w:p>
        </w:tc>
        <w:tc>
          <w:tcPr>
            <w:tcW w:w="1317" w:type="dxa"/>
            <w:tcBorders>
              <w:top w:val="single" w:sz="4" w:space="0" w:color="008FDD"/>
              <w:bottom w:val="single" w:sz="4" w:space="0" w:color="008FDD"/>
            </w:tcBorders>
          </w:tcPr>
          <w:p>
            <w:pPr>
              <w:pStyle w:val="TableParagraph"/>
              <w:spacing w:before="43"/>
              <w:ind w:left="169"/>
              <w:rPr>
                <w:b/>
                <w:sz w:val="14"/>
              </w:rPr>
            </w:pPr>
            <w:r>
              <w:rPr>
                <w:b/>
                <w:color w:val="231F20"/>
                <w:spacing w:val="-4"/>
                <w:w w:val="95"/>
                <w:sz w:val="14"/>
              </w:rPr>
              <w:t>Mean</w:t>
            </w:r>
          </w:p>
        </w:tc>
        <w:tc>
          <w:tcPr>
            <w:tcW w:w="1727" w:type="dxa"/>
            <w:tcBorders>
              <w:top w:val="single" w:sz="4" w:space="0" w:color="008FDD"/>
              <w:bottom w:val="single" w:sz="4" w:space="0" w:color="008FDD"/>
            </w:tcBorders>
          </w:tcPr>
          <w:p>
            <w:pPr>
              <w:pStyle w:val="TableParagraph"/>
              <w:spacing w:before="43"/>
              <w:ind w:left="226" w:right="32"/>
              <w:rPr>
                <w:b/>
                <w:sz w:val="14"/>
              </w:rPr>
            </w:pPr>
            <w:r>
              <w:rPr>
                <w:b/>
                <w:color w:val="231F20"/>
                <w:spacing w:val="4"/>
                <w:w w:val="80"/>
                <w:sz w:val="14"/>
              </w:rPr>
              <w:t>Interquartile</w:t>
            </w:r>
            <w:r>
              <w:rPr>
                <w:b/>
                <w:color w:val="231F20"/>
                <w:spacing w:val="6"/>
                <w:sz w:val="14"/>
              </w:rPr>
              <w:t> </w:t>
            </w:r>
            <w:r>
              <w:rPr>
                <w:b/>
                <w:color w:val="231F20"/>
                <w:spacing w:val="-2"/>
                <w:w w:val="95"/>
                <w:sz w:val="14"/>
              </w:rPr>
              <w:t>range</w:t>
            </w:r>
          </w:p>
        </w:tc>
      </w:tr>
      <w:tr>
        <w:trPr>
          <w:trHeight w:val="254" w:hRule="atLeast"/>
        </w:trPr>
        <w:tc>
          <w:tcPr>
            <w:tcW w:w="1452" w:type="dxa"/>
            <w:tcBorders>
              <w:top w:val="single" w:sz="4" w:space="0" w:color="008FDD"/>
            </w:tcBorders>
          </w:tcPr>
          <w:p>
            <w:pPr>
              <w:pStyle w:val="TableParagraph"/>
              <w:spacing w:before="43"/>
              <w:ind w:left="80"/>
              <w:jc w:val="left"/>
              <w:rPr>
                <w:sz w:val="14"/>
              </w:rPr>
            </w:pPr>
            <w:r>
              <w:rPr>
                <w:color w:val="231F20"/>
                <w:spacing w:val="-2"/>
                <w:w w:val="90"/>
                <w:sz w:val="14"/>
              </w:rPr>
              <w:t>Mauritius</w:t>
            </w:r>
          </w:p>
        </w:tc>
        <w:tc>
          <w:tcPr>
            <w:tcW w:w="1619" w:type="dxa"/>
            <w:tcBorders>
              <w:top w:val="single" w:sz="4" w:space="0" w:color="008FDD"/>
            </w:tcBorders>
          </w:tcPr>
          <w:p>
            <w:pPr>
              <w:pStyle w:val="TableParagraph"/>
              <w:spacing w:before="43"/>
              <w:ind w:left="764"/>
              <w:jc w:val="left"/>
              <w:rPr>
                <w:sz w:val="14"/>
              </w:rPr>
            </w:pPr>
            <w:r>
              <w:rPr>
                <w:color w:val="231F20"/>
                <w:spacing w:val="-5"/>
                <w:w w:val="95"/>
                <w:sz w:val="14"/>
              </w:rPr>
              <w:t>63</w:t>
            </w:r>
          </w:p>
        </w:tc>
        <w:tc>
          <w:tcPr>
            <w:tcW w:w="1563" w:type="dxa"/>
            <w:tcBorders>
              <w:top w:val="single" w:sz="4" w:space="0" w:color="008FDD"/>
            </w:tcBorders>
          </w:tcPr>
          <w:p>
            <w:pPr>
              <w:pStyle w:val="TableParagraph"/>
              <w:spacing w:before="43"/>
              <w:ind w:left="84" w:right="88"/>
              <w:rPr>
                <w:sz w:val="14"/>
              </w:rPr>
            </w:pPr>
            <w:r>
              <w:rPr>
                <w:color w:val="231F20"/>
                <w:spacing w:val="-5"/>
                <w:w w:val="95"/>
                <w:sz w:val="14"/>
              </w:rPr>
              <w:t>2.0</w:t>
            </w:r>
          </w:p>
        </w:tc>
        <w:tc>
          <w:tcPr>
            <w:tcW w:w="1317" w:type="dxa"/>
            <w:tcBorders>
              <w:top w:val="single" w:sz="4" w:space="0" w:color="008FDD"/>
            </w:tcBorders>
          </w:tcPr>
          <w:p>
            <w:pPr>
              <w:pStyle w:val="TableParagraph"/>
              <w:spacing w:before="43"/>
              <w:ind w:left="193" w:right="7"/>
              <w:rPr>
                <w:sz w:val="14"/>
              </w:rPr>
            </w:pPr>
            <w:r>
              <w:rPr>
                <w:color w:val="231F20"/>
                <w:spacing w:val="-5"/>
                <w:w w:val="95"/>
                <w:sz w:val="14"/>
              </w:rPr>
              <w:t>2.2</w:t>
            </w:r>
          </w:p>
        </w:tc>
        <w:tc>
          <w:tcPr>
            <w:tcW w:w="1727" w:type="dxa"/>
            <w:tcBorders>
              <w:top w:val="single" w:sz="4" w:space="0" w:color="008FDD"/>
            </w:tcBorders>
          </w:tcPr>
          <w:p>
            <w:pPr>
              <w:pStyle w:val="TableParagraph"/>
              <w:spacing w:before="43"/>
              <w:ind w:left="226" w:right="12"/>
              <w:rPr>
                <w:sz w:val="14"/>
              </w:rPr>
            </w:pPr>
            <w:r>
              <w:rPr>
                <w:color w:val="231F20"/>
                <w:spacing w:val="-5"/>
                <w:w w:val="95"/>
                <w:sz w:val="14"/>
              </w:rPr>
              <w:t>3.8</w:t>
            </w:r>
          </w:p>
        </w:tc>
      </w:tr>
      <w:tr>
        <w:trPr>
          <w:trHeight w:val="259" w:hRule="atLeast"/>
        </w:trPr>
        <w:tc>
          <w:tcPr>
            <w:tcW w:w="1452" w:type="dxa"/>
            <w:shd w:val="clear" w:color="auto" w:fill="D4E3F5"/>
          </w:tcPr>
          <w:p>
            <w:pPr>
              <w:pStyle w:val="TableParagraph"/>
              <w:ind w:left="80"/>
              <w:jc w:val="left"/>
              <w:rPr>
                <w:sz w:val="14"/>
              </w:rPr>
            </w:pPr>
            <w:r>
              <w:rPr>
                <w:color w:val="231F20"/>
                <w:spacing w:val="-2"/>
                <w:w w:val="90"/>
                <w:sz w:val="14"/>
              </w:rPr>
              <w:t>Mexico</w:t>
            </w:r>
          </w:p>
        </w:tc>
        <w:tc>
          <w:tcPr>
            <w:tcW w:w="1619" w:type="dxa"/>
            <w:shd w:val="clear" w:color="auto" w:fill="D4E3F5"/>
          </w:tcPr>
          <w:p>
            <w:pPr>
              <w:pStyle w:val="TableParagraph"/>
              <w:ind w:left="699"/>
              <w:jc w:val="left"/>
              <w:rPr>
                <w:sz w:val="14"/>
              </w:rPr>
            </w:pPr>
            <w:r>
              <w:rPr>
                <w:color w:val="231F20"/>
                <w:spacing w:val="-2"/>
                <w:w w:val="95"/>
                <w:sz w:val="14"/>
              </w:rPr>
              <w:t>100.5</w:t>
            </w:r>
          </w:p>
        </w:tc>
        <w:tc>
          <w:tcPr>
            <w:tcW w:w="1563" w:type="dxa"/>
            <w:shd w:val="clear" w:color="auto" w:fill="D4E3F5"/>
          </w:tcPr>
          <w:p>
            <w:pPr>
              <w:pStyle w:val="TableParagraph"/>
              <w:ind w:left="88" w:right="88"/>
              <w:rPr>
                <w:sz w:val="14"/>
              </w:rPr>
            </w:pPr>
            <w:r>
              <w:rPr>
                <w:color w:val="231F20"/>
                <w:spacing w:val="-5"/>
                <w:w w:val="95"/>
                <w:sz w:val="14"/>
              </w:rPr>
              <w:t>1.9</w:t>
            </w:r>
          </w:p>
        </w:tc>
        <w:tc>
          <w:tcPr>
            <w:tcW w:w="1317" w:type="dxa"/>
            <w:shd w:val="clear" w:color="auto" w:fill="D4E3F5"/>
          </w:tcPr>
          <w:p>
            <w:pPr>
              <w:pStyle w:val="TableParagraph"/>
              <w:ind w:left="193" w:right="2"/>
              <w:rPr>
                <w:sz w:val="14"/>
              </w:rPr>
            </w:pPr>
            <w:r>
              <w:rPr>
                <w:color w:val="231F20"/>
                <w:spacing w:val="-5"/>
                <w:w w:val="95"/>
                <w:sz w:val="14"/>
              </w:rPr>
              <w:t>1.9</w:t>
            </w:r>
          </w:p>
        </w:tc>
        <w:tc>
          <w:tcPr>
            <w:tcW w:w="1727" w:type="dxa"/>
            <w:shd w:val="clear" w:color="auto" w:fill="D4E3F5"/>
          </w:tcPr>
          <w:p>
            <w:pPr>
              <w:pStyle w:val="TableParagraph"/>
              <w:ind w:left="226" w:right="12"/>
              <w:rPr>
                <w:sz w:val="14"/>
              </w:rPr>
            </w:pPr>
            <w:r>
              <w:rPr>
                <w:color w:val="231F20"/>
                <w:spacing w:val="-5"/>
                <w:w w:val="95"/>
                <w:sz w:val="14"/>
              </w:rPr>
              <w:t>3.3</w:t>
            </w:r>
          </w:p>
        </w:tc>
      </w:tr>
      <w:tr>
        <w:trPr>
          <w:trHeight w:val="259" w:hRule="atLeast"/>
        </w:trPr>
        <w:tc>
          <w:tcPr>
            <w:tcW w:w="1452" w:type="dxa"/>
          </w:tcPr>
          <w:p>
            <w:pPr>
              <w:pStyle w:val="TableParagraph"/>
              <w:ind w:left="80"/>
              <w:jc w:val="left"/>
              <w:rPr>
                <w:sz w:val="14"/>
              </w:rPr>
            </w:pPr>
            <w:r>
              <w:rPr>
                <w:color w:val="231F20"/>
                <w:spacing w:val="-2"/>
                <w:w w:val="90"/>
                <w:sz w:val="14"/>
              </w:rPr>
              <w:t>Myanmar</w:t>
            </w:r>
          </w:p>
        </w:tc>
        <w:tc>
          <w:tcPr>
            <w:tcW w:w="1619" w:type="dxa"/>
          </w:tcPr>
          <w:p>
            <w:pPr>
              <w:pStyle w:val="TableParagraph"/>
              <w:ind w:left="766"/>
              <w:jc w:val="left"/>
              <w:rPr>
                <w:sz w:val="14"/>
              </w:rPr>
            </w:pPr>
            <w:r>
              <w:rPr>
                <w:color w:val="231F20"/>
                <w:spacing w:val="-5"/>
                <w:w w:val="95"/>
                <w:sz w:val="14"/>
              </w:rPr>
              <w:t>49</w:t>
            </w:r>
          </w:p>
        </w:tc>
        <w:tc>
          <w:tcPr>
            <w:tcW w:w="1563" w:type="dxa"/>
          </w:tcPr>
          <w:p>
            <w:pPr>
              <w:pStyle w:val="TableParagraph"/>
              <w:ind w:left="84" w:right="88"/>
              <w:rPr>
                <w:sz w:val="14"/>
              </w:rPr>
            </w:pPr>
            <w:r>
              <w:rPr>
                <w:color w:val="231F20"/>
                <w:spacing w:val="-5"/>
                <w:w w:val="95"/>
                <w:sz w:val="14"/>
              </w:rPr>
              <w:t>0.9</w:t>
            </w:r>
          </w:p>
        </w:tc>
        <w:tc>
          <w:tcPr>
            <w:tcW w:w="1317" w:type="dxa"/>
          </w:tcPr>
          <w:p>
            <w:pPr>
              <w:pStyle w:val="TableParagraph"/>
              <w:ind w:left="183"/>
              <w:rPr>
                <w:sz w:val="14"/>
              </w:rPr>
            </w:pPr>
            <w:r>
              <w:rPr>
                <w:color w:val="231F20"/>
                <w:spacing w:val="-5"/>
                <w:w w:val="95"/>
                <w:sz w:val="14"/>
              </w:rPr>
              <w:t>0.4</w:t>
            </w:r>
          </w:p>
        </w:tc>
        <w:tc>
          <w:tcPr>
            <w:tcW w:w="1727" w:type="dxa"/>
          </w:tcPr>
          <w:p>
            <w:pPr>
              <w:pStyle w:val="TableParagraph"/>
              <w:ind w:left="226" w:right="8"/>
              <w:rPr>
                <w:sz w:val="14"/>
              </w:rPr>
            </w:pPr>
            <w:r>
              <w:rPr>
                <w:color w:val="231F20"/>
                <w:spacing w:val="-5"/>
                <w:w w:val="95"/>
                <w:sz w:val="14"/>
              </w:rPr>
              <w:t>1.4</w:t>
            </w:r>
          </w:p>
        </w:tc>
      </w:tr>
      <w:tr>
        <w:trPr>
          <w:trHeight w:val="259" w:hRule="atLeast"/>
        </w:trPr>
        <w:tc>
          <w:tcPr>
            <w:tcW w:w="1452" w:type="dxa"/>
            <w:shd w:val="clear" w:color="auto" w:fill="D4E3F5"/>
          </w:tcPr>
          <w:p>
            <w:pPr>
              <w:pStyle w:val="TableParagraph"/>
              <w:ind w:left="80"/>
              <w:jc w:val="left"/>
              <w:rPr>
                <w:sz w:val="14"/>
              </w:rPr>
            </w:pPr>
            <w:r>
              <w:rPr>
                <w:color w:val="231F20"/>
                <w:spacing w:val="-2"/>
                <w:w w:val="90"/>
                <w:sz w:val="14"/>
              </w:rPr>
              <w:t>Netherlands</w:t>
            </w:r>
          </w:p>
        </w:tc>
        <w:tc>
          <w:tcPr>
            <w:tcW w:w="1619" w:type="dxa"/>
            <w:shd w:val="clear" w:color="auto" w:fill="D4E3F5"/>
          </w:tcPr>
          <w:p>
            <w:pPr>
              <w:pStyle w:val="TableParagraph"/>
              <w:ind w:left="702"/>
              <w:jc w:val="left"/>
              <w:rPr>
                <w:sz w:val="14"/>
              </w:rPr>
            </w:pPr>
            <w:r>
              <w:rPr>
                <w:color w:val="231F20"/>
                <w:spacing w:val="-5"/>
                <w:w w:val="95"/>
                <w:sz w:val="14"/>
              </w:rPr>
              <w:t>145</w:t>
            </w:r>
          </w:p>
        </w:tc>
        <w:tc>
          <w:tcPr>
            <w:tcW w:w="1563" w:type="dxa"/>
            <w:shd w:val="clear" w:color="auto" w:fill="D4E3F5"/>
          </w:tcPr>
          <w:p>
            <w:pPr>
              <w:pStyle w:val="TableParagraph"/>
              <w:ind w:left="88" w:right="88"/>
              <w:rPr>
                <w:sz w:val="14"/>
              </w:rPr>
            </w:pPr>
            <w:r>
              <w:rPr>
                <w:color w:val="231F20"/>
                <w:spacing w:val="-5"/>
                <w:w w:val="95"/>
                <w:sz w:val="14"/>
              </w:rPr>
              <w:t>1.6</w:t>
            </w:r>
          </w:p>
        </w:tc>
        <w:tc>
          <w:tcPr>
            <w:tcW w:w="1317" w:type="dxa"/>
            <w:shd w:val="clear" w:color="auto" w:fill="D4E3F5"/>
          </w:tcPr>
          <w:p>
            <w:pPr>
              <w:pStyle w:val="TableParagraph"/>
              <w:ind w:left="193" w:right="8"/>
              <w:rPr>
                <w:sz w:val="14"/>
              </w:rPr>
            </w:pPr>
            <w:r>
              <w:rPr>
                <w:color w:val="231F20"/>
                <w:spacing w:val="-5"/>
                <w:w w:val="95"/>
                <w:sz w:val="14"/>
              </w:rPr>
              <w:t>0.8</w:t>
            </w:r>
          </w:p>
        </w:tc>
        <w:tc>
          <w:tcPr>
            <w:tcW w:w="1727" w:type="dxa"/>
            <w:shd w:val="clear" w:color="auto" w:fill="D4E3F5"/>
          </w:tcPr>
          <w:p>
            <w:pPr>
              <w:pStyle w:val="TableParagraph"/>
              <w:ind w:left="226" w:right="32"/>
              <w:rPr>
                <w:sz w:val="14"/>
              </w:rPr>
            </w:pPr>
            <w:r>
              <w:rPr>
                <w:color w:val="231F20"/>
                <w:spacing w:val="-5"/>
                <w:w w:val="95"/>
                <w:sz w:val="14"/>
              </w:rPr>
              <w:t>3.1</w:t>
            </w:r>
          </w:p>
        </w:tc>
      </w:tr>
      <w:tr>
        <w:trPr>
          <w:trHeight w:val="259" w:hRule="atLeast"/>
        </w:trPr>
        <w:tc>
          <w:tcPr>
            <w:tcW w:w="1452" w:type="dxa"/>
          </w:tcPr>
          <w:p>
            <w:pPr>
              <w:pStyle w:val="TableParagraph"/>
              <w:ind w:left="80"/>
              <w:jc w:val="left"/>
              <w:rPr>
                <w:sz w:val="14"/>
              </w:rPr>
            </w:pPr>
            <w:r>
              <w:rPr>
                <w:color w:val="231F20"/>
                <w:w w:val="75"/>
                <w:sz w:val="14"/>
              </w:rPr>
              <w:t>New</w:t>
            </w:r>
            <w:r>
              <w:rPr>
                <w:color w:val="231F20"/>
                <w:spacing w:val="4"/>
                <w:sz w:val="14"/>
              </w:rPr>
              <w:t> </w:t>
            </w:r>
            <w:r>
              <w:rPr>
                <w:color w:val="231F20"/>
                <w:spacing w:val="-2"/>
                <w:w w:val="85"/>
                <w:sz w:val="14"/>
              </w:rPr>
              <w:t>Zealand</w:t>
            </w:r>
          </w:p>
        </w:tc>
        <w:tc>
          <w:tcPr>
            <w:tcW w:w="1619" w:type="dxa"/>
          </w:tcPr>
          <w:p>
            <w:pPr>
              <w:pStyle w:val="TableParagraph"/>
              <w:ind w:left="777"/>
              <w:jc w:val="left"/>
              <w:rPr>
                <w:sz w:val="14"/>
              </w:rPr>
            </w:pPr>
            <w:r>
              <w:rPr>
                <w:color w:val="231F20"/>
                <w:spacing w:val="-4"/>
                <w:w w:val="95"/>
                <w:sz w:val="14"/>
              </w:rPr>
              <w:t>74.5</w:t>
            </w:r>
          </w:p>
        </w:tc>
        <w:tc>
          <w:tcPr>
            <w:tcW w:w="1563" w:type="dxa"/>
          </w:tcPr>
          <w:p>
            <w:pPr>
              <w:pStyle w:val="TableParagraph"/>
              <w:ind w:left="84" w:right="88"/>
              <w:rPr>
                <w:sz w:val="14"/>
              </w:rPr>
            </w:pPr>
            <w:r>
              <w:rPr>
                <w:color w:val="231F20"/>
                <w:spacing w:val="-5"/>
                <w:w w:val="95"/>
                <w:sz w:val="14"/>
              </w:rPr>
              <w:t>0.8</w:t>
            </w:r>
          </w:p>
        </w:tc>
        <w:tc>
          <w:tcPr>
            <w:tcW w:w="1317" w:type="dxa"/>
          </w:tcPr>
          <w:p>
            <w:pPr>
              <w:pStyle w:val="TableParagraph"/>
              <w:ind w:left="193" w:right="2"/>
              <w:rPr>
                <w:sz w:val="14"/>
              </w:rPr>
            </w:pPr>
            <w:r>
              <w:rPr>
                <w:color w:val="231F20"/>
                <w:spacing w:val="-5"/>
                <w:w w:val="95"/>
                <w:sz w:val="14"/>
              </w:rPr>
              <w:t>1.0</w:t>
            </w:r>
          </w:p>
        </w:tc>
        <w:tc>
          <w:tcPr>
            <w:tcW w:w="1727" w:type="dxa"/>
          </w:tcPr>
          <w:p>
            <w:pPr>
              <w:pStyle w:val="TableParagraph"/>
              <w:ind w:left="226" w:right="6"/>
              <w:rPr>
                <w:sz w:val="14"/>
              </w:rPr>
            </w:pPr>
            <w:r>
              <w:rPr>
                <w:color w:val="231F20"/>
                <w:spacing w:val="-5"/>
                <w:w w:val="95"/>
                <w:sz w:val="14"/>
              </w:rPr>
              <w:t>1.3</w:t>
            </w:r>
          </w:p>
        </w:tc>
      </w:tr>
      <w:tr>
        <w:trPr>
          <w:trHeight w:val="259" w:hRule="atLeast"/>
        </w:trPr>
        <w:tc>
          <w:tcPr>
            <w:tcW w:w="1452" w:type="dxa"/>
            <w:shd w:val="clear" w:color="auto" w:fill="D4E3F5"/>
          </w:tcPr>
          <w:p>
            <w:pPr>
              <w:pStyle w:val="TableParagraph"/>
              <w:ind w:left="80"/>
              <w:jc w:val="left"/>
              <w:rPr>
                <w:sz w:val="14"/>
              </w:rPr>
            </w:pPr>
            <w:r>
              <w:rPr>
                <w:color w:val="231F20"/>
                <w:spacing w:val="-2"/>
                <w:w w:val="90"/>
                <w:sz w:val="14"/>
              </w:rPr>
              <w:t>Nigeria</w:t>
            </w:r>
          </w:p>
        </w:tc>
        <w:tc>
          <w:tcPr>
            <w:tcW w:w="1619" w:type="dxa"/>
            <w:shd w:val="clear" w:color="auto" w:fill="D4E3F5"/>
          </w:tcPr>
          <w:p>
            <w:pPr>
              <w:pStyle w:val="TableParagraph"/>
              <w:ind w:left="763"/>
              <w:jc w:val="left"/>
              <w:rPr>
                <w:sz w:val="14"/>
              </w:rPr>
            </w:pPr>
            <w:r>
              <w:rPr>
                <w:color w:val="231F20"/>
                <w:spacing w:val="-4"/>
                <w:w w:val="95"/>
                <w:sz w:val="14"/>
              </w:rPr>
              <w:t>93.5</w:t>
            </w:r>
          </w:p>
        </w:tc>
        <w:tc>
          <w:tcPr>
            <w:tcW w:w="1563" w:type="dxa"/>
            <w:shd w:val="clear" w:color="auto" w:fill="D4E3F5"/>
          </w:tcPr>
          <w:p>
            <w:pPr>
              <w:pStyle w:val="TableParagraph"/>
              <w:ind w:left="80" w:right="88"/>
              <w:rPr>
                <w:sz w:val="14"/>
              </w:rPr>
            </w:pPr>
            <w:r>
              <w:rPr>
                <w:color w:val="231F20"/>
                <w:spacing w:val="-5"/>
                <w:w w:val="95"/>
                <w:sz w:val="14"/>
              </w:rPr>
              <w:t>4.7</w:t>
            </w:r>
          </w:p>
        </w:tc>
        <w:tc>
          <w:tcPr>
            <w:tcW w:w="1317" w:type="dxa"/>
            <w:shd w:val="clear" w:color="auto" w:fill="D4E3F5"/>
          </w:tcPr>
          <w:p>
            <w:pPr>
              <w:pStyle w:val="TableParagraph"/>
              <w:ind w:left="193" w:right="7"/>
              <w:rPr>
                <w:sz w:val="14"/>
              </w:rPr>
            </w:pPr>
            <w:r>
              <w:rPr>
                <w:color w:val="231F20"/>
                <w:spacing w:val="-5"/>
                <w:w w:val="95"/>
                <w:sz w:val="14"/>
              </w:rPr>
              <w:t>5.2</w:t>
            </w:r>
          </w:p>
        </w:tc>
        <w:tc>
          <w:tcPr>
            <w:tcW w:w="1727" w:type="dxa"/>
            <w:shd w:val="clear" w:color="auto" w:fill="D4E3F5"/>
          </w:tcPr>
          <w:p>
            <w:pPr>
              <w:pStyle w:val="TableParagraph"/>
              <w:ind w:left="226"/>
              <w:rPr>
                <w:sz w:val="14"/>
              </w:rPr>
            </w:pPr>
            <w:r>
              <w:rPr>
                <w:color w:val="231F20"/>
                <w:spacing w:val="-5"/>
                <w:w w:val="95"/>
                <w:sz w:val="14"/>
              </w:rPr>
              <w:t>7.8</w:t>
            </w:r>
          </w:p>
        </w:tc>
      </w:tr>
      <w:tr>
        <w:trPr>
          <w:trHeight w:val="259" w:hRule="atLeast"/>
        </w:trPr>
        <w:tc>
          <w:tcPr>
            <w:tcW w:w="1452" w:type="dxa"/>
          </w:tcPr>
          <w:p>
            <w:pPr>
              <w:pStyle w:val="TableParagraph"/>
              <w:ind w:left="80"/>
              <w:jc w:val="left"/>
              <w:rPr>
                <w:sz w:val="14"/>
              </w:rPr>
            </w:pPr>
            <w:r>
              <w:rPr>
                <w:color w:val="231F20"/>
                <w:spacing w:val="-2"/>
                <w:w w:val="85"/>
                <w:sz w:val="14"/>
              </w:rPr>
              <w:t>Norway</w:t>
            </w:r>
          </w:p>
        </w:tc>
        <w:tc>
          <w:tcPr>
            <w:tcW w:w="1619" w:type="dxa"/>
          </w:tcPr>
          <w:p>
            <w:pPr>
              <w:pStyle w:val="TableParagraph"/>
              <w:ind w:left="701"/>
              <w:jc w:val="left"/>
              <w:rPr>
                <w:sz w:val="14"/>
              </w:rPr>
            </w:pPr>
            <w:r>
              <w:rPr>
                <w:color w:val="231F20"/>
                <w:spacing w:val="-5"/>
                <w:w w:val="95"/>
                <w:sz w:val="14"/>
              </w:rPr>
              <w:t>108</w:t>
            </w:r>
          </w:p>
        </w:tc>
        <w:tc>
          <w:tcPr>
            <w:tcW w:w="1563" w:type="dxa"/>
          </w:tcPr>
          <w:p>
            <w:pPr>
              <w:pStyle w:val="TableParagraph"/>
              <w:ind w:left="89" w:right="88"/>
              <w:rPr>
                <w:sz w:val="14"/>
              </w:rPr>
            </w:pPr>
            <w:r>
              <w:rPr>
                <w:color w:val="231F20"/>
                <w:spacing w:val="-5"/>
                <w:w w:val="95"/>
                <w:sz w:val="14"/>
              </w:rPr>
              <w:t>1.2</w:t>
            </w:r>
          </w:p>
        </w:tc>
        <w:tc>
          <w:tcPr>
            <w:tcW w:w="1317" w:type="dxa"/>
          </w:tcPr>
          <w:p>
            <w:pPr>
              <w:pStyle w:val="TableParagraph"/>
              <w:ind w:left="193" w:right="2"/>
              <w:rPr>
                <w:sz w:val="14"/>
              </w:rPr>
            </w:pPr>
            <w:r>
              <w:rPr>
                <w:color w:val="231F20"/>
                <w:spacing w:val="-5"/>
                <w:w w:val="95"/>
                <w:sz w:val="14"/>
              </w:rPr>
              <w:t>1.6</w:t>
            </w:r>
          </w:p>
        </w:tc>
        <w:tc>
          <w:tcPr>
            <w:tcW w:w="1727" w:type="dxa"/>
          </w:tcPr>
          <w:p>
            <w:pPr>
              <w:pStyle w:val="TableParagraph"/>
              <w:ind w:left="226" w:right="13"/>
              <w:rPr>
                <w:sz w:val="14"/>
              </w:rPr>
            </w:pPr>
            <w:r>
              <w:rPr>
                <w:color w:val="231F20"/>
                <w:spacing w:val="-5"/>
                <w:w w:val="95"/>
                <w:sz w:val="14"/>
              </w:rPr>
              <w:t>2.3</w:t>
            </w:r>
          </w:p>
        </w:tc>
      </w:tr>
      <w:tr>
        <w:trPr>
          <w:trHeight w:val="259" w:hRule="atLeast"/>
        </w:trPr>
        <w:tc>
          <w:tcPr>
            <w:tcW w:w="1452" w:type="dxa"/>
            <w:shd w:val="clear" w:color="auto" w:fill="D4E3F5"/>
          </w:tcPr>
          <w:p>
            <w:pPr>
              <w:pStyle w:val="TableParagraph"/>
              <w:ind w:left="80"/>
              <w:jc w:val="left"/>
              <w:rPr>
                <w:sz w:val="14"/>
              </w:rPr>
            </w:pPr>
            <w:r>
              <w:rPr>
                <w:color w:val="231F20"/>
                <w:spacing w:val="-4"/>
                <w:w w:val="90"/>
                <w:sz w:val="14"/>
              </w:rPr>
              <w:t>Oman</w:t>
            </w:r>
          </w:p>
        </w:tc>
        <w:tc>
          <w:tcPr>
            <w:tcW w:w="1619" w:type="dxa"/>
            <w:shd w:val="clear" w:color="auto" w:fill="D4E3F5"/>
          </w:tcPr>
          <w:p>
            <w:pPr>
              <w:pStyle w:val="TableParagraph"/>
              <w:ind w:left="765"/>
              <w:jc w:val="left"/>
              <w:rPr>
                <w:sz w:val="14"/>
              </w:rPr>
            </w:pPr>
            <w:r>
              <w:rPr>
                <w:color w:val="231F20"/>
                <w:spacing w:val="-4"/>
                <w:w w:val="95"/>
                <w:sz w:val="14"/>
              </w:rPr>
              <w:t>82.5</w:t>
            </w:r>
          </w:p>
        </w:tc>
        <w:tc>
          <w:tcPr>
            <w:tcW w:w="1563" w:type="dxa"/>
            <w:shd w:val="clear" w:color="auto" w:fill="D4E3F5"/>
          </w:tcPr>
          <w:p>
            <w:pPr>
              <w:pStyle w:val="TableParagraph"/>
              <w:ind w:left="85" w:right="88"/>
              <w:rPr>
                <w:sz w:val="14"/>
              </w:rPr>
            </w:pPr>
            <w:r>
              <w:rPr>
                <w:color w:val="231F20"/>
                <w:spacing w:val="-5"/>
                <w:w w:val="95"/>
                <w:sz w:val="14"/>
              </w:rPr>
              <w:t>2.2</w:t>
            </w:r>
          </w:p>
        </w:tc>
        <w:tc>
          <w:tcPr>
            <w:tcW w:w="1317" w:type="dxa"/>
            <w:shd w:val="clear" w:color="auto" w:fill="D4E3F5"/>
          </w:tcPr>
          <w:p>
            <w:pPr>
              <w:pStyle w:val="TableParagraph"/>
              <w:ind w:left="193" w:right="8"/>
              <w:rPr>
                <w:sz w:val="14"/>
              </w:rPr>
            </w:pPr>
            <w:r>
              <w:rPr>
                <w:color w:val="231F20"/>
                <w:spacing w:val="-5"/>
                <w:w w:val="95"/>
                <w:sz w:val="14"/>
              </w:rPr>
              <w:t>2.5</w:t>
            </w:r>
          </w:p>
        </w:tc>
        <w:tc>
          <w:tcPr>
            <w:tcW w:w="1727" w:type="dxa"/>
            <w:shd w:val="clear" w:color="auto" w:fill="D4E3F5"/>
          </w:tcPr>
          <w:p>
            <w:pPr>
              <w:pStyle w:val="TableParagraph"/>
              <w:ind w:left="226" w:right="19"/>
              <w:rPr>
                <w:sz w:val="14"/>
              </w:rPr>
            </w:pPr>
            <w:r>
              <w:rPr>
                <w:color w:val="231F20"/>
                <w:spacing w:val="-5"/>
                <w:w w:val="95"/>
                <w:sz w:val="14"/>
              </w:rPr>
              <w:t>3.7</w:t>
            </w:r>
          </w:p>
        </w:tc>
      </w:tr>
      <w:tr>
        <w:trPr>
          <w:trHeight w:val="259" w:hRule="atLeast"/>
        </w:trPr>
        <w:tc>
          <w:tcPr>
            <w:tcW w:w="1452" w:type="dxa"/>
          </w:tcPr>
          <w:p>
            <w:pPr>
              <w:pStyle w:val="TableParagraph"/>
              <w:ind w:left="80"/>
              <w:jc w:val="left"/>
              <w:rPr>
                <w:sz w:val="14"/>
              </w:rPr>
            </w:pPr>
            <w:r>
              <w:rPr>
                <w:color w:val="231F20"/>
                <w:spacing w:val="-2"/>
                <w:w w:val="85"/>
                <w:sz w:val="14"/>
              </w:rPr>
              <w:t>Panama</w:t>
            </w:r>
          </w:p>
        </w:tc>
        <w:tc>
          <w:tcPr>
            <w:tcW w:w="1619" w:type="dxa"/>
          </w:tcPr>
          <w:p>
            <w:pPr>
              <w:pStyle w:val="TableParagraph"/>
              <w:ind w:left="765"/>
              <w:jc w:val="left"/>
              <w:rPr>
                <w:sz w:val="14"/>
              </w:rPr>
            </w:pPr>
            <w:r>
              <w:rPr>
                <w:color w:val="231F20"/>
                <w:spacing w:val="-5"/>
                <w:w w:val="95"/>
                <w:sz w:val="14"/>
              </w:rPr>
              <w:t>55</w:t>
            </w:r>
          </w:p>
        </w:tc>
        <w:tc>
          <w:tcPr>
            <w:tcW w:w="1563" w:type="dxa"/>
          </w:tcPr>
          <w:p>
            <w:pPr>
              <w:pStyle w:val="TableParagraph"/>
              <w:ind w:left="88" w:right="88"/>
              <w:rPr>
                <w:sz w:val="14"/>
              </w:rPr>
            </w:pPr>
            <w:r>
              <w:rPr>
                <w:color w:val="231F20"/>
                <w:spacing w:val="-5"/>
                <w:w w:val="95"/>
                <w:sz w:val="14"/>
              </w:rPr>
              <w:t>1.9</w:t>
            </w:r>
          </w:p>
        </w:tc>
        <w:tc>
          <w:tcPr>
            <w:tcW w:w="1317" w:type="dxa"/>
          </w:tcPr>
          <w:p>
            <w:pPr>
              <w:pStyle w:val="TableParagraph"/>
              <w:ind w:left="193" w:right="8"/>
              <w:rPr>
                <w:sz w:val="14"/>
              </w:rPr>
            </w:pPr>
            <w:r>
              <w:rPr>
                <w:color w:val="231F20"/>
                <w:spacing w:val="-5"/>
                <w:w w:val="95"/>
                <w:sz w:val="14"/>
              </w:rPr>
              <w:t>2.3</w:t>
            </w:r>
          </w:p>
        </w:tc>
        <w:tc>
          <w:tcPr>
            <w:tcW w:w="1727" w:type="dxa"/>
          </w:tcPr>
          <w:p>
            <w:pPr>
              <w:pStyle w:val="TableParagraph"/>
              <w:ind w:left="226" w:right="13"/>
              <w:rPr>
                <w:sz w:val="14"/>
              </w:rPr>
            </w:pPr>
            <w:r>
              <w:rPr>
                <w:color w:val="231F20"/>
                <w:spacing w:val="-5"/>
                <w:w w:val="95"/>
                <w:sz w:val="14"/>
              </w:rPr>
              <w:t>2.9</w:t>
            </w:r>
          </w:p>
        </w:tc>
      </w:tr>
      <w:tr>
        <w:trPr>
          <w:trHeight w:val="259" w:hRule="atLeast"/>
        </w:trPr>
        <w:tc>
          <w:tcPr>
            <w:tcW w:w="1452" w:type="dxa"/>
            <w:shd w:val="clear" w:color="auto" w:fill="D4E3F5"/>
          </w:tcPr>
          <w:p>
            <w:pPr>
              <w:pStyle w:val="TableParagraph"/>
              <w:ind w:left="80"/>
              <w:jc w:val="left"/>
              <w:rPr>
                <w:sz w:val="14"/>
              </w:rPr>
            </w:pPr>
            <w:r>
              <w:rPr>
                <w:color w:val="231F20"/>
                <w:spacing w:val="-4"/>
                <w:w w:val="90"/>
                <w:sz w:val="14"/>
              </w:rPr>
              <w:t>Peru</w:t>
            </w:r>
          </w:p>
        </w:tc>
        <w:tc>
          <w:tcPr>
            <w:tcW w:w="1619" w:type="dxa"/>
            <w:shd w:val="clear" w:color="auto" w:fill="D4E3F5"/>
          </w:tcPr>
          <w:p>
            <w:pPr>
              <w:pStyle w:val="TableParagraph"/>
              <w:ind w:left="765"/>
              <w:jc w:val="left"/>
              <w:rPr>
                <w:sz w:val="14"/>
              </w:rPr>
            </w:pPr>
            <w:r>
              <w:rPr>
                <w:color w:val="231F20"/>
                <w:spacing w:val="-5"/>
                <w:w w:val="95"/>
                <w:sz w:val="14"/>
              </w:rPr>
              <w:t>56</w:t>
            </w:r>
          </w:p>
        </w:tc>
        <w:tc>
          <w:tcPr>
            <w:tcW w:w="1563" w:type="dxa"/>
            <w:shd w:val="clear" w:color="auto" w:fill="D4E3F5"/>
          </w:tcPr>
          <w:p>
            <w:pPr>
              <w:pStyle w:val="TableParagraph"/>
              <w:ind w:left="83" w:right="88"/>
              <w:rPr>
                <w:sz w:val="14"/>
              </w:rPr>
            </w:pPr>
            <w:r>
              <w:rPr>
                <w:color w:val="231F20"/>
                <w:spacing w:val="-5"/>
                <w:w w:val="95"/>
                <w:sz w:val="14"/>
              </w:rPr>
              <w:t>3.6</w:t>
            </w:r>
          </w:p>
        </w:tc>
        <w:tc>
          <w:tcPr>
            <w:tcW w:w="1317" w:type="dxa"/>
            <w:shd w:val="clear" w:color="auto" w:fill="D4E3F5"/>
          </w:tcPr>
          <w:p>
            <w:pPr>
              <w:pStyle w:val="TableParagraph"/>
              <w:ind w:left="193" w:right="8"/>
              <w:rPr>
                <w:sz w:val="14"/>
              </w:rPr>
            </w:pPr>
            <w:r>
              <w:rPr>
                <w:color w:val="231F20"/>
                <w:spacing w:val="-5"/>
                <w:w w:val="95"/>
                <w:sz w:val="14"/>
              </w:rPr>
              <w:t>2.6</w:t>
            </w:r>
          </w:p>
        </w:tc>
        <w:tc>
          <w:tcPr>
            <w:tcW w:w="1727" w:type="dxa"/>
            <w:shd w:val="clear" w:color="auto" w:fill="D4E3F5"/>
          </w:tcPr>
          <w:p>
            <w:pPr>
              <w:pStyle w:val="TableParagraph"/>
              <w:ind w:left="226" w:right="77"/>
              <w:rPr>
                <w:sz w:val="14"/>
              </w:rPr>
            </w:pPr>
            <w:r>
              <w:rPr>
                <w:color w:val="231F20"/>
                <w:spacing w:val="-4"/>
                <w:w w:val="95"/>
                <w:sz w:val="14"/>
              </w:rPr>
              <w:t>10.9</w:t>
            </w:r>
          </w:p>
        </w:tc>
      </w:tr>
      <w:tr>
        <w:trPr>
          <w:trHeight w:val="259" w:hRule="atLeast"/>
        </w:trPr>
        <w:tc>
          <w:tcPr>
            <w:tcW w:w="1452" w:type="dxa"/>
          </w:tcPr>
          <w:p>
            <w:pPr>
              <w:pStyle w:val="TableParagraph"/>
              <w:ind w:left="80"/>
              <w:jc w:val="left"/>
              <w:rPr>
                <w:sz w:val="14"/>
              </w:rPr>
            </w:pPr>
            <w:r>
              <w:rPr>
                <w:color w:val="231F20"/>
                <w:spacing w:val="-2"/>
                <w:w w:val="90"/>
                <w:sz w:val="14"/>
              </w:rPr>
              <w:t>Philippines</w:t>
            </w:r>
          </w:p>
        </w:tc>
        <w:tc>
          <w:tcPr>
            <w:tcW w:w="1619" w:type="dxa"/>
          </w:tcPr>
          <w:p>
            <w:pPr>
              <w:pStyle w:val="TableParagraph"/>
              <w:ind w:left="764"/>
              <w:jc w:val="left"/>
              <w:rPr>
                <w:sz w:val="14"/>
              </w:rPr>
            </w:pPr>
            <w:r>
              <w:rPr>
                <w:color w:val="231F20"/>
                <w:spacing w:val="-4"/>
                <w:w w:val="95"/>
                <w:sz w:val="14"/>
              </w:rPr>
              <w:t>92.5</w:t>
            </w:r>
          </w:p>
        </w:tc>
        <w:tc>
          <w:tcPr>
            <w:tcW w:w="1563" w:type="dxa"/>
          </w:tcPr>
          <w:p>
            <w:pPr>
              <w:pStyle w:val="TableParagraph"/>
              <w:ind w:left="84" w:right="88"/>
              <w:rPr>
                <w:sz w:val="14"/>
              </w:rPr>
            </w:pPr>
            <w:r>
              <w:rPr>
                <w:color w:val="231F20"/>
                <w:spacing w:val="-5"/>
                <w:w w:val="95"/>
                <w:sz w:val="14"/>
              </w:rPr>
              <w:t>2.9</w:t>
            </w:r>
          </w:p>
        </w:tc>
        <w:tc>
          <w:tcPr>
            <w:tcW w:w="1317" w:type="dxa"/>
          </w:tcPr>
          <w:p>
            <w:pPr>
              <w:pStyle w:val="TableParagraph"/>
              <w:ind w:left="183"/>
              <w:rPr>
                <w:sz w:val="14"/>
              </w:rPr>
            </w:pPr>
            <w:r>
              <w:rPr>
                <w:color w:val="231F20"/>
                <w:spacing w:val="-5"/>
                <w:w w:val="95"/>
                <w:sz w:val="14"/>
              </w:rPr>
              <w:t>2.4</w:t>
            </w:r>
          </w:p>
        </w:tc>
        <w:tc>
          <w:tcPr>
            <w:tcW w:w="1727" w:type="dxa"/>
          </w:tcPr>
          <w:p>
            <w:pPr>
              <w:pStyle w:val="TableParagraph"/>
              <w:ind w:left="226" w:right="14"/>
              <w:rPr>
                <w:sz w:val="14"/>
              </w:rPr>
            </w:pPr>
            <w:r>
              <w:rPr>
                <w:color w:val="231F20"/>
                <w:spacing w:val="-5"/>
                <w:w w:val="95"/>
                <w:sz w:val="14"/>
              </w:rPr>
              <w:t>5.8</w:t>
            </w:r>
          </w:p>
        </w:tc>
      </w:tr>
      <w:tr>
        <w:trPr>
          <w:trHeight w:val="259" w:hRule="atLeast"/>
        </w:trPr>
        <w:tc>
          <w:tcPr>
            <w:tcW w:w="1452" w:type="dxa"/>
            <w:shd w:val="clear" w:color="auto" w:fill="D4E3F5"/>
          </w:tcPr>
          <w:p>
            <w:pPr>
              <w:pStyle w:val="TableParagraph"/>
              <w:ind w:left="80"/>
              <w:jc w:val="left"/>
              <w:rPr>
                <w:sz w:val="14"/>
              </w:rPr>
            </w:pPr>
            <w:r>
              <w:rPr>
                <w:color w:val="231F20"/>
                <w:spacing w:val="-2"/>
                <w:w w:val="85"/>
                <w:sz w:val="14"/>
              </w:rPr>
              <w:t>Poland</w:t>
            </w:r>
          </w:p>
        </w:tc>
        <w:tc>
          <w:tcPr>
            <w:tcW w:w="1619" w:type="dxa"/>
            <w:shd w:val="clear" w:color="auto" w:fill="D4E3F5"/>
          </w:tcPr>
          <w:p>
            <w:pPr>
              <w:pStyle w:val="TableParagraph"/>
              <w:ind w:left="701"/>
              <w:jc w:val="left"/>
              <w:rPr>
                <w:sz w:val="14"/>
              </w:rPr>
            </w:pPr>
            <w:r>
              <w:rPr>
                <w:color w:val="231F20"/>
                <w:spacing w:val="-5"/>
                <w:w w:val="95"/>
                <w:sz w:val="14"/>
              </w:rPr>
              <w:t>104</w:t>
            </w:r>
          </w:p>
        </w:tc>
        <w:tc>
          <w:tcPr>
            <w:tcW w:w="1563" w:type="dxa"/>
            <w:shd w:val="clear" w:color="auto" w:fill="D4E3F5"/>
          </w:tcPr>
          <w:p>
            <w:pPr>
              <w:pStyle w:val="TableParagraph"/>
              <w:ind w:left="66" w:right="88"/>
              <w:rPr>
                <w:sz w:val="14"/>
              </w:rPr>
            </w:pPr>
            <w:r>
              <w:rPr>
                <w:color w:val="231F20"/>
                <w:spacing w:val="-5"/>
                <w:w w:val="95"/>
                <w:sz w:val="14"/>
              </w:rPr>
              <w:t>2.1</w:t>
            </w:r>
          </w:p>
        </w:tc>
        <w:tc>
          <w:tcPr>
            <w:tcW w:w="1317" w:type="dxa"/>
            <w:shd w:val="clear" w:color="auto" w:fill="D4E3F5"/>
          </w:tcPr>
          <w:p>
            <w:pPr>
              <w:pStyle w:val="TableParagraph"/>
              <w:ind w:left="193" w:right="8"/>
              <w:rPr>
                <w:sz w:val="14"/>
              </w:rPr>
            </w:pPr>
            <w:r>
              <w:rPr>
                <w:color w:val="231F20"/>
                <w:spacing w:val="-5"/>
                <w:w w:val="95"/>
                <w:sz w:val="14"/>
              </w:rPr>
              <w:t>2.5</w:t>
            </w:r>
          </w:p>
        </w:tc>
        <w:tc>
          <w:tcPr>
            <w:tcW w:w="1727" w:type="dxa"/>
            <w:shd w:val="clear" w:color="auto" w:fill="D4E3F5"/>
          </w:tcPr>
          <w:p>
            <w:pPr>
              <w:pStyle w:val="TableParagraph"/>
              <w:ind w:left="226" w:right="18"/>
              <w:rPr>
                <w:sz w:val="14"/>
              </w:rPr>
            </w:pPr>
            <w:r>
              <w:rPr>
                <w:color w:val="231F20"/>
                <w:spacing w:val="-5"/>
                <w:w w:val="95"/>
                <w:sz w:val="14"/>
              </w:rPr>
              <w:t>2.7</w:t>
            </w:r>
          </w:p>
        </w:tc>
      </w:tr>
      <w:tr>
        <w:trPr>
          <w:trHeight w:val="259" w:hRule="atLeast"/>
        </w:trPr>
        <w:tc>
          <w:tcPr>
            <w:tcW w:w="1452" w:type="dxa"/>
          </w:tcPr>
          <w:p>
            <w:pPr>
              <w:pStyle w:val="TableParagraph"/>
              <w:ind w:left="80"/>
              <w:jc w:val="left"/>
              <w:rPr>
                <w:sz w:val="14"/>
              </w:rPr>
            </w:pPr>
            <w:r>
              <w:rPr>
                <w:color w:val="231F20"/>
                <w:spacing w:val="-2"/>
                <w:w w:val="90"/>
                <w:sz w:val="14"/>
              </w:rPr>
              <w:t>Portugal</w:t>
            </w:r>
          </w:p>
        </w:tc>
        <w:tc>
          <w:tcPr>
            <w:tcW w:w="1619" w:type="dxa"/>
          </w:tcPr>
          <w:p>
            <w:pPr>
              <w:pStyle w:val="TableParagraph"/>
              <w:ind w:left="711"/>
              <w:jc w:val="left"/>
              <w:rPr>
                <w:sz w:val="14"/>
              </w:rPr>
            </w:pPr>
            <w:r>
              <w:rPr>
                <w:color w:val="231F20"/>
                <w:spacing w:val="-2"/>
                <w:w w:val="95"/>
                <w:sz w:val="14"/>
              </w:rPr>
              <w:t>110.5</w:t>
            </w:r>
          </w:p>
        </w:tc>
        <w:tc>
          <w:tcPr>
            <w:tcW w:w="1563" w:type="dxa"/>
          </w:tcPr>
          <w:p>
            <w:pPr>
              <w:pStyle w:val="TableParagraph"/>
              <w:ind w:left="88" w:right="88"/>
              <w:rPr>
                <w:sz w:val="14"/>
              </w:rPr>
            </w:pPr>
            <w:r>
              <w:rPr>
                <w:color w:val="231F20"/>
                <w:spacing w:val="-5"/>
                <w:w w:val="95"/>
                <w:sz w:val="14"/>
              </w:rPr>
              <w:t>1.9</w:t>
            </w:r>
          </w:p>
        </w:tc>
        <w:tc>
          <w:tcPr>
            <w:tcW w:w="1317" w:type="dxa"/>
          </w:tcPr>
          <w:p>
            <w:pPr>
              <w:pStyle w:val="TableParagraph"/>
              <w:ind w:left="167"/>
              <w:rPr>
                <w:sz w:val="14"/>
              </w:rPr>
            </w:pPr>
            <w:r>
              <w:rPr>
                <w:color w:val="231F20"/>
                <w:spacing w:val="-5"/>
                <w:w w:val="95"/>
                <w:sz w:val="14"/>
              </w:rPr>
              <w:t>2.1</w:t>
            </w:r>
          </w:p>
        </w:tc>
        <w:tc>
          <w:tcPr>
            <w:tcW w:w="1727" w:type="dxa"/>
          </w:tcPr>
          <w:p>
            <w:pPr>
              <w:pStyle w:val="TableParagraph"/>
              <w:ind w:left="226" w:right="14"/>
              <w:rPr>
                <w:sz w:val="14"/>
              </w:rPr>
            </w:pPr>
            <w:r>
              <w:rPr>
                <w:color w:val="231F20"/>
                <w:spacing w:val="-5"/>
                <w:w w:val="95"/>
                <w:sz w:val="14"/>
              </w:rPr>
              <w:t>3.0</w:t>
            </w:r>
          </w:p>
        </w:tc>
      </w:tr>
      <w:tr>
        <w:trPr>
          <w:trHeight w:val="259" w:hRule="atLeast"/>
        </w:trPr>
        <w:tc>
          <w:tcPr>
            <w:tcW w:w="1452" w:type="dxa"/>
            <w:shd w:val="clear" w:color="auto" w:fill="D4E3F5"/>
          </w:tcPr>
          <w:p>
            <w:pPr>
              <w:pStyle w:val="TableParagraph"/>
              <w:ind w:left="80"/>
              <w:jc w:val="left"/>
              <w:rPr>
                <w:sz w:val="14"/>
              </w:rPr>
            </w:pPr>
            <w:r>
              <w:rPr>
                <w:color w:val="231F20"/>
                <w:spacing w:val="-2"/>
                <w:w w:val="85"/>
                <w:sz w:val="14"/>
              </w:rPr>
              <w:t>Romania</w:t>
            </w:r>
          </w:p>
        </w:tc>
        <w:tc>
          <w:tcPr>
            <w:tcW w:w="1619" w:type="dxa"/>
            <w:shd w:val="clear" w:color="auto" w:fill="D4E3F5"/>
          </w:tcPr>
          <w:p>
            <w:pPr>
              <w:pStyle w:val="TableParagraph"/>
              <w:ind w:left="773"/>
              <w:jc w:val="left"/>
              <w:rPr>
                <w:sz w:val="14"/>
              </w:rPr>
            </w:pPr>
            <w:r>
              <w:rPr>
                <w:color w:val="231F20"/>
                <w:spacing w:val="-4"/>
                <w:w w:val="95"/>
                <w:sz w:val="14"/>
              </w:rPr>
              <w:t>91.5</w:t>
            </w:r>
          </w:p>
        </w:tc>
        <w:tc>
          <w:tcPr>
            <w:tcW w:w="1563" w:type="dxa"/>
            <w:shd w:val="clear" w:color="auto" w:fill="D4E3F5"/>
          </w:tcPr>
          <w:p>
            <w:pPr>
              <w:pStyle w:val="TableParagraph"/>
              <w:ind w:left="88" w:right="88"/>
              <w:rPr>
                <w:sz w:val="14"/>
              </w:rPr>
            </w:pPr>
            <w:r>
              <w:rPr>
                <w:color w:val="231F20"/>
                <w:spacing w:val="-5"/>
                <w:w w:val="95"/>
                <w:sz w:val="14"/>
              </w:rPr>
              <w:t>1.8</w:t>
            </w:r>
          </w:p>
        </w:tc>
        <w:tc>
          <w:tcPr>
            <w:tcW w:w="1317" w:type="dxa"/>
            <w:shd w:val="clear" w:color="auto" w:fill="D4E3F5"/>
          </w:tcPr>
          <w:p>
            <w:pPr>
              <w:pStyle w:val="TableParagraph"/>
              <w:ind w:left="193" w:right="2"/>
              <w:rPr>
                <w:sz w:val="14"/>
              </w:rPr>
            </w:pPr>
            <w:r>
              <w:rPr>
                <w:color w:val="231F20"/>
                <w:spacing w:val="-5"/>
                <w:w w:val="95"/>
                <w:sz w:val="14"/>
              </w:rPr>
              <w:t>1.9</w:t>
            </w:r>
          </w:p>
        </w:tc>
        <w:tc>
          <w:tcPr>
            <w:tcW w:w="1727" w:type="dxa"/>
            <w:shd w:val="clear" w:color="auto" w:fill="D4E3F5"/>
          </w:tcPr>
          <w:p>
            <w:pPr>
              <w:pStyle w:val="TableParagraph"/>
              <w:ind w:left="226" w:right="12"/>
              <w:rPr>
                <w:sz w:val="14"/>
              </w:rPr>
            </w:pPr>
            <w:r>
              <w:rPr>
                <w:color w:val="231F20"/>
                <w:spacing w:val="-5"/>
                <w:w w:val="95"/>
                <w:sz w:val="14"/>
              </w:rPr>
              <w:t>2.2</w:t>
            </w:r>
          </w:p>
        </w:tc>
      </w:tr>
      <w:tr>
        <w:trPr>
          <w:trHeight w:val="259" w:hRule="atLeast"/>
        </w:trPr>
        <w:tc>
          <w:tcPr>
            <w:tcW w:w="1452" w:type="dxa"/>
          </w:tcPr>
          <w:p>
            <w:pPr>
              <w:pStyle w:val="TableParagraph"/>
              <w:ind w:left="80"/>
              <w:jc w:val="left"/>
              <w:rPr>
                <w:sz w:val="14"/>
              </w:rPr>
            </w:pPr>
            <w:r>
              <w:rPr>
                <w:color w:val="231F20"/>
                <w:w w:val="75"/>
                <w:sz w:val="14"/>
              </w:rPr>
              <w:t>Russian</w:t>
            </w:r>
            <w:r>
              <w:rPr>
                <w:color w:val="231F20"/>
                <w:spacing w:val="8"/>
                <w:sz w:val="14"/>
              </w:rPr>
              <w:t> </w:t>
            </w:r>
            <w:r>
              <w:rPr>
                <w:color w:val="231F20"/>
                <w:spacing w:val="-2"/>
                <w:w w:val="90"/>
                <w:sz w:val="14"/>
              </w:rPr>
              <w:t>Federation</w:t>
            </w:r>
          </w:p>
        </w:tc>
        <w:tc>
          <w:tcPr>
            <w:tcW w:w="1619" w:type="dxa"/>
          </w:tcPr>
          <w:p>
            <w:pPr>
              <w:pStyle w:val="TableParagraph"/>
              <w:ind w:left="765"/>
              <w:jc w:val="left"/>
              <w:rPr>
                <w:sz w:val="14"/>
              </w:rPr>
            </w:pPr>
            <w:r>
              <w:rPr>
                <w:color w:val="231F20"/>
                <w:spacing w:val="-5"/>
                <w:w w:val="95"/>
                <w:sz w:val="14"/>
              </w:rPr>
              <w:t>85</w:t>
            </w:r>
          </w:p>
        </w:tc>
        <w:tc>
          <w:tcPr>
            <w:tcW w:w="1563" w:type="dxa"/>
          </w:tcPr>
          <w:p>
            <w:pPr>
              <w:pStyle w:val="TableParagraph"/>
              <w:ind w:left="79" w:right="88"/>
              <w:rPr>
                <w:sz w:val="14"/>
              </w:rPr>
            </w:pPr>
            <w:r>
              <w:rPr>
                <w:color w:val="231F20"/>
                <w:spacing w:val="-5"/>
                <w:w w:val="95"/>
                <w:sz w:val="14"/>
              </w:rPr>
              <w:t>2.7</w:t>
            </w:r>
          </w:p>
        </w:tc>
        <w:tc>
          <w:tcPr>
            <w:tcW w:w="1317" w:type="dxa"/>
          </w:tcPr>
          <w:p>
            <w:pPr>
              <w:pStyle w:val="TableParagraph"/>
              <w:ind w:left="193" w:right="8"/>
              <w:rPr>
                <w:sz w:val="14"/>
              </w:rPr>
            </w:pPr>
            <w:r>
              <w:rPr>
                <w:color w:val="231F20"/>
                <w:spacing w:val="-5"/>
                <w:w w:val="95"/>
                <w:sz w:val="14"/>
              </w:rPr>
              <w:t>2.5</w:t>
            </w:r>
          </w:p>
        </w:tc>
        <w:tc>
          <w:tcPr>
            <w:tcW w:w="1727" w:type="dxa"/>
          </w:tcPr>
          <w:p>
            <w:pPr>
              <w:pStyle w:val="TableParagraph"/>
              <w:ind w:left="226" w:right="12"/>
              <w:rPr>
                <w:sz w:val="14"/>
              </w:rPr>
            </w:pPr>
            <w:r>
              <w:rPr>
                <w:color w:val="231F20"/>
                <w:spacing w:val="-5"/>
                <w:w w:val="95"/>
                <w:sz w:val="14"/>
              </w:rPr>
              <w:t>3.5</w:t>
            </w:r>
          </w:p>
        </w:tc>
      </w:tr>
      <w:tr>
        <w:trPr>
          <w:trHeight w:val="259" w:hRule="atLeast"/>
        </w:trPr>
        <w:tc>
          <w:tcPr>
            <w:tcW w:w="1452" w:type="dxa"/>
            <w:shd w:val="clear" w:color="auto" w:fill="D4E3F5"/>
          </w:tcPr>
          <w:p>
            <w:pPr>
              <w:pStyle w:val="TableParagraph"/>
              <w:ind w:left="80"/>
              <w:jc w:val="left"/>
              <w:rPr>
                <w:sz w:val="14"/>
              </w:rPr>
            </w:pPr>
            <w:r>
              <w:rPr>
                <w:color w:val="231F20"/>
                <w:spacing w:val="-2"/>
                <w:w w:val="85"/>
                <w:sz w:val="14"/>
              </w:rPr>
              <w:t>Rwanda</w:t>
            </w:r>
          </w:p>
        </w:tc>
        <w:tc>
          <w:tcPr>
            <w:tcW w:w="1619" w:type="dxa"/>
            <w:shd w:val="clear" w:color="auto" w:fill="D4E3F5"/>
          </w:tcPr>
          <w:p>
            <w:pPr>
              <w:pStyle w:val="TableParagraph"/>
              <w:ind w:left="773"/>
              <w:jc w:val="left"/>
              <w:rPr>
                <w:sz w:val="14"/>
              </w:rPr>
            </w:pPr>
            <w:r>
              <w:rPr>
                <w:color w:val="231F20"/>
                <w:spacing w:val="-4"/>
                <w:w w:val="95"/>
                <w:sz w:val="14"/>
              </w:rPr>
              <w:t>31.5</w:t>
            </w:r>
          </w:p>
        </w:tc>
        <w:tc>
          <w:tcPr>
            <w:tcW w:w="1563" w:type="dxa"/>
            <w:shd w:val="clear" w:color="auto" w:fill="D4E3F5"/>
          </w:tcPr>
          <w:p>
            <w:pPr>
              <w:pStyle w:val="TableParagraph"/>
              <w:ind w:left="84" w:right="88"/>
              <w:rPr>
                <w:sz w:val="14"/>
              </w:rPr>
            </w:pPr>
            <w:r>
              <w:rPr>
                <w:color w:val="231F20"/>
                <w:spacing w:val="-5"/>
                <w:w w:val="95"/>
                <w:sz w:val="14"/>
              </w:rPr>
              <w:t>2.6</w:t>
            </w:r>
          </w:p>
        </w:tc>
        <w:tc>
          <w:tcPr>
            <w:tcW w:w="1317" w:type="dxa"/>
            <w:shd w:val="clear" w:color="auto" w:fill="D4E3F5"/>
          </w:tcPr>
          <w:p>
            <w:pPr>
              <w:pStyle w:val="TableParagraph"/>
              <w:ind w:left="193" w:right="3"/>
              <w:rPr>
                <w:sz w:val="14"/>
              </w:rPr>
            </w:pPr>
            <w:r>
              <w:rPr>
                <w:color w:val="231F20"/>
                <w:spacing w:val="-5"/>
                <w:w w:val="95"/>
                <w:sz w:val="14"/>
              </w:rPr>
              <w:t>1.4</w:t>
            </w:r>
          </w:p>
        </w:tc>
        <w:tc>
          <w:tcPr>
            <w:tcW w:w="1727" w:type="dxa"/>
            <w:shd w:val="clear" w:color="auto" w:fill="D4E3F5"/>
          </w:tcPr>
          <w:p>
            <w:pPr>
              <w:pStyle w:val="TableParagraph"/>
              <w:ind w:left="226" w:right="19"/>
              <w:rPr>
                <w:sz w:val="14"/>
              </w:rPr>
            </w:pPr>
            <w:r>
              <w:rPr>
                <w:color w:val="231F20"/>
                <w:spacing w:val="-5"/>
                <w:w w:val="95"/>
                <w:sz w:val="14"/>
              </w:rPr>
              <w:t>3.7</w:t>
            </w:r>
          </w:p>
        </w:tc>
      </w:tr>
      <w:tr>
        <w:trPr>
          <w:trHeight w:val="259" w:hRule="atLeast"/>
        </w:trPr>
        <w:tc>
          <w:tcPr>
            <w:tcW w:w="1452" w:type="dxa"/>
          </w:tcPr>
          <w:p>
            <w:pPr>
              <w:pStyle w:val="TableParagraph"/>
              <w:ind w:left="80"/>
              <w:jc w:val="left"/>
              <w:rPr>
                <w:sz w:val="14"/>
              </w:rPr>
            </w:pPr>
            <w:r>
              <w:rPr>
                <w:color w:val="231F20"/>
                <w:w w:val="75"/>
                <w:sz w:val="14"/>
              </w:rPr>
              <w:t>Saudi</w:t>
            </w:r>
            <w:r>
              <w:rPr>
                <w:color w:val="231F20"/>
                <w:spacing w:val="6"/>
                <w:sz w:val="14"/>
              </w:rPr>
              <w:t> </w:t>
            </w:r>
            <w:r>
              <w:rPr>
                <w:color w:val="231F20"/>
                <w:spacing w:val="-2"/>
                <w:w w:val="90"/>
                <w:sz w:val="14"/>
              </w:rPr>
              <w:t>Arabia</w:t>
            </w:r>
          </w:p>
        </w:tc>
        <w:tc>
          <w:tcPr>
            <w:tcW w:w="1619" w:type="dxa"/>
          </w:tcPr>
          <w:p>
            <w:pPr>
              <w:pStyle w:val="TableParagraph"/>
              <w:ind w:left="764"/>
              <w:jc w:val="left"/>
              <w:rPr>
                <w:sz w:val="14"/>
              </w:rPr>
            </w:pPr>
            <w:r>
              <w:rPr>
                <w:color w:val="231F20"/>
                <w:spacing w:val="-4"/>
                <w:w w:val="95"/>
                <w:sz w:val="14"/>
              </w:rPr>
              <w:t>99.5</w:t>
            </w:r>
          </w:p>
        </w:tc>
        <w:tc>
          <w:tcPr>
            <w:tcW w:w="1563" w:type="dxa"/>
          </w:tcPr>
          <w:p>
            <w:pPr>
              <w:pStyle w:val="TableParagraph"/>
              <w:ind w:left="81" w:right="88"/>
              <w:rPr>
                <w:sz w:val="14"/>
              </w:rPr>
            </w:pPr>
            <w:r>
              <w:rPr>
                <w:color w:val="231F20"/>
                <w:spacing w:val="-5"/>
                <w:w w:val="95"/>
                <w:sz w:val="14"/>
              </w:rPr>
              <w:t>3.4</w:t>
            </w:r>
          </w:p>
        </w:tc>
        <w:tc>
          <w:tcPr>
            <w:tcW w:w="1317" w:type="dxa"/>
          </w:tcPr>
          <w:p>
            <w:pPr>
              <w:pStyle w:val="TableParagraph"/>
              <w:ind w:left="193" w:right="8"/>
              <w:rPr>
                <w:sz w:val="14"/>
              </w:rPr>
            </w:pPr>
            <w:r>
              <w:rPr>
                <w:color w:val="231F20"/>
                <w:spacing w:val="-5"/>
                <w:w w:val="95"/>
                <w:sz w:val="14"/>
              </w:rPr>
              <w:t>2.6</w:t>
            </w:r>
          </w:p>
        </w:tc>
        <w:tc>
          <w:tcPr>
            <w:tcW w:w="1727" w:type="dxa"/>
          </w:tcPr>
          <w:p>
            <w:pPr>
              <w:pStyle w:val="TableParagraph"/>
              <w:ind w:left="226" w:right="16"/>
              <w:rPr>
                <w:sz w:val="14"/>
              </w:rPr>
            </w:pPr>
            <w:r>
              <w:rPr>
                <w:color w:val="231F20"/>
                <w:spacing w:val="-5"/>
                <w:w w:val="95"/>
                <w:sz w:val="14"/>
              </w:rPr>
              <w:t>5.4</w:t>
            </w:r>
          </w:p>
        </w:tc>
      </w:tr>
      <w:tr>
        <w:trPr>
          <w:trHeight w:val="259" w:hRule="atLeast"/>
        </w:trPr>
        <w:tc>
          <w:tcPr>
            <w:tcW w:w="1452" w:type="dxa"/>
            <w:shd w:val="clear" w:color="auto" w:fill="D4E3F5"/>
          </w:tcPr>
          <w:p>
            <w:pPr>
              <w:pStyle w:val="TableParagraph"/>
              <w:ind w:left="80"/>
              <w:jc w:val="left"/>
              <w:rPr>
                <w:sz w:val="14"/>
              </w:rPr>
            </w:pPr>
            <w:r>
              <w:rPr>
                <w:color w:val="231F20"/>
                <w:spacing w:val="-2"/>
                <w:w w:val="90"/>
                <w:sz w:val="14"/>
              </w:rPr>
              <w:t>Singapore</w:t>
            </w:r>
          </w:p>
        </w:tc>
        <w:tc>
          <w:tcPr>
            <w:tcW w:w="1619" w:type="dxa"/>
            <w:shd w:val="clear" w:color="auto" w:fill="D4E3F5"/>
          </w:tcPr>
          <w:p>
            <w:pPr>
              <w:pStyle w:val="TableParagraph"/>
              <w:ind w:left="709"/>
              <w:jc w:val="left"/>
              <w:rPr>
                <w:sz w:val="14"/>
              </w:rPr>
            </w:pPr>
            <w:r>
              <w:rPr>
                <w:color w:val="231F20"/>
                <w:spacing w:val="-2"/>
                <w:w w:val="95"/>
                <w:sz w:val="14"/>
              </w:rPr>
              <w:t>124.5</w:t>
            </w:r>
          </w:p>
        </w:tc>
        <w:tc>
          <w:tcPr>
            <w:tcW w:w="1563" w:type="dxa"/>
            <w:shd w:val="clear" w:color="auto" w:fill="D4E3F5"/>
          </w:tcPr>
          <w:p>
            <w:pPr>
              <w:pStyle w:val="TableParagraph"/>
              <w:ind w:left="88" w:right="88"/>
              <w:rPr>
                <w:sz w:val="14"/>
              </w:rPr>
            </w:pPr>
            <w:r>
              <w:rPr>
                <w:color w:val="231F20"/>
                <w:spacing w:val="-5"/>
                <w:w w:val="95"/>
                <w:sz w:val="14"/>
              </w:rPr>
              <w:t>1.6</w:t>
            </w:r>
          </w:p>
        </w:tc>
        <w:tc>
          <w:tcPr>
            <w:tcW w:w="1317" w:type="dxa"/>
            <w:shd w:val="clear" w:color="auto" w:fill="D4E3F5"/>
          </w:tcPr>
          <w:p>
            <w:pPr>
              <w:pStyle w:val="TableParagraph"/>
              <w:ind w:left="193" w:right="8"/>
              <w:rPr>
                <w:sz w:val="14"/>
              </w:rPr>
            </w:pPr>
            <w:r>
              <w:rPr>
                <w:color w:val="231F20"/>
                <w:spacing w:val="-5"/>
                <w:w w:val="95"/>
                <w:sz w:val="14"/>
              </w:rPr>
              <w:t>0.3</w:t>
            </w:r>
          </w:p>
        </w:tc>
        <w:tc>
          <w:tcPr>
            <w:tcW w:w="1727" w:type="dxa"/>
            <w:shd w:val="clear" w:color="auto" w:fill="D4E3F5"/>
          </w:tcPr>
          <w:p>
            <w:pPr>
              <w:pStyle w:val="TableParagraph"/>
              <w:ind w:left="226" w:right="13"/>
              <w:rPr>
                <w:sz w:val="14"/>
              </w:rPr>
            </w:pPr>
            <w:r>
              <w:rPr>
                <w:color w:val="231F20"/>
                <w:spacing w:val="-5"/>
                <w:w w:val="95"/>
                <w:sz w:val="14"/>
              </w:rPr>
              <w:t>2.5</w:t>
            </w:r>
          </w:p>
        </w:tc>
      </w:tr>
      <w:tr>
        <w:trPr>
          <w:trHeight w:val="259" w:hRule="atLeast"/>
        </w:trPr>
        <w:tc>
          <w:tcPr>
            <w:tcW w:w="1452" w:type="dxa"/>
          </w:tcPr>
          <w:p>
            <w:pPr>
              <w:pStyle w:val="TableParagraph"/>
              <w:ind w:left="80"/>
              <w:jc w:val="left"/>
              <w:rPr>
                <w:sz w:val="14"/>
              </w:rPr>
            </w:pPr>
            <w:r>
              <w:rPr>
                <w:color w:val="231F20"/>
                <w:spacing w:val="-2"/>
                <w:w w:val="85"/>
                <w:sz w:val="14"/>
              </w:rPr>
              <w:t>Slovenia</w:t>
            </w:r>
          </w:p>
        </w:tc>
        <w:tc>
          <w:tcPr>
            <w:tcW w:w="1619" w:type="dxa"/>
          </w:tcPr>
          <w:p>
            <w:pPr>
              <w:pStyle w:val="TableParagraph"/>
              <w:ind w:left="767"/>
              <w:jc w:val="left"/>
              <w:rPr>
                <w:sz w:val="14"/>
              </w:rPr>
            </w:pPr>
            <w:r>
              <w:rPr>
                <w:color w:val="231F20"/>
                <w:spacing w:val="-5"/>
                <w:w w:val="95"/>
                <w:sz w:val="14"/>
              </w:rPr>
              <w:t>73</w:t>
            </w:r>
          </w:p>
        </w:tc>
        <w:tc>
          <w:tcPr>
            <w:tcW w:w="1563" w:type="dxa"/>
          </w:tcPr>
          <w:p>
            <w:pPr>
              <w:pStyle w:val="TableParagraph"/>
              <w:ind w:left="88" w:right="88"/>
              <w:rPr>
                <w:sz w:val="14"/>
              </w:rPr>
            </w:pPr>
            <w:r>
              <w:rPr>
                <w:color w:val="231F20"/>
                <w:spacing w:val="-5"/>
                <w:w w:val="95"/>
                <w:sz w:val="14"/>
              </w:rPr>
              <w:t>1.9</w:t>
            </w:r>
          </w:p>
        </w:tc>
        <w:tc>
          <w:tcPr>
            <w:tcW w:w="1317" w:type="dxa"/>
          </w:tcPr>
          <w:p>
            <w:pPr>
              <w:pStyle w:val="TableParagraph"/>
              <w:ind w:left="167"/>
              <w:rPr>
                <w:sz w:val="14"/>
              </w:rPr>
            </w:pPr>
            <w:r>
              <w:rPr>
                <w:color w:val="231F20"/>
                <w:spacing w:val="-5"/>
                <w:w w:val="95"/>
                <w:sz w:val="14"/>
              </w:rPr>
              <w:t>2.1</w:t>
            </w:r>
          </w:p>
        </w:tc>
        <w:tc>
          <w:tcPr>
            <w:tcW w:w="1727" w:type="dxa"/>
          </w:tcPr>
          <w:p>
            <w:pPr>
              <w:pStyle w:val="TableParagraph"/>
              <w:ind w:left="226" w:right="32"/>
              <w:rPr>
                <w:sz w:val="14"/>
              </w:rPr>
            </w:pPr>
            <w:r>
              <w:rPr>
                <w:color w:val="231F20"/>
                <w:spacing w:val="-5"/>
                <w:w w:val="95"/>
                <w:sz w:val="14"/>
              </w:rPr>
              <w:t>3.1</w:t>
            </w:r>
          </w:p>
        </w:tc>
      </w:tr>
      <w:tr>
        <w:trPr>
          <w:trHeight w:val="259" w:hRule="atLeast"/>
        </w:trPr>
        <w:tc>
          <w:tcPr>
            <w:tcW w:w="1452" w:type="dxa"/>
            <w:shd w:val="clear" w:color="auto" w:fill="D4E3F5"/>
          </w:tcPr>
          <w:p>
            <w:pPr>
              <w:pStyle w:val="TableParagraph"/>
              <w:ind w:left="80"/>
              <w:jc w:val="left"/>
              <w:rPr>
                <w:sz w:val="14"/>
              </w:rPr>
            </w:pPr>
            <w:r>
              <w:rPr>
                <w:color w:val="231F20"/>
                <w:w w:val="75"/>
                <w:sz w:val="14"/>
              </w:rPr>
              <w:t>South</w:t>
            </w:r>
            <w:r>
              <w:rPr>
                <w:color w:val="231F20"/>
                <w:spacing w:val="11"/>
                <w:sz w:val="14"/>
              </w:rPr>
              <w:t> </w:t>
            </w:r>
            <w:r>
              <w:rPr>
                <w:color w:val="231F20"/>
                <w:spacing w:val="-2"/>
                <w:w w:val="90"/>
                <w:sz w:val="14"/>
              </w:rPr>
              <w:t>Africa</w:t>
            </w:r>
          </w:p>
        </w:tc>
        <w:tc>
          <w:tcPr>
            <w:tcW w:w="1619" w:type="dxa"/>
            <w:shd w:val="clear" w:color="auto" w:fill="D4E3F5"/>
          </w:tcPr>
          <w:p>
            <w:pPr>
              <w:pStyle w:val="TableParagraph"/>
              <w:ind w:left="704"/>
              <w:jc w:val="left"/>
              <w:rPr>
                <w:sz w:val="14"/>
              </w:rPr>
            </w:pPr>
            <w:r>
              <w:rPr>
                <w:color w:val="231F20"/>
                <w:spacing w:val="-5"/>
                <w:w w:val="95"/>
                <w:sz w:val="14"/>
              </w:rPr>
              <w:t>132</w:t>
            </w:r>
          </w:p>
        </w:tc>
        <w:tc>
          <w:tcPr>
            <w:tcW w:w="1563" w:type="dxa"/>
            <w:shd w:val="clear" w:color="auto" w:fill="D4E3F5"/>
          </w:tcPr>
          <w:p>
            <w:pPr>
              <w:pStyle w:val="TableParagraph"/>
              <w:ind w:left="88" w:right="88"/>
              <w:rPr>
                <w:sz w:val="14"/>
              </w:rPr>
            </w:pPr>
            <w:r>
              <w:rPr>
                <w:color w:val="231F20"/>
                <w:spacing w:val="-5"/>
                <w:w w:val="95"/>
                <w:sz w:val="14"/>
              </w:rPr>
              <w:t>1.9</w:t>
            </w:r>
          </w:p>
        </w:tc>
        <w:tc>
          <w:tcPr>
            <w:tcW w:w="1317" w:type="dxa"/>
            <w:shd w:val="clear" w:color="auto" w:fill="D4E3F5"/>
          </w:tcPr>
          <w:p>
            <w:pPr>
              <w:pStyle w:val="TableParagraph"/>
              <w:ind w:left="193" w:right="1"/>
              <w:rPr>
                <w:sz w:val="14"/>
              </w:rPr>
            </w:pPr>
            <w:r>
              <w:rPr>
                <w:color w:val="231F20"/>
                <w:spacing w:val="-5"/>
                <w:w w:val="95"/>
                <w:sz w:val="14"/>
              </w:rPr>
              <w:t>1.3</w:t>
            </w:r>
          </w:p>
        </w:tc>
        <w:tc>
          <w:tcPr>
            <w:tcW w:w="1727" w:type="dxa"/>
            <w:shd w:val="clear" w:color="auto" w:fill="D4E3F5"/>
          </w:tcPr>
          <w:p>
            <w:pPr>
              <w:pStyle w:val="TableParagraph"/>
              <w:ind w:left="226" w:right="32"/>
              <w:rPr>
                <w:sz w:val="14"/>
              </w:rPr>
            </w:pPr>
            <w:r>
              <w:rPr>
                <w:color w:val="231F20"/>
                <w:spacing w:val="-5"/>
                <w:w w:val="95"/>
                <w:sz w:val="14"/>
              </w:rPr>
              <w:t>3.1</w:t>
            </w:r>
          </w:p>
        </w:tc>
      </w:tr>
      <w:tr>
        <w:trPr>
          <w:trHeight w:val="259" w:hRule="atLeast"/>
        </w:trPr>
        <w:tc>
          <w:tcPr>
            <w:tcW w:w="1452" w:type="dxa"/>
          </w:tcPr>
          <w:p>
            <w:pPr>
              <w:pStyle w:val="TableParagraph"/>
              <w:spacing w:before="45"/>
              <w:ind w:left="80"/>
              <w:jc w:val="left"/>
              <w:rPr>
                <w:sz w:val="9"/>
              </w:rPr>
            </w:pPr>
            <w:r>
              <w:rPr>
                <w:color w:val="231F20"/>
                <w:spacing w:val="-2"/>
                <w:w w:val="85"/>
                <w:sz w:val="14"/>
              </w:rPr>
              <w:t>Spain</w:t>
            </w:r>
            <w:r>
              <w:rPr>
                <w:color w:val="231F20"/>
                <w:spacing w:val="-2"/>
                <w:w w:val="85"/>
                <w:position w:val="5"/>
                <w:sz w:val="9"/>
              </w:rPr>
              <w:t>a</w:t>
            </w:r>
          </w:p>
        </w:tc>
        <w:tc>
          <w:tcPr>
            <w:tcW w:w="1619" w:type="dxa"/>
          </w:tcPr>
          <w:p>
            <w:pPr>
              <w:pStyle w:val="TableParagraph"/>
              <w:ind w:left="701"/>
              <w:jc w:val="left"/>
              <w:rPr>
                <w:sz w:val="14"/>
              </w:rPr>
            </w:pPr>
            <w:r>
              <w:rPr>
                <w:color w:val="231F20"/>
                <w:spacing w:val="-2"/>
                <w:w w:val="95"/>
                <w:sz w:val="14"/>
              </w:rPr>
              <w:t>136.5</w:t>
            </w:r>
          </w:p>
        </w:tc>
        <w:tc>
          <w:tcPr>
            <w:tcW w:w="1563" w:type="dxa"/>
          </w:tcPr>
          <w:p>
            <w:pPr>
              <w:pStyle w:val="TableParagraph"/>
              <w:ind w:left="66" w:right="88"/>
              <w:rPr>
                <w:sz w:val="14"/>
              </w:rPr>
            </w:pPr>
            <w:r>
              <w:rPr>
                <w:color w:val="231F20"/>
                <w:spacing w:val="-5"/>
                <w:w w:val="95"/>
                <w:sz w:val="14"/>
              </w:rPr>
              <w:t>2.1</w:t>
            </w:r>
          </w:p>
        </w:tc>
        <w:tc>
          <w:tcPr>
            <w:tcW w:w="1317" w:type="dxa"/>
          </w:tcPr>
          <w:p>
            <w:pPr>
              <w:pStyle w:val="TableParagraph"/>
              <w:ind w:left="193" w:right="1"/>
              <w:rPr>
                <w:sz w:val="14"/>
              </w:rPr>
            </w:pPr>
            <w:r>
              <w:rPr>
                <w:color w:val="231F20"/>
                <w:spacing w:val="-5"/>
                <w:w w:val="95"/>
                <w:sz w:val="14"/>
              </w:rPr>
              <w:t>1.8</w:t>
            </w:r>
          </w:p>
        </w:tc>
        <w:tc>
          <w:tcPr>
            <w:tcW w:w="1727" w:type="dxa"/>
          </w:tcPr>
          <w:p>
            <w:pPr>
              <w:pStyle w:val="TableParagraph"/>
              <w:ind w:left="226" w:right="13"/>
              <w:rPr>
                <w:sz w:val="14"/>
              </w:rPr>
            </w:pPr>
            <w:r>
              <w:rPr>
                <w:color w:val="231F20"/>
                <w:spacing w:val="-5"/>
                <w:w w:val="95"/>
                <w:sz w:val="14"/>
              </w:rPr>
              <w:t>2.9</w:t>
            </w:r>
          </w:p>
        </w:tc>
      </w:tr>
      <w:tr>
        <w:trPr>
          <w:trHeight w:val="259" w:hRule="atLeast"/>
        </w:trPr>
        <w:tc>
          <w:tcPr>
            <w:tcW w:w="1452" w:type="dxa"/>
            <w:shd w:val="clear" w:color="auto" w:fill="D4E3F5"/>
          </w:tcPr>
          <w:p>
            <w:pPr>
              <w:pStyle w:val="TableParagraph"/>
              <w:ind w:left="80"/>
              <w:jc w:val="left"/>
              <w:rPr>
                <w:sz w:val="14"/>
              </w:rPr>
            </w:pPr>
            <w:r>
              <w:rPr>
                <w:color w:val="231F20"/>
                <w:w w:val="75"/>
                <w:sz w:val="14"/>
              </w:rPr>
              <w:t>Sri</w:t>
            </w:r>
            <w:r>
              <w:rPr>
                <w:color w:val="231F20"/>
                <w:sz w:val="14"/>
              </w:rPr>
              <w:t> </w:t>
            </w:r>
            <w:r>
              <w:rPr>
                <w:color w:val="231F20"/>
                <w:spacing w:val="-2"/>
                <w:w w:val="85"/>
                <w:sz w:val="14"/>
              </w:rPr>
              <w:t>Lanka</w:t>
            </w:r>
          </w:p>
        </w:tc>
        <w:tc>
          <w:tcPr>
            <w:tcW w:w="1619" w:type="dxa"/>
            <w:shd w:val="clear" w:color="auto" w:fill="D4E3F5"/>
          </w:tcPr>
          <w:p>
            <w:pPr>
              <w:pStyle w:val="TableParagraph"/>
              <w:ind w:left="768"/>
              <w:jc w:val="left"/>
              <w:rPr>
                <w:sz w:val="14"/>
              </w:rPr>
            </w:pPr>
            <w:r>
              <w:rPr>
                <w:color w:val="231F20"/>
                <w:spacing w:val="-5"/>
                <w:w w:val="95"/>
                <w:sz w:val="14"/>
              </w:rPr>
              <w:t>76</w:t>
            </w:r>
          </w:p>
        </w:tc>
        <w:tc>
          <w:tcPr>
            <w:tcW w:w="1563" w:type="dxa"/>
            <w:shd w:val="clear" w:color="auto" w:fill="D4E3F5"/>
          </w:tcPr>
          <w:p>
            <w:pPr>
              <w:pStyle w:val="TableParagraph"/>
              <w:ind w:left="84" w:right="88"/>
              <w:rPr>
                <w:sz w:val="14"/>
              </w:rPr>
            </w:pPr>
            <w:r>
              <w:rPr>
                <w:color w:val="231F20"/>
                <w:spacing w:val="-5"/>
                <w:w w:val="95"/>
                <w:sz w:val="14"/>
              </w:rPr>
              <w:t>2.5</w:t>
            </w:r>
          </w:p>
        </w:tc>
        <w:tc>
          <w:tcPr>
            <w:tcW w:w="1317" w:type="dxa"/>
            <w:shd w:val="clear" w:color="auto" w:fill="D4E3F5"/>
          </w:tcPr>
          <w:p>
            <w:pPr>
              <w:pStyle w:val="TableParagraph"/>
              <w:ind w:left="184"/>
              <w:rPr>
                <w:sz w:val="14"/>
              </w:rPr>
            </w:pPr>
            <w:r>
              <w:rPr>
                <w:color w:val="231F20"/>
                <w:spacing w:val="-5"/>
                <w:w w:val="95"/>
                <w:sz w:val="14"/>
              </w:rPr>
              <w:t>3.0</w:t>
            </w:r>
          </w:p>
        </w:tc>
        <w:tc>
          <w:tcPr>
            <w:tcW w:w="1727" w:type="dxa"/>
            <w:shd w:val="clear" w:color="auto" w:fill="D4E3F5"/>
          </w:tcPr>
          <w:p>
            <w:pPr>
              <w:pStyle w:val="TableParagraph"/>
              <w:ind w:left="226" w:right="13"/>
              <w:rPr>
                <w:sz w:val="14"/>
              </w:rPr>
            </w:pPr>
            <w:r>
              <w:rPr>
                <w:color w:val="231F20"/>
                <w:spacing w:val="-5"/>
                <w:w w:val="95"/>
                <w:sz w:val="14"/>
              </w:rPr>
              <w:t>4.6</w:t>
            </w:r>
          </w:p>
        </w:tc>
      </w:tr>
      <w:tr>
        <w:trPr>
          <w:trHeight w:val="259" w:hRule="atLeast"/>
        </w:trPr>
        <w:tc>
          <w:tcPr>
            <w:tcW w:w="1452" w:type="dxa"/>
          </w:tcPr>
          <w:p>
            <w:pPr>
              <w:pStyle w:val="TableParagraph"/>
              <w:ind w:left="80"/>
              <w:jc w:val="left"/>
              <w:rPr>
                <w:sz w:val="14"/>
              </w:rPr>
            </w:pPr>
            <w:r>
              <w:rPr>
                <w:color w:val="231F20"/>
                <w:spacing w:val="-2"/>
                <w:w w:val="85"/>
                <w:sz w:val="14"/>
              </w:rPr>
              <w:t>Sudan</w:t>
            </w:r>
          </w:p>
        </w:tc>
        <w:tc>
          <w:tcPr>
            <w:tcW w:w="1619" w:type="dxa"/>
          </w:tcPr>
          <w:p>
            <w:pPr>
              <w:pStyle w:val="TableParagraph"/>
              <w:ind w:left="766"/>
              <w:jc w:val="left"/>
              <w:rPr>
                <w:sz w:val="14"/>
              </w:rPr>
            </w:pPr>
            <w:r>
              <w:rPr>
                <w:color w:val="231F20"/>
                <w:spacing w:val="-5"/>
                <w:w w:val="95"/>
                <w:sz w:val="14"/>
              </w:rPr>
              <w:t>62</w:t>
            </w:r>
          </w:p>
        </w:tc>
        <w:tc>
          <w:tcPr>
            <w:tcW w:w="1563" w:type="dxa"/>
          </w:tcPr>
          <w:p>
            <w:pPr>
              <w:pStyle w:val="TableParagraph"/>
              <w:ind w:left="93" w:right="88"/>
              <w:rPr>
                <w:sz w:val="14"/>
              </w:rPr>
            </w:pPr>
            <w:r>
              <w:rPr>
                <w:color w:val="231F20"/>
                <w:spacing w:val="-5"/>
                <w:w w:val="95"/>
                <w:sz w:val="14"/>
              </w:rPr>
              <w:t>7.9</w:t>
            </w:r>
          </w:p>
        </w:tc>
        <w:tc>
          <w:tcPr>
            <w:tcW w:w="1317" w:type="dxa"/>
          </w:tcPr>
          <w:p>
            <w:pPr>
              <w:pStyle w:val="TableParagraph"/>
              <w:ind w:left="182"/>
              <w:rPr>
                <w:sz w:val="14"/>
              </w:rPr>
            </w:pPr>
            <w:r>
              <w:rPr>
                <w:color w:val="231F20"/>
                <w:spacing w:val="-5"/>
                <w:w w:val="95"/>
                <w:sz w:val="14"/>
              </w:rPr>
              <w:t>5.4</w:t>
            </w:r>
          </w:p>
        </w:tc>
        <w:tc>
          <w:tcPr>
            <w:tcW w:w="1727" w:type="dxa"/>
          </w:tcPr>
          <w:p>
            <w:pPr>
              <w:pStyle w:val="TableParagraph"/>
              <w:ind w:left="226" w:right="14"/>
              <w:rPr>
                <w:sz w:val="14"/>
              </w:rPr>
            </w:pPr>
            <w:r>
              <w:rPr>
                <w:color w:val="231F20"/>
                <w:spacing w:val="-5"/>
                <w:w w:val="95"/>
                <w:sz w:val="14"/>
              </w:rPr>
              <w:t>5.9</w:t>
            </w:r>
          </w:p>
        </w:tc>
      </w:tr>
      <w:tr>
        <w:trPr>
          <w:trHeight w:val="259" w:hRule="atLeast"/>
        </w:trPr>
        <w:tc>
          <w:tcPr>
            <w:tcW w:w="1452" w:type="dxa"/>
            <w:shd w:val="clear" w:color="auto" w:fill="D4E3F5"/>
          </w:tcPr>
          <w:p>
            <w:pPr>
              <w:pStyle w:val="TableParagraph"/>
              <w:ind w:left="80"/>
              <w:jc w:val="left"/>
              <w:rPr>
                <w:sz w:val="14"/>
              </w:rPr>
            </w:pPr>
            <w:r>
              <w:rPr>
                <w:color w:val="231F20"/>
                <w:spacing w:val="-2"/>
                <w:w w:val="85"/>
                <w:sz w:val="14"/>
              </w:rPr>
              <w:t>Sweden</w:t>
            </w:r>
          </w:p>
        </w:tc>
        <w:tc>
          <w:tcPr>
            <w:tcW w:w="1619" w:type="dxa"/>
            <w:shd w:val="clear" w:color="auto" w:fill="D4E3F5"/>
          </w:tcPr>
          <w:p>
            <w:pPr>
              <w:pStyle w:val="TableParagraph"/>
              <w:ind w:left="710"/>
              <w:jc w:val="left"/>
              <w:rPr>
                <w:sz w:val="14"/>
              </w:rPr>
            </w:pPr>
            <w:r>
              <w:rPr>
                <w:color w:val="231F20"/>
                <w:spacing w:val="-2"/>
                <w:w w:val="95"/>
                <w:sz w:val="14"/>
              </w:rPr>
              <w:t>116.5</w:t>
            </w:r>
          </w:p>
        </w:tc>
        <w:tc>
          <w:tcPr>
            <w:tcW w:w="1563" w:type="dxa"/>
            <w:shd w:val="clear" w:color="auto" w:fill="D4E3F5"/>
          </w:tcPr>
          <w:p>
            <w:pPr>
              <w:pStyle w:val="TableParagraph"/>
              <w:ind w:left="87" w:right="88"/>
              <w:rPr>
                <w:sz w:val="14"/>
              </w:rPr>
            </w:pPr>
            <w:r>
              <w:rPr>
                <w:color w:val="231F20"/>
                <w:spacing w:val="-5"/>
                <w:w w:val="95"/>
                <w:sz w:val="14"/>
              </w:rPr>
              <w:t>1.7</w:t>
            </w:r>
          </w:p>
        </w:tc>
        <w:tc>
          <w:tcPr>
            <w:tcW w:w="1317" w:type="dxa"/>
            <w:shd w:val="clear" w:color="auto" w:fill="D4E3F5"/>
          </w:tcPr>
          <w:p>
            <w:pPr>
              <w:pStyle w:val="TableParagraph"/>
              <w:ind w:left="193" w:right="8"/>
              <w:rPr>
                <w:sz w:val="14"/>
              </w:rPr>
            </w:pPr>
            <w:r>
              <w:rPr>
                <w:color w:val="231F20"/>
                <w:spacing w:val="-5"/>
                <w:w w:val="95"/>
                <w:sz w:val="14"/>
              </w:rPr>
              <w:t>2.0</w:t>
            </w:r>
          </w:p>
        </w:tc>
        <w:tc>
          <w:tcPr>
            <w:tcW w:w="1727" w:type="dxa"/>
            <w:shd w:val="clear" w:color="auto" w:fill="D4E3F5"/>
          </w:tcPr>
          <w:p>
            <w:pPr>
              <w:pStyle w:val="TableParagraph"/>
              <w:ind w:left="226" w:right="13"/>
              <w:rPr>
                <w:sz w:val="14"/>
              </w:rPr>
            </w:pPr>
            <w:r>
              <w:rPr>
                <w:color w:val="231F20"/>
                <w:spacing w:val="-5"/>
                <w:w w:val="95"/>
                <w:sz w:val="14"/>
              </w:rPr>
              <w:t>2.6</w:t>
            </w:r>
          </w:p>
        </w:tc>
      </w:tr>
      <w:tr>
        <w:trPr>
          <w:trHeight w:val="259" w:hRule="atLeast"/>
        </w:trPr>
        <w:tc>
          <w:tcPr>
            <w:tcW w:w="1452" w:type="dxa"/>
          </w:tcPr>
          <w:p>
            <w:pPr>
              <w:pStyle w:val="TableParagraph"/>
              <w:ind w:left="80"/>
              <w:jc w:val="left"/>
              <w:rPr>
                <w:sz w:val="14"/>
              </w:rPr>
            </w:pPr>
            <w:r>
              <w:rPr>
                <w:color w:val="231F20"/>
                <w:spacing w:val="-2"/>
                <w:w w:val="90"/>
                <w:sz w:val="14"/>
              </w:rPr>
              <w:t>Switzerland</w:t>
            </w:r>
          </w:p>
        </w:tc>
        <w:tc>
          <w:tcPr>
            <w:tcW w:w="1619" w:type="dxa"/>
          </w:tcPr>
          <w:p>
            <w:pPr>
              <w:pStyle w:val="TableParagraph"/>
              <w:ind w:left="704"/>
              <w:jc w:val="left"/>
              <w:rPr>
                <w:sz w:val="14"/>
              </w:rPr>
            </w:pPr>
            <w:r>
              <w:rPr>
                <w:color w:val="231F20"/>
                <w:spacing w:val="-2"/>
                <w:w w:val="95"/>
                <w:sz w:val="14"/>
              </w:rPr>
              <w:t>142.5</w:t>
            </w:r>
          </w:p>
        </w:tc>
        <w:tc>
          <w:tcPr>
            <w:tcW w:w="1563" w:type="dxa"/>
          </w:tcPr>
          <w:p>
            <w:pPr>
              <w:pStyle w:val="TableParagraph"/>
              <w:ind w:left="88" w:right="88"/>
              <w:rPr>
                <w:sz w:val="14"/>
              </w:rPr>
            </w:pPr>
            <w:r>
              <w:rPr>
                <w:color w:val="231F20"/>
                <w:spacing w:val="-5"/>
                <w:w w:val="95"/>
                <w:sz w:val="14"/>
              </w:rPr>
              <w:t>1.6</w:t>
            </w:r>
          </w:p>
        </w:tc>
        <w:tc>
          <w:tcPr>
            <w:tcW w:w="1317" w:type="dxa"/>
          </w:tcPr>
          <w:p>
            <w:pPr>
              <w:pStyle w:val="TableParagraph"/>
              <w:ind w:left="193" w:right="2"/>
              <w:rPr>
                <w:sz w:val="14"/>
              </w:rPr>
            </w:pPr>
            <w:r>
              <w:rPr>
                <w:color w:val="231F20"/>
                <w:spacing w:val="-5"/>
                <w:w w:val="95"/>
                <w:sz w:val="14"/>
              </w:rPr>
              <w:t>1.0</w:t>
            </w:r>
          </w:p>
        </w:tc>
        <w:tc>
          <w:tcPr>
            <w:tcW w:w="1727" w:type="dxa"/>
          </w:tcPr>
          <w:p>
            <w:pPr>
              <w:pStyle w:val="TableParagraph"/>
              <w:ind w:left="226" w:right="12"/>
              <w:rPr>
                <w:sz w:val="14"/>
              </w:rPr>
            </w:pPr>
            <w:r>
              <w:rPr>
                <w:color w:val="231F20"/>
                <w:spacing w:val="-5"/>
                <w:w w:val="95"/>
                <w:sz w:val="14"/>
              </w:rPr>
              <w:t>2.2</w:t>
            </w:r>
          </w:p>
        </w:tc>
      </w:tr>
      <w:tr>
        <w:trPr>
          <w:trHeight w:val="259" w:hRule="atLeast"/>
        </w:trPr>
        <w:tc>
          <w:tcPr>
            <w:tcW w:w="1452" w:type="dxa"/>
            <w:shd w:val="clear" w:color="auto" w:fill="D4E3F5"/>
          </w:tcPr>
          <w:p>
            <w:pPr>
              <w:pStyle w:val="TableParagraph"/>
              <w:ind w:left="80"/>
              <w:jc w:val="left"/>
              <w:rPr>
                <w:sz w:val="14"/>
              </w:rPr>
            </w:pPr>
            <w:r>
              <w:rPr>
                <w:color w:val="231F20"/>
                <w:w w:val="75"/>
                <w:sz w:val="14"/>
              </w:rPr>
              <w:t>Taiwan,</w:t>
            </w:r>
            <w:r>
              <w:rPr>
                <w:color w:val="231F20"/>
                <w:spacing w:val="7"/>
                <w:sz w:val="14"/>
              </w:rPr>
              <w:t> </w:t>
            </w:r>
            <w:r>
              <w:rPr>
                <w:color w:val="231F20"/>
                <w:spacing w:val="-2"/>
                <w:w w:val="90"/>
                <w:sz w:val="14"/>
              </w:rPr>
              <w:t>China</w:t>
            </w:r>
          </w:p>
        </w:tc>
        <w:tc>
          <w:tcPr>
            <w:tcW w:w="1619" w:type="dxa"/>
            <w:shd w:val="clear" w:color="auto" w:fill="D4E3F5"/>
          </w:tcPr>
          <w:p>
            <w:pPr>
              <w:pStyle w:val="TableParagraph"/>
              <w:ind w:left="701"/>
              <w:jc w:val="left"/>
              <w:rPr>
                <w:sz w:val="14"/>
              </w:rPr>
            </w:pPr>
            <w:r>
              <w:rPr>
                <w:color w:val="231F20"/>
                <w:spacing w:val="-5"/>
                <w:w w:val="95"/>
                <w:sz w:val="14"/>
              </w:rPr>
              <w:t>104</w:t>
            </w:r>
          </w:p>
        </w:tc>
        <w:tc>
          <w:tcPr>
            <w:tcW w:w="1563" w:type="dxa"/>
            <w:shd w:val="clear" w:color="auto" w:fill="D4E3F5"/>
          </w:tcPr>
          <w:p>
            <w:pPr>
              <w:pStyle w:val="TableParagraph"/>
              <w:ind w:left="88" w:right="88"/>
              <w:rPr>
                <w:sz w:val="14"/>
              </w:rPr>
            </w:pPr>
            <w:r>
              <w:rPr>
                <w:color w:val="231F20"/>
                <w:spacing w:val="-5"/>
                <w:w w:val="95"/>
                <w:sz w:val="14"/>
              </w:rPr>
              <w:t>1.3</w:t>
            </w:r>
          </w:p>
        </w:tc>
        <w:tc>
          <w:tcPr>
            <w:tcW w:w="1317" w:type="dxa"/>
            <w:shd w:val="clear" w:color="auto" w:fill="D4E3F5"/>
          </w:tcPr>
          <w:p>
            <w:pPr>
              <w:pStyle w:val="TableParagraph"/>
              <w:ind w:left="193" w:right="1"/>
              <w:rPr>
                <w:sz w:val="14"/>
              </w:rPr>
            </w:pPr>
            <w:r>
              <w:rPr>
                <w:color w:val="231F20"/>
                <w:spacing w:val="-5"/>
                <w:w w:val="95"/>
                <w:sz w:val="14"/>
              </w:rPr>
              <w:t>1.3</w:t>
            </w:r>
          </w:p>
        </w:tc>
        <w:tc>
          <w:tcPr>
            <w:tcW w:w="1727" w:type="dxa"/>
            <w:shd w:val="clear" w:color="auto" w:fill="D4E3F5"/>
          </w:tcPr>
          <w:p>
            <w:pPr>
              <w:pStyle w:val="TableParagraph"/>
              <w:ind w:left="226" w:right="13"/>
              <w:rPr>
                <w:sz w:val="14"/>
              </w:rPr>
            </w:pPr>
            <w:r>
              <w:rPr>
                <w:color w:val="231F20"/>
                <w:spacing w:val="-5"/>
                <w:w w:val="95"/>
                <w:sz w:val="14"/>
              </w:rPr>
              <w:t>2.3</w:t>
            </w:r>
          </w:p>
        </w:tc>
      </w:tr>
      <w:tr>
        <w:trPr>
          <w:trHeight w:val="259" w:hRule="atLeast"/>
        </w:trPr>
        <w:tc>
          <w:tcPr>
            <w:tcW w:w="1452" w:type="dxa"/>
          </w:tcPr>
          <w:p>
            <w:pPr>
              <w:pStyle w:val="TableParagraph"/>
              <w:ind w:left="80"/>
              <w:jc w:val="left"/>
              <w:rPr>
                <w:sz w:val="14"/>
              </w:rPr>
            </w:pPr>
            <w:r>
              <w:rPr>
                <w:color w:val="231F20"/>
                <w:spacing w:val="-2"/>
                <w:w w:val="90"/>
                <w:sz w:val="14"/>
              </w:rPr>
              <w:t>Thailand</w:t>
            </w:r>
          </w:p>
        </w:tc>
        <w:tc>
          <w:tcPr>
            <w:tcW w:w="1619" w:type="dxa"/>
          </w:tcPr>
          <w:p>
            <w:pPr>
              <w:pStyle w:val="TableParagraph"/>
              <w:ind w:left="704"/>
              <w:jc w:val="left"/>
              <w:rPr>
                <w:sz w:val="14"/>
              </w:rPr>
            </w:pPr>
            <w:r>
              <w:rPr>
                <w:color w:val="231F20"/>
                <w:spacing w:val="-5"/>
                <w:w w:val="95"/>
                <w:sz w:val="14"/>
              </w:rPr>
              <w:t>120</w:t>
            </w:r>
          </w:p>
        </w:tc>
        <w:tc>
          <w:tcPr>
            <w:tcW w:w="1563" w:type="dxa"/>
          </w:tcPr>
          <w:p>
            <w:pPr>
              <w:pStyle w:val="TableParagraph"/>
              <w:ind w:left="66" w:right="88"/>
              <w:rPr>
                <w:sz w:val="14"/>
              </w:rPr>
            </w:pPr>
            <w:r>
              <w:rPr>
                <w:color w:val="231F20"/>
                <w:spacing w:val="-5"/>
                <w:w w:val="95"/>
                <w:sz w:val="14"/>
              </w:rPr>
              <w:t>2.1</w:t>
            </w:r>
          </w:p>
        </w:tc>
        <w:tc>
          <w:tcPr>
            <w:tcW w:w="1317" w:type="dxa"/>
          </w:tcPr>
          <w:p>
            <w:pPr>
              <w:pStyle w:val="TableParagraph"/>
              <w:ind w:left="167"/>
              <w:rPr>
                <w:sz w:val="14"/>
              </w:rPr>
            </w:pPr>
            <w:r>
              <w:rPr>
                <w:color w:val="231F20"/>
                <w:spacing w:val="-5"/>
                <w:w w:val="95"/>
                <w:sz w:val="14"/>
              </w:rPr>
              <w:t>2.1</w:t>
            </w:r>
          </w:p>
        </w:tc>
        <w:tc>
          <w:tcPr>
            <w:tcW w:w="1727" w:type="dxa"/>
          </w:tcPr>
          <w:p>
            <w:pPr>
              <w:pStyle w:val="TableParagraph"/>
              <w:ind w:left="226" w:right="32"/>
              <w:rPr>
                <w:sz w:val="14"/>
              </w:rPr>
            </w:pPr>
            <w:r>
              <w:rPr>
                <w:color w:val="231F20"/>
                <w:spacing w:val="-5"/>
                <w:w w:val="95"/>
                <w:sz w:val="14"/>
              </w:rPr>
              <w:t>3.1</w:t>
            </w:r>
          </w:p>
        </w:tc>
      </w:tr>
      <w:tr>
        <w:trPr>
          <w:trHeight w:val="259" w:hRule="atLeast"/>
        </w:trPr>
        <w:tc>
          <w:tcPr>
            <w:tcW w:w="1452" w:type="dxa"/>
            <w:shd w:val="clear" w:color="auto" w:fill="D4E3F5"/>
          </w:tcPr>
          <w:p>
            <w:pPr>
              <w:pStyle w:val="TableParagraph"/>
              <w:ind w:left="80"/>
              <w:jc w:val="left"/>
              <w:rPr>
                <w:sz w:val="14"/>
              </w:rPr>
            </w:pPr>
            <w:r>
              <w:rPr>
                <w:color w:val="231F20"/>
                <w:spacing w:val="-4"/>
                <w:w w:val="85"/>
                <w:sz w:val="14"/>
              </w:rPr>
              <w:t>Togo</w:t>
            </w:r>
          </w:p>
        </w:tc>
        <w:tc>
          <w:tcPr>
            <w:tcW w:w="1619" w:type="dxa"/>
            <w:shd w:val="clear" w:color="auto" w:fill="D4E3F5"/>
          </w:tcPr>
          <w:p>
            <w:pPr>
              <w:pStyle w:val="TableParagraph"/>
              <w:ind w:left="762"/>
              <w:jc w:val="left"/>
              <w:rPr>
                <w:sz w:val="14"/>
              </w:rPr>
            </w:pPr>
            <w:r>
              <w:rPr>
                <w:color w:val="231F20"/>
                <w:spacing w:val="-4"/>
                <w:w w:val="95"/>
                <w:sz w:val="14"/>
              </w:rPr>
              <w:t>33.5</w:t>
            </w:r>
          </w:p>
        </w:tc>
        <w:tc>
          <w:tcPr>
            <w:tcW w:w="1563" w:type="dxa"/>
            <w:shd w:val="clear" w:color="auto" w:fill="D4E3F5"/>
          </w:tcPr>
          <w:p>
            <w:pPr>
              <w:pStyle w:val="TableParagraph"/>
              <w:ind w:left="84" w:right="88"/>
              <w:rPr>
                <w:sz w:val="14"/>
              </w:rPr>
            </w:pPr>
            <w:r>
              <w:rPr>
                <w:color w:val="231F20"/>
                <w:spacing w:val="-5"/>
                <w:w w:val="95"/>
                <w:sz w:val="14"/>
              </w:rPr>
              <w:t>4.0</w:t>
            </w:r>
          </w:p>
        </w:tc>
        <w:tc>
          <w:tcPr>
            <w:tcW w:w="1317" w:type="dxa"/>
            <w:shd w:val="clear" w:color="auto" w:fill="D4E3F5"/>
          </w:tcPr>
          <w:p>
            <w:pPr>
              <w:pStyle w:val="TableParagraph"/>
              <w:ind w:left="193" w:right="7"/>
              <w:rPr>
                <w:sz w:val="14"/>
              </w:rPr>
            </w:pPr>
            <w:r>
              <w:rPr>
                <w:color w:val="231F20"/>
                <w:spacing w:val="-5"/>
                <w:w w:val="95"/>
                <w:sz w:val="14"/>
              </w:rPr>
              <w:t>3.8</w:t>
            </w:r>
          </w:p>
        </w:tc>
        <w:tc>
          <w:tcPr>
            <w:tcW w:w="1727" w:type="dxa"/>
            <w:shd w:val="clear" w:color="auto" w:fill="D4E3F5"/>
          </w:tcPr>
          <w:p>
            <w:pPr>
              <w:pStyle w:val="TableParagraph"/>
              <w:ind w:left="226" w:right="13"/>
              <w:rPr>
                <w:sz w:val="14"/>
              </w:rPr>
            </w:pPr>
            <w:r>
              <w:rPr>
                <w:color w:val="231F20"/>
                <w:spacing w:val="-5"/>
                <w:w w:val="95"/>
                <w:sz w:val="14"/>
              </w:rPr>
              <w:t>5.0</w:t>
            </w:r>
          </w:p>
        </w:tc>
      </w:tr>
      <w:tr>
        <w:trPr>
          <w:trHeight w:val="259" w:hRule="atLeast"/>
        </w:trPr>
        <w:tc>
          <w:tcPr>
            <w:tcW w:w="1452" w:type="dxa"/>
          </w:tcPr>
          <w:p>
            <w:pPr>
              <w:pStyle w:val="TableParagraph"/>
              <w:ind w:left="80"/>
              <w:jc w:val="left"/>
              <w:rPr>
                <w:sz w:val="14"/>
              </w:rPr>
            </w:pPr>
            <w:r>
              <w:rPr>
                <w:color w:val="231F20"/>
                <w:w w:val="75"/>
                <w:sz w:val="14"/>
              </w:rPr>
              <w:t>Trinidad</w:t>
            </w:r>
            <w:r>
              <w:rPr>
                <w:color w:val="231F20"/>
                <w:spacing w:val="6"/>
                <w:sz w:val="14"/>
              </w:rPr>
              <w:t> </w:t>
            </w:r>
            <w:r>
              <w:rPr>
                <w:color w:val="231F20"/>
                <w:w w:val="75"/>
                <w:sz w:val="14"/>
              </w:rPr>
              <w:t>and</w:t>
            </w:r>
            <w:r>
              <w:rPr>
                <w:color w:val="231F20"/>
                <w:spacing w:val="6"/>
                <w:sz w:val="14"/>
              </w:rPr>
              <w:t> </w:t>
            </w:r>
            <w:r>
              <w:rPr>
                <w:color w:val="231F20"/>
                <w:spacing w:val="-2"/>
                <w:w w:val="75"/>
                <w:sz w:val="14"/>
              </w:rPr>
              <w:t>Tobago</w:t>
            </w:r>
          </w:p>
        </w:tc>
        <w:tc>
          <w:tcPr>
            <w:tcW w:w="1619" w:type="dxa"/>
          </w:tcPr>
          <w:p>
            <w:pPr>
              <w:pStyle w:val="TableParagraph"/>
              <w:ind w:left="766"/>
              <w:jc w:val="left"/>
              <w:rPr>
                <w:sz w:val="14"/>
              </w:rPr>
            </w:pPr>
            <w:r>
              <w:rPr>
                <w:color w:val="231F20"/>
                <w:spacing w:val="-5"/>
                <w:w w:val="95"/>
                <w:sz w:val="14"/>
              </w:rPr>
              <w:t>23</w:t>
            </w:r>
          </w:p>
        </w:tc>
        <w:tc>
          <w:tcPr>
            <w:tcW w:w="1563" w:type="dxa"/>
          </w:tcPr>
          <w:p>
            <w:pPr>
              <w:pStyle w:val="TableParagraph"/>
              <w:ind w:left="80" w:right="88"/>
              <w:rPr>
                <w:sz w:val="14"/>
              </w:rPr>
            </w:pPr>
            <w:r>
              <w:rPr>
                <w:color w:val="231F20"/>
                <w:spacing w:val="-5"/>
                <w:w w:val="95"/>
                <w:sz w:val="14"/>
              </w:rPr>
              <w:t>4.7</w:t>
            </w:r>
          </w:p>
        </w:tc>
        <w:tc>
          <w:tcPr>
            <w:tcW w:w="1317" w:type="dxa"/>
          </w:tcPr>
          <w:p>
            <w:pPr>
              <w:pStyle w:val="TableParagraph"/>
              <w:ind w:left="193" w:right="8"/>
              <w:rPr>
                <w:sz w:val="14"/>
              </w:rPr>
            </w:pPr>
            <w:r>
              <w:rPr>
                <w:color w:val="231F20"/>
                <w:spacing w:val="-5"/>
                <w:w w:val="95"/>
                <w:sz w:val="14"/>
              </w:rPr>
              <w:t>4.0</w:t>
            </w:r>
          </w:p>
        </w:tc>
        <w:tc>
          <w:tcPr>
            <w:tcW w:w="1727" w:type="dxa"/>
          </w:tcPr>
          <w:p>
            <w:pPr>
              <w:pStyle w:val="TableParagraph"/>
              <w:ind w:left="226" w:right="19"/>
              <w:rPr>
                <w:sz w:val="14"/>
              </w:rPr>
            </w:pPr>
            <w:r>
              <w:rPr>
                <w:color w:val="231F20"/>
                <w:spacing w:val="-5"/>
                <w:w w:val="95"/>
                <w:sz w:val="14"/>
              </w:rPr>
              <w:t>8.7</w:t>
            </w:r>
          </w:p>
        </w:tc>
      </w:tr>
      <w:tr>
        <w:trPr>
          <w:trHeight w:val="259" w:hRule="atLeast"/>
        </w:trPr>
        <w:tc>
          <w:tcPr>
            <w:tcW w:w="1452" w:type="dxa"/>
            <w:shd w:val="clear" w:color="auto" w:fill="D4E3F5"/>
          </w:tcPr>
          <w:p>
            <w:pPr>
              <w:pStyle w:val="TableParagraph"/>
              <w:ind w:left="80"/>
              <w:jc w:val="left"/>
              <w:rPr>
                <w:sz w:val="14"/>
              </w:rPr>
            </w:pPr>
            <w:r>
              <w:rPr>
                <w:color w:val="231F20"/>
                <w:spacing w:val="-2"/>
                <w:w w:val="90"/>
                <w:sz w:val="14"/>
              </w:rPr>
              <w:t>Türkiye</w:t>
            </w:r>
          </w:p>
        </w:tc>
        <w:tc>
          <w:tcPr>
            <w:tcW w:w="1619" w:type="dxa"/>
            <w:shd w:val="clear" w:color="auto" w:fill="D4E3F5"/>
          </w:tcPr>
          <w:p>
            <w:pPr>
              <w:pStyle w:val="TableParagraph"/>
              <w:ind w:left="713"/>
              <w:jc w:val="left"/>
              <w:rPr>
                <w:sz w:val="14"/>
              </w:rPr>
            </w:pPr>
            <w:r>
              <w:rPr>
                <w:color w:val="231F20"/>
                <w:spacing w:val="-5"/>
                <w:w w:val="95"/>
                <w:sz w:val="14"/>
              </w:rPr>
              <w:t>119</w:t>
            </w:r>
          </w:p>
        </w:tc>
        <w:tc>
          <w:tcPr>
            <w:tcW w:w="1563" w:type="dxa"/>
            <w:shd w:val="clear" w:color="auto" w:fill="D4E3F5"/>
          </w:tcPr>
          <w:p>
            <w:pPr>
              <w:pStyle w:val="TableParagraph"/>
              <w:ind w:left="85" w:right="88"/>
              <w:rPr>
                <w:sz w:val="14"/>
              </w:rPr>
            </w:pPr>
            <w:r>
              <w:rPr>
                <w:color w:val="231F20"/>
                <w:spacing w:val="-5"/>
                <w:w w:val="95"/>
                <w:sz w:val="14"/>
              </w:rPr>
              <w:t>3.5</w:t>
            </w:r>
          </w:p>
        </w:tc>
        <w:tc>
          <w:tcPr>
            <w:tcW w:w="1317" w:type="dxa"/>
            <w:shd w:val="clear" w:color="auto" w:fill="D4E3F5"/>
          </w:tcPr>
          <w:p>
            <w:pPr>
              <w:pStyle w:val="TableParagraph"/>
              <w:ind w:left="184"/>
              <w:rPr>
                <w:sz w:val="14"/>
              </w:rPr>
            </w:pPr>
            <w:r>
              <w:rPr>
                <w:color w:val="231F20"/>
                <w:spacing w:val="-5"/>
                <w:w w:val="95"/>
                <w:sz w:val="14"/>
              </w:rPr>
              <w:t>3.0</w:t>
            </w:r>
          </w:p>
        </w:tc>
        <w:tc>
          <w:tcPr>
            <w:tcW w:w="1727" w:type="dxa"/>
            <w:shd w:val="clear" w:color="auto" w:fill="D4E3F5"/>
          </w:tcPr>
          <w:p>
            <w:pPr>
              <w:pStyle w:val="TableParagraph"/>
              <w:ind w:left="226" w:right="30"/>
              <w:rPr>
                <w:sz w:val="14"/>
              </w:rPr>
            </w:pPr>
            <w:r>
              <w:rPr>
                <w:color w:val="231F20"/>
                <w:spacing w:val="-5"/>
                <w:w w:val="95"/>
                <w:sz w:val="14"/>
              </w:rPr>
              <w:t>4.1</w:t>
            </w:r>
          </w:p>
        </w:tc>
      </w:tr>
      <w:tr>
        <w:trPr>
          <w:trHeight w:val="259" w:hRule="atLeast"/>
        </w:trPr>
        <w:tc>
          <w:tcPr>
            <w:tcW w:w="1452" w:type="dxa"/>
          </w:tcPr>
          <w:p>
            <w:pPr>
              <w:pStyle w:val="TableParagraph"/>
              <w:ind w:left="80"/>
              <w:jc w:val="left"/>
              <w:rPr>
                <w:sz w:val="14"/>
              </w:rPr>
            </w:pPr>
            <w:r>
              <w:rPr>
                <w:color w:val="231F20"/>
                <w:w w:val="75"/>
                <w:sz w:val="14"/>
              </w:rPr>
              <w:t>United</w:t>
            </w:r>
            <w:r>
              <w:rPr>
                <w:color w:val="231F20"/>
                <w:spacing w:val="9"/>
                <w:sz w:val="14"/>
              </w:rPr>
              <w:t> </w:t>
            </w:r>
            <w:r>
              <w:rPr>
                <w:color w:val="231F20"/>
                <w:w w:val="75"/>
                <w:sz w:val="14"/>
              </w:rPr>
              <w:t>Arab</w:t>
            </w:r>
            <w:r>
              <w:rPr>
                <w:color w:val="231F20"/>
                <w:spacing w:val="9"/>
                <w:sz w:val="14"/>
              </w:rPr>
              <w:t> </w:t>
            </w:r>
            <w:r>
              <w:rPr>
                <w:color w:val="231F20"/>
                <w:spacing w:val="-2"/>
                <w:w w:val="75"/>
                <w:sz w:val="14"/>
              </w:rPr>
              <w:t>Emirates</w:t>
            </w:r>
          </w:p>
        </w:tc>
        <w:tc>
          <w:tcPr>
            <w:tcW w:w="1619" w:type="dxa"/>
          </w:tcPr>
          <w:p>
            <w:pPr>
              <w:pStyle w:val="TableParagraph"/>
              <w:ind w:left="703"/>
              <w:jc w:val="left"/>
              <w:rPr>
                <w:sz w:val="14"/>
              </w:rPr>
            </w:pPr>
            <w:r>
              <w:rPr>
                <w:color w:val="231F20"/>
                <w:spacing w:val="-5"/>
                <w:w w:val="95"/>
                <w:sz w:val="14"/>
              </w:rPr>
              <w:t>136</w:t>
            </w:r>
          </w:p>
        </w:tc>
        <w:tc>
          <w:tcPr>
            <w:tcW w:w="1563" w:type="dxa"/>
          </w:tcPr>
          <w:p>
            <w:pPr>
              <w:pStyle w:val="TableParagraph"/>
              <w:ind w:left="84" w:right="88"/>
              <w:rPr>
                <w:sz w:val="14"/>
              </w:rPr>
            </w:pPr>
            <w:r>
              <w:rPr>
                <w:color w:val="231F20"/>
                <w:spacing w:val="-5"/>
                <w:w w:val="95"/>
                <w:sz w:val="14"/>
              </w:rPr>
              <w:t>2.5</w:t>
            </w:r>
          </w:p>
        </w:tc>
        <w:tc>
          <w:tcPr>
            <w:tcW w:w="1317" w:type="dxa"/>
          </w:tcPr>
          <w:p>
            <w:pPr>
              <w:pStyle w:val="TableParagraph"/>
              <w:ind w:left="193" w:right="1"/>
              <w:rPr>
                <w:sz w:val="14"/>
              </w:rPr>
            </w:pPr>
            <w:r>
              <w:rPr>
                <w:color w:val="231F20"/>
                <w:spacing w:val="-5"/>
                <w:w w:val="95"/>
                <w:sz w:val="14"/>
              </w:rPr>
              <w:t>1.3</w:t>
            </w:r>
          </w:p>
        </w:tc>
        <w:tc>
          <w:tcPr>
            <w:tcW w:w="1727" w:type="dxa"/>
          </w:tcPr>
          <w:p>
            <w:pPr>
              <w:pStyle w:val="TableParagraph"/>
              <w:ind w:left="226" w:right="16"/>
              <w:rPr>
                <w:sz w:val="14"/>
              </w:rPr>
            </w:pPr>
            <w:r>
              <w:rPr>
                <w:color w:val="231F20"/>
                <w:spacing w:val="-5"/>
                <w:w w:val="95"/>
                <w:sz w:val="14"/>
              </w:rPr>
              <w:t>3.4</w:t>
            </w:r>
          </w:p>
        </w:tc>
      </w:tr>
      <w:tr>
        <w:trPr>
          <w:trHeight w:val="259" w:hRule="atLeast"/>
        </w:trPr>
        <w:tc>
          <w:tcPr>
            <w:tcW w:w="1452" w:type="dxa"/>
            <w:shd w:val="clear" w:color="auto" w:fill="D4E3F5"/>
          </w:tcPr>
          <w:p>
            <w:pPr>
              <w:pStyle w:val="TableParagraph"/>
              <w:ind w:left="80"/>
              <w:jc w:val="left"/>
              <w:rPr>
                <w:sz w:val="14"/>
              </w:rPr>
            </w:pPr>
            <w:r>
              <w:rPr>
                <w:color w:val="231F20"/>
                <w:w w:val="75"/>
                <w:sz w:val="14"/>
              </w:rPr>
              <w:t>United</w:t>
            </w:r>
            <w:r>
              <w:rPr>
                <w:color w:val="231F20"/>
                <w:spacing w:val="9"/>
                <w:sz w:val="14"/>
              </w:rPr>
              <w:t> </w:t>
            </w:r>
            <w:r>
              <w:rPr>
                <w:color w:val="231F20"/>
                <w:spacing w:val="-2"/>
                <w:w w:val="90"/>
                <w:sz w:val="14"/>
              </w:rPr>
              <w:t>Kingdom</w:t>
            </w:r>
          </w:p>
        </w:tc>
        <w:tc>
          <w:tcPr>
            <w:tcW w:w="1619" w:type="dxa"/>
            <w:shd w:val="clear" w:color="auto" w:fill="D4E3F5"/>
          </w:tcPr>
          <w:p>
            <w:pPr>
              <w:pStyle w:val="TableParagraph"/>
              <w:ind w:left="703"/>
              <w:jc w:val="left"/>
              <w:rPr>
                <w:sz w:val="14"/>
              </w:rPr>
            </w:pPr>
            <w:r>
              <w:rPr>
                <w:color w:val="231F20"/>
                <w:spacing w:val="-2"/>
                <w:w w:val="95"/>
                <w:sz w:val="14"/>
              </w:rPr>
              <w:t>152.5</w:t>
            </w:r>
          </w:p>
        </w:tc>
        <w:tc>
          <w:tcPr>
            <w:tcW w:w="1563" w:type="dxa"/>
            <w:shd w:val="clear" w:color="auto" w:fill="D4E3F5"/>
          </w:tcPr>
          <w:p>
            <w:pPr>
              <w:pStyle w:val="TableParagraph"/>
              <w:ind w:left="84" w:right="88"/>
              <w:rPr>
                <w:sz w:val="14"/>
              </w:rPr>
            </w:pPr>
            <w:r>
              <w:rPr>
                <w:color w:val="231F20"/>
                <w:spacing w:val="-5"/>
                <w:w w:val="95"/>
                <w:sz w:val="14"/>
              </w:rPr>
              <w:t>2.0</w:t>
            </w:r>
          </w:p>
        </w:tc>
        <w:tc>
          <w:tcPr>
            <w:tcW w:w="1317" w:type="dxa"/>
            <w:shd w:val="clear" w:color="auto" w:fill="D4E3F5"/>
          </w:tcPr>
          <w:p>
            <w:pPr>
              <w:pStyle w:val="TableParagraph"/>
              <w:ind w:left="193" w:right="2"/>
              <w:rPr>
                <w:sz w:val="14"/>
              </w:rPr>
            </w:pPr>
            <w:r>
              <w:rPr>
                <w:color w:val="231F20"/>
                <w:spacing w:val="-5"/>
                <w:w w:val="95"/>
                <w:sz w:val="14"/>
              </w:rPr>
              <w:t>1.0</w:t>
            </w:r>
          </w:p>
        </w:tc>
        <w:tc>
          <w:tcPr>
            <w:tcW w:w="1727" w:type="dxa"/>
            <w:shd w:val="clear" w:color="auto" w:fill="D4E3F5"/>
          </w:tcPr>
          <w:p>
            <w:pPr>
              <w:pStyle w:val="TableParagraph"/>
              <w:ind w:left="226" w:right="14"/>
              <w:rPr>
                <w:sz w:val="14"/>
              </w:rPr>
            </w:pPr>
            <w:r>
              <w:rPr>
                <w:color w:val="231F20"/>
                <w:spacing w:val="-5"/>
                <w:w w:val="95"/>
                <w:sz w:val="14"/>
              </w:rPr>
              <w:t>3.0</w:t>
            </w:r>
          </w:p>
        </w:tc>
      </w:tr>
      <w:tr>
        <w:trPr>
          <w:trHeight w:val="259" w:hRule="atLeast"/>
        </w:trPr>
        <w:tc>
          <w:tcPr>
            <w:tcW w:w="1452" w:type="dxa"/>
          </w:tcPr>
          <w:p>
            <w:pPr>
              <w:pStyle w:val="TableParagraph"/>
              <w:ind w:left="80"/>
              <w:jc w:val="left"/>
              <w:rPr>
                <w:sz w:val="14"/>
              </w:rPr>
            </w:pPr>
            <w:r>
              <w:rPr>
                <w:color w:val="231F20"/>
                <w:w w:val="75"/>
                <w:sz w:val="14"/>
              </w:rPr>
              <w:t>United</w:t>
            </w:r>
            <w:r>
              <w:rPr>
                <w:color w:val="231F20"/>
                <w:spacing w:val="9"/>
                <w:sz w:val="14"/>
              </w:rPr>
              <w:t> </w:t>
            </w:r>
            <w:r>
              <w:rPr>
                <w:color w:val="231F20"/>
                <w:spacing w:val="-2"/>
                <w:w w:val="90"/>
                <w:sz w:val="14"/>
              </w:rPr>
              <w:t>States</w:t>
            </w:r>
          </w:p>
        </w:tc>
        <w:tc>
          <w:tcPr>
            <w:tcW w:w="1619" w:type="dxa"/>
          </w:tcPr>
          <w:p>
            <w:pPr>
              <w:pStyle w:val="TableParagraph"/>
              <w:ind w:left="702"/>
              <w:jc w:val="left"/>
              <w:rPr>
                <w:sz w:val="14"/>
              </w:rPr>
            </w:pPr>
            <w:r>
              <w:rPr>
                <w:color w:val="231F20"/>
                <w:spacing w:val="-5"/>
                <w:w w:val="95"/>
                <w:sz w:val="14"/>
              </w:rPr>
              <w:t>158</w:t>
            </w:r>
          </w:p>
        </w:tc>
        <w:tc>
          <w:tcPr>
            <w:tcW w:w="1563" w:type="dxa"/>
          </w:tcPr>
          <w:p>
            <w:pPr>
              <w:pStyle w:val="TableParagraph"/>
              <w:ind w:left="67" w:right="88"/>
              <w:rPr>
                <w:sz w:val="14"/>
              </w:rPr>
            </w:pPr>
            <w:r>
              <w:rPr>
                <w:color w:val="231F20"/>
                <w:spacing w:val="-5"/>
                <w:w w:val="95"/>
                <w:sz w:val="14"/>
              </w:rPr>
              <w:t>4.1</w:t>
            </w:r>
          </w:p>
        </w:tc>
        <w:tc>
          <w:tcPr>
            <w:tcW w:w="1317" w:type="dxa"/>
          </w:tcPr>
          <w:p>
            <w:pPr>
              <w:pStyle w:val="TableParagraph"/>
              <w:ind w:left="193"/>
              <w:rPr>
                <w:sz w:val="14"/>
              </w:rPr>
            </w:pPr>
            <w:r>
              <w:rPr>
                <w:color w:val="231F20"/>
                <w:spacing w:val="-5"/>
                <w:w w:val="95"/>
                <w:sz w:val="14"/>
              </w:rPr>
              <w:t>1.2</w:t>
            </w:r>
          </w:p>
        </w:tc>
        <w:tc>
          <w:tcPr>
            <w:tcW w:w="1727" w:type="dxa"/>
          </w:tcPr>
          <w:p>
            <w:pPr>
              <w:pStyle w:val="TableParagraph"/>
              <w:ind w:left="226" w:right="12"/>
              <w:rPr>
                <w:sz w:val="14"/>
              </w:rPr>
            </w:pPr>
            <w:r>
              <w:rPr>
                <w:color w:val="231F20"/>
                <w:spacing w:val="-5"/>
                <w:w w:val="95"/>
                <w:sz w:val="14"/>
              </w:rPr>
              <w:t>5.2</w:t>
            </w:r>
          </w:p>
        </w:tc>
      </w:tr>
      <w:tr>
        <w:trPr>
          <w:trHeight w:val="259" w:hRule="atLeast"/>
        </w:trPr>
        <w:tc>
          <w:tcPr>
            <w:tcW w:w="1452" w:type="dxa"/>
            <w:shd w:val="clear" w:color="auto" w:fill="D4E3F5"/>
          </w:tcPr>
          <w:p>
            <w:pPr>
              <w:pStyle w:val="TableParagraph"/>
              <w:ind w:left="80"/>
              <w:jc w:val="left"/>
              <w:rPr>
                <w:sz w:val="14"/>
              </w:rPr>
            </w:pPr>
            <w:r>
              <w:rPr>
                <w:color w:val="231F20"/>
                <w:spacing w:val="-2"/>
                <w:w w:val="85"/>
                <w:sz w:val="14"/>
              </w:rPr>
              <w:t>Uruguay</w:t>
            </w:r>
          </w:p>
        </w:tc>
        <w:tc>
          <w:tcPr>
            <w:tcW w:w="1619" w:type="dxa"/>
            <w:shd w:val="clear" w:color="auto" w:fill="D4E3F5"/>
          </w:tcPr>
          <w:p>
            <w:pPr>
              <w:pStyle w:val="TableParagraph"/>
              <w:ind w:left="765"/>
              <w:jc w:val="left"/>
              <w:rPr>
                <w:sz w:val="14"/>
              </w:rPr>
            </w:pPr>
            <w:r>
              <w:rPr>
                <w:color w:val="231F20"/>
                <w:spacing w:val="-4"/>
                <w:w w:val="95"/>
                <w:sz w:val="14"/>
              </w:rPr>
              <w:t>39.5</w:t>
            </w:r>
          </w:p>
        </w:tc>
        <w:tc>
          <w:tcPr>
            <w:tcW w:w="1563" w:type="dxa"/>
            <w:shd w:val="clear" w:color="auto" w:fill="D4E3F5"/>
          </w:tcPr>
          <w:p>
            <w:pPr>
              <w:pStyle w:val="TableParagraph"/>
              <w:ind w:left="65" w:right="88"/>
              <w:rPr>
                <w:sz w:val="14"/>
              </w:rPr>
            </w:pPr>
            <w:r>
              <w:rPr>
                <w:color w:val="231F20"/>
                <w:spacing w:val="-5"/>
                <w:w w:val="95"/>
                <w:sz w:val="14"/>
              </w:rPr>
              <w:t>5.1</w:t>
            </w:r>
          </w:p>
        </w:tc>
        <w:tc>
          <w:tcPr>
            <w:tcW w:w="1317" w:type="dxa"/>
            <w:shd w:val="clear" w:color="auto" w:fill="D4E3F5"/>
          </w:tcPr>
          <w:p>
            <w:pPr>
              <w:pStyle w:val="TableParagraph"/>
              <w:ind w:left="167"/>
              <w:rPr>
                <w:sz w:val="14"/>
              </w:rPr>
            </w:pPr>
            <w:r>
              <w:rPr>
                <w:color w:val="231F20"/>
                <w:spacing w:val="-5"/>
                <w:w w:val="95"/>
                <w:sz w:val="14"/>
              </w:rPr>
              <w:t>0.1</w:t>
            </w:r>
          </w:p>
        </w:tc>
        <w:tc>
          <w:tcPr>
            <w:tcW w:w="1727" w:type="dxa"/>
            <w:shd w:val="clear" w:color="auto" w:fill="D4E3F5"/>
          </w:tcPr>
          <w:p>
            <w:pPr>
              <w:pStyle w:val="TableParagraph"/>
              <w:ind w:left="226" w:right="14"/>
              <w:rPr>
                <w:sz w:val="14"/>
              </w:rPr>
            </w:pPr>
            <w:r>
              <w:rPr>
                <w:color w:val="231F20"/>
                <w:spacing w:val="-5"/>
                <w:w w:val="95"/>
                <w:sz w:val="14"/>
              </w:rPr>
              <w:t>9.0</w:t>
            </w:r>
          </w:p>
        </w:tc>
      </w:tr>
      <w:tr>
        <w:trPr>
          <w:trHeight w:val="259" w:hRule="atLeast"/>
        </w:trPr>
        <w:tc>
          <w:tcPr>
            <w:tcW w:w="1452" w:type="dxa"/>
          </w:tcPr>
          <w:p>
            <w:pPr>
              <w:pStyle w:val="TableParagraph"/>
              <w:ind w:left="80"/>
              <w:jc w:val="left"/>
              <w:rPr>
                <w:sz w:val="14"/>
              </w:rPr>
            </w:pPr>
            <w:r>
              <w:rPr>
                <w:color w:val="231F20"/>
                <w:spacing w:val="-2"/>
                <w:w w:val="90"/>
                <w:sz w:val="14"/>
              </w:rPr>
              <w:t>Vietnam</w:t>
            </w:r>
          </w:p>
        </w:tc>
        <w:tc>
          <w:tcPr>
            <w:tcW w:w="1619" w:type="dxa"/>
          </w:tcPr>
          <w:p>
            <w:pPr>
              <w:pStyle w:val="TableParagraph"/>
              <w:ind w:left="765"/>
              <w:jc w:val="left"/>
              <w:rPr>
                <w:sz w:val="14"/>
              </w:rPr>
            </w:pPr>
            <w:r>
              <w:rPr>
                <w:color w:val="231F20"/>
                <w:spacing w:val="-5"/>
                <w:w w:val="95"/>
                <w:sz w:val="14"/>
              </w:rPr>
              <w:t>98</w:t>
            </w:r>
          </w:p>
        </w:tc>
        <w:tc>
          <w:tcPr>
            <w:tcW w:w="1563" w:type="dxa"/>
          </w:tcPr>
          <w:p>
            <w:pPr>
              <w:pStyle w:val="TableParagraph"/>
              <w:ind w:left="84" w:right="88"/>
              <w:rPr>
                <w:sz w:val="14"/>
              </w:rPr>
            </w:pPr>
            <w:r>
              <w:rPr>
                <w:color w:val="231F20"/>
                <w:spacing w:val="-5"/>
                <w:w w:val="95"/>
                <w:sz w:val="14"/>
              </w:rPr>
              <w:t>2.6</w:t>
            </w:r>
          </w:p>
        </w:tc>
        <w:tc>
          <w:tcPr>
            <w:tcW w:w="1317" w:type="dxa"/>
          </w:tcPr>
          <w:p>
            <w:pPr>
              <w:pStyle w:val="TableParagraph"/>
              <w:ind w:left="183"/>
              <w:rPr>
                <w:sz w:val="14"/>
              </w:rPr>
            </w:pPr>
            <w:r>
              <w:rPr>
                <w:color w:val="231F20"/>
                <w:spacing w:val="-5"/>
                <w:w w:val="95"/>
                <w:sz w:val="14"/>
              </w:rPr>
              <w:t>2.4</w:t>
            </w:r>
          </w:p>
        </w:tc>
        <w:tc>
          <w:tcPr>
            <w:tcW w:w="1727" w:type="dxa"/>
          </w:tcPr>
          <w:p>
            <w:pPr>
              <w:pStyle w:val="TableParagraph"/>
              <w:ind w:left="226" w:right="12"/>
              <w:rPr>
                <w:sz w:val="14"/>
              </w:rPr>
            </w:pPr>
            <w:r>
              <w:rPr>
                <w:color w:val="231F20"/>
                <w:spacing w:val="-5"/>
                <w:w w:val="95"/>
                <w:sz w:val="14"/>
              </w:rPr>
              <w:t>3.5</w:t>
            </w:r>
          </w:p>
        </w:tc>
      </w:tr>
      <w:tr>
        <w:trPr>
          <w:trHeight w:val="254" w:hRule="atLeast"/>
        </w:trPr>
        <w:tc>
          <w:tcPr>
            <w:tcW w:w="1452" w:type="dxa"/>
            <w:tcBorders>
              <w:bottom w:val="single" w:sz="4" w:space="0" w:color="008FDD"/>
            </w:tcBorders>
            <w:shd w:val="clear" w:color="auto" w:fill="D4E3F5"/>
          </w:tcPr>
          <w:p>
            <w:pPr>
              <w:pStyle w:val="TableParagraph"/>
              <w:ind w:left="80"/>
              <w:jc w:val="left"/>
              <w:rPr>
                <w:sz w:val="14"/>
              </w:rPr>
            </w:pPr>
            <w:r>
              <w:rPr>
                <w:color w:val="231F20"/>
                <w:spacing w:val="-2"/>
                <w:w w:val="90"/>
                <w:sz w:val="14"/>
              </w:rPr>
              <w:t>Zimbabwe</w:t>
            </w:r>
          </w:p>
        </w:tc>
        <w:tc>
          <w:tcPr>
            <w:tcW w:w="1619" w:type="dxa"/>
            <w:tcBorders>
              <w:bottom w:val="single" w:sz="4" w:space="0" w:color="008FDD"/>
            </w:tcBorders>
            <w:shd w:val="clear" w:color="auto" w:fill="D4E3F5"/>
          </w:tcPr>
          <w:p>
            <w:pPr>
              <w:pStyle w:val="TableParagraph"/>
              <w:ind w:left="762"/>
              <w:jc w:val="left"/>
              <w:rPr>
                <w:sz w:val="14"/>
              </w:rPr>
            </w:pPr>
            <w:r>
              <w:rPr>
                <w:color w:val="231F20"/>
                <w:spacing w:val="-4"/>
                <w:w w:val="95"/>
                <w:sz w:val="14"/>
              </w:rPr>
              <w:t>45.5</w:t>
            </w:r>
          </w:p>
        </w:tc>
        <w:tc>
          <w:tcPr>
            <w:tcW w:w="1563" w:type="dxa"/>
            <w:tcBorders>
              <w:bottom w:val="single" w:sz="4" w:space="0" w:color="008FDD"/>
            </w:tcBorders>
            <w:shd w:val="clear" w:color="auto" w:fill="D4E3F5"/>
          </w:tcPr>
          <w:p>
            <w:pPr>
              <w:pStyle w:val="TableParagraph"/>
              <w:ind w:left="85" w:right="88"/>
              <w:rPr>
                <w:sz w:val="14"/>
              </w:rPr>
            </w:pPr>
            <w:r>
              <w:rPr>
                <w:color w:val="231F20"/>
                <w:spacing w:val="-5"/>
                <w:w w:val="95"/>
                <w:sz w:val="14"/>
              </w:rPr>
              <w:t>4.5</w:t>
            </w:r>
          </w:p>
        </w:tc>
        <w:tc>
          <w:tcPr>
            <w:tcW w:w="1317" w:type="dxa"/>
            <w:tcBorders>
              <w:bottom w:val="single" w:sz="4" w:space="0" w:color="008FDD"/>
            </w:tcBorders>
            <w:shd w:val="clear" w:color="auto" w:fill="D4E3F5"/>
          </w:tcPr>
          <w:p>
            <w:pPr>
              <w:pStyle w:val="TableParagraph"/>
              <w:ind w:left="193" w:right="8"/>
              <w:rPr>
                <w:sz w:val="14"/>
              </w:rPr>
            </w:pPr>
            <w:r>
              <w:rPr>
                <w:color w:val="231F20"/>
                <w:spacing w:val="-5"/>
                <w:w w:val="95"/>
                <w:sz w:val="14"/>
              </w:rPr>
              <w:t>4.6</w:t>
            </w:r>
          </w:p>
        </w:tc>
        <w:tc>
          <w:tcPr>
            <w:tcW w:w="1727" w:type="dxa"/>
            <w:tcBorders>
              <w:bottom w:val="single" w:sz="4" w:space="0" w:color="008FDD"/>
            </w:tcBorders>
            <w:shd w:val="clear" w:color="auto" w:fill="D4E3F5"/>
          </w:tcPr>
          <w:p>
            <w:pPr>
              <w:pStyle w:val="TableParagraph"/>
              <w:ind w:left="226" w:right="12"/>
              <w:rPr>
                <w:sz w:val="14"/>
              </w:rPr>
            </w:pPr>
            <w:r>
              <w:rPr>
                <w:color w:val="231F20"/>
                <w:spacing w:val="-5"/>
                <w:w w:val="95"/>
                <w:sz w:val="14"/>
              </w:rPr>
              <w:t>4.9</w:t>
            </w:r>
          </w:p>
        </w:tc>
      </w:tr>
    </w:tbl>
    <w:p>
      <w:pPr>
        <w:pStyle w:val="BodyText"/>
        <w:spacing w:before="77"/>
        <w:rPr>
          <w:rFonts w:ascii="Arial"/>
          <w:sz w:val="12"/>
        </w:rPr>
      </w:pPr>
    </w:p>
    <w:p>
      <w:pPr>
        <w:spacing w:before="0"/>
        <w:ind w:left="3360" w:right="0" w:firstLine="0"/>
        <w:jc w:val="left"/>
        <w:rPr>
          <w:rFonts w:ascii="Arial"/>
          <w:sz w:val="12"/>
        </w:rPr>
      </w:pPr>
      <w:r>
        <w:rPr>
          <w:rFonts w:ascii="Arial"/>
          <w:i/>
          <w:color w:val="231F20"/>
          <w:w w:val="75"/>
          <w:sz w:val="12"/>
        </w:rPr>
        <w:t>Source:</w:t>
      </w:r>
      <w:r>
        <w:rPr>
          <w:rFonts w:ascii="Arial"/>
          <w:i/>
          <w:color w:val="231F20"/>
          <w:spacing w:val="6"/>
          <w:sz w:val="12"/>
        </w:rPr>
        <w:t> </w:t>
      </w:r>
      <w:r>
        <w:rPr>
          <w:rFonts w:ascii="Arial"/>
          <w:color w:val="231F20"/>
          <w:w w:val="75"/>
          <w:sz w:val="12"/>
        </w:rPr>
        <w:t>Cargo</w:t>
      </w:r>
      <w:r>
        <w:rPr>
          <w:rFonts w:ascii="Arial"/>
          <w:color w:val="231F20"/>
          <w:spacing w:val="6"/>
          <w:sz w:val="12"/>
        </w:rPr>
        <w:t> </w:t>
      </w:r>
      <w:r>
        <w:rPr>
          <w:rFonts w:ascii="Arial"/>
          <w:color w:val="231F20"/>
          <w:spacing w:val="-5"/>
          <w:w w:val="75"/>
          <w:sz w:val="12"/>
        </w:rPr>
        <w:t>IQ.</w:t>
      </w:r>
    </w:p>
    <w:p>
      <w:pPr>
        <w:spacing w:before="22"/>
        <w:ind w:left="3360" w:right="0" w:firstLine="0"/>
        <w:jc w:val="left"/>
        <w:rPr>
          <w:rFonts w:ascii="Arial"/>
          <w:sz w:val="12"/>
        </w:rPr>
      </w:pPr>
      <w:r>
        <w:rPr>
          <w:rFonts w:ascii="Arial"/>
          <w:color w:val="231F20"/>
          <w:w w:val="75"/>
          <w:sz w:val="12"/>
        </w:rPr>
        <w:t>a.</w:t>
      </w:r>
      <w:r>
        <w:rPr>
          <w:rFonts w:ascii="Arial"/>
          <w:color w:val="231F20"/>
          <w:spacing w:val="9"/>
          <w:sz w:val="12"/>
        </w:rPr>
        <w:t> </w:t>
      </w:r>
      <w:r>
        <w:rPr>
          <w:rFonts w:ascii="Arial"/>
          <w:color w:val="231F20"/>
          <w:w w:val="75"/>
          <w:sz w:val="12"/>
        </w:rPr>
        <w:t>Includes</w:t>
      </w:r>
      <w:r>
        <w:rPr>
          <w:rFonts w:ascii="Arial"/>
          <w:color w:val="231F20"/>
          <w:spacing w:val="9"/>
          <w:sz w:val="12"/>
        </w:rPr>
        <w:t> </w:t>
      </w:r>
      <w:r>
        <w:rPr>
          <w:rFonts w:ascii="Arial"/>
          <w:color w:val="231F20"/>
          <w:w w:val="75"/>
          <w:sz w:val="12"/>
        </w:rPr>
        <w:t>the</w:t>
      </w:r>
      <w:r>
        <w:rPr>
          <w:rFonts w:ascii="Arial"/>
          <w:color w:val="231F20"/>
          <w:spacing w:val="9"/>
          <w:sz w:val="12"/>
        </w:rPr>
        <w:t> </w:t>
      </w:r>
      <w:r>
        <w:rPr>
          <w:rFonts w:ascii="Arial"/>
          <w:color w:val="231F20"/>
          <w:w w:val="75"/>
          <w:sz w:val="12"/>
        </w:rPr>
        <w:t>Canary</w:t>
      </w:r>
      <w:r>
        <w:rPr>
          <w:rFonts w:ascii="Arial"/>
          <w:color w:val="231F20"/>
          <w:spacing w:val="9"/>
          <w:sz w:val="12"/>
        </w:rPr>
        <w:t> </w:t>
      </w:r>
      <w:r>
        <w:rPr>
          <w:rFonts w:ascii="Arial"/>
          <w:color w:val="231F20"/>
          <w:spacing w:val="-2"/>
          <w:w w:val="75"/>
          <w:sz w:val="12"/>
        </w:rPr>
        <w:t>Islands.</w:t>
      </w:r>
    </w:p>
    <w:p>
      <w:pPr>
        <w:spacing w:after="0"/>
        <w:jc w:val="left"/>
        <w:rPr>
          <w:rFonts w:ascii="Arial"/>
          <w:sz w:val="12"/>
        </w:rPr>
        <w:sectPr>
          <w:pgSz w:w="12240" w:h="15840"/>
          <w:pgMar w:header="370" w:footer="548" w:top="560" w:bottom="740" w:left="0" w:right="540"/>
        </w:sectPr>
      </w:pPr>
    </w:p>
    <w:p>
      <w:pPr>
        <w:pStyle w:val="BodyText"/>
        <w:rPr>
          <w:rFonts w:ascii="Arial"/>
          <w:sz w:val="20"/>
        </w:rPr>
      </w:pPr>
      <w:r>
        <w:rPr/>
        <mc:AlternateContent>
          <mc:Choice Requires="wps">
            <w:drawing>
              <wp:anchor distT="0" distB="0" distL="0" distR="0" allowOverlap="1" layoutInCell="1" locked="0" behindDoc="1" simplePos="0" relativeHeight="466767360">
                <wp:simplePos x="0" y="0"/>
                <wp:positionH relativeFrom="page">
                  <wp:posOffset>723900</wp:posOffset>
                </wp:positionH>
                <wp:positionV relativeFrom="page">
                  <wp:posOffset>838200</wp:posOffset>
                </wp:positionV>
                <wp:extent cx="4953000" cy="633095"/>
                <wp:effectExtent l="0" t="0" r="0" b="0"/>
                <wp:wrapNone/>
                <wp:docPr id="1561" name="Group 1561"/>
                <wp:cNvGraphicFramePr>
                  <a:graphicFrameLocks/>
                </wp:cNvGraphicFramePr>
                <a:graphic>
                  <a:graphicData uri="http://schemas.microsoft.com/office/word/2010/wordprocessingGroup">
                    <wpg:wgp>
                      <wpg:cNvPr id="1561" name="Group 1561"/>
                      <wpg:cNvGrpSpPr/>
                      <wpg:grpSpPr>
                        <a:xfrm>
                          <a:off x="0" y="0"/>
                          <a:ext cx="4953000" cy="633095"/>
                          <a:chExt cx="4953000" cy="633095"/>
                        </a:xfrm>
                      </wpg:grpSpPr>
                      <wps:wsp>
                        <wps:cNvPr id="1562" name="Graphic 1562"/>
                        <wps:cNvSpPr/>
                        <wps:spPr>
                          <a:xfrm>
                            <a:off x="63500" y="19050"/>
                            <a:ext cx="4870450" cy="226060"/>
                          </a:xfrm>
                          <a:custGeom>
                            <a:avLst/>
                            <a:gdLst/>
                            <a:ahLst/>
                            <a:cxnLst/>
                            <a:rect l="l" t="t" r="r" b="b"/>
                            <a:pathLst>
                              <a:path w="4870450" h="226060">
                                <a:moveTo>
                                  <a:pt x="4775200" y="0"/>
                                </a:moveTo>
                                <a:lnTo>
                                  <a:pt x="50800" y="0"/>
                                </a:lnTo>
                                <a:lnTo>
                                  <a:pt x="13757" y="7496"/>
                                </a:lnTo>
                                <a:lnTo>
                                  <a:pt x="0" y="16778"/>
                                </a:lnTo>
                                <a:lnTo>
                                  <a:pt x="0" y="225907"/>
                                </a:lnTo>
                                <a:lnTo>
                                  <a:pt x="4870450" y="225907"/>
                                </a:lnTo>
                                <a:lnTo>
                                  <a:pt x="4870450" y="95250"/>
                                </a:lnTo>
                                <a:lnTo>
                                  <a:pt x="4862953" y="58207"/>
                                </a:lnTo>
                                <a:lnTo>
                                  <a:pt x="4842522" y="27927"/>
                                </a:lnTo>
                                <a:lnTo>
                                  <a:pt x="4812242" y="7496"/>
                                </a:lnTo>
                                <a:lnTo>
                                  <a:pt x="4775200" y="0"/>
                                </a:lnTo>
                                <a:close/>
                              </a:path>
                            </a:pathLst>
                          </a:custGeom>
                          <a:solidFill>
                            <a:srgbClr val="808285"/>
                          </a:solidFill>
                        </wps:spPr>
                        <wps:bodyPr wrap="square" lIns="0" tIns="0" rIns="0" bIns="0" rtlCol="0">
                          <a:prstTxWarp prst="textNoShape">
                            <a:avLst/>
                          </a:prstTxWarp>
                          <a:noAutofit/>
                        </wps:bodyPr>
                      </wps:wsp>
                      <wps:wsp>
                        <wps:cNvPr id="1563" name="Graphic 1563"/>
                        <wps:cNvSpPr/>
                        <wps:spPr>
                          <a:xfrm>
                            <a:off x="571500" y="29057"/>
                            <a:ext cx="1270" cy="225425"/>
                          </a:xfrm>
                          <a:custGeom>
                            <a:avLst/>
                            <a:gdLst/>
                            <a:ahLst/>
                            <a:cxnLst/>
                            <a:rect l="l" t="t" r="r" b="b"/>
                            <a:pathLst>
                              <a:path w="0" h="225425">
                                <a:moveTo>
                                  <a:pt x="0" y="2249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564" name="Graphic 1564"/>
                        <wps:cNvSpPr/>
                        <wps:spPr>
                          <a:xfrm>
                            <a:off x="38100" y="38100"/>
                            <a:ext cx="520700" cy="206375"/>
                          </a:xfrm>
                          <a:custGeom>
                            <a:avLst/>
                            <a:gdLst/>
                            <a:ahLst/>
                            <a:cxnLst/>
                            <a:rect l="l" t="t" r="r" b="b"/>
                            <a:pathLst>
                              <a:path w="520700" h="206375">
                                <a:moveTo>
                                  <a:pt x="0" y="206375"/>
                                </a:moveTo>
                                <a:lnTo>
                                  <a:pt x="520700" y="206375"/>
                                </a:lnTo>
                                <a:lnTo>
                                  <a:pt x="520700" y="0"/>
                                </a:lnTo>
                                <a:lnTo>
                                  <a:pt x="0" y="0"/>
                                </a:lnTo>
                                <a:lnTo>
                                  <a:pt x="0" y="206375"/>
                                </a:lnTo>
                                <a:close/>
                              </a:path>
                            </a:pathLst>
                          </a:custGeom>
                          <a:solidFill>
                            <a:srgbClr val="008FDD"/>
                          </a:solidFill>
                        </wps:spPr>
                        <wps:bodyPr wrap="square" lIns="0" tIns="0" rIns="0" bIns="0" rtlCol="0">
                          <a:prstTxWarp prst="textNoShape">
                            <a:avLst/>
                          </a:prstTxWarp>
                          <a:noAutofit/>
                        </wps:bodyPr>
                      </wps:wsp>
                      <wps:wsp>
                        <wps:cNvPr id="1565" name="Graphic 1565"/>
                        <wps:cNvSpPr/>
                        <wps:spPr>
                          <a:xfrm>
                            <a:off x="19050" y="19050"/>
                            <a:ext cx="4914900" cy="431800"/>
                          </a:xfrm>
                          <a:custGeom>
                            <a:avLst/>
                            <a:gdLst/>
                            <a:ahLst/>
                            <a:cxnLst/>
                            <a:rect l="l" t="t" r="r" b="b"/>
                            <a:pathLst>
                              <a:path w="4914900" h="431800">
                                <a:moveTo>
                                  <a:pt x="95250" y="0"/>
                                </a:moveTo>
                                <a:lnTo>
                                  <a:pt x="58212" y="7497"/>
                                </a:lnTo>
                                <a:lnTo>
                                  <a:pt x="27932" y="27932"/>
                                </a:lnTo>
                                <a:lnTo>
                                  <a:pt x="7497" y="58212"/>
                                </a:lnTo>
                                <a:lnTo>
                                  <a:pt x="0" y="95250"/>
                                </a:lnTo>
                                <a:lnTo>
                                  <a:pt x="0" y="412750"/>
                                </a:lnTo>
                                <a:lnTo>
                                  <a:pt x="0" y="431800"/>
                                </a:lnTo>
                                <a:lnTo>
                                  <a:pt x="19050" y="431800"/>
                                </a:lnTo>
                                <a:lnTo>
                                  <a:pt x="4895850" y="431800"/>
                                </a:lnTo>
                                <a:lnTo>
                                  <a:pt x="4914900" y="431800"/>
                                </a:lnTo>
                                <a:lnTo>
                                  <a:pt x="4914900" y="412750"/>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566" name="Graphic 1566"/>
                        <wps:cNvSpPr/>
                        <wps:spPr>
                          <a:xfrm>
                            <a:off x="38100" y="302259"/>
                            <a:ext cx="4876800" cy="330835"/>
                          </a:xfrm>
                          <a:custGeom>
                            <a:avLst/>
                            <a:gdLst/>
                            <a:ahLst/>
                            <a:cxnLst/>
                            <a:rect l="l" t="t" r="r" b="b"/>
                            <a:pathLst>
                              <a:path w="4876800" h="330835">
                                <a:moveTo>
                                  <a:pt x="4876800" y="0"/>
                                </a:moveTo>
                                <a:lnTo>
                                  <a:pt x="1950720" y="0"/>
                                </a:lnTo>
                                <a:lnTo>
                                  <a:pt x="1950720" y="317"/>
                                </a:lnTo>
                                <a:lnTo>
                                  <a:pt x="975360" y="317"/>
                                </a:lnTo>
                                <a:lnTo>
                                  <a:pt x="0" y="317"/>
                                </a:lnTo>
                                <a:lnTo>
                                  <a:pt x="0" y="330466"/>
                                </a:lnTo>
                                <a:lnTo>
                                  <a:pt x="975360" y="330466"/>
                                </a:lnTo>
                                <a:lnTo>
                                  <a:pt x="1950720" y="330466"/>
                                </a:lnTo>
                                <a:lnTo>
                                  <a:pt x="1950720" y="165100"/>
                                </a:lnTo>
                                <a:lnTo>
                                  <a:pt x="4876800" y="165100"/>
                                </a:lnTo>
                                <a:lnTo>
                                  <a:pt x="4876800" y="0"/>
                                </a:lnTo>
                                <a:close/>
                              </a:path>
                            </a:pathLst>
                          </a:custGeom>
                          <a:solidFill>
                            <a:srgbClr val="FFFFFF"/>
                          </a:solidFill>
                        </wps:spPr>
                        <wps:bodyPr wrap="square" lIns="0" tIns="0" rIns="0" bIns="0" rtlCol="0">
                          <a:prstTxWarp prst="textNoShape">
                            <a:avLst/>
                          </a:prstTxWarp>
                          <a:noAutofit/>
                        </wps:bodyPr>
                      </wps:wsp>
                      <wps:wsp>
                        <wps:cNvPr id="1567" name="Textbox 1567"/>
                        <wps:cNvSpPr txBox="1"/>
                        <wps:spPr>
                          <a:xfrm>
                            <a:off x="0" y="0"/>
                            <a:ext cx="4953000" cy="633095"/>
                          </a:xfrm>
                          <a:prstGeom prst="rect">
                            <a:avLst/>
                          </a:prstGeom>
                        </wps:spPr>
                        <wps:txbx>
                          <w:txbxContent>
                            <w:p>
                              <w:pPr>
                                <w:spacing w:before="130"/>
                                <w:ind w:left="1059" w:right="0" w:firstLine="0"/>
                                <w:jc w:val="left"/>
                                <w:rPr>
                                  <w:rFonts w:ascii="Arial"/>
                                  <w:b/>
                                  <w:sz w:val="16"/>
                                </w:rPr>
                              </w:pPr>
                              <w:r>
                                <w:rPr>
                                  <w:rFonts w:ascii="Arial"/>
                                  <w:b/>
                                  <w:color w:val="FFFFFF"/>
                                  <w:w w:val="105"/>
                                  <w:sz w:val="16"/>
                                </w:rPr>
                                <w:t>Lead</w:t>
                              </w:r>
                              <w:r>
                                <w:rPr>
                                  <w:rFonts w:ascii="Arial"/>
                                  <w:b/>
                                  <w:color w:val="FFFFFF"/>
                                  <w:spacing w:val="13"/>
                                  <w:w w:val="105"/>
                                  <w:sz w:val="16"/>
                                </w:rPr>
                                <w:t> </w:t>
                              </w:r>
                              <w:r>
                                <w:rPr>
                                  <w:rFonts w:ascii="Arial"/>
                                  <w:b/>
                                  <w:color w:val="FFFFFF"/>
                                  <w:w w:val="105"/>
                                  <w:sz w:val="16"/>
                                </w:rPr>
                                <w:t>time</w:t>
                              </w:r>
                              <w:r>
                                <w:rPr>
                                  <w:rFonts w:ascii="Arial"/>
                                  <w:b/>
                                  <w:color w:val="FFFFFF"/>
                                  <w:spacing w:val="13"/>
                                  <w:w w:val="105"/>
                                  <w:sz w:val="16"/>
                                </w:rPr>
                                <w:t> </w:t>
                              </w:r>
                              <w:r>
                                <w:rPr>
                                  <w:rFonts w:ascii="Arial"/>
                                  <w:b/>
                                  <w:color w:val="FFFFFF"/>
                                  <w:w w:val="105"/>
                                  <w:sz w:val="16"/>
                                </w:rPr>
                                <w:t>data</w:t>
                              </w:r>
                              <w:r>
                                <w:rPr>
                                  <w:rFonts w:ascii="Arial"/>
                                  <w:b/>
                                  <w:color w:val="FFFFFF"/>
                                  <w:spacing w:val="13"/>
                                  <w:w w:val="105"/>
                                  <w:sz w:val="16"/>
                                </w:rPr>
                                <w:t> </w:t>
                              </w:r>
                              <w:r>
                                <w:rPr>
                                  <w:rFonts w:ascii="Arial"/>
                                  <w:b/>
                                  <w:color w:val="FFFFFF"/>
                                  <w:w w:val="105"/>
                                  <w:sz w:val="16"/>
                                </w:rPr>
                                <w:t>for</w:t>
                              </w:r>
                              <w:r>
                                <w:rPr>
                                  <w:rFonts w:ascii="Arial"/>
                                  <w:b/>
                                  <w:color w:val="FFFFFF"/>
                                  <w:spacing w:val="14"/>
                                  <w:w w:val="105"/>
                                  <w:sz w:val="16"/>
                                </w:rPr>
                                <w:t> </w:t>
                              </w:r>
                              <w:r>
                                <w:rPr>
                                  <w:rFonts w:ascii="Arial"/>
                                  <w:b/>
                                  <w:color w:val="FFFFFF"/>
                                  <w:w w:val="105"/>
                                  <w:sz w:val="16"/>
                                </w:rPr>
                                <w:t>postal</w:t>
                              </w:r>
                              <w:r>
                                <w:rPr>
                                  <w:rFonts w:ascii="Arial"/>
                                  <w:b/>
                                  <w:color w:val="FFFFFF"/>
                                  <w:spacing w:val="13"/>
                                  <w:w w:val="105"/>
                                  <w:sz w:val="16"/>
                                </w:rPr>
                                <w:t> </w:t>
                              </w:r>
                              <w:r>
                                <w:rPr>
                                  <w:rFonts w:ascii="Arial"/>
                                  <w:b/>
                                  <w:color w:val="FFFFFF"/>
                                  <w:w w:val="105"/>
                                  <w:sz w:val="16"/>
                                </w:rPr>
                                <w:t>parcels,</w:t>
                              </w:r>
                              <w:r>
                                <w:rPr>
                                  <w:rFonts w:ascii="Arial"/>
                                  <w:b/>
                                  <w:color w:val="FFFFFF"/>
                                  <w:spacing w:val="13"/>
                                  <w:w w:val="105"/>
                                  <w:sz w:val="16"/>
                                </w:rPr>
                                <w:t> </w:t>
                              </w:r>
                              <w:r>
                                <w:rPr>
                                  <w:rFonts w:ascii="Arial"/>
                                  <w:b/>
                                  <w:color w:val="FFFFFF"/>
                                  <w:spacing w:val="-4"/>
                                  <w:w w:val="105"/>
                                  <w:sz w:val="16"/>
                                </w:rPr>
                                <w:t>2019</w:t>
                              </w:r>
                            </w:p>
                          </w:txbxContent>
                        </wps:txbx>
                        <wps:bodyPr wrap="square" lIns="0" tIns="0" rIns="0" bIns="0" rtlCol="0">
                          <a:noAutofit/>
                        </wps:bodyPr>
                      </wps:wsp>
                      <wps:wsp>
                        <wps:cNvPr id="1568" name="Textbox 1568"/>
                        <wps:cNvSpPr txBox="1"/>
                        <wps:spPr>
                          <a:xfrm>
                            <a:off x="38100" y="38100"/>
                            <a:ext cx="520700" cy="206375"/>
                          </a:xfrm>
                          <a:prstGeom prst="rect">
                            <a:avLst/>
                          </a:prstGeom>
                        </wps:spPr>
                        <wps:txbx>
                          <w:txbxContent>
                            <w:p>
                              <w:pPr>
                                <w:spacing w:before="70"/>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2.3</w:t>
                              </w:r>
                            </w:p>
                          </w:txbxContent>
                        </wps:txbx>
                        <wps:bodyPr wrap="square" lIns="0" tIns="0" rIns="0" bIns="0" rtlCol="0">
                          <a:noAutofit/>
                        </wps:bodyPr>
                      </wps:wsp>
                    </wpg:wgp>
                  </a:graphicData>
                </a:graphic>
              </wp:anchor>
            </w:drawing>
          </mc:Choice>
          <mc:Fallback>
            <w:pict>
              <v:group style="position:absolute;margin-left:57pt;margin-top:66pt;width:390pt;height:49.85pt;mso-position-horizontal-relative:page;mso-position-vertical-relative:page;z-index:-36549120" id="docshapegroup1323" coordorigin="1140,1320" coordsize="7800,997">
                <v:shape style="position:absolute;left:1240;top:1350;width:7670;height:356" id="docshape1324" coordorigin="1240,1350" coordsize="7670,356" path="m8760,1350l1320,1350,1262,1362,1240,1376,1240,1706,8910,1706,8910,1500,8898,1442,8866,1394,8818,1362,8760,1350xe" filled="true" fillcolor="#808285" stroked="false">
                  <v:path arrowok="t"/>
                  <v:fill type="solid"/>
                </v:shape>
                <v:line style="position:absolute" from="2040,1720" to="2040,1366" stroked="true" strokeweight="2pt" strokecolor="#ffffff">
                  <v:stroke dashstyle="solid"/>
                </v:line>
                <v:rect style="position:absolute;left:1200;top:1380;width:820;height:325" id="docshape1325" filled="true" fillcolor="#008fdd" stroked="false">
                  <v:fill type="solid"/>
                </v:rect>
                <v:shape style="position:absolute;left:1170;top:1350;width:7740;height:680" id="docshape1326" coordorigin="1170,1350" coordsize="7740,680" path="m1320,1350l1262,1362,1214,1394,1182,1442,1170,1500,1170,2000,1170,2030,1200,2030,8880,2030,8910,2030,8910,2000,8910,1500,8898,1442,8866,1394,8818,1362,8760,1350,1320,1350xe" filled="false" stroked="true" strokeweight="3pt" strokecolor="#ffffff">
                  <v:path arrowok="t"/>
                  <v:stroke dashstyle="solid"/>
                </v:shape>
                <v:shape style="position:absolute;left:1200;top:1796;width:7680;height:521" id="docshape1327" coordorigin="1200,1796" coordsize="7680,521" path="m8880,1796l4272,1796,4272,1796,2736,1796,1200,1796,1200,2316,2736,2316,4272,2316,4272,2056,8880,2056,8880,1796xe" filled="true" fillcolor="#ffffff" stroked="false">
                  <v:path arrowok="t"/>
                  <v:fill type="solid"/>
                </v:shape>
                <v:shape style="position:absolute;left:1140;top:1320;width:7800;height:997" type="#_x0000_t202" id="docshape1328" filled="false" stroked="false">
                  <v:textbox inset="0,0,0,0">
                    <w:txbxContent>
                      <w:p>
                        <w:pPr>
                          <w:spacing w:before="130"/>
                          <w:ind w:left="1059" w:right="0" w:firstLine="0"/>
                          <w:jc w:val="left"/>
                          <w:rPr>
                            <w:rFonts w:ascii="Arial"/>
                            <w:b/>
                            <w:sz w:val="16"/>
                          </w:rPr>
                        </w:pPr>
                        <w:r>
                          <w:rPr>
                            <w:rFonts w:ascii="Arial"/>
                            <w:b/>
                            <w:color w:val="FFFFFF"/>
                            <w:w w:val="105"/>
                            <w:sz w:val="16"/>
                          </w:rPr>
                          <w:t>Lead</w:t>
                        </w:r>
                        <w:r>
                          <w:rPr>
                            <w:rFonts w:ascii="Arial"/>
                            <w:b/>
                            <w:color w:val="FFFFFF"/>
                            <w:spacing w:val="13"/>
                            <w:w w:val="105"/>
                            <w:sz w:val="16"/>
                          </w:rPr>
                          <w:t> </w:t>
                        </w:r>
                        <w:r>
                          <w:rPr>
                            <w:rFonts w:ascii="Arial"/>
                            <w:b/>
                            <w:color w:val="FFFFFF"/>
                            <w:w w:val="105"/>
                            <w:sz w:val="16"/>
                          </w:rPr>
                          <w:t>time</w:t>
                        </w:r>
                        <w:r>
                          <w:rPr>
                            <w:rFonts w:ascii="Arial"/>
                            <w:b/>
                            <w:color w:val="FFFFFF"/>
                            <w:spacing w:val="13"/>
                            <w:w w:val="105"/>
                            <w:sz w:val="16"/>
                          </w:rPr>
                          <w:t> </w:t>
                        </w:r>
                        <w:r>
                          <w:rPr>
                            <w:rFonts w:ascii="Arial"/>
                            <w:b/>
                            <w:color w:val="FFFFFF"/>
                            <w:w w:val="105"/>
                            <w:sz w:val="16"/>
                          </w:rPr>
                          <w:t>data</w:t>
                        </w:r>
                        <w:r>
                          <w:rPr>
                            <w:rFonts w:ascii="Arial"/>
                            <w:b/>
                            <w:color w:val="FFFFFF"/>
                            <w:spacing w:val="13"/>
                            <w:w w:val="105"/>
                            <w:sz w:val="16"/>
                          </w:rPr>
                          <w:t> </w:t>
                        </w:r>
                        <w:r>
                          <w:rPr>
                            <w:rFonts w:ascii="Arial"/>
                            <w:b/>
                            <w:color w:val="FFFFFF"/>
                            <w:w w:val="105"/>
                            <w:sz w:val="16"/>
                          </w:rPr>
                          <w:t>for</w:t>
                        </w:r>
                        <w:r>
                          <w:rPr>
                            <w:rFonts w:ascii="Arial"/>
                            <w:b/>
                            <w:color w:val="FFFFFF"/>
                            <w:spacing w:val="14"/>
                            <w:w w:val="105"/>
                            <w:sz w:val="16"/>
                          </w:rPr>
                          <w:t> </w:t>
                        </w:r>
                        <w:r>
                          <w:rPr>
                            <w:rFonts w:ascii="Arial"/>
                            <w:b/>
                            <w:color w:val="FFFFFF"/>
                            <w:w w:val="105"/>
                            <w:sz w:val="16"/>
                          </w:rPr>
                          <w:t>postal</w:t>
                        </w:r>
                        <w:r>
                          <w:rPr>
                            <w:rFonts w:ascii="Arial"/>
                            <w:b/>
                            <w:color w:val="FFFFFF"/>
                            <w:spacing w:val="13"/>
                            <w:w w:val="105"/>
                            <w:sz w:val="16"/>
                          </w:rPr>
                          <w:t> </w:t>
                        </w:r>
                        <w:r>
                          <w:rPr>
                            <w:rFonts w:ascii="Arial"/>
                            <w:b/>
                            <w:color w:val="FFFFFF"/>
                            <w:w w:val="105"/>
                            <w:sz w:val="16"/>
                          </w:rPr>
                          <w:t>parcels,</w:t>
                        </w:r>
                        <w:r>
                          <w:rPr>
                            <w:rFonts w:ascii="Arial"/>
                            <w:b/>
                            <w:color w:val="FFFFFF"/>
                            <w:spacing w:val="13"/>
                            <w:w w:val="105"/>
                            <w:sz w:val="16"/>
                          </w:rPr>
                          <w:t> </w:t>
                        </w:r>
                        <w:r>
                          <w:rPr>
                            <w:rFonts w:ascii="Arial"/>
                            <w:b/>
                            <w:color w:val="FFFFFF"/>
                            <w:spacing w:val="-4"/>
                            <w:w w:val="105"/>
                            <w:sz w:val="16"/>
                          </w:rPr>
                          <w:t>2019</w:t>
                        </w:r>
                      </w:p>
                    </w:txbxContent>
                  </v:textbox>
                  <w10:wrap type="none"/>
                </v:shape>
                <v:shape style="position:absolute;left:1200;top:1380;width:820;height:325" type="#_x0000_t202" id="docshape1329" filled="false" stroked="false">
                  <v:textbox inset="0,0,0,0">
                    <w:txbxContent>
                      <w:p>
                        <w:pPr>
                          <w:spacing w:before="70"/>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2.3</w:t>
                        </w:r>
                      </w:p>
                    </w:txbxContent>
                  </v:textbox>
                  <w10:wrap type="none"/>
                </v:shape>
                <w10:wrap type="none"/>
              </v:group>
            </w:pict>
          </mc:Fallback>
        </mc:AlternateConten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18"/>
        <w:rPr>
          <w:rFonts w:ascii="Arial"/>
          <w:sz w:val="20"/>
        </w:rPr>
      </w:pPr>
      <w:bookmarkStart w:name="_bookmark43" w:id="47"/>
      <w:bookmarkEnd w:id="47"/>
      <w:r>
        <w:rPr/>
      </w:r>
      <w:r>
        <w:rPr>
          <w:rFonts w:ascii="Arial"/>
          <w:sz w:val="20"/>
        </w:rPr>
      </w: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4"/>
        <w:gridCol w:w="1558"/>
        <w:gridCol w:w="1563"/>
        <w:gridCol w:w="1317"/>
        <w:gridCol w:w="1727"/>
      </w:tblGrid>
      <w:tr>
        <w:trPr>
          <w:trHeight w:val="209" w:hRule="atLeast"/>
        </w:trPr>
        <w:tc>
          <w:tcPr>
            <w:tcW w:w="1514" w:type="dxa"/>
            <w:shd w:val="clear" w:color="auto" w:fill="FFFFFF"/>
          </w:tcPr>
          <w:p>
            <w:pPr>
              <w:pStyle w:val="TableParagraph"/>
              <w:spacing w:before="0"/>
              <w:jc w:val="left"/>
              <w:rPr>
                <w:rFonts w:ascii="Times New Roman"/>
                <w:sz w:val="12"/>
              </w:rPr>
            </w:pPr>
          </w:p>
        </w:tc>
        <w:tc>
          <w:tcPr>
            <w:tcW w:w="1558" w:type="dxa"/>
            <w:vMerge w:val="restart"/>
            <w:tcBorders>
              <w:bottom w:val="single" w:sz="4" w:space="0" w:color="008FDD"/>
            </w:tcBorders>
            <w:shd w:val="clear" w:color="auto" w:fill="FFFFFF"/>
          </w:tcPr>
          <w:p>
            <w:pPr>
              <w:pStyle w:val="TableParagraph"/>
              <w:spacing w:before="103"/>
              <w:ind w:left="214" w:firstLine="33"/>
              <w:jc w:val="left"/>
              <w:rPr>
                <w:b/>
                <w:sz w:val="14"/>
              </w:rPr>
            </w:pPr>
            <w:r>
              <w:rPr>
                <w:b/>
                <w:color w:val="231F20"/>
                <w:w w:val="85"/>
                <w:sz w:val="14"/>
              </w:rPr>
              <w:t>Average</w:t>
            </w:r>
            <w:r>
              <w:rPr>
                <w:b/>
                <w:color w:val="231F20"/>
                <w:spacing w:val="-2"/>
                <w:w w:val="85"/>
                <w:sz w:val="14"/>
              </w:rPr>
              <w:t> </w:t>
            </w:r>
            <w:r>
              <w:rPr>
                <w:b/>
                <w:color w:val="231F20"/>
                <w:w w:val="85"/>
                <w:sz w:val="14"/>
              </w:rPr>
              <w:t>number</w:t>
            </w:r>
            <w:r>
              <w:rPr>
                <w:b/>
                <w:color w:val="231F20"/>
                <w:spacing w:val="-2"/>
                <w:w w:val="85"/>
                <w:sz w:val="14"/>
              </w:rPr>
              <w:t> </w:t>
            </w:r>
            <w:r>
              <w:rPr>
                <w:b/>
                <w:color w:val="231F20"/>
                <w:w w:val="85"/>
                <w:sz w:val="14"/>
              </w:rPr>
              <w:t>of</w:t>
            </w:r>
            <w:r>
              <w:rPr>
                <w:b/>
                <w:color w:val="231F20"/>
                <w:spacing w:val="40"/>
                <w:sz w:val="14"/>
              </w:rPr>
              <w:t> </w:t>
            </w:r>
            <w:r>
              <w:rPr>
                <w:b/>
                <w:color w:val="231F20"/>
                <w:spacing w:val="2"/>
                <w:w w:val="80"/>
                <w:sz w:val="14"/>
              </w:rPr>
              <w:t>partners</w:t>
            </w:r>
            <w:r>
              <w:rPr>
                <w:b/>
                <w:color w:val="231F20"/>
                <w:spacing w:val="15"/>
                <w:sz w:val="14"/>
              </w:rPr>
              <w:t> </w:t>
            </w:r>
            <w:r>
              <w:rPr>
                <w:b/>
                <w:color w:val="231F20"/>
                <w:spacing w:val="-2"/>
                <w:w w:val="85"/>
                <w:sz w:val="14"/>
              </w:rPr>
              <w:t>(countries)</w:t>
            </w:r>
          </w:p>
        </w:tc>
        <w:tc>
          <w:tcPr>
            <w:tcW w:w="1563" w:type="dxa"/>
            <w:tcBorders>
              <w:bottom w:val="single" w:sz="4" w:space="0" w:color="008FDD"/>
            </w:tcBorders>
          </w:tcPr>
          <w:p>
            <w:pPr>
              <w:pStyle w:val="TableParagraph"/>
              <w:spacing w:before="0"/>
              <w:jc w:val="left"/>
              <w:rPr>
                <w:rFonts w:ascii="Times New Roman"/>
                <w:sz w:val="12"/>
              </w:rPr>
            </w:pPr>
          </w:p>
        </w:tc>
        <w:tc>
          <w:tcPr>
            <w:tcW w:w="1317" w:type="dxa"/>
            <w:tcBorders>
              <w:bottom w:val="single" w:sz="4" w:space="0" w:color="008FDD"/>
            </w:tcBorders>
          </w:tcPr>
          <w:p>
            <w:pPr>
              <w:pStyle w:val="TableParagraph"/>
              <w:spacing w:before="3"/>
              <w:ind w:left="164"/>
              <w:rPr>
                <w:b/>
                <w:sz w:val="14"/>
              </w:rPr>
            </w:pPr>
            <w:r>
              <w:rPr>
                <w:b/>
                <w:color w:val="231F20"/>
                <w:w w:val="80"/>
                <w:sz w:val="14"/>
              </w:rPr>
              <w:t>Delivery</w:t>
            </w:r>
            <w:r>
              <w:rPr>
                <w:b/>
                <w:color w:val="231F20"/>
                <w:spacing w:val="17"/>
                <w:sz w:val="14"/>
              </w:rPr>
              <w:t> </w:t>
            </w:r>
            <w:r>
              <w:rPr>
                <w:b/>
                <w:color w:val="231F20"/>
                <w:w w:val="80"/>
                <w:sz w:val="14"/>
              </w:rPr>
              <w:t>time</w:t>
            </w:r>
            <w:r>
              <w:rPr>
                <w:b/>
                <w:color w:val="231F20"/>
                <w:spacing w:val="18"/>
                <w:sz w:val="14"/>
              </w:rPr>
              <w:t> </w:t>
            </w:r>
            <w:r>
              <w:rPr>
                <w:b/>
                <w:color w:val="231F20"/>
                <w:spacing w:val="-2"/>
                <w:w w:val="80"/>
                <w:sz w:val="14"/>
              </w:rPr>
              <w:t>(days)</w:t>
            </w:r>
          </w:p>
        </w:tc>
        <w:tc>
          <w:tcPr>
            <w:tcW w:w="1727" w:type="dxa"/>
            <w:tcBorders>
              <w:bottom w:val="single" w:sz="4" w:space="0" w:color="008FDD"/>
            </w:tcBorders>
          </w:tcPr>
          <w:p>
            <w:pPr>
              <w:pStyle w:val="TableParagraph"/>
              <w:spacing w:before="0"/>
              <w:jc w:val="left"/>
              <w:rPr>
                <w:rFonts w:ascii="Times New Roman"/>
                <w:sz w:val="12"/>
              </w:rPr>
            </w:pPr>
          </w:p>
        </w:tc>
      </w:tr>
      <w:tr>
        <w:trPr>
          <w:trHeight w:val="249" w:hRule="atLeast"/>
        </w:trPr>
        <w:tc>
          <w:tcPr>
            <w:tcW w:w="1514" w:type="dxa"/>
            <w:tcBorders>
              <w:bottom w:val="single" w:sz="4" w:space="0" w:color="008FDD"/>
            </w:tcBorders>
            <w:shd w:val="clear" w:color="auto" w:fill="FFFFFF"/>
          </w:tcPr>
          <w:p>
            <w:pPr>
              <w:pStyle w:val="TableParagraph"/>
              <w:spacing w:before="43"/>
              <w:ind w:left="80"/>
              <w:jc w:val="left"/>
              <w:rPr>
                <w:b/>
                <w:sz w:val="14"/>
              </w:rPr>
            </w:pPr>
            <w:r>
              <w:rPr>
                <w:b/>
                <w:color w:val="231F20"/>
                <w:spacing w:val="-2"/>
                <w:w w:val="90"/>
                <w:sz w:val="14"/>
              </w:rPr>
              <w:t>Economy</w:t>
            </w:r>
          </w:p>
        </w:tc>
        <w:tc>
          <w:tcPr>
            <w:tcW w:w="1558" w:type="dxa"/>
            <w:vMerge/>
            <w:tcBorders>
              <w:top w:val="nil"/>
              <w:bottom w:val="single" w:sz="4" w:space="0" w:color="008FDD"/>
            </w:tcBorders>
            <w:shd w:val="clear" w:color="auto" w:fill="FFFFFF"/>
          </w:tcPr>
          <w:p>
            <w:pPr>
              <w:rPr>
                <w:sz w:val="2"/>
                <w:szCs w:val="2"/>
              </w:rPr>
            </w:pPr>
          </w:p>
        </w:tc>
        <w:tc>
          <w:tcPr>
            <w:tcW w:w="1563" w:type="dxa"/>
            <w:tcBorders>
              <w:top w:val="single" w:sz="4" w:space="0" w:color="008FDD"/>
              <w:bottom w:val="single" w:sz="4" w:space="0" w:color="008FDD"/>
            </w:tcBorders>
          </w:tcPr>
          <w:p>
            <w:pPr>
              <w:pStyle w:val="TableParagraph"/>
              <w:spacing w:before="43"/>
              <w:ind w:left="64" w:right="88"/>
              <w:rPr>
                <w:b/>
                <w:sz w:val="14"/>
              </w:rPr>
            </w:pPr>
            <w:r>
              <w:rPr>
                <w:b/>
                <w:color w:val="231F20"/>
                <w:spacing w:val="-2"/>
                <w:w w:val="95"/>
                <w:sz w:val="14"/>
              </w:rPr>
              <w:t>Median</w:t>
            </w:r>
          </w:p>
        </w:tc>
        <w:tc>
          <w:tcPr>
            <w:tcW w:w="1317" w:type="dxa"/>
            <w:tcBorders>
              <w:top w:val="single" w:sz="4" w:space="0" w:color="008FDD"/>
              <w:bottom w:val="single" w:sz="4" w:space="0" w:color="008FDD"/>
            </w:tcBorders>
          </w:tcPr>
          <w:p>
            <w:pPr>
              <w:pStyle w:val="TableParagraph"/>
              <w:spacing w:before="43"/>
              <w:ind w:left="167"/>
              <w:rPr>
                <w:b/>
                <w:sz w:val="14"/>
              </w:rPr>
            </w:pPr>
            <w:r>
              <w:rPr>
                <w:b/>
                <w:color w:val="231F20"/>
                <w:spacing w:val="-4"/>
                <w:w w:val="95"/>
                <w:sz w:val="14"/>
              </w:rPr>
              <w:t>Mean</w:t>
            </w:r>
          </w:p>
        </w:tc>
        <w:tc>
          <w:tcPr>
            <w:tcW w:w="1727" w:type="dxa"/>
            <w:tcBorders>
              <w:top w:val="single" w:sz="4" w:space="0" w:color="008FDD"/>
              <w:bottom w:val="single" w:sz="4" w:space="0" w:color="008FDD"/>
            </w:tcBorders>
          </w:tcPr>
          <w:p>
            <w:pPr>
              <w:pStyle w:val="TableParagraph"/>
              <w:spacing w:before="43"/>
              <w:ind w:left="226" w:right="34"/>
              <w:rPr>
                <w:b/>
                <w:sz w:val="14"/>
              </w:rPr>
            </w:pPr>
            <w:r>
              <w:rPr>
                <w:b/>
                <w:color w:val="231F20"/>
                <w:spacing w:val="4"/>
                <w:w w:val="80"/>
                <w:sz w:val="14"/>
              </w:rPr>
              <w:t>Interquartile</w:t>
            </w:r>
            <w:r>
              <w:rPr>
                <w:b/>
                <w:color w:val="231F20"/>
                <w:spacing w:val="6"/>
                <w:sz w:val="14"/>
              </w:rPr>
              <w:t> </w:t>
            </w:r>
            <w:r>
              <w:rPr>
                <w:b/>
                <w:color w:val="231F20"/>
                <w:spacing w:val="-2"/>
                <w:w w:val="95"/>
                <w:sz w:val="14"/>
              </w:rPr>
              <w:t>range</w:t>
            </w:r>
          </w:p>
        </w:tc>
      </w:tr>
      <w:tr>
        <w:trPr>
          <w:trHeight w:val="258" w:hRule="atLeast"/>
        </w:trPr>
        <w:tc>
          <w:tcPr>
            <w:tcW w:w="1514" w:type="dxa"/>
            <w:tcBorders>
              <w:top w:val="single" w:sz="4" w:space="0" w:color="008FDD"/>
            </w:tcBorders>
          </w:tcPr>
          <w:p>
            <w:pPr>
              <w:pStyle w:val="TableParagraph"/>
              <w:spacing w:before="47"/>
              <w:ind w:left="80"/>
              <w:jc w:val="left"/>
              <w:rPr>
                <w:sz w:val="14"/>
              </w:rPr>
            </w:pPr>
            <w:r>
              <w:rPr>
                <w:color w:val="231F20"/>
                <w:spacing w:val="-2"/>
                <w:w w:val="90"/>
                <w:sz w:val="14"/>
              </w:rPr>
              <w:t>Afghanistan</w:t>
            </w:r>
          </w:p>
        </w:tc>
        <w:tc>
          <w:tcPr>
            <w:tcW w:w="1558" w:type="dxa"/>
            <w:tcBorders>
              <w:top w:val="single" w:sz="4" w:space="0" w:color="008FDD"/>
            </w:tcBorders>
          </w:tcPr>
          <w:p>
            <w:pPr>
              <w:pStyle w:val="TableParagraph"/>
              <w:spacing w:before="47"/>
              <w:ind w:left="704"/>
              <w:jc w:val="left"/>
              <w:rPr>
                <w:sz w:val="14"/>
              </w:rPr>
            </w:pPr>
            <w:r>
              <w:rPr>
                <w:color w:val="231F20"/>
                <w:spacing w:val="-4"/>
                <w:w w:val="95"/>
                <w:sz w:val="14"/>
              </w:rPr>
              <w:t>42.5</w:t>
            </w:r>
          </w:p>
        </w:tc>
        <w:tc>
          <w:tcPr>
            <w:tcW w:w="1563" w:type="dxa"/>
            <w:tcBorders>
              <w:top w:val="single" w:sz="4" w:space="0" w:color="008FDD"/>
            </w:tcBorders>
          </w:tcPr>
          <w:p>
            <w:pPr>
              <w:pStyle w:val="TableParagraph"/>
              <w:spacing w:before="47"/>
              <w:ind w:left="77" w:right="88"/>
              <w:rPr>
                <w:sz w:val="14"/>
              </w:rPr>
            </w:pPr>
            <w:r>
              <w:rPr>
                <w:color w:val="231F20"/>
                <w:spacing w:val="-5"/>
                <w:w w:val="95"/>
                <w:sz w:val="14"/>
              </w:rPr>
              <w:t>9.7</w:t>
            </w:r>
          </w:p>
        </w:tc>
        <w:tc>
          <w:tcPr>
            <w:tcW w:w="1317" w:type="dxa"/>
            <w:tcBorders>
              <w:top w:val="single" w:sz="4" w:space="0" w:color="008FDD"/>
            </w:tcBorders>
          </w:tcPr>
          <w:p>
            <w:pPr>
              <w:pStyle w:val="TableParagraph"/>
              <w:spacing w:before="47"/>
              <w:ind w:left="184"/>
              <w:rPr>
                <w:sz w:val="14"/>
              </w:rPr>
            </w:pPr>
            <w:r>
              <w:rPr>
                <w:color w:val="231F20"/>
                <w:spacing w:val="-5"/>
                <w:w w:val="95"/>
                <w:sz w:val="14"/>
              </w:rPr>
              <w:t>5.2</w:t>
            </w:r>
          </w:p>
        </w:tc>
        <w:tc>
          <w:tcPr>
            <w:tcW w:w="1727" w:type="dxa"/>
            <w:tcBorders>
              <w:top w:val="single" w:sz="4" w:space="0" w:color="008FDD"/>
            </w:tcBorders>
          </w:tcPr>
          <w:p>
            <w:pPr>
              <w:pStyle w:val="TableParagraph"/>
              <w:spacing w:before="47"/>
              <w:ind w:left="226" w:right="87"/>
              <w:rPr>
                <w:sz w:val="14"/>
              </w:rPr>
            </w:pPr>
            <w:r>
              <w:rPr>
                <w:color w:val="231F20"/>
                <w:spacing w:val="-4"/>
                <w:w w:val="95"/>
                <w:sz w:val="14"/>
              </w:rPr>
              <w:t>11.1</w:t>
            </w:r>
          </w:p>
        </w:tc>
      </w:tr>
      <w:tr>
        <w:trPr>
          <w:trHeight w:val="259" w:hRule="atLeast"/>
        </w:trPr>
        <w:tc>
          <w:tcPr>
            <w:tcW w:w="1514" w:type="dxa"/>
            <w:shd w:val="clear" w:color="auto" w:fill="D4E3F5"/>
          </w:tcPr>
          <w:p>
            <w:pPr>
              <w:pStyle w:val="TableParagraph"/>
              <w:ind w:left="80"/>
              <w:jc w:val="left"/>
              <w:rPr>
                <w:sz w:val="14"/>
              </w:rPr>
            </w:pPr>
            <w:r>
              <w:rPr>
                <w:color w:val="231F20"/>
                <w:spacing w:val="-2"/>
                <w:w w:val="90"/>
                <w:sz w:val="14"/>
              </w:rPr>
              <w:t>Albania</w:t>
            </w:r>
          </w:p>
        </w:tc>
        <w:tc>
          <w:tcPr>
            <w:tcW w:w="1558" w:type="dxa"/>
            <w:shd w:val="clear" w:color="auto" w:fill="D4E3F5"/>
          </w:tcPr>
          <w:p>
            <w:pPr>
              <w:pStyle w:val="TableParagraph"/>
              <w:ind w:left="702"/>
              <w:jc w:val="left"/>
              <w:rPr>
                <w:sz w:val="14"/>
              </w:rPr>
            </w:pPr>
            <w:r>
              <w:rPr>
                <w:color w:val="231F20"/>
                <w:spacing w:val="-4"/>
                <w:w w:val="95"/>
                <w:sz w:val="14"/>
              </w:rPr>
              <w:t>80.5</w:t>
            </w:r>
          </w:p>
        </w:tc>
        <w:tc>
          <w:tcPr>
            <w:tcW w:w="1563" w:type="dxa"/>
            <w:shd w:val="clear" w:color="auto" w:fill="D4E3F5"/>
          </w:tcPr>
          <w:p>
            <w:pPr>
              <w:pStyle w:val="TableParagraph"/>
              <w:ind w:left="85" w:right="88"/>
              <w:rPr>
                <w:sz w:val="14"/>
              </w:rPr>
            </w:pPr>
            <w:r>
              <w:rPr>
                <w:color w:val="231F20"/>
                <w:spacing w:val="-5"/>
                <w:w w:val="95"/>
                <w:sz w:val="14"/>
              </w:rPr>
              <w:t>1.7</w:t>
            </w:r>
          </w:p>
        </w:tc>
        <w:tc>
          <w:tcPr>
            <w:tcW w:w="1317" w:type="dxa"/>
            <w:shd w:val="clear" w:color="auto" w:fill="D4E3F5"/>
          </w:tcPr>
          <w:p>
            <w:pPr>
              <w:pStyle w:val="TableParagraph"/>
              <w:ind w:left="183"/>
              <w:rPr>
                <w:sz w:val="14"/>
              </w:rPr>
            </w:pPr>
            <w:r>
              <w:rPr>
                <w:color w:val="231F20"/>
                <w:spacing w:val="-5"/>
                <w:w w:val="95"/>
                <w:sz w:val="14"/>
              </w:rPr>
              <w:t>0.9</w:t>
            </w:r>
          </w:p>
        </w:tc>
        <w:tc>
          <w:tcPr>
            <w:tcW w:w="1727" w:type="dxa"/>
            <w:shd w:val="clear" w:color="auto" w:fill="D4E3F5"/>
          </w:tcPr>
          <w:p>
            <w:pPr>
              <w:pStyle w:val="TableParagraph"/>
              <w:ind w:left="226" w:right="27"/>
              <w:rPr>
                <w:sz w:val="14"/>
              </w:rPr>
            </w:pPr>
            <w:r>
              <w:rPr>
                <w:color w:val="231F20"/>
                <w:spacing w:val="-5"/>
                <w:w w:val="95"/>
                <w:sz w:val="14"/>
              </w:rPr>
              <w:t>1.1</w:t>
            </w:r>
          </w:p>
        </w:tc>
      </w:tr>
      <w:tr>
        <w:trPr>
          <w:trHeight w:val="259" w:hRule="atLeast"/>
        </w:trPr>
        <w:tc>
          <w:tcPr>
            <w:tcW w:w="1514" w:type="dxa"/>
          </w:tcPr>
          <w:p>
            <w:pPr>
              <w:pStyle w:val="TableParagraph"/>
              <w:ind w:left="80"/>
              <w:jc w:val="left"/>
              <w:rPr>
                <w:sz w:val="14"/>
              </w:rPr>
            </w:pPr>
            <w:r>
              <w:rPr>
                <w:color w:val="231F20"/>
                <w:spacing w:val="-2"/>
                <w:w w:val="90"/>
                <w:sz w:val="14"/>
              </w:rPr>
              <w:t>Algeria</w:t>
            </w:r>
          </w:p>
        </w:tc>
        <w:tc>
          <w:tcPr>
            <w:tcW w:w="1558" w:type="dxa"/>
          </w:tcPr>
          <w:p>
            <w:pPr>
              <w:pStyle w:val="TableParagraph"/>
              <w:ind w:left="705"/>
              <w:jc w:val="left"/>
              <w:rPr>
                <w:sz w:val="14"/>
              </w:rPr>
            </w:pPr>
            <w:r>
              <w:rPr>
                <w:color w:val="231F20"/>
                <w:spacing w:val="-5"/>
                <w:w w:val="95"/>
                <w:sz w:val="14"/>
              </w:rPr>
              <w:t>87</w:t>
            </w:r>
          </w:p>
        </w:tc>
        <w:tc>
          <w:tcPr>
            <w:tcW w:w="1563" w:type="dxa"/>
          </w:tcPr>
          <w:p>
            <w:pPr>
              <w:pStyle w:val="TableParagraph"/>
              <w:ind w:left="76" w:right="88"/>
              <w:rPr>
                <w:sz w:val="14"/>
              </w:rPr>
            </w:pPr>
            <w:r>
              <w:rPr>
                <w:color w:val="231F20"/>
                <w:spacing w:val="-5"/>
                <w:w w:val="95"/>
                <w:sz w:val="14"/>
              </w:rPr>
              <w:t>6.7</w:t>
            </w:r>
          </w:p>
        </w:tc>
        <w:tc>
          <w:tcPr>
            <w:tcW w:w="1317" w:type="dxa"/>
          </w:tcPr>
          <w:p>
            <w:pPr>
              <w:pStyle w:val="TableParagraph"/>
              <w:ind w:left="183"/>
              <w:rPr>
                <w:sz w:val="14"/>
              </w:rPr>
            </w:pPr>
            <w:r>
              <w:rPr>
                <w:color w:val="231F20"/>
                <w:spacing w:val="-5"/>
                <w:w w:val="95"/>
                <w:sz w:val="14"/>
              </w:rPr>
              <w:t>5.0</w:t>
            </w:r>
          </w:p>
        </w:tc>
        <w:tc>
          <w:tcPr>
            <w:tcW w:w="1727" w:type="dxa"/>
          </w:tcPr>
          <w:p>
            <w:pPr>
              <w:pStyle w:val="TableParagraph"/>
              <w:ind w:left="226" w:right="34"/>
              <w:rPr>
                <w:sz w:val="14"/>
              </w:rPr>
            </w:pPr>
            <w:r>
              <w:rPr>
                <w:color w:val="231F20"/>
                <w:spacing w:val="-5"/>
                <w:w w:val="95"/>
                <w:sz w:val="14"/>
              </w:rPr>
              <w:t>5.1</w:t>
            </w:r>
          </w:p>
        </w:tc>
      </w:tr>
      <w:tr>
        <w:trPr>
          <w:trHeight w:val="259" w:hRule="atLeast"/>
        </w:trPr>
        <w:tc>
          <w:tcPr>
            <w:tcW w:w="1514" w:type="dxa"/>
            <w:shd w:val="clear" w:color="auto" w:fill="D4E3F5"/>
          </w:tcPr>
          <w:p>
            <w:pPr>
              <w:pStyle w:val="TableParagraph"/>
              <w:ind w:left="80"/>
              <w:jc w:val="left"/>
              <w:rPr>
                <w:sz w:val="14"/>
              </w:rPr>
            </w:pPr>
            <w:r>
              <w:rPr>
                <w:color w:val="231F20"/>
                <w:spacing w:val="-2"/>
                <w:w w:val="85"/>
                <w:sz w:val="14"/>
              </w:rPr>
              <w:t>Angola</w:t>
            </w:r>
          </w:p>
        </w:tc>
        <w:tc>
          <w:tcPr>
            <w:tcW w:w="1558" w:type="dxa"/>
            <w:shd w:val="clear" w:color="auto" w:fill="D4E3F5"/>
          </w:tcPr>
          <w:p>
            <w:pPr>
              <w:pStyle w:val="TableParagraph"/>
              <w:ind w:left="700"/>
              <w:jc w:val="left"/>
              <w:rPr>
                <w:sz w:val="14"/>
              </w:rPr>
            </w:pPr>
            <w:r>
              <w:rPr>
                <w:color w:val="231F20"/>
                <w:spacing w:val="-4"/>
                <w:w w:val="95"/>
                <w:sz w:val="14"/>
              </w:rPr>
              <w:t>53.5</w:t>
            </w:r>
          </w:p>
        </w:tc>
        <w:tc>
          <w:tcPr>
            <w:tcW w:w="1563" w:type="dxa"/>
            <w:shd w:val="clear" w:color="auto" w:fill="D4E3F5"/>
          </w:tcPr>
          <w:p>
            <w:pPr>
              <w:pStyle w:val="TableParagraph"/>
              <w:ind w:left="18" w:right="88"/>
              <w:rPr>
                <w:sz w:val="14"/>
              </w:rPr>
            </w:pPr>
            <w:r>
              <w:rPr>
                <w:color w:val="231F20"/>
                <w:spacing w:val="-4"/>
                <w:w w:val="95"/>
                <w:sz w:val="14"/>
              </w:rPr>
              <w:t>13.0</w:t>
            </w:r>
          </w:p>
        </w:tc>
        <w:tc>
          <w:tcPr>
            <w:tcW w:w="1317" w:type="dxa"/>
            <w:shd w:val="clear" w:color="auto" w:fill="D4E3F5"/>
          </w:tcPr>
          <w:p>
            <w:pPr>
              <w:pStyle w:val="TableParagraph"/>
              <w:ind w:left="184"/>
              <w:rPr>
                <w:sz w:val="14"/>
              </w:rPr>
            </w:pPr>
            <w:r>
              <w:rPr>
                <w:color w:val="231F20"/>
                <w:spacing w:val="-5"/>
                <w:w w:val="95"/>
                <w:sz w:val="14"/>
              </w:rPr>
              <w:t>4.9</w:t>
            </w:r>
          </w:p>
        </w:tc>
        <w:tc>
          <w:tcPr>
            <w:tcW w:w="1727" w:type="dxa"/>
            <w:shd w:val="clear" w:color="auto" w:fill="D4E3F5"/>
          </w:tcPr>
          <w:p>
            <w:pPr>
              <w:pStyle w:val="TableParagraph"/>
              <w:ind w:left="226" w:right="83"/>
              <w:rPr>
                <w:sz w:val="14"/>
              </w:rPr>
            </w:pPr>
            <w:r>
              <w:rPr>
                <w:color w:val="231F20"/>
                <w:spacing w:val="-4"/>
                <w:w w:val="95"/>
                <w:sz w:val="14"/>
              </w:rPr>
              <w:t>16.7</w:t>
            </w:r>
          </w:p>
        </w:tc>
      </w:tr>
      <w:tr>
        <w:trPr>
          <w:trHeight w:val="259" w:hRule="atLeast"/>
        </w:trPr>
        <w:tc>
          <w:tcPr>
            <w:tcW w:w="1514" w:type="dxa"/>
          </w:tcPr>
          <w:p>
            <w:pPr>
              <w:pStyle w:val="TableParagraph"/>
              <w:ind w:left="80"/>
              <w:jc w:val="left"/>
              <w:rPr>
                <w:sz w:val="14"/>
              </w:rPr>
            </w:pPr>
            <w:r>
              <w:rPr>
                <w:color w:val="231F20"/>
                <w:spacing w:val="-2"/>
                <w:w w:val="90"/>
                <w:sz w:val="14"/>
              </w:rPr>
              <w:t>Argentina</w:t>
            </w:r>
          </w:p>
        </w:tc>
        <w:tc>
          <w:tcPr>
            <w:tcW w:w="1558" w:type="dxa"/>
          </w:tcPr>
          <w:p>
            <w:pPr>
              <w:pStyle w:val="TableParagraph"/>
              <w:ind w:left="702"/>
              <w:jc w:val="left"/>
              <w:rPr>
                <w:sz w:val="14"/>
              </w:rPr>
            </w:pPr>
            <w:r>
              <w:rPr>
                <w:color w:val="231F20"/>
                <w:spacing w:val="-4"/>
                <w:w w:val="95"/>
                <w:sz w:val="14"/>
              </w:rPr>
              <w:t>80.5</w:t>
            </w:r>
          </w:p>
        </w:tc>
        <w:tc>
          <w:tcPr>
            <w:tcW w:w="1563" w:type="dxa"/>
          </w:tcPr>
          <w:p>
            <w:pPr>
              <w:pStyle w:val="TableParagraph"/>
              <w:ind w:left="24" w:right="88"/>
              <w:rPr>
                <w:sz w:val="14"/>
              </w:rPr>
            </w:pPr>
            <w:r>
              <w:rPr>
                <w:color w:val="231F20"/>
                <w:spacing w:val="-4"/>
                <w:w w:val="95"/>
                <w:sz w:val="14"/>
              </w:rPr>
              <w:t>27.0</w:t>
            </w:r>
          </w:p>
        </w:tc>
        <w:tc>
          <w:tcPr>
            <w:tcW w:w="1317" w:type="dxa"/>
          </w:tcPr>
          <w:p>
            <w:pPr>
              <w:pStyle w:val="TableParagraph"/>
              <w:ind w:left="102"/>
              <w:rPr>
                <w:sz w:val="14"/>
              </w:rPr>
            </w:pPr>
            <w:r>
              <w:rPr>
                <w:color w:val="231F20"/>
                <w:spacing w:val="-4"/>
                <w:w w:val="95"/>
                <w:sz w:val="14"/>
              </w:rPr>
              <w:t>21.1</w:t>
            </w:r>
          </w:p>
        </w:tc>
        <w:tc>
          <w:tcPr>
            <w:tcW w:w="1727" w:type="dxa"/>
          </w:tcPr>
          <w:p>
            <w:pPr>
              <w:pStyle w:val="TableParagraph"/>
              <w:ind w:left="226" w:right="86"/>
              <w:rPr>
                <w:sz w:val="14"/>
              </w:rPr>
            </w:pPr>
            <w:r>
              <w:rPr>
                <w:color w:val="231F20"/>
                <w:spacing w:val="-4"/>
                <w:w w:val="95"/>
                <w:sz w:val="14"/>
              </w:rPr>
              <w:t>34.8</w:t>
            </w:r>
          </w:p>
        </w:tc>
      </w:tr>
      <w:tr>
        <w:trPr>
          <w:trHeight w:val="259" w:hRule="atLeast"/>
        </w:trPr>
        <w:tc>
          <w:tcPr>
            <w:tcW w:w="1514" w:type="dxa"/>
            <w:shd w:val="clear" w:color="auto" w:fill="D4E3F5"/>
          </w:tcPr>
          <w:p>
            <w:pPr>
              <w:pStyle w:val="TableParagraph"/>
              <w:ind w:left="80"/>
              <w:jc w:val="left"/>
              <w:rPr>
                <w:sz w:val="14"/>
              </w:rPr>
            </w:pPr>
            <w:r>
              <w:rPr>
                <w:color w:val="231F20"/>
                <w:spacing w:val="-2"/>
                <w:w w:val="90"/>
                <w:sz w:val="14"/>
              </w:rPr>
              <w:t>Armenia</w:t>
            </w:r>
          </w:p>
        </w:tc>
        <w:tc>
          <w:tcPr>
            <w:tcW w:w="1558" w:type="dxa"/>
            <w:shd w:val="clear" w:color="auto" w:fill="D4E3F5"/>
          </w:tcPr>
          <w:p>
            <w:pPr>
              <w:pStyle w:val="TableParagraph"/>
              <w:ind w:left="704"/>
              <w:jc w:val="left"/>
              <w:rPr>
                <w:sz w:val="14"/>
              </w:rPr>
            </w:pPr>
            <w:r>
              <w:rPr>
                <w:color w:val="231F20"/>
                <w:spacing w:val="-5"/>
                <w:w w:val="95"/>
                <w:sz w:val="14"/>
              </w:rPr>
              <w:t>62</w:t>
            </w:r>
          </w:p>
        </w:tc>
        <w:tc>
          <w:tcPr>
            <w:tcW w:w="1563" w:type="dxa"/>
            <w:shd w:val="clear" w:color="auto" w:fill="D4E3F5"/>
          </w:tcPr>
          <w:p>
            <w:pPr>
              <w:pStyle w:val="TableParagraph"/>
              <w:ind w:left="81" w:right="88"/>
              <w:rPr>
                <w:sz w:val="14"/>
              </w:rPr>
            </w:pPr>
            <w:r>
              <w:rPr>
                <w:color w:val="231F20"/>
                <w:spacing w:val="-5"/>
                <w:w w:val="95"/>
                <w:sz w:val="14"/>
              </w:rPr>
              <w:t>6.3</w:t>
            </w:r>
          </w:p>
        </w:tc>
        <w:tc>
          <w:tcPr>
            <w:tcW w:w="1317" w:type="dxa"/>
            <w:shd w:val="clear" w:color="auto" w:fill="D4E3F5"/>
          </w:tcPr>
          <w:p>
            <w:pPr>
              <w:pStyle w:val="TableParagraph"/>
              <w:ind w:left="193" w:right="8"/>
              <w:rPr>
                <w:sz w:val="14"/>
              </w:rPr>
            </w:pPr>
            <w:r>
              <w:rPr>
                <w:color w:val="231F20"/>
                <w:spacing w:val="-5"/>
                <w:w w:val="95"/>
                <w:sz w:val="14"/>
              </w:rPr>
              <w:t>4.2</w:t>
            </w:r>
          </w:p>
        </w:tc>
        <w:tc>
          <w:tcPr>
            <w:tcW w:w="1727" w:type="dxa"/>
            <w:shd w:val="clear" w:color="auto" w:fill="D4E3F5"/>
          </w:tcPr>
          <w:p>
            <w:pPr>
              <w:pStyle w:val="TableParagraph"/>
              <w:ind w:left="226" w:right="15"/>
              <w:rPr>
                <w:sz w:val="14"/>
              </w:rPr>
            </w:pPr>
            <w:r>
              <w:rPr>
                <w:color w:val="231F20"/>
                <w:spacing w:val="-5"/>
                <w:w w:val="95"/>
                <w:sz w:val="14"/>
              </w:rPr>
              <w:t>5.0</w:t>
            </w:r>
          </w:p>
        </w:tc>
      </w:tr>
      <w:tr>
        <w:trPr>
          <w:trHeight w:val="259" w:hRule="atLeast"/>
        </w:trPr>
        <w:tc>
          <w:tcPr>
            <w:tcW w:w="1514" w:type="dxa"/>
          </w:tcPr>
          <w:p>
            <w:pPr>
              <w:pStyle w:val="TableParagraph"/>
              <w:ind w:left="80"/>
              <w:jc w:val="left"/>
              <w:rPr>
                <w:sz w:val="14"/>
              </w:rPr>
            </w:pPr>
            <w:r>
              <w:rPr>
                <w:color w:val="231F20"/>
                <w:spacing w:val="-2"/>
                <w:w w:val="90"/>
                <w:sz w:val="14"/>
              </w:rPr>
              <w:t>Australia</w:t>
            </w:r>
          </w:p>
        </w:tc>
        <w:tc>
          <w:tcPr>
            <w:tcW w:w="1558" w:type="dxa"/>
          </w:tcPr>
          <w:p>
            <w:pPr>
              <w:pStyle w:val="TableParagraph"/>
              <w:ind w:left="645"/>
              <w:jc w:val="left"/>
              <w:rPr>
                <w:sz w:val="14"/>
              </w:rPr>
            </w:pPr>
            <w:r>
              <w:rPr>
                <w:color w:val="231F20"/>
                <w:spacing w:val="-5"/>
                <w:w w:val="95"/>
                <w:sz w:val="14"/>
              </w:rPr>
              <w:t>147</w:t>
            </w:r>
          </w:p>
        </w:tc>
        <w:tc>
          <w:tcPr>
            <w:tcW w:w="1563" w:type="dxa"/>
          </w:tcPr>
          <w:p>
            <w:pPr>
              <w:pStyle w:val="TableParagraph"/>
              <w:ind w:left="76" w:right="88"/>
              <w:rPr>
                <w:sz w:val="14"/>
              </w:rPr>
            </w:pPr>
            <w:r>
              <w:rPr>
                <w:color w:val="231F20"/>
                <w:spacing w:val="-5"/>
                <w:w w:val="95"/>
                <w:sz w:val="14"/>
              </w:rPr>
              <w:t>3.7</w:t>
            </w:r>
          </w:p>
        </w:tc>
        <w:tc>
          <w:tcPr>
            <w:tcW w:w="1317" w:type="dxa"/>
          </w:tcPr>
          <w:p>
            <w:pPr>
              <w:pStyle w:val="TableParagraph"/>
              <w:ind w:left="183"/>
              <w:rPr>
                <w:sz w:val="14"/>
              </w:rPr>
            </w:pPr>
            <w:r>
              <w:rPr>
                <w:color w:val="231F20"/>
                <w:spacing w:val="-5"/>
                <w:w w:val="95"/>
                <w:sz w:val="14"/>
              </w:rPr>
              <w:t>2.9</w:t>
            </w:r>
          </w:p>
        </w:tc>
        <w:tc>
          <w:tcPr>
            <w:tcW w:w="1727" w:type="dxa"/>
          </w:tcPr>
          <w:p>
            <w:pPr>
              <w:pStyle w:val="TableParagraph"/>
              <w:ind w:left="226" w:right="16"/>
              <w:rPr>
                <w:sz w:val="14"/>
              </w:rPr>
            </w:pPr>
            <w:r>
              <w:rPr>
                <w:color w:val="231F20"/>
                <w:spacing w:val="-5"/>
                <w:w w:val="95"/>
                <w:sz w:val="14"/>
              </w:rPr>
              <w:t>3.0</w:t>
            </w:r>
          </w:p>
        </w:tc>
      </w:tr>
      <w:tr>
        <w:trPr>
          <w:trHeight w:val="259" w:hRule="atLeast"/>
        </w:trPr>
        <w:tc>
          <w:tcPr>
            <w:tcW w:w="1514" w:type="dxa"/>
            <w:shd w:val="clear" w:color="auto" w:fill="D4E3F5"/>
          </w:tcPr>
          <w:p>
            <w:pPr>
              <w:pStyle w:val="TableParagraph"/>
              <w:ind w:left="80"/>
              <w:jc w:val="left"/>
              <w:rPr>
                <w:sz w:val="14"/>
              </w:rPr>
            </w:pPr>
            <w:r>
              <w:rPr>
                <w:color w:val="231F20"/>
                <w:spacing w:val="-2"/>
                <w:w w:val="90"/>
                <w:sz w:val="14"/>
              </w:rPr>
              <w:t>Austria</w:t>
            </w:r>
          </w:p>
        </w:tc>
        <w:tc>
          <w:tcPr>
            <w:tcW w:w="1558" w:type="dxa"/>
            <w:shd w:val="clear" w:color="auto" w:fill="D4E3F5"/>
          </w:tcPr>
          <w:p>
            <w:pPr>
              <w:pStyle w:val="TableParagraph"/>
              <w:ind w:left="640"/>
              <w:jc w:val="left"/>
              <w:rPr>
                <w:sz w:val="14"/>
              </w:rPr>
            </w:pPr>
            <w:r>
              <w:rPr>
                <w:color w:val="231F20"/>
                <w:spacing w:val="-5"/>
                <w:w w:val="95"/>
                <w:sz w:val="14"/>
              </w:rPr>
              <w:t>138</w:t>
            </w:r>
          </w:p>
        </w:tc>
        <w:tc>
          <w:tcPr>
            <w:tcW w:w="1563" w:type="dxa"/>
            <w:shd w:val="clear" w:color="auto" w:fill="D4E3F5"/>
          </w:tcPr>
          <w:p>
            <w:pPr>
              <w:pStyle w:val="TableParagraph"/>
              <w:ind w:left="83" w:right="88"/>
              <w:rPr>
                <w:sz w:val="14"/>
              </w:rPr>
            </w:pPr>
            <w:r>
              <w:rPr>
                <w:color w:val="231F20"/>
                <w:spacing w:val="-5"/>
                <w:w w:val="95"/>
                <w:sz w:val="14"/>
              </w:rPr>
              <w:t>3.8</w:t>
            </w:r>
          </w:p>
        </w:tc>
        <w:tc>
          <w:tcPr>
            <w:tcW w:w="1317" w:type="dxa"/>
            <w:shd w:val="clear" w:color="auto" w:fill="D4E3F5"/>
          </w:tcPr>
          <w:p>
            <w:pPr>
              <w:pStyle w:val="TableParagraph"/>
              <w:ind w:left="193" w:right="3"/>
              <w:rPr>
                <w:sz w:val="14"/>
              </w:rPr>
            </w:pPr>
            <w:r>
              <w:rPr>
                <w:color w:val="231F20"/>
                <w:spacing w:val="-5"/>
                <w:w w:val="95"/>
                <w:sz w:val="14"/>
              </w:rPr>
              <w:t>1.8</w:t>
            </w:r>
          </w:p>
        </w:tc>
        <w:tc>
          <w:tcPr>
            <w:tcW w:w="1727" w:type="dxa"/>
            <w:shd w:val="clear" w:color="auto" w:fill="D4E3F5"/>
          </w:tcPr>
          <w:p>
            <w:pPr>
              <w:pStyle w:val="TableParagraph"/>
              <w:ind w:left="226" w:right="18"/>
              <w:rPr>
                <w:sz w:val="14"/>
              </w:rPr>
            </w:pPr>
            <w:r>
              <w:rPr>
                <w:color w:val="231F20"/>
                <w:spacing w:val="-5"/>
                <w:w w:val="95"/>
                <w:sz w:val="14"/>
              </w:rPr>
              <w:t>3.4</w:t>
            </w:r>
          </w:p>
        </w:tc>
      </w:tr>
      <w:tr>
        <w:trPr>
          <w:trHeight w:val="259" w:hRule="atLeast"/>
        </w:trPr>
        <w:tc>
          <w:tcPr>
            <w:tcW w:w="1514" w:type="dxa"/>
          </w:tcPr>
          <w:p>
            <w:pPr>
              <w:pStyle w:val="TableParagraph"/>
              <w:ind w:left="80"/>
              <w:jc w:val="left"/>
              <w:rPr>
                <w:sz w:val="14"/>
              </w:rPr>
            </w:pPr>
            <w:r>
              <w:rPr>
                <w:color w:val="231F20"/>
                <w:w w:val="75"/>
                <w:sz w:val="14"/>
              </w:rPr>
              <w:t>Bahamas,</w:t>
            </w:r>
            <w:r>
              <w:rPr>
                <w:color w:val="231F20"/>
                <w:spacing w:val="23"/>
                <w:sz w:val="14"/>
              </w:rPr>
              <w:t> </w:t>
            </w:r>
            <w:r>
              <w:rPr>
                <w:color w:val="231F20"/>
                <w:spacing w:val="-5"/>
                <w:w w:val="85"/>
                <w:sz w:val="14"/>
              </w:rPr>
              <w:t>The</w:t>
            </w:r>
          </w:p>
        </w:tc>
        <w:tc>
          <w:tcPr>
            <w:tcW w:w="1558" w:type="dxa"/>
          </w:tcPr>
          <w:p>
            <w:pPr>
              <w:pStyle w:val="TableParagraph"/>
              <w:ind w:left="703"/>
              <w:jc w:val="left"/>
              <w:rPr>
                <w:sz w:val="14"/>
              </w:rPr>
            </w:pPr>
            <w:r>
              <w:rPr>
                <w:color w:val="231F20"/>
                <w:spacing w:val="-4"/>
                <w:w w:val="95"/>
                <w:sz w:val="14"/>
              </w:rPr>
              <w:t>25.5</w:t>
            </w:r>
          </w:p>
        </w:tc>
        <w:tc>
          <w:tcPr>
            <w:tcW w:w="1563" w:type="dxa"/>
          </w:tcPr>
          <w:p>
            <w:pPr>
              <w:pStyle w:val="TableParagraph"/>
              <w:ind w:left="83" w:right="88"/>
              <w:rPr>
                <w:sz w:val="14"/>
              </w:rPr>
            </w:pPr>
            <w:r>
              <w:rPr>
                <w:color w:val="231F20"/>
                <w:spacing w:val="-5"/>
                <w:w w:val="95"/>
                <w:sz w:val="14"/>
              </w:rPr>
              <w:t>2.2</w:t>
            </w:r>
          </w:p>
        </w:tc>
        <w:tc>
          <w:tcPr>
            <w:tcW w:w="1317" w:type="dxa"/>
          </w:tcPr>
          <w:p>
            <w:pPr>
              <w:pStyle w:val="TableParagraph"/>
              <w:ind w:left="183"/>
              <w:rPr>
                <w:sz w:val="14"/>
              </w:rPr>
            </w:pPr>
            <w:r>
              <w:rPr>
                <w:color w:val="231F20"/>
                <w:spacing w:val="-5"/>
                <w:w w:val="95"/>
                <w:sz w:val="14"/>
              </w:rPr>
              <w:t>0.0</w:t>
            </w:r>
          </w:p>
        </w:tc>
        <w:tc>
          <w:tcPr>
            <w:tcW w:w="1727" w:type="dxa"/>
          </w:tcPr>
          <w:p>
            <w:pPr>
              <w:pStyle w:val="TableParagraph"/>
              <w:ind w:left="226" w:right="15"/>
              <w:rPr>
                <w:sz w:val="14"/>
              </w:rPr>
            </w:pPr>
            <w:r>
              <w:rPr>
                <w:color w:val="231F20"/>
                <w:spacing w:val="-5"/>
                <w:w w:val="95"/>
                <w:sz w:val="14"/>
              </w:rPr>
              <w:t>0.0</w:t>
            </w:r>
          </w:p>
        </w:tc>
      </w:tr>
      <w:tr>
        <w:trPr>
          <w:trHeight w:val="259" w:hRule="atLeast"/>
        </w:trPr>
        <w:tc>
          <w:tcPr>
            <w:tcW w:w="1514" w:type="dxa"/>
            <w:shd w:val="clear" w:color="auto" w:fill="D4E3F5"/>
          </w:tcPr>
          <w:p>
            <w:pPr>
              <w:pStyle w:val="TableParagraph"/>
              <w:ind w:left="80"/>
              <w:jc w:val="left"/>
              <w:rPr>
                <w:sz w:val="14"/>
              </w:rPr>
            </w:pPr>
            <w:r>
              <w:rPr>
                <w:color w:val="231F20"/>
                <w:spacing w:val="-2"/>
                <w:w w:val="90"/>
                <w:sz w:val="14"/>
              </w:rPr>
              <w:t>Bahrain</w:t>
            </w:r>
          </w:p>
        </w:tc>
        <w:tc>
          <w:tcPr>
            <w:tcW w:w="1558" w:type="dxa"/>
            <w:shd w:val="clear" w:color="auto" w:fill="D4E3F5"/>
          </w:tcPr>
          <w:p>
            <w:pPr>
              <w:pStyle w:val="TableParagraph"/>
              <w:ind w:left="706"/>
              <w:jc w:val="left"/>
              <w:rPr>
                <w:sz w:val="14"/>
              </w:rPr>
            </w:pPr>
            <w:r>
              <w:rPr>
                <w:color w:val="231F20"/>
                <w:spacing w:val="-5"/>
                <w:w w:val="95"/>
                <w:sz w:val="14"/>
              </w:rPr>
              <w:t>75</w:t>
            </w:r>
          </w:p>
        </w:tc>
        <w:tc>
          <w:tcPr>
            <w:tcW w:w="1563" w:type="dxa"/>
            <w:shd w:val="clear" w:color="auto" w:fill="D4E3F5"/>
          </w:tcPr>
          <w:p>
            <w:pPr>
              <w:pStyle w:val="TableParagraph"/>
              <w:ind w:left="91" w:right="88"/>
              <w:rPr>
                <w:sz w:val="14"/>
              </w:rPr>
            </w:pPr>
            <w:r>
              <w:rPr>
                <w:color w:val="231F20"/>
                <w:spacing w:val="-5"/>
                <w:w w:val="95"/>
                <w:sz w:val="14"/>
              </w:rPr>
              <w:t>7.9</w:t>
            </w:r>
          </w:p>
        </w:tc>
        <w:tc>
          <w:tcPr>
            <w:tcW w:w="1317" w:type="dxa"/>
            <w:shd w:val="clear" w:color="auto" w:fill="D4E3F5"/>
          </w:tcPr>
          <w:p>
            <w:pPr>
              <w:pStyle w:val="TableParagraph"/>
              <w:ind w:left="177"/>
              <w:rPr>
                <w:sz w:val="14"/>
              </w:rPr>
            </w:pPr>
            <w:r>
              <w:rPr>
                <w:color w:val="231F20"/>
                <w:spacing w:val="-5"/>
                <w:w w:val="95"/>
                <w:sz w:val="14"/>
              </w:rPr>
              <w:t>6.7</w:t>
            </w:r>
          </w:p>
        </w:tc>
        <w:tc>
          <w:tcPr>
            <w:tcW w:w="1727" w:type="dxa"/>
            <w:shd w:val="clear" w:color="auto" w:fill="D4E3F5"/>
          </w:tcPr>
          <w:p>
            <w:pPr>
              <w:pStyle w:val="TableParagraph"/>
              <w:ind w:left="226" w:right="2"/>
              <w:rPr>
                <w:sz w:val="14"/>
              </w:rPr>
            </w:pPr>
            <w:r>
              <w:rPr>
                <w:color w:val="231F20"/>
                <w:spacing w:val="-5"/>
                <w:w w:val="95"/>
                <w:sz w:val="14"/>
              </w:rPr>
              <w:t>7.8</w:t>
            </w:r>
          </w:p>
        </w:tc>
      </w:tr>
      <w:tr>
        <w:trPr>
          <w:trHeight w:val="259" w:hRule="atLeast"/>
        </w:trPr>
        <w:tc>
          <w:tcPr>
            <w:tcW w:w="1514" w:type="dxa"/>
          </w:tcPr>
          <w:p>
            <w:pPr>
              <w:pStyle w:val="TableParagraph"/>
              <w:ind w:left="80"/>
              <w:jc w:val="left"/>
              <w:rPr>
                <w:sz w:val="14"/>
              </w:rPr>
            </w:pPr>
            <w:r>
              <w:rPr>
                <w:color w:val="231F20"/>
                <w:spacing w:val="-2"/>
                <w:w w:val="90"/>
                <w:sz w:val="14"/>
              </w:rPr>
              <w:t>Bangladesh</w:t>
            </w:r>
          </w:p>
        </w:tc>
        <w:tc>
          <w:tcPr>
            <w:tcW w:w="1558" w:type="dxa"/>
          </w:tcPr>
          <w:p>
            <w:pPr>
              <w:pStyle w:val="TableParagraph"/>
              <w:ind w:left="706"/>
              <w:jc w:val="left"/>
              <w:rPr>
                <w:sz w:val="14"/>
              </w:rPr>
            </w:pPr>
            <w:r>
              <w:rPr>
                <w:color w:val="231F20"/>
                <w:spacing w:val="-5"/>
                <w:w w:val="95"/>
                <w:sz w:val="14"/>
              </w:rPr>
              <w:t>97</w:t>
            </w:r>
          </w:p>
        </w:tc>
        <w:tc>
          <w:tcPr>
            <w:tcW w:w="1563" w:type="dxa"/>
          </w:tcPr>
          <w:p>
            <w:pPr>
              <w:pStyle w:val="TableParagraph"/>
              <w:ind w:left="83" w:right="88"/>
              <w:rPr>
                <w:sz w:val="14"/>
              </w:rPr>
            </w:pPr>
            <w:r>
              <w:rPr>
                <w:color w:val="231F20"/>
                <w:spacing w:val="-5"/>
                <w:w w:val="95"/>
                <w:sz w:val="14"/>
              </w:rPr>
              <w:t>6.9</w:t>
            </w:r>
          </w:p>
        </w:tc>
        <w:tc>
          <w:tcPr>
            <w:tcW w:w="1317" w:type="dxa"/>
          </w:tcPr>
          <w:p>
            <w:pPr>
              <w:pStyle w:val="TableParagraph"/>
              <w:ind w:left="184"/>
              <w:rPr>
                <w:sz w:val="14"/>
              </w:rPr>
            </w:pPr>
            <w:r>
              <w:rPr>
                <w:color w:val="231F20"/>
                <w:spacing w:val="-5"/>
                <w:w w:val="95"/>
                <w:sz w:val="14"/>
              </w:rPr>
              <w:t>5.2</w:t>
            </w:r>
          </w:p>
        </w:tc>
        <w:tc>
          <w:tcPr>
            <w:tcW w:w="1727" w:type="dxa"/>
          </w:tcPr>
          <w:p>
            <w:pPr>
              <w:pStyle w:val="TableParagraph"/>
              <w:ind w:left="226" w:right="15"/>
              <w:rPr>
                <w:sz w:val="14"/>
              </w:rPr>
            </w:pPr>
            <w:r>
              <w:rPr>
                <w:color w:val="231F20"/>
                <w:spacing w:val="-5"/>
                <w:w w:val="95"/>
                <w:sz w:val="14"/>
              </w:rPr>
              <w:t>4.0</w:t>
            </w:r>
          </w:p>
        </w:tc>
      </w:tr>
      <w:tr>
        <w:trPr>
          <w:trHeight w:val="259" w:hRule="atLeast"/>
        </w:trPr>
        <w:tc>
          <w:tcPr>
            <w:tcW w:w="1514" w:type="dxa"/>
            <w:shd w:val="clear" w:color="auto" w:fill="D4E3F5"/>
          </w:tcPr>
          <w:p>
            <w:pPr>
              <w:pStyle w:val="TableParagraph"/>
              <w:ind w:left="80"/>
              <w:jc w:val="left"/>
              <w:rPr>
                <w:sz w:val="14"/>
              </w:rPr>
            </w:pPr>
            <w:r>
              <w:rPr>
                <w:color w:val="231F20"/>
                <w:spacing w:val="-2"/>
                <w:w w:val="90"/>
                <w:sz w:val="14"/>
              </w:rPr>
              <w:t>Belarus</w:t>
            </w:r>
          </w:p>
        </w:tc>
        <w:tc>
          <w:tcPr>
            <w:tcW w:w="1558" w:type="dxa"/>
            <w:shd w:val="clear" w:color="auto" w:fill="D4E3F5"/>
          </w:tcPr>
          <w:p>
            <w:pPr>
              <w:pStyle w:val="TableParagraph"/>
              <w:ind w:left="640"/>
              <w:jc w:val="left"/>
              <w:rPr>
                <w:sz w:val="14"/>
              </w:rPr>
            </w:pPr>
            <w:r>
              <w:rPr>
                <w:color w:val="231F20"/>
                <w:spacing w:val="-5"/>
                <w:w w:val="95"/>
                <w:sz w:val="14"/>
              </w:rPr>
              <w:t>105</w:t>
            </w:r>
          </w:p>
        </w:tc>
        <w:tc>
          <w:tcPr>
            <w:tcW w:w="1563" w:type="dxa"/>
            <w:shd w:val="clear" w:color="auto" w:fill="D4E3F5"/>
          </w:tcPr>
          <w:p>
            <w:pPr>
              <w:pStyle w:val="TableParagraph"/>
              <w:ind w:left="65" w:right="88"/>
              <w:rPr>
                <w:sz w:val="14"/>
              </w:rPr>
            </w:pPr>
            <w:r>
              <w:rPr>
                <w:color w:val="231F20"/>
                <w:spacing w:val="-5"/>
                <w:w w:val="95"/>
                <w:sz w:val="14"/>
              </w:rPr>
              <w:t>4.1</w:t>
            </w:r>
          </w:p>
        </w:tc>
        <w:tc>
          <w:tcPr>
            <w:tcW w:w="1317" w:type="dxa"/>
            <w:shd w:val="clear" w:color="auto" w:fill="D4E3F5"/>
          </w:tcPr>
          <w:p>
            <w:pPr>
              <w:pStyle w:val="TableParagraph"/>
              <w:ind w:left="183"/>
              <w:rPr>
                <w:sz w:val="14"/>
              </w:rPr>
            </w:pPr>
            <w:r>
              <w:rPr>
                <w:color w:val="231F20"/>
                <w:spacing w:val="-5"/>
                <w:w w:val="95"/>
                <w:sz w:val="14"/>
              </w:rPr>
              <w:t>2.8</w:t>
            </w:r>
          </w:p>
        </w:tc>
        <w:tc>
          <w:tcPr>
            <w:tcW w:w="1727" w:type="dxa"/>
            <w:shd w:val="clear" w:color="auto" w:fill="D4E3F5"/>
          </w:tcPr>
          <w:p>
            <w:pPr>
              <w:pStyle w:val="TableParagraph"/>
              <w:ind w:left="226" w:right="15"/>
              <w:rPr>
                <w:sz w:val="14"/>
              </w:rPr>
            </w:pPr>
            <w:r>
              <w:rPr>
                <w:color w:val="231F20"/>
                <w:spacing w:val="-5"/>
                <w:w w:val="95"/>
                <w:sz w:val="14"/>
              </w:rPr>
              <w:t>4.0</w:t>
            </w:r>
          </w:p>
        </w:tc>
      </w:tr>
      <w:tr>
        <w:trPr>
          <w:trHeight w:val="259" w:hRule="atLeast"/>
        </w:trPr>
        <w:tc>
          <w:tcPr>
            <w:tcW w:w="1514" w:type="dxa"/>
          </w:tcPr>
          <w:p>
            <w:pPr>
              <w:pStyle w:val="TableParagraph"/>
              <w:ind w:left="80"/>
              <w:jc w:val="left"/>
              <w:rPr>
                <w:sz w:val="14"/>
              </w:rPr>
            </w:pPr>
            <w:r>
              <w:rPr>
                <w:color w:val="231F20"/>
                <w:spacing w:val="-2"/>
                <w:w w:val="90"/>
                <w:sz w:val="14"/>
              </w:rPr>
              <w:t>Belgium</w:t>
            </w:r>
          </w:p>
        </w:tc>
        <w:tc>
          <w:tcPr>
            <w:tcW w:w="1558" w:type="dxa"/>
          </w:tcPr>
          <w:p>
            <w:pPr>
              <w:pStyle w:val="TableParagraph"/>
              <w:ind w:left="654"/>
              <w:jc w:val="left"/>
              <w:rPr>
                <w:sz w:val="14"/>
              </w:rPr>
            </w:pPr>
            <w:r>
              <w:rPr>
                <w:color w:val="231F20"/>
                <w:spacing w:val="-2"/>
                <w:w w:val="95"/>
                <w:sz w:val="14"/>
              </w:rPr>
              <w:t>107.5</w:t>
            </w:r>
          </w:p>
        </w:tc>
        <w:tc>
          <w:tcPr>
            <w:tcW w:w="1563" w:type="dxa"/>
          </w:tcPr>
          <w:p>
            <w:pPr>
              <w:pStyle w:val="TableParagraph"/>
              <w:ind w:left="82" w:right="88"/>
              <w:rPr>
                <w:sz w:val="14"/>
              </w:rPr>
            </w:pPr>
            <w:r>
              <w:rPr>
                <w:color w:val="231F20"/>
                <w:spacing w:val="-5"/>
                <w:w w:val="95"/>
                <w:sz w:val="14"/>
              </w:rPr>
              <w:t>5.6</w:t>
            </w:r>
          </w:p>
        </w:tc>
        <w:tc>
          <w:tcPr>
            <w:tcW w:w="1317" w:type="dxa"/>
          </w:tcPr>
          <w:p>
            <w:pPr>
              <w:pStyle w:val="TableParagraph"/>
              <w:ind w:left="183"/>
              <w:rPr>
                <w:sz w:val="14"/>
              </w:rPr>
            </w:pPr>
            <w:r>
              <w:rPr>
                <w:color w:val="231F20"/>
                <w:spacing w:val="-5"/>
                <w:w w:val="95"/>
                <w:sz w:val="14"/>
              </w:rPr>
              <w:t>2.8</w:t>
            </w:r>
          </w:p>
        </w:tc>
        <w:tc>
          <w:tcPr>
            <w:tcW w:w="1727" w:type="dxa"/>
          </w:tcPr>
          <w:p>
            <w:pPr>
              <w:pStyle w:val="TableParagraph"/>
              <w:ind w:left="226" w:right="16"/>
              <w:rPr>
                <w:sz w:val="14"/>
              </w:rPr>
            </w:pPr>
            <w:r>
              <w:rPr>
                <w:color w:val="231F20"/>
                <w:spacing w:val="-5"/>
                <w:w w:val="95"/>
                <w:sz w:val="14"/>
              </w:rPr>
              <w:t>5.9</w:t>
            </w:r>
          </w:p>
        </w:tc>
      </w:tr>
      <w:tr>
        <w:trPr>
          <w:trHeight w:val="259" w:hRule="atLeast"/>
        </w:trPr>
        <w:tc>
          <w:tcPr>
            <w:tcW w:w="1514" w:type="dxa"/>
            <w:shd w:val="clear" w:color="auto" w:fill="D4E3F5"/>
          </w:tcPr>
          <w:p>
            <w:pPr>
              <w:pStyle w:val="TableParagraph"/>
              <w:ind w:left="80"/>
              <w:jc w:val="left"/>
              <w:rPr>
                <w:sz w:val="14"/>
              </w:rPr>
            </w:pPr>
            <w:r>
              <w:rPr>
                <w:color w:val="231F20"/>
                <w:spacing w:val="-2"/>
                <w:w w:val="90"/>
                <w:sz w:val="14"/>
              </w:rPr>
              <w:t>Benin</w:t>
            </w:r>
          </w:p>
        </w:tc>
        <w:tc>
          <w:tcPr>
            <w:tcW w:w="1558" w:type="dxa"/>
            <w:shd w:val="clear" w:color="auto" w:fill="D4E3F5"/>
          </w:tcPr>
          <w:p>
            <w:pPr>
              <w:pStyle w:val="TableParagraph"/>
              <w:ind w:left="703"/>
              <w:jc w:val="left"/>
              <w:rPr>
                <w:sz w:val="14"/>
              </w:rPr>
            </w:pPr>
            <w:r>
              <w:rPr>
                <w:color w:val="231F20"/>
                <w:spacing w:val="-4"/>
                <w:w w:val="95"/>
                <w:sz w:val="14"/>
              </w:rPr>
              <w:t>59.5</w:t>
            </w:r>
          </w:p>
        </w:tc>
        <w:tc>
          <w:tcPr>
            <w:tcW w:w="1563" w:type="dxa"/>
            <w:shd w:val="clear" w:color="auto" w:fill="D4E3F5"/>
          </w:tcPr>
          <w:p>
            <w:pPr>
              <w:pStyle w:val="TableParagraph"/>
              <w:ind w:left="83" w:right="88"/>
              <w:rPr>
                <w:sz w:val="14"/>
              </w:rPr>
            </w:pPr>
            <w:r>
              <w:rPr>
                <w:color w:val="231F20"/>
                <w:spacing w:val="-5"/>
                <w:w w:val="95"/>
                <w:sz w:val="14"/>
              </w:rPr>
              <w:t>3.5</w:t>
            </w:r>
          </w:p>
        </w:tc>
        <w:tc>
          <w:tcPr>
            <w:tcW w:w="1317" w:type="dxa"/>
            <w:shd w:val="clear" w:color="auto" w:fill="D4E3F5"/>
          </w:tcPr>
          <w:p>
            <w:pPr>
              <w:pStyle w:val="TableParagraph"/>
              <w:ind w:left="184"/>
              <w:rPr>
                <w:sz w:val="14"/>
              </w:rPr>
            </w:pPr>
            <w:r>
              <w:rPr>
                <w:color w:val="231F20"/>
                <w:spacing w:val="-5"/>
                <w:w w:val="95"/>
                <w:sz w:val="14"/>
              </w:rPr>
              <w:t>0.2</w:t>
            </w:r>
          </w:p>
        </w:tc>
        <w:tc>
          <w:tcPr>
            <w:tcW w:w="1727" w:type="dxa"/>
            <w:shd w:val="clear" w:color="auto" w:fill="D4E3F5"/>
          </w:tcPr>
          <w:p>
            <w:pPr>
              <w:pStyle w:val="TableParagraph"/>
              <w:ind w:left="226" w:right="15"/>
              <w:rPr>
                <w:sz w:val="14"/>
              </w:rPr>
            </w:pPr>
            <w:r>
              <w:rPr>
                <w:color w:val="231F20"/>
                <w:spacing w:val="-5"/>
                <w:w w:val="95"/>
                <w:sz w:val="14"/>
              </w:rPr>
              <w:t>2.0</w:t>
            </w:r>
          </w:p>
        </w:tc>
      </w:tr>
      <w:tr>
        <w:trPr>
          <w:trHeight w:val="259" w:hRule="atLeast"/>
        </w:trPr>
        <w:tc>
          <w:tcPr>
            <w:tcW w:w="1514" w:type="dxa"/>
          </w:tcPr>
          <w:p>
            <w:pPr>
              <w:pStyle w:val="TableParagraph"/>
              <w:ind w:left="80"/>
              <w:jc w:val="left"/>
              <w:rPr>
                <w:sz w:val="14"/>
              </w:rPr>
            </w:pPr>
            <w:r>
              <w:rPr>
                <w:color w:val="231F20"/>
                <w:spacing w:val="-2"/>
                <w:w w:val="90"/>
                <w:sz w:val="14"/>
              </w:rPr>
              <w:t>Bhutan</w:t>
            </w:r>
          </w:p>
        </w:tc>
        <w:tc>
          <w:tcPr>
            <w:tcW w:w="1558" w:type="dxa"/>
          </w:tcPr>
          <w:p>
            <w:pPr>
              <w:pStyle w:val="TableParagraph"/>
              <w:ind w:left="705"/>
              <w:jc w:val="left"/>
              <w:rPr>
                <w:sz w:val="14"/>
              </w:rPr>
            </w:pPr>
            <w:r>
              <w:rPr>
                <w:color w:val="231F20"/>
                <w:spacing w:val="-5"/>
                <w:w w:val="95"/>
                <w:sz w:val="14"/>
              </w:rPr>
              <w:t>25</w:t>
            </w:r>
          </w:p>
        </w:tc>
        <w:tc>
          <w:tcPr>
            <w:tcW w:w="1563" w:type="dxa"/>
          </w:tcPr>
          <w:p>
            <w:pPr>
              <w:pStyle w:val="TableParagraph"/>
              <w:ind w:left="82" w:right="88"/>
              <w:rPr>
                <w:sz w:val="14"/>
              </w:rPr>
            </w:pPr>
            <w:r>
              <w:rPr>
                <w:color w:val="231F20"/>
                <w:spacing w:val="-5"/>
                <w:w w:val="95"/>
                <w:sz w:val="14"/>
              </w:rPr>
              <w:t>5.5</w:t>
            </w:r>
          </w:p>
        </w:tc>
        <w:tc>
          <w:tcPr>
            <w:tcW w:w="1317" w:type="dxa"/>
          </w:tcPr>
          <w:p>
            <w:pPr>
              <w:pStyle w:val="TableParagraph"/>
              <w:ind w:left="184"/>
              <w:rPr>
                <w:sz w:val="14"/>
              </w:rPr>
            </w:pPr>
            <w:r>
              <w:rPr>
                <w:color w:val="231F20"/>
                <w:spacing w:val="-5"/>
                <w:w w:val="95"/>
                <w:sz w:val="14"/>
              </w:rPr>
              <w:t>2.2</w:t>
            </w:r>
          </w:p>
        </w:tc>
        <w:tc>
          <w:tcPr>
            <w:tcW w:w="1727" w:type="dxa"/>
          </w:tcPr>
          <w:p>
            <w:pPr>
              <w:pStyle w:val="TableParagraph"/>
              <w:ind w:left="226" w:right="16"/>
              <w:rPr>
                <w:sz w:val="14"/>
              </w:rPr>
            </w:pPr>
            <w:r>
              <w:rPr>
                <w:color w:val="231F20"/>
                <w:spacing w:val="-5"/>
                <w:w w:val="95"/>
                <w:sz w:val="14"/>
              </w:rPr>
              <w:t>8.0</w:t>
            </w:r>
          </w:p>
        </w:tc>
      </w:tr>
      <w:tr>
        <w:trPr>
          <w:trHeight w:val="259" w:hRule="atLeast"/>
        </w:trPr>
        <w:tc>
          <w:tcPr>
            <w:tcW w:w="1514" w:type="dxa"/>
            <w:shd w:val="clear" w:color="auto" w:fill="D4E3F5"/>
          </w:tcPr>
          <w:p>
            <w:pPr>
              <w:pStyle w:val="TableParagraph"/>
              <w:ind w:left="80"/>
              <w:jc w:val="left"/>
              <w:rPr>
                <w:sz w:val="14"/>
              </w:rPr>
            </w:pPr>
            <w:r>
              <w:rPr>
                <w:color w:val="231F20"/>
                <w:w w:val="75"/>
                <w:sz w:val="14"/>
              </w:rPr>
              <w:t>Bosnia</w:t>
            </w:r>
            <w:r>
              <w:rPr>
                <w:color w:val="231F20"/>
                <w:spacing w:val="6"/>
                <w:sz w:val="14"/>
              </w:rPr>
              <w:t> </w:t>
            </w:r>
            <w:r>
              <w:rPr>
                <w:color w:val="231F20"/>
                <w:w w:val="75"/>
                <w:sz w:val="14"/>
              </w:rPr>
              <w:t>and</w:t>
            </w:r>
            <w:r>
              <w:rPr>
                <w:color w:val="231F20"/>
                <w:spacing w:val="6"/>
                <w:sz w:val="14"/>
              </w:rPr>
              <w:t> </w:t>
            </w:r>
            <w:r>
              <w:rPr>
                <w:color w:val="231F20"/>
                <w:spacing w:val="-2"/>
                <w:w w:val="75"/>
                <w:sz w:val="14"/>
              </w:rPr>
              <w:t>Herzegovina</w:t>
            </w:r>
          </w:p>
        </w:tc>
        <w:tc>
          <w:tcPr>
            <w:tcW w:w="1558" w:type="dxa"/>
            <w:shd w:val="clear" w:color="auto" w:fill="D4E3F5"/>
          </w:tcPr>
          <w:p>
            <w:pPr>
              <w:pStyle w:val="TableParagraph"/>
              <w:ind w:left="706"/>
              <w:jc w:val="left"/>
              <w:rPr>
                <w:sz w:val="14"/>
              </w:rPr>
            </w:pPr>
            <w:r>
              <w:rPr>
                <w:color w:val="231F20"/>
                <w:spacing w:val="-5"/>
                <w:w w:val="95"/>
                <w:sz w:val="14"/>
              </w:rPr>
              <w:t>76</w:t>
            </w:r>
          </w:p>
        </w:tc>
        <w:tc>
          <w:tcPr>
            <w:tcW w:w="1563" w:type="dxa"/>
            <w:shd w:val="clear" w:color="auto" w:fill="D4E3F5"/>
          </w:tcPr>
          <w:p>
            <w:pPr>
              <w:pStyle w:val="TableParagraph"/>
              <w:ind w:left="82" w:right="88"/>
              <w:rPr>
                <w:sz w:val="14"/>
              </w:rPr>
            </w:pPr>
            <w:r>
              <w:rPr>
                <w:color w:val="231F20"/>
                <w:spacing w:val="-5"/>
                <w:w w:val="95"/>
                <w:sz w:val="14"/>
              </w:rPr>
              <w:t>4.6</w:t>
            </w:r>
          </w:p>
        </w:tc>
        <w:tc>
          <w:tcPr>
            <w:tcW w:w="1317" w:type="dxa"/>
            <w:shd w:val="clear" w:color="auto" w:fill="D4E3F5"/>
          </w:tcPr>
          <w:p>
            <w:pPr>
              <w:pStyle w:val="TableParagraph"/>
              <w:ind w:left="164"/>
              <w:rPr>
                <w:sz w:val="14"/>
              </w:rPr>
            </w:pPr>
            <w:r>
              <w:rPr>
                <w:color w:val="231F20"/>
                <w:spacing w:val="-5"/>
                <w:w w:val="95"/>
                <w:sz w:val="14"/>
              </w:rPr>
              <w:t>3.1</w:t>
            </w:r>
          </w:p>
        </w:tc>
        <w:tc>
          <w:tcPr>
            <w:tcW w:w="1727" w:type="dxa"/>
            <w:shd w:val="clear" w:color="auto" w:fill="D4E3F5"/>
          </w:tcPr>
          <w:p>
            <w:pPr>
              <w:pStyle w:val="TableParagraph"/>
              <w:ind w:left="226" w:right="14"/>
              <w:rPr>
                <w:sz w:val="14"/>
              </w:rPr>
            </w:pPr>
            <w:r>
              <w:rPr>
                <w:color w:val="231F20"/>
                <w:spacing w:val="-5"/>
                <w:w w:val="95"/>
                <w:sz w:val="14"/>
              </w:rPr>
              <w:t>3.8</w:t>
            </w:r>
          </w:p>
        </w:tc>
      </w:tr>
      <w:tr>
        <w:trPr>
          <w:trHeight w:val="259" w:hRule="atLeast"/>
        </w:trPr>
        <w:tc>
          <w:tcPr>
            <w:tcW w:w="1514" w:type="dxa"/>
          </w:tcPr>
          <w:p>
            <w:pPr>
              <w:pStyle w:val="TableParagraph"/>
              <w:ind w:left="80"/>
              <w:jc w:val="left"/>
              <w:rPr>
                <w:sz w:val="14"/>
              </w:rPr>
            </w:pPr>
            <w:r>
              <w:rPr>
                <w:color w:val="231F20"/>
                <w:spacing w:val="-2"/>
                <w:w w:val="90"/>
                <w:sz w:val="14"/>
              </w:rPr>
              <w:t>Botswana</w:t>
            </w:r>
          </w:p>
        </w:tc>
        <w:tc>
          <w:tcPr>
            <w:tcW w:w="1558" w:type="dxa"/>
          </w:tcPr>
          <w:p>
            <w:pPr>
              <w:pStyle w:val="TableParagraph"/>
              <w:ind w:left="700"/>
              <w:jc w:val="left"/>
              <w:rPr>
                <w:sz w:val="14"/>
              </w:rPr>
            </w:pPr>
            <w:r>
              <w:rPr>
                <w:color w:val="231F20"/>
                <w:spacing w:val="-4"/>
                <w:w w:val="95"/>
                <w:sz w:val="14"/>
              </w:rPr>
              <w:t>33.5</w:t>
            </w:r>
          </w:p>
        </w:tc>
        <w:tc>
          <w:tcPr>
            <w:tcW w:w="1563" w:type="dxa"/>
          </w:tcPr>
          <w:p>
            <w:pPr>
              <w:pStyle w:val="TableParagraph"/>
              <w:ind w:left="18" w:right="88"/>
              <w:rPr>
                <w:sz w:val="14"/>
              </w:rPr>
            </w:pPr>
            <w:r>
              <w:rPr>
                <w:color w:val="231F20"/>
                <w:spacing w:val="-4"/>
                <w:w w:val="95"/>
                <w:sz w:val="14"/>
              </w:rPr>
              <w:t>15.9</w:t>
            </w:r>
          </w:p>
        </w:tc>
        <w:tc>
          <w:tcPr>
            <w:tcW w:w="1317" w:type="dxa"/>
          </w:tcPr>
          <w:p>
            <w:pPr>
              <w:pStyle w:val="TableParagraph"/>
              <w:ind w:left="102"/>
              <w:rPr>
                <w:sz w:val="14"/>
              </w:rPr>
            </w:pPr>
            <w:r>
              <w:rPr>
                <w:color w:val="231F20"/>
                <w:spacing w:val="-4"/>
                <w:w w:val="95"/>
                <w:sz w:val="14"/>
              </w:rPr>
              <w:t>12.1</w:t>
            </w:r>
          </w:p>
        </w:tc>
        <w:tc>
          <w:tcPr>
            <w:tcW w:w="1727" w:type="dxa"/>
          </w:tcPr>
          <w:p>
            <w:pPr>
              <w:pStyle w:val="TableParagraph"/>
              <w:ind w:left="226" w:right="77"/>
              <w:rPr>
                <w:sz w:val="14"/>
              </w:rPr>
            </w:pPr>
            <w:r>
              <w:rPr>
                <w:color w:val="231F20"/>
                <w:spacing w:val="-4"/>
                <w:w w:val="95"/>
                <w:sz w:val="14"/>
              </w:rPr>
              <w:t>14.9</w:t>
            </w:r>
          </w:p>
        </w:tc>
      </w:tr>
      <w:tr>
        <w:trPr>
          <w:trHeight w:val="259" w:hRule="atLeast"/>
        </w:trPr>
        <w:tc>
          <w:tcPr>
            <w:tcW w:w="1514" w:type="dxa"/>
            <w:shd w:val="clear" w:color="auto" w:fill="D4E3F5"/>
          </w:tcPr>
          <w:p>
            <w:pPr>
              <w:pStyle w:val="TableParagraph"/>
              <w:ind w:left="80"/>
              <w:jc w:val="left"/>
              <w:rPr>
                <w:sz w:val="14"/>
              </w:rPr>
            </w:pPr>
            <w:r>
              <w:rPr>
                <w:color w:val="231F20"/>
                <w:spacing w:val="-2"/>
                <w:w w:val="90"/>
                <w:sz w:val="14"/>
              </w:rPr>
              <w:t>Brazil</w:t>
            </w:r>
          </w:p>
        </w:tc>
        <w:tc>
          <w:tcPr>
            <w:tcW w:w="1558" w:type="dxa"/>
            <w:shd w:val="clear" w:color="auto" w:fill="D4E3F5"/>
          </w:tcPr>
          <w:p>
            <w:pPr>
              <w:pStyle w:val="TableParagraph"/>
              <w:ind w:left="640"/>
              <w:jc w:val="left"/>
              <w:rPr>
                <w:sz w:val="14"/>
              </w:rPr>
            </w:pPr>
            <w:r>
              <w:rPr>
                <w:color w:val="231F20"/>
                <w:spacing w:val="-2"/>
                <w:w w:val="95"/>
                <w:sz w:val="14"/>
              </w:rPr>
              <w:t>128.5</w:t>
            </w:r>
          </w:p>
        </w:tc>
        <w:tc>
          <w:tcPr>
            <w:tcW w:w="1563" w:type="dxa"/>
            <w:shd w:val="clear" w:color="auto" w:fill="D4E3F5"/>
          </w:tcPr>
          <w:p>
            <w:pPr>
              <w:pStyle w:val="TableParagraph"/>
              <w:ind w:left="15" w:right="88"/>
              <w:rPr>
                <w:sz w:val="14"/>
              </w:rPr>
            </w:pPr>
            <w:r>
              <w:rPr>
                <w:color w:val="231F20"/>
                <w:spacing w:val="-4"/>
                <w:w w:val="95"/>
                <w:sz w:val="14"/>
              </w:rPr>
              <w:t>23.2</w:t>
            </w:r>
          </w:p>
        </w:tc>
        <w:tc>
          <w:tcPr>
            <w:tcW w:w="1317" w:type="dxa"/>
            <w:shd w:val="clear" w:color="auto" w:fill="D4E3F5"/>
          </w:tcPr>
          <w:p>
            <w:pPr>
              <w:pStyle w:val="TableParagraph"/>
              <w:ind w:left="122"/>
              <w:rPr>
                <w:sz w:val="14"/>
              </w:rPr>
            </w:pPr>
            <w:r>
              <w:rPr>
                <w:color w:val="231F20"/>
                <w:spacing w:val="-4"/>
                <w:w w:val="95"/>
                <w:sz w:val="14"/>
              </w:rPr>
              <w:t>19.2</w:t>
            </w:r>
          </w:p>
        </w:tc>
        <w:tc>
          <w:tcPr>
            <w:tcW w:w="1727" w:type="dxa"/>
            <w:shd w:val="clear" w:color="auto" w:fill="D4E3F5"/>
          </w:tcPr>
          <w:p>
            <w:pPr>
              <w:pStyle w:val="TableParagraph"/>
              <w:ind w:left="226" w:right="65"/>
              <w:rPr>
                <w:sz w:val="14"/>
              </w:rPr>
            </w:pPr>
            <w:r>
              <w:rPr>
                <w:color w:val="231F20"/>
                <w:spacing w:val="-4"/>
                <w:w w:val="95"/>
                <w:sz w:val="14"/>
              </w:rPr>
              <w:t>17.9</w:t>
            </w:r>
          </w:p>
        </w:tc>
      </w:tr>
      <w:tr>
        <w:trPr>
          <w:trHeight w:val="259" w:hRule="atLeast"/>
        </w:trPr>
        <w:tc>
          <w:tcPr>
            <w:tcW w:w="1514" w:type="dxa"/>
          </w:tcPr>
          <w:p>
            <w:pPr>
              <w:pStyle w:val="TableParagraph"/>
              <w:ind w:left="80"/>
              <w:jc w:val="left"/>
              <w:rPr>
                <w:sz w:val="14"/>
              </w:rPr>
            </w:pPr>
            <w:r>
              <w:rPr>
                <w:color w:val="231F20"/>
                <w:spacing w:val="-2"/>
                <w:w w:val="90"/>
                <w:sz w:val="14"/>
              </w:rPr>
              <w:t>Bulgaria</w:t>
            </w:r>
          </w:p>
        </w:tc>
        <w:tc>
          <w:tcPr>
            <w:tcW w:w="1558" w:type="dxa"/>
          </w:tcPr>
          <w:p>
            <w:pPr>
              <w:pStyle w:val="TableParagraph"/>
              <w:ind w:left="642"/>
              <w:jc w:val="left"/>
              <w:rPr>
                <w:sz w:val="14"/>
              </w:rPr>
            </w:pPr>
            <w:r>
              <w:rPr>
                <w:color w:val="231F20"/>
                <w:spacing w:val="-5"/>
                <w:w w:val="95"/>
                <w:sz w:val="14"/>
              </w:rPr>
              <w:t>107</w:t>
            </w:r>
          </w:p>
        </w:tc>
        <w:tc>
          <w:tcPr>
            <w:tcW w:w="1563" w:type="dxa"/>
          </w:tcPr>
          <w:p>
            <w:pPr>
              <w:pStyle w:val="TableParagraph"/>
              <w:ind w:left="81" w:right="88"/>
              <w:rPr>
                <w:sz w:val="14"/>
              </w:rPr>
            </w:pPr>
            <w:r>
              <w:rPr>
                <w:color w:val="231F20"/>
                <w:spacing w:val="-5"/>
                <w:w w:val="95"/>
                <w:sz w:val="14"/>
              </w:rPr>
              <w:t>8.0</w:t>
            </w:r>
          </w:p>
        </w:tc>
        <w:tc>
          <w:tcPr>
            <w:tcW w:w="1317" w:type="dxa"/>
          </w:tcPr>
          <w:p>
            <w:pPr>
              <w:pStyle w:val="TableParagraph"/>
              <w:ind w:left="165"/>
              <w:rPr>
                <w:sz w:val="14"/>
              </w:rPr>
            </w:pPr>
            <w:r>
              <w:rPr>
                <w:color w:val="231F20"/>
                <w:spacing w:val="-5"/>
                <w:w w:val="95"/>
                <w:sz w:val="14"/>
              </w:rPr>
              <w:t>2.1</w:t>
            </w:r>
          </w:p>
        </w:tc>
        <w:tc>
          <w:tcPr>
            <w:tcW w:w="1727" w:type="dxa"/>
          </w:tcPr>
          <w:p>
            <w:pPr>
              <w:pStyle w:val="TableParagraph"/>
              <w:ind w:left="226" w:right="77"/>
              <w:rPr>
                <w:sz w:val="14"/>
              </w:rPr>
            </w:pPr>
            <w:r>
              <w:rPr>
                <w:color w:val="231F20"/>
                <w:spacing w:val="-4"/>
                <w:w w:val="95"/>
                <w:sz w:val="14"/>
              </w:rPr>
              <w:t>10.2</w:t>
            </w:r>
          </w:p>
        </w:tc>
      </w:tr>
      <w:tr>
        <w:trPr>
          <w:trHeight w:val="259" w:hRule="atLeast"/>
        </w:trPr>
        <w:tc>
          <w:tcPr>
            <w:tcW w:w="1514" w:type="dxa"/>
            <w:shd w:val="clear" w:color="auto" w:fill="D4E3F5"/>
          </w:tcPr>
          <w:p>
            <w:pPr>
              <w:pStyle w:val="TableParagraph"/>
              <w:ind w:left="80"/>
              <w:jc w:val="left"/>
              <w:rPr>
                <w:sz w:val="14"/>
              </w:rPr>
            </w:pPr>
            <w:r>
              <w:rPr>
                <w:color w:val="231F20"/>
                <w:w w:val="75"/>
                <w:sz w:val="14"/>
              </w:rPr>
              <w:t>Burkina</w:t>
            </w:r>
            <w:r>
              <w:rPr>
                <w:color w:val="231F20"/>
                <w:spacing w:val="20"/>
                <w:sz w:val="14"/>
              </w:rPr>
              <w:t> </w:t>
            </w:r>
            <w:r>
              <w:rPr>
                <w:color w:val="231F20"/>
                <w:spacing w:val="-4"/>
                <w:w w:val="85"/>
                <w:sz w:val="14"/>
              </w:rPr>
              <w:t>Faso</w:t>
            </w:r>
          </w:p>
        </w:tc>
        <w:tc>
          <w:tcPr>
            <w:tcW w:w="1558" w:type="dxa"/>
            <w:shd w:val="clear" w:color="auto" w:fill="D4E3F5"/>
          </w:tcPr>
          <w:p>
            <w:pPr>
              <w:pStyle w:val="TableParagraph"/>
              <w:ind w:left="706"/>
              <w:jc w:val="left"/>
              <w:rPr>
                <w:sz w:val="14"/>
              </w:rPr>
            </w:pPr>
            <w:r>
              <w:rPr>
                <w:color w:val="231F20"/>
                <w:spacing w:val="-5"/>
                <w:w w:val="95"/>
                <w:sz w:val="14"/>
              </w:rPr>
              <w:t>71</w:t>
            </w:r>
          </w:p>
        </w:tc>
        <w:tc>
          <w:tcPr>
            <w:tcW w:w="1563" w:type="dxa"/>
            <w:shd w:val="clear" w:color="auto" w:fill="D4E3F5"/>
          </w:tcPr>
          <w:p>
            <w:pPr>
              <w:pStyle w:val="TableParagraph"/>
              <w:ind w:left="83" w:right="88"/>
              <w:rPr>
                <w:sz w:val="14"/>
              </w:rPr>
            </w:pPr>
            <w:r>
              <w:rPr>
                <w:color w:val="231F20"/>
                <w:spacing w:val="-5"/>
                <w:w w:val="95"/>
                <w:sz w:val="14"/>
              </w:rPr>
              <w:t>3.3</w:t>
            </w:r>
          </w:p>
        </w:tc>
        <w:tc>
          <w:tcPr>
            <w:tcW w:w="1317" w:type="dxa"/>
            <w:shd w:val="clear" w:color="auto" w:fill="D4E3F5"/>
          </w:tcPr>
          <w:p>
            <w:pPr>
              <w:pStyle w:val="TableParagraph"/>
              <w:ind w:left="165"/>
              <w:rPr>
                <w:sz w:val="14"/>
              </w:rPr>
            </w:pPr>
            <w:r>
              <w:rPr>
                <w:color w:val="231F20"/>
                <w:spacing w:val="-5"/>
                <w:w w:val="95"/>
                <w:sz w:val="14"/>
              </w:rPr>
              <w:t>0.1</w:t>
            </w:r>
          </w:p>
        </w:tc>
        <w:tc>
          <w:tcPr>
            <w:tcW w:w="1727" w:type="dxa"/>
            <w:shd w:val="clear" w:color="auto" w:fill="D4E3F5"/>
          </w:tcPr>
          <w:p>
            <w:pPr>
              <w:pStyle w:val="TableParagraph"/>
              <w:ind w:left="226" w:right="32"/>
              <w:rPr>
                <w:sz w:val="14"/>
              </w:rPr>
            </w:pPr>
            <w:r>
              <w:rPr>
                <w:color w:val="231F20"/>
                <w:spacing w:val="-5"/>
                <w:w w:val="95"/>
                <w:sz w:val="14"/>
              </w:rPr>
              <w:t>4.1</w:t>
            </w:r>
          </w:p>
        </w:tc>
      </w:tr>
      <w:tr>
        <w:trPr>
          <w:trHeight w:val="259" w:hRule="atLeast"/>
        </w:trPr>
        <w:tc>
          <w:tcPr>
            <w:tcW w:w="1514" w:type="dxa"/>
          </w:tcPr>
          <w:p>
            <w:pPr>
              <w:pStyle w:val="TableParagraph"/>
              <w:ind w:left="80"/>
              <w:jc w:val="left"/>
              <w:rPr>
                <w:sz w:val="14"/>
              </w:rPr>
            </w:pPr>
            <w:r>
              <w:rPr>
                <w:color w:val="231F20"/>
                <w:spacing w:val="-2"/>
                <w:w w:val="85"/>
                <w:sz w:val="14"/>
              </w:rPr>
              <w:t>Cambodia</w:t>
            </w:r>
          </w:p>
        </w:tc>
        <w:tc>
          <w:tcPr>
            <w:tcW w:w="1558" w:type="dxa"/>
          </w:tcPr>
          <w:p>
            <w:pPr>
              <w:pStyle w:val="TableParagraph"/>
              <w:ind w:left="716"/>
              <w:jc w:val="left"/>
              <w:rPr>
                <w:sz w:val="14"/>
              </w:rPr>
            </w:pPr>
            <w:r>
              <w:rPr>
                <w:color w:val="231F20"/>
                <w:spacing w:val="-4"/>
                <w:w w:val="95"/>
                <w:sz w:val="14"/>
              </w:rPr>
              <w:t>57.5</w:t>
            </w:r>
          </w:p>
        </w:tc>
        <w:tc>
          <w:tcPr>
            <w:tcW w:w="1563" w:type="dxa"/>
          </w:tcPr>
          <w:p>
            <w:pPr>
              <w:pStyle w:val="TableParagraph"/>
              <w:ind w:left="82" w:right="88"/>
              <w:rPr>
                <w:sz w:val="14"/>
              </w:rPr>
            </w:pPr>
            <w:r>
              <w:rPr>
                <w:color w:val="231F20"/>
                <w:spacing w:val="-5"/>
                <w:w w:val="95"/>
                <w:sz w:val="14"/>
              </w:rPr>
              <w:t>4.0</w:t>
            </w:r>
          </w:p>
        </w:tc>
        <w:tc>
          <w:tcPr>
            <w:tcW w:w="1317" w:type="dxa"/>
          </w:tcPr>
          <w:p>
            <w:pPr>
              <w:pStyle w:val="TableParagraph"/>
              <w:ind w:left="183"/>
              <w:rPr>
                <w:sz w:val="14"/>
              </w:rPr>
            </w:pPr>
            <w:r>
              <w:rPr>
                <w:color w:val="231F20"/>
                <w:spacing w:val="-5"/>
                <w:w w:val="95"/>
                <w:sz w:val="14"/>
              </w:rPr>
              <w:t>0.3</w:t>
            </w:r>
          </w:p>
        </w:tc>
        <w:tc>
          <w:tcPr>
            <w:tcW w:w="1727" w:type="dxa"/>
          </w:tcPr>
          <w:p>
            <w:pPr>
              <w:pStyle w:val="TableParagraph"/>
              <w:ind w:left="226" w:right="15"/>
              <w:rPr>
                <w:sz w:val="14"/>
              </w:rPr>
            </w:pPr>
            <w:r>
              <w:rPr>
                <w:color w:val="231F20"/>
                <w:spacing w:val="-5"/>
                <w:w w:val="95"/>
                <w:sz w:val="14"/>
              </w:rPr>
              <w:t>4.0</w:t>
            </w:r>
          </w:p>
        </w:tc>
      </w:tr>
      <w:tr>
        <w:trPr>
          <w:trHeight w:val="259" w:hRule="atLeast"/>
        </w:trPr>
        <w:tc>
          <w:tcPr>
            <w:tcW w:w="1514" w:type="dxa"/>
            <w:shd w:val="clear" w:color="auto" w:fill="D4E3F5"/>
          </w:tcPr>
          <w:p>
            <w:pPr>
              <w:pStyle w:val="TableParagraph"/>
              <w:ind w:left="80"/>
              <w:jc w:val="left"/>
              <w:rPr>
                <w:sz w:val="14"/>
              </w:rPr>
            </w:pPr>
            <w:r>
              <w:rPr>
                <w:color w:val="231F20"/>
                <w:spacing w:val="-2"/>
                <w:w w:val="85"/>
                <w:sz w:val="14"/>
              </w:rPr>
              <w:t>Cameroon</w:t>
            </w:r>
          </w:p>
        </w:tc>
        <w:tc>
          <w:tcPr>
            <w:tcW w:w="1558" w:type="dxa"/>
            <w:shd w:val="clear" w:color="auto" w:fill="D4E3F5"/>
          </w:tcPr>
          <w:p>
            <w:pPr>
              <w:pStyle w:val="TableParagraph"/>
              <w:ind w:left="702"/>
              <w:jc w:val="left"/>
              <w:rPr>
                <w:sz w:val="14"/>
              </w:rPr>
            </w:pPr>
            <w:r>
              <w:rPr>
                <w:color w:val="231F20"/>
                <w:spacing w:val="-5"/>
                <w:w w:val="95"/>
                <w:sz w:val="14"/>
              </w:rPr>
              <w:t>63</w:t>
            </w:r>
          </w:p>
        </w:tc>
        <w:tc>
          <w:tcPr>
            <w:tcW w:w="1563" w:type="dxa"/>
            <w:shd w:val="clear" w:color="auto" w:fill="D4E3F5"/>
          </w:tcPr>
          <w:p>
            <w:pPr>
              <w:pStyle w:val="TableParagraph"/>
              <w:ind w:left="19" w:right="88"/>
              <w:rPr>
                <w:sz w:val="14"/>
              </w:rPr>
            </w:pPr>
            <w:r>
              <w:rPr>
                <w:color w:val="231F20"/>
                <w:spacing w:val="-4"/>
                <w:w w:val="95"/>
                <w:sz w:val="14"/>
              </w:rPr>
              <w:t>10.6</w:t>
            </w:r>
          </w:p>
        </w:tc>
        <w:tc>
          <w:tcPr>
            <w:tcW w:w="1317" w:type="dxa"/>
            <w:shd w:val="clear" w:color="auto" w:fill="D4E3F5"/>
          </w:tcPr>
          <w:p>
            <w:pPr>
              <w:pStyle w:val="TableParagraph"/>
              <w:ind w:left="182"/>
              <w:rPr>
                <w:sz w:val="14"/>
              </w:rPr>
            </w:pPr>
            <w:r>
              <w:rPr>
                <w:color w:val="231F20"/>
                <w:spacing w:val="-5"/>
                <w:w w:val="95"/>
                <w:sz w:val="14"/>
              </w:rPr>
              <w:t>6.0</w:t>
            </w:r>
          </w:p>
        </w:tc>
        <w:tc>
          <w:tcPr>
            <w:tcW w:w="1727" w:type="dxa"/>
            <w:shd w:val="clear" w:color="auto" w:fill="D4E3F5"/>
          </w:tcPr>
          <w:p>
            <w:pPr>
              <w:pStyle w:val="TableParagraph"/>
              <w:ind w:left="226" w:right="70"/>
              <w:rPr>
                <w:sz w:val="14"/>
              </w:rPr>
            </w:pPr>
            <w:r>
              <w:rPr>
                <w:color w:val="231F20"/>
                <w:spacing w:val="-4"/>
                <w:w w:val="95"/>
                <w:sz w:val="14"/>
              </w:rPr>
              <w:t>11.0</w:t>
            </w:r>
          </w:p>
        </w:tc>
      </w:tr>
      <w:tr>
        <w:trPr>
          <w:trHeight w:val="259" w:hRule="atLeast"/>
        </w:trPr>
        <w:tc>
          <w:tcPr>
            <w:tcW w:w="1514" w:type="dxa"/>
          </w:tcPr>
          <w:p>
            <w:pPr>
              <w:pStyle w:val="TableParagraph"/>
              <w:ind w:left="80"/>
              <w:jc w:val="left"/>
              <w:rPr>
                <w:sz w:val="14"/>
              </w:rPr>
            </w:pPr>
            <w:r>
              <w:rPr>
                <w:color w:val="231F20"/>
                <w:spacing w:val="-2"/>
                <w:w w:val="85"/>
                <w:sz w:val="14"/>
              </w:rPr>
              <w:t>Canada</w:t>
            </w:r>
          </w:p>
        </w:tc>
        <w:tc>
          <w:tcPr>
            <w:tcW w:w="1558" w:type="dxa"/>
          </w:tcPr>
          <w:p>
            <w:pPr>
              <w:pStyle w:val="TableParagraph"/>
              <w:ind w:left="640"/>
              <w:jc w:val="left"/>
              <w:rPr>
                <w:sz w:val="14"/>
              </w:rPr>
            </w:pPr>
            <w:r>
              <w:rPr>
                <w:color w:val="231F20"/>
                <w:spacing w:val="-5"/>
                <w:w w:val="95"/>
                <w:sz w:val="14"/>
              </w:rPr>
              <w:t>150</w:t>
            </w:r>
          </w:p>
        </w:tc>
        <w:tc>
          <w:tcPr>
            <w:tcW w:w="1563" w:type="dxa"/>
          </w:tcPr>
          <w:p>
            <w:pPr>
              <w:pStyle w:val="TableParagraph"/>
              <w:ind w:left="83" w:right="88"/>
              <w:rPr>
                <w:sz w:val="14"/>
              </w:rPr>
            </w:pPr>
            <w:r>
              <w:rPr>
                <w:color w:val="231F20"/>
                <w:spacing w:val="-5"/>
                <w:w w:val="95"/>
                <w:sz w:val="14"/>
              </w:rPr>
              <w:t>4.8</w:t>
            </w:r>
          </w:p>
        </w:tc>
        <w:tc>
          <w:tcPr>
            <w:tcW w:w="1317" w:type="dxa"/>
          </w:tcPr>
          <w:p>
            <w:pPr>
              <w:pStyle w:val="TableParagraph"/>
              <w:ind w:left="183"/>
              <w:rPr>
                <w:sz w:val="14"/>
              </w:rPr>
            </w:pPr>
            <w:r>
              <w:rPr>
                <w:color w:val="231F20"/>
                <w:spacing w:val="-5"/>
                <w:w w:val="95"/>
                <w:sz w:val="14"/>
              </w:rPr>
              <w:t>3.2</w:t>
            </w:r>
          </w:p>
        </w:tc>
        <w:tc>
          <w:tcPr>
            <w:tcW w:w="1727" w:type="dxa"/>
          </w:tcPr>
          <w:p>
            <w:pPr>
              <w:pStyle w:val="TableParagraph"/>
              <w:ind w:left="226" w:right="14"/>
              <w:rPr>
                <w:sz w:val="14"/>
              </w:rPr>
            </w:pPr>
            <w:r>
              <w:rPr>
                <w:color w:val="231F20"/>
                <w:spacing w:val="-5"/>
                <w:w w:val="95"/>
                <w:sz w:val="14"/>
              </w:rPr>
              <w:t>4.9</w:t>
            </w:r>
          </w:p>
        </w:tc>
      </w:tr>
      <w:tr>
        <w:trPr>
          <w:trHeight w:val="259" w:hRule="atLeast"/>
        </w:trPr>
        <w:tc>
          <w:tcPr>
            <w:tcW w:w="1514" w:type="dxa"/>
            <w:shd w:val="clear" w:color="auto" w:fill="D4E3F5"/>
          </w:tcPr>
          <w:p>
            <w:pPr>
              <w:pStyle w:val="TableParagraph"/>
              <w:ind w:left="80"/>
              <w:jc w:val="left"/>
              <w:rPr>
                <w:sz w:val="14"/>
              </w:rPr>
            </w:pPr>
            <w:r>
              <w:rPr>
                <w:color w:val="231F20"/>
                <w:spacing w:val="-2"/>
                <w:w w:val="90"/>
                <w:sz w:val="14"/>
              </w:rPr>
              <w:t>Chile</w:t>
            </w:r>
          </w:p>
        </w:tc>
        <w:tc>
          <w:tcPr>
            <w:tcW w:w="1558" w:type="dxa"/>
            <w:shd w:val="clear" w:color="auto" w:fill="D4E3F5"/>
          </w:tcPr>
          <w:p>
            <w:pPr>
              <w:pStyle w:val="TableParagraph"/>
              <w:ind w:left="639"/>
              <w:jc w:val="left"/>
              <w:rPr>
                <w:sz w:val="14"/>
              </w:rPr>
            </w:pPr>
            <w:r>
              <w:rPr>
                <w:color w:val="231F20"/>
                <w:spacing w:val="-5"/>
                <w:w w:val="95"/>
                <w:sz w:val="14"/>
              </w:rPr>
              <w:t>103</w:t>
            </w:r>
          </w:p>
        </w:tc>
        <w:tc>
          <w:tcPr>
            <w:tcW w:w="1563" w:type="dxa"/>
            <w:shd w:val="clear" w:color="auto" w:fill="D4E3F5"/>
          </w:tcPr>
          <w:p>
            <w:pPr>
              <w:pStyle w:val="TableParagraph"/>
              <w:ind w:left="76" w:right="88"/>
              <w:rPr>
                <w:sz w:val="14"/>
              </w:rPr>
            </w:pPr>
            <w:r>
              <w:rPr>
                <w:color w:val="231F20"/>
                <w:spacing w:val="-5"/>
                <w:w w:val="95"/>
                <w:sz w:val="14"/>
              </w:rPr>
              <w:t>8.7</w:t>
            </w:r>
          </w:p>
        </w:tc>
        <w:tc>
          <w:tcPr>
            <w:tcW w:w="1317" w:type="dxa"/>
            <w:shd w:val="clear" w:color="auto" w:fill="D4E3F5"/>
          </w:tcPr>
          <w:p>
            <w:pPr>
              <w:pStyle w:val="TableParagraph"/>
              <w:ind w:left="183"/>
              <w:rPr>
                <w:sz w:val="14"/>
              </w:rPr>
            </w:pPr>
            <w:r>
              <w:rPr>
                <w:color w:val="231F20"/>
                <w:spacing w:val="-5"/>
                <w:w w:val="95"/>
                <w:sz w:val="14"/>
              </w:rPr>
              <w:t>4.6</w:t>
            </w:r>
          </w:p>
        </w:tc>
        <w:tc>
          <w:tcPr>
            <w:tcW w:w="1727" w:type="dxa"/>
            <w:shd w:val="clear" w:color="auto" w:fill="D4E3F5"/>
          </w:tcPr>
          <w:p>
            <w:pPr>
              <w:pStyle w:val="TableParagraph"/>
              <w:ind w:left="226" w:right="6"/>
              <w:rPr>
                <w:sz w:val="14"/>
              </w:rPr>
            </w:pPr>
            <w:r>
              <w:rPr>
                <w:color w:val="231F20"/>
                <w:spacing w:val="-5"/>
                <w:w w:val="95"/>
                <w:sz w:val="14"/>
              </w:rPr>
              <w:t>7.7</w:t>
            </w:r>
          </w:p>
        </w:tc>
      </w:tr>
      <w:tr>
        <w:trPr>
          <w:trHeight w:val="259" w:hRule="atLeast"/>
        </w:trPr>
        <w:tc>
          <w:tcPr>
            <w:tcW w:w="1514" w:type="dxa"/>
          </w:tcPr>
          <w:p>
            <w:pPr>
              <w:pStyle w:val="TableParagraph"/>
              <w:ind w:left="80"/>
              <w:jc w:val="left"/>
              <w:rPr>
                <w:sz w:val="14"/>
              </w:rPr>
            </w:pPr>
            <w:r>
              <w:rPr>
                <w:color w:val="231F20"/>
                <w:spacing w:val="-2"/>
                <w:w w:val="85"/>
                <w:sz w:val="14"/>
              </w:rPr>
              <w:t>China</w:t>
            </w:r>
          </w:p>
        </w:tc>
        <w:tc>
          <w:tcPr>
            <w:tcW w:w="1558" w:type="dxa"/>
          </w:tcPr>
          <w:p>
            <w:pPr>
              <w:pStyle w:val="TableParagraph"/>
              <w:ind w:left="649"/>
              <w:jc w:val="left"/>
              <w:rPr>
                <w:sz w:val="14"/>
              </w:rPr>
            </w:pPr>
            <w:r>
              <w:rPr>
                <w:color w:val="231F20"/>
                <w:spacing w:val="-2"/>
                <w:w w:val="95"/>
                <w:sz w:val="14"/>
              </w:rPr>
              <w:t>121.5</w:t>
            </w:r>
          </w:p>
        </w:tc>
        <w:tc>
          <w:tcPr>
            <w:tcW w:w="1563" w:type="dxa"/>
          </w:tcPr>
          <w:p>
            <w:pPr>
              <w:pStyle w:val="TableParagraph"/>
              <w:ind w:left="82" w:right="88"/>
              <w:rPr>
                <w:sz w:val="14"/>
              </w:rPr>
            </w:pPr>
            <w:r>
              <w:rPr>
                <w:color w:val="231F20"/>
                <w:spacing w:val="-5"/>
                <w:w w:val="95"/>
                <w:sz w:val="14"/>
              </w:rPr>
              <w:t>5.6</w:t>
            </w:r>
          </w:p>
        </w:tc>
        <w:tc>
          <w:tcPr>
            <w:tcW w:w="1317" w:type="dxa"/>
          </w:tcPr>
          <w:p>
            <w:pPr>
              <w:pStyle w:val="TableParagraph"/>
              <w:ind w:left="166"/>
              <w:rPr>
                <w:sz w:val="14"/>
              </w:rPr>
            </w:pPr>
            <w:r>
              <w:rPr>
                <w:color w:val="231F20"/>
                <w:spacing w:val="-5"/>
                <w:w w:val="95"/>
                <w:sz w:val="14"/>
              </w:rPr>
              <w:t>4.1</w:t>
            </w:r>
          </w:p>
        </w:tc>
        <w:tc>
          <w:tcPr>
            <w:tcW w:w="1727" w:type="dxa"/>
          </w:tcPr>
          <w:p>
            <w:pPr>
              <w:pStyle w:val="TableParagraph"/>
              <w:ind w:left="226" w:right="14"/>
              <w:rPr>
                <w:sz w:val="14"/>
              </w:rPr>
            </w:pPr>
            <w:r>
              <w:rPr>
                <w:color w:val="231F20"/>
                <w:spacing w:val="-5"/>
                <w:w w:val="95"/>
                <w:sz w:val="14"/>
              </w:rPr>
              <w:t>3.9</w:t>
            </w:r>
          </w:p>
        </w:tc>
      </w:tr>
      <w:tr>
        <w:trPr>
          <w:trHeight w:val="259" w:hRule="atLeast"/>
        </w:trPr>
        <w:tc>
          <w:tcPr>
            <w:tcW w:w="1514" w:type="dxa"/>
            <w:shd w:val="clear" w:color="auto" w:fill="D4E3F5"/>
          </w:tcPr>
          <w:p>
            <w:pPr>
              <w:pStyle w:val="TableParagraph"/>
              <w:ind w:left="80"/>
              <w:jc w:val="left"/>
              <w:rPr>
                <w:sz w:val="14"/>
              </w:rPr>
            </w:pPr>
            <w:r>
              <w:rPr>
                <w:color w:val="231F20"/>
                <w:spacing w:val="-2"/>
                <w:w w:val="90"/>
                <w:sz w:val="14"/>
              </w:rPr>
              <w:t>Colombia</w:t>
            </w:r>
          </w:p>
        </w:tc>
        <w:tc>
          <w:tcPr>
            <w:tcW w:w="1558" w:type="dxa"/>
            <w:shd w:val="clear" w:color="auto" w:fill="D4E3F5"/>
          </w:tcPr>
          <w:p>
            <w:pPr>
              <w:pStyle w:val="TableParagraph"/>
              <w:ind w:left="705"/>
              <w:jc w:val="left"/>
              <w:rPr>
                <w:sz w:val="14"/>
              </w:rPr>
            </w:pPr>
            <w:r>
              <w:rPr>
                <w:color w:val="231F20"/>
                <w:spacing w:val="-5"/>
                <w:w w:val="95"/>
                <w:sz w:val="14"/>
              </w:rPr>
              <w:t>91</w:t>
            </w:r>
          </w:p>
        </w:tc>
        <w:tc>
          <w:tcPr>
            <w:tcW w:w="1563" w:type="dxa"/>
            <w:shd w:val="clear" w:color="auto" w:fill="D4E3F5"/>
          </w:tcPr>
          <w:p>
            <w:pPr>
              <w:pStyle w:val="TableParagraph"/>
              <w:ind w:left="80" w:right="88"/>
              <w:rPr>
                <w:sz w:val="14"/>
              </w:rPr>
            </w:pPr>
            <w:r>
              <w:rPr>
                <w:color w:val="231F20"/>
                <w:spacing w:val="-5"/>
                <w:w w:val="95"/>
                <w:sz w:val="14"/>
              </w:rPr>
              <w:t>2.4</w:t>
            </w:r>
          </w:p>
        </w:tc>
        <w:tc>
          <w:tcPr>
            <w:tcW w:w="1317" w:type="dxa"/>
            <w:shd w:val="clear" w:color="auto" w:fill="D4E3F5"/>
          </w:tcPr>
          <w:p>
            <w:pPr>
              <w:pStyle w:val="TableParagraph"/>
              <w:ind w:left="183"/>
              <w:rPr>
                <w:sz w:val="14"/>
              </w:rPr>
            </w:pPr>
            <w:r>
              <w:rPr>
                <w:color w:val="231F20"/>
                <w:spacing w:val="-5"/>
                <w:w w:val="95"/>
                <w:sz w:val="14"/>
              </w:rPr>
              <w:t>0.8</w:t>
            </w:r>
          </w:p>
        </w:tc>
        <w:tc>
          <w:tcPr>
            <w:tcW w:w="1727" w:type="dxa"/>
            <w:shd w:val="clear" w:color="auto" w:fill="D4E3F5"/>
          </w:tcPr>
          <w:p>
            <w:pPr>
              <w:pStyle w:val="TableParagraph"/>
              <w:ind w:left="226" w:right="15"/>
              <w:rPr>
                <w:sz w:val="14"/>
              </w:rPr>
            </w:pPr>
            <w:r>
              <w:rPr>
                <w:color w:val="231F20"/>
                <w:spacing w:val="-5"/>
                <w:w w:val="95"/>
                <w:sz w:val="14"/>
              </w:rPr>
              <w:t>2.0</w:t>
            </w:r>
          </w:p>
        </w:tc>
      </w:tr>
      <w:tr>
        <w:trPr>
          <w:trHeight w:val="259" w:hRule="atLeast"/>
        </w:trPr>
        <w:tc>
          <w:tcPr>
            <w:tcW w:w="1514" w:type="dxa"/>
          </w:tcPr>
          <w:p>
            <w:pPr>
              <w:pStyle w:val="TableParagraph"/>
              <w:ind w:left="80"/>
              <w:jc w:val="left"/>
              <w:rPr>
                <w:sz w:val="14"/>
              </w:rPr>
            </w:pPr>
            <w:r>
              <w:rPr>
                <w:color w:val="231F20"/>
                <w:w w:val="75"/>
                <w:sz w:val="14"/>
              </w:rPr>
              <w:t>Congo,</w:t>
            </w:r>
            <w:r>
              <w:rPr>
                <w:color w:val="231F20"/>
                <w:spacing w:val="9"/>
                <w:sz w:val="14"/>
              </w:rPr>
              <w:t> </w:t>
            </w:r>
            <w:r>
              <w:rPr>
                <w:color w:val="231F20"/>
                <w:w w:val="75"/>
                <w:sz w:val="14"/>
              </w:rPr>
              <w:t>Dem.</w:t>
            </w:r>
            <w:r>
              <w:rPr>
                <w:color w:val="231F20"/>
                <w:spacing w:val="10"/>
                <w:sz w:val="14"/>
              </w:rPr>
              <w:t> </w:t>
            </w:r>
            <w:r>
              <w:rPr>
                <w:color w:val="231F20"/>
                <w:spacing w:val="-4"/>
                <w:w w:val="75"/>
                <w:sz w:val="14"/>
              </w:rPr>
              <w:t>Rep.</w:t>
            </w:r>
          </w:p>
        </w:tc>
        <w:tc>
          <w:tcPr>
            <w:tcW w:w="1558" w:type="dxa"/>
          </w:tcPr>
          <w:p>
            <w:pPr>
              <w:pStyle w:val="TableParagraph"/>
              <w:ind w:left="702"/>
              <w:jc w:val="left"/>
              <w:rPr>
                <w:sz w:val="14"/>
              </w:rPr>
            </w:pPr>
            <w:r>
              <w:rPr>
                <w:color w:val="231F20"/>
                <w:spacing w:val="-5"/>
                <w:w w:val="95"/>
                <w:sz w:val="14"/>
              </w:rPr>
              <w:t>45</w:t>
            </w:r>
          </w:p>
        </w:tc>
        <w:tc>
          <w:tcPr>
            <w:tcW w:w="1563" w:type="dxa"/>
          </w:tcPr>
          <w:p>
            <w:pPr>
              <w:pStyle w:val="TableParagraph"/>
              <w:ind w:left="21" w:right="88"/>
              <w:rPr>
                <w:sz w:val="14"/>
              </w:rPr>
            </w:pPr>
            <w:r>
              <w:rPr>
                <w:color w:val="231F20"/>
                <w:spacing w:val="-4"/>
                <w:w w:val="95"/>
                <w:sz w:val="14"/>
              </w:rPr>
              <w:t>61.2</w:t>
            </w:r>
          </w:p>
        </w:tc>
        <w:tc>
          <w:tcPr>
            <w:tcW w:w="1317" w:type="dxa"/>
          </w:tcPr>
          <w:p>
            <w:pPr>
              <w:pStyle w:val="TableParagraph"/>
              <w:ind w:left="103"/>
              <w:rPr>
                <w:sz w:val="14"/>
              </w:rPr>
            </w:pPr>
            <w:r>
              <w:rPr>
                <w:color w:val="231F20"/>
                <w:spacing w:val="-4"/>
                <w:w w:val="95"/>
                <w:sz w:val="14"/>
              </w:rPr>
              <w:t>31.1</w:t>
            </w:r>
          </w:p>
        </w:tc>
        <w:tc>
          <w:tcPr>
            <w:tcW w:w="1727" w:type="dxa"/>
          </w:tcPr>
          <w:p>
            <w:pPr>
              <w:pStyle w:val="TableParagraph"/>
              <w:ind w:left="226" w:right="168"/>
              <w:rPr>
                <w:sz w:val="14"/>
              </w:rPr>
            </w:pPr>
            <w:r>
              <w:rPr>
                <w:color w:val="231F20"/>
                <w:spacing w:val="-2"/>
                <w:w w:val="95"/>
                <w:sz w:val="14"/>
              </w:rPr>
              <w:t>109.1</w:t>
            </w:r>
          </w:p>
        </w:tc>
      </w:tr>
      <w:tr>
        <w:trPr>
          <w:trHeight w:val="259" w:hRule="atLeast"/>
        </w:trPr>
        <w:tc>
          <w:tcPr>
            <w:tcW w:w="1514" w:type="dxa"/>
            <w:shd w:val="clear" w:color="auto" w:fill="D4E3F5"/>
          </w:tcPr>
          <w:p>
            <w:pPr>
              <w:pStyle w:val="TableParagraph"/>
              <w:ind w:left="80"/>
              <w:jc w:val="left"/>
              <w:rPr>
                <w:sz w:val="14"/>
              </w:rPr>
            </w:pPr>
            <w:r>
              <w:rPr>
                <w:color w:val="231F20"/>
                <w:w w:val="75"/>
                <w:sz w:val="14"/>
              </w:rPr>
              <w:t>Congo,</w:t>
            </w:r>
            <w:r>
              <w:rPr>
                <w:color w:val="231F20"/>
                <w:spacing w:val="10"/>
                <w:sz w:val="14"/>
              </w:rPr>
              <w:t> </w:t>
            </w:r>
            <w:r>
              <w:rPr>
                <w:color w:val="231F20"/>
                <w:spacing w:val="-4"/>
                <w:w w:val="90"/>
                <w:sz w:val="14"/>
              </w:rPr>
              <w:t>Rep.</w:t>
            </w:r>
          </w:p>
        </w:tc>
        <w:tc>
          <w:tcPr>
            <w:tcW w:w="1558" w:type="dxa"/>
            <w:shd w:val="clear" w:color="auto" w:fill="D4E3F5"/>
          </w:tcPr>
          <w:p>
            <w:pPr>
              <w:pStyle w:val="TableParagraph"/>
              <w:ind w:left="704"/>
              <w:jc w:val="left"/>
              <w:rPr>
                <w:sz w:val="14"/>
              </w:rPr>
            </w:pPr>
            <w:r>
              <w:rPr>
                <w:color w:val="231F20"/>
                <w:spacing w:val="-5"/>
                <w:w w:val="95"/>
                <w:sz w:val="14"/>
              </w:rPr>
              <w:t>32</w:t>
            </w:r>
          </w:p>
        </w:tc>
        <w:tc>
          <w:tcPr>
            <w:tcW w:w="1563" w:type="dxa"/>
            <w:shd w:val="clear" w:color="auto" w:fill="D4E3F5"/>
          </w:tcPr>
          <w:p>
            <w:pPr>
              <w:pStyle w:val="TableParagraph"/>
              <w:ind w:left="16" w:right="88"/>
              <w:rPr>
                <w:sz w:val="14"/>
              </w:rPr>
            </w:pPr>
            <w:r>
              <w:rPr>
                <w:color w:val="231F20"/>
                <w:spacing w:val="-4"/>
                <w:w w:val="95"/>
                <w:sz w:val="14"/>
              </w:rPr>
              <w:t>16.4</w:t>
            </w:r>
          </w:p>
        </w:tc>
        <w:tc>
          <w:tcPr>
            <w:tcW w:w="1317" w:type="dxa"/>
            <w:shd w:val="clear" w:color="auto" w:fill="D4E3F5"/>
          </w:tcPr>
          <w:p>
            <w:pPr>
              <w:pStyle w:val="TableParagraph"/>
              <w:ind w:left="118"/>
              <w:rPr>
                <w:sz w:val="14"/>
              </w:rPr>
            </w:pPr>
            <w:r>
              <w:rPr>
                <w:color w:val="231F20"/>
                <w:spacing w:val="-4"/>
                <w:w w:val="95"/>
                <w:sz w:val="14"/>
              </w:rPr>
              <w:t>10.0</w:t>
            </w:r>
          </w:p>
        </w:tc>
        <w:tc>
          <w:tcPr>
            <w:tcW w:w="1727" w:type="dxa"/>
            <w:shd w:val="clear" w:color="auto" w:fill="D4E3F5"/>
          </w:tcPr>
          <w:p>
            <w:pPr>
              <w:pStyle w:val="TableParagraph"/>
              <w:ind w:left="226" w:right="96"/>
              <w:rPr>
                <w:sz w:val="14"/>
              </w:rPr>
            </w:pPr>
            <w:r>
              <w:rPr>
                <w:color w:val="231F20"/>
                <w:spacing w:val="-4"/>
                <w:w w:val="95"/>
                <w:sz w:val="14"/>
              </w:rPr>
              <w:t>21.1</w:t>
            </w:r>
          </w:p>
        </w:tc>
      </w:tr>
      <w:tr>
        <w:trPr>
          <w:trHeight w:val="259" w:hRule="atLeast"/>
        </w:trPr>
        <w:tc>
          <w:tcPr>
            <w:tcW w:w="1514" w:type="dxa"/>
          </w:tcPr>
          <w:p>
            <w:pPr>
              <w:pStyle w:val="TableParagraph"/>
              <w:ind w:left="80"/>
              <w:jc w:val="left"/>
              <w:rPr>
                <w:sz w:val="14"/>
              </w:rPr>
            </w:pPr>
            <w:r>
              <w:rPr>
                <w:color w:val="231F20"/>
                <w:w w:val="75"/>
                <w:sz w:val="14"/>
              </w:rPr>
              <w:t>Costa</w:t>
            </w:r>
            <w:r>
              <w:rPr>
                <w:color w:val="231F20"/>
                <w:spacing w:val="9"/>
                <w:sz w:val="14"/>
              </w:rPr>
              <w:t> </w:t>
            </w:r>
            <w:r>
              <w:rPr>
                <w:color w:val="231F20"/>
                <w:spacing w:val="-4"/>
                <w:w w:val="85"/>
                <w:sz w:val="14"/>
              </w:rPr>
              <w:t>Rica</w:t>
            </w:r>
          </w:p>
        </w:tc>
        <w:tc>
          <w:tcPr>
            <w:tcW w:w="1558" w:type="dxa"/>
          </w:tcPr>
          <w:p>
            <w:pPr>
              <w:pStyle w:val="TableParagraph"/>
              <w:ind w:left="706"/>
              <w:jc w:val="left"/>
              <w:rPr>
                <w:sz w:val="14"/>
              </w:rPr>
            </w:pPr>
            <w:r>
              <w:rPr>
                <w:color w:val="231F20"/>
                <w:spacing w:val="-5"/>
                <w:w w:val="95"/>
                <w:sz w:val="14"/>
              </w:rPr>
              <w:t>75</w:t>
            </w:r>
          </w:p>
        </w:tc>
        <w:tc>
          <w:tcPr>
            <w:tcW w:w="1563" w:type="dxa"/>
          </w:tcPr>
          <w:p>
            <w:pPr>
              <w:pStyle w:val="TableParagraph"/>
              <w:ind w:left="5" w:right="93"/>
              <w:rPr>
                <w:sz w:val="14"/>
              </w:rPr>
            </w:pPr>
            <w:r>
              <w:rPr>
                <w:color w:val="231F20"/>
                <w:spacing w:val="-4"/>
                <w:w w:val="95"/>
                <w:sz w:val="14"/>
              </w:rPr>
              <w:t>10.1</w:t>
            </w:r>
          </w:p>
        </w:tc>
        <w:tc>
          <w:tcPr>
            <w:tcW w:w="1317" w:type="dxa"/>
          </w:tcPr>
          <w:p>
            <w:pPr>
              <w:pStyle w:val="TableParagraph"/>
              <w:ind w:left="184"/>
              <w:rPr>
                <w:sz w:val="14"/>
              </w:rPr>
            </w:pPr>
            <w:r>
              <w:rPr>
                <w:color w:val="231F20"/>
                <w:spacing w:val="-5"/>
                <w:w w:val="95"/>
                <w:sz w:val="14"/>
              </w:rPr>
              <w:t>6.2</w:t>
            </w:r>
          </w:p>
        </w:tc>
        <w:tc>
          <w:tcPr>
            <w:tcW w:w="1727" w:type="dxa"/>
          </w:tcPr>
          <w:p>
            <w:pPr>
              <w:pStyle w:val="TableParagraph"/>
              <w:ind w:left="226" w:right="77"/>
              <w:rPr>
                <w:sz w:val="14"/>
              </w:rPr>
            </w:pPr>
            <w:r>
              <w:rPr>
                <w:color w:val="231F20"/>
                <w:spacing w:val="-4"/>
                <w:w w:val="95"/>
                <w:sz w:val="14"/>
              </w:rPr>
              <w:t>14.9</w:t>
            </w:r>
          </w:p>
        </w:tc>
      </w:tr>
      <w:tr>
        <w:trPr>
          <w:trHeight w:val="259" w:hRule="atLeast"/>
        </w:trPr>
        <w:tc>
          <w:tcPr>
            <w:tcW w:w="1514" w:type="dxa"/>
            <w:shd w:val="clear" w:color="auto" w:fill="D4E3F5"/>
          </w:tcPr>
          <w:p>
            <w:pPr>
              <w:pStyle w:val="TableParagraph"/>
              <w:ind w:left="80"/>
              <w:jc w:val="left"/>
              <w:rPr>
                <w:sz w:val="14"/>
              </w:rPr>
            </w:pPr>
            <w:r>
              <w:rPr>
                <w:color w:val="231F20"/>
                <w:spacing w:val="-2"/>
                <w:w w:val="90"/>
                <w:sz w:val="14"/>
              </w:rPr>
              <w:t>Croatia</w:t>
            </w:r>
          </w:p>
        </w:tc>
        <w:tc>
          <w:tcPr>
            <w:tcW w:w="1558" w:type="dxa"/>
            <w:shd w:val="clear" w:color="auto" w:fill="D4E3F5"/>
          </w:tcPr>
          <w:p>
            <w:pPr>
              <w:pStyle w:val="TableParagraph"/>
              <w:ind w:left="636"/>
              <w:jc w:val="left"/>
              <w:rPr>
                <w:sz w:val="14"/>
              </w:rPr>
            </w:pPr>
            <w:r>
              <w:rPr>
                <w:color w:val="231F20"/>
                <w:spacing w:val="-2"/>
                <w:w w:val="95"/>
                <w:sz w:val="14"/>
              </w:rPr>
              <w:t>106.5</w:t>
            </w:r>
          </w:p>
        </w:tc>
        <w:tc>
          <w:tcPr>
            <w:tcW w:w="1563" w:type="dxa"/>
            <w:shd w:val="clear" w:color="auto" w:fill="D4E3F5"/>
          </w:tcPr>
          <w:p>
            <w:pPr>
              <w:pStyle w:val="TableParagraph"/>
              <w:ind w:left="82" w:right="88"/>
              <w:rPr>
                <w:sz w:val="14"/>
              </w:rPr>
            </w:pPr>
            <w:r>
              <w:rPr>
                <w:color w:val="231F20"/>
                <w:spacing w:val="-5"/>
                <w:w w:val="95"/>
                <w:sz w:val="14"/>
              </w:rPr>
              <w:t>2.0</w:t>
            </w:r>
          </w:p>
        </w:tc>
        <w:tc>
          <w:tcPr>
            <w:tcW w:w="1317" w:type="dxa"/>
            <w:shd w:val="clear" w:color="auto" w:fill="D4E3F5"/>
          </w:tcPr>
          <w:p>
            <w:pPr>
              <w:pStyle w:val="TableParagraph"/>
              <w:ind w:left="171"/>
              <w:rPr>
                <w:sz w:val="14"/>
              </w:rPr>
            </w:pPr>
            <w:r>
              <w:rPr>
                <w:color w:val="231F20"/>
                <w:spacing w:val="-5"/>
                <w:w w:val="95"/>
                <w:sz w:val="14"/>
              </w:rPr>
              <w:t>1.1</w:t>
            </w:r>
          </w:p>
        </w:tc>
        <w:tc>
          <w:tcPr>
            <w:tcW w:w="1727" w:type="dxa"/>
            <w:shd w:val="clear" w:color="auto" w:fill="D4E3F5"/>
          </w:tcPr>
          <w:p>
            <w:pPr>
              <w:pStyle w:val="TableParagraph"/>
              <w:ind w:left="226" w:right="15"/>
              <w:rPr>
                <w:sz w:val="14"/>
              </w:rPr>
            </w:pPr>
            <w:r>
              <w:rPr>
                <w:color w:val="231F20"/>
                <w:spacing w:val="-5"/>
                <w:w w:val="95"/>
                <w:sz w:val="14"/>
              </w:rPr>
              <w:t>2.0</w:t>
            </w:r>
          </w:p>
        </w:tc>
      </w:tr>
      <w:tr>
        <w:trPr>
          <w:trHeight w:val="259" w:hRule="atLeast"/>
        </w:trPr>
        <w:tc>
          <w:tcPr>
            <w:tcW w:w="1514" w:type="dxa"/>
          </w:tcPr>
          <w:p>
            <w:pPr>
              <w:pStyle w:val="TableParagraph"/>
              <w:ind w:left="80"/>
              <w:jc w:val="left"/>
              <w:rPr>
                <w:sz w:val="14"/>
              </w:rPr>
            </w:pPr>
            <w:r>
              <w:rPr>
                <w:color w:val="231F20"/>
                <w:spacing w:val="-4"/>
                <w:w w:val="85"/>
                <w:sz w:val="14"/>
              </w:rPr>
              <w:t>Cuba</w:t>
            </w:r>
          </w:p>
        </w:tc>
        <w:tc>
          <w:tcPr>
            <w:tcW w:w="1558" w:type="dxa"/>
          </w:tcPr>
          <w:p>
            <w:pPr>
              <w:pStyle w:val="TableParagraph"/>
              <w:ind w:left="705"/>
              <w:jc w:val="left"/>
              <w:rPr>
                <w:sz w:val="14"/>
              </w:rPr>
            </w:pPr>
            <w:r>
              <w:rPr>
                <w:color w:val="231F20"/>
                <w:spacing w:val="-5"/>
                <w:w w:val="95"/>
                <w:sz w:val="14"/>
              </w:rPr>
              <w:t>73</w:t>
            </w:r>
          </w:p>
        </w:tc>
        <w:tc>
          <w:tcPr>
            <w:tcW w:w="1563" w:type="dxa"/>
          </w:tcPr>
          <w:p>
            <w:pPr>
              <w:pStyle w:val="TableParagraph"/>
              <w:ind w:left="17" w:right="88"/>
              <w:rPr>
                <w:sz w:val="14"/>
              </w:rPr>
            </w:pPr>
            <w:r>
              <w:rPr>
                <w:color w:val="231F20"/>
                <w:spacing w:val="-4"/>
                <w:w w:val="95"/>
                <w:sz w:val="14"/>
              </w:rPr>
              <w:t>19.4</w:t>
            </w:r>
          </w:p>
        </w:tc>
        <w:tc>
          <w:tcPr>
            <w:tcW w:w="1317" w:type="dxa"/>
          </w:tcPr>
          <w:p>
            <w:pPr>
              <w:pStyle w:val="TableParagraph"/>
              <w:ind w:left="120"/>
              <w:rPr>
                <w:sz w:val="14"/>
              </w:rPr>
            </w:pPr>
            <w:r>
              <w:rPr>
                <w:color w:val="231F20"/>
                <w:spacing w:val="-4"/>
                <w:w w:val="95"/>
                <w:sz w:val="14"/>
              </w:rPr>
              <w:t>16.2</w:t>
            </w:r>
          </w:p>
        </w:tc>
        <w:tc>
          <w:tcPr>
            <w:tcW w:w="1727" w:type="dxa"/>
          </w:tcPr>
          <w:p>
            <w:pPr>
              <w:pStyle w:val="TableParagraph"/>
              <w:ind w:left="226" w:right="63"/>
              <w:rPr>
                <w:sz w:val="14"/>
              </w:rPr>
            </w:pPr>
            <w:r>
              <w:rPr>
                <w:color w:val="231F20"/>
                <w:spacing w:val="-4"/>
                <w:w w:val="95"/>
                <w:sz w:val="14"/>
              </w:rPr>
              <w:t>17.2</w:t>
            </w:r>
          </w:p>
        </w:tc>
      </w:tr>
      <w:tr>
        <w:trPr>
          <w:trHeight w:val="259" w:hRule="atLeast"/>
        </w:trPr>
        <w:tc>
          <w:tcPr>
            <w:tcW w:w="1514" w:type="dxa"/>
            <w:shd w:val="clear" w:color="auto" w:fill="D4E3F5"/>
          </w:tcPr>
          <w:p>
            <w:pPr>
              <w:pStyle w:val="TableParagraph"/>
              <w:ind w:left="80"/>
              <w:jc w:val="left"/>
              <w:rPr>
                <w:sz w:val="14"/>
              </w:rPr>
            </w:pPr>
            <w:r>
              <w:rPr>
                <w:color w:val="231F20"/>
                <w:spacing w:val="-2"/>
                <w:w w:val="85"/>
                <w:sz w:val="14"/>
              </w:rPr>
              <w:t>Cyprus</w:t>
            </w:r>
          </w:p>
        </w:tc>
        <w:tc>
          <w:tcPr>
            <w:tcW w:w="1558" w:type="dxa"/>
            <w:shd w:val="clear" w:color="auto" w:fill="D4E3F5"/>
          </w:tcPr>
          <w:p>
            <w:pPr>
              <w:pStyle w:val="TableParagraph"/>
              <w:ind w:left="639"/>
              <w:jc w:val="left"/>
              <w:rPr>
                <w:sz w:val="14"/>
              </w:rPr>
            </w:pPr>
            <w:r>
              <w:rPr>
                <w:color w:val="231F20"/>
                <w:spacing w:val="-5"/>
                <w:w w:val="95"/>
                <w:sz w:val="14"/>
              </w:rPr>
              <w:t>108</w:t>
            </w:r>
          </w:p>
        </w:tc>
        <w:tc>
          <w:tcPr>
            <w:tcW w:w="1563" w:type="dxa"/>
            <w:shd w:val="clear" w:color="auto" w:fill="D4E3F5"/>
          </w:tcPr>
          <w:p>
            <w:pPr>
              <w:pStyle w:val="TableParagraph"/>
              <w:ind w:left="64" w:right="88"/>
              <w:rPr>
                <w:sz w:val="14"/>
              </w:rPr>
            </w:pPr>
            <w:r>
              <w:rPr>
                <w:color w:val="231F20"/>
                <w:spacing w:val="-5"/>
                <w:w w:val="95"/>
                <w:sz w:val="14"/>
              </w:rPr>
              <w:t>2.1</w:t>
            </w:r>
          </w:p>
        </w:tc>
        <w:tc>
          <w:tcPr>
            <w:tcW w:w="1317" w:type="dxa"/>
            <w:shd w:val="clear" w:color="auto" w:fill="D4E3F5"/>
          </w:tcPr>
          <w:p>
            <w:pPr>
              <w:pStyle w:val="TableParagraph"/>
              <w:ind w:left="193" w:right="2"/>
              <w:rPr>
                <w:sz w:val="14"/>
              </w:rPr>
            </w:pPr>
            <w:r>
              <w:rPr>
                <w:color w:val="231F20"/>
                <w:spacing w:val="-5"/>
                <w:w w:val="95"/>
                <w:sz w:val="14"/>
              </w:rPr>
              <w:t>1.2</w:t>
            </w:r>
          </w:p>
        </w:tc>
        <w:tc>
          <w:tcPr>
            <w:tcW w:w="1727" w:type="dxa"/>
            <w:shd w:val="clear" w:color="auto" w:fill="D4E3F5"/>
          </w:tcPr>
          <w:p>
            <w:pPr>
              <w:pStyle w:val="TableParagraph"/>
              <w:ind w:left="226" w:right="17"/>
              <w:rPr>
                <w:sz w:val="14"/>
              </w:rPr>
            </w:pPr>
            <w:r>
              <w:rPr>
                <w:color w:val="231F20"/>
                <w:spacing w:val="-5"/>
                <w:w w:val="95"/>
                <w:sz w:val="14"/>
              </w:rPr>
              <w:t>2.4</w:t>
            </w:r>
          </w:p>
        </w:tc>
      </w:tr>
      <w:tr>
        <w:trPr>
          <w:trHeight w:val="259" w:hRule="atLeast"/>
        </w:trPr>
        <w:tc>
          <w:tcPr>
            <w:tcW w:w="1514" w:type="dxa"/>
          </w:tcPr>
          <w:p>
            <w:pPr>
              <w:pStyle w:val="TableParagraph"/>
              <w:ind w:left="80"/>
              <w:jc w:val="left"/>
              <w:rPr>
                <w:sz w:val="14"/>
              </w:rPr>
            </w:pPr>
            <w:r>
              <w:rPr>
                <w:color w:val="231F20"/>
                <w:spacing w:val="-2"/>
                <w:w w:val="85"/>
                <w:sz w:val="14"/>
              </w:rPr>
              <w:t>Czechia</w:t>
            </w:r>
          </w:p>
        </w:tc>
        <w:tc>
          <w:tcPr>
            <w:tcW w:w="1558" w:type="dxa"/>
          </w:tcPr>
          <w:p>
            <w:pPr>
              <w:pStyle w:val="TableParagraph"/>
              <w:ind w:left="640"/>
              <w:jc w:val="left"/>
              <w:rPr>
                <w:sz w:val="14"/>
              </w:rPr>
            </w:pPr>
            <w:r>
              <w:rPr>
                <w:color w:val="231F20"/>
                <w:spacing w:val="-2"/>
                <w:w w:val="95"/>
                <w:sz w:val="14"/>
              </w:rPr>
              <w:t>128.5</w:t>
            </w:r>
          </w:p>
        </w:tc>
        <w:tc>
          <w:tcPr>
            <w:tcW w:w="1563" w:type="dxa"/>
          </w:tcPr>
          <w:p>
            <w:pPr>
              <w:pStyle w:val="TableParagraph"/>
              <w:ind w:left="65" w:right="88"/>
              <w:rPr>
                <w:sz w:val="14"/>
              </w:rPr>
            </w:pPr>
            <w:r>
              <w:rPr>
                <w:color w:val="231F20"/>
                <w:spacing w:val="-5"/>
                <w:w w:val="95"/>
                <w:sz w:val="14"/>
              </w:rPr>
              <w:t>4.1</w:t>
            </w:r>
          </w:p>
        </w:tc>
        <w:tc>
          <w:tcPr>
            <w:tcW w:w="1317" w:type="dxa"/>
          </w:tcPr>
          <w:p>
            <w:pPr>
              <w:pStyle w:val="TableParagraph"/>
              <w:ind w:left="183"/>
              <w:rPr>
                <w:sz w:val="14"/>
              </w:rPr>
            </w:pPr>
            <w:r>
              <w:rPr>
                <w:color w:val="231F20"/>
                <w:spacing w:val="-5"/>
                <w:w w:val="95"/>
                <w:sz w:val="14"/>
              </w:rPr>
              <w:t>2.3</w:t>
            </w:r>
          </w:p>
        </w:tc>
        <w:tc>
          <w:tcPr>
            <w:tcW w:w="1727" w:type="dxa"/>
          </w:tcPr>
          <w:p>
            <w:pPr>
              <w:pStyle w:val="TableParagraph"/>
              <w:ind w:left="226" w:right="14"/>
              <w:rPr>
                <w:sz w:val="14"/>
              </w:rPr>
            </w:pPr>
            <w:r>
              <w:rPr>
                <w:color w:val="231F20"/>
                <w:spacing w:val="-5"/>
                <w:w w:val="95"/>
                <w:sz w:val="14"/>
              </w:rPr>
              <w:t>3.9</w:t>
            </w:r>
          </w:p>
        </w:tc>
      </w:tr>
      <w:tr>
        <w:trPr>
          <w:trHeight w:val="259" w:hRule="atLeast"/>
        </w:trPr>
        <w:tc>
          <w:tcPr>
            <w:tcW w:w="1514" w:type="dxa"/>
            <w:shd w:val="clear" w:color="auto" w:fill="D4E3F5"/>
          </w:tcPr>
          <w:p>
            <w:pPr>
              <w:pStyle w:val="TableParagraph"/>
              <w:ind w:left="80"/>
              <w:jc w:val="left"/>
              <w:rPr>
                <w:sz w:val="14"/>
              </w:rPr>
            </w:pPr>
            <w:r>
              <w:rPr>
                <w:color w:val="231F20"/>
                <w:spacing w:val="-2"/>
                <w:w w:val="90"/>
                <w:sz w:val="14"/>
              </w:rPr>
              <w:t>Denmark</w:t>
            </w:r>
          </w:p>
        </w:tc>
        <w:tc>
          <w:tcPr>
            <w:tcW w:w="1558" w:type="dxa"/>
            <w:shd w:val="clear" w:color="auto" w:fill="D4E3F5"/>
          </w:tcPr>
          <w:p>
            <w:pPr>
              <w:pStyle w:val="TableParagraph"/>
              <w:ind w:left="640"/>
              <w:jc w:val="left"/>
              <w:rPr>
                <w:sz w:val="14"/>
              </w:rPr>
            </w:pPr>
            <w:r>
              <w:rPr>
                <w:color w:val="231F20"/>
                <w:spacing w:val="-5"/>
                <w:w w:val="95"/>
                <w:sz w:val="14"/>
              </w:rPr>
              <w:t>138</w:t>
            </w:r>
          </w:p>
        </w:tc>
        <w:tc>
          <w:tcPr>
            <w:tcW w:w="1563" w:type="dxa"/>
            <w:shd w:val="clear" w:color="auto" w:fill="D4E3F5"/>
          </w:tcPr>
          <w:p>
            <w:pPr>
              <w:pStyle w:val="TableParagraph"/>
              <w:ind w:left="78" w:right="88"/>
              <w:rPr>
                <w:sz w:val="14"/>
              </w:rPr>
            </w:pPr>
            <w:r>
              <w:rPr>
                <w:color w:val="231F20"/>
                <w:spacing w:val="-5"/>
                <w:w w:val="95"/>
                <w:sz w:val="14"/>
              </w:rPr>
              <w:t>4.7</w:t>
            </w:r>
          </w:p>
        </w:tc>
        <w:tc>
          <w:tcPr>
            <w:tcW w:w="1317" w:type="dxa"/>
            <w:shd w:val="clear" w:color="auto" w:fill="D4E3F5"/>
          </w:tcPr>
          <w:p>
            <w:pPr>
              <w:pStyle w:val="TableParagraph"/>
              <w:ind w:left="165"/>
              <w:rPr>
                <w:sz w:val="14"/>
              </w:rPr>
            </w:pPr>
            <w:r>
              <w:rPr>
                <w:color w:val="231F20"/>
                <w:spacing w:val="-5"/>
                <w:w w:val="95"/>
                <w:sz w:val="14"/>
              </w:rPr>
              <w:t>2.1</w:t>
            </w:r>
          </w:p>
        </w:tc>
        <w:tc>
          <w:tcPr>
            <w:tcW w:w="1727" w:type="dxa"/>
            <w:shd w:val="clear" w:color="auto" w:fill="D4E3F5"/>
          </w:tcPr>
          <w:p>
            <w:pPr>
              <w:pStyle w:val="TableParagraph"/>
              <w:ind w:left="226" w:right="15"/>
              <w:rPr>
                <w:sz w:val="14"/>
              </w:rPr>
            </w:pPr>
            <w:r>
              <w:rPr>
                <w:color w:val="231F20"/>
                <w:spacing w:val="-5"/>
                <w:w w:val="95"/>
                <w:sz w:val="14"/>
              </w:rPr>
              <w:t>5.6</w:t>
            </w:r>
          </w:p>
        </w:tc>
      </w:tr>
      <w:tr>
        <w:trPr>
          <w:trHeight w:val="259" w:hRule="atLeast"/>
        </w:trPr>
        <w:tc>
          <w:tcPr>
            <w:tcW w:w="1514" w:type="dxa"/>
          </w:tcPr>
          <w:p>
            <w:pPr>
              <w:pStyle w:val="TableParagraph"/>
              <w:ind w:left="80"/>
              <w:jc w:val="left"/>
              <w:rPr>
                <w:sz w:val="14"/>
              </w:rPr>
            </w:pPr>
            <w:r>
              <w:rPr>
                <w:color w:val="231F20"/>
                <w:spacing w:val="-2"/>
                <w:w w:val="90"/>
                <w:sz w:val="14"/>
              </w:rPr>
              <w:t>Djibouti</w:t>
            </w:r>
          </w:p>
        </w:tc>
        <w:tc>
          <w:tcPr>
            <w:tcW w:w="1558" w:type="dxa"/>
          </w:tcPr>
          <w:p>
            <w:pPr>
              <w:pStyle w:val="TableParagraph"/>
              <w:ind w:left="704"/>
              <w:jc w:val="left"/>
              <w:rPr>
                <w:sz w:val="14"/>
              </w:rPr>
            </w:pPr>
            <w:r>
              <w:rPr>
                <w:color w:val="231F20"/>
                <w:spacing w:val="-5"/>
                <w:w w:val="95"/>
                <w:sz w:val="14"/>
              </w:rPr>
              <w:t>39</w:t>
            </w:r>
          </w:p>
        </w:tc>
        <w:tc>
          <w:tcPr>
            <w:tcW w:w="1563" w:type="dxa"/>
          </w:tcPr>
          <w:p>
            <w:pPr>
              <w:pStyle w:val="TableParagraph"/>
              <w:ind w:left="79" w:right="88"/>
              <w:rPr>
                <w:sz w:val="14"/>
              </w:rPr>
            </w:pPr>
            <w:r>
              <w:rPr>
                <w:color w:val="231F20"/>
                <w:spacing w:val="-5"/>
                <w:w w:val="95"/>
                <w:sz w:val="14"/>
              </w:rPr>
              <w:t>3.4</w:t>
            </w:r>
          </w:p>
        </w:tc>
        <w:tc>
          <w:tcPr>
            <w:tcW w:w="1317" w:type="dxa"/>
          </w:tcPr>
          <w:p>
            <w:pPr>
              <w:pStyle w:val="TableParagraph"/>
              <w:ind w:left="193" w:right="4"/>
              <w:rPr>
                <w:sz w:val="14"/>
              </w:rPr>
            </w:pPr>
            <w:r>
              <w:rPr>
                <w:color w:val="231F20"/>
                <w:spacing w:val="-5"/>
                <w:w w:val="95"/>
                <w:sz w:val="14"/>
              </w:rPr>
              <w:t>1.0</w:t>
            </w:r>
          </w:p>
        </w:tc>
        <w:tc>
          <w:tcPr>
            <w:tcW w:w="1727" w:type="dxa"/>
          </w:tcPr>
          <w:p>
            <w:pPr>
              <w:pStyle w:val="TableParagraph"/>
              <w:ind w:left="226" w:right="21"/>
              <w:rPr>
                <w:sz w:val="14"/>
              </w:rPr>
            </w:pPr>
            <w:r>
              <w:rPr>
                <w:color w:val="231F20"/>
                <w:spacing w:val="-5"/>
                <w:w w:val="95"/>
                <w:sz w:val="14"/>
              </w:rPr>
              <w:t>3.7</w:t>
            </w:r>
          </w:p>
        </w:tc>
      </w:tr>
      <w:tr>
        <w:trPr>
          <w:trHeight w:val="259" w:hRule="atLeast"/>
        </w:trPr>
        <w:tc>
          <w:tcPr>
            <w:tcW w:w="1514" w:type="dxa"/>
            <w:shd w:val="clear" w:color="auto" w:fill="D4E3F5"/>
          </w:tcPr>
          <w:p>
            <w:pPr>
              <w:pStyle w:val="TableParagraph"/>
              <w:ind w:left="80"/>
              <w:jc w:val="left"/>
              <w:rPr>
                <w:sz w:val="14"/>
              </w:rPr>
            </w:pPr>
            <w:r>
              <w:rPr>
                <w:color w:val="231F20"/>
                <w:w w:val="75"/>
                <w:sz w:val="14"/>
              </w:rPr>
              <w:t>Dominican</w:t>
            </w:r>
            <w:r>
              <w:rPr>
                <w:color w:val="231F20"/>
                <w:spacing w:val="25"/>
                <w:sz w:val="14"/>
              </w:rPr>
              <w:t> </w:t>
            </w:r>
            <w:r>
              <w:rPr>
                <w:color w:val="231F20"/>
                <w:spacing w:val="-2"/>
                <w:w w:val="90"/>
                <w:sz w:val="14"/>
              </w:rPr>
              <w:t>Republic</w:t>
            </w:r>
          </w:p>
        </w:tc>
        <w:tc>
          <w:tcPr>
            <w:tcW w:w="1558" w:type="dxa"/>
            <w:shd w:val="clear" w:color="auto" w:fill="D4E3F5"/>
          </w:tcPr>
          <w:p>
            <w:pPr>
              <w:pStyle w:val="TableParagraph"/>
              <w:ind w:left="703"/>
              <w:jc w:val="left"/>
              <w:rPr>
                <w:sz w:val="14"/>
              </w:rPr>
            </w:pPr>
            <w:r>
              <w:rPr>
                <w:color w:val="231F20"/>
                <w:spacing w:val="-5"/>
                <w:w w:val="95"/>
                <w:sz w:val="14"/>
              </w:rPr>
              <w:t>65</w:t>
            </w:r>
          </w:p>
        </w:tc>
        <w:tc>
          <w:tcPr>
            <w:tcW w:w="1563" w:type="dxa"/>
            <w:shd w:val="clear" w:color="auto" w:fill="D4E3F5"/>
          </w:tcPr>
          <w:p>
            <w:pPr>
              <w:pStyle w:val="TableParagraph"/>
              <w:ind w:left="82" w:right="88"/>
              <w:rPr>
                <w:sz w:val="14"/>
              </w:rPr>
            </w:pPr>
            <w:r>
              <w:rPr>
                <w:color w:val="231F20"/>
                <w:spacing w:val="-5"/>
                <w:w w:val="95"/>
                <w:sz w:val="14"/>
              </w:rPr>
              <w:t>2.0</w:t>
            </w:r>
          </w:p>
        </w:tc>
        <w:tc>
          <w:tcPr>
            <w:tcW w:w="1317" w:type="dxa"/>
            <w:shd w:val="clear" w:color="auto" w:fill="D4E3F5"/>
          </w:tcPr>
          <w:p>
            <w:pPr>
              <w:pStyle w:val="TableParagraph"/>
              <w:ind w:left="184"/>
              <w:rPr>
                <w:sz w:val="14"/>
              </w:rPr>
            </w:pPr>
            <w:r>
              <w:rPr>
                <w:color w:val="231F20"/>
                <w:spacing w:val="-5"/>
                <w:w w:val="95"/>
                <w:sz w:val="14"/>
              </w:rPr>
              <w:t>0.2</w:t>
            </w:r>
          </w:p>
        </w:tc>
        <w:tc>
          <w:tcPr>
            <w:tcW w:w="1727" w:type="dxa"/>
            <w:shd w:val="clear" w:color="auto" w:fill="D4E3F5"/>
          </w:tcPr>
          <w:p>
            <w:pPr>
              <w:pStyle w:val="TableParagraph"/>
              <w:ind w:left="226" w:right="14"/>
              <w:rPr>
                <w:sz w:val="14"/>
              </w:rPr>
            </w:pPr>
            <w:r>
              <w:rPr>
                <w:color w:val="231F20"/>
                <w:spacing w:val="-5"/>
                <w:w w:val="95"/>
                <w:sz w:val="14"/>
              </w:rPr>
              <w:t>0.2</w:t>
            </w:r>
          </w:p>
        </w:tc>
      </w:tr>
      <w:tr>
        <w:trPr>
          <w:trHeight w:val="259" w:hRule="atLeast"/>
        </w:trPr>
        <w:tc>
          <w:tcPr>
            <w:tcW w:w="1514" w:type="dxa"/>
          </w:tcPr>
          <w:p>
            <w:pPr>
              <w:pStyle w:val="TableParagraph"/>
              <w:ind w:left="80"/>
              <w:jc w:val="left"/>
              <w:rPr>
                <w:sz w:val="14"/>
              </w:rPr>
            </w:pPr>
            <w:r>
              <w:rPr>
                <w:color w:val="231F20"/>
                <w:w w:val="75"/>
                <w:sz w:val="14"/>
              </w:rPr>
              <w:t>Egypt,</w:t>
            </w:r>
            <w:r>
              <w:rPr>
                <w:color w:val="231F20"/>
                <w:spacing w:val="7"/>
                <w:sz w:val="14"/>
              </w:rPr>
              <w:t> </w:t>
            </w:r>
            <w:r>
              <w:rPr>
                <w:color w:val="231F20"/>
                <w:w w:val="75"/>
                <w:sz w:val="14"/>
              </w:rPr>
              <w:t>Arab</w:t>
            </w:r>
            <w:r>
              <w:rPr>
                <w:color w:val="231F20"/>
                <w:spacing w:val="9"/>
                <w:sz w:val="14"/>
              </w:rPr>
              <w:t> </w:t>
            </w:r>
            <w:r>
              <w:rPr>
                <w:color w:val="231F20"/>
                <w:spacing w:val="-4"/>
                <w:w w:val="75"/>
                <w:sz w:val="14"/>
              </w:rPr>
              <w:t>Rep.</w:t>
            </w:r>
          </w:p>
        </w:tc>
        <w:tc>
          <w:tcPr>
            <w:tcW w:w="1558" w:type="dxa"/>
          </w:tcPr>
          <w:p>
            <w:pPr>
              <w:pStyle w:val="TableParagraph"/>
              <w:ind w:left="704"/>
              <w:jc w:val="left"/>
              <w:rPr>
                <w:sz w:val="14"/>
              </w:rPr>
            </w:pPr>
            <w:r>
              <w:rPr>
                <w:color w:val="231F20"/>
                <w:spacing w:val="-5"/>
                <w:w w:val="95"/>
                <w:sz w:val="14"/>
              </w:rPr>
              <w:t>89</w:t>
            </w:r>
          </w:p>
        </w:tc>
        <w:tc>
          <w:tcPr>
            <w:tcW w:w="1563" w:type="dxa"/>
          </w:tcPr>
          <w:p>
            <w:pPr>
              <w:pStyle w:val="TableParagraph"/>
              <w:ind w:left="20" w:right="88"/>
              <w:rPr>
                <w:sz w:val="14"/>
              </w:rPr>
            </w:pPr>
            <w:r>
              <w:rPr>
                <w:color w:val="231F20"/>
                <w:spacing w:val="-4"/>
                <w:w w:val="95"/>
                <w:sz w:val="14"/>
              </w:rPr>
              <w:t>10.2</w:t>
            </w:r>
          </w:p>
        </w:tc>
        <w:tc>
          <w:tcPr>
            <w:tcW w:w="1317" w:type="dxa"/>
          </w:tcPr>
          <w:p>
            <w:pPr>
              <w:pStyle w:val="TableParagraph"/>
              <w:ind w:left="165"/>
              <w:rPr>
                <w:sz w:val="14"/>
              </w:rPr>
            </w:pPr>
            <w:r>
              <w:rPr>
                <w:color w:val="231F20"/>
                <w:spacing w:val="-5"/>
                <w:w w:val="95"/>
                <w:sz w:val="14"/>
              </w:rPr>
              <w:t>2.1</w:t>
            </w:r>
          </w:p>
        </w:tc>
        <w:tc>
          <w:tcPr>
            <w:tcW w:w="1727" w:type="dxa"/>
          </w:tcPr>
          <w:p>
            <w:pPr>
              <w:pStyle w:val="TableParagraph"/>
              <w:ind w:left="226" w:right="97"/>
              <w:rPr>
                <w:sz w:val="14"/>
              </w:rPr>
            </w:pPr>
            <w:r>
              <w:rPr>
                <w:color w:val="231F20"/>
                <w:spacing w:val="-4"/>
                <w:w w:val="95"/>
                <w:sz w:val="14"/>
              </w:rPr>
              <w:t>13.1</w:t>
            </w:r>
          </w:p>
        </w:tc>
      </w:tr>
      <w:tr>
        <w:trPr>
          <w:trHeight w:val="259" w:hRule="atLeast"/>
        </w:trPr>
        <w:tc>
          <w:tcPr>
            <w:tcW w:w="1514" w:type="dxa"/>
            <w:shd w:val="clear" w:color="auto" w:fill="D4E3F5"/>
          </w:tcPr>
          <w:p>
            <w:pPr>
              <w:pStyle w:val="TableParagraph"/>
              <w:ind w:left="80"/>
              <w:jc w:val="left"/>
              <w:rPr>
                <w:sz w:val="14"/>
              </w:rPr>
            </w:pPr>
            <w:r>
              <w:rPr>
                <w:color w:val="231F20"/>
                <w:w w:val="70"/>
                <w:sz w:val="14"/>
              </w:rPr>
              <w:t>El</w:t>
            </w:r>
            <w:r>
              <w:rPr>
                <w:color w:val="231F20"/>
                <w:spacing w:val="-6"/>
                <w:sz w:val="14"/>
              </w:rPr>
              <w:t> </w:t>
            </w:r>
            <w:r>
              <w:rPr>
                <w:color w:val="231F20"/>
                <w:spacing w:val="-2"/>
                <w:w w:val="85"/>
                <w:sz w:val="14"/>
              </w:rPr>
              <w:t>Salvador</w:t>
            </w:r>
          </w:p>
        </w:tc>
        <w:tc>
          <w:tcPr>
            <w:tcW w:w="1558" w:type="dxa"/>
            <w:shd w:val="clear" w:color="auto" w:fill="D4E3F5"/>
          </w:tcPr>
          <w:p>
            <w:pPr>
              <w:pStyle w:val="TableParagraph"/>
              <w:ind w:left="702"/>
              <w:jc w:val="left"/>
              <w:rPr>
                <w:sz w:val="14"/>
              </w:rPr>
            </w:pPr>
            <w:r>
              <w:rPr>
                <w:color w:val="231F20"/>
                <w:spacing w:val="-5"/>
                <w:w w:val="95"/>
                <w:sz w:val="14"/>
              </w:rPr>
              <w:t>34</w:t>
            </w:r>
          </w:p>
        </w:tc>
        <w:tc>
          <w:tcPr>
            <w:tcW w:w="1563" w:type="dxa"/>
            <w:shd w:val="clear" w:color="auto" w:fill="D4E3F5"/>
          </w:tcPr>
          <w:p>
            <w:pPr>
              <w:pStyle w:val="TableParagraph"/>
              <w:ind w:left="65" w:right="88"/>
              <w:rPr>
                <w:sz w:val="14"/>
              </w:rPr>
            </w:pPr>
            <w:r>
              <w:rPr>
                <w:color w:val="231F20"/>
                <w:spacing w:val="-5"/>
                <w:w w:val="95"/>
                <w:sz w:val="14"/>
              </w:rPr>
              <w:t>4.1</w:t>
            </w:r>
          </w:p>
        </w:tc>
        <w:tc>
          <w:tcPr>
            <w:tcW w:w="1317" w:type="dxa"/>
            <w:shd w:val="clear" w:color="auto" w:fill="D4E3F5"/>
          </w:tcPr>
          <w:p>
            <w:pPr>
              <w:pStyle w:val="TableParagraph"/>
              <w:ind w:left="165"/>
              <w:rPr>
                <w:sz w:val="14"/>
              </w:rPr>
            </w:pPr>
            <w:r>
              <w:rPr>
                <w:color w:val="231F20"/>
                <w:spacing w:val="-5"/>
                <w:w w:val="95"/>
                <w:sz w:val="14"/>
              </w:rPr>
              <w:t>2.1</w:t>
            </w:r>
          </w:p>
        </w:tc>
        <w:tc>
          <w:tcPr>
            <w:tcW w:w="1727" w:type="dxa"/>
            <w:shd w:val="clear" w:color="auto" w:fill="D4E3F5"/>
          </w:tcPr>
          <w:p>
            <w:pPr>
              <w:pStyle w:val="TableParagraph"/>
              <w:ind w:left="226" w:right="21"/>
              <w:rPr>
                <w:sz w:val="14"/>
              </w:rPr>
            </w:pPr>
            <w:r>
              <w:rPr>
                <w:color w:val="231F20"/>
                <w:spacing w:val="-5"/>
                <w:w w:val="95"/>
                <w:sz w:val="14"/>
              </w:rPr>
              <w:t>3.7</w:t>
            </w:r>
          </w:p>
        </w:tc>
      </w:tr>
      <w:tr>
        <w:trPr>
          <w:trHeight w:val="259" w:hRule="atLeast"/>
        </w:trPr>
        <w:tc>
          <w:tcPr>
            <w:tcW w:w="1514" w:type="dxa"/>
          </w:tcPr>
          <w:p>
            <w:pPr>
              <w:pStyle w:val="TableParagraph"/>
              <w:ind w:left="80"/>
              <w:jc w:val="left"/>
              <w:rPr>
                <w:sz w:val="14"/>
              </w:rPr>
            </w:pPr>
            <w:r>
              <w:rPr>
                <w:color w:val="231F20"/>
                <w:spacing w:val="-2"/>
                <w:w w:val="85"/>
                <w:sz w:val="14"/>
              </w:rPr>
              <w:t>Estonia</w:t>
            </w:r>
          </w:p>
        </w:tc>
        <w:tc>
          <w:tcPr>
            <w:tcW w:w="1558" w:type="dxa"/>
          </w:tcPr>
          <w:p>
            <w:pPr>
              <w:pStyle w:val="TableParagraph"/>
              <w:ind w:left="652"/>
              <w:jc w:val="left"/>
              <w:rPr>
                <w:sz w:val="14"/>
              </w:rPr>
            </w:pPr>
            <w:r>
              <w:rPr>
                <w:color w:val="231F20"/>
                <w:spacing w:val="-5"/>
                <w:w w:val="95"/>
                <w:sz w:val="14"/>
              </w:rPr>
              <w:t>113</w:t>
            </w:r>
          </w:p>
        </w:tc>
        <w:tc>
          <w:tcPr>
            <w:tcW w:w="1563" w:type="dxa"/>
          </w:tcPr>
          <w:p>
            <w:pPr>
              <w:pStyle w:val="TableParagraph"/>
              <w:ind w:left="83" w:right="88"/>
              <w:rPr>
                <w:sz w:val="14"/>
              </w:rPr>
            </w:pPr>
            <w:r>
              <w:rPr>
                <w:color w:val="231F20"/>
                <w:spacing w:val="-5"/>
                <w:w w:val="95"/>
                <w:sz w:val="14"/>
              </w:rPr>
              <w:t>4.5</w:t>
            </w:r>
          </w:p>
        </w:tc>
        <w:tc>
          <w:tcPr>
            <w:tcW w:w="1317" w:type="dxa"/>
          </w:tcPr>
          <w:p>
            <w:pPr>
              <w:pStyle w:val="TableParagraph"/>
              <w:ind w:left="183"/>
              <w:rPr>
                <w:sz w:val="14"/>
              </w:rPr>
            </w:pPr>
            <w:r>
              <w:rPr>
                <w:color w:val="231F20"/>
                <w:spacing w:val="-5"/>
                <w:w w:val="95"/>
                <w:sz w:val="14"/>
              </w:rPr>
              <w:t>2.0</w:t>
            </w:r>
          </w:p>
        </w:tc>
        <w:tc>
          <w:tcPr>
            <w:tcW w:w="1727" w:type="dxa"/>
          </w:tcPr>
          <w:p>
            <w:pPr>
              <w:pStyle w:val="TableParagraph"/>
              <w:ind w:left="226" w:right="15"/>
              <w:rPr>
                <w:sz w:val="14"/>
              </w:rPr>
            </w:pPr>
            <w:r>
              <w:rPr>
                <w:color w:val="231F20"/>
                <w:spacing w:val="-5"/>
                <w:w w:val="95"/>
                <w:sz w:val="14"/>
              </w:rPr>
              <w:t>5.3</w:t>
            </w:r>
          </w:p>
        </w:tc>
      </w:tr>
      <w:tr>
        <w:trPr>
          <w:trHeight w:val="259" w:hRule="atLeast"/>
        </w:trPr>
        <w:tc>
          <w:tcPr>
            <w:tcW w:w="1514" w:type="dxa"/>
            <w:shd w:val="clear" w:color="auto" w:fill="D4E3F5"/>
          </w:tcPr>
          <w:p>
            <w:pPr>
              <w:pStyle w:val="TableParagraph"/>
              <w:ind w:left="80"/>
              <w:jc w:val="left"/>
              <w:rPr>
                <w:sz w:val="14"/>
              </w:rPr>
            </w:pPr>
            <w:r>
              <w:rPr>
                <w:color w:val="231F20"/>
                <w:spacing w:val="-4"/>
                <w:w w:val="90"/>
                <w:sz w:val="14"/>
              </w:rPr>
              <w:t>Fiji</w:t>
            </w:r>
          </w:p>
        </w:tc>
        <w:tc>
          <w:tcPr>
            <w:tcW w:w="1558" w:type="dxa"/>
            <w:shd w:val="clear" w:color="auto" w:fill="D4E3F5"/>
          </w:tcPr>
          <w:p>
            <w:pPr>
              <w:pStyle w:val="TableParagraph"/>
              <w:ind w:left="703"/>
              <w:jc w:val="left"/>
              <w:rPr>
                <w:sz w:val="14"/>
              </w:rPr>
            </w:pPr>
            <w:r>
              <w:rPr>
                <w:color w:val="231F20"/>
                <w:spacing w:val="-4"/>
                <w:w w:val="95"/>
                <w:sz w:val="14"/>
              </w:rPr>
              <w:t>59.5</w:t>
            </w:r>
          </w:p>
        </w:tc>
        <w:tc>
          <w:tcPr>
            <w:tcW w:w="1563" w:type="dxa"/>
            <w:shd w:val="clear" w:color="auto" w:fill="D4E3F5"/>
          </w:tcPr>
          <w:p>
            <w:pPr>
              <w:pStyle w:val="TableParagraph"/>
              <w:ind w:left="83" w:right="88"/>
              <w:rPr>
                <w:sz w:val="14"/>
              </w:rPr>
            </w:pPr>
            <w:r>
              <w:rPr>
                <w:color w:val="231F20"/>
                <w:spacing w:val="-5"/>
                <w:w w:val="95"/>
                <w:sz w:val="14"/>
              </w:rPr>
              <w:t>3.8</w:t>
            </w:r>
          </w:p>
        </w:tc>
        <w:tc>
          <w:tcPr>
            <w:tcW w:w="1317" w:type="dxa"/>
            <w:shd w:val="clear" w:color="auto" w:fill="D4E3F5"/>
          </w:tcPr>
          <w:p>
            <w:pPr>
              <w:pStyle w:val="TableParagraph"/>
              <w:ind w:left="193" w:right="3"/>
              <w:rPr>
                <w:sz w:val="14"/>
              </w:rPr>
            </w:pPr>
            <w:r>
              <w:rPr>
                <w:color w:val="231F20"/>
                <w:spacing w:val="-5"/>
                <w:w w:val="95"/>
                <w:sz w:val="14"/>
              </w:rPr>
              <w:t>1.3</w:t>
            </w:r>
          </w:p>
        </w:tc>
        <w:tc>
          <w:tcPr>
            <w:tcW w:w="1727" w:type="dxa"/>
            <w:shd w:val="clear" w:color="auto" w:fill="D4E3F5"/>
          </w:tcPr>
          <w:p>
            <w:pPr>
              <w:pStyle w:val="TableParagraph"/>
              <w:ind w:left="226" w:right="17"/>
              <w:rPr>
                <w:sz w:val="14"/>
              </w:rPr>
            </w:pPr>
            <w:r>
              <w:rPr>
                <w:color w:val="231F20"/>
                <w:spacing w:val="-5"/>
                <w:w w:val="95"/>
                <w:sz w:val="14"/>
              </w:rPr>
              <w:t>2.4</w:t>
            </w:r>
          </w:p>
        </w:tc>
      </w:tr>
      <w:tr>
        <w:trPr>
          <w:trHeight w:val="259" w:hRule="atLeast"/>
        </w:trPr>
        <w:tc>
          <w:tcPr>
            <w:tcW w:w="1514" w:type="dxa"/>
          </w:tcPr>
          <w:p>
            <w:pPr>
              <w:pStyle w:val="TableParagraph"/>
              <w:ind w:left="80"/>
              <w:jc w:val="left"/>
              <w:rPr>
                <w:sz w:val="14"/>
              </w:rPr>
            </w:pPr>
            <w:r>
              <w:rPr>
                <w:color w:val="231F20"/>
                <w:spacing w:val="-2"/>
                <w:w w:val="90"/>
                <w:sz w:val="14"/>
              </w:rPr>
              <w:t>Finland</w:t>
            </w:r>
          </w:p>
        </w:tc>
        <w:tc>
          <w:tcPr>
            <w:tcW w:w="1558" w:type="dxa"/>
          </w:tcPr>
          <w:p>
            <w:pPr>
              <w:pStyle w:val="TableParagraph"/>
              <w:ind w:left="640"/>
              <w:jc w:val="left"/>
              <w:rPr>
                <w:sz w:val="14"/>
              </w:rPr>
            </w:pPr>
            <w:r>
              <w:rPr>
                <w:color w:val="231F20"/>
                <w:spacing w:val="-5"/>
                <w:w w:val="95"/>
                <w:sz w:val="14"/>
              </w:rPr>
              <w:t>134</w:t>
            </w:r>
          </w:p>
        </w:tc>
        <w:tc>
          <w:tcPr>
            <w:tcW w:w="1563" w:type="dxa"/>
          </w:tcPr>
          <w:p>
            <w:pPr>
              <w:pStyle w:val="TableParagraph"/>
              <w:ind w:left="82" w:right="88"/>
              <w:rPr>
                <w:sz w:val="14"/>
              </w:rPr>
            </w:pPr>
            <w:r>
              <w:rPr>
                <w:color w:val="231F20"/>
                <w:spacing w:val="-5"/>
                <w:w w:val="95"/>
                <w:sz w:val="14"/>
              </w:rPr>
              <w:t>2.5</w:t>
            </w:r>
          </w:p>
        </w:tc>
        <w:tc>
          <w:tcPr>
            <w:tcW w:w="1317" w:type="dxa"/>
          </w:tcPr>
          <w:p>
            <w:pPr>
              <w:pStyle w:val="TableParagraph"/>
              <w:ind w:left="193" w:right="3"/>
              <w:rPr>
                <w:sz w:val="14"/>
              </w:rPr>
            </w:pPr>
            <w:r>
              <w:rPr>
                <w:color w:val="231F20"/>
                <w:spacing w:val="-5"/>
                <w:w w:val="95"/>
                <w:sz w:val="14"/>
              </w:rPr>
              <w:t>1.3</w:t>
            </w:r>
          </w:p>
        </w:tc>
        <w:tc>
          <w:tcPr>
            <w:tcW w:w="1727" w:type="dxa"/>
          </w:tcPr>
          <w:p>
            <w:pPr>
              <w:pStyle w:val="TableParagraph"/>
              <w:ind w:left="226" w:right="33"/>
              <w:rPr>
                <w:sz w:val="14"/>
              </w:rPr>
            </w:pPr>
            <w:r>
              <w:rPr>
                <w:color w:val="231F20"/>
                <w:spacing w:val="-5"/>
                <w:w w:val="95"/>
                <w:sz w:val="14"/>
              </w:rPr>
              <w:t>2.1</w:t>
            </w:r>
          </w:p>
        </w:tc>
      </w:tr>
      <w:tr>
        <w:trPr>
          <w:trHeight w:val="259" w:hRule="atLeast"/>
        </w:trPr>
        <w:tc>
          <w:tcPr>
            <w:tcW w:w="1514" w:type="dxa"/>
            <w:shd w:val="clear" w:color="auto" w:fill="D4E3F5"/>
          </w:tcPr>
          <w:p>
            <w:pPr>
              <w:pStyle w:val="TableParagraph"/>
              <w:ind w:left="80"/>
              <w:jc w:val="left"/>
              <w:rPr>
                <w:sz w:val="14"/>
              </w:rPr>
            </w:pPr>
            <w:r>
              <w:rPr>
                <w:color w:val="231F20"/>
                <w:spacing w:val="-2"/>
                <w:w w:val="85"/>
                <w:sz w:val="14"/>
              </w:rPr>
              <w:t>France</w:t>
            </w:r>
          </w:p>
        </w:tc>
        <w:tc>
          <w:tcPr>
            <w:tcW w:w="1558" w:type="dxa"/>
            <w:shd w:val="clear" w:color="auto" w:fill="D4E3F5"/>
          </w:tcPr>
          <w:p>
            <w:pPr>
              <w:pStyle w:val="TableParagraph"/>
              <w:ind w:left="647"/>
              <w:jc w:val="left"/>
              <w:rPr>
                <w:sz w:val="14"/>
              </w:rPr>
            </w:pPr>
            <w:r>
              <w:rPr>
                <w:color w:val="231F20"/>
                <w:spacing w:val="-5"/>
                <w:w w:val="95"/>
                <w:sz w:val="14"/>
              </w:rPr>
              <w:t>141</w:t>
            </w:r>
          </w:p>
        </w:tc>
        <w:tc>
          <w:tcPr>
            <w:tcW w:w="1563" w:type="dxa"/>
            <w:shd w:val="clear" w:color="auto" w:fill="D4E3F5"/>
          </w:tcPr>
          <w:p>
            <w:pPr>
              <w:pStyle w:val="TableParagraph"/>
              <w:ind w:left="81" w:right="88"/>
              <w:rPr>
                <w:sz w:val="14"/>
              </w:rPr>
            </w:pPr>
            <w:r>
              <w:rPr>
                <w:color w:val="231F20"/>
                <w:spacing w:val="-5"/>
                <w:w w:val="95"/>
                <w:sz w:val="14"/>
              </w:rPr>
              <w:t>3.0</w:t>
            </w:r>
          </w:p>
        </w:tc>
        <w:tc>
          <w:tcPr>
            <w:tcW w:w="1317" w:type="dxa"/>
            <w:shd w:val="clear" w:color="auto" w:fill="D4E3F5"/>
          </w:tcPr>
          <w:p>
            <w:pPr>
              <w:pStyle w:val="TableParagraph"/>
              <w:ind w:left="184"/>
              <w:rPr>
                <w:sz w:val="14"/>
              </w:rPr>
            </w:pPr>
            <w:r>
              <w:rPr>
                <w:color w:val="231F20"/>
                <w:spacing w:val="-5"/>
                <w:w w:val="95"/>
                <w:sz w:val="14"/>
              </w:rPr>
              <w:t>2.2</w:t>
            </w:r>
          </w:p>
        </w:tc>
        <w:tc>
          <w:tcPr>
            <w:tcW w:w="1727" w:type="dxa"/>
            <w:shd w:val="clear" w:color="auto" w:fill="D4E3F5"/>
          </w:tcPr>
          <w:p>
            <w:pPr>
              <w:pStyle w:val="TableParagraph"/>
              <w:ind w:left="226" w:right="8"/>
              <w:rPr>
                <w:sz w:val="14"/>
              </w:rPr>
            </w:pPr>
            <w:r>
              <w:rPr>
                <w:color w:val="231F20"/>
                <w:spacing w:val="-5"/>
                <w:w w:val="95"/>
                <w:sz w:val="14"/>
              </w:rPr>
              <w:t>1.3</w:t>
            </w:r>
          </w:p>
        </w:tc>
      </w:tr>
      <w:tr>
        <w:trPr>
          <w:trHeight w:val="259" w:hRule="atLeast"/>
        </w:trPr>
        <w:tc>
          <w:tcPr>
            <w:tcW w:w="1514" w:type="dxa"/>
          </w:tcPr>
          <w:p>
            <w:pPr>
              <w:pStyle w:val="TableParagraph"/>
              <w:ind w:left="80"/>
              <w:jc w:val="left"/>
              <w:rPr>
                <w:sz w:val="14"/>
              </w:rPr>
            </w:pPr>
            <w:r>
              <w:rPr>
                <w:color w:val="231F20"/>
                <w:spacing w:val="-2"/>
                <w:w w:val="85"/>
                <w:sz w:val="14"/>
              </w:rPr>
              <w:t>Gabon</w:t>
            </w:r>
          </w:p>
        </w:tc>
        <w:tc>
          <w:tcPr>
            <w:tcW w:w="1558" w:type="dxa"/>
          </w:tcPr>
          <w:p>
            <w:pPr>
              <w:pStyle w:val="TableParagraph"/>
              <w:ind w:left="703"/>
              <w:jc w:val="left"/>
              <w:rPr>
                <w:sz w:val="14"/>
              </w:rPr>
            </w:pPr>
            <w:r>
              <w:rPr>
                <w:color w:val="231F20"/>
                <w:spacing w:val="-5"/>
                <w:w w:val="95"/>
                <w:sz w:val="14"/>
              </w:rPr>
              <w:t>22</w:t>
            </w:r>
          </w:p>
        </w:tc>
        <w:tc>
          <w:tcPr>
            <w:tcW w:w="1563" w:type="dxa"/>
          </w:tcPr>
          <w:p>
            <w:pPr>
              <w:pStyle w:val="TableParagraph"/>
              <w:ind w:left="28" w:right="88"/>
              <w:rPr>
                <w:sz w:val="14"/>
              </w:rPr>
            </w:pPr>
            <w:r>
              <w:rPr>
                <w:color w:val="231F20"/>
                <w:spacing w:val="-4"/>
                <w:w w:val="95"/>
                <w:sz w:val="14"/>
              </w:rPr>
              <w:t>11.9</w:t>
            </w:r>
          </w:p>
        </w:tc>
        <w:tc>
          <w:tcPr>
            <w:tcW w:w="1317" w:type="dxa"/>
          </w:tcPr>
          <w:p>
            <w:pPr>
              <w:pStyle w:val="TableParagraph"/>
              <w:ind w:left="183"/>
              <w:rPr>
                <w:sz w:val="14"/>
              </w:rPr>
            </w:pPr>
            <w:r>
              <w:rPr>
                <w:color w:val="231F20"/>
                <w:spacing w:val="-5"/>
                <w:w w:val="95"/>
                <w:sz w:val="14"/>
              </w:rPr>
              <w:t>5.0</w:t>
            </w:r>
          </w:p>
        </w:tc>
        <w:tc>
          <w:tcPr>
            <w:tcW w:w="1727" w:type="dxa"/>
          </w:tcPr>
          <w:p>
            <w:pPr>
              <w:pStyle w:val="TableParagraph"/>
              <w:ind w:left="226" w:right="98"/>
              <w:rPr>
                <w:sz w:val="14"/>
              </w:rPr>
            </w:pPr>
            <w:r>
              <w:rPr>
                <w:color w:val="231F20"/>
                <w:spacing w:val="-4"/>
                <w:w w:val="95"/>
                <w:sz w:val="14"/>
              </w:rPr>
              <w:t>16.1</w:t>
            </w:r>
          </w:p>
        </w:tc>
      </w:tr>
      <w:tr>
        <w:trPr>
          <w:trHeight w:val="259" w:hRule="atLeast"/>
        </w:trPr>
        <w:tc>
          <w:tcPr>
            <w:tcW w:w="1514" w:type="dxa"/>
            <w:shd w:val="clear" w:color="auto" w:fill="D4E3F5"/>
          </w:tcPr>
          <w:p>
            <w:pPr>
              <w:pStyle w:val="TableParagraph"/>
              <w:ind w:left="80"/>
              <w:jc w:val="left"/>
              <w:rPr>
                <w:sz w:val="14"/>
              </w:rPr>
            </w:pPr>
            <w:r>
              <w:rPr>
                <w:color w:val="231F20"/>
                <w:spacing w:val="-2"/>
                <w:w w:val="85"/>
                <w:sz w:val="14"/>
              </w:rPr>
              <w:t>Georgia</w:t>
            </w:r>
          </w:p>
        </w:tc>
        <w:tc>
          <w:tcPr>
            <w:tcW w:w="1558" w:type="dxa"/>
            <w:shd w:val="clear" w:color="auto" w:fill="D4E3F5"/>
          </w:tcPr>
          <w:p>
            <w:pPr>
              <w:pStyle w:val="TableParagraph"/>
              <w:ind w:left="704"/>
              <w:jc w:val="left"/>
              <w:rPr>
                <w:sz w:val="14"/>
              </w:rPr>
            </w:pPr>
            <w:r>
              <w:rPr>
                <w:color w:val="231F20"/>
                <w:spacing w:val="-5"/>
                <w:w w:val="95"/>
                <w:sz w:val="14"/>
              </w:rPr>
              <w:t>82</w:t>
            </w:r>
          </w:p>
        </w:tc>
        <w:tc>
          <w:tcPr>
            <w:tcW w:w="1563" w:type="dxa"/>
            <w:shd w:val="clear" w:color="auto" w:fill="D4E3F5"/>
          </w:tcPr>
          <w:p>
            <w:pPr>
              <w:pStyle w:val="TableParagraph"/>
              <w:ind w:left="87" w:right="88"/>
              <w:rPr>
                <w:sz w:val="14"/>
              </w:rPr>
            </w:pPr>
            <w:r>
              <w:rPr>
                <w:color w:val="231F20"/>
                <w:spacing w:val="-5"/>
                <w:w w:val="95"/>
                <w:sz w:val="14"/>
              </w:rPr>
              <w:t>1.8</w:t>
            </w:r>
          </w:p>
        </w:tc>
        <w:tc>
          <w:tcPr>
            <w:tcW w:w="1317" w:type="dxa"/>
            <w:shd w:val="clear" w:color="auto" w:fill="D4E3F5"/>
          </w:tcPr>
          <w:p>
            <w:pPr>
              <w:pStyle w:val="TableParagraph"/>
              <w:ind w:left="193" w:right="4"/>
              <w:rPr>
                <w:sz w:val="14"/>
              </w:rPr>
            </w:pPr>
            <w:r>
              <w:rPr>
                <w:color w:val="231F20"/>
                <w:spacing w:val="-5"/>
                <w:w w:val="95"/>
                <w:sz w:val="14"/>
              </w:rPr>
              <w:t>1.0</w:t>
            </w:r>
          </w:p>
        </w:tc>
        <w:tc>
          <w:tcPr>
            <w:tcW w:w="1727" w:type="dxa"/>
            <w:shd w:val="clear" w:color="auto" w:fill="D4E3F5"/>
          </w:tcPr>
          <w:p>
            <w:pPr>
              <w:pStyle w:val="TableParagraph"/>
              <w:ind w:left="226" w:right="27"/>
              <w:rPr>
                <w:sz w:val="14"/>
              </w:rPr>
            </w:pPr>
            <w:r>
              <w:rPr>
                <w:color w:val="231F20"/>
                <w:spacing w:val="-5"/>
                <w:w w:val="95"/>
                <w:sz w:val="14"/>
              </w:rPr>
              <w:t>1.1</w:t>
            </w:r>
          </w:p>
        </w:tc>
      </w:tr>
      <w:tr>
        <w:trPr>
          <w:trHeight w:val="259" w:hRule="atLeast"/>
        </w:trPr>
        <w:tc>
          <w:tcPr>
            <w:tcW w:w="1514" w:type="dxa"/>
          </w:tcPr>
          <w:p>
            <w:pPr>
              <w:pStyle w:val="TableParagraph"/>
              <w:ind w:left="80"/>
              <w:jc w:val="left"/>
              <w:rPr>
                <w:sz w:val="14"/>
              </w:rPr>
            </w:pPr>
            <w:r>
              <w:rPr>
                <w:color w:val="231F20"/>
                <w:spacing w:val="-2"/>
                <w:w w:val="85"/>
                <w:sz w:val="14"/>
              </w:rPr>
              <w:t>Germany</w:t>
            </w:r>
          </w:p>
        </w:tc>
        <w:tc>
          <w:tcPr>
            <w:tcW w:w="1558" w:type="dxa"/>
          </w:tcPr>
          <w:p>
            <w:pPr>
              <w:pStyle w:val="TableParagraph"/>
              <w:ind w:left="639"/>
              <w:jc w:val="left"/>
              <w:rPr>
                <w:sz w:val="14"/>
              </w:rPr>
            </w:pPr>
            <w:r>
              <w:rPr>
                <w:color w:val="231F20"/>
                <w:spacing w:val="-2"/>
                <w:w w:val="95"/>
                <w:sz w:val="14"/>
              </w:rPr>
              <w:t>150.5</w:t>
            </w:r>
          </w:p>
        </w:tc>
        <w:tc>
          <w:tcPr>
            <w:tcW w:w="1563" w:type="dxa"/>
          </w:tcPr>
          <w:p>
            <w:pPr>
              <w:pStyle w:val="TableParagraph"/>
              <w:ind w:left="85" w:right="88"/>
              <w:rPr>
                <w:sz w:val="14"/>
              </w:rPr>
            </w:pPr>
            <w:r>
              <w:rPr>
                <w:color w:val="231F20"/>
                <w:spacing w:val="-5"/>
                <w:w w:val="95"/>
                <w:sz w:val="14"/>
              </w:rPr>
              <w:t>1.7</w:t>
            </w:r>
          </w:p>
        </w:tc>
        <w:tc>
          <w:tcPr>
            <w:tcW w:w="1317" w:type="dxa"/>
          </w:tcPr>
          <w:p>
            <w:pPr>
              <w:pStyle w:val="TableParagraph"/>
              <w:ind w:left="183"/>
              <w:rPr>
                <w:sz w:val="14"/>
              </w:rPr>
            </w:pPr>
            <w:r>
              <w:rPr>
                <w:color w:val="231F20"/>
                <w:spacing w:val="-5"/>
                <w:w w:val="95"/>
                <w:sz w:val="14"/>
              </w:rPr>
              <w:t>0.9</w:t>
            </w:r>
          </w:p>
        </w:tc>
        <w:tc>
          <w:tcPr>
            <w:tcW w:w="1727" w:type="dxa"/>
          </w:tcPr>
          <w:p>
            <w:pPr>
              <w:pStyle w:val="TableParagraph"/>
              <w:ind w:left="226" w:right="9"/>
              <w:rPr>
                <w:sz w:val="14"/>
              </w:rPr>
            </w:pPr>
            <w:r>
              <w:rPr>
                <w:color w:val="231F20"/>
                <w:spacing w:val="-5"/>
                <w:w w:val="95"/>
                <w:sz w:val="14"/>
              </w:rPr>
              <w:t>1.6</w:t>
            </w:r>
          </w:p>
        </w:tc>
      </w:tr>
      <w:tr>
        <w:trPr>
          <w:trHeight w:val="259" w:hRule="atLeast"/>
        </w:trPr>
        <w:tc>
          <w:tcPr>
            <w:tcW w:w="1514" w:type="dxa"/>
            <w:shd w:val="clear" w:color="auto" w:fill="D4E3F5"/>
          </w:tcPr>
          <w:p>
            <w:pPr>
              <w:pStyle w:val="TableParagraph"/>
              <w:ind w:left="80"/>
              <w:jc w:val="left"/>
              <w:rPr>
                <w:sz w:val="14"/>
              </w:rPr>
            </w:pPr>
            <w:r>
              <w:rPr>
                <w:color w:val="231F20"/>
                <w:spacing w:val="-2"/>
                <w:w w:val="85"/>
                <w:sz w:val="14"/>
              </w:rPr>
              <w:t>Ghana</w:t>
            </w:r>
          </w:p>
        </w:tc>
        <w:tc>
          <w:tcPr>
            <w:tcW w:w="1558" w:type="dxa"/>
            <w:shd w:val="clear" w:color="auto" w:fill="D4E3F5"/>
          </w:tcPr>
          <w:p>
            <w:pPr>
              <w:pStyle w:val="TableParagraph"/>
              <w:ind w:left="701"/>
              <w:jc w:val="left"/>
              <w:rPr>
                <w:sz w:val="14"/>
              </w:rPr>
            </w:pPr>
            <w:r>
              <w:rPr>
                <w:color w:val="231F20"/>
                <w:spacing w:val="-4"/>
                <w:w w:val="95"/>
                <w:sz w:val="14"/>
              </w:rPr>
              <w:t>90.5</w:t>
            </w:r>
          </w:p>
        </w:tc>
        <w:tc>
          <w:tcPr>
            <w:tcW w:w="1563" w:type="dxa"/>
            <w:shd w:val="clear" w:color="auto" w:fill="D4E3F5"/>
          </w:tcPr>
          <w:p>
            <w:pPr>
              <w:pStyle w:val="TableParagraph"/>
              <w:ind w:left="80" w:right="88"/>
              <w:rPr>
                <w:sz w:val="14"/>
              </w:rPr>
            </w:pPr>
            <w:r>
              <w:rPr>
                <w:color w:val="231F20"/>
                <w:spacing w:val="-5"/>
                <w:w w:val="95"/>
                <w:sz w:val="14"/>
              </w:rPr>
              <w:t>2.4</w:t>
            </w:r>
          </w:p>
        </w:tc>
        <w:tc>
          <w:tcPr>
            <w:tcW w:w="1317" w:type="dxa"/>
            <w:shd w:val="clear" w:color="auto" w:fill="D4E3F5"/>
          </w:tcPr>
          <w:p>
            <w:pPr>
              <w:pStyle w:val="TableParagraph"/>
              <w:ind w:left="193" w:right="4"/>
              <w:rPr>
                <w:sz w:val="14"/>
              </w:rPr>
            </w:pPr>
            <w:r>
              <w:rPr>
                <w:color w:val="231F20"/>
                <w:spacing w:val="-5"/>
                <w:w w:val="95"/>
                <w:sz w:val="14"/>
              </w:rPr>
              <w:t>1.0</w:t>
            </w:r>
          </w:p>
        </w:tc>
        <w:tc>
          <w:tcPr>
            <w:tcW w:w="1727" w:type="dxa"/>
            <w:shd w:val="clear" w:color="auto" w:fill="D4E3F5"/>
          </w:tcPr>
          <w:p>
            <w:pPr>
              <w:pStyle w:val="TableParagraph"/>
              <w:ind w:left="226" w:right="20"/>
              <w:rPr>
                <w:sz w:val="14"/>
              </w:rPr>
            </w:pPr>
            <w:r>
              <w:rPr>
                <w:color w:val="231F20"/>
                <w:spacing w:val="-5"/>
                <w:w w:val="95"/>
                <w:sz w:val="14"/>
              </w:rPr>
              <w:t>2.7</w:t>
            </w:r>
          </w:p>
        </w:tc>
      </w:tr>
      <w:tr>
        <w:trPr>
          <w:trHeight w:val="254" w:hRule="atLeast"/>
        </w:trPr>
        <w:tc>
          <w:tcPr>
            <w:tcW w:w="1514" w:type="dxa"/>
            <w:tcBorders>
              <w:bottom w:val="single" w:sz="4" w:space="0" w:color="008FDD"/>
            </w:tcBorders>
          </w:tcPr>
          <w:p>
            <w:pPr>
              <w:pStyle w:val="TableParagraph"/>
              <w:ind w:left="80"/>
              <w:jc w:val="left"/>
              <w:rPr>
                <w:sz w:val="14"/>
              </w:rPr>
            </w:pPr>
            <w:r>
              <w:rPr>
                <w:color w:val="231F20"/>
                <w:spacing w:val="-2"/>
                <w:w w:val="85"/>
                <w:sz w:val="14"/>
              </w:rPr>
              <w:t>Greece</w:t>
            </w:r>
          </w:p>
        </w:tc>
        <w:tc>
          <w:tcPr>
            <w:tcW w:w="1558" w:type="dxa"/>
            <w:tcBorders>
              <w:bottom w:val="single" w:sz="4" w:space="0" w:color="008FDD"/>
            </w:tcBorders>
          </w:tcPr>
          <w:p>
            <w:pPr>
              <w:pStyle w:val="TableParagraph"/>
              <w:ind w:left="649"/>
              <w:jc w:val="left"/>
              <w:rPr>
                <w:sz w:val="14"/>
              </w:rPr>
            </w:pPr>
            <w:r>
              <w:rPr>
                <w:color w:val="231F20"/>
                <w:spacing w:val="-2"/>
                <w:w w:val="95"/>
                <w:sz w:val="14"/>
              </w:rPr>
              <w:t>131.5</w:t>
            </w:r>
          </w:p>
        </w:tc>
        <w:tc>
          <w:tcPr>
            <w:tcW w:w="1563" w:type="dxa"/>
            <w:tcBorders>
              <w:bottom w:val="single" w:sz="4" w:space="0" w:color="008FDD"/>
            </w:tcBorders>
          </w:tcPr>
          <w:p>
            <w:pPr>
              <w:pStyle w:val="TableParagraph"/>
              <w:ind w:left="83" w:right="88"/>
              <w:rPr>
                <w:sz w:val="14"/>
              </w:rPr>
            </w:pPr>
            <w:r>
              <w:rPr>
                <w:color w:val="231F20"/>
                <w:spacing w:val="-5"/>
                <w:w w:val="95"/>
                <w:sz w:val="14"/>
              </w:rPr>
              <w:t>4.8</w:t>
            </w:r>
          </w:p>
        </w:tc>
        <w:tc>
          <w:tcPr>
            <w:tcW w:w="1317" w:type="dxa"/>
            <w:tcBorders>
              <w:bottom w:val="single" w:sz="4" w:space="0" w:color="008FDD"/>
            </w:tcBorders>
          </w:tcPr>
          <w:p>
            <w:pPr>
              <w:pStyle w:val="TableParagraph"/>
              <w:ind w:left="182"/>
              <w:rPr>
                <w:sz w:val="14"/>
              </w:rPr>
            </w:pPr>
            <w:r>
              <w:rPr>
                <w:color w:val="231F20"/>
                <w:spacing w:val="-5"/>
                <w:w w:val="95"/>
                <w:sz w:val="14"/>
              </w:rPr>
              <w:t>3.0</w:t>
            </w:r>
          </w:p>
        </w:tc>
        <w:tc>
          <w:tcPr>
            <w:tcW w:w="1727" w:type="dxa"/>
            <w:tcBorders>
              <w:bottom w:val="single" w:sz="4" w:space="0" w:color="008FDD"/>
            </w:tcBorders>
          </w:tcPr>
          <w:p>
            <w:pPr>
              <w:pStyle w:val="TableParagraph"/>
              <w:ind w:left="226" w:right="15"/>
              <w:rPr>
                <w:sz w:val="14"/>
              </w:rPr>
            </w:pPr>
            <w:r>
              <w:rPr>
                <w:color w:val="231F20"/>
                <w:spacing w:val="-5"/>
                <w:w w:val="95"/>
                <w:sz w:val="14"/>
              </w:rPr>
              <w:t>5.0</w:t>
            </w:r>
          </w:p>
        </w:tc>
      </w:tr>
    </w:tbl>
    <w:p>
      <w:pPr>
        <w:spacing w:after="0"/>
        <w:rPr>
          <w:sz w:val="14"/>
        </w:rPr>
        <w:sectPr>
          <w:pgSz w:w="12240" w:h="15840"/>
          <w:pgMar w:header="370" w:footer="548" w:top="560" w:bottom="740" w:left="0" w:right="540"/>
        </w:sectPr>
      </w:pPr>
    </w:p>
    <w:p>
      <w:pPr>
        <w:pStyle w:val="BodyText"/>
        <w:rPr>
          <w:rFonts w:ascii="Arial"/>
          <w:sz w:val="20"/>
        </w:rPr>
      </w:pPr>
    </w:p>
    <w:p>
      <w:pPr>
        <w:pStyle w:val="BodyText"/>
        <w:rPr>
          <w:rFonts w:ascii="Arial"/>
          <w:sz w:val="20"/>
        </w:rPr>
      </w:pPr>
    </w:p>
    <w:p>
      <w:pPr>
        <w:pStyle w:val="BodyText"/>
        <w:spacing w:before="101" w:after="1"/>
        <w:rPr>
          <w:rFonts w:ascii="Arial"/>
          <w:sz w:val="20"/>
        </w:rPr>
      </w:pPr>
    </w:p>
    <w:tbl>
      <w:tblPr>
        <w:tblW w:w="0" w:type="auto"/>
        <w:jc w:val="left"/>
        <w:tblInd w:w="3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8"/>
        <w:gridCol w:w="1585"/>
        <w:gridCol w:w="1564"/>
        <w:gridCol w:w="1318"/>
        <w:gridCol w:w="1728"/>
      </w:tblGrid>
      <w:tr>
        <w:trPr>
          <w:trHeight w:val="209" w:hRule="atLeast"/>
        </w:trPr>
        <w:tc>
          <w:tcPr>
            <w:tcW w:w="1488" w:type="dxa"/>
          </w:tcPr>
          <w:p>
            <w:pPr>
              <w:pStyle w:val="TableParagraph"/>
              <w:spacing w:before="0"/>
              <w:jc w:val="left"/>
              <w:rPr>
                <w:rFonts w:ascii="Times New Roman"/>
                <w:sz w:val="12"/>
              </w:rPr>
            </w:pPr>
          </w:p>
        </w:tc>
        <w:tc>
          <w:tcPr>
            <w:tcW w:w="1585" w:type="dxa"/>
            <w:vMerge w:val="restart"/>
            <w:tcBorders>
              <w:bottom w:val="single" w:sz="4" w:space="0" w:color="008FDD"/>
            </w:tcBorders>
          </w:tcPr>
          <w:p>
            <w:pPr>
              <w:pStyle w:val="TableParagraph"/>
              <w:spacing w:before="103"/>
              <w:ind w:left="240" w:firstLine="33"/>
              <w:jc w:val="left"/>
              <w:rPr>
                <w:b/>
                <w:sz w:val="14"/>
              </w:rPr>
            </w:pPr>
            <w:r>
              <w:rPr>
                <w:b/>
                <w:color w:val="231F20"/>
                <w:w w:val="85"/>
                <w:sz w:val="14"/>
              </w:rPr>
              <w:t>Average</w:t>
            </w:r>
            <w:r>
              <w:rPr>
                <w:b/>
                <w:color w:val="231F20"/>
                <w:spacing w:val="-2"/>
                <w:w w:val="85"/>
                <w:sz w:val="14"/>
              </w:rPr>
              <w:t> </w:t>
            </w:r>
            <w:r>
              <w:rPr>
                <w:b/>
                <w:color w:val="231F20"/>
                <w:w w:val="85"/>
                <w:sz w:val="14"/>
              </w:rPr>
              <w:t>number</w:t>
            </w:r>
            <w:r>
              <w:rPr>
                <w:b/>
                <w:color w:val="231F20"/>
                <w:spacing w:val="-2"/>
                <w:w w:val="85"/>
                <w:sz w:val="14"/>
              </w:rPr>
              <w:t> </w:t>
            </w:r>
            <w:r>
              <w:rPr>
                <w:b/>
                <w:color w:val="231F20"/>
                <w:w w:val="85"/>
                <w:sz w:val="14"/>
              </w:rPr>
              <w:t>of</w:t>
            </w:r>
            <w:r>
              <w:rPr>
                <w:b/>
                <w:color w:val="231F20"/>
                <w:spacing w:val="40"/>
                <w:sz w:val="14"/>
              </w:rPr>
              <w:t> </w:t>
            </w:r>
            <w:r>
              <w:rPr>
                <w:b/>
                <w:color w:val="231F20"/>
                <w:spacing w:val="2"/>
                <w:w w:val="80"/>
                <w:sz w:val="14"/>
              </w:rPr>
              <w:t>partners</w:t>
            </w:r>
            <w:r>
              <w:rPr>
                <w:b/>
                <w:color w:val="231F20"/>
                <w:spacing w:val="15"/>
                <w:sz w:val="14"/>
              </w:rPr>
              <w:t> </w:t>
            </w:r>
            <w:r>
              <w:rPr>
                <w:b/>
                <w:color w:val="231F20"/>
                <w:spacing w:val="-2"/>
                <w:w w:val="85"/>
                <w:sz w:val="14"/>
              </w:rPr>
              <w:t>(countries)</w:t>
            </w:r>
          </w:p>
        </w:tc>
        <w:tc>
          <w:tcPr>
            <w:tcW w:w="1564" w:type="dxa"/>
            <w:tcBorders>
              <w:bottom w:val="single" w:sz="4" w:space="0" w:color="008FDD"/>
            </w:tcBorders>
          </w:tcPr>
          <w:p>
            <w:pPr>
              <w:pStyle w:val="TableParagraph"/>
              <w:spacing w:before="0"/>
              <w:jc w:val="left"/>
              <w:rPr>
                <w:rFonts w:ascii="Times New Roman"/>
                <w:sz w:val="12"/>
              </w:rPr>
            </w:pPr>
          </w:p>
        </w:tc>
        <w:tc>
          <w:tcPr>
            <w:tcW w:w="1318" w:type="dxa"/>
            <w:tcBorders>
              <w:bottom w:val="single" w:sz="4" w:space="0" w:color="008FDD"/>
            </w:tcBorders>
          </w:tcPr>
          <w:p>
            <w:pPr>
              <w:pStyle w:val="TableParagraph"/>
              <w:spacing w:before="3"/>
              <w:ind w:left="159"/>
              <w:rPr>
                <w:b/>
                <w:sz w:val="14"/>
              </w:rPr>
            </w:pPr>
            <w:r>
              <w:rPr>
                <w:b/>
                <w:color w:val="231F20"/>
                <w:w w:val="80"/>
                <w:sz w:val="14"/>
              </w:rPr>
              <w:t>Delivery</w:t>
            </w:r>
            <w:r>
              <w:rPr>
                <w:b/>
                <w:color w:val="231F20"/>
                <w:spacing w:val="17"/>
                <w:sz w:val="14"/>
              </w:rPr>
              <w:t> </w:t>
            </w:r>
            <w:r>
              <w:rPr>
                <w:b/>
                <w:color w:val="231F20"/>
                <w:w w:val="80"/>
                <w:sz w:val="14"/>
              </w:rPr>
              <w:t>time</w:t>
            </w:r>
            <w:r>
              <w:rPr>
                <w:b/>
                <w:color w:val="231F20"/>
                <w:spacing w:val="18"/>
                <w:sz w:val="14"/>
              </w:rPr>
              <w:t> </w:t>
            </w:r>
            <w:r>
              <w:rPr>
                <w:b/>
                <w:color w:val="231F20"/>
                <w:spacing w:val="-2"/>
                <w:w w:val="80"/>
                <w:sz w:val="14"/>
              </w:rPr>
              <w:t>(days)</w:t>
            </w:r>
          </w:p>
        </w:tc>
        <w:tc>
          <w:tcPr>
            <w:tcW w:w="1728" w:type="dxa"/>
            <w:tcBorders>
              <w:bottom w:val="single" w:sz="4" w:space="0" w:color="008FDD"/>
            </w:tcBorders>
          </w:tcPr>
          <w:p>
            <w:pPr>
              <w:pStyle w:val="TableParagraph"/>
              <w:spacing w:before="0"/>
              <w:jc w:val="left"/>
              <w:rPr>
                <w:rFonts w:ascii="Times New Roman"/>
                <w:sz w:val="12"/>
              </w:rPr>
            </w:pPr>
          </w:p>
        </w:tc>
      </w:tr>
      <w:tr>
        <w:trPr>
          <w:trHeight w:val="249" w:hRule="atLeast"/>
        </w:trPr>
        <w:tc>
          <w:tcPr>
            <w:tcW w:w="1488" w:type="dxa"/>
            <w:tcBorders>
              <w:bottom w:val="single" w:sz="4" w:space="0" w:color="008FDD"/>
            </w:tcBorders>
          </w:tcPr>
          <w:p>
            <w:pPr>
              <w:pStyle w:val="TableParagraph"/>
              <w:spacing w:before="43"/>
              <w:ind w:left="80"/>
              <w:jc w:val="left"/>
              <w:rPr>
                <w:b/>
                <w:sz w:val="14"/>
              </w:rPr>
            </w:pPr>
            <w:r>
              <w:rPr>
                <w:b/>
                <w:color w:val="231F20"/>
                <w:spacing w:val="-2"/>
                <w:w w:val="90"/>
                <w:sz w:val="14"/>
              </w:rPr>
              <w:t>Economy</w:t>
            </w:r>
          </w:p>
        </w:tc>
        <w:tc>
          <w:tcPr>
            <w:tcW w:w="1585" w:type="dxa"/>
            <w:vMerge/>
            <w:tcBorders>
              <w:top w:val="nil"/>
              <w:bottom w:val="single" w:sz="4" w:space="0" w:color="008FDD"/>
            </w:tcBorders>
          </w:tcPr>
          <w:p>
            <w:pPr>
              <w:rPr>
                <w:sz w:val="2"/>
                <w:szCs w:val="2"/>
              </w:rPr>
            </w:pPr>
          </w:p>
        </w:tc>
        <w:tc>
          <w:tcPr>
            <w:tcW w:w="1564" w:type="dxa"/>
            <w:tcBorders>
              <w:top w:val="single" w:sz="4" w:space="0" w:color="008FDD"/>
              <w:bottom w:val="single" w:sz="4" w:space="0" w:color="008FDD"/>
            </w:tcBorders>
          </w:tcPr>
          <w:p>
            <w:pPr>
              <w:pStyle w:val="TableParagraph"/>
              <w:spacing w:before="43"/>
              <w:ind w:left="58" w:right="85"/>
              <w:rPr>
                <w:b/>
                <w:sz w:val="14"/>
              </w:rPr>
            </w:pPr>
            <w:r>
              <w:rPr>
                <w:b/>
                <w:color w:val="231F20"/>
                <w:spacing w:val="-2"/>
                <w:w w:val="95"/>
                <w:sz w:val="14"/>
              </w:rPr>
              <w:t>Median</w:t>
            </w:r>
          </w:p>
        </w:tc>
        <w:tc>
          <w:tcPr>
            <w:tcW w:w="1318" w:type="dxa"/>
            <w:tcBorders>
              <w:top w:val="single" w:sz="4" w:space="0" w:color="008FDD"/>
              <w:bottom w:val="single" w:sz="4" w:space="0" w:color="008FDD"/>
            </w:tcBorders>
          </w:tcPr>
          <w:p>
            <w:pPr>
              <w:pStyle w:val="TableParagraph"/>
              <w:spacing w:before="43"/>
              <w:ind w:left="162"/>
              <w:rPr>
                <w:b/>
                <w:sz w:val="14"/>
              </w:rPr>
            </w:pPr>
            <w:r>
              <w:rPr>
                <w:b/>
                <w:color w:val="231F20"/>
                <w:spacing w:val="-4"/>
                <w:w w:val="95"/>
                <w:sz w:val="14"/>
              </w:rPr>
              <w:t>Mean</w:t>
            </w:r>
          </w:p>
        </w:tc>
        <w:tc>
          <w:tcPr>
            <w:tcW w:w="1728" w:type="dxa"/>
            <w:tcBorders>
              <w:top w:val="single" w:sz="4" w:space="0" w:color="008FDD"/>
              <w:bottom w:val="single" w:sz="4" w:space="0" w:color="008FDD"/>
            </w:tcBorders>
          </w:tcPr>
          <w:p>
            <w:pPr>
              <w:pStyle w:val="TableParagraph"/>
              <w:spacing w:before="43"/>
              <w:ind w:left="217" w:right="32"/>
              <w:rPr>
                <w:b/>
                <w:sz w:val="14"/>
              </w:rPr>
            </w:pPr>
            <w:r>
              <w:rPr>
                <w:b/>
                <w:color w:val="231F20"/>
                <w:spacing w:val="4"/>
                <w:w w:val="80"/>
                <w:sz w:val="14"/>
              </w:rPr>
              <w:t>Interquartile</w:t>
            </w:r>
            <w:r>
              <w:rPr>
                <w:b/>
                <w:color w:val="231F20"/>
                <w:spacing w:val="6"/>
                <w:sz w:val="14"/>
              </w:rPr>
              <w:t> </w:t>
            </w:r>
            <w:r>
              <w:rPr>
                <w:b/>
                <w:color w:val="231F20"/>
                <w:spacing w:val="-2"/>
                <w:w w:val="95"/>
                <w:sz w:val="14"/>
              </w:rPr>
              <w:t>range</w:t>
            </w:r>
          </w:p>
        </w:tc>
      </w:tr>
      <w:tr>
        <w:trPr>
          <w:trHeight w:val="254" w:hRule="atLeast"/>
        </w:trPr>
        <w:tc>
          <w:tcPr>
            <w:tcW w:w="1488" w:type="dxa"/>
            <w:tcBorders>
              <w:top w:val="single" w:sz="4" w:space="0" w:color="008FDD"/>
            </w:tcBorders>
            <w:shd w:val="clear" w:color="auto" w:fill="D4E3F5"/>
          </w:tcPr>
          <w:p>
            <w:pPr>
              <w:pStyle w:val="TableParagraph"/>
              <w:spacing w:before="43"/>
              <w:ind w:left="80"/>
              <w:jc w:val="left"/>
              <w:rPr>
                <w:sz w:val="14"/>
              </w:rPr>
            </w:pPr>
            <w:r>
              <w:rPr>
                <w:color w:val="231F20"/>
                <w:spacing w:val="-2"/>
                <w:w w:val="90"/>
                <w:sz w:val="14"/>
              </w:rPr>
              <w:t>Guatemala</w:t>
            </w:r>
          </w:p>
        </w:tc>
        <w:tc>
          <w:tcPr>
            <w:tcW w:w="1585" w:type="dxa"/>
            <w:tcBorders>
              <w:top w:val="single" w:sz="4" w:space="0" w:color="008FDD"/>
            </w:tcBorders>
            <w:shd w:val="clear" w:color="auto" w:fill="D4E3F5"/>
          </w:tcPr>
          <w:p>
            <w:pPr>
              <w:pStyle w:val="TableParagraph"/>
              <w:spacing w:before="43"/>
              <w:ind w:left="731"/>
              <w:jc w:val="left"/>
              <w:rPr>
                <w:sz w:val="14"/>
              </w:rPr>
            </w:pPr>
            <w:r>
              <w:rPr>
                <w:color w:val="231F20"/>
                <w:spacing w:val="-5"/>
                <w:w w:val="95"/>
                <w:sz w:val="14"/>
              </w:rPr>
              <w:t>25</w:t>
            </w:r>
          </w:p>
        </w:tc>
        <w:tc>
          <w:tcPr>
            <w:tcW w:w="1564" w:type="dxa"/>
            <w:tcBorders>
              <w:top w:val="single" w:sz="4" w:space="0" w:color="008FDD"/>
            </w:tcBorders>
            <w:shd w:val="clear" w:color="auto" w:fill="D4E3F5"/>
          </w:tcPr>
          <w:p>
            <w:pPr>
              <w:pStyle w:val="TableParagraph"/>
              <w:spacing w:before="43"/>
              <w:ind w:left="1" w:right="86"/>
              <w:rPr>
                <w:sz w:val="14"/>
              </w:rPr>
            </w:pPr>
            <w:r>
              <w:rPr>
                <w:color w:val="231F20"/>
                <w:spacing w:val="-4"/>
                <w:w w:val="95"/>
                <w:sz w:val="14"/>
              </w:rPr>
              <w:t>28.7</w:t>
            </w:r>
          </w:p>
        </w:tc>
        <w:tc>
          <w:tcPr>
            <w:tcW w:w="1318" w:type="dxa"/>
            <w:tcBorders>
              <w:top w:val="single" w:sz="4" w:space="0" w:color="008FDD"/>
            </w:tcBorders>
            <w:shd w:val="clear" w:color="auto" w:fill="D4E3F5"/>
          </w:tcPr>
          <w:p>
            <w:pPr>
              <w:pStyle w:val="TableParagraph"/>
              <w:spacing w:before="43"/>
              <w:ind w:left="114"/>
              <w:rPr>
                <w:sz w:val="14"/>
              </w:rPr>
            </w:pPr>
            <w:r>
              <w:rPr>
                <w:color w:val="231F20"/>
                <w:spacing w:val="-4"/>
                <w:w w:val="95"/>
                <w:sz w:val="14"/>
              </w:rPr>
              <w:t>18.9</w:t>
            </w:r>
          </w:p>
        </w:tc>
        <w:tc>
          <w:tcPr>
            <w:tcW w:w="1728" w:type="dxa"/>
            <w:tcBorders>
              <w:top w:val="single" w:sz="4" w:space="0" w:color="008FDD"/>
            </w:tcBorders>
            <w:shd w:val="clear" w:color="auto" w:fill="D4E3F5"/>
          </w:tcPr>
          <w:p>
            <w:pPr>
              <w:pStyle w:val="TableParagraph"/>
              <w:spacing w:before="43"/>
              <w:ind w:left="217" w:right="76"/>
              <w:rPr>
                <w:sz w:val="14"/>
              </w:rPr>
            </w:pPr>
            <w:r>
              <w:rPr>
                <w:color w:val="231F20"/>
                <w:spacing w:val="-4"/>
                <w:w w:val="95"/>
                <w:sz w:val="14"/>
              </w:rPr>
              <w:t>31.0</w:t>
            </w:r>
          </w:p>
        </w:tc>
      </w:tr>
      <w:tr>
        <w:trPr>
          <w:trHeight w:val="259" w:hRule="atLeast"/>
        </w:trPr>
        <w:tc>
          <w:tcPr>
            <w:tcW w:w="1488" w:type="dxa"/>
          </w:tcPr>
          <w:p>
            <w:pPr>
              <w:pStyle w:val="TableParagraph"/>
              <w:ind w:left="80"/>
              <w:jc w:val="left"/>
              <w:rPr>
                <w:sz w:val="14"/>
              </w:rPr>
            </w:pPr>
            <w:r>
              <w:rPr>
                <w:color w:val="231F20"/>
                <w:spacing w:val="-2"/>
                <w:w w:val="85"/>
                <w:sz w:val="14"/>
              </w:rPr>
              <w:t>Guinea</w:t>
            </w:r>
          </w:p>
        </w:tc>
        <w:tc>
          <w:tcPr>
            <w:tcW w:w="1585" w:type="dxa"/>
          </w:tcPr>
          <w:p>
            <w:pPr>
              <w:pStyle w:val="TableParagraph"/>
              <w:ind w:left="730"/>
              <w:jc w:val="left"/>
              <w:rPr>
                <w:sz w:val="14"/>
              </w:rPr>
            </w:pPr>
            <w:r>
              <w:rPr>
                <w:color w:val="231F20"/>
                <w:spacing w:val="-5"/>
                <w:w w:val="95"/>
                <w:sz w:val="14"/>
              </w:rPr>
              <w:t>32</w:t>
            </w:r>
          </w:p>
        </w:tc>
        <w:tc>
          <w:tcPr>
            <w:tcW w:w="1564" w:type="dxa"/>
          </w:tcPr>
          <w:p>
            <w:pPr>
              <w:pStyle w:val="TableParagraph"/>
              <w:ind w:left="70" w:right="85"/>
              <w:rPr>
                <w:sz w:val="14"/>
              </w:rPr>
            </w:pPr>
            <w:r>
              <w:rPr>
                <w:color w:val="231F20"/>
                <w:spacing w:val="-5"/>
                <w:w w:val="95"/>
                <w:sz w:val="14"/>
              </w:rPr>
              <w:t>6.7</w:t>
            </w:r>
          </w:p>
        </w:tc>
        <w:tc>
          <w:tcPr>
            <w:tcW w:w="1318" w:type="dxa"/>
          </w:tcPr>
          <w:p>
            <w:pPr>
              <w:pStyle w:val="TableParagraph"/>
              <w:ind w:left="178"/>
              <w:rPr>
                <w:sz w:val="14"/>
              </w:rPr>
            </w:pPr>
            <w:r>
              <w:rPr>
                <w:color w:val="231F20"/>
                <w:spacing w:val="-5"/>
                <w:w w:val="95"/>
                <w:sz w:val="14"/>
              </w:rPr>
              <w:t>2.9</w:t>
            </w:r>
          </w:p>
        </w:tc>
        <w:tc>
          <w:tcPr>
            <w:tcW w:w="1728" w:type="dxa"/>
          </w:tcPr>
          <w:p>
            <w:pPr>
              <w:pStyle w:val="TableParagraph"/>
              <w:ind w:left="217" w:right="1"/>
              <w:rPr>
                <w:sz w:val="14"/>
              </w:rPr>
            </w:pPr>
            <w:r>
              <w:rPr>
                <w:color w:val="231F20"/>
                <w:spacing w:val="-5"/>
                <w:w w:val="95"/>
                <w:sz w:val="14"/>
              </w:rPr>
              <w:t>7.0</w:t>
            </w:r>
          </w:p>
        </w:tc>
      </w:tr>
      <w:tr>
        <w:trPr>
          <w:trHeight w:val="259" w:hRule="atLeast"/>
        </w:trPr>
        <w:tc>
          <w:tcPr>
            <w:tcW w:w="1488" w:type="dxa"/>
            <w:shd w:val="clear" w:color="auto" w:fill="D4E3F5"/>
          </w:tcPr>
          <w:p>
            <w:pPr>
              <w:pStyle w:val="TableParagraph"/>
              <w:ind w:left="80"/>
              <w:jc w:val="left"/>
              <w:rPr>
                <w:sz w:val="14"/>
              </w:rPr>
            </w:pPr>
            <w:r>
              <w:rPr>
                <w:color w:val="231F20"/>
                <w:spacing w:val="-2"/>
                <w:w w:val="85"/>
                <w:sz w:val="14"/>
              </w:rPr>
              <w:t>Guyana</w:t>
            </w:r>
          </w:p>
        </w:tc>
        <w:tc>
          <w:tcPr>
            <w:tcW w:w="1585" w:type="dxa"/>
            <w:shd w:val="clear" w:color="auto" w:fill="D4E3F5"/>
          </w:tcPr>
          <w:p>
            <w:pPr>
              <w:pStyle w:val="TableParagraph"/>
              <w:ind w:left="737"/>
              <w:jc w:val="left"/>
              <w:rPr>
                <w:sz w:val="14"/>
              </w:rPr>
            </w:pPr>
            <w:r>
              <w:rPr>
                <w:color w:val="231F20"/>
                <w:spacing w:val="-4"/>
                <w:w w:val="95"/>
                <w:sz w:val="14"/>
              </w:rPr>
              <w:t>31.5</w:t>
            </w:r>
          </w:p>
        </w:tc>
        <w:tc>
          <w:tcPr>
            <w:tcW w:w="1564" w:type="dxa"/>
            <w:shd w:val="clear" w:color="auto" w:fill="D4E3F5"/>
          </w:tcPr>
          <w:p>
            <w:pPr>
              <w:pStyle w:val="TableParagraph"/>
              <w:ind w:left="76" w:right="85"/>
              <w:rPr>
                <w:sz w:val="14"/>
              </w:rPr>
            </w:pPr>
            <w:r>
              <w:rPr>
                <w:color w:val="231F20"/>
                <w:spacing w:val="-5"/>
                <w:w w:val="95"/>
                <w:sz w:val="14"/>
              </w:rPr>
              <w:t>5.0</w:t>
            </w:r>
          </w:p>
        </w:tc>
        <w:tc>
          <w:tcPr>
            <w:tcW w:w="1318" w:type="dxa"/>
            <w:shd w:val="clear" w:color="auto" w:fill="D4E3F5"/>
          </w:tcPr>
          <w:p>
            <w:pPr>
              <w:pStyle w:val="TableParagraph"/>
              <w:ind w:left="178"/>
              <w:rPr>
                <w:sz w:val="14"/>
              </w:rPr>
            </w:pPr>
            <w:r>
              <w:rPr>
                <w:color w:val="231F20"/>
                <w:spacing w:val="-5"/>
                <w:w w:val="95"/>
                <w:sz w:val="14"/>
              </w:rPr>
              <w:t>0.8</w:t>
            </w:r>
          </w:p>
        </w:tc>
        <w:tc>
          <w:tcPr>
            <w:tcW w:w="1728" w:type="dxa"/>
            <w:shd w:val="clear" w:color="auto" w:fill="D4E3F5"/>
          </w:tcPr>
          <w:p>
            <w:pPr>
              <w:pStyle w:val="TableParagraph"/>
              <w:ind w:left="217" w:right="32"/>
              <w:rPr>
                <w:sz w:val="14"/>
              </w:rPr>
            </w:pPr>
            <w:r>
              <w:rPr>
                <w:color w:val="231F20"/>
                <w:spacing w:val="-5"/>
                <w:w w:val="95"/>
                <w:sz w:val="14"/>
              </w:rPr>
              <w:t>8.1</w:t>
            </w:r>
          </w:p>
        </w:tc>
      </w:tr>
      <w:tr>
        <w:trPr>
          <w:trHeight w:val="259" w:hRule="atLeast"/>
        </w:trPr>
        <w:tc>
          <w:tcPr>
            <w:tcW w:w="1488" w:type="dxa"/>
          </w:tcPr>
          <w:p>
            <w:pPr>
              <w:pStyle w:val="TableParagraph"/>
              <w:ind w:left="80"/>
              <w:jc w:val="left"/>
              <w:rPr>
                <w:sz w:val="14"/>
              </w:rPr>
            </w:pPr>
            <w:r>
              <w:rPr>
                <w:color w:val="231F20"/>
                <w:spacing w:val="-2"/>
                <w:w w:val="90"/>
                <w:sz w:val="14"/>
              </w:rPr>
              <w:t>Haiti</w:t>
            </w:r>
          </w:p>
        </w:tc>
        <w:tc>
          <w:tcPr>
            <w:tcW w:w="1585" w:type="dxa"/>
          </w:tcPr>
          <w:p>
            <w:pPr>
              <w:pStyle w:val="TableParagraph"/>
              <w:ind w:left="729"/>
              <w:jc w:val="left"/>
              <w:rPr>
                <w:sz w:val="14"/>
              </w:rPr>
            </w:pPr>
            <w:r>
              <w:rPr>
                <w:color w:val="231F20"/>
                <w:spacing w:val="-5"/>
                <w:w w:val="95"/>
                <w:sz w:val="14"/>
              </w:rPr>
              <w:t>22</w:t>
            </w:r>
          </w:p>
        </w:tc>
        <w:tc>
          <w:tcPr>
            <w:tcW w:w="1564" w:type="dxa"/>
          </w:tcPr>
          <w:p>
            <w:pPr>
              <w:pStyle w:val="TableParagraph"/>
              <w:ind w:left="24" w:right="85"/>
              <w:rPr>
                <w:sz w:val="14"/>
              </w:rPr>
            </w:pPr>
            <w:r>
              <w:rPr>
                <w:color w:val="231F20"/>
                <w:spacing w:val="-4"/>
                <w:w w:val="95"/>
                <w:sz w:val="14"/>
              </w:rPr>
              <w:t>11.2</w:t>
            </w:r>
          </w:p>
        </w:tc>
        <w:tc>
          <w:tcPr>
            <w:tcW w:w="1318" w:type="dxa"/>
          </w:tcPr>
          <w:p>
            <w:pPr>
              <w:pStyle w:val="TableParagraph"/>
              <w:ind w:left="179"/>
              <w:rPr>
                <w:sz w:val="14"/>
              </w:rPr>
            </w:pPr>
            <w:r>
              <w:rPr>
                <w:color w:val="231F20"/>
                <w:spacing w:val="-5"/>
                <w:w w:val="95"/>
                <w:sz w:val="14"/>
              </w:rPr>
              <w:t>4.9</w:t>
            </w:r>
          </w:p>
        </w:tc>
        <w:tc>
          <w:tcPr>
            <w:tcW w:w="1728" w:type="dxa"/>
          </w:tcPr>
          <w:p>
            <w:pPr>
              <w:pStyle w:val="TableParagraph"/>
              <w:ind w:left="217" w:right="76"/>
              <w:rPr>
                <w:sz w:val="14"/>
              </w:rPr>
            </w:pPr>
            <w:r>
              <w:rPr>
                <w:color w:val="231F20"/>
                <w:spacing w:val="-4"/>
                <w:w w:val="95"/>
                <w:sz w:val="14"/>
              </w:rPr>
              <w:t>15.3</w:t>
            </w:r>
          </w:p>
        </w:tc>
      </w:tr>
      <w:tr>
        <w:trPr>
          <w:trHeight w:val="259" w:hRule="atLeast"/>
        </w:trPr>
        <w:tc>
          <w:tcPr>
            <w:tcW w:w="1488" w:type="dxa"/>
            <w:shd w:val="clear" w:color="auto" w:fill="D4E3F5"/>
          </w:tcPr>
          <w:p>
            <w:pPr>
              <w:pStyle w:val="TableParagraph"/>
              <w:ind w:left="80"/>
              <w:jc w:val="left"/>
              <w:rPr>
                <w:sz w:val="14"/>
              </w:rPr>
            </w:pPr>
            <w:r>
              <w:rPr>
                <w:color w:val="231F20"/>
                <w:spacing w:val="-2"/>
                <w:w w:val="90"/>
                <w:sz w:val="14"/>
              </w:rPr>
              <w:t>Honduras</w:t>
            </w:r>
          </w:p>
        </w:tc>
        <w:tc>
          <w:tcPr>
            <w:tcW w:w="1585" w:type="dxa"/>
            <w:shd w:val="clear" w:color="auto" w:fill="D4E3F5"/>
          </w:tcPr>
          <w:p>
            <w:pPr>
              <w:pStyle w:val="TableParagraph"/>
              <w:ind w:left="730"/>
              <w:jc w:val="left"/>
              <w:rPr>
                <w:sz w:val="14"/>
              </w:rPr>
            </w:pPr>
            <w:r>
              <w:rPr>
                <w:color w:val="231F20"/>
                <w:spacing w:val="-5"/>
                <w:w w:val="95"/>
                <w:sz w:val="14"/>
              </w:rPr>
              <w:t>32</w:t>
            </w:r>
          </w:p>
        </w:tc>
        <w:tc>
          <w:tcPr>
            <w:tcW w:w="1564" w:type="dxa"/>
            <w:shd w:val="clear" w:color="auto" w:fill="D4E3F5"/>
          </w:tcPr>
          <w:p>
            <w:pPr>
              <w:pStyle w:val="TableParagraph"/>
              <w:ind w:left="77" w:right="85"/>
              <w:rPr>
                <w:sz w:val="14"/>
              </w:rPr>
            </w:pPr>
            <w:r>
              <w:rPr>
                <w:color w:val="231F20"/>
                <w:spacing w:val="-5"/>
                <w:w w:val="95"/>
                <w:sz w:val="14"/>
              </w:rPr>
              <w:t>8.5</w:t>
            </w:r>
          </w:p>
        </w:tc>
        <w:tc>
          <w:tcPr>
            <w:tcW w:w="1318" w:type="dxa"/>
            <w:shd w:val="clear" w:color="auto" w:fill="D4E3F5"/>
          </w:tcPr>
          <w:p>
            <w:pPr>
              <w:pStyle w:val="TableParagraph"/>
              <w:ind w:left="159"/>
              <w:rPr>
                <w:sz w:val="14"/>
              </w:rPr>
            </w:pPr>
            <w:r>
              <w:rPr>
                <w:color w:val="231F20"/>
                <w:spacing w:val="-5"/>
                <w:w w:val="95"/>
                <w:sz w:val="14"/>
              </w:rPr>
              <w:t>5.1</w:t>
            </w:r>
          </w:p>
        </w:tc>
        <w:tc>
          <w:tcPr>
            <w:tcW w:w="1728" w:type="dxa"/>
            <w:shd w:val="clear" w:color="auto" w:fill="D4E3F5"/>
          </w:tcPr>
          <w:p>
            <w:pPr>
              <w:pStyle w:val="TableParagraph"/>
              <w:ind w:left="217" w:right="31"/>
              <w:rPr>
                <w:sz w:val="14"/>
              </w:rPr>
            </w:pPr>
            <w:r>
              <w:rPr>
                <w:color w:val="231F20"/>
                <w:spacing w:val="-5"/>
                <w:w w:val="95"/>
                <w:sz w:val="14"/>
              </w:rPr>
              <w:t>9.1</w:t>
            </w:r>
          </w:p>
        </w:tc>
      </w:tr>
      <w:tr>
        <w:trPr>
          <w:trHeight w:val="259" w:hRule="atLeast"/>
        </w:trPr>
        <w:tc>
          <w:tcPr>
            <w:tcW w:w="1488" w:type="dxa"/>
          </w:tcPr>
          <w:p>
            <w:pPr>
              <w:pStyle w:val="TableParagraph"/>
              <w:ind w:left="80"/>
              <w:jc w:val="left"/>
              <w:rPr>
                <w:sz w:val="14"/>
              </w:rPr>
            </w:pPr>
            <w:r>
              <w:rPr>
                <w:color w:val="231F20"/>
                <w:w w:val="75"/>
                <w:sz w:val="14"/>
              </w:rPr>
              <w:t>Hong</w:t>
            </w:r>
            <w:r>
              <w:rPr>
                <w:color w:val="231F20"/>
                <w:spacing w:val="1"/>
                <w:sz w:val="14"/>
              </w:rPr>
              <w:t> </w:t>
            </w:r>
            <w:r>
              <w:rPr>
                <w:color w:val="231F20"/>
                <w:w w:val="75"/>
                <w:sz w:val="14"/>
              </w:rPr>
              <w:t>Kong</w:t>
            </w:r>
            <w:r>
              <w:rPr>
                <w:color w:val="231F20"/>
                <w:spacing w:val="2"/>
                <w:sz w:val="14"/>
              </w:rPr>
              <w:t> </w:t>
            </w:r>
            <w:r>
              <w:rPr>
                <w:color w:val="231F20"/>
                <w:w w:val="75"/>
                <w:sz w:val="14"/>
              </w:rPr>
              <w:t>SAR,</w:t>
            </w:r>
            <w:r>
              <w:rPr>
                <w:color w:val="231F20"/>
                <w:spacing w:val="1"/>
                <w:sz w:val="14"/>
              </w:rPr>
              <w:t> </w:t>
            </w:r>
            <w:r>
              <w:rPr>
                <w:color w:val="231F20"/>
                <w:spacing w:val="-2"/>
                <w:w w:val="75"/>
                <w:sz w:val="14"/>
              </w:rPr>
              <w:t>China</w:t>
            </w:r>
          </w:p>
        </w:tc>
        <w:tc>
          <w:tcPr>
            <w:tcW w:w="1585" w:type="dxa"/>
          </w:tcPr>
          <w:p>
            <w:pPr>
              <w:pStyle w:val="TableParagraph"/>
              <w:ind w:left="666"/>
              <w:jc w:val="left"/>
              <w:rPr>
                <w:sz w:val="14"/>
              </w:rPr>
            </w:pPr>
            <w:r>
              <w:rPr>
                <w:color w:val="231F20"/>
                <w:spacing w:val="-5"/>
                <w:w w:val="95"/>
                <w:sz w:val="14"/>
              </w:rPr>
              <w:t>134</w:t>
            </w:r>
          </w:p>
        </w:tc>
        <w:tc>
          <w:tcPr>
            <w:tcW w:w="1564" w:type="dxa"/>
          </w:tcPr>
          <w:p>
            <w:pPr>
              <w:pStyle w:val="TableParagraph"/>
              <w:ind w:left="83" w:right="85"/>
              <w:rPr>
                <w:sz w:val="14"/>
              </w:rPr>
            </w:pPr>
            <w:r>
              <w:rPr>
                <w:color w:val="231F20"/>
                <w:spacing w:val="-5"/>
                <w:w w:val="95"/>
                <w:sz w:val="14"/>
              </w:rPr>
              <w:t>1.8</w:t>
            </w:r>
          </w:p>
        </w:tc>
        <w:tc>
          <w:tcPr>
            <w:tcW w:w="1318" w:type="dxa"/>
          </w:tcPr>
          <w:p>
            <w:pPr>
              <w:pStyle w:val="TableParagraph"/>
              <w:ind w:left="192" w:right="6"/>
              <w:rPr>
                <w:sz w:val="14"/>
              </w:rPr>
            </w:pPr>
            <w:r>
              <w:rPr>
                <w:color w:val="231F20"/>
                <w:spacing w:val="-5"/>
                <w:w w:val="95"/>
                <w:sz w:val="14"/>
              </w:rPr>
              <w:t>1.2</w:t>
            </w:r>
          </w:p>
        </w:tc>
        <w:tc>
          <w:tcPr>
            <w:tcW w:w="1728" w:type="dxa"/>
          </w:tcPr>
          <w:p>
            <w:pPr>
              <w:pStyle w:val="TableParagraph"/>
              <w:ind w:left="217" w:right="6"/>
              <w:rPr>
                <w:sz w:val="14"/>
              </w:rPr>
            </w:pPr>
            <w:r>
              <w:rPr>
                <w:color w:val="231F20"/>
                <w:spacing w:val="-5"/>
                <w:w w:val="95"/>
                <w:sz w:val="14"/>
              </w:rPr>
              <w:t>1.3</w:t>
            </w:r>
          </w:p>
        </w:tc>
      </w:tr>
      <w:tr>
        <w:trPr>
          <w:trHeight w:val="259" w:hRule="atLeast"/>
        </w:trPr>
        <w:tc>
          <w:tcPr>
            <w:tcW w:w="1488" w:type="dxa"/>
            <w:shd w:val="clear" w:color="auto" w:fill="D4E3F5"/>
          </w:tcPr>
          <w:p>
            <w:pPr>
              <w:pStyle w:val="TableParagraph"/>
              <w:ind w:left="80"/>
              <w:jc w:val="left"/>
              <w:rPr>
                <w:sz w:val="14"/>
              </w:rPr>
            </w:pPr>
            <w:r>
              <w:rPr>
                <w:color w:val="231F20"/>
                <w:spacing w:val="-2"/>
                <w:w w:val="85"/>
                <w:sz w:val="14"/>
              </w:rPr>
              <w:t>Hungary</w:t>
            </w:r>
          </w:p>
        </w:tc>
        <w:tc>
          <w:tcPr>
            <w:tcW w:w="1585" w:type="dxa"/>
            <w:shd w:val="clear" w:color="auto" w:fill="D4E3F5"/>
          </w:tcPr>
          <w:p>
            <w:pPr>
              <w:pStyle w:val="TableParagraph"/>
              <w:ind w:left="674"/>
              <w:jc w:val="left"/>
              <w:rPr>
                <w:sz w:val="14"/>
              </w:rPr>
            </w:pPr>
            <w:r>
              <w:rPr>
                <w:color w:val="231F20"/>
                <w:spacing w:val="-2"/>
                <w:w w:val="95"/>
                <w:sz w:val="14"/>
              </w:rPr>
              <w:t>116.5</w:t>
            </w:r>
          </w:p>
        </w:tc>
        <w:tc>
          <w:tcPr>
            <w:tcW w:w="1564" w:type="dxa"/>
            <w:shd w:val="clear" w:color="auto" w:fill="D4E3F5"/>
          </w:tcPr>
          <w:p>
            <w:pPr>
              <w:pStyle w:val="TableParagraph"/>
              <w:ind w:left="76" w:right="85"/>
              <w:rPr>
                <w:sz w:val="14"/>
              </w:rPr>
            </w:pPr>
            <w:r>
              <w:rPr>
                <w:color w:val="231F20"/>
                <w:spacing w:val="-5"/>
                <w:w w:val="95"/>
                <w:sz w:val="14"/>
              </w:rPr>
              <w:t>2.5</w:t>
            </w:r>
          </w:p>
        </w:tc>
        <w:tc>
          <w:tcPr>
            <w:tcW w:w="1318" w:type="dxa"/>
            <w:shd w:val="clear" w:color="auto" w:fill="D4E3F5"/>
          </w:tcPr>
          <w:p>
            <w:pPr>
              <w:pStyle w:val="TableParagraph"/>
              <w:ind w:left="192" w:right="7"/>
              <w:rPr>
                <w:sz w:val="14"/>
              </w:rPr>
            </w:pPr>
            <w:r>
              <w:rPr>
                <w:color w:val="231F20"/>
                <w:spacing w:val="-5"/>
                <w:w w:val="95"/>
                <w:sz w:val="14"/>
              </w:rPr>
              <w:t>1.5</w:t>
            </w:r>
          </w:p>
        </w:tc>
        <w:tc>
          <w:tcPr>
            <w:tcW w:w="1728" w:type="dxa"/>
            <w:shd w:val="clear" w:color="auto" w:fill="D4E3F5"/>
          </w:tcPr>
          <w:p>
            <w:pPr>
              <w:pStyle w:val="TableParagraph"/>
              <w:ind w:left="217" w:right="7"/>
              <w:rPr>
                <w:sz w:val="14"/>
              </w:rPr>
            </w:pPr>
            <w:r>
              <w:rPr>
                <w:color w:val="231F20"/>
                <w:spacing w:val="-5"/>
                <w:w w:val="95"/>
                <w:sz w:val="14"/>
              </w:rPr>
              <w:t>1.9</w:t>
            </w:r>
          </w:p>
        </w:tc>
      </w:tr>
      <w:tr>
        <w:trPr>
          <w:trHeight w:val="259" w:hRule="atLeast"/>
        </w:trPr>
        <w:tc>
          <w:tcPr>
            <w:tcW w:w="1488" w:type="dxa"/>
          </w:tcPr>
          <w:p>
            <w:pPr>
              <w:pStyle w:val="TableParagraph"/>
              <w:ind w:left="80"/>
              <w:jc w:val="left"/>
              <w:rPr>
                <w:sz w:val="14"/>
              </w:rPr>
            </w:pPr>
            <w:r>
              <w:rPr>
                <w:color w:val="231F20"/>
                <w:spacing w:val="-2"/>
                <w:w w:val="85"/>
                <w:sz w:val="14"/>
              </w:rPr>
              <w:t>Iceland</w:t>
            </w:r>
          </w:p>
        </w:tc>
        <w:tc>
          <w:tcPr>
            <w:tcW w:w="1585" w:type="dxa"/>
          </w:tcPr>
          <w:p>
            <w:pPr>
              <w:pStyle w:val="TableParagraph"/>
              <w:ind w:left="675"/>
              <w:jc w:val="left"/>
              <w:rPr>
                <w:sz w:val="14"/>
              </w:rPr>
            </w:pPr>
            <w:r>
              <w:rPr>
                <w:color w:val="231F20"/>
                <w:spacing w:val="-2"/>
                <w:w w:val="95"/>
                <w:sz w:val="14"/>
              </w:rPr>
              <w:t>110.5</w:t>
            </w:r>
          </w:p>
        </w:tc>
        <w:tc>
          <w:tcPr>
            <w:tcW w:w="1564" w:type="dxa"/>
          </w:tcPr>
          <w:p>
            <w:pPr>
              <w:pStyle w:val="TableParagraph"/>
              <w:ind w:left="71" w:right="85"/>
              <w:rPr>
                <w:sz w:val="14"/>
              </w:rPr>
            </w:pPr>
            <w:r>
              <w:rPr>
                <w:color w:val="231F20"/>
                <w:spacing w:val="-5"/>
                <w:w w:val="95"/>
                <w:sz w:val="14"/>
              </w:rPr>
              <w:t>2.7</w:t>
            </w:r>
          </w:p>
        </w:tc>
        <w:tc>
          <w:tcPr>
            <w:tcW w:w="1318" w:type="dxa"/>
          </w:tcPr>
          <w:p>
            <w:pPr>
              <w:pStyle w:val="TableParagraph"/>
              <w:ind w:left="192" w:right="7"/>
              <w:rPr>
                <w:sz w:val="14"/>
              </w:rPr>
            </w:pPr>
            <w:r>
              <w:rPr>
                <w:color w:val="231F20"/>
                <w:spacing w:val="-5"/>
                <w:w w:val="95"/>
                <w:sz w:val="14"/>
              </w:rPr>
              <w:t>1.3</w:t>
            </w:r>
          </w:p>
        </w:tc>
        <w:tc>
          <w:tcPr>
            <w:tcW w:w="1728" w:type="dxa"/>
          </w:tcPr>
          <w:p>
            <w:pPr>
              <w:pStyle w:val="TableParagraph"/>
              <w:ind w:left="217" w:right="18"/>
              <w:rPr>
                <w:sz w:val="14"/>
              </w:rPr>
            </w:pPr>
            <w:r>
              <w:rPr>
                <w:color w:val="231F20"/>
                <w:spacing w:val="-5"/>
                <w:w w:val="95"/>
                <w:sz w:val="14"/>
              </w:rPr>
              <w:t>2.7</w:t>
            </w:r>
          </w:p>
        </w:tc>
      </w:tr>
      <w:tr>
        <w:trPr>
          <w:trHeight w:val="259" w:hRule="atLeast"/>
        </w:trPr>
        <w:tc>
          <w:tcPr>
            <w:tcW w:w="1488" w:type="dxa"/>
            <w:shd w:val="clear" w:color="auto" w:fill="D4E3F5"/>
          </w:tcPr>
          <w:p>
            <w:pPr>
              <w:pStyle w:val="TableParagraph"/>
              <w:ind w:left="80"/>
              <w:jc w:val="left"/>
              <w:rPr>
                <w:sz w:val="14"/>
              </w:rPr>
            </w:pPr>
            <w:r>
              <w:rPr>
                <w:color w:val="231F20"/>
                <w:spacing w:val="-4"/>
                <w:w w:val="85"/>
                <w:sz w:val="14"/>
              </w:rPr>
              <w:t>India</w:t>
            </w:r>
          </w:p>
        </w:tc>
        <w:tc>
          <w:tcPr>
            <w:tcW w:w="1585" w:type="dxa"/>
            <w:shd w:val="clear" w:color="auto" w:fill="D4E3F5"/>
          </w:tcPr>
          <w:p>
            <w:pPr>
              <w:pStyle w:val="TableParagraph"/>
              <w:ind w:left="666"/>
              <w:jc w:val="left"/>
              <w:rPr>
                <w:sz w:val="14"/>
              </w:rPr>
            </w:pPr>
            <w:r>
              <w:rPr>
                <w:color w:val="231F20"/>
                <w:spacing w:val="-5"/>
                <w:w w:val="95"/>
                <w:sz w:val="14"/>
              </w:rPr>
              <w:t>140</w:t>
            </w:r>
          </w:p>
        </w:tc>
        <w:tc>
          <w:tcPr>
            <w:tcW w:w="1564" w:type="dxa"/>
            <w:shd w:val="clear" w:color="auto" w:fill="D4E3F5"/>
          </w:tcPr>
          <w:p>
            <w:pPr>
              <w:pStyle w:val="TableParagraph"/>
              <w:ind w:left="10" w:right="85"/>
              <w:rPr>
                <w:sz w:val="14"/>
              </w:rPr>
            </w:pPr>
            <w:r>
              <w:rPr>
                <w:color w:val="231F20"/>
                <w:spacing w:val="-4"/>
                <w:w w:val="95"/>
                <w:sz w:val="14"/>
              </w:rPr>
              <w:t>10.4</w:t>
            </w:r>
          </w:p>
        </w:tc>
        <w:tc>
          <w:tcPr>
            <w:tcW w:w="1318" w:type="dxa"/>
            <w:shd w:val="clear" w:color="auto" w:fill="D4E3F5"/>
          </w:tcPr>
          <w:p>
            <w:pPr>
              <w:pStyle w:val="TableParagraph"/>
              <w:ind w:left="192" w:right="2"/>
              <w:rPr>
                <w:sz w:val="14"/>
              </w:rPr>
            </w:pPr>
            <w:r>
              <w:rPr>
                <w:color w:val="231F20"/>
                <w:spacing w:val="-5"/>
                <w:w w:val="95"/>
                <w:sz w:val="14"/>
              </w:rPr>
              <w:t>7.9</w:t>
            </w:r>
          </w:p>
        </w:tc>
        <w:tc>
          <w:tcPr>
            <w:tcW w:w="1728" w:type="dxa"/>
            <w:shd w:val="clear" w:color="auto" w:fill="D4E3F5"/>
          </w:tcPr>
          <w:p>
            <w:pPr>
              <w:pStyle w:val="TableParagraph"/>
              <w:ind w:left="217" w:right="32"/>
              <w:rPr>
                <w:sz w:val="14"/>
              </w:rPr>
            </w:pPr>
            <w:r>
              <w:rPr>
                <w:color w:val="231F20"/>
                <w:spacing w:val="-5"/>
                <w:w w:val="95"/>
                <w:sz w:val="14"/>
              </w:rPr>
              <w:t>8.1</w:t>
            </w:r>
          </w:p>
        </w:tc>
      </w:tr>
      <w:tr>
        <w:trPr>
          <w:trHeight w:val="259" w:hRule="atLeast"/>
        </w:trPr>
        <w:tc>
          <w:tcPr>
            <w:tcW w:w="1488" w:type="dxa"/>
          </w:tcPr>
          <w:p>
            <w:pPr>
              <w:pStyle w:val="TableParagraph"/>
              <w:ind w:left="80"/>
              <w:jc w:val="left"/>
              <w:rPr>
                <w:sz w:val="14"/>
              </w:rPr>
            </w:pPr>
            <w:r>
              <w:rPr>
                <w:color w:val="231F20"/>
                <w:spacing w:val="-2"/>
                <w:w w:val="85"/>
                <w:sz w:val="14"/>
              </w:rPr>
              <w:t>Indonesia</w:t>
            </w:r>
          </w:p>
        </w:tc>
        <w:tc>
          <w:tcPr>
            <w:tcW w:w="1585" w:type="dxa"/>
          </w:tcPr>
          <w:p>
            <w:pPr>
              <w:pStyle w:val="TableParagraph"/>
              <w:ind w:left="678"/>
              <w:jc w:val="left"/>
              <w:rPr>
                <w:sz w:val="14"/>
              </w:rPr>
            </w:pPr>
            <w:r>
              <w:rPr>
                <w:color w:val="231F20"/>
                <w:spacing w:val="-5"/>
                <w:w w:val="95"/>
                <w:sz w:val="14"/>
              </w:rPr>
              <w:t>117</w:t>
            </w:r>
          </w:p>
        </w:tc>
        <w:tc>
          <w:tcPr>
            <w:tcW w:w="1564" w:type="dxa"/>
          </w:tcPr>
          <w:p>
            <w:pPr>
              <w:pStyle w:val="TableParagraph"/>
              <w:ind w:left="15" w:right="85"/>
              <w:rPr>
                <w:sz w:val="14"/>
              </w:rPr>
            </w:pPr>
            <w:r>
              <w:rPr>
                <w:color w:val="231F20"/>
                <w:spacing w:val="-4"/>
                <w:w w:val="95"/>
                <w:sz w:val="14"/>
              </w:rPr>
              <w:t>13.3</w:t>
            </w:r>
          </w:p>
        </w:tc>
        <w:tc>
          <w:tcPr>
            <w:tcW w:w="1318" w:type="dxa"/>
          </w:tcPr>
          <w:p>
            <w:pPr>
              <w:pStyle w:val="TableParagraph"/>
              <w:ind w:left="192"/>
              <w:rPr>
                <w:sz w:val="14"/>
              </w:rPr>
            </w:pPr>
            <w:r>
              <w:rPr>
                <w:color w:val="231F20"/>
                <w:spacing w:val="-5"/>
                <w:w w:val="95"/>
                <w:sz w:val="14"/>
              </w:rPr>
              <w:t>7.2</w:t>
            </w:r>
          </w:p>
        </w:tc>
        <w:tc>
          <w:tcPr>
            <w:tcW w:w="1728" w:type="dxa"/>
          </w:tcPr>
          <w:p>
            <w:pPr>
              <w:pStyle w:val="TableParagraph"/>
              <w:ind w:left="217" w:right="85"/>
              <w:rPr>
                <w:sz w:val="14"/>
              </w:rPr>
            </w:pPr>
            <w:r>
              <w:rPr>
                <w:color w:val="231F20"/>
                <w:spacing w:val="-4"/>
                <w:w w:val="95"/>
                <w:sz w:val="14"/>
              </w:rPr>
              <w:t>11.1</w:t>
            </w:r>
          </w:p>
        </w:tc>
      </w:tr>
      <w:tr>
        <w:trPr>
          <w:trHeight w:val="259" w:hRule="atLeast"/>
        </w:trPr>
        <w:tc>
          <w:tcPr>
            <w:tcW w:w="1488" w:type="dxa"/>
            <w:shd w:val="clear" w:color="auto" w:fill="D4E3F5"/>
          </w:tcPr>
          <w:p>
            <w:pPr>
              <w:pStyle w:val="TableParagraph"/>
              <w:ind w:left="80"/>
              <w:jc w:val="left"/>
              <w:rPr>
                <w:sz w:val="14"/>
              </w:rPr>
            </w:pPr>
            <w:r>
              <w:rPr>
                <w:color w:val="231F20"/>
                <w:w w:val="75"/>
                <w:sz w:val="14"/>
              </w:rPr>
              <w:t>Iran,</w:t>
            </w:r>
            <w:r>
              <w:rPr>
                <w:color w:val="231F20"/>
                <w:spacing w:val="11"/>
                <w:sz w:val="14"/>
              </w:rPr>
              <w:t> </w:t>
            </w:r>
            <w:r>
              <w:rPr>
                <w:color w:val="231F20"/>
                <w:w w:val="75"/>
                <w:sz w:val="14"/>
              </w:rPr>
              <w:t>Islamic</w:t>
            </w:r>
            <w:r>
              <w:rPr>
                <w:color w:val="231F20"/>
                <w:spacing w:val="12"/>
                <w:sz w:val="14"/>
              </w:rPr>
              <w:t> </w:t>
            </w:r>
            <w:r>
              <w:rPr>
                <w:color w:val="231F20"/>
                <w:spacing w:val="-4"/>
                <w:w w:val="75"/>
                <w:sz w:val="14"/>
              </w:rPr>
              <w:t>Rep.</w:t>
            </w:r>
          </w:p>
        </w:tc>
        <w:tc>
          <w:tcPr>
            <w:tcW w:w="1585" w:type="dxa"/>
            <w:shd w:val="clear" w:color="auto" w:fill="D4E3F5"/>
          </w:tcPr>
          <w:p>
            <w:pPr>
              <w:pStyle w:val="TableParagraph"/>
              <w:ind w:left="729"/>
              <w:jc w:val="left"/>
              <w:rPr>
                <w:sz w:val="14"/>
              </w:rPr>
            </w:pPr>
            <w:r>
              <w:rPr>
                <w:color w:val="231F20"/>
                <w:spacing w:val="-5"/>
                <w:w w:val="95"/>
                <w:sz w:val="14"/>
              </w:rPr>
              <w:t>98</w:t>
            </w:r>
          </w:p>
        </w:tc>
        <w:tc>
          <w:tcPr>
            <w:tcW w:w="1564" w:type="dxa"/>
            <w:shd w:val="clear" w:color="auto" w:fill="D4E3F5"/>
          </w:tcPr>
          <w:p>
            <w:pPr>
              <w:pStyle w:val="TableParagraph"/>
              <w:ind w:left="75" w:right="85"/>
              <w:rPr>
                <w:sz w:val="14"/>
              </w:rPr>
            </w:pPr>
            <w:r>
              <w:rPr>
                <w:color w:val="231F20"/>
                <w:spacing w:val="-5"/>
                <w:w w:val="95"/>
                <w:sz w:val="14"/>
              </w:rPr>
              <w:t>4.4</w:t>
            </w:r>
          </w:p>
        </w:tc>
        <w:tc>
          <w:tcPr>
            <w:tcW w:w="1318" w:type="dxa"/>
            <w:shd w:val="clear" w:color="auto" w:fill="D4E3F5"/>
          </w:tcPr>
          <w:p>
            <w:pPr>
              <w:pStyle w:val="TableParagraph"/>
              <w:ind w:left="177"/>
              <w:rPr>
                <w:sz w:val="14"/>
              </w:rPr>
            </w:pPr>
            <w:r>
              <w:rPr>
                <w:color w:val="231F20"/>
                <w:spacing w:val="-5"/>
                <w:w w:val="95"/>
                <w:sz w:val="14"/>
              </w:rPr>
              <w:t>3.0</w:t>
            </w:r>
          </w:p>
        </w:tc>
        <w:tc>
          <w:tcPr>
            <w:tcW w:w="1728" w:type="dxa"/>
            <w:shd w:val="clear" w:color="auto" w:fill="D4E3F5"/>
          </w:tcPr>
          <w:p>
            <w:pPr>
              <w:pStyle w:val="TableParagraph"/>
              <w:ind w:left="217" w:right="12"/>
              <w:rPr>
                <w:sz w:val="14"/>
              </w:rPr>
            </w:pPr>
            <w:r>
              <w:rPr>
                <w:color w:val="231F20"/>
                <w:spacing w:val="-5"/>
                <w:w w:val="95"/>
                <w:sz w:val="14"/>
              </w:rPr>
              <w:t>3.9</w:t>
            </w:r>
          </w:p>
        </w:tc>
      </w:tr>
      <w:tr>
        <w:trPr>
          <w:trHeight w:val="259" w:hRule="atLeast"/>
        </w:trPr>
        <w:tc>
          <w:tcPr>
            <w:tcW w:w="1488" w:type="dxa"/>
          </w:tcPr>
          <w:p>
            <w:pPr>
              <w:pStyle w:val="TableParagraph"/>
              <w:ind w:left="80"/>
              <w:jc w:val="left"/>
              <w:rPr>
                <w:sz w:val="14"/>
              </w:rPr>
            </w:pPr>
            <w:r>
              <w:rPr>
                <w:color w:val="231F20"/>
                <w:spacing w:val="-4"/>
                <w:w w:val="85"/>
                <w:sz w:val="14"/>
              </w:rPr>
              <w:t>Iraq</w:t>
            </w:r>
          </w:p>
        </w:tc>
        <w:tc>
          <w:tcPr>
            <w:tcW w:w="1585" w:type="dxa"/>
          </w:tcPr>
          <w:p>
            <w:pPr>
              <w:pStyle w:val="TableParagraph"/>
              <w:ind w:left="728"/>
              <w:jc w:val="left"/>
              <w:rPr>
                <w:sz w:val="14"/>
              </w:rPr>
            </w:pPr>
            <w:r>
              <w:rPr>
                <w:color w:val="231F20"/>
                <w:spacing w:val="-4"/>
                <w:w w:val="95"/>
                <w:sz w:val="14"/>
              </w:rPr>
              <w:t>64.5</w:t>
            </w:r>
          </w:p>
        </w:tc>
        <w:tc>
          <w:tcPr>
            <w:tcW w:w="1564" w:type="dxa"/>
          </w:tcPr>
          <w:p>
            <w:pPr>
              <w:pStyle w:val="TableParagraph"/>
              <w:ind w:left="12" w:right="85"/>
              <w:rPr>
                <w:sz w:val="14"/>
              </w:rPr>
            </w:pPr>
            <w:r>
              <w:rPr>
                <w:color w:val="231F20"/>
                <w:spacing w:val="-4"/>
                <w:w w:val="95"/>
                <w:sz w:val="14"/>
              </w:rPr>
              <w:t>14.6</w:t>
            </w:r>
          </w:p>
        </w:tc>
        <w:tc>
          <w:tcPr>
            <w:tcW w:w="1318" w:type="dxa"/>
          </w:tcPr>
          <w:p>
            <w:pPr>
              <w:pStyle w:val="TableParagraph"/>
              <w:ind w:left="192" w:right="2"/>
              <w:rPr>
                <w:sz w:val="14"/>
              </w:rPr>
            </w:pPr>
            <w:r>
              <w:rPr>
                <w:color w:val="231F20"/>
                <w:spacing w:val="-5"/>
                <w:w w:val="95"/>
                <w:sz w:val="14"/>
              </w:rPr>
              <w:t>7.9</w:t>
            </w:r>
          </w:p>
        </w:tc>
        <w:tc>
          <w:tcPr>
            <w:tcW w:w="1728" w:type="dxa"/>
          </w:tcPr>
          <w:p>
            <w:pPr>
              <w:pStyle w:val="TableParagraph"/>
              <w:ind w:left="217" w:right="77"/>
              <w:rPr>
                <w:sz w:val="14"/>
              </w:rPr>
            </w:pPr>
            <w:r>
              <w:rPr>
                <w:color w:val="231F20"/>
                <w:spacing w:val="-4"/>
                <w:w w:val="95"/>
                <w:sz w:val="14"/>
              </w:rPr>
              <w:t>15.9</w:t>
            </w:r>
          </w:p>
        </w:tc>
      </w:tr>
      <w:tr>
        <w:trPr>
          <w:trHeight w:val="259" w:hRule="atLeast"/>
        </w:trPr>
        <w:tc>
          <w:tcPr>
            <w:tcW w:w="1488" w:type="dxa"/>
            <w:shd w:val="clear" w:color="auto" w:fill="D4E3F5"/>
          </w:tcPr>
          <w:p>
            <w:pPr>
              <w:pStyle w:val="TableParagraph"/>
              <w:ind w:left="80"/>
              <w:jc w:val="left"/>
              <w:rPr>
                <w:sz w:val="14"/>
              </w:rPr>
            </w:pPr>
            <w:r>
              <w:rPr>
                <w:color w:val="231F20"/>
                <w:spacing w:val="-2"/>
                <w:w w:val="85"/>
                <w:sz w:val="14"/>
              </w:rPr>
              <w:t>Ireland</w:t>
            </w:r>
          </w:p>
        </w:tc>
        <w:tc>
          <w:tcPr>
            <w:tcW w:w="1585" w:type="dxa"/>
            <w:shd w:val="clear" w:color="auto" w:fill="D4E3F5"/>
          </w:tcPr>
          <w:p>
            <w:pPr>
              <w:pStyle w:val="TableParagraph"/>
              <w:ind w:left="665"/>
              <w:jc w:val="left"/>
              <w:rPr>
                <w:sz w:val="14"/>
              </w:rPr>
            </w:pPr>
            <w:r>
              <w:rPr>
                <w:color w:val="231F20"/>
                <w:spacing w:val="-5"/>
                <w:w w:val="95"/>
                <w:sz w:val="14"/>
              </w:rPr>
              <w:t>103</w:t>
            </w:r>
          </w:p>
        </w:tc>
        <w:tc>
          <w:tcPr>
            <w:tcW w:w="1564" w:type="dxa"/>
            <w:shd w:val="clear" w:color="auto" w:fill="D4E3F5"/>
          </w:tcPr>
          <w:p>
            <w:pPr>
              <w:pStyle w:val="TableParagraph"/>
              <w:ind w:left="82" w:right="85"/>
              <w:rPr>
                <w:sz w:val="14"/>
              </w:rPr>
            </w:pPr>
            <w:r>
              <w:rPr>
                <w:color w:val="231F20"/>
                <w:spacing w:val="-5"/>
                <w:w w:val="95"/>
                <w:sz w:val="14"/>
              </w:rPr>
              <w:t>1.6</w:t>
            </w:r>
          </w:p>
        </w:tc>
        <w:tc>
          <w:tcPr>
            <w:tcW w:w="1318" w:type="dxa"/>
            <w:shd w:val="clear" w:color="auto" w:fill="D4E3F5"/>
          </w:tcPr>
          <w:p>
            <w:pPr>
              <w:pStyle w:val="TableParagraph"/>
              <w:ind w:left="178"/>
              <w:rPr>
                <w:sz w:val="14"/>
              </w:rPr>
            </w:pPr>
            <w:r>
              <w:rPr>
                <w:color w:val="231F20"/>
                <w:spacing w:val="-5"/>
                <w:w w:val="95"/>
                <w:sz w:val="14"/>
              </w:rPr>
              <w:t>0.9</w:t>
            </w:r>
          </w:p>
        </w:tc>
        <w:tc>
          <w:tcPr>
            <w:tcW w:w="1728" w:type="dxa"/>
            <w:shd w:val="clear" w:color="auto" w:fill="D4E3F5"/>
          </w:tcPr>
          <w:p>
            <w:pPr>
              <w:pStyle w:val="TableParagraph"/>
              <w:ind w:left="217" w:right="8"/>
              <w:rPr>
                <w:sz w:val="14"/>
              </w:rPr>
            </w:pPr>
            <w:r>
              <w:rPr>
                <w:color w:val="231F20"/>
                <w:spacing w:val="-5"/>
                <w:w w:val="95"/>
                <w:sz w:val="14"/>
              </w:rPr>
              <w:t>1.4</w:t>
            </w:r>
          </w:p>
        </w:tc>
      </w:tr>
      <w:tr>
        <w:trPr>
          <w:trHeight w:val="259" w:hRule="atLeast"/>
        </w:trPr>
        <w:tc>
          <w:tcPr>
            <w:tcW w:w="1488" w:type="dxa"/>
          </w:tcPr>
          <w:p>
            <w:pPr>
              <w:pStyle w:val="TableParagraph"/>
              <w:ind w:left="80"/>
              <w:jc w:val="left"/>
              <w:rPr>
                <w:sz w:val="14"/>
              </w:rPr>
            </w:pPr>
            <w:r>
              <w:rPr>
                <w:color w:val="231F20"/>
                <w:spacing w:val="-2"/>
                <w:w w:val="85"/>
                <w:sz w:val="14"/>
              </w:rPr>
              <w:t>Israel</w:t>
            </w:r>
          </w:p>
        </w:tc>
        <w:tc>
          <w:tcPr>
            <w:tcW w:w="1585" w:type="dxa"/>
          </w:tcPr>
          <w:p>
            <w:pPr>
              <w:pStyle w:val="TableParagraph"/>
              <w:ind w:left="728"/>
              <w:jc w:val="left"/>
              <w:rPr>
                <w:sz w:val="14"/>
              </w:rPr>
            </w:pPr>
            <w:r>
              <w:rPr>
                <w:color w:val="231F20"/>
                <w:spacing w:val="-5"/>
                <w:w w:val="95"/>
                <w:sz w:val="14"/>
              </w:rPr>
              <w:t>99</w:t>
            </w:r>
          </w:p>
        </w:tc>
        <w:tc>
          <w:tcPr>
            <w:tcW w:w="1564" w:type="dxa"/>
          </w:tcPr>
          <w:p>
            <w:pPr>
              <w:pStyle w:val="TableParagraph"/>
              <w:ind w:left="78" w:right="85"/>
              <w:rPr>
                <w:sz w:val="14"/>
              </w:rPr>
            </w:pPr>
            <w:r>
              <w:rPr>
                <w:color w:val="231F20"/>
                <w:spacing w:val="-5"/>
                <w:w w:val="95"/>
                <w:sz w:val="14"/>
              </w:rPr>
              <w:t>7.1</w:t>
            </w:r>
          </w:p>
        </w:tc>
        <w:tc>
          <w:tcPr>
            <w:tcW w:w="1318" w:type="dxa"/>
          </w:tcPr>
          <w:p>
            <w:pPr>
              <w:pStyle w:val="TableParagraph"/>
              <w:ind w:left="177"/>
              <w:rPr>
                <w:sz w:val="14"/>
              </w:rPr>
            </w:pPr>
            <w:r>
              <w:rPr>
                <w:color w:val="231F20"/>
                <w:spacing w:val="-5"/>
                <w:w w:val="95"/>
                <w:sz w:val="14"/>
              </w:rPr>
              <w:t>5.9</w:t>
            </w:r>
          </w:p>
        </w:tc>
        <w:tc>
          <w:tcPr>
            <w:tcW w:w="1728" w:type="dxa"/>
          </w:tcPr>
          <w:p>
            <w:pPr>
              <w:pStyle w:val="TableParagraph"/>
              <w:ind w:left="217" w:right="1"/>
              <w:rPr>
                <w:sz w:val="14"/>
              </w:rPr>
            </w:pPr>
            <w:r>
              <w:rPr>
                <w:color w:val="231F20"/>
                <w:spacing w:val="-5"/>
                <w:w w:val="95"/>
                <w:sz w:val="14"/>
              </w:rPr>
              <w:t>7.0</w:t>
            </w:r>
          </w:p>
        </w:tc>
      </w:tr>
      <w:tr>
        <w:trPr>
          <w:trHeight w:val="259" w:hRule="atLeast"/>
        </w:trPr>
        <w:tc>
          <w:tcPr>
            <w:tcW w:w="1488" w:type="dxa"/>
            <w:shd w:val="clear" w:color="auto" w:fill="D4E3F5"/>
          </w:tcPr>
          <w:p>
            <w:pPr>
              <w:pStyle w:val="TableParagraph"/>
              <w:ind w:left="80"/>
              <w:jc w:val="left"/>
              <w:rPr>
                <w:sz w:val="14"/>
              </w:rPr>
            </w:pPr>
            <w:r>
              <w:rPr>
                <w:color w:val="231F20"/>
                <w:spacing w:val="-2"/>
                <w:w w:val="85"/>
                <w:sz w:val="14"/>
              </w:rPr>
              <w:t>Italy</w:t>
            </w:r>
          </w:p>
        </w:tc>
        <w:tc>
          <w:tcPr>
            <w:tcW w:w="1585" w:type="dxa"/>
            <w:shd w:val="clear" w:color="auto" w:fill="D4E3F5"/>
          </w:tcPr>
          <w:p>
            <w:pPr>
              <w:pStyle w:val="TableParagraph"/>
              <w:ind w:left="668"/>
              <w:jc w:val="left"/>
              <w:rPr>
                <w:sz w:val="14"/>
              </w:rPr>
            </w:pPr>
            <w:r>
              <w:rPr>
                <w:color w:val="231F20"/>
                <w:spacing w:val="-2"/>
                <w:w w:val="95"/>
                <w:sz w:val="14"/>
              </w:rPr>
              <w:t>142.5</w:t>
            </w:r>
          </w:p>
        </w:tc>
        <w:tc>
          <w:tcPr>
            <w:tcW w:w="1564" w:type="dxa"/>
            <w:shd w:val="clear" w:color="auto" w:fill="D4E3F5"/>
          </w:tcPr>
          <w:p>
            <w:pPr>
              <w:pStyle w:val="TableParagraph"/>
              <w:ind w:left="77" w:right="85"/>
              <w:rPr>
                <w:sz w:val="14"/>
              </w:rPr>
            </w:pPr>
            <w:r>
              <w:rPr>
                <w:color w:val="231F20"/>
                <w:spacing w:val="-5"/>
                <w:w w:val="95"/>
                <w:sz w:val="14"/>
              </w:rPr>
              <w:t>4.5</w:t>
            </w:r>
          </w:p>
        </w:tc>
        <w:tc>
          <w:tcPr>
            <w:tcW w:w="1318" w:type="dxa"/>
            <w:shd w:val="clear" w:color="auto" w:fill="D4E3F5"/>
          </w:tcPr>
          <w:p>
            <w:pPr>
              <w:pStyle w:val="TableParagraph"/>
              <w:ind w:left="160"/>
              <w:rPr>
                <w:sz w:val="14"/>
              </w:rPr>
            </w:pPr>
            <w:r>
              <w:rPr>
                <w:color w:val="231F20"/>
                <w:spacing w:val="-5"/>
                <w:w w:val="95"/>
                <w:sz w:val="14"/>
              </w:rPr>
              <w:t>2.1</w:t>
            </w:r>
          </w:p>
        </w:tc>
        <w:tc>
          <w:tcPr>
            <w:tcW w:w="1728" w:type="dxa"/>
            <w:shd w:val="clear" w:color="auto" w:fill="D4E3F5"/>
          </w:tcPr>
          <w:p>
            <w:pPr>
              <w:pStyle w:val="TableParagraph"/>
              <w:ind w:left="217" w:right="13"/>
              <w:rPr>
                <w:sz w:val="14"/>
              </w:rPr>
            </w:pPr>
            <w:r>
              <w:rPr>
                <w:color w:val="231F20"/>
                <w:spacing w:val="-5"/>
                <w:w w:val="95"/>
                <w:sz w:val="14"/>
              </w:rPr>
              <w:t>4.0</w:t>
            </w:r>
          </w:p>
        </w:tc>
      </w:tr>
      <w:tr>
        <w:trPr>
          <w:trHeight w:val="259" w:hRule="atLeast"/>
        </w:trPr>
        <w:tc>
          <w:tcPr>
            <w:tcW w:w="1488" w:type="dxa"/>
          </w:tcPr>
          <w:p>
            <w:pPr>
              <w:pStyle w:val="TableParagraph"/>
              <w:ind w:left="80"/>
              <w:jc w:val="left"/>
              <w:rPr>
                <w:sz w:val="14"/>
              </w:rPr>
            </w:pPr>
            <w:r>
              <w:rPr>
                <w:color w:val="231F20"/>
                <w:spacing w:val="-2"/>
                <w:w w:val="90"/>
                <w:sz w:val="14"/>
              </w:rPr>
              <w:t>Jamaica</w:t>
            </w:r>
          </w:p>
        </w:tc>
        <w:tc>
          <w:tcPr>
            <w:tcW w:w="1585" w:type="dxa"/>
          </w:tcPr>
          <w:p>
            <w:pPr>
              <w:pStyle w:val="TableParagraph"/>
              <w:ind w:left="729"/>
              <w:jc w:val="left"/>
              <w:rPr>
                <w:sz w:val="14"/>
              </w:rPr>
            </w:pPr>
            <w:r>
              <w:rPr>
                <w:color w:val="231F20"/>
                <w:spacing w:val="-5"/>
                <w:w w:val="95"/>
                <w:sz w:val="14"/>
              </w:rPr>
              <w:t>80</w:t>
            </w:r>
          </w:p>
        </w:tc>
        <w:tc>
          <w:tcPr>
            <w:tcW w:w="1564" w:type="dxa"/>
          </w:tcPr>
          <w:p>
            <w:pPr>
              <w:pStyle w:val="TableParagraph"/>
              <w:ind w:left="26" w:right="85"/>
              <w:rPr>
                <w:sz w:val="14"/>
              </w:rPr>
            </w:pPr>
            <w:r>
              <w:rPr>
                <w:color w:val="231F20"/>
                <w:spacing w:val="-4"/>
                <w:w w:val="95"/>
                <w:sz w:val="14"/>
              </w:rPr>
              <w:t>17.9</w:t>
            </w:r>
          </w:p>
        </w:tc>
        <w:tc>
          <w:tcPr>
            <w:tcW w:w="1318" w:type="dxa"/>
          </w:tcPr>
          <w:p>
            <w:pPr>
              <w:pStyle w:val="TableParagraph"/>
              <w:ind w:left="178"/>
              <w:rPr>
                <w:sz w:val="14"/>
              </w:rPr>
            </w:pPr>
            <w:r>
              <w:rPr>
                <w:color w:val="231F20"/>
                <w:spacing w:val="-5"/>
                <w:w w:val="95"/>
                <w:sz w:val="14"/>
              </w:rPr>
              <w:t>9.9</w:t>
            </w:r>
          </w:p>
        </w:tc>
        <w:tc>
          <w:tcPr>
            <w:tcW w:w="1728" w:type="dxa"/>
          </w:tcPr>
          <w:p>
            <w:pPr>
              <w:pStyle w:val="TableParagraph"/>
              <w:ind w:left="217" w:right="74"/>
              <w:rPr>
                <w:sz w:val="14"/>
              </w:rPr>
            </w:pPr>
            <w:r>
              <w:rPr>
                <w:color w:val="231F20"/>
                <w:spacing w:val="-4"/>
                <w:w w:val="95"/>
                <w:sz w:val="14"/>
              </w:rPr>
              <w:t>12.2</w:t>
            </w:r>
          </w:p>
        </w:tc>
      </w:tr>
      <w:tr>
        <w:trPr>
          <w:trHeight w:val="259" w:hRule="atLeast"/>
        </w:trPr>
        <w:tc>
          <w:tcPr>
            <w:tcW w:w="1488" w:type="dxa"/>
            <w:shd w:val="clear" w:color="auto" w:fill="D4E3F5"/>
          </w:tcPr>
          <w:p>
            <w:pPr>
              <w:pStyle w:val="TableParagraph"/>
              <w:ind w:left="80"/>
              <w:jc w:val="left"/>
              <w:rPr>
                <w:sz w:val="14"/>
              </w:rPr>
            </w:pPr>
            <w:r>
              <w:rPr>
                <w:color w:val="231F20"/>
                <w:spacing w:val="-2"/>
                <w:w w:val="90"/>
                <w:sz w:val="14"/>
              </w:rPr>
              <w:t>Japan</w:t>
            </w:r>
          </w:p>
        </w:tc>
        <w:tc>
          <w:tcPr>
            <w:tcW w:w="1585" w:type="dxa"/>
            <w:shd w:val="clear" w:color="auto" w:fill="D4E3F5"/>
          </w:tcPr>
          <w:p>
            <w:pPr>
              <w:pStyle w:val="TableParagraph"/>
              <w:ind w:left="666"/>
              <w:jc w:val="left"/>
              <w:rPr>
                <w:sz w:val="14"/>
              </w:rPr>
            </w:pPr>
            <w:r>
              <w:rPr>
                <w:color w:val="231F20"/>
                <w:spacing w:val="-5"/>
                <w:w w:val="95"/>
                <w:sz w:val="14"/>
              </w:rPr>
              <w:t>140</w:t>
            </w:r>
          </w:p>
        </w:tc>
        <w:tc>
          <w:tcPr>
            <w:tcW w:w="1564" w:type="dxa"/>
            <w:shd w:val="clear" w:color="auto" w:fill="D4E3F5"/>
          </w:tcPr>
          <w:p>
            <w:pPr>
              <w:pStyle w:val="TableParagraph"/>
              <w:ind w:left="76" w:right="85"/>
              <w:rPr>
                <w:sz w:val="14"/>
              </w:rPr>
            </w:pPr>
            <w:r>
              <w:rPr>
                <w:color w:val="231F20"/>
                <w:spacing w:val="-5"/>
                <w:w w:val="95"/>
                <w:sz w:val="14"/>
              </w:rPr>
              <w:t>2.5</w:t>
            </w:r>
          </w:p>
        </w:tc>
        <w:tc>
          <w:tcPr>
            <w:tcW w:w="1318" w:type="dxa"/>
            <w:shd w:val="clear" w:color="auto" w:fill="D4E3F5"/>
          </w:tcPr>
          <w:p>
            <w:pPr>
              <w:pStyle w:val="TableParagraph"/>
              <w:ind w:left="192" w:right="7"/>
              <w:rPr>
                <w:sz w:val="14"/>
              </w:rPr>
            </w:pPr>
            <w:r>
              <w:rPr>
                <w:color w:val="231F20"/>
                <w:spacing w:val="-5"/>
                <w:w w:val="95"/>
                <w:sz w:val="14"/>
              </w:rPr>
              <w:t>1.8</w:t>
            </w:r>
          </w:p>
        </w:tc>
        <w:tc>
          <w:tcPr>
            <w:tcW w:w="1728" w:type="dxa"/>
            <w:shd w:val="clear" w:color="auto" w:fill="D4E3F5"/>
          </w:tcPr>
          <w:p>
            <w:pPr>
              <w:pStyle w:val="TableParagraph"/>
              <w:ind w:left="217" w:right="6"/>
              <w:rPr>
                <w:sz w:val="14"/>
              </w:rPr>
            </w:pPr>
            <w:r>
              <w:rPr>
                <w:color w:val="231F20"/>
                <w:spacing w:val="-5"/>
                <w:w w:val="95"/>
                <w:sz w:val="14"/>
              </w:rPr>
              <w:t>1.5</w:t>
            </w:r>
          </w:p>
        </w:tc>
      </w:tr>
      <w:tr>
        <w:trPr>
          <w:trHeight w:val="259" w:hRule="atLeast"/>
        </w:trPr>
        <w:tc>
          <w:tcPr>
            <w:tcW w:w="1488" w:type="dxa"/>
          </w:tcPr>
          <w:p>
            <w:pPr>
              <w:pStyle w:val="TableParagraph"/>
              <w:ind w:left="80"/>
              <w:jc w:val="left"/>
              <w:rPr>
                <w:sz w:val="14"/>
              </w:rPr>
            </w:pPr>
            <w:r>
              <w:rPr>
                <w:color w:val="231F20"/>
                <w:spacing w:val="-2"/>
                <w:w w:val="85"/>
                <w:sz w:val="14"/>
              </w:rPr>
              <w:t>Kazakhstan</w:t>
            </w:r>
          </w:p>
        </w:tc>
        <w:tc>
          <w:tcPr>
            <w:tcW w:w="1585" w:type="dxa"/>
          </w:tcPr>
          <w:p>
            <w:pPr>
              <w:pStyle w:val="TableParagraph"/>
              <w:ind w:left="668"/>
              <w:jc w:val="left"/>
              <w:rPr>
                <w:sz w:val="14"/>
              </w:rPr>
            </w:pPr>
            <w:r>
              <w:rPr>
                <w:color w:val="231F20"/>
                <w:spacing w:val="-5"/>
                <w:w w:val="95"/>
                <w:sz w:val="14"/>
              </w:rPr>
              <w:t>101</w:t>
            </w:r>
          </w:p>
        </w:tc>
        <w:tc>
          <w:tcPr>
            <w:tcW w:w="1564" w:type="dxa"/>
          </w:tcPr>
          <w:p>
            <w:pPr>
              <w:pStyle w:val="TableParagraph"/>
              <w:ind w:left="57" w:right="85"/>
              <w:rPr>
                <w:sz w:val="14"/>
              </w:rPr>
            </w:pPr>
            <w:r>
              <w:rPr>
                <w:color w:val="231F20"/>
                <w:spacing w:val="-5"/>
                <w:w w:val="95"/>
                <w:sz w:val="14"/>
              </w:rPr>
              <w:t>8.1</w:t>
            </w:r>
          </w:p>
        </w:tc>
        <w:tc>
          <w:tcPr>
            <w:tcW w:w="1318" w:type="dxa"/>
          </w:tcPr>
          <w:p>
            <w:pPr>
              <w:pStyle w:val="TableParagraph"/>
              <w:ind w:left="177"/>
              <w:rPr>
                <w:sz w:val="14"/>
              </w:rPr>
            </w:pPr>
            <w:r>
              <w:rPr>
                <w:color w:val="231F20"/>
                <w:spacing w:val="-5"/>
                <w:w w:val="95"/>
                <w:sz w:val="14"/>
              </w:rPr>
              <w:t>5.9</w:t>
            </w:r>
          </w:p>
        </w:tc>
        <w:tc>
          <w:tcPr>
            <w:tcW w:w="1728" w:type="dxa"/>
          </w:tcPr>
          <w:p>
            <w:pPr>
              <w:pStyle w:val="TableParagraph"/>
              <w:ind w:left="217" w:right="14"/>
              <w:rPr>
                <w:sz w:val="14"/>
              </w:rPr>
            </w:pPr>
            <w:r>
              <w:rPr>
                <w:color w:val="231F20"/>
                <w:spacing w:val="-5"/>
                <w:w w:val="95"/>
                <w:sz w:val="14"/>
              </w:rPr>
              <w:t>6.8</w:t>
            </w:r>
          </w:p>
        </w:tc>
      </w:tr>
      <w:tr>
        <w:trPr>
          <w:trHeight w:val="259" w:hRule="atLeast"/>
        </w:trPr>
        <w:tc>
          <w:tcPr>
            <w:tcW w:w="1488" w:type="dxa"/>
            <w:shd w:val="clear" w:color="auto" w:fill="D4E3F5"/>
          </w:tcPr>
          <w:p>
            <w:pPr>
              <w:pStyle w:val="TableParagraph"/>
              <w:ind w:left="80"/>
              <w:jc w:val="left"/>
              <w:rPr>
                <w:sz w:val="14"/>
              </w:rPr>
            </w:pPr>
            <w:r>
              <w:rPr>
                <w:color w:val="231F20"/>
                <w:w w:val="75"/>
                <w:sz w:val="14"/>
              </w:rPr>
              <w:t>Korea,</w:t>
            </w:r>
            <w:r>
              <w:rPr>
                <w:color w:val="231F20"/>
                <w:spacing w:val="9"/>
                <w:sz w:val="14"/>
              </w:rPr>
              <w:t> </w:t>
            </w:r>
            <w:r>
              <w:rPr>
                <w:color w:val="231F20"/>
                <w:spacing w:val="-4"/>
                <w:w w:val="90"/>
                <w:sz w:val="14"/>
              </w:rPr>
              <w:t>Rep.</w:t>
            </w:r>
          </w:p>
        </w:tc>
        <w:tc>
          <w:tcPr>
            <w:tcW w:w="1585" w:type="dxa"/>
            <w:shd w:val="clear" w:color="auto" w:fill="D4E3F5"/>
          </w:tcPr>
          <w:p>
            <w:pPr>
              <w:pStyle w:val="TableParagraph"/>
              <w:ind w:left="666"/>
              <w:jc w:val="left"/>
              <w:rPr>
                <w:sz w:val="14"/>
              </w:rPr>
            </w:pPr>
            <w:r>
              <w:rPr>
                <w:color w:val="231F20"/>
                <w:spacing w:val="-2"/>
                <w:w w:val="95"/>
                <w:sz w:val="14"/>
              </w:rPr>
              <w:t>120.5</w:t>
            </w:r>
          </w:p>
        </w:tc>
        <w:tc>
          <w:tcPr>
            <w:tcW w:w="1564" w:type="dxa"/>
            <w:shd w:val="clear" w:color="auto" w:fill="D4E3F5"/>
          </w:tcPr>
          <w:p>
            <w:pPr>
              <w:pStyle w:val="TableParagraph"/>
              <w:ind w:left="83" w:right="85"/>
              <w:rPr>
                <w:sz w:val="14"/>
              </w:rPr>
            </w:pPr>
            <w:r>
              <w:rPr>
                <w:color w:val="231F20"/>
                <w:spacing w:val="-5"/>
                <w:w w:val="95"/>
                <w:sz w:val="14"/>
              </w:rPr>
              <w:t>1.8</w:t>
            </w:r>
          </w:p>
        </w:tc>
        <w:tc>
          <w:tcPr>
            <w:tcW w:w="1318" w:type="dxa"/>
            <w:shd w:val="clear" w:color="auto" w:fill="D4E3F5"/>
          </w:tcPr>
          <w:p>
            <w:pPr>
              <w:pStyle w:val="TableParagraph"/>
              <w:ind w:left="192" w:right="8"/>
              <w:rPr>
                <w:sz w:val="14"/>
              </w:rPr>
            </w:pPr>
            <w:r>
              <w:rPr>
                <w:color w:val="231F20"/>
                <w:spacing w:val="-5"/>
                <w:w w:val="95"/>
                <w:sz w:val="14"/>
              </w:rPr>
              <w:t>1.0</w:t>
            </w:r>
          </w:p>
        </w:tc>
        <w:tc>
          <w:tcPr>
            <w:tcW w:w="1728" w:type="dxa"/>
            <w:shd w:val="clear" w:color="auto" w:fill="D4E3F5"/>
          </w:tcPr>
          <w:p>
            <w:pPr>
              <w:pStyle w:val="TableParagraph"/>
              <w:ind w:left="217" w:right="13"/>
              <w:rPr>
                <w:sz w:val="14"/>
              </w:rPr>
            </w:pPr>
            <w:r>
              <w:rPr>
                <w:color w:val="231F20"/>
                <w:spacing w:val="-5"/>
                <w:w w:val="95"/>
                <w:sz w:val="14"/>
              </w:rPr>
              <w:t>2.0</w:t>
            </w:r>
          </w:p>
        </w:tc>
      </w:tr>
      <w:tr>
        <w:trPr>
          <w:trHeight w:val="259" w:hRule="atLeast"/>
        </w:trPr>
        <w:tc>
          <w:tcPr>
            <w:tcW w:w="1488" w:type="dxa"/>
          </w:tcPr>
          <w:p>
            <w:pPr>
              <w:pStyle w:val="TableParagraph"/>
              <w:ind w:left="80"/>
              <w:jc w:val="left"/>
              <w:rPr>
                <w:sz w:val="14"/>
              </w:rPr>
            </w:pPr>
            <w:r>
              <w:rPr>
                <w:color w:val="231F20"/>
                <w:spacing w:val="-2"/>
                <w:w w:val="90"/>
                <w:sz w:val="14"/>
              </w:rPr>
              <w:t>Kuwait</w:t>
            </w:r>
          </w:p>
        </w:tc>
        <w:tc>
          <w:tcPr>
            <w:tcW w:w="1585" w:type="dxa"/>
          </w:tcPr>
          <w:p>
            <w:pPr>
              <w:pStyle w:val="TableParagraph"/>
              <w:ind w:left="729"/>
              <w:jc w:val="left"/>
              <w:rPr>
                <w:sz w:val="14"/>
              </w:rPr>
            </w:pPr>
            <w:r>
              <w:rPr>
                <w:color w:val="231F20"/>
                <w:spacing w:val="-4"/>
                <w:w w:val="95"/>
                <w:sz w:val="14"/>
              </w:rPr>
              <w:t>82.5</w:t>
            </w:r>
          </w:p>
        </w:tc>
        <w:tc>
          <w:tcPr>
            <w:tcW w:w="1564" w:type="dxa"/>
          </w:tcPr>
          <w:p>
            <w:pPr>
              <w:pStyle w:val="TableParagraph"/>
              <w:ind w:left="77" w:right="85"/>
              <w:rPr>
                <w:sz w:val="14"/>
              </w:rPr>
            </w:pPr>
            <w:r>
              <w:rPr>
                <w:color w:val="231F20"/>
                <w:spacing w:val="-5"/>
                <w:w w:val="95"/>
                <w:sz w:val="14"/>
              </w:rPr>
              <w:t>6.9</w:t>
            </w:r>
          </w:p>
        </w:tc>
        <w:tc>
          <w:tcPr>
            <w:tcW w:w="1318" w:type="dxa"/>
          </w:tcPr>
          <w:p>
            <w:pPr>
              <w:pStyle w:val="TableParagraph"/>
              <w:ind w:left="179"/>
              <w:rPr>
                <w:sz w:val="14"/>
              </w:rPr>
            </w:pPr>
            <w:r>
              <w:rPr>
                <w:color w:val="231F20"/>
                <w:spacing w:val="-5"/>
                <w:w w:val="95"/>
                <w:sz w:val="14"/>
              </w:rPr>
              <w:t>3.3</w:t>
            </w:r>
          </w:p>
        </w:tc>
        <w:tc>
          <w:tcPr>
            <w:tcW w:w="1728" w:type="dxa"/>
          </w:tcPr>
          <w:p>
            <w:pPr>
              <w:pStyle w:val="TableParagraph"/>
              <w:ind w:left="217" w:right="11"/>
              <w:rPr>
                <w:sz w:val="14"/>
              </w:rPr>
            </w:pPr>
            <w:r>
              <w:rPr>
                <w:color w:val="231F20"/>
                <w:spacing w:val="-5"/>
                <w:w w:val="95"/>
                <w:sz w:val="14"/>
              </w:rPr>
              <w:t>9.2</w:t>
            </w:r>
          </w:p>
        </w:tc>
      </w:tr>
      <w:tr>
        <w:trPr>
          <w:trHeight w:val="259" w:hRule="atLeast"/>
        </w:trPr>
        <w:tc>
          <w:tcPr>
            <w:tcW w:w="1488" w:type="dxa"/>
            <w:shd w:val="clear" w:color="auto" w:fill="D4E3F5"/>
          </w:tcPr>
          <w:p>
            <w:pPr>
              <w:pStyle w:val="TableParagraph"/>
              <w:ind w:left="80"/>
              <w:jc w:val="left"/>
              <w:rPr>
                <w:sz w:val="14"/>
              </w:rPr>
            </w:pPr>
            <w:r>
              <w:rPr>
                <w:color w:val="231F20"/>
                <w:w w:val="75"/>
                <w:sz w:val="14"/>
              </w:rPr>
              <w:t>Kyrgyz</w:t>
            </w:r>
            <w:r>
              <w:rPr>
                <w:color w:val="231F20"/>
                <w:spacing w:val="-1"/>
                <w:sz w:val="14"/>
              </w:rPr>
              <w:t> </w:t>
            </w:r>
            <w:r>
              <w:rPr>
                <w:color w:val="231F20"/>
                <w:spacing w:val="-2"/>
                <w:w w:val="85"/>
                <w:sz w:val="14"/>
              </w:rPr>
              <w:t>Republic</w:t>
            </w:r>
          </w:p>
        </w:tc>
        <w:tc>
          <w:tcPr>
            <w:tcW w:w="1585" w:type="dxa"/>
            <w:shd w:val="clear" w:color="auto" w:fill="D4E3F5"/>
          </w:tcPr>
          <w:p>
            <w:pPr>
              <w:pStyle w:val="TableParagraph"/>
              <w:ind w:left="729"/>
              <w:jc w:val="left"/>
              <w:rPr>
                <w:sz w:val="14"/>
              </w:rPr>
            </w:pPr>
            <w:r>
              <w:rPr>
                <w:color w:val="231F20"/>
                <w:spacing w:val="-4"/>
                <w:w w:val="95"/>
                <w:sz w:val="14"/>
              </w:rPr>
              <w:t>49.5</w:t>
            </w:r>
          </w:p>
        </w:tc>
        <w:tc>
          <w:tcPr>
            <w:tcW w:w="1564" w:type="dxa"/>
            <w:shd w:val="clear" w:color="auto" w:fill="D4E3F5"/>
          </w:tcPr>
          <w:p>
            <w:pPr>
              <w:pStyle w:val="TableParagraph"/>
              <w:ind w:left="75" w:right="85"/>
              <w:rPr>
                <w:sz w:val="14"/>
              </w:rPr>
            </w:pPr>
            <w:r>
              <w:rPr>
                <w:color w:val="231F20"/>
                <w:spacing w:val="-5"/>
                <w:w w:val="95"/>
                <w:sz w:val="14"/>
              </w:rPr>
              <w:t>6.0</w:t>
            </w:r>
          </w:p>
        </w:tc>
        <w:tc>
          <w:tcPr>
            <w:tcW w:w="1318" w:type="dxa"/>
            <w:shd w:val="clear" w:color="auto" w:fill="D4E3F5"/>
          </w:tcPr>
          <w:p>
            <w:pPr>
              <w:pStyle w:val="TableParagraph"/>
              <w:ind w:left="178"/>
              <w:rPr>
                <w:sz w:val="14"/>
              </w:rPr>
            </w:pPr>
            <w:r>
              <w:rPr>
                <w:color w:val="231F20"/>
                <w:spacing w:val="-5"/>
                <w:w w:val="95"/>
                <w:sz w:val="14"/>
              </w:rPr>
              <w:t>3.2</w:t>
            </w:r>
          </w:p>
        </w:tc>
        <w:tc>
          <w:tcPr>
            <w:tcW w:w="1728" w:type="dxa"/>
            <w:shd w:val="clear" w:color="auto" w:fill="D4E3F5"/>
          </w:tcPr>
          <w:p>
            <w:pPr>
              <w:pStyle w:val="TableParagraph"/>
              <w:ind w:left="217"/>
              <w:rPr>
                <w:sz w:val="14"/>
              </w:rPr>
            </w:pPr>
            <w:r>
              <w:rPr>
                <w:color w:val="231F20"/>
                <w:spacing w:val="-5"/>
                <w:w w:val="95"/>
                <w:sz w:val="14"/>
              </w:rPr>
              <w:t>7.3</w:t>
            </w:r>
          </w:p>
        </w:tc>
      </w:tr>
      <w:tr>
        <w:trPr>
          <w:trHeight w:val="259" w:hRule="atLeast"/>
        </w:trPr>
        <w:tc>
          <w:tcPr>
            <w:tcW w:w="1488" w:type="dxa"/>
          </w:tcPr>
          <w:p>
            <w:pPr>
              <w:pStyle w:val="TableParagraph"/>
              <w:ind w:left="80"/>
              <w:jc w:val="left"/>
              <w:rPr>
                <w:sz w:val="14"/>
              </w:rPr>
            </w:pPr>
            <w:r>
              <w:rPr>
                <w:color w:val="231F20"/>
                <w:w w:val="75"/>
                <w:sz w:val="14"/>
              </w:rPr>
              <w:t>Lao</w:t>
            </w:r>
            <w:r>
              <w:rPr>
                <w:color w:val="231F20"/>
                <w:spacing w:val="1"/>
                <w:sz w:val="14"/>
              </w:rPr>
              <w:t> </w:t>
            </w:r>
            <w:r>
              <w:rPr>
                <w:color w:val="231F20"/>
                <w:spacing w:val="-5"/>
                <w:w w:val="80"/>
                <w:sz w:val="14"/>
              </w:rPr>
              <w:t>PDR</w:t>
            </w:r>
          </w:p>
        </w:tc>
        <w:tc>
          <w:tcPr>
            <w:tcW w:w="1585" w:type="dxa"/>
          </w:tcPr>
          <w:p>
            <w:pPr>
              <w:pStyle w:val="TableParagraph"/>
              <w:ind w:left="729"/>
              <w:jc w:val="left"/>
              <w:rPr>
                <w:sz w:val="14"/>
              </w:rPr>
            </w:pPr>
            <w:r>
              <w:rPr>
                <w:color w:val="231F20"/>
                <w:spacing w:val="-5"/>
                <w:w w:val="95"/>
                <w:sz w:val="14"/>
              </w:rPr>
              <w:t>50</w:t>
            </w:r>
          </w:p>
        </w:tc>
        <w:tc>
          <w:tcPr>
            <w:tcW w:w="1564" w:type="dxa"/>
          </w:tcPr>
          <w:p>
            <w:pPr>
              <w:pStyle w:val="TableParagraph"/>
              <w:ind w:left="75" w:right="85"/>
              <w:rPr>
                <w:sz w:val="14"/>
              </w:rPr>
            </w:pPr>
            <w:r>
              <w:rPr>
                <w:color w:val="231F20"/>
                <w:spacing w:val="-5"/>
                <w:w w:val="95"/>
                <w:sz w:val="14"/>
              </w:rPr>
              <w:t>4.4</w:t>
            </w:r>
          </w:p>
        </w:tc>
        <w:tc>
          <w:tcPr>
            <w:tcW w:w="1318" w:type="dxa"/>
          </w:tcPr>
          <w:p>
            <w:pPr>
              <w:pStyle w:val="TableParagraph"/>
              <w:ind w:left="178"/>
              <w:rPr>
                <w:sz w:val="14"/>
              </w:rPr>
            </w:pPr>
            <w:r>
              <w:rPr>
                <w:color w:val="231F20"/>
                <w:spacing w:val="-5"/>
                <w:w w:val="95"/>
                <w:sz w:val="14"/>
              </w:rPr>
              <w:t>2.0</w:t>
            </w:r>
          </w:p>
        </w:tc>
        <w:tc>
          <w:tcPr>
            <w:tcW w:w="1728" w:type="dxa"/>
          </w:tcPr>
          <w:p>
            <w:pPr>
              <w:pStyle w:val="TableParagraph"/>
              <w:ind w:left="217" w:right="30"/>
              <w:rPr>
                <w:sz w:val="14"/>
              </w:rPr>
            </w:pPr>
            <w:r>
              <w:rPr>
                <w:color w:val="231F20"/>
                <w:spacing w:val="-5"/>
                <w:w w:val="95"/>
                <w:sz w:val="14"/>
              </w:rPr>
              <w:t>4.1</w:t>
            </w:r>
          </w:p>
        </w:tc>
      </w:tr>
      <w:tr>
        <w:trPr>
          <w:trHeight w:val="259" w:hRule="atLeast"/>
        </w:trPr>
        <w:tc>
          <w:tcPr>
            <w:tcW w:w="1488" w:type="dxa"/>
            <w:shd w:val="clear" w:color="auto" w:fill="D4E3F5"/>
          </w:tcPr>
          <w:p>
            <w:pPr>
              <w:pStyle w:val="TableParagraph"/>
              <w:ind w:left="80"/>
              <w:jc w:val="left"/>
              <w:rPr>
                <w:sz w:val="14"/>
              </w:rPr>
            </w:pPr>
            <w:r>
              <w:rPr>
                <w:color w:val="231F20"/>
                <w:spacing w:val="-2"/>
                <w:w w:val="90"/>
                <w:sz w:val="14"/>
              </w:rPr>
              <w:t>Latvia</w:t>
            </w:r>
          </w:p>
        </w:tc>
        <w:tc>
          <w:tcPr>
            <w:tcW w:w="1585" w:type="dxa"/>
            <w:shd w:val="clear" w:color="auto" w:fill="D4E3F5"/>
          </w:tcPr>
          <w:p>
            <w:pPr>
              <w:pStyle w:val="TableParagraph"/>
              <w:ind w:left="663"/>
              <w:jc w:val="left"/>
              <w:rPr>
                <w:sz w:val="14"/>
              </w:rPr>
            </w:pPr>
            <w:r>
              <w:rPr>
                <w:color w:val="231F20"/>
                <w:spacing w:val="-2"/>
                <w:w w:val="95"/>
                <w:sz w:val="14"/>
              </w:rPr>
              <w:t>108.5</w:t>
            </w:r>
          </w:p>
        </w:tc>
        <w:tc>
          <w:tcPr>
            <w:tcW w:w="1564" w:type="dxa"/>
            <w:shd w:val="clear" w:color="auto" w:fill="D4E3F5"/>
          </w:tcPr>
          <w:p>
            <w:pPr>
              <w:pStyle w:val="TableParagraph"/>
              <w:ind w:left="83" w:right="85"/>
              <w:rPr>
                <w:sz w:val="14"/>
              </w:rPr>
            </w:pPr>
            <w:r>
              <w:rPr>
                <w:color w:val="231F20"/>
                <w:spacing w:val="-5"/>
                <w:w w:val="95"/>
                <w:sz w:val="14"/>
              </w:rPr>
              <w:t>1.8</w:t>
            </w:r>
          </w:p>
        </w:tc>
        <w:tc>
          <w:tcPr>
            <w:tcW w:w="1318" w:type="dxa"/>
            <w:shd w:val="clear" w:color="auto" w:fill="D4E3F5"/>
          </w:tcPr>
          <w:p>
            <w:pPr>
              <w:pStyle w:val="TableParagraph"/>
              <w:ind w:left="192" w:right="8"/>
              <w:rPr>
                <w:sz w:val="14"/>
              </w:rPr>
            </w:pPr>
            <w:r>
              <w:rPr>
                <w:color w:val="231F20"/>
                <w:spacing w:val="-5"/>
                <w:w w:val="95"/>
                <w:sz w:val="14"/>
              </w:rPr>
              <w:t>1.6</w:t>
            </w:r>
          </w:p>
        </w:tc>
        <w:tc>
          <w:tcPr>
            <w:tcW w:w="1728" w:type="dxa"/>
            <w:shd w:val="clear" w:color="auto" w:fill="D4E3F5"/>
          </w:tcPr>
          <w:p>
            <w:pPr>
              <w:pStyle w:val="TableParagraph"/>
              <w:ind w:left="217" w:right="7"/>
              <w:rPr>
                <w:sz w:val="14"/>
              </w:rPr>
            </w:pPr>
            <w:r>
              <w:rPr>
                <w:color w:val="231F20"/>
                <w:spacing w:val="-5"/>
                <w:w w:val="95"/>
                <w:sz w:val="14"/>
              </w:rPr>
              <w:t>1.9</w:t>
            </w:r>
          </w:p>
        </w:tc>
      </w:tr>
      <w:tr>
        <w:trPr>
          <w:trHeight w:val="259" w:hRule="atLeast"/>
        </w:trPr>
        <w:tc>
          <w:tcPr>
            <w:tcW w:w="1488" w:type="dxa"/>
          </w:tcPr>
          <w:p>
            <w:pPr>
              <w:pStyle w:val="TableParagraph"/>
              <w:ind w:left="80"/>
              <w:jc w:val="left"/>
              <w:rPr>
                <w:sz w:val="14"/>
              </w:rPr>
            </w:pPr>
            <w:r>
              <w:rPr>
                <w:color w:val="231F20"/>
                <w:spacing w:val="-2"/>
                <w:w w:val="90"/>
                <w:sz w:val="14"/>
              </w:rPr>
              <w:t>Liberia</w:t>
            </w:r>
          </w:p>
        </w:tc>
        <w:tc>
          <w:tcPr>
            <w:tcW w:w="1585" w:type="dxa"/>
          </w:tcPr>
          <w:p>
            <w:pPr>
              <w:pStyle w:val="TableParagraph"/>
              <w:ind w:left="729"/>
              <w:jc w:val="left"/>
              <w:rPr>
                <w:sz w:val="14"/>
              </w:rPr>
            </w:pPr>
            <w:r>
              <w:rPr>
                <w:color w:val="231F20"/>
                <w:spacing w:val="-4"/>
                <w:w w:val="95"/>
                <w:sz w:val="14"/>
              </w:rPr>
              <w:t>32.5</w:t>
            </w:r>
          </w:p>
        </w:tc>
        <w:tc>
          <w:tcPr>
            <w:tcW w:w="1564" w:type="dxa"/>
          </w:tcPr>
          <w:p>
            <w:pPr>
              <w:pStyle w:val="TableParagraph"/>
              <w:ind w:left="71" w:right="85"/>
              <w:rPr>
                <w:sz w:val="14"/>
              </w:rPr>
            </w:pPr>
            <w:r>
              <w:rPr>
                <w:color w:val="231F20"/>
                <w:spacing w:val="-5"/>
                <w:w w:val="95"/>
                <w:sz w:val="14"/>
              </w:rPr>
              <w:t>2.7</w:t>
            </w:r>
          </w:p>
        </w:tc>
        <w:tc>
          <w:tcPr>
            <w:tcW w:w="1318" w:type="dxa"/>
          </w:tcPr>
          <w:p>
            <w:pPr>
              <w:pStyle w:val="TableParagraph"/>
              <w:ind w:left="178"/>
              <w:rPr>
                <w:sz w:val="14"/>
              </w:rPr>
            </w:pPr>
            <w:r>
              <w:rPr>
                <w:color w:val="231F20"/>
                <w:spacing w:val="-5"/>
                <w:w w:val="95"/>
                <w:sz w:val="14"/>
              </w:rPr>
              <w:t>0.0</w:t>
            </w:r>
          </w:p>
        </w:tc>
        <w:tc>
          <w:tcPr>
            <w:tcW w:w="1728" w:type="dxa"/>
          </w:tcPr>
          <w:p>
            <w:pPr>
              <w:pStyle w:val="TableParagraph"/>
              <w:ind w:left="217" w:right="12"/>
              <w:rPr>
                <w:sz w:val="14"/>
              </w:rPr>
            </w:pPr>
            <w:r>
              <w:rPr>
                <w:color w:val="231F20"/>
                <w:spacing w:val="-5"/>
                <w:w w:val="95"/>
                <w:sz w:val="14"/>
              </w:rPr>
              <w:t>0.2</w:t>
            </w:r>
          </w:p>
        </w:tc>
      </w:tr>
      <w:tr>
        <w:trPr>
          <w:trHeight w:val="259" w:hRule="atLeast"/>
        </w:trPr>
        <w:tc>
          <w:tcPr>
            <w:tcW w:w="1488" w:type="dxa"/>
            <w:shd w:val="clear" w:color="auto" w:fill="D4E3F5"/>
          </w:tcPr>
          <w:p>
            <w:pPr>
              <w:pStyle w:val="TableParagraph"/>
              <w:ind w:left="80"/>
              <w:jc w:val="left"/>
              <w:rPr>
                <w:sz w:val="14"/>
              </w:rPr>
            </w:pPr>
            <w:r>
              <w:rPr>
                <w:color w:val="231F20"/>
                <w:spacing w:val="-2"/>
                <w:w w:val="90"/>
                <w:sz w:val="14"/>
              </w:rPr>
              <w:t>Libya</w:t>
            </w:r>
          </w:p>
        </w:tc>
        <w:tc>
          <w:tcPr>
            <w:tcW w:w="1585" w:type="dxa"/>
            <w:shd w:val="clear" w:color="auto" w:fill="D4E3F5"/>
          </w:tcPr>
          <w:p>
            <w:pPr>
              <w:pStyle w:val="TableParagraph"/>
              <w:ind w:left="730"/>
              <w:jc w:val="left"/>
              <w:rPr>
                <w:sz w:val="14"/>
              </w:rPr>
            </w:pPr>
            <w:r>
              <w:rPr>
                <w:color w:val="231F20"/>
                <w:spacing w:val="-4"/>
                <w:w w:val="95"/>
                <w:sz w:val="14"/>
              </w:rPr>
              <w:t>42.5</w:t>
            </w:r>
          </w:p>
        </w:tc>
        <w:tc>
          <w:tcPr>
            <w:tcW w:w="1564" w:type="dxa"/>
            <w:shd w:val="clear" w:color="auto" w:fill="D4E3F5"/>
          </w:tcPr>
          <w:p>
            <w:pPr>
              <w:pStyle w:val="TableParagraph"/>
              <w:ind w:left="14" w:right="85"/>
              <w:rPr>
                <w:sz w:val="14"/>
              </w:rPr>
            </w:pPr>
            <w:r>
              <w:rPr>
                <w:color w:val="231F20"/>
                <w:spacing w:val="-4"/>
                <w:w w:val="95"/>
                <w:sz w:val="14"/>
              </w:rPr>
              <w:t>15.2</w:t>
            </w:r>
          </w:p>
        </w:tc>
        <w:tc>
          <w:tcPr>
            <w:tcW w:w="1318" w:type="dxa"/>
            <w:shd w:val="clear" w:color="auto" w:fill="D4E3F5"/>
          </w:tcPr>
          <w:p>
            <w:pPr>
              <w:pStyle w:val="TableParagraph"/>
              <w:ind w:left="166"/>
              <w:rPr>
                <w:sz w:val="14"/>
              </w:rPr>
            </w:pPr>
            <w:r>
              <w:rPr>
                <w:color w:val="231F20"/>
                <w:spacing w:val="-5"/>
                <w:w w:val="95"/>
                <w:sz w:val="14"/>
              </w:rPr>
              <w:t>1.1</w:t>
            </w:r>
          </w:p>
        </w:tc>
        <w:tc>
          <w:tcPr>
            <w:tcW w:w="1728" w:type="dxa"/>
            <w:shd w:val="clear" w:color="auto" w:fill="D4E3F5"/>
          </w:tcPr>
          <w:p>
            <w:pPr>
              <w:pStyle w:val="TableParagraph"/>
              <w:ind w:left="217" w:right="95"/>
              <w:rPr>
                <w:sz w:val="14"/>
              </w:rPr>
            </w:pPr>
            <w:r>
              <w:rPr>
                <w:color w:val="231F20"/>
                <w:spacing w:val="-4"/>
                <w:w w:val="95"/>
                <w:sz w:val="14"/>
              </w:rPr>
              <w:t>10.1</w:t>
            </w:r>
          </w:p>
        </w:tc>
      </w:tr>
      <w:tr>
        <w:trPr>
          <w:trHeight w:val="259" w:hRule="atLeast"/>
        </w:trPr>
        <w:tc>
          <w:tcPr>
            <w:tcW w:w="1488" w:type="dxa"/>
          </w:tcPr>
          <w:p>
            <w:pPr>
              <w:pStyle w:val="TableParagraph"/>
              <w:ind w:left="80"/>
              <w:jc w:val="left"/>
              <w:rPr>
                <w:sz w:val="14"/>
              </w:rPr>
            </w:pPr>
            <w:r>
              <w:rPr>
                <w:color w:val="231F20"/>
                <w:spacing w:val="-2"/>
                <w:w w:val="90"/>
                <w:sz w:val="14"/>
              </w:rPr>
              <w:t>Lithuania</w:t>
            </w:r>
          </w:p>
        </w:tc>
        <w:tc>
          <w:tcPr>
            <w:tcW w:w="1585" w:type="dxa"/>
          </w:tcPr>
          <w:p>
            <w:pPr>
              <w:pStyle w:val="TableParagraph"/>
              <w:ind w:left="677"/>
              <w:jc w:val="left"/>
              <w:rPr>
                <w:sz w:val="14"/>
              </w:rPr>
            </w:pPr>
            <w:r>
              <w:rPr>
                <w:color w:val="231F20"/>
                <w:spacing w:val="-5"/>
                <w:w w:val="95"/>
                <w:sz w:val="14"/>
              </w:rPr>
              <w:t>119</w:t>
            </w:r>
          </w:p>
        </w:tc>
        <w:tc>
          <w:tcPr>
            <w:tcW w:w="1564" w:type="dxa"/>
          </w:tcPr>
          <w:p>
            <w:pPr>
              <w:pStyle w:val="TableParagraph"/>
              <w:ind w:left="76" w:right="85"/>
              <w:rPr>
                <w:sz w:val="14"/>
              </w:rPr>
            </w:pPr>
            <w:r>
              <w:rPr>
                <w:color w:val="231F20"/>
                <w:spacing w:val="-5"/>
                <w:w w:val="95"/>
                <w:sz w:val="14"/>
              </w:rPr>
              <w:t>5.6</w:t>
            </w:r>
          </w:p>
        </w:tc>
        <w:tc>
          <w:tcPr>
            <w:tcW w:w="1318" w:type="dxa"/>
          </w:tcPr>
          <w:p>
            <w:pPr>
              <w:pStyle w:val="TableParagraph"/>
              <w:ind w:left="179"/>
              <w:rPr>
                <w:sz w:val="14"/>
              </w:rPr>
            </w:pPr>
            <w:r>
              <w:rPr>
                <w:color w:val="231F20"/>
                <w:spacing w:val="-5"/>
                <w:w w:val="95"/>
                <w:sz w:val="14"/>
              </w:rPr>
              <w:t>2.2</w:t>
            </w:r>
          </w:p>
        </w:tc>
        <w:tc>
          <w:tcPr>
            <w:tcW w:w="1728" w:type="dxa"/>
          </w:tcPr>
          <w:p>
            <w:pPr>
              <w:pStyle w:val="TableParagraph"/>
              <w:ind w:left="217" w:right="14"/>
              <w:rPr>
                <w:sz w:val="14"/>
              </w:rPr>
            </w:pPr>
            <w:r>
              <w:rPr>
                <w:color w:val="231F20"/>
                <w:spacing w:val="-5"/>
                <w:w w:val="95"/>
                <w:sz w:val="14"/>
              </w:rPr>
              <w:t>5.8</w:t>
            </w:r>
          </w:p>
        </w:tc>
      </w:tr>
      <w:tr>
        <w:trPr>
          <w:trHeight w:val="259" w:hRule="atLeast"/>
        </w:trPr>
        <w:tc>
          <w:tcPr>
            <w:tcW w:w="1488" w:type="dxa"/>
            <w:shd w:val="clear" w:color="auto" w:fill="D4E3F5"/>
          </w:tcPr>
          <w:p>
            <w:pPr>
              <w:pStyle w:val="TableParagraph"/>
              <w:ind w:left="80"/>
              <w:jc w:val="left"/>
              <w:rPr>
                <w:sz w:val="14"/>
              </w:rPr>
            </w:pPr>
            <w:r>
              <w:rPr>
                <w:color w:val="231F20"/>
                <w:spacing w:val="-2"/>
                <w:w w:val="90"/>
                <w:sz w:val="14"/>
              </w:rPr>
              <w:t>Luxembourg</w:t>
            </w:r>
          </w:p>
        </w:tc>
        <w:tc>
          <w:tcPr>
            <w:tcW w:w="1585" w:type="dxa"/>
            <w:shd w:val="clear" w:color="auto" w:fill="D4E3F5"/>
          </w:tcPr>
          <w:p>
            <w:pPr>
              <w:pStyle w:val="TableParagraph"/>
              <w:ind w:left="665"/>
              <w:jc w:val="left"/>
              <w:rPr>
                <w:sz w:val="14"/>
              </w:rPr>
            </w:pPr>
            <w:r>
              <w:rPr>
                <w:color w:val="231F20"/>
                <w:spacing w:val="-5"/>
                <w:w w:val="95"/>
                <w:sz w:val="14"/>
              </w:rPr>
              <w:t>104</w:t>
            </w:r>
          </w:p>
        </w:tc>
        <w:tc>
          <w:tcPr>
            <w:tcW w:w="1564" w:type="dxa"/>
            <w:shd w:val="clear" w:color="auto" w:fill="D4E3F5"/>
          </w:tcPr>
          <w:p>
            <w:pPr>
              <w:pStyle w:val="TableParagraph"/>
              <w:ind w:left="76" w:right="85"/>
              <w:rPr>
                <w:sz w:val="14"/>
              </w:rPr>
            </w:pPr>
            <w:r>
              <w:rPr>
                <w:color w:val="231F20"/>
                <w:spacing w:val="-5"/>
                <w:w w:val="95"/>
                <w:sz w:val="14"/>
              </w:rPr>
              <w:t>2.5</w:t>
            </w:r>
          </w:p>
        </w:tc>
        <w:tc>
          <w:tcPr>
            <w:tcW w:w="1318" w:type="dxa"/>
            <w:shd w:val="clear" w:color="auto" w:fill="D4E3F5"/>
          </w:tcPr>
          <w:p>
            <w:pPr>
              <w:pStyle w:val="TableParagraph"/>
              <w:ind w:left="192" w:right="6"/>
              <w:rPr>
                <w:sz w:val="14"/>
              </w:rPr>
            </w:pPr>
            <w:r>
              <w:rPr>
                <w:color w:val="231F20"/>
                <w:spacing w:val="-5"/>
                <w:w w:val="95"/>
                <w:sz w:val="14"/>
              </w:rPr>
              <w:t>1.2</w:t>
            </w:r>
          </w:p>
        </w:tc>
        <w:tc>
          <w:tcPr>
            <w:tcW w:w="1728" w:type="dxa"/>
            <w:shd w:val="clear" w:color="auto" w:fill="D4E3F5"/>
          </w:tcPr>
          <w:p>
            <w:pPr>
              <w:pStyle w:val="TableParagraph"/>
              <w:ind w:left="217" w:right="31"/>
              <w:rPr>
                <w:sz w:val="14"/>
              </w:rPr>
            </w:pPr>
            <w:r>
              <w:rPr>
                <w:color w:val="231F20"/>
                <w:spacing w:val="-5"/>
                <w:w w:val="95"/>
                <w:sz w:val="14"/>
              </w:rPr>
              <w:t>2.1</w:t>
            </w:r>
          </w:p>
        </w:tc>
      </w:tr>
      <w:tr>
        <w:trPr>
          <w:trHeight w:val="259" w:hRule="atLeast"/>
        </w:trPr>
        <w:tc>
          <w:tcPr>
            <w:tcW w:w="1488" w:type="dxa"/>
          </w:tcPr>
          <w:p>
            <w:pPr>
              <w:pStyle w:val="TableParagraph"/>
              <w:ind w:left="80"/>
              <w:jc w:val="left"/>
              <w:rPr>
                <w:sz w:val="14"/>
              </w:rPr>
            </w:pPr>
            <w:r>
              <w:rPr>
                <w:color w:val="231F20"/>
                <w:spacing w:val="-2"/>
                <w:w w:val="90"/>
                <w:sz w:val="14"/>
              </w:rPr>
              <w:t>Madagascar</w:t>
            </w:r>
          </w:p>
        </w:tc>
        <w:tc>
          <w:tcPr>
            <w:tcW w:w="1585" w:type="dxa"/>
          </w:tcPr>
          <w:p>
            <w:pPr>
              <w:pStyle w:val="TableParagraph"/>
              <w:ind w:left="727"/>
              <w:jc w:val="left"/>
              <w:rPr>
                <w:sz w:val="14"/>
              </w:rPr>
            </w:pPr>
            <w:r>
              <w:rPr>
                <w:color w:val="231F20"/>
                <w:spacing w:val="-4"/>
                <w:w w:val="95"/>
                <w:sz w:val="14"/>
              </w:rPr>
              <w:t>36.5</w:t>
            </w:r>
          </w:p>
        </w:tc>
        <w:tc>
          <w:tcPr>
            <w:tcW w:w="1564" w:type="dxa"/>
          </w:tcPr>
          <w:p>
            <w:pPr>
              <w:pStyle w:val="TableParagraph"/>
              <w:ind w:left="77" w:right="85"/>
              <w:rPr>
                <w:sz w:val="14"/>
              </w:rPr>
            </w:pPr>
            <w:r>
              <w:rPr>
                <w:color w:val="231F20"/>
                <w:spacing w:val="-5"/>
                <w:w w:val="95"/>
                <w:sz w:val="14"/>
              </w:rPr>
              <w:t>3.9</w:t>
            </w:r>
          </w:p>
        </w:tc>
        <w:tc>
          <w:tcPr>
            <w:tcW w:w="1318" w:type="dxa"/>
          </w:tcPr>
          <w:p>
            <w:pPr>
              <w:pStyle w:val="TableParagraph"/>
              <w:ind w:left="178"/>
              <w:rPr>
                <w:sz w:val="14"/>
              </w:rPr>
            </w:pPr>
            <w:r>
              <w:rPr>
                <w:color w:val="231F20"/>
                <w:spacing w:val="-5"/>
                <w:w w:val="95"/>
                <w:sz w:val="14"/>
              </w:rPr>
              <w:t>0.9</w:t>
            </w:r>
          </w:p>
        </w:tc>
        <w:tc>
          <w:tcPr>
            <w:tcW w:w="1728" w:type="dxa"/>
          </w:tcPr>
          <w:p>
            <w:pPr>
              <w:pStyle w:val="TableParagraph"/>
              <w:ind w:left="217" w:right="14"/>
              <w:rPr>
                <w:sz w:val="14"/>
              </w:rPr>
            </w:pPr>
            <w:r>
              <w:rPr>
                <w:color w:val="231F20"/>
                <w:spacing w:val="-5"/>
                <w:w w:val="95"/>
                <w:sz w:val="14"/>
              </w:rPr>
              <w:t>6.8</w:t>
            </w:r>
          </w:p>
        </w:tc>
      </w:tr>
      <w:tr>
        <w:trPr>
          <w:trHeight w:val="259" w:hRule="atLeast"/>
        </w:trPr>
        <w:tc>
          <w:tcPr>
            <w:tcW w:w="1488" w:type="dxa"/>
            <w:shd w:val="clear" w:color="auto" w:fill="D4E3F5"/>
          </w:tcPr>
          <w:p>
            <w:pPr>
              <w:pStyle w:val="TableParagraph"/>
              <w:ind w:left="80"/>
              <w:jc w:val="left"/>
              <w:rPr>
                <w:sz w:val="14"/>
              </w:rPr>
            </w:pPr>
            <w:r>
              <w:rPr>
                <w:color w:val="231F20"/>
                <w:spacing w:val="-2"/>
                <w:w w:val="90"/>
                <w:sz w:val="14"/>
              </w:rPr>
              <w:t>Malaysia</w:t>
            </w:r>
          </w:p>
        </w:tc>
        <w:tc>
          <w:tcPr>
            <w:tcW w:w="1585" w:type="dxa"/>
            <w:shd w:val="clear" w:color="auto" w:fill="D4E3F5"/>
          </w:tcPr>
          <w:p>
            <w:pPr>
              <w:pStyle w:val="TableParagraph"/>
              <w:ind w:left="668"/>
              <w:jc w:val="left"/>
              <w:rPr>
                <w:sz w:val="14"/>
              </w:rPr>
            </w:pPr>
            <w:r>
              <w:rPr>
                <w:color w:val="231F20"/>
                <w:spacing w:val="-5"/>
                <w:w w:val="95"/>
                <w:sz w:val="14"/>
              </w:rPr>
              <w:t>123</w:t>
            </w:r>
          </w:p>
        </w:tc>
        <w:tc>
          <w:tcPr>
            <w:tcW w:w="1564" w:type="dxa"/>
            <w:shd w:val="clear" w:color="auto" w:fill="D4E3F5"/>
          </w:tcPr>
          <w:p>
            <w:pPr>
              <w:pStyle w:val="TableParagraph"/>
              <w:ind w:left="77" w:right="85"/>
              <w:rPr>
                <w:sz w:val="14"/>
              </w:rPr>
            </w:pPr>
            <w:r>
              <w:rPr>
                <w:color w:val="231F20"/>
                <w:spacing w:val="-5"/>
                <w:w w:val="95"/>
                <w:sz w:val="14"/>
              </w:rPr>
              <w:t>5.2</w:t>
            </w:r>
          </w:p>
        </w:tc>
        <w:tc>
          <w:tcPr>
            <w:tcW w:w="1318" w:type="dxa"/>
            <w:shd w:val="clear" w:color="auto" w:fill="D4E3F5"/>
          </w:tcPr>
          <w:p>
            <w:pPr>
              <w:pStyle w:val="TableParagraph"/>
              <w:ind w:left="178"/>
              <w:rPr>
                <w:sz w:val="14"/>
              </w:rPr>
            </w:pPr>
            <w:r>
              <w:rPr>
                <w:color w:val="231F20"/>
                <w:spacing w:val="-5"/>
                <w:w w:val="95"/>
                <w:sz w:val="14"/>
              </w:rPr>
              <w:t>2.9</w:t>
            </w:r>
          </w:p>
        </w:tc>
        <w:tc>
          <w:tcPr>
            <w:tcW w:w="1728" w:type="dxa"/>
            <w:shd w:val="clear" w:color="auto" w:fill="D4E3F5"/>
          </w:tcPr>
          <w:p>
            <w:pPr>
              <w:pStyle w:val="TableParagraph"/>
              <w:ind w:left="217" w:right="12"/>
              <w:rPr>
                <w:sz w:val="14"/>
              </w:rPr>
            </w:pPr>
            <w:r>
              <w:rPr>
                <w:color w:val="231F20"/>
                <w:spacing w:val="-5"/>
                <w:w w:val="95"/>
                <w:sz w:val="14"/>
              </w:rPr>
              <w:t>4.5</w:t>
            </w:r>
          </w:p>
        </w:tc>
      </w:tr>
      <w:tr>
        <w:trPr>
          <w:trHeight w:val="259" w:hRule="atLeast"/>
        </w:trPr>
        <w:tc>
          <w:tcPr>
            <w:tcW w:w="1488" w:type="dxa"/>
          </w:tcPr>
          <w:p>
            <w:pPr>
              <w:pStyle w:val="TableParagraph"/>
              <w:ind w:left="80"/>
              <w:jc w:val="left"/>
              <w:rPr>
                <w:sz w:val="14"/>
              </w:rPr>
            </w:pPr>
            <w:r>
              <w:rPr>
                <w:color w:val="231F20"/>
                <w:spacing w:val="-4"/>
                <w:w w:val="90"/>
                <w:sz w:val="14"/>
              </w:rPr>
              <w:t>Mali</w:t>
            </w:r>
          </w:p>
        </w:tc>
        <w:tc>
          <w:tcPr>
            <w:tcW w:w="1585" w:type="dxa"/>
          </w:tcPr>
          <w:p>
            <w:pPr>
              <w:pStyle w:val="TableParagraph"/>
              <w:ind w:left="726"/>
              <w:jc w:val="left"/>
              <w:rPr>
                <w:sz w:val="14"/>
              </w:rPr>
            </w:pPr>
            <w:r>
              <w:rPr>
                <w:color w:val="231F20"/>
                <w:spacing w:val="-4"/>
                <w:w w:val="95"/>
                <w:sz w:val="14"/>
              </w:rPr>
              <w:t>43.5</w:t>
            </w:r>
          </w:p>
        </w:tc>
        <w:tc>
          <w:tcPr>
            <w:tcW w:w="1564" w:type="dxa"/>
          </w:tcPr>
          <w:p>
            <w:pPr>
              <w:pStyle w:val="TableParagraph"/>
              <w:ind w:left="83" w:right="85"/>
              <w:rPr>
                <w:sz w:val="14"/>
              </w:rPr>
            </w:pPr>
            <w:r>
              <w:rPr>
                <w:color w:val="231F20"/>
                <w:spacing w:val="-5"/>
                <w:w w:val="95"/>
                <w:sz w:val="14"/>
              </w:rPr>
              <w:t>1.3</w:t>
            </w:r>
          </w:p>
        </w:tc>
        <w:tc>
          <w:tcPr>
            <w:tcW w:w="1318" w:type="dxa"/>
          </w:tcPr>
          <w:p>
            <w:pPr>
              <w:pStyle w:val="TableParagraph"/>
              <w:ind w:left="160"/>
              <w:rPr>
                <w:sz w:val="14"/>
              </w:rPr>
            </w:pPr>
            <w:r>
              <w:rPr>
                <w:color w:val="231F20"/>
                <w:spacing w:val="-5"/>
                <w:w w:val="95"/>
                <w:sz w:val="14"/>
              </w:rPr>
              <w:t>0.1</w:t>
            </w:r>
          </w:p>
        </w:tc>
        <w:tc>
          <w:tcPr>
            <w:tcW w:w="1728" w:type="dxa"/>
          </w:tcPr>
          <w:p>
            <w:pPr>
              <w:pStyle w:val="TableParagraph"/>
              <w:ind w:left="217" w:right="5"/>
              <w:rPr>
                <w:sz w:val="14"/>
              </w:rPr>
            </w:pPr>
            <w:r>
              <w:rPr>
                <w:color w:val="231F20"/>
                <w:spacing w:val="-5"/>
                <w:w w:val="95"/>
                <w:sz w:val="14"/>
              </w:rPr>
              <w:t>1.2</w:t>
            </w:r>
          </w:p>
        </w:tc>
      </w:tr>
      <w:tr>
        <w:trPr>
          <w:trHeight w:val="259" w:hRule="atLeast"/>
        </w:trPr>
        <w:tc>
          <w:tcPr>
            <w:tcW w:w="1488" w:type="dxa"/>
            <w:shd w:val="clear" w:color="auto" w:fill="D4E3F5"/>
          </w:tcPr>
          <w:p>
            <w:pPr>
              <w:pStyle w:val="TableParagraph"/>
              <w:ind w:left="80"/>
              <w:jc w:val="left"/>
              <w:rPr>
                <w:sz w:val="14"/>
              </w:rPr>
            </w:pPr>
            <w:r>
              <w:rPr>
                <w:color w:val="231F20"/>
                <w:spacing w:val="-2"/>
                <w:w w:val="90"/>
                <w:sz w:val="14"/>
              </w:rPr>
              <w:t>Malta</w:t>
            </w:r>
          </w:p>
        </w:tc>
        <w:tc>
          <w:tcPr>
            <w:tcW w:w="1585" w:type="dxa"/>
            <w:shd w:val="clear" w:color="auto" w:fill="D4E3F5"/>
          </w:tcPr>
          <w:p>
            <w:pPr>
              <w:pStyle w:val="TableParagraph"/>
              <w:ind w:left="666"/>
              <w:jc w:val="left"/>
              <w:rPr>
                <w:sz w:val="14"/>
              </w:rPr>
            </w:pPr>
            <w:r>
              <w:rPr>
                <w:color w:val="231F20"/>
                <w:spacing w:val="-5"/>
                <w:w w:val="95"/>
                <w:sz w:val="14"/>
              </w:rPr>
              <w:t>105</w:t>
            </w:r>
          </w:p>
        </w:tc>
        <w:tc>
          <w:tcPr>
            <w:tcW w:w="1564" w:type="dxa"/>
            <w:shd w:val="clear" w:color="auto" w:fill="D4E3F5"/>
          </w:tcPr>
          <w:p>
            <w:pPr>
              <w:pStyle w:val="TableParagraph"/>
              <w:ind w:left="57" w:right="85"/>
              <w:rPr>
                <w:sz w:val="14"/>
              </w:rPr>
            </w:pPr>
            <w:r>
              <w:rPr>
                <w:color w:val="231F20"/>
                <w:spacing w:val="-5"/>
                <w:w w:val="95"/>
                <w:sz w:val="14"/>
              </w:rPr>
              <w:t>5.1</w:t>
            </w:r>
          </w:p>
        </w:tc>
        <w:tc>
          <w:tcPr>
            <w:tcW w:w="1318" w:type="dxa"/>
            <w:shd w:val="clear" w:color="auto" w:fill="D4E3F5"/>
          </w:tcPr>
          <w:p>
            <w:pPr>
              <w:pStyle w:val="TableParagraph"/>
              <w:ind w:left="192" w:right="11"/>
              <w:rPr>
                <w:sz w:val="14"/>
              </w:rPr>
            </w:pPr>
            <w:r>
              <w:rPr>
                <w:color w:val="231F20"/>
                <w:spacing w:val="-5"/>
                <w:w w:val="95"/>
                <w:sz w:val="14"/>
              </w:rPr>
              <w:t>1.7</w:t>
            </w:r>
          </w:p>
        </w:tc>
        <w:tc>
          <w:tcPr>
            <w:tcW w:w="1728" w:type="dxa"/>
            <w:shd w:val="clear" w:color="auto" w:fill="D4E3F5"/>
          </w:tcPr>
          <w:p>
            <w:pPr>
              <w:pStyle w:val="TableParagraph"/>
              <w:ind w:left="217" w:right="14"/>
              <w:rPr>
                <w:sz w:val="14"/>
              </w:rPr>
            </w:pPr>
            <w:r>
              <w:rPr>
                <w:color w:val="231F20"/>
                <w:spacing w:val="-5"/>
                <w:w w:val="95"/>
                <w:sz w:val="14"/>
              </w:rPr>
              <w:t>6.0</w:t>
            </w:r>
          </w:p>
        </w:tc>
      </w:tr>
      <w:tr>
        <w:trPr>
          <w:trHeight w:val="259" w:hRule="atLeast"/>
        </w:trPr>
        <w:tc>
          <w:tcPr>
            <w:tcW w:w="1488" w:type="dxa"/>
          </w:tcPr>
          <w:p>
            <w:pPr>
              <w:pStyle w:val="TableParagraph"/>
              <w:ind w:left="80"/>
              <w:jc w:val="left"/>
              <w:rPr>
                <w:sz w:val="14"/>
              </w:rPr>
            </w:pPr>
            <w:r>
              <w:rPr>
                <w:color w:val="231F20"/>
                <w:spacing w:val="-2"/>
                <w:w w:val="90"/>
                <w:sz w:val="14"/>
              </w:rPr>
              <w:t>Mauritania</w:t>
            </w:r>
          </w:p>
        </w:tc>
        <w:tc>
          <w:tcPr>
            <w:tcW w:w="1585" w:type="dxa"/>
          </w:tcPr>
          <w:p>
            <w:pPr>
              <w:pStyle w:val="TableParagraph"/>
              <w:ind w:left="729"/>
              <w:jc w:val="left"/>
              <w:rPr>
                <w:sz w:val="14"/>
              </w:rPr>
            </w:pPr>
            <w:r>
              <w:rPr>
                <w:color w:val="231F20"/>
                <w:spacing w:val="-5"/>
                <w:w w:val="95"/>
                <w:sz w:val="14"/>
              </w:rPr>
              <w:t>30</w:t>
            </w:r>
          </w:p>
        </w:tc>
        <w:tc>
          <w:tcPr>
            <w:tcW w:w="1564" w:type="dxa"/>
          </w:tcPr>
          <w:p>
            <w:pPr>
              <w:pStyle w:val="TableParagraph"/>
              <w:ind w:left="77" w:right="85"/>
              <w:rPr>
                <w:sz w:val="14"/>
              </w:rPr>
            </w:pPr>
            <w:r>
              <w:rPr>
                <w:color w:val="231F20"/>
                <w:spacing w:val="-5"/>
                <w:w w:val="95"/>
                <w:sz w:val="14"/>
              </w:rPr>
              <w:t>4.8</w:t>
            </w:r>
          </w:p>
        </w:tc>
        <w:tc>
          <w:tcPr>
            <w:tcW w:w="1318" w:type="dxa"/>
          </w:tcPr>
          <w:p>
            <w:pPr>
              <w:pStyle w:val="TableParagraph"/>
              <w:ind w:left="192" w:right="8"/>
              <w:rPr>
                <w:sz w:val="14"/>
              </w:rPr>
            </w:pPr>
            <w:r>
              <w:rPr>
                <w:color w:val="231F20"/>
                <w:spacing w:val="-5"/>
                <w:w w:val="95"/>
                <w:sz w:val="14"/>
              </w:rPr>
              <w:t>1.0</w:t>
            </w:r>
          </w:p>
        </w:tc>
        <w:tc>
          <w:tcPr>
            <w:tcW w:w="1728" w:type="dxa"/>
          </w:tcPr>
          <w:p>
            <w:pPr>
              <w:pStyle w:val="TableParagraph"/>
              <w:ind w:left="217" w:right="12"/>
              <w:rPr>
                <w:sz w:val="14"/>
              </w:rPr>
            </w:pPr>
            <w:r>
              <w:rPr>
                <w:color w:val="231F20"/>
                <w:spacing w:val="-5"/>
                <w:w w:val="95"/>
                <w:sz w:val="14"/>
              </w:rPr>
              <w:t>3.8</w:t>
            </w:r>
          </w:p>
        </w:tc>
      </w:tr>
      <w:tr>
        <w:trPr>
          <w:trHeight w:val="259" w:hRule="atLeast"/>
        </w:trPr>
        <w:tc>
          <w:tcPr>
            <w:tcW w:w="1488" w:type="dxa"/>
            <w:shd w:val="clear" w:color="auto" w:fill="D4E3F5"/>
          </w:tcPr>
          <w:p>
            <w:pPr>
              <w:pStyle w:val="TableParagraph"/>
              <w:ind w:left="80"/>
              <w:jc w:val="left"/>
              <w:rPr>
                <w:sz w:val="14"/>
              </w:rPr>
            </w:pPr>
            <w:r>
              <w:rPr>
                <w:color w:val="231F20"/>
                <w:spacing w:val="-2"/>
                <w:w w:val="90"/>
                <w:sz w:val="14"/>
              </w:rPr>
              <w:t>Mauritius</w:t>
            </w:r>
          </w:p>
        </w:tc>
        <w:tc>
          <w:tcPr>
            <w:tcW w:w="1585" w:type="dxa"/>
            <w:shd w:val="clear" w:color="auto" w:fill="D4E3F5"/>
          </w:tcPr>
          <w:p>
            <w:pPr>
              <w:pStyle w:val="TableParagraph"/>
              <w:ind w:left="730"/>
              <w:jc w:val="left"/>
              <w:rPr>
                <w:sz w:val="14"/>
              </w:rPr>
            </w:pPr>
            <w:r>
              <w:rPr>
                <w:color w:val="231F20"/>
                <w:spacing w:val="-4"/>
                <w:w w:val="95"/>
                <w:sz w:val="14"/>
              </w:rPr>
              <w:t>79.5</w:t>
            </w:r>
          </w:p>
        </w:tc>
        <w:tc>
          <w:tcPr>
            <w:tcW w:w="1564" w:type="dxa"/>
            <w:shd w:val="clear" w:color="auto" w:fill="D4E3F5"/>
          </w:tcPr>
          <w:p>
            <w:pPr>
              <w:pStyle w:val="TableParagraph"/>
              <w:ind w:left="85" w:right="85"/>
              <w:rPr>
                <w:sz w:val="14"/>
              </w:rPr>
            </w:pPr>
            <w:r>
              <w:rPr>
                <w:color w:val="231F20"/>
                <w:spacing w:val="-5"/>
                <w:w w:val="95"/>
                <w:sz w:val="14"/>
              </w:rPr>
              <w:t>7.6</w:t>
            </w:r>
          </w:p>
        </w:tc>
        <w:tc>
          <w:tcPr>
            <w:tcW w:w="1318" w:type="dxa"/>
            <w:shd w:val="clear" w:color="auto" w:fill="D4E3F5"/>
          </w:tcPr>
          <w:p>
            <w:pPr>
              <w:pStyle w:val="TableParagraph"/>
              <w:ind w:left="179"/>
              <w:rPr>
                <w:sz w:val="14"/>
              </w:rPr>
            </w:pPr>
            <w:r>
              <w:rPr>
                <w:color w:val="231F20"/>
                <w:spacing w:val="-5"/>
                <w:w w:val="95"/>
                <w:sz w:val="14"/>
              </w:rPr>
              <w:t>4.9</w:t>
            </w:r>
          </w:p>
        </w:tc>
        <w:tc>
          <w:tcPr>
            <w:tcW w:w="1728" w:type="dxa"/>
            <w:shd w:val="clear" w:color="auto" w:fill="D4E3F5"/>
          </w:tcPr>
          <w:p>
            <w:pPr>
              <w:pStyle w:val="TableParagraph"/>
              <w:ind w:left="217" w:right="32"/>
              <w:rPr>
                <w:sz w:val="14"/>
              </w:rPr>
            </w:pPr>
            <w:r>
              <w:rPr>
                <w:color w:val="231F20"/>
                <w:spacing w:val="-5"/>
                <w:w w:val="95"/>
                <w:sz w:val="14"/>
              </w:rPr>
              <w:t>8.1</w:t>
            </w:r>
          </w:p>
        </w:tc>
      </w:tr>
      <w:tr>
        <w:trPr>
          <w:trHeight w:val="259" w:hRule="atLeast"/>
        </w:trPr>
        <w:tc>
          <w:tcPr>
            <w:tcW w:w="1488" w:type="dxa"/>
          </w:tcPr>
          <w:p>
            <w:pPr>
              <w:pStyle w:val="TableParagraph"/>
              <w:ind w:left="80"/>
              <w:jc w:val="left"/>
              <w:rPr>
                <w:sz w:val="14"/>
              </w:rPr>
            </w:pPr>
            <w:r>
              <w:rPr>
                <w:color w:val="231F20"/>
                <w:spacing w:val="-2"/>
                <w:w w:val="90"/>
                <w:sz w:val="14"/>
              </w:rPr>
              <w:t>Mexico</w:t>
            </w:r>
          </w:p>
        </w:tc>
        <w:tc>
          <w:tcPr>
            <w:tcW w:w="1585" w:type="dxa"/>
          </w:tcPr>
          <w:p>
            <w:pPr>
              <w:pStyle w:val="TableParagraph"/>
              <w:ind w:left="743"/>
              <w:jc w:val="left"/>
              <w:rPr>
                <w:sz w:val="14"/>
              </w:rPr>
            </w:pPr>
            <w:r>
              <w:rPr>
                <w:color w:val="231F20"/>
                <w:spacing w:val="-4"/>
                <w:w w:val="95"/>
                <w:sz w:val="14"/>
              </w:rPr>
              <w:t>87.5</w:t>
            </w:r>
          </w:p>
        </w:tc>
        <w:tc>
          <w:tcPr>
            <w:tcW w:w="1564" w:type="dxa"/>
          </w:tcPr>
          <w:p>
            <w:pPr>
              <w:pStyle w:val="TableParagraph"/>
              <w:ind w:left="14" w:right="85"/>
              <w:rPr>
                <w:sz w:val="14"/>
              </w:rPr>
            </w:pPr>
            <w:r>
              <w:rPr>
                <w:color w:val="231F20"/>
                <w:spacing w:val="-4"/>
                <w:w w:val="95"/>
                <w:sz w:val="14"/>
              </w:rPr>
              <w:t>12.5</w:t>
            </w:r>
          </w:p>
        </w:tc>
        <w:tc>
          <w:tcPr>
            <w:tcW w:w="1318" w:type="dxa"/>
          </w:tcPr>
          <w:p>
            <w:pPr>
              <w:pStyle w:val="TableParagraph"/>
              <w:ind w:left="192" w:right="2"/>
              <w:rPr>
                <w:sz w:val="14"/>
              </w:rPr>
            </w:pPr>
            <w:r>
              <w:rPr>
                <w:color w:val="231F20"/>
                <w:spacing w:val="-5"/>
                <w:w w:val="95"/>
                <w:sz w:val="14"/>
              </w:rPr>
              <w:t>7.6</w:t>
            </w:r>
          </w:p>
        </w:tc>
        <w:tc>
          <w:tcPr>
            <w:tcW w:w="1728" w:type="dxa"/>
          </w:tcPr>
          <w:p>
            <w:pPr>
              <w:pStyle w:val="TableParagraph"/>
              <w:ind w:left="217" w:right="77"/>
              <w:rPr>
                <w:sz w:val="14"/>
              </w:rPr>
            </w:pPr>
            <w:r>
              <w:rPr>
                <w:color w:val="231F20"/>
                <w:spacing w:val="-4"/>
                <w:w w:val="95"/>
                <w:sz w:val="14"/>
              </w:rPr>
              <w:t>10.9</w:t>
            </w:r>
          </w:p>
        </w:tc>
      </w:tr>
      <w:tr>
        <w:trPr>
          <w:trHeight w:val="259" w:hRule="atLeast"/>
        </w:trPr>
        <w:tc>
          <w:tcPr>
            <w:tcW w:w="1488" w:type="dxa"/>
            <w:shd w:val="clear" w:color="auto" w:fill="D4E3F5"/>
          </w:tcPr>
          <w:p>
            <w:pPr>
              <w:pStyle w:val="TableParagraph"/>
              <w:ind w:left="80"/>
              <w:jc w:val="left"/>
              <w:rPr>
                <w:sz w:val="14"/>
              </w:rPr>
            </w:pPr>
            <w:r>
              <w:rPr>
                <w:color w:val="231F20"/>
                <w:spacing w:val="-2"/>
                <w:w w:val="90"/>
                <w:sz w:val="14"/>
              </w:rPr>
              <w:t>Moldova</w:t>
            </w:r>
          </w:p>
        </w:tc>
        <w:tc>
          <w:tcPr>
            <w:tcW w:w="1585" w:type="dxa"/>
            <w:shd w:val="clear" w:color="auto" w:fill="D4E3F5"/>
          </w:tcPr>
          <w:p>
            <w:pPr>
              <w:pStyle w:val="TableParagraph"/>
              <w:ind w:left="731"/>
              <w:jc w:val="left"/>
              <w:rPr>
                <w:sz w:val="14"/>
              </w:rPr>
            </w:pPr>
            <w:r>
              <w:rPr>
                <w:color w:val="231F20"/>
                <w:spacing w:val="-5"/>
                <w:w w:val="95"/>
                <w:sz w:val="14"/>
              </w:rPr>
              <w:t>87</w:t>
            </w:r>
          </w:p>
        </w:tc>
        <w:tc>
          <w:tcPr>
            <w:tcW w:w="1564" w:type="dxa"/>
            <w:shd w:val="clear" w:color="auto" w:fill="D4E3F5"/>
          </w:tcPr>
          <w:p>
            <w:pPr>
              <w:pStyle w:val="TableParagraph"/>
              <w:ind w:left="71" w:right="85"/>
              <w:rPr>
                <w:sz w:val="14"/>
              </w:rPr>
            </w:pPr>
            <w:r>
              <w:rPr>
                <w:color w:val="231F20"/>
                <w:spacing w:val="-5"/>
                <w:w w:val="95"/>
                <w:sz w:val="14"/>
              </w:rPr>
              <w:t>2.7</w:t>
            </w:r>
          </w:p>
        </w:tc>
        <w:tc>
          <w:tcPr>
            <w:tcW w:w="1318" w:type="dxa"/>
            <w:shd w:val="clear" w:color="auto" w:fill="D4E3F5"/>
          </w:tcPr>
          <w:p>
            <w:pPr>
              <w:pStyle w:val="TableParagraph"/>
              <w:ind w:left="178"/>
              <w:rPr>
                <w:sz w:val="14"/>
              </w:rPr>
            </w:pPr>
            <w:r>
              <w:rPr>
                <w:color w:val="231F20"/>
                <w:spacing w:val="-5"/>
                <w:w w:val="95"/>
                <w:sz w:val="14"/>
              </w:rPr>
              <w:t>2.0</w:t>
            </w:r>
          </w:p>
        </w:tc>
        <w:tc>
          <w:tcPr>
            <w:tcW w:w="1728" w:type="dxa"/>
            <w:shd w:val="clear" w:color="auto" w:fill="D4E3F5"/>
          </w:tcPr>
          <w:p>
            <w:pPr>
              <w:pStyle w:val="TableParagraph"/>
              <w:ind w:left="217" w:right="13"/>
              <w:rPr>
                <w:sz w:val="14"/>
              </w:rPr>
            </w:pPr>
            <w:r>
              <w:rPr>
                <w:color w:val="231F20"/>
                <w:spacing w:val="-5"/>
                <w:w w:val="95"/>
                <w:sz w:val="14"/>
              </w:rPr>
              <w:t>2.9</w:t>
            </w:r>
          </w:p>
        </w:tc>
      </w:tr>
      <w:tr>
        <w:trPr>
          <w:trHeight w:val="259" w:hRule="atLeast"/>
        </w:trPr>
        <w:tc>
          <w:tcPr>
            <w:tcW w:w="1488" w:type="dxa"/>
          </w:tcPr>
          <w:p>
            <w:pPr>
              <w:pStyle w:val="TableParagraph"/>
              <w:ind w:left="80"/>
              <w:jc w:val="left"/>
              <w:rPr>
                <w:sz w:val="14"/>
              </w:rPr>
            </w:pPr>
            <w:r>
              <w:rPr>
                <w:color w:val="231F20"/>
                <w:spacing w:val="-2"/>
                <w:w w:val="90"/>
                <w:sz w:val="14"/>
              </w:rPr>
              <w:t>Mongolia</w:t>
            </w:r>
          </w:p>
        </w:tc>
        <w:tc>
          <w:tcPr>
            <w:tcW w:w="1585" w:type="dxa"/>
          </w:tcPr>
          <w:p>
            <w:pPr>
              <w:pStyle w:val="TableParagraph"/>
              <w:ind w:left="730"/>
              <w:jc w:val="left"/>
              <w:rPr>
                <w:sz w:val="14"/>
              </w:rPr>
            </w:pPr>
            <w:r>
              <w:rPr>
                <w:color w:val="231F20"/>
                <w:spacing w:val="-5"/>
                <w:w w:val="95"/>
                <w:sz w:val="14"/>
              </w:rPr>
              <w:t>62</w:t>
            </w:r>
          </w:p>
        </w:tc>
        <w:tc>
          <w:tcPr>
            <w:tcW w:w="1564" w:type="dxa"/>
          </w:tcPr>
          <w:p>
            <w:pPr>
              <w:pStyle w:val="TableParagraph"/>
              <w:ind w:left="76" w:right="85"/>
              <w:rPr>
                <w:sz w:val="14"/>
              </w:rPr>
            </w:pPr>
            <w:r>
              <w:rPr>
                <w:color w:val="231F20"/>
                <w:spacing w:val="-5"/>
                <w:w w:val="95"/>
                <w:sz w:val="14"/>
              </w:rPr>
              <w:t>2.6</w:t>
            </w:r>
          </w:p>
        </w:tc>
        <w:tc>
          <w:tcPr>
            <w:tcW w:w="1318" w:type="dxa"/>
          </w:tcPr>
          <w:p>
            <w:pPr>
              <w:pStyle w:val="TableParagraph"/>
              <w:ind w:left="178"/>
              <w:rPr>
                <w:sz w:val="14"/>
              </w:rPr>
            </w:pPr>
            <w:r>
              <w:rPr>
                <w:color w:val="231F20"/>
                <w:spacing w:val="-5"/>
                <w:w w:val="95"/>
                <w:sz w:val="14"/>
              </w:rPr>
              <w:t>0.9</w:t>
            </w:r>
          </w:p>
        </w:tc>
        <w:tc>
          <w:tcPr>
            <w:tcW w:w="1728" w:type="dxa"/>
          </w:tcPr>
          <w:p>
            <w:pPr>
              <w:pStyle w:val="TableParagraph"/>
              <w:ind w:left="217" w:right="13"/>
              <w:rPr>
                <w:sz w:val="14"/>
              </w:rPr>
            </w:pPr>
            <w:r>
              <w:rPr>
                <w:color w:val="231F20"/>
                <w:spacing w:val="-5"/>
                <w:w w:val="95"/>
                <w:sz w:val="14"/>
              </w:rPr>
              <w:t>2.8</w:t>
            </w:r>
          </w:p>
        </w:tc>
      </w:tr>
      <w:tr>
        <w:trPr>
          <w:trHeight w:val="259" w:hRule="atLeast"/>
        </w:trPr>
        <w:tc>
          <w:tcPr>
            <w:tcW w:w="1488" w:type="dxa"/>
            <w:shd w:val="clear" w:color="auto" w:fill="D4E3F5"/>
          </w:tcPr>
          <w:p>
            <w:pPr>
              <w:pStyle w:val="TableParagraph"/>
              <w:ind w:left="80"/>
              <w:jc w:val="left"/>
              <w:rPr>
                <w:sz w:val="14"/>
              </w:rPr>
            </w:pPr>
            <w:r>
              <w:rPr>
                <w:color w:val="231F20"/>
                <w:spacing w:val="-2"/>
                <w:w w:val="90"/>
                <w:sz w:val="14"/>
              </w:rPr>
              <w:t>Montenegro</w:t>
            </w:r>
          </w:p>
        </w:tc>
        <w:tc>
          <w:tcPr>
            <w:tcW w:w="1585" w:type="dxa"/>
            <w:shd w:val="clear" w:color="auto" w:fill="D4E3F5"/>
          </w:tcPr>
          <w:p>
            <w:pPr>
              <w:pStyle w:val="TableParagraph"/>
              <w:ind w:left="729"/>
              <w:jc w:val="left"/>
              <w:rPr>
                <w:sz w:val="14"/>
              </w:rPr>
            </w:pPr>
            <w:r>
              <w:rPr>
                <w:color w:val="231F20"/>
                <w:spacing w:val="-5"/>
                <w:w w:val="95"/>
                <w:sz w:val="14"/>
              </w:rPr>
              <w:t>56</w:t>
            </w:r>
          </w:p>
        </w:tc>
        <w:tc>
          <w:tcPr>
            <w:tcW w:w="1564" w:type="dxa"/>
            <w:shd w:val="clear" w:color="auto" w:fill="D4E3F5"/>
          </w:tcPr>
          <w:p>
            <w:pPr>
              <w:pStyle w:val="TableParagraph"/>
              <w:ind w:left="72" w:right="85"/>
              <w:rPr>
                <w:sz w:val="14"/>
              </w:rPr>
            </w:pPr>
            <w:r>
              <w:rPr>
                <w:color w:val="231F20"/>
                <w:spacing w:val="-5"/>
                <w:w w:val="95"/>
                <w:sz w:val="14"/>
              </w:rPr>
              <w:t>4.7</w:t>
            </w:r>
          </w:p>
        </w:tc>
        <w:tc>
          <w:tcPr>
            <w:tcW w:w="1318" w:type="dxa"/>
            <w:shd w:val="clear" w:color="auto" w:fill="D4E3F5"/>
          </w:tcPr>
          <w:p>
            <w:pPr>
              <w:pStyle w:val="TableParagraph"/>
              <w:ind w:left="160"/>
              <w:rPr>
                <w:sz w:val="14"/>
              </w:rPr>
            </w:pPr>
            <w:r>
              <w:rPr>
                <w:color w:val="231F20"/>
                <w:spacing w:val="-5"/>
                <w:w w:val="95"/>
                <w:sz w:val="14"/>
              </w:rPr>
              <w:t>2.1</w:t>
            </w:r>
          </w:p>
        </w:tc>
        <w:tc>
          <w:tcPr>
            <w:tcW w:w="1728" w:type="dxa"/>
            <w:shd w:val="clear" w:color="auto" w:fill="D4E3F5"/>
          </w:tcPr>
          <w:p>
            <w:pPr>
              <w:pStyle w:val="TableParagraph"/>
              <w:ind w:left="217" w:right="13"/>
              <w:rPr>
                <w:sz w:val="14"/>
              </w:rPr>
            </w:pPr>
            <w:r>
              <w:rPr>
                <w:color w:val="231F20"/>
                <w:spacing w:val="-5"/>
                <w:w w:val="95"/>
                <w:sz w:val="14"/>
              </w:rPr>
              <w:t>5.3</w:t>
            </w:r>
          </w:p>
        </w:tc>
      </w:tr>
      <w:tr>
        <w:trPr>
          <w:trHeight w:val="259" w:hRule="atLeast"/>
        </w:trPr>
        <w:tc>
          <w:tcPr>
            <w:tcW w:w="1488" w:type="dxa"/>
          </w:tcPr>
          <w:p>
            <w:pPr>
              <w:pStyle w:val="TableParagraph"/>
              <w:ind w:left="80"/>
              <w:jc w:val="left"/>
              <w:rPr>
                <w:sz w:val="14"/>
              </w:rPr>
            </w:pPr>
            <w:r>
              <w:rPr>
                <w:color w:val="231F20"/>
                <w:spacing w:val="-2"/>
                <w:w w:val="90"/>
                <w:sz w:val="14"/>
              </w:rPr>
              <w:t>Myanmar</w:t>
            </w:r>
          </w:p>
        </w:tc>
        <w:tc>
          <w:tcPr>
            <w:tcW w:w="1585" w:type="dxa"/>
          </w:tcPr>
          <w:p>
            <w:pPr>
              <w:pStyle w:val="TableParagraph"/>
              <w:ind w:left="728"/>
              <w:jc w:val="left"/>
              <w:rPr>
                <w:sz w:val="14"/>
              </w:rPr>
            </w:pPr>
            <w:r>
              <w:rPr>
                <w:color w:val="231F20"/>
                <w:spacing w:val="-5"/>
                <w:w w:val="95"/>
                <w:sz w:val="14"/>
              </w:rPr>
              <w:t>46</w:t>
            </w:r>
          </w:p>
        </w:tc>
        <w:tc>
          <w:tcPr>
            <w:tcW w:w="1564" w:type="dxa"/>
          </w:tcPr>
          <w:p>
            <w:pPr>
              <w:pStyle w:val="TableParagraph"/>
              <w:ind w:left="83" w:right="85"/>
              <w:rPr>
                <w:sz w:val="14"/>
              </w:rPr>
            </w:pPr>
            <w:r>
              <w:rPr>
                <w:color w:val="231F20"/>
                <w:spacing w:val="-5"/>
                <w:w w:val="95"/>
                <w:sz w:val="14"/>
              </w:rPr>
              <w:t>1.8</w:t>
            </w:r>
          </w:p>
        </w:tc>
        <w:tc>
          <w:tcPr>
            <w:tcW w:w="1318" w:type="dxa"/>
          </w:tcPr>
          <w:p>
            <w:pPr>
              <w:pStyle w:val="TableParagraph"/>
              <w:ind w:left="192" w:right="8"/>
              <w:rPr>
                <w:sz w:val="14"/>
              </w:rPr>
            </w:pPr>
            <w:r>
              <w:rPr>
                <w:color w:val="231F20"/>
                <w:spacing w:val="-5"/>
                <w:w w:val="95"/>
                <w:sz w:val="14"/>
              </w:rPr>
              <w:t>1.0</w:t>
            </w:r>
          </w:p>
        </w:tc>
        <w:tc>
          <w:tcPr>
            <w:tcW w:w="1728" w:type="dxa"/>
          </w:tcPr>
          <w:p>
            <w:pPr>
              <w:pStyle w:val="TableParagraph"/>
              <w:ind w:left="217" w:right="6"/>
              <w:rPr>
                <w:sz w:val="14"/>
              </w:rPr>
            </w:pPr>
            <w:r>
              <w:rPr>
                <w:color w:val="231F20"/>
                <w:spacing w:val="-5"/>
                <w:w w:val="95"/>
                <w:sz w:val="14"/>
              </w:rPr>
              <w:t>1.8</w:t>
            </w:r>
          </w:p>
        </w:tc>
      </w:tr>
      <w:tr>
        <w:trPr>
          <w:trHeight w:val="259" w:hRule="atLeast"/>
        </w:trPr>
        <w:tc>
          <w:tcPr>
            <w:tcW w:w="1488" w:type="dxa"/>
            <w:shd w:val="clear" w:color="auto" w:fill="D4E3F5"/>
          </w:tcPr>
          <w:p>
            <w:pPr>
              <w:pStyle w:val="TableParagraph"/>
              <w:ind w:left="80"/>
              <w:jc w:val="left"/>
              <w:rPr>
                <w:sz w:val="14"/>
              </w:rPr>
            </w:pPr>
            <w:r>
              <w:rPr>
                <w:color w:val="231F20"/>
                <w:spacing w:val="-2"/>
                <w:w w:val="90"/>
                <w:sz w:val="14"/>
              </w:rPr>
              <w:t>Namibia</w:t>
            </w:r>
          </w:p>
        </w:tc>
        <w:tc>
          <w:tcPr>
            <w:tcW w:w="1585" w:type="dxa"/>
            <w:shd w:val="clear" w:color="auto" w:fill="D4E3F5"/>
          </w:tcPr>
          <w:p>
            <w:pPr>
              <w:pStyle w:val="TableParagraph"/>
              <w:ind w:left="728"/>
              <w:jc w:val="left"/>
              <w:rPr>
                <w:sz w:val="14"/>
              </w:rPr>
            </w:pPr>
            <w:r>
              <w:rPr>
                <w:color w:val="231F20"/>
                <w:spacing w:val="-5"/>
                <w:w w:val="95"/>
                <w:sz w:val="14"/>
              </w:rPr>
              <w:t>46</w:t>
            </w:r>
          </w:p>
        </w:tc>
        <w:tc>
          <w:tcPr>
            <w:tcW w:w="1564" w:type="dxa"/>
            <w:shd w:val="clear" w:color="auto" w:fill="D4E3F5"/>
          </w:tcPr>
          <w:p>
            <w:pPr>
              <w:pStyle w:val="TableParagraph"/>
              <w:ind w:left="11" w:right="85"/>
              <w:rPr>
                <w:sz w:val="14"/>
              </w:rPr>
            </w:pPr>
            <w:r>
              <w:rPr>
                <w:color w:val="231F20"/>
                <w:spacing w:val="-4"/>
                <w:w w:val="95"/>
                <w:sz w:val="14"/>
              </w:rPr>
              <w:t>16.0</w:t>
            </w:r>
          </w:p>
        </w:tc>
        <w:tc>
          <w:tcPr>
            <w:tcW w:w="1318" w:type="dxa"/>
            <w:shd w:val="clear" w:color="auto" w:fill="D4E3F5"/>
          </w:tcPr>
          <w:p>
            <w:pPr>
              <w:pStyle w:val="TableParagraph"/>
              <w:ind w:left="124"/>
              <w:rPr>
                <w:sz w:val="14"/>
              </w:rPr>
            </w:pPr>
            <w:r>
              <w:rPr>
                <w:color w:val="231F20"/>
                <w:spacing w:val="-4"/>
                <w:w w:val="95"/>
                <w:sz w:val="14"/>
              </w:rPr>
              <w:t>11.8</w:t>
            </w:r>
          </w:p>
        </w:tc>
        <w:tc>
          <w:tcPr>
            <w:tcW w:w="1728" w:type="dxa"/>
            <w:shd w:val="clear" w:color="auto" w:fill="D4E3F5"/>
          </w:tcPr>
          <w:p>
            <w:pPr>
              <w:pStyle w:val="TableParagraph"/>
              <w:ind w:left="217" w:right="63"/>
              <w:rPr>
                <w:sz w:val="14"/>
              </w:rPr>
            </w:pPr>
            <w:r>
              <w:rPr>
                <w:color w:val="231F20"/>
                <w:spacing w:val="-4"/>
                <w:w w:val="95"/>
                <w:sz w:val="14"/>
              </w:rPr>
              <w:t>17.6</w:t>
            </w:r>
          </w:p>
        </w:tc>
      </w:tr>
      <w:tr>
        <w:trPr>
          <w:trHeight w:val="259" w:hRule="atLeast"/>
        </w:trPr>
        <w:tc>
          <w:tcPr>
            <w:tcW w:w="1488" w:type="dxa"/>
          </w:tcPr>
          <w:p>
            <w:pPr>
              <w:pStyle w:val="TableParagraph"/>
              <w:ind w:left="80"/>
              <w:jc w:val="left"/>
              <w:rPr>
                <w:sz w:val="14"/>
              </w:rPr>
            </w:pPr>
            <w:r>
              <w:rPr>
                <w:color w:val="231F20"/>
                <w:spacing w:val="-2"/>
                <w:w w:val="90"/>
                <w:sz w:val="14"/>
              </w:rPr>
              <w:t>Netherlands</w:t>
            </w:r>
          </w:p>
        </w:tc>
        <w:tc>
          <w:tcPr>
            <w:tcW w:w="1585" w:type="dxa"/>
          </w:tcPr>
          <w:p>
            <w:pPr>
              <w:pStyle w:val="TableParagraph"/>
              <w:ind w:left="663"/>
              <w:jc w:val="left"/>
              <w:rPr>
                <w:sz w:val="14"/>
              </w:rPr>
            </w:pPr>
            <w:r>
              <w:rPr>
                <w:color w:val="231F20"/>
                <w:spacing w:val="-2"/>
                <w:w w:val="95"/>
                <w:sz w:val="14"/>
              </w:rPr>
              <w:t>148.5</w:t>
            </w:r>
          </w:p>
        </w:tc>
        <w:tc>
          <w:tcPr>
            <w:tcW w:w="1564" w:type="dxa"/>
          </w:tcPr>
          <w:p>
            <w:pPr>
              <w:pStyle w:val="TableParagraph"/>
              <w:ind w:left="83" w:right="85"/>
              <w:rPr>
                <w:sz w:val="14"/>
              </w:rPr>
            </w:pPr>
            <w:r>
              <w:rPr>
                <w:color w:val="231F20"/>
                <w:spacing w:val="-5"/>
                <w:w w:val="95"/>
                <w:sz w:val="14"/>
              </w:rPr>
              <w:t>1.5</w:t>
            </w:r>
          </w:p>
        </w:tc>
        <w:tc>
          <w:tcPr>
            <w:tcW w:w="1318" w:type="dxa"/>
          </w:tcPr>
          <w:p>
            <w:pPr>
              <w:pStyle w:val="TableParagraph"/>
              <w:ind w:left="178"/>
              <w:rPr>
                <w:sz w:val="14"/>
              </w:rPr>
            </w:pPr>
            <w:r>
              <w:rPr>
                <w:color w:val="231F20"/>
                <w:spacing w:val="-5"/>
                <w:w w:val="95"/>
                <w:sz w:val="14"/>
              </w:rPr>
              <w:t>0.9</w:t>
            </w:r>
          </w:p>
        </w:tc>
        <w:tc>
          <w:tcPr>
            <w:tcW w:w="1728" w:type="dxa"/>
          </w:tcPr>
          <w:p>
            <w:pPr>
              <w:pStyle w:val="TableParagraph"/>
              <w:ind w:left="217" w:right="18"/>
              <w:rPr>
                <w:sz w:val="14"/>
              </w:rPr>
            </w:pPr>
            <w:r>
              <w:rPr>
                <w:color w:val="231F20"/>
                <w:spacing w:val="-5"/>
                <w:w w:val="95"/>
                <w:sz w:val="14"/>
              </w:rPr>
              <w:t>0.7</w:t>
            </w:r>
          </w:p>
        </w:tc>
      </w:tr>
      <w:tr>
        <w:trPr>
          <w:trHeight w:val="259" w:hRule="atLeast"/>
        </w:trPr>
        <w:tc>
          <w:tcPr>
            <w:tcW w:w="1488" w:type="dxa"/>
            <w:shd w:val="clear" w:color="auto" w:fill="D4E3F5"/>
          </w:tcPr>
          <w:p>
            <w:pPr>
              <w:pStyle w:val="TableParagraph"/>
              <w:ind w:left="80"/>
              <w:jc w:val="left"/>
              <w:rPr>
                <w:sz w:val="14"/>
              </w:rPr>
            </w:pPr>
            <w:r>
              <w:rPr>
                <w:color w:val="231F20"/>
                <w:w w:val="75"/>
                <w:sz w:val="14"/>
              </w:rPr>
              <w:t>New</w:t>
            </w:r>
            <w:r>
              <w:rPr>
                <w:color w:val="231F20"/>
                <w:spacing w:val="4"/>
                <w:sz w:val="14"/>
              </w:rPr>
              <w:t> </w:t>
            </w:r>
            <w:r>
              <w:rPr>
                <w:color w:val="231F20"/>
                <w:spacing w:val="-2"/>
                <w:w w:val="85"/>
                <w:sz w:val="14"/>
              </w:rPr>
              <w:t>Zealand</w:t>
            </w:r>
          </w:p>
        </w:tc>
        <w:tc>
          <w:tcPr>
            <w:tcW w:w="1585" w:type="dxa"/>
            <w:shd w:val="clear" w:color="auto" w:fill="D4E3F5"/>
          </w:tcPr>
          <w:p>
            <w:pPr>
              <w:pStyle w:val="TableParagraph"/>
              <w:ind w:left="666"/>
              <w:jc w:val="left"/>
              <w:rPr>
                <w:sz w:val="14"/>
              </w:rPr>
            </w:pPr>
            <w:r>
              <w:rPr>
                <w:color w:val="231F20"/>
                <w:spacing w:val="-2"/>
                <w:w w:val="95"/>
                <w:sz w:val="14"/>
              </w:rPr>
              <w:t>128.5</w:t>
            </w:r>
          </w:p>
        </w:tc>
        <w:tc>
          <w:tcPr>
            <w:tcW w:w="1564" w:type="dxa"/>
            <w:shd w:val="clear" w:color="auto" w:fill="D4E3F5"/>
          </w:tcPr>
          <w:p>
            <w:pPr>
              <w:pStyle w:val="TableParagraph"/>
              <w:ind w:left="76" w:right="85"/>
              <w:rPr>
                <w:sz w:val="14"/>
              </w:rPr>
            </w:pPr>
            <w:r>
              <w:rPr>
                <w:color w:val="231F20"/>
                <w:spacing w:val="-5"/>
                <w:w w:val="95"/>
                <w:sz w:val="14"/>
              </w:rPr>
              <w:t>2.9</w:t>
            </w:r>
          </w:p>
        </w:tc>
        <w:tc>
          <w:tcPr>
            <w:tcW w:w="1318" w:type="dxa"/>
            <w:shd w:val="clear" w:color="auto" w:fill="D4E3F5"/>
          </w:tcPr>
          <w:p>
            <w:pPr>
              <w:pStyle w:val="TableParagraph"/>
              <w:ind w:left="192" w:right="7"/>
              <w:rPr>
                <w:sz w:val="14"/>
              </w:rPr>
            </w:pPr>
            <w:r>
              <w:rPr>
                <w:color w:val="231F20"/>
                <w:spacing w:val="-5"/>
                <w:w w:val="95"/>
                <w:sz w:val="14"/>
              </w:rPr>
              <w:t>1.8</w:t>
            </w:r>
          </w:p>
        </w:tc>
        <w:tc>
          <w:tcPr>
            <w:tcW w:w="1728" w:type="dxa"/>
            <w:shd w:val="clear" w:color="auto" w:fill="D4E3F5"/>
          </w:tcPr>
          <w:p>
            <w:pPr>
              <w:pStyle w:val="TableParagraph"/>
              <w:ind w:left="217" w:right="13"/>
              <w:rPr>
                <w:sz w:val="14"/>
              </w:rPr>
            </w:pPr>
            <w:r>
              <w:rPr>
                <w:color w:val="231F20"/>
                <w:spacing w:val="-5"/>
                <w:w w:val="95"/>
                <w:sz w:val="14"/>
              </w:rPr>
              <w:t>2.3</w:t>
            </w:r>
          </w:p>
        </w:tc>
      </w:tr>
      <w:tr>
        <w:trPr>
          <w:trHeight w:val="259" w:hRule="atLeast"/>
        </w:trPr>
        <w:tc>
          <w:tcPr>
            <w:tcW w:w="1488" w:type="dxa"/>
          </w:tcPr>
          <w:p>
            <w:pPr>
              <w:pStyle w:val="TableParagraph"/>
              <w:ind w:left="80"/>
              <w:jc w:val="left"/>
              <w:rPr>
                <w:sz w:val="14"/>
              </w:rPr>
            </w:pPr>
            <w:r>
              <w:rPr>
                <w:color w:val="231F20"/>
                <w:spacing w:val="-2"/>
                <w:w w:val="90"/>
                <w:sz w:val="14"/>
              </w:rPr>
              <w:t>Nicaragua</w:t>
            </w:r>
          </w:p>
        </w:tc>
        <w:tc>
          <w:tcPr>
            <w:tcW w:w="1585" w:type="dxa"/>
          </w:tcPr>
          <w:p>
            <w:pPr>
              <w:pStyle w:val="TableParagraph"/>
              <w:ind w:left="726"/>
              <w:jc w:val="left"/>
              <w:rPr>
                <w:sz w:val="14"/>
              </w:rPr>
            </w:pPr>
            <w:r>
              <w:rPr>
                <w:color w:val="231F20"/>
                <w:spacing w:val="-4"/>
                <w:w w:val="95"/>
                <w:sz w:val="14"/>
              </w:rPr>
              <w:t>43.5</w:t>
            </w:r>
          </w:p>
        </w:tc>
        <w:tc>
          <w:tcPr>
            <w:tcW w:w="1564" w:type="dxa"/>
          </w:tcPr>
          <w:p>
            <w:pPr>
              <w:pStyle w:val="TableParagraph"/>
              <w:ind w:left="86" w:right="85"/>
              <w:rPr>
                <w:sz w:val="14"/>
              </w:rPr>
            </w:pPr>
            <w:r>
              <w:rPr>
                <w:color w:val="231F20"/>
                <w:spacing w:val="-5"/>
                <w:w w:val="95"/>
                <w:sz w:val="14"/>
              </w:rPr>
              <w:t>7.3</w:t>
            </w:r>
          </w:p>
        </w:tc>
        <w:tc>
          <w:tcPr>
            <w:tcW w:w="1318" w:type="dxa"/>
          </w:tcPr>
          <w:p>
            <w:pPr>
              <w:pStyle w:val="TableParagraph"/>
              <w:ind w:left="178"/>
              <w:rPr>
                <w:sz w:val="14"/>
              </w:rPr>
            </w:pPr>
            <w:r>
              <w:rPr>
                <w:color w:val="231F20"/>
                <w:spacing w:val="-5"/>
                <w:w w:val="95"/>
                <w:sz w:val="14"/>
              </w:rPr>
              <w:t>5.0</w:t>
            </w:r>
          </w:p>
        </w:tc>
        <w:tc>
          <w:tcPr>
            <w:tcW w:w="1728" w:type="dxa"/>
          </w:tcPr>
          <w:p>
            <w:pPr>
              <w:pStyle w:val="TableParagraph"/>
              <w:ind w:left="217"/>
              <w:rPr>
                <w:sz w:val="14"/>
              </w:rPr>
            </w:pPr>
            <w:r>
              <w:rPr>
                <w:color w:val="231F20"/>
                <w:spacing w:val="-5"/>
                <w:w w:val="95"/>
                <w:sz w:val="14"/>
              </w:rPr>
              <w:t>7.3</w:t>
            </w:r>
          </w:p>
        </w:tc>
      </w:tr>
      <w:tr>
        <w:trPr>
          <w:trHeight w:val="259" w:hRule="atLeast"/>
        </w:trPr>
        <w:tc>
          <w:tcPr>
            <w:tcW w:w="1488" w:type="dxa"/>
            <w:shd w:val="clear" w:color="auto" w:fill="D4E3F5"/>
          </w:tcPr>
          <w:p>
            <w:pPr>
              <w:pStyle w:val="TableParagraph"/>
              <w:ind w:left="80"/>
              <w:jc w:val="left"/>
              <w:rPr>
                <w:sz w:val="14"/>
              </w:rPr>
            </w:pPr>
            <w:r>
              <w:rPr>
                <w:color w:val="231F20"/>
                <w:spacing w:val="-2"/>
                <w:w w:val="90"/>
                <w:sz w:val="14"/>
              </w:rPr>
              <w:t>Nigeria</w:t>
            </w:r>
          </w:p>
        </w:tc>
        <w:tc>
          <w:tcPr>
            <w:tcW w:w="1585" w:type="dxa"/>
            <w:shd w:val="clear" w:color="auto" w:fill="D4E3F5"/>
          </w:tcPr>
          <w:p>
            <w:pPr>
              <w:pStyle w:val="TableParagraph"/>
              <w:ind w:left="664"/>
              <w:jc w:val="left"/>
              <w:rPr>
                <w:sz w:val="14"/>
              </w:rPr>
            </w:pPr>
            <w:r>
              <w:rPr>
                <w:color w:val="231F20"/>
                <w:spacing w:val="-2"/>
                <w:w w:val="95"/>
                <w:sz w:val="14"/>
              </w:rPr>
              <w:t>102.5</w:t>
            </w:r>
          </w:p>
        </w:tc>
        <w:tc>
          <w:tcPr>
            <w:tcW w:w="1564" w:type="dxa"/>
            <w:shd w:val="clear" w:color="auto" w:fill="D4E3F5"/>
          </w:tcPr>
          <w:p>
            <w:pPr>
              <w:pStyle w:val="TableParagraph"/>
              <w:ind w:left="73" w:right="85"/>
              <w:rPr>
                <w:sz w:val="14"/>
              </w:rPr>
            </w:pPr>
            <w:r>
              <w:rPr>
                <w:color w:val="231F20"/>
                <w:spacing w:val="-5"/>
                <w:w w:val="95"/>
                <w:sz w:val="14"/>
              </w:rPr>
              <w:t>6.4</w:t>
            </w:r>
          </w:p>
        </w:tc>
        <w:tc>
          <w:tcPr>
            <w:tcW w:w="1318" w:type="dxa"/>
            <w:shd w:val="clear" w:color="auto" w:fill="D4E3F5"/>
          </w:tcPr>
          <w:p>
            <w:pPr>
              <w:pStyle w:val="TableParagraph"/>
              <w:ind w:left="178"/>
              <w:rPr>
                <w:sz w:val="14"/>
              </w:rPr>
            </w:pPr>
            <w:r>
              <w:rPr>
                <w:color w:val="231F20"/>
                <w:spacing w:val="-5"/>
                <w:w w:val="95"/>
                <w:sz w:val="14"/>
              </w:rPr>
              <w:t>3.2</w:t>
            </w:r>
          </w:p>
        </w:tc>
        <w:tc>
          <w:tcPr>
            <w:tcW w:w="1728" w:type="dxa"/>
            <w:shd w:val="clear" w:color="auto" w:fill="D4E3F5"/>
          </w:tcPr>
          <w:p>
            <w:pPr>
              <w:pStyle w:val="TableParagraph"/>
              <w:ind w:left="217" w:right="80"/>
              <w:rPr>
                <w:sz w:val="14"/>
              </w:rPr>
            </w:pPr>
            <w:r>
              <w:rPr>
                <w:color w:val="231F20"/>
                <w:spacing w:val="-4"/>
                <w:w w:val="95"/>
                <w:sz w:val="14"/>
              </w:rPr>
              <w:t>10.7</w:t>
            </w:r>
          </w:p>
        </w:tc>
      </w:tr>
      <w:tr>
        <w:trPr>
          <w:trHeight w:val="259" w:hRule="atLeast"/>
        </w:trPr>
        <w:tc>
          <w:tcPr>
            <w:tcW w:w="1488" w:type="dxa"/>
          </w:tcPr>
          <w:p>
            <w:pPr>
              <w:pStyle w:val="TableParagraph"/>
              <w:ind w:left="80"/>
              <w:jc w:val="left"/>
              <w:rPr>
                <w:sz w:val="14"/>
              </w:rPr>
            </w:pPr>
            <w:r>
              <w:rPr>
                <w:color w:val="231F20"/>
                <w:w w:val="75"/>
                <w:sz w:val="14"/>
              </w:rPr>
              <w:t>North</w:t>
            </w:r>
            <w:r>
              <w:rPr>
                <w:color w:val="231F20"/>
                <w:spacing w:val="15"/>
                <w:sz w:val="14"/>
              </w:rPr>
              <w:t> </w:t>
            </w:r>
            <w:r>
              <w:rPr>
                <w:color w:val="231F20"/>
                <w:spacing w:val="-2"/>
                <w:w w:val="90"/>
                <w:sz w:val="14"/>
              </w:rPr>
              <w:t>Macedonia</w:t>
            </w:r>
          </w:p>
        </w:tc>
        <w:tc>
          <w:tcPr>
            <w:tcW w:w="1585" w:type="dxa"/>
          </w:tcPr>
          <w:p>
            <w:pPr>
              <w:pStyle w:val="TableParagraph"/>
              <w:ind w:left="730"/>
              <w:jc w:val="left"/>
              <w:rPr>
                <w:sz w:val="14"/>
              </w:rPr>
            </w:pPr>
            <w:r>
              <w:rPr>
                <w:color w:val="231F20"/>
                <w:spacing w:val="-4"/>
                <w:w w:val="95"/>
                <w:sz w:val="14"/>
              </w:rPr>
              <w:t>72.5</w:t>
            </w:r>
          </w:p>
        </w:tc>
        <w:tc>
          <w:tcPr>
            <w:tcW w:w="1564" w:type="dxa"/>
          </w:tcPr>
          <w:p>
            <w:pPr>
              <w:pStyle w:val="TableParagraph"/>
              <w:ind w:left="75" w:right="85"/>
              <w:rPr>
                <w:sz w:val="14"/>
              </w:rPr>
            </w:pPr>
            <w:r>
              <w:rPr>
                <w:color w:val="231F20"/>
                <w:spacing w:val="-5"/>
                <w:w w:val="95"/>
                <w:sz w:val="14"/>
              </w:rPr>
              <w:t>6.8</w:t>
            </w:r>
          </w:p>
        </w:tc>
        <w:tc>
          <w:tcPr>
            <w:tcW w:w="1318" w:type="dxa"/>
          </w:tcPr>
          <w:p>
            <w:pPr>
              <w:pStyle w:val="TableParagraph"/>
              <w:ind w:left="161"/>
              <w:rPr>
                <w:sz w:val="14"/>
              </w:rPr>
            </w:pPr>
            <w:r>
              <w:rPr>
                <w:color w:val="231F20"/>
                <w:spacing w:val="-5"/>
                <w:w w:val="95"/>
                <w:sz w:val="14"/>
              </w:rPr>
              <w:t>4.1</w:t>
            </w:r>
          </w:p>
        </w:tc>
        <w:tc>
          <w:tcPr>
            <w:tcW w:w="1728" w:type="dxa"/>
          </w:tcPr>
          <w:p>
            <w:pPr>
              <w:pStyle w:val="TableParagraph"/>
              <w:ind w:left="217"/>
              <w:rPr>
                <w:sz w:val="14"/>
              </w:rPr>
            </w:pPr>
            <w:r>
              <w:rPr>
                <w:color w:val="231F20"/>
                <w:spacing w:val="-5"/>
                <w:w w:val="95"/>
                <w:sz w:val="14"/>
              </w:rPr>
              <w:t>7.8</w:t>
            </w:r>
          </w:p>
        </w:tc>
      </w:tr>
      <w:tr>
        <w:trPr>
          <w:trHeight w:val="259" w:hRule="atLeast"/>
        </w:trPr>
        <w:tc>
          <w:tcPr>
            <w:tcW w:w="1488" w:type="dxa"/>
            <w:shd w:val="clear" w:color="auto" w:fill="D4E3F5"/>
          </w:tcPr>
          <w:p>
            <w:pPr>
              <w:pStyle w:val="TableParagraph"/>
              <w:ind w:left="80"/>
              <w:jc w:val="left"/>
              <w:rPr>
                <w:sz w:val="14"/>
              </w:rPr>
            </w:pPr>
            <w:r>
              <w:rPr>
                <w:color w:val="231F20"/>
                <w:spacing w:val="-2"/>
                <w:w w:val="85"/>
                <w:sz w:val="14"/>
              </w:rPr>
              <w:t>Norway</w:t>
            </w:r>
          </w:p>
        </w:tc>
        <w:tc>
          <w:tcPr>
            <w:tcW w:w="1585" w:type="dxa"/>
            <w:shd w:val="clear" w:color="auto" w:fill="D4E3F5"/>
          </w:tcPr>
          <w:p>
            <w:pPr>
              <w:pStyle w:val="TableParagraph"/>
              <w:ind w:left="667"/>
              <w:jc w:val="left"/>
              <w:rPr>
                <w:sz w:val="14"/>
              </w:rPr>
            </w:pPr>
            <w:r>
              <w:rPr>
                <w:color w:val="231F20"/>
                <w:spacing w:val="-2"/>
                <w:w w:val="95"/>
                <w:sz w:val="14"/>
              </w:rPr>
              <w:t>139.5</w:t>
            </w:r>
          </w:p>
        </w:tc>
        <w:tc>
          <w:tcPr>
            <w:tcW w:w="1564" w:type="dxa"/>
            <w:shd w:val="clear" w:color="auto" w:fill="D4E3F5"/>
          </w:tcPr>
          <w:p>
            <w:pPr>
              <w:pStyle w:val="TableParagraph"/>
              <w:ind w:left="77" w:right="85"/>
              <w:rPr>
                <w:sz w:val="14"/>
              </w:rPr>
            </w:pPr>
            <w:r>
              <w:rPr>
                <w:color w:val="231F20"/>
                <w:spacing w:val="-5"/>
                <w:w w:val="95"/>
                <w:sz w:val="14"/>
              </w:rPr>
              <w:t>4.9</w:t>
            </w:r>
          </w:p>
        </w:tc>
        <w:tc>
          <w:tcPr>
            <w:tcW w:w="1318" w:type="dxa"/>
            <w:shd w:val="clear" w:color="auto" w:fill="D4E3F5"/>
          </w:tcPr>
          <w:p>
            <w:pPr>
              <w:pStyle w:val="TableParagraph"/>
              <w:ind w:left="179"/>
              <w:rPr>
                <w:sz w:val="14"/>
              </w:rPr>
            </w:pPr>
            <w:r>
              <w:rPr>
                <w:color w:val="231F20"/>
                <w:spacing w:val="-5"/>
                <w:w w:val="95"/>
                <w:sz w:val="14"/>
              </w:rPr>
              <w:t>3.9</w:t>
            </w:r>
          </w:p>
        </w:tc>
        <w:tc>
          <w:tcPr>
            <w:tcW w:w="1728" w:type="dxa"/>
            <w:shd w:val="clear" w:color="auto" w:fill="D4E3F5"/>
          </w:tcPr>
          <w:p>
            <w:pPr>
              <w:pStyle w:val="TableParagraph"/>
              <w:ind w:left="217" w:right="13"/>
              <w:rPr>
                <w:sz w:val="14"/>
              </w:rPr>
            </w:pPr>
            <w:r>
              <w:rPr>
                <w:color w:val="231F20"/>
                <w:spacing w:val="-5"/>
                <w:w w:val="95"/>
                <w:sz w:val="14"/>
              </w:rPr>
              <w:t>5.5</w:t>
            </w:r>
          </w:p>
        </w:tc>
      </w:tr>
      <w:tr>
        <w:trPr>
          <w:trHeight w:val="259" w:hRule="atLeast"/>
        </w:trPr>
        <w:tc>
          <w:tcPr>
            <w:tcW w:w="1488" w:type="dxa"/>
          </w:tcPr>
          <w:p>
            <w:pPr>
              <w:pStyle w:val="TableParagraph"/>
              <w:ind w:left="80"/>
              <w:jc w:val="left"/>
              <w:rPr>
                <w:sz w:val="14"/>
              </w:rPr>
            </w:pPr>
            <w:r>
              <w:rPr>
                <w:color w:val="231F20"/>
                <w:spacing w:val="-4"/>
                <w:w w:val="90"/>
                <w:sz w:val="14"/>
              </w:rPr>
              <w:t>Oman</w:t>
            </w:r>
          </w:p>
        </w:tc>
        <w:tc>
          <w:tcPr>
            <w:tcW w:w="1585" w:type="dxa"/>
          </w:tcPr>
          <w:p>
            <w:pPr>
              <w:pStyle w:val="TableParagraph"/>
              <w:ind w:left="728"/>
              <w:jc w:val="left"/>
              <w:rPr>
                <w:sz w:val="14"/>
              </w:rPr>
            </w:pPr>
            <w:r>
              <w:rPr>
                <w:color w:val="231F20"/>
                <w:spacing w:val="-5"/>
                <w:w w:val="95"/>
                <w:sz w:val="14"/>
              </w:rPr>
              <w:t>90</w:t>
            </w:r>
          </w:p>
        </w:tc>
        <w:tc>
          <w:tcPr>
            <w:tcW w:w="1564" w:type="dxa"/>
          </w:tcPr>
          <w:p>
            <w:pPr>
              <w:pStyle w:val="TableParagraph"/>
              <w:ind w:left="76" w:right="85"/>
              <w:rPr>
                <w:sz w:val="14"/>
              </w:rPr>
            </w:pPr>
            <w:r>
              <w:rPr>
                <w:color w:val="231F20"/>
                <w:spacing w:val="-5"/>
                <w:w w:val="95"/>
                <w:sz w:val="14"/>
              </w:rPr>
              <w:t>5.6</w:t>
            </w:r>
          </w:p>
        </w:tc>
        <w:tc>
          <w:tcPr>
            <w:tcW w:w="1318" w:type="dxa"/>
          </w:tcPr>
          <w:p>
            <w:pPr>
              <w:pStyle w:val="TableParagraph"/>
              <w:ind w:left="178"/>
              <w:rPr>
                <w:sz w:val="14"/>
              </w:rPr>
            </w:pPr>
            <w:r>
              <w:rPr>
                <w:color w:val="231F20"/>
                <w:spacing w:val="-5"/>
                <w:w w:val="95"/>
                <w:sz w:val="14"/>
              </w:rPr>
              <w:t>2.3</w:t>
            </w:r>
          </w:p>
        </w:tc>
        <w:tc>
          <w:tcPr>
            <w:tcW w:w="1728" w:type="dxa"/>
          </w:tcPr>
          <w:p>
            <w:pPr>
              <w:pStyle w:val="TableParagraph"/>
              <w:ind w:left="217" w:right="14"/>
              <w:rPr>
                <w:sz w:val="14"/>
              </w:rPr>
            </w:pPr>
            <w:r>
              <w:rPr>
                <w:color w:val="231F20"/>
                <w:spacing w:val="-5"/>
                <w:w w:val="95"/>
                <w:sz w:val="14"/>
              </w:rPr>
              <w:t>6.0</w:t>
            </w:r>
          </w:p>
        </w:tc>
      </w:tr>
      <w:tr>
        <w:trPr>
          <w:trHeight w:val="259" w:hRule="atLeast"/>
        </w:trPr>
        <w:tc>
          <w:tcPr>
            <w:tcW w:w="1488" w:type="dxa"/>
            <w:shd w:val="clear" w:color="auto" w:fill="D4E3F5"/>
          </w:tcPr>
          <w:p>
            <w:pPr>
              <w:pStyle w:val="TableParagraph"/>
              <w:ind w:left="80"/>
              <w:jc w:val="left"/>
              <w:rPr>
                <w:sz w:val="14"/>
              </w:rPr>
            </w:pPr>
            <w:r>
              <w:rPr>
                <w:color w:val="231F20"/>
                <w:spacing w:val="-2"/>
                <w:w w:val="85"/>
                <w:sz w:val="14"/>
              </w:rPr>
              <w:t>Panama</w:t>
            </w:r>
          </w:p>
        </w:tc>
        <w:tc>
          <w:tcPr>
            <w:tcW w:w="1585" w:type="dxa"/>
            <w:shd w:val="clear" w:color="auto" w:fill="D4E3F5"/>
          </w:tcPr>
          <w:p>
            <w:pPr>
              <w:pStyle w:val="TableParagraph"/>
              <w:ind w:left="729"/>
              <w:jc w:val="left"/>
              <w:rPr>
                <w:sz w:val="14"/>
              </w:rPr>
            </w:pPr>
            <w:r>
              <w:rPr>
                <w:color w:val="231F20"/>
                <w:spacing w:val="-5"/>
                <w:w w:val="95"/>
                <w:sz w:val="14"/>
              </w:rPr>
              <w:t>68</w:t>
            </w:r>
          </w:p>
        </w:tc>
        <w:tc>
          <w:tcPr>
            <w:tcW w:w="1564" w:type="dxa"/>
            <w:shd w:val="clear" w:color="auto" w:fill="D4E3F5"/>
          </w:tcPr>
          <w:p>
            <w:pPr>
              <w:pStyle w:val="TableParagraph"/>
              <w:ind w:left="85" w:right="85"/>
              <w:rPr>
                <w:sz w:val="14"/>
              </w:rPr>
            </w:pPr>
            <w:r>
              <w:rPr>
                <w:color w:val="231F20"/>
                <w:spacing w:val="-5"/>
                <w:w w:val="95"/>
                <w:sz w:val="14"/>
              </w:rPr>
              <w:t>7.7</w:t>
            </w:r>
          </w:p>
        </w:tc>
        <w:tc>
          <w:tcPr>
            <w:tcW w:w="1318" w:type="dxa"/>
            <w:shd w:val="clear" w:color="auto" w:fill="D4E3F5"/>
          </w:tcPr>
          <w:p>
            <w:pPr>
              <w:pStyle w:val="TableParagraph"/>
              <w:ind w:left="173"/>
              <w:rPr>
                <w:sz w:val="14"/>
              </w:rPr>
            </w:pPr>
            <w:r>
              <w:rPr>
                <w:color w:val="231F20"/>
                <w:spacing w:val="-5"/>
                <w:w w:val="95"/>
                <w:sz w:val="14"/>
              </w:rPr>
              <w:t>2.7</w:t>
            </w:r>
          </w:p>
        </w:tc>
        <w:tc>
          <w:tcPr>
            <w:tcW w:w="1728" w:type="dxa"/>
            <w:shd w:val="clear" w:color="auto" w:fill="D4E3F5"/>
          </w:tcPr>
          <w:p>
            <w:pPr>
              <w:pStyle w:val="TableParagraph"/>
              <w:ind w:left="217" w:right="14"/>
              <w:rPr>
                <w:sz w:val="14"/>
              </w:rPr>
            </w:pPr>
            <w:r>
              <w:rPr>
                <w:color w:val="231F20"/>
                <w:spacing w:val="-5"/>
                <w:w w:val="95"/>
                <w:sz w:val="14"/>
              </w:rPr>
              <w:t>5.8</w:t>
            </w:r>
          </w:p>
        </w:tc>
      </w:tr>
      <w:tr>
        <w:trPr>
          <w:trHeight w:val="254" w:hRule="atLeast"/>
        </w:trPr>
        <w:tc>
          <w:tcPr>
            <w:tcW w:w="1488" w:type="dxa"/>
            <w:tcBorders>
              <w:bottom w:val="single" w:sz="4" w:space="0" w:color="008FDD"/>
            </w:tcBorders>
          </w:tcPr>
          <w:p>
            <w:pPr>
              <w:pStyle w:val="TableParagraph"/>
              <w:ind w:left="80"/>
              <w:jc w:val="left"/>
              <w:rPr>
                <w:sz w:val="14"/>
              </w:rPr>
            </w:pPr>
            <w:r>
              <w:rPr>
                <w:color w:val="231F20"/>
                <w:w w:val="75"/>
                <w:sz w:val="14"/>
              </w:rPr>
              <w:t>Papua</w:t>
            </w:r>
            <w:r>
              <w:rPr>
                <w:color w:val="231F20"/>
                <w:spacing w:val="3"/>
                <w:sz w:val="14"/>
              </w:rPr>
              <w:t> </w:t>
            </w:r>
            <w:r>
              <w:rPr>
                <w:color w:val="231F20"/>
                <w:w w:val="75"/>
                <w:sz w:val="14"/>
              </w:rPr>
              <w:t>New</w:t>
            </w:r>
            <w:r>
              <w:rPr>
                <w:color w:val="231F20"/>
                <w:spacing w:val="4"/>
                <w:sz w:val="14"/>
              </w:rPr>
              <w:t> </w:t>
            </w:r>
            <w:r>
              <w:rPr>
                <w:color w:val="231F20"/>
                <w:spacing w:val="-2"/>
                <w:w w:val="75"/>
                <w:sz w:val="14"/>
              </w:rPr>
              <w:t>Guinea</w:t>
            </w:r>
          </w:p>
        </w:tc>
        <w:tc>
          <w:tcPr>
            <w:tcW w:w="1585" w:type="dxa"/>
            <w:tcBorders>
              <w:bottom w:val="single" w:sz="4" w:space="0" w:color="008FDD"/>
            </w:tcBorders>
          </w:tcPr>
          <w:p>
            <w:pPr>
              <w:pStyle w:val="TableParagraph"/>
              <w:ind w:left="731"/>
              <w:jc w:val="left"/>
              <w:rPr>
                <w:sz w:val="14"/>
              </w:rPr>
            </w:pPr>
            <w:r>
              <w:rPr>
                <w:color w:val="231F20"/>
                <w:spacing w:val="-5"/>
                <w:w w:val="95"/>
                <w:sz w:val="14"/>
              </w:rPr>
              <w:t>27</w:t>
            </w:r>
          </w:p>
        </w:tc>
        <w:tc>
          <w:tcPr>
            <w:tcW w:w="1564" w:type="dxa"/>
            <w:tcBorders>
              <w:bottom w:val="single" w:sz="4" w:space="0" w:color="008FDD"/>
            </w:tcBorders>
          </w:tcPr>
          <w:p>
            <w:pPr>
              <w:pStyle w:val="TableParagraph"/>
              <w:ind w:left="73" w:right="85"/>
              <w:rPr>
                <w:sz w:val="14"/>
              </w:rPr>
            </w:pPr>
            <w:r>
              <w:rPr>
                <w:color w:val="231F20"/>
                <w:spacing w:val="-5"/>
                <w:w w:val="95"/>
                <w:sz w:val="14"/>
              </w:rPr>
              <w:t>8.4</w:t>
            </w:r>
          </w:p>
        </w:tc>
        <w:tc>
          <w:tcPr>
            <w:tcW w:w="1318" w:type="dxa"/>
            <w:tcBorders>
              <w:bottom w:val="single" w:sz="4" w:space="0" w:color="008FDD"/>
            </w:tcBorders>
          </w:tcPr>
          <w:p>
            <w:pPr>
              <w:pStyle w:val="TableParagraph"/>
              <w:ind w:left="178"/>
              <w:rPr>
                <w:sz w:val="14"/>
              </w:rPr>
            </w:pPr>
            <w:r>
              <w:rPr>
                <w:color w:val="231F20"/>
                <w:spacing w:val="-5"/>
                <w:w w:val="95"/>
                <w:sz w:val="14"/>
              </w:rPr>
              <w:t>5.0</w:t>
            </w:r>
          </w:p>
        </w:tc>
        <w:tc>
          <w:tcPr>
            <w:tcW w:w="1728" w:type="dxa"/>
            <w:tcBorders>
              <w:bottom w:val="single" w:sz="4" w:space="0" w:color="008FDD"/>
            </w:tcBorders>
          </w:tcPr>
          <w:p>
            <w:pPr>
              <w:pStyle w:val="TableParagraph"/>
              <w:ind w:left="217" w:right="12"/>
              <w:rPr>
                <w:sz w:val="14"/>
              </w:rPr>
            </w:pPr>
            <w:r>
              <w:rPr>
                <w:color w:val="231F20"/>
                <w:spacing w:val="-5"/>
                <w:w w:val="95"/>
                <w:sz w:val="14"/>
              </w:rPr>
              <w:t>8.8</w:t>
            </w:r>
          </w:p>
        </w:tc>
      </w:tr>
    </w:tbl>
    <w:p>
      <w:pPr>
        <w:spacing w:after="0"/>
        <w:rPr>
          <w:sz w:val="14"/>
        </w:rPr>
        <w:sectPr>
          <w:pgSz w:w="12240" w:h="15840"/>
          <w:pgMar w:header="370" w:footer="548" w:top="560" w:bottom="740" w:left="0" w:right="540"/>
        </w:sectPr>
      </w:pPr>
    </w:p>
    <w:p>
      <w:pPr>
        <w:pStyle w:val="BodyText"/>
        <w:rPr>
          <w:rFonts w:ascii="Arial"/>
          <w:sz w:val="20"/>
        </w:rPr>
      </w:pPr>
    </w:p>
    <w:p>
      <w:pPr>
        <w:pStyle w:val="BodyText"/>
        <w:rPr>
          <w:rFonts w:ascii="Arial"/>
          <w:sz w:val="20"/>
        </w:rPr>
      </w:pPr>
    </w:p>
    <w:p>
      <w:pPr>
        <w:pStyle w:val="BodyText"/>
        <w:spacing w:before="101" w:after="1"/>
        <w:rPr>
          <w:rFonts w:ascii="Arial"/>
          <w:sz w:val="20"/>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1"/>
        <w:gridCol w:w="1632"/>
        <w:gridCol w:w="1564"/>
        <w:gridCol w:w="1318"/>
        <w:gridCol w:w="1728"/>
      </w:tblGrid>
      <w:tr>
        <w:trPr>
          <w:trHeight w:val="209" w:hRule="atLeast"/>
        </w:trPr>
        <w:tc>
          <w:tcPr>
            <w:tcW w:w="1441" w:type="dxa"/>
          </w:tcPr>
          <w:p>
            <w:pPr>
              <w:pStyle w:val="TableParagraph"/>
              <w:spacing w:before="0"/>
              <w:jc w:val="left"/>
              <w:rPr>
                <w:rFonts w:ascii="Times New Roman"/>
                <w:sz w:val="12"/>
              </w:rPr>
            </w:pPr>
          </w:p>
        </w:tc>
        <w:tc>
          <w:tcPr>
            <w:tcW w:w="1632" w:type="dxa"/>
            <w:vMerge w:val="restart"/>
            <w:tcBorders>
              <w:bottom w:val="single" w:sz="4" w:space="0" w:color="008FDD"/>
            </w:tcBorders>
          </w:tcPr>
          <w:p>
            <w:pPr>
              <w:pStyle w:val="TableParagraph"/>
              <w:spacing w:before="103"/>
              <w:ind w:left="287" w:right="191" w:firstLine="33"/>
              <w:jc w:val="left"/>
              <w:rPr>
                <w:b/>
                <w:sz w:val="14"/>
              </w:rPr>
            </w:pPr>
            <w:r>
              <w:rPr>
                <w:b/>
                <w:color w:val="231F20"/>
                <w:w w:val="85"/>
                <w:sz w:val="14"/>
              </w:rPr>
              <w:t>Average</w:t>
            </w:r>
            <w:r>
              <w:rPr>
                <w:b/>
                <w:color w:val="231F20"/>
                <w:spacing w:val="-2"/>
                <w:w w:val="85"/>
                <w:sz w:val="14"/>
              </w:rPr>
              <w:t> </w:t>
            </w:r>
            <w:r>
              <w:rPr>
                <w:b/>
                <w:color w:val="231F20"/>
                <w:w w:val="85"/>
                <w:sz w:val="14"/>
              </w:rPr>
              <w:t>number</w:t>
            </w:r>
            <w:r>
              <w:rPr>
                <w:b/>
                <w:color w:val="231F20"/>
                <w:spacing w:val="-2"/>
                <w:w w:val="85"/>
                <w:sz w:val="14"/>
              </w:rPr>
              <w:t> </w:t>
            </w:r>
            <w:r>
              <w:rPr>
                <w:b/>
                <w:color w:val="231F20"/>
                <w:w w:val="85"/>
                <w:sz w:val="14"/>
              </w:rPr>
              <w:t>of</w:t>
            </w:r>
            <w:r>
              <w:rPr>
                <w:b/>
                <w:color w:val="231F20"/>
                <w:spacing w:val="40"/>
                <w:sz w:val="14"/>
              </w:rPr>
              <w:t> </w:t>
            </w:r>
            <w:r>
              <w:rPr>
                <w:b/>
                <w:color w:val="231F20"/>
                <w:spacing w:val="2"/>
                <w:w w:val="80"/>
                <w:sz w:val="14"/>
              </w:rPr>
              <w:t>partners</w:t>
            </w:r>
            <w:r>
              <w:rPr>
                <w:b/>
                <w:color w:val="231F20"/>
                <w:spacing w:val="15"/>
                <w:sz w:val="14"/>
              </w:rPr>
              <w:t> </w:t>
            </w:r>
            <w:r>
              <w:rPr>
                <w:b/>
                <w:color w:val="231F20"/>
                <w:spacing w:val="-2"/>
                <w:w w:val="85"/>
                <w:sz w:val="14"/>
              </w:rPr>
              <w:t>(countries)</w:t>
            </w:r>
          </w:p>
        </w:tc>
        <w:tc>
          <w:tcPr>
            <w:tcW w:w="1564" w:type="dxa"/>
            <w:tcBorders>
              <w:bottom w:val="single" w:sz="4" w:space="0" w:color="008FDD"/>
            </w:tcBorders>
          </w:tcPr>
          <w:p>
            <w:pPr>
              <w:pStyle w:val="TableParagraph"/>
              <w:spacing w:before="0"/>
              <w:jc w:val="left"/>
              <w:rPr>
                <w:rFonts w:ascii="Times New Roman"/>
                <w:sz w:val="12"/>
              </w:rPr>
            </w:pPr>
          </w:p>
        </w:tc>
        <w:tc>
          <w:tcPr>
            <w:tcW w:w="1318" w:type="dxa"/>
            <w:tcBorders>
              <w:bottom w:val="single" w:sz="4" w:space="0" w:color="008FDD"/>
            </w:tcBorders>
          </w:tcPr>
          <w:p>
            <w:pPr>
              <w:pStyle w:val="TableParagraph"/>
              <w:spacing w:before="3"/>
              <w:ind w:left="159"/>
              <w:rPr>
                <w:b/>
                <w:sz w:val="14"/>
              </w:rPr>
            </w:pPr>
            <w:r>
              <w:rPr>
                <w:b/>
                <w:color w:val="231F20"/>
                <w:w w:val="80"/>
                <w:sz w:val="14"/>
              </w:rPr>
              <w:t>Delivery</w:t>
            </w:r>
            <w:r>
              <w:rPr>
                <w:b/>
                <w:color w:val="231F20"/>
                <w:spacing w:val="17"/>
                <w:sz w:val="14"/>
              </w:rPr>
              <w:t> </w:t>
            </w:r>
            <w:r>
              <w:rPr>
                <w:b/>
                <w:color w:val="231F20"/>
                <w:w w:val="80"/>
                <w:sz w:val="14"/>
              </w:rPr>
              <w:t>time</w:t>
            </w:r>
            <w:r>
              <w:rPr>
                <w:b/>
                <w:color w:val="231F20"/>
                <w:spacing w:val="18"/>
                <w:sz w:val="14"/>
              </w:rPr>
              <w:t> </w:t>
            </w:r>
            <w:r>
              <w:rPr>
                <w:b/>
                <w:color w:val="231F20"/>
                <w:spacing w:val="-2"/>
                <w:w w:val="80"/>
                <w:sz w:val="14"/>
              </w:rPr>
              <w:t>(days)</w:t>
            </w:r>
          </w:p>
        </w:tc>
        <w:tc>
          <w:tcPr>
            <w:tcW w:w="1728" w:type="dxa"/>
            <w:tcBorders>
              <w:bottom w:val="single" w:sz="4" w:space="0" w:color="008FDD"/>
            </w:tcBorders>
          </w:tcPr>
          <w:p>
            <w:pPr>
              <w:pStyle w:val="TableParagraph"/>
              <w:spacing w:before="0"/>
              <w:jc w:val="left"/>
              <w:rPr>
                <w:rFonts w:ascii="Times New Roman"/>
                <w:sz w:val="12"/>
              </w:rPr>
            </w:pPr>
          </w:p>
        </w:tc>
      </w:tr>
      <w:tr>
        <w:trPr>
          <w:trHeight w:val="249" w:hRule="atLeast"/>
        </w:trPr>
        <w:tc>
          <w:tcPr>
            <w:tcW w:w="1441" w:type="dxa"/>
            <w:tcBorders>
              <w:bottom w:val="single" w:sz="4" w:space="0" w:color="008FDD"/>
            </w:tcBorders>
          </w:tcPr>
          <w:p>
            <w:pPr>
              <w:pStyle w:val="TableParagraph"/>
              <w:spacing w:before="43"/>
              <w:ind w:left="80"/>
              <w:jc w:val="left"/>
              <w:rPr>
                <w:b/>
                <w:sz w:val="14"/>
              </w:rPr>
            </w:pPr>
            <w:r>
              <w:rPr>
                <w:b/>
                <w:color w:val="231F20"/>
                <w:spacing w:val="-2"/>
                <w:w w:val="90"/>
                <w:sz w:val="14"/>
              </w:rPr>
              <w:t>Economy</w:t>
            </w:r>
          </w:p>
        </w:tc>
        <w:tc>
          <w:tcPr>
            <w:tcW w:w="1632" w:type="dxa"/>
            <w:vMerge/>
            <w:tcBorders>
              <w:top w:val="nil"/>
              <w:bottom w:val="single" w:sz="4" w:space="0" w:color="008FDD"/>
            </w:tcBorders>
          </w:tcPr>
          <w:p>
            <w:pPr>
              <w:rPr>
                <w:sz w:val="2"/>
                <w:szCs w:val="2"/>
              </w:rPr>
            </w:pPr>
          </w:p>
        </w:tc>
        <w:tc>
          <w:tcPr>
            <w:tcW w:w="1564" w:type="dxa"/>
            <w:tcBorders>
              <w:top w:val="single" w:sz="4" w:space="0" w:color="008FDD"/>
              <w:bottom w:val="single" w:sz="4" w:space="0" w:color="008FDD"/>
            </w:tcBorders>
          </w:tcPr>
          <w:p>
            <w:pPr>
              <w:pStyle w:val="TableParagraph"/>
              <w:spacing w:before="43"/>
              <w:ind w:left="58" w:right="85"/>
              <w:rPr>
                <w:b/>
                <w:sz w:val="14"/>
              </w:rPr>
            </w:pPr>
            <w:r>
              <w:rPr>
                <w:b/>
                <w:color w:val="231F20"/>
                <w:spacing w:val="-2"/>
                <w:w w:val="95"/>
                <w:sz w:val="14"/>
              </w:rPr>
              <w:t>Median</w:t>
            </w:r>
          </w:p>
        </w:tc>
        <w:tc>
          <w:tcPr>
            <w:tcW w:w="1318" w:type="dxa"/>
            <w:tcBorders>
              <w:top w:val="single" w:sz="4" w:space="0" w:color="008FDD"/>
              <w:bottom w:val="single" w:sz="4" w:space="0" w:color="008FDD"/>
            </w:tcBorders>
          </w:tcPr>
          <w:p>
            <w:pPr>
              <w:pStyle w:val="TableParagraph"/>
              <w:spacing w:before="43"/>
              <w:ind w:left="162"/>
              <w:rPr>
                <w:b/>
                <w:sz w:val="14"/>
              </w:rPr>
            </w:pPr>
            <w:r>
              <w:rPr>
                <w:b/>
                <w:color w:val="231F20"/>
                <w:spacing w:val="-4"/>
                <w:w w:val="95"/>
                <w:sz w:val="14"/>
              </w:rPr>
              <w:t>Mean</w:t>
            </w:r>
          </w:p>
        </w:tc>
        <w:tc>
          <w:tcPr>
            <w:tcW w:w="1728" w:type="dxa"/>
            <w:tcBorders>
              <w:top w:val="single" w:sz="4" w:space="0" w:color="008FDD"/>
              <w:bottom w:val="single" w:sz="4" w:space="0" w:color="008FDD"/>
            </w:tcBorders>
          </w:tcPr>
          <w:p>
            <w:pPr>
              <w:pStyle w:val="TableParagraph"/>
              <w:spacing w:before="43"/>
              <w:ind w:left="217" w:right="32"/>
              <w:rPr>
                <w:b/>
                <w:sz w:val="14"/>
              </w:rPr>
            </w:pPr>
            <w:r>
              <w:rPr>
                <w:b/>
                <w:color w:val="231F20"/>
                <w:spacing w:val="4"/>
                <w:w w:val="80"/>
                <w:sz w:val="14"/>
              </w:rPr>
              <w:t>Interquartile</w:t>
            </w:r>
            <w:r>
              <w:rPr>
                <w:b/>
                <w:color w:val="231F20"/>
                <w:spacing w:val="6"/>
                <w:sz w:val="14"/>
              </w:rPr>
              <w:t> </w:t>
            </w:r>
            <w:r>
              <w:rPr>
                <w:b/>
                <w:color w:val="231F20"/>
                <w:spacing w:val="-2"/>
                <w:w w:val="95"/>
                <w:sz w:val="14"/>
              </w:rPr>
              <w:t>range</w:t>
            </w:r>
          </w:p>
        </w:tc>
      </w:tr>
      <w:tr>
        <w:trPr>
          <w:trHeight w:val="254" w:hRule="atLeast"/>
        </w:trPr>
        <w:tc>
          <w:tcPr>
            <w:tcW w:w="1441" w:type="dxa"/>
            <w:tcBorders>
              <w:top w:val="single" w:sz="4" w:space="0" w:color="008FDD"/>
            </w:tcBorders>
            <w:shd w:val="clear" w:color="auto" w:fill="D4E3F5"/>
          </w:tcPr>
          <w:p>
            <w:pPr>
              <w:pStyle w:val="TableParagraph"/>
              <w:spacing w:before="43"/>
              <w:ind w:left="80"/>
              <w:jc w:val="left"/>
              <w:rPr>
                <w:sz w:val="14"/>
              </w:rPr>
            </w:pPr>
            <w:r>
              <w:rPr>
                <w:color w:val="231F20"/>
                <w:spacing w:val="-2"/>
                <w:w w:val="85"/>
                <w:sz w:val="14"/>
              </w:rPr>
              <w:t>Paraguay</w:t>
            </w:r>
          </w:p>
        </w:tc>
        <w:tc>
          <w:tcPr>
            <w:tcW w:w="1632" w:type="dxa"/>
            <w:tcBorders>
              <w:top w:val="single" w:sz="4" w:space="0" w:color="008FDD"/>
            </w:tcBorders>
            <w:shd w:val="clear" w:color="auto" w:fill="D4E3F5"/>
          </w:tcPr>
          <w:p>
            <w:pPr>
              <w:pStyle w:val="TableParagraph"/>
              <w:spacing w:before="43"/>
              <w:ind w:left="776"/>
              <w:jc w:val="left"/>
              <w:rPr>
                <w:sz w:val="14"/>
              </w:rPr>
            </w:pPr>
            <w:r>
              <w:rPr>
                <w:color w:val="231F20"/>
                <w:spacing w:val="-4"/>
                <w:w w:val="95"/>
                <w:sz w:val="14"/>
              </w:rPr>
              <w:t>59.5</w:t>
            </w:r>
          </w:p>
        </w:tc>
        <w:tc>
          <w:tcPr>
            <w:tcW w:w="1564" w:type="dxa"/>
            <w:tcBorders>
              <w:top w:val="single" w:sz="4" w:space="0" w:color="008FDD"/>
            </w:tcBorders>
            <w:shd w:val="clear" w:color="auto" w:fill="D4E3F5"/>
          </w:tcPr>
          <w:p>
            <w:pPr>
              <w:pStyle w:val="TableParagraph"/>
              <w:spacing w:before="43"/>
              <w:ind w:left="18" w:right="85"/>
              <w:rPr>
                <w:sz w:val="14"/>
              </w:rPr>
            </w:pPr>
            <w:r>
              <w:rPr>
                <w:color w:val="231F20"/>
                <w:spacing w:val="-4"/>
                <w:w w:val="95"/>
                <w:sz w:val="14"/>
              </w:rPr>
              <w:t>27.6</w:t>
            </w:r>
          </w:p>
        </w:tc>
        <w:tc>
          <w:tcPr>
            <w:tcW w:w="1318" w:type="dxa"/>
            <w:tcBorders>
              <w:top w:val="single" w:sz="4" w:space="0" w:color="008FDD"/>
            </w:tcBorders>
            <w:shd w:val="clear" w:color="auto" w:fill="D4E3F5"/>
          </w:tcPr>
          <w:p>
            <w:pPr>
              <w:pStyle w:val="TableParagraph"/>
              <w:spacing w:before="43"/>
              <w:ind w:left="113"/>
              <w:rPr>
                <w:sz w:val="14"/>
              </w:rPr>
            </w:pPr>
            <w:r>
              <w:rPr>
                <w:color w:val="231F20"/>
                <w:spacing w:val="-4"/>
                <w:w w:val="95"/>
                <w:sz w:val="14"/>
              </w:rPr>
              <w:t>18.0</w:t>
            </w:r>
          </w:p>
        </w:tc>
        <w:tc>
          <w:tcPr>
            <w:tcW w:w="1728" w:type="dxa"/>
            <w:tcBorders>
              <w:top w:val="single" w:sz="4" w:space="0" w:color="008FDD"/>
            </w:tcBorders>
            <w:shd w:val="clear" w:color="auto" w:fill="D4E3F5"/>
          </w:tcPr>
          <w:p>
            <w:pPr>
              <w:pStyle w:val="TableParagraph"/>
              <w:spacing w:before="43"/>
              <w:ind w:left="217" w:right="84"/>
              <w:rPr>
                <w:sz w:val="14"/>
              </w:rPr>
            </w:pPr>
            <w:r>
              <w:rPr>
                <w:color w:val="231F20"/>
                <w:spacing w:val="-4"/>
                <w:w w:val="95"/>
                <w:sz w:val="14"/>
              </w:rPr>
              <w:t>39.9</w:t>
            </w:r>
          </w:p>
        </w:tc>
      </w:tr>
      <w:tr>
        <w:trPr>
          <w:trHeight w:val="259" w:hRule="atLeast"/>
        </w:trPr>
        <w:tc>
          <w:tcPr>
            <w:tcW w:w="1441" w:type="dxa"/>
          </w:tcPr>
          <w:p>
            <w:pPr>
              <w:pStyle w:val="TableParagraph"/>
              <w:ind w:left="80"/>
              <w:jc w:val="left"/>
              <w:rPr>
                <w:sz w:val="14"/>
              </w:rPr>
            </w:pPr>
            <w:r>
              <w:rPr>
                <w:color w:val="231F20"/>
                <w:spacing w:val="-4"/>
                <w:w w:val="90"/>
                <w:sz w:val="14"/>
              </w:rPr>
              <w:t>Peru</w:t>
            </w:r>
          </w:p>
        </w:tc>
        <w:tc>
          <w:tcPr>
            <w:tcW w:w="1632" w:type="dxa"/>
          </w:tcPr>
          <w:p>
            <w:pPr>
              <w:pStyle w:val="TableParagraph"/>
              <w:ind w:left="779"/>
              <w:jc w:val="left"/>
              <w:rPr>
                <w:sz w:val="14"/>
              </w:rPr>
            </w:pPr>
            <w:r>
              <w:rPr>
                <w:color w:val="231F20"/>
                <w:spacing w:val="-5"/>
                <w:w w:val="95"/>
                <w:sz w:val="14"/>
              </w:rPr>
              <w:t>97</w:t>
            </w:r>
          </w:p>
        </w:tc>
        <w:tc>
          <w:tcPr>
            <w:tcW w:w="1564" w:type="dxa"/>
          </w:tcPr>
          <w:p>
            <w:pPr>
              <w:pStyle w:val="TableParagraph"/>
              <w:ind w:left="19" w:right="85"/>
              <w:rPr>
                <w:sz w:val="14"/>
              </w:rPr>
            </w:pPr>
            <w:r>
              <w:rPr>
                <w:color w:val="231F20"/>
                <w:spacing w:val="-4"/>
                <w:w w:val="95"/>
                <w:sz w:val="14"/>
              </w:rPr>
              <w:t>11.7</w:t>
            </w:r>
          </w:p>
        </w:tc>
        <w:tc>
          <w:tcPr>
            <w:tcW w:w="1318" w:type="dxa"/>
          </w:tcPr>
          <w:p>
            <w:pPr>
              <w:pStyle w:val="TableParagraph"/>
              <w:ind w:left="192" w:right="1"/>
              <w:rPr>
                <w:sz w:val="14"/>
              </w:rPr>
            </w:pPr>
            <w:r>
              <w:rPr>
                <w:color w:val="231F20"/>
                <w:spacing w:val="-5"/>
                <w:w w:val="95"/>
                <w:sz w:val="14"/>
              </w:rPr>
              <w:t>7.3</w:t>
            </w:r>
          </w:p>
        </w:tc>
        <w:tc>
          <w:tcPr>
            <w:tcW w:w="1728" w:type="dxa"/>
          </w:tcPr>
          <w:p>
            <w:pPr>
              <w:pStyle w:val="TableParagraph"/>
              <w:ind w:left="217" w:right="78"/>
              <w:rPr>
                <w:sz w:val="14"/>
              </w:rPr>
            </w:pPr>
            <w:r>
              <w:rPr>
                <w:color w:val="231F20"/>
                <w:spacing w:val="-4"/>
                <w:w w:val="95"/>
                <w:sz w:val="14"/>
              </w:rPr>
              <w:t>10.0</w:t>
            </w:r>
          </w:p>
        </w:tc>
      </w:tr>
      <w:tr>
        <w:trPr>
          <w:trHeight w:val="259" w:hRule="atLeast"/>
        </w:trPr>
        <w:tc>
          <w:tcPr>
            <w:tcW w:w="1441" w:type="dxa"/>
            <w:shd w:val="clear" w:color="auto" w:fill="D4E3F5"/>
          </w:tcPr>
          <w:p>
            <w:pPr>
              <w:pStyle w:val="TableParagraph"/>
              <w:ind w:left="80"/>
              <w:jc w:val="left"/>
              <w:rPr>
                <w:sz w:val="14"/>
              </w:rPr>
            </w:pPr>
            <w:r>
              <w:rPr>
                <w:color w:val="231F20"/>
                <w:spacing w:val="-2"/>
                <w:w w:val="90"/>
                <w:sz w:val="14"/>
              </w:rPr>
              <w:t>Philippines</w:t>
            </w:r>
          </w:p>
        </w:tc>
        <w:tc>
          <w:tcPr>
            <w:tcW w:w="1632" w:type="dxa"/>
            <w:shd w:val="clear" w:color="auto" w:fill="D4E3F5"/>
          </w:tcPr>
          <w:p>
            <w:pPr>
              <w:pStyle w:val="TableParagraph"/>
              <w:ind w:left="723"/>
              <w:jc w:val="left"/>
              <w:rPr>
                <w:sz w:val="14"/>
              </w:rPr>
            </w:pPr>
            <w:r>
              <w:rPr>
                <w:color w:val="231F20"/>
                <w:spacing w:val="-5"/>
                <w:w w:val="95"/>
                <w:sz w:val="14"/>
              </w:rPr>
              <w:t>116</w:t>
            </w:r>
          </w:p>
        </w:tc>
        <w:tc>
          <w:tcPr>
            <w:tcW w:w="1564" w:type="dxa"/>
            <w:shd w:val="clear" w:color="auto" w:fill="D4E3F5"/>
          </w:tcPr>
          <w:p>
            <w:pPr>
              <w:pStyle w:val="TableParagraph"/>
              <w:ind w:left="12" w:right="85"/>
              <w:rPr>
                <w:sz w:val="14"/>
              </w:rPr>
            </w:pPr>
            <w:r>
              <w:rPr>
                <w:color w:val="231F20"/>
                <w:spacing w:val="-4"/>
                <w:w w:val="95"/>
                <w:sz w:val="14"/>
              </w:rPr>
              <w:t>18.9</w:t>
            </w:r>
          </w:p>
        </w:tc>
        <w:tc>
          <w:tcPr>
            <w:tcW w:w="1318" w:type="dxa"/>
            <w:shd w:val="clear" w:color="auto" w:fill="D4E3F5"/>
          </w:tcPr>
          <w:p>
            <w:pPr>
              <w:pStyle w:val="TableParagraph"/>
              <w:ind w:left="111"/>
              <w:rPr>
                <w:sz w:val="14"/>
              </w:rPr>
            </w:pPr>
            <w:r>
              <w:rPr>
                <w:color w:val="231F20"/>
                <w:spacing w:val="-4"/>
                <w:w w:val="95"/>
                <w:sz w:val="14"/>
              </w:rPr>
              <w:t>13.7</w:t>
            </w:r>
          </w:p>
        </w:tc>
        <w:tc>
          <w:tcPr>
            <w:tcW w:w="1728" w:type="dxa"/>
            <w:shd w:val="clear" w:color="auto" w:fill="D4E3F5"/>
          </w:tcPr>
          <w:p>
            <w:pPr>
              <w:pStyle w:val="TableParagraph"/>
              <w:ind w:left="217" w:right="83"/>
              <w:rPr>
                <w:sz w:val="14"/>
              </w:rPr>
            </w:pPr>
            <w:r>
              <w:rPr>
                <w:color w:val="231F20"/>
                <w:spacing w:val="-4"/>
                <w:w w:val="95"/>
                <w:sz w:val="14"/>
              </w:rPr>
              <w:t>22.2</w:t>
            </w:r>
          </w:p>
        </w:tc>
      </w:tr>
      <w:tr>
        <w:trPr>
          <w:trHeight w:val="259" w:hRule="atLeast"/>
        </w:trPr>
        <w:tc>
          <w:tcPr>
            <w:tcW w:w="1441" w:type="dxa"/>
          </w:tcPr>
          <w:p>
            <w:pPr>
              <w:pStyle w:val="TableParagraph"/>
              <w:ind w:left="80"/>
              <w:jc w:val="left"/>
              <w:rPr>
                <w:sz w:val="14"/>
              </w:rPr>
            </w:pPr>
            <w:r>
              <w:rPr>
                <w:color w:val="231F20"/>
                <w:spacing w:val="-2"/>
                <w:w w:val="85"/>
                <w:sz w:val="14"/>
              </w:rPr>
              <w:t>Poland</w:t>
            </w:r>
          </w:p>
        </w:tc>
        <w:tc>
          <w:tcPr>
            <w:tcW w:w="1632" w:type="dxa"/>
          </w:tcPr>
          <w:p>
            <w:pPr>
              <w:pStyle w:val="TableParagraph"/>
              <w:ind w:left="712"/>
              <w:jc w:val="left"/>
              <w:rPr>
                <w:sz w:val="14"/>
              </w:rPr>
            </w:pPr>
            <w:r>
              <w:rPr>
                <w:color w:val="231F20"/>
                <w:spacing w:val="-2"/>
                <w:w w:val="95"/>
                <w:sz w:val="14"/>
              </w:rPr>
              <w:t>136.5</w:t>
            </w:r>
          </w:p>
        </w:tc>
        <w:tc>
          <w:tcPr>
            <w:tcW w:w="1564" w:type="dxa"/>
          </w:tcPr>
          <w:p>
            <w:pPr>
              <w:pStyle w:val="TableParagraph"/>
              <w:ind w:left="75" w:right="85"/>
              <w:rPr>
                <w:sz w:val="14"/>
              </w:rPr>
            </w:pPr>
            <w:r>
              <w:rPr>
                <w:color w:val="231F20"/>
                <w:spacing w:val="-5"/>
                <w:w w:val="95"/>
                <w:sz w:val="14"/>
              </w:rPr>
              <w:t>3.0</w:t>
            </w:r>
          </w:p>
        </w:tc>
        <w:tc>
          <w:tcPr>
            <w:tcW w:w="1318" w:type="dxa"/>
          </w:tcPr>
          <w:p>
            <w:pPr>
              <w:pStyle w:val="TableParagraph"/>
              <w:ind w:left="192" w:right="8"/>
              <w:rPr>
                <w:sz w:val="14"/>
              </w:rPr>
            </w:pPr>
            <w:r>
              <w:rPr>
                <w:color w:val="231F20"/>
                <w:spacing w:val="-5"/>
                <w:w w:val="95"/>
                <w:sz w:val="14"/>
              </w:rPr>
              <w:t>1.9</w:t>
            </w:r>
          </w:p>
        </w:tc>
        <w:tc>
          <w:tcPr>
            <w:tcW w:w="1728" w:type="dxa"/>
          </w:tcPr>
          <w:p>
            <w:pPr>
              <w:pStyle w:val="TableParagraph"/>
              <w:ind w:left="217" w:right="31"/>
              <w:rPr>
                <w:sz w:val="14"/>
              </w:rPr>
            </w:pPr>
            <w:r>
              <w:rPr>
                <w:color w:val="231F20"/>
                <w:spacing w:val="-5"/>
                <w:w w:val="95"/>
                <w:sz w:val="14"/>
              </w:rPr>
              <w:t>2.1</w:t>
            </w:r>
          </w:p>
        </w:tc>
      </w:tr>
      <w:tr>
        <w:trPr>
          <w:trHeight w:val="259" w:hRule="atLeast"/>
        </w:trPr>
        <w:tc>
          <w:tcPr>
            <w:tcW w:w="1441" w:type="dxa"/>
            <w:shd w:val="clear" w:color="auto" w:fill="D4E3F5"/>
          </w:tcPr>
          <w:p>
            <w:pPr>
              <w:pStyle w:val="TableParagraph"/>
              <w:ind w:left="80"/>
              <w:jc w:val="left"/>
              <w:rPr>
                <w:sz w:val="14"/>
              </w:rPr>
            </w:pPr>
            <w:r>
              <w:rPr>
                <w:color w:val="231F20"/>
                <w:spacing w:val="-2"/>
                <w:w w:val="90"/>
                <w:sz w:val="14"/>
              </w:rPr>
              <w:t>Portugal</w:t>
            </w:r>
          </w:p>
        </w:tc>
        <w:tc>
          <w:tcPr>
            <w:tcW w:w="1632" w:type="dxa"/>
            <w:shd w:val="clear" w:color="auto" w:fill="D4E3F5"/>
          </w:tcPr>
          <w:p>
            <w:pPr>
              <w:pStyle w:val="TableParagraph"/>
              <w:ind w:left="725"/>
              <w:jc w:val="left"/>
              <w:rPr>
                <w:sz w:val="14"/>
              </w:rPr>
            </w:pPr>
            <w:r>
              <w:rPr>
                <w:color w:val="231F20"/>
                <w:spacing w:val="-5"/>
                <w:w w:val="95"/>
                <w:sz w:val="14"/>
              </w:rPr>
              <w:t>113</w:t>
            </w:r>
          </w:p>
        </w:tc>
        <w:tc>
          <w:tcPr>
            <w:tcW w:w="1564" w:type="dxa"/>
            <w:shd w:val="clear" w:color="auto" w:fill="D4E3F5"/>
          </w:tcPr>
          <w:p>
            <w:pPr>
              <w:pStyle w:val="TableParagraph"/>
              <w:ind w:left="14" w:right="85"/>
              <w:rPr>
                <w:sz w:val="14"/>
              </w:rPr>
            </w:pPr>
            <w:r>
              <w:rPr>
                <w:color w:val="231F20"/>
                <w:spacing w:val="-4"/>
                <w:w w:val="95"/>
                <w:sz w:val="14"/>
              </w:rPr>
              <w:t>13.2</w:t>
            </w:r>
          </w:p>
        </w:tc>
        <w:tc>
          <w:tcPr>
            <w:tcW w:w="1318" w:type="dxa"/>
            <w:shd w:val="clear" w:color="auto" w:fill="D4E3F5"/>
          </w:tcPr>
          <w:p>
            <w:pPr>
              <w:pStyle w:val="TableParagraph"/>
              <w:ind w:left="177"/>
              <w:rPr>
                <w:sz w:val="14"/>
              </w:rPr>
            </w:pPr>
            <w:r>
              <w:rPr>
                <w:color w:val="231F20"/>
                <w:spacing w:val="-5"/>
                <w:w w:val="95"/>
                <w:sz w:val="14"/>
              </w:rPr>
              <w:t>6.8</w:t>
            </w:r>
          </w:p>
        </w:tc>
        <w:tc>
          <w:tcPr>
            <w:tcW w:w="1728" w:type="dxa"/>
            <w:shd w:val="clear" w:color="auto" w:fill="D4E3F5"/>
          </w:tcPr>
          <w:p>
            <w:pPr>
              <w:pStyle w:val="TableParagraph"/>
              <w:ind w:left="217" w:right="89"/>
              <w:rPr>
                <w:sz w:val="14"/>
              </w:rPr>
            </w:pPr>
            <w:r>
              <w:rPr>
                <w:color w:val="231F20"/>
                <w:spacing w:val="-4"/>
                <w:w w:val="95"/>
                <w:sz w:val="14"/>
              </w:rPr>
              <w:t>20.7</w:t>
            </w:r>
          </w:p>
        </w:tc>
      </w:tr>
      <w:tr>
        <w:trPr>
          <w:trHeight w:val="259" w:hRule="atLeast"/>
        </w:trPr>
        <w:tc>
          <w:tcPr>
            <w:tcW w:w="1441" w:type="dxa"/>
          </w:tcPr>
          <w:p>
            <w:pPr>
              <w:pStyle w:val="TableParagraph"/>
              <w:ind w:left="80"/>
              <w:jc w:val="left"/>
              <w:rPr>
                <w:sz w:val="14"/>
              </w:rPr>
            </w:pPr>
            <w:r>
              <w:rPr>
                <w:color w:val="231F20"/>
                <w:spacing w:val="-4"/>
                <w:w w:val="90"/>
                <w:sz w:val="14"/>
              </w:rPr>
              <w:t>Qatar</w:t>
            </w:r>
          </w:p>
        </w:tc>
        <w:tc>
          <w:tcPr>
            <w:tcW w:w="1632" w:type="dxa"/>
          </w:tcPr>
          <w:p>
            <w:pPr>
              <w:pStyle w:val="TableParagraph"/>
              <w:ind w:left="775"/>
              <w:jc w:val="left"/>
              <w:rPr>
                <w:sz w:val="14"/>
              </w:rPr>
            </w:pPr>
            <w:r>
              <w:rPr>
                <w:color w:val="231F20"/>
                <w:spacing w:val="-4"/>
                <w:w w:val="95"/>
                <w:sz w:val="14"/>
              </w:rPr>
              <w:t>99.5</w:t>
            </w:r>
          </w:p>
        </w:tc>
        <w:tc>
          <w:tcPr>
            <w:tcW w:w="1564" w:type="dxa"/>
          </w:tcPr>
          <w:p>
            <w:pPr>
              <w:pStyle w:val="TableParagraph"/>
              <w:ind w:left="75" w:right="85"/>
              <w:rPr>
                <w:sz w:val="14"/>
              </w:rPr>
            </w:pPr>
            <w:r>
              <w:rPr>
                <w:color w:val="231F20"/>
                <w:spacing w:val="-5"/>
                <w:w w:val="95"/>
                <w:sz w:val="14"/>
              </w:rPr>
              <w:t>5.9</w:t>
            </w:r>
          </w:p>
        </w:tc>
        <w:tc>
          <w:tcPr>
            <w:tcW w:w="1318" w:type="dxa"/>
          </w:tcPr>
          <w:p>
            <w:pPr>
              <w:pStyle w:val="TableParagraph"/>
              <w:ind w:left="159"/>
              <w:rPr>
                <w:sz w:val="14"/>
              </w:rPr>
            </w:pPr>
            <w:r>
              <w:rPr>
                <w:color w:val="231F20"/>
                <w:spacing w:val="-5"/>
                <w:w w:val="95"/>
                <w:sz w:val="14"/>
              </w:rPr>
              <w:t>3.1</w:t>
            </w:r>
          </w:p>
        </w:tc>
        <w:tc>
          <w:tcPr>
            <w:tcW w:w="1728" w:type="dxa"/>
          </w:tcPr>
          <w:p>
            <w:pPr>
              <w:pStyle w:val="TableParagraph"/>
              <w:ind w:left="217" w:right="14"/>
              <w:rPr>
                <w:sz w:val="14"/>
              </w:rPr>
            </w:pPr>
            <w:r>
              <w:rPr>
                <w:color w:val="231F20"/>
                <w:spacing w:val="-5"/>
                <w:w w:val="95"/>
                <w:sz w:val="14"/>
              </w:rPr>
              <w:t>5.9</w:t>
            </w:r>
          </w:p>
        </w:tc>
      </w:tr>
      <w:tr>
        <w:trPr>
          <w:trHeight w:val="259" w:hRule="atLeast"/>
        </w:trPr>
        <w:tc>
          <w:tcPr>
            <w:tcW w:w="1441" w:type="dxa"/>
            <w:shd w:val="clear" w:color="auto" w:fill="D4E3F5"/>
          </w:tcPr>
          <w:p>
            <w:pPr>
              <w:pStyle w:val="TableParagraph"/>
              <w:ind w:left="80"/>
              <w:jc w:val="left"/>
              <w:rPr>
                <w:sz w:val="14"/>
              </w:rPr>
            </w:pPr>
            <w:r>
              <w:rPr>
                <w:color w:val="231F20"/>
                <w:spacing w:val="-2"/>
                <w:w w:val="85"/>
                <w:sz w:val="14"/>
              </w:rPr>
              <w:t>Romania</w:t>
            </w:r>
          </w:p>
        </w:tc>
        <w:tc>
          <w:tcPr>
            <w:tcW w:w="1632" w:type="dxa"/>
            <w:shd w:val="clear" w:color="auto" w:fill="D4E3F5"/>
          </w:tcPr>
          <w:p>
            <w:pPr>
              <w:pStyle w:val="TableParagraph"/>
              <w:ind w:left="714"/>
              <w:jc w:val="left"/>
              <w:rPr>
                <w:sz w:val="14"/>
              </w:rPr>
            </w:pPr>
            <w:r>
              <w:rPr>
                <w:color w:val="231F20"/>
                <w:spacing w:val="-5"/>
                <w:w w:val="95"/>
                <w:sz w:val="14"/>
              </w:rPr>
              <w:t>122</w:t>
            </w:r>
          </w:p>
        </w:tc>
        <w:tc>
          <w:tcPr>
            <w:tcW w:w="1564" w:type="dxa"/>
            <w:shd w:val="clear" w:color="auto" w:fill="D4E3F5"/>
          </w:tcPr>
          <w:p>
            <w:pPr>
              <w:pStyle w:val="TableParagraph"/>
              <w:ind w:left="76" w:right="85"/>
              <w:rPr>
                <w:sz w:val="14"/>
              </w:rPr>
            </w:pPr>
            <w:r>
              <w:rPr>
                <w:color w:val="231F20"/>
                <w:spacing w:val="-5"/>
                <w:w w:val="95"/>
                <w:sz w:val="14"/>
              </w:rPr>
              <w:t>2.3</w:t>
            </w:r>
          </w:p>
        </w:tc>
        <w:tc>
          <w:tcPr>
            <w:tcW w:w="1318" w:type="dxa"/>
            <w:shd w:val="clear" w:color="auto" w:fill="D4E3F5"/>
          </w:tcPr>
          <w:p>
            <w:pPr>
              <w:pStyle w:val="TableParagraph"/>
              <w:ind w:left="166"/>
              <w:rPr>
                <w:sz w:val="14"/>
              </w:rPr>
            </w:pPr>
            <w:r>
              <w:rPr>
                <w:color w:val="231F20"/>
                <w:spacing w:val="-5"/>
                <w:w w:val="95"/>
                <w:sz w:val="14"/>
              </w:rPr>
              <w:t>1.1</w:t>
            </w:r>
          </w:p>
        </w:tc>
        <w:tc>
          <w:tcPr>
            <w:tcW w:w="1728" w:type="dxa"/>
            <w:shd w:val="clear" w:color="auto" w:fill="D4E3F5"/>
          </w:tcPr>
          <w:p>
            <w:pPr>
              <w:pStyle w:val="TableParagraph"/>
              <w:ind w:left="217" w:right="31"/>
              <w:rPr>
                <w:sz w:val="14"/>
              </w:rPr>
            </w:pPr>
            <w:r>
              <w:rPr>
                <w:color w:val="231F20"/>
                <w:spacing w:val="-5"/>
                <w:w w:val="95"/>
                <w:sz w:val="14"/>
              </w:rPr>
              <w:t>2.1</w:t>
            </w:r>
          </w:p>
        </w:tc>
      </w:tr>
      <w:tr>
        <w:trPr>
          <w:trHeight w:val="259" w:hRule="atLeast"/>
        </w:trPr>
        <w:tc>
          <w:tcPr>
            <w:tcW w:w="1441" w:type="dxa"/>
          </w:tcPr>
          <w:p>
            <w:pPr>
              <w:pStyle w:val="TableParagraph"/>
              <w:ind w:left="80"/>
              <w:jc w:val="left"/>
              <w:rPr>
                <w:sz w:val="14"/>
              </w:rPr>
            </w:pPr>
            <w:r>
              <w:rPr>
                <w:color w:val="231F20"/>
                <w:w w:val="75"/>
                <w:sz w:val="14"/>
              </w:rPr>
              <w:t>Russian</w:t>
            </w:r>
            <w:r>
              <w:rPr>
                <w:color w:val="231F20"/>
                <w:spacing w:val="8"/>
                <w:sz w:val="14"/>
              </w:rPr>
              <w:t> </w:t>
            </w:r>
            <w:r>
              <w:rPr>
                <w:color w:val="231F20"/>
                <w:spacing w:val="-2"/>
                <w:w w:val="90"/>
                <w:sz w:val="14"/>
              </w:rPr>
              <w:t>Federation</w:t>
            </w:r>
          </w:p>
        </w:tc>
        <w:tc>
          <w:tcPr>
            <w:tcW w:w="1632" w:type="dxa"/>
          </w:tcPr>
          <w:p>
            <w:pPr>
              <w:pStyle w:val="TableParagraph"/>
              <w:ind w:left="712"/>
              <w:jc w:val="left"/>
              <w:rPr>
                <w:sz w:val="14"/>
              </w:rPr>
            </w:pPr>
            <w:r>
              <w:rPr>
                <w:color w:val="231F20"/>
                <w:spacing w:val="-2"/>
                <w:w w:val="95"/>
                <w:sz w:val="14"/>
              </w:rPr>
              <w:t>144.5</w:t>
            </w:r>
          </w:p>
        </w:tc>
        <w:tc>
          <w:tcPr>
            <w:tcW w:w="1564" w:type="dxa"/>
          </w:tcPr>
          <w:p>
            <w:pPr>
              <w:pStyle w:val="TableParagraph"/>
              <w:ind w:left="85" w:right="85"/>
              <w:rPr>
                <w:sz w:val="14"/>
              </w:rPr>
            </w:pPr>
            <w:r>
              <w:rPr>
                <w:color w:val="231F20"/>
                <w:spacing w:val="-5"/>
                <w:w w:val="95"/>
                <w:sz w:val="14"/>
              </w:rPr>
              <w:t>7.9</w:t>
            </w:r>
          </w:p>
        </w:tc>
        <w:tc>
          <w:tcPr>
            <w:tcW w:w="1318" w:type="dxa"/>
          </w:tcPr>
          <w:p>
            <w:pPr>
              <w:pStyle w:val="TableParagraph"/>
              <w:ind w:left="177"/>
              <w:rPr>
                <w:sz w:val="14"/>
              </w:rPr>
            </w:pPr>
            <w:r>
              <w:rPr>
                <w:color w:val="231F20"/>
                <w:spacing w:val="-5"/>
                <w:w w:val="95"/>
                <w:sz w:val="14"/>
              </w:rPr>
              <w:t>5.8</w:t>
            </w:r>
          </w:p>
        </w:tc>
        <w:tc>
          <w:tcPr>
            <w:tcW w:w="1728" w:type="dxa"/>
          </w:tcPr>
          <w:p>
            <w:pPr>
              <w:pStyle w:val="TableParagraph"/>
              <w:ind w:left="217" w:right="13"/>
              <w:rPr>
                <w:sz w:val="14"/>
              </w:rPr>
            </w:pPr>
            <w:r>
              <w:rPr>
                <w:color w:val="231F20"/>
                <w:spacing w:val="-5"/>
                <w:w w:val="95"/>
                <w:sz w:val="14"/>
              </w:rPr>
              <w:t>6.6</w:t>
            </w:r>
          </w:p>
        </w:tc>
      </w:tr>
      <w:tr>
        <w:trPr>
          <w:trHeight w:val="259" w:hRule="atLeast"/>
        </w:trPr>
        <w:tc>
          <w:tcPr>
            <w:tcW w:w="1441" w:type="dxa"/>
            <w:shd w:val="clear" w:color="auto" w:fill="D4E3F5"/>
          </w:tcPr>
          <w:p>
            <w:pPr>
              <w:pStyle w:val="TableParagraph"/>
              <w:ind w:left="80"/>
              <w:jc w:val="left"/>
              <w:rPr>
                <w:sz w:val="14"/>
              </w:rPr>
            </w:pPr>
            <w:r>
              <w:rPr>
                <w:color w:val="231F20"/>
                <w:spacing w:val="-2"/>
                <w:w w:val="85"/>
                <w:sz w:val="14"/>
              </w:rPr>
              <w:t>Rwanda</w:t>
            </w:r>
          </w:p>
        </w:tc>
        <w:tc>
          <w:tcPr>
            <w:tcW w:w="1632" w:type="dxa"/>
            <w:shd w:val="clear" w:color="auto" w:fill="D4E3F5"/>
          </w:tcPr>
          <w:p>
            <w:pPr>
              <w:pStyle w:val="TableParagraph"/>
              <w:ind w:left="784"/>
              <w:jc w:val="left"/>
              <w:rPr>
                <w:sz w:val="14"/>
              </w:rPr>
            </w:pPr>
            <w:r>
              <w:rPr>
                <w:color w:val="231F20"/>
                <w:spacing w:val="-4"/>
                <w:w w:val="95"/>
                <w:sz w:val="14"/>
              </w:rPr>
              <w:t>61.5</w:t>
            </w:r>
          </w:p>
        </w:tc>
        <w:tc>
          <w:tcPr>
            <w:tcW w:w="1564" w:type="dxa"/>
            <w:shd w:val="clear" w:color="auto" w:fill="D4E3F5"/>
          </w:tcPr>
          <w:p>
            <w:pPr>
              <w:pStyle w:val="TableParagraph"/>
              <w:ind w:left="76" w:right="85"/>
              <w:rPr>
                <w:sz w:val="14"/>
              </w:rPr>
            </w:pPr>
            <w:r>
              <w:rPr>
                <w:color w:val="231F20"/>
                <w:spacing w:val="-5"/>
                <w:w w:val="95"/>
                <w:sz w:val="14"/>
              </w:rPr>
              <w:t>5.5</w:t>
            </w:r>
          </w:p>
        </w:tc>
        <w:tc>
          <w:tcPr>
            <w:tcW w:w="1318" w:type="dxa"/>
            <w:shd w:val="clear" w:color="auto" w:fill="D4E3F5"/>
          </w:tcPr>
          <w:p>
            <w:pPr>
              <w:pStyle w:val="TableParagraph"/>
              <w:ind w:left="177"/>
              <w:rPr>
                <w:sz w:val="14"/>
              </w:rPr>
            </w:pPr>
            <w:r>
              <w:rPr>
                <w:color w:val="231F20"/>
                <w:spacing w:val="-5"/>
                <w:w w:val="95"/>
                <w:sz w:val="14"/>
              </w:rPr>
              <w:t>3.0</w:t>
            </w:r>
          </w:p>
        </w:tc>
        <w:tc>
          <w:tcPr>
            <w:tcW w:w="1728" w:type="dxa"/>
            <w:shd w:val="clear" w:color="auto" w:fill="D4E3F5"/>
          </w:tcPr>
          <w:p>
            <w:pPr>
              <w:pStyle w:val="TableParagraph"/>
              <w:ind w:left="217" w:right="17"/>
              <w:rPr>
                <w:sz w:val="14"/>
              </w:rPr>
            </w:pPr>
            <w:r>
              <w:rPr>
                <w:color w:val="231F20"/>
                <w:spacing w:val="-5"/>
                <w:w w:val="95"/>
                <w:sz w:val="14"/>
              </w:rPr>
              <w:t>4.7</w:t>
            </w:r>
          </w:p>
        </w:tc>
      </w:tr>
      <w:tr>
        <w:trPr>
          <w:trHeight w:val="259" w:hRule="atLeast"/>
        </w:trPr>
        <w:tc>
          <w:tcPr>
            <w:tcW w:w="1441" w:type="dxa"/>
          </w:tcPr>
          <w:p>
            <w:pPr>
              <w:pStyle w:val="TableParagraph"/>
              <w:ind w:left="80"/>
              <w:jc w:val="left"/>
              <w:rPr>
                <w:sz w:val="14"/>
              </w:rPr>
            </w:pPr>
            <w:r>
              <w:rPr>
                <w:color w:val="231F20"/>
                <w:w w:val="75"/>
                <w:sz w:val="14"/>
              </w:rPr>
              <w:t>Saudi</w:t>
            </w:r>
            <w:r>
              <w:rPr>
                <w:color w:val="231F20"/>
                <w:spacing w:val="6"/>
                <w:sz w:val="14"/>
              </w:rPr>
              <w:t> </w:t>
            </w:r>
            <w:r>
              <w:rPr>
                <w:color w:val="231F20"/>
                <w:spacing w:val="-2"/>
                <w:w w:val="90"/>
                <w:sz w:val="14"/>
              </w:rPr>
              <w:t>Arabia</w:t>
            </w:r>
          </w:p>
        </w:tc>
        <w:tc>
          <w:tcPr>
            <w:tcW w:w="1632" w:type="dxa"/>
          </w:tcPr>
          <w:p>
            <w:pPr>
              <w:pStyle w:val="TableParagraph"/>
              <w:ind w:left="723"/>
              <w:jc w:val="left"/>
              <w:rPr>
                <w:sz w:val="14"/>
              </w:rPr>
            </w:pPr>
            <w:r>
              <w:rPr>
                <w:color w:val="231F20"/>
                <w:spacing w:val="-5"/>
                <w:w w:val="95"/>
                <w:sz w:val="14"/>
              </w:rPr>
              <w:t>116</w:t>
            </w:r>
          </w:p>
        </w:tc>
        <w:tc>
          <w:tcPr>
            <w:tcW w:w="1564" w:type="dxa"/>
          </w:tcPr>
          <w:p>
            <w:pPr>
              <w:pStyle w:val="TableParagraph"/>
              <w:ind w:left="76" w:right="85"/>
              <w:rPr>
                <w:sz w:val="14"/>
              </w:rPr>
            </w:pPr>
            <w:r>
              <w:rPr>
                <w:color w:val="231F20"/>
                <w:spacing w:val="-5"/>
                <w:w w:val="95"/>
                <w:sz w:val="14"/>
              </w:rPr>
              <w:t>6.6</w:t>
            </w:r>
          </w:p>
        </w:tc>
        <w:tc>
          <w:tcPr>
            <w:tcW w:w="1318" w:type="dxa"/>
          </w:tcPr>
          <w:p>
            <w:pPr>
              <w:pStyle w:val="TableParagraph"/>
              <w:ind w:left="161"/>
              <w:rPr>
                <w:sz w:val="14"/>
              </w:rPr>
            </w:pPr>
            <w:r>
              <w:rPr>
                <w:color w:val="231F20"/>
                <w:spacing w:val="-5"/>
                <w:w w:val="95"/>
                <w:sz w:val="14"/>
              </w:rPr>
              <w:t>4.1</w:t>
            </w:r>
          </w:p>
        </w:tc>
        <w:tc>
          <w:tcPr>
            <w:tcW w:w="1728" w:type="dxa"/>
          </w:tcPr>
          <w:p>
            <w:pPr>
              <w:pStyle w:val="TableParagraph"/>
              <w:ind w:left="217" w:right="12"/>
              <w:rPr>
                <w:sz w:val="14"/>
              </w:rPr>
            </w:pPr>
            <w:r>
              <w:rPr>
                <w:color w:val="231F20"/>
                <w:spacing w:val="-5"/>
                <w:w w:val="95"/>
                <w:sz w:val="14"/>
              </w:rPr>
              <w:t>6.2</w:t>
            </w:r>
          </w:p>
        </w:tc>
      </w:tr>
      <w:tr>
        <w:trPr>
          <w:trHeight w:val="259" w:hRule="atLeast"/>
        </w:trPr>
        <w:tc>
          <w:tcPr>
            <w:tcW w:w="1441" w:type="dxa"/>
            <w:shd w:val="clear" w:color="auto" w:fill="D4E3F5"/>
          </w:tcPr>
          <w:p>
            <w:pPr>
              <w:pStyle w:val="TableParagraph"/>
              <w:ind w:left="80"/>
              <w:jc w:val="left"/>
              <w:rPr>
                <w:sz w:val="14"/>
              </w:rPr>
            </w:pPr>
            <w:r>
              <w:rPr>
                <w:color w:val="231F20"/>
                <w:spacing w:val="-2"/>
                <w:w w:val="90"/>
                <w:sz w:val="14"/>
              </w:rPr>
              <w:t>Serbia</w:t>
            </w:r>
          </w:p>
        </w:tc>
        <w:tc>
          <w:tcPr>
            <w:tcW w:w="1632" w:type="dxa"/>
            <w:shd w:val="clear" w:color="auto" w:fill="D4E3F5"/>
          </w:tcPr>
          <w:p>
            <w:pPr>
              <w:pStyle w:val="TableParagraph"/>
              <w:ind w:left="712"/>
              <w:jc w:val="left"/>
              <w:rPr>
                <w:sz w:val="14"/>
              </w:rPr>
            </w:pPr>
            <w:r>
              <w:rPr>
                <w:color w:val="231F20"/>
                <w:spacing w:val="-5"/>
                <w:w w:val="95"/>
                <w:sz w:val="14"/>
              </w:rPr>
              <w:t>104</w:t>
            </w:r>
          </w:p>
        </w:tc>
        <w:tc>
          <w:tcPr>
            <w:tcW w:w="1564" w:type="dxa"/>
            <w:shd w:val="clear" w:color="auto" w:fill="D4E3F5"/>
          </w:tcPr>
          <w:p>
            <w:pPr>
              <w:pStyle w:val="TableParagraph"/>
              <w:ind w:left="77" w:right="85"/>
              <w:rPr>
                <w:sz w:val="14"/>
              </w:rPr>
            </w:pPr>
            <w:r>
              <w:rPr>
                <w:color w:val="231F20"/>
                <w:spacing w:val="-5"/>
                <w:w w:val="95"/>
                <w:sz w:val="14"/>
              </w:rPr>
              <w:t>9.3</w:t>
            </w:r>
          </w:p>
        </w:tc>
        <w:tc>
          <w:tcPr>
            <w:tcW w:w="1318" w:type="dxa"/>
            <w:shd w:val="clear" w:color="auto" w:fill="D4E3F5"/>
          </w:tcPr>
          <w:p>
            <w:pPr>
              <w:pStyle w:val="TableParagraph"/>
              <w:ind w:left="192" w:right="5"/>
              <w:rPr>
                <w:sz w:val="14"/>
              </w:rPr>
            </w:pPr>
            <w:r>
              <w:rPr>
                <w:color w:val="231F20"/>
                <w:spacing w:val="-5"/>
                <w:w w:val="95"/>
                <w:sz w:val="14"/>
              </w:rPr>
              <w:t>7.7</w:t>
            </w:r>
          </w:p>
        </w:tc>
        <w:tc>
          <w:tcPr>
            <w:tcW w:w="1728" w:type="dxa"/>
            <w:shd w:val="clear" w:color="auto" w:fill="D4E3F5"/>
          </w:tcPr>
          <w:p>
            <w:pPr>
              <w:pStyle w:val="TableParagraph"/>
              <w:ind w:left="217" w:right="13"/>
              <w:rPr>
                <w:sz w:val="14"/>
              </w:rPr>
            </w:pPr>
            <w:r>
              <w:rPr>
                <w:color w:val="231F20"/>
                <w:spacing w:val="-5"/>
                <w:w w:val="95"/>
                <w:sz w:val="14"/>
              </w:rPr>
              <w:t>9.9</w:t>
            </w:r>
          </w:p>
        </w:tc>
      </w:tr>
      <w:tr>
        <w:trPr>
          <w:trHeight w:val="259" w:hRule="atLeast"/>
        </w:trPr>
        <w:tc>
          <w:tcPr>
            <w:tcW w:w="1441" w:type="dxa"/>
          </w:tcPr>
          <w:p>
            <w:pPr>
              <w:pStyle w:val="TableParagraph"/>
              <w:ind w:left="80"/>
              <w:jc w:val="left"/>
              <w:rPr>
                <w:sz w:val="14"/>
              </w:rPr>
            </w:pPr>
            <w:r>
              <w:rPr>
                <w:color w:val="231F20"/>
                <w:spacing w:val="-2"/>
                <w:w w:val="90"/>
                <w:sz w:val="14"/>
              </w:rPr>
              <w:t>Singapore</w:t>
            </w:r>
          </w:p>
        </w:tc>
        <w:tc>
          <w:tcPr>
            <w:tcW w:w="1632" w:type="dxa"/>
          </w:tcPr>
          <w:p>
            <w:pPr>
              <w:pStyle w:val="TableParagraph"/>
              <w:ind w:left="723"/>
              <w:jc w:val="left"/>
              <w:rPr>
                <w:sz w:val="14"/>
              </w:rPr>
            </w:pPr>
            <w:r>
              <w:rPr>
                <w:color w:val="231F20"/>
                <w:spacing w:val="-5"/>
                <w:w w:val="95"/>
                <w:sz w:val="14"/>
              </w:rPr>
              <w:t>116</w:t>
            </w:r>
          </w:p>
        </w:tc>
        <w:tc>
          <w:tcPr>
            <w:tcW w:w="1564" w:type="dxa"/>
          </w:tcPr>
          <w:p>
            <w:pPr>
              <w:pStyle w:val="TableParagraph"/>
              <w:ind w:left="82" w:right="85"/>
              <w:rPr>
                <w:sz w:val="14"/>
              </w:rPr>
            </w:pPr>
            <w:r>
              <w:rPr>
                <w:color w:val="231F20"/>
                <w:spacing w:val="-5"/>
                <w:w w:val="95"/>
                <w:sz w:val="14"/>
              </w:rPr>
              <w:t>1.9</w:t>
            </w:r>
          </w:p>
        </w:tc>
        <w:tc>
          <w:tcPr>
            <w:tcW w:w="1318" w:type="dxa"/>
          </w:tcPr>
          <w:p>
            <w:pPr>
              <w:pStyle w:val="TableParagraph"/>
              <w:ind w:left="166"/>
              <w:rPr>
                <w:sz w:val="14"/>
              </w:rPr>
            </w:pPr>
            <w:r>
              <w:rPr>
                <w:color w:val="231F20"/>
                <w:spacing w:val="-5"/>
                <w:w w:val="95"/>
                <w:sz w:val="14"/>
              </w:rPr>
              <w:t>1.1</w:t>
            </w:r>
          </w:p>
        </w:tc>
        <w:tc>
          <w:tcPr>
            <w:tcW w:w="1728" w:type="dxa"/>
          </w:tcPr>
          <w:p>
            <w:pPr>
              <w:pStyle w:val="TableParagraph"/>
              <w:ind w:left="217" w:right="6"/>
              <w:rPr>
                <w:sz w:val="14"/>
              </w:rPr>
            </w:pPr>
            <w:r>
              <w:rPr>
                <w:color w:val="231F20"/>
                <w:spacing w:val="-5"/>
                <w:w w:val="95"/>
                <w:sz w:val="14"/>
              </w:rPr>
              <w:t>1.5</w:t>
            </w:r>
          </w:p>
        </w:tc>
      </w:tr>
      <w:tr>
        <w:trPr>
          <w:trHeight w:val="259" w:hRule="atLeast"/>
        </w:trPr>
        <w:tc>
          <w:tcPr>
            <w:tcW w:w="1441" w:type="dxa"/>
            <w:shd w:val="clear" w:color="auto" w:fill="D4E3F5"/>
          </w:tcPr>
          <w:p>
            <w:pPr>
              <w:pStyle w:val="TableParagraph"/>
              <w:ind w:left="80"/>
              <w:jc w:val="left"/>
              <w:rPr>
                <w:sz w:val="14"/>
              </w:rPr>
            </w:pPr>
            <w:r>
              <w:rPr>
                <w:color w:val="231F20"/>
                <w:w w:val="75"/>
                <w:sz w:val="14"/>
              </w:rPr>
              <w:t>Slovak</w:t>
            </w:r>
            <w:r>
              <w:rPr>
                <w:color w:val="231F20"/>
                <w:spacing w:val="4"/>
                <w:sz w:val="14"/>
              </w:rPr>
              <w:t> </w:t>
            </w:r>
            <w:r>
              <w:rPr>
                <w:color w:val="231F20"/>
                <w:spacing w:val="-2"/>
                <w:w w:val="85"/>
                <w:sz w:val="14"/>
              </w:rPr>
              <w:t>Republic</w:t>
            </w:r>
          </w:p>
        </w:tc>
        <w:tc>
          <w:tcPr>
            <w:tcW w:w="1632" w:type="dxa"/>
            <w:shd w:val="clear" w:color="auto" w:fill="D4E3F5"/>
          </w:tcPr>
          <w:p>
            <w:pPr>
              <w:pStyle w:val="TableParagraph"/>
              <w:ind w:left="723"/>
              <w:jc w:val="left"/>
              <w:rPr>
                <w:sz w:val="14"/>
              </w:rPr>
            </w:pPr>
            <w:r>
              <w:rPr>
                <w:color w:val="231F20"/>
                <w:spacing w:val="-5"/>
                <w:w w:val="95"/>
                <w:sz w:val="14"/>
              </w:rPr>
              <w:t>110</w:t>
            </w:r>
          </w:p>
        </w:tc>
        <w:tc>
          <w:tcPr>
            <w:tcW w:w="1564" w:type="dxa"/>
            <w:shd w:val="clear" w:color="auto" w:fill="D4E3F5"/>
          </w:tcPr>
          <w:p>
            <w:pPr>
              <w:pStyle w:val="TableParagraph"/>
              <w:ind w:left="77" w:right="85"/>
              <w:rPr>
                <w:sz w:val="14"/>
              </w:rPr>
            </w:pPr>
            <w:r>
              <w:rPr>
                <w:color w:val="231F20"/>
                <w:spacing w:val="-5"/>
                <w:w w:val="95"/>
                <w:sz w:val="14"/>
              </w:rPr>
              <w:t>2.2</w:t>
            </w:r>
          </w:p>
        </w:tc>
        <w:tc>
          <w:tcPr>
            <w:tcW w:w="1318" w:type="dxa"/>
            <w:shd w:val="clear" w:color="auto" w:fill="D4E3F5"/>
          </w:tcPr>
          <w:p>
            <w:pPr>
              <w:pStyle w:val="TableParagraph"/>
              <w:ind w:left="192" w:right="7"/>
              <w:rPr>
                <w:sz w:val="14"/>
              </w:rPr>
            </w:pPr>
            <w:r>
              <w:rPr>
                <w:color w:val="231F20"/>
                <w:spacing w:val="-5"/>
                <w:w w:val="95"/>
                <w:sz w:val="14"/>
              </w:rPr>
              <w:t>1.3</w:t>
            </w:r>
          </w:p>
        </w:tc>
        <w:tc>
          <w:tcPr>
            <w:tcW w:w="1728" w:type="dxa"/>
            <w:shd w:val="clear" w:color="auto" w:fill="D4E3F5"/>
          </w:tcPr>
          <w:p>
            <w:pPr>
              <w:pStyle w:val="TableParagraph"/>
              <w:ind w:left="217" w:right="13"/>
              <w:rPr>
                <w:sz w:val="14"/>
              </w:rPr>
            </w:pPr>
            <w:r>
              <w:rPr>
                <w:color w:val="231F20"/>
                <w:spacing w:val="-5"/>
                <w:w w:val="95"/>
                <w:sz w:val="14"/>
              </w:rPr>
              <w:t>2.0</w:t>
            </w:r>
          </w:p>
        </w:tc>
      </w:tr>
      <w:tr>
        <w:trPr>
          <w:trHeight w:val="259" w:hRule="atLeast"/>
        </w:trPr>
        <w:tc>
          <w:tcPr>
            <w:tcW w:w="1441" w:type="dxa"/>
          </w:tcPr>
          <w:p>
            <w:pPr>
              <w:pStyle w:val="TableParagraph"/>
              <w:ind w:left="80"/>
              <w:jc w:val="left"/>
              <w:rPr>
                <w:sz w:val="14"/>
              </w:rPr>
            </w:pPr>
            <w:r>
              <w:rPr>
                <w:color w:val="231F20"/>
                <w:spacing w:val="-2"/>
                <w:w w:val="85"/>
                <w:sz w:val="14"/>
              </w:rPr>
              <w:t>Slovenia</w:t>
            </w:r>
          </w:p>
        </w:tc>
        <w:tc>
          <w:tcPr>
            <w:tcW w:w="1632" w:type="dxa"/>
          </w:tcPr>
          <w:p>
            <w:pPr>
              <w:pStyle w:val="TableParagraph"/>
              <w:ind w:left="709"/>
              <w:jc w:val="left"/>
              <w:rPr>
                <w:sz w:val="14"/>
              </w:rPr>
            </w:pPr>
            <w:r>
              <w:rPr>
                <w:color w:val="231F20"/>
                <w:spacing w:val="-2"/>
                <w:w w:val="95"/>
                <w:sz w:val="14"/>
              </w:rPr>
              <w:t>106.5</w:t>
            </w:r>
          </w:p>
        </w:tc>
        <w:tc>
          <w:tcPr>
            <w:tcW w:w="1564" w:type="dxa"/>
          </w:tcPr>
          <w:p>
            <w:pPr>
              <w:pStyle w:val="TableParagraph"/>
              <w:ind w:left="75" w:right="85"/>
              <w:rPr>
                <w:sz w:val="14"/>
              </w:rPr>
            </w:pPr>
            <w:r>
              <w:rPr>
                <w:color w:val="231F20"/>
                <w:spacing w:val="-5"/>
                <w:w w:val="95"/>
                <w:sz w:val="14"/>
              </w:rPr>
              <w:t>3.6</w:t>
            </w:r>
          </w:p>
        </w:tc>
        <w:tc>
          <w:tcPr>
            <w:tcW w:w="1318" w:type="dxa"/>
          </w:tcPr>
          <w:p>
            <w:pPr>
              <w:pStyle w:val="TableParagraph"/>
              <w:ind w:left="192" w:right="8"/>
              <w:rPr>
                <w:sz w:val="14"/>
              </w:rPr>
            </w:pPr>
            <w:r>
              <w:rPr>
                <w:color w:val="231F20"/>
                <w:spacing w:val="-5"/>
                <w:w w:val="95"/>
                <w:sz w:val="14"/>
              </w:rPr>
              <w:t>1.9</w:t>
            </w:r>
          </w:p>
        </w:tc>
        <w:tc>
          <w:tcPr>
            <w:tcW w:w="1728" w:type="dxa"/>
          </w:tcPr>
          <w:p>
            <w:pPr>
              <w:pStyle w:val="TableParagraph"/>
              <w:ind w:left="217" w:right="30"/>
              <w:rPr>
                <w:sz w:val="14"/>
              </w:rPr>
            </w:pPr>
            <w:r>
              <w:rPr>
                <w:color w:val="231F20"/>
                <w:spacing w:val="-5"/>
                <w:w w:val="95"/>
                <w:sz w:val="14"/>
              </w:rPr>
              <w:t>4.1</w:t>
            </w:r>
          </w:p>
        </w:tc>
      </w:tr>
      <w:tr>
        <w:trPr>
          <w:trHeight w:val="259" w:hRule="atLeast"/>
        </w:trPr>
        <w:tc>
          <w:tcPr>
            <w:tcW w:w="1441" w:type="dxa"/>
            <w:shd w:val="clear" w:color="auto" w:fill="D4E3F5"/>
          </w:tcPr>
          <w:p>
            <w:pPr>
              <w:pStyle w:val="TableParagraph"/>
              <w:ind w:left="80"/>
              <w:jc w:val="left"/>
              <w:rPr>
                <w:sz w:val="14"/>
              </w:rPr>
            </w:pPr>
            <w:r>
              <w:rPr>
                <w:color w:val="231F20"/>
                <w:w w:val="75"/>
                <w:sz w:val="14"/>
              </w:rPr>
              <w:t>Solomon</w:t>
            </w:r>
            <w:r>
              <w:rPr>
                <w:color w:val="231F20"/>
                <w:spacing w:val="16"/>
                <w:sz w:val="14"/>
              </w:rPr>
              <w:t> </w:t>
            </w:r>
            <w:r>
              <w:rPr>
                <w:color w:val="231F20"/>
                <w:spacing w:val="-2"/>
                <w:w w:val="85"/>
                <w:sz w:val="14"/>
              </w:rPr>
              <w:t>Islands</w:t>
            </w:r>
          </w:p>
        </w:tc>
        <w:tc>
          <w:tcPr>
            <w:tcW w:w="1632" w:type="dxa"/>
            <w:shd w:val="clear" w:color="auto" w:fill="D4E3F5"/>
          </w:tcPr>
          <w:p>
            <w:pPr>
              <w:pStyle w:val="TableParagraph"/>
              <w:ind w:left="776"/>
              <w:jc w:val="left"/>
              <w:rPr>
                <w:sz w:val="14"/>
              </w:rPr>
            </w:pPr>
            <w:r>
              <w:rPr>
                <w:color w:val="231F20"/>
                <w:spacing w:val="-4"/>
                <w:w w:val="95"/>
                <w:sz w:val="14"/>
              </w:rPr>
              <w:t>25.5</w:t>
            </w:r>
          </w:p>
        </w:tc>
        <w:tc>
          <w:tcPr>
            <w:tcW w:w="1564" w:type="dxa"/>
            <w:shd w:val="clear" w:color="auto" w:fill="D4E3F5"/>
          </w:tcPr>
          <w:p>
            <w:pPr>
              <w:pStyle w:val="TableParagraph"/>
              <w:ind w:left="86" w:right="85"/>
              <w:rPr>
                <w:sz w:val="14"/>
              </w:rPr>
            </w:pPr>
            <w:r>
              <w:rPr>
                <w:color w:val="231F20"/>
                <w:spacing w:val="-5"/>
                <w:w w:val="95"/>
                <w:sz w:val="14"/>
              </w:rPr>
              <w:t>7.8</w:t>
            </w:r>
          </w:p>
        </w:tc>
        <w:tc>
          <w:tcPr>
            <w:tcW w:w="1318" w:type="dxa"/>
            <w:shd w:val="clear" w:color="auto" w:fill="D4E3F5"/>
          </w:tcPr>
          <w:p>
            <w:pPr>
              <w:pStyle w:val="TableParagraph"/>
              <w:ind w:left="192" w:right="8"/>
              <w:rPr>
                <w:sz w:val="14"/>
              </w:rPr>
            </w:pPr>
            <w:r>
              <w:rPr>
                <w:color w:val="231F20"/>
                <w:spacing w:val="-5"/>
                <w:w w:val="95"/>
                <w:sz w:val="14"/>
              </w:rPr>
              <w:t>1.0</w:t>
            </w:r>
          </w:p>
        </w:tc>
        <w:tc>
          <w:tcPr>
            <w:tcW w:w="1728" w:type="dxa"/>
            <w:shd w:val="clear" w:color="auto" w:fill="D4E3F5"/>
          </w:tcPr>
          <w:p>
            <w:pPr>
              <w:pStyle w:val="TableParagraph"/>
              <w:ind w:left="217" w:right="13"/>
              <w:rPr>
                <w:sz w:val="14"/>
              </w:rPr>
            </w:pPr>
            <w:r>
              <w:rPr>
                <w:color w:val="231F20"/>
                <w:spacing w:val="-5"/>
                <w:w w:val="95"/>
                <w:sz w:val="14"/>
              </w:rPr>
              <w:t>9.8</w:t>
            </w:r>
          </w:p>
        </w:tc>
      </w:tr>
      <w:tr>
        <w:trPr>
          <w:trHeight w:val="259" w:hRule="atLeast"/>
        </w:trPr>
        <w:tc>
          <w:tcPr>
            <w:tcW w:w="1441" w:type="dxa"/>
          </w:tcPr>
          <w:p>
            <w:pPr>
              <w:pStyle w:val="TableParagraph"/>
              <w:ind w:left="80"/>
              <w:jc w:val="left"/>
              <w:rPr>
                <w:sz w:val="14"/>
              </w:rPr>
            </w:pPr>
            <w:r>
              <w:rPr>
                <w:color w:val="231F20"/>
                <w:w w:val="75"/>
                <w:sz w:val="14"/>
              </w:rPr>
              <w:t>South</w:t>
            </w:r>
            <w:r>
              <w:rPr>
                <w:color w:val="231F20"/>
                <w:spacing w:val="11"/>
                <w:sz w:val="14"/>
              </w:rPr>
              <w:t> </w:t>
            </w:r>
            <w:r>
              <w:rPr>
                <w:color w:val="231F20"/>
                <w:spacing w:val="-2"/>
                <w:w w:val="90"/>
                <w:sz w:val="14"/>
              </w:rPr>
              <w:t>Africa</w:t>
            </w:r>
          </w:p>
        </w:tc>
        <w:tc>
          <w:tcPr>
            <w:tcW w:w="1632" w:type="dxa"/>
          </w:tcPr>
          <w:p>
            <w:pPr>
              <w:pStyle w:val="TableParagraph"/>
              <w:ind w:left="714"/>
              <w:jc w:val="left"/>
              <w:rPr>
                <w:sz w:val="14"/>
              </w:rPr>
            </w:pPr>
            <w:r>
              <w:rPr>
                <w:color w:val="231F20"/>
                <w:spacing w:val="-5"/>
                <w:w w:val="95"/>
                <w:sz w:val="14"/>
              </w:rPr>
              <w:t>130</w:t>
            </w:r>
          </w:p>
        </w:tc>
        <w:tc>
          <w:tcPr>
            <w:tcW w:w="1564" w:type="dxa"/>
          </w:tcPr>
          <w:p>
            <w:pPr>
              <w:pStyle w:val="TableParagraph"/>
              <w:ind w:left="12" w:right="85"/>
              <w:rPr>
                <w:sz w:val="14"/>
              </w:rPr>
            </w:pPr>
            <w:r>
              <w:rPr>
                <w:color w:val="231F20"/>
                <w:spacing w:val="-4"/>
                <w:w w:val="95"/>
                <w:sz w:val="14"/>
              </w:rPr>
              <w:t>15.9</w:t>
            </w:r>
          </w:p>
        </w:tc>
        <w:tc>
          <w:tcPr>
            <w:tcW w:w="1318" w:type="dxa"/>
          </w:tcPr>
          <w:p>
            <w:pPr>
              <w:pStyle w:val="TableParagraph"/>
              <w:ind w:left="123"/>
              <w:rPr>
                <w:sz w:val="14"/>
              </w:rPr>
            </w:pPr>
            <w:r>
              <w:rPr>
                <w:color w:val="231F20"/>
                <w:spacing w:val="-4"/>
                <w:w w:val="95"/>
                <w:sz w:val="14"/>
              </w:rPr>
              <w:t>11.0</w:t>
            </w:r>
          </w:p>
        </w:tc>
        <w:tc>
          <w:tcPr>
            <w:tcW w:w="1728" w:type="dxa"/>
          </w:tcPr>
          <w:p>
            <w:pPr>
              <w:pStyle w:val="TableParagraph"/>
              <w:ind w:left="217" w:right="77"/>
              <w:rPr>
                <w:sz w:val="14"/>
              </w:rPr>
            </w:pPr>
            <w:r>
              <w:rPr>
                <w:color w:val="231F20"/>
                <w:spacing w:val="-4"/>
                <w:w w:val="95"/>
                <w:sz w:val="14"/>
              </w:rPr>
              <w:t>13.6</w:t>
            </w:r>
          </w:p>
        </w:tc>
      </w:tr>
      <w:tr>
        <w:trPr>
          <w:trHeight w:val="259" w:hRule="atLeast"/>
        </w:trPr>
        <w:tc>
          <w:tcPr>
            <w:tcW w:w="1441" w:type="dxa"/>
            <w:shd w:val="clear" w:color="auto" w:fill="D4E3F5"/>
          </w:tcPr>
          <w:p>
            <w:pPr>
              <w:pStyle w:val="TableParagraph"/>
              <w:ind w:left="80"/>
              <w:jc w:val="left"/>
              <w:rPr>
                <w:sz w:val="14"/>
              </w:rPr>
            </w:pPr>
            <w:r>
              <w:rPr>
                <w:color w:val="231F20"/>
                <w:spacing w:val="-4"/>
                <w:w w:val="85"/>
                <w:sz w:val="14"/>
              </w:rPr>
              <w:t>Spain</w:t>
            </w:r>
          </w:p>
        </w:tc>
        <w:tc>
          <w:tcPr>
            <w:tcW w:w="1632" w:type="dxa"/>
            <w:shd w:val="clear" w:color="auto" w:fill="D4E3F5"/>
          </w:tcPr>
          <w:p>
            <w:pPr>
              <w:pStyle w:val="TableParagraph"/>
              <w:ind w:left="716"/>
              <w:jc w:val="left"/>
              <w:rPr>
                <w:sz w:val="14"/>
              </w:rPr>
            </w:pPr>
            <w:r>
              <w:rPr>
                <w:color w:val="231F20"/>
                <w:spacing w:val="-5"/>
                <w:w w:val="95"/>
                <w:sz w:val="14"/>
              </w:rPr>
              <w:t>142</w:t>
            </w:r>
          </w:p>
        </w:tc>
        <w:tc>
          <w:tcPr>
            <w:tcW w:w="1564" w:type="dxa"/>
            <w:shd w:val="clear" w:color="auto" w:fill="D4E3F5"/>
          </w:tcPr>
          <w:p>
            <w:pPr>
              <w:pStyle w:val="TableParagraph"/>
              <w:ind w:left="75" w:right="85"/>
              <w:rPr>
                <w:sz w:val="14"/>
              </w:rPr>
            </w:pPr>
            <w:r>
              <w:rPr>
                <w:color w:val="231F20"/>
                <w:spacing w:val="-5"/>
                <w:w w:val="95"/>
                <w:sz w:val="14"/>
              </w:rPr>
              <w:t>5.8</w:t>
            </w:r>
          </w:p>
        </w:tc>
        <w:tc>
          <w:tcPr>
            <w:tcW w:w="1318" w:type="dxa"/>
            <w:shd w:val="clear" w:color="auto" w:fill="D4E3F5"/>
          </w:tcPr>
          <w:p>
            <w:pPr>
              <w:pStyle w:val="TableParagraph"/>
              <w:ind w:left="177"/>
              <w:rPr>
                <w:sz w:val="14"/>
              </w:rPr>
            </w:pPr>
            <w:r>
              <w:rPr>
                <w:color w:val="231F20"/>
                <w:spacing w:val="-5"/>
                <w:w w:val="95"/>
                <w:sz w:val="14"/>
              </w:rPr>
              <w:t>3.0</w:t>
            </w:r>
          </w:p>
        </w:tc>
        <w:tc>
          <w:tcPr>
            <w:tcW w:w="1728" w:type="dxa"/>
            <w:shd w:val="clear" w:color="auto" w:fill="D4E3F5"/>
          </w:tcPr>
          <w:p>
            <w:pPr>
              <w:pStyle w:val="TableParagraph"/>
              <w:ind w:left="217" w:right="13"/>
              <w:rPr>
                <w:sz w:val="14"/>
              </w:rPr>
            </w:pPr>
            <w:r>
              <w:rPr>
                <w:color w:val="231F20"/>
                <w:spacing w:val="-5"/>
                <w:w w:val="95"/>
                <w:sz w:val="14"/>
              </w:rPr>
              <w:t>5.0</w:t>
            </w:r>
          </w:p>
        </w:tc>
      </w:tr>
      <w:tr>
        <w:trPr>
          <w:trHeight w:val="259" w:hRule="atLeast"/>
        </w:trPr>
        <w:tc>
          <w:tcPr>
            <w:tcW w:w="1441" w:type="dxa"/>
          </w:tcPr>
          <w:p>
            <w:pPr>
              <w:pStyle w:val="TableParagraph"/>
              <w:ind w:left="80"/>
              <w:jc w:val="left"/>
              <w:rPr>
                <w:sz w:val="14"/>
              </w:rPr>
            </w:pPr>
            <w:r>
              <w:rPr>
                <w:color w:val="231F20"/>
                <w:w w:val="75"/>
                <w:sz w:val="14"/>
              </w:rPr>
              <w:t>Sri</w:t>
            </w:r>
            <w:r>
              <w:rPr>
                <w:color w:val="231F20"/>
                <w:sz w:val="14"/>
              </w:rPr>
              <w:t> </w:t>
            </w:r>
            <w:r>
              <w:rPr>
                <w:color w:val="231F20"/>
                <w:spacing w:val="-2"/>
                <w:w w:val="85"/>
                <w:sz w:val="14"/>
              </w:rPr>
              <w:t>Lanka</w:t>
            </w:r>
          </w:p>
        </w:tc>
        <w:tc>
          <w:tcPr>
            <w:tcW w:w="1632" w:type="dxa"/>
          </w:tcPr>
          <w:p>
            <w:pPr>
              <w:pStyle w:val="TableParagraph"/>
              <w:ind w:left="790"/>
              <w:jc w:val="left"/>
              <w:rPr>
                <w:sz w:val="14"/>
              </w:rPr>
            </w:pPr>
            <w:r>
              <w:rPr>
                <w:color w:val="231F20"/>
                <w:spacing w:val="-4"/>
                <w:w w:val="95"/>
                <w:sz w:val="14"/>
              </w:rPr>
              <w:t>87.5</w:t>
            </w:r>
          </w:p>
        </w:tc>
        <w:tc>
          <w:tcPr>
            <w:tcW w:w="1564" w:type="dxa"/>
          </w:tcPr>
          <w:p>
            <w:pPr>
              <w:pStyle w:val="TableParagraph"/>
              <w:ind w:left="12" w:right="85"/>
              <w:rPr>
                <w:sz w:val="14"/>
              </w:rPr>
            </w:pPr>
            <w:r>
              <w:rPr>
                <w:color w:val="231F20"/>
                <w:spacing w:val="-4"/>
                <w:w w:val="95"/>
                <w:sz w:val="14"/>
              </w:rPr>
              <w:t>19.0</w:t>
            </w:r>
          </w:p>
        </w:tc>
        <w:tc>
          <w:tcPr>
            <w:tcW w:w="1318" w:type="dxa"/>
          </w:tcPr>
          <w:p>
            <w:pPr>
              <w:pStyle w:val="TableParagraph"/>
              <w:ind w:left="117"/>
              <w:rPr>
                <w:sz w:val="14"/>
              </w:rPr>
            </w:pPr>
            <w:r>
              <w:rPr>
                <w:color w:val="231F20"/>
                <w:spacing w:val="-4"/>
                <w:w w:val="95"/>
                <w:sz w:val="14"/>
              </w:rPr>
              <w:t>12.2</w:t>
            </w:r>
          </w:p>
        </w:tc>
        <w:tc>
          <w:tcPr>
            <w:tcW w:w="1728" w:type="dxa"/>
          </w:tcPr>
          <w:p>
            <w:pPr>
              <w:pStyle w:val="TableParagraph"/>
              <w:ind w:left="217" w:right="71"/>
              <w:rPr>
                <w:sz w:val="14"/>
              </w:rPr>
            </w:pPr>
            <w:r>
              <w:rPr>
                <w:color w:val="231F20"/>
                <w:spacing w:val="-4"/>
                <w:w w:val="95"/>
                <w:sz w:val="14"/>
              </w:rPr>
              <w:t>27.0</w:t>
            </w:r>
          </w:p>
        </w:tc>
      </w:tr>
      <w:tr>
        <w:trPr>
          <w:trHeight w:val="259" w:hRule="atLeast"/>
        </w:trPr>
        <w:tc>
          <w:tcPr>
            <w:tcW w:w="1441" w:type="dxa"/>
            <w:shd w:val="clear" w:color="auto" w:fill="D4E3F5"/>
          </w:tcPr>
          <w:p>
            <w:pPr>
              <w:pStyle w:val="TableParagraph"/>
              <w:ind w:left="80"/>
              <w:jc w:val="left"/>
              <w:rPr>
                <w:sz w:val="14"/>
              </w:rPr>
            </w:pPr>
            <w:r>
              <w:rPr>
                <w:color w:val="231F20"/>
                <w:spacing w:val="-2"/>
                <w:w w:val="85"/>
                <w:sz w:val="14"/>
              </w:rPr>
              <w:t>Sudan</w:t>
            </w:r>
          </w:p>
        </w:tc>
        <w:tc>
          <w:tcPr>
            <w:tcW w:w="1632" w:type="dxa"/>
            <w:shd w:val="clear" w:color="auto" w:fill="D4E3F5"/>
          </w:tcPr>
          <w:p>
            <w:pPr>
              <w:pStyle w:val="TableParagraph"/>
              <w:ind w:left="779"/>
              <w:jc w:val="left"/>
              <w:rPr>
                <w:sz w:val="14"/>
              </w:rPr>
            </w:pPr>
            <w:r>
              <w:rPr>
                <w:color w:val="231F20"/>
                <w:spacing w:val="-5"/>
                <w:w w:val="95"/>
                <w:sz w:val="14"/>
              </w:rPr>
              <w:t>42</w:t>
            </w:r>
          </w:p>
        </w:tc>
        <w:tc>
          <w:tcPr>
            <w:tcW w:w="1564" w:type="dxa"/>
            <w:shd w:val="clear" w:color="auto" w:fill="D4E3F5"/>
          </w:tcPr>
          <w:p>
            <w:pPr>
              <w:pStyle w:val="TableParagraph"/>
              <w:ind w:left="76" w:right="85"/>
              <w:rPr>
                <w:sz w:val="14"/>
              </w:rPr>
            </w:pPr>
            <w:r>
              <w:rPr>
                <w:color w:val="231F20"/>
                <w:spacing w:val="-5"/>
                <w:w w:val="95"/>
                <w:sz w:val="14"/>
              </w:rPr>
              <w:t>5.0</w:t>
            </w:r>
          </w:p>
        </w:tc>
        <w:tc>
          <w:tcPr>
            <w:tcW w:w="1318" w:type="dxa"/>
            <w:shd w:val="clear" w:color="auto" w:fill="D4E3F5"/>
          </w:tcPr>
          <w:p>
            <w:pPr>
              <w:pStyle w:val="TableParagraph"/>
              <w:ind w:left="192" w:right="8"/>
              <w:rPr>
                <w:sz w:val="14"/>
              </w:rPr>
            </w:pPr>
            <w:r>
              <w:rPr>
                <w:color w:val="231F20"/>
                <w:spacing w:val="-5"/>
                <w:w w:val="95"/>
                <w:sz w:val="14"/>
              </w:rPr>
              <w:t>1.9</w:t>
            </w:r>
          </w:p>
        </w:tc>
        <w:tc>
          <w:tcPr>
            <w:tcW w:w="1728" w:type="dxa"/>
            <w:shd w:val="clear" w:color="auto" w:fill="D4E3F5"/>
          </w:tcPr>
          <w:p>
            <w:pPr>
              <w:pStyle w:val="TableParagraph"/>
              <w:ind w:left="217" w:right="16"/>
              <w:rPr>
                <w:sz w:val="14"/>
              </w:rPr>
            </w:pPr>
            <w:r>
              <w:rPr>
                <w:color w:val="231F20"/>
                <w:spacing w:val="-5"/>
                <w:w w:val="95"/>
                <w:sz w:val="14"/>
              </w:rPr>
              <w:t>5.4</w:t>
            </w:r>
          </w:p>
        </w:tc>
      </w:tr>
      <w:tr>
        <w:trPr>
          <w:trHeight w:val="259" w:hRule="atLeast"/>
        </w:trPr>
        <w:tc>
          <w:tcPr>
            <w:tcW w:w="1441" w:type="dxa"/>
          </w:tcPr>
          <w:p>
            <w:pPr>
              <w:pStyle w:val="TableParagraph"/>
              <w:ind w:left="80"/>
              <w:jc w:val="left"/>
              <w:rPr>
                <w:sz w:val="14"/>
              </w:rPr>
            </w:pPr>
            <w:r>
              <w:rPr>
                <w:color w:val="231F20"/>
                <w:spacing w:val="-2"/>
                <w:w w:val="85"/>
                <w:sz w:val="14"/>
              </w:rPr>
              <w:t>Sweden</w:t>
            </w:r>
          </w:p>
        </w:tc>
        <w:tc>
          <w:tcPr>
            <w:tcW w:w="1632" w:type="dxa"/>
          </w:tcPr>
          <w:p>
            <w:pPr>
              <w:pStyle w:val="TableParagraph"/>
              <w:ind w:left="716"/>
              <w:jc w:val="left"/>
              <w:rPr>
                <w:sz w:val="14"/>
              </w:rPr>
            </w:pPr>
            <w:r>
              <w:rPr>
                <w:color w:val="231F20"/>
                <w:spacing w:val="-5"/>
                <w:w w:val="95"/>
                <w:sz w:val="14"/>
              </w:rPr>
              <w:t>137</w:t>
            </w:r>
          </w:p>
        </w:tc>
        <w:tc>
          <w:tcPr>
            <w:tcW w:w="1564" w:type="dxa"/>
          </w:tcPr>
          <w:p>
            <w:pPr>
              <w:pStyle w:val="TableParagraph"/>
              <w:ind w:left="76" w:right="85"/>
              <w:rPr>
                <w:sz w:val="14"/>
              </w:rPr>
            </w:pPr>
            <w:r>
              <w:rPr>
                <w:color w:val="231F20"/>
                <w:spacing w:val="-5"/>
                <w:w w:val="95"/>
                <w:sz w:val="14"/>
              </w:rPr>
              <w:t>2.8</w:t>
            </w:r>
          </w:p>
        </w:tc>
        <w:tc>
          <w:tcPr>
            <w:tcW w:w="1318" w:type="dxa"/>
          </w:tcPr>
          <w:p>
            <w:pPr>
              <w:pStyle w:val="TableParagraph"/>
              <w:ind w:left="192" w:right="8"/>
              <w:rPr>
                <w:sz w:val="14"/>
              </w:rPr>
            </w:pPr>
            <w:r>
              <w:rPr>
                <w:color w:val="231F20"/>
                <w:spacing w:val="-5"/>
                <w:w w:val="95"/>
                <w:sz w:val="14"/>
              </w:rPr>
              <w:t>1.9</w:t>
            </w:r>
          </w:p>
        </w:tc>
        <w:tc>
          <w:tcPr>
            <w:tcW w:w="1728" w:type="dxa"/>
          </w:tcPr>
          <w:p>
            <w:pPr>
              <w:pStyle w:val="TableParagraph"/>
              <w:ind w:left="217" w:right="32"/>
              <w:rPr>
                <w:sz w:val="14"/>
              </w:rPr>
            </w:pPr>
            <w:r>
              <w:rPr>
                <w:color w:val="231F20"/>
                <w:spacing w:val="-5"/>
                <w:w w:val="95"/>
                <w:sz w:val="14"/>
              </w:rPr>
              <w:t>3.1</w:t>
            </w:r>
          </w:p>
        </w:tc>
      </w:tr>
      <w:tr>
        <w:trPr>
          <w:trHeight w:val="259" w:hRule="atLeast"/>
        </w:trPr>
        <w:tc>
          <w:tcPr>
            <w:tcW w:w="1441" w:type="dxa"/>
            <w:shd w:val="clear" w:color="auto" w:fill="D4E3F5"/>
          </w:tcPr>
          <w:p>
            <w:pPr>
              <w:pStyle w:val="TableParagraph"/>
              <w:ind w:left="80"/>
              <w:jc w:val="left"/>
              <w:rPr>
                <w:sz w:val="14"/>
              </w:rPr>
            </w:pPr>
            <w:r>
              <w:rPr>
                <w:color w:val="231F20"/>
                <w:spacing w:val="-2"/>
                <w:w w:val="90"/>
                <w:sz w:val="14"/>
              </w:rPr>
              <w:t>Switzerland</w:t>
            </w:r>
          </w:p>
        </w:tc>
        <w:tc>
          <w:tcPr>
            <w:tcW w:w="1632" w:type="dxa"/>
            <w:shd w:val="clear" w:color="auto" w:fill="D4E3F5"/>
          </w:tcPr>
          <w:p>
            <w:pPr>
              <w:pStyle w:val="TableParagraph"/>
              <w:ind w:left="711"/>
              <w:jc w:val="left"/>
              <w:rPr>
                <w:sz w:val="14"/>
              </w:rPr>
            </w:pPr>
            <w:r>
              <w:rPr>
                <w:color w:val="231F20"/>
                <w:spacing w:val="-2"/>
                <w:w w:val="95"/>
                <w:sz w:val="14"/>
              </w:rPr>
              <w:t>145.5</w:t>
            </w:r>
          </w:p>
        </w:tc>
        <w:tc>
          <w:tcPr>
            <w:tcW w:w="1564" w:type="dxa"/>
            <w:shd w:val="clear" w:color="auto" w:fill="D4E3F5"/>
          </w:tcPr>
          <w:p>
            <w:pPr>
              <w:pStyle w:val="TableParagraph"/>
              <w:ind w:left="75" w:right="85"/>
              <w:rPr>
                <w:sz w:val="14"/>
              </w:rPr>
            </w:pPr>
            <w:r>
              <w:rPr>
                <w:color w:val="231F20"/>
                <w:spacing w:val="-5"/>
                <w:w w:val="95"/>
                <w:sz w:val="14"/>
              </w:rPr>
              <w:t>3.0</w:t>
            </w:r>
          </w:p>
        </w:tc>
        <w:tc>
          <w:tcPr>
            <w:tcW w:w="1318" w:type="dxa"/>
            <w:shd w:val="clear" w:color="auto" w:fill="D4E3F5"/>
          </w:tcPr>
          <w:p>
            <w:pPr>
              <w:pStyle w:val="TableParagraph"/>
              <w:ind w:left="192" w:right="8"/>
              <w:rPr>
                <w:sz w:val="14"/>
              </w:rPr>
            </w:pPr>
            <w:r>
              <w:rPr>
                <w:color w:val="231F20"/>
                <w:spacing w:val="-5"/>
                <w:w w:val="95"/>
                <w:sz w:val="14"/>
              </w:rPr>
              <w:t>1.9</w:t>
            </w:r>
          </w:p>
        </w:tc>
        <w:tc>
          <w:tcPr>
            <w:tcW w:w="1728" w:type="dxa"/>
            <w:shd w:val="clear" w:color="auto" w:fill="D4E3F5"/>
          </w:tcPr>
          <w:p>
            <w:pPr>
              <w:pStyle w:val="TableParagraph"/>
              <w:ind w:left="217" w:right="32"/>
              <w:rPr>
                <w:sz w:val="14"/>
              </w:rPr>
            </w:pPr>
            <w:r>
              <w:rPr>
                <w:color w:val="231F20"/>
                <w:spacing w:val="-5"/>
                <w:w w:val="95"/>
                <w:sz w:val="14"/>
              </w:rPr>
              <w:t>3.1</w:t>
            </w:r>
          </w:p>
        </w:tc>
      </w:tr>
      <w:tr>
        <w:trPr>
          <w:trHeight w:val="259" w:hRule="atLeast"/>
        </w:trPr>
        <w:tc>
          <w:tcPr>
            <w:tcW w:w="1441" w:type="dxa"/>
          </w:tcPr>
          <w:p>
            <w:pPr>
              <w:pStyle w:val="TableParagraph"/>
              <w:ind w:left="80"/>
              <w:jc w:val="left"/>
              <w:rPr>
                <w:sz w:val="14"/>
              </w:rPr>
            </w:pPr>
            <w:r>
              <w:rPr>
                <w:color w:val="231F20"/>
                <w:w w:val="75"/>
                <w:sz w:val="14"/>
              </w:rPr>
              <w:t>Syrian</w:t>
            </w:r>
            <w:r>
              <w:rPr>
                <w:color w:val="231F20"/>
                <w:spacing w:val="9"/>
                <w:sz w:val="14"/>
              </w:rPr>
              <w:t> </w:t>
            </w:r>
            <w:r>
              <w:rPr>
                <w:color w:val="231F20"/>
                <w:w w:val="75"/>
                <w:sz w:val="14"/>
              </w:rPr>
              <w:t>Arab</w:t>
            </w:r>
            <w:r>
              <w:rPr>
                <w:color w:val="231F20"/>
                <w:spacing w:val="9"/>
                <w:sz w:val="14"/>
              </w:rPr>
              <w:t> </w:t>
            </w:r>
            <w:r>
              <w:rPr>
                <w:color w:val="231F20"/>
                <w:spacing w:val="-2"/>
                <w:w w:val="75"/>
                <w:sz w:val="14"/>
              </w:rPr>
              <w:t>Republic</w:t>
            </w:r>
          </w:p>
        </w:tc>
        <w:tc>
          <w:tcPr>
            <w:tcW w:w="1632" w:type="dxa"/>
          </w:tcPr>
          <w:p>
            <w:pPr>
              <w:pStyle w:val="TableParagraph"/>
              <w:ind w:left="774"/>
              <w:jc w:val="left"/>
              <w:rPr>
                <w:sz w:val="14"/>
              </w:rPr>
            </w:pPr>
            <w:r>
              <w:rPr>
                <w:color w:val="231F20"/>
                <w:spacing w:val="-4"/>
                <w:w w:val="95"/>
                <w:sz w:val="14"/>
              </w:rPr>
              <w:t>44.5</w:t>
            </w:r>
          </w:p>
        </w:tc>
        <w:tc>
          <w:tcPr>
            <w:tcW w:w="1564" w:type="dxa"/>
          </w:tcPr>
          <w:p>
            <w:pPr>
              <w:pStyle w:val="TableParagraph"/>
              <w:ind w:left="76" w:right="85"/>
              <w:rPr>
                <w:sz w:val="14"/>
              </w:rPr>
            </w:pPr>
            <w:r>
              <w:rPr>
                <w:color w:val="231F20"/>
                <w:spacing w:val="-5"/>
                <w:w w:val="95"/>
                <w:sz w:val="14"/>
              </w:rPr>
              <w:t>9.6</w:t>
            </w:r>
          </w:p>
        </w:tc>
        <w:tc>
          <w:tcPr>
            <w:tcW w:w="1318" w:type="dxa"/>
          </w:tcPr>
          <w:p>
            <w:pPr>
              <w:pStyle w:val="TableParagraph"/>
              <w:ind w:left="192" w:right="2"/>
              <w:rPr>
                <w:sz w:val="14"/>
              </w:rPr>
            </w:pPr>
            <w:r>
              <w:rPr>
                <w:color w:val="231F20"/>
                <w:spacing w:val="-5"/>
                <w:w w:val="95"/>
                <w:sz w:val="14"/>
              </w:rPr>
              <w:t>7.0</w:t>
            </w:r>
          </w:p>
        </w:tc>
        <w:tc>
          <w:tcPr>
            <w:tcW w:w="1728" w:type="dxa"/>
          </w:tcPr>
          <w:p>
            <w:pPr>
              <w:pStyle w:val="TableParagraph"/>
              <w:ind w:left="217" w:right="77"/>
              <w:rPr>
                <w:sz w:val="14"/>
              </w:rPr>
            </w:pPr>
            <w:r>
              <w:rPr>
                <w:color w:val="231F20"/>
                <w:spacing w:val="-4"/>
                <w:w w:val="95"/>
                <w:sz w:val="14"/>
              </w:rPr>
              <w:t>13.0</w:t>
            </w:r>
          </w:p>
        </w:tc>
      </w:tr>
      <w:tr>
        <w:trPr>
          <w:trHeight w:val="259" w:hRule="atLeast"/>
        </w:trPr>
        <w:tc>
          <w:tcPr>
            <w:tcW w:w="1441" w:type="dxa"/>
            <w:shd w:val="clear" w:color="auto" w:fill="D4E3F5"/>
          </w:tcPr>
          <w:p>
            <w:pPr>
              <w:pStyle w:val="TableParagraph"/>
              <w:ind w:left="80"/>
              <w:jc w:val="left"/>
              <w:rPr>
                <w:sz w:val="14"/>
              </w:rPr>
            </w:pPr>
            <w:r>
              <w:rPr>
                <w:color w:val="231F20"/>
                <w:w w:val="75"/>
                <w:sz w:val="14"/>
              </w:rPr>
              <w:t>Taiwan,</w:t>
            </w:r>
            <w:r>
              <w:rPr>
                <w:color w:val="231F20"/>
                <w:spacing w:val="7"/>
                <w:sz w:val="14"/>
              </w:rPr>
              <w:t> </w:t>
            </w:r>
            <w:r>
              <w:rPr>
                <w:color w:val="231F20"/>
                <w:spacing w:val="-2"/>
                <w:w w:val="90"/>
                <w:sz w:val="14"/>
              </w:rPr>
              <w:t>China</w:t>
            </w:r>
          </w:p>
        </w:tc>
        <w:tc>
          <w:tcPr>
            <w:tcW w:w="1632" w:type="dxa"/>
            <w:shd w:val="clear" w:color="auto" w:fill="D4E3F5"/>
          </w:tcPr>
          <w:p>
            <w:pPr>
              <w:pStyle w:val="TableParagraph"/>
              <w:ind w:left="712"/>
              <w:jc w:val="left"/>
              <w:rPr>
                <w:sz w:val="14"/>
              </w:rPr>
            </w:pPr>
            <w:r>
              <w:rPr>
                <w:color w:val="231F20"/>
                <w:spacing w:val="-5"/>
                <w:w w:val="95"/>
                <w:sz w:val="14"/>
              </w:rPr>
              <w:t>103</w:t>
            </w:r>
          </w:p>
        </w:tc>
        <w:tc>
          <w:tcPr>
            <w:tcW w:w="1564" w:type="dxa"/>
            <w:shd w:val="clear" w:color="auto" w:fill="D4E3F5"/>
          </w:tcPr>
          <w:p>
            <w:pPr>
              <w:pStyle w:val="TableParagraph"/>
              <w:ind w:left="76" w:right="85"/>
              <w:rPr>
                <w:sz w:val="14"/>
              </w:rPr>
            </w:pPr>
            <w:r>
              <w:rPr>
                <w:color w:val="231F20"/>
                <w:spacing w:val="-5"/>
                <w:w w:val="95"/>
                <w:sz w:val="14"/>
              </w:rPr>
              <w:t>2.9</w:t>
            </w:r>
          </w:p>
        </w:tc>
        <w:tc>
          <w:tcPr>
            <w:tcW w:w="1318" w:type="dxa"/>
            <w:shd w:val="clear" w:color="auto" w:fill="D4E3F5"/>
          </w:tcPr>
          <w:p>
            <w:pPr>
              <w:pStyle w:val="TableParagraph"/>
              <w:ind w:left="160"/>
              <w:rPr>
                <w:sz w:val="14"/>
              </w:rPr>
            </w:pPr>
            <w:r>
              <w:rPr>
                <w:color w:val="231F20"/>
                <w:spacing w:val="-5"/>
                <w:w w:val="95"/>
                <w:sz w:val="14"/>
              </w:rPr>
              <w:t>2.1</w:t>
            </w:r>
          </w:p>
        </w:tc>
        <w:tc>
          <w:tcPr>
            <w:tcW w:w="1728" w:type="dxa"/>
            <w:shd w:val="clear" w:color="auto" w:fill="D4E3F5"/>
          </w:tcPr>
          <w:p>
            <w:pPr>
              <w:pStyle w:val="TableParagraph"/>
              <w:ind w:left="217" w:right="13"/>
              <w:rPr>
                <w:sz w:val="14"/>
              </w:rPr>
            </w:pPr>
            <w:r>
              <w:rPr>
                <w:color w:val="231F20"/>
                <w:spacing w:val="-5"/>
                <w:w w:val="95"/>
                <w:sz w:val="14"/>
              </w:rPr>
              <w:t>2.8</w:t>
            </w:r>
          </w:p>
        </w:tc>
      </w:tr>
      <w:tr>
        <w:trPr>
          <w:trHeight w:val="259" w:hRule="atLeast"/>
        </w:trPr>
        <w:tc>
          <w:tcPr>
            <w:tcW w:w="1441" w:type="dxa"/>
          </w:tcPr>
          <w:p>
            <w:pPr>
              <w:pStyle w:val="TableParagraph"/>
              <w:ind w:left="80"/>
              <w:jc w:val="left"/>
              <w:rPr>
                <w:sz w:val="14"/>
              </w:rPr>
            </w:pPr>
            <w:r>
              <w:rPr>
                <w:color w:val="231F20"/>
                <w:spacing w:val="-2"/>
                <w:w w:val="90"/>
                <w:sz w:val="14"/>
              </w:rPr>
              <w:t>Tajikistan</w:t>
            </w:r>
          </w:p>
        </w:tc>
        <w:tc>
          <w:tcPr>
            <w:tcW w:w="1632" w:type="dxa"/>
          </w:tcPr>
          <w:p>
            <w:pPr>
              <w:pStyle w:val="TableParagraph"/>
              <w:ind w:left="776"/>
              <w:jc w:val="left"/>
              <w:rPr>
                <w:sz w:val="14"/>
              </w:rPr>
            </w:pPr>
            <w:r>
              <w:rPr>
                <w:color w:val="231F20"/>
                <w:spacing w:val="-5"/>
                <w:w w:val="95"/>
                <w:sz w:val="14"/>
              </w:rPr>
              <w:t>29</w:t>
            </w:r>
          </w:p>
        </w:tc>
        <w:tc>
          <w:tcPr>
            <w:tcW w:w="1564" w:type="dxa"/>
          </w:tcPr>
          <w:p>
            <w:pPr>
              <w:pStyle w:val="TableParagraph"/>
              <w:ind w:left="76" w:right="85"/>
              <w:rPr>
                <w:sz w:val="14"/>
              </w:rPr>
            </w:pPr>
            <w:r>
              <w:rPr>
                <w:color w:val="231F20"/>
                <w:spacing w:val="-5"/>
                <w:w w:val="95"/>
                <w:sz w:val="14"/>
              </w:rPr>
              <w:t>0.0</w:t>
            </w:r>
          </w:p>
        </w:tc>
        <w:tc>
          <w:tcPr>
            <w:tcW w:w="1318" w:type="dxa"/>
          </w:tcPr>
          <w:p>
            <w:pPr>
              <w:pStyle w:val="TableParagraph"/>
              <w:ind w:left="178"/>
              <w:rPr>
                <w:sz w:val="14"/>
              </w:rPr>
            </w:pPr>
            <w:r>
              <w:rPr>
                <w:color w:val="231F20"/>
                <w:spacing w:val="-5"/>
                <w:w w:val="95"/>
                <w:sz w:val="14"/>
              </w:rPr>
              <w:t>0.0</w:t>
            </w:r>
          </w:p>
        </w:tc>
        <w:tc>
          <w:tcPr>
            <w:tcW w:w="1728" w:type="dxa"/>
          </w:tcPr>
          <w:p>
            <w:pPr>
              <w:pStyle w:val="TableParagraph"/>
              <w:ind w:left="217" w:right="13"/>
              <w:rPr>
                <w:sz w:val="14"/>
              </w:rPr>
            </w:pPr>
            <w:r>
              <w:rPr>
                <w:color w:val="231F20"/>
                <w:spacing w:val="-5"/>
                <w:w w:val="95"/>
                <w:sz w:val="14"/>
              </w:rPr>
              <w:t>0.0</w:t>
            </w:r>
          </w:p>
        </w:tc>
      </w:tr>
      <w:tr>
        <w:trPr>
          <w:trHeight w:val="259" w:hRule="atLeast"/>
        </w:trPr>
        <w:tc>
          <w:tcPr>
            <w:tcW w:w="1441" w:type="dxa"/>
            <w:shd w:val="clear" w:color="auto" w:fill="D4E3F5"/>
          </w:tcPr>
          <w:p>
            <w:pPr>
              <w:pStyle w:val="TableParagraph"/>
              <w:ind w:left="80"/>
              <w:jc w:val="left"/>
              <w:rPr>
                <w:sz w:val="14"/>
              </w:rPr>
            </w:pPr>
            <w:r>
              <w:rPr>
                <w:color w:val="231F20"/>
                <w:spacing w:val="-2"/>
                <w:w w:val="90"/>
                <w:sz w:val="14"/>
              </w:rPr>
              <w:t>Thailand</w:t>
            </w:r>
          </w:p>
        </w:tc>
        <w:tc>
          <w:tcPr>
            <w:tcW w:w="1632" w:type="dxa"/>
            <w:shd w:val="clear" w:color="auto" w:fill="D4E3F5"/>
          </w:tcPr>
          <w:p>
            <w:pPr>
              <w:pStyle w:val="TableParagraph"/>
              <w:ind w:left="716"/>
              <w:jc w:val="left"/>
              <w:rPr>
                <w:sz w:val="14"/>
              </w:rPr>
            </w:pPr>
            <w:r>
              <w:rPr>
                <w:color w:val="231F20"/>
                <w:spacing w:val="-5"/>
                <w:w w:val="95"/>
                <w:sz w:val="14"/>
              </w:rPr>
              <w:t>121</w:t>
            </w:r>
          </w:p>
        </w:tc>
        <w:tc>
          <w:tcPr>
            <w:tcW w:w="1564" w:type="dxa"/>
            <w:shd w:val="clear" w:color="auto" w:fill="D4E3F5"/>
          </w:tcPr>
          <w:p>
            <w:pPr>
              <w:pStyle w:val="TableParagraph"/>
              <w:ind w:left="76" w:right="85"/>
              <w:rPr>
                <w:sz w:val="14"/>
              </w:rPr>
            </w:pPr>
            <w:r>
              <w:rPr>
                <w:color w:val="231F20"/>
                <w:spacing w:val="-5"/>
                <w:w w:val="95"/>
                <w:sz w:val="14"/>
              </w:rPr>
              <w:t>2.6</w:t>
            </w:r>
          </w:p>
        </w:tc>
        <w:tc>
          <w:tcPr>
            <w:tcW w:w="1318" w:type="dxa"/>
            <w:shd w:val="clear" w:color="auto" w:fill="D4E3F5"/>
          </w:tcPr>
          <w:p>
            <w:pPr>
              <w:pStyle w:val="TableParagraph"/>
              <w:ind w:left="160"/>
              <w:rPr>
                <w:sz w:val="14"/>
              </w:rPr>
            </w:pPr>
            <w:r>
              <w:rPr>
                <w:color w:val="231F20"/>
                <w:spacing w:val="-5"/>
                <w:w w:val="95"/>
                <w:sz w:val="14"/>
              </w:rPr>
              <w:t>2.1</w:t>
            </w:r>
          </w:p>
        </w:tc>
        <w:tc>
          <w:tcPr>
            <w:tcW w:w="1728" w:type="dxa"/>
            <w:shd w:val="clear" w:color="auto" w:fill="D4E3F5"/>
          </w:tcPr>
          <w:p>
            <w:pPr>
              <w:pStyle w:val="TableParagraph"/>
              <w:ind w:left="217" w:right="13"/>
              <w:rPr>
                <w:sz w:val="14"/>
              </w:rPr>
            </w:pPr>
            <w:r>
              <w:rPr>
                <w:color w:val="231F20"/>
                <w:spacing w:val="-5"/>
                <w:w w:val="95"/>
                <w:sz w:val="14"/>
              </w:rPr>
              <w:t>2.0</w:t>
            </w:r>
          </w:p>
        </w:tc>
      </w:tr>
      <w:tr>
        <w:trPr>
          <w:trHeight w:val="259" w:hRule="atLeast"/>
        </w:trPr>
        <w:tc>
          <w:tcPr>
            <w:tcW w:w="1441" w:type="dxa"/>
          </w:tcPr>
          <w:p>
            <w:pPr>
              <w:pStyle w:val="TableParagraph"/>
              <w:ind w:left="80"/>
              <w:jc w:val="left"/>
              <w:rPr>
                <w:sz w:val="14"/>
              </w:rPr>
            </w:pPr>
            <w:r>
              <w:rPr>
                <w:color w:val="231F20"/>
                <w:spacing w:val="-4"/>
                <w:w w:val="85"/>
                <w:sz w:val="14"/>
              </w:rPr>
              <w:t>Togo</w:t>
            </w:r>
          </w:p>
        </w:tc>
        <w:tc>
          <w:tcPr>
            <w:tcW w:w="1632" w:type="dxa"/>
          </w:tcPr>
          <w:p>
            <w:pPr>
              <w:pStyle w:val="TableParagraph"/>
              <w:ind w:left="789"/>
              <w:jc w:val="left"/>
              <w:rPr>
                <w:sz w:val="14"/>
              </w:rPr>
            </w:pPr>
            <w:r>
              <w:rPr>
                <w:color w:val="231F20"/>
                <w:spacing w:val="-4"/>
                <w:w w:val="95"/>
                <w:sz w:val="14"/>
              </w:rPr>
              <w:t>67.5</w:t>
            </w:r>
          </w:p>
        </w:tc>
        <w:tc>
          <w:tcPr>
            <w:tcW w:w="1564" w:type="dxa"/>
          </w:tcPr>
          <w:p>
            <w:pPr>
              <w:pStyle w:val="TableParagraph"/>
              <w:ind w:left="75" w:right="85"/>
              <w:rPr>
                <w:sz w:val="14"/>
              </w:rPr>
            </w:pPr>
            <w:r>
              <w:rPr>
                <w:color w:val="231F20"/>
                <w:spacing w:val="-5"/>
                <w:w w:val="95"/>
                <w:sz w:val="14"/>
              </w:rPr>
              <w:t>8.0</w:t>
            </w:r>
          </w:p>
        </w:tc>
        <w:tc>
          <w:tcPr>
            <w:tcW w:w="1318" w:type="dxa"/>
          </w:tcPr>
          <w:p>
            <w:pPr>
              <w:pStyle w:val="TableParagraph"/>
              <w:ind w:left="177"/>
              <w:rPr>
                <w:sz w:val="14"/>
              </w:rPr>
            </w:pPr>
            <w:r>
              <w:rPr>
                <w:color w:val="231F20"/>
                <w:spacing w:val="-5"/>
                <w:w w:val="95"/>
                <w:sz w:val="14"/>
              </w:rPr>
              <w:t>3.0</w:t>
            </w:r>
          </w:p>
        </w:tc>
        <w:tc>
          <w:tcPr>
            <w:tcW w:w="1728" w:type="dxa"/>
          </w:tcPr>
          <w:p>
            <w:pPr>
              <w:pStyle w:val="TableParagraph"/>
              <w:ind w:left="217" w:right="12"/>
              <w:rPr>
                <w:sz w:val="14"/>
              </w:rPr>
            </w:pPr>
            <w:r>
              <w:rPr>
                <w:color w:val="231F20"/>
                <w:spacing w:val="-5"/>
                <w:w w:val="95"/>
                <w:sz w:val="14"/>
              </w:rPr>
              <w:t>6.2</w:t>
            </w:r>
          </w:p>
        </w:tc>
      </w:tr>
      <w:tr>
        <w:trPr>
          <w:trHeight w:val="259" w:hRule="atLeast"/>
        </w:trPr>
        <w:tc>
          <w:tcPr>
            <w:tcW w:w="1441" w:type="dxa"/>
            <w:shd w:val="clear" w:color="auto" w:fill="D4E3F5"/>
          </w:tcPr>
          <w:p>
            <w:pPr>
              <w:pStyle w:val="TableParagraph"/>
              <w:ind w:left="80"/>
              <w:jc w:val="left"/>
              <w:rPr>
                <w:sz w:val="14"/>
              </w:rPr>
            </w:pPr>
            <w:r>
              <w:rPr>
                <w:color w:val="231F20"/>
                <w:w w:val="75"/>
                <w:sz w:val="14"/>
              </w:rPr>
              <w:t>Trinidad</w:t>
            </w:r>
            <w:r>
              <w:rPr>
                <w:color w:val="231F20"/>
                <w:spacing w:val="6"/>
                <w:sz w:val="14"/>
              </w:rPr>
              <w:t> </w:t>
            </w:r>
            <w:r>
              <w:rPr>
                <w:color w:val="231F20"/>
                <w:w w:val="75"/>
                <w:sz w:val="14"/>
              </w:rPr>
              <w:t>and</w:t>
            </w:r>
            <w:r>
              <w:rPr>
                <w:color w:val="231F20"/>
                <w:spacing w:val="6"/>
                <w:sz w:val="14"/>
              </w:rPr>
              <w:t> </w:t>
            </w:r>
            <w:r>
              <w:rPr>
                <w:color w:val="231F20"/>
                <w:spacing w:val="-2"/>
                <w:w w:val="75"/>
                <w:sz w:val="14"/>
              </w:rPr>
              <w:t>Tobago</w:t>
            </w:r>
          </w:p>
        </w:tc>
        <w:tc>
          <w:tcPr>
            <w:tcW w:w="1632" w:type="dxa"/>
            <w:shd w:val="clear" w:color="auto" w:fill="D4E3F5"/>
          </w:tcPr>
          <w:p>
            <w:pPr>
              <w:pStyle w:val="TableParagraph"/>
              <w:ind w:left="775"/>
              <w:jc w:val="left"/>
              <w:rPr>
                <w:sz w:val="14"/>
              </w:rPr>
            </w:pPr>
            <w:r>
              <w:rPr>
                <w:color w:val="231F20"/>
                <w:spacing w:val="-4"/>
                <w:w w:val="95"/>
                <w:sz w:val="14"/>
              </w:rPr>
              <w:t>50.5</w:t>
            </w:r>
          </w:p>
        </w:tc>
        <w:tc>
          <w:tcPr>
            <w:tcW w:w="1564" w:type="dxa"/>
            <w:shd w:val="clear" w:color="auto" w:fill="D4E3F5"/>
          </w:tcPr>
          <w:p>
            <w:pPr>
              <w:pStyle w:val="TableParagraph"/>
              <w:ind w:left="12" w:right="85"/>
              <w:rPr>
                <w:sz w:val="14"/>
              </w:rPr>
            </w:pPr>
            <w:r>
              <w:rPr>
                <w:color w:val="231F20"/>
                <w:spacing w:val="-4"/>
                <w:w w:val="95"/>
                <w:sz w:val="14"/>
              </w:rPr>
              <w:t>18.8</w:t>
            </w:r>
          </w:p>
        </w:tc>
        <w:tc>
          <w:tcPr>
            <w:tcW w:w="1318" w:type="dxa"/>
            <w:shd w:val="clear" w:color="auto" w:fill="D4E3F5"/>
          </w:tcPr>
          <w:p>
            <w:pPr>
              <w:pStyle w:val="TableParagraph"/>
              <w:ind w:left="118"/>
              <w:rPr>
                <w:sz w:val="14"/>
              </w:rPr>
            </w:pPr>
            <w:r>
              <w:rPr>
                <w:color w:val="231F20"/>
                <w:spacing w:val="-4"/>
                <w:w w:val="95"/>
                <w:sz w:val="14"/>
              </w:rPr>
              <w:t>14.2</w:t>
            </w:r>
          </w:p>
        </w:tc>
        <w:tc>
          <w:tcPr>
            <w:tcW w:w="1728" w:type="dxa"/>
            <w:shd w:val="clear" w:color="auto" w:fill="D4E3F5"/>
          </w:tcPr>
          <w:p>
            <w:pPr>
              <w:pStyle w:val="TableParagraph"/>
              <w:ind w:left="217" w:right="93"/>
              <w:rPr>
                <w:sz w:val="14"/>
              </w:rPr>
            </w:pPr>
            <w:r>
              <w:rPr>
                <w:color w:val="231F20"/>
                <w:spacing w:val="-4"/>
                <w:w w:val="95"/>
                <w:sz w:val="14"/>
              </w:rPr>
              <w:t>14.1</w:t>
            </w:r>
          </w:p>
        </w:tc>
      </w:tr>
      <w:tr>
        <w:trPr>
          <w:trHeight w:val="259" w:hRule="atLeast"/>
        </w:trPr>
        <w:tc>
          <w:tcPr>
            <w:tcW w:w="1441" w:type="dxa"/>
          </w:tcPr>
          <w:p>
            <w:pPr>
              <w:pStyle w:val="TableParagraph"/>
              <w:ind w:left="80"/>
              <w:jc w:val="left"/>
              <w:rPr>
                <w:sz w:val="14"/>
              </w:rPr>
            </w:pPr>
            <w:r>
              <w:rPr>
                <w:color w:val="231F20"/>
                <w:spacing w:val="-2"/>
                <w:w w:val="90"/>
                <w:sz w:val="14"/>
              </w:rPr>
              <w:t>Türkiye</w:t>
            </w:r>
          </w:p>
        </w:tc>
        <w:tc>
          <w:tcPr>
            <w:tcW w:w="1632" w:type="dxa"/>
          </w:tcPr>
          <w:p>
            <w:pPr>
              <w:pStyle w:val="TableParagraph"/>
              <w:ind w:left="711"/>
              <w:jc w:val="left"/>
              <w:rPr>
                <w:sz w:val="14"/>
              </w:rPr>
            </w:pPr>
            <w:r>
              <w:rPr>
                <w:color w:val="231F20"/>
                <w:spacing w:val="-2"/>
                <w:w w:val="95"/>
                <w:sz w:val="14"/>
              </w:rPr>
              <w:t>133.5</w:t>
            </w:r>
          </w:p>
        </w:tc>
        <w:tc>
          <w:tcPr>
            <w:tcW w:w="1564" w:type="dxa"/>
          </w:tcPr>
          <w:p>
            <w:pPr>
              <w:pStyle w:val="TableParagraph"/>
              <w:ind w:left="76" w:right="85"/>
              <w:rPr>
                <w:sz w:val="14"/>
              </w:rPr>
            </w:pPr>
            <w:r>
              <w:rPr>
                <w:color w:val="231F20"/>
                <w:spacing w:val="-5"/>
                <w:w w:val="95"/>
                <w:sz w:val="14"/>
              </w:rPr>
              <w:t>9.6</w:t>
            </w:r>
          </w:p>
        </w:tc>
        <w:tc>
          <w:tcPr>
            <w:tcW w:w="1318" w:type="dxa"/>
          </w:tcPr>
          <w:p>
            <w:pPr>
              <w:pStyle w:val="TableParagraph"/>
              <w:ind w:left="175"/>
              <w:rPr>
                <w:sz w:val="14"/>
              </w:rPr>
            </w:pPr>
            <w:r>
              <w:rPr>
                <w:color w:val="231F20"/>
                <w:spacing w:val="-5"/>
                <w:w w:val="95"/>
                <w:sz w:val="14"/>
              </w:rPr>
              <w:t>5.4</w:t>
            </w:r>
          </w:p>
        </w:tc>
        <w:tc>
          <w:tcPr>
            <w:tcW w:w="1728" w:type="dxa"/>
          </w:tcPr>
          <w:p>
            <w:pPr>
              <w:pStyle w:val="TableParagraph"/>
              <w:ind w:left="217" w:right="13"/>
              <w:rPr>
                <w:sz w:val="14"/>
              </w:rPr>
            </w:pPr>
            <w:r>
              <w:rPr>
                <w:color w:val="231F20"/>
                <w:spacing w:val="-5"/>
                <w:w w:val="95"/>
                <w:sz w:val="14"/>
              </w:rPr>
              <w:t>9.9</w:t>
            </w:r>
          </w:p>
        </w:tc>
      </w:tr>
      <w:tr>
        <w:trPr>
          <w:trHeight w:val="259" w:hRule="atLeast"/>
        </w:trPr>
        <w:tc>
          <w:tcPr>
            <w:tcW w:w="1441" w:type="dxa"/>
            <w:shd w:val="clear" w:color="auto" w:fill="D4E3F5"/>
          </w:tcPr>
          <w:p>
            <w:pPr>
              <w:pStyle w:val="TableParagraph"/>
              <w:ind w:left="80"/>
              <w:jc w:val="left"/>
              <w:rPr>
                <w:sz w:val="14"/>
              </w:rPr>
            </w:pPr>
            <w:r>
              <w:rPr>
                <w:color w:val="231F20"/>
                <w:spacing w:val="-2"/>
                <w:w w:val="90"/>
                <w:sz w:val="14"/>
              </w:rPr>
              <w:t>Ukraine</w:t>
            </w:r>
          </w:p>
        </w:tc>
        <w:tc>
          <w:tcPr>
            <w:tcW w:w="1632" w:type="dxa"/>
            <w:shd w:val="clear" w:color="auto" w:fill="D4E3F5"/>
          </w:tcPr>
          <w:p>
            <w:pPr>
              <w:pStyle w:val="TableParagraph"/>
              <w:ind w:left="713"/>
              <w:jc w:val="left"/>
              <w:rPr>
                <w:sz w:val="14"/>
              </w:rPr>
            </w:pPr>
            <w:r>
              <w:rPr>
                <w:color w:val="231F20"/>
                <w:spacing w:val="-2"/>
                <w:w w:val="95"/>
                <w:sz w:val="14"/>
              </w:rPr>
              <w:t>129.5</w:t>
            </w:r>
          </w:p>
        </w:tc>
        <w:tc>
          <w:tcPr>
            <w:tcW w:w="1564" w:type="dxa"/>
            <w:shd w:val="clear" w:color="auto" w:fill="D4E3F5"/>
          </w:tcPr>
          <w:p>
            <w:pPr>
              <w:pStyle w:val="TableParagraph"/>
              <w:ind w:left="76" w:right="85"/>
              <w:rPr>
                <w:sz w:val="14"/>
              </w:rPr>
            </w:pPr>
            <w:r>
              <w:rPr>
                <w:color w:val="231F20"/>
                <w:spacing w:val="-5"/>
                <w:w w:val="95"/>
                <w:sz w:val="14"/>
              </w:rPr>
              <w:t>5.0</w:t>
            </w:r>
          </w:p>
        </w:tc>
        <w:tc>
          <w:tcPr>
            <w:tcW w:w="1318" w:type="dxa"/>
            <w:shd w:val="clear" w:color="auto" w:fill="D4E3F5"/>
          </w:tcPr>
          <w:p>
            <w:pPr>
              <w:pStyle w:val="TableParagraph"/>
              <w:ind w:left="179"/>
              <w:rPr>
                <w:sz w:val="14"/>
              </w:rPr>
            </w:pPr>
            <w:r>
              <w:rPr>
                <w:color w:val="231F20"/>
                <w:spacing w:val="-5"/>
                <w:w w:val="95"/>
                <w:sz w:val="14"/>
              </w:rPr>
              <w:t>3.9</w:t>
            </w:r>
          </w:p>
        </w:tc>
        <w:tc>
          <w:tcPr>
            <w:tcW w:w="1728" w:type="dxa"/>
            <w:shd w:val="clear" w:color="auto" w:fill="D4E3F5"/>
          </w:tcPr>
          <w:p>
            <w:pPr>
              <w:pStyle w:val="TableParagraph"/>
              <w:ind w:left="217" w:right="14"/>
              <w:rPr>
                <w:sz w:val="14"/>
              </w:rPr>
            </w:pPr>
            <w:r>
              <w:rPr>
                <w:color w:val="231F20"/>
                <w:spacing w:val="-5"/>
                <w:w w:val="95"/>
                <w:sz w:val="14"/>
              </w:rPr>
              <w:t>3.6</w:t>
            </w:r>
          </w:p>
        </w:tc>
      </w:tr>
      <w:tr>
        <w:trPr>
          <w:trHeight w:val="259" w:hRule="atLeast"/>
        </w:trPr>
        <w:tc>
          <w:tcPr>
            <w:tcW w:w="1441" w:type="dxa"/>
          </w:tcPr>
          <w:p>
            <w:pPr>
              <w:pStyle w:val="TableParagraph"/>
              <w:ind w:left="80"/>
              <w:jc w:val="left"/>
              <w:rPr>
                <w:sz w:val="14"/>
              </w:rPr>
            </w:pPr>
            <w:r>
              <w:rPr>
                <w:color w:val="231F20"/>
                <w:w w:val="75"/>
                <w:sz w:val="14"/>
              </w:rPr>
              <w:t>United</w:t>
            </w:r>
            <w:r>
              <w:rPr>
                <w:color w:val="231F20"/>
                <w:spacing w:val="9"/>
                <w:sz w:val="14"/>
              </w:rPr>
              <w:t> </w:t>
            </w:r>
            <w:r>
              <w:rPr>
                <w:color w:val="231F20"/>
                <w:w w:val="75"/>
                <w:sz w:val="14"/>
              </w:rPr>
              <w:t>Arab</w:t>
            </w:r>
            <w:r>
              <w:rPr>
                <w:color w:val="231F20"/>
                <w:spacing w:val="9"/>
                <w:sz w:val="14"/>
              </w:rPr>
              <w:t> </w:t>
            </w:r>
            <w:r>
              <w:rPr>
                <w:color w:val="231F20"/>
                <w:spacing w:val="-2"/>
                <w:w w:val="75"/>
                <w:sz w:val="14"/>
              </w:rPr>
              <w:t>Emirates</w:t>
            </w:r>
          </w:p>
        </w:tc>
        <w:tc>
          <w:tcPr>
            <w:tcW w:w="1632" w:type="dxa"/>
          </w:tcPr>
          <w:p>
            <w:pPr>
              <w:pStyle w:val="TableParagraph"/>
              <w:ind w:left="722"/>
              <w:jc w:val="left"/>
              <w:rPr>
                <w:sz w:val="14"/>
              </w:rPr>
            </w:pPr>
            <w:r>
              <w:rPr>
                <w:color w:val="231F20"/>
                <w:spacing w:val="-2"/>
                <w:w w:val="95"/>
                <w:sz w:val="14"/>
              </w:rPr>
              <w:t>131.5</w:t>
            </w:r>
          </w:p>
        </w:tc>
        <w:tc>
          <w:tcPr>
            <w:tcW w:w="1564" w:type="dxa"/>
          </w:tcPr>
          <w:p>
            <w:pPr>
              <w:pStyle w:val="TableParagraph"/>
              <w:ind w:left="76" w:right="85"/>
              <w:rPr>
                <w:sz w:val="14"/>
              </w:rPr>
            </w:pPr>
            <w:r>
              <w:rPr>
                <w:color w:val="231F20"/>
                <w:spacing w:val="-5"/>
                <w:w w:val="95"/>
                <w:sz w:val="14"/>
              </w:rPr>
              <w:t>5.5</w:t>
            </w:r>
          </w:p>
        </w:tc>
        <w:tc>
          <w:tcPr>
            <w:tcW w:w="1318" w:type="dxa"/>
          </w:tcPr>
          <w:p>
            <w:pPr>
              <w:pStyle w:val="TableParagraph"/>
              <w:ind w:left="166"/>
              <w:rPr>
                <w:sz w:val="14"/>
              </w:rPr>
            </w:pPr>
            <w:r>
              <w:rPr>
                <w:color w:val="231F20"/>
                <w:spacing w:val="-5"/>
                <w:w w:val="95"/>
                <w:sz w:val="14"/>
              </w:rPr>
              <w:t>1.1</w:t>
            </w:r>
          </w:p>
        </w:tc>
        <w:tc>
          <w:tcPr>
            <w:tcW w:w="1728" w:type="dxa"/>
          </w:tcPr>
          <w:p>
            <w:pPr>
              <w:pStyle w:val="TableParagraph"/>
              <w:ind w:left="217" w:right="6"/>
              <w:rPr>
                <w:sz w:val="14"/>
              </w:rPr>
            </w:pPr>
            <w:r>
              <w:rPr>
                <w:color w:val="231F20"/>
                <w:spacing w:val="-5"/>
                <w:w w:val="95"/>
                <w:sz w:val="14"/>
              </w:rPr>
              <w:t>1.5</w:t>
            </w:r>
          </w:p>
        </w:tc>
      </w:tr>
      <w:tr>
        <w:trPr>
          <w:trHeight w:val="259" w:hRule="atLeast"/>
        </w:trPr>
        <w:tc>
          <w:tcPr>
            <w:tcW w:w="1441" w:type="dxa"/>
            <w:shd w:val="clear" w:color="auto" w:fill="D4E3F5"/>
          </w:tcPr>
          <w:p>
            <w:pPr>
              <w:pStyle w:val="TableParagraph"/>
              <w:ind w:left="80"/>
              <w:jc w:val="left"/>
              <w:rPr>
                <w:sz w:val="14"/>
              </w:rPr>
            </w:pPr>
            <w:r>
              <w:rPr>
                <w:color w:val="231F20"/>
                <w:w w:val="75"/>
                <w:sz w:val="14"/>
              </w:rPr>
              <w:t>United</w:t>
            </w:r>
            <w:r>
              <w:rPr>
                <w:color w:val="231F20"/>
                <w:spacing w:val="9"/>
                <w:sz w:val="14"/>
              </w:rPr>
              <w:t> </w:t>
            </w:r>
            <w:r>
              <w:rPr>
                <w:color w:val="231F20"/>
                <w:spacing w:val="-2"/>
                <w:w w:val="90"/>
                <w:sz w:val="14"/>
              </w:rPr>
              <w:t>Kingdom</w:t>
            </w:r>
          </w:p>
        </w:tc>
        <w:tc>
          <w:tcPr>
            <w:tcW w:w="1632" w:type="dxa"/>
            <w:shd w:val="clear" w:color="auto" w:fill="D4E3F5"/>
          </w:tcPr>
          <w:p>
            <w:pPr>
              <w:pStyle w:val="TableParagraph"/>
              <w:ind w:left="714"/>
              <w:jc w:val="left"/>
              <w:rPr>
                <w:sz w:val="14"/>
              </w:rPr>
            </w:pPr>
            <w:r>
              <w:rPr>
                <w:color w:val="231F20"/>
                <w:spacing w:val="-2"/>
                <w:w w:val="95"/>
                <w:sz w:val="14"/>
              </w:rPr>
              <w:t>139.5</w:t>
            </w:r>
          </w:p>
        </w:tc>
        <w:tc>
          <w:tcPr>
            <w:tcW w:w="1564" w:type="dxa"/>
            <w:shd w:val="clear" w:color="auto" w:fill="D4E3F5"/>
          </w:tcPr>
          <w:p>
            <w:pPr>
              <w:pStyle w:val="TableParagraph"/>
              <w:ind w:left="74" w:right="85"/>
              <w:rPr>
                <w:sz w:val="14"/>
              </w:rPr>
            </w:pPr>
            <w:r>
              <w:rPr>
                <w:color w:val="231F20"/>
                <w:spacing w:val="-5"/>
                <w:w w:val="95"/>
                <w:sz w:val="14"/>
              </w:rPr>
              <w:t>2.4</w:t>
            </w:r>
          </w:p>
        </w:tc>
        <w:tc>
          <w:tcPr>
            <w:tcW w:w="1318" w:type="dxa"/>
            <w:shd w:val="clear" w:color="auto" w:fill="D4E3F5"/>
          </w:tcPr>
          <w:p>
            <w:pPr>
              <w:pStyle w:val="TableParagraph"/>
              <w:ind w:left="192" w:right="8"/>
              <w:rPr>
                <w:sz w:val="14"/>
              </w:rPr>
            </w:pPr>
            <w:r>
              <w:rPr>
                <w:color w:val="231F20"/>
                <w:spacing w:val="-5"/>
                <w:w w:val="95"/>
                <w:sz w:val="14"/>
              </w:rPr>
              <w:t>1.0</w:t>
            </w:r>
          </w:p>
        </w:tc>
        <w:tc>
          <w:tcPr>
            <w:tcW w:w="1728" w:type="dxa"/>
            <w:shd w:val="clear" w:color="auto" w:fill="D4E3F5"/>
          </w:tcPr>
          <w:p>
            <w:pPr>
              <w:pStyle w:val="TableParagraph"/>
              <w:ind w:left="217" w:right="13"/>
              <w:rPr>
                <w:sz w:val="14"/>
              </w:rPr>
            </w:pPr>
            <w:r>
              <w:rPr>
                <w:color w:val="231F20"/>
                <w:spacing w:val="-5"/>
                <w:w w:val="95"/>
                <w:sz w:val="14"/>
              </w:rPr>
              <w:t>2.5</w:t>
            </w:r>
          </w:p>
        </w:tc>
      </w:tr>
      <w:tr>
        <w:trPr>
          <w:trHeight w:val="259" w:hRule="atLeast"/>
        </w:trPr>
        <w:tc>
          <w:tcPr>
            <w:tcW w:w="1441" w:type="dxa"/>
          </w:tcPr>
          <w:p>
            <w:pPr>
              <w:pStyle w:val="TableParagraph"/>
              <w:ind w:left="80"/>
              <w:jc w:val="left"/>
              <w:rPr>
                <w:sz w:val="14"/>
              </w:rPr>
            </w:pPr>
            <w:r>
              <w:rPr>
                <w:color w:val="231F20"/>
                <w:w w:val="75"/>
                <w:sz w:val="14"/>
              </w:rPr>
              <w:t>United</w:t>
            </w:r>
            <w:r>
              <w:rPr>
                <w:color w:val="231F20"/>
                <w:spacing w:val="9"/>
                <w:sz w:val="14"/>
              </w:rPr>
              <w:t> </w:t>
            </w:r>
            <w:r>
              <w:rPr>
                <w:color w:val="231F20"/>
                <w:spacing w:val="-2"/>
                <w:w w:val="90"/>
                <w:sz w:val="14"/>
              </w:rPr>
              <w:t>States</w:t>
            </w:r>
          </w:p>
        </w:tc>
        <w:tc>
          <w:tcPr>
            <w:tcW w:w="1632" w:type="dxa"/>
          </w:tcPr>
          <w:p>
            <w:pPr>
              <w:pStyle w:val="TableParagraph"/>
              <w:ind w:left="714"/>
              <w:jc w:val="left"/>
              <w:rPr>
                <w:sz w:val="14"/>
              </w:rPr>
            </w:pPr>
            <w:r>
              <w:rPr>
                <w:color w:val="231F20"/>
                <w:spacing w:val="-2"/>
                <w:w w:val="95"/>
                <w:sz w:val="14"/>
              </w:rPr>
              <w:t>149.5</w:t>
            </w:r>
          </w:p>
        </w:tc>
        <w:tc>
          <w:tcPr>
            <w:tcW w:w="1564" w:type="dxa"/>
          </w:tcPr>
          <w:p>
            <w:pPr>
              <w:pStyle w:val="TableParagraph"/>
              <w:ind w:left="57" w:right="85"/>
              <w:rPr>
                <w:sz w:val="14"/>
              </w:rPr>
            </w:pPr>
            <w:r>
              <w:rPr>
                <w:color w:val="231F20"/>
                <w:spacing w:val="-5"/>
                <w:w w:val="95"/>
                <w:sz w:val="14"/>
              </w:rPr>
              <w:t>5.1</w:t>
            </w:r>
          </w:p>
        </w:tc>
        <w:tc>
          <w:tcPr>
            <w:tcW w:w="1318" w:type="dxa"/>
          </w:tcPr>
          <w:p>
            <w:pPr>
              <w:pStyle w:val="TableParagraph"/>
              <w:ind w:left="179"/>
              <w:rPr>
                <w:sz w:val="14"/>
              </w:rPr>
            </w:pPr>
            <w:r>
              <w:rPr>
                <w:color w:val="231F20"/>
                <w:spacing w:val="-5"/>
                <w:w w:val="95"/>
                <w:sz w:val="14"/>
              </w:rPr>
              <w:t>3.9</w:t>
            </w:r>
          </w:p>
        </w:tc>
        <w:tc>
          <w:tcPr>
            <w:tcW w:w="1728" w:type="dxa"/>
          </w:tcPr>
          <w:p>
            <w:pPr>
              <w:pStyle w:val="TableParagraph"/>
              <w:ind w:left="217" w:right="12"/>
              <w:rPr>
                <w:sz w:val="14"/>
              </w:rPr>
            </w:pPr>
            <w:r>
              <w:rPr>
                <w:color w:val="231F20"/>
                <w:spacing w:val="-5"/>
                <w:w w:val="95"/>
                <w:sz w:val="14"/>
              </w:rPr>
              <w:t>3.8</w:t>
            </w:r>
          </w:p>
        </w:tc>
      </w:tr>
      <w:tr>
        <w:trPr>
          <w:trHeight w:val="259" w:hRule="atLeast"/>
        </w:trPr>
        <w:tc>
          <w:tcPr>
            <w:tcW w:w="1441" w:type="dxa"/>
            <w:shd w:val="clear" w:color="auto" w:fill="D4E3F5"/>
          </w:tcPr>
          <w:p>
            <w:pPr>
              <w:pStyle w:val="TableParagraph"/>
              <w:ind w:left="80"/>
              <w:jc w:val="left"/>
              <w:rPr>
                <w:sz w:val="14"/>
              </w:rPr>
            </w:pPr>
            <w:r>
              <w:rPr>
                <w:color w:val="231F20"/>
                <w:spacing w:val="-2"/>
                <w:w w:val="85"/>
                <w:sz w:val="14"/>
              </w:rPr>
              <w:t>Uruguay</w:t>
            </w:r>
          </w:p>
        </w:tc>
        <w:tc>
          <w:tcPr>
            <w:tcW w:w="1632" w:type="dxa"/>
            <w:shd w:val="clear" w:color="auto" w:fill="D4E3F5"/>
          </w:tcPr>
          <w:p>
            <w:pPr>
              <w:pStyle w:val="TableParagraph"/>
              <w:ind w:left="774"/>
              <w:jc w:val="left"/>
              <w:rPr>
                <w:sz w:val="14"/>
              </w:rPr>
            </w:pPr>
            <w:r>
              <w:rPr>
                <w:color w:val="231F20"/>
                <w:spacing w:val="-4"/>
                <w:w w:val="95"/>
                <w:sz w:val="14"/>
              </w:rPr>
              <w:t>85.5</w:t>
            </w:r>
          </w:p>
        </w:tc>
        <w:tc>
          <w:tcPr>
            <w:tcW w:w="1564" w:type="dxa"/>
            <w:shd w:val="clear" w:color="auto" w:fill="D4E3F5"/>
          </w:tcPr>
          <w:p>
            <w:pPr>
              <w:pStyle w:val="TableParagraph"/>
              <w:ind w:left="76" w:right="85"/>
              <w:rPr>
                <w:sz w:val="14"/>
              </w:rPr>
            </w:pPr>
            <w:r>
              <w:rPr>
                <w:color w:val="231F20"/>
                <w:spacing w:val="-5"/>
                <w:w w:val="95"/>
                <w:sz w:val="14"/>
              </w:rPr>
              <w:t>9.9</w:t>
            </w:r>
          </w:p>
        </w:tc>
        <w:tc>
          <w:tcPr>
            <w:tcW w:w="1318" w:type="dxa"/>
            <w:shd w:val="clear" w:color="auto" w:fill="D4E3F5"/>
          </w:tcPr>
          <w:p>
            <w:pPr>
              <w:pStyle w:val="TableParagraph"/>
              <w:ind w:left="174"/>
              <w:rPr>
                <w:sz w:val="14"/>
              </w:rPr>
            </w:pPr>
            <w:r>
              <w:rPr>
                <w:color w:val="231F20"/>
                <w:spacing w:val="-5"/>
                <w:w w:val="95"/>
                <w:sz w:val="14"/>
              </w:rPr>
              <w:t>4.7</w:t>
            </w:r>
          </w:p>
        </w:tc>
        <w:tc>
          <w:tcPr>
            <w:tcW w:w="1728" w:type="dxa"/>
            <w:shd w:val="clear" w:color="auto" w:fill="D4E3F5"/>
          </w:tcPr>
          <w:p>
            <w:pPr>
              <w:pStyle w:val="TableParagraph"/>
              <w:ind w:left="217" w:right="76"/>
              <w:rPr>
                <w:sz w:val="14"/>
              </w:rPr>
            </w:pPr>
            <w:r>
              <w:rPr>
                <w:color w:val="231F20"/>
                <w:spacing w:val="-4"/>
                <w:w w:val="95"/>
                <w:sz w:val="14"/>
              </w:rPr>
              <w:t>12.9</w:t>
            </w:r>
          </w:p>
        </w:tc>
      </w:tr>
      <w:tr>
        <w:trPr>
          <w:trHeight w:val="259" w:hRule="atLeast"/>
        </w:trPr>
        <w:tc>
          <w:tcPr>
            <w:tcW w:w="1441" w:type="dxa"/>
          </w:tcPr>
          <w:p>
            <w:pPr>
              <w:pStyle w:val="TableParagraph"/>
              <w:ind w:left="80"/>
              <w:jc w:val="left"/>
              <w:rPr>
                <w:sz w:val="14"/>
              </w:rPr>
            </w:pPr>
            <w:r>
              <w:rPr>
                <w:color w:val="231F20"/>
                <w:spacing w:val="-2"/>
                <w:w w:val="85"/>
                <w:sz w:val="14"/>
              </w:rPr>
              <w:t>Uzbekistan</w:t>
            </w:r>
          </w:p>
        </w:tc>
        <w:tc>
          <w:tcPr>
            <w:tcW w:w="1632" w:type="dxa"/>
          </w:tcPr>
          <w:p>
            <w:pPr>
              <w:pStyle w:val="TableParagraph"/>
              <w:ind w:left="773"/>
              <w:jc w:val="left"/>
              <w:rPr>
                <w:sz w:val="14"/>
              </w:rPr>
            </w:pPr>
            <w:r>
              <w:rPr>
                <w:color w:val="231F20"/>
                <w:spacing w:val="-4"/>
                <w:w w:val="95"/>
                <w:sz w:val="14"/>
              </w:rPr>
              <w:t>33.5</w:t>
            </w:r>
          </w:p>
        </w:tc>
        <w:tc>
          <w:tcPr>
            <w:tcW w:w="1564" w:type="dxa"/>
          </w:tcPr>
          <w:p>
            <w:pPr>
              <w:pStyle w:val="TableParagraph"/>
              <w:ind w:left="76" w:right="85"/>
              <w:rPr>
                <w:sz w:val="14"/>
              </w:rPr>
            </w:pPr>
            <w:r>
              <w:rPr>
                <w:color w:val="231F20"/>
                <w:spacing w:val="-5"/>
                <w:w w:val="95"/>
                <w:sz w:val="14"/>
              </w:rPr>
              <w:t>5.5</w:t>
            </w:r>
          </w:p>
        </w:tc>
        <w:tc>
          <w:tcPr>
            <w:tcW w:w="1318" w:type="dxa"/>
          </w:tcPr>
          <w:p>
            <w:pPr>
              <w:pStyle w:val="TableParagraph"/>
              <w:ind w:left="178"/>
              <w:rPr>
                <w:sz w:val="14"/>
              </w:rPr>
            </w:pPr>
            <w:r>
              <w:rPr>
                <w:color w:val="231F20"/>
                <w:spacing w:val="-5"/>
                <w:w w:val="95"/>
                <w:sz w:val="14"/>
              </w:rPr>
              <w:t>4.0</w:t>
            </w:r>
          </w:p>
        </w:tc>
        <w:tc>
          <w:tcPr>
            <w:tcW w:w="1728" w:type="dxa"/>
          </w:tcPr>
          <w:p>
            <w:pPr>
              <w:pStyle w:val="TableParagraph"/>
              <w:ind w:left="217" w:right="12"/>
              <w:rPr>
                <w:sz w:val="14"/>
              </w:rPr>
            </w:pPr>
            <w:r>
              <w:rPr>
                <w:color w:val="231F20"/>
                <w:spacing w:val="-5"/>
                <w:w w:val="95"/>
                <w:sz w:val="14"/>
              </w:rPr>
              <w:t>3.3</w:t>
            </w:r>
          </w:p>
        </w:tc>
      </w:tr>
      <w:tr>
        <w:trPr>
          <w:trHeight w:val="259" w:hRule="atLeast"/>
        </w:trPr>
        <w:tc>
          <w:tcPr>
            <w:tcW w:w="1441" w:type="dxa"/>
            <w:shd w:val="clear" w:color="auto" w:fill="D4E3F5"/>
          </w:tcPr>
          <w:p>
            <w:pPr>
              <w:pStyle w:val="TableParagraph"/>
              <w:ind w:left="80"/>
              <w:jc w:val="left"/>
              <w:rPr>
                <w:sz w:val="14"/>
              </w:rPr>
            </w:pPr>
            <w:r>
              <w:rPr>
                <w:color w:val="231F20"/>
                <w:w w:val="75"/>
                <w:sz w:val="14"/>
              </w:rPr>
              <w:t>Venezuela,</w:t>
            </w:r>
            <w:r>
              <w:rPr>
                <w:color w:val="231F20"/>
                <w:spacing w:val="7"/>
                <w:sz w:val="14"/>
              </w:rPr>
              <w:t> </w:t>
            </w:r>
            <w:r>
              <w:rPr>
                <w:color w:val="231F20"/>
                <w:spacing w:val="-5"/>
                <w:w w:val="85"/>
                <w:sz w:val="14"/>
              </w:rPr>
              <w:t>RB</w:t>
            </w:r>
          </w:p>
        </w:tc>
        <w:tc>
          <w:tcPr>
            <w:tcW w:w="1632" w:type="dxa"/>
            <w:shd w:val="clear" w:color="auto" w:fill="D4E3F5"/>
          </w:tcPr>
          <w:p>
            <w:pPr>
              <w:pStyle w:val="TableParagraph"/>
              <w:ind w:left="779"/>
              <w:jc w:val="left"/>
              <w:rPr>
                <w:sz w:val="14"/>
              </w:rPr>
            </w:pPr>
            <w:r>
              <w:rPr>
                <w:color w:val="231F20"/>
                <w:spacing w:val="-5"/>
                <w:w w:val="95"/>
                <w:sz w:val="14"/>
              </w:rPr>
              <w:t>37</w:t>
            </w:r>
          </w:p>
        </w:tc>
        <w:tc>
          <w:tcPr>
            <w:tcW w:w="1564" w:type="dxa"/>
            <w:shd w:val="clear" w:color="auto" w:fill="D4E3F5"/>
          </w:tcPr>
          <w:p>
            <w:pPr>
              <w:pStyle w:val="TableParagraph"/>
              <w:ind w:left="16" w:right="85"/>
              <w:rPr>
                <w:sz w:val="14"/>
              </w:rPr>
            </w:pPr>
            <w:r>
              <w:rPr>
                <w:color w:val="231F20"/>
                <w:spacing w:val="-4"/>
                <w:w w:val="95"/>
                <w:sz w:val="14"/>
              </w:rPr>
              <w:t>37.7</w:t>
            </w:r>
          </w:p>
        </w:tc>
        <w:tc>
          <w:tcPr>
            <w:tcW w:w="1318" w:type="dxa"/>
            <w:shd w:val="clear" w:color="auto" w:fill="D4E3F5"/>
          </w:tcPr>
          <w:p>
            <w:pPr>
              <w:pStyle w:val="TableParagraph"/>
              <w:ind w:left="97"/>
              <w:rPr>
                <w:sz w:val="14"/>
              </w:rPr>
            </w:pPr>
            <w:r>
              <w:rPr>
                <w:color w:val="231F20"/>
                <w:spacing w:val="-4"/>
                <w:w w:val="95"/>
                <w:sz w:val="14"/>
              </w:rPr>
              <w:t>21.1</w:t>
            </w:r>
          </w:p>
        </w:tc>
        <w:tc>
          <w:tcPr>
            <w:tcW w:w="1728" w:type="dxa"/>
            <w:shd w:val="clear" w:color="auto" w:fill="D4E3F5"/>
          </w:tcPr>
          <w:p>
            <w:pPr>
              <w:pStyle w:val="TableParagraph"/>
              <w:ind w:left="217" w:right="68"/>
              <w:rPr>
                <w:sz w:val="14"/>
              </w:rPr>
            </w:pPr>
            <w:r>
              <w:rPr>
                <w:color w:val="231F20"/>
                <w:spacing w:val="-4"/>
                <w:w w:val="95"/>
                <w:sz w:val="14"/>
              </w:rPr>
              <w:t>47.6</w:t>
            </w:r>
          </w:p>
        </w:tc>
      </w:tr>
      <w:tr>
        <w:trPr>
          <w:trHeight w:val="259" w:hRule="atLeast"/>
        </w:trPr>
        <w:tc>
          <w:tcPr>
            <w:tcW w:w="1441" w:type="dxa"/>
          </w:tcPr>
          <w:p>
            <w:pPr>
              <w:pStyle w:val="TableParagraph"/>
              <w:ind w:left="80"/>
              <w:jc w:val="left"/>
              <w:rPr>
                <w:sz w:val="14"/>
              </w:rPr>
            </w:pPr>
            <w:r>
              <w:rPr>
                <w:color w:val="231F20"/>
                <w:spacing w:val="-2"/>
                <w:w w:val="90"/>
                <w:sz w:val="14"/>
              </w:rPr>
              <w:t>Vietnam</w:t>
            </w:r>
          </w:p>
        </w:tc>
        <w:tc>
          <w:tcPr>
            <w:tcW w:w="1632" w:type="dxa"/>
          </w:tcPr>
          <w:p>
            <w:pPr>
              <w:pStyle w:val="TableParagraph"/>
              <w:ind w:left="710"/>
              <w:jc w:val="left"/>
              <w:rPr>
                <w:sz w:val="14"/>
              </w:rPr>
            </w:pPr>
            <w:r>
              <w:rPr>
                <w:color w:val="231F20"/>
                <w:spacing w:val="-2"/>
                <w:w w:val="95"/>
                <w:sz w:val="14"/>
              </w:rPr>
              <w:t>103.5</w:t>
            </w:r>
          </w:p>
        </w:tc>
        <w:tc>
          <w:tcPr>
            <w:tcW w:w="1564" w:type="dxa"/>
          </w:tcPr>
          <w:p>
            <w:pPr>
              <w:pStyle w:val="TableParagraph"/>
              <w:ind w:left="76" w:right="85"/>
              <w:rPr>
                <w:sz w:val="14"/>
              </w:rPr>
            </w:pPr>
            <w:r>
              <w:rPr>
                <w:color w:val="231F20"/>
                <w:spacing w:val="-5"/>
                <w:w w:val="95"/>
                <w:sz w:val="14"/>
              </w:rPr>
              <w:t>8.2</w:t>
            </w:r>
          </w:p>
        </w:tc>
        <w:tc>
          <w:tcPr>
            <w:tcW w:w="1318" w:type="dxa"/>
          </w:tcPr>
          <w:p>
            <w:pPr>
              <w:pStyle w:val="TableParagraph"/>
              <w:ind w:left="178"/>
              <w:rPr>
                <w:sz w:val="14"/>
              </w:rPr>
            </w:pPr>
            <w:r>
              <w:rPr>
                <w:color w:val="231F20"/>
                <w:spacing w:val="-5"/>
                <w:w w:val="95"/>
                <w:sz w:val="14"/>
              </w:rPr>
              <w:t>5.0</w:t>
            </w:r>
          </w:p>
        </w:tc>
        <w:tc>
          <w:tcPr>
            <w:tcW w:w="1728" w:type="dxa"/>
          </w:tcPr>
          <w:p>
            <w:pPr>
              <w:pStyle w:val="TableParagraph"/>
              <w:ind w:left="217" w:right="12"/>
              <w:rPr>
                <w:sz w:val="14"/>
              </w:rPr>
            </w:pPr>
            <w:r>
              <w:rPr>
                <w:color w:val="231F20"/>
                <w:spacing w:val="-5"/>
                <w:w w:val="95"/>
                <w:sz w:val="14"/>
              </w:rPr>
              <w:t>8.9</w:t>
            </w:r>
          </w:p>
        </w:tc>
      </w:tr>
      <w:tr>
        <w:trPr>
          <w:trHeight w:val="254" w:hRule="atLeast"/>
        </w:trPr>
        <w:tc>
          <w:tcPr>
            <w:tcW w:w="1441" w:type="dxa"/>
            <w:tcBorders>
              <w:bottom w:val="single" w:sz="4" w:space="0" w:color="008FDD"/>
            </w:tcBorders>
            <w:shd w:val="clear" w:color="auto" w:fill="D4E3F5"/>
          </w:tcPr>
          <w:p>
            <w:pPr>
              <w:pStyle w:val="TableParagraph"/>
              <w:ind w:left="80"/>
              <w:jc w:val="left"/>
              <w:rPr>
                <w:sz w:val="14"/>
              </w:rPr>
            </w:pPr>
            <w:r>
              <w:rPr>
                <w:color w:val="231F20"/>
                <w:spacing w:val="-2"/>
                <w:w w:val="90"/>
                <w:sz w:val="14"/>
              </w:rPr>
              <w:t>Zimbabwe</w:t>
            </w:r>
          </w:p>
        </w:tc>
        <w:tc>
          <w:tcPr>
            <w:tcW w:w="1632" w:type="dxa"/>
            <w:tcBorders>
              <w:bottom w:val="single" w:sz="4" w:space="0" w:color="008FDD"/>
            </w:tcBorders>
            <w:shd w:val="clear" w:color="auto" w:fill="D4E3F5"/>
          </w:tcPr>
          <w:p>
            <w:pPr>
              <w:pStyle w:val="TableParagraph"/>
              <w:ind w:left="776"/>
              <w:jc w:val="left"/>
              <w:rPr>
                <w:sz w:val="14"/>
              </w:rPr>
            </w:pPr>
            <w:r>
              <w:rPr>
                <w:color w:val="231F20"/>
                <w:spacing w:val="-5"/>
                <w:w w:val="95"/>
                <w:sz w:val="14"/>
              </w:rPr>
              <w:t>58</w:t>
            </w:r>
          </w:p>
        </w:tc>
        <w:tc>
          <w:tcPr>
            <w:tcW w:w="1564" w:type="dxa"/>
            <w:tcBorders>
              <w:bottom w:val="single" w:sz="4" w:space="0" w:color="008FDD"/>
            </w:tcBorders>
            <w:shd w:val="clear" w:color="auto" w:fill="D4E3F5"/>
          </w:tcPr>
          <w:p>
            <w:pPr>
              <w:pStyle w:val="TableParagraph"/>
              <w:ind w:left="14" w:right="85"/>
              <w:rPr>
                <w:sz w:val="14"/>
              </w:rPr>
            </w:pPr>
            <w:r>
              <w:rPr>
                <w:color w:val="231F20"/>
                <w:spacing w:val="-4"/>
                <w:w w:val="95"/>
                <w:sz w:val="14"/>
              </w:rPr>
              <w:t>15.2</w:t>
            </w:r>
          </w:p>
        </w:tc>
        <w:tc>
          <w:tcPr>
            <w:tcW w:w="1318" w:type="dxa"/>
            <w:tcBorders>
              <w:bottom w:val="single" w:sz="4" w:space="0" w:color="008FDD"/>
            </w:tcBorders>
            <w:shd w:val="clear" w:color="auto" w:fill="D4E3F5"/>
          </w:tcPr>
          <w:p>
            <w:pPr>
              <w:pStyle w:val="TableParagraph"/>
              <w:ind w:left="179"/>
              <w:rPr>
                <w:sz w:val="14"/>
              </w:rPr>
            </w:pPr>
            <w:r>
              <w:rPr>
                <w:color w:val="231F20"/>
                <w:spacing w:val="-5"/>
                <w:w w:val="95"/>
                <w:sz w:val="14"/>
              </w:rPr>
              <w:t>8.9</w:t>
            </w:r>
          </w:p>
        </w:tc>
        <w:tc>
          <w:tcPr>
            <w:tcW w:w="1728" w:type="dxa"/>
            <w:tcBorders>
              <w:bottom w:val="single" w:sz="4" w:space="0" w:color="008FDD"/>
            </w:tcBorders>
            <w:shd w:val="clear" w:color="auto" w:fill="D4E3F5"/>
          </w:tcPr>
          <w:p>
            <w:pPr>
              <w:pStyle w:val="TableParagraph"/>
              <w:ind w:left="217" w:right="77"/>
              <w:rPr>
                <w:sz w:val="14"/>
              </w:rPr>
            </w:pPr>
            <w:r>
              <w:rPr>
                <w:color w:val="231F20"/>
                <w:spacing w:val="-4"/>
                <w:w w:val="95"/>
                <w:sz w:val="14"/>
              </w:rPr>
              <w:t>16.5</w:t>
            </w:r>
          </w:p>
        </w:tc>
      </w:tr>
    </w:tbl>
    <w:p>
      <w:pPr>
        <w:pStyle w:val="BodyText"/>
        <w:spacing w:before="78"/>
        <w:rPr>
          <w:rFonts w:ascii="Arial"/>
          <w:sz w:val="12"/>
        </w:rPr>
      </w:pPr>
    </w:p>
    <w:p>
      <w:pPr>
        <w:spacing w:before="0"/>
        <w:ind w:left="1200" w:right="0" w:firstLine="0"/>
        <w:jc w:val="left"/>
        <w:rPr>
          <w:rFonts w:ascii="Arial"/>
          <w:sz w:val="12"/>
        </w:rPr>
      </w:pPr>
      <w:r>
        <w:rPr>
          <w:rFonts w:ascii="Arial"/>
          <w:i/>
          <w:color w:val="231F20"/>
          <w:w w:val="75"/>
          <w:sz w:val="12"/>
        </w:rPr>
        <w:t>Source:</w:t>
      </w:r>
      <w:r>
        <w:rPr>
          <w:rFonts w:ascii="Arial"/>
          <w:i/>
          <w:color w:val="231F20"/>
          <w:spacing w:val="9"/>
          <w:sz w:val="12"/>
        </w:rPr>
        <w:t> </w:t>
      </w:r>
      <w:r>
        <w:rPr>
          <w:rFonts w:ascii="Arial"/>
          <w:color w:val="231F20"/>
          <w:w w:val="75"/>
          <w:sz w:val="12"/>
        </w:rPr>
        <w:t>Universal</w:t>
      </w:r>
      <w:r>
        <w:rPr>
          <w:rFonts w:ascii="Arial"/>
          <w:color w:val="231F20"/>
          <w:spacing w:val="10"/>
          <w:sz w:val="12"/>
        </w:rPr>
        <w:t> </w:t>
      </w:r>
      <w:r>
        <w:rPr>
          <w:rFonts w:ascii="Arial"/>
          <w:color w:val="231F20"/>
          <w:w w:val="75"/>
          <w:sz w:val="12"/>
        </w:rPr>
        <w:t>Postal</w:t>
      </w:r>
      <w:r>
        <w:rPr>
          <w:rFonts w:ascii="Arial"/>
          <w:color w:val="231F20"/>
          <w:spacing w:val="10"/>
          <w:sz w:val="12"/>
        </w:rPr>
        <w:t> </w:t>
      </w:r>
      <w:r>
        <w:rPr>
          <w:rFonts w:ascii="Arial"/>
          <w:color w:val="231F20"/>
          <w:spacing w:val="-2"/>
          <w:w w:val="75"/>
          <w:sz w:val="12"/>
        </w:rPr>
        <w:t>Union.</w:t>
      </w:r>
    </w:p>
    <w:p>
      <w:pPr>
        <w:spacing w:after="0"/>
        <w:jc w:val="left"/>
        <w:rPr>
          <w:rFonts w:ascii="Arial"/>
          <w:sz w:val="12"/>
        </w:rPr>
        <w:sectPr>
          <w:pgSz w:w="12240" w:h="15840"/>
          <w:pgMar w:header="370" w:footer="548" w:top="560" w:bottom="740" w:left="0" w:right="540"/>
        </w:sectPr>
      </w:pPr>
    </w:p>
    <w:p>
      <w:pPr>
        <w:pStyle w:val="BodyText"/>
        <w:rPr>
          <w:rFonts w:ascii="Arial"/>
          <w:sz w:val="20"/>
        </w:rPr>
      </w:pPr>
    </w:p>
    <w:p>
      <w:pPr>
        <w:pStyle w:val="BodyText"/>
        <w:rPr>
          <w:rFonts w:ascii="Arial"/>
          <w:sz w:val="20"/>
        </w:rPr>
      </w:pPr>
    </w:p>
    <w:p>
      <w:pPr>
        <w:pStyle w:val="BodyText"/>
        <w:spacing w:before="60"/>
        <w:rPr>
          <w:rFonts w:ascii="Arial"/>
          <w:sz w:val="20"/>
        </w:rPr>
      </w:pPr>
    </w:p>
    <w:p>
      <w:pPr>
        <w:pStyle w:val="BodyText"/>
        <w:ind w:left="660"/>
        <w:rPr>
          <w:rFonts w:ascii="Arial"/>
          <w:sz w:val="20"/>
        </w:rPr>
      </w:pPr>
      <w:r>
        <w:rPr>
          <w:rFonts w:ascii="Arial"/>
          <w:sz w:val="20"/>
        </w:rPr>
        <mc:AlternateContent>
          <mc:Choice Requires="wps">
            <w:drawing>
              <wp:inline distT="0" distB="0" distL="0" distR="0">
                <wp:extent cx="6629400" cy="389255"/>
                <wp:effectExtent l="19050" t="19050" r="19050" b="20320"/>
                <wp:docPr id="1569" name="Group 1569"/>
                <wp:cNvGraphicFramePr>
                  <a:graphicFrameLocks/>
                </wp:cNvGraphicFramePr>
                <a:graphic>
                  <a:graphicData uri="http://schemas.microsoft.com/office/word/2010/wordprocessingGroup">
                    <wpg:wgp>
                      <wpg:cNvPr id="1569" name="Group 1569"/>
                      <wpg:cNvGrpSpPr/>
                      <wpg:grpSpPr>
                        <a:xfrm>
                          <a:off x="0" y="0"/>
                          <a:ext cx="6629400" cy="389255"/>
                          <a:chExt cx="6629400" cy="389255"/>
                        </a:xfrm>
                      </wpg:grpSpPr>
                      <wps:wsp>
                        <wps:cNvPr id="1570" name="Graphic 1570"/>
                        <wps:cNvSpPr/>
                        <wps:spPr>
                          <a:xfrm>
                            <a:off x="152400" y="38100"/>
                            <a:ext cx="6457950" cy="254000"/>
                          </a:xfrm>
                          <a:custGeom>
                            <a:avLst/>
                            <a:gdLst/>
                            <a:ahLst/>
                            <a:cxnLst/>
                            <a:rect l="l" t="t" r="r" b="b"/>
                            <a:pathLst>
                              <a:path w="6457950" h="254000">
                                <a:moveTo>
                                  <a:pt x="6416866" y="0"/>
                                </a:moveTo>
                                <a:lnTo>
                                  <a:pt x="0" y="0"/>
                                </a:lnTo>
                                <a:lnTo>
                                  <a:pt x="0" y="254000"/>
                                </a:lnTo>
                                <a:lnTo>
                                  <a:pt x="6457950" y="254000"/>
                                </a:lnTo>
                                <a:lnTo>
                                  <a:pt x="6457950" y="76200"/>
                                </a:lnTo>
                                <a:lnTo>
                                  <a:pt x="6450453" y="39157"/>
                                </a:lnTo>
                                <a:lnTo>
                                  <a:pt x="6430022" y="8877"/>
                                </a:lnTo>
                                <a:lnTo>
                                  <a:pt x="6416866" y="0"/>
                                </a:lnTo>
                                <a:close/>
                              </a:path>
                            </a:pathLst>
                          </a:custGeom>
                          <a:solidFill>
                            <a:srgbClr val="808285"/>
                          </a:solidFill>
                        </wps:spPr>
                        <wps:bodyPr wrap="square" lIns="0" tIns="0" rIns="0" bIns="0" rtlCol="0">
                          <a:prstTxWarp prst="textNoShape">
                            <a:avLst/>
                          </a:prstTxWarp>
                          <a:noAutofit/>
                        </wps:bodyPr>
                      </wps:wsp>
                      <wps:wsp>
                        <wps:cNvPr id="1571" name="Graphic 1571"/>
                        <wps:cNvSpPr/>
                        <wps:spPr>
                          <a:xfrm>
                            <a:off x="622300" y="38098"/>
                            <a:ext cx="1270" cy="254635"/>
                          </a:xfrm>
                          <a:custGeom>
                            <a:avLst/>
                            <a:gdLst/>
                            <a:ahLst/>
                            <a:cxnLst/>
                            <a:rect l="l" t="t" r="r" b="b"/>
                            <a:pathLst>
                              <a:path w="0" h="254635">
                                <a:moveTo>
                                  <a:pt x="0" y="25415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572" name="Graphic 1572"/>
                        <wps:cNvSpPr/>
                        <wps:spPr>
                          <a:xfrm>
                            <a:off x="38100" y="38251"/>
                            <a:ext cx="571500" cy="254000"/>
                          </a:xfrm>
                          <a:custGeom>
                            <a:avLst/>
                            <a:gdLst/>
                            <a:ahLst/>
                            <a:cxnLst/>
                            <a:rect l="l" t="t" r="r" b="b"/>
                            <a:pathLst>
                              <a:path w="571500" h="254000">
                                <a:moveTo>
                                  <a:pt x="0" y="254000"/>
                                </a:moveTo>
                                <a:lnTo>
                                  <a:pt x="571500" y="254000"/>
                                </a:lnTo>
                                <a:lnTo>
                                  <a:pt x="571500" y="0"/>
                                </a:lnTo>
                                <a:lnTo>
                                  <a:pt x="0" y="0"/>
                                </a:lnTo>
                                <a:lnTo>
                                  <a:pt x="0" y="254000"/>
                                </a:lnTo>
                                <a:close/>
                              </a:path>
                            </a:pathLst>
                          </a:custGeom>
                          <a:solidFill>
                            <a:srgbClr val="008FDD"/>
                          </a:solidFill>
                        </wps:spPr>
                        <wps:bodyPr wrap="square" lIns="0" tIns="0" rIns="0" bIns="0" rtlCol="0">
                          <a:prstTxWarp prst="textNoShape">
                            <a:avLst/>
                          </a:prstTxWarp>
                          <a:noAutofit/>
                        </wps:bodyPr>
                      </wps:wsp>
                      <wps:wsp>
                        <wps:cNvPr id="1573" name="Graphic 1573"/>
                        <wps:cNvSpPr/>
                        <wps:spPr>
                          <a:xfrm>
                            <a:off x="19050" y="19050"/>
                            <a:ext cx="6591300" cy="351155"/>
                          </a:xfrm>
                          <a:custGeom>
                            <a:avLst/>
                            <a:gdLst/>
                            <a:ahLst/>
                            <a:cxnLst/>
                            <a:rect l="l" t="t" r="r" b="b"/>
                            <a:pathLst>
                              <a:path w="6591300" h="351155">
                                <a:moveTo>
                                  <a:pt x="95250" y="0"/>
                                </a:moveTo>
                                <a:lnTo>
                                  <a:pt x="58207" y="7497"/>
                                </a:lnTo>
                                <a:lnTo>
                                  <a:pt x="27927" y="27932"/>
                                </a:lnTo>
                                <a:lnTo>
                                  <a:pt x="7496" y="58212"/>
                                </a:lnTo>
                                <a:lnTo>
                                  <a:pt x="0" y="95250"/>
                                </a:lnTo>
                                <a:lnTo>
                                  <a:pt x="0" y="331889"/>
                                </a:lnTo>
                                <a:lnTo>
                                  <a:pt x="0" y="350939"/>
                                </a:lnTo>
                                <a:lnTo>
                                  <a:pt x="19050" y="350939"/>
                                </a:lnTo>
                                <a:lnTo>
                                  <a:pt x="6572250" y="350939"/>
                                </a:lnTo>
                                <a:lnTo>
                                  <a:pt x="6591300" y="350939"/>
                                </a:lnTo>
                                <a:lnTo>
                                  <a:pt x="6591300" y="331889"/>
                                </a:lnTo>
                                <a:lnTo>
                                  <a:pt x="6591300" y="95250"/>
                                </a:lnTo>
                                <a:lnTo>
                                  <a:pt x="6583803" y="58212"/>
                                </a:lnTo>
                                <a:lnTo>
                                  <a:pt x="6563372" y="27932"/>
                                </a:lnTo>
                                <a:lnTo>
                                  <a:pt x="6533092" y="7497"/>
                                </a:lnTo>
                                <a:lnTo>
                                  <a:pt x="64960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574" name="Textbox 1574"/>
                        <wps:cNvSpPr txBox="1"/>
                        <wps:spPr>
                          <a:xfrm>
                            <a:off x="0" y="0"/>
                            <a:ext cx="6629400" cy="389255"/>
                          </a:xfrm>
                          <a:prstGeom prst="rect">
                            <a:avLst/>
                          </a:prstGeom>
                        </wps:spPr>
                        <wps:txbx>
                          <w:txbxContent>
                            <w:p>
                              <w:pPr>
                                <w:spacing w:line="240" w:lineRule="auto" w:before="20"/>
                                <w:rPr>
                                  <w:rFonts w:ascii="Arial"/>
                                  <w:sz w:val="16"/>
                                </w:rPr>
                              </w:pPr>
                            </w:p>
                            <w:p>
                              <w:pPr>
                                <w:spacing w:before="0"/>
                                <w:ind w:left="1079" w:right="0" w:firstLine="0"/>
                                <w:jc w:val="left"/>
                                <w:rPr>
                                  <w:rFonts w:ascii="Arial" w:hAnsi="Arial"/>
                                  <w:b/>
                                  <w:sz w:val="16"/>
                                </w:rPr>
                              </w:pPr>
                              <w:r>
                                <w:rPr>
                                  <w:rFonts w:ascii="Arial" w:hAnsi="Arial"/>
                                  <w:b/>
                                  <w:color w:val="FFFFFF"/>
                                  <w:w w:val="105"/>
                                  <w:sz w:val="16"/>
                                </w:rPr>
                                <w:t>Import</w:t>
                              </w:r>
                              <w:r>
                                <w:rPr>
                                  <w:rFonts w:ascii="Arial" w:hAnsi="Arial"/>
                                  <w:b/>
                                  <w:color w:val="FFFFFF"/>
                                  <w:spacing w:val="15"/>
                                  <w:w w:val="105"/>
                                  <w:sz w:val="16"/>
                                </w:rPr>
                                <w:t> </w:t>
                              </w:r>
                              <w:r>
                                <w:rPr>
                                  <w:rFonts w:ascii="Arial" w:hAnsi="Arial"/>
                                  <w:b/>
                                  <w:color w:val="FFFFFF"/>
                                  <w:w w:val="105"/>
                                  <w:sz w:val="16"/>
                                </w:rPr>
                                <w:t>delays,</w:t>
                              </w:r>
                              <w:r>
                                <w:rPr>
                                  <w:rFonts w:ascii="Arial" w:hAnsi="Arial"/>
                                  <w:b/>
                                  <w:color w:val="FFFFFF"/>
                                  <w:spacing w:val="15"/>
                                  <w:w w:val="105"/>
                                  <w:sz w:val="16"/>
                                </w:rPr>
                                <w:t> </w:t>
                              </w:r>
                              <w:r>
                                <w:rPr>
                                  <w:rFonts w:ascii="Arial" w:hAnsi="Arial"/>
                                  <w:b/>
                                  <w:color w:val="FFFFFF"/>
                                  <w:w w:val="105"/>
                                  <w:sz w:val="16"/>
                                </w:rPr>
                                <w:t>May–October</w:t>
                              </w:r>
                              <w:r>
                                <w:rPr>
                                  <w:rFonts w:ascii="Arial" w:hAnsi="Arial"/>
                                  <w:b/>
                                  <w:color w:val="FFFFFF"/>
                                  <w:spacing w:val="16"/>
                                  <w:w w:val="105"/>
                                  <w:sz w:val="16"/>
                                </w:rPr>
                                <w:t> </w:t>
                              </w:r>
                              <w:r>
                                <w:rPr>
                                  <w:rFonts w:ascii="Arial" w:hAnsi="Arial"/>
                                  <w:b/>
                                  <w:color w:val="FFFFFF"/>
                                  <w:spacing w:val="-4"/>
                                  <w:w w:val="105"/>
                                  <w:sz w:val="16"/>
                                </w:rPr>
                                <w:t>2022</w:t>
                              </w:r>
                            </w:p>
                          </w:txbxContent>
                        </wps:txbx>
                        <wps:bodyPr wrap="square" lIns="0" tIns="0" rIns="0" bIns="0" rtlCol="0">
                          <a:noAutofit/>
                        </wps:bodyPr>
                      </wps:wsp>
                      <wps:wsp>
                        <wps:cNvPr id="1575" name="Textbox 1575"/>
                        <wps:cNvSpPr txBox="1"/>
                        <wps:spPr>
                          <a:xfrm>
                            <a:off x="38100" y="38251"/>
                            <a:ext cx="571500" cy="254000"/>
                          </a:xfrm>
                          <a:prstGeom prst="rect">
                            <a:avLst/>
                          </a:prstGeom>
                        </wps:spPr>
                        <wps:txbx>
                          <w:txbxContent>
                            <w:p>
                              <w:pPr>
                                <w:spacing w:before="144"/>
                                <w:ind w:left="1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b/>
                                  <w:color w:val="FFFFFF"/>
                                  <w:spacing w:val="-4"/>
                                  <w:w w:val="95"/>
                                  <w:sz w:val="16"/>
                                </w:rPr>
                                <w:t>A2.4</w:t>
                              </w:r>
                            </w:p>
                          </w:txbxContent>
                        </wps:txbx>
                        <wps:bodyPr wrap="square" lIns="0" tIns="0" rIns="0" bIns="0" rtlCol="0">
                          <a:noAutofit/>
                        </wps:bodyPr>
                      </wps:wsp>
                    </wpg:wgp>
                  </a:graphicData>
                </a:graphic>
              </wp:inline>
            </w:drawing>
          </mc:Choice>
          <mc:Fallback>
            <w:pict>
              <v:group style="width:522pt;height:30.65pt;mso-position-horizontal-relative:char;mso-position-vertical-relative:line" id="docshapegroup1330" coordorigin="0,0" coordsize="10440,613">
                <v:shape style="position:absolute;left:240;top:60;width:10170;height:400" id="docshape1331" coordorigin="240,60" coordsize="10170,400" path="m10345,60l240,60,240,460,10410,460,10410,180,10398,122,10366,74,10345,60xe" filled="true" fillcolor="#808285" stroked="false">
                  <v:path arrowok="t"/>
                  <v:fill type="solid"/>
                </v:shape>
                <v:line style="position:absolute" from="980,460" to="980,60" stroked="true" strokeweight="2pt" strokecolor="#ffffff">
                  <v:stroke dashstyle="solid"/>
                </v:line>
                <v:rect style="position:absolute;left:60;top:60;width:900;height:400" id="docshape1332" filled="true" fillcolor="#008fdd" stroked="false">
                  <v:fill type="solid"/>
                </v:rect>
                <v:shape style="position:absolute;left:30;top:30;width:10380;height:553" id="docshape1333" coordorigin="30,30" coordsize="10380,553" path="m180,30l122,42,74,74,42,122,30,180,30,553,30,583,60,583,10380,583,10410,583,10410,553,10410,180,10398,122,10366,74,10318,42,10260,30,180,30xe" filled="false" stroked="true" strokeweight="3pt" strokecolor="#ffffff">
                  <v:path arrowok="t"/>
                  <v:stroke dashstyle="solid"/>
                </v:shape>
                <v:shape style="position:absolute;left:0;top:0;width:10440;height:613" type="#_x0000_t202" id="docshape1334" filled="false" stroked="false">
                  <v:textbox inset="0,0,0,0">
                    <w:txbxContent>
                      <w:p>
                        <w:pPr>
                          <w:spacing w:line="240" w:lineRule="auto" w:before="20"/>
                          <w:rPr>
                            <w:rFonts w:ascii="Arial"/>
                            <w:sz w:val="16"/>
                          </w:rPr>
                        </w:pPr>
                      </w:p>
                      <w:p>
                        <w:pPr>
                          <w:spacing w:before="0"/>
                          <w:ind w:left="1079" w:right="0" w:firstLine="0"/>
                          <w:jc w:val="left"/>
                          <w:rPr>
                            <w:rFonts w:ascii="Arial" w:hAnsi="Arial"/>
                            <w:b/>
                            <w:sz w:val="16"/>
                          </w:rPr>
                        </w:pPr>
                        <w:r>
                          <w:rPr>
                            <w:rFonts w:ascii="Arial" w:hAnsi="Arial"/>
                            <w:b/>
                            <w:color w:val="FFFFFF"/>
                            <w:w w:val="105"/>
                            <w:sz w:val="16"/>
                          </w:rPr>
                          <w:t>Import</w:t>
                        </w:r>
                        <w:r>
                          <w:rPr>
                            <w:rFonts w:ascii="Arial" w:hAnsi="Arial"/>
                            <w:b/>
                            <w:color w:val="FFFFFF"/>
                            <w:spacing w:val="15"/>
                            <w:w w:val="105"/>
                            <w:sz w:val="16"/>
                          </w:rPr>
                          <w:t> </w:t>
                        </w:r>
                        <w:r>
                          <w:rPr>
                            <w:rFonts w:ascii="Arial" w:hAnsi="Arial"/>
                            <w:b/>
                            <w:color w:val="FFFFFF"/>
                            <w:w w:val="105"/>
                            <w:sz w:val="16"/>
                          </w:rPr>
                          <w:t>delays,</w:t>
                        </w:r>
                        <w:r>
                          <w:rPr>
                            <w:rFonts w:ascii="Arial" w:hAnsi="Arial"/>
                            <w:b/>
                            <w:color w:val="FFFFFF"/>
                            <w:spacing w:val="15"/>
                            <w:w w:val="105"/>
                            <w:sz w:val="16"/>
                          </w:rPr>
                          <w:t> </w:t>
                        </w:r>
                        <w:r>
                          <w:rPr>
                            <w:rFonts w:ascii="Arial" w:hAnsi="Arial"/>
                            <w:b/>
                            <w:color w:val="FFFFFF"/>
                            <w:w w:val="105"/>
                            <w:sz w:val="16"/>
                          </w:rPr>
                          <w:t>May–October</w:t>
                        </w:r>
                        <w:r>
                          <w:rPr>
                            <w:rFonts w:ascii="Arial" w:hAnsi="Arial"/>
                            <w:b/>
                            <w:color w:val="FFFFFF"/>
                            <w:spacing w:val="16"/>
                            <w:w w:val="105"/>
                            <w:sz w:val="16"/>
                          </w:rPr>
                          <w:t> </w:t>
                        </w:r>
                        <w:r>
                          <w:rPr>
                            <w:rFonts w:ascii="Arial" w:hAnsi="Arial"/>
                            <w:b/>
                            <w:color w:val="FFFFFF"/>
                            <w:spacing w:val="-4"/>
                            <w:w w:val="105"/>
                            <w:sz w:val="16"/>
                          </w:rPr>
                          <w:t>2022</w:t>
                        </w:r>
                      </w:p>
                    </w:txbxContent>
                  </v:textbox>
                  <w10:wrap type="none"/>
                </v:shape>
                <v:shape style="position:absolute;left:60;top:60;width:900;height:400" type="#_x0000_t202" id="docshape1335" filled="false" stroked="false">
                  <v:textbox inset="0,0,0,0">
                    <w:txbxContent>
                      <w:p>
                        <w:pPr>
                          <w:spacing w:before="144"/>
                          <w:ind w:left="1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b/>
                            <w:color w:val="FFFFFF"/>
                            <w:spacing w:val="-4"/>
                            <w:w w:val="95"/>
                            <w:sz w:val="16"/>
                          </w:rPr>
                          <w:t>A2.4</w:t>
                        </w:r>
                      </w:p>
                    </w:txbxContent>
                  </v:textbox>
                  <w10:wrap type="none"/>
                </v:shape>
              </v:group>
            </w:pict>
          </mc:Fallback>
        </mc:AlternateContent>
      </w:r>
      <w:r>
        <w:rPr>
          <w:rFonts w:ascii="Arial"/>
          <w:sz w:val="20"/>
        </w:rPr>
      </w:r>
    </w:p>
    <w:p>
      <w:pPr>
        <w:pStyle w:val="BodyText"/>
        <w:spacing w:before="1"/>
        <w:rPr>
          <w:rFonts w:ascii="Arial"/>
          <w:sz w:val="2"/>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3"/>
        <w:gridCol w:w="1198"/>
        <w:gridCol w:w="851"/>
        <w:gridCol w:w="1059"/>
        <w:gridCol w:w="1083"/>
        <w:gridCol w:w="754"/>
        <w:gridCol w:w="239"/>
        <w:gridCol w:w="850"/>
        <w:gridCol w:w="1058"/>
        <w:gridCol w:w="948"/>
        <w:gridCol w:w="1007"/>
      </w:tblGrid>
      <w:tr>
        <w:trPr>
          <w:trHeight w:val="213" w:hRule="atLeast"/>
        </w:trPr>
        <w:tc>
          <w:tcPr>
            <w:tcW w:w="1263" w:type="dxa"/>
          </w:tcPr>
          <w:p>
            <w:pPr>
              <w:pStyle w:val="TableParagraph"/>
              <w:spacing w:before="0"/>
              <w:jc w:val="left"/>
              <w:rPr>
                <w:rFonts w:ascii="Times New Roman"/>
                <w:sz w:val="12"/>
              </w:rPr>
            </w:pPr>
          </w:p>
        </w:tc>
        <w:tc>
          <w:tcPr>
            <w:tcW w:w="1198" w:type="dxa"/>
            <w:vMerge w:val="restart"/>
            <w:tcBorders>
              <w:bottom w:val="single" w:sz="4" w:space="0" w:color="008FDD"/>
            </w:tcBorders>
          </w:tcPr>
          <w:p>
            <w:pPr>
              <w:pStyle w:val="TableParagraph"/>
              <w:spacing w:before="103"/>
              <w:ind w:left="206" w:firstLine="74"/>
              <w:jc w:val="left"/>
              <w:rPr>
                <w:b/>
                <w:sz w:val="14"/>
              </w:rPr>
            </w:pPr>
            <w:r>
              <w:rPr>
                <w:b/>
                <w:color w:val="231F20"/>
                <w:w w:val="90"/>
                <w:sz w:val="14"/>
              </w:rPr>
              <w:t>Number</w:t>
            </w:r>
            <w:r>
              <w:rPr>
                <w:b/>
                <w:color w:val="231F20"/>
                <w:spacing w:val="-6"/>
                <w:w w:val="90"/>
                <w:sz w:val="14"/>
              </w:rPr>
              <w:t> </w:t>
            </w:r>
            <w:r>
              <w:rPr>
                <w:b/>
                <w:color w:val="231F20"/>
                <w:w w:val="90"/>
                <w:sz w:val="14"/>
              </w:rPr>
              <w:t>of</w:t>
            </w:r>
            <w:r>
              <w:rPr>
                <w:b/>
                <w:color w:val="231F20"/>
                <w:spacing w:val="40"/>
                <w:sz w:val="14"/>
              </w:rPr>
              <w:t> </w:t>
            </w:r>
            <w:r>
              <w:rPr>
                <w:b/>
                <w:color w:val="231F20"/>
                <w:spacing w:val="-2"/>
                <w:w w:val="80"/>
                <w:sz w:val="14"/>
              </w:rPr>
              <w:t>observations</w:t>
            </w:r>
          </w:p>
        </w:tc>
        <w:tc>
          <w:tcPr>
            <w:tcW w:w="851" w:type="dxa"/>
            <w:tcBorders>
              <w:bottom w:val="single" w:sz="4" w:space="0" w:color="008FDD"/>
            </w:tcBorders>
          </w:tcPr>
          <w:p>
            <w:pPr>
              <w:pStyle w:val="TableParagraph"/>
              <w:spacing w:before="0"/>
              <w:jc w:val="left"/>
              <w:rPr>
                <w:rFonts w:ascii="Times New Roman"/>
                <w:sz w:val="12"/>
              </w:rPr>
            </w:pPr>
          </w:p>
        </w:tc>
        <w:tc>
          <w:tcPr>
            <w:tcW w:w="2142" w:type="dxa"/>
            <w:gridSpan w:val="2"/>
            <w:tcBorders>
              <w:bottom w:val="single" w:sz="4" w:space="0" w:color="008FDD"/>
            </w:tcBorders>
          </w:tcPr>
          <w:p>
            <w:pPr>
              <w:pStyle w:val="TableParagraph"/>
              <w:spacing w:before="3"/>
              <w:ind w:left="141"/>
              <w:jc w:val="left"/>
              <w:rPr>
                <w:b/>
                <w:sz w:val="14"/>
              </w:rPr>
            </w:pPr>
            <w:r>
              <w:rPr>
                <w:b/>
                <w:color w:val="231F20"/>
                <w:w w:val="80"/>
                <w:sz w:val="14"/>
              </w:rPr>
              <w:t>Consolidated</w:t>
            </w:r>
            <w:r>
              <w:rPr>
                <w:b/>
                <w:color w:val="231F20"/>
                <w:spacing w:val="20"/>
                <w:sz w:val="14"/>
              </w:rPr>
              <w:t> </w:t>
            </w:r>
            <w:r>
              <w:rPr>
                <w:b/>
                <w:color w:val="231F20"/>
                <w:w w:val="80"/>
                <w:sz w:val="14"/>
              </w:rPr>
              <w:t>dwell</w:t>
            </w:r>
            <w:r>
              <w:rPr>
                <w:b/>
                <w:color w:val="231F20"/>
                <w:spacing w:val="21"/>
                <w:sz w:val="14"/>
              </w:rPr>
              <w:t> </w:t>
            </w:r>
            <w:r>
              <w:rPr>
                <w:b/>
                <w:color w:val="231F20"/>
                <w:w w:val="80"/>
                <w:sz w:val="14"/>
              </w:rPr>
              <w:t>time</w:t>
            </w:r>
            <w:r>
              <w:rPr>
                <w:b/>
                <w:color w:val="231F20"/>
                <w:spacing w:val="20"/>
                <w:sz w:val="14"/>
              </w:rPr>
              <w:t> </w:t>
            </w:r>
            <w:r>
              <w:rPr>
                <w:b/>
                <w:color w:val="231F20"/>
                <w:spacing w:val="-2"/>
                <w:w w:val="80"/>
                <w:sz w:val="14"/>
              </w:rPr>
              <w:t>(days)</w:t>
            </w:r>
          </w:p>
        </w:tc>
        <w:tc>
          <w:tcPr>
            <w:tcW w:w="754" w:type="dxa"/>
            <w:tcBorders>
              <w:bottom w:val="single" w:sz="4" w:space="0" w:color="008FDD"/>
            </w:tcBorders>
          </w:tcPr>
          <w:p>
            <w:pPr>
              <w:pStyle w:val="TableParagraph"/>
              <w:spacing w:before="0"/>
              <w:jc w:val="left"/>
              <w:rPr>
                <w:rFonts w:ascii="Times New Roman"/>
                <w:sz w:val="12"/>
              </w:rPr>
            </w:pPr>
          </w:p>
        </w:tc>
        <w:tc>
          <w:tcPr>
            <w:tcW w:w="239" w:type="dxa"/>
          </w:tcPr>
          <w:p>
            <w:pPr>
              <w:pStyle w:val="TableParagraph"/>
              <w:spacing w:before="0"/>
              <w:jc w:val="left"/>
              <w:rPr>
                <w:rFonts w:ascii="Times New Roman"/>
                <w:sz w:val="12"/>
              </w:rPr>
            </w:pPr>
          </w:p>
        </w:tc>
        <w:tc>
          <w:tcPr>
            <w:tcW w:w="850" w:type="dxa"/>
            <w:tcBorders>
              <w:bottom w:val="single" w:sz="4" w:space="0" w:color="008FDD"/>
            </w:tcBorders>
          </w:tcPr>
          <w:p>
            <w:pPr>
              <w:pStyle w:val="TableParagraph"/>
              <w:spacing w:before="0"/>
              <w:jc w:val="left"/>
              <w:rPr>
                <w:rFonts w:ascii="Times New Roman"/>
                <w:sz w:val="12"/>
              </w:rPr>
            </w:pPr>
          </w:p>
        </w:tc>
        <w:tc>
          <w:tcPr>
            <w:tcW w:w="2006" w:type="dxa"/>
            <w:gridSpan w:val="2"/>
            <w:tcBorders>
              <w:bottom w:val="single" w:sz="4" w:space="0" w:color="008FDD"/>
            </w:tcBorders>
          </w:tcPr>
          <w:p>
            <w:pPr>
              <w:pStyle w:val="TableParagraph"/>
              <w:spacing w:before="3"/>
              <w:ind w:left="402"/>
              <w:jc w:val="left"/>
              <w:rPr>
                <w:b/>
                <w:sz w:val="14"/>
              </w:rPr>
            </w:pPr>
            <w:r>
              <w:rPr>
                <w:b/>
                <w:color w:val="231F20"/>
                <w:w w:val="85"/>
                <w:sz w:val="14"/>
              </w:rPr>
              <w:t>Port</w:t>
            </w:r>
            <w:r>
              <w:rPr>
                <w:b/>
                <w:color w:val="231F20"/>
                <w:spacing w:val="-2"/>
                <w:sz w:val="14"/>
              </w:rPr>
              <w:t> </w:t>
            </w:r>
            <w:r>
              <w:rPr>
                <w:b/>
                <w:color w:val="231F20"/>
                <w:w w:val="85"/>
                <w:sz w:val="14"/>
              </w:rPr>
              <w:t>dwell</w:t>
            </w:r>
            <w:r>
              <w:rPr>
                <w:b/>
                <w:color w:val="231F20"/>
                <w:spacing w:val="-2"/>
                <w:sz w:val="14"/>
              </w:rPr>
              <w:t> </w:t>
            </w:r>
            <w:r>
              <w:rPr>
                <w:b/>
                <w:color w:val="231F20"/>
                <w:w w:val="85"/>
                <w:sz w:val="14"/>
              </w:rPr>
              <w:t>time</w:t>
            </w:r>
            <w:r>
              <w:rPr>
                <w:b/>
                <w:color w:val="231F20"/>
                <w:spacing w:val="-2"/>
                <w:sz w:val="14"/>
              </w:rPr>
              <w:t> </w:t>
            </w:r>
            <w:r>
              <w:rPr>
                <w:b/>
                <w:color w:val="231F20"/>
                <w:spacing w:val="-2"/>
                <w:w w:val="85"/>
                <w:sz w:val="14"/>
              </w:rPr>
              <w:t>(days)</w:t>
            </w:r>
          </w:p>
        </w:tc>
        <w:tc>
          <w:tcPr>
            <w:tcW w:w="1007" w:type="dxa"/>
            <w:tcBorders>
              <w:bottom w:val="single" w:sz="4" w:space="0" w:color="008FDD"/>
            </w:tcBorders>
          </w:tcPr>
          <w:p>
            <w:pPr>
              <w:pStyle w:val="TableParagraph"/>
              <w:spacing w:before="0"/>
              <w:jc w:val="left"/>
              <w:rPr>
                <w:rFonts w:ascii="Times New Roman"/>
                <w:sz w:val="12"/>
              </w:rPr>
            </w:pPr>
          </w:p>
        </w:tc>
      </w:tr>
      <w:tr>
        <w:trPr>
          <w:trHeight w:val="246" w:hRule="atLeast"/>
        </w:trPr>
        <w:tc>
          <w:tcPr>
            <w:tcW w:w="1263" w:type="dxa"/>
            <w:tcBorders>
              <w:bottom w:val="single" w:sz="4" w:space="0" w:color="008FDD"/>
            </w:tcBorders>
          </w:tcPr>
          <w:p>
            <w:pPr>
              <w:pStyle w:val="TableParagraph"/>
              <w:spacing w:before="40"/>
              <w:ind w:left="80"/>
              <w:jc w:val="left"/>
              <w:rPr>
                <w:b/>
                <w:sz w:val="14"/>
              </w:rPr>
            </w:pPr>
            <w:r>
              <w:rPr>
                <w:b/>
                <w:color w:val="231F20"/>
                <w:spacing w:val="-2"/>
                <w:w w:val="90"/>
                <w:sz w:val="14"/>
              </w:rPr>
              <w:t>Economy</w:t>
            </w:r>
          </w:p>
        </w:tc>
        <w:tc>
          <w:tcPr>
            <w:tcW w:w="1198" w:type="dxa"/>
            <w:vMerge/>
            <w:tcBorders>
              <w:top w:val="nil"/>
              <w:bottom w:val="single" w:sz="4" w:space="0" w:color="008FDD"/>
            </w:tcBorders>
          </w:tcPr>
          <w:p>
            <w:pPr>
              <w:rPr>
                <w:sz w:val="2"/>
                <w:szCs w:val="2"/>
              </w:rPr>
            </w:pPr>
          </w:p>
        </w:tc>
        <w:tc>
          <w:tcPr>
            <w:tcW w:w="851" w:type="dxa"/>
            <w:tcBorders>
              <w:top w:val="single" w:sz="4" w:space="0" w:color="008FDD"/>
              <w:bottom w:val="single" w:sz="4" w:space="0" w:color="008FDD"/>
            </w:tcBorders>
          </w:tcPr>
          <w:p>
            <w:pPr>
              <w:pStyle w:val="TableParagraph"/>
              <w:spacing w:before="40"/>
              <w:ind w:left="48" w:right="136"/>
              <w:rPr>
                <w:b/>
                <w:sz w:val="14"/>
              </w:rPr>
            </w:pPr>
            <w:r>
              <w:rPr>
                <w:b/>
                <w:color w:val="231F20"/>
                <w:spacing w:val="-4"/>
                <w:w w:val="95"/>
                <w:sz w:val="14"/>
              </w:rPr>
              <w:t>Mean</w:t>
            </w:r>
          </w:p>
        </w:tc>
        <w:tc>
          <w:tcPr>
            <w:tcW w:w="1059" w:type="dxa"/>
            <w:tcBorders>
              <w:top w:val="single" w:sz="4" w:space="0" w:color="008FDD"/>
              <w:bottom w:val="single" w:sz="4" w:space="0" w:color="008FDD"/>
            </w:tcBorders>
          </w:tcPr>
          <w:p>
            <w:pPr>
              <w:pStyle w:val="TableParagraph"/>
              <w:spacing w:before="40"/>
              <w:ind w:left="42" w:right="48"/>
              <w:rPr>
                <w:b/>
                <w:sz w:val="14"/>
              </w:rPr>
            </w:pPr>
            <w:r>
              <w:rPr>
                <w:b/>
                <w:color w:val="231F20"/>
                <w:spacing w:val="-2"/>
                <w:w w:val="95"/>
                <w:sz w:val="14"/>
              </w:rPr>
              <w:t>Median</w:t>
            </w:r>
          </w:p>
        </w:tc>
        <w:tc>
          <w:tcPr>
            <w:tcW w:w="1083" w:type="dxa"/>
            <w:tcBorders>
              <w:top w:val="single" w:sz="4" w:space="0" w:color="008FDD"/>
              <w:bottom w:val="single" w:sz="4" w:space="0" w:color="008FDD"/>
            </w:tcBorders>
          </w:tcPr>
          <w:p>
            <w:pPr>
              <w:pStyle w:val="TableParagraph"/>
              <w:spacing w:before="40"/>
              <w:ind w:left="352"/>
              <w:jc w:val="left"/>
              <w:rPr>
                <w:b/>
                <w:sz w:val="14"/>
              </w:rPr>
            </w:pPr>
            <w:r>
              <w:rPr>
                <w:b/>
                <w:color w:val="231F20"/>
                <w:spacing w:val="-5"/>
                <w:w w:val="90"/>
                <w:sz w:val="14"/>
              </w:rPr>
              <w:t>Q25</w:t>
            </w:r>
          </w:p>
        </w:tc>
        <w:tc>
          <w:tcPr>
            <w:tcW w:w="754" w:type="dxa"/>
            <w:tcBorders>
              <w:top w:val="single" w:sz="4" w:space="0" w:color="008FDD"/>
              <w:bottom w:val="single" w:sz="4" w:space="0" w:color="008FDD"/>
            </w:tcBorders>
          </w:tcPr>
          <w:p>
            <w:pPr>
              <w:pStyle w:val="TableParagraph"/>
              <w:spacing w:before="40"/>
              <w:ind w:left="49" w:right="48"/>
              <w:rPr>
                <w:b/>
                <w:sz w:val="14"/>
              </w:rPr>
            </w:pPr>
            <w:r>
              <w:rPr>
                <w:b/>
                <w:color w:val="231F20"/>
                <w:spacing w:val="-5"/>
                <w:w w:val="90"/>
                <w:sz w:val="14"/>
              </w:rPr>
              <w:t>Q75</w:t>
            </w:r>
          </w:p>
        </w:tc>
        <w:tc>
          <w:tcPr>
            <w:tcW w:w="239" w:type="dxa"/>
            <w:tcBorders>
              <w:bottom w:val="single" w:sz="4" w:space="0" w:color="008FDD"/>
            </w:tcBorders>
          </w:tcPr>
          <w:p>
            <w:pPr>
              <w:pStyle w:val="TableParagraph"/>
              <w:spacing w:before="0"/>
              <w:jc w:val="left"/>
              <w:rPr>
                <w:rFonts w:ascii="Times New Roman"/>
                <w:sz w:val="12"/>
              </w:rPr>
            </w:pPr>
          </w:p>
        </w:tc>
        <w:tc>
          <w:tcPr>
            <w:tcW w:w="850" w:type="dxa"/>
            <w:tcBorders>
              <w:top w:val="single" w:sz="4" w:space="0" w:color="008FDD"/>
              <w:bottom w:val="single" w:sz="4" w:space="0" w:color="008FDD"/>
            </w:tcBorders>
          </w:tcPr>
          <w:p>
            <w:pPr>
              <w:pStyle w:val="TableParagraph"/>
              <w:spacing w:before="40"/>
              <w:ind w:left="225"/>
              <w:jc w:val="left"/>
              <w:rPr>
                <w:b/>
                <w:sz w:val="14"/>
              </w:rPr>
            </w:pPr>
            <w:r>
              <w:rPr>
                <w:b/>
                <w:color w:val="231F20"/>
                <w:spacing w:val="-4"/>
                <w:w w:val="95"/>
                <w:sz w:val="14"/>
              </w:rPr>
              <w:t>Mean</w:t>
            </w:r>
          </w:p>
        </w:tc>
        <w:tc>
          <w:tcPr>
            <w:tcW w:w="1058" w:type="dxa"/>
            <w:tcBorders>
              <w:top w:val="single" w:sz="4" w:space="0" w:color="008FDD"/>
              <w:bottom w:val="single" w:sz="4" w:space="0" w:color="008FDD"/>
            </w:tcBorders>
          </w:tcPr>
          <w:p>
            <w:pPr>
              <w:pStyle w:val="TableParagraph"/>
              <w:spacing w:before="40"/>
              <w:ind w:left="52" w:right="51"/>
              <w:rPr>
                <w:b/>
                <w:sz w:val="14"/>
              </w:rPr>
            </w:pPr>
            <w:r>
              <w:rPr>
                <w:b/>
                <w:color w:val="231F20"/>
                <w:spacing w:val="-2"/>
                <w:w w:val="95"/>
                <w:sz w:val="14"/>
              </w:rPr>
              <w:t>Median</w:t>
            </w:r>
          </w:p>
        </w:tc>
        <w:tc>
          <w:tcPr>
            <w:tcW w:w="948" w:type="dxa"/>
            <w:tcBorders>
              <w:top w:val="single" w:sz="4" w:space="0" w:color="008FDD"/>
              <w:bottom w:val="single" w:sz="4" w:space="0" w:color="008FDD"/>
            </w:tcBorders>
          </w:tcPr>
          <w:p>
            <w:pPr>
              <w:pStyle w:val="TableParagraph"/>
              <w:spacing w:before="40"/>
              <w:ind w:left="57" w:right="60"/>
              <w:rPr>
                <w:b/>
                <w:sz w:val="14"/>
              </w:rPr>
            </w:pPr>
            <w:r>
              <w:rPr>
                <w:b/>
                <w:color w:val="231F20"/>
                <w:spacing w:val="-5"/>
                <w:w w:val="90"/>
                <w:sz w:val="14"/>
              </w:rPr>
              <w:t>Q25</w:t>
            </w:r>
          </w:p>
        </w:tc>
        <w:tc>
          <w:tcPr>
            <w:tcW w:w="1007" w:type="dxa"/>
            <w:tcBorders>
              <w:top w:val="single" w:sz="4" w:space="0" w:color="008FDD"/>
              <w:bottom w:val="single" w:sz="4" w:space="0" w:color="008FDD"/>
            </w:tcBorders>
          </w:tcPr>
          <w:p>
            <w:pPr>
              <w:pStyle w:val="TableParagraph"/>
              <w:spacing w:before="40"/>
              <w:ind w:right="377"/>
              <w:jc w:val="right"/>
              <w:rPr>
                <w:b/>
                <w:sz w:val="14"/>
              </w:rPr>
            </w:pPr>
            <w:r>
              <w:rPr>
                <w:b/>
                <w:color w:val="231F20"/>
                <w:spacing w:val="-5"/>
                <w:w w:val="90"/>
                <w:sz w:val="14"/>
              </w:rPr>
              <w:t>Q75</w:t>
            </w:r>
          </w:p>
        </w:tc>
      </w:tr>
      <w:tr>
        <w:trPr>
          <w:trHeight w:val="258" w:hRule="atLeast"/>
        </w:trPr>
        <w:tc>
          <w:tcPr>
            <w:tcW w:w="1263" w:type="dxa"/>
            <w:tcBorders>
              <w:top w:val="single" w:sz="4" w:space="0" w:color="008FDD"/>
            </w:tcBorders>
          </w:tcPr>
          <w:p>
            <w:pPr>
              <w:pStyle w:val="TableParagraph"/>
              <w:spacing w:before="47"/>
              <w:ind w:left="79"/>
              <w:jc w:val="left"/>
              <w:rPr>
                <w:sz w:val="14"/>
              </w:rPr>
            </w:pPr>
            <w:r>
              <w:rPr>
                <w:color w:val="231F20"/>
                <w:spacing w:val="-2"/>
                <w:w w:val="90"/>
                <w:sz w:val="14"/>
              </w:rPr>
              <w:t>Albania</w:t>
            </w:r>
          </w:p>
        </w:tc>
        <w:tc>
          <w:tcPr>
            <w:tcW w:w="1198" w:type="dxa"/>
            <w:tcBorders>
              <w:top w:val="single" w:sz="4" w:space="0" w:color="008FDD"/>
            </w:tcBorders>
          </w:tcPr>
          <w:p>
            <w:pPr>
              <w:pStyle w:val="TableParagraph"/>
              <w:spacing w:before="47"/>
              <w:ind w:right="435"/>
              <w:jc w:val="right"/>
              <w:rPr>
                <w:sz w:val="14"/>
              </w:rPr>
            </w:pPr>
            <w:r>
              <w:rPr>
                <w:color w:val="231F20"/>
                <w:spacing w:val="-2"/>
                <w:w w:val="95"/>
                <w:sz w:val="14"/>
              </w:rPr>
              <w:t>1,039</w:t>
            </w:r>
          </w:p>
        </w:tc>
        <w:tc>
          <w:tcPr>
            <w:tcW w:w="851" w:type="dxa"/>
            <w:tcBorders>
              <w:top w:val="single" w:sz="4" w:space="0" w:color="008FDD"/>
            </w:tcBorders>
          </w:tcPr>
          <w:p>
            <w:pPr>
              <w:pStyle w:val="TableParagraph"/>
              <w:spacing w:before="47"/>
              <w:ind w:left="19" w:right="136"/>
              <w:rPr>
                <w:sz w:val="14"/>
              </w:rPr>
            </w:pPr>
            <w:r>
              <w:rPr>
                <w:color w:val="231F20"/>
                <w:spacing w:val="-4"/>
                <w:w w:val="95"/>
                <w:sz w:val="14"/>
              </w:rPr>
              <w:t>13.6</w:t>
            </w:r>
          </w:p>
        </w:tc>
        <w:tc>
          <w:tcPr>
            <w:tcW w:w="1059" w:type="dxa"/>
            <w:tcBorders>
              <w:top w:val="single" w:sz="4" w:space="0" w:color="008FDD"/>
            </w:tcBorders>
          </w:tcPr>
          <w:p>
            <w:pPr>
              <w:pStyle w:val="TableParagraph"/>
              <w:spacing w:before="47"/>
              <w:ind w:left="67" w:right="39"/>
              <w:rPr>
                <w:sz w:val="14"/>
              </w:rPr>
            </w:pPr>
            <w:r>
              <w:rPr>
                <w:color w:val="231F20"/>
                <w:spacing w:val="-5"/>
                <w:w w:val="95"/>
                <w:sz w:val="14"/>
              </w:rPr>
              <w:t>6.6</w:t>
            </w:r>
          </w:p>
        </w:tc>
        <w:tc>
          <w:tcPr>
            <w:tcW w:w="1083" w:type="dxa"/>
            <w:tcBorders>
              <w:top w:val="single" w:sz="4" w:space="0" w:color="008FDD"/>
            </w:tcBorders>
          </w:tcPr>
          <w:p>
            <w:pPr>
              <w:pStyle w:val="TableParagraph"/>
              <w:spacing w:before="47"/>
              <w:ind w:left="395"/>
              <w:jc w:val="left"/>
              <w:rPr>
                <w:sz w:val="14"/>
              </w:rPr>
            </w:pPr>
            <w:r>
              <w:rPr>
                <w:color w:val="231F20"/>
                <w:spacing w:val="-5"/>
                <w:w w:val="95"/>
                <w:sz w:val="14"/>
              </w:rPr>
              <w:t>3.7</w:t>
            </w:r>
          </w:p>
        </w:tc>
        <w:tc>
          <w:tcPr>
            <w:tcW w:w="754" w:type="dxa"/>
            <w:tcBorders>
              <w:top w:val="single" w:sz="4" w:space="0" w:color="008FDD"/>
            </w:tcBorders>
          </w:tcPr>
          <w:p>
            <w:pPr>
              <w:pStyle w:val="TableParagraph"/>
              <w:spacing w:before="47"/>
              <w:ind w:left="40" w:right="64"/>
              <w:rPr>
                <w:sz w:val="14"/>
              </w:rPr>
            </w:pPr>
            <w:r>
              <w:rPr>
                <w:color w:val="231F20"/>
                <w:spacing w:val="-4"/>
                <w:w w:val="95"/>
                <w:sz w:val="14"/>
              </w:rPr>
              <w:t>14.7</w:t>
            </w:r>
          </w:p>
        </w:tc>
        <w:tc>
          <w:tcPr>
            <w:tcW w:w="239" w:type="dxa"/>
            <w:tcBorders>
              <w:top w:val="single" w:sz="4" w:space="0" w:color="008FDD"/>
            </w:tcBorders>
          </w:tcPr>
          <w:p>
            <w:pPr>
              <w:pStyle w:val="TableParagraph"/>
              <w:spacing w:before="0"/>
              <w:jc w:val="left"/>
              <w:rPr>
                <w:rFonts w:ascii="Times New Roman"/>
                <w:sz w:val="12"/>
              </w:rPr>
            </w:pPr>
          </w:p>
        </w:tc>
        <w:tc>
          <w:tcPr>
            <w:tcW w:w="850" w:type="dxa"/>
            <w:tcBorders>
              <w:top w:val="single" w:sz="4" w:space="0" w:color="008FDD"/>
            </w:tcBorders>
          </w:tcPr>
          <w:p>
            <w:pPr>
              <w:pStyle w:val="TableParagraph"/>
              <w:spacing w:before="47"/>
              <w:ind w:left="252"/>
              <w:jc w:val="left"/>
              <w:rPr>
                <w:sz w:val="14"/>
              </w:rPr>
            </w:pPr>
            <w:r>
              <w:rPr>
                <w:color w:val="231F20"/>
                <w:spacing w:val="-4"/>
                <w:w w:val="95"/>
                <w:sz w:val="14"/>
              </w:rPr>
              <w:t>13.3</w:t>
            </w:r>
          </w:p>
        </w:tc>
        <w:tc>
          <w:tcPr>
            <w:tcW w:w="1058" w:type="dxa"/>
            <w:tcBorders>
              <w:top w:val="single" w:sz="4" w:space="0" w:color="008FDD"/>
            </w:tcBorders>
          </w:tcPr>
          <w:p>
            <w:pPr>
              <w:pStyle w:val="TableParagraph"/>
              <w:spacing w:before="47"/>
              <w:ind w:left="64" w:right="29"/>
              <w:rPr>
                <w:sz w:val="14"/>
              </w:rPr>
            </w:pPr>
            <w:r>
              <w:rPr>
                <w:color w:val="231F20"/>
                <w:spacing w:val="-5"/>
                <w:w w:val="95"/>
                <w:sz w:val="14"/>
              </w:rPr>
              <w:t>6.4</w:t>
            </w:r>
          </w:p>
        </w:tc>
        <w:tc>
          <w:tcPr>
            <w:tcW w:w="948" w:type="dxa"/>
            <w:tcBorders>
              <w:top w:val="single" w:sz="4" w:space="0" w:color="008FDD"/>
            </w:tcBorders>
          </w:tcPr>
          <w:p>
            <w:pPr>
              <w:pStyle w:val="TableParagraph"/>
              <w:spacing w:before="47"/>
              <w:ind w:left="88" w:right="60"/>
              <w:rPr>
                <w:sz w:val="14"/>
              </w:rPr>
            </w:pPr>
            <w:r>
              <w:rPr>
                <w:color w:val="231F20"/>
                <w:spacing w:val="-5"/>
                <w:w w:val="95"/>
                <w:sz w:val="14"/>
              </w:rPr>
              <w:t>3.5</w:t>
            </w:r>
          </w:p>
        </w:tc>
        <w:tc>
          <w:tcPr>
            <w:tcW w:w="1007" w:type="dxa"/>
            <w:tcBorders>
              <w:top w:val="single" w:sz="4" w:space="0" w:color="008FDD"/>
            </w:tcBorders>
          </w:tcPr>
          <w:p>
            <w:pPr>
              <w:pStyle w:val="TableParagraph"/>
              <w:spacing w:before="47"/>
              <w:ind w:right="382"/>
              <w:jc w:val="right"/>
              <w:rPr>
                <w:sz w:val="14"/>
              </w:rPr>
            </w:pPr>
            <w:r>
              <w:rPr>
                <w:color w:val="231F20"/>
                <w:spacing w:val="-4"/>
                <w:w w:val="95"/>
                <w:sz w:val="14"/>
              </w:rPr>
              <w:t>14.5</w:t>
            </w:r>
          </w:p>
        </w:tc>
      </w:tr>
      <w:tr>
        <w:trPr>
          <w:trHeight w:val="259" w:hRule="atLeast"/>
        </w:trPr>
        <w:tc>
          <w:tcPr>
            <w:tcW w:w="1263" w:type="dxa"/>
            <w:shd w:val="clear" w:color="auto" w:fill="D4E3F5"/>
          </w:tcPr>
          <w:p>
            <w:pPr>
              <w:pStyle w:val="TableParagraph"/>
              <w:ind w:left="79"/>
              <w:jc w:val="left"/>
              <w:rPr>
                <w:sz w:val="14"/>
              </w:rPr>
            </w:pPr>
            <w:r>
              <w:rPr>
                <w:color w:val="231F20"/>
                <w:spacing w:val="-2"/>
                <w:w w:val="90"/>
                <w:sz w:val="14"/>
              </w:rPr>
              <w:t>Algeria</w:t>
            </w:r>
          </w:p>
        </w:tc>
        <w:tc>
          <w:tcPr>
            <w:tcW w:w="1198" w:type="dxa"/>
            <w:shd w:val="clear" w:color="auto" w:fill="D4E3F5"/>
          </w:tcPr>
          <w:p>
            <w:pPr>
              <w:pStyle w:val="TableParagraph"/>
              <w:ind w:right="434"/>
              <w:jc w:val="right"/>
              <w:rPr>
                <w:sz w:val="14"/>
              </w:rPr>
            </w:pPr>
            <w:r>
              <w:rPr>
                <w:color w:val="231F20"/>
                <w:spacing w:val="-2"/>
                <w:w w:val="95"/>
                <w:sz w:val="14"/>
              </w:rPr>
              <w:t>2,362</w:t>
            </w:r>
          </w:p>
        </w:tc>
        <w:tc>
          <w:tcPr>
            <w:tcW w:w="851" w:type="dxa"/>
            <w:shd w:val="clear" w:color="auto" w:fill="D4E3F5"/>
          </w:tcPr>
          <w:p>
            <w:pPr>
              <w:pStyle w:val="TableParagraph"/>
              <w:ind w:left="12" w:right="136"/>
              <w:rPr>
                <w:sz w:val="14"/>
              </w:rPr>
            </w:pPr>
            <w:r>
              <w:rPr>
                <w:color w:val="231F20"/>
                <w:spacing w:val="-4"/>
                <w:w w:val="95"/>
                <w:sz w:val="14"/>
              </w:rPr>
              <w:t>20.9</w:t>
            </w:r>
          </w:p>
        </w:tc>
        <w:tc>
          <w:tcPr>
            <w:tcW w:w="1059" w:type="dxa"/>
            <w:shd w:val="clear" w:color="auto" w:fill="D4E3F5"/>
          </w:tcPr>
          <w:p>
            <w:pPr>
              <w:pStyle w:val="TableParagraph"/>
              <w:ind w:left="42" w:right="77"/>
              <w:rPr>
                <w:sz w:val="14"/>
              </w:rPr>
            </w:pPr>
            <w:r>
              <w:rPr>
                <w:color w:val="231F20"/>
                <w:spacing w:val="-4"/>
                <w:w w:val="95"/>
                <w:sz w:val="14"/>
              </w:rPr>
              <w:t>16.4</w:t>
            </w:r>
          </w:p>
        </w:tc>
        <w:tc>
          <w:tcPr>
            <w:tcW w:w="1083" w:type="dxa"/>
            <w:shd w:val="clear" w:color="auto" w:fill="D4E3F5"/>
          </w:tcPr>
          <w:p>
            <w:pPr>
              <w:pStyle w:val="TableParagraph"/>
              <w:ind w:left="332"/>
              <w:jc w:val="left"/>
              <w:rPr>
                <w:sz w:val="14"/>
              </w:rPr>
            </w:pPr>
            <w:r>
              <w:rPr>
                <w:color w:val="231F20"/>
                <w:spacing w:val="-4"/>
                <w:w w:val="95"/>
                <w:sz w:val="14"/>
              </w:rPr>
              <w:t>10.9</w:t>
            </w:r>
          </w:p>
        </w:tc>
        <w:tc>
          <w:tcPr>
            <w:tcW w:w="754" w:type="dxa"/>
            <w:shd w:val="clear" w:color="auto" w:fill="D4E3F5"/>
          </w:tcPr>
          <w:p>
            <w:pPr>
              <w:pStyle w:val="TableParagraph"/>
              <w:ind w:left="40" w:right="63"/>
              <w:rPr>
                <w:sz w:val="14"/>
              </w:rPr>
            </w:pPr>
            <w:r>
              <w:rPr>
                <w:color w:val="231F20"/>
                <w:spacing w:val="-4"/>
                <w:w w:val="95"/>
                <w:sz w:val="14"/>
              </w:rPr>
              <w:t>24.6</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244"/>
              <w:jc w:val="left"/>
              <w:rPr>
                <w:sz w:val="14"/>
              </w:rPr>
            </w:pPr>
            <w:r>
              <w:rPr>
                <w:color w:val="231F20"/>
                <w:spacing w:val="-4"/>
                <w:w w:val="95"/>
                <w:sz w:val="14"/>
              </w:rPr>
              <w:t>20.9</w:t>
            </w:r>
          </w:p>
        </w:tc>
        <w:tc>
          <w:tcPr>
            <w:tcW w:w="1058" w:type="dxa"/>
            <w:shd w:val="clear" w:color="auto" w:fill="D4E3F5"/>
          </w:tcPr>
          <w:p>
            <w:pPr>
              <w:pStyle w:val="TableParagraph"/>
              <w:ind w:left="52" w:right="77"/>
              <w:rPr>
                <w:sz w:val="14"/>
              </w:rPr>
            </w:pPr>
            <w:r>
              <w:rPr>
                <w:color w:val="231F20"/>
                <w:spacing w:val="-4"/>
                <w:w w:val="95"/>
                <w:sz w:val="14"/>
              </w:rPr>
              <w:t>16.4</w:t>
            </w:r>
          </w:p>
        </w:tc>
        <w:tc>
          <w:tcPr>
            <w:tcW w:w="948" w:type="dxa"/>
            <w:shd w:val="clear" w:color="auto" w:fill="D4E3F5"/>
          </w:tcPr>
          <w:p>
            <w:pPr>
              <w:pStyle w:val="TableParagraph"/>
              <w:ind w:left="39" w:right="73"/>
              <w:rPr>
                <w:sz w:val="14"/>
              </w:rPr>
            </w:pPr>
            <w:r>
              <w:rPr>
                <w:color w:val="231F20"/>
                <w:spacing w:val="-4"/>
                <w:w w:val="95"/>
                <w:sz w:val="14"/>
              </w:rPr>
              <w:t>10.9</w:t>
            </w:r>
          </w:p>
        </w:tc>
        <w:tc>
          <w:tcPr>
            <w:tcW w:w="1007" w:type="dxa"/>
            <w:shd w:val="clear" w:color="auto" w:fill="D4E3F5"/>
          </w:tcPr>
          <w:p>
            <w:pPr>
              <w:pStyle w:val="TableParagraph"/>
              <w:ind w:right="383"/>
              <w:jc w:val="right"/>
              <w:rPr>
                <w:sz w:val="14"/>
              </w:rPr>
            </w:pPr>
            <w:r>
              <w:rPr>
                <w:color w:val="231F20"/>
                <w:spacing w:val="-4"/>
                <w:w w:val="95"/>
                <w:sz w:val="14"/>
              </w:rPr>
              <w:t>24.6</w:t>
            </w:r>
          </w:p>
        </w:tc>
      </w:tr>
      <w:tr>
        <w:trPr>
          <w:trHeight w:val="259" w:hRule="atLeast"/>
        </w:trPr>
        <w:tc>
          <w:tcPr>
            <w:tcW w:w="1263" w:type="dxa"/>
          </w:tcPr>
          <w:p>
            <w:pPr>
              <w:pStyle w:val="TableParagraph"/>
              <w:ind w:left="79"/>
              <w:jc w:val="left"/>
              <w:rPr>
                <w:sz w:val="14"/>
              </w:rPr>
            </w:pPr>
            <w:r>
              <w:rPr>
                <w:color w:val="231F20"/>
                <w:spacing w:val="2"/>
                <w:w w:val="75"/>
                <w:sz w:val="14"/>
              </w:rPr>
              <w:t>American</w:t>
            </w:r>
            <w:r>
              <w:rPr>
                <w:color w:val="231F20"/>
                <w:spacing w:val="12"/>
                <w:sz w:val="14"/>
              </w:rPr>
              <w:t> </w:t>
            </w:r>
            <w:r>
              <w:rPr>
                <w:color w:val="231F20"/>
                <w:spacing w:val="-2"/>
                <w:w w:val="90"/>
                <w:sz w:val="14"/>
              </w:rPr>
              <w:t>Samoa</w:t>
            </w:r>
          </w:p>
        </w:tc>
        <w:tc>
          <w:tcPr>
            <w:tcW w:w="1198" w:type="dxa"/>
          </w:tcPr>
          <w:p>
            <w:pPr>
              <w:pStyle w:val="TableParagraph"/>
              <w:ind w:right="431"/>
              <w:jc w:val="right"/>
              <w:rPr>
                <w:sz w:val="14"/>
              </w:rPr>
            </w:pPr>
            <w:r>
              <w:rPr>
                <w:color w:val="231F20"/>
                <w:spacing w:val="-5"/>
                <w:w w:val="95"/>
                <w:sz w:val="14"/>
              </w:rPr>
              <w:t>20</w:t>
            </w:r>
          </w:p>
        </w:tc>
        <w:tc>
          <w:tcPr>
            <w:tcW w:w="851" w:type="dxa"/>
          </w:tcPr>
          <w:p>
            <w:pPr>
              <w:pStyle w:val="TableParagraph"/>
              <w:ind w:left="17" w:right="136"/>
              <w:rPr>
                <w:sz w:val="14"/>
              </w:rPr>
            </w:pPr>
            <w:r>
              <w:rPr>
                <w:color w:val="231F20"/>
                <w:spacing w:val="-4"/>
                <w:w w:val="95"/>
                <w:sz w:val="14"/>
              </w:rPr>
              <w:t>18.4</w:t>
            </w:r>
          </w:p>
        </w:tc>
        <w:tc>
          <w:tcPr>
            <w:tcW w:w="1059" w:type="dxa"/>
          </w:tcPr>
          <w:p>
            <w:pPr>
              <w:pStyle w:val="TableParagraph"/>
              <w:ind w:left="42" w:right="61"/>
              <w:rPr>
                <w:sz w:val="14"/>
              </w:rPr>
            </w:pPr>
            <w:r>
              <w:rPr>
                <w:color w:val="231F20"/>
                <w:spacing w:val="-4"/>
                <w:w w:val="95"/>
                <w:sz w:val="14"/>
              </w:rPr>
              <w:t>17.0</w:t>
            </w:r>
          </w:p>
        </w:tc>
        <w:tc>
          <w:tcPr>
            <w:tcW w:w="1083" w:type="dxa"/>
          </w:tcPr>
          <w:p>
            <w:pPr>
              <w:pStyle w:val="TableParagraph"/>
              <w:ind w:left="397"/>
              <w:jc w:val="left"/>
              <w:rPr>
                <w:sz w:val="14"/>
              </w:rPr>
            </w:pPr>
            <w:r>
              <w:rPr>
                <w:color w:val="231F20"/>
                <w:spacing w:val="-5"/>
                <w:w w:val="95"/>
                <w:sz w:val="14"/>
              </w:rPr>
              <w:t>4.9</w:t>
            </w:r>
          </w:p>
        </w:tc>
        <w:tc>
          <w:tcPr>
            <w:tcW w:w="754" w:type="dxa"/>
          </w:tcPr>
          <w:p>
            <w:pPr>
              <w:pStyle w:val="TableParagraph"/>
              <w:ind w:left="40" w:right="68"/>
              <w:rPr>
                <w:sz w:val="14"/>
              </w:rPr>
            </w:pPr>
            <w:r>
              <w:rPr>
                <w:color w:val="231F20"/>
                <w:spacing w:val="-4"/>
                <w:w w:val="95"/>
                <w:sz w:val="14"/>
              </w:rPr>
              <w:t>32.6</w:t>
            </w:r>
          </w:p>
        </w:tc>
        <w:tc>
          <w:tcPr>
            <w:tcW w:w="239" w:type="dxa"/>
          </w:tcPr>
          <w:p>
            <w:pPr>
              <w:pStyle w:val="TableParagraph"/>
              <w:spacing w:before="0"/>
              <w:jc w:val="left"/>
              <w:rPr>
                <w:rFonts w:ascii="Times New Roman"/>
                <w:sz w:val="12"/>
              </w:rPr>
            </w:pPr>
          </w:p>
        </w:tc>
        <w:tc>
          <w:tcPr>
            <w:tcW w:w="850" w:type="dxa"/>
          </w:tcPr>
          <w:p>
            <w:pPr>
              <w:pStyle w:val="TableParagraph"/>
              <w:ind w:left="251"/>
              <w:jc w:val="left"/>
              <w:rPr>
                <w:sz w:val="14"/>
              </w:rPr>
            </w:pPr>
            <w:r>
              <w:rPr>
                <w:color w:val="231F20"/>
                <w:spacing w:val="-4"/>
                <w:w w:val="95"/>
                <w:sz w:val="14"/>
              </w:rPr>
              <w:t>18.4</w:t>
            </w:r>
          </w:p>
        </w:tc>
        <w:tc>
          <w:tcPr>
            <w:tcW w:w="1058" w:type="dxa"/>
          </w:tcPr>
          <w:p>
            <w:pPr>
              <w:pStyle w:val="TableParagraph"/>
              <w:ind w:left="52" w:right="61"/>
              <w:rPr>
                <w:sz w:val="14"/>
              </w:rPr>
            </w:pPr>
            <w:r>
              <w:rPr>
                <w:color w:val="231F20"/>
                <w:spacing w:val="-4"/>
                <w:w w:val="95"/>
                <w:sz w:val="14"/>
              </w:rPr>
              <w:t>17.0</w:t>
            </w:r>
          </w:p>
        </w:tc>
        <w:tc>
          <w:tcPr>
            <w:tcW w:w="948" w:type="dxa"/>
          </w:tcPr>
          <w:p>
            <w:pPr>
              <w:pStyle w:val="TableParagraph"/>
              <w:ind w:left="87" w:right="60"/>
              <w:rPr>
                <w:sz w:val="14"/>
              </w:rPr>
            </w:pPr>
            <w:r>
              <w:rPr>
                <w:color w:val="231F20"/>
                <w:spacing w:val="-5"/>
                <w:w w:val="95"/>
                <w:sz w:val="14"/>
              </w:rPr>
              <w:t>4.9</w:t>
            </w:r>
          </w:p>
        </w:tc>
        <w:tc>
          <w:tcPr>
            <w:tcW w:w="1007" w:type="dxa"/>
          </w:tcPr>
          <w:p>
            <w:pPr>
              <w:pStyle w:val="TableParagraph"/>
              <w:ind w:right="382"/>
              <w:jc w:val="right"/>
              <w:rPr>
                <w:sz w:val="14"/>
              </w:rPr>
            </w:pPr>
            <w:r>
              <w:rPr>
                <w:color w:val="231F20"/>
                <w:spacing w:val="-4"/>
                <w:w w:val="95"/>
                <w:sz w:val="14"/>
              </w:rPr>
              <w:t>32.6</w:t>
            </w:r>
          </w:p>
        </w:tc>
      </w:tr>
      <w:tr>
        <w:trPr>
          <w:trHeight w:val="259" w:hRule="atLeast"/>
        </w:trPr>
        <w:tc>
          <w:tcPr>
            <w:tcW w:w="1263" w:type="dxa"/>
            <w:shd w:val="clear" w:color="auto" w:fill="D4E3F5"/>
          </w:tcPr>
          <w:p>
            <w:pPr>
              <w:pStyle w:val="TableParagraph"/>
              <w:ind w:left="79"/>
              <w:jc w:val="left"/>
              <w:rPr>
                <w:sz w:val="14"/>
              </w:rPr>
            </w:pPr>
            <w:r>
              <w:rPr>
                <w:color w:val="231F20"/>
                <w:spacing w:val="-2"/>
                <w:w w:val="85"/>
                <w:sz w:val="14"/>
              </w:rPr>
              <w:t>Angola</w:t>
            </w:r>
          </w:p>
        </w:tc>
        <w:tc>
          <w:tcPr>
            <w:tcW w:w="1198" w:type="dxa"/>
            <w:shd w:val="clear" w:color="auto" w:fill="D4E3F5"/>
          </w:tcPr>
          <w:p>
            <w:pPr>
              <w:pStyle w:val="TableParagraph"/>
              <w:ind w:right="435"/>
              <w:jc w:val="right"/>
              <w:rPr>
                <w:sz w:val="14"/>
              </w:rPr>
            </w:pPr>
            <w:r>
              <w:rPr>
                <w:color w:val="231F20"/>
                <w:spacing w:val="-2"/>
                <w:w w:val="95"/>
                <w:sz w:val="14"/>
              </w:rPr>
              <w:t>10,064</w:t>
            </w:r>
          </w:p>
        </w:tc>
        <w:tc>
          <w:tcPr>
            <w:tcW w:w="851" w:type="dxa"/>
            <w:shd w:val="clear" w:color="auto" w:fill="D4E3F5"/>
          </w:tcPr>
          <w:p>
            <w:pPr>
              <w:pStyle w:val="TableParagraph"/>
              <w:ind w:left="83" w:right="136"/>
              <w:rPr>
                <w:sz w:val="14"/>
              </w:rPr>
            </w:pPr>
            <w:r>
              <w:rPr>
                <w:color w:val="231F20"/>
                <w:spacing w:val="-5"/>
                <w:w w:val="95"/>
                <w:sz w:val="14"/>
              </w:rPr>
              <w:t>6.9</w:t>
            </w:r>
          </w:p>
        </w:tc>
        <w:tc>
          <w:tcPr>
            <w:tcW w:w="1059" w:type="dxa"/>
            <w:shd w:val="clear" w:color="auto" w:fill="D4E3F5"/>
          </w:tcPr>
          <w:p>
            <w:pPr>
              <w:pStyle w:val="TableParagraph"/>
              <w:ind w:left="68" w:right="39"/>
              <w:rPr>
                <w:sz w:val="14"/>
              </w:rPr>
            </w:pPr>
            <w:r>
              <w:rPr>
                <w:color w:val="231F20"/>
                <w:spacing w:val="-5"/>
                <w:w w:val="95"/>
                <w:sz w:val="14"/>
              </w:rPr>
              <w:t>4.8</w:t>
            </w:r>
          </w:p>
        </w:tc>
        <w:tc>
          <w:tcPr>
            <w:tcW w:w="1083" w:type="dxa"/>
            <w:shd w:val="clear" w:color="auto" w:fill="D4E3F5"/>
          </w:tcPr>
          <w:p>
            <w:pPr>
              <w:pStyle w:val="TableParagraph"/>
              <w:ind w:left="396"/>
              <w:jc w:val="left"/>
              <w:rPr>
                <w:sz w:val="14"/>
              </w:rPr>
            </w:pPr>
            <w:r>
              <w:rPr>
                <w:color w:val="231F20"/>
                <w:spacing w:val="-5"/>
                <w:w w:val="95"/>
                <w:sz w:val="14"/>
              </w:rPr>
              <w:t>2.9</w:t>
            </w:r>
          </w:p>
        </w:tc>
        <w:tc>
          <w:tcPr>
            <w:tcW w:w="754" w:type="dxa"/>
            <w:shd w:val="clear" w:color="auto" w:fill="D4E3F5"/>
          </w:tcPr>
          <w:p>
            <w:pPr>
              <w:pStyle w:val="TableParagraph"/>
              <w:ind w:left="67" w:right="48"/>
              <w:rPr>
                <w:sz w:val="14"/>
              </w:rPr>
            </w:pPr>
            <w:r>
              <w:rPr>
                <w:color w:val="231F20"/>
                <w:spacing w:val="-5"/>
                <w:w w:val="95"/>
                <w:sz w:val="14"/>
              </w:rPr>
              <w:t>8.1</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18" w:right="65"/>
              <w:rPr>
                <w:sz w:val="14"/>
              </w:rPr>
            </w:pPr>
            <w:r>
              <w:rPr>
                <w:color w:val="231F20"/>
                <w:spacing w:val="-5"/>
                <w:w w:val="95"/>
                <w:sz w:val="14"/>
              </w:rPr>
              <w:t>4.4</w:t>
            </w:r>
          </w:p>
        </w:tc>
        <w:tc>
          <w:tcPr>
            <w:tcW w:w="1058" w:type="dxa"/>
            <w:shd w:val="clear" w:color="auto" w:fill="D4E3F5"/>
          </w:tcPr>
          <w:p>
            <w:pPr>
              <w:pStyle w:val="TableParagraph"/>
              <w:ind w:left="67" w:right="29"/>
              <w:rPr>
                <w:sz w:val="14"/>
              </w:rPr>
            </w:pPr>
            <w:r>
              <w:rPr>
                <w:color w:val="231F20"/>
                <w:spacing w:val="-5"/>
                <w:w w:val="95"/>
                <w:sz w:val="14"/>
              </w:rPr>
              <w:t>4.0</w:t>
            </w:r>
          </w:p>
        </w:tc>
        <w:tc>
          <w:tcPr>
            <w:tcW w:w="948" w:type="dxa"/>
            <w:shd w:val="clear" w:color="auto" w:fill="D4E3F5"/>
          </w:tcPr>
          <w:p>
            <w:pPr>
              <w:pStyle w:val="TableParagraph"/>
              <w:ind w:left="84" w:right="60"/>
              <w:rPr>
                <w:sz w:val="14"/>
              </w:rPr>
            </w:pPr>
            <w:r>
              <w:rPr>
                <w:color w:val="231F20"/>
                <w:spacing w:val="-5"/>
                <w:w w:val="95"/>
                <w:sz w:val="14"/>
              </w:rPr>
              <w:t>2.4</w:t>
            </w:r>
          </w:p>
        </w:tc>
        <w:tc>
          <w:tcPr>
            <w:tcW w:w="1007" w:type="dxa"/>
            <w:shd w:val="clear" w:color="auto" w:fill="D4E3F5"/>
          </w:tcPr>
          <w:p>
            <w:pPr>
              <w:pStyle w:val="TableParagraph"/>
              <w:ind w:right="382"/>
              <w:jc w:val="right"/>
              <w:rPr>
                <w:sz w:val="14"/>
              </w:rPr>
            </w:pPr>
            <w:r>
              <w:rPr>
                <w:color w:val="231F20"/>
                <w:spacing w:val="-5"/>
                <w:w w:val="95"/>
                <w:sz w:val="14"/>
              </w:rPr>
              <w:t>5.5</w:t>
            </w:r>
          </w:p>
        </w:tc>
      </w:tr>
      <w:tr>
        <w:trPr>
          <w:trHeight w:val="259" w:hRule="atLeast"/>
        </w:trPr>
        <w:tc>
          <w:tcPr>
            <w:tcW w:w="1263" w:type="dxa"/>
          </w:tcPr>
          <w:p>
            <w:pPr>
              <w:pStyle w:val="TableParagraph"/>
              <w:ind w:left="79"/>
              <w:jc w:val="left"/>
              <w:rPr>
                <w:sz w:val="14"/>
              </w:rPr>
            </w:pPr>
            <w:r>
              <w:rPr>
                <w:color w:val="231F20"/>
                <w:spacing w:val="-2"/>
                <w:w w:val="90"/>
                <w:sz w:val="14"/>
              </w:rPr>
              <w:t>Argentina</w:t>
            </w:r>
          </w:p>
        </w:tc>
        <w:tc>
          <w:tcPr>
            <w:tcW w:w="1198" w:type="dxa"/>
          </w:tcPr>
          <w:p>
            <w:pPr>
              <w:pStyle w:val="TableParagraph"/>
              <w:ind w:right="434"/>
              <w:jc w:val="right"/>
              <w:rPr>
                <w:sz w:val="14"/>
              </w:rPr>
            </w:pPr>
            <w:r>
              <w:rPr>
                <w:color w:val="231F20"/>
                <w:spacing w:val="-2"/>
                <w:w w:val="95"/>
                <w:sz w:val="14"/>
              </w:rPr>
              <w:t>14,350</w:t>
            </w:r>
          </w:p>
        </w:tc>
        <w:tc>
          <w:tcPr>
            <w:tcW w:w="851" w:type="dxa"/>
          </w:tcPr>
          <w:p>
            <w:pPr>
              <w:pStyle w:val="TableParagraph"/>
              <w:ind w:left="27" w:right="136"/>
              <w:rPr>
                <w:sz w:val="14"/>
              </w:rPr>
            </w:pPr>
            <w:r>
              <w:rPr>
                <w:color w:val="231F20"/>
                <w:spacing w:val="-4"/>
                <w:w w:val="95"/>
                <w:sz w:val="14"/>
              </w:rPr>
              <w:t>11.4</w:t>
            </w:r>
          </w:p>
        </w:tc>
        <w:tc>
          <w:tcPr>
            <w:tcW w:w="1059" w:type="dxa"/>
          </w:tcPr>
          <w:p>
            <w:pPr>
              <w:pStyle w:val="TableParagraph"/>
              <w:ind w:left="69" w:right="39"/>
              <w:rPr>
                <w:sz w:val="14"/>
              </w:rPr>
            </w:pPr>
            <w:r>
              <w:rPr>
                <w:color w:val="231F20"/>
                <w:spacing w:val="-5"/>
                <w:w w:val="95"/>
                <w:sz w:val="14"/>
              </w:rPr>
              <w:t>9.2</w:t>
            </w:r>
          </w:p>
        </w:tc>
        <w:tc>
          <w:tcPr>
            <w:tcW w:w="1083" w:type="dxa"/>
          </w:tcPr>
          <w:p>
            <w:pPr>
              <w:pStyle w:val="TableParagraph"/>
              <w:ind w:left="395"/>
              <w:jc w:val="left"/>
              <w:rPr>
                <w:sz w:val="14"/>
              </w:rPr>
            </w:pPr>
            <w:r>
              <w:rPr>
                <w:color w:val="231F20"/>
                <w:spacing w:val="-5"/>
                <w:w w:val="95"/>
                <w:sz w:val="14"/>
              </w:rPr>
              <w:t>6.4</w:t>
            </w:r>
          </w:p>
        </w:tc>
        <w:tc>
          <w:tcPr>
            <w:tcW w:w="754" w:type="dxa"/>
          </w:tcPr>
          <w:p>
            <w:pPr>
              <w:pStyle w:val="TableParagraph"/>
              <w:ind w:left="40" w:right="62"/>
              <w:rPr>
                <w:sz w:val="14"/>
              </w:rPr>
            </w:pPr>
            <w:r>
              <w:rPr>
                <w:color w:val="231F20"/>
                <w:spacing w:val="-4"/>
                <w:w w:val="95"/>
                <w:sz w:val="14"/>
              </w:rPr>
              <w:t>13.6</w:t>
            </w:r>
          </w:p>
        </w:tc>
        <w:tc>
          <w:tcPr>
            <w:tcW w:w="239" w:type="dxa"/>
          </w:tcPr>
          <w:p>
            <w:pPr>
              <w:pStyle w:val="TableParagraph"/>
              <w:spacing w:before="0"/>
              <w:jc w:val="left"/>
              <w:rPr>
                <w:rFonts w:ascii="Times New Roman"/>
                <w:sz w:val="12"/>
              </w:rPr>
            </w:pPr>
          </w:p>
        </w:tc>
        <w:tc>
          <w:tcPr>
            <w:tcW w:w="850" w:type="dxa"/>
          </w:tcPr>
          <w:p>
            <w:pPr>
              <w:pStyle w:val="TableParagraph"/>
              <w:ind w:left="261"/>
              <w:jc w:val="left"/>
              <w:rPr>
                <w:sz w:val="14"/>
              </w:rPr>
            </w:pPr>
            <w:r>
              <w:rPr>
                <w:color w:val="231F20"/>
                <w:spacing w:val="-4"/>
                <w:w w:val="95"/>
                <w:sz w:val="14"/>
              </w:rPr>
              <w:t>11.4</w:t>
            </w:r>
          </w:p>
        </w:tc>
        <w:tc>
          <w:tcPr>
            <w:tcW w:w="1058" w:type="dxa"/>
          </w:tcPr>
          <w:p>
            <w:pPr>
              <w:pStyle w:val="TableParagraph"/>
              <w:ind w:left="69" w:right="29"/>
              <w:rPr>
                <w:sz w:val="14"/>
              </w:rPr>
            </w:pPr>
            <w:r>
              <w:rPr>
                <w:color w:val="231F20"/>
                <w:spacing w:val="-5"/>
                <w:w w:val="95"/>
                <w:sz w:val="14"/>
              </w:rPr>
              <w:t>9.2</w:t>
            </w:r>
          </w:p>
        </w:tc>
        <w:tc>
          <w:tcPr>
            <w:tcW w:w="948" w:type="dxa"/>
          </w:tcPr>
          <w:p>
            <w:pPr>
              <w:pStyle w:val="TableParagraph"/>
              <w:ind w:left="84" w:right="60"/>
              <w:rPr>
                <w:sz w:val="14"/>
              </w:rPr>
            </w:pPr>
            <w:r>
              <w:rPr>
                <w:color w:val="231F20"/>
                <w:spacing w:val="-5"/>
                <w:w w:val="95"/>
                <w:sz w:val="14"/>
              </w:rPr>
              <w:t>6.4</w:t>
            </w:r>
          </w:p>
        </w:tc>
        <w:tc>
          <w:tcPr>
            <w:tcW w:w="1007" w:type="dxa"/>
          </w:tcPr>
          <w:p>
            <w:pPr>
              <w:pStyle w:val="TableParagraph"/>
              <w:ind w:right="383"/>
              <w:jc w:val="right"/>
              <w:rPr>
                <w:sz w:val="14"/>
              </w:rPr>
            </w:pPr>
            <w:r>
              <w:rPr>
                <w:color w:val="231F20"/>
                <w:spacing w:val="-4"/>
                <w:w w:val="95"/>
                <w:sz w:val="14"/>
              </w:rPr>
              <w:t>13.6</w:t>
            </w:r>
          </w:p>
        </w:tc>
      </w:tr>
      <w:tr>
        <w:trPr>
          <w:trHeight w:val="259" w:hRule="atLeast"/>
        </w:trPr>
        <w:tc>
          <w:tcPr>
            <w:tcW w:w="1263" w:type="dxa"/>
            <w:shd w:val="clear" w:color="auto" w:fill="D4E3F5"/>
          </w:tcPr>
          <w:p>
            <w:pPr>
              <w:pStyle w:val="TableParagraph"/>
              <w:ind w:left="79"/>
              <w:jc w:val="left"/>
              <w:rPr>
                <w:sz w:val="14"/>
              </w:rPr>
            </w:pPr>
            <w:r>
              <w:rPr>
                <w:color w:val="231F20"/>
                <w:spacing w:val="-2"/>
                <w:w w:val="90"/>
                <w:sz w:val="14"/>
              </w:rPr>
              <w:t>Armenia</w:t>
            </w:r>
          </w:p>
        </w:tc>
        <w:tc>
          <w:tcPr>
            <w:tcW w:w="1198" w:type="dxa"/>
            <w:shd w:val="clear" w:color="auto" w:fill="D4E3F5"/>
          </w:tcPr>
          <w:p>
            <w:pPr>
              <w:pStyle w:val="TableParagraph"/>
              <w:ind w:right="440"/>
              <w:jc w:val="right"/>
              <w:rPr>
                <w:sz w:val="14"/>
              </w:rPr>
            </w:pPr>
            <w:r>
              <w:rPr>
                <w:color w:val="231F20"/>
                <w:spacing w:val="-5"/>
                <w:w w:val="95"/>
                <w:sz w:val="14"/>
              </w:rPr>
              <w:t>12</w:t>
            </w:r>
          </w:p>
        </w:tc>
        <w:tc>
          <w:tcPr>
            <w:tcW w:w="851" w:type="dxa"/>
            <w:shd w:val="clear" w:color="auto" w:fill="D4E3F5"/>
          </w:tcPr>
          <w:p>
            <w:pPr>
              <w:pStyle w:val="TableParagraph"/>
              <w:ind w:left="84" w:right="136"/>
              <w:rPr>
                <w:sz w:val="14"/>
              </w:rPr>
            </w:pPr>
            <w:r>
              <w:rPr>
                <w:color w:val="231F20"/>
                <w:spacing w:val="-5"/>
                <w:w w:val="95"/>
                <w:sz w:val="14"/>
              </w:rPr>
              <w:t>3.8</w:t>
            </w:r>
          </w:p>
        </w:tc>
        <w:tc>
          <w:tcPr>
            <w:tcW w:w="1059" w:type="dxa"/>
            <w:shd w:val="clear" w:color="auto" w:fill="D4E3F5"/>
          </w:tcPr>
          <w:p>
            <w:pPr>
              <w:pStyle w:val="TableParagraph"/>
              <w:ind w:left="69" w:right="39"/>
              <w:rPr>
                <w:sz w:val="14"/>
              </w:rPr>
            </w:pPr>
            <w:r>
              <w:rPr>
                <w:color w:val="231F20"/>
                <w:spacing w:val="-5"/>
                <w:w w:val="95"/>
                <w:sz w:val="14"/>
              </w:rPr>
              <w:t>3.3</w:t>
            </w:r>
          </w:p>
        </w:tc>
        <w:tc>
          <w:tcPr>
            <w:tcW w:w="1083" w:type="dxa"/>
            <w:shd w:val="clear" w:color="auto" w:fill="D4E3F5"/>
          </w:tcPr>
          <w:p>
            <w:pPr>
              <w:pStyle w:val="TableParagraph"/>
              <w:ind w:left="396"/>
              <w:jc w:val="left"/>
              <w:rPr>
                <w:sz w:val="14"/>
              </w:rPr>
            </w:pPr>
            <w:r>
              <w:rPr>
                <w:color w:val="231F20"/>
                <w:spacing w:val="-5"/>
                <w:w w:val="95"/>
                <w:sz w:val="14"/>
              </w:rPr>
              <w:t>2.7</w:t>
            </w:r>
          </w:p>
        </w:tc>
        <w:tc>
          <w:tcPr>
            <w:tcW w:w="754" w:type="dxa"/>
            <w:shd w:val="clear" w:color="auto" w:fill="D4E3F5"/>
          </w:tcPr>
          <w:p>
            <w:pPr>
              <w:pStyle w:val="TableParagraph"/>
              <w:ind w:left="68" w:right="48"/>
              <w:rPr>
                <w:sz w:val="14"/>
              </w:rPr>
            </w:pPr>
            <w:r>
              <w:rPr>
                <w:color w:val="231F20"/>
                <w:spacing w:val="-5"/>
                <w:w w:val="95"/>
                <w:sz w:val="14"/>
              </w:rPr>
              <w:t>5.1</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21" w:right="65"/>
              <w:rPr>
                <w:sz w:val="14"/>
              </w:rPr>
            </w:pPr>
            <w:r>
              <w:rPr>
                <w:color w:val="231F20"/>
                <w:spacing w:val="-5"/>
                <w:w w:val="95"/>
                <w:sz w:val="14"/>
              </w:rPr>
              <w:t>3.3</w:t>
            </w:r>
          </w:p>
        </w:tc>
        <w:tc>
          <w:tcPr>
            <w:tcW w:w="1058" w:type="dxa"/>
            <w:shd w:val="clear" w:color="auto" w:fill="D4E3F5"/>
          </w:tcPr>
          <w:p>
            <w:pPr>
              <w:pStyle w:val="TableParagraph"/>
              <w:ind w:left="68" w:right="29"/>
              <w:rPr>
                <w:sz w:val="14"/>
              </w:rPr>
            </w:pPr>
            <w:r>
              <w:rPr>
                <w:color w:val="231F20"/>
                <w:spacing w:val="-5"/>
                <w:w w:val="95"/>
                <w:sz w:val="14"/>
              </w:rPr>
              <w:t>3.3</w:t>
            </w:r>
          </w:p>
        </w:tc>
        <w:tc>
          <w:tcPr>
            <w:tcW w:w="948" w:type="dxa"/>
            <w:shd w:val="clear" w:color="auto" w:fill="D4E3F5"/>
          </w:tcPr>
          <w:p>
            <w:pPr>
              <w:pStyle w:val="TableParagraph"/>
              <w:ind w:left="81" w:right="60"/>
              <w:rPr>
                <w:sz w:val="14"/>
              </w:rPr>
            </w:pPr>
            <w:r>
              <w:rPr>
                <w:color w:val="231F20"/>
                <w:spacing w:val="-5"/>
                <w:w w:val="95"/>
                <w:sz w:val="14"/>
              </w:rPr>
              <w:t>0.7</w:t>
            </w:r>
          </w:p>
        </w:tc>
        <w:tc>
          <w:tcPr>
            <w:tcW w:w="1007" w:type="dxa"/>
            <w:shd w:val="clear" w:color="auto" w:fill="D4E3F5"/>
          </w:tcPr>
          <w:p>
            <w:pPr>
              <w:pStyle w:val="TableParagraph"/>
              <w:ind w:right="400"/>
              <w:jc w:val="right"/>
              <w:rPr>
                <w:sz w:val="14"/>
              </w:rPr>
            </w:pPr>
            <w:r>
              <w:rPr>
                <w:color w:val="231F20"/>
                <w:spacing w:val="-5"/>
                <w:w w:val="95"/>
                <w:sz w:val="14"/>
              </w:rPr>
              <w:t>5.1</w:t>
            </w:r>
          </w:p>
        </w:tc>
      </w:tr>
      <w:tr>
        <w:trPr>
          <w:trHeight w:val="259" w:hRule="atLeast"/>
        </w:trPr>
        <w:tc>
          <w:tcPr>
            <w:tcW w:w="1263" w:type="dxa"/>
          </w:tcPr>
          <w:p>
            <w:pPr>
              <w:pStyle w:val="TableParagraph"/>
              <w:ind w:left="79"/>
              <w:jc w:val="left"/>
              <w:rPr>
                <w:sz w:val="14"/>
              </w:rPr>
            </w:pPr>
            <w:r>
              <w:rPr>
                <w:color w:val="231F20"/>
                <w:spacing w:val="-2"/>
                <w:w w:val="90"/>
                <w:sz w:val="14"/>
              </w:rPr>
              <w:t>Aruba</w:t>
            </w:r>
          </w:p>
        </w:tc>
        <w:tc>
          <w:tcPr>
            <w:tcW w:w="1198" w:type="dxa"/>
          </w:tcPr>
          <w:p>
            <w:pPr>
              <w:pStyle w:val="TableParagraph"/>
              <w:ind w:right="432"/>
              <w:jc w:val="right"/>
              <w:rPr>
                <w:sz w:val="14"/>
              </w:rPr>
            </w:pPr>
            <w:r>
              <w:rPr>
                <w:color w:val="231F20"/>
                <w:spacing w:val="-5"/>
                <w:w w:val="95"/>
                <w:sz w:val="14"/>
              </w:rPr>
              <w:t>927</w:t>
            </w:r>
          </w:p>
        </w:tc>
        <w:tc>
          <w:tcPr>
            <w:tcW w:w="851" w:type="dxa"/>
          </w:tcPr>
          <w:p>
            <w:pPr>
              <w:pStyle w:val="TableParagraph"/>
              <w:ind w:left="84" w:right="136"/>
              <w:rPr>
                <w:sz w:val="14"/>
              </w:rPr>
            </w:pPr>
            <w:r>
              <w:rPr>
                <w:color w:val="231F20"/>
                <w:spacing w:val="-5"/>
                <w:w w:val="95"/>
                <w:sz w:val="14"/>
              </w:rPr>
              <w:t>3.3</w:t>
            </w:r>
          </w:p>
        </w:tc>
        <w:tc>
          <w:tcPr>
            <w:tcW w:w="1059" w:type="dxa"/>
          </w:tcPr>
          <w:p>
            <w:pPr>
              <w:pStyle w:val="TableParagraph"/>
              <w:ind w:left="67" w:right="39"/>
              <w:rPr>
                <w:sz w:val="14"/>
              </w:rPr>
            </w:pPr>
            <w:r>
              <w:rPr>
                <w:color w:val="231F20"/>
                <w:spacing w:val="-5"/>
                <w:w w:val="95"/>
                <w:sz w:val="14"/>
              </w:rPr>
              <w:t>2.0</w:t>
            </w:r>
          </w:p>
        </w:tc>
        <w:tc>
          <w:tcPr>
            <w:tcW w:w="1083" w:type="dxa"/>
          </w:tcPr>
          <w:p>
            <w:pPr>
              <w:pStyle w:val="TableParagraph"/>
              <w:ind w:left="403"/>
              <w:jc w:val="left"/>
              <w:rPr>
                <w:sz w:val="14"/>
              </w:rPr>
            </w:pPr>
            <w:r>
              <w:rPr>
                <w:color w:val="231F20"/>
                <w:spacing w:val="-5"/>
                <w:w w:val="95"/>
                <w:sz w:val="14"/>
              </w:rPr>
              <w:t>1.0</w:t>
            </w:r>
          </w:p>
        </w:tc>
        <w:tc>
          <w:tcPr>
            <w:tcW w:w="754" w:type="dxa"/>
          </w:tcPr>
          <w:p>
            <w:pPr>
              <w:pStyle w:val="TableParagraph"/>
              <w:ind w:left="86" w:right="48"/>
              <w:rPr>
                <w:sz w:val="14"/>
              </w:rPr>
            </w:pPr>
            <w:r>
              <w:rPr>
                <w:color w:val="231F20"/>
                <w:spacing w:val="-5"/>
                <w:w w:val="95"/>
                <w:sz w:val="14"/>
              </w:rPr>
              <w:t>5.0</w:t>
            </w:r>
          </w:p>
        </w:tc>
        <w:tc>
          <w:tcPr>
            <w:tcW w:w="239" w:type="dxa"/>
          </w:tcPr>
          <w:p>
            <w:pPr>
              <w:pStyle w:val="TableParagraph"/>
              <w:spacing w:before="0"/>
              <w:jc w:val="left"/>
              <w:rPr>
                <w:rFonts w:ascii="Times New Roman"/>
                <w:sz w:val="12"/>
              </w:rPr>
            </w:pPr>
          </w:p>
        </w:tc>
        <w:tc>
          <w:tcPr>
            <w:tcW w:w="850" w:type="dxa"/>
          </w:tcPr>
          <w:p>
            <w:pPr>
              <w:pStyle w:val="TableParagraph"/>
              <w:ind w:left="21" w:right="65"/>
              <w:rPr>
                <w:sz w:val="14"/>
              </w:rPr>
            </w:pPr>
            <w:r>
              <w:rPr>
                <w:color w:val="231F20"/>
                <w:spacing w:val="-5"/>
                <w:w w:val="95"/>
                <w:sz w:val="14"/>
              </w:rPr>
              <w:t>3.3</w:t>
            </w:r>
          </w:p>
        </w:tc>
        <w:tc>
          <w:tcPr>
            <w:tcW w:w="1058" w:type="dxa"/>
          </w:tcPr>
          <w:p>
            <w:pPr>
              <w:pStyle w:val="TableParagraph"/>
              <w:ind w:left="67" w:right="29"/>
              <w:rPr>
                <w:sz w:val="14"/>
              </w:rPr>
            </w:pPr>
            <w:r>
              <w:rPr>
                <w:color w:val="231F20"/>
                <w:spacing w:val="-5"/>
                <w:w w:val="95"/>
                <w:sz w:val="14"/>
              </w:rPr>
              <w:t>2.0</w:t>
            </w:r>
          </w:p>
        </w:tc>
        <w:tc>
          <w:tcPr>
            <w:tcW w:w="948" w:type="dxa"/>
          </w:tcPr>
          <w:p>
            <w:pPr>
              <w:pStyle w:val="TableParagraph"/>
              <w:ind w:left="92" w:right="60"/>
              <w:rPr>
                <w:sz w:val="14"/>
              </w:rPr>
            </w:pPr>
            <w:r>
              <w:rPr>
                <w:color w:val="231F20"/>
                <w:spacing w:val="-5"/>
                <w:w w:val="95"/>
                <w:sz w:val="14"/>
              </w:rPr>
              <w:t>1.0</w:t>
            </w:r>
          </w:p>
        </w:tc>
        <w:tc>
          <w:tcPr>
            <w:tcW w:w="1007" w:type="dxa"/>
          </w:tcPr>
          <w:p>
            <w:pPr>
              <w:pStyle w:val="TableParagraph"/>
              <w:ind w:right="382"/>
              <w:jc w:val="right"/>
              <w:rPr>
                <w:sz w:val="14"/>
              </w:rPr>
            </w:pPr>
            <w:r>
              <w:rPr>
                <w:color w:val="231F20"/>
                <w:spacing w:val="-5"/>
                <w:w w:val="95"/>
                <w:sz w:val="14"/>
              </w:rPr>
              <w:t>5.0</w:t>
            </w:r>
          </w:p>
        </w:tc>
      </w:tr>
      <w:tr>
        <w:trPr>
          <w:trHeight w:val="259" w:hRule="atLeast"/>
        </w:trPr>
        <w:tc>
          <w:tcPr>
            <w:tcW w:w="1263" w:type="dxa"/>
            <w:shd w:val="clear" w:color="auto" w:fill="D4E3F5"/>
          </w:tcPr>
          <w:p>
            <w:pPr>
              <w:pStyle w:val="TableParagraph"/>
              <w:ind w:left="79"/>
              <w:jc w:val="left"/>
              <w:rPr>
                <w:sz w:val="14"/>
              </w:rPr>
            </w:pPr>
            <w:r>
              <w:rPr>
                <w:color w:val="231F20"/>
                <w:spacing w:val="-2"/>
                <w:w w:val="90"/>
                <w:sz w:val="14"/>
              </w:rPr>
              <w:t>Australia</w:t>
            </w:r>
          </w:p>
        </w:tc>
        <w:tc>
          <w:tcPr>
            <w:tcW w:w="1198" w:type="dxa"/>
            <w:shd w:val="clear" w:color="auto" w:fill="D4E3F5"/>
          </w:tcPr>
          <w:p>
            <w:pPr>
              <w:pStyle w:val="TableParagraph"/>
              <w:ind w:right="439"/>
              <w:jc w:val="right"/>
              <w:rPr>
                <w:sz w:val="14"/>
              </w:rPr>
            </w:pPr>
            <w:r>
              <w:rPr>
                <w:color w:val="231F20"/>
                <w:spacing w:val="-2"/>
                <w:w w:val="95"/>
                <w:sz w:val="14"/>
              </w:rPr>
              <w:t>53,319</w:t>
            </w:r>
          </w:p>
        </w:tc>
        <w:tc>
          <w:tcPr>
            <w:tcW w:w="851" w:type="dxa"/>
            <w:shd w:val="clear" w:color="auto" w:fill="D4E3F5"/>
          </w:tcPr>
          <w:p>
            <w:pPr>
              <w:pStyle w:val="TableParagraph"/>
              <w:ind w:left="83" w:right="136"/>
              <w:rPr>
                <w:sz w:val="14"/>
              </w:rPr>
            </w:pPr>
            <w:r>
              <w:rPr>
                <w:color w:val="231F20"/>
                <w:spacing w:val="-5"/>
                <w:w w:val="95"/>
                <w:sz w:val="14"/>
              </w:rPr>
              <w:t>3.2</w:t>
            </w:r>
          </w:p>
        </w:tc>
        <w:tc>
          <w:tcPr>
            <w:tcW w:w="1059" w:type="dxa"/>
            <w:shd w:val="clear" w:color="auto" w:fill="D4E3F5"/>
          </w:tcPr>
          <w:p>
            <w:pPr>
              <w:pStyle w:val="TableParagraph"/>
              <w:ind w:left="66" w:right="39"/>
              <w:rPr>
                <w:sz w:val="14"/>
              </w:rPr>
            </w:pPr>
            <w:r>
              <w:rPr>
                <w:color w:val="231F20"/>
                <w:spacing w:val="-5"/>
                <w:w w:val="95"/>
                <w:sz w:val="14"/>
              </w:rPr>
              <w:t>3.0</w:t>
            </w:r>
          </w:p>
        </w:tc>
        <w:tc>
          <w:tcPr>
            <w:tcW w:w="1083" w:type="dxa"/>
            <w:shd w:val="clear" w:color="auto" w:fill="D4E3F5"/>
          </w:tcPr>
          <w:p>
            <w:pPr>
              <w:pStyle w:val="TableParagraph"/>
              <w:ind w:left="396"/>
              <w:jc w:val="left"/>
              <w:rPr>
                <w:sz w:val="14"/>
              </w:rPr>
            </w:pPr>
            <w:r>
              <w:rPr>
                <w:color w:val="231F20"/>
                <w:spacing w:val="-5"/>
                <w:w w:val="95"/>
                <w:sz w:val="14"/>
              </w:rPr>
              <w:t>2.1</w:t>
            </w:r>
          </w:p>
        </w:tc>
        <w:tc>
          <w:tcPr>
            <w:tcW w:w="754" w:type="dxa"/>
            <w:shd w:val="clear" w:color="auto" w:fill="D4E3F5"/>
          </w:tcPr>
          <w:p>
            <w:pPr>
              <w:pStyle w:val="TableParagraph"/>
              <w:ind w:left="87" w:right="48"/>
              <w:rPr>
                <w:sz w:val="14"/>
              </w:rPr>
            </w:pPr>
            <w:r>
              <w:rPr>
                <w:color w:val="231F20"/>
                <w:spacing w:val="-5"/>
                <w:w w:val="95"/>
                <w:sz w:val="14"/>
              </w:rPr>
              <w:t>4.0</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20" w:right="65"/>
              <w:rPr>
                <w:sz w:val="14"/>
              </w:rPr>
            </w:pPr>
            <w:r>
              <w:rPr>
                <w:color w:val="231F20"/>
                <w:spacing w:val="-5"/>
                <w:w w:val="95"/>
                <w:sz w:val="14"/>
              </w:rPr>
              <w:t>3.2</w:t>
            </w:r>
          </w:p>
        </w:tc>
        <w:tc>
          <w:tcPr>
            <w:tcW w:w="1058" w:type="dxa"/>
            <w:shd w:val="clear" w:color="auto" w:fill="D4E3F5"/>
          </w:tcPr>
          <w:p>
            <w:pPr>
              <w:pStyle w:val="TableParagraph"/>
              <w:ind w:left="66" w:right="29"/>
              <w:rPr>
                <w:sz w:val="14"/>
              </w:rPr>
            </w:pPr>
            <w:r>
              <w:rPr>
                <w:color w:val="231F20"/>
                <w:spacing w:val="-5"/>
                <w:w w:val="95"/>
                <w:sz w:val="14"/>
              </w:rPr>
              <w:t>3.0</w:t>
            </w:r>
          </w:p>
        </w:tc>
        <w:tc>
          <w:tcPr>
            <w:tcW w:w="948" w:type="dxa"/>
            <w:shd w:val="clear" w:color="auto" w:fill="D4E3F5"/>
          </w:tcPr>
          <w:p>
            <w:pPr>
              <w:pStyle w:val="TableParagraph"/>
              <w:ind w:left="68" w:right="60"/>
              <w:rPr>
                <w:sz w:val="14"/>
              </w:rPr>
            </w:pPr>
            <w:r>
              <w:rPr>
                <w:color w:val="231F20"/>
                <w:spacing w:val="-5"/>
                <w:w w:val="95"/>
                <w:sz w:val="14"/>
              </w:rPr>
              <w:t>2.1</w:t>
            </w:r>
          </w:p>
        </w:tc>
        <w:tc>
          <w:tcPr>
            <w:tcW w:w="1007" w:type="dxa"/>
            <w:shd w:val="clear" w:color="auto" w:fill="D4E3F5"/>
          </w:tcPr>
          <w:p>
            <w:pPr>
              <w:pStyle w:val="TableParagraph"/>
              <w:ind w:right="380"/>
              <w:jc w:val="right"/>
              <w:rPr>
                <w:sz w:val="14"/>
              </w:rPr>
            </w:pPr>
            <w:r>
              <w:rPr>
                <w:color w:val="231F20"/>
                <w:spacing w:val="-5"/>
                <w:w w:val="95"/>
                <w:sz w:val="14"/>
              </w:rPr>
              <w:t>3.9</w:t>
            </w:r>
          </w:p>
        </w:tc>
      </w:tr>
      <w:tr>
        <w:trPr>
          <w:trHeight w:val="259" w:hRule="atLeast"/>
        </w:trPr>
        <w:tc>
          <w:tcPr>
            <w:tcW w:w="1263" w:type="dxa"/>
          </w:tcPr>
          <w:p>
            <w:pPr>
              <w:pStyle w:val="TableParagraph"/>
              <w:ind w:left="80"/>
              <w:jc w:val="left"/>
              <w:rPr>
                <w:sz w:val="14"/>
              </w:rPr>
            </w:pPr>
            <w:r>
              <w:rPr>
                <w:color w:val="231F20"/>
                <w:spacing w:val="-2"/>
                <w:w w:val="90"/>
                <w:sz w:val="14"/>
              </w:rPr>
              <w:t>Austria</w:t>
            </w:r>
          </w:p>
        </w:tc>
        <w:tc>
          <w:tcPr>
            <w:tcW w:w="1198" w:type="dxa"/>
          </w:tcPr>
          <w:p>
            <w:pPr>
              <w:pStyle w:val="TableParagraph"/>
              <w:ind w:right="432"/>
              <w:jc w:val="right"/>
              <w:rPr>
                <w:sz w:val="14"/>
              </w:rPr>
            </w:pPr>
            <w:r>
              <w:rPr>
                <w:color w:val="231F20"/>
                <w:spacing w:val="-5"/>
                <w:w w:val="95"/>
                <w:sz w:val="14"/>
              </w:rPr>
              <w:t>227</w:t>
            </w:r>
          </w:p>
        </w:tc>
        <w:tc>
          <w:tcPr>
            <w:tcW w:w="851" w:type="dxa"/>
          </w:tcPr>
          <w:p>
            <w:pPr>
              <w:pStyle w:val="TableParagraph"/>
              <w:ind w:left="18" w:right="136"/>
              <w:rPr>
                <w:sz w:val="14"/>
              </w:rPr>
            </w:pPr>
            <w:r>
              <w:rPr>
                <w:color w:val="231F20"/>
                <w:spacing w:val="-4"/>
                <w:w w:val="95"/>
                <w:sz w:val="14"/>
              </w:rPr>
              <w:t>18.0</w:t>
            </w:r>
          </w:p>
        </w:tc>
        <w:tc>
          <w:tcPr>
            <w:tcW w:w="1059" w:type="dxa"/>
          </w:tcPr>
          <w:p>
            <w:pPr>
              <w:pStyle w:val="TableParagraph"/>
              <w:ind w:left="42" w:right="75"/>
              <w:rPr>
                <w:sz w:val="14"/>
              </w:rPr>
            </w:pPr>
            <w:r>
              <w:rPr>
                <w:color w:val="231F20"/>
                <w:spacing w:val="-4"/>
                <w:w w:val="95"/>
                <w:sz w:val="14"/>
              </w:rPr>
              <w:t>13.6</w:t>
            </w:r>
          </w:p>
        </w:tc>
        <w:tc>
          <w:tcPr>
            <w:tcW w:w="1083" w:type="dxa"/>
          </w:tcPr>
          <w:p>
            <w:pPr>
              <w:pStyle w:val="TableParagraph"/>
              <w:ind w:left="396"/>
              <w:jc w:val="left"/>
              <w:rPr>
                <w:sz w:val="14"/>
              </w:rPr>
            </w:pPr>
            <w:r>
              <w:rPr>
                <w:color w:val="231F20"/>
                <w:spacing w:val="-5"/>
                <w:w w:val="95"/>
                <w:sz w:val="14"/>
              </w:rPr>
              <w:t>9.1</w:t>
            </w:r>
          </w:p>
        </w:tc>
        <w:tc>
          <w:tcPr>
            <w:tcW w:w="754" w:type="dxa"/>
          </w:tcPr>
          <w:p>
            <w:pPr>
              <w:pStyle w:val="TableParagraph"/>
              <w:ind w:left="40" w:right="70"/>
              <w:rPr>
                <w:sz w:val="14"/>
              </w:rPr>
            </w:pPr>
            <w:r>
              <w:rPr>
                <w:color w:val="231F20"/>
                <w:spacing w:val="-4"/>
                <w:w w:val="95"/>
                <w:sz w:val="14"/>
              </w:rPr>
              <w:t>22.9</w:t>
            </w:r>
          </w:p>
        </w:tc>
        <w:tc>
          <w:tcPr>
            <w:tcW w:w="239" w:type="dxa"/>
          </w:tcPr>
          <w:p>
            <w:pPr>
              <w:pStyle w:val="TableParagraph"/>
              <w:spacing w:before="0"/>
              <w:jc w:val="left"/>
              <w:rPr>
                <w:rFonts w:ascii="Times New Roman"/>
                <w:sz w:val="12"/>
              </w:rPr>
            </w:pPr>
          </w:p>
        </w:tc>
        <w:tc>
          <w:tcPr>
            <w:tcW w:w="850" w:type="dxa"/>
          </w:tcPr>
          <w:p>
            <w:pPr>
              <w:pStyle w:val="TableParagraph"/>
              <w:ind w:left="253"/>
              <w:jc w:val="left"/>
              <w:rPr>
                <w:sz w:val="14"/>
              </w:rPr>
            </w:pPr>
            <w:r>
              <w:rPr>
                <w:color w:val="231F20"/>
                <w:spacing w:val="-4"/>
                <w:w w:val="95"/>
                <w:sz w:val="14"/>
              </w:rPr>
              <w:t>14.1</w:t>
            </w:r>
          </w:p>
        </w:tc>
        <w:tc>
          <w:tcPr>
            <w:tcW w:w="1058" w:type="dxa"/>
          </w:tcPr>
          <w:p>
            <w:pPr>
              <w:pStyle w:val="TableParagraph"/>
              <w:ind w:left="52" w:right="66"/>
              <w:rPr>
                <w:sz w:val="14"/>
              </w:rPr>
            </w:pPr>
            <w:r>
              <w:rPr>
                <w:color w:val="231F20"/>
                <w:spacing w:val="-4"/>
                <w:w w:val="95"/>
                <w:sz w:val="14"/>
              </w:rPr>
              <w:t>11.0</w:t>
            </w:r>
          </w:p>
        </w:tc>
        <w:tc>
          <w:tcPr>
            <w:tcW w:w="948" w:type="dxa"/>
          </w:tcPr>
          <w:p>
            <w:pPr>
              <w:pStyle w:val="TableParagraph"/>
              <w:ind w:left="86" w:right="60"/>
              <w:rPr>
                <w:sz w:val="14"/>
              </w:rPr>
            </w:pPr>
            <w:r>
              <w:rPr>
                <w:color w:val="231F20"/>
                <w:spacing w:val="-5"/>
                <w:w w:val="95"/>
                <w:sz w:val="14"/>
              </w:rPr>
              <w:t>6.0</w:t>
            </w:r>
          </w:p>
        </w:tc>
        <w:tc>
          <w:tcPr>
            <w:tcW w:w="1007" w:type="dxa"/>
          </w:tcPr>
          <w:p>
            <w:pPr>
              <w:pStyle w:val="TableParagraph"/>
              <w:ind w:right="382"/>
              <w:jc w:val="right"/>
              <w:rPr>
                <w:sz w:val="14"/>
              </w:rPr>
            </w:pPr>
            <w:r>
              <w:rPr>
                <w:color w:val="231F20"/>
                <w:spacing w:val="-4"/>
                <w:w w:val="95"/>
                <w:sz w:val="14"/>
              </w:rPr>
              <w:t>18.9</w:t>
            </w:r>
          </w:p>
        </w:tc>
      </w:tr>
      <w:tr>
        <w:trPr>
          <w:trHeight w:val="259" w:hRule="atLeast"/>
        </w:trPr>
        <w:tc>
          <w:tcPr>
            <w:tcW w:w="1263" w:type="dxa"/>
            <w:shd w:val="clear" w:color="auto" w:fill="D4E3F5"/>
          </w:tcPr>
          <w:p>
            <w:pPr>
              <w:pStyle w:val="TableParagraph"/>
              <w:ind w:left="80"/>
              <w:jc w:val="left"/>
              <w:rPr>
                <w:sz w:val="14"/>
              </w:rPr>
            </w:pPr>
            <w:r>
              <w:rPr>
                <w:color w:val="231F20"/>
                <w:spacing w:val="-2"/>
                <w:w w:val="90"/>
                <w:sz w:val="14"/>
              </w:rPr>
              <w:t>Azerbaijan</w:t>
            </w:r>
          </w:p>
        </w:tc>
        <w:tc>
          <w:tcPr>
            <w:tcW w:w="1198" w:type="dxa"/>
            <w:shd w:val="clear" w:color="auto" w:fill="D4E3F5"/>
          </w:tcPr>
          <w:p>
            <w:pPr>
              <w:pStyle w:val="TableParagraph"/>
              <w:ind w:right="429"/>
              <w:jc w:val="right"/>
              <w:rPr>
                <w:sz w:val="14"/>
              </w:rPr>
            </w:pPr>
            <w:r>
              <w:rPr>
                <w:color w:val="231F20"/>
                <w:spacing w:val="-5"/>
                <w:w w:val="95"/>
                <w:sz w:val="14"/>
              </w:rPr>
              <w:t>48</w:t>
            </w:r>
          </w:p>
        </w:tc>
        <w:tc>
          <w:tcPr>
            <w:tcW w:w="851" w:type="dxa"/>
            <w:shd w:val="clear" w:color="auto" w:fill="D4E3F5"/>
          </w:tcPr>
          <w:p>
            <w:pPr>
              <w:pStyle w:val="TableParagraph"/>
              <w:ind w:left="83" w:right="136"/>
              <w:rPr>
                <w:sz w:val="14"/>
              </w:rPr>
            </w:pPr>
            <w:r>
              <w:rPr>
                <w:color w:val="231F20"/>
                <w:spacing w:val="-5"/>
                <w:w w:val="95"/>
                <w:sz w:val="14"/>
              </w:rPr>
              <w:t>5.2</w:t>
            </w:r>
          </w:p>
        </w:tc>
        <w:tc>
          <w:tcPr>
            <w:tcW w:w="1059" w:type="dxa"/>
            <w:shd w:val="clear" w:color="auto" w:fill="D4E3F5"/>
          </w:tcPr>
          <w:p>
            <w:pPr>
              <w:pStyle w:val="TableParagraph"/>
              <w:ind w:left="68" w:right="39"/>
              <w:rPr>
                <w:sz w:val="14"/>
              </w:rPr>
            </w:pPr>
            <w:r>
              <w:rPr>
                <w:color w:val="231F20"/>
                <w:spacing w:val="-5"/>
                <w:w w:val="95"/>
                <w:sz w:val="14"/>
              </w:rPr>
              <w:t>4.3</w:t>
            </w:r>
          </w:p>
        </w:tc>
        <w:tc>
          <w:tcPr>
            <w:tcW w:w="1083" w:type="dxa"/>
            <w:shd w:val="clear" w:color="auto" w:fill="D4E3F5"/>
          </w:tcPr>
          <w:p>
            <w:pPr>
              <w:pStyle w:val="TableParagraph"/>
              <w:ind w:left="395"/>
              <w:jc w:val="left"/>
              <w:rPr>
                <w:sz w:val="14"/>
              </w:rPr>
            </w:pPr>
            <w:r>
              <w:rPr>
                <w:color w:val="231F20"/>
                <w:spacing w:val="-5"/>
                <w:w w:val="95"/>
                <w:sz w:val="14"/>
              </w:rPr>
              <w:t>3.5</w:t>
            </w:r>
          </w:p>
        </w:tc>
        <w:tc>
          <w:tcPr>
            <w:tcW w:w="754" w:type="dxa"/>
            <w:shd w:val="clear" w:color="auto" w:fill="D4E3F5"/>
          </w:tcPr>
          <w:p>
            <w:pPr>
              <w:pStyle w:val="TableParagraph"/>
              <w:ind w:left="68" w:right="48"/>
              <w:rPr>
                <w:sz w:val="14"/>
              </w:rPr>
            </w:pPr>
            <w:r>
              <w:rPr>
                <w:color w:val="231F20"/>
                <w:spacing w:val="-5"/>
                <w:w w:val="95"/>
                <w:sz w:val="14"/>
              </w:rPr>
              <w:t>5.1</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19" w:right="65"/>
              <w:rPr>
                <w:sz w:val="14"/>
              </w:rPr>
            </w:pPr>
            <w:r>
              <w:rPr>
                <w:color w:val="231F20"/>
                <w:spacing w:val="-5"/>
                <w:w w:val="95"/>
                <w:sz w:val="14"/>
              </w:rPr>
              <w:t>4.0</w:t>
            </w:r>
          </w:p>
        </w:tc>
        <w:tc>
          <w:tcPr>
            <w:tcW w:w="1058" w:type="dxa"/>
            <w:shd w:val="clear" w:color="auto" w:fill="D4E3F5"/>
          </w:tcPr>
          <w:p>
            <w:pPr>
              <w:pStyle w:val="TableParagraph"/>
              <w:ind w:left="66" w:right="29"/>
              <w:rPr>
                <w:sz w:val="14"/>
              </w:rPr>
            </w:pPr>
            <w:r>
              <w:rPr>
                <w:color w:val="231F20"/>
                <w:spacing w:val="-5"/>
                <w:w w:val="95"/>
                <w:sz w:val="14"/>
              </w:rPr>
              <w:t>3.6</w:t>
            </w:r>
          </w:p>
        </w:tc>
        <w:tc>
          <w:tcPr>
            <w:tcW w:w="948" w:type="dxa"/>
            <w:shd w:val="clear" w:color="auto" w:fill="D4E3F5"/>
          </w:tcPr>
          <w:p>
            <w:pPr>
              <w:pStyle w:val="TableParagraph"/>
              <w:ind w:left="87" w:right="60"/>
              <w:rPr>
                <w:sz w:val="14"/>
              </w:rPr>
            </w:pPr>
            <w:r>
              <w:rPr>
                <w:color w:val="231F20"/>
                <w:spacing w:val="-5"/>
                <w:w w:val="95"/>
                <w:sz w:val="14"/>
              </w:rPr>
              <w:t>0.5</w:t>
            </w:r>
          </w:p>
        </w:tc>
        <w:tc>
          <w:tcPr>
            <w:tcW w:w="1007" w:type="dxa"/>
            <w:shd w:val="clear" w:color="auto" w:fill="D4E3F5"/>
          </w:tcPr>
          <w:p>
            <w:pPr>
              <w:pStyle w:val="TableParagraph"/>
              <w:ind w:right="382"/>
              <w:jc w:val="right"/>
              <w:rPr>
                <w:sz w:val="14"/>
              </w:rPr>
            </w:pPr>
            <w:r>
              <w:rPr>
                <w:color w:val="231F20"/>
                <w:spacing w:val="-5"/>
                <w:w w:val="95"/>
                <w:sz w:val="14"/>
              </w:rPr>
              <w:t>5.0</w:t>
            </w:r>
          </w:p>
        </w:tc>
      </w:tr>
      <w:tr>
        <w:trPr>
          <w:trHeight w:val="259" w:hRule="atLeast"/>
        </w:trPr>
        <w:tc>
          <w:tcPr>
            <w:tcW w:w="1263" w:type="dxa"/>
          </w:tcPr>
          <w:p>
            <w:pPr>
              <w:pStyle w:val="TableParagraph"/>
              <w:ind w:left="80"/>
              <w:jc w:val="left"/>
              <w:rPr>
                <w:sz w:val="14"/>
              </w:rPr>
            </w:pPr>
            <w:r>
              <w:rPr>
                <w:color w:val="231F20"/>
                <w:w w:val="75"/>
                <w:sz w:val="14"/>
              </w:rPr>
              <w:t>Bahamas,</w:t>
            </w:r>
            <w:r>
              <w:rPr>
                <w:color w:val="231F20"/>
                <w:spacing w:val="23"/>
                <w:sz w:val="14"/>
              </w:rPr>
              <w:t> </w:t>
            </w:r>
            <w:r>
              <w:rPr>
                <w:color w:val="231F20"/>
                <w:spacing w:val="-5"/>
                <w:w w:val="85"/>
                <w:sz w:val="14"/>
              </w:rPr>
              <w:t>The</w:t>
            </w:r>
          </w:p>
        </w:tc>
        <w:tc>
          <w:tcPr>
            <w:tcW w:w="1198" w:type="dxa"/>
          </w:tcPr>
          <w:p>
            <w:pPr>
              <w:pStyle w:val="TableParagraph"/>
              <w:ind w:right="432"/>
              <w:jc w:val="right"/>
              <w:rPr>
                <w:sz w:val="14"/>
              </w:rPr>
            </w:pPr>
            <w:r>
              <w:rPr>
                <w:color w:val="231F20"/>
                <w:spacing w:val="-5"/>
                <w:w w:val="95"/>
                <w:sz w:val="14"/>
              </w:rPr>
              <w:t>25</w:t>
            </w:r>
          </w:p>
        </w:tc>
        <w:tc>
          <w:tcPr>
            <w:tcW w:w="851" w:type="dxa"/>
          </w:tcPr>
          <w:p>
            <w:pPr>
              <w:pStyle w:val="TableParagraph"/>
              <w:ind w:left="78" w:right="136"/>
              <w:rPr>
                <w:sz w:val="14"/>
              </w:rPr>
            </w:pPr>
            <w:r>
              <w:rPr>
                <w:color w:val="231F20"/>
                <w:spacing w:val="-5"/>
                <w:w w:val="95"/>
                <w:sz w:val="14"/>
              </w:rPr>
              <w:t>4.7</w:t>
            </w:r>
          </w:p>
        </w:tc>
        <w:tc>
          <w:tcPr>
            <w:tcW w:w="1059" w:type="dxa"/>
          </w:tcPr>
          <w:p>
            <w:pPr>
              <w:pStyle w:val="TableParagraph"/>
              <w:ind w:left="68" w:right="39"/>
              <w:rPr>
                <w:sz w:val="14"/>
              </w:rPr>
            </w:pPr>
            <w:r>
              <w:rPr>
                <w:color w:val="231F20"/>
                <w:spacing w:val="-5"/>
                <w:w w:val="95"/>
                <w:sz w:val="14"/>
              </w:rPr>
              <w:t>3.2</w:t>
            </w:r>
          </w:p>
        </w:tc>
        <w:tc>
          <w:tcPr>
            <w:tcW w:w="1083" w:type="dxa"/>
          </w:tcPr>
          <w:p>
            <w:pPr>
              <w:pStyle w:val="TableParagraph"/>
              <w:ind w:left="396"/>
              <w:jc w:val="left"/>
              <w:rPr>
                <w:sz w:val="14"/>
              </w:rPr>
            </w:pPr>
            <w:r>
              <w:rPr>
                <w:color w:val="231F20"/>
                <w:spacing w:val="-5"/>
                <w:w w:val="95"/>
                <w:sz w:val="14"/>
              </w:rPr>
              <w:t>2.1</w:t>
            </w:r>
          </w:p>
        </w:tc>
        <w:tc>
          <w:tcPr>
            <w:tcW w:w="754" w:type="dxa"/>
          </w:tcPr>
          <w:p>
            <w:pPr>
              <w:pStyle w:val="TableParagraph"/>
              <w:ind w:left="86" w:right="48"/>
              <w:rPr>
                <w:sz w:val="14"/>
              </w:rPr>
            </w:pPr>
            <w:r>
              <w:rPr>
                <w:color w:val="231F20"/>
                <w:spacing w:val="-5"/>
                <w:w w:val="95"/>
                <w:sz w:val="14"/>
              </w:rPr>
              <w:t>5.5</w:t>
            </w:r>
          </w:p>
        </w:tc>
        <w:tc>
          <w:tcPr>
            <w:tcW w:w="239" w:type="dxa"/>
          </w:tcPr>
          <w:p>
            <w:pPr>
              <w:pStyle w:val="TableParagraph"/>
              <w:spacing w:before="0"/>
              <w:jc w:val="left"/>
              <w:rPr>
                <w:rFonts w:ascii="Times New Roman"/>
                <w:sz w:val="12"/>
              </w:rPr>
            </w:pPr>
          </w:p>
        </w:tc>
        <w:tc>
          <w:tcPr>
            <w:tcW w:w="850" w:type="dxa"/>
          </w:tcPr>
          <w:p>
            <w:pPr>
              <w:pStyle w:val="TableParagraph"/>
              <w:ind w:left="15" w:right="65"/>
              <w:rPr>
                <w:sz w:val="14"/>
              </w:rPr>
            </w:pPr>
            <w:r>
              <w:rPr>
                <w:color w:val="231F20"/>
                <w:spacing w:val="-5"/>
                <w:w w:val="95"/>
                <w:sz w:val="14"/>
              </w:rPr>
              <w:t>4.7</w:t>
            </w:r>
          </w:p>
        </w:tc>
        <w:tc>
          <w:tcPr>
            <w:tcW w:w="1058" w:type="dxa"/>
          </w:tcPr>
          <w:p>
            <w:pPr>
              <w:pStyle w:val="TableParagraph"/>
              <w:ind w:left="67" w:right="29"/>
              <w:rPr>
                <w:sz w:val="14"/>
              </w:rPr>
            </w:pPr>
            <w:r>
              <w:rPr>
                <w:color w:val="231F20"/>
                <w:spacing w:val="-5"/>
                <w:w w:val="95"/>
                <w:sz w:val="14"/>
              </w:rPr>
              <w:t>3.2</w:t>
            </w:r>
          </w:p>
        </w:tc>
        <w:tc>
          <w:tcPr>
            <w:tcW w:w="948" w:type="dxa"/>
          </w:tcPr>
          <w:p>
            <w:pPr>
              <w:pStyle w:val="TableParagraph"/>
              <w:ind w:left="68" w:right="60"/>
              <w:rPr>
                <w:sz w:val="14"/>
              </w:rPr>
            </w:pPr>
            <w:r>
              <w:rPr>
                <w:color w:val="231F20"/>
                <w:spacing w:val="-5"/>
                <w:w w:val="95"/>
                <w:sz w:val="14"/>
              </w:rPr>
              <w:t>2.1</w:t>
            </w:r>
          </w:p>
        </w:tc>
        <w:tc>
          <w:tcPr>
            <w:tcW w:w="1007" w:type="dxa"/>
          </w:tcPr>
          <w:p>
            <w:pPr>
              <w:pStyle w:val="TableParagraph"/>
              <w:ind w:right="382"/>
              <w:jc w:val="right"/>
              <w:rPr>
                <w:sz w:val="14"/>
              </w:rPr>
            </w:pPr>
            <w:r>
              <w:rPr>
                <w:color w:val="231F20"/>
                <w:spacing w:val="-5"/>
                <w:w w:val="95"/>
                <w:sz w:val="14"/>
              </w:rPr>
              <w:t>5.5</w:t>
            </w:r>
          </w:p>
        </w:tc>
      </w:tr>
      <w:tr>
        <w:trPr>
          <w:trHeight w:val="259" w:hRule="atLeast"/>
        </w:trPr>
        <w:tc>
          <w:tcPr>
            <w:tcW w:w="1263" w:type="dxa"/>
            <w:shd w:val="clear" w:color="auto" w:fill="D4E3F5"/>
          </w:tcPr>
          <w:p>
            <w:pPr>
              <w:pStyle w:val="TableParagraph"/>
              <w:ind w:left="80"/>
              <w:jc w:val="left"/>
              <w:rPr>
                <w:sz w:val="14"/>
              </w:rPr>
            </w:pPr>
            <w:r>
              <w:rPr>
                <w:color w:val="231F20"/>
                <w:spacing w:val="-2"/>
                <w:w w:val="90"/>
                <w:sz w:val="14"/>
              </w:rPr>
              <w:t>Bahrain</w:t>
            </w:r>
          </w:p>
        </w:tc>
        <w:tc>
          <w:tcPr>
            <w:tcW w:w="1198" w:type="dxa"/>
            <w:shd w:val="clear" w:color="auto" w:fill="D4E3F5"/>
          </w:tcPr>
          <w:p>
            <w:pPr>
              <w:pStyle w:val="TableParagraph"/>
              <w:ind w:right="429"/>
              <w:jc w:val="right"/>
              <w:rPr>
                <w:sz w:val="14"/>
              </w:rPr>
            </w:pPr>
            <w:r>
              <w:rPr>
                <w:color w:val="231F20"/>
                <w:spacing w:val="-5"/>
                <w:w w:val="95"/>
                <w:sz w:val="14"/>
              </w:rPr>
              <w:t>45</w:t>
            </w:r>
          </w:p>
        </w:tc>
        <w:tc>
          <w:tcPr>
            <w:tcW w:w="851" w:type="dxa"/>
            <w:shd w:val="clear" w:color="auto" w:fill="D4E3F5"/>
          </w:tcPr>
          <w:p>
            <w:pPr>
              <w:pStyle w:val="TableParagraph"/>
              <w:ind w:left="82" w:right="136"/>
              <w:rPr>
                <w:sz w:val="14"/>
              </w:rPr>
            </w:pPr>
            <w:r>
              <w:rPr>
                <w:color w:val="231F20"/>
                <w:spacing w:val="-5"/>
                <w:w w:val="95"/>
                <w:sz w:val="14"/>
              </w:rPr>
              <w:t>6.3</w:t>
            </w:r>
          </w:p>
        </w:tc>
        <w:tc>
          <w:tcPr>
            <w:tcW w:w="1059" w:type="dxa"/>
            <w:shd w:val="clear" w:color="auto" w:fill="D4E3F5"/>
          </w:tcPr>
          <w:p>
            <w:pPr>
              <w:pStyle w:val="TableParagraph"/>
              <w:ind w:left="67" w:right="39"/>
              <w:rPr>
                <w:sz w:val="14"/>
              </w:rPr>
            </w:pPr>
            <w:r>
              <w:rPr>
                <w:color w:val="231F20"/>
                <w:spacing w:val="-5"/>
                <w:w w:val="95"/>
                <w:sz w:val="14"/>
              </w:rPr>
              <w:t>5.5</w:t>
            </w:r>
          </w:p>
        </w:tc>
        <w:tc>
          <w:tcPr>
            <w:tcW w:w="1083" w:type="dxa"/>
            <w:shd w:val="clear" w:color="auto" w:fill="D4E3F5"/>
          </w:tcPr>
          <w:p>
            <w:pPr>
              <w:pStyle w:val="TableParagraph"/>
              <w:ind w:left="396"/>
              <w:jc w:val="left"/>
              <w:rPr>
                <w:sz w:val="14"/>
              </w:rPr>
            </w:pPr>
            <w:r>
              <w:rPr>
                <w:color w:val="231F20"/>
                <w:spacing w:val="-5"/>
                <w:w w:val="95"/>
                <w:sz w:val="14"/>
              </w:rPr>
              <w:t>2.7</w:t>
            </w:r>
          </w:p>
        </w:tc>
        <w:tc>
          <w:tcPr>
            <w:tcW w:w="754" w:type="dxa"/>
            <w:shd w:val="clear" w:color="auto" w:fill="D4E3F5"/>
          </w:tcPr>
          <w:p>
            <w:pPr>
              <w:pStyle w:val="TableParagraph"/>
              <w:ind w:left="69" w:right="48"/>
              <w:rPr>
                <w:sz w:val="14"/>
              </w:rPr>
            </w:pPr>
            <w:r>
              <w:rPr>
                <w:color w:val="231F20"/>
                <w:spacing w:val="-5"/>
                <w:w w:val="95"/>
                <w:sz w:val="14"/>
              </w:rPr>
              <w:t>9.1</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19" w:right="65"/>
              <w:rPr>
                <w:sz w:val="14"/>
              </w:rPr>
            </w:pPr>
            <w:r>
              <w:rPr>
                <w:color w:val="231F20"/>
                <w:spacing w:val="-5"/>
                <w:w w:val="95"/>
                <w:sz w:val="14"/>
              </w:rPr>
              <w:t>6.0</w:t>
            </w:r>
          </w:p>
        </w:tc>
        <w:tc>
          <w:tcPr>
            <w:tcW w:w="1058" w:type="dxa"/>
            <w:shd w:val="clear" w:color="auto" w:fill="D4E3F5"/>
          </w:tcPr>
          <w:p>
            <w:pPr>
              <w:pStyle w:val="TableParagraph"/>
              <w:ind w:left="67" w:right="29"/>
              <w:rPr>
                <w:sz w:val="14"/>
              </w:rPr>
            </w:pPr>
            <w:r>
              <w:rPr>
                <w:color w:val="231F20"/>
                <w:spacing w:val="-5"/>
                <w:w w:val="95"/>
                <w:sz w:val="14"/>
              </w:rPr>
              <w:t>4.6</w:t>
            </w:r>
          </w:p>
        </w:tc>
        <w:tc>
          <w:tcPr>
            <w:tcW w:w="948" w:type="dxa"/>
            <w:shd w:val="clear" w:color="auto" w:fill="D4E3F5"/>
          </w:tcPr>
          <w:p>
            <w:pPr>
              <w:pStyle w:val="TableParagraph"/>
              <w:ind w:left="87" w:right="60"/>
              <w:rPr>
                <w:sz w:val="14"/>
              </w:rPr>
            </w:pPr>
            <w:r>
              <w:rPr>
                <w:color w:val="231F20"/>
                <w:spacing w:val="-5"/>
                <w:w w:val="95"/>
                <w:sz w:val="14"/>
              </w:rPr>
              <w:t>2.6</w:t>
            </w:r>
          </w:p>
        </w:tc>
        <w:tc>
          <w:tcPr>
            <w:tcW w:w="1007" w:type="dxa"/>
            <w:shd w:val="clear" w:color="auto" w:fill="D4E3F5"/>
          </w:tcPr>
          <w:p>
            <w:pPr>
              <w:pStyle w:val="TableParagraph"/>
              <w:ind w:right="400"/>
              <w:jc w:val="right"/>
              <w:rPr>
                <w:sz w:val="14"/>
              </w:rPr>
            </w:pPr>
            <w:r>
              <w:rPr>
                <w:color w:val="231F20"/>
                <w:spacing w:val="-5"/>
                <w:w w:val="95"/>
                <w:sz w:val="14"/>
              </w:rPr>
              <w:t>9.1</w:t>
            </w:r>
          </w:p>
        </w:tc>
      </w:tr>
      <w:tr>
        <w:trPr>
          <w:trHeight w:val="259" w:hRule="atLeast"/>
        </w:trPr>
        <w:tc>
          <w:tcPr>
            <w:tcW w:w="1263" w:type="dxa"/>
          </w:tcPr>
          <w:p>
            <w:pPr>
              <w:pStyle w:val="TableParagraph"/>
              <w:ind w:left="80"/>
              <w:jc w:val="left"/>
              <w:rPr>
                <w:sz w:val="14"/>
              </w:rPr>
            </w:pPr>
            <w:r>
              <w:rPr>
                <w:color w:val="231F20"/>
                <w:spacing w:val="-2"/>
                <w:w w:val="90"/>
                <w:sz w:val="14"/>
              </w:rPr>
              <w:t>Bangladesh</w:t>
            </w:r>
          </w:p>
        </w:tc>
        <w:tc>
          <w:tcPr>
            <w:tcW w:w="1198" w:type="dxa"/>
          </w:tcPr>
          <w:p>
            <w:pPr>
              <w:pStyle w:val="TableParagraph"/>
              <w:ind w:right="434"/>
              <w:jc w:val="right"/>
              <w:rPr>
                <w:sz w:val="14"/>
              </w:rPr>
            </w:pPr>
            <w:r>
              <w:rPr>
                <w:color w:val="231F20"/>
                <w:spacing w:val="-2"/>
                <w:w w:val="95"/>
                <w:sz w:val="14"/>
              </w:rPr>
              <w:t>14,145</w:t>
            </w:r>
          </w:p>
        </w:tc>
        <w:tc>
          <w:tcPr>
            <w:tcW w:w="851" w:type="dxa"/>
          </w:tcPr>
          <w:p>
            <w:pPr>
              <w:pStyle w:val="TableParagraph"/>
              <w:ind w:left="63" w:right="136"/>
              <w:rPr>
                <w:sz w:val="14"/>
              </w:rPr>
            </w:pPr>
            <w:r>
              <w:rPr>
                <w:color w:val="231F20"/>
                <w:spacing w:val="-5"/>
                <w:w w:val="95"/>
                <w:sz w:val="14"/>
              </w:rPr>
              <w:t>8.1</w:t>
            </w:r>
          </w:p>
        </w:tc>
        <w:tc>
          <w:tcPr>
            <w:tcW w:w="1059" w:type="dxa"/>
          </w:tcPr>
          <w:p>
            <w:pPr>
              <w:pStyle w:val="TableParagraph"/>
              <w:ind w:left="67" w:right="39"/>
              <w:rPr>
                <w:sz w:val="14"/>
              </w:rPr>
            </w:pPr>
            <w:r>
              <w:rPr>
                <w:color w:val="231F20"/>
                <w:spacing w:val="-5"/>
                <w:w w:val="95"/>
                <w:sz w:val="14"/>
              </w:rPr>
              <w:t>5.5</w:t>
            </w:r>
          </w:p>
        </w:tc>
        <w:tc>
          <w:tcPr>
            <w:tcW w:w="1083" w:type="dxa"/>
          </w:tcPr>
          <w:p>
            <w:pPr>
              <w:pStyle w:val="TableParagraph"/>
              <w:ind w:left="395"/>
              <w:jc w:val="left"/>
              <w:rPr>
                <w:sz w:val="14"/>
              </w:rPr>
            </w:pPr>
            <w:r>
              <w:rPr>
                <w:color w:val="231F20"/>
                <w:spacing w:val="-5"/>
                <w:w w:val="95"/>
                <w:sz w:val="14"/>
              </w:rPr>
              <w:t>3.5</w:t>
            </w:r>
          </w:p>
        </w:tc>
        <w:tc>
          <w:tcPr>
            <w:tcW w:w="754" w:type="dxa"/>
          </w:tcPr>
          <w:p>
            <w:pPr>
              <w:pStyle w:val="TableParagraph"/>
              <w:ind w:left="85" w:right="48"/>
              <w:rPr>
                <w:sz w:val="14"/>
              </w:rPr>
            </w:pPr>
            <w:r>
              <w:rPr>
                <w:color w:val="231F20"/>
                <w:spacing w:val="-5"/>
                <w:w w:val="95"/>
                <w:sz w:val="14"/>
              </w:rPr>
              <w:t>9.4</w:t>
            </w:r>
          </w:p>
        </w:tc>
        <w:tc>
          <w:tcPr>
            <w:tcW w:w="239" w:type="dxa"/>
          </w:tcPr>
          <w:p>
            <w:pPr>
              <w:pStyle w:val="TableParagraph"/>
              <w:spacing w:before="0"/>
              <w:jc w:val="left"/>
              <w:rPr>
                <w:rFonts w:ascii="Times New Roman"/>
                <w:sz w:val="12"/>
              </w:rPr>
            </w:pPr>
          </w:p>
        </w:tc>
        <w:tc>
          <w:tcPr>
            <w:tcW w:w="850" w:type="dxa"/>
          </w:tcPr>
          <w:p>
            <w:pPr>
              <w:pStyle w:val="TableParagraph"/>
              <w:ind w:left="28" w:right="65"/>
              <w:rPr>
                <w:sz w:val="14"/>
              </w:rPr>
            </w:pPr>
            <w:r>
              <w:rPr>
                <w:color w:val="231F20"/>
                <w:spacing w:val="-5"/>
                <w:w w:val="95"/>
                <w:sz w:val="14"/>
              </w:rPr>
              <w:t>7.7</w:t>
            </w:r>
          </w:p>
        </w:tc>
        <w:tc>
          <w:tcPr>
            <w:tcW w:w="1058" w:type="dxa"/>
          </w:tcPr>
          <w:p>
            <w:pPr>
              <w:pStyle w:val="TableParagraph"/>
              <w:ind w:left="64" w:right="29"/>
              <w:rPr>
                <w:sz w:val="14"/>
              </w:rPr>
            </w:pPr>
            <w:r>
              <w:rPr>
                <w:color w:val="231F20"/>
                <w:spacing w:val="-5"/>
                <w:w w:val="95"/>
                <w:sz w:val="14"/>
              </w:rPr>
              <w:t>5.4</w:t>
            </w:r>
          </w:p>
        </w:tc>
        <w:tc>
          <w:tcPr>
            <w:tcW w:w="948" w:type="dxa"/>
          </w:tcPr>
          <w:p>
            <w:pPr>
              <w:pStyle w:val="TableParagraph"/>
              <w:ind w:left="88" w:right="60"/>
              <w:rPr>
                <w:sz w:val="14"/>
              </w:rPr>
            </w:pPr>
            <w:r>
              <w:rPr>
                <w:color w:val="231F20"/>
                <w:spacing w:val="-5"/>
                <w:w w:val="95"/>
                <w:sz w:val="14"/>
              </w:rPr>
              <w:t>3.5</w:t>
            </w:r>
          </w:p>
        </w:tc>
        <w:tc>
          <w:tcPr>
            <w:tcW w:w="1007" w:type="dxa"/>
          </w:tcPr>
          <w:p>
            <w:pPr>
              <w:pStyle w:val="TableParagraph"/>
              <w:ind w:right="383"/>
              <w:jc w:val="right"/>
              <w:rPr>
                <w:sz w:val="14"/>
              </w:rPr>
            </w:pPr>
            <w:r>
              <w:rPr>
                <w:color w:val="231F20"/>
                <w:spacing w:val="-5"/>
                <w:w w:val="95"/>
                <w:sz w:val="14"/>
              </w:rPr>
              <w:t>9.0</w:t>
            </w:r>
          </w:p>
        </w:tc>
      </w:tr>
      <w:tr>
        <w:trPr>
          <w:trHeight w:val="259" w:hRule="atLeast"/>
        </w:trPr>
        <w:tc>
          <w:tcPr>
            <w:tcW w:w="1263" w:type="dxa"/>
            <w:shd w:val="clear" w:color="auto" w:fill="D4E3F5"/>
          </w:tcPr>
          <w:p>
            <w:pPr>
              <w:pStyle w:val="TableParagraph"/>
              <w:ind w:left="80"/>
              <w:jc w:val="left"/>
              <w:rPr>
                <w:sz w:val="14"/>
              </w:rPr>
            </w:pPr>
            <w:r>
              <w:rPr>
                <w:color w:val="231F20"/>
                <w:spacing w:val="-2"/>
                <w:w w:val="90"/>
                <w:sz w:val="14"/>
              </w:rPr>
              <w:t>Barbados</w:t>
            </w:r>
          </w:p>
        </w:tc>
        <w:tc>
          <w:tcPr>
            <w:tcW w:w="1198" w:type="dxa"/>
            <w:shd w:val="clear" w:color="auto" w:fill="D4E3F5"/>
          </w:tcPr>
          <w:p>
            <w:pPr>
              <w:pStyle w:val="TableParagraph"/>
              <w:ind w:right="440"/>
              <w:jc w:val="right"/>
              <w:rPr>
                <w:sz w:val="14"/>
              </w:rPr>
            </w:pPr>
            <w:r>
              <w:rPr>
                <w:color w:val="231F20"/>
                <w:spacing w:val="-5"/>
                <w:w w:val="95"/>
                <w:sz w:val="14"/>
              </w:rPr>
              <w:t>12</w:t>
            </w:r>
          </w:p>
        </w:tc>
        <w:tc>
          <w:tcPr>
            <w:tcW w:w="851" w:type="dxa"/>
            <w:shd w:val="clear" w:color="auto" w:fill="D4E3F5"/>
          </w:tcPr>
          <w:p>
            <w:pPr>
              <w:pStyle w:val="TableParagraph"/>
              <w:ind w:left="77" w:right="136"/>
              <w:rPr>
                <w:sz w:val="14"/>
              </w:rPr>
            </w:pPr>
            <w:r>
              <w:rPr>
                <w:color w:val="231F20"/>
                <w:spacing w:val="-5"/>
                <w:w w:val="95"/>
                <w:sz w:val="14"/>
              </w:rPr>
              <w:t>8.7</w:t>
            </w:r>
          </w:p>
        </w:tc>
        <w:tc>
          <w:tcPr>
            <w:tcW w:w="1059" w:type="dxa"/>
            <w:shd w:val="clear" w:color="auto" w:fill="D4E3F5"/>
          </w:tcPr>
          <w:p>
            <w:pPr>
              <w:pStyle w:val="TableParagraph"/>
              <w:ind w:left="67" w:right="39"/>
              <w:rPr>
                <w:sz w:val="14"/>
              </w:rPr>
            </w:pPr>
            <w:r>
              <w:rPr>
                <w:color w:val="231F20"/>
                <w:spacing w:val="-5"/>
                <w:w w:val="95"/>
                <w:sz w:val="14"/>
              </w:rPr>
              <w:t>6.6</w:t>
            </w:r>
          </w:p>
        </w:tc>
        <w:tc>
          <w:tcPr>
            <w:tcW w:w="1083" w:type="dxa"/>
            <w:shd w:val="clear" w:color="auto" w:fill="D4E3F5"/>
          </w:tcPr>
          <w:p>
            <w:pPr>
              <w:pStyle w:val="TableParagraph"/>
              <w:ind w:left="396"/>
              <w:jc w:val="left"/>
              <w:rPr>
                <w:sz w:val="14"/>
              </w:rPr>
            </w:pPr>
            <w:r>
              <w:rPr>
                <w:color w:val="231F20"/>
                <w:spacing w:val="-5"/>
                <w:w w:val="95"/>
                <w:sz w:val="14"/>
              </w:rPr>
              <w:t>5.1</w:t>
            </w:r>
          </w:p>
        </w:tc>
        <w:tc>
          <w:tcPr>
            <w:tcW w:w="754" w:type="dxa"/>
            <w:shd w:val="clear" w:color="auto" w:fill="D4E3F5"/>
          </w:tcPr>
          <w:p>
            <w:pPr>
              <w:pStyle w:val="TableParagraph"/>
              <w:ind w:left="40" w:right="62"/>
              <w:rPr>
                <w:sz w:val="14"/>
              </w:rPr>
            </w:pPr>
            <w:r>
              <w:rPr>
                <w:color w:val="231F20"/>
                <w:spacing w:val="-4"/>
                <w:w w:val="95"/>
                <w:sz w:val="14"/>
              </w:rPr>
              <w:t>10.8</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20" w:right="65"/>
              <w:rPr>
                <w:sz w:val="14"/>
              </w:rPr>
            </w:pPr>
            <w:r>
              <w:rPr>
                <w:color w:val="231F20"/>
                <w:spacing w:val="-5"/>
                <w:w w:val="95"/>
                <w:sz w:val="14"/>
              </w:rPr>
              <w:t>0.5</w:t>
            </w:r>
          </w:p>
        </w:tc>
        <w:tc>
          <w:tcPr>
            <w:tcW w:w="1058" w:type="dxa"/>
            <w:shd w:val="clear" w:color="auto" w:fill="D4E3F5"/>
          </w:tcPr>
          <w:p>
            <w:pPr>
              <w:pStyle w:val="TableParagraph"/>
              <w:ind w:left="67" w:right="29"/>
              <w:rPr>
                <w:sz w:val="14"/>
              </w:rPr>
            </w:pPr>
            <w:r>
              <w:rPr>
                <w:color w:val="231F20"/>
                <w:spacing w:val="-5"/>
                <w:w w:val="95"/>
                <w:sz w:val="14"/>
              </w:rPr>
              <w:t>0.5</w:t>
            </w:r>
          </w:p>
        </w:tc>
        <w:tc>
          <w:tcPr>
            <w:tcW w:w="948" w:type="dxa"/>
            <w:shd w:val="clear" w:color="auto" w:fill="D4E3F5"/>
          </w:tcPr>
          <w:p>
            <w:pPr>
              <w:pStyle w:val="TableParagraph"/>
              <w:ind w:left="87" w:right="60"/>
              <w:rPr>
                <w:sz w:val="14"/>
              </w:rPr>
            </w:pPr>
            <w:r>
              <w:rPr>
                <w:color w:val="231F20"/>
                <w:spacing w:val="-5"/>
                <w:w w:val="95"/>
                <w:sz w:val="14"/>
              </w:rPr>
              <w:t>0.5</w:t>
            </w:r>
          </w:p>
        </w:tc>
        <w:tc>
          <w:tcPr>
            <w:tcW w:w="1007" w:type="dxa"/>
            <w:shd w:val="clear" w:color="auto" w:fill="D4E3F5"/>
          </w:tcPr>
          <w:p>
            <w:pPr>
              <w:pStyle w:val="TableParagraph"/>
              <w:ind w:right="381"/>
              <w:jc w:val="right"/>
              <w:rPr>
                <w:sz w:val="14"/>
              </w:rPr>
            </w:pPr>
            <w:r>
              <w:rPr>
                <w:color w:val="231F20"/>
                <w:spacing w:val="-5"/>
                <w:w w:val="95"/>
                <w:sz w:val="14"/>
              </w:rPr>
              <w:t>0.6</w:t>
            </w:r>
          </w:p>
        </w:tc>
      </w:tr>
      <w:tr>
        <w:trPr>
          <w:trHeight w:val="259" w:hRule="atLeast"/>
        </w:trPr>
        <w:tc>
          <w:tcPr>
            <w:tcW w:w="1263" w:type="dxa"/>
          </w:tcPr>
          <w:p>
            <w:pPr>
              <w:pStyle w:val="TableParagraph"/>
              <w:ind w:left="80"/>
              <w:jc w:val="left"/>
              <w:rPr>
                <w:sz w:val="14"/>
              </w:rPr>
            </w:pPr>
            <w:r>
              <w:rPr>
                <w:color w:val="231F20"/>
                <w:spacing w:val="-2"/>
                <w:w w:val="90"/>
                <w:sz w:val="14"/>
              </w:rPr>
              <w:t>Belgium</w:t>
            </w:r>
          </w:p>
        </w:tc>
        <w:tc>
          <w:tcPr>
            <w:tcW w:w="1198" w:type="dxa"/>
          </w:tcPr>
          <w:p>
            <w:pPr>
              <w:pStyle w:val="TableParagraph"/>
              <w:ind w:right="434"/>
              <w:jc w:val="right"/>
              <w:rPr>
                <w:sz w:val="14"/>
              </w:rPr>
            </w:pPr>
            <w:r>
              <w:rPr>
                <w:color w:val="231F20"/>
                <w:spacing w:val="-2"/>
                <w:w w:val="95"/>
                <w:sz w:val="14"/>
              </w:rPr>
              <w:t>24,991</w:t>
            </w:r>
          </w:p>
        </w:tc>
        <w:tc>
          <w:tcPr>
            <w:tcW w:w="851" w:type="dxa"/>
          </w:tcPr>
          <w:p>
            <w:pPr>
              <w:pStyle w:val="TableParagraph"/>
              <w:ind w:left="17" w:right="136"/>
              <w:rPr>
                <w:sz w:val="14"/>
              </w:rPr>
            </w:pPr>
            <w:r>
              <w:rPr>
                <w:color w:val="231F20"/>
                <w:spacing w:val="-4"/>
                <w:w w:val="95"/>
                <w:sz w:val="14"/>
              </w:rPr>
              <w:t>10.4</w:t>
            </w:r>
          </w:p>
        </w:tc>
        <w:tc>
          <w:tcPr>
            <w:tcW w:w="1059" w:type="dxa"/>
          </w:tcPr>
          <w:p>
            <w:pPr>
              <w:pStyle w:val="TableParagraph"/>
              <w:ind w:left="67" w:right="39"/>
              <w:rPr>
                <w:sz w:val="14"/>
              </w:rPr>
            </w:pPr>
            <w:r>
              <w:rPr>
                <w:color w:val="231F20"/>
                <w:spacing w:val="-5"/>
                <w:w w:val="95"/>
                <w:sz w:val="14"/>
              </w:rPr>
              <w:t>6.6</w:t>
            </w:r>
          </w:p>
        </w:tc>
        <w:tc>
          <w:tcPr>
            <w:tcW w:w="1083" w:type="dxa"/>
          </w:tcPr>
          <w:p>
            <w:pPr>
              <w:pStyle w:val="TableParagraph"/>
              <w:ind w:left="397"/>
              <w:jc w:val="left"/>
              <w:rPr>
                <w:sz w:val="14"/>
              </w:rPr>
            </w:pPr>
            <w:r>
              <w:rPr>
                <w:color w:val="231F20"/>
                <w:spacing w:val="-5"/>
                <w:w w:val="95"/>
                <w:sz w:val="14"/>
              </w:rPr>
              <w:t>4.0</w:t>
            </w:r>
          </w:p>
        </w:tc>
        <w:tc>
          <w:tcPr>
            <w:tcW w:w="754" w:type="dxa"/>
          </w:tcPr>
          <w:p>
            <w:pPr>
              <w:pStyle w:val="TableParagraph"/>
              <w:ind w:left="40" w:right="61"/>
              <w:rPr>
                <w:sz w:val="14"/>
              </w:rPr>
            </w:pPr>
            <w:r>
              <w:rPr>
                <w:color w:val="231F20"/>
                <w:spacing w:val="-4"/>
                <w:w w:val="95"/>
                <w:sz w:val="14"/>
              </w:rPr>
              <w:t>12.8</w:t>
            </w:r>
          </w:p>
        </w:tc>
        <w:tc>
          <w:tcPr>
            <w:tcW w:w="239" w:type="dxa"/>
          </w:tcPr>
          <w:p>
            <w:pPr>
              <w:pStyle w:val="TableParagraph"/>
              <w:spacing w:before="0"/>
              <w:jc w:val="left"/>
              <w:rPr>
                <w:rFonts w:ascii="Times New Roman"/>
                <w:sz w:val="12"/>
              </w:rPr>
            </w:pPr>
          </w:p>
        </w:tc>
        <w:tc>
          <w:tcPr>
            <w:tcW w:w="850" w:type="dxa"/>
          </w:tcPr>
          <w:p>
            <w:pPr>
              <w:pStyle w:val="TableParagraph"/>
              <w:ind w:left="21" w:right="65"/>
              <w:rPr>
                <w:sz w:val="14"/>
              </w:rPr>
            </w:pPr>
            <w:r>
              <w:rPr>
                <w:color w:val="231F20"/>
                <w:spacing w:val="-5"/>
                <w:w w:val="95"/>
                <w:sz w:val="14"/>
              </w:rPr>
              <w:t>8.3</w:t>
            </w:r>
          </w:p>
        </w:tc>
        <w:tc>
          <w:tcPr>
            <w:tcW w:w="1058" w:type="dxa"/>
          </w:tcPr>
          <w:p>
            <w:pPr>
              <w:pStyle w:val="TableParagraph"/>
              <w:ind w:left="66" w:right="29"/>
              <w:rPr>
                <w:sz w:val="14"/>
              </w:rPr>
            </w:pPr>
            <w:r>
              <w:rPr>
                <w:color w:val="231F20"/>
                <w:spacing w:val="-5"/>
                <w:w w:val="95"/>
                <w:sz w:val="14"/>
              </w:rPr>
              <w:t>5.8</w:t>
            </w:r>
          </w:p>
        </w:tc>
        <w:tc>
          <w:tcPr>
            <w:tcW w:w="948" w:type="dxa"/>
          </w:tcPr>
          <w:p>
            <w:pPr>
              <w:pStyle w:val="TableParagraph"/>
              <w:ind w:left="81" w:right="60"/>
              <w:rPr>
                <w:sz w:val="14"/>
              </w:rPr>
            </w:pPr>
            <w:r>
              <w:rPr>
                <w:color w:val="231F20"/>
                <w:spacing w:val="-5"/>
                <w:w w:val="95"/>
                <w:sz w:val="14"/>
              </w:rPr>
              <w:t>3.7</w:t>
            </w:r>
          </w:p>
        </w:tc>
        <w:tc>
          <w:tcPr>
            <w:tcW w:w="1007" w:type="dxa"/>
          </w:tcPr>
          <w:p>
            <w:pPr>
              <w:pStyle w:val="TableParagraph"/>
              <w:ind w:right="400"/>
              <w:jc w:val="right"/>
              <w:rPr>
                <w:sz w:val="14"/>
              </w:rPr>
            </w:pPr>
            <w:r>
              <w:rPr>
                <w:color w:val="231F20"/>
                <w:spacing w:val="-4"/>
                <w:w w:val="95"/>
                <w:sz w:val="14"/>
              </w:rPr>
              <w:t>10.1</w:t>
            </w:r>
          </w:p>
        </w:tc>
      </w:tr>
      <w:tr>
        <w:trPr>
          <w:trHeight w:val="259" w:hRule="atLeast"/>
        </w:trPr>
        <w:tc>
          <w:tcPr>
            <w:tcW w:w="1263" w:type="dxa"/>
            <w:shd w:val="clear" w:color="auto" w:fill="D4E3F5"/>
          </w:tcPr>
          <w:p>
            <w:pPr>
              <w:pStyle w:val="TableParagraph"/>
              <w:ind w:left="80"/>
              <w:jc w:val="left"/>
              <w:rPr>
                <w:sz w:val="14"/>
              </w:rPr>
            </w:pPr>
            <w:r>
              <w:rPr>
                <w:color w:val="231F20"/>
                <w:spacing w:val="-2"/>
                <w:w w:val="85"/>
                <w:sz w:val="14"/>
              </w:rPr>
              <w:t>Belize</w:t>
            </w:r>
          </w:p>
        </w:tc>
        <w:tc>
          <w:tcPr>
            <w:tcW w:w="1198" w:type="dxa"/>
            <w:shd w:val="clear" w:color="auto" w:fill="D4E3F5"/>
          </w:tcPr>
          <w:p>
            <w:pPr>
              <w:pStyle w:val="TableParagraph"/>
              <w:ind w:right="436"/>
              <w:jc w:val="right"/>
              <w:rPr>
                <w:sz w:val="14"/>
              </w:rPr>
            </w:pPr>
            <w:r>
              <w:rPr>
                <w:color w:val="231F20"/>
                <w:spacing w:val="-10"/>
                <w:w w:val="95"/>
                <w:sz w:val="14"/>
              </w:rPr>
              <w:t>1</w:t>
            </w:r>
          </w:p>
        </w:tc>
        <w:tc>
          <w:tcPr>
            <w:tcW w:w="851" w:type="dxa"/>
            <w:shd w:val="clear" w:color="auto" w:fill="D4E3F5"/>
          </w:tcPr>
          <w:p>
            <w:pPr>
              <w:pStyle w:val="TableParagraph"/>
              <w:ind w:left="64" w:right="136"/>
              <w:rPr>
                <w:sz w:val="14"/>
              </w:rPr>
            </w:pPr>
            <w:r>
              <w:rPr>
                <w:color w:val="231F20"/>
                <w:spacing w:val="-5"/>
                <w:w w:val="95"/>
                <w:sz w:val="14"/>
              </w:rPr>
              <w:t>0.1</w:t>
            </w:r>
          </w:p>
        </w:tc>
        <w:tc>
          <w:tcPr>
            <w:tcW w:w="1059" w:type="dxa"/>
            <w:shd w:val="clear" w:color="auto" w:fill="D4E3F5"/>
          </w:tcPr>
          <w:p>
            <w:pPr>
              <w:pStyle w:val="TableParagraph"/>
              <w:ind w:left="49" w:right="39"/>
              <w:rPr>
                <w:sz w:val="14"/>
              </w:rPr>
            </w:pPr>
            <w:r>
              <w:rPr>
                <w:color w:val="231F20"/>
                <w:spacing w:val="-5"/>
                <w:w w:val="95"/>
                <w:sz w:val="14"/>
              </w:rPr>
              <w:t>0.1</w:t>
            </w:r>
          </w:p>
        </w:tc>
        <w:tc>
          <w:tcPr>
            <w:tcW w:w="1083" w:type="dxa"/>
            <w:shd w:val="clear" w:color="auto" w:fill="D4E3F5"/>
          </w:tcPr>
          <w:p>
            <w:pPr>
              <w:pStyle w:val="TableParagraph"/>
              <w:ind w:left="396"/>
              <w:jc w:val="left"/>
              <w:rPr>
                <w:sz w:val="14"/>
              </w:rPr>
            </w:pPr>
            <w:r>
              <w:rPr>
                <w:color w:val="231F20"/>
                <w:spacing w:val="-5"/>
                <w:w w:val="95"/>
                <w:sz w:val="14"/>
              </w:rPr>
              <w:t>0.1</w:t>
            </w:r>
          </w:p>
        </w:tc>
        <w:tc>
          <w:tcPr>
            <w:tcW w:w="754" w:type="dxa"/>
            <w:shd w:val="clear" w:color="auto" w:fill="D4E3F5"/>
          </w:tcPr>
          <w:p>
            <w:pPr>
              <w:pStyle w:val="TableParagraph"/>
              <w:ind w:left="68" w:right="48"/>
              <w:rPr>
                <w:sz w:val="14"/>
              </w:rPr>
            </w:pPr>
            <w:r>
              <w:rPr>
                <w:color w:val="231F20"/>
                <w:spacing w:val="-5"/>
                <w:w w:val="95"/>
                <w:sz w:val="14"/>
              </w:rPr>
              <w:t>0.1</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1" w:right="65"/>
              <w:rPr>
                <w:sz w:val="14"/>
              </w:rPr>
            </w:pPr>
            <w:r>
              <w:rPr>
                <w:color w:val="231F20"/>
                <w:spacing w:val="-5"/>
                <w:w w:val="95"/>
                <w:sz w:val="14"/>
              </w:rPr>
              <w:t>0.1</w:t>
            </w:r>
          </w:p>
        </w:tc>
        <w:tc>
          <w:tcPr>
            <w:tcW w:w="1058" w:type="dxa"/>
            <w:shd w:val="clear" w:color="auto" w:fill="D4E3F5"/>
          </w:tcPr>
          <w:p>
            <w:pPr>
              <w:pStyle w:val="TableParagraph"/>
              <w:ind w:left="52" w:right="32"/>
              <w:rPr>
                <w:sz w:val="14"/>
              </w:rPr>
            </w:pPr>
            <w:r>
              <w:rPr>
                <w:color w:val="231F20"/>
                <w:spacing w:val="-5"/>
                <w:w w:val="95"/>
                <w:sz w:val="14"/>
              </w:rPr>
              <w:t>0.1</w:t>
            </w:r>
          </w:p>
        </w:tc>
        <w:tc>
          <w:tcPr>
            <w:tcW w:w="948" w:type="dxa"/>
            <w:shd w:val="clear" w:color="auto" w:fill="D4E3F5"/>
          </w:tcPr>
          <w:p>
            <w:pPr>
              <w:pStyle w:val="TableParagraph"/>
              <w:ind w:left="68" w:right="60"/>
              <w:rPr>
                <w:sz w:val="14"/>
              </w:rPr>
            </w:pPr>
            <w:r>
              <w:rPr>
                <w:color w:val="231F20"/>
                <w:spacing w:val="-5"/>
                <w:w w:val="95"/>
                <w:sz w:val="14"/>
              </w:rPr>
              <w:t>0.1</w:t>
            </w:r>
          </w:p>
        </w:tc>
        <w:tc>
          <w:tcPr>
            <w:tcW w:w="1007" w:type="dxa"/>
            <w:shd w:val="clear" w:color="auto" w:fill="D4E3F5"/>
          </w:tcPr>
          <w:p>
            <w:pPr>
              <w:pStyle w:val="TableParagraph"/>
              <w:ind w:right="400"/>
              <w:jc w:val="right"/>
              <w:rPr>
                <w:sz w:val="14"/>
              </w:rPr>
            </w:pPr>
            <w:r>
              <w:rPr>
                <w:color w:val="231F20"/>
                <w:spacing w:val="-5"/>
                <w:w w:val="95"/>
                <w:sz w:val="14"/>
              </w:rPr>
              <w:t>0.1</w:t>
            </w:r>
          </w:p>
        </w:tc>
      </w:tr>
      <w:tr>
        <w:trPr>
          <w:trHeight w:val="259" w:hRule="atLeast"/>
        </w:trPr>
        <w:tc>
          <w:tcPr>
            <w:tcW w:w="1263" w:type="dxa"/>
          </w:tcPr>
          <w:p>
            <w:pPr>
              <w:pStyle w:val="TableParagraph"/>
              <w:ind w:left="80"/>
              <w:jc w:val="left"/>
              <w:rPr>
                <w:sz w:val="14"/>
              </w:rPr>
            </w:pPr>
            <w:r>
              <w:rPr>
                <w:color w:val="231F20"/>
                <w:spacing w:val="-2"/>
                <w:w w:val="90"/>
                <w:sz w:val="14"/>
              </w:rPr>
              <w:t>Benin</w:t>
            </w:r>
          </w:p>
        </w:tc>
        <w:tc>
          <w:tcPr>
            <w:tcW w:w="1198" w:type="dxa"/>
          </w:tcPr>
          <w:p>
            <w:pPr>
              <w:pStyle w:val="TableParagraph"/>
              <w:ind w:right="432"/>
              <w:jc w:val="right"/>
              <w:rPr>
                <w:sz w:val="14"/>
              </w:rPr>
            </w:pPr>
            <w:r>
              <w:rPr>
                <w:color w:val="231F20"/>
                <w:spacing w:val="-2"/>
                <w:w w:val="95"/>
                <w:sz w:val="14"/>
              </w:rPr>
              <w:t>5,791</w:t>
            </w:r>
          </w:p>
        </w:tc>
        <w:tc>
          <w:tcPr>
            <w:tcW w:w="851" w:type="dxa"/>
          </w:tcPr>
          <w:p>
            <w:pPr>
              <w:pStyle w:val="TableParagraph"/>
              <w:ind w:left="18" w:right="136"/>
              <w:rPr>
                <w:sz w:val="14"/>
              </w:rPr>
            </w:pPr>
            <w:r>
              <w:rPr>
                <w:color w:val="231F20"/>
                <w:spacing w:val="-4"/>
                <w:w w:val="95"/>
                <w:sz w:val="14"/>
              </w:rPr>
              <w:t>12.4</w:t>
            </w:r>
          </w:p>
        </w:tc>
        <w:tc>
          <w:tcPr>
            <w:tcW w:w="1059" w:type="dxa"/>
          </w:tcPr>
          <w:p>
            <w:pPr>
              <w:pStyle w:val="TableParagraph"/>
              <w:ind w:left="61" w:right="39"/>
              <w:rPr>
                <w:sz w:val="14"/>
              </w:rPr>
            </w:pPr>
            <w:r>
              <w:rPr>
                <w:color w:val="231F20"/>
                <w:spacing w:val="-5"/>
                <w:w w:val="95"/>
                <w:sz w:val="14"/>
              </w:rPr>
              <w:t>8.7</w:t>
            </w:r>
          </w:p>
        </w:tc>
        <w:tc>
          <w:tcPr>
            <w:tcW w:w="1083" w:type="dxa"/>
          </w:tcPr>
          <w:p>
            <w:pPr>
              <w:pStyle w:val="TableParagraph"/>
              <w:ind w:left="396"/>
              <w:jc w:val="left"/>
              <w:rPr>
                <w:sz w:val="14"/>
              </w:rPr>
            </w:pPr>
            <w:r>
              <w:rPr>
                <w:color w:val="231F20"/>
                <w:spacing w:val="-5"/>
                <w:w w:val="95"/>
                <w:sz w:val="14"/>
              </w:rPr>
              <w:t>5.2</w:t>
            </w:r>
          </w:p>
        </w:tc>
        <w:tc>
          <w:tcPr>
            <w:tcW w:w="754" w:type="dxa"/>
          </w:tcPr>
          <w:p>
            <w:pPr>
              <w:pStyle w:val="TableParagraph"/>
              <w:ind w:left="40" w:right="63"/>
              <w:rPr>
                <w:sz w:val="14"/>
              </w:rPr>
            </w:pPr>
            <w:r>
              <w:rPr>
                <w:color w:val="231F20"/>
                <w:spacing w:val="-4"/>
                <w:w w:val="95"/>
                <w:sz w:val="14"/>
              </w:rPr>
              <w:t>15.0</w:t>
            </w:r>
          </w:p>
        </w:tc>
        <w:tc>
          <w:tcPr>
            <w:tcW w:w="239" w:type="dxa"/>
          </w:tcPr>
          <w:p>
            <w:pPr>
              <w:pStyle w:val="TableParagraph"/>
              <w:spacing w:before="0"/>
              <w:jc w:val="left"/>
              <w:rPr>
                <w:rFonts w:ascii="Times New Roman"/>
                <w:sz w:val="12"/>
              </w:rPr>
            </w:pPr>
          </w:p>
        </w:tc>
        <w:tc>
          <w:tcPr>
            <w:tcW w:w="850" w:type="dxa"/>
          </w:tcPr>
          <w:p>
            <w:pPr>
              <w:pStyle w:val="TableParagraph"/>
              <w:ind w:left="253"/>
              <w:jc w:val="left"/>
              <w:rPr>
                <w:sz w:val="14"/>
              </w:rPr>
            </w:pPr>
            <w:r>
              <w:rPr>
                <w:color w:val="231F20"/>
                <w:spacing w:val="-4"/>
                <w:w w:val="95"/>
                <w:sz w:val="14"/>
              </w:rPr>
              <w:t>12.4</w:t>
            </w:r>
          </w:p>
        </w:tc>
        <w:tc>
          <w:tcPr>
            <w:tcW w:w="1058" w:type="dxa"/>
          </w:tcPr>
          <w:p>
            <w:pPr>
              <w:pStyle w:val="TableParagraph"/>
              <w:ind w:left="61" w:right="29"/>
              <w:rPr>
                <w:sz w:val="14"/>
              </w:rPr>
            </w:pPr>
            <w:r>
              <w:rPr>
                <w:color w:val="231F20"/>
                <w:spacing w:val="-5"/>
                <w:w w:val="95"/>
                <w:sz w:val="14"/>
              </w:rPr>
              <w:t>8.7</w:t>
            </w:r>
          </w:p>
        </w:tc>
        <w:tc>
          <w:tcPr>
            <w:tcW w:w="948" w:type="dxa"/>
          </w:tcPr>
          <w:p>
            <w:pPr>
              <w:pStyle w:val="TableParagraph"/>
              <w:ind w:left="87" w:right="60"/>
              <w:rPr>
                <w:sz w:val="14"/>
              </w:rPr>
            </w:pPr>
            <w:r>
              <w:rPr>
                <w:color w:val="231F20"/>
                <w:spacing w:val="-5"/>
                <w:w w:val="95"/>
                <w:sz w:val="14"/>
              </w:rPr>
              <w:t>5.2</w:t>
            </w:r>
          </w:p>
        </w:tc>
        <w:tc>
          <w:tcPr>
            <w:tcW w:w="1007" w:type="dxa"/>
          </w:tcPr>
          <w:p>
            <w:pPr>
              <w:pStyle w:val="TableParagraph"/>
              <w:ind w:right="383"/>
              <w:jc w:val="right"/>
              <w:rPr>
                <w:sz w:val="14"/>
              </w:rPr>
            </w:pPr>
            <w:r>
              <w:rPr>
                <w:color w:val="231F20"/>
                <w:spacing w:val="-4"/>
                <w:w w:val="95"/>
                <w:sz w:val="14"/>
              </w:rPr>
              <w:t>15.0</w:t>
            </w:r>
          </w:p>
        </w:tc>
      </w:tr>
      <w:tr>
        <w:trPr>
          <w:trHeight w:val="259" w:hRule="atLeast"/>
        </w:trPr>
        <w:tc>
          <w:tcPr>
            <w:tcW w:w="1263" w:type="dxa"/>
            <w:shd w:val="clear" w:color="auto" w:fill="D4E3F5"/>
          </w:tcPr>
          <w:p>
            <w:pPr>
              <w:pStyle w:val="TableParagraph"/>
              <w:ind w:left="80"/>
              <w:jc w:val="left"/>
              <w:rPr>
                <w:sz w:val="14"/>
              </w:rPr>
            </w:pPr>
            <w:r>
              <w:rPr>
                <w:color w:val="231F20"/>
                <w:spacing w:val="-2"/>
                <w:w w:val="90"/>
                <w:sz w:val="14"/>
              </w:rPr>
              <w:t>Bolivia</w:t>
            </w:r>
          </w:p>
        </w:tc>
        <w:tc>
          <w:tcPr>
            <w:tcW w:w="1198" w:type="dxa"/>
            <w:shd w:val="clear" w:color="auto" w:fill="D4E3F5"/>
          </w:tcPr>
          <w:p>
            <w:pPr>
              <w:pStyle w:val="TableParagraph"/>
              <w:ind w:right="435"/>
              <w:jc w:val="right"/>
              <w:rPr>
                <w:sz w:val="14"/>
              </w:rPr>
            </w:pPr>
            <w:r>
              <w:rPr>
                <w:color w:val="231F20"/>
                <w:spacing w:val="-5"/>
                <w:w w:val="95"/>
                <w:sz w:val="14"/>
              </w:rPr>
              <w:t>273</w:t>
            </w:r>
          </w:p>
        </w:tc>
        <w:tc>
          <w:tcPr>
            <w:tcW w:w="851" w:type="dxa"/>
            <w:shd w:val="clear" w:color="auto" w:fill="D4E3F5"/>
          </w:tcPr>
          <w:p>
            <w:pPr>
              <w:pStyle w:val="TableParagraph"/>
              <w:ind w:left="82" w:right="136"/>
              <w:rPr>
                <w:sz w:val="14"/>
              </w:rPr>
            </w:pPr>
            <w:r>
              <w:rPr>
                <w:color w:val="231F20"/>
                <w:spacing w:val="-5"/>
                <w:w w:val="95"/>
                <w:sz w:val="14"/>
              </w:rPr>
              <w:t>6.0</w:t>
            </w:r>
          </w:p>
        </w:tc>
        <w:tc>
          <w:tcPr>
            <w:tcW w:w="1059" w:type="dxa"/>
            <w:shd w:val="clear" w:color="auto" w:fill="D4E3F5"/>
          </w:tcPr>
          <w:p>
            <w:pPr>
              <w:pStyle w:val="TableParagraph"/>
              <w:ind w:left="68" w:right="39"/>
              <w:rPr>
                <w:sz w:val="14"/>
              </w:rPr>
            </w:pPr>
            <w:r>
              <w:rPr>
                <w:color w:val="231F20"/>
                <w:spacing w:val="-5"/>
                <w:w w:val="95"/>
                <w:sz w:val="14"/>
              </w:rPr>
              <w:t>3.9</w:t>
            </w:r>
          </w:p>
        </w:tc>
        <w:tc>
          <w:tcPr>
            <w:tcW w:w="1083" w:type="dxa"/>
            <w:shd w:val="clear" w:color="auto" w:fill="D4E3F5"/>
          </w:tcPr>
          <w:p>
            <w:pPr>
              <w:pStyle w:val="TableParagraph"/>
              <w:ind w:left="403"/>
              <w:jc w:val="left"/>
              <w:rPr>
                <w:sz w:val="14"/>
              </w:rPr>
            </w:pPr>
            <w:r>
              <w:rPr>
                <w:color w:val="231F20"/>
                <w:spacing w:val="-5"/>
                <w:w w:val="95"/>
                <w:sz w:val="14"/>
              </w:rPr>
              <w:t>1.4</w:t>
            </w:r>
          </w:p>
        </w:tc>
        <w:tc>
          <w:tcPr>
            <w:tcW w:w="754" w:type="dxa"/>
            <w:shd w:val="clear" w:color="auto" w:fill="D4E3F5"/>
          </w:tcPr>
          <w:p>
            <w:pPr>
              <w:pStyle w:val="TableParagraph"/>
              <w:ind w:left="86" w:right="48"/>
              <w:rPr>
                <w:sz w:val="14"/>
              </w:rPr>
            </w:pPr>
            <w:r>
              <w:rPr>
                <w:color w:val="231F20"/>
                <w:spacing w:val="-5"/>
                <w:w w:val="95"/>
                <w:sz w:val="14"/>
              </w:rPr>
              <w:t>9.0</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19" w:right="65"/>
              <w:rPr>
                <w:sz w:val="14"/>
              </w:rPr>
            </w:pPr>
            <w:r>
              <w:rPr>
                <w:color w:val="231F20"/>
                <w:spacing w:val="-5"/>
                <w:w w:val="95"/>
                <w:sz w:val="14"/>
              </w:rPr>
              <w:t>6.0</w:t>
            </w:r>
          </w:p>
        </w:tc>
        <w:tc>
          <w:tcPr>
            <w:tcW w:w="1058" w:type="dxa"/>
            <w:shd w:val="clear" w:color="auto" w:fill="D4E3F5"/>
          </w:tcPr>
          <w:p>
            <w:pPr>
              <w:pStyle w:val="TableParagraph"/>
              <w:ind w:left="68" w:right="29"/>
              <w:rPr>
                <w:sz w:val="14"/>
              </w:rPr>
            </w:pPr>
            <w:r>
              <w:rPr>
                <w:color w:val="231F20"/>
                <w:spacing w:val="-5"/>
                <w:w w:val="95"/>
                <w:sz w:val="14"/>
              </w:rPr>
              <w:t>3.9</w:t>
            </w:r>
          </w:p>
        </w:tc>
        <w:tc>
          <w:tcPr>
            <w:tcW w:w="948" w:type="dxa"/>
            <w:shd w:val="clear" w:color="auto" w:fill="D4E3F5"/>
          </w:tcPr>
          <w:p>
            <w:pPr>
              <w:pStyle w:val="TableParagraph"/>
              <w:ind w:left="91" w:right="60"/>
              <w:rPr>
                <w:sz w:val="14"/>
              </w:rPr>
            </w:pPr>
            <w:r>
              <w:rPr>
                <w:color w:val="231F20"/>
                <w:spacing w:val="-5"/>
                <w:w w:val="95"/>
                <w:sz w:val="14"/>
              </w:rPr>
              <w:t>1.4</w:t>
            </w:r>
          </w:p>
        </w:tc>
        <w:tc>
          <w:tcPr>
            <w:tcW w:w="1007" w:type="dxa"/>
            <w:shd w:val="clear" w:color="auto" w:fill="D4E3F5"/>
          </w:tcPr>
          <w:p>
            <w:pPr>
              <w:pStyle w:val="TableParagraph"/>
              <w:ind w:right="383"/>
              <w:jc w:val="right"/>
              <w:rPr>
                <w:sz w:val="14"/>
              </w:rPr>
            </w:pPr>
            <w:r>
              <w:rPr>
                <w:color w:val="231F20"/>
                <w:spacing w:val="-5"/>
                <w:w w:val="95"/>
                <w:sz w:val="14"/>
              </w:rPr>
              <w:t>9.0</w:t>
            </w:r>
          </w:p>
        </w:tc>
      </w:tr>
      <w:tr>
        <w:trPr>
          <w:trHeight w:val="419" w:hRule="atLeast"/>
        </w:trPr>
        <w:tc>
          <w:tcPr>
            <w:tcW w:w="1263" w:type="dxa"/>
          </w:tcPr>
          <w:p>
            <w:pPr>
              <w:pStyle w:val="TableParagraph"/>
              <w:ind w:left="80" w:right="55"/>
              <w:jc w:val="left"/>
              <w:rPr>
                <w:sz w:val="14"/>
              </w:rPr>
            </w:pPr>
            <w:r>
              <w:rPr>
                <w:color w:val="231F20"/>
                <w:w w:val="90"/>
                <w:sz w:val="14"/>
              </w:rPr>
              <w:t>Bonaire,</w:t>
            </w:r>
            <w:r>
              <w:rPr>
                <w:color w:val="231F20"/>
                <w:spacing w:val="-6"/>
                <w:w w:val="90"/>
                <w:sz w:val="14"/>
              </w:rPr>
              <w:t> </w:t>
            </w:r>
            <w:r>
              <w:rPr>
                <w:color w:val="231F20"/>
                <w:w w:val="90"/>
                <w:sz w:val="14"/>
              </w:rPr>
              <w:t>Sint</w:t>
            </w:r>
            <w:r>
              <w:rPr>
                <w:color w:val="231F20"/>
                <w:spacing w:val="40"/>
                <w:sz w:val="14"/>
              </w:rPr>
              <w:t> </w:t>
            </w:r>
            <w:r>
              <w:rPr>
                <w:color w:val="231F20"/>
                <w:w w:val="75"/>
                <w:sz w:val="14"/>
              </w:rPr>
              <w:t>Eustatius and Saba</w:t>
            </w:r>
          </w:p>
        </w:tc>
        <w:tc>
          <w:tcPr>
            <w:tcW w:w="1198" w:type="dxa"/>
          </w:tcPr>
          <w:p>
            <w:pPr>
              <w:pStyle w:val="TableParagraph"/>
              <w:spacing w:before="47"/>
              <w:jc w:val="left"/>
              <w:rPr>
                <w:sz w:val="14"/>
              </w:rPr>
            </w:pPr>
          </w:p>
          <w:p>
            <w:pPr>
              <w:pStyle w:val="TableParagraph"/>
              <w:spacing w:before="0"/>
              <w:ind w:right="439"/>
              <w:jc w:val="right"/>
              <w:rPr>
                <w:sz w:val="14"/>
              </w:rPr>
            </w:pPr>
            <w:r>
              <w:rPr>
                <w:color w:val="231F20"/>
                <w:spacing w:val="-5"/>
                <w:w w:val="95"/>
                <w:sz w:val="14"/>
              </w:rPr>
              <w:t>18</w:t>
            </w:r>
          </w:p>
        </w:tc>
        <w:tc>
          <w:tcPr>
            <w:tcW w:w="851" w:type="dxa"/>
          </w:tcPr>
          <w:p>
            <w:pPr>
              <w:pStyle w:val="TableParagraph"/>
              <w:spacing w:before="47"/>
              <w:jc w:val="left"/>
              <w:rPr>
                <w:sz w:val="14"/>
              </w:rPr>
            </w:pPr>
          </w:p>
          <w:p>
            <w:pPr>
              <w:pStyle w:val="TableParagraph"/>
              <w:spacing w:before="0"/>
              <w:ind w:left="83" w:right="136"/>
              <w:rPr>
                <w:sz w:val="14"/>
              </w:rPr>
            </w:pPr>
            <w:r>
              <w:rPr>
                <w:color w:val="231F20"/>
                <w:spacing w:val="-5"/>
                <w:w w:val="95"/>
                <w:sz w:val="14"/>
              </w:rPr>
              <w:t>4.0</w:t>
            </w:r>
          </w:p>
        </w:tc>
        <w:tc>
          <w:tcPr>
            <w:tcW w:w="1059" w:type="dxa"/>
          </w:tcPr>
          <w:p>
            <w:pPr>
              <w:pStyle w:val="TableParagraph"/>
              <w:spacing w:before="47"/>
              <w:jc w:val="left"/>
              <w:rPr>
                <w:sz w:val="14"/>
              </w:rPr>
            </w:pPr>
          </w:p>
          <w:p>
            <w:pPr>
              <w:pStyle w:val="TableParagraph"/>
              <w:spacing w:before="0"/>
              <w:ind w:left="68" w:right="39"/>
              <w:rPr>
                <w:sz w:val="14"/>
              </w:rPr>
            </w:pPr>
            <w:r>
              <w:rPr>
                <w:color w:val="231F20"/>
                <w:spacing w:val="-5"/>
                <w:w w:val="95"/>
                <w:sz w:val="14"/>
              </w:rPr>
              <w:t>2.2</w:t>
            </w:r>
          </w:p>
        </w:tc>
        <w:tc>
          <w:tcPr>
            <w:tcW w:w="1083" w:type="dxa"/>
          </w:tcPr>
          <w:p>
            <w:pPr>
              <w:pStyle w:val="TableParagraph"/>
              <w:spacing w:before="47"/>
              <w:jc w:val="left"/>
              <w:rPr>
                <w:sz w:val="14"/>
              </w:rPr>
            </w:pPr>
          </w:p>
          <w:p>
            <w:pPr>
              <w:pStyle w:val="TableParagraph"/>
              <w:spacing w:before="0"/>
              <w:ind w:left="403"/>
              <w:jc w:val="left"/>
              <w:rPr>
                <w:sz w:val="14"/>
              </w:rPr>
            </w:pPr>
            <w:r>
              <w:rPr>
                <w:color w:val="231F20"/>
                <w:spacing w:val="-5"/>
                <w:w w:val="95"/>
                <w:sz w:val="14"/>
              </w:rPr>
              <w:t>1.6</w:t>
            </w:r>
          </w:p>
        </w:tc>
        <w:tc>
          <w:tcPr>
            <w:tcW w:w="754" w:type="dxa"/>
          </w:tcPr>
          <w:p>
            <w:pPr>
              <w:pStyle w:val="TableParagraph"/>
              <w:spacing w:before="47"/>
              <w:jc w:val="left"/>
              <w:rPr>
                <w:sz w:val="14"/>
              </w:rPr>
            </w:pPr>
          </w:p>
          <w:p>
            <w:pPr>
              <w:pStyle w:val="TableParagraph"/>
              <w:spacing w:before="0"/>
              <w:ind w:left="81" w:right="48"/>
              <w:rPr>
                <w:sz w:val="14"/>
              </w:rPr>
            </w:pPr>
            <w:r>
              <w:rPr>
                <w:color w:val="231F20"/>
                <w:spacing w:val="-5"/>
                <w:w w:val="95"/>
                <w:sz w:val="14"/>
              </w:rPr>
              <w:t>5.7</w:t>
            </w:r>
          </w:p>
        </w:tc>
        <w:tc>
          <w:tcPr>
            <w:tcW w:w="239" w:type="dxa"/>
          </w:tcPr>
          <w:p>
            <w:pPr>
              <w:pStyle w:val="TableParagraph"/>
              <w:spacing w:before="0"/>
              <w:jc w:val="left"/>
              <w:rPr>
                <w:rFonts w:ascii="Times New Roman"/>
                <w:sz w:val="12"/>
              </w:rPr>
            </w:pPr>
          </w:p>
        </w:tc>
        <w:tc>
          <w:tcPr>
            <w:tcW w:w="850" w:type="dxa"/>
          </w:tcPr>
          <w:p>
            <w:pPr>
              <w:pStyle w:val="TableParagraph"/>
              <w:spacing w:before="47"/>
              <w:jc w:val="left"/>
              <w:rPr>
                <w:sz w:val="14"/>
              </w:rPr>
            </w:pPr>
          </w:p>
          <w:p>
            <w:pPr>
              <w:pStyle w:val="TableParagraph"/>
              <w:spacing w:before="0"/>
              <w:ind w:left="20" w:right="65"/>
              <w:rPr>
                <w:sz w:val="14"/>
              </w:rPr>
            </w:pPr>
            <w:r>
              <w:rPr>
                <w:color w:val="231F20"/>
                <w:spacing w:val="-5"/>
                <w:w w:val="95"/>
                <w:sz w:val="14"/>
              </w:rPr>
              <w:t>3.8</w:t>
            </w:r>
          </w:p>
        </w:tc>
        <w:tc>
          <w:tcPr>
            <w:tcW w:w="1058" w:type="dxa"/>
          </w:tcPr>
          <w:p>
            <w:pPr>
              <w:pStyle w:val="TableParagraph"/>
              <w:spacing w:before="47"/>
              <w:jc w:val="left"/>
              <w:rPr>
                <w:sz w:val="14"/>
              </w:rPr>
            </w:pPr>
          </w:p>
          <w:p>
            <w:pPr>
              <w:pStyle w:val="TableParagraph"/>
              <w:spacing w:before="0"/>
              <w:ind w:left="73" w:right="29"/>
              <w:rPr>
                <w:sz w:val="14"/>
              </w:rPr>
            </w:pPr>
            <w:r>
              <w:rPr>
                <w:color w:val="231F20"/>
                <w:spacing w:val="-5"/>
                <w:w w:val="95"/>
                <w:sz w:val="14"/>
              </w:rPr>
              <w:t>1.9</w:t>
            </w:r>
          </w:p>
        </w:tc>
        <w:tc>
          <w:tcPr>
            <w:tcW w:w="948" w:type="dxa"/>
          </w:tcPr>
          <w:p>
            <w:pPr>
              <w:pStyle w:val="TableParagraph"/>
              <w:spacing w:before="47"/>
              <w:jc w:val="left"/>
              <w:rPr>
                <w:sz w:val="14"/>
              </w:rPr>
            </w:pPr>
          </w:p>
          <w:p>
            <w:pPr>
              <w:pStyle w:val="TableParagraph"/>
              <w:spacing w:before="0"/>
              <w:ind w:left="94" w:right="60"/>
              <w:rPr>
                <w:sz w:val="14"/>
              </w:rPr>
            </w:pPr>
            <w:r>
              <w:rPr>
                <w:color w:val="231F20"/>
                <w:spacing w:val="-5"/>
                <w:w w:val="95"/>
                <w:sz w:val="14"/>
              </w:rPr>
              <w:t>1.5</w:t>
            </w:r>
          </w:p>
        </w:tc>
        <w:tc>
          <w:tcPr>
            <w:tcW w:w="1007" w:type="dxa"/>
          </w:tcPr>
          <w:p>
            <w:pPr>
              <w:pStyle w:val="TableParagraph"/>
              <w:spacing w:before="47"/>
              <w:jc w:val="left"/>
              <w:rPr>
                <w:sz w:val="14"/>
              </w:rPr>
            </w:pPr>
          </w:p>
          <w:p>
            <w:pPr>
              <w:pStyle w:val="TableParagraph"/>
              <w:spacing w:before="0"/>
              <w:ind w:right="382"/>
              <w:jc w:val="right"/>
              <w:rPr>
                <w:sz w:val="14"/>
              </w:rPr>
            </w:pPr>
            <w:r>
              <w:rPr>
                <w:color w:val="231F20"/>
                <w:spacing w:val="-5"/>
                <w:w w:val="95"/>
                <w:sz w:val="14"/>
              </w:rPr>
              <w:t>5.6</w:t>
            </w:r>
          </w:p>
        </w:tc>
      </w:tr>
      <w:tr>
        <w:trPr>
          <w:trHeight w:val="419" w:hRule="atLeast"/>
        </w:trPr>
        <w:tc>
          <w:tcPr>
            <w:tcW w:w="1263" w:type="dxa"/>
            <w:shd w:val="clear" w:color="auto" w:fill="D4E3F5"/>
          </w:tcPr>
          <w:p>
            <w:pPr>
              <w:pStyle w:val="TableParagraph"/>
              <w:ind w:left="80" w:right="55"/>
              <w:jc w:val="left"/>
              <w:rPr>
                <w:sz w:val="14"/>
              </w:rPr>
            </w:pPr>
            <w:r>
              <w:rPr>
                <w:color w:val="231F20"/>
                <w:w w:val="85"/>
                <w:sz w:val="14"/>
              </w:rPr>
              <w:t>Bosnia</w:t>
            </w:r>
            <w:r>
              <w:rPr>
                <w:color w:val="231F20"/>
                <w:spacing w:val="-4"/>
                <w:w w:val="85"/>
                <w:sz w:val="14"/>
              </w:rPr>
              <w:t> </w:t>
            </w:r>
            <w:r>
              <w:rPr>
                <w:color w:val="231F20"/>
                <w:w w:val="85"/>
                <w:sz w:val="14"/>
              </w:rPr>
              <w:t>and</w:t>
            </w:r>
            <w:r>
              <w:rPr>
                <w:color w:val="231F20"/>
                <w:spacing w:val="40"/>
                <w:sz w:val="14"/>
              </w:rPr>
              <w:t> </w:t>
            </w:r>
            <w:r>
              <w:rPr>
                <w:color w:val="231F20"/>
                <w:spacing w:val="-2"/>
                <w:w w:val="75"/>
                <w:sz w:val="14"/>
              </w:rPr>
              <w:t>Herzegovina</w:t>
            </w:r>
          </w:p>
        </w:tc>
        <w:tc>
          <w:tcPr>
            <w:tcW w:w="1198" w:type="dxa"/>
            <w:shd w:val="clear" w:color="auto" w:fill="D4E3F5"/>
          </w:tcPr>
          <w:p>
            <w:pPr>
              <w:pStyle w:val="TableParagraph"/>
              <w:spacing w:before="47"/>
              <w:jc w:val="left"/>
              <w:rPr>
                <w:sz w:val="14"/>
              </w:rPr>
            </w:pPr>
          </w:p>
          <w:p>
            <w:pPr>
              <w:pStyle w:val="TableParagraph"/>
              <w:spacing w:before="0"/>
              <w:ind w:right="437"/>
              <w:jc w:val="right"/>
              <w:rPr>
                <w:sz w:val="14"/>
              </w:rPr>
            </w:pPr>
            <w:r>
              <w:rPr>
                <w:color w:val="231F20"/>
                <w:spacing w:val="-5"/>
                <w:w w:val="95"/>
                <w:sz w:val="14"/>
              </w:rPr>
              <w:t>24</w:t>
            </w:r>
          </w:p>
        </w:tc>
        <w:tc>
          <w:tcPr>
            <w:tcW w:w="851" w:type="dxa"/>
            <w:shd w:val="clear" w:color="auto" w:fill="D4E3F5"/>
          </w:tcPr>
          <w:p>
            <w:pPr>
              <w:pStyle w:val="TableParagraph"/>
              <w:spacing w:before="47"/>
              <w:jc w:val="left"/>
              <w:rPr>
                <w:sz w:val="14"/>
              </w:rPr>
            </w:pPr>
          </w:p>
          <w:p>
            <w:pPr>
              <w:pStyle w:val="TableParagraph"/>
              <w:spacing w:before="0"/>
              <w:ind w:left="20" w:right="136"/>
              <w:rPr>
                <w:sz w:val="14"/>
              </w:rPr>
            </w:pPr>
            <w:r>
              <w:rPr>
                <w:color w:val="231F20"/>
                <w:spacing w:val="-4"/>
                <w:w w:val="95"/>
                <w:sz w:val="14"/>
              </w:rPr>
              <w:t>12.9</w:t>
            </w:r>
          </w:p>
        </w:tc>
        <w:tc>
          <w:tcPr>
            <w:tcW w:w="1059" w:type="dxa"/>
            <w:shd w:val="clear" w:color="auto" w:fill="D4E3F5"/>
          </w:tcPr>
          <w:p>
            <w:pPr>
              <w:pStyle w:val="TableParagraph"/>
              <w:spacing w:before="47"/>
              <w:jc w:val="left"/>
              <w:rPr>
                <w:sz w:val="14"/>
              </w:rPr>
            </w:pPr>
          </w:p>
          <w:p>
            <w:pPr>
              <w:pStyle w:val="TableParagraph"/>
              <w:spacing w:before="0"/>
              <w:ind w:left="42" w:right="75"/>
              <w:rPr>
                <w:sz w:val="14"/>
              </w:rPr>
            </w:pPr>
            <w:r>
              <w:rPr>
                <w:color w:val="231F20"/>
                <w:spacing w:val="-4"/>
                <w:w w:val="95"/>
                <w:sz w:val="14"/>
              </w:rPr>
              <w:t>12.4</w:t>
            </w:r>
          </w:p>
        </w:tc>
        <w:tc>
          <w:tcPr>
            <w:tcW w:w="1083" w:type="dxa"/>
            <w:shd w:val="clear" w:color="auto" w:fill="D4E3F5"/>
          </w:tcPr>
          <w:p>
            <w:pPr>
              <w:pStyle w:val="TableParagraph"/>
              <w:spacing w:before="47"/>
              <w:jc w:val="left"/>
              <w:rPr>
                <w:sz w:val="14"/>
              </w:rPr>
            </w:pPr>
          </w:p>
          <w:p>
            <w:pPr>
              <w:pStyle w:val="TableParagraph"/>
              <w:spacing w:before="0"/>
              <w:ind w:left="395"/>
              <w:jc w:val="left"/>
              <w:rPr>
                <w:sz w:val="14"/>
              </w:rPr>
            </w:pPr>
            <w:r>
              <w:rPr>
                <w:color w:val="231F20"/>
                <w:spacing w:val="-5"/>
                <w:w w:val="95"/>
                <w:sz w:val="14"/>
              </w:rPr>
              <w:t>8.7</w:t>
            </w:r>
          </w:p>
        </w:tc>
        <w:tc>
          <w:tcPr>
            <w:tcW w:w="754" w:type="dxa"/>
            <w:shd w:val="clear" w:color="auto" w:fill="D4E3F5"/>
          </w:tcPr>
          <w:p>
            <w:pPr>
              <w:pStyle w:val="TableParagraph"/>
              <w:spacing w:before="47"/>
              <w:jc w:val="left"/>
              <w:rPr>
                <w:sz w:val="14"/>
              </w:rPr>
            </w:pPr>
          </w:p>
          <w:p>
            <w:pPr>
              <w:pStyle w:val="TableParagraph"/>
              <w:spacing w:before="0"/>
              <w:ind w:left="40" w:right="48"/>
              <w:rPr>
                <w:sz w:val="14"/>
              </w:rPr>
            </w:pPr>
            <w:r>
              <w:rPr>
                <w:color w:val="231F20"/>
                <w:spacing w:val="-4"/>
                <w:w w:val="95"/>
                <w:sz w:val="14"/>
              </w:rPr>
              <w:t>17.5</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spacing w:before="47"/>
              <w:jc w:val="left"/>
              <w:rPr>
                <w:sz w:val="14"/>
              </w:rPr>
            </w:pPr>
          </w:p>
          <w:p>
            <w:pPr>
              <w:pStyle w:val="TableParagraph"/>
              <w:spacing w:before="0"/>
              <w:ind w:left="253"/>
              <w:jc w:val="left"/>
              <w:rPr>
                <w:sz w:val="14"/>
              </w:rPr>
            </w:pPr>
            <w:r>
              <w:rPr>
                <w:color w:val="231F20"/>
                <w:spacing w:val="-4"/>
                <w:w w:val="95"/>
                <w:sz w:val="14"/>
              </w:rPr>
              <w:t>12.9</w:t>
            </w:r>
          </w:p>
        </w:tc>
        <w:tc>
          <w:tcPr>
            <w:tcW w:w="1058" w:type="dxa"/>
            <w:shd w:val="clear" w:color="auto" w:fill="D4E3F5"/>
          </w:tcPr>
          <w:p>
            <w:pPr>
              <w:pStyle w:val="TableParagraph"/>
              <w:spacing w:before="47"/>
              <w:jc w:val="left"/>
              <w:rPr>
                <w:sz w:val="14"/>
              </w:rPr>
            </w:pPr>
          </w:p>
          <w:p>
            <w:pPr>
              <w:pStyle w:val="TableParagraph"/>
              <w:spacing w:before="0"/>
              <w:ind w:left="52" w:right="75"/>
              <w:rPr>
                <w:sz w:val="14"/>
              </w:rPr>
            </w:pPr>
            <w:r>
              <w:rPr>
                <w:color w:val="231F20"/>
                <w:spacing w:val="-4"/>
                <w:w w:val="95"/>
                <w:sz w:val="14"/>
              </w:rPr>
              <w:t>12.4</w:t>
            </w:r>
          </w:p>
        </w:tc>
        <w:tc>
          <w:tcPr>
            <w:tcW w:w="948" w:type="dxa"/>
            <w:shd w:val="clear" w:color="auto" w:fill="D4E3F5"/>
          </w:tcPr>
          <w:p>
            <w:pPr>
              <w:pStyle w:val="TableParagraph"/>
              <w:spacing w:before="47"/>
              <w:jc w:val="left"/>
              <w:rPr>
                <w:sz w:val="14"/>
              </w:rPr>
            </w:pPr>
          </w:p>
          <w:p>
            <w:pPr>
              <w:pStyle w:val="TableParagraph"/>
              <w:spacing w:before="0"/>
              <w:ind w:left="81" w:right="60"/>
              <w:rPr>
                <w:sz w:val="14"/>
              </w:rPr>
            </w:pPr>
            <w:r>
              <w:rPr>
                <w:color w:val="231F20"/>
                <w:spacing w:val="-5"/>
                <w:w w:val="95"/>
                <w:sz w:val="14"/>
              </w:rPr>
              <w:t>8.7</w:t>
            </w:r>
          </w:p>
        </w:tc>
        <w:tc>
          <w:tcPr>
            <w:tcW w:w="1007" w:type="dxa"/>
            <w:shd w:val="clear" w:color="auto" w:fill="D4E3F5"/>
          </w:tcPr>
          <w:p>
            <w:pPr>
              <w:pStyle w:val="TableParagraph"/>
              <w:spacing w:before="47"/>
              <w:jc w:val="left"/>
              <w:rPr>
                <w:sz w:val="14"/>
              </w:rPr>
            </w:pPr>
          </w:p>
          <w:p>
            <w:pPr>
              <w:pStyle w:val="TableParagraph"/>
              <w:spacing w:before="0"/>
              <w:ind w:right="382"/>
              <w:jc w:val="right"/>
              <w:rPr>
                <w:sz w:val="14"/>
              </w:rPr>
            </w:pPr>
            <w:r>
              <w:rPr>
                <w:color w:val="231F20"/>
                <w:spacing w:val="-4"/>
                <w:w w:val="95"/>
                <w:sz w:val="14"/>
              </w:rPr>
              <w:t>17.5</w:t>
            </w:r>
          </w:p>
        </w:tc>
      </w:tr>
      <w:tr>
        <w:trPr>
          <w:trHeight w:val="259" w:hRule="atLeast"/>
        </w:trPr>
        <w:tc>
          <w:tcPr>
            <w:tcW w:w="1263" w:type="dxa"/>
          </w:tcPr>
          <w:p>
            <w:pPr>
              <w:pStyle w:val="TableParagraph"/>
              <w:ind w:left="80"/>
              <w:jc w:val="left"/>
              <w:rPr>
                <w:sz w:val="14"/>
              </w:rPr>
            </w:pPr>
            <w:r>
              <w:rPr>
                <w:color w:val="231F20"/>
                <w:spacing w:val="-2"/>
                <w:w w:val="90"/>
                <w:sz w:val="14"/>
              </w:rPr>
              <w:t>Botswana</w:t>
            </w:r>
          </w:p>
        </w:tc>
        <w:tc>
          <w:tcPr>
            <w:tcW w:w="1198" w:type="dxa"/>
          </w:tcPr>
          <w:p>
            <w:pPr>
              <w:pStyle w:val="TableParagraph"/>
              <w:ind w:right="431"/>
              <w:jc w:val="right"/>
              <w:rPr>
                <w:sz w:val="14"/>
              </w:rPr>
            </w:pPr>
            <w:r>
              <w:rPr>
                <w:color w:val="231F20"/>
                <w:spacing w:val="-5"/>
                <w:w w:val="95"/>
                <w:sz w:val="14"/>
              </w:rPr>
              <w:t>69</w:t>
            </w:r>
          </w:p>
        </w:tc>
        <w:tc>
          <w:tcPr>
            <w:tcW w:w="851" w:type="dxa"/>
          </w:tcPr>
          <w:p>
            <w:pPr>
              <w:pStyle w:val="TableParagraph"/>
              <w:ind w:left="17" w:right="136"/>
              <w:rPr>
                <w:sz w:val="14"/>
              </w:rPr>
            </w:pPr>
            <w:r>
              <w:rPr>
                <w:color w:val="231F20"/>
                <w:spacing w:val="-4"/>
                <w:w w:val="95"/>
                <w:sz w:val="14"/>
              </w:rPr>
              <w:t>13.4</w:t>
            </w:r>
          </w:p>
        </w:tc>
        <w:tc>
          <w:tcPr>
            <w:tcW w:w="1059" w:type="dxa"/>
          </w:tcPr>
          <w:p>
            <w:pPr>
              <w:pStyle w:val="TableParagraph"/>
              <w:ind w:left="67" w:right="39"/>
              <w:rPr>
                <w:sz w:val="14"/>
              </w:rPr>
            </w:pPr>
            <w:r>
              <w:rPr>
                <w:color w:val="231F20"/>
                <w:spacing w:val="-5"/>
                <w:w w:val="95"/>
                <w:sz w:val="14"/>
              </w:rPr>
              <w:t>9.0</w:t>
            </w:r>
          </w:p>
        </w:tc>
        <w:tc>
          <w:tcPr>
            <w:tcW w:w="1083" w:type="dxa"/>
          </w:tcPr>
          <w:p>
            <w:pPr>
              <w:pStyle w:val="TableParagraph"/>
              <w:ind w:left="397"/>
              <w:jc w:val="left"/>
              <w:rPr>
                <w:sz w:val="14"/>
              </w:rPr>
            </w:pPr>
            <w:r>
              <w:rPr>
                <w:color w:val="231F20"/>
                <w:spacing w:val="-5"/>
                <w:w w:val="95"/>
                <w:sz w:val="14"/>
              </w:rPr>
              <w:t>4.4</w:t>
            </w:r>
          </w:p>
        </w:tc>
        <w:tc>
          <w:tcPr>
            <w:tcW w:w="754" w:type="dxa"/>
          </w:tcPr>
          <w:p>
            <w:pPr>
              <w:pStyle w:val="TableParagraph"/>
              <w:ind w:left="40" w:right="62"/>
              <w:rPr>
                <w:sz w:val="14"/>
              </w:rPr>
            </w:pPr>
            <w:r>
              <w:rPr>
                <w:color w:val="231F20"/>
                <w:spacing w:val="-4"/>
                <w:w w:val="95"/>
                <w:sz w:val="14"/>
              </w:rPr>
              <w:t>18.8</w:t>
            </w:r>
          </w:p>
        </w:tc>
        <w:tc>
          <w:tcPr>
            <w:tcW w:w="239" w:type="dxa"/>
          </w:tcPr>
          <w:p>
            <w:pPr>
              <w:pStyle w:val="TableParagraph"/>
              <w:spacing w:before="0"/>
              <w:jc w:val="left"/>
              <w:rPr>
                <w:rFonts w:ascii="Times New Roman"/>
                <w:sz w:val="12"/>
              </w:rPr>
            </w:pPr>
          </w:p>
        </w:tc>
        <w:tc>
          <w:tcPr>
            <w:tcW w:w="850" w:type="dxa"/>
          </w:tcPr>
          <w:p>
            <w:pPr>
              <w:pStyle w:val="TableParagraph"/>
              <w:ind w:left="19" w:right="65"/>
              <w:rPr>
                <w:sz w:val="14"/>
              </w:rPr>
            </w:pPr>
            <w:r>
              <w:rPr>
                <w:color w:val="231F20"/>
                <w:spacing w:val="-5"/>
                <w:w w:val="95"/>
                <w:sz w:val="14"/>
              </w:rPr>
              <w:t>9.9</w:t>
            </w:r>
          </w:p>
        </w:tc>
        <w:tc>
          <w:tcPr>
            <w:tcW w:w="1058" w:type="dxa"/>
          </w:tcPr>
          <w:p>
            <w:pPr>
              <w:pStyle w:val="TableParagraph"/>
              <w:ind w:left="52" w:right="33"/>
              <w:rPr>
                <w:sz w:val="14"/>
              </w:rPr>
            </w:pPr>
            <w:r>
              <w:rPr>
                <w:color w:val="231F20"/>
                <w:spacing w:val="-5"/>
                <w:w w:val="95"/>
                <w:sz w:val="14"/>
              </w:rPr>
              <w:t>6.1</w:t>
            </w:r>
          </w:p>
        </w:tc>
        <w:tc>
          <w:tcPr>
            <w:tcW w:w="948" w:type="dxa"/>
          </w:tcPr>
          <w:p>
            <w:pPr>
              <w:pStyle w:val="TableParagraph"/>
              <w:ind w:left="88" w:right="60"/>
              <w:rPr>
                <w:sz w:val="14"/>
              </w:rPr>
            </w:pPr>
            <w:r>
              <w:rPr>
                <w:color w:val="231F20"/>
                <w:spacing w:val="-5"/>
                <w:w w:val="95"/>
                <w:sz w:val="14"/>
              </w:rPr>
              <w:t>3.8</w:t>
            </w:r>
          </w:p>
        </w:tc>
        <w:tc>
          <w:tcPr>
            <w:tcW w:w="1007" w:type="dxa"/>
          </w:tcPr>
          <w:p>
            <w:pPr>
              <w:pStyle w:val="TableParagraph"/>
              <w:ind w:right="381"/>
              <w:jc w:val="right"/>
              <w:rPr>
                <w:sz w:val="14"/>
              </w:rPr>
            </w:pPr>
            <w:r>
              <w:rPr>
                <w:color w:val="231F20"/>
                <w:spacing w:val="-5"/>
                <w:w w:val="95"/>
                <w:sz w:val="14"/>
              </w:rPr>
              <w:t>9.2</w:t>
            </w:r>
          </w:p>
        </w:tc>
      </w:tr>
      <w:tr>
        <w:trPr>
          <w:trHeight w:val="259" w:hRule="atLeast"/>
        </w:trPr>
        <w:tc>
          <w:tcPr>
            <w:tcW w:w="1263" w:type="dxa"/>
            <w:shd w:val="clear" w:color="auto" w:fill="D4E3F5"/>
          </w:tcPr>
          <w:p>
            <w:pPr>
              <w:pStyle w:val="TableParagraph"/>
              <w:ind w:left="80"/>
              <w:jc w:val="left"/>
              <w:rPr>
                <w:sz w:val="14"/>
              </w:rPr>
            </w:pPr>
            <w:r>
              <w:rPr>
                <w:color w:val="231F20"/>
                <w:spacing w:val="-2"/>
                <w:w w:val="90"/>
                <w:sz w:val="14"/>
              </w:rPr>
              <w:t>Brazil</w:t>
            </w:r>
          </w:p>
        </w:tc>
        <w:tc>
          <w:tcPr>
            <w:tcW w:w="1198" w:type="dxa"/>
            <w:shd w:val="clear" w:color="auto" w:fill="D4E3F5"/>
          </w:tcPr>
          <w:p>
            <w:pPr>
              <w:pStyle w:val="TableParagraph"/>
              <w:ind w:right="434"/>
              <w:jc w:val="right"/>
              <w:rPr>
                <w:sz w:val="14"/>
              </w:rPr>
            </w:pPr>
            <w:r>
              <w:rPr>
                <w:color w:val="231F20"/>
                <w:spacing w:val="-2"/>
                <w:w w:val="95"/>
                <w:sz w:val="14"/>
              </w:rPr>
              <w:t>44,205</w:t>
            </w:r>
          </w:p>
        </w:tc>
        <w:tc>
          <w:tcPr>
            <w:tcW w:w="851" w:type="dxa"/>
            <w:shd w:val="clear" w:color="auto" w:fill="D4E3F5"/>
          </w:tcPr>
          <w:p>
            <w:pPr>
              <w:pStyle w:val="TableParagraph"/>
              <w:ind w:left="77" w:right="136"/>
              <w:rPr>
                <w:sz w:val="14"/>
              </w:rPr>
            </w:pPr>
            <w:r>
              <w:rPr>
                <w:color w:val="231F20"/>
                <w:spacing w:val="-5"/>
                <w:w w:val="95"/>
                <w:sz w:val="14"/>
              </w:rPr>
              <w:t>6.7</w:t>
            </w:r>
          </w:p>
        </w:tc>
        <w:tc>
          <w:tcPr>
            <w:tcW w:w="1059" w:type="dxa"/>
            <w:shd w:val="clear" w:color="auto" w:fill="D4E3F5"/>
          </w:tcPr>
          <w:p>
            <w:pPr>
              <w:pStyle w:val="TableParagraph"/>
              <w:ind w:left="66" w:right="39"/>
              <w:rPr>
                <w:sz w:val="14"/>
              </w:rPr>
            </w:pPr>
            <w:r>
              <w:rPr>
                <w:color w:val="231F20"/>
                <w:spacing w:val="-5"/>
                <w:w w:val="95"/>
                <w:sz w:val="14"/>
              </w:rPr>
              <w:t>4.4</w:t>
            </w:r>
          </w:p>
        </w:tc>
        <w:tc>
          <w:tcPr>
            <w:tcW w:w="1083" w:type="dxa"/>
            <w:shd w:val="clear" w:color="auto" w:fill="D4E3F5"/>
          </w:tcPr>
          <w:p>
            <w:pPr>
              <w:pStyle w:val="TableParagraph"/>
              <w:ind w:left="403"/>
              <w:jc w:val="left"/>
              <w:rPr>
                <w:sz w:val="14"/>
              </w:rPr>
            </w:pPr>
            <w:r>
              <w:rPr>
                <w:color w:val="231F20"/>
                <w:spacing w:val="-5"/>
                <w:w w:val="95"/>
                <w:sz w:val="14"/>
              </w:rPr>
              <w:t>1.9</w:t>
            </w:r>
          </w:p>
        </w:tc>
        <w:tc>
          <w:tcPr>
            <w:tcW w:w="754" w:type="dxa"/>
            <w:shd w:val="clear" w:color="auto" w:fill="D4E3F5"/>
          </w:tcPr>
          <w:p>
            <w:pPr>
              <w:pStyle w:val="TableParagraph"/>
              <w:ind w:left="86" w:right="48"/>
              <w:rPr>
                <w:sz w:val="14"/>
              </w:rPr>
            </w:pPr>
            <w:r>
              <w:rPr>
                <w:color w:val="231F20"/>
                <w:spacing w:val="-5"/>
                <w:w w:val="95"/>
                <w:sz w:val="14"/>
              </w:rPr>
              <w:t>8.6</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19" w:right="65"/>
              <w:rPr>
                <w:sz w:val="14"/>
              </w:rPr>
            </w:pPr>
            <w:r>
              <w:rPr>
                <w:color w:val="231F20"/>
                <w:spacing w:val="-5"/>
                <w:w w:val="95"/>
                <w:sz w:val="14"/>
              </w:rPr>
              <w:t>6.6</w:t>
            </w:r>
          </w:p>
        </w:tc>
        <w:tc>
          <w:tcPr>
            <w:tcW w:w="1058" w:type="dxa"/>
            <w:shd w:val="clear" w:color="auto" w:fill="D4E3F5"/>
          </w:tcPr>
          <w:p>
            <w:pPr>
              <w:pStyle w:val="TableParagraph"/>
              <w:ind w:left="66" w:right="29"/>
              <w:rPr>
                <w:sz w:val="14"/>
              </w:rPr>
            </w:pPr>
            <w:r>
              <w:rPr>
                <w:color w:val="231F20"/>
                <w:spacing w:val="-5"/>
                <w:w w:val="95"/>
                <w:sz w:val="14"/>
              </w:rPr>
              <w:t>4.4</w:t>
            </w:r>
          </w:p>
        </w:tc>
        <w:tc>
          <w:tcPr>
            <w:tcW w:w="948" w:type="dxa"/>
            <w:shd w:val="clear" w:color="auto" w:fill="D4E3F5"/>
          </w:tcPr>
          <w:p>
            <w:pPr>
              <w:pStyle w:val="TableParagraph"/>
              <w:ind w:left="93" w:right="60"/>
              <w:rPr>
                <w:sz w:val="14"/>
              </w:rPr>
            </w:pPr>
            <w:r>
              <w:rPr>
                <w:color w:val="231F20"/>
                <w:spacing w:val="-5"/>
                <w:w w:val="95"/>
                <w:sz w:val="14"/>
              </w:rPr>
              <w:t>1.9</w:t>
            </w:r>
          </w:p>
        </w:tc>
        <w:tc>
          <w:tcPr>
            <w:tcW w:w="1007" w:type="dxa"/>
            <w:shd w:val="clear" w:color="auto" w:fill="D4E3F5"/>
          </w:tcPr>
          <w:p>
            <w:pPr>
              <w:pStyle w:val="TableParagraph"/>
              <w:ind w:right="381"/>
              <w:jc w:val="right"/>
              <w:rPr>
                <w:sz w:val="14"/>
              </w:rPr>
            </w:pPr>
            <w:r>
              <w:rPr>
                <w:color w:val="231F20"/>
                <w:spacing w:val="-5"/>
                <w:w w:val="95"/>
                <w:sz w:val="14"/>
              </w:rPr>
              <w:t>8.5</w:t>
            </w:r>
          </w:p>
        </w:tc>
      </w:tr>
      <w:tr>
        <w:trPr>
          <w:trHeight w:val="259" w:hRule="atLeast"/>
        </w:trPr>
        <w:tc>
          <w:tcPr>
            <w:tcW w:w="1263" w:type="dxa"/>
          </w:tcPr>
          <w:p>
            <w:pPr>
              <w:pStyle w:val="TableParagraph"/>
              <w:ind w:left="80"/>
              <w:jc w:val="left"/>
              <w:rPr>
                <w:sz w:val="14"/>
              </w:rPr>
            </w:pPr>
            <w:r>
              <w:rPr>
                <w:color w:val="231F20"/>
                <w:w w:val="75"/>
                <w:sz w:val="14"/>
              </w:rPr>
              <w:t>Brunei</w:t>
            </w:r>
            <w:r>
              <w:rPr>
                <w:color w:val="231F20"/>
                <w:spacing w:val="14"/>
                <w:sz w:val="14"/>
              </w:rPr>
              <w:t> </w:t>
            </w:r>
            <w:r>
              <w:rPr>
                <w:color w:val="231F20"/>
                <w:spacing w:val="-2"/>
                <w:w w:val="90"/>
                <w:sz w:val="14"/>
              </w:rPr>
              <w:t>Darussalam</w:t>
            </w:r>
          </w:p>
        </w:tc>
        <w:tc>
          <w:tcPr>
            <w:tcW w:w="1198" w:type="dxa"/>
          </w:tcPr>
          <w:p>
            <w:pPr>
              <w:pStyle w:val="TableParagraph"/>
              <w:ind w:right="434"/>
              <w:jc w:val="right"/>
              <w:rPr>
                <w:sz w:val="14"/>
              </w:rPr>
            </w:pPr>
            <w:r>
              <w:rPr>
                <w:color w:val="231F20"/>
                <w:spacing w:val="-2"/>
                <w:w w:val="95"/>
                <w:sz w:val="14"/>
              </w:rPr>
              <w:t>2,149</w:t>
            </w:r>
          </w:p>
        </w:tc>
        <w:tc>
          <w:tcPr>
            <w:tcW w:w="851" w:type="dxa"/>
          </w:tcPr>
          <w:p>
            <w:pPr>
              <w:pStyle w:val="TableParagraph"/>
              <w:ind w:left="83" w:right="136"/>
              <w:rPr>
                <w:sz w:val="14"/>
              </w:rPr>
            </w:pPr>
            <w:r>
              <w:rPr>
                <w:color w:val="231F20"/>
                <w:spacing w:val="-5"/>
                <w:w w:val="95"/>
                <w:sz w:val="14"/>
              </w:rPr>
              <w:t>2.8</w:t>
            </w:r>
          </w:p>
        </w:tc>
        <w:tc>
          <w:tcPr>
            <w:tcW w:w="1059" w:type="dxa"/>
          </w:tcPr>
          <w:p>
            <w:pPr>
              <w:pStyle w:val="TableParagraph"/>
              <w:ind w:left="67" w:right="39"/>
              <w:rPr>
                <w:sz w:val="14"/>
              </w:rPr>
            </w:pPr>
            <w:r>
              <w:rPr>
                <w:color w:val="231F20"/>
                <w:spacing w:val="-5"/>
                <w:w w:val="95"/>
                <w:sz w:val="14"/>
              </w:rPr>
              <w:t>2.3</w:t>
            </w:r>
          </w:p>
        </w:tc>
        <w:tc>
          <w:tcPr>
            <w:tcW w:w="1083" w:type="dxa"/>
          </w:tcPr>
          <w:p>
            <w:pPr>
              <w:pStyle w:val="TableParagraph"/>
              <w:ind w:left="403"/>
              <w:jc w:val="left"/>
              <w:rPr>
                <w:sz w:val="14"/>
              </w:rPr>
            </w:pPr>
            <w:r>
              <w:rPr>
                <w:color w:val="231F20"/>
                <w:spacing w:val="-5"/>
                <w:w w:val="95"/>
                <w:sz w:val="14"/>
              </w:rPr>
              <w:t>1.1</w:t>
            </w:r>
          </w:p>
        </w:tc>
        <w:tc>
          <w:tcPr>
            <w:tcW w:w="754" w:type="dxa"/>
          </w:tcPr>
          <w:p>
            <w:pPr>
              <w:pStyle w:val="TableParagraph"/>
              <w:ind w:left="88" w:right="48"/>
              <w:rPr>
                <w:sz w:val="14"/>
              </w:rPr>
            </w:pPr>
            <w:r>
              <w:rPr>
                <w:color w:val="231F20"/>
                <w:spacing w:val="-5"/>
                <w:w w:val="95"/>
                <w:sz w:val="14"/>
              </w:rPr>
              <w:t>4.3</w:t>
            </w:r>
          </w:p>
        </w:tc>
        <w:tc>
          <w:tcPr>
            <w:tcW w:w="239" w:type="dxa"/>
          </w:tcPr>
          <w:p>
            <w:pPr>
              <w:pStyle w:val="TableParagraph"/>
              <w:spacing w:before="0"/>
              <w:jc w:val="left"/>
              <w:rPr>
                <w:rFonts w:ascii="Times New Roman"/>
                <w:sz w:val="12"/>
              </w:rPr>
            </w:pPr>
          </w:p>
        </w:tc>
        <w:tc>
          <w:tcPr>
            <w:tcW w:w="850" w:type="dxa"/>
          </w:tcPr>
          <w:p>
            <w:pPr>
              <w:pStyle w:val="TableParagraph"/>
              <w:ind w:left="19" w:right="65"/>
              <w:rPr>
                <w:sz w:val="14"/>
              </w:rPr>
            </w:pPr>
            <w:r>
              <w:rPr>
                <w:color w:val="231F20"/>
                <w:spacing w:val="-5"/>
                <w:w w:val="95"/>
                <w:sz w:val="14"/>
              </w:rPr>
              <w:t>2.8</w:t>
            </w:r>
          </w:p>
        </w:tc>
        <w:tc>
          <w:tcPr>
            <w:tcW w:w="1058" w:type="dxa"/>
          </w:tcPr>
          <w:p>
            <w:pPr>
              <w:pStyle w:val="TableParagraph"/>
              <w:ind w:left="67" w:right="29"/>
              <w:rPr>
                <w:sz w:val="14"/>
              </w:rPr>
            </w:pPr>
            <w:r>
              <w:rPr>
                <w:color w:val="231F20"/>
                <w:spacing w:val="-5"/>
                <w:w w:val="95"/>
                <w:sz w:val="14"/>
              </w:rPr>
              <w:t>2.3</w:t>
            </w:r>
          </w:p>
        </w:tc>
        <w:tc>
          <w:tcPr>
            <w:tcW w:w="948" w:type="dxa"/>
          </w:tcPr>
          <w:p>
            <w:pPr>
              <w:pStyle w:val="TableParagraph"/>
              <w:ind w:left="75" w:right="60"/>
              <w:rPr>
                <w:sz w:val="14"/>
              </w:rPr>
            </w:pPr>
            <w:r>
              <w:rPr>
                <w:color w:val="231F20"/>
                <w:spacing w:val="-5"/>
                <w:w w:val="95"/>
                <w:sz w:val="14"/>
              </w:rPr>
              <w:t>1.1</w:t>
            </w:r>
          </w:p>
        </w:tc>
        <w:tc>
          <w:tcPr>
            <w:tcW w:w="1007" w:type="dxa"/>
          </w:tcPr>
          <w:p>
            <w:pPr>
              <w:pStyle w:val="TableParagraph"/>
              <w:ind w:right="382"/>
              <w:jc w:val="right"/>
              <w:rPr>
                <w:sz w:val="14"/>
              </w:rPr>
            </w:pPr>
            <w:r>
              <w:rPr>
                <w:color w:val="231F20"/>
                <w:spacing w:val="-5"/>
                <w:w w:val="95"/>
                <w:sz w:val="14"/>
              </w:rPr>
              <w:t>4.3</w:t>
            </w:r>
          </w:p>
        </w:tc>
      </w:tr>
      <w:tr>
        <w:trPr>
          <w:trHeight w:val="259" w:hRule="atLeast"/>
        </w:trPr>
        <w:tc>
          <w:tcPr>
            <w:tcW w:w="1263" w:type="dxa"/>
            <w:shd w:val="clear" w:color="auto" w:fill="D4E3F5"/>
          </w:tcPr>
          <w:p>
            <w:pPr>
              <w:pStyle w:val="TableParagraph"/>
              <w:ind w:left="80"/>
              <w:jc w:val="left"/>
              <w:rPr>
                <w:sz w:val="14"/>
              </w:rPr>
            </w:pPr>
            <w:r>
              <w:rPr>
                <w:color w:val="231F20"/>
                <w:spacing w:val="-2"/>
                <w:w w:val="90"/>
                <w:sz w:val="14"/>
              </w:rPr>
              <w:t>Bulgaria</w:t>
            </w:r>
          </w:p>
        </w:tc>
        <w:tc>
          <w:tcPr>
            <w:tcW w:w="1198" w:type="dxa"/>
            <w:shd w:val="clear" w:color="auto" w:fill="D4E3F5"/>
          </w:tcPr>
          <w:p>
            <w:pPr>
              <w:pStyle w:val="TableParagraph"/>
              <w:ind w:right="435"/>
              <w:jc w:val="right"/>
              <w:rPr>
                <w:sz w:val="14"/>
              </w:rPr>
            </w:pPr>
            <w:r>
              <w:rPr>
                <w:color w:val="231F20"/>
                <w:spacing w:val="-2"/>
                <w:w w:val="95"/>
                <w:sz w:val="14"/>
              </w:rPr>
              <w:t>3,022</w:t>
            </w:r>
          </w:p>
        </w:tc>
        <w:tc>
          <w:tcPr>
            <w:tcW w:w="851" w:type="dxa"/>
            <w:shd w:val="clear" w:color="auto" w:fill="D4E3F5"/>
          </w:tcPr>
          <w:p>
            <w:pPr>
              <w:pStyle w:val="TableParagraph"/>
              <w:ind w:left="82" w:right="136"/>
              <w:rPr>
                <w:sz w:val="14"/>
              </w:rPr>
            </w:pPr>
            <w:r>
              <w:rPr>
                <w:color w:val="231F20"/>
                <w:spacing w:val="-5"/>
                <w:w w:val="95"/>
                <w:sz w:val="14"/>
              </w:rPr>
              <w:t>8.6</w:t>
            </w:r>
          </w:p>
        </w:tc>
        <w:tc>
          <w:tcPr>
            <w:tcW w:w="1059" w:type="dxa"/>
            <w:shd w:val="clear" w:color="auto" w:fill="D4E3F5"/>
          </w:tcPr>
          <w:p>
            <w:pPr>
              <w:pStyle w:val="TableParagraph"/>
              <w:ind w:left="48" w:right="39"/>
              <w:rPr>
                <w:sz w:val="14"/>
              </w:rPr>
            </w:pPr>
            <w:r>
              <w:rPr>
                <w:color w:val="231F20"/>
                <w:spacing w:val="-5"/>
                <w:w w:val="95"/>
                <w:sz w:val="14"/>
              </w:rPr>
              <w:t>6.1</w:t>
            </w:r>
          </w:p>
        </w:tc>
        <w:tc>
          <w:tcPr>
            <w:tcW w:w="1083" w:type="dxa"/>
            <w:shd w:val="clear" w:color="auto" w:fill="D4E3F5"/>
          </w:tcPr>
          <w:p>
            <w:pPr>
              <w:pStyle w:val="TableParagraph"/>
              <w:ind w:left="395"/>
              <w:jc w:val="left"/>
              <w:rPr>
                <w:sz w:val="14"/>
              </w:rPr>
            </w:pPr>
            <w:r>
              <w:rPr>
                <w:color w:val="231F20"/>
                <w:spacing w:val="-5"/>
                <w:w w:val="95"/>
                <w:sz w:val="14"/>
              </w:rPr>
              <w:t>3.5</w:t>
            </w:r>
          </w:p>
        </w:tc>
        <w:tc>
          <w:tcPr>
            <w:tcW w:w="754" w:type="dxa"/>
            <w:shd w:val="clear" w:color="auto" w:fill="D4E3F5"/>
          </w:tcPr>
          <w:p>
            <w:pPr>
              <w:pStyle w:val="TableParagraph"/>
              <w:ind w:left="87" w:right="48"/>
              <w:rPr>
                <w:sz w:val="14"/>
              </w:rPr>
            </w:pPr>
            <w:r>
              <w:rPr>
                <w:color w:val="231F20"/>
                <w:spacing w:val="-5"/>
                <w:w w:val="95"/>
                <w:sz w:val="14"/>
              </w:rPr>
              <w:t>8.9</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19" w:right="65"/>
              <w:rPr>
                <w:sz w:val="14"/>
              </w:rPr>
            </w:pPr>
            <w:r>
              <w:rPr>
                <w:color w:val="231F20"/>
                <w:spacing w:val="-5"/>
                <w:w w:val="95"/>
                <w:sz w:val="14"/>
              </w:rPr>
              <w:t>8.6</w:t>
            </w:r>
          </w:p>
        </w:tc>
        <w:tc>
          <w:tcPr>
            <w:tcW w:w="1058" w:type="dxa"/>
            <w:shd w:val="clear" w:color="auto" w:fill="D4E3F5"/>
          </w:tcPr>
          <w:p>
            <w:pPr>
              <w:pStyle w:val="TableParagraph"/>
              <w:ind w:left="52" w:right="33"/>
              <w:rPr>
                <w:sz w:val="14"/>
              </w:rPr>
            </w:pPr>
            <w:r>
              <w:rPr>
                <w:color w:val="231F20"/>
                <w:spacing w:val="-5"/>
                <w:w w:val="95"/>
                <w:sz w:val="14"/>
              </w:rPr>
              <w:t>6.1</w:t>
            </w:r>
          </w:p>
        </w:tc>
        <w:tc>
          <w:tcPr>
            <w:tcW w:w="948" w:type="dxa"/>
            <w:shd w:val="clear" w:color="auto" w:fill="D4E3F5"/>
          </w:tcPr>
          <w:p>
            <w:pPr>
              <w:pStyle w:val="TableParagraph"/>
              <w:ind w:left="88" w:right="60"/>
              <w:rPr>
                <w:sz w:val="14"/>
              </w:rPr>
            </w:pPr>
            <w:r>
              <w:rPr>
                <w:color w:val="231F20"/>
                <w:spacing w:val="-5"/>
                <w:w w:val="95"/>
                <w:sz w:val="14"/>
              </w:rPr>
              <w:t>3.5</w:t>
            </w:r>
          </w:p>
        </w:tc>
        <w:tc>
          <w:tcPr>
            <w:tcW w:w="1007" w:type="dxa"/>
            <w:shd w:val="clear" w:color="auto" w:fill="D4E3F5"/>
          </w:tcPr>
          <w:p>
            <w:pPr>
              <w:pStyle w:val="TableParagraph"/>
              <w:ind w:right="380"/>
              <w:jc w:val="right"/>
              <w:rPr>
                <w:sz w:val="14"/>
              </w:rPr>
            </w:pPr>
            <w:r>
              <w:rPr>
                <w:color w:val="231F20"/>
                <w:spacing w:val="-5"/>
                <w:w w:val="95"/>
                <w:sz w:val="14"/>
              </w:rPr>
              <w:t>8.9</w:t>
            </w:r>
          </w:p>
        </w:tc>
      </w:tr>
      <w:tr>
        <w:trPr>
          <w:trHeight w:val="259" w:hRule="atLeast"/>
        </w:trPr>
        <w:tc>
          <w:tcPr>
            <w:tcW w:w="1263" w:type="dxa"/>
          </w:tcPr>
          <w:p>
            <w:pPr>
              <w:pStyle w:val="TableParagraph"/>
              <w:ind w:left="80"/>
              <w:jc w:val="left"/>
              <w:rPr>
                <w:sz w:val="14"/>
              </w:rPr>
            </w:pPr>
            <w:r>
              <w:rPr>
                <w:color w:val="231F20"/>
                <w:w w:val="75"/>
                <w:sz w:val="14"/>
              </w:rPr>
              <w:t>Burkina</w:t>
            </w:r>
            <w:r>
              <w:rPr>
                <w:color w:val="231F20"/>
                <w:spacing w:val="20"/>
                <w:sz w:val="14"/>
              </w:rPr>
              <w:t> </w:t>
            </w:r>
            <w:r>
              <w:rPr>
                <w:color w:val="231F20"/>
                <w:spacing w:val="-4"/>
                <w:w w:val="85"/>
                <w:sz w:val="14"/>
              </w:rPr>
              <w:t>Faso</w:t>
            </w:r>
          </w:p>
        </w:tc>
        <w:tc>
          <w:tcPr>
            <w:tcW w:w="1198" w:type="dxa"/>
          </w:tcPr>
          <w:p>
            <w:pPr>
              <w:pStyle w:val="TableParagraph"/>
              <w:ind w:right="435"/>
              <w:jc w:val="right"/>
              <w:rPr>
                <w:sz w:val="14"/>
              </w:rPr>
            </w:pPr>
            <w:r>
              <w:rPr>
                <w:color w:val="231F20"/>
                <w:spacing w:val="-5"/>
                <w:w w:val="95"/>
                <w:sz w:val="14"/>
              </w:rPr>
              <w:t>131</w:t>
            </w:r>
          </w:p>
        </w:tc>
        <w:tc>
          <w:tcPr>
            <w:tcW w:w="851" w:type="dxa"/>
          </w:tcPr>
          <w:p>
            <w:pPr>
              <w:pStyle w:val="TableParagraph"/>
              <w:ind w:left="18" w:right="136"/>
              <w:rPr>
                <w:sz w:val="14"/>
              </w:rPr>
            </w:pPr>
            <w:r>
              <w:rPr>
                <w:color w:val="231F20"/>
                <w:spacing w:val="-4"/>
                <w:w w:val="95"/>
                <w:sz w:val="14"/>
              </w:rPr>
              <w:t>21.4</w:t>
            </w:r>
          </w:p>
        </w:tc>
        <w:tc>
          <w:tcPr>
            <w:tcW w:w="1059" w:type="dxa"/>
          </w:tcPr>
          <w:p>
            <w:pPr>
              <w:pStyle w:val="TableParagraph"/>
              <w:ind w:left="42" w:right="75"/>
              <w:rPr>
                <w:sz w:val="14"/>
              </w:rPr>
            </w:pPr>
            <w:r>
              <w:rPr>
                <w:color w:val="231F20"/>
                <w:spacing w:val="-4"/>
                <w:w w:val="95"/>
                <w:sz w:val="14"/>
              </w:rPr>
              <w:t>19.4</w:t>
            </w:r>
          </w:p>
        </w:tc>
        <w:tc>
          <w:tcPr>
            <w:tcW w:w="1083" w:type="dxa"/>
          </w:tcPr>
          <w:p>
            <w:pPr>
              <w:pStyle w:val="TableParagraph"/>
              <w:ind w:left="334"/>
              <w:jc w:val="left"/>
              <w:rPr>
                <w:sz w:val="14"/>
              </w:rPr>
            </w:pPr>
            <w:r>
              <w:rPr>
                <w:color w:val="231F20"/>
                <w:spacing w:val="-4"/>
                <w:w w:val="95"/>
                <w:sz w:val="14"/>
              </w:rPr>
              <w:t>12.3</w:t>
            </w:r>
          </w:p>
        </w:tc>
        <w:tc>
          <w:tcPr>
            <w:tcW w:w="754" w:type="dxa"/>
          </w:tcPr>
          <w:p>
            <w:pPr>
              <w:pStyle w:val="TableParagraph"/>
              <w:ind w:left="40" w:right="67"/>
              <w:rPr>
                <w:sz w:val="14"/>
              </w:rPr>
            </w:pPr>
            <w:r>
              <w:rPr>
                <w:color w:val="231F20"/>
                <w:spacing w:val="-4"/>
                <w:w w:val="95"/>
                <w:sz w:val="14"/>
              </w:rPr>
              <w:t>28.5</w:t>
            </w:r>
          </w:p>
        </w:tc>
        <w:tc>
          <w:tcPr>
            <w:tcW w:w="239" w:type="dxa"/>
          </w:tcPr>
          <w:p>
            <w:pPr>
              <w:pStyle w:val="TableParagraph"/>
              <w:spacing w:before="0"/>
              <w:jc w:val="left"/>
              <w:rPr>
                <w:rFonts w:ascii="Times New Roman"/>
                <w:sz w:val="12"/>
              </w:rPr>
            </w:pPr>
          </w:p>
        </w:tc>
        <w:tc>
          <w:tcPr>
            <w:tcW w:w="850" w:type="dxa"/>
          </w:tcPr>
          <w:p>
            <w:pPr>
              <w:pStyle w:val="TableParagraph"/>
              <w:ind w:left="252"/>
              <w:jc w:val="left"/>
              <w:rPr>
                <w:sz w:val="14"/>
              </w:rPr>
            </w:pPr>
            <w:r>
              <w:rPr>
                <w:color w:val="231F20"/>
                <w:spacing w:val="-4"/>
                <w:w w:val="95"/>
                <w:sz w:val="14"/>
              </w:rPr>
              <w:t>13.6</w:t>
            </w:r>
          </w:p>
        </w:tc>
        <w:tc>
          <w:tcPr>
            <w:tcW w:w="1058" w:type="dxa"/>
          </w:tcPr>
          <w:p>
            <w:pPr>
              <w:pStyle w:val="TableParagraph"/>
              <w:ind w:left="52" w:right="77"/>
              <w:rPr>
                <w:sz w:val="14"/>
              </w:rPr>
            </w:pPr>
            <w:r>
              <w:rPr>
                <w:color w:val="231F20"/>
                <w:spacing w:val="-4"/>
                <w:w w:val="95"/>
                <w:sz w:val="14"/>
              </w:rPr>
              <w:t>12.7</w:t>
            </w:r>
          </w:p>
        </w:tc>
        <w:tc>
          <w:tcPr>
            <w:tcW w:w="948" w:type="dxa"/>
          </w:tcPr>
          <w:p>
            <w:pPr>
              <w:pStyle w:val="TableParagraph"/>
              <w:ind w:left="88" w:right="60"/>
              <w:rPr>
                <w:sz w:val="14"/>
              </w:rPr>
            </w:pPr>
            <w:r>
              <w:rPr>
                <w:color w:val="231F20"/>
                <w:spacing w:val="-5"/>
                <w:w w:val="95"/>
                <w:sz w:val="14"/>
              </w:rPr>
              <w:t>6.9</w:t>
            </w:r>
          </w:p>
        </w:tc>
        <w:tc>
          <w:tcPr>
            <w:tcW w:w="1007" w:type="dxa"/>
          </w:tcPr>
          <w:p>
            <w:pPr>
              <w:pStyle w:val="TableParagraph"/>
              <w:ind w:right="381"/>
              <w:jc w:val="right"/>
              <w:rPr>
                <w:sz w:val="14"/>
              </w:rPr>
            </w:pPr>
            <w:r>
              <w:rPr>
                <w:color w:val="231F20"/>
                <w:spacing w:val="-4"/>
                <w:w w:val="95"/>
                <w:sz w:val="14"/>
              </w:rPr>
              <w:t>17.2</w:t>
            </w:r>
          </w:p>
        </w:tc>
      </w:tr>
      <w:tr>
        <w:trPr>
          <w:trHeight w:val="259" w:hRule="atLeast"/>
        </w:trPr>
        <w:tc>
          <w:tcPr>
            <w:tcW w:w="1263" w:type="dxa"/>
            <w:shd w:val="clear" w:color="auto" w:fill="D4E3F5"/>
          </w:tcPr>
          <w:p>
            <w:pPr>
              <w:pStyle w:val="TableParagraph"/>
              <w:ind w:left="80"/>
              <w:jc w:val="left"/>
              <w:rPr>
                <w:sz w:val="14"/>
              </w:rPr>
            </w:pPr>
            <w:r>
              <w:rPr>
                <w:color w:val="231F20"/>
                <w:spacing w:val="-2"/>
                <w:w w:val="90"/>
                <w:sz w:val="14"/>
              </w:rPr>
              <w:t>Burundi</w:t>
            </w:r>
          </w:p>
        </w:tc>
        <w:tc>
          <w:tcPr>
            <w:tcW w:w="1198" w:type="dxa"/>
            <w:shd w:val="clear" w:color="auto" w:fill="D4E3F5"/>
          </w:tcPr>
          <w:p>
            <w:pPr>
              <w:pStyle w:val="TableParagraph"/>
              <w:ind w:right="440"/>
              <w:jc w:val="right"/>
              <w:rPr>
                <w:sz w:val="14"/>
              </w:rPr>
            </w:pPr>
            <w:r>
              <w:rPr>
                <w:color w:val="231F20"/>
                <w:spacing w:val="-5"/>
                <w:w w:val="95"/>
                <w:sz w:val="14"/>
              </w:rPr>
              <w:t>12</w:t>
            </w:r>
          </w:p>
        </w:tc>
        <w:tc>
          <w:tcPr>
            <w:tcW w:w="851" w:type="dxa"/>
            <w:shd w:val="clear" w:color="auto" w:fill="D4E3F5"/>
          </w:tcPr>
          <w:p>
            <w:pPr>
              <w:pStyle w:val="TableParagraph"/>
              <w:ind w:left="1" w:right="136"/>
              <w:rPr>
                <w:sz w:val="14"/>
              </w:rPr>
            </w:pPr>
            <w:r>
              <w:rPr>
                <w:color w:val="231F20"/>
                <w:spacing w:val="-4"/>
                <w:w w:val="95"/>
                <w:sz w:val="14"/>
              </w:rPr>
              <w:t>15.1</w:t>
            </w:r>
          </w:p>
        </w:tc>
        <w:tc>
          <w:tcPr>
            <w:tcW w:w="1059" w:type="dxa"/>
            <w:shd w:val="clear" w:color="auto" w:fill="D4E3F5"/>
          </w:tcPr>
          <w:p>
            <w:pPr>
              <w:pStyle w:val="TableParagraph"/>
              <w:ind w:left="42" w:right="74"/>
              <w:rPr>
                <w:sz w:val="14"/>
              </w:rPr>
            </w:pPr>
            <w:r>
              <w:rPr>
                <w:color w:val="231F20"/>
                <w:spacing w:val="-4"/>
                <w:w w:val="95"/>
                <w:sz w:val="14"/>
              </w:rPr>
              <w:t>15.8</w:t>
            </w:r>
          </w:p>
        </w:tc>
        <w:tc>
          <w:tcPr>
            <w:tcW w:w="1083" w:type="dxa"/>
            <w:shd w:val="clear" w:color="auto" w:fill="D4E3F5"/>
          </w:tcPr>
          <w:p>
            <w:pPr>
              <w:pStyle w:val="TableParagraph"/>
              <w:ind w:left="396"/>
              <w:jc w:val="left"/>
              <w:rPr>
                <w:sz w:val="14"/>
              </w:rPr>
            </w:pPr>
            <w:r>
              <w:rPr>
                <w:color w:val="231F20"/>
                <w:spacing w:val="-5"/>
                <w:w w:val="95"/>
                <w:sz w:val="14"/>
              </w:rPr>
              <w:t>9.7</w:t>
            </w:r>
          </w:p>
        </w:tc>
        <w:tc>
          <w:tcPr>
            <w:tcW w:w="754" w:type="dxa"/>
            <w:shd w:val="clear" w:color="auto" w:fill="D4E3F5"/>
          </w:tcPr>
          <w:p>
            <w:pPr>
              <w:pStyle w:val="TableParagraph"/>
              <w:ind w:left="40" w:right="64"/>
              <w:rPr>
                <w:sz w:val="14"/>
              </w:rPr>
            </w:pPr>
            <w:r>
              <w:rPr>
                <w:color w:val="231F20"/>
                <w:spacing w:val="-4"/>
                <w:w w:val="95"/>
                <w:sz w:val="14"/>
              </w:rPr>
              <w:t>18.4</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261"/>
              <w:jc w:val="left"/>
              <w:rPr>
                <w:sz w:val="14"/>
              </w:rPr>
            </w:pPr>
            <w:r>
              <w:rPr>
                <w:color w:val="231F20"/>
                <w:spacing w:val="-4"/>
                <w:w w:val="95"/>
                <w:sz w:val="14"/>
              </w:rPr>
              <w:t>11.9</w:t>
            </w:r>
          </w:p>
        </w:tc>
        <w:tc>
          <w:tcPr>
            <w:tcW w:w="1058" w:type="dxa"/>
            <w:shd w:val="clear" w:color="auto" w:fill="D4E3F5"/>
          </w:tcPr>
          <w:p>
            <w:pPr>
              <w:pStyle w:val="TableParagraph"/>
              <w:ind w:left="62" w:right="29"/>
              <w:rPr>
                <w:sz w:val="14"/>
              </w:rPr>
            </w:pPr>
            <w:r>
              <w:rPr>
                <w:color w:val="231F20"/>
                <w:spacing w:val="-5"/>
                <w:w w:val="95"/>
                <w:sz w:val="14"/>
              </w:rPr>
              <w:t>9.7</w:t>
            </w:r>
          </w:p>
        </w:tc>
        <w:tc>
          <w:tcPr>
            <w:tcW w:w="948" w:type="dxa"/>
            <w:shd w:val="clear" w:color="auto" w:fill="D4E3F5"/>
          </w:tcPr>
          <w:p>
            <w:pPr>
              <w:pStyle w:val="TableParagraph"/>
              <w:ind w:left="86" w:right="60"/>
              <w:rPr>
                <w:sz w:val="14"/>
              </w:rPr>
            </w:pPr>
            <w:r>
              <w:rPr>
                <w:color w:val="231F20"/>
                <w:spacing w:val="-5"/>
                <w:w w:val="95"/>
                <w:sz w:val="14"/>
              </w:rPr>
              <w:t>8.6</w:t>
            </w:r>
          </w:p>
        </w:tc>
        <w:tc>
          <w:tcPr>
            <w:tcW w:w="1007" w:type="dxa"/>
            <w:shd w:val="clear" w:color="auto" w:fill="D4E3F5"/>
          </w:tcPr>
          <w:p>
            <w:pPr>
              <w:pStyle w:val="TableParagraph"/>
              <w:ind w:right="382"/>
              <w:jc w:val="right"/>
              <w:rPr>
                <w:sz w:val="14"/>
              </w:rPr>
            </w:pPr>
            <w:r>
              <w:rPr>
                <w:color w:val="231F20"/>
                <w:spacing w:val="-4"/>
                <w:w w:val="95"/>
                <w:sz w:val="14"/>
              </w:rPr>
              <w:t>16.5</w:t>
            </w:r>
          </w:p>
        </w:tc>
      </w:tr>
      <w:tr>
        <w:trPr>
          <w:trHeight w:val="259" w:hRule="atLeast"/>
        </w:trPr>
        <w:tc>
          <w:tcPr>
            <w:tcW w:w="1263" w:type="dxa"/>
          </w:tcPr>
          <w:p>
            <w:pPr>
              <w:pStyle w:val="TableParagraph"/>
              <w:ind w:left="80"/>
              <w:jc w:val="left"/>
              <w:rPr>
                <w:sz w:val="14"/>
              </w:rPr>
            </w:pPr>
            <w:r>
              <w:rPr>
                <w:color w:val="231F20"/>
                <w:w w:val="75"/>
                <w:sz w:val="14"/>
              </w:rPr>
              <w:t>Cabo</w:t>
            </w:r>
            <w:r>
              <w:rPr>
                <w:color w:val="231F20"/>
                <w:spacing w:val="1"/>
                <w:sz w:val="14"/>
              </w:rPr>
              <w:t> </w:t>
            </w:r>
            <w:r>
              <w:rPr>
                <w:color w:val="231F20"/>
                <w:spacing w:val="-2"/>
                <w:w w:val="85"/>
                <w:sz w:val="14"/>
              </w:rPr>
              <w:t>Verde</w:t>
            </w:r>
          </w:p>
        </w:tc>
        <w:tc>
          <w:tcPr>
            <w:tcW w:w="1198" w:type="dxa"/>
          </w:tcPr>
          <w:p>
            <w:pPr>
              <w:pStyle w:val="TableParagraph"/>
              <w:ind w:right="434"/>
              <w:jc w:val="right"/>
              <w:rPr>
                <w:sz w:val="14"/>
              </w:rPr>
            </w:pPr>
            <w:r>
              <w:rPr>
                <w:color w:val="231F20"/>
                <w:spacing w:val="-5"/>
                <w:w w:val="95"/>
                <w:sz w:val="14"/>
              </w:rPr>
              <w:t>696</w:t>
            </w:r>
          </w:p>
        </w:tc>
        <w:tc>
          <w:tcPr>
            <w:tcW w:w="851" w:type="dxa"/>
          </w:tcPr>
          <w:p>
            <w:pPr>
              <w:pStyle w:val="TableParagraph"/>
              <w:ind w:left="95" w:right="136"/>
              <w:rPr>
                <w:sz w:val="14"/>
              </w:rPr>
            </w:pPr>
            <w:r>
              <w:rPr>
                <w:color w:val="231F20"/>
                <w:spacing w:val="-5"/>
                <w:w w:val="95"/>
                <w:sz w:val="14"/>
              </w:rPr>
              <w:t>7.9</w:t>
            </w:r>
          </w:p>
        </w:tc>
        <w:tc>
          <w:tcPr>
            <w:tcW w:w="1059" w:type="dxa"/>
          </w:tcPr>
          <w:p>
            <w:pPr>
              <w:pStyle w:val="TableParagraph"/>
              <w:ind w:left="63" w:right="39"/>
              <w:rPr>
                <w:sz w:val="14"/>
              </w:rPr>
            </w:pPr>
            <w:r>
              <w:rPr>
                <w:color w:val="231F20"/>
                <w:spacing w:val="-5"/>
                <w:w w:val="95"/>
                <w:sz w:val="14"/>
              </w:rPr>
              <w:t>4.7</w:t>
            </w:r>
          </w:p>
        </w:tc>
        <w:tc>
          <w:tcPr>
            <w:tcW w:w="1083" w:type="dxa"/>
          </w:tcPr>
          <w:p>
            <w:pPr>
              <w:pStyle w:val="TableParagraph"/>
              <w:ind w:left="396"/>
              <w:jc w:val="left"/>
              <w:rPr>
                <w:sz w:val="14"/>
              </w:rPr>
            </w:pPr>
            <w:r>
              <w:rPr>
                <w:color w:val="231F20"/>
                <w:spacing w:val="-5"/>
                <w:w w:val="95"/>
                <w:sz w:val="14"/>
              </w:rPr>
              <w:t>2.7</w:t>
            </w:r>
          </w:p>
        </w:tc>
        <w:tc>
          <w:tcPr>
            <w:tcW w:w="754" w:type="dxa"/>
          </w:tcPr>
          <w:p>
            <w:pPr>
              <w:pStyle w:val="TableParagraph"/>
              <w:ind w:left="40" w:right="66"/>
              <w:rPr>
                <w:sz w:val="14"/>
              </w:rPr>
            </w:pPr>
            <w:r>
              <w:rPr>
                <w:color w:val="231F20"/>
                <w:spacing w:val="-4"/>
                <w:w w:val="95"/>
                <w:sz w:val="14"/>
              </w:rPr>
              <w:t>10.7</w:t>
            </w:r>
          </w:p>
        </w:tc>
        <w:tc>
          <w:tcPr>
            <w:tcW w:w="239" w:type="dxa"/>
          </w:tcPr>
          <w:p>
            <w:pPr>
              <w:pStyle w:val="TableParagraph"/>
              <w:spacing w:before="0"/>
              <w:jc w:val="left"/>
              <w:rPr>
                <w:rFonts w:ascii="Times New Roman"/>
                <w:sz w:val="12"/>
              </w:rPr>
            </w:pPr>
          </w:p>
        </w:tc>
        <w:tc>
          <w:tcPr>
            <w:tcW w:w="850" w:type="dxa"/>
          </w:tcPr>
          <w:p>
            <w:pPr>
              <w:pStyle w:val="TableParagraph"/>
              <w:ind w:left="28" w:right="65"/>
              <w:rPr>
                <w:sz w:val="14"/>
              </w:rPr>
            </w:pPr>
            <w:r>
              <w:rPr>
                <w:color w:val="231F20"/>
                <w:spacing w:val="-5"/>
                <w:w w:val="95"/>
                <w:sz w:val="14"/>
              </w:rPr>
              <w:t>7.7</w:t>
            </w:r>
          </w:p>
        </w:tc>
        <w:tc>
          <w:tcPr>
            <w:tcW w:w="1058" w:type="dxa"/>
          </w:tcPr>
          <w:p>
            <w:pPr>
              <w:pStyle w:val="TableParagraph"/>
              <w:ind w:left="63" w:right="29"/>
              <w:rPr>
                <w:sz w:val="14"/>
              </w:rPr>
            </w:pPr>
            <w:r>
              <w:rPr>
                <w:color w:val="231F20"/>
                <w:spacing w:val="-5"/>
                <w:w w:val="95"/>
                <w:sz w:val="14"/>
              </w:rPr>
              <w:t>4.7</w:t>
            </w:r>
          </w:p>
        </w:tc>
        <w:tc>
          <w:tcPr>
            <w:tcW w:w="948" w:type="dxa"/>
          </w:tcPr>
          <w:p>
            <w:pPr>
              <w:pStyle w:val="TableParagraph"/>
              <w:ind w:left="81" w:right="60"/>
              <w:rPr>
                <w:sz w:val="14"/>
              </w:rPr>
            </w:pPr>
            <w:r>
              <w:rPr>
                <w:color w:val="231F20"/>
                <w:spacing w:val="-5"/>
                <w:w w:val="95"/>
                <w:sz w:val="14"/>
              </w:rPr>
              <w:t>2.7</w:t>
            </w:r>
          </w:p>
        </w:tc>
        <w:tc>
          <w:tcPr>
            <w:tcW w:w="1007" w:type="dxa"/>
          </w:tcPr>
          <w:p>
            <w:pPr>
              <w:pStyle w:val="TableParagraph"/>
              <w:ind w:right="387"/>
              <w:jc w:val="right"/>
              <w:rPr>
                <w:sz w:val="14"/>
              </w:rPr>
            </w:pPr>
            <w:r>
              <w:rPr>
                <w:color w:val="231F20"/>
                <w:spacing w:val="-5"/>
                <w:w w:val="95"/>
                <w:sz w:val="14"/>
              </w:rPr>
              <w:t>9.7</w:t>
            </w:r>
          </w:p>
        </w:tc>
      </w:tr>
      <w:tr>
        <w:trPr>
          <w:trHeight w:val="259" w:hRule="atLeast"/>
        </w:trPr>
        <w:tc>
          <w:tcPr>
            <w:tcW w:w="1263" w:type="dxa"/>
            <w:shd w:val="clear" w:color="auto" w:fill="D4E3F5"/>
          </w:tcPr>
          <w:p>
            <w:pPr>
              <w:pStyle w:val="TableParagraph"/>
              <w:ind w:left="80"/>
              <w:jc w:val="left"/>
              <w:rPr>
                <w:sz w:val="14"/>
              </w:rPr>
            </w:pPr>
            <w:r>
              <w:rPr>
                <w:color w:val="231F20"/>
                <w:spacing w:val="-2"/>
                <w:w w:val="85"/>
                <w:sz w:val="14"/>
              </w:rPr>
              <w:t>Cambodia</w:t>
            </w:r>
          </w:p>
        </w:tc>
        <w:tc>
          <w:tcPr>
            <w:tcW w:w="1198" w:type="dxa"/>
            <w:shd w:val="clear" w:color="auto" w:fill="D4E3F5"/>
          </w:tcPr>
          <w:p>
            <w:pPr>
              <w:pStyle w:val="TableParagraph"/>
              <w:ind w:right="435"/>
              <w:jc w:val="right"/>
              <w:rPr>
                <w:sz w:val="14"/>
              </w:rPr>
            </w:pPr>
            <w:r>
              <w:rPr>
                <w:color w:val="231F20"/>
                <w:spacing w:val="-2"/>
                <w:w w:val="95"/>
                <w:sz w:val="14"/>
              </w:rPr>
              <w:t>7,951</w:t>
            </w:r>
          </w:p>
        </w:tc>
        <w:tc>
          <w:tcPr>
            <w:tcW w:w="851" w:type="dxa"/>
            <w:shd w:val="clear" w:color="auto" w:fill="D4E3F5"/>
          </w:tcPr>
          <w:p>
            <w:pPr>
              <w:pStyle w:val="TableParagraph"/>
              <w:ind w:left="82" w:right="136"/>
              <w:rPr>
                <w:sz w:val="14"/>
              </w:rPr>
            </w:pPr>
            <w:r>
              <w:rPr>
                <w:color w:val="231F20"/>
                <w:spacing w:val="-5"/>
                <w:w w:val="95"/>
                <w:sz w:val="14"/>
              </w:rPr>
              <w:t>3.6</w:t>
            </w:r>
          </w:p>
        </w:tc>
        <w:tc>
          <w:tcPr>
            <w:tcW w:w="1059" w:type="dxa"/>
            <w:shd w:val="clear" w:color="auto" w:fill="D4E3F5"/>
          </w:tcPr>
          <w:p>
            <w:pPr>
              <w:pStyle w:val="TableParagraph"/>
              <w:ind w:left="49" w:right="39"/>
              <w:rPr>
                <w:sz w:val="14"/>
              </w:rPr>
            </w:pPr>
            <w:r>
              <w:rPr>
                <w:color w:val="231F20"/>
                <w:spacing w:val="-5"/>
                <w:w w:val="95"/>
                <w:sz w:val="14"/>
              </w:rPr>
              <w:t>2.1</w:t>
            </w:r>
          </w:p>
        </w:tc>
        <w:tc>
          <w:tcPr>
            <w:tcW w:w="1083" w:type="dxa"/>
            <w:shd w:val="clear" w:color="auto" w:fill="D4E3F5"/>
          </w:tcPr>
          <w:p>
            <w:pPr>
              <w:pStyle w:val="TableParagraph"/>
              <w:ind w:left="403"/>
              <w:jc w:val="left"/>
              <w:rPr>
                <w:sz w:val="14"/>
              </w:rPr>
            </w:pPr>
            <w:r>
              <w:rPr>
                <w:color w:val="231F20"/>
                <w:spacing w:val="-5"/>
                <w:w w:val="95"/>
                <w:sz w:val="14"/>
              </w:rPr>
              <w:t>1.0</w:t>
            </w:r>
          </w:p>
        </w:tc>
        <w:tc>
          <w:tcPr>
            <w:tcW w:w="754" w:type="dxa"/>
            <w:shd w:val="clear" w:color="auto" w:fill="D4E3F5"/>
          </w:tcPr>
          <w:p>
            <w:pPr>
              <w:pStyle w:val="TableParagraph"/>
              <w:ind w:left="69" w:right="48"/>
              <w:rPr>
                <w:sz w:val="14"/>
              </w:rPr>
            </w:pPr>
            <w:r>
              <w:rPr>
                <w:color w:val="231F20"/>
                <w:spacing w:val="-5"/>
                <w:w w:val="95"/>
                <w:sz w:val="14"/>
              </w:rPr>
              <w:t>4.1</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19" w:right="65"/>
              <w:rPr>
                <w:sz w:val="14"/>
              </w:rPr>
            </w:pPr>
            <w:r>
              <w:rPr>
                <w:color w:val="231F20"/>
                <w:spacing w:val="-5"/>
                <w:w w:val="95"/>
                <w:sz w:val="14"/>
              </w:rPr>
              <w:t>3.6</w:t>
            </w:r>
          </w:p>
        </w:tc>
        <w:tc>
          <w:tcPr>
            <w:tcW w:w="1058" w:type="dxa"/>
            <w:shd w:val="clear" w:color="auto" w:fill="D4E3F5"/>
          </w:tcPr>
          <w:p>
            <w:pPr>
              <w:pStyle w:val="TableParagraph"/>
              <w:ind w:left="52" w:right="32"/>
              <w:rPr>
                <w:sz w:val="14"/>
              </w:rPr>
            </w:pPr>
            <w:r>
              <w:rPr>
                <w:color w:val="231F20"/>
                <w:spacing w:val="-5"/>
                <w:w w:val="95"/>
                <w:sz w:val="14"/>
              </w:rPr>
              <w:t>2.1</w:t>
            </w:r>
          </w:p>
        </w:tc>
        <w:tc>
          <w:tcPr>
            <w:tcW w:w="948" w:type="dxa"/>
            <w:shd w:val="clear" w:color="auto" w:fill="D4E3F5"/>
          </w:tcPr>
          <w:p>
            <w:pPr>
              <w:pStyle w:val="TableParagraph"/>
              <w:ind w:left="92" w:right="60"/>
              <w:rPr>
                <w:sz w:val="14"/>
              </w:rPr>
            </w:pPr>
            <w:r>
              <w:rPr>
                <w:color w:val="231F20"/>
                <w:spacing w:val="-5"/>
                <w:w w:val="95"/>
                <w:sz w:val="14"/>
              </w:rPr>
              <w:t>1.0</w:t>
            </w:r>
          </w:p>
        </w:tc>
        <w:tc>
          <w:tcPr>
            <w:tcW w:w="1007" w:type="dxa"/>
            <w:shd w:val="clear" w:color="auto" w:fill="D4E3F5"/>
          </w:tcPr>
          <w:p>
            <w:pPr>
              <w:pStyle w:val="TableParagraph"/>
              <w:ind w:right="400"/>
              <w:jc w:val="right"/>
              <w:rPr>
                <w:sz w:val="14"/>
              </w:rPr>
            </w:pPr>
            <w:r>
              <w:rPr>
                <w:color w:val="231F20"/>
                <w:spacing w:val="-5"/>
                <w:w w:val="95"/>
                <w:sz w:val="14"/>
              </w:rPr>
              <w:t>4.1</w:t>
            </w:r>
          </w:p>
        </w:tc>
      </w:tr>
      <w:tr>
        <w:trPr>
          <w:trHeight w:val="259" w:hRule="atLeast"/>
        </w:trPr>
        <w:tc>
          <w:tcPr>
            <w:tcW w:w="1263" w:type="dxa"/>
          </w:tcPr>
          <w:p>
            <w:pPr>
              <w:pStyle w:val="TableParagraph"/>
              <w:ind w:left="80"/>
              <w:jc w:val="left"/>
              <w:rPr>
                <w:sz w:val="14"/>
              </w:rPr>
            </w:pPr>
            <w:r>
              <w:rPr>
                <w:color w:val="231F20"/>
                <w:spacing w:val="-2"/>
                <w:w w:val="85"/>
                <w:sz w:val="14"/>
              </w:rPr>
              <w:t>Cameroon</w:t>
            </w:r>
          </w:p>
        </w:tc>
        <w:tc>
          <w:tcPr>
            <w:tcW w:w="1198" w:type="dxa"/>
          </w:tcPr>
          <w:p>
            <w:pPr>
              <w:pStyle w:val="TableParagraph"/>
              <w:ind w:right="434"/>
              <w:jc w:val="right"/>
              <w:rPr>
                <w:sz w:val="14"/>
              </w:rPr>
            </w:pPr>
            <w:r>
              <w:rPr>
                <w:color w:val="231F20"/>
                <w:spacing w:val="-2"/>
                <w:w w:val="95"/>
                <w:sz w:val="14"/>
              </w:rPr>
              <w:t>6,102</w:t>
            </w:r>
          </w:p>
        </w:tc>
        <w:tc>
          <w:tcPr>
            <w:tcW w:w="851" w:type="dxa"/>
          </w:tcPr>
          <w:p>
            <w:pPr>
              <w:pStyle w:val="TableParagraph"/>
              <w:ind w:left="16" w:right="136"/>
              <w:rPr>
                <w:sz w:val="14"/>
              </w:rPr>
            </w:pPr>
            <w:r>
              <w:rPr>
                <w:color w:val="231F20"/>
                <w:spacing w:val="-4"/>
                <w:w w:val="95"/>
                <w:sz w:val="14"/>
              </w:rPr>
              <w:t>16.4</w:t>
            </w:r>
          </w:p>
        </w:tc>
        <w:tc>
          <w:tcPr>
            <w:tcW w:w="1059" w:type="dxa"/>
          </w:tcPr>
          <w:p>
            <w:pPr>
              <w:pStyle w:val="TableParagraph"/>
              <w:ind w:left="42" w:right="64"/>
              <w:rPr>
                <w:sz w:val="14"/>
              </w:rPr>
            </w:pPr>
            <w:r>
              <w:rPr>
                <w:color w:val="231F20"/>
                <w:spacing w:val="-4"/>
                <w:w w:val="95"/>
                <w:sz w:val="14"/>
              </w:rPr>
              <w:t>11.9</w:t>
            </w:r>
          </w:p>
        </w:tc>
        <w:tc>
          <w:tcPr>
            <w:tcW w:w="1083" w:type="dxa"/>
          </w:tcPr>
          <w:p>
            <w:pPr>
              <w:pStyle w:val="TableParagraph"/>
              <w:ind w:left="409"/>
              <w:jc w:val="left"/>
              <w:rPr>
                <w:sz w:val="14"/>
              </w:rPr>
            </w:pPr>
            <w:r>
              <w:rPr>
                <w:color w:val="231F20"/>
                <w:spacing w:val="-5"/>
                <w:w w:val="95"/>
                <w:sz w:val="14"/>
              </w:rPr>
              <w:t>7.3</w:t>
            </w:r>
          </w:p>
        </w:tc>
        <w:tc>
          <w:tcPr>
            <w:tcW w:w="754" w:type="dxa"/>
          </w:tcPr>
          <w:p>
            <w:pPr>
              <w:pStyle w:val="TableParagraph"/>
              <w:ind w:left="40" w:right="64"/>
              <w:rPr>
                <w:sz w:val="14"/>
              </w:rPr>
            </w:pPr>
            <w:r>
              <w:rPr>
                <w:color w:val="231F20"/>
                <w:spacing w:val="-4"/>
                <w:w w:val="95"/>
                <w:sz w:val="14"/>
              </w:rPr>
              <w:t>20.2</w:t>
            </w:r>
          </w:p>
        </w:tc>
        <w:tc>
          <w:tcPr>
            <w:tcW w:w="239" w:type="dxa"/>
          </w:tcPr>
          <w:p>
            <w:pPr>
              <w:pStyle w:val="TableParagraph"/>
              <w:spacing w:before="0"/>
              <w:jc w:val="left"/>
              <w:rPr>
                <w:rFonts w:ascii="Times New Roman"/>
                <w:sz w:val="12"/>
              </w:rPr>
            </w:pPr>
          </w:p>
        </w:tc>
        <w:tc>
          <w:tcPr>
            <w:tcW w:w="850" w:type="dxa"/>
          </w:tcPr>
          <w:p>
            <w:pPr>
              <w:pStyle w:val="TableParagraph"/>
              <w:ind w:left="250"/>
              <w:jc w:val="left"/>
              <w:rPr>
                <w:sz w:val="14"/>
              </w:rPr>
            </w:pPr>
            <w:r>
              <w:rPr>
                <w:color w:val="231F20"/>
                <w:spacing w:val="-4"/>
                <w:w w:val="95"/>
                <w:sz w:val="14"/>
              </w:rPr>
              <w:t>16.3</w:t>
            </w:r>
          </w:p>
        </w:tc>
        <w:tc>
          <w:tcPr>
            <w:tcW w:w="1058" w:type="dxa"/>
          </w:tcPr>
          <w:p>
            <w:pPr>
              <w:pStyle w:val="TableParagraph"/>
              <w:ind w:left="52" w:right="65"/>
              <w:rPr>
                <w:sz w:val="14"/>
              </w:rPr>
            </w:pPr>
            <w:r>
              <w:rPr>
                <w:color w:val="231F20"/>
                <w:spacing w:val="-4"/>
                <w:w w:val="95"/>
                <w:sz w:val="14"/>
              </w:rPr>
              <w:t>11.9</w:t>
            </w:r>
          </w:p>
        </w:tc>
        <w:tc>
          <w:tcPr>
            <w:tcW w:w="948" w:type="dxa"/>
          </w:tcPr>
          <w:p>
            <w:pPr>
              <w:pStyle w:val="TableParagraph"/>
              <w:ind w:left="39"/>
              <w:rPr>
                <w:sz w:val="14"/>
              </w:rPr>
            </w:pPr>
            <w:r>
              <w:rPr>
                <w:color w:val="231F20"/>
                <w:spacing w:val="-5"/>
                <w:w w:val="95"/>
                <w:sz w:val="14"/>
              </w:rPr>
              <w:t>7.3</w:t>
            </w:r>
          </w:p>
        </w:tc>
        <w:tc>
          <w:tcPr>
            <w:tcW w:w="1007" w:type="dxa"/>
          </w:tcPr>
          <w:p>
            <w:pPr>
              <w:pStyle w:val="TableParagraph"/>
              <w:ind w:right="400"/>
              <w:jc w:val="right"/>
              <w:rPr>
                <w:sz w:val="14"/>
              </w:rPr>
            </w:pPr>
            <w:r>
              <w:rPr>
                <w:color w:val="231F20"/>
                <w:spacing w:val="-4"/>
                <w:w w:val="95"/>
                <w:sz w:val="14"/>
              </w:rPr>
              <w:t>20.1</w:t>
            </w:r>
          </w:p>
        </w:tc>
      </w:tr>
      <w:tr>
        <w:trPr>
          <w:trHeight w:val="259" w:hRule="atLeast"/>
        </w:trPr>
        <w:tc>
          <w:tcPr>
            <w:tcW w:w="1263" w:type="dxa"/>
            <w:shd w:val="clear" w:color="auto" w:fill="D4E3F5"/>
          </w:tcPr>
          <w:p>
            <w:pPr>
              <w:pStyle w:val="TableParagraph"/>
              <w:ind w:left="80"/>
              <w:jc w:val="left"/>
              <w:rPr>
                <w:sz w:val="14"/>
              </w:rPr>
            </w:pPr>
            <w:r>
              <w:rPr>
                <w:color w:val="231F20"/>
                <w:spacing w:val="-2"/>
                <w:w w:val="85"/>
                <w:sz w:val="14"/>
              </w:rPr>
              <w:t>Canada</w:t>
            </w:r>
          </w:p>
        </w:tc>
        <w:tc>
          <w:tcPr>
            <w:tcW w:w="1198" w:type="dxa"/>
            <w:shd w:val="clear" w:color="auto" w:fill="D4E3F5"/>
          </w:tcPr>
          <w:p>
            <w:pPr>
              <w:pStyle w:val="TableParagraph"/>
              <w:ind w:right="431"/>
              <w:jc w:val="right"/>
              <w:rPr>
                <w:sz w:val="14"/>
              </w:rPr>
            </w:pPr>
            <w:r>
              <w:rPr>
                <w:color w:val="231F20"/>
                <w:spacing w:val="-2"/>
                <w:w w:val="95"/>
                <w:sz w:val="14"/>
              </w:rPr>
              <w:t>20,359</w:t>
            </w:r>
          </w:p>
        </w:tc>
        <w:tc>
          <w:tcPr>
            <w:tcW w:w="851" w:type="dxa"/>
            <w:shd w:val="clear" w:color="auto" w:fill="D4E3F5"/>
          </w:tcPr>
          <w:p>
            <w:pPr>
              <w:pStyle w:val="TableParagraph"/>
              <w:ind w:left="84" w:right="136"/>
              <w:rPr>
                <w:sz w:val="14"/>
              </w:rPr>
            </w:pPr>
            <w:r>
              <w:rPr>
                <w:color w:val="231F20"/>
                <w:spacing w:val="-5"/>
                <w:w w:val="95"/>
                <w:sz w:val="14"/>
              </w:rPr>
              <w:t>8.8</w:t>
            </w:r>
          </w:p>
        </w:tc>
        <w:tc>
          <w:tcPr>
            <w:tcW w:w="1059" w:type="dxa"/>
            <w:shd w:val="clear" w:color="auto" w:fill="D4E3F5"/>
          </w:tcPr>
          <w:p>
            <w:pPr>
              <w:pStyle w:val="TableParagraph"/>
              <w:ind w:left="67" w:right="39"/>
              <w:rPr>
                <w:sz w:val="14"/>
              </w:rPr>
            </w:pPr>
            <w:r>
              <w:rPr>
                <w:color w:val="231F20"/>
                <w:spacing w:val="-5"/>
                <w:w w:val="95"/>
                <w:sz w:val="14"/>
              </w:rPr>
              <w:t>5.8</w:t>
            </w:r>
          </w:p>
        </w:tc>
        <w:tc>
          <w:tcPr>
            <w:tcW w:w="1083" w:type="dxa"/>
            <w:shd w:val="clear" w:color="auto" w:fill="D4E3F5"/>
          </w:tcPr>
          <w:p>
            <w:pPr>
              <w:pStyle w:val="TableParagraph"/>
              <w:ind w:left="395"/>
              <w:jc w:val="left"/>
              <w:rPr>
                <w:sz w:val="14"/>
              </w:rPr>
            </w:pPr>
            <w:r>
              <w:rPr>
                <w:color w:val="231F20"/>
                <w:spacing w:val="-5"/>
                <w:w w:val="95"/>
                <w:sz w:val="14"/>
              </w:rPr>
              <w:t>3.2</w:t>
            </w:r>
          </w:p>
        </w:tc>
        <w:tc>
          <w:tcPr>
            <w:tcW w:w="754" w:type="dxa"/>
            <w:shd w:val="clear" w:color="auto" w:fill="D4E3F5"/>
          </w:tcPr>
          <w:p>
            <w:pPr>
              <w:pStyle w:val="TableParagraph"/>
              <w:ind w:left="40" w:right="62"/>
              <w:rPr>
                <w:sz w:val="14"/>
              </w:rPr>
            </w:pPr>
            <w:r>
              <w:rPr>
                <w:color w:val="231F20"/>
                <w:spacing w:val="-4"/>
                <w:w w:val="95"/>
                <w:sz w:val="14"/>
              </w:rPr>
              <w:t>10.9</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right="65"/>
              <w:rPr>
                <w:sz w:val="14"/>
              </w:rPr>
            </w:pPr>
            <w:r>
              <w:rPr>
                <w:color w:val="231F20"/>
                <w:spacing w:val="-5"/>
                <w:w w:val="95"/>
                <w:sz w:val="14"/>
              </w:rPr>
              <w:t>6.1</w:t>
            </w:r>
          </w:p>
        </w:tc>
        <w:tc>
          <w:tcPr>
            <w:tcW w:w="1058" w:type="dxa"/>
            <w:shd w:val="clear" w:color="auto" w:fill="D4E3F5"/>
          </w:tcPr>
          <w:p>
            <w:pPr>
              <w:pStyle w:val="TableParagraph"/>
              <w:ind w:left="69" w:right="29"/>
              <w:rPr>
                <w:sz w:val="14"/>
              </w:rPr>
            </w:pPr>
            <w:r>
              <w:rPr>
                <w:color w:val="231F20"/>
                <w:spacing w:val="-5"/>
                <w:w w:val="95"/>
                <w:sz w:val="14"/>
              </w:rPr>
              <w:t>4.2</w:t>
            </w:r>
          </w:p>
        </w:tc>
        <w:tc>
          <w:tcPr>
            <w:tcW w:w="948" w:type="dxa"/>
            <w:shd w:val="clear" w:color="auto" w:fill="D4E3F5"/>
          </w:tcPr>
          <w:p>
            <w:pPr>
              <w:pStyle w:val="TableParagraph"/>
              <w:ind w:left="90" w:right="60"/>
              <w:rPr>
                <w:sz w:val="14"/>
              </w:rPr>
            </w:pPr>
            <w:r>
              <w:rPr>
                <w:color w:val="231F20"/>
                <w:spacing w:val="-5"/>
                <w:w w:val="95"/>
                <w:sz w:val="14"/>
              </w:rPr>
              <w:t>1.7</w:t>
            </w:r>
          </w:p>
        </w:tc>
        <w:tc>
          <w:tcPr>
            <w:tcW w:w="1007" w:type="dxa"/>
            <w:shd w:val="clear" w:color="auto" w:fill="D4E3F5"/>
          </w:tcPr>
          <w:p>
            <w:pPr>
              <w:pStyle w:val="TableParagraph"/>
              <w:ind w:right="384"/>
              <w:jc w:val="right"/>
              <w:rPr>
                <w:sz w:val="14"/>
              </w:rPr>
            </w:pPr>
            <w:r>
              <w:rPr>
                <w:color w:val="231F20"/>
                <w:spacing w:val="-5"/>
                <w:w w:val="95"/>
                <w:sz w:val="14"/>
              </w:rPr>
              <w:t>7.4</w:t>
            </w:r>
          </w:p>
        </w:tc>
      </w:tr>
      <w:tr>
        <w:trPr>
          <w:trHeight w:val="259" w:hRule="atLeast"/>
        </w:trPr>
        <w:tc>
          <w:tcPr>
            <w:tcW w:w="1263" w:type="dxa"/>
          </w:tcPr>
          <w:p>
            <w:pPr>
              <w:pStyle w:val="TableParagraph"/>
              <w:ind w:left="80"/>
              <w:jc w:val="left"/>
              <w:rPr>
                <w:sz w:val="14"/>
              </w:rPr>
            </w:pPr>
            <w:r>
              <w:rPr>
                <w:color w:val="231F20"/>
                <w:w w:val="75"/>
                <w:sz w:val="14"/>
              </w:rPr>
              <w:t>Cayman</w:t>
            </w:r>
            <w:r>
              <w:rPr>
                <w:color w:val="231F20"/>
                <w:spacing w:val="9"/>
                <w:sz w:val="14"/>
              </w:rPr>
              <w:t> </w:t>
            </w:r>
            <w:r>
              <w:rPr>
                <w:color w:val="231F20"/>
                <w:spacing w:val="-2"/>
                <w:w w:val="85"/>
                <w:sz w:val="14"/>
              </w:rPr>
              <w:t>Islands</w:t>
            </w:r>
          </w:p>
        </w:tc>
        <w:tc>
          <w:tcPr>
            <w:tcW w:w="1198" w:type="dxa"/>
          </w:tcPr>
          <w:p>
            <w:pPr>
              <w:pStyle w:val="TableParagraph"/>
              <w:ind w:right="432"/>
              <w:jc w:val="right"/>
              <w:rPr>
                <w:sz w:val="14"/>
              </w:rPr>
            </w:pPr>
            <w:r>
              <w:rPr>
                <w:color w:val="231F20"/>
                <w:spacing w:val="-5"/>
                <w:w w:val="95"/>
                <w:sz w:val="14"/>
              </w:rPr>
              <w:t>27</w:t>
            </w:r>
          </w:p>
        </w:tc>
        <w:tc>
          <w:tcPr>
            <w:tcW w:w="851" w:type="dxa"/>
          </w:tcPr>
          <w:p>
            <w:pPr>
              <w:pStyle w:val="TableParagraph"/>
              <w:ind w:left="82" w:right="136"/>
              <w:rPr>
                <w:sz w:val="14"/>
              </w:rPr>
            </w:pPr>
            <w:r>
              <w:rPr>
                <w:color w:val="231F20"/>
                <w:spacing w:val="-5"/>
                <w:w w:val="95"/>
                <w:sz w:val="14"/>
              </w:rPr>
              <w:t>6.6</w:t>
            </w:r>
          </w:p>
        </w:tc>
        <w:tc>
          <w:tcPr>
            <w:tcW w:w="1059" w:type="dxa"/>
          </w:tcPr>
          <w:p>
            <w:pPr>
              <w:pStyle w:val="TableParagraph"/>
              <w:ind w:left="68" w:right="39"/>
              <w:rPr>
                <w:sz w:val="14"/>
              </w:rPr>
            </w:pPr>
            <w:r>
              <w:rPr>
                <w:color w:val="231F20"/>
                <w:spacing w:val="-5"/>
                <w:w w:val="95"/>
                <w:sz w:val="14"/>
              </w:rPr>
              <w:t>4.9</w:t>
            </w:r>
          </w:p>
        </w:tc>
        <w:tc>
          <w:tcPr>
            <w:tcW w:w="1083" w:type="dxa"/>
          </w:tcPr>
          <w:p>
            <w:pPr>
              <w:pStyle w:val="TableParagraph"/>
              <w:ind w:left="403"/>
              <w:jc w:val="left"/>
              <w:rPr>
                <w:sz w:val="14"/>
              </w:rPr>
            </w:pPr>
            <w:r>
              <w:rPr>
                <w:color w:val="231F20"/>
                <w:spacing w:val="-5"/>
                <w:w w:val="95"/>
                <w:sz w:val="14"/>
              </w:rPr>
              <w:t>1.9</w:t>
            </w:r>
          </w:p>
        </w:tc>
        <w:tc>
          <w:tcPr>
            <w:tcW w:w="754" w:type="dxa"/>
          </w:tcPr>
          <w:p>
            <w:pPr>
              <w:pStyle w:val="TableParagraph"/>
              <w:ind w:left="87" w:right="48"/>
              <w:rPr>
                <w:sz w:val="14"/>
              </w:rPr>
            </w:pPr>
            <w:r>
              <w:rPr>
                <w:color w:val="231F20"/>
                <w:spacing w:val="-5"/>
                <w:w w:val="95"/>
                <w:sz w:val="14"/>
              </w:rPr>
              <w:t>9.9</w:t>
            </w:r>
          </w:p>
        </w:tc>
        <w:tc>
          <w:tcPr>
            <w:tcW w:w="239" w:type="dxa"/>
          </w:tcPr>
          <w:p>
            <w:pPr>
              <w:pStyle w:val="TableParagraph"/>
              <w:spacing w:before="0"/>
              <w:jc w:val="left"/>
              <w:rPr>
                <w:rFonts w:ascii="Times New Roman"/>
                <w:sz w:val="12"/>
              </w:rPr>
            </w:pPr>
          </w:p>
        </w:tc>
        <w:tc>
          <w:tcPr>
            <w:tcW w:w="850" w:type="dxa"/>
          </w:tcPr>
          <w:p>
            <w:pPr>
              <w:pStyle w:val="TableParagraph"/>
              <w:ind w:left="19" w:right="65"/>
              <w:rPr>
                <w:sz w:val="14"/>
              </w:rPr>
            </w:pPr>
            <w:r>
              <w:rPr>
                <w:color w:val="231F20"/>
                <w:spacing w:val="-5"/>
                <w:w w:val="95"/>
                <w:sz w:val="14"/>
              </w:rPr>
              <w:t>0.8</w:t>
            </w:r>
          </w:p>
        </w:tc>
        <w:tc>
          <w:tcPr>
            <w:tcW w:w="1058" w:type="dxa"/>
          </w:tcPr>
          <w:p>
            <w:pPr>
              <w:pStyle w:val="TableParagraph"/>
              <w:ind w:left="67" w:right="29"/>
              <w:rPr>
                <w:sz w:val="14"/>
              </w:rPr>
            </w:pPr>
            <w:r>
              <w:rPr>
                <w:color w:val="231F20"/>
                <w:spacing w:val="-5"/>
                <w:w w:val="95"/>
                <w:sz w:val="14"/>
              </w:rPr>
              <w:t>0.8</w:t>
            </w:r>
          </w:p>
        </w:tc>
        <w:tc>
          <w:tcPr>
            <w:tcW w:w="948" w:type="dxa"/>
          </w:tcPr>
          <w:p>
            <w:pPr>
              <w:pStyle w:val="TableParagraph"/>
              <w:ind w:left="87" w:right="60"/>
              <w:rPr>
                <w:sz w:val="14"/>
              </w:rPr>
            </w:pPr>
            <w:r>
              <w:rPr>
                <w:color w:val="231F20"/>
                <w:spacing w:val="-5"/>
                <w:w w:val="95"/>
                <w:sz w:val="14"/>
              </w:rPr>
              <w:t>0.5</w:t>
            </w:r>
          </w:p>
        </w:tc>
        <w:tc>
          <w:tcPr>
            <w:tcW w:w="1007" w:type="dxa"/>
          </w:tcPr>
          <w:p>
            <w:pPr>
              <w:pStyle w:val="TableParagraph"/>
              <w:ind w:right="383"/>
              <w:jc w:val="right"/>
              <w:rPr>
                <w:sz w:val="14"/>
              </w:rPr>
            </w:pPr>
            <w:r>
              <w:rPr>
                <w:color w:val="231F20"/>
                <w:spacing w:val="-5"/>
                <w:w w:val="95"/>
                <w:sz w:val="14"/>
              </w:rPr>
              <w:t>1.0</w:t>
            </w:r>
          </w:p>
        </w:tc>
      </w:tr>
      <w:tr>
        <w:trPr>
          <w:trHeight w:val="419" w:hRule="atLeast"/>
        </w:trPr>
        <w:tc>
          <w:tcPr>
            <w:tcW w:w="1263" w:type="dxa"/>
            <w:shd w:val="clear" w:color="auto" w:fill="D4E3F5"/>
          </w:tcPr>
          <w:p>
            <w:pPr>
              <w:pStyle w:val="TableParagraph"/>
              <w:ind w:left="80"/>
              <w:jc w:val="left"/>
              <w:rPr>
                <w:sz w:val="14"/>
              </w:rPr>
            </w:pPr>
            <w:r>
              <w:rPr>
                <w:color w:val="231F20"/>
                <w:w w:val="80"/>
                <w:sz w:val="14"/>
              </w:rPr>
              <w:t>Central</w:t>
            </w:r>
            <w:r>
              <w:rPr>
                <w:color w:val="231F20"/>
                <w:spacing w:val="-2"/>
                <w:w w:val="80"/>
                <w:sz w:val="14"/>
              </w:rPr>
              <w:t> </w:t>
            </w:r>
            <w:r>
              <w:rPr>
                <w:color w:val="231F20"/>
                <w:w w:val="80"/>
                <w:sz w:val="14"/>
              </w:rPr>
              <w:t>African</w:t>
            </w:r>
            <w:r>
              <w:rPr>
                <w:color w:val="231F20"/>
                <w:spacing w:val="40"/>
                <w:sz w:val="14"/>
              </w:rPr>
              <w:t> </w:t>
            </w:r>
            <w:r>
              <w:rPr>
                <w:color w:val="231F20"/>
                <w:spacing w:val="-2"/>
                <w:w w:val="90"/>
                <w:sz w:val="14"/>
              </w:rPr>
              <w:t>Republic</w:t>
            </w:r>
          </w:p>
        </w:tc>
        <w:tc>
          <w:tcPr>
            <w:tcW w:w="1198" w:type="dxa"/>
            <w:shd w:val="clear" w:color="auto" w:fill="D4E3F5"/>
          </w:tcPr>
          <w:p>
            <w:pPr>
              <w:pStyle w:val="TableParagraph"/>
              <w:spacing w:before="47"/>
              <w:jc w:val="left"/>
              <w:rPr>
                <w:sz w:val="14"/>
              </w:rPr>
            </w:pPr>
          </w:p>
          <w:p>
            <w:pPr>
              <w:pStyle w:val="TableParagraph"/>
              <w:spacing w:before="0"/>
              <w:ind w:right="436"/>
              <w:jc w:val="right"/>
              <w:rPr>
                <w:sz w:val="14"/>
              </w:rPr>
            </w:pPr>
            <w:r>
              <w:rPr>
                <w:color w:val="231F20"/>
                <w:spacing w:val="-10"/>
                <w:w w:val="95"/>
                <w:sz w:val="14"/>
              </w:rPr>
              <w:t>8</w:t>
            </w:r>
          </w:p>
        </w:tc>
        <w:tc>
          <w:tcPr>
            <w:tcW w:w="851" w:type="dxa"/>
            <w:shd w:val="clear" w:color="auto" w:fill="D4E3F5"/>
          </w:tcPr>
          <w:p>
            <w:pPr>
              <w:pStyle w:val="TableParagraph"/>
              <w:spacing w:before="47"/>
              <w:jc w:val="left"/>
              <w:rPr>
                <w:sz w:val="14"/>
              </w:rPr>
            </w:pPr>
          </w:p>
          <w:p>
            <w:pPr>
              <w:pStyle w:val="TableParagraph"/>
              <w:spacing w:before="0"/>
              <w:ind w:left="21" w:right="136"/>
              <w:rPr>
                <w:sz w:val="14"/>
              </w:rPr>
            </w:pPr>
            <w:r>
              <w:rPr>
                <w:color w:val="231F20"/>
                <w:spacing w:val="-4"/>
                <w:w w:val="95"/>
                <w:sz w:val="14"/>
              </w:rPr>
              <w:t>31.3</w:t>
            </w:r>
          </w:p>
        </w:tc>
        <w:tc>
          <w:tcPr>
            <w:tcW w:w="1059" w:type="dxa"/>
            <w:shd w:val="clear" w:color="auto" w:fill="D4E3F5"/>
          </w:tcPr>
          <w:p>
            <w:pPr>
              <w:pStyle w:val="TableParagraph"/>
              <w:spacing w:before="47"/>
              <w:jc w:val="left"/>
              <w:rPr>
                <w:sz w:val="14"/>
              </w:rPr>
            </w:pPr>
          </w:p>
          <w:p>
            <w:pPr>
              <w:pStyle w:val="TableParagraph"/>
              <w:spacing w:before="0"/>
              <w:ind w:left="42" w:right="81"/>
              <w:rPr>
                <w:sz w:val="14"/>
              </w:rPr>
            </w:pPr>
            <w:r>
              <w:rPr>
                <w:color w:val="231F20"/>
                <w:spacing w:val="-4"/>
                <w:w w:val="95"/>
                <w:sz w:val="14"/>
              </w:rPr>
              <w:t>30.2</w:t>
            </w:r>
          </w:p>
        </w:tc>
        <w:tc>
          <w:tcPr>
            <w:tcW w:w="1083" w:type="dxa"/>
            <w:shd w:val="clear" w:color="auto" w:fill="D4E3F5"/>
          </w:tcPr>
          <w:p>
            <w:pPr>
              <w:pStyle w:val="TableParagraph"/>
              <w:spacing w:before="47"/>
              <w:jc w:val="left"/>
              <w:rPr>
                <w:sz w:val="14"/>
              </w:rPr>
            </w:pPr>
          </w:p>
          <w:p>
            <w:pPr>
              <w:pStyle w:val="TableParagraph"/>
              <w:spacing w:before="0"/>
              <w:ind w:left="325"/>
              <w:jc w:val="left"/>
              <w:rPr>
                <w:sz w:val="14"/>
              </w:rPr>
            </w:pPr>
            <w:r>
              <w:rPr>
                <w:color w:val="231F20"/>
                <w:spacing w:val="-4"/>
                <w:w w:val="95"/>
                <w:sz w:val="14"/>
              </w:rPr>
              <w:t>26.1</w:t>
            </w:r>
          </w:p>
        </w:tc>
        <w:tc>
          <w:tcPr>
            <w:tcW w:w="754" w:type="dxa"/>
            <w:shd w:val="clear" w:color="auto" w:fill="D4E3F5"/>
          </w:tcPr>
          <w:p>
            <w:pPr>
              <w:pStyle w:val="TableParagraph"/>
              <w:spacing w:before="47"/>
              <w:jc w:val="left"/>
              <w:rPr>
                <w:sz w:val="14"/>
              </w:rPr>
            </w:pPr>
          </w:p>
          <w:p>
            <w:pPr>
              <w:pStyle w:val="TableParagraph"/>
              <w:spacing w:before="0"/>
              <w:ind w:left="40" w:right="71"/>
              <w:rPr>
                <w:sz w:val="14"/>
              </w:rPr>
            </w:pPr>
            <w:r>
              <w:rPr>
                <w:color w:val="231F20"/>
                <w:spacing w:val="-4"/>
                <w:w w:val="95"/>
                <w:sz w:val="14"/>
              </w:rPr>
              <w:t>34.0</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spacing w:before="47"/>
              <w:jc w:val="left"/>
              <w:rPr>
                <w:sz w:val="14"/>
              </w:rPr>
            </w:pPr>
          </w:p>
          <w:p>
            <w:pPr>
              <w:pStyle w:val="TableParagraph"/>
              <w:spacing w:before="0"/>
              <w:ind w:left="253"/>
              <w:jc w:val="left"/>
              <w:rPr>
                <w:sz w:val="14"/>
              </w:rPr>
            </w:pPr>
            <w:r>
              <w:rPr>
                <w:color w:val="231F20"/>
                <w:spacing w:val="-4"/>
                <w:w w:val="95"/>
                <w:sz w:val="14"/>
              </w:rPr>
              <w:t>31.3</w:t>
            </w:r>
          </w:p>
        </w:tc>
        <w:tc>
          <w:tcPr>
            <w:tcW w:w="1058" w:type="dxa"/>
            <w:shd w:val="clear" w:color="auto" w:fill="D4E3F5"/>
          </w:tcPr>
          <w:p>
            <w:pPr>
              <w:pStyle w:val="TableParagraph"/>
              <w:spacing w:before="47"/>
              <w:jc w:val="left"/>
              <w:rPr>
                <w:sz w:val="14"/>
              </w:rPr>
            </w:pPr>
          </w:p>
          <w:p>
            <w:pPr>
              <w:pStyle w:val="TableParagraph"/>
              <w:spacing w:before="0"/>
              <w:ind w:left="52" w:right="81"/>
              <w:rPr>
                <w:sz w:val="14"/>
              </w:rPr>
            </w:pPr>
            <w:r>
              <w:rPr>
                <w:color w:val="231F20"/>
                <w:spacing w:val="-4"/>
                <w:w w:val="95"/>
                <w:sz w:val="14"/>
              </w:rPr>
              <w:t>30.2</w:t>
            </w:r>
          </w:p>
        </w:tc>
        <w:tc>
          <w:tcPr>
            <w:tcW w:w="948" w:type="dxa"/>
            <w:shd w:val="clear" w:color="auto" w:fill="D4E3F5"/>
          </w:tcPr>
          <w:p>
            <w:pPr>
              <w:pStyle w:val="TableParagraph"/>
              <w:spacing w:before="47"/>
              <w:jc w:val="left"/>
              <w:rPr>
                <w:sz w:val="14"/>
              </w:rPr>
            </w:pPr>
          </w:p>
          <w:p>
            <w:pPr>
              <w:pStyle w:val="TableParagraph"/>
              <w:spacing w:before="0"/>
              <w:ind w:left="39" w:right="99"/>
              <w:rPr>
                <w:sz w:val="14"/>
              </w:rPr>
            </w:pPr>
            <w:r>
              <w:rPr>
                <w:color w:val="231F20"/>
                <w:spacing w:val="-4"/>
                <w:w w:val="95"/>
                <w:sz w:val="14"/>
              </w:rPr>
              <w:t>26.1</w:t>
            </w:r>
          </w:p>
        </w:tc>
        <w:tc>
          <w:tcPr>
            <w:tcW w:w="1007" w:type="dxa"/>
            <w:shd w:val="clear" w:color="auto" w:fill="D4E3F5"/>
          </w:tcPr>
          <w:p>
            <w:pPr>
              <w:pStyle w:val="TableParagraph"/>
              <w:spacing w:before="47"/>
              <w:jc w:val="left"/>
              <w:rPr>
                <w:sz w:val="14"/>
              </w:rPr>
            </w:pPr>
          </w:p>
          <w:p>
            <w:pPr>
              <w:pStyle w:val="TableParagraph"/>
              <w:spacing w:before="0"/>
              <w:ind w:right="383"/>
              <w:jc w:val="right"/>
              <w:rPr>
                <w:sz w:val="14"/>
              </w:rPr>
            </w:pPr>
            <w:r>
              <w:rPr>
                <w:color w:val="231F20"/>
                <w:spacing w:val="-4"/>
                <w:w w:val="95"/>
                <w:sz w:val="14"/>
              </w:rPr>
              <w:t>34.0</w:t>
            </w:r>
          </w:p>
        </w:tc>
      </w:tr>
      <w:tr>
        <w:trPr>
          <w:trHeight w:val="259" w:hRule="atLeast"/>
        </w:trPr>
        <w:tc>
          <w:tcPr>
            <w:tcW w:w="1263" w:type="dxa"/>
          </w:tcPr>
          <w:p>
            <w:pPr>
              <w:pStyle w:val="TableParagraph"/>
              <w:ind w:left="80"/>
              <w:jc w:val="left"/>
              <w:rPr>
                <w:sz w:val="14"/>
              </w:rPr>
            </w:pPr>
            <w:r>
              <w:rPr>
                <w:color w:val="231F20"/>
                <w:spacing w:val="-4"/>
                <w:w w:val="85"/>
                <w:sz w:val="14"/>
              </w:rPr>
              <w:t>Chad</w:t>
            </w:r>
          </w:p>
        </w:tc>
        <w:tc>
          <w:tcPr>
            <w:tcW w:w="1198" w:type="dxa"/>
          </w:tcPr>
          <w:p>
            <w:pPr>
              <w:pStyle w:val="TableParagraph"/>
              <w:ind w:right="431"/>
              <w:jc w:val="right"/>
              <w:rPr>
                <w:sz w:val="14"/>
              </w:rPr>
            </w:pPr>
            <w:r>
              <w:rPr>
                <w:color w:val="231F20"/>
                <w:spacing w:val="-5"/>
                <w:w w:val="95"/>
                <w:sz w:val="14"/>
              </w:rPr>
              <w:t>20</w:t>
            </w:r>
          </w:p>
        </w:tc>
        <w:tc>
          <w:tcPr>
            <w:tcW w:w="851" w:type="dxa"/>
          </w:tcPr>
          <w:p>
            <w:pPr>
              <w:pStyle w:val="TableParagraph"/>
              <w:ind w:left="21" w:right="136"/>
              <w:rPr>
                <w:sz w:val="14"/>
              </w:rPr>
            </w:pPr>
            <w:r>
              <w:rPr>
                <w:color w:val="231F20"/>
                <w:spacing w:val="-4"/>
                <w:w w:val="95"/>
                <w:sz w:val="14"/>
              </w:rPr>
              <w:t>15.2</w:t>
            </w:r>
          </w:p>
        </w:tc>
        <w:tc>
          <w:tcPr>
            <w:tcW w:w="1059" w:type="dxa"/>
          </w:tcPr>
          <w:p>
            <w:pPr>
              <w:pStyle w:val="TableParagraph"/>
              <w:ind w:left="42" w:right="74"/>
              <w:rPr>
                <w:sz w:val="14"/>
              </w:rPr>
            </w:pPr>
            <w:r>
              <w:rPr>
                <w:color w:val="231F20"/>
                <w:spacing w:val="-4"/>
                <w:w w:val="95"/>
                <w:sz w:val="14"/>
              </w:rPr>
              <w:t>15.5</w:t>
            </w:r>
          </w:p>
        </w:tc>
        <w:tc>
          <w:tcPr>
            <w:tcW w:w="1083" w:type="dxa"/>
          </w:tcPr>
          <w:p>
            <w:pPr>
              <w:pStyle w:val="TableParagraph"/>
              <w:ind w:left="409"/>
              <w:jc w:val="left"/>
              <w:rPr>
                <w:sz w:val="14"/>
              </w:rPr>
            </w:pPr>
            <w:r>
              <w:rPr>
                <w:color w:val="231F20"/>
                <w:spacing w:val="-5"/>
                <w:w w:val="95"/>
                <w:sz w:val="14"/>
              </w:rPr>
              <w:t>7.5</w:t>
            </w:r>
          </w:p>
        </w:tc>
        <w:tc>
          <w:tcPr>
            <w:tcW w:w="754" w:type="dxa"/>
          </w:tcPr>
          <w:p>
            <w:pPr>
              <w:pStyle w:val="TableParagraph"/>
              <w:ind w:left="40" w:right="64"/>
              <w:rPr>
                <w:sz w:val="14"/>
              </w:rPr>
            </w:pPr>
            <w:r>
              <w:rPr>
                <w:color w:val="231F20"/>
                <w:spacing w:val="-4"/>
                <w:w w:val="95"/>
                <w:sz w:val="14"/>
              </w:rPr>
              <w:t>18.4</w:t>
            </w:r>
          </w:p>
        </w:tc>
        <w:tc>
          <w:tcPr>
            <w:tcW w:w="239" w:type="dxa"/>
          </w:tcPr>
          <w:p>
            <w:pPr>
              <w:pStyle w:val="TableParagraph"/>
              <w:spacing w:before="0"/>
              <w:jc w:val="left"/>
              <w:rPr>
                <w:rFonts w:ascii="Times New Roman"/>
                <w:sz w:val="12"/>
              </w:rPr>
            </w:pPr>
          </w:p>
        </w:tc>
        <w:tc>
          <w:tcPr>
            <w:tcW w:w="850" w:type="dxa"/>
          </w:tcPr>
          <w:p>
            <w:pPr>
              <w:pStyle w:val="TableParagraph"/>
              <w:ind w:left="252"/>
              <w:jc w:val="left"/>
              <w:rPr>
                <w:sz w:val="14"/>
              </w:rPr>
            </w:pPr>
            <w:r>
              <w:rPr>
                <w:color w:val="231F20"/>
                <w:spacing w:val="-4"/>
                <w:w w:val="95"/>
                <w:sz w:val="14"/>
              </w:rPr>
              <w:t>15.2</w:t>
            </w:r>
          </w:p>
        </w:tc>
        <w:tc>
          <w:tcPr>
            <w:tcW w:w="1058" w:type="dxa"/>
          </w:tcPr>
          <w:p>
            <w:pPr>
              <w:pStyle w:val="TableParagraph"/>
              <w:ind w:left="52" w:right="74"/>
              <w:rPr>
                <w:sz w:val="14"/>
              </w:rPr>
            </w:pPr>
            <w:r>
              <w:rPr>
                <w:color w:val="231F20"/>
                <w:spacing w:val="-4"/>
                <w:w w:val="95"/>
                <w:sz w:val="14"/>
              </w:rPr>
              <w:t>15.5</w:t>
            </w:r>
          </w:p>
        </w:tc>
        <w:tc>
          <w:tcPr>
            <w:tcW w:w="948" w:type="dxa"/>
          </w:tcPr>
          <w:p>
            <w:pPr>
              <w:pStyle w:val="TableParagraph"/>
              <w:ind w:left="39"/>
              <w:rPr>
                <w:sz w:val="14"/>
              </w:rPr>
            </w:pPr>
            <w:r>
              <w:rPr>
                <w:color w:val="231F20"/>
                <w:spacing w:val="-5"/>
                <w:w w:val="95"/>
                <w:sz w:val="14"/>
              </w:rPr>
              <w:t>7.5</w:t>
            </w:r>
          </w:p>
        </w:tc>
        <w:tc>
          <w:tcPr>
            <w:tcW w:w="1007" w:type="dxa"/>
          </w:tcPr>
          <w:p>
            <w:pPr>
              <w:pStyle w:val="TableParagraph"/>
              <w:ind w:right="384"/>
              <w:jc w:val="right"/>
              <w:rPr>
                <w:sz w:val="14"/>
              </w:rPr>
            </w:pPr>
            <w:r>
              <w:rPr>
                <w:color w:val="231F20"/>
                <w:spacing w:val="-4"/>
                <w:w w:val="95"/>
                <w:sz w:val="14"/>
              </w:rPr>
              <w:t>18.4</w:t>
            </w:r>
          </w:p>
        </w:tc>
      </w:tr>
      <w:tr>
        <w:trPr>
          <w:trHeight w:val="259" w:hRule="atLeast"/>
        </w:trPr>
        <w:tc>
          <w:tcPr>
            <w:tcW w:w="1263" w:type="dxa"/>
            <w:shd w:val="clear" w:color="auto" w:fill="D4E3F5"/>
          </w:tcPr>
          <w:p>
            <w:pPr>
              <w:pStyle w:val="TableParagraph"/>
              <w:ind w:left="80"/>
              <w:jc w:val="left"/>
              <w:rPr>
                <w:sz w:val="14"/>
              </w:rPr>
            </w:pPr>
            <w:r>
              <w:rPr>
                <w:color w:val="231F20"/>
                <w:spacing w:val="-2"/>
                <w:w w:val="90"/>
                <w:sz w:val="14"/>
              </w:rPr>
              <w:t>Chile</w:t>
            </w:r>
          </w:p>
        </w:tc>
        <w:tc>
          <w:tcPr>
            <w:tcW w:w="1198" w:type="dxa"/>
            <w:shd w:val="clear" w:color="auto" w:fill="D4E3F5"/>
          </w:tcPr>
          <w:p>
            <w:pPr>
              <w:pStyle w:val="TableParagraph"/>
              <w:ind w:right="434"/>
              <w:jc w:val="right"/>
              <w:rPr>
                <w:sz w:val="14"/>
              </w:rPr>
            </w:pPr>
            <w:r>
              <w:rPr>
                <w:color w:val="231F20"/>
                <w:spacing w:val="-2"/>
                <w:w w:val="95"/>
                <w:sz w:val="14"/>
              </w:rPr>
              <w:t>20,991</w:t>
            </w:r>
          </w:p>
        </w:tc>
        <w:tc>
          <w:tcPr>
            <w:tcW w:w="851" w:type="dxa"/>
            <w:shd w:val="clear" w:color="auto" w:fill="D4E3F5"/>
          </w:tcPr>
          <w:p>
            <w:pPr>
              <w:pStyle w:val="TableParagraph"/>
              <w:ind w:left="65" w:right="136"/>
              <w:rPr>
                <w:sz w:val="14"/>
              </w:rPr>
            </w:pPr>
            <w:r>
              <w:rPr>
                <w:color w:val="231F20"/>
                <w:spacing w:val="-5"/>
                <w:w w:val="95"/>
                <w:sz w:val="14"/>
              </w:rPr>
              <w:t>4.1</w:t>
            </w:r>
          </w:p>
        </w:tc>
        <w:tc>
          <w:tcPr>
            <w:tcW w:w="1059" w:type="dxa"/>
            <w:shd w:val="clear" w:color="auto" w:fill="D4E3F5"/>
          </w:tcPr>
          <w:p>
            <w:pPr>
              <w:pStyle w:val="TableParagraph"/>
              <w:ind w:left="68" w:right="39"/>
              <w:rPr>
                <w:sz w:val="14"/>
              </w:rPr>
            </w:pPr>
            <w:r>
              <w:rPr>
                <w:color w:val="231F20"/>
                <w:spacing w:val="-5"/>
                <w:w w:val="95"/>
                <w:sz w:val="14"/>
              </w:rPr>
              <w:t>3.2</w:t>
            </w:r>
          </w:p>
        </w:tc>
        <w:tc>
          <w:tcPr>
            <w:tcW w:w="1083" w:type="dxa"/>
            <w:shd w:val="clear" w:color="auto" w:fill="D4E3F5"/>
          </w:tcPr>
          <w:p>
            <w:pPr>
              <w:pStyle w:val="TableParagraph"/>
              <w:ind w:left="403"/>
              <w:jc w:val="left"/>
              <w:rPr>
                <w:sz w:val="14"/>
              </w:rPr>
            </w:pPr>
            <w:r>
              <w:rPr>
                <w:color w:val="231F20"/>
                <w:spacing w:val="-5"/>
                <w:w w:val="95"/>
                <w:sz w:val="14"/>
              </w:rPr>
              <w:t>1.9</w:t>
            </w:r>
          </w:p>
        </w:tc>
        <w:tc>
          <w:tcPr>
            <w:tcW w:w="754" w:type="dxa"/>
            <w:shd w:val="clear" w:color="auto" w:fill="D4E3F5"/>
          </w:tcPr>
          <w:p>
            <w:pPr>
              <w:pStyle w:val="TableParagraph"/>
              <w:ind w:left="88" w:right="48"/>
              <w:rPr>
                <w:sz w:val="14"/>
              </w:rPr>
            </w:pPr>
            <w:r>
              <w:rPr>
                <w:color w:val="231F20"/>
                <w:spacing w:val="-5"/>
                <w:w w:val="95"/>
                <w:sz w:val="14"/>
              </w:rPr>
              <w:t>4.5</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2" w:right="65"/>
              <w:rPr>
                <w:sz w:val="14"/>
              </w:rPr>
            </w:pPr>
            <w:r>
              <w:rPr>
                <w:color w:val="231F20"/>
                <w:spacing w:val="-5"/>
                <w:w w:val="95"/>
                <w:sz w:val="14"/>
              </w:rPr>
              <w:t>4.1</w:t>
            </w:r>
          </w:p>
        </w:tc>
        <w:tc>
          <w:tcPr>
            <w:tcW w:w="1058" w:type="dxa"/>
            <w:shd w:val="clear" w:color="auto" w:fill="D4E3F5"/>
          </w:tcPr>
          <w:p>
            <w:pPr>
              <w:pStyle w:val="TableParagraph"/>
              <w:ind w:left="67" w:right="29"/>
              <w:rPr>
                <w:sz w:val="14"/>
              </w:rPr>
            </w:pPr>
            <w:r>
              <w:rPr>
                <w:color w:val="231F20"/>
                <w:spacing w:val="-5"/>
                <w:w w:val="95"/>
                <w:sz w:val="14"/>
              </w:rPr>
              <w:t>3.2</w:t>
            </w:r>
          </w:p>
        </w:tc>
        <w:tc>
          <w:tcPr>
            <w:tcW w:w="948" w:type="dxa"/>
            <w:shd w:val="clear" w:color="auto" w:fill="D4E3F5"/>
          </w:tcPr>
          <w:p>
            <w:pPr>
              <w:pStyle w:val="TableParagraph"/>
              <w:ind w:left="93" w:right="60"/>
              <w:rPr>
                <w:sz w:val="14"/>
              </w:rPr>
            </w:pPr>
            <w:r>
              <w:rPr>
                <w:color w:val="231F20"/>
                <w:spacing w:val="-5"/>
                <w:w w:val="95"/>
                <w:sz w:val="14"/>
              </w:rPr>
              <w:t>1.9</w:t>
            </w:r>
          </w:p>
        </w:tc>
        <w:tc>
          <w:tcPr>
            <w:tcW w:w="1007" w:type="dxa"/>
            <w:shd w:val="clear" w:color="auto" w:fill="D4E3F5"/>
          </w:tcPr>
          <w:p>
            <w:pPr>
              <w:pStyle w:val="TableParagraph"/>
              <w:ind w:right="382"/>
              <w:jc w:val="right"/>
              <w:rPr>
                <w:sz w:val="14"/>
              </w:rPr>
            </w:pPr>
            <w:r>
              <w:rPr>
                <w:color w:val="231F20"/>
                <w:spacing w:val="-5"/>
                <w:w w:val="95"/>
                <w:sz w:val="14"/>
              </w:rPr>
              <w:t>4.5</w:t>
            </w:r>
          </w:p>
        </w:tc>
      </w:tr>
      <w:tr>
        <w:trPr>
          <w:trHeight w:val="259" w:hRule="atLeast"/>
        </w:trPr>
        <w:tc>
          <w:tcPr>
            <w:tcW w:w="1263" w:type="dxa"/>
          </w:tcPr>
          <w:p>
            <w:pPr>
              <w:pStyle w:val="TableParagraph"/>
              <w:ind w:left="80"/>
              <w:jc w:val="left"/>
              <w:rPr>
                <w:sz w:val="14"/>
              </w:rPr>
            </w:pPr>
            <w:r>
              <w:rPr>
                <w:color w:val="231F20"/>
                <w:spacing w:val="-2"/>
                <w:w w:val="85"/>
                <w:sz w:val="14"/>
              </w:rPr>
              <w:t>China</w:t>
            </w:r>
          </w:p>
        </w:tc>
        <w:tc>
          <w:tcPr>
            <w:tcW w:w="1198" w:type="dxa"/>
          </w:tcPr>
          <w:p>
            <w:pPr>
              <w:pStyle w:val="TableParagraph"/>
              <w:ind w:right="435"/>
              <w:jc w:val="right"/>
              <w:rPr>
                <w:sz w:val="14"/>
              </w:rPr>
            </w:pPr>
            <w:r>
              <w:rPr>
                <w:color w:val="231F20"/>
                <w:spacing w:val="-2"/>
                <w:w w:val="95"/>
                <w:sz w:val="14"/>
              </w:rPr>
              <w:t>87,910</w:t>
            </w:r>
          </w:p>
        </w:tc>
        <w:tc>
          <w:tcPr>
            <w:tcW w:w="851" w:type="dxa"/>
          </w:tcPr>
          <w:p>
            <w:pPr>
              <w:pStyle w:val="TableParagraph"/>
              <w:ind w:left="82" w:right="136"/>
              <w:rPr>
                <w:sz w:val="14"/>
              </w:rPr>
            </w:pPr>
            <w:r>
              <w:rPr>
                <w:color w:val="231F20"/>
                <w:spacing w:val="-5"/>
                <w:w w:val="95"/>
                <w:sz w:val="14"/>
              </w:rPr>
              <w:t>5.5</w:t>
            </w:r>
          </w:p>
        </w:tc>
        <w:tc>
          <w:tcPr>
            <w:tcW w:w="1059" w:type="dxa"/>
          </w:tcPr>
          <w:p>
            <w:pPr>
              <w:pStyle w:val="TableParagraph"/>
              <w:ind w:left="61" w:right="39"/>
              <w:rPr>
                <w:sz w:val="14"/>
              </w:rPr>
            </w:pPr>
            <w:r>
              <w:rPr>
                <w:color w:val="231F20"/>
                <w:spacing w:val="-5"/>
                <w:w w:val="95"/>
                <w:sz w:val="14"/>
              </w:rPr>
              <w:t>3.7</w:t>
            </w:r>
          </w:p>
        </w:tc>
        <w:tc>
          <w:tcPr>
            <w:tcW w:w="1083" w:type="dxa"/>
          </w:tcPr>
          <w:p>
            <w:pPr>
              <w:pStyle w:val="TableParagraph"/>
              <w:ind w:left="403"/>
              <w:jc w:val="left"/>
              <w:rPr>
                <w:sz w:val="14"/>
              </w:rPr>
            </w:pPr>
            <w:r>
              <w:rPr>
                <w:color w:val="231F20"/>
                <w:spacing w:val="-5"/>
                <w:w w:val="95"/>
                <w:sz w:val="14"/>
              </w:rPr>
              <w:t>1.9</w:t>
            </w:r>
          </w:p>
        </w:tc>
        <w:tc>
          <w:tcPr>
            <w:tcW w:w="754" w:type="dxa"/>
          </w:tcPr>
          <w:p>
            <w:pPr>
              <w:pStyle w:val="TableParagraph"/>
              <w:ind w:left="86" w:right="48"/>
              <w:rPr>
                <w:sz w:val="14"/>
              </w:rPr>
            </w:pPr>
            <w:r>
              <w:rPr>
                <w:color w:val="231F20"/>
                <w:spacing w:val="-5"/>
                <w:w w:val="95"/>
                <w:sz w:val="14"/>
              </w:rPr>
              <w:t>6.6</w:t>
            </w:r>
          </w:p>
        </w:tc>
        <w:tc>
          <w:tcPr>
            <w:tcW w:w="239" w:type="dxa"/>
          </w:tcPr>
          <w:p>
            <w:pPr>
              <w:pStyle w:val="TableParagraph"/>
              <w:spacing w:before="0"/>
              <w:jc w:val="left"/>
              <w:rPr>
                <w:rFonts w:ascii="Times New Roman"/>
                <w:sz w:val="12"/>
              </w:rPr>
            </w:pPr>
          </w:p>
        </w:tc>
        <w:tc>
          <w:tcPr>
            <w:tcW w:w="850" w:type="dxa"/>
          </w:tcPr>
          <w:p>
            <w:pPr>
              <w:pStyle w:val="TableParagraph"/>
              <w:ind w:left="19" w:right="65"/>
              <w:rPr>
                <w:sz w:val="14"/>
              </w:rPr>
            </w:pPr>
            <w:r>
              <w:rPr>
                <w:color w:val="231F20"/>
                <w:spacing w:val="-5"/>
                <w:w w:val="95"/>
                <w:sz w:val="14"/>
              </w:rPr>
              <w:t>5.5</w:t>
            </w:r>
          </w:p>
        </w:tc>
        <w:tc>
          <w:tcPr>
            <w:tcW w:w="1058" w:type="dxa"/>
          </w:tcPr>
          <w:p>
            <w:pPr>
              <w:pStyle w:val="TableParagraph"/>
              <w:ind w:left="61" w:right="29"/>
              <w:rPr>
                <w:sz w:val="14"/>
              </w:rPr>
            </w:pPr>
            <w:r>
              <w:rPr>
                <w:color w:val="231F20"/>
                <w:spacing w:val="-5"/>
                <w:w w:val="95"/>
                <w:sz w:val="14"/>
              </w:rPr>
              <w:t>3.7</w:t>
            </w:r>
          </w:p>
        </w:tc>
        <w:tc>
          <w:tcPr>
            <w:tcW w:w="948" w:type="dxa"/>
          </w:tcPr>
          <w:p>
            <w:pPr>
              <w:pStyle w:val="TableParagraph"/>
              <w:ind w:left="93" w:right="60"/>
              <w:rPr>
                <w:sz w:val="14"/>
              </w:rPr>
            </w:pPr>
            <w:r>
              <w:rPr>
                <w:color w:val="231F20"/>
                <w:spacing w:val="-5"/>
                <w:w w:val="95"/>
                <w:sz w:val="14"/>
              </w:rPr>
              <w:t>1.9</w:t>
            </w:r>
          </w:p>
        </w:tc>
        <w:tc>
          <w:tcPr>
            <w:tcW w:w="1007" w:type="dxa"/>
          </w:tcPr>
          <w:p>
            <w:pPr>
              <w:pStyle w:val="TableParagraph"/>
              <w:ind w:right="382"/>
              <w:jc w:val="right"/>
              <w:rPr>
                <w:sz w:val="14"/>
              </w:rPr>
            </w:pPr>
            <w:r>
              <w:rPr>
                <w:color w:val="231F20"/>
                <w:spacing w:val="-5"/>
                <w:w w:val="95"/>
                <w:sz w:val="14"/>
              </w:rPr>
              <w:t>6.6</w:t>
            </w:r>
          </w:p>
        </w:tc>
      </w:tr>
      <w:tr>
        <w:trPr>
          <w:trHeight w:val="259" w:hRule="atLeast"/>
        </w:trPr>
        <w:tc>
          <w:tcPr>
            <w:tcW w:w="1263" w:type="dxa"/>
            <w:shd w:val="clear" w:color="auto" w:fill="D4E3F5"/>
          </w:tcPr>
          <w:p>
            <w:pPr>
              <w:pStyle w:val="TableParagraph"/>
              <w:ind w:left="80"/>
              <w:jc w:val="left"/>
              <w:rPr>
                <w:sz w:val="14"/>
              </w:rPr>
            </w:pPr>
            <w:r>
              <w:rPr>
                <w:color w:val="231F20"/>
                <w:spacing w:val="-2"/>
                <w:w w:val="90"/>
                <w:sz w:val="14"/>
              </w:rPr>
              <w:t>Colombia</w:t>
            </w:r>
          </w:p>
        </w:tc>
        <w:tc>
          <w:tcPr>
            <w:tcW w:w="1198" w:type="dxa"/>
            <w:shd w:val="clear" w:color="auto" w:fill="D4E3F5"/>
          </w:tcPr>
          <w:p>
            <w:pPr>
              <w:pStyle w:val="TableParagraph"/>
              <w:ind w:right="435"/>
              <w:jc w:val="right"/>
              <w:rPr>
                <w:sz w:val="14"/>
              </w:rPr>
            </w:pPr>
            <w:r>
              <w:rPr>
                <w:color w:val="231F20"/>
                <w:spacing w:val="-2"/>
                <w:w w:val="95"/>
                <w:sz w:val="14"/>
              </w:rPr>
              <w:t>21,401</w:t>
            </w:r>
          </w:p>
        </w:tc>
        <w:tc>
          <w:tcPr>
            <w:tcW w:w="851" w:type="dxa"/>
            <w:shd w:val="clear" w:color="auto" w:fill="D4E3F5"/>
          </w:tcPr>
          <w:p>
            <w:pPr>
              <w:pStyle w:val="TableParagraph"/>
              <w:ind w:left="84" w:right="136"/>
              <w:rPr>
                <w:sz w:val="14"/>
              </w:rPr>
            </w:pPr>
            <w:r>
              <w:rPr>
                <w:color w:val="231F20"/>
                <w:spacing w:val="-5"/>
                <w:w w:val="95"/>
                <w:sz w:val="14"/>
              </w:rPr>
              <w:t>8.8</w:t>
            </w:r>
          </w:p>
        </w:tc>
        <w:tc>
          <w:tcPr>
            <w:tcW w:w="1059" w:type="dxa"/>
            <w:shd w:val="clear" w:color="auto" w:fill="D4E3F5"/>
          </w:tcPr>
          <w:p>
            <w:pPr>
              <w:pStyle w:val="TableParagraph"/>
              <w:ind w:left="81" w:right="39"/>
              <w:rPr>
                <w:sz w:val="14"/>
              </w:rPr>
            </w:pPr>
            <w:r>
              <w:rPr>
                <w:color w:val="231F20"/>
                <w:spacing w:val="-5"/>
                <w:w w:val="95"/>
                <w:sz w:val="14"/>
              </w:rPr>
              <w:t>7.2</w:t>
            </w:r>
          </w:p>
        </w:tc>
        <w:tc>
          <w:tcPr>
            <w:tcW w:w="1083" w:type="dxa"/>
            <w:shd w:val="clear" w:color="auto" w:fill="D4E3F5"/>
          </w:tcPr>
          <w:p>
            <w:pPr>
              <w:pStyle w:val="TableParagraph"/>
              <w:ind w:left="396"/>
              <w:jc w:val="left"/>
              <w:rPr>
                <w:sz w:val="14"/>
              </w:rPr>
            </w:pPr>
            <w:r>
              <w:rPr>
                <w:color w:val="231F20"/>
                <w:spacing w:val="-5"/>
                <w:w w:val="95"/>
                <w:sz w:val="14"/>
              </w:rPr>
              <w:t>5.1</w:t>
            </w:r>
          </w:p>
        </w:tc>
        <w:tc>
          <w:tcPr>
            <w:tcW w:w="754" w:type="dxa"/>
            <w:shd w:val="clear" w:color="auto" w:fill="D4E3F5"/>
          </w:tcPr>
          <w:p>
            <w:pPr>
              <w:pStyle w:val="TableParagraph"/>
              <w:ind w:left="40" w:right="61"/>
              <w:rPr>
                <w:sz w:val="14"/>
              </w:rPr>
            </w:pPr>
            <w:r>
              <w:rPr>
                <w:color w:val="231F20"/>
                <w:spacing w:val="-4"/>
                <w:w w:val="95"/>
                <w:sz w:val="14"/>
              </w:rPr>
              <w:t>10.2</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20" w:right="65"/>
              <w:rPr>
                <w:sz w:val="14"/>
              </w:rPr>
            </w:pPr>
            <w:r>
              <w:rPr>
                <w:color w:val="231F20"/>
                <w:spacing w:val="-5"/>
                <w:w w:val="95"/>
                <w:sz w:val="14"/>
              </w:rPr>
              <w:t>8.8</w:t>
            </w:r>
          </w:p>
        </w:tc>
        <w:tc>
          <w:tcPr>
            <w:tcW w:w="1058" w:type="dxa"/>
            <w:shd w:val="clear" w:color="auto" w:fill="D4E3F5"/>
          </w:tcPr>
          <w:p>
            <w:pPr>
              <w:pStyle w:val="TableParagraph"/>
              <w:ind w:left="81" w:right="29"/>
              <w:rPr>
                <w:sz w:val="14"/>
              </w:rPr>
            </w:pPr>
            <w:r>
              <w:rPr>
                <w:color w:val="231F20"/>
                <w:spacing w:val="-5"/>
                <w:w w:val="95"/>
                <w:sz w:val="14"/>
              </w:rPr>
              <w:t>7.2</w:t>
            </w:r>
          </w:p>
        </w:tc>
        <w:tc>
          <w:tcPr>
            <w:tcW w:w="948" w:type="dxa"/>
            <w:shd w:val="clear" w:color="auto" w:fill="D4E3F5"/>
          </w:tcPr>
          <w:p>
            <w:pPr>
              <w:pStyle w:val="TableParagraph"/>
              <w:ind w:left="68" w:right="60"/>
              <w:rPr>
                <w:sz w:val="14"/>
              </w:rPr>
            </w:pPr>
            <w:r>
              <w:rPr>
                <w:color w:val="231F20"/>
                <w:spacing w:val="-5"/>
                <w:w w:val="95"/>
                <w:sz w:val="14"/>
              </w:rPr>
              <w:t>5.1</w:t>
            </w:r>
          </w:p>
        </w:tc>
        <w:tc>
          <w:tcPr>
            <w:tcW w:w="1007" w:type="dxa"/>
            <w:shd w:val="clear" w:color="auto" w:fill="D4E3F5"/>
          </w:tcPr>
          <w:p>
            <w:pPr>
              <w:pStyle w:val="TableParagraph"/>
              <w:ind w:right="381"/>
              <w:jc w:val="right"/>
              <w:rPr>
                <w:sz w:val="14"/>
              </w:rPr>
            </w:pPr>
            <w:r>
              <w:rPr>
                <w:color w:val="231F20"/>
                <w:spacing w:val="-4"/>
                <w:w w:val="95"/>
                <w:sz w:val="14"/>
              </w:rPr>
              <w:t>10.2</w:t>
            </w:r>
          </w:p>
        </w:tc>
      </w:tr>
      <w:tr>
        <w:trPr>
          <w:trHeight w:val="259" w:hRule="atLeast"/>
        </w:trPr>
        <w:tc>
          <w:tcPr>
            <w:tcW w:w="1263" w:type="dxa"/>
          </w:tcPr>
          <w:p>
            <w:pPr>
              <w:pStyle w:val="TableParagraph"/>
              <w:ind w:left="80"/>
              <w:jc w:val="left"/>
              <w:rPr>
                <w:sz w:val="14"/>
              </w:rPr>
            </w:pPr>
            <w:r>
              <w:rPr>
                <w:color w:val="231F20"/>
                <w:w w:val="75"/>
                <w:sz w:val="14"/>
              </w:rPr>
              <w:t>Congo,</w:t>
            </w:r>
            <w:r>
              <w:rPr>
                <w:color w:val="231F20"/>
                <w:spacing w:val="9"/>
                <w:sz w:val="14"/>
              </w:rPr>
              <w:t> </w:t>
            </w:r>
            <w:r>
              <w:rPr>
                <w:color w:val="231F20"/>
                <w:w w:val="75"/>
                <w:sz w:val="14"/>
              </w:rPr>
              <w:t>Dem.</w:t>
            </w:r>
            <w:r>
              <w:rPr>
                <w:color w:val="231F20"/>
                <w:spacing w:val="10"/>
                <w:sz w:val="14"/>
              </w:rPr>
              <w:t> </w:t>
            </w:r>
            <w:r>
              <w:rPr>
                <w:color w:val="231F20"/>
                <w:spacing w:val="-4"/>
                <w:w w:val="75"/>
                <w:sz w:val="14"/>
              </w:rPr>
              <w:t>Rep.</w:t>
            </w:r>
          </w:p>
        </w:tc>
        <w:tc>
          <w:tcPr>
            <w:tcW w:w="1198" w:type="dxa"/>
          </w:tcPr>
          <w:p>
            <w:pPr>
              <w:pStyle w:val="TableParagraph"/>
              <w:ind w:right="434"/>
              <w:jc w:val="right"/>
              <w:rPr>
                <w:sz w:val="14"/>
              </w:rPr>
            </w:pPr>
            <w:r>
              <w:rPr>
                <w:color w:val="231F20"/>
                <w:spacing w:val="-2"/>
                <w:w w:val="95"/>
                <w:sz w:val="14"/>
              </w:rPr>
              <w:t>6,198</w:t>
            </w:r>
          </w:p>
        </w:tc>
        <w:tc>
          <w:tcPr>
            <w:tcW w:w="851" w:type="dxa"/>
          </w:tcPr>
          <w:p>
            <w:pPr>
              <w:pStyle w:val="TableParagraph"/>
              <w:ind w:right="136"/>
              <w:rPr>
                <w:sz w:val="14"/>
              </w:rPr>
            </w:pPr>
            <w:r>
              <w:rPr>
                <w:color w:val="231F20"/>
                <w:spacing w:val="-4"/>
                <w:w w:val="95"/>
                <w:sz w:val="14"/>
              </w:rPr>
              <w:t>18.1</w:t>
            </w:r>
          </w:p>
        </w:tc>
        <w:tc>
          <w:tcPr>
            <w:tcW w:w="1059" w:type="dxa"/>
          </w:tcPr>
          <w:p>
            <w:pPr>
              <w:pStyle w:val="TableParagraph"/>
              <w:ind w:left="42" w:right="76"/>
              <w:rPr>
                <w:sz w:val="14"/>
              </w:rPr>
            </w:pPr>
            <w:r>
              <w:rPr>
                <w:color w:val="231F20"/>
                <w:spacing w:val="-4"/>
                <w:w w:val="95"/>
                <w:sz w:val="14"/>
              </w:rPr>
              <w:t>14.7</w:t>
            </w:r>
          </w:p>
        </w:tc>
        <w:tc>
          <w:tcPr>
            <w:tcW w:w="1083" w:type="dxa"/>
          </w:tcPr>
          <w:p>
            <w:pPr>
              <w:pStyle w:val="TableParagraph"/>
              <w:ind w:left="396"/>
              <w:jc w:val="left"/>
              <w:rPr>
                <w:sz w:val="14"/>
              </w:rPr>
            </w:pPr>
            <w:r>
              <w:rPr>
                <w:color w:val="231F20"/>
                <w:spacing w:val="-5"/>
                <w:w w:val="95"/>
                <w:sz w:val="14"/>
              </w:rPr>
              <w:t>9.9</w:t>
            </w:r>
          </w:p>
        </w:tc>
        <w:tc>
          <w:tcPr>
            <w:tcW w:w="754" w:type="dxa"/>
          </w:tcPr>
          <w:p>
            <w:pPr>
              <w:pStyle w:val="TableParagraph"/>
              <w:ind w:left="40" w:right="88"/>
              <w:rPr>
                <w:sz w:val="14"/>
              </w:rPr>
            </w:pPr>
            <w:r>
              <w:rPr>
                <w:color w:val="231F20"/>
                <w:spacing w:val="-4"/>
                <w:w w:val="95"/>
                <w:sz w:val="14"/>
              </w:rPr>
              <w:t>22.1</w:t>
            </w:r>
          </w:p>
        </w:tc>
        <w:tc>
          <w:tcPr>
            <w:tcW w:w="239" w:type="dxa"/>
          </w:tcPr>
          <w:p>
            <w:pPr>
              <w:pStyle w:val="TableParagraph"/>
              <w:spacing w:before="0"/>
              <w:jc w:val="left"/>
              <w:rPr>
                <w:rFonts w:ascii="Times New Roman"/>
                <w:sz w:val="12"/>
              </w:rPr>
            </w:pPr>
          </w:p>
        </w:tc>
        <w:tc>
          <w:tcPr>
            <w:tcW w:w="850" w:type="dxa"/>
          </w:tcPr>
          <w:p>
            <w:pPr>
              <w:pStyle w:val="TableParagraph"/>
              <w:ind w:left="265"/>
              <w:jc w:val="left"/>
              <w:rPr>
                <w:sz w:val="14"/>
              </w:rPr>
            </w:pPr>
            <w:r>
              <w:rPr>
                <w:color w:val="231F20"/>
                <w:spacing w:val="-4"/>
                <w:w w:val="95"/>
                <w:sz w:val="14"/>
              </w:rPr>
              <w:t>17.5</w:t>
            </w:r>
          </w:p>
        </w:tc>
        <w:tc>
          <w:tcPr>
            <w:tcW w:w="1058" w:type="dxa"/>
          </w:tcPr>
          <w:p>
            <w:pPr>
              <w:pStyle w:val="TableParagraph"/>
              <w:ind w:left="52" w:right="73"/>
              <w:rPr>
                <w:sz w:val="14"/>
              </w:rPr>
            </w:pPr>
            <w:r>
              <w:rPr>
                <w:color w:val="231F20"/>
                <w:spacing w:val="-4"/>
                <w:w w:val="95"/>
                <w:sz w:val="14"/>
              </w:rPr>
              <w:t>14.6</w:t>
            </w:r>
          </w:p>
        </w:tc>
        <w:tc>
          <w:tcPr>
            <w:tcW w:w="948" w:type="dxa"/>
          </w:tcPr>
          <w:p>
            <w:pPr>
              <w:pStyle w:val="TableParagraph"/>
              <w:ind w:left="87" w:right="60"/>
              <w:rPr>
                <w:sz w:val="14"/>
              </w:rPr>
            </w:pPr>
            <w:r>
              <w:rPr>
                <w:color w:val="231F20"/>
                <w:spacing w:val="-5"/>
                <w:w w:val="95"/>
                <w:sz w:val="14"/>
              </w:rPr>
              <w:t>9.9</w:t>
            </w:r>
          </w:p>
        </w:tc>
        <w:tc>
          <w:tcPr>
            <w:tcW w:w="1007" w:type="dxa"/>
          </w:tcPr>
          <w:p>
            <w:pPr>
              <w:pStyle w:val="TableParagraph"/>
              <w:ind w:right="382"/>
              <w:jc w:val="right"/>
              <w:rPr>
                <w:sz w:val="14"/>
              </w:rPr>
            </w:pPr>
            <w:r>
              <w:rPr>
                <w:color w:val="231F20"/>
                <w:spacing w:val="-4"/>
                <w:w w:val="95"/>
                <w:sz w:val="14"/>
              </w:rPr>
              <w:t>22.0</w:t>
            </w:r>
          </w:p>
        </w:tc>
      </w:tr>
      <w:tr>
        <w:trPr>
          <w:trHeight w:val="259" w:hRule="atLeast"/>
        </w:trPr>
        <w:tc>
          <w:tcPr>
            <w:tcW w:w="1263" w:type="dxa"/>
            <w:shd w:val="clear" w:color="auto" w:fill="D4E3F5"/>
          </w:tcPr>
          <w:p>
            <w:pPr>
              <w:pStyle w:val="TableParagraph"/>
              <w:ind w:left="80"/>
              <w:jc w:val="left"/>
              <w:rPr>
                <w:sz w:val="14"/>
              </w:rPr>
            </w:pPr>
            <w:r>
              <w:rPr>
                <w:color w:val="231F20"/>
                <w:w w:val="75"/>
                <w:sz w:val="14"/>
              </w:rPr>
              <w:t>Congo,</w:t>
            </w:r>
            <w:r>
              <w:rPr>
                <w:color w:val="231F20"/>
                <w:spacing w:val="10"/>
                <w:sz w:val="14"/>
              </w:rPr>
              <w:t> </w:t>
            </w:r>
            <w:r>
              <w:rPr>
                <w:color w:val="231F20"/>
                <w:spacing w:val="-4"/>
                <w:w w:val="90"/>
                <w:sz w:val="14"/>
              </w:rPr>
              <w:t>Rep.</w:t>
            </w:r>
          </w:p>
        </w:tc>
        <w:tc>
          <w:tcPr>
            <w:tcW w:w="1198" w:type="dxa"/>
            <w:shd w:val="clear" w:color="auto" w:fill="D4E3F5"/>
          </w:tcPr>
          <w:p>
            <w:pPr>
              <w:pStyle w:val="TableParagraph"/>
              <w:ind w:right="435"/>
              <w:jc w:val="right"/>
              <w:rPr>
                <w:sz w:val="14"/>
              </w:rPr>
            </w:pPr>
            <w:r>
              <w:rPr>
                <w:color w:val="231F20"/>
                <w:spacing w:val="-2"/>
                <w:w w:val="95"/>
                <w:sz w:val="14"/>
              </w:rPr>
              <w:t>3,436</w:t>
            </w:r>
          </w:p>
        </w:tc>
        <w:tc>
          <w:tcPr>
            <w:tcW w:w="851" w:type="dxa"/>
            <w:shd w:val="clear" w:color="auto" w:fill="D4E3F5"/>
          </w:tcPr>
          <w:p>
            <w:pPr>
              <w:pStyle w:val="TableParagraph"/>
              <w:ind w:left="82" w:right="136"/>
              <w:rPr>
                <w:sz w:val="14"/>
              </w:rPr>
            </w:pPr>
            <w:r>
              <w:rPr>
                <w:color w:val="231F20"/>
                <w:spacing w:val="-5"/>
                <w:w w:val="95"/>
                <w:sz w:val="14"/>
              </w:rPr>
              <w:t>9.6</w:t>
            </w:r>
          </w:p>
        </w:tc>
        <w:tc>
          <w:tcPr>
            <w:tcW w:w="1059" w:type="dxa"/>
            <w:shd w:val="clear" w:color="auto" w:fill="D4E3F5"/>
          </w:tcPr>
          <w:p>
            <w:pPr>
              <w:pStyle w:val="TableParagraph"/>
              <w:ind w:left="67" w:right="39"/>
              <w:rPr>
                <w:sz w:val="14"/>
              </w:rPr>
            </w:pPr>
            <w:r>
              <w:rPr>
                <w:color w:val="231F20"/>
                <w:spacing w:val="-5"/>
                <w:w w:val="95"/>
                <w:sz w:val="14"/>
              </w:rPr>
              <w:t>6.6</w:t>
            </w:r>
          </w:p>
        </w:tc>
        <w:tc>
          <w:tcPr>
            <w:tcW w:w="1083" w:type="dxa"/>
            <w:shd w:val="clear" w:color="auto" w:fill="D4E3F5"/>
          </w:tcPr>
          <w:p>
            <w:pPr>
              <w:pStyle w:val="TableParagraph"/>
              <w:ind w:left="395"/>
              <w:jc w:val="left"/>
              <w:rPr>
                <w:sz w:val="14"/>
              </w:rPr>
            </w:pPr>
            <w:r>
              <w:rPr>
                <w:color w:val="231F20"/>
                <w:spacing w:val="-5"/>
                <w:w w:val="95"/>
                <w:sz w:val="14"/>
              </w:rPr>
              <w:t>3.8</w:t>
            </w:r>
          </w:p>
        </w:tc>
        <w:tc>
          <w:tcPr>
            <w:tcW w:w="754" w:type="dxa"/>
            <w:shd w:val="clear" w:color="auto" w:fill="D4E3F5"/>
          </w:tcPr>
          <w:p>
            <w:pPr>
              <w:pStyle w:val="TableParagraph"/>
              <w:ind w:left="40" w:right="52"/>
              <w:rPr>
                <w:sz w:val="14"/>
              </w:rPr>
            </w:pPr>
            <w:r>
              <w:rPr>
                <w:color w:val="231F20"/>
                <w:spacing w:val="-4"/>
                <w:w w:val="95"/>
                <w:sz w:val="14"/>
              </w:rPr>
              <w:t>11.9</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20" w:right="65"/>
              <w:rPr>
                <w:sz w:val="14"/>
              </w:rPr>
            </w:pPr>
            <w:r>
              <w:rPr>
                <w:color w:val="231F20"/>
                <w:spacing w:val="-5"/>
                <w:w w:val="95"/>
                <w:sz w:val="14"/>
              </w:rPr>
              <w:t>9.3</w:t>
            </w:r>
          </w:p>
        </w:tc>
        <w:tc>
          <w:tcPr>
            <w:tcW w:w="1058" w:type="dxa"/>
            <w:shd w:val="clear" w:color="auto" w:fill="D4E3F5"/>
          </w:tcPr>
          <w:p>
            <w:pPr>
              <w:pStyle w:val="TableParagraph"/>
              <w:ind w:left="68" w:right="29"/>
              <w:rPr>
                <w:sz w:val="14"/>
              </w:rPr>
            </w:pPr>
            <w:r>
              <w:rPr>
                <w:color w:val="231F20"/>
                <w:spacing w:val="-5"/>
                <w:w w:val="95"/>
                <w:sz w:val="14"/>
              </w:rPr>
              <w:t>6.2</w:t>
            </w:r>
          </w:p>
        </w:tc>
        <w:tc>
          <w:tcPr>
            <w:tcW w:w="948" w:type="dxa"/>
            <w:shd w:val="clear" w:color="auto" w:fill="D4E3F5"/>
          </w:tcPr>
          <w:p>
            <w:pPr>
              <w:pStyle w:val="TableParagraph"/>
              <w:ind w:left="81" w:right="60"/>
              <w:rPr>
                <w:sz w:val="14"/>
              </w:rPr>
            </w:pPr>
            <w:r>
              <w:rPr>
                <w:color w:val="231F20"/>
                <w:spacing w:val="-5"/>
                <w:w w:val="95"/>
                <w:sz w:val="14"/>
              </w:rPr>
              <w:t>3.7</w:t>
            </w:r>
          </w:p>
        </w:tc>
        <w:tc>
          <w:tcPr>
            <w:tcW w:w="1007" w:type="dxa"/>
            <w:shd w:val="clear" w:color="auto" w:fill="D4E3F5"/>
          </w:tcPr>
          <w:p>
            <w:pPr>
              <w:pStyle w:val="TableParagraph"/>
              <w:ind w:right="386"/>
              <w:jc w:val="right"/>
              <w:rPr>
                <w:sz w:val="14"/>
              </w:rPr>
            </w:pPr>
            <w:r>
              <w:rPr>
                <w:color w:val="231F20"/>
                <w:spacing w:val="-4"/>
                <w:w w:val="95"/>
                <w:sz w:val="14"/>
              </w:rPr>
              <w:t>11.7</w:t>
            </w:r>
          </w:p>
        </w:tc>
      </w:tr>
      <w:tr>
        <w:trPr>
          <w:trHeight w:val="259" w:hRule="atLeast"/>
        </w:trPr>
        <w:tc>
          <w:tcPr>
            <w:tcW w:w="1263" w:type="dxa"/>
          </w:tcPr>
          <w:p>
            <w:pPr>
              <w:pStyle w:val="TableParagraph"/>
              <w:ind w:left="80"/>
              <w:jc w:val="left"/>
              <w:rPr>
                <w:sz w:val="14"/>
              </w:rPr>
            </w:pPr>
            <w:r>
              <w:rPr>
                <w:color w:val="231F20"/>
                <w:w w:val="75"/>
                <w:sz w:val="14"/>
              </w:rPr>
              <w:t>Costa</w:t>
            </w:r>
            <w:r>
              <w:rPr>
                <w:color w:val="231F20"/>
                <w:spacing w:val="9"/>
                <w:sz w:val="14"/>
              </w:rPr>
              <w:t> </w:t>
            </w:r>
            <w:r>
              <w:rPr>
                <w:color w:val="231F20"/>
                <w:spacing w:val="-4"/>
                <w:w w:val="85"/>
                <w:sz w:val="14"/>
              </w:rPr>
              <w:t>Rica</w:t>
            </w:r>
          </w:p>
        </w:tc>
        <w:tc>
          <w:tcPr>
            <w:tcW w:w="1198" w:type="dxa"/>
          </w:tcPr>
          <w:p>
            <w:pPr>
              <w:pStyle w:val="TableParagraph"/>
              <w:ind w:right="430"/>
              <w:jc w:val="right"/>
              <w:rPr>
                <w:sz w:val="14"/>
              </w:rPr>
            </w:pPr>
            <w:r>
              <w:rPr>
                <w:color w:val="231F20"/>
                <w:spacing w:val="-2"/>
                <w:w w:val="95"/>
                <w:sz w:val="14"/>
              </w:rPr>
              <w:t>9,353</w:t>
            </w:r>
          </w:p>
        </w:tc>
        <w:tc>
          <w:tcPr>
            <w:tcW w:w="851" w:type="dxa"/>
          </w:tcPr>
          <w:p>
            <w:pPr>
              <w:pStyle w:val="TableParagraph"/>
              <w:ind w:left="94" w:right="136"/>
              <w:rPr>
                <w:sz w:val="14"/>
              </w:rPr>
            </w:pPr>
            <w:r>
              <w:rPr>
                <w:color w:val="231F20"/>
                <w:spacing w:val="-5"/>
                <w:w w:val="95"/>
                <w:sz w:val="14"/>
              </w:rPr>
              <w:t>7.6</w:t>
            </w:r>
          </w:p>
        </w:tc>
        <w:tc>
          <w:tcPr>
            <w:tcW w:w="1059" w:type="dxa"/>
          </w:tcPr>
          <w:p>
            <w:pPr>
              <w:pStyle w:val="TableParagraph"/>
              <w:ind w:left="48" w:right="39"/>
              <w:rPr>
                <w:sz w:val="14"/>
              </w:rPr>
            </w:pPr>
            <w:r>
              <w:rPr>
                <w:color w:val="231F20"/>
                <w:spacing w:val="-5"/>
                <w:w w:val="95"/>
                <w:sz w:val="14"/>
              </w:rPr>
              <w:t>6.1</w:t>
            </w:r>
          </w:p>
        </w:tc>
        <w:tc>
          <w:tcPr>
            <w:tcW w:w="1083" w:type="dxa"/>
          </w:tcPr>
          <w:p>
            <w:pPr>
              <w:pStyle w:val="TableParagraph"/>
              <w:ind w:left="395"/>
              <w:jc w:val="left"/>
              <w:rPr>
                <w:sz w:val="14"/>
              </w:rPr>
            </w:pPr>
            <w:r>
              <w:rPr>
                <w:color w:val="231F20"/>
                <w:spacing w:val="-5"/>
                <w:w w:val="95"/>
                <w:sz w:val="14"/>
              </w:rPr>
              <w:t>3.1</w:t>
            </w:r>
          </w:p>
        </w:tc>
        <w:tc>
          <w:tcPr>
            <w:tcW w:w="754" w:type="dxa"/>
          </w:tcPr>
          <w:p>
            <w:pPr>
              <w:pStyle w:val="TableParagraph"/>
              <w:ind w:left="85" w:right="48"/>
              <w:rPr>
                <w:sz w:val="14"/>
              </w:rPr>
            </w:pPr>
            <w:r>
              <w:rPr>
                <w:color w:val="231F20"/>
                <w:spacing w:val="-5"/>
                <w:w w:val="95"/>
                <w:sz w:val="14"/>
              </w:rPr>
              <w:t>9.4</w:t>
            </w:r>
          </w:p>
        </w:tc>
        <w:tc>
          <w:tcPr>
            <w:tcW w:w="239" w:type="dxa"/>
          </w:tcPr>
          <w:p>
            <w:pPr>
              <w:pStyle w:val="TableParagraph"/>
              <w:spacing w:before="0"/>
              <w:jc w:val="left"/>
              <w:rPr>
                <w:rFonts w:ascii="Times New Roman"/>
                <w:sz w:val="12"/>
              </w:rPr>
            </w:pPr>
          </w:p>
        </w:tc>
        <w:tc>
          <w:tcPr>
            <w:tcW w:w="850" w:type="dxa"/>
          </w:tcPr>
          <w:p>
            <w:pPr>
              <w:pStyle w:val="TableParagraph"/>
              <w:ind w:left="17" w:right="65"/>
              <w:rPr>
                <w:sz w:val="14"/>
              </w:rPr>
            </w:pPr>
            <w:r>
              <w:rPr>
                <w:color w:val="231F20"/>
                <w:spacing w:val="-5"/>
                <w:w w:val="95"/>
                <w:sz w:val="14"/>
              </w:rPr>
              <w:t>5.4</w:t>
            </w:r>
          </w:p>
        </w:tc>
        <w:tc>
          <w:tcPr>
            <w:tcW w:w="1058" w:type="dxa"/>
          </w:tcPr>
          <w:p>
            <w:pPr>
              <w:pStyle w:val="TableParagraph"/>
              <w:ind w:left="64" w:right="29"/>
              <w:rPr>
                <w:sz w:val="14"/>
              </w:rPr>
            </w:pPr>
            <w:r>
              <w:rPr>
                <w:color w:val="231F20"/>
                <w:spacing w:val="-5"/>
                <w:w w:val="95"/>
                <w:sz w:val="14"/>
              </w:rPr>
              <w:t>3.4</w:t>
            </w:r>
          </w:p>
        </w:tc>
        <w:tc>
          <w:tcPr>
            <w:tcW w:w="948" w:type="dxa"/>
          </w:tcPr>
          <w:p>
            <w:pPr>
              <w:pStyle w:val="TableParagraph"/>
              <w:ind w:left="93" w:right="60"/>
              <w:rPr>
                <w:sz w:val="14"/>
              </w:rPr>
            </w:pPr>
            <w:r>
              <w:rPr>
                <w:color w:val="231F20"/>
                <w:spacing w:val="-5"/>
                <w:w w:val="95"/>
                <w:sz w:val="14"/>
              </w:rPr>
              <w:t>1.9</w:t>
            </w:r>
          </w:p>
        </w:tc>
        <w:tc>
          <w:tcPr>
            <w:tcW w:w="1007" w:type="dxa"/>
          </w:tcPr>
          <w:p>
            <w:pPr>
              <w:pStyle w:val="TableParagraph"/>
              <w:ind w:right="382"/>
              <w:jc w:val="right"/>
              <w:rPr>
                <w:sz w:val="14"/>
              </w:rPr>
            </w:pPr>
            <w:r>
              <w:rPr>
                <w:color w:val="231F20"/>
                <w:spacing w:val="-5"/>
                <w:w w:val="95"/>
                <w:sz w:val="14"/>
              </w:rPr>
              <w:t>6.6</w:t>
            </w:r>
          </w:p>
        </w:tc>
      </w:tr>
      <w:tr>
        <w:trPr>
          <w:trHeight w:val="259" w:hRule="atLeast"/>
        </w:trPr>
        <w:tc>
          <w:tcPr>
            <w:tcW w:w="1263" w:type="dxa"/>
            <w:shd w:val="clear" w:color="auto" w:fill="D4E3F5"/>
          </w:tcPr>
          <w:p>
            <w:pPr>
              <w:pStyle w:val="TableParagraph"/>
              <w:ind w:left="80"/>
              <w:jc w:val="left"/>
              <w:rPr>
                <w:sz w:val="14"/>
              </w:rPr>
            </w:pPr>
            <w:r>
              <w:rPr>
                <w:color w:val="231F20"/>
                <w:w w:val="75"/>
                <w:sz w:val="14"/>
              </w:rPr>
              <w:t>Côte</w:t>
            </w:r>
            <w:r>
              <w:rPr>
                <w:color w:val="231F20"/>
                <w:spacing w:val="1"/>
                <w:sz w:val="14"/>
              </w:rPr>
              <w:t> </w:t>
            </w:r>
            <w:r>
              <w:rPr>
                <w:color w:val="231F20"/>
                <w:spacing w:val="-2"/>
                <w:w w:val="85"/>
                <w:sz w:val="14"/>
              </w:rPr>
              <w:t>d’Ivoire</w:t>
            </w:r>
          </w:p>
        </w:tc>
        <w:tc>
          <w:tcPr>
            <w:tcW w:w="1198" w:type="dxa"/>
            <w:shd w:val="clear" w:color="auto" w:fill="D4E3F5"/>
          </w:tcPr>
          <w:p>
            <w:pPr>
              <w:pStyle w:val="TableParagraph"/>
              <w:ind w:right="435"/>
              <w:jc w:val="right"/>
              <w:rPr>
                <w:sz w:val="14"/>
              </w:rPr>
            </w:pPr>
            <w:r>
              <w:rPr>
                <w:color w:val="231F20"/>
                <w:spacing w:val="-2"/>
                <w:w w:val="95"/>
                <w:sz w:val="14"/>
              </w:rPr>
              <w:t>7,004</w:t>
            </w:r>
          </w:p>
        </w:tc>
        <w:tc>
          <w:tcPr>
            <w:tcW w:w="851" w:type="dxa"/>
            <w:shd w:val="clear" w:color="auto" w:fill="D4E3F5"/>
          </w:tcPr>
          <w:p>
            <w:pPr>
              <w:pStyle w:val="TableParagraph"/>
              <w:ind w:left="19" w:right="136"/>
              <w:rPr>
                <w:sz w:val="14"/>
              </w:rPr>
            </w:pPr>
            <w:r>
              <w:rPr>
                <w:color w:val="231F20"/>
                <w:spacing w:val="-4"/>
                <w:w w:val="95"/>
                <w:sz w:val="14"/>
              </w:rPr>
              <w:t>10.8</w:t>
            </w:r>
          </w:p>
        </w:tc>
        <w:tc>
          <w:tcPr>
            <w:tcW w:w="1059" w:type="dxa"/>
            <w:shd w:val="clear" w:color="auto" w:fill="D4E3F5"/>
          </w:tcPr>
          <w:p>
            <w:pPr>
              <w:pStyle w:val="TableParagraph"/>
              <w:ind w:left="80" w:right="39"/>
              <w:rPr>
                <w:sz w:val="14"/>
              </w:rPr>
            </w:pPr>
            <w:r>
              <w:rPr>
                <w:color w:val="231F20"/>
                <w:spacing w:val="-5"/>
                <w:w w:val="95"/>
                <w:sz w:val="14"/>
              </w:rPr>
              <w:t>7.9</w:t>
            </w:r>
          </w:p>
        </w:tc>
        <w:tc>
          <w:tcPr>
            <w:tcW w:w="1083" w:type="dxa"/>
            <w:shd w:val="clear" w:color="auto" w:fill="D4E3F5"/>
          </w:tcPr>
          <w:p>
            <w:pPr>
              <w:pStyle w:val="TableParagraph"/>
              <w:ind w:left="397"/>
              <w:jc w:val="left"/>
              <w:rPr>
                <w:sz w:val="14"/>
              </w:rPr>
            </w:pPr>
            <w:r>
              <w:rPr>
                <w:color w:val="231F20"/>
                <w:spacing w:val="-5"/>
                <w:w w:val="95"/>
                <w:sz w:val="14"/>
              </w:rPr>
              <w:t>4.6</w:t>
            </w:r>
          </w:p>
        </w:tc>
        <w:tc>
          <w:tcPr>
            <w:tcW w:w="754" w:type="dxa"/>
            <w:shd w:val="clear" w:color="auto" w:fill="D4E3F5"/>
          </w:tcPr>
          <w:p>
            <w:pPr>
              <w:pStyle w:val="TableParagraph"/>
              <w:ind w:left="40" w:right="59"/>
              <w:rPr>
                <w:sz w:val="14"/>
              </w:rPr>
            </w:pPr>
            <w:r>
              <w:rPr>
                <w:color w:val="231F20"/>
                <w:spacing w:val="-4"/>
                <w:w w:val="95"/>
                <w:sz w:val="14"/>
              </w:rPr>
              <w:t>13.3</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251"/>
              <w:jc w:val="left"/>
              <w:rPr>
                <w:sz w:val="14"/>
              </w:rPr>
            </w:pPr>
            <w:r>
              <w:rPr>
                <w:color w:val="231F20"/>
                <w:spacing w:val="-4"/>
                <w:w w:val="95"/>
                <w:sz w:val="14"/>
              </w:rPr>
              <w:t>10.7</w:t>
            </w:r>
          </w:p>
        </w:tc>
        <w:tc>
          <w:tcPr>
            <w:tcW w:w="1058" w:type="dxa"/>
            <w:shd w:val="clear" w:color="auto" w:fill="D4E3F5"/>
          </w:tcPr>
          <w:p>
            <w:pPr>
              <w:pStyle w:val="TableParagraph"/>
              <w:ind w:left="79" w:right="29"/>
              <w:rPr>
                <w:sz w:val="14"/>
              </w:rPr>
            </w:pPr>
            <w:r>
              <w:rPr>
                <w:color w:val="231F20"/>
                <w:spacing w:val="-5"/>
                <w:w w:val="95"/>
                <w:sz w:val="14"/>
              </w:rPr>
              <w:t>7.9</w:t>
            </w:r>
          </w:p>
        </w:tc>
        <w:tc>
          <w:tcPr>
            <w:tcW w:w="948" w:type="dxa"/>
            <w:shd w:val="clear" w:color="auto" w:fill="D4E3F5"/>
          </w:tcPr>
          <w:p>
            <w:pPr>
              <w:pStyle w:val="TableParagraph"/>
              <w:ind w:left="85" w:right="60"/>
              <w:rPr>
                <w:sz w:val="14"/>
              </w:rPr>
            </w:pPr>
            <w:r>
              <w:rPr>
                <w:color w:val="231F20"/>
                <w:spacing w:val="-5"/>
                <w:w w:val="95"/>
                <w:sz w:val="14"/>
              </w:rPr>
              <w:t>4.4</w:t>
            </w:r>
          </w:p>
        </w:tc>
        <w:tc>
          <w:tcPr>
            <w:tcW w:w="1007" w:type="dxa"/>
            <w:shd w:val="clear" w:color="auto" w:fill="D4E3F5"/>
          </w:tcPr>
          <w:p>
            <w:pPr>
              <w:pStyle w:val="TableParagraph"/>
              <w:ind w:right="379"/>
              <w:jc w:val="right"/>
              <w:rPr>
                <w:sz w:val="14"/>
              </w:rPr>
            </w:pPr>
            <w:r>
              <w:rPr>
                <w:color w:val="231F20"/>
                <w:spacing w:val="-4"/>
                <w:w w:val="95"/>
                <w:sz w:val="14"/>
              </w:rPr>
              <w:t>13.3</w:t>
            </w:r>
          </w:p>
        </w:tc>
      </w:tr>
      <w:tr>
        <w:trPr>
          <w:trHeight w:val="259" w:hRule="atLeast"/>
        </w:trPr>
        <w:tc>
          <w:tcPr>
            <w:tcW w:w="1263" w:type="dxa"/>
          </w:tcPr>
          <w:p>
            <w:pPr>
              <w:pStyle w:val="TableParagraph"/>
              <w:ind w:left="80"/>
              <w:jc w:val="left"/>
              <w:rPr>
                <w:sz w:val="14"/>
              </w:rPr>
            </w:pPr>
            <w:r>
              <w:rPr>
                <w:color w:val="231F20"/>
                <w:spacing w:val="-2"/>
                <w:w w:val="90"/>
                <w:sz w:val="14"/>
              </w:rPr>
              <w:t>Croatia</w:t>
            </w:r>
          </w:p>
        </w:tc>
        <w:tc>
          <w:tcPr>
            <w:tcW w:w="1198" w:type="dxa"/>
          </w:tcPr>
          <w:p>
            <w:pPr>
              <w:pStyle w:val="TableParagraph"/>
              <w:ind w:right="434"/>
              <w:jc w:val="right"/>
              <w:rPr>
                <w:sz w:val="14"/>
              </w:rPr>
            </w:pPr>
            <w:r>
              <w:rPr>
                <w:color w:val="231F20"/>
                <w:spacing w:val="-2"/>
                <w:w w:val="95"/>
                <w:sz w:val="14"/>
              </w:rPr>
              <w:t>3,879</w:t>
            </w:r>
          </w:p>
        </w:tc>
        <w:tc>
          <w:tcPr>
            <w:tcW w:w="851" w:type="dxa"/>
          </w:tcPr>
          <w:p>
            <w:pPr>
              <w:pStyle w:val="TableParagraph"/>
              <w:ind w:left="85" w:right="136"/>
              <w:rPr>
                <w:sz w:val="14"/>
              </w:rPr>
            </w:pPr>
            <w:r>
              <w:rPr>
                <w:color w:val="231F20"/>
                <w:spacing w:val="-5"/>
                <w:w w:val="95"/>
                <w:sz w:val="14"/>
              </w:rPr>
              <w:t>7.1</w:t>
            </w:r>
          </w:p>
        </w:tc>
        <w:tc>
          <w:tcPr>
            <w:tcW w:w="1059" w:type="dxa"/>
          </w:tcPr>
          <w:p>
            <w:pPr>
              <w:pStyle w:val="TableParagraph"/>
              <w:ind w:left="66" w:right="39"/>
              <w:rPr>
                <w:sz w:val="14"/>
              </w:rPr>
            </w:pPr>
            <w:r>
              <w:rPr>
                <w:color w:val="231F20"/>
                <w:spacing w:val="-5"/>
                <w:w w:val="95"/>
                <w:sz w:val="14"/>
              </w:rPr>
              <w:t>4.4</w:t>
            </w:r>
          </w:p>
        </w:tc>
        <w:tc>
          <w:tcPr>
            <w:tcW w:w="1083" w:type="dxa"/>
          </w:tcPr>
          <w:p>
            <w:pPr>
              <w:pStyle w:val="TableParagraph"/>
              <w:ind w:left="396"/>
              <w:jc w:val="left"/>
              <w:rPr>
                <w:sz w:val="14"/>
              </w:rPr>
            </w:pPr>
            <w:r>
              <w:rPr>
                <w:color w:val="231F20"/>
                <w:spacing w:val="-5"/>
                <w:w w:val="95"/>
                <w:sz w:val="14"/>
              </w:rPr>
              <w:t>2.9</w:t>
            </w:r>
          </w:p>
        </w:tc>
        <w:tc>
          <w:tcPr>
            <w:tcW w:w="754" w:type="dxa"/>
          </w:tcPr>
          <w:p>
            <w:pPr>
              <w:pStyle w:val="TableParagraph"/>
              <w:ind w:left="86" w:right="48"/>
              <w:rPr>
                <w:sz w:val="14"/>
              </w:rPr>
            </w:pPr>
            <w:r>
              <w:rPr>
                <w:color w:val="231F20"/>
                <w:spacing w:val="-5"/>
                <w:w w:val="95"/>
                <w:sz w:val="14"/>
              </w:rPr>
              <w:t>8.6</w:t>
            </w:r>
          </w:p>
        </w:tc>
        <w:tc>
          <w:tcPr>
            <w:tcW w:w="239" w:type="dxa"/>
          </w:tcPr>
          <w:p>
            <w:pPr>
              <w:pStyle w:val="TableParagraph"/>
              <w:spacing w:before="0"/>
              <w:jc w:val="left"/>
              <w:rPr>
                <w:rFonts w:ascii="Times New Roman"/>
                <w:sz w:val="12"/>
              </w:rPr>
            </w:pPr>
          </w:p>
        </w:tc>
        <w:tc>
          <w:tcPr>
            <w:tcW w:w="850" w:type="dxa"/>
          </w:tcPr>
          <w:p>
            <w:pPr>
              <w:pStyle w:val="TableParagraph"/>
              <w:ind w:left="19" w:right="65"/>
              <w:rPr>
                <w:sz w:val="14"/>
              </w:rPr>
            </w:pPr>
            <w:r>
              <w:rPr>
                <w:color w:val="231F20"/>
                <w:spacing w:val="-5"/>
                <w:w w:val="95"/>
                <w:sz w:val="14"/>
              </w:rPr>
              <w:t>6.6</w:t>
            </w:r>
          </w:p>
        </w:tc>
        <w:tc>
          <w:tcPr>
            <w:tcW w:w="1058" w:type="dxa"/>
          </w:tcPr>
          <w:p>
            <w:pPr>
              <w:pStyle w:val="TableParagraph"/>
              <w:ind w:left="68" w:right="29"/>
              <w:rPr>
                <w:sz w:val="14"/>
              </w:rPr>
            </w:pPr>
            <w:r>
              <w:rPr>
                <w:color w:val="231F20"/>
                <w:spacing w:val="-5"/>
                <w:w w:val="95"/>
                <w:sz w:val="14"/>
              </w:rPr>
              <w:t>4.3</w:t>
            </w:r>
          </w:p>
        </w:tc>
        <w:tc>
          <w:tcPr>
            <w:tcW w:w="948" w:type="dxa"/>
          </w:tcPr>
          <w:p>
            <w:pPr>
              <w:pStyle w:val="TableParagraph"/>
              <w:ind w:left="87" w:right="60"/>
              <w:rPr>
                <w:sz w:val="14"/>
              </w:rPr>
            </w:pPr>
            <w:r>
              <w:rPr>
                <w:color w:val="231F20"/>
                <w:spacing w:val="-5"/>
                <w:w w:val="95"/>
                <w:sz w:val="14"/>
              </w:rPr>
              <w:t>2.8</w:t>
            </w:r>
          </w:p>
        </w:tc>
        <w:tc>
          <w:tcPr>
            <w:tcW w:w="1007" w:type="dxa"/>
          </w:tcPr>
          <w:p>
            <w:pPr>
              <w:pStyle w:val="TableParagraph"/>
              <w:ind w:right="382"/>
              <w:jc w:val="right"/>
              <w:rPr>
                <w:sz w:val="14"/>
              </w:rPr>
            </w:pPr>
            <w:r>
              <w:rPr>
                <w:color w:val="231F20"/>
                <w:spacing w:val="-5"/>
                <w:w w:val="95"/>
                <w:sz w:val="14"/>
              </w:rPr>
              <w:t>7.9</w:t>
            </w:r>
          </w:p>
        </w:tc>
      </w:tr>
      <w:tr>
        <w:trPr>
          <w:trHeight w:val="259" w:hRule="atLeast"/>
        </w:trPr>
        <w:tc>
          <w:tcPr>
            <w:tcW w:w="1263" w:type="dxa"/>
            <w:shd w:val="clear" w:color="auto" w:fill="D4E3F5"/>
          </w:tcPr>
          <w:p>
            <w:pPr>
              <w:pStyle w:val="TableParagraph"/>
              <w:ind w:left="80"/>
              <w:jc w:val="left"/>
              <w:rPr>
                <w:sz w:val="14"/>
              </w:rPr>
            </w:pPr>
            <w:r>
              <w:rPr>
                <w:color w:val="231F20"/>
                <w:spacing w:val="-4"/>
                <w:w w:val="85"/>
                <w:sz w:val="14"/>
              </w:rPr>
              <w:t>Cuba</w:t>
            </w:r>
          </w:p>
        </w:tc>
        <w:tc>
          <w:tcPr>
            <w:tcW w:w="1198" w:type="dxa"/>
            <w:shd w:val="clear" w:color="auto" w:fill="D4E3F5"/>
          </w:tcPr>
          <w:p>
            <w:pPr>
              <w:pStyle w:val="TableParagraph"/>
              <w:ind w:right="437"/>
              <w:jc w:val="right"/>
              <w:rPr>
                <w:sz w:val="14"/>
              </w:rPr>
            </w:pPr>
            <w:r>
              <w:rPr>
                <w:color w:val="231F20"/>
                <w:spacing w:val="-5"/>
                <w:w w:val="95"/>
                <w:sz w:val="14"/>
              </w:rPr>
              <w:t>24</w:t>
            </w:r>
          </w:p>
        </w:tc>
        <w:tc>
          <w:tcPr>
            <w:tcW w:w="851" w:type="dxa"/>
            <w:shd w:val="clear" w:color="auto" w:fill="D4E3F5"/>
          </w:tcPr>
          <w:p>
            <w:pPr>
              <w:pStyle w:val="TableParagraph"/>
              <w:ind w:left="21" w:right="136"/>
              <w:rPr>
                <w:sz w:val="14"/>
              </w:rPr>
            </w:pPr>
            <w:r>
              <w:rPr>
                <w:color w:val="231F20"/>
                <w:spacing w:val="-4"/>
                <w:w w:val="95"/>
                <w:sz w:val="14"/>
              </w:rPr>
              <w:t>13.2</w:t>
            </w:r>
          </w:p>
        </w:tc>
        <w:tc>
          <w:tcPr>
            <w:tcW w:w="1059" w:type="dxa"/>
            <w:shd w:val="clear" w:color="auto" w:fill="D4E3F5"/>
          </w:tcPr>
          <w:p>
            <w:pPr>
              <w:pStyle w:val="TableParagraph"/>
              <w:ind w:left="42" w:right="73"/>
              <w:rPr>
                <w:sz w:val="14"/>
              </w:rPr>
            </w:pPr>
            <w:r>
              <w:rPr>
                <w:color w:val="231F20"/>
                <w:spacing w:val="-4"/>
                <w:w w:val="95"/>
                <w:sz w:val="14"/>
              </w:rPr>
              <w:t>13.2</w:t>
            </w:r>
          </w:p>
        </w:tc>
        <w:tc>
          <w:tcPr>
            <w:tcW w:w="1083" w:type="dxa"/>
            <w:shd w:val="clear" w:color="auto" w:fill="D4E3F5"/>
          </w:tcPr>
          <w:p>
            <w:pPr>
              <w:pStyle w:val="TableParagraph"/>
              <w:ind w:left="396"/>
              <w:jc w:val="left"/>
              <w:rPr>
                <w:sz w:val="14"/>
              </w:rPr>
            </w:pPr>
            <w:r>
              <w:rPr>
                <w:color w:val="231F20"/>
                <w:spacing w:val="-5"/>
                <w:w w:val="95"/>
                <w:sz w:val="14"/>
              </w:rPr>
              <w:t>5.8</w:t>
            </w:r>
          </w:p>
        </w:tc>
        <w:tc>
          <w:tcPr>
            <w:tcW w:w="754" w:type="dxa"/>
            <w:shd w:val="clear" w:color="auto" w:fill="D4E3F5"/>
          </w:tcPr>
          <w:p>
            <w:pPr>
              <w:pStyle w:val="TableParagraph"/>
              <w:ind w:left="40" w:right="61"/>
              <w:rPr>
                <w:sz w:val="14"/>
              </w:rPr>
            </w:pPr>
            <w:r>
              <w:rPr>
                <w:color w:val="231F20"/>
                <w:spacing w:val="-4"/>
                <w:w w:val="95"/>
                <w:sz w:val="14"/>
              </w:rPr>
              <w:t>19.5</w:t>
            </w:r>
          </w:p>
        </w:tc>
        <w:tc>
          <w:tcPr>
            <w:tcW w:w="239" w:type="dxa"/>
            <w:shd w:val="clear" w:color="auto" w:fill="D4E3F5"/>
          </w:tcPr>
          <w:p>
            <w:pPr>
              <w:pStyle w:val="TableParagraph"/>
              <w:spacing w:before="0"/>
              <w:jc w:val="left"/>
              <w:rPr>
                <w:rFonts w:ascii="Times New Roman"/>
                <w:sz w:val="12"/>
              </w:rPr>
            </w:pPr>
          </w:p>
        </w:tc>
        <w:tc>
          <w:tcPr>
            <w:tcW w:w="850" w:type="dxa"/>
            <w:shd w:val="clear" w:color="auto" w:fill="D4E3F5"/>
          </w:tcPr>
          <w:p>
            <w:pPr>
              <w:pStyle w:val="TableParagraph"/>
              <w:ind w:left="252"/>
              <w:jc w:val="left"/>
              <w:rPr>
                <w:sz w:val="14"/>
              </w:rPr>
            </w:pPr>
            <w:r>
              <w:rPr>
                <w:color w:val="231F20"/>
                <w:spacing w:val="-4"/>
                <w:w w:val="95"/>
                <w:sz w:val="14"/>
              </w:rPr>
              <w:t>13.2</w:t>
            </w:r>
          </w:p>
        </w:tc>
        <w:tc>
          <w:tcPr>
            <w:tcW w:w="1058" w:type="dxa"/>
            <w:shd w:val="clear" w:color="auto" w:fill="D4E3F5"/>
          </w:tcPr>
          <w:p>
            <w:pPr>
              <w:pStyle w:val="TableParagraph"/>
              <w:ind w:left="52" w:right="73"/>
              <w:rPr>
                <w:sz w:val="14"/>
              </w:rPr>
            </w:pPr>
            <w:r>
              <w:rPr>
                <w:color w:val="231F20"/>
                <w:spacing w:val="-4"/>
                <w:w w:val="95"/>
                <w:sz w:val="14"/>
              </w:rPr>
              <w:t>13.2</w:t>
            </w:r>
          </w:p>
        </w:tc>
        <w:tc>
          <w:tcPr>
            <w:tcW w:w="948" w:type="dxa"/>
            <w:shd w:val="clear" w:color="auto" w:fill="D4E3F5"/>
          </w:tcPr>
          <w:p>
            <w:pPr>
              <w:pStyle w:val="TableParagraph"/>
              <w:ind w:left="86" w:right="60"/>
              <w:rPr>
                <w:sz w:val="14"/>
              </w:rPr>
            </w:pPr>
            <w:r>
              <w:rPr>
                <w:color w:val="231F20"/>
                <w:spacing w:val="-5"/>
                <w:w w:val="95"/>
                <w:sz w:val="14"/>
              </w:rPr>
              <w:t>5.8</w:t>
            </w:r>
          </w:p>
        </w:tc>
        <w:tc>
          <w:tcPr>
            <w:tcW w:w="1007" w:type="dxa"/>
            <w:shd w:val="clear" w:color="auto" w:fill="D4E3F5"/>
          </w:tcPr>
          <w:p>
            <w:pPr>
              <w:pStyle w:val="TableParagraph"/>
              <w:ind w:right="382"/>
              <w:jc w:val="right"/>
              <w:rPr>
                <w:sz w:val="14"/>
              </w:rPr>
            </w:pPr>
            <w:r>
              <w:rPr>
                <w:color w:val="231F20"/>
                <w:spacing w:val="-4"/>
                <w:w w:val="95"/>
                <w:sz w:val="14"/>
              </w:rPr>
              <w:t>19.5</w:t>
            </w:r>
          </w:p>
        </w:tc>
      </w:tr>
      <w:tr>
        <w:trPr>
          <w:trHeight w:val="259" w:hRule="atLeast"/>
        </w:trPr>
        <w:tc>
          <w:tcPr>
            <w:tcW w:w="1263" w:type="dxa"/>
          </w:tcPr>
          <w:p>
            <w:pPr>
              <w:pStyle w:val="TableParagraph"/>
              <w:ind w:left="80"/>
              <w:jc w:val="left"/>
              <w:rPr>
                <w:sz w:val="14"/>
              </w:rPr>
            </w:pPr>
            <w:r>
              <w:rPr>
                <w:color w:val="231F20"/>
                <w:spacing w:val="-2"/>
                <w:w w:val="85"/>
                <w:sz w:val="14"/>
              </w:rPr>
              <w:t>Curaçao</w:t>
            </w:r>
          </w:p>
        </w:tc>
        <w:tc>
          <w:tcPr>
            <w:tcW w:w="1198" w:type="dxa"/>
          </w:tcPr>
          <w:p>
            <w:pPr>
              <w:pStyle w:val="TableParagraph"/>
              <w:ind w:right="430"/>
              <w:jc w:val="right"/>
              <w:rPr>
                <w:sz w:val="14"/>
              </w:rPr>
            </w:pPr>
            <w:r>
              <w:rPr>
                <w:color w:val="231F20"/>
                <w:spacing w:val="-5"/>
                <w:w w:val="95"/>
                <w:sz w:val="14"/>
              </w:rPr>
              <w:t>640</w:t>
            </w:r>
          </w:p>
        </w:tc>
        <w:tc>
          <w:tcPr>
            <w:tcW w:w="851" w:type="dxa"/>
          </w:tcPr>
          <w:p>
            <w:pPr>
              <w:pStyle w:val="TableParagraph"/>
              <w:ind w:left="95" w:right="136"/>
              <w:rPr>
                <w:sz w:val="14"/>
              </w:rPr>
            </w:pPr>
            <w:r>
              <w:rPr>
                <w:color w:val="231F20"/>
                <w:spacing w:val="-5"/>
                <w:w w:val="95"/>
                <w:sz w:val="14"/>
              </w:rPr>
              <w:t>7.3</w:t>
            </w:r>
          </w:p>
        </w:tc>
        <w:tc>
          <w:tcPr>
            <w:tcW w:w="1059" w:type="dxa"/>
          </w:tcPr>
          <w:p>
            <w:pPr>
              <w:pStyle w:val="TableParagraph"/>
              <w:ind w:left="79" w:right="39"/>
              <w:rPr>
                <w:sz w:val="14"/>
              </w:rPr>
            </w:pPr>
            <w:r>
              <w:rPr>
                <w:color w:val="231F20"/>
                <w:spacing w:val="-5"/>
                <w:w w:val="95"/>
                <w:sz w:val="14"/>
              </w:rPr>
              <w:t>7.0</w:t>
            </w:r>
          </w:p>
        </w:tc>
        <w:tc>
          <w:tcPr>
            <w:tcW w:w="1083" w:type="dxa"/>
          </w:tcPr>
          <w:p>
            <w:pPr>
              <w:pStyle w:val="TableParagraph"/>
              <w:ind w:left="395"/>
              <w:jc w:val="left"/>
              <w:rPr>
                <w:sz w:val="14"/>
              </w:rPr>
            </w:pPr>
            <w:r>
              <w:rPr>
                <w:color w:val="231F20"/>
                <w:spacing w:val="-5"/>
                <w:w w:val="95"/>
                <w:sz w:val="14"/>
              </w:rPr>
              <w:t>3.2</w:t>
            </w:r>
          </w:p>
        </w:tc>
        <w:tc>
          <w:tcPr>
            <w:tcW w:w="754" w:type="dxa"/>
          </w:tcPr>
          <w:p>
            <w:pPr>
              <w:pStyle w:val="TableParagraph"/>
              <w:ind w:left="40" w:right="64"/>
              <w:rPr>
                <w:sz w:val="14"/>
              </w:rPr>
            </w:pPr>
            <w:r>
              <w:rPr>
                <w:color w:val="231F20"/>
                <w:spacing w:val="-4"/>
                <w:w w:val="95"/>
                <w:sz w:val="14"/>
              </w:rPr>
              <w:t>10.4</w:t>
            </w:r>
          </w:p>
        </w:tc>
        <w:tc>
          <w:tcPr>
            <w:tcW w:w="239" w:type="dxa"/>
          </w:tcPr>
          <w:p>
            <w:pPr>
              <w:pStyle w:val="TableParagraph"/>
              <w:spacing w:before="0"/>
              <w:jc w:val="left"/>
              <w:rPr>
                <w:rFonts w:ascii="Times New Roman"/>
                <w:sz w:val="12"/>
              </w:rPr>
            </w:pPr>
          </w:p>
        </w:tc>
        <w:tc>
          <w:tcPr>
            <w:tcW w:w="850" w:type="dxa"/>
          </w:tcPr>
          <w:p>
            <w:pPr>
              <w:pStyle w:val="TableParagraph"/>
              <w:ind w:left="32" w:right="65"/>
              <w:rPr>
                <w:sz w:val="14"/>
              </w:rPr>
            </w:pPr>
            <w:r>
              <w:rPr>
                <w:color w:val="231F20"/>
                <w:spacing w:val="-5"/>
                <w:w w:val="95"/>
                <w:sz w:val="14"/>
              </w:rPr>
              <w:t>7.3</w:t>
            </w:r>
          </w:p>
        </w:tc>
        <w:tc>
          <w:tcPr>
            <w:tcW w:w="1058" w:type="dxa"/>
          </w:tcPr>
          <w:p>
            <w:pPr>
              <w:pStyle w:val="TableParagraph"/>
              <w:ind w:left="79" w:right="29"/>
              <w:rPr>
                <w:sz w:val="14"/>
              </w:rPr>
            </w:pPr>
            <w:r>
              <w:rPr>
                <w:color w:val="231F20"/>
                <w:spacing w:val="-5"/>
                <w:w w:val="95"/>
                <w:sz w:val="14"/>
              </w:rPr>
              <w:t>7.0</w:t>
            </w:r>
          </w:p>
        </w:tc>
        <w:tc>
          <w:tcPr>
            <w:tcW w:w="948" w:type="dxa"/>
          </w:tcPr>
          <w:p>
            <w:pPr>
              <w:pStyle w:val="TableParagraph"/>
              <w:ind w:left="87" w:right="60"/>
              <w:rPr>
                <w:sz w:val="14"/>
              </w:rPr>
            </w:pPr>
            <w:r>
              <w:rPr>
                <w:color w:val="231F20"/>
                <w:spacing w:val="-5"/>
                <w:w w:val="95"/>
                <w:sz w:val="14"/>
              </w:rPr>
              <w:t>3.2</w:t>
            </w:r>
          </w:p>
        </w:tc>
        <w:tc>
          <w:tcPr>
            <w:tcW w:w="1007" w:type="dxa"/>
          </w:tcPr>
          <w:p>
            <w:pPr>
              <w:pStyle w:val="TableParagraph"/>
              <w:ind w:right="384"/>
              <w:jc w:val="right"/>
              <w:rPr>
                <w:sz w:val="14"/>
              </w:rPr>
            </w:pPr>
            <w:r>
              <w:rPr>
                <w:color w:val="231F20"/>
                <w:spacing w:val="-4"/>
                <w:w w:val="95"/>
                <w:sz w:val="14"/>
              </w:rPr>
              <w:t>10.4</w:t>
            </w:r>
          </w:p>
        </w:tc>
      </w:tr>
      <w:tr>
        <w:trPr>
          <w:trHeight w:val="254" w:hRule="atLeast"/>
        </w:trPr>
        <w:tc>
          <w:tcPr>
            <w:tcW w:w="1263" w:type="dxa"/>
            <w:tcBorders>
              <w:bottom w:val="single" w:sz="4" w:space="0" w:color="008FDD"/>
            </w:tcBorders>
            <w:shd w:val="clear" w:color="auto" w:fill="D4E3F5"/>
          </w:tcPr>
          <w:p>
            <w:pPr>
              <w:pStyle w:val="TableParagraph"/>
              <w:ind w:left="80"/>
              <w:jc w:val="left"/>
              <w:rPr>
                <w:sz w:val="14"/>
              </w:rPr>
            </w:pPr>
            <w:r>
              <w:rPr>
                <w:color w:val="231F20"/>
                <w:spacing w:val="-2"/>
                <w:w w:val="85"/>
                <w:sz w:val="14"/>
              </w:rPr>
              <w:t>Cyprus</w:t>
            </w:r>
          </w:p>
        </w:tc>
        <w:tc>
          <w:tcPr>
            <w:tcW w:w="1198" w:type="dxa"/>
            <w:tcBorders>
              <w:bottom w:val="single" w:sz="4" w:space="0" w:color="008FDD"/>
            </w:tcBorders>
            <w:shd w:val="clear" w:color="auto" w:fill="D4E3F5"/>
          </w:tcPr>
          <w:p>
            <w:pPr>
              <w:pStyle w:val="TableParagraph"/>
              <w:ind w:right="434"/>
              <w:jc w:val="right"/>
              <w:rPr>
                <w:sz w:val="14"/>
              </w:rPr>
            </w:pPr>
            <w:r>
              <w:rPr>
                <w:color w:val="231F20"/>
                <w:spacing w:val="-2"/>
                <w:w w:val="95"/>
                <w:sz w:val="14"/>
              </w:rPr>
              <w:t>2,557</w:t>
            </w:r>
          </w:p>
        </w:tc>
        <w:tc>
          <w:tcPr>
            <w:tcW w:w="851" w:type="dxa"/>
            <w:tcBorders>
              <w:bottom w:val="single" w:sz="4" w:space="0" w:color="008FDD"/>
            </w:tcBorders>
            <w:shd w:val="clear" w:color="auto" w:fill="D4E3F5"/>
          </w:tcPr>
          <w:p>
            <w:pPr>
              <w:pStyle w:val="TableParagraph"/>
              <w:ind w:left="84" w:right="136"/>
              <w:rPr>
                <w:sz w:val="14"/>
              </w:rPr>
            </w:pPr>
            <w:r>
              <w:rPr>
                <w:color w:val="231F20"/>
                <w:spacing w:val="-5"/>
                <w:w w:val="95"/>
                <w:sz w:val="14"/>
              </w:rPr>
              <w:t>3.3</w:t>
            </w:r>
          </w:p>
        </w:tc>
        <w:tc>
          <w:tcPr>
            <w:tcW w:w="1059" w:type="dxa"/>
            <w:tcBorders>
              <w:bottom w:val="single" w:sz="4" w:space="0" w:color="008FDD"/>
            </w:tcBorders>
            <w:shd w:val="clear" w:color="auto" w:fill="D4E3F5"/>
          </w:tcPr>
          <w:p>
            <w:pPr>
              <w:pStyle w:val="TableParagraph"/>
              <w:ind w:left="74" w:right="39"/>
              <w:rPr>
                <w:sz w:val="14"/>
              </w:rPr>
            </w:pPr>
            <w:r>
              <w:rPr>
                <w:color w:val="231F20"/>
                <w:spacing w:val="-5"/>
                <w:w w:val="95"/>
                <w:sz w:val="14"/>
              </w:rPr>
              <w:t>1.8</w:t>
            </w:r>
          </w:p>
        </w:tc>
        <w:tc>
          <w:tcPr>
            <w:tcW w:w="1083" w:type="dxa"/>
            <w:tcBorders>
              <w:bottom w:val="single" w:sz="4" w:space="0" w:color="008FDD"/>
            </w:tcBorders>
            <w:shd w:val="clear" w:color="auto" w:fill="D4E3F5"/>
          </w:tcPr>
          <w:p>
            <w:pPr>
              <w:pStyle w:val="TableParagraph"/>
              <w:ind w:left="403"/>
              <w:jc w:val="left"/>
              <w:rPr>
                <w:sz w:val="14"/>
              </w:rPr>
            </w:pPr>
            <w:r>
              <w:rPr>
                <w:color w:val="231F20"/>
                <w:spacing w:val="-5"/>
                <w:w w:val="95"/>
                <w:sz w:val="14"/>
              </w:rPr>
              <w:t>1.0</w:t>
            </w:r>
          </w:p>
        </w:tc>
        <w:tc>
          <w:tcPr>
            <w:tcW w:w="754" w:type="dxa"/>
            <w:tcBorders>
              <w:bottom w:val="single" w:sz="4" w:space="0" w:color="008FDD"/>
            </w:tcBorders>
            <w:shd w:val="clear" w:color="auto" w:fill="D4E3F5"/>
          </w:tcPr>
          <w:p>
            <w:pPr>
              <w:pStyle w:val="TableParagraph"/>
              <w:ind w:left="85" w:right="48"/>
              <w:rPr>
                <w:sz w:val="14"/>
              </w:rPr>
            </w:pPr>
            <w:r>
              <w:rPr>
                <w:color w:val="231F20"/>
                <w:spacing w:val="-5"/>
                <w:w w:val="95"/>
                <w:sz w:val="14"/>
              </w:rPr>
              <w:t>4.4</w:t>
            </w:r>
          </w:p>
        </w:tc>
        <w:tc>
          <w:tcPr>
            <w:tcW w:w="239" w:type="dxa"/>
            <w:tcBorders>
              <w:bottom w:val="single" w:sz="4" w:space="0" w:color="008FDD"/>
            </w:tcBorders>
            <w:shd w:val="clear" w:color="auto" w:fill="D4E3F5"/>
          </w:tcPr>
          <w:p>
            <w:pPr>
              <w:pStyle w:val="TableParagraph"/>
              <w:spacing w:before="0"/>
              <w:jc w:val="left"/>
              <w:rPr>
                <w:rFonts w:ascii="Times New Roman"/>
                <w:sz w:val="12"/>
              </w:rPr>
            </w:pPr>
          </w:p>
        </w:tc>
        <w:tc>
          <w:tcPr>
            <w:tcW w:w="850" w:type="dxa"/>
            <w:tcBorders>
              <w:bottom w:val="single" w:sz="4" w:space="0" w:color="008FDD"/>
            </w:tcBorders>
            <w:shd w:val="clear" w:color="auto" w:fill="D4E3F5"/>
          </w:tcPr>
          <w:p>
            <w:pPr>
              <w:pStyle w:val="TableParagraph"/>
              <w:ind w:left="21" w:right="65"/>
              <w:rPr>
                <w:sz w:val="14"/>
              </w:rPr>
            </w:pPr>
            <w:r>
              <w:rPr>
                <w:color w:val="231F20"/>
                <w:spacing w:val="-5"/>
                <w:w w:val="95"/>
                <w:sz w:val="14"/>
              </w:rPr>
              <w:t>3.3</w:t>
            </w:r>
          </w:p>
        </w:tc>
        <w:tc>
          <w:tcPr>
            <w:tcW w:w="1058" w:type="dxa"/>
            <w:tcBorders>
              <w:bottom w:val="single" w:sz="4" w:space="0" w:color="008FDD"/>
            </w:tcBorders>
            <w:shd w:val="clear" w:color="auto" w:fill="D4E3F5"/>
          </w:tcPr>
          <w:p>
            <w:pPr>
              <w:pStyle w:val="TableParagraph"/>
              <w:ind w:left="74" w:right="29"/>
              <w:rPr>
                <w:sz w:val="14"/>
              </w:rPr>
            </w:pPr>
            <w:r>
              <w:rPr>
                <w:color w:val="231F20"/>
                <w:spacing w:val="-5"/>
                <w:w w:val="95"/>
                <w:sz w:val="14"/>
              </w:rPr>
              <w:t>1.8</w:t>
            </w:r>
          </w:p>
        </w:tc>
        <w:tc>
          <w:tcPr>
            <w:tcW w:w="948" w:type="dxa"/>
            <w:tcBorders>
              <w:bottom w:val="single" w:sz="4" w:space="0" w:color="008FDD"/>
            </w:tcBorders>
            <w:shd w:val="clear" w:color="auto" w:fill="D4E3F5"/>
          </w:tcPr>
          <w:p>
            <w:pPr>
              <w:pStyle w:val="TableParagraph"/>
              <w:ind w:left="92" w:right="60"/>
              <w:rPr>
                <w:sz w:val="14"/>
              </w:rPr>
            </w:pPr>
            <w:r>
              <w:rPr>
                <w:color w:val="231F20"/>
                <w:spacing w:val="-5"/>
                <w:w w:val="95"/>
                <w:sz w:val="14"/>
              </w:rPr>
              <w:t>1.0</w:t>
            </w:r>
          </w:p>
        </w:tc>
        <w:tc>
          <w:tcPr>
            <w:tcW w:w="1007" w:type="dxa"/>
            <w:tcBorders>
              <w:bottom w:val="single" w:sz="4" w:space="0" w:color="008FDD"/>
            </w:tcBorders>
            <w:shd w:val="clear" w:color="auto" w:fill="D4E3F5"/>
          </w:tcPr>
          <w:p>
            <w:pPr>
              <w:pStyle w:val="TableParagraph"/>
              <w:ind w:right="384"/>
              <w:jc w:val="right"/>
              <w:rPr>
                <w:sz w:val="14"/>
              </w:rPr>
            </w:pPr>
            <w:r>
              <w:rPr>
                <w:color w:val="231F20"/>
                <w:spacing w:val="-5"/>
                <w:w w:val="95"/>
                <w:sz w:val="14"/>
              </w:rPr>
              <w:t>4.4</w:t>
            </w:r>
          </w:p>
        </w:tc>
      </w:tr>
    </w:tbl>
    <w:p>
      <w:pPr>
        <w:spacing w:after="0"/>
        <w:jc w:val="right"/>
        <w:rPr>
          <w:sz w:val="14"/>
        </w:rPr>
        <w:sectPr>
          <w:pgSz w:w="12240" w:h="15840"/>
          <w:pgMar w:header="370" w:footer="548" w:top="560" w:bottom="740" w:left="0" w:right="540"/>
        </w:sectPr>
      </w:pPr>
    </w:p>
    <w:p>
      <w:pPr>
        <w:pStyle w:val="BodyText"/>
        <w:rPr>
          <w:rFonts w:ascii="Arial"/>
          <w:sz w:val="20"/>
        </w:rPr>
      </w:pPr>
    </w:p>
    <w:p>
      <w:pPr>
        <w:pStyle w:val="BodyText"/>
        <w:rPr>
          <w:rFonts w:ascii="Arial"/>
          <w:sz w:val="20"/>
        </w:rPr>
      </w:pPr>
    </w:p>
    <w:p>
      <w:pPr>
        <w:pStyle w:val="BodyText"/>
        <w:spacing w:before="101" w:after="1"/>
        <w:rPr>
          <w:rFonts w:ascii="Arial"/>
          <w:sz w:val="20"/>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8"/>
        <w:gridCol w:w="1103"/>
        <w:gridCol w:w="851"/>
        <w:gridCol w:w="1063"/>
        <w:gridCol w:w="1080"/>
        <w:gridCol w:w="755"/>
        <w:gridCol w:w="240"/>
        <w:gridCol w:w="851"/>
        <w:gridCol w:w="1073"/>
        <w:gridCol w:w="939"/>
        <w:gridCol w:w="1005"/>
      </w:tblGrid>
      <w:tr>
        <w:trPr>
          <w:trHeight w:val="213" w:hRule="atLeast"/>
        </w:trPr>
        <w:tc>
          <w:tcPr>
            <w:tcW w:w="1358" w:type="dxa"/>
          </w:tcPr>
          <w:p>
            <w:pPr>
              <w:pStyle w:val="TableParagraph"/>
              <w:spacing w:before="0"/>
              <w:jc w:val="left"/>
              <w:rPr>
                <w:rFonts w:ascii="Times New Roman"/>
                <w:sz w:val="12"/>
              </w:rPr>
            </w:pPr>
          </w:p>
        </w:tc>
        <w:tc>
          <w:tcPr>
            <w:tcW w:w="1103" w:type="dxa"/>
            <w:vMerge w:val="restart"/>
            <w:tcBorders>
              <w:bottom w:val="single" w:sz="4" w:space="0" w:color="008FDD"/>
            </w:tcBorders>
          </w:tcPr>
          <w:p>
            <w:pPr>
              <w:pStyle w:val="TableParagraph"/>
              <w:spacing w:before="103"/>
              <w:ind w:left="111" w:firstLine="74"/>
              <w:jc w:val="left"/>
              <w:rPr>
                <w:b/>
                <w:sz w:val="14"/>
              </w:rPr>
            </w:pPr>
            <w:r>
              <w:rPr>
                <w:b/>
                <w:color w:val="231F20"/>
                <w:w w:val="90"/>
                <w:sz w:val="14"/>
              </w:rPr>
              <w:t>Number</w:t>
            </w:r>
            <w:r>
              <w:rPr>
                <w:b/>
                <w:color w:val="231F20"/>
                <w:spacing w:val="-6"/>
                <w:w w:val="90"/>
                <w:sz w:val="14"/>
              </w:rPr>
              <w:t> </w:t>
            </w:r>
            <w:r>
              <w:rPr>
                <w:b/>
                <w:color w:val="231F20"/>
                <w:w w:val="90"/>
                <w:sz w:val="14"/>
              </w:rPr>
              <w:t>of</w:t>
            </w:r>
            <w:r>
              <w:rPr>
                <w:b/>
                <w:color w:val="231F20"/>
                <w:spacing w:val="40"/>
                <w:sz w:val="14"/>
              </w:rPr>
              <w:t> </w:t>
            </w:r>
            <w:r>
              <w:rPr>
                <w:b/>
                <w:color w:val="231F20"/>
                <w:spacing w:val="-2"/>
                <w:w w:val="80"/>
                <w:sz w:val="14"/>
              </w:rPr>
              <w:t>observations</w:t>
            </w:r>
          </w:p>
        </w:tc>
        <w:tc>
          <w:tcPr>
            <w:tcW w:w="851" w:type="dxa"/>
            <w:tcBorders>
              <w:bottom w:val="single" w:sz="4" w:space="0" w:color="008FDD"/>
            </w:tcBorders>
          </w:tcPr>
          <w:p>
            <w:pPr>
              <w:pStyle w:val="TableParagraph"/>
              <w:spacing w:before="0"/>
              <w:jc w:val="left"/>
              <w:rPr>
                <w:rFonts w:ascii="Times New Roman"/>
                <w:sz w:val="12"/>
              </w:rPr>
            </w:pPr>
          </w:p>
        </w:tc>
        <w:tc>
          <w:tcPr>
            <w:tcW w:w="2143" w:type="dxa"/>
            <w:gridSpan w:val="2"/>
            <w:tcBorders>
              <w:bottom w:val="single" w:sz="4" w:space="0" w:color="008FDD"/>
            </w:tcBorders>
          </w:tcPr>
          <w:p>
            <w:pPr>
              <w:pStyle w:val="TableParagraph"/>
              <w:spacing w:before="3"/>
              <w:ind w:left="141"/>
              <w:jc w:val="left"/>
              <w:rPr>
                <w:b/>
                <w:sz w:val="14"/>
              </w:rPr>
            </w:pPr>
            <w:r>
              <w:rPr>
                <w:b/>
                <w:color w:val="231F20"/>
                <w:w w:val="80"/>
                <w:sz w:val="14"/>
              </w:rPr>
              <w:t>Consolidated</w:t>
            </w:r>
            <w:r>
              <w:rPr>
                <w:b/>
                <w:color w:val="231F20"/>
                <w:spacing w:val="20"/>
                <w:sz w:val="14"/>
              </w:rPr>
              <w:t> </w:t>
            </w:r>
            <w:r>
              <w:rPr>
                <w:b/>
                <w:color w:val="231F20"/>
                <w:w w:val="80"/>
                <w:sz w:val="14"/>
              </w:rPr>
              <w:t>dwell</w:t>
            </w:r>
            <w:r>
              <w:rPr>
                <w:b/>
                <w:color w:val="231F20"/>
                <w:spacing w:val="21"/>
                <w:sz w:val="14"/>
              </w:rPr>
              <w:t> </w:t>
            </w:r>
            <w:r>
              <w:rPr>
                <w:b/>
                <w:color w:val="231F20"/>
                <w:w w:val="80"/>
                <w:sz w:val="14"/>
              </w:rPr>
              <w:t>time</w:t>
            </w:r>
            <w:r>
              <w:rPr>
                <w:b/>
                <w:color w:val="231F20"/>
                <w:spacing w:val="20"/>
                <w:sz w:val="14"/>
              </w:rPr>
              <w:t> </w:t>
            </w:r>
            <w:r>
              <w:rPr>
                <w:b/>
                <w:color w:val="231F20"/>
                <w:spacing w:val="-2"/>
                <w:w w:val="80"/>
                <w:sz w:val="14"/>
              </w:rPr>
              <w:t>(days)</w:t>
            </w:r>
          </w:p>
        </w:tc>
        <w:tc>
          <w:tcPr>
            <w:tcW w:w="755" w:type="dxa"/>
            <w:tcBorders>
              <w:bottom w:val="single" w:sz="4" w:space="0" w:color="008FDD"/>
            </w:tcBorders>
          </w:tcPr>
          <w:p>
            <w:pPr>
              <w:pStyle w:val="TableParagraph"/>
              <w:spacing w:before="0"/>
              <w:jc w:val="left"/>
              <w:rPr>
                <w:rFonts w:ascii="Times New Roman"/>
                <w:sz w:val="12"/>
              </w:rPr>
            </w:pPr>
          </w:p>
        </w:tc>
        <w:tc>
          <w:tcPr>
            <w:tcW w:w="240" w:type="dxa"/>
          </w:tcPr>
          <w:p>
            <w:pPr>
              <w:pStyle w:val="TableParagraph"/>
              <w:spacing w:before="0"/>
              <w:jc w:val="left"/>
              <w:rPr>
                <w:rFonts w:ascii="Times New Roman"/>
                <w:sz w:val="12"/>
              </w:rPr>
            </w:pPr>
          </w:p>
        </w:tc>
        <w:tc>
          <w:tcPr>
            <w:tcW w:w="851" w:type="dxa"/>
            <w:tcBorders>
              <w:bottom w:val="single" w:sz="4" w:space="0" w:color="008FDD"/>
            </w:tcBorders>
          </w:tcPr>
          <w:p>
            <w:pPr>
              <w:pStyle w:val="TableParagraph"/>
              <w:spacing w:before="0"/>
              <w:jc w:val="left"/>
              <w:rPr>
                <w:rFonts w:ascii="Times New Roman"/>
                <w:sz w:val="12"/>
              </w:rPr>
            </w:pPr>
          </w:p>
        </w:tc>
        <w:tc>
          <w:tcPr>
            <w:tcW w:w="2012" w:type="dxa"/>
            <w:gridSpan w:val="2"/>
            <w:tcBorders>
              <w:bottom w:val="single" w:sz="4" w:space="0" w:color="008FDD"/>
            </w:tcBorders>
          </w:tcPr>
          <w:p>
            <w:pPr>
              <w:pStyle w:val="TableParagraph"/>
              <w:spacing w:before="3"/>
              <w:ind w:left="398"/>
              <w:jc w:val="left"/>
              <w:rPr>
                <w:b/>
                <w:sz w:val="14"/>
              </w:rPr>
            </w:pPr>
            <w:r>
              <w:rPr>
                <w:b/>
                <w:color w:val="231F20"/>
                <w:w w:val="85"/>
                <w:sz w:val="14"/>
              </w:rPr>
              <w:t>Port</w:t>
            </w:r>
            <w:r>
              <w:rPr>
                <w:b/>
                <w:color w:val="231F20"/>
                <w:spacing w:val="-2"/>
                <w:sz w:val="14"/>
              </w:rPr>
              <w:t> </w:t>
            </w:r>
            <w:r>
              <w:rPr>
                <w:b/>
                <w:color w:val="231F20"/>
                <w:w w:val="85"/>
                <w:sz w:val="14"/>
              </w:rPr>
              <w:t>dwell</w:t>
            </w:r>
            <w:r>
              <w:rPr>
                <w:b/>
                <w:color w:val="231F20"/>
                <w:spacing w:val="-2"/>
                <w:sz w:val="14"/>
              </w:rPr>
              <w:t> </w:t>
            </w:r>
            <w:r>
              <w:rPr>
                <w:b/>
                <w:color w:val="231F20"/>
                <w:w w:val="85"/>
                <w:sz w:val="14"/>
              </w:rPr>
              <w:t>time</w:t>
            </w:r>
            <w:r>
              <w:rPr>
                <w:b/>
                <w:color w:val="231F20"/>
                <w:spacing w:val="-2"/>
                <w:sz w:val="14"/>
              </w:rPr>
              <w:t> </w:t>
            </w:r>
            <w:r>
              <w:rPr>
                <w:b/>
                <w:color w:val="231F20"/>
                <w:spacing w:val="-2"/>
                <w:w w:val="85"/>
                <w:sz w:val="14"/>
              </w:rPr>
              <w:t>(days)</w:t>
            </w:r>
          </w:p>
        </w:tc>
        <w:tc>
          <w:tcPr>
            <w:tcW w:w="1005" w:type="dxa"/>
            <w:tcBorders>
              <w:bottom w:val="single" w:sz="4" w:space="0" w:color="008FDD"/>
            </w:tcBorders>
          </w:tcPr>
          <w:p>
            <w:pPr>
              <w:pStyle w:val="TableParagraph"/>
              <w:spacing w:before="0"/>
              <w:jc w:val="left"/>
              <w:rPr>
                <w:rFonts w:ascii="Times New Roman"/>
                <w:sz w:val="12"/>
              </w:rPr>
            </w:pPr>
          </w:p>
        </w:tc>
      </w:tr>
      <w:tr>
        <w:trPr>
          <w:trHeight w:val="246" w:hRule="atLeast"/>
        </w:trPr>
        <w:tc>
          <w:tcPr>
            <w:tcW w:w="1358" w:type="dxa"/>
            <w:tcBorders>
              <w:bottom w:val="single" w:sz="4" w:space="0" w:color="008FDD"/>
            </w:tcBorders>
          </w:tcPr>
          <w:p>
            <w:pPr>
              <w:pStyle w:val="TableParagraph"/>
              <w:spacing w:before="40"/>
              <w:ind w:left="80"/>
              <w:jc w:val="left"/>
              <w:rPr>
                <w:b/>
                <w:sz w:val="14"/>
              </w:rPr>
            </w:pPr>
            <w:r>
              <w:rPr>
                <w:b/>
                <w:color w:val="231F20"/>
                <w:spacing w:val="-2"/>
                <w:w w:val="90"/>
                <w:sz w:val="14"/>
              </w:rPr>
              <w:t>Economy</w:t>
            </w:r>
          </w:p>
        </w:tc>
        <w:tc>
          <w:tcPr>
            <w:tcW w:w="1103" w:type="dxa"/>
            <w:vMerge/>
            <w:tcBorders>
              <w:top w:val="nil"/>
              <w:bottom w:val="single" w:sz="4" w:space="0" w:color="008FDD"/>
            </w:tcBorders>
          </w:tcPr>
          <w:p>
            <w:pPr>
              <w:rPr>
                <w:sz w:val="2"/>
                <w:szCs w:val="2"/>
              </w:rPr>
            </w:pPr>
          </w:p>
        </w:tc>
        <w:tc>
          <w:tcPr>
            <w:tcW w:w="851" w:type="dxa"/>
            <w:tcBorders>
              <w:top w:val="single" w:sz="4" w:space="0" w:color="008FDD"/>
              <w:bottom w:val="single" w:sz="4" w:space="0" w:color="008FDD"/>
            </w:tcBorders>
          </w:tcPr>
          <w:p>
            <w:pPr>
              <w:pStyle w:val="TableParagraph"/>
              <w:spacing w:before="40"/>
              <w:ind w:left="48" w:right="136"/>
              <w:rPr>
                <w:b/>
                <w:sz w:val="14"/>
              </w:rPr>
            </w:pPr>
            <w:r>
              <w:rPr>
                <w:b/>
                <w:color w:val="231F20"/>
                <w:spacing w:val="-4"/>
                <w:w w:val="95"/>
                <w:sz w:val="14"/>
              </w:rPr>
              <w:t>Mean</w:t>
            </w:r>
          </w:p>
        </w:tc>
        <w:tc>
          <w:tcPr>
            <w:tcW w:w="1063" w:type="dxa"/>
            <w:tcBorders>
              <w:top w:val="single" w:sz="4" w:space="0" w:color="008FDD"/>
              <w:bottom w:val="single" w:sz="4" w:space="0" w:color="008FDD"/>
            </w:tcBorders>
          </w:tcPr>
          <w:p>
            <w:pPr>
              <w:pStyle w:val="TableParagraph"/>
              <w:spacing w:before="40"/>
              <w:ind w:left="43" w:right="53"/>
              <w:rPr>
                <w:b/>
                <w:sz w:val="14"/>
              </w:rPr>
            </w:pPr>
            <w:r>
              <w:rPr>
                <w:b/>
                <w:color w:val="231F20"/>
                <w:spacing w:val="-2"/>
                <w:w w:val="95"/>
                <w:sz w:val="14"/>
              </w:rPr>
              <w:t>Median</w:t>
            </w:r>
          </w:p>
        </w:tc>
        <w:tc>
          <w:tcPr>
            <w:tcW w:w="1080" w:type="dxa"/>
            <w:tcBorders>
              <w:top w:val="single" w:sz="4" w:space="0" w:color="008FDD"/>
              <w:bottom w:val="single" w:sz="4" w:space="0" w:color="008FDD"/>
            </w:tcBorders>
          </w:tcPr>
          <w:p>
            <w:pPr>
              <w:pStyle w:val="TableParagraph"/>
              <w:spacing w:before="40"/>
              <w:ind w:left="348"/>
              <w:jc w:val="left"/>
              <w:rPr>
                <w:b/>
                <w:sz w:val="14"/>
              </w:rPr>
            </w:pPr>
            <w:r>
              <w:rPr>
                <w:b/>
                <w:color w:val="231F20"/>
                <w:spacing w:val="-5"/>
                <w:w w:val="90"/>
                <w:sz w:val="14"/>
              </w:rPr>
              <w:t>Q25</w:t>
            </w:r>
          </w:p>
        </w:tc>
        <w:tc>
          <w:tcPr>
            <w:tcW w:w="755" w:type="dxa"/>
            <w:tcBorders>
              <w:top w:val="single" w:sz="4" w:space="0" w:color="008FDD"/>
              <w:bottom w:val="single" w:sz="4" w:space="0" w:color="008FDD"/>
            </w:tcBorders>
          </w:tcPr>
          <w:p>
            <w:pPr>
              <w:pStyle w:val="TableParagraph"/>
              <w:spacing w:before="40"/>
              <w:ind w:left="50" w:right="51"/>
              <w:rPr>
                <w:b/>
                <w:sz w:val="14"/>
              </w:rPr>
            </w:pPr>
            <w:r>
              <w:rPr>
                <w:b/>
                <w:color w:val="231F20"/>
                <w:spacing w:val="-5"/>
                <w:w w:val="90"/>
                <w:sz w:val="14"/>
              </w:rPr>
              <w:t>Q75</w:t>
            </w:r>
          </w:p>
        </w:tc>
        <w:tc>
          <w:tcPr>
            <w:tcW w:w="240" w:type="dxa"/>
            <w:tcBorders>
              <w:bottom w:val="single" w:sz="4" w:space="0" w:color="008FDD"/>
            </w:tcBorders>
          </w:tcPr>
          <w:p>
            <w:pPr>
              <w:pStyle w:val="TableParagraph"/>
              <w:spacing w:before="0"/>
              <w:jc w:val="left"/>
              <w:rPr>
                <w:rFonts w:ascii="Times New Roman"/>
                <w:sz w:val="12"/>
              </w:rPr>
            </w:pPr>
          </w:p>
        </w:tc>
        <w:tc>
          <w:tcPr>
            <w:tcW w:w="851" w:type="dxa"/>
            <w:tcBorders>
              <w:top w:val="single" w:sz="4" w:space="0" w:color="008FDD"/>
              <w:bottom w:val="single" w:sz="4" w:space="0" w:color="008FDD"/>
            </w:tcBorders>
          </w:tcPr>
          <w:p>
            <w:pPr>
              <w:pStyle w:val="TableParagraph"/>
              <w:spacing w:before="40"/>
              <w:ind w:left="222"/>
              <w:jc w:val="left"/>
              <w:rPr>
                <w:b/>
                <w:sz w:val="14"/>
              </w:rPr>
            </w:pPr>
            <w:r>
              <w:rPr>
                <w:b/>
                <w:color w:val="231F20"/>
                <w:spacing w:val="-4"/>
                <w:w w:val="95"/>
                <w:sz w:val="14"/>
              </w:rPr>
              <w:t>Mean</w:t>
            </w:r>
          </w:p>
        </w:tc>
        <w:tc>
          <w:tcPr>
            <w:tcW w:w="1073" w:type="dxa"/>
            <w:tcBorders>
              <w:top w:val="single" w:sz="4" w:space="0" w:color="008FDD"/>
              <w:bottom w:val="single" w:sz="4" w:space="0" w:color="008FDD"/>
            </w:tcBorders>
          </w:tcPr>
          <w:p>
            <w:pPr>
              <w:pStyle w:val="TableParagraph"/>
              <w:spacing w:before="40"/>
              <w:ind w:left="44" w:right="63"/>
              <w:rPr>
                <w:b/>
                <w:sz w:val="14"/>
              </w:rPr>
            </w:pPr>
            <w:r>
              <w:rPr>
                <w:b/>
                <w:color w:val="231F20"/>
                <w:spacing w:val="-2"/>
                <w:w w:val="95"/>
                <w:sz w:val="14"/>
              </w:rPr>
              <w:t>Median</w:t>
            </w:r>
          </w:p>
        </w:tc>
        <w:tc>
          <w:tcPr>
            <w:tcW w:w="939" w:type="dxa"/>
            <w:tcBorders>
              <w:top w:val="single" w:sz="4" w:space="0" w:color="008FDD"/>
              <w:bottom w:val="single" w:sz="4" w:space="0" w:color="008FDD"/>
            </w:tcBorders>
          </w:tcPr>
          <w:p>
            <w:pPr>
              <w:pStyle w:val="TableParagraph"/>
              <w:spacing w:before="40"/>
              <w:ind w:left="12" w:right="44"/>
              <w:rPr>
                <w:b/>
                <w:sz w:val="14"/>
              </w:rPr>
            </w:pPr>
            <w:r>
              <w:rPr>
                <w:b/>
                <w:color w:val="231F20"/>
                <w:spacing w:val="-5"/>
                <w:w w:val="90"/>
                <w:sz w:val="14"/>
              </w:rPr>
              <w:t>Q25</w:t>
            </w:r>
          </w:p>
        </w:tc>
        <w:tc>
          <w:tcPr>
            <w:tcW w:w="1005" w:type="dxa"/>
            <w:tcBorders>
              <w:top w:val="single" w:sz="4" w:space="0" w:color="008FDD"/>
              <w:bottom w:val="single" w:sz="4" w:space="0" w:color="008FDD"/>
            </w:tcBorders>
          </w:tcPr>
          <w:p>
            <w:pPr>
              <w:pStyle w:val="TableParagraph"/>
              <w:spacing w:before="40"/>
              <w:ind w:right="385"/>
              <w:jc w:val="right"/>
              <w:rPr>
                <w:b/>
                <w:sz w:val="14"/>
              </w:rPr>
            </w:pPr>
            <w:r>
              <w:rPr>
                <w:b/>
                <w:color w:val="231F20"/>
                <w:spacing w:val="-5"/>
                <w:w w:val="90"/>
                <w:sz w:val="14"/>
              </w:rPr>
              <w:t>Q75</w:t>
            </w:r>
          </w:p>
        </w:tc>
      </w:tr>
      <w:tr>
        <w:trPr>
          <w:trHeight w:val="254" w:hRule="atLeast"/>
        </w:trPr>
        <w:tc>
          <w:tcPr>
            <w:tcW w:w="1358" w:type="dxa"/>
            <w:tcBorders>
              <w:top w:val="single" w:sz="4" w:space="0" w:color="008FDD"/>
            </w:tcBorders>
          </w:tcPr>
          <w:p>
            <w:pPr>
              <w:pStyle w:val="TableParagraph"/>
              <w:spacing w:before="43"/>
              <w:ind w:left="79"/>
              <w:jc w:val="left"/>
              <w:rPr>
                <w:sz w:val="14"/>
              </w:rPr>
            </w:pPr>
            <w:r>
              <w:rPr>
                <w:color w:val="231F20"/>
                <w:spacing w:val="-2"/>
                <w:w w:val="85"/>
                <w:sz w:val="14"/>
              </w:rPr>
              <w:t>Czechia</w:t>
            </w:r>
          </w:p>
        </w:tc>
        <w:tc>
          <w:tcPr>
            <w:tcW w:w="1103" w:type="dxa"/>
            <w:tcBorders>
              <w:top w:val="single" w:sz="4" w:space="0" w:color="008FDD"/>
            </w:tcBorders>
          </w:tcPr>
          <w:p>
            <w:pPr>
              <w:pStyle w:val="TableParagraph"/>
              <w:spacing w:before="43"/>
              <w:ind w:right="434"/>
              <w:jc w:val="right"/>
              <w:rPr>
                <w:sz w:val="14"/>
              </w:rPr>
            </w:pPr>
            <w:r>
              <w:rPr>
                <w:color w:val="231F20"/>
                <w:spacing w:val="-2"/>
                <w:w w:val="95"/>
                <w:sz w:val="14"/>
              </w:rPr>
              <w:t>4,891</w:t>
            </w:r>
          </w:p>
        </w:tc>
        <w:tc>
          <w:tcPr>
            <w:tcW w:w="851" w:type="dxa"/>
            <w:tcBorders>
              <w:top w:val="single" w:sz="4" w:space="0" w:color="008FDD"/>
            </w:tcBorders>
          </w:tcPr>
          <w:p>
            <w:pPr>
              <w:pStyle w:val="TableParagraph"/>
              <w:spacing w:before="43"/>
              <w:ind w:left="32" w:right="136"/>
              <w:rPr>
                <w:sz w:val="14"/>
              </w:rPr>
            </w:pPr>
            <w:r>
              <w:rPr>
                <w:color w:val="231F20"/>
                <w:spacing w:val="-4"/>
                <w:w w:val="95"/>
                <w:sz w:val="14"/>
              </w:rPr>
              <w:t>17.6</w:t>
            </w:r>
          </w:p>
        </w:tc>
        <w:tc>
          <w:tcPr>
            <w:tcW w:w="1063" w:type="dxa"/>
            <w:tcBorders>
              <w:top w:val="single" w:sz="4" w:space="0" w:color="008FDD"/>
            </w:tcBorders>
          </w:tcPr>
          <w:p>
            <w:pPr>
              <w:pStyle w:val="TableParagraph"/>
              <w:spacing w:before="43"/>
              <w:ind w:left="38" w:right="74"/>
              <w:rPr>
                <w:sz w:val="14"/>
              </w:rPr>
            </w:pPr>
            <w:r>
              <w:rPr>
                <w:color w:val="231F20"/>
                <w:spacing w:val="-4"/>
                <w:w w:val="95"/>
                <w:sz w:val="14"/>
              </w:rPr>
              <w:t>15.9</w:t>
            </w:r>
          </w:p>
        </w:tc>
        <w:tc>
          <w:tcPr>
            <w:tcW w:w="1080" w:type="dxa"/>
            <w:tcBorders>
              <w:top w:val="single" w:sz="4" w:space="0" w:color="008FDD"/>
            </w:tcBorders>
          </w:tcPr>
          <w:p>
            <w:pPr>
              <w:pStyle w:val="TableParagraph"/>
              <w:spacing w:before="43"/>
              <w:ind w:left="328"/>
              <w:jc w:val="left"/>
              <w:rPr>
                <w:sz w:val="14"/>
              </w:rPr>
            </w:pPr>
            <w:r>
              <w:rPr>
                <w:color w:val="231F20"/>
                <w:spacing w:val="-4"/>
                <w:w w:val="95"/>
                <w:sz w:val="14"/>
              </w:rPr>
              <w:t>10.7</w:t>
            </w:r>
          </w:p>
        </w:tc>
        <w:tc>
          <w:tcPr>
            <w:tcW w:w="755" w:type="dxa"/>
            <w:tcBorders>
              <w:top w:val="single" w:sz="4" w:space="0" w:color="008FDD"/>
            </w:tcBorders>
          </w:tcPr>
          <w:p>
            <w:pPr>
              <w:pStyle w:val="TableParagraph"/>
              <w:spacing w:before="43"/>
              <w:ind w:left="48" w:right="99"/>
              <w:rPr>
                <w:sz w:val="14"/>
              </w:rPr>
            </w:pPr>
            <w:r>
              <w:rPr>
                <w:color w:val="231F20"/>
                <w:spacing w:val="-4"/>
                <w:w w:val="95"/>
                <w:sz w:val="14"/>
              </w:rPr>
              <w:t>22.1</w:t>
            </w:r>
          </w:p>
        </w:tc>
        <w:tc>
          <w:tcPr>
            <w:tcW w:w="240" w:type="dxa"/>
            <w:tcBorders>
              <w:top w:val="single" w:sz="4" w:space="0" w:color="008FDD"/>
            </w:tcBorders>
          </w:tcPr>
          <w:p>
            <w:pPr>
              <w:pStyle w:val="TableParagraph"/>
              <w:spacing w:before="0"/>
              <w:jc w:val="left"/>
              <w:rPr>
                <w:rFonts w:ascii="Times New Roman"/>
                <w:sz w:val="12"/>
              </w:rPr>
            </w:pPr>
          </w:p>
        </w:tc>
        <w:tc>
          <w:tcPr>
            <w:tcW w:w="851" w:type="dxa"/>
            <w:tcBorders>
              <w:top w:val="single" w:sz="4" w:space="0" w:color="008FDD"/>
            </w:tcBorders>
          </w:tcPr>
          <w:p>
            <w:pPr>
              <w:pStyle w:val="TableParagraph"/>
              <w:spacing w:before="43"/>
              <w:ind w:left="258"/>
              <w:jc w:val="left"/>
              <w:rPr>
                <w:sz w:val="14"/>
              </w:rPr>
            </w:pPr>
            <w:r>
              <w:rPr>
                <w:color w:val="231F20"/>
                <w:spacing w:val="-4"/>
                <w:w w:val="95"/>
                <w:sz w:val="14"/>
              </w:rPr>
              <w:t>11.4</w:t>
            </w:r>
          </w:p>
        </w:tc>
        <w:tc>
          <w:tcPr>
            <w:tcW w:w="1073" w:type="dxa"/>
            <w:tcBorders>
              <w:top w:val="single" w:sz="4" w:space="0" w:color="008FDD"/>
            </w:tcBorders>
          </w:tcPr>
          <w:p>
            <w:pPr>
              <w:pStyle w:val="TableParagraph"/>
              <w:spacing w:before="43"/>
              <w:ind w:left="78" w:right="63"/>
              <w:rPr>
                <w:sz w:val="14"/>
              </w:rPr>
            </w:pPr>
            <w:r>
              <w:rPr>
                <w:color w:val="231F20"/>
                <w:spacing w:val="-5"/>
                <w:w w:val="95"/>
                <w:sz w:val="14"/>
              </w:rPr>
              <w:t>9.9</w:t>
            </w:r>
          </w:p>
        </w:tc>
        <w:tc>
          <w:tcPr>
            <w:tcW w:w="939" w:type="dxa"/>
            <w:tcBorders>
              <w:top w:val="single" w:sz="4" w:space="0" w:color="008FDD"/>
            </w:tcBorders>
          </w:tcPr>
          <w:p>
            <w:pPr>
              <w:pStyle w:val="TableParagraph"/>
              <w:spacing w:before="43"/>
              <w:ind w:left="31" w:right="32"/>
              <w:rPr>
                <w:sz w:val="14"/>
              </w:rPr>
            </w:pPr>
            <w:r>
              <w:rPr>
                <w:color w:val="231F20"/>
                <w:spacing w:val="-5"/>
                <w:w w:val="95"/>
                <w:sz w:val="14"/>
              </w:rPr>
              <w:t>6.2</w:t>
            </w:r>
          </w:p>
        </w:tc>
        <w:tc>
          <w:tcPr>
            <w:tcW w:w="1005" w:type="dxa"/>
            <w:tcBorders>
              <w:top w:val="single" w:sz="4" w:space="0" w:color="008FDD"/>
            </w:tcBorders>
          </w:tcPr>
          <w:p>
            <w:pPr>
              <w:pStyle w:val="TableParagraph"/>
              <w:spacing w:before="43"/>
              <w:ind w:right="391"/>
              <w:jc w:val="right"/>
              <w:rPr>
                <w:sz w:val="14"/>
              </w:rPr>
            </w:pPr>
            <w:r>
              <w:rPr>
                <w:color w:val="231F20"/>
                <w:spacing w:val="-4"/>
                <w:w w:val="95"/>
                <w:sz w:val="14"/>
              </w:rPr>
              <w:t>14.6</w:t>
            </w:r>
          </w:p>
        </w:tc>
      </w:tr>
      <w:tr>
        <w:trPr>
          <w:trHeight w:val="259" w:hRule="atLeast"/>
        </w:trPr>
        <w:tc>
          <w:tcPr>
            <w:tcW w:w="1358" w:type="dxa"/>
            <w:shd w:val="clear" w:color="auto" w:fill="D4E3F5"/>
          </w:tcPr>
          <w:p>
            <w:pPr>
              <w:pStyle w:val="TableParagraph"/>
              <w:ind w:left="79"/>
              <w:jc w:val="left"/>
              <w:rPr>
                <w:sz w:val="14"/>
              </w:rPr>
            </w:pPr>
            <w:r>
              <w:rPr>
                <w:color w:val="231F20"/>
                <w:spacing w:val="-2"/>
                <w:w w:val="90"/>
                <w:sz w:val="14"/>
              </w:rPr>
              <w:t>Denmark</w:t>
            </w:r>
          </w:p>
        </w:tc>
        <w:tc>
          <w:tcPr>
            <w:tcW w:w="1103" w:type="dxa"/>
            <w:shd w:val="clear" w:color="auto" w:fill="D4E3F5"/>
          </w:tcPr>
          <w:p>
            <w:pPr>
              <w:pStyle w:val="TableParagraph"/>
              <w:ind w:right="435"/>
              <w:jc w:val="right"/>
              <w:rPr>
                <w:sz w:val="14"/>
              </w:rPr>
            </w:pPr>
            <w:r>
              <w:rPr>
                <w:color w:val="231F20"/>
                <w:spacing w:val="-2"/>
                <w:w w:val="95"/>
                <w:sz w:val="14"/>
              </w:rPr>
              <w:t>13,462</w:t>
            </w:r>
          </w:p>
        </w:tc>
        <w:tc>
          <w:tcPr>
            <w:tcW w:w="851" w:type="dxa"/>
            <w:shd w:val="clear" w:color="auto" w:fill="D4E3F5"/>
          </w:tcPr>
          <w:p>
            <w:pPr>
              <w:pStyle w:val="TableParagraph"/>
              <w:ind w:left="80" w:right="136"/>
              <w:rPr>
                <w:sz w:val="14"/>
              </w:rPr>
            </w:pPr>
            <w:r>
              <w:rPr>
                <w:color w:val="231F20"/>
                <w:spacing w:val="-5"/>
                <w:w w:val="95"/>
                <w:sz w:val="14"/>
              </w:rPr>
              <w:t>8.4</w:t>
            </w:r>
          </w:p>
        </w:tc>
        <w:tc>
          <w:tcPr>
            <w:tcW w:w="1063" w:type="dxa"/>
            <w:shd w:val="clear" w:color="auto" w:fill="D4E3F5"/>
          </w:tcPr>
          <w:p>
            <w:pPr>
              <w:pStyle w:val="TableParagraph"/>
              <w:ind w:left="76" w:right="53"/>
              <w:rPr>
                <w:sz w:val="14"/>
              </w:rPr>
            </w:pPr>
            <w:r>
              <w:rPr>
                <w:color w:val="231F20"/>
                <w:spacing w:val="-5"/>
                <w:w w:val="95"/>
                <w:sz w:val="14"/>
              </w:rPr>
              <w:t>5.9</w:t>
            </w:r>
          </w:p>
        </w:tc>
        <w:tc>
          <w:tcPr>
            <w:tcW w:w="1080" w:type="dxa"/>
            <w:shd w:val="clear" w:color="auto" w:fill="D4E3F5"/>
          </w:tcPr>
          <w:p>
            <w:pPr>
              <w:pStyle w:val="TableParagraph"/>
              <w:ind w:left="392"/>
              <w:jc w:val="left"/>
              <w:rPr>
                <w:sz w:val="14"/>
              </w:rPr>
            </w:pPr>
            <w:r>
              <w:rPr>
                <w:color w:val="231F20"/>
                <w:spacing w:val="-5"/>
                <w:w w:val="95"/>
                <w:sz w:val="14"/>
              </w:rPr>
              <w:t>2.5</w:t>
            </w:r>
          </w:p>
        </w:tc>
        <w:tc>
          <w:tcPr>
            <w:tcW w:w="755" w:type="dxa"/>
            <w:shd w:val="clear" w:color="auto" w:fill="D4E3F5"/>
          </w:tcPr>
          <w:p>
            <w:pPr>
              <w:pStyle w:val="TableParagraph"/>
              <w:ind w:left="87" w:right="51"/>
              <w:rPr>
                <w:sz w:val="14"/>
              </w:rPr>
            </w:pPr>
            <w:r>
              <w:rPr>
                <w:color w:val="231F20"/>
                <w:spacing w:val="-5"/>
                <w:w w:val="95"/>
                <w:sz w:val="14"/>
              </w:rPr>
              <w:t>9.3</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4" w:right="136"/>
              <w:rPr>
                <w:sz w:val="14"/>
              </w:rPr>
            </w:pPr>
            <w:r>
              <w:rPr>
                <w:color w:val="231F20"/>
                <w:spacing w:val="-5"/>
                <w:w w:val="95"/>
                <w:sz w:val="14"/>
              </w:rPr>
              <w:t>6.9</w:t>
            </w:r>
          </w:p>
        </w:tc>
        <w:tc>
          <w:tcPr>
            <w:tcW w:w="1073" w:type="dxa"/>
            <w:shd w:val="clear" w:color="auto" w:fill="D4E3F5"/>
          </w:tcPr>
          <w:p>
            <w:pPr>
              <w:pStyle w:val="TableParagraph"/>
              <w:ind w:left="75" w:right="63"/>
              <w:rPr>
                <w:sz w:val="14"/>
              </w:rPr>
            </w:pPr>
            <w:r>
              <w:rPr>
                <w:color w:val="231F20"/>
                <w:spacing w:val="-5"/>
                <w:w w:val="95"/>
                <w:sz w:val="14"/>
              </w:rPr>
              <w:t>5.4</w:t>
            </w:r>
          </w:p>
        </w:tc>
        <w:tc>
          <w:tcPr>
            <w:tcW w:w="939" w:type="dxa"/>
            <w:shd w:val="clear" w:color="auto" w:fill="D4E3F5"/>
          </w:tcPr>
          <w:p>
            <w:pPr>
              <w:pStyle w:val="TableParagraph"/>
              <w:ind w:left="31" w:right="32"/>
              <w:rPr>
                <w:sz w:val="14"/>
              </w:rPr>
            </w:pPr>
            <w:r>
              <w:rPr>
                <w:color w:val="231F20"/>
                <w:spacing w:val="-5"/>
                <w:w w:val="95"/>
                <w:sz w:val="14"/>
              </w:rPr>
              <w:t>2.3</w:t>
            </w:r>
          </w:p>
        </w:tc>
        <w:tc>
          <w:tcPr>
            <w:tcW w:w="1005" w:type="dxa"/>
            <w:shd w:val="clear" w:color="auto" w:fill="D4E3F5"/>
          </w:tcPr>
          <w:p>
            <w:pPr>
              <w:pStyle w:val="TableParagraph"/>
              <w:ind w:right="390"/>
              <w:jc w:val="right"/>
              <w:rPr>
                <w:sz w:val="14"/>
              </w:rPr>
            </w:pPr>
            <w:r>
              <w:rPr>
                <w:color w:val="231F20"/>
                <w:spacing w:val="-5"/>
                <w:w w:val="95"/>
                <w:sz w:val="14"/>
              </w:rPr>
              <w:t>7.8</w:t>
            </w:r>
          </w:p>
        </w:tc>
      </w:tr>
      <w:tr>
        <w:trPr>
          <w:trHeight w:val="259" w:hRule="atLeast"/>
        </w:trPr>
        <w:tc>
          <w:tcPr>
            <w:tcW w:w="1358" w:type="dxa"/>
          </w:tcPr>
          <w:p>
            <w:pPr>
              <w:pStyle w:val="TableParagraph"/>
              <w:ind w:left="80"/>
              <w:jc w:val="left"/>
              <w:rPr>
                <w:sz w:val="14"/>
              </w:rPr>
            </w:pPr>
            <w:r>
              <w:rPr>
                <w:color w:val="231F20"/>
                <w:spacing w:val="-2"/>
                <w:w w:val="90"/>
                <w:sz w:val="14"/>
              </w:rPr>
              <w:t>Djibouti</w:t>
            </w:r>
          </w:p>
        </w:tc>
        <w:tc>
          <w:tcPr>
            <w:tcW w:w="1103" w:type="dxa"/>
          </w:tcPr>
          <w:p>
            <w:pPr>
              <w:pStyle w:val="TableParagraph"/>
              <w:ind w:right="431"/>
              <w:jc w:val="right"/>
              <w:rPr>
                <w:sz w:val="14"/>
              </w:rPr>
            </w:pPr>
            <w:r>
              <w:rPr>
                <w:color w:val="231F20"/>
                <w:spacing w:val="-2"/>
                <w:w w:val="95"/>
                <w:sz w:val="14"/>
              </w:rPr>
              <w:t>7,030</w:t>
            </w:r>
          </w:p>
        </w:tc>
        <w:tc>
          <w:tcPr>
            <w:tcW w:w="851" w:type="dxa"/>
          </w:tcPr>
          <w:p>
            <w:pPr>
              <w:pStyle w:val="TableParagraph"/>
              <w:ind w:left="82" w:right="136"/>
              <w:rPr>
                <w:sz w:val="14"/>
              </w:rPr>
            </w:pPr>
            <w:r>
              <w:rPr>
                <w:color w:val="231F20"/>
                <w:spacing w:val="-5"/>
                <w:w w:val="95"/>
                <w:sz w:val="14"/>
              </w:rPr>
              <w:t>9.0</w:t>
            </w:r>
          </w:p>
        </w:tc>
        <w:tc>
          <w:tcPr>
            <w:tcW w:w="1063" w:type="dxa"/>
          </w:tcPr>
          <w:p>
            <w:pPr>
              <w:pStyle w:val="TableParagraph"/>
              <w:ind w:left="77" w:right="53"/>
              <w:rPr>
                <w:sz w:val="14"/>
              </w:rPr>
            </w:pPr>
            <w:r>
              <w:rPr>
                <w:color w:val="231F20"/>
                <w:spacing w:val="-5"/>
                <w:w w:val="95"/>
                <w:sz w:val="14"/>
              </w:rPr>
              <w:t>6.0</w:t>
            </w:r>
          </w:p>
        </w:tc>
        <w:tc>
          <w:tcPr>
            <w:tcW w:w="1080" w:type="dxa"/>
          </w:tcPr>
          <w:p>
            <w:pPr>
              <w:pStyle w:val="TableParagraph"/>
              <w:ind w:left="391"/>
              <w:jc w:val="left"/>
              <w:rPr>
                <w:sz w:val="14"/>
              </w:rPr>
            </w:pPr>
            <w:r>
              <w:rPr>
                <w:color w:val="231F20"/>
                <w:spacing w:val="-5"/>
                <w:w w:val="95"/>
                <w:sz w:val="14"/>
              </w:rPr>
              <w:t>3.4</w:t>
            </w:r>
          </w:p>
        </w:tc>
        <w:tc>
          <w:tcPr>
            <w:tcW w:w="755" w:type="dxa"/>
          </w:tcPr>
          <w:p>
            <w:pPr>
              <w:pStyle w:val="TableParagraph"/>
              <w:ind w:left="48" w:right="75"/>
              <w:rPr>
                <w:sz w:val="14"/>
              </w:rPr>
            </w:pPr>
            <w:r>
              <w:rPr>
                <w:color w:val="231F20"/>
                <w:spacing w:val="-4"/>
                <w:w w:val="95"/>
                <w:sz w:val="14"/>
              </w:rPr>
              <w:t>10.4</w:t>
            </w:r>
          </w:p>
        </w:tc>
        <w:tc>
          <w:tcPr>
            <w:tcW w:w="240" w:type="dxa"/>
          </w:tcPr>
          <w:p>
            <w:pPr>
              <w:pStyle w:val="TableParagraph"/>
              <w:spacing w:before="0"/>
              <w:jc w:val="left"/>
              <w:rPr>
                <w:rFonts w:ascii="Times New Roman"/>
                <w:sz w:val="12"/>
              </w:rPr>
            </w:pPr>
          </w:p>
        </w:tc>
        <w:tc>
          <w:tcPr>
            <w:tcW w:w="851" w:type="dxa"/>
          </w:tcPr>
          <w:p>
            <w:pPr>
              <w:pStyle w:val="TableParagraph"/>
              <w:ind w:left="84" w:right="136"/>
              <w:rPr>
                <w:sz w:val="14"/>
              </w:rPr>
            </w:pPr>
            <w:r>
              <w:rPr>
                <w:color w:val="231F20"/>
                <w:spacing w:val="-5"/>
                <w:w w:val="95"/>
                <w:sz w:val="14"/>
              </w:rPr>
              <w:t>8.9</w:t>
            </w:r>
          </w:p>
        </w:tc>
        <w:tc>
          <w:tcPr>
            <w:tcW w:w="1073" w:type="dxa"/>
          </w:tcPr>
          <w:p>
            <w:pPr>
              <w:pStyle w:val="TableParagraph"/>
              <w:ind w:left="77" w:right="63"/>
              <w:rPr>
                <w:sz w:val="14"/>
              </w:rPr>
            </w:pPr>
            <w:r>
              <w:rPr>
                <w:color w:val="231F20"/>
                <w:spacing w:val="-5"/>
                <w:w w:val="95"/>
                <w:sz w:val="14"/>
              </w:rPr>
              <w:t>5.9</w:t>
            </w:r>
          </w:p>
        </w:tc>
        <w:tc>
          <w:tcPr>
            <w:tcW w:w="939" w:type="dxa"/>
          </w:tcPr>
          <w:p>
            <w:pPr>
              <w:pStyle w:val="TableParagraph"/>
              <w:ind w:left="30" w:right="32"/>
              <w:rPr>
                <w:sz w:val="14"/>
              </w:rPr>
            </w:pPr>
            <w:r>
              <w:rPr>
                <w:color w:val="231F20"/>
                <w:spacing w:val="-5"/>
                <w:w w:val="95"/>
                <w:sz w:val="14"/>
              </w:rPr>
              <w:t>3.4</w:t>
            </w:r>
          </w:p>
        </w:tc>
        <w:tc>
          <w:tcPr>
            <w:tcW w:w="1005" w:type="dxa"/>
          </w:tcPr>
          <w:p>
            <w:pPr>
              <w:pStyle w:val="TableParagraph"/>
              <w:ind w:right="392"/>
              <w:jc w:val="right"/>
              <w:rPr>
                <w:sz w:val="14"/>
              </w:rPr>
            </w:pPr>
            <w:r>
              <w:rPr>
                <w:color w:val="231F20"/>
                <w:spacing w:val="-4"/>
                <w:w w:val="95"/>
                <w:sz w:val="14"/>
              </w:rPr>
              <w:t>10.4</w:t>
            </w:r>
          </w:p>
        </w:tc>
      </w:tr>
      <w:tr>
        <w:trPr>
          <w:trHeight w:val="259" w:hRule="atLeast"/>
        </w:trPr>
        <w:tc>
          <w:tcPr>
            <w:tcW w:w="1358" w:type="dxa"/>
            <w:shd w:val="clear" w:color="auto" w:fill="D4E3F5"/>
          </w:tcPr>
          <w:p>
            <w:pPr>
              <w:pStyle w:val="TableParagraph"/>
              <w:ind w:left="80"/>
              <w:jc w:val="left"/>
              <w:rPr>
                <w:sz w:val="14"/>
              </w:rPr>
            </w:pPr>
            <w:r>
              <w:rPr>
                <w:color w:val="231F20"/>
                <w:w w:val="75"/>
                <w:sz w:val="14"/>
              </w:rPr>
              <w:t>Dominican</w:t>
            </w:r>
            <w:r>
              <w:rPr>
                <w:color w:val="231F20"/>
                <w:spacing w:val="25"/>
                <w:sz w:val="14"/>
              </w:rPr>
              <w:t> </w:t>
            </w:r>
            <w:r>
              <w:rPr>
                <w:color w:val="231F20"/>
                <w:spacing w:val="-2"/>
                <w:w w:val="90"/>
                <w:sz w:val="14"/>
              </w:rPr>
              <w:t>Republic</w:t>
            </w:r>
          </w:p>
        </w:tc>
        <w:tc>
          <w:tcPr>
            <w:tcW w:w="1103" w:type="dxa"/>
            <w:shd w:val="clear" w:color="auto" w:fill="D4E3F5"/>
          </w:tcPr>
          <w:p>
            <w:pPr>
              <w:pStyle w:val="TableParagraph"/>
              <w:ind w:right="434"/>
              <w:jc w:val="right"/>
              <w:rPr>
                <w:sz w:val="14"/>
              </w:rPr>
            </w:pPr>
            <w:r>
              <w:rPr>
                <w:color w:val="231F20"/>
                <w:spacing w:val="-2"/>
                <w:w w:val="95"/>
                <w:sz w:val="14"/>
              </w:rPr>
              <w:t>5,772</w:t>
            </w:r>
          </w:p>
        </w:tc>
        <w:tc>
          <w:tcPr>
            <w:tcW w:w="851" w:type="dxa"/>
            <w:shd w:val="clear" w:color="auto" w:fill="D4E3F5"/>
          </w:tcPr>
          <w:p>
            <w:pPr>
              <w:pStyle w:val="TableParagraph"/>
              <w:ind w:left="92" w:right="136"/>
              <w:rPr>
                <w:sz w:val="14"/>
              </w:rPr>
            </w:pPr>
            <w:r>
              <w:rPr>
                <w:color w:val="231F20"/>
                <w:spacing w:val="-5"/>
                <w:w w:val="95"/>
                <w:sz w:val="14"/>
              </w:rPr>
              <w:t>7.7</w:t>
            </w:r>
          </w:p>
        </w:tc>
        <w:tc>
          <w:tcPr>
            <w:tcW w:w="1063" w:type="dxa"/>
            <w:shd w:val="clear" w:color="auto" w:fill="D4E3F5"/>
          </w:tcPr>
          <w:p>
            <w:pPr>
              <w:pStyle w:val="TableParagraph"/>
              <w:ind w:left="77" w:right="53"/>
              <w:rPr>
                <w:sz w:val="14"/>
              </w:rPr>
            </w:pPr>
            <w:r>
              <w:rPr>
                <w:color w:val="231F20"/>
                <w:spacing w:val="-5"/>
                <w:w w:val="95"/>
                <w:sz w:val="14"/>
              </w:rPr>
              <w:t>5.5</w:t>
            </w:r>
          </w:p>
        </w:tc>
        <w:tc>
          <w:tcPr>
            <w:tcW w:w="1080" w:type="dxa"/>
            <w:shd w:val="clear" w:color="auto" w:fill="D4E3F5"/>
          </w:tcPr>
          <w:p>
            <w:pPr>
              <w:pStyle w:val="TableParagraph"/>
              <w:ind w:left="391"/>
              <w:jc w:val="left"/>
              <w:rPr>
                <w:sz w:val="14"/>
              </w:rPr>
            </w:pPr>
            <w:r>
              <w:rPr>
                <w:color w:val="231F20"/>
                <w:spacing w:val="-5"/>
                <w:w w:val="95"/>
                <w:sz w:val="14"/>
              </w:rPr>
              <w:t>3.2</w:t>
            </w:r>
          </w:p>
        </w:tc>
        <w:tc>
          <w:tcPr>
            <w:tcW w:w="755" w:type="dxa"/>
            <w:shd w:val="clear" w:color="auto" w:fill="D4E3F5"/>
          </w:tcPr>
          <w:p>
            <w:pPr>
              <w:pStyle w:val="TableParagraph"/>
              <w:ind w:left="87" w:right="51"/>
              <w:rPr>
                <w:sz w:val="14"/>
              </w:rPr>
            </w:pPr>
            <w:r>
              <w:rPr>
                <w:color w:val="231F20"/>
                <w:spacing w:val="-5"/>
                <w:w w:val="95"/>
                <w:sz w:val="14"/>
              </w:rPr>
              <w:t>9.5</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96" w:right="136"/>
              <w:rPr>
                <w:sz w:val="14"/>
              </w:rPr>
            </w:pPr>
            <w:r>
              <w:rPr>
                <w:color w:val="231F20"/>
                <w:spacing w:val="-5"/>
                <w:w w:val="95"/>
                <w:sz w:val="14"/>
              </w:rPr>
              <w:t>7.5</w:t>
            </w:r>
          </w:p>
        </w:tc>
        <w:tc>
          <w:tcPr>
            <w:tcW w:w="1073" w:type="dxa"/>
            <w:shd w:val="clear" w:color="auto" w:fill="D4E3F5"/>
          </w:tcPr>
          <w:p>
            <w:pPr>
              <w:pStyle w:val="TableParagraph"/>
              <w:ind w:left="75" w:right="63"/>
              <w:rPr>
                <w:sz w:val="14"/>
              </w:rPr>
            </w:pPr>
            <w:r>
              <w:rPr>
                <w:color w:val="231F20"/>
                <w:spacing w:val="-5"/>
                <w:w w:val="95"/>
                <w:sz w:val="14"/>
              </w:rPr>
              <w:t>5.4</w:t>
            </w:r>
          </w:p>
        </w:tc>
        <w:tc>
          <w:tcPr>
            <w:tcW w:w="939" w:type="dxa"/>
            <w:shd w:val="clear" w:color="auto" w:fill="D4E3F5"/>
          </w:tcPr>
          <w:p>
            <w:pPr>
              <w:pStyle w:val="TableParagraph"/>
              <w:ind w:left="13" w:right="32"/>
              <w:rPr>
                <w:sz w:val="14"/>
              </w:rPr>
            </w:pPr>
            <w:r>
              <w:rPr>
                <w:color w:val="231F20"/>
                <w:spacing w:val="-5"/>
                <w:w w:val="95"/>
                <w:sz w:val="14"/>
              </w:rPr>
              <w:t>3.1</w:t>
            </w:r>
          </w:p>
        </w:tc>
        <w:tc>
          <w:tcPr>
            <w:tcW w:w="1005" w:type="dxa"/>
            <w:shd w:val="clear" w:color="auto" w:fill="D4E3F5"/>
          </w:tcPr>
          <w:p>
            <w:pPr>
              <w:pStyle w:val="TableParagraph"/>
              <w:ind w:right="390"/>
              <w:jc w:val="right"/>
              <w:rPr>
                <w:sz w:val="14"/>
              </w:rPr>
            </w:pPr>
            <w:r>
              <w:rPr>
                <w:color w:val="231F20"/>
                <w:spacing w:val="-5"/>
                <w:w w:val="95"/>
                <w:sz w:val="14"/>
              </w:rPr>
              <w:t>9.3</w:t>
            </w:r>
          </w:p>
        </w:tc>
      </w:tr>
      <w:tr>
        <w:trPr>
          <w:trHeight w:val="259" w:hRule="atLeast"/>
        </w:trPr>
        <w:tc>
          <w:tcPr>
            <w:tcW w:w="1358" w:type="dxa"/>
          </w:tcPr>
          <w:p>
            <w:pPr>
              <w:pStyle w:val="TableParagraph"/>
              <w:ind w:left="80"/>
              <w:jc w:val="left"/>
              <w:rPr>
                <w:sz w:val="14"/>
              </w:rPr>
            </w:pPr>
            <w:r>
              <w:rPr>
                <w:color w:val="231F20"/>
                <w:spacing w:val="-2"/>
                <w:w w:val="85"/>
                <w:sz w:val="14"/>
              </w:rPr>
              <w:t>Ecuador</w:t>
            </w:r>
          </w:p>
        </w:tc>
        <w:tc>
          <w:tcPr>
            <w:tcW w:w="1103" w:type="dxa"/>
          </w:tcPr>
          <w:p>
            <w:pPr>
              <w:pStyle w:val="TableParagraph"/>
              <w:ind w:right="434"/>
              <w:jc w:val="right"/>
              <w:rPr>
                <w:sz w:val="14"/>
              </w:rPr>
            </w:pPr>
            <w:r>
              <w:rPr>
                <w:color w:val="231F20"/>
                <w:spacing w:val="-2"/>
                <w:w w:val="95"/>
                <w:sz w:val="14"/>
              </w:rPr>
              <w:t>9,234</w:t>
            </w:r>
          </w:p>
        </w:tc>
        <w:tc>
          <w:tcPr>
            <w:tcW w:w="851" w:type="dxa"/>
          </w:tcPr>
          <w:p>
            <w:pPr>
              <w:pStyle w:val="TableParagraph"/>
              <w:ind w:left="95" w:right="136"/>
              <w:rPr>
                <w:sz w:val="14"/>
              </w:rPr>
            </w:pPr>
            <w:r>
              <w:rPr>
                <w:color w:val="231F20"/>
                <w:spacing w:val="-5"/>
                <w:w w:val="95"/>
                <w:sz w:val="14"/>
              </w:rPr>
              <w:t>7.3</w:t>
            </w:r>
          </w:p>
        </w:tc>
        <w:tc>
          <w:tcPr>
            <w:tcW w:w="1063" w:type="dxa"/>
          </w:tcPr>
          <w:p>
            <w:pPr>
              <w:pStyle w:val="TableParagraph"/>
              <w:ind w:left="77" w:right="53"/>
              <w:rPr>
                <w:sz w:val="14"/>
              </w:rPr>
            </w:pPr>
            <w:r>
              <w:rPr>
                <w:color w:val="231F20"/>
                <w:spacing w:val="-5"/>
                <w:w w:val="95"/>
                <w:sz w:val="14"/>
              </w:rPr>
              <w:t>5.8</w:t>
            </w:r>
          </w:p>
        </w:tc>
        <w:tc>
          <w:tcPr>
            <w:tcW w:w="1080" w:type="dxa"/>
          </w:tcPr>
          <w:p>
            <w:pPr>
              <w:pStyle w:val="TableParagraph"/>
              <w:ind w:left="391"/>
              <w:jc w:val="left"/>
              <w:rPr>
                <w:sz w:val="14"/>
              </w:rPr>
            </w:pPr>
            <w:r>
              <w:rPr>
                <w:color w:val="231F20"/>
                <w:spacing w:val="-5"/>
                <w:w w:val="95"/>
                <w:sz w:val="14"/>
              </w:rPr>
              <w:t>3.5</w:t>
            </w:r>
          </w:p>
        </w:tc>
        <w:tc>
          <w:tcPr>
            <w:tcW w:w="755" w:type="dxa"/>
          </w:tcPr>
          <w:p>
            <w:pPr>
              <w:pStyle w:val="TableParagraph"/>
              <w:ind w:left="69" w:right="51"/>
              <w:rPr>
                <w:sz w:val="14"/>
              </w:rPr>
            </w:pPr>
            <w:r>
              <w:rPr>
                <w:color w:val="231F20"/>
                <w:spacing w:val="-5"/>
                <w:w w:val="95"/>
                <w:sz w:val="14"/>
              </w:rPr>
              <w:t>9.1</w:t>
            </w:r>
          </w:p>
        </w:tc>
        <w:tc>
          <w:tcPr>
            <w:tcW w:w="240" w:type="dxa"/>
          </w:tcPr>
          <w:p>
            <w:pPr>
              <w:pStyle w:val="TableParagraph"/>
              <w:spacing w:before="0"/>
              <w:jc w:val="left"/>
              <w:rPr>
                <w:rFonts w:ascii="Times New Roman"/>
                <w:sz w:val="12"/>
              </w:rPr>
            </w:pPr>
          </w:p>
        </w:tc>
        <w:tc>
          <w:tcPr>
            <w:tcW w:w="851" w:type="dxa"/>
          </w:tcPr>
          <w:p>
            <w:pPr>
              <w:pStyle w:val="TableParagraph"/>
              <w:ind w:left="96" w:right="136"/>
              <w:rPr>
                <w:sz w:val="14"/>
              </w:rPr>
            </w:pPr>
            <w:r>
              <w:rPr>
                <w:color w:val="231F20"/>
                <w:spacing w:val="-5"/>
                <w:w w:val="95"/>
                <w:sz w:val="14"/>
              </w:rPr>
              <w:t>7.3</w:t>
            </w:r>
          </w:p>
        </w:tc>
        <w:tc>
          <w:tcPr>
            <w:tcW w:w="1073" w:type="dxa"/>
          </w:tcPr>
          <w:p>
            <w:pPr>
              <w:pStyle w:val="TableParagraph"/>
              <w:ind w:left="77" w:right="63"/>
              <w:rPr>
                <w:sz w:val="14"/>
              </w:rPr>
            </w:pPr>
            <w:r>
              <w:rPr>
                <w:color w:val="231F20"/>
                <w:spacing w:val="-5"/>
                <w:w w:val="95"/>
                <w:sz w:val="14"/>
              </w:rPr>
              <w:t>5.8</w:t>
            </w:r>
          </w:p>
        </w:tc>
        <w:tc>
          <w:tcPr>
            <w:tcW w:w="939" w:type="dxa"/>
          </w:tcPr>
          <w:p>
            <w:pPr>
              <w:pStyle w:val="TableParagraph"/>
              <w:ind w:left="32" w:right="32"/>
              <w:rPr>
                <w:sz w:val="14"/>
              </w:rPr>
            </w:pPr>
            <w:r>
              <w:rPr>
                <w:color w:val="231F20"/>
                <w:spacing w:val="-5"/>
                <w:w w:val="95"/>
                <w:sz w:val="14"/>
              </w:rPr>
              <w:t>3.5</w:t>
            </w:r>
          </w:p>
        </w:tc>
        <w:tc>
          <w:tcPr>
            <w:tcW w:w="1005" w:type="dxa"/>
          </w:tcPr>
          <w:p>
            <w:pPr>
              <w:pStyle w:val="TableParagraph"/>
              <w:ind w:right="391"/>
              <w:jc w:val="right"/>
              <w:rPr>
                <w:sz w:val="14"/>
              </w:rPr>
            </w:pPr>
            <w:r>
              <w:rPr>
                <w:color w:val="231F20"/>
                <w:spacing w:val="-5"/>
                <w:w w:val="95"/>
                <w:sz w:val="14"/>
              </w:rPr>
              <w:t>9.0</w:t>
            </w:r>
          </w:p>
        </w:tc>
      </w:tr>
      <w:tr>
        <w:trPr>
          <w:trHeight w:val="259" w:hRule="atLeast"/>
        </w:trPr>
        <w:tc>
          <w:tcPr>
            <w:tcW w:w="1358" w:type="dxa"/>
            <w:shd w:val="clear" w:color="auto" w:fill="D4E3F5"/>
          </w:tcPr>
          <w:p>
            <w:pPr>
              <w:pStyle w:val="TableParagraph"/>
              <w:ind w:left="80"/>
              <w:jc w:val="left"/>
              <w:rPr>
                <w:sz w:val="14"/>
              </w:rPr>
            </w:pPr>
            <w:r>
              <w:rPr>
                <w:color w:val="231F20"/>
                <w:w w:val="75"/>
                <w:sz w:val="14"/>
              </w:rPr>
              <w:t>Egypt,</w:t>
            </w:r>
            <w:r>
              <w:rPr>
                <w:color w:val="231F20"/>
                <w:spacing w:val="7"/>
                <w:sz w:val="14"/>
              </w:rPr>
              <w:t> </w:t>
            </w:r>
            <w:r>
              <w:rPr>
                <w:color w:val="231F20"/>
                <w:w w:val="75"/>
                <w:sz w:val="14"/>
              </w:rPr>
              <w:t>Arab</w:t>
            </w:r>
            <w:r>
              <w:rPr>
                <w:color w:val="231F20"/>
                <w:spacing w:val="9"/>
                <w:sz w:val="14"/>
              </w:rPr>
              <w:t> </w:t>
            </w:r>
            <w:r>
              <w:rPr>
                <w:color w:val="231F20"/>
                <w:spacing w:val="-4"/>
                <w:w w:val="75"/>
                <w:sz w:val="14"/>
              </w:rPr>
              <w:t>Rep.</w:t>
            </w:r>
          </w:p>
        </w:tc>
        <w:tc>
          <w:tcPr>
            <w:tcW w:w="1103" w:type="dxa"/>
            <w:shd w:val="clear" w:color="auto" w:fill="D4E3F5"/>
          </w:tcPr>
          <w:p>
            <w:pPr>
              <w:pStyle w:val="TableParagraph"/>
              <w:ind w:right="435"/>
              <w:jc w:val="right"/>
              <w:rPr>
                <w:sz w:val="14"/>
              </w:rPr>
            </w:pPr>
            <w:r>
              <w:rPr>
                <w:color w:val="231F20"/>
                <w:spacing w:val="-2"/>
                <w:w w:val="95"/>
                <w:sz w:val="14"/>
              </w:rPr>
              <w:t>17,735</w:t>
            </w:r>
          </w:p>
        </w:tc>
        <w:tc>
          <w:tcPr>
            <w:tcW w:w="851" w:type="dxa"/>
            <w:shd w:val="clear" w:color="auto" w:fill="D4E3F5"/>
          </w:tcPr>
          <w:p>
            <w:pPr>
              <w:pStyle w:val="TableParagraph"/>
              <w:ind w:left="18" w:right="136"/>
              <w:rPr>
                <w:sz w:val="14"/>
              </w:rPr>
            </w:pPr>
            <w:r>
              <w:rPr>
                <w:color w:val="231F20"/>
                <w:spacing w:val="-4"/>
                <w:w w:val="95"/>
                <w:sz w:val="14"/>
              </w:rPr>
              <w:t>16.9</w:t>
            </w:r>
          </w:p>
        </w:tc>
        <w:tc>
          <w:tcPr>
            <w:tcW w:w="1063" w:type="dxa"/>
            <w:shd w:val="clear" w:color="auto" w:fill="D4E3F5"/>
          </w:tcPr>
          <w:p>
            <w:pPr>
              <w:pStyle w:val="TableParagraph"/>
              <w:ind w:left="38" w:right="72"/>
              <w:rPr>
                <w:sz w:val="14"/>
              </w:rPr>
            </w:pPr>
            <w:r>
              <w:rPr>
                <w:color w:val="231F20"/>
                <w:spacing w:val="-4"/>
                <w:w w:val="95"/>
                <w:sz w:val="14"/>
              </w:rPr>
              <w:t>12.2</w:t>
            </w:r>
          </w:p>
        </w:tc>
        <w:tc>
          <w:tcPr>
            <w:tcW w:w="1080" w:type="dxa"/>
            <w:shd w:val="clear" w:color="auto" w:fill="D4E3F5"/>
          </w:tcPr>
          <w:p>
            <w:pPr>
              <w:pStyle w:val="TableParagraph"/>
              <w:ind w:left="391"/>
              <w:jc w:val="left"/>
              <w:rPr>
                <w:sz w:val="14"/>
              </w:rPr>
            </w:pPr>
            <w:r>
              <w:rPr>
                <w:color w:val="231F20"/>
                <w:spacing w:val="-5"/>
                <w:w w:val="95"/>
                <w:sz w:val="14"/>
              </w:rPr>
              <w:t>6.0</w:t>
            </w:r>
          </w:p>
        </w:tc>
        <w:tc>
          <w:tcPr>
            <w:tcW w:w="755" w:type="dxa"/>
            <w:shd w:val="clear" w:color="auto" w:fill="D4E3F5"/>
          </w:tcPr>
          <w:p>
            <w:pPr>
              <w:pStyle w:val="TableParagraph"/>
              <w:ind w:left="48" w:right="75"/>
              <w:rPr>
                <w:sz w:val="14"/>
              </w:rPr>
            </w:pPr>
            <w:r>
              <w:rPr>
                <w:color w:val="231F20"/>
                <w:spacing w:val="-4"/>
                <w:w w:val="95"/>
                <w:sz w:val="14"/>
              </w:rPr>
              <w:t>21.7</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50"/>
              <w:jc w:val="left"/>
              <w:rPr>
                <w:sz w:val="14"/>
              </w:rPr>
            </w:pPr>
            <w:r>
              <w:rPr>
                <w:color w:val="231F20"/>
                <w:spacing w:val="-4"/>
                <w:w w:val="95"/>
                <w:sz w:val="14"/>
              </w:rPr>
              <w:t>14.4</w:t>
            </w:r>
          </w:p>
        </w:tc>
        <w:tc>
          <w:tcPr>
            <w:tcW w:w="1073" w:type="dxa"/>
            <w:shd w:val="clear" w:color="auto" w:fill="D4E3F5"/>
          </w:tcPr>
          <w:p>
            <w:pPr>
              <w:pStyle w:val="TableParagraph"/>
              <w:ind w:left="76" w:right="63"/>
              <w:rPr>
                <w:sz w:val="14"/>
              </w:rPr>
            </w:pPr>
            <w:r>
              <w:rPr>
                <w:color w:val="231F20"/>
                <w:spacing w:val="-5"/>
                <w:w w:val="95"/>
                <w:sz w:val="14"/>
              </w:rPr>
              <w:t>9.4</w:t>
            </w:r>
          </w:p>
        </w:tc>
        <w:tc>
          <w:tcPr>
            <w:tcW w:w="939" w:type="dxa"/>
            <w:shd w:val="clear" w:color="auto" w:fill="D4E3F5"/>
          </w:tcPr>
          <w:p>
            <w:pPr>
              <w:pStyle w:val="TableParagraph"/>
              <w:ind w:left="31" w:right="32"/>
              <w:rPr>
                <w:sz w:val="14"/>
              </w:rPr>
            </w:pPr>
            <w:r>
              <w:rPr>
                <w:color w:val="231F20"/>
                <w:spacing w:val="-5"/>
                <w:w w:val="95"/>
                <w:sz w:val="14"/>
              </w:rPr>
              <w:t>4.9</w:t>
            </w:r>
          </w:p>
        </w:tc>
        <w:tc>
          <w:tcPr>
            <w:tcW w:w="1005" w:type="dxa"/>
            <w:shd w:val="clear" w:color="auto" w:fill="D4E3F5"/>
          </w:tcPr>
          <w:p>
            <w:pPr>
              <w:pStyle w:val="TableParagraph"/>
              <w:ind w:right="389"/>
              <w:jc w:val="right"/>
              <w:rPr>
                <w:sz w:val="14"/>
              </w:rPr>
            </w:pPr>
            <w:r>
              <w:rPr>
                <w:color w:val="231F20"/>
                <w:spacing w:val="-4"/>
                <w:w w:val="95"/>
                <w:sz w:val="14"/>
              </w:rPr>
              <w:t>18.3</w:t>
            </w:r>
          </w:p>
        </w:tc>
      </w:tr>
      <w:tr>
        <w:trPr>
          <w:trHeight w:val="259" w:hRule="atLeast"/>
        </w:trPr>
        <w:tc>
          <w:tcPr>
            <w:tcW w:w="1358" w:type="dxa"/>
          </w:tcPr>
          <w:p>
            <w:pPr>
              <w:pStyle w:val="TableParagraph"/>
              <w:ind w:left="80"/>
              <w:jc w:val="left"/>
              <w:rPr>
                <w:sz w:val="14"/>
              </w:rPr>
            </w:pPr>
            <w:r>
              <w:rPr>
                <w:color w:val="231F20"/>
                <w:w w:val="70"/>
                <w:sz w:val="14"/>
              </w:rPr>
              <w:t>El</w:t>
            </w:r>
            <w:r>
              <w:rPr>
                <w:color w:val="231F20"/>
                <w:spacing w:val="-6"/>
                <w:sz w:val="14"/>
              </w:rPr>
              <w:t> </w:t>
            </w:r>
            <w:r>
              <w:rPr>
                <w:color w:val="231F20"/>
                <w:spacing w:val="-2"/>
                <w:w w:val="85"/>
                <w:sz w:val="14"/>
              </w:rPr>
              <w:t>Salvador</w:t>
            </w:r>
          </w:p>
        </w:tc>
        <w:tc>
          <w:tcPr>
            <w:tcW w:w="1103" w:type="dxa"/>
          </w:tcPr>
          <w:p>
            <w:pPr>
              <w:pStyle w:val="TableParagraph"/>
              <w:ind w:right="435"/>
              <w:jc w:val="right"/>
              <w:rPr>
                <w:sz w:val="14"/>
              </w:rPr>
            </w:pPr>
            <w:r>
              <w:rPr>
                <w:color w:val="231F20"/>
                <w:spacing w:val="-2"/>
                <w:w w:val="95"/>
                <w:sz w:val="14"/>
              </w:rPr>
              <w:t>6,850</w:t>
            </w:r>
          </w:p>
        </w:tc>
        <w:tc>
          <w:tcPr>
            <w:tcW w:w="851" w:type="dxa"/>
          </w:tcPr>
          <w:p>
            <w:pPr>
              <w:pStyle w:val="TableParagraph"/>
              <w:ind w:left="96" w:right="136"/>
              <w:rPr>
                <w:sz w:val="14"/>
              </w:rPr>
            </w:pPr>
            <w:r>
              <w:rPr>
                <w:color w:val="231F20"/>
                <w:spacing w:val="-5"/>
                <w:w w:val="95"/>
                <w:sz w:val="14"/>
              </w:rPr>
              <w:t>7.2</w:t>
            </w:r>
          </w:p>
        </w:tc>
        <w:tc>
          <w:tcPr>
            <w:tcW w:w="1063" w:type="dxa"/>
          </w:tcPr>
          <w:p>
            <w:pPr>
              <w:pStyle w:val="TableParagraph"/>
              <w:ind w:left="77" w:right="53"/>
              <w:rPr>
                <w:sz w:val="14"/>
              </w:rPr>
            </w:pPr>
            <w:r>
              <w:rPr>
                <w:color w:val="231F20"/>
                <w:spacing w:val="-5"/>
                <w:w w:val="95"/>
                <w:sz w:val="14"/>
              </w:rPr>
              <w:t>5.5</w:t>
            </w:r>
          </w:p>
        </w:tc>
        <w:tc>
          <w:tcPr>
            <w:tcW w:w="1080" w:type="dxa"/>
          </w:tcPr>
          <w:p>
            <w:pPr>
              <w:pStyle w:val="TableParagraph"/>
              <w:ind w:left="391"/>
              <w:jc w:val="left"/>
              <w:rPr>
                <w:sz w:val="14"/>
              </w:rPr>
            </w:pPr>
            <w:r>
              <w:rPr>
                <w:color w:val="231F20"/>
                <w:spacing w:val="-5"/>
                <w:w w:val="95"/>
                <w:sz w:val="14"/>
              </w:rPr>
              <w:t>3.6</w:t>
            </w:r>
          </w:p>
        </w:tc>
        <w:tc>
          <w:tcPr>
            <w:tcW w:w="755" w:type="dxa"/>
          </w:tcPr>
          <w:p>
            <w:pPr>
              <w:pStyle w:val="TableParagraph"/>
              <w:ind w:left="86" w:right="51"/>
              <w:rPr>
                <w:sz w:val="14"/>
              </w:rPr>
            </w:pPr>
            <w:r>
              <w:rPr>
                <w:color w:val="231F20"/>
                <w:spacing w:val="-5"/>
                <w:w w:val="95"/>
                <w:sz w:val="14"/>
              </w:rPr>
              <w:t>9.0</w:t>
            </w:r>
          </w:p>
        </w:tc>
        <w:tc>
          <w:tcPr>
            <w:tcW w:w="240" w:type="dxa"/>
          </w:tcPr>
          <w:p>
            <w:pPr>
              <w:pStyle w:val="TableParagraph"/>
              <w:spacing w:before="0"/>
              <w:jc w:val="left"/>
              <w:rPr>
                <w:rFonts w:ascii="Times New Roman"/>
                <w:sz w:val="12"/>
              </w:rPr>
            </w:pPr>
          </w:p>
        </w:tc>
        <w:tc>
          <w:tcPr>
            <w:tcW w:w="851" w:type="dxa"/>
          </w:tcPr>
          <w:p>
            <w:pPr>
              <w:pStyle w:val="TableParagraph"/>
              <w:ind w:left="97" w:right="136"/>
              <w:rPr>
                <w:sz w:val="14"/>
              </w:rPr>
            </w:pPr>
            <w:r>
              <w:rPr>
                <w:color w:val="231F20"/>
                <w:spacing w:val="-5"/>
                <w:w w:val="95"/>
                <w:sz w:val="14"/>
              </w:rPr>
              <w:t>7.2</w:t>
            </w:r>
          </w:p>
        </w:tc>
        <w:tc>
          <w:tcPr>
            <w:tcW w:w="1073" w:type="dxa"/>
          </w:tcPr>
          <w:p>
            <w:pPr>
              <w:pStyle w:val="TableParagraph"/>
              <w:ind w:left="75" w:right="63"/>
              <w:rPr>
                <w:sz w:val="14"/>
              </w:rPr>
            </w:pPr>
            <w:r>
              <w:rPr>
                <w:color w:val="231F20"/>
                <w:spacing w:val="-5"/>
                <w:w w:val="95"/>
                <w:sz w:val="14"/>
              </w:rPr>
              <w:t>5.4</w:t>
            </w:r>
          </w:p>
        </w:tc>
        <w:tc>
          <w:tcPr>
            <w:tcW w:w="939" w:type="dxa"/>
          </w:tcPr>
          <w:p>
            <w:pPr>
              <w:pStyle w:val="TableParagraph"/>
              <w:ind w:left="32" w:right="32"/>
              <w:rPr>
                <w:sz w:val="14"/>
              </w:rPr>
            </w:pPr>
            <w:r>
              <w:rPr>
                <w:color w:val="231F20"/>
                <w:spacing w:val="-5"/>
                <w:w w:val="95"/>
                <w:sz w:val="14"/>
              </w:rPr>
              <w:t>3.6</w:t>
            </w:r>
          </w:p>
        </w:tc>
        <w:tc>
          <w:tcPr>
            <w:tcW w:w="1005" w:type="dxa"/>
          </w:tcPr>
          <w:p>
            <w:pPr>
              <w:pStyle w:val="TableParagraph"/>
              <w:ind w:right="391"/>
              <w:jc w:val="right"/>
              <w:rPr>
                <w:sz w:val="14"/>
              </w:rPr>
            </w:pPr>
            <w:r>
              <w:rPr>
                <w:color w:val="231F20"/>
                <w:spacing w:val="-5"/>
                <w:w w:val="95"/>
                <w:sz w:val="14"/>
              </w:rPr>
              <w:t>9.0</w:t>
            </w:r>
          </w:p>
        </w:tc>
      </w:tr>
      <w:tr>
        <w:trPr>
          <w:trHeight w:val="259" w:hRule="atLeast"/>
        </w:trPr>
        <w:tc>
          <w:tcPr>
            <w:tcW w:w="1358" w:type="dxa"/>
            <w:shd w:val="clear" w:color="auto" w:fill="D4E3F5"/>
          </w:tcPr>
          <w:p>
            <w:pPr>
              <w:pStyle w:val="TableParagraph"/>
              <w:ind w:left="80"/>
              <w:jc w:val="left"/>
              <w:rPr>
                <w:sz w:val="14"/>
              </w:rPr>
            </w:pPr>
            <w:r>
              <w:rPr>
                <w:color w:val="231F20"/>
                <w:w w:val="75"/>
                <w:sz w:val="14"/>
              </w:rPr>
              <w:t>Equatorial</w:t>
            </w:r>
            <w:r>
              <w:rPr>
                <w:color w:val="231F20"/>
                <w:spacing w:val="17"/>
                <w:sz w:val="14"/>
              </w:rPr>
              <w:t> </w:t>
            </w:r>
            <w:r>
              <w:rPr>
                <w:color w:val="231F20"/>
                <w:spacing w:val="-2"/>
                <w:w w:val="80"/>
                <w:sz w:val="14"/>
              </w:rPr>
              <w:t>Guinea</w:t>
            </w:r>
          </w:p>
        </w:tc>
        <w:tc>
          <w:tcPr>
            <w:tcW w:w="1103" w:type="dxa"/>
            <w:shd w:val="clear" w:color="auto" w:fill="D4E3F5"/>
          </w:tcPr>
          <w:p>
            <w:pPr>
              <w:pStyle w:val="TableParagraph"/>
              <w:ind w:right="435"/>
              <w:jc w:val="right"/>
              <w:rPr>
                <w:sz w:val="14"/>
              </w:rPr>
            </w:pPr>
            <w:r>
              <w:rPr>
                <w:color w:val="231F20"/>
                <w:spacing w:val="-5"/>
                <w:w w:val="95"/>
                <w:sz w:val="14"/>
              </w:rPr>
              <w:t>804</w:t>
            </w:r>
          </w:p>
        </w:tc>
        <w:tc>
          <w:tcPr>
            <w:tcW w:w="851" w:type="dxa"/>
            <w:shd w:val="clear" w:color="auto" w:fill="D4E3F5"/>
          </w:tcPr>
          <w:p>
            <w:pPr>
              <w:pStyle w:val="TableParagraph"/>
              <w:ind w:left="77" w:right="136"/>
              <w:rPr>
                <w:sz w:val="14"/>
              </w:rPr>
            </w:pPr>
            <w:r>
              <w:rPr>
                <w:color w:val="231F20"/>
                <w:spacing w:val="-5"/>
                <w:w w:val="95"/>
                <w:sz w:val="14"/>
              </w:rPr>
              <w:t>6.7</w:t>
            </w:r>
          </w:p>
        </w:tc>
        <w:tc>
          <w:tcPr>
            <w:tcW w:w="1063" w:type="dxa"/>
            <w:shd w:val="clear" w:color="auto" w:fill="D4E3F5"/>
          </w:tcPr>
          <w:p>
            <w:pPr>
              <w:pStyle w:val="TableParagraph"/>
              <w:ind w:left="78" w:right="53"/>
              <w:rPr>
                <w:sz w:val="14"/>
              </w:rPr>
            </w:pPr>
            <w:r>
              <w:rPr>
                <w:color w:val="231F20"/>
                <w:spacing w:val="-5"/>
                <w:w w:val="95"/>
                <w:sz w:val="14"/>
              </w:rPr>
              <w:t>4.5</w:t>
            </w:r>
          </w:p>
        </w:tc>
        <w:tc>
          <w:tcPr>
            <w:tcW w:w="1080" w:type="dxa"/>
            <w:shd w:val="clear" w:color="auto" w:fill="D4E3F5"/>
          </w:tcPr>
          <w:p>
            <w:pPr>
              <w:pStyle w:val="TableParagraph"/>
              <w:ind w:left="399"/>
              <w:jc w:val="left"/>
              <w:rPr>
                <w:sz w:val="14"/>
              </w:rPr>
            </w:pPr>
            <w:r>
              <w:rPr>
                <w:color w:val="231F20"/>
                <w:spacing w:val="-5"/>
                <w:w w:val="95"/>
                <w:sz w:val="14"/>
              </w:rPr>
              <w:t>1.1</w:t>
            </w:r>
          </w:p>
        </w:tc>
        <w:tc>
          <w:tcPr>
            <w:tcW w:w="755" w:type="dxa"/>
            <w:shd w:val="clear" w:color="auto" w:fill="D4E3F5"/>
          </w:tcPr>
          <w:p>
            <w:pPr>
              <w:pStyle w:val="TableParagraph"/>
              <w:ind w:left="48" w:right="74"/>
              <w:rPr>
                <w:sz w:val="14"/>
              </w:rPr>
            </w:pPr>
            <w:r>
              <w:rPr>
                <w:color w:val="231F20"/>
                <w:spacing w:val="-4"/>
                <w:w w:val="95"/>
                <w:sz w:val="14"/>
              </w:rPr>
              <w:t>10.0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77" w:right="136"/>
              <w:rPr>
                <w:sz w:val="14"/>
              </w:rPr>
            </w:pPr>
            <w:r>
              <w:rPr>
                <w:color w:val="231F20"/>
                <w:spacing w:val="-5"/>
                <w:w w:val="95"/>
                <w:sz w:val="14"/>
              </w:rPr>
              <w:t>6.7</w:t>
            </w:r>
          </w:p>
        </w:tc>
        <w:tc>
          <w:tcPr>
            <w:tcW w:w="1073" w:type="dxa"/>
            <w:shd w:val="clear" w:color="auto" w:fill="D4E3F5"/>
          </w:tcPr>
          <w:p>
            <w:pPr>
              <w:pStyle w:val="TableParagraph"/>
              <w:ind w:left="79" w:right="63"/>
              <w:rPr>
                <w:sz w:val="14"/>
              </w:rPr>
            </w:pPr>
            <w:r>
              <w:rPr>
                <w:color w:val="231F20"/>
                <w:spacing w:val="-5"/>
                <w:w w:val="95"/>
                <w:sz w:val="14"/>
              </w:rPr>
              <w:t>4.5</w:t>
            </w:r>
          </w:p>
        </w:tc>
        <w:tc>
          <w:tcPr>
            <w:tcW w:w="939" w:type="dxa"/>
            <w:shd w:val="clear" w:color="auto" w:fill="D4E3F5"/>
          </w:tcPr>
          <w:p>
            <w:pPr>
              <w:pStyle w:val="TableParagraph"/>
              <w:ind w:left="21" w:right="32"/>
              <w:rPr>
                <w:sz w:val="14"/>
              </w:rPr>
            </w:pPr>
            <w:r>
              <w:rPr>
                <w:color w:val="231F20"/>
                <w:spacing w:val="-5"/>
                <w:w w:val="95"/>
                <w:sz w:val="14"/>
              </w:rPr>
              <w:t>1.1</w:t>
            </w:r>
          </w:p>
        </w:tc>
        <w:tc>
          <w:tcPr>
            <w:tcW w:w="1005" w:type="dxa"/>
            <w:shd w:val="clear" w:color="auto" w:fill="D4E3F5"/>
          </w:tcPr>
          <w:p>
            <w:pPr>
              <w:pStyle w:val="TableParagraph"/>
              <w:ind w:right="391"/>
              <w:jc w:val="right"/>
              <w:rPr>
                <w:sz w:val="14"/>
              </w:rPr>
            </w:pPr>
            <w:r>
              <w:rPr>
                <w:color w:val="231F20"/>
                <w:spacing w:val="-4"/>
                <w:w w:val="95"/>
                <w:sz w:val="14"/>
              </w:rPr>
              <w:t>10.0</w:t>
            </w:r>
          </w:p>
        </w:tc>
      </w:tr>
      <w:tr>
        <w:trPr>
          <w:trHeight w:val="259" w:hRule="atLeast"/>
        </w:trPr>
        <w:tc>
          <w:tcPr>
            <w:tcW w:w="1358" w:type="dxa"/>
          </w:tcPr>
          <w:p>
            <w:pPr>
              <w:pStyle w:val="TableParagraph"/>
              <w:ind w:left="80"/>
              <w:jc w:val="left"/>
              <w:rPr>
                <w:sz w:val="14"/>
              </w:rPr>
            </w:pPr>
            <w:r>
              <w:rPr>
                <w:color w:val="231F20"/>
                <w:spacing w:val="-2"/>
                <w:w w:val="85"/>
                <w:sz w:val="14"/>
              </w:rPr>
              <w:t>Estonia</w:t>
            </w:r>
          </w:p>
        </w:tc>
        <w:tc>
          <w:tcPr>
            <w:tcW w:w="1103" w:type="dxa"/>
          </w:tcPr>
          <w:p>
            <w:pPr>
              <w:pStyle w:val="TableParagraph"/>
              <w:ind w:right="442"/>
              <w:jc w:val="right"/>
              <w:rPr>
                <w:sz w:val="14"/>
              </w:rPr>
            </w:pPr>
            <w:r>
              <w:rPr>
                <w:color w:val="231F20"/>
                <w:spacing w:val="-5"/>
                <w:w w:val="95"/>
                <w:sz w:val="14"/>
              </w:rPr>
              <w:t>411</w:t>
            </w:r>
          </w:p>
        </w:tc>
        <w:tc>
          <w:tcPr>
            <w:tcW w:w="851" w:type="dxa"/>
          </w:tcPr>
          <w:p>
            <w:pPr>
              <w:pStyle w:val="TableParagraph"/>
              <w:ind w:left="78" w:right="136"/>
              <w:rPr>
                <w:sz w:val="14"/>
              </w:rPr>
            </w:pPr>
            <w:r>
              <w:rPr>
                <w:color w:val="231F20"/>
                <w:spacing w:val="-5"/>
                <w:w w:val="95"/>
                <w:sz w:val="14"/>
              </w:rPr>
              <w:t>4.7</w:t>
            </w:r>
          </w:p>
        </w:tc>
        <w:tc>
          <w:tcPr>
            <w:tcW w:w="1063" w:type="dxa"/>
          </w:tcPr>
          <w:p>
            <w:pPr>
              <w:pStyle w:val="TableParagraph"/>
              <w:ind w:left="77" w:right="53"/>
              <w:rPr>
                <w:sz w:val="14"/>
              </w:rPr>
            </w:pPr>
            <w:r>
              <w:rPr>
                <w:color w:val="231F20"/>
                <w:spacing w:val="-5"/>
                <w:w w:val="95"/>
                <w:sz w:val="14"/>
              </w:rPr>
              <w:t>4.0</w:t>
            </w:r>
          </w:p>
        </w:tc>
        <w:tc>
          <w:tcPr>
            <w:tcW w:w="1080" w:type="dxa"/>
          </w:tcPr>
          <w:p>
            <w:pPr>
              <w:pStyle w:val="TableParagraph"/>
              <w:ind w:left="399"/>
              <w:jc w:val="left"/>
              <w:rPr>
                <w:sz w:val="14"/>
              </w:rPr>
            </w:pPr>
            <w:r>
              <w:rPr>
                <w:color w:val="231F20"/>
                <w:spacing w:val="-5"/>
                <w:w w:val="95"/>
                <w:sz w:val="14"/>
              </w:rPr>
              <w:t>1.8</w:t>
            </w:r>
          </w:p>
        </w:tc>
        <w:tc>
          <w:tcPr>
            <w:tcW w:w="755" w:type="dxa"/>
          </w:tcPr>
          <w:p>
            <w:pPr>
              <w:pStyle w:val="TableParagraph"/>
              <w:ind w:left="86" w:right="51"/>
              <w:rPr>
                <w:sz w:val="14"/>
              </w:rPr>
            </w:pPr>
            <w:r>
              <w:rPr>
                <w:color w:val="231F20"/>
                <w:spacing w:val="-5"/>
                <w:w w:val="95"/>
                <w:sz w:val="14"/>
              </w:rPr>
              <w:t>5.9</w:t>
            </w:r>
          </w:p>
        </w:tc>
        <w:tc>
          <w:tcPr>
            <w:tcW w:w="240" w:type="dxa"/>
          </w:tcPr>
          <w:p>
            <w:pPr>
              <w:pStyle w:val="TableParagraph"/>
              <w:spacing w:before="0"/>
              <w:jc w:val="left"/>
              <w:rPr>
                <w:rFonts w:ascii="Times New Roman"/>
                <w:sz w:val="12"/>
              </w:rPr>
            </w:pPr>
          </w:p>
        </w:tc>
        <w:tc>
          <w:tcPr>
            <w:tcW w:w="851" w:type="dxa"/>
          </w:tcPr>
          <w:p>
            <w:pPr>
              <w:pStyle w:val="TableParagraph"/>
              <w:ind w:left="79" w:right="136"/>
              <w:rPr>
                <w:sz w:val="14"/>
              </w:rPr>
            </w:pPr>
            <w:r>
              <w:rPr>
                <w:color w:val="231F20"/>
                <w:spacing w:val="-5"/>
                <w:w w:val="95"/>
                <w:sz w:val="14"/>
              </w:rPr>
              <w:t>4.7</w:t>
            </w:r>
          </w:p>
        </w:tc>
        <w:tc>
          <w:tcPr>
            <w:tcW w:w="1073" w:type="dxa"/>
          </w:tcPr>
          <w:p>
            <w:pPr>
              <w:pStyle w:val="TableParagraph"/>
              <w:ind w:left="78" w:right="63"/>
              <w:rPr>
                <w:sz w:val="14"/>
              </w:rPr>
            </w:pPr>
            <w:r>
              <w:rPr>
                <w:color w:val="231F20"/>
                <w:spacing w:val="-5"/>
                <w:w w:val="95"/>
                <w:sz w:val="14"/>
              </w:rPr>
              <w:t>4.0</w:t>
            </w:r>
          </w:p>
        </w:tc>
        <w:tc>
          <w:tcPr>
            <w:tcW w:w="939" w:type="dxa"/>
          </w:tcPr>
          <w:p>
            <w:pPr>
              <w:pStyle w:val="TableParagraph"/>
              <w:ind w:left="36" w:right="32"/>
              <w:rPr>
                <w:sz w:val="14"/>
              </w:rPr>
            </w:pPr>
            <w:r>
              <w:rPr>
                <w:color w:val="231F20"/>
                <w:spacing w:val="-5"/>
                <w:w w:val="95"/>
                <w:sz w:val="14"/>
              </w:rPr>
              <w:t>1.8</w:t>
            </w:r>
          </w:p>
        </w:tc>
        <w:tc>
          <w:tcPr>
            <w:tcW w:w="1005" w:type="dxa"/>
          </w:tcPr>
          <w:p>
            <w:pPr>
              <w:pStyle w:val="TableParagraph"/>
              <w:ind w:right="390"/>
              <w:jc w:val="right"/>
              <w:rPr>
                <w:sz w:val="14"/>
              </w:rPr>
            </w:pPr>
            <w:r>
              <w:rPr>
                <w:color w:val="231F20"/>
                <w:spacing w:val="-5"/>
                <w:w w:val="95"/>
                <w:sz w:val="14"/>
              </w:rPr>
              <w:t>5.9</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Eswatini</w:t>
            </w:r>
          </w:p>
        </w:tc>
        <w:tc>
          <w:tcPr>
            <w:tcW w:w="1103" w:type="dxa"/>
            <w:shd w:val="clear" w:color="auto" w:fill="D4E3F5"/>
          </w:tcPr>
          <w:p>
            <w:pPr>
              <w:pStyle w:val="TableParagraph"/>
              <w:ind w:right="435"/>
              <w:jc w:val="right"/>
              <w:rPr>
                <w:sz w:val="14"/>
              </w:rPr>
            </w:pPr>
            <w:r>
              <w:rPr>
                <w:color w:val="231F20"/>
                <w:spacing w:val="-5"/>
                <w:w w:val="95"/>
                <w:sz w:val="14"/>
              </w:rPr>
              <w:t>121</w:t>
            </w:r>
          </w:p>
        </w:tc>
        <w:tc>
          <w:tcPr>
            <w:tcW w:w="851" w:type="dxa"/>
            <w:shd w:val="clear" w:color="auto" w:fill="D4E3F5"/>
          </w:tcPr>
          <w:p>
            <w:pPr>
              <w:pStyle w:val="TableParagraph"/>
              <w:ind w:left="81" w:right="136"/>
              <w:rPr>
                <w:sz w:val="14"/>
              </w:rPr>
            </w:pPr>
            <w:r>
              <w:rPr>
                <w:color w:val="231F20"/>
                <w:spacing w:val="-5"/>
                <w:w w:val="95"/>
                <w:sz w:val="14"/>
              </w:rPr>
              <w:t>4.4</w:t>
            </w:r>
          </w:p>
        </w:tc>
        <w:tc>
          <w:tcPr>
            <w:tcW w:w="1063" w:type="dxa"/>
            <w:shd w:val="clear" w:color="auto" w:fill="D4E3F5"/>
          </w:tcPr>
          <w:p>
            <w:pPr>
              <w:pStyle w:val="TableParagraph"/>
              <w:ind w:left="77" w:right="53"/>
              <w:rPr>
                <w:sz w:val="14"/>
              </w:rPr>
            </w:pPr>
            <w:r>
              <w:rPr>
                <w:color w:val="231F20"/>
                <w:spacing w:val="-5"/>
                <w:w w:val="95"/>
                <w:sz w:val="14"/>
              </w:rPr>
              <w:t>4.0</w:t>
            </w:r>
          </w:p>
        </w:tc>
        <w:tc>
          <w:tcPr>
            <w:tcW w:w="1080" w:type="dxa"/>
            <w:shd w:val="clear" w:color="auto" w:fill="D4E3F5"/>
          </w:tcPr>
          <w:p>
            <w:pPr>
              <w:pStyle w:val="TableParagraph"/>
              <w:ind w:left="391"/>
              <w:jc w:val="left"/>
              <w:rPr>
                <w:sz w:val="14"/>
              </w:rPr>
            </w:pPr>
            <w:r>
              <w:rPr>
                <w:color w:val="231F20"/>
                <w:spacing w:val="-5"/>
                <w:w w:val="95"/>
                <w:sz w:val="14"/>
              </w:rPr>
              <w:t>3.0</w:t>
            </w:r>
          </w:p>
        </w:tc>
        <w:tc>
          <w:tcPr>
            <w:tcW w:w="755" w:type="dxa"/>
            <w:shd w:val="clear" w:color="auto" w:fill="D4E3F5"/>
          </w:tcPr>
          <w:p>
            <w:pPr>
              <w:pStyle w:val="TableParagraph"/>
              <w:ind w:left="85" w:right="51"/>
              <w:rPr>
                <w:sz w:val="14"/>
              </w:rPr>
            </w:pPr>
            <w:r>
              <w:rPr>
                <w:color w:val="231F20"/>
                <w:spacing w:val="-5"/>
                <w:w w:val="95"/>
                <w:sz w:val="14"/>
              </w:rPr>
              <w:t>4.4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66" w:right="136"/>
              <w:rPr>
                <w:sz w:val="14"/>
              </w:rPr>
            </w:pPr>
            <w:r>
              <w:rPr>
                <w:color w:val="231F20"/>
                <w:spacing w:val="-5"/>
                <w:w w:val="95"/>
                <w:sz w:val="14"/>
              </w:rPr>
              <w:t>4.1</w:t>
            </w:r>
          </w:p>
        </w:tc>
        <w:tc>
          <w:tcPr>
            <w:tcW w:w="1073" w:type="dxa"/>
            <w:shd w:val="clear" w:color="auto" w:fill="D4E3F5"/>
          </w:tcPr>
          <w:p>
            <w:pPr>
              <w:pStyle w:val="TableParagraph"/>
              <w:ind w:left="79" w:right="63"/>
              <w:rPr>
                <w:sz w:val="14"/>
              </w:rPr>
            </w:pPr>
            <w:r>
              <w:rPr>
                <w:color w:val="231F20"/>
                <w:spacing w:val="-5"/>
                <w:w w:val="95"/>
                <w:sz w:val="14"/>
              </w:rPr>
              <w:t>3.9</w:t>
            </w:r>
          </w:p>
        </w:tc>
        <w:tc>
          <w:tcPr>
            <w:tcW w:w="939" w:type="dxa"/>
            <w:shd w:val="clear" w:color="auto" w:fill="D4E3F5"/>
          </w:tcPr>
          <w:p>
            <w:pPr>
              <w:pStyle w:val="TableParagraph"/>
              <w:ind w:left="32" w:right="32"/>
              <w:rPr>
                <w:sz w:val="14"/>
              </w:rPr>
            </w:pPr>
            <w:r>
              <w:rPr>
                <w:color w:val="231F20"/>
                <w:spacing w:val="-5"/>
                <w:w w:val="95"/>
                <w:sz w:val="14"/>
              </w:rPr>
              <w:t>3.0</w:t>
            </w:r>
          </w:p>
        </w:tc>
        <w:tc>
          <w:tcPr>
            <w:tcW w:w="1005" w:type="dxa"/>
            <w:shd w:val="clear" w:color="auto" w:fill="D4E3F5"/>
          </w:tcPr>
          <w:p>
            <w:pPr>
              <w:pStyle w:val="TableParagraph"/>
              <w:ind w:right="392"/>
              <w:jc w:val="right"/>
              <w:rPr>
                <w:sz w:val="14"/>
              </w:rPr>
            </w:pPr>
            <w:r>
              <w:rPr>
                <w:color w:val="231F20"/>
                <w:spacing w:val="-5"/>
                <w:w w:val="95"/>
                <w:sz w:val="14"/>
              </w:rPr>
              <w:t>4.4</w:t>
            </w:r>
          </w:p>
        </w:tc>
      </w:tr>
      <w:tr>
        <w:trPr>
          <w:trHeight w:val="259" w:hRule="atLeast"/>
        </w:trPr>
        <w:tc>
          <w:tcPr>
            <w:tcW w:w="1358" w:type="dxa"/>
          </w:tcPr>
          <w:p>
            <w:pPr>
              <w:pStyle w:val="TableParagraph"/>
              <w:ind w:left="80"/>
              <w:jc w:val="left"/>
              <w:rPr>
                <w:sz w:val="14"/>
              </w:rPr>
            </w:pPr>
            <w:r>
              <w:rPr>
                <w:color w:val="231F20"/>
                <w:spacing w:val="-2"/>
                <w:w w:val="90"/>
                <w:sz w:val="14"/>
              </w:rPr>
              <w:t>Ethiopia</w:t>
            </w:r>
          </w:p>
        </w:tc>
        <w:tc>
          <w:tcPr>
            <w:tcW w:w="1103" w:type="dxa"/>
          </w:tcPr>
          <w:p>
            <w:pPr>
              <w:pStyle w:val="TableParagraph"/>
              <w:ind w:right="434"/>
              <w:jc w:val="right"/>
              <w:rPr>
                <w:sz w:val="14"/>
              </w:rPr>
            </w:pPr>
            <w:r>
              <w:rPr>
                <w:color w:val="231F20"/>
                <w:spacing w:val="-5"/>
                <w:w w:val="95"/>
                <w:sz w:val="14"/>
              </w:rPr>
              <w:t>147</w:t>
            </w:r>
          </w:p>
        </w:tc>
        <w:tc>
          <w:tcPr>
            <w:tcW w:w="851" w:type="dxa"/>
          </w:tcPr>
          <w:p>
            <w:pPr>
              <w:pStyle w:val="TableParagraph"/>
              <w:ind w:left="28" w:right="136"/>
              <w:rPr>
                <w:sz w:val="14"/>
              </w:rPr>
            </w:pPr>
            <w:r>
              <w:rPr>
                <w:color w:val="231F20"/>
                <w:spacing w:val="-4"/>
                <w:w w:val="95"/>
                <w:sz w:val="14"/>
              </w:rPr>
              <w:t>11.0</w:t>
            </w:r>
          </w:p>
        </w:tc>
        <w:tc>
          <w:tcPr>
            <w:tcW w:w="1063" w:type="dxa"/>
          </w:tcPr>
          <w:p>
            <w:pPr>
              <w:pStyle w:val="TableParagraph"/>
              <w:ind w:left="77" w:right="53"/>
              <w:rPr>
                <w:sz w:val="14"/>
              </w:rPr>
            </w:pPr>
            <w:r>
              <w:rPr>
                <w:color w:val="231F20"/>
                <w:spacing w:val="-5"/>
                <w:w w:val="95"/>
                <w:sz w:val="14"/>
              </w:rPr>
              <w:t>4.6</w:t>
            </w:r>
          </w:p>
        </w:tc>
        <w:tc>
          <w:tcPr>
            <w:tcW w:w="1080" w:type="dxa"/>
          </w:tcPr>
          <w:p>
            <w:pPr>
              <w:pStyle w:val="TableParagraph"/>
              <w:ind w:left="391"/>
              <w:jc w:val="left"/>
              <w:rPr>
                <w:sz w:val="14"/>
              </w:rPr>
            </w:pPr>
            <w:r>
              <w:rPr>
                <w:color w:val="231F20"/>
                <w:spacing w:val="-5"/>
                <w:w w:val="95"/>
                <w:sz w:val="14"/>
              </w:rPr>
              <w:t>3.4</w:t>
            </w:r>
          </w:p>
        </w:tc>
        <w:tc>
          <w:tcPr>
            <w:tcW w:w="755" w:type="dxa"/>
          </w:tcPr>
          <w:p>
            <w:pPr>
              <w:pStyle w:val="TableParagraph"/>
              <w:ind w:left="87" w:right="51"/>
              <w:rPr>
                <w:sz w:val="14"/>
              </w:rPr>
            </w:pPr>
            <w:r>
              <w:rPr>
                <w:color w:val="231F20"/>
                <w:spacing w:val="-5"/>
                <w:w w:val="95"/>
                <w:sz w:val="14"/>
              </w:rPr>
              <w:t>9.9</w:t>
            </w:r>
          </w:p>
        </w:tc>
        <w:tc>
          <w:tcPr>
            <w:tcW w:w="240" w:type="dxa"/>
          </w:tcPr>
          <w:p>
            <w:pPr>
              <w:pStyle w:val="TableParagraph"/>
              <w:spacing w:before="0"/>
              <w:jc w:val="left"/>
              <w:rPr>
                <w:rFonts w:ascii="Times New Roman"/>
                <w:sz w:val="12"/>
              </w:rPr>
            </w:pPr>
          </w:p>
        </w:tc>
        <w:tc>
          <w:tcPr>
            <w:tcW w:w="851" w:type="dxa"/>
          </w:tcPr>
          <w:p>
            <w:pPr>
              <w:pStyle w:val="TableParagraph"/>
              <w:ind w:left="248"/>
              <w:jc w:val="left"/>
              <w:rPr>
                <w:sz w:val="14"/>
              </w:rPr>
            </w:pPr>
            <w:r>
              <w:rPr>
                <w:color w:val="231F20"/>
                <w:spacing w:val="-4"/>
                <w:w w:val="95"/>
                <w:sz w:val="14"/>
              </w:rPr>
              <w:t>10.9</w:t>
            </w:r>
          </w:p>
        </w:tc>
        <w:tc>
          <w:tcPr>
            <w:tcW w:w="1073" w:type="dxa"/>
          </w:tcPr>
          <w:p>
            <w:pPr>
              <w:pStyle w:val="TableParagraph"/>
              <w:ind w:left="78" w:right="63"/>
              <w:rPr>
                <w:sz w:val="14"/>
              </w:rPr>
            </w:pPr>
            <w:r>
              <w:rPr>
                <w:color w:val="231F20"/>
                <w:spacing w:val="-5"/>
                <w:w w:val="95"/>
                <w:sz w:val="14"/>
              </w:rPr>
              <w:t>4.6</w:t>
            </w:r>
          </w:p>
        </w:tc>
        <w:tc>
          <w:tcPr>
            <w:tcW w:w="939" w:type="dxa"/>
          </w:tcPr>
          <w:p>
            <w:pPr>
              <w:pStyle w:val="TableParagraph"/>
              <w:ind w:left="30" w:right="32"/>
              <w:rPr>
                <w:sz w:val="14"/>
              </w:rPr>
            </w:pPr>
            <w:r>
              <w:rPr>
                <w:color w:val="231F20"/>
                <w:spacing w:val="-5"/>
                <w:w w:val="95"/>
                <w:sz w:val="14"/>
              </w:rPr>
              <w:t>3.4</w:t>
            </w:r>
          </w:p>
        </w:tc>
        <w:tc>
          <w:tcPr>
            <w:tcW w:w="1005" w:type="dxa"/>
          </w:tcPr>
          <w:p>
            <w:pPr>
              <w:pStyle w:val="TableParagraph"/>
              <w:ind w:right="390"/>
              <w:jc w:val="right"/>
              <w:rPr>
                <w:sz w:val="14"/>
              </w:rPr>
            </w:pPr>
            <w:r>
              <w:rPr>
                <w:color w:val="231F20"/>
                <w:spacing w:val="-5"/>
                <w:w w:val="95"/>
                <w:sz w:val="14"/>
              </w:rPr>
              <w:t>9.5</w:t>
            </w:r>
          </w:p>
        </w:tc>
      </w:tr>
      <w:tr>
        <w:trPr>
          <w:trHeight w:val="259" w:hRule="atLeast"/>
        </w:trPr>
        <w:tc>
          <w:tcPr>
            <w:tcW w:w="1358" w:type="dxa"/>
            <w:shd w:val="clear" w:color="auto" w:fill="D4E3F5"/>
          </w:tcPr>
          <w:p>
            <w:pPr>
              <w:pStyle w:val="TableParagraph"/>
              <w:ind w:left="80"/>
              <w:jc w:val="left"/>
              <w:rPr>
                <w:sz w:val="14"/>
              </w:rPr>
            </w:pPr>
            <w:r>
              <w:rPr>
                <w:color w:val="231F20"/>
                <w:w w:val="75"/>
                <w:sz w:val="14"/>
              </w:rPr>
              <w:t>Faroe</w:t>
            </w:r>
            <w:r>
              <w:rPr>
                <w:color w:val="231F20"/>
                <w:spacing w:val="1"/>
                <w:sz w:val="14"/>
              </w:rPr>
              <w:t> </w:t>
            </w:r>
            <w:r>
              <w:rPr>
                <w:color w:val="231F20"/>
                <w:spacing w:val="-2"/>
                <w:w w:val="85"/>
                <w:sz w:val="14"/>
              </w:rPr>
              <w:t>Islands</w:t>
            </w:r>
          </w:p>
        </w:tc>
        <w:tc>
          <w:tcPr>
            <w:tcW w:w="1103" w:type="dxa"/>
            <w:shd w:val="clear" w:color="auto" w:fill="D4E3F5"/>
          </w:tcPr>
          <w:p>
            <w:pPr>
              <w:pStyle w:val="TableParagraph"/>
              <w:ind w:right="439"/>
              <w:jc w:val="right"/>
              <w:rPr>
                <w:sz w:val="14"/>
              </w:rPr>
            </w:pPr>
            <w:r>
              <w:rPr>
                <w:color w:val="231F20"/>
                <w:spacing w:val="-5"/>
                <w:w w:val="95"/>
                <w:sz w:val="14"/>
              </w:rPr>
              <w:t>15</w:t>
            </w:r>
          </w:p>
        </w:tc>
        <w:tc>
          <w:tcPr>
            <w:tcW w:w="851" w:type="dxa"/>
            <w:shd w:val="clear" w:color="auto" w:fill="D4E3F5"/>
          </w:tcPr>
          <w:p>
            <w:pPr>
              <w:pStyle w:val="TableParagraph"/>
              <w:ind w:left="87" w:right="136"/>
              <w:rPr>
                <w:sz w:val="14"/>
              </w:rPr>
            </w:pPr>
            <w:r>
              <w:rPr>
                <w:color w:val="231F20"/>
                <w:spacing w:val="-5"/>
                <w:w w:val="95"/>
                <w:sz w:val="14"/>
              </w:rPr>
              <w:t>1.4</w:t>
            </w:r>
          </w:p>
        </w:tc>
        <w:tc>
          <w:tcPr>
            <w:tcW w:w="1063" w:type="dxa"/>
            <w:shd w:val="clear" w:color="auto" w:fill="D4E3F5"/>
          </w:tcPr>
          <w:p>
            <w:pPr>
              <w:pStyle w:val="TableParagraph"/>
              <w:ind w:left="78" w:right="53"/>
              <w:rPr>
                <w:sz w:val="14"/>
              </w:rPr>
            </w:pPr>
            <w:r>
              <w:rPr>
                <w:color w:val="231F20"/>
                <w:spacing w:val="-5"/>
                <w:w w:val="95"/>
                <w:sz w:val="14"/>
              </w:rPr>
              <w:t>0.5</w:t>
            </w:r>
          </w:p>
        </w:tc>
        <w:tc>
          <w:tcPr>
            <w:tcW w:w="1080" w:type="dxa"/>
            <w:shd w:val="clear" w:color="auto" w:fill="D4E3F5"/>
          </w:tcPr>
          <w:p>
            <w:pPr>
              <w:pStyle w:val="TableParagraph"/>
              <w:ind w:left="392"/>
              <w:jc w:val="left"/>
              <w:rPr>
                <w:sz w:val="14"/>
              </w:rPr>
            </w:pPr>
            <w:r>
              <w:rPr>
                <w:color w:val="231F20"/>
                <w:spacing w:val="-5"/>
                <w:w w:val="95"/>
                <w:sz w:val="14"/>
              </w:rPr>
              <w:t>0.2</w:t>
            </w:r>
          </w:p>
        </w:tc>
        <w:tc>
          <w:tcPr>
            <w:tcW w:w="755" w:type="dxa"/>
            <w:shd w:val="clear" w:color="auto" w:fill="D4E3F5"/>
          </w:tcPr>
          <w:p>
            <w:pPr>
              <w:pStyle w:val="TableParagraph"/>
              <w:ind w:left="93" w:right="51"/>
              <w:rPr>
                <w:sz w:val="14"/>
              </w:rPr>
            </w:pPr>
            <w:r>
              <w:rPr>
                <w:color w:val="231F20"/>
                <w:spacing w:val="-5"/>
                <w:w w:val="95"/>
                <w:sz w:val="14"/>
              </w:rPr>
              <w:t>1.8</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3" w:right="136"/>
              <w:rPr>
                <w:sz w:val="14"/>
              </w:rPr>
            </w:pPr>
            <w:r>
              <w:rPr>
                <w:color w:val="231F20"/>
                <w:spacing w:val="-5"/>
                <w:w w:val="95"/>
                <w:sz w:val="14"/>
              </w:rPr>
              <w:t>0.8</w:t>
            </w:r>
          </w:p>
        </w:tc>
        <w:tc>
          <w:tcPr>
            <w:tcW w:w="1073" w:type="dxa"/>
            <w:shd w:val="clear" w:color="auto" w:fill="D4E3F5"/>
          </w:tcPr>
          <w:p>
            <w:pPr>
              <w:pStyle w:val="TableParagraph"/>
              <w:ind w:left="76" w:right="63"/>
              <w:rPr>
                <w:sz w:val="14"/>
              </w:rPr>
            </w:pPr>
            <w:r>
              <w:rPr>
                <w:color w:val="231F20"/>
                <w:spacing w:val="-5"/>
                <w:w w:val="95"/>
                <w:sz w:val="14"/>
              </w:rPr>
              <w:t>0.4</w:t>
            </w:r>
          </w:p>
        </w:tc>
        <w:tc>
          <w:tcPr>
            <w:tcW w:w="939" w:type="dxa"/>
            <w:shd w:val="clear" w:color="auto" w:fill="D4E3F5"/>
          </w:tcPr>
          <w:p>
            <w:pPr>
              <w:pStyle w:val="TableParagraph"/>
              <w:ind w:left="32" w:right="32"/>
              <w:rPr>
                <w:sz w:val="14"/>
              </w:rPr>
            </w:pPr>
            <w:r>
              <w:rPr>
                <w:color w:val="231F20"/>
                <w:spacing w:val="-5"/>
                <w:w w:val="95"/>
                <w:sz w:val="14"/>
              </w:rPr>
              <w:t>0.2</w:t>
            </w:r>
          </w:p>
        </w:tc>
        <w:tc>
          <w:tcPr>
            <w:tcW w:w="1005" w:type="dxa"/>
            <w:shd w:val="clear" w:color="auto" w:fill="D4E3F5"/>
          </w:tcPr>
          <w:p>
            <w:pPr>
              <w:pStyle w:val="TableParagraph"/>
              <w:ind w:right="390"/>
              <w:jc w:val="right"/>
              <w:rPr>
                <w:sz w:val="14"/>
              </w:rPr>
            </w:pPr>
            <w:r>
              <w:rPr>
                <w:color w:val="231F20"/>
                <w:spacing w:val="-5"/>
                <w:w w:val="95"/>
                <w:sz w:val="14"/>
              </w:rPr>
              <w:t>0.8</w:t>
            </w:r>
          </w:p>
        </w:tc>
      </w:tr>
      <w:tr>
        <w:trPr>
          <w:trHeight w:val="259" w:hRule="atLeast"/>
        </w:trPr>
        <w:tc>
          <w:tcPr>
            <w:tcW w:w="1358" w:type="dxa"/>
          </w:tcPr>
          <w:p>
            <w:pPr>
              <w:pStyle w:val="TableParagraph"/>
              <w:ind w:left="80"/>
              <w:jc w:val="left"/>
              <w:rPr>
                <w:sz w:val="14"/>
              </w:rPr>
            </w:pPr>
            <w:r>
              <w:rPr>
                <w:color w:val="231F20"/>
                <w:spacing w:val="-4"/>
                <w:w w:val="90"/>
                <w:sz w:val="14"/>
              </w:rPr>
              <w:t>Fiji</w:t>
            </w:r>
          </w:p>
        </w:tc>
        <w:tc>
          <w:tcPr>
            <w:tcW w:w="1103" w:type="dxa"/>
          </w:tcPr>
          <w:p>
            <w:pPr>
              <w:pStyle w:val="TableParagraph"/>
              <w:ind w:right="430"/>
              <w:jc w:val="right"/>
              <w:rPr>
                <w:sz w:val="14"/>
              </w:rPr>
            </w:pPr>
            <w:r>
              <w:rPr>
                <w:color w:val="231F20"/>
                <w:spacing w:val="-5"/>
                <w:w w:val="95"/>
                <w:sz w:val="14"/>
              </w:rPr>
              <w:t>850</w:t>
            </w:r>
          </w:p>
        </w:tc>
        <w:tc>
          <w:tcPr>
            <w:tcW w:w="851" w:type="dxa"/>
          </w:tcPr>
          <w:p>
            <w:pPr>
              <w:pStyle w:val="TableParagraph"/>
              <w:ind w:left="82" w:right="136"/>
              <w:rPr>
                <w:sz w:val="14"/>
              </w:rPr>
            </w:pPr>
            <w:r>
              <w:rPr>
                <w:color w:val="231F20"/>
                <w:spacing w:val="-5"/>
                <w:w w:val="95"/>
                <w:sz w:val="14"/>
              </w:rPr>
              <w:t>2.9</w:t>
            </w:r>
          </w:p>
        </w:tc>
        <w:tc>
          <w:tcPr>
            <w:tcW w:w="1063" w:type="dxa"/>
          </w:tcPr>
          <w:p>
            <w:pPr>
              <w:pStyle w:val="TableParagraph"/>
              <w:ind w:left="75" w:right="53"/>
              <w:rPr>
                <w:sz w:val="14"/>
              </w:rPr>
            </w:pPr>
            <w:r>
              <w:rPr>
                <w:color w:val="231F20"/>
                <w:spacing w:val="-5"/>
                <w:w w:val="95"/>
                <w:sz w:val="14"/>
              </w:rPr>
              <w:t>2.4</w:t>
            </w:r>
          </w:p>
        </w:tc>
        <w:tc>
          <w:tcPr>
            <w:tcW w:w="1080" w:type="dxa"/>
          </w:tcPr>
          <w:p>
            <w:pPr>
              <w:pStyle w:val="TableParagraph"/>
              <w:ind w:left="399"/>
              <w:jc w:val="left"/>
              <w:rPr>
                <w:sz w:val="14"/>
              </w:rPr>
            </w:pPr>
            <w:r>
              <w:rPr>
                <w:color w:val="231F20"/>
                <w:spacing w:val="-5"/>
                <w:w w:val="95"/>
                <w:sz w:val="14"/>
              </w:rPr>
              <w:t>1.7</w:t>
            </w:r>
          </w:p>
        </w:tc>
        <w:tc>
          <w:tcPr>
            <w:tcW w:w="755" w:type="dxa"/>
          </w:tcPr>
          <w:p>
            <w:pPr>
              <w:pStyle w:val="TableParagraph"/>
              <w:ind w:left="86" w:right="51"/>
              <w:rPr>
                <w:sz w:val="14"/>
              </w:rPr>
            </w:pPr>
            <w:r>
              <w:rPr>
                <w:color w:val="231F20"/>
                <w:spacing w:val="-5"/>
                <w:w w:val="95"/>
                <w:sz w:val="14"/>
              </w:rPr>
              <w:t>3.6</w:t>
            </w:r>
          </w:p>
        </w:tc>
        <w:tc>
          <w:tcPr>
            <w:tcW w:w="240" w:type="dxa"/>
          </w:tcPr>
          <w:p>
            <w:pPr>
              <w:pStyle w:val="TableParagraph"/>
              <w:spacing w:before="0"/>
              <w:jc w:val="left"/>
              <w:rPr>
                <w:rFonts w:ascii="Times New Roman"/>
                <w:sz w:val="12"/>
              </w:rPr>
            </w:pPr>
          </w:p>
        </w:tc>
        <w:tc>
          <w:tcPr>
            <w:tcW w:w="851" w:type="dxa"/>
          </w:tcPr>
          <w:p>
            <w:pPr>
              <w:pStyle w:val="TableParagraph"/>
              <w:ind w:left="83" w:right="136"/>
              <w:rPr>
                <w:sz w:val="14"/>
              </w:rPr>
            </w:pPr>
            <w:r>
              <w:rPr>
                <w:color w:val="231F20"/>
                <w:spacing w:val="-5"/>
                <w:w w:val="95"/>
                <w:sz w:val="14"/>
              </w:rPr>
              <w:t>2.9</w:t>
            </w:r>
          </w:p>
        </w:tc>
        <w:tc>
          <w:tcPr>
            <w:tcW w:w="1073" w:type="dxa"/>
          </w:tcPr>
          <w:p>
            <w:pPr>
              <w:pStyle w:val="TableParagraph"/>
              <w:ind w:left="76" w:right="63"/>
              <w:rPr>
                <w:sz w:val="14"/>
              </w:rPr>
            </w:pPr>
            <w:r>
              <w:rPr>
                <w:color w:val="231F20"/>
                <w:spacing w:val="-5"/>
                <w:w w:val="95"/>
                <w:sz w:val="14"/>
              </w:rPr>
              <w:t>2.4</w:t>
            </w:r>
          </w:p>
        </w:tc>
        <w:tc>
          <w:tcPr>
            <w:tcW w:w="939" w:type="dxa"/>
          </w:tcPr>
          <w:p>
            <w:pPr>
              <w:pStyle w:val="TableParagraph"/>
              <w:ind w:left="33" w:right="32"/>
              <w:rPr>
                <w:sz w:val="14"/>
              </w:rPr>
            </w:pPr>
            <w:r>
              <w:rPr>
                <w:color w:val="231F20"/>
                <w:spacing w:val="-5"/>
                <w:w w:val="95"/>
                <w:sz w:val="14"/>
              </w:rPr>
              <w:t>1.7</w:t>
            </w:r>
          </w:p>
        </w:tc>
        <w:tc>
          <w:tcPr>
            <w:tcW w:w="1005" w:type="dxa"/>
          </w:tcPr>
          <w:p>
            <w:pPr>
              <w:pStyle w:val="TableParagraph"/>
              <w:ind w:right="390"/>
              <w:jc w:val="right"/>
              <w:rPr>
                <w:sz w:val="14"/>
              </w:rPr>
            </w:pPr>
            <w:r>
              <w:rPr>
                <w:color w:val="231F20"/>
                <w:spacing w:val="-5"/>
                <w:w w:val="95"/>
                <w:sz w:val="14"/>
              </w:rPr>
              <w:t>3.6</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Finland</w:t>
            </w:r>
          </w:p>
        </w:tc>
        <w:tc>
          <w:tcPr>
            <w:tcW w:w="1103" w:type="dxa"/>
            <w:shd w:val="clear" w:color="auto" w:fill="D4E3F5"/>
          </w:tcPr>
          <w:p>
            <w:pPr>
              <w:pStyle w:val="TableParagraph"/>
              <w:ind w:right="434"/>
              <w:jc w:val="right"/>
              <w:rPr>
                <w:sz w:val="14"/>
              </w:rPr>
            </w:pPr>
            <w:r>
              <w:rPr>
                <w:color w:val="231F20"/>
                <w:spacing w:val="-2"/>
                <w:w w:val="95"/>
                <w:sz w:val="14"/>
              </w:rPr>
              <w:t>3,137</w:t>
            </w:r>
          </w:p>
        </w:tc>
        <w:tc>
          <w:tcPr>
            <w:tcW w:w="851" w:type="dxa"/>
            <w:shd w:val="clear" w:color="auto" w:fill="D4E3F5"/>
          </w:tcPr>
          <w:p>
            <w:pPr>
              <w:pStyle w:val="TableParagraph"/>
              <w:ind w:left="21" w:right="136"/>
              <w:rPr>
                <w:sz w:val="14"/>
              </w:rPr>
            </w:pPr>
            <w:r>
              <w:rPr>
                <w:color w:val="231F20"/>
                <w:spacing w:val="-4"/>
                <w:w w:val="95"/>
                <w:sz w:val="14"/>
              </w:rPr>
              <w:t>12.5</w:t>
            </w:r>
          </w:p>
        </w:tc>
        <w:tc>
          <w:tcPr>
            <w:tcW w:w="1063" w:type="dxa"/>
            <w:shd w:val="clear" w:color="auto" w:fill="D4E3F5"/>
          </w:tcPr>
          <w:p>
            <w:pPr>
              <w:pStyle w:val="TableParagraph"/>
              <w:ind w:left="77" w:right="53"/>
              <w:rPr>
                <w:sz w:val="14"/>
              </w:rPr>
            </w:pPr>
            <w:r>
              <w:rPr>
                <w:color w:val="231F20"/>
                <w:spacing w:val="-5"/>
                <w:w w:val="95"/>
                <w:sz w:val="14"/>
              </w:rPr>
              <w:t>6.8</w:t>
            </w:r>
          </w:p>
        </w:tc>
        <w:tc>
          <w:tcPr>
            <w:tcW w:w="1080" w:type="dxa"/>
            <w:shd w:val="clear" w:color="auto" w:fill="D4E3F5"/>
          </w:tcPr>
          <w:p>
            <w:pPr>
              <w:pStyle w:val="TableParagraph"/>
              <w:ind w:left="391"/>
              <w:jc w:val="left"/>
              <w:rPr>
                <w:sz w:val="14"/>
              </w:rPr>
            </w:pPr>
            <w:r>
              <w:rPr>
                <w:color w:val="231F20"/>
                <w:spacing w:val="-5"/>
                <w:w w:val="95"/>
                <w:sz w:val="14"/>
              </w:rPr>
              <w:t>3.4</w:t>
            </w:r>
          </w:p>
        </w:tc>
        <w:tc>
          <w:tcPr>
            <w:tcW w:w="755" w:type="dxa"/>
            <w:shd w:val="clear" w:color="auto" w:fill="D4E3F5"/>
          </w:tcPr>
          <w:p>
            <w:pPr>
              <w:pStyle w:val="TableParagraph"/>
              <w:ind w:left="48" w:right="75"/>
              <w:rPr>
                <w:sz w:val="14"/>
              </w:rPr>
            </w:pPr>
            <w:r>
              <w:rPr>
                <w:color w:val="231F20"/>
                <w:spacing w:val="-4"/>
                <w:w w:val="95"/>
                <w:sz w:val="14"/>
              </w:rPr>
              <w:t>14.7</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50"/>
              <w:jc w:val="left"/>
              <w:rPr>
                <w:sz w:val="14"/>
              </w:rPr>
            </w:pPr>
            <w:r>
              <w:rPr>
                <w:color w:val="231F20"/>
                <w:spacing w:val="-4"/>
                <w:w w:val="95"/>
                <w:sz w:val="14"/>
              </w:rPr>
              <w:t>12.5</w:t>
            </w:r>
          </w:p>
        </w:tc>
        <w:tc>
          <w:tcPr>
            <w:tcW w:w="1073" w:type="dxa"/>
            <w:shd w:val="clear" w:color="auto" w:fill="D4E3F5"/>
          </w:tcPr>
          <w:p>
            <w:pPr>
              <w:pStyle w:val="TableParagraph"/>
              <w:ind w:left="77" w:right="63"/>
              <w:rPr>
                <w:sz w:val="14"/>
              </w:rPr>
            </w:pPr>
            <w:r>
              <w:rPr>
                <w:color w:val="231F20"/>
                <w:spacing w:val="-5"/>
                <w:w w:val="95"/>
                <w:sz w:val="14"/>
              </w:rPr>
              <w:t>6.8</w:t>
            </w:r>
          </w:p>
        </w:tc>
        <w:tc>
          <w:tcPr>
            <w:tcW w:w="939" w:type="dxa"/>
            <w:shd w:val="clear" w:color="auto" w:fill="D4E3F5"/>
          </w:tcPr>
          <w:p>
            <w:pPr>
              <w:pStyle w:val="TableParagraph"/>
              <w:ind w:left="30" w:right="32"/>
              <w:rPr>
                <w:sz w:val="14"/>
              </w:rPr>
            </w:pPr>
            <w:r>
              <w:rPr>
                <w:color w:val="231F20"/>
                <w:spacing w:val="-5"/>
                <w:w w:val="95"/>
                <w:sz w:val="14"/>
              </w:rPr>
              <w:t>3.4</w:t>
            </w:r>
          </w:p>
        </w:tc>
        <w:tc>
          <w:tcPr>
            <w:tcW w:w="1005" w:type="dxa"/>
            <w:shd w:val="clear" w:color="auto" w:fill="D4E3F5"/>
          </w:tcPr>
          <w:p>
            <w:pPr>
              <w:pStyle w:val="TableParagraph"/>
              <w:ind w:right="394"/>
              <w:jc w:val="right"/>
              <w:rPr>
                <w:sz w:val="14"/>
              </w:rPr>
            </w:pPr>
            <w:r>
              <w:rPr>
                <w:color w:val="231F20"/>
                <w:spacing w:val="-4"/>
                <w:w w:val="95"/>
                <w:sz w:val="14"/>
              </w:rPr>
              <w:t>14.7</w:t>
            </w:r>
          </w:p>
        </w:tc>
      </w:tr>
      <w:tr>
        <w:trPr>
          <w:trHeight w:val="259" w:hRule="atLeast"/>
        </w:trPr>
        <w:tc>
          <w:tcPr>
            <w:tcW w:w="1358" w:type="dxa"/>
          </w:tcPr>
          <w:p>
            <w:pPr>
              <w:pStyle w:val="TableParagraph"/>
              <w:ind w:left="80"/>
              <w:jc w:val="left"/>
              <w:rPr>
                <w:sz w:val="14"/>
              </w:rPr>
            </w:pPr>
            <w:r>
              <w:rPr>
                <w:color w:val="231F20"/>
                <w:spacing w:val="-2"/>
                <w:w w:val="85"/>
                <w:sz w:val="14"/>
              </w:rPr>
              <w:t>France</w:t>
            </w:r>
          </w:p>
        </w:tc>
        <w:tc>
          <w:tcPr>
            <w:tcW w:w="1103" w:type="dxa"/>
          </w:tcPr>
          <w:p>
            <w:pPr>
              <w:pStyle w:val="TableParagraph"/>
              <w:ind w:right="434"/>
              <w:jc w:val="right"/>
              <w:rPr>
                <w:sz w:val="14"/>
              </w:rPr>
            </w:pPr>
            <w:r>
              <w:rPr>
                <w:color w:val="231F20"/>
                <w:spacing w:val="-2"/>
                <w:w w:val="95"/>
                <w:sz w:val="14"/>
              </w:rPr>
              <w:t>18,617</w:t>
            </w:r>
          </w:p>
        </w:tc>
        <w:tc>
          <w:tcPr>
            <w:tcW w:w="851" w:type="dxa"/>
          </w:tcPr>
          <w:p>
            <w:pPr>
              <w:pStyle w:val="TableParagraph"/>
              <w:ind w:left="63" w:right="136"/>
              <w:rPr>
                <w:sz w:val="14"/>
              </w:rPr>
            </w:pPr>
            <w:r>
              <w:rPr>
                <w:color w:val="231F20"/>
                <w:spacing w:val="-5"/>
                <w:w w:val="95"/>
                <w:sz w:val="14"/>
              </w:rPr>
              <w:t>8.1</w:t>
            </w:r>
          </w:p>
        </w:tc>
        <w:tc>
          <w:tcPr>
            <w:tcW w:w="1063" w:type="dxa"/>
          </w:tcPr>
          <w:p>
            <w:pPr>
              <w:pStyle w:val="TableParagraph"/>
              <w:ind w:left="72" w:right="53"/>
              <w:rPr>
                <w:sz w:val="14"/>
              </w:rPr>
            </w:pPr>
            <w:r>
              <w:rPr>
                <w:color w:val="231F20"/>
                <w:spacing w:val="-5"/>
                <w:w w:val="95"/>
                <w:sz w:val="14"/>
              </w:rPr>
              <w:t>5.7</w:t>
            </w:r>
          </w:p>
        </w:tc>
        <w:tc>
          <w:tcPr>
            <w:tcW w:w="1080" w:type="dxa"/>
          </w:tcPr>
          <w:p>
            <w:pPr>
              <w:pStyle w:val="TableParagraph"/>
              <w:ind w:left="391"/>
              <w:jc w:val="left"/>
              <w:rPr>
                <w:sz w:val="14"/>
              </w:rPr>
            </w:pPr>
            <w:r>
              <w:rPr>
                <w:color w:val="231F20"/>
                <w:spacing w:val="-5"/>
                <w:w w:val="95"/>
                <w:sz w:val="14"/>
              </w:rPr>
              <w:t>3.5</w:t>
            </w:r>
          </w:p>
        </w:tc>
        <w:tc>
          <w:tcPr>
            <w:tcW w:w="755" w:type="dxa"/>
          </w:tcPr>
          <w:p>
            <w:pPr>
              <w:pStyle w:val="TableParagraph"/>
              <w:ind w:left="87" w:right="51"/>
              <w:rPr>
                <w:sz w:val="14"/>
              </w:rPr>
            </w:pPr>
            <w:r>
              <w:rPr>
                <w:color w:val="231F20"/>
                <w:spacing w:val="-5"/>
                <w:w w:val="95"/>
                <w:sz w:val="14"/>
              </w:rPr>
              <w:t>9.8</w:t>
            </w:r>
          </w:p>
        </w:tc>
        <w:tc>
          <w:tcPr>
            <w:tcW w:w="240" w:type="dxa"/>
          </w:tcPr>
          <w:p>
            <w:pPr>
              <w:pStyle w:val="TableParagraph"/>
              <w:spacing w:before="0"/>
              <w:jc w:val="left"/>
              <w:rPr>
                <w:rFonts w:ascii="Times New Roman"/>
                <w:sz w:val="12"/>
              </w:rPr>
            </w:pPr>
          </w:p>
        </w:tc>
        <w:tc>
          <w:tcPr>
            <w:tcW w:w="851" w:type="dxa"/>
          </w:tcPr>
          <w:p>
            <w:pPr>
              <w:pStyle w:val="TableParagraph"/>
              <w:ind w:left="96" w:right="136"/>
              <w:rPr>
                <w:sz w:val="14"/>
              </w:rPr>
            </w:pPr>
            <w:r>
              <w:rPr>
                <w:color w:val="231F20"/>
                <w:spacing w:val="-5"/>
                <w:w w:val="95"/>
                <w:sz w:val="14"/>
              </w:rPr>
              <w:t>7.9</w:t>
            </w:r>
          </w:p>
        </w:tc>
        <w:tc>
          <w:tcPr>
            <w:tcW w:w="1073" w:type="dxa"/>
          </w:tcPr>
          <w:p>
            <w:pPr>
              <w:pStyle w:val="TableParagraph"/>
              <w:ind w:left="78" w:right="63"/>
              <w:rPr>
                <w:sz w:val="14"/>
              </w:rPr>
            </w:pPr>
            <w:r>
              <w:rPr>
                <w:color w:val="231F20"/>
                <w:spacing w:val="-5"/>
                <w:w w:val="95"/>
                <w:sz w:val="14"/>
              </w:rPr>
              <w:t>5.6</w:t>
            </w:r>
          </w:p>
        </w:tc>
        <w:tc>
          <w:tcPr>
            <w:tcW w:w="939" w:type="dxa"/>
          </w:tcPr>
          <w:p>
            <w:pPr>
              <w:pStyle w:val="TableParagraph"/>
              <w:ind w:left="32" w:right="32"/>
              <w:rPr>
                <w:sz w:val="14"/>
              </w:rPr>
            </w:pPr>
            <w:r>
              <w:rPr>
                <w:color w:val="231F20"/>
                <w:spacing w:val="-5"/>
                <w:w w:val="95"/>
                <w:sz w:val="14"/>
              </w:rPr>
              <w:t>3.5</w:t>
            </w:r>
          </w:p>
        </w:tc>
        <w:tc>
          <w:tcPr>
            <w:tcW w:w="1005" w:type="dxa"/>
          </w:tcPr>
          <w:p>
            <w:pPr>
              <w:pStyle w:val="TableParagraph"/>
              <w:ind w:right="390"/>
              <w:jc w:val="right"/>
              <w:rPr>
                <w:sz w:val="14"/>
              </w:rPr>
            </w:pPr>
            <w:r>
              <w:rPr>
                <w:color w:val="231F20"/>
                <w:spacing w:val="-5"/>
                <w:w w:val="95"/>
                <w:sz w:val="14"/>
              </w:rPr>
              <w:t>9.5</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Gabon</w:t>
            </w:r>
          </w:p>
        </w:tc>
        <w:tc>
          <w:tcPr>
            <w:tcW w:w="1103" w:type="dxa"/>
            <w:shd w:val="clear" w:color="auto" w:fill="D4E3F5"/>
          </w:tcPr>
          <w:p>
            <w:pPr>
              <w:pStyle w:val="TableParagraph"/>
              <w:ind w:right="435"/>
              <w:jc w:val="right"/>
              <w:rPr>
                <w:sz w:val="14"/>
              </w:rPr>
            </w:pPr>
            <w:r>
              <w:rPr>
                <w:color w:val="231F20"/>
                <w:spacing w:val="-5"/>
                <w:w w:val="95"/>
                <w:sz w:val="14"/>
              </w:rPr>
              <w:t>934</w:t>
            </w:r>
          </w:p>
        </w:tc>
        <w:tc>
          <w:tcPr>
            <w:tcW w:w="851" w:type="dxa"/>
            <w:shd w:val="clear" w:color="auto" w:fill="D4E3F5"/>
          </w:tcPr>
          <w:p>
            <w:pPr>
              <w:pStyle w:val="TableParagraph"/>
              <w:ind w:left="27" w:right="136"/>
              <w:rPr>
                <w:sz w:val="14"/>
              </w:rPr>
            </w:pPr>
            <w:r>
              <w:rPr>
                <w:color w:val="231F20"/>
                <w:spacing w:val="-4"/>
                <w:w w:val="95"/>
                <w:sz w:val="14"/>
              </w:rPr>
              <w:t>11.4</w:t>
            </w:r>
          </w:p>
        </w:tc>
        <w:tc>
          <w:tcPr>
            <w:tcW w:w="1063" w:type="dxa"/>
            <w:shd w:val="clear" w:color="auto" w:fill="D4E3F5"/>
          </w:tcPr>
          <w:p>
            <w:pPr>
              <w:pStyle w:val="TableParagraph"/>
              <w:ind w:left="78" w:right="53"/>
              <w:rPr>
                <w:sz w:val="14"/>
              </w:rPr>
            </w:pPr>
            <w:r>
              <w:rPr>
                <w:color w:val="231F20"/>
                <w:spacing w:val="-5"/>
                <w:w w:val="95"/>
                <w:sz w:val="14"/>
              </w:rPr>
              <w:t>8.8</w:t>
            </w:r>
          </w:p>
        </w:tc>
        <w:tc>
          <w:tcPr>
            <w:tcW w:w="1080" w:type="dxa"/>
            <w:shd w:val="clear" w:color="auto" w:fill="D4E3F5"/>
          </w:tcPr>
          <w:p>
            <w:pPr>
              <w:pStyle w:val="TableParagraph"/>
              <w:ind w:left="392"/>
              <w:jc w:val="left"/>
              <w:rPr>
                <w:sz w:val="14"/>
              </w:rPr>
            </w:pPr>
            <w:r>
              <w:rPr>
                <w:color w:val="231F20"/>
                <w:spacing w:val="-5"/>
                <w:w w:val="95"/>
                <w:sz w:val="14"/>
              </w:rPr>
              <w:t>5.8</w:t>
            </w:r>
          </w:p>
        </w:tc>
        <w:tc>
          <w:tcPr>
            <w:tcW w:w="755" w:type="dxa"/>
            <w:shd w:val="clear" w:color="auto" w:fill="D4E3F5"/>
          </w:tcPr>
          <w:p>
            <w:pPr>
              <w:pStyle w:val="TableParagraph"/>
              <w:ind w:left="48" w:right="73"/>
              <w:rPr>
                <w:sz w:val="14"/>
              </w:rPr>
            </w:pPr>
            <w:r>
              <w:rPr>
                <w:color w:val="231F20"/>
                <w:spacing w:val="-4"/>
                <w:w w:val="95"/>
                <w:sz w:val="14"/>
              </w:rPr>
              <w:t>13.9</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58"/>
              <w:jc w:val="left"/>
              <w:rPr>
                <w:sz w:val="14"/>
              </w:rPr>
            </w:pPr>
            <w:r>
              <w:rPr>
                <w:color w:val="231F20"/>
                <w:spacing w:val="-4"/>
                <w:w w:val="95"/>
                <w:sz w:val="14"/>
              </w:rPr>
              <w:t>11.4</w:t>
            </w:r>
          </w:p>
        </w:tc>
        <w:tc>
          <w:tcPr>
            <w:tcW w:w="1073" w:type="dxa"/>
            <w:shd w:val="clear" w:color="auto" w:fill="D4E3F5"/>
          </w:tcPr>
          <w:p>
            <w:pPr>
              <w:pStyle w:val="TableParagraph"/>
              <w:ind w:left="79" w:right="63"/>
              <w:rPr>
                <w:sz w:val="14"/>
              </w:rPr>
            </w:pPr>
            <w:r>
              <w:rPr>
                <w:color w:val="231F20"/>
                <w:spacing w:val="-5"/>
                <w:w w:val="95"/>
                <w:sz w:val="14"/>
              </w:rPr>
              <w:t>8.8</w:t>
            </w:r>
          </w:p>
        </w:tc>
        <w:tc>
          <w:tcPr>
            <w:tcW w:w="939" w:type="dxa"/>
            <w:shd w:val="clear" w:color="auto" w:fill="D4E3F5"/>
          </w:tcPr>
          <w:p>
            <w:pPr>
              <w:pStyle w:val="TableParagraph"/>
              <w:ind w:left="32" w:right="32"/>
              <w:rPr>
                <w:sz w:val="14"/>
              </w:rPr>
            </w:pPr>
            <w:r>
              <w:rPr>
                <w:color w:val="231F20"/>
                <w:spacing w:val="-5"/>
                <w:w w:val="95"/>
                <w:sz w:val="14"/>
              </w:rPr>
              <w:t>5.8</w:t>
            </w:r>
          </w:p>
        </w:tc>
        <w:tc>
          <w:tcPr>
            <w:tcW w:w="1005" w:type="dxa"/>
            <w:shd w:val="clear" w:color="auto" w:fill="D4E3F5"/>
          </w:tcPr>
          <w:p>
            <w:pPr>
              <w:pStyle w:val="TableParagraph"/>
              <w:ind w:right="390"/>
              <w:jc w:val="right"/>
              <w:rPr>
                <w:sz w:val="14"/>
              </w:rPr>
            </w:pPr>
            <w:r>
              <w:rPr>
                <w:color w:val="231F20"/>
                <w:spacing w:val="-4"/>
                <w:w w:val="95"/>
                <w:sz w:val="14"/>
              </w:rPr>
              <w:t>13.9</w:t>
            </w:r>
          </w:p>
        </w:tc>
      </w:tr>
      <w:tr>
        <w:trPr>
          <w:trHeight w:val="259" w:hRule="atLeast"/>
        </w:trPr>
        <w:tc>
          <w:tcPr>
            <w:tcW w:w="1358" w:type="dxa"/>
          </w:tcPr>
          <w:p>
            <w:pPr>
              <w:pStyle w:val="TableParagraph"/>
              <w:ind w:left="80"/>
              <w:jc w:val="left"/>
              <w:rPr>
                <w:sz w:val="14"/>
              </w:rPr>
            </w:pPr>
            <w:r>
              <w:rPr>
                <w:color w:val="231F20"/>
                <w:w w:val="75"/>
                <w:sz w:val="14"/>
              </w:rPr>
              <w:t>Gambia,</w:t>
            </w:r>
            <w:r>
              <w:rPr>
                <w:color w:val="231F20"/>
                <w:spacing w:val="16"/>
                <w:sz w:val="14"/>
              </w:rPr>
              <w:t> </w:t>
            </w:r>
            <w:r>
              <w:rPr>
                <w:color w:val="231F20"/>
                <w:spacing w:val="-5"/>
                <w:w w:val="80"/>
                <w:sz w:val="14"/>
              </w:rPr>
              <w:t>The</w:t>
            </w:r>
          </w:p>
        </w:tc>
        <w:tc>
          <w:tcPr>
            <w:tcW w:w="1103" w:type="dxa"/>
          </w:tcPr>
          <w:p>
            <w:pPr>
              <w:pStyle w:val="TableParagraph"/>
              <w:ind w:right="434"/>
              <w:jc w:val="right"/>
              <w:rPr>
                <w:sz w:val="14"/>
              </w:rPr>
            </w:pPr>
            <w:r>
              <w:rPr>
                <w:color w:val="231F20"/>
                <w:spacing w:val="-2"/>
                <w:w w:val="95"/>
                <w:sz w:val="14"/>
              </w:rPr>
              <w:t>2,644</w:t>
            </w:r>
          </w:p>
        </w:tc>
        <w:tc>
          <w:tcPr>
            <w:tcW w:w="851" w:type="dxa"/>
          </w:tcPr>
          <w:p>
            <w:pPr>
              <w:pStyle w:val="TableParagraph"/>
              <w:ind w:left="78" w:right="136"/>
              <w:rPr>
                <w:sz w:val="14"/>
              </w:rPr>
            </w:pPr>
            <w:r>
              <w:rPr>
                <w:color w:val="231F20"/>
                <w:spacing w:val="-5"/>
                <w:w w:val="95"/>
                <w:sz w:val="14"/>
              </w:rPr>
              <w:t>9.7</w:t>
            </w:r>
          </w:p>
        </w:tc>
        <w:tc>
          <w:tcPr>
            <w:tcW w:w="1063" w:type="dxa"/>
          </w:tcPr>
          <w:p>
            <w:pPr>
              <w:pStyle w:val="TableParagraph"/>
              <w:ind w:left="71" w:right="53"/>
              <w:rPr>
                <w:sz w:val="14"/>
              </w:rPr>
            </w:pPr>
            <w:r>
              <w:rPr>
                <w:color w:val="231F20"/>
                <w:spacing w:val="-5"/>
                <w:w w:val="95"/>
                <w:sz w:val="14"/>
              </w:rPr>
              <w:t>6.7</w:t>
            </w:r>
          </w:p>
        </w:tc>
        <w:tc>
          <w:tcPr>
            <w:tcW w:w="1080" w:type="dxa"/>
          </w:tcPr>
          <w:p>
            <w:pPr>
              <w:pStyle w:val="TableParagraph"/>
              <w:ind w:left="391"/>
              <w:jc w:val="left"/>
              <w:rPr>
                <w:sz w:val="14"/>
              </w:rPr>
            </w:pPr>
            <w:r>
              <w:rPr>
                <w:color w:val="231F20"/>
                <w:spacing w:val="-5"/>
                <w:w w:val="95"/>
                <w:sz w:val="14"/>
              </w:rPr>
              <w:t>3.9</w:t>
            </w:r>
          </w:p>
        </w:tc>
        <w:tc>
          <w:tcPr>
            <w:tcW w:w="755" w:type="dxa"/>
          </w:tcPr>
          <w:p>
            <w:pPr>
              <w:pStyle w:val="TableParagraph"/>
              <w:ind w:left="48" w:right="77"/>
              <w:rPr>
                <w:sz w:val="14"/>
              </w:rPr>
            </w:pPr>
            <w:r>
              <w:rPr>
                <w:color w:val="231F20"/>
                <w:spacing w:val="-4"/>
                <w:w w:val="95"/>
                <w:sz w:val="14"/>
              </w:rPr>
              <w:t>10.7</w:t>
            </w:r>
          </w:p>
        </w:tc>
        <w:tc>
          <w:tcPr>
            <w:tcW w:w="240" w:type="dxa"/>
          </w:tcPr>
          <w:p>
            <w:pPr>
              <w:pStyle w:val="TableParagraph"/>
              <w:spacing w:before="0"/>
              <w:jc w:val="left"/>
              <w:rPr>
                <w:rFonts w:ascii="Times New Roman"/>
                <w:sz w:val="12"/>
              </w:rPr>
            </w:pPr>
          </w:p>
        </w:tc>
        <w:tc>
          <w:tcPr>
            <w:tcW w:w="851" w:type="dxa"/>
          </w:tcPr>
          <w:p>
            <w:pPr>
              <w:pStyle w:val="TableParagraph"/>
              <w:ind w:left="79" w:right="136"/>
              <w:rPr>
                <w:sz w:val="14"/>
              </w:rPr>
            </w:pPr>
            <w:r>
              <w:rPr>
                <w:color w:val="231F20"/>
                <w:spacing w:val="-5"/>
                <w:w w:val="95"/>
                <w:sz w:val="14"/>
              </w:rPr>
              <w:t>9.7</w:t>
            </w:r>
          </w:p>
        </w:tc>
        <w:tc>
          <w:tcPr>
            <w:tcW w:w="1073" w:type="dxa"/>
          </w:tcPr>
          <w:p>
            <w:pPr>
              <w:pStyle w:val="TableParagraph"/>
              <w:ind w:left="72" w:right="63"/>
              <w:rPr>
                <w:sz w:val="14"/>
              </w:rPr>
            </w:pPr>
            <w:r>
              <w:rPr>
                <w:color w:val="231F20"/>
                <w:spacing w:val="-5"/>
                <w:w w:val="95"/>
                <w:sz w:val="14"/>
              </w:rPr>
              <w:t>6.7</w:t>
            </w:r>
          </w:p>
        </w:tc>
        <w:tc>
          <w:tcPr>
            <w:tcW w:w="939" w:type="dxa"/>
          </w:tcPr>
          <w:p>
            <w:pPr>
              <w:pStyle w:val="TableParagraph"/>
              <w:ind w:left="31" w:right="32"/>
              <w:rPr>
                <w:sz w:val="14"/>
              </w:rPr>
            </w:pPr>
            <w:r>
              <w:rPr>
                <w:color w:val="231F20"/>
                <w:spacing w:val="-5"/>
                <w:w w:val="95"/>
                <w:sz w:val="14"/>
              </w:rPr>
              <w:t>3.9</w:t>
            </w:r>
          </w:p>
        </w:tc>
        <w:tc>
          <w:tcPr>
            <w:tcW w:w="1005" w:type="dxa"/>
          </w:tcPr>
          <w:p>
            <w:pPr>
              <w:pStyle w:val="TableParagraph"/>
              <w:ind w:right="394"/>
              <w:jc w:val="right"/>
              <w:rPr>
                <w:sz w:val="14"/>
              </w:rPr>
            </w:pPr>
            <w:r>
              <w:rPr>
                <w:color w:val="231F20"/>
                <w:spacing w:val="-4"/>
                <w:w w:val="95"/>
                <w:sz w:val="14"/>
              </w:rPr>
              <w:t>10.7</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Georgia</w:t>
            </w:r>
          </w:p>
        </w:tc>
        <w:tc>
          <w:tcPr>
            <w:tcW w:w="1103" w:type="dxa"/>
            <w:shd w:val="clear" w:color="auto" w:fill="D4E3F5"/>
          </w:tcPr>
          <w:p>
            <w:pPr>
              <w:pStyle w:val="TableParagraph"/>
              <w:ind w:right="440"/>
              <w:jc w:val="right"/>
              <w:rPr>
                <w:sz w:val="14"/>
              </w:rPr>
            </w:pPr>
            <w:r>
              <w:rPr>
                <w:color w:val="231F20"/>
                <w:spacing w:val="-2"/>
                <w:w w:val="95"/>
                <w:sz w:val="14"/>
              </w:rPr>
              <w:t>4,717</w:t>
            </w:r>
          </w:p>
        </w:tc>
        <w:tc>
          <w:tcPr>
            <w:tcW w:w="851" w:type="dxa"/>
            <w:shd w:val="clear" w:color="auto" w:fill="D4E3F5"/>
          </w:tcPr>
          <w:p>
            <w:pPr>
              <w:pStyle w:val="TableParagraph"/>
              <w:ind w:left="83" w:right="136"/>
              <w:rPr>
                <w:sz w:val="14"/>
              </w:rPr>
            </w:pPr>
            <w:r>
              <w:rPr>
                <w:color w:val="231F20"/>
                <w:spacing w:val="-5"/>
                <w:w w:val="95"/>
                <w:sz w:val="14"/>
              </w:rPr>
              <w:t>4.6</w:t>
            </w:r>
          </w:p>
        </w:tc>
        <w:tc>
          <w:tcPr>
            <w:tcW w:w="1063" w:type="dxa"/>
            <w:shd w:val="clear" w:color="auto" w:fill="D4E3F5"/>
          </w:tcPr>
          <w:p>
            <w:pPr>
              <w:pStyle w:val="TableParagraph"/>
              <w:ind w:left="77" w:right="53"/>
              <w:rPr>
                <w:sz w:val="14"/>
              </w:rPr>
            </w:pPr>
            <w:r>
              <w:rPr>
                <w:color w:val="231F20"/>
                <w:spacing w:val="-5"/>
                <w:w w:val="95"/>
                <w:sz w:val="14"/>
              </w:rPr>
              <w:t>2.5</w:t>
            </w:r>
          </w:p>
        </w:tc>
        <w:tc>
          <w:tcPr>
            <w:tcW w:w="1080" w:type="dxa"/>
            <w:shd w:val="clear" w:color="auto" w:fill="D4E3F5"/>
          </w:tcPr>
          <w:p>
            <w:pPr>
              <w:pStyle w:val="TableParagraph"/>
              <w:ind w:left="399"/>
              <w:jc w:val="left"/>
              <w:rPr>
                <w:sz w:val="14"/>
              </w:rPr>
            </w:pPr>
            <w:r>
              <w:rPr>
                <w:color w:val="231F20"/>
                <w:spacing w:val="-5"/>
                <w:w w:val="95"/>
                <w:sz w:val="14"/>
              </w:rPr>
              <w:t>1.1</w:t>
            </w:r>
          </w:p>
        </w:tc>
        <w:tc>
          <w:tcPr>
            <w:tcW w:w="755" w:type="dxa"/>
            <w:shd w:val="clear" w:color="auto" w:fill="D4E3F5"/>
          </w:tcPr>
          <w:p>
            <w:pPr>
              <w:pStyle w:val="TableParagraph"/>
              <w:ind w:left="68" w:right="51"/>
              <w:rPr>
                <w:sz w:val="14"/>
              </w:rPr>
            </w:pPr>
            <w:r>
              <w:rPr>
                <w:color w:val="231F20"/>
                <w:spacing w:val="-5"/>
                <w:w w:val="95"/>
                <w:sz w:val="14"/>
              </w:rPr>
              <w:t>5.1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3" w:right="136"/>
              <w:rPr>
                <w:sz w:val="14"/>
              </w:rPr>
            </w:pPr>
            <w:r>
              <w:rPr>
                <w:color w:val="231F20"/>
                <w:spacing w:val="-5"/>
                <w:w w:val="95"/>
                <w:sz w:val="14"/>
              </w:rPr>
              <w:t>3.6</w:t>
            </w:r>
          </w:p>
        </w:tc>
        <w:tc>
          <w:tcPr>
            <w:tcW w:w="1073" w:type="dxa"/>
            <w:shd w:val="clear" w:color="auto" w:fill="D4E3F5"/>
          </w:tcPr>
          <w:p>
            <w:pPr>
              <w:pStyle w:val="TableParagraph"/>
              <w:ind w:left="84" w:right="63"/>
              <w:rPr>
                <w:sz w:val="14"/>
              </w:rPr>
            </w:pPr>
            <w:r>
              <w:rPr>
                <w:color w:val="231F20"/>
                <w:spacing w:val="-5"/>
                <w:w w:val="95"/>
                <w:sz w:val="14"/>
              </w:rPr>
              <w:t>1.6</w:t>
            </w:r>
          </w:p>
        </w:tc>
        <w:tc>
          <w:tcPr>
            <w:tcW w:w="939" w:type="dxa"/>
            <w:shd w:val="clear" w:color="auto" w:fill="D4E3F5"/>
          </w:tcPr>
          <w:p>
            <w:pPr>
              <w:pStyle w:val="TableParagraph"/>
              <w:ind w:left="31" w:right="32"/>
              <w:rPr>
                <w:sz w:val="14"/>
              </w:rPr>
            </w:pPr>
            <w:r>
              <w:rPr>
                <w:color w:val="231F20"/>
                <w:spacing w:val="-5"/>
                <w:w w:val="95"/>
                <w:sz w:val="14"/>
              </w:rPr>
              <w:t>0.5</w:t>
            </w:r>
          </w:p>
        </w:tc>
        <w:tc>
          <w:tcPr>
            <w:tcW w:w="1005" w:type="dxa"/>
            <w:shd w:val="clear" w:color="auto" w:fill="D4E3F5"/>
          </w:tcPr>
          <w:p>
            <w:pPr>
              <w:pStyle w:val="TableParagraph"/>
              <w:ind w:right="395"/>
              <w:jc w:val="right"/>
              <w:rPr>
                <w:sz w:val="14"/>
              </w:rPr>
            </w:pPr>
            <w:r>
              <w:rPr>
                <w:color w:val="231F20"/>
                <w:spacing w:val="-5"/>
                <w:w w:val="95"/>
                <w:sz w:val="14"/>
              </w:rPr>
              <w:t>3.7</w:t>
            </w:r>
          </w:p>
        </w:tc>
      </w:tr>
      <w:tr>
        <w:trPr>
          <w:trHeight w:val="259" w:hRule="atLeast"/>
        </w:trPr>
        <w:tc>
          <w:tcPr>
            <w:tcW w:w="1358" w:type="dxa"/>
          </w:tcPr>
          <w:p>
            <w:pPr>
              <w:pStyle w:val="TableParagraph"/>
              <w:ind w:left="80"/>
              <w:jc w:val="left"/>
              <w:rPr>
                <w:sz w:val="14"/>
              </w:rPr>
            </w:pPr>
            <w:r>
              <w:rPr>
                <w:color w:val="231F20"/>
                <w:spacing w:val="-2"/>
                <w:w w:val="85"/>
                <w:sz w:val="14"/>
              </w:rPr>
              <w:t>Germany</w:t>
            </w:r>
          </w:p>
        </w:tc>
        <w:tc>
          <w:tcPr>
            <w:tcW w:w="1103" w:type="dxa"/>
          </w:tcPr>
          <w:p>
            <w:pPr>
              <w:pStyle w:val="TableParagraph"/>
              <w:ind w:right="435"/>
              <w:jc w:val="right"/>
              <w:rPr>
                <w:sz w:val="14"/>
              </w:rPr>
            </w:pPr>
            <w:r>
              <w:rPr>
                <w:color w:val="231F20"/>
                <w:spacing w:val="-2"/>
                <w:w w:val="95"/>
                <w:sz w:val="14"/>
              </w:rPr>
              <w:t>51,995</w:t>
            </w:r>
          </w:p>
        </w:tc>
        <w:tc>
          <w:tcPr>
            <w:tcW w:w="851" w:type="dxa"/>
          </w:tcPr>
          <w:p>
            <w:pPr>
              <w:pStyle w:val="TableParagraph"/>
              <w:ind w:left="2" w:right="136"/>
              <w:rPr>
                <w:sz w:val="14"/>
              </w:rPr>
            </w:pPr>
            <w:r>
              <w:rPr>
                <w:color w:val="231F20"/>
                <w:spacing w:val="-4"/>
                <w:w w:val="95"/>
                <w:sz w:val="14"/>
              </w:rPr>
              <w:t>12.1</w:t>
            </w:r>
          </w:p>
        </w:tc>
        <w:tc>
          <w:tcPr>
            <w:tcW w:w="1063" w:type="dxa"/>
          </w:tcPr>
          <w:p>
            <w:pPr>
              <w:pStyle w:val="TableParagraph"/>
              <w:ind w:left="77" w:right="53"/>
              <w:rPr>
                <w:sz w:val="14"/>
              </w:rPr>
            </w:pPr>
            <w:r>
              <w:rPr>
                <w:color w:val="231F20"/>
                <w:spacing w:val="-5"/>
                <w:w w:val="95"/>
                <w:sz w:val="14"/>
              </w:rPr>
              <w:t>8.6</w:t>
            </w:r>
          </w:p>
        </w:tc>
        <w:tc>
          <w:tcPr>
            <w:tcW w:w="1080" w:type="dxa"/>
          </w:tcPr>
          <w:p>
            <w:pPr>
              <w:pStyle w:val="TableParagraph"/>
              <w:ind w:left="392"/>
              <w:jc w:val="left"/>
              <w:rPr>
                <w:sz w:val="14"/>
              </w:rPr>
            </w:pPr>
            <w:r>
              <w:rPr>
                <w:color w:val="231F20"/>
                <w:spacing w:val="-5"/>
                <w:w w:val="95"/>
                <w:sz w:val="14"/>
              </w:rPr>
              <w:t>5.1</w:t>
            </w:r>
          </w:p>
        </w:tc>
        <w:tc>
          <w:tcPr>
            <w:tcW w:w="755" w:type="dxa"/>
          </w:tcPr>
          <w:p>
            <w:pPr>
              <w:pStyle w:val="TableParagraph"/>
              <w:ind w:left="48" w:right="72"/>
              <w:rPr>
                <w:sz w:val="14"/>
              </w:rPr>
            </w:pPr>
            <w:r>
              <w:rPr>
                <w:color w:val="231F20"/>
                <w:spacing w:val="-4"/>
                <w:w w:val="95"/>
                <w:sz w:val="14"/>
              </w:rPr>
              <w:t>15.3</w:t>
            </w:r>
          </w:p>
        </w:tc>
        <w:tc>
          <w:tcPr>
            <w:tcW w:w="240" w:type="dxa"/>
          </w:tcPr>
          <w:p>
            <w:pPr>
              <w:pStyle w:val="TableParagraph"/>
              <w:spacing w:before="0"/>
              <w:jc w:val="left"/>
              <w:rPr>
                <w:rFonts w:ascii="Times New Roman"/>
                <w:sz w:val="12"/>
              </w:rPr>
            </w:pPr>
          </w:p>
        </w:tc>
        <w:tc>
          <w:tcPr>
            <w:tcW w:w="851" w:type="dxa"/>
          </w:tcPr>
          <w:p>
            <w:pPr>
              <w:pStyle w:val="TableParagraph"/>
              <w:ind w:left="248"/>
              <w:jc w:val="left"/>
              <w:rPr>
                <w:sz w:val="14"/>
              </w:rPr>
            </w:pPr>
            <w:r>
              <w:rPr>
                <w:color w:val="231F20"/>
                <w:spacing w:val="-4"/>
                <w:w w:val="95"/>
                <w:sz w:val="14"/>
              </w:rPr>
              <w:t>10.2</w:t>
            </w:r>
          </w:p>
        </w:tc>
        <w:tc>
          <w:tcPr>
            <w:tcW w:w="1073" w:type="dxa"/>
          </w:tcPr>
          <w:p>
            <w:pPr>
              <w:pStyle w:val="TableParagraph"/>
              <w:ind w:left="90" w:right="63"/>
              <w:rPr>
                <w:sz w:val="14"/>
              </w:rPr>
            </w:pPr>
            <w:r>
              <w:rPr>
                <w:color w:val="231F20"/>
                <w:spacing w:val="-5"/>
                <w:w w:val="95"/>
                <w:sz w:val="14"/>
              </w:rPr>
              <w:t>7.6</w:t>
            </w:r>
          </w:p>
        </w:tc>
        <w:tc>
          <w:tcPr>
            <w:tcW w:w="939" w:type="dxa"/>
          </w:tcPr>
          <w:p>
            <w:pPr>
              <w:pStyle w:val="TableParagraph"/>
              <w:ind w:left="28" w:right="32"/>
              <w:rPr>
                <w:sz w:val="14"/>
              </w:rPr>
            </w:pPr>
            <w:r>
              <w:rPr>
                <w:color w:val="231F20"/>
                <w:spacing w:val="-5"/>
                <w:w w:val="95"/>
                <w:sz w:val="14"/>
              </w:rPr>
              <w:t>4.7</w:t>
            </w:r>
          </w:p>
        </w:tc>
        <w:tc>
          <w:tcPr>
            <w:tcW w:w="1005" w:type="dxa"/>
          </w:tcPr>
          <w:p>
            <w:pPr>
              <w:pStyle w:val="TableParagraph"/>
              <w:ind w:right="390"/>
              <w:jc w:val="right"/>
              <w:rPr>
                <w:sz w:val="14"/>
              </w:rPr>
            </w:pPr>
            <w:r>
              <w:rPr>
                <w:color w:val="231F20"/>
                <w:spacing w:val="-4"/>
                <w:w w:val="95"/>
                <w:sz w:val="14"/>
              </w:rPr>
              <w:t>12.8</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Ghana</w:t>
            </w:r>
          </w:p>
        </w:tc>
        <w:tc>
          <w:tcPr>
            <w:tcW w:w="1103" w:type="dxa"/>
            <w:shd w:val="clear" w:color="auto" w:fill="D4E3F5"/>
          </w:tcPr>
          <w:p>
            <w:pPr>
              <w:pStyle w:val="TableParagraph"/>
              <w:ind w:right="434"/>
              <w:jc w:val="right"/>
              <w:rPr>
                <w:sz w:val="14"/>
              </w:rPr>
            </w:pPr>
            <w:r>
              <w:rPr>
                <w:color w:val="231F20"/>
                <w:spacing w:val="-2"/>
                <w:w w:val="95"/>
                <w:sz w:val="14"/>
              </w:rPr>
              <w:t>18,882</w:t>
            </w:r>
          </w:p>
        </w:tc>
        <w:tc>
          <w:tcPr>
            <w:tcW w:w="851" w:type="dxa"/>
            <w:shd w:val="clear" w:color="auto" w:fill="D4E3F5"/>
          </w:tcPr>
          <w:p>
            <w:pPr>
              <w:pStyle w:val="TableParagraph"/>
              <w:ind w:left="93" w:right="136"/>
              <w:rPr>
                <w:sz w:val="14"/>
              </w:rPr>
            </w:pPr>
            <w:r>
              <w:rPr>
                <w:color w:val="231F20"/>
                <w:spacing w:val="-5"/>
                <w:w w:val="95"/>
                <w:sz w:val="14"/>
              </w:rPr>
              <w:t>7.4</w:t>
            </w:r>
          </w:p>
        </w:tc>
        <w:tc>
          <w:tcPr>
            <w:tcW w:w="1063" w:type="dxa"/>
            <w:shd w:val="clear" w:color="auto" w:fill="D4E3F5"/>
          </w:tcPr>
          <w:p>
            <w:pPr>
              <w:pStyle w:val="TableParagraph"/>
              <w:ind w:left="77" w:right="53"/>
              <w:rPr>
                <w:sz w:val="14"/>
              </w:rPr>
            </w:pPr>
            <w:r>
              <w:rPr>
                <w:color w:val="231F20"/>
                <w:spacing w:val="-5"/>
                <w:w w:val="95"/>
                <w:sz w:val="14"/>
              </w:rPr>
              <w:t>4.6</w:t>
            </w:r>
          </w:p>
        </w:tc>
        <w:tc>
          <w:tcPr>
            <w:tcW w:w="1080" w:type="dxa"/>
            <w:shd w:val="clear" w:color="auto" w:fill="D4E3F5"/>
          </w:tcPr>
          <w:p>
            <w:pPr>
              <w:pStyle w:val="TableParagraph"/>
              <w:ind w:left="392"/>
              <w:jc w:val="left"/>
              <w:rPr>
                <w:sz w:val="14"/>
              </w:rPr>
            </w:pPr>
            <w:r>
              <w:rPr>
                <w:color w:val="231F20"/>
                <w:spacing w:val="-5"/>
                <w:w w:val="95"/>
                <w:sz w:val="14"/>
              </w:rPr>
              <w:t>2.0</w:t>
            </w:r>
          </w:p>
        </w:tc>
        <w:tc>
          <w:tcPr>
            <w:tcW w:w="755" w:type="dxa"/>
            <w:shd w:val="clear" w:color="auto" w:fill="D4E3F5"/>
          </w:tcPr>
          <w:p>
            <w:pPr>
              <w:pStyle w:val="TableParagraph"/>
              <w:ind w:left="85" w:right="51"/>
              <w:rPr>
                <w:sz w:val="14"/>
              </w:rPr>
            </w:pPr>
            <w:r>
              <w:rPr>
                <w:color w:val="231F20"/>
                <w:spacing w:val="-5"/>
                <w:w w:val="95"/>
                <w:sz w:val="14"/>
              </w:rPr>
              <w:t>9.4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78" w:right="136"/>
              <w:rPr>
                <w:sz w:val="14"/>
              </w:rPr>
            </w:pPr>
            <w:r>
              <w:rPr>
                <w:color w:val="231F20"/>
                <w:spacing w:val="-5"/>
                <w:w w:val="95"/>
                <w:sz w:val="14"/>
              </w:rPr>
              <w:t>5.7</w:t>
            </w:r>
          </w:p>
        </w:tc>
        <w:tc>
          <w:tcPr>
            <w:tcW w:w="1073" w:type="dxa"/>
            <w:shd w:val="clear" w:color="auto" w:fill="D4E3F5"/>
          </w:tcPr>
          <w:p>
            <w:pPr>
              <w:pStyle w:val="TableParagraph"/>
              <w:ind w:left="77" w:right="63"/>
              <w:rPr>
                <w:sz w:val="14"/>
              </w:rPr>
            </w:pPr>
            <w:r>
              <w:rPr>
                <w:color w:val="231F20"/>
                <w:spacing w:val="-5"/>
                <w:w w:val="95"/>
                <w:sz w:val="14"/>
              </w:rPr>
              <w:t>3.0</w:t>
            </w:r>
          </w:p>
        </w:tc>
        <w:tc>
          <w:tcPr>
            <w:tcW w:w="939" w:type="dxa"/>
            <w:shd w:val="clear" w:color="auto" w:fill="D4E3F5"/>
          </w:tcPr>
          <w:p>
            <w:pPr>
              <w:pStyle w:val="TableParagraph"/>
              <w:ind w:left="21" w:right="32"/>
              <w:rPr>
                <w:sz w:val="14"/>
              </w:rPr>
            </w:pPr>
            <w:r>
              <w:rPr>
                <w:color w:val="231F20"/>
                <w:spacing w:val="-5"/>
                <w:w w:val="95"/>
                <w:sz w:val="14"/>
              </w:rPr>
              <w:t>1.1</w:t>
            </w:r>
          </w:p>
        </w:tc>
        <w:tc>
          <w:tcPr>
            <w:tcW w:w="1005" w:type="dxa"/>
            <w:shd w:val="clear" w:color="auto" w:fill="D4E3F5"/>
          </w:tcPr>
          <w:p>
            <w:pPr>
              <w:pStyle w:val="TableParagraph"/>
              <w:ind w:right="390"/>
              <w:jc w:val="right"/>
              <w:rPr>
                <w:sz w:val="14"/>
              </w:rPr>
            </w:pPr>
            <w:r>
              <w:rPr>
                <w:color w:val="231F20"/>
                <w:spacing w:val="-5"/>
                <w:w w:val="95"/>
                <w:sz w:val="14"/>
              </w:rPr>
              <w:t>7.5</w:t>
            </w:r>
          </w:p>
        </w:tc>
      </w:tr>
      <w:tr>
        <w:trPr>
          <w:trHeight w:val="259" w:hRule="atLeast"/>
        </w:trPr>
        <w:tc>
          <w:tcPr>
            <w:tcW w:w="1358" w:type="dxa"/>
          </w:tcPr>
          <w:p>
            <w:pPr>
              <w:pStyle w:val="TableParagraph"/>
              <w:ind w:left="80"/>
              <w:jc w:val="left"/>
              <w:rPr>
                <w:sz w:val="14"/>
              </w:rPr>
            </w:pPr>
            <w:r>
              <w:rPr>
                <w:color w:val="231F20"/>
                <w:spacing w:val="-2"/>
                <w:w w:val="85"/>
                <w:sz w:val="14"/>
              </w:rPr>
              <w:t>Greece</w:t>
            </w:r>
          </w:p>
        </w:tc>
        <w:tc>
          <w:tcPr>
            <w:tcW w:w="1103" w:type="dxa"/>
          </w:tcPr>
          <w:p>
            <w:pPr>
              <w:pStyle w:val="TableParagraph"/>
              <w:ind w:right="430"/>
              <w:jc w:val="right"/>
              <w:rPr>
                <w:sz w:val="14"/>
              </w:rPr>
            </w:pPr>
            <w:r>
              <w:rPr>
                <w:color w:val="231F20"/>
                <w:spacing w:val="-2"/>
                <w:w w:val="95"/>
                <w:sz w:val="14"/>
              </w:rPr>
              <w:t>8,585</w:t>
            </w:r>
          </w:p>
        </w:tc>
        <w:tc>
          <w:tcPr>
            <w:tcW w:w="851" w:type="dxa"/>
          </w:tcPr>
          <w:p>
            <w:pPr>
              <w:pStyle w:val="TableParagraph"/>
              <w:ind w:left="83" w:right="136"/>
              <w:rPr>
                <w:sz w:val="14"/>
              </w:rPr>
            </w:pPr>
            <w:r>
              <w:rPr>
                <w:color w:val="231F20"/>
                <w:spacing w:val="-5"/>
                <w:w w:val="95"/>
                <w:sz w:val="14"/>
              </w:rPr>
              <w:t>5.2</w:t>
            </w:r>
          </w:p>
        </w:tc>
        <w:tc>
          <w:tcPr>
            <w:tcW w:w="1063" w:type="dxa"/>
          </w:tcPr>
          <w:p>
            <w:pPr>
              <w:pStyle w:val="TableParagraph"/>
              <w:ind w:left="78" w:right="53"/>
              <w:rPr>
                <w:sz w:val="14"/>
              </w:rPr>
            </w:pPr>
            <w:r>
              <w:rPr>
                <w:color w:val="231F20"/>
                <w:spacing w:val="-5"/>
                <w:w w:val="95"/>
                <w:sz w:val="14"/>
              </w:rPr>
              <w:t>3.2</w:t>
            </w:r>
          </w:p>
        </w:tc>
        <w:tc>
          <w:tcPr>
            <w:tcW w:w="1080" w:type="dxa"/>
          </w:tcPr>
          <w:p>
            <w:pPr>
              <w:pStyle w:val="TableParagraph"/>
              <w:ind w:left="399"/>
              <w:jc w:val="left"/>
              <w:rPr>
                <w:sz w:val="14"/>
              </w:rPr>
            </w:pPr>
            <w:r>
              <w:rPr>
                <w:color w:val="231F20"/>
                <w:spacing w:val="-5"/>
                <w:w w:val="95"/>
                <w:sz w:val="14"/>
              </w:rPr>
              <w:t>1.9</w:t>
            </w:r>
          </w:p>
        </w:tc>
        <w:tc>
          <w:tcPr>
            <w:tcW w:w="755" w:type="dxa"/>
          </w:tcPr>
          <w:p>
            <w:pPr>
              <w:pStyle w:val="TableParagraph"/>
              <w:ind w:left="86" w:right="51"/>
              <w:rPr>
                <w:sz w:val="14"/>
              </w:rPr>
            </w:pPr>
            <w:r>
              <w:rPr>
                <w:color w:val="231F20"/>
                <w:spacing w:val="-5"/>
                <w:w w:val="95"/>
                <w:sz w:val="14"/>
              </w:rPr>
              <w:t>5.5</w:t>
            </w:r>
          </w:p>
        </w:tc>
        <w:tc>
          <w:tcPr>
            <w:tcW w:w="240" w:type="dxa"/>
          </w:tcPr>
          <w:p>
            <w:pPr>
              <w:pStyle w:val="TableParagraph"/>
              <w:spacing w:before="0"/>
              <w:jc w:val="left"/>
              <w:rPr>
                <w:rFonts w:ascii="Times New Roman"/>
                <w:sz w:val="12"/>
              </w:rPr>
            </w:pPr>
          </w:p>
        </w:tc>
        <w:tc>
          <w:tcPr>
            <w:tcW w:w="851" w:type="dxa"/>
          </w:tcPr>
          <w:p>
            <w:pPr>
              <w:pStyle w:val="TableParagraph"/>
              <w:ind w:left="84" w:right="136"/>
              <w:rPr>
                <w:sz w:val="14"/>
              </w:rPr>
            </w:pPr>
            <w:r>
              <w:rPr>
                <w:color w:val="231F20"/>
                <w:spacing w:val="-5"/>
                <w:w w:val="95"/>
                <w:sz w:val="14"/>
              </w:rPr>
              <w:t>5.2</w:t>
            </w:r>
          </w:p>
        </w:tc>
        <w:tc>
          <w:tcPr>
            <w:tcW w:w="1073" w:type="dxa"/>
          </w:tcPr>
          <w:p>
            <w:pPr>
              <w:pStyle w:val="TableParagraph"/>
              <w:ind w:left="78" w:right="63"/>
              <w:rPr>
                <w:sz w:val="14"/>
              </w:rPr>
            </w:pPr>
            <w:r>
              <w:rPr>
                <w:color w:val="231F20"/>
                <w:spacing w:val="-5"/>
                <w:w w:val="95"/>
                <w:sz w:val="14"/>
              </w:rPr>
              <w:t>3.2</w:t>
            </w:r>
          </w:p>
        </w:tc>
        <w:tc>
          <w:tcPr>
            <w:tcW w:w="939" w:type="dxa"/>
          </w:tcPr>
          <w:p>
            <w:pPr>
              <w:pStyle w:val="TableParagraph"/>
              <w:ind w:left="36" w:right="32"/>
              <w:rPr>
                <w:sz w:val="14"/>
              </w:rPr>
            </w:pPr>
            <w:r>
              <w:rPr>
                <w:color w:val="231F20"/>
                <w:spacing w:val="-5"/>
                <w:w w:val="95"/>
                <w:sz w:val="14"/>
              </w:rPr>
              <w:t>1.9</w:t>
            </w:r>
          </w:p>
        </w:tc>
        <w:tc>
          <w:tcPr>
            <w:tcW w:w="1005" w:type="dxa"/>
          </w:tcPr>
          <w:p>
            <w:pPr>
              <w:pStyle w:val="TableParagraph"/>
              <w:ind w:right="392"/>
              <w:jc w:val="right"/>
              <w:rPr>
                <w:sz w:val="14"/>
              </w:rPr>
            </w:pPr>
            <w:r>
              <w:rPr>
                <w:color w:val="231F20"/>
                <w:spacing w:val="-5"/>
                <w:w w:val="95"/>
                <w:sz w:val="14"/>
              </w:rPr>
              <w:t>5.4</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Grenada</w:t>
            </w:r>
          </w:p>
        </w:tc>
        <w:tc>
          <w:tcPr>
            <w:tcW w:w="1103" w:type="dxa"/>
            <w:shd w:val="clear" w:color="auto" w:fill="D4E3F5"/>
          </w:tcPr>
          <w:p>
            <w:pPr>
              <w:pStyle w:val="TableParagraph"/>
              <w:ind w:right="438"/>
              <w:jc w:val="right"/>
              <w:rPr>
                <w:sz w:val="14"/>
              </w:rPr>
            </w:pPr>
            <w:r>
              <w:rPr>
                <w:color w:val="231F20"/>
                <w:spacing w:val="-5"/>
                <w:w w:val="95"/>
                <w:sz w:val="14"/>
              </w:rPr>
              <w:t>16</w:t>
            </w:r>
          </w:p>
        </w:tc>
        <w:tc>
          <w:tcPr>
            <w:tcW w:w="851" w:type="dxa"/>
            <w:shd w:val="clear" w:color="auto" w:fill="D4E3F5"/>
          </w:tcPr>
          <w:p>
            <w:pPr>
              <w:pStyle w:val="TableParagraph"/>
              <w:ind w:left="83" w:right="136"/>
              <w:rPr>
                <w:sz w:val="14"/>
              </w:rPr>
            </w:pPr>
            <w:r>
              <w:rPr>
                <w:color w:val="231F20"/>
                <w:spacing w:val="-5"/>
                <w:w w:val="95"/>
                <w:sz w:val="14"/>
              </w:rPr>
              <w:t>8.9</w:t>
            </w:r>
          </w:p>
        </w:tc>
        <w:tc>
          <w:tcPr>
            <w:tcW w:w="1063" w:type="dxa"/>
            <w:shd w:val="clear" w:color="auto" w:fill="D4E3F5"/>
          </w:tcPr>
          <w:p>
            <w:pPr>
              <w:pStyle w:val="TableParagraph"/>
              <w:ind w:left="76" w:right="53"/>
              <w:rPr>
                <w:sz w:val="14"/>
              </w:rPr>
            </w:pPr>
            <w:r>
              <w:rPr>
                <w:color w:val="231F20"/>
                <w:spacing w:val="-5"/>
                <w:w w:val="95"/>
                <w:sz w:val="14"/>
              </w:rPr>
              <w:t>8.0</w:t>
            </w:r>
          </w:p>
        </w:tc>
        <w:tc>
          <w:tcPr>
            <w:tcW w:w="1080" w:type="dxa"/>
            <w:shd w:val="clear" w:color="auto" w:fill="D4E3F5"/>
          </w:tcPr>
          <w:p>
            <w:pPr>
              <w:pStyle w:val="TableParagraph"/>
              <w:ind w:left="392"/>
              <w:jc w:val="left"/>
              <w:rPr>
                <w:sz w:val="14"/>
              </w:rPr>
            </w:pPr>
            <w:r>
              <w:rPr>
                <w:color w:val="231F20"/>
                <w:spacing w:val="-5"/>
                <w:w w:val="95"/>
                <w:sz w:val="14"/>
              </w:rPr>
              <w:t>5.8</w:t>
            </w:r>
          </w:p>
        </w:tc>
        <w:tc>
          <w:tcPr>
            <w:tcW w:w="755" w:type="dxa"/>
            <w:shd w:val="clear" w:color="auto" w:fill="D4E3F5"/>
          </w:tcPr>
          <w:p>
            <w:pPr>
              <w:pStyle w:val="TableParagraph"/>
              <w:ind w:left="48" w:right="73"/>
              <w:rPr>
                <w:sz w:val="14"/>
              </w:rPr>
            </w:pPr>
            <w:r>
              <w:rPr>
                <w:color w:val="231F20"/>
                <w:spacing w:val="-4"/>
                <w:w w:val="95"/>
                <w:sz w:val="14"/>
              </w:rPr>
              <w:t>12.0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3" w:right="136"/>
              <w:rPr>
                <w:sz w:val="14"/>
              </w:rPr>
            </w:pPr>
            <w:r>
              <w:rPr>
                <w:color w:val="231F20"/>
                <w:spacing w:val="-5"/>
                <w:w w:val="95"/>
                <w:sz w:val="14"/>
              </w:rPr>
              <w:t>0.9</w:t>
            </w:r>
          </w:p>
        </w:tc>
        <w:tc>
          <w:tcPr>
            <w:tcW w:w="1073" w:type="dxa"/>
            <w:shd w:val="clear" w:color="auto" w:fill="D4E3F5"/>
          </w:tcPr>
          <w:p>
            <w:pPr>
              <w:pStyle w:val="TableParagraph"/>
              <w:ind w:left="78" w:right="63"/>
              <w:rPr>
                <w:sz w:val="14"/>
              </w:rPr>
            </w:pPr>
            <w:r>
              <w:rPr>
                <w:color w:val="231F20"/>
                <w:spacing w:val="-5"/>
                <w:w w:val="95"/>
                <w:sz w:val="14"/>
              </w:rPr>
              <w:t>0.6</w:t>
            </w:r>
          </w:p>
        </w:tc>
        <w:tc>
          <w:tcPr>
            <w:tcW w:w="939" w:type="dxa"/>
            <w:shd w:val="clear" w:color="auto" w:fill="D4E3F5"/>
          </w:tcPr>
          <w:p>
            <w:pPr>
              <w:pStyle w:val="TableParagraph"/>
              <w:ind w:left="31" w:right="32"/>
              <w:rPr>
                <w:sz w:val="14"/>
              </w:rPr>
            </w:pPr>
            <w:r>
              <w:rPr>
                <w:color w:val="231F20"/>
                <w:spacing w:val="-5"/>
                <w:w w:val="95"/>
                <w:sz w:val="14"/>
              </w:rPr>
              <w:t>0.6</w:t>
            </w:r>
          </w:p>
        </w:tc>
        <w:tc>
          <w:tcPr>
            <w:tcW w:w="1005" w:type="dxa"/>
            <w:shd w:val="clear" w:color="auto" w:fill="D4E3F5"/>
          </w:tcPr>
          <w:p>
            <w:pPr>
              <w:pStyle w:val="TableParagraph"/>
              <w:ind w:right="391"/>
              <w:jc w:val="right"/>
              <w:rPr>
                <w:sz w:val="14"/>
              </w:rPr>
            </w:pPr>
            <w:r>
              <w:rPr>
                <w:color w:val="231F20"/>
                <w:spacing w:val="-5"/>
                <w:w w:val="95"/>
                <w:sz w:val="14"/>
              </w:rPr>
              <w:t>1.0</w:t>
            </w:r>
          </w:p>
        </w:tc>
      </w:tr>
      <w:tr>
        <w:trPr>
          <w:trHeight w:val="259" w:hRule="atLeast"/>
        </w:trPr>
        <w:tc>
          <w:tcPr>
            <w:tcW w:w="1358" w:type="dxa"/>
          </w:tcPr>
          <w:p>
            <w:pPr>
              <w:pStyle w:val="TableParagraph"/>
              <w:ind w:left="80"/>
              <w:jc w:val="left"/>
              <w:rPr>
                <w:sz w:val="14"/>
              </w:rPr>
            </w:pPr>
            <w:r>
              <w:rPr>
                <w:color w:val="231F20"/>
                <w:spacing w:val="-2"/>
                <w:w w:val="85"/>
                <w:sz w:val="14"/>
              </w:rPr>
              <w:t>Guadeloupe</w:t>
            </w:r>
          </w:p>
        </w:tc>
        <w:tc>
          <w:tcPr>
            <w:tcW w:w="1103" w:type="dxa"/>
          </w:tcPr>
          <w:p>
            <w:pPr>
              <w:pStyle w:val="TableParagraph"/>
              <w:ind w:right="434"/>
              <w:jc w:val="right"/>
              <w:rPr>
                <w:sz w:val="14"/>
              </w:rPr>
            </w:pPr>
            <w:r>
              <w:rPr>
                <w:color w:val="231F20"/>
                <w:spacing w:val="-2"/>
                <w:w w:val="95"/>
                <w:sz w:val="14"/>
              </w:rPr>
              <w:t>2,147</w:t>
            </w:r>
          </w:p>
        </w:tc>
        <w:tc>
          <w:tcPr>
            <w:tcW w:w="851" w:type="dxa"/>
          </w:tcPr>
          <w:p>
            <w:pPr>
              <w:pStyle w:val="TableParagraph"/>
              <w:ind w:left="64" w:right="136"/>
              <w:rPr>
                <w:sz w:val="14"/>
              </w:rPr>
            </w:pPr>
            <w:r>
              <w:rPr>
                <w:color w:val="231F20"/>
                <w:spacing w:val="-5"/>
                <w:w w:val="95"/>
                <w:sz w:val="14"/>
              </w:rPr>
              <w:t>5.1</w:t>
            </w:r>
          </w:p>
        </w:tc>
        <w:tc>
          <w:tcPr>
            <w:tcW w:w="1063" w:type="dxa"/>
          </w:tcPr>
          <w:p>
            <w:pPr>
              <w:pStyle w:val="TableParagraph"/>
              <w:ind w:left="79" w:right="53"/>
              <w:rPr>
                <w:sz w:val="14"/>
              </w:rPr>
            </w:pPr>
            <w:r>
              <w:rPr>
                <w:color w:val="231F20"/>
                <w:spacing w:val="-5"/>
                <w:w w:val="95"/>
                <w:sz w:val="14"/>
              </w:rPr>
              <w:t>3.3</w:t>
            </w:r>
          </w:p>
        </w:tc>
        <w:tc>
          <w:tcPr>
            <w:tcW w:w="1080" w:type="dxa"/>
          </w:tcPr>
          <w:p>
            <w:pPr>
              <w:pStyle w:val="TableParagraph"/>
              <w:ind w:left="399"/>
              <w:jc w:val="left"/>
              <w:rPr>
                <w:sz w:val="14"/>
              </w:rPr>
            </w:pPr>
            <w:r>
              <w:rPr>
                <w:color w:val="231F20"/>
                <w:spacing w:val="-5"/>
                <w:w w:val="95"/>
                <w:sz w:val="14"/>
              </w:rPr>
              <w:t>1.4</w:t>
            </w:r>
          </w:p>
        </w:tc>
        <w:tc>
          <w:tcPr>
            <w:tcW w:w="755" w:type="dxa"/>
          </w:tcPr>
          <w:p>
            <w:pPr>
              <w:pStyle w:val="TableParagraph"/>
              <w:ind w:left="84" w:right="51"/>
              <w:rPr>
                <w:sz w:val="14"/>
              </w:rPr>
            </w:pPr>
            <w:r>
              <w:rPr>
                <w:color w:val="231F20"/>
                <w:spacing w:val="-5"/>
                <w:w w:val="95"/>
                <w:sz w:val="14"/>
              </w:rPr>
              <w:t>6.4</w:t>
            </w:r>
          </w:p>
        </w:tc>
        <w:tc>
          <w:tcPr>
            <w:tcW w:w="240" w:type="dxa"/>
          </w:tcPr>
          <w:p>
            <w:pPr>
              <w:pStyle w:val="TableParagraph"/>
              <w:spacing w:before="0"/>
              <w:jc w:val="left"/>
              <w:rPr>
                <w:rFonts w:ascii="Times New Roman"/>
                <w:sz w:val="12"/>
              </w:rPr>
            </w:pPr>
          </w:p>
        </w:tc>
        <w:tc>
          <w:tcPr>
            <w:tcW w:w="851" w:type="dxa"/>
          </w:tcPr>
          <w:p>
            <w:pPr>
              <w:pStyle w:val="TableParagraph"/>
              <w:ind w:left="64" w:right="136"/>
              <w:rPr>
                <w:sz w:val="14"/>
              </w:rPr>
            </w:pPr>
            <w:r>
              <w:rPr>
                <w:color w:val="231F20"/>
                <w:spacing w:val="-5"/>
                <w:w w:val="95"/>
                <w:sz w:val="14"/>
              </w:rPr>
              <w:t>5.1</w:t>
            </w:r>
          </w:p>
        </w:tc>
        <w:tc>
          <w:tcPr>
            <w:tcW w:w="1073" w:type="dxa"/>
          </w:tcPr>
          <w:p>
            <w:pPr>
              <w:pStyle w:val="TableParagraph"/>
              <w:ind w:left="79" w:right="63"/>
              <w:rPr>
                <w:sz w:val="14"/>
              </w:rPr>
            </w:pPr>
            <w:r>
              <w:rPr>
                <w:color w:val="231F20"/>
                <w:spacing w:val="-5"/>
                <w:w w:val="95"/>
                <w:sz w:val="14"/>
              </w:rPr>
              <w:t>3.3</w:t>
            </w:r>
          </w:p>
        </w:tc>
        <w:tc>
          <w:tcPr>
            <w:tcW w:w="939" w:type="dxa"/>
          </w:tcPr>
          <w:p>
            <w:pPr>
              <w:pStyle w:val="TableParagraph"/>
              <w:ind w:left="34" w:right="32"/>
              <w:rPr>
                <w:sz w:val="14"/>
              </w:rPr>
            </w:pPr>
            <w:r>
              <w:rPr>
                <w:color w:val="231F20"/>
                <w:spacing w:val="-5"/>
                <w:w w:val="95"/>
                <w:sz w:val="14"/>
              </w:rPr>
              <w:t>1.4</w:t>
            </w:r>
          </w:p>
        </w:tc>
        <w:tc>
          <w:tcPr>
            <w:tcW w:w="1005" w:type="dxa"/>
          </w:tcPr>
          <w:p>
            <w:pPr>
              <w:pStyle w:val="TableParagraph"/>
              <w:ind w:right="392"/>
              <w:jc w:val="right"/>
              <w:rPr>
                <w:sz w:val="14"/>
              </w:rPr>
            </w:pPr>
            <w:r>
              <w:rPr>
                <w:color w:val="231F20"/>
                <w:spacing w:val="-5"/>
                <w:w w:val="95"/>
                <w:sz w:val="14"/>
              </w:rPr>
              <w:t>6.4</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Guatemala</w:t>
            </w:r>
          </w:p>
        </w:tc>
        <w:tc>
          <w:tcPr>
            <w:tcW w:w="1103" w:type="dxa"/>
            <w:shd w:val="clear" w:color="auto" w:fill="D4E3F5"/>
          </w:tcPr>
          <w:p>
            <w:pPr>
              <w:pStyle w:val="TableParagraph"/>
              <w:ind w:right="434"/>
              <w:jc w:val="right"/>
              <w:rPr>
                <w:sz w:val="14"/>
              </w:rPr>
            </w:pPr>
            <w:r>
              <w:rPr>
                <w:color w:val="231F20"/>
                <w:spacing w:val="-2"/>
                <w:w w:val="95"/>
                <w:sz w:val="14"/>
              </w:rPr>
              <w:t>8,759</w:t>
            </w:r>
          </w:p>
        </w:tc>
        <w:tc>
          <w:tcPr>
            <w:tcW w:w="851" w:type="dxa"/>
            <w:shd w:val="clear" w:color="auto" w:fill="D4E3F5"/>
          </w:tcPr>
          <w:p>
            <w:pPr>
              <w:pStyle w:val="TableParagraph"/>
              <w:ind w:left="80" w:right="136"/>
              <w:rPr>
                <w:sz w:val="14"/>
              </w:rPr>
            </w:pPr>
            <w:r>
              <w:rPr>
                <w:color w:val="231F20"/>
                <w:spacing w:val="-5"/>
                <w:w w:val="95"/>
                <w:sz w:val="14"/>
              </w:rPr>
              <w:t>8.4</w:t>
            </w:r>
          </w:p>
        </w:tc>
        <w:tc>
          <w:tcPr>
            <w:tcW w:w="1063" w:type="dxa"/>
            <w:shd w:val="clear" w:color="auto" w:fill="D4E3F5"/>
          </w:tcPr>
          <w:p>
            <w:pPr>
              <w:pStyle w:val="TableParagraph"/>
              <w:ind w:left="77" w:right="53"/>
              <w:rPr>
                <w:sz w:val="14"/>
              </w:rPr>
            </w:pPr>
            <w:r>
              <w:rPr>
                <w:color w:val="231F20"/>
                <w:spacing w:val="-5"/>
                <w:w w:val="95"/>
                <w:sz w:val="14"/>
              </w:rPr>
              <w:t>6.8</w:t>
            </w:r>
          </w:p>
        </w:tc>
        <w:tc>
          <w:tcPr>
            <w:tcW w:w="1080" w:type="dxa"/>
            <w:shd w:val="clear" w:color="auto" w:fill="D4E3F5"/>
          </w:tcPr>
          <w:p>
            <w:pPr>
              <w:pStyle w:val="TableParagraph"/>
              <w:ind w:left="393"/>
              <w:jc w:val="left"/>
              <w:rPr>
                <w:sz w:val="14"/>
              </w:rPr>
            </w:pPr>
            <w:r>
              <w:rPr>
                <w:color w:val="231F20"/>
                <w:spacing w:val="-5"/>
                <w:w w:val="95"/>
                <w:sz w:val="14"/>
              </w:rPr>
              <w:t>4.1</w:t>
            </w:r>
          </w:p>
        </w:tc>
        <w:tc>
          <w:tcPr>
            <w:tcW w:w="755" w:type="dxa"/>
            <w:shd w:val="clear" w:color="auto" w:fill="D4E3F5"/>
          </w:tcPr>
          <w:p>
            <w:pPr>
              <w:pStyle w:val="TableParagraph"/>
              <w:ind w:left="48" w:right="73"/>
              <w:rPr>
                <w:sz w:val="14"/>
              </w:rPr>
            </w:pPr>
            <w:r>
              <w:rPr>
                <w:color w:val="231F20"/>
                <w:spacing w:val="-4"/>
                <w:w w:val="95"/>
                <w:sz w:val="14"/>
              </w:rPr>
              <w:t>10.9</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0" w:right="136"/>
              <w:rPr>
                <w:sz w:val="14"/>
              </w:rPr>
            </w:pPr>
            <w:r>
              <w:rPr>
                <w:color w:val="231F20"/>
                <w:spacing w:val="-5"/>
                <w:w w:val="95"/>
                <w:sz w:val="14"/>
              </w:rPr>
              <w:t>8.4</w:t>
            </w:r>
          </w:p>
        </w:tc>
        <w:tc>
          <w:tcPr>
            <w:tcW w:w="1073" w:type="dxa"/>
            <w:shd w:val="clear" w:color="auto" w:fill="D4E3F5"/>
          </w:tcPr>
          <w:p>
            <w:pPr>
              <w:pStyle w:val="TableParagraph"/>
              <w:ind w:left="77" w:right="63"/>
              <w:rPr>
                <w:sz w:val="14"/>
              </w:rPr>
            </w:pPr>
            <w:r>
              <w:rPr>
                <w:color w:val="231F20"/>
                <w:spacing w:val="-5"/>
                <w:w w:val="95"/>
                <w:sz w:val="14"/>
              </w:rPr>
              <w:t>6.8</w:t>
            </w:r>
          </w:p>
        </w:tc>
        <w:tc>
          <w:tcPr>
            <w:tcW w:w="939" w:type="dxa"/>
            <w:shd w:val="clear" w:color="auto" w:fill="D4E3F5"/>
          </w:tcPr>
          <w:p>
            <w:pPr>
              <w:pStyle w:val="TableParagraph"/>
              <w:ind w:left="15" w:right="32"/>
              <w:rPr>
                <w:sz w:val="14"/>
              </w:rPr>
            </w:pPr>
            <w:r>
              <w:rPr>
                <w:color w:val="231F20"/>
                <w:spacing w:val="-5"/>
                <w:w w:val="95"/>
                <w:sz w:val="14"/>
              </w:rPr>
              <w:t>4.1</w:t>
            </w:r>
          </w:p>
        </w:tc>
        <w:tc>
          <w:tcPr>
            <w:tcW w:w="1005" w:type="dxa"/>
            <w:shd w:val="clear" w:color="auto" w:fill="D4E3F5"/>
          </w:tcPr>
          <w:p>
            <w:pPr>
              <w:pStyle w:val="TableParagraph"/>
              <w:ind w:right="390"/>
              <w:jc w:val="right"/>
              <w:rPr>
                <w:sz w:val="14"/>
              </w:rPr>
            </w:pPr>
            <w:r>
              <w:rPr>
                <w:color w:val="231F20"/>
                <w:spacing w:val="-4"/>
                <w:w w:val="95"/>
                <w:sz w:val="14"/>
              </w:rPr>
              <w:t>10.9</w:t>
            </w:r>
          </w:p>
        </w:tc>
      </w:tr>
      <w:tr>
        <w:trPr>
          <w:trHeight w:val="259" w:hRule="atLeast"/>
        </w:trPr>
        <w:tc>
          <w:tcPr>
            <w:tcW w:w="1358" w:type="dxa"/>
          </w:tcPr>
          <w:p>
            <w:pPr>
              <w:pStyle w:val="TableParagraph"/>
              <w:ind w:left="80"/>
              <w:jc w:val="left"/>
              <w:rPr>
                <w:sz w:val="14"/>
              </w:rPr>
            </w:pPr>
            <w:r>
              <w:rPr>
                <w:color w:val="231F20"/>
                <w:spacing w:val="-2"/>
                <w:w w:val="85"/>
                <w:sz w:val="14"/>
              </w:rPr>
              <w:t>Guinea</w:t>
            </w:r>
          </w:p>
        </w:tc>
        <w:tc>
          <w:tcPr>
            <w:tcW w:w="1103" w:type="dxa"/>
          </w:tcPr>
          <w:p>
            <w:pPr>
              <w:pStyle w:val="TableParagraph"/>
              <w:ind w:right="435"/>
              <w:jc w:val="right"/>
              <w:rPr>
                <w:sz w:val="14"/>
              </w:rPr>
            </w:pPr>
            <w:r>
              <w:rPr>
                <w:color w:val="231F20"/>
                <w:spacing w:val="-2"/>
                <w:w w:val="95"/>
                <w:sz w:val="14"/>
              </w:rPr>
              <w:t>7,892</w:t>
            </w:r>
          </w:p>
        </w:tc>
        <w:tc>
          <w:tcPr>
            <w:tcW w:w="851" w:type="dxa"/>
          </w:tcPr>
          <w:p>
            <w:pPr>
              <w:pStyle w:val="TableParagraph"/>
              <w:ind w:left="84" w:right="136"/>
              <w:rPr>
                <w:sz w:val="14"/>
              </w:rPr>
            </w:pPr>
            <w:r>
              <w:rPr>
                <w:color w:val="231F20"/>
                <w:spacing w:val="-5"/>
                <w:w w:val="95"/>
                <w:sz w:val="14"/>
              </w:rPr>
              <w:t>8.8</w:t>
            </w:r>
          </w:p>
        </w:tc>
        <w:tc>
          <w:tcPr>
            <w:tcW w:w="1063" w:type="dxa"/>
          </w:tcPr>
          <w:p>
            <w:pPr>
              <w:pStyle w:val="TableParagraph"/>
              <w:ind w:left="78" w:right="53"/>
              <w:rPr>
                <w:sz w:val="14"/>
              </w:rPr>
            </w:pPr>
            <w:r>
              <w:rPr>
                <w:color w:val="231F20"/>
                <w:spacing w:val="-5"/>
                <w:w w:val="95"/>
                <w:sz w:val="14"/>
              </w:rPr>
              <w:t>6.2</w:t>
            </w:r>
          </w:p>
        </w:tc>
        <w:tc>
          <w:tcPr>
            <w:tcW w:w="1080" w:type="dxa"/>
          </w:tcPr>
          <w:p>
            <w:pPr>
              <w:pStyle w:val="TableParagraph"/>
              <w:ind w:left="393"/>
              <w:jc w:val="left"/>
              <w:rPr>
                <w:sz w:val="14"/>
              </w:rPr>
            </w:pPr>
            <w:r>
              <w:rPr>
                <w:color w:val="231F20"/>
                <w:spacing w:val="-5"/>
                <w:w w:val="95"/>
                <w:sz w:val="14"/>
              </w:rPr>
              <w:t>4.0</w:t>
            </w:r>
          </w:p>
        </w:tc>
        <w:tc>
          <w:tcPr>
            <w:tcW w:w="755" w:type="dxa"/>
          </w:tcPr>
          <w:p>
            <w:pPr>
              <w:pStyle w:val="TableParagraph"/>
              <w:ind w:left="48" w:right="73"/>
              <w:rPr>
                <w:sz w:val="14"/>
              </w:rPr>
            </w:pPr>
            <w:r>
              <w:rPr>
                <w:color w:val="231F20"/>
                <w:spacing w:val="-4"/>
                <w:w w:val="95"/>
                <w:sz w:val="14"/>
              </w:rPr>
              <w:t>10.8</w:t>
            </w:r>
          </w:p>
        </w:tc>
        <w:tc>
          <w:tcPr>
            <w:tcW w:w="240" w:type="dxa"/>
          </w:tcPr>
          <w:p>
            <w:pPr>
              <w:pStyle w:val="TableParagraph"/>
              <w:spacing w:before="0"/>
              <w:jc w:val="left"/>
              <w:rPr>
                <w:rFonts w:ascii="Times New Roman"/>
                <w:sz w:val="12"/>
              </w:rPr>
            </w:pPr>
          </w:p>
        </w:tc>
        <w:tc>
          <w:tcPr>
            <w:tcW w:w="851" w:type="dxa"/>
          </w:tcPr>
          <w:p>
            <w:pPr>
              <w:pStyle w:val="TableParagraph"/>
              <w:ind w:left="84" w:right="136"/>
              <w:rPr>
                <w:sz w:val="14"/>
              </w:rPr>
            </w:pPr>
            <w:r>
              <w:rPr>
                <w:color w:val="231F20"/>
                <w:spacing w:val="-5"/>
                <w:w w:val="95"/>
                <w:sz w:val="14"/>
              </w:rPr>
              <w:t>8.8</w:t>
            </w:r>
          </w:p>
        </w:tc>
        <w:tc>
          <w:tcPr>
            <w:tcW w:w="1073" w:type="dxa"/>
          </w:tcPr>
          <w:p>
            <w:pPr>
              <w:pStyle w:val="TableParagraph"/>
              <w:ind w:left="79" w:right="63"/>
              <w:rPr>
                <w:sz w:val="14"/>
              </w:rPr>
            </w:pPr>
            <w:r>
              <w:rPr>
                <w:color w:val="231F20"/>
                <w:spacing w:val="-5"/>
                <w:w w:val="95"/>
                <w:sz w:val="14"/>
              </w:rPr>
              <w:t>6.2</w:t>
            </w:r>
          </w:p>
        </w:tc>
        <w:tc>
          <w:tcPr>
            <w:tcW w:w="939" w:type="dxa"/>
          </w:tcPr>
          <w:p>
            <w:pPr>
              <w:pStyle w:val="TableParagraph"/>
              <w:ind w:left="31" w:right="32"/>
              <w:rPr>
                <w:sz w:val="14"/>
              </w:rPr>
            </w:pPr>
            <w:r>
              <w:rPr>
                <w:color w:val="231F20"/>
                <w:spacing w:val="-5"/>
                <w:w w:val="95"/>
                <w:sz w:val="14"/>
              </w:rPr>
              <w:t>4.0</w:t>
            </w:r>
          </w:p>
        </w:tc>
        <w:tc>
          <w:tcPr>
            <w:tcW w:w="1005" w:type="dxa"/>
          </w:tcPr>
          <w:p>
            <w:pPr>
              <w:pStyle w:val="TableParagraph"/>
              <w:ind w:right="390"/>
              <w:jc w:val="right"/>
              <w:rPr>
                <w:sz w:val="14"/>
              </w:rPr>
            </w:pPr>
            <w:r>
              <w:rPr>
                <w:color w:val="231F20"/>
                <w:spacing w:val="-4"/>
                <w:w w:val="95"/>
                <w:sz w:val="14"/>
              </w:rPr>
              <w:t>10.8</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Guyana</w:t>
            </w:r>
          </w:p>
        </w:tc>
        <w:tc>
          <w:tcPr>
            <w:tcW w:w="1103" w:type="dxa"/>
            <w:shd w:val="clear" w:color="auto" w:fill="D4E3F5"/>
          </w:tcPr>
          <w:p>
            <w:pPr>
              <w:pStyle w:val="TableParagraph"/>
              <w:ind w:right="434"/>
              <w:jc w:val="right"/>
              <w:rPr>
                <w:sz w:val="14"/>
              </w:rPr>
            </w:pPr>
            <w:r>
              <w:rPr>
                <w:color w:val="231F20"/>
                <w:spacing w:val="-5"/>
                <w:w w:val="95"/>
                <w:sz w:val="14"/>
              </w:rPr>
              <w:t>871</w:t>
            </w:r>
          </w:p>
        </w:tc>
        <w:tc>
          <w:tcPr>
            <w:tcW w:w="851" w:type="dxa"/>
            <w:shd w:val="clear" w:color="auto" w:fill="D4E3F5"/>
          </w:tcPr>
          <w:p>
            <w:pPr>
              <w:pStyle w:val="TableParagraph"/>
              <w:ind w:left="29" w:right="136"/>
              <w:rPr>
                <w:sz w:val="14"/>
              </w:rPr>
            </w:pPr>
            <w:r>
              <w:rPr>
                <w:color w:val="231F20"/>
                <w:spacing w:val="-4"/>
                <w:w w:val="95"/>
                <w:sz w:val="14"/>
              </w:rPr>
              <w:t>11.5</w:t>
            </w:r>
          </w:p>
        </w:tc>
        <w:tc>
          <w:tcPr>
            <w:tcW w:w="1063" w:type="dxa"/>
            <w:shd w:val="clear" w:color="auto" w:fill="D4E3F5"/>
          </w:tcPr>
          <w:p>
            <w:pPr>
              <w:pStyle w:val="TableParagraph"/>
              <w:ind w:left="71" w:right="53"/>
              <w:rPr>
                <w:sz w:val="14"/>
              </w:rPr>
            </w:pPr>
            <w:r>
              <w:rPr>
                <w:color w:val="231F20"/>
                <w:spacing w:val="-5"/>
                <w:w w:val="95"/>
                <w:sz w:val="14"/>
              </w:rPr>
              <w:t>8.7</w:t>
            </w:r>
          </w:p>
        </w:tc>
        <w:tc>
          <w:tcPr>
            <w:tcW w:w="1080" w:type="dxa"/>
            <w:shd w:val="clear" w:color="auto" w:fill="D4E3F5"/>
          </w:tcPr>
          <w:p>
            <w:pPr>
              <w:pStyle w:val="TableParagraph"/>
              <w:ind w:left="393"/>
              <w:jc w:val="left"/>
              <w:rPr>
                <w:sz w:val="14"/>
              </w:rPr>
            </w:pPr>
            <w:r>
              <w:rPr>
                <w:color w:val="231F20"/>
                <w:spacing w:val="-5"/>
                <w:w w:val="95"/>
                <w:sz w:val="14"/>
              </w:rPr>
              <w:t>4.1</w:t>
            </w:r>
          </w:p>
        </w:tc>
        <w:tc>
          <w:tcPr>
            <w:tcW w:w="755" w:type="dxa"/>
            <w:shd w:val="clear" w:color="auto" w:fill="D4E3F5"/>
          </w:tcPr>
          <w:p>
            <w:pPr>
              <w:pStyle w:val="TableParagraph"/>
              <w:ind w:left="48" w:right="74"/>
              <w:rPr>
                <w:sz w:val="14"/>
              </w:rPr>
            </w:pPr>
            <w:r>
              <w:rPr>
                <w:color w:val="231F20"/>
                <w:spacing w:val="-4"/>
                <w:w w:val="95"/>
                <w:sz w:val="14"/>
              </w:rPr>
              <w:t>16.8</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58"/>
              <w:jc w:val="left"/>
              <w:rPr>
                <w:sz w:val="14"/>
              </w:rPr>
            </w:pPr>
            <w:r>
              <w:rPr>
                <w:color w:val="231F20"/>
                <w:spacing w:val="-4"/>
                <w:w w:val="95"/>
                <w:sz w:val="14"/>
              </w:rPr>
              <w:t>11.4</w:t>
            </w:r>
          </w:p>
        </w:tc>
        <w:tc>
          <w:tcPr>
            <w:tcW w:w="1073" w:type="dxa"/>
            <w:shd w:val="clear" w:color="auto" w:fill="D4E3F5"/>
          </w:tcPr>
          <w:p>
            <w:pPr>
              <w:pStyle w:val="TableParagraph"/>
              <w:ind w:left="72" w:right="63"/>
              <w:rPr>
                <w:sz w:val="14"/>
              </w:rPr>
            </w:pPr>
            <w:r>
              <w:rPr>
                <w:color w:val="231F20"/>
                <w:spacing w:val="-5"/>
                <w:w w:val="95"/>
                <w:sz w:val="14"/>
              </w:rPr>
              <w:t>8.7</w:t>
            </w:r>
          </w:p>
        </w:tc>
        <w:tc>
          <w:tcPr>
            <w:tcW w:w="939" w:type="dxa"/>
            <w:shd w:val="clear" w:color="auto" w:fill="D4E3F5"/>
          </w:tcPr>
          <w:p>
            <w:pPr>
              <w:pStyle w:val="TableParagraph"/>
              <w:ind w:left="31" w:right="32"/>
              <w:rPr>
                <w:sz w:val="14"/>
              </w:rPr>
            </w:pPr>
            <w:r>
              <w:rPr>
                <w:color w:val="231F20"/>
                <w:spacing w:val="-5"/>
                <w:w w:val="95"/>
                <w:sz w:val="14"/>
              </w:rPr>
              <w:t>4.0</w:t>
            </w:r>
          </w:p>
        </w:tc>
        <w:tc>
          <w:tcPr>
            <w:tcW w:w="1005" w:type="dxa"/>
            <w:shd w:val="clear" w:color="auto" w:fill="D4E3F5"/>
          </w:tcPr>
          <w:p>
            <w:pPr>
              <w:pStyle w:val="TableParagraph"/>
              <w:ind w:right="390"/>
              <w:jc w:val="right"/>
              <w:rPr>
                <w:sz w:val="14"/>
              </w:rPr>
            </w:pPr>
            <w:r>
              <w:rPr>
                <w:color w:val="231F20"/>
                <w:spacing w:val="-4"/>
                <w:w w:val="95"/>
                <w:sz w:val="14"/>
              </w:rPr>
              <w:t>16.8</w:t>
            </w:r>
          </w:p>
        </w:tc>
      </w:tr>
      <w:tr>
        <w:trPr>
          <w:trHeight w:val="259" w:hRule="atLeast"/>
        </w:trPr>
        <w:tc>
          <w:tcPr>
            <w:tcW w:w="1358" w:type="dxa"/>
          </w:tcPr>
          <w:p>
            <w:pPr>
              <w:pStyle w:val="TableParagraph"/>
              <w:ind w:left="80"/>
              <w:jc w:val="left"/>
              <w:rPr>
                <w:sz w:val="14"/>
              </w:rPr>
            </w:pPr>
            <w:r>
              <w:rPr>
                <w:color w:val="231F20"/>
                <w:spacing w:val="-2"/>
                <w:w w:val="90"/>
                <w:sz w:val="14"/>
              </w:rPr>
              <w:t>Haiti</w:t>
            </w:r>
          </w:p>
        </w:tc>
        <w:tc>
          <w:tcPr>
            <w:tcW w:w="1103" w:type="dxa"/>
          </w:tcPr>
          <w:p>
            <w:pPr>
              <w:pStyle w:val="TableParagraph"/>
              <w:ind w:right="436"/>
              <w:jc w:val="right"/>
              <w:rPr>
                <w:sz w:val="14"/>
              </w:rPr>
            </w:pPr>
            <w:r>
              <w:rPr>
                <w:color w:val="231F20"/>
                <w:spacing w:val="-5"/>
                <w:w w:val="95"/>
                <w:sz w:val="14"/>
              </w:rPr>
              <w:t>610</w:t>
            </w:r>
          </w:p>
        </w:tc>
        <w:tc>
          <w:tcPr>
            <w:tcW w:w="851" w:type="dxa"/>
          </w:tcPr>
          <w:p>
            <w:pPr>
              <w:pStyle w:val="TableParagraph"/>
              <w:ind w:left="17" w:right="136"/>
              <w:rPr>
                <w:sz w:val="14"/>
              </w:rPr>
            </w:pPr>
            <w:r>
              <w:rPr>
                <w:color w:val="231F20"/>
                <w:spacing w:val="-4"/>
                <w:w w:val="95"/>
                <w:sz w:val="14"/>
              </w:rPr>
              <w:t>13.4</w:t>
            </w:r>
          </w:p>
        </w:tc>
        <w:tc>
          <w:tcPr>
            <w:tcW w:w="1063" w:type="dxa"/>
          </w:tcPr>
          <w:p>
            <w:pPr>
              <w:pStyle w:val="TableParagraph"/>
              <w:ind w:left="38" w:right="78"/>
              <w:rPr>
                <w:sz w:val="14"/>
              </w:rPr>
            </w:pPr>
            <w:r>
              <w:rPr>
                <w:color w:val="231F20"/>
                <w:spacing w:val="-4"/>
                <w:w w:val="95"/>
                <w:sz w:val="14"/>
              </w:rPr>
              <w:t>10.7</w:t>
            </w:r>
          </w:p>
        </w:tc>
        <w:tc>
          <w:tcPr>
            <w:tcW w:w="1080" w:type="dxa"/>
          </w:tcPr>
          <w:p>
            <w:pPr>
              <w:pStyle w:val="TableParagraph"/>
              <w:ind w:left="392"/>
              <w:jc w:val="left"/>
              <w:rPr>
                <w:sz w:val="14"/>
              </w:rPr>
            </w:pPr>
            <w:r>
              <w:rPr>
                <w:color w:val="231F20"/>
                <w:spacing w:val="-5"/>
                <w:w w:val="95"/>
                <w:sz w:val="14"/>
              </w:rPr>
              <w:t>5.8</w:t>
            </w:r>
          </w:p>
        </w:tc>
        <w:tc>
          <w:tcPr>
            <w:tcW w:w="755" w:type="dxa"/>
          </w:tcPr>
          <w:p>
            <w:pPr>
              <w:pStyle w:val="TableParagraph"/>
              <w:ind w:left="48" w:right="92"/>
              <w:rPr>
                <w:sz w:val="14"/>
              </w:rPr>
            </w:pPr>
            <w:r>
              <w:rPr>
                <w:color w:val="231F20"/>
                <w:spacing w:val="-4"/>
                <w:w w:val="95"/>
                <w:sz w:val="14"/>
              </w:rPr>
              <w:t>16.1</w:t>
            </w:r>
          </w:p>
        </w:tc>
        <w:tc>
          <w:tcPr>
            <w:tcW w:w="240" w:type="dxa"/>
          </w:tcPr>
          <w:p>
            <w:pPr>
              <w:pStyle w:val="TableParagraph"/>
              <w:spacing w:before="0"/>
              <w:jc w:val="left"/>
              <w:rPr>
                <w:rFonts w:ascii="Times New Roman"/>
                <w:sz w:val="12"/>
              </w:rPr>
            </w:pPr>
          </w:p>
        </w:tc>
        <w:tc>
          <w:tcPr>
            <w:tcW w:w="851" w:type="dxa"/>
          </w:tcPr>
          <w:p>
            <w:pPr>
              <w:pStyle w:val="TableParagraph"/>
              <w:ind w:left="249"/>
              <w:jc w:val="left"/>
              <w:rPr>
                <w:sz w:val="14"/>
              </w:rPr>
            </w:pPr>
            <w:r>
              <w:rPr>
                <w:color w:val="231F20"/>
                <w:spacing w:val="-4"/>
                <w:w w:val="95"/>
                <w:sz w:val="14"/>
              </w:rPr>
              <w:t>13.4</w:t>
            </w:r>
          </w:p>
        </w:tc>
        <w:tc>
          <w:tcPr>
            <w:tcW w:w="1073" w:type="dxa"/>
          </w:tcPr>
          <w:p>
            <w:pPr>
              <w:pStyle w:val="TableParagraph"/>
              <w:ind w:left="30" w:right="79"/>
              <w:rPr>
                <w:sz w:val="14"/>
              </w:rPr>
            </w:pPr>
            <w:r>
              <w:rPr>
                <w:color w:val="231F20"/>
                <w:spacing w:val="-4"/>
                <w:w w:val="95"/>
                <w:sz w:val="14"/>
              </w:rPr>
              <w:t>10.7</w:t>
            </w:r>
          </w:p>
        </w:tc>
        <w:tc>
          <w:tcPr>
            <w:tcW w:w="939" w:type="dxa"/>
          </w:tcPr>
          <w:p>
            <w:pPr>
              <w:pStyle w:val="TableParagraph"/>
              <w:ind w:left="32" w:right="32"/>
              <w:rPr>
                <w:sz w:val="14"/>
              </w:rPr>
            </w:pPr>
            <w:r>
              <w:rPr>
                <w:color w:val="231F20"/>
                <w:spacing w:val="-5"/>
                <w:w w:val="95"/>
                <w:sz w:val="14"/>
              </w:rPr>
              <w:t>5.8</w:t>
            </w:r>
          </w:p>
        </w:tc>
        <w:tc>
          <w:tcPr>
            <w:tcW w:w="1005" w:type="dxa"/>
          </w:tcPr>
          <w:p>
            <w:pPr>
              <w:pStyle w:val="TableParagraph"/>
              <w:ind w:right="408"/>
              <w:jc w:val="right"/>
              <w:rPr>
                <w:sz w:val="14"/>
              </w:rPr>
            </w:pPr>
            <w:r>
              <w:rPr>
                <w:color w:val="231F20"/>
                <w:spacing w:val="-4"/>
                <w:w w:val="95"/>
                <w:sz w:val="14"/>
              </w:rPr>
              <w:t>16.1</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Honduras</w:t>
            </w:r>
          </w:p>
        </w:tc>
        <w:tc>
          <w:tcPr>
            <w:tcW w:w="1103" w:type="dxa"/>
            <w:shd w:val="clear" w:color="auto" w:fill="D4E3F5"/>
          </w:tcPr>
          <w:p>
            <w:pPr>
              <w:pStyle w:val="TableParagraph"/>
              <w:ind w:right="436"/>
              <w:jc w:val="right"/>
              <w:rPr>
                <w:sz w:val="14"/>
              </w:rPr>
            </w:pPr>
            <w:r>
              <w:rPr>
                <w:color w:val="231F20"/>
                <w:spacing w:val="-2"/>
                <w:w w:val="95"/>
                <w:sz w:val="14"/>
              </w:rPr>
              <w:t>6,688</w:t>
            </w:r>
          </w:p>
        </w:tc>
        <w:tc>
          <w:tcPr>
            <w:tcW w:w="851" w:type="dxa"/>
            <w:shd w:val="clear" w:color="auto" w:fill="D4E3F5"/>
          </w:tcPr>
          <w:p>
            <w:pPr>
              <w:pStyle w:val="TableParagraph"/>
              <w:ind w:left="82" w:right="136"/>
              <w:rPr>
                <w:sz w:val="14"/>
              </w:rPr>
            </w:pPr>
            <w:r>
              <w:rPr>
                <w:color w:val="231F20"/>
                <w:spacing w:val="-5"/>
                <w:w w:val="95"/>
                <w:sz w:val="14"/>
              </w:rPr>
              <w:t>6.9</w:t>
            </w:r>
          </w:p>
        </w:tc>
        <w:tc>
          <w:tcPr>
            <w:tcW w:w="1063" w:type="dxa"/>
            <w:shd w:val="clear" w:color="auto" w:fill="D4E3F5"/>
          </w:tcPr>
          <w:p>
            <w:pPr>
              <w:pStyle w:val="TableParagraph"/>
              <w:ind w:left="77" w:right="53"/>
              <w:rPr>
                <w:sz w:val="14"/>
              </w:rPr>
            </w:pPr>
            <w:r>
              <w:rPr>
                <w:color w:val="231F20"/>
                <w:spacing w:val="-5"/>
                <w:w w:val="95"/>
                <w:sz w:val="14"/>
              </w:rPr>
              <w:t>5.5</w:t>
            </w:r>
          </w:p>
        </w:tc>
        <w:tc>
          <w:tcPr>
            <w:tcW w:w="1080" w:type="dxa"/>
            <w:shd w:val="clear" w:color="auto" w:fill="D4E3F5"/>
          </w:tcPr>
          <w:p>
            <w:pPr>
              <w:pStyle w:val="TableParagraph"/>
              <w:ind w:left="392"/>
              <w:jc w:val="left"/>
              <w:rPr>
                <w:sz w:val="14"/>
              </w:rPr>
            </w:pPr>
            <w:r>
              <w:rPr>
                <w:color w:val="231F20"/>
                <w:spacing w:val="-5"/>
                <w:w w:val="95"/>
                <w:sz w:val="14"/>
              </w:rPr>
              <w:t>2.6</w:t>
            </w:r>
          </w:p>
        </w:tc>
        <w:tc>
          <w:tcPr>
            <w:tcW w:w="755" w:type="dxa"/>
            <w:shd w:val="clear" w:color="auto" w:fill="D4E3F5"/>
          </w:tcPr>
          <w:p>
            <w:pPr>
              <w:pStyle w:val="TableParagraph"/>
              <w:ind w:left="87" w:right="51"/>
              <w:rPr>
                <w:sz w:val="14"/>
              </w:rPr>
            </w:pPr>
            <w:r>
              <w:rPr>
                <w:color w:val="231F20"/>
                <w:spacing w:val="-5"/>
                <w:w w:val="95"/>
                <w:sz w:val="14"/>
              </w:rPr>
              <w:t>9.3</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77" w:right="136"/>
              <w:rPr>
                <w:sz w:val="14"/>
              </w:rPr>
            </w:pPr>
            <w:r>
              <w:rPr>
                <w:color w:val="231F20"/>
                <w:spacing w:val="-5"/>
                <w:w w:val="95"/>
                <w:sz w:val="14"/>
              </w:rPr>
              <w:t>6.7</w:t>
            </w:r>
          </w:p>
        </w:tc>
        <w:tc>
          <w:tcPr>
            <w:tcW w:w="1073" w:type="dxa"/>
            <w:shd w:val="clear" w:color="auto" w:fill="D4E3F5"/>
          </w:tcPr>
          <w:p>
            <w:pPr>
              <w:pStyle w:val="TableParagraph"/>
              <w:ind w:left="75" w:right="63"/>
              <w:rPr>
                <w:sz w:val="14"/>
              </w:rPr>
            </w:pPr>
            <w:r>
              <w:rPr>
                <w:color w:val="231F20"/>
                <w:spacing w:val="-5"/>
                <w:w w:val="95"/>
                <w:sz w:val="14"/>
              </w:rPr>
              <w:t>5.4</w:t>
            </w:r>
          </w:p>
        </w:tc>
        <w:tc>
          <w:tcPr>
            <w:tcW w:w="939" w:type="dxa"/>
            <w:shd w:val="clear" w:color="auto" w:fill="D4E3F5"/>
          </w:tcPr>
          <w:p>
            <w:pPr>
              <w:pStyle w:val="TableParagraph"/>
              <w:ind w:left="30" w:right="32"/>
              <w:rPr>
                <w:sz w:val="14"/>
              </w:rPr>
            </w:pPr>
            <w:r>
              <w:rPr>
                <w:color w:val="231F20"/>
                <w:spacing w:val="-5"/>
                <w:w w:val="95"/>
                <w:sz w:val="14"/>
              </w:rPr>
              <w:t>2.4</w:t>
            </w:r>
          </w:p>
        </w:tc>
        <w:tc>
          <w:tcPr>
            <w:tcW w:w="1005" w:type="dxa"/>
            <w:shd w:val="clear" w:color="auto" w:fill="D4E3F5"/>
          </w:tcPr>
          <w:p>
            <w:pPr>
              <w:pStyle w:val="TableParagraph"/>
              <w:ind w:right="388"/>
              <w:jc w:val="right"/>
              <w:rPr>
                <w:sz w:val="14"/>
              </w:rPr>
            </w:pPr>
            <w:r>
              <w:rPr>
                <w:color w:val="231F20"/>
                <w:spacing w:val="-5"/>
                <w:w w:val="95"/>
                <w:sz w:val="14"/>
              </w:rPr>
              <w:t>8.9</w:t>
            </w:r>
          </w:p>
        </w:tc>
      </w:tr>
      <w:tr>
        <w:trPr>
          <w:trHeight w:val="259" w:hRule="atLeast"/>
        </w:trPr>
        <w:tc>
          <w:tcPr>
            <w:tcW w:w="1358" w:type="dxa"/>
          </w:tcPr>
          <w:p>
            <w:pPr>
              <w:pStyle w:val="TableParagraph"/>
              <w:ind w:left="80"/>
              <w:jc w:val="left"/>
              <w:rPr>
                <w:sz w:val="14"/>
              </w:rPr>
            </w:pPr>
            <w:r>
              <w:rPr>
                <w:color w:val="231F20"/>
                <w:w w:val="75"/>
                <w:sz w:val="14"/>
              </w:rPr>
              <w:t>Hong</w:t>
            </w:r>
            <w:r>
              <w:rPr>
                <w:color w:val="231F20"/>
                <w:spacing w:val="1"/>
                <w:sz w:val="14"/>
              </w:rPr>
              <w:t> </w:t>
            </w:r>
            <w:r>
              <w:rPr>
                <w:color w:val="231F20"/>
                <w:w w:val="75"/>
                <w:sz w:val="14"/>
              </w:rPr>
              <w:t>Kong</w:t>
            </w:r>
            <w:r>
              <w:rPr>
                <w:color w:val="231F20"/>
                <w:spacing w:val="2"/>
                <w:sz w:val="14"/>
              </w:rPr>
              <w:t> </w:t>
            </w:r>
            <w:r>
              <w:rPr>
                <w:color w:val="231F20"/>
                <w:w w:val="75"/>
                <w:sz w:val="14"/>
              </w:rPr>
              <w:t>SAR,</w:t>
            </w:r>
            <w:r>
              <w:rPr>
                <w:color w:val="231F20"/>
                <w:spacing w:val="1"/>
                <w:sz w:val="14"/>
              </w:rPr>
              <w:t> </w:t>
            </w:r>
            <w:r>
              <w:rPr>
                <w:color w:val="231F20"/>
                <w:spacing w:val="-2"/>
                <w:w w:val="75"/>
                <w:sz w:val="14"/>
              </w:rPr>
              <w:t>China</w:t>
            </w:r>
          </w:p>
        </w:tc>
        <w:tc>
          <w:tcPr>
            <w:tcW w:w="1103" w:type="dxa"/>
          </w:tcPr>
          <w:p>
            <w:pPr>
              <w:pStyle w:val="TableParagraph"/>
              <w:ind w:right="435"/>
              <w:jc w:val="right"/>
              <w:rPr>
                <w:sz w:val="14"/>
              </w:rPr>
            </w:pPr>
            <w:r>
              <w:rPr>
                <w:color w:val="231F20"/>
                <w:spacing w:val="-2"/>
                <w:w w:val="95"/>
                <w:sz w:val="14"/>
              </w:rPr>
              <w:t>13,300</w:t>
            </w:r>
          </w:p>
        </w:tc>
        <w:tc>
          <w:tcPr>
            <w:tcW w:w="851" w:type="dxa"/>
          </w:tcPr>
          <w:p>
            <w:pPr>
              <w:pStyle w:val="TableParagraph"/>
              <w:ind w:left="63" w:right="136"/>
              <w:rPr>
                <w:sz w:val="14"/>
              </w:rPr>
            </w:pPr>
            <w:r>
              <w:rPr>
                <w:color w:val="231F20"/>
                <w:spacing w:val="-5"/>
                <w:w w:val="95"/>
                <w:sz w:val="14"/>
              </w:rPr>
              <w:t>3.1</w:t>
            </w:r>
          </w:p>
        </w:tc>
        <w:tc>
          <w:tcPr>
            <w:tcW w:w="1063" w:type="dxa"/>
          </w:tcPr>
          <w:p>
            <w:pPr>
              <w:pStyle w:val="TableParagraph"/>
              <w:ind w:left="75" w:right="53"/>
              <w:rPr>
                <w:sz w:val="14"/>
              </w:rPr>
            </w:pPr>
            <w:r>
              <w:rPr>
                <w:color w:val="231F20"/>
                <w:spacing w:val="-5"/>
                <w:w w:val="95"/>
                <w:sz w:val="14"/>
              </w:rPr>
              <w:t>2.4</w:t>
            </w:r>
          </w:p>
        </w:tc>
        <w:tc>
          <w:tcPr>
            <w:tcW w:w="1080" w:type="dxa"/>
          </w:tcPr>
          <w:p>
            <w:pPr>
              <w:pStyle w:val="TableParagraph"/>
              <w:ind w:left="392"/>
              <w:jc w:val="left"/>
              <w:rPr>
                <w:sz w:val="14"/>
              </w:rPr>
            </w:pPr>
            <w:r>
              <w:rPr>
                <w:color w:val="231F20"/>
                <w:spacing w:val="-5"/>
                <w:w w:val="95"/>
                <w:sz w:val="14"/>
              </w:rPr>
              <w:t>0.9</w:t>
            </w:r>
          </w:p>
        </w:tc>
        <w:tc>
          <w:tcPr>
            <w:tcW w:w="755" w:type="dxa"/>
          </w:tcPr>
          <w:p>
            <w:pPr>
              <w:pStyle w:val="TableParagraph"/>
              <w:ind w:left="69" w:right="51"/>
              <w:rPr>
                <w:sz w:val="14"/>
              </w:rPr>
            </w:pPr>
            <w:r>
              <w:rPr>
                <w:color w:val="231F20"/>
                <w:spacing w:val="-5"/>
                <w:w w:val="95"/>
                <w:sz w:val="14"/>
              </w:rPr>
              <w:t>4.1</w:t>
            </w:r>
          </w:p>
        </w:tc>
        <w:tc>
          <w:tcPr>
            <w:tcW w:w="240" w:type="dxa"/>
          </w:tcPr>
          <w:p>
            <w:pPr>
              <w:pStyle w:val="TableParagraph"/>
              <w:spacing w:before="0"/>
              <w:jc w:val="left"/>
              <w:rPr>
                <w:rFonts w:ascii="Times New Roman"/>
                <w:sz w:val="12"/>
              </w:rPr>
            </w:pPr>
          </w:p>
        </w:tc>
        <w:tc>
          <w:tcPr>
            <w:tcW w:w="851" w:type="dxa"/>
          </w:tcPr>
          <w:p>
            <w:pPr>
              <w:pStyle w:val="TableParagraph"/>
              <w:ind w:left="82" w:right="136"/>
              <w:rPr>
                <w:sz w:val="14"/>
              </w:rPr>
            </w:pPr>
            <w:r>
              <w:rPr>
                <w:color w:val="231F20"/>
                <w:spacing w:val="-5"/>
                <w:w w:val="95"/>
                <w:sz w:val="14"/>
              </w:rPr>
              <w:t>3.0</w:t>
            </w:r>
          </w:p>
        </w:tc>
        <w:tc>
          <w:tcPr>
            <w:tcW w:w="1073" w:type="dxa"/>
          </w:tcPr>
          <w:p>
            <w:pPr>
              <w:pStyle w:val="TableParagraph"/>
              <w:ind w:left="78" w:right="63"/>
              <w:rPr>
                <w:sz w:val="14"/>
              </w:rPr>
            </w:pPr>
            <w:r>
              <w:rPr>
                <w:color w:val="231F20"/>
                <w:spacing w:val="-5"/>
                <w:w w:val="95"/>
                <w:sz w:val="14"/>
              </w:rPr>
              <w:t>2.3</w:t>
            </w:r>
          </w:p>
        </w:tc>
        <w:tc>
          <w:tcPr>
            <w:tcW w:w="939" w:type="dxa"/>
          </w:tcPr>
          <w:p>
            <w:pPr>
              <w:pStyle w:val="TableParagraph"/>
              <w:ind w:left="32" w:right="32"/>
              <w:rPr>
                <w:sz w:val="14"/>
              </w:rPr>
            </w:pPr>
            <w:r>
              <w:rPr>
                <w:color w:val="231F20"/>
                <w:spacing w:val="-5"/>
                <w:w w:val="95"/>
                <w:sz w:val="14"/>
              </w:rPr>
              <w:t>0.9</w:t>
            </w:r>
          </w:p>
        </w:tc>
        <w:tc>
          <w:tcPr>
            <w:tcW w:w="1005" w:type="dxa"/>
          </w:tcPr>
          <w:p>
            <w:pPr>
              <w:pStyle w:val="TableParagraph"/>
              <w:ind w:right="408"/>
              <w:jc w:val="right"/>
              <w:rPr>
                <w:sz w:val="14"/>
              </w:rPr>
            </w:pPr>
            <w:r>
              <w:rPr>
                <w:color w:val="231F20"/>
                <w:spacing w:val="-5"/>
                <w:w w:val="95"/>
                <w:sz w:val="14"/>
              </w:rPr>
              <w:t>4.1</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Hungary</w:t>
            </w:r>
          </w:p>
        </w:tc>
        <w:tc>
          <w:tcPr>
            <w:tcW w:w="1103" w:type="dxa"/>
            <w:shd w:val="clear" w:color="auto" w:fill="D4E3F5"/>
          </w:tcPr>
          <w:p>
            <w:pPr>
              <w:pStyle w:val="TableParagraph"/>
              <w:ind w:right="435"/>
              <w:jc w:val="right"/>
              <w:rPr>
                <w:sz w:val="14"/>
              </w:rPr>
            </w:pPr>
            <w:r>
              <w:rPr>
                <w:color w:val="231F20"/>
                <w:spacing w:val="-2"/>
                <w:w w:val="95"/>
                <w:sz w:val="14"/>
              </w:rPr>
              <w:t>3,747</w:t>
            </w:r>
          </w:p>
        </w:tc>
        <w:tc>
          <w:tcPr>
            <w:tcW w:w="851" w:type="dxa"/>
            <w:shd w:val="clear" w:color="auto" w:fill="D4E3F5"/>
          </w:tcPr>
          <w:p>
            <w:pPr>
              <w:pStyle w:val="TableParagraph"/>
              <w:ind w:left="17" w:right="136"/>
              <w:rPr>
                <w:sz w:val="14"/>
              </w:rPr>
            </w:pPr>
            <w:r>
              <w:rPr>
                <w:color w:val="231F20"/>
                <w:spacing w:val="-4"/>
                <w:w w:val="95"/>
                <w:sz w:val="14"/>
              </w:rPr>
              <w:t>14.7</w:t>
            </w:r>
          </w:p>
        </w:tc>
        <w:tc>
          <w:tcPr>
            <w:tcW w:w="1063" w:type="dxa"/>
            <w:shd w:val="clear" w:color="auto" w:fill="D4E3F5"/>
          </w:tcPr>
          <w:p>
            <w:pPr>
              <w:pStyle w:val="TableParagraph"/>
              <w:ind w:left="38" w:right="73"/>
              <w:rPr>
                <w:sz w:val="14"/>
              </w:rPr>
            </w:pPr>
            <w:r>
              <w:rPr>
                <w:color w:val="231F20"/>
                <w:spacing w:val="-4"/>
                <w:w w:val="95"/>
                <w:sz w:val="14"/>
              </w:rPr>
              <w:t>12.3</w:t>
            </w:r>
          </w:p>
        </w:tc>
        <w:tc>
          <w:tcPr>
            <w:tcW w:w="1080" w:type="dxa"/>
            <w:shd w:val="clear" w:color="auto" w:fill="D4E3F5"/>
          </w:tcPr>
          <w:p>
            <w:pPr>
              <w:pStyle w:val="TableParagraph"/>
              <w:ind w:left="391"/>
              <w:jc w:val="left"/>
              <w:rPr>
                <w:sz w:val="14"/>
              </w:rPr>
            </w:pPr>
            <w:r>
              <w:rPr>
                <w:color w:val="231F20"/>
                <w:spacing w:val="-5"/>
                <w:w w:val="95"/>
                <w:sz w:val="14"/>
              </w:rPr>
              <w:t>6.5</w:t>
            </w:r>
          </w:p>
        </w:tc>
        <w:tc>
          <w:tcPr>
            <w:tcW w:w="755" w:type="dxa"/>
            <w:shd w:val="clear" w:color="auto" w:fill="D4E3F5"/>
          </w:tcPr>
          <w:p>
            <w:pPr>
              <w:pStyle w:val="TableParagraph"/>
              <w:ind w:left="48" w:right="98"/>
              <w:rPr>
                <w:sz w:val="14"/>
              </w:rPr>
            </w:pPr>
            <w:r>
              <w:rPr>
                <w:color w:val="231F20"/>
                <w:spacing w:val="-4"/>
                <w:w w:val="95"/>
                <w:sz w:val="14"/>
              </w:rPr>
              <w:t>20.1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3" w:right="136"/>
              <w:rPr>
                <w:sz w:val="14"/>
              </w:rPr>
            </w:pPr>
            <w:r>
              <w:rPr>
                <w:color w:val="231F20"/>
                <w:spacing w:val="-5"/>
                <w:w w:val="95"/>
                <w:sz w:val="14"/>
              </w:rPr>
              <w:t>9.9</w:t>
            </w:r>
          </w:p>
        </w:tc>
        <w:tc>
          <w:tcPr>
            <w:tcW w:w="1073" w:type="dxa"/>
            <w:shd w:val="clear" w:color="auto" w:fill="D4E3F5"/>
          </w:tcPr>
          <w:p>
            <w:pPr>
              <w:pStyle w:val="TableParagraph"/>
              <w:ind w:left="90" w:right="63"/>
              <w:rPr>
                <w:sz w:val="14"/>
              </w:rPr>
            </w:pPr>
            <w:r>
              <w:rPr>
                <w:color w:val="231F20"/>
                <w:spacing w:val="-5"/>
                <w:w w:val="95"/>
                <w:sz w:val="14"/>
              </w:rPr>
              <w:t>7.9</w:t>
            </w:r>
          </w:p>
        </w:tc>
        <w:tc>
          <w:tcPr>
            <w:tcW w:w="939" w:type="dxa"/>
            <w:shd w:val="clear" w:color="auto" w:fill="D4E3F5"/>
          </w:tcPr>
          <w:p>
            <w:pPr>
              <w:pStyle w:val="TableParagraph"/>
              <w:ind w:left="31" w:right="32"/>
              <w:rPr>
                <w:sz w:val="14"/>
              </w:rPr>
            </w:pPr>
            <w:r>
              <w:rPr>
                <w:color w:val="231F20"/>
                <w:spacing w:val="-5"/>
                <w:w w:val="95"/>
                <w:sz w:val="14"/>
              </w:rPr>
              <w:t>4.6</w:t>
            </w:r>
          </w:p>
        </w:tc>
        <w:tc>
          <w:tcPr>
            <w:tcW w:w="1005" w:type="dxa"/>
            <w:shd w:val="clear" w:color="auto" w:fill="D4E3F5"/>
          </w:tcPr>
          <w:p>
            <w:pPr>
              <w:pStyle w:val="TableParagraph"/>
              <w:ind w:right="389"/>
              <w:jc w:val="right"/>
              <w:rPr>
                <w:sz w:val="14"/>
              </w:rPr>
            </w:pPr>
            <w:r>
              <w:rPr>
                <w:color w:val="231F20"/>
                <w:spacing w:val="-4"/>
                <w:w w:val="95"/>
                <w:sz w:val="14"/>
              </w:rPr>
              <w:t>13.5</w:t>
            </w:r>
          </w:p>
        </w:tc>
      </w:tr>
      <w:tr>
        <w:trPr>
          <w:trHeight w:val="259" w:hRule="atLeast"/>
        </w:trPr>
        <w:tc>
          <w:tcPr>
            <w:tcW w:w="1358" w:type="dxa"/>
          </w:tcPr>
          <w:p>
            <w:pPr>
              <w:pStyle w:val="TableParagraph"/>
              <w:ind w:left="80"/>
              <w:jc w:val="left"/>
              <w:rPr>
                <w:sz w:val="14"/>
              </w:rPr>
            </w:pPr>
            <w:r>
              <w:rPr>
                <w:color w:val="231F20"/>
                <w:spacing w:val="-4"/>
                <w:w w:val="85"/>
                <w:sz w:val="14"/>
              </w:rPr>
              <w:t>India</w:t>
            </w:r>
          </w:p>
        </w:tc>
        <w:tc>
          <w:tcPr>
            <w:tcW w:w="1103" w:type="dxa"/>
          </w:tcPr>
          <w:p>
            <w:pPr>
              <w:pStyle w:val="TableParagraph"/>
              <w:ind w:right="435"/>
              <w:jc w:val="right"/>
              <w:rPr>
                <w:sz w:val="14"/>
              </w:rPr>
            </w:pPr>
            <w:r>
              <w:rPr>
                <w:color w:val="231F20"/>
                <w:spacing w:val="-2"/>
                <w:w w:val="95"/>
                <w:sz w:val="14"/>
              </w:rPr>
              <w:t>71,765</w:t>
            </w:r>
          </w:p>
        </w:tc>
        <w:tc>
          <w:tcPr>
            <w:tcW w:w="851" w:type="dxa"/>
          </w:tcPr>
          <w:p>
            <w:pPr>
              <w:pStyle w:val="TableParagraph"/>
              <w:ind w:left="82" w:right="136"/>
              <w:rPr>
                <w:sz w:val="14"/>
              </w:rPr>
            </w:pPr>
            <w:r>
              <w:rPr>
                <w:color w:val="231F20"/>
                <w:spacing w:val="-5"/>
                <w:w w:val="95"/>
                <w:sz w:val="14"/>
              </w:rPr>
              <w:t>5.3</w:t>
            </w:r>
          </w:p>
        </w:tc>
        <w:tc>
          <w:tcPr>
            <w:tcW w:w="1063" w:type="dxa"/>
          </w:tcPr>
          <w:p>
            <w:pPr>
              <w:pStyle w:val="TableParagraph"/>
              <w:ind w:left="72" w:right="53"/>
              <w:rPr>
                <w:sz w:val="14"/>
              </w:rPr>
            </w:pPr>
            <w:r>
              <w:rPr>
                <w:color w:val="231F20"/>
                <w:spacing w:val="-5"/>
                <w:w w:val="95"/>
                <w:sz w:val="14"/>
              </w:rPr>
              <w:t>2.7</w:t>
            </w:r>
          </w:p>
        </w:tc>
        <w:tc>
          <w:tcPr>
            <w:tcW w:w="1080" w:type="dxa"/>
          </w:tcPr>
          <w:p>
            <w:pPr>
              <w:pStyle w:val="TableParagraph"/>
              <w:ind w:left="399"/>
              <w:jc w:val="left"/>
              <w:rPr>
                <w:sz w:val="14"/>
              </w:rPr>
            </w:pPr>
            <w:r>
              <w:rPr>
                <w:color w:val="231F20"/>
                <w:spacing w:val="-5"/>
                <w:w w:val="95"/>
                <w:sz w:val="14"/>
              </w:rPr>
              <w:t>1.2</w:t>
            </w:r>
          </w:p>
        </w:tc>
        <w:tc>
          <w:tcPr>
            <w:tcW w:w="755" w:type="dxa"/>
          </w:tcPr>
          <w:p>
            <w:pPr>
              <w:pStyle w:val="TableParagraph"/>
              <w:ind w:left="99" w:right="51"/>
              <w:rPr>
                <w:sz w:val="14"/>
              </w:rPr>
            </w:pPr>
            <w:r>
              <w:rPr>
                <w:color w:val="231F20"/>
                <w:spacing w:val="-5"/>
                <w:w w:val="95"/>
                <w:sz w:val="14"/>
              </w:rPr>
              <w:t>7.5</w:t>
            </w:r>
          </w:p>
        </w:tc>
        <w:tc>
          <w:tcPr>
            <w:tcW w:w="240" w:type="dxa"/>
          </w:tcPr>
          <w:p>
            <w:pPr>
              <w:pStyle w:val="TableParagraph"/>
              <w:spacing w:before="0"/>
              <w:jc w:val="left"/>
              <w:rPr>
                <w:rFonts w:ascii="Times New Roman"/>
                <w:sz w:val="12"/>
              </w:rPr>
            </w:pPr>
          </w:p>
        </w:tc>
        <w:tc>
          <w:tcPr>
            <w:tcW w:w="851" w:type="dxa"/>
          </w:tcPr>
          <w:p>
            <w:pPr>
              <w:pStyle w:val="TableParagraph"/>
              <w:ind w:left="84" w:right="136"/>
              <w:rPr>
                <w:sz w:val="14"/>
              </w:rPr>
            </w:pPr>
            <w:r>
              <w:rPr>
                <w:color w:val="231F20"/>
                <w:spacing w:val="-5"/>
                <w:w w:val="95"/>
                <w:sz w:val="14"/>
              </w:rPr>
              <w:t>2.6</w:t>
            </w:r>
          </w:p>
        </w:tc>
        <w:tc>
          <w:tcPr>
            <w:tcW w:w="1073" w:type="dxa"/>
          </w:tcPr>
          <w:p>
            <w:pPr>
              <w:pStyle w:val="TableParagraph"/>
              <w:ind w:left="85" w:right="63"/>
              <w:rPr>
                <w:sz w:val="14"/>
              </w:rPr>
            </w:pPr>
            <w:r>
              <w:rPr>
                <w:color w:val="231F20"/>
                <w:spacing w:val="-5"/>
                <w:w w:val="95"/>
                <w:sz w:val="14"/>
              </w:rPr>
              <w:t>1.5</w:t>
            </w:r>
          </w:p>
        </w:tc>
        <w:tc>
          <w:tcPr>
            <w:tcW w:w="939" w:type="dxa"/>
          </w:tcPr>
          <w:p>
            <w:pPr>
              <w:pStyle w:val="TableParagraph"/>
              <w:ind w:left="32" w:right="32"/>
              <w:rPr>
                <w:sz w:val="14"/>
              </w:rPr>
            </w:pPr>
            <w:r>
              <w:rPr>
                <w:color w:val="231F20"/>
                <w:spacing w:val="-5"/>
                <w:w w:val="95"/>
                <w:sz w:val="14"/>
              </w:rPr>
              <w:t>0.9</w:t>
            </w:r>
          </w:p>
        </w:tc>
        <w:tc>
          <w:tcPr>
            <w:tcW w:w="1005" w:type="dxa"/>
          </w:tcPr>
          <w:p>
            <w:pPr>
              <w:pStyle w:val="TableParagraph"/>
              <w:ind w:right="390"/>
              <w:jc w:val="right"/>
              <w:rPr>
                <w:sz w:val="14"/>
              </w:rPr>
            </w:pPr>
            <w:r>
              <w:rPr>
                <w:color w:val="231F20"/>
                <w:spacing w:val="-5"/>
                <w:w w:val="95"/>
                <w:sz w:val="14"/>
              </w:rPr>
              <w:t>3.0</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Indonesia</w:t>
            </w:r>
          </w:p>
        </w:tc>
        <w:tc>
          <w:tcPr>
            <w:tcW w:w="1103" w:type="dxa"/>
            <w:shd w:val="clear" w:color="auto" w:fill="D4E3F5"/>
          </w:tcPr>
          <w:p>
            <w:pPr>
              <w:pStyle w:val="TableParagraph"/>
              <w:ind w:right="435"/>
              <w:jc w:val="right"/>
              <w:rPr>
                <w:sz w:val="14"/>
              </w:rPr>
            </w:pPr>
            <w:r>
              <w:rPr>
                <w:color w:val="231F20"/>
                <w:spacing w:val="-2"/>
                <w:w w:val="95"/>
                <w:sz w:val="14"/>
              </w:rPr>
              <w:t>41,619</w:t>
            </w:r>
          </w:p>
        </w:tc>
        <w:tc>
          <w:tcPr>
            <w:tcW w:w="851" w:type="dxa"/>
            <w:shd w:val="clear" w:color="auto" w:fill="D4E3F5"/>
          </w:tcPr>
          <w:p>
            <w:pPr>
              <w:pStyle w:val="TableParagraph"/>
              <w:ind w:left="80" w:right="136"/>
              <w:rPr>
                <w:sz w:val="14"/>
              </w:rPr>
            </w:pPr>
            <w:r>
              <w:rPr>
                <w:color w:val="231F20"/>
                <w:spacing w:val="-5"/>
                <w:w w:val="95"/>
                <w:sz w:val="14"/>
              </w:rPr>
              <w:t>3.4</w:t>
            </w:r>
          </w:p>
        </w:tc>
        <w:tc>
          <w:tcPr>
            <w:tcW w:w="1063" w:type="dxa"/>
            <w:shd w:val="clear" w:color="auto" w:fill="D4E3F5"/>
          </w:tcPr>
          <w:p>
            <w:pPr>
              <w:pStyle w:val="TableParagraph"/>
              <w:ind w:left="77" w:right="53"/>
              <w:rPr>
                <w:sz w:val="14"/>
              </w:rPr>
            </w:pPr>
            <w:r>
              <w:rPr>
                <w:color w:val="231F20"/>
                <w:spacing w:val="-5"/>
                <w:w w:val="95"/>
                <w:sz w:val="14"/>
              </w:rPr>
              <w:t>2.3</w:t>
            </w:r>
          </w:p>
        </w:tc>
        <w:tc>
          <w:tcPr>
            <w:tcW w:w="1080" w:type="dxa"/>
            <w:shd w:val="clear" w:color="auto" w:fill="D4E3F5"/>
          </w:tcPr>
          <w:p>
            <w:pPr>
              <w:pStyle w:val="TableParagraph"/>
              <w:ind w:left="399"/>
              <w:jc w:val="left"/>
              <w:rPr>
                <w:sz w:val="14"/>
              </w:rPr>
            </w:pPr>
            <w:r>
              <w:rPr>
                <w:color w:val="231F20"/>
                <w:spacing w:val="-5"/>
                <w:w w:val="95"/>
                <w:sz w:val="14"/>
              </w:rPr>
              <w:t>1.2</w:t>
            </w:r>
          </w:p>
        </w:tc>
        <w:tc>
          <w:tcPr>
            <w:tcW w:w="755" w:type="dxa"/>
            <w:shd w:val="clear" w:color="auto" w:fill="D4E3F5"/>
          </w:tcPr>
          <w:p>
            <w:pPr>
              <w:pStyle w:val="TableParagraph"/>
              <w:ind w:left="89" w:right="51"/>
              <w:rPr>
                <w:sz w:val="14"/>
              </w:rPr>
            </w:pPr>
            <w:r>
              <w:rPr>
                <w:color w:val="231F20"/>
                <w:spacing w:val="-5"/>
                <w:w w:val="95"/>
                <w:sz w:val="14"/>
              </w:rPr>
              <w:t>4.2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4" w:right="136"/>
              <w:rPr>
                <w:sz w:val="14"/>
              </w:rPr>
            </w:pPr>
            <w:r>
              <w:rPr>
                <w:color w:val="231F20"/>
                <w:spacing w:val="-5"/>
                <w:w w:val="95"/>
                <w:sz w:val="14"/>
              </w:rPr>
              <w:t>3.2</w:t>
            </w:r>
          </w:p>
        </w:tc>
        <w:tc>
          <w:tcPr>
            <w:tcW w:w="1073" w:type="dxa"/>
            <w:shd w:val="clear" w:color="auto" w:fill="D4E3F5"/>
          </w:tcPr>
          <w:p>
            <w:pPr>
              <w:pStyle w:val="TableParagraph"/>
              <w:ind w:left="79" w:right="63"/>
              <w:rPr>
                <w:sz w:val="14"/>
              </w:rPr>
            </w:pPr>
            <w:r>
              <w:rPr>
                <w:color w:val="231F20"/>
                <w:spacing w:val="-5"/>
                <w:w w:val="95"/>
                <w:sz w:val="14"/>
              </w:rPr>
              <w:t>2.2</w:t>
            </w:r>
          </w:p>
        </w:tc>
        <w:tc>
          <w:tcPr>
            <w:tcW w:w="939" w:type="dxa"/>
            <w:shd w:val="clear" w:color="auto" w:fill="D4E3F5"/>
          </w:tcPr>
          <w:p>
            <w:pPr>
              <w:pStyle w:val="TableParagraph"/>
              <w:ind w:left="38" w:right="32"/>
              <w:rPr>
                <w:sz w:val="14"/>
              </w:rPr>
            </w:pPr>
            <w:r>
              <w:rPr>
                <w:color w:val="231F20"/>
                <w:spacing w:val="-5"/>
                <w:w w:val="95"/>
                <w:sz w:val="14"/>
              </w:rPr>
              <w:t>1.2</w:t>
            </w:r>
          </w:p>
        </w:tc>
        <w:tc>
          <w:tcPr>
            <w:tcW w:w="1005" w:type="dxa"/>
            <w:shd w:val="clear" w:color="auto" w:fill="D4E3F5"/>
          </w:tcPr>
          <w:p>
            <w:pPr>
              <w:pStyle w:val="TableParagraph"/>
              <w:ind w:right="391"/>
              <w:jc w:val="right"/>
              <w:rPr>
                <w:sz w:val="14"/>
              </w:rPr>
            </w:pPr>
            <w:r>
              <w:rPr>
                <w:color w:val="231F20"/>
                <w:spacing w:val="-5"/>
                <w:w w:val="95"/>
                <w:sz w:val="14"/>
              </w:rPr>
              <w:t>4.0</w:t>
            </w:r>
          </w:p>
        </w:tc>
      </w:tr>
      <w:tr>
        <w:trPr>
          <w:trHeight w:val="259" w:hRule="atLeast"/>
        </w:trPr>
        <w:tc>
          <w:tcPr>
            <w:tcW w:w="1358" w:type="dxa"/>
          </w:tcPr>
          <w:p>
            <w:pPr>
              <w:pStyle w:val="TableParagraph"/>
              <w:ind w:left="80"/>
              <w:jc w:val="left"/>
              <w:rPr>
                <w:sz w:val="14"/>
              </w:rPr>
            </w:pPr>
            <w:r>
              <w:rPr>
                <w:color w:val="231F20"/>
                <w:spacing w:val="-4"/>
                <w:w w:val="85"/>
                <w:sz w:val="14"/>
              </w:rPr>
              <w:t>Iraq</w:t>
            </w:r>
          </w:p>
        </w:tc>
        <w:tc>
          <w:tcPr>
            <w:tcW w:w="1103" w:type="dxa"/>
          </w:tcPr>
          <w:p>
            <w:pPr>
              <w:pStyle w:val="TableParagraph"/>
              <w:ind w:right="435"/>
              <w:jc w:val="right"/>
              <w:rPr>
                <w:sz w:val="14"/>
              </w:rPr>
            </w:pPr>
            <w:r>
              <w:rPr>
                <w:color w:val="231F20"/>
                <w:spacing w:val="-2"/>
                <w:w w:val="95"/>
                <w:sz w:val="14"/>
              </w:rPr>
              <w:t>1,760</w:t>
            </w:r>
          </w:p>
        </w:tc>
        <w:tc>
          <w:tcPr>
            <w:tcW w:w="851" w:type="dxa"/>
          </w:tcPr>
          <w:p>
            <w:pPr>
              <w:pStyle w:val="TableParagraph"/>
              <w:ind w:left="94" w:right="136"/>
              <w:rPr>
                <w:sz w:val="14"/>
              </w:rPr>
            </w:pPr>
            <w:r>
              <w:rPr>
                <w:color w:val="231F20"/>
                <w:spacing w:val="-5"/>
                <w:w w:val="95"/>
                <w:sz w:val="14"/>
              </w:rPr>
              <w:t>7.0</w:t>
            </w:r>
          </w:p>
        </w:tc>
        <w:tc>
          <w:tcPr>
            <w:tcW w:w="1063" w:type="dxa"/>
          </w:tcPr>
          <w:p>
            <w:pPr>
              <w:pStyle w:val="TableParagraph"/>
              <w:ind w:left="58" w:right="53"/>
              <w:rPr>
                <w:sz w:val="14"/>
              </w:rPr>
            </w:pPr>
            <w:r>
              <w:rPr>
                <w:color w:val="231F20"/>
                <w:spacing w:val="-5"/>
                <w:w w:val="95"/>
                <w:sz w:val="14"/>
              </w:rPr>
              <w:t>5.1</w:t>
            </w:r>
          </w:p>
        </w:tc>
        <w:tc>
          <w:tcPr>
            <w:tcW w:w="1080" w:type="dxa"/>
          </w:tcPr>
          <w:p>
            <w:pPr>
              <w:pStyle w:val="TableParagraph"/>
              <w:ind w:left="391"/>
              <w:jc w:val="left"/>
              <w:rPr>
                <w:sz w:val="14"/>
              </w:rPr>
            </w:pPr>
            <w:r>
              <w:rPr>
                <w:color w:val="231F20"/>
                <w:spacing w:val="-5"/>
                <w:w w:val="95"/>
                <w:sz w:val="14"/>
              </w:rPr>
              <w:t>3.6</w:t>
            </w:r>
          </w:p>
        </w:tc>
        <w:tc>
          <w:tcPr>
            <w:tcW w:w="755" w:type="dxa"/>
          </w:tcPr>
          <w:p>
            <w:pPr>
              <w:pStyle w:val="TableParagraph"/>
              <w:ind w:left="99" w:right="51"/>
              <w:rPr>
                <w:sz w:val="14"/>
              </w:rPr>
            </w:pPr>
            <w:r>
              <w:rPr>
                <w:color w:val="231F20"/>
                <w:spacing w:val="-5"/>
                <w:w w:val="95"/>
                <w:sz w:val="14"/>
              </w:rPr>
              <w:t>7.8</w:t>
            </w:r>
          </w:p>
        </w:tc>
        <w:tc>
          <w:tcPr>
            <w:tcW w:w="240" w:type="dxa"/>
          </w:tcPr>
          <w:p>
            <w:pPr>
              <w:pStyle w:val="TableParagraph"/>
              <w:spacing w:before="0"/>
              <w:jc w:val="left"/>
              <w:rPr>
                <w:rFonts w:ascii="Times New Roman"/>
                <w:sz w:val="12"/>
              </w:rPr>
            </w:pPr>
          </w:p>
        </w:tc>
        <w:tc>
          <w:tcPr>
            <w:tcW w:w="851" w:type="dxa"/>
          </w:tcPr>
          <w:p>
            <w:pPr>
              <w:pStyle w:val="TableParagraph"/>
              <w:ind w:left="95" w:right="136"/>
              <w:rPr>
                <w:sz w:val="14"/>
              </w:rPr>
            </w:pPr>
            <w:r>
              <w:rPr>
                <w:color w:val="231F20"/>
                <w:spacing w:val="-5"/>
                <w:w w:val="95"/>
                <w:sz w:val="14"/>
              </w:rPr>
              <w:t>7.0</w:t>
            </w:r>
          </w:p>
        </w:tc>
        <w:tc>
          <w:tcPr>
            <w:tcW w:w="1073" w:type="dxa"/>
          </w:tcPr>
          <w:p>
            <w:pPr>
              <w:pStyle w:val="TableParagraph"/>
              <w:ind w:left="62" w:right="63"/>
              <w:rPr>
                <w:sz w:val="14"/>
              </w:rPr>
            </w:pPr>
            <w:r>
              <w:rPr>
                <w:color w:val="231F20"/>
                <w:spacing w:val="-5"/>
                <w:w w:val="95"/>
                <w:sz w:val="14"/>
              </w:rPr>
              <w:t>5.1</w:t>
            </w:r>
          </w:p>
        </w:tc>
        <w:tc>
          <w:tcPr>
            <w:tcW w:w="939" w:type="dxa"/>
          </w:tcPr>
          <w:p>
            <w:pPr>
              <w:pStyle w:val="TableParagraph"/>
              <w:ind w:left="32" w:right="32"/>
              <w:rPr>
                <w:sz w:val="14"/>
              </w:rPr>
            </w:pPr>
            <w:r>
              <w:rPr>
                <w:color w:val="231F20"/>
                <w:spacing w:val="-5"/>
                <w:w w:val="95"/>
                <w:sz w:val="14"/>
              </w:rPr>
              <w:t>3.6</w:t>
            </w:r>
          </w:p>
        </w:tc>
        <w:tc>
          <w:tcPr>
            <w:tcW w:w="1005" w:type="dxa"/>
          </w:tcPr>
          <w:p>
            <w:pPr>
              <w:pStyle w:val="TableParagraph"/>
              <w:ind w:right="390"/>
              <w:jc w:val="right"/>
              <w:rPr>
                <w:sz w:val="14"/>
              </w:rPr>
            </w:pPr>
            <w:r>
              <w:rPr>
                <w:color w:val="231F20"/>
                <w:spacing w:val="-5"/>
                <w:w w:val="95"/>
                <w:sz w:val="14"/>
              </w:rPr>
              <w:t>7.8</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Ireland</w:t>
            </w:r>
          </w:p>
        </w:tc>
        <w:tc>
          <w:tcPr>
            <w:tcW w:w="1103" w:type="dxa"/>
            <w:shd w:val="clear" w:color="auto" w:fill="D4E3F5"/>
          </w:tcPr>
          <w:p>
            <w:pPr>
              <w:pStyle w:val="TableParagraph"/>
              <w:ind w:right="434"/>
              <w:jc w:val="right"/>
              <w:rPr>
                <w:sz w:val="14"/>
              </w:rPr>
            </w:pPr>
            <w:r>
              <w:rPr>
                <w:color w:val="231F20"/>
                <w:spacing w:val="-2"/>
                <w:w w:val="95"/>
                <w:sz w:val="14"/>
              </w:rPr>
              <w:t>4,678</w:t>
            </w:r>
          </w:p>
        </w:tc>
        <w:tc>
          <w:tcPr>
            <w:tcW w:w="851" w:type="dxa"/>
            <w:shd w:val="clear" w:color="auto" w:fill="D4E3F5"/>
          </w:tcPr>
          <w:p>
            <w:pPr>
              <w:pStyle w:val="TableParagraph"/>
              <w:ind w:left="82" w:right="136"/>
              <w:rPr>
                <w:sz w:val="14"/>
              </w:rPr>
            </w:pPr>
            <w:r>
              <w:rPr>
                <w:color w:val="231F20"/>
                <w:spacing w:val="-5"/>
                <w:w w:val="95"/>
                <w:sz w:val="14"/>
              </w:rPr>
              <w:t>9.0</w:t>
            </w:r>
          </w:p>
        </w:tc>
        <w:tc>
          <w:tcPr>
            <w:tcW w:w="1063" w:type="dxa"/>
            <w:shd w:val="clear" w:color="auto" w:fill="D4E3F5"/>
          </w:tcPr>
          <w:p>
            <w:pPr>
              <w:pStyle w:val="TableParagraph"/>
              <w:ind w:left="72" w:right="53"/>
              <w:rPr>
                <w:sz w:val="14"/>
              </w:rPr>
            </w:pPr>
            <w:r>
              <w:rPr>
                <w:color w:val="231F20"/>
                <w:spacing w:val="-5"/>
                <w:w w:val="95"/>
                <w:sz w:val="14"/>
              </w:rPr>
              <w:t>5.7</w:t>
            </w:r>
          </w:p>
        </w:tc>
        <w:tc>
          <w:tcPr>
            <w:tcW w:w="1080" w:type="dxa"/>
            <w:shd w:val="clear" w:color="auto" w:fill="D4E3F5"/>
          </w:tcPr>
          <w:p>
            <w:pPr>
              <w:pStyle w:val="TableParagraph"/>
              <w:ind w:left="391"/>
              <w:jc w:val="left"/>
              <w:rPr>
                <w:sz w:val="14"/>
              </w:rPr>
            </w:pPr>
            <w:r>
              <w:rPr>
                <w:color w:val="231F20"/>
                <w:spacing w:val="-5"/>
                <w:w w:val="95"/>
                <w:sz w:val="14"/>
              </w:rPr>
              <w:t>3.7</w:t>
            </w:r>
          </w:p>
        </w:tc>
        <w:tc>
          <w:tcPr>
            <w:tcW w:w="755" w:type="dxa"/>
            <w:shd w:val="clear" w:color="auto" w:fill="D4E3F5"/>
          </w:tcPr>
          <w:p>
            <w:pPr>
              <w:pStyle w:val="TableParagraph"/>
              <w:ind w:left="48" w:right="73"/>
              <w:rPr>
                <w:sz w:val="14"/>
              </w:rPr>
            </w:pPr>
            <w:r>
              <w:rPr>
                <w:color w:val="231F20"/>
                <w:spacing w:val="-4"/>
                <w:w w:val="95"/>
                <w:sz w:val="14"/>
              </w:rPr>
              <w:t>10.3</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4" w:right="136"/>
              <w:rPr>
                <w:sz w:val="14"/>
              </w:rPr>
            </w:pPr>
            <w:r>
              <w:rPr>
                <w:color w:val="231F20"/>
                <w:spacing w:val="-5"/>
                <w:w w:val="95"/>
                <w:sz w:val="14"/>
              </w:rPr>
              <w:t>8.9</w:t>
            </w:r>
          </w:p>
        </w:tc>
        <w:tc>
          <w:tcPr>
            <w:tcW w:w="1073" w:type="dxa"/>
            <w:shd w:val="clear" w:color="auto" w:fill="D4E3F5"/>
          </w:tcPr>
          <w:p>
            <w:pPr>
              <w:pStyle w:val="TableParagraph"/>
              <w:ind w:left="72" w:right="63"/>
              <w:rPr>
                <w:sz w:val="14"/>
              </w:rPr>
            </w:pPr>
            <w:r>
              <w:rPr>
                <w:color w:val="231F20"/>
                <w:spacing w:val="-5"/>
                <w:w w:val="95"/>
                <w:sz w:val="14"/>
              </w:rPr>
              <w:t>5.7</w:t>
            </w:r>
          </w:p>
        </w:tc>
        <w:tc>
          <w:tcPr>
            <w:tcW w:w="939" w:type="dxa"/>
            <w:shd w:val="clear" w:color="auto" w:fill="D4E3F5"/>
          </w:tcPr>
          <w:p>
            <w:pPr>
              <w:pStyle w:val="TableParagraph"/>
              <w:ind w:left="25" w:right="32"/>
              <w:rPr>
                <w:sz w:val="14"/>
              </w:rPr>
            </w:pPr>
            <w:r>
              <w:rPr>
                <w:color w:val="231F20"/>
                <w:spacing w:val="-5"/>
                <w:w w:val="95"/>
                <w:sz w:val="14"/>
              </w:rPr>
              <w:t>3.7</w:t>
            </w:r>
          </w:p>
        </w:tc>
        <w:tc>
          <w:tcPr>
            <w:tcW w:w="1005" w:type="dxa"/>
            <w:shd w:val="clear" w:color="auto" w:fill="D4E3F5"/>
          </w:tcPr>
          <w:p>
            <w:pPr>
              <w:pStyle w:val="TableParagraph"/>
              <w:ind w:right="389"/>
              <w:jc w:val="right"/>
              <w:rPr>
                <w:sz w:val="14"/>
              </w:rPr>
            </w:pPr>
            <w:r>
              <w:rPr>
                <w:color w:val="231F20"/>
                <w:spacing w:val="-4"/>
                <w:w w:val="95"/>
                <w:sz w:val="14"/>
              </w:rPr>
              <w:t>10.2</w:t>
            </w:r>
          </w:p>
        </w:tc>
      </w:tr>
      <w:tr>
        <w:trPr>
          <w:trHeight w:val="259" w:hRule="atLeast"/>
        </w:trPr>
        <w:tc>
          <w:tcPr>
            <w:tcW w:w="1358" w:type="dxa"/>
          </w:tcPr>
          <w:p>
            <w:pPr>
              <w:pStyle w:val="TableParagraph"/>
              <w:ind w:left="80"/>
              <w:jc w:val="left"/>
              <w:rPr>
                <w:sz w:val="14"/>
              </w:rPr>
            </w:pPr>
            <w:r>
              <w:rPr>
                <w:color w:val="231F20"/>
                <w:spacing w:val="-2"/>
                <w:w w:val="85"/>
                <w:sz w:val="14"/>
              </w:rPr>
              <w:t>Israel</w:t>
            </w:r>
          </w:p>
        </w:tc>
        <w:tc>
          <w:tcPr>
            <w:tcW w:w="1103" w:type="dxa"/>
          </w:tcPr>
          <w:p>
            <w:pPr>
              <w:pStyle w:val="TableParagraph"/>
              <w:ind w:right="434"/>
              <w:jc w:val="right"/>
              <w:rPr>
                <w:sz w:val="14"/>
              </w:rPr>
            </w:pPr>
            <w:r>
              <w:rPr>
                <w:color w:val="231F20"/>
                <w:spacing w:val="-2"/>
                <w:w w:val="95"/>
                <w:sz w:val="14"/>
              </w:rPr>
              <w:t>13,890</w:t>
            </w:r>
          </w:p>
        </w:tc>
        <w:tc>
          <w:tcPr>
            <w:tcW w:w="851" w:type="dxa"/>
          </w:tcPr>
          <w:p>
            <w:pPr>
              <w:pStyle w:val="TableParagraph"/>
              <w:ind w:left="82" w:right="136"/>
              <w:rPr>
                <w:sz w:val="14"/>
              </w:rPr>
            </w:pPr>
            <w:r>
              <w:rPr>
                <w:color w:val="231F20"/>
                <w:spacing w:val="-5"/>
                <w:w w:val="95"/>
                <w:sz w:val="14"/>
              </w:rPr>
              <w:t>6.8</w:t>
            </w:r>
          </w:p>
        </w:tc>
        <w:tc>
          <w:tcPr>
            <w:tcW w:w="1063" w:type="dxa"/>
          </w:tcPr>
          <w:p>
            <w:pPr>
              <w:pStyle w:val="TableParagraph"/>
              <w:ind w:left="77" w:right="53"/>
              <w:rPr>
                <w:sz w:val="14"/>
              </w:rPr>
            </w:pPr>
            <w:r>
              <w:rPr>
                <w:color w:val="231F20"/>
                <w:spacing w:val="-5"/>
                <w:w w:val="95"/>
                <w:sz w:val="14"/>
              </w:rPr>
              <w:t>4.6</w:t>
            </w:r>
          </w:p>
        </w:tc>
        <w:tc>
          <w:tcPr>
            <w:tcW w:w="1080" w:type="dxa"/>
          </w:tcPr>
          <w:p>
            <w:pPr>
              <w:pStyle w:val="TableParagraph"/>
              <w:ind w:left="392"/>
              <w:jc w:val="left"/>
              <w:rPr>
                <w:sz w:val="14"/>
              </w:rPr>
            </w:pPr>
            <w:r>
              <w:rPr>
                <w:color w:val="231F20"/>
                <w:spacing w:val="-5"/>
                <w:w w:val="95"/>
                <w:sz w:val="14"/>
              </w:rPr>
              <w:t>2.8</w:t>
            </w:r>
          </w:p>
        </w:tc>
        <w:tc>
          <w:tcPr>
            <w:tcW w:w="755" w:type="dxa"/>
          </w:tcPr>
          <w:p>
            <w:pPr>
              <w:pStyle w:val="TableParagraph"/>
              <w:ind w:left="99" w:right="51"/>
              <w:rPr>
                <w:sz w:val="14"/>
              </w:rPr>
            </w:pPr>
            <w:r>
              <w:rPr>
                <w:color w:val="231F20"/>
                <w:spacing w:val="-5"/>
                <w:w w:val="95"/>
                <w:sz w:val="14"/>
              </w:rPr>
              <w:t>7.5</w:t>
            </w:r>
          </w:p>
        </w:tc>
        <w:tc>
          <w:tcPr>
            <w:tcW w:w="240" w:type="dxa"/>
          </w:tcPr>
          <w:p>
            <w:pPr>
              <w:pStyle w:val="TableParagraph"/>
              <w:spacing w:before="0"/>
              <w:jc w:val="left"/>
              <w:rPr>
                <w:rFonts w:ascii="Times New Roman"/>
                <w:sz w:val="12"/>
              </w:rPr>
            </w:pPr>
          </w:p>
        </w:tc>
        <w:tc>
          <w:tcPr>
            <w:tcW w:w="851" w:type="dxa"/>
          </w:tcPr>
          <w:p>
            <w:pPr>
              <w:pStyle w:val="TableParagraph"/>
              <w:ind w:left="83" w:right="136"/>
              <w:rPr>
                <w:sz w:val="14"/>
              </w:rPr>
            </w:pPr>
            <w:r>
              <w:rPr>
                <w:color w:val="231F20"/>
                <w:spacing w:val="-5"/>
                <w:w w:val="95"/>
                <w:sz w:val="14"/>
              </w:rPr>
              <w:t>5.8</w:t>
            </w:r>
          </w:p>
        </w:tc>
        <w:tc>
          <w:tcPr>
            <w:tcW w:w="1073" w:type="dxa"/>
          </w:tcPr>
          <w:p>
            <w:pPr>
              <w:pStyle w:val="TableParagraph"/>
              <w:ind w:left="62" w:right="63"/>
              <w:rPr>
                <w:sz w:val="14"/>
              </w:rPr>
            </w:pPr>
            <w:r>
              <w:rPr>
                <w:color w:val="231F20"/>
                <w:spacing w:val="-5"/>
                <w:w w:val="95"/>
                <w:sz w:val="14"/>
              </w:rPr>
              <w:t>4.1</w:t>
            </w:r>
          </w:p>
        </w:tc>
        <w:tc>
          <w:tcPr>
            <w:tcW w:w="939" w:type="dxa"/>
          </w:tcPr>
          <w:p>
            <w:pPr>
              <w:pStyle w:val="TableParagraph"/>
              <w:ind w:left="31" w:right="32"/>
              <w:rPr>
                <w:sz w:val="14"/>
              </w:rPr>
            </w:pPr>
            <w:r>
              <w:rPr>
                <w:color w:val="231F20"/>
                <w:spacing w:val="-5"/>
                <w:w w:val="95"/>
                <w:sz w:val="14"/>
              </w:rPr>
              <w:t>2.5</w:t>
            </w:r>
          </w:p>
        </w:tc>
        <w:tc>
          <w:tcPr>
            <w:tcW w:w="1005" w:type="dxa"/>
          </w:tcPr>
          <w:p>
            <w:pPr>
              <w:pStyle w:val="TableParagraph"/>
              <w:ind w:right="390"/>
              <w:jc w:val="right"/>
              <w:rPr>
                <w:sz w:val="14"/>
              </w:rPr>
            </w:pPr>
            <w:r>
              <w:rPr>
                <w:color w:val="231F20"/>
                <w:spacing w:val="-5"/>
                <w:w w:val="95"/>
                <w:sz w:val="14"/>
              </w:rPr>
              <w:t>6.3</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Italy</w:t>
            </w:r>
          </w:p>
        </w:tc>
        <w:tc>
          <w:tcPr>
            <w:tcW w:w="1103" w:type="dxa"/>
            <w:shd w:val="clear" w:color="auto" w:fill="D4E3F5"/>
          </w:tcPr>
          <w:p>
            <w:pPr>
              <w:pStyle w:val="TableParagraph"/>
              <w:ind w:right="436"/>
              <w:jc w:val="right"/>
              <w:rPr>
                <w:sz w:val="14"/>
              </w:rPr>
            </w:pPr>
            <w:r>
              <w:rPr>
                <w:color w:val="231F20"/>
                <w:spacing w:val="-2"/>
                <w:w w:val="95"/>
                <w:sz w:val="14"/>
              </w:rPr>
              <w:t>23,629</w:t>
            </w:r>
          </w:p>
        </w:tc>
        <w:tc>
          <w:tcPr>
            <w:tcW w:w="851" w:type="dxa"/>
            <w:shd w:val="clear" w:color="auto" w:fill="D4E3F5"/>
          </w:tcPr>
          <w:p>
            <w:pPr>
              <w:pStyle w:val="TableParagraph"/>
              <w:ind w:left="82" w:right="136"/>
              <w:rPr>
                <w:sz w:val="14"/>
              </w:rPr>
            </w:pPr>
            <w:r>
              <w:rPr>
                <w:color w:val="231F20"/>
                <w:spacing w:val="-5"/>
                <w:w w:val="95"/>
                <w:sz w:val="14"/>
              </w:rPr>
              <w:t>9.0</w:t>
            </w:r>
          </w:p>
        </w:tc>
        <w:tc>
          <w:tcPr>
            <w:tcW w:w="1063" w:type="dxa"/>
            <w:shd w:val="clear" w:color="auto" w:fill="D4E3F5"/>
          </w:tcPr>
          <w:p>
            <w:pPr>
              <w:pStyle w:val="TableParagraph"/>
              <w:ind w:left="78" w:right="53"/>
              <w:rPr>
                <w:sz w:val="14"/>
              </w:rPr>
            </w:pPr>
            <w:r>
              <w:rPr>
                <w:color w:val="231F20"/>
                <w:spacing w:val="-5"/>
                <w:w w:val="95"/>
                <w:sz w:val="14"/>
              </w:rPr>
              <w:t>6.2</w:t>
            </w:r>
          </w:p>
        </w:tc>
        <w:tc>
          <w:tcPr>
            <w:tcW w:w="1080" w:type="dxa"/>
            <w:shd w:val="clear" w:color="auto" w:fill="D4E3F5"/>
          </w:tcPr>
          <w:p>
            <w:pPr>
              <w:pStyle w:val="TableParagraph"/>
              <w:ind w:left="391"/>
              <w:jc w:val="left"/>
              <w:rPr>
                <w:sz w:val="14"/>
              </w:rPr>
            </w:pPr>
            <w:r>
              <w:rPr>
                <w:color w:val="231F20"/>
                <w:spacing w:val="-5"/>
                <w:w w:val="95"/>
                <w:sz w:val="14"/>
              </w:rPr>
              <w:t>3.7</w:t>
            </w:r>
          </w:p>
        </w:tc>
        <w:tc>
          <w:tcPr>
            <w:tcW w:w="755" w:type="dxa"/>
            <w:shd w:val="clear" w:color="auto" w:fill="D4E3F5"/>
          </w:tcPr>
          <w:p>
            <w:pPr>
              <w:pStyle w:val="TableParagraph"/>
              <w:ind w:left="48" w:right="64"/>
              <w:rPr>
                <w:sz w:val="14"/>
              </w:rPr>
            </w:pPr>
            <w:r>
              <w:rPr>
                <w:color w:val="231F20"/>
                <w:spacing w:val="-4"/>
                <w:w w:val="95"/>
                <w:sz w:val="14"/>
              </w:rPr>
              <w:t>11.0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2" w:right="136"/>
              <w:rPr>
                <w:sz w:val="14"/>
              </w:rPr>
            </w:pPr>
            <w:r>
              <w:rPr>
                <w:color w:val="231F20"/>
                <w:spacing w:val="-5"/>
                <w:w w:val="95"/>
                <w:sz w:val="14"/>
              </w:rPr>
              <w:t>8.0</w:t>
            </w:r>
          </w:p>
        </w:tc>
        <w:tc>
          <w:tcPr>
            <w:tcW w:w="1073" w:type="dxa"/>
            <w:shd w:val="clear" w:color="auto" w:fill="D4E3F5"/>
          </w:tcPr>
          <w:p>
            <w:pPr>
              <w:pStyle w:val="TableParagraph"/>
              <w:ind w:left="77" w:right="63"/>
              <w:rPr>
                <w:sz w:val="14"/>
              </w:rPr>
            </w:pPr>
            <w:r>
              <w:rPr>
                <w:color w:val="231F20"/>
                <w:spacing w:val="-5"/>
                <w:w w:val="95"/>
                <w:sz w:val="14"/>
              </w:rPr>
              <w:t>5.9</w:t>
            </w:r>
          </w:p>
        </w:tc>
        <w:tc>
          <w:tcPr>
            <w:tcW w:w="939" w:type="dxa"/>
            <w:shd w:val="clear" w:color="auto" w:fill="D4E3F5"/>
          </w:tcPr>
          <w:p>
            <w:pPr>
              <w:pStyle w:val="TableParagraph"/>
              <w:ind w:left="32" w:right="32"/>
              <w:rPr>
                <w:sz w:val="14"/>
              </w:rPr>
            </w:pPr>
            <w:r>
              <w:rPr>
                <w:color w:val="231F20"/>
                <w:spacing w:val="-5"/>
                <w:w w:val="95"/>
                <w:sz w:val="14"/>
              </w:rPr>
              <w:t>3.3</w:t>
            </w:r>
          </w:p>
        </w:tc>
        <w:tc>
          <w:tcPr>
            <w:tcW w:w="1005" w:type="dxa"/>
            <w:shd w:val="clear" w:color="auto" w:fill="D4E3F5"/>
          </w:tcPr>
          <w:p>
            <w:pPr>
              <w:pStyle w:val="TableParagraph"/>
              <w:ind w:right="390"/>
              <w:jc w:val="right"/>
              <w:rPr>
                <w:sz w:val="14"/>
              </w:rPr>
            </w:pPr>
            <w:r>
              <w:rPr>
                <w:color w:val="231F20"/>
                <w:spacing w:val="-5"/>
                <w:w w:val="95"/>
                <w:sz w:val="14"/>
              </w:rPr>
              <w:t>9.8</w:t>
            </w:r>
          </w:p>
        </w:tc>
      </w:tr>
      <w:tr>
        <w:trPr>
          <w:trHeight w:val="259" w:hRule="atLeast"/>
        </w:trPr>
        <w:tc>
          <w:tcPr>
            <w:tcW w:w="1358" w:type="dxa"/>
          </w:tcPr>
          <w:p>
            <w:pPr>
              <w:pStyle w:val="TableParagraph"/>
              <w:ind w:left="80"/>
              <w:jc w:val="left"/>
              <w:rPr>
                <w:sz w:val="14"/>
              </w:rPr>
            </w:pPr>
            <w:r>
              <w:rPr>
                <w:color w:val="231F20"/>
                <w:spacing w:val="-2"/>
                <w:w w:val="90"/>
                <w:sz w:val="14"/>
              </w:rPr>
              <w:t>Jamaica</w:t>
            </w:r>
          </w:p>
        </w:tc>
        <w:tc>
          <w:tcPr>
            <w:tcW w:w="1103" w:type="dxa"/>
          </w:tcPr>
          <w:p>
            <w:pPr>
              <w:pStyle w:val="TableParagraph"/>
              <w:ind w:right="435"/>
              <w:jc w:val="right"/>
              <w:rPr>
                <w:sz w:val="14"/>
              </w:rPr>
            </w:pPr>
            <w:r>
              <w:rPr>
                <w:color w:val="231F20"/>
                <w:spacing w:val="-2"/>
                <w:w w:val="95"/>
                <w:sz w:val="14"/>
              </w:rPr>
              <w:t>1,536</w:t>
            </w:r>
          </w:p>
        </w:tc>
        <w:tc>
          <w:tcPr>
            <w:tcW w:w="851" w:type="dxa"/>
          </w:tcPr>
          <w:p>
            <w:pPr>
              <w:pStyle w:val="TableParagraph"/>
              <w:ind w:left="84" w:right="136"/>
              <w:rPr>
                <w:sz w:val="14"/>
              </w:rPr>
            </w:pPr>
            <w:r>
              <w:rPr>
                <w:color w:val="231F20"/>
                <w:spacing w:val="-5"/>
                <w:w w:val="95"/>
                <w:sz w:val="14"/>
              </w:rPr>
              <w:t>9.2</w:t>
            </w:r>
          </w:p>
        </w:tc>
        <w:tc>
          <w:tcPr>
            <w:tcW w:w="1063" w:type="dxa"/>
          </w:tcPr>
          <w:p>
            <w:pPr>
              <w:pStyle w:val="TableParagraph"/>
              <w:ind w:left="90" w:right="53"/>
              <w:rPr>
                <w:sz w:val="14"/>
              </w:rPr>
            </w:pPr>
            <w:r>
              <w:rPr>
                <w:color w:val="231F20"/>
                <w:spacing w:val="-5"/>
                <w:w w:val="95"/>
                <w:sz w:val="14"/>
              </w:rPr>
              <w:t>7.9</w:t>
            </w:r>
          </w:p>
        </w:tc>
        <w:tc>
          <w:tcPr>
            <w:tcW w:w="1080" w:type="dxa"/>
          </w:tcPr>
          <w:p>
            <w:pPr>
              <w:pStyle w:val="TableParagraph"/>
              <w:ind w:left="393"/>
              <w:jc w:val="left"/>
              <w:rPr>
                <w:sz w:val="14"/>
              </w:rPr>
            </w:pPr>
            <w:r>
              <w:rPr>
                <w:color w:val="231F20"/>
                <w:spacing w:val="-5"/>
                <w:w w:val="95"/>
                <w:sz w:val="14"/>
              </w:rPr>
              <w:t>4.7</w:t>
            </w:r>
          </w:p>
        </w:tc>
        <w:tc>
          <w:tcPr>
            <w:tcW w:w="755" w:type="dxa"/>
          </w:tcPr>
          <w:p>
            <w:pPr>
              <w:pStyle w:val="TableParagraph"/>
              <w:ind w:left="48" w:right="73"/>
              <w:rPr>
                <w:sz w:val="14"/>
              </w:rPr>
            </w:pPr>
            <w:r>
              <w:rPr>
                <w:color w:val="231F20"/>
                <w:spacing w:val="-4"/>
                <w:w w:val="95"/>
                <w:sz w:val="14"/>
              </w:rPr>
              <w:t>12.0</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9.2</w:t>
            </w:r>
          </w:p>
        </w:tc>
        <w:tc>
          <w:tcPr>
            <w:tcW w:w="1073" w:type="dxa"/>
          </w:tcPr>
          <w:p>
            <w:pPr>
              <w:pStyle w:val="TableParagraph"/>
              <w:ind w:left="90" w:right="63"/>
              <w:rPr>
                <w:sz w:val="14"/>
              </w:rPr>
            </w:pPr>
            <w:r>
              <w:rPr>
                <w:color w:val="231F20"/>
                <w:spacing w:val="-5"/>
                <w:w w:val="95"/>
                <w:sz w:val="14"/>
              </w:rPr>
              <w:t>7.9</w:t>
            </w:r>
          </w:p>
        </w:tc>
        <w:tc>
          <w:tcPr>
            <w:tcW w:w="939" w:type="dxa"/>
          </w:tcPr>
          <w:p>
            <w:pPr>
              <w:pStyle w:val="TableParagraph"/>
              <w:ind w:left="28" w:right="32"/>
              <w:rPr>
                <w:sz w:val="14"/>
              </w:rPr>
            </w:pPr>
            <w:r>
              <w:rPr>
                <w:color w:val="231F20"/>
                <w:spacing w:val="-5"/>
                <w:w w:val="95"/>
                <w:sz w:val="14"/>
              </w:rPr>
              <w:t>4.7</w:t>
            </w:r>
          </w:p>
        </w:tc>
        <w:tc>
          <w:tcPr>
            <w:tcW w:w="1005" w:type="dxa"/>
          </w:tcPr>
          <w:p>
            <w:pPr>
              <w:pStyle w:val="TableParagraph"/>
              <w:ind w:right="391"/>
              <w:jc w:val="right"/>
              <w:rPr>
                <w:sz w:val="14"/>
              </w:rPr>
            </w:pPr>
            <w:r>
              <w:rPr>
                <w:color w:val="231F20"/>
                <w:spacing w:val="-4"/>
                <w:w w:val="95"/>
                <w:sz w:val="14"/>
              </w:rPr>
              <w:t>12.0</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Japan</w:t>
            </w:r>
          </w:p>
        </w:tc>
        <w:tc>
          <w:tcPr>
            <w:tcW w:w="1103" w:type="dxa"/>
            <w:shd w:val="clear" w:color="auto" w:fill="D4E3F5"/>
          </w:tcPr>
          <w:p>
            <w:pPr>
              <w:pStyle w:val="TableParagraph"/>
              <w:ind w:right="438"/>
              <w:jc w:val="right"/>
              <w:rPr>
                <w:sz w:val="14"/>
              </w:rPr>
            </w:pPr>
            <w:r>
              <w:rPr>
                <w:color w:val="231F20"/>
                <w:spacing w:val="-2"/>
                <w:w w:val="95"/>
                <w:sz w:val="14"/>
              </w:rPr>
              <w:t>35,216</w:t>
            </w:r>
          </w:p>
        </w:tc>
        <w:tc>
          <w:tcPr>
            <w:tcW w:w="851" w:type="dxa"/>
            <w:shd w:val="clear" w:color="auto" w:fill="D4E3F5"/>
          </w:tcPr>
          <w:p>
            <w:pPr>
              <w:pStyle w:val="TableParagraph"/>
              <w:ind w:left="93" w:right="136"/>
              <w:rPr>
                <w:sz w:val="14"/>
              </w:rPr>
            </w:pPr>
            <w:r>
              <w:rPr>
                <w:color w:val="231F20"/>
                <w:spacing w:val="-5"/>
                <w:w w:val="95"/>
                <w:sz w:val="14"/>
              </w:rPr>
              <w:t>7.4</w:t>
            </w:r>
          </w:p>
        </w:tc>
        <w:tc>
          <w:tcPr>
            <w:tcW w:w="1063" w:type="dxa"/>
            <w:shd w:val="clear" w:color="auto" w:fill="D4E3F5"/>
          </w:tcPr>
          <w:p>
            <w:pPr>
              <w:pStyle w:val="TableParagraph"/>
              <w:ind w:left="77" w:right="53"/>
              <w:rPr>
                <w:sz w:val="14"/>
              </w:rPr>
            </w:pPr>
            <w:r>
              <w:rPr>
                <w:color w:val="231F20"/>
                <w:spacing w:val="-5"/>
                <w:w w:val="95"/>
                <w:sz w:val="14"/>
              </w:rPr>
              <w:t>5.5</w:t>
            </w:r>
          </w:p>
        </w:tc>
        <w:tc>
          <w:tcPr>
            <w:tcW w:w="1080" w:type="dxa"/>
            <w:shd w:val="clear" w:color="auto" w:fill="D4E3F5"/>
          </w:tcPr>
          <w:p>
            <w:pPr>
              <w:pStyle w:val="TableParagraph"/>
              <w:ind w:left="391"/>
              <w:jc w:val="left"/>
              <w:rPr>
                <w:sz w:val="14"/>
              </w:rPr>
            </w:pPr>
            <w:r>
              <w:rPr>
                <w:color w:val="231F20"/>
                <w:spacing w:val="-5"/>
                <w:w w:val="95"/>
                <w:sz w:val="14"/>
              </w:rPr>
              <w:t>3.3</w:t>
            </w:r>
          </w:p>
        </w:tc>
        <w:tc>
          <w:tcPr>
            <w:tcW w:w="755" w:type="dxa"/>
            <w:shd w:val="clear" w:color="auto" w:fill="D4E3F5"/>
          </w:tcPr>
          <w:p>
            <w:pPr>
              <w:pStyle w:val="TableParagraph"/>
              <w:ind w:left="87" w:right="51"/>
              <w:rPr>
                <w:sz w:val="14"/>
              </w:rPr>
            </w:pPr>
            <w:r>
              <w:rPr>
                <w:color w:val="231F20"/>
                <w:spacing w:val="-5"/>
                <w:w w:val="95"/>
                <w:sz w:val="14"/>
              </w:rPr>
              <w:t>8.9</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9" w:right="136"/>
              <w:rPr>
                <w:sz w:val="14"/>
              </w:rPr>
            </w:pPr>
            <w:r>
              <w:rPr>
                <w:color w:val="231F20"/>
                <w:spacing w:val="-5"/>
                <w:w w:val="95"/>
                <w:sz w:val="14"/>
              </w:rPr>
              <w:t>1.0</w:t>
            </w:r>
          </w:p>
        </w:tc>
        <w:tc>
          <w:tcPr>
            <w:tcW w:w="1073" w:type="dxa"/>
            <w:shd w:val="clear" w:color="auto" w:fill="D4E3F5"/>
          </w:tcPr>
          <w:p>
            <w:pPr>
              <w:pStyle w:val="TableParagraph"/>
              <w:ind w:left="76" w:right="63"/>
              <w:rPr>
                <w:sz w:val="14"/>
              </w:rPr>
            </w:pPr>
            <w:r>
              <w:rPr>
                <w:color w:val="231F20"/>
                <w:spacing w:val="-5"/>
                <w:w w:val="95"/>
                <w:sz w:val="14"/>
              </w:rPr>
              <w:t>0.4</w:t>
            </w:r>
          </w:p>
        </w:tc>
        <w:tc>
          <w:tcPr>
            <w:tcW w:w="939" w:type="dxa"/>
            <w:shd w:val="clear" w:color="auto" w:fill="D4E3F5"/>
          </w:tcPr>
          <w:p>
            <w:pPr>
              <w:pStyle w:val="TableParagraph"/>
              <w:ind w:left="31" w:right="32"/>
              <w:rPr>
                <w:sz w:val="14"/>
              </w:rPr>
            </w:pPr>
            <w:r>
              <w:rPr>
                <w:color w:val="231F20"/>
                <w:spacing w:val="-5"/>
                <w:w w:val="95"/>
                <w:sz w:val="14"/>
              </w:rPr>
              <w:t>0.3</w:t>
            </w:r>
          </w:p>
        </w:tc>
        <w:tc>
          <w:tcPr>
            <w:tcW w:w="1005" w:type="dxa"/>
            <w:shd w:val="clear" w:color="auto" w:fill="D4E3F5"/>
          </w:tcPr>
          <w:p>
            <w:pPr>
              <w:pStyle w:val="TableParagraph"/>
              <w:ind w:right="389"/>
              <w:jc w:val="right"/>
              <w:rPr>
                <w:sz w:val="14"/>
              </w:rPr>
            </w:pPr>
            <w:r>
              <w:rPr>
                <w:color w:val="231F20"/>
                <w:spacing w:val="-5"/>
                <w:w w:val="95"/>
                <w:sz w:val="14"/>
              </w:rPr>
              <w:t>0.6</w:t>
            </w:r>
          </w:p>
        </w:tc>
      </w:tr>
      <w:tr>
        <w:trPr>
          <w:trHeight w:val="259" w:hRule="atLeast"/>
        </w:trPr>
        <w:tc>
          <w:tcPr>
            <w:tcW w:w="1358" w:type="dxa"/>
          </w:tcPr>
          <w:p>
            <w:pPr>
              <w:pStyle w:val="TableParagraph"/>
              <w:ind w:left="80"/>
              <w:jc w:val="left"/>
              <w:rPr>
                <w:sz w:val="14"/>
              </w:rPr>
            </w:pPr>
            <w:r>
              <w:rPr>
                <w:color w:val="231F20"/>
                <w:spacing w:val="-2"/>
                <w:w w:val="90"/>
                <w:sz w:val="14"/>
              </w:rPr>
              <w:t>Jordan</w:t>
            </w:r>
          </w:p>
        </w:tc>
        <w:tc>
          <w:tcPr>
            <w:tcW w:w="1103" w:type="dxa"/>
          </w:tcPr>
          <w:p>
            <w:pPr>
              <w:pStyle w:val="TableParagraph"/>
              <w:ind w:right="435"/>
              <w:jc w:val="right"/>
              <w:rPr>
                <w:sz w:val="14"/>
              </w:rPr>
            </w:pPr>
            <w:r>
              <w:rPr>
                <w:color w:val="231F20"/>
                <w:spacing w:val="-2"/>
                <w:w w:val="95"/>
                <w:sz w:val="14"/>
              </w:rPr>
              <w:t>6,741</w:t>
            </w:r>
          </w:p>
        </w:tc>
        <w:tc>
          <w:tcPr>
            <w:tcW w:w="851" w:type="dxa"/>
          </w:tcPr>
          <w:p>
            <w:pPr>
              <w:pStyle w:val="TableParagraph"/>
              <w:ind w:left="82" w:right="136"/>
              <w:rPr>
                <w:sz w:val="14"/>
              </w:rPr>
            </w:pPr>
            <w:r>
              <w:rPr>
                <w:color w:val="231F20"/>
                <w:spacing w:val="-5"/>
                <w:w w:val="95"/>
                <w:sz w:val="14"/>
              </w:rPr>
              <w:t>5.5</w:t>
            </w:r>
          </w:p>
        </w:tc>
        <w:tc>
          <w:tcPr>
            <w:tcW w:w="1063" w:type="dxa"/>
          </w:tcPr>
          <w:p>
            <w:pPr>
              <w:pStyle w:val="TableParagraph"/>
              <w:ind w:left="79" w:right="53"/>
              <w:rPr>
                <w:sz w:val="14"/>
              </w:rPr>
            </w:pPr>
            <w:r>
              <w:rPr>
                <w:color w:val="231F20"/>
                <w:spacing w:val="-5"/>
                <w:w w:val="95"/>
                <w:sz w:val="14"/>
              </w:rPr>
              <w:t>3.3</w:t>
            </w:r>
          </w:p>
        </w:tc>
        <w:tc>
          <w:tcPr>
            <w:tcW w:w="1080" w:type="dxa"/>
          </w:tcPr>
          <w:p>
            <w:pPr>
              <w:pStyle w:val="TableParagraph"/>
              <w:ind w:left="399"/>
              <w:jc w:val="left"/>
              <w:rPr>
                <w:sz w:val="14"/>
              </w:rPr>
            </w:pPr>
            <w:r>
              <w:rPr>
                <w:color w:val="231F20"/>
                <w:spacing w:val="-5"/>
                <w:w w:val="95"/>
                <w:sz w:val="14"/>
              </w:rPr>
              <w:t>1.6</w:t>
            </w:r>
          </w:p>
        </w:tc>
        <w:tc>
          <w:tcPr>
            <w:tcW w:w="755" w:type="dxa"/>
          </w:tcPr>
          <w:p>
            <w:pPr>
              <w:pStyle w:val="TableParagraph"/>
              <w:ind w:left="88" w:right="51"/>
              <w:rPr>
                <w:sz w:val="14"/>
              </w:rPr>
            </w:pPr>
            <w:r>
              <w:rPr>
                <w:color w:val="231F20"/>
                <w:spacing w:val="-5"/>
                <w:w w:val="95"/>
                <w:sz w:val="14"/>
              </w:rPr>
              <w:t>6.9</w:t>
            </w:r>
          </w:p>
        </w:tc>
        <w:tc>
          <w:tcPr>
            <w:tcW w:w="240" w:type="dxa"/>
          </w:tcPr>
          <w:p>
            <w:pPr>
              <w:pStyle w:val="TableParagraph"/>
              <w:spacing w:before="0"/>
              <w:jc w:val="left"/>
              <w:rPr>
                <w:rFonts w:ascii="Times New Roman"/>
                <w:sz w:val="12"/>
              </w:rPr>
            </w:pPr>
          </w:p>
        </w:tc>
        <w:tc>
          <w:tcPr>
            <w:tcW w:w="851" w:type="dxa"/>
          </w:tcPr>
          <w:p>
            <w:pPr>
              <w:pStyle w:val="TableParagraph"/>
              <w:ind w:left="83" w:right="136"/>
              <w:rPr>
                <w:sz w:val="14"/>
              </w:rPr>
            </w:pPr>
            <w:r>
              <w:rPr>
                <w:color w:val="231F20"/>
                <w:spacing w:val="-5"/>
                <w:w w:val="95"/>
                <w:sz w:val="14"/>
              </w:rPr>
              <w:t>5.5</w:t>
            </w:r>
          </w:p>
        </w:tc>
        <w:tc>
          <w:tcPr>
            <w:tcW w:w="1073" w:type="dxa"/>
          </w:tcPr>
          <w:p>
            <w:pPr>
              <w:pStyle w:val="TableParagraph"/>
              <w:ind w:left="79" w:right="63"/>
              <w:rPr>
                <w:sz w:val="14"/>
              </w:rPr>
            </w:pPr>
            <w:r>
              <w:rPr>
                <w:color w:val="231F20"/>
                <w:spacing w:val="-5"/>
                <w:w w:val="95"/>
                <w:sz w:val="14"/>
              </w:rPr>
              <w:t>3.3</w:t>
            </w:r>
          </w:p>
        </w:tc>
        <w:tc>
          <w:tcPr>
            <w:tcW w:w="939" w:type="dxa"/>
          </w:tcPr>
          <w:p>
            <w:pPr>
              <w:pStyle w:val="TableParagraph"/>
              <w:ind w:left="36" w:right="32"/>
              <w:rPr>
                <w:sz w:val="14"/>
              </w:rPr>
            </w:pPr>
            <w:r>
              <w:rPr>
                <w:color w:val="231F20"/>
                <w:spacing w:val="-5"/>
                <w:w w:val="95"/>
                <w:sz w:val="14"/>
              </w:rPr>
              <w:t>1.6</w:t>
            </w:r>
          </w:p>
        </w:tc>
        <w:tc>
          <w:tcPr>
            <w:tcW w:w="1005" w:type="dxa"/>
          </w:tcPr>
          <w:p>
            <w:pPr>
              <w:pStyle w:val="TableParagraph"/>
              <w:ind w:right="388"/>
              <w:jc w:val="right"/>
              <w:rPr>
                <w:sz w:val="14"/>
              </w:rPr>
            </w:pPr>
            <w:r>
              <w:rPr>
                <w:color w:val="231F20"/>
                <w:spacing w:val="-5"/>
                <w:w w:val="95"/>
                <w:sz w:val="14"/>
              </w:rPr>
              <w:t>6.9</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Kenya</w:t>
            </w:r>
          </w:p>
        </w:tc>
        <w:tc>
          <w:tcPr>
            <w:tcW w:w="1103" w:type="dxa"/>
            <w:shd w:val="clear" w:color="auto" w:fill="D4E3F5"/>
          </w:tcPr>
          <w:p>
            <w:pPr>
              <w:pStyle w:val="TableParagraph"/>
              <w:ind w:right="435"/>
              <w:jc w:val="right"/>
              <w:rPr>
                <w:sz w:val="14"/>
              </w:rPr>
            </w:pPr>
            <w:r>
              <w:rPr>
                <w:color w:val="231F20"/>
                <w:spacing w:val="-2"/>
                <w:w w:val="95"/>
                <w:sz w:val="14"/>
              </w:rPr>
              <w:t>21,764</w:t>
            </w:r>
          </w:p>
        </w:tc>
        <w:tc>
          <w:tcPr>
            <w:tcW w:w="851" w:type="dxa"/>
            <w:shd w:val="clear" w:color="auto" w:fill="D4E3F5"/>
          </w:tcPr>
          <w:p>
            <w:pPr>
              <w:pStyle w:val="TableParagraph"/>
              <w:ind w:left="82" w:right="136"/>
              <w:rPr>
                <w:sz w:val="14"/>
              </w:rPr>
            </w:pPr>
            <w:r>
              <w:rPr>
                <w:color w:val="231F20"/>
                <w:spacing w:val="-5"/>
                <w:w w:val="95"/>
                <w:sz w:val="14"/>
              </w:rPr>
              <w:t>6.9</w:t>
            </w:r>
          </w:p>
        </w:tc>
        <w:tc>
          <w:tcPr>
            <w:tcW w:w="1063" w:type="dxa"/>
            <w:shd w:val="clear" w:color="auto" w:fill="D4E3F5"/>
          </w:tcPr>
          <w:p>
            <w:pPr>
              <w:pStyle w:val="TableParagraph"/>
              <w:ind w:left="77" w:right="53"/>
              <w:rPr>
                <w:sz w:val="14"/>
              </w:rPr>
            </w:pPr>
            <w:r>
              <w:rPr>
                <w:color w:val="231F20"/>
                <w:spacing w:val="-5"/>
                <w:w w:val="95"/>
                <w:sz w:val="14"/>
              </w:rPr>
              <w:t>5.0</w:t>
            </w:r>
          </w:p>
        </w:tc>
        <w:tc>
          <w:tcPr>
            <w:tcW w:w="1080" w:type="dxa"/>
            <w:shd w:val="clear" w:color="auto" w:fill="D4E3F5"/>
          </w:tcPr>
          <w:p>
            <w:pPr>
              <w:pStyle w:val="TableParagraph"/>
              <w:ind w:left="392"/>
              <w:jc w:val="left"/>
              <w:rPr>
                <w:sz w:val="14"/>
              </w:rPr>
            </w:pPr>
            <w:r>
              <w:rPr>
                <w:color w:val="231F20"/>
                <w:spacing w:val="-5"/>
                <w:w w:val="95"/>
                <w:sz w:val="14"/>
              </w:rPr>
              <w:t>2.9</w:t>
            </w:r>
          </w:p>
        </w:tc>
        <w:tc>
          <w:tcPr>
            <w:tcW w:w="755" w:type="dxa"/>
            <w:shd w:val="clear" w:color="auto" w:fill="D4E3F5"/>
          </w:tcPr>
          <w:p>
            <w:pPr>
              <w:pStyle w:val="TableParagraph"/>
              <w:ind w:left="88" w:right="51"/>
              <w:rPr>
                <w:sz w:val="14"/>
              </w:rPr>
            </w:pPr>
            <w:r>
              <w:rPr>
                <w:color w:val="231F20"/>
                <w:spacing w:val="-5"/>
                <w:w w:val="95"/>
                <w:sz w:val="14"/>
              </w:rPr>
              <w:t>8.8</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64" w:right="136"/>
              <w:rPr>
                <w:sz w:val="14"/>
              </w:rPr>
            </w:pPr>
            <w:r>
              <w:rPr>
                <w:color w:val="231F20"/>
                <w:spacing w:val="-5"/>
                <w:w w:val="95"/>
                <w:sz w:val="14"/>
              </w:rPr>
              <w:t>5.1</w:t>
            </w:r>
          </w:p>
        </w:tc>
        <w:tc>
          <w:tcPr>
            <w:tcW w:w="1073" w:type="dxa"/>
            <w:shd w:val="clear" w:color="auto" w:fill="D4E3F5"/>
          </w:tcPr>
          <w:p>
            <w:pPr>
              <w:pStyle w:val="TableParagraph"/>
              <w:ind w:left="75" w:right="63"/>
              <w:rPr>
                <w:sz w:val="14"/>
              </w:rPr>
            </w:pPr>
            <w:r>
              <w:rPr>
                <w:color w:val="231F20"/>
                <w:spacing w:val="-5"/>
                <w:w w:val="95"/>
                <w:sz w:val="14"/>
              </w:rPr>
              <w:t>3.4</w:t>
            </w:r>
          </w:p>
        </w:tc>
        <w:tc>
          <w:tcPr>
            <w:tcW w:w="939" w:type="dxa"/>
            <w:shd w:val="clear" w:color="auto" w:fill="D4E3F5"/>
          </w:tcPr>
          <w:p>
            <w:pPr>
              <w:pStyle w:val="TableParagraph"/>
              <w:ind w:left="36" w:right="32"/>
              <w:rPr>
                <w:sz w:val="14"/>
              </w:rPr>
            </w:pPr>
            <w:r>
              <w:rPr>
                <w:color w:val="231F20"/>
                <w:spacing w:val="-5"/>
                <w:w w:val="95"/>
                <w:sz w:val="14"/>
              </w:rPr>
              <w:t>1.9</w:t>
            </w:r>
          </w:p>
        </w:tc>
        <w:tc>
          <w:tcPr>
            <w:tcW w:w="1005" w:type="dxa"/>
            <w:shd w:val="clear" w:color="auto" w:fill="D4E3F5"/>
          </w:tcPr>
          <w:p>
            <w:pPr>
              <w:pStyle w:val="TableParagraph"/>
              <w:ind w:right="390"/>
              <w:jc w:val="right"/>
              <w:rPr>
                <w:sz w:val="14"/>
              </w:rPr>
            </w:pPr>
            <w:r>
              <w:rPr>
                <w:color w:val="231F20"/>
                <w:spacing w:val="-5"/>
                <w:w w:val="95"/>
                <w:sz w:val="14"/>
              </w:rPr>
              <w:t>6.5</w:t>
            </w:r>
          </w:p>
        </w:tc>
      </w:tr>
      <w:tr>
        <w:trPr>
          <w:trHeight w:val="259" w:hRule="atLeast"/>
        </w:trPr>
        <w:tc>
          <w:tcPr>
            <w:tcW w:w="1358" w:type="dxa"/>
          </w:tcPr>
          <w:p>
            <w:pPr>
              <w:pStyle w:val="TableParagraph"/>
              <w:ind w:left="80"/>
              <w:jc w:val="left"/>
              <w:rPr>
                <w:sz w:val="14"/>
              </w:rPr>
            </w:pPr>
            <w:r>
              <w:rPr>
                <w:color w:val="231F20"/>
                <w:w w:val="75"/>
                <w:sz w:val="14"/>
              </w:rPr>
              <w:t>Korea,</w:t>
            </w:r>
            <w:r>
              <w:rPr>
                <w:color w:val="231F20"/>
                <w:spacing w:val="9"/>
                <w:sz w:val="14"/>
              </w:rPr>
              <w:t> </w:t>
            </w:r>
            <w:r>
              <w:rPr>
                <w:color w:val="231F20"/>
                <w:spacing w:val="-4"/>
                <w:w w:val="90"/>
                <w:sz w:val="14"/>
              </w:rPr>
              <w:t>Rep.</w:t>
            </w:r>
          </w:p>
        </w:tc>
        <w:tc>
          <w:tcPr>
            <w:tcW w:w="1103" w:type="dxa"/>
          </w:tcPr>
          <w:p>
            <w:pPr>
              <w:pStyle w:val="TableParagraph"/>
              <w:ind w:right="434"/>
              <w:jc w:val="right"/>
              <w:rPr>
                <w:sz w:val="14"/>
              </w:rPr>
            </w:pPr>
            <w:r>
              <w:rPr>
                <w:color w:val="231F20"/>
                <w:spacing w:val="-2"/>
                <w:w w:val="95"/>
                <w:sz w:val="14"/>
              </w:rPr>
              <w:t>35,154</w:t>
            </w:r>
          </w:p>
        </w:tc>
        <w:tc>
          <w:tcPr>
            <w:tcW w:w="851" w:type="dxa"/>
          </w:tcPr>
          <w:p>
            <w:pPr>
              <w:pStyle w:val="TableParagraph"/>
              <w:ind w:left="84" w:right="136"/>
              <w:rPr>
                <w:sz w:val="14"/>
              </w:rPr>
            </w:pPr>
            <w:r>
              <w:rPr>
                <w:color w:val="231F20"/>
                <w:spacing w:val="-5"/>
                <w:w w:val="95"/>
                <w:sz w:val="14"/>
              </w:rPr>
              <w:t>8.5</w:t>
            </w:r>
          </w:p>
        </w:tc>
        <w:tc>
          <w:tcPr>
            <w:tcW w:w="1063" w:type="dxa"/>
          </w:tcPr>
          <w:p>
            <w:pPr>
              <w:pStyle w:val="TableParagraph"/>
              <w:ind w:left="72" w:right="53"/>
              <w:rPr>
                <w:sz w:val="14"/>
              </w:rPr>
            </w:pPr>
            <w:r>
              <w:rPr>
                <w:color w:val="231F20"/>
                <w:spacing w:val="-5"/>
                <w:w w:val="95"/>
                <w:sz w:val="14"/>
              </w:rPr>
              <w:t>5.7</w:t>
            </w:r>
          </w:p>
        </w:tc>
        <w:tc>
          <w:tcPr>
            <w:tcW w:w="1080" w:type="dxa"/>
          </w:tcPr>
          <w:p>
            <w:pPr>
              <w:pStyle w:val="TableParagraph"/>
              <w:ind w:left="392"/>
              <w:jc w:val="left"/>
              <w:rPr>
                <w:sz w:val="14"/>
              </w:rPr>
            </w:pPr>
            <w:r>
              <w:rPr>
                <w:color w:val="231F20"/>
                <w:spacing w:val="-5"/>
                <w:w w:val="95"/>
                <w:sz w:val="14"/>
              </w:rPr>
              <w:t>2.6</w:t>
            </w:r>
          </w:p>
        </w:tc>
        <w:tc>
          <w:tcPr>
            <w:tcW w:w="755" w:type="dxa"/>
          </w:tcPr>
          <w:p>
            <w:pPr>
              <w:pStyle w:val="TableParagraph"/>
              <w:ind w:left="48" w:right="73"/>
              <w:rPr>
                <w:sz w:val="14"/>
              </w:rPr>
            </w:pPr>
            <w:r>
              <w:rPr>
                <w:color w:val="231F20"/>
                <w:spacing w:val="-4"/>
                <w:w w:val="95"/>
                <w:sz w:val="14"/>
              </w:rPr>
              <w:t>10.5</w:t>
            </w:r>
          </w:p>
        </w:tc>
        <w:tc>
          <w:tcPr>
            <w:tcW w:w="240" w:type="dxa"/>
          </w:tcPr>
          <w:p>
            <w:pPr>
              <w:pStyle w:val="TableParagraph"/>
              <w:spacing w:before="0"/>
              <w:jc w:val="left"/>
              <w:rPr>
                <w:rFonts w:ascii="Times New Roman"/>
                <w:sz w:val="12"/>
              </w:rPr>
            </w:pPr>
          </w:p>
        </w:tc>
        <w:tc>
          <w:tcPr>
            <w:tcW w:w="851" w:type="dxa"/>
          </w:tcPr>
          <w:p>
            <w:pPr>
              <w:pStyle w:val="TableParagraph"/>
              <w:ind w:left="84" w:right="136"/>
              <w:rPr>
                <w:sz w:val="14"/>
              </w:rPr>
            </w:pPr>
            <w:r>
              <w:rPr>
                <w:color w:val="231F20"/>
                <w:spacing w:val="-5"/>
                <w:w w:val="95"/>
                <w:sz w:val="14"/>
              </w:rPr>
              <w:t>8.2</w:t>
            </w:r>
          </w:p>
        </w:tc>
        <w:tc>
          <w:tcPr>
            <w:tcW w:w="1073" w:type="dxa"/>
          </w:tcPr>
          <w:p>
            <w:pPr>
              <w:pStyle w:val="TableParagraph"/>
              <w:ind w:left="78" w:right="63"/>
              <w:rPr>
                <w:sz w:val="14"/>
              </w:rPr>
            </w:pPr>
            <w:r>
              <w:rPr>
                <w:color w:val="231F20"/>
                <w:spacing w:val="-5"/>
                <w:w w:val="95"/>
                <w:sz w:val="14"/>
              </w:rPr>
              <w:t>5.6</w:t>
            </w:r>
          </w:p>
        </w:tc>
        <w:tc>
          <w:tcPr>
            <w:tcW w:w="939" w:type="dxa"/>
          </w:tcPr>
          <w:p>
            <w:pPr>
              <w:pStyle w:val="TableParagraph"/>
              <w:ind w:left="31" w:right="32"/>
              <w:rPr>
                <w:sz w:val="14"/>
              </w:rPr>
            </w:pPr>
            <w:r>
              <w:rPr>
                <w:color w:val="231F20"/>
                <w:spacing w:val="-5"/>
                <w:w w:val="95"/>
                <w:sz w:val="14"/>
              </w:rPr>
              <w:t>2.6</w:t>
            </w:r>
          </w:p>
        </w:tc>
        <w:tc>
          <w:tcPr>
            <w:tcW w:w="1005" w:type="dxa"/>
          </w:tcPr>
          <w:p>
            <w:pPr>
              <w:pStyle w:val="TableParagraph"/>
              <w:ind w:right="392"/>
              <w:jc w:val="right"/>
              <w:rPr>
                <w:sz w:val="14"/>
              </w:rPr>
            </w:pPr>
            <w:r>
              <w:rPr>
                <w:color w:val="231F20"/>
                <w:spacing w:val="-4"/>
                <w:w w:val="95"/>
                <w:sz w:val="14"/>
              </w:rPr>
              <w:t>10.4</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Kuwait</w:t>
            </w:r>
          </w:p>
        </w:tc>
        <w:tc>
          <w:tcPr>
            <w:tcW w:w="1103" w:type="dxa"/>
            <w:shd w:val="clear" w:color="auto" w:fill="D4E3F5"/>
          </w:tcPr>
          <w:p>
            <w:pPr>
              <w:pStyle w:val="TableParagraph"/>
              <w:ind w:right="435"/>
              <w:jc w:val="right"/>
              <w:rPr>
                <w:sz w:val="14"/>
              </w:rPr>
            </w:pPr>
            <w:r>
              <w:rPr>
                <w:color w:val="231F20"/>
                <w:spacing w:val="-2"/>
                <w:w w:val="95"/>
                <w:sz w:val="14"/>
              </w:rPr>
              <w:t>7,772</w:t>
            </w:r>
          </w:p>
        </w:tc>
        <w:tc>
          <w:tcPr>
            <w:tcW w:w="851" w:type="dxa"/>
            <w:shd w:val="clear" w:color="auto" w:fill="D4E3F5"/>
          </w:tcPr>
          <w:p>
            <w:pPr>
              <w:pStyle w:val="TableParagraph"/>
              <w:ind w:left="82" w:right="136"/>
              <w:rPr>
                <w:sz w:val="14"/>
              </w:rPr>
            </w:pPr>
            <w:r>
              <w:rPr>
                <w:color w:val="231F20"/>
                <w:spacing w:val="-5"/>
                <w:w w:val="95"/>
                <w:sz w:val="14"/>
              </w:rPr>
              <w:t>6.0</w:t>
            </w:r>
          </w:p>
        </w:tc>
        <w:tc>
          <w:tcPr>
            <w:tcW w:w="1063" w:type="dxa"/>
            <w:shd w:val="clear" w:color="auto" w:fill="D4E3F5"/>
          </w:tcPr>
          <w:p>
            <w:pPr>
              <w:pStyle w:val="TableParagraph"/>
              <w:ind w:left="77" w:right="53"/>
              <w:rPr>
                <w:sz w:val="14"/>
              </w:rPr>
            </w:pPr>
            <w:r>
              <w:rPr>
                <w:color w:val="231F20"/>
                <w:spacing w:val="-5"/>
                <w:w w:val="95"/>
                <w:sz w:val="14"/>
              </w:rPr>
              <w:t>4.6</w:t>
            </w:r>
          </w:p>
        </w:tc>
        <w:tc>
          <w:tcPr>
            <w:tcW w:w="1080" w:type="dxa"/>
            <w:shd w:val="clear" w:color="auto" w:fill="D4E3F5"/>
          </w:tcPr>
          <w:p>
            <w:pPr>
              <w:pStyle w:val="TableParagraph"/>
              <w:ind w:left="391"/>
              <w:jc w:val="left"/>
              <w:rPr>
                <w:sz w:val="14"/>
              </w:rPr>
            </w:pPr>
            <w:r>
              <w:rPr>
                <w:color w:val="231F20"/>
                <w:spacing w:val="-5"/>
                <w:w w:val="95"/>
                <w:sz w:val="14"/>
              </w:rPr>
              <w:t>3.1</w:t>
            </w:r>
          </w:p>
        </w:tc>
        <w:tc>
          <w:tcPr>
            <w:tcW w:w="755" w:type="dxa"/>
            <w:shd w:val="clear" w:color="auto" w:fill="D4E3F5"/>
          </w:tcPr>
          <w:p>
            <w:pPr>
              <w:pStyle w:val="TableParagraph"/>
              <w:ind w:left="88" w:right="51"/>
              <w:rPr>
                <w:sz w:val="14"/>
              </w:rPr>
            </w:pPr>
            <w:r>
              <w:rPr>
                <w:color w:val="231F20"/>
                <w:spacing w:val="-5"/>
                <w:w w:val="95"/>
                <w:sz w:val="14"/>
              </w:rPr>
              <w:t>6.9</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3" w:right="136"/>
              <w:rPr>
                <w:sz w:val="14"/>
              </w:rPr>
            </w:pPr>
            <w:r>
              <w:rPr>
                <w:color w:val="231F20"/>
                <w:spacing w:val="-5"/>
                <w:w w:val="95"/>
                <w:sz w:val="14"/>
              </w:rPr>
              <w:t>6.0</w:t>
            </w:r>
          </w:p>
        </w:tc>
        <w:tc>
          <w:tcPr>
            <w:tcW w:w="1073" w:type="dxa"/>
            <w:shd w:val="clear" w:color="auto" w:fill="D4E3F5"/>
          </w:tcPr>
          <w:p>
            <w:pPr>
              <w:pStyle w:val="TableParagraph"/>
              <w:ind w:left="78" w:right="63"/>
              <w:rPr>
                <w:sz w:val="14"/>
              </w:rPr>
            </w:pPr>
            <w:r>
              <w:rPr>
                <w:color w:val="231F20"/>
                <w:spacing w:val="-5"/>
                <w:w w:val="95"/>
                <w:sz w:val="14"/>
              </w:rPr>
              <w:t>4.6</w:t>
            </w:r>
          </w:p>
        </w:tc>
        <w:tc>
          <w:tcPr>
            <w:tcW w:w="939" w:type="dxa"/>
            <w:shd w:val="clear" w:color="auto" w:fill="D4E3F5"/>
          </w:tcPr>
          <w:p>
            <w:pPr>
              <w:pStyle w:val="TableParagraph"/>
              <w:ind w:left="13" w:right="32"/>
              <w:rPr>
                <w:sz w:val="14"/>
              </w:rPr>
            </w:pPr>
            <w:r>
              <w:rPr>
                <w:color w:val="231F20"/>
                <w:spacing w:val="-5"/>
                <w:w w:val="95"/>
                <w:sz w:val="14"/>
              </w:rPr>
              <w:t>3.1</w:t>
            </w:r>
          </w:p>
        </w:tc>
        <w:tc>
          <w:tcPr>
            <w:tcW w:w="1005" w:type="dxa"/>
            <w:shd w:val="clear" w:color="auto" w:fill="D4E3F5"/>
          </w:tcPr>
          <w:p>
            <w:pPr>
              <w:pStyle w:val="TableParagraph"/>
              <w:ind w:right="388"/>
              <w:jc w:val="right"/>
              <w:rPr>
                <w:sz w:val="14"/>
              </w:rPr>
            </w:pPr>
            <w:r>
              <w:rPr>
                <w:color w:val="231F20"/>
                <w:spacing w:val="-5"/>
                <w:w w:val="95"/>
                <w:sz w:val="14"/>
              </w:rPr>
              <w:t>6.9</w:t>
            </w:r>
          </w:p>
        </w:tc>
      </w:tr>
      <w:tr>
        <w:trPr>
          <w:trHeight w:val="259" w:hRule="atLeast"/>
        </w:trPr>
        <w:tc>
          <w:tcPr>
            <w:tcW w:w="1358" w:type="dxa"/>
          </w:tcPr>
          <w:p>
            <w:pPr>
              <w:pStyle w:val="TableParagraph"/>
              <w:ind w:left="80"/>
              <w:jc w:val="left"/>
              <w:rPr>
                <w:sz w:val="14"/>
              </w:rPr>
            </w:pPr>
            <w:r>
              <w:rPr>
                <w:color w:val="231F20"/>
                <w:w w:val="75"/>
                <w:sz w:val="14"/>
              </w:rPr>
              <w:t>Lao</w:t>
            </w:r>
            <w:r>
              <w:rPr>
                <w:color w:val="231F20"/>
                <w:spacing w:val="1"/>
                <w:sz w:val="14"/>
              </w:rPr>
              <w:t> </w:t>
            </w:r>
            <w:r>
              <w:rPr>
                <w:color w:val="231F20"/>
                <w:spacing w:val="-5"/>
                <w:w w:val="80"/>
                <w:sz w:val="14"/>
              </w:rPr>
              <w:t>PDR</w:t>
            </w:r>
          </w:p>
        </w:tc>
        <w:tc>
          <w:tcPr>
            <w:tcW w:w="1103" w:type="dxa"/>
          </w:tcPr>
          <w:p>
            <w:pPr>
              <w:pStyle w:val="TableParagraph"/>
              <w:ind w:right="436"/>
              <w:jc w:val="right"/>
              <w:rPr>
                <w:sz w:val="14"/>
              </w:rPr>
            </w:pPr>
            <w:r>
              <w:rPr>
                <w:color w:val="231F20"/>
                <w:spacing w:val="-10"/>
                <w:w w:val="95"/>
                <w:sz w:val="14"/>
              </w:rPr>
              <w:t>5</w:t>
            </w:r>
          </w:p>
        </w:tc>
        <w:tc>
          <w:tcPr>
            <w:tcW w:w="851" w:type="dxa"/>
          </w:tcPr>
          <w:p>
            <w:pPr>
              <w:pStyle w:val="TableParagraph"/>
              <w:ind w:left="82" w:right="136"/>
              <w:rPr>
                <w:sz w:val="14"/>
              </w:rPr>
            </w:pPr>
            <w:r>
              <w:rPr>
                <w:color w:val="231F20"/>
                <w:spacing w:val="-5"/>
                <w:w w:val="95"/>
                <w:sz w:val="14"/>
              </w:rPr>
              <w:t>6.8</w:t>
            </w:r>
          </w:p>
        </w:tc>
        <w:tc>
          <w:tcPr>
            <w:tcW w:w="1063" w:type="dxa"/>
          </w:tcPr>
          <w:p>
            <w:pPr>
              <w:pStyle w:val="TableParagraph"/>
              <w:ind w:left="77" w:right="53"/>
              <w:rPr>
                <w:sz w:val="14"/>
              </w:rPr>
            </w:pPr>
            <w:r>
              <w:rPr>
                <w:color w:val="231F20"/>
                <w:spacing w:val="-5"/>
                <w:w w:val="95"/>
                <w:sz w:val="14"/>
              </w:rPr>
              <w:t>2.9</w:t>
            </w:r>
          </w:p>
        </w:tc>
        <w:tc>
          <w:tcPr>
            <w:tcW w:w="1080" w:type="dxa"/>
          </w:tcPr>
          <w:p>
            <w:pPr>
              <w:pStyle w:val="TableParagraph"/>
              <w:ind w:left="392"/>
              <w:jc w:val="left"/>
              <w:rPr>
                <w:sz w:val="14"/>
              </w:rPr>
            </w:pPr>
            <w:r>
              <w:rPr>
                <w:color w:val="231F20"/>
                <w:spacing w:val="-5"/>
                <w:w w:val="95"/>
                <w:sz w:val="14"/>
              </w:rPr>
              <w:t>2.8</w:t>
            </w:r>
          </w:p>
        </w:tc>
        <w:tc>
          <w:tcPr>
            <w:tcW w:w="755" w:type="dxa"/>
          </w:tcPr>
          <w:p>
            <w:pPr>
              <w:pStyle w:val="TableParagraph"/>
              <w:ind w:left="88" w:right="51"/>
              <w:rPr>
                <w:sz w:val="14"/>
              </w:rPr>
            </w:pPr>
            <w:r>
              <w:rPr>
                <w:color w:val="231F20"/>
                <w:spacing w:val="-5"/>
                <w:w w:val="95"/>
                <w:sz w:val="14"/>
              </w:rPr>
              <w:t>3.3</w:t>
            </w:r>
          </w:p>
        </w:tc>
        <w:tc>
          <w:tcPr>
            <w:tcW w:w="240" w:type="dxa"/>
          </w:tcPr>
          <w:p>
            <w:pPr>
              <w:pStyle w:val="TableParagraph"/>
              <w:spacing w:before="0"/>
              <w:jc w:val="left"/>
              <w:rPr>
                <w:rFonts w:ascii="Times New Roman"/>
                <w:sz w:val="12"/>
              </w:rPr>
            </w:pPr>
          </w:p>
        </w:tc>
        <w:tc>
          <w:tcPr>
            <w:tcW w:w="851" w:type="dxa"/>
          </w:tcPr>
          <w:p>
            <w:pPr>
              <w:pStyle w:val="TableParagraph"/>
              <w:ind w:left="83" w:right="136"/>
              <w:rPr>
                <w:sz w:val="14"/>
              </w:rPr>
            </w:pPr>
            <w:r>
              <w:rPr>
                <w:color w:val="231F20"/>
                <w:spacing w:val="-5"/>
                <w:w w:val="95"/>
                <w:sz w:val="14"/>
              </w:rPr>
              <w:t>5.0</w:t>
            </w:r>
          </w:p>
        </w:tc>
        <w:tc>
          <w:tcPr>
            <w:tcW w:w="1073" w:type="dxa"/>
          </w:tcPr>
          <w:p>
            <w:pPr>
              <w:pStyle w:val="TableParagraph"/>
              <w:ind w:left="78" w:right="63"/>
              <w:rPr>
                <w:sz w:val="14"/>
              </w:rPr>
            </w:pPr>
            <w:r>
              <w:rPr>
                <w:color w:val="231F20"/>
                <w:spacing w:val="-5"/>
                <w:w w:val="95"/>
                <w:sz w:val="14"/>
              </w:rPr>
              <w:t>0.6</w:t>
            </w:r>
          </w:p>
        </w:tc>
        <w:tc>
          <w:tcPr>
            <w:tcW w:w="939" w:type="dxa"/>
          </w:tcPr>
          <w:p>
            <w:pPr>
              <w:pStyle w:val="TableParagraph"/>
              <w:ind w:left="31" w:right="32"/>
              <w:rPr>
                <w:sz w:val="14"/>
              </w:rPr>
            </w:pPr>
            <w:r>
              <w:rPr>
                <w:color w:val="231F20"/>
                <w:spacing w:val="-5"/>
                <w:w w:val="95"/>
                <w:sz w:val="14"/>
              </w:rPr>
              <w:t>0.3</w:t>
            </w:r>
          </w:p>
        </w:tc>
        <w:tc>
          <w:tcPr>
            <w:tcW w:w="1005" w:type="dxa"/>
          </w:tcPr>
          <w:p>
            <w:pPr>
              <w:pStyle w:val="TableParagraph"/>
              <w:ind w:right="408"/>
              <w:jc w:val="right"/>
              <w:rPr>
                <w:sz w:val="14"/>
              </w:rPr>
            </w:pPr>
            <w:r>
              <w:rPr>
                <w:color w:val="231F20"/>
                <w:spacing w:val="-5"/>
                <w:w w:val="95"/>
                <w:sz w:val="14"/>
              </w:rPr>
              <w:t>1.1</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Latvia</w:t>
            </w:r>
          </w:p>
        </w:tc>
        <w:tc>
          <w:tcPr>
            <w:tcW w:w="1103" w:type="dxa"/>
            <w:shd w:val="clear" w:color="auto" w:fill="D4E3F5"/>
          </w:tcPr>
          <w:p>
            <w:pPr>
              <w:pStyle w:val="TableParagraph"/>
              <w:ind w:right="435"/>
              <w:jc w:val="right"/>
              <w:rPr>
                <w:sz w:val="14"/>
              </w:rPr>
            </w:pPr>
            <w:r>
              <w:rPr>
                <w:color w:val="231F20"/>
                <w:spacing w:val="-2"/>
                <w:w w:val="95"/>
                <w:sz w:val="14"/>
              </w:rPr>
              <w:t>1,365</w:t>
            </w:r>
          </w:p>
        </w:tc>
        <w:tc>
          <w:tcPr>
            <w:tcW w:w="851" w:type="dxa"/>
            <w:shd w:val="clear" w:color="auto" w:fill="D4E3F5"/>
          </w:tcPr>
          <w:p>
            <w:pPr>
              <w:pStyle w:val="TableParagraph"/>
              <w:ind w:left="82" w:right="136"/>
              <w:rPr>
                <w:sz w:val="14"/>
              </w:rPr>
            </w:pPr>
            <w:r>
              <w:rPr>
                <w:color w:val="231F20"/>
                <w:spacing w:val="-5"/>
                <w:w w:val="95"/>
                <w:sz w:val="14"/>
              </w:rPr>
              <w:t>8.0</w:t>
            </w:r>
          </w:p>
        </w:tc>
        <w:tc>
          <w:tcPr>
            <w:tcW w:w="1063" w:type="dxa"/>
            <w:shd w:val="clear" w:color="auto" w:fill="D4E3F5"/>
          </w:tcPr>
          <w:p>
            <w:pPr>
              <w:pStyle w:val="TableParagraph"/>
              <w:ind w:left="77" w:right="53"/>
              <w:rPr>
                <w:sz w:val="14"/>
              </w:rPr>
            </w:pPr>
            <w:r>
              <w:rPr>
                <w:color w:val="231F20"/>
                <w:spacing w:val="-5"/>
                <w:w w:val="95"/>
                <w:sz w:val="14"/>
              </w:rPr>
              <w:t>5.5</w:t>
            </w:r>
          </w:p>
        </w:tc>
        <w:tc>
          <w:tcPr>
            <w:tcW w:w="1080" w:type="dxa"/>
            <w:shd w:val="clear" w:color="auto" w:fill="D4E3F5"/>
          </w:tcPr>
          <w:p>
            <w:pPr>
              <w:pStyle w:val="TableParagraph"/>
              <w:ind w:left="391"/>
              <w:jc w:val="left"/>
              <w:rPr>
                <w:sz w:val="14"/>
              </w:rPr>
            </w:pPr>
            <w:r>
              <w:rPr>
                <w:color w:val="231F20"/>
                <w:spacing w:val="-5"/>
                <w:w w:val="95"/>
                <w:sz w:val="14"/>
              </w:rPr>
              <w:t>3.3</w:t>
            </w:r>
          </w:p>
        </w:tc>
        <w:tc>
          <w:tcPr>
            <w:tcW w:w="755" w:type="dxa"/>
            <w:shd w:val="clear" w:color="auto" w:fill="D4E3F5"/>
          </w:tcPr>
          <w:p>
            <w:pPr>
              <w:pStyle w:val="TableParagraph"/>
              <w:ind w:left="48" w:right="72"/>
              <w:rPr>
                <w:sz w:val="14"/>
              </w:rPr>
            </w:pPr>
            <w:r>
              <w:rPr>
                <w:color w:val="231F20"/>
                <w:spacing w:val="-4"/>
                <w:w w:val="95"/>
                <w:sz w:val="14"/>
              </w:rPr>
              <w:t>10.2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2" w:right="136"/>
              <w:rPr>
                <w:sz w:val="14"/>
              </w:rPr>
            </w:pPr>
            <w:r>
              <w:rPr>
                <w:color w:val="231F20"/>
                <w:spacing w:val="-5"/>
                <w:w w:val="95"/>
                <w:sz w:val="14"/>
              </w:rPr>
              <w:t>8.0</w:t>
            </w:r>
          </w:p>
        </w:tc>
        <w:tc>
          <w:tcPr>
            <w:tcW w:w="1073" w:type="dxa"/>
            <w:shd w:val="clear" w:color="auto" w:fill="D4E3F5"/>
          </w:tcPr>
          <w:p>
            <w:pPr>
              <w:pStyle w:val="TableParagraph"/>
              <w:ind w:left="78" w:right="63"/>
              <w:rPr>
                <w:sz w:val="14"/>
              </w:rPr>
            </w:pPr>
            <w:r>
              <w:rPr>
                <w:color w:val="231F20"/>
                <w:spacing w:val="-5"/>
                <w:w w:val="95"/>
                <w:sz w:val="14"/>
              </w:rPr>
              <w:t>5.5</w:t>
            </w:r>
          </w:p>
        </w:tc>
        <w:tc>
          <w:tcPr>
            <w:tcW w:w="939" w:type="dxa"/>
            <w:shd w:val="clear" w:color="auto" w:fill="D4E3F5"/>
          </w:tcPr>
          <w:p>
            <w:pPr>
              <w:pStyle w:val="TableParagraph"/>
              <w:ind w:left="32" w:right="32"/>
              <w:rPr>
                <w:sz w:val="14"/>
              </w:rPr>
            </w:pPr>
            <w:r>
              <w:rPr>
                <w:color w:val="231F20"/>
                <w:spacing w:val="-5"/>
                <w:w w:val="95"/>
                <w:sz w:val="14"/>
              </w:rPr>
              <w:t>3.3</w:t>
            </w:r>
          </w:p>
        </w:tc>
        <w:tc>
          <w:tcPr>
            <w:tcW w:w="1005" w:type="dxa"/>
            <w:shd w:val="clear" w:color="auto" w:fill="D4E3F5"/>
          </w:tcPr>
          <w:p>
            <w:pPr>
              <w:pStyle w:val="TableParagraph"/>
              <w:ind w:right="389"/>
              <w:jc w:val="right"/>
              <w:rPr>
                <w:sz w:val="14"/>
              </w:rPr>
            </w:pPr>
            <w:r>
              <w:rPr>
                <w:color w:val="231F20"/>
                <w:spacing w:val="-4"/>
                <w:w w:val="95"/>
                <w:sz w:val="14"/>
              </w:rPr>
              <w:t>10.2</w:t>
            </w:r>
          </w:p>
        </w:tc>
      </w:tr>
      <w:tr>
        <w:trPr>
          <w:trHeight w:val="259" w:hRule="atLeast"/>
        </w:trPr>
        <w:tc>
          <w:tcPr>
            <w:tcW w:w="1358" w:type="dxa"/>
          </w:tcPr>
          <w:p>
            <w:pPr>
              <w:pStyle w:val="TableParagraph"/>
              <w:ind w:left="80"/>
              <w:jc w:val="left"/>
              <w:rPr>
                <w:sz w:val="14"/>
              </w:rPr>
            </w:pPr>
            <w:r>
              <w:rPr>
                <w:color w:val="231F20"/>
                <w:spacing w:val="-2"/>
                <w:w w:val="85"/>
                <w:sz w:val="14"/>
              </w:rPr>
              <w:t>Lebanon</w:t>
            </w:r>
          </w:p>
        </w:tc>
        <w:tc>
          <w:tcPr>
            <w:tcW w:w="1103" w:type="dxa"/>
          </w:tcPr>
          <w:p>
            <w:pPr>
              <w:pStyle w:val="TableParagraph"/>
              <w:ind w:right="434"/>
              <w:jc w:val="right"/>
              <w:rPr>
                <w:sz w:val="14"/>
              </w:rPr>
            </w:pPr>
            <w:r>
              <w:rPr>
                <w:color w:val="231F20"/>
                <w:spacing w:val="-2"/>
                <w:w w:val="95"/>
                <w:sz w:val="14"/>
              </w:rPr>
              <w:t>3,195</w:t>
            </w:r>
          </w:p>
        </w:tc>
        <w:tc>
          <w:tcPr>
            <w:tcW w:w="851" w:type="dxa"/>
          </w:tcPr>
          <w:p>
            <w:pPr>
              <w:pStyle w:val="TableParagraph"/>
              <w:ind w:left="22" w:right="136"/>
              <w:rPr>
                <w:sz w:val="14"/>
              </w:rPr>
            </w:pPr>
            <w:r>
              <w:rPr>
                <w:color w:val="231F20"/>
                <w:spacing w:val="-4"/>
                <w:w w:val="95"/>
                <w:sz w:val="14"/>
              </w:rPr>
              <w:t>12.2</w:t>
            </w:r>
          </w:p>
        </w:tc>
        <w:tc>
          <w:tcPr>
            <w:tcW w:w="1063" w:type="dxa"/>
          </w:tcPr>
          <w:p>
            <w:pPr>
              <w:pStyle w:val="TableParagraph"/>
              <w:ind w:left="77" w:right="53"/>
              <w:rPr>
                <w:sz w:val="14"/>
              </w:rPr>
            </w:pPr>
            <w:r>
              <w:rPr>
                <w:color w:val="231F20"/>
                <w:spacing w:val="-5"/>
                <w:w w:val="95"/>
                <w:sz w:val="14"/>
              </w:rPr>
              <w:t>9.9</w:t>
            </w:r>
          </w:p>
        </w:tc>
        <w:tc>
          <w:tcPr>
            <w:tcW w:w="1080" w:type="dxa"/>
          </w:tcPr>
          <w:p>
            <w:pPr>
              <w:pStyle w:val="TableParagraph"/>
              <w:ind w:left="391"/>
              <w:jc w:val="left"/>
              <w:rPr>
                <w:sz w:val="14"/>
              </w:rPr>
            </w:pPr>
            <w:r>
              <w:rPr>
                <w:color w:val="231F20"/>
                <w:spacing w:val="-5"/>
                <w:w w:val="95"/>
                <w:sz w:val="14"/>
              </w:rPr>
              <w:t>6.4</w:t>
            </w:r>
          </w:p>
        </w:tc>
        <w:tc>
          <w:tcPr>
            <w:tcW w:w="755" w:type="dxa"/>
          </w:tcPr>
          <w:p>
            <w:pPr>
              <w:pStyle w:val="TableParagraph"/>
              <w:ind w:left="48" w:right="71"/>
              <w:rPr>
                <w:sz w:val="14"/>
              </w:rPr>
            </w:pPr>
            <w:r>
              <w:rPr>
                <w:color w:val="231F20"/>
                <w:spacing w:val="-4"/>
                <w:w w:val="95"/>
                <w:sz w:val="14"/>
              </w:rPr>
              <w:t>14.5</w:t>
            </w:r>
          </w:p>
        </w:tc>
        <w:tc>
          <w:tcPr>
            <w:tcW w:w="240" w:type="dxa"/>
          </w:tcPr>
          <w:p>
            <w:pPr>
              <w:pStyle w:val="TableParagraph"/>
              <w:spacing w:before="0"/>
              <w:jc w:val="left"/>
              <w:rPr>
                <w:rFonts w:ascii="Times New Roman"/>
                <w:sz w:val="12"/>
              </w:rPr>
            </w:pPr>
          </w:p>
        </w:tc>
        <w:tc>
          <w:tcPr>
            <w:tcW w:w="851" w:type="dxa"/>
          </w:tcPr>
          <w:p>
            <w:pPr>
              <w:pStyle w:val="TableParagraph"/>
              <w:ind w:left="250"/>
              <w:jc w:val="left"/>
              <w:rPr>
                <w:sz w:val="14"/>
              </w:rPr>
            </w:pPr>
            <w:r>
              <w:rPr>
                <w:color w:val="231F20"/>
                <w:spacing w:val="-4"/>
                <w:w w:val="95"/>
                <w:sz w:val="14"/>
              </w:rPr>
              <w:t>12.2</w:t>
            </w:r>
          </w:p>
        </w:tc>
        <w:tc>
          <w:tcPr>
            <w:tcW w:w="1073" w:type="dxa"/>
          </w:tcPr>
          <w:p>
            <w:pPr>
              <w:pStyle w:val="TableParagraph"/>
              <w:ind w:left="78" w:right="63"/>
              <w:rPr>
                <w:sz w:val="14"/>
              </w:rPr>
            </w:pPr>
            <w:r>
              <w:rPr>
                <w:color w:val="231F20"/>
                <w:spacing w:val="-5"/>
                <w:w w:val="95"/>
                <w:sz w:val="14"/>
              </w:rPr>
              <w:t>9.9</w:t>
            </w:r>
          </w:p>
        </w:tc>
        <w:tc>
          <w:tcPr>
            <w:tcW w:w="939" w:type="dxa"/>
          </w:tcPr>
          <w:p>
            <w:pPr>
              <w:pStyle w:val="TableParagraph"/>
              <w:ind w:left="30" w:right="32"/>
              <w:rPr>
                <w:sz w:val="14"/>
              </w:rPr>
            </w:pPr>
            <w:r>
              <w:rPr>
                <w:color w:val="231F20"/>
                <w:spacing w:val="-5"/>
                <w:w w:val="95"/>
                <w:sz w:val="14"/>
              </w:rPr>
              <w:t>6.4</w:t>
            </w:r>
          </w:p>
        </w:tc>
        <w:tc>
          <w:tcPr>
            <w:tcW w:w="1005" w:type="dxa"/>
          </w:tcPr>
          <w:p>
            <w:pPr>
              <w:pStyle w:val="TableParagraph"/>
              <w:ind w:right="390"/>
              <w:jc w:val="right"/>
              <w:rPr>
                <w:sz w:val="14"/>
              </w:rPr>
            </w:pPr>
            <w:r>
              <w:rPr>
                <w:color w:val="231F20"/>
                <w:spacing w:val="-4"/>
                <w:w w:val="95"/>
                <w:sz w:val="14"/>
              </w:rPr>
              <w:t>14.5</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Lesotho</w:t>
            </w:r>
          </w:p>
        </w:tc>
        <w:tc>
          <w:tcPr>
            <w:tcW w:w="1103" w:type="dxa"/>
            <w:shd w:val="clear" w:color="auto" w:fill="D4E3F5"/>
          </w:tcPr>
          <w:p>
            <w:pPr>
              <w:pStyle w:val="TableParagraph"/>
              <w:ind w:right="435"/>
              <w:jc w:val="right"/>
              <w:rPr>
                <w:sz w:val="14"/>
              </w:rPr>
            </w:pPr>
            <w:r>
              <w:rPr>
                <w:color w:val="231F20"/>
                <w:spacing w:val="-5"/>
                <w:w w:val="95"/>
                <w:sz w:val="14"/>
              </w:rPr>
              <w:t>183</w:t>
            </w:r>
          </w:p>
        </w:tc>
        <w:tc>
          <w:tcPr>
            <w:tcW w:w="851" w:type="dxa"/>
            <w:shd w:val="clear" w:color="auto" w:fill="D4E3F5"/>
          </w:tcPr>
          <w:p>
            <w:pPr>
              <w:pStyle w:val="TableParagraph"/>
              <w:ind w:left="82" w:right="136"/>
              <w:rPr>
                <w:sz w:val="14"/>
              </w:rPr>
            </w:pPr>
            <w:r>
              <w:rPr>
                <w:color w:val="231F20"/>
                <w:spacing w:val="-5"/>
                <w:w w:val="95"/>
                <w:sz w:val="14"/>
              </w:rPr>
              <w:t>5.9</w:t>
            </w:r>
          </w:p>
        </w:tc>
        <w:tc>
          <w:tcPr>
            <w:tcW w:w="1063" w:type="dxa"/>
            <w:shd w:val="clear" w:color="auto" w:fill="D4E3F5"/>
          </w:tcPr>
          <w:p>
            <w:pPr>
              <w:pStyle w:val="TableParagraph"/>
              <w:ind w:left="58" w:right="53"/>
              <w:rPr>
                <w:sz w:val="14"/>
              </w:rPr>
            </w:pPr>
            <w:r>
              <w:rPr>
                <w:color w:val="231F20"/>
                <w:spacing w:val="-5"/>
                <w:w w:val="95"/>
                <w:sz w:val="14"/>
              </w:rPr>
              <w:t>5.1</w:t>
            </w:r>
          </w:p>
        </w:tc>
        <w:tc>
          <w:tcPr>
            <w:tcW w:w="1080" w:type="dxa"/>
            <w:shd w:val="clear" w:color="auto" w:fill="D4E3F5"/>
          </w:tcPr>
          <w:p>
            <w:pPr>
              <w:pStyle w:val="TableParagraph"/>
              <w:ind w:left="391"/>
              <w:jc w:val="left"/>
              <w:rPr>
                <w:sz w:val="14"/>
              </w:rPr>
            </w:pPr>
            <w:r>
              <w:rPr>
                <w:color w:val="231F20"/>
                <w:spacing w:val="-5"/>
                <w:w w:val="95"/>
                <w:sz w:val="14"/>
              </w:rPr>
              <w:t>3.5</w:t>
            </w:r>
          </w:p>
        </w:tc>
        <w:tc>
          <w:tcPr>
            <w:tcW w:w="755" w:type="dxa"/>
            <w:shd w:val="clear" w:color="auto" w:fill="D4E3F5"/>
          </w:tcPr>
          <w:p>
            <w:pPr>
              <w:pStyle w:val="TableParagraph"/>
              <w:ind w:left="87" w:right="51"/>
              <w:rPr>
                <w:sz w:val="14"/>
              </w:rPr>
            </w:pPr>
            <w:r>
              <w:rPr>
                <w:color w:val="231F20"/>
                <w:spacing w:val="-5"/>
                <w:w w:val="95"/>
                <w:sz w:val="14"/>
              </w:rPr>
              <w:t>6.2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3" w:right="136"/>
              <w:rPr>
                <w:sz w:val="14"/>
              </w:rPr>
            </w:pPr>
            <w:r>
              <w:rPr>
                <w:color w:val="231F20"/>
                <w:spacing w:val="-5"/>
                <w:w w:val="95"/>
                <w:sz w:val="14"/>
              </w:rPr>
              <w:t>5.0</w:t>
            </w:r>
          </w:p>
        </w:tc>
        <w:tc>
          <w:tcPr>
            <w:tcW w:w="1073" w:type="dxa"/>
            <w:shd w:val="clear" w:color="auto" w:fill="D4E3F5"/>
          </w:tcPr>
          <w:p>
            <w:pPr>
              <w:pStyle w:val="TableParagraph"/>
              <w:ind w:left="79" w:right="63"/>
              <w:rPr>
                <w:sz w:val="14"/>
              </w:rPr>
            </w:pPr>
            <w:r>
              <w:rPr>
                <w:color w:val="231F20"/>
                <w:spacing w:val="-5"/>
                <w:w w:val="95"/>
                <w:sz w:val="14"/>
              </w:rPr>
              <w:t>4.9</w:t>
            </w:r>
          </w:p>
        </w:tc>
        <w:tc>
          <w:tcPr>
            <w:tcW w:w="939" w:type="dxa"/>
            <w:shd w:val="clear" w:color="auto" w:fill="D4E3F5"/>
          </w:tcPr>
          <w:p>
            <w:pPr>
              <w:pStyle w:val="TableParagraph"/>
              <w:ind w:left="30" w:right="32"/>
              <w:rPr>
                <w:sz w:val="14"/>
              </w:rPr>
            </w:pPr>
            <w:r>
              <w:rPr>
                <w:color w:val="231F20"/>
                <w:spacing w:val="-5"/>
                <w:w w:val="95"/>
                <w:sz w:val="14"/>
              </w:rPr>
              <w:t>3.4</w:t>
            </w:r>
          </w:p>
        </w:tc>
        <w:tc>
          <w:tcPr>
            <w:tcW w:w="1005" w:type="dxa"/>
            <w:shd w:val="clear" w:color="auto" w:fill="D4E3F5"/>
          </w:tcPr>
          <w:p>
            <w:pPr>
              <w:pStyle w:val="TableParagraph"/>
              <w:ind w:right="390"/>
              <w:jc w:val="right"/>
              <w:rPr>
                <w:sz w:val="14"/>
              </w:rPr>
            </w:pPr>
            <w:r>
              <w:rPr>
                <w:color w:val="231F20"/>
                <w:spacing w:val="-5"/>
                <w:w w:val="95"/>
                <w:sz w:val="14"/>
              </w:rPr>
              <w:t>6.0</w:t>
            </w:r>
          </w:p>
        </w:tc>
      </w:tr>
      <w:tr>
        <w:trPr>
          <w:trHeight w:val="259" w:hRule="atLeast"/>
        </w:trPr>
        <w:tc>
          <w:tcPr>
            <w:tcW w:w="1358" w:type="dxa"/>
          </w:tcPr>
          <w:p>
            <w:pPr>
              <w:pStyle w:val="TableParagraph"/>
              <w:ind w:left="80"/>
              <w:jc w:val="left"/>
              <w:rPr>
                <w:sz w:val="14"/>
              </w:rPr>
            </w:pPr>
            <w:r>
              <w:rPr>
                <w:color w:val="231F20"/>
                <w:spacing w:val="-2"/>
                <w:w w:val="90"/>
                <w:sz w:val="14"/>
              </w:rPr>
              <w:t>Liberia</w:t>
            </w:r>
          </w:p>
        </w:tc>
        <w:tc>
          <w:tcPr>
            <w:tcW w:w="1103" w:type="dxa"/>
          </w:tcPr>
          <w:p>
            <w:pPr>
              <w:pStyle w:val="TableParagraph"/>
              <w:ind w:right="434"/>
              <w:jc w:val="right"/>
              <w:rPr>
                <w:sz w:val="14"/>
              </w:rPr>
            </w:pPr>
            <w:r>
              <w:rPr>
                <w:color w:val="231F20"/>
                <w:spacing w:val="-2"/>
                <w:w w:val="95"/>
                <w:sz w:val="14"/>
              </w:rPr>
              <w:t>4,175</w:t>
            </w:r>
          </w:p>
        </w:tc>
        <w:tc>
          <w:tcPr>
            <w:tcW w:w="851" w:type="dxa"/>
          </w:tcPr>
          <w:p>
            <w:pPr>
              <w:pStyle w:val="TableParagraph"/>
              <w:ind w:left="84" w:right="136"/>
              <w:rPr>
                <w:sz w:val="14"/>
              </w:rPr>
            </w:pPr>
            <w:r>
              <w:rPr>
                <w:color w:val="231F20"/>
                <w:spacing w:val="-5"/>
                <w:w w:val="95"/>
                <w:sz w:val="14"/>
              </w:rPr>
              <w:t>9.2</w:t>
            </w:r>
          </w:p>
        </w:tc>
        <w:tc>
          <w:tcPr>
            <w:tcW w:w="1063" w:type="dxa"/>
          </w:tcPr>
          <w:p>
            <w:pPr>
              <w:pStyle w:val="TableParagraph"/>
              <w:ind w:left="78" w:right="53"/>
              <w:rPr>
                <w:sz w:val="14"/>
              </w:rPr>
            </w:pPr>
            <w:r>
              <w:rPr>
                <w:color w:val="231F20"/>
                <w:spacing w:val="-5"/>
                <w:w w:val="95"/>
                <w:sz w:val="14"/>
              </w:rPr>
              <w:t>6.2</w:t>
            </w:r>
          </w:p>
        </w:tc>
        <w:tc>
          <w:tcPr>
            <w:tcW w:w="1080" w:type="dxa"/>
          </w:tcPr>
          <w:p>
            <w:pPr>
              <w:pStyle w:val="TableParagraph"/>
              <w:ind w:left="391"/>
              <w:jc w:val="left"/>
              <w:rPr>
                <w:sz w:val="14"/>
              </w:rPr>
            </w:pPr>
            <w:r>
              <w:rPr>
                <w:color w:val="231F20"/>
                <w:spacing w:val="-5"/>
                <w:w w:val="95"/>
                <w:sz w:val="14"/>
              </w:rPr>
              <w:t>3.1</w:t>
            </w:r>
          </w:p>
        </w:tc>
        <w:tc>
          <w:tcPr>
            <w:tcW w:w="755" w:type="dxa"/>
          </w:tcPr>
          <w:p>
            <w:pPr>
              <w:pStyle w:val="TableParagraph"/>
              <w:ind w:left="48" w:right="90"/>
              <w:rPr>
                <w:sz w:val="14"/>
              </w:rPr>
            </w:pPr>
            <w:r>
              <w:rPr>
                <w:color w:val="231F20"/>
                <w:spacing w:val="-4"/>
                <w:w w:val="95"/>
                <w:sz w:val="14"/>
              </w:rPr>
              <w:t>12.1</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9.2</w:t>
            </w:r>
          </w:p>
        </w:tc>
        <w:tc>
          <w:tcPr>
            <w:tcW w:w="1073" w:type="dxa"/>
          </w:tcPr>
          <w:p>
            <w:pPr>
              <w:pStyle w:val="TableParagraph"/>
              <w:ind w:left="79" w:right="63"/>
              <w:rPr>
                <w:sz w:val="14"/>
              </w:rPr>
            </w:pPr>
            <w:r>
              <w:rPr>
                <w:color w:val="231F20"/>
                <w:spacing w:val="-5"/>
                <w:w w:val="95"/>
                <w:sz w:val="14"/>
              </w:rPr>
              <w:t>6.2</w:t>
            </w:r>
          </w:p>
        </w:tc>
        <w:tc>
          <w:tcPr>
            <w:tcW w:w="939" w:type="dxa"/>
          </w:tcPr>
          <w:p>
            <w:pPr>
              <w:pStyle w:val="TableParagraph"/>
              <w:ind w:left="13" w:right="32"/>
              <w:rPr>
                <w:sz w:val="14"/>
              </w:rPr>
            </w:pPr>
            <w:r>
              <w:rPr>
                <w:color w:val="231F20"/>
                <w:spacing w:val="-5"/>
                <w:w w:val="95"/>
                <w:sz w:val="14"/>
              </w:rPr>
              <w:t>3.1</w:t>
            </w:r>
          </w:p>
        </w:tc>
        <w:tc>
          <w:tcPr>
            <w:tcW w:w="1005" w:type="dxa"/>
          </w:tcPr>
          <w:p>
            <w:pPr>
              <w:pStyle w:val="TableParagraph"/>
              <w:ind w:right="408"/>
              <w:jc w:val="right"/>
              <w:rPr>
                <w:sz w:val="14"/>
              </w:rPr>
            </w:pPr>
            <w:r>
              <w:rPr>
                <w:color w:val="231F20"/>
                <w:spacing w:val="-4"/>
                <w:w w:val="95"/>
                <w:sz w:val="14"/>
              </w:rPr>
              <w:t>12.1</w:t>
            </w:r>
          </w:p>
        </w:tc>
      </w:tr>
      <w:tr>
        <w:trPr>
          <w:trHeight w:val="254" w:hRule="atLeast"/>
        </w:trPr>
        <w:tc>
          <w:tcPr>
            <w:tcW w:w="1358" w:type="dxa"/>
            <w:tcBorders>
              <w:bottom w:val="single" w:sz="4" w:space="0" w:color="008FDD"/>
            </w:tcBorders>
            <w:shd w:val="clear" w:color="auto" w:fill="D4E3F5"/>
          </w:tcPr>
          <w:p>
            <w:pPr>
              <w:pStyle w:val="TableParagraph"/>
              <w:ind w:left="80"/>
              <w:jc w:val="left"/>
              <w:rPr>
                <w:sz w:val="14"/>
              </w:rPr>
            </w:pPr>
            <w:r>
              <w:rPr>
                <w:color w:val="231F20"/>
                <w:spacing w:val="-2"/>
                <w:w w:val="90"/>
                <w:sz w:val="14"/>
              </w:rPr>
              <w:t>Libya</w:t>
            </w:r>
          </w:p>
        </w:tc>
        <w:tc>
          <w:tcPr>
            <w:tcW w:w="1103" w:type="dxa"/>
            <w:tcBorders>
              <w:bottom w:val="single" w:sz="4" w:space="0" w:color="008FDD"/>
            </w:tcBorders>
            <w:shd w:val="clear" w:color="auto" w:fill="D4E3F5"/>
          </w:tcPr>
          <w:p>
            <w:pPr>
              <w:pStyle w:val="TableParagraph"/>
              <w:ind w:right="434"/>
              <w:jc w:val="right"/>
              <w:rPr>
                <w:sz w:val="14"/>
              </w:rPr>
            </w:pPr>
            <w:r>
              <w:rPr>
                <w:color w:val="231F20"/>
                <w:spacing w:val="-2"/>
                <w:w w:val="95"/>
                <w:sz w:val="14"/>
              </w:rPr>
              <w:t>3,109</w:t>
            </w:r>
          </w:p>
        </w:tc>
        <w:tc>
          <w:tcPr>
            <w:tcW w:w="851" w:type="dxa"/>
            <w:tcBorders>
              <w:bottom w:val="single" w:sz="4" w:space="0" w:color="008FDD"/>
            </w:tcBorders>
            <w:shd w:val="clear" w:color="auto" w:fill="D4E3F5"/>
          </w:tcPr>
          <w:p>
            <w:pPr>
              <w:pStyle w:val="TableParagraph"/>
              <w:ind w:left="19" w:right="136"/>
              <w:rPr>
                <w:sz w:val="14"/>
              </w:rPr>
            </w:pPr>
            <w:r>
              <w:rPr>
                <w:color w:val="231F20"/>
                <w:spacing w:val="-4"/>
                <w:w w:val="95"/>
                <w:sz w:val="14"/>
              </w:rPr>
              <w:t>13.8</w:t>
            </w:r>
          </w:p>
        </w:tc>
        <w:tc>
          <w:tcPr>
            <w:tcW w:w="1063" w:type="dxa"/>
            <w:tcBorders>
              <w:bottom w:val="single" w:sz="4" w:space="0" w:color="008FDD"/>
            </w:tcBorders>
            <w:shd w:val="clear" w:color="auto" w:fill="D4E3F5"/>
          </w:tcPr>
          <w:p>
            <w:pPr>
              <w:pStyle w:val="TableParagraph"/>
              <w:ind w:left="38" w:right="73"/>
              <w:rPr>
                <w:sz w:val="14"/>
              </w:rPr>
            </w:pPr>
            <w:r>
              <w:rPr>
                <w:color w:val="231F20"/>
                <w:spacing w:val="-4"/>
                <w:w w:val="95"/>
                <w:sz w:val="14"/>
              </w:rPr>
              <w:t>10.2</w:t>
            </w:r>
          </w:p>
        </w:tc>
        <w:tc>
          <w:tcPr>
            <w:tcW w:w="1080" w:type="dxa"/>
            <w:tcBorders>
              <w:bottom w:val="single" w:sz="4" w:space="0" w:color="008FDD"/>
            </w:tcBorders>
            <w:shd w:val="clear" w:color="auto" w:fill="D4E3F5"/>
          </w:tcPr>
          <w:p>
            <w:pPr>
              <w:pStyle w:val="TableParagraph"/>
              <w:ind w:left="405"/>
              <w:jc w:val="left"/>
              <w:rPr>
                <w:sz w:val="14"/>
              </w:rPr>
            </w:pPr>
            <w:r>
              <w:rPr>
                <w:color w:val="231F20"/>
                <w:spacing w:val="-5"/>
                <w:w w:val="95"/>
                <w:sz w:val="14"/>
              </w:rPr>
              <w:t>7.3</w:t>
            </w:r>
          </w:p>
        </w:tc>
        <w:tc>
          <w:tcPr>
            <w:tcW w:w="755" w:type="dxa"/>
            <w:tcBorders>
              <w:bottom w:val="single" w:sz="4" w:space="0" w:color="008FDD"/>
            </w:tcBorders>
            <w:shd w:val="clear" w:color="auto" w:fill="D4E3F5"/>
          </w:tcPr>
          <w:p>
            <w:pPr>
              <w:pStyle w:val="TableParagraph"/>
              <w:ind w:left="48" w:right="73"/>
              <w:rPr>
                <w:sz w:val="14"/>
              </w:rPr>
            </w:pPr>
            <w:r>
              <w:rPr>
                <w:color w:val="231F20"/>
                <w:spacing w:val="-4"/>
                <w:w w:val="95"/>
                <w:sz w:val="14"/>
              </w:rPr>
              <w:t>15.8</w:t>
            </w:r>
          </w:p>
        </w:tc>
        <w:tc>
          <w:tcPr>
            <w:tcW w:w="240" w:type="dxa"/>
            <w:tcBorders>
              <w:bottom w:val="single" w:sz="4" w:space="0" w:color="008FDD"/>
            </w:tcBorders>
            <w:shd w:val="clear" w:color="auto" w:fill="D4E3F5"/>
          </w:tcPr>
          <w:p>
            <w:pPr>
              <w:pStyle w:val="TableParagraph"/>
              <w:spacing w:before="0"/>
              <w:jc w:val="left"/>
              <w:rPr>
                <w:rFonts w:ascii="Times New Roman"/>
                <w:sz w:val="12"/>
              </w:rPr>
            </w:pPr>
          </w:p>
        </w:tc>
        <w:tc>
          <w:tcPr>
            <w:tcW w:w="851" w:type="dxa"/>
            <w:tcBorders>
              <w:bottom w:val="single" w:sz="4" w:space="0" w:color="008FDD"/>
            </w:tcBorders>
            <w:shd w:val="clear" w:color="auto" w:fill="D4E3F5"/>
          </w:tcPr>
          <w:p>
            <w:pPr>
              <w:pStyle w:val="TableParagraph"/>
              <w:ind w:left="249"/>
              <w:jc w:val="left"/>
              <w:rPr>
                <w:sz w:val="14"/>
              </w:rPr>
            </w:pPr>
            <w:r>
              <w:rPr>
                <w:color w:val="231F20"/>
                <w:spacing w:val="-4"/>
                <w:w w:val="95"/>
                <w:sz w:val="14"/>
              </w:rPr>
              <w:t>13.8</w:t>
            </w:r>
          </w:p>
        </w:tc>
        <w:tc>
          <w:tcPr>
            <w:tcW w:w="1073" w:type="dxa"/>
            <w:tcBorders>
              <w:bottom w:val="single" w:sz="4" w:space="0" w:color="008FDD"/>
            </w:tcBorders>
            <w:shd w:val="clear" w:color="auto" w:fill="D4E3F5"/>
          </w:tcPr>
          <w:p>
            <w:pPr>
              <w:pStyle w:val="TableParagraph"/>
              <w:ind w:left="30" w:right="74"/>
              <w:rPr>
                <w:sz w:val="14"/>
              </w:rPr>
            </w:pPr>
            <w:r>
              <w:rPr>
                <w:color w:val="231F20"/>
                <w:spacing w:val="-4"/>
                <w:w w:val="95"/>
                <w:sz w:val="14"/>
              </w:rPr>
              <w:t>10.2</w:t>
            </w:r>
          </w:p>
        </w:tc>
        <w:tc>
          <w:tcPr>
            <w:tcW w:w="939" w:type="dxa"/>
            <w:tcBorders>
              <w:bottom w:val="single" w:sz="4" w:space="0" w:color="008FDD"/>
            </w:tcBorders>
            <w:shd w:val="clear" w:color="auto" w:fill="D4E3F5"/>
          </w:tcPr>
          <w:p>
            <w:pPr>
              <w:pStyle w:val="TableParagraph"/>
              <w:ind w:left="42" w:right="32"/>
              <w:rPr>
                <w:sz w:val="14"/>
              </w:rPr>
            </w:pPr>
            <w:r>
              <w:rPr>
                <w:color w:val="231F20"/>
                <w:spacing w:val="-5"/>
                <w:w w:val="95"/>
                <w:sz w:val="14"/>
              </w:rPr>
              <w:t>7.3</w:t>
            </w:r>
          </w:p>
        </w:tc>
        <w:tc>
          <w:tcPr>
            <w:tcW w:w="1005" w:type="dxa"/>
            <w:tcBorders>
              <w:bottom w:val="single" w:sz="4" w:space="0" w:color="008FDD"/>
            </w:tcBorders>
            <w:shd w:val="clear" w:color="auto" w:fill="D4E3F5"/>
          </w:tcPr>
          <w:p>
            <w:pPr>
              <w:pStyle w:val="TableParagraph"/>
              <w:ind w:right="390"/>
              <w:jc w:val="right"/>
              <w:rPr>
                <w:sz w:val="14"/>
              </w:rPr>
            </w:pPr>
            <w:r>
              <w:rPr>
                <w:color w:val="231F20"/>
                <w:spacing w:val="-4"/>
                <w:w w:val="95"/>
                <w:sz w:val="14"/>
              </w:rPr>
              <w:t>15.8</w:t>
            </w:r>
          </w:p>
        </w:tc>
      </w:tr>
    </w:tbl>
    <w:p>
      <w:pPr>
        <w:spacing w:after="0"/>
        <w:jc w:val="right"/>
        <w:rPr>
          <w:sz w:val="14"/>
        </w:rPr>
        <w:sectPr>
          <w:pgSz w:w="12240" w:h="15840"/>
          <w:pgMar w:header="370" w:footer="548" w:top="560" w:bottom="740" w:left="0" w:right="540"/>
        </w:sectPr>
      </w:pPr>
    </w:p>
    <w:p>
      <w:pPr>
        <w:pStyle w:val="BodyText"/>
        <w:rPr>
          <w:rFonts w:ascii="Arial"/>
          <w:sz w:val="20"/>
        </w:rPr>
      </w:pPr>
    </w:p>
    <w:p>
      <w:pPr>
        <w:pStyle w:val="BodyText"/>
        <w:rPr>
          <w:rFonts w:ascii="Arial"/>
          <w:sz w:val="20"/>
        </w:rPr>
      </w:pPr>
    </w:p>
    <w:p>
      <w:pPr>
        <w:pStyle w:val="BodyText"/>
        <w:spacing w:before="101" w:after="1"/>
        <w:rPr>
          <w:rFonts w:ascii="Arial"/>
          <w:sz w:val="20"/>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6"/>
        <w:gridCol w:w="1206"/>
        <w:gridCol w:w="852"/>
        <w:gridCol w:w="1061"/>
        <w:gridCol w:w="1084"/>
        <w:gridCol w:w="755"/>
        <w:gridCol w:w="240"/>
        <w:gridCol w:w="851"/>
        <w:gridCol w:w="1063"/>
        <w:gridCol w:w="945"/>
        <w:gridCol w:w="1008"/>
      </w:tblGrid>
      <w:tr>
        <w:trPr>
          <w:trHeight w:val="213" w:hRule="atLeast"/>
        </w:trPr>
        <w:tc>
          <w:tcPr>
            <w:tcW w:w="1256" w:type="dxa"/>
          </w:tcPr>
          <w:p>
            <w:pPr>
              <w:pStyle w:val="TableParagraph"/>
              <w:spacing w:before="0"/>
              <w:jc w:val="left"/>
              <w:rPr>
                <w:rFonts w:ascii="Times New Roman"/>
                <w:sz w:val="12"/>
              </w:rPr>
            </w:pPr>
          </w:p>
        </w:tc>
        <w:tc>
          <w:tcPr>
            <w:tcW w:w="1206" w:type="dxa"/>
            <w:vMerge w:val="restart"/>
            <w:tcBorders>
              <w:bottom w:val="single" w:sz="4" w:space="0" w:color="008FDD"/>
            </w:tcBorders>
          </w:tcPr>
          <w:p>
            <w:pPr>
              <w:pStyle w:val="TableParagraph"/>
              <w:spacing w:before="103"/>
              <w:ind w:left="213" w:firstLine="74"/>
              <w:jc w:val="left"/>
              <w:rPr>
                <w:b/>
                <w:sz w:val="14"/>
              </w:rPr>
            </w:pPr>
            <w:r>
              <w:rPr>
                <w:b/>
                <w:color w:val="231F20"/>
                <w:w w:val="90"/>
                <w:sz w:val="14"/>
              </w:rPr>
              <w:t>Number</w:t>
            </w:r>
            <w:r>
              <w:rPr>
                <w:b/>
                <w:color w:val="231F20"/>
                <w:spacing w:val="-6"/>
                <w:w w:val="90"/>
                <w:sz w:val="14"/>
              </w:rPr>
              <w:t> </w:t>
            </w:r>
            <w:r>
              <w:rPr>
                <w:b/>
                <w:color w:val="231F20"/>
                <w:w w:val="90"/>
                <w:sz w:val="14"/>
              </w:rPr>
              <w:t>of</w:t>
            </w:r>
            <w:r>
              <w:rPr>
                <w:b/>
                <w:color w:val="231F20"/>
                <w:spacing w:val="40"/>
                <w:sz w:val="14"/>
              </w:rPr>
              <w:t> </w:t>
            </w:r>
            <w:r>
              <w:rPr>
                <w:b/>
                <w:color w:val="231F20"/>
                <w:spacing w:val="-2"/>
                <w:w w:val="80"/>
                <w:sz w:val="14"/>
              </w:rPr>
              <w:t>observations</w:t>
            </w:r>
          </w:p>
        </w:tc>
        <w:tc>
          <w:tcPr>
            <w:tcW w:w="852" w:type="dxa"/>
            <w:tcBorders>
              <w:bottom w:val="single" w:sz="4" w:space="0" w:color="008FDD"/>
            </w:tcBorders>
          </w:tcPr>
          <w:p>
            <w:pPr>
              <w:pStyle w:val="TableParagraph"/>
              <w:spacing w:before="0"/>
              <w:jc w:val="left"/>
              <w:rPr>
                <w:rFonts w:ascii="Times New Roman"/>
                <w:sz w:val="12"/>
              </w:rPr>
            </w:pPr>
          </w:p>
        </w:tc>
        <w:tc>
          <w:tcPr>
            <w:tcW w:w="2145" w:type="dxa"/>
            <w:gridSpan w:val="2"/>
            <w:tcBorders>
              <w:bottom w:val="single" w:sz="4" w:space="0" w:color="008FDD"/>
            </w:tcBorders>
          </w:tcPr>
          <w:p>
            <w:pPr>
              <w:pStyle w:val="TableParagraph"/>
              <w:spacing w:before="3"/>
              <w:ind w:left="139"/>
              <w:jc w:val="left"/>
              <w:rPr>
                <w:b/>
                <w:sz w:val="14"/>
              </w:rPr>
            </w:pPr>
            <w:r>
              <w:rPr>
                <w:b/>
                <w:color w:val="231F20"/>
                <w:w w:val="80"/>
                <w:sz w:val="14"/>
              </w:rPr>
              <w:t>Consolidated</w:t>
            </w:r>
            <w:r>
              <w:rPr>
                <w:b/>
                <w:color w:val="231F20"/>
                <w:spacing w:val="20"/>
                <w:sz w:val="14"/>
              </w:rPr>
              <w:t> </w:t>
            </w:r>
            <w:r>
              <w:rPr>
                <w:b/>
                <w:color w:val="231F20"/>
                <w:w w:val="80"/>
                <w:sz w:val="14"/>
              </w:rPr>
              <w:t>dwell</w:t>
            </w:r>
            <w:r>
              <w:rPr>
                <w:b/>
                <w:color w:val="231F20"/>
                <w:spacing w:val="21"/>
                <w:sz w:val="14"/>
              </w:rPr>
              <w:t> </w:t>
            </w:r>
            <w:r>
              <w:rPr>
                <w:b/>
                <w:color w:val="231F20"/>
                <w:w w:val="80"/>
                <w:sz w:val="14"/>
              </w:rPr>
              <w:t>time</w:t>
            </w:r>
            <w:r>
              <w:rPr>
                <w:b/>
                <w:color w:val="231F20"/>
                <w:spacing w:val="20"/>
                <w:sz w:val="14"/>
              </w:rPr>
              <w:t> </w:t>
            </w:r>
            <w:r>
              <w:rPr>
                <w:b/>
                <w:color w:val="231F20"/>
                <w:spacing w:val="-2"/>
                <w:w w:val="80"/>
                <w:sz w:val="14"/>
              </w:rPr>
              <w:t>(days)</w:t>
            </w:r>
          </w:p>
        </w:tc>
        <w:tc>
          <w:tcPr>
            <w:tcW w:w="755" w:type="dxa"/>
            <w:tcBorders>
              <w:bottom w:val="single" w:sz="4" w:space="0" w:color="008FDD"/>
            </w:tcBorders>
          </w:tcPr>
          <w:p>
            <w:pPr>
              <w:pStyle w:val="TableParagraph"/>
              <w:spacing w:before="0"/>
              <w:jc w:val="left"/>
              <w:rPr>
                <w:rFonts w:ascii="Times New Roman"/>
                <w:sz w:val="12"/>
              </w:rPr>
            </w:pPr>
          </w:p>
        </w:tc>
        <w:tc>
          <w:tcPr>
            <w:tcW w:w="240" w:type="dxa"/>
          </w:tcPr>
          <w:p>
            <w:pPr>
              <w:pStyle w:val="TableParagraph"/>
              <w:spacing w:before="0"/>
              <w:jc w:val="left"/>
              <w:rPr>
                <w:rFonts w:ascii="Times New Roman"/>
                <w:sz w:val="12"/>
              </w:rPr>
            </w:pPr>
          </w:p>
        </w:tc>
        <w:tc>
          <w:tcPr>
            <w:tcW w:w="851" w:type="dxa"/>
            <w:tcBorders>
              <w:bottom w:val="single" w:sz="4" w:space="0" w:color="008FDD"/>
            </w:tcBorders>
          </w:tcPr>
          <w:p>
            <w:pPr>
              <w:pStyle w:val="TableParagraph"/>
              <w:spacing w:before="0"/>
              <w:jc w:val="left"/>
              <w:rPr>
                <w:rFonts w:ascii="Times New Roman"/>
                <w:sz w:val="12"/>
              </w:rPr>
            </w:pPr>
          </w:p>
        </w:tc>
        <w:tc>
          <w:tcPr>
            <w:tcW w:w="2008" w:type="dxa"/>
            <w:gridSpan w:val="2"/>
            <w:tcBorders>
              <w:bottom w:val="single" w:sz="4" w:space="0" w:color="008FDD"/>
            </w:tcBorders>
          </w:tcPr>
          <w:p>
            <w:pPr>
              <w:pStyle w:val="TableParagraph"/>
              <w:spacing w:before="3"/>
              <w:ind w:left="394"/>
              <w:jc w:val="left"/>
              <w:rPr>
                <w:b/>
                <w:sz w:val="14"/>
              </w:rPr>
            </w:pPr>
            <w:r>
              <w:rPr>
                <w:b/>
                <w:color w:val="231F20"/>
                <w:w w:val="85"/>
                <w:sz w:val="14"/>
              </w:rPr>
              <w:t>Port</w:t>
            </w:r>
            <w:r>
              <w:rPr>
                <w:b/>
                <w:color w:val="231F20"/>
                <w:spacing w:val="-2"/>
                <w:sz w:val="14"/>
              </w:rPr>
              <w:t> </w:t>
            </w:r>
            <w:r>
              <w:rPr>
                <w:b/>
                <w:color w:val="231F20"/>
                <w:w w:val="85"/>
                <w:sz w:val="14"/>
              </w:rPr>
              <w:t>dwell</w:t>
            </w:r>
            <w:r>
              <w:rPr>
                <w:b/>
                <w:color w:val="231F20"/>
                <w:spacing w:val="-2"/>
                <w:sz w:val="14"/>
              </w:rPr>
              <w:t> </w:t>
            </w:r>
            <w:r>
              <w:rPr>
                <w:b/>
                <w:color w:val="231F20"/>
                <w:w w:val="85"/>
                <w:sz w:val="14"/>
              </w:rPr>
              <w:t>time</w:t>
            </w:r>
            <w:r>
              <w:rPr>
                <w:b/>
                <w:color w:val="231F20"/>
                <w:spacing w:val="-2"/>
                <w:sz w:val="14"/>
              </w:rPr>
              <w:t> </w:t>
            </w:r>
            <w:r>
              <w:rPr>
                <w:b/>
                <w:color w:val="231F20"/>
                <w:spacing w:val="-2"/>
                <w:w w:val="85"/>
                <w:sz w:val="14"/>
              </w:rPr>
              <w:t>(days)</w:t>
            </w:r>
          </w:p>
        </w:tc>
        <w:tc>
          <w:tcPr>
            <w:tcW w:w="1008" w:type="dxa"/>
            <w:tcBorders>
              <w:bottom w:val="single" w:sz="4" w:space="0" w:color="008FDD"/>
            </w:tcBorders>
          </w:tcPr>
          <w:p>
            <w:pPr>
              <w:pStyle w:val="TableParagraph"/>
              <w:spacing w:before="0"/>
              <w:jc w:val="left"/>
              <w:rPr>
                <w:rFonts w:ascii="Times New Roman"/>
                <w:sz w:val="12"/>
              </w:rPr>
            </w:pPr>
          </w:p>
        </w:tc>
      </w:tr>
      <w:tr>
        <w:trPr>
          <w:trHeight w:val="246" w:hRule="atLeast"/>
        </w:trPr>
        <w:tc>
          <w:tcPr>
            <w:tcW w:w="1256" w:type="dxa"/>
            <w:tcBorders>
              <w:bottom w:val="single" w:sz="4" w:space="0" w:color="008FDD"/>
            </w:tcBorders>
          </w:tcPr>
          <w:p>
            <w:pPr>
              <w:pStyle w:val="TableParagraph"/>
              <w:spacing w:before="40"/>
              <w:ind w:left="80"/>
              <w:jc w:val="left"/>
              <w:rPr>
                <w:b/>
                <w:sz w:val="14"/>
              </w:rPr>
            </w:pPr>
            <w:r>
              <w:rPr>
                <w:b/>
                <w:color w:val="231F20"/>
                <w:spacing w:val="-2"/>
                <w:w w:val="90"/>
                <w:sz w:val="14"/>
              </w:rPr>
              <w:t>Economy</w:t>
            </w:r>
          </w:p>
        </w:tc>
        <w:tc>
          <w:tcPr>
            <w:tcW w:w="1206" w:type="dxa"/>
            <w:vMerge/>
            <w:tcBorders>
              <w:top w:val="nil"/>
              <w:bottom w:val="single" w:sz="4" w:space="0" w:color="008FDD"/>
            </w:tcBorders>
          </w:tcPr>
          <w:p>
            <w:pPr>
              <w:rPr>
                <w:sz w:val="2"/>
                <w:szCs w:val="2"/>
              </w:rPr>
            </w:pPr>
          </w:p>
        </w:tc>
        <w:tc>
          <w:tcPr>
            <w:tcW w:w="852" w:type="dxa"/>
            <w:tcBorders>
              <w:top w:val="single" w:sz="4" w:space="0" w:color="008FDD"/>
              <w:bottom w:val="single" w:sz="4" w:space="0" w:color="008FDD"/>
            </w:tcBorders>
          </w:tcPr>
          <w:p>
            <w:pPr>
              <w:pStyle w:val="TableParagraph"/>
              <w:spacing w:before="40"/>
              <w:ind w:left="54" w:right="145"/>
              <w:rPr>
                <w:b/>
                <w:sz w:val="14"/>
              </w:rPr>
            </w:pPr>
            <w:r>
              <w:rPr>
                <w:b/>
                <w:color w:val="231F20"/>
                <w:spacing w:val="-4"/>
                <w:w w:val="95"/>
                <w:sz w:val="14"/>
              </w:rPr>
              <w:t>Mean</w:t>
            </w:r>
          </w:p>
        </w:tc>
        <w:tc>
          <w:tcPr>
            <w:tcW w:w="1061" w:type="dxa"/>
            <w:tcBorders>
              <w:top w:val="single" w:sz="4" w:space="0" w:color="008FDD"/>
              <w:bottom w:val="single" w:sz="4" w:space="0" w:color="008FDD"/>
            </w:tcBorders>
          </w:tcPr>
          <w:p>
            <w:pPr>
              <w:pStyle w:val="TableParagraph"/>
              <w:spacing w:before="40"/>
              <w:ind w:left="51" w:right="63"/>
              <w:rPr>
                <w:b/>
                <w:sz w:val="14"/>
              </w:rPr>
            </w:pPr>
            <w:r>
              <w:rPr>
                <w:b/>
                <w:color w:val="231F20"/>
                <w:spacing w:val="-2"/>
                <w:w w:val="95"/>
                <w:sz w:val="14"/>
              </w:rPr>
              <w:t>Median</w:t>
            </w:r>
          </w:p>
        </w:tc>
        <w:tc>
          <w:tcPr>
            <w:tcW w:w="1084" w:type="dxa"/>
            <w:tcBorders>
              <w:top w:val="single" w:sz="4" w:space="0" w:color="008FDD"/>
              <w:bottom w:val="single" w:sz="4" w:space="0" w:color="008FDD"/>
            </w:tcBorders>
          </w:tcPr>
          <w:p>
            <w:pPr>
              <w:pStyle w:val="TableParagraph"/>
              <w:spacing w:before="40"/>
              <w:ind w:left="348"/>
              <w:jc w:val="left"/>
              <w:rPr>
                <w:b/>
                <w:sz w:val="14"/>
              </w:rPr>
            </w:pPr>
            <w:r>
              <w:rPr>
                <w:b/>
                <w:color w:val="231F20"/>
                <w:spacing w:val="-5"/>
                <w:w w:val="90"/>
                <w:sz w:val="14"/>
              </w:rPr>
              <w:t>Q25</w:t>
            </w:r>
          </w:p>
        </w:tc>
        <w:tc>
          <w:tcPr>
            <w:tcW w:w="755" w:type="dxa"/>
            <w:tcBorders>
              <w:top w:val="single" w:sz="4" w:space="0" w:color="008FDD"/>
              <w:bottom w:val="single" w:sz="4" w:space="0" w:color="008FDD"/>
            </w:tcBorders>
          </w:tcPr>
          <w:p>
            <w:pPr>
              <w:pStyle w:val="TableParagraph"/>
              <w:spacing w:before="40"/>
              <w:ind w:left="48" w:right="55"/>
              <w:rPr>
                <w:b/>
                <w:sz w:val="14"/>
              </w:rPr>
            </w:pPr>
            <w:r>
              <w:rPr>
                <w:b/>
                <w:color w:val="231F20"/>
                <w:spacing w:val="-5"/>
                <w:w w:val="90"/>
                <w:sz w:val="14"/>
              </w:rPr>
              <w:t>Q75</w:t>
            </w:r>
          </w:p>
        </w:tc>
        <w:tc>
          <w:tcPr>
            <w:tcW w:w="240" w:type="dxa"/>
            <w:tcBorders>
              <w:bottom w:val="single" w:sz="4" w:space="0" w:color="008FDD"/>
            </w:tcBorders>
          </w:tcPr>
          <w:p>
            <w:pPr>
              <w:pStyle w:val="TableParagraph"/>
              <w:spacing w:before="0"/>
              <w:jc w:val="left"/>
              <w:rPr>
                <w:rFonts w:ascii="Times New Roman"/>
                <w:sz w:val="12"/>
              </w:rPr>
            </w:pPr>
          </w:p>
        </w:tc>
        <w:tc>
          <w:tcPr>
            <w:tcW w:w="851" w:type="dxa"/>
            <w:tcBorders>
              <w:top w:val="single" w:sz="4" w:space="0" w:color="008FDD"/>
              <w:bottom w:val="single" w:sz="4" w:space="0" w:color="008FDD"/>
            </w:tcBorders>
          </w:tcPr>
          <w:p>
            <w:pPr>
              <w:pStyle w:val="TableParagraph"/>
              <w:spacing w:before="40"/>
              <w:ind w:left="218"/>
              <w:jc w:val="left"/>
              <w:rPr>
                <w:b/>
                <w:sz w:val="14"/>
              </w:rPr>
            </w:pPr>
            <w:r>
              <w:rPr>
                <w:b/>
                <w:color w:val="231F20"/>
                <w:spacing w:val="-4"/>
                <w:w w:val="95"/>
                <w:sz w:val="14"/>
              </w:rPr>
              <w:t>Mean</w:t>
            </w:r>
          </w:p>
        </w:tc>
        <w:tc>
          <w:tcPr>
            <w:tcW w:w="1063" w:type="dxa"/>
            <w:tcBorders>
              <w:top w:val="single" w:sz="4" w:space="0" w:color="008FDD"/>
              <w:bottom w:val="single" w:sz="4" w:space="0" w:color="008FDD"/>
            </w:tcBorders>
          </w:tcPr>
          <w:p>
            <w:pPr>
              <w:pStyle w:val="TableParagraph"/>
              <w:spacing w:before="40"/>
              <w:ind w:left="38" w:right="55"/>
              <w:rPr>
                <w:b/>
                <w:sz w:val="14"/>
              </w:rPr>
            </w:pPr>
            <w:r>
              <w:rPr>
                <w:b/>
                <w:color w:val="231F20"/>
                <w:spacing w:val="-2"/>
                <w:w w:val="95"/>
                <w:sz w:val="14"/>
              </w:rPr>
              <w:t>Median</w:t>
            </w:r>
          </w:p>
        </w:tc>
        <w:tc>
          <w:tcPr>
            <w:tcW w:w="945" w:type="dxa"/>
            <w:tcBorders>
              <w:top w:val="single" w:sz="4" w:space="0" w:color="008FDD"/>
              <w:bottom w:val="single" w:sz="4" w:space="0" w:color="008FDD"/>
            </w:tcBorders>
          </w:tcPr>
          <w:p>
            <w:pPr>
              <w:pStyle w:val="TableParagraph"/>
              <w:spacing w:before="40"/>
              <w:ind w:left="32" w:right="58"/>
              <w:rPr>
                <w:b/>
                <w:sz w:val="14"/>
              </w:rPr>
            </w:pPr>
            <w:r>
              <w:rPr>
                <w:b/>
                <w:color w:val="231F20"/>
                <w:spacing w:val="-5"/>
                <w:w w:val="90"/>
                <w:sz w:val="14"/>
              </w:rPr>
              <w:t>Q25</w:t>
            </w:r>
          </w:p>
        </w:tc>
        <w:tc>
          <w:tcPr>
            <w:tcW w:w="1008" w:type="dxa"/>
            <w:tcBorders>
              <w:top w:val="single" w:sz="4" w:space="0" w:color="008FDD"/>
              <w:bottom w:val="single" w:sz="4" w:space="0" w:color="008FDD"/>
            </w:tcBorders>
          </w:tcPr>
          <w:p>
            <w:pPr>
              <w:pStyle w:val="TableParagraph"/>
              <w:spacing w:before="40"/>
              <w:ind w:right="388"/>
              <w:jc w:val="right"/>
              <w:rPr>
                <w:b/>
                <w:sz w:val="14"/>
              </w:rPr>
            </w:pPr>
            <w:r>
              <w:rPr>
                <w:b/>
                <w:color w:val="231F20"/>
                <w:spacing w:val="-5"/>
                <w:w w:val="90"/>
                <w:sz w:val="14"/>
              </w:rPr>
              <w:t>Q75</w:t>
            </w:r>
          </w:p>
        </w:tc>
      </w:tr>
      <w:tr>
        <w:trPr>
          <w:trHeight w:val="254" w:hRule="atLeast"/>
        </w:trPr>
        <w:tc>
          <w:tcPr>
            <w:tcW w:w="1256" w:type="dxa"/>
            <w:tcBorders>
              <w:top w:val="single" w:sz="4" w:space="0" w:color="008FDD"/>
            </w:tcBorders>
          </w:tcPr>
          <w:p>
            <w:pPr>
              <w:pStyle w:val="TableParagraph"/>
              <w:spacing w:before="43"/>
              <w:ind w:left="79"/>
              <w:jc w:val="left"/>
              <w:rPr>
                <w:sz w:val="14"/>
              </w:rPr>
            </w:pPr>
            <w:r>
              <w:rPr>
                <w:color w:val="231F20"/>
                <w:spacing w:val="-2"/>
                <w:w w:val="90"/>
                <w:sz w:val="14"/>
              </w:rPr>
              <w:t>Lithuania</w:t>
            </w:r>
          </w:p>
        </w:tc>
        <w:tc>
          <w:tcPr>
            <w:tcW w:w="1206" w:type="dxa"/>
            <w:tcBorders>
              <w:top w:val="single" w:sz="4" w:space="0" w:color="008FDD"/>
            </w:tcBorders>
          </w:tcPr>
          <w:p>
            <w:pPr>
              <w:pStyle w:val="TableParagraph"/>
              <w:spacing w:before="43"/>
              <w:ind w:right="436"/>
              <w:jc w:val="right"/>
              <w:rPr>
                <w:sz w:val="14"/>
              </w:rPr>
            </w:pPr>
            <w:r>
              <w:rPr>
                <w:color w:val="231F20"/>
                <w:spacing w:val="-2"/>
                <w:w w:val="95"/>
                <w:sz w:val="14"/>
              </w:rPr>
              <w:t>3,059</w:t>
            </w:r>
          </w:p>
        </w:tc>
        <w:tc>
          <w:tcPr>
            <w:tcW w:w="852" w:type="dxa"/>
            <w:tcBorders>
              <w:top w:val="single" w:sz="4" w:space="0" w:color="008FDD"/>
            </w:tcBorders>
          </w:tcPr>
          <w:p>
            <w:pPr>
              <w:pStyle w:val="TableParagraph"/>
              <w:spacing w:before="43"/>
              <w:ind w:left="90" w:right="145"/>
              <w:rPr>
                <w:sz w:val="14"/>
              </w:rPr>
            </w:pPr>
            <w:r>
              <w:rPr>
                <w:color w:val="231F20"/>
                <w:spacing w:val="-5"/>
                <w:w w:val="95"/>
                <w:sz w:val="14"/>
              </w:rPr>
              <w:t>8.5</w:t>
            </w:r>
          </w:p>
        </w:tc>
        <w:tc>
          <w:tcPr>
            <w:tcW w:w="1061" w:type="dxa"/>
            <w:tcBorders>
              <w:top w:val="single" w:sz="4" w:space="0" w:color="008FDD"/>
            </w:tcBorders>
          </w:tcPr>
          <w:p>
            <w:pPr>
              <w:pStyle w:val="TableParagraph"/>
              <w:spacing w:before="43"/>
              <w:ind w:left="83" w:right="63"/>
              <w:rPr>
                <w:sz w:val="14"/>
              </w:rPr>
            </w:pPr>
            <w:r>
              <w:rPr>
                <w:color w:val="231F20"/>
                <w:spacing w:val="-5"/>
                <w:w w:val="95"/>
                <w:sz w:val="14"/>
              </w:rPr>
              <w:t>5.4</w:t>
            </w:r>
          </w:p>
        </w:tc>
        <w:tc>
          <w:tcPr>
            <w:tcW w:w="1084" w:type="dxa"/>
            <w:tcBorders>
              <w:top w:val="single" w:sz="4" w:space="0" w:color="008FDD"/>
            </w:tcBorders>
          </w:tcPr>
          <w:p>
            <w:pPr>
              <w:pStyle w:val="TableParagraph"/>
              <w:spacing w:before="43"/>
              <w:ind w:left="392"/>
              <w:jc w:val="left"/>
              <w:rPr>
                <w:sz w:val="14"/>
              </w:rPr>
            </w:pPr>
            <w:r>
              <w:rPr>
                <w:color w:val="231F20"/>
                <w:spacing w:val="-5"/>
                <w:w w:val="95"/>
                <w:sz w:val="14"/>
              </w:rPr>
              <w:t>2.4</w:t>
            </w:r>
          </w:p>
        </w:tc>
        <w:tc>
          <w:tcPr>
            <w:tcW w:w="755" w:type="dxa"/>
            <w:tcBorders>
              <w:top w:val="single" w:sz="4" w:space="0" w:color="008FDD"/>
            </w:tcBorders>
          </w:tcPr>
          <w:p>
            <w:pPr>
              <w:pStyle w:val="TableParagraph"/>
              <w:spacing w:before="43"/>
              <w:ind w:left="79" w:right="51"/>
              <w:rPr>
                <w:sz w:val="14"/>
              </w:rPr>
            </w:pPr>
            <w:r>
              <w:rPr>
                <w:color w:val="231F20"/>
                <w:spacing w:val="-5"/>
                <w:w w:val="95"/>
                <w:sz w:val="14"/>
              </w:rPr>
              <w:t>9.3</w:t>
            </w:r>
          </w:p>
        </w:tc>
        <w:tc>
          <w:tcPr>
            <w:tcW w:w="240" w:type="dxa"/>
            <w:tcBorders>
              <w:top w:val="single" w:sz="4" w:space="0" w:color="008FDD"/>
            </w:tcBorders>
          </w:tcPr>
          <w:p>
            <w:pPr>
              <w:pStyle w:val="TableParagraph"/>
              <w:spacing w:before="0"/>
              <w:jc w:val="left"/>
              <w:rPr>
                <w:rFonts w:ascii="Times New Roman"/>
                <w:sz w:val="12"/>
              </w:rPr>
            </w:pPr>
          </w:p>
        </w:tc>
        <w:tc>
          <w:tcPr>
            <w:tcW w:w="851" w:type="dxa"/>
            <w:tcBorders>
              <w:top w:val="single" w:sz="4" w:space="0" w:color="008FDD"/>
            </w:tcBorders>
          </w:tcPr>
          <w:p>
            <w:pPr>
              <w:pStyle w:val="TableParagraph"/>
              <w:spacing w:before="43"/>
              <w:ind w:left="72" w:right="136"/>
              <w:rPr>
                <w:sz w:val="14"/>
              </w:rPr>
            </w:pPr>
            <w:r>
              <w:rPr>
                <w:color w:val="231F20"/>
                <w:spacing w:val="-5"/>
                <w:w w:val="95"/>
                <w:sz w:val="14"/>
              </w:rPr>
              <w:t>8.4</w:t>
            </w:r>
          </w:p>
        </w:tc>
        <w:tc>
          <w:tcPr>
            <w:tcW w:w="1063" w:type="dxa"/>
            <w:tcBorders>
              <w:top w:val="single" w:sz="4" w:space="0" w:color="008FDD"/>
            </w:tcBorders>
          </w:tcPr>
          <w:p>
            <w:pPr>
              <w:pStyle w:val="TableParagraph"/>
              <w:spacing w:before="43"/>
              <w:ind w:left="67" w:right="53"/>
              <w:rPr>
                <w:sz w:val="14"/>
              </w:rPr>
            </w:pPr>
            <w:r>
              <w:rPr>
                <w:color w:val="231F20"/>
                <w:spacing w:val="-5"/>
                <w:w w:val="95"/>
                <w:sz w:val="14"/>
              </w:rPr>
              <w:t>5.4</w:t>
            </w:r>
          </w:p>
        </w:tc>
        <w:tc>
          <w:tcPr>
            <w:tcW w:w="945" w:type="dxa"/>
            <w:tcBorders>
              <w:top w:val="single" w:sz="4" w:space="0" w:color="008FDD"/>
            </w:tcBorders>
          </w:tcPr>
          <w:p>
            <w:pPr>
              <w:pStyle w:val="TableParagraph"/>
              <w:spacing w:before="43"/>
              <w:ind w:left="59" w:right="58"/>
              <w:rPr>
                <w:sz w:val="14"/>
              </w:rPr>
            </w:pPr>
            <w:r>
              <w:rPr>
                <w:color w:val="231F20"/>
                <w:spacing w:val="-5"/>
                <w:w w:val="95"/>
                <w:sz w:val="14"/>
              </w:rPr>
              <w:t>2.4</w:t>
            </w:r>
          </w:p>
        </w:tc>
        <w:tc>
          <w:tcPr>
            <w:tcW w:w="1008" w:type="dxa"/>
            <w:tcBorders>
              <w:top w:val="single" w:sz="4" w:space="0" w:color="008FDD"/>
            </w:tcBorders>
          </w:tcPr>
          <w:p>
            <w:pPr>
              <w:pStyle w:val="TableParagraph"/>
              <w:spacing w:before="43"/>
              <w:ind w:right="392"/>
              <w:jc w:val="right"/>
              <w:rPr>
                <w:sz w:val="14"/>
              </w:rPr>
            </w:pPr>
            <w:r>
              <w:rPr>
                <w:color w:val="231F20"/>
                <w:spacing w:val="-5"/>
                <w:w w:val="95"/>
                <w:sz w:val="14"/>
              </w:rPr>
              <w:t>9.2</w:t>
            </w:r>
          </w:p>
        </w:tc>
      </w:tr>
      <w:tr>
        <w:trPr>
          <w:trHeight w:val="259" w:hRule="atLeast"/>
        </w:trPr>
        <w:tc>
          <w:tcPr>
            <w:tcW w:w="1256" w:type="dxa"/>
            <w:shd w:val="clear" w:color="auto" w:fill="D4E3F5"/>
          </w:tcPr>
          <w:p>
            <w:pPr>
              <w:pStyle w:val="TableParagraph"/>
              <w:ind w:left="80"/>
              <w:jc w:val="left"/>
              <w:rPr>
                <w:sz w:val="14"/>
              </w:rPr>
            </w:pPr>
            <w:r>
              <w:rPr>
                <w:color w:val="231F20"/>
                <w:spacing w:val="-2"/>
                <w:w w:val="90"/>
                <w:sz w:val="14"/>
              </w:rPr>
              <w:t>Luxembourg</w:t>
            </w:r>
          </w:p>
        </w:tc>
        <w:tc>
          <w:tcPr>
            <w:tcW w:w="1206" w:type="dxa"/>
            <w:shd w:val="clear" w:color="auto" w:fill="D4E3F5"/>
          </w:tcPr>
          <w:p>
            <w:pPr>
              <w:pStyle w:val="TableParagraph"/>
              <w:ind w:right="437"/>
              <w:jc w:val="right"/>
              <w:rPr>
                <w:sz w:val="14"/>
              </w:rPr>
            </w:pPr>
            <w:r>
              <w:rPr>
                <w:color w:val="231F20"/>
                <w:spacing w:val="-10"/>
                <w:w w:val="95"/>
                <w:sz w:val="14"/>
              </w:rPr>
              <w:t>5</w:t>
            </w:r>
          </w:p>
        </w:tc>
        <w:tc>
          <w:tcPr>
            <w:tcW w:w="852" w:type="dxa"/>
            <w:shd w:val="clear" w:color="auto" w:fill="D4E3F5"/>
          </w:tcPr>
          <w:p>
            <w:pPr>
              <w:pStyle w:val="TableParagraph"/>
              <w:ind w:left="27" w:right="145"/>
              <w:rPr>
                <w:sz w:val="14"/>
              </w:rPr>
            </w:pPr>
            <w:r>
              <w:rPr>
                <w:color w:val="231F20"/>
                <w:spacing w:val="-4"/>
                <w:w w:val="95"/>
                <w:sz w:val="14"/>
              </w:rPr>
              <w:t>15.2</w:t>
            </w:r>
          </w:p>
        </w:tc>
        <w:tc>
          <w:tcPr>
            <w:tcW w:w="1061" w:type="dxa"/>
            <w:shd w:val="clear" w:color="auto" w:fill="D4E3F5"/>
          </w:tcPr>
          <w:p>
            <w:pPr>
              <w:pStyle w:val="TableParagraph"/>
              <w:ind w:left="36" w:right="75"/>
              <w:rPr>
                <w:sz w:val="14"/>
              </w:rPr>
            </w:pPr>
            <w:r>
              <w:rPr>
                <w:color w:val="231F20"/>
                <w:spacing w:val="-4"/>
                <w:w w:val="95"/>
                <w:sz w:val="14"/>
              </w:rPr>
              <w:t>16.5</w:t>
            </w:r>
          </w:p>
        </w:tc>
        <w:tc>
          <w:tcPr>
            <w:tcW w:w="1084" w:type="dxa"/>
            <w:shd w:val="clear" w:color="auto" w:fill="D4E3F5"/>
          </w:tcPr>
          <w:p>
            <w:pPr>
              <w:pStyle w:val="TableParagraph"/>
              <w:ind w:left="330"/>
              <w:jc w:val="left"/>
              <w:rPr>
                <w:sz w:val="14"/>
              </w:rPr>
            </w:pPr>
            <w:r>
              <w:rPr>
                <w:color w:val="231F20"/>
                <w:spacing w:val="-4"/>
                <w:w w:val="95"/>
                <w:sz w:val="14"/>
              </w:rPr>
              <w:t>12.3</w:t>
            </w:r>
          </w:p>
        </w:tc>
        <w:tc>
          <w:tcPr>
            <w:tcW w:w="755" w:type="dxa"/>
            <w:shd w:val="clear" w:color="auto" w:fill="D4E3F5"/>
          </w:tcPr>
          <w:p>
            <w:pPr>
              <w:pStyle w:val="TableParagraph"/>
              <w:ind w:left="48" w:right="67"/>
              <w:rPr>
                <w:sz w:val="14"/>
              </w:rPr>
            </w:pPr>
            <w:r>
              <w:rPr>
                <w:color w:val="231F20"/>
                <w:spacing w:val="-4"/>
                <w:w w:val="95"/>
                <w:sz w:val="14"/>
              </w:rPr>
              <w:t>17.3</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45"/>
              <w:jc w:val="left"/>
              <w:rPr>
                <w:sz w:val="14"/>
              </w:rPr>
            </w:pPr>
            <w:r>
              <w:rPr>
                <w:color w:val="231F20"/>
                <w:spacing w:val="-4"/>
                <w:w w:val="95"/>
                <w:sz w:val="14"/>
              </w:rPr>
              <w:t>15.2</w:t>
            </w:r>
          </w:p>
        </w:tc>
        <w:tc>
          <w:tcPr>
            <w:tcW w:w="1063" w:type="dxa"/>
            <w:shd w:val="clear" w:color="auto" w:fill="D4E3F5"/>
          </w:tcPr>
          <w:p>
            <w:pPr>
              <w:pStyle w:val="TableParagraph"/>
              <w:ind w:left="38" w:right="82"/>
              <w:rPr>
                <w:sz w:val="14"/>
              </w:rPr>
            </w:pPr>
            <w:r>
              <w:rPr>
                <w:color w:val="231F20"/>
                <w:spacing w:val="-4"/>
                <w:w w:val="95"/>
                <w:sz w:val="14"/>
              </w:rPr>
              <w:t>16.5</w:t>
            </w:r>
          </w:p>
        </w:tc>
        <w:tc>
          <w:tcPr>
            <w:tcW w:w="945" w:type="dxa"/>
            <w:shd w:val="clear" w:color="auto" w:fill="D4E3F5"/>
          </w:tcPr>
          <w:p>
            <w:pPr>
              <w:pStyle w:val="TableParagraph"/>
              <w:ind w:left="16" w:right="71"/>
              <w:rPr>
                <w:sz w:val="14"/>
              </w:rPr>
            </w:pPr>
            <w:r>
              <w:rPr>
                <w:color w:val="231F20"/>
                <w:spacing w:val="-4"/>
                <w:w w:val="95"/>
                <w:sz w:val="14"/>
              </w:rPr>
              <w:t>12.3</w:t>
            </w:r>
          </w:p>
        </w:tc>
        <w:tc>
          <w:tcPr>
            <w:tcW w:w="1008" w:type="dxa"/>
            <w:shd w:val="clear" w:color="auto" w:fill="D4E3F5"/>
          </w:tcPr>
          <w:p>
            <w:pPr>
              <w:pStyle w:val="TableParagraph"/>
              <w:ind w:right="393"/>
              <w:jc w:val="right"/>
              <w:rPr>
                <w:sz w:val="14"/>
              </w:rPr>
            </w:pPr>
            <w:r>
              <w:rPr>
                <w:color w:val="231F20"/>
                <w:spacing w:val="-4"/>
                <w:w w:val="95"/>
                <w:sz w:val="14"/>
              </w:rPr>
              <w:t>17.3</w:t>
            </w:r>
          </w:p>
        </w:tc>
      </w:tr>
      <w:tr>
        <w:trPr>
          <w:trHeight w:val="259" w:hRule="atLeast"/>
        </w:trPr>
        <w:tc>
          <w:tcPr>
            <w:tcW w:w="1256" w:type="dxa"/>
          </w:tcPr>
          <w:p>
            <w:pPr>
              <w:pStyle w:val="TableParagraph"/>
              <w:ind w:left="80"/>
              <w:jc w:val="left"/>
              <w:rPr>
                <w:sz w:val="14"/>
              </w:rPr>
            </w:pPr>
            <w:r>
              <w:rPr>
                <w:color w:val="231F20"/>
                <w:spacing w:val="-2"/>
                <w:w w:val="90"/>
                <w:sz w:val="14"/>
              </w:rPr>
              <w:t>Madagascar</w:t>
            </w:r>
          </w:p>
        </w:tc>
        <w:tc>
          <w:tcPr>
            <w:tcW w:w="1206" w:type="dxa"/>
          </w:tcPr>
          <w:p>
            <w:pPr>
              <w:pStyle w:val="TableParagraph"/>
              <w:ind w:right="436"/>
              <w:jc w:val="right"/>
              <w:rPr>
                <w:sz w:val="14"/>
              </w:rPr>
            </w:pPr>
            <w:r>
              <w:rPr>
                <w:color w:val="231F20"/>
                <w:spacing w:val="-2"/>
                <w:w w:val="95"/>
                <w:sz w:val="14"/>
              </w:rPr>
              <w:t>4,421</w:t>
            </w:r>
          </w:p>
        </w:tc>
        <w:tc>
          <w:tcPr>
            <w:tcW w:w="852" w:type="dxa"/>
          </w:tcPr>
          <w:p>
            <w:pPr>
              <w:pStyle w:val="TableParagraph"/>
              <w:ind w:left="88" w:right="145"/>
              <w:rPr>
                <w:sz w:val="14"/>
              </w:rPr>
            </w:pPr>
            <w:r>
              <w:rPr>
                <w:color w:val="231F20"/>
                <w:spacing w:val="-5"/>
                <w:w w:val="95"/>
                <w:sz w:val="14"/>
              </w:rPr>
              <w:t>6.3</w:t>
            </w:r>
          </w:p>
        </w:tc>
        <w:tc>
          <w:tcPr>
            <w:tcW w:w="1061" w:type="dxa"/>
          </w:tcPr>
          <w:p>
            <w:pPr>
              <w:pStyle w:val="TableParagraph"/>
              <w:ind w:left="81" w:right="63"/>
              <w:rPr>
                <w:sz w:val="14"/>
              </w:rPr>
            </w:pPr>
            <w:r>
              <w:rPr>
                <w:color w:val="231F20"/>
                <w:spacing w:val="-5"/>
                <w:w w:val="95"/>
                <w:sz w:val="14"/>
              </w:rPr>
              <w:t>4.7</w:t>
            </w:r>
          </w:p>
        </w:tc>
        <w:tc>
          <w:tcPr>
            <w:tcW w:w="1084" w:type="dxa"/>
          </w:tcPr>
          <w:p>
            <w:pPr>
              <w:pStyle w:val="TableParagraph"/>
              <w:ind w:left="399"/>
              <w:jc w:val="left"/>
              <w:rPr>
                <w:sz w:val="14"/>
              </w:rPr>
            </w:pPr>
            <w:r>
              <w:rPr>
                <w:color w:val="231F20"/>
                <w:spacing w:val="-5"/>
                <w:w w:val="95"/>
                <w:sz w:val="14"/>
              </w:rPr>
              <w:t>1.8</w:t>
            </w:r>
          </w:p>
        </w:tc>
        <w:tc>
          <w:tcPr>
            <w:tcW w:w="755" w:type="dxa"/>
          </w:tcPr>
          <w:p>
            <w:pPr>
              <w:pStyle w:val="TableParagraph"/>
              <w:ind w:left="91" w:right="51"/>
              <w:rPr>
                <w:sz w:val="14"/>
              </w:rPr>
            </w:pPr>
            <w:r>
              <w:rPr>
                <w:color w:val="231F20"/>
                <w:spacing w:val="-5"/>
                <w:w w:val="95"/>
                <w:sz w:val="14"/>
              </w:rPr>
              <w:t>7.9</w:t>
            </w:r>
          </w:p>
        </w:tc>
        <w:tc>
          <w:tcPr>
            <w:tcW w:w="240" w:type="dxa"/>
          </w:tcPr>
          <w:p>
            <w:pPr>
              <w:pStyle w:val="TableParagraph"/>
              <w:spacing w:before="0"/>
              <w:jc w:val="left"/>
              <w:rPr>
                <w:rFonts w:ascii="Times New Roman"/>
                <w:sz w:val="12"/>
              </w:rPr>
            </w:pPr>
          </w:p>
        </w:tc>
        <w:tc>
          <w:tcPr>
            <w:tcW w:w="851" w:type="dxa"/>
          </w:tcPr>
          <w:p>
            <w:pPr>
              <w:pStyle w:val="TableParagraph"/>
              <w:ind w:left="75" w:right="136"/>
              <w:rPr>
                <w:sz w:val="14"/>
              </w:rPr>
            </w:pPr>
            <w:r>
              <w:rPr>
                <w:color w:val="231F20"/>
                <w:spacing w:val="-5"/>
                <w:w w:val="95"/>
                <w:sz w:val="14"/>
              </w:rPr>
              <w:t>6.3</w:t>
            </w:r>
          </w:p>
        </w:tc>
        <w:tc>
          <w:tcPr>
            <w:tcW w:w="1063" w:type="dxa"/>
          </w:tcPr>
          <w:p>
            <w:pPr>
              <w:pStyle w:val="TableParagraph"/>
              <w:ind w:left="66" w:right="53"/>
              <w:rPr>
                <w:sz w:val="14"/>
              </w:rPr>
            </w:pPr>
            <w:r>
              <w:rPr>
                <w:color w:val="231F20"/>
                <w:spacing w:val="-5"/>
                <w:w w:val="95"/>
                <w:sz w:val="14"/>
              </w:rPr>
              <w:t>4.7</w:t>
            </w:r>
          </w:p>
        </w:tc>
        <w:tc>
          <w:tcPr>
            <w:tcW w:w="945" w:type="dxa"/>
          </w:tcPr>
          <w:p>
            <w:pPr>
              <w:pStyle w:val="TableParagraph"/>
              <w:ind w:left="68" w:right="58"/>
              <w:rPr>
                <w:sz w:val="14"/>
              </w:rPr>
            </w:pPr>
            <w:r>
              <w:rPr>
                <w:color w:val="231F20"/>
                <w:spacing w:val="-5"/>
                <w:w w:val="95"/>
                <w:sz w:val="14"/>
              </w:rPr>
              <w:t>1.8</w:t>
            </w:r>
          </w:p>
        </w:tc>
        <w:tc>
          <w:tcPr>
            <w:tcW w:w="1008" w:type="dxa"/>
          </w:tcPr>
          <w:p>
            <w:pPr>
              <w:pStyle w:val="TableParagraph"/>
              <w:ind w:right="393"/>
              <w:jc w:val="right"/>
              <w:rPr>
                <w:sz w:val="14"/>
              </w:rPr>
            </w:pPr>
            <w:r>
              <w:rPr>
                <w:color w:val="231F20"/>
                <w:spacing w:val="-5"/>
                <w:w w:val="95"/>
                <w:sz w:val="14"/>
              </w:rPr>
              <w:t>7.9</w:t>
            </w:r>
          </w:p>
        </w:tc>
      </w:tr>
      <w:tr>
        <w:trPr>
          <w:trHeight w:val="259" w:hRule="atLeast"/>
        </w:trPr>
        <w:tc>
          <w:tcPr>
            <w:tcW w:w="1256" w:type="dxa"/>
            <w:shd w:val="clear" w:color="auto" w:fill="D4E3F5"/>
          </w:tcPr>
          <w:p>
            <w:pPr>
              <w:pStyle w:val="TableParagraph"/>
              <w:ind w:left="79"/>
              <w:jc w:val="left"/>
              <w:rPr>
                <w:sz w:val="14"/>
              </w:rPr>
            </w:pPr>
            <w:r>
              <w:rPr>
                <w:color w:val="231F20"/>
                <w:spacing w:val="-2"/>
                <w:w w:val="90"/>
                <w:sz w:val="14"/>
              </w:rPr>
              <w:t>Malawi</w:t>
            </w:r>
          </w:p>
        </w:tc>
        <w:tc>
          <w:tcPr>
            <w:tcW w:w="1206" w:type="dxa"/>
            <w:shd w:val="clear" w:color="auto" w:fill="D4E3F5"/>
          </w:tcPr>
          <w:p>
            <w:pPr>
              <w:pStyle w:val="TableParagraph"/>
              <w:ind w:right="436"/>
              <w:jc w:val="right"/>
              <w:rPr>
                <w:sz w:val="14"/>
              </w:rPr>
            </w:pPr>
            <w:r>
              <w:rPr>
                <w:color w:val="231F20"/>
                <w:spacing w:val="-5"/>
                <w:w w:val="95"/>
                <w:sz w:val="14"/>
              </w:rPr>
              <w:t>115</w:t>
            </w:r>
          </w:p>
        </w:tc>
        <w:tc>
          <w:tcPr>
            <w:tcW w:w="852" w:type="dxa"/>
            <w:shd w:val="clear" w:color="auto" w:fill="D4E3F5"/>
          </w:tcPr>
          <w:p>
            <w:pPr>
              <w:pStyle w:val="TableParagraph"/>
              <w:ind w:left="23" w:right="145"/>
              <w:rPr>
                <w:sz w:val="14"/>
              </w:rPr>
            </w:pPr>
            <w:r>
              <w:rPr>
                <w:color w:val="231F20"/>
                <w:spacing w:val="-4"/>
                <w:w w:val="95"/>
                <w:sz w:val="14"/>
              </w:rPr>
              <w:t>12.7</w:t>
            </w:r>
          </w:p>
        </w:tc>
        <w:tc>
          <w:tcPr>
            <w:tcW w:w="1061" w:type="dxa"/>
            <w:shd w:val="clear" w:color="auto" w:fill="D4E3F5"/>
          </w:tcPr>
          <w:p>
            <w:pPr>
              <w:pStyle w:val="TableParagraph"/>
              <w:ind w:left="36" w:right="68"/>
              <w:rPr>
                <w:sz w:val="14"/>
              </w:rPr>
            </w:pPr>
            <w:r>
              <w:rPr>
                <w:color w:val="231F20"/>
                <w:spacing w:val="-4"/>
                <w:w w:val="95"/>
                <w:sz w:val="14"/>
              </w:rPr>
              <w:t>11.7</w:t>
            </w:r>
          </w:p>
        </w:tc>
        <w:tc>
          <w:tcPr>
            <w:tcW w:w="1084" w:type="dxa"/>
            <w:shd w:val="clear" w:color="auto" w:fill="D4E3F5"/>
          </w:tcPr>
          <w:p>
            <w:pPr>
              <w:pStyle w:val="TableParagraph"/>
              <w:ind w:left="405"/>
              <w:jc w:val="left"/>
              <w:rPr>
                <w:sz w:val="14"/>
              </w:rPr>
            </w:pPr>
            <w:r>
              <w:rPr>
                <w:color w:val="231F20"/>
                <w:spacing w:val="-5"/>
                <w:w w:val="95"/>
                <w:sz w:val="14"/>
              </w:rPr>
              <w:t>7.0</w:t>
            </w:r>
          </w:p>
        </w:tc>
        <w:tc>
          <w:tcPr>
            <w:tcW w:w="755" w:type="dxa"/>
            <w:shd w:val="clear" w:color="auto" w:fill="D4E3F5"/>
          </w:tcPr>
          <w:p>
            <w:pPr>
              <w:pStyle w:val="TableParagraph"/>
              <w:ind w:left="48" w:right="82"/>
              <w:rPr>
                <w:sz w:val="14"/>
              </w:rPr>
            </w:pPr>
            <w:r>
              <w:rPr>
                <w:color w:val="231F20"/>
                <w:spacing w:val="-4"/>
                <w:w w:val="95"/>
                <w:sz w:val="14"/>
              </w:rPr>
              <w:t>16.3</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44"/>
              <w:jc w:val="left"/>
              <w:rPr>
                <w:sz w:val="14"/>
              </w:rPr>
            </w:pPr>
            <w:r>
              <w:rPr>
                <w:color w:val="231F20"/>
                <w:spacing w:val="-4"/>
                <w:w w:val="95"/>
                <w:sz w:val="14"/>
              </w:rPr>
              <w:t>10.6</w:t>
            </w:r>
          </w:p>
        </w:tc>
        <w:tc>
          <w:tcPr>
            <w:tcW w:w="1063" w:type="dxa"/>
            <w:shd w:val="clear" w:color="auto" w:fill="D4E3F5"/>
          </w:tcPr>
          <w:p>
            <w:pPr>
              <w:pStyle w:val="TableParagraph"/>
              <w:ind w:left="70" w:right="53"/>
              <w:rPr>
                <w:sz w:val="14"/>
              </w:rPr>
            </w:pPr>
            <w:r>
              <w:rPr>
                <w:color w:val="231F20"/>
                <w:spacing w:val="-5"/>
                <w:w w:val="95"/>
                <w:sz w:val="14"/>
              </w:rPr>
              <w:t>9.9</w:t>
            </w:r>
          </w:p>
        </w:tc>
        <w:tc>
          <w:tcPr>
            <w:tcW w:w="945" w:type="dxa"/>
            <w:shd w:val="clear" w:color="auto" w:fill="D4E3F5"/>
          </w:tcPr>
          <w:p>
            <w:pPr>
              <w:pStyle w:val="TableParagraph"/>
              <w:ind w:left="61" w:right="58"/>
              <w:rPr>
                <w:sz w:val="14"/>
              </w:rPr>
            </w:pPr>
            <w:r>
              <w:rPr>
                <w:color w:val="231F20"/>
                <w:spacing w:val="-5"/>
                <w:w w:val="95"/>
                <w:sz w:val="14"/>
              </w:rPr>
              <w:t>6.3</w:t>
            </w:r>
          </w:p>
        </w:tc>
        <w:tc>
          <w:tcPr>
            <w:tcW w:w="1008" w:type="dxa"/>
            <w:shd w:val="clear" w:color="auto" w:fill="D4E3F5"/>
          </w:tcPr>
          <w:p>
            <w:pPr>
              <w:pStyle w:val="TableParagraph"/>
              <w:ind w:right="392"/>
              <w:jc w:val="right"/>
              <w:rPr>
                <w:sz w:val="14"/>
              </w:rPr>
            </w:pPr>
            <w:r>
              <w:rPr>
                <w:color w:val="231F20"/>
                <w:spacing w:val="-4"/>
                <w:w w:val="95"/>
                <w:sz w:val="14"/>
              </w:rPr>
              <w:t>14.2</w:t>
            </w:r>
          </w:p>
        </w:tc>
      </w:tr>
      <w:tr>
        <w:trPr>
          <w:trHeight w:val="259" w:hRule="atLeast"/>
        </w:trPr>
        <w:tc>
          <w:tcPr>
            <w:tcW w:w="1256" w:type="dxa"/>
          </w:tcPr>
          <w:p>
            <w:pPr>
              <w:pStyle w:val="TableParagraph"/>
              <w:ind w:left="79"/>
              <w:jc w:val="left"/>
              <w:rPr>
                <w:sz w:val="14"/>
              </w:rPr>
            </w:pPr>
            <w:r>
              <w:rPr>
                <w:color w:val="231F20"/>
                <w:spacing w:val="-2"/>
                <w:w w:val="90"/>
                <w:sz w:val="14"/>
              </w:rPr>
              <w:t>Malaysia</w:t>
            </w:r>
          </w:p>
        </w:tc>
        <w:tc>
          <w:tcPr>
            <w:tcW w:w="1206" w:type="dxa"/>
          </w:tcPr>
          <w:p>
            <w:pPr>
              <w:pStyle w:val="TableParagraph"/>
              <w:ind w:right="435"/>
              <w:jc w:val="right"/>
              <w:rPr>
                <w:sz w:val="14"/>
              </w:rPr>
            </w:pPr>
            <w:r>
              <w:rPr>
                <w:color w:val="231F20"/>
                <w:spacing w:val="-2"/>
                <w:w w:val="95"/>
                <w:sz w:val="14"/>
              </w:rPr>
              <w:t>39,582</w:t>
            </w:r>
          </w:p>
        </w:tc>
        <w:tc>
          <w:tcPr>
            <w:tcW w:w="852" w:type="dxa"/>
          </w:tcPr>
          <w:p>
            <w:pPr>
              <w:pStyle w:val="TableParagraph"/>
              <w:ind w:left="88" w:right="145"/>
              <w:rPr>
                <w:sz w:val="14"/>
              </w:rPr>
            </w:pPr>
            <w:r>
              <w:rPr>
                <w:color w:val="231F20"/>
                <w:spacing w:val="-5"/>
                <w:w w:val="95"/>
                <w:sz w:val="14"/>
              </w:rPr>
              <w:t>5.8</w:t>
            </w:r>
          </w:p>
        </w:tc>
        <w:tc>
          <w:tcPr>
            <w:tcW w:w="1061" w:type="dxa"/>
          </w:tcPr>
          <w:p>
            <w:pPr>
              <w:pStyle w:val="TableParagraph"/>
              <w:ind w:left="85" w:right="63"/>
              <w:rPr>
                <w:sz w:val="14"/>
              </w:rPr>
            </w:pPr>
            <w:r>
              <w:rPr>
                <w:color w:val="231F20"/>
                <w:spacing w:val="-5"/>
                <w:w w:val="95"/>
                <w:sz w:val="14"/>
              </w:rPr>
              <w:t>3.6</w:t>
            </w:r>
          </w:p>
        </w:tc>
        <w:tc>
          <w:tcPr>
            <w:tcW w:w="1084" w:type="dxa"/>
          </w:tcPr>
          <w:p>
            <w:pPr>
              <w:pStyle w:val="TableParagraph"/>
              <w:ind w:left="399"/>
              <w:jc w:val="left"/>
              <w:rPr>
                <w:sz w:val="14"/>
              </w:rPr>
            </w:pPr>
            <w:r>
              <w:rPr>
                <w:color w:val="231F20"/>
                <w:spacing w:val="-5"/>
                <w:w w:val="95"/>
                <w:sz w:val="14"/>
              </w:rPr>
              <w:t>1.8</w:t>
            </w:r>
          </w:p>
        </w:tc>
        <w:tc>
          <w:tcPr>
            <w:tcW w:w="755" w:type="dxa"/>
          </w:tcPr>
          <w:p>
            <w:pPr>
              <w:pStyle w:val="TableParagraph"/>
              <w:ind w:left="78" w:right="51"/>
              <w:rPr>
                <w:sz w:val="14"/>
              </w:rPr>
            </w:pPr>
            <w:r>
              <w:rPr>
                <w:color w:val="231F20"/>
                <w:spacing w:val="-5"/>
                <w:w w:val="95"/>
                <w:sz w:val="14"/>
              </w:rPr>
              <w:t>6.6</w:t>
            </w:r>
          </w:p>
        </w:tc>
        <w:tc>
          <w:tcPr>
            <w:tcW w:w="240" w:type="dxa"/>
          </w:tcPr>
          <w:p>
            <w:pPr>
              <w:pStyle w:val="TableParagraph"/>
              <w:spacing w:before="0"/>
              <w:jc w:val="left"/>
              <w:rPr>
                <w:rFonts w:ascii="Times New Roman"/>
                <w:sz w:val="12"/>
              </w:rPr>
            </w:pPr>
          </w:p>
        </w:tc>
        <w:tc>
          <w:tcPr>
            <w:tcW w:w="851" w:type="dxa"/>
          </w:tcPr>
          <w:p>
            <w:pPr>
              <w:pStyle w:val="TableParagraph"/>
              <w:ind w:left="75" w:right="136"/>
              <w:rPr>
                <w:sz w:val="14"/>
              </w:rPr>
            </w:pPr>
            <w:r>
              <w:rPr>
                <w:color w:val="231F20"/>
                <w:spacing w:val="-5"/>
                <w:w w:val="95"/>
                <w:sz w:val="14"/>
              </w:rPr>
              <w:t>5.8</w:t>
            </w:r>
          </w:p>
        </w:tc>
        <w:tc>
          <w:tcPr>
            <w:tcW w:w="1063" w:type="dxa"/>
          </w:tcPr>
          <w:p>
            <w:pPr>
              <w:pStyle w:val="TableParagraph"/>
              <w:ind w:left="69" w:right="53"/>
              <w:rPr>
                <w:sz w:val="14"/>
              </w:rPr>
            </w:pPr>
            <w:r>
              <w:rPr>
                <w:color w:val="231F20"/>
                <w:spacing w:val="-5"/>
                <w:w w:val="95"/>
                <w:sz w:val="14"/>
              </w:rPr>
              <w:t>3.6</w:t>
            </w:r>
          </w:p>
        </w:tc>
        <w:tc>
          <w:tcPr>
            <w:tcW w:w="945" w:type="dxa"/>
          </w:tcPr>
          <w:p>
            <w:pPr>
              <w:pStyle w:val="TableParagraph"/>
              <w:ind w:left="68" w:right="58"/>
              <w:rPr>
                <w:sz w:val="14"/>
              </w:rPr>
            </w:pPr>
            <w:r>
              <w:rPr>
                <w:color w:val="231F20"/>
                <w:spacing w:val="-5"/>
                <w:w w:val="95"/>
                <w:sz w:val="14"/>
              </w:rPr>
              <w:t>1.8</w:t>
            </w:r>
          </w:p>
        </w:tc>
        <w:tc>
          <w:tcPr>
            <w:tcW w:w="1008" w:type="dxa"/>
          </w:tcPr>
          <w:p>
            <w:pPr>
              <w:pStyle w:val="TableParagraph"/>
              <w:ind w:right="393"/>
              <w:jc w:val="right"/>
              <w:rPr>
                <w:sz w:val="14"/>
              </w:rPr>
            </w:pPr>
            <w:r>
              <w:rPr>
                <w:color w:val="231F20"/>
                <w:spacing w:val="-5"/>
                <w:w w:val="95"/>
                <w:sz w:val="14"/>
              </w:rPr>
              <w:t>6.6</w:t>
            </w:r>
          </w:p>
        </w:tc>
      </w:tr>
      <w:tr>
        <w:trPr>
          <w:trHeight w:val="259" w:hRule="atLeast"/>
        </w:trPr>
        <w:tc>
          <w:tcPr>
            <w:tcW w:w="1256" w:type="dxa"/>
            <w:shd w:val="clear" w:color="auto" w:fill="D4E3F5"/>
          </w:tcPr>
          <w:p>
            <w:pPr>
              <w:pStyle w:val="TableParagraph"/>
              <w:ind w:left="79"/>
              <w:jc w:val="left"/>
              <w:rPr>
                <w:sz w:val="14"/>
              </w:rPr>
            </w:pPr>
            <w:r>
              <w:rPr>
                <w:color w:val="231F20"/>
                <w:spacing w:val="-2"/>
                <w:w w:val="90"/>
                <w:sz w:val="14"/>
              </w:rPr>
              <w:t>Maldives</w:t>
            </w:r>
          </w:p>
        </w:tc>
        <w:tc>
          <w:tcPr>
            <w:tcW w:w="1206" w:type="dxa"/>
            <w:shd w:val="clear" w:color="auto" w:fill="D4E3F5"/>
          </w:tcPr>
          <w:p>
            <w:pPr>
              <w:pStyle w:val="TableParagraph"/>
              <w:ind w:right="435"/>
              <w:jc w:val="right"/>
              <w:rPr>
                <w:sz w:val="14"/>
              </w:rPr>
            </w:pPr>
            <w:r>
              <w:rPr>
                <w:color w:val="231F20"/>
                <w:spacing w:val="-5"/>
                <w:w w:val="95"/>
                <w:sz w:val="14"/>
              </w:rPr>
              <w:t>176</w:t>
            </w:r>
          </w:p>
        </w:tc>
        <w:tc>
          <w:tcPr>
            <w:tcW w:w="852" w:type="dxa"/>
            <w:shd w:val="clear" w:color="auto" w:fill="D4E3F5"/>
          </w:tcPr>
          <w:p>
            <w:pPr>
              <w:pStyle w:val="TableParagraph"/>
              <w:ind w:left="96" w:right="145"/>
              <w:rPr>
                <w:sz w:val="14"/>
              </w:rPr>
            </w:pPr>
            <w:r>
              <w:rPr>
                <w:color w:val="231F20"/>
                <w:spacing w:val="-5"/>
                <w:w w:val="95"/>
                <w:sz w:val="14"/>
              </w:rPr>
              <w:t>1.5</w:t>
            </w:r>
          </w:p>
        </w:tc>
        <w:tc>
          <w:tcPr>
            <w:tcW w:w="1061" w:type="dxa"/>
            <w:shd w:val="clear" w:color="auto" w:fill="D4E3F5"/>
          </w:tcPr>
          <w:p>
            <w:pPr>
              <w:pStyle w:val="TableParagraph"/>
              <w:ind w:left="67" w:right="63"/>
              <w:rPr>
                <w:sz w:val="14"/>
              </w:rPr>
            </w:pPr>
            <w:r>
              <w:rPr>
                <w:color w:val="231F20"/>
                <w:spacing w:val="-5"/>
                <w:w w:val="95"/>
                <w:sz w:val="14"/>
              </w:rPr>
              <w:t>0.1</w:t>
            </w:r>
          </w:p>
        </w:tc>
        <w:tc>
          <w:tcPr>
            <w:tcW w:w="1084" w:type="dxa"/>
            <w:shd w:val="clear" w:color="auto" w:fill="D4E3F5"/>
          </w:tcPr>
          <w:p>
            <w:pPr>
              <w:pStyle w:val="TableParagraph"/>
              <w:ind w:left="392"/>
              <w:jc w:val="left"/>
              <w:rPr>
                <w:sz w:val="14"/>
              </w:rPr>
            </w:pPr>
            <w:r>
              <w:rPr>
                <w:color w:val="231F20"/>
                <w:spacing w:val="-5"/>
                <w:w w:val="95"/>
                <w:sz w:val="14"/>
              </w:rPr>
              <w:t>0.1</w:t>
            </w:r>
          </w:p>
        </w:tc>
        <w:tc>
          <w:tcPr>
            <w:tcW w:w="755" w:type="dxa"/>
            <w:shd w:val="clear" w:color="auto" w:fill="D4E3F5"/>
          </w:tcPr>
          <w:p>
            <w:pPr>
              <w:pStyle w:val="TableParagraph"/>
              <w:ind w:left="60" w:right="51"/>
              <w:rPr>
                <w:sz w:val="14"/>
              </w:rPr>
            </w:pPr>
            <w:r>
              <w:rPr>
                <w:color w:val="231F20"/>
                <w:spacing w:val="-5"/>
                <w:w w:val="95"/>
                <w:sz w:val="14"/>
              </w:rPr>
              <w:t>2.1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2" w:right="136"/>
              <w:rPr>
                <w:sz w:val="14"/>
              </w:rPr>
            </w:pPr>
            <w:r>
              <w:rPr>
                <w:color w:val="231F20"/>
                <w:spacing w:val="-5"/>
                <w:w w:val="95"/>
                <w:sz w:val="14"/>
              </w:rPr>
              <w:t>1.5</w:t>
            </w:r>
          </w:p>
        </w:tc>
        <w:tc>
          <w:tcPr>
            <w:tcW w:w="1063" w:type="dxa"/>
            <w:shd w:val="clear" w:color="auto" w:fill="D4E3F5"/>
          </w:tcPr>
          <w:p>
            <w:pPr>
              <w:pStyle w:val="TableParagraph"/>
              <w:ind w:left="53" w:right="53"/>
              <w:rPr>
                <w:sz w:val="14"/>
              </w:rPr>
            </w:pPr>
            <w:r>
              <w:rPr>
                <w:color w:val="231F20"/>
                <w:spacing w:val="-5"/>
                <w:w w:val="95"/>
                <w:sz w:val="14"/>
              </w:rPr>
              <w:t>0.1</w:t>
            </w:r>
          </w:p>
        </w:tc>
        <w:tc>
          <w:tcPr>
            <w:tcW w:w="945" w:type="dxa"/>
            <w:shd w:val="clear" w:color="auto" w:fill="D4E3F5"/>
          </w:tcPr>
          <w:p>
            <w:pPr>
              <w:pStyle w:val="TableParagraph"/>
              <w:ind w:left="46" w:right="58"/>
              <w:rPr>
                <w:sz w:val="14"/>
              </w:rPr>
            </w:pPr>
            <w:r>
              <w:rPr>
                <w:color w:val="231F20"/>
                <w:spacing w:val="-5"/>
                <w:w w:val="95"/>
                <w:sz w:val="14"/>
              </w:rPr>
              <w:t>0.1</w:t>
            </w:r>
          </w:p>
        </w:tc>
        <w:tc>
          <w:tcPr>
            <w:tcW w:w="1008" w:type="dxa"/>
            <w:shd w:val="clear" w:color="auto" w:fill="D4E3F5"/>
          </w:tcPr>
          <w:p>
            <w:pPr>
              <w:pStyle w:val="TableParagraph"/>
              <w:ind w:right="411"/>
              <w:jc w:val="right"/>
              <w:rPr>
                <w:sz w:val="14"/>
              </w:rPr>
            </w:pPr>
            <w:r>
              <w:rPr>
                <w:color w:val="231F20"/>
                <w:spacing w:val="-5"/>
                <w:w w:val="95"/>
                <w:sz w:val="14"/>
              </w:rPr>
              <w:t>2.1</w:t>
            </w:r>
          </w:p>
        </w:tc>
      </w:tr>
      <w:tr>
        <w:trPr>
          <w:trHeight w:val="259" w:hRule="atLeast"/>
        </w:trPr>
        <w:tc>
          <w:tcPr>
            <w:tcW w:w="1256" w:type="dxa"/>
          </w:tcPr>
          <w:p>
            <w:pPr>
              <w:pStyle w:val="TableParagraph"/>
              <w:ind w:left="79"/>
              <w:jc w:val="left"/>
              <w:rPr>
                <w:sz w:val="14"/>
              </w:rPr>
            </w:pPr>
            <w:r>
              <w:rPr>
                <w:color w:val="231F20"/>
                <w:spacing w:val="-4"/>
                <w:w w:val="90"/>
                <w:sz w:val="14"/>
              </w:rPr>
              <w:t>Mali</w:t>
            </w:r>
          </w:p>
        </w:tc>
        <w:tc>
          <w:tcPr>
            <w:tcW w:w="1206" w:type="dxa"/>
          </w:tcPr>
          <w:p>
            <w:pPr>
              <w:pStyle w:val="TableParagraph"/>
              <w:ind w:right="436"/>
              <w:jc w:val="right"/>
              <w:rPr>
                <w:sz w:val="14"/>
              </w:rPr>
            </w:pPr>
            <w:r>
              <w:rPr>
                <w:color w:val="231F20"/>
                <w:spacing w:val="-5"/>
                <w:w w:val="95"/>
                <w:sz w:val="14"/>
              </w:rPr>
              <w:t>128</w:t>
            </w:r>
          </w:p>
        </w:tc>
        <w:tc>
          <w:tcPr>
            <w:tcW w:w="852" w:type="dxa"/>
          </w:tcPr>
          <w:p>
            <w:pPr>
              <w:pStyle w:val="TableParagraph"/>
              <w:ind w:left="12" w:right="145"/>
              <w:rPr>
                <w:sz w:val="14"/>
              </w:rPr>
            </w:pPr>
            <w:r>
              <w:rPr>
                <w:color w:val="231F20"/>
                <w:spacing w:val="-4"/>
                <w:w w:val="95"/>
                <w:sz w:val="14"/>
              </w:rPr>
              <w:t>22.7</w:t>
            </w:r>
          </w:p>
        </w:tc>
        <w:tc>
          <w:tcPr>
            <w:tcW w:w="1061" w:type="dxa"/>
          </w:tcPr>
          <w:p>
            <w:pPr>
              <w:pStyle w:val="TableParagraph"/>
              <w:ind w:left="36" w:right="63"/>
              <w:rPr>
                <w:sz w:val="14"/>
              </w:rPr>
            </w:pPr>
            <w:r>
              <w:rPr>
                <w:color w:val="231F20"/>
                <w:spacing w:val="-4"/>
                <w:w w:val="95"/>
                <w:sz w:val="14"/>
              </w:rPr>
              <w:t>11.2</w:t>
            </w:r>
          </w:p>
        </w:tc>
        <w:tc>
          <w:tcPr>
            <w:tcW w:w="1084" w:type="dxa"/>
          </w:tcPr>
          <w:p>
            <w:pPr>
              <w:pStyle w:val="TableParagraph"/>
              <w:ind w:left="391"/>
              <w:jc w:val="left"/>
              <w:rPr>
                <w:sz w:val="14"/>
              </w:rPr>
            </w:pPr>
            <w:r>
              <w:rPr>
                <w:color w:val="231F20"/>
                <w:spacing w:val="-5"/>
                <w:w w:val="95"/>
                <w:sz w:val="14"/>
              </w:rPr>
              <w:t>8.8</w:t>
            </w:r>
          </w:p>
        </w:tc>
        <w:tc>
          <w:tcPr>
            <w:tcW w:w="755" w:type="dxa"/>
          </w:tcPr>
          <w:p>
            <w:pPr>
              <w:pStyle w:val="TableParagraph"/>
              <w:ind w:left="48" w:right="87"/>
              <w:rPr>
                <w:sz w:val="14"/>
              </w:rPr>
            </w:pPr>
            <w:r>
              <w:rPr>
                <w:color w:val="231F20"/>
                <w:spacing w:val="-4"/>
                <w:w w:val="95"/>
                <w:sz w:val="14"/>
              </w:rPr>
              <w:t>23.9</w:t>
            </w:r>
          </w:p>
        </w:tc>
        <w:tc>
          <w:tcPr>
            <w:tcW w:w="240" w:type="dxa"/>
          </w:tcPr>
          <w:p>
            <w:pPr>
              <w:pStyle w:val="TableParagraph"/>
              <w:spacing w:before="0"/>
              <w:jc w:val="left"/>
              <w:rPr>
                <w:rFonts w:ascii="Times New Roman"/>
                <w:sz w:val="12"/>
              </w:rPr>
            </w:pPr>
          </w:p>
        </w:tc>
        <w:tc>
          <w:tcPr>
            <w:tcW w:w="851" w:type="dxa"/>
          </w:tcPr>
          <w:p>
            <w:pPr>
              <w:pStyle w:val="TableParagraph"/>
              <w:ind w:left="245"/>
              <w:jc w:val="left"/>
              <w:rPr>
                <w:sz w:val="14"/>
              </w:rPr>
            </w:pPr>
            <w:r>
              <w:rPr>
                <w:color w:val="231F20"/>
                <w:spacing w:val="-4"/>
                <w:w w:val="95"/>
                <w:sz w:val="14"/>
              </w:rPr>
              <w:t>19.7</w:t>
            </w:r>
          </w:p>
        </w:tc>
        <w:tc>
          <w:tcPr>
            <w:tcW w:w="1063" w:type="dxa"/>
          </w:tcPr>
          <w:p>
            <w:pPr>
              <w:pStyle w:val="TableParagraph"/>
              <w:ind w:left="38" w:right="83"/>
              <w:rPr>
                <w:sz w:val="14"/>
              </w:rPr>
            </w:pPr>
            <w:r>
              <w:rPr>
                <w:color w:val="231F20"/>
                <w:spacing w:val="-4"/>
                <w:w w:val="95"/>
                <w:sz w:val="14"/>
              </w:rPr>
              <w:t>10.3</w:t>
            </w:r>
          </w:p>
        </w:tc>
        <w:tc>
          <w:tcPr>
            <w:tcW w:w="945" w:type="dxa"/>
          </w:tcPr>
          <w:p>
            <w:pPr>
              <w:pStyle w:val="TableParagraph"/>
              <w:ind w:left="45" w:right="58"/>
              <w:rPr>
                <w:sz w:val="14"/>
              </w:rPr>
            </w:pPr>
            <w:r>
              <w:rPr>
                <w:color w:val="231F20"/>
                <w:spacing w:val="-5"/>
                <w:w w:val="95"/>
                <w:sz w:val="14"/>
              </w:rPr>
              <w:t>8.1</w:t>
            </w:r>
          </w:p>
        </w:tc>
        <w:tc>
          <w:tcPr>
            <w:tcW w:w="1008" w:type="dxa"/>
          </w:tcPr>
          <w:p>
            <w:pPr>
              <w:pStyle w:val="TableParagraph"/>
              <w:ind w:right="393"/>
              <w:jc w:val="right"/>
              <w:rPr>
                <w:sz w:val="14"/>
              </w:rPr>
            </w:pPr>
            <w:r>
              <w:rPr>
                <w:color w:val="231F20"/>
                <w:spacing w:val="-4"/>
                <w:w w:val="95"/>
                <w:sz w:val="14"/>
              </w:rPr>
              <w:t>16.5</w:t>
            </w:r>
          </w:p>
        </w:tc>
      </w:tr>
      <w:tr>
        <w:trPr>
          <w:trHeight w:val="259" w:hRule="atLeast"/>
        </w:trPr>
        <w:tc>
          <w:tcPr>
            <w:tcW w:w="1256" w:type="dxa"/>
            <w:shd w:val="clear" w:color="auto" w:fill="D4E3F5"/>
          </w:tcPr>
          <w:p>
            <w:pPr>
              <w:pStyle w:val="TableParagraph"/>
              <w:ind w:left="79"/>
              <w:jc w:val="left"/>
              <w:rPr>
                <w:sz w:val="14"/>
              </w:rPr>
            </w:pPr>
            <w:r>
              <w:rPr>
                <w:color w:val="231F20"/>
                <w:spacing w:val="-2"/>
                <w:w w:val="90"/>
                <w:sz w:val="14"/>
              </w:rPr>
              <w:t>Malta</w:t>
            </w:r>
          </w:p>
        </w:tc>
        <w:tc>
          <w:tcPr>
            <w:tcW w:w="1206" w:type="dxa"/>
            <w:shd w:val="clear" w:color="auto" w:fill="D4E3F5"/>
          </w:tcPr>
          <w:p>
            <w:pPr>
              <w:pStyle w:val="TableParagraph"/>
              <w:ind w:right="433"/>
              <w:jc w:val="right"/>
              <w:rPr>
                <w:sz w:val="14"/>
              </w:rPr>
            </w:pPr>
            <w:r>
              <w:rPr>
                <w:color w:val="231F20"/>
                <w:spacing w:val="-5"/>
                <w:w w:val="95"/>
                <w:sz w:val="14"/>
              </w:rPr>
              <w:t>91</w:t>
            </w:r>
          </w:p>
        </w:tc>
        <w:tc>
          <w:tcPr>
            <w:tcW w:w="852" w:type="dxa"/>
            <w:shd w:val="clear" w:color="auto" w:fill="D4E3F5"/>
          </w:tcPr>
          <w:p>
            <w:pPr>
              <w:pStyle w:val="TableParagraph"/>
              <w:ind w:left="19" w:right="145"/>
              <w:rPr>
                <w:sz w:val="14"/>
              </w:rPr>
            </w:pPr>
            <w:r>
              <w:rPr>
                <w:color w:val="231F20"/>
                <w:spacing w:val="-4"/>
                <w:w w:val="95"/>
                <w:sz w:val="14"/>
              </w:rPr>
              <w:t>25.0</w:t>
            </w:r>
          </w:p>
        </w:tc>
        <w:tc>
          <w:tcPr>
            <w:tcW w:w="1061" w:type="dxa"/>
            <w:shd w:val="clear" w:color="auto" w:fill="D4E3F5"/>
          </w:tcPr>
          <w:p>
            <w:pPr>
              <w:pStyle w:val="TableParagraph"/>
              <w:ind w:left="36" w:right="81"/>
              <w:rPr>
                <w:sz w:val="14"/>
              </w:rPr>
            </w:pPr>
            <w:r>
              <w:rPr>
                <w:color w:val="231F20"/>
                <w:spacing w:val="-4"/>
                <w:w w:val="95"/>
                <w:sz w:val="14"/>
              </w:rPr>
              <w:t>20.0</w:t>
            </w:r>
          </w:p>
        </w:tc>
        <w:tc>
          <w:tcPr>
            <w:tcW w:w="1084" w:type="dxa"/>
            <w:shd w:val="clear" w:color="auto" w:fill="D4E3F5"/>
          </w:tcPr>
          <w:p>
            <w:pPr>
              <w:pStyle w:val="TableParagraph"/>
              <w:ind w:left="405"/>
              <w:jc w:val="left"/>
              <w:rPr>
                <w:sz w:val="14"/>
              </w:rPr>
            </w:pPr>
            <w:r>
              <w:rPr>
                <w:color w:val="231F20"/>
                <w:spacing w:val="-5"/>
                <w:w w:val="95"/>
                <w:sz w:val="14"/>
              </w:rPr>
              <w:t>7.1</w:t>
            </w:r>
          </w:p>
        </w:tc>
        <w:tc>
          <w:tcPr>
            <w:tcW w:w="755" w:type="dxa"/>
            <w:shd w:val="clear" w:color="auto" w:fill="D4E3F5"/>
          </w:tcPr>
          <w:p>
            <w:pPr>
              <w:pStyle w:val="TableParagraph"/>
              <w:ind w:left="48" w:right="89"/>
              <w:rPr>
                <w:sz w:val="14"/>
              </w:rPr>
            </w:pPr>
            <w:r>
              <w:rPr>
                <w:color w:val="231F20"/>
                <w:spacing w:val="-4"/>
                <w:w w:val="95"/>
                <w:sz w:val="14"/>
              </w:rPr>
              <w:t>39.3</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38"/>
              <w:jc w:val="left"/>
              <w:rPr>
                <w:sz w:val="14"/>
              </w:rPr>
            </w:pPr>
            <w:r>
              <w:rPr>
                <w:color w:val="231F20"/>
                <w:spacing w:val="-4"/>
                <w:w w:val="95"/>
                <w:sz w:val="14"/>
              </w:rPr>
              <w:t>25.0</w:t>
            </w:r>
          </w:p>
        </w:tc>
        <w:tc>
          <w:tcPr>
            <w:tcW w:w="1063" w:type="dxa"/>
            <w:shd w:val="clear" w:color="auto" w:fill="D4E3F5"/>
          </w:tcPr>
          <w:p>
            <w:pPr>
              <w:pStyle w:val="TableParagraph"/>
              <w:ind w:left="38" w:right="88"/>
              <w:rPr>
                <w:sz w:val="14"/>
              </w:rPr>
            </w:pPr>
            <w:r>
              <w:rPr>
                <w:color w:val="231F20"/>
                <w:spacing w:val="-4"/>
                <w:w w:val="95"/>
                <w:sz w:val="14"/>
              </w:rPr>
              <w:t>20.0</w:t>
            </w:r>
          </w:p>
        </w:tc>
        <w:tc>
          <w:tcPr>
            <w:tcW w:w="945" w:type="dxa"/>
            <w:shd w:val="clear" w:color="auto" w:fill="D4E3F5"/>
          </w:tcPr>
          <w:p>
            <w:pPr>
              <w:pStyle w:val="TableParagraph"/>
              <w:ind w:left="64" w:right="58"/>
              <w:rPr>
                <w:sz w:val="14"/>
              </w:rPr>
            </w:pPr>
            <w:r>
              <w:rPr>
                <w:color w:val="231F20"/>
                <w:spacing w:val="-5"/>
                <w:w w:val="95"/>
                <w:sz w:val="14"/>
              </w:rPr>
              <w:t>7.1</w:t>
            </w:r>
          </w:p>
        </w:tc>
        <w:tc>
          <w:tcPr>
            <w:tcW w:w="1008" w:type="dxa"/>
            <w:shd w:val="clear" w:color="auto" w:fill="D4E3F5"/>
          </w:tcPr>
          <w:p>
            <w:pPr>
              <w:pStyle w:val="TableParagraph"/>
              <w:ind w:right="393"/>
              <w:jc w:val="right"/>
              <w:rPr>
                <w:sz w:val="14"/>
              </w:rPr>
            </w:pPr>
            <w:r>
              <w:rPr>
                <w:color w:val="231F20"/>
                <w:spacing w:val="-4"/>
                <w:w w:val="95"/>
                <w:sz w:val="14"/>
              </w:rPr>
              <w:t>39.3</w:t>
            </w:r>
          </w:p>
        </w:tc>
      </w:tr>
      <w:tr>
        <w:trPr>
          <w:trHeight w:val="259" w:hRule="atLeast"/>
        </w:trPr>
        <w:tc>
          <w:tcPr>
            <w:tcW w:w="1256" w:type="dxa"/>
          </w:tcPr>
          <w:p>
            <w:pPr>
              <w:pStyle w:val="TableParagraph"/>
              <w:ind w:left="79"/>
              <w:jc w:val="left"/>
              <w:rPr>
                <w:sz w:val="14"/>
              </w:rPr>
            </w:pPr>
            <w:r>
              <w:rPr>
                <w:color w:val="231F20"/>
                <w:spacing w:val="-2"/>
                <w:w w:val="90"/>
                <w:sz w:val="14"/>
              </w:rPr>
              <w:t>Martinique</w:t>
            </w:r>
          </w:p>
        </w:tc>
        <w:tc>
          <w:tcPr>
            <w:tcW w:w="1206" w:type="dxa"/>
          </w:tcPr>
          <w:p>
            <w:pPr>
              <w:pStyle w:val="TableParagraph"/>
              <w:ind w:right="436"/>
              <w:jc w:val="right"/>
              <w:rPr>
                <w:sz w:val="14"/>
              </w:rPr>
            </w:pPr>
            <w:r>
              <w:rPr>
                <w:color w:val="231F20"/>
                <w:spacing w:val="-2"/>
                <w:w w:val="95"/>
                <w:sz w:val="14"/>
              </w:rPr>
              <w:t>1,509</w:t>
            </w:r>
          </w:p>
        </w:tc>
        <w:tc>
          <w:tcPr>
            <w:tcW w:w="852" w:type="dxa"/>
          </w:tcPr>
          <w:p>
            <w:pPr>
              <w:pStyle w:val="TableParagraph"/>
              <w:ind w:left="86" w:right="145"/>
              <w:rPr>
                <w:sz w:val="14"/>
              </w:rPr>
            </w:pPr>
            <w:r>
              <w:rPr>
                <w:color w:val="231F20"/>
                <w:spacing w:val="-5"/>
                <w:w w:val="95"/>
                <w:sz w:val="14"/>
              </w:rPr>
              <w:t>5.4</w:t>
            </w:r>
          </w:p>
        </w:tc>
        <w:tc>
          <w:tcPr>
            <w:tcW w:w="1061" w:type="dxa"/>
          </w:tcPr>
          <w:p>
            <w:pPr>
              <w:pStyle w:val="TableParagraph"/>
              <w:ind w:left="85" w:right="63"/>
              <w:rPr>
                <w:sz w:val="14"/>
              </w:rPr>
            </w:pPr>
            <w:r>
              <w:rPr>
                <w:color w:val="231F20"/>
                <w:spacing w:val="-5"/>
                <w:w w:val="95"/>
                <w:sz w:val="14"/>
              </w:rPr>
              <w:t>5.0</w:t>
            </w:r>
          </w:p>
        </w:tc>
        <w:tc>
          <w:tcPr>
            <w:tcW w:w="1084" w:type="dxa"/>
          </w:tcPr>
          <w:p>
            <w:pPr>
              <w:pStyle w:val="TableParagraph"/>
              <w:ind w:left="392"/>
              <w:jc w:val="left"/>
              <w:rPr>
                <w:sz w:val="14"/>
              </w:rPr>
            </w:pPr>
            <w:r>
              <w:rPr>
                <w:color w:val="231F20"/>
                <w:spacing w:val="-5"/>
                <w:w w:val="95"/>
                <w:sz w:val="14"/>
              </w:rPr>
              <w:t>2.0</w:t>
            </w:r>
          </w:p>
        </w:tc>
        <w:tc>
          <w:tcPr>
            <w:tcW w:w="755" w:type="dxa"/>
          </w:tcPr>
          <w:p>
            <w:pPr>
              <w:pStyle w:val="TableParagraph"/>
              <w:ind w:left="78" w:right="51"/>
              <w:rPr>
                <w:sz w:val="14"/>
              </w:rPr>
            </w:pPr>
            <w:r>
              <w:rPr>
                <w:color w:val="231F20"/>
                <w:spacing w:val="-5"/>
                <w:w w:val="95"/>
                <w:sz w:val="14"/>
              </w:rPr>
              <w:t>6.3</w:t>
            </w:r>
          </w:p>
        </w:tc>
        <w:tc>
          <w:tcPr>
            <w:tcW w:w="240" w:type="dxa"/>
          </w:tcPr>
          <w:p>
            <w:pPr>
              <w:pStyle w:val="TableParagraph"/>
              <w:spacing w:before="0"/>
              <w:jc w:val="left"/>
              <w:rPr>
                <w:rFonts w:ascii="Times New Roman"/>
                <w:sz w:val="12"/>
              </w:rPr>
            </w:pPr>
          </w:p>
        </w:tc>
        <w:tc>
          <w:tcPr>
            <w:tcW w:w="851" w:type="dxa"/>
          </w:tcPr>
          <w:p>
            <w:pPr>
              <w:pStyle w:val="TableParagraph"/>
              <w:ind w:left="73" w:right="136"/>
              <w:rPr>
                <w:sz w:val="14"/>
              </w:rPr>
            </w:pPr>
            <w:r>
              <w:rPr>
                <w:color w:val="231F20"/>
                <w:spacing w:val="-5"/>
                <w:w w:val="95"/>
                <w:sz w:val="14"/>
              </w:rPr>
              <w:t>5.4</w:t>
            </w:r>
          </w:p>
        </w:tc>
        <w:tc>
          <w:tcPr>
            <w:tcW w:w="1063" w:type="dxa"/>
          </w:tcPr>
          <w:p>
            <w:pPr>
              <w:pStyle w:val="TableParagraph"/>
              <w:ind w:left="70" w:right="53"/>
              <w:rPr>
                <w:sz w:val="14"/>
              </w:rPr>
            </w:pPr>
            <w:r>
              <w:rPr>
                <w:color w:val="231F20"/>
                <w:spacing w:val="-5"/>
                <w:w w:val="95"/>
                <w:sz w:val="14"/>
              </w:rPr>
              <w:t>5.0</w:t>
            </w:r>
          </w:p>
        </w:tc>
        <w:tc>
          <w:tcPr>
            <w:tcW w:w="945" w:type="dxa"/>
          </w:tcPr>
          <w:p>
            <w:pPr>
              <w:pStyle w:val="TableParagraph"/>
              <w:ind w:left="62" w:right="58"/>
              <w:rPr>
                <w:sz w:val="14"/>
              </w:rPr>
            </w:pPr>
            <w:r>
              <w:rPr>
                <w:color w:val="231F20"/>
                <w:spacing w:val="-5"/>
                <w:w w:val="95"/>
                <w:sz w:val="14"/>
              </w:rPr>
              <w:t>2.0</w:t>
            </w:r>
          </w:p>
        </w:tc>
        <w:tc>
          <w:tcPr>
            <w:tcW w:w="1008" w:type="dxa"/>
          </w:tcPr>
          <w:p>
            <w:pPr>
              <w:pStyle w:val="TableParagraph"/>
              <w:ind w:right="393"/>
              <w:jc w:val="right"/>
              <w:rPr>
                <w:sz w:val="14"/>
              </w:rPr>
            </w:pPr>
            <w:r>
              <w:rPr>
                <w:color w:val="231F20"/>
                <w:spacing w:val="-5"/>
                <w:w w:val="95"/>
                <w:sz w:val="14"/>
              </w:rPr>
              <w:t>6.3</w:t>
            </w:r>
          </w:p>
        </w:tc>
      </w:tr>
      <w:tr>
        <w:trPr>
          <w:trHeight w:val="259" w:hRule="atLeast"/>
        </w:trPr>
        <w:tc>
          <w:tcPr>
            <w:tcW w:w="1256" w:type="dxa"/>
            <w:shd w:val="clear" w:color="auto" w:fill="D4E3F5"/>
          </w:tcPr>
          <w:p>
            <w:pPr>
              <w:pStyle w:val="TableParagraph"/>
              <w:ind w:left="79"/>
              <w:jc w:val="left"/>
              <w:rPr>
                <w:sz w:val="14"/>
              </w:rPr>
            </w:pPr>
            <w:r>
              <w:rPr>
                <w:color w:val="231F20"/>
                <w:spacing w:val="-2"/>
                <w:w w:val="90"/>
                <w:sz w:val="14"/>
              </w:rPr>
              <w:t>Mauritania</w:t>
            </w:r>
          </w:p>
        </w:tc>
        <w:tc>
          <w:tcPr>
            <w:tcW w:w="1206" w:type="dxa"/>
            <w:shd w:val="clear" w:color="auto" w:fill="D4E3F5"/>
          </w:tcPr>
          <w:p>
            <w:pPr>
              <w:pStyle w:val="TableParagraph"/>
              <w:ind w:right="435"/>
              <w:jc w:val="right"/>
              <w:rPr>
                <w:sz w:val="14"/>
              </w:rPr>
            </w:pPr>
            <w:r>
              <w:rPr>
                <w:color w:val="231F20"/>
                <w:spacing w:val="-2"/>
                <w:w w:val="95"/>
                <w:sz w:val="14"/>
              </w:rPr>
              <w:t>3,327</w:t>
            </w:r>
          </w:p>
        </w:tc>
        <w:tc>
          <w:tcPr>
            <w:tcW w:w="852" w:type="dxa"/>
            <w:shd w:val="clear" w:color="auto" w:fill="D4E3F5"/>
          </w:tcPr>
          <w:p>
            <w:pPr>
              <w:pStyle w:val="TableParagraph"/>
              <w:ind w:left="21" w:right="145"/>
              <w:rPr>
                <w:sz w:val="14"/>
              </w:rPr>
            </w:pPr>
            <w:r>
              <w:rPr>
                <w:color w:val="231F20"/>
                <w:spacing w:val="-4"/>
                <w:w w:val="95"/>
                <w:sz w:val="14"/>
              </w:rPr>
              <w:t>10.7</w:t>
            </w:r>
          </w:p>
        </w:tc>
        <w:tc>
          <w:tcPr>
            <w:tcW w:w="1061" w:type="dxa"/>
            <w:shd w:val="clear" w:color="auto" w:fill="D4E3F5"/>
          </w:tcPr>
          <w:p>
            <w:pPr>
              <w:pStyle w:val="TableParagraph"/>
              <w:ind w:left="88" w:right="63"/>
              <w:rPr>
                <w:sz w:val="14"/>
              </w:rPr>
            </w:pPr>
            <w:r>
              <w:rPr>
                <w:color w:val="231F20"/>
                <w:spacing w:val="-5"/>
                <w:w w:val="95"/>
                <w:sz w:val="14"/>
              </w:rPr>
              <w:t>7.1</w:t>
            </w:r>
          </w:p>
        </w:tc>
        <w:tc>
          <w:tcPr>
            <w:tcW w:w="1084" w:type="dxa"/>
            <w:shd w:val="clear" w:color="auto" w:fill="D4E3F5"/>
          </w:tcPr>
          <w:p>
            <w:pPr>
              <w:pStyle w:val="TableParagraph"/>
              <w:ind w:left="393"/>
              <w:jc w:val="left"/>
              <w:rPr>
                <w:sz w:val="14"/>
              </w:rPr>
            </w:pPr>
            <w:r>
              <w:rPr>
                <w:color w:val="231F20"/>
                <w:spacing w:val="-5"/>
                <w:w w:val="95"/>
                <w:sz w:val="14"/>
              </w:rPr>
              <w:t>4.6</w:t>
            </w:r>
          </w:p>
        </w:tc>
        <w:tc>
          <w:tcPr>
            <w:tcW w:w="755" w:type="dxa"/>
            <w:shd w:val="clear" w:color="auto" w:fill="D4E3F5"/>
          </w:tcPr>
          <w:p>
            <w:pPr>
              <w:pStyle w:val="TableParagraph"/>
              <w:ind w:left="48" w:right="82"/>
              <w:rPr>
                <w:sz w:val="14"/>
              </w:rPr>
            </w:pPr>
            <w:r>
              <w:rPr>
                <w:color w:val="231F20"/>
                <w:spacing w:val="-4"/>
                <w:w w:val="95"/>
                <w:sz w:val="14"/>
              </w:rPr>
              <w:t>13.0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44"/>
              <w:jc w:val="left"/>
              <w:rPr>
                <w:sz w:val="14"/>
              </w:rPr>
            </w:pPr>
            <w:r>
              <w:rPr>
                <w:color w:val="231F20"/>
                <w:spacing w:val="-4"/>
                <w:w w:val="95"/>
                <w:sz w:val="14"/>
              </w:rPr>
              <w:t>10.7</w:t>
            </w:r>
          </w:p>
        </w:tc>
        <w:tc>
          <w:tcPr>
            <w:tcW w:w="1063" w:type="dxa"/>
            <w:shd w:val="clear" w:color="auto" w:fill="D4E3F5"/>
          </w:tcPr>
          <w:p>
            <w:pPr>
              <w:pStyle w:val="TableParagraph"/>
              <w:ind w:left="72" w:right="53"/>
              <w:rPr>
                <w:sz w:val="14"/>
              </w:rPr>
            </w:pPr>
            <w:r>
              <w:rPr>
                <w:color w:val="231F20"/>
                <w:spacing w:val="-5"/>
                <w:w w:val="95"/>
                <w:sz w:val="14"/>
              </w:rPr>
              <w:t>7.1</w:t>
            </w:r>
          </w:p>
        </w:tc>
        <w:tc>
          <w:tcPr>
            <w:tcW w:w="945" w:type="dxa"/>
            <w:shd w:val="clear" w:color="auto" w:fill="D4E3F5"/>
          </w:tcPr>
          <w:p>
            <w:pPr>
              <w:pStyle w:val="TableParagraph"/>
              <w:ind w:left="62" w:right="58"/>
              <w:rPr>
                <w:sz w:val="14"/>
              </w:rPr>
            </w:pPr>
            <w:r>
              <w:rPr>
                <w:color w:val="231F20"/>
                <w:spacing w:val="-5"/>
                <w:w w:val="95"/>
                <w:sz w:val="14"/>
              </w:rPr>
              <w:t>4.6</w:t>
            </w:r>
          </w:p>
        </w:tc>
        <w:tc>
          <w:tcPr>
            <w:tcW w:w="1008" w:type="dxa"/>
            <w:shd w:val="clear" w:color="auto" w:fill="D4E3F5"/>
          </w:tcPr>
          <w:p>
            <w:pPr>
              <w:pStyle w:val="TableParagraph"/>
              <w:ind w:right="394"/>
              <w:jc w:val="right"/>
              <w:rPr>
                <w:sz w:val="14"/>
              </w:rPr>
            </w:pPr>
            <w:r>
              <w:rPr>
                <w:color w:val="231F20"/>
                <w:spacing w:val="-4"/>
                <w:w w:val="95"/>
                <w:sz w:val="14"/>
              </w:rPr>
              <w:t>13.0</w:t>
            </w:r>
          </w:p>
        </w:tc>
      </w:tr>
      <w:tr>
        <w:trPr>
          <w:trHeight w:val="259" w:hRule="atLeast"/>
        </w:trPr>
        <w:tc>
          <w:tcPr>
            <w:tcW w:w="1256" w:type="dxa"/>
          </w:tcPr>
          <w:p>
            <w:pPr>
              <w:pStyle w:val="TableParagraph"/>
              <w:ind w:left="79"/>
              <w:jc w:val="left"/>
              <w:rPr>
                <w:sz w:val="14"/>
              </w:rPr>
            </w:pPr>
            <w:r>
              <w:rPr>
                <w:color w:val="231F20"/>
                <w:spacing w:val="-2"/>
                <w:w w:val="90"/>
                <w:sz w:val="14"/>
              </w:rPr>
              <w:t>Mauritius</w:t>
            </w:r>
          </w:p>
        </w:tc>
        <w:tc>
          <w:tcPr>
            <w:tcW w:w="1206" w:type="dxa"/>
          </w:tcPr>
          <w:p>
            <w:pPr>
              <w:pStyle w:val="TableParagraph"/>
              <w:ind w:right="440"/>
              <w:jc w:val="right"/>
              <w:rPr>
                <w:sz w:val="14"/>
              </w:rPr>
            </w:pPr>
            <w:r>
              <w:rPr>
                <w:color w:val="231F20"/>
                <w:spacing w:val="-2"/>
                <w:w w:val="95"/>
                <w:sz w:val="14"/>
              </w:rPr>
              <w:t>8,315</w:t>
            </w:r>
          </w:p>
        </w:tc>
        <w:tc>
          <w:tcPr>
            <w:tcW w:w="852" w:type="dxa"/>
          </w:tcPr>
          <w:p>
            <w:pPr>
              <w:pStyle w:val="TableParagraph"/>
              <w:ind w:left="90" w:right="145"/>
              <w:rPr>
                <w:sz w:val="14"/>
              </w:rPr>
            </w:pPr>
            <w:r>
              <w:rPr>
                <w:color w:val="231F20"/>
                <w:spacing w:val="-5"/>
                <w:w w:val="95"/>
                <w:sz w:val="14"/>
              </w:rPr>
              <w:t>4.3</w:t>
            </w:r>
          </w:p>
        </w:tc>
        <w:tc>
          <w:tcPr>
            <w:tcW w:w="1061" w:type="dxa"/>
          </w:tcPr>
          <w:p>
            <w:pPr>
              <w:pStyle w:val="TableParagraph"/>
              <w:ind w:left="86" w:right="63"/>
              <w:rPr>
                <w:sz w:val="14"/>
              </w:rPr>
            </w:pPr>
            <w:r>
              <w:rPr>
                <w:color w:val="231F20"/>
                <w:spacing w:val="-5"/>
                <w:w w:val="95"/>
                <w:sz w:val="14"/>
              </w:rPr>
              <w:t>3.2</w:t>
            </w:r>
          </w:p>
        </w:tc>
        <w:tc>
          <w:tcPr>
            <w:tcW w:w="1084" w:type="dxa"/>
          </w:tcPr>
          <w:p>
            <w:pPr>
              <w:pStyle w:val="TableParagraph"/>
              <w:ind w:left="392"/>
              <w:jc w:val="left"/>
              <w:rPr>
                <w:sz w:val="14"/>
              </w:rPr>
            </w:pPr>
            <w:r>
              <w:rPr>
                <w:color w:val="231F20"/>
                <w:spacing w:val="-5"/>
                <w:w w:val="95"/>
                <w:sz w:val="14"/>
              </w:rPr>
              <w:t>2.0</w:t>
            </w:r>
          </w:p>
        </w:tc>
        <w:tc>
          <w:tcPr>
            <w:tcW w:w="755" w:type="dxa"/>
          </w:tcPr>
          <w:p>
            <w:pPr>
              <w:pStyle w:val="TableParagraph"/>
              <w:ind w:left="78" w:right="51"/>
              <w:rPr>
                <w:sz w:val="14"/>
              </w:rPr>
            </w:pPr>
            <w:r>
              <w:rPr>
                <w:color w:val="231F20"/>
                <w:spacing w:val="-5"/>
                <w:w w:val="95"/>
                <w:sz w:val="14"/>
              </w:rPr>
              <w:t>5.0</w:t>
            </w:r>
          </w:p>
        </w:tc>
        <w:tc>
          <w:tcPr>
            <w:tcW w:w="240" w:type="dxa"/>
          </w:tcPr>
          <w:p>
            <w:pPr>
              <w:pStyle w:val="TableParagraph"/>
              <w:spacing w:before="0"/>
              <w:jc w:val="left"/>
              <w:rPr>
                <w:rFonts w:ascii="Times New Roman"/>
                <w:sz w:val="12"/>
              </w:rPr>
            </w:pPr>
          </w:p>
        </w:tc>
        <w:tc>
          <w:tcPr>
            <w:tcW w:w="851" w:type="dxa"/>
          </w:tcPr>
          <w:p>
            <w:pPr>
              <w:pStyle w:val="TableParagraph"/>
              <w:ind w:left="76" w:right="136"/>
              <w:rPr>
                <w:sz w:val="14"/>
              </w:rPr>
            </w:pPr>
            <w:r>
              <w:rPr>
                <w:color w:val="231F20"/>
                <w:spacing w:val="-5"/>
                <w:w w:val="95"/>
                <w:sz w:val="14"/>
              </w:rPr>
              <w:t>4.3</w:t>
            </w:r>
          </w:p>
        </w:tc>
        <w:tc>
          <w:tcPr>
            <w:tcW w:w="1063" w:type="dxa"/>
          </w:tcPr>
          <w:p>
            <w:pPr>
              <w:pStyle w:val="TableParagraph"/>
              <w:ind w:left="70" w:right="53"/>
              <w:rPr>
                <w:sz w:val="14"/>
              </w:rPr>
            </w:pPr>
            <w:r>
              <w:rPr>
                <w:color w:val="231F20"/>
                <w:spacing w:val="-5"/>
                <w:w w:val="95"/>
                <w:sz w:val="14"/>
              </w:rPr>
              <w:t>3.2</w:t>
            </w:r>
          </w:p>
        </w:tc>
        <w:tc>
          <w:tcPr>
            <w:tcW w:w="945" w:type="dxa"/>
          </w:tcPr>
          <w:p>
            <w:pPr>
              <w:pStyle w:val="TableParagraph"/>
              <w:ind w:left="62" w:right="58"/>
              <w:rPr>
                <w:sz w:val="14"/>
              </w:rPr>
            </w:pPr>
            <w:r>
              <w:rPr>
                <w:color w:val="231F20"/>
                <w:spacing w:val="-5"/>
                <w:w w:val="95"/>
                <w:sz w:val="14"/>
              </w:rPr>
              <w:t>2.0</w:t>
            </w:r>
          </w:p>
        </w:tc>
        <w:tc>
          <w:tcPr>
            <w:tcW w:w="1008" w:type="dxa"/>
          </w:tcPr>
          <w:p>
            <w:pPr>
              <w:pStyle w:val="TableParagraph"/>
              <w:ind w:right="393"/>
              <w:jc w:val="right"/>
              <w:rPr>
                <w:sz w:val="14"/>
              </w:rPr>
            </w:pPr>
            <w:r>
              <w:rPr>
                <w:color w:val="231F20"/>
                <w:spacing w:val="-5"/>
                <w:w w:val="95"/>
                <w:sz w:val="14"/>
              </w:rPr>
              <w:t>5.0</w:t>
            </w:r>
          </w:p>
        </w:tc>
      </w:tr>
      <w:tr>
        <w:trPr>
          <w:trHeight w:val="259" w:hRule="atLeast"/>
        </w:trPr>
        <w:tc>
          <w:tcPr>
            <w:tcW w:w="1256" w:type="dxa"/>
            <w:shd w:val="clear" w:color="auto" w:fill="D4E3F5"/>
          </w:tcPr>
          <w:p>
            <w:pPr>
              <w:pStyle w:val="TableParagraph"/>
              <w:ind w:left="79"/>
              <w:jc w:val="left"/>
              <w:rPr>
                <w:sz w:val="14"/>
              </w:rPr>
            </w:pPr>
            <w:r>
              <w:rPr>
                <w:color w:val="231F20"/>
                <w:spacing w:val="-2"/>
                <w:w w:val="90"/>
                <w:sz w:val="14"/>
              </w:rPr>
              <w:t>Mexico</w:t>
            </w:r>
          </w:p>
        </w:tc>
        <w:tc>
          <w:tcPr>
            <w:tcW w:w="1206" w:type="dxa"/>
            <w:shd w:val="clear" w:color="auto" w:fill="D4E3F5"/>
          </w:tcPr>
          <w:p>
            <w:pPr>
              <w:pStyle w:val="TableParagraph"/>
              <w:ind w:right="436"/>
              <w:jc w:val="right"/>
              <w:rPr>
                <w:sz w:val="14"/>
              </w:rPr>
            </w:pPr>
            <w:r>
              <w:rPr>
                <w:color w:val="231F20"/>
                <w:spacing w:val="-2"/>
                <w:w w:val="95"/>
                <w:sz w:val="14"/>
              </w:rPr>
              <w:t>41,736</w:t>
            </w:r>
          </w:p>
        </w:tc>
        <w:tc>
          <w:tcPr>
            <w:tcW w:w="852" w:type="dxa"/>
            <w:shd w:val="clear" w:color="auto" w:fill="D4E3F5"/>
          </w:tcPr>
          <w:p>
            <w:pPr>
              <w:pStyle w:val="TableParagraph"/>
              <w:ind w:left="90" w:right="145"/>
              <w:rPr>
                <w:sz w:val="14"/>
              </w:rPr>
            </w:pPr>
            <w:r>
              <w:rPr>
                <w:color w:val="231F20"/>
                <w:spacing w:val="-5"/>
                <w:w w:val="95"/>
                <w:sz w:val="14"/>
              </w:rPr>
              <w:t>8.8</w:t>
            </w:r>
          </w:p>
        </w:tc>
        <w:tc>
          <w:tcPr>
            <w:tcW w:w="1061" w:type="dxa"/>
            <w:shd w:val="clear" w:color="auto" w:fill="D4E3F5"/>
          </w:tcPr>
          <w:p>
            <w:pPr>
              <w:pStyle w:val="TableParagraph"/>
              <w:ind w:left="86" w:right="63"/>
              <w:rPr>
                <w:sz w:val="14"/>
              </w:rPr>
            </w:pPr>
            <w:r>
              <w:rPr>
                <w:color w:val="231F20"/>
                <w:spacing w:val="-5"/>
                <w:w w:val="95"/>
                <w:sz w:val="14"/>
              </w:rPr>
              <w:t>6.2</w:t>
            </w:r>
          </w:p>
        </w:tc>
        <w:tc>
          <w:tcPr>
            <w:tcW w:w="1084" w:type="dxa"/>
            <w:shd w:val="clear" w:color="auto" w:fill="D4E3F5"/>
          </w:tcPr>
          <w:p>
            <w:pPr>
              <w:pStyle w:val="TableParagraph"/>
              <w:ind w:left="391"/>
              <w:jc w:val="left"/>
              <w:rPr>
                <w:sz w:val="14"/>
              </w:rPr>
            </w:pPr>
            <w:r>
              <w:rPr>
                <w:color w:val="231F20"/>
                <w:spacing w:val="-5"/>
                <w:w w:val="95"/>
                <w:sz w:val="14"/>
              </w:rPr>
              <w:t>3.6</w:t>
            </w:r>
          </w:p>
        </w:tc>
        <w:tc>
          <w:tcPr>
            <w:tcW w:w="755" w:type="dxa"/>
            <w:shd w:val="clear" w:color="auto" w:fill="D4E3F5"/>
          </w:tcPr>
          <w:p>
            <w:pPr>
              <w:pStyle w:val="TableParagraph"/>
              <w:ind w:left="48" w:right="80"/>
              <w:rPr>
                <w:sz w:val="14"/>
              </w:rPr>
            </w:pPr>
            <w:r>
              <w:rPr>
                <w:color w:val="231F20"/>
                <w:spacing w:val="-4"/>
                <w:w w:val="95"/>
                <w:sz w:val="14"/>
              </w:rPr>
              <w:t>10.2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75" w:right="136"/>
              <w:rPr>
                <w:sz w:val="14"/>
              </w:rPr>
            </w:pPr>
            <w:r>
              <w:rPr>
                <w:color w:val="231F20"/>
                <w:spacing w:val="-5"/>
                <w:w w:val="95"/>
                <w:sz w:val="14"/>
              </w:rPr>
              <w:t>8.6</w:t>
            </w:r>
          </w:p>
        </w:tc>
        <w:tc>
          <w:tcPr>
            <w:tcW w:w="1063" w:type="dxa"/>
            <w:shd w:val="clear" w:color="auto" w:fill="D4E3F5"/>
          </w:tcPr>
          <w:p>
            <w:pPr>
              <w:pStyle w:val="TableParagraph"/>
              <w:ind w:left="69" w:right="53"/>
              <w:rPr>
                <w:sz w:val="14"/>
              </w:rPr>
            </w:pPr>
            <w:r>
              <w:rPr>
                <w:color w:val="231F20"/>
                <w:spacing w:val="-5"/>
                <w:w w:val="95"/>
                <w:sz w:val="14"/>
              </w:rPr>
              <w:t>6.0</w:t>
            </w:r>
          </w:p>
        </w:tc>
        <w:tc>
          <w:tcPr>
            <w:tcW w:w="945" w:type="dxa"/>
            <w:shd w:val="clear" w:color="auto" w:fill="D4E3F5"/>
          </w:tcPr>
          <w:p>
            <w:pPr>
              <w:pStyle w:val="TableParagraph"/>
              <w:ind w:left="63" w:right="58"/>
              <w:rPr>
                <w:sz w:val="14"/>
              </w:rPr>
            </w:pPr>
            <w:r>
              <w:rPr>
                <w:color w:val="231F20"/>
                <w:spacing w:val="-5"/>
                <w:w w:val="95"/>
                <w:sz w:val="14"/>
              </w:rPr>
              <w:t>3.5</w:t>
            </w:r>
          </w:p>
        </w:tc>
        <w:tc>
          <w:tcPr>
            <w:tcW w:w="1008" w:type="dxa"/>
            <w:shd w:val="clear" w:color="auto" w:fill="D4E3F5"/>
          </w:tcPr>
          <w:p>
            <w:pPr>
              <w:pStyle w:val="TableParagraph"/>
              <w:ind w:right="393"/>
              <w:jc w:val="right"/>
              <w:rPr>
                <w:sz w:val="14"/>
              </w:rPr>
            </w:pPr>
            <w:r>
              <w:rPr>
                <w:color w:val="231F20"/>
                <w:spacing w:val="-5"/>
                <w:w w:val="95"/>
                <w:sz w:val="14"/>
              </w:rPr>
              <w:t>9.9</w:t>
            </w:r>
          </w:p>
        </w:tc>
      </w:tr>
      <w:tr>
        <w:trPr>
          <w:trHeight w:val="259" w:hRule="atLeast"/>
        </w:trPr>
        <w:tc>
          <w:tcPr>
            <w:tcW w:w="1256" w:type="dxa"/>
          </w:tcPr>
          <w:p>
            <w:pPr>
              <w:pStyle w:val="TableParagraph"/>
              <w:ind w:left="80"/>
              <w:jc w:val="left"/>
              <w:rPr>
                <w:sz w:val="14"/>
              </w:rPr>
            </w:pPr>
            <w:r>
              <w:rPr>
                <w:color w:val="231F20"/>
                <w:spacing w:val="-2"/>
                <w:w w:val="90"/>
                <w:sz w:val="14"/>
              </w:rPr>
              <w:t>Moldova</w:t>
            </w:r>
          </w:p>
        </w:tc>
        <w:tc>
          <w:tcPr>
            <w:tcW w:w="1206" w:type="dxa"/>
          </w:tcPr>
          <w:p>
            <w:pPr>
              <w:pStyle w:val="TableParagraph"/>
              <w:ind w:right="437"/>
              <w:jc w:val="right"/>
              <w:rPr>
                <w:sz w:val="14"/>
              </w:rPr>
            </w:pPr>
            <w:r>
              <w:rPr>
                <w:color w:val="231F20"/>
                <w:spacing w:val="-10"/>
                <w:w w:val="95"/>
                <w:sz w:val="14"/>
              </w:rPr>
              <w:t>4</w:t>
            </w:r>
          </w:p>
        </w:tc>
        <w:tc>
          <w:tcPr>
            <w:tcW w:w="852" w:type="dxa"/>
          </w:tcPr>
          <w:p>
            <w:pPr>
              <w:pStyle w:val="TableParagraph"/>
              <w:ind w:left="23" w:right="145"/>
              <w:rPr>
                <w:sz w:val="14"/>
              </w:rPr>
            </w:pPr>
            <w:r>
              <w:rPr>
                <w:color w:val="231F20"/>
                <w:spacing w:val="-4"/>
                <w:w w:val="95"/>
                <w:sz w:val="14"/>
              </w:rPr>
              <w:t>10.4</w:t>
            </w:r>
          </w:p>
        </w:tc>
        <w:tc>
          <w:tcPr>
            <w:tcW w:w="1061" w:type="dxa"/>
          </w:tcPr>
          <w:p>
            <w:pPr>
              <w:pStyle w:val="TableParagraph"/>
              <w:ind w:left="36" w:right="74"/>
              <w:rPr>
                <w:sz w:val="14"/>
              </w:rPr>
            </w:pPr>
            <w:r>
              <w:rPr>
                <w:color w:val="231F20"/>
                <w:spacing w:val="-4"/>
                <w:w w:val="95"/>
                <w:sz w:val="14"/>
              </w:rPr>
              <w:t>10.5</w:t>
            </w:r>
          </w:p>
        </w:tc>
        <w:tc>
          <w:tcPr>
            <w:tcW w:w="1084" w:type="dxa"/>
          </w:tcPr>
          <w:p>
            <w:pPr>
              <w:pStyle w:val="TableParagraph"/>
              <w:ind w:left="328"/>
              <w:jc w:val="left"/>
              <w:rPr>
                <w:sz w:val="14"/>
              </w:rPr>
            </w:pPr>
            <w:r>
              <w:rPr>
                <w:color w:val="231F20"/>
                <w:spacing w:val="-4"/>
                <w:w w:val="95"/>
                <w:sz w:val="14"/>
              </w:rPr>
              <w:t>10.0</w:t>
            </w:r>
          </w:p>
        </w:tc>
        <w:tc>
          <w:tcPr>
            <w:tcW w:w="755" w:type="dxa"/>
          </w:tcPr>
          <w:p>
            <w:pPr>
              <w:pStyle w:val="TableParagraph"/>
              <w:ind w:left="48" w:right="81"/>
              <w:rPr>
                <w:sz w:val="14"/>
              </w:rPr>
            </w:pPr>
            <w:r>
              <w:rPr>
                <w:color w:val="231F20"/>
                <w:spacing w:val="-4"/>
                <w:w w:val="95"/>
                <w:sz w:val="14"/>
              </w:rPr>
              <w:t>10.9</w:t>
            </w:r>
          </w:p>
        </w:tc>
        <w:tc>
          <w:tcPr>
            <w:tcW w:w="240" w:type="dxa"/>
          </w:tcPr>
          <w:p>
            <w:pPr>
              <w:pStyle w:val="TableParagraph"/>
              <w:spacing w:before="0"/>
              <w:jc w:val="left"/>
              <w:rPr>
                <w:rFonts w:ascii="Times New Roman"/>
                <w:sz w:val="12"/>
              </w:rPr>
            </w:pPr>
          </w:p>
        </w:tc>
        <w:tc>
          <w:tcPr>
            <w:tcW w:w="851" w:type="dxa"/>
          </w:tcPr>
          <w:p>
            <w:pPr>
              <w:pStyle w:val="TableParagraph"/>
              <w:ind w:left="244"/>
              <w:jc w:val="left"/>
              <w:rPr>
                <w:sz w:val="14"/>
              </w:rPr>
            </w:pPr>
            <w:r>
              <w:rPr>
                <w:color w:val="231F20"/>
                <w:spacing w:val="-4"/>
                <w:w w:val="95"/>
                <w:sz w:val="14"/>
              </w:rPr>
              <w:t>10.4</w:t>
            </w:r>
          </w:p>
        </w:tc>
        <w:tc>
          <w:tcPr>
            <w:tcW w:w="1063" w:type="dxa"/>
          </w:tcPr>
          <w:p>
            <w:pPr>
              <w:pStyle w:val="TableParagraph"/>
              <w:ind w:left="38" w:right="81"/>
              <w:rPr>
                <w:sz w:val="14"/>
              </w:rPr>
            </w:pPr>
            <w:r>
              <w:rPr>
                <w:color w:val="231F20"/>
                <w:spacing w:val="-4"/>
                <w:w w:val="95"/>
                <w:sz w:val="14"/>
              </w:rPr>
              <w:t>10.5</w:t>
            </w:r>
          </w:p>
        </w:tc>
        <w:tc>
          <w:tcPr>
            <w:tcW w:w="945" w:type="dxa"/>
          </w:tcPr>
          <w:p>
            <w:pPr>
              <w:pStyle w:val="TableParagraph"/>
              <w:ind w:left="16" w:right="74"/>
              <w:rPr>
                <w:sz w:val="14"/>
              </w:rPr>
            </w:pPr>
            <w:r>
              <w:rPr>
                <w:color w:val="231F20"/>
                <w:spacing w:val="-4"/>
                <w:w w:val="95"/>
                <w:sz w:val="14"/>
              </w:rPr>
              <w:t>10.0</w:t>
            </w:r>
          </w:p>
        </w:tc>
        <w:tc>
          <w:tcPr>
            <w:tcW w:w="1008" w:type="dxa"/>
          </w:tcPr>
          <w:p>
            <w:pPr>
              <w:pStyle w:val="TableParagraph"/>
              <w:ind w:right="393"/>
              <w:jc w:val="right"/>
              <w:rPr>
                <w:sz w:val="14"/>
              </w:rPr>
            </w:pPr>
            <w:r>
              <w:rPr>
                <w:color w:val="231F20"/>
                <w:spacing w:val="-4"/>
                <w:w w:val="95"/>
                <w:sz w:val="14"/>
              </w:rPr>
              <w:t>10.9</w:t>
            </w:r>
          </w:p>
        </w:tc>
      </w:tr>
      <w:tr>
        <w:trPr>
          <w:trHeight w:val="259" w:hRule="atLeast"/>
        </w:trPr>
        <w:tc>
          <w:tcPr>
            <w:tcW w:w="1256" w:type="dxa"/>
            <w:shd w:val="clear" w:color="auto" w:fill="D4E3F5"/>
          </w:tcPr>
          <w:p>
            <w:pPr>
              <w:pStyle w:val="TableParagraph"/>
              <w:ind w:left="80"/>
              <w:jc w:val="left"/>
              <w:rPr>
                <w:sz w:val="14"/>
              </w:rPr>
            </w:pPr>
            <w:r>
              <w:rPr>
                <w:color w:val="231F20"/>
                <w:spacing w:val="-2"/>
                <w:w w:val="90"/>
                <w:sz w:val="14"/>
              </w:rPr>
              <w:t>Mongolia</w:t>
            </w:r>
          </w:p>
        </w:tc>
        <w:tc>
          <w:tcPr>
            <w:tcW w:w="1206" w:type="dxa"/>
            <w:shd w:val="clear" w:color="auto" w:fill="D4E3F5"/>
          </w:tcPr>
          <w:p>
            <w:pPr>
              <w:pStyle w:val="TableParagraph"/>
              <w:ind w:right="437"/>
              <w:jc w:val="right"/>
              <w:rPr>
                <w:sz w:val="14"/>
              </w:rPr>
            </w:pPr>
            <w:r>
              <w:rPr>
                <w:color w:val="231F20"/>
                <w:spacing w:val="-10"/>
                <w:w w:val="95"/>
                <w:sz w:val="14"/>
              </w:rPr>
              <w:t>2</w:t>
            </w:r>
          </w:p>
        </w:tc>
        <w:tc>
          <w:tcPr>
            <w:tcW w:w="852" w:type="dxa"/>
            <w:shd w:val="clear" w:color="auto" w:fill="D4E3F5"/>
          </w:tcPr>
          <w:p>
            <w:pPr>
              <w:pStyle w:val="TableParagraph"/>
              <w:ind w:right="145"/>
              <w:rPr>
                <w:sz w:val="14"/>
              </w:rPr>
            </w:pPr>
            <w:r>
              <w:rPr>
                <w:color w:val="231F20"/>
                <w:spacing w:val="-4"/>
                <w:w w:val="95"/>
                <w:sz w:val="14"/>
              </w:rPr>
              <w:t>25.1</w:t>
            </w:r>
          </w:p>
        </w:tc>
        <w:tc>
          <w:tcPr>
            <w:tcW w:w="1061" w:type="dxa"/>
            <w:shd w:val="clear" w:color="auto" w:fill="D4E3F5"/>
          </w:tcPr>
          <w:p>
            <w:pPr>
              <w:pStyle w:val="TableParagraph"/>
              <w:ind w:left="36" w:right="99"/>
              <w:rPr>
                <w:sz w:val="14"/>
              </w:rPr>
            </w:pPr>
            <w:r>
              <w:rPr>
                <w:color w:val="231F20"/>
                <w:spacing w:val="-4"/>
                <w:w w:val="95"/>
                <w:sz w:val="14"/>
              </w:rPr>
              <w:t>25.1</w:t>
            </w:r>
          </w:p>
        </w:tc>
        <w:tc>
          <w:tcPr>
            <w:tcW w:w="1084" w:type="dxa"/>
            <w:shd w:val="clear" w:color="auto" w:fill="D4E3F5"/>
          </w:tcPr>
          <w:p>
            <w:pPr>
              <w:pStyle w:val="TableParagraph"/>
              <w:ind w:left="322"/>
              <w:jc w:val="left"/>
              <w:rPr>
                <w:sz w:val="14"/>
              </w:rPr>
            </w:pPr>
            <w:r>
              <w:rPr>
                <w:color w:val="231F20"/>
                <w:spacing w:val="-4"/>
                <w:w w:val="95"/>
                <w:sz w:val="14"/>
              </w:rPr>
              <w:t>20.0</w:t>
            </w:r>
          </w:p>
        </w:tc>
        <w:tc>
          <w:tcPr>
            <w:tcW w:w="755" w:type="dxa"/>
            <w:shd w:val="clear" w:color="auto" w:fill="D4E3F5"/>
          </w:tcPr>
          <w:p>
            <w:pPr>
              <w:pStyle w:val="TableParagraph"/>
              <w:ind w:left="48" w:right="88"/>
              <w:rPr>
                <w:sz w:val="14"/>
              </w:rPr>
            </w:pPr>
            <w:r>
              <w:rPr>
                <w:color w:val="231F20"/>
                <w:spacing w:val="-4"/>
                <w:w w:val="95"/>
                <w:sz w:val="14"/>
              </w:rPr>
              <w:t>30.3</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38"/>
              <w:jc w:val="left"/>
              <w:rPr>
                <w:sz w:val="14"/>
              </w:rPr>
            </w:pPr>
            <w:r>
              <w:rPr>
                <w:color w:val="231F20"/>
                <w:spacing w:val="-4"/>
                <w:w w:val="95"/>
                <w:sz w:val="14"/>
              </w:rPr>
              <w:t>25.0</w:t>
            </w:r>
          </w:p>
        </w:tc>
        <w:tc>
          <w:tcPr>
            <w:tcW w:w="1063" w:type="dxa"/>
            <w:shd w:val="clear" w:color="auto" w:fill="D4E3F5"/>
          </w:tcPr>
          <w:p>
            <w:pPr>
              <w:pStyle w:val="TableParagraph"/>
              <w:ind w:left="38" w:right="88"/>
              <w:rPr>
                <w:sz w:val="14"/>
              </w:rPr>
            </w:pPr>
            <w:r>
              <w:rPr>
                <w:color w:val="231F20"/>
                <w:spacing w:val="-4"/>
                <w:w w:val="95"/>
                <w:sz w:val="14"/>
              </w:rPr>
              <w:t>25.0</w:t>
            </w:r>
          </w:p>
        </w:tc>
        <w:tc>
          <w:tcPr>
            <w:tcW w:w="945" w:type="dxa"/>
            <w:shd w:val="clear" w:color="auto" w:fill="D4E3F5"/>
          </w:tcPr>
          <w:p>
            <w:pPr>
              <w:pStyle w:val="TableParagraph"/>
              <w:ind w:left="16" w:right="72"/>
              <w:rPr>
                <w:sz w:val="14"/>
              </w:rPr>
            </w:pPr>
            <w:r>
              <w:rPr>
                <w:color w:val="231F20"/>
                <w:spacing w:val="-4"/>
                <w:w w:val="95"/>
                <w:sz w:val="14"/>
              </w:rPr>
              <w:t>19.9</w:t>
            </w:r>
          </w:p>
        </w:tc>
        <w:tc>
          <w:tcPr>
            <w:tcW w:w="1008" w:type="dxa"/>
            <w:shd w:val="clear" w:color="auto" w:fill="D4E3F5"/>
          </w:tcPr>
          <w:p>
            <w:pPr>
              <w:pStyle w:val="TableParagraph"/>
              <w:ind w:right="411"/>
              <w:jc w:val="right"/>
              <w:rPr>
                <w:sz w:val="14"/>
              </w:rPr>
            </w:pPr>
            <w:r>
              <w:rPr>
                <w:color w:val="231F20"/>
                <w:spacing w:val="-4"/>
                <w:w w:val="95"/>
                <w:sz w:val="14"/>
              </w:rPr>
              <w:t>30.1</w:t>
            </w:r>
          </w:p>
        </w:tc>
      </w:tr>
      <w:tr>
        <w:trPr>
          <w:trHeight w:val="259" w:hRule="atLeast"/>
        </w:trPr>
        <w:tc>
          <w:tcPr>
            <w:tcW w:w="1256" w:type="dxa"/>
          </w:tcPr>
          <w:p>
            <w:pPr>
              <w:pStyle w:val="TableParagraph"/>
              <w:ind w:left="80"/>
              <w:jc w:val="left"/>
              <w:rPr>
                <w:sz w:val="14"/>
              </w:rPr>
            </w:pPr>
            <w:r>
              <w:rPr>
                <w:color w:val="231F20"/>
                <w:spacing w:val="-2"/>
                <w:w w:val="90"/>
                <w:sz w:val="14"/>
              </w:rPr>
              <w:t>Morocco</w:t>
            </w:r>
          </w:p>
        </w:tc>
        <w:tc>
          <w:tcPr>
            <w:tcW w:w="1206" w:type="dxa"/>
          </w:tcPr>
          <w:p>
            <w:pPr>
              <w:pStyle w:val="TableParagraph"/>
              <w:ind w:right="435"/>
              <w:jc w:val="right"/>
              <w:rPr>
                <w:sz w:val="14"/>
              </w:rPr>
            </w:pPr>
            <w:r>
              <w:rPr>
                <w:color w:val="231F20"/>
                <w:spacing w:val="-2"/>
                <w:w w:val="95"/>
                <w:sz w:val="14"/>
              </w:rPr>
              <w:t>16,266</w:t>
            </w:r>
          </w:p>
        </w:tc>
        <w:tc>
          <w:tcPr>
            <w:tcW w:w="852" w:type="dxa"/>
          </w:tcPr>
          <w:p>
            <w:pPr>
              <w:pStyle w:val="TableParagraph"/>
              <w:ind w:left="21" w:right="145"/>
              <w:rPr>
                <w:sz w:val="14"/>
              </w:rPr>
            </w:pPr>
            <w:r>
              <w:rPr>
                <w:color w:val="231F20"/>
                <w:spacing w:val="-4"/>
                <w:w w:val="95"/>
                <w:sz w:val="14"/>
              </w:rPr>
              <w:t>10.7</w:t>
            </w:r>
          </w:p>
        </w:tc>
        <w:tc>
          <w:tcPr>
            <w:tcW w:w="1061" w:type="dxa"/>
          </w:tcPr>
          <w:p>
            <w:pPr>
              <w:pStyle w:val="TableParagraph"/>
              <w:ind w:left="99" w:right="63"/>
              <w:rPr>
                <w:sz w:val="14"/>
              </w:rPr>
            </w:pPr>
            <w:r>
              <w:rPr>
                <w:color w:val="231F20"/>
                <w:spacing w:val="-5"/>
                <w:w w:val="95"/>
                <w:sz w:val="14"/>
              </w:rPr>
              <w:t>7.2</w:t>
            </w:r>
          </w:p>
        </w:tc>
        <w:tc>
          <w:tcPr>
            <w:tcW w:w="1084" w:type="dxa"/>
          </w:tcPr>
          <w:p>
            <w:pPr>
              <w:pStyle w:val="TableParagraph"/>
              <w:ind w:left="393"/>
              <w:jc w:val="left"/>
              <w:rPr>
                <w:sz w:val="14"/>
              </w:rPr>
            </w:pPr>
            <w:r>
              <w:rPr>
                <w:color w:val="231F20"/>
                <w:spacing w:val="-5"/>
                <w:w w:val="95"/>
                <w:sz w:val="14"/>
              </w:rPr>
              <w:t>4.2</w:t>
            </w:r>
          </w:p>
        </w:tc>
        <w:tc>
          <w:tcPr>
            <w:tcW w:w="755" w:type="dxa"/>
          </w:tcPr>
          <w:p>
            <w:pPr>
              <w:pStyle w:val="TableParagraph"/>
              <w:ind w:left="48" w:right="82"/>
              <w:rPr>
                <w:sz w:val="14"/>
              </w:rPr>
            </w:pPr>
            <w:r>
              <w:rPr>
                <w:color w:val="231F20"/>
                <w:spacing w:val="-4"/>
                <w:w w:val="95"/>
                <w:sz w:val="14"/>
              </w:rPr>
              <w:t>12.4</w:t>
            </w:r>
          </w:p>
        </w:tc>
        <w:tc>
          <w:tcPr>
            <w:tcW w:w="240" w:type="dxa"/>
          </w:tcPr>
          <w:p>
            <w:pPr>
              <w:pStyle w:val="TableParagraph"/>
              <w:spacing w:before="0"/>
              <w:jc w:val="left"/>
              <w:rPr>
                <w:rFonts w:ascii="Times New Roman"/>
                <w:sz w:val="12"/>
              </w:rPr>
            </w:pPr>
          </w:p>
        </w:tc>
        <w:tc>
          <w:tcPr>
            <w:tcW w:w="851" w:type="dxa"/>
          </w:tcPr>
          <w:p>
            <w:pPr>
              <w:pStyle w:val="TableParagraph"/>
              <w:ind w:left="244"/>
              <w:jc w:val="left"/>
              <w:rPr>
                <w:sz w:val="14"/>
              </w:rPr>
            </w:pPr>
            <w:r>
              <w:rPr>
                <w:color w:val="231F20"/>
                <w:spacing w:val="-4"/>
                <w:w w:val="95"/>
                <w:sz w:val="14"/>
              </w:rPr>
              <w:t>10.2</w:t>
            </w:r>
          </w:p>
        </w:tc>
        <w:tc>
          <w:tcPr>
            <w:tcW w:w="1063" w:type="dxa"/>
          </w:tcPr>
          <w:p>
            <w:pPr>
              <w:pStyle w:val="TableParagraph"/>
              <w:ind w:left="72" w:right="53"/>
              <w:rPr>
                <w:sz w:val="14"/>
              </w:rPr>
            </w:pPr>
            <w:r>
              <w:rPr>
                <w:color w:val="231F20"/>
                <w:spacing w:val="-5"/>
                <w:w w:val="95"/>
                <w:sz w:val="14"/>
              </w:rPr>
              <w:t>7.1</w:t>
            </w:r>
          </w:p>
        </w:tc>
        <w:tc>
          <w:tcPr>
            <w:tcW w:w="945" w:type="dxa"/>
          </w:tcPr>
          <w:p>
            <w:pPr>
              <w:pStyle w:val="TableParagraph"/>
              <w:ind w:left="47" w:right="58"/>
              <w:rPr>
                <w:sz w:val="14"/>
              </w:rPr>
            </w:pPr>
            <w:r>
              <w:rPr>
                <w:color w:val="231F20"/>
                <w:spacing w:val="-5"/>
                <w:w w:val="95"/>
                <w:sz w:val="14"/>
              </w:rPr>
              <w:t>4.1</w:t>
            </w:r>
          </w:p>
        </w:tc>
        <w:tc>
          <w:tcPr>
            <w:tcW w:w="1008" w:type="dxa"/>
          </w:tcPr>
          <w:p>
            <w:pPr>
              <w:pStyle w:val="TableParagraph"/>
              <w:ind w:right="392"/>
              <w:jc w:val="right"/>
              <w:rPr>
                <w:sz w:val="14"/>
              </w:rPr>
            </w:pPr>
            <w:r>
              <w:rPr>
                <w:color w:val="231F20"/>
                <w:spacing w:val="-4"/>
                <w:w w:val="95"/>
                <w:sz w:val="14"/>
              </w:rPr>
              <w:t>12.2</w:t>
            </w:r>
          </w:p>
        </w:tc>
      </w:tr>
      <w:tr>
        <w:trPr>
          <w:trHeight w:val="259" w:hRule="atLeast"/>
        </w:trPr>
        <w:tc>
          <w:tcPr>
            <w:tcW w:w="1256" w:type="dxa"/>
            <w:shd w:val="clear" w:color="auto" w:fill="D4E3F5"/>
          </w:tcPr>
          <w:p>
            <w:pPr>
              <w:pStyle w:val="TableParagraph"/>
              <w:ind w:left="80"/>
              <w:jc w:val="left"/>
              <w:rPr>
                <w:sz w:val="14"/>
              </w:rPr>
            </w:pPr>
            <w:r>
              <w:rPr>
                <w:color w:val="231F20"/>
                <w:spacing w:val="-2"/>
                <w:w w:val="90"/>
                <w:sz w:val="14"/>
              </w:rPr>
              <w:t>Mozambique</w:t>
            </w:r>
          </w:p>
        </w:tc>
        <w:tc>
          <w:tcPr>
            <w:tcW w:w="1206" w:type="dxa"/>
            <w:shd w:val="clear" w:color="auto" w:fill="D4E3F5"/>
          </w:tcPr>
          <w:p>
            <w:pPr>
              <w:pStyle w:val="TableParagraph"/>
              <w:ind w:right="441"/>
              <w:jc w:val="right"/>
              <w:rPr>
                <w:sz w:val="14"/>
              </w:rPr>
            </w:pPr>
            <w:r>
              <w:rPr>
                <w:color w:val="231F20"/>
                <w:spacing w:val="-2"/>
                <w:w w:val="95"/>
                <w:sz w:val="14"/>
              </w:rPr>
              <w:t>5,713</w:t>
            </w:r>
          </w:p>
        </w:tc>
        <w:tc>
          <w:tcPr>
            <w:tcW w:w="852" w:type="dxa"/>
            <w:shd w:val="clear" w:color="auto" w:fill="D4E3F5"/>
          </w:tcPr>
          <w:p>
            <w:pPr>
              <w:pStyle w:val="TableParagraph"/>
              <w:ind w:left="101" w:right="145"/>
              <w:rPr>
                <w:sz w:val="14"/>
              </w:rPr>
            </w:pPr>
            <w:r>
              <w:rPr>
                <w:color w:val="231F20"/>
                <w:spacing w:val="-5"/>
                <w:w w:val="95"/>
                <w:sz w:val="14"/>
              </w:rPr>
              <w:t>7.5</w:t>
            </w:r>
          </w:p>
        </w:tc>
        <w:tc>
          <w:tcPr>
            <w:tcW w:w="1061" w:type="dxa"/>
            <w:shd w:val="clear" w:color="auto" w:fill="D4E3F5"/>
          </w:tcPr>
          <w:p>
            <w:pPr>
              <w:pStyle w:val="TableParagraph"/>
              <w:ind w:left="85" w:right="63"/>
              <w:rPr>
                <w:sz w:val="14"/>
              </w:rPr>
            </w:pPr>
            <w:r>
              <w:rPr>
                <w:color w:val="231F20"/>
                <w:spacing w:val="-5"/>
                <w:w w:val="95"/>
                <w:sz w:val="14"/>
              </w:rPr>
              <w:t>5.6</w:t>
            </w:r>
          </w:p>
        </w:tc>
        <w:tc>
          <w:tcPr>
            <w:tcW w:w="1084" w:type="dxa"/>
            <w:shd w:val="clear" w:color="auto" w:fill="D4E3F5"/>
          </w:tcPr>
          <w:p>
            <w:pPr>
              <w:pStyle w:val="TableParagraph"/>
              <w:ind w:left="391"/>
              <w:jc w:val="left"/>
              <w:rPr>
                <w:sz w:val="14"/>
              </w:rPr>
            </w:pPr>
            <w:r>
              <w:rPr>
                <w:color w:val="231F20"/>
                <w:spacing w:val="-5"/>
                <w:w w:val="95"/>
                <w:sz w:val="14"/>
              </w:rPr>
              <w:t>3.6</w:t>
            </w:r>
          </w:p>
        </w:tc>
        <w:tc>
          <w:tcPr>
            <w:tcW w:w="755" w:type="dxa"/>
            <w:shd w:val="clear" w:color="auto" w:fill="D4E3F5"/>
          </w:tcPr>
          <w:p>
            <w:pPr>
              <w:pStyle w:val="TableParagraph"/>
              <w:ind w:left="79" w:right="51"/>
              <w:rPr>
                <w:sz w:val="14"/>
              </w:rPr>
            </w:pPr>
            <w:r>
              <w:rPr>
                <w:color w:val="231F20"/>
                <w:spacing w:val="-5"/>
                <w:w w:val="95"/>
                <w:sz w:val="14"/>
              </w:rPr>
              <w:t>9.3</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6" w:right="136"/>
              <w:rPr>
                <w:sz w:val="14"/>
              </w:rPr>
            </w:pPr>
            <w:r>
              <w:rPr>
                <w:color w:val="231F20"/>
                <w:spacing w:val="-5"/>
                <w:w w:val="95"/>
                <w:sz w:val="14"/>
              </w:rPr>
              <w:t>7.4</w:t>
            </w:r>
          </w:p>
        </w:tc>
        <w:tc>
          <w:tcPr>
            <w:tcW w:w="1063" w:type="dxa"/>
            <w:shd w:val="clear" w:color="auto" w:fill="D4E3F5"/>
          </w:tcPr>
          <w:p>
            <w:pPr>
              <w:pStyle w:val="TableParagraph"/>
              <w:ind w:left="70" w:right="53"/>
              <w:rPr>
                <w:sz w:val="14"/>
              </w:rPr>
            </w:pPr>
            <w:r>
              <w:rPr>
                <w:color w:val="231F20"/>
                <w:spacing w:val="-5"/>
                <w:w w:val="95"/>
                <w:sz w:val="14"/>
              </w:rPr>
              <w:t>5.6</w:t>
            </w:r>
          </w:p>
        </w:tc>
        <w:tc>
          <w:tcPr>
            <w:tcW w:w="945" w:type="dxa"/>
            <w:shd w:val="clear" w:color="auto" w:fill="D4E3F5"/>
          </w:tcPr>
          <w:p>
            <w:pPr>
              <w:pStyle w:val="TableParagraph"/>
              <w:ind w:left="61" w:right="58"/>
              <w:rPr>
                <w:sz w:val="14"/>
              </w:rPr>
            </w:pPr>
            <w:r>
              <w:rPr>
                <w:color w:val="231F20"/>
                <w:spacing w:val="-5"/>
                <w:w w:val="95"/>
                <w:sz w:val="14"/>
              </w:rPr>
              <w:t>3.6</w:t>
            </w:r>
          </w:p>
        </w:tc>
        <w:tc>
          <w:tcPr>
            <w:tcW w:w="1008" w:type="dxa"/>
            <w:shd w:val="clear" w:color="auto" w:fill="D4E3F5"/>
          </w:tcPr>
          <w:p>
            <w:pPr>
              <w:pStyle w:val="TableParagraph"/>
              <w:ind w:right="392"/>
              <w:jc w:val="right"/>
              <w:rPr>
                <w:sz w:val="14"/>
              </w:rPr>
            </w:pPr>
            <w:r>
              <w:rPr>
                <w:color w:val="231F20"/>
                <w:spacing w:val="-5"/>
                <w:w w:val="95"/>
                <w:sz w:val="14"/>
              </w:rPr>
              <w:t>9.2</w:t>
            </w:r>
          </w:p>
        </w:tc>
      </w:tr>
      <w:tr>
        <w:trPr>
          <w:trHeight w:val="259" w:hRule="atLeast"/>
        </w:trPr>
        <w:tc>
          <w:tcPr>
            <w:tcW w:w="1256" w:type="dxa"/>
          </w:tcPr>
          <w:p>
            <w:pPr>
              <w:pStyle w:val="TableParagraph"/>
              <w:ind w:left="80"/>
              <w:jc w:val="left"/>
              <w:rPr>
                <w:sz w:val="14"/>
              </w:rPr>
            </w:pPr>
            <w:r>
              <w:rPr>
                <w:color w:val="231F20"/>
                <w:spacing w:val="-2"/>
                <w:w w:val="90"/>
                <w:sz w:val="14"/>
              </w:rPr>
              <w:t>Myanmar</w:t>
            </w:r>
          </w:p>
        </w:tc>
        <w:tc>
          <w:tcPr>
            <w:tcW w:w="1206" w:type="dxa"/>
          </w:tcPr>
          <w:p>
            <w:pPr>
              <w:pStyle w:val="TableParagraph"/>
              <w:ind w:right="436"/>
              <w:jc w:val="right"/>
              <w:rPr>
                <w:sz w:val="14"/>
              </w:rPr>
            </w:pPr>
            <w:r>
              <w:rPr>
                <w:color w:val="231F20"/>
                <w:spacing w:val="-2"/>
                <w:w w:val="95"/>
                <w:sz w:val="14"/>
              </w:rPr>
              <w:t>13,635</w:t>
            </w:r>
          </w:p>
        </w:tc>
        <w:tc>
          <w:tcPr>
            <w:tcW w:w="852" w:type="dxa"/>
          </w:tcPr>
          <w:p>
            <w:pPr>
              <w:pStyle w:val="TableParagraph"/>
              <w:ind w:left="69" w:right="145"/>
              <w:rPr>
                <w:sz w:val="14"/>
              </w:rPr>
            </w:pPr>
            <w:r>
              <w:rPr>
                <w:color w:val="231F20"/>
                <w:spacing w:val="-5"/>
                <w:w w:val="95"/>
                <w:sz w:val="14"/>
              </w:rPr>
              <w:t>8.1</w:t>
            </w:r>
          </w:p>
        </w:tc>
        <w:tc>
          <w:tcPr>
            <w:tcW w:w="1061" w:type="dxa"/>
          </w:tcPr>
          <w:p>
            <w:pPr>
              <w:pStyle w:val="TableParagraph"/>
              <w:ind w:left="85" w:right="63"/>
              <w:rPr>
                <w:sz w:val="14"/>
              </w:rPr>
            </w:pPr>
            <w:r>
              <w:rPr>
                <w:color w:val="231F20"/>
                <w:spacing w:val="-5"/>
                <w:w w:val="95"/>
                <w:sz w:val="14"/>
              </w:rPr>
              <w:t>5.0</w:t>
            </w:r>
          </w:p>
        </w:tc>
        <w:tc>
          <w:tcPr>
            <w:tcW w:w="1084" w:type="dxa"/>
          </w:tcPr>
          <w:p>
            <w:pPr>
              <w:pStyle w:val="TableParagraph"/>
              <w:ind w:left="391"/>
              <w:jc w:val="left"/>
              <w:rPr>
                <w:sz w:val="14"/>
              </w:rPr>
            </w:pPr>
            <w:r>
              <w:rPr>
                <w:color w:val="231F20"/>
                <w:spacing w:val="-5"/>
                <w:w w:val="95"/>
                <w:sz w:val="14"/>
              </w:rPr>
              <w:t>3.1</w:t>
            </w:r>
          </w:p>
        </w:tc>
        <w:tc>
          <w:tcPr>
            <w:tcW w:w="755" w:type="dxa"/>
          </w:tcPr>
          <w:p>
            <w:pPr>
              <w:pStyle w:val="TableParagraph"/>
              <w:ind w:left="78" w:right="51"/>
              <w:rPr>
                <w:sz w:val="14"/>
              </w:rPr>
            </w:pPr>
            <w:r>
              <w:rPr>
                <w:color w:val="231F20"/>
                <w:spacing w:val="-5"/>
                <w:w w:val="95"/>
                <w:sz w:val="14"/>
              </w:rPr>
              <w:t>9.6</w:t>
            </w:r>
          </w:p>
        </w:tc>
        <w:tc>
          <w:tcPr>
            <w:tcW w:w="240" w:type="dxa"/>
          </w:tcPr>
          <w:p>
            <w:pPr>
              <w:pStyle w:val="TableParagraph"/>
              <w:spacing w:before="0"/>
              <w:jc w:val="left"/>
              <w:rPr>
                <w:rFonts w:ascii="Times New Roman"/>
                <w:sz w:val="12"/>
              </w:rPr>
            </w:pPr>
          </w:p>
        </w:tc>
        <w:tc>
          <w:tcPr>
            <w:tcW w:w="851" w:type="dxa"/>
          </w:tcPr>
          <w:p>
            <w:pPr>
              <w:pStyle w:val="TableParagraph"/>
              <w:ind w:left="56" w:right="136"/>
              <w:rPr>
                <w:sz w:val="14"/>
              </w:rPr>
            </w:pPr>
            <w:r>
              <w:rPr>
                <w:color w:val="231F20"/>
                <w:spacing w:val="-5"/>
                <w:w w:val="95"/>
                <w:sz w:val="14"/>
              </w:rPr>
              <w:t>8.1</w:t>
            </w:r>
          </w:p>
        </w:tc>
        <w:tc>
          <w:tcPr>
            <w:tcW w:w="1063" w:type="dxa"/>
          </w:tcPr>
          <w:p>
            <w:pPr>
              <w:pStyle w:val="TableParagraph"/>
              <w:ind w:left="70" w:right="53"/>
              <w:rPr>
                <w:sz w:val="14"/>
              </w:rPr>
            </w:pPr>
            <w:r>
              <w:rPr>
                <w:color w:val="231F20"/>
                <w:spacing w:val="-5"/>
                <w:w w:val="95"/>
                <w:sz w:val="14"/>
              </w:rPr>
              <w:t>5.0</w:t>
            </w:r>
          </w:p>
        </w:tc>
        <w:tc>
          <w:tcPr>
            <w:tcW w:w="945" w:type="dxa"/>
          </w:tcPr>
          <w:p>
            <w:pPr>
              <w:pStyle w:val="TableParagraph"/>
              <w:ind w:left="45" w:right="58"/>
              <w:rPr>
                <w:sz w:val="14"/>
              </w:rPr>
            </w:pPr>
            <w:r>
              <w:rPr>
                <w:color w:val="231F20"/>
                <w:spacing w:val="-5"/>
                <w:w w:val="95"/>
                <w:sz w:val="14"/>
              </w:rPr>
              <w:t>3.1</w:t>
            </w:r>
          </w:p>
        </w:tc>
        <w:tc>
          <w:tcPr>
            <w:tcW w:w="1008" w:type="dxa"/>
          </w:tcPr>
          <w:p>
            <w:pPr>
              <w:pStyle w:val="TableParagraph"/>
              <w:ind w:right="394"/>
              <w:jc w:val="right"/>
              <w:rPr>
                <w:sz w:val="14"/>
              </w:rPr>
            </w:pPr>
            <w:r>
              <w:rPr>
                <w:color w:val="231F20"/>
                <w:spacing w:val="-5"/>
                <w:w w:val="95"/>
                <w:sz w:val="14"/>
              </w:rPr>
              <w:t>9.6</w:t>
            </w:r>
          </w:p>
        </w:tc>
      </w:tr>
      <w:tr>
        <w:trPr>
          <w:trHeight w:val="259" w:hRule="atLeast"/>
        </w:trPr>
        <w:tc>
          <w:tcPr>
            <w:tcW w:w="1256" w:type="dxa"/>
            <w:shd w:val="clear" w:color="auto" w:fill="D4E3F5"/>
          </w:tcPr>
          <w:p>
            <w:pPr>
              <w:pStyle w:val="TableParagraph"/>
              <w:ind w:left="80"/>
              <w:jc w:val="left"/>
              <w:rPr>
                <w:sz w:val="14"/>
              </w:rPr>
            </w:pPr>
            <w:r>
              <w:rPr>
                <w:color w:val="231F20"/>
                <w:spacing w:val="-2"/>
                <w:w w:val="90"/>
                <w:sz w:val="14"/>
              </w:rPr>
              <w:t>Namibia</w:t>
            </w:r>
          </w:p>
        </w:tc>
        <w:tc>
          <w:tcPr>
            <w:tcW w:w="1206" w:type="dxa"/>
            <w:shd w:val="clear" w:color="auto" w:fill="D4E3F5"/>
          </w:tcPr>
          <w:p>
            <w:pPr>
              <w:pStyle w:val="TableParagraph"/>
              <w:ind w:right="436"/>
              <w:jc w:val="right"/>
              <w:rPr>
                <w:sz w:val="14"/>
              </w:rPr>
            </w:pPr>
            <w:r>
              <w:rPr>
                <w:color w:val="231F20"/>
                <w:spacing w:val="-2"/>
                <w:w w:val="95"/>
                <w:sz w:val="14"/>
              </w:rPr>
              <w:t>1,097</w:t>
            </w:r>
          </w:p>
        </w:tc>
        <w:tc>
          <w:tcPr>
            <w:tcW w:w="852" w:type="dxa"/>
            <w:shd w:val="clear" w:color="auto" w:fill="D4E3F5"/>
          </w:tcPr>
          <w:p>
            <w:pPr>
              <w:pStyle w:val="TableParagraph"/>
              <w:ind w:left="71" w:right="145"/>
              <w:rPr>
                <w:sz w:val="14"/>
              </w:rPr>
            </w:pPr>
            <w:r>
              <w:rPr>
                <w:color w:val="231F20"/>
                <w:spacing w:val="-5"/>
                <w:w w:val="95"/>
                <w:sz w:val="14"/>
              </w:rPr>
              <w:t>9.1</w:t>
            </w:r>
          </w:p>
        </w:tc>
        <w:tc>
          <w:tcPr>
            <w:tcW w:w="1061" w:type="dxa"/>
            <w:shd w:val="clear" w:color="auto" w:fill="D4E3F5"/>
          </w:tcPr>
          <w:p>
            <w:pPr>
              <w:pStyle w:val="TableParagraph"/>
              <w:ind w:left="85" w:right="63"/>
              <w:rPr>
                <w:sz w:val="14"/>
              </w:rPr>
            </w:pPr>
            <w:r>
              <w:rPr>
                <w:color w:val="231F20"/>
                <w:spacing w:val="-5"/>
                <w:w w:val="95"/>
                <w:sz w:val="14"/>
              </w:rPr>
              <w:t>6.8</w:t>
            </w:r>
          </w:p>
        </w:tc>
        <w:tc>
          <w:tcPr>
            <w:tcW w:w="1084" w:type="dxa"/>
            <w:shd w:val="clear" w:color="auto" w:fill="D4E3F5"/>
          </w:tcPr>
          <w:p>
            <w:pPr>
              <w:pStyle w:val="TableParagraph"/>
              <w:ind w:left="393"/>
              <w:jc w:val="left"/>
              <w:rPr>
                <w:sz w:val="14"/>
              </w:rPr>
            </w:pPr>
            <w:r>
              <w:rPr>
                <w:color w:val="231F20"/>
                <w:spacing w:val="-5"/>
                <w:w w:val="95"/>
                <w:sz w:val="14"/>
              </w:rPr>
              <w:t>4.1</w:t>
            </w:r>
          </w:p>
        </w:tc>
        <w:tc>
          <w:tcPr>
            <w:tcW w:w="755" w:type="dxa"/>
            <w:shd w:val="clear" w:color="auto" w:fill="D4E3F5"/>
          </w:tcPr>
          <w:p>
            <w:pPr>
              <w:pStyle w:val="TableParagraph"/>
              <w:ind w:left="48" w:right="83"/>
              <w:rPr>
                <w:sz w:val="14"/>
              </w:rPr>
            </w:pPr>
            <w:r>
              <w:rPr>
                <w:color w:val="231F20"/>
                <w:spacing w:val="-4"/>
                <w:w w:val="95"/>
                <w:sz w:val="14"/>
              </w:rPr>
              <w:t>10.4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57" w:right="136"/>
              <w:rPr>
                <w:sz w:val="14"/>
              </w:rPr>
            </w:pPr>
            <w:r>
              <w:rPr>
                <w:color w:val="231F20"/>
                <w:spacing w:val="-5"/>
                <w:w w:val="95"/>
                <w:sz w:val="14"/>
              </w:rPr>
              <w:t>9.1</w:t>
            </w:r>
          </w:p>
        </w:tc>
        <w:tc>
          <w:tcPr>
            <w:tcW w:w="1063" w:type="dxa"/>
            <w:shd w:val="clear" w:color="auto" w:fill="D4E3F5"/>
          </w:tcPr>
          <w:p>
            <w:pPr>
              <w:pStyle w:val="TableParagraph"/>
              <w:ind w:left="69" w:right="53"/>
              <w:rPr>
                <w:sz w:val="14"/>
              </w:rPr>
            </w:pPr>
            <w:r>
              <w:rPr>
                <w:color w:val="231F20"/>
                <w:spacing w:val="-5"/>
                <w:w w:val="95"/>
                <w:sz w:val="14"/>
              </w:rPr>
              <w:t>6.8</w:t>
            </w:r>
          </w:p>
        </w:tc>
        <w:tc>
          <w:tcPr>
            <w:tcW w:w="945" w:type="dxa"/>
            <w:shd w:val="clear" w:color="auto" w:fill="D4E3F5"/>
          </w:tcPr>
          <w:p>
            <w:pPr>
              <w:pStyle w:val="TableParagraph"/>
              <w:ind w:left="47" w:right="58"/>
              <w:rPr>
                <w:sz w:val="14"/>
              </w:rPr>
            </w:pPr>
            <w:r>
              <w:rPr>
                <w:color w:val="231F20"/>
                <w:spacing w:val="-5"/>
                <w:w w:val="95"/>
                <w:sz w:val="14"/>
              </w:rPr>
              <w:t>4.1</w:t>
            </w:r>
          </w:p>
        </w:tc>
        <w:tc>
          <w:tcPr>
            <w:tcW w:w="1008" w:type="dxa"/>
            <w:shd w:val="clear" w:color="auto" w:fill="D4E3F5"/>
          </w:tcPr>
          <w:p>
            <w:pPr>
              <w:pStyle w:val="TableParagraph"/>
              <w:ind w:right="395"/>
              <w:jc w:val="right"/>
              <w:rPr>
                <w:sz w:val="14"/>
              </w:rPr>
            </w:pPr>
            <w:r>
              <w:rPr>
                <w:color w:val="231F20"/>
                <w:spacing w:val="-4"/>
                <w:w w:val="95"/>
                <w:sz w:val="14"/>
              </w:rPr>
              <w:t>10.4</w:t>
            </w:r>
          </w:p>
        </w:tc>
      </w:tr>
      <w:tr>
        <w:trPr>
          <w:trHeight w:val="259" w:hRule="atLeast"/>
        </w:trPr>
        <w:tc>
          <w:tcPr>
            <w:tcW w:w="1256" w:type="dxa"/>
          </w:tcPr>
          <w:p>
            <w:pPr>
              <w:pStyle w:val="TableParagraph"/>
              <w:ind w:left="80"/>
              <w:jc w:val="left"/>
              <w:rPr>
                <w:sz w:val="14"/>
              </w:rPr>
            </w:pPr>
            <w:r>
              <w:rPr>
                <w:color w:val="231F20"/>
                <w:spacing w:val="-2"/>
                <w:w w:val="85"/>
                <w:sz w:val="14"/>
              </w:rPr>
              <w:t>Nepal</w:t>
            </w:r>
          </w:p>
        </w:tc>
        <w:tc>
          <w:tcPr>
            <w:tcW w:w="1206" w:type="dxa"/>
          </w:tcPr>
          <w:p>
            <w:pPr>
              <w:pStyle w:val="TableParagraph"/>
              <w:ind w:right="430"/>
              <w:jc w:val="right"/>
              <w:rPr>
                <w:sz w:val="14"/>
              </w:rPr>
            </w:pPr>
            <w:r>
              <w:rPr>
                <w:color w:val="231F20"/>
                <w:spacing w:val="-2"/>
                <w:w w:val="95"/>
                <w:sz w:val="14"/>
              </w:rPr>
              <w:t>2,454</w:t>
            </w:r>
          </w:p>
        </w:tc>
        <w:tc>
          <w:tcPr>
            <w:tcW w:w="852" w:type="dxa"/>
          </w:tcPr>
          <w:p>
            <w:pPr>
              <w:pStyle w:val="TableParagraph"/>
              <w:ind w:left="34" w:right="145"/>
              <w:rPr>
                <w:sz w:val="14"/>
              </w:rPr>
            </w:pPr>
            <w:r>
              <w:rPr>
                <w:color w:val="231F20"/>
                <w:spacing w:val="-4"/>
                <w:w w:val="95"/>
                <w:sz w:val="14"/>
              </w:rPr>
              <w:t>11.6</w:t>
            </w:r>
          </w:p>
        </w:tc>
        <w:tc>
          <w:tcPr>
            <w:tcW w:w="1061" w:type="dxa"/>
          </w:tcPr>
          <w:p>
            <w:pPr>
              <w:pStyle w:val="TableParagraph"/>
              <w:ind w:left="36" w:right="74"/>
              <w:rPr>
                <w:sz w:val="14"/>
              </w:rPr>
            </w:pPr>
            <w:r>
              <w:rPr>
                <w:color w:val="231F20"/>
                <w:spacing w:val="-4"/>
                <w:w w:val="95"/>
                <w:sz w:val="14"/>
              </w:rPr>
              <w:t>10.6</w:t>
            </w:r>
          </w:p>
        </w:tc>
        <w:tc>
          <w:tcPr>
            <w:tcW w:w="1084" w:type="dxa"/>
          </w:tcPr>
          <w:p>
            <w:pPr>
              <w:pStyle w:val="TableParagraph"/>
              <w:ind w:left="391"/>
              <w:jc w:val="left"/>
              <w:rPr>
                <w:sz w:val="14"/>
              </w:rPr>
            </w:pPr>
            <w:r>
              <w:rPr>
                <w:color w:val="231F20"/>
                <w:spacing w:val="-5"/>
                <w:w w:val="95"/>
                <w:sz w:val="14"/>
              </w:rPr>
              <w:t>6.0</w:t>
            </w:r>
          </w:p>
        </w:tc>
        <w:tc>
          <w:tcPr>
            <w:tcW w:w="755" w:type="dxa"/>
          </w:tcPr>
          <w:p>
            <w:pPr>
              <w:pStyle w:val="TableParagraph"/>
              <w:ind w:left="48" w:right="80"/>
              <w:rPr>
                <w:sz w:val="14"/>
              </w:rPr>
            </w:pPr>
            <w:r>
              <w:rPr>
                <w:color w:val="231F20"/>
                <w:spacing w:val="-4"/>
                <w:w w:val="95"/>
                <w:sz w:val="14"/>
              </w:rPr>
              <w:t>15.5</w:t>
            </w:r>
          </w:p>
        </w:tc>
        <w:tc>
          <w:tcPr>
            <w:tcW w:w="240" w:type="dxa"/>
          </w:tcPr>
          <w:p>
            <w:pPr>
              <w:pStyle w:val="TableParagraph"/>
              <w:spacing w:before="0"/>
              <w:jc w:val="left"/>
              <w:rPr>
                <w:rFonts w:ascii="Times New Roman"/>
                <w:sz w:val="12"/>
              </w:rPr>
            </w:pPr>
          </w:p>
        </w:tc>
        <w:tc>
          <w:tcPr>
            <w:tcW w:w="851" w:type="dxa"/>
          </w:tcPr>
          <w:p>
            <w:pPr>
              <w:pStyle w:val="TableParagraph"/>
              <w:ind w:left="56" w:right="136"/>
              <w:rPr>
                <w:sz w:val="14"/>
              </w:rPr>
            </w:pPr>
            <w:r>
              <w:rPr>
                <w:color w:val="231F20"/>
                <w:spacing w:val="-5"/>
                <w:w w:val="95"/>
                <w:sz w:val="14"/>
              </w:rPr>
              <w:t>6.1</w:t>
            </w:r>
          </w:p>
        </w:tc>
        <w:tc>
          <w:tcPr>
            <w:tcW w:w="1063" w:type="dxa"/>
          </w:tcPr>
          <w:p>
            <w:pPr>
              <w:pStyle w:val="TableParagraph"/>
              <w:ind w:left="64" w:right="53"/>
              <w:rPr>
                <w:sz w:val="14"/>
              </w:rPr>
            </w:pPr>
            <w:r>
              <w:rPr>
                <w:color w:val="231F20"/>
                <w:spacing w:val="-5"/>
                <w:w w:val="95"/>
                <w:sz w:val="14"/>
              </w:rPr>
              <w:t>3.7</w:t>
            </w:r>
          </w:p>
        </w:tc>
        <w:tc>
          <w:tcPr>
            <w:tcW w:w="945" w:type="dxa"/>
          </w:tcPr>
          <w:p>
            <w:pPr>
              <w:pStyle w:val="TableParagraph"/>
              <w:ind w:left="62" w:right="58"/>
              <w:rPr>
                <w:sz w:val="14"/>
              </w:rPr>
            </w:pPr>
            <w:r>
              <w:rPr>
                <w:color w:val="231F20"/>
                <w:spacing w:val="-5"/>
                <w:w w:val="95"/>
                <w:sz w:val="14"/>
              </w:rPr>
              <w:t>2.0</w:t>
            </w:r>
          </w:p>
        </w:tc>
        <w:tc>
          <w:tcPr>
            <w:tcW w:w="1008" w:type="dxa"/>
          </w:tcPr>
          <w:p>
            <w:pPr>
              <w:pStyle w:val="TableParagraph"/>
              <w:ind w:right="391"/>
              <w:jc w:val="right"/>
              <w:rPr>
                <w:sz w:val="14"/>
              </w:rPr>
            </w:pPr>
            <w:r>
              <w:rPr>
                <w:color w:val="231F20"/>
                <w:spacing w:val="-5"/>
                <w:w w:val="95"/>
                <w:sz w:val="14"/>
              </w:rPr>
              <w:t>8.8</w:t>
            </w:r>
          </w:p>
        </w:tc>
      </w:tr>
      <w:tr>
        <w:trPr>
          <w:trHeight w:val="259" w:hRule="atLeast"/>
        </w:trPr>
        <w:tc>
          <w:tcPr>
            <w:tcW w:w="1256" w:type="dxa"/>
            <w:shd w:val="clear" w:color="auto" w:fill="D4E3F5"/>
          </w:tcPr>
          <w:p>
            <w:pPr>
              <w:pStyle w:val="TableParagraph"/>
              <w:ind w:left="80"/>
              <w:jc w:val="left"/>
              <w:rPr>
                <w:sz w:val="14"/>
              </w:rPr>
            </w:pPr>
            <w:r>
              <w:rPr>
                <w:color w:val="231F20"/>
                <w:spacing w:val="-2"/>
                <w:w w:val="90"/>
                <w:sz w:val="14"/>
              </w:rPr>
              <w:t>Netherlands</w:t>
            </w:r>
          </w:p>
        </w:tc>
        <w:tc>
          <w:tcPr>
            <w:tcW w:w="1206" w:type="dxa"/>
            <w:shd w:val="clear" w:color="auto" w:fill="D4E3F5"/>
          </w:tcPr>
          <w:p>
            <w:pPr>
              <w:pStyle w:val="TableParagraph"/>
              <w:ind w:right="436"/>
              <w:jc w:val="right"/>
              <w:rPr>
                <w:sz w:val="14"/>
              </w:rPr>
            </w:pPr>
            <w:r>
              <w:rPr>
                <w:color w:val="231F20"/>
                <w:spacing w:val="-2"/>
                <w:w w:val="95"/>
                <w:sz w:val="14"/>
              </w:rPr>
              <w:t>72,974</w:t>
            </w:r>
          </w:p>
        </w:tc>
        <w:tc>
          <w:tcPr>
            <w:tcW w:w="852" w:type="dxa"/>
            <w:shd w:val="clear" w:color="auto" w:fill="D4E3F5"/>
          </w:tcPr>
          <w:p>
            <w:pPr>
              <w:pStyle w:val="TableParagraph"/>
              <w:ind w:left="87" w:right="145"/>
              <w:rPr>
                <w:sz w:val="14"/>
              </w:rPr>
            </w:pPr>
            <w:r>
              <w:rPr>
                <w:color w:val="231F20"/>
                <w:spacing w:val="-5"/>
                <w:w w:val="95"/>
                <w:sz w:val="14"/>
              </w:rPr>
              <w:t>9.4</w:t>
            </w:r>
          </w:p>
        </w:tc>
        <w:tc>
          <w:tcPr>
            <w:tcW w:w="1061" w:type="dxa"/>
            <w:shd w:val="clear" w:color="auto" w:fill="D4E3F5"/>
          </w:tcPr>
          <w:p>
            <w:pPr>
              <w:pStyle w:val="TableParagraph"/>
              <w:ind w:left="85" w:right="63"/>
              <w:rPr>
                <w:sz w:val="14"/>
              </w:rPr>
            </w:pPr>
            <w:r>
              <w:rPr>
                <w:color w:val="231F20"/>
                <w:spacing w:val="-5"/>
                <w:w w:val="95"/>
                <w:sz w:val="14"/>
              </w:rPr>
              <w:t>5.8</w:t>
            </w:r>
          </w:p>
        </w:tc>
        <w:tc>
          <w:tcPr>
            <w:tcW w:w="1084" w:type="dxa"/>
            <w:shd w:val="clear" w:color="auto" w:fill="D4E3F5"/>
          </w:tcPr>
          <w:p>
            <w:pPr>
              <w:pStyle w:val="TableParagraph"/>
              <w:ind w:left="391"/>
              <w:jc w:val="left"/>
              <w:rPr>
                <w:sz w:val="14"/>
              </w:rPr>
            </w:pPr>
            <w:r>
              <w:rPr>
                <w:color w:val="231F20"/>
                <w:spacing w:val="-5"/>
                <w:w w:val="95"/>
                <w:sz w:val="14"/>
              </w:rPr>
              <w:t>3.1</w:t>
            </w:r>
          </w:p>
        </w:tc>
        <w:tc>
          <w:tcPr>
            <w:tcW w:w="755" w:type="dxa"/>
            <w:shd w:val="clear" w:color="auto" w:fill="D4E3F5"/>
          </w:tcPr>
          <w:p>
            <w:pPr>
              <w:pStyle w:val="TableParagraph"/>
              <w:ind w:left="48" w:right="70"/>
              <w:rPr>
                <w:sz w:val="14"/>
              </w:rPr>
            </w:pPr>
            <w:r>
              <w:rPr>
                <w:color w:val="231F20"/>
                <w:spacing w:val="-4"/>
                <w:w w:val="95"/>
                <w:sz w:val="14"/>
              </w:rPr>
              <w:t>11.2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9" w:right="136"/>
              <w:rPr>
                <w:sz w:val="14"/>
              </w:rPr>
            </w:pPr>
            <w:r>
              <w:rPr>
                <w:color w:val="231F20"/>
                <w:spacing w:val="-5"/>
                <w:w w:val="95"/>
                <w:sz w:val="14"/>
              </w:rPr>
              <w:t>7.2</w:t>
            </w:r>
          </w:p>
        </w:tc>
        <w:tc>
          <w:tcPr>
            <w:tcW w:w="1063" w:type="dxa"/>
            <w:shd w:val="clear" w:color="auto" w:fill="D4E3F5"/>
          </w:tcPr>
          <w:p>
            <w:pPr>
              <w:pStyle w:val="TableParagraph"/>
              <w:ind w:left="71" w:right="53"/>
              <w:rPr>
                <w:sz w:val="14"/>
              </w:rPr>
            </w:pPr>
            <w:r>
              <w:rPr>
                <w:color w:val="231F20"/>
                <w:spacing w:val="-5"/>
                <w:w w:val="95"/>
                <w:sz w:val="14"/>
              </w:rPr>
              <w:t>5.2</w:t>
            </w:r>
          </w:p>
        </w:tc>
        <w:tc>
          <w:tcPr>
            <w:tcW w:w="945" w:type="dxa"/>
            <w:shd w:val="clear" w:color="auto" w:fill="D4E3F5"/>
          </w:tcPr>
          <w:p>
            <w:pPr>
              <w:pStyle w:val="TableParagraph"/>
              <w:ind w:left="61" w:right="58"/>
              <w:rPr>
                <w:sz w:val="14"/>
              </w:rPr>
            </w:pPr>
            <w:r>
              <w:rPr>
                <w:color w:val="231F20"/>
                <w:spacing w:val="-5"/>
                <w:w w:val="95"/>
                <w:sz w:val="14"/>
              </w:rPr>
              <w:t>3.0</w:t>
            </w:r>
          </w:p>
        </w:tc>
        <w:tc>
          <w:tcPr>
            <w:tcW w:w="1008" w:type="dxa"/>
            <w:shd w:val="clear" w:color="auto" w:fill="D4E3F5"/>
          </w:tcPr>
          <w:p>
            <w:pPr>
              <w:pStyle w:val="TableParagraph"/>
              <w:ind w:right="411"/>
              <w:jc w:val="right"/>
              <w:rPr>
                <w:sz w:val="14"/>
              </w:rPr>
            </w:pPr>
            <w:r>
              <w:rPr>
                <w:color w:val="231F20"/>
                <w:spacing w:val="-5"/>
                <w:w w:val="95"/>
                <w:sz w:val="14"/>
              </w:rPr>
              <w:t>9.1</w:t>
            </w:r>
          </w:p>
        </w:tc>
      </w:tr>
      <w:tr>
        <w:trPr>
          <w:trHeight w:val="259" w:hRule="atLeast"/>
        </w:trPr>
        <w:tc>
          <w:tcPr>
            <w:tcW w:w="1256" w:type="dxa"/>
          </w:tcPr>
          <w:p>
            <w:pPr>
              <w:pStyle w:val="TableParagraph"/>
              <w:ind w:left="80"/>
              <w:jc w:val="left"/>
              <w:rPr>
                <w:sz w:val="14"/>
              </w:rPr>
            </w:pPr>
            <w:r>
              <w:rPr>
                <w:color w:val="231F20"/>
                <w:w w:val="75"/>
                <w:sz w:val="14"/>
              </w:rPr>
              <w:t>New</w:t>
            </w:r>
            <w:r>
              <w:rPr>
                <w:color w:val="231F20"/>
                <w:spacing w:val="4"/>
                <w:sz w:val="14"/>
              </w:rPr>
              <w:t> </w:t>
            </w:r>
            <w:r>
              <w:rPr>
                <w:color w:val="231F20"/>
                <w:spacing w:val="-2"/>
                <w:w w:val="85"/>
                <w:sz w:val="14"/>
              </w:rPr>
              <w:t>Zealand</w:t>
            </w:r>
          </w:p>
        </w:tc>
        <w:tc>
          <w:tcPr>
            <w:tcW w:w="1206" w:type="dxa"/>
          </w:tcPr>
          <w:p>
            <w:pPr>
              <w:pStyle w:val="TableParagraph"/>
              <w:ind w:right="435"/>
              <w:jc w:val="right"/>
              <w:rPr>
                <w:sz w:val="14"/>
              </w:rPr>
            </w:pPr>
            <w:r>
              <w:rPr>
                <w:color w:val="231F20"/>
                <w:spacing w:val="-2"/>
                <w:w w:val="95"/>
                <w:sz w:val="14"/>
              </w:rPr>
              <w:t>24,995</w:t>
            </w:r>
          </w:p>
        </w:tc>
        <w:tc>
          <w:tcPr>
            <w:tcW w:w="852" w:type="dxa"/>
          </w:tcPr>
          <w:p>
            <w:pPr>
              <w:pStyle w:val="TableParagraph"/>
              <w:ind w:left="88" w:right="145"/>
              <w:rPr>
                <w:sz w:val="14"/>
              </w:rPr>
            </w:pPr>
            <w:r>
              <w:rPr>
                <w:color w:val="231F20"/>
                <w:spacing w:val="-5"/>
                <w:w w:val="95"/>
                <w:sz w:val="14"/>
              </w:rPr>
              <w:t>6.5</w:t>
            </w:r>
          </w:p>
        </w:tc>
        <w:tc>
          <w:tcPr>
            <w:tcW w:w="1061" w:type="dxa"/>
          </w:tcPr>
          <w:p>
            <w:pPr>
              <w:pStyle w:val="TableParagraph"/>
              <w:ind w:left="81" w:right="63"/>
              <w:rPr>
                <w:sz w:val="14"/>
              </w:rPr>
            </w:pPr>
            <w:r>
              <w:rPr>
                <w:color w:val="231F20"/>
                <w:spacing w:val="-5"/>
                <w:w w:val="95"/>
                <w:sz w:val="14"/>
              </w:rPr>
              <w:t>4.7</w:t>
            </w:r>
          </w:p>
        </w:tc>
        <w:tc>
          <w:tcPr>
            <w:tcW w:w="1084" w:type="dxa"/>
          </w:tcPr>
          <w:p>
            <w:pPr>
              <w:pStyle w:val="TableParagraph"/>
              <w:ind w:left="392"/>
              <w:jc w:val="left"/>
              <w:rPr>
                <w:sz w:val="14"/>
              </w:rPr>
            </w:pPr>
            <w:r>
              <w:rPr>
                <w:color w:val="231F20"/>
                <w:spacing w:val="-5"/>
                <w:w w:val="95"/>
                <w:sz w:val="14"/>
              </w:rPr>
              <w:t>2.7</w:t>
            </w:r>
          </w:p>
        </w:tc>
        <w:tc>
          <w:tcPr>
            <w:tcW w:w="755" w:type="dxa"/>
          </w:tcPr>
          <w:p>
            <w:pPr>
              <w:pStyle w:val="TableParagraph"/>
              <w:ind w:left="79" w:right="51"/>
              <w:rPr>
                <w:sz w:val="14"/>
              </w:rPr>
            </w:pPr>
            <w:r>
              <w:rPr>
                <w:color w:val="231F20"/>
                <w:spacing w:val="-5"/>
                <w:w w:val="95"/>
                <w:sz w:val="14"/>
              </w:rPr>
              <w:t>9.3</w:t>
            </w:r>
          </w:p>
        </w:tc>
        <w:tc>
          <w:tcPr>
            <w:tcW w:w="240" w:type="dxa"/>
          </w:tcPr>
          <w:p>
            <w:pPr>
              <w:pStyle w:val="TableParagraph"/>
              <w:spacing w:before="0"/>
              <w:jc w:val="left"/>
              <w:rPr>
                <w:rFonts w:ascii="Times New Roman"/>
                <w:sz w:val="12"/>
              </w:rPr>
            </w:pPr>
          </w:p>
        </w:tc>
        <w:tc>
          <w:tcPr>
            <w:tcW w:w="851" w:type="dxa"/>
          </w:tcPr>
          <w:p>
            <w:pPr>
              <w:pStyle w:val="TableParagraph"/>
              <w:ind w:left="73" w:right="136"/>
              <w:rPr>
                <w:sz w:val="14"/>
              </w:rPr>
            </w:pPr>
            <w:r>
              <w:rPr>
                <w:color w:val="231F20"/>
                <w:spacing w:val="-5"/>
                <w:w w:val="95"/>
                <w:sz w:val="14"/>
              </w:rPr>
              <w:t>5.4</w:t>
            </w:r>
          </w:p>
        </w:tc>
        <w:tc>
          <w:tcPr>
            <w:tcW w:w="1063" w:type="dxa"/>
          </w:tcPr>
          <w:p>
            <w:pPr>
              <w:pStyle w:val="TableParagraph"/>
              <w:ind w:left="71" w:right="53"/>
              <w:rPr>
                <w:sz w:val="14"/>
              </w:rPr>
            </w:pPr>
            <w:r>
              <w:rPr>
                <w:color w:val="231F20"/>
                <w:spacing w:val="-5"/>
                <w:w w:val="95"/>
                <w:sz w:val="14"/>
              </w:rPr>
              <w:t>3.9</w:t>
            </w:r>
          </w:p>
        </w:tc>
        <w:tc>
          <w:tcPr>
            <w:tcW w:w="945" w:type="dxa"/>
          </w:tcPr>
          <w:p>
            <w:pPr>
              <w:pStyle w:val="TableParagraph"/>
              <w:ind w:left="63" w:right="58"/>
              <w:rPr>
                <w:sz w:val="14"/>
              </w:rPr>
            </w:pPr>
            <w:r>
              <w:rPr>
                <w:color w:val="231F20"/>
                <w:spacing w:val="-5"/>
                <w:w w:val="95"/>
                <w:sz w:val="14"/>
              </w:rPr>
              <w:t>2.2</w:t>
            </w:r>
          </w:p>
        </w:tc>
        <w:tc>
          <w:tcPr>
            <w:tcW w:w="1008" w:type="dxa"/>
          </w:tcPr>
          <w:p>
            <w:pPr>
              <w:pStyle w:val="TableParagraph"/>
              <w:ind w:right="392"/>
              <w:jc w:val="right"/>
              <w:rPr>
                <w:sz w:val="14"/>
              </w:rPr>
            </w:pPr>
            <w:r>
              <w:rPr>
                <w:color w:val="231F20"/>
                <w:spacing w:val="-5"/>
                <w:w w:val="95"/>
                <w:sz w:val="14"/>
              </w:rPr>
              <w:t>7.2</w:t>
            </w:r>
          </w:p>
        </w:tc>
      </w:tr>
      <w:tr>
        <w:trPr>
          <w:trHeight w:val="259" w:hRule="atLeast"/>
        </w:trPr>
        <w:tc>
          <w:tcPr>
            <w:tcW w:w="1256" w:type="dxa"/>
            <w:shd w:val="clear" w:color="auto" w:fill="D4E3F5"/>
          </w:tcPr>
          <w:p>
            <w:pPr>
              <w:pStyle w:val="TableParagraph"/>
              <w:ind w:left="80"/>
              <w:jc w:val="left"/>
              <w:rPr>
                <w:sz w:val="14"/>
              </w:rPr>
            </w:pPr>
            <w:r>
              <w:rPr>
                <w:color w:val="231F20"/>
                <w:spacing w:val="-2"/>
                <w:w w:val="90"/>
                <w:sz w:val="14"/>
              </w:rPr>
              <w:t>Nicaragua</w:t>
            </w:r>
          </w:p>
        </w:tc>
        <w:tc>
          <w:tcPr>
            <w:tcW w:w="1206" w:type="dxa"/>
            <w:shd w:val="clear" w:color="auto" w:fill="D4E3F5"/>
          </w:tcPr>
          <w:p>
            <w:pPr>
              <w:pStyle w:val="TableParagraph"/>
              <w:ind w:right="435"/>
              <w:jc w:val="right"/>
              <w:rPr>
                <w:sz w:val="14"/>
              </w:rPr>
            </w:pPr>
            <w:r>
              <w:rPr>
                <w:color w:val="231F20"/>
                <w:spacing w:val="-2"/>
                <w:w w:val="95"/>
                <w:sz w:val="14"/>
              </w:rPr>
              <w:t>4,077</w:t>
            </w:r>
          </w:p>
        </w:tc>
        <w:tc>
          <w:tcPr>
            <w:tcW w:w="852" w:type="dxa"/>
            <w:shd w:val="clear" w:color="auto" w:fill="D4E3F5"/>
          </w:tcPr>
          <w:p>
            <w:pPr>
              <w:pStyle w:val="TableParagraph"/>
              <w:ind w:left="88" w:right="145"/>
              <w:rPr>
                <w:sz w:val="14"/>
              </w:rPr>
            </w:pPr>
            <w:r>
              <w:rPr>
                <w:color w:val="231F20"/>
                <w:spacing w:val="-5"/>
                <w:w w:val="95"/>
                <w:sz w:val="14"/>
              </w:rPr>
              <w:t>6.8</w:t>
            </w:r>
          </w:p>
        </w:tc>
        <w:tc>
          <w:tcPr>
            <w:tcW w:w="1061" w:type="dxa"/>
            <w:shd w:val="clear" w:color="auto" w:fill="D4E3F5"/>
          </w:tcPr>
          <w:p>
            <w:pPr>
              <w:pStyle w:val="TableParagraph"/>
              <w:ind w:left="86" w:right="63"/>
              <w:rPr>
                <w:sz w:val="14"/>
              </w:rPr>
            </w:pPr>
            <w:r>
              <w:rPr>
                <w:color w:val="231F20"/>
                <w:spacing w:val="-5"/>
                <w:w w:val="95"/>
                <w:sz w:val="14"/>
              </w:rPr>
              <w:t>5.2</w:t>
            </w:r>
          </w:p>
        </w:tc>
        <w:tc>
          <w:tcPr>
            <w:tcW w:w="1084" w:type="dxa"/>
            <w:shd w:val="clear" w:color="auto" w:fill="D4E3F5"/>
          </w:tcPr>
          <w:p>
            <w:pPr>
              <w:pStyle w:val="TableParagraph"/>
              <w:ind w:left="391"/>
              <w:jc w:val="left"/>
              <w:rPr>
                <w:sz w:val="14"/>
              </w:rPr>
            </w:pPr>
            <w:r>
              <w:rPr>
                <w:color w:val="231F20"/>
                <w:spacing w:val="-5"/>
                <w:w w:val="95"/>
                <w:sz w:val="14"/>
              </w:rPr>
              <w:t>3.4</w:t>
            </w:r>
          </w:p>
        </w:tc>
        <w:tc>
          <w:tcPr>
            <w:tcW w:w="755" w:type="dxa"/>
            <w:shd w:val="clear" w:color="auto" w:fill="D4E3F5"/>
          </w:tcPr>
          <w:p>
            <w:pPr>
              <w:pStyle w:val="TableParagraph"/>
              <w:ind w:left="79" w:right="51"/>
              <w:rPr>
                <w:sz w:val="14"/>
              </w:rPr>
            </w:pPr>
            <w:r>
              <w:rPr>
                <w:color w:val="231F20"/>
                <w:spacing w:val="-5"/>
                <w:w w:val="95"/>
                <w:sz w:val="14"/>
              </w:rPr>
              <w:t>8.2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75" w:right="136"/>
              <w:rPr>
                <w:sz w:val="14"/>
              </w:rPr>
            </w:pPr>
            <w:r>
              <w:rPr>
                <w:color w:val="231F20"/>
                <w:spacing w:val="-5"/>
                <w:w w:val="95"/>
                <w:sz w:val="14"/>
              </w:rPr>
              <w:t>6.8</w:t>
            </w:r>
          </w:p>
        </w:tc>
        <w:tc>
          <w:tcPr>
            <w:tcW w:w="1063" w:type="dxa"/>
            <w:shd w:val="clear" w:color="auto" w:fill="D4E3F5"/>
          </w:tcPr>
          <w:p>
            <w:pPr>
              <w:pStyle w:val="TableParagraph"/>
              <w:ind w:left="71" w:right="53"/>
              <w:rPr>
                <w:sz w:val="14"/>
              </w:rPr>
            </w:pPr>
            <w:r>
              <w:rPr>
                <w:color w:val="231F20"/>
                <w:spacing w:val="-5"/>
                <w:w w:val="95"/>
                <w:sz w:val="14"/>
              </w:rPr>
              <w:t>5.2</w:t>
            </w:r>
          </w:p>
        </w:tc>
        <w:tc>
          <w:tcPr>
            <w:tcW w:w="945" w:type="dxa"/>
            <w:shd w:val="clear" w:color="auto" w:fill="D4E3F5"/>
          </w:tcPr>
          <w:p>
            <w:pPr>
              <w:pStyle w:val="TableParagraph"/>
              <w:ind w:left="59" w:right="58"/>
              <w:rPr>
                <w:sz w:val="14"/>
              </w:rPr>
            </w:pPr>
            <w:r>
              <w:rPr>
                <w:color w:val="231F20"/>
                <w:spacing w:val="-5"/>
                <w:w w:val="95"/>
                <w:sz w:val="14"/>
              </w:rPr>
              <w:t>3.4</w:t>
            </w:r>
          </w:p>
        </w:tc>
        <w:tc>
          <w:tcPr>
            <w:tcW w:w="1008" w:type="dxa"/>
            <w:shd w:val="clear" w:color="auto" w:fill="D4E3F5"/>
          </w:tcPr>
          <w:p>
            <w:pPr>
              <w:pStyle w:val="TableParagraph"/>
              <w:ind w:right="392"/>
              <w:jc w:val="right"/>
              <w:rPr>
                <w:sz w:val="14"/>
              </w:rPr>
            </w:pPr>
            <w:r>
              <w:rPr>
                <w:color w:val="231F20"/>
                <w:spacing w:val="-5"/>
                <w:w w:val="95"/>
                <w:sz w:val="14"/>
              </w:rPr>
              <w:t>8.2</w:t>
            </w:r>
          </w:p>
        </w:tc>
      </w:tr>
      <w:tr>
        <w:trPr>
          <w:trHeight w:val="259" w:hRule="atLeast"/>
        </w:trPr>
        <w:tc>
          <w:tcPr>
            <w:tcW w:w="1256" w:type="dxa"/>
          </w:tcPr>
          <w:p>
            <w:pPr>
              <w:pStyle w:val="TableParagraph"/>
              <w:ind w:left="80"/>
              <w:jc w:val="left"/>
              <w:rPr>
                <w:sz w:val="14"/>
              </w:rPr>
            </w:pPr>
            <w:r>
              <w:rPr>
                <w:color w:val="231F20"/>
                <w:spacing w:val="-2"/>
                <w:w w:val="90"/>
                <w:sz w:val="14"/>
              </w:rPr>
              <w:t>Niger</w:t>
            </w:r>
          </w:p>
        </w:tc>
        <w:tc>
          <w:tcPr>
            <w:tcW w:w="1206" w:type="dxa"/>
          </w:tcPr>
          <w:p>
            <w:pPr>
              <w:pStyle w:val="TableParagraph"/>
              <w:ind w:right="431"/>
              <w:jc w:val="right"/>
              <w:rPr>
                <w:sz w:val="14"/>
              </w:rPr>
            </w:pPr>
            <w:r>
              <w:rPr>
                <w:color w:val="231F20"/>
                <w:spacing w:val="-5"/>
                <w:w w:val="95"/>
                <w:sz w:val="14"/>
              </w:rPr>
              <w:t>33</w:t>
            </w:r>
          </w:p>
        </w:tc>
        <w:tc>
          <w:tcPr>
            <w:tcW w:w="852" w:type="dxa"/>
          </w:tcPr>
          <w:p>
            <w:pPr>
              <w:pStyle w:val="TableParagraph"/>
              <w:ind w:left="23" w:right="145"/>
              <w:rPr>
                <w:sz w:val="14"/>
              </w:rPr>
            </w:pPr>
            <w:r>
              <w:rPr>
                <w:color w:val="231F20"/>
                <w:spacing w:val="-4"/>
                <w:w w:val="95"/>
                <w:sz w:val="14"/>
              </w:rPr>
              <w:t>16.6</w:t>
            </w:r>
          </w:p>
        </w:tc>
        <w:tc>
          <w:tcPr>
            <w:tcW w:w="1061" w:type="dxa"/>
          </w:tcPr>
          <w:p>
            <w:pPr>
              <w:pStyle w:val="TableParagraph"/>
              <w:ind w:left="36" w:right="74"/>
              <w:rPr>
                <w:sz w:val="14"/>
              </w:rPr>
            </w:pPr>
            <w:r>
              <w:rPr>
                <w:color w:val="231F20"/>
                <w:spacing w:val="-4"/>
                <w:w w:val="95"/>
                <w:sz w:val="14"/>
              </w:rPr>
              <w:t>15.3</w:t>
            </w:r>
          </w:p>
        </w:tc>
        <w:tc>
          <w:tcPr>
            <w:tcW w:w="1084" w:type="dxa"/>
          </w:tcPr>
          <w:p>
            <w:pPr>
              <w:pStyle w:val="TableParagraph"/>
              <w:ind w:left="405"/>
              <w:jc w:val="left"/>
              <w:rPr>
                <w:sz w:val="14"/>
              </w:rPr>
            </w:pPr>
            <w:r>
              <w:rPr>
                <w:color w:val="231F20"/>
                <w:spacing w:val="-5"/>
                <w:w w:val="95"/>
                <w:sz w:val="14"/>
              </w:rPr>
              <w:t>7.5</w:t>
            </w:r>
          </w:p>
        </w:tc>
        <w:tc>
          <w:tcPr>
            <w:tcW w:w="755" w:type="dxa"/>
          </w:tcPr>
          <w:p>
            <w:pPr>
              <w:pStyle w:val="TableParagraph"/>
              <w:ind w:left="48" w:right="83"/>
              <w:rPr>
                <w:sz w:val="14"/>
              </w:rPr>
            </w:pPr>
            <w:r>
              <w:rPr>
                <w:color w:val="231F20"/>
                <w:spacing w:val="-4"/>
                <w:w w:val="95"/>
                <w:sz w:val="14"/>
              </w:rPr>
              <w:t>24.0</w:t>
            </w:r>
          </w:p>
        </w:tc>
        <w:tc>
          <w:tcPr>
            <w:tcW w:w="240" w:type="dxa"/>
          </w:tcPr>
          <w:p>
            <w:pPr>
              <w:pStyle w:val="TableParagraph"/>
              <w:spacing w:before="0"/>
              <w:jc w:val="left"/>
              <w:rPr>
                <w:rFonts w:ascii="Times New Roman"/>
                <w:sz w:val="12"/>
              </w:rPr>
            </w:pPr>
          </w:p>
        </w:tc>
        <w:tc>
          <w:tcPr>
            <w:tcW w:w="851" w:type="dxa"/>
          </w:tcPr>
          <w:p>
            <w:pPr>
              <w:pStyle w:val="TableParagraph"/>
              <w:ind w:left="243"/>
              <w:jc w:val="left"/>
              <w:rPr>
                <w:sz w:val="14"/>
              </w:rPr>
            </w:pPr>
            <w:r>
              <w:rPr>
                <w:color w:val="231F20"/>
                <w:spacing w:val="-4"/>
                <w:w w:val="95"/>
                <w:sz w:val="14"/>
              </w:rPr>
              <w:t>16.6</w:t>
            </w:r>
          </w:p>
        </w:tc>
        <w:tc>
          <w:tcPr>
            <w:tcW w:w="1063" w:type="dxa"/>
          </w:tcPr>
          <w:p>
            <w:pPr>
              <w:pStyle w:val="TableParagraph"/>
              <w:ind w:left="38" w:right="81"/>
              <w:rPr>
                <w:sz w:val="14"/>
              </w:rPr>
            </w:pPr>
            <w:r>
              <w:rPr>
                <w:color w:val="231F20"/>
                <w:spacing w:val="-4"/>
                <w:w w:val="95"/>
                <w:sz w:val="14"/>
              </w:rPr>
              <w:t>15.3</w:t>
            </w:r>
          </w:p>
        </w:tc>
        <w:tc>
          <w:tcPr>
            <w:tcW w:w="945" w:type="dxa"/>
          </w:tcPr>
          <w:p>
            <w:pPr>
              <w:pStyle w:val="TableParagraph"/>
              <w:ind w:left="74" w:right="58"/>
              <w:rPr>
                <w:sz w:val="14"/>
              </w:rPr>
            </w:pPr>
            <w:r>
              <w:rPr>
                <w:color w:val="231F20"/>
                <w:spacing w:val="-5"/>
                <w:w w:val="95"/>
                <w:sz w:val="14"/>
              </w:rPr>
              <w:t>7.5</w:t>
            </w:r>
          </w:p>
        </w:tc>
        <w:tc>
          <w:tcPr>
            <w:tcW w:w="1008" w:type="dxa"/>
          </w:tcPr>
          <w:p>
            <w:pPr>
              <w:pStyle w:val="TableParagraph"/>
              <w:ind w:right="394"/>
              <w:jc w:val="right"/>
              <w:rPr>
                <w:sz w:val="14"/>
              </w:rPr>
            </w:pPr>
            <w:r>
              <w:rPr>
                <w:color w:val="231F20"/>
                <w:spacing w:val="-4"/>
                <w:w w:val="95"/>
                <w:sz w:val="14"/>
              </w:rPr>
              <w:t>24.0</w:t>
            </w:r>
          </w:p>
        </w:tc>
      </w:tr>
      <w:tr>
        <w:trPr>
          <w:trHeight w:val="259" w:hRule="atLeast"/>
        </w:trPr>
        <w:tc>
          <w:tcPr>
            <w:tcW w:w="1256" w:type="dxa"/>
            <w:shd w:val="clear" w:color="auto" w:fill="D4E3F5"/>
          </w:tcPr>
          <w:p>
            <w:pPr>
              <w:pStyle w:val="TableParagraph"/>
              <w:ind w:left="80"/>
              <w:jc w:val="left"/>
              <w:rPr>
                <w:sz w:val="14"/>
              </w:rPr>
            </w:pPr>
            <w:r>
              <w:rPr>
                <w:color w:val="231F20"/>
                <w:spacing w:val="-2"/>
                <w:w w:val="90"/>
                <w:sz w:val="14"/>
              </w:rPr>
              <w:t>Nigeria</w:t>
            </w:r>
          </w:p>
        </w:tc>
        <w:tc>
          <w:tcPr>
            <w:tcW w:w="1206" w:type="dxa"/>
            <w:shd w:val="clear" w:color="auto" w:fill="D4E3F5"/>
          </w:tcPr>
          <w:p>
            <w:pPr>
              <w:pStyle w:val="TableParagraph"/>
              <w:ind w:right="436"/>
              <w:jc w:val="right"/>
              <w:rPr>
                <w:sz w:val="14"/>
              </w:rPr>
            </w:pPr>
            <w:r>
              <w:rPr>
                <w:color w:val="231F20"/>
                <w:spacing w:val="-2"/>
                <w:w w:val="95"/>
                <w:sz w:val="14"/>
              </w:rPr>
              <w:t>26,953</w:t>
            </w:r>
          </w:p>
        </w:tc>
        <w:tc>
          <w:tcPr>
            <w:tcW w:w="852" w:type="dxa"/>
            <w:shd w:val="clear" w:color="auto" w:fill="D4E3F5"/>
          </w:tcPr>
          <w:p>
            <w:pPr>
              <w:pStyle w:val="TableParagraph"/>
              <w:ind w:left="26" w:right="145"/>
              <w:rPr>
                <w:sz w:val="14"/>
              </w:rPr>
            </w:pPr>
            <w:r>
              <w:rPr>
                <w:color w:val="231F20"/>
                <w:spacing w:val="-4"/>
                <w:w w:val="95"/>
                <w:sz w:val="14"/>
              </w:rPr>
              <w:t>16.2</w:t>
            </w:r>
          </w:p>
        </w:tc>
        <w:tc>
          <w:tcPr>
            <w:tcW w:w="1061" w:type="dxa"/>
            <w:shd w:val="clear" w:color="auto" w:fill="D4E3F5"/>
          </w:tcPr>
          <w:p>
            <w:pPr>
              <w:pStyle w:val="TableParagraph"/>
              <w:ind w:left="36" w:right="73"/>
              <w:rPr>
                <w:sz w:val="14"/>
              </w:rPr>
            </w:pPr>
            <w:r>
              <w:rPr>
                <w:color w:val="231F20"/>
                <w:spacing w:val="-4"/>
                <w:w w:val="95"/>
                <w:sz w:val="14"/>
              </w:rPr>
              <w:t>12.5</w:t>
            </w:r>
          </w:p>
        </w:tc>
        <w:tc>
          <w:tcPr>
            <w:tcW w:w="1084" w:type="dxa"/>
            <w:shd w:val="clear" w:color="auto" w:fill="D4E3F5"/>
          </w:tcPr>
          <w:p>
            <w:pPr>
              <w:pStyle w:val="TableParagraph"/>
              <w:ind w:left="405"/>
              <w:jc w:val="left"/>
              <w:rPr>
                <w:sz w:val="14"/>
              </w:rPr>
            </w:pPr>
            <w:r>
              <w:rPr>
                <w:color w:val="231F20"/>
                <w:spacing w:val="-5"/>
                <w:w w:val="95"/>
                <w:sz w:val="14"/>
              </w:rPr>
              <w:t>7.5</w:t>
            </w:r>
          </w:p>
        </w:tc>
        <w:tc>
          <w:tcPr>
            <w:tcW w:w="755" w:type="dxa"/>
            <w:shd w:val="clear" w:color="auto" w:fill="D4E3F5"/>
          </w:tcPr>
          <w:p>
            <w:pPr>
              <w:pStyle w:val="TableParagraph"/>
              <w:ind w:left="48" w:right="83"/>
              <w:rPr>
                <w:sz w:val="14"/>
              </w:rPr>
            </w:pPr>
            <w:r>
              <w:rPr>
                <w:color w:val="231F20"/>
                <w:spacing w:val="-4"/>
                <w:w w:val="95"/>
                <w:sz w:val="14"/>
              </w:rPr>
              <w:t>20.2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45"/>
              <w:jc w:val="left"/>
              <w:rPr>
                <w:sz w:val="14"/>
              </w:rPr>
            </w:pPr>
            <w:r>
              <w:rPr>
                <w:color w:val="231F20"/>
                <w:spacing w:val="-4"/>
                <w:w w:val="95"/>
                <w:sz w:val="14"/>
              </w:rPr>
              <w:t>15.2</w:t>
            </w:r>
          </w:p>
        </w:tc>
        <w:tc>
          <w:tcPr>
            <w:tcW w:w="1063" w:type="dxa"/>
            <w:shd w:val="clear" w:color="auto" w:fill="D4E3F5"/>
          </w:tcPr>
          <w:p>
            <w:pPr>
              <w:pStyle w:val="TableParagraph"/>
              <w:ind w:left="38" w:right="72"/>
              <w:rPr>
                <w:sz w:val="14"/>
              </w:rPr>
            </w:pPr>
            <w:r>
              <w:rPr>
                <w:color w:val="231F20"/>
                <w:spacing w:val="-4"/>
                <w:w w:val="95"/>
                <w:sz w:val="14"/>
              </w:rPr>
              <w:t>11.6</w:t>
            </w:r>
          </w:p>
        </w:tc>
        <w:tc>
          <w:tcPr>
            <w:tcW w:w="945" w:type="dxa"/>
            <w:shd w:val="clear" w:color="auto" w:fill="D4E3F5"/>
          </w:tcPr>
          <w:p>
            <w:pPr>
              <w:pStyle w:val="TableParagraph"/>
              <w:ind w:left="73" w:right="58"/>
              <w:rPr>
                <w:sz w:val="14"/>
              </w:rPr>
            </w:pPr>
            <w:r>
              <w:rPr>
                <w:color w:val="231F20"/>
                <w:spacing w:val="-5"/>
                <w:w w:val="95"/>
                <w:sz w:val="14"/>
              </w:rPr>
              <w:t>7.0</w:t>
            </w:r>
          </w:p>
        </w:tc>
        <w:tc>
          <w:tcPr>
            <w:tcW w:w="1008" w:type="dxa"/>
            <w:shd w:val="clear" w:color="auto" w:fill="D4E3F5"/>
          </w:tcPr>
          <w:p>
            <w:pPr>
              <w:pStyle w:val="TableParagraph"/>
              <w:ind w:right="411"/>
              <w:jc w:val="right"/>
              <w:rPr>
                <w:sz w:val="14"/>
              </w:rPr>
            </w:pPr>
            <w:r>
              <w:rPr>
                <w:color w:val="231F20"/>
                <w:spacing w:val="-4"/>
                <w:w w:val="95"/>
                <w:sz w:val="14"/>
              </w:rPr>
              <w:t>19.1</w:t>
            </w:r>
          </w:p>
        </w:tc>
      </w:tr>
      <w:tr>
        <w:trPr>
          <w:trHeight w:val="259" w:hRule="atLeast"/>
        </w:trPr>
        <w:tc>
          <w:tcPr>
            <w:tcW w:w="1256" w:type="dxa"/>
          </w:tcPr>
          <w:p>
            <w:pPr>
              <w:pStyle w:val="TableParagraph"/>
              <w:ind w:left="80"/>
              <w:jc w:val="left"/>
              <w:rPr>
                <w:sz w:val="14"/>
              </w:rPr>
            </w:pPr>
            <w:r>
              <w:rPr>
                <w:color w:val="231F20"/>
                <w:w w:val="75"/>
                <w:sz w:val="14"/>
              </w:rPr>
              <w:t>North</w:t>
            </w:r>
            <w:r>
              <w:rPr>
                <w:color w:val="231F20"/>
                <w:spacing w:val="15"/>
                <w:sz w:val="14"/>
              </w:rPr>
              <w:t> </w:t>
            </w:r>
            <w:r>
              <w:rPr>
                <w:color w:val="231F20"/>
                <w:spacing w:val="-2"/>
                <w:w w:val="90"/>
                <w:sz w:val="14"/>
              </w:rPr>
              <w:t>Macedonia</w:t>
            </w:r>
          </w:p>
        </w:tc>
        <w:tc>
          <w:tcPr>
            <w:tcW w:w="1206" w:type="dxa"/>
          </w:tcPr>
          <w:p>
            <w:pPr>
              <w:pStyle w:val="TableParagraph"/>
              <w:ind w:right="440"/>
              <w:jc w:val="right"/>
              <w:rPr>
                <w:sz w:val="14"/>
              </w:rPr>
            </w:pPr>
            <w:r>
              <w:rPr>
                <w:color w:val="231F20"/>
                <w:spacing w:val="-5"/>
                <w:w w:val="95"/>
                <w:sz w:val="14"/>
              </w:rPr>
              <w:t>14</w:t>
            </w:r>
          </w:p>
        </w:tc>
        <w:tc>
          <w:tcPr>
            <w:tcW w:w="852" w:type="dxa"/>
          </w:tcPr>
          <w:p>
            <w:pPr>
              <w:pStyle w:val="TableParagraph"/>
              <w:ind w:left="24" w:right="145"/>
              <w:rPr>
                <w:sz w:val="14"/>
              </w:rPr>
            </w:pPr>
            <w:r>
              <w:rPr>
                <w:color w:val="231F20"/>
                <w:spacing w:val="-4"/>
                <w:w w:val="95"/>
                <w:sz w:val="14"/>
              </w:rPr>
              <w:t>13.0</w:t>
            </w:r>
          </w:p>
        </w:tc>
        <w:tc>
          <w:tcPr>
            <w:tcW w:w="1061" w:type="dxa"/>
          </w:tcPr>
          <w:p>
            <w:pPr>
              <w:pStyle w:val="TableParagraph"/>
              <w:ind w:left="85" w:right="63"/>
              <w:rPr>
                <w:sz w:val="14"/>
              </w:rPr>
            </w:pPr>
            <w:r>
              <w:rPr>
                <w:color w:val="231F20"/>
                <w:spacing w:val="-5"/>
                <w:w w:val="95"/>
                <w:sz w:val="14"/>
              </w:rPr>
              <w:t>9.0</w:t>
            </w:r>
          </w:p>
        </w:tc>
        <w:tc>
          <w:tcPr>
            <w:tcW w:w="1084" w:type="dxa"/>
          </w:tcPr>
          <w:p>
            <w:pPr>
              <w:pStyle w:val="TableParagraph"/>
              <w:ind w:left="393"/>
              <w:jc w:val="left"/>
              <w:rPr>
                <w:sz w:val="14"/>
              </w:rPr>
            </w:pPr>
            <w:r>
              <w:rPr>
                <w:color w:val="231F20"/>
                <w:spacing w:val="-5"/>
                <w:w w:val="95"/>
                <w:sz w:val="14"/>
              </w:rPr>
              <w:t>4.9</w:t>
            </w:r>
          </w:p>
        </w:tc>
        <w:tc>
          <w:tcPr>
            <w:tcW w:w="755" w:type="dxa"/>
          </w:tcPr>
          <w:p>
            <w:pPr>
              <w:pStyle w:val="TableParagraph"/>
              <w:ind w:left="48" w:right="78"/>
              <w:rPr>
                <w:sz w:val="14"/>
              </w:rPr>
            </w:pPr>
            <w:r>
              <w:rPr>
                <w:color w:val="231F20"/>
                <w:spacing w:val="-4"/>
                <w:w w:val="95"/>
                <w:sz w:val="14"/>
              </w:rPr>
              <w:t>12.2</w:t>
            </w:r>
          </w:p>
        </w:tc>
        <w:tc>
          <w:tcPr>
            <w:tcW w:w="240" w:type="dxa"/>
          </w:tcPr>
          <w:p>
            <w:pPr>
              <w:pStyle w:val="TableParagraph"/>
              <w:spacing w:before="0"/>
              <w:jc w:val="left"/>
              <w:rPr>
                <w:rFonts w:ascii="Times New Roman"/>
                <w:sz w:val="12"/>
              </w:rPr>
            </w:pPr>
          </w:p>
        </w:tc>
        <w:tc>
          <w:tcPr>
            <w:tcW w:w="851" w:type="dxa"/>
          </w:tcPr>
          <w:p>
            <w:pPr>
              <w:pStyle w:val="TableParagraph"/>
              <w:ind w:left="246"/>
              <w:jc w:val="left"/>
              <w:rPr>
                <w:sz w:val="14"/>
              </w:rPr>
            </w:pPr>
            <w:r>
              <w:rPr>
                <w:color w:val="231F20"/>
                <w:spacing w:val="-4"/>
                <w:w w:val="95"/>
                <w:sz w:val="14"/>
              </w:rPr>
              <w:t>12.8</w:t>
            </w:r>
          </w:p>
        </w:tc>
        <w:tc>
          <w:tcPr>
            <w:tcW w:w="1063" w:type="dxa"/>
          </w:tcPr>
          <w:p>
            <w:pPr>
              <w:pStyle w:val="TableParagraph"/>
              <w:ind w:left="69" w:right="53"/>
              <w:rPr>
                <w:sz w:val="14"/>
              </w:rPr>
            </w:pPr>
            <w:r>
              <w:rPr>
                <w:color w:val="231F20"/>
                <w:spacing w:val="-5"/>
                <w:w w:val="95"/>
                <w:sz w:val="14"/>
              </w:rPr>
              <w:t>9.0</w:t>
            </w:r>
          </w:p>
        </w:tc>
        <w:tc>
          <w:tcPr>
            <w:tcW w:w="945" w:type="dxa"/>
          </w:tcPr>
          <w:p>
            <w:pPr>
              <w:pStyle w:val="TableParagraph"/>
              <w:ind w:left="62" w:right="58"/>
              <w:rPr>
                <w:sz w:val="14"/>
              </w:rPr>
            </w:pPr>
            <w:r>
              <w:rPr>
                <w:color w:val="231F20"/>
                <w:spacing w:val="-5"/>
                <w:w w:val="95"/>
                <w:sz w:val="14"/>
              </w:rPr>
              <w:t>4.9</w:t>
            </w:r>
          </w:p>
        </w:tc>
        <w:tc>
          <w:tcPr>
            <w:tcW w:w="1008" w:type="dxa"/>
          </w:tcPr>
          <w:p>
            <w:pPr>
              <w:pStyle w:val="TableParagraph"/>
              <w:ind w:right="392"/>
              <w:jc w:val="right"/>
              <w:rPr>
                <w:sz w:val="14"/>
              </w:rPr>
            </w:pPr>
            <w:r>
              <w:rPr>
                <w:color w:val="231F20"/>
                <w:spacing w:val="-4"/>
                <w:w w:val="95"/>
                <w:sz w:val="14"/>
              </w:rPr>
              <w:t>12.2</w:t>
            </w:r>
          </w:p>
        </w:tc>
      </w:tr>
      <w:tr>
        <w:trPr>
          <w:trHeight w:val="259" w:hRule="atLeast"/>
        </w:trPr>
        <w:tc>
          <w:tcPr>
            <w:tcW w:w="1256" w:type="dxa"/>
            <w:shd w:val="clear" w:color="auto" w:fill="D4E3F5"/>
          </w:tcPr>
          <w:p>
            <w:pPr>
              <w:pStyle w:val="TableParagraph"/>
              <w:ind w:left="80"/>
              <w:jc w:val="left"/>
              <w:rPr>
                <w:sz w:val="14"/>
              </w:rPr>
            </w:pPr>
            <w:r>
              <w:rPr>
                <w:color w:val="231F20"/>
                <w:spacing w:val="-2"/>
                <w:w w:val="85"/>
                <w:sz w:val="14"/>
              </w:rPr>
              <w:t>Norway</w:t>
            </w:r>
          </w:p>
        </w:tc>
        <w:tc>
          <w:tcPr>
            <w:tcW w:w="1206" w:type="dxa"/>
            <w:shd w:val="clear" w:color="auto" w:fill="D4E3F5"/>
          </w:tcPr>
          <w:p>
            <w:pPr>
              <w:pStyle w:val="TableParagraph"/>
              <w:ind w:right="440"/>
              <w:jc w:val="right"/>
              <w:rPr>
                <w:sz w:val="14"/>
              </w:rPr>
            </w:pPr>
            <w:r>
              <w:rPr>
                <w:color w:val="231F20"/>
                <w:spacing w:val="-2"/>
                <w:w w:val="95"/>
                <w:sz w:val="14"/>
              </w:rPr>
              <w:t>4,314</w:t>
            </w:r>
          </w:p>
        </w:tc>
        <w:tc>
          <w:tcPr>
            <w:tcW w:w="852" w:type="dxa"/>
            <w:shd w:val="clear" w:color="auto" w:fill="D4E3F5"/>
          </w:tcPr>
          <w:p>
            <w:pPr>
              <w:pStyle w:val="TableParagraph"/>
              <w:ind w:left="88" w:right="145"/>
              <w:rPr>
                <w:sz w:val="14"/>
              </w:rPr>
            </w:pPr>
            <w:r>
              <w:rPr>
                <w:color w:val="231F20"/>
                <w:spacing w:val="-5"/>
                <w:w w:val="95"/>
                <w:sz w:val="14"/>
              </w:rPr>
              <w:t>5.0</w:t>
            </w:r>
          </w:p>
        </w:tc>
        <w:tc>
          <w:tcPr>
            <w:tcW w:w="1061" w:type="dxa"/>
            <w:shd w:val="clear" w:color="auto" w:fill="D4E3F5"/>
          </w:tcPr>
          <w:p>
            <w:pPr>
              <w:pStyle w:val="TableParagraph"/>
              <w:ind w:left="85" w:right="63"/>
              <w:rPr>
                <w:sz w:val="14"/>
              </w:rPr>
            </w:pPr>
            <w:r>
              <w:rPr>
                <w:color w:val="231F20"/>
                <w:spacing w:val="-5"/>
                <w:w w:val="95"/>
                <w:sz w:val="14"/>
              </w:rPr>
              <w:t>3.6</w:t>
            </w:r>
          </w:p>
        </w:tc>
        <w:tc>
          <w:tcPr>
            <w:tcW w:w="1084" w:type="dxa"/>
            <w:shd w:val="clear" w:color="auto" w:fill="D4E3F5"/>
          </w:tcPr>
          <w:p>
            <w:pPr>
              <w:pStyle w:val="TableParagraph"/>
              <w:ind w:left="399"/>
              <w:jc w:val="left"/>
              <w:rPr>
                <w:sz w:val="14"/>
              </w:rPr>
            </w:pPr>
            <w:r>
              <w:rPr>
                <w:color w:val="231F20"/>
                <w:spacing w:val="-5"/>
                <w:w w:val="95"/>
                <w:sz w:val="14"/>
              </w:rPr>
              <w:t>1.1</w:t>
            </w:r>
          </w:p>
        </w:tc>
        <w:tc>
          <w:tcPr>
            <w:tcW w:w="755" w:type="dxa"/>
            <w:shd w:val="clear" w:color="auto" w:fill="D4E3F5"/>
          </w:tcPr>
          <w:p>
            <w:pPr>
              <w:pStyle w:val="TableParagraph"/>
              <w:ind w:left="60" w:right="51"/>
              <w:rPr>
                <w:sz w:val="14"/>
              </w:rPr>
            </w:pPr>
            <w:r>
              <w:rPr>
                <w:color w:val="231F20"/>
                <w:spacing w:val="-5"/>
                <w:w w:val="95"/>
                <w:sz w:val="14"/>
              </w:rPr>
              <w:t>6.1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76" w:right="136"/>
              <w:rPr>
                <w:sz w:val="14"/>
              </w:rPr>
            </w:pPr>
            <w:r>
              <w:rPr>
                <w:color w:val="231F20"/>
                <w:spacing w:val="-5"/>
                <w:w w:val="95"/>
                <w:sz w:val="14"/>
              </w:rPr>
              <w:t>4.8</w:t>
            </w:r>
          </w:p>
        </w:tc>
        <w:tc>
          <w:tcPr>
            <w:tcW w:w="1063" w:type="dxa"/>
            <w:shd w:val="clear" w:color="auto" w:fill="D4E3F5"/>
          </w:tcPr>
          <w:p>
            <w:pPr>
              <w:pStyle w:val="TableParagraph"/>
              <w:ind w:left="71" w:right="53"/>
              <w:rPr>
                <w:sz w:val="14"/>
              </w:rPr>
            </w:pPr>
            <w:r>
              <w:rPr>
                <w:color w:val="231F20"/>
                <w:spacing w:val="-5"/>
                <w:w w:val="95"/>
                <w:sz w:val="14"/>
              </w:rPr>
              <w:t>3.5</w:t>
            </w:r>
          </w:p>
        </w:tc>
        <w:tc>
          <w:tcPr>
            <w:tcW w:w="945" w:type="dxa"/>
            <w:shd w:val="clear" w:color="auto" w:fill="D4E3F5"/>
          </w:tcPr>
          <w:p>
            <w:pPr>
              <w:pStyle w:val="TableParagraph"/>
              <w:ind w:left="53" w:right="58"/>
              <w:rPr>
                <w:sz w:val="14"/>
              </w:rPr>
            </w:pPr>
            <w:r>
              <w:rPr>
                <w:color w:val="231F20"/>
                <w:spacing w:val="-5"/>
                <w:w w:val="95"/>
                <w:sz w:val="14"/>
              </w:rPr>
              <w:t>1.1</w:t>
            </w:r>
          </w:p>
        </w:tc>
        <w:tc>
          <w:tcPr>
            <w:tcW w:w="1008" w:type="dxa"/>
            <w:shd w:val="clear" w:color="auto" w:fill="D4E3F5"/>
          </w:tcPr>
          <w:p>
            <w:pPr>
              <w:pStyle w:val="TableParagraph"/>
              <w:ind w:right="393"/>
              <w:jc w:val="right"/>
              <w:rPr>
                <w:sz w:val="14"/>
              </w:rPr>
            </w:pPr>
            <w:r>
              <w:rPr>
                <w:color w:val="231F20"/>
                <w:spacing w:val="-5"/>
                <w:w w:val="95"/>
                <w:sz w:val="14"/>
              </w:rPr>
              <w:t>6.0</w:t>
            </w:r>
          </w:p>
        </w:tc>
      </w:tr>
      <w:tr>
        <w:trPr>
          <w:trHeight w:val="259" w:hRule="atLeast"/>
        </w:trPr>
        <w:tc>
          <w:tcPr>
            <w:tcW w:w="1256" w:type="dxa"/>
          </w:tcPr>
          <w:p>
            <w:pPr>
              <w:pStyle w:val="TableParagraph"/>
              <w:ind w:left="79"/>
              <w:jc w:val="left"/>
              <w:rPr>
                <w:sz w:val="14"/>
              </w:rPr>
            </w:pPr>
            <w:r>
              <w:rPr>
                <w:color w:val="231F20"/>
                <w:spacing w:val="-4"/>
                <w:w w:val="90"/>
                <w:sz w:val="14"/>
              </w:rPr>
              <w:t>Oman</w:t>
            </w:r>
          </w:p>
        </w:tc>
        <w:tc>
          <w:tcPr>
            <w:tcW w:w="1206" w:type="dxa"/>
          </w:tcPr>
          <w:p>
            <w:pPr>
              <w:pStyle w:val="TableParagraph"/>
              <w:ind w:right="435"/>
              <w:jc w:val="right"/>
              <w:rPr>
                <w:sz w:val="14"/>
              </w:rPr>
            </w:pPr>
            <w:r>
              <w:rPr>
                <w:color w:val="231F20"/>
                <w:spacing w:val="-2"/>
                <w:w w:val="95"/>
                <w:sz w:val="14"/>
              </w:rPr>
              <w:t>8,864</w:t>
            </w:r>
          </w:p>
        </w:tc>
        <w:tc>
          <w:tcPr>
            <w:tcW w:w="852" w:type="dxa"/>
          </w:tcPr>
          <w:p>
            <w:pPr>
              <w:pStyle w:val="TableParagraph"/>
              <w:ind w:left="88" w:right="145"/>
              <w:rPr>
                <w:sz w:val="14"/>
              </w:rPr>
            </w:pPr>
            <w:r>
              <w:rPr>
                <w:color w:val="231F20"/>
                <w:spacing w:val="-5"/>
                <w:w w:val="95"/>
                <w:sz w:val="14"/>
              </w:rPr>
              <w:t>5.0</w:t>
            </w:r>
          </w:p>
        </w:tc>
        <w:tc>
          <w:tcPr>
            <w:tcW w:w="1061" w:type="dxa"/>
          </w:tcPr>
          <w:p>
            <w:pPr>
              <w:pStyle w:val="TableParagraph"/>
              <w:ind w:left="86" w:right="63"/>
              <w:rPr>
                <w:sz w:val="14"/>
              </w:rPr>
            </w:pPr>
            <w:r>
              <w:rPr>
                <w:color w:val="231F20"/>
                <w:spacing w:val="-5"/>
                <w:w w:val="95"/>
                <w:sz w:val="14"/>
              </w:rPr>
              <w:t>3.2</w:t>
            </w:r>
          </w:p>
        </w:tc>
        <w:tc>
          <w:tcPr>
            <w:tcW w:w="1084" w:type="dxa"/>
          </w:tcPr>
          <w:p>
            <w:pPr>
              <w:pStyle w:val="TableParagraph"/>
              <w:ind w:left="399"/>
              <w:jc w:val="left"/>
              <w:rPr>
                <w:sz w:val="14"/>
              </w:rPr>
            </w:pPr>
            <w:r>
              <w:rPr>
                <w:color w:val="231F20"/>
                <w:spacing w:val="-5"/>
                <w:w w:val="95"/>
                <w:sz w:val="14"/>
              </w:rPr>
              <w:t>1.6</w:t>
            </w:r>
          </w:p>
        </w:tc>
        <w:tc>
          <w:tcPr>
            <w:tcW w:w="755" w:type="dxa"/>
          </w:tcPr>
          <w:p>
            <w:pPr>
              <w:pStyle w:val="TableParagraph"/>
              <w:ind w:left="78" w:right="51"/>
              <w:rPr>
                <w:sz w:val="14"/>
              </w:rPr>
            </w:pPr>
            <w:r>
              <w:rPr>
                <w:color w:val="231F20"/>
                <w:spacing w:val="-5"/>
                <w:w w:val="95"/>
                <w:sz w:val="14"/>
              </w:rPr>
              <w:t>6.3</w:t>
            </w:r>
          </w:p>
        </w:tc>
        <w:tc>
          <w:tcPr>
            <w:tcW w:w="240" w:type="dxa"/>
          </w:tcPr>
          <w:p>
            <w:pPr>
              <w:pStyle w:val="TableParagraph"/>
              <w:spacing w:before="0"/>
              <w:jc w:val="left"/>
              <w:rPr>
                <w:rFonts w:ascii="Times New Roman"/>
                <w:sz w:val="12"/>
              </w:rPr>
            </w:pPr>
          </w:p>
        </w:tc>
        <w:tc>
          <w:tcPr>
            <w:tcW w:w="851" w:type="dxa"/>
          </w:tcPr>
          <w:p>
            <w:pPr>
              <w:pStyle w:val="TableParagraph"/>
              <w:ind w:left="75" w:right="136"/>
              <w:rPr>
                <w:sz w:val="14"/>
              </w:rPr>
            </w:pPr>
            <w:r>
              <w:rPr>
                <w:color w:val="231F20"/>
                <w:spacing w:val="-5"/>
                <w:w w:val="95"/>
                <w:sz w:val="14"/>
              </w:rPr>
              <w:t>5.0</w:t>
            </w:r>
          </w:p>
        </w:tc>
        <w:tc>
          <w:tcPr>
            <w:tcW w:w="1063" w:type="dxa"/>
          </w:tcPr>
          <w:p>
            <w:pPr>
              <w:pStyle w:val="TableParagraph"/>
              <w:ind w:left="52" w:right="53"/>
              <w:rPr>
                <w:sz w:val="14"/>
              </w:rPr>
            </w:pPr>
            <w:r>
              <w:rPr>
                <w:color w:val="231F20"/>
                <w:spacing w:val="-5"/>
                <w:w w:val="95"/>
                <w:sz w:val="14"/>
              </w:rPr>
              <w:t>3.1</w:t>
            </w:r>
          </w:p>
        </w:tc>
        <w:tc>
          <w:tcPr>
            <w:tcW w:w="945" w:type="dxa"/>
          </w:tcPr>
          <w:p>
            <w:pPr>
              <w:pStyle w:val="TableParagraph"/>
              <w:ind w:left="68" w:right="58"/>
              <w:rPr>
                <w:sz w:val="14"/>
              </w:rPr>
            </w:pPr>
            <w:r>
              <w:rPr>
                <w:color w:val="231F20"/>
                <w:spacing w:val="-5"/>
                <w:w w:val="95"/>
                <w:sz w:val="14"/>
              </w:rPr>
              <w:t>1.6</w:t>
            </w:r>
          </w:p>
        </w:tc>
        <w:tc>
          <w:tcPr>
            <w:tcW w:w="1008" w:type="dxa"/>
          </w:tcPr>
          <w:p>
            <w:pPr>
              <w:pStyle w:val="TableParagraph"/>
              <w:ind w:right="393"/>
              <w:jc w:val="right"/>
              <w:rPr>
                <w:sz w:val="14"/>
              </w:rPr>
            </w:pPr>
            <w:r>
              <w:rPr>
                <w:color w:val="231F20"/>
                <w:spacing w:val="-5"/>
                <w:w w:val="95"/>
                <w:sz w:val="14"/>
              </w:rPr>
              <w:t>6.3</w:t>
            </w:r>
          </w:p>
        </w:tc>
      </w:tr>
      <w:tr>
        <w:trPr>
          <w:trHeight w:val="259" w:hRule="atLeast"/>
        </w:trPr>
        <w:tc>
          <w:tcPr>
            <w:tcW w:w="1256" w:type="dxa"/>
            <w:shd w:val="clear" w:color="auto" w:fill="D4E3F5"/>
          </w:tcPr>
          <w:p>
            <w:pPr>
              <w:pStyle w:val="TableParagraph"/>
              <w:ind w:left="79"/>
              <w:jc w:val="left"/>
              <w:rPr>
                <w:sz w:val="14"/>
              </w:rPr>
            </w:pPr>
            <w:r>
              <w:rPr>
                <w:color w:val="231F20"/>
                <w:spacing w:val="-2"/>
                <w:w w:val="90"/>
                <w:sz w:val="14"/>
              </w:rPr>
              <w:t>Pakistan</w:t>
            </w:r>
          </w:p>
        </w:tc>
        <w:tc>
          <w:tcPr>
            <w:tcW w:w="1206" w:type="dxa"/>
            <w:shd w:val="clear" w:color="auto" w:fill="D4E3F5"/>
          </w:tcPr>
          <w:p>
            <w:pPr>
              <w:pStyle w:val="TableParagraph"/>
              <w:ind w:right="436"/>
              <w:jc w:val="right"/>
              <w:rPr>
                <w:sz w:val="14"/>
              </w:rPr>
            </w:pPr>
            <w:r>
              <w:rPr>
                <w:color w:val="231F20"/>
                <w:spacing w:val="-2"/>
                <w:w w:val="95"/>
                <w:sz w:val="14"/>
              </w:rPr>
              <w:t>10,834</w:t>
            </w:r>
          </w:p>
        </w:tc>
        <w:tc>
          <w:tcPr>
            <w:tcW w:w="852" w:type="dxa"/>
            <w:shd w:val="clear" w:color="auto" w:fill="D4E3F5"/>
          </w:tcPr>
          <w:p>
            <w:pPr>
              <w:pStyle w:val="TableParagraph"/>
              <w:ind w:left="24" w:right="145"/>
              <w:rPr>
                <w:sz w:val="14"/>
              </w:rPr>
            </w:pPr>
            <w:r>
              <w:rPr>
                <w:color w:val="231F20"/>
                <w:spacing w:val="-4"/>
                <w:w w:val="95"/>
                <w:sz w:val="14"/>
              </w:rPr>
              <w:t>10.0</w:t>
            </w:r>
          </w:p>
        </w:tc>
        <w:tc>
          <w:tcPr>
            <w:tcW w:w="1061" w:type="dxa"/>
            <w:shd w:val="clear" w:color="auto" w:fill="D4E3F5"/>
          </w:tcPr>
          <w:p>
            <w:pPr>
              <w:pStyle w:val="TableParagraph"/>
              <w:ind w:left="85" w:right="63"/>
              <w:rPr>
                <w:sz w:val="14"/>
              </w:rPr>
            </w:pPr>
            <w:r>
              <w:rPr>
                <w:color w:val="231F20"/>
                <w:spacing w:val="-5"/>
                <w:w w:val="95"/>
                <w:sz w:val="14"/>
              </w:rPr>
              <w:t>6.8</w:t>
            </w:r>
          </w:p>
        </w:tc>
        <w:tc>
          <w:tcPr>
            <w:tcW w:w="1084" w:type="dxa"/>
            <w:shd w:val="clear" w:color="auto" w:fill="D4E3F5"/>
          </w:tcPr>
          <w:p>
            <w:pPr>
              <w:pStyle w:val="TableParagraph"/>
              <w:ind w:left="391"/>
              <w:jc w:val="left"/>
              <w:rPr>
                <w:sz w:val="14"/>
              </w:rPr>
            </w:pPr>
            <w:r>
              <w:rPr>
                <w:color w:val="231F20"/>
                <w:spacing w:val="-5"/>
                <w:w w:val="95"/>
                <w:sz w:val="14"/>
              </w:rPr>
              <w:t>3.7</w:t>
            </w:r>
          </w:p>
        </w:tc>
        <w:tc>
          <w:tcPr>
            <w:tcW w:w="755" w:type="dxa"/>
            <w:shd w:val="clear" w:color="auto" w:fill="D4E3F5"/>
          </w:tcPr>
          <w:p>
            <w:pPr>
              <w:pStyle w:val="TableParagraph"/>
              <w:ind w:left="48" w:right="71"/>
              <w:rPr>
                <w:sz w:val="14"/>
              </w:rPr>
            </w:pPr>
            <w:r>
              <w:rPr>
                <w:color w:val="231F20"/>
                <w:spacing w:val="-4"/>
                <w:w w:val="95"/>
                <w:sz w:val="14"/>
              </w:rPr>
              <w:t>11.8</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73" w:right="136"/>
              <w:rPr>
                <w:sz w:val="14"/>
              </w:rPr>
            </w:pPr>
            <w:r>
              <w:rPr>
                <w:color w:val="231F20"/>
                <w:spacing w:val="-5"/>
                <w:w w:val="95"/>
                <w:sz w:val="14"/>
              </w:rPr>
              <w:t>6.4</w:t>
            </w:r>
          </w:p>
        </w:tc>
        <w:tc>
          <w:tcPr>
            <w:tcW w:w="1063" w:type="dxa"/>
            <w:shd w:val="clear" w:color="auto" w:fill="D4E3F5"/>
          </w:tcPr>
          <w:p>
            <w:pPr>
              <w:pStyle w:val="TableParagraph"/>
              <w:ind w:left="64" w:right="53"/>
              <w:rPr>
                <w:sz w:val="14"/>
              </w:rPr>
            </w:pPr>
            <w:r>
              <w:rPr>
                <w:color w:val="231F20"/>
                <w:spacing w:val="-5"/>
                <w:w w:val="95"/>
                <w:sz w:val="14"/>
              </w:rPr>
              <w:t>3.7</w:t>
            </w:r>
          </w:p>
        </w:tc>
        <w:tc>
          <w:tcPr>
            <w:tcW w:w="945" w:type="dxa"/>
            <w:shd w:val="clear" w:color="auto" w:fill="D4E3F5"/>
          </w:tcPr>
          <w:p>
            <w:pPr>
              <w:pStyle w:val="TableParagraph"/>
              <w:ind w:left="68" w:right="58"/>
              <w:rPr>
                <w:sz w:val="14"/>
              </w:rPr>
            </w:pPr>
            <w:r>
              <w:rPr>
                <w:color w:val="231F20"/>
                <w:spacing w:val="-5"/>
                <w:w w:val="95"/>
                <w:sz w:val="14"/>
              </w:rPr>
              <w:t>1.8</w:t>
            </w:r>
          </w:p>
        </w:tc>
        <w:tc>
          <w:tcPr>
            <w:tcW w:w="1008" w:type="dxa"/>
            <w:shd w:val="clear" w:color="auto" w:fill="D4E3F5"/>
          </w:tcPr>
          <w:p>
            <w:pPr>
              <w:pStyle w:val="TableParagraph"/>
              <w:ind w:right="393"/>
              <w:jc w:val="right"/>
              <w:rPr>
                <w:sz w:val="14"/>
              </w:rPr>
            </w:pPr>
            <w:r>
              <w:rPr>
                <w:color w:val="231F20"/>
                <w:spacing w:val="-5"/>
                <w:w w:val="95"/>
                <w:sz w:val="14"/>
              </w:rPr>
              <w:t>7.9</w:t>
            </w:r>
          </w:p>
        </w:tc>
      </w:tr>
      <w:tr>
        <w:trPr>
          <w:trHeight w:val="259" w:hRule="atLeast"/>
        </w:trPr>
        <w:tc>
          <w:tcPr>
            <w:tcW w:w="1256" w:type="dxa"/>
          </w:tcPr>
          <w:p>
            <w:pPr>
              <w:pStyle w:val="TableParagraph"/>
              <w:ind w:left="79"/>
              <w:jc w:val="left"/>
              <w:rPr>
                <w:sz w:val="14"/>
              </w:rPr>
            </w:pPr>
            <w:r>
              <w:rPr>
                <w:color w:val="231F20"/>
                <w:spacing w:val="-2"/>
                <w:w w:val="85"/>
                <w:sz w:val="14"/>
              </w:rPr>
              <w:t>Panama</w:t>
            </w:r>
          </w:p>
        </w:tc>
        <w:tc>
          <w:tcPr>
            <w:tcW w:w="1206" w:type="dxa"/>
          </w:tcPr>
          <w:p>
            <w:pPr>
              <w:pStyle w:val="TableParagraph"/>
              <w:ind w:right="436"/>
              <w:jc w:val="right"/>
              <w:rPr>
                <w:sz w:val="14"/>
              </w:rPr>
            </w:pPr>
            <w:r>
              <w:rPr>
                <w:color w:val="231F20"/>
                <w:spacing w:val="-2"/>
                <w:w w:val="95"/>
                <w:sz w:val="14"/>
              </w:rPr>
              <w:t>17,467</w:t>
            </w:r>
          </w:p>
        </w:tc>
        <w:tc>
          <w:tcPr>
            <w:tcW w:w="852" w:type="dxa"/>
          </w:tcPr>
          <w:p>
            <w:pPr>
              <w:pStyle w:val="TableParagraph"/>
              <w:ind w:left="88" w:right="145"/>
              <w:rPr>
                <w:sz w:val="14"/>
              </w:rPr>
            </w:pPr>
            <w:r>
              <w:rPr>
                <w:color w:val="231F20"/>
                <w:spacing w:val="-5"/>
                <w:w w:val="95"/>
                <w:sz w:val="14"/>
              </w:rPr>
              <w:t>6.0</w:t>
            </w:r>
          </w:p>
        </w:tc>
        <w:tc>
          <w:tcPr>
            <w:tcW w:w="1061" w:type="dxa"/>
          </w:tcPr>
          <w:p>
            <w:pPr>
              <w:pStyle w:val="TableParagraph"/>
              <w:ind w:left="86" w:right="63"/>
              <w:rPr>
                <w:sz w:val="14"/>
              </w:rPr>
            </w:pPr>
            <w:r>
              <w:rPr>
                <w:color w:val="231F20"/>
                <w:spacing w:val="-5"/>
                <w:w w:val="95"/>
                <w:sz w:val="14"/>
              </w:rPr>
              <w:t>4.5</w:t>
            </w:r>
          </w:p>
        </w:tc>
        <w:tc>
          <w:tcPr>
            <w:tcW w:w="1084" w:type="dxa"/>
          </w:tcPr>
          <w:p>
            <w:pPr>
              <w:pStyle w:val="TableParagraph"/>
              <w:ind w:left="392"/>
              <w:jc w:val="left"/>
              <w:rPr>
                <w:sz w:val="14"/>
              </w:rPr>
            </w:pPr>
            <w:r>
              <w:rPr>
                <w:color w:val="231F20"/>
                <w:spacing w:val="-5"/>
                <w:w w:val="95"/>
                <w:sz w:val="14"/>
              </w:rPr>
              <w:t>2.9</w:t>
            </w:r>
          </w:p>
        </w:tc>
        <w:tc>
          <w:tcPr>
            <w:tcW w:w="755" w:type="dxa"/>
          </w:tcPr>
          <w:p>
            <w:pPr>
              <w:pStyle w:val="TableParagraph"/>
              <w:ind w:left="81" w:right="51"/>
              <w:rPr>
                <w:sz w:val="14"/>
              </w:rPr>
            </w:pPr>
            <w:r>
              <w:rPr>
                <w:color w:val="231F20"/>
                <w:spacing w:val="-5"/>
                <w:w w:val="95"/>
                <w:sz w:val="14"/>
              </w:rPr>
              <w:t>7.1</w:t>
            </w:r>
          </w:p>
        </w:tc>
        <w:tc>
          <w:tcPr>
            <w:tcW w:w="240" w:type="dxa"/>
          </w:tcPr>
          <w:p>
            <w:pPr>
              <w:pStyle w:val="TableParagraph"/>
              <w:spacing w:before="0"/>
              <w:jc w:val="left"/>
              <w:rPr>
                <w:rFonts w:ascii="Times New Roman"/>
                <w:sz w:val="12"/>
              </w:rPr>
            </w:pPr>
          </w:p>
        </w:tc>
        <w:tc>
          <w:tcPr>
            <w:tcW w:w="851" w:type="dxa"/>
          </w:tcPr>
          <w:p>
            <w:pPr>
              <w:pStyle w:val="TableParagraph"/>
              <w:ind w:left="75" w:right="136"/>
              <w:rPr>
                <w:sz w:val="14"/>
              </w:rPr>
            </w:pPr>
            <w:r>
              <w:rPr>
                <w:color w:val="231F20"/>
                <w:spacing w:val="-5"/>
                <w:w w:val="95"/>
                <w:sz w:val="14"/>
              </w:rPr>
              <w:t>5.0</w:t>
            </w:r>
          </w:p>
        </w:tc>
        <w:tc>
          <w:tcPr>
            <w:tcW w:w="1063" w:type="dxa"/>
          </w:tcPr>
          <w:p>
            <w:pPr>
              <w:pStyle w:val="TableParagraph"/>
              <w:ind w:left="71" w:right="53"/>
              <w:rPr>
                <w:sz w:val="14"/>
              </w:rPr>
            </w:pPr>
            <w:r>
              <w:rPr>
                <w:color w:val="231F20"/>
                <w:spacing w:val="-5"/>
                <w:w w:val="95"/>
                <w:sz w:val="14"/>
              </w:rPr>
              <w:t>3.9</w:t>
            </w:r>
          </w:p>
        </w:tc>
        <w:tc>
          <w:tcPr>
            <w:tcW w:w="945" w:type="dxa"/>
          </w:tcPr>
          <w:p>
            <w:pPr>
              <w:pStyle w:val="TableParagraph"/>
              <w:ind w:left="59" w:right="58"/>
              <w:rPr>
                <w:sz w:val="14"/>
              </w:rPr>
            </w:pPr>
            <w:r>
              <w:rPr>
                <w:color w:val="231F20"/>
                <w:spacing w:val="-5"/>
                <w:w w:val="95"/>
                <w:sz w:val="14"/>
              </w:rPr>
              <w:t>2.4</w:t>
            </w:r>
          </w:p>
        </w:tc>
        <w:tc>
          <w:tcPr>
            <w:tcW w:w="1008" w:type="dxa"/>
          </w:tcPr>
          <w:p>
            <w:pPr>
              <w:pStyle w:val="TableParagraph"/>
              <w:ind w:right="411"/>
              <w:jc w:val="right"/>
              <w:rPr>
                <w:sz w:val="14"/>
              </w:rPr>
            </w:pPr>
            <w:r>
              <w:rPr>
                <w:color w:val="231F20"/>
                <w:spacing w:val="-5"/>
                <w:w w:val="95"/>
                <w:sz w:val="14"/>
              </w:rPr>
              <w:t>6.1</w:t>
            </w:r>
          </w:p>
        </w:tc>
      </w:tr>
      <w:tr>
        <w:trPr>
          <w:trHeight w:val="259" w:hRule="atLeast"/>
        </w:trPr>
        <w:tc>
          <w:tcPr>
            <w:tcW w:w="1256" w:type="dxa"/>
            <w:shd w:val="clear" w:color="auto" w:fill="D4E3F5"/>
          </w:tcPr>
          <w:p>
            <w:pPr>
              <w:pStyle w:val="TableParagraph"/>
              <w:ind w:left="79"/>
              <w:jc w:val="left"/>
              <w:rPr>
                <w:sz w:val="14"/>
              </w:rPr>
            </w:pPr>
            <w:r>
              <w:rPr>
                <w:color w:val="231F20"/>
                <w:w w:val="75"/>
                <w:sz w:val="14"/>
              </w:rPr>
              <w:t>Papua</w:t>
            </w:r>
            <w:r>
              <w:rPr>
                <w:color w:val="231F20"/>
                <w:spacing w:val="3"/>
                <w:sz w:val="14"/>
              </w:rPr>
              <w:t> </w:t>
            </w:r>
            <w:r>
              <w:rPr>
                <w:color w:val="231F20"/>
                <w:w w:val="75"/>
                <w:sz w:val="14"/>
              </w:rPr>
              <w:t>New</w:t>
            </w:r>
            <w:r>
              <w:rPr>
                <w:color w:val="231F20"/>
                <w:spacing w:val="4"/>
                <w:sz w:val="14"/>
              </w:rPr>
              <w:t> </w:t>
            </w:r>
            <w:r>
              <w:rPr>
                <w:color w:val="231F20"/>
                <w:spacing w:val="-2"/>
                <w:w w:val="75"/>
                <w:sz w:val="14"/>
              </w:rPr>
              <w:t>Guinea</w:t>
            </w:r>
          </w:p>
        </w:tc>
        <w:tc>
          <w:tcPr>
            <w:tcW w:w="1206" w:type="dxa"/>
            <w:shd w:val="clear" w:color="auto" w:fill="D4E3F5"/>
          </w:tcPr>
          <w:p>
            <w:pPr>
              <w:pStyle w:val="TableParagraph"/>
              <w:ind w:right="431"/>
              <w:jc w:val="right"/>
              <w:rPr>
                <w:sz w:val="14"/>
              </w:rPr>
            </w:pPr>
            <w:r>
              <w:rPr>
                <w:color w:val="231F20"/>
                <w:spacing w:val="-5"/>
                <w:w w:val="95"/>
                <w:sz w:val="14"/>
              </w:rPr>
              <w:t>965</w:t>
            </w:r>
          </w:p>
        </w:tc>
        <w:tc>
          <w:tcPr>
            <w:tcW w:w="852" w:type="dxa"/>
            <w:shd w:val="clear" w:color="auto" w:fill="D4E3F5"/>
          </w:tcPr>
          <w:p>
            <w:pPr>
              <w:pStyle w:val="TableParagraph"/>
              <w:ind w:left="88" w:right="145"/>
              <w:rPr>
                <w:sz w:val="14"/>
              </w:rPr>
            </w:pPr>
            <w:r>
              <w:rPr>
                <w:color w:val="231F20"/>
                <w:spacing w:val="-5"/>
                <w:w w:val="95"/>
                <w:sz w:val="14"/>
              </w:rPr>
              <w:t>6.8</w:t>
            </w:r>
          </w:p>
        </w:tc>
        <w:tc>
          <w:tcPr>
            <w:tcW w:w="1061" w:type="dxa"/>
            <w:shd w:val="clear" w:color="auto" w:fill="D4E3F5"/>
          </w:tcPr>
          <w:p>
            <w:pPr>
              <w:pStyle w:val="TableParagraph"/>
              <w:ind w:left="86" w:right="63"/>
              <w:rPr>
                <w:sz w:val="14"/>
              </w:rPr>
            </w:pPr>
            <w:r>
              <w:rPr>
                <w:color w:val="231F20"/>
                <w:spacing w:val="-5"/>
                <w:w w:val="95"/>
                <w:sz w:val="14"/>
              </w:rPr>
              <w:t>5.2</w:t>
            </w:r>
          </w:p>
        </w:tc>
        <w:tc>
          <w:tcPr>
            <w:tcW w:w="1084" w:type="dxa"/>
            <w:shd w:val="clear" w:color="auto" w:fill="D4E3F5"/>
          </w:tcPr>
          <w:p>
            <w:pPr>
              <w:pStyle w:val="TableParagraph"/>
              <w:ind w:left="391"/>
              <w:jc w:val="left"/>
              <w:rPr>
                <w:sz w:val="14"/>
              </w:rPr>
            </w:pPr>
            <w:r>
              <w:rPr>
                <w:color w:val="231F20"/>
                <w:spacing w:val="-5"/>
                <w:w w:val="95"/>
                <w:sz w:val="14"/>
              </w:rPr>
              <w:t>3.2</w:t>
            </w:r>
          </w:p>
        </w:tc>
        <w:tc>
          <w:tcPr>
            <w:tcW w:w="755" w:type="dxa"/>
            <w:shd w:val="clear" w:color="auto" w:fill="D4E3F5"/>
          </w:tcPr>
          <w:p>
            <w:pPr>
              <w:pStyle w:val="TableParagraph"/>
              <w:ind w:left="91" w:right="51"/>
              <w:rPr>
                <w:sz w:val="14"/>
              </w:rPr>
            </w:pPr>
            <w:r>
              <w:rPr>
                <w:color w:val="231F20"/>
                <w:spacing w:val="-5"/>
                <w:w w:val="95"/>
                <w:sz w:val="14"/>
              </w:rPr>
              <w:t>7.5</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75" w:right="136"/>
              <w:rPr>
                <w:sz w:val="14"/>
              </w:rPr>
            </w:pPr>
            <w:r>
              <w:rPr>
                <w:color w:val="231F20"/>
                <w:spacing w:val="-5"/>
                <w:w w:val="95"/>
                <w:sz w:val="14"/>
              </w:rPr>
              <w:t>6.8</w:t>
            </w:r>
          </w:p>
        </w:tc>
        <w:tc>
          <w:tcPr>
            <w:tcW w:w="1063" w:type="dxa"/>
            <w:shd w:val="clear" w:color="auto" w:fill="D4E3F5"/>
          </w:tcPr>
          <w:p>
            <w:pPr>
              <w:pStyle w:val="TableParagraph"/>
              <w:ind w:left="71" w:right="53"/>
              <w:rPr>
                <w:sz w:val="14"/>
              </w:rPr>
            </w:pPr>
            <w:r>
              <w:rPr>
                <w:color w:val="231F20"/>
                <w:spacing w:val="-5"/>
                <w:w w:val="95"/>
                <w:sz w:val="14"/>
              </w:rPr>
              <w:t>5.2</w:t>
            </w:r>
          </w:p>
        </w:tc>
        <w:tc>
          <w:tcPr>
            <w:tcW w:w="945" w:type="dxa"/>
            <w:shd w:val="clear" w:color="auto" w:fill="D4E3F5"/>
          </w:tcPr>
          <w:p>
            <w:pPr>
              <w:pStyle w:val="TableParagraph"/>
              <w:ind w:left="62" w:right="58"/>
              <w:rPr>
                <w:sz w:val="14"/>
              </w:rPr>
            </w:pPr>
            <w:r>
              <w:rPr>
                <w:color w:val="231F20"/>
                <w:spacing w:val="-5"/>
                <w:w w:val="95"/>
                <w:sz w:val="14"/>
              </w:rPr>
              <w:t>3.2</w:t>
            </w:r>
          </w:p>
        </w:tc>
        <w:tc>
          <w:tcPr>
            <w:tcW w:w="1008" w:type="dxa"/>
            <w:shd w:val="clear" w:color="auto" w:fill="D4E3F5"/>
          </w:tcPr>
          <w:p>
            <w:pPr>
              <w:pStyle w:val="TableParagraph"/>
              <w:ind w:right="393"/>
              <w:jc w:val="right"/>
              <w:rPr>
                <w:sz w:val="14"/>
              </w:rPr>
            </w:pPr>
            <w:r>
              <w:rPr>
                <w:color w:val="231F20"/>
                <w:spacing w:val="-5"/>
                <w:w w:val="95"/>
                <w:sz w:val="14"/>
              </w:rPr>
              <w:t>7.5</w:t>
            </w:r>
          </w:p>
        </w:tc>
      </w:tr>
      <w:tr>
        <w:trPr>
          <w:trHeight w:val="259" w:hRule="atLeast"/>
        </w:trPr>
        <w:tc>
          <w:tcPr>
            <w:tcW w:w="1256" w:type="dxa"/>
          </w:tcPr>
          <w:p>
            <w:pPr>
              <w:pStyle w:val="TableParagraph"/>
              <w:ind w:left="79"/>
              <w:jc w:val="left"/>
              <w:rPr>
                <w:sz w:val="14"/>
              </w:rPr>
            </w:pPr>
            <w:r>
              <w:rPr>
                <w:color w:val="231F20"/>
                <w:spacing w:val="-2"/>
                <w:w w:val="85"/>
                <w:sz w:val="14"/>
              </w:rPr>
              <w:t>Paraguay</w:t>
            </w:r>
          </w:p>
        </w:tc>
        <w:tc>
          <w:tcPr>
            <w:tcW w:w="1206" w:type="dxa"/>
          </w:tcPr>
          <w:p>
            <w:pPr>
              <w:pStyle w:val="TableParagraph"/>
              <w:ind w:right="435"/>
              <w:jc w:val="right"/>
              <w:rPr>
                <w:sz w:val="14"/>
              </w:rPr>
            </w:pPr>
            <w:r>
              <w:rPr>
                <w:color w:val="231F20"/>
                <w:spacing w:val="-5"/>
                <w:w w:val="95"/>
                <w:sz w:val="14"/>
              </w:rPr>
              <w:t>739</w:t>
            </w:r>
          </w:p>
        </w:tc>
        <w:tc>
          <w:tcPr>
            <w:tcW w:w="852" w:type="dxa"/>
          </w:tcPr>
          <w:p>
            <w:pPr>
              <w:pStyle w:val="TableParagraph"/>
              <w:ind w:left="100" w:right="145"/>
              <w:rPr>
                <w:sz w:val="14"/>
              </w:rPr>
            </w:pPr>
            <w:r>
              <w:rPr>
                <w:color w:val="231F20"/>
                <w:spacing w:val="-5"/>
                <w:w w:val="95"/>
                <w:sz w:val="14"/>
              </w:rPr>
              <w:t>7.6</w:t>
            </w:r>
          </w:p>
        </w:tc>
        <w:tc>
          <w:tcPr>
            <w:tcW w:w="1061" w:type="dxa"/>
          </w:tcPr>
          <w:p>
            <w:pPr>
              <w:pStyle w:val="TableParagraph"/>
              <w:ind w:left="83" w:right="63"/>
              <w:rPr>
                <w:sz w:val="14"/>
              </w:rPr>
            </w:pPr>
            <w:r>
              <w:rPr>
                <w:color w:val="231F20"/>
                <w:spacing w:val="-5"/>
                <w:w w:val="95"/>
                <w:sz w:val="14"/>
              </w:rPr>
              <w:t>6.4</w:t>
            </w:r>
          </w:p>
        </w:tc>
        <w:tc>
          <w:tcPr>
            <w:tcW w:w="1084" w:type="dxa"/>
          </w:tcPr>
          <w:p>
            <w:pPr>
              <w:pStyle w:val="TableParagraph"/>
              <w:ind w:left="391"/>
              <w:jc w:val="left"/>
              <w:rPr>
                <w:sz w:val="14"/>
              </w:rPr>
            </w:pPr>
            <w:r>
              <w:rPr>
                <w:color w:val="231F20"/>
                <w:spacing w:val="-5"/>
                <w:w w:val="95"/>
                <w:sz w:val="14"/>
              </w:rPr>
              <w:t>3.9</w:t>
            </w:r>
          </w:p>
        </w:tc>
        <w:tc>
          <w:tcPr>
            <w:tcW w:w="755" w:type="dxa"/>
          </w:tcPr>
          <w:p>
            <w:pPr>
              <w:pStyle w:val="TableParagraph"/>
              <w:ind w:left="48" w:right="82"/>
              <w:rPr>
                <w:sz w:val="14"/>
              </w:rPr>
            </w:pPr>
            <w:r>
              <w:rPr>
                <w:color w:val="231F20"/>
                <w:spacing w:val="-4"/>
                <w:w w:val="95"/>
                <w:sz w:val="14"/>
              </w:rPr>
              <w:t>10.0</w:t>
            </w:r>
          </w:p>
        </w:tc>
        <w:tc>
          <w:tcPr>
            <w:tcW w:w="240" w:type="dxa"/>
          </w:tcPr>
          <w:p>
            <w:pPr>
              <w:pStyle w:val="TableParagraph"/>
              <w:spacing w:before="0"/>
              <w:jc w:val="left"/>
              <w:rPr>
                <w:rFonts w:ascii="Times New Roman"/>
                <w:sz w:val="12"/>
              </w:rPr>
            </w:pPr>
          </w:p>
        </w:tc>
        <w:tc>
          <w:tcPr>
            <w:tcW w:w="851" w:type="dxa"/>
          </w:tcPr>
          <w:p>
            <w:pPr>
              <w:pStyle w:val="TableParagraph"/>
              <w:ind w:left="88" w:right="136"/>
              <w:rPr>
                <w:sz w:val="14"/>
              </w:rPr>
            </w:pPr>
            <w:r>
              <w:rPr>
                <w:color w:val="231F20"/>
                <w:spacing w:val="-5"/>
                <w:w w:val="95"/>
                <w:sz w:val="14"/>
              </w:rPr>
              <w:t>7.5</w:t>
            </w:r>
          </w:p>
        </w:tc>
        <w:tc>
          <w:tcPr>
            <w:tcW w:w="1063" w:type="dxa"/>
          </w:tcPr>
          <w:p>
            <w:pPr>
              <w:pStyle w:val="TableParagraph"/>
              <w:ind w:left="69" w:right="53"/>
              <w:rPr>
                <w:sz w:val="14"/>
              </w:rPr>
            </w:pPr>
            <w:r>
              <w:rPr>
                <w:color w:val="231F20"/>
                <w:spacing w:val="-5"/>
                <w:w w:val="95"/>
                <w:sz w:val="14"/>
              </w:rPr>
              <w:t>6.3</w:t>
            </w:r>
          </w:p>
        </w:tc>
        <w:tc>
          <w:tcPr>
            <w:tcW w:w="945" w:type="dxa"/>
          </w:tcPr>
          <w:p>
            <w:pPr>
              <w:pStyle w:val="TableParagraph"/>
              <w:ind w:left="63" w:right="58"/>
              <w:rPr>
                <w:sz w:val="14"/>
              </w:rPr>
            </w:pPr>
            <w:r>
              <w:rPr>
                <w:color w:val="231F20"/>
                <w:spacing w:val="-5"/>
                <w:w w:val="95"/>
                <w:sz w:val="14"/>
              </w:rPr>
              <w:t>3.8</w:t>
            </w:r>
          </w:p>
        </w:tc>
        <w:tc>
          <w:tcPr>
            <w:tcW w:w="1008" w:type="dxa"/>
          </w:tcPr>
          <w:p>
            <w:pPr>
              <w:pStyle w:val="TableParagraph"/>
              <w:ind w:right="394"/>
              <w:jc w:val="right"/>
              <w:rPr>
                <w:sz w:val="14"/>
              </w:rPr>
            </w:pPr>
            <w:r>
              <w:rPr>
                <w:color w:val="231F20"/>
                <w:spacing w:val="-4"/>
                <w:w w:val="95"/>
                <w:sz w:val="14"/>
              </w:rPr>
              <w:t>10.0</w:t>
            </w:r>
          </w:p>
        </w:tc>
      </w:tr>
      <w:tr>
        <w:trPr>
          <w:trHeight w:val="259" w:hRule="atLeast"/>
        </w:trPr>
        <w:tc>
          <w:tcPr>
            <w:tcW w:w="1256" w:type="dxa"/>
            <w:shd w:val="clear" w:color="auto" w:fill="D4E3F5"/>
          </w:tcPr>
          <w:p>
            <w:pPr>
              <w:pStyle w:val="TableParagraph"/>
              <w:ind w:left="79"/>
              <w:jc w:val="left"/>
              <w:rPr>
                <w:sz w:val="14"/>
              </w:rPr>
            </w:pPr>
            <w:r>
              <w:rPr>
                <w:color w:val="231F20"/>
                <w:spacing w:val="-4"/>
                <w:w w:val="90"/>
                <w:sz w:val="14"/>
              </w:rPr>
              <w:t>Peru</w:t>
            </w:r>
          </w:p>
        </w:tc>
        <w:tc>
          <w:tcPr>
            <w:tcW w:w="1206" w:type="dxa"/>
            <w:shd w:val="clear" w:color="auto" w:fill="D4E3F5"/>
          </w:tcPr>
          <w:p>
            <w:pPr>
              <w:pStyle w:val="TableParagraph"/>
              <w:ind w:right="435"/>
              <w:jc w:val="right"/>
              <w:rPr>
                <w:sz w:val="14"/>
              </w:rPr>
            </w:pPr>
            <w:r>
              <w:rPr>
                <w:color w:val="231F20"/>
                <w:spacing w:val="-2"/>
                <w:w w:val="95"/>
                <w:sz w:val="14"/>
              </w:rPr>
              <w:t>15,294</w:t>
            </w:r>
          </w:p>
        </w:tc>
        <w:tc>
          <w:tcPr>
            <w:tcW w:w="852" w:type="dxa"/>
            <w:shd w:val="clear" w:color="auto" w:fill="D4E3F5"/>
          </w:tcPr>
          <w:p>
            <w:pPr>
              <w:pStyle w:val="TableParagraph"/>
              <w:ind w:left="89" w:right="145"/>
              <w:rPr>
                <w:sz w:val="14"/>
              </w:rPr>
            </w:pPr>
            <w:r>
              <w:rPr>
                <w:color w:val="231F20"/>
                <w:spacing w:val="-5"/>
                <w:w w:val="95"/>
                <w:sz w:val="14"/>
              </w:rPr>
              <w:t>2.5</w:t>
            </w:r>
          </w:p>
        </w:tc>
        <w:tc>
          <w:tcPr>
            <w:tcW w:w="1061" w:type="dxa"/>
            <w:shd w:val="clear" w:color="auto" w:fill="D4E3F5"/>
          </w:tcPr>
          <w:p>
            <w:pPr>
              <w:pStyle w:val="TableParagraph"/>
              <w:ind w:left="92" w:right="63"/>
              <w:rPr>
                <w:sz w:val="14"/>
              </w:rPr>
            </w:pPr>
            <w:r>
              <w:rPr>
                <w:color w:val="231F20"/>
                <w:spacing w:val="-5"/>
                <w:w w:val="95"/>
                <w:sz w:val="14"/>
              </w:rPr>
              <w:t>1.8</w:t>
            </w:r>
          </w:p>
        </w:tc>
        <w:tc>
          <w:tcPr>
            <w:tcW w:w="1084" w:type="dxa"/>
            <w:shd w:val="clear" w:color="auto" w:fill="D4E3F5"/>
          </w:tcPr>
          <w:p>
            <w:pPr>
              <w:pStyle w:val="TableParagraph"/>
              <w:ind w:left="399"/>
              <w:jc w:val="left"/>
              <w:rPr>
                <w:sz w:val="14"/>
              </w:rPr>
            </w:pPr>
            <w:r>
              <w:rPr>
                <w:color w:val="231F20"/>
                <w:spacing w:val="-5"/>
                <w:w w:val="95"/>
                <w:sz w:val="14"/>
              </w:rPr>
              <w:t>1.2</w:t>
            </w:r>
          </w:p>
        </w:tc>
        <w:tc>
          <w:tcPr>
            <w:tcW w:w="755" w:type="dxa"/>
            <w:shd w:val="clear" w:color="auto" w:fill="D4E3F5"/>
          </w:tcPr>
          <w:p>
            <w:pPr>
              <w:pStyle w:val="TableParagraph"/>
              <w:ind w:left="73" w:right="51"/>
              <w:rPr>
                <w:sz w:val="14"/>
              </w:rPr>
            </w:pPr>
            <w:r>
              <w:rPr>
                <w:color w:val="231F20"/>
                <w:spacing w:val="-5"/>
                <w:w w:val="95"/>
                <w:sz w:val="14"/>
              </w:rPr>
              <w:t>2.7</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75" w:right="136"/>
              <w:rPr>
                <w:sz w:val="14"/>
              </w:rPr>
            </w:pPr>
            <w:r>
              <w:rPr>
                <w:color w:val="231F20"/>
                <w:spacing w:val="-5"/>
                <w:w w:val="95"/>
                <w:sz w:val="14"/>
              </w:rPr>
              <w:t>2.5</w:t>
            </w:r>
          </w:p>
        </w:tc>
        <w:tc>
          <w:tcPr>
            <w:tcW w:w="1063" w:type="dxa"/>
            <w:shd w:val="clear" w:color="auto" w:fill="D4E3F5"/>
          </w:tcPr>
          <w:p>
            <w:pPr>
              <w:pStyle w:val="TableParagraph"/>
              <w:ind w:left="77" w:right="53"/>
              <w:rPr>
                <w:sz w:val="14"/>
              </w:rPr>
            </w:pPr>
            <w:r>
              <w:rPr>
                <w:color w:val="231F20"/>
                <w:spacing w:val="-5"/>
                <w:w w:val="95"/>
                <w:sz w:val="14"/>
              </w:rPr>
              <w:t>1.8</w:t>
            </w:r>
          </w:p>
        </w:tc>
        <w:tc>
          <w:tcPr>
            <w:tcW w:w="945" w:type="dxa"/>
            <w:shd w:val="clear" w:color="auto" w:fill="D4E3F5"/>
          </w:tcPr>
          <w:p>
            <w:pPr>
              <w:pStyle w:val="TableParagraph"/>
              <w:ind w:left="70" w:right="58"/>
              <w:rPr>
                <w:sz w:val="14"/>
              </w:rPr>
            </w:pPr>
            <w:r>
              <w:rPr>
                <w:color w:val="231F20"/>
                <w:spacing w:val="-5"/>
                <w:w w:val="95"/>
                <w:sz w:val="14"/>
              </w:rPr>
              <w:t>1.2</w:t>
            </w:r>
          </w:p>
        </w:tc>
        <w:tc>
          <w:tcPr>
            <w:tcW w:w="1008" w:type="dxa"/>
            <w:shd w:val="clear" w:color="auto" w:fill="D4E3F5"/>
          </w:tcPr>
          <w:p>
            <w:pPr>
              <w:pStyle w:val="TableParagraph"/>
              <w:ind w:right="398"/>
              <w:jc w:val="right"/>
              <w:rPr>
                <w:sz w:val="14"/>
              </w:rPr>
            </w:pPr>
            <w:r>
              <w:rPr>
                <w:color w:val="231F20"/>
                <w:spacing w:val="-5"/>
                <w:w w:val="95"/>
                <w:sz w:val="14"/>
              </w:rPr>
              <w:t>2.7</w:t>
            </w:r>
          </w:p>
        </w:tc>
      </w:tr>
      <w:tr>
        <w:trPr>
          <w:trHeight w:val="259" w:hRule="atLeast"/>
        </w:trPr>
        <w:tc>
          <w:tcPr>
            <w:tcW w:w="1256" w:type="dxa"/>
          </w:tcPr>
          <w:p>
            <w:pPr>
              <w:pStyle w:val="TableParagraph"/>
              <w:ind w:left="79"/>
              <w:jc w:val="left"/>
              <w:rPr>
                <w:sz w:val="14"/>
              </w:rPr>
            </w:pPr>
            <w:r>
              <w:rPr>
                <w:color w:val="231F20"/>
                <w:spacing w:val="-2"/>
                <w:w w:val="90"/>
                <w:sz w:val="14"/>
              </w:rPr>
              <w:t>Philippines</w:t>
            </w:r>
          </w:p>
        </w:tc>
        <w:tc>
          <w:tcPr>
            <w:tcW w:w="1206" w:type="dxa"/>
          </w:tcPr>
          <w:p>
            <w:pPr>
              <w:pStyle w:val="TableParagraph"/>
              <w:ind w:right="435"/>
              <w:jc w:val="right"/>
              <w:rPr>
                <w:sz w:val="14"/>
              </w:rPr>
            </w:pPr>
            <w:r>
              <w:rPr>
                <w:color w:val="231F20"/>
                <w:spacing w:val="-2"/>
                <w:w w:val="95"/>
                <w:sz w:val="14"/>
              </w:rPr>
              <w:t>43,236</w:t>
            </w:r>
          </w:p>
        </w:tc>
        <w:tc>
          <w:tcPr>
            <w:tcW w:w="852" w:type="dxa"/>
          </w:tcPr>
          <w:p>
            <w:pPr>
              <w:pStyle w:val="TableParagraph"/>
              <w:ind w:left="86" w:right="145"/>
              <w:rPr>
                <w:sz w:val="14"/>
              </w:rPr>
            </w:pPr>
            <w:r>
              <w:rPr>
                <w:color w:val="231F20"/>
                <w:spacing w:val="-5"/>
                <w:w w:val="95"/>
                <w:sz w:val="14"/>
              </w:rPr>
              <w:t>6.4</w:t>
            </w:r>
          </w:p>
        </w:tc>
        <w:tc>
          <w:tcPr>
            <w:tcW w:w="1061" w:type="dxa"/>
          </w:tcPr>
          <w:p>
            <w:pPr>
              <w:pStyle w:val="TableParagraph"/>
              <w:ind w:left="85" w:right="63"/>
              <w:rPr>
                <w:sz w:val="14"/>
              </w:rPr>
            </w:pPr>
            <w:r>
              <w:rPr>
                <w:color w:val="231F20"/>
                <w:spacing w:val="-5"/>
                <w:w w:val="95"/>
                <w:sz w:val="14"/>
              </w:rPr>
              <w:t>5.0</w:t>
            </w:r>
          </w:p>
        </w:tc>
        <w:tc>
          <w:tcPr>
            <w:tcW w:w="1084" w:type="dxa"/>
          </w:tcPr>
          <w:p>
            <w:pPr>
              <w:pStyle w:val="TableParagraph"/>
              <w:ind w:left="391"/>
              <w:jc w:val="left"/>
              <w:rPr>
                <w:sz w:val="14"/>
              </w:rPr>
            </w:pPr>
            <w:r>
              <w:rPr>
                <w:color w:val="231F20"/>
                <w:spacing w:val="-5"/>
                <w:w w:val="95"/>
                <w:sz w:val="14"/>
              </w:rPr>
              <w:t>3.0</w:t>
            </w:r>
          </w:p>
        </w:tc>
        <w:tc>
          <w:tcPr>
            <w:tcW w:w="755" w:type="dxa"/>
          </w:tcPr>
          <w:p>
            <w:pPr>
              <w:pStyle w:val="TableParagraph"/>
              <w:ind w:left="78" w:right="51"/>
              <w:rPr>
                <w:sz w:val="14"/>
              </w:rPr>
            </w:pPr>
            <w:r>
              <w:rPr>
                <w:color w:val="231F20"/>
                <w:spacing w:val="-5"/>
                <w:w w:val="95"/>
                <w:sz w:val="14"/>
              </w:rPr>
              <w:t>8.0</w:t>
            </w:r>
          </w:p>
        </w:tc>
        <w:tc>
          <w:tcPr>
            <w:tcW w:w="240" w:type="dxa"/>
          </w:tcPr>
          <w:p>
            <w:pPr>
              <w:pStyle w:val="TableParagraph"/>
              <w:spacing w:before="0"/>
              <w:jc w:val="left"/>
              <w:rPr>
                <w:rFonts w:ascii="Times New Roman"/>
                <w:sz w:val="12"/>
              </w:rPr>
            </w:pPr>
          </w:p>
        </w:tc>
        <w:tc>
          <w:tcPr>
            <w:tcW w:w="851" w:type="dxa"/>
          </w:tcPr>
          <w:p>
            <w:pPr>
              <w:pStyle w:val="TableParagraph"/>
              <w:ind w:left="76" w:right="136"/>
              <w:rPr>
                <w:sz w:val="14"/>
              </w:rPr>
            </w:pPr>
            <w:r>
              <w:rPr>
                <w:color w:val="231F20"/>
                <w:spacing w:val="-5"/>
                <w:w w:val="95"/>
                <w:sz w:val="14"/>
              </w:rPr>
              <w:t>6.2</w:t>
            </w:r>
          </w:p>
        </w:tc>
        <w:tc>
          <w:tcPr>
            <w:tcW w:w="1063" w:type="dxa"/>
          </w:tcPr>
          <w:p>
            <w:pPr>
              <w:pStyle w:val="TableParagraph"/>
              <w:ind w:left="71" w:right="53"/>
              <w:rPr>
                <w:sz w:val="14"/>
              </w:rPr>
            </w:pPr>
            <w:r>
              <w:rPr>
                <w:color w:val="231F20"/>
                <w:spacing w:val="-5"/>
                <w:w w:val="95"/>
                <w:sz w:val="14"/>
              </w:rPr>
              <w:t>4.9</w:t>
            </w:r>
          </w:p>
        </w:tc>
        <w:tc>
          <w:tcPr>
            <w:tcW w:w="945" w:type="dxa"/>
          </w:tcPr>
          <w:p>
            <w:pPr>
              <w:pStyle w:val="TableParagraph"/>
              <w:ind w:left="62" w:right="58"/>
              <w:rPr>
                <w:sz w:val="14"/>
              </w:rPr>
            </w:pPr>
            <w:r>
              <w:rPr>
                <w:color w:val="231F20"/>
                <w:spacing w:val="-5"/>
                <w:w w:val="95"/>
                <w:sz w:val="14"/>
              </w:rPr>
              <w:t>2.8</w:t>
            </w:r>
          </w:p>
        </w:tc>
        <w:tc>
          <w:tcPr>
            <w:tcW w:w="1008" w:type="dxa"/>
          </w:tcPr>
          <w:p>
            <w:pPr>
              <w:pStyle w:val="TableParagraph"/>
              <w:ind w:right="393"/>
              <w:jc w:val="right"/>
              <w:rPr>
                <w:sz w:val="14"/>
              </w:rPr>
            </w:pPr>
            <w:r>
              <w:rPr>
                <w:color w:val="231F20"/>
                <w:spacing w:val="-5"/>
                <w:w w:val="95"/>
                <w:sz w:val="14"/>
              </w:rPr>
              <w:t>8.0</w:t>
            </w:r>
          </w:p>
        </w:tc>
      </w:tr>
      <w:tr>
        <w:trPr>
          <w:trHeight w:val="259" w:hRule="atLeast"/>
        </w:trPr>
        <w:tc>
          <w:tcPr>
            <w:tcW w:w="1256" w:type="dxa"/>
            <w:shd w:val="clear" w:color="auto" w:fill="D4E3F5"/>
          </w:tcPr>
          <w:p>
            <w:pPr>
              <w:pStyle w:val="TableParagraph"/>
              <w:ind w:left="79"/>
              <w:jc w:val="left"/>
              <w:rPr>
                <w:sz w:val="14"/>
              </w:rPr>
            </w:pPr>
            <w:r>
              <w:rPr>
                <w:color w:val="231F20"/>
                <w:spacing w:val="-2"/>
                <w:w w:val="85"/>
                <w:sz w:val="14"/>
              </w:rPr>
              <w:t>Poland</w:t>
            </w:r>
          </w:p>
        </w:tc>
        <w:tc>
          <w:tcPr>
            <w:tcW w:w="1206" w:type="dxa"/>
            <w:shd w:val="clear" w:color="auto" w:fill="D4E3F5"/>
          </w:tcPr>
          <w:p>
            <w:pPr>
              <w:pStyle w:val="TableParagraph"/>
              <w:ind w:right="433"/>
              <w:jc w:val="right"/>
              <w:rPr>
                <w:sz w:val="14"/>
              </w:rPr>
            </w:pPr>
            <w:r>
              <w:rPr>
                <w:color w:val="231F20"/>
                <w:spacing w:val="-2"/>
                <w:w w:val="95"/>
                <w:sz w:val="14"/>
              </w:rPr>
              <w:t>35,325</w:t>
            </w:r>
          </w:p>
        </w:tc>
        <w:tc>
          <w:tcPr>
            <w:tcW w:w="852" w:type="dxa"/>
            <w:shd w:val="clear" w:color="auto" w:fill="D4E3F5"/>
          </w:tcPr>
          <w:p>
            <w:pPr>
              <w:pStyle w:val="TableParagraph"/>
              <w:ind w:left="36" w:right="145"/>
              <w:rPr>
                <w:sz w:val="14"/>
              </w:rPr>
            </w:pPr>
            <w:r>
              <w:rPr>
                <w:color w:val="231F20"/>
                <w:spacing w:val="-4"/>
                <w:w w:val="95"/>
                <w:sz w:val="14"/>
              </w:rPr>
              <w:t>11.2</w:t>
            </w:r>
          </w:p>
        </w:tc>
        <w:tc>
          <w:tcPr>
            <w:tcW w:w="1061" w:type="dxa"/>
            <w:shd w:val="clear" w:color="auto" w:fill="D4E3F5"/>
          </w:tcPr>
          <w:p>
            <w:pPr>
              <w:pStyle w:val="TableParagraph"/>
              <w:ind w:left="98" w:right="63"/>
              <w:rPr>
                <w:sz w:val="14"/>
              </w:rPr>
            </w:pPr>
            <w:r>
              <w:rPr>
                <w:color w:val="231F20"/>
                <w:spacing w:val="-5"/>
                <w:w w:val="95"/>
                <w:sz w:val="14"/>
              </w:rPr>
              <w:t>7.5</w:t>
            </w:r>
          </w:p>
        </w:tc>
        <w:tc>
          <w:tcPr>
            <w:tcW w:w="1084" w:type="dxa"/>
            <w:shd w:val="clear" w:color="auto" w:fill="D4E3F5"/>
          </w:tcPr>
          <w:p>
            <w:pPr>
              <w:pStyle w:val="TableParagraph"/>
              <w:ind w:left="393"/>
              <w:jc w:val="left"/>
              <w:rPr>
                <w:sz w:val="14"/>
              </w:rPr>
            </w:pPr>
            <w:r>
              <w:rPr>
                <w:color w:val="231F20"/>
                <w:spacing w:val="-5"/>
                <w:w w:val="95"/>
                <w:sz w:val="14"/>
              </w:rPr>
              <w:t>4.4</w:t>
            </w:r>
          </w:p>
        </w:tc>
        <w:tc>
          <w:tcPr>
            <w:tcW w:w="755" w:type="dxa"/>
            <w:shd w:val="clear" w:color="auto" w:fill="D4E3F5"/>
          </w:tcPr>
          <w:p>
            <w:pPr>
              <w:pStyle w:val="TableParagraph"/>
              <w:ind w:left="48" w:right="83"/>
              <w:rPr>
                <w:sz w:val="14"/>
              </w:rPr>
            </w:pPr>
            <w:r>
              <w:rPr>
                <w:color w:val="231F20"/>
                <w:spacing w:val="-4"/>
                <w:w w:val="95"/>
                <w:sz w:val="14"/>
              </w:rPr>
              <w:t>13.4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44"/>
              <w:jc w:val="left"/>
              <w:rPr>
                <w:sz w:val="14"/>
              </w:rPr>
            </w:pPr>
            <w:r>
              <w:rPr>
                <w:color w:val="231F20"/>
                <w:spacing w:val="-4"/>
                <w:w w:val="95"/>
                <w:sz w:val="14"/>
              </w:rPr>
              <w:t>10.3</w:t>
            </w:r>
          </w:p>
        </w:tc>
        <w:tc>
          <w:tcPr>
            <w:tcW w:w="1063" w:type="dxa"/>
            <w:shd w:val="clear" w:color="auto" w:fill="D4E3F5"/>
          </w:tcPr>
          <w:p>
            <w:pPr>
              <w:pStyle w:val="TableParagraph"/>
              <w:ind w:left="67" w:right="53"/>
              <w:rPr>
                <w:sz w:val="14"/>
              </w:rPr>
            </w:pPr>
            <w:r>
              <w:rPr>
                <w:color w:val="231F20"/>
                <w:spacing w:val="-5"/>
                <w:w w:val="95"/>
                <w:sz w:val="14"/>
              </w:rPr>
              <w:t>6.4</w:t>
            </w:r>
          </w:p>
        </w:tc>
        <w:tc>
          <w:tcPr>
            <w:tcW w:w="945" w:type="dxa"/>
            <w:shd w:val="clear" w:color="auto" w:fill="D4E3F5"/>
          </w:tcPr>
          <w:p>
            <w:pPr>
              <w:pStyle w:val="TableParagraph"/>
              <w:ind w:left="47" w:right="58"/>
              <w:rPr>
                <w:sz w:val="14"/>
              </w:rPr>
            </w:pPr>
            <w:r>
              <w:rPr>
                <w:color w:val="231F20"/>
                <w:spacing w:val="-5"/>
                <w:w w:val="95"/>
                <w:sz w:val="14"/>
              </w:rPr>
              <w:t>4.1</w:t>
            </w:r>
          </w:p>
        </w:tc>
        <w:tc>
          <w:tcPr>
            <w:tcW w:w="1008" w:type="dxa"/>
            <w:shd w:val="clear" w:color="auto" w:fill="D4E3F5"/>
          </w:tcPr>
          <w:p>
            <w:pPr>
              <w:pStyle w:val="TableParagraph"/>
              <w:ind w:right="393"/>
              <w:jc w:val="right"/>
              <w:rPr>
                <w:sz w:val="14"/>
              </w:rPr>
            </w:pPr>
            <w:r>
              <w:rPr>
                <w:color w:val="231F20"/>
                <w:spacing w:val="-4"/>
                <w:w w:val="95"/>
                <w:sz w:val="14"/>
              </w:rPr>
              <w:t>11.8</w:t>
            </w:r>
          </w:p>
        </w:tc>
      </w:tr>
      <w:tr>
        <w:trPr>
          <w:trHeight w:val="259" w:hRule="atLeast"/>
        </w:trPr>
        <w:tc>
          <w:tcPr>
            <w:tcW w:w="1256" w:type="dxa"/>
          </w:tcPr>
          <w:p>
            <w:pPr>
              <w:pStyle w:val="TableParagraph"/>
              <w:ind w:left="79"/>
              <w:jc w:val="left"/>
              <w:rPr>
                <w:sz w:val="14"/>
              </w:rPr>
            </w:pPr>
            <w:r>
              <w:rPr>
                <w:color w:val="231F20"/>
                <w:spacing w:val="-2"/>
                <w:w w:val="90"/>
                <w:sz w:val="14"/>
              </w:rPr>
              <w:t>Portugal</w:t>
            </w:r>
          </w:p>
        </w:tc>
        <w:tc>
          <w:tcPr>
            <w:tcW w:w="1206" w:type="dxa"/>
          </w:tcPr>
          <w:p>
            <w:pPr>
              <w:pStyle w:val="TableParagraph"/>
              <w:ind w:right="436"/>
              <w:jc w:val="right"/>
              <w:rPr>
                <w:sz w:val="14"/>
              </w:rPr>
            </w:pPr>
            <w:r>
              <w:rPr>
                <w:color w:val="231F20"/>
                <w:spacing w:val="-2"/>
                <w:w w:val="95"/>
                <w:sz w:val="14"/>
              </w:rPr>
              <w:t>7,805</w:t>
            </w:r>
          </w:p>
        </w:tc>
        <w:tc>
          <w:tcPr>
            <w:tcW w:w="852" w:type="dxa"/>
          </w:tcPr>
          <w:p>
            <w:pPr>
              <w:pStyle w:val="TableParagraph"/>
              <w:ind w:left="98" w:right="145"/>
              <w:rPr>
                <w:sz w:val="14"/>
              </w:rPr>
            </w:pPr>
            <w:r>
              <w:rPr>
                <w:color w:val="231F20"/>
                <w:spacing w:val="-5"/>
                <w:w w:val="95"/>
                <w:sz w:val="14"/>
              </w:rPr>
              <w:t>7.7</w:t>
            </w:r>
          </w:p>
        </w:tc>
        <w:tc>
          <w:tcPr>
            <w:tcW w:w="1061" w:type="dxa"/>
          </w:tcPr>
          <w:p>
            <w:pPr>
              <w:pStyle w:val="TableParagraph"/>
              <w:ind w:left="85" w:right="63"/>
              <w:rPr>
                <w:sz w:val="14"/>
              </w:rPr>
            </w:pPr>
            <w:r>
              <w:rPr>
                <w:color w:val="231F20"/>
                <w:spacing w:val="-5"/>
                <w:w w:val="95"/>
                <w:sz w:val="14"/>
              </w:rPr>
              <w:t>5.0</w:t>
            </w:r>
          </w:p>
        </w:tc>
        <w:tc>
          <w:tcPr>
            <w:tcW w:w="1084" w:type="dxa"/>
          </w:tcPr>
          <w:p>
            <w:pPr>
              <w:pStyle w:val="TableParagraph"/>
              <w:ind w:left="392"/>
              <w:jc w:val="left"/>
              <w:rPr>
                <w:sz w:val="14"/>
              </w:rPr>
            </w:pPr>
            <w:r>
              <w:rPr>
                <w:color w:val="231F20"/>
                <w:spacing w:val="-5"/>
                <w:w w:val="95"/>
                <w:sz w:val="14"/>
              </w:rPr>
              <w:t>2.8</w:t>
            </w:r>
          </w:p>
        </w:tc>
        <w:tc>
          <w:tcPr>
            <w:tcW w:w="755" w:type="dxa"/>
          </w:tcPr>
          <w:p>
            <w:pPr>
              <w:pStyle w:val="TableParagraph"/>
              <w:ind w:left="79" w:right="51"/>
              <w:rPr>
                <w:sz w:val="14"/>
              </w:rPr>
            </w:pPr>
            <w:r>
              <w:rPr>
                <w:color w:val="231F20"/>
                <w:spacing w:val="-5"/>
                <w:w w:val="95"/>
                <w:sz w:val="14"/>
              </w:rPr>
              <w:t>9.8</w:t>
            </w:r>
          </w:p>
        </w:tc>
        <w:tc>
          <w:tcPr>
            <w:tcW w:w="240" w:type="dxa"/>
          </w:tcPr>
          <w:p>
            <w:pPr>
              <w:pStyle w:val="TableParagraph"/>
              <w:spacing w:before="0"/>
              <w:jc w:val="left"/>
              <w:rPr>
                <w:rFonts w:ascii="Times New Roman"/>
                <w:sz w:val="12"/>
              </w:rPr>
            </w:pPr>
          </w:p>
        </w:tc>
        <w:tc>
          <w:tcPr>
            <w:tcW w:w="851" w:type="dxa"/>
          </w:tcPr>
          <w:p>
            <w:pPr>
              <w:pStyle w:val="TableParagraph"/>
              <w:ind w:left="76" w:right="136"/>
              <w:rPr>
                <w:sz w:val="14"/>
              </w:rPr>
            </w:pPr>
            <w:r>
              <w:rPr>
                <w:color w:val="231F20"/>
                <w:spacing w:val="-5"/>
                <w:w w:val="95"/>
                <w:sz w:val="14"/>
              </w:rPr>
              <w:t>6.9</w:t>
            </w:r>
          </w:p>
        </w:tc>
        <w:tc>
          <w:tcPr>
            <w:tcW w:w="1063" w:type="dxa"/>
          </w:tcPr>
          <w:p>
            <w:pPr>
              <w:pStyle w:val="TableParagraph"/>
              <w:ind w:left="71" w:right="53"/>
              <w:rPr>
                <w:sz w:val="14"/>
              </w:rPr>
            </w:pPr>
            <w:r>
              <w:rPr>
                <w:color w:val="231F20"/>
                <w:spacing w:val="-5"/>
                <w:w w:val="95"/>
                <w:sz w:val="14"/>
              </w:rPr>
              <w:t>4.8</w:t>
            </w:r>
          </w:p>
        </w:tc>
        <w:tc>
          <w:tcPr>
            <w:tcW w:w="945" w:type="dxa"/>
          </w:tcPr>
          <w:p>
            <w:pPr>
              <w:pStyle w:val="TableParagraph"/>
              <w:ind w:left="57" w:right="58"/>
              <w:rPr>
                <w:sz w:val="14"/>
              </w:rPr>
            </w:pPr>
            <w:r>
              <w:rPr>
                <w:color w:val="231F20"/>
                <w:spacing w:val="-5"/>
                <w:w w:val="95"/>
                <w:sz w:val="14"/>
              </w:rPr>
              <w:t>2.7</w:t>
            </w:r>
          </w:p>
        </w:tc>
        <w:tc>
          <w:tcPr>
            <w:tcW w:w="1008" w:type="dxa"/>
          </w:tcPr>
          <w:p>
            <w:pPr>
              <w:pStyle w:val="TableParagraph"/>
              <w:ind w:right="398"/>
              <w:jc w:val="right"/>
              <w:rPr>
                <w:sz w:val="14"/>
              </w:rPr>
            </w:pPr>
            <w:r>
              <w:rPr>
                <w:color w:val="231F20"/>
                <w:spacing w:val="-5"/>
                <w:w w:val="95"/>
                <w:sz w:val="14"/>
              </w:rPr>
              <w:t>8.7</w:t>
            </w:r>
          </w:p>
        </w:tc>
      </w:tr>
      <w:tr>
        <w:trPr>
          <w:trHeight w:val="259" w:hRule="atLeast"/>
        </w:trPr>
        <w:tc>
          <w:tcPr>
            <w:tcW w:w="1256" w:type="dxa"/>
            <w:shd w:val="clear" w:color="auto" w:fill="D4E3F5"/>
          </w:tcPr>
          <w:p>
            <w:pPr>
              <w:pStyle w:val="TableParagraph"/>
              <w:ind w:left="80"/>
              <w:jc w:val="left"/>
              <w:rPr>
                <w:sz w:val="14"/>
              </w:rPr>
            </w:pPr>
            <w:r>
              <w:rPr>
                <w:color w:val="231F20"/>
                <w:w w:val="75"/>
                <w:sz w:val="14"/>
              </w:rPr>
              <w:t>Puerto</w:t>
            </w:r>
            <w:r>
              <w:rPr>
                <w:color w:val="231F20"/>
                <w:spacing w:val="12"/>
                <w:sz w:val="14"/>
              </w:rPr>
              <w:t> </w:t>
            </w:r>
            <w:r>
              <w:rPr>
                <w:color w:val="231F20"/>
                <w:spacing w:val="-4"/>
                <w:w w:val="85"/>
                <w:sz w:val="14"/>
              </w:rPr>
              <w:t>Rico</w:t>
            </w:r>
          </w:p>
        </w:tc>
        <w:tc>
          <w:tcPr>
            <w:tcW w:w="1206" w:type="dxa"/>
            <w:shd w:val="clear" w:color="auto" w:fill="D4E3F5"/>
          </w:tcPr>
          <w:p>
            <w:pPr>
              <w:pStyle w:val="TableParagraph"/>
              <w:ind w:right="435"/>
              <w:jc w:val="right"/>
              <w:rPr>
                <w:sz w:val="14"/>
              </w:rPr>
            </w:pPr>
            <w:r>
              <w:rPr>
                <w:color w:val="231F20"/>
                <w:spacing w:val="-2"/>
                <w:w w:val="95"/>
                <w:sz w:val="14"/>
              </w:rPr>
              <w:t>2,377</w:t>
            </w:r>
          </w:p>
        </w:tc>
        <w:tc>
          <w:tcPr>
            <w:tcW w:w="852" w:type="dxa"/>
            <w:shd w:val="clear" w:color="auto" w:fill="D4E3F5"/>
          </w:tcPr>
          <w:p>
            <w:pPr>
              <w:pStyle w:val="TableParagraph"/>
              <w:ind w:left="88" w:right="145"/>
              <w:rPr>
                <w:sz w:val="14"/>
              </w:rPr>
            </w:pPr>
            <w:r>
              <w:rPr>
                <w:color w:val="231F20"/>
                <w:spacing w:val="-5"/>
                <w:w w:val="95"/>
                <w:sz w:val="14"/>
              </w:rPr>
              <w:t>5.8</w:t>
            </w:r>
          </w:p>
        </w:tc>
        <w:tc>
          <w:tcPr>
            <w:tcW w:w="1061" w:type="dxa"/>
            <w:shd w:val="clear" w:color="auto" w:fill="D4E3F5"/>
          </w:tcPr>
          <w:p>
            <w:pPr>
              <w:pStyle w:val="TableParagraph"/>
              <w:ind w:left="85" w:right="63"/>
              <w:rPr>
                <w:sz w:val="14"/>
              </w:rPr>
            </w:pPr>
            <w:r>
              <w:rPr>
                <w:color w:val="231F20"/>
                <w:spacing w:val="-5"/>
                <w:w w:val="95"/>
                <w:sz w:val="14"/>
              </w:rPr>
              <w:t>5.0</w:t>
            </w:r>
          </w:p>
        </w:tc>
        <w:tc>
          <w:tcPr>
            <w:tcW w:w="1084" w:type="dxa"/>
            <w:shd w:val="clear" w:color="auto" w:fill="D4E3F5"/>
          </w:tcPr>
          <w:p>
            <w:pPr>
              <w:pStyle w:val="TableParagraph"/>
              <w:ind w:left="391"/>
              <w:jc w:val="left"/>
              <w:rPr>
                <w:sz w:val="14"/>
              </w:rPr>
            </w:pPr>
            <w:r>
              <w:rPr>
                <w:color w:val="231F20"/>
                <w:spacing w:val="-5"/>
                <w:w w:val="95"/>
                <w:sz w:val="14"/>
              </w:rPr>
              <w:t>3.2</w:t>
            </w:r>
          </w:p>
        </w:tc>
        <w:tc>
          <w:tcPr>
            <w:tcW w:w="755" w:type="dxa"/>
            <w:shd w:val="clear" w:color="auto" w:fill="D4E3F5"/>
          </w:tcPr>
          <w:p>
            <w:pPr>
              <w:pStyle w:val="TableParagraph"/>
              <w:ind w:left="81" w:right="51"/>
              <w:rPr>
                <w:sz w:val="14"/>
              </w:rPr>
            </w:pPr>
            <w:r>
              <w:rPr>
                <w:color w:val="231F20"/>
                <w:spacing w:val="-5"/>
                <w:w w:val="95"/>
                <w:sz w:val="14"/>
              </w:rPr>
              <w:t>7.1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75" w:right="136"/>
              <w:rPr>
                <w:sz w:val="14"/>
              </w:rPr>
            </w:pPr>
            <w:r>
              <w:rPr>
                <w:color w:val="231F20"/>
                <w:spacing w:val="-5"/>
                <w:w w:val="95"/>
                <w:sz w:val="14"/>
              </w:rPr>
              <w:t>5.8</w:t>
            </w:r>
          </w:p>
        </w:tc>
        <w:tc>
          <w:tcPr>
            <w:tcW w:w="1063" w:type="dxa"/>
            <w:shd w:val="clear" w:color="auto" w:fill="D4E3F5"/>
          </w:tcPr>
          <w:p>
            <w:pPr>
              <w:pStyle w:val="TableParagraph"/>
              <w:ind w:left="70" w:right="53"/>
              <w:rPr>
                <w:sz w:val="14"/>
              </w:rPr>
            </w:pPr>
            <w:r>
              <w:rPr>
                <w:color w:val="231F20"/>
                <w:spacing w:val="-5"/>
                <w:w w:val="95"/>
                <w:sz w:val="14"/>
              </w:rPr>
              <w:t>5.0</w:t>
            </w:r>
          </w:p>
        </w:tc>
        <w:tc>
          <w:tcPr>
            <w:tcW w:w="945" w:type="dxa"/>
            <w:shd w:val="clear" w:color="auto" w:fill="D4E3F5"/>
          </w:tcPr>
          <w:p>
            <w:pPr>
              <w:pStyle w:val="TableParagraph"/>
              <w:ind w:left="62" w:right="58"/>
              <w:rPr>
                <w:sz w:val="14"/>
              </w:rPr>
            </w:pPr>
            <w:r>
              <w:rPr>
                <w:color w:val="231F20"/>
                <w:spacing w:val="-5"/>
                <w:w w:val="95"/>
                <w:sz w:val="14"/>
              </w:rPr>
              <w:t>3.2</w:t>
            </w:r>
          </w:p>
        </w:tc>
        <w:tc>
          <w:tcPr>
            <w:tcW w:w="1008" w:type="dxa"/>
            <w:shd w:val="clear" w:color="auto" w:fill="D4E3F5"/>
          </w:tcPr>
          <w:p>
            <w:pPr>
              <w:pStyle w:val="TableParagraph"/>
              <w:ind w:right="403"/>
              <w:jc w:val="right"/>
              <w:rPr>
                <w:sz w:val="14"/>
              </w:rPr>
            </w:pPr>
            <w:r>
              <w:rPr>
                <w:color w:val="231F20"/>
                <w:spacing w:val="-5"/>
                <w:w w:val="95"/>
                <w:sz w:val="14"/>
              </w:rPr>
              <w:t>7.1</w:t>
            </w:r>
          </w:p>
        </w:tc>
      </w:tr>
      <w:tr>
        <w:trPr>
          <w:trHeight w:val="259" w:hRule="atLeast"/>
        </w:trPr>
        <w:tc>
          <w:tcPr>
            <w:tcW w:w="1256" w:type="dxa"/>
          </w:tcPr>
          <w:p>
            <w:pPr>
              <w:pStyle w:val="TableParagraph"/>
              <w:ind w:left="79"/>
              <w:jc w:val="left"/>
              <w:rPr>
                <w:sz w:val="14"/>
              </w:rPr>
            </w:pPr>
            <w:r>
              <w:rPr>
                <w:color w:val="231F20"/>
                <w:spacing w:val="-4"/>
                <w:w w:val="90"/>
                <w:sz w:val="14"/>
              </w:rPr>
              <w:t>Qatar</w:t>
            </w:r>
          </w:p>
        </w:tc>
        <w:tc>
          <w:tcPr>
            <w:tcW w:w="1206" w:type="dxa"/>
          </w:tcPr>
          <w:p>
            <w:pPr>
              <w:pStyle w:val="TableParagraph"/>
              <w:ind w:right="437"/>
              <w:jc w:val="right"/>
              <w:rPr>
                <w:sz w:val="14"/>
              </w:rPr>
            </w:pPr>
            <w:r>
              <w:rPr>
                <w:color w:val="231F20"/>
                <w:spacing w:val="-2"/>
                <w:w w:val="95"/>
                <w:sz w:val="14"/>
              </w:rPr>
              <w:t>8,626</w:t>
            </w:r>
          </w:p>
        </w:tc>
        <w:tc>
          <w:tcPr>
            <w:tcW w:w="852" w:type="dxa"/>
          </w:tcPr>
          <w:p>
            <w:pPr>
              <w:pStyle w:val="TableParagraph"/>
              <w:ind w:left="87" w:right="145"/>
              <w:rPr>
                <w:sz w:val="14"/>
              </w:rPr>
            </w:pPr>
            <w:r>
              <w:rPr>
                <w:color w:val="231F20"/>
                <w:spacing w:val="-5"/>
                <w:w w:val="95"/>
                <w:sz w:val="14"/>
              </w:rPr>
              <w:t>4.4</w:t>
            </w:r>
          </w:p>
        </w:tc>
        <w:tc>
          <w:tcPr>
            <w:tcW w:w="1061" w:type="dxa"/>
          </w:tcPr>
          <w:p>
            <w:pPr>
              <w:pStyle w:val="TableParagraph"/>
              <w:ind w:left="84" w:right="63"/>
              <w:rPr>
                <w:sz w:val="14"/>
              </w:rPr>
            </w:pPr>
            <w:r>
              <w:rPr>
                <w:color w:val="231F20"/>
                <w:spacing w:val="-5"/>
                <w:w w:val="95"/>
                <w:sz w:val="14"/>
              </w:rPr>
              <w:t>3.0</w:t>
            </w:r>
          </w:p>
        </w:tc>
        <w:tc>
          <w:tcPr>
            <w:tcW w:w="1084" w:type="dxa"/>
          </w:tcPr>
          <w:p>
            <w:pPr>
              <w:pStyle w:val="TableParagraph"/>
              <w:ind w:left="399"/>
              <w:jc w:val="left"/>
              <w:rPr>
                <w:sz w:val="14"/>
              </w:rPr>
            </w:pPr>
            <w:r>
              <w:rPr>
                <w:color w:val="231F20"/>
                <w:spacing w:val="-5"/>
                <w:w w:val="95"/>
                <w:sz w:val="14"/>
              </w:rPr>
              <w:t>1.3</w:t>
            </w:r>
          </w:p>
        </w:tc>
        <w:tc>
          <w:tcPr>
            <w:tcW w:w="755" w:type="dxa"/>
          </w:tcPr>
          <w:p>
            <w:pPr>
              <w:pStyle w:val="TableParagraph"/>
              <w:ind w:left="60" w:right="51"/>
              <w:rPr>
                <w:sz w:val="14"/>
              </w:rPr>
            </w:pPr>
            <w:r>
              <w:rPr>
                <w:color w:val="231F20"/>
                <w:spacing w:val="-5"/>
                <w:w w:val="95"/>
                <w:sz w:val="14"/>
              </w:rPr>
              <w:t>5.1</w:t>
            </w:r>
          </w:p>
        </w:tc>
        <w:tc>
          <w:tcPr>
            <w:tcW w:w="240" w:type="dxa"/>
          </w:tcPr>
          <w:p>
            <w:pPr>
              <w:pStyle w:val="TableParagraph"/>
              <w:spacing w:before="0"/>
              <w:jc w:val="left"/>
              <w:rPr>
                <w:rFonts w:ascii="Times New Roman"/>
                <w:sz w:val="12"/>
              </w:rPr>
            </w:pPr>
          </w:p>
        </w:tc>
        <w:tc>
          <w:tcPr>
            <w:tcW w:w="851" w:type="dxa"/>
          </w:tcPr>
          <w:p>
            <w:pPr>
              <w:pStyle w:val="TableParagraph"/>
              <w:ind w:left="76" w:right="136"/>
              <w:rPr>
                <w:sz w:val="14"/>
              </w:rPr>
            </w:pPr>
            <w:r>
              <w:rPr>
                <w:color w:val="231F20"/>
                <w:spacing w:val="-5"/>
                <w:w w:val="95"/>
                <w:sz w:val="14"/>
              </w:rPr>
              <w:t>4.3</w:t>
            </w:r>
          </w:p>
        </w:tc>
        <w:tc>
          <w:tcPr>
            <w:tcW w:w="1063" w:type="dxa"/>
          </w:tcPr>
          <w:p>
            <w:pPr>
              <w:pStyle w:val="TableParagraph"/>
              <w:ind w:left="69" w:right="53"/>
              <w:rPr>
                <w:sz w:val="14"/>
              </w:rPr>
            </w:pPr>
            <w:r>
              <w:rPr>
                <w:color w:val="231F20"/>
                <w:spacing w:val="-5"/>
                <w:w w:val="95"/>
                <w:sz w:val="14"/>
              </w:rPr>
              <w:t>3.0</w:t>
            </w:r>
          </w:p>
        </w:tc>
        <w:tc>
          <w:tcPr>
            <w:tcW w:w="945" w:type="dxa"/>
          </w:tcPr>
          <w:p>
            <w:pPr>
              <w:pStyle w:val="TableParagraph"/>
              <w:ind w:left="69" w:right="58"/>
              <w:rPr>
                <w:sz w:val="14"/>
              </w:rPr>
            </w:pPr>
            <w:r>
              <w:rPr>
                <w:color w:val="231F20"/>
                <w:spacing w:val="-5"/>
                <w:w w:val="95"/>
                <w:sz w:val="14"/>
              </w:rPr>
              <w:t>1.3</w:t>
            </w:r>
          </w:p>
        </w:tc>
        <w:tc>
          <w:tcPr>
            <w:tcW w:w="1008" w:type="dxa"/>
          </w:tcPr>
          <w:p>
            <w:pPr>
              <w:pStyle w:val="TableParagraph"/>
              <w:ind w:right="411"/>
              <w:jc w:val="right"/>
              <w:rPr>
                <w:sz w:val="14"/>
              </w:rPr>
            </w:pPr>
            <w:r>
              <w:rPr>
                <w:color w:val="231F20"/>
                <w:spacing w:val="-5"/>
                <w:w w:val="95"/>
                <w:sz w:val="14"/>
              </w:rPr>
              <w:t>5.1</w:t>
            </w:r>
          </w:p>
        </w:tc>
      </w:tr>
      <w:tr>
        <w:trPr>
          <w:trHeight w:val="259" w:hRule="atLeast"/>
        </w:trPr>
        <w:tc>
          <w:tcPr>
            <w:tcW w:w="1256" w:type="dxa"/>
            <w:shd w:val="clear" w:color="auto" w:fill="D4E3F5"/>
          </w:tcPr>
          <w:p>
            <w:pPr>
              <w:pStyle w:val="TableParagraph"/>
              <w:ind w:left="80"/>
              <w:jc w:val="left"/>
              <w:rPr>
                <w:sz w:val="14"/>
              </w:rPr>
            </w:pPr>
            <w:r>
              <w:rPr>
                <w:color w:val="231F20"/>
                <w:spacing w:val="-2"/>
                <w:w w:val="85"/>
                <w:sz w:val="14"/>
              </w:rPr>
              <w:t>Réunion</w:t>
            </w:r>
          </w:p>
        </w:tc>
        <w:tc>
          <w:tcPr>
            <w:tcW w:w="1206" w:type="dxa"/>
            <w:shd w:val="clear" w:color="auto" w:fill="D4E3F5"/>
          </w:tcPr>
          <w:p>
            <w:pPr>
              <w:pStyle w:val="TableParagraph"/>
              <w:ind w:right="435"/>
              <w:jc w:val="right"/>
              <w:rPr>
                <w:sz w:val="14"/>
              </w:rPr>
            </w:pPr>
            <w:r>
              <w:rPr>
                <w:color w:val="231F20"/>
                <w:spacing w:val="-2"/>
                <w:w w:val="95"/>
                <w:sz w:val="14"/>
              </w:rPr>
              <w:t>4,786</w:t>
            </w:r>
          </w:p>
        </w:tc>
        <w:tc>
          <w:tcPr>
            <w:tcW w:w="852" w:type="dxa"/>
            <w:shd w:val="clear" w:color="auto" w:fill="D4E3F5"/>
          </w:tcPr>
          <w:p>
            <w:pPr>
              <w:pStyle w:val="TableParagraph"/>
              <w:ind w:left="88" w:right="145"/>
              <w:rPr>
                <w:sz w:val="14"/>
              </w:rPr>
            </w:pPr>
            <w:r>
              <w:rPr>
                <w:color w:val="231F20"/>
                <w:spacing w:val="-5"/>
                <w:w w:val="95"/>
                <w:sz w:val="14"/>
              </w:rPr>
              <w:t>6.3</w:t>
            </w:r>
          </w:p>
        </w:tc>
        <w:tc>
          <w:tcPr>
            <w:tcW w:w="1061" w:type="dxa"/>
            <w:shd w:val="clear" w:color="auto" w:fill="D4E3F5"/>
          </w:tcPr>
          <w:p>
            <w:pPr>
              <w:pStyle w:val="TableParagraph"/>
              <w:ind w:left="86" w:right="63"/>
              <w:rPr>
                <w:sz w:val="14"/>
              </w:rPr>
            </w:pPr>
            <w:r>
              <w:rPr>
                <w:color w:val="231F20"/>
                <w:spacing w:val="-5"/>
                <w:w w:val="95"/>
                <w:sz w:val="14"/>
              </w:rPr>
              <w:t>5.2</w:t>
            </w:r>
          </w:p>
        </w:tc>
        <w:tc>
          <w:tcPr>
            <w:tcW w:w="1084" w:type="dxa"/>
            <w:shd w:val="clear" w:color="auto" w:fill="D4E3F5"/>
          </w:tcPr>
          <w:p>
            <w:pPr>
              <w:pStyle w:val="TableParagraph"/>
              <w:ind w:left="392"/>
              <w:jc w:val="left"/>
              <w:rPr>
                <w:sz w:val="14"/>
              </w:rPr>
            </w:pPr>
            <w:r>
              <w:rPr>
                <w:color w:val="231F20"/>
                <w:spacing w:val="-5"/>
                <w:w w:val="95"/>
                <w:sz w:val="14"/>
              </w:rPr>
              <w:t>2.3</w:t>
            </w:r>
          </w:p>
        </w:tc>
        <w:tc>
          <w:tcPr>
            <w:tcW w:w="755" w:type="dxa"/>
            <w:shd w:val="clear" w:color="auto" w:fill="D4E3F5"/>
          </w:tcPr>
          <w:p>
            <w:pPr>
              <w:pStyle w:val="TableParagraph"/>
              <w:ind w:left="91" w:right="51"/>
              <w:rPr>
                <w:sz w:val="14"/>
              </w:rPr>
            </w:pPr>
            <w:r>
              <w:rPr>
                <w:color w:val="231F20"/>
                <w:spacing w:val="-5"/>
                <w:w w:val="95"/>
                <w:sz w:val="14"/>
              </w:rPr>
              <w:t>7.5</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75" w:right="136"/>
              <w:rPr>
                <w:sz w:val="14"/>
              </w:rPr>
            </w:pPr>
            <w:r>
              <w:rPr>
                <w:color w:val="231F20"/>
                <w:spacing w:val="-5"/>
                <w:w w:val="95"/>
                <w:sz w:val="14"/>
              </w:rPr>
              <w:t>6.3</w:t>
            </w:r>
          </w:p>
        </w:tc>
        <w:tc>
          <w:tcPr>
            <w:tcW w:w="1063" w:type="dxa"/>
            <w:shd w:val="clear" w:color="auto" w:fill="D4E3F5"/>
          </w:tcPr>
          <w:p>
            <w:pPr>
              <w:pStyle w:val="TableParagraph"/>
              <w:ind w:left="71" w:right="53"/>
              <w:rPr>
                <w:sz w:val="14"/>
              </w:rPr>
            </w:pPr>
            <w:r>
              <w:rPr>
                <w:color w:val="231F20"/>
                <w:spacing w:val="-5"/>
                <w:w w:val="95"/>
                <w:sz w:val="14"/>
              </w:rPr>
              <w:t>5.2</w:t>
            </w:r>
          </w:p>
        </w:tc>
        <w:tc>
          <w:tcPr>
            <w:tcW w:w="945" w:type="dxa"/>
            <w:shd w:val="clear" w:color="auto" w:fill="D4E3F5"/>
          </w:tcPr>
          <w:p>
            <w:pPr>
              <w:pStyle w:val="TableParagraph"/>
              <w:ind w:left="62" w:right="58"/>
              <w:rPr>
                <w:sz w:val="14"/>
              </w:rPr>
            </w:pPr>
            <w:r>
              <w:rPr>
                <w:color w:val="231F20"/>
                <w:spacing w:val="-5"/>
                <w:w w:val="95"/>
                <w:sz w:val="14"/>
              </w:rPr>
              <w:t>2.3</w:t>
            </w:r>
          </w:p>
        </w:tc>
        <w:tc>
          <w:tcPr>
            <w:tcW w:w="1008" w:type="dxa"/>
            <w:shd w:val="clear" w:color="auto" w:fill="D4E3F5"/>
          </w:tcPr>
          <w:p>
            <w:pPr>
              <w:pStyle w:val="TableParagraph"/>
              <w:ind w:right="393"/>
              <w:jc w:val="right"/>
              <w:rPr>
                <w:sz w:val="14"/>
              </w:rPr>
            </w:pPr>
            <w:r>
              <w:rPr>
                <w:color w:val="231F20"/>
                <w:spacing w:val="-5"/>
                <w:w w:val="95"/>
                <w:sz w:val="14"/>
              </w:rPr>
              <w:t>7.5</w:t>
            </w:r>
          </w:p>
        </w:tc>
      </w:tr>
      <w:tr>
        <w:trPr>
          <w:trHeight w:val="259" w:hRule="atLeast"/>
        </w:trPr>
        <w:tc>
          <w:tcPr>
            <w:tcW w:w="1256" w:type="dxa"/>
          </w:tcPr>
          <w:p>
            <w:pPr>
              <w:pStyle w:val="TableParagraph"/>
              <w:ind w:left="80"/>
              <w:jc w:val="left"/>
              <w:rPr>
                <w:sz w:val="14"/>
              </w:rPr>
            </w:pPr>
            <w:r>
              <w:rPr>
                <w:color w:val="231F20"/>
                <w:spacing w:val="-2"/>
                <w:w w:val="85"/>
                <w:sz w:val="14"/>
              </w:rPr>
              <w:t>Romania</w:t>
            </w:r>
          </w:p>
        </w:tc>
        <w:tc>
          <w:tcPr>
            <w:tcW w:w="1206" w:type="dxa"/>
          </w:tcPr>
          <w:p>
            <w:pPr>
              <w:pStyle w:val="TableParagraph"/>
              <w:ind w:right="436"/>
              <w:jc w:val="right"/>
              <w:rPr>
                <w:sz w:val="14"/>
              </w:rPr>
            </w:pPr>
            <w:r>
              <w:rPr>
                <w:color w:val="231F20"/>
                <w:spacing w:val="-2"/>
                <w:w w:val="95"/>
                <w:sz w:val="14"/>
              </w:rPr>
              <w:t>7,409</w:t>
            </w:r>
          </w:p>
        </w:tc>
        <w:tc>
          <w:tcPr>
            <w:tcW w:w="852" w:type="dxa"/>
          </w:tcPr>
          <w:p>
            <w:pPr>
              <w:pStyle w:val="TableParagraph"/>
              <w:ind w:left="25" w:right="145"/>
              <w:rPr>
                <w:sz w:val="14"/>
              </w:rPr>
            </w:pPr>
            <w:r>
              <w:rPr>
                <w:color w:val="231F20"/>
                <w:spacing w:val="-4"/>
                <w:w w:val="95"/>
                <w:sz w:val="14"/>
              </w:rPr>
              <w:t>10.3</w:t>
            </w:r>
          </w:p>
        </w:tc>
        <w:tc>
          <w:tcPr>
            <w:tcW w:w="1061" w:type="dxa"/>
          </w:tcPr>
          <w:p>
            <w:pPr>
              <w:pStyle w:val="TableParagraph"/>
              <w:ind w:left="85" w:right="63"/>
              <w:rPr>
                <w:sz w:val="14"/>
              </w:rPr>
            </w:pPr>
            <w:r>
              <w:rPr>
                <w:color w:val="231F20"/>
                <w:spacing w:val="-5"/>
                <w:w w:val="95"/>
                <w:sz w:val="14"/>
              </w:rPr>
              <w:t>6.6</w:t>
            </w:r>
          </w:p>
        </w:tc>
        <w:tc>
          <w:tcPr>
            <w:tcW w:w="1084" w:type="dxa"/>
          </w:tcPr>
          <w:p>
            <w:pPr>
              <w:pStyle w:val="TableParagraph"/>
              <w:ind w:left="393"/>
              <w:jc w:val="left"/>
              <w:rPr>
                <w:sz w:val="14"/>
              </w:rPr>
            </w:pPr>
            <w:r>
              <w:rPr>
                <w:color w:val="231F20"/>
                <w:spacing w:val="-5"/>
                <w:w w:val="95"/>
                <w:sz w:val="14"/>
              </w:rPr>
              <w:t>4.6</w:t>
            </w:r>
          </w:p>
        </w:tc>
        <w:tc>
          <w:tcPr>
            <w:tcW w:w="755" w:type="dxa"/>
          </w:tcPr>
          <w:p>
            <w:pPr>
              <w:pStyle w:val="TableParagraph"/>
              <w:ind w:left="48" w:right="71"/>
              <w:rPr>
                <w:sz w:val="14"/>
              </w:rPr>
            </w:pPr>
            <w:r>
              <w:rPr>
                <w:color w:val="231F20"/>
                <w:spacing w:val="-4"/>
                <w:w w:val="95"/>
                <w:sz w:val="14"/>
              </w:rPr>
              <w:t>11.8</w:t>
            </w:r>
          </w:p>
        </w:tc>
        <w:tc>
          <w:tcPr>
            <w:tcW w:w="240" w:type="dxa"/>
          </w:tcPr>
          <w:p>
            <w:pPr>
              <w:pStyle w:val="TableParagraph"/>
              <w:spacing w:before="0"/>
              <w:jc w:val="left"/>
              <w:rPr>
                <w:rFonts w:ascii="Times New Roman"/>
                <w:sz w:val="12"/>
              </w:rPr>
            </w:pPr>
          </w:p>
        </w:tc>
        <w:tc>
          <w:tcPr>
            <w:tcW w:w="851" w:type="dxa"/>
          </w:tcPr>
          <w:p>
            <w:pPr>
              <w:pStyle w:val="TableParagraph"/>
              <w:ind w:left="75" w:right="136"/>
              <w:rPr>
                <w:sz w:val="14"/>
              </w:rPr>
            </w:pPr>
            <w:r>
              <w:rPr>
                <w:color w:val="231F20"/>
                <w:spacing w:val="-5"/>
                <w:w w:val="95"/>
                <w:sz w:val="14"/>
              </w:rPr>
              <w:t>9.6</w:t>
            </w:r>
          </w:p>
        </w:tc>
        <w:tc>
          <w:tcPr>
            <w:tcW w:w="1063" w:type="dxa"/>
          </w:tcPr>
          <w:p>
            <w:pPr>
              <w:pStyle w:val="TableParagraph"/>
              <w:ind w:left="67" w:right="53"/>
              <w:rPr>
                <w:sz w:val="14"/>
              </w:rPr>
            </w:pPr>
            <w:r>
              <w:rPr>
                <w:color w:val="231F20"/>
                <w:spacing w:val="-5"/>
                <w:w w:val="95"/>
                <w:sz w:val="14"/>
              </w:rPr>
              <w:t>6.4</w:t>
            </w:r>
          </w:p>
        </w:tc>
        <w:tc>
          <w:tcPr>
            <w:tcW w:w="945" w:type="dxa"/>
          </w:tcPr>
          <w:p>
            <w:pPr>
              <w:pStyle w:val="TableParagraph"/>
              <w:ind w:left="63" w:right="58"/>
              <w:rPr>
                <w:sz w:val="14"/>
              </w:rPr>
            </w:pPr>
            <w:r>
              <w:rPr>
                <w:color w:val="231F20"/>
                <w:spacing w:val="-5"/>
                <w:w w:val="95"/>
                <w:sz w:val="14"/>
              </w:rPr>
              <w:t>4.5</w:t>
            </w:r>
          </w:p>
        </w:tc>
        <w:tc>
          <w:tcPr>
            <w:tcW w:w="1008" w:type="dxa"/>
          </w:tcPr>
          <w:p>
            <w:pPr>
              <w:pStyle w:val="TableParagraph"/>
              <w:ind w:right="392"/>
              <w:jc w:val="right"/>
              <w:rPr>
                <w:sz w:val="14"/>
              </w:rPr>
            </w:pPr>
            <w:r>
              <w:rPr>
                <w:color w:val="231F20"/>
                <w:spacing w:val="-4"/>
                <w:w w:val="95"/>
                <w:sz w:val="14"/>
              </w:rPr>
              <w:t>11.2</w:t>
            </w:r>
          </w:p>
        </w:tc>
      </w:tr>
      <w:tr>
        <w:trPr>
          <w:trHeight w:val="259" w:hRule="atLeast"/>
        </w:trPr>
        <w:tc>
          <w:tcPr>
            <w:tcW w:w="1256" w:type="dxa"/>
            <w:shd w:val="clear" w:color="auto" w:fill="D4E3F5"/>
          </w:tcPr>
          <w:p>
            <w:pPr>
              <w:pStyle w:val="TableParagraph"/>
              <w:ind w:left="80"/>
              <w:jc w:val="left"/>
              <w:rPr>
                <w:sz w:val="14"/>
              </w:rPr>
            </w:pPr>
            <w:r>
              <w:rPr>
                <w:color w:val="231F20"/>
                <w:spacing w:val="-2"/>
                <w:w w:val="85"/>
                <w:sz w:val="14"/>
              </w:rPr>
              <w:t>Rwanda</w:t>
            </w:r>
          </w:p>
        </w:tc>
        <w:tc>
          <w:tcPr>
            <w:tcW w:w="1206" w:type="dxa"/>
            <w:shd w:val="clear" w:color="auto" w:fill="D4E3F5"/>
          </w:tcPr>
          <w:p>
            <w:pPr>
              <w:pStyle w:val="TableParagraph"/>
              <w:ind w:right="433"/>
              <w:jc w:val="right"/>
              <w:rPr>
                <w:sz w:val="14"/>
              </w:rPr>
            </w:pPr>
            <w:r>
              <w:rPr>
                <w:color w:val="231F20"/>
                <w:spacing w:val="-5"/>
                <w:w w:val="95"/>
                <w:sz w:val="14"/>
              </w:rPr>
              <w:t>67</w:t>
            </w:r>
          </w:p>
        </w:tc>
        <w:tc>
          <w:tcPr>
            <w:tcW w:w="852" w:type="dxa"/>
            <w:shd w:val="clear" w:color="auto" w:fill="D4E3F5"/>
          </w:tcPr>
          <w:p>
            <w:pPr>
              <w:pStyle w:val="TableParagraph"/>
              <w:ind w:left="24" w:right="145"/>
              <w:rPr>
                <w:sz w:val="14"/>
              </w:rPr>
            </w:pPr>
            <w:r>
              <w:rPr>
                <w:color w:val="231F20"/>
                <w:spacing w:val="-4"/>
                <w:w w:val="95"/>
                <w:sz w:val="14"/>
              </w:rPr>
              <w:t>16.5</w:t>
            </w:r>
          </w:p>
        </w:tc>
        <w:tc>
          <w:tcPr>
            <w:tcW w:w="1061" w:type="dxa"/>
            <w:shd w:val="clear" w:color="auto" w:fill="D4E3F5"/>
          </w:tcPr>
          <w:p>
            <w:pPr>
              <w:pStyle w:val="TableParagraph"/>
              <w:ind w:left="36" w:right="75"/>
              <w:rPr>
                <w:sz w:val="14"/>
              </w:rPr>
            </w:pPr>
            <w:r>
              <w:rPr>
                <w:color w:val="231F20"/>
                <w:spacing w:val="-4"/>
                <w:w w:val="95"/>
                <w:sz w:val="14"/>
              </w:rPr>
              <w:t>13.6</w:t>
            </w:r>
          </w:p>
        </w:tc>
        <w:tc>
          <w:tcPr>
            <w:tcW w:w="1084" w:type="dxa"/>
            <w:shd w:val="clear" w:color="auto" w:fill="D4E3F5"/>
          </w:tcPr>
          <w:p>
            <w:pPr>
              <w:pStyle w:val="TableParagraph"/>
              <w:ind w:left="391"/>
              <w:jc w:val="left"/>
              <w:rPr>
                <w:sz w:val="14"/>
              </w:rPr>
            </w:pPr>
            <w:r>
              <w:rPr>
                <w:color w:val="231F20"/>
                <w:spacing w:val="-5"/>
                <w:w w:val="95"/>
                <w:sz w:val="14"/>
              </w:rPr>
              <w:t>8.5</w:t>
            </w:r>
          </w:p>
        </w:tc>
        <w:tc>
          <w:tcPr>
            <w:tcW w:w="755" w:type="dxa"/>
            <w:shd w:val="clear" w:color="auto" w:fill="D4E3F5"/>
          </w:tcPr>
          <w:p>
            <w:pPr>
              <w:pStyle w:val="TableParagraph"/>
              <w:ind w:left="48" w:right="68"/>
              <w:rPr>
                <w:sz w:val="14"/>
              </w:rPr>
            </w:pPr>
            <w:r>
              <w:rPr>
                <w:color w:val="231F20"/>
                <w:spacing w:val="-4"/>
                <w:w w:val="95"/>
                <w:sz w:val="14"/>
              </w:rPr>
              <w:t>17.6</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46"/>
              <w:jc w:val="left"/>
              <w:rPr>
                <w:sz w:val="14"/>
              </w:rPr>
            </w:pPr>
            <w:r>
              <w:rPr>
                <w:color w:val="231F20"/>
                <w:spacing w:val="-4"/>
                <w:w w:val="95"/>
                <w:sz w:val="14"/>
              </w:rPr>
              <w:t>14.6</w:t>
            </w:r>
          </w:p>
        </w:tc>
        <w:tc>
          <w:tcPr>
            <w:tcW w:w="1063" w:type="dxa"/>
            <w:shd w:val="clear" w:color="auto" w:fill="D4E3F5"/>
          </w:tcPr>
          <w:p>
            <w:pPr>
              <w:pStyle w:val="TableParagraph"/>
              <w:ind w:left="38" w:right="72"/>
              <w:rPr>
                <w:sz w:val="14"/>
              </w:rPr>
            </w:pPr>
            <w:r>
              <w:rPr>
                <w:color w:val="231F20"/>
                <w:spacing w:val="-4"/>
                <w:w w:val="95"/>
                <w:sz w:val="14"/>
              </w:rPr>
              <w:t>11.9</w:t>
            </w:r>
          </w:p>
        </w:tc>
        <w:tc>
          <w:tcPr>
            <w:tcW w:w="945" w:type="dxa"/>
            <w:shd w:val="clear" w:color="auto" w:fill="D4E3F5"/>
          </w:tcPr>
          <w:p>
            <w:pPr>
              <w:pStyle w:val="TableParagraph"/>
              <w:ind w:left="58" w:right="58"/>
              <w:rPr>
                <w:sz w:val="14"/>
              </w:rPr>
            </w:pPr>
            <w:r>
              <w:rPr>
                <w:color w:val="231F20"/>
                <w:spacing w:val="-5"/>
                <w:w w:val="95"/>
                <w:sz w:val="14"/>
              </w:rPr>
              <w:t>4.7</w:t>
            </w:r>
          </w:p>
        </w:tc>
        <w:tc>
          <w:tcPr>
            <w:tcW w:w="1008" w:type="dxa"/>
            <w:shd w:val="clear" w:color="auto" w:fill="D4E3F5"/>
          </w:tcPr>
          <w:p>
            <w:pPr>
              <w:pStyle w:val="TableParagraph"/>
              <w:ind w:right="393"/>
              <w:jc w:val="right"/>
              <w:rPr>
                <w:sz w:val="14"/>
              </w:rPr>
            </w:pPr>
            <w:r>
              <w:rPr>
                <w:color w:val="231F20"/>
                <w:spacing w:val="-4"/>
                <w:w w:val="95"/>
                <w:sz w:val="14"/>
              </w:rPr>
              <w:t>15.3</w:t>
            </w:r>
          </w:p>
        </w:tc>
      </w:tr>
      <w:tr>
        <w:trPr>
          <w:trHeight w:val="259" w:hRule="atLeast"/>
        </w:trPr>
        <w:tc>
          <w:tcPr>
            <w:tcW w:w="1256" w:type="dxa"/>
          </w:tcPr>
          <w:p>
            <w:pPr>
              <w:pStyle w:val="TableParagraph"/>
              <w:ind w:left="79"/>
              <w:jc w:val="left"/>
              <w:rPr>
                <w:sz w:val="14"/>
              </w:rPr>
            </w:pPr>
            <w:r>
              <w:rPr>
                <w:color w:val="231F20"/>
                <w:spacing w:val="-2"/>
                <w:w w:val="85"/>
                <w:sz w:val="14"/>
              </w:rPr>
              <w:t>Samoa</w:t>
            </w:r>
          </w:p>
        </w:tc>
        <w:tc>
          <w:tcPr>
            <w:tcW w:w="1206" w:type="dxa"/>
          </w:tcPr>
          <w:p>
            <w:pPr>
              <w:pStyle w:val="TableParagraph"/>
              <w:ind w:right="437"/>
              <w:jc w:val="right"/>
              <w:rPr>
                <w:sz w:val="14"/>
              </w:rPr>
            </w:pPr>
            <w:r>
              <w:rPr>
                <w:color w:val="231F20"/>
                <w:spacing w:val="-10"/>
                <w:w w:val="95"/>
                <w:sz w:val="14"/>
              </w:rPr>
              <w:t>5</w:t>
            </w:r>
          </w:p>
        </w:tc>
        <w:tc>
          <w:tcPr>
            <w:tcW w:w="852" w:type="dxa"/>
          </w:tcPr>
          <w:p>
            <w:pPr>
              <w:pStyle w:val="TableParagraph"/>
              <w:ind w:left="88" w:right="145"/>
              <w:rPr>
                <w:sz w:val="14"/>
              </w:rPr>
            </w:pPr>
            <w:r>
              <w:rPr>
                <w:color w:val="231F20"/>
                <w:spacing w:val="-5"/>
                <w:w w:val="95"/>
                <w:sz w:val="14"/>
              </w:rPr>
              <w:t>6.0</w:t>
            </w:r>
          </w:p>
        </w:tc>
        <w:tc>
          <w:tcPr>
            <w:tcW w:w="1061" w:type="dxa"/>
          </w:tcPr>
          <w:p>
            <w:pPr>
              <w:pStyle w:val="TableParagraph"/>
              <w:ind w:left="87" w:right="63"/>
              <w:rPr>
                <w:sz w:val="14"/>
              </w:rPr>
            </w:pPr>
            <w:r>
              <w:rPr>
                <w:color w:val="231F20"/>
                <w:spacing w:val="-5"/>
                <w:w w:val="95"/>
                <w:sz w:val="14"/>
              </w:rPr>
              <w:t>4.2</w:t>
            </w:r>
          </w:p>
        </w:tc>
        <w:tc>
          <w:tcPr>
            <w:tcW w:w="1084" w:type="dxa"/>
          </w:tcPr>
          <w:p>
            <w:pPr>
              <w:pStyle w:val="TableParagraph"/>
              <w:ind w:left="393"/>
              <w:jc w:val="left"/>
              <w:rPr>
                <w:sz w:val="14"/>
              </w:rPr>
            </w:pPr>
            <w:r>
              <w:rPr>
                <w:color w:val="231F20"/>
                <w:spacing w:val="-5"/>
                <w:w w:val="95"/>
                <w:sz w:val="14"/>
              </w:rPr>
              <w:t>4.2</w:t>
            </w:r>
          </w:p>
        </w:tc>
        <w:tc>
          <w:tcPr>
            <w:tcW w:w="755" w:type="dxa"/>
          </w:tcPr>
          <w:p>
            <w:pPr>
              <w:pStyle w:val="TableParagraph"/>
              <w:ind w:left="79" w:right="51"/>
              <w:rPr>
                <w:sz w:val="14"/>
              </w:rPr>
            </w:pPr>
            <w:r>
              <w:rPr>
                <w:color w:val="231F20"/>
                <w:spacing w:val="-5"/>
                <w:w w:val="95"/>
                <w:sz w:val="14"/>
              </w:rPr>
              <w:t>5.2</w:t>
            </w:r>
          </w:p>
        </w:tc>
        <w:tc>
          <w:tcPr>
            <w:tcW w:w="240" w:type="dxa"/>
          </w:tcPr>
          <w:p>
            <w:pPr>
              <w:pStyle w:val="TableParagraph"/>
              <w:spacing w:before="0"/>
              <w:jc w:val="left"/>
              <w:rPr>
                <w:rFonts w:ascii="Times New Roman"/>
                <w:sz w:val="12"/>
              </w:rPr>
            </w:pPr>
          </w:p>
        </w:tc>
        <w:tc>
          <w:tcPr>
            <w:tcW w:w="851" w:type="dxa"/>
          </w:tcPr>
          <w:p>
            <w:pPr>
              <w:pStyle w:val="TableParagraph"/>
              <w:ind w:left="75" w:right="136"/>
              <w:rPr>
                <w:sz w:val="14"/>
              </w:rPr>
            </w:pPr>
            <w:r>
              <w:rPr>
                <w:color w:val="231F20"/>
                <w:spacing w:val="-5"/>
                <w:w w:val="95"/>
                <w:sz w:val="14"/>
              </w:rPr>
              <w:t>6.0</w:t>
            </w:r>
          </w:p>
        </w:tc>
        <w:tc>
          <w:tcPr>
            <w:tcW w:w="1063" w:type="dxa"/>
          </w:tcPr>
          <w:p>
            <w:pPr>
              <w:pStyle w:val="TableParagraph"/>
              <w:ind w:left="72" w:right="53"/>
              <w:rPr>
                <w:sz w:val="14"/>
              </w:rPr>
            </w:pPr>
            <w:r>
              <w:rPr>
                <w:color w:val="231F20"/>
                <w:spacing w:val="-5"/>
                <w:w w:val="95"/>
                <w:sz w:val="14"/>
              </w:rPr>
              <w:t>4.2</w:t>
            </w:r>
          </w:p>
        </w:tc>
        <w:tc>
          <w:tcPr>
            <w:tcW w:w="945" w:type="dxa"/>
          </w:tcPr>
          <w:p>
            <w:pPr>
              <w:pStyle w:val="TableParagraph"/>
              <w:ind w:left="64" w:right="58"/>
              <w:rPr>
                <w:sz w:val="14"/>
              </w:rPr>
            </w:pPr>
            <w:r>
              <w:rPr>
                <w:color w:val="231F20"/>
                <w:spacing w:val="-5"/>
                <w:w w:val="95"/>
                <w:sz w:val="14"/>
              </w:rPr>
              <w:t>4.2</w:t>
            </w:r>
          </w:p>
        </w:tc>
        <w:tc>
          <w:tcPr>
            <w:tcW w:w="1008" w:type="dxa"/>
          </w:tcPr>
          <w:p>
            <w:pPr>
              <w:pStyle w:val="TableParagraph"/>
              <w:ind w:right="392"/>
              <w:jc w:val="right"/>
              <w:rPr>
                <w:sz w:val="14"/>
              </w:rPr>
            </w:pPr>
            <w:r>
              <w:rPr>
                <w:color w:val="231F20"/>
                <w:spacing w:val="-5"/>
                <w:w w:val="95"/>
                <w:sz w:val="14"/>
              </w:rPr>
              <w:t>5.2</w:t>
            </w:r>
          </w:p>
        </w:tc>
      </w:tr>
      <w:tr>
        <w:trPr>
          <w:trHeight w:val="259" w:hRule="atLeast"/>
        </w:trPr>
        <w:tc>
          <w:tcPr>
            <w:tcW w:w="1256" w:type="dxa"/>
            <w:shd w:val="clear" w:color="auto" w:fill="D4E3F5"/>
          </w:tcPr>
          <w:p>
            <w:pPr>
              <w:pStyle w:val="TableParagraph"/>
              <w:ind w:left="79"/>
              <w:jc w:val="left"/>
              <w:rPr>
                <w:sz w:val="14"/>
              </w:rPr>
            </w:pPr>
            <w:r>
              <w:rPr>
                <w:color w:val="231F20"/>
                <w:w w:val="75"/>
                <w:sz w:val="14"/>
              </w:rPr>
              <w:t>Saudi</w:t>
            </w:r>
            <w:r>
              <w:rPr>
                <w:color w:val="231F20"/>
                <w:spacing w:val="6"/>
                <w:sz w:val="14"/>
              </w:rPr>
              <w:t> </w:t>
            </w:r>
            <w:r>
              <w:rPr>
                <w:color w:val="231F20"/>
                <w:spacing w:val="-2"/>
                <w:w w:val="90"/>
                <w:sz w:val="14"/>
              </w:rPr>
              <w:t>Arabia</w:t>
            </w:r>
          </w:p>
        </w:tc>
        <w:tc>
          <w:tcPr>
            <w:tcW w:w="1206" w:type="dxa"/>
            <w:shd w:val="clear" w:color="auto" w:fill="D4E3F5"/>
          </w:tcPr>
          <w:p>
            <w:pPr>
              <w:pStyle w:val="TableParagraph"/>
              <w:ind w:right="433"/>
              <w:jc w:val="right"/>
              <w:rPr>
                <w:sz w:val="14"/>
              </w:rPr>
            </w:pPr>
            <w:r>
              <w:rPr>
                <w:color w:val="231F20"/>
                <w:spacing w:val="-2"/>
                <w:w w:val="95"/>
                <w:sz w:val="14"/>
              </w:rPr>
              <w:t>25,767</w:t>
            </w:r>
          </w:p>
        </w:tc>
        <w:tc>
          <w:tcPr>
            <w:tcW w:w="852" w:type="dxa"/>
            <w:shd w:val="clear" w:color="auto" w:fill="D4E3F5"/>
          </w:tcPr>
          <w:p>
            <w:pPr>
              <w:pStyle w:val="TableParagraph"/>
              <w:ind w:left="90" w:right="145"/>
              <w:rPr>
                <w:sz w:val="14"/>
              </w:rPr>
            </w:pPr>
            <w:r>
              <w:rPr>
                <w:color w:val="231F20"/>
                <w:spacing w:val="-5"/>
                <w:w w:val="95"/>
                <w:sz w:val="14"/>
              </w:rPr>
              <w:t>4.3</w:t>
            </w:r>
          </w:p>
        </w:tc>
        <w:tc>
          <w:tcPr>
            <w:tcW w:w="1061" w:type="dxa"/>
            <w:shd w:val="clear" w:color="auto" w:fill="D4E3F5"/>
          </w:tcPr>
          <w:p>
            <w:pPr>
              <w:pStyle w:val="TableParagraph"/>
              <w:ind w:left="66" w:right="63"/>
              <w:rPr>
                <w:sz w:val="14"/>
              </w:rPr>
            </w:pPr>
            <w:r>
              <w:rPr>
                <w:color w:val="231F20"/>
                <w:spacing w:val="-5"/>
                <w:w w:val="95"/>
                <w:sz w:val="14"/>
              </w:rPr>
              <w:t>3.1</w:t>
            </w:r>
          </w:p>
        </w:tc>
        <w:tc>
          <w:tcPr>
            <w:tcW w:w="1084" w:type="dxa"/>
            <w:shd w:val="clear" w:color="auto" w:fill="D4E3F5"/>
          </w:tcPr>
          <w:p>
            <w:pPr>
              <w:pStyle w:val="TableParagraph"/>
              <w:ind w:left="399"/>
              <w:jc w:val="left"/>
              <w:rPr>
                <w:sz w:val="14"/>
              </w:rPr>
            </w:pPr>
            <w:r>
              <w:rPr>
                <w:color w:val="231F20"/>
                <w:spacing w:val="-5"/>
                <w:w w:val="95"/>
                <w:sz w:val="14"/>
              </w:rPr>
              <w:t>1.9</w:t>
            </w:r>
          </w:p>
        </w:tc>
        <w:tc>
          <w:tcPr>
            <w:tcW w:w="755" w:type="dxa"/>
            <w:shd w:val="clear" w:color="auto" w:fill="D4E3F5"/>
          </w:tcPr>
          <w:p>
            <w:pPr>
              <w:pStyle w:val="TableParagraph"/>
              <w:ind w:left="77" w:right="51"/>
              <w:rPr>
                <w:sz w:val="14"/>
              </w:rPr>
            </w:pPr>
            <w:r>
              <w:rPr>
                <w:color w:val="231F20"/>
                <w:spacing w:val="-5"/>
                <w:w w:val="95"/>
                <w:sz w:val="14"/>
              </w:rPr>
              <w:t>4.4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57" w:right="136"/>
              <w:rPr>
                <w:sz w:val="14"/>
              </w:rPr>
            </w:pPr>
            <w:r>
              <w:rPr>
                <w:color w:val="231F20"/>
                <w:spacing w:val="-5"/>
                <w:w w:val="95"/>
                <w:sz w:val="14"/>
              </w:rPr>
              <w:t>2.1</w:t>
            </w:r>
          </w:p>
        </w:tc>
        <w:tc>
          <w:tcPr>
            <w:tcW w:w="1063" w:type="dxa"/>
            <w:shd w:val="clear" w:color="auto" w:fill="D4E3F5"/>
          </w:tcPr>
          <w:p>
            <w:pPr>
              <w:pStyle w:val="TableParagraph"/>
              <w:ind w:left="65" w:right="53"/>
              <w:rPr>
                <w:sz w:val="14"/>
              </w:rPr>
            </w:pPr>
            <w:r>
              <w:rPr>
                <w:color w:val="231F20"/>
                <w:spacing w:val="-5"/>
                <w:w w:val="95"/>
                <w:sz w:val="14"/>
              </w:rPr>
              <w:t>0.7</w:t>
            </w:r>
          </w:p>
        </w:tc>
        <w:tc>
          <w:tcPr>
            <w:tcW w:w="945" w:type="dxa"/>
            <w:shd w:val="clear" w:color="auto" w:fill="D4E3F5"/>
          </w:tcPr>
          <w:p>
            <w:pPr>
              <w:pStyle w:val="TableParagraph"/>
              <w:ind w:left="62" w:right="58"/>
              <w:rPr>
                <w:sz w:val="14"/>
              </w:rPr>
            </w:pPr>
            <w:r>
              <w:rPr>
                <w:color w:val="231F20"/>
                <w:spacing w:val="-5"/>
                <w:w w:val="95"/>
                <w:sz w:val="14"/>
              </w:rPr>
              <w:t>0.5</w:t>
            </w:r>
          </w:p>
        </w:tc>
        <w:tc>
          <w:tcPr>
            <w:tcW w:w="1008" w:type="dxa"/>
            <w:shd w:val="clear" w:color="auto" w:fill="D4E3F5"/>
          </w:tcPr>
          <w:p>
            <w:pPr>
              <w:pStyle w:val="TableParagraph"/>
              <w:ind w:right="393"/>
              <w:jc w:val="right"/>
              <w:rPr>
                <w:sz w:val="14"/>
              </w:rPr>
            </w:pPr>
            <w:r>
              <w:rPr>
                <w:color w:val="231F20"/>
                <w:spacing w:val="-5"/>
                <w:w w:val="95"/>
                <w:sz w:val="14"/>
              </w:rPr>
              <w:t>2.9</w:t>
            </w:r>
          </w:p>
        </w:tc>
      </w:tr>
      <w:tr>
        <w:trPr>
          <w:trHeight w:val="259" w:hRule="atLeast"/>
        </w:trPr>
        <w:tc>
          <w:tcPr>
            <w:tcW w:w="1256" w:type="dxa"/>
          </w:tcPr>
          <w:p>
            <w:pPr>
              <w:pStyle w:val="TableParagraph"/>
              <w:ind w:left="80"/>
              <w:jc w:val="left"/>
              <w:rPr>
                <w:sz w:val="14"/>
              </w:rPr>
            </w:pPr>
            <w:r>
              <w:rPr>
                <w:color w:val="231F20"/>
                <w:spacing w:val="-2"/>
                <w:w w:val="85"/>
                <w:sz w:val="14"/>
              </w:rPr>
              <w:t>Senegal</w:t>
            </w:r>
          </w:p>
        </w:tc>
        <w:tc>
          <w:tcPr>
            <w:tcW w:w="1206" w:type="dxa"/>
          </w:tcPr>
          <w:p>
            <w:pPr>
              <w:pStyle w:val="TableParagraph"/>
              <w:ind w:right="430"/>
              <w:jc w:val="right"/>
              <w:rPr>
                <w:sz w:val="14"/>
              </w:rPr>
            </w:pPr>
            <w:r>
              <w:rPr>
                <w:color w:val="231F20"/>
                <w:spacing w:val="-2"/>
                <w:w w:val="95"/>
                <w:sz w:val="14"/>
              </w:rPr>
              <w:t>15,548</w:t>
            </w:r>
          </w:p>
        </w:tc>
        <w:tc>
          <w:tcPr>
            <w:tcW w:w="852" w:type="dxa"/>
          </w:tcPr>
          <w:p>
            <w:pPr>
              <w:pStyle w:val="TableParagraph"/>
              <w:ind w:left="69" w:right="145"/>
              <w:rPr>
                <w:sz w:val="14"/>
              </w:rPr>
            </w:pPr>
            <w:r>
              <w:rPr>
                <w:color w:val="231F20"/>
                <w:spacing w:val="-5"/>
                <w:w w:val="95"/>
                <w:sz w:val="14"/>
              </w:rPr>
              <w:t>8.1</w:t>
            </w:r>
          </w:p>
        </w:tc>
        <w:tc>
          <w:tcPr>
            <w:tcW w:w="1061" w:type="dxa"/>
          </w:tcPr>
          <w:p>
            <w:pPr>
              <w:pStyle w:val="TableParagraph"/>
              <w:ind w:left="83" w:right="63"/>
              <w:rPr>
                <w:sz w:val="14"/>
              </w:rPr>
            </w:pPr>
            <w:r>
              <w:rPr>
                <w:color w:val="231F20"/>
                <w:spacing w:val="-5"/>
                <w:w w:val="95"/>
                <w:sz w:val="14"/>
              </w:rPr>
              <w:t>6.4</w:t>
            </w:r>
          </w:p>
        </w:tc>
        <w:tc>
          <w:tcPr>
            <w:tcW w:w="1084" w:type="dxa"/>
          </w:tcPr>
          <w:p>
            <w:pPr>
              <w:pStyle w:val="TableParagraph"/>
              <w:ind w:left="391"/>
              <w:jc w:val="left"/>
              <w:rPr>
                <w:sz w:val="14"/>
              </w:rPr>
            </w:pPr>
            <w:r>
              <w:rPr>
                <w:color w:val="231F20"/>
                <w:spacing w:val="-5"/>
                <w:w w:val="95"/>
                <w:sz w:val="14"/>
              </w:rPr>
              <w:t>3.0</w:t>
            </w:r>
          </w:p>
        </w:tc>
        <w:tc>
          <w:tcPr>
            <w:tcW w:w="755" w:type="dxa"/>
          </w:tcPr>
          <w:p>
            <w:pPr>
              <w:pStyle w:val="TableParagraph"/>
              <w:ind w:left="78" w:right="51"/>
              <w:rPr>
                <w:sz w:val="14"/>
              </w:rPr>
            </w:pPr>
            <w:r>
              <w:rPr>
                <w:color w:val="231F20"/>
                <w:spacing w:val="-5"/>
                <w:w w:val="95"/>
                <w:sz w:val="14"/>
              </w:rPr>
              <w:t>9.6</w:t>
            </w:r>
          </w:p>
        </w:tc>
        <w:tc>
          <w:tcPr>
            <w:tcW w:w="240" w:type="dxa"/>
          </w:tcPr>
          <w:p>
            <w:pPr>
              <w:pStyle w:val="TableParagraph"/>
              <w:spacing w:before="0"/>
              <w:jc w:val="left"/>
              <w:rPr>
                <w:rFonts w:ascii="Times New Roman"/>
                <w:sz w:val="12"/>
              </w:rPr>
            </w:pPr>
          </w:p>
        </w:tc>
        <w:tc>
          <w:tcPr>
            <w:tcW w:w="851" w:type="dxa"/>
          </w:tcPr>
          <w:p>
            <w:pPr>
              <w:pStyle w:val="TableParagraph"/>
              <w:ind w:left="74" w:right="136"/>
              <w:rPr>
                <w:sz w:val="14"/>
              </w:rPr>
            </w:pPr>
            <w:r>
              <w:rPr>
                <w:color w:val="231F20"/>
                <w:spacing w:val="-5"/>
                <w:w w:val="95"/>
                <w:sz w:val="14"/>
              </w:rPr>
              <w:t>8.0</w:t>
            </w:r>
          </w:p>
        </w:tc>
        <w:tc>
          <w:tcPr>
            <w:tcW w:w="1063" w:type="dxa"/>
          </w:tcPr>
          <w:p>
            <w:pPr>
              <w:pStyle w:val="TableParagraph"/>
              <w:ind w:left="67" w:right="53"/>
              <w:rPr>
                <w:sz w:val="14"/>
              </w:rPr>
            </w:pPr>
            <w:r>
              <w:rPr>
                <w:color w:val="231F20"/>
                <w:spacing w:val="-5"/>
                <w:w w:val="95"/>
                <w:sz w:val="14"/>
              </w:rPr>
              <w:t>6.4</w:t>
            </w:r>
          </w:p>
        </w:tc>
        <w:tc>
          <w:tcPr>
            <w:tcW w:w="945" w:type="dxa"/>
          </w:tcPr>
          <w:p>
            <w:pPr>
              <w:pStyle w:val="TableParagraph"/>
              <w:ind w:left="61" w:right="58"/>
              <w:rPr>
                <w:sz w:val="14"/>
              </w:rPr>
            </w:pPr>
            <w:r>
              <w:rPr>
                <w:color w:val="231F20"/>
                <w:spacing w:val="-5"/>
                <w:w w:val="95"/>
                <w:sz w:val="14"/>
              </w:rPr>
              <w:t>3.0</w:t>
            </w:r>
          </w:p>
        </w:tc>
        <w:tc>
          <w:tcPr>
            <w:tcW w:w="1008" w:type="dxa"/>
          </w:tcPr>
          <w:p>
            <w:pPr>
              <w:pStyle w:val="TableParagraph"/>
              <w:ind w:right="394"/>
              <w:jc w:val="right"/>
              <w:rPr>
                <w:sz w:val="14"/>
              </w:rPr>
            </w:pPr>
            <w:r>
              <w:rPr>
                <w:color w:val="231F20"/>
                <w:spacing w:val="-5"/>
                <w:w w:val="95"/>
                <w:sz w:val="14"/>
              </w:rPr>
              <w:t>9.6</w:t>
            </w:r>
          </w:p>
        </w:tc>
      </w:tr>
      <w:tr>
        <w:trPr>
          <w:trHeight w:val="259" w:hRule="atLeast"/>
        </w:trPr>
        <w:tc>
          <w:tcPr>
            <w:tcW w:w="1256" w:type="dxa"/>
            <w:shd w:val="clear" w:color="auto" w:fill="D4E3F5"/>
          </w:tcPr>
          <w:p>
            <w:pPr>
              <w:pStyle w:val="TableParagraph"/>
              <w:ind w:left="80"/>
              <w:jc w:val="left"/>
              <w:rPr>
                <w:sz w:val="14"/>
              </w:rPr>
            </w:pPr>
            <w:r>
              <w:rPr>
                <w:color w:val="231F20"/>
                <w:spacing w:val="-2"/>
                <w:w w:val="90"/>
                <w:sz w:val="14"/>
              </w:rPr>
              <w:t>Serbia</w:t>
            </w:r>
          </w:p>
        </w:tc>
        <w:tc>
          <w:tcPr>
            <w:tcW w:w="1206" w:type="dxa"/>
            <w:shd w:val="clear" w:color="auto" w:fill="D4E3F5"/>
          </w:tcPr>
          <w:p>
            <w:pPr>
              <w:pStyle w:val="TableParagraph"/>
              <w:ind w:right="436"/>
              <w:jc w:val="right"/>
              <w:rPr>
                <w:sz w:val="14"/>
              </w:rPr>
            </w:pPr>
            <w:r>
              <w:rPr>
                <w:color w:val="231F20"/>
                <w:spacing w:val="-5"/>
                <w:w w:val="95"/>
                <w:sz w:val="14"/>
              </w:rPr>
              <w:t>299</w:t>
            </w:r>
          </w:p>
        </w:tc>
        <w:tc>
          <w:tcPr>
            <w:tcW w:w="852" w:type="dxa"/>
            <w:shd w:val="clear" w:color="auto" w:fill="D4E3F5"/>
          </w:tcPr>
          <w:p>
            <w:pPr>
              <w:pStyle w:val="TableParagraph"/>
              <w:ind w:left="25" w:right="145"/>
              <w:rPr>
                <w:sz w:val="14"/>
              </w:rPr>
            </w:pPr>
            <w:r>
              <w:rPr>
                <w:color w:val="231F20"/>
                <w:spacing w:val="-4"/>
                <w:w w:val="95"/>
                <w:sz w:val="14"/>
              </w:rPr>
              <w:t>10.5</w:t>
            </w:r>
          </w:p>
        </w:tc>
        <w:tc>
          <w:tcPr>
            <w:tcW w:w="1061" w:type="dxa"/>
            <w:shd w:val="clear" w:color="auto" w:fill="D4E3F5"/>
          </w:tcPr>
          <w:p>
            <w:pPr>
              <w:pStyle w:val="TableParagraph"/>
              <w:ind w:left="84" w:right="63"/>
              <w:rPr>
                <w:sz w:val="14"/>
              </w:rPr>
            </w:pPr>
            <w:r>
              <w:rPr>
                <w:color w:val="231F20"/>
                <w:spacing w:val="-5"/>
                <w:w w:val="95"/>
                <w:sz w:val="14"/>
              </w:rPr>
              <w:t>8.0</w:t>
            </w:r>
          </w:p>
        </w:tc>
        <w:tc>
          <w:tcPr>
            <w:tcW w:w="1084" w:type="dxa"/>
            <w:shd w:val="clear" w:color="auto" w:fill="D4E3F5"/>
          </w:tcPr>
          <w:p>
            <w:pPr>
              <w:pStyle w:val="TableParagraph"/>
              <w:ind w:left="392"/>
              <w:jc w:val="left"/>
              <w:rPr>
                <w:sz w:val="14"/>
              </w:rPr>
            </w:pPr>
            <w:r>
              <w:rPr>
                <w:color w:val="231F20"/>
                <w:spacing w:val="-5"/>
                <w:w w:val="95"/>
                <w:sz w:val="14"/>
              </w:rPr>
              <w:t>5.0</w:t>
            </w:r>
          </w:p>
        </w:tc>
        <w:tc>
          <w:tcPr>
            <w:tcW w:w="755" w:type="dxa"/>
            <w:shd w:val="clear" w:color="auto" w:fill="D4E3F5"/>
          </w:tcPr>
          <w:p>
            <w:pPr>
              <w:pStyle w:val="TableParagraph"/>
              <w:ind w:left="48" w:right="81"/>
              <w:rPr>
                <w:sz w:val="14"/>
              </w:rPr>
            </w:pPr>
            <w:r>
              <w:rPr>
                <w:color w:val="231F20"/>
                <w:spacing w:val="-4"/>
                <w:w w:val="95"/>
                <w:sz w:val="14"/>
              </w:rPr>
              <w:t>13.6</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7" w:right="136"/>
              <w:rPr>
                <w:sz w:val="14"/>
              </w:rPr>
            </w:pPr>
            <w:r>
              <w:rPr>
                <w:color w:val="231F20"/>
                <w:spacing w:val="-5"/>
                <w:w w:val="95"/>
                <w:sz w:val="14"/>
              </w:rPr>
              <w:t>7.6</w:t>
            </w:r>
          </w:p>
        </w:tc>
        <w:tc>
          <w:tcPr>
            <w:tcW w:w="1063" w:type="dxa"/>
            <w:shd w:val="clear" w:color="auto" w:fill="D4E3F5"/>
          </w:tcPr>
          <w:p>
            <w:pPr>
              <w:pStyle w:val="TableParagraph"/>
              <w:ind w:left="52" w:right="53"/>
              <w:rPr>
                <w:sz w:val="14"/>
              </w:rPr>
            </w:pPr>
            <w:r>
              <w:rPr>
                <w:color w:val="231F20"/>
                <w:spacing w:val="-5"/>
                <w:w w:val="95"/>
                <w:sz w:val="14"/>
              </w:rPr>
              <w:t>5.1</w:t>
            </w:r>
          </w:p>
        </w:tc>
        <w:tc>
          <w:tcPr>
            <w:tcW w:w="945" w:type="dxa"/>
            <w:shd w:val="clear" w:color="auto" w:fill="D4E3F5"/>
          </w:tcPr>
          <w:p>
            <w:pPr>
              <w:pStyle w:val="TableParagraph"/>
              <w:ind w:left="45" w:right="58"/>
              <w:rPr>
                <w:sz w:val="14"/>
              </w:rPr>
            </w:pPr>
            <w:r>
              <w:rPr>
                <w:color w:val="231F20"/>
                <w:spacing w:val="-5"/>
                <w:w w:val="95"/>
                <w:sz w:val="14"/>
              </w:rPr>
              <w:t>3.1</w:t>
            </w:r>
          </w:p>
        </w:tc>
        <w:tc>
          <w:tcPr>
            <w:tcW w:w="1008" w:type="dxa"/>
            <w:shd w:val="clear" w:color="auto" w:fill="D4E3F5"/>
          </w:tcPr>
          <w:p>
            <w:pPr>
              <w:pStyle w:val="TableParagraph"/>
              <w:ind w:right="394"/>
              <w:jc w:val="right"/>
              <w:rPr>
                <w:sz w:val="14"/>
              </w:rPr>
            </w:pPr>
            <w:r>
              <w:rPr>
                <w:color w:val="231F20"/>
                <w:spacing w:val="-5"/>
                <w:w w:val="95"/>
                <w:sz w:val="14"/>
              </w:rPr>
              <w:t>9.6</w:t>
            </w:r>
          </w:p>
        </w:tc>
      </w:tr>
      <w:tr>
        <w:trPr>
          <w:trHeight w:val="259" w:hRule="atLeast"/>
        </w:trPr>
        <w:tc>
          <w:tcPr>
            <w:tcW w:w="1256" w:type="dxa"/>
          </w:tcPr>
          <w:p>
            <w:pPr>
              <w:pStyle w:val="TableParagraph"/>
              <w:ind w:left="80"/>
              <w:jc w:val="left"/>
              <w:rPr>
                <w:sz w:val="14"/>
              </w:rPr>
            </w:pPr>
            <w:r>
              <w:rPr>
                <w:color w:val="231F20"/>
                <w:spacing w:val="-2"/>
                <w:w w:val="85"/>
                <w:sz w:val="14"/>
              </w:rPr>
              <w:t>Seychelles</w:t>
            </w:r>
          </w:p>
        </w:tc>
        <w:tc>
          <w:tcPr>
            <w:tcW w:w="1206" w:type="dxa"/>
          </w:tcPr>
          <w:p>
            <w:pPr>
              <w:pStyle w:val="TableParagraph"/>
              <w:ind w:right="432"/>
              <w:jc w:val="right"/>
              <w:rPr>
                <w:sz w:val="14"/>
              </w:rPr>
            </w:pPr>
            <w:r>
              <w:rPr>
                <w:color w:val="231F20"/>
                <w:spacing w:val="-5"/>
                <w:w w:val="95"/>
                <w:sz w:val="14"/>
              </w:rPr>
              <w:t>926</w:t>
            </w:r>
          </w:p>
        </w:tc>
        <w:tc>
          <w:tcPr>
            <w:tcW w:w="852" w:type="dxa"/>
          </w:tcPr>
          <w:p>
            <w:pPr>
              <w:pStyle w:val="TableParagraph"/>
              <w:ind w:left="32" w:right="145"/>
              <w:rPr>
                <w:sz w:val="14"/>
              </w:rPr>
            </w:pPr>
            <w:r>
              <w:rPr>
                <w:color w:val="231F20"/>
                <w:spacing w:val="-4"/>
                <w:w w:val="95"/>
                <w:sz w:val="14"/>
              </w:rPr>
              <w:t>11.7</w:t>
            </w:r>
          </w:p>
        </w:tc>
        <w:tc>
          <w:tcPr>
            <w:tcW w:w="1061" w:type="dxa"/>
          </w:tcPr>
          <w:p>
            <w:pPr>
              <w:pStyle w:val="TableParagraph"/>
              <w:ind w:left="85" w:right="63"/>
              <w:rPr>
                <w:sz w:val="14"/>
              </w:rPr>
            </w:pPr>
            <w:r>
              <w:rPr>
                <w:color w:val="231F20"/>
                <w:spacing w:val="-5"/>
                <w:w w:val="95"/>
                <w:sz w:val="14"/>
              </w:rPr>
              <w:t>9.0</w:t>
            </w:r>
          </w:p>
        </w:tc>
        <w:tc>
          <w:tcPr>
            <w:tcW w:w="1084" w:type="dxa"/>
          </w:tcPr>
          <w:p>
            <w:pPr>
              <w:pStyle w:val="TableParagraph"/>
              <w:ind w:left="392"/>
              <w:jc w:val="left"/>
              <w:rPr>
                <w:sz w:val="14"/>
              </w:rPr>
            </w:pPr>
            <w:r>
              <w:rPr>
                <w:color w:val="231F20"/>
                <w:spacing w:val="-5"/>
                <w:w w:val="95"/>
                <w:sz w:val="14"/>
              </w:rPr>
              <w:t>5.0</w:t>
            </w:r>
          </w:p>
        </w:tc>
        <w:tc>
          <w:tcPr>
            <w:tcW w:w="755" w:type="dxa"/>
          </w:tcPr>
          <w:p>
            <w:pPr>
              <w:pStyle w:val="TableParagraph"/>
              <w:ind w:left="48" w:right="79"/>
              <w:rPr>
                <w:sz w:val="14"/>
              </w:rPr>
            </w:pPr>
            <w:r>
              <w:rPr>
                <w:color w:val="231F20"/>
                <w:spacing w:val="-4"/>
                <w:w w:val="95"/>
                <w:sz w:val="14"/>
              </w:rPr>
              <w:t>15.2</w:t>
            </w:r>
          </w:p>
        </w:tc>
        <w:tc>
          <w:tcPr>
            <w:tcW w:w="240" w:type="dxa"/>
          </w:tcPr>
          <w:p>
            <w:pPr>
              <w:pStyle w:val="TableParagraph"/>
              <w:spacing w:before="0"/>
              <w:jc w:val="left"/>
              <w:rPr>
                <w:rFonts w:ascii="Times New Roman"/>
                <w:sz w:val="12"/>
              </w:rPr>
            </w:pPr>
          </w:p>
        </w:tc>
        <w:tc>
          <w:tcPr>
            <w:tcW w:w="851" w:type="dxa"/>
          </w:tcPr>
          <w:p>
            <w:pPr>
              <w:pStyle w:val="TableParagraph"/>
              <w:ind w:left="254"/>
              <w:jc w:val="left"/>
              <w:rPr>
                <w:sz w:val="14"/>
              </w:rPr>
            </w:pPr>
            <w:r>
              <w:rPr>
                <w:color w:val="231F20"/>
                <w:spacing w:val="-4"/>
                <w:w w:val="95"/>
                <w:sz w:val="14"/>
              </w:rPr>
              <w:t>11.6</w:t>
            </w:r>
          </w:p>
        </w:tc>
        <w:tc>
          <w:tcPr>
            <w:tcW w:w="1063" w:type="dxa"/>
          </w:tcPr>
          <w:p>
            <w:pPr>
              <w:pStyle w:val="TableParagraph"/>
              <w:ind w:left="69" w:right="53"/>
              <w:rPr>
                <w:sz w:val="14"/>
              </w:rPr>
            </w:pPr>
            <w:r>
              <w:rPr>
                <w:color w:val="231F20"/>
                <w:spacing w:val="-5"/>
                <w:w w:val="95"/>
                <w:sz w:val="14"/>
              </w:rPr>
              <w:t>9.0</w:t>
            </w:r>
          </w:p>
        </w:tc>
        <w:tc>
          <w:tcPr>
            <w:tcW w:w="945" w:type="dxa"/>
          </w:tcPr>
          <w:p>
            <w:pPr>
              <w:pStyle w:val="TableParagraph"/>
              <w:ind w:left="61" w:right="58"/>
              <w:rPr>
                <w:sz w:val="14"/>
              </w:rPr>
            </w:pPr>
            <w:r>
              <w:rPr>
                <w:color w:val="231F20"/>
                <w:spacing w:val="-5"/>
                <w:w w:val="95"/>
                <w:sz w:val="14"/>
              </w:rPr>
              <w:t>5.0</w:t>
            </w:r>
          </w:p>
        </w:tc>
        <w:tc>
          <w:tcPr>
            <w:tcW w:w="1008" w:type="dxa"/>
          </w:tcPr>
          <w:p>
            <w:pPr>
              <w:pStyle w:val="TableParagraph"/>
              <w:ind w:right="411"/>
              <w:jc w:val="right"/>
              <w:rPr>
                <w:sz w:val="14"/>
              </w:rPr>
            </w:pPr>
            <w:r>
              <w:rPr>
                <w:color w:val="231F20"/>
                <w:spacing w:val="-4"/>
                <w:w w:val="95"/>
                <w:sz w:val="14"/>
              </w:rPr>
              <w:t>15.1</w:t>
            </w:r>
          </w:p>
        </w:tc>
      </w:tr>
      <w:tr>
        <w:trPr>
          <w:trHeight w:val="259" w:hRule="atLeast"/>
        </w:trPr>
        <w:tc>
          <w:tcPr>
            <w:tcW w:w="1256" w:type="dxa"/>
            <w:shd w:val="clear" w:color="auto" w:fill="D4E3F5"/>
          </w:tcPr>
          <w:p>
            <w:pPr>
              <w:pStyle w:val="TableParagraph"/>
              <w:ind w:left="80"/>
              <w:jc w:val="left"/>
              <w:rPr>
                <w:sz w:val="14"/>
              </w:rPr>
            </w:pPr>
            <w:r>
              <w:rPr>
                <w:color w:val="231F20"/>
                <w:w w:val="75"/>
                <w:sz w:val="14"/>
              </w:rPr>
              <w:t>Sierra</w:t>
            </w:r>
            <w:r>
              <w:rPr>
                <w:color w:val="231F20"/>
                <w:spacing w:val="9"/>
                <w:sz w:val="14"/>
              </w:rPr>
              <w:t> </w:t>
            </w:r>
            <w:r>
              <w:rPr>
                <w:color w:val="231F20"/>
                <w:spacing w:val="-2"/>
                <w:w w:val="90"/>
                <w:sz w:val="14"/>
              </w:rPr>
              <w:t>Leone</w:t>
            </w:r>
          </w:p>
        </w:tc>
        <w:tc>
          <w:tcPr>
            <w:tcW w:w="1206" w:type="dxa"/>
            <w:shd w:val="clear" w:color="auto" w:fill="D4E3F5"/>
          </w:tcPr>
          <w:p>
            <w:pPr>
              <w:pStyle w:val="TableParagraph"/>
              <w:ind w:right="433"/>
              <w:jc w:val="right"/>
              <w:rPr>
                <w:sz w:val="14"/>
              </w:rPr>
            </w:pPr>
            <w:r>
              <w:rPr>
                <w:color w:val="231F20"/>
                <w:spacing w:val="-2"/>
                <w:w w:val="95"/>
                <w:sz w:val="14"/>
              </w:rPr>
              <w:t>3,961</w:t>
            </w:r>
          </w:p>
        </w:tc>
        <w:tc>
          <w:tcPr>
            <w:tcW w:w="852" w:type="dxa"/>
            <w:shd w:val="clear" w:color="auto" w:fill="D4E3F5"/>
          </w:tcPr>
          <w:p>
            <w:pPr>
              <w:pStyle w:val="TableParagraph"/>
              <w:ind w:left="90" w:right="145"/>
              <w:rPr>
                <w:sz w:val="14"/>
              </w:rPr>
            </w:pPr>
            <w:r>
              <w:rPr>
                <w:color w:val="231F20"/>
                <w:spacing w:val="-5"/>
                <w:w w:val="95"/>
                <w:sz w:val="14"/>
              </w:rPr>
              <w:t>9.2</w:t>
            </w:r>
          </w:p>
        </w:tc>
        <w:tc>
          <w:tcPr>
            <w:tcW w:w="1061" w:type="dxa"/>
            <w:shd w:val="clear" w:color="auto" w:fill="D4E3F5"/>
          </w:tcPr>
          <w:p>
            <w:pPr>
              <w:pStyle w:val="TableParagraph"/>
              <w:ind w:left="86" w:right="63"/>
              <w:rPr>
                <w:sz w:val="14"/>
              </w:rPr>
            </w:pPr>
            <w:r>
              <w:rPr>
                <w:color w:val="231F20"/>
                <w:spacing w:val="-5"/>
                <w:w w:val="95"/>
                <w:sz w:val="14"/>
              </w:rPr>
              <w:t>6.2</w:t>
            </w:r>
          </w:p>
        </w:tc>
        <w:tc>
          <w:tcPr>
            <w:tcW w:w="1084" w:type="dxa"/>
            <w:shd w:val="clear" w:color="auto" w:fill="D4E3F5"/>
          </w:tcPr>
          <w:p>
            <w:pPr>
              <w:pStyle w:val="TableParagraph"/>
              <w:ind w:left="391"/>
              <w:jc w:val="left"/>
              <w:rPr>
                <w:sz w:val="14"/>
              </w:rPr>
            </w:pPr>
            <w:r>
              <w:rPr>
                <w:color w:val="231F20"/>
                <w:spacing w:val="-5"/>
                <w:w w:val="95"/>
                <w:sz w:val="14"/>
              </w:rPr>
              <w:t>3.3</w:t>
            </w:r>
          </w:p>
        </w:tc>
        <w:tc>
          <w:tcPr>
            <w:tcW w:w="755" w:type="dxa"/>
            <w:shd w:val="clear" w:color="auto" w:fill="D4E3F5"/>
          </w:tcPr>
          <w:p>
            <w:pPr>
              <w:pStyle w:val="TableParagraph"/>
              <w:ind w:left="48" w:right="70"/>
              <w:rPr>
                <w:sz w:val="14"/>
              </w:rPr>
            </w:pPr>
            <w:r>
              <w:rPr>
                <w:color w:val="231F20"/>
                <w:spacing w:val="-4"/>
                <w:w w:val="95"/>
                <w:sz w:val="14"/>
              </w:rPr>
              <w:t>11.2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77" w:right="136"/>
              <w:rPr>
                <w:sz w:val="14"/>
              </w:rPr>
            </w:pPr>
            <w:r>
              <w:rPr>
                <w:color w:val="231F20"/>
                <w:spacing w:val="-5"/>
                <w:w w:val="95"/>
                <w:sz w:val="14"/>
              </w:rPr>
              <w:t>9.2</w:t>
            </w:r>
          </w:p>
        </w:tc>
        <w:tc>
          <w:tcPr>
            <w:tcW w:w="1063" w:type="dxa"/>
            <w:shd w:val="clear" w:color="auto" w:fill="D4E3F5"/>
          </w:tcPr>
          <w:p>
            <w:pPr>
              <w:pStyle w:val="TableParagraph"/>
              <w:ind w:left="71" w:right="53"/>
              <w:rPr>
                <w:sz w:val="14"/>
              </w:rPr>
            </w:pPr>
            <w:r>
              <w:rPr>
                <w:color w:val="231F20"/>
                <w:spacing w:val="-5"/>
                <w:w w:val="95"/>
                <w:sz w:val="14"/>
              </w:rPr>
              <w:t>6.2</w:t>
            </w:r>
          </w:p>
        </w:tc>
        <w:tc>
          <w:tcPr>
            <w:tcW w:w="945" w:type="dxa"/>
            <w:shd w:val="clear" w:color="auto" w:fill="D4E3F5"/>
          </w:tcPr>
          <w:p>
            <w:pPr>
              <w:pStyle w:val="TableParagraph"/>
              <w:ind w:left="63" w:right="58"/>
              <w:rPr>
                <w:sz w:val="14"/>
              </w:rPr>
            </w:pPr>
            <w:r>
              <w:rPr>
                <w:color w:val="231F20"/>
                <w:spacing w:val="-5"/>
                <w:w w:val="95"/>
                <w:sz w:val="14"/>
              </w:rPr>
              <w:t>3.3</w:t>
            </w:r>
          </w:p>
        </w:tc>
        <w:tc>
          <w:tcPr>
            <w:tcW w:w="1008" w:type="dxa"/>
            <w:shd w:val="clear" w:color="auto" w:fill="D4E3F5"/>
          </w:tcPr>
          <w:p>
            <w:pPr>
              <w:pStyle w:val="TableParagraph"/>
              <w:ind w:right="392"/>
              <w:jc w:val="right"/>
              <w:rPr>
                <w:sz w:val="14"/>
              </w:rPr>
            </w:pPr>
            <w:r>
              <w:rPr>
                <w:color w:val="231F20"/>
                <w:spacing w:val="-4"/>
                <w:w w:val="95"/>
                <w:sz w:val="14"/>
              </w:rPr>
              <w:t>11.2</w:t>
            </w:r>
          </w:p>
        </w:tc>
      </w:tr>
      <w:tr>
        <w:trPr>
          <w:trHeight w:val="259" w:hRule="atLeast"/>
        </w:trPr>
        <w:tc>
          <w:tcPr>
            <w:tcW w:w="1256" w:type="dxa"/>
          </w:tcPr>
          <w:p>
            <w:pPr>
              <w:pStyle w:val="TableParagraph"/>
              <w:ind w:left="80"/>
              <w:jc w:val="left"/>
              <w:rPr>
                <w:sz w:val="14"/>
              </w:rPr>
            </w:pPr>
            <w:r>
              <w:rPr>
                <w:color w:val="231F20"/>
                <w:spacing w:val="-2"/>
                <w:w w:val="90"/>
                <w:sz w:val="14"/>
              </w:rPr>
              <w:t>Singapore</w:t>
            </w:r>
          </w:p>
        </w:tc>
        <w:tc>
          <w:tcPr>
            <w:tcW w:w="1206" w:type="dxa"/>
          </w:tcPr>
          <w:p>
            <w:pPr>
              <w:pStyle w:val="TableParagraph"/>
              <w:ind w:right="436"/>
              <w:jc w:val="right"/>
              <w:rPr>
                <w:sz w:val="14"/>
              </w:rPr>
            </w:pPr>
            <w:r>
              <w:rPr>
                <w:color w:val="231F20"/>
                <w:spacing w:val="-2"/>
                <w:w w:val="95"/>
                <w:sz w:val="14"/>
              </w:rPr>
              <w:t>13,621</w:t>
            </w:r>
          </w:p>
        </w:tc>
        <w:tc>
          <w:tcPr>
            <w:tcW w:w="852" w:type="dxa"/>
          </w:tcPr>
          <w:p>
            <w:pPr>
              <w:pStyle w:val="TableParagraph"/>
              <w:ind w:left="88" w:right="145"/>
              <w:rPr>
                <w:sz w:val="14"/>
              </w:rPr>
            </w:pPr>
            <w:r>
              <w:rPr>
                <w:color w:val="231F20"/>
                <w:spacing w:val="-5"/>
                <w:w w:val="95"/>
                <w:sz w:val="14"/>
              </w:rPr>
              <w:t>3.0</w:t>
            </w:r>
          </w:p>
        </w:tc>
        <w:tc>
          <w:tcPr>
            <w:tcW w:w="1061" w:type="dxa"/>
          </w:tcPr>
          <w:p>
            <w:pPr>
              <w:pStyle w:val="TableParagraph"/>
              <w:ind w:left="92" w:right="63"/>
              <w:rPr>
                <w:sz w:val="14"/>
              </w:rPr>
            </w:pPr>
            <w:r>
              <w:rPr>
                <w:color w:val="231F20"/>
                <w:spacing w:val="-5"/>
                <w:w w:val="95"/>
                <w:sz w:val="14"/>
              </w:rPr>
              <w:t>1.5</w:t>
            </w:r>
          </w:p>
        </w:tc>
        <w:tc>
          <w:tcPr>
            <w:tcW w:w="1084" w:type="dxa"/>
          </w:tcPr>
          <w:p>
            <w:pPr>
              <w:pStyle w:val="TableParagraph"/>
              <w:ind w:left="392"/>
              <w:jc w:val="left"/>
              <w:rPr>
                <w:sz w:val="14"/>
              </w:rPr>
            </w:pPr>
            <w:r>
              <w:rPr>
                <w:color w:val="231F20"/>
                <w:spacing w:val="-5"/>
                <w:w w:val="95"/>
                <w:sz w:val="14"/>
              </w:rPr>
              <w:t>0.8</w:t>
            </w:r>
          </w:p>
        </w:tc>
        <w:tc>
          <w:tcPr>
            <w:tcW w:w="755" w:type="dxa"/>
          </w:tcPr>
          <w:p>
            <w:pPr>
              <w:pStyle w:val="TableParagraph"/>
              <w:ind w:left="79" w:right="51"/>
              <w:rPr>
                <w:sz w:val="14"/>
              </w:rPr>
            </w:pPr>
            <w:r>
              <w:rPr>
                <w:color w:val="231F20"/>
                <w:spacing w:val="-5"/>
                <w:w w:val="95"/>
                <w:sz w:val="14"/>
              </w:rPr>
              <w:t>2.6</w:t>
            </w:r>
          </w:p>
        </w:tc>
        <w:tc>
          <w:tcPr>
            <w:tcW w:w="240" w:type="dxa"/>
          </w:tcPr>
          <w:p>
            <w:pPr>
              <w:pStyle w:val="TableParagraph"/>
              <w:spacing w:before="0"/>
              <w:jc w:val="left"/>
              <w:rPr>
                <w:rFonts w:ascii="Times New Roman"/>
                <w:sz w:val="12"/>
              </w:rPr>
            </w:pPr>
          </w:p>
        </w:tc>
        <w:tc>
          <w:tcPr>
            <w:tcW w:w="851" w:type="dxa"/>
          </w:tcPr>
          <w:p>
            <w:pPr>
              <w:pStyle w:val="TableParagraph"/>
              <w:ind w:left="74" w:right="136"/>
              <w:rPr>
                <w:sz w:val="14"/>
              </w:rPr>
            </w:pPr>
            <w:r>
              <w:rPr>
                <w:color w:val="231F20"/>
                <w:spacing w:val="-5"/>
                <w:w w:val="95"/>
                <w:sz w:val="14"/>
              </w:rPr>
              <w:t>3.0</w:t>
            </w:r>
          </w:p>
        </w:tc>
        <w:tc>
          <w:tcPr>
            <w:tcW w:w="1063" w:type="dxa"/>
          </w:tcPr>
          <w:p>
            <w:pPr>
              <w:pStyle w:val="TableParagraph"/>
              <w:ind w:left="77" w:right="53"/>
              <w:rPr>
                <w:sz w:val="14"/>
              </w:rPr>
            </w:pPr>
            <w:r>
              <w:rPr>
                <w:color w:val="231F20"/>
                <w:spacing w:val="-5"/>
                <w:w w:val="95"/>
                <w:sz w:val="14"/>
              </w:rPr>
              <w:t>1.5</w:t>
            </w:r>
          </w:p>
        </w:tc>
        <w:tc>
          <w:tcPr>
            <w:tcW w:w="945" w:type="dxa"/>
          </w:tcPr>
          <w:p>
            <w:pPr>
              <w:pStyle w:val="TableParagraph"/>
              <w:ind w:left="62" w:right="58"/>
              <w:rPr>
                <w:sz w:val="14"/>
              </w:rPr>
            </w:pPr>
            <w:r>
              <w:rPr>
                <w:color w:val="231F20"/>
                <w:spacing w:val="-5"/>
                <w:w w:val="95"/>
                <w:sz w:val="14"/>
              </w:rPr>
              <w:t>0.8</w:t>
            </w:r>
          </w:p>
        </w:tc>
        <w:tc>
          <w:tcPr>
            <w:tcW w:w="1008" w:type="dxa"/>
          </w:tcPr>
          <w:p>
            <w:pPr>
              <w:pStyle w:val="TableParagraph"/>
              <w:ind w:right="393"/>
              <w:jc w:val="right"/>
              <w:rPr>
                <w:sz w:val="14"/>
              </w:rPr>
            </w:pPr>
            <w:r>
              <w:rPr>
                <w:color w:val="231F20"/>
                <w:spacing w:val="-5"/>
                <w:w w:val="95"/>
                <w:sz w:val="14"/>
              </w:rPr>
              <w:t>2.6</w:t>
            </w:r>
          </w:p>
        </w:tc>
      </w:tr>
      <w:tr>
        <w:trPr>
          <w:trHeight w:val="414" w:hRule="atLeast"/>
        </w:trPr>
        <w:tc>
          <w:tcPr>
            <w:tcW w:w="1256" w:type="dxa"/>
            <w:tcBorders>
              <w:bottom w:val="single" w:sz="4" w:space="0" w:color="008FDD"/>
            </w:tcBorders>
            <w:shd w:val="clear" w:color="auto" w:fill="D4E3F5"/>
          </w:tcPr>
          <w:p>
            <w:pPr>
              <w:pStyle w:val="TableParagraph"/>
              <w:ind w:left="80" w:right="253"/>
              <w:jc w:val="left"/>
              <w:rPr>
                <w:sz w:val="14"/>
              </w:rPr>
            </w:pPr>
            <w:r>
              <w:rPr>
                <w:color w:val="231F20"/>
                <w:w w:val="80"/>
                <w:sz w:val="14"/>
              </w:rPr>
              <w:t>Sint</w:t>
            </w:r>
            <w:r>
              <w:rPr>
                <w:color w:val="231F20"/>
                <w:spacing w:val="-2"/>
                <w:w w:val="80"/>
                <w:sz w:val="14"/>
              </w:rPr>
              <w:t> </w:t>
            </w:r>
            <w:r>
              <w:rPr>
                <w:color w:val="231F20"/>
                <w:w w:val="80"/>
                <w:sz w:val="14"/>
              </w:rPr>
              <w:t>Maarten</w:t>
            </w:r>
            <w:r>
              <w:rPr>
                <w:color w:val="231F20"/>
                <w:spacing w:val="40"/>
                <w:sz w:val="14"/>
              </w:rPr>
              <w:t> </w:t>
            </w:r>
            <w:r>
              <w:rPr>
                <w:color w:val="231F20"/>
                <w:w w:val="75"/>
                <w:sz w:val="14"/>
              </w:rPr>
              <w:t>(Dutch</w:t>
            </w:r>
            <w:r>
              <w:rPr>
                <w:color w:val="231F20"/>
                <w:spacing w:val="15"/>
                <w:sz w:val="14"/>
              </w:rPr>
              <w:t> </w:t>
            </w:r>
            <w:r>
              <w:rPr>
                <w:color w:val="231F20"/>
                <w:spacing w:val="-4"/>
                <w:w w:val="90"/>
                <w:sz w:val="14"/>
              </w:rPr>
              <w:t>part)</w:t>
            </w:r>
          </w:p>
        </w:tc>
        <w:tc>
          <w:tcPr>
            <w:tcW w:w="1206" w:type="dxa"/>
            <w:tcBorders>
              <w:bottom w:val="single" w:sz="4" w:space="0" w:color="008FDD"/>
            </w:tcBorders>
            <w:shd w:val="clear" w:color="auto" w:fill="D4E3F5"/>
          </w:tcPr>
          <w:p>
            <w:pPr>
              <w:pStyle w:val="TableParagraph"/>
              <w:spacing w:before="47"/>
              <w:jc w:val="left"/>
              <w:rPr>
                <w:sz w:val="14"/>
              </w:rPr>
            </w:pPr>
          </w:p>
          <w:p>
            <w:pPr>
              <w:pStyle w:val="TableParagraph"/>
              <w:spacing w:before="0"/>
              <w:ind w:right="432"/>
              <w:jc w:val="right"/>
              <w:rPr>
                <w:sz w:val="14"/>
              </w:rPr>
            </w:pPr>
            <w:r>
              <w:rPr>
                <w:color w:val="231F20"/>
                <w:spacing w:val="-5"/>
                <w:w w:val="95"/>
                <w:sz w:val="14"/>
              </w:rPr>
              <w:t>20</w:t>
            </w:r>
          </w:p>
        </w:tc>
        <w:tc>
          <w:tcPr>
            <w:tcW w:w="852" w:type="dxa"/>
            <w:tcBorders>
              <w:bottom w:val="single" w:sz="4" w:space="0" w:color="008FDD"/>
            </w:tcBorders>
            <w:shd w:val="clear" w:color="auto" w:fill="D4E3F5"/>
          </w:tcPr>
          <w:p>
            <w:pPr>
              <w:pStyle w:val="TableParagraph"/>
              <w:spacing w:before="47"/>
              <w:jc w:val="left"/>
              <w:rPr>
                <w:sz w:val="14"/>
              </w:rPr>
            </w:pPr>
          </w:p>
          <w:p>
            <w:pPr>
              <w:pStyle w:val="TableParagraph"/>
              <w:spacing w:before="0"/>
              <w:ind w:left="89" w:right="145"/>
              <w:rPr>
                <w:sz w:val="14"/>
              </w:rPr>
            </w:pPr>
            <w:r>
              <w:rPr>
                <w:color w:val="231F20"/>
                <w:spacing w:val="-5"/>
                <w:w w:val="95"/>
                <w:sz w:val="14"/>
              </w:rPr>
              <w:t>8.9</w:t>
            </w:r>
          </w:p>
        </w:tc>
        <w:tc>
          <w:tcPr>
            <w:tcW w:w="1061" w:type="dxa"/>
            <w:tcBorders>
              <w:bottom w:val="single" w:sz="4" w:space="0" w:color="008FDD"/>
            </w:tcBorders>
            <w:shd w:val="clear" w:color="auto" w:fill="D4E3F5"/>
          </w:tcPr>
          <w:p>
            <w:pPr>
              <w:pStyle w:val="TableParagraph"/>
              <w:spacing w:before="47"/>
              <w:jc w:val="left"/>
              <w:rPr>
                <w:sz w:val="14"/>
              </w:rPr>
            </w:pPr>
          </w:p>
          <w:p>
            <w:pPr>
              <w:pStyle w:val="TableParagraph"/>
              <w:spacing w:before="0"/>
              <w:ind w:left="79" w:right="63"/>
              <w:rPr>
                <w:sz w:val="14"/>
              </w:rPr>
            </w:pPr>
            <w:r>
              <w:rPr>
                <w:color w:val="231F20"/>
                <w:spacing w:val="-5"/>
                <w:w w:val="95"/>
                <w:sz w:val="14"/>
              </w:rPr>
              <w:t>6.7</w:t>
            </w:r>
          </w:p>
        </w:tc>
        <w:tc>
          <w:tcPr>
            <w:tcW w:w="1084" w:type="dxa"/>
            <w:tcBorders>
              <w:bottom w:val="single" w:sz="4" w:space="0" w:color="008FDD"/>
            </w:tcBorders>
            <w:shd w:val="clear" w:color="auto" w:fill="D4E3F5"/>
          </w:tcPr>
          <w:p>
            <w:pPr>
              <w:pStyle w:val="TableParagraph"/>
              <w:spacing w:before="47"/>
              <w:jc w:val="left"/>
              <w:rPr>
                <w:sz w:val="14"/>
              </w:rPr>
            </w:pPr>
          </w:p>
          <w:p>
            <w:pPr>
              <w:pStyle w:val="TableParagraph"/>
              <w:spacing w:before="0"/>
              <w:ind w:left="392"/>
              <w:jc w:val="left"/>
              <w:rPr>
                <w:sz w:val="14"/>
              </w:rPr>
            </w:pPr>
            <w:r>
              <w:rPr>
                <w:color w:val="231F20"/>
                <w:spacing w:val="-5"/>
                <w:w w:val="95"/>
                <w:sz w:val="14"/>
              </w:rPr>
              <w:t>5.0</w:t>
            </w:r>
          </w:p>
        </w:tc>
        <w:tc>
          <w:tcPr>
            <w:tcW w:w="755" w:type="dxa"/>
            <w:tcBorders>
              <w:bottom w:val="single" w:sz="4" w:space="0" w:color="008FDD"/>
            </w:tcBorders>
            <w:shd w:val="clear" w:color="auto" w:fill="D4E3F5"/>
          </w:tcPr>
          <w:p>
            <w:pPr>
              <w:pStyle w:val="TableParagraph"/>
              <w:spacing w:before="47"/>
              <w:jc w:val="left"/>
              <w:rPr>
                <w:sz w:val="14"/>
              </w:rPr>
            </w:pPr>
          </w:p>
          <w:p>
            <w:pPr>
              <w:pStyle w:val="TableParagraph"/>
              <w:spacing w:before="0"/>
              <w:ind w:left="48" w:right="79"/>
              <w:rPr>
                <w:sz w:val="14"/>
              </w:rPr>
            </w:pPr>
            <w:r>
              <w:rPr>
                <w:color w:val="231F20"/>
                <w:spacing w:val="-4"/>
                <w:w w:val="95"/>
                <w:sz w:val="14"/>
              </w:rPr>
              <w:t>12.5</w:t>
            </w:r>
          </w:p>
        </w:tc>
        <w:tc>
          <w:tcPr>
            <w:tcW w:w="240" w:type="dxa"/>
            <w:tcBorders>
              <w:bottom w:val="single" w:sz="4" w:space="0" w:color="008FDD"/>
            </w:tcBorders>
            <w:shd w:val="clear" w:color="auto" w:fill="D4E3F5"/>
          </w:tcPr>
          <w:p>
            <w:pPr>
              <w:pStyle w:val="TableParagraph"/>
              <w:spacing w:before="0"/>
              <w:jc w:val="left"/>
              <w:rPr>
                <w:rFonts w:ascii="Times New Roman"/>
                <w:sz w:val="12"/>
              </w:rPr>
            </w:pPr>
          </w:p>
        </w:tc>
        <w:tc>
          <w:tcPr>
            <w:tcW w:w="851" w:type="dxa"/>
            <w:tcBorders>
              <w:bottom w:val="single" w:sz="4" w:space="0" w:color="008FDD"/>
            </w:tcBorders>
            <w:shd w:val="clear" w:color="auto" w:fill="D4E3F5"/>
          </w:tcPr>
          <w:p>
            <w:pPr>
              <w:pStyle w:val="TableParagraph"/>
              <w:spacing w:before="47"/>
              <w:jc w:val="left"/>
              <w:rPr>
                <w:sz w:val="14"/>
              </w:rPr>
            </w:pPr>
          </w:p>
          <w:p>
            <w:pPr>
              <w:pStyle w:val="TableParagraph"/>
              <w:spacing w:before="0"/>
              <w:ind w:left="75" w:right="136"/>
              <w:rPr>
                <w:sz w:val="14"/>
              </w:rPr>
            </w:pPr>
            <w:r>
              <w:rPr>
                <w:color w:val="231F20"/>
                <w:spacing w:val="-5"/>
                <w:w w:val="95"/>
                <w:sz w:val="14"/>
              </w:rPr>
              <w:t>0.8</w:t>
            </w:r>
          </w:p>
        </w:tc>
        <w:tc>
          <w:tcPr>
            <w:tcW w:w="1063" w:type="dxa"/>
            <w:tcBorders>
              <w:bottom w:val="single" w:sz="4" w:space="0" w:color="008FDD"/>
            </w:tcBorders>
            <w:shd w:val="clear" w:color="auto" w:fill="D4E3F5"/>
          </w:tcPr>
          <w:p>
            <w:pPr>
              <w:pStyle w:val="TableParagraph"/>
              <w:spacing w:before="47"/>
              <w:jc w:val="left"/>
              <w:rPr>
                <w:sz w:val="14"/>
              </w:rPr>
            </w:pPr>
          </w:p>
          <w:p>
            <w:pPr>
              <w:pStyle w:val="TableParagraph"/>
              <w:spacing w:before="0"/>
              <w:ind w:left="70" w:right="53"/>
              <w:rPr>
                <w:sz w:val="14"/>
              </w:rPr>
            </w:pPr>
            <w:r>
              <w:rPr>
                <w:color w:val="231F20"/>
                <w:spacing w:val="-5"/>
                <w:w w:val="95"/>
                <w:sz w:val="14"/>
              </w:rPr>
              <w:t>0.6</w:t>
            </w:r>
          </w:p>
        </w:tc>
        <w:tc>
          <w:tcPr>
            <w:tcW w:w="945" w:type="dxa"/>
            <w:tcBorders>
              <w:bottom w:val="single" w:sz="4" w:space="0" w:color="008FDD"/>
            </w:tcBorders>
            <w:shd w:val="clear" w:color="auto" w:fill="D4E3F5"/>
          </w:tcPr>
          <w:p>
            <w:pPr>
              <w:pStyle w:val="TableParagraph"/>
              <w:spacing w:before="47"/>
              <w:jc w:val="left"/>
              <w:rPr>
                <w:sz w:val="14"/>
              </w:rPr>
            </w:pPr>
          </w:p>
          <w:p>
            <w:pPr>
              <w:pStyle w:val="TableParagraph"/>
              <w:spacing w:before="0"/>
              <w:ind w:left="62" w:right="58"/>
              <w:rPr>
                <w:sz w:val="14"/>
              </w:rPr>
            </w:pPr>
            <w:r>
              <w:rPr>
                <w:color w:val="231F20"/>
                <w:spacing w:val="-5"/>
                <w:w w:val="95"/>
                <w:sz w:val="14"/>
              </w:rPr>
              <w:t>0.6</w:t>
            </w:r>
          </w:p>
        </w:tc>
        <w:tc>
          <w:tcPr>
            <w:tcW w:w="1008" w:type="dxa"/>
            <w:tcBorders>
              <w:bottom w:val="single" w:sz="4" w:space="0" w:color="008FDD"/>
            </w:tcBorders>
            <w:shd w:val="clear" w:color="auto" w:fill="D4E3F5"/>
          </w:tcPr>
          <w:p>
            <w:pPr>
              <w:pStyle w:val="TableParagraph"/>
              <w:spacing w:before="47"/>
              <w:jc w:val="left"/>
              <w:rPr>
                <w:sz w:val="14"/>
              </w:rPr>
            </w:pPr>
          </w:p>
          <w:p>
            <w:pPr>
              <w:pStyle w:val="TableParagraph"/>
              <w:spacing w:before="0"/>
              <w:ind w:right="393"/>
              <w:jc w:val="right"/>
              <w:rPr>
                <w:sz w:val="14"/>
              </w:rPr>
            </w:pPr>
            <w:r>
              <w:rPr>
                <w:color w:val="231F20"/>
                <w:spacing w:val="-5"/>
                <w:w w:val="95"/>
                <w:sz w:val="14"/>
              </w:rPr>
              <w:t>0.9</w:t>
            </w:r>
          </w:p>
        </w:tc>
      </w:tr>
    </w:tbl>
    <w:p>
      <w:pPr>
        <w:spacing w:after="0"/>
        <w:jc w:val="right"/>
        <w:rPr>
          <w:sz w:val="14"/>
        </w:rPr>
        <w:sectPr>
          <w:pgSz w:w="12240" w:h="15840"/>
          <w:pgMar w:header="370" w:footer="548" w:top="560" w:bottom="740" w:left="0" w:right="540"/>
        </w:sectPr>
      </w:pPr>
    </w:p>
    <w:p>
      <w:pPr>
        <w:pStyle w:val="BodyText"/>
        <w:rPr>
          <w:rFonts w:ascii="Arial"/>
          <w:sz w:val="20"/>
        </w:rPr>
      </w:pPr>
    </w:p>
    <w:p>
      <w:pPr>
        <w:pStyle w:val="BodyText"/>
        <w:rPr>
          <w:rFonts w:ascii="Arial"/>
          <w:sz w:val="20"/>
        </w:rPr>
      </w:pPr>
    </w:p>
    <w:p>
      <w:pPr>
        <w:pStyle w:val="BodyText"/>
        <w:spacing w:before="101" w:after="1"/>
        <w:rPr>
          <w:rFonts w:ascii="Arial"/>
          <w:sz w:val="20"/>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1"/>
        <w:gridCol w:w="1150"/>
        <w:gridCol w:w="851"/>
        <w:gridCol w:w="1063"/>
        <w:gridCol w:w="1080"/>
        <w:gridCol w:w="755"/>
        <w:gridCol w:w="240"/>
        <w:gridCol w:w="851"/>
        <w:gridCol w:w="1073"/>
        <w:gridCol w:w="935"/>
        <w:gridCol w:w="1008"/>
      </w:tblGrid>
      <w:tr>
        <w:trPr>
          <w:trHeight w:val="213" w:hRule="atLeast"/>
        </w:trPr>
        <w:tc>
          <w:tcPr>
            <w:tcW w:w="1311" w:type="dxa"/>
          </w:tcPr>
          <w:p>
            <w:pPr>
              <w:pStyle w:val="TableParagraph"/>
              <w:spacing w:before="0"/>
              <w:jc w:val="left"/>
              <w:rPr>
                <w:rFonts w:ascii="Times New Roman"/>
                <w:sz w:val="12"/>
              </w:rPr>
            </w:pPr>
          </w:p>
        </w:tc>
        <w:tc>
          <w:tcPr>
            <w:tcW w:w="1150" w:type="dxa"/>
            <w:vMerge w:val="restart"/>
            <w:tcBorders>
              <w:bottom w:val="single" w:sz="4" w:space="0" w:color="008FDD"/>
            </w:tcBorders>
          </w:tcPr>
          <w:p>
            <w:pPr>
              <w:pStyle w:val="TableParagraph"/>
              <w:spacing w:before="103"/>
              <w:ind w:left="158" w:firstLine="74"/>
              <w:jc w:val="left"/>
              <w:rPr>
                <w:b/>
                <w:sz w:val="14"/>
              </w:rPr>
            </w:pPr>
            <w:r>
              <w:rPr>
                <w:b/>
                <w:color w:val="231F20"/>
                <w:w w:val="90"/>
                <w:sz w:val="14"/>
              </w:rPr>
              <w:t>Number</w:t>
            </w:r>
            <w:r>
              <w:rPr>
                <w:b/>
                <w:color w:val="231F20"/>
                <w:spacing w:val="-6"/>
                <w:w w:val="90"/>
                <w:sz w:val="14"/>
              </w:rPr>
              <w:t> </w:t>
            </w:r>
            <w:r>
              <w:rPr>
                <w:b/>
                <w:color w:val="231F20"/>
                <w:w w:val="90"/>
                <w:sz w:val="14"/>
              </w:rPr>
              <w:t>of</w:t>
            </w:r>
            <w:r>
              <w:rPr>
                <w:b/>
                <w:color w:val="231F20"/>
                <w:spacing w:val="40"/>
                <w:sz w:val="14"/>
              </w:rPr>
              <w:t> </w:t>
            </w:r>
            <w:r>
              <w:rPr>
                <w:b/>
                <w:color w:val="231F20"/>
                <w:spacing w:val="-2"/>
                <w:w w:val="80"/>
                <w:sz w:val="14"/>
              </w:rPr>
              <w:t>observations</w:t>
            </w:r>
          </w:p>
        </w:tc>
        <w:tc>
          <w:tcPr>
            <w:tcW w:w="851" w:type="dxa"/>
            <w:tcBorders>
              <w:bottom w:val="single" w:sz="4" w:space="0" w:color="008FDD"/>
            </w:tcBorders>
          </w:tcPr>
          <w:p>
            <w:pPr>
              <w:pStyle w:val="TableParagraph"/>
              <w:spacing w:before="0"/>
              <w:jc w:val="left"/>
              <w:rPr>
                <w:rFonts w:ascii="Times New Roman"/>
                <w:sz w:val="12"/>
              </w:rPr>
            </w:pPr>
          </w:p>
        </w:tc>
        <w:tc>
          <w:tcPr>
            <w:tcW w:w="2143" w:type="dxa"/>
            <w:gridSpan w:val="2"/>
            <w:tcBorders>
              <w:bottom w:val="single" w:sz="4" w:space="0" w:color="008FDD"/>
            </w:tcBorders>
          </w:tcPr>
          <w:p>
            <w:pPr>
              <w:pStyle w:val="TableParagraph"/>
              <w:spacing w:before="3"/>
              <w:ind w:left="141"/>
              <w:jc w:val="left"/>
              <w:rPr>
                <w:b/>
                <w:sz w:val="14"/>
              </w:rPr>
            </w:pPr>
            <w:r>
              <w:rPr>
                <w:b/>
                <w:color w:val="231F20"/>
                <w:w w:val="80"/>
                <w:sz w:val="14"/>
              </w:rPr>
              <w:t>Consolidated</w:t>
            </w:r>
            <w:r>
              <w:rPr>
                <w:b/>
                <w:color w:val="231F20"/>
                <w:spacing w:val="20"/>
                <w:sz w:val="14"/>
              </w:rPr>
              <w:t> </w:t>
            </w:r>
            <w:r>
              <w:rPr>
                <w:b/>
                <w:color w:val="231F20"/>
                <w:w w:val="80"/>
                <w:sz w:val="14"/>
              </w:rPr>
              <w:t>dwell</w:t>
            </w:r>
            <w:r>
              <w:rPr>
                <w:b/>
                <w:color w:val="231F20"/>
                <w:spacing w:val="21"/>
                <w:sz w:val="14"/>
              </w:rPr>
              <w:t> </w:t>
            </w:r>
            <w:r>
              <w:rPr>
                <w:b/>
                <w:color w:val="231F20"/>
                <w:w w:val="80"/>
                <w:sz w:val="14"/>
              </w:rPr>
              <w:t>time</w:t>
            </w:r>
            <w:r>
              <w:rPr>
                <w:b/>
                <w:color w:val="231F20"/>
                <w:spacing w:val="20"/>
                <w:sz w:val="14"/>
              </w:rPr>
              <w:t> </w:t>
            </w:r>
            <w:r>
              <w:rPr>
                <w:b/>
                <w:color w:val="231F20"/>
                <w:spacing w:val="-2"/>
                <w:w w:val="80"/>
                <w:sz w:val="14"/>
              </w:rPr>
              <w:t>(days)</w:t>
            </w:r>
          </w:p>
        </w:tc>
        <w:tc>
          <w:tcPr>
            <w:tcW w:w="755" w:type="dxa"/>
            <w:tcBorders>
              <w:bottom w:val="single" w:sz="4" w:space="0" w:color="008FDD"/>
            </w:tcBorders>
          </w:tcPr>
          <w:p>
            <w:pPr>
              <w:pStyle w:val="TableParagraph"/>
              <w:spacing w:before="0"/>
              <w:jc w:val="left"/>
              <w:rPr>
                <w:rFonts w:ascii="Times New Roman"/>
                <w:sz w:val="12"/>
              </w:rPr>
            </w:pPr>
          </w:p>
        </w:tc>
        <w:tc>
          <w:tcPr>
            <w:tcW w:w="240" w:type="dxa"/>
          </w:tcPr>
          <w:p>
            <w:pPr>
              <w:pStyle w:val="TableParagraph"/>
              <w:spacing w:before="0"/>
              <w:jc w:val="left"/>
              <w:rPr>
                <w:rFonts w:ascii="Times New Roman"/>
                <w:sz w:val="12"/>
              </w:rPr>
            </w:pPr>
          </w:p>
        </w:tc>
        <w:tc>
          <w:tcPr>
            <w:tcW w:w="851" w:type="dxa"/>
            <w:tcBorders>
              <w:bottom w:val="single" w:sz="4" w:space="0" w:color="008FDD"/>
            </w:tcBorders>
          </w:tcPr>
          <w:p>
            <w:pPr>
              <w:pStyle w:val="TableParagraph"/>
              <w:spacing w:before="0"/>
              <w:jc w:val="left"/>
              <w:rPr>
                <w:rFonts w:ascii="Times New Roman"/>
                <w:sz w:val="12"/>
              </w:rPr>
            </w:pPr>
          </w:p>
        </w:tc>
        <w:tc>
          <w:tcPr>
            <w:tcW w:w="2008" w:type="dxa"/>
            <w:gridSpan w:val="2"/>
            <w:tcBorders>
              <w:bottom w:val="single" w:sz="4" w:space="0" w:color="008FDD"/>
            </w:tcBorders>
          </w:tcPr>
          <w:p>
            <w:pPr>
              <w:pStyle w:val="TableParagraph"/>
              <w:spacing w:before="3"/>
              <w:ind w:left="398"/>
              <w:jc w:val="left"/>
              <w:rPr>
                <w:b/>
                <w:sz w:val="14"/>
              </w:rPr>
            </w:pPr>
            <w:r>
              <w:rPr>
                <w:b/>
                <w:color w:val="231F20"/>
                <w:w w:val="85"/>
                <w:sz w:val="14"/>
              </w:rPr>
              <w:t>Port</w:t>
            </w:r>
            <w:r>
              <w:rPr>
                <w:b/>
                <w:color w:val="231F20"/>
                <w:spacing w:val="-2"/>
                <w:sz w:val="14"/>
              </w:rPr>
              <w:t> </w:t>
            </w:r>
            <w:r>
              <w:rPr>
                <w:b/>
                <w:color w:val="231F20"/>
                <w:w w:val="85"/>
                <w:sz w:val="14"/>
              </w:rPr>
              <w:t>dwell</w:t>
            </w:r>
            <w:r>
              <w:rPr>
                <w:b/>
                <w:color w:val="231F20"/>
                <w:spacing w:val="-2"/>
                <w:sz w:val="14"/>
              </w:rPr>
              <w:t> </w:t>
            </w:r>
            <w:r>
              <w:rPr>
                <w:b/>
                <w:color w:val="231F20"/>
                <w:w w:val="85"/>
                <w:sz w:val="14"/>
              </w:rPr>
              <w:t>time</w:t>
            </w:r>
            <w:r>
              <w:rPr>
                <w:b/>
                <w:color w:val="231F20"/>
                <w:spacing w:val="-2"/>
                <w:sz w:val="14"/>
              </w:rPr>
              <w:t> </w:t>
            </w:r>
            <w:r>
              <w:rPr>
                <w:b/>
                <w:color w:val="231F20"/>
                <w:spacing w:val="-2"/>
                <w:w w:val="85"/>
                <w:sz w:val="14"/>
              </w:rPr>
              <w:t>(days)</w:t>
            </w:r>
          </w:p>
        </w:tc>
        <w:tc>
          <w:tcPr>
            <w:tcW w:w="1008" w:type="dxa"/>
            <w:tcBorders>
              <w:bottom w:val="single" w:sz="4" w:space="0" w:color="008FDD"/>
            </w:tcBorders>
          </w:tcPr>
          <w:p>
            <w:pPr>
              <w:pStyle w:val="TableParagraph"/>
              <w:spacing w:before="0"/>
              <w:jc w:val="left"/>
              <w:rPr>
                <w:rFonts w:ascii="Times New Roman"/>
                <w:sz w:val="12"/>
              </w:rPr>
            </w:pPr>
          </w:p>
        </w:tc>
      </w:tr>
      <w:tr>
        <w:trPr>
          <w:trHeight w:val="246" w:hRule="atLeast"/>
        </w:trPr>
        <w:tc>
          <w:tcPr>
            <w:tcW w:w="1311" w:type="dxa"/>
            <w:tcBorders>
              <w:bottom w:val="single" w:sz="4" w:space="0" w:color="008FDD"/>
            </w:tcBorders>
          </w:tcPr>
          <w:p>
            <w:pPr>
              <w:pStyle w:val="TableParagraph"/>
              <w:spacing w:before="40"/>
              <w:ind w:left="80"/>
              <w:jc w:val="left"/>
              <w:rPr>
                <w:b/>
                <w:sz w:val="14"/>
              </w:rPr>
            </w:pPr>
            <w:r>
              <w:rPr>
                <w:b/>
                <w:color w:val="231F20"/>
                <w:spacing w:val="-2"/>
                <w:w w:val="90"/>
                <w:sz w:val="14"/>
              </w:rPr>
              <w:t>Economy</w:t>
            </w:r>
          </w:p>
        </w:tc>
        <w:tc>
          <w:tcPr>
            <w:tcW w:w="1150" w:type="dxa"/>
            <w:vMerge/>
            <w:tcBorders>
              <w:top w:val="nil"/>
              <w:bottom w:val="single" w:sz="4" w:space="0" w:color="008FDD"/>
            </w:tcBorders>
          </w:tcPr>
          <w:p>
            <w:pPr>
              <w:rPr>
                <w:sz w:val="2"/>
                <w:szCs w:val="2"/>
              </w:rPr>
            </w:pPr>
          </w:p>
        </w:tc>
        <w:tc>
          <w:tcPr>
            <w:tcW w:w="851" w:type="dxa"/>
            <w:tcBorders>
              <w:top w:val="single" w:sz="4" w:space="0" w:color="008FDD"/>
              <w:bottom w:val="single" w:sz="4" w:space="0" w:color="008FDD"/>
            </w:tcBorders>
          </w:tcPr>
          <w:p>
            <w:pPr>
              <w:pStyle w:val="TableParagraph"/>
              <w:spacing w:before="40"/>
              <w:ind w:left="48" w:right="136"/>
              <w:rPr>
                <w:b/>
                <w:sz w:val="14"/>
              </w:rPr>
            </w:pPr>
            <w:r>
              <w:rPr>
                <w:b/>
                <w:color w:val="231F20"/>
                <w:spacing w:val="-4"/>
                <w:w w:val="95"/>
                <w:sz w:val="14"/>
              </w:rPr>
              <w:t>Mean</w:t>
            </w:r>
          </w:p>
        </w:tc>
        <w:tc>
          <w:tcPr>
            <w:tcW w:w="1063" w:type="dxa"/>
            <w:tcBorders>
              <w:top w:val="single" w:sz="4" w:space="0" w:color="008FDD"/>
              <w:bottom w:val="single" w:sz="4" w:space="0" w:color="008FDD"/>
            </w:tcBorders>
          </w:tcPr>
          <w:p>
            <w:pPr>
              <w:pStyle w:val="TableParagraph"/>
              <w:spacing w:before="40"/>
              <w:ind w:left="43" w:right="53"/>
              <w:rPr>
                <w:b/>
                <w:sz w:val="14"/>
              </w:rPr>
            </w:pPr>
            <w:r>
              <w:rPr>
                <w:b/>
                <w:color w:val="231F20"/>
                <w:spacing w:val="-2"/>
                <w:w w:val="95"/>
                <w:sz w:val="14"/>
              </w:rPr>
              <w:t>Median</w:t>
            </w:r>
          </w:p>
        </w:tc>
        <w:tc>
          <w:tcPr>
            <w:tcW w:w="1080" w:type="dxa"/>
            <w:tcBorders>
              <w:top w:val="single" w:sz="4" w:space="0" w:color="008FDD"/>
              <w:bottom w:val="single" w:sz="4" w:space="0" w:color="008FDD"/>
            </w:tcBorders>
          </w:tcPr>
          <w:p>
            <w:pPr>
              <w:pStyle w:val="TableParagraph"/>
              <w:spacing w:before="40"/>
              <w:ind w:left="348"/>
              <w:jc w:val="left"/>
              <w:rPr>
                <w:b/>
                <w:sz w:val="14"/>
              </w:rPr>
            </w:pPr>
            <w:r>
              <w:rPr>
                <w:b/>
                <w:color w:val="231F20"/>
                <w:spacing w:val="-5"/>
                <w:w w:val="90"/>
                <w:sz w:val="14"/>
              </w:rPr>
              <w:t>Q25</w:t>
            </w:r>
          </w:p>
        </w:tc>
        <w:tc>
          <w:tcPr>
            <w:tcW w:w="755" w:type="dxa"/>
            <w:tcBorders>
              <w:top w:val="single" w:sz="4" w:space="0" w:color="008FDD"/>
              <w:bottom w:val="single" w:sz="4" w:space="0" w:color="008FDD"/>
            </w:tcBorders>
          </w:tcPr>
          <w:p>
            <w:pPr>
              <w:pStyle w:val="TableParagraph"/>
              <w:spacing w:before="40"/>
              <w:ind w:left="50" w:right="51"/>
              <w:rPr>
                <w:b/>
                <w:sz w:val="14"/>
              </w:rPr>
            </w:pPr>
            <w:r>
              <w:rPr>
                <w:b/>
                <w:color w:val="231F20"/>
                <w:spacing w:val="-5"/>
                <w:w w:val="90"/>
                <w:sz w:val="14"/>
              </w:rPr>
              <w:t>Q75</w:t>
            </w:r>
          </w:p>
        </w:tc>
        <w:tc>
          <w:tcPr>
            <w:tcW w:w="240" w:type="dxa"/>
            <w:tcBorders>
              <w:bottom w:val="single" w:sz="4" w:space="0" w:color="008FDD"/>
            </w:tcBorders>
          </w:tcPr>
          <w:p>
            <w:pPr>
              <w:pStyle w:val="TableParagraph"/>
              <w:spacing w:before="0"/>
              <w:jc w:val="left"/>
              <w:rPr>
                <w:rFonts w:ascii="Times New Roman"/>
                <w:sz w:val="12"/>
              </w:rPr>
            </w:pPr>
          </w:p>
        </w:tc>
        <w:tc>
          <w:tcPr>
            <w:tcW w:w="851" w:type="dxa"/>
            <w:tcBorders>
              <w:top w:val="single" w:sz="4" w:space="0" w:color="008FDD"/>
              <w:bottom w:val="single" w:sz="4" w:space="0" w:color="008FDD"/>
            </w:tcBorders>
          </w:tcPr>
          <w:p>
            <w:pPr>
              <w:pStyle w:val="TableParagraph"/>
              <w:spacing w:before="40"/>
              <w:ind w:left="222"/>
              <w:jc w:val="left"/>
              <w:rPr>
                <w:b/>
                <w:sz w:val="14"/>
              </w:rPr>
            </w:pPr>
            <w:r>
              <w:rPr>
                <w:b/>
                <w:color w:val="231F20"/>
                <w:spacing w:val="-4"/>
                <w:w w:val="95"/>
                <w:sz w:val="14"/>
              </w:rPr>
              <w:t>Mean</w:t>
            </w:r>
          </w:p>
        </w:tc>
        <w:tc>
          <w:tcPr>
            <w:tcW w:w="1073" w:type="dxa"/>
            <w:tcBorders>
              <w:top w:val="single" w:sz="4" w:space="0" w:color="008FDD"/>
              <w:bottom w:val="single" w:sz="4" w:space="0" w:color="008FDD"/>
            </w:tcBorders>
          </w:tcPr>
          <w:p>
            <w:pPr>
              <w:pStyle w:val="TableParagraph"/>
              <w:spacing w:before="40"/>
              <w:ind w:left="44" w:right="63"/>
              <w:rPr>
                <w:b/>
                <w:sz w:val="14"/>
              </w:rPr>
            </w:pPr>
            <w:r>
              <w:rPr>
                <w:b/>
                <w:color w:val="231F20"/>
                <w:spacing w:val="-2"/>
                <w:w w:val="95"/>
                <w:sz w:val="14"/>
              </w:rPr>
              <w:t>Median</w:t>
            </w:r>
          </w:p>
        </w:tc>
        <w:tc>
          <w:tcPr>
            <w:tcW w:w="935" w:type="dxa"/>
            <w:tcBorders>
              <w:top w:val="single" w:sz="4" w:space="0" w:color="008FDD"/>
              <w:bottom w:val="single" w:sz="4" w:space="0" w:color="008FDD"/>
            </w:tcBorders>
          </w:tcPr>
          <w:p>
            <w:pPr>
              <w:pStyle w:val="TableParagraph"/>
              <w:spacing w:before="40"/>
              <w:ind w:left="14" w:right="42"/>
              <w:rPr>
                <w:b/>
                <w:sz w:val="14"/>
              </w:rPr>
            </w:pPr>
            <w:r>
              <w:rPr>
                <w:b/>
                <w:color w:val="231F20"/>
                <w:spacing w:val="-5"/>
                <w:w w:val="90"/>
                <w:sz w:val="14"/>
              </w:rPr>
              <w:t>Q25</w:t>
            </w:r>
          </w:p>
        </w:tc>
        <w:tc>
          <w:tcPr>
            <w:tcW w:w="1008" w:type="dxa"/>
            <w:tcBorders>
              <w:top w:val="single" w:sz="4" w:space="0" w:color="008FDD"/>
              <w:bottom w:val="single" w:sz="4" w:space="0" w:color="008FDD"/>
            </w:tcBorders>
          </w:tcPr>
          <w:p>
            <w:pPr>
              <w:pStyle w:val="TableParagraph"/>
              <w:spacing w:before="40"/>
              <w:ind w:right="384"/>
              <w:jc w:val="right"/>
              <w:rPr>
                <w:b/>
                <w:sz w:val="14"/>
              </w:rPr>
            </w:pPr>
            <w:r>
              <w:rPr>
                <w:b/>
                <w:color w:val="231F20"/>
                <w:spacing w:val="-5"/>
                <w:w w:val="90"/>
                <w:sz w:val="14"/>
              </w:rPr>
              <w:t>Q75</w:t>
            </w:r>
          </w:p>
        </w:tc>
      </w:tr>
      <w:tr>
        <w:trPr>
          <w:trHeight w:val="254" w:hRule="atLeast"/>
        </w:trPr>
        <w:tc>
          <w:tcPr>
            <w:tcW w:w="1311" w:type="dxa"/>
            <w:tcBorders>
              <w:top w:val="single" w:sz="4" w:space="0" w:color="008FDD"/>
            </w:tcBorders>
          </w:tcPr>
          <w:p>
            <w:pPr>
              <w:pStyle w:val="TableParagraph"/>
              <w:spacing w:before="43"/>
              <w:ind w:left="79"/>
              <w:jc w:val="left"/>
              <w:rPr>
                <w:sz w:val="14"/>
              </w:rPr>
            </w:pPr>
            <w:r>
              <w:rPr>
                <w:color w:val="231F20"/>
                <w:w w:val="75"/>
                <w:sz w:val="14"/>
              </w:rPr>
              <w:t>Slovak</w:t>
            </w:r>
            <w:r>
              <w:rPr>
                <w:color w:val="231F20"/>
                <w:spacing w:val="4"/>
                <w:sz w:val="14"/>
              </w:rPr>
              <w:t> </w:t>
            </w:r>
            <w:r>
              <w:rPr>
                <w:color w:val="231F20"/>
                <w:spacing w:val="-2"/>
                <w:w w:val="85"/>
                <w:sz w:val="14"/>
              </w:rPr>
              <w:t>Republic</w:t>
            </w:r>
          </w:p>
        </w:tc>
        <w:tc>
          <w:tcPr>
            <w:tcW w:w="1150" w:type="dxa"/>
            <w:tcBorders>
              <w:top w:val="single" w:sz="4" w:space="0" w:color="008FDD"/>
            </w:tcBorders>
          </w:tcPr>
          <w:p>
            <w:pPr>
              <w:pStyle w:val="TableParagraph"/>
              <w:spacing w:before="43"/>
              <w:ind w:right="433"/>
              <w:jc w:val="right"/>
              <w:rPr>
                <w:sz w:val="14"/>
              </w:rPr>
            </w:pPr>
            <w:r>
              <w:rPr>
                <w:color w:val="231F20"/>
                <w:spacing w:val="-2"/>
                <w:w w:val="95"/>
                <w:sz w:val="14"/>
              </w:rPr>
              <w:t>2,981</w:t>
            </w:r>
          </w:p>
        </w:tc>
        <w:tc>
          <w:tcPr>
            <w:tcW w:w="851" w:type="dxa"/>
            <w:tcBorders>
              <w:top w:val="single" w:sz="4" w:space="0" w:color="008FDD"/>
            </w:tcBorders>
          </w:tcPr>
          <w:p>
            <w:pPr>
              <w:pStyle w:val="TableParagraph"/>
              <w:spacing w:before="43"/>
              <w:ind w:left="21" w:right="136"/>
              <w:rPr>
                <w:sz w:val="14"/>
              </w:rPr>
            </w:pPr>
            <w:r>
              <w:rPr>
                <w:color w:val="231F20"/>
                <w:spacing w:val="-4"/>
                <w:w w:val="95"/>
                <w:sz w:val="14"/>
              </w:rPr>
              <w:t>19.2</w:t>
            </w:r>
          </w:p>
        </w:tc>
        <w:tc>
          <w:tcPr>
            <w:tcW w:w="1063" w:type="dxa"/>
            <w:tcBorders>
              <w:top w:val="single" w:sz="4" w:space="0" w:color="008FDD"/>
            </w:tcBorders>
          </w:tcPr>
          <w:p>
            <w:pPr>
              <w:pStyle w:val="TableParagraph"/>
              <w:spacing w:before="43"/>
              <w:ind w:left="38" w:right="75"/>
              <w:rPr>
                <w:sz w:val="14"/>
              </w:rPr>
            </w:pPr>
            <w:r>
              <w:rPr>
                <w:color w:val="231F20"/>
                <w:spacing w:val="-4"/>
                <w:w w:val="95"/>
                <w:sz w:val="14"/>
              </w:rPr>
              <w:t>16.5</w:t>
            </w:r>
          </w:p>
        </w:tc>
        <w:tc>
          <w:tcPr>
            <w:tcW w:w="1080" w:type="dxa"/>
            <w:tcBorders>
              <w:top w:val="single" w:sz="4" w:space="0" w:color="008FDD"/>
            </w:tcBorders>
          </w:tcPr>
          <w:p>
            <w:pPr>
              <w:pStyle w:val="TableParagraph"/>
              <w:spacing w:before="43"/>
              <w:ind w:left="328"/>
              <w:jc w:val="left"/>
              <w:rPr>
                <w:sz w:val="14"/>
              </w:rPr>
            </w:pPr>
            <w:r>
              <w:rPr>
                <w:color w:val="231F20"/>
                <w:spacing w:val="-4"/>
                <w:w w:val="95"/>
                <w:sz w:val="14"/>
              </w:rPr>
              <w:t>10.2</w:t>
            </w:r>
          </w:p>
        </w:tc>
        <w:tc>
          <w:tcPr>
            <w:tcW w:w="755" w:type="dxa"/>
            <w:tcBorders>
              <w:top w:val="single" w:sz="4" w:space="0" w:color="008FDD"/>
            </w:tcBorders>
          </w:tcPr>
          <w:p>
            <w:pPr>
              <w:pStyle w:val="TableParagraph"/>
              <w:spacing w:before="43"/>
              <w:ind w:left="48" w:right="85"/>
              <w:rPr>
                <w:sz w:val="14"/>
              </w:rPr>
            </w:pPr>
            <w:r>
              <w:rPr>
                <w:color w:val="231F20"/>
                <w:spacing w:val="-4"/>
                <w:w w:val="95"/>
                <w:sz w:val="14"/>
              </w:rPr>
              <w:t>25.7</w:t>
            </w:r>
          </w:p>
        </w:tc>
        <w:tc>
          <w:tcPr>
            <w:tcW w:w="240" w:type="dxa"/>
            <w:tcBorders>
              <w:top w:val="single" w:sz="4" w:space="0" w:color="008FDD"/>
            </w:tcBorders>
          </w:tcPr>
          <w:p>
            <w:pPr>
              <w:pStyle w:val="TableParagraph"/>
              <w:spacing w:before="0"/>
              <w:jc w:val="left"/>
              <w:rPr>
                <w:rFonts w:ascii="Times New Roman"/>
                <w:sz w:val="12"/>
              </w:rPr>
            </w:pPr>
          </w:p>
        </w:tc>
        <w:tc>
          <w:tcPr>
            <w:tcW w:w="851" w:type="dxa"/>
            <w:tcBorders>
              <w:top w:val="single" w:sz="4" w:space="0" w:color="008FDD"/>
            </w:tcBorders>
          </w:tcPr>
          <w:p>
            <w:pPr>
              <w:pStyle w:val="TableParagraph"/>
              <w:spacing w:before="43"/>
              <w:ind w:left="248"/>
              <w:jc w:val="left"/>
              <w:rPr>
                <w:sz w:val="14"/>
              </w:rPr>
            </w:pPr>
            <w:r>
              <w:rPr>
                <w:color w:val="231F20"/>
                <w:spacing w:val="-4"/>
                <w:w w:val="95"/>
                <w:sz w:val="14"/>
              </w:rPr>
              <w:t>10.8</w:t>
            </w:r>
          </w:p>
        </w:tc>
        <w:tc>
          <w:tcPr>
            <w:tcW w:w="1073" w:type="dxa"/>
            <w:tcBorders>
              <w:top w:val="single" w:sz="4" w:space="0" w:color="008FDD"/>
            </w:tcBorders>
          </w:tcPr>
          <w:p>
            <w:pPr>
              <w:pStyle w:val="TableParagraph"/>
              <w:spacing w:before="43"/>
              <w:ind w:left="78" w:right="63"/>
              <w:rPr>
                <w:sz w:val="14"/>
              </w:rPr>
            </w:pPr>
            <w:r>
              <w:rPr>
                <w:color w:val="231F20"/>
                <w:spacing w:val="-5"/>
                <w:w w:val="95"/>
                <w:sz w:val="14"/>
              </w:rPr>
              <w:t>9.9</w:t>
            </w:r>
          </w:p>
        </w:tc>
        <w:tc>
          <w:tcPr>
            <w:tcW w:w="935" w:type="dxa"/>
            <w:tcBorders>
              <w:top w:val="single" w:sz="4" w:space="0" w:color="008FDD"/>
            </w:tcBorders>
          </w:tcPr>
          <w:p>
            <w:pPr>
              <w:pStyle w:val="TableParagraph"/>
              <w:spacing w:before="43"/>
              <w:ind w:left="29" w:right="28"/>
              <w:rPr>
                <w:sz w:val="14"/>
              </w:rPr>
            </w:pPr>
            <w:r>
              <w:rPr>
                <w:color w:val="231F20"/>
                <w:spacing w:val="-5"/>
                <w:w w:val="95"/>
                <w:sz w:val="14"/>
              </w:rPr>
              <w:t>5.9</w:t>
            </w:r>
          </w:p>
        </w:tc>
        <w:tc>
          <w:tcPr>
            <w:tcW w:w="1008" w:type="dxa"/>
            <w:tcBorders>
              <w:top w:val="single" w:sz="4" w:space="0" w:color="008FDD"/>
            </w:tcBorders>
          </w:tcPr>
          <w:p>
            <w:pPr>
              <w:pStyle w:val="TableParagraph"/>
              <w:spacing w:before="43"/>
              <w:ind w:right="389"/>
              <w:jc w:val="right"/>
              <w:rPr>
                <w:sz w:val="14"/>
              </w:rPr>
            </w:pPr>
            <w:r>
              <w:rPr>
                <w:color w:val="231F20"/>
                <w:spacing w:val="-4"/>
                <w:w w:val="95"/>
                <w:sz w:val="14"/>
              </w:rPr>
              <w:t>14.3</w:t>
            </w:r>
          </w:p>
        </w:tc>
      </w:tr>
      <w:tr>
        <w:trPr>
          <w:trHeight w:val="259" w:hRule="atLeast"/>
        </w:trPr>
        <w:tc>
          <w:tcPr>
            <w:tcW w:w="1311" w:type="dxa"/>
            <w:shd w:val="clear" w:color="auto" w:fill="D4E3F5"/>
          </w:tcPr>
          <w:p>
            <w:pPr>
              <w:pStyle w:val="TableParagraph"/>
              <w:ind w:left="79"/>
              <w:jc w:val="left"/>
              <w:rPr>
                <w:sz w:val="14"/>
              </w:rPr>
            </w:pPr>
            <w:r>
              <w:rPr>
                <w:color w:val="231F20"/>
                <w:spacing w:val="-2"/>
                <w:w w:val="85"/>
                <w:sz w:val="14"/>
              </w:rPr>
              <w:t>Slovenia</w:t>
            </w:r>
          </w:p>
        </w:tc>
        <w:tc>
          <w:tcPr>
            <w:tcW w:w="1150" w:type="dxa"/>
            <w:shd w:val="clear" w:color="auto" w:fill="D4E3F5"/>
          </w:tcPr>
          <w:p>
            <w:pPr>
              <w:pStyle w:val="TableParagraph"/>
              <w:ind w:right="434"/>
              <w:jc w:val="right"/>
              <w:rPr>
                <w:sz w:val="14"/>
              </w:rPr>
            </w:pPr>
            <w:r>
              <w:rPr>
                <w:color w:val="231F20"/>
                <w:spacing w:val="-2"/>
                <w:w w:val="95"/>
                <w:sz w:val="14"/>
              </w:rPr>
              <w:t>8,125</w:t>
            </w:r>
          </w:p>
        </w:tc>
        <w:tc>
          <w:tcPr>
            <w:tcW w:w="851" w:type="dxa"/>
            <w:shd w:val="clear" w:color="auto" w:fill="D4E3F5"/>
          </w:tcPr>
          <w:p>
            <w:pPr>
              <w:pStyle w:val="TableParagraph"/>
              <w:ind w:left="82" w:right="136"/>
              <w:rPr>
                <w:sz w:val="14"/>
              </w:rPr>
            </w:pPr>
            <w:r>
              <w:rPr>
                <w:color w:val="231F20"/>
                <w:spacing w:val="-5"/>
                <w:w w:val="95"/>
                <w:sz w:val="14"/>
              </w:rPr>
              <w:t>8.0</w:t>
            </w:r>
          </w:p>
        </w:tc>
        <w:tc>
          <w:tcPr>
            <w:tcW w:w="1063" w:type="dxa"/>
            <w:shd w:val="clear" w:color="auto" w:fill="D4E3F5"/>
          </w:tcPr>
          <w:p>
            <w:pPr>
              <w:pStyle w:val="TableParagraph"/>
              <w:ind w:left="77" w:right="53"/>
              <w:rPr>
                <w:sz w:val="14"/>
              </w:rPr>
            </w:pPr>
            <w:r>
              <w:rPr>
                <w:color w:val="231F20"/>
                <w:spacing w:val="-5"/>
                <w:w w:val="95"/>
                <w:sz w:val="14"/>
              </w:rPr>
              <w:t>5.5</w:t>
            </w:r>
          </w:p>
        </w:tc>
        <w:tc>
          <w:tcPr>
            <w:tcW w:w="1080" w:type="dxa"/>
            <w:shd w:val="clear" w:color="auto" w:fill="D4E3F5"/>
          </w:tcPr>
          <w:p>
            <w:pPr>
              <w:pStyle w:val="TableParagraph"/>
              <w:ind w:left="391"/>
              <w:jc w:val="left"/>
              <w:rPr>
                <w:sz w:val="14"/>
              </w:rPr>
            </w:pPr>
            <w:r>
              <w:rPr>
                <w:color w:val="231F20"/>
                <w:spacing w:val="-5"/>
                <w:w w:val="95"/>
                <w:sz w:val="14"/>
              </w:rPr>
              <w:t>3.2</w:t>
            </w:r>
          </w:p>
        </w:tc>
        <w:tc>
          <w:tcPr>
            <w:tcW w:w="755" w:type="dxa"/>
            <w:shd w:val="clear" w:color="auto" w:fill="D4E3F5"/>
          </w:tcPr>
          <w:p>
            <w:pPr>
              <w:pStyle w:val="TableParagraph"/>
              <w:ind w:left="48" w:right="74"/>
              <w:rPr>
                <w:sz w:val="14"/>
              </w:rPr>
            </w:pPr>
            <w:r>
              <w:rPr>
                <w:color w:val="231F20"/>
                <w:spacing w:val="-4"/>
                <w:w w:val="95"/>
                <w:sz w:val="14"/>
              </w:rPr>
              <w:t>10.0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96" w:right="136"/>
              <w:rPr>
                <w:sz w:val="14"/>
              </w:rPr>
            </w:pPr>
            <w:r>
              <w:rPr>
                <w:color w:val="231F20"/>
                <w:spacing w:val="-5"/>
                <w:w w:val="95"/>
                <w:sz w:val="14"/>
              </w:rPr>
              <w:t>7.5</w:t>
            </w:r>
          </w:p>
        </w:tc>
        <w:tc>
          <w:tcPr>
            <w:tcW w:w="1073" w:type="dxa"/>
            <w:shd w:val="clear" w:color="auto" w:fill="D4E3F5"/>
          </w:tcPr>
          <w:p>
            <w:pPr>
              <w:pStyle w:val="TableParagraph"/>
              <w:ind w:left="78" w:right="63"/>
              <w:rPr>
                <w:sz w:val="14"/>
              </w:rPr>
            </w:pPr>
            <w:r>
              <w:rPr>
                <w:color w:val="231F20"/>
                <w:spacing w:val="-5"/>
                <w:w w:val="95"/>
                <w:sz w:val="14"/>
              </w:rPr>
              <w:t>5.3</w:t>
            </w:r>
          </w:p>
        </w:tc>
        <w:tc>
          <w:tcPr>
            <w:tcW w:w="935" w:type="dxa"/>
            <w:shd w:val="clear" w:color="auto" w:fill="D4E3F5"/>
          </w:tcPr>
          <w:p>
            <w:pPr>
              <w:pStyle w:val="TableParagraph"/>
              <w:ind w:left="30" w:right="28"/>
              <w:rPr>
                <w:sz w:val="14"/>
              </w:rPr>
            </w:pPr>
            <w:r>
              <w:rPr>
                <w:color w:val="231F20"/>
                <w:spacing w:val="-5"/>
                <w:w w:val="95"/>
                <w:sz w:val="14"/>
              </w:rPr>
              <w:t>3.2</w:t>
            </w:r>
          </w:p>
        </w:tc>
        <w:tc>
          <w:tcPr>
            <w:tcW w:w="1008" w:type="dxa"/>
            <w:shd w:val="clear" w:color="auto" w:fill="D4E3F5"/>
          </w:tcPr>
          <w:p>
            <w:pPr>
              <w:pStyle w:val="TableParagraph"/>
              <w:ind w:right="389"/>
              <w:jc w:val="right"/>
              <w:rPr>
                <w:sz w:val="14"/>
              </w:rPr>
            </w:pPr>
            <w:r>
              <w:rPr>
                <w:color w:val="231F20"/>
                <w:spacing w:val="-5"/>
                <w:w w:val="95"/>
                <w:sz w:val="14"/>
              </w:rPr>
              <w:t>9.3</w:t>
            </w:r>
          </w:p>
        </w:tc>
      </w:tr>
      <w:tr>
        <w:trPr>
          <w:trHeight w:val="259" w:hRule="atLeast"/>
        </w:trPr>
        <w:tc>
          <w:tcPr>
            <w:tcW w:w="1311" w:type="dxa"/>
          </w:tcPr>
          <w:p>
            <w:pPr>
              <w:pStyle w:val="TableParagraph"/>
              <w:ind w:left="79"/>
              <w:jc w:val="left"/>
              <w:rPr>
                <w:sz w:val="14"/>
              </w:rPr>
            </w:pPr>
            <w:r>
              <w:rPr>
                <w:color w:val="231F20"/>
                <w:w w:val="75"/>
                <w:sz w:val="14"/>
              </w:rPr>
              <w:t>Solomon</w:t>
            </w:r>
            <w:r>
              <w:rPr>
                <w:color w:val="231F20"/>
                <w:spacing w:val="16"/>
                <w:sz w:val="14"/>
              </w:rPr>
              <w:t> </w:t>
            </w:r>
            <w:r>
              <w:rPr>
                <w:color w:val="231F20"/>
                <w:spacing w:val="-2"/>
                <w:w w:val="85"/>
                <w:sz w:val="14"/>
              </w:rPr>
              <w:t>Islands</w:t>
            </w:r>
          </w:p>
        </w:tc>
        <w:tc>
          <w:tcPr>
            <w:tcW w:w="1150" w:type="dxa"/>
          </w:tcPr>
          <w:p>
            <w:pPr>
              <w:pStyle w:val="TableParagraph"/>
              <w:ind w:right="430"/>
              <w:jc w:val="right"/>
              <w:rPr>
                <w:sz w:val="14"/>
              </w:rPr>
            </w:pPr>
            <w:r>
              <w:rPr>
                <w:color w:val="231F20"/>
                <w:spacing w:val="-5"/>
                <w:w w:val="95"/>
                <w:sz w:val="14"/>
              </w:rPr>
              <w:t>98</w:t>
            </w:r>
          </w:p>
        </w:tc>
        <w:tc>
          <w:tcPr>
            <w:tcW w:w="851" w:type="dxa"/>
          </w:tcPr>
          <w:p>
            <w:pPr>
              <w:pStyle w:val="TableParagraph"/>
              <w:ind w:left="21" w:right="136"/>
              <w:rPr>
                <w:sz w:val="14"/>
              </w:rPr>
            </w:pPr>
            <w:r>
              <w:rPr>
                <w:color w:val="231F20"/>
                <w:spacing w:val="-4"/>
                <w:w w:val="95"/>
                <w:sz w:val="14"/>
              </w:rPr>
              <w:t>12.5</w:t>
            </w:r>
          </w:p>
        </w:tc>
        <w:tc>
          <w:tcPr>
            <w:tcW w:w="1063" w:type="dxa"/>
          </w:tcPr>
          <w:p>
            <w:pPr>
              <w:pStyle w:val="TableParagraph"/>
              <w:ind w:left="78" w:right="53"/>
              <w:rPr>
                <w:sz w:val="14"/>
              </w:rPr>
            </w:pPr>
            <w:r>
              <w:rPr>
                <w:color w:val="231F20"/>
                <w:spacing w:val="-5"/>
                <w:w w:val="95"/>
                <w:sz w:val="14"/>
              </w:rPr>
              <w:t>9.3</w:t>
            </w:r>
          </w:p>
        </w:tc>
        <w:tc>
          <w:tcPr>
            <w:tcW w:w="1080" w:type="dxa"/>
          </w:tcPr>
          <w:p>
            <w:pPr>
              <w:pStyle w:val="TableParagraph"/>
              <w:ind w:left="391"/>
              <w:jc w:val="left"/>
              <w:rPr>
                <w:sz w:val="14"/>
              </w:rPr>
            </w:pPr>
            <w:r>
              <w:rPr>
                <w:color w:val="231F20"/>
                <w:spacing w:val="-5"/>
                <w:w w:val="95"/>
                <w:sz w:val="14"/>
              </w:rPr>
              <w:t>3.3</w:t>
            </w:r>
          </w:p>
        </w:tc>
        <w:tc>
          <w:tcPr>
            <w:tcW w:w="755" w:type="dxa"/>
          </w:tcPr>
          <w:p>
            <w:pPr>
              <w:pStyle w:val="TableParagraph"/>
              <w:ind w:left="48" w:right="71"/>
              <w:rPr>
                <w:sz w:val="14"/>
              </w:rPr>
            </w:pPr>
            <w:r>
              <w:rPr>
                <w:color w:val="231F20"/>
                <w:spacing w:val="-4"/>
                <w:w w:val="95"/>
                <w:sz w:val="14"/>
              </w:rPr>
              <w:t>19.2</w:t>
            </w:r>
          </w:p>
        </w:tc>
        <w:tc>
          <w:tcPr>
            <w:tcW w:w="240" w:type="dxa"/>
          </w:tcPr>
          <w:p>
            <w:pPr>
              <w:pStyle w:val="TableParagraph"/>
              <w:spacing w:before="0"/>
              <w:jc w:val="left"/>
              <w:rPr>
                <w:rFonts w:ascii="Times New Roman"/>
                <w:sz w:val="12"/>
              </w:rPr>
            </w:pPr>
          </w:p>
        </w:tc>
        <w:tc>
          <w:tcPr>
            <w:tcW w:w="851" w:type="dxa"/>
          </w:tcPr>
          <w:p>
            <w:pPr>
              <w:pStyle w:val="TableParagraph"/>
              <w:ind w:left="258"/>
              <w:jc w:val="left"/>
              <w:rPr>
                <w:sz w:val="14"/>
              </w:rPr>
            </w:pPr>
            <w:r>
              <w:rPr>
                <w:color w:val="231F20"/>
                <w:spacing w:val="-4"/>
                <w:w w:val="95"/>
                <w:sz w:val="14"/>
              </w:rPr>
              <w:t>11.9</w:t>
            </w:r>
          </w:p>
        </w:tc>
        <w:tc>
          <w:tcPr>
            <w:tcW w:w="1073" w:type="dxa"/>
          </w:tcPr>
          <w:p>
            <w:pPr>
              <w:pStyle w:val="TableParagraph"/>
              <w:ind w:left="77" w:right="63"/>
              <w:rPr>
                <w:sz w:val="14"/>
              </w:rPr>
            </w:pPr>
            <w:r>
              <w:rPr>
                <w:color w:val="231F20"/>
                <w:spacing w:val="-5"/>
                <w:w w:val="95"/>
                <w:sz w:val="14"/>
              </w:rPr>
              <w:t>9.0</w:t>
            </w:r>
          </w:p>
        </w:tc>
        <w:tc>
          <w:tcPr>
            <w:tcW w:w="935" w:type="dxa"/>
          </w:tcPr>
          <w:p>
            <w:pPr>
              <w:pStyle w:val="TableParagraph"/>
              <w:ind w:left="30" w:right="28"/>
              <w:rPr>
                <w:sz w:val="14"/>
              </w:rPr>
            </w:pPr>
            <w:r>
              <w:rPr>
                <w:color w:val="231F20"/>
                <w:spacing w:val="-5"/>
                <w:w w:val="95"/>
                <w:sz w:val="14"/>
              </w:rPr>
              <w:t>3.2</w:t>
            </w:r>
          </w:p>
        </w:tc>
        <w:tc>
          <w:tcPr>
            <w:tcW w:w="1008" w:type="dxa"/>
          </w:tcPr>
          <w:p>
            <w:pPr>
              <w:pStyle w:val="TableParagraph"/>
              <w:ind w:right="390"/>
              <w:jc w:val="right"/>
              <w:rPr>
                <w:sz w:val="14"/>
              </w:rPr>
            </w:pPr>
            <w:r>
              <w:rPr>
                <w:color w:val="231F20"/>
                <w:spacing w:val="-4"/>
                <w:w w:val="95"/>
                <w:sz w:val="14"/>
              </w:rPr>
              <w:t>19.0</w:t>
            </w:r>
          </w:p>
        </w:tc>
      </w:tr>
      <w:tr>
        <w:trPr>
          <w:trHeight w:val="259" w:hRule="atLeast"/>
        </w:trPr>
        <w:tc>
          <w:tcPr>
            <w:tcW w:w="1311" w:type="dxa"/>
            <w:shd w:val="clear" w:color="auto" w:fill="D4E3F5"/>
          </w:tcPr>
          <w:p>
            <w:pPr>
              <w:pStyle w:val="TableParagraph"/>
              <w:ind w:left="79"/>
              <w:jc w:val="left"/>
              <w:rPr>
                <w:sz w:val="14"/>
              </w:rPr>
            </w:pPr>
            <w:r>
              <w:rPr>
                <w:color w:val="231F20"/>
                <w:spacing w:val="-2"/>
                <w:w w:val="90"/>
                <w:sz w:val="14"/>
              </w:rPr>
              <w:t>Somalia</w:t>
            </w:r>
          </w:p>
        </w:tc>
        <w:tc>
          <w:tcPr>
            <w:tcW w:w="1150" w:type="dxa"/>
            <w:shd w:val="clear" w:color="auto" w:fill="D4E3F5"/>
          </w:tcPr>
          <w:p>
            <w:pPr>
              <w:pStyle w:val="TableParagraph"/>
              <w:ind w:right="434"/>
              <w:jc w:val="right"/>
              <w:rPr>
                <w:sz w:val="14"/>
              </w:rPr>
            </w:pPr>
            <w:r>
              <w:rPr>
                <w:color w:val="231F20"/>
                <w:spacing w:val="-2"/>
                <w:w w:val="95"/>
                <w:sz w:val="14"/>
              </w:rPr>
              <w:t>3,767</w:t>
            </w:r>
          </w:p>
        </w:tc>
        <w:tc>
          <w:tcPr>
            <w:tcW w:w="851" w:type="dxa"/>
            <w:shd w:val="clear" w:color="auto" w:fill="D4E3F5"/>
          </w:tcPr>
          <w:p>
            <w:pPr>
              <w:pStyle w:val="TableParagraph"/>
              <w:ind w:left="95" w:right="136"/>
              <w:rPr>
                <w:sz w:val="14"/>
              </w:rPr>
            </w:pPr>
            <w:r>
              <w:rPr>
                <w:color w:val="231F20"/>
                <w:spacing w:val="-5"/>
                <w:w w:val="95"/>
                <w:sz w:val="14"/>
              </w:rPr>
              <w:t>7.3</w:t>
            </w:r>
          </w:p>
        </w:tc>
        <w:tc>
          <w:tcPr>
            <w:tcW w:w="1063" w:type="dxa"/>
            <w:shd w:val="clear" w:color="auto" w:fill="D4E3F5"/>
          </w:tcPr>
          <w:p>
            <w:pPr>
              <w:pStyle w:val="TableParagraph"/>
              <w:ind w:left="77" w:right="53"/>
              <w:rPr>
                <w:sz w:val="14"/>
              </w:rPr>
            </w:pPr>
            <w:r>
              <w:rPr>
                <w:color w:val="231F20"/>
                <w:spacing w:val="-5"/>
                <w:w w:val="95"/>
                <w:sz w:val="14"/>
              </w:rPr>
              <w:t>5.0</w:t>
            </w:r>
          </w:p>
        </w:tc>
        <w:tc>
          <w:tcPr>
            <w:tcW w:w="1080" w:type="dxa"/>
            <w:shd w:val="clear" w:color="auto" w:fill="D4E3F5"/>
          </w:tcPr>
          <w:p>
            <w:pPr>
              <w:pStyle w:val="TableParagraph"/>
              <w:ind w:left="391"/>
              <w:jc w:val="left"/>
              <w:rPr>
                <w:sz w:val="14"/>
              </w:rPr>
            </w:pPr>
            <w:r>
              <w:rPr>
                <w:color w:val="231F20"/>
                <w:spacing w:val="-5"/>
                <w:w w:val="95"/>
                <w:sz w:val="14"/>
              </w:rPr>
              <w:t>3.0</w:t>
            </w:r>
          </w:p>
        </w:tc>
        <w:tc>
          <w:tcPr>
            <w:tcW w:w="755" w:type="dxa"/>
            <w:shd w:val="clear" w:color="auto" w:fill="D4E3F5"/>
          </w:tcPr>
          <w:p>
            <w:pPr>
              <w:pStyle w:val="TableParagraph"/>
              <w:ind w:left="86" w:right="51"/>
              <w:rPr>
                <w:sz w:val="14"/>
              </w:rPr>
            </w:pPr>
            <w:r>
              <w:rPr>
                <w:color w:val="231F20"/>
                <w:spacing w:val="-5"/>
                <w:w w:val="95"/>
                <w:sz w:val="14"/>
              </w:rPr>
              <w:t>9.0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96" w:right="136"/>
              <w:rPr>
                <w:sz w:val="14"/>
              </w:rPr>
            </w:pPr>
            <w:r>
              <w:rPr>
                <w:color w:val="231F20"/>
                <w:spacing w:val="-5"/>
                <w:w w:val="95"/>
                <w:sz w:val="14"/>
              </w:rPr>
              <w:t>7.3</w:t>
            </w:r>
          </w:p>
        </w:tc>
        <w:tc>
          <w:tcPr>
            <w:tcW w:w="1073" w:type="dxa"/>
            <w:shd w:val="clear" w:color="auto" w:fill="D4E3F5"/>
          </w:tcPr>
          <w:p>
            <w:pPr>
              <w:pStyle w:val="TableParagraph"/>
              <w:ind w:left="78" w:right="63"/>
              <w:rPr>
                <w:sz w:val="14"/>
              </w:rPr>
            </w:pPr>
            <w:r>
              <w:rPr>
                <w:color w:val="231F20"/>
                <w:spacing w:val="-5"/>
                <w:w w:val="95"/>
                <w:sz w:val="14"/>
              </w:rPr>
              <w:t>5.0</w:t>
            </w:r>
          </w:p>
        </w:tc>
        <w:tc>
          <w:tcPr>
            <w:tcW w:w="935" w:type="dxa"/>
            <w:shd w:val="clear" w:color="auto" w:fill="D4E3F5"/>
          </w:tcPr>
          <w:p>
            <w:pPr>
              <w:pStyle w:val="TableParagraph"/>
              <w:ind w:left="29" w:right="28"/>
              <w:rPr>
                <w:sz w:val="14"/>
              </w:rPr>
            </w:pPr>
            <w:r>
              <w:rPr>
                <w:color w:val="231F20"/>
                <w:spacing w:val="-5"/>
                <w:w w:val="95"/>
                <w:sz w:val="14"/>
              </w:rPr>
              <w:t>3.0</w:t>
            </w:r>
          </w:p>
        </w:tc>
        <w:tc>
          <w:tcPr>
            <w:tcW w:w="1008" w:type="dxa"/>
            <w:shd w:val="clear" w:color="auto" w:fill="D4E3F5"/>
          </w:tcPr>
          <w:p>
            <w:pPr>
              <w:pStyle w:val="TableParagraph"/>
              <w:ind w:right="390"/>
              <w:jc w:val="right"/>
              <w:rPr>
                <w:sz w:val="14"/>
              </w:rPr>
            </w:pPr>
            <w:r>
              <w:rPr>
                <w:color w:val="231F20"/>
                <w:spacing w:val="-5"/>
                <w:w w:val="95"/>
                <w:sz w:val="14"/>
              </w:rPr>
              <w:t>9.0</w:t>
            </w:r>
          </w:p>
        </w:tc>
      </w:tr>
      <w:tr>
        <w:trPr>
          <w:trHeight w:val="259" w:hRule="atLeast"/>
        </w:trPr>
        <w:tc>
          <w:tcPr>
            <w:tcW w:w="1311" w:type="dxa"/>
          </w:tcPr>
          <w:p>
            <w:pPr>
              <w:pStyle w:val="TableParagraph"/>
              <w:ind w:left="79"/>
              <w:jc w:val="left"/>
              <w:rPr>
                <w:sz w:val="14"/>
              </w:rPr>
            </w:pPr>
            <w:r>
              <w:rPr>
                <w:color w:val="231F20"/>
                <w:w w:val="75"/>
                <w:sz w:val="14"/>
              </w:rPr>
              <w:t>South</w:t>
            </w:r>
            <w:r>
              <w:rPr>
                <w:color w:val="231F20"/>
                <w:spacing w:val="11"/>
                <w:sz w:val="14"/>
              </w:rPr>
              <w:t> </w:t>
            </w:r>
            <w:r>
              <w:rPr>
                <w:color w:val="231F20"/>
                <w:spacing w:val="-2"/>
                <w:w w:val="90"/>
                <w:sz w:val="14"/>
              </w:rPr>
              <w:t>Africa</w:t>
            </w:r>
          </w:p>
        </w:tc>
        <w:tc>
          <w:tcPr>
            <w:tcW w:w="1150" w:type="dxa"/>
          </w:tcPr>
          <w:p>
            <w:pPr>
              <w:pStyle w:val="TableParagraph"/>
              <w:ind w:right="435"/>
              <w:jc w:val="right"/>
              <w:rPr>
                <w:sz w:val="14"/>
              </w:rPr>
            </w:pPr>
            <w:r>
              <w:rPr>
                <w:color w:val="231F20"/>
                <w:spacing w:val="-2"/>
                <w:w w:val="95"/>
                <w:sz w:val="14"/>
              </w:rPr>
              <w:t>41,097</w:t>
            </w:r>
          </w:p>
        </w:tc>
        <w:tc>
          <w:tcPr>
            <w:tcW w:w="851" w:type="dxa"/>
          </w:tcPr>
          <w:p>
            <w:pPr>
              <w:pStyle w:val="TableParagraph"/>
              <w:ind w:left="82" w:right="136"/>
              <w:rPr>
                <w:sz w:val="14"/>
              </w:rPr>
            </w:pPr>
            <w:r>
              <w:rPr>
                <w:color w:val="231F20"/>
                <w:spacing w:val="-5"/>
                <w:w w:val="95"/>
                <w:sz w:val="14"/>
              </w:rPr>
              <w:t>5.3</w:t>
            </w:r>
          </w:p>
        </w:tc>
        <w:tc>
          <w:tcPr>
            <w:tcW w:w="1063" w:type="dxa"/>
          </w:tcPr>
          <w:p>
            <w:pPr>
              <w:pStyle w:val="TableParagraph"/>
              <w:ind w:left="71" w:right="53"/>
              <w:rPr>
                <w:sz w:val="14"/>
              </w:rPr>
            </w:pPr>
            <w:r>
              <w:rPr>
                <w:color w:val="231F20"/>
                <w:spacing w:val="-5"/>
                <w:w w:val="95"/>
                <w:sz w:val="14"/>
              </w:rPr>
              <w:t>3.7</w:t>
            </w:r>
          </w:p>
        </w:tc>
        <w:tc>
          <w:tcPr>
            <w:tcW w:w="1080" w:type="dxa"/>
          </w:tcPr>
          <w:p>
            <w:pPr>
              <w:pStyle w:val="TableParagraph"/>
              <w:ind w:left="392"/>
              <w:jc w:val="left"/>
              <w:rPr>
                <w:sz w:val="14"/>
              </w:rPr>
            </w:pPr>
            <w:r>
              <w:rPr>
                <w:color w:val="231F20"/>
                <w:spacing w:val="-5"/>
                <w:w w:val="95"/>
                <w:sz w:val="14"/>
              </w:rPr>
              <w:t>2.5</w:t>
            </w:r>
          </w:p>
        </w:tc>
        <w:tc>
          <w:tcPr>
            <w:tcW w:w="755" w:type="dxa"/>
          </w:tcPr>
          <w:p>
            <w:pPr>
              <w:pStyle w:val="TableParagraph"/>
              <w:ind w:left="86" w:right="51"/>
              <w:rPr>
                <w:sz w:val="14"/>
              </w:rPr>
            </w:pPr>
            <w:r>
              <w:rPr>
                <w:color w:val="231F20"/>
                <w:spacing w:val="-5"/>
                <w:w w:val="95"/>
                <w:sz w:val="14"/>
              </w:rPr>
              <w:t>5.5</w:t>
            </w:r>
          </w:p>
        </w:tc>
        <w:tc>
          <w:tcPr>
            <w:tcW w:w="240" w:type="dxa"/>
          </w:tcPr>
          <w:p>
            <w:pPr>
              <w:pStyle w:val="TableParagraph"/>
              <w:spacing w:before="0"/>
              <w:jc w:val="left"/>
              <w:rPr>
                <w:rFonts w:ascii="Times New Roman"/>
                <w:sz w:val="12"/>
              </w:rPr>
            </w:pPr>
          </w:p>
        </w:tc>
        <w:tc>
          <w:tcPr>
            <w:tcW w:w="851" w:type="dxa"/>
          </w:tcPr>
          <w:p>
            <w:pPr>
              <w:pStyle w:val="TableParagraph"/>
              <w:ind w:left="83" w:right="136"/>
              <w:rPr>
                <w:sz w:val="14"/>
              </w:rPr>
            </w:pPr>
            <w:r>
              <w:rPr>
                <w:color w:val="231F20"/>
                <w:spacing w:val="-5"/>
                <w:w w:val="95"/>
                <w:sz w:val="14"/>
              </w:rPr>
              <w:t>4.0</w:t>
            </w:r>
          </w:p>
        </w:tc>
        <w:tc>
          <w:tcPr>
            <w:tcW w:w="1073" w:type="dxa"/>
          </w:tcPr>
          <w:p>
            <w:pPr>
              <w:pStyle w:val="TableParagraph"/>
              <w:ind w:left="79" w:right="63"/>
              <w:rPr>
                <w:sz w:val="14"/>
              </w:rPr>
            </w:pPr>
            <w:r>
              <w:rPr>
                <w:color w:val="231F20"/>
                <w:spacing w:val="-5"/>
                <w:w w:val="95"/>
                <w:sz w:val="14"/>
              </w:rPr>
              <w:t>3.5</w:t>
            </w:r>
          </w:p>
        </w:tc>
        <w:tc>
          <w:tcPr>
            <w:tcW w:w="935" w:type="dxa"/>
          </w:tcPr>
          <w:p>
            <w:pPr>
              <w:pStyle w:val="TableParagraph"/>
              <w:ind w:left="30" w:right="28"/>
              <w:rPr>
                <w:sz w:val="14"/>
              </w:rPr>
            </w:pPr>
            <w:r>
              <w:rPr>
                <w:color w:val="231F20"/>
                <w:spacing w:val="-5"/>
                <w:w w:val="95"/>
                <w:sz w:val="14"/>
              </w:rPr>
              <w:t>2.3</w:t>
            </w:r>
          </w:p>
        </w:tc>
        <w:tc>
          <w:tcPr>
            <w:tcW w:w="1008" w:type="dxa"/>
          </w:tcPr>
          <w:p>
            <w:pPr>
              <w:pStyle w:val="TableParagraph"/>
              <w:ind w:right="389"/>
              <w:jc w:val="right"/>
              <w:rPr>
                <w:sz w:val="14"/>
              </w:rPr>
            </w:pPr>
            <w:r>
              <w:rPr>
                <w:color w:val="231F20"/>
                <w:spacing w:val="-5"/>
                <w:w w:val="95"/>
                <w:sz w:val="14"/>
              </w:rPr>
              <w:t>4.9</w:t>
            </w:r>
          </w:p>
        </w:tc>
      </w:tr>
      <w:tr>
        <w:trPr>
          <w:trHeight w:val="259" w:hRule="atLeast"/>
        </w:trPr>
        <w:tc>
          <w:tcPr>
            <w:tcW w:w="1311" w:type="dxa"/>
            <w:shd w:val="clear" w:color="auto" w:fill="D4E3F5"/>
          </w:tcPr>
          <w:p>
            <w:pPr>
              <w:pStyle w:val="TableParagraph"/>
              <w:ind w:left="80"/>
              <w:jc w:val="left"/>
              <w:rPr>
                <w:sz w:val="14"/>
              </w:rPr>
            </w:pPr>
            <w:r>
              <w:rPr>
                <w:color w:val="231F20"/>
                <w:spacing w:val="-4"/>
                <w:w w:val="85"/>
                <w:sz w:val="14"/>
              </w:rPr>
              <w:t>Spain</w:t>
            </w:r>
          </w:p>
        </w:tc>
        <w:tc>
          <w:tcPr>
            <w:tcW w:w="1150" w:type="dxa"/>
            <w:shd w:val="clear" w:color="auto" w:fill="D4E3F5"/>
          </w:tcPr>
          <w:p>
            <w:pPr>
              <w:pStyle w:val="TableParagraph"/>
              <w:ind w:right="434"/>
              <w:jc w:val="right"/>
              <w:rPr>
                <w:sz w:val="14"/>
              </w:rPr>
            </w:pPr>
            <w:r>
              <w:rPr>
                <w:color w:val="231F20"/>
                <w:spacing w:val="-2"/>
                <w:w w:val="95"/>
                <w:sz w:val="14"/>
              </w:rPr>
              <w:t>39,144</w:t>
            </w:r>
          </w:p>
        </w:tc>
        <w:tc>
          <w:tcPr>
            <w:tcW w:w="851" w:type="dxa"/>
            <w:shd w:val="clear" w:color="auto" w:fill="D4E3F5"/>
          </w:tcPr>
          <w:p>
            <w:pPr>
              <w:pStyle w:val="TableParagraph"/>
              <w:ind w:left="84" w:right="136"/>
              <w:rPr>
                <w:sz w:val="14"/>
              </w:rPr>
            </w:pPr>
            <w:r>
              <w:rPr>
                <w:color w:val="231F20"/>
                <w:spacing w:val="-5"/>
                <w:w w:val="95"/>
                <w:sz w:val="14"/>
              </w:rPr>
              <w:t>8.5</w:t>
            </w:r>
          </w:p>
        </w:tc>
        <w:tc>
          <w:tcPr>
            <w:tcW w:w="1063" w:type="dxa"/>
            <w:shd w:val="clear" w:color="auto" w:fill="D4E3F5"/>
          </w:tcPr>
          <w:p>
            <w:pPr>
              <w:pStyle w:val="TableParagraph"/>
              <w:ind w:left="76" w:right="53"/>
              <w:rPr>
                <w:sz w:val="14"/>
              </w:rPr>
            </w:pPr>
            <w:r>
              <w:rPr>
                <w:color w:val="231F20"/>
                <w:spacing w:val="-5"/>
                <w:w w:val="95"/>
                <w:sz w:val="14"/>
              </w:rPr>
              <w:t>5.9</w:t>
            </w:r>
          </w:p>
        </w:tc>
        <w:tc>
          <w:tcPr>
            <w:tcW w:w="1080" w:type="dxa"/>
            <w:shd w:val="clear" w:color="auto" w:fill="D4E3F5"/>
          </w:tcPr>
          <w:p>
            <w:pPr>
              <w:pStyle w:val="TableParagraph"/>
              <w:ind w:left="391"/>
              <w:jc w:val="left"/>
              <w:rPr>
                <w:sz w:val="14"/>
              </w:rPr>
            </w:pPr>
            <w:r>
              <w:rPr>
                <w:color w:val="231F20"/>
                <w:spacing w:val="-5"/>
                <w:w w:val="95"/>
                <w:sz w:val="14"/>
              </w:rPr>
              <w:t>3.2</w:t>
            </w:r>
          </w:p>
        </w:tc>
        <w:tc>
          <w:tcPr>
            <w:tcW w:w="755" w:type="dxa"/>
            <w:shd w:val="clear" w:color="auto" w:fill="D4E3F5"/>
          </w:tcPr>
          <w:p>
            <w:pPr>
              <w:pStyle w:val="TableParagraph"/>
              <w:ind w:left="48" w:right="73"/>
              <w:rPr>
                <w:sz w:val="14"/>
              </w:rPr>
            </w:pPr>
            <w:r>
              <w:rPr>
                <w:color w:val="231F20"/>
                <w:spacing w:val="-4"/>
                <w:w w:val="95"/>
                <w:sz w:val="14"/>
              </w:rPr>
              <w:t>10.9</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92" w:right="136"/>
              <w:rPr>
                <w:sz w:val="14"/>
              </w:rPr>
            </w:pPr>
            <w:r>
              <w:rPr>
                <w:color w:val="231F20"/>
                <w:spacing w:val="-5"/>
                <w:w w:val="95"/>
                <w:sz w:val="14"/>
              </w:rPr>
              <w:t>7.7</w:t>
            </w:r>
          </w:p>
        </w:tc>
        <w:tc>
          <w:tcPr>
            <w:tcW w:w="1073" w:type="dxa"/>
            <w:shd w:val="clear" w:color="auto" w:fill="D4E3F5"/>
          </w:tcPr>
          <w:p>
            <w:pPr>
              <w:pStyle w:val="TableParagraph"/>
              <w:ind w:left="78" w:right="63"/>
              <w:rPr>
                <w:sz w:val="14"/>
              </w:rPr>
            </w:pPr>
            <w:r>
              <w:rPr>
                <w:color w:val="231F20"/>
                <w:spacing w:val="-5"/>
                <w:w w:val="95"/>
                <w:sz w:val="14"/>
              </w:rPr>
              <w:t>5.5</w:t>
            </w:r>
          </w:p>
        </w:tc>
        <w:tc>
          <w:tcPr>
            <w:tcW w:w="935" w:type="dxa"/>
            <w:shd w:val="clear" w:color="auto" w:fill="D4E3F5"/>
          </w:tcPr>
          <w:p>
            <w:pPr>
              <w:pStyle w:val="TableParagraph"/>
              <w:ind w:left="29" w:right="28"/>
              <w:rPr>
                <w:sz w:val="14"/>
              </w:rPr>
            </w:pPr>
            <w:r>
              <w:rPr>
                <w:color w:val="231F20"/>
                <w:spacing w:val="-5"/>
                <w:w w:val="95"/>
                <w:sz w:val="14"/>
              </w:rPr>
              <w:t>2.9</w:t>
            </w:r>
          </w:p>
        </w:tc>
        <w:tc>
          <w:tcPr>
            <w:tcW w:w="1008" w:type="dxa"/>
            <w:shd w:val="clear" w:color="auto" w:fill="D4E3F5"/>
          </w:tcPr>
          <w:p>
            <w:pPr>
              <w:pStyle w:val="TableParagraph"/>
              <w:ind w:right="394"/>
              <w:jc w:val="right"/>
              <w:rPr>
                <w:sz w:val="14"/>
              </w:rPr>
            </w:pPr>
            <w:r>
              <w:rPr>
                <w:color w:val="231F20"/>
                <w:spacing w:val="-5"/>
                <w:w w:val="95"/>
                <w:sz w:val="14"/>
              </w:rPr>
              <w:t>9.7</w:t>
            </w:r>
          </w:p>
        </w:tc>
      </w:tr>
      <w:tr>
        <w:trPr>
          <w:trHeight w:val="259" w:hRule="atLeast"/>
        </w:trPr>
        <w:tc>
          <w:tcPr>
            <w:tcW w:w="1311" w:type="dxa"/>
          </w:tcPr>
          <w:p>
            <w:pPr>
              <w:pStyle w:val="TableParagraph"/>
              <w:ind w:left="80"/>
              <w:jc w:val="left"/>
              <w:rPr>
                <w:sz w:val="14"/>
              </w:rPr>
            </w:pPr>
            <w:r>
              <w:rPr>
                <w:color w:val="231F20"/>
                <w:w w:val="75"/>
                <w:sz w:val="14"/>
              </w:rPr>
              <w:t>Sri</w:t>
            </w:r>
            <w:r>
              <w:rPr>
                <w:color w:val="231F20"/>
                <w:sz w:val="14"/>
              </w:rPr>
              <w:t> </w:t>
            </w:r>
            <w:r>
              <w:rPr>
                <w:color w:val="231F20"/>
                <w:spacing w:val="-2"/>
                <w:w w:val="85"/>
                <w:sz w:val="14"/>
              </w:rPr>
              <w:t>Lanka</w:t>
            </w:r>
          </w:p>
        </w:tc>
        <w:tc>
          <w:tcPr>
            <w:tcW w:w="1150" w:type="dxa"/>
          </w:tcPr>
          <w:p>
            <w:pPr>
              <w:pStyle w:val="TableParagraph"/>
              <w:ind w:right="435"/>
              <w:jc w:val="right"/>
              <w:rPr>
                <w:sz w:val="14"/>
              </w:rPr>
            </w:pPr>
            <w:r>
              <w:rPr>
                <w:color w:val="231F20"/>
                <w:spacing w:val="-2"/>
                <w:w w:val="95"/>
                <w:sz w:val="14"/>
              </w:rPr>
              <w:t>7,197</w:t>
            </w:r>
          </w:p>
        </w:tc>
        <w:tc>
          <w:tcPr>
            <w:tcW w:w="851" w:type="dxa"/>
          </w:tcPr>
          <w:p>
            <w:pPr>
              <w:pStyle w:val="TableParagraph"/>
              <w:ind w:left="77" w:right="136"/>
              <w:rPr>
                <w:sz w:val="14"/>
              </w:rPr>
            </w:pPr>
            <w:r>
              <w:rPr>
                <w:color w:val="231F20"/>
                <w:spacing w:val="-5"/>
                <w:w w:val="95"/>
                <w:sz w:val="14"/>
              </w:rPr>
              <w:t>5.7</w:t>
            </w:r>
          </w:p>
        </w:tc>
        <w:tc>
          <w:tcPr>
            <w:tcW w:w="1063" w:type="dxa"/>
          </w:tcPr>
          <w:p>
            <w:pPr>
              <w:pStyle w:val="TableParagraph"/>
              <w:ind w:left="77" w:right="53"/>
              <w:rPr>
                <w:sz w:val="14"/>
              </w:rPr>
            </w:pPr>
            <w:r>
              <w:rPr>
                <w:color w:val="231F20"/>
                <w:spacing w:val="-5"/>
                <w:w w:val="95"/>
                <w:sz w:val="14"/>
              </w:rPr>
              <w:t>3.6</w:t>
            </w:r>
          </w:p>
        </w:tc>
        <w:tc>
          <w:tcPr>
            <w:tcW w:w="1080" w:type="dxa"/>
          </w:tcPr>
          <w:p>
            <w:pPr>
              <w:pStyle w:val="TableParagraph"/>
              <w:ind w:left="392"/>
              <w:jc w:val="left"/>
              <w:rPr>
                <w:sz w:val="14"/>
              </w:rPr>
            </w:pPr>
            <w:r>
              <w:rPr>
                <w:color w:val="231F20"/>
                <w:spacing w:val="-5"/>
                <w:w w:val="95"/>
                <w:sz w:val="14"/>
              </w:rPr>
              <w:t>2.0</w:t>
            </w:r>
          </w:p>
        </w:tc>
        <w:tc>
          <w:tcPr>
            <w:tcW w:w="755" w:type="dxa"/>
          </w:tcPr>
          <w:p>
            <w:pPr>
              <w:pStyle w:val="TableParagraph"/>
              <w:ind w:left="86" w:right="51"/>
              <w:rPr>
                <w:sz w:val="14"/>
              </w:rPr>
            </w:pPr>
            <w:r>
              <w:rPr>
                <w:color w:val="231F20"/>
                <w:spacing w:val="-5"/>
                <w:w w:val="95"/>
                <w:sz w:val="14"/>
              </w:rPr>
              <w:t>5.9</w:t>
            </w:r>
          </w:p>
        </w:tc>
        <w:tc>
          <w:tcPr>
            <w:tcW w:w="240" w:type="dxa"/>
          </w:tcPr>
          <w:p>
            <w:pPr>
              <w:pStyle w:val="TableParagraph"/>
              <w:spacing w:before="0"/>
              <w:jc w:val="left"/>
              <w:rPr>
                <w:rFonts w:ascii="Times New Roman"/>
                <w:sz w:val="12"/>
              </w:rPr>
            </w:pPr>
          </w:p>
        </w:tc>
        <w:tc>
          <w:tcPr>
            <w:tcW w:w="851" w:type="dxa"/>
          </w:tcPr>
          <w:p>
            <w:pPr>
              <w:pStyle w:val="TableParagraph"/>
              <w:ind w:left="78" w:right="136"/>
              <w:rPr>
                <w:sz w:val="14"/>
              </w:rPr>
            </w:pPr>
            <w:r>
              <w:rPr>
                <w:color w:val="231F20"/>
                <w:spacing w:val="-5"/>
                <w:w w:val="95"/>
                <w:sz w:val="14"/>
              </w:rPr>
              <w:t>5.7</w:t>
            </w:r>
          </w:p>
        </w:tc>
        <w:tc>
          <w:tcPr>
            <w:tcW w:w="1073" w:type="dxa"/>
          </w:tcPr>
          <w:p>
            <w:pPr>
              <w:pStyle w:val="TableParagraph"/>
              <w:ind w:left="77" w:right="63"/>
              <w:rPr>
                <w:sz w:val="14"/>
              </w:rPr>
            </w:pPr>
            <w:r>
              <w:rPr>
                <w:color w:val="231F20"/>
                <w:spacing w:val="-5"/>
                <w:w w:val="95"/>
                <w:sz w:val="14"/>
              </w:rPr>
              <w:t>3.6</w:t>
            </w:r>
          </w:p>
        </w:tc>
        <w:tc>
          <w:tcPr>
            <w:tcW w:w="935" w:type="dxa"/>
          </w:tcPr>
          <w:p>
            <w:pPr>
              <w:pStyle w:val="TableParagraph"/>
              <w:ind w:left="30" w:right="28"/>
              <w:rPr>
                <w:sz w:val="14"/>
              </w:rPr>
            </w:pPr>
            <w:r>
              <w:rPr>
                <w:color w:val="231F20"/>
                <w:spacing w:val="-5"/>
                <w:w w:val="95"/>
                <w:sz w:val="14"/>
              </w:rPr>
              <w:t>2.0</w:t>
            </w:r>
          </w:p>
        </w:tc>
        <w:tc>
          <w:tcPr>
            <w:tcW w:w="1008" w:type="dxa"/>
          </w:tcPr>
          <w:p>
            <w:pPr>
              <w:pStyle w:val="TableParagraph"/>
              <w:ind w:right="389"/>
              <w:jc w:val="right"/>
              <w:rPr>
                <w:sz w:val="14"/>
              </w:rPr>
            </w:pPr>
            <w:r>
              <w:rPr>
                <w:color w:val="231F20"/>
                <w:spacing w:val="-5"/>
                <w:w w:val="95"/>
                <w:sz w:val="14"/>
              </w:rPr>
              <w:t>5.9</w:t>
            </w:r>
          </w:p>
        </w:tc>
      </w:tr>
      <w:tr>
        <w:trPr>
          <w:trHeight w:val="259" w:hRule="atLeast"/>
        </w:trPr>
        <w:tc>
          <w:tcPr>
            <w:tcW w:w="1311" w:type="dxa"/>
            <w:shd w:val="clear" w:color="auto" w:fill="D4E3F5"/>
          </w:tcPr>
          <w:p>
            <w:pPr>
              <w:pStyle w:val="TableParagraph"/>
              <w:ind w:left="80"/>
              <w:jc w:val="left"/>
              <w:rPr>
                <w:sz w:val="14"/>
              </w:rPr>
            </w:pPr>
            <w:r>
              <w:rPr>
                <w:color w:val="231F20"/>
                <w:w w:val="75"/>
                <w:sz w:val="14"/>
              </w:rPr>
              <w:t>St.</w:t>
            </w:r>
            <w:r>
              <w:rPr>
                <w:color w:val="231F20"/>
                <w:spacing w:val="8"/>
                <w:sz w:val="14"/>
              </w:rPr>
              <w:t> </w:t>
            </w:r>
            <w:r>
              <w:rPr>
                <w:color w:val="231F20"/>
                <w:w w:val="75"/>
                <w:sz w:val="14"/>
              </w:rPr>
              <w:t>Kitts</w:t>
            </w:r>
            <w:r>
              <w:rPr>
                <w:color w:val="231F20"/>
                <w:spacing w:val="8"/>
                <w:sz w:val="14"/>
              </w:rPr>
              <w:t> </w:t>
            </w:r>
            <w:r>
              <w:rPr>
                <w:color w:val="231F20"/>
                <w:w w:val="75"/>
                <w:sz w:val="14"/>
              </w:rPr>
              <w:t>and</w:t>
            </w:r>
            <w:r>
              <w:rPr>
                <w:color w:val="231F20"/>
                <w:spacing w:val="8"/>
                <w:sz w:val="14"/>
              </w:rPr>
              <w:t> </w:t>
            </w:r>
            <w:r>
              <w:rPr>
                <w:color w:val="231F20"/>
                <w:spacing w:val="-2"/>
                <w:w w:val="75"/>
                <w:sz w:val="14"/>
              </w:rPr>
              <w:t>Nevis</w:t>
            </w:r>
          </w:p>
        </w:tc>
        <w:tc>
          <w:tcPr>
            <w:tcW w:w="1150" w:type="dxa"/>
            <w:shd w:val="clear" w:color="auto" w:fill="D4E3F5"/>
          </w:tcPr>
          <w:p>
            <w:pPr>
              <w:pStyle w:val="TableParagraph"/>
              <w:ind w:right="436"/>
              <w:jc w:val="right"/>
              <w:rPr>
                <w:sz w:val="14"/>
              </w:rPr>
            </w:pPr>
            <w:r>
              <w:rPr>
                <w:color w:val="231F20"/>
                <w:spacing w:val="-10"/>
                <w:w w:val="95"/>
                <w:sz w:val="14"/>
              </w:rPr>
              <w:t>5</w:t>
            </w:r>
          </w:p>
        </w:tc>
        <w:tc>
          <w:tcPr>
            <w:tcW w:w="851" w:type="dxa"/>
            <w:shd w:val="clear" w:color="auto" w:fill="D4E3F5"/>
          </w:tcPr>
          <w:p>
            <w:pPr>
              <w:pStyle w:val="TableParagraph"/>
              <w:ind w:left="82" w:right="136"/>
              <w:rPr>
                <w:sz w:val="14"/>
              </w:rPr>
            </w:pPr>
            <w:r>
              <w:rPr>
                <w:color w:val="231F20"/>
                <w:spacing w:val="-5"/>
                <w:w w:val="95"/>
                <w:sz w:val="14"/>
              </w:rPr>
              <w:t>5.0</w:t>
            </w:r>
          </w:p>
        </w:tc>
        <w:tc>
          <w:tcPr>
            <w:tcW w:w="1063" w:type="dxa"/>
            <w:shd w:val="clear" w:color="auto" w:fill="D4E3F5"/>
          </w:tcPr>
          <w:p>
            <w:pPr>
              <w:pStyle w:val="TableParagraph"/>
              <w:ind w:left="78" w:right="53"/>
              <w:rPr>
                <w:sz w:val="14"/>
              </w:rPr>
            </w:pPr>
            <w:r>
              <w:rPr>
                <w:color w:val="231F20"/>
                <w:spacing w:val="-5"/>
                <w:w w:val="95"/>
                <w:sz w:val="14"/>
              </w:rPr>
              <w:t>3.9</w:t>
            </w:r>
          </w:p>
        </w:tc>
        <w:tc>
          <w:tcPr>
            <w:tcW w:w="1080" w:type="dxa"/>
            <w:shd w:val="clear" w:color="auto" w:fill="D4E3F5"/>
          </w:tcPr>
          <w:p>
            <w:pPr>
              <w:pStyle w:val="TableParagraph"/>
              <w:ind w:left="391"/>
              <w:jc w:val="left"/>
              <w:rPr>
                <w:sz w:val="14"/>
              </w:rPr>
            </w:pPr>
            <w:r>
              <w:rPr>
                <w:color w:val="231F20"/>
                <w:spacing w:val="-5"/>
                <w:w w:val="95"/>
                <w:sz w:val="14"/>
              </w:rPr>
              <w:t>3.4</w:t>
            </w:r>
          </w:p>
        </w:tc>
        <w:tc>
          <w:tcPr>
            <w:tcW w:w="755" w:type="dxa"/>
            <w:shd w:val="clear" w:color="auto" w:fill="D4E3F5"/>
          </w:tcPr>
          <w:p>
            <w:pPr>
              <w:pStyle w:val="TableParagraph"/>
              <w:ind w:left="87" w:right="51"/>
              <w:rPr>
                <w:sz w:val="14"/>
              </w:rPr>
            </w:pPr>
            <w:r>
              <w:rPr>
                <w:color w:val="231F20"/>
                <w:spacing w:val="-5"/>
                <w:w w:val="95"/>
                <w:sz w:val="14"/>
              </w:rPr>
              <w:t>4.0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4" w:right="136"/>
              <w:rPr>
                <w:sz w:val="14"/>
              </w:rPr>
            </w:pPr>
            <w:r>
              <w:rPr>
                <w:color w:val="231F20"/>
                <w:spacing w:val="-5"/>
                <w:w w:val="95"/>
                <w:sz w:val="14"/>
              </w:rPr>
              <w:t>0.5</w:t>
            </w:r>
          </w:p>
        </w:tc>
        <w:tc>
          <w:tcPr>
            <w:tcW w:w="1073" w:type="dxa"/>
            <w:shd w:val="clear" w:color="auto" w:fill="D4E3F5"/>
          </w:tcPr>
          <w:p>
            <w:pPr>
              <w:pStyle w:val="TableParagraph"/>
              <w:ind w:left="76" w:right="63"/>
              <w:rPr>
                <w:sz w:val="14"/>
              </w:rPr>
            </w:pPr>
            <w:r>
              <w:rPr>
                <w:color w:val="231F20"/>
                <w:spacing w:val="-5"/>
                <w:w w:val="95"/>
                <w:sz w:val="14"/>
              </w:rPr>
              <w:t>0.4</w:t>
            </w:r>
          </w:p>
        </w:tc>
        <w:tc>
          <w:tcPr>
            <w:tcW w:w="935" w:type="dxa"/>
            <w:shd w:val="clear" w:color="auto" w:fill="D4E3F5"/>
          </w:tcPr>
          <w:p>
            <w:pPr>
              <w:pStyle w:val="TableParagraph"/>
              <w:ind w:left="28" w:right="28"/>
              <w:rPr>
                <w:sz w:val="14"/>
              </w:rPr>
            </w:pPr>
            <w:r>
              <w:rPr>
                <w:color w:val="231F20"/>
                <w:spacing w:val="-5"/>
                <w:w w:val="95"/>
                <w:sz w:val="14"/>
              </w:rPr>
              <w:t>0.4</w:t>
            </w:r>
          </w:p>
        </w:tc>
        <w:tc>
          <w:tcPr>
            <w:tcW w:w="1008" w:type="dxa"/>
            <w:shd w:val="clear" w:color="auto" w:fill="D4E3F5"/>
          </w:tcPr>
          <w:p>
            <w:pPr>
              <w:pStyle w:val="TableParagraph"/>
              <w:ind w:right="391"/>
              <w:jc w:val="right"/>
              <w:rPr>
                <w:sz w:val="14"/>
              </w:rPr>
            </w:pPr>
            <w:r>
              <w:rPr>
                <w:color w:val="231F20"/>
                <w:spacing w:val="-5"/>
                <w:w w:val="95"/>
                <w:sz w:val="14"/>
              </w:rPr>
              <w:t>0.4</w:t>
            </w:r>
          </w:p>
        </w:tc>
      </w:tr>
      <w:tr>
        <w:trPr>
          <w:trHeight w:val="259" w:hRule="atLeast"/>
        </w:trPr>
        <w:tc>
          <w:tcPr>
            <w:tcW w:w="1311" w:type="dxa"/>
          </w:tcPr>
          <w:p>
            <w:pPr>
              <w:pStyle w:val="TableParagraph"/>
              <w:ind w:left="80"/>
              <w:jc w:val="left"/>
              <w:rPr>
                <w:sz w:val="14"/>
              </w:rPr>
            </w:pPr>
            <w:r>
              <w:rPr>
                <w:color w:val="231F20"/>
                <w:w w:val="75"/>
                <w:sz w:val="14"/>
              </w:rPr>
              <w:t>St.</w:t>
            </w:r>
            <w:r>
              <w:rPr>
                <w:color w:val="231F20"/>
                <w:spacing w:val="4"/>
                <w:sz w:val="14"/>
              </w:rPr>
              <w:t> </w:t>
            </w:r>
            <w:r>
              <w:rPr>
                <w:color w:val="231F20"/>
                <w:spacing w:val="-2"/>
                <w:w w:val="85"/>
                <w:sz w:val="14"/>
              </w:rPr>
              <w:t>Lucia</w:t>
            </w:r>
          </w:p>
        </w:tc>
        <w:tc>
          <w:tcPr>
            <w:tcW w:w="1150" w:type="dxa"/>
          </w:tcPr>
          <w:p>
            <w:pPr>
              <w:pStyle w:val="TableParagraph"/>
              <w:ind w:right="436"/>
              <w:jc w:val="right"/>
              <w:rPr>
                <w:sz w:val="14"/>
              </w:rPr>
            </w:pPr>
            <w:r>
              <w:rPr>
                <w:color w:val="231F20"/>
                <w:spacing w:val="-10"/>
                <w:w w:val="95"/>
                <w:sz w:val="14"/>
              </w:rPr>
              <w:t>1</w:t>
            </w:r>
          </w:p>
        </w:tc>
        <w:tc>
          <w:tcPr>
            <w:tcW w:w="851" w:type="dxa"/>
          </w:tcPr>
          <w:p>
            <w:pPr>
              <w:pStyle w:val="TableParagraph"/>
              <w:ind w:left="83" w:right="136"/>
              <w:rPr>
                <w:sz w:val="14"/>
              </w:rPr>
            </w:pPr>
            <w:r>
              <w:rPr>
                <w:color w:val="231F20"/>
                <w:spacing w:val="-5"/>
                <w:w w:val="95"/>
                <w:sz w:val="14"/>
              </w:rPr>
              <w:t>9.5</w:t>
            </w:r>
          </w:p>
        </w:tc>
        <w:tc>
          <w:tcPr>
            <w:tcW w:w="1063" w:type="dxa"/>
          </w:tcPr>
          <w:p>
            <w:pPr>
              <w:pStyle w:val="TableParagraph"/>
              <w:ind w:left="78" w:right="53"/>
              <w:rPr>
                <w:sz w:val="14"/>
              </w:rPr>
            </w:pPr>
            <w:r>
              <w:rPr>
                <w:color w:val="231F20"/>
                <w:spacing w:val="-5"/>
                <w:w w:val="95"/>
                <w:sz w:val="14"/>
              </w:rPr>
              <w:t>9.5</w:t>
            </w:r>
          </w:p>
        </w:tc>
        <w:tc>
          <w:tcPr>
            <w:tcW w:w="1080" w:type="dxa"/>
          </w:tcPr>
          <w:p>
            <w:pPr>
              <w:pStyle w:val="TableParagraph"/>
              <w:ind w:left="392"/>
              <w:jc w:val="left"/>
              <w:rPr>
                <w:sz w:val="14"/>
              </w:rPr>
            </w:pPr>
            <w:r>
              <w:rPr>
                <w:color w:val="231F20"/>
                <w:spacing w:val="-5"/>
                <w:w w:val="95"/>
                <w:sz w:val="14"/>
              </w:rPr>
              <w:t>9.5</w:t>
            </w:r>
          </w:p>
        </w:tc>
        <w:tc>
          <w:tcPr>
            <w:tcW w:w="755" w:type="dxa"/>
          </w:tcPr>
          <w:p>
            <w:pPr>
              <w:pStyle w:val="TableParagraph"/>
              <w:ind w:left="87" w:right="51"/>
              <w:rPr>
                <w:sz w:val="14"/>
              </w:rPr>
            </w:pPr>
            <w:r>
              <w:rPr>
                <w:color w:val="231F20"/>
                <w:spacing w:val="-5"/>
                <w:w w:val="95"/>
                <w:sz w:val="14"/>
              </w:rPr>
              <w:t>9.5</w:t>
            </w:r>
          </w:p>
        </w:tc>
        <w:tc>
          <w:tcPr>
            <w:tcW w:w="240" w:type="dxa"/>
          </w:tcPr>
          <w:p>
            <w:pPr>
              <w:pStyle w:val="TableParagraph"/>
              <w:spacing w:before="0"/>
              <w:jc w:val="left"/>
              <w:rPr>
                <w:rFonts w:ascii="Times New Roman"/>
                <w:sz w:val="12"/>
              </w:rPr>
            </w:pPr>
          </w:p>
        </w:tc>
        <w:tc>
          <w:tcPr>
            <w:tcW w:w="851" w:type="dxa"/>
          </w:tcPr>
          <w:p>
            <w:pPr>
              <w:pStyle w:val="TableParagraph"/>
              <w:ind w:left="84" w:right="136"/>
              <w:rPr>
                <w:sz w:val="14"/>
              </w:rPr>
            </w:pPr>
            <w:r>
              <w:rPr>
                <w:color w:val="231F20"/>
                <w:spacing w:val="-5"/>
                <w:w w:val="95"/>
                <w:sz w:val="14"/>
              </w:rPr>
              <w:t>0.5</w:t>
            </w:r>
          </w:p>
        </w:tc>
        <w:tc>
          <w:tcPr>
            <w:tcW w:w="1073" w:type="dxa"/>
          </w:tcPr>
          <w:p>
            <w:pPr>
              <w:pStyle w:val="TableParagraph"/>
              <w:ind w:left="78" w:right="63"/>
              <w:rPr>
                <w:sz w:val="14"/>
              </w:rPr>
            </w:pPr>
            <w:r>
              <w:rPr>
                <w:color w:val="231F20"/>
                <w:spacing w:val="-5"/>
                <w:w w:val="95"/>
                <w:sz w:val="14"/>
              </w:rPr>
              <w:t>0.5</w:t>
            </w:r>
          </w:p>
        </w:tc>
        <w:tc>
          <w:tcPr>
            <w:tcW w:w="935" w:type="dxa"/>
          </w:tcPr>
          <w:p>
            <w:pPr>
              <w:pStyle w:val="TableParagraph"/>
              <w:ind w:left="30" w:right="28"/>
              <w:rPr>
                <w:sz w:val="14"/>
              </w:rPr>
            </w:pPr>
            <w:r>
              <w:rPr>
                <w:color w:val="231F20"/>
                <w:spacing w:val="-5"/>
                <w:w w:val="95"/>
                <w:sz w:val="14"/>
              </w:rPr>
              <w:t>0.5</w:t>
            </w:r>
          </w:p>
        </w:tc>
        <w:tc>
          <w:tcPr>
            <w:tcW w:w="1008" w:type="dxa"/>
          </w:tcPr>
          <w:p>
            <w:pPr>
              <w:pStyle w:val="TableParagraph"/>
              <w:ind w:right="389"/>
              <w:jc w:val="right"/>
              <w:rPr>
                <w:sz w:val="14"/>
              </w:rPr>
            </w:pPr>
            <w:r>
              <w:rPr>
                <w:color w:val="231F20"/>
                <w:spacing w:val="-5"/>
                <w:w w:val="95"/>
                <w:sz w:val="14"/>
              </w:rPr>
              <w:t>0.5</w:t>
            </w:r>
          </w:p>
        </w:tc>
      </w:tr>
      <w:tr>
        <w:trPr>
          <w:trHeight w:val="419" w:hRule="atLeast"/>
        </w:trPr>
        <w:tc>
          <w:tcPr>
            <w:tcW w:w="1311" w:type="dxa"/>
            <w:shd w:val="clear" w:color="auto" w:fill="D4E3F5"/>
          </w:tcPr>
          <w:p>
            <w:pPr>
              <w:pStyle w:val="TableParagraph"/>
              <w:ind w:left="80" w:right="339"/>
              <w:jc w:val="left"/>
              <w:rPr>
                <w:sz w:val="14"/>
              </w:rPr>
            </w:pPr>
            <w:r>
              <w:rPr>
                <w:color w:val="231F20"/>
                <w:w w:val="80"/>
                <w:sz w:val="14"/>
              </w:rPr>
              <w:t>St.</w:t>
            </w:r>
            <w:r>
              <w:rPr>
                <w:color w:val="231F20"/>
                <w:spacing w:val="-2"/>
                <w:w w:val="80"/>
                <w:sz w:val="14"/>
              </w:rPr>
              <w:t> </w:t>
            </w:r>
            <w:r>
              <w:rPr>
                <w:color w:val="231F20"/>
                <w:w w:val="80"/>
                <w:sz w:val="14"/>
              </w:rPr>
              <w:t>Vincent</w:t>
            </w:r>
            <w:r>
              <w:rPr>
                <w:color w:val="231F20"/>
                <w:spacing w:val="-2"/>
                <w:w w:val="80"/>
                <w:sz w:val="14"/>
              </w:rPr>
              <w:t> </w:t>
            </w:r>
            <w:r>
              <w:rPr>
                <w:color w:val="231F20"/>
                <w:w w:val="80"/>
                <w:sz w:val="14"/>
              </w:rPr>
              <w:t>and</w:t>
            </w:r>
            <w:r>
              <w:rPr>
                <w:color w:val="231F20"/>
                <w:spacing w:val="40"/>
                <w:sz w:val="14"/>
              </w:rPr>
              <w:t> </w:t>
            </w:r>
            <w:r>
              <w:rPr>
                <w:color w:val="231F20"/>
                <w:w w:val="80"/>
                <w:sz w:val="14"/>
              </w:rPr>
              <w:t>the</w:t>
            </w:r>
            <w:r>
              <w:rPr>
                <w:color w:val="231F20"/>
                <w:spacing w:val="-5"/>
                <w:sz w:val="14"/>
              </w:rPr>
              <w:t> </w:t>
            </w:r>
            <w:r>
              <w:rPr>
                <w:color w:val="231F20"/>
                <w:spacing w:val="-2"/>
                <w:w w:val="75"/>
                <w:sz w:val="14"/>
              </w:rPr>
              <w:t>Grenadines</w:t>
            </w:r>
          </w:p>
        </w:tc>
        <w:tc>
          <w:tcPr>
            <w:tcW w:w="1150" w:type="dxa"/>
            <w:shd w:val="clear" w:color="auto" w:fill="D4E3F5"/>
          </w:tcPr>
          <w:p>
            <w:pPr>
              <w:pStyle w:val="TableParagraph"/>
              <w:spacing w:before="47"/>
              <w:jc w:val="left"/>
              <w:rPr>
                <w:sz w:val="14"/>
              </w:rPr>
            </w:pPr>
          </w:p>
          <w:p>
            <w:pPr>
              <w:pStyle w:val="TableParagraph"/>
              <w:spacing w:before="0"/>
              <w:ind w:right="436"/>
              <w:jc w:val="right"/>
              <w:rPr>
                <w:sz w:val="14"/>
              </w:rPr>
            </w:pPr>
            <w:r>
              <w:rPr>
                <w:color w:val="231F20"/>
                <w:spacing w:val="-10"/>
                <w:w w:val="95"/>
                <w:sz w:val="14"/>
              </w:rPr>
              <w:t>8</w:t>
            </w:r>
          </w:p>
        </w:tc>
        <w:tc>
          <w:tcPr>
            <w:tcW w:w="851" w:type="dxa"/>
            <w:shd w:val="clear" w:color="auto" w:fill="D4E3F5"/>
          </w:tcPr>
          <w:p>
            <w:pPr>
              <w:pStyle w:val="TableParagraph"/>
              <w:spacing w:before="47"/>
              <w:jc w:val="left"/>
              <w:rPr>
                <w:sz w:val="14"/>
              </w:rPr>
            </w:pPr>
          </w:p>
          <w:p>
            <w:pPr>
              <w:pStyle w:val="TableParagraph"/>
              <w:spacing w:before="0"/>
              <w:ind w:left="84" w:right="136"/>
              <w:rPr>
                <w:sz w:val="14"/>
              </w:rPr>
            </w:pPr>
            <w:r>
              <w:rPr>
                <w:color w:val="231F20"/>
                <w:spacing w:val="-5"/>
                <w:w w:val="95"/>
                <w:sz w:val="14"/>
              </w:rPr>
              <w:t>4.3</w:t>
            </w:r>
          </w:p>
        </w:tc>
        <w:tc>
          <w:tcPr>
            <w:tcW w:w="1063" w:type="dxa"/>
            <w:shd w:val="clear" w:color="auto" w:fill="D4E3F5"/>
          </w:tcPr>
          <w:p>
            <w:pPr>
              <w:pStyle w:val="TableParagraph"/>
              <w:spacing w:before="47"/>
              <w:jc w:val="left"/>
              <w:rPr>
                <w:sz w:val="14"/>
              </w:rPr>
            </w:pPr>
          </w:p>
          <w:p>
            <w:pPr>
              <w:pStyle w:val="TableParagraph"/>
              <w:spacing w:before="0"/>
              <w:ind w:left="77" w:right="53"/>
              <w:rPr>
                <w:sz w:val="14"/>
              </w:rPr>
            </w:pPr>
            <w:r>
              <w:rPr>
                <w:color w:val="231F20"/>
                <w:spacing w:val="-5"/>
                <w:w w:val="95"/>
                <w:sz w:val="14"/>
              </w:rPr>
              <w:t>3.6</w:t>
            </w:r>
          </w:p>
        </w:tc>
        <w:tc>
          <w:tcPr>
            <w:tcW w:w="1080" w:type="dxa"/>
            <w:shd w:val="clear" w:color="auto" w:fill="D4E3F5"/>
          </w:tcPr>
          <w:p>
            <w:pPr>
              <w:pStyle w:val="TableParagraph"/>
              <w:spacing w:before="47"/>
              <w:jc w:val="left"/>
              <w:rPr>
                <w:sz w:val="14"/>
              </w:rPr>
            </w:pPr>
          </w:p>
          <w:p>
            <w:pPr>
              <w:pStyle w:val="TableParagraph"/>
              <w:spacing w:before="0"/>
              <w:ind w:left="392"/>
              <w:jc w:val="left"/>
              <w:rPr>
                <w:sz w:val="14"/>
              </w:rPr>
            </w:pPr>
            <w:r>
              <w:rPr>
                <w:color w:val="231F20"/>
                <w:spacing w:val="-5"/>
                <w:w w:val="95"/>
                <w:sz w:val="14"/>
              </w:rPr>
              <w:t>2.4</w:t>
            </w:r>
          </w:p>
        </w:tc>
        <w:tc>
          <w:tcPr>
            <w:tcW w:w="755" w:type="dxa"/>
            <w:shd w:val="clear" w:color="auto" w:fill="D4E3F5"/>
          </w:tcPr>
          <w:p>
            <w:pPr>
              <w:pStyle w:val="TableParagraph"/>
              <w:spacing w:before="47"/>
              <w:jc w:val="left"/>
              <w:rPr>
                <w:sz w:val="14"/>
              </w:rPr>
            </w:pPr>
          </w:p>
          <w:p>
            <w:pPr>
              <w:pStyle w:val="TableParagraph"/>
              <w:spacing w:before="0"/>
              <w:ind w:left="87" w:right="51"/>
              <w:rPr>
                <w:sz w:val="14"/>
              </w:rPr>
            </w:pPr>
            <w:r>
              <w:rPr>
                <w:color w:val="231F20"/>
                <w:spacing w:val="-5"/>
                <w:w w:val="95"/>
                <w:sz w:val="14"/>
              </w:rPr>
              <w:t>5.6</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spacing w:before="47"/>
              <w:jc w:val="left"/>
              <w:rPr>
                <w:sz w:val="14"/>
              </w:rPr>
            </w:pPr>
          </w:p>
          <w:p>
            <w:pPr>
              <w:pStyle w:val="TableParagraph"/>
              <w:spacing w:before="0"/>
              <w:ind w:left="83" w:right="136"/>
              <w:rPr>
                <w:sz w:val="14"/>
              </w:rPr>
            </w:pPr>
            <w:r>
              <w:rPr>
                <w:color w:val="231F20"/>
                <w:spacing w:val="-5"/>
                <w:w w:val="95"/>
                <w:sz w:val="14"/>
              </w:rPr>
              <w:t>0.8</w:t>
            </w:r>
          </w:p>
        </w:tc>
        <w:tc>
          <w:tcPr>
            <w:tcW w:w="1073" w:type="dxa"/>
            <w:shd w:val="clear" w:color="auto" w:fill="D4E3F5"/>
          </w:tcPr>
          <w:p>
            <w:pPr>
              <w:pStyle w:val="TableParagraph"/>
              <w:spacing w:before="47"/>
              <w:jc w:val="left"/>
              <w:rPr>
                <w:sz w:val="14"/>
              </w:rPr>
            </w:pPr>
          </w:p>
          <w:p>
            <w:pPr>
              <w:pStyle w:val="TableParagraph"/>
              <w:spacing w:before="0"/>
              <w:ind w:left="78" w:right="63"/>
              <w:rPr>
                <w:sz w:val="14"/>
              </w:rPr>
            </w:pPr>
            <w:r>
              <w:rPr>
                <w:color w:val="231F20"/>
                <w:spacing w:val="-5"/>
                <w:w w:val="95"/>
                <w:sz w:val="14"/>
              </w:rPr>
              <w:t>0.6</w:t>
            </w:r>
          </w:p>
        </w:tc>
        <w:tc>
          <w:tcPr>
            <w:tcW w:w="935" w:type="dxa"/>
            <w:shd w:val="clear" w:color="auto" w:fill="D4E3F5"/>
          </w:tcPr>
          <w:p>
            <w:pPr>
              <w:pStyle w:val="TableParagraph"/>
              <w:spacing w:before="47"/>
              <w:jc w:val="left"/>
              <w:rPr>
                <w:sz w:val="14"/>
              </w:rPr>
            </w:pPr>
          </w:p>
          <w:p>
            <w:pPr>
              <w:pStyle w:val="TableParagraph"/>
              <w:spacing w:before="0"/>
              <w:ind w:left="30" w:right="28"/>
              <w:rPr>
                <w:sz w:val="14"/>
              </w:rPr>
            </w:pPr>
            <w:r>
              <w:rPr>
                <w:color w:val="231F20"/>
                <w:spacing w:val="-5"/>
                <w:w w:val="95"/>
                <w:sz w:val="14"/>
              </w:rPr>
              <w:t>0.5</w:t>
            </w:r>
          </w:p>
        </w:tc>
        <w:tc>
          <w:tcPr>
            <w:tcW w:w="1008" w:type="dxa"/>
            <w:shd w:val="clear" w:color="auto" w:fill="D4E3F5"/>
          </w:tcPr>
          <w:p>
            <w:pPr>
              <w:pStyle w:val="TableParagraph"/>
              <w:spacing w:before="47"/>
              <w:jc w:val="left"/>
              <w:rPr>
                <w:sz w:val="14"/>
              </w:rPr>
            </w:pPr>
          </w:p>
          <w:p>
            <w:pPr>
              <w:pStyle w:val="TableParagraph"/>
              <w:spacing w:before="0"/>
              <w:ind w:right="390"/>
              <w:jc w:val="right"/>
              <w:rPr>
                <w:sz w:val="14"/>
              </w:rPr>
            </w:pPr>
            <w:r>
              <w:rPr>
                <w:color w:val="231F20"/>
                <w:spacing w:val="-5"/>
                <w:w w:val="95"/>
                <w:sz w:val="14"/>
              </w:rPr>
              <w:t>1.0</w:t>
            </w:r>
          </w:p>
        </w:tc>
      </w:tr>
      <w:tr>
        <w:trPr>
          <w:trHeight w:val="259" w:hRule="atLeast"/>
        </w:trPr>
        <w:tc>
          <w:tcPr>
            <w:tcW w:w="1311" w:type="dxa"/>
          </w:tcPr>
          <w:p>
            <w:pPr>
              <w:pStyle w:val="TableParagraph"/>
              <w:ind w:left="80"/>
              <w:jc w:val="left"/>
              <w:rPr>
                <w:sz w:val="14"/>
              </w:rPr>
            </w:pPr>
            <w:r>
              <w:rPr>
                <w:color w:val="231F20"/>
                <w:spacing w:val="-2"/>
                <w:w w:val="85"/>
                <w:sz w:val="14"/>
              </w:rPr>
              <w:t>Sudan</w:t>
            </w:r>
          </w:p>
        </w:tc>
        <w:tc>
          <w:tcPr>
            <w:tcW w:w="1150" w:type="dxa"/>
          </w:tcPr>
          <w:p>
            <w:pPr>
              <w:pStyle w:val="TableParagraph"/>
              <w:ind w:right="434"/>
              <w:jc w:val="right"/>
              <w:rPr>
                <w:sz w:val="14"/>
              </w:rPr>
            </w:pPr>
            <w:r>
              <w:rPr>
                <w:color w:val="231F20"/>
                <w:spacing w:val="-2"/>
                <w:w w:val="95"/>
                <w:sz w:val="14"/>
              </w:rPr>
              <w:t>3,540</w:t>
            </w:r>
          </w:p>
        </w:tc>
        <w:tc>
          <w:tcPr>
            <w:tcW w:w="851" w:type="dxa"/>
          </w:tcPr>
          <w:p>
            <w:pPr>
              <w:pStyle w:val="TableParagraph"/>
              <w:ind w:left="20" w:right="136"/>
              <w:rPr>
                <w:sz w:val="14"/>
              </w:rPr>
            </w:pPr>
            <w:r>
              <w:rPr>
                <w:color w:val="231F20"/>
                <w:spacing w:val="-4"/>
                <w:w w:val="95"/>
                <w:sz w:val="14"/>
              </w:rPr>
              <w:t>12.8</w:t>
            </w:r>
          </w:p>
        </w:tc>
        <w:tc>
          <w:tcPr>
            <w:tcW w:w="1063" w:type="dxa"/>
          </w:tcPr>
          <w:p>
            <w:pPr>
              <w:pStyle w:val="TableParagraph"/>
              <w:ind w:left="71" w:right="53"/>
              <w:rPr>
                <w:sz w:val="14"/>
              </w:rPr>
            </w:pPr>
            <w:r>
              <w:rPr>
                <w:color w:val="231F20"/>
                <w:spacing w:val="-5"/>
                <w:w w:val="95"/>
                <w:sz w:val="14"/>
              </w:rPr>
              <w:t>6.7</w:t>
            </w:r>
          </w:p>
        </w:tc>
        <w:tc>
          <w:tcPr>
            <w:tcW w:w="1080" w:type="dxa"/>
          </w:tcPr>
          <w:p>
            <w:pPr>
              <w:pStyle w:val="TableParagraph"/>
              <w:ind w:left="392"/>
              <w:jc w:val="left"/>
              <w:rPr>
                <w:sz w:val="14"/>
              </w:rPr>
            </w:pPr>
            <w:r>
              <w:rPr>
                <w:color w:val="231F20"/>
                <w:spacing w:val="-5"/>
                <w:w w:val="95"/>
                <w:sz w:val="14"/>
              </w:rPr>
              <w:t>5.5</w:t>
            </w:r>
          </w:p>
        </w:tc>
        <w:tc>
          <w:tcPr>
            <w:tcW w:w="755" w:type="dxa"/>
          </w:tcPr>
          <w:p>
            <w:pPr>
              <w:pStyle w:val="TableParagraph"/>
              <w:ind w:left="48" w:right="75"/>
              <w:rPr>
                <w:sz w:val="14"/>
              </w:rPr>
            </w:pPr>
            <w:r>
              <w:rPr>
                <w:color w:val="231F20"/>
                <w:spacing w:val="-4"/>
                <w:w w:val="95"/>
                <w:sz w:val="14"/>
              </w:rPr>
              <w:t>16.0</w:t>
            </w:r>
          </w:p>
        </w:tc>
        <w:tc>
          <w:tcPr>
            <w:tcW w:w="240" w:type="dxa"/>
          </w:tcPr>
          <w:p>
            <w:pPr>
              <w:pStyle w:val="TableParagraph"/>
              <w:spacing w:before="0"/>
              <w:jc w:val="left"/>
              <w:rPr>
                <w:rFonts w:ascii="Times New Roman"/>
                <w:sz w:val="12"/>
              </w:rPr>
            </w:pPr>
          </w:p>
        </w:tc>
        <w:tc>
          <w:tcPr>
            <w:tcW w:w="851" w:type="dxa"/>
          </w:tcPr>
          <w:p>
            <w:pPr>
              <w:pStyle w:val="TableParagraph"/>
              <w:ind w:left="250"/>
              <w:jc w:val="left"/>
              <w:rPr>
                <w:sz w:val="14"/>
              </w:rPr>
            </w:pPr>
            <w:r>
              <w:rPr>
                <w:color w:val="231F20"/>
                <w:spacing w:val="-4"/>
                <w:w w:val="95"/>
                <w:sz w:val="14"/>
              </w:rPr>
              <w:t>12.8</w:t>
            </w:r>
          </w:p>
        </w:tc>
        <w:tc>
          <w:tcPr>
            <w:tcW w:w="1073" w:type="dxa"/>
          </w:tcPr>
          <w:p>
            <w:pPr>
              <w:pStyle w:val="TableParagraph"/>
              <w:ind w:left="72" w:right="63"/>
              <w:rPr>
                <w:sz w:val="14"/>
              </w:rPr>
            </w:pPr>
            <w:r>
              <w:rPr>
                <w:color w:val="231F20"/>
                <w:spacing w:val="-5"/>
                <w:w w:val="95"/>
                <w:sz w:val="14"/>
              </w:rPr>
              <w:t>6.7</w:t>
            </w:r>
          </w:p>
        </w:tc>
        <w:tc>
          <w:tcPr>
            <w:tcW w:w="935" w:type="dxa"/>
          </w:tcPr>
          <w:p>
            <w:pPr>
              <w:pStyle w:val="TableParagraph"/>
              <w:ind w:left="29" w:right="28"/>
              <w:rPr>
                <w:sz w:val="14"/>
              </w:rPr>
            </w:pPr>
            <w:r>
              <w:rPr>
                <w:color w:val="231F20"/>
                <w:spacing w:val="-5"/>
                <w:w w:val="95"/>
                <w:sz w:val="14"/>
              </w:rPr>
              <w:t>5.5</w:t>
            </w:r>
          </w:p>
        </w:tc>
        <w:tc>
          <w:tcPr>
            <w:tcW w:w="1008" w:type="dxa"/>
          </w:tcPr>
          <w:p>
            <w:pPr>
              <w:pStyle w:val="TableParagraph"/>
              <w:ind w:right="390"/>
              <w:jc w:val="right"/>
              <w:rPr>
                <w:sz w:val="14"/>
              </w:rPr>
            </w:pPr>
            <w:r>
              <w:rPr>
                <w:color w:val="231F20"/>
                <w:spacing w:val="-4"/>
                <w:w w:val="95"/>
                <w:sz w:val="14"/>
              </w:rPr>
              <w:t>16.0</w:t>
            </w:r>
          </w:p>
        </w:tc>
      </w:tr>
      <w:tr>
        <w:trPr>
          <w:trHeight w:val="259" w:hRule="atLeast"/>
        </w:trPr>
        <w:tc>
          <w:tcPr>
            <w:tcW w:w="1311" w:type="dxa"/>
            <w:shd w:val="clear" w:color="auto" w:fill="D4E3F5"/>
          </w:tcPr>
          <w:p>
            <w:pPr>
              <w:pStyle w:val="TableParagraph"/>
              <w:ind w:left="80"/>
              <w:jc w:val="left"/>
              <w:rPr>
                <w:sz w:val="14"/>
              </w:rPr>
            </w:pPr>
            <w:r>
              <w:rPr>
                <w:color w:val="231F20"/>
                <w:spacing w:val="-2"/>
                <w:w w:val="90"/>
                <w:sz w:val="14"/>
              </w:rPr>
              <w:t>Suriname</w:t>
            </w:r>
          </w:p>
        </w:tc>
        <w:tc>
          <w:tcPr>
            <w:tcW w:w="1150" w:type="dxa"/>
            <w:shd w:val="clear" w:color="auto" w:fill="D4E3F5"/>
          </w:tcPr>
          <w:p>
            <w:pPr>
              <w:pStyle w:val="TableParagraph"/>
              <w:ind w:right="435"/>
              <w:jc w:val="right"/>
              <w:rPr>
                <w:sz w:val="14"/>
              </w:rPr>
            </w:pPr>
            <w:r>
              <w:rPr>
                <w:color w:val="231F20"/>
                <w:spacing w:val="-5"/>
                <w:w w:val="95"/>
                <w:sz w:val="14"/>
              </w:rPr>
              <w:t>729</w:t>
            </w:r>
          </w:p>
        </w:tc>
        <w:tc>
          <w:tcPr>
            <w:tcW w:w="851" w:type="dxa"/>
            <w:shd w:val="clear" w:color="auto" w:fill="D4E3F5"/>
          </w:tcPr>
          <w:p>
            <w:pPr>
              <w:pStyle w:val="TableParagraph"/>
              <w:ind w:left="82" w:right="136"/>
              <w:rPr>
                <w:sz w:val="14"/>
              </w:rPr>
            </w:pPr>
            <w:r>
              <w:rPr>
                <w:color w:val="231F20"/>
                <w:spacing w:val="-5"/>
                <w:w w:val="95"/>
                <w:sz w:val="14"/>
              </w:rPr>
              <w:t>5.3</w:t>
            </w:r>
          </w:p>
        </w:tc>
        <w:tc>
          <w:tcPr>
            <w:tcW w:w="1063" w:type="dxa"/>
            <w:shd w:val="clear" w:color="auto" w:fill="D4E3F5"/>
          </w:tcPr>
          <w:p>
            <w:pPr>
              <w:pStyle w:val="TableParagraph"/>
              <w:ind w:left="78" w:right="53"/>
              <w:rPr>
                <w:sz w:val="14"/>
              </w:rPr>
            </w:pPr>
            <w:r>
              <w:rPr>
                <w:color w:val="231F20"/>
                <w:spacing w:val="-5"/>
                <w:w w:val="95"/>
                <w:sz w:val="14"/>
              </w:rPr>
              <w:t>3.8</w:t>
            </w:r>
          </w:p>
        </w:tc>
        <w:tc>
          <w:tcPr>
            <w:tcW w:w="1080" w:type="dxa"/>
            <w:shd w:val="clear" w:color="auto" w:fill="D4E3F5"/>
          </w:tcPr>
          <w:p>
            <w:pPr>
              <w:pStyle w:val="TableParagraph"/>
              <w:ind w:left="392"/>
              <w:jc w:val="left"/>
              <w:rPr>
                <w:sz w:val="14"/>
              </w:rPr>
            </w:pPr>
            <w:r>
              <w:rPr>
                <w:color w:val="231F20"/>
                <w:spacing w:val="-5"/>
                <w:w w:val="95"/>
                <w:sz w:val="14"/>
              </w:rPr>
              <w:t>2.0</w:t>
            </w:r>
          </w:p>
        </w:tc>
        <w:tc>
          <w:tcPr>
            <w:tcW w:w="755" w:type="dxa"/>
            <w:shd w:val="clear" w:color="auto" w:fill="D4E3F5"/>
          </w:tcPr>
          <w:p>
            <w:pPr>
              <w:pStyle w:val="TableParagraph"/>
              <w:ind w:left="86" w:right="51"/>
              <w:rPr>
                <w:sz w:val="14"/>
              </w:rPr>
            </w:pPr>
            <w:r>
              <w:rPr>
                <w:color w:val="231F20"/>
                <w:spacing w:val="-5"/>
                <w:w w:val="95"/>
                <w:sz w:val="14"/>
              </w:rPr>
              <w:t>6.8</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3" w:right="136"/>
              <w:rPr>
                <w:sz w:val="14"/>
              </w:rPr>
            </w:pPr>
            <w:r>
              <w:rPr>
                <w:color w:val="231F20"/>
                <w:spacing w:val="-5"/>
                <w:w w:val="95"/>
                <w:sz w:val="14"/>
              </w:rPr>
              <w:t>5.3</w:t>
            </w:r>
          </w:p>
        </w:tc>
        <w:tc>
          <w:tcPr>
            <w:tcW w:w="1073" w:type="dxa"/>
            <w:shd w:val="clear" w:color="auto" w:fill="D4E3F5"/>
          </w:tcPr>
          <w:p>
            <w:pPr>
              <w:pStyle w:val="TableParagraph"/>
              <w:ind w:left="79" w:right="63"/>
              <w:rPr>
                <w:sz w:val="14"/>
              </w:rPr>
            </w:pPr>
            <w:r>
              <w:rPr>
                <w:color w:val="231F20"/>
                <w:spacing w:val="-5"/>
                <w:w w:val="95"/>
                <w:sz w:val="14"/>
              </w:rPr>
              <w:t>3.8</w:t>
            </w:r>
          </w:p>
        </w:tc>
        <w:tc>
          <w:tcPr>
            <w:tcW w:w="935" w:type="dxa"/>
            <w:shd w:val="clear" w:color="auto" w:fill="D4E3F5"/>
          </w:tcPr>
          <w:p>
            <w:pPr>
              <w:pStyle w:val="TableParagraph"/>
              <w:ind w:left="30" w:right="28"/>
              <w:rPr>
                <w:sz w:val="14"/>
              </w:rPr>
            </w:pPr>
            <w:r>
              <w:rPr>
                <w:color w:val="231F20"/>
                <w:spacing w:val="-5"/>
                <w:w w:val="95"/>
                <w:sz w:val="14"/>
              </w:rPr>
              <w:t>2.0</w:t>
            </w:r>
          </w:p>
        </w:tc>
        <w:tc>
          <w:tcPr>
            <w:tcW w:w="1008" w:type="dxa"/>
            <w:shd w:val="clear" w:color="auto" w:fill="D4E3F5"/>
          </w:tcPr>
          <w:p>
            <w:pPr>
              <w:pStyle w:val="TableParagraph"/>
              <w:ind w:right="389"/>
              <w:jc w:val="right"/>
              <w:rPr>
                <w:sz w:val="14"/>
              </w:rPr>
            </w:pPr>
            <w:r>
              <w:rPr>
                <w:color w:val="231F20"/>
                <w:spacing w:val="-5"/>
                <w:w w:val="95"/>
                <w:sz w:val="14"/>
              </w:rPr>
              <w:t>6.8</w:t>
            </w:r>
          </w:p>
        </w:tc>
      </w:tr>
      <w:tr>
        <w:trPr>
          <w:trHeight w:val="259" w:hRule="atLeast"/>
        </w:trPr>
        <w:tc>
          <w:tcPr>
            <w:tcW w:w="1311" w:type="dxa"/>
          </w:tcPr>
          <w:p>
            <w:pPr>
              <w:pStyle w:val="TableParagraph"/>
              <w:ind w:left="80"/>
              <w:jc w:val="left"/>
              <w:rPr>
                <w:sz w:val="14"/>
              </w:rPr>
            </w:pPr>
            <w:r>
              <w:rPr>
                <w:color w:val="231F20"/>
                <w:spacing w:val="-2"/>
                <w:w w:val="85"/>
                <w:sz w:val="14"/>
              </w:rPr>
              <w:t>Sweden</w:t>
            </w:r>
          </w:p>
        </w:tc>
        <w:tc>
          <w:tcPr>
            <w:tcW w:w="1150" w:type="dxa"/>
          </w:tcPr>
          <w:p>
            <w:pPr>
              <w:pStyle w:val="TableParagraph"/>
              <w:ind w:right="435"/>
              <w:jc w:val="right"/>
              <w:rPr>
                <w:sz w:val="14"/>
              </w:rPr>
            </w:pPr>
            <w:r>
              <w:rPr>
                <w:color w:val="231F20"/>
                <w:spacing w:val="-2"/>
                <w:w w:val="95"/>
                <w:sz w:val="14"/>
              </w:rPr>
              <w:t>12,472</w:t>
            </w:r>
          </w:p>
        </w:tc>
        <w:tc>
          <w:tcPr>
            <w:tcW w:w="851" w:type="dxa"/>
          </w:tcPr>
          <w:p>
            <w:pPr>
              <w:pStyle w:val="TableParagraph"/>
              <w:ind w:left="94" w:right="136"/>
              <w:rPr>
                <w:sz w:val="14"/>
              </w:rPr>
            </w:pPr>
            <w:r>
              <w:rPr>
                <w:color w:val="231F20"/>
                <w:spacing w:val="-5"/>
                <w:w w:val="95"/>
                <w:sz w:val="14"/>
              </w:rPr>
              <w:t>7.6</w:t>
            </w:r>
          </w:p>
        </w:tc>
        <w:tc>
          <w:tcPr>
            <w:tcW w:w="1063" w:type="dxa"/>
          </w:tcPr>
          <w:p>
            <w:pPr>
              <w:pStyle w:val="TableParagraph"/>
              <w:ind w:left="77" w:right="53"/>
              <w:rPr>
                <w:sz w:val="14"/>
              </w:rPr>
            </w:pPr>
            <w:r>
              <w:rPr>
                <w:color w:val="231F20"/>
                <w:spacing w:val="-5"/>
                <w:w w:val="95"/>
                <w:sz w:val="14"/>
              </w:rPr>
              <w:t>5.0</w:t>
            </w:r>
          </w:p>
        </w:tc>
        <w:tc>
          <w:tcPr>
            <w:tcW w:w="1080" w:type="dxa"/>
          </w:tcPr>
          <w:p>
            <w:pPr>
              <w:pStyle w:val="TableParagraph"/>
              <w:ind w:left="391"/>
              <w:jc w:val="left"/>
              <w:rPr>
                <w:sz w:val="14"/>
              </w:rPr>
            </w:pPr>
            <w:r>
              <w:rPr>
                <w:color w:val="231F20"/>
                <w:spacing w:val="-5"/>
                <w:w w:val="95"/>
                <w:sz w:val="14"/>
              </w:rPr>
              <w:t>3.3</w:t>
            </w:r>
          </w:p>
        </w:tc>
        <w:tc>
          <w:tcPr>
            <w:tcW w:w="755" w:type="dxa"/>
          </w:tcPr>
          <w:p>
            <w:pPr>
              <w:pStyle w:val="TableParagraph"/>
              <w:ind w:left="69" w:right="51"/>
              <w:rPr>
                <w:sz w:val="14"/>
              </w:rPr>
            </w:pPr>
            <w:r>
              <w:rPr>
                <w:color w:val="231F20"/>
                <w:spacing w:val="-5"/>
                <w:w w:val="95"/>
                <w:sz w:val="14"/>
              </w:rPr>
              <w:t>9.1</w:t>
            </w:r>
          </w:p>
        </w:tc>
        <w:tc>
          <w:tcPr>
            <w:tcW w:w="240" w:type="dxa"/>
          </w:tcPr>
          <w:p>
            <w:pPr>
              <w:pStyle w:val="TableParagraph"/>
              <w:spacing w:before="0"/>
              <w:jc w:val="left"/>
              <w:rPr>
                <w:rFonts w:ascii="Times New Roman"/>
                <w:sz w:val="12"/>
              </w:rPr>
            </w:pPr>
          </w:p>
        </w:tc>
        <w:tc>
          <w:tcPr>
            <w:tcW w:w="851" w:type="dxa"/>
          </w:tcPr>
          <w:p>
            <w:pPr>
              <w:pStyle w:val="TableParagraph"/>
              <w:ind w:left="83" w:right="136"/>
              <w:rPr>
                <w:sz w:val="14"/>
              </w:rPr>
            </w:pPr>
            <w:r>
              <w:rPr>
                <w:color w:val="231F20"/>
                <w:spacing w:val="-5"/>
                <w:w w:val="95"/>
                <w:sz w:val="14"/>
              </w:rPr>
              <w:t>6.6</w:t>
            </w:r>
          </w:p>
        </w:tc>
        <w:tc>
          <w:tcPr>
            <w:tcW w:w="1073" w:type="dxa"/>
          </w:tcPr>
          <w:p>
            <w:pPr>
              <w:pStyle w:val="TableParagraph"/>
              <w:ind w:left="79" w:right="63"/>
              <w:rPr>
                <w:sz w:val="14"/>
              </w:rPr>
            </w:pPr>
            <w:r>
              <w:rPr>
                <w:color w:val="231F20"/>
                <w:spacing w:val="-5"/>
                <w:w w:val="95"/>
                <w:sz w:val="14"/>
              </w:rPr>
              <w:t>4.5</w:t>
            </w:r>
          </w:p>
        </w:tc>
        <w:tc>
          <w:tcPr>
            <w:tcW w:w="935" w:type="dxa"/>
          </w:tcPr>
          <w:p>
            <w:pPr>
              <w:pStyle w:val="TableParagraph"/>
              <w:ind w:left="14" w:right="29"/>
              <w:rPr>
                <w:sz w:val="14"/>
              </w:rPr>
            </w:pPr>
            <w:r>
              <w:rPr>
                <w:color w:val="231F20"/>
                <w:spacing w:val="-5"/>
                <w:w w:val="95"/>
                <w:sz w:val="14"/>
              </w:rPr>
              <w:t>3.1</w:t>
            </w:r>
          </w:p>
        </w:tc>
        <w:tc>
          <w:tcPr>
            <w:tcW w:w="1008" w:type="dxa"/>
          </w:tcPr>
          <w:p>
            <w:pPr>
              <w:pStyle w:val="TableParagraph"/>
              <w:ind w:right="388"/>
              <w:jc w:val="right"/>
              <w:rPr>
                <w:sz w:val="14"/>
              </w:rPr>
            </w:pPr>
            <w:r>
              <w:rPr>
                <w:color w:val="231F20"/>
                <w:spacing w:val="-5"/>
                <w:w w:val="95"/>
                <w:sz w:val="14"/>
              </w:rPr>
              <w:t>8.2</w:t>
            </w:r>
          </w:p>
        </w:tc>
      </w:tr>
      <w:tr>
        <w:trPr>
          <w:trHeight w:val="259" w:hRule="atLeast"/>
        </w:trPr>
        <w:tc>
          <w:tcPr>
            <w:tcW w:w="1311" w:type="dxa"/>
            <w:shd w:val="clear" w:color="auto" w:fill="D4E3F5"/>
          </w:tcPr>
          <w:p>
            <w:pPr>
              <w:pStyle w:val="TableParagraph"/>
              <w:ind w:left="80"/>
              <w:jc w:val="left"/>
              <w:rPr>
                <w:sz w:val="14"/>
              </w:rPr>
            </w:pPr>
            <w:r>
              <w:rPr>
                <w:color w:val="231F20"/>
                <w:spacing w:val="-2"/>
                <w:w w:val="90"/>
                <w:sz w:val="14"/>
              </w:rPr>
              <w:t>Switzerland</w:t>
            </w:r>
          </w:p>
        </w:tc>
        <w:tc>
          <w:tcPr>
            <w:tcW w:w="1150" w:type="dxa"/>
            <w:shd w:val="clear" w:color="auto" w:fill="D4E3F5"/>
          </w:tcPr>
          <w:p>
            <w:pPr>
              <w:pStyle w:val="TableParagraph"/>
              <w:ind w:right="430"/>
              <w:jc w:val="right"/>
              <w:rPr>
                <w:sz w:val="14"/>
              </w:rPr>
            </w:pPr>
            <w:r>
              <w:rPr>
                <w:color w:val="231F20"/>
                <w:spacing w:val="-5"/>
                <w:w w:val="95"/>
                <w:sz w:val="14"/>
              </w:rPr>
              <w:t>330</w:t>
            </w:r>
          </w:p>
        </w:tc>
        <w:tc>
          <w:tcPr>
            <w:tcW w:w="851" w:type="dxa"/>
            <w:shd w:val="clear" w:color="auto" w:fill="D4E3F5"/>
          </w:tcPr>
          <w:p>
            <w:pPr>
              <w:pStyle w:val="TableParagraph"/>
              <w:ind w:left="20" w:right="136"/>
              <w:rPr>
                <w:sz w:val="14"/>
              </w:rPr>
            </w:pPr>
            <w:r>
              <w:rPr>
                <w:color w:val="231F20"/>
                <w:spacing w:val="-4"/>
                <w:w w:val="95"/>
                <w:sz w:val="14"/>
              </w:rPr>
              <w:t>19.8</w:t>
            </w:r>
          </w:p>
        </w:tc>
        <w:tc>
          <w:tcPr>
            <w:tcW w:w="1063" w:type="dxa"/>
            <w:shd w:val="clear" w:color="auto" w:fill="D4E3F5"/>
          </w:tcPr>
          <w:p>
            <w:pPr>
              <w:pStyle w:val="TableParagraph"/>
              <w:ind w:left="38" w:right="64"/>
              <w:rPr>
                <w:sz w:val="14"/>
              </w:rPr>
            </w:pPr>
            <w:r>
              <w:rPr>
                <w:color w:val="231F20"/>
                <w:spacing w:val="-4"/>
                <w:w w:val="95"/>
                <w:sz w:val="14"/>
              </w:rPr>
              <w:t>17.7</w:t>
            </w:r>
          </w:p>
        </w:tc>
        <w:tc>
          <w:tcPr>
            <w:tcW w:w="1080" w:type="dxa"/>
            <w:shd w:val="clear" w:color="auto" w:fill="D4E3F5"/>
          </w:tcPr>
          <w:p>
            <w:pPr>
              <w:pStyle w:val="TableParagraph"/>
              <w:ind w:left="330"/>
              <w:jc w:val="left"/>
              <w:rPr>
                <w:sz w:val="14"/>
              </w:rPr>
            </w:pPr>
            <w:r>
              <w:rPr>
                <w:color w:val="231F20"/>
                <w:spacing w:val="-4"/>
                <w:w w:val="95"/>
                <w:sz w:val="14"/>
              </w:rPr>
              <w:t>12.4</w:t>
            </w:r>
          </w:p>
        </w:tc>
        <w:tc>
          <w:tcPr>
            <w:tcW w:w="755" w:type="dxa"/>
            <w:shd w:val="clear" w:color="auto" w:fill="D4E3F5"/>
          </w:tcPr>
          <w:p>
            <w:pPr>
              <w:pStyle w:val="TableParagraph"/>
              <w:ind w:left="48" w:right="98"/>
              <w:rPr>
                <w:sz w:val="14"/>
              </w:rPr>
            </w:pPr>
            <w:r>
              <w:rPr>
                <w:color w:val="231F20"/>
                <w:spacing w:val="-4"/>
                <w:w w:val="95"/>
                <w:sz w:val="14"/>
              </w:rPr>
              <w:t>25.1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50"/>
              <w:jc w:val="left"/>
              <w:rPr>
                <w:sz w:val="14"/>
              </w:rPr>
            </w:pPr>
            <w:r>
              <w:rPr>
                <w:color w:val="231F20"/>
                <w:spacing w:val="-4"/>
                <w:w w:val="95"/>
                <w:sz w:val="14"/>
              </w:rPr>
              <w:t>12.8</w:t>
            </w:r>
          </w:p>
        </w:tc>
        <w:tc>
          <w:tcPr>
            <w:tcW w:w="1073" w:type="dxa"/>
            <w:shd w:val="clear" w:color="auto" w:fill="D4E3F5"/>
          </w:tcPr>
          <w:p>
            <w:pPr>
              <w:pStyle w:val="TableParagraph"/>
              <w:ind w:left="30" w:right="77"/>
              <w:rPr>
                <w:sz w:val="14"/>
              </w:rPr>
            </w:pPr>
            <w:r>
              <w:rPr>
                <w:color w:val="231F20"/>
                <w:spacing w:val="-4"/>
                <w:w w:val="95"/>
                <w:sz w:val="14"/>
              </w:rPr>
              <w:t>10.0</w:t>
            </w:r>
          </w:p>
        </w:tc>
        <w:tc>
          <w:tcPr>
            <w:tcW w:w="935" w:type="dxa"/>
            <w:shd w:val="clear" w:color="auto" w:fill="D4E3F5"/>
          </w:tcPr>
          <w:p>
            <w:pPr>
              <w:pStyle w:val="TableParagraph"/>
              <w:ind w:left="28" w:right="28"/>
              <w:rPr>
                <w:sz w:val="14"/>
              </w:rPr>
            </w:pPr>
            <w:r>
              <w:rPr>
                <w:color w:val="231F20"/>
                <w:spacing w:val="-5"/>
                <w:w w:val="95"/>
                <w:sz w:val="14"/>
              </w:rPr>
              <w:t>6.4</w:t>
            </w:r>
          </w:p>
        </w:tc>
        <w:tc>
          <w:tcPr>
            <w:tcW w:w="1008" w:type="dxa"/>
            <w:shd w:val="clear" w:color="auto" w:fill="D4E3F5"/>
          </w:tcPr>
          <w:p>
            <w:pPr>
              <w:pStyle w:val="TableParagraph"/>
              <w:ind w:right="393"/>
              <w:jc w:val="right"/>
              <w:rPr>
                <w:sz w:val="14"/>
              </w:rPr>
            </w:pPr>
            <w:r>
              <w:rPr>
                <w:color w:val="231F20"/>
                <w:spacing w:val="-4"/>
                <w:w w:val="95"/>
                <w:sz w:val="14"/>
              </w:rPr>
              <w:t>16.7</w:t>
            </w:r>
          </w:p>
        </w:tc>
      </w:tr>
      <w:tr>
        <w:trPr>
          <w:trHeight w:val="259" w:hRule="atLeast"/>
        </w:trPr>
        <w:tc>
          <w:tcPr>
            <w:tcW w:w="1311" w:type="dxa"/>
          </w:tcPr>
          <w:p>
            <w:pPr>
              <w:pStyle w:val="TableParagraph"/>
              <w:ind w:left="80"/>
              <w:jc w:val="left"/>
              <w:rPr>
                <w:sz w:val="14"/>
              </w:rPr>
            </w:pPr>
            <w:r>
              <w:rPr>
                <w:color w:val="231F20"/>
                <w:w w:val="75"/>
                <w:sz w:val="14"/>
              </w:rPr>
              <w:t>Syrian</w:t>
            </w:r>
            <w:r>
              <w:rPr>
                <w:color w:val="231F20"/>
                <w:spacing w:val="9"/>
                <w:sz w:val="14"/>
              </w:rPr>
              <w:t> </w:t>
            </w:r>
            <w:r>
              <w:rPr>
                <w:color w:val="231F20"/>
                <w:w w:val="75"/>
                <w:sz w:val="14"/>
              </w:rPr>
              <w:t>Arab</w:t>
            </w:r>
            <w:r>
              <w:rPr>
                <w:color w:val="231F20"/>
                <w:spacing w:val="9"/>
                <w:sz w:val="14"/>
              </w:rPr>
              <w:t> </w:t>
            </w:r>
            <w:r>
              <w:rPr>
                <w:color w:val="231F20"/>
                <w:spacing w:val="-2"/>
                <w:w w:val="75"/>
                <w:sz w:val="14"/>
              </w:rPr>
              <w:t>Republic</w:t>
            </w:r>
          </w:p>
        </w:tc>
        <w:tc>
          <w:tcPr>
            <w:tcW w:w="1150" w:type="dxa"/>
          </w:tcPr>
          <w:p>
            <w:pPr>
              <w:pStyle w:val="TableParagraph"/>
              <w:ind w:right="434"/>
              <w:jc w:val="right"/>
              <w:rPr>
                <w:sz w:val="14"/>
              </w:rPr>
            </w:pPr>
            <w:r>
              <w:rPr>
                <w:color w:val="231F20"/>
                <w:spacing w:val="-5"/>
                <w:w w:val="95"/>
                <w:sz w:val="14"/>
              </w:rPr>
              <w:t>160</w:t>
            </w:r>
          </w:p>
        </w:tc>
        <w:tc>
          <w:tcPr>
            <w:tcW w:w="851" w:type="dxa"/>
          </w:tcPr>
          <w:p>
            <w:pPr>
              <w:pStyle w:val="TableParagraph"/>
              <w:ind w:left="20" w:right="136"/>
              <w:rPr>
                <w:sz w:val="14"/>
              </w:rPr>
            </w:pPr>
            <w:r>
              <w:rPr>
                <w:color w:val="231F20"/>
                <w:spacing w:val="-4"/>
                <w:w w:val="95"/>
                <w:sz w:val="14"/>
              </w:rPr>
              <w:t>15.5</w:t>
            </w:r>
          </w:p>
        </w:tc>
        <w:tc>
          <w:tcPr>
            <w:tcW w:w="1063" w:type="dxa"/>
          </w:tcPr>
          <w:p>
            <w:pPr>
              <w:pStyle w:val="TableParagraph"/>
              <w:ind w:left="38" w:right="91"/>
              <w:rPr>
                <w:sz w:val="14"/>
              </w:rPr>
            </w:pPr>
            <w:r>
              <w:rPr>
                <w:color w:val="231F20"/>
                <w:spacing w:val="-4"/>
                <w:w w:val="95"/>
                <w:sz w:val="14"/>
              </w:rPr>
              <w:t>12.1</w:t>
            </w:r>
          </w:p>
        </w:tc>
        <w:tc>
          <w:tcPr>
            <w:tcW w:w="1080" w:type="dxa"/>
          </w:tcPr>
          <w:p>
            <w:pPr>
              <w:pStyle w:val="TableParagraph"/>
              <w:ind w:left="405"/>
              <w:jc w:val="left"/>
              <w:rPr>
                <w:sz w:val="14"/>
              </w:rPr>
            </w:pPr>
            <w:r>
              <w:rPr>
                <w:color w:val="231F20"/>
                <w:spacing w:val="-5"/>
                <w:w w:val="95"/>
                <w:sz w:val="14"/>
              </w:rPr>
              <w:t>7.5</w:t>
            </w:r>
          </w:p>
        </w:tc>
        <w:tc>
          <w:tcPr>
            <w:tcW w:w="755" w:type="dxa"/>
          </w:tcPr>
          <w:p>
            <w:pPr>
              <w:pStyle w:val="TableParagraph"/>
              <w:ind w:left="48" w:right="92"/>
              <w:rPr>
                <w:sz w:val="14"/>
              </w:rPr>
            </w:pPr>
            <w:r>
              <w:rPr>
                <w:color w:val="231F20"/>
                <w:spacing w:val="-4"/>
                <w:w w:val="95"/>
                <w:sz w:val="14"/>
              </w:rPr>
              <w:t>18.1</w:t>
            </w:r>
          </w:p>
        </w:tc>
        <w:tc>
          <w:tcPr>
            <w:tcW w:w="240" w:type="dxa"/>
          </w:tcPr>
          <w:p>
            <w:pPr>
              <w:pStyle w:val="TableParagraph"/>
              <w:spacing w:before="0"/>
              <w:jc w:val="left"/>
              <w:rPr>
                <w:rFonts w:ascii="Times New Roman"/>
                <w:sz w:val="12"/>
              </w:rPr>
            </w:pPr>
          </w:p>
        </w:tc>
        <w:tc>
          <w:tcPr>
            <w:tcW w:w="851" w:type="dxa"/>
          </w:tcPr>
          <w:p>
            <w:pPr>
              <w:pStyle w:val="TableParagraph"/>
              <w:ind w:left="249"/>
              <w:jc w:val="left"/>
              <w:rPr>
                <w:sz w:val="14"/>
              </w:rPr>
            </w:pPr>
            <w:r>
              <w:rPr>
                <w:color w:val="231F20"/>
                <w:spacing w:val="-4"/>
                <w:w w:val="95"/>
                <w:sz w:val="14"/>
              </w:rPr>
              <w:t>15.5</w:t>
            </w:r>
          </w:p>
        </w:tc>
        <w:tc>
          <w:tcPr>
            <w:tcW w:w="1073" w:type="dxa"/>
          </w:tcPr>
          <w:p>
            <w:pPr>
              <w:pStyle w:val="TableParagraph"/>
              <w:ind w:left="30" w:right="93"/>
              <w:rPr>
                <w:sz w:val="14"/>
              </w:rPr>
            </w:pPr>
            <w:r>
              <w:rPr>
                <w:color w:val="231F20"/>
                <w:spacing w:val="-4"/>
                <w:w w:val="95"/>
                <w:sz w:val="14"/>
              </w:rPr>
              <w:t>12.1</w:t>
            </w:r>
          </w:p>
        </w:tc>
        <w:tc>
          <w:tcPr>
            <w:tcW w:w="935" w:type="dxa"/>
          </w:tcPr>
          <w:p>
            <w:pPr>
              <w:pStyle w:val="TableParagraph"/>
              <w:ind w:left="42" w:right="28"/>
              <w:rPr>
                <w:sz w:val="14"/>
              </w:rPr>
            </w:pPr>
            <w:r>
              <w:rPr>
                <w:color w:val="231F20"/>
                <w:spacing w:val="-5"/>
                <w:w w:val="95"/>
                <w:sz w:val="14"/>
              </w:rPr>
              <w:t>7.5</w:t>
            </w:r>
          </w:p>
        </w:tc>
        <w:tc>
          <w:tcPr>
            <w:tcW w:w="1008" w:type="dxa"/>
          </w:tcPr>
          <w:p>
            <w:pPr>
              <w:pStyle w:val="TableParagraph"/>
              <w:ind w:right="407"/>
              <w:jc w:val="right"/>
              <w:rPr>
                <w:sz w:val="14"/>
              </w:rPr>
            </w:pPr>
            <w:r>
              <w:rPr>
                <w:color w:val="231F20"/>
                <w:spacing w:val="-4"/>
                <w:w w:val="95"/>
                <w:sz w:val="14"/>
              </w:rPr>
              <w:t>18.1</w:t>
            </w:r>
          </w:p>
        </w:tc>
      </w:tr>
      <w:tr>
        <w:trPr>
          <w:trHeight w:val="259" w:hRule="atLeast"/>
        </w:trPr>
        <w:tc>
          <w:tcPr>
            <w:tcW w:w="1311" w:type="dxa"/>
            <w:shd w:val="clear" w:color="auto" w:fill="D4E3F5"/>
          </w:tcPr>
          <w:p>
            <w:pPr>
              <w:pStyle w:val="TableParagraph"/>
              <w:ind w:left="80"/>
              <w:jc w:val="left"/>
              <w:rPr>
                <w:sz w:val="14"/>
              </w:rPr>
            </w:pPr>
            <w:r>
              <w:rPr>
                <w:color w:val="231F20"/>
                <w:w w:val="75"/>
                <w:sz w:val="14"/>
              </w:rPr>
              <w:t>Taiwan,</w:t>
            </w:r>
            <w:r>
              <w:rPr>
                <w:color w:val="231F20"/>
                <w:spacing w:val="7"/>
                <w:sz w:val="14"/>
              </w:rPr>
              <w:t> </w:t>
            </w:r>
            <w:r>
              <w:rPr>
                <w:color w:val="231F20"/>
                <w:spacing w:val="-2"/>
                <w:w w:val="90"/>
                <w:sz w:val="14"/>
              </w:rPr>
              <w:t>China</w:t>
            </w:r>
          </w:p>
        </w:tc>
        <w:tc>
          <w:tcPr>
            <w:tcW w:w="1150" w:type="dxa"/>
            <w:shd w:val="clear" w:color="auto" w:fill="D4E3F5"/>
          </w:tcPr>
          <w:p>
            <w:pPr>
              <w:pStyle w:val="TableParagraph"/>
              <w:ind w:right="435"/>
              <w:jc w:val="right"/>
              <w:rPr>
                <w:sz w:val="14"/>
              </w:rPr>
            </w:pPr>
            <w:r>
              <w:rPr>
                <w:color w:val="231F20"/>
                <w:spacing w:val="-2"/>
                <w:w w:val="95"/>
                <w:sz w:val="14"/>
              </w:rPr>
              <w:t>11,273</w:t>
            </w:r>
          </w:p>
        </w:tc>
        <w:tc>
          <w:tcPr>
            <w:tcW w:w="851" w:type="dxa"/>
            <w:shd w:val="clear" w:color="auto" w:fill="D4E3F5"/>
          </w:tcPr>
          <w:p>
            <w:pPr>
              <w:pStyle w:val="TableParagraph"/>
              <w:ind w:left="82" w:right="136"/>
              <w:rPr>
                <w:sz w:val="14"/>
              </w:rPr>
            </w:pPr>
            <w:r>
              <w:rPr>
                <w:color w:val="231F20"/>
                <w:spacing w:val="-5"/>
                <w:w w:val="95"/>
                <w:sz w:val="14"/>
              </w:rPr>
              <w:t>6.8</w:t>
            </w:r>
          </w:p>
        </w:tc>
        <w:tc>
          <w:tcPr>
            <w:tcW w:w="1063" w:type="dxa"/>
            <w:shd w:val="clear" w:color="auto" w:fill="D4E3F5"/>
          </w:tcPr>
          <w:p>
            <w:pPr>
              <w:pStyle w:val="TableParagraph"/>
              <w:ind w:left="78" w:right="53"/>
              <w:rPr>
                <w:sz w:val="14"/>
              </w:rPr>
            </w:pPr>
            <w:r>
              <w:rPr>
                <w:color w:val="231F20"/>
                <w:spacing w:val="-5"/>
                <w:w w:val="95"/>
                <w:sz w:val="14"/>
              </w:rPr>
              <w:t>5.2</w:t>
            </w:r>
          </w:p>
        </w:tc>
        <w:tc>
          <w:tcPr>
            <w:tcW w:w="1080" w:type="dxa"/>
            <w:shd w:val="clear" w:color="auto" w:fill="D4E3F5"/>
          </w:tcPr>
          <w:p>
            <w:pPr>
              <w:pStyle w:val="TableParagraph"/>
              <w:ind w:left="391"/>
              <w:jc w:val="left"/>
              <w:rPr>
                <w:sz w:val="14"/>
              </w:rPr>
            </w:pPr>
            <w:r>
              <w:rPr>
                <w:color w:val="231F20"/>
                <w:spacing w:val="-5"/>
                <w:w w:val="95"/>
                <w:sz w:val="14"/>
              </w:rPr>
              <w:t>3.1</w:t>
            </w:r>
          </w:p>
        </w:tc>
        <w:tc>
          <w:tcPr>
            <w:tcW w:w="755" w:type="dxa"/>
            <w:shd w:val="clear" w:color="auto" w:fill="D4E3F5"/>
          </w:tcPr>
          <w:p>
            <w:pPr>
              <w:pStyle w:val="TableParagraph"/>
              <w:ind w:left="88" w:right="51"/>
              <w:rPr>
                <w:sz w:val="14"/>
              </w:rPr>
            </w:pPr>
            <w:r>
              <w:rPr>
                <w:color w:val="231F20"/>
                <w:spacing w:val="-5"/>
                <w:w w:val="95"/>
                <w:sz w:val="14"/>
              </w:rPr>
              <w:t>8.8</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4" w:right="136"/>
              <w:rPr>
                <w:sz w:val="14"/>
              </w:rPr>
            </w:pPr>
            <w:r>
              <w:rPr>
                <w:color w:val="231F20"/>
                <w:spacing w:val="-5"/>
                <w:w w:val="95"/>
                <w:sz w:val="14"/>
              </w:rPr>
              <w:t>5.2</w:t>
            </w:r>
          </w:p>
        </w:tc>
        <w:tc>
          <w:tcPr>
            <w:tcW w:w="1073" w:type="dxa"/>
            <w:shd w:val="clear" w:color="auto" w:fill="D4E3F5"/>
          </w:tcPr>
          <w:p>
            <w:pPr>
              <w:pStyle w:val="TableParagraph"/>
              <w:ind w:left="79" w:right="63"/>
              <w:rPr>
                <w:sz w:val="14"/>
              </w:rPr>
            </w:pPr>
            <w:r>
              <w:rPr>
                <w:color w:val="231F20"/>
                <w:spacing w:val="-5"/>
                <w:w w:val="95"/>
                <w:sz w:val="14"/>
              </w:rPr>
              <w:t>3.9</w:t>
            </w:r>
          </w:p>
        </w:tc>
        <w:tc>
          <w:tcPr>
            <w:tcW w:w="935" w:type="dxa"/>
            <w:shd w:val="clear" w:color="auto" w:fill="D4E3F5"/>
          </w:tcPr>
          <w:p>
            <w:pPr>
              <w:pStyle w:val="TableParagraph"/>
              <w:ind w:left="36" w:right="28"/>
              <w:rPr>
                <w:sz w:val="14"/>
              </w:rPr>
            </w:pPr>
            <w:r>
              <w:rPr>
                <w:color w:val="231F20"/>
                <w:spacing w:val="-5"/>
                <w:w w:val="95"/>
                <w:sz w:val="14"/>
              </w:rPr>
              <w:t>1.8</w:t>
            </w:r>
          </w:p>
        </w:tc>
        <w:tc>
          <w:tcPr>
            <w:tcW w:w="1008" w:type="dxa"/>
            <w:shd w:val="clear" w:color="auto" w:fill="D4E3F5"/>
          </w:tcPr>
          <w:p>
            <w:pPr>
              <w:pStyle w:val="TableParagraph"/>
              <w:ind w:right="389"/>
              <w:jc w:val="right"/>
              <w:rPr>
                <w:sz w:val="14"/>
              </w:rPr>
            </w:pPr>
            <w:r>
              <w:rPr>
                <w:color w:val="231F20"/>
                <w:spacing w:val="-5"/>
                <w:w w:val="95"/>
                <w:sz w:val="14"/>
              </w:rPr>
              <w:t>6.8</w:t>
            </w:r>
          </w:p>
        </w:tc>
      </w:tr>
      <w:tr>
        <w:trPr>
          <w:trHeight w:val="259" w:hRule="atLeast"/>
        </w:trPr>
        <w:tc>
          <w:tcPr>
            <w:tcW w:w="1311" w:type="dxa"/>
          </w:tcPr>
          <w:p>
            <w:pPr>
              <w:pStyle w:val="TableParagraph"/>
              <w:ind w:left="80"/>
              <w:jc w:val="left"/>
              <w:rPr>
                <w:sz w:val="14"/>
              </w:rPr>
            </w:pPr>
            <w:r>
              <w:rPr>
                <w:color w:val="231F20"/>
                <w:spacing w:val="-2"/>
                <w:w w:val="85"/>
                <w:sz w:val="14"/>
              </w:rPr>
              <w:t>Tanzania</w:t>
            </w:r>
          </w:p>
        </w:tc>
        <w:tc>
          <w:tcPr>
            <w:tcW w:w="1150" w:type="dxa"/>
          </w:tcPr>
          <w:p>
            <w:pPr>
              <w:pStyle w:val="TableParagraph"/>
              <w:ind w:right="435"/>
              <w:jc w:val="right"/>
              <w:rPr>
                <w:sz w:val="14"/>
              </w:rPr>
            </w:pPr>
            <w:r>
              <w:rPr>
                <w:color w:val="231F20"/>
                <w:spacing w:val="-2"/>
                <w:w w:val="95"/>
                <w:sz w:val="14"/>
              </w:rPr>
              <w:t>11,265</w:t>
            </w:r>
          </w:p>
        </w:tc>
        <w:tc>
          <w:tcPr>
            <w:tcW w:w="851" w:type="dxa"/>
          </w:tcPr>
          <w:p>
            <w:pPr>
              <w:pStyle w:val="TableParagraph"/>
              <w:ind w:left="19" w:right="136"/>
              <w:rPr>
                <w:sz w:val="14"/>
              </w:rPr>
            </w:pPr>
            <w:r>
              <w:rPr>
                <w:color w:val="231F20"/>
                <w:spacing w:val="-4"/>
                <w:w w:val="95"/>
                <w:sz w:val="14"/>
              </w:rPr>
              <w:t>13.9</w:t>
            </w:r>
          </w:p>
        </w:tc>
        <w:tc>
          <w:tcPr>
            <w:tcW w:w="1063" w:type="dxa"/>
          </w:tcPr>
          <w:p>
            <w:pPr>
              <w:pStyle w:val="TableParagraph"/>
              <w:ind w:left="76" w:right="53"/>
              <w:rPr>
                <w:sz w:val="14"/>
              </w:rPr>
            </w:pPr>
            <w:r>
              <w:rPr>
                <w:color w:val="231F20"/>
                <w:spacing w:val="-5"/>
                <w:w w:val="95"/>
                <w:sz w:val="14"/>
              </w:rPr>
              <w:t>9.4</w:t>
            </w:r>
          </w:p>
        </w:tc>
        <w:tc>
          <w:tcPr>
            <w:tcW w:w="1080" w:type="dxa"/>
          </w:tcPr>
          <w:p>
            <w:pPr>
              <w:pStyle w:val="TableParagraph"/>
              <w:ind w:left="393"/>
              <w:jc w:val="left"/>
              <w:rPr>
                <w:sz w:val="14"/>
              </w:rPr>
            </w:pPr>
            <w:r>
              <w:rPr>
                <w:color w:val="231F20"/>
                <w:spacing w:val="-5"/>
                <w:w w:val="95"/>
                <w:sz w:val="14"/>
              </w:rPr>
              <w:t>4.4</w:t>
            </w:r>
          </w:p>
        </w:tc>
        <w:tc>
          <w:tcPr>
            <w:tcW w:w="755" w:type="dxa"/>
          </w:tcPr>
          <w:p>
            <w:pPr>
              <w:pStyle w:val="TableParagraph"/>
              <w:ind w:left="48" w:right="59"/>
              <w:rPr>
                <w:sz w:val="14"/>
              </w:rPr>
            </w:pPr>
            <w:r>
              <w:rPr>
                <w:color w:val="231F20"/>
                <w:spacing w:val="-4"/>
                <w:w w:val="95"/>
                <w:sz w:val="14"/>
              </w:rPr>
              <w:t>17.8</w:t>
            </w:r>
          </w:p>
        </w:tc>
        <w:tc>
          <w:tcPr>
            <w:tcW w:w="240" w:type="dxa"/>
          </w:tcPr>
          <w:p>
            <w:pPr>
              <w:pStyle w:val="TableParagraph"/>
              <w:spacing w:before="0"/>
              <w:jc w:val="left"/>
              <w:rPr>
                <w:rFonts w:ascii="Times New Roman"/>
                <w:sz w:val="12"/>
              </w:rPr>
            </w:pPr>
          </w:p>
        </w:tc>
        <w:tc>
          <w:tcPr>
            <w:tcW w:w="851" w:type="dxa"/>
          </w:tcPr>
          <w:p>
            <w:pPr>
              <w:pStyle w:val="TableParagraph"/>
              <w:ind w:left="248"/>
              <w:jc w:val="left"/>
              <w:rPr>
                <w:sz w:val="14"/>
              </w:rPr>
            </w:pPr>
            <w:r>
              <w:rPr>
                <w:color w:val="231F20"/>
                <w:spacing w:val="-4"/>
                <w:w w:val="95"/>
                <w:sz w:val="14"/>
              </w:rPr>
              <w:t>10.3</w:t>
            </w:r>
          </w:p>
        </w:tc>
        <w:tc>
          <w:tcPr>
            <w:tcW w:w="1073" w:type="dxa"/>
          </w:tcPr>
          <w:p>
            <w:pPr>
              <w:pStyle w:val="TableParagraph"/>
              <w:ind w:left="62" w:right="63"/>
              <w:rPr>
                <w:sz w:val="14"/>
              </w:rPr>
            </w:pPr>
            <w:r>
              <w:rPr>
                <w:color w:val="231F20"/>
                <w:spacing w:val="-5"/>
                <w:w w:val="95"/>
                <w:sz w:val="14"/>
              </w:rPr>
              <w:t>5.1</w:t>
            </w:r>
          </w:p>
        </w:tc>
        <w:tc>
          <w:tcPr>
            <w:tcW w:w="935" w:type="dxa"/>
          </w:tcPr>
          <w:p>
            <w:pPr>
              <w:pStyle w:val="TableParagraph"/>
              <w:ind w:left="30" w:right="28"/>
              <w:rPr>
                <w:sz w:val="14"/>
              </w:rPr>
            </w:pPr>
            <w:r>
              <w:rPr>
                <w:color w:val="231F20"/>
                <w:spacing w:val="-5"/>
                <w:w w:val="95"/>
                <w:sz w:val="14"/>
              </w:rPr>
              <w:t>2.8</w:t>
            </w:r>
          </w:p>
        </w:tc>
        <w:tc>
          <w:tcPr>
            <w:tcW w:w="1008" w:type="dxa"/>
          </w:tcPr>
          <w:p>
            <w:pPr>
              <w:pStyle w:val="TableParagraph"/>
              <w:ind w:right="390"/>
              <w:jc w:val="right"/>
              <w:rPr>
                <w:sz w:val="14"/>
              </w:rPr>
            </w:pPr>
            <w:r>
              <w:rPr>
                <w:color w:val="231F20"/>
                <w:spacing w:val="-4"/>
                <w:w w:val="95"/>
                <w:sz w:val="14"/>
              </w:rPr>
              <w:t>12.6</w:t>
            </w:r>
          </w:p>
        </w:tc>
      </w:tr>
      <w:tr>
        <w:trPr>
          <w:trHeight w:val="259" w:hRule="atLeast"/>
        </w:trPr>
        <w:tc>
          <w:tcPr>
            <w:tcW w:w="1311" w:type="dxa"/>
            <w:shd w:val="clear" w:color="auto" w:fill="D4E3F5"/>
          </w:tcPr>
          <w:p>
            <w:pPr>
              <w:pStyle w:val="TableParagraph"/>
              <w:ind w:left="80"/>
              <w:jc w:val="left"/>
              <w:rPr>
                <w:sz w:val="14"/>
              </w:rPr>
            </w:pPr>
            <w:r>
              <w:rPr>
                <w:color w:val="231F20"/>
                <w:spacing w:val="-2"/>
                <w:w w:val="90"/>
                <w:sz w:val="14"/>
              </w:rPr>
              <w:t>Thailand</w:t>
            </w:r>
          </w:p>
        </w:tc>
        <w:tc>
          <w:tcPr>
            <w:tcW w:w="1150" w:type="dxa"/>
            <w:shd w:val="clear" w:color="auto" w:fill="D4E3F5"/>
          </w:tcPr>
          <w:p>
            <w:pPr>
              <w:pStyle w:val="TableParagraph"/>
              <w:ind w:right="435"/>
              <w:jc w:val="right"/>
              <w:rPr>
                <w:sz w:val="14"/>
              </w:rPr>
            </w:pPr>
            <w:r>
              <w:rPr>
                <w:color w:val="231F20"/>
                <w:spacing w:val="-2"/>
                <w:w w:val="95"/>
                <w:sz w:val="14"/>
              </w:rPr>
              <w:t>31,034</w:t>
            </w:r>
          </w:p>
        </w:tc>
        <w:tc>
          <w:tcPr>
            <w:tcW w:w="851" w:type="dxa"/>
            <w:shd w:val="clear" w:color="auto" w:fill="D4E3F5"/>
          </w:tcPr>
          <w:p>
            <w:pPr>
              <w:pStyle w:val="TableParagraph"/>
              <w:ind w:left="77" w:right="136"/>
              <w:rPr>
                <w:sz w:val="14"/>
              </w:rPr>
            </w:pPr>
            <w:r>
              <w:rPr>
                <w:color w:val="231F20"/>
                <w:spacing w:val="-5"/>
                <w:w w:val="95"/>
                <w:sz w:val="14"/>
              </w:rPr>
              <w:t>5.7</w:t>
            </w:r>
          </w:p>
        </w:tc>
        <w:tc>
          <w:tcPr>
            <w:tcW w:w="1063" w:type="dxa"/>
            <w:shd w:val="clear" w:color="auto" w:fill="D4E3F5"/>
          </w:tcPr>
          <w:p>
            <w:pPr>
              <w:pStyle w:val="TableParagraph"/>
              <w:ind w:left="78" w:right="53"/>
              <w:rPr>
                <w:sz w:val="14"/>
              </w:rPr>
            </w:pPr>
            <w:r>
              <w:rPr>
                <w:color w:val="231F20"/>
                <w:spacing w:val="-5"/>
                <w:w w:val="95"/>
                <w:sz w:val="14"/>
              </w:rPr>
              <w:t>4.3</w:t>
            </w:r>
          </w:p>
        </w:tc>
        <w:tc>
          <w:tcPr>
            <w:tcW w:w="1080" w:type="dxa"/>
            <w:shd w:val="clear" w:color="auto" w:fill="D4E3F5"/>
          </w:tcPr>
          <w:p>
            <w:pPr>
              <w:pStyle w:val="TableParagraph"/>
              <w:ind w:left="392"/>
              <w:jc w:val="left"/>
              <w:rPr>
                <w:sz w:val="14"/>
              </w:rPr>
            </w:pPr>
            <w:r>
              <w:rPr>
                <w:color w:val="231F20"/>
                <w:spacing w:val="-5"/>
                <w:w w:val="95"/>
                <w:sz w:val="14"/>
              </w:rPr>
              <w:t>2.6</w:t>
            </w:r>
          </w:p>
        </w:tc>
        <w:tc>
          <w:tcPr>
            <w:tcW w:w="755" w:type="dxa"/>
            <w:shd w:val="clear" w:color="auto" w:fill="D4E3F5"/>
          </w:tcPr>
          <w:p>
            <w:pPr>
              <w:pStyle w:val="TableParagraph"/>
              <w:ind w:left="89" w:right="51"/>
              <w:rPr>
                <w:sz w:val="14"/>
              </w:rPr>
            </w:pPr>
            <w:r>
              <w:rPr>
                <w:color w:val="231F20"/>
                <w:spacing w:val="-5"/>
                <w:w w:val="95"/>
                <w:sz w:val="14"/>
              </w:rPr>
              <w:t>7.1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2" w:right="136"/>
              <w:rPr>
                <w:sz w:val="14"/>
              </w:rPr>
            </w:pPr>
            <w:r>
              <w:rPr>
                <w:color w:val="231F20"/>
                <w:spacing w:val="-5"/>
                <w:w w:val="95"/>
                <w:sz w:val="14"/>
              </w:rPr>
              <w:t>4.4</w:t>
            </w:r>
          </w:p>
        </w:tc>
        <w:tc>
          <w:tcPr>
            <w:tcW w:w="1073" w:type="dxa"/>
            <w:shd w:val="clear" w:color="auto" w:fill="D4E3F5"/>
          </w:tcPr>
          <w:p>
            <w:pPr>
              <w:pStyle w:val="TableParagraph"/>
              <w:ind w:left="79" w:right="63"/>
              <w:rPr>
                <w:sz w:val="14"/>
              </w:rPr>
            </w:pPr>
            <w:r>
              <w:rPr>
                <w:color w:val="231F20"/>
                <w:spacing w:val="-5"/>
                <w:w w:val="95"/>
                <w:sz w:val="14"/>
              </w:rPr>
              <w:t>3.3</w:t>
            </w:r>
          </w:p>
        </w:tc>
        <w:tc>
          <w:tcPr>
            <w:tcW w:w="935" w:type="dxa"/>
            <w:shd w:val="clear" w:color="auto" w:fill="D4E3F5"/>
          </w:tcPr>
          <w:p>
            <w:pPr>
              <w:pStyle w:val="TableParagraph"/>
              <w:ind w:left="33" w:right="28"/>
              <w:rPr>
                <w:sz w:val="14"/>
              </w:rPr>
            </w:pPr>
            <w:r>
              <w:rPr>
                <w:color w:val="231F20"/>
                <w:spacing w:val="-5"/>
                <w:w w:val="95"/>
                <w:sz w:val="14"/>
              </w:rPr>
              <w:t>1.7</w:t>
            </w:r>
          </w:p>
        </w:tc>
        <w:tc>
          <w:tcPr>
            <w:tcW w:w="1008" w:type="dxa"/>
            <w:shd w:val="clear" w:color="auto" w:fill="D4E3F5"/>
          </w:tcPr>
          <w:p>
            <w:pPr>
              <w:pStyle w:val="TableParagraph"/>
              <w:ind w:right="391"/>
              <w:jc w:val="right"/>
              <w:rPr>
                <w:sz w:val="14"/>
              </w:rPr>
            </w:pPr>
            <w:r>
              <w:rPr>
                <w:color w:val="231F20"/>
                <w:spacing w:val="-5"/>
                <w:w w:val="95"/>
                <w:sz w:val="14"/>
              </w:rPr>
              <w:t>5.4</w:t>
            </w:r>
          </w:p>
        </w:tc>
      </w:tr>
      <w:tr>
        <w:trPr>
          <w:trHeight w:val="259" w:hRule="atLeast"/>
        </w:trPr>
        <w:tc>
          <w:tcPr>
            <w:tcW w:w="1311" w:type="dxa"/>
          </w:tcPr>
          <w:p>
            <w:pPr>
              <w:pStyle w:val="TableParagraph"/>
              <w:ind w:left="80"/>
              <w:jc w:val="left"/>
              <w:rPr>
                <w:sz w:val="14"/>
              </w:rPr>
            </w:pPr>
            <w:r>
              <w:rPr>
                <w:color w:val="231F20"/>
                <w:w w:val="80"/>
                <w:sz w:val="14"/>
              </w:rPr>
              <w:t>Timor-</w:t>
            </w:r>
            <w:r>
              <w:rPr>
                <w:color w:val="231F20"/>
                <w:spacing w:val="-4"/>
                <w:w w:val="90"/>
                <w:sz w:val="14"/>
              </w:rPr>
              <w:t>Leste</w:t>
            </w:r>
          </w:p>
        </w:tc>
        <w:tc>
          <w:tcPr>
            <w:tcW w:w="1150" w:type="dxa"/>
          </w:tcPr>
          <w:p>
            <w:pPr>
              <w:pStyle w:val="TableParagraph"/>
              <w:ind w:right="430"/>
              <w:jc w:val="right"/>
              <w:rPr>
                <w:sz w:val="14"/>
              </w:rPr>
            </w:pPr>
            <w:r>
              <w:rPr>
                <w:color w:val="231F20"/>
                <w:spacing w:val="-5"/>
                <w:w w:val="95"/>
                <w:sz w:val="14"/>
              </w:rPr>
              <w:t>80</w:t>
            </w:r>
          </w:p>
        </w:tc>
        <w:tc>
          <w:tcPr>
            <w:tcW w:w="851" w:type="dxa"/>
          </w:tcPr>
          <w:p>
            <w:pPr>
              <w:pStyle w:val="TableParagraph"/>
              <w:ind w:left="83" w:right="136"/>
              <w:rPr>
                <w:sz w:val="14"/>
              </w:rPr>
            </w:pPr>
            <w:r>
              <w:rPr>
                <w:color w:val="231F20"/>
                <w:spacing w:val="-5"/>
                <w:w w:val="95"/>
                <w:sz w:val="14"/>
              </w:rPr>
              <w:t>4.6</w:t>
            </w:r>
          </w:p>
        </w:tc>
        <w:tc>
          <w:tcPr>
            <w:tcW w:w="1063" w:type="dxa"/>
          </w:tcPr>
          <w:p>
            <w:pPr>
              <w:pStyle w:val="TableParagraph"/>
              <w:ind w:left="60" w:right="53"/>
              <w:rPr>
                <w:sz w:val="14"/>
              </w:rPr>
            </w:pPr>
            <w:r>
              <w:rPr>
                <w:color w:val="231F20"/>
                <w:spacing w:val="-5"/>
                <w:w w:val="95"/>
                <w:sz w:val="14"/>
              </w:rPr>
              <w:t>4.1</w:t>
            </w:r>
          </w:p>
        </w:tc>
        <w:tc>
          <w:tcPr>
            <w:tcW w:w="1080" w:type="dxa"/>
          </w:tcPr>
          <w:p>
            <w:pPr>
              <w:pStyle w:val="TableParagraph"/>
              <w:ind w:left="399"/>
              <w:jc w:val="left"/>
              <w:rPr>
                <w:sz w:val="14"/>
              </w:rPr>
            </w:pPr>
            <w:r>
              <w:rPr>
                <w:color w:val="231F20"/>
                <w:spacing w:val="-5"/>
                <w:w w:val="95"/>
                <w:sz w:val="14"/>
              </w:rPr>
              <w:t>1.7</w:t>
            </w:r>
          </w:p>
        </w:tc>
        <w:tc>
          <w:tcPr>
            <w:tcW w:w="755" w:type="dxa"/>
          </w:tcPr>
          <w:p>
            <w:pPr>
              <w:pStyle w:val="TableParagraph"/>
              <w:ind w:left="87" w:right="51"/>
              <w:rPr>
                <w:sz w:val="14"/>
              </w:rPr>
            </w:pPr>
            <w:r>
              <w:rPr>
                <w:color w:val="231F20"/>
                <w:spacing w:val="-5"/>
                <w:w w:val="95"/>
                <w:sz w:val="14"/>
              </w:rPr>
              <w:t>5.2</w:t>
            </w:r>
          </w:p>
        </w:tc>
        <w:tc>
          <w:tcPr>
            <w:tcW w:w="240" w:type="dxa"/>
          </w:tcPr>
          <w:p>
            <w:pPr>
              <w:pStyle w:val="TableParagraph"/>
              <w:spacing w:before="0"/>
              <w:jc w:val="left"/>
              <w:rPr>
                <w:rFonts w:ascii="Times New Roman"/>
                <w:sz w:val="12"/>
              </w:rPr>
            </w:pPr>
          </w:p>
        </w:tc>
        <w:tc>
          <w:tcPr>
            <w:tcW w:w="851" w:type="dxa"/>
          </w:tcPr>
          <w:p>
            <w:pPr>
              <w:pStyle w:val="TableParagraph"/>
              <w:ind w:left="83" w:right="136"/>
              <w:rPr>
                <w:sz w:val="14"/>
              </w:rPr>
            </w:pPr>
            <w:r>
              <w:rPr>
                <w:color w:val="231F20"/>
                <w:spacing w:val="-5"/>
                <w:w w:val="95"/>
                <w:sz w:val="14"/>
              </w:rPr>
              <w:t>4.0</w:t>
            </w:r>
          </w:p>
        </w:tc>
        <w:tc>
          <w:tcPr>
            <w:tcW w:w="1073" w:type="dxa"/>
          </w:tcPr>
          <w:p>
            <w:pPr>
              <w:pStyle w:val="TableParagraph"/>
              <w:ind w:left="79" w:right="63"/>
              <w:rPr>
                <w:sz w:val="14"/>
              </w:rPr>
            </w:pPr>
            <w:r>
              <w:rPr>
                <w:color w:val="231F20"/>
                <w:spacing w:val="-5"/>
                <w:w w:val="95"/>
                <w:sz w:val="14"/>
              </w:rPr>
              <w:t>3.8</w:t>
            </w:r>
          </w:p>
        </w:tc>
        <w:tc>
          <w:tcPr>
            <w:tcW w:w="935" w:type="dxa"/>
          </w:tcPr>
          <w:p>
            <w:pPr>
              <w:pStyle w:val="TableParagraph"/>
              <w:ind w:left="37" w:right="28"/>
              <w:rPr>
                <w:sz w:val="14"/>
              </w:rPr>
            </w:pPr>
            <w:r>
              <w:rPr>
                <w:color w:val="231F20"/>
                <w:spacing w:val="-5"/>
                <w:w w:val="95"/>
                <w:sz w:val="14"/>
              </w:rPr>
              <w:t>1.5</w:t>
            </w:r>
          </w:p>
        </w:tc>
        <w:tc>
          <w:tcPr>
            <w:tcW w:w="1008" w:type="dxa"/>
          </w:tcPr>
          <w:p>
            <w:pPr>
              <w:pStyle w:val="TableParagraph"/>
              <w:ind w:right="388"/>
              <w:jc w:val="right"/>
              <w:rPr>
                <w:sz w:val="14"/>
              </w:rPr>
            </w:pPr>
            <w:r>
              <w:rPr>
                <w:color w:val="231F20"/>
                <w:spacing w:val="-5"/>
                <w:w w:val="95"/>
                <w:sz w:val="14"/>
              </w:rPr>
              <w:t>5.2</w:t>
            </w:r>
          </w:p>
        </w:tc>
      </w:tr>
      <w:tr>
        <w:trPr>
          <w:trHeight w:val="259" w:hRule="atLeast"/>
        </w:trPr>
        <w:tc>
          <w:tcPr>
            <w:tcW w:w="1311" w:type="dxa"/>
            <w:shd w:val="clear" w:color="auto" w:fill="D4E3F5"/>
          </w:tcPr>
          <w:p>
            <w:pPr>
              <w:pStyle w:val="TableParagraph"/>
              <w:ind w:left="80"/>
              <w:jc w:val="left"/>
              <w:rPr>
                <w:sz w:val="14"/>
              </w:rPr>
            </w:pPr>
            <w:r>
              <w:rPr>
                <w:color w:val="231F20"/>
                <w:spacing w:val="-4"/>
                <w:w w:val="85"/>
                <w:sz w:val="14"/>
              </w:rPr>
              <w:t>Togo</w:t>
            </w:r>
          </w:p>
        </w:tc>
        <w:tc>
          <w:tcPr>
            <w:tcW w:w="1150" w:type="dxa"/>
            <w:shd w:val="clear" w:color="auto" w:fill="D4E3F5"/>
          </w:tcPr>
          <w:p>
            <w:pPr>
              <w:pStyle w:val="TableParagraph"/>
              <w:ind w:right="435"/>
              <w:jc w:val="right"/>
              <w:rPr>
                <w:sz w:val="14"/>
              </w:rPr>
            </w:pPr>
            <w:r>
              <w:rPr>
                <w:color w:val="231F20"/>
                <w:spacing w:val="-2"/>
                <w:w w:val="95"/>
                <w:sz w:val="14"/>
              </w:rPr>
              <w:t>7,118</w:t>
            </w:r>
          </w:p>
        </w:tc>
        <w:tc>
          <w:tcPr>
            <w:tcW w:w="851" w:type="dxa"/>
            <w:shd w:val="clear" w:color="auto" w:fill="D4E3F5"/>
          </w:tcPr>
          <w:p>
            <w:pPr>
              <w:pStyle w:val="TableParagraph"/>
              <w:ind w:left="63" w:right="136"/>
              <w:rPr>
                <w:sz w:val="14"/>
              </w:rPr>
            </w:pPr>
            <w:r>
              <w:rPr>
                <w:color w:val="231F20"/>
                <w:spacing w:val="-5"/>
                <w:w w:val="95"/>
                <w:sz w:val="14"/>
              </w:rPr>
              <w:t>8.1</w:t>
            </w:r>
          </w:p>
        </w:tc>
        <w:tc>
          <w:tcPr>
            <w:tcW w:w="1063" w:type="dxa"/>
            <w:shd w:val="clear" w:color="auto" w:fill="D4E3F5"/>
          </w:tcPr>
          <w:p>
            <w:pPr>
              <w:pStyle w:val="TableParagraph"/>
              <w:ind w:left="77" w:right="53"/>
              <w:rPr>
                <w:sz w:val="14"/>
              </w:rPr>
            </w:pPr>
            <w:r>
              <w:rPr>
                <w:color w:val="231F20"/>
                <w:spacing w:val="-5"/>
                <w:w w:val="95"/>
                <w:sz w:val="14"/>
              </w:rPr>
              <w:t>4.6</w:t>
            </w:r>
          </w:p>
        </w:tc>
        <w:tc>
          <w:tcPr>
            <w:tcW w:w="1080" w:type="dxa"/>
            <w:shd w:val="clear" w:color="auto" w:fill="D4E3F5"/>
          </w:tcPr>
          <w:p>
            <w:pPr>
              <w:pStyle w:val="TableParagraph"/>
              <w:ind w:left="391"/>
              <w:jc w:val="left"/>
              <w:rPr>
                <w:sz w:val="14"/>
              </w:rPr>
            </w:pPr>
            <w:r>
              <w:rPr>
                <w:color w:val="231F20"/>
                <w:spacing w:val="-5"/>
                <w:w w:val="95"/>
                <w:sz w:val="14"/>
              </w:rPr>
              <w:t>3.0</w:t>
            </w:r>
          </w:p>
        </w:tc>
        <w:tc>
          <w:tcPr>
            <w:tcW w:w="755" w:type="dxa"/>
            <w:shd w:val="clear" w:color="auto" w:fill="D4E3F5"/>
          </w:tcPr>
          <w:p>
            <w:pPr>
              <w:pStyle w:val="TableParagraph"/>
              <w:ind w:left="86" w:right="51"/>
              <w:rPr>
                <w:sz w:val="14"/>
              </w:rPr>
            </w:pPr>
            <w:r>
              <w:rPr>
                <w:color w:val="231F20"/>
                <w:spacing w:val="-5"/>
                <w:w w:val="95"/>
                <w:sz w:val="14"/>
              </w:rPr>
              <w:t>9.0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64" w:right="136"/>
              <w:rPr>
                <w:sz w:val="14"/>
              </w:rPr>
            </w:pPr>
            <w:r>
              <w:rPr>
                <w:color w:val="231F20"/>
                <w:spacing w:val="-5"/>
                <w:w w:val="95"/>
                <w:sz w:val="14"/>
              </w:rPr>
              <w:t>8.1</w:t>
            </w:r>
          </w:p>
        </w:tc>
        <w:tc>
          <w:tcPr>
            <w:tcW w:w="1073" w:type="dxa"/>
            <w:shd w:val="clear" w:color="auto" w:fill="D4E3F5"/>
          </w:tcPr>
          <w:p>
            <w:pPr>
              <w:pStyle w:val="TableParagraph"/>
              <w:ind w:left="78" w:right="63"/>
              <w:rPr>
                <w:sz w:val="14"/>
              </w:rPr>
            </w:pPr>
            <w:r>
              <w:rPr>
                <w:color w:val="231F20"/>
                <w:spacing w:val="-5"/>
                <w:w w:val="95"/>
                <w:sz w:val="14"/>
              </w:rPr>
              <w:t>4.6</w:t>
            </w:r>
          </w:p>
        </w:tc>
        <w:tc>
          <w:tcPr>
            <w:tcW w:w="935" w:type="dxa"/>
            <w:shd w:val="clear" w:color="auto" w:fill="D4E3F5"/>
          </w:tcPr>
          <w:p>
            <w:pPr>
              <w:pStyle w:val="TableParagraph"/>
              <w:ind w:left="29" w:right="28"/>
              <w:rPr>
                <w:sz w:val="14"/>
              </w:rPr>
            </w:pPr>
            <w:r>
              <w:rPr>
                <w:color w:val="231F20"/>
                <w:spacing w:val="-5"/>
                <w:w w:val="95"/>
                <w:sz w:val="14"/>
              </w:rPr>
              <w:t>3.0</w:t>
            </w:r>
          </w:p>
        </w:tc>
        <w:tc>
          <w:tcPr>
            <w:tcW w:w="1008" w:type="dxa"/>
            <w:shd w:val="clear" w:color="auto" w:fill="D4E3F5"/>
          </w:tcPr>
          <w:p>
            <w:pPr>
              <w:pStyle w:val="TableParagraph"/>
              <w:ind w:right="390"/>
              <w:jc w:val="right"/>
              <w:rPr>
                <w:sz w:val="14"/>
              </w:rPr>
            </w:pPr>
            <w:r>
              <w:rPr>
                <w:color w:val="231F20"/>
                <w:spacing w:val="-5"/>
                <w:w w:val="95"/>
                <w:sz w:val="14"/>
              </w:rPr>
              <w:t>9.0</w:t>
            </w:r>
          </w:p>
        </w:tc>
      </w:tr>
      <w:tr>
        <w:trPr>
          <w:trHeight w:val="259" w:hRule="atLeast"/>
        </w:trPr>
        <w:tc>
          <w:tcPr>
            <w:tcW w:w="1311" w:type="dxa"/>
          </w:tcPr>
          <w:p>
            <w:pPr>
              <w:pStyle w:val="TableParagraph"/>
              <w:ind w:left="80"/>
              <w:jc w:val="left"/>
              <w:rPr>
                <w:sz w:val="14"/>
              </w:rPr>
            </w:pPr>
            <w:r>
              <w:rPr>
                <w:color w:val="231F20"/>
                <w:spacing w:val="-2"/>
                <w:w w:val="85"/>
                <w:sz w:val="14"/>
              </w:rPr>
              <w:t>Tonga</w:t>
            </w:r>
          </w:p>
        </w:tc>
        <w:tc>
          <w:tcPr>
            <w:tcW w:w="1150" w:type="dxa"/>
          </w:tcPr>
          <w:p>
            <w:pPr>
              <w:pStyle w:val="TableParagraph"/>
              <w:ind w:right="436"/>
              <w:jc w:val="right"/>
              <w:rPr>
                <w:sz w:val="14"/>
              </w:rPr>
            </w:pPr>
            <w:r>
              <w:rPr>
                <w:color w:val="231F20"/>
                <w:spacing w:val="-10"/>
                <w:w w:val="95"/>
                <w:sz w:val="14"/>
              </w:rPr>
              <w:t>5</w:t>
            </w:r>
          </w:p>
        </w:tc>
        <w:tc>
          <w:tcPr>
            <w:tcW w:w="851" w:type="dxa"/>
          </w:tcPr>
          <w:p>
            <w:pPr>
              <w:pStyle w:val="TableParagraph"/>
              <w:ind w:left="81" w:right="136"/>
              <w:rPr>
                <w:sz w:val="14"/>
              </w:rPr>
            </w:pPr>
            <w:r>
              <w:rPr>
                <w:color w:val="231F20"/>
                <w:spacing w:val="-5"/>
                <w:w w:val="95"/>
                <w:sz w:val="14"/>
              </w:rPr>
              <w:t>4.4</w:t>
            </w:r>
          </w:p>
        </w:tc>
        <w:tc>
          <w:tcPr>
            <w:tcW w:w="1063" w:type="dxa"/>
          </w:tcPr>
          <w:p>
            <w:pPr>
              <w:pStyle w:val="TableParagraph"/>
              <w:ind w:left="76" w:right="53"/>
              <w:rPr>
                <w:sz w:val="14"/>
              </w:rPr>
            </w:pPr>
            <w:r>
              <w:rPr>
                <w:color w:val="231F20"/>
                <w:spacing w:val="-5"/>
                <w:w w:val="95"/>
                <w:sz w:val="14"/>
              </w:rPr>
              <w:t>3.0</w:t>
            </w:r>
          </w:p>
        </w:tc>
        <w:tc>
          <w:tcPr>
            <w:tcW w:w="1080" w:type="dxa"/>
          </w:tcPr>
          <w:p>
            <w:pPr>
              <w:pStyle w:val="TableParagraph"/>
              <w:ind w:left="391"/>
              <w:jc w:val="left"/>
              <w:rPr>
                <w:sz w:val="14"/>
              </w:rPr>
            </w:pPr>
            <w:r>
              <w:rPr>
                <w:color w:val="231F20"/>
                <w:spacing w:val="-5"/>
                <w:w w:val="95"/>
                <w:sz w:val="14"/>
              </w:rPr>
              <w:t>3.0</w:t>
            </w:r>
          </w:p>
        </w:tc>
        <w:tc>
          <w:tcPr>
            <w:tcW w:w="755" w:type="dxa"/>
          </w:tcPr>
          <w:p>
            <w:pPr>
              <w:pStyle w:val="TableParagraph"/>
              <w:ind w:left="68" w:right="51"/>
              <w:rPr>
                <w:sz w:val="14"/>
              </w:rPr>
            </w:pPr>
            <w:r>
              <w:rPr>
                <w:color w:val="231F20"/>
                <w:spacing w:val="-5"/>
                <w:w w:val="95"/>
                <w:sz w:val="14"/>
              </w:rPr>
              <w:t>6.1</w:t>
            </w:r>
          </w:p>
        </w:tc>
        <w:tc>
          <w:tcPr>
            <w:tcW w:w="240" w:type="dxa"/>
          </w:tcPr>
          <w:p>
            <w:pPr>
              <w:pStyle w:val="TableParagraph"/>
              <w:spacing w:before="0"/>
              <w:jc w:val="left"/>
              <w:rPr>
                <w:rFonts w:ascii="Times New Roman"/>
                <w:sz w:val="12"/>
              </w:rPr>
            </w:pPr>
          </w:p>
        </w:tc>
        <w:tc>
          <w:tcPr>
            <w:tcW w:w="851" w:type="dxa"/>
          </w:tcPr>
          <w:p>
            <w:pPr>
              <w:pStyle w:val="TableParagraph"/>
              <w:ind w:left="82" w:right="136"/>
              <w:rPr>
                <w:sz w:val="14"/>
              </w:rPr>
            </w:pPr>
            <w:r>
              <w:rPr>
                <w:color w:val="231F20"/>
                <w:spacing w:val="-5"/>
                <w:w w:val="95"/>
                <w:sz w:val="14"/>
              </w:rPr>
              <w:t>4.4</w:t>
            </w:r>
          </w:p>
        </w:tc>
        <w:tc>
          <w:tcPr>
            <w:tcW w:w="1073" w:type="dxa"/>
          </w:tcPr>
          <w:p>
            <w:pPr>
              <w:pStyle w:val="TableParagraph"/>
              <w:ind w:left="77" w:right="63"/>
              <w:rPr>
                <w:sz w:val="14"/>
              </w:rPr>
            </w:pPr>
            <w:r>
              <w:rPr>
                <w:color w:val="231F20"/>
                <w:spacing w:val="-5"/>
                <w:w w:val="95"/>
                <w:sz w:val="14"/>
              </w:rPr>
              <w:t>3.0</w:t>
            </w:r>
          </w:p>
        </w:tc>
        <w:tc>
          <w:tcPr>
            <w:tcW w:w="935" w:type="dxa"/>
          </w:tcPr>
          <w:p>
            <w:pPr>
              <w:pStyle w:val="TableParagraph"/>
              <w:ind w:left="29" w:right="28"/>
              <w:rPr>
                <w:sz w:val="14"/>
              </w:rPr>
            </w:pPr>
            <w:r>
              <w:rPr>
                <w:color w:val="231F20"/>
                <w:spacing w:val="-5"/>
                <w:w w:val="95"/>
                <w:sz w:val="14"/>
              </w:rPr>
              <w:t>3.0</w:t>
            </w:r>
          </w:p>
        </w:tc>
        <w:tc>
          <w:tcPr>
            <w:tcW w:w="1008" w:type="dxa"/>
          </w:tcPr>
          <w:p>
            <w:pPr>
              <w:pStyle w:val="TableParagraph"/>
              <w:ind w:right="407"/>
              <w:jc w:val="right"/>
              <w:rPr>
                <w:sz w:val="14"/>
              </w:rPr>
            </w:pPr>
            <w:r>
              <w:rPr>
                <w:color w:val="231F20"/>
                <w:spacing w:val="-5"/>
                <w:w w:val="95"/>
                <w:sz w:val="14"/>
              </w:rPr>
              <w:t>6.1</w:t>
            </w:r>
          </w:p>
        </w:tc>
      </w:tr>
      <w:tr>
        <w:trPr>
          <w:trHeight w:val="259" w:hRule="atLeast"/>
        </w:trPr>
        <w:tc>
          <w:tcPr>
            <w:tcW w:w="1311" w:type="dxa"/>
            <w:shd w:val="clear" w:color="auto" w:fill="D4E3F5"/>
          </w:tcPr>
          <w:p>
            <w:pPr>
              <w:pStyle w:val="TableParagraph"/>
              <w:ind w:left="80"/>
              <w:jc w:val="left"/>
              <w:rPr>
                <w:sz w:val="14"/>
              </w:rPr>
            </w:pPr>
            <w:r>
              <w:rPr>
                <w:color w:val="231F20"/>
                <w:w w:val="75"/>
                <w:sz w:val="14"/>
              </w:rPr>
              <w:t>Trinidad</w:t>
            </w:r>
            <w:r>
              <w:rPr>
                <w:color w:val="231F20"/>
                <w:spacing w:val="6"/>
                <w:sz w:val="14"/>
              </w:rPr>
              <w:t> </w:t>
            </w:r>
            <w:r>
              <w:rPr>
                <w:color w:val="231F20"/>
                <w:w w:val="75"/>
                <w:sz w:val="14"/>
              </w:rPr>
              <w:t>and</w:t>
            </w:r>
            <w:r>
              <w:rPr>
                <w:color w:val="231F20"/>
                <w:spacing w:val="6"/>
                <w:sz w:val="14"/>
              </w:rPr>
              <w:t> </w:t>
            </w:r>
            <w:r>
              <w:rPr>
                <w:color w:val="231F20"/>
                <w:spacing w:val="-2"/>
                <w:w w:val="75"/>
                <w:sz w:val="14"/>
              </w:rPr>
              <w:t>Tobago</w:t>
            </w:r>
          </w:p>
        </w:tc>
        <w:tc>
          <w:tcPr>
            <w:tcW w:w="1150" w:type="dxa"/>
            <w:shd w:val="clear" w:color="auto" w:fill="D4E3F5"/>
          </w:tcPr>
          <w:p>
            <w:pPr>
              <w:pStyle w:val="TableParagraph"/>
              <w:ind w:right="434"/>
              <w:jc w:val="right"/>
              <w:rPr>
                <w:sz w:val="14"/>
              </w:rPr>
            </w:pPr>
            <w:r>
              <w:rPr>
                <w:color w:val="231F20"/>
                <w:spacing w:val="-2"/>
                <w:w w:val="95"/>
                <w:sz w:val="14"/>
              </w:rPr>
              <w:t>2,277</w:t>
            </w:r>
          </w:p>
        </w:tc>
        <w:tc>
          <w:tcPr>
            <w:tcW w:w="851" w:type="dxa"/>
            <w:shd w:val="clear" w:color="auto" w:fill="D4E3F5"/>
          </w:tcPr>
          <w:p>
            <w:pPr>
              <w:pStyle w:val="TableParagraph"/>
              <w:ind w:left="84" w:right="136"/>
              <w:rPr>
                <w:sz w:val="14"/>
              </w:rPr>
            </w:pPr>
            <w:r>
              <w:rPr>
                <w:color w:val="231F20"/>
                <w:spacing w:val="-5"/>
                <w:w w:val="95"/>
                <w:sz w:val="14"/>
              </w:rPr>
              <w:t>9.2</w:t>
            </w:r>
          </w:p>
        </w:tc>
        <w:tc>
          <w:tcPr>
            <w:tcW w:w="1063" w:type="dxa"/>
            <w:shd w:val="clear" w:color="auto" w:fill="D4E3F5"/>
          </w:tcPr>
          <w:p>
            <w:pPr>
              <w:pStyle w:val="TableParagraph"/>
              <w:ind w:left="71" w:right="53"/>
              <w:rPr>
                <w:sz w:val="14"/>
              </w:rPr>
            </w:pPr>
            <w:r>
              <w:rPr>
                <w:color w:val="231F20"/>
                <w:spacing w:val="-5"/>
                <w:w w:val="95"/>
                <w:sz w:val="14"/>
              </w:rPr>
              <w:t>6.7</w:t>
            </w:r>
          </w:p>
        </w:tc>
        <w:tc>
          <w:tcPr>
            <w:tcW w:w="1080" w:type="dxa"/>
            <w:shd w:val="clear" w:color="auto" w:fill="D4E3F5"/>
          </w:tcPr>
          <w:p>
            <w:pPr>
              <w:pStyle w:val="TableParagraph"/>
              <w:ind w:left="393"/>
              <w:jc w:val="left"/>
              <w:rPr>
                <w:sz w:val="14"/>
              </w:rPr>
            </w:pPr>
            <w:r>
              <w:rPr>
                <w:color w:val="231F20"/>
                <w:spacing w:val="-5"/>
                <w:w w:val="95"/>
                <w:sz w:val="14"/>
              </w:rPr>
              <w:t>4.4</w:t>
            </w:r>
          </w:p>
        </w:tc>
        <w:tc>
          <w:tcPr>
            <w:tcW w:w="755" w:type="dxa"/>
            <w:shd w:val="clear" w:color="auto" w:fill="D4E3F5"/>
          </w:tcPr>
          <w:p>
            <w:pPr>
              <w:pStyle w:val="TableParagraph"/>
              <w:ind w:left="48" w:right="72"/>
              <w:rPr>
                <w:sz w:val="14"/>
              </w:rPr>
            </w:pPr>
            <w:r>
              <w:rPr>
                <w:color w:val="231F20"/>
                <w:spacing w:val="-4"/>
                <w:w w:val="95"/>
                <w:sz w:val="14"/>
              </w:rPr>
              <w:t>10.2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65" w:right="136"/>
              <w:rPr>
                <w:sz w:val="14"/>
              </w:rPr>
            </w:pPr>
            <w:r>
              <w:rPr>
                <w:color w:val="231F20"/>
                <w:spacing w:val="-5"/>
                <w:w w:val="95"/>
                <w:sz w:val="14"/>
              </w:rPr>
              <w:t>9.1</w:t>
            </w:r>
          </w:p>
        </w:tc>
        <w:tc>
          <w:tcPr>
            <w:tcW w:w="1073" w:type="dxa"/>
            <w:shd w:val="clear" w:color="auto" w:fill="D4E3F5"/>
          </w:tcPr>
          <w:p>
            <w:pPr>
              <w:pStyle w:val="TableParagraph"/>
              <w:ind w:left="72" w:right="63"/>
              <w:rPr>
                <w:sz w:val="14"/>
              </w:rPr>
            </w:pPr>
            <w:r>
              <w:rPr>
                <w:color w:val="231F20"/>
                <w:spacing w:val="-5"/>
                <w:w w:val="95"/>
                <w:sz w:val="14"/>
              </w:rPr>
              <w:t>6.7</w:t>
            </w:r>
          </w:p>
        </w:tc>
        <w:tc>
          <w:tcPr>
            <w:tcW w:w="935" w:type="dxa"/>
            <w:shd w:val="clear" w:color="auto" w:fill="D4E3F5"/>
          </w:tcPr>
          <w:p>
            <w:pPr>
              <w:pStyle w:val="TableParagraph"/>
              <w:ind w:left="28" w:right="28"/>
              <w:rPr>
                <w:sz w:val="14"/>
              </w:rPr>
            </w:pPr>
            <w:r>
              <w:rPr>
                <w:color w:val="231F20"/>
                <w:spacing w:val="-5"/>
                <w:w w:val="95"/>
                <w:sz w:val="14"/>
              </w:rPr>
              <w:t>4.4</w:t>
            </w:r>
          </w:p>
        </w:tc>
        <w:tc>
          <w:tcPr>
            <w:tcW w:w="1008" w:type="dxa"/>
            <w:shd w:val="clear" w:color="auto" w:fill="D4E3F5"/>
          </w:tcPr>
          <w:p>
            <w:pPr>
              <w:pStyle w:val="TableParagraph"/>
              <w:ind w:right="388"/>
              <w:jc w:val="right"/>
              <w:rPr>
                <w:sz w:val="14"/>
              </w:rPr>
            </w:pPr>
            <w:r>
              <w:rPr>
                <w:color w:val="231F20"/>
                <w:spacing w:val="-4"/>
                <w:w w:val="95"/>
                <w:sz w:val="14"/>
              </w:rPr>
              <w:t>10.2</w:t>
            </w:r>
          </w:p>
        </w:tc>
      </w:tr>
      <w:tr>
        <w:trPr>
          <w:trHeight w:val="259" w:hRule="atLeast"/>
        </w:trPr>
        <w:tc>
          <w:tcPr>
            <w:tcW w:w="1311" w:type="dxa"/>
          </w:tcPr>
          <w:p>
            <w:pPr>
              <w:pStyle w:val="TableParagraph"/>
              <w:ind w:left="80"/>
              <w:jc w:val="left"/>
              <w:rPr>
                <w:sz w:val="14"/>
              </w:rPr>
            </w:pPr>
            <w:r>
              <w:rPr>
                <w:color w:val="231F20"/>
                <w:spacing w:val="-2"/>
                <w:w w:val="90"/>
                <w:sz w:val="14"/>
              </w:rPr>
              <w:t>Tunisia</w:t>
            </w:r>
          </w:p>
        </w:tc>
        <w:tc>
          <w:tcPr>
            <w:tcW w:w="1150" w:type="dxa"/>
          </w:tcPr>
          <w:p>
            <w:pPr>
              <w:pStyle w:val="TableParagraph"/>
              <w:ind w:right="435"/>
              <w:jc w:val="right"/>
              <w:rPr>
                <w:sz w:val="14"/>
              </w:rPr>
            </w:pPr>
            <w:r>
              <w:rPr>
                <w:color w:val="231F20"/>
                <w:spacing w:val="-2"/>
                <w:w w:val="95"/>
                <w:sz w:val="14"/>
              </w:rPr>
              <w:t>1,496</w:t>
            </w:r>
          </w:p>
        </w:tc>
        <w:tc>
          <w:tcPr>
            <w:tcW w:w="851" w:type="dxa"/>
          </w:tcPr>
          <w:p>
            <w:pPr>
              <w:pStyle w:val="TableParagraph"/>
              <w:ind w:left="15" w:right="136"/>
              <w:rPr>
                <w:sz w:val="14"/>
              </w:rPr>
            </w:pPr>
            <w:r>
              <w:rPr>
                <w:color w:val="231F20"/>
                <w:spacing w:val="-4"/>
                <w:w w:val="95"/>
                <w:sz w:val="14"/>
              </w:rPr>
              <w:t>18.7</w:t>
            </w:r>
          </w:p>
        </w:tc>
        <w:tc>
          <w:tcPr>
            <w:tcW w:w="1063" w:type="dxa"/>
          </w:tcPr>
          <w:p>
            <w:pPr>
              <w:pStyle w:val="TableParagraph"/>
              <w:ind w:left="38" w:right="76"/>
              <w:rPr>
                <w:sz w:val="14"/>
              </w:rPr>
            </w:pPr>
            <w:r>
              <w:rPr>
                <w:color w:val="231F20"/>
                <w:spacing w:val="-4"/>
                <w:w w:val="95"/>
                <w:sz w:val="14"/>
              </w:rPr>
              <w:t>13.4</w:t>
            </w:r>
          </w:p>
        </w:tc>
        <w:tc>
          <w:tcPr>
            <w:tcW w:w="1080" w:type="dxa"/>
          </w:tcPr>
          <w:p>
            <w:pPr>
              <w:pStyle w:val="TableParagraph"/>
              <w:ind w:left="392"/>
              <w:jc w:val="left"/>
              <w:rPr>
                <w:sz w:val="14"/>
              </w:rPr>
            </w:pPr>
            <w:r>
              <w:rPr>
                <w:color w:val="231F20"/>
                <w:spacing w:val="-5"/>
                <w:w w:val="95"/>
                <w:sz w:val="14"/>
              </w:rPr>
              <w:t>9.0</w:t>
            </w:r>
          </w:p>
        </w:tc>
        <w:tc>
          <w:tcPr>
            <w:tcW w:w="755" w:type="dxa"/>
          </w:tcPr>
          <w:p>
            <w:pPr>
              <w:pStyle w:val="TableParagraph"/>
              <w:ind w:left="48" w:right="78"/>
              <w:rPr>
                <w:sz w:val="14"/>
              </w:rPr>
            </w:pPr>
            <w:r>
              <w:rPr>
                <w:color w:val="231F20"/>
                <w:spacing w:val="-4"/>
                <w:w w:val="95"/>
                <w:sz w:val="14"/>
              </w:rPr>
              <w:t>23.3</w:t>
            </w:r>
          </w:p>
        </w:tc>
        <w:tc>
          <w:tcPr>
            <w:tcW w:w="240" w:type="dxa"/>
          </w:tcPr>
          <w:p>
            <w:pPr>
              <w:pStyle w:val="TableParagraph"/>
              <w:spacing w:before="0"/>
              <w:jc w:val="left"/>
              <w:rPr>
                <w:rFonts w:ascii="Times New Roman"/>
                <w:sz w:val="12"/>
              </w:rPr>
            </w:pPr>
          </w:p>
        </w:tc>
        <w:tc>
          <w:tcPr>
            <w:tcW w:w="851" w:type="dxa"/>
          </w:tcPr>
          <w:p>
            <w:pPr>
              <w:pStyle w:val="TableParagraph"/>
              <w:ind w:left="248"/>
              <w:jc w:val="left"/>
              <w:rPr>
                <w:sz w:val="14"/>
              </w:rPr>
            </w:pPr>
            <w:r>
              <w:rPr>
                <w:color w:val="231F20"/>
                <w:spacing w:val="-4"/>
                <w:w w:val="95"/>
                <w:sz w:val="14"/>
              </w:rPr>
              <w:t>18.7</w:t>
            </w:r>
          </w:p>
        </w:tc>
        <w:tc>
          <w:tcPr>
            <w:tcW w:w="1073" w:type="dxa"/>
          </w:tcPr>
          <w:p>
            <w:pPr>
              <w:pStyle w:val="TableParagraph"/>
              <w:ind w:left="30" w:right="77"/>
              <w:rPr>
                <w:sz w:val="14"/>
              </w:rPr>
            </w:pPr>
            <w:r>
              <w:rPr>
                <w:color w:val="231F20"/>
                <w:spacing w:val="-4"/>
                <w:w w:val="95"/>
                <w:sz w:val="14"/>
              </w:rPr>
              <w:t>13.4</w:t>
            </w:r>
          </w:p>
        </w:tc>
        <w:tc>
          <w:tcPr>
            <w:tcW w:w="935" w:type="dxa"/>
          </w:tcPr>
          <w:p>
            <w:pPr>
              <w:pStyle w:val="TableParagraph"/>
              <w:ind w:left="29" w:right="28"/>
              <w:rPr>
                <w:sz w:val="14"/>
              </w:rPr>
            </w:pPr>
            <w:r>
              <w:rPr>
                <w:color w:val="231F20"/>
                <w:spacing w:val="-5"/>
                <w:w w:val="95"/>
                <w:sz w:val="14"/>
              </w:rPr>
              <w:t>9.0</w:t>
            </w:r>
          </w:p>
        </w:tc>
        <w:tc>
          <w:tcPr>
            <w:tcW w:w="1008" w:type="dxa"/>
          </w:tcPr>
          <w:p>
            <w:pPr>
              <w:pStyle w:val="TableParagraph"/>
              <w:ind w:right="388"/>
              <w:jc w:val="right"/>
              <w:rPr>
                <w:sz w:val="14"/>
              </w:rPr>
            </w:pPr>
            <w:r>
              <w:rPr>
                <w:color w:val="231F20"/>
                <w:spacing w:val="-4"/>
                <w:w w:val="95"/>
                <w:sz w:val="14"/>
              </w:rPr>
              <w:t>23.3</w:t>
            </w:r>
          </w:p>
        </w:tc>
      </w:tr>
      <w:tr>
        <w:trPr>
          <w:trHeight w:val="259" w:hRule="atLeast"/>
        </w:trPr>
        <w:tc>
          <w:tcPr>
            <w:tcW w:w="1311" w:type="dxa"/>
            <w:shd w:val="clear" w:color="auto" w:fill="D4E3F5"/>
          </w:tcPr>
          <w:p>
            <w:pPr>
              <w:pStyle w:val="TableParagraph"/>
              <w:ind w:left="80"/>
              <w:jc w:val="left"/>
              <w:rPr>
                <w:sz w:val="14"/>
              </w:rPr>
            </w:pPr>
            <w:r>
              <w:rPr>
                <w:color w:val="231F20"/>
                <w:spacing w:val="-2"/>
                <w:w w:val="90"/>
                <w:sz w:val="14"/>
              </w:rPr>
              <w:t>Türkiye</w:t>
            </w:r>
          </w:p>
        </w:tc>
        <w:tc>
          <w:tcPr>
            <w:tcW w:w="1150" w:type="dxa"/>
            <w:shd w:val="clear" w:color="auto" w:fill="D4E3F5"/>
          </w:tcPr>
          <w:p>
            <w:pPr>
              <w:pStyle w:val="TableParagraph"/>
              <w:ind w:right="434"/>
              <w:jc w:val="right"/>
              <w:rPr>
                <w:sz w:val="14"/>
              </w:rPr>
            </w:pPr>
            <w:r>
              <w:rPr>
                <w:color w:val="231F20"/>
                <w:spacing w:val="-2"/>
                <w:w w:val="95"/>
                <w:sz w:val="14"/>
              </w:rPr>
              <w:t>25,836</w:t>
            </w:r>
          </w:p>
        </w:tc>
        <w:tc>
          <w:tcPr>
            <w:tcW w:w="851" w:type="dxa"/>
            <w:shd w:val="clear" w:color="auto" w:fill="D4E3F5"/>
          </w:tcPr>
          <w:p>
            <w:pPr>
              <w:pStyle w:val="TableParagraph"/>
              <w:ind w:left="82" w:right="136"/>
              <w:rPr>
                <w:sz w:val="14"/>
              </w:rPr>
            </w:pPr>
            <w:r>
              <w:rPr>
                <w:color w:val="231F20"/>
                <w:spacing w:val="-5"/>
                <w:w w:val="95"/>
                <w:sz w:val="14"/>
              </w:rPr>
              <w:t>8.6</w:t>
            </w:r>
          </w:p>
        </w:tc>
        <w:tc>
          <w:tcPr>
            <w:tcW w:w="1063" w:type="dxa"/>
            <w:shd w:val="clear" w:color="auto" w:fill="D4E3F5"/>
          </w:tcPr>
          <w:p>
            <w:pPr>
              <w:pStyle w:val="TableParagraph"/>
              <w:ind w:left="72" w:right="53"/>
              <w:rPr>
                <w:sz w:val="14"/>
              </w:rPr>
            </w:pPr>
            <w:r>
              <w:rPr>
                <w:color w:val="231F20"/>
                <w:spacing w:val="-5"/>
                <w:w w:val="95"/>
                <w:sz w:val="14"/>
              </w:rPr>
              <w:t>5.7</w:t>
            </w:r>
          </w:p>
        </w:tc>
        <w:tc>
          <w:tcPr>
            <w:tcW w:w="1080" w:type="dxa"/>
            <w:shd w:val="clear" w:color="auto" w:fill="D4E3F5"/>
          </w:tcPr>
          <w:p>
            <w:pPr>
              <w:pStyle w:val="TableParagraph"/>
              <w:ind w:left="391"/>
              <w:jc w:val="left"/>
              <w:rPr>
                <w:sz w:val="14"/>
              </w:rPr>
            </w:pPr>
            <w:r>
              <w:rPr>
                <w:color w:val="231F20"/>
                <w:spacing w:val="-5"/>
                <w:w w:val="95"/>
                <w:sz w:val="14"/>
              </w:rPr>
              <w:t>3.7</w:t>
            </w:r>
          </w:p>
        </w:tc>
        <w:tc>
          <w:tcPr>
            <w:tcW w:w="755" w:type="dxa"/>
            <w:shd w:val="clear" w:color="auto" w:fill="D4E3F5"/>
          </w:tcPr>
          <w:p>
            <w:pPr>
              <w:pStyle w:val="TableParagraph"/>
              <w:ind w:left="48" w:right="72"/>
              <w:rPr>
                <w:sz w:val="14"/>
              </w:rPr>
            </w:pPr>
            <w:r>
              <w:rPr>
                <w:color w:val="231F20"/>
                <w:spacing w:val="-4"/>
                <w:w w:val="95"/>
                <w:sz w:val="14"/>
              </w:rPr>
              <w:t>10.2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3" w:right="136"/>
              <w:rPr>
                <w:sz w:val="14"/>
              </w:rPr>
            </w:pPr>
            <w:r>
              <w:rPr>
                <w:color w:val="231F20"/>
                <w:spacing w:val="-5"/>
                <w:w w:val="95"/>
                <w:sz w:val="14"/>
              </w:rPr>
              <w:t>8.6</w:t>
            </w:r>
          </w:p>
        </w:tc>
        <w:tc>
          <w:tcPr>
            <w:tcW w:w="1073" w:type="dxa"/>
            <w:shd w:val="clear" w:color="auto" w:fill="D4E3F5"/>
          </w:tcPr>
          <w:p>
            <w:pPr>
              <w:pStyle w:val="TableParagraph"/>
              <w:ind w:left="72" w:right="63"/>
              <w:rPr>
                <w:sz w:val="14"/>
              </w:rPr>
            </w:pPr>
            <w:r>
              <w:rPr>
                <w:color w:val="231F20"/>
                <w:spacing w:val="-5"/>
                <w:w w:val="95"/>
                <w:sz w:val="14"/>
              </w:rPr>
              <w:t>5.7</w:t>
            </w:r>
          </w:p>
        </w:tc>
        <w:tc>
          <w:tcPr>
            <w:tcW w:w="935" w:type="dxa"/>
            <w:shd w:val="clear" w:color="auto" w:fill="D4E3F5"/>
          </w:tcPr>
          <w:p>
            <w:pPr>
              <w:pStyle w:val="TableParagraph"/>
              <w:ind w:left="29" w:right="28"/>
              <w:rPr>
                <w:sz w:val="14"/>
              </w:rPr>
            </w:pPr>
            <w:r>
              <w:rPr>
                <w:color w:val="231F20"/>
                <w:spacing w:val="-5"/>
                <w:w w:val="95"/>
                <w:sz w:val="14"/>
              </w:rPr>
              <w:t>3.6</w:t>
            </w:r>
          </w:p>
        </w:tc>
        <w:tc>
          <w:tcPr>
            <w:tcW w:w="1008" w:type="dxa"/>
            <w:shd w:val="clear" w:color="auto" w:fill="D4E3F5"/>
          </w:tcPr>
          <w:p>
            <w:pPr>
              <w:pStyle w:val="TableParagraph"/>
              <w:ind w:right="407"/>
              <w:jc w:val="right"/>
              <w:rPr>
                <w:sz w:val="14"/>
              </w:rPr>
            </w:pPr>
            <w:r>
              <w:rPr>
                <w:color w:val="231F20"/>
                <w:spacing w:val="-4"/>
                <w:w w:val="95"/>
                <w:sz w:val="14"/>
              </w:rPr>
              <w:t>10.1</w:t>
            </w:r>
          </w:p>
        </w:tc>
      </w:tr>
      <w:tr>
        <w:trPr>
          <w:trHeight w:val="419" w:hRule="atLeast"/>
        </w:trPr>
        <w:tc>
          <w:tcPr>
            <w:tcW w:w="1311" w:type="dxa"/>
          </w:tcPr>
          <w:p>
            <w:pPr>
              <w:pStyle w:val="TableParagraph"/>
              <w:ind w:left="80" w:right="339"/>
              <w:jc w:val="left"/>
              <w:rPr>
                <w:sz w:val="14"/>
              </w:rPr>
            </w:pPr>
            <w:r>
              <w:rPr>
                <w:color w:val="231F20"/>
                <w:w w:val="75"/>
                <w:sz w:val="14"/>
              </w:rPr>
              <w:t>Turks and Caicos</w:t>
            </w:r>
            <w:r>
              <w:rPr>
                <w:color w:val="231F20"/>
                <w:spacing w:val="40"/>
                <w:sz w:val="14"/>
              </w:rPr>
              <w:t> </w:t>
            </w:r>
            <w:r>
              <w:rPr>
                <w:color w:val="231F20"/>
                <w:spacing w:val="-2"/>
                <w:w w:val="85"/>
                <w:sz w:val="14"/>
              </w:rPr>
              <w:t>Islands</w:t>
            </w:r>
          </w:p>
        </w:tc>
        <w:tc>
          <w:tcPr>
            <w:tcW w:w="1150" w:type="dxa"/>
          </w:tcPr>
          <w:p>
            <w:pPr>
              <w:pStyle w:val="TableParagraph"/>
              <w:spacing w:before="47"/>
              <w:jc w:val="left"/>
              <w:rPr>
                <w:sz w:val="14"/>
              </w:rPr>
            </w:pPr>
          </w:p>
          <w:p>
            <w:pPr>
              <w:pStyle w:val="TableParagraph"/>
              <w:spacing w:before="0"/>
              <w:ind w:right="435"/>
              <w:jc w:val="right"/>
              <w:rPr>
                <w:sz w:val="14"/>
              </w:rPr>
            </w:pPr>
            <w:r>
              <w:rPr>
                <w:color w:val="231F20"/>
                <w:spacing w:val="-5"/>
                <w:w w:val="95"/>
                <w:sz w:val="14"/>
              </w:rPr>
              <w:t>47</w:t>
            </w:r>
          </w:p>
        </w:tc>
        <w:tc>
          <w:tcPr>
            <w:tcW w:w="851" w:type="dxa"/>
          </w:tcPr>
          <w:p>
            <w:pPr>
              <w:pStyle w:val="TableParagraph"/>
              <w:spacing w:before="47"/>
              <w:jc w:val="left"/>
              <w:rPr>
                <w:sz w:val="14"/>
              </w:rPr>
            </w:pPr>
          </w:p>
          <w:p>
            <w:pPr>
              <w:pStyle w:val="TableParagraph"/>
              <w:spacing w:before="0"/>
              <w:ind w:left="21" w:right="136"/>
              <w:rPr>
                <w:sz w:val="14"/>
              </w:rPr>
            </w:pPr>
            <w:r>
              <w:rPr>
                <w:color w:val="231F20"/>
                <w:spacing w:val="-4"/>
                <w:w w:val="95"/>
                <w:sz w:val="14"/>
              </w:rPr>
              <w:t>19.2</w:t>
            </w:r>
          </w:p>
        </w:tc>
        <w:tc>
          <w:tcPr>
            <w:tcW w:w="1063" w:type="dxa"/>
          </w:tcPr>
          <w:p>
            <w:pPr>
              <w:pStyle w:val="TableParagraph"/>
              <w:spacing w:before="47"/>
              <w:jc w:val="left"/>
              <w:rPr>
                <w:sz w:val="14"/>
              </w:rPr>
            </w:pPr>
          </w:p>
          <w:p>
            <w:pPr>
              <w:pStyle w:val="TableParagraph"/>
              <w:spacing w:before="0"/>
              <w:ind w:left="38" w:right="75"/>
              <w:rPr>
                <w:sz w:val="14"/>
              </w:rPr>
            </w:pPr>
            <w:r>
              <w:rPr>
                <w:color w:val="231F20"/>
                <w:spacing w:val="-4"/>
                <w:w w:val="95"/>
                <w:sz w:val="14"/>
              </w:rPr>
              <w:t>18.6</w:t>
            </w:r>
          </w:p>
        </w:tc>
        <w:tc>
          <w:tcPr>
            <w:tcW w:w="1080" w:type="dxa"/>
          </w:tcPr>
          <w:p>
            <w:pPr>
              <w:pStyle w:val="TableParagraph"/>
              <w:spacing w:before="47"/>
              <w:jc w:val="left"/>
              <w:rPr>
                <w:sz w:val="14"/>
              </w:rPr>
            </w:pPr>
          </w:p>
          <w:p>
            <w:pPr>
              <w:pStyle w:val="TableParagraph"/>
              <w:spacing w:before="0"/>
              <w:ind w:left="339"/>
              <w:jc w:val="left"/>
              <w:rPr>
                <w:sz w:val="14"/>
              </w:rPr>
            </w:pPr>
            <w:r>
              <w:rPr>
                <w:color w:val="231F20"/>
                <w:spacing w:val="-4"/>
                <w:w w:val="95"/>
                <w:sz w:val="14"/>
              </w:rPr>
              <w:t>11.0</w:t>
            </w:r>
          </w:p>
        </w:tc>
        <w:tc>
          <w:tcPr>
            <w:tcW w:w="755" w:type="dxa"/>
          </w:tcPr>
          <w:p>
            <w:pPr>
              <w:pStyle w:val="TableParagraph"/>
              <w:spacing w:before="47"/>
              <w:jc w:val="left"/>
              <w:rPr>
                <w:sz w:val="14"/>
              </w:rPr>
            </w:pPr>
          </w:p>
          <w:p>
            <w:pPr>
              <w:pStyle w:val="TableParagraph"/>
              <w:spacing w:before="0"/>
              <w:ind w:left="48" w:right="80"/>
              <w:rPr>
                <w:sz w:val="14"/>
              </w:rPr>
            </w:pPr>
            <w:r>
              <w:rPr>
                <w:color w:val="231F20"/>
                <w:spacing w:val="-4"/>
                <w:w w:val="95"/>
                <w:sz w:val="14"/>
              </w:rPr>
              <w:t>25.9</w:t>
            </w:r>
          </w:p>
        </w:tc>
        <w:tc>
          <w:tcPr>
            <w:tcW w:w="240" w:type="dxa"/>
          </w:tcPr>
          <w:p>
            <w:pPr>
              <w:pStyle w:val="TableParagraph"/>
              <w:spacing w:before="0"/>
              <w:jc w:val="left"/>
              <w:rPr>
                <w:rFonts w:ascii="Times New Roman"/>
                <w:sz w:val="12"/>
              </w:rPr>
            </w:pPr>
          </w:p>
        </w:tc>
        <w:tc>
          <w:tcPr>
            <w:tcW w:w="851" w:type="dxa"/>
          </w:tcPr>
          <w:p>
            <w:pPr>
              <w:pStyle w:val="TableParagraph"/>
              <w:spacing w:before="47"/>
              <w:jc w:val="left"/>
              <w:rPr>
                <w:sz w:val="14"/>
              </w:rPr>
            </w:pPr>
          </w:p>
          <w:p>
            <w:pPr>
              <w:pStyle w:val="TableParagraph"/>
              <w:spacing w:before="0"/>
              <w:ind w:left="83" w:right="136"/>
              <w:rPr>
                <w:sz w:val="14"/>
              </w:rPr>
            </w:pPr>
            <w:r>
              <w:rPr>
                <w:color w:val="231F20"/>
                <w:spacing w:val="-5"/>
                <w:w w:val="95"/>
                <w:sz w:val="14"/>
              </w:rPr>
              <w:t>0.8</w:t>
            </w:r>
          </w:p>
        </w:tc>
        <w:tc>
          <w:tcPr>
            <w:tcW w:w="1073" w:type="dxa"/>
          </w:tcPr>
          <w:p>
            <w:pPr>
              <w:pStyle w:val="TableParagraph"/>
              <w:spacing w:before="47"/>
              <w:jc w:val="left"/>
              <w:rPr>
                <w:sz w:val="14"/>
              </w:rPr>
            </w:pPr>
          </w:p>
          <w:p>
            <w:pPr>
              <w:pStyle w:val="TableParagraph"/>
              <w:spacing w:before="0"/>
              <w:ind w:left="78" w:right="63"/>
              <w:rPr>
                <w:sz w:val="14"/>
              </w:rPr>
            </w:pPr>
            <w:r>
              <w:rPr>
                <w:color w:val="231F20"/>
                <w:spacing w:val="-5"/>
                <w:w w:val="95"/>
                <w:sz w:val="14"/>
              </w:rPr>
              <w:t>0.6</w:t>
            </w:r>
          </w:p>
        </w:tc>
        <w:tc>
          <w:tcPr>
            <w:tcW w:w="935" w:type="dxa"/>
          </w:tcPr>
          <w:p>
            <w:pPr>
              <w:pStyle w:val="TableParagraph"/>
              <w:spacing w:before="47"/>
              <w:jc w:val="left"/>
              <w:rPr>
                <w:sz w:val="14"/>
              </w:rPr>
            </w:pPr>
          </w:p>
          <w:p>
            <w:pPr>
              <w:pStyle w:val="TableParagraph"/>
              <w:spacing w:before="0"/>
              <w:ind w:left="30" w:right="28"/>
              <w:rPr>
                <w:sz w:val="14"/>
              </w:rPr>
            </w:pPr>
            <w:r>
              <w:rPr>
                <w:color w:val="231F20"/>
                <w:spacing w:val="-5"/>
                <w:w w:val="95"/>
                <w:sz w:val="14"/>
              </w:rPr>
              <w:t>0.5</w:t>
            </w:r>
          </w:p>
        </w:tc>
        <w:tc>
          <w:tcPr>
            <w:tcW w:w="1008" w:type="dxa"/>
          </w:tcPr>
          <w:p>
            <w:pPr>
              <w:pStyle w:val="TableParagraph"/>
              <w:spacing w:before="47"/>
              <w:jc w:val="left"/>
              <w:rPr>
                <w:sz w:val="14"/>
              </w:rPr>
            </w:pPr>
          </w:p>
          <w:p>
            <w:pPr>
              <w:pStyle w:val="TableParagraph"/>
              <w:spacing w:before="0"/>
              <w:ind w:right="390"/>
              <w:jc w:val="right"/>
              <w:rPr>
                <w:sz w:val="14"/>
              </w:rPr>
            </w:pPr>
            <w:r>
              <w:rPr>
                <w:color w:val="231F20"/>
                <w:spacing w:val="-5"/>
                <w:w w:val="95"/>
                <w:sz w:val="14"/>
              </w:rPr>
              <w:t>1.0</w:t>
            </w:r>
          </w:p>
        </w:tc>
      </w:tr>
      <w:tr>
        <w:trPr>
          <w:trHeight w:val="259" w:hRule="atLeast"/>
        </w:trPr>
        <w:tc>
          <w:tcPr>
            <w:tcW w:w="1311" w:type="dxa"/>
            <w:shd w:val="clear" w:color="auto" w:fill="D4E3F5"/>
          </w:tcPr>
          <w:p>
            <w:pPr>
              <w:pStyle w:val="TableParagraph"/>
              <w:ind w:left="80"/>
              <w:jc w:val="left"/>
              <w:rPr>
                <w:sz w:val="14"/>
              </w:rPr>
            </w:pPr>
            <w:r>
              <w:rPr>
                <w:color w:val="231F20"/>
                <w:spacing w:val="-2"/>
                <w:w w:val="85"/>
                <w:sz w:val="14"/>
              </w:rPr>
              <w:t>Uganda</w:t>
            </w:r>
          </w:p>
        </w:tc>
        <w:tc>
          <w:tcPr>
            <w:tcW w:w="1150" w:type="dxa"/>
            <w:shd w:val="clear" w:color="auto" w:fill="D4E3F5"/>
          </w:tcPr>
          <w:p>
            <w:pPr>
              <w:pStyle w:val="TableParagraph"/>
              <w:ind w:right="430"/>
              <w:jc w:val="right"/>
              <w:rPr>
                <w:sz w:val="14"/>
              </w:rPr>
            </w:pPr>
            <w:r>
              <w:rPr>
                <w:color w:val="231F20"/>
                <w:spacing w:val="-5"/>
                <w:w w:val="95"/>
                <w:sz w:val="14"/>
              </w:rPr>
              <w:t>535</w:t>
            </w:r>
          </w:p>
        </w:tc>
        <w:tc>
          <w:tcPr>
            <w:tcW w:w="851" w:type="dxa"/>
            <w:shd w:val="clear" w:color="auto" w:fill="D4E3F5"/>
          </w:tcPr>
          <w:p>
            <w:pPr>
              <w:pStyle w:val="TableParagraph"/>
              <w:ind w:left="20" w:right="136"/>
              <w:rPr>
                <w:sz w:val="14"/>
              </w:rPr>
            </w:pPr>
            <w:r>
              <w:rPr>
                <w:color w:val="231F20"/>
                <w:spacing w:val="-4"/>
                <w:w w:val="95"/>
                <w:sz w:val="14"/>
              </w:rPr>
              <w:t>18.2</w:t>
            </w:r>
          </w:p>
        </w:tc>
        <w:tc>
          <w:tcPr>
            <w:tcW w:w="1063" w:type="dxa"/>
            <w:shd w:val="clear" w:color="auto" w:fill="D4E3F5"/>
          </w:tcPr>
          <w:p>
            <w:pPr>
              <w:pStyle w:val="TableParagraph"/>
              <w:ind w:left="38" w:right="76"/>
              <w:rPr>
                <w:sz w:val="14"/>
              </w:rPr>
            </w:pPr>
            <w:r>
              <w:rPr>
                <w:color w:val="231F20"/>
                <w:spacing w:val="-4"/>
                <w:w w:val="95"/>
                <w:sz w:val="14"/>
              </w:rPr>
              <w:t>14.7</w:t>
            </w:r>
          </w:p>
        </w:tc>
        <w:tc>
          <w:tcPr>
            <w:tcW w:w="1080" w:type="dxa"/>
            <w:shd w:val="clear" w:color="auto" w:fill="D4E3F5"/>
          </w:tcPr>
          <w:p>
            <w:pPr>
              <w:pStyle w:val="TableParagraph"/>
              <w:ind w:left="392"/>
              <w:jc w:val="left"/>
              <w:rPr>
                <w:sz w:val="14"/>
              </w:rPr>
            </w:pPr>
            <w:r>
              <w:rPr>
                <w:color w:val="231F20"/>
                <w:spacing w:val="-5"/>
                <w:w w:val="95"/>
                <w:sz w:val="14"/>
              </w:rPr>
              <w:t>9.5</w:t>
            </w:r>
          </w:p>
        </w:tc>
        <w:tc>
          <w:tcPr>
            <w:tcW w:w="755" w:type="dxa"/>
            <w:shd w:val="clear" w:color="auto" w:fill="D4E3F5"/>
          </w:tcPr>
          <w:p>
            <w:pPr>
              <w:pStyle w:val="TableParagraph"/>
              <w:ind w:left="48" w:right="92"/>
              <w:rPr>
                <w:sz w:val="14"/>
              </w:rPr>
            </w:pPr>
            <w:r>
              <w:rPr>
                <w:color w:val="231F20"/>
                <w:spacing w:val="-4"/>
                <w:w w:val="95"/>
                <w:sz w:val="14"/>
              </w:rPr>
              <w:t>24.1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4" w:right="136"/>
              <w:rPr>
                <w:sz w:val="14"/>
              </w:rPr>
            </w:pPr>
            <w:r>
              <w:rPr>
                <w:color w:val="231F20"/>
                <w:spacing w:val="-5"/>
                <w:w w:val="95"/>
                <w:sz w:val="14"/>
              </w:rPr>
              <w:t>9.3</w:t>
            </w:r>
          </w:p>
        </w:tc>
        <w:tc>
          <w:tcPr>
            <w:tcW w:w="1073" w:type="dxa"/>
            <w:shd w:val="clear" w:color="auto" w:fill="D4E3F5"/>
          </w:tcPr>
          <w:p>
            <w:pPr>
              <w:pStyle w:val="TableParagraph"/>
              <w:ind w:left="62" w:right="63"/>
              <w:rPr>
                <w:sz w:val="14"/>
              </w:rPr>
            </w:pPr>
            <w:r>
              <w:rPr>
                <w:color w:val="231F20"/>
                <w:spacing w:val="-5"/>
                <w:w w:val="95"/>
                <w:sz w:val="14"/>
              </w:rPr>
              <w:t>8.1</w:t>
            </w:r>
          </w:p>
        </w:tc>
        <w:tc>
          <w:tcPr>
            <w:tcW w:w="935" w:type="dxa"/>
            <w:shd w:val="clear" w:color="auto" w:fill="D4E3F5"/>
          </w:tcPr>
          <w:p>
            <w:pPr>
              <w:pStyle w:val="TableParagraph"/>
              <w:ind w:left="30" w:right="28"/>
              <w:rPr>
                <w:sz w:val="14"/>
              </w:rPr>
            </w:pPr>
            <w:r>
              <w:rPr>
                <w:color w:val="231F20"/>
                <w:spacing w:val="-5"/>
                <w:w w:val="95"/>
                <w:sz w:val="14"/>
              </w:rPr>
              <w:t>4.9</w:t>
            </w:r>
          </w:p>
        </w:tc>
        <w:tc>
          <w:tcPr>
            <w:tcW w:w="1008" w:type="dxa"/>
            <w:shd w:val="clear" w:color="auto" w:fill="D4E3F5"/>
          </w:tcPr>
          <w:p>
            <w:pPr>
              <w:pStyle w:val="TableParagraph"/>
              <w:ind w:right="389"/>
              <w:jc w:val="right"/>
              <w:rPr>
                <w:sz w:val="14"/>
              </w:rPr>
            </w:pPr>
            <w:r>
              <w:rPr>
                <w:color w:val="231F20"/>
                <w:spacing w:val="-4"/>
                <w:w w:val="95"/>
                <w:sz w:val="14"/>
              </w:rPr>
              <w:t>11.5</w:t>
            </w:r>
          </w:p>
        </w:tc>
      </w:tr>
      <w:tr>
        <w:trPr>
          <w:trHeight w:val="259" w:hRule="atLeast"/>
        </w:trPr>
        <w:tc>
          <w:tcPr>
            <w:tcW w:w="1311" w:type="dxa"/>
          </w:tcPr>
          <w:p>
            <w:pPr>
              <w:pStyle w:val="TableParagraph"/>
              <w:ind w:left="80"/>
              <w:jc w:val="left"/>
              <w:rPr>
                <w:sz w:val="14"/>
              </w:rPr>
            </w:pPr>
            <w:r>
              <w:rPr>
                <w:color w:val="231F20"/>
                <w:w w:val="75"/>
                <w:sz w:val="14"/>
              </w:rPr>
              <w:t>United</w:t>
            </w:r>
            <w:r>
              <w:rPr>
                <w:color w:val="231F20"/>
                <w:spacing w:val="9"/>
                <w:sz w:val="14"/>
              </w:rPr>
              <w:t> </w:t>
            </w:r>
            <w:r>
              <w:rPr>
                <w:color w:val="231F20"/>
                <w:w w:val="75"/>
                <w:sz w:val="14"/>
              </w:rPr>
              <w:t>Arab</w:t>
            </w:r>
            <w:r>
              <w:rPr>
                <w:color w:val="231F20"/>
                <w:spacing w:val="9"/>
                <w:sz w:val="14"/>
              </w:rPr>
              <w:t> </w:t>
            </w:r>
            <w:r>
              <w:rPr>
                <w:color w:val="231F20"/>
                <w:spacing w:val="-2"/>
                <w:w w:val="75"/>
                <w:sz w:val="14"/>
              </w:rPr>
              <w:t>Emirates</w:t>
            </w:r>
          </w:p>
        </w:tc>
        <w:tc>
          <w:tcPr>
            <w:tcW w:w="1150" w:type="dxa"/>
          </w:tcPr>
          <w:p>
            <w:pPr>
              <w:pStyle w:val="TableParagraph"/>
              <w:ind w:right="435"/>
              <w:jc w:val="right"/>
              <w:rPr>
                <w:sz w:val="14"/>
              </w:rPr>
            </w:pPr>
            <w:r>
              <w:rPr>
                <w:color w:val="231F20"/>
                <w:spacing w:val="-2"/>
                <w:w w:val="95"/>
                <w:sz w:val="14"/>
              </w:rPr>
              <w:t>47,865</w:t>
            </w:r>
          </w:p>
        </w:tc>
        <w:tc>
          <w:tcPr>
            <w:tcW w:w="851" w:type="dxa"/>
          </w:tcPr>
          <w:p>
            <w:pPr>
              <w:pStyle w:val="TableParagraph"/>
              <w:ind w:left="84" w:right="136"/>
              <w:rPr>
                <w:sz w:val="14"/>
              </w:rPr>
            </w:pPr>
            <w:r>
              <w:rPr>
                <w:color w:val="231F20"/>
                <w:spacing w:val="-5"/>
                <w:w w:val="95"/>
                <w:sz w:val="14"/>
              </w:rPr>
              <w:t>4.5</w:t>
            </w:r>
          </w:p>
        </w:tc>
        <w:tc>
          <w:tcPr>
            <w:tcW w:w="1063" w:type="dxa"/>
          </w:tcPr>
          <w:p>
            <w:pPr>
              <w:pStyle w:val="TableParagraph"/>
              <w:ind w:left="76" w:right="53"/>
              <w:rPr>
                <w:sz w:val="14"/>
              </w:rPr>
            </w:pPr>
            <w:r>
              <w:rPr>
                <w:color w:val="231F20"/>
                <w:spacing w:val="-5"/>
                <w:w w:val="95"/>
                <w:sz w:val="14"/>
              </w:rPr>
              <w:t>3.0</w:t>
            </w:r>
          </w:p>
        </w:tc>
        <w:tc>
          <w:tcPr>
            <w:tcW w:w="1080" w:type="dxa"/>
          </w:tcPr>
          <w:p>
            <w:pPr>
              <w:pStyle w:val="TableParagraph"/>
              <w:ind w:left="399"/>
              <w:jc w:val="left"/>
              <w:rPr>
                <w:sz w:val="14"/>
              </w:rPr>
            </w:pPr>
            <w:r>
              <w:rPr>
                <w:color w:val="231F20"/>
                <w:spacing w:val="-5"/>
                <w:w w:val="95"/>
                <w:sz w:val="14"/>
              </w:rPr>
              <w:t>1.5</w:t>
            </w:r>
          </w:p>
        </w:tc>
        <w:tc>
          <w:tcPr>
            <w:tcW w:w="755" w:type="dxa"/>
          </w:tcPr>
          <w:p>
            <w:pPr>
              <w:pStyle w:val="TableParagraph"/>
              <w:ind w:left="86" w:right="51"/>
              <w:rPr>
                <w:sz w:val="14"/>
              </w:rPr>
            </w:pPr>
            <w:r>
              <w:rPr>
                <w:color w:val="231F20"/>
                <w:spacing w:val="-5"/>
                <w:w w:val="95"/>
                <w:sz w:val="14"/>
              </w:rPr>
              <w:t>5.9</w:t>
            </w:r>
          </w:p>
        </w:tc>
        <w:tc>
          <w:tcPr>
            <w:tcW w:w="240" w:type="dxa"/>
          </w:tcPr>
          <w:p>
            <w:pPr>
              <w:pStyle w:val="TableParagraph"/>
              <w:spacing w:before="0"/>
              <w:jc w:val="left"/>
              <w:rPr>
                <w:rFonts w:ascii="Times New Roman"/>
                <w:sz w:val="12"/>
              </w:rPr>
            </w:pPr>
          </w:p>
        </w:tc>
        <w:tc>
          <w:tcPr>
            <w:tcW w:w="851" w:type="dxa"/>
          </w:tcPr>
          <w:p>
            <w:pPr>
              <w:pStyle w:val="TableParagraph"/>
              <w:ind w:left="82" w:right="136"/>
              <w:rPr>
                <w:sz w:val="14"/>
              </w:rPr>
            </w:pPr>
            <w:r>
              <w:rPr>
                <w:color w:val="231F20"/>
                <w:spacing w:val="-5"/>
                <w:w w:val="95"/>
                <w:sz w:val="14"/>
              </w:rPr>
              <w:t>4.4</w:t>
            </w:r>
          </w:p>
        </w:tc>
        <w:tc>
          <w:tcPr>
            <w:tcW w:w="1073" w:type="dxa"/>
          </w:tcPr>
          <w:p>
            <w:pPr>
              <w:pStyle w:val="TableParagraph"/>
              <w:ind w:left="77" w:right="63"/>
              <w:rPr>
                <w:sz w:val="14"/>
              </w:rPr>
            </w:pPr>
            <w:r>
              <w:rPr>
                <w:color w:val="231F20"/>
                <w:spacing w:val="-5"/>
                <w:w w:val="95"/>
                <w:sz w:val="14"/>
              </w:rPr>
              <w:t>3.0</w:t>
            </w:r>
          </w:p>
        </w:tc>
        <w:tc>
          <w:tcPr>
            <w:tcW w:w="935" w:type="dxa"/>
          </w:tcPr>
          <w:p>
            <w:pPr>
              <w:pStyle w:val="TableParagraph"/>
              <w:ind w:left="37" w:right="28"/>
              <w:rPr>
                <w:sz w:val="14"/>
              </w:rPr>
            </w:pPr>
            <w:r>
              <w:rPr>
                <w:color w:val="231F20"/>
                <w:spacing w:val="-5"/>
                <w:w w:val="95"/>
                <w:sz w:val="14"/>
              </w:rPr>
              <w:t>1.5</w:t>
            </w:r>
          </w:p>
        </w:tc>
        <w:tc>
          <w:tcPr>
            <w:tcW w:w="1008" w:type="dxa"/>
          </w:tcPr>
          <w:p>
            <w:pPr>
              <w:pStyle w:val="TableParagraph"/>
              <w:ind w:right="389"/>
              <w:jc w:val="right"/>
              <w:rPr>
                <w:sz w:val="14"/>
              </w:rPr>
            </w:pPr>
            <w:r>
              <w:rPr>
                <w:color w:val="231F20"/>
                <w:spacing w:val="-5"/>
                <w:w w:val="95"/>
                <w:sz w:val="14"/>
              </w:rPr>
              <w:t>5.9</w:t>
            </w:r>
          </w:p>
        </w:tc>
      </w:tr>
      <w:tr>
        <w:trPr>
          <w:trHeight w:val="259" w:hRule="atLeast"/>
        </w:trPr>
        <w:tc>
          <w:tcPr>
            <w:tcW w:w="1311" w:type="dxa"/>
            <w:shd w:val="clear" w:color="auto" w:fill="D4E3F5"/>
          </w:tcPr>
          <w:p>
            <w:pPr>
              <w:pStyle w:val="TableParagraph"/>
              <w:ind w:left="80"/>
              <w:jc w:val="left"/>
              <w:rPr>
                <w:sz w:val="14"/>
              </w:rPr>
            </w:pPr>
            <w:r>
              <w:rPr>
                <w:color w:val="231F20"/>
                <w:w w:val="75"/>
                <w:sz w:val="14"/>
              </w:rPr>
              <w:t>United</w:t>
            </w:r>
            <w:r>
              <w:rPr>
                <w:color w:val="231F20"/>
                <w:spacing w:val="9"/>
                <w:sz w:val="14"/>
              </w:rPr>
              <w:t> </w:t>
            </w:r>
            <w:r>
              <w:rPr>
                <w:color w:val="231F20"/>
                <w:spacing w:val="-2"/>
                <w:w w:val="90"/>
                <w:sz w:val="14"/>
              </w:rPr>
              <w:t>Kingdom</w:t>
            </w:r>
          </w:p>
        </w:tc>
        <w:tc>
          <w:tcPr>
            <w:tcW w:w="1150" w:type="dxa"/>
            <w:shd w:val="clear" w:color="auto" w:fill="D4E3F5"/>
          </w:tcPr>
          <w:p>
            <w:pPr>
              <w:pStyle w:val="TableParagraph"/>
              <w:ind w:right="437"/>
              <w:jc w:val="right"/>
              <w:rPr>
                <w:sz w:val="14"/>
              </w:rPr>
            </w:pPr>
            <w:r>
              <w:rPr>
                <w:color w:val="231F20"/>
                <w:spacing w:val="-2"/>
                <w:w w:val="95"/>
                <w:sz w:val="14"/>
              </w:rPr>
              <w:t>78,224</w:t>
            </w:r>
          </w:p>
        </w:tc>
        <w:tc>
          <w:tcPr>
            <w:tcW w:w="851" w:type="dxa"/>
            <w:shd w:val="clear" w:color="auto" w:fill="D4E3F5"/>
          </w:tcPr>
          <w:p>
            <w:pPr>
              <w:pStyle w:val="TableParagraph"/>
              <w:ind w:left="84" w:right="136"/>
              <w:rPr>
                <w:sz w:val="14"/>
              </w:rPr>
            </w:pPr>
            <w:r>
              <w:rPr>
                <w:color w:val="231F20"/>
                <w:spacing w:val="-5"/>
                <w:w w:val="95"/>
                <w:sz w:val="14"/>
              </w:rPr>
              <w:t>8.5</w:t>
            </w:r>
          </w:p>
        </w:tc>
        <w:tc>
          <w:tcPr>
            <w:tcW w:w="1063" w:type="dxa"/>
            <w:shd w:val="clear" w:color="auto" w:fill="D4E3F5"/>
          </w:tcPr>
          <w:p>
            <w:pPr>
              <w:pStyle w:val="TableParagraph"/>
              <w:ind w:left="77" w:right="53"/>
              <w:rPr>
                <w:sz w:val="14"/>
              </w:rPr>
            </w:pPr>
            <w:r>
              <w:rPr>
                <w:color w:val="231F20"/>
                <w:spacing w:val="-5"/>
                <w:w w:val="95"/>
                <w:sz w:val="14"/>
              </w:rPr>
              <w:t>5.5</w:t>
            </w:r>
          </w:p>
        </w:tc>
        <w:tc>
          <w:tcPr>
            <w:tcW w:w="1080" w:type="dxa"/>
            <w:shd w:val="clear" w:color="auto" w:fill="D4E3F5"/>
          </w:tcPr>
          <w:p>
            <w:pPr>
              <w:pStyle w:val="TableParagraph"/>
              <w:ind w:left="391"/>
              <w:jc w:val="left"/>
              <w:rPr>
                <w:sz w:val="14"/>
              </w:rPr>
            </w:pPr>
            <w:r>
              <w:rPr>
                <w:color w:val="231F20"/>
                <w:spacing w:val="-5"/>
                <w:w w:val="95"/>
                <w:sz w:val="14"/>
              </w:rPr>
              <w:t>3.3</w:t>
            </w:r>
          </w:p>
        </w:tc>
        <w:tc>
          <w:tcPr>
            <w:tcW w:w="755" w:type="dxa"/>
            <w:shd w:val="clear" w:color="auto" w:fill="D4E3F5"/>
          </w:tcPr>
          <w:p>
            <w:pPr>
              <w:pStyle w:val="TableParagraph"/>
              <w:ind w:left="87" w:right="51"/>
              <w:rPr>
                <w:sz w:val="14"/>
              </w:rPr>
            </w:pPr>
            <w:r>
              <w:rPr>
                <w:color w:val="231F20"/>
                <w:spacing w:val="-5"/>
                <w:w w:val="95"/>
                <w:sz w:val="14"/>
              </w:rPr>
              <w:t>9.3</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97" w:right="136"/>
              <w:rPr>
                <w:sz w:val="14"/>
              </w:rPr>
            </w:pPr>
            <w:r>
              <w:rPr>
                <w:color w:val="231F20"/>
                <w:spacing w:val="-5"/>
                <w:w w:val="95"/>
                <w:sz w:val="14"/>
              </w:rPr>
              <w:t>7.2</w:t>
            </w:r>
          </w:p>
        </w:tc>
        <w:tc>
          <w:tcPr>
            <w:tcW w:w="1073" w:type="dxa"/>
            <w:shd w:val="clear" w:color="auto" w:fill="D4E3F5"/>
          </w:tcPr>
          <w:p>
            <w:pPr>
              <w:pStyle w:val="TableParagraph"/>
              <w:ind w:left="78" w:right="63"/>
              <w:rPr>
                <w:sz w:val="14"/>
              </w:rPr>
            </w:pPr>
            <w:r>
              <w:rPr>
                <w:color w:val="231F20"/>
                <w:spacing w:val="-5"/>
                <w:w w:val="95"/>
                <w:sz w:val="14"/>
              </w:rPr>
              <w:t>5.0</w:t>
            </w:r>
          </w:p>
        </w:tc>
        <w:tc>
          <w:tcPr>
            <w:tcW w:w="935" w:type="dxa"/>
            <w:shd w:val="clear" w:color="auto" w:fill="D4E3F5"/>
          </w:tcPr>
          <w:p>
            <w:pPr>
              <w:pStyle w:val="TableParagraph"/>
              <w:ind w:left="29" w:right="28"/>
              <w:rPr>
                <w:sz w:val="14"/>
              </w:rPr>
            </w:pPr>
            <w:r>
              <w:rPr>
                <w:color w:val="231F20"/>
                <w:spacing w:val="-5"/>
                <w:w w:val="95"/>
                <w:sz w:val="14"/>
              </w:rPr>
              <w:t>2.9</w:t>
            </w:r>
          </w:p>
        </w:tc>
        <w:tc>
          <w:tcPr>
            <w:tcW w:w="1008" w:type="dxa"/>
            <w:shd w:val="clear" w:color="auto" w:fill="D4E3F5"/>
          </w:tcPr>
          <w:p>
            <w:pPr>
              <w:pStyle w:val="TableParagraph"/>
              <w:ind w:right="391"/>
              <w:jc w:val="right"/>
              <w:rPr>
                <w:sz w:val="14"/>
              </w:rPr>
            </w:pPr>
            <w:r>
              <w:rPr>
                <w:color w:val="231F20"/>
                <w:spacing w:val="-5"/>
                <w:w w:val="95"/>
                <w:sz w:val="14"/>
              </w:rPr>
              <w:t>8.4</w:t>
            </w:r>
          </w:p>
        </w:tc>
      </w:tr>
      <w:tr>
        <w:trPr>
          <w:trHeight w:val="259" w:hRule="atLeast"/>
        </w:trPr>
        <w:tc>
          <w:tcPr>
            <w:tcW w:w="1311" w:type="dxa"/>
          </w:tcPr>
          <w:p>
            <w:pPr>
              <w:pStyle w:val="TableParagraph"/>
              <w:ind w:left="80"/>
              <w:jc w:val="left"/>
              <w:rPr>
                <w:sz w:val="14"/>
              </w:rPr>
            </w:pPr>
            <w:r>
              <w:rPr>
                <w:color w:val="231F20"/>
                <w:w w:val="75"/>
                <w:sz w:val="14"/>
              </w:rPr>
              <w:t>United</w:t>
            </w:r>
            <w:r>
              <w:rPr>
                <w:color w:val="231F20"/>
                <w:spacing w:val="9"/>
                <w:sz w:val="14"/>
              </w:rPr>
              <w:t> </w:t>
            </w:r>
            <w:r>
              <w:rPr>
                <w:color w:val="231F20"/>
                <w:spacing w:val="-2"/>
                <w:w w:val="90"/>
                <w:sz w:val="14"/>
              </w:rPr>
              <w:t>States</w:t>
            </w:r>
          </w:p>
        </w:tc>
        <w:tc>
          <w:tcPr>
            <w:tcW w:w="1150" w:type="dxa"/>
          </w:tcPr>
          <w:p>
            <w:pPr>
              <w:pStyle w:val="TableParagraph"/>
              <w:ind w:right="434"/>
              <w:jc w:val="right"/>
              <w:rPr>
                <w:sz w:val="14"/>
              </w:rPr>
            </w:pPr>
            <w:r>
              <w:rPr>
                <w:color w:val="231F20"/>
                <w:spacing w:val="-2"/>
                <w:w w:val="95"/>
                <w:sz w:val="14"/>
              </w:rPr>
              <w:t>350,868</w:t>
            </w:r>
          </w:p>
        </w:tc>
        <w:tc>
          <w:tcPr>
            <w:tcW w:w="851" w:type="dxa"/>
          </w:tcPr>
          <w:p>
            <w:pPr>
              <w:pStyle w:val="TableParagraph"/>
              <w:ind w:left="84" w:right="136"/>
              <w:rPr>
                <w:sz w:val="14"/>
              </w:rPr>
            </w:pPr>
            <w:r>
              <w:rPr>
                <w:color w:val="231F20"/>
                <w:spacing w:val="-5"/>
                <w:w w:val="95"/>
                <w:sz w:val="14"/>
              </w:rPr>
              <w:t>8.3</w:t>
            </w:r>
          </w:p>
        </w:tc>
        <w:tc>
          <w:tcPr>
            <w:tcW w:w="1063" w:type="dxa"/>
          </w:tcPr>
          <w:p>
            <w:pPr>
              <w:pStyle w:val="TableParagraph"/>
              <w:ind w:left="75" w:right="53"/>
              <w:rPr>
                <w:sz w:val="14"/>
              </w:rPr>
            </w:pPr>
            <w:r>
              <w:rPr>
                <w:color w:val="231F20"/>
                <w:spacing w:val="-5"/>
                <w:w w:val="95"/>
                <w:sz w:val="14"/>
              </w:rPr>
              <w:t>5.4</w:t>
            </w:r>
          </w:p>
        </w:tc>
        <w:tc>
          <w:tcPr>
            <w:tcW w:w="1080" w:type="dxa"/>
          </w:tcPr>
          <w:p>
            <w:pPr>
              <w:pStyle w:val="TableParagraph"/>
              <w:ind w:left="391"/>
              <w:jc w:val="left"/>
              <w:rPr>
                <w:sz w:val="14"/>
              </w:rPr>
            </w:pPr>
            <w:r>
              <w:rPr>
                <w:color w:val="231F20"/>
                <w:spacing w:val="-5"/>
                <w:w w:val="95"/>
                <w:sz w:val="14"/>
              </w:rPr>
              <w:t>3.2</w:t>
            </w:r>
          </w:p>
        </w:tc>
        <w:tc>
          <w:tcPr>
            <w:tcW w:w="755" w:type="dxa"/>
          </w:tcPr>
          <w:p>
            <w:pPr>
              <w:pStyle w:val="TableParagraph"/>
              <w:ind w:left="88" w:right="51"/>
              <w:rPr>
                <w:sz w:val="14"/>
              </w:rPr>
            </w:pPr>
            <w:r>
              <w:rPr>
                <w:color w:val="231F20"/>
                <w:spacing w:val="-5"/>
                <w:w w:val="95"/>
                <w:sz w:val="14"/>
              </w:rPr>
              <w:t>9.2</w:t>
            </w:r>
          </w:p>
        </w:tc>
        <w:tc>
          <w:tcPr>
            <w:tcW w:w="240" w:type="dxa"/>
          </w:tcPr>
          <w:p>
            <w:pPr>
              <w:pStyle w:val="TableParagraph"/>
              <w:spacing w:before="0"/>
              <w:jc w:val="left"/>
              <w:rPr>
                <w:rFonts w:ascii="Times New Roman"/>
                <w:sz w:val="12"/>
              </w:rPr>
            </w:pPr>
          </w:p>
        </w:tc>
        <w:tc>
          <w:tcPr>
            <w:tcW w:w="851" w:type="dxa"/>
          </w:tcPr>
          <w:p>
            <w:pPr>
              <w:pStyle w:val="TableParagraph"/>
              <w:ind w:left="97" w:right="136"/>
              <w:rPr>
                <w:sz w:val="14"/>
              </w:rPr>
            </w:pPr>
            <w:r>
              <w:rPr>
                <w:color w:val="231F20"/>
                <w:spacing w:val="-5"/>
                <w:w w:val="95"/>
                <w:sz w:val="14"/>
              </w:rPr>
              <w:t>7.2</w:t>
            </w:r>
          </w:p>
        </w:tc>
        <w:tc>
          <w:tcPr>
            <w:tcW w:w="1073" w:type="dxa"/>
          </w:tcPr>
          <w:p>
            <w:pPr>
              <w:pStyle w:val="TableParagraph"/>
              <w:ind w:left="62" w:right="63"/>
              <w:rPr>
                <w:sz w:val="14"/>
              </w:rPr>
            </w:pPr>
            <w:r>
              <w:rPr>
                <w:color w:val="231F20"/>
                <w:spacing w:val="-5"/>
                <w:w w:val="95"/>
                <w:sz w:val="14"/>
              </w:rPr>
              <w:t>5.1</w:t>
            </w:r>
          </w:p>
        </w:tc>
        <w:tc>
          <w:tcPr>
            <w:tcW w:w="935" w:type="dxa"/>
          </w:tcPr>
          <w:p>
            <w:pPr>
              <w:pStyle w:val="TableParagraph"/>
              <w:ind w:left="29" w:right="28"/>
              <w:rPr>
                <w:sz w:val="14"/>
              </w:rPr>
            </w:pPr>
            <w:r>
              <w:rPr>
                <w:color w:val="231F20"/>
                <w:spacing w:val="-5"/>
                <w:w w:val="95"/>
                <w:sz w:val="14"/>
              </w:rPr>
              <w:t>3.0</w:t>
            </w:r>
          </w:p>
        </w:tc>
        <w:tc>
          <w:tcPr>
            <w:tcW w:w="1008" w:type="dxa"/>
          </w:tcPr>
          <w:p>
            <w:pPr>
              <w:pStyle w:val="TableParagraph"/>
              <w:ind w:right="388"/>
              <w:jc w:val="right"/>
              <w:rPr>
                <w:sz w:val="14"/>
              </w:rPr>
            </w:pPr>
            <w:r>
              <w:rPr>
                <w:color w:val="231F20"/>
                <w:spacing w:val="-5"/>
                <w:w w:val="95"/>
                <w:sz w:val="14"/>
              </w:rPr>
              <w:t>8.3</w:t>
            </w:r>
          </w:p>
        </w:tc>
      </w:tr>
      <w:tr>
        <w:trPr>
          <w:trHeight w:val="259" w:hRule="atLeast"/>
        </w:trPr>
        <w:tc>
          <w:tcPr>
            <w:tcW w:w="1311" w:type="dxa"/>
            <w:shd w:val="clear" w:color="auto" w:fill="D4E3F5"/>
          </w:tcPr>
          <w:p>
            <w:pPr>
              <w:pStyle w:val="TableParagraph"/>
              <w:ind w:left="80"/>
              <w:jc w:val="left"/>
              <w:rPr>
                <w:sz w:val="14"/>
              </w:rPr>
            </w:pPr>
            <w:r>
              <w:rPr>
                <w:color w:val="231F20"/>
                <w:spacing w:val="-2"/>
                <w:w w:val="85"/>
                <w:sz w:val="14"/>
              </w:rPr>
              <w:t>Uruguay</w:t>
            </w:r>
          </w:p>
        </w:tc>
        <w:tc>
          <w:tcPr>
            <w:tcW w:w="1150" w:type="dxa"/>
            <w:shd w:val="clear" w:color="auto" w:fill="D4E3F5"/>
          </w:tcPr>
          <w:p>
            <w:pPr>
              <w:pStyle w:val="TableParagraph"/>
              <w:ind w:right="439"/>
              <w:jc w:val="right"/>
              <w:rPr>
                <w:sz w:val="14"/>
              </w:rPr>
            </w:pPr>
            <w:r>
              <w:rPr>
                <w:color w:val="231F20"/>
                <w:spacing w:val="-2"/>
                <w:w w:val="95"/>
                <w:sz w:val="14"/>
              </w:rPr>
              <w:t>4,819</w:t>
            </w:r>
          </w:p>
        </w:tc>
        <w:tc>
          <w:tcPr>
            <w:tcW w:w="851" w:type="dxa"/>
            <w:shd w:val="clear" w:color="auto" w:fill="D4E3F5"/>
          </w:tcPr>
          <w:p>
            <w:pPr>
              <w:pStyle w:val="TableParagraph"/>
              <w:ind w:left="80" w:right="136"/>
              <w:rPr>
                <w:sz w:val="14"/>
              </w:rPr>
            </w:pPr>
            <w:r>
              <w:rPr>
                <w:color w:val="231F20"/>
                <w:spacing w:val="-5"/>
                <w:w w:val="95"/>
                <w:sz w:val="14"/>
              </w:rPr>
              <w:t>2.4</w:t>
            </w:r>
          </w:p>
        </w:tc>
        <w:tc>
          <w:tcPr>
            <w:tcW w:w="1063" w:type="dxa"/>
            <w:shd w:val="clear" w:color="auto" w:fill="D4E3F5"/>
          </w:tcPr>
          <w:p>
            <w:pPr>
              <w:pStyle w:val="TableParagraph"/>
              <w:ind w:left="84" w:right="53"/>
              <w:rPr>
                <w:sz w:val="14"/>
              </w:rPr>
            </w:pPr>
            <w:r>
              <w:rPr>
                <w:color w:val="231F20"/>
                <w:spacing w:val="-5"/>
                <w:w w:val="95"/>
                <w:sz w:val="14"/>
              </w:rPr>
              <w:t>1.8</w:t>
            </w:r>
          </w:p>
        </w:tc>
        <w:tc>
          <w:tcPr>
            <w:tcW w:w="1080" w:type="dxa"/>
            <w:shd w:val="clear" w:color="auto" w:fill="D4E3F5"/>
          </w:tcPr>
          <w:p>
            <w:pPr>
              <w:pStyle w:val="TableParagraph"/>
              <w:ind w:left="399"/>
              <w:jc w:val="left"/>
              <w:rPr>
                <w:sz w:val="14"/>
              </w:rPr>
            </w:pPr>
            <w:r>
              <w:rPr>
                <w:color w:val="231F20"/>
                <w:spacing w:val="-5"/>
                <w:w w:val="95"/>
                <w:sz w:val="14"/>
              </w:rPr>
              <w:t>1.2</w:t>
            </w:r>
          </w:p>
        </w:tc>
        <w:tc>
          <w:tcPr>
            <w:tcW w:w="755" w:type="dxa"/>
            <w:shd w:val="clear" w:color="auto" w:fill="D4E3F5"/>
          </w:tcPr>
          <w:p>
            <w:pPr>
              <w:pStyle w:val="TableParagraph"/>
              <w:ind w:left="87" w:right="51"/>
              <w:rPr>
                <w:sz w:val="14"/>
              </w:rPr>
            </w:pPr>
            <w:r>
              <w:rPr>
                <w:color w:val="231F20"/>
                <w:spacing w:val="-5"/>
                <w:w w:val="95"/>
                <w:sz w:val="14"/>
              </w:rPr>
              <w:t>2.8</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1" w:right="136"/>
              <w:rPr>
                <w:sz w:val="14"/>
              </w:rPr>
            </w:pPr>
            <w:r>
              <w:rPr>
                <w:color w:val="231F20"/>
                <w:spacing w:val="-5"/>
                <w:w w:val="95"/>
                <w:sz w:val="14"/>
              </w:rPr>
              <w:t>2.4</w:t>
            </w:r>
          </w:p>
        </w:tc>
        <w:tc>
          <w:tcPr>
            <w:tcW w:w="1073" w:type="dxa"/>
            <w:shd w:val="clear" w:color="auto" w:fill="D4E3F5"/>
          </w:tcPr>
          <w:p>
            <w:pPr>
              <w:pStyle w:val="TableParagraph"/>
              <w:ind w:left="85" w:right="63"/>
              <w:rPr>
                <w:sz w:val="14"/>
              </w:rPr>
            </w:pPr>
            <w:r>
              <w:rPr>
                <w:color w:val="231F20"/>
                <w:spacing w:val="-5"/>
                <w:w w:val="95"/>
                <w:sz w:val="14"/>
              </w:rPr>
              <w:t>1.8</w:t>
            </w:r>
          </w:p>
        </w:tc>
        <w:tc>
          <w:tcPr>
            <w:tcW w:w="935" w:type="dxa"/>
            <w:shd w:val="clear" w:color="auto" w:fill="D4E3F5"/>
          </w:tcPr>
          <w:p>
            <w:pPr>
              <w:pStyle w:val="TableParagraph"/>
              <w:ind w:left="38" w:right="28"/>
              <w:rPr>
                <w:sz w:val="14"/>
              </w:rPr>
            </w:pPr>
            <w:r>
              <w:rPr>
                <w:color w:val="231F20"/>
                <w:spacing w:val="-5"/>
                <w:w w:val="95"/>
                <w:sz w:val="14"/>
              </w:rPr>
              <w:t>1.2</w:t>
            </w:r>
          </w:p>
        </w:tc>
        <w:tc>
          <w:tcPr>
            <w:tcW w:w="1008" w:type="dxa"/>
            <w:shd w:val="clear" w:color="auto" w:fill="D4E3F5"/>
          </w:tcPr>
          <w:p>
            <w:pPr>
              <w:pStyle w:val="TableParagraph"/>
              <w:ind w:right="389"/>
              <w:jc w:val="right"/>
              <w:rPr>
                <w:sz w:val="14"/>
              </w:rPr>
            </w:pPr>
            <w:r>
              <w:rPr>
                <w:color w:val="231F20"/>
                <w:spacing w:val="-5"/>
                <w:w w:val="95"/>
                <w:sz w:val="14"/>
              </w:rPr>
              <w:t>2.8</w:t>
            </w:r>
          </w:p>
        </w:tc>
      </w:tr>
      <w:tr>
        <w:trPr>
          <w:trHeight w:val="259" w:hRule="atLeast"/>
        </w:trPr>
        <w:tc>
          <w:tcPr>
            <w:tcW w:w="1311" w:type="dxa"/>
          </w:tcPr>
          <w:p>
            <w:pPr>
              <w:pStyle w:val="TableParagraph"/>
              <w:ind w:left="80"/>
              <w:jc w:val="left"/>
              <w:rPr>
                <w:sz w:val="14"/>
              </w:rPr>
            </w:pPr>
            <w:r>
              <w:rPr>
                <w:color w:val="231F20"/>
                <w:w w:val="75"/>
                <w:sz w:val="14"/>
              </w:rPr>
              <w:t>Venezuela,</w:t>
            </w:r>
            <w:r>
              <w:rPr>
                <w:color w:val="231F20"/>
                <w:spacing w:val="7"/>
                <w:sz w:val="14"/>
              </w:rPr>
              <w:t> </w:t>
            </w:r>
            <w:r>
              <w:rPr>
                <w:color w:val="231F20"/>
                <w:spacing w:val="-5"/>
                <w:w w:val="85"/>
                <w:sz w:val="14"/>
              </w:rPr>
              <w:t>RB</w:t>
            </w:r>
          </w:p>
        </w:tc>
        <w:tc>
          <w:tcPr>
            <w:tcW w:w="1150" w:type="dxa"/>
          </w:tcPr>
          <w:p>
            <w:pPr>
              <w:pStyle w:val="TableParagraph"/>
              <w:ind w:right="432"/>
              <w:jc w:val="right"/>
              <w:rPr>
                <w:sz w:val="14"/>
              </w:rPr>
            </w:pPr>
            <w:r>
              <w:rPr>
                <w:color w:val="231F20"/>
                <w:spacing w:val="-2"/>
                <w:w w:val="95"/>
                <w:sz w:val="14"/>
              </w:rPr>
              <w:t>3,861</w:t>
            </w:r>
          </w:p>
        </w:tc>
        <w:tc>
          <w:tcPr>
            <w:tcW w:w="851" w:type="dxa"/>
          </w:tcPr>
          <w:p>
            <w:pPr>
              <w:pStyle w:val="TableParagraph"/>
              <w:ind w:left="64" w:right="136"/>
              <w:rPr>
                <w:sz w:val="14"/>
              </w:rPr>
            </w:pPr>
            <w:r>
              <w:rPr>
                <w:color w:val="231F20"/>
                <w:spacing w:val="-5"/>
                <w:w w:val="95"/>
                <w:sz w:val="14"/>
              </w:rPr>
              <w:t>5.1</w:t>
            </w:r>
          </w:p>
        </w:tc>
        <w:tc>
          <w:tcPr>
            <w:tcW w:w="1063" w:type="dxa"/>
          </w:tcPr>
          <w:p>
            <w:pPr>
              <w:pStyle w:val="TableParagraph"/>
              <w:ind w:left="77" w:right="53"/>
              <w:rPr>
                <w:sz w:val="14"/>
              </w:rPr>
            </w:pPr>
            <w:r>
              <w:rPr>
                <w:color w:val="231F20"/>
                <w:spacing w:val="-5"/>
                <w:w w:val="95"/>
                <w:sz w:val="14"/>
              </w:rPr>
              <w:t>3.6</w:t>
            </w:r>
          </w:p>
        </w:tc>
        <w:tc>
          <w:tcPr>
            <w:tcW w:w="1080" w:type="dxa"/>
          </w:tcPr>
          <w:p>
            <w:pPr>
              <w:pStyle w:val="TableParagraph"/>
              <w:ind w:left="392"/>
              <w:jc w:val="left"/>
              <w:rPr>
                <w:sz w:val="14"/>
              </w:rPr>
            </w:pPr>
            <w:r>
              <w:rPr>
                <w:color w:val="231F20"/>
                <w:spacing w:val="-5"/>
                <w:w w:val="95"/>
                <w:sz w:val="14"/>
              </w:rPr>
              <w:t>2.4</w:t>
            </w:r>
          </w:p>
        </w:tc>
        <w:tc>
          <w:tcPr>
            <w:tcW w:w="755" w:type="dxa"/>
          </w:tcPr>
          <w:p>
            <w:pPr>
              <w:pStyle w:val="TableParagraph"/>
              <w:ind w:left="81" w:right="51"/>
              <w:rPr>
                <w:sz w:val="14"/>
              </w:rPr>
            </w:pPr>
            <w:r>
              <w:rPr>
                <w:color w:val="231F20"/>
                <w:spacing w:val="-5"/>
                <w:w w:val="95"/>
                <w:sz w:val="14"/>
              </w:rPr>
              <w:t>6.7</w:t>
            </w:r>
          </w:p>
        </w:tc>
        <w:tc>
          <w:tcPr>
            <w:tcW w:w="240" w:type="dxa"/>
          </w:tcPr>
          <w:p>
            <w:pPr>
              <w:pStyle w:val="TableParagraph"/>
              <w:spacing w:before="0"/>
              <w:jc w:val="left"/>
              <w:rPr>
                <w:rFonts w:ascii="Times New Roman"/>
                <w:sz w:val="12"/>
              </w:rPr>
            </w:pPr>
          </w:p>
        </w:tc>
        <w:tc>
          <w:tcPr>
            <w:tcW w:w="851" w:type="dxa"/>
          </w:tcPr>
          <w:p>
            <w:pPr>
              <w:pStyle w:val="TableParagraph"/>
              <w:ind w:left="64" w:right="136"/>
              <w:rPr>
                <w:sz w:val="14"/>
              </w:rPr>
            </w:pPr>
            <w:r>
              <w:rPr>
                <w:color w:val="231F20"/>
                <w:spacing w:val="-5"/>
                <w:w w:val="95"/>
                <w:sz w:val="14"/>
              </w:rPr>
              <w:t>5.1</w:t>
            </w:r>
          </w:p>
        </w:tc>
        <w:tc>
          <w:tcPr>
            <w:tcW w:w="1073" w:type="dxa"/>
          </w:tcPr>
          <w:p>
            <w:pPr>
              <w:pStyle w:val="TableParagraph"/>
              <w:ind w:left="77" w:right="63"/>
              <w:rPr>
                <w:sz w:val="14"/>
              </w:rPr>
            </w:pPr>
            <w:r>
              <w:rPr>
                <w:color w:val="231F20"/>
                <w:spacing w:val="-5"/>
                <w:w w:val="95"/>
                <w:sz w:val="14"/>
              </w:rPr>
              <w:t>3.6</w:t>
            </w:r>
          </w:p>
        </w:tc>
        <w:tc>
          <w:tcPr>
            <w:tcW w:w="935" w:type="dxa"/>
          </w:tcPr>
          <w:p>
            <w:pPr>
              <w:pStyle w:val="TableParagraph"/>
              <w:ind w:left="28" w:right="28"/>
              <w:rPr>
                <w:sz w:val="14"/>
              </w:rPr>
            </w:pPr>
            <w:r>
              <w:rPr>
                <w:color w:val="231F20"/>
                <w:spacing w:val="-5"/>
                <w:w w:val="95"/>
                <w:sz w:val="14"/>
              </w:rPr>
              <w:t>2.4</w:t>
            </w:r>
          </w:p>
        </w:tc>
        <w:tc>
          <w:tcPr>
            <w:tcW w:w="1008" w:type="dxa"/>
          </w:tcPr>
          <w:p>
            <w:pPr>
              <w:pStyle w:val="TableParagraph"/>
              <w:ind w:right="394"/>
              <w:jc w:val="right"/>
              <w:rPr>
                <w:sz w:val="14"/>
              </w:rPr>
            </w:pPr>
            <w:r>
              <w:rPr>
                <w:color w:val="231F20"/>
                <w:spacing w:val="-5"/>
                <w:w w:val="95"/>
                <w:sz w:val="14"/>
              </w:rPr>
              <w:t>6.7</w:t>
            </w:r>
          </w:p>
        </w:tc>
      </w:tr>
      <w:tr>
        <w:trPr>
          <w:trHeight w:val="259" w:hRule="atLeast"/>
        </w:trPr>
        <w:tc>
          <w:tcPr>
            <w:tcW w:w="1311" w:type="dxa"/>
            <w:shd w:val="clear" w:color="auto" w:fill="D4E3F5"/>
          </w:tcPr>
          <w:p>
            <w:pPr>
              <w:pStyle w:val="TableParagraph"/>
              <w:ind w:left="80"/>
              <w:jc w:val="left"/>
              <w:rPr>
                <w:sz w:val="14"/>
              </w:rPr>
            </w:pPr>
            <w:r>
              <w:rPr>
                <w:color w:val="231F20"/>
                <w:spacing w:val="-2"/>
                <w:w w:val="90"/>
                <w:sz w:val="14"/>
              </w:rPr>
              <w:t>Vietnam</w:t>
            </w:r>
          </w:p>
        </w:tc>
        <w:tc>
          <w:tcPr>
            <w:tcW w:w="1150" w:type="dxa"/>
            <w:shd w:val="clear" w:color="auto" w:fill="D4E3F5"/>
          </w:tcPr>
          <w:p>
            <w:pPr>
              <w:pStyle w:val="TableParagraph"/>
              <w:ind w:right="434"/>
              <w:jc w:val="right"/>
              <w:rPr>
                <w:sz w:val="14"/>
              </w:rPr>
            </w:pPr>
            <w:r>
              <w:rPr>
                <w:color w:val="231F20"/>
                <w:spacing w:val="-2"/>
                <w:w w:val="95"/>
                <w:sz w:val="14"/>
              </w:rPr>
              <w:t>50,207</w:t>
            </w:r>
          </w:p>
        </w:tc>
        <w:tc>
          <w:tcPr>
            <w:tcW w:w="851" w:type="dxa"/>
            <w:shd w:val="clear" w:color="auto" w:fill="D4E3F5"/>
          </w:tcPr>
          <w:p>
            <w:pPr>
              <w:pStyle w:val="TableParagraph"/>
              <w:ind w:left="80" w:right="136"/>
              <w:rPr>
                <w:sz w:val="14"/>
              </w:rPr>
            </w:pPr>
            <w:r>
              <w:rPr>
                <w:color w:val="231F20"/>
                <w:spacing w:val="-5"/>
                <w:w w:val="95"/>
                <w:sz w:val="14"/>
              </w:rPr>
              <w:t>5.4</w:t>
            </w:r>
          </w:p>
        </w:tc>
        <w:tc>
          <w:tcPr>
            <w:tcW w:w="1063" w:type="dxa"/>
            <w:shd w:val="clear" w:color="auto" w:fill="D4E3F5"/>
          </w:tcPr>
          <w:p>
            <w:pPr>
              <w:pStyle w:val="TableParagraph"/>
              <w:ind w:left="77" w:right="53"/>
              <w:rPr>
                <w:sz w:val="14"/>
              </w:rPr>
            </w:pPr>
            <w:r>
              <w:rPr>
                <w:color w:val="231F20"/>
                <w:spacing w:val="-5"/>
                <w:w w:val="95"/>
                <w:sz w:val="14"/>
              </w:rPr>
              <w:t>3.6</w:t>
            </w:r>
          </w:p>
        </w:tc>
        <w:tc>
          <w:tcPr>
            <w:tcW w:w="1080" w:type="dxa"/>
            <w:shd w:val="clear" w:color="auto" w:fill="D4E3F5"/>
          </w:tcPr>
          <w:p>
            <w:pPr>
              <w:pStyle w:val="TableParagraph"/>
              <w:ind w:left="399"/>
              <w:jc w:val="left"/>
              <w:rPr>
                <w:sz w:val="14"/>
              </w:rPr>
            </w:pPr>
            <w:r>
              <w:rPr>
                <w:color w:val="231F20"/>
                <w:spacing w:val="-5"/>
                <w:w w:val="95"/>
                <w:sz w:val="14"/>
              </w:rPr>
              <w:t>1.8</w:t>
            </w:r>
          </w:p>
        </w:tc>
        <w:tc>
          <w:tcPr>
            <w:tcW w:w="755" w:type="dxa"/>
            <w:shd w:val="clear" w:color="auto" w:fill="D4E3F5"/>
          </w:tcPr>
          <w:p>
            <w:pPr>
              <w:pStyle w:val="TableParagraph"/>
              <w:ind w:left="89" w:right="51"/>
              <w:rPr>
                <w:sz w:val="14"/>
              </w:rPr>
            </w:pPr>
            <w:r>
              <w:rPr>
                <w:color w:val="231F20"/>
                <w:spacing w:val="-5"/>
                <w:w w:val="95"/>
                <w:sz w:val="14"/>
              </w:rPr>
              <w:t>7.1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3" w:right="136"/>
              <w:rPr>
                <w:sz w:val="14"/>
              </w:rPr>
            </w:pPr>
            <w:r>
              <w:rPr>
                <w:color w:val="231F20"/>
                <w:spacing w:val="-5"/>
                <w:w w:val="95"/>
                <w:sz w:val="14"/>
              </w:rPr>
              <w:t>5.3</w:t>
            </w:r>
          </w:p>
        </w:tc>
        <w:tc>
          <w:tcPr>
            <w:tcW w:w="1073" w:type="dxa"/>
            <w:shd w:val="clear" w:color="auto" w:fill="D4E3F5"/>
          </w:tcPr>
          <w:p>
            <w:pPr>
              <w:pStyle w:val="TableParagraph"/>
              <w:ind w:left="77" w:right="63"/>
              <w:rPr>
                <w:sz w:val="14"/>
              </w:rPr>
            </w:pPr>
            <w:r>
              <w:rPr>
                <w:color w:val="231F20"/>
                <w:spacing w:val="-5"/>
                <w:w w:val="95"/>
                <w:sz w:val="14"/>
              </w:rPr>
              <w:t>3.6</w:t>
            </w:r>
          </w:p>
        </w:tc>
        <w:tc>
          <w:tcPr>
            <w:tcW w:w="935" w:type="dxa"/>
            <w:shd w:val="clear" w:color="auto" w:fill="D4E3F5"/>
          </w:tcPr>
          <w:p>
            <w:pPr>
              <w:pStyle w:val="TableParagraph"/>
              <w:ind w:left="36" w:right="28"/>
              <w:rPr>
                <w:sz w:val="14"/>
              </w:rPr>
            </w:pPr>
            <w:r>
              <w:rPr>
                <w:color w:val="231F20"/>
                <w:spacing w:val="-5"/>
                <w:w w:val="95"/>
                <w:sz w:val="14"/>
              </w:rPr>
              <w:t>1.8</w:t>
            </w:r>
          </w:p>
        </w:tc>
        <w:tc>
          <w:tcPr>
            <w:tcW w:w="1008" w:type="dxa"/>
            <w:shd w:val="clear" w:color="auto" w:fill="D4E3F5"/>
          </w:tcPr>
          <w:p>
            <w:pPr>
              <w:pStyle w:val="TableParagraph"/>
              <w:ind w:right="390"/>
              <w:jc w:val="right"/>
              <w:rPr>
                <w:sz w:val="14"/>
              </w:rPr>
            </w:pPr>
            <w:r>
              <w:rPr>
                <w:color w:val="231F20"/>
                <w:spacing w:val="-5"/>
                <w:w w:val="95"/>
                <w:sz w:val="14"/>
              </w:rPr>
              <w:t>7.0</w:t>
            </w:r>
          </w:p>
        </w:tc>
      </w:tr>
      <w:tr>
        <w:trPr>
          <w:trHeight w:val="259" w:hRule="atLeast"/>
        </w:trPr>
        <w:tc>
          <w:tcPr>
            <w:tcW w:w="1311" w:type="dxa"/>
          </w:tcPr>
          <w:p>
            <w:pPr>
              <w:pStyle w:val="TableParagraph"/>
              <w:ind w:left="80"/>
              <w:jc w:val="left"/>
              <w:rPr>
                <w:sz w:val="14"/>
              </w:rPr>
            </w:pPr>
            <w:r>
              <w:rPr>
                <w:color w:val="231F20"/>
                <w:w w:val="75"/>
                <w:sz w:val="14"/>
              </w:rPr>
              <w:t>Virgin</w:t>
            </w:r>
            <w:r>
              <w:rPr>
                <w:color w:val="231F20"/>
                <w:spacing w:val="10"/>
                <w:sz w:val="14"/>
              </w:rPr>
              <w:t> </w:t>
            </w:r>
            <w:r>
              <w:rPr>
                <w:color w:val="231F20"/>
                <w:w w:val="75"/>
                <w:sz w:val="14"/>
              </w:rPr>
              <w:t>Islands</w:t>
            </w:r>
            <w:r>
              <w:rPr>
                <w:color w:val="231F20"/>
                <w:spacing w:val="10"/>
                <w:sz w:val="14"/>
              </w:rPr>
              <w:t> </w:t>
            </w:r>
            <w:r>
              <w:rPr>
                <w:color w:val="231F20"/>
                <w:spacing w:val="-2"/>
                <w:w w:val="75"/>
                <w:sz w:val="14"/>
              </w:rPr>
              <w:t>(U.S.)</w:t>
            </w:r>
          </w:p>
        </w:tc>
        <w:tc>
          <w:tcPr>
            <w:tcW w:w="1150" w:type="dxa"/>
          </w:tcPr>
          <w:p>
            <w:pPr>
              <w:pStyle w:val="TableParagraph"/>
              <w:ind w:right="436"/>
              <w:jc w:val="right"/>
              <w:rPr>
                <w:sz w:val="14"/>
              </w:rPr>
            </w:pPr>
            <w:r>
              <w:rPr>
                <w:color w:val="231F20"/>
                <w:spacing w:val="-10"/>
                <w:w w:val="95"/>
                <w:sz w:val="14"/>
              </w:rPr>
              <w:t>7</w:t>
            </w:r>
          </w:p>
        </w:tc>
        <w:tc>
          <w:tcPr>
            <w:tcW w:w="851" w:type="dxa"/>
          </w:tcPr>
          <w:p>
            <w:pPr>
              <w:pStyle w:val="TableParagraph"/>
              <w:ind w:left="77" w:right="136"/>
              <w:rPr>
                <w:sz w:val="14"/>
              </w:rPr>
            </w:pPr>
            <w:r>
              <w:rPr>
                <w:color w:val="231F20"/>
                <w:spacing w:val="-5"/>
                <w:w w:val="95"/>
                <w:sz w:val="14"/>
              </w:rPr>
              <w:t>5.7</w:t>
            </w:r>
          </w:p>
        </w:tc>
        <w:tc>
          <w:tcPr>
            <w:tcW w:w="1063" w:type="dxa"/>
          </w:tcPr>
          <w:p>
            <w:pPr>
              <w:pStyle w:val="TableParagraph"/>
              <w:ind w:left="77" w:right="53"/>
              <w:rPr>
                <w:sz w:val="14"/>
              </w:rPr>
            </w:pPr>
            <w:r>
              <w:rPr>
                <w:color w:val="231F20"/>
                <w:spacing w:val="-5"/>
                <w:w w:val="95"/>
                <w:sz w:val="14"/>
              </w:rPr>
              <w:t>4.0</w:t>
            </w:r>
          </w:p>
        </w:tc>
        <w:tc>
          <w:tcPr>
            <w:tcW w:w="1080" w:type="dxa"/>
          </w:tcPr>
          <w:p>
            <w:pPr>
              <w:pStyle w:val="TableParagraph"/>
              <w:ind w:left="399"/>
              <w:jc w:val="left"/>
              <w:rPr>
                <w:sz w:val="14"/>
              </w:rPr>
            </w:pPr>
            <w:r>
              <w:rPr>
                <w:color w:val="231F20"/>
                <w:spacing w:val="-5"/>
                <w:w w:val="95"/>
                <w:sz w:val="14"/>
              </w:rPr>
              <w:t>1.1</w:t>
            </w:r>
          </w:p>
        </w:tc>
        <w:tc>
          <w:tcPr>
            <w:tcW w:w="755" w:type="dxa"/>
          </w:tcPr>
          <w:p>
            <w:pPr>
              <w:pStyle w:val="TableParagraph"/>
              <w:ind w:left="87" w:right="51"/>
              <w:rPr>
                <w:sz w:val="14"/>
              </w:rPr>
            </w:pPr>
            <w:r>
              <w:rPr>
                <w:color w:val="231F20"/>
                <w:spacing w:val="-5"/>
                <w:w w:val="95"/>
                <w:sz w:val="14"/>
              </w:rPr>
              <w:t>8.9</w:t>
            </w:r>
          </w:p>
        </w:tc>
        <w:tc>
          <w:tcPr>
            <w:tcW w:w="240" w:type="dxa"/>
          </w:tcPr>
          <w:p>
            <w:pPr>
              <w:pStyle w:val="TableParagraph"/>
              <w:spacing w:before="0"/>
              <w:jc w:val="left"/>
              <w:rPr>
                <w:rFonts w:ascii="Times New Roman"/>
                <w:sz w:val="12"/>
              </w:rPr>
            </w:pPr>
          </w:p>
        </w:tc>
        <w:tc>
          <w:tcPr>
            <w:tcW w:w="851" w:type="dxa"/>
          </w:tcPr>
          <w:p>
            <w:pPr>
              <w:pStyle w:val="TableParagraph"/>
              <w:ind w:left="83" w:right="136"/>
              <w:rPr>
                <w:sz w:val="14"/>
              </w:rPr>
            </w:pPr>
            <w:r>
              <w:rPr>
                <w:color w:val="231F20"/>
                <w:spacing w:val="-5"/>
                <w:w w:val="95"/>
                <w:sz w:val="14"/>
              </w:rPr>
              <w:t>0.9</w:t>
            </w:r>
          </w:p>
        </w:tc>
        <w:tc>
          <w:tcPr>
            <w:tcW w:w="1073" w:type="dxa"/>
          </w:tcPr>
          <w:p>
            <w:pPr>
              <w:pStyle w:val="TableParagraph"/>
              <w:ind w:left="78" w:right="63"/>
              <w:rPr>
                <w:sz w:val="14"/>
              </w:rPr>
            </w:pPr>
            <w:r>
              <w:rPr>
                <w:color w:val="231F20"/>
                <w:spacing w:val="-5"/>
                <w:w w:val="95"/>
                <w:sz w:val="14"/>
              </w:rPr>
              <w:t>0.9</w:t>
            </w:r>
          </w:p>
        </w:tc>
        <w:tc>
          <w:tcPr>
            <w:tcW w:w="935" w:type="dxa"/>
          </w:tcPr>
          <w:p>
            <w:pPr>
              <w:pStyle w:val="TableParagraph"/>
              <w:ind w:left="30" w:right="28"/>
              <w:rPr>
                <w:sz w:val="14"/>
              </w:rPr>
            </w:pPr>
            <w:r>
              <w:rPr>
                <w:color w:val="231F20"/>
                <w:spacing w:val="-5"/>
                <w:w w:val="95"/>
                <w:sz w:val="14"/>
              </w:rPr>
              <w:t>0.5</w:t>
            </w:r>
          </w:p>
        </w:tc>
        <w:tc>
          <w:tcPr>
            <w:tcW w:w="1008" w:type="dxa"/>
          </w:tcPr>
          <w:p>
            <w:pPr>
              <w:pStyle w:val="TableParagraph"/>
              <w:ind w:right="390"/>
              <w:jc w:val="right"/>
              <w:rPr>
                <w:sz w:val="14"/>
              </w:rPr>
            </w:pPr>
            <w:r>
              <w:rPr>
                <w:color w:val="231F20"/>
                <w:spacing w:val="-5"/>
                <w:w w:val="95"/>
                <w:sz w:val="14"/>
              </w:rPr>
              <w:t>1.0</w:t>
            </w:r>
          </w:p>
        </w:tc>
      </w:tr>
      <w:tr>
        <w:trPr>
          <w:trHeight w:val="259" w:hRule="atLeast"/>
        </w:trPr>
        <w:tc>
          <w:tcPr>
            <w:tcW w:w="1311" w:type="dxa"/>
            <w:shd w:val="clear" w:color="auto" w:fill="D4E3F5"/>
          </w:tcPr>
          <w:p>
            <w:pPr>
              <w:pStyle w:val="TableParagraph"/>
              <w:ind w:left="80"/>
              <w:jc w:val="left"/>
              <w:rPr>
                <w:sz w:val="14"/>
              </w:rPr>
            </w:pPr>
            <w:r>
              <w:rPr>
                <w:color w:val="231F20"/>
                <w:w w:val="75"/>
                <w:sz w:val="14"/>
              </w:rPr>
              <w:t>Yemen,</w:t>
            </w:r>
            <w:r>
              <w:rPr>
                <w:color w:val="231F20"/>
                <w:spacing w:val="2"/>
                <w:sz w:val="14"/>
              </w:rPr>
              <w:t> </w:t>
            </w:r>
            <w:r>
              <w:rPr>
                <w:color w:val="231F20"/>
                <w:spacing w:val="-4"/>
                <w:w w:val="90"/>
                <w:sz w:val="14"/>
              </w:rPr>
              <w:t>Rep.</w:t>
            </w:r>
          </w:p>
        </w:tc>
        <w:tc>
          <w:tcPr>
            <w:tcW w:w="1150" w:type="dxa"/>
            <w:shd w:val="clear" w:color="auto" w:fill="D4E3F5"/>
          </w:tcPr>
          <w:p>
            <w:pPr>
              <w:pStyle w:val="TableParagraph"/>
              <w:ind w:right="434"/>
              <w:jc w:val="right"/>
              <w:rPr>
                <w:sz w:val="14"/>
              </w:rPr>
            </w:pPr>
            <w:r>
              <w:rPr>
                <w:color w:val="231F20"/>
                <w:spacing w:val="-2"/>
                <w:w w:val="95"/>
                <w:sz w:val="14"/>
              </w:rPr>
              <w:t>2,366</w:t>
            </w:r>
          </w:p>
        </w:tc>
        <w:tc>
          <w:tcPr>
            <w:tcW w:w="851" w:type="dxa"/>
            <w:shd w:val="clear" w:color="auto" w:fill="D4E3F5"/>
          </w:tcPr>
          <w:p>
            <w:pPr>
              <w:pStyle w:val="TableParagraph"/>
              <w:ind w:left="83" w:right="136"/>
              <w:rPr>
                <w:sz w:val="14"/>
              </w:rPr>
            </w:pPr>
            <w:r>
              <w:rPr>
                <w:color w:val="231F20"/>
                <w:spacing w:val="-5"/>
                <w:w w:val="95"/>
                <w:sz w:val="14"/>
              </w:rPr>
              <w:t>4.8</w:t>
            </w:r>
          </w:p>
        </w:tc>
        <w:tc>
          <w:tcPr>
            <w:tcW w:w="1063" w:type="dxa"/>
            <w:shd w:val="clear" w:color="auto" w:fill="D4E3F5"/>
          </w:tcPr>
          <w:p>
            <w:pPr>
              <w:pStyle w:val="TableParagraph"/>
              <w:ind w:left="60" w:right="53"/>
              <w:rPr>
                <w:sz w:val="14"/>
              </w:rPr>
            </w:pPr>
            <w:r>
              <w:rPr>
                <w:color w:val="231F20"/>
                <w:spacing w:val="-5"/>
                <w:w w:val="95"/>
                <w:sz w:val="14"/>
              </w:rPr>
              <w:t>4.1</w:t>
            </w:r>
          </w:p>
        </w:tc>
        <w:tc>
          <w:tcPr>
            <w:tcW w:w="1080" w:type="dxa"/>
            <w:shd w:val="clear" w:color="auto" w:fill="D4E3F5"/>
          </w:tcPr>
          <w:p>
            <w:pPr>
              <w:pStyle w:val="TableParagraph"/>
              <w:ind w:left="391"/>
              <w:jc w:val="left"/>
              <w:rPr>
                <w:sz w:val="14"/>
              </w:rPr>
            </w:pPr>
            <w:r>
              <w:rPr>
                <w:color w:val="231F20"/>
                <w:spacing w:val="-5"/>
                <w:w w:val="95"/>
                <w:sz w:val="14"/>
              </w:rPr>
              <w:t>3.1</w:t>
            </w:r>
          </w:p>
        </w:tc>
        <w:tc>
          <w:tcPr>
            <w:tcW w:w="755" w:type="dxa"/>
            <w:shd w:val="clear" w:color="auto" w:fill="D4E3F5"/>
          </w:tcPr>
          <w:p>
            <w:pPr>
              <w:pStyle w:val="TableParagraph"/>
              <w:ind w:left="87" w:right="51"/>
              <w:rPr>
                <w:sz w:val="14"/>
              </w:rPr>
            </w:pPr>
            <w:r>
              <w:rPr>
                <w:color w:val="231F20"/>
                <w:spacing w:val="-5"/>
                <w:w w:val="95"/>
                <w:sz w:val="14"/>
              </w:rPr>
              <w:t>6.2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4" w:right="136"/>
              <w:rPr>
                <w:sz w:val="14"/>
              </w:rPr>
            </w:pPr>
            <w:r>
              <w:rPr>
                <w:color w:val="231F20"/>
                <w:spacing w:val="-5"/>
                <w:w w:val="95"/>
                <w:sz w:val="14"/>
              </w:rPr>
              <w:t>4.8</w:t>
            </w:r>
          </w:p>
        </w:tc>
        <w:tc>
          <w:tcPr>
            <w:tcW w:w="1073" w:type="dxa"/>
            <w:shd w:val="clear" w:color="auto" w:fill="D4E3F5"/>
          </w:tcPr>
          <w:p>
            <w:pPr>
              <w:pStyle w:val="TableParagraph"/>
              <w:ind w:left="62" w:right="63"/>
              <w:rPr>
                <w:sz w:val="14"/>
              </w:rPr>
            </w:pPr>
            <w:r>
              <w:rPr>
                <w:color w:val="231F20"/>
                <w:spacing w:val="-5"/>
                <w:w w:val="95"/>
                <w:sz w:val="14"/>
              </w:rPr>
              <w:t>4.1</w:t>
            </w:r>
          </w:p>
        </w:tc>
        <w:tc>
          <w:tcPr>
            <w:tcW w:w="935" w:type="dxa"/>
            <w:shd w:val="clear" w:color="auto" w:fill="D4E3F5"/>
          </w:tcPr>
          <w:p>
            <w:pPr>
              <w:pStyle w:val="TableParagraph"/>
              <w:ind w:left="14" w:right="29"/>
              <w:rPr>
                <w:sz w:val="14"/>
              </w:rPr>
            </w:pPr>
            <w:r>
              <w:rPr>
                <w:color w:val="231F20"/>
                <w:spacing w:val="-5"/>
                <w:w w:val="95"/>
                <w:sz w:val="14"/>
              </w:rPr>
              <w:t>3.1</w:t>
            </w:r>
          </w:p>
        </w:tc>
        <w:tc>
          <w:tcPr>
            <w:tcW w:w="1008" w:type="dxa"/>
            <w:shd w:val="clear" w:color="auto" w:fill="D4E3F5"/>
          </w:tcPr>
          <w:p>
            <w:pPr>
              <w:pStyle w:val="TableParagraph"/>
              <w:ind w:right="388"/>
              <w:jc w:val="right"/>
              <w:rPr>
                <w:sz w:val="14"/>
              </w:rPr>
            </w:pPr>
            <w:r>
              <w:rPr>
                <w:color w:val="231F20"/>
                <w:spacing w:val="-5"/>
                <w:w w:val="95"/>
                <w:sz w:val="14"/>
              </w:rPr>
              <w:t>6.2</w:t>
            </w:r>
          </w:p>
        </w:tc>
      </w:tr>
      <w:tr>
        <w:trPr>
          <w:trHeight w:val="259" w:hRule="atLeast"/>
        </w:trPr>
        <w:tc>
          <w:tcPr>
            <w:tcW w:w="1311" w:type="dxa"/>
          </w:tcPr>
          <w:p>
            <w:pPr>
              <w:pStyle w:val="TableParagraph"/>
              <w:ind w:left="80"/>
              <w:jc w:val="left"/>
              <w:rPr>
                <w:sz w:val="14"/>
              </w:rPr>
            </w:pPr>
            <w:r>
              <w:rPr>
                <w:color w:val="231F20"/>
                <w:spacing w:val="-2"/>
                <w:w w:val="90"/>
                <w:sz w:val="14"/>
              </w:rPr>
              <w:t>Zambia</w:t>
            </w:r>
          </w:p>
        </w:tc>
        <w:tc>
          <w:tcPr>
            <w:tcW w:w="1150" w:type="dxa"/>
          </w:tcPr>
          <w:p>
            <w:pPr>
              <w:pStyle w:val="TableParagraph"/>
              <w:ind w:right="434"/>
              <w:jc w:val="right"/>
              <w:rPr>
                <w:sz w:val="14"/>
              </w:rPr>
            </w:pPr>
            <w:r>
              <w:rPr>
                <w:color w:val="231F20"/>
                <w:spacing w:val="-5"/>
                <w:w w:val="95"/>
                <w:sz w:val="14"/>
              </w:rPr>
              <w:t>171</w:t>
            </w:r>
          </w:p>
        </w:tc>
        <w:tc>
          <w:tcPr>
            <w:tcW w:w="851" w:type="dxa"/>
          </w:tcPr>
          <w:p>
            <w:pPr>
              <w:pStyle w:val="TableParagraph"/>
              <w:ind w:left="19" w:right="136"/>
              <w:rPr>
                <w:sz w:val="14"/>
              </w:rPr>
            </w:pPr>
            <w:r>
              <w:rPr>
                <w:color w:val="231F20"/>
                <w:spacing w:val="-4"/>
                <w:w w:val="95"/>
                <w:sz w:val="14"/>
              </w:rPr>
              <w:t>13.9</w:t>
            </w:r>
          </w:p>
        </w:tc>
        <w:tc>
          <w:tcPr>
            <w:tcW w:w="1063" w:type="dxa"/>
          </w:tcPr>
          <w:p>
            <w:pPr>
              <w:pStyle w:val="TableParagraph"/>
              <w:ind w:left="38" w:right="68"/>
              <w:rPr>
                <w:sz w:val="14"/>
              </w:rPr>
            </w:pPr>
            <w:r>
              <w:rPr>
                <w:color w:val="231F20"/>
                <w:spacing w:val="-4"/>
                <w:w w:val="95"/>
                <w:sz w:val="14"/>
              </w:rPr>
              <w:t>11.7</w:t>
            </w:r>
          </w:p>
        </w:tc>
        <w:tc>
          <w:tcPr>
            <w:tcW w:w="1080" w:type="dxa"/>
          </w:tcPr>
          <w:p>
            <w:pPr>
              <w:pStyle w:val="TableParagraph"/>
              <w:ind w:left="405"/>
              <w:jc w:val="left"/>
              <w:rPr>
                <w:sz w:val="14"/>
              </w:rPr>
            </w:pPr>
            <w:r>
              <w:rPr>
                <w:color w:val="231F20"/>
                <w:spacing w:val="-5"/>
                <w:w w:val="95"/>
                <w:sz w:val="14"/>
              </w:rPr>
              <w:t>7.8</w:t>
            </w:r>
          </w:p>
        </w:tc>
        <w:tc>
          <w:tcPr>
            <w:tcW w:w="755" w:type="dxa"/>
          </w:tcPr>
          <w:p>
            <w:pPr>
              <w:pStyle w:val="TableParagraph"/>
              <w:ind w:left="48" w:right="74"/>
              <w:rPr>
                <w:sz w:val="14"/>
              </w:rPr>
            </w:pPr>
            <w:r>
              <w:rPr>
                <w:color w:val="231F20"/>
                <w:spacing w:val="-4"/>
                <w:w w:val="95"/>
                <w:sz w:val="14"/>
              </w:rPr>
              <w:t>16.8</w:t>
            </w:r>
          </w:p>
        </w:tc>
        <w:tc>
          <w:tcPr>
            <w:tcW w:w="240" w:type="dxa"/>
          </w:tcPr>
          <w:p>
            <w:pPr>
              <w:pStyle w:val="TableParagraph"/>
              <w:spacing w:before="0"/>
              <w:jc w:val="left"/>
              <w:rPr>
                <w:rFonts w:ascii="Times New Roman"/>
                <w:sz w:val="12"/>
              </w:rPr>
            </w:pPr>
          </w:p>
        </w:tc>
        <w:tc>
          <w:tcPr>
            <w:tcW w:w="851" w:type="dxa"/>
          </w:tcPr>
          <w:p>
            <w:pPr>
              <w:pStyle w:val="TableParagraph"/>
              <w:ind w:left="249"/>
              <w:jc w:val="left"/>
              <w:rPr>
                <w:sz w:val="14"/>
              </w:rPr>
            </w:pPr>
            <w:r>
              <w:rPr>
                <w:color w:val="231F20"/>
                <w:spacing w:val="-4"/>
                <w:w w:val="95"/>
                <w:sz w:val="14"/>
              </w:rPr>
              <w:t>13.6</w:t>
            </w:r>
          </w:p>
        </w:tc>
        <w:tc>
          <w:tcPr>
            <w:tcW w:w="1073" w:type="dxa"/>
          </w:tcPr>
          <w:p>
            <w:pPr>
              <w:pStyle w:val="TableParagraph"/>
              <w:ind w:left="30" w:right="68"/>
              <w:rPr>
                <w:sz w:val="14"/>
              </w:rPr>
            </w:pPr>
            <w:r>
              <w:rPr>
                <w:color w:val="231F20"/>
                <w:spacing w:val="-4"/>
                <w:w w:val="95"/>
                <w:sz w:val="14"/>
              </w:rPr>
              <w:t>11.4</w:t>
            </w:r>
          </w:p>
        </w:tc>
        <w:tc>
          <w:tcPr>
            <w:tcW w:w="935" w:type="dxa"/>
          </w:tcPr>
          <w:p>
            <w:pPr>
              <w:pStyle w:val="TableParagraph"/>
              <w:ind w:left="42" w:right="28"/>
              <w:rPr>
                <w:sz w:val="14"/>
              </w:rPr>
            </w:pPr>
            <w:r>
              <w:rPr>
                <w:color w:val="231F20"/>
                <w:spacing w:val="-5"/>
                <w:w w:val="95"/>
                <w:sz w:val="14"/>
              </w:rPr>
              <w:t>7.3</w:t>
            </w:r>
          </w:p>
        </w:tc>
        <w:tc>
          <w:tcPr>
            <w:tcW w:w="1008" w:type="dxa"/>
          </w:tcPr>
          <w:p>
            <w:pPr>
              <w:pStyle w:val="TableParagraph"/>
              <w:ind w:right="389"/>
              <w:jc w:val="right"/>
              <w:rPr>
                <w:sz w:val="14"/>
              </w:rPr>
            </w:pPr>
            <w:r>
              <w:rPr>
                <w:color w:val="231F20"/>
                <w:spacing w:val="-4"/>
                <w:w w:val="95"/>
                <w:sz w:val="14"/>
              </w:rPr>
              <w:t>16.8</w:t>
            </w:r>
          </w:p>
        </w:tc>
      </w:tr>
      <w:tr>
        <w:trPr>
          <w:trHeight w:val="254" w:hRule="atLeast"/>
        </w:trPr>
        <w:tc>
          <w:tcPr>
            <w:tcW w:w="1311" w:type="dxa"/>
            <w:tcBorders>
              <w:bottom w:val="single" w:sz="4" w:space="0" w:color="008FDD"/>
            </w:tcBorders>
            <w:shd w:val="clear" w:color="auto" w:fill="D4E3F5"/>
          </w:tcPr>
          <w:p>
            <w:pPr>
              <w:pStyle w:val="TableParagraph"/>
              <w:ind w:left="80"/>
              <w:jc w:val="left"/>
              <w:rPr>
                <w:sz w:val="14"/>
              </w:rPr>
            </w:pPr>
            <w:r>
              <w:rPr>
                <w:color w:val="231F20"/>
                <w:spacing w:val="-2"/>
                <w:w w:val="90"/>
                <w:sz w:val="14"/>
              </w:rPr>
              <w:t>Zimbabwe</w:t>
            </w:r>
          </w:p>
        </w:tc>
        <w:tc>
          <w:tcPr>
            <w:tcW w:w="1150" w:type="dxa"/>
            <w:tcBorders>
              <w:bottom w:val="single" w:sz="4" w:space="0" w:color="008FDD"/>
            </w:tcBorders>
            <w:shd w:val="clear" w:color="auto" w:fill="D4E3F5"/>
          </w:tcPr>
          <w:p>
            <w:pPr>
              <w:pStyle w:val="TableParagraph"/>
              <w:ind w:right="434"/>
              <w:jc w:val="right"/>
              <w:rPr>
                <w:sz w:val="14"/>
              </w:rPr>
            </w:pPr>
            <w:r>
              <w:rPr>
                <w:color w:val="231F20"/>
                <w:spacing w:val="-5"/>
                <w:w w:val="95"/>
                <w:sz w:val="14"/>
              </w:rPr>
              <w:t>176</w:t>
            </w:r>
          </w:p>
        </w:tc>
        <w:tc>
          <w:tcPr>
            <w:tcW w:w="851" w:type="dxa"/>
            <w:tcBorders>
              <w:bottom w:val="single" w:sz="4" w:space="0" w:color="008FDD"/>
            </w:tcBorders>
            <w:shd w:val="clear" w:color="auto" w:fill="D4E3F5"/>
          </w:tcPr>
          <w:p>
            <w:pPr>
              <w:pStyle w:val="TableParagraph"/>
              <w:ind w:left="20" w:right="136"/>
              <w:rPr>
                <w:sz w:val="14"/>
              </w:rPr>
            </w:pPr>
            <w:r>
              <w:rPr>
                <w:color w:val="231F20"/>
                <w:spacing w:val="-4"/>
                <w:w w:val="95"/>
                <w:sz w:val="14"/>
              </w:rPr>
              <w:t>12.8</w:t>
            </w:r>
          </w:p>
        </w:tc>
        <w:tc>
          <w:tcPr>
            <w:tcW w:w="1063" w:type="dxa"/>
            <w:tcBorders>
              <w:bottom w:val="single" w:sz="4" w:space="0" w:color="008FDD"/>
            </w:tcBorders>
            <w:shd w:val="clear" w:color="auto" w:fill="D4E3F5"/>
          </w:tcPr>
          <w:p>
            <w:pPr>
              <w:pStyle w:val="TableParagraph"/>
              <w:ind w:left="38" w:right="64"/>
              <w:rPr>
                <w:sz w:val="14"/>
              </w:rPr>
            </w:pPr>
            <w:r>
              <w:rPr>
                <w:color w:val="231F20"/>
                <w:spacing w:val="-4"/>
                <w:w w:val="95"/>
                <w:sz w:val="14"/>
              </w:rPr>
              <w:t>11.8</w:t>
            </w:r>
          </w:p>
        </w:tc>
        <w:tc>
          <w:tcPr>
            <w:tcW w:w="1080" w:type="dxa"/>
            <w:tcBorders>
              <w:bottom w:val="single" w:sz="4" w:space="0" w:color="008FDD"/>
            </w:tcBorders>
            <w:shd w:val="clear" w:color="auto" w:fill="D4E3F5"/>
          </w:tcPr>
          <w:p>
            <w:pPr>
              <w:pStyle w:val="TableParagraph"/>
              <w:ind w:left="391"/>
              <w:jc w:val="left"/>
              <w:rPr>
                <w:sz w:val="14"/>
              </w:rPr>
            </w:pPr>
            <w:r>
              <w:rPr>
                <w:color w:val="231F20"/>
                <w:spacing w:val="-5"/>
                <w:w w:val="95"/>
                <w:sz w:val="14"/>
              </w:rPr>
              <w:t>8.1</w:t>
            </w:r>
          </w:p>
        </w:tc>
        <w:tc>
          <w:tcPr>
            <w:tcW w:w="755" w:type="dxa"/>
            <w:tcBorders>
              <w:bottom w:val="single" w:sz="4" w:space="0" w:color="008FDD"/>
            </w:tcBorders>
            <w:shd w:val="clear" w:color="auto" w:fill="D4E3F5"/>
          </w:tcPr>
          <w:p>
            <w:pPr>
              <w:pStyle w:val="TableParagraph"/>
              <w:ind w:left="48" w:right="71"/>
              <w:rPr>
                <w:sz w:val="14"/>
              </w:rPr>
            </w:pPr>
            <w:r>
              <w:rPr>
                <w:color w:val="231F20"/>
                <w:spacing w:val="-4"/>
                <w:w w:val="95"/>
                <w:sz w:val="14"/>
              </w:rPr>
              <w:t>15.2</w:t>
            </w:r>
          </w:p>
        </w:tc>
        <w:tc>
          <w:tcPr>
            <w:tcW w:w="240" w:type="dxa"/>
            <w:tcBorders>
              <w:bottom w:val="single" w:sz="4" w:space="0" w:color="008FDD"/>
            </w:tcBorders>
            <w:shd w:val="clear" w:color="auto" w:fill="D4E3F5"/>
          </w:tcPr>
          <w:p>
            <w:pPr>
              <w:pStyle w:val="TableParagraph"/>
              <w:spacing w:before="0"/>
              <w:jc w:val="left"/>
              <w:rPr>
                <w:rFonts w:ascii="Times New Roman"/>
                <w:sz w:val="12"/>
              </w:rPr>
            </w:pPr>
          </w:p>
        </w:tc>
        <w:tc>
          <w:tcPr>
            <w:tcW w:w="851" w:type="dxa"/>
            <w:tcBorders>
              <w:bottom w:val="single" w:sz="4" w:space="0" w:color="008FDD"/>
            </w:tcBorders>
            <w:shd w:val="clear" w:color="auto" w:fill="D4E3F5"/>
          </w:tcPr>
          <w:p>
            <w:pPr>
              <w:pStyle w:val="TableParagraph"/>
              <w:ind w:left="250"/>
              <w:jc w:val="left"/>
              <w:rPr>
                <w:sz w:val="14"/>
              </w:rPr>
            </w:pPr>
            <w:r>
              <w:rPr>
                <w:color w:val="231F20"/>
                <w:spacing w:val="-4"/>
                <w:w w:val="95"/>
                <w:sz w:val="14"/>
              </w:rPr>
              <w:t>12.8</w:t>
            </w:r>
          </w:p>
        </w:tc>
        <w:tc>
          <w:tcPr>
            <w:tcW w:w="1073" w:type="dxa"/>
            <w:tcBorders>
              <w:bottom w:val="single" w:sz="4" w:space="0" w:color="008FDD"/>
            </w:tcBorders>
            <w:shd w:val="clear" w:color="auto" w:fill="D4E3F5"/>
          </w:tcPr>
          <w:p>
            <w:pPr>
              <w:pStyle w:val="TableParagraph"/>
              <w:ind w:left="30" w:right="66"/>
              <w:rPr>
                <w:sz w:val="14"/>
              </w:rPr>
            </w:pPr>
            <w:r>
              <w:rPr>
                <w:color w:val="231F20"/>
                <w:spacing w:val="-4"/>
                <w:w w:val="95"/>
                <w:sz w:val="14"/>
              </w:rPr>
              <w:t>11.8</w:t>
            </w:r>
          </w:p>
        </w:tc>
        <w:tc>
          <w:tcPr>
            <w:tcW w:w="935" w:type="dxa"/>
            <w:tcBorders>
              <w:bottom w:val="single" w:sz="4" w:space="0" w:color="008FDD"/>
            </w:tcBorders>
            <w:shd w:val="clear" w:color="auto" w:fill="D4E3F5"/>
          </w:tcPr>
          <w:p>
            <w:pPr>
              <w:pStyle w:val="TableParagraph"/>
              <w:ind w:left="14" w:right="29"/>
              <w:rPr>
                <w:sz w:val="14"/>
              </w:rPr>
            </w:pPr>
            <w:r>
              <w:rPr>
                <w:color w:val="231F20"/>
                <w:spacing w:val="-5"/>
                <w:w w:val="95"/>
                <w:sz w:val="14"/>
              </w:rPr>
              <w:t>8.1</w:t>
            </w:r>
          </w:p>
        </w:tc>
        <w:tc>
          <w:tcPr>
            <w:tcW w:w="1008" w:type="dxa"/>
            <w:tcBorders>
              <w:bottom w:val="single" w:sz="4" w:space="0" w:color="008FDD"/>
            </w:tcBorders>
            <w:shd w:val="clear" w:color="auto" w:fill="D4E3F5"/>
          </w:tcPr>
          <w:p>
            <w:pPr>
              <w:pStyle w:val="TableParagraph"/>
              <w:ind w:right="388"/>
              <w:jc w:val="right"/>
              <w:rPr>
                <w:sz w:val="14"/>
              </w:rPr>
            </w:pPr>
            <w:r>
              <w:rPr>
                <w:color w:val="231F20"/>
                <w:spacing w:val="-4"/>
                <w:w w:val="95"/>
                <w:sz w:val="14"/>
              </w:rPr>
              <w:t>15.2</w:t>
            </w:r>
          </w:p>
        </w:tc>
      </w:tr>
    </w:tbl>
    <w:p>
      <w:pPr>
        <w:pStyle w:val="BodyText"/>
        <w:spacing w:before="76"/>
        <w:rPr>
          <w:rFonts w:ascii="Arial"/>
          <w:sz w:val="12"/>
        </w:rPr>
      </w:pPr>
    </w:p>
    <w:p>
      <w:pPr>
        <w:spacing w:before="0"/>
        <w:ind w:left="1200" w:right="0" w:firstLine="0"/>
        <w:jc w:val="left"/>
        <w:rPr>
          <w:rFonts w:ascii="Arial"/>
          <w:sz w:val="12"/>
        </w:rPr>
      </w:pPr>
      <w:r>
        <w:rPr>
          <w:rFonts w:ascii="Arial"/>
          <w:i/>
          <w:color w:val="231F20"/>
          <w:w w:val="75"/>
          <w:sz w:val="12"/>
        </w:rPr>
        <w:t>Source:</w:t>
      </w:r>
      <w:r>
        <w:rPr>
          <w:rFonts w:ascii="Arial"/>
          <w:i/>
          <w:color w:val="231F20"/>
          <w:spacing w:val="5"/>
          <w:sz w:val="12"/>
        </w:rPr>
        <w:t> </w:t>
      </w:r>
      <w:r>
        <w:rPr>
          <w:rFonts w:ascii="Arial"/>
          <w:color w:val="231F20"/>
          <w:spacing w:val="-2"/>
          <w:w w:val="90"/>
          <w:sz w:val="12"/>
        </w:rPr>
        <w:t>TradeLens.</w:t>
      </w:r>
    </w:p>
    <w:p>
      <w:pPr>
        <w:spacing w:after="0"/>
        <w:jc w:val="left"/>
        <w:rPr>
          <w:rFonts w:ascii="Arial"/>
          <w:sz w:val="12"/>
        </w:rPr>
        <w:sectPr>
          <w:pgSz w:w="12240" w:h="15840"/>
          <w:pgMar w:header="370" w:footer="548" w:top="560" w:bottom="740" w:left="0" w:right="540"/>
        </w:sectPr>
      </w:pPr>
    </w:p>
    <w:p>
      <w:pPr>
        <w:pStyle w:val="BodyText"/>
        <w:rPr>
          <w:rFonts w:ascii="Arial"/>
          <w:sz w:val="20"/>
        </w:rPr>
      </w:pPr>
    </w:p>
    <w:p>
      <w:pPr>
        <w:pStyle w:val="BodyText"/>
        <w:rPr>
          <w:rFonts w:ascii="Arial"/>
          <w:sz w:val="20"/>
        </w:rPr>
      </w:pPr>
    </w:p>
    <w:p>
      <w:pPr>
        <w:pStyle w:val="BodyText"/>
        <w:spacing w:before="60"/>
        <w:rPr>
          <w:rFonts w:ascii="Arial"/>
          <w:sz w:val="20"/>
        </w:rPr>
      </w:pPr>
    </w:p>
    <w:p>
      <w:pPr>
        <w:pStyle w:val="BodyText"/>
        <w:ind w:left="660"/>
        <w:rPr>
          <w:rFonts w:ascii="Arial"/>
          <w:sz w:val="20"/>
        </w:rPr>
      </w:pPr>
      <w:r>
        <w:rPr>
          <w:rFonts w:ascii="Arial"/>
          <w:sz w:val="20"/>
        </w:rPr>
        <mc:AlternateContent>
          <mc:Choice Requires="wps">
            <w:drawing>
              <wp:inline distT="0" distB="0" distL="0" distR="0">
                <wp:extent cx="6629400" cy="389255"/>
                <wp:effectExtent l="19050" t="19050" r="19050" b="20320"/>
                <wp:docPr id="1576" name="Group 1576"/>
                <wp:cNvGraphicFramePr>
                  <a:graphicFrameLocks/>
                </wp:cNvGraphicFramePr>
                <a:graphic>
                  <a:graphicData uri="http://schemas.microsoft.com/office/word/2010/wordprocessingGroup">
                    <wpg:wgp>
                      <wpg:cNvPr id="1576" name="Group 1576"/>
                      <wpg:cNvGrpSpPr/>
                      <wpg:grpSpPr>
                        <a:xfrm>
                          <a:off x="0" y="0"/>
                          <a:ext cx="6629400" cy="389255"/>
                          <a:chExt cx="6629400" cy="389255"/>
                        </a:xfrm>
                      </wpg:grpSpPr>
                      <wps:wsp>
                        <wps:cNvPr id="1577" name="Graphic 1577"/>
                        <wps:cNvSpPr/>
                        <wps:spPr>
                          <a:xfrm>
                            <a:off x="152400" y="38100"/>
                            <a:ext cx="6457950" cy="254000"/>
                          </a:xfrm>
                          <a:custGeom>
                            <a:avLst/>
                            <a:gdLst/>
                            <a:ahLst/>
                            <a:cxnLst/>
                            <a:rect l="l" t="t" r="r" b="b"/>
                            <a:pathLst>
                              <a:path w="6457950" h="254000">
                                <a:moveTo>
                                  <a:pt x="6416866" y="0"/>
                                </a:moveTo>
                                <a:lnTo>
                                  <a:pt x="0" y="0"/>
                                </a:lnTo>
                                <a:lnTo>
                                  <a:pt x="0" y="254000"/>
                                </a:lnTo>
                                <a:lnTo>
                                  <a:pt x="6457950" y="254000"/>
                                </a:lnTo>
                                <a:lnTo>
                                  <a:pt x="6457950" y="76200"/>
                                </a:lnTo>
                                <a:lnTo>
                                  <a:pt x="6450453" y="39157"/>
                                </a:lnTo>
                                <a:lnTo>
                                  <a:pt x="6430022" y="8877"/>
                                </a:lnTo>
                                <a:lnTo>
                                  <a:pt x="6416866" y="0"/>
                                </a:lnTo>
                                <a:close/>
                              </a:path>
                            </a:pathLst>
                          </a:custGeom>
                          <a:solidFill>
                            <a:srgbClr val="808285"/>
                          </a:solidFill>
                        </wps:spPr>
                        <wps:bodyPr wrap="square" lIns="0" tIns="0" rIns="0" bIns="0" rtlCol="0">
                          <a:prstTxWarp prst="textNoShape">
                            <a:avLst/>
                          </a:prstTxWarp>
                          <a:noAutofit/>
                        </wps:bodyPr>
                      </wps:wsp>
                      <wps:wsp>
                        <wps:cNvPr id="1578" name="Graphic 1578"/>
                        <wps:cNvSpPr/>
                        <wps:spPr>
                          <a:xfrm>
                            <a:off x="622300" y="38098"/>
                            <a:ext cx="1270" cy="254635"/>
                          </a:xfrm>
                          <a:custGeom>
                            <a:avLst/>
                            <a:gdLst/>
                            <a:ahLst/>
                            <a:cxnLst/>
                            <a:rect l="l" t="t" r="r" b="b"/>
                            <a:pathLst>
                              <a:path w="0" h="254635">
                                <a:moveTo>
                                  <a:pt x="0" y="25415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579" name="Graphic 1579"/>
                        <wps:cNvSpPr/>
                        <wps:spPr>
                          <a:xfrm>
                            <a:off x="38100" y="38251"/>
                            <a:ext cx="571500" cy="254000"/>
                          </a:xfrm>
                          <a:custGeom>
                            <a:avLst/>
                            <a:gdLst/>
                            <a:ahLst/>
                            <a:cxnLst/>
                            <a:rect l="l" t="t" r="r" b="b"/>
                            <a:pathLst>
                              <a:path w="571500" h="254000">
                                <a:moveTo>
                                  <a:pt x="0" y="254000"/>
                                </a:moveTo>
                                <a:lnTo>
                                  <a:pt x="571500" y="254000"/>
                                </a:lnTo>
                                <a:lnTo>
                                  <a:pt x="571500" y="0"/>
                                </a:lnTo>
                                <a:lnTo>
                                  <a:pt x="0" y="0"/>
                                </a:lnTo>
                                <a:lnTo>
                                  <a:pt x="0" y="254000"/>
                                </a:lnTo>
                                <a:close/>
                              </a:path>
                            </a:pathLst>
                          </a:custGeom>
                          <a:solidFill>
                            <a:srgbClr val="008FDD"/>
                          </a:solidFill>
                        </wps:spPr>
                        <wps:bodyPr wrap="square" lIns="0" tIns="0" rIns="0" bIns="0" rtlCol="0">
                          <a:prstTxWarp prst="textNoShape">
                            <a:avLst/>
                          </a:prstTxWarp>
                          <a:noAutofit/>
                        </wps:bodyPr>
                      </wps:wsp>
                      <wps:wsp>
                        <wps:cNvPr id="1580" name="Graphic 1580"/>
                        <wps:cNvSpPr/>
                        <wps:spPr>
                          <a:xfrm>
                            <a:off x="19050" y="19050"/>
                            <a:ext cx="6591300" cy="351155"/>
                          </a:xfrm>
                          <a:custGeom>
                            <a:avLst/>
                            <a:gdLst/>
                            <a:ahLst/>
                            <a:cxnLst/>
                            <a:rect l="l" t="t" r="r" b="b"/>
                            <a:pathLst>
                              <a:path w="6591300" h="351155">
                                <a:moveTo>
                                  <a:pt x="95250" y="0"/>
                                </a:moveTo>
                                <a:lnTo>
                                  <a:pt x="58207" y="7497"/>
                                </a:lnTo>
                                <a:lnTo>
                                  <a:pt x="27927" y="27932"/>
                                </a:lnTo>
                                <a:lnTo>
                                  <a:pt x="7496" y="58212"/>
                                </a:lnTo>
                                <a:lnTo>
                                  <a:pt x="0" y="95250"/>
                                </a:lnTo>
                                <a:lnTo>
                                  <a:pt x="0" y="331889"/>
                                </a:lnTo>
                                <a:lnTo>
                                  <a:pt x="0" y="350939"/>
                                </a:lnTo>
                                <a:lnTo>
                                  <a:pt x="19050" y="350939"/>
                                </a:lnTo>
                                <a:lnTo>
                                  <a:pt x="6572250" y="350939"/>
                                </a:lnTo>
                                <a:lnTo>
                                  <a:pt x="6591300" y="350939"/>
                                </a:lnTo>
                                <a:lnTo>
                                  <a:pt x="6591300" y="331889"/>
                                </a:lnTo>
                                <a:lnTo>
                                  <a:pt x="6591300" y="95250"/>
                                </a:lnTo>
                                <a:lnTo>
                                  <a:pt x="6583803" y="58212"/>
                                </a:lnTo>
                                <a:lnTo>
                                  <a:pt x="6563372" y="27932"/>
                                </a:lnTo>
                                <a:lnTo>
                                  <a:pt x="6533092" y="7497"/>
                                </a:lnTo>
                                <a:lnTo>
                                  <a:pt x="64960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581" name="Textbox 1581"/>
                        <wps:cNvSpPr txBox="1"/>
                        <wps:spPr>
                          <a:xfrm>
                            <a:off x="0" y="0"/>
                            <a:ext cx="6629400" cy="389255"/>
                          </a:xfrm>
                          <a:prstGeom prst="rect">
                            <a:avLst/>
                          </a:prstGeom>
                        </wps:spPr>
                        <wps:txbx>
                          <w:txbxContent>
                            <w:p>
                              <w:pPr>
                                <w:spacing w:line="240" w:lineRule="auto" w:before="20"/>
                                <w:rPr>
                                  <w:rFonts w:ascii="Arial"/>
                                  <w:sz w:val="16"/>
                                </w:rPr>
                              </w:pPr>
                            </w:p>
                            <w:p>
                              <w:pPr>
                                <w:spacing w:before="0"/>
                                <w:ind w:left="1079" w:right="0" w:firstLine="0"/>
                                <w:jc w:val="left"/>
                                <w:rPr>
                                  <w:rFonts w:ascii="Arial" w:hAnsi="Arial"/>
                                  <w:b/>
                                  <w:sz w:val="16"/>
                                </w:rPr>
                              </w:pPr>
                              <w:r>
                                <w:rPr>
                                  <w:rFonts w:ascii="Arial" w:hAnsi="Arial"/>
                                  <w:b/>
                                  <w:color w:val="FFFFFF"/>
                                  <w:w w:val="105"/>
                                  <w:sz w:val="16"/>
                                </w:rPr>
                                <w:t>Export</w:t>
                              </w:r>
                              <w:r>
                                <w:rPr>
                                  <w:rFonts w:ascii="Arial" w:hAnsi="Arial"/>
                                  <w:b/>
                                  <w:color w:val="FFFFFF"/>
                                  <w:spacing w:val="11"/>
                                  <w:w w:val="105"/>
                                  <w:sz w:val="16"/>
                                </w:rPr>
                                <w:t> </w:t>
                              </w:r>
                              <w:r>
                                <w:rPr>
                                  <w:rFonts w:ascii="Arial" w:hAnsi="Arial"/>
                                  <w:b/>
                                  <w:color w:val="FFFFFF"/>
                                  <w:w w:val="105"/>
                                  <w:sz w:val="16"/>
                                </w:rPr>
                                <w:t>delays,</w:t>
                              </w:r>
                              <w:r>
                                <w:rPr>
                                  <w:rFonts w:ascii="Arial" w:hAnsi="Arial"/>
                                  <w:b/>
                                  <w:color w:val="FFFFFF"/>
                                  <w:spacing w:val="11"/>
                                  <w:w w:val="105"/>
                                  <w:sz w:val="16"/>
                                </w:rPr>
                                <w:t> </w:t>
                              </w:r>
                              <w:r>
                                <w:rPr>
                                  <w:rFonts w:ascii="Arial" w:hAnsi="Arial"/>
                                  <w:b/>
                                  <w:color w:val="FFFFFF"/>
                                  <w:w w:val="105"/>
                                  <w:sz w:val="16"/>
                                </w:rPr>
                                <w:t>May–October</w:t>
                              </w:r>
                              <w:r>
                                <w:rPr>
                                  <w:rFonts w:ascii="Arial" w:hAnsi="Arial"/>
                                  <w:b/>
                                  <w:color w:val="FFFFFF"/>
                                  <w:spacing w:val="12"/>
                                  <w:w w:val="105"/>
                                  <w:sz w:val="16"/>
                                </w:rPr>
                                <w:t> </w:t>
                              </w:r>
                              <w:r>
                                <w:rPr>
                                  <w:rFonts w:ascii="Arial" w:hAnsi="Arial"/>
                                  <w:b/>
                                  <w:color w:val="FFFFFF"/>
                                  <w:spacing w:val="-4"/>
                                  <w:w w:val="105"/>
                                  <w:sz w:val="16"/>
                                </w:rPr>
                                <w:t>2022</w:t>
                              </w:r>
                            </w:p>
                          </w:txbxContent>
                        </wps:txbx>
                        <wps:bodyPr wrap="square" lIns="0" tIns="0" rIns="0" bIns="0" rtlCol="0">
                          <a:noAutofit/>
                        </wps:bodyPr>
                      </wps:wsp>
                      <wps:wsp>
                        <wps:cNvPr id="1582" name="Textbox 1582"/>
                        <wps:cNvSpPr txBox="1"/>
                        <wps:spPr>
                          <a:xfrm>
                            <a:off x="38100" y="38251"/>
                            <a:ext cx="571500" cy="254000"/>
                          </a:xfrm>
                          <a:prstGeom prst="rect">
                            <a:avLst/>
                          </a:prstGeom>
                        </wps:spPr>
                        <wps:txbx>
                          <w:txbxContent>
                            <w:p>
                              <w:pPr>
                                <w:spacing w:before="144"/>
                                <w:ind w:left="1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b/>
                                  <w:color w:val="FFFFFF"/>
                                  <w:spacing w:val="-4"/>
                                  <w:w w:val="95"/>
                                  <w:sz w:val="16"/>
                                </w:rPr>
                                <w:t>A2.5</w:t>
                              </w:r>
                            </w:p>
                          </w:txbxContent>
                        </wps:txbx>
                        <wps:bodyPr wrap="square" lIns="0" tIns="0" rIns="0" bIns="0" rtlCol="0">
                          <a:noAutofit/>
                        </wps:bodyPr>
                      </wps:wsp>
                    </wpg:wgp>
                  </a:graphicData>
                </a:graphic>
              </wp:inline>
            </w:drawing>
          </mc:Choice>
          <mc:Fallback>
            <w:pict>
              <v:group style="width:522pt;height:30.65pt;mso-position-horizontal-relative:char;mso-position-vertical-relative:line" id="docshapegroup1336" coordorigin="0,0" coordsize="10440,613">
                <v:shape style="position:absolute;left:240;top:60;width:10170;height:400" id="docshape1337" coordorigin="240,60" coordsize="10170,400" path="m10345,60l240,60,240,460,10410,460,10410,180,10398,122,10366,74,10345,60xe" filled="true" fillcolor="#808285" stroked="false">
                  <v:path arrowok="t"/>
                  <v:fill type="solid"/>
                </v:shape>
                <v:line style="position:absolute" from="980,460" to="980,60" stroked="true" strokeweight="2pt" strokecolor="#ffffff">
                  <v:stroke dashstyle="solid"/>
                </v:line>
                <v:rect style="position:absolute;left:60;top:60;width:900;height:400" id="docshape1338" filled="true" fillcolor="#008fdd" stroked="false">
                  <v:fill type="solid"/>
                </v:rect>
                <v:shape style="position:absolute;left:30;top:30;width:10380;height:553" id="docshape1339" coordorigin="30,30" coordsize="10380,553" path="m180,30l122,42,74,74,42,122,30,180,30,553,30,583,60,583,10380,583,10410,583,10410,553,10410,180,10398,122,10366,74,10318,42,10260,30,180,30xe" filled="false" stroked="true" strokeweight="3pt" strokecolor="#ffffff">
                  <v:path arrowok="t"/>
                  <v:stroke dashstyle="solid"/>
                </v:shape>
                <v:shape style="position:absolute;left:0;top:0;width:10440;height:613" type="#_x0000_t202" id="docshape1340" filled="false" stroked="false">
                  <v:textbox inset="0,0,0,0">
                    <w:txbxContent>
                      <w:p>
                        <w:pPr>
                          <w:spacing w:line="240" w:lineRule="auto" w:before="20"/>
                          <w:rPr>
                            <w:rFonts w:ascii="Arial"/>
                            <w:sz w:val="16"/>
                          </w:rPr>
                        </w:pPr>
                      </w:p>
                      <w:p>
                        <w:pPr>
                          <w:spacing w:before="0"/>
                          <w:ind w:left="1079" w:right="0" w:firstLine="0"/>
                          <w:jc w:val="left"/>
                          <w:rPr>
                            <w:rFonts w:ascii="Arial" w:hAnsi="Arial"/>
                            <w:b/>
                            <w:sz w:val="16"/>
                          </w:rPr>
                        </w:pPr>
                        <w:r>
                          <w:rPr>
                            <w:rFonts w:ascii="Arial" w:hAnsi="Arial"/>
                            <w:b/>
                            <w:color w:val="FFFFFF"/>
                            <w:w w:val="105"/>
                            <w:sz w:val="16"/>
                          </w:rPr>
                          <w:t>Export</w:t>
                        </w:r>
                        <w:r>
                          <w:rPr>
                            <w:rFonts w:ascii="Arial" w:hAnsi="Arial"/>
                            <w:b/>
                            <w:color w:val="FFFFFF"/>
                            <w:spacing w:val="11"/>
                            <w:w w:val="105"/>
                            <w:sz w:val="16"/>
                          </w:rPr>
                          <w:t> </w:t>
                        </w:r>
                        <w:r>
                          <w:rPr>
                            <w:rFonts w:ascii="Arial" w:hAnsi="Arial"/>
                            <w:b/>
                            <w:color w:val="FFFFFF"/>
                            <w:w w:val="105"/>
                            <w:sz w:val="16"/>
                          </w:rPr>
                          <w:t>delays,</w:t>
                        </w:r>
                        <w:r>
                          <w:rPr>
                            <w:rFonts w:ascii="Arial" w:hAnsi="Arial"/>
                            <w:b/>
                            <w:color w:val="FFFFFF"/>
                            <w:spacing w:val="11"/>
                            <w:w w:val="105"/>
                            <w:sz w:val="16"/>
                          </w:rPr>
                          <w:t> </w:t>
                        </w:r>
                        <w:r>
                          <w:rPr>
                            <w:rFonts w:ascii="Arial" w:hAnsi="Arial"/>
                            <w:b/>
                            <w:color w:val="FFFFFF"/>
                            <w:w w:val="105"/>
                            <w:sz w:val="16"/>
                          </w:rPr>
                          <w:t>May–October</w:t>
                        </w:r>
                        <w:r>
                          <w:rPr>
                            <w:rFonts w:ascii="Arial" w:hAnsi="Arial"/>
                            <w:b/>
                            <w:color w:val="FFFFFF"/>
                            <w:spacing w:val="12"/>
                            <w:w w:val="105"/>
                            <w:sz w:val="16"/>
                          </w:rPr>
                          <w:t> </w:t>
                        </w:r>
                        <w:r>
                          <w:rPr>
                            <w:rFonts w:ascii="Arial" w:hAnsi="Arial"/>
                            <w:b/>
                            <w:color w:val="FFFFFF"/>
                            <w:spacing w:val="-4"/>
                            <w:w w:val="105"/>
                            <w:sz w:val="16"/>
                          </w:rPr>
                          <w:t>2022</w:t>
                        </w:r>
                      </w:p>
                    </w:txbxContent>
                  </v:textbox>
                  <w10:wrap type="none"/>
                </v:shape>
                <v:shape style="position:absolute;left:60;top:60;width:900;height:400" type="#_x0000_t202" id="docshape1341" filled="false" stroked="false">
                  <v:textbox inset="0,0,0,0">
                    <w:txbxContent>
                      <w:p>
                        <w:pPr>
                          <w:spacing w:before="144"/>
                          <w:ind w:left="1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b/>
                            <w:color w:val="FFFFFF"/>
                            <w:spacing w:val="-4"/>
                            <w:w w:val="95"/>
                            <w:sz w:val="16"/>
                          </w:rPr>
                          <w:t>A2.5</w:t>
                        </w:r>
                      </w:p>
                    </w:txbxContent>
                  </v:textbox>
                  <w10:wrap type="none"/>
                </v:shape>
              </v:group>
            </w:pict>
          </mc:Fallback>
        </mc:AlternateContent>
      </w:r>
      <w:r>
        <w:rPr>
          <w:rFonts w:ascii="Arial"/>
          <w:sz w:val="20"/>
        </w:rPr>
      </w:r>
    </w:p>
    <w:p>
      <w:pPr>
        <w:pStyle w:val="BodyText"/>
        <w:spacing w:before="1"/>
        <w:rPr>
          <w:rFonts w:ascii="Arial"/>
          <w:sz w:val="2"/>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0"/>
        <w:gridCol w:w="1182"/>
        <w:gridCol w:w="852"/>
        <w:gridCol w:w="1074"/>
        <w:gridCol w:w="1071"/>
        <w:gridCol w:w="756"/>
        <w:gridCol w:w="241"/>
        <w:gridCol w:w="852"/>
        <w:gridCol w:w="1074"/>
        <w:gridCol w:w="937"/>
        <w:gridCol w:w="1009"/>
      </w:tblGrid>
      <w:tr>
        <w:trPr>
          <w:trHeight w:val="213" w:hRule="atLeast"/>
        </w:trPr>
        <w:tc>
          <w:tcPr>
            <w:tcW w:w="1280" w:type="dxa"/>
          </w:tcPr>
          <w:p>
            <w:pPr>
              <w:pStyle w:val="TableParagraph"/>
              <w:spacing w:before="0"/>
              <w:jc w:val="left"/>
              <w:rPr>
                <w:rFonts w:ascii="Times New Roman"/>
                <w:sz w:val="12"/>
              </w:rPr>
            </w:pPr>
          </w:p>
        </w:tc>
        <w:tc>
          <w:tcPr>
            <w:tcW w:w="1182" w:type="dxa"/>
            <w:vMerge w:val="restart"/>
            <w:tcBorders>
              <w:bottom w:val="single" w:sz="4" w:space="0" w:color="008FDD"/>
            </w:tcBorders>
          </w:tcPr>
          <w:p>
            <w:pPr>
              <w:pStyle w:val="TableParagraph"/>
              <w:spacing w:before="103"/>
              <w:ind w:left="189" w:firstLine="74"/>
              <w:jc w:val="left"/>
              <w:rPr>
                <w:b/>
                <w:sz w:val="14"/>
              </w:rPr>
            </w:pPr>
            <w:r>
              <w:rPr>
                <w:b/>
                <w:color w:val="231F20"/>
                <w:w w:val="90"/>
                <w:sz w:val="14"/>
              </w:rPr>
              <w:t>Number</w:t>
            </w:r>
            <w:r>
              <w:rPr>
                <w:b/>
                <w:color w:val="231F20"/>
                <w:spacing w:val="-6"/>
                <w:w w:val="90"/>
                <w:sz w:val="14"/>
              </w:rPr>
              <w:t> </w:t>
            </w:r>
            <w:r>
              <w:rPr>
                <w:b/>
                <w:color w:val="231F20"/>
                <w:w w:val="90"/>
                <w:sz w:val="14"/>
              </w:rPr>
              <w:t>of</w:t>
            </w:r>
            <w:r>
              <w:rPr>
                <w:b/>
                <w:color w:val="231F20"/>
                <w:spacing w:val="40"/>
                <w:sz w:val="14"/>
              </w:rPr>
              <w:t> </w:t>
            </w:r>
            <w:r>
              <w:rPr>
                <w:b/>
                <w:color w:val="231F20"/>
                <w:spacing w:val="-2"/>
                <w:w w:val="80"/>
                <w:sz w:val="14"/>
              </w:rPr>
              <w:t>observations</w:t>
            </w:r>
          </w:p>
        </w:tc>
        <w:tc>
          <w:tcPr>
            <w:tcW w:w="852" w:type="dxa"/>
            <w:tcBorders>
              <w:bottom w:val="single" w:sz="4" w:space="0" w:color="008FDD"/>
            </w:tcBorders>
          </w:tcPr>
          <w:p>
            <w:pPr>
              <w:pStyle w:val="TableParagraph"/>
              <w:spacing w:before="0"/>
              <w:jc w:val="left"/>
              <w:rPr>
                <w:rFonts w:ascii="Times New Roman"/>
                <w:sz w:val="12"/>
              </w:rPr>
            </w:pPr>
          </w:p>
        </w:tc>
        <w:tc>
          <w:tcPr>
            <w:tcW w:w="2145" w:type="dxa"/>
            <w:gridSpan w:val="2"/>
            <w:tcBorders>
              <w:bottom w:val="single" w:sz="4" w:space="0" w:color="008FDD"/>
            </w:tcBorders>
          </w:tcPr>
          <w:p>
            <w:pPr>
              <w:pStyle w:val="TableParagraph"/>
              <w:spacing w:before="3"/>
              <w:ind w:left="139"/>
              <w:jc w:val="left"/>
              <w:rPr>
                <w:b/>
                <w:sz w:val="14"/>
              </w:rPr>
            </w:pPr>
            <w:r>
              <w:rPr>
                <w:b/>
                <w:color w:val="231F20"/>
                <w:w w:val="80"/>
                <w:sz w:val="14"/>
              </w:rPr>
              <w:t>Consolidated</w:t>
            </w:r>
            <w:r>
              <w:rPr>
                <w:b/>
                <w:color w:val="231F20"/>
                <w:spacing w:val="20"/>
                <w:sz w:val="14"/>
              </w:rPr>
              <w:t> </w:t>
            </w:r>
            <w:r>
              <w:rPr>
                <w:b/>
                <w:color w:val="231F20"/>
                <w:w w:val="80"/>
                <w:sz w:val="14"/>
              </w:rPr>
              <w:t>dwell</w:t>
            </w:r>
            <w:r>
              <w:rPr>
                <w:b/>
                <w:color w:val="231F20"/>
                <w:spacing w:val="21"/>
                <w:sz w:val="14"/>
              </w:rPr>
              <w:t> </w:t>
            </w:r>
            <w:r>
              <w:rPr>
                <w:b/>
                <w:color w:val="231F20"/>
                <w:w w:val="80"/>
                <w:sz w:val="14"/>
              </w:rPr>
              <w:t>time</w:t>
            </w:r>
            <w:r>
              <w:rPr>
                <w:b/>
                <w:color w:val="231F20"/>
                <w:spacing w:val="20"/>
                <w:sz w:val="14"/>
              </w:rPr>
              <w:t> </w:t>
            </w:r>
            <w:r>
              <w:rPr>
                <w:b/>
                <w:color w:val="231F20"/>
                <w:spacing w:val="-2"/>
                <w:w w:val="80"/>
                <w:sz w:val="14"/>
              </w:rPr>
              <w:t>(days)</w:t>
            </w:r>
          </w:p>
        </w:tc>
        <w:tc>
          <w:tcPr>
            <w:tcW w:w="756" w:type="dxa"/>
            <w:tcBorders>
              <w:bottom w:val="single" w:sz="4" w:space="0" w:color="008FDD"/>
            </w:tcBorders>
          </w:tcPr>
          <w:p>
            <w:pPr>
              <w:pStyle w:val="TableParagraph"/>
              <w:spacing w:before="0"/>
              <w:jc w:val="left"/>
              <w:rPr>
                <w:rFonts w:ascii="Times New Roman"/>
                <w:sz w:val="12"/>
              </w:rPr>
            </w:pPr>
          </w:p>
        </w:tc>
        <w:tc>
          <w:tcPr>
            <w:tcW w:w="241" w:type="dxa"/>
          </w:tcPr>
          <w:p>
            <w:pPr>
              <w:pStyle w:val="TableParagraph"/>
              <w:spacing w:before="0"/>
              <w:jc w:val="left"/>
              <w:rPr>
                <w:rFonts w:ascii="Times New Roman"/>
                <w:sz w:val="12"/>
              </w:rPr>
            </w:pPr>
          </w:p>
        </w:tc>
        <w:tc>
          <w:tcPr>
            <w:tcW w:w="852" w:type="dxa"/>
            <w:tcBorders>
              <w:bottom w:val="single" w:sz="4" w:space="0" w:color="008FDD"/>
            </w:tcBorders>
          </w:tcPr>
          <w:p>
            <w:pPr>
              <w:pStyle w:val="TableParagraph"/>
              <w:spacing w:before="0"/>
              <w:jc w:val="left"/>
              <w:rPr>
                <w:rFonts w:ascii="Times New Roman"/>
                <w:sz w:val="12"/>
              </w:rPr>
            </w:pPr>
          </w:p>
        </w:tc>
        <w:tc>
          <w:tcPr>
            <w:tcW w:w="2011" w:type="dxa"/>
            <w:gridSpan w:val="2"/>
            <w:tcBorders>
              <w:bottom w:val="single" w:sz="4" w:space="0" w:color="008FDD"/>
            </w:tcBorders>
          </w:tcPr>
          <w:p>
            <w:pPr>
              <w:pStyle w:val="TableParagraph"/>
              <w:spacing w:before="3"/>
              <w:ind w:left="391"/>
              <w:jc w:val="left"/>
              <w:rPr>
                <w:b/>
                <w:sz w:val="14"/>
              </w:rPr>
            </w:pPr>
            <w:r>
              <w:rPr>
                <w:b/>
                <w:color w:val="231F20"/>
                <w:w w:val="85"/>
                <w:sz w:val="14"/>
              </w:rPr>
              <w:t>Port</w:t>
            </w:r>
            <w:r>
              <w:rPr>
                <w:b/>
                <w:color w:val="231F20"/>
                <w:spacing w:val="-2"/>
                <w:sz w:val="14"/>
              </w:rPr>
              <w:t> </w:t>
            </w:r>
            <w:r>
              <w:rPr>
                <w:b/>
                <w:color w:val="231F20"/>
                <w:w w:val="85"/>
                <w:sz w:val="14"/>
              </w:rPr>
              <w:t>dwell</w:t>
            </w:r>
            <w:r>
              <w:rPr>
                <w:b/>
                <w:color w:val="231F20"/>
                <w:spacing w:val="-2"/>
                <w:sz w:val="14"/>
              </w:rPr>
              <w:t> </w:t>
            </w:r>
            <w:r>
              <w:rPr>
                <w:b/>
                <w:color w:val="231F20"/>
                <w:w w:val="85"/>
                <w:sz w:val="14"/>
              </w:rPr>
              <w:t>time</w:t>
            </w:r>
            <w:r>
              <w:rPr>
                <w:b/>
                <w:color w:val="231F20"/>
                <w:spacing w:val="-2"/>
                <w:sz w:val="14"/>
              </w:rPr>
              <w:t> </w:t>
            </w:r>
            <w:r>
              <w:rPr>
                <w:b/>
                <w:color w:val="231F20"/>
                <w:spacing w:val="-2"/>
                <w:w w:val="85"/>
                <w:sz w:val="14"/>
              </w:rPr>
              <w:t>(days)</w:t>
            </w:r>
          </w:p>
        </w:tc>
        <w:tc>
          <w:tcPr>
            <w:tcW w:w="1009" w:type="dxa"/>
            <w:tcBorders>
              <w:bottom w:val="single" w:sz="4" w:space="0" w:color="008FDD"/>
            </w:tcBorders>
          </w:tcPr>
          <w:p>
            <w:pPr>
              <w:pStyle w:val="TableParagraph"/>
              <w:spacing w:before="0"/>
              <w:jc w:val="left"/>
              <w:rPr>
                <w:rFonts w:ascii="Times New Roman"/>
                <w:sz w:val="12"/>
              </w:rPr>
            </w:pPr>
          </w:p>
        </w:tc>
      </w:tr>
      <w:tr>
        <w:trPr>
          <w:trHeight w:val="246" w:hRule="atLeast"/>
        </w:trPr>
        <w:tc>
          <w:tcPr>
            <w:tcW w:w="1280" w:type="dxa"/>
            <w:tcBorders>
              <w:bottom w:val="single" w:sz="4" w:space="0" w:color="008FDD"/>
            </w:tcBorders>
          </w:tcPr>
          <w:p>
            <w:pPr>
              <w:pStyle w:val="TableParagraph"/>
              <w:spacing w:before="40"/>
              <w:ind w:left="80"/>
              <w:jc w:val="left"/>
              <w:rPr>
                <w:b/>
                <w:sz w:val="14"/>
              </w:rPr>
            </w:pPr>
            <w:r>
              <w:rPr>
                <w:b/>
                <w:color w:val="231F20"/>
                <w:spacing w:val="-2"/>
                <w:w w:val="90"/>
                <w:sz w:val="14"/>
              </w:rPr>
              <w:t>Economy</w:t>
            </w:r>
          </w:p>
        </w:tc>
        <w:tc>
          <w:tcPr>
            <w:tcW w:w="1182" w:type="dxa"/>
            <w:vMerge/>
            <w:tcBorders>
              <w:top w:val="nil"/>
              <w:bottom w:val="single" w:sz="4" w:space="0" w:color="008FDD"/>
            </w:tcBorders>
          </w:tcPr>
          <w:p>
            <w:pPr>
              <w:rPr>
                <w:sz w:val="2"/>
                <w:szCs w:val="2"/>
              </w:rPr>
            </w:pPr>
          </w:p>
        </w:tc>
        <w:tc>
          <w:tcPr>
            <w:tcW w:w="852" w:type="dxa"/>
            <w:tcBorders>
              <w:top w:val="single" w:sz="4" w:space="0" w:color="008FDD"/>
              <w:bottom w:val="single" w:sz="4" w:space="0" w:color="008FDD"/>
            </w:tcBorders>
          </w:tcPr>
          <w:p>
            <w:pPr>
              <w:pStyle w:val="TableParagraph"/>
              <w:spacing w:before="40"/>
              <w:ind w:left="54" w:right="145"/>
              <w:rPr>
                <w:b/>
                <w:sz w:val="14"/>
              </w:rPr>
            </w:pPr>
            <w:r>
              <w:rPr>
                <w:b/>
                <w:color w:val="231F20"/>
                <w:spacing w:val="-4"/>
                <w:w w:val="95"/>
                <w:sz w:val="14"/>
              </w:rPr>
              <w:t>Mean</w:t>
            </w:r>
          </w:p>
        </w:tc>
        <w:tc>
          <w:tcPr>
            <w:tcW w:w="1074" w:type="dxa"/>
            <w:tcBorders>
              <w:top w:val="single" w:sz="4" w:space="0" w:color="008FDD"/>
              <w:bottom w:val="single" w:sz="4" w:space="0" w:color="008FDD"/>
            </w:tcBorders>
          </w:tcPr>
          <w:p>
            <w:pPr>
              <w:pStyle w:val="TableParagraph"/>
              <w:spacing w:before="40"/>
              <w:ind w:left="36" w:right="61"/>
              <w:rPr>
                <w:b/>
                <w:sz w:val="14"/>
              </w:rPr>
            </w:pPr>
            <w:r>
              <w:rPr>
                <w:b/>
                <w:color w:val="231F20"/>
                <w:spacing w:val="-2"/>
                <w:w w:val="95"/>
                <w:sz w:val="14"/>
              </w:rPr>
              <w:t>Median</w:t>
            </w:r>
          </w:p>
        </w:tc>
        <w:tc>
          <w:tcPr>
            <w:tcW w:w="1071" w:type="dxa"/>
            <w:tcBorders>
              <w:top w:val="single" w:sz="4" w:space="0" w:color="008FDD"/>
              <w:bottom w:val="single" w:sz="4" w:space="0" w:color="008FDD"/>
            </w:tcBorders>
          </w:tcPr>
          <w:p>
            <w:pPr>
              <w:pStyle w:val="TableParagraph"/>
              <w:spacing w:before="40"/>
              <w:ind w:left="335"/>
              <w:jc w:val="left"/>
              <w:rPr>
                <w:b/>
                <w:sz w:val="14"/>
              </w:rPr>
            </w:pPr>
            <w:r>
              <w:rPr>
                <w:b/>
                <w:color w:val="231F20"/>
                <w:spacing w:val="-5"/>
                <w:w w:val="90"/>
                <w:sz w:val="14"/>
              </w:rPr>
              <w:t>Q25</w:t>
            </w:r>
          </w:p>
        </w:tc>
        <w:tc>
          <w:tcPr>
            <w:tcW w:w="756" w:type="dxa"/>
            <w:tcBorders>
              <w:top w:val="single" w:sz="4" w:space="0" w:color="008FDD"/>
              <w:bottom w:val="single" w:sz="4" w:space="0" w:color="008FDD"/>
            </w:tcBorders>
          </w:tcPr>
          <w:p>
            <w:pPr>
              <w:pStyle w:val="TableParagraph"/>
              <w:spacing w:before="40"/>
              <w:ind w:left="39" w:right="47"/>
              <w:rPr>
                <w:b/>
                <w:sz w:val="14"/>
              </w:rPr>
            </w:pPr>
            <w:r>
              <w:rPr>
                <w:b/>
                <w:color w:val="231F20"/>
                <w:spacing w:val="-5"/>
                <w:w w:val="90"/>
                <w:sz w:val="14"/>
              </w:rPr>
              <w:t>Q75</w:t>
            </w:r>
          </w:p>
        </w:tc>
        <w:tc>
          <w:tcPr>
            <w:tcW w:w="241" w:type="dxa"/>
            <w:tcBorders>
              <w:bottom w:val="single" w:sz="4" w:space="0" w:color="008FDD"/>
            </w:tcBorders>
          </w:tcPr>
          <w:p>
            <w:pPr>
              <w:pStyle w:val="TableParagraph"/>
              <w:spacing w:before="0"/>
              <w:jc w:val="left"/>
              <w:rPr>
                <w:rFonts w:ascii="Times New Roman"/>
                <w:sz w:val="12"/>
              </w:rPr>
            </w:pPr>
          </w:p>
        </w:tc>
        <w:tc>
          <w:tcPr>
            <w:tcW w:w="852" w:type="dxa"/>
            <w:tcBorders>
              <w:top w:val="single" w:sz="4" w:space="0" w:color="008FDD"/>
              <w:bottom w:val="single" w:sz="4" w:space="0" w:color="008FDD"/>
            </w:tcBorders>
          </w:tcPr>
          <w:p>
            <w:pPr>
              <w:pStyle w:val="TableParagraph"/>
              <w:spacing w:before="40"/>
              <w:ind w:right="318"/>
              <w:jc w:val="right"/>
              <w:rPr>
                <w:b/>
                <w:sz w:val="14"/>
              </w:rPr>
            </w:pPr>
            <w:r>
              <w:rPr>
                <w:b/>
                <w:color w:val="231F20"/>
                <w:spacing w:val="-4"/>
                <w:w w:val="95"/>
                <w:sz w:val="14"/>
              </w:rPr>
              <w:t>Mean</w:t>
            </w:r>
          </w:p>
        </w:tc>
        <w:tc>
          <w:tcPr>
            <w:tcW w:w="1074" w:type="dxa"/>
            <w:tcBorders>
              <w:top w:val="single" w:sz="4" w:space="0" w:color="008FDD"/>
              <w:bottom w:val="single" w:sz="4" w:space="0" w:color="008FDD"/>
            </w:tcBorders>
          </w:tcPr>
          <w:p>
            <w:pPr>
              <w:pStyle w:val="TableParagraph"/>
              <w:spacing w:before="40"/>
              <w:ind w:left="27" w:right="61"/>
              <w:rPr>
                <w:b/>
                <w:sz w:val="14"/>
              </w:rPr>
            </w:pPr>
            <w:r>
              <w:rPr>
                <w:b/>
                <w:color w:val="231F20"/>
                <w:spacing w:val="-2"/>
                <w:w w:val="95"/>
                <w:sz w:val="14"/>
              </w:rPr>
              <w:t>Median</w:t>
            </w:r>
          </w:p>
        </w:tc>
        <w:tc>
          <w:tcPr>
            <w:tcW w:w="937" w:type="dxa"/>
            <w:tcBorders>
              <w:top w:val="single" w:sz="4" w:space="0" w:color="008FDD"/>
              <w:bottom w:val="single" w:sz="4" w:space="0" w:color="008FDD"/>
            </w:tcBorders>
          </w:tcPr>
          <w:p>
            <w:pPr>
              <w:pStyle w:val="TableParagraph"/>
              <w:spacing w:before="40"/>
              <w:ind w:right="46"/>
              <w:rPr>
                <w:b/>
                <w:sz w:val="14"/>
              </w:rPr>
            </w:pPr>
            <w:r>
              <w:rPr>
                <w:b/>
                <w:color w:val="231F20"/>
                <w:spacing w:val="-5"/>
                <w:w w:val="90"/>
                <w:sz w:val="14"/>
              </w:rPr>
              <w:t>Q25</w:t>
            </w:r>
          </w:p>
        </w:tc>
        <w:tc>
          <w:tcPr>
            <w:tcW w:w="1009" w:type="dxa"/>
            <w:tcBorders>
              <w:top w:val="single" w:sz="4" w:space="0" w:color="008FDD"/>
              <w:bottom w:val="single" w:sz="4" w:space="0" w:color="008FDD"/>
            </w:tcBorders>
          </w:tcPr>
          <w:p>
            <w:pPr>
              <w:pStyle w:val="TableParagraph"/>
              <w:spacing w:before="40"/>
              <w:ind w:left="45" w:right="47"/>
              <w:rPr>
                <w:b/>
                <w:sz w:val="14"/>
              </w:rPr>
            </w:pPr>
            <w:r>
              <w:rPr>
                <w:b/>
                <w:color w:val="231F20"/>
                <w:spacing w:val="-5"/>
                <w:w w:val="90"/>
                <w:sz w:val="14"/>
              </w:rPr>
              <w:t>Q75</w:t>
            </w:r>
          </w:p>
        </w:tc>
      </w:tr>
      <w:tr>
        <w:trPr>
          <w:trHeight w:val="258" w:hRule="atLeast"/>
        </w:trPr>
        <w:tc>
          <w:tcPr>
            <w:tcW w:w="1280" w:type="dxa"/>
            <w:tcBorders>
              <w:top w:val="single" w:sz="4" w:space="0" w:color="008FDD"/>
            </w:tcBorders>
          </w:tcPr>
          <w:p>
            <w:pPr>
              <w:pStyle w:val="TableParagraph"/>
              <w:spacing w:before="47"/>
              <w:ind w:left="79"/>
              <w:jc w:val="left"/>
              <w:rPr>
                <w:sz w:val="14"/>
              </w:rPr>
            </w:pPr>
            <w:r>
              <w:rPr>
                <w:color w:val="231F20"/>
                <w:spacing w:val="-2"/>
                <w:w w:val="90"/>
                <w:sz w:val="14"/>
              </w:rPr>
              <w:t>Albania</w:t>
            </w:r>
          </w:p>
        </w:tc>
        <w:tc>
          <w:tcPr>
            <w:tcW w:w="1182" w:type="dxa"/>
            <w:tcBorders>
              <w:top w:val="single" w:sz="4" w:space="0" w:color="008FDD"/>
            </w:tcBorders>
          </w:tcPr>
          <w:p>
            <w:pPr>
              <w:pStyle w:val="TableParagraph"/>
              <w:spacing w:before="47"/>
              <w:ind w:right="433"/>
              <w:jc w:val="right"/>
              <w:rPr>
                <w:sz w:val="14"/>
              </w:rPr>
            </w:pPr>
            <w:r>
              <w:rPr>
                <w:color w:val="231F20"/>
                <w:spacing w:val="-5"/>
                <w:w w:val="95"/>
                <w:sz w:val="14"/>
              </w:rPr>
              <w:t>82</w:t>
            </w:r>
          </w:p>
        </w:tc>
        <w:tc>
          <w:tcPr>
            <w:tcW w:w="852" w:type="dxa"/>
            <w:tcBorders>
              <w:top w:val="single" w:sz="4" w:space="0" w:color="008FDD"/>
            </w:tcBorders>
          </w:tcPr>
          <w:p>
            <w:pPr>
              <w:pStyle w:val="TableParagraph"/>
              <w:spacing w:before="47"/>
              <w:ind w:left="88" w:right="145"/>
              <w:rPr>
                <w:sz w:val="14"/>
              </w:rPr>
            </w:pPr>
            <w:r>
              <w:rPr>
                <w:color w:val="231F20"/>
                <w:spacing w:val="-5"/>
                <w:w w:val="95"/>
                <w:sz w:val="14"/>
              </w:rPr>
              <w:t>6.9</w:t>
            </w:r>
          </w:p>
        </w:tc>
        <w:tc>
          <w:tcPr>
            <w:tcW w:w="1074" w:type="dxa"/>
            <w:tcBorders>
              <w:top w:val="single" w:sz="4" w:space="0" w:color="008FDD"/>
            </w:tcBorders>
          </w:tcPr>
          <w:p>
            <w:pPr>
              <w:pStyle w:val="TableParagraph"/>
              <w:spacing w:before="47"/>
              <w:ind w:left="68" w:right="61"/>
              <w:rPr>
                <w:sz w:val="14"/>
              </w:rPr>
            </w:pPr>
            <w:r>
              <w:rPr>
                <w:color w:val="231F20"/>
                <w:spacing w:val="-5"/>
                <w:w w:val="95"/>
                <w:sz w:val="14"/>
              </w:rPr>
              <w:t>5.4</w:t>
            </w:r>
          </w:p>
        </w:tc>
        <w:tc>
          <w:tcPr>
            <w:tcW w:w="1071" w:type="dxa"/>
            <w:tcBorders>
              <w:top w:val="single" w:sz="4" w:space="0" w:color="008FDD"/>
            </w:tcBorders>
          </w:tcPr>
          <w:p>
            <w:pPr>
              <w:pStyle w:val="TableParagraph"/>
              <w:spacing w:before="47"/>
              <w:ind w:left="378"/>
              <w:jc w:val="left"/>
              <w:rPr>
                <w:sz w:val="14"/>
              </w:rPr>
            </w:pPr>
            <w:r>
              <w:rPr>
                <w:color w:val="231F20"/>
                <w:spacing w:val="-5"/>
                <w:w w:val="95"/>
                <w:sz w:val="14"/>
              </w:rPr>
              <w:t>3.5</w:t>
            </w:r>
          </w:p>
        </w:tc>
        <w:tc>
          <w:tcPr>
            <w:tcW w:w="756" w:type="dxa"/>
            <w:tcBorders>
              <w:top w:val="single" w:sz="4" w:space="0" w:color="008FDD"/>
            </w:tcBorders>
          </w:tcPr>
          <w:p>
            <w:pPr>
              <w:pStyle w:val="TableParagraph"/>
              <w:spacing w:before="47"/>
              <w:ind w:left="39" w:right="30"/>
              <w:rPr>
                <w:sz w:val="14"/>
              </w:rPr>
            </w:pPr>
            <w:r>
              <w:rPr>
                <w:color w:val="231F20"/>
                <w:spacing w:val="-5"/>
                <w:w w:val="95"/>
                <w:sz w:val="14"/>
              </w:rPr>
              <w:t>9.1</w:t>
            </w:r>
          </w:p>
        </w:tc>
        <w:tc>
          <w:tcPr>
            <w:tcW w:w="241" w:type="dxa"/>
            <w:tcBorders>
              <w:top w:val="single" w:sz="4" w:space="0" w:color="008FDD"/>
            </w:tcBorders>
          </w:tcPr>
          <w:p>
            <w:pPr>
              <w:pStyle w:val="TableParagraph"/>
              <w:spacing w:before="0"/>
              <w:jc w:val="left"/>
              <w:rPr>
                <w:rFonts w:ascii="Times New Roman"/>
                <w:sz w:val="12"/>
              </w:rPr>
            </w:pPr>
          </w:p>
        </w:tc>
        <w:tc>
          <w:tcPr>
            <w:tcW w:w="852" w:type="dxa"/>
            <w:tcBorders>
              <w:top w:val="single" w:sz="4" w:space="0" w:color="008FDD"/>
            </w:tcBorders>
          </w:tcPr>
          <w:p>
            <w:pPr>
              <w:pStyle w:val="TableParagraph"/>
              <w:spacing w:before="47"/>
              <w:ind w:right="370"/>
              <w:jc w:val="right"/>
              <w:rPr>
                <w:sz w:val="14"/>
              </w:rPr>
            </w:pPr>
            <w:r>
              <w:rPr>
                <w:color w:val="231F20"/>
                <w:spacing w:val="-5"/>
                <w:w w:val="95"/>
                <w:sz w:val="14"/>
              </w:rPr>
              <w:t>6.9</w:t>
            </w:r>
          </w:p>
        </w:tc>
        <w:tc>
          <w:tcPr>
            <w:tcW w:w="1074" w:type="dxa"/>
            <w:tcBorders>
              <w:top w:val="single" w:sz="4" w:space="0" w:color="008FDD"/>
            </w:tcBorders>
          </w:tcPr>
          <w:p>
            <w:pPr>
              <w:pStyle w:val="TableParagraph"/>
              <w:spacing w:before="47"/>
              <w:ind w:left="61" w:right="61"/>
              <w:rPr>
                <w:sz w:val="14"/>
              </w:rPr>
            </w:pPr>
            <w:r>
              <w:rPr>
                <w:color w:val="231F20"/>
                <w:spacing w:val="-5"/>
                <w:w w:val="95"/>
                <w:sz w:val="14"/>
              </w:rPr>
              <w:t>5.4</w:t>
            </w:r>
          </w:p>
        </w:tc>
        <w:tc>
          <w:tcPr>
            <w:tcW w:w="937" w:type="dxa"/>
            <w:tcBorders>
              <w:top w:val="single" w:sz="4" w:space="0" w:color="008FDD"/>
            </w:tcBorders>
          </w:tcPr>
          <w:p>
            <w:pPr>
              <w:pStyle w:val="TableParagraph"/>
              <w:spacing w:before="47"/>
              <w:ind w:left="34" w:right="46"/>
              <w:rPr>
                <w:sz w:val="14"/>
              </w:rPr>
            </w:pPr>
            <w:r>
              <w:rPr>
                <w:color w:val="231F20"/>
                <w:spacing w:val="-5"/>
                <w:w w:val="95"/>
                <w:sz w:val="14"/>
              </w:rPr>
              <w:t>3.5</w:t>
            </w:r>
          </w:p>
        </w:tc>
        <w:tc>
          <w:tcPr>
            <w:tcW w:w="1009" w:type="dxa"/>
            <w:tcBorders>
              <w:top w:val="single" w:sz="4" w:space="0" w:color="008FDD"/>
            </w:tcBorders>
          </w:tcPr>
          <w:p>
            <w:pPr>
              <w:pStyle w:val="TableParagraph"/>
              <w:spacing w:before="47"/>
              <w:ind w:left="50" w:right="36"/>
              <w:rPr>
                <w:sz w:val="14"/>
              </w:rPr>
            </w:pPr>
            <w:r>
              <w:rPr>
                <w:color w:val="231F20"/>
                <w:spacing w:val="-5"/>
                <w:w w:val="95"/>
                <w:sz w:val="14"/>
              </w:rPr>
              <w:t>9.1</w:t>
            </w:r>
          </w:p>
        </w:tc>
      </w:tr>
      <w:tr>
        <w:trPr>
          <w:trHeight w:val="259" w:hRule="atLeast"/>
        </w:trPr>
        <w:tc>
          <w:tcPr>
            <w:tcW w:w="1280" w:type="dxa"/>
            <w:shd w:val="clear" w:color="auto" w:fill="D4E3F5"/>
          </w:tcPr>
          <w:p>
            <w:pPr>
              <w:pStyle w:val="TableParagraph"/>
              <w:ind w:left="79"/>
              <w:jc w:val="left"/>
              <w:rPr>
                <w:sz w:val="14"/>
              </w:rPr>
            </w:pPr>
            <w:r>
              <w:rPr>
                <w:color w:val="231F20"/>
                <w:spacing w:val="-2"/>
                <w:w w:val="90"/>
                <w:sz w:val="14"/>
              </w:rPr>
              <w:t>Algeria</w:t>
            </w:r>
          </w:p>
        </w:tc>
        <w:tc>
          <w:tcPr>
            <w:tcW w:w="1182" w:type="dxa"/>
            <w:shd w:val="clear" w:color="auto" w:fill="D4E3F5"/>
          </w:tcPr>
          <w:p>
            <w:pPr>
              <w:pStyle w:val="TableParagraph"/>
              <w:ind w:right="440"/>
              <w:jc w:val="right"/>
              <w:rPr>
                <w:sz w:val="14"/>
              </w:rPr>
            </w:pPr>
            <w:r>
              <w:rPr>
                <w:color w:val="231F20"/>
                <w:spacing w:val="-5"/>
                <w:w w:val="95"/>
                <w:sz w:val="14"/>
              </w:rPr>
              <w:t>418</w:t>
            </w:r>
          </w:p>
        </w:tc>
        <w:tc>
          <w:tcPr>
            <w:tcW w:w="852" w:type="dxa"/>
            <w:shd w:val="clear" w:color="auto" w:fill="D4E3F5"/>
          </w:tcPr>
          <w:p>
            <w:pPr>
              <w:pStyle w:val="TableParagraph"/>
              <w:ind w:left="86" w:right="145"/>
              <w:rPr>
                <w:sz w:val="14"/>
              </w:rPr>
            </w:pPr>
            <w:r>
              <w:rPr>
                <w:color w:val="231F20"/>
                <w:spacing w:val="-5"/>
                <w:w w:val="95"/>
                <w:sz w:val="14"/>
              </w:rPr>
              <w:t>3.4</w:t>
            </w:r>
          </w:p>
        </w:tc>
        <w:tc>
          <w:tcPr>
            <w:tcW w:w="1074" w:type="dxa"/>
            <w:shd w:val="clear" w:color="auto" w:fill="D4E3F5"/>
          </w:tcPr>
          <w:p>
            <w:pPr>
              <w:pStyle w:val="TableParagraph"/>
              <w:ind w:left="65" w:right="61"/>
              <w:rPr>
                <w:sz w:val="14"/>
              </w:rPr>
            </w:pPr>
            <w:r>
              <w:rPr>
                <w:color w:val="231F20"/>
                <w:spacing w:val="-5"/>
                <w:w w:val="95"/>
                <w:sz w:val="14"/>
              </w:rPr>
              <w:t>0.7</w:t>
            </w:r>
          </w:p>
        </w:tc>
        <w:tc>
          <w:tcPr>
            <w:tcW w:w="1071" w:type="dxa"/>
            <w:shd w:val="clear" w:color="auto" w:fill="D4E3F5"/>
          </w:tcPr>
          <w:p>
            <w:pPr>
              <w:pStyle w:val="TableParagraph"/>
              <w:ind w:left="379"/>
              <w:jc w:val="left"/>
              <w:rPr>
                <w:sz w:val="14"/>
              </w:rPr>
            </w:pPr>
            <w:r>
              <w:rPr>
                <w:color w:val="231F20"/>
                <w:spacing w:val="-5"/>
                <w:w w:val="95"/>
                <w:sz w:val="14"/>
              </w:rPr>
              <w:t>0.4</w:t>
            </w:r>
          </w:p>
        </w:tc>
        <w:tc>
          <w:tcPr>
            <w:tcW w:w="756" w:type="dxa"/>
            <w:shd w:val="clear" w:color="auto" w:fill="D4E3F5"/>
          </w:tcPr>
          <w:p>
            <w:pPr>
              <w:pStyle w:val="TableParagraph"/>
              <w:ind w:left="41" w:right="8"/>
              <w:rPr>
                <w:sz w:val="14"/>
              </w:rPr>
            </w:pPr>
            <w:r>
              <w:rPr>
                <w:color w:val="231F20"/>
                <w:spacing w:val="-5"/>
                <w:w w:val="95"/>
                <w:sz w:val="14"/>
              </w:rPr>
              <w:t>1.9</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4"/>
              <w:jc w:val="right"/>
              <w:rPr>
                <w:sz w:val="14"/>
              </w:rPr>
            </w:pPr>
            <w:r>
              <w:rPr>
                <w:color w:val="231F20"/>
                <w:spacing w:val="-5"/>
                <w:w w:val="95"/>
                <w:sz w:val="14"/>
              </w:rPr>
              <w:t>3.4</w:t>
            </w:r>
          </w:p>
        </w:tc>
        <w:tc>
          <w:tcPr>
            <w:tcW w:w="1074" w:type="dxa"/>
            <w:shd w:val="clear" w:color="auto" w:fill="D4E3F5"/>
          </w:tcPr>
          <w:p>
            <w:pPr>
              <w:pStyle w:val="TableParagraph"/>
              <w:ind w:left="59" w:right="61"/>
              <w:rPr>
                <w:sz w:val="14"/>
              </w:rPr>
            </w:pPr>
            <w:r>
              <w:rPr>
                <w:color w:val="231F20"/>
                <w:spacing w:val="-5"/>
                <w:w w:val="95"/>
                <w:sz w:val="14"/>
              </w:rPr>
              <w:t>0.7</w:t>
            </w:r>
          </w:p>
        </w:tc>
        <w:tc>
          <w:tcPr>
            <w:tcW w:w="937" w:type="dxa"/>
            <w:shd w:val="clear" w:color="auto" w:fill="D4E3F5"/>
          </w:tcPr>
          <w:p>
            <w:pPr>
              <w:pStyle w:val="TableParagraph"/>
              <w:ind w:left="31" w:right="46"/>
              <w:rPr>
                <w:sz w:val="14"/>
              </w:rPr>
            </w:pPr>
            <w:r>
              <w:rPr>
                <w:color w:val="231F20"/>
                <w:spacing w:val="-5"/>
                <w:w w:val="95"/>
                <w:sz w:val="14"/>
              </w:rPr>
              <w:t>0.4</w:t>
            </w:r>
          </w:p>
        </w:tc>
        <w:tc>
          <w:tcPr>
            <w:tcW w:w="1009" w:type="dxa"/>
            <w:shd w:val="clear" w:color="auto" w:fill="D4E3F5"/>
          </w:tcPr>
          <w:p>
            <w:pPr>
              <w:pStyle w:val="TableParagraph"/>
              <w:ind w:left="75" w:right="36"/>
              <w:rPr>
                <w:sz w:val="14"/>
              </w:rPr>
            </w:pPr>
            <w:r>
              <w:rPr>
                <w:color w:val="231F20"/>
                <w:spacing w:val="-5"/>
                <w:w w:val="95"/>
                <w:sz w:val="14"/>
              </w:rPr>
              <w:t>1.9</w:t>
            </w:r>
          </w:p>
        </w:tc>
      </w:tr>
      <w:tr>
        <w:trPr>
          <w:trHeight w:val="259" w:hRule="atLeast"/>
        </w:trPr>
        <w:tc>
          <w:tcPr>
            <w:tcW w:w="1280" w:type="dxa"/>
          </w:tcPr>
          <w:p>
            <w:pPr>
              <w:pStyle w:val="TableParagraph"/>
              <w:ind w:left="79"/>
              <w:jc w:val="left"/>
              <w:rPr>
                <w:sz w:val="14"/>
              </w:rPr>
            </w:pPr>
            <w:r>
              <w:rPr>
                <w:color w:val="231F20"/>
                <w:spacing w:val="-2"/>
                <w:w w:val="85"/>
                <w:sz w:val="14"/>
              </w:rPr>
              <w:t>Angola</w:t>
            </w:r>
          </w:p>
        </w:tc>
        <w:tc>
          <w:tcPr>
            <w:tcW w:w="1182" w:type="dxa"/>
          </w:tcPr>
          <w:p>
            <w:pPr>
              <w:pStyle w:val="TableParagraph"/>
              <w:ind w:right="438"/>
              <w:jc w:val="right"/>
              <w:rPr>
                <w:sz w:val="14"/>
              </w:rPr>
            </w:pPr>
            <w:r>
              <w:rPr>
                <w:color w:val="231F20"/>
                <w:spacing w:val="-5"/>
                <w:w w:val="95"/>
                <w:sz w:val="14"/>
              </w:rPr>
              <w:t>24</w:t>
            </w:r>
          </w:p>
        </w:tc>
        <w:tc>
          <w:tcPr>
            <w:tcW w:w="852" w:type="dxa"/>
          </w:tcPr>
          <w:p>
            <w:pPr>
              <w:pStyle w:val="TableParagraph"/>
              <w:ind w:left="25" w:right="145"/>
              <w:rPr>
                <w:sz w:val="14"/>
              </w:rPr>
            </w:pPr>
            <w:r>
              <w:rPr>
                <w:color w:val="231F20"/>
                <w:spacing w:val="-4"/>
                <w:w w:val="95"/>
                <w:sz w:val="14"/>
              </w:rPr>
              <w:t>10.9</w:t>
            </w:r>
          </w:p>
        </w:tc>
        <w:tc>
          <w:tcPr>
            <w:tcW w:w="1074" w:type="dxa"/>
          </w:tcPr>
          <w:p>
            <w:pPr>
              <w:pStyle w:val="TableParagraph"/>
              <w:ind w:left="82" w:right="61"/>
              <w:rPr>
                <w:sz w:val="14"/>
              </w:rPr>
            </w:pPr>
            <w:r>
              <w:rPr>
                <w:color w:val="231F20"/>
                <w:spacing w:val="-5"/>
                <w:w w:val="95"/>
                <w:sz w:val="14"/>
              </w:rPr>
              <w:t>7.0</w:t>
            </w:r>
          </w:p>
        </w:tc>
        <w:tc>
          <w:tcPr>
            <w:tcW w:w="1071" w:type="dxa"/>
          </w:tcPr>
          <w:p>
            <w:pPr>
              <w:pStyle w:val="TableParagraph"/>
              <w:ind w:left="378"/>
              <w:jc w:val="left"/>
              <w:rPr>
                <w:sz w:val="14"/>
              </w:rPr>
            </w:pPr>
            <w:r>
              <w:rPr>
                <w:color w:val="231F20"/>
                <w:spacing w:val="-5"/>
                <w:w w:val="95"/>
                <w:sz w:val="14"/>
              </w:rPr>
              <w:t>3.9</w:t>
            </w:r>
          </w:p>
        </w:tc>
        <w:tc>
          <w:tcPr>
            <w:tcW w:w="756" w:type="dxa"/>
          </w:tcPr>
          <w:p>
            <w:pPr>
              <w:pStyle w:val="TableParagraph"/>
              <w:ind w:left="242"/>
              <w:jc w:val="left"/>
              <w:rPr>
                <w:sz w:val="14"/>
              </w:rPr>
            </w:pPr>
            <w:r>
              <w:rPr>
                <w:color w:val="231F20"/>
                <w:spacing w:val="-4"/>
                <w:w w:val="95"/>
                <w:sz w:val="14"/>
              </w:rPr>
              <w:t>15.4</w:t>
            </w:r>
          </w:p>
        </w:tc>
        <w:tc>
          <w:tcPr>
            <w:tcW w:w="241" w:type="dxa"/>
          </w:tcPr>
          <w:p>
            <w:pPr>
              <w:pStyle w:val="TableParagraph"/>
              <w:spacing w:before="0"/>
              <w:jc w:val="left"/>
              <w:rPr>
                <w:rFonts w:ascii="Times New Roman"/>
                <w:sz w:val="12"/>
              </w:rPr>
            </w:pPr>
          </w:p>
        </w:tc>
        <w:tc>
          <w:tcPr>
            <w:tcW w:w="852" w:type="dxa"/>
          </w:tcPr>
          <w:p>
            <w:pPr>
              <w:pStyle w:val="TableParagraph"/>
              <w:ind w:right="372"/>
              <w:jc w:val="right"/>
              <w:rPr>
                <w:sz w:val="14"/>
              </w:rPr>
            </w:pPr>
            <w:r>
              <w:rPr>
                <w:color w:val="231F20"/>
                <w:spacing w:val="-4"/>
                <w:w w:val="95"/>
                <w:sz w:val="14"/>
              </w:rPr>
              <w:t>10.9</w:t>
            </w:r>
          </w:p>
        </w:tc>
        <w:tc>
          <w:tcPr>
            <w:tcW w:w="1074" w:type="dxa"/>
          </w:tcPr>
          <w:p>
            <w:pPr>
              <w:pStyle w:val="TableParagraph"/>
              <w:ind w:left="73" w:right="61"/>
              <w:rPr>
                <w:sz w:val="14"/>
              </w:rPr>
            </w:pPr>
            <w:r>
              <w:rPr>
                <w:color w:val="231F20"/>
                <w:spacing w:val="-5"/>
                <w:w w:val="95"/>
                <w:sz w:val="14"/>
              </w:rPr>
              <w:t>7.0</w:t>
            </w:r>
          </w:p>
        </w:tc>
        <w:tc>
          <w:tcPr>
            <w:tcW w:w="937" w:type="dxa"/>
          </w:tcPr>
          <w:p>
            <w:pPr>
              <w:pStyle w:val="TableParagraph"/>
              <w:ind w:left="33" w:right="46"/>
              <w:rPr>
                <w:sz w:val="14"/>
              </w:rPr>
            </w:pPr>
            <w:r>
              <w:rPr>
                <w:color w:val="231F20"/>
                <w:spacing w:val="-5"/>
                <w:w w:val="95"/>
                <w:sz w:val="14"/>
              </w:rPr>
              <w:t>3.9</w:t>
            </w:r>
          </w:p>
        </w:tc>
        <w:tc>
          <w:tcPr>
            <w:tcW w:w="1009" w:type="dxa"/>
          </w:tcPr>
          <w:p>
            <w:pPr>
              <w:pStyle w:val="TableParagraph"/>
              <w:ind w:left="45" w:right="75"/>
              <w:rPr>
                <w:sz w:val="14"/>
              </w:rPr>
            </w:pPr>
            <w:r>
              <w:rPr>
                <w:color w:val="231F20"/>
                <w:spacing w:val="-4"/>
                <w:w w:val="95"/>
                <w:sz w:val="14"/>
              </w:rPr>
              <w:t>15.4</w:t>
            </w:r>
          </w:p>
        </w:tc>
      </w:tr>
      <w:tr>
        <w:trPr>
          <w:trHeight w:val="259" w:hRule="atLeast"/>
        </w:trPr>
        <w:tc>
          <w:tcPr>
            <w:tcW w:w="1280" w:type="dxa"/>
            <w:shd w:val="clear" w:color="auto" w:fill="D4E3F5"/>
          </w:tcPr>
          <w:p>
            <w:pPr>
              <w:pStyle w:val="TableParagraph"/>
              <w:ind w:left="79"/>
              <w:jc w:val="left"/>
              <w:rPr>
                <w:sz w:val="14"/>
              </w:rPr>
            </w:pPr>
            <w:r>
              <w:rPr>
                <w:color w:val="231F20"/>
                <w:spacing w:val="-2"/>
                <w:w w:val="90"/>
                <w:sz w:val="14"/>
              </w:rPr>
              <w:t>Argentina</w:t>
            </w:r>
          </w:p>
        </w:tc>
        <w:tc>
          <w:tcPr>
            <w:tcW w:w="1182" w:type="dxa"/>
            <w:shd w:val="clear" w:color="auto" w:fill="D4E3F5"/>
          </w:tcPr>
          <w:p>
            <w:pPr>
              <w:pStyle w:val="TableParagraph"/>
              <w:ind w:right="435"/>
              <w:jc w:val="right"/>
              <w:rPr>
                <w:sz w:val="14"/>
              </w:rPr>
            </w:pPr>
            <w:r>
              <w:rPr>
                <w:color w:val="231F20"/>
                <w:spacing w:val="-2"/>
                <w:w w:val="95"/>
                <w:sz w:val="14"/>
              </w:rPr>
              <w:t>8,804</w:t>
            </w:r>
          </w:p>
        </w:tc>
        <w:tc>
          <w:tcPr>
            <w:tcW w:w="852" w:type="dxa"/>
            <w:shd w:val="clear" w:color="auto" w:fill="D4E3F5"/>
          </w:tcPr>
          <w:p>
            <w:pPr>
              <w:pStyle w:val="TableParagraph"/>
              <w:ind w:left="99" w:right="145"/>
              <w:rPr>
                <w:sz w:val="14"/>
              </w:rPr>
            </w:pPr>
            <w:r>
              <w:rPr>
                <w:color w:val="231F20"/>
                <w:spacing w:val="-5"/>
                <w:w w:val="95"/>
                <w:sz w:val="14"/>
              </w:rPr>
              <w:t>7.4</w:t>
            </w:r>
          </w:p>
        </w:tc>
        <w:tc>
          <w:tcPr>
            <w:tcW w:w="1074" w:type="dxa"/>
            <w:shd w:val="clear" w:color="auto" w:fill="D4E3F5"/>
          </w:tcPr>
          <w:p>
            <w:pPr>
              <w:pStyle w:val="TableParagraph"/>
              <w:ind w:left="64" w:right="61"/>
              <w:rPr>
                <w:sz w:val="14"/>
              </w:rPr>
            </w:pPr>
            <w:r>
              <w:rPr>
                <w:color w:val="231F20"/>
                <w:spacing w:val="-5"/>
                <w:w w:val="95"/>
                <w:sz w:val="14"/>
              </w:rPr>
              <w:t>6.7</w:t>
            </w:r>
          </w:p>
        </w:tc>
        <w:tc>
          <w:tcPr>
            <w:tcW w:w="1071" w:type="dxa"/>
            <w:shd w:val="clear" w:color="auto" w:fill="D4E3F5"/>
          </w:tcPr>
          <w:p>
            <w:pPr>
              <w:pStyle w:val="TableParagraph"/>
              <w:ind w:left="380"/>
              <w:jc w:val="left"/>
              <w:rPr>
                <w:sz w:val="14"/>
              </w:rPr>
            </w:pPr>
            <w:r>
              <w:rPr>
                <w:color w:val="231F20"/>
                <w:spacing w:val="-5"/>
                <w:w w:val="95"/>
                <w:sz w:val="14"/>
              </w:rPr>
              <w:t>4.7</w:t>
            </w:r>
          </w:p>
        </w:tc>
        <w:tc>
          <w:tcPr>
            <w:tcW w:w="756" w:type="dxa"/>
            <w:shd w:val="clear" w:color="auto" w:fill="D4E3F5"/>
          </w:tcPr>
          <w:p>
            <w:pPr>
              <w:pStyle w:val="TableParagraph"/>
              <w:ind w:left="39" w:right="30"/>
              <w:rPr>
                <w:sz w:val="14"/>
              </w:rPr>
            </w:pPr>
            <w:r>
              <w:rPr>
                <w:color w:val="231F20"/>
                <w:spacing w:val="-5"/>
                <w:w w:val="95"/>
                <w:sz w:val="14"/>
              </w:rPr>
              <w:t>9.1</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4"/>
              <w:jc w:val="right"/>
              <w:rPr>
                <w:sz w:val="14"/>
              </w:rPr>
            </w:pPr>
            <w:r>
              <w:rPr>
                <w:color w:val="231F20"/>
                <w:spacing w:val="-5"/>
                <w:w w:val="95"/>
                <w:sz w:val="14"/>
              </w:rPr>
              <w:t>7.4</w:t>
            </w:r>
          </w:p>
        </w:tc>
        <w:tc>
          <w:tcPr>
            <w:tcW w:w="1074" w:type="dxa"/>
            <w:shd w:val="clear" w:color="auto" w:fill="D4E3F5"/>
          </w:tcPr>
          <w:p>
            <w:pPr>
              <w:pStyle w:val="TableParagraph"/>
              <w:ind w:left="58" w:right="61"/>
              <w:rPr>
                <w:sz w:val="14"/>
              </w:rPr>
            </w:pPr>
            <w:r>
              <w:rPr>
                <w:color w:val="231F20"/>
                <w:spacing w:val="-5"/>
                <w:w w:val="95"/>
                <w:sz w:val="14"/>
              </w:rPr>
              <w:t>6.7</w:t>
            </w:r>
          </w:p>
        </w:tc>
        <w:tc>
          <w:tcPr>
            <w:tcW w:w="937" w:type="dxa"/>
            <w:shd w:val="clear" w:color="auto" w:fill="D4E3F5"/>
          </w:tcPr>
          <w:p>
            <w:pPr>
              <w:pStyle w:val="TableParagraph"/>
              <w:ind w:left="28" w:right="46"/>
              <w:rPr>
                <w:sz w:val="14"/>
              </w:rPr>
            </w:pPr>
            <w:r>
              <w:rPr>
                <w:color w:val="231F20"/>
                <w:spacing w:val="-5"/>
                <w:w w:val="95"/>
                <w:sz w:val="14"/>
              </w:rPr>
              <w:t>4.7</w:t>
            </w:r>
          </w:p>
        </w:tc>
        <w:tc>
          <w:tcPr>
            <w:tcW w:w="1009" w:type="dxa"/>
            <w:shd w:val="clear" w:color="auto" w:fill="D4E3F5"/>
          </w:tcPr>
          <w:p>
            <w:pPr>
              <w:pStyle w:val="TableParagraph"/>
              <w:ind w:left="50" w:right="36"/>
              <w:rPr>
                <w:sz w:val="14"/>
              </w:rPr>
            </w:pPr>
            <w:r>
              <w:rPr>
                <w:color w:val="231F20"/>
                <w:spacing w:val="-5"/>
                <w:w w:val="95"/>
                <w:sz w:val="14"/>
              </w:rPr>
              <w:t>9.1</w:t>
            </w:r>
          </w:p>
        </w:tc>
      </w:tr>
      <w:tr>
        <w:trPr>
          <w:trHeight w:val="259" w:hRule="atLeast"/>
        </w:trPr>
        <w:tc>
          <w:tcPr>
            <w:tcW w:w="1280" w:type="dxa"/>
          </w:tcPr>
          <w:p>
            <w:pPr>
              <w:pStyle w:val="TableParagraph"/>
              <w:ind w:left="79"/>
              <w:jc w:val="left"/>
              <w:rPr>
                <w:sz w:val="14"/>
              </w:rPr>
            </w:pPr>
            <w:r>
              <w:rPr>
                <w:color w:val="231F20"/>
                <w:spacing w:val="-2"/>
                <w:w w:val="90"/>
                <w:sz w:val="14"/>
              </w:rPr>
              <w:t>Aruba</w:t>
            </w:r>
          </w:p>
        </w:tc>
        <w:tc>
          <w:tcPr>
            <w:tcW w:w="1182" w:type="dxa"/>
          </w:tcPr>
          <w:p>
            <w:pPr>
              <w:pStyle w:val="TableParagraph"/>
              <w:ind w:right="436"/>
              <w:jc w:val="right"/>
              <w:rPr>
                <w:sz w:val="14"/>
              </w:rPr>
            </w:pPr>
            <w:r>
              <w:rPr>
                <w:color w:val="231F20"/>
                <w:spacing w:val="-10"/>
                <w:w w:val="95"/>
                <w:sz w:val="14"/>
              </w:rPr>
              <w:t>9</w:t>
            </w:r>
          </w:p>
        </w:tc>
        <w:tc>
          <w:tcPr>
            <w:tcW w:w="852" w:type="dxa"/>
          </w:tcPr>
          <w:p>
            <w:pPr>
              <w:pStyle w:val="TableParagraph"/>
              <w:ind w:left="88" w:right="145"/>
              <w:rPr>
                <w:sz w:val="14"/>
              </w:rPr>
            </w:pPr>
            <w:r>
              <w:rPr>
                <w:color w:val="231F20"/>
                <w:spacing w:val="-5"/>
                <w:w w:val="95"/>
                <w:sz w:val="14"/>
              </w:rPr>
              <w:t>6.6</w:t>
            </w:r>
          </w:p>
        </w:tc>
        <w:tc>
          <w:tcPr>
            <w:tcW w:w="1074" w:type="dxa"/>
          </w:tcPr>
          <w:p>
            <w:pPr>
              <w:pStyle w:val="TableParagraph"/>
              <w:ind w:left="70" w:right="61"/>
              <w:rPr>
                <w:sz w:val="14"/>
              </w:rPr>
            </w:pPr>
            <w:r>
              <w:rPr>
                <w:color w:val="231F20"/>
                <w:spacing w:val="-5"/>
                <w:w w:val="95"/>
                <w:sz w:val="14"/>
              </w:rPr>
              <w:t>6.3</w:t>
            </w:r>
          </w:p>
        </w:tc>
        <w:tc>
          <w:tcPr>
            <w:tcW w:w="1071" w:type="dxa"/>
          </w:tcPr>
          <w:p>
            <w:pPr>
              <w:pStyle w:val="TableParagraph"/>
              <w:ind w:left="379"/>
              <w:jc w:val="left"/>
              <w:rPr>
                <w:sz w:val="14"/>
              </w:rPr>
            </w:pPr>
            <w:r>
              <w:rPr>
                <w:color w:val="231F20"/>
                <w:spacing w:val="-5"/>
                <w:w w:val="95"/>
                <w:sz w:val="14"/>
              </w:rPr>
              <w:t>2.2</w:t>
            </w:r>
          </w:p>
        </w:tc>
        <w:tc>
          <w:tcPr>
            <w:tcW w:w="756" w:type="dxa"/>
          </w:tcPr>
          <w:p>
            <w:pPr>
              <w:pStyle w:val="TableParagraph"/>
              <w:ind w:left="39" w:right="11"/>
              <w:rPr>
                <w:sz w:val="14"/>
              </w:rPr>
            </w:pPr>
            <w:r>
              <w:rPr>
                <w:color w:val="231F20"/>
                <w:spacing w:val="-5"/>
                <w:w w:val="95"/>
                <w:sz w:val="14"/>
              </w:rPr>
              <w:t>8.5</w:t>
            </w:r>
          </w:p>
        </w:tc>
        <w:tc>
          <w:tcPr>
            <w:tcW w:w="241" w:type="dxa"/>
          </w:tcPr>
          <w:p>
            <w:pPr>
              <w:pStyle w:val="TableParagraph"/>
              <w:spacing w:before="0"/>
              <w:jc w:val="left"/>
              <w:rPr>
                <w:rFonts w:ascii="Times New Roman"/>
                <w:sz w:val="12"/>
              </w:rPr>
            </w:pPr>
          </w:p>
        </w:tc>
        <w:tc>
          <w:tcPr>
            <w:tcW w:w="852" w:type="dxa"/>
          </w:tcPr>
          <w:p>
            <w:pPr>
              <w:pStyle w:val="TableParagraph"/>
              <w:ind w:right="372"/>
              <w:jc w:val="right"/>
              <w:rPr>
                <w:sz w:val="14"/>
              </w:rPr>
            </w:pPr>
            <w:r>
              <w:rPr>
                <w:color w:val="231F20"/>
                <w:spacing w:val="-5"/>
                <w:w w:val="95"/>
                <w:sz w:val="14"/>
              </w:rPr>
              <w:t>6.6</w:t>
            </w:r>
          </w:p>
        </w:tc>
        <w:tc>
          <w:tcPr>
            <w:tcW w:w="1074" w:type="dxa"/>
          </w:tcPr>
          <w:p>
            <w:pPr>
              <w:pStyle w:val="TableParagraph"/>
              <w:ind w:left="61" w:right="61"/>
              <w:rPr>
                <w:sz w:val="14"/>
              </w:rPr>
            </w:pPr>
            <w:r>
              <w:rPr>
                <w:color w:val="231F20"/>
                <w:spacing w:val="-5"/>
                <w:w w:val="95"/>
                <w:sz w:val="14"/>
              </w:rPr>
              <w:t>6.3</w:t>
            </w:r>
          </w:p>
        </w:tc>
        <w:tc>
          <w:tcPr>
            <w:tcW w:w="937" w:type="dxa"/>
          </w:tcPr>
          <w:p>
            <w:pPr>
              <w:pStyle w:val="TableParagraph"/>
              <w:ind w:left="34" w:right="46"/>
              <w:rPr>
                <w:sz w:val="14"/>
              </w:rPr>
            </w:pPr>
            <w:r>
              <w:rPr>
                <w:color w:val="231F20"/>
                <w:spacing w:val="-5"/>
                <w:w w:val="95"/>
                <w:sz w:val="14"/>
              </w:rPr>
              <w:t>2.2</w:t>
            </w:r>
          </w:p>
        </w:tc>
        <w:tc>
          <w:tcPr>
            <w:tcW w:w="1009" w:type="dxa"/>
          </w:tcPr>
          <w:p>
            <w:pPr>
              <w:pStyle w:val="TableParagraph"/>
              <w:ind w:left="70" w:right="36"/>
              <w:rPr>
                <w:sz w:val="14"/>
              </w:rPr>
            </w:pPr>
            <w:r>
              <w:rPr>
                <w:color w:val="231F20"/>
                <w:spacing w:val="-5"/>
                <w:w w:val="95"/>
                <w:sz w:val="14"/>
              </w:rPr>
              <w:t>8.5</w:t>
            </w:r>
          </w:p>
        </w:tc>
      </w:tr>
      <w:tr>
        <w:trPr>
          <w:trHeight w:val="259" w:hRule="atLeast"/>
        </w:trPr>
        <w:tc>
          <w:tcPr>
            <w:tcW w:w="1280" w:type="dxa"/>
            <w:shd w:val="clear" w:color="auto" w:fill="D4E3F5"/>
          </w:tcPr>
          <w:p>
            <w:pPr>
              <w:pStyle w:val="TableParagraph"/>
              <w:ind w:left="79"/>
              <w:jc w:val="left"/>
              <w:rPr>
                <w:sz w:val="14"/>
              </w:rPr>
            </w:pPr>
            <w:r>
              <w:rPr>
                <w:color w:val="231F20"/>
                <w:spacing w:val="-2"/>
                <w:w w:val="90"/>
                <w:sz w:val="14"/>
              </w:rPr>
              <w:t>Australia</w:t>
            </w:r>
          </w:p>
        </w:tc>
        <w:tc>
          <w:tcPr>
            <w:tcW w:w="1182" w:type="dxa"/>
            <w:shd w:val="clear" w:color="auto" w:fill="D4E3F5"/>
          </w:tcPr>
          <w:p>
            <w:pPr>
              <w:pStyle w:val="TableParagraph"/>
              <w:ind w:right="436"/>
              <w:jc w:val="right"/>
              <w:rPr>
                <w:sz w:val="14"/>
              </w:rPr>
            </w:pPr>
            <w:r>
              <w:rPr>
                <w:color w:val="231F20"/>
                <w:spacing w:val="-2"/>
                <w:w w:val="95"/>
                <w:sz w:val="14"/>
              </w:rPr>
              <w:t>16,744</w:t>
            </w:r>
          </w:p>
        </w:tc>
        <w:tc>
          <w:tcPr>
            <w:tcW w:w="852" w:type="dxa"/>
            <w:shd w:val="clear" w:color="auto" w:fill="D4E3F5"/>
          </w:tcPr>
          <w:p>
            <w:pPr>
              <w:pStyle w:val="TableParagraph"/>
              <w:ind w:left="88" w:right="145"/>
              <w:rPr>
                <w:sz w:val="14"/>
              </w:rPr>
            </w:pPr>
            <w:r>
              <w:rPr>
                <w:color w:val="231F20"/>
                <w:spacing w:val="-5"/>
                <w:w w:val="95"/>
                <w:sz w:val="14"/>
              </w:rPr>
              <w:t>5.3</w:t>
            </w:r>
          </w:p>
        </w:tc>
        <w:tc>
          <w:tcPr>
            <w:tcW w:w="1074" w:type="dxa"/>
            <w:shd w:val="clear" w:color="auto" w:fill="D4E3F5"/>
          </w:tcPr>
          <w:p>
            <w:pPr>
              <w:pStyle w:val="TableParagraph"/>
              <w:ind w:left="70" w:right="61"/>
              <w:rPr>
                <w:sz w:val="14"/>
              </w:rPr>
            </w:pPr>
            <w:r>
              <w:rPr>
                <w:color w:val="231F20"/>
                <w:spacing w:val="-5"/>
                <w:w w:val="95"/>
                <w:sz w:val="14"/>
              </w:rPr>
              <w:t>4.6</w:t>
            </w:r>
          </w:p>
        </w:tc>
        <w:tc>
          <w:tcPr>
            <w:tcW w:w="1071" w:type="dxa"/>
            <w:shd w:val="clear" w:color="auto" w:fill="D4E3F5"/>
          </w:tcPr>
          <w:p>
            <w:pPr>
              <w:pStyle w:val="TableParagraph"/>
              <w:ind w:left="378"/>
              <w:jc w:val="left"/>
              <w:rPr>
                <w:sz w:val="14"/>
              </w:rPr>
            </w:pPr>
            <w:r>
              <w:rPr>
                <w:color w:val="231F20"/>
                <w:spacing w:val="-5"/>
                <w:w w:val="95"/>
                <w:sz w:val="14"/>
              </w:rPr>
              <w:t>3.5</w:t>
            </w:r>
          </w:p>
        </w:tc>
        <w:tc>
          <w:tcPr>
            <w:tcW w:w="756" w:type="dxa"/>
            <w:shd w:val="clear" w:color="auto" w:fill="D4E3F5"/>
          </w:tcPr>
          <w:p>
            <w:pPr>
              <w:pStyle w:val="TableParagraph"/>
              <w:ind w:left="39" w:right="12"/>
              <w:rPr>
                <w:sz w:val="14"/>
              </w:rPr>
            </w:pPr>
            <w:r>
              <w:rPr>
                <w:color w:val="231F20"/>
                <w:spacing w:val="-5"/>
                <w:w w:val="95"/>
                <w:sz w:val="14"/>
              </w:rPr>
              <w:t>6.2</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2"/>
              <w:jc w:val="right"/>
              <w:rPr>
                <w:sz w:val="14"/>
              </w:rPr>
            </w:pPr>
            <w:r>
              <w:rPr>
                <w:color w:val="231F20"/>
                <w:spacing w:val="-5"/>
                <w:w w:val="95"/>
                <w:sz w:val="14"/>
              </w:rPr>
              <w:t>5.3</w:t>
            </w:r>
          </w:p>
        </w:tc>
        <w:tc>
          <w:tcPr>
            <w:tcW w:w="1074" w:type="dxa"/>
            <w:shd w:val="clear" w:color="auto" w:fill="D4E3F5"/>
          </w:tcPr>
          <w:p>
            <w:pPr>
              <w:pStyle w:val="TableParagraph"/>
              <w:ind w:left="61" w:right="61"/>
              <w:rPr>
                <w:sz w:val="14"/>
              </w:rPr>
            </w:pPr>
            <w:r>
              <w:rPr>
                <w:color w:val="231F20"/>
                <w:spacing w:val="-5"/>
                <w:w w:val="95"/>
                <w:sz w:val="14"/>
              </w:rPr>
              <w:t>4.6</w:t>
            </w:r>
          </w:p>
        </w:tc>
        <w:tc>
          <w:tcPr>
            <w:tcW w:w="937" w:type="dxa"/>
            <w:shd w:val="clear" w:color="auto" w:fill="D4E3F5"/>
          </w:tcPr>
          <w:p>
            <w:pPr>
              <w:pStyle w:val="TableParagraph"/>
              <w:ind w:left="34" w:right="46"/>
              <w:rPr>
                <w:sz w:val="14"/>
              </w:rPr>
            </w:pPr>
            <w:r>
              <w:rPr>
                <w:color w:val="231F20"/>
                <w:spacing w:val="-5"/>
                <w:w w:val="95"/>
                <w:sz w:val="14"/>
              </w:rPr>
              <w:t>3.5</w:t>
            </w:r>
          </w:p>
        </w:tc>
        <w:tc>
          <w:tcPr>
            <w:tcW w:w="1009" w:type="dxa"/>
            <w:shd w:val="clear" w:color="auto" w:fill="D4E3F5"/>
          </w:tcPr>
          <w:p>
            <w:pPr>
              <w:pStyle w:val="TableParagraph"/>
              <w:ind w:left="69" w:right="36"/>
              <w:rPr>
                <w:sz w:val="14"/>
              </w:rPr>
            </w:pPr>
            <w:r>
              <w:rPr>
                <w:color w:val="231F20"/>
                <w:spacing w:val="-5"/>
                <w:w w:val="95"/>
                <w:sz w:val="14"/>
              </w:rPr>
              <w:t>6.2</w:t>
            </w:r>
          </w:p>
        </w:tc>
      </w:tr>
      <w:tr>
        <w:trPr>
          <w:trHeight w:val="259" w:hRule="atLeast"/>
        </w:trPr>
        <w:tc>
          <w:tcPr>
            <w:tcW w:w="1280" w:type="dxa"/>
          </w:tcPr>
          <w:p>
            <w:pPr>
              <w:pStyle w:val="TableParagraph"/>
              <w:ind w:left="79"/>
              <w:jc w:val="left"/>
              <w:rPr>
                <w:sz w:val="14"/>
              </w:rPr>
            </w:pPr>
            <w:r>
              <w:rPr>
                <w:color w:val="231F20"/>
                <w:spacing w:val="-2"/>
                <w:w w:val="90"/>
                <w:sz w:val="14"/>
              </w:rPr>
              <w:t>Austria</w:t>
            </w:r>
          </w:p>
        </w:tc>
        <w:tc>
          <w:tcPr>
            <w:tcW w:w="1182" w:type="dxa"/>
          </w:tcPr>
          <w:p>
            <w:pPr>
              <w:pStyle w:val="TableParagraph"/>
              <w:ind w:right="435"/>
              <w:jc w:val="right"/>
              <w:rPr>
                <w:sz w:val="14"/>
              </w:rPr>
            </w:pPr>
            <w:r>
              <w:rPr>
                <w:color w:val="231F20"/>
                <w:spacing w:val="-5"/>
                <w:w w:val="95"/>
                <w:sz w:val="14"/>
              </w:rPr>
              <w:t>164</w:t>
            </w:r>
          </w:p>
        </w:tc>
        <w:tc>
          <w:tcPr>
            <w:tcW w:w="852" w:type="dxa"/>
          </w:tcPr>
          <w:p>
            <w:pPr>
              <w:pStyle w:val="TableParagraph"/>
              <w:ind w:left="23" w:right="145"/>
              <w:rPr>
                <w:sz w:val="14"/>
              </w:rPr>
            </w:pPr>
            <w:r>
              <w:rPr>
                <w:color w:val="231F20"/>
                <w:spacing w:val="-4"/>
                <w:w w:val="95"/>
                <w:sz w:val="14"/>
              </w:rPr>
              <w:t>13.4</w:t>
            </w:r>
          </w:p>
        </w:tc>
        <w:tc>
          <w:tcPr>
            <w:tcW w:w="1074" w:type="dxa"/>
          </w:tcPr>
          <w:p>
            <w:pPr>
              <w:pStyle w:val="TableParagraph"/>
              <w:ind w:left="22" w:right="73"/>
              <w:rPr>
                <w:sz w:val="14"/>
              </w:rPr>
            </w:pPr>
            <w:r>
              <w:rPr>
                <w:color w:val="231F20"/>
                <w:spacing w:val="-4"/>
                <w:w w:val="95"/>
                <w:sz w:val="14"/>
              </w:rPr>
              <w:t>10.6</w:t>
            </w:r>
          </w:p>
        </w:tc>
        <w:tc>
          <w:tcPr>
            <w:tcW w:w="1071" w:type="dxa"/>
          </w:tcPr>
          <w:p>
            <w:pPr>
              <w:pStyle w:val="TableParagraph"/>
              <w:ind w:left="392"/>
              <w:jc w:val="left"/>
              <w:rPr>
                <w:sz w:val="14"/>
              </w:rPr>
            </w:pPr>
            <w:r>
              <w:rPr>
                <w:color w:val="231F20"/>
                <w:spacing w:val="-5"/>
                <w:w w:val="95"/>
                <w:sz w:val="14"/>
              </w:rPr>
              <w:t>7.2</w:t>
            </w:r>
          </w:p>
        </w:tc>
        <w:tc>
          <w:tcPr>
            <w:tcW w:w="756" w:type="dxa"/>
          </w:tcPr>
          <w:p>
            <w:pPr>
              <w:pStyle w:val="TableParagraph"/>
              <w:ind w:left="241"/>
              <w:jc w:val="left"/>
              <w:rPr>
                <w:sz w:val="14"/>
              </w:rPr>
            </w:pPr>
            <w:r>
              <w:rPr>
                <w:color w:val="231F20"/>
                <w:spacing w:val="-4"/>
                <w:w w:val="95"/>
                <w:sz w:val="14"/>
              </w:rPr>
              <w:t>16.4</w:t>
            </w:r>
          </w:p>
        </w:tc>
        <w:tc>
          <w:tcPr>
            <w:tcW w:w="241" w:type="dxa"/>
          </w:tcPr>
          <w:p>
            <w:pPr>
              <w:pStyle w:val="TableParagraph"/>
              <w:spacing w:before="0"/>
              <w:jc w:val="left"/>
              <w:rPr>
                <w:rFonts w:ascii="Times New Roman"/>
                <w:sz w:val="12"/>
              </w:rPr>
            </w:pPr>
          </w:p>
        </w:tc>
        <w:tc>
          <w:tcPr>
            <w:tcW w:w="852" w:type="dxa"/>
          </w:tcPr>
          <w:p>
            <w:pPr>
              <w:pStyle w:val="TableParagraph"/>
              <w:ind w:right="372"/>
              <w:jc w:val="right"/>
              <w:rPr>
                <w:sz w:val="14"/>
              </w:rPr>
            </w:pPr>
            <w:r>
              <w:rPr>
                <w:color w:val="231F20"/>
                <w:spacing w:val="-5"/>
                <w:w w:val="95"/>
                <w:sz w:val="14"/>
              </w:rPr>
              <w:t>9.3</w:t>
            </w:r>
          </w:p>
        </w:tc>
        <w:tc>
          <w:tcPr>
            <w:tcW w:w="1074" w:type="dxa"/>
          </w:tcPr>
          <w:p>
            <w:pPr>
              <w:pStyle w:val="TableParagraph"/>
              <w:ind w:left="62" w:right="61"/>
              <w:rPr>
                <w:sz w:val="14"/>
              </w:rPr>
            </w:pPr>
            <w:r>
              <w:rPr>
                <w:color w:val="231F20"/>
                <w:spacing w:val="-5"/>
                <w:w w:val="95"/>
                <w:sz w:val="14"/>
              </w:rPr>
              <w:t>6.9</w:t>
            </w:r>
          </w:p>
        </w:tc>
        <w:tc>
          <w:tcPr>
            <w:tcW w:w="937" w:type="dxa"/>
          </w:tcPr>
          <w:p>
            <w:pPr>
              <w:pStyle w:val="TableParagraph"/>
              <w:ind w:left="31" w:right="46"/>
              <w:rPr>
                <w:sz w:val="14"/>
              </w:rPr>
            </w:pPr>
            <w:r>
              <w:rPr>
                <w:color w:val="231F20"/>
                <w:spacing w:val="-5"/>
                <w:w w:val="95"/>
                <w:sz w:val="14"/>
              </w:rPr>
              <w:t>4.0</w:t>
            </w:r>
          </w:p>
        </w:tc>
        <w:tc>
          <w:tcPr>
            <w:tcW w:w="1009" w:type="dxa"/>
          </w:tcPr>
          <w:p>
            <w:pPr>
              <w:pStyle w:val="TableParagraph"/>
              <w:ind w:left="45" w:right="77"/>
              <w:rPr>
                <w:sz w:val="14"/>
              </w:rPr>
            </w:pPr>
            <w:r>
              <w:rPr>
                <w:color w:val="231F20"/>
                <w:spacing w:val="-4"/>
                <w:w w:val="95"/>
                <w:sz w:val="14"/>
              </w:rPr>
              <w:t>10.7</w:t>
            </w:r>
          </w:p>
        </w:tc>
      </w:tr>
      <w:tr>
        <w:trPr>
          <w:trHeight w:val="259" w:hRule="atLeast"/>
        </w:trPr>
        <w:tc>
          <w:tcPr>
            <w:tcW w:w="1280" w:type="dxa"/>
            <w:shd w:val="clear" w:color="auto" w:fill="D4E3F5"/>
          </w:tcPr>
          <w:p>
            <w:pPr>
              <w:pStyle w:val="TableParagraph"/>
              <w:ind w:left="79"/>
              <w:jc w:val="left"/>
              <w:rPr>
                <w:sz w:val="14"/>
              </w:rPr>
            </w:pPr>
            <w:r>
              <w:rPr>
                <w:color w:val="231F20"/>
                <w:w w:val="75"/>
                <w:sz w:val="14"/>
              </w:rPr>
              <w:t>Bahamas,</w:t>
            </w:r>
            <w:r>
              <w:rPr>
                <w:color w:val="231F20"/>
                <w:spacing w:val="23"/>
                <w:sz w:val="14"/>
              </w:rPr>
              <w:t> </w:t>
            </w:r>
            <w:r>
              <w:rPr>
                <w:color w:val="231F20"/>
                <w:spacing w:val="-5"/>
                <w:w w:val="85"/>
                <w:sz w:val="14"/>
              </w:rPr>
              <w:t>The</w:t>
            </w:r>
          </w:p>
        </w:tc>
        <w:tc>
          <w:tcPr>
            <w:tcW w:w="1182" w:type="dxa"/>
            <w:shd w:val="clear" w:color="auto" w:fill="D4E3F5"/>
          </w:tcPr>
          <w:p>
            <w:pPr>
              <w:pStyle w:val="TableParagraph"/>
              <w:ind w:right="433"/>
              <w:jc w:val="right"/>
              <w:rPr>
                <w:sz w:val="14"/>
              </w:rPr>
            </w:pPr>
            <w:r>
              <w:rPr>
                <w:color w:val="231F20"/>
                <w:spacing w:val="-5"/>
                <w:w w:val="95"/>
                <w:sz w:val="14"/>
              </w:rPr>
              <w:t>25</w:t>
            </w:r>
          </w:p>
        </w:tc>
        <w:tc>
          <w:tcPr>
            <w:tcW w:w="852" w:type="dxa"/>
            <w:shd w:val="clear" w:color="auto" w:fill="D4E3F5"/>
          </w:tcPr>
          <w:p>
            <w:pPr>
              <w:pStyle w:val="TableParagraph"/>
              <w:ind w:left="25" w:right="145"/>
              <w:rPr>
                <w:sz w:val="14"/>
              </w:rPr>
            </w:pPr>
            <w:r>
              <w:rPr>
                <w:color w:val="231F20"/>
                <w:spacing w:val="-4"/>
                <w:w w:val="95"/>
                <w:sz w:val="14"/>
              </w:rPr>
              <w:t>10.5</w:t>
            </w:r>
          </w:p>
        </w:tc>
        <w:tc>
          <w:tcPr>
            <w:tcW w:w="1074" w:type="dxa"/>
            <w:shd w:val="clear" w:color="auto" w:fill="D4E3F5"/>
          </w:tcPr>
          <w:p>
            <w:pPr>
              <w:pStyle w:val="TableParagraph"/>
              <w:ind w:left="69" w:right="61"/>
              <w:rPr>
                <w:sz w:val="14"/>
              </w:rPr>
            </w:pPr>
            <w:r>
              <w:rPr>
                <w:color w:val="231F20"/>
                <w:spacing w:val="-5"/>
                <w:w w:val="95"/>
                <w:sz w:val="14"/>
              </w:rPr>
              <w:t>9.4</w:t>
            </w:r>
          </w:p>
        </w:tc>
        <w:tc>
          <w:tcPr>
            <w:tcW w:w="1071" w:type="dxa"/>
            <w:shd w:val="clear" w:color="auto" w:fill="D4E3F5"/>
          </w:tcPr>
          <w:p>
            <w:pPr>
              <w:pStyle w:val="TableParagraph"/>
              <w:ind w:left="378"/>
              <w:jc w:val="left"/>
              <w:rPr>
                <w:sz w:val="14"/>
              </w:rPr>
            </w:pPr>
            <w:r>
              <w:rPr>
                <w:color w:val="231F20"/>
                <w:spacing w:val="-5"/>
                <w:w w:val="95"/>
                <w:sz w:val="14"/>
              </w:rPr>
              <w:t>3.7</w:t>
            </w:r>
          </w:p>
        </w:tc>
        <w:tc>
          <w:tcPr>
            <w:tcW w:w="756" w:type="dxa"/>
            <w:shd w:val="clear" w:color="auto" w:fill="D4E3F5"/>
          </w:tcPr>
          <w:p>
            <w:pPr>
              <w:pStyle w:val="TableParagraph"/>
              <w:ind w:left="252"/>
              <w:jc w:val="left"/>
              <w:rPr>
                <w:sz w:val="14"/>
              </w:rPr>
            </w:pPr>
            <w:r>
              <w:rPr>
                <w:color w:val="231F20"/>
                <w:spacing w:val="-4"/>
                <w:w w:val="95"/>
                <w:sz w:val="14"/>
              </w:rPr>
              <w:t>11.9</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2"/>
              <w:jc w:val="right"/>
              <w:rPr>
                <w:sz w:val="14"/>
              </w:rPr>
            </w:pPr>
            <w:r>
              <w:rPr>
                <w:color w:val="231F20"/>
                <w:spacing w:val="-4"/>
                <w:w w:val="95"/>
                <w:sz w:val="14"/>
              </w:rPr>
              <w:t>10.5</w:t>
            </w:r>
          </w:p>
        </w:tc>
        <w:tc>
          <w:tcPr>
            <w:tcW w:w="1074" w:type="dxa"/>
            <w:shd w:val="clear" w:color="auto" w:fill="D4E3F5"/>
          </w:tcPr>
          <w:p>
            <w:pPr>
              <w:pStyle w:val="TableParagraph"/>
              <w:ind w:left="60" w:right="61"/>
              <w:rPr>
                <w:sz w:val="14"/>
              </w:rPr>
            </w:pPr>
            <w:r>
              <w:rPr>
                <w:color w:val="231F20"/>
                <w:spacing w:val="-5"/>
                <w:w w:val="95"/>
                <w:sz w:val="14"/>
              </w:rPr>
              <w:t>9.4</w:t>
            </w:r>
          </w:p>
        </w:tc>
        <w:tc>
          <w:tcPr>
            <w:tcW w:w="937" w:type="dxa"/>
            <w:shd w:val="clear" w:color="auto" w:fill="D4E3F5"/>
          </w:tcPr>
          <w:p>
            <w:pPr>
              <w:pStyle w:val="TableParagraph"/>
              <w:ind w:left="25" w:right="46"/>
              <w:rPr>
                <w:sz w:val="14"/>
              </w:rPr>
            </w:pPr>
            <w:r>
              <w:rPr>
                <w:color w:val="231F20"/>
                <w:spacing w:val="-5"/>
                <w:w w:val="95"/>
                <w:sz w:val="14"/>
              </w:rPr>
              <w:t>3.7</w:t>
            </w:r>
          </w:p>
        </w:tc>
        <w:tc>
          <w:tcPr>
            <w:tcW w:w="1009" w:type="dxa"/>
            <w:shd w:val="clear" w:color="auto" w:fill="D4E3F5"/>
          </w:tcPr>
          <w:p>
            <w:pPr>
              <w:pStyle w:val="TableParagraph"/>
              <w:ind w:left="45" w:right="64"/>
              <w:rPr>
                <w:sz w:val="14"/>
              </w:rPr>
            </w:pPr>
            <w:r>
              <w:rPr>
                <w:color w:val="231F20"/>
                <w:spacing w:val="-4"/>
                <w:w w:val="95"/>
                <w:sz w:val="14"/>
              </w:rPr>
              <w:t>11.9</w:t>
            </w:r>
          </w:p>
        </w:tc>
      </w:tr>
      <w:tr>
        <w:trPr>
          <w:trHeight w:val="259" w:hRule="atLeast"/>
        </w:trPr>
        <w:tc>
          <w:tcPr>
            <w:tcW w:w="1280" w:type="dxa"/>
          </w:tcPr>
          <w:p>
            <w:pPr>
              <w:pStyle w:val="TableParagraph"/>
              <w:ind w:left="79"/>
              <w:jc w:val="left"/>
              <w:rPr>
                <w:sz w:val="14"/>
              </w:rPr>
            </w:pPr>
            <w:r>
              <w:rPr>
                <w:color w:val="231F20"/>
                <w:spacing w:val="-2"/>
                <w:w w:val="90"/>
                <w:sz w:val="14"/>
              </w:rPr>
              <w:t>Bahrain</w:t>
            </w:r>
          </w:p>
        </w:tc>
        <w:tc>
          <w:tcPr>
            <w:tcW w:w="1182" w:type="dxa"/>
          </w:tcPr>
          <w:p>
            <w:pPr>
              <w:pStyle w:val="TableParagraph"/>
              <w:ind w:right="431"/>
              <w:jc w:val="right"/>
              <w:rPr>
                <w:sz w:val="14"/>
              </w:rPr>
            </w:pPr>
            <w:r>
              <w:rPr>
                <w:color w:val="231F20"/>
                <w:spacing w:val="-5"/>
                <w:w w:val="95"/>
                <w:sz w:val="14"/>
              </w:rPr>
              <w:t>335</w:t>
            </w:r>
          </w:p>
        </w:tc>
        <w:tc>
          <w:tcPr>
            <w:tcW w:w="852" w:type="dxa"/>
          </w:tcPr>
          <w:p>
            <w:pPr>
              <w:pStyle w:val="TableParagraph"/>
              <w:ind w:left="89" w:right="145"/>
              <w:rPr>
                <w:sz w:val="14"/>
              </w:rPr>
            </w:pPr>
            <w:r>
              <w:rPr>
                <w:color w:val="231F20"/>
                <w:spacing w:val="-5"/>
                <w:w w:val="95"/>
                <w:sz w:val="14"/>
              </w:rPr>
              <w:t>4.8</w:t>
            </w:r>
          </w:p>
        </w:tc>
        <w:tc>
          <w:tcPr>
            <w:tcW w:w="1074" w:type="dxa"/>
          </w:tcPr>
          <w:p>
            <w:pPr>
              <w:pStyle w:val="TableParagraph"/>
              <w:ind w:left="71" w:right="61"/>
              <w:rPr>
                <w:sz w:val="14"/>
              </w:rPr>
            </w:pPr>
            <w:r>
              <w:rPr>
                <w:color w:val="231F20"/>
                <w:spacing w:val="-5"/>
                <w:w w:val="95"/>
                <w:sz w:val="14"/>
              </w:rPr>
              <w:t>3.8</w:t>
            </w:r>
          </w:p>
        </w:tc>
        <w:tc>
          <w:tcPr>
            <w:tcW w:w="1071" w:type="dxa"/>
          </w:tcPr>
          <w:p>
            <w:pPr>
              <w:pStyle w:val="TableParagraph"/>
              <w:ind w:left="379"/>
              <w:jc w:val="left"/>
              <w:rPr>
                <w:sz w:val="14"/>
              </w:rPr>
            </w:pPr>
            <w:r>
              <w:rPr>
                <w:color w:val="231F20"/>
                <w:spacing w:val="-5"/>
                <w:w w:val="95"/>
                <w:sz w:val="14"/>
              </w:rPr>
              <w:t>2.8</w:t>
            </w:r>
          </w:p>
        </w:tc>
        <w:tc>
          <w:tcPr>
            <w:tcW w:w="756" w:type="dxa"/>
          </w:tcPr>
          <w:p>
            <w:pPr>
              <w:pStyle w:val="TableParagraph"/>
              <w:ind w:left="39" w:right="13"/>
              <w:rPr>
                <w:sz w:val="14"/>
              </w:rPr>
            </w:pPr>
            <w:r>
              <w:rPr>
                <w:color w:val="231F20"/>
                <w:spacing w:val="-5"/>
                <w:w w:val="95"/>
                <w:sz w:val="14"/>
              </w:rPr>
              <w:t>6.3</w:t>
            </w:r>
          </w:p>
        </w:tc>
        <w:tc>
          <w:tcPr>
            <w:tcW w:w="241" w:type="dxa"/>
          </w:tcPr>
          <w:p>
            <w:pPr>
              <w:pStyle w:val="TableParagraph"/>
              <w:spacing w:before="0"/>
              <w:jc w:val="left"/>
              <w:rPr>
                <w:rFonts w:ascii="Times New Roman"/>
                <w:sz w:val="12"/>
              </w:rPr>
            </w:pPr>
          </w:p>
        </w:tc>
        <w:tc>
          <w:tcPr>
            <w:tcW w:w="852" w:type="dxa"/>
          </w:tcPr>
          <w:p>
            <w:pPr>
              <w:pStyle w:val="TableParagraph"/>
              <w:ind w:right="372"/>
              <w:jc w:val="right"/>
              <w:rPr>
                <w:sz w:val="14"/>
              </w:rPr>
            </w:pPr>
            <w:r>
              <w:rPr>
                <w:color w:val="231F20"/>
                <w:spacing w:val="-5"/>
                <w:w w:val="95"/>
                <w:sz w:val="14"/>
              </w:rPr>
              <w:t>4.8</w:t>
            </w:r>
          </w:p>
        </w:tc>
        <w:tc>
          <w:tcPr>
            <w:tcW w:w="1074" w:type="dxa"/>
          </w:tcPr>
          <w:p>
            <w:pPr>
              <w:pStyle w:val="TableParagraph"/>
              <w:ind w:left="62" w:right="61"/>
              <w:rPr>
                <w:sz w:val="14"/>
              </w:rPr>
            </w:pPr>
            <w:r>
              <w:rPr>
                <w:color w:val="231F20"/>
                <w:spacing w:val="-5"/>
                <w:w w:val="95"/>
                <w:sz w:val="14"/>
              </w:rPr>
              <w:t>3.8</w:t>
            </w:r>
          </w:p>
        </w:tc>
        <w:tc>
          <w:tcPr>
            <w:tcW w:w="937" w:type="dxa"/>
          </w:tcPr>
          <w:p>
            <w:pPr>
              <w:pStyle w:val="TableParagraph"/>
              <w:ind w:left="33" w:right="46"/>
              <w:rPr>
                <w:sz w:val="14"/>
              </w:rPr>
            </w:pPr>
            <w:r>
              <w:rPr>
                <w:color w:val="231F20"/>
                <w:spacing w:val="-5"/>
                <w:w w:val="95"/>
                <w:sz w:val="14"/>
              </w:rPr>
              <w:t>2.8</w:t>
            </w:r>
          </w:p>
        </w:tc>
        <w:tc>
          <w:tcPr>
            <w:tcW w:w="1009" w:type="dxa"/>
          </w:tcPr>
          <w:p>
            <w:pPr>
              <w:pStyle w:val="TableParagraph"/>
              <w:ind w:left="68" w:right="36"/>
              <w:rPr>
                <w:sz w:val="14"/>
              </w:rPr>
            </w:pPr>
            <w:r>
              <w:rPr>
                <w:color w:val="231F20"/>
                <w:spacing w:val="-5"/>
                <w:w w:val="95"/>
                <w:sz w:val="14"/>
              </w:rPr>
              <w:t>6.3</w:t>
            </w:r>
          </w:p>
        </w:tc>
      </w:tr>
      <w:tr>
        <w:trPr>
          <w:trHeight w:val="259" w:hRule="atLeast"/>
        </w:trPr>
        <w:tc>
          <w:tcPr>
            <w:tcW w:w="1280" w:type="dxa"/>
            <w:shd w:val="clear" w:color="auto" w:fill="D4E3F5"/>
          </w:tcPr>
          <w:p>
            <w:pPr>
              <w:pStyle w:val="TableParagraph"/>
              <w:ind w:left="80"/>
              <w:jc w:val="left"/>
              <w:rPr>
                <w:sz w:val="14"/>
              </w:rPr>
            </w:pPr>
            <w:r>
              <w:rPr>
                <w:color w:val="231F20"/>
                <w:spacing w:val="-2"/>
                <w:w w:val="90"/>
                <w:sz w:val="14"/>
              </w:rPr>
              <w:t>Bangladesh</w:t>
            </w:r>
          </w:p>
        </w:tc>
        <w:tc>
          <w:tcPr>
            <w:tcW w:w="1182" w:type="dxa"/>
            <w:shd w:val="clear" w:color="auto" w:fill="D4E3F5"/>
          </w:tcPr>
          <w:p>
            <w:pPr>
              <w:pStyle w:val="TableParagraph"/>
              <w:ind w:right="436"/>
              <w:jc w:val="right"/>
              <w:rPr>
                <w:sz w:val="14"/>
              </w:rPr>
            </w:pPr>
            <w:r>
              <w:rPr>
                <w:color w:val="231F20"/>
                <w:spacing w:val="-2"/>
                <w:w w:val="95"/>
                <w:sz w:val="14"/>
              </w:rPr>
              <w:t>17,272</w:t>
            </w:r>
          </w:p>
        </w:tc>
        <w:tc>
          <w:tcPr>
            <w:tcW w:w="852" w:type="dxa"/>
            <w:shd w:val="clear" w:color="auto" w:fill="D4E3F5"/>
          </w:tcPr>
          <w:p>
            <w:pPr>
              <w:pStyle w:val="TableParagraph"/>
              <w:ind w:left="92" w:right="145"/>
              <w:rPr>
                <w:sz w:val="14"/>
              </w:rPr>
            </w:pPr>
            <w:r>
              <w:rPr>
                <w:color w:val="231F20"/>
                <w:spacing w:val="-5"/>
                <w:w w:val="95"/>
                <w:sz w:val="14"/>
              </w:rPr>
              <w:t>1.7</w:t>
            </w:r>
          </w:p>
        </w:tc>
        <w:tc>
          <w:tcPr>
            <w:tcW w:w="1074" w:type="dxa"/>
            <w:shd w:val="clear" w:color="auto" w:fill="D4E3F5"/>
          </w:tcPr>
          <w:p>
            <w:pPr>
              <w:pStyle w:val="TableParagraph"/>
              <w:ind w:left="76" w:right="61"/>
              <w:rPr>
                <w:sz w:val="14"/>
              </w:rPr>
            </w:pPr>
            <w:r>
              <w:rPr>
                <w:color w:val="231F20"/>
                <w:spacing w:val="-5"/>
                <w:w w:val="95"/>
                <w:sz w:val="14"/>
              </w:rPr>
              <w:t>1.0</w:t>
            </w:r>
          </w:p>
        </w:tc>
        <w:tc>
          <w:tcPr>
            <w:tcW w:w="1071" w:type="dxa"/>
            <w:shd w:val="clear" w:color="auto" w:fill="D4E3F5"/>
          </w:tcPr>
          <w:p>
            <w:pPr>
              <w:pStyle w:val="TableParagraph"/>
              <w:ind w:left="379"/>
              <w:jc w:val="left"/>
              <w:rPr>
                <w:sz w:val="14"/>
              </w:rPr>
            </w:pPr>
            <w:r>
              <w:rPr>
                <w:color w:val="231F20"/>
                <w:spacing w:val="-5"/>
                <w:w w:val="95"/>
                <w:sz w:val="14"/>
              </w:rPr>
              <w:t>0.5</w:t>
            </w:r>
          </w:p>
        </w:tc>
        <w:tc>
          <w:tcPr>
            <w:tcW w:w="756" w:type="dxa"/>
            <w:shd w:val="clear" w:color="auto" w:fill="D4E3F5"/>
          </w:tcPr>
          <w:p>
            <w:pPr>
              <w:pStyle w:val="TableParagraph"/>
              <w:ind w:left="39" w:right="12"/>
              <w:rPr>
                <w:sz w:val="14"/>
              </w:rPr>
            </w:pPr>
            <w:r>
              <w:rPr>
                <w:color w:val="231F20"/>
                <w:spacing w:val="-5"/>
                <w:w w:val="95"/>
                <w:sz w:val="14"/>
              </w:rPr>
              <w:t>2.0</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3"/>
              <w:jc w:val="right"/>
              <w:rPr>
                <w:sz w:val="14"/>
              </w:rPr>
            </w:pPr>
            <w:r>
              <w:rPr>
                <w:color w:val="231F20"/>
                <w:spacing w:val="-5"/>
                <w:w w:val="95"/>
                <w:sz w:val="14"/>
              </w:rPr>
              <w:t>1.6</w:t>
            </w:r>
          </w:p>
        </w:tc>
        <w:tc>
          <w:tcPr>
            <w:tcW w:w="1074" w:type="dxa"/>
            <w:shd w:val="clear" w:color="auto" w:fill="D4E3F5"/>
          </w:tcPr>
          <w:p>
            <w:pPr>
              <w:pStyle w:val="TableParagraph"/>
              <w:ind w:left="61" w:right="61"/>
              <w:rPr>
                <w:sz w:val="14"/>
              </w:rPr>
            </w:pPr>
            <w:r>
              <w:rPr>
                <w:color w:val="231F20"/>
                <w:spacing w:val="-5"/>
                <w:w w:val="95"/>
                <w:sz w:val="14"/>
              </w:rPr>
              <w:t>0.9</w:t>
            </w:r>
          </w:p>
        </w:tc>
        <w:tc>
          <w:tcPr>
            <w:tcW w:w="937" w:type="dxa"/>
            <w:shd w:val="clear" w:color="auto" w:fill="D4E3F5"/>
          </w:tcPr>
          <w:p>
            <w:pPr>
              <w:pStyle w:val="TableParagraph"/>
              <w:ind w:left="33" w:right="46"/>
              <w:rPr>
                <w:sz w:val="14"/>
              </w:rPr>
            </w:pPr>
            <w:r>
              <w:rPr>
                <w:color w:val="231F20"/>
                <w:spacing w:val="-5"/>
                <w:w w:val="95"/>
                <w:sz w:val="14"/>
              </w:rPr>
              <w:t>0.5</w:t>
            </w:r>
          </w:p>
        </w:tc>
        <w:tc>
          <w:tcPr>
            <w:tcW w:w="1009" w:type="dxa"/>
            <w:shd w:val="clear" w:color="auto" w:fill="D4E3F5"/>
          </w:tcPr>
          <w:p>
            <w:pPr>
              <w:pStyle w:val="TableParagraph"/>
              <w:ind w:left="75" w:right="36"/>
              <w:rPr>
                <w:sz w:val="14"/>
              </w:rPr>
            </w:pPr>
            <w:r>
              <w:rPr>
                <w:color w:val="231F20"/>
                <w:spacing w:val="-5"/>
                <w:w w:val="95"/>
                <w:sz w:val="14"/>
              </w:rPr>
              <w:t>1.8</w:t>
            </w:r>
          </w:p>
        </w:tc>
      </w:tr>
      <w:tr>
        <w:trPr>
          <w:trHeight w:val="259" w:hRule="atLeast"/>
        </w:trPr>
        <w:tc>
          <w:tcPr>
            <w:tcW w:w="1280" w:type="dxa"/>
          </w:tcPr>
          <w:p>
            <w:pPr>
              <w:pStyle w:val="TableParagraph"/>
              <w:ind w:left="80"/>
              <w:jc w:val="left"/>
              <w:rPr>
                <w:sz w:val="14"/>
              </w:rPr>
            </w:pPr>
            <w:r>
              <w:rPr>
                <w:color w:val="231F20"/>
                <w:spacing w:val="-2"/>
                <w:w w:val="90"/>
                <w:sz w:val="14"/>
              </w:rPr>
              <w:t>Belgium</w:t>
            </w:r>
          </w:p>
        </w:tc>
        <w:tc>
          <w:tcPr>
            <w:tcW w:w="1182" w:type="dxa"/>
          </w:tcPr>
          <w:p>
            <w:pPr>
              <w:pStyle w:val="TableParagraph"/>
              <w:ind w:right="430"/>
              <w:jc w:val="right"/>
              <w:rPr>
                <w:sz w:val="14"/>
              </w:rPr>
            </w:pPr>
            <w:r>
              <w:rPr>
                <w:color w:val="231F20"/>
                <w:spacing w:val="-2"/>
                <w:w w:val="95"/>
                <w:sz w:val="14"/>
              </w:rPr>
              <w:t>26,348</w:t>
            </w:r>
          </w:p>
        </w:tc>
        <w:tc>
          <w:tcPr>
            <w:tcW w:w="852" w:type="dxa"/>
          </w:tcPr>
          <w:p>
            <w:pPr>
              <w:pStyle w:val="TableParagraph"/>
              <w:ind w:left="98" w:right="145"/>
              <w:rPr>
                <w:sz w:val="14"/>
              </w:rPr>
            </w:pPr>
            <w:r>
              <w:rPr>
                <w:color w:val="231F20"/>
                <w:spacing w:val="-5"/>
                <w:w w:val="95"/>
                <w:sz w:val="14"/>
              </w:rPr>
              <w:t>7.7</w:t>
            </w:r>
          </w:p>
        </w:tc>
        <w:tc>
          <w:tcPr>
            <w:tcW w:w="1074" w:type="dxa"/>
          </w:tcPr>
          <w:p>
            <w:pPr>
              <w:pStyle w:val="TableParagraph"/>
              <w:ind w:left="70" w:right="61"/>
              <w:rPr>
                <w:sz w:val="14"/>
              </w:rPr>
            </w:pPr>
            <w:r>
              <w:rPr>
                <w:color w:val="231F20"/>
                <w:spacing w:val="-5"/>
                <w:w w:val="95"/>
                <w:sz w:val="14"/>
              </w:rPr>
              <w:t>6.3</w:t>
            </w:r>
          </w:p>
        </w:tc>
        <w:tc>
          <w:tcPr>
            <w:tcW w:w="1071" w:type="dxa"/>
          </w:tcPr>
          <w:p>
            <w:pPr>
              <w:pStyle w:val="TableParagraph"/>
              <w:ind w:left="380"/>
              <w:jc w:val="left"/>
              <w:rPr>
                <w:sz w:val="14"/>
              </w:rPr>
            </w:pPr>
            <w:r>
              <w:rPr>
                <w:color w:val="231F20"/>
                <w:spacing w:val="-5"/>
                <w:w w:val="95"/>
                <w:sz w:val="14"/>
              </w:rPr>
              <w:t>4.0</w:t>
            </w:r>
          </w:p>
        </w:tc>
        <w:tc>
          <w:tcPr>
            <w:tcW w:w="756" w:type="dxa"/>
          </w:tcPr>
          <w:p>
            <w:pPr>
              <w:pStyle w:val="TableParagraph"/>
              <w:ind w:left="39" w:right="13"/>
              <w:rPr>
                <w:sz w:val="14"/>
              </w:rPr>
            </w:pPr>
            <w:r>
              <w:rPr>
                <w:color w:val="231F20"/>
                <w:spacing w:val="-5"/>
                <w:w w:val="95"/>
                <w:sz w:val="14"/>
              </w:rPr>
              <w:t>9.6</w:t>
            </w:r>
          </w:p>
        </w:tc>
        <w:tc>
          <w:tcPr>
            <w:tcW w:w="241" w:type="dxa"/>
          </w:tcPr>
          <w:p>
            <w:pPr>
              <w:pStyle w:val="TableParagraph"/>
              <w:spacing w:before="0"/>
              <w:jc w:val="left"/>
              <w:rPr>
                <w:rFonts w:ascii="Times New Roman"/>
                <w:sz w:val="12"/>
              </w:rPr>
            </w:pPr>
          </w:p>
        </w:tc>
        <w:tc>
          <w:tcPr>
            <w:tcW w:w="852" w:type="dxa"/>
          </w:tcPr>
          <w:p>
            <w:pPr>
              <w:pStyle w:val="TableParagraph"/>
              <w:ind w:right="372"/>
              <w:jc w:val="right"/>
              <w:rPr>
                <w:sz w:val="14"/>
              </w:rPr>
            </w:pPr>
            <w:r>
              <w:rPr>
                <w:color w:val="231F20"/>
                <w:spacing w:val="-5"/>
                <w:w w:val="95"/>
                <w:sz w:val="14"/>
              </w:rPr>
              <w:t>7.3</w:t>
            </w:r>
          </w:p>
        </w:tc>
        <w:tc>
          <w:tcPr>
            <w:tcW w:w="1074" w:type="dxa"/>
          </w:tcPr>
          <w:p>
            <w:pPr>
              <w:pStyle w:val="TableParagraph"/>
              <w:ind w:left="61" w:right="61"/>
              <w:rPr>
                <w:sz w:val="14"/>
              </w:rPr>
            </w:pPr>
            <w:r>
              <w:rPr>
                <w:color w:val="231F20"/>
                <w:spacing w:val="-5"/>
                <w:w w:val="95"/>
                <w:sz w:val="14"/>
              </w:rPr>
              <w:t>6.0</w:t>
            </w:r>
          </w:p>
        </w:tc>
        <w:tc>
          <w:tcPr>
            <w:tcW w:w="937" w:type="dxa"/>
          </w:tcPr>
          <w:p>
            <w:pPr>
              <w:pStyle w:val="TableParagraph"/>
              <w:ind w:left="33" w:right="46"/>
              <w:rPr>
                <w:sz w:val="14"/>
              </w:rPr>
            </w:pPr>
            <w:r>
              <w:rPr>
                <w:color w:val="231F20"/>
                <w:spacing w:val="-5"/>
                <w:w w:val="95"/>
                <w:sz w:val="14"/>
              </w:rPr>
              <w:t>3.9</w:t>
            </w:r>
          </w:p>
        </w:tc>
        <w:tc>
          <w:tcPr>
            <w:tcW w:w="1009" w:type="dxa"/>
          </w:tcPr>
          <w:p>
            <w:pPr>
              <w:pStyle w:val="TableParagraph"/>
              <w:ind w:left="68" w:right="36"/>
              <w:rPr>
                <w:sz w:val="14"/>
              </w:rPr>
            </w:pPr>
            <w:r>
              <w:rPr>
                <w:color w:val="231F20"/>
                <w:spacing w:val="-5"/>
                <w:w w:val="95"/>
                <w:sz w:val="14"/>
              </w:rPr>
              <w:t>9.0</w:t>
            </w:r>
          </w:p>
        </w:tc>
      </w:tr>
      <w:tr>
        <w:trPr>
          <w:trHeight w:val="259" w:hRule="atLeast"/>
        </w:trPr>
        <w:tc>
          <w:tcPr>
            <w:tcW w:w="1280" w:type="dxa"/>
            <w:shd w:val="clear" w:color="auto" w:fill="D4E3F5"/>
          </w:tcPr>
          <w:p>
            <w:pPr>
              <w:pStyle w:val="TableParagraph"/>
              <w:ind w:left="80"/>
              <w:jc w:val="left"/>
              <w:rPr>
                <w:sz w:val="14"/>
              </w:rPr>
            </w:pPr>
            <w:r>
              <w:rPr>
                <w:color w:val="231F20"/>
                <w:spacing w:val="-2"/>
                <w:w w:val="90"/>
                <w:sz w:val="14"/>
              </w:rPr>
              <w:t>Benin</w:t>
            </w:r>
          </w:p>
        </w:tc>
        <w:tc>
          <w:tcPr>
            <w:tcW w:w="1182" w:type="dxa"/>
            <w:shd w:val="clear" w:color="auto" w:fill="D4E3F5"/>
          </w:tcPr>
          <w:p>
            <w:pPr>
              <w:pStyle w:val="TableParagraph"/>
              <w:ind w:right="433"/>
              <w:jc w:val="right"/>
              <w:rPr>
                <w:sz w:val="14"/>
              </w:rPr>
            </w:pPr>
            <w:r>
              <w:rPr>
                <w:color w:val="231F20"/>
                <w:spacing w:val="-5"/>
                <w:w w:val="95"/>
                <w:sz w:val="14"/>
              </w:rPr>
              <w:t>491</w:t>
            </w:r>
          </w:p>
        </w:tc>
        <w:tc>
          <w:tcPr>
            <w:tcW w:w="852" w:type="dxa"/>
            <w:shd w:val="clear" w:color="auto" w:fill="D4E3F5"/>
          </w:tcPr>
          <w:p>
            <w:pPr>
              <w:pStyle w:val="TableParagraph"/>
              <w:ind w:left="26" w:right="145"/>
              <w:rPr>
                <w:sz w:val="14"/>
              </w:rPr>
            </w:pPr>
            <w:r>
              <w:rPr>
                <w:color w:val="231F20"/>
                <w:spacing w:val="-4"/>
                <w:w w:val="95"/>
                <w:sz w:val="14"/>
              </w:rPr>
              <w:t>16.2</w:t>
            </w:r>
          </w:p>
        </w:tc>
        <w:tc>
          <w:tcPr>
            <w:tcW w:w="1074" w:type="dxa"/>
            <w:shd w:val="clear" w:color="auto" w:fill="D4E3F5"/>
          </w:tcPr>
          <w:p>
            <w:pPr>
              <w:pStyle w:val="TableParagraph"/>
              <w:ind w:left="22" w:right="73"/>
              <w:rPr>
                <w:sz w:val="14"/>
              </w:rPr>
            </w:pPr>
            <w:r>
              <w:rPr>
                <w:color w:val="231F20"/>
                <w:spacing w:val="-4"/>
                <w:w w:val="95"/>
                <w:sz w:val="14"/>
              </w:rPr>
              <w:t>13.8</w:t>
            </w:r>
          </w:p>
        </w:tc>
        <w:tc>
          <w:tcPr>
            <w:tcW w:w="1071" w:type="dxa"/>
            <w:shd w:val="clear" w:color="auto" w:fill="D4E3F5"/>
          </w:tcPr>
          <w:p>
            <w:pPr>
              <w:pStyle w:val="TableParagraph"/>
              <w:ind w:left="379"/>
              <w:jc w:val="left"/>
              <w:rPr>
                <w:sz w:val="14"/>
              </w:rPr>
            </w:pPr>
            <w:r>
              <w:rPr>
                <w:color w:val="231F20"/>
                <w:spacing w:val="-5"/>
                <w:w w:val="95"/>
                <w:sz w:val="14"/>
              </w:rPr>
              <w:t>9.8</w:t>
            </w:r>
          </w:p>
        </w:tc>
        <w:tc>
          <w:tcPr>
            <w:tcW w:w="756" w:type="dxa"/>
            <w:shd w:val="clear" w:color="auto" w:fill="D4E3F5"/>
          </w:tcPr>
          <w:p>
            <w:pPr>
              <w:pStyle w:val="TableParagraph"/>
              <w:ind w:left="235"/>
              <w:jc w:val="left"/>
              <w:rPr>
                <w:sz w:val="14"/>
              </w:rPr>
            </w:pPr>
            <w:r>
              <w:rPr>
                <w:color w:val="231F20"/>
                <w:spacing w:val="-4"/>
                <w:w w:val="95"/>
                <w:sz w:val="14"/>
              </w:rPr>
              <w:t>20.2</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1"/>
              <w:jc w:val="right"/>
              <w:rPr>
                <w:sz w:val="14"/>
              </w:rPr>
            </w:pPr>
            <w:r>
              <w:rPr>
                <w:color w:val="231F20"/>
                <w:spacing w:val="-4"/>
                <w:w w:val="95"/>
                <w:sz w:val="14"/>
              </w:rPr>
              <w:t>16.2</w:t>
            </w:r>
          </w:p>
        </w:tc>
        <w:tc>
          <w:tcPr>
            <w:tcW w:w="1074" w:type="dxa"/>
            <w:shd w:val="clear" w:color="auto" w:fill="D4E3F5"/>
          </w:tcPr>
          <w:p>
            <w:pPr>
              <w:pStyle w:val="TableParagraph"/>
              <w:ind w:left="22" w:right="82"/>
              <w:rPr>
                <w:sz w:val="14"/>
              </w:rPr>
            </w:pPr>
            <w:r>
              <w:rPr>
                <w:color w:val="231F20"/>
                <w:spacing w:val="-4"/>
                <w:w w:val="95"/>
                <w:sz w:val="14"/>
              </w:rPr>
              <w:t>13.8</w:t>
            </w:r>
          </w:p>
        </w:tc>
        <w:tc>
          <w:tcPr>
            <w:tcW w:w="937" w:type="dxa"/>
            <w:shd w:val="clear" w:color="auto" w:fill="D4E3F5"/>
          </w:tcPr>
          <w:p>
            <w:pPr>
              <w:pStyle w:val="TableParagraph"/>
              <w:ind w:left="33" w:right="46"/>
              <w:rPr>
                <w:sz w:val="14"/>
              </w:rPr>
            </w:pPr>
            <w:r>
              <w:rPr>
                <w:color w:val="231F20"/>
                <w:spacing w:val="-5"/>
                <w:w w:val="95"/>
                <w:sz w:val="14"/>
              </w:rPr>
              <w:t>9.8</w:t>
            </w:r>
          </w:p>
        </w:tc>
        <w:tc>
          <w:tcPr>
            <w:tcW w:w="1009" w:type="dxa"/>
            <w:shd w:val="clear" w:color="auto" w:fill="D4E3F5"/>
          </w:tcPr>
          <w:p>
            <w:pPr>
              <w:pStyle w:val="TableParagraph"/>
              <w:ind w:left="45" w:right="76"/>
              <w:rPr>
                <w:sz w:val="14"/>
              </w:rPr>
            </w:pPr>
            <w:r>
              <w:rPr>
                <w:color w:val="231F20"/>
                <w:spacing w:val="-4"/>
                <w:w w:val="95"/>
                <w:sz w:val="14"/>
              </w:rPr>
              <w:t>20.2</w:t>
            </w:r>
          </w:p>
        </w:tc>
      </w:tr>
      <w:tr>
        <w:trPr>
          <w:trHeight w:val="259" w:hRule="atLeast"/>
        </w:trPr>
        <w:tc>
          <w:tcPr>
            <w:tcW w:w="1280" w:type="dxa"/>
          </w:tcPr>
          <w:p>
            <w:pPr>
              <w:pStyle w:val="TableParagraph"/>
              <w:ind w:left="80"/>
              <w:jc w:val="left"/>
              <w:rPr>
                <w:sz w:val="14"/>
              </w:rPr>
            </w:pPr>
            <w:r>
              <w:rPr>
                <w:color w:val="231F20"/>
                <w:spacing w:val="-2"/>
                <w:w w:val="90"/>
                <w:sz w:val="14"/>
              </w:rPr>
              <w:t>Brazil</w:t>
            </w:r>
          </w:p>
        </w:tc>
        <w:tc>
          <w:tcPr>
            <w:tcW w:w="1182" w:type="dxa"/>
          </w:tcPr>
          <w:p>
            <w:pPr>
              <w:pStyle w:val="TableParagraph"/>
              <w:ind w:right="435"/>
              <w:jc w:val="right"/>
              <w:rPr>
                <w:sz w:val="14"/>
              </w:rPr>
            </w:pPr>
            <w:r>
              <w:rPr>
                <w:color w:val="231F20"/>
                <w:spacing w:val="-2"/>
                <w:w w:val="95"/>
                <w:sz w:val="14"/>
              </w:rPr>
              <w:t>44,165</w:t>
            </w:r>
          </w:p>
        </w:tc>
        <w:tc>
          <w:tcPr>
            <w:tcW w:w="852" w:type="dxa"/>
          </w:tcPr>
          <w:p>
            <w:pPr>
              <w:pStyle w:val="TableParagraph"/>
              <w:ind w:left="88" w:right="145"/>
              <w:rPr>
                <w:sz w:val="14"/>
              </w:rPr>
            </w:pPr>
            <w:r>
              <w:rPr>
                <w:color w:val="231F20"/>
                <w:spacing w:val="-5"/>
                <w:w w:val="95"/>
                <w:sz w:val="14"/>
              </w:rPr>
              <w:t>9.6</w:t>
            </w:r>
          </w:p>
        </w:tc>
        <w:tc>
          <w:tcPr>
            <w:tcW w:w="1074" w:type="dxa"/>
          </w:tcPr>
          <w:p>
            <w:pPr>
              <w:pStyle w:val="TableParagraph"/>
              <w:ind w:left="79" w:right="61"/>
              <w:rPr>
                <w:sz w:val="14"/>
              </w:rPr>
            </w:pPr>
            <w:r>
              <w:rPr>
                <w:color w:val="231F20"/>
                <w:spacing w:val="-5"/>
                <w:w w:val="95"/>
                <w:sz w:val="14"/>
              </w:rPr>
              <w:t>7.7</w:t>
            </w:r>
          </w:p>
        </w:tc>
        <w:tc>
          <w:tcPr>
            <w:tcW w:w="1071" w:type="dxa"/>
          </w:tcPr>
          <w:p>
            <w:pPr>
              <w:pStyle w:val="TableParagraph"/>
              <w:ind w:left="379"/>
              <w:jc w:val="left"/>
              <w:rPr>
                <w:sz w:val="14"/>
              </w:rPr>
            </w:pPr>
            <w:r>
              <w:rPr>
                <w:color w:val="231F20"/>
                <w:spacing w:val="-5"/>
                <w:w w:val="95"/>
                <w:sz w:val="14"/>
              </w:rPr>
              <w:t>5.4</w:t>
            </w:r>
          </w:p>
        </w:tc>
        <w:tc>
          <w:tcPr>
            <w:tcW w:w="756" w:type="dxa"/>
          </w:tcPr>
          <w:p>
            <w:pPr>
              <w:pStyle w:val="TableParagraph"/>
              <w:ind w:left="252"/>
              <w:jc w:val="left"/>
              <w:rPr>
                <w:sz w:val="14"/>
              </w:rPr>
            </w:pPr>
            <w:r>
              <w:rPr>
                <w:color w:val="231F20"/>
                <w:spacing w:val="-4"/>
                <w:w w:val="95"/>
                <w:sz w:val="14"/>
              </w:rPr>
              <w:t>11.8</w:t>
            </w:r>
          </w:p>
        </w:tc>
        <w:tc>
          <w:tcPr>
            <w:tcW w:w="241" w:type="dxa"/>
          </w:tcPr>
          <w:p>
            <w:pPr>
              <w:pStyle w:val="TableParagraph"/>
              <w:spacing w:before="0"/>
              <w:jc w:val="left"/>
              <w:rPr>
                <w:rFonts w:ascii="Times New Roman"/>
                <w:sz w:val="12"/>
              </w:rPr>
            </w:pPr>
          </w:p>
        </w:tc>
        <w:tc>
          <w:tcPr>
            <w:tcW w:w="852" w:type="dxa"/>
          </w:tcPr>
          <w:p>
            <w:pPr>
              <w:pStyle w:val="TableParagraph"/>
              <w:ind w:right="372"/>
              <w:jc w:val="right"/>
              <w:rPr>
                <w:sz w:val="14"/>
              </w:rPr>
            </w:pPr>
            <w:r>
              <w:rPr>
                <w:color w:val="231F20"/>
                <w:spacing w:val="-5"/>
                <w:w w:val="95"/>
                <w:sz w:val="14"/>
              </w:rPr>
              <w:t>9.5</w:t>
            </w:r>
          </w:p>
        </w:tc>
        <w:tc>
          <w:tcPr>
            <w:tcW w:w="1074" w:type="dxa"/>
          </w:tcPr>
          <w:p>
            <w:pPr>
              <w:pStyle w:val="TableParagraph"/>
              <w:ind w:left="70" w:right="61"/>
              <w:rPr>
                <w:sz w:val="14"/>
              </w:rPr>
            </w:pPr>
            <w:r>
              <w:rPr>
                <w:color w:val="231F20"/>
                <w:spacing w:val="-5"/>
                <w:w w:val="95"/>
                <w:sz w:val="14"/>
              </w:rPr>
              <w:t>7.7</w:t>
            </w:r>
          </w:p>
        </w:tc>
        <w:tc>
          <w:tcPr>
            <w:tcW w:w="937" w:type="dxa"/>
          </w:tcPr>
          <w:p>
            <w:pPr>
              <w:pStyle w:val="TableParagraph"/>
              <w:ind w:left="30" w:right="46"/>
              <w:rPr>
                <w:sz w:val="14"/>
              </w:rPr>
            </w:pPr>
            <w:r>
              <w:rPr>
                <w:color w:val="231F20"/>
                <w:spacing w:val="-5"/>
                <w:w w:val="95"/>
                <w:sz w:val="14"/>
              </w:rPr>
              <w:t>5.4</w:t>
            </w:r>
          </w:p>
        </w:tc>
        <w:tc>
          <w:tcPr>
            <w:tcW w:w="1009" w:type="dxa"/>
          </w:tcPr>
          <w:p>
            <w:pPr>
              <w:pStyle w:val="TableParagraph"/>
              <w:ind w:left="45" w:right="67"/>
              <w:rPr>
                <w:sz w:val="14"/>
              </w:rPr>
            </w:pPr>
            <w:r>
              <w:rPr>
                <w:color w:val="231F20"/>
                <w:spacing w:val="-4"/>
                <w:w w:val="95"/>
                <w:sz w:val="14"/>
              </w:rPr>
              <w:t>11.7</w:t>
            </w:r>
          </w:p>
        </w:tc>
      </w:tr>
      <w:tr>
        <w:trPr>
          <w:trHeight w:val="259" w:hRule="atLeast"/>
        </w:trPr>
        <w:tc>
          <w:tcPr>
            <w:tcW w:w="1280" w:type="dxa"/>
            <w:shd w:val="clear" w:color="auto" w:fill="D4E3F5"/>
          </w:tcPr>
          <w:p>
            <w:pPr>
              <w:pStyle w:val="TableParagraph"/>
              <w:ind w:left="80"/>
              <w:jc w:val="left"/>
              <w:rPr>
                <w:sz w:val="14"/>
              </w:rPr>
            </w:pPr>
            <w:r>
              <w:rPr>
                <w:color w:val="231F20"/>
                <w:w w:val="75"/>
                <w:sz w:val="14"/>
              </w:rPr>
              <w:t>Brunei</w:t>
            </w:r>
            <w:r>
              <w:rPr>
                <w:color w:val="231F20"/>
                <w:spacing w:val="14"/>
                <w:sz w:val="14"/>
              </w:rPr>
              <w:t> </w:t>
            </w:r>
            <w:r>
              <w:rPr>
                <w:color w:val="231F20"/>
                <w:spacing w:val="-2"/>
                <w:w w:val="90"/>
                <w:sz w:val="14"/>
              </w:rPr>
              <w:t>Darussalam</w:t>
            </w:r>
          </w:p>
        </w:tc>
        <w:tc>
          <w:tcPr>
            <w:tcW w:w="1182" w:type="dxa"/>
            <w:shd w:val="clear" w:color="auto" w:fill="D4E3F5"/>
          </w:tcPr>
          <w:p>
            <w:pPr>
              <w:pStyle w:val="TableParagraph"/>
              <w:ind w:right="430"/>
              <w:jc w:val="right"/>
              <w:rPr>
                <w:sz w:val="14"/>
              </w:rPr>
            </w:pPr>
            <w:r>
              <w:rPr>
                <w:color w:val="231F20"/>
                <w:spacing w:val="-5"/>
                <w:w w:val="95"/>
                <w:sz w:val="14"/>
              </w:rPr>
              <w:t>45</w:t>
            </w:r>
          </w:p>
        </w:tc>
        <w:tc>
          <w:tcPr>
            <w:tcW w:w="852" w:type="dxa"/>
            <w:shd w:val="clear" w:color="auto" w:fill="D4E3F5"/>
          </w:tcPr>
          <w:p>
            <w:pPr>
              <w:pStyle w:val="TableParagraph"/>
              <w:ind w:left="96" w:right="145"/>
              <w:rPr>
                <w:sz w:val="14"/>
              </w:rPr>
            </w:pPr>
            <w:r>
              <w:rPr>
                <w:color w:val="231F20"/>
                <w:spacing w:val="-5"/>
                <w:w w:val="95"/>
                <w:sz w:val="14"/>
              </w:rPr>
              <w:t>1.5</w:t>
            </w:r>
          </w:p>
        </w:tc>
        <w:tc>
          <w:tcPr>
            <w:tcW w:w="1074" w:type="dxa"/>
            <w:shd w:val="clear" w:color="auto" w:fill="D4E3F5"/>
          </w:tcPr>
          <w:p>
            <w:pPr>
              <w:pStyle w:val="TableParagraph"/>
              <w:ind w:left="70" w:right="61"/>
              <w:rPr>
                <w:sz w:val="14"/>
              </w:rPr>
            </w:pPr>
            <w:r>
              <w:rPr>
                <w:color w:val="231F20"/>
                <w:spacing w:val="-5"/>
                <w:w w:val="95"/>
                <w:sz w:val="14"/>
              </w:rPr>
              <w:t>0.9</w:t>
            </w:r>
          </w:p>
        </w:tc>
        <w:tc>
          <w:tcPr>
            <w:tcW w:w="1071" w:type="dxa"/>
            <w:shd w:val="clear" w:color="auto" w:fill="D4E3F5"/>
          </w:tcPr>
          <w:p>
            <w:pPr>
              <w:pStyle w:val="TableParagraph"/>
              <w:ind w:left="379"/>
              <w:jc w:val="left"/>
              <w:rPr>
                <w:sz w:val="14"/>
              </w:rPr>
            </w:pPr>
            <w:r>
              <w:rPr>
                <w:color w:val="231F20"/>
                <w:spacing w:val="-5"/>
                <w:w w:val="95"/>
                <w:sz w:val="14"/>
              </w:rPr>
              <w:t>0.6</w:t>
            </w:r>
          </w:p>
        </w:tc>
        <w:tc>
          <w:tcPr>
            <w:tcW w:w="756" w:type="dxa"/>
            <w:shd w:val="clear" w:color="auto" w:fill="D4E3F5"/>
          </w:tcPr>
          <w:p>
            <w:pPr>
              <w:pStyle w:val="TableParagraph"/>
              <w:ind w:left="39" w:right="11"/>
              <w:rPr>
                <w:sz w:val="14"/>
              </w:rPr>
            </w:pPr>
            <w:r>
              <w:rPr>
                <w:color w:val="231F20"/>
                <w:spacing w:val="-5"/>
                <w:w w:val="95"/>
                <w:sz w:val="14"/>
              </w:rPr>
              <w:t>2.2</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2"/>
              <w:jc w:val="right"/>
              <w:rPr>
                <w:sz w:val="14"/>
              </w:rPr>
            </w:pPr>
            <w:r>
              <w:rPr>
                <w:color w:val="231F20"/>
                <w:spacing w:val="-5"/>
                <w:w w:val="95"/>
                <w:sz w:val="14"/>
              </w:rPr>
              <w:t>1.5</w:t>
            </w:r>
          </w:p>
        </w:tc>
        <w:tc>
          <w:tcPr>
            <w:tcW w:w="1074" w:type="dxa"/>
            <w:shd w:val="clear" w:color="auto" w:fill="D4E3F5"/>
          </w:tcPr>
          <w:p>
            <w:pPr>
              <w:pStyle w:val="TableParagraph"/>
              <w:ind w:left="61" w:right="61"/>
              <w:rPr>
                <w:sz w:val="14"/>
              </w:rPr>
            </w:pPr>
            <w:r>
              <w:rPr>
                <w:color w:val="231F20"/>
                <w:spacing w:val="-5"/>
                <w:w w:val="95"/>
                <w:sz w:val="14"/>
              </w:rPr>
              <w:t>0.9</w:t>
            </w:r>
          </w:p>
        </w:tc>
        <w:tc>
          <w:tcPr>
            <w:tcW w:w="937" w:type="dxa"/>
            <w:shd w:val="clear" w:color="auto" w:fill="D4E3F5"/>
          </w:tcPr>
          <w:p>
            <w:pPr>
              <w:pStyle w:val="TableParagraph"/>
              <w:ind w:left="33" w:right="46"/>
              <w:rPr>
                <w:sz w:val="14"/>
              </w:rPr>
            </w:pPr>
            <w:r>
              <w:rPr>
                <w:color w:val="231F20"/>
                <w:spacing w:val="-5"/>
                <w:w w:val="95"/>
                <w:sz w:val="14"/>
              </w:rPr>
              <w:t>0.6</w:t>
            </w:r>
          </w:p>
        </w:tc>
        <w:tc>
          <w:tcPr>
            <w:tcW w:w="1009" w:type="dxa"/>
            <w:shd w:val="clear" w:color="auto" w:fill="D4E3F5"/>
          </w:tcPr>
          <w:p>
            <w:pPr>
              <w:pStyle w:val="TableParagraph"/>
              <w:ind w:left="69" w:right="36"/>
              <w:rPr>
                <w:sz w:val="14"/>
              </w:rPr>
            </w:pPr>
            <w:r>
              <w:rPr>
                <w:color w:val="231F20"/>
                <w:spacing w:val="-5"/>
                <w:w w:val="95"/>
                <w:sz w:val="14"/>
              </w:rPr>
              <w:t>2.2</w:t>
            </w:r>
          </w:p>
        </w:tc>
      </w:tr>
      <w:tr>
        <w:trPr>
          <w:trHeight w:val="259" w:hRule="atLeast"/>
        </w:trPr>
        <w:tc>
          <w:tcPr>
            <w:tcW w:w="1280" w:type="dxa"/>
          </w:tcPr>
          <w:p>
            <w:pPr>
              <w:pStyle w:val="TableParagraph"/>
              <w:ind w:left="80"/>
              <w:jc w:val="left"/>
              <w:rPr>
                <w:sz w:val="14"/>
              </w:rPr>
            </w:pPr>
            <w:r>
              <w:rPr>
                <w:color w:val="231F20"/>
                <w:spacing w:val="-2"/>
                <w:w w:val="90"/>
                <w:sz w:val="14"/>
              </w:rPr>
              <w:t>Bulgaria</w:t>
            </w:r>
          </w:p>
        </w:tc>
        <w:tc>
          <w:tcPr>
            <w:tcW w:w="1182" w:type="dxa"/>
          </w:tcPr>
          <w:p>
            <w:pPr>
              <w:pStyle w:val="TableParagraph"/>
              <w:ind w:right="436"/>
              <w:jc w:val="right"/>
              <w:rPr>
                <w:sz w:val="14"/>
              </w:rPr>
            </w:pPr>
            <w:r>
              <w:rPr>
                <w:color w:val="231F20"/>
                <w:spacing w:val="-2"/>
                <w:w w:val="95"/>
                <w:sz w:val="14"/>
              </w:rPr>
              <w:t>1,508</w:t>
            </w:r>
          </w:p>
        </w:tc>
        <w:tc>
          <w:tcPr>
            <w:tcW w:w="852" w:type="dxa"/>
          </w:tcPr>
          <w:p>
            <w:pPr>
              <w:pStyle w:val="TableParagraph"/>
              <w:ind w:left="86" w:right="145"/>
              <w:rPr>
                <w:sz w:val="14"/>
              </w:rPr>
            </w:pPr>
            <w:r>
              <w:rPr>
                <w:color w:val="231F20"/>
                <w:spacing w:val="-5"/>
                <w:w w:val="95"/>
                <w:sz w:val="14"/>
              </w:rPr>
              <w:t>8.4</w:t>
            </w:r>
          </w:p>
        </w:tc>
        <w:tc>
          <w:tcPr>
            <w:tcW w:w="1074" w:type="dxa"/>
          </w:tcPr>
          <w:p>
            <w:pPr>
              <w:pStyle w:val="TableParagraph"/>
              <w:ind w:left="79" w:right="61"/>
              <w:rPr>
                <w:sz w:val="14"/>
              </w:rPr>
            </w:pPr>
            <w:r>
              <w:rPr>
                <w:color w:val="231F20"/>
                <w:spacing w:val="-5"/>
                <w:w w:val="95"/>
                <w:sz w:val="14"/>
              </w:rPr>
              <w:t>7.7</w:t>
            </w:r>
          </w:p>
        </w:tc>
        <w:tc>
          <w:tcPr>
            <w:tcW w:w="1071" w:type="dxa"/>
          </w:tcPr>
          <w:p>
            <w:pPr>
              <w:pStyle w:val="TableParagraph"/>
              <w:ind w:left="379"/>
              <w:jc w:val="left"/>
              <w:rPr>
                <w:sz w:val="14"/>
              </w:rPr>
            </w:pPr>
            <w:r>
              <w:rPr>
                <w:color w:val="231F20"/>
                <w:spacing w:val="-5"/>
                <w:w w:val="95"/>
                <w:sz w:val="14"/>
              </w:rPr>
              <w:t>5.9</w:t>
            </w:r>
          </w:p>
        </w:tc>
        <w:tc>
          <w:tcPr>
            <w:tcW w:w="756" w:type="dxa"/>
          </w:tcPr>
          <w:p>
            <w:pPr>
              <w:pStyle w:val="TableParagraph"/>
              <w:ind w:left="242"/>
              <w:jc w:val="left"/>
              <w:rPr>
                <w:sz w:val="14"/>
              </w:rPr>
            </w:pPr>
            <w:r>
              <w:rPr>
                <w:color w:val="231F20"/>
                <w:spacing w:val="-4"/>
                <w:w w:val="95"/>
                <w:sz w:val="14"/>
              </w:rPr>
              <w:t>10.1</w:t>
            </w:r>
          </w:p>
        </w:tc>
        <w:tc>
          <w:tcPr>
            <w:tcW w:w="241" w:type="dxa"/>
          </w:tcPr>
          <w:p>
            <w:pPr>
              <w:pStyle w:val="TableParagraph"/>
              <w:spacing w:before="0"/>
              <w:jc w:val="left"/>
              <w:rPr>
                <w:rFonts w:ascii="Times New Roman"/>
                <w:sz w:val="12"/>
              </w:rPr>
            </w:pPr>
          </w:p>
        </w:tc>
        <w:tc>
          <w:tcPr>
            <w:tcW w:w="852" w:type="dxa"/>
          </w:tcPr>
          <w:p>
            <w:pPr>
              <w:pStyle w:val="TableParagraph"/>
              <w:ind w:right="372"/>
              <w:jc w:val="right"/>
              <w:rPr>
                <w:sz w:val="14"/>
              </w:rPr>
            </w:pPr>
            <w:r>
              <w:rPr>
                <w:color w:val="231F20"/>
                <w:spacing w:val="-5"/>
                <w:w w:val="95"/>
                <w:sz w:val="14"/>
              </w:rPr>
              <w:t>8.0</w:t>
            </w:r>
          </w:p>
        </w:tc>
        <w:tc>
          <w:tcPr>
            <w:tcW w:w="1074" w:type="dxa"/>
          </w:tcPr>
          <w:p>
            <w:pPr>
              <w:pStyle w:val="TableParagraph"/>
              <w:ind w:left="74" w:right="61"/>
              <w:rPr>
                <w:sz w:val="14"/>
              </w:rPr>
            </w:pPr>
            <w:r>
              <w:rPr>
                <w:color w:val="231F20"/>
                <w:spacing w:val="-5"/>
                <w:w w:val="95"/>
                <w:sz w:val="14"/>
              </w:rPr>
              <w:t>7.3</w:t>
            </w:r>
          </w:p>
        </w:tc>
        <w:tc>
          <w:tcPr>
            <w:tcW w:w="937" w:type="dxa"/>
          </w:tcPr>
          <w:p>
            <w:pPr>
              <w:pStyle w:val="TableParagraph"/>
              <w:ind w:left="27" w:right="46"/>
              <w:rPr>
                <w:sz w:val="14"/>
              </w:rPr>
            </w:pPr>
            <w:r>
              <w:rPr>
                <w:color w:val="231F20"/>
                <w:spacing w:val="-5"/>
                <w:w w:val="95"/>
                <w:sz w:val="14"/>
              </w:rPr>
              <w:t>5.7</w:t>
            </w:r>
          </w:p>
        </w:tc>
        <w:tc>
          <w:tcPr>
            <w:tcW w:w="1009" w:type="dxa"/>
          </w:tcPr>
          <w:p>
            <w:pPr>
              <w:pStyle w:val="TableParagraph"/>
              <w:ind w:left="64" w:right="36"/>
              <w:rPr>
                <w:sz w:val="14"/>
              </w:rPr>
            </w:pPr>
            <w:r>
              <w:rPr>
                <w:color w:val="231F20"/>
                <w:spacing w:val="-5"/>
                <w:w w:val="95"/>
                <w:sz w:val="14"/>
              </w:rPr>
              <w:t>9.7</w:t>
            </w:r>
          </w:p>
        </w:tc>
      </w:tr>
      <w:tr>
        <w:trPr>
          <w:trHeight w:val="259" w:hRule="atLeast"/>
        </w:trPr>
        <w:tc>
          <w:tcPr>
            <w:tcW w:w="1280" w:type="dxa"/>
            <w:shd w:val="clear" w:color="auto" w:fill="D4E3F5"/>
          </w:tcPr>
          <w:p>
            <w:pPr>
              <w:pStyle w:val="TableParagraph"/>
              <w:ind w:left="80"/>
              <w:jc w:val="left"/>
              <w:rPr>
                <w:sz w:val="14"/>
              </w:rPr>
            </w:pPr>
            <w:r>
              <w:rPr>
                <w:color w:val="231F20"/>
                <w:w w:val="75"/>
                <w:sz w:val="14"/>
              </w:rPr>
              <w:t>Burkina</w:t>
            </w:r>
            <w:r>
              <w:rPr>
                <w:color w:val="231F20"/>
                <w:spacing w:val="20"/>
                <w:sz w:val="14"/>
              </w:rPr>
              <w:t> </w:t>
            </w:r>
            <w:r>
              <w:rPr>
                <w:color w:val="231F20"/>
                <w:spacing w:val="-4"/>
                <w:w w:val="85"/>
                <w:sz w:val="14"/>
              </w:rPr>
              <w:t>Faso</w:t>
            </w:r>
          </w:p>
        </w:tc>
        <w:tc>
          <w:tcPr>
            <w:tcW w:w="1182" w:type="dxa"/>
            <w:shd w:val="clear" w:color="auto" w:fill="D4E3F5"/>
          </w:tcPr>
          <w:p>
            <w:pPr>
              <w:pStyle w:val="TableParagraph"/>
              <w:ind w:right="437"/>
              <w:jc w:val="right"/>
              <w:rPr>
                <w:sz w:val="14"/>
              </w:rPr>
            </w:pPr>
            <w:r>
              <w:rPr>
                <w:color w:val="231F20"/>
                <w:spacing w:val="-10"/>
                <w:w w:val="95"/>
                <w:sz w:val="14"/>
              </w:rPr>
              <w:t>3</w:t>
            </w:r>
          </w:p>
        </w:tc>
        <w:tc>
          <w:tcPr>
            <w:tcW w:w="852" w:type="dxa"/>
            <w:shd w:val="clear" w:color="auto" w:fill="D4E3F5"/>
          </w:tcPr>
          <w:p>
            <w:pPr>
              <w:pStyle w:val="TableParagraph"/>
              <w:ind w:left="28" w:right="145"/>
              <w:rPr>
                <w:sz w:val="14"/>
              </w:rPr>
            </w:pPr>
            <w:r>
              <w:rPr>
                <w:color w:val="231F20"/>
                <w:spacing w:val="-4"/>
                <w:w w:val="95"/>
                <w:sz w:val="14"/>
              </w:rPr>
              <w:t>14.2</w:t>
            </w:r>
          </w:p>
        </w:tc>
        <w:tc>
          <w:tcPr>
            <w:tcW w:w="1074" w:type="dxa"/>
            <w:shd w:val="clear" w:color="auto" w:fill="D4E3F5"/>
          </w:tcPr>
          <w:p>
            <w:pPr>
              <w:pStyle w:val="TableParagraph"/>
              <w:ind w:left="22" w:right="73"/>
              <w:rPr>
                <w:sz w:val="14"/>
              </w:rPr>
            </w:pPr>
            <w:r>
              <w:rPr>
                <w:color w:val="231F20"/>
                <w:spacing w:val="-4"/>
                <w:w w:val="95"/>
                <w:sz w:val="14"/>
              </w:rPr>
              <w:t>15.3</w:t>
            </w:r>
          </w:p>
        </w:tc>
        <w:tc>
          <w:tcPr>
            <w:tcW w:w="1071" w:type="dxa"/>
            <w:shd w:val="clear" w:color="auto" w:fill="D4E3F5"/>
          </w:tcPr>
          <w:p>
            <w:pPr>
              <w:pStyle w:val="TableParagraph"/>
              <w:ind w:left="378"/>
              <w:jc w:val="left"/>
              <w:rPr>
                <w:sz w:val="14"/>
              </w:rPr>
            </w:pPr>
            <w:r>
              <w:rPr>
                <w:color w:val="231F20"/>
                <w:spacing w:val="-5"/>
                <w:w w:val="95"/>
                <w:sz w:val="14"/>
              </w:rPr>
              <w:t>8.6</w:t>
            </w:r>
          </w:p>
        </w:tc>
        <w:tc>
          <w:tcPr>
            <w:tcW w:w="756" w:type="dxa"/>
            <w:shd w:val="clear" w:color="auto" w:fill="D4E3F5"/>
          </w:tcPr>
          <w:p>
            <w:pPr>
              <w:pStyle w:val="TableParagraph"/>
              <w:ind w:left="235"/>
              <w:jc w:val="left"/>
              <w:rPr>
                <w:sz w:val="14"/>
              </w:rPr>
            </w:pPr>
            <w:r>
              <w:rPr>
                <w:color w:val="231F20"/>
                <w:spacing w:val="-4"/>
                <w:w w:val="95"/>
                <w:sz w:val="14"/>
              </w:rPr>
              <w:t>20.4</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2"/>
              <w:jc w:val="right"/>
              <w:rPr>
                <w:sz w:val="14"/>
              </w:rPr>
            </w:pPr>
            <w:r>
              <w:rPr>
                <w:color w:val="231F20"/>
                <w:spacing w:val="-4"/>
                <w:w w:val="95"/>
                <w:sz w:val="14"/>
              </w:rPr>
              <w:t>12.9</w:t>
            </w:r>
          </w:p>
        </w:tc>
        <w:tc>
          <w:tcPr>
            <w:tcW w:w="1074" w:type="dxa"/>
            <w:shd w:val="clear" w:color="auto" w:fill="D4E3F5"/>
          </w:tcPr>
          <w:p>
            <w:pPr>
              <w:pStyle w:val="TableParagraph"/>
              <w:ind w:left="22" w:right="80"/>
              <w:rPr>
                <w:sz w:val="14"/>
              </w:rPr>
            </w:pPr>
            <w:r>
              <w:rPr>
                <w:color w:val="231F20"/>
                <w:spacing w:val="-4"/>
                <w:w w:val="95"/>
                <w:sz w:val="14"/>
              </w:rPr>
              <w:t>13.3</w:t>
            </w:r>
          </w:p>
        </w:tc>
        <w:tc>
          <w:tcPr>
            <w:tcW w:w="937" w:type="dxa"/>
            <w:shd w:val="clear" w:color="auto" w:fill="D4E3F5"/>
          </w:tcPr>
          <w:p>
            <w:pPr>
              <w:pStyle w:val="TableParagraph"/>
              <w:ind w:left="32" w:right="46"/>
              <w:rPr>
                <w:sz w:val="14"/>
              </w:rPr>
            </w:pPr>
            <w:r>
              <w:rPr>
                <w:color w:val="231F20"/>
                <w:spacing w:val="-5"/>
                <w:w w:val="95"/>
                <w:sz w:val="14"/>
              </w:rPr>
              <w:t>6.6</w:t>
            </w:r>
          </w:p>
        </w:tc>
        <w:tc>
          <w:tcPr>
            <w:tcW w:w="1009" w:type="dxa"/>
            <w:shd w:val="clear" w:color="auto" w:fill="D4E3F5"/>
          </w:tcPr>
          <w:p>
            <w:pPr>
              <w:pStyle w:val="TableParagraph"/>
              <w:ind w:left="45" w:right="74"/>
              <w:rPr>
                <w:sz w:val="14"/>
              </w:rPr>
            </w:pPr>
            <w:r>
              <w:rPr>
                <w:color w:val="231F20"/>
                <w:spacing w:val="-4"/>
                <w:w w:val="95"/>
                <w:sz w:val="14"/>
              </w:rPr>
              <w:t>19.4</w:t>
            </w:r>
          </w:p>
        </w:tc>
      </w:tr>
      <w:tr>
        <w:trPr>
          <w:trHeight w:val="259" w:hRule="atLeast"/>
        </w:trPr>
        <w:tc>
          <w:tcPr>
            <w:tcW w:w="1280" w:type="dxa"/>
          </w:tcPr>
          <w:p>
            <w:pPr>
              <w:pStyle w:val="TableParagraph"/>
              <w:ind w:left="80"/>
              <w:jc w:val="left"/>
              <w:rPr>
                <w:sz w:val="14"/>
              </w:rPr>
            </w:pPr>
            <w:r>
              <w:rPr>
                <w:color w:val="231F20"/>
                <w:w w:val="75"/>
                <w:sz w:val="14"/>
              </w:rPr>
              <w:t>Cabo</w:t>
            </w:r>
            <w:r>
              <w:rPr>
                <w:color w:val="231F20"/>
                <w:spacing w:val="1"/>
                <w:sz w:val="14"/>
              </w:rPr>
              <w:t> </w:t>
            </w:r>
            <w:r>
              <w:rPr>
                <w:color w:val="231F20"/>
                <w:spacing w:val="-2"/>
                <w:w w:val="85"/>
                <w:sz w:val="14"/>
              </w:rPr>
              <w:t>Verde</w:t>
            </w:r>
          </w:p>
        </w:tc>
        <w:tc>
          <w:tcPr>
            <w:tcW w:w="1182" w:type="dxa"/>
          </w:tcPr>
          <w:p>
            <w:pPr>
              <w:pStyle w:val="TableParagraph"/>
              <w:ind w:right="431"/>
              <w:jc w:val="right"/>
              <w:rPr>
                <w:sz w:val="14"/>
              </w:rPr>
            </w:pPr>
            <w:r>
              <w:rPr>
                <w:color w:val="231F20"/>
                <w:spacing w:val="-5"/>
                <w:w w:val="95"/>
                <w:sz w:val="14"/>
              </w:rPr>
              <w:t>80</w:t>
            </w:r>
          </w:p>
        </w:tc>
        <w:tc>
          <w:tcPr>
            <w:tcW w:w="852" w:type="dxa"/>
          </w:tcPr>
          <w:p>
            <w:pPr>
              <w:pStyle w:val="TableParagraph"/>
              <w:ind w:left="26" w:right="145"/>
              <w:rPr>
                <w:sz w:val="14"/>
              </w:rPr>
            </w:pPr>
            <w:r>
              <w:rPr>
                <w:color w:val="231F20"/>
                <w:spacing w:val="-4"/>
                <w:w w:val="95"/>
                <w:sz w:val="14"/>
              </w:rPr>
              <w:t>18.2</w:t>
            </w:r>
          </w:p>
        </w:tc>
        <w:tc>
          <w:tcPr>
            <w:tcW w:w="1074" w:type="dxa"/>
          </w:tcPr>
          <w:p>
            <w:pPr>
              <w:pStyle w:val="TableParagraph"/>
              <w:ind w:left="22" w:right="71"/>
              <w:rPr>
                <w:sz w:val="14"/>
              </w:rPr>
            </w:pPr>
            <w:r>
              <w:rPr>
                <w:color w:val="231F20"/>
                <w:spacing w:val="-4"/>
                <w:w w:val="95"/>
                <w:sz w:val="14"/>
              </w:rPr>
              <w:t>14.3</w:t>
            </w:r>
          </w:p>
        </w:tc>
        <w:tc>
          <w:tcPr>
            <w:tcW w:w="1071" w:type="dxa"/>
          </w:tcPr>
          <w:p>
            <w:pPr>
              <w:pStyle w:val="TableParagraph"/>
              <w:ind w:left="378"/>
              <w:jc w:val="left"/>
              <w:rPr>
                <w:sz w:val="14"/>
              </w:rPr>
            </w:pPr>
            <w:r>
              <w:rPr>
                <w:color w:val="231F20"/>
                <w:spacing w:val="-5"/>
                <w:w w:val="95"/>
                <w:sz w:val="14"/>
              </w:rPr>
              <w:t>6.4</w:t>
            </w:r>
          </w:p>
        </w:tc>
        <w:tc>
          <w:tcPr>
            <w:tcW w:w="756" w:type="dxa"/>
          </w:tcPr>
          <w:p>
            <w:pPr>
              <w:pStyle w:val="TableParagraph"/>
              <w:ind w:left="235"/>
              <w:jc w:val="left"/>
              <w:rPr>
                <w:sz w:val="14"/>
              </w:rPr>
            </w:pPr>
            <w:r>
              <w:rPr>
                <w:color w:val="231F20"/>
                <w:spacing w:val="-4"/>
                <w:w w:val="95"/>
                <w:sz w:val="14"/>
              </w:rPr>
              <w:t>25.5</w:t>
            </w:r>
          </w:p>
        </w:tc>
        <w:tc>
          <w:tcPr>
            <w:tcW w:w="241" w:type="dxa"/>
          </w:tcPr>
          <w:p>
            <w:pPr>
              <w:pStyle w:val="TableParagraph"/>
              <w:spacing w:before="0"/>
              <w:jc w:val="left"/>
              <w:rPr>
                <w:rFonts w:ascii="Times New Roman"/>
                <w:sz w:val="12"/>
              </w:rPr>
            </w:pPr>
          </w:p>
        </w:tc>
        <w:tc>
          <w:tcPr>
            <w:tcW w:w="852" w:type="dxa"/>
          </w:tcPr>
          <w:p>
            <w:pPr>
              <w:pStyle w:val="TableParagraph"/>
              <w:ind w:right="371"/>
              <w:jc w:val="right"/>
              <w:rPr>
                <w:sz w:val="14"/>
              </w:rPr>
            </w:pPr>
            <w:r>
              <w:rPr>
                <w:color w:val="231F20"/>
                <w:spacing w:val="-4"/>
                <w:w w:val="95"/>
                <w:sz w:val="14"/>
              </w:rPr>
              <w:t>18.2</w:t>
            </w:r>
          </w:p>
        </w:tc>
        <w:tc>
          <w:tcPr>
            <w:tcW w:w="1074" w:type="dxa"/>
          </w:tcPr>
          <w:p>
            <w:pPr>
              <w:pStyle w:val="TableParagraph"/>
              <w:ind w:left="22" w:right="81"/>
              <w:rPr>
                <w:sz w:val="14"/>
              </w:rPr>
            </w:pPr>
            <w:r>
              <w:rPr>
                <w:color w:val="231F20"/>
                <w:spacing w:val="-4"/>
                <w:w w:val="95"/>
                <w:sz w:val="14"/>
              </w:rPr>
              <w:t>14.3</w:t>
            </w:r>
          </w:p>
        </w:tc>
        <w:tc>
          <w:tcPr>
            <w:tcW w:w="937" w:type="dxa"/>
          </w:tcPr>
          <w:p>
            <w:pPr>
              <w:pStyle w:val="TableParagraph"/>
              <w:ind w:left="30" w:right="46"/>
              <w:rPr>
                <w:sz w:val="14"/>
              </w:rPr>
            </w:pPr>
            <w:r>
              <w:rPr>
                <w:color w:val="231F20"/>
                <w:spacing w:val="-5"/>
                <w:w w:val="95"/>
                <w:sz w:val="14"/>
              </w:rPr>
              <w:t>6.4</w:t>
            </w:r>
          </w:p>
        </w:tc>
        <w:tc>
          <w:tcPr>
            <w:tcW w:w="1009" w:type="dxa"/>
          </w:tcPr>
          <w:p>
            <w:pPr>
              <w:pStyle w:val="TableParagraph"/>
              <w:ind w:left="45" w:right="80"/>
              <w:rPr>
                <w:sz w:val="14"/>
              </w:rPr>
            </w:pPr>
            <w:r>
              <w:rPr>
                <w:color w:val="231F20"/>
                <w:spacing w:val="-4"/>
                <w:w w:val="95"/>
                <w:sz w:val="14"/>
              </w:rPr>
              <w:t>25.5</w:t>
            </w:r>
          </w:p>
        </w:tc>
      </w:tr>
      <w:tr>
        <w:trPr>
          <w:trHeight w:val="259" w:hRule="atLeast"/>
        </w:trPr>
        <w:tc>
          <w:tcPr>
            <w:tcW w:w="1280" w:type="dxa"/>
            <w:shd w:val="clear" w:color="auto" w:fill="D4E3F5"/>
          </w:tcPr>
          <w:p>
            <w:pPr>
              <w:pStyle w:val="TableParagraph"/>
              <w:ind w:left="80"/>
              <w:jc w:val="left"/>
              <w:rPr>
                <w:sz w:val="14"/>
              </w:rPr>
            </w:pPr>
            <w:r>
              <w:rPr>
                <w:color w:val="231F20"/>
                <w:spacing w:val="-2"/>
                <w:w w:val="85"/>
                <w:sz w:val="14"/>
              </w:rPr>
              <w:t>Cambodia</w:t>
            </w:r>
          </w:p>
        </w:tc>
        <w:tc>
          <w:tcPr>
            <w:tcW w:w="1182" w:type="dxa"/>
            <w:shd w:val="clear" w:color="auto" w:fill="D4E3F5"/>
          </w:tcPr>
          <w:p>
            <w:pPr>
              <w:pStyle w:val="TableParagraph"/>
              <w:ind w:right="436"/>
              <w:jc w:val="right"/>
              <w:rPr>
                <w:sz w:val="14"/>
              </w:rPr>
            </w:pPr>
            <w:r>
              <w:rPr>
                <w:color w:val="231F20"/>
                <w:spacing w:val="-2"/>
                <w:w w:val="95"/>
                <w:sz w:val="14"/>
              </w:rPr>
              <w:t>10,461</w:t>
            </w:r>
          </w:p>
        </w:tc>
        <w:tc>
          <w:tcPr>
            <w:tcW w:w="852" w:type="dxa"/>
            <w:shd w:val="clear" w:color="auto" w:fill="D4E3F5"/>
          </w:tcPr>
          <w:p>
            <w:pPr>
              <w:pStyle w:val="TableParagraph"/>
              <w:ind w:left="86" w:right="145"/>
              <w:rPr>
                <w:sz w:val="14"/>
              </w:rPr>
            </w:pPr>
            <w:r>
              <w:rPr>
                <w:color w:val="231F20"/>
                <w:spacing w:val="-5"/>
                <w:w w:val="95"/>
                <w:sz w:val="14"/>
              </w:rPr>
              <w:t>2.4</w:t>
            </w:r>
          </w:p>
        </w:tc>
        <w:tc>
          <w:tcPr>
            <w:tcW w:w="1074" w:type="dxa"/>
            <w:shd w:val="clear" w:color="auto" w:fill="D4E3F5"/>
          </w:tcPr>
          <w:p>
            <w:pPr>
              <w:pStyle w:val="TableParagraph"/>
              <w:ind w:left="75" w:right="61"/>
              <w:rPr>
                <w:sz w:val="14"/>
              </w:rPr>
            </w:pPr>
            <w:r>
              <w:rPr>
                <w:color w:val="231F20"/>
                <w:spacing w:val="-5"/>
                <w:w w:val="95"/>
                <w:sz w:val="14"/>
              </w:rPr>
              <w:t>1.4</w:t>
            </w:r>
          </w:p>
        </w:tc>
        <w:tc>
          <w:tcPr>
            <w:tcW w:w="1071" w:type="dxa"/>
            <w:shd w:val="clear" w:color="auto" w:fill="D4E3F5"/>
          </w:tcPr>
          <w:p>
            <w:pPr>
              <w:pStyle w:val="TableParagraph"/>
              <w:ind w:left="386"/>
              <w:jc w:val="left"/>
              <w:rPr>
                <w:sz w:val="14"/>
              </w:rPr>
            </w:pPr>
            <w:r>
              <w:rPr>
                <w:color w:val="231F20"/>
                <w:spacing w:val="-5"/>
                <w:w w:val="95"/>
                <w:sz w:val="14"/>
              </w:rPr>
              <w:t>1.0</w:t>
            </w:r>
          </w:p>
        </w:tc>
        <w:tc>
          <w:tcPr>
            <w:tcW w:w="756" w:type="dxa"/>
            <w:shd w:val="clear" w:color="auto" w:fill="D4E3F5"/>
          </w:tcPr>
          <w:p>
            <w:pPr>
              <w:pStyle w:val="TableParagraph"/>
              <w:ind w:left="39" w:right="13"/>
              <w:rPr>
                <w:sz w:val="14"/>
              </w:rPr>
            </w:pPr>
            <w:r>
              <w:rPr>
                <w:color w:val="231F20"/>
                <w:spacing w:val="-5"/>
                <w:w w:val="95"/>
                <w:sz w:val="14"/>
              </w:rPr>
              <w:t>3.0</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4"/>
              <w:jc w:val="right"/>
              <w:rPr>
                <w:sz w:val="14"/>
              </w:rPr>
            </w:pPr>
            <w:r>
              <w:rPr>
                <w:color w:val="231F20"/>
                <w:spacing w:val="-5"/>
                <w:w w:val="95"/>
                <w:sz w:val="14"/>
              </w:rPr>
              <w:t>2.4</w:t>
            </w:r>
          </w:p>
        </w:tc>
        <w:tc>
          <w:tcPr>
            <w:tcW w:w="1074" w:type="dxa"/>
            <w:shd w:val="clear" w:color="auto" w:fill="D4E3F5"/>
          </w:tcPr>
          <w:p>
            <w:pPr>
              <w:pStyle w:val="TableParagraph"/>
              <w:ind w:left="66" w:right="61"/>
              <w:rPr>
                <w:sz w:val="14"/>
              </w:rPr>
            </w:pPr>
            <w:r>
              <w:rPr>
                <w:color w:val="231F20"/>
                <w:spacing w:val="-5"/>
                <w:w w:val="95"/>
                <w:sz w:val="14"/>
              </w:rPr>
              <w:t>1.4</w:t>
            </w:r>
          </w:p>
        </w:tc>
        <w:tc>
          <w:tcPr>
            <w:tcW w:w="937" w:type="dxa"/>
            <w:shd w:val="clear" w:color="auto" w:fill="D4E3F5"/>
          </w:tcPr>
          <w:p>
            <w:pPr>
              <w:pStyle w:val="TableParagraph"/>
              <w:ind w:left="38" w:right="46"/>
              <w:rPr>
                <w:sz w:val="14"/>
              </w:rPr>
            </w:pPr>
            <w:r>
              <w:rPr>
                <w:color w:val="231F20"/>
                <w:spacing w:val="-5"/>
                <w:w w:val="95"/>
                <w:sz w:val="14"/>
              </w:rPr>
              <w:t>1.0</w:t>
            </w:r>
          </w:p>
        </w:tc>
        <w:tc>
          <w:tcPr>
            <w:tcW w:w="1009" w:type="dxa"/>
            <w:shd w:val="clear" w:color="auto" w:fill="D4E3F5"/>
          </w:tcPr>
          <w:p>
            <w:pPr>
              <w:pStyle w:val="TableParagraph"/>
              <w:ind w:left="67" w:right="36"/>
              <w:rPr>
                <w:sz w:val="14"/>
              </w:rPr>
            </w:pPr>
            <w:r>
              <w:rPr>
                <w:color w:val="231F20"/>
                <w:spacing w:val="-5"/>
                <w:w w:val="95"/>
                <w:sz w:val="14"/>
              </w:rPr>
              <w:t>3.0</w:t>
            </w:r>
          </w:p>
        </w:tc>
      </w:tr>
      <w:tr>
        <w:trPr>
          <w:trHeight w:val="259" w:hRule="atLeast"/>
        </w:trPr>
        <w:tc>
          <w:tcPr>
            <w:tcW w:w="1280" w:type="dxa"/>
          </w:tcPr>
          <w:p>
            <w:pPr>
              <w:pStyle w:val="TableParagraph"/>
              <w:ind w:left="80"/>
              <w:jc w:val="left"/>
              <w:rPr>
                <w:sz w:val="14"/>
              </w:rPr>
            </w:pPr>
            <w:r>
              <w:rPr>
                <w:color w:val="231F20"/>
                <w:spacing w:val="-2"/>
                <w:w w:val="85"/>
                <w:sz w:val="14"/>
              </w:rPr>
              <w:t>Cameroon</w:t>
            </w:r>
          </w:p>
        </w:tc>
        <w:tc>
          <w:tcPr>
            <w:tcW w:w="1182" w:type="dxa"/>
          </w:tcPr>
          <w:p>
            <w:pPr>
              <w:pStyle w:val="TableParagraph"/>
              <w:ind w:right="436"/>
              <w:jc w:val="right"/>
              <w:rPr>
                <w:sz w:val="14"/>
              </w:rPr>
            </w:pPr>
            <w:r>
              <w:rPr>
                <w:color w:val="231F20"/>
                <w:spacing w:val="-2"/>
                <w:w w:val="95"/>
                <w:sz w:val="14"/>
              </w:rPr>
              <w:t>1,301</w:t>
            </w:r>
          </w:p>
        </w:tc>
        <w:tc>
          <w:tcPr>
            <w:tcW w:w="852" w:type="dxa"/>
          </w:tcPr>
          <w:p>
            <w:pPr>
              <w:pStyle w:val="TableParagraph"/>
              <w:ind w:left="83" w:right="145"/>
              <w:rPr>
                <w:sz w:val="14"/>
              </w:rPr>
            </w:pPr>
            <w:r>
              <w:rPr>
                <w:color w:val="231F20"/>
                <w:spacing w:val="-5"/>
                <w:w w:val="95"/>
                <w:sz w:val="14"/>
              </w:rPr>
              <w:t>6.7</w:t>
            </w:r>
          </w:p>
        </w:tc>
        <w:tc>
          <w:tcPr>
            <w:tcW w:w="1074" w:type="dxa"/>
          </w:tcPr>
          <w:p>
            <w:pPr>
              <w:pStyle w:val="TableParagraph"/>
              <w:ind w:left="68" w:right="61"/>
              <w:rPr>
                <w:sz w:val="14"/>
              </w:rPr>
            </w:pPr>
            <w:r>
              <w:rPr>
                <w:color w:val="231F20"/>
                <w:spacing w:val="-5"/>
                <w:w w:val="95"/>
                <w:sz w:val="14"/>
              </w:rPr>
              <w:t>5.4</w:t>
            </w:r>
          </w:p>
        </w:tc>
        <w:tc>
          <w:tcPr>
            <w:tcW w:w="1071" w:type="dxa"/>
          </w:tcPr>
          <w:p>
            <w:pPr>
              <w:pStyle w:val="TableParagraph"/>
              <w:ind w:left="378"/>
              <w:jc w:val="left"/>
              <w:rPr>
                <w:sz w:val="14"/>
              </w:rPr>
            </w:pPr>
            <w:r>
              <w:rPr>
                <w:color w:val="231F20"/>
                <w:spacing w:val="-5"/>
                <w:w w:val="95"/>
                <w:sz w:val="14"/>
              </w:rPr>
              <w:t>3.6</w:t>
            </w:r>
          </w:p>
        </w:tc>
        <w:tc>
          <w:tcPr>
            <w:tcW w:w="756" w:type="dxa"/>
          </w:tcPr>
          <w:p>
            <w:pPr>
              <w:pStyle w:val="TableParagraph"/>
              <w:ind w:left="39" w:right="12"/>
              <w:rPr>
                <w:sz w:val="14"/>
              </w:rPr>
            </w:pPr>
            <w:r>
              <w:rPr>
                <w:color w:val="231F20"/>
                <w:spacing w:val="-5"/>
                <w:w w:val="95"/>
                <w:sz w:val="14"/>
              </w:rPr>
              <w:t>8.2</w:t>
            </w:r>
          </w:p>
        </w:tc>
        <w:tc>
          <w:tcPr>
            <w:tcW w:w="241" w:type="dxa"/>
          </w:tcPr>
          <w:p>
            <w:pPr>
              <w:pStyle w:val="TableParagraph"/>
              <w:spacing w:before="0"/>
              <w:jc w:val="left"/>
              <w:rPr>
                <w:rFonts w:ascii="Times New Roman"/>
                <w:sz w:val="12"/>
              </w:rPr>
            </w:pPr>
          </w:p>
        </w:tc>
        <w:tc>
          <w:tcPr>
            <w:tcW w:w="852" w:type="dxa"/>
          </w:tcPr>
          <w:p>
            <w:pPr>
              <w:pStyle w:val="TableParagraph"/>
              <w:ind w:right="377"/>
              <w:jc w:val="right"/>
              <w:rPr>
                <w:sz w:val="14"/>
              </w:rPr>
            </w:pPr>
            <w:r>
              <w:rPr>
                <w:color w:val="231F20"/>
                <w:spacing w:val="-5"/>
                <w:w w:val="95"/>
                <w:sz w:val="14"/>
              </w:rPr>
              <w:t>6.7</w:t>
            </w:r>
          </w:p>
        </w:tc>
        <w:tc>
          <w:tcPr>
            <w:tcW w:w="1074" w:type="dxa"/>
          </w:tcPr>
          <w:p>
            <w:pPr>
              <w:pStyle w:val="TableParagraph"/>
              <w:ind w:left="61" w:right="61"/>
              <w:rPr>
                <w:sz w:val="14"/>
              </w:rPr>
            </w:pPr>
            <w:r>
              <w:rPr>
                <w:color w:val="231F20"/>
                <w:spacing w:val="-5"/>
                <w:w w:val="95"/>
                <w:sz w:val="14"/>
              </w:rPr>
              <w:t>5.4</w:t>
            </w:r>
          </w:p>
        </w:tc>
        <w:tc>
          <w:tcPr>
            <w:tcW w:w="937" w:type="dxa"/>
          </w:tcPr>
          <w:p>
            <w:pPr>
              <w:pStyle w:val="TableParagraph"/>
              <w:ind w:left="32" w:right="46"/>
              <w:rPr>
                <w:sz w:val="14"/>
              </w:rPr>
            </w:pPr>
            <w:r>
              <w:rPr>
                <w:color w:val="231F20"/>
                <w:spacing w:val="-5"/>
                <w:w w:val="95"/>
                <w:sz w:val="14"/>
              </w:rPr>
              <w:t>3.6</w:t>
            </w:r>
          </w:p>
        </w:tc>
        <w:tc>
          <w:tcPr>
            <w:tcW w:w="1009" w:type="dxa"/>
          </w:tcPr>
          <w:p>
            <w:pPr>
              <w:pStyle w:val="TableParagraph"/>
              <w:ind w:left="69" w:right="36"/>
              <w:rPr>
                <w:sz w:val="14"/>
              </w:rPr>
            </w:pPr>
            <w:r>
              <w:rPr>
                <w:color w:val="231F20"/>
                <w:spacing w:val="-5"/>
                <w:w w:val="95"/>
                <w:sz w:val="14"/>
              </w:rPr>
              <w:t>8.2</w:t>
            </w:r>
          </w:p>
        </w:tc>
      </w:tr>
      <w:tr>
        <w:trPr>
          <w:trHeight w:val="259" w:hRule="atLeast"/>
        </w:trPr>
        <w:tc>
          <w:tcPr>
            <w:tcW w:w="1280" w:type="dxa"/>
            <w:shd w:val="clear" w:color="auto" w:fill="D4E3F5"/>
          </w:tcPr>
          <w:p>
            <w:pPr>
              <w:pStyle w:val="TableParagraph"/>
              <w:ind w:left="80"/>
              <w:jc w:val="left"/>
              <w:rPr>
                <w:sz w:val="14"/>
              </w:rPr>
            </w:pPr>
            <w:r>
              <w:rPr>
                <w:color w:val="231F20"/>
                <w:spacing w:val="-2"/>
                <w:w w:val="85"/>
                <w:sz w:val="14"/>
              </w:rPr>
              <w:t>Canada</w:t>
            </w:r>
          </w:p>
        </w:tc>
        <w:tc>
          <w:tcPr>
            <w:tcW w:w="1182" w:type="dxa"/>
            <w:shd w:val="clear" w:color="auto" w:fill="D4E3F5"/>
          </w:tcPr>
          <w:p>
            <w:pPr>
              <w:pStyle w:val="TableParagraph"/>
              <w:ind w:right="431"/>
              <w:jc w:val="right"/>
              <w:rPr>
                <w:sz w:val="14"/>
              </w:rPr>
            </w:pPr>
            <w:r>
              <w:rPr>
                <w:color w:val="231F20"/>
                <w:spacing w:val="-2"/>
                <w:w w:val="95"/>
                <w:sz w:val="14"/>
              </w:rPr>
              <w:t>7,550</w:t>
            </w:r>
          </w:p>
        </w:tc>
        <w:tc>
          <w:tcPr>
            <w:tcW w:w="852" w:type="dxa"/>
            <w:shd w:val="clear" w:color="auto" w:fill="D4E3F5"/>
          </w:tcPr>
          <w:p>
            <w:pPr>
              <w:pStyle w:val="TableParagraph"/>
              <w:ind w:left="83" w:right="145"/>
              <w:rPr>
                <w:sz w:val="14"/>
              </w:rPr>
            </w:pPr>
            <w:r>
              <w:rPr>
                <w:color w:val="231F20"/>
                <w:spacing w:val="-5"/>
                <w:w w:val="95"/>
                <w:sz w:val="14"/>
              </w:rPr>
              <w:t>5.7</w:t>
            </w:r>
          </w:p>
        </w:tc>
        <w:tc>
          <w:tcPr>
            <w:tcW w:w="1074" w:type="dxa"/>
            <w:shd w:val="clear" w:color="auto" w:fill="D4E3F5"/>
          </w:tcPr>
          <w:p>
            <w:pPr>
              <w:pStyle w:val="TableParagraph"/>
              <w:ind w:left="54" w:right="61"/>
              <w:rPr>
                <w:sz w:val="14"/>
              </w:rPr>
            </w:pPr>
            <w:r>
              <w:rPr>
                <w:color w:val="231F20"/>
                <w:spacing w:val="-5"/>
                <w:w w:val="95"/>
                <w:sz w:val="14"/>
              </w:rPr>
              <w:t>5.1</w:t>
            </w:r>
          </w:p>
        </w:tc>
        <w:tc>
          <w:tcPr>
            <w:tcW w:w="1071" w:type="dxa"/>
            <w:shd w:val="clear" w:color="auto" w:fill="D4E3F5"/>
          </w:tcPr>
          <w:p>
            <w:pPr>
              <w:pStyle w:val="TableParagraph"/>
              <w:ind w:left="379"/>
              <w:jc w:val="left"/>
              <w:rPr>
                <w:sz w:val="14"/>
              </w:rPr>
            </w:pPr>
            <w:r>
              <w:rPr>
                <w:color w:val="231F20"/>
                <w:spacing w:val="-5"/>
                <w:w w:val="95"/>
                <w:sz w:val="14"/>
              </w:rPr>
              <w:t>2.3</w:t>
            </w:r>
          </w:p>
        </w:tc>
        <w:tc>
          <w:tcPr>
            <w:tcW w:w="756" w:type="dxa"/>
            <w:shd w:val="clear" w:color="auto" w:fill="D4E3F5"/>
          </w:tcPr>
          <w:p>
            <w:pPr>
              <w:pStyle w:val="TableParagraph"/>
              <w:ind w:left="47" w:right="8"/>
              <w:rPr>
                <w:sz w:val="14"/>
              </w:rPr>
            </w:pPr>
            <w:r>
              <w:rPr>
                <w:color w:val="231F20"/>
                <w:spacing w:val="-5"/>
                <w:w w:val="95"/>
                <w:sz w:val="14"/>
              </w:rPr>
              <w:t>7.3</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2"/>
              <w:jc w:val="right"/>
              <w:rPr>
                <w:sz w:val="14"/>
              </w:rPr>
            </w:pPr>
            <w:r>
              <w:rPr>
                <w:color w:val="231F20"/>
                <w:spacing w:val="-5"/>
                <w:w w:val="95"/>
                <w:sz w:val="14"/>
              </w:rPr>
              <w:t>4.8</w:t>
            </w:r>
          </w:p>
        </w:tc>
        <w:tc>
          <w:tcPr>
            <w:tcW w:w="1074" w:type="dxa"/>
            <w:shd w:val="clear" w:color="auto" w:fill="D4E3F5"/>
          </w:tcPr>
          <w:p>
            <w:pPr>
              <w:pStyle w:val="TableParagraph"/>
              <w:ind w:left="60" w:right="61"/>
              <w:rPr>
                <w:sz w:val="14"/>
              </w:rPr>
            </w:pPr>
            <w:r>
              <w:rPr>
                <w:color w:val="231F20"/>
                <w:spacing w:val="-5"/>
                <w:w w:val="95"/>
                <w:sz w:val="14"/>
              </w:rPr>
              <w:t>4.7</w:t>
            </w:r>
          </w:p>
        </w:tc>
        <w:tc>
          <w:tcPr>
            <w:tcW w:w="937" w:type="dxa"/>
            <w:shd w:val="clear" w:color="auto" w:fill="D4E3F5"/>
          </w:tcPr>
          <w:p>
            <w:pPr>
              <w:pStyle w:val="TableParagraph"/>
              <w:ind w:left="33" w:right="46"/>
              <w:rPr>
                <w:sz w:val="14"/>
              </w:rPr>
            </w:pPr>
            <w:r>
              <w:rPr>
                <w:color w:val="231F20"/>
                <w:spacing w:val="-5"/>
                <w:w w:val="95"/>
                <w:sz w:val="14"/>
              </w:rPr>
              <w:t>0.0</w:t>
            </w:r>
          </w:p>
        </w:tc>
        <w:tc>
          <w:tcPr>
            <w:tcW w:w="1009" w:type="dxa"/>
            <w:shd w:val="clear" w:color="auto" w:fill="D4E3F5"/>
          </w:tcPr>
          <w:p>
            <w:pPr>
              <w:pStyle w:val="TableParagraph"/>
              <w:ind w:left="68" w:right="36"/>
              <w:rPr>
                <w:sz w:val="14"/>
              </w:rPr>
            </w:pPr>
            <w:r>
              <w:rPr>
                <w:color w:val="231F20"/>
                <w:spacing w:val="-5"/>
                <w:w w:val="95"/>
                <w:sz w:val="14"/>
              </w:rPr>
              <w:t>6.8</w:t>
            </w:r>
          </w:p>
        </w:tc>
      </w:tr>
      <w:tr>
        <w:trPr>
          <w:trHeight w:val="259" w:hRule="atLeast"/>
        </w:trPr>
        <w:tc>
          <w:tcPr>
            <w:tcW w:w="1280" w:type="dxa"/>
          </w:tcPr>
          <w:p>
            <w:pPr>
              <w:pStyle w:val="TableParagraph"/>
              <w:ind w:left="80"/>
              <w:jc w:val="left"/>
              <w:rPr>
                <w:sz w:val="14"/>
              </w:rPr>
            </w:pPr>
            <w:r>
              <w:rPr>
                <w:color w:val="231F20"/>
                <w:spacing w:val="-2"/>
                <w:w w:val="90"/>
                <w:sz w:val="14"/>
              </w:rPr>
              <w:t>Chile</w:t>
            </w:r>
          </w:p>
        </w:tc>
        <w:tc>
          <w:tcPr>
            <w:tcW w:w="1182" w:type="dxa"/>
          </w:tcPr>
          <w:p>
            <w:pPr>
              <w:pStyle w:val="TableParagraph"/>
              <w:ind w:right="436"/>
              <w:jc w:val="right"/>
              <w:rPr>
                <w:sz w:val="14"/>
              </w:rPr>
            </w:pPr>
            <w:r>
              <w:rPr>
                <w:color w:val="231F20"/>
                <w:spacing w:val="-2"/>
                <w:w w:val="95"/>
                <w:sz w:val="14"/>
              </w:rPr>
              <w:t>13,309</w:t>
            </w:r>
          </w:p>
        </w:tc>
        <w:tc>
          <w:tcPr>
            <w:tcW w:w="852" w:type="dxa"/>
          </w:tcPr>
          <w:p>
            <w:pPr>
              <w:pStyle w:val="TableParagraph"/>
              <w:ind w:left="84" w:right="145"/>
              <w:rPr>
                <w:sz w:val="14"/>
              </w:rPr>
            </w:pPr>
            <w:r>
              <w:rPr>
                <w:color w:val="231F20"/>
                <w:spacing w:val="-5"/>
                <w:w w:val="95"/>
                <w:sz w:val="14"/>
              </w:rPr>
              <w:t>4.7</w:t>
            </w:r>
          </w:p>
        </w:tc>
        <w:tc>
          <w:tcPr>
            <w:tcW w:w="1074" w:type="dxa"/>
          </w:tcPr>
          <w:p>
            <w:pPr>
              <w:pStyle w:val="TableParagraph"/>
              <w:ind w:left="72" w:right="61"/>
              <w:rPr>
                <w:sz w:val="14"/>
              </w:rPr>
            </w:pPr>
            <w:r>
              <w:rPr>
                <w:color w:val="231F20"/>
                <w:spacing w:val="-5"/>
                <w:w w:val="95"/>
                <w:sz w:val="14"/>
              </w:rPr>
              <w:t>4.2</w:t>
            </w:r>
          </w:p>
        </w:tc>
        <w:tc>
          <w:tcPr>
            <w:tcW w:w="1071" w:type="dxa"/>
          </w:tcPr>
          <w:p>
            <w:pPr>
              <w:pStyle w:val="TableParagraph"/>
              <w:ind w:left="379"/>
              <w:jc w:val="left"/>
              <w:rPr>
                <w:sz w:val="14"/>
              </w:rPr>
            </w:pPr>
            <w:r>
              <w:rPr>
                <w:color w:val="231F20"/>
                <w:spacing w:val="-5"/>
                <w:w w:val="95"/>
                <w:sz w:val="14"/>
              </w:rPr>
              <w:t>2.9</w:t>
            </w:r>
          </w:p>
        </w:tc>
        <w:tc>
          <w:tcPr>
            <w:tcW w:w="756" w:type="dxa"/>
          </w:tcPr>
          <w:p>
            <w:pPr>
              <w:pStyle w:val="TableParagraph"/>
              <w:ind w:left="39" w:right="13"/>
              <w:rPr>
                <w:sz w:val="14"/>
              </w:rPr>
            </w:pPr>
            <w:r>
              <w:rPr>
                <w:color w:val="231F20"/>
                <w:spacing w:val="-5"/>
                <w:w w:val="95"/>
                <w:sz w:val="14"/>
              </w:rPr>
              <w:t>5.8</w:t>
            </w:r>
          </w:p>
        </w:tc>
        <w:tc>
          <w:tcPr>
            <w:tcW w:w="241" w:type="dxa"/>
          </w:tcPr>
          <w:p>
            <w:pPr>
              <w:pStyle w:val="TableParagraph"/>
              <w:spacing w:before="0"/>
              <w:jc w:val="left"/>
              <w:rPr>
                <w:rFonts w:ascii="Times New Roman"/>
                <w:sz w:val="12"/>
              </w:rPr>
            </w:pPr>
          </w:p>
        </w:tc>
        <w:tc>
          <w:tcPr>
            <w:tcW w:w="852" w:type="dxa"/>
          </w:tcPr>
          <w:p>
            <w:pPr>
              <w:pStyle w:val="TableParagraph"/>
              <w:ind w:right="377"/>
              <w:jc w:val="right"/>
              <w:rPr>
                <w:sz w:val="14"/>
              </w:rPr>
            </w:pPr>
            <w:r>
              <w:rPr>
                <w:color w:val="231F20"/>
                <w:spacing w:val="-5"/>
                <w:w w:val="95"/>
                <w:sz w:val="14"/>
              </w:rPr>
              <w:t>4.7</w:t>
            </w:r>
          </w:p>
        </w:tc>
        <w:tc>
          <w:tcPr>
            <w:tcW w:w="1074" w:type="dxa"/>
          </w:tcPr>
          <w:p>
            <w:pPr>
              <w:pStyle w:val="TableParagraph"/>
              <w:ind w:left="63" w:right="61"/>
              <w:rPr>
                <w:sz w:val="14"/>
              </w:rPr>
            </w:pPr>
            <w:r>
              <w:rPr>
                <w:color w:val="231F20"/>
                <w:spacing w:val="-5"/>
                <w:w w:val="95"/>
                <w:sz w:val="14"/>
              </w:rPr>
              <w:t>4.2</w:t>
            </w:r>
          </w:p>
        </w:tc>
        <w:tc>
          <w:tcPr>
            <w:tcW w:w="937" w:type="dxa"/>
          </w:tcPr>
          <w:p>
            <w:pPr>
              <w:pStyle w:val="TableParagraph"/>
              <w:ind w:left="32" w:right="46"/>
              <w:rPr>
                <w:sz w:val="14"/>
              </w:rPr>
            </w:pPr>
            <w:r>
              <w:rPr>
                <w:color w:val="231F20"/>
                <w:spacing w:val="-5"/>
                <w:w w:val="95"/>
                <w:sz w:val="14"/>
              </w:rPr>
              <w:t>2.9</w:t>
            </w:r>
          </w:p>
        </w:tc>
        <w:tc>
          <w:tcPr>
            <w:tcW w:w="1009" w:type="dxa"/>
          </w:tcPr>
          <w:p>
            <w:pPr>
              <w:pStyle w:val="TableParagraph"/>
              <w:ind w:left="68" w:right="36"/>
              <w:rPr>
                <w:sz w:val="14"/>
              </w:rPr>
            </w:pPr>
            <w:r>
              <w:rPr>
                <w:color w:val="231F20"/>
                <w:spacing w:val="-5"/>
                <w:w w:val="95"/>
                <w:sz w:val="14"/>
              </w:rPr>
              <w:t>5.8</w:t>
            </w:r>
          </w:p>
        </w:tc>
      </w:tr>
      <w:tr>
        <w:trPr>
          <w:trHeight w:val="259" w:hRule="atLeast"/>
        </w:trPr>
        <w:tc>
          <w:tcPr>
            <w:tcW w:w="1280" w:type="dxa"/>
            <w:shd w:val="clear" w:color="auto" w:fill="D4E3F5"/>
          </w:tcPr>
          <w:p>
            <w:pPr>
              <w:pStyle w:val="TableParagraph"/>
              <w:ind w:left="80"/>
              <w:jc w:val="left"/>
              <w:rPr>
                <w:sz w:val="14"/>
              </w:rPr>
            </w:pPr>
            <w:r>
              <w:rPr>
                <w:color w:val="231F20"/>
                <w:spacing w:val="-2"/>
                <w:w w:val="85"/>
                <w:sz w:val="14"/>
              </w:rPr>
              <w:t>China</w:t>
            </w:r>
          </w:p>
        </w:tc>
        <w:tc>
          <w:tcPr>
            <w:tcW w:w="1182" w:type="dxa"/>
            <w:shd w:val="clear" w:color="auto" w:fill="D4E3F5"/>
          </w:tcPr>
          <w:p>
            <w:pPr>
              <w:pStyle w:val="TableParagraph"/>
              <w:ind w:right="435"/>
              <w:jc w:val="right"/>
              <w:rPr>
                <w:sz w:val="14"/>
              </w:rPr>
            </w:pPr>
            <w:r>
              <w:rPr>
                <w:color w:val="231F20"/>
                <w:spacing w:val="-2"/>
                <w:w w:val="95"/>
                <w:sz w:val="14"/>
              </w:rPr>
              <w:t>790,942</w:t>
            </w:r>
          </w:p>
        </w:tc>
        <w:tc>
          <w:tcPr>
            <w:tcW w:w="852" w:type="dxa"/>
            <w:shd w:val="clear" w:color="auto" w:fill="D4E3F5"/>
          </w:tcPr>
          <w:p>
            <w:pPr>
              <w:pStyle w:val="TableParagraph"/>
              <w:ind w:left="89" w:right="145"/>
              <w:rPr>
                <w:sz w:val="14"/>
              </w:rPr>
            </w:pPr>
            <w:r>
              <w:rPr>
                <w:color w:val="231F20"/>
                <w:spacing w:val="-5"/>
                <w:w w:val="95"/>
                <w:sz w:val="14"/>
              </w:rPr>
              <w:t>5.2</w:t>
            </w:r>
          </w:p>
        </w:tc>
        <w:tc>
          <w:tcPr>
            <w:tcW w:w="1074" w:type="dxa"/>
            <w:shd w:val="clear" w:color="auto" w:fill="D4E3F5"/>
          </w:tcPr>
          <w:p>
            <w:pPr>
              <w:pStyle w:val="TableParagraph"/>
              <w:ind w:left="71" w:right="61"/>
              <w:rPr>
                <w:sz w:val="14"/>
              </w:rPr>
            </w:pPr>
            <w:r>
              <w:rPr>
                <w:color w:val="231F20"/>
                <w:spacing w:val="-5"/>
                <w:w w:val="95"/>
                <w:sz w:val="14"/>
              </w:rPr>
              <w:t>4.5</w:t>
            </w:r>
          </w:p>
        </w:tc>
        <w:tc>
          <w:tcPr>
            <w:tcW w:w="1071" w:type="dxa"/>
            <w:shd w:val="clear" w:color="auto" w:fill="D4E3F5"/>
          </w:tcPr>
          <w:p>
            <w:pPr>
              <w:pStyle w:val="TableParagraph"/>
              <w:ind w:left="378"/>
              <w:jc w:val="left"/>
              <w:rPr>
                <w:sz w:val="14"/>
              </w:rPr>
            </w:pPr>
            <w:r>
              <w:rPr>
                <w:color w:val="231F20"/>
                <w:spacing w:val="-5"/>
                <w:w w:val="95"/>
                <w:sz w:val="14"/>
              </w:rPr>
              <w:t>3.1</w:t>
            </w:r>
          </w:p>
        </w:tc>
        <w:tc>
          <w:tcPr>
            <w:tcW w:w="756" w:type="dxa"/>
            <w:shd w:val="clear" w:color="auto" w:fill="D4E3F5"/>
          </w:tcPr>
          <w:p>
            <w:pPr>
              <w:pStyle w:val="TableParagraph"/>
              <w:ind w:left="39" w:right="15"/>
              <w:rPr>
                <w:sz w:val="14"/>
              </w:rPr>
            </w:pPr>
            <w:r>
              <w:rPr>
                <w:color w:val="231F20"/>
                <w:spacing w:val="-5"/>
                <w:w w:val="95"/>
                <w:sz w:val="14"/>
              </w:rPr>
              <w:t>6.4</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2"/>
              <w:jc w:val="right"/>
              <w:rPr>
                <w:sz w:val="14"/>
              </w:rPr>
            </w:pPr>
            <w:r>
              <w:rPr>
                <w:color w:val="231F20"/>
                <w:spacing w:val="-5"/>
                <w:w w:val="95"/>
                <w:sz w:val="14"/>
              </w:rPr>
              <w:t>4.9</w:t>
            </w:r>
          </w:p>
        </w:tc>
        <w:tc>
          <w:tcPr>
            <w:tcW w:w="1074" w:type="dxa"/>
            <w:shd w:val="clear" w:color="auto" w:fill="D4E3F5"/>
          </w:tcPr>
          <w:p>
            <w:pPr>
              <w:pStyle w:val="TableParagraph"/>
              <w:ind w:left="62" w:right="61"/>
              <w:rPr>
                <w:sz w:val="14"/>
              </w:rPr>
            </w:pPr>
            <w:r>
              <w:rPr>
                <w:color w:val="231F20"/>
                <w:spacing w:val="-5"/>
                <w:w w:val="95"/>
                <w:sz w:val="14"/>
              </w:rPr>
              <w:t>4.3</w:t>
            </w:r>
          </w:p>
        </w:tc>
        <w:tc>
          <w:tcPr>
            <w:tcW w:w="937" w:type="dxa"/>
            <w:shd w:val="clear" w:color="auto" w:fill="D4E3F5"/>
          </w:tcPr>
          <w:p>
            <w:pPr>
              <w:pStyle w:val="TableParagraph"/>
              <w:ind w:left="32" w:right="46"/>
              <w:rPr>
                <w:sz w:val="14"/>
              </w:rPr>
            </w:pPr>
            <w:r>
              <w:rPr>
                <w:color w:val="231F20"/>
                <w:spacing w:val="-5"/>
                <w:w w:val="95"/>
                <w:sz w:val="14"/>
              </w:rPr>
              <w:t>2.9</w:t>
            </w:r>
          </w:p>
        </w:tc>
        <w:tc>
          <w:tcPr>
            <w:tcW w:w="1009" w:type="dxa"/>
            <w:shd w:val="clear" w:color="auto" w:fill="D4E3F5"/>
          </w:tcPr>
          <w:p>
            <w:pPr>
              <w:pStyle w:val="TableParagraph"/>
              <w:ind w:left="69" w:right="36"/>
              <w:rPr>
                <w:sz w:val="14"/>
              </w:rPr>
            </w:pPr>
            <w:r>
              <w:rPr>
                <w:color w:val="231F20"/>
                <w:spacing w:val="-5"/>
                <w:w w:val="95"/>
                <w:sz w:val="14"/>
              </w:rPr>
              <w:t>6.2</w:t>
            </w:r>
          </w:p>
        </w:tc>
      </w:tr>
      <w:tr>
        <w:trPr>
          <w:trHeight w:val="259" w:hRule="atLeast"/>
        </w:trPr>
        <w:tc>
          <w:tcPr>
            <w:tcW w:w="1280" w:type="dxa"/>
          </w:tcPr>
          <w:p>
            <w:pPr>
              <w:pStyle w:val="TableParagraph"/>
              <w:ind w:left="80"/>
              <w:jc w:val="left"/>
              <w:rPr>
                <w:sz w:val="14"/>
              </w:rPr>
            </w:pPr>
            <w:r>
              <w:rPr>
                <w:color w:val="231F20"/>
                <w:spacing w:val="-2"/>
                <w:w w:val="90"/>
                <w:sz w:val="14"/>
              </w:rPr>
              <w:t>Colombia</w:t>
            </w:r>
          </w:p>
        </w:tc>
        <w:tc>
          <w:tcPr>
            <w:tcW w:w="1182" w:type="dxa"/>
          </w:tcPr>
          <w:p>
            <w:pPr>
              <w:pStyle w:val="TableParagraph"/>
              <w:ind w:right="436"/>
              <w:jc w:val="right"/>
              <w:rPr>
                <w:sz w:val="14"/>
              </w:rPr>
            </w:pPr>
            <w:r>
              <w:rPr>
                <w:color w:val="231F20"/>
                <w:spacing w:val="-2"/>
                <w:w w:val="95"/>
                <w:sz w:val="14"/>
              </w:rPr>
              <w:t>7,529</w:t>
            </w:r>
          </w:p>
        </w:tc>
        <w:tc>
          <w:tcPr>
            <w:tcW w:w="852" w:type="dxa"/>
          </w:tcPr>
          <w:p>
            <w:pPr>
              <w:pStyle w:val="TableParagraph"/>
              <w:ind w:left="88" w:right="145"/>
              <w:rPr>
                <w:sz w:val="14"/>
              </w:rPr>
            </w:pPr>
            <w:r>
              <w:rPr>
                <w:color w:val="231F20"/>
                <w:spacing w:val="-5"/>
                <w:w w:val="95"/>
                <w:sz w:val="14"/>
              </w:rPr>
              <w:t>6.3</w:t>
            </w:r>
          </w:p>
        </w:tc>
        <w:tc>
          <w:tcPr>
            <w:tcW w:w="1074" w:type="dxa"/>
          </w:tcPr>
          <w:p>
            <w:pPr>
              <w:pStyle w:val="TableParagraph"/>
              <w:ind w:left="70" w:right="61"/>
              <w:rPr>
                <w:sz w:val="14"/>
              </w:rPr>
            </w:pPr>
            <w:r>
              <w:rPr>
                <w:color w:val="231F20"/>
                <w:spacing w:val="-5"/>
                <w:w w:val="95"/>
                <w:sz w:val="14"/>
              </w:rPr>
              <w:t>5.0</w:t>
            </w:r>
          </w:p>
        </w:tc>
        <w:tc>
          <w:tcPr>
            <w:tcW w:w="1071" w:type="dxa"/>
          </w:tcPr>
          <w:p>
            <w:pPr>
              <w:pStyle w:val="TableParagraph"/>
              <w:ind w:left="378"/>
              <w:jc w:val="left"/>
              <w:rPr>
                <w:sz w:val="14"/>
              </w:rPr>
            </w:pPr>
            <w:r>
              <w:rPr>
                <w:color w:val="231F20"/>
                <w:spacing w:val="-5"/>
                <w:w w:val="95"/>
                <w:sz w:val="14"/>
              </w:rPr>
              <w:t>3.2</w:t>
            </w:r>
          </w:p>
        </w:tc>
        <w:tc>
          <w:tcPr>
            <w:tcW w:w="756" w:type="dxa"/>
          </w:tcPr>
          <w:p>
            <w:pPr>
              <w:pStyle w:val="TableParagraph"/>
              <w:ind w:left="47" w:right="8"/>
              <w:rPr>
                <w:sz w:val="14"/>
              </w:rPr>
            </w:pPr>
            <w:r>
              <w:rPr>
                <w:color w:val="231F20"/>
                <w:spacing w:val="-5"/>
                <w:w w:val="95"/>
                <w:sz w:val="14"/>
              </w:rPr>
              <w:t>7.8</w:t>
            </w:r>
          </w:p>
        </w:tc>
        <w:tc>
          <w:tcPr>
            <w:tcW w:w="241" w:type="dxa"/>
          </w:tcPr>
          <w:p>
            <w:pPr>
              <w:pStyle w:val="TableParagraph"/>
              <w:spacing w:before="0"/>
              <w:jc w:val="left"/>
              <w:rPr>
                <w:rFonts w:ascii="Times New Roman"/>
                <w:sz w:val="12"/>
              </w:rPr>
            </w:pPr>
          </w:p>
        </w:tc>
        <w:tc>
          <w:tcPr>
            <w:tcW w:w="852" w:type="dxa"/>
          </w:tcPr>
          <w:p>
            <w:pPr>
              <w:pStyle w:val="TableParagraph"/>
              <w:ind w:right="371"/>
              <w:jc w:val="right"/>
              <w:rPr>
                <w:sz w:val="14"/>
              </w:rPr>
            </w:pPr>
            <w:r>
              <w:rPr>
                <w:color w:val="231F20"/>
                <w:spacing w:val="-5"/>
                <w:w w:val="95"/>
                <w:sz w:val="14"/>
              </w:rPr>
              <w:t>6.2</w:t>
            </w:r>
          </w:p>
        </w:tc>
        <w:tc>
          <w:tcPr>
            <w:tcW w:w="1074" w:type="dxa"/>
          </w:tcPr>
          <w:p>
            <w:pPr>
              <w:pStyle w:val="TableParagraph"/>
              <w:ind w:left="61" w:right="61"/>
              <w:rPr>
                <w:sz w:val="14"/>
              </w:rPr>
            </w:pPr>
            <w:r>
              <w:rPr>
                <w:color w:val="231F20"/>
                <w:spacing w:val="-5"/>
                <w:w w:val="95"/>
                <w:sz w:val="14"/>
              </w:rPr>
              <w:t>5.0</w:t>
            </w:r>
          </w:p>
        </w:tc>
        <w:tc>
          <w:tcPr>
            <w:tcW w:w="937" w:type="dxa"/>
          </w:tcPr>
          <w:p>
            <w:pPr>
              <w:pStyle w:val="TableParagraph"/>
              <w:ind w:left="13" w:right="46"/>
              <w:rPr>
                <w:sz w:val="14"/>
              </w:rPr>
            </w:pPr>
            <w:r>
              <w:rPr>
                <w:color w:val="231F20"/>
                <w:spacing w:val="-5"/>
                <w:w w:val="95"/>
                <w:sz w:val="14"/>
              </w:rPr>
              <w:t>3.1</w:t>
            </w:r>
          </w:p>
        </w:tc>
        <w:tc>
          <w:tcPr>
            <w:tcW w:w="1009" w:type="dxa"/>
          </w:tcPr>
          <w:p>
            <w:pPr>
              <w:pStyle w:val="TableParagraph"/>
              <w:ind w:left="77" w:right="36"/>
              <w:rPr>
                <w:sz w:val="14"/>
              </w:rPr>
            </w:pPr>
            <w:r>
              <w:rPr>
                <w:color w:val="231F20"/>
                <w:spacing w:val="-5"/>
                <w:w w:val="95"/>
                <w:sz w:val="14"/>
              </w:rPr>
              <w:t>7.7</w:t>
            </w:r>
          </w:p>
        </w:tc>
      </w:tr>
      <w:tr>
        <w:trPr>
          <w:trHeight w:val="259" w:hRule="atLeast"/>
        </w:trPr>
        <w:tc>
          <w:tcPr>
            <w:tcW w:w="1280" w:type="dxa"/>
            <w:shd w:val="clear" w:color="auto" w:fill="D4E3F5"/>
          </w:tcPr>
          <w:p>
            <w:pPr>
              <w:pStyle w:val="TableParagraph"/>
              <w:ind w:left="80"/>
              <w:jc w:val="left"/>
              <w:rPr>
                <w:sz w:val="14"/>
              </w:rPr>
            </w:pPr>
            <w:r>
              <w:rPr>
                <w:color w:val="231F20"/>
                <w:w w:val="75"/>
                <w:sz w:val="14"/>
              </w:rPr>
              <w:t>Congo,</w:t>
            </w:r>
            <w:r>
              <w:rPr>
                <w:color w:val="231F20"/>
                <w:spacing w:val="9"/>
                <w:sz w:val="14"/>
              </w:rPr>
              <w:t> </w:t>
            </w:r>
            <w:r>
              <w:rPr>
                <w:color w:val="231F20"/>
                <w:w w:val="75"/>
                <w:sz w:val="14"/>
              </w:rPr>
              <w:t>Dem.</w:t>
            </w:r>
            <w:r>
              <w:rPr>
                <w:color w:val="231F20"/>
                <w:spacing w:val="10"/>
                <w:sz w:val="14"/>
              </w:rPr>
              <w:t> </w:t>
            </w:r>
            <w:r>
              <w:rPr>
                <w:color w:val="231F20"/>
                <w:spacing w:val="-4"/>
                <w:w w:val="75"/>
                <w:sz w:val="14"/>
              </w:rPr>
              <w:t>Rep.</w:t>
            </w:r>
          </w:p>
        </w:tc>
        <w:tc>
          <w:tcPr>
            <w:tcW w:w="1182" w:type="dxa"/>
            <w:shd w:val="clear" w:color="auto" w:fill="D4E3F5"/>
          </w:tcPr>
          <w:p>
            <w:pPr>
              <w:pStyle w:val="TableParagraph"/>
              <w:ind w:right="430"/>
              <w:jc w:val="right"/>
              <w:rPr>
                <w:sz w:val="14"/>
              </w:rPr>
            </w:pPr>
            <w:r>
              <w:rPr>
                <w:color w:val="231F20"/>
                <w:spacing w:val="-5"/>
                <w:w w:val="95"/>
                <w:sz w:val="14"/>
              </w:rPr>
              <w:t>34</w:t>
            </w:r>
          </w:p>
        </w:tc>
        <w:tc>
          <w:tcPr>
            <w:tcW w:w="852" w:type="dxa"/>
            <w:shd w:val="clear" w:color="auto" w:fill="D4E3F5"/>
          </w:tcPr>
          <w:p>
            <w:pPr>
              <w:pStyle w:val="TableParagraph"/>
              <w:ind w:left="24" w:right="145"/>
              <w:rPr>
                <w:sz w:val="14"/>
              </w:rPr>
            </w:pPr>
            <w:r>
              <w:rPr>
                <w:color w:val="231F20"/>
                <w:spacing w:val="-4"/>
                <w:w w:val="95"/>
                <w:sz w:val="14"/>
              </w:rPr>
              <w:t>21.4</w:t>
            </w:r>
          </w:p>
        </w:tc>
        <w:tc>
          <w:tcPr>
            <w:tcW w:w="1074" w:type="dxa"/>
            <w:shd w:val="clear" w:color="auto" w:fill="D4E3F5"/>
          </w:tcPr>
          <w:p>
            <w:pPr>
              <w:pStyle w:val="TableParagraph"/>
              <w:ind w:left="22" w:right="72"/>
              <w:rPr>
                <w:sz w:val="14"/>
              </w:rPr>
            </w:pPr>
            <w:r>
              <w:rPr>
                <w:color w:val="231F20"/>
                <w:spacing w:val="-4"/>
                <w:w w:val="95"/>
                <w:sz w:val="14"/>
              </w:rPr>
              <w:t>13.2</w:t>
            </w:r>
          </w:p>
        </w:tc>
        <w:tc>
          <w:tcPr>
            <w:tcW w:w="1071" w:type="dxa"/>
            <w:shd w:val="clear" w:color="auto" w:fill="D4E3F5"/>
          </w:tcPr>
          <w:p>
            <w:pPr>
              <w:pStyle w:val="TableParagraph"/>
              <w:ind w:left="378"/>
              <w:jc w:val="left"/>
              <w:rPr>
                <w:sz w:val="14"/>
              </w:rPr>
            </w:pPr>
            <w:r>
              <w:rPr>
                <w:color w:val="231F20"/>
                <w:spacing w:val="-5"/>
                <w:w w:val="95"/>
                <w:sz w:val="14"/>
              </w:rPr>
              <w:t>8.2</w:t>
            </w:r>
          </w:p>
        </w:tc>
        <w:tc>
          <w:tcPr>
            <w:tcW w:w="756" w:type="dxa"/>
            <w:shd w:val="clear" w:color="auto" w:fill="D4E3F5"/>
          </w:tcPr>
          <w:p>
            <w:pPr>
              <w:pStyle w:val="TableParagraph"/>
              <w:ind w:left="234"/>
              <w:jc w:val="left"/>
              <w:rPr>
                <w:sz w:val="14"/>
              </w:rPr>
            </w:pPr>
            <w:r>
              <w:rPr>
                <w:color w:val="231F20"/>
                <w:spacing w:val="-4"/>
                <w:w w:val="95"/>
                <w:sz w:val="14"/>
              </w:rPr>
              <w:t>22.8</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3"/>
              <w:jc w:val="right"/>
              <w:rPr>
                <w:sz w:val="14"/>
              </w:rPr>
            </w:pPr>
            <w:r>
              <w:rPr>
                <w:color w:val="231F20"/>
                <w:spacing w:val="-4"/>
                <w:w w:val="95"/>
                <w:sz w:val="14"/>
              </w:rPr>
              <w:t>19.6</w:t>
            </w:r>
          </w:p>
        </w:tc>
        <w:tc>
          <w:tcPr>
            <w:tcW w:w="1074" w:type="dxa"/>
            <w:shd w:val="clear" w:color="auto" w:fill="D4E3F5"/>
          </w:tcPr>
          <w:p>
            <w:pPr>
              <w:pStyle w:val="TableParagraph"/>
              <w:ind w:left="22" w:right="83"/>
              <w:rPr>
                <w:sz w:val="14"/>
              </w:rPr>
            </w:pPr>
            <w:r>
              <w:rPr>
                <w:color w:val="231F20"/>
                <w:spacing w:val="-4"/>
                <w:w w:val="95"/>
                <w:sz w:val="14"/>
              </w:rPr>
              <w:t>12.4</w:t>
            </w:r>
          </w:p>
        </w:tc>
        <w:tc>
          <w:tcPr>
            <w:tcW w:w="937" w:type="dxa"/>
            <w:shd w:val="clear" w:color="auto" w:fill="D4E3F5"/>
          </w:tcPr>
          <w:p>
            <w:pPr>
              <w:pStyle w:val="TableParagraph"/>
              <w:ind w:left="45" w:right="46"/>
              <w:rPr>
                <w:sz w:val="14"/>
              </w:rPr>
            </w:pPr>
            <w:r>
              <w:rPr>
                <w:color w:val="231F20"/>
                <w:spacing w:val="-5"/>
                <w:w w:val="95"/>
                <w:sz w:val="14"/>
              </w:rPr>
              <w:t>7.5</w:t>
            </w:r>
          </w:p>
        </w:tc>
        <w:tc>
          <w:tcPr>
            <w:tcW w:w="1009" w:type="dxa"/>
            <w:shd w:val="clear" w:color="auto" w:fill="D4E3F5"/>
          </w:tcPr>
          <w:p>
            <w:pPr>
              <w:pStyle w:val="TableParagraph"/>
              <w:ind w:left="45" w:right="72"/>
              <w:rPr>
                <w:sz w:val="14"/>
              </w:rPr>
            </w:pPr>
            <w:r>
              <w:rPr>
                <w:color w:val="231F20"/>
                <w:spacing w:val="-4"/>
                <w:w w:val="95"/>
                <w:sz w:val="14"/>
              </w:rPr>
              <w:t>21.9</w:t>
            </w:r>
          </w:p>
        </w:tc>
      </w:tr>
      <w:tr>
        <w:trPr>
          <w:trHeight w:val="259" w:hRule="atLeast"/>
        </w:trPr>
        <w:tc>
          <w:tcPr>
            <w:tcW w:w="1280" w:type="dxa"/>
          </w:tcPr>
          <w:p>
            <w:pPr>
              <w:pStyle w:val="TableParagraph"/>
              <w:ind w:left="80"/>
              <w:jc w:val="left"/>
              <w:rPr>
                <w:sz w:val="14"/>
              </w:rPr>
            </w:pPr>
            <w:r>
              <w:rPr>
                <w:color w:val="231F20"/>
                <w:w w:val="75"/>
                <w:sz w:val="14"/>
              </w:rPr>
              <w:t>Congo,</w:t>
            </w:r>
            <w:r>
              <w:rPr>
                <w:color w:val="231F20"/>
                <w:spacing w:val="10"/>
                <w:sz w:val="14"/>
              </w:rPr>
              <w:t> </w:t>
            </w:r>
            <w:r>
              <w:rPr>
                <w:color w:val="231F20"/>
                <w:spacing w:val="-4"/>
                <w:w w:val="90"/>
                <w:sz w:val="14"/>
              </w:rPr>
              <w:t>Rep.</w:t>
            </w:r>
          </w:p>
        </w:tc>
        <w:tc>
          <w:tcPr>
            <w:tcW w:w="1182" w:type="dxa"/>
          </w:tcPr>
          <w:p>
            <w:pPr>
              <w:pStyle w:val="TableParagraph"/>
              <w:ind w:right="435"/>
              <w:jc w:val="right"/>
              <w:rPr>
                <w:sz w:val="14"/>
              </w:rPr>
            </w:pPr>
            <w:r>
              <w:rPr>
                <w:color w:val="231F20"/>
                <w:spacing w:val="-5"/>
                <w:w w:val="95"/>
                <w:sz w:val="14"/>
              </w:rPr>
              <w:t>269</w:t>
            </w:r>
          </w:p>
        </w:tc>
        <w:tc>
          <w:tcPr>
            <w:tcW w:w="852" w:type="dxa"/>
          </w:tcPr>
          <w:p>
            <w:pPr>
              <w:pStyle w:val="TableParagraph"/>
              <w:ind w:left="90" w:right="145"/>
              <w:rPr>
                <w:sz w:val="14"/>
              </w:rPr>
            </w:pPr>
            <w:r>
              <w:rPr>
                <w:color w:val="231F20"/>
                <w:spacing w:val="-5"/>
                <w:w w:val="95"/>
                <w:sz w:val="14"/>
              </w:rPr>
              <w:t>8.5</w:t>
            </w:r>
          </w:p>
        </w:tc>
        <w:tc>
          <w:tcPr>
            <w:tcW w:w="1074" w:type="dxa"/>
          </w:tcPr>
          <w:p>
            <w:pPr>
              <w:pStyle w:val="TableParagraph"/>
              <w:ind w:left="82" w:right="61"/>
              <w:rPr>
                <w:sz w:val="14"/>
              </w:rPr>
            </w:pPr>
            <w:r>
              <w:rPr>
                <w:color w:val="231F20"/>
                <w:spacing w:val="-5"/>
                <w:w w:val="95"/>
                <w:sz w:val="14"/>
              </w:rPr>
              <w:t>7.6</w:t>
            </w:r>
          </w:p>
        </w:tc>
        <w:tc>
          <w:tcPr>
            <w:tcW w:w="1071" w:type="dxa"/>
          </w:tcPr>
          <w:p>
            <w:pPr>
              <w:pStyle w:val="TableParagraph"/>
              <w:ind w:left="378"/>
              <w:jc w:val="left"/>
              <w:rPr>
                <w:sz w:val="14"/>
              </w:rPr>
            </w:pPr>
            <w:r>
              <w:rPr>
                <w:color w:val="231F20"/>
                <w:spacing w:val="-5"/>
                <w:w w:val="95"/>
                <w:sz w:val="14"/>
              </w:rPr>
              <w:t>6.1</w:t>
            </w:r>
          </w:p>
        </w:tc>
        <w:tc>
          <w:tcPr>
            <w:tcW w:w="756" w:type="dxa"/>
          </w:tcPr>
          <w:p>
            <w:pPr>
              <w:pStyle w:val="TableParagraph"/>
              <w:ind w:left="39" w:right="12"/>
              <w:rPr>
                <w:sz w:val="14"/>
              </w:rPr>
            </w:pPr>
            <w:r>
              <w:rPr>
                <w:color w:val="231F20"/>
                <w:spacing w:val="-5"/>
                <w:w w:val="95"/>
                <w:sz w:val="14"/>
              </w:rPr>
              <w:t>9.9</w:t>
            </w:r>
          </w:p>
        </w:tc>
        <w:tc>
          <w:tcPr>
            <w:tcW w:w="241" w:type="dxa"/>
          </w:tcPr>
          <w:p>
            <w:pPr>
              <w:pStyle w:val="TableParagraph"/>
              <w:spacing w:before="0"/>
              <w:jc w:val="left"/>
              <w:rPr>
                <w:rFonts w:ascii="Times New Roman"/>
                <w:sz w:val="12"/>
              </w:rPr>
            </w:pPr>
          </w:p>
        </w:tc>
        <w:tc>
          <w:tcPr>
            <w:tcW w:w="852" w:type="dxa"/>
          </w:tcPr>
          <w:p>
            <w:pPr>
              <w:pStyle w:val="TableParagraph"/>
              <w:ind w:right="371"/>
              <w:jc w:val="right"/>
              <w:rPr>
                <w:sz w:val="14"/>
              </w:rPr>
            </w:pPr>
            <w:r>
              <w:rPr>
                <w:color w:val="231F20"/>
                <w:spacing w:val="-5"/>
                <w:w w:val="95"/>
                <w:sz w:val="14"/>
              </w:rPr>
              <w:t>8.5</w:t>
            </w:r>
          </w:p>
        </w:tc>
        <w:tc>
          <w:tcPr>
            <w:tcW w:w="1074" w:type="dxa"/>
          </w:tcPr>
          <w:p>
            <w:pPr>
              <w:pStyle w:val="TableParagraph"/>
              <w:ind w:left="74" w:right="61"/>
              <w:rPr>
                <w:sz w:val="14"/>
              </w:rPr>
            </w:pPr>
            <w:r>
              <w:rPr>
                <w:color w:val="231F20"/>
                <w:spacing w:val="-5"/>
                <w:w w:val="95"/>
                <w:sz w:val="14"/>
              </w:rPr>
              <w:t>7.5</w:t>
            </w:r>
          </w:p>
        </w:tc>
        <w:tc>
          <w:tcPr>
            <w:tcW w:w="937" w:type="dxa"/>
          </w:tcPr>
          <w:p>
            <w:pPr>
              <w:pStyle w:val="TableParagraph"/>
              <w:ind w:left="32" w:right="46"/>
              <w:rPr>
                <w:sz w:val="14"/>
              </w:rPr>
            </w:pPr>
            <w:r>
              <w:rPr>
                <w:color w:val="231F20"/>
                <w:spacing w:val="-5"/>
                <w:w w:val="95"/>
                <w:sz w:val="14"/>
              </w:rPr>
              <w:t>5.9</w:t>
            </w:r>
          </w:p>
        </w:tc>
        <w:tc>
          <w:tcPr>
            <w:tcW w:w="1009" w:type="dxa"/>
          </w:tcPr>
          <w:p>
            <w:pPr>
              <w:pStyle w:val="TableParagraph"/>
              <w:ind w:left="69" w:right="36"/>
              <w:rPr>
                <w:sz w:val="14"/>
              </w:rPr>
            </w:pPr>
            <w:r>
              <w:rPr>
                <w:color w:val="231F20"/>
                <w:spacing w:val="-5"/>
                <w:w w:val="95"/>
                <w:sz w:val="14"/>
              </w:rPr>
              <w:t>9.8</w:t>
            </w:r>
          </w:p>
        </w:tc>
      </w:tr>
      <w:tr>
        <w:trPr>
          <w:trHeight w:val="259" w:hRule="atLeast"/>
        </w:trPr>
        <w:tc>
          <w:tcPr>
            <w:tcW w:w="1280" w:type="dxa"/>
            <w:shd w:val="clear" w:color="auto" w:fill="D4E3F5"/>
          </w:tcPr>
          <w:p>
            <w:pPr>
              <w:pStyle w:val="TableParagraph"/>
              <w:ind w:left="80"/>
              <w:jc w:val="left"/>
              <w:rPr>
                <w:sz w:val="14"/>
              </w:rPr>
            </w:pPr>
            <w:r>
              <w:rPr>
                <w:color w:val="231F20"/>
                <w:w w:val="75"/>
                <w:sz w:val="14"/>
              </w:rPr>
              <w:t>Costa</w:t>
            </w:r>
            <w:r>
              <w:rPr>
                <w:color w:val="231F20"/>
                <w:spacing w:val="9"/>
                <w:sz w:val="14"/>
              </w:rPr>
              <w:t> </w:t>
            </w:r>
            <w:r>
              <w:rPr>
                <w:color w:val="231F20"/>
                <w:spacing w:val="-4"/>
                <w:w w:val="85"/>
                <w:sz w:val="14"/>
              </w:rPr>
              <w:t>Rica</w:t>
            </w:r>
          </w:p>
        </w:tc>
        <w:tc>
          <w:tcPr>
            <w:tcW w:w="1182" w:type="dxa"/>
            <w:shd w:val="clear" w:color="auto" w:fill="D4E3F5"/>
          </w:tcPr>
          <w:p>
            <w:pPr>
              <w:pStyle w:val="TableParagraph"/>
              <w:ind w:right="436"/>
              <w:jc w:val="right"/>
              <w:rPr>
                <w:sz w:val="14"/>
              </w:rPr>
            </w:pPr>
            <w:r>
              <w:rPr>
                <w:color w:val="231F20"/>
                <w:spacing w:val="-2"/>
                <w:w w:val="95"/>
                <w:sz w:val="14"/>
              </w:rPr>
              <w:t>6,046</w:t>
            </w:r>
          </w:p>
        </w:tc>
        <w:tc>
          <w:tcPr>
            <w:tcW w:w="852" w:type="dxa"/>
            <w:shd w:val="clear" w:color="auto" w:fill="D4E3F5"/>
          </w:tcPr>
          <w:p>
            <w:pPr>
              <w:pStyle w:val="TableParagraph"/>
              <w:ind w:left="89" w:right="145"/>
              <w:rPr>
                <w:sz w:val="14"/>
              </w:rPr>
            </w:pPr>
            <w:r>
              <w:rPr>
                <w:color w:val="231F20"/>
                <w:spacing w:val="-5"/>
                <w:w w:val="95"/>
                <w:sz w:val="14"/>
              </w:rPr>
              <w:t>2.8</w:t>
            </w:r>
          </w:p>
        </w:tc>
        <w:tc>
          <w:tcPr>
            <w:tcW w:w="1074" w:type="dxa"/>
            <w:shd w:val="clear" w:color="auto" w:fill="D4E3F5"/>
          </w:tcPr>
          <w:p>
            <w:pPr>
              <w:pStyle w:val="TableParagraph"/>
              <w:ind w:left="55" w:right="61"/>
              <w:rPr>
                <w:sz w:val="14"/>
              </w:rPr>
            </w:pPr>
            <w:r>
              <w:rPr>
                <w:color w:val="231F20"/>
                <w:spacing w:val="-5"/>
                <w:w w:val="95"/>
                <w:sz w:val="14"/>
              </w:rPr>
              <w:t>2.1</w:t>
            </w:r>
          </w:p>
        </w:tc>
        <w:tc>
          <w:tcPr>
            <w:tcW w:w="1071" w:type="dxa"/>
            <w:shd w:val="clear" w:color="auto" w:fill="D4E3F5"/>
          </w:tcPr>
          <w:p>
            <w:pPr>
              <w:pStyle w:val="TableParagraph"/>
              <w:ind w:left="386"/>
              <w:jc w:val="left"/>
              <w:rPr>
                <w:sz w:val="14"/>
              </w:rPr>
            </w:pPr>
            <w:r>
              <w:rPr>
                <w:color w:val="231F20"/>
                <w:spacing w:val="-5"/>
                <w:w w:val="95"/>
                <w:sz w:val="14"/>
              </w:rPr>
              <w:t>1.3</w:t>
            </w:r>
          </w:p>
        </w:tc>
        <w:tc>
          <w:tcPr>
            <w:tcW w:w="756" w:type="dxa"/>
            <w:shd w:val="clear" w:color="auto" w:fill="D4E3F5"/>
          </w:tcPr>
          <w:p>
            <w:pPr>
              <w:pStyle w:val="TableParagraph"/>
              <w:ind w:left="39" w:right="11"/>
              <w:rPr>
                <w:sz w:val="14"/>
              </w:rPr>
            </w:pPr>
            <w:r>
              <w:rPr>
                <w:color w:val="231F20"/>
                <w:spacing w:val="-5"/>
                <w:w w:val="95"/>
                <w:sz w:val="14"/>
              </w:rPr>
              <w:t>3.5</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2"/>
              <w:jc w:val="right"/>
              <w:rPr>
                <w:sz w:val="14"/>
              </w:rPr>
            </w:pPr>
            <w:r>
              <w:rPr>
                <w:color w:val="231F20"/>
                <w:spacing w:val="-5"/>
                <w:w w:val="95"/>
                <w:sz w:val="14"/>
              </w:rPr>
              <w:t>2.6</w:t>
            </w:r>
          </w:p>
        </w:tc>
        <w:tc>
          <w:tcPr>
            <w:tcW w:w="1074" w:type="dxa"/>
            <w:shd w:val="clear" w:color="auto" w:fill="D4E3F5"/>
          </w:tcPr>
          <w:p>
            <w:pPr>
              <w:pStyle w:val="TableParagraph"/>
              <w:ind w:left="67" w:right="61"/>
              <w:rPr>
                <w:sz w:val="14"/>
              </w:rPr>
            </w:pPr>
            <w:r>
              <w:rPr>
                <w:color w:val="231F20"/>
                <w:spacing w:val="-5"/>
                <w:w w:val="95"/>
                <w:sz w:val="14"/>
              </w:rPr>
              <w:t>1.9</w:t>
            </w:r>
          </w:p>
        </w:tc>
        <w:tc>
          <w:tcPr>
            <w:tcW w:w="937" w:type="dxa"/>
            <w:shd w:val="clear" w:color="auto" w:fill="D4E3F5"/>
          </w:tcPr>
          <w:p>
            <w:pPr>
              <w:pStyle w:val="TableParagraph"/>
              <w:ind w:left="40" w:right="46"/>
              <w:rPr>
                <w:sz w:val="14"/>
              </w:rPr>
            </w:pPr>
            <w:r>
              <w:rPr>
                <w:color w:val="231F20"/>
                <w:spacing w:val="-5"/>
                <w:w w:val="95"/>
                <w:sz w:val="14"/>
              </w:rPr>
              <w:t>1.3</w:t>
            </w:r>
          </w:p>
        </w:tc>
        <w:tc>
          <w:tcPr>
            <w:tcW w:w="1009" w:type="dxa"/>
            <w:shd w:val="clear" w:color="auto" w:fill="D4E3F5"/>
          </w:tcPr>
          <w:p>
            <w:pPr>
              <w:pStyle w:val="TableParagraph"/>
              <w:ind w:left="69" w:right="36"/>
              <w:rPr>
                <w:sz w:val="14"/>
              </w:rPr>
            </w:pPr>
            <w:r>
              <w:rPr>
                <w:color w:val="231F20"/>
                <w:spacing w:val="-5"/>
                <w:w w:val="95"/>
                <w:sz w:val="14"/>
              </w:rPr>
              <w:t>3.2</w:t>
            </w:r>
          </w:p>
        </w:tc>
      </w:tr>
      <w:tr>
        <w:trPr>
          <w:trHeight w:val="259" w:hRule="atLeast"/>
        </w:trPr>
        <w:tc>
          <w:tcPr>
            <w:tcW w:w="1280" w:type="dxa"/>
          </w:tcPr>
          <w:p>
            <w:pPr>
              <w:pStyle w:val="TableParagraph"/>
              <w:ind w:left="80"/>
              <w:jc w:val="left"/>
              <w:rPr>
                <w:sz w:val="14"/>
              </w:rPr>
            </w:pPr>
            <w:r>
              <w:rPr>
                <w:color w:val="231F20"/>
                <w:w w:val="75"/>
                <w:sz w:val="14"/>
              </w:rPr>
              <w:t>Côte</w:t>
            </w:r>
            <w:r>
              <w:rPr>
                <w:color w:val="231F20"/>
                <w:spacing w:val="1"/>
                <w:sz w:val="14"/>
              </w:rPr>
              <w:t> </w:t>
            </w:r>
            <w:r>
              <w:rPr>
                <w:color w:val="231F20"/>
                <w:spacing w:val="-2"/>
                <w:w w:val="85"/>
                <w:sz w:val="14"/>
              </w:rPr>
              <w:t>d’Ivoire</w:t>
            </w:r>
          </w:p>
        </w:tc>
        <w:tc>
          <w:tcPr>
            <w:tcW w:w="1182" w:type="dxa"/>
          </w:tcPr>
          <w:p>
            <w:pPr>
              <w:pStyle w:val="TableParagraph"/>
              <w:ind w:right="435"/>
              <w:jc w:val="right"/>
              <w:rPr>
                <w:sz w:val="14"/>
              </w:rPr>
            </w:pPr>
            <w:r>
              <w:rPr>
                <w:color w:val="231F20"/>
                <w:spacing w:val="-2"/>
                <w:w w:val="95"/>
                <w:sz w:val="14"/>
              </w:rPr>
              <w:t>2,643</w:t>
            </w:r>
          </w:p>
        </w:tc>
        <w:tc>
          <w:tcPr>
            <w:tcW w:w="852" w:type="dxa"/>
          </w:tcPr>
          <w:p>
            <w:pPr>
              <w:pStyle w:val="TableParagraph"/>
              <w:ind w:left="86" w:right="145"/>
              <w:rPr>
                <w:sz w:val="14"/>
              </w:rPr>
            </w:pPr>
            <w:r>
              <w:rPr>
                <w:color w:val="231F20"/>
                <w:spacing w:val="-5"/>
                <w:w w:val="95"/>
                <w:sz w:val="14"/>
              </w:rPr>
              <w:t>6.4</w:t>
            </w:r>
          </w:p>
        </w:tc>
        <w:tc>
          <w:tcPr>
            <w:tcW w:w="1074" w:type="dxa"/>
          </w:tcPr>
          <w:p>
            <w:pPr>
              <w:pStyle w:val="TableParagraph"/>
              <w:ind w:left="65" w:right="61"/>
              <w:rPr>
                <w:sz w:val="14"/>
              </w:rPr>
            </w:pPr>
            <w:r>
              <w:rPr>
                <w:color w:val="231F20"/>
                <w:spacing w:val="-5"/>
                <w:w w:val="95"/>
                <w:sz w:val="14"/>
              </w:rPr>
              <w:t>5.7</w:t>
            </w:r>
          </w:p>
        </w:tc>
        <w:tc>
          <w:tcPr>
            <w:tcW w:w="1071" w:type="dxa"/>
          </w:tcPr>
          <w:p>
            <w:pPr>
              <w:pStyle w:val="TableParagraph"/>
              <w:ind w:left="380"/>
              <w:jc w:val="left"/>
              <w:rPr>
                <w:sz w:val="14"/>
              </w:rPr>
            </w:pPr>
            <w:r>
              <w:rPr>
                <w:color w:val="231F20"/>
                <w:spacing w:val="-5"/>
                <w:w w:val="95"/>
                <w:sz w:val="14"/>
              </w:rPr>
              <w:t>4.0</w:t>
            </w:r>
          </w:p>
        </w:tc>
        <w:tc>
          <w:tcPr>
            <w:tcW w:w="756" w:type="dxa"/>
          </w:tcPr>
          <w:p>
            <w:pPr>
              <w:pStyle w:val="TableParagraph"/>
              <w:ind w:left="46" w:right="8"/>
              <w:rPr>
                <w:sz w:val="14"/>
              </w:rPr>
            </w:pPr>
            <w:r>
              <w:rPr>
                <w:color w:val="231F20"/>
                <w:spacing w:val="-5"/>
                <w:w w:val="95"/>
                <w:sz w:val="14"/>
              </w:rPr>
              <w:t>7.6</w:t>
            </w:r>
          </w:p>
        </w:tc>
        <w:tc>
          <w:tcPr>
            <w:tcW w:w="241" w:type="dxa"/>
          </w:tcPr>
          <w:p>
            <w:pPr>
              <w:pStyle w:val="TableParagraph"/>
              <w:spacing w:before="0"/>
              <w:jc w:val="left"/>
              <w:rPr>
                <w:rFonts w:ascii="Times New Roman"/>
                <w:sz w:val="12"/>
              </w:rPr>
            </w:pPr>
          </w:p>
        </w:tc>
        <w:tc>
          <w:tcPr>
            <w:tcW w:w="852" w:type="dxa"/>
          </w:tcPr>
          <w:p>
            <w:pPr>
              <w:pStyle w:val="TableParagraph"/>
              <w:ind w:right="371"/>
              <w:jc w:val="right"/>
              <w:rPr>
                <w:sz w:val="14"/>
              </w:rPr>
            </w:pPr>
            <w:r>
              <w:rPr>
                <w:color w:val="231F20"/>
                <w:spacing w:val="-5"/>
                <w:w w:val="95"/>
                <w:sz w:val="14"/>
              </w:rPr>
              <w:t>6.2</w:t>
            </w:r>
          </w:p>
        </w:tc>
        <w:tc>
          <w:tcPr>
            <w:tcW w:w="1074" w:type="dxa"/>
          </w:tcPr>
          <w:p>
            <w:pPr>
              <w:pStyle w:val="TableParagraph"/>
              <w:ind w:left="61" w:right="61"/>
              <w:rPr>
                <w:sz w:val="14"/>
              </w:rPr>
            </w:pPr>
            <w:r>
              <w:rPr>
                <w:color w:val="231F20"/>
                <w:spacing w:val="-5"/>
                <w:w w:val="95"/>
                <w:sz w:val="14"/>
              </w:rPr>
              <w:t>5.6</w:t>
            </w:r>
          </w:p>
        </w:tc>
        <w:tc>
          <w:tcPr>
            <w:tcW w:w="937" w:type="dxa"/>
          </w:tcPr>
          <w:p>
            <w:pPr>
              <w:pStyle w:val="TableParagraph"/>
              <w:ind w:left="33" w:right="46"/>
              <w:rPr>
                <w:sz w:val="14"/>
              </w:rPr>
            </w:pPr>
            <w:r>
              <w:rPr>
                <w:color w:val="231F20"/>
                <w:spacing w:val="-5"/>
                <w:w w:val="95"/>
                <w:sz w:val="14"/>
              </w:rPr>
              <w:t>3.9</w:t>
            </w:r>
          </w:p>
        </w:tc>
        <w:tc>
          <w:tcPr>
            <w:tcW w:w="1009" w:type="dxa"/>
          </w:tcPr>
          <w:p>
            <w:pPr>
              <w:pStyle w:val="TableParagraph"/>
              <w:ind w:left="79" w:right="36"/>
              <w:rPr>
                <w:sz w:val="14"/>
              </w:rPr>
            </w:pPr>
            <w:r>
              <w:rPr>
                <w:color w:val="231F20"/>
                <w:spacing w:val="-5"/>
                <w:w w:val="95"/>
                <w:sz w:val="14"/>
              </w:rPr>
              <w:t>7.4</w:t>
            </w:r>
          </w:p>
        </w:tc>
      </w:tr>
      <w:tr>
        <w:trPr>
          <w:trHeight w:val="259" w:hRule="atLeast"/>
        </w:trPr>
        <w:tc>
          <w:tcPr>
            <w:tcW w:w="1280" w:type="dxa"/>
            <w:shd w:val="clear" w:color="auto" w:fill="D4E3F5"/>
          </w:tcPr>
          <w:p>
            <w:pPr>
              <w:pStyle w:val="TableParagraph"/>
              <w:ind w:left="80"/>
              <w:jc w:val="left"/>
              <w:rPr>
                <w:sz w:val="14"/>
              </w:rPr>
            </w:pPr>
            <w:r>
              <w:rPr>
                <w:color w:val="231F20"/>
                <w:spacing w:val="-2"/>
                <w:w w:val="90"/>
                <w:sz w:val="14"/>
              </w:rPr>
              <w:t>Croatia</w:t>
            </w:r>
          </w:p>
        </w:tc>
        <w:tc>
          <w:tcPr>
            <w:tcW w:w="1182" w:type="dxa"/>
            <w:shd w:val="clear" w:color="auto" w:fill="D4E3F5"/>
          </w:tcPr>
          <w:p>
            <w:pPr>
              <w:pStyle w:val="TableParagraph"/>
              <w:ind w:right="435"/>
              <w:jc w:val="right"/>
              <w:rPr>
                <w:sz w:val="14"/>
              </w:rPr>
            </w:pPr>
            <w:r>
              <w:rPr>
                <w:color w:val="231F20"/>
                <w:spacing w:val="-5"/>
                <w:w w:val="95"/>
                <w:sz w:val="14"/>
              </w:rPr>
              <w:t>799</w:t>
            </w:r>
          </w:p>
        </w:tc>
        <w:tc>
          <w:tcPr>
            <w:tcW w:w="852" w:type="dxa"/>
            <w:shd w:val="clear" w:color="auto" w:fill="D4E3F5"/>
          </w:tcPr>
          <w:p>
            <w:pPr>
              <w:pStyle w:val="TableParagraph"/>
              <w:ind w:left="90" w:right="145"/>
              <w:rPr>
                <w:sz w:val="14"/>
              </w:rPr>
            </w:pPr>
            <w:r>
              <w:rPr>
                <w:color w:val="231F20"/>
                <w:spacing w:val="-5"/>
                <w:w w:val="95"/>
                <w:sz w:val="14"/>
              </w:rPr>
              <w:t>8.8</w:t>
            </w:r>
          </w:p>
        </w:tc>
        <w:tc>
          <w:tcPr>
            <w:tcW w:w="1074" w:type="dxa"/>
            <w:shd w:val="clear" w:color="auto" w:fill="D4E3F5"/>
          </w:tcPr>
          <w:p>
            <w:pPr>
              <w:pStyle w:val="TableParagraph"/>
              <w:ind w:left="72" w:right="61"/>
              <w:rPr>
                <w:sz w:val="14"/>
              </w:rPr>
            </w:pPr>
            <w:r>
              <w:rPr>
                <w:color w:val="231F20"/>
                <w:spacing w:val="-5"/>
                <w:w w:val="95"/>
                <w:sz w:val="14"/>
              </w:rPr>
              <w:t>8.5</w:t>
            </w:r>
          </w:p>
        </w:tc>
        <w:tc>
          <w:tcPr>
            <w:tcW w:w="1071" w:type="dxa"/>
            <w:shd w:val="clear" w:color="auto" w:fill="D4E3F5"/>
          </w:tcPr>
          <w:p>
            <w:pPr>
              <w:pStyle w:val="TableParagraph"/>
              <w:ind w:left="378"/>
              <w:jc w:val="left"/>
              <w:rPr>
                <w:sz w:val="14"/>
              </w:rPr>
            </w:pPr>
            <w:r>
              <w:rPr>
                <w:color w:val="231F20"/>
                <w:spacing w:val="-5"/>
                <w:w w:val="95"/>
                <w:sz w:val="14"/>
              </w:rPr>
              <w:t>6.2</w:t>
            </w:r>
          </w:p>
        </w:tc>
        <w:tc>
          <w:tcPr>
            <w:tcW w:w="756" w:type="dxa"/>
            <w:shd w:val="clear" w:color="auto" w:fill="D4E3F5"/>
          </w:tcPr>
          <w:p>
            <w:pPr>
              <w:pStyle w:val="TableParagraph"/>
              <w:ind w:left="242"/>
              <w:jc w:val="left"/>
              <w:rPr>
                <w:sz w:val="14"/>
              </w:rPr>
            </w:pPr>
            <w:r>
              <w:rPr>
                <w:color w:val="231F20"/>
                <w:spacing w:val="-4"/>
                <w:w w:val="95"/>
                <w:sz w:val="14"/>
              </w:rPr>
              <w:t>10.7</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0"/>
              <w:jc w:val="right"/>
              <w:rPr>
                <w:sz w:val="14"/>
              </w:rPr>
            </w:pPr>
            <w:r>
              <w:rPr>
                <w:color w:val="231F20"/>
                <w:spacing w:val="-5"/>
                <w:w w:val="95"/>
                <w:sz w:val="14"/>
              </w:rPr>
              <w:t>8.8</w:t>
            </w:r>
          </w:p>
        </w:tc>
        <w:tc>
          <w:tcPr>
            <w:tcW w:w="1074" w:type="dxa"/>
            <w:shd w:val="clear" w:color="auto" w:fill="D4E3F5"/>
          </w:tcPr>
          <w:p>
            <w:pPr>
              <w:pStyle w:val="TableParagraph"/>
              <w:ind w:left="62" w:right="61"/>
              <w:rPr>
                <w:sz w:val="14"/>
              </w:rPr>
            </w:pPr>
            <w:r>
              <w:rPr>
                <w:color w:val="231F20"/>
                <w:spacing w:val="-5"/>
                <w:w w:val="95"/>
                <w:sz w:val="14"/>
              </w:rPr>
              <w:t>8.5</w:t>
            </w:r>
          </w:p>
        </w:tc>
        <w:tc>
          <w:tcPr>
            <w:tcW w:w="937" w:type="dxa"/>
            <w:shd w:val="clear" w:color="auto" w:fill="D4E3F5"/>
          </w:tcPr>
          <w:p>
            <w:pPr>
              <w:pStyle w:val="TableParagraph"/>
              <w:ind w:left="33" w:right="46"/>
              <w:rPr>
                <w:sz w:val="14"/>
              </w:rPr>
            </w:pPr>
            <w:r>
              <w:rPr>
                <w:color w:val="231F20"/>
                <w:spacing w:val="-5"/>
                <w:w w:val="95"/>
                <w:sz w:val="14"/>
              </w:rPr>
              <w:t>6.2</w:t>
            </w:r>
          </w:p>
        </w:tc>
        <w:tc>
          <w:tcPr>
            <w:tcW w:w="1009" w:type="dxa"/>
            <w:shd w:val="clear" w:color="auto" w:fill="D4E3F5"/>
          </w:tcPr>
          <w:p>
            <w:pPr>
              <w:pStyle w:val="TableParagraph"/>
              <w:ind w:left="45" w:right="77"/>
              <w:rPr>
                <w:sz w:val="14"/>
              </w:rPr>
            </w:pPr>
            <w:r>
              <w:rPr>
                <w:color w:val="231F20"/>
                <w:spacing w:val="-4"/>
                <w:w w:val="95"/>
                <w:sz w:val="14"/>
              </w:rPr>
              <w:t>10.7</w:t>
            </w:r>
          </w:p>
        </w:tc>
      </w:tr>
      <w:tr>
        <w:trPr>
          <w:trHeight w:val="259" w:hRule="atLeast"/>
        </w:trPr>
        <w:tc>
          <w:tcPr>
            <w:tcW w:w="1280" w:type="dxa"/>
          </w:tcPr>
          <w:p>
            <w:pPr>
              <w:pStyle w:val="TableParagraph"/>
              <w:ind w:left="80"/>
              <w:jc w:val="left"/>
              <w:rPr>
                <w:sz w:val="14"/>
              </w:rPr>
            </w:pPr>
            <w:r>
              <w:rPr>
                <w:color w:val="231F20"/>
                <w:spacing w:val="-4"/>
                <w:w w:val="85"/>
                <w:sz w:val="14"/>
              </w:rPr>
              <w:t>Cuba</w:t>
            </w:r>
          </w:p>
        </w:tc>
        <w:tc>
          <w:tcPr>
            <w:tcW w:w="1182" w:type="dxa"/>
          </w:tcPr>
          <w:p>
            <w:pPr>
              <w:pStyle w:val="TableParagraph"/>
              <w:ind w:right="437"/>
              <w:jc w:val="right"/>
              <w:rPr>
                <w:sz w:val="14"/>
              </w:rPr>
            </w:pPr>
            <w:r>
              <w:rPr>
                <w:color w:val="231F20"/>
                <w:spacing w:val="-10"/>
                <w:w w:val="95"/>
                <w:sz w:val="14"/>
              </w:rPr>
              <w:t>3</w:t>
            </w:r>
          </w:p>
        </w:tc>
        <w:tc>
          <w:tcPr>
            <w:tcW w:w="852" w:type="dxa"/>
          </w:tcPr>
          <w:p>
            <w:pPr>
              <w:pStyle w:val="TableParagraph"/>
              <w:ind w:left="89" w:right="145"/>
              <w:rPr>
                <w:sz w:val="14"/>
              </w:rPr>
            </w:pPr>
            <w:r>
              <w:rPr>
                <w:color w:val="231F20"/>
                <w:spacing w:val="-5"/>
                <w:w w:val="95"/>
                <w:sz w:val="14"/>
              </w:rPr>
              <w:t>8.9</w:t>
            </w:r>
          </w:p>
        </w:tc>
        <w:tc>
          <w:tcPr>
            <w:tcW w:w="1074" w:type="dxa"/>
          </w:tcPr>
          <w:p>
            <w:pPr>
              <w:pStyle w:val="TableParagraph"/>
              <w:ind w:left="64" w:right="61"/>
              <w:rPr>
                <w:sz w:val="14"/>
              </w:rPr>
            </w:pPr>
            <w:r>
              <w:rPr>
                <w:color w:val="231F20"/>
                <w:spacing w:val="-5"/>
                <w:w w:val="95"/>
                <w:sz w:val="14"/>
              </w:rPr>
              <w:t>8.7</w:t>
            </w:r>
          </w:p>
        </w:tc>
        <w:tc>
          <w:tcPr>
            <w:tcW w:w="1071" w:type="dxa"/>
          </w:tcPr>
          <w:p>
            <w:pPr>
              <w:pStyle w:val="TableParagraph"/>
              <w:ind w:left="378"/>
              <w:jc w:val="left"/>
              <w:rPr>
                <w:sz w:val="14"/>
              </w:rPr>
            </w:pPr>
            <w:r>
              <w:rPr>
                <w:color w:val="231F20"/>
                <w:spacing w:val="-5"/>
                <w:w w:val="95"/>
                <w:sz w:val="14"/>
              </w:rPr>
              <w:t>6.9</w:t>
            </w:r>
          </w:p>
        </w:tc>
        <w:tc>
          <w:tcPr>
            <w:tcW w:w="756" w:type="dxa"/>
          </w:tcPr>
          <w:p>
            <w:pPr>
              <w:pStyle w:val="TableParagraph"/>
              <w:ind w:left="242"/>
              <w:jc w:val="left"/>
              <w:rPr>
                <w:sz w:val="14"/>
              </w:rPr>
            </w:pPr>
            <w:r>
              <w:rPr>
                <w:color w:val="231F20"/>
                <w:spacing w:val="-4"/>
                <w:w w:val="95"/>
                <w:sz w:val="14"/>
              </w:rPr>
              <w:t>10.8</w:t>
            </w:r>
          </w:p>
        </w:tc>
        <w:tc>
          <w:tcPr>
            <w:tcW w:w="241" w:type="dxa"/>
          </w:tcPr>
          <w:p>
            <w:pPr>
              <w:pStyle w:val="TableParagraph"/>
              <w:spacing w:before="0"/>
              <w:jc w:val="left"/>
              <w:rPr>
                <w:rFonts w:ascii="Times New Roman"/>
                <w:sz w:val="12"/>
              </w:rPr>
            </w:pPr>
          </w:p>
        </w:tc>
        <w:tc>
          <w:tcPr>
            <w:tcW w:w="852" w:type="dxa"/>
          </w:tcPr>
          <w:p>
            <w:pPr>
              <w:pStyle w:val="TableParagraph"/>
              <w:ind w:right="370"/>
              <w:jc w:val="right"/>
              <w:rPr>
                <w:sz w:val="14"/>
              </w:rPr>
            </w:pPr>
            <w:r>
              <w:rPr>
                <w:color w:val="231F20"/>
                <w:spacing w:val="-5"/>
                <w:w w:val="95"/>
                <w:sz w:val="14"/>
              </w:rPr>
              <w:t>8.9</w:t>
            </w:r>
          </w:p>
        </w:tc>
        <w:tc>
          <w:tcPr>
            <w:tcW w:w="1074" w:type="dxa"/>
          </w:tcPr>
          <w:p>
            <w:pPr>
              <w:pStyle w:val="TableParagraph"/>
              <w:ind w:left="58" w:right="61"/>
              <w:rPr>
                <w:sz w:val="14"/>
              </w:rPr>
            </w:pPr>
            <w:r>
              <w:rPr>
                <w:color w:val="231F20"/>
                <w:spacing w:val="-5"/>
                <w:w w:val="95"/>
                <w:sz w:val="14"/>
              </w:rPr>
              <w:t>8.7</w:t>
            </w:r>
          </w:p>
        </w:tc>
        <w:tc>
          <w:tcPr>
            <w:tcW w:w="937" w:type="dxa"/>
          </w:tcPr>
          <w:p>
            <w:pPr>
              <w:pStyle w:val="TableParagraph"/>
              <w:ind w:left="34" w:right="46"/>
              <w:rPr>
                <w:sz w:val="14"/>
              </w:rPr>
            </w:pPr>
            <w:r>
              <w:rPr>
                <w:color w:val="231F20"/>
                <w:spacing w:val="-5"/>
                <w:w w:val="95"/>
                <w:sz w:val="14"/>
              </w:rPr>
              <w:t>6.9</w:t>
            </w:r>
          </w:p>
        </w:tc>
        <w:tc>
          <w:tcPr>
            <w:tcW w:w="1009" w:type="dxa"/>
          </w:tcPr>
          <w:p>
            <w:pPr>
              <w:pStyle w:val="TableParagraph"/>
              <w:ind w:left="45" w:right="73"/>
              <w:rPr>
                <w:sz w:val="14"/>
              </w:rPr>
            </w:pPr>
            <w:r>
              <w:rPr>
                <w:color w:val="231F20"/>
                <w:spacing w:val="-4"/>
                <w:w w:val="95"/>
                <w:sz w:val="14"/>
              </w:rPr>
              <w:t>10.8</w:t>
            </w:r>
          </w:p>
        </w:tc>
      </w:tr>
      <w:tr>
        <w:trPr>
          <w:trHeight w:val="259" w:hRule="atLeast"/>
        </w:trPr>
        <w:tc>
          <w:tcPr>
            <w:tcW w:w="1280" w:type="dxa"/>
            <w:shd w:val="clear" w:color="auto" w:fill="D4E3F5"/>
          </w:tcPr>
          <w:p>
            <w:pPr>
              <w:pStyle w:val="TableParagraph"/>
              <w:ind w:left="80"/>
              <w:jc w:val="left"/>
              <w:rPr>
                <w:sz w:val="14"/>
              </w:rPr>
            </w:pPr>
            <w:r>
              <w:rPr>
                <w:color w:val="231F20"/>
                <w:spacing w:val="-2"/>
                <w:w w:val="85"/>
                <w:sz w:val="14"/>
              </w:rPr>
              <w:t>Curaçao</w:t>
            </w:r>
          </w:p>
        </w:tc>
        <w:tc>
          <w:tcPr>
            <w:tcW w:w="1182" w:type="dxa"/>
            <w:shd w:val="clear" w:color="auto" w:fill="D4E3F5"/>
          </w:tcPr>
          <w:p>
            <w:pPr>
              <w:pStyle w:val="TableParagraph"/>
              <w:ind w:right="437"/>
              <w:jc w:val="right"/>
              <w:rPr>
                <w:sz w:val="14"/>
              </w:rPr>
            </w:pPr>
            <w:r>
              <w:rPr>
                <w:color w:val="231F20"/>
                <w:spacing w:val="-10"/>
                <w:w w:val="95"/>
                <w:sz w:val="14"/>
              </w:rPr>
              <w:t>8</w:t>
            </w:r>
          </w:p>
        </w:tc>
        <w:tc>
          <w:tcPr>
            <w:tcW w:w="852" w:type="dxa"/>
            <w:shd w:val="clear" w:color="auto" w:fill="D4E3F5"/>
          </w:tcPr>
          <w:p>
            <w:pPr>
              <w:pStyle w:val="TableParagraph"/>
              <w:ind w:left="26" w:right="145"/>
              <w:rPr>
                <w:sz w:val="14"/>
              </w:rPr>
            </w:pPr>
            <w:r>
              <w:rPr>
                <w:color w:val="231F20"/>
                <w:spacing w:val="-4"/>
                <w:w w:val="95"/>
                <w:sz w:val="14"/>
              </w:rPr>
              <w:t>14.0</w:t>
            </w:r>
          </w:p>
        </w:tc>
        <w:tc>
          <w:tcPr>
            <w:tcW w:w="1074" w:type="dxa"/>
            <w:shd w:val="clear" w:color="auto" w:fill="D4E3F5"/>
          </w:tcPr>
          <w:p>
            <w:pPr>
              <w:pStyle w:val="TableParagraph"/>
              <w:ind w:left="22" w:right="72"/>
              <w:rPr>
                <w:sz w:val="14"/>
              </w:rPr>
            </w:pPr>
            <w:r>
              <w:rPr>
                <w:color w:val="231F20"/>
                <w:spacing w:val="-4"/>
                <w:w w:val="95"/>
                <w:sz w:val="14"/>
              </w:rPr>
              <w:t>12.8</w:t>
            </w:r>
          </w:p>
        </w:tc>
        <w:tc>
          <w:tcPr>
            <w:tcW w:w="1071" w:type="dxa"/>
            <w:shd w:val="clear" w:color="auto" w:fill="D4E3F5"/>
          </w:tcPr>
          <w:p>
            <w:pPr>
              <w:pStyle w:val="TableParagraph"/>
              <w:ind w:left="378"/>
              <w:jc w:val="left"/>
              <w:rPr>
                <w:sz w:val="14"/>
              </w:rPr>
            </w:pPr>
            <w:r>
              <w:rPr>
                <w:color w:val="231F20"/>
                <w:spacing w:val="-5"/>
                <w:w w:val="95"/>
                <w:sz w:val="14"/>
              </w:rPr>
              <w:t>6.5</w:t>
            </w:r>
          </w:p>
        </w:tc>
        <w:tc>
          <w:tcPr>
            <w:tcW w:w="756" w:type="dxa"/>
            <w:shd w:val="clear" w:color="auto" w:fill="D4E3F5"/>
          </w:tcPr>
          <w:p>
            <w:pPr>
              <w:pStyle w:val="TableParagraph"/>
              <w:ind w:left="243"/>
              <w:jc w:val="left"/>
              <w:rPr>
                <w:sz w:val="14"/>
              </w:rPr>
            </w:pPr>
            <w:r>
              <w:rPr>
                <w:color w:val="231F20"/>
                <w:spacing w:val="-4"/>
                <w:w w:val="95"/>
                <w:sz w:val="14"/>
              </w:rPr>
              <w:t>21.2</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3"/>
              <w:jc w:val="right"/>
              <w:rPr>
                <w:sz w:val="14"/>
              </w:rPr>
            </w:pPr>
            <w:r>
              <w:rPr>
                <w:color w:val="231F20"/>
                <w:spacing w:val="-4"/>
                <w:w w:val="95"/>
                <w:sz w:val="14"/>
              </w:rPr>
              <w:t>14.0</w:t>
            </w:r>
          </w:p>
        </w:tc>
        <w:tc>
          <w:tcPr>
            <w:tcW w:w="1074" w:type="dxa"/>
            <w:shd w:val="clear" w:color="auto" w:fill="D4E3F5"/>
          </w:tcPr>
          <w:p>
            <w:pPr>
              <w:pStyle w:val="TableParagraph"/>
              <w:ind w:left="22" w:right="81"/>
              <w:rPr>
                <w:sz w:val="14"/>
              </w:rPr>
            </w:pPr>
            <w:r>
              <w:rPr>
                <w:color w:val="231F20"/>
                <w:spacing w:val="-4"/>
                <w:w w:val="95"/>
                <w:sz w:val="14"/>
              </w:rPr>
              <w:t>12.8</w:t>
            </w:r>
          </w:p>
        </w:tc>
        <w:tc>
          <w:tcPr>
            <w:tcW w:w="937" w:type="dxa"/>
            <w:shd w:val="clear" w:color="auto" w:fill="D4E3F5"/>
          </w:tcPr>
          <w:p>
            <w:pPr>
              <w:pStyle w:val="TableParagraph"/>
              <w:ind w:left="32" w:right="46"/>
              <w:rPr>
                <w:sz w:val="14"/>
              </w:rPr>
            </w:pPr>
            <w:r>
              <w:rPr>
                <w:color w:val="231F20"/>
                <w:spacing w:val="-5"/>
                <w:w w:val="95"/>
                <w:sz w:val="14"/>
              </w:rPr>
              <w:t>6.5</w:t>
            </w:r>
          </w:p>
        </w:tc>
        <w:tc>
          <w:tcPr>
            <w:tcW w:w="1009" w:type="dxa"/>
            <w:shd w:val="clear" w:color="auto" w:fill="D4E3F5"/>
          </w:tcPr>
          <w:p>
            <w:pPr>
              <w:pStyle w:val="TableParagraph"/>
              <w:ind w:left="45" w:right="71"/>
              <w:rPr>
                <w:sz w:val="14"/>
              </w:rPr>
            </w:pPr>
            <w:r>
              <w:rPr>
                <w:color w:val="231F20"/>
                <w:spacing w:val="-4"/>
                <w:w w:val="95"/>
                <w:sz w:val="14"/>
              </w:rPr>
              <w:t>21.2</w:t>
            </w:r>
          </w:p>
        </w:tc>
      </w:tr>
      <w:tr>
        <w:trPr>
          <w:trHeight w:val="259" w:hRule="atLeast"/>
        </w:trPr>
        <w:tc>
          <w:tcPr>
            <w:tcW w:w="1280" w:type="dxa"/>
          </w:tcPr>
          <w:p>
            <w:pPr>
              <w:pStyle w:val="TableParagraph"/>
              <w:ind w:left="80"/>
              <w:jc w:val="left"/>
              <w:rPr>
                <w:sz w:val="14"/>
              </w:rPr>
            </w:pPr>
            <w:r>
              <w:rPr>
                <w:color w:val="231F20"/>
                <w:spacing w:val="-2"/>
                <w:w w:val="85"/>
                <w:sz w:val="14"/>
              </w:rPr>
              <w:t>Cyprus</w:t>
            </w:r>
          </w:p>
        </w:tc>
        <w:tc>
          <w:tcPr>
            <w:tcW w:w="1182" w:type="dxa"/>
          </w:tcPr>
          <w:p>
            <w:pPr>
              <w:pStyle w:val="TableParagraph"/>
              <w:ind w:right="433"/>
              <w:jc w:val="right"/>
              <w:rPr>
                <w:sz w:val="14"/>
              </w:rPr>
            </w:pPr>
            <w:r>
              <w:rPr>
                <w:color w:val="231F20"/>
                <w:spacing w:val="-5"/>
                <w:w w:val="95"/>
                <w:sz w:val="14"/>
              </w:rPr>
              <w:t>832</w:t>
            </w:r>
          </w:p>
        </w:tc>
        <w:tc>
          <w:tcPr>
            <w:tcW w:w="852" w:type="dxa"/>
          </w:tcPr>
          <w:p>
            <w:pPr>
              <w:pStyle w:val="TableParagraph"/>
              <w:ind w:left="95" w:right="145"/>
              <w:rPr>
                <w:sz w:val="14"/>
              </w:rPr>
            </w:pPr>
            <w:r>
              <w:rPr>
                <w:color w:val="231F20"/>
                <w:spacing w:val="-5"/>
                <w:w w:val="95"/>
                <w:sz w:val="14"/>
              </w:rPr>
              <w:t>1.8</w:t>
            </w:r>
          </w:p>
        </w:tc>
        <w:tc>
          <w:tcPr>
            <w:tcW w:w="1074" w:type="dxa"/>
          </w:tcPr>
          <w:p>
            <w:pPr>
              <w:pStyle w:val="TableParagraph"/>
              <w:ind w:left="75" w:right="61"/>
              <w:rPr>
                <w:sz w:val="14"/>
              </w:rPr>
            </w:pPr>
            <w:r>
              <w:rPr>
                <w:color w:val="231F20"/>
                <w:spacing w:val="-5"/>
                <w:w w:val="95"/>
                <w:sz w:val="14"/>
              </w:rPr>
              <w:t>1.4</w:t>
            </w:r>
          </w:p>
        </w:tc>
        <w:tc>
          <w:tcPr>
            <w:tcW w:w="1071" w:type="dxa"/>
          </w:tcPr>
          <w:p>
            <w:pPr>
              <w:pStyle w:val="TableParagraph"/>
              <w:ind w:left="386"/>
              <w:jc w:val="left"/>
              <w:rPr>
                <w:sz w:val="14"/>
              </w:rPr>
            </w:pPr>
            <w:r>
              <w:rPr>
                <w:color w:val="231F20"/>
                <w:spacing w:val="-5"/>
                <w:w w:val="95"/>
                <w:sz w:val="14"/>
              </w:rPr>
              <w:t>1.1</w:t>
            </w:r>
          </w:p>
        </w:tc>
        <w:tc>
          <w:tcPr>
            <w:tcW w:w="756" w:type="dxa"/>
          </w:tcPr>
          <w:p>
            <w:pPr>
              <w:pStyle w:val="TableParagraph"/>
              <w:ind w:left="39" w:right="31"/>
              <w:rPr>
                <w:sz w:val="14"/>
              </w:rPr>
            </w:pPr>
            <w:r>
              <w:rPr>
                <w:color w:val="231F20"/>
                <w:spacing w:val="-5"/>
                <w:w w:val="95"/>
                <w:sz w:val="14"/>
              </w:rPr>
              <w:t>2.1</w:t>
            </w:r>
          </w:p>
        </w:tc>
        <w:tc>
          <w:tcPr>
            <w:tcW w:w="241" w:type="dxa"/>
          </w:tcPr>
          <w:p>
            <w:pPr>
              <w:pStyle w:val="TableParagraph"/>
              <w:spacing w:before="0"/>
              <w:jc w:val="left"/>
              <w:rPr>
                <w:rFonts w:ascii="Times New Roman"/>
                <w:sz w:val="12"/>
              </w:rPr>
            </w:pPr>
          </w:p>
        </w:tc>
        <w:tc>
          <w:tcPr>
            <w:tcW w:w="852" w:type="dxa"/>
          </w:tcPr>
          <w:p>
            <w:pPr>
              <w:pStyle w:val="TableParagraph"/>
              <w:ind w:right="372"/>
              <w:jc w:val="right"/>
              <w:rPr>
                <w:sz w:val="14"/>
              </w:rPr>
            </w:pPr>
            <w:r>
              <w:rPr>
                <w:color w:val="231F20"/>
                <w:spacing w:val="-5"/>
                <w:w w:val="95"/>
                <w:sz w:val="14"/>
              </w:rPr>
              <w:t>1.8</w:t>
            </w:r>
          </w:p>
        </w:tc>
        <w:tc>
          <w:tcPr>
            <w:tcW w:w="1074" w:type="dxa"/>
          </w:tcPr>
          <w:p>
            <w:pPr>
              <w:pStyle w:val="TableParagraph"/>
              <w:ind w:left="66" w:right="61"/>
              <w:rPr>
                <w:sz w:val="14"/>
              </w:rPr>
            </w:pPr>
            <w:r>
              <w:rPr>
                <w:color w:val="231F20"/>
                <w:spacing w:val="-5"/>
                <w:w w:val="95"/>
                <w:sz w:val="14"/>
              </w:rPr>
              <w:t>1.4</w:t>
            </w:r>
          </w:p>
        </w:tc>
        <w:tc>
          <w:tcPr>
            <w:tcW w:w="937" w:type="dxa"/>
          </w:tcPr>
          <w:p>
            <w:pPr>
              <w:pStyle w:val="TableParagraph"/>
              <w:ind w:left="21" w:right="46"/>
              <w:rPr>
                <w:sz w:val="14"/>
              </w:rPr>
            </w:pPr>
            <w:r>
              <w:rPr>
                <w:color w:val="231F20"/>
                <w:spacing w:val="-5"/>
                <w:w w:val="95"/>
                <w:sz w:val="14"/>
              </w:rPr>
              <w:t>1.1</w:t>
            </w:r>
          </w:p>
        </w:tc>
        <w:tc>
          <w:tcPr>
            <w:tcW w:w="1009" w:type="dxa"/>
          </w:tcPr>
          <w:p>
            <w:pPr>
              <w:pStyle w:val="TableParagraph"/>
              <w:ind w:left="50" w:right="36"/>
              <w:rPr>
                <w:sz w:val="14"/>
              </w:rPr>
            </w:pPr>
            <w:r>
              <w:rPr>
                <w:color w:val="231F20"/>
                <w:spacing w:val="-5"/>
                <w:w w:val="95"/>
                <w:sz w:val="14"/>
              </w:rPr>
              <w:t>2.1</w:t>
            </w:r>
          </w:p>
        </w:tc>
      </w:tr>
      <w:tr>
        <w:trPr>
          <w:trHeight w:val="259" w:hRule="atLeast"/>
        </w:trPr>
        <w:tc>
          <w:tcPr>
            <w:tcW w:w="1280" w:type="dxa"/>
            <w:shd w:val="clear" w:color="auto" w:fill="D4E3F5"/>
          </w:tcPr>
          <w:p>
            <w:pPr>
              <w:pStyle w:val="TableParagraph"/>
              <w:ind w:left="80"/>
              <w:jc w:val="left"/>
              <w:rPr>
                <w:sz w:val="14"/>
              </w:rPr>
            </w:pPr>
            <w:r>
              <w:rPr>
                <w:color w:val="231F20"/>
                <w:spacing w:val="-2"/>
                <w:w w:val="85"/>
                <w:sz w:val="14"/>
              </w:rPr>
              <w:t>Czechia</w:t>
            </w:r>
          </w:p>
        </w:tc>
        <w:tc>
          <w:tcPr>
            <w:tcW w:w="1182" w:type="dxa"/>
            <w:shd w:val="clear" w:color="auto" w:fill="D4E3F5"/>
          </w:tcPr>
          <w:p>
            <w:pPr>
              <w:pStyle w:val="TableParagraph"/>
              <w:ind w:right="431"/>
              <w:jc w:val="right"/>
              <w:rPr>
                <w:sz w:val="14"/>
              </w:rPr>
            </w:pPr>
            <w:r>
              <w:rPr>
                <w:color w:val="231F20"/>
                <w:spacing w:val="-2"/>
                <w:w w:val="95"/>
                <w:sz w:val="14"/>
              </w:rPr>
              <w:t>3,222</w:t>
            </w:r>
          </w:p>
        </w:tc>
        <w:tc>
          <w:tcPr>
            <w:tcW w:w="852" w:type="dxa"/>
            <w:shd w:val="clear" w:color="auto" w:fill="D4E3F5"/>
          </w:tcPr>
          <w:p>
            <w:pPr>
              <w:pStyle w:val="TableParagraph"/>
              <w:ind w:left="25" w:right="145"/>
              <w:rPr>
                <w:sz w:val="14"/>
              </w:rPr>
            </w:pPr>
            <w:r>
              <w:rPr>
                <w:color w:val="231F20"/>
                <w:spacing w:val="-4"/>
                <w:w w:val="95"/>
                <w:sz w:val="14"/>
              </w:rPr>
              <w:t>13.8</w:t>
            </w:r>
          </w:p>
        </w:tc>
        <w:tc>
          <w:tcPr>
            <w:tcW w:w="1074" w:type="dxa"/>
            <w:shd w:val="clear" w:color="auto" w:fill="D4E3F5"/>
          </w:tcPr>
          <w:p>
            <w:pPr>
              <w:pStyle w:val="TableParagraph"/>
              <w:ind w:left="22" w:right="72"/>
              <w:rPr>
                <w:sz w:val="14"/>
              </w:rPr>
            </w:pPr>
            <w:r>
              <w:rPr>
                <w:color w:val="231F20"/>
                <w:spacing w:val="-4"/>
                <w:w w:val="95"/>
                <w:sz w:val="14"/>
              </w:rPr>
              <w:t>12.5</w:t>
            </w:r>
          </w:p>
        </w:tc>
        <w:tc>
          <w:tcPr>
            <w:tcW w:w="1071" w:type="dxa"/>
            <w:shd w:val="clear" w:color="auto" w:fill="D4E3F5"/>
          </w:tcPr>
          <w:p>
            <w:pPr>
              <w:pStyle w:val="TableParagraph"/>
              <w:ind w:left="379"/>
              <w:jc w:val="left"/>
              <w:rPr>
                <w:sz w:val="14"/>
              </w:rPr>
            </w:pPr>
            <w:r>
              <w:rPr>
                <w:color w:val="231F20"/>
                <w:spacing w:val="-5"/>
                <w:w w:val="95"/>
                <w:sz w:val="14"/>
              </w:rPr>
              <w:t>9.5</w:t>
            </w:r>
          </w:p>
        </w:tc>
        <w:tc>
          <w:tcPr>
            <w:tcW w:w="756" w:type="dxa"/>
            <w:shd w:val="clear" w:color="auto" w:fill="D4E3F5"/>
          </w:tcPr>
          <w:p>
            <w:pPr>
              <w:pStyle w:val="TableParagraph"/>
              <w:ind w:left="241"/>
              <w:jc w:val="left"/>
              <w:rPr>
                <w:sz w:val="14"/>
              </w:rPr>
            </w:pPr>
            <w:r>
              <w:rPr>
                <w:color w:val="231F20"/>
                <w:spacing w:val="-4"/>
                <w:w w:val="95"/>
                <w:sz w:val="14"/>
              </w:rPr>
              <w:t>16.9</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3"/>
              <w:jc w:val="right"/>
              <w:rPr>
                <w:sz w:val="14"/>
              </w:rPr>
            </w:pPr>
            <w:r>
              <w:rPr>
                <w:color w:val="231F20"/>
                <w:spacing w:val="-5"/>
                <w:w w:val="95"/>
                <w:sz w:val="14"/>
              </w:rPr>
              <w:t>7.6</w:t>
            </w:r>
          </w:p>
        </w:tc>
        <w:tc>
          <w:tcPr>
            <w:tcW w:w="1074" w:type="dxa"/>
            <w:shd w:val="clear" w:color="auto" w:fill="D4E3F5"/>
          </w:tcPr>
          <w:p>
            <w:pPr>
              <w:pStyle w:val="TableParagraph"/>
              <w:ind w:left="58" w:right="61"/>
              <w:rPr>
                <w:sz w:val="14"/>
              </w:rPr>
            </w:pPr>
            <w:r>
              <w:rPr>
                <w:color w:val="231F20"/>
                <w:spacing w:val="-5"/>
                <w:w w:val="95"/>
                <w:sz w:val="14"/>
              </w:rPr>
              <w:t>6.7</w:t>
            </w:r>
          </w:p>
        </w:tc>
        <w:tc>
          <w:tcPr>
            <w:tcW w:w="937" w:type="dxa"/>
            <w:shd w:val="clear" w:color="auto" w:fill="D4E3F5"/>
          </w:tcPr>
          <w:p>
            <w:pPr>
              <w:pStyle w:val="TableParagraph"/>
              <w:ind w:left="35" w:right="46"/>
              <w:rPr>
                <w:sz w:val="14"/>
              </w:rPr>
            </w:pPr>
            <w:r>
              <w:rPr>
                <w:color w:val="231F20"/>
                <w:spacing w:val="-5"/>
                <w:w w:val="95"/>
                <w:sz w:val="14"/>
              </w:rPr>
              <w:t>4.2</w:t>
            </w:r>
          </w:p>
        </w:tc>
        <w:tc>
          <w:tcPr>
            <w:tcW w:w="1009" w:type="dxa"/>
            <w:shd w:val="clear" w:color="auto" w:fill="D4E3F5"/>
          </w:tcPr>
          <w:p>
            <w:pPr>
              <w:pStyle w:val="TableParagraph"/>
              <w:ind w:left="64" w:right="36"/>
              <w:rPr>
                <w:sz w:val="14"/>
              </w:rPr>
            </w:pPr>
            <w:r>
              <w:rPr>
                <w:color w:val="231F20"/>
                <w:spacing w:val="-5"/>
                <w:w w:val="95"/>
                <w:sz w:val="14"/>
              </w:rPr>
              <w:t>9.7</w:t>
            </w:r>
          </w:p>
        </w:tc>
      </w:tr>
      <w:tr>
        <w:trPr>
          <w:trHeight w:val="259" w:hRule="atLeast"/>
        </w:trPr>
        <w:tc>
          <w:tcPr>
            <w:tcW w:w="1280" w:type="dxa"/>
          </w:tcPr>
          <w:p>
            <w:pPr>
              <w:pStyle w:val="TableParagraph"/>
              <w:ind w:left="80"/>
              <w:jc w:val="left"/>
              <w:rPr>
                <w:sz w:val="14"/>
              </w:rPr>
            </w:pPr>
            <w:r>
              <w:rPr>
                <w:color w:val="231F20"/>
                <w:spacing w:val="-2"/>
                <w:w w:val="90"/>
                <w:sz w:val="14"/>
              </w:rPr>
              <w:t>Denmark</w:t>
            </w:r>
          </w:p>
        </w:tc>
        <w:tc>
          <w:tcPr>
            <w:tcW w:w="1182" w:type="dxa"/>
          </w:tcPr>
          <w:p>
            <w:pPr>
              <w:pStyle w:val="TableParagraph"/>
              <w:ind w:right="435"/>
              <w:jc w:val="right"/>
              <w:rPr>
                <w:sz w:val="14"/>
              </w:rPr>
            </w:pPr>
            <w:r>
              <w:rPr>
                <w:color w:val="231F20"/>
                <w:spacing w:val="-2"/>
                <w:w w:val="95"/>
                <w:sz w:val="14"/>
              </w:rPr>
              <w:t>12,644</w:t>
            </w:r>
          </w:p>
        </w:tc>
        <w:tc>
          <w:tcPr>
            <w:tcW w:w="852" w:type="dxa"/>
          </w:tcPr>
          <w:p>
            <w:pPr>
              <w:pStyle w:val="TableParagraph"/>
              <w:ind w:left="69" w:right="145"/>
              <w:rPr>
                <w:sz w:val="14"/>
              </w:rPr>
            </w:pPr>
            <w:r>
              <w:rPr>
                <w:color w:val="231F20"/>
                <w:spacing w:val="-5"/>
                <w:w w:val="95"/>
                <w:sz w:val="14"/>
              </w:rPr>
              <w:t>8.1</w:t>
            </w:r>
          </w:p>
        </w:tc>
        <w:tc>
          <w:tcPr>
            <w:tcW w:w="1074" w:type="dxa"/>
          </w:tcPr>
          <w:p>
            <w:pPr>
              <w:pStyle w:val="TableParagraph"/>
              <w:ind w:left="83" w:right="61"/>
              <w:rPr>
                <w:sz w:val="14"/>
              </w:rPr>
            </w:pPr>
            <w:r>
              <w:rPr>
                <w:color w:val="231F20"/>
                <w:spacing w:val="-5"/>
                <w:w w:val="95"/>
                <w:sz w:val="14"/>
              </w:rPr>
              <w:t>7.5</w:t>
            </w:r>
          </w:p>
        </w:tc>
        <w:tc>
          <w:tcPr>
            <w:tcW w:w="1071" w:type="dxa"/>
          </w:tcPr>
          <w:p>
            <w:pPr>
              <w:pStyle w:val="TableParagraph"/>
              <w:ind w:left="380"/>
              <w:jc w:val="left"/>
              <w:rPr>
                <w:sz w:val="14"/>
              </w:rPr>
            </w:pPr>
            <w:r>
              <w:rPr>
                <w:color w:val="231F20"/>
                <w:spacing w:val="-5"/>
                <w:w w:val="95"/>
                <w:sz w:val="14"/>
              </w:rPr>
              <w:t>4.8</w:t>
            </w:r>
          </w:p>
        </w:tc>
        <w:tc>
          <w:tcPr>
            <w:tcW w:w="756" w:type="dxa"/>
          </w:tcPr>
          <w:p>
            <w:pPr>
              <w:pStyle w:val="TableParagraph"/>
              <w:ind w:left="39" w:right="17"/>
              <w:rPr>
                <w:sz w:val="14"/>
              </w:rPr>
            </w:pPr>
            <w:r>
              <w:rPr>
                <w:color w:val="231F20"/>
                <w:spacing w:val="-5"/>
                <w:w w:val="95"/>
                <w:sz w:val="14"/>
              </w:rPr>
              <w:t>9.7</w:t>
            </w:r>
          </w:p>
        </w:tc>
        <w:tc>
          <w:tcPr>
            <w:tcW w:w="241" w:type="dxa"/>
          </w:tcPr>
          <w:p>
            <w:pPr>
              <w:pStyle w:val="TableParagraph"/>
              <w:spacing w:before="0"/>
              <w:jc w:val="left"/>
              <w:rPr>
                <w:rFonts w:ascii="Times New Roman"/>
                <w:sz w:val="12"/>
              </w:rPr>
            </w:pPr>
          </w:p>
        </w:tc>
        <w:tc>
          <w:tcPr>
            <w:tcW w:w="852" w:type="dxa"/>
          </w:tcPr>
          <w:p>
            <w:pPr>
              <w:pStyle w:val="TableParagraph"/>
              <w:ind w:left="60" w:right="145"/>
              <w:rPr>
                <w:sz w:val="14"/>
              </w:rPr>
            </w:pPr>
            <w:r>
              <w:rPr>
                <w:color w:val="231F20"/>
                <w:spacing w:val="-5"/>
                <w:w w:val="95"/>
                <w:sz w:val="14"/>
              </w:rPr>
              <w:t>8.1</w:t>
            </w:r>
          </w:p>
        </w:tc>
        <w:tc>
          <w:tcPr>
            <w:tcW w:w="1074" w:type="dxa"/>
          </w:tcPr>
          <w:p>
            <w:pPr>
              <w:pStyle w:val="TableParagraph"/>
              <w:ind w:left="74" w:right="61"/>
              <w:rPr>
                <w:sz w:val="14"/>
              </w:rPr>
            </w:pPr>
            <w:r>
              <w:rPr>
                <w:color w:val="231F20"/>
                <w:spacing w:val="-5"/>
                <w:w w:val="95"/>
                <w:sz w:val="14"/>
              </w:rPr>
              <w:t>7.5</w:t>
            </w:r>
          </w:p>
        </w:tc>
        <w:tc>
          <w:tcPr>
            <w:tcW w:w="937" w:type="dxa"/>
          </w:tcPr>
          <w:p>
            <w:pPr>
              <w:pStyle w:val="TableParagraph"/>
              <w:ind w:left="28" w:right="46"/>
              <w:rPr>
                <w:sz w:val="14"/>
              </w:rPr>
            </w:pPr>
            <w:r>
              <w:rPr>
                <w:color w:val="231F20"/>
                <w:spacing w:val="-5"/>
                <w:w w:val="95"/>
                <w:sz w:val="14"/>
              </w:rPr>
              <w:t>4.7</w:t>
            </w:r>
          </w:p>
        </w:tc>
        <w:tc>
          <w:tcPr>
            <w:tcW w:w="1009" w:type="dxa"/>
          </w:tcPr>
          <w:p>
            <w:pPr>
              <w:pStyle w:val="TableParagraph"/>
              <w:ind w:left="68" w:right="36"/>
              <w:rPr>
                <w:sz w:val="14"/>
              </w:rPr>
            </w:pPr>
            <w:r>
              <w:rPr>
                <w:color w:val="231F20"/>
                <w:spacing w:val="-5"/>
                <w:w w:val="95"/>
                <w:sz w:val="14"/>
              </w:rPr>
              <w:t>9.6</w:t>
            </w:r>
          </w:p>
        </w:tc>
      </w:tr>
      <w:tr>
        <w:trPr>
          <w:trHeight w:val="259" w:hRule="atLeast"/>
        </w:trPr>
        <w:tc>
          <w:tcPr>
            <w:tcW w:w="1280" w:type="dxa"/>
            <w:shd w:val="clear" w:color="auto" w:fill="D4E3F5"/>
          </w:tcPr>
          <w:p>
            <w:pPr>
              <w:pStyle w:val="TableParagraph"/>
              <w:ind w:left="80"/>
              <w:jc w:val="left"/>
              <w:rPr>
                <w:sz w:val="14"/>
              </w:rPr>
            </w:pPr>
            <w:r>
              <w:rPr>
                <w:color w:val="231F20"/>
                <w:spacing w:val="-2"/>
                <w:w w:val="90"/>
                <w:sz w:val="14"/>
              </w:rPr>
              <w:t>Djibouti</w:t>
            </w:r>
          </w:p>
        </w:tc>
        <w:tc>
          <w:tcPr>
            <w:tcW w:w="1182" w:type="dxa"/>
            <w:shd w:val="clear" w:color="auto" w:fill="D4E3F5"/>
          </w:tcPr>
          <w:p>
            <w:pPr>
              <w:pStyle w:val="TableParagraph"/>
              <w:ind w:right="436"/>
              <w:jc w:val="right"/>
              <w:rPr>
                <w:sz w:val="14"/>
              </w:rPr>
            </w:pPr>
            <w:r>
              <w:rPr>
                <w:color w:val="231F20"/>
                <w:spacing w:val="-2"/>
                <w:w w:val="95"/>
                <w:sz w:val="14"/>
              </w:rPr>
              <w:t>2,434</w:t>
            </w:r>
          </w:p>
        </w:tc>
        <w:tc>
          <w:tcPr>
            <w:tcW w:w="852" w:type="dxa"/>
            <w:shd w:val="clear" w:color="auto" w:fill="D4E3F5"/>
          </w:tcPr>
          <w:p>
            <w:pPr>
              <w:pStyle w:val="TableParagraph"/>
              <w:ind w:left="88" w:right="145"/>
              <w:rPr>
                <w:sz w:val="14"/>
              </w:rPr>
            </w:pPr>
            <w:r>
              <w:rPr>
                <w:color w:val="231F20"/>
                <w:spacing w:val="-5"/>
                <w:w w:val="95"/>
                <w:sz w:val="14"/>
              </w:rPr>
              <w:t>5.3</w:t>
            </w:r>
          </w:p>
        </w:tc>
        <w:tc>
          <w:tcPr>
            <w:tcW w:w="1074" w:type="dxa"/>
            <w:shd w:val="clear" w:color="auto" w:fill="D4E3F5"/>
          </w:tcPr>
          <w:p>
            <w:pPr>
              <w:pStyle w:val="TableParagraph"/>
              <w:ind w:left="71" w:right="61"/>
              <w:rPr>
                <w:sz w:val="14"/>
              </w:rPr>
            </w:pPr>
            <w:r>
              <w:rPr>
                <w:color w:val="231F20"/>
                <w:spacing w:val="-5"/>
                <w:w w:val="95"/>
                <w:sz w:val="14"/>
              </w:rPr>
              <w:t>4.5</w:t>
            </w:r>
          </w:p>
        </w:tc>
        <w:tc>
          <w:tcPr>
            <w:tcW w:w="1071" w:type="dxa"/>
            <w:shd w:val="clear" w:color="auto" w:fill="D4E3F5"/>
          </w:tcPr>
          <w:p>
            <w:pPr>
              <w:pStyle w:val="TableParagraph"/>
              <w:ind w:left="379"/>
              <w:jc w:val="left"/>
              <w:rPr>
                <w:sz w:val="14"/>
              </w:rPr>
            </w:pPr>
            <w:r>
              <w:rPr>
                <w:color w:val="231F20"/>
                <w:spacing w:val="-5"/>
                <w:w w:val="95"/>
                <w:sz w:val="14"/>
              </w:rPr>
              <w:t>2.3</w:t>
            </w:r>
          </w:p>
        </w:tc>
        <w:tc>
          <w:tcPr>
            <w:tcW w:w="756" w:type="dxa"/>
            <w:shd w:val="clear" w:color="auto" w:fill="D4E3F5"/>
          </w:tcPr>
          <w:p>
            <w:pPr>
              <w:pStyle w:val="TableParagraph"/>
              <w:ind w:left="39" w:right="13"/>
              <w:rPr>
                <w:sz w:val="14"/>
              </w:rPr>
            </w:pPr>
            <w:r>
              <w:rPr>
                <w:color w:val="231F20"/>
                <w:spacing w:val="-5"/>
                <w:w w:val="95"/>
                <w:sz w:val="14"/>
              </w:rPr>
              <w:t>6.6</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2"/>
              <w:jc w:val="right"/>
              <w:rPr>
                <w:sz w:val="14"/>
              </w:rPr>
            </w:pPr>
            <w:r>
              <w:rPr>
                <w:color w:val="231F20"/>
                <w:spacing w:val="-5"/>
                <w:w w:val="95"/>
                <w:sz w:val="14"/>
              </w:rPr>
              <w:t>5.3</w:t>
            </w:r>
          </w:p>
        </w:tc>
        <w:tc>
          <w:tcPr>
            <w:tcW w:w="1074" w:type="dxa"/>
            <w:shd w:val="clear" w:color="auto" w:fill="D4E3F5"/>
          </w:tcPr>
          <w:p>
            <w:pPr>
              <w:pStyle w:val="TableParagraph"/>
              <w:ind w:left="61" w:right="61"/>
              <w:rPr>
                <w:sz w:val="14"/>
              </w:rPr>
            </w:pPr>
            <w:r>
              <w:rPr>
                <w:color w:val="231F20"/>
                <w:spacing w:val="-5"/>
                <w:w w:val="95"/>
                <w:sz w:val="14"/>
              </w:rPr>
              <w:t>4.4</w:t>
            </w:r>
          </w:p>
        </w:tc>
        <w:tc>
          <w:tcPr>
            <w:tcW w:w="937" w:type="dxa"/>
            <w:shd w:val="clear" w:color="auto" w:fill="D4E3F5"/>
          </w:tcPr>
          <w:p>
            <w:pPr>
              <w:pStyle w:val="TableParagraph"/>
              <w:ind w:left="33" w:right="46"/>
              <w:rPr>
                <w:sz w:val="14"/>
              </w:rPr>
            </w:pPr>
            <w:r>
              <w:rPr>
                <w:color w:val="231F20"/>
                <w:spacing w:val="-5"/>
                <w:w w:val="95"/>
                <w:sz w:val="14"/>
              </w:rPr>
              <w:t>2.3</w:t>
            </w:r>
          </w:p>
        </w:tc>
        <w:tc>
          <w:tcPr>
            <w:tcW w:w="1009" w:type="dxa"/>
            <w:shd w:val="clear" w:color="auto" w:fill="D4E3F5"/>
          </w:tcPr>
          <w:p>
            <w:pPr>
              <w:pStyle w:val="TableParagraph"/>
              <w:ind w:left="68" w:right="36"/>
              <w:rPr>
                <w:sz w:val="14"/>
              </w:rPr>
            </w:pPr>
            <w:r>
              <w:rPr>
                <w:color w:val="231F20"/>
                <w:spacing w:val="-5"/>
                <w:w w:val="95"/>
                <w:sz w:val="14"/>
              </w:rPr>
              <w:t>6.6</w:t>
            </w:r>
          </w:p>
        </w:tc>
      </w:tr>
      <w:tr>
        <w:trPr>
          <w:trHeight w:val="259" w:hRule="atLeast"/>
        </w:trPr>
        <w:tc>
          <w:tcPr>
            <w:tcW w:w="1280" w:type="dxa"/>
          </w:tcPr>
          <w:p>
            <w:pPr>
              <w:pStyle w:val="TableParagraph"/>
              <w:ind w:left="80"/>
              <w:jc w:val="left"/>
              <w:rPr>
                <w:sz w:val="14"/>
              </w:rPr>
            </w:pPr>
            <w:r>
              <w:rPr>
                <w:color w:val="231F20"/>
                <w:w w:val="75"/>
                <w:sz w:val="14"/>
              </w:rPr>
              <w:t>Dominican</w:t>
            </w:r>
            <w:r>
              <w:rPr>
                <w:color w:val="231F20"/>
                <w:spacing w:val="25"/>
                <w:sz w:val="14"/>
              </w:rPr>
              <w:t> </w:t>
            </w:r>
            <w:r>
              <w:rPr>
                <w:color w:val="231F20"/>
                <w:spacing w:val="-2"/>
                <w:w w:val="90"/>
                <w:sz w:val="14"/>
              </w:rPr>
              <w:t>Republic</w:t>
            </w:r>
          </w:p>
        </w:tc>
        <w:tc>
          <w:tcPr>
            <w:tcW w:w="1182" w:type="dxa"/>
          </w:tcPr>
          <w:p>
            <w:pPr>
              <w:pStyle w:val="TableParagraph"/>
              <w:ind w:right="436"/>
              <w:jc w:val="right"/>
              <w:rPr>
                <w:sz w:val="14"/>
              </w:rPr>
            </w:pPr>
            <w:r>
              <w:rPr>
                <w:color w:val="231F20"/>
                <w:spacing w:val="-2"/>
                <w:w w:val="95"/>
                <w:sz w:val="14"/>
              </w:rPr>
              <w:t>1,326</w:t>
            </w:r>
          </w:p>
        </w:tc>
        <w:tc>
          <w:tcPr>
            <w:tcW w:w="852" w:type="dxa"/>
          </w:tcPr>
          <w:p>
            <w:pPr>
              <w:pStyle w:val="TableParagraph"/>
              <w:ind w:left="87" w:right="145"/>
              <w:rPr>
                <w:sz w:val="14"/>
              </w:rPr>
            </w:pPr>
            <w:r>
              <w:rPr>
                <w:color w:val="231F20"/>
                <w:spacing w:val="-5"/>
                <w:w w:val="95"/>
                <w:sz w:val="14"/>
              </w:rPr>
              <w:t>9.4</w:t>
            </w:r>
          </w:p>
        </w:tc>
        <w:tc>
          <w:tcPr>
            <w:tcW w:w="1074" w:type="dxa"/>
          </w:tcPr>
          <w:p>
            <w:pPr>
              <w:pStyle w:val="TableParagraph"/>
              <w:ind w:left="54" w:right="61"/>
              <w:rPr>
                <w:sz w:val="14"/>
              </w:rPr>
            </w:pPr>
            <w:r>
              <w:rPr>
                <w:color w:val="231F20"/>
                <w:spacing w:val="-5"/>
                <w:w w:val="95"/>
                <w:sz w:val="14"/>
              </w:rPr>
              <w:t>8.1</w:t>
            </w:r>
          </w:p>
        </w:tc>
        <w:tc>
          <w:tcPr>
            <w:tcW w:w="1071" w:type="dxa"/>
          </w:tcPr>
          <w:p>
            <w:pPr>
              <w:pStyle w:val="TableParagraph"/>
              <w:ind w:left="380"/>
              <w:jc w:val="left"/>
              <w:rPr>
                <w:sz w:val="14"/>
              </w:rPr>
            </w:pPr>
            <w:r>
              <w:rPr>
                <w:color w:val="231F20"/>
                <w:spacing w:val="-5"/>
                <w:w w:val="95"/>
                <w:sz w:val="14"/>
              </w:rPr>
              <w:t>4.8</w:t>
            </w:r>
          </w:p>
        </w:tc>
        <w:tc>
          <w:tcPr>
            <w:tcW w:w="756" w:type="dxa"/>
          </w:tcPr>
          <w:p>
            <w:pPr>
              <w:pStyle w:val="TableParagraph"/>
              <w:ind w:left="252"/>
              <w:jc w:val="left"/>
              <w:rPr>
                <w:sz w:val="14"/>
              </w:rPr>
            </w:pPr>
            <w:r>
              <w:rPr>
                <w:color w:val="231F20"/>
                <w:spacing w:val="-4"/>
                <w:w w:val="95"/>
                <w:sz w:val="14"/>
              </w:rPr>
              <w:t>11.8</w:t>
            </w:r>
          </w:p>
        </w:tc>
        <w:tc>
          <w:tcPr>
            <w:tcW w:w="241" w:type="dxa"/>
          </w:tcPr>
          <w:p>
            <w:pPr>
              <w:pStyle w:val="TableParagraph"/>
              <w:spacing w:before="0"/>
              <w:jc w:val="left"/>
              <w:rPr>
                <w:rFonts w:ascii="Times New Roman"/>
                <w:sz w:val="12"/>
              </w:rPr>
            </w:pPr>
          </w:p>
        </w:tc>
        <w:tc>
          <w:tcPr>
            <w:tcW w:w="852" w:type="dxa"/>
          </w:tcPr>
          <w:p>
            <w:pPr>
              <w:pStyle w:val="TableParagraph"/>
              <w:ind w:right="372"/>
              <w:jc w:val="right"/>
              <w:rPr>
                <w:sz w:val="14"/>
              </w:rPr>
            </w:pPr>
            <w:r>
              <w:rPr>
                <w:color w:val="231F20"/>
                <w:spacing w:val="-5"/>
                <w:w w:val="95"/>
                <w:sz w:val="14"/>
              </w:rPr>
              <w:t>9.3</w:t>
            </w:r>
          </w:p>
        </w:tc>
        <w:tc>
          <w:tcPr>
            <w:tcW w:w="1074" w:type="dxa"/>
          </w:tcPr>
          <w:p>
            <w:pPr>
              <w:pStyle w:val="TableParagraph"/>
              <w:ind w:left="61" w:right="61"/>
              <w:rPr>
                <w:sz w:val="14"/>
              </w:rPr>
            </w:pPr>
            <w:r>
              <w:rPr>
                <w:color w:val="231F20"/>
                <w:spacing w:val="-5"/>
                <w:w w:val="95"/>
                <w:sz w:val="14"/>
              </w:rPr>
              <w:t>8.0</w:t>
            </w:r>
          </w:p>
        </w:tc>
        <w:tc>
          <w:tcPr>
            <w:tcW w:w="937" w:type="dxa"/>
          </w:tcPr>
          <w:p>
            <w:pPr>
              <w:pStyle w:val="TableParagraph"/>
              <w:ind w:left="32" w:right="46"/>
              <w:rPr>
                <w:sz w:val="14"/>
              </w:rPr>
            </w:pPr>
            <w:r>
              <w:rPr>
                <w:color w:val="231F20"/>
                <w:spacing w:val="-5"/>
                <w:w w:val="95"/>
                <w:sz w:val="14"/>
              </w:rPr>
              <w:t>4.8</w:t>
            </w:r>
          </w:p>
        </w:tc>
        <w:tc>
          <w:tcPr>
            <w:tcW w:w="1009" w:type="dxa"/>
          </w:tcPr>
          <w:p>
            <w:pPr>
              <w:pStyle w:val="TableParagraph"/>
              <w:ind w:left="45" w:right="67"/>
              <w:rPr>
                <w:sz w:val="14"/>
              </w:rPr>
            </w:pPr>
            <w:r>
              <w:rPr>
                <w:color w:val="231F20"/>
                <w:spacing w:val="-4"/>
                <w:w w:val="95"/>
                <w:sz w:val="14"/>
              </w:rPr>
              <w:t>11.7</w:t>
            </w:r>
          </w:p>
        </w:tc>
      </w:tr>
      <w:tr>
        <w:trPr>
          <w:trHeight w:val="259" w:hRule="atLeast"/>
        </w:trPr>
        <w:tc>
          <w:tcPr>
            <w:tcW w:w="1280" w:type="dxa"/>
            <w:shd w:val="clear" w:color="auto" w:fill="D4E3F5"/>
          </w:tcPr>
          <w:p>
            <w:pPr>
              <w:pStyle w:val="TableParagraph"/>
              <w:ind w:left="80"/>
              <w:jc w:val="left"/>
              <w:rPr>
                <w:sz w:val="14"/>
              </w:rPr>
            </w:pPr>
            <w:r>
              <w:rPr>
                <w:color w:val="231F20"/>
                <w:spacing w:val="-2"/>
                <w:w w:val="85"/>
                <w:sz w:val="14"/>
              </w:rPr>
              <w:t>Ecuador</w:t>
            </w:r>
          </w:p>
        </w:tc>
        <w:tc>
          <w:tcPr>
            <w:tcW w:w="1182" w:type="dxa"/>
            <w:shd w:val="clear" w:color="auto" w:fill="D4E3F5"/>
          </w:tcPr>
          <w:p>
            <w:pPr>
              <w:pStyle w:val="TableParagraph"/>
              <w:ind w:right="437"/>
              <w:jc w:val="right"/>
              <w:rPr>
                <w:sz w:val="14"/>
              </w:rPr>
            </w:pPr>
            <w:r>
              <w:rPr>
                <w:color w:val="231F20"/>
                <w:spacing w:val="-2"/>
                <w:w w:val="95"/>
                <w:sz w:val="14"/>
              </w:rPr>
              <w:t>8,951</w:t>
            </w:r>
          </w:p>
        </w:tc>
        <w:tc>
          <w:tcPr>
            <w:tcW w:w="852" w:type="dxa"/>
            <w:shd w:val="clear" w:color="auto" w:fill="D4E3F5"/>
          </w:tcPr>
          <w:p>
            <w:pPr>
              <w:pStyle w:val="TableParagraph"/>
              <w:ind w:left="83" w:right="145"/>
              <w:rPr>
                <w:sz w:val="14"/>
              </w:rPr>
            </w:pPr>
            <w:r>
              <w:rPr>
                <w:color w:val="231F20"/>
                <w:spacing w:val="-5"/>
                <w:w w:val="95"/>
                <w:sz w:val="14"/>
              </w:rPr>
              <w:t>3.7</w:t>
            </w:r>
          </w:p>
        </w:tc>
        <w:tc>
          <w:tcPr>
            <w:tcW w:w="1074" w:type="dxa"/>
            <w:shd w:val="clear" w:color="auto" w:fill="D4E3F5"/>
          </w:tcPr>
          <w:p>
            <w:pPr>
              <w:pStyle w:val="TableParagraph"/>
              <w:ind w:left="54" w:right="61"/>
              <w:rPr>
                <w:sz w:val="14"/>
              </w:rPr>
            </w:pPr>
            <w:r>
              <w:rPr>
                <w:color w:val="231F20"/>
                <w:spacing w:val="-5"/>
                <w:w w:val="95"/>
                <w:sz w:val="14"/>
              </w:rPr>
              <w:t>3.1</w:t>
            </w:r>
          </w:p>
        </w:tc>
        <w:tc>
          <w:tcPr>
            <w:tcW w:w="1071" w:type="dxa"/>
            <w:shd w:val="clear" w:color="auto" w:fill="D4E3F5"/>
          </w:tcPr>
          <w:p>
            <w:pPr>
              <w:pStyle w:val="TableParagraph"/>
              <w:ind w:left="379"/>
              <w:jc w:val="left"/>
              <w:rPr>
                <w:sz w:val="14"/>
              </w:rPr>
            </w:pPr>
            <w:r>
              <w:rPr>
                <w:color w:val="231F20"/>
                <w:spacing w:val="-5"/>
                <w:w w:val="95"/>
                <w:sz w:val="14"/>
              </w:rPr>
              <w:t>2.3</w:t>
            </w:r>
          </w:p>
        </w:tc>
        <w:tc>
          <w:tcPr>
            <w:tcW w:w="756" w:type="dxa"/>
            <w:shd w:val="clear" w:color="auto" w:fill="D4E3F5"/>
          </w:tcPr>
          <w:p>
            <w:pPr>
              <w:pStyle w:val="TableParagraph"/>
              <w:ind w:left="39" w:right="11"/>
              <w:rPr>
                <w:sz w:val="14"/>
              </w:rPr>
            </w:pPr>
            <w:r>
              <w:rPr>
                <w:color w:val="231F20"/>
                <w:spacing w:val="-5"/>
                <w:w w:val="95"/>
                <w:sz w:val="14"/>
              </w:rPr>
              <w:t>4.5</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2"/>
              <w:jc w:val="right"/>
              <w:rPr>
                <w:sz w:val="14"/>
              </w:rPr>
            </w:pPr>
            <w:r>
              <w:rPr>
                <w:color w:val="231F20"/>
                <w:spacing w:val="-5"/>
                <w:w w:val="95"/>
                <w:sz w:val="14"/>
              </w:rPr>
              <w:t>3.6</w:t>
            </w:r>
          </w:p>
        </w:tc>
        <w:tc>
          <w:tcPr>
            <w:tcW w:w="1074" w:type="dxa"/>
            <w:shd w:val="clear" w:color="auto" w:fill="D4E3F5"/>
          </w:tcPr>
          <w:p>
            <w:pPr>
              <w:pStyle w:val="TableParagraph"/>
              <w:ind w:left="45" w:right="61"/>
              <w:rPr>
                <w:sz w:val="14"/>
              </w:rPr>
            </w:pPr>
            <w:r>
              <w:rPr>
                <w:color w:val="231F20"/>
                <w:spacing w:val="-5"/>
                <w:w w:val="95"/>
                <w:sz w:val="14"/>
              </w:rPr>
              <w:t>3.1</w:t>
            </w:r>
          </w:p>
        </w:tc>
        <w:tc>
          <w:tcPr>
            <w:tcW w:w="937" w:type="dxa"/>
            <w:shd w:val="clear" w:color="auto" w:fill="D4E3F5"/>
          </w:tcPr>
          <w:p>
            <w:pPr>
              <w:pStyle w:val="TableParagraph"/>
              <w:ind w:left="33" w:right="46"/>
              <w:rPr>
                <w:sz w:val="14"/>
              </w:rPr>
            </w:pPr>
            <w:r>
              <w:rPr>
                <w:color w:val="231F20"/>
                <w:spacing w:val="-5"/>
                <w:w w:val="95"/>
                <w:sz w:val="14"/>
              </w:rPr>
              <w:t>2.3</w:t>
            </w:r>
          </w:p>
        </w:tc>
        <w:tc>
          <w:tcPr>
            <w:tcW w:w="1009" w:type="dxa"/>
            <w:shd w:val="clear" w:color="auto" w:fill="D4E3F5"/>
          </w:tcPr>
          <w:p>
            <w:pPr>
              <w:pStyle w:val="TableParagraph"/>
              <w:ind w:left="67" w:right="36"/>
              <w:rPr>
                <w:sz w:val="14"/>
              </w:rPr>
            </w:pPr>
            <w:r>
              <w:rPr>
                <w:color w:val="231F20"/>
                <w:spacing w:val="-5"/>
                <w:w w:val="95"/>
                <w:sz w:val="14"/>
              </w:rPr>
              <w:t>4.4</w:t>
            </w:r>
          </w:p>
        </w:tc>
      </w:tr>
      <w:tr>
        <w:trPr>
          <w:trHeight w:val="259" w:hRule="atLeast"/>
        </w:trPr>
        <w:tc>
          <w:tcPr>
            <w:tcW w:w="1280" w:type="dxa"/>
          </w:tcPr>
          <w:p>
            <w:pPr>
              <w:pStyle w:val="TableParagraph"/>
              <w:ind w:left="80"/>
              <w:jc w:val="left"/>
              <w:rPr>
                <w:sz w:val="14"/>
              </w:rPr>
            </w:pPr>
            <w:r>
              <w:rPr>
                <w:color w:val="231F20"/>
                <w:w w:val="75"/>
                <w:sz w:val="14"/>
              </w:rPr>
              <w:t>Egypt,</w:t>
            </w:r>
            <w:r>
              <w:rPr>
                <w:color w:val="231F20"/>
                <w:spacing w:val="7"/>
                <w:sz w:val="14"/>
              </w:rPr>
              <w:t> </w:t>
            </w:r>
            <w:r>
              <w:rPr>
                <w:color w:val="231F20"/>
                <w:w w:val="75"/>
                <w:sz w:val="14"/>
              </w:rPr>
              <w:t>Arab</w:t>
            </w:r>
            <w:r>
              <w:rPr>
                <w:color w:val="231F20"/>
                <w:spacing w:val="9"/>
                <w:sz w:val="14"/>
              </w:rPr>
              <w:t> </w:t>
            </w:r>
            <w:r>
              <w:rPr>
                <w:color w:val="231F20"/>
                <w:spacing w:val="-4"/>
                <w:w w:val="75"/>
                <w:sz w:val="14"/>
              </w:rPr>
              <w:t>Rep.</w:t>
            </w:r>
          </w:p>
        </w:tc>
        <w:tc>
          <w:tcPr>
            <w:tcW w:w="1182" w:type="dxa"/>
          </w:tcPr>
          <w:p>
            <w:pPr>
              <w:pStyle w:val="TableParagraph"/>
              <w:ind w:right="441"/>
              <w:jc w:val="right"/>
              <w:rPr>
                <w:sz w:val="14"/>
              </w:rPr>
            </w:pPr>
            <w:r>
              <w:rPr>
                <w:color w:val="231F20"/>
                <w:spacing w:val="-2"/>
                <w:w w:val="95"/>
                <w:sz w:val="14"/>
              </w:rPr>
              <w:t>18,712</w:t>
            </w:r>
          </w:p>
        </w:tc>
        <w:tc>
          <w:tcPr>
            <w:tcW w:w="852" w:type="dxa"/>
          </w:tcPr>
          <w:p>
            <w:pPr>
              <w:pStyle w:val="TableParagraph"/>
              <w:ind w:left="89" w:right="145"/>
              <w:rPr>
                <w:sz w:val="14"/>
              </w:rPr>
            </w:pPr>
            <w:r>
              <w:rPr>
                <w:color w:val="231F20"/>
                <w:spacing w:val="-5"/>
                <w:w w:val="95"/>
                <w:sz w:val="14"/>
              </w:rPr>
              <w:t>5.6</w:t>
            </w:r>
          </w:p>
        </w:tc>
        <w:tc>
          <w:tcPr>
            <w:tcW w:w="1074" w:type="dxa"/>
          </w:tcPr>
          <w:p>
            <w:pPr>
              <w:pStyle w:val="TableParagraph"/>
              <w:ind w:left="71" w:right="61"/>
              <w:rPr>
                <w:sz w:val="14"/>
              </w:rPr>
            </w:pPr>
            <w:r>
              <w:rPr>
                <w:color w:val="231F20"/>
                <w:spacing w:val="-5"/>
                <w:w w:val="95"/>
                <w:sz w:val="14"/>
              </w:rPr>
              <w:t>4.9</w:t>
            </w:r>
          </w:p>
        </w:tc>
        <w:tc>
          <w:tcPr>
            <w:tcW w:w="1071" w:type="dxa"/>
          </w:tcPr>
          <w:p>
            <w:pPr>
              <w:pStyle w:val="TableParagraph"/>
              <w:ind w:left="378"/>
              <w:jc w:val="left"/>
              <w:rPr>
                <w:sz w:val="14"/>
              </w:rPr>
            </w:pPr>
            <w:r>
              <w:rPr>
                <w:color w:val="231F20"/>
                <w:spacing w:val="-5"/>
                <w:w w:val="95"/>
                <w:sz w:val="14"/>
              </w:rPr>
              <w:t>3.4</w:t>
            </w:r>
          </w:p>
        </w:tc>
        <w:tc>
          <w:tcPr>
            <w:tcW w:w="756" w:type="dxa"/>
          </w:tcPr>
          <w:p>
            <w:pPr>
              <w:pStyle w:val="TableParagraph"/>
              <w:ind w:left="39" w:right="18"/>
              <w:rPr>
                <w:sz w:val="14"/>
              </w:rPr>
            </w:pPr>
            <w:r>
              <w:rPr>
                <w:color w:val="231F20"/>
                <w:spacing w:val="-5"/>
                <w:w w:val="95"/>
                <w:sz w:val="14"/>
              </w:rPr>
              <w:t>6.7</w:t>
            </w:r>
          </w:p>
        </w:tc>
        <w:tc>
          <w:tcPr>
            <w:tcW w:w="241" w:type="dxa"/>
          </w:tcPr>
          <w:p>
            <w:pPr>
              <w:pStyle w:val="TableParagraph"/>
              <w:spacing w:before="0"/>
              <w:jc w:val="left"/>
              <w:rPr>
                <w:rFonts w:ascii="Times New Roman"/>
                <w:sz w:val="12"/>
              </w:rPr>
            </w:pPr>
          </w:p>
        </w:tc>
        <w:tc>
          <w:tcPr>
            <w:tcW w:w="852" w:type="dxa"/>
          </w:tcPr>
          <w:p>
            <w:pPr>
              <w:pStyle w:val="TableParagraph"/>
              <w:ind w:right="372"/>
              <w:jc w:val="right"/>
              <w:rPr>
                <w:sz w:val="14"/>
              </w:rPr>
            </w:pPr>
            <w:r>
              <w:rPr>
                <w:color w:val="231F20"/>
                <w:spacing w:val="-5"/>
                <w:w w:val="95"/>
                <w:sz w:val="14"/>
              </w:rPr>
              <w:t>5.5</w:t>
            </w:r>
          </w:p>
        </w:tc>
        <w:tc>
          <w:tcPr>
            <w:tcW w:w="1074" w:type="dxa"/>
          </w:tcPr>
          <w:p>
            <w:pPr>
              <w:pStyle w:val="TableParagraph"/>
              <w:ind w:left="62" w:right="61"/>
              <w:rPr>
                <w:sz w:val="14"/>
              </w:rPr>
            </w:pPr>
            <w:r>
              <w:rPr>
                <w:color w:val="231F20"/>
                <w:spacing w:val="-5"/>
                <w:w w:val="95"/>
                <w:sz w:val="14"/>
              </w:rPr>
              <w:t>4.8</w:t>
            </w:r>
          </w:p>
        </w:tc>
        <w:tc>
          <w:tcPr>
            <w:tcW w:w="937" w:type="dxa"/>
          </w:tcPr>
          <w:p>
            <w:pPr>
              <w:pStyle w:val="TableParagraph"/>
              <w:ind w:left="30" w:right="46"/>
              <w:rPr>
                <w:sz w:val="14"/>
              </w:rPr>
            </w:pPr>
            <w:r>
              <w:rPr>
                <w:color w:val="231F20"/>
                <w:spacing w:val="-5"/>
                <w:w w:val="95"/>
                <w:sz w:val="14"/>
              </w:rPr>
              <w:t>3.4</w:t>
            </w:r>
          </w:p>
        </w:tc>
        <w:tc>
          <w:tcPr>
            <w:tcW w:w="1009" w:type="dxa"/>
          </w:tcPr>
          <w:p>
            <w:pPr>
              <w:pStyle w:val="TableParagraph"/>
              <w:ind w:left="68" w:right="36"/>
              <w:rPr>
                <w:sz w:val="14"/>
              </w:rPr>
            </w:pPr>
            <w:r>
              <w:rPr>
                <w:color w:val="231F20"/>
                <w:spacing w:val="-5"/>
                <w:w w:val="95"/>
                <w:sz w:val="14"/>
              </w:rPr>
              <w:t>6.6</w:t>
            </w:r>
          </w:p>
        </w:tc>
      </w:tr>
      <w:tr>
        <w:trPr>
          <w:trHeight w:val="259" w:hRule="atLeast"/>
        </w:trPr>
        <w:tc>
          <w:tcPr>
            <w:tcW w:w="1280" w:type="dxa"/>
            <w:shd w:val="clear" w:color="auto" w:fill="D4E3F5"/>
          </w:tcPr>
          <w:p>
            <w:pPr>
              <w:pStyle w:val="TableParagraph"/>
              <w:ind w:left="80"/>
              <w:jc w:val="left"/>
              <w:rPr>
                <w:sz w:val="14"/>
              </w:rPr>
            </w:pPr>
            <w:r>
              <w:rPr>
                <w:color w:val="231F20"/>
                <w:w w:val="70"/>
                <w:sz w:val="14"/>
              </w:rPr>
              <w:t>El</w:t>
            </w:r>
            <w:r>
              <w:rPr>
                <w:color w:val="231F20"/>
                <w:spacing w:val="-6"/>
                <w:sz w:val="14"/>
              </w:rPr>
              <w:t> </w:t>
            </w:r>
            <w:r>
              <w:rPr>
                <w:color w:val="231F20"/>
                <w:spacing w:val="-2"/>
                <w:w w:val="85"/>
                <w:sz w:val="14"/>
              </w:rPr>
              <w:t>Salvador</w:t>
            </w:r>
          </w:p>
        </w:tc>
        <w:tc>
          <w:tcPr>
            <w:tcW w:w="1182" w:type="dxa"/>
            <w:shd w:val="clear" w:color="auto" w:fill="D4E3F5"/>
          </w:tcPr>
          <w:p>
            <w:pPr>
              <w:pStyle w:val="TableParagraph"/>
              <w:ind w:right="435"/>
              <w:jc w:val="right"/>
              <w:rPr>
                <w:sz w:val="14"/>
              </w:rPr>
            </w:pPr>
            <w:r>
              <w:rPr>
                <w:color w:val="231F20"/>
                <w:spacing w:val="-5"/>
                <w:w w:val="95"/>
                <w:sz w:val="14"/>
              </w:rPr>
              <w:t>544</w:t>
            </w:r>
          </w:p>
        </w:tc>
        <w:tc>
          <w:tcPr>
            <w:tcW w:w="852" w:type="dxa"/>
            <w:shd w:val="clear" w:color="auto" w:fill="D4E3F5"/>
          </w:tcPr>
          <w:p>
            <w:pPr>
              <w:pStyle w:val="TableParagraph"/>
              <w:ind w:left="24" w:right="145"/>
              <w:rPr>
                <w:sz w:val="14"/>
              </w:rPr>
            </w:pPr>
            <w:r>
              <w:rPr>
                <w:color w:val="231F20"/>
                <w:spacing w:val="-4"/>
                <w:w w:val="95"/>
                <w:sz w:val="14"/>
              </w:rPr>
              <w:t>10.0</w:t>
            </w:r>
          </w:p>
        </w:tc>
        <w:tc>
          <w:tcPr>
            <w:tcW w:w="1074" w:type="dxa"/>
            <w:shd w:val="clear" w:color="auto" w:fill="D4E3F5"/>
          </w:tcPr>
          <w:p>
            <w:pPr>
              <w:pStyle w:val="TableParagraph"/>
              <w:ind w:left="70" w:right="61"/>
              <w:rPr>
                <w:sz w:val="14"/>
              </w:rPr>
            </w:pPr>
            <w:r>
              <w:rPr>
                <w:color w:val="231F20"/>
                <w:spacing w:val="-5"/>
                <w:w w:val="95"/>
                <w:sz w:val="14"/>
              </w:rPr>
              <w:t>8.6</w:t>
            </w:r>
          </w:p>
        </w:tc>
        <w:tc>
          <w:tcPr>
            <w:tcW w:w="1071" w:type="dxa"/>
            <w:shd w:val="clear" w:color="auto" w:fill="D4E3F5"/>
          </w:tcPr>
          <w:p>
            <w:pPr>
              <w:pStyle w:val="TableParagraph"/>
              <w:ind w:left="379"/>
              <w:jc w:val="left"/>
              <w:rPr>
                <w:sz w:val="14"/>
              </w:rPr>
            </w:pPr>
            <w:r>
              <w:rPr>
                <w:color w:val="231F20"/>
                <w:spacing w:val="-5"/>
                <w:w w:val="95"/>
                <w:sz w:val="14"/>
              </w:rPr>
              <w:t>5.9</w:t>
            </w:r>
          </w:p>
        </w:tc>
        <w:tc>
          <w:tcPr>
            <w:tcW w:w="756" w:type="dxa"/>
            <w:shd w:val="clear" w:color="auto" w:fill="D4E3F5"/>
          </w:tcPr>
          <w:p>
            <w:pPr>
              <w:pStyle w:val="TableParagraph"/>
              <w:ind w:left="242"/>
              <w:jc w:val="left"/>
              <w:rPr>
                <w:sz w:val="14"/>
              </w:rPr>
            </w:pPr>
            <w:r>
              <w:rPr>
                <w:color w:val="231F20"/>
                <w:spacing w:val="-4"/>
                <w:w w:val="95"/>
                <w:sz w:val="14"/>
              </w:rPr>
              <w:t>13.2</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3"/>
              <w:jc w:val="right"/>
              <w:rPr>
                <w:sz w:val="14"/>
              </w:rPr>
            </w:pPr>
            <w:r>
              <w:rPr>
                <w:color w:val="231F20"/>
                <w:spacing w:val="-4"/>
                <w:w w:val="95"/>
                <w:sz w:val="14"/>
              </w:rPr>
              <w:t>10.0</w:t>
            </w:r>
          </w:p>
        </w:tc>
        <w:tc>
          <w:tcPr>
            <w:tcW w:w="1074" w:type="dxa"/>
            <w:shd w:val="clear" w:color="auto" w:fill="D4E3F5"/>
          </w:tcPr>
          <w:p>
            <w:pPr>
              <w:pStyle w:val="TableParagraph"/>
              <w:ind w:left="61" w:right="61"/>
              <w:rPr>
                <w:sz w:val="14"/>
              </w:rPr>
            </w:pPr>
            <w:r>
              <w:rPr>
                <w:color w:val="231F20"/>
                <w:spacing w:val="-5"/>
                <w:w w:val="95"/>
                <w:sz w:val="14"/>
              </w:rPr>
              <w:t>8.6</w:t>
            </w:r>
          </w:p>
        </w:tc>
        <w:tc>
          <w:tcPr>
            <w:tcW w:w="937" w:type="dxa"/>
            <w:shd w:val="clear" w:color="auto" w:fill="D4E3F5"/>
          </w:tcPr>
          <w:p>
            <w:pPr>
              <w:pStyle w:val="TableParagraph"/>
              <w:ind w:left="32" w:right="46"/>
              <w:rPr>
                <w:sz w:val="14"/>
              </w:rPr>
            </w:pPr>
            <w:r>
              <w:rPr>
                <w:color w:val="231F20"/>
                <w:spacing w:val="-5"/>
                <w:w w:val="95"/>
                <w:sz w:val="14"/>
              </w:rPr>
              <w:t>5.9</w:t>
            </w:r>
          </w:p>
        </w:tc>
        <w:tc>
          <w:tcPr>
            <w:tcW w:w="1009" w:type="dxa"/>
            <w:shd w:val="clear" w:color="auto" w:fill="D4E3F5"/>
          </w:tcPr>
          <w:p>
            <w:pPr>
              <w:pStyle w:val="TableParagraph"/>
              <w:ind w:left="45" w:right="72"/>
              <w:rPr>
                <w:sz w:val="14"/>
              </w:rPr>
            </w:pPr>
            <w:r>
              <w:rPr>
                <w:color w:val="231F20"/>
                <w:spacing w:val="-4"/>
                <w:w w:val="95"/>
                <w:sz w:val="14"/>
              </w:rPr>
              <w:t>13.2</w:t>
            </w:r>
          </w:p>
        </w:tc>
      </w:tr>
      <w:tr>
        <w:trPr>
          <w:trHeight w:val="259" w:hRule="atLeast"/>
        </w:trPr>
        <w:tc>
          <w:tcPr>
            <w:tcW w:w="1280" w:type="dxa"/>
          </w:tcPr>
          <w:p>
            <w:pPr>
              <w:pStyle w:val="TableParagraph"/>
              <w:ind w:left="80"/>
              <w:jc w:val="left"/>
              <w:rPr>
                <w:sz w:val="14"/>
              </w:rPr>
            </w:pPr>
            <w:r>
              <w:rPr>
                <w:color w:val="231F20"/>
                <w:w w:val="75"/>
                <w:sz w:val="14"/>
              </w:rPr>
              <w:t>Equatorial</w:t>
            </w:r>
            <w:r>
              <w:rPr>
                <w:color w:val="231F20"/>
                <w:spacing w:val="17"/>
                <w:sz w:val="14"/>
              </w:rPr>
              <w:t> </w:t>
            </w:r>
            <w:r>
              <w:rPr>
                <w:color w:val="231F20"/>
                <w:spacing w:val="-2"/>
                <w:w w:val="80"/>
                <w:sz w:val="14"/>
              </w:rPr>
              <w:t>Guinea</w:t>
            </w:r>
          </w:p>
        </w:tc>
        <w:tc>
          <w:tcPr>
            <w:tcW w:w="1182" w:type="dxa"/>
          </w:tcPr>
          <w:p>
            <w:pPr>
              <w:pStyle w:val="TableParagraph"/>
              <w:ind w:right="433"/>
              <w:jc w:val="right"/>
              <w:rPr>
                <w:sz w:val="14"/>
              </w:rPr>
            </w:pPr>
            <w:r>
              <w:rPr>
                <w:color w:val="231F20"/>
                <w:spacing w:val="-5"/>
                <w:w w:val="95"/>
                <w:sz w:val="14"/>
              </w:rPr>
              <w:t>73</w:t>
            </w:r>
          </w:p>
        </w:tc>
        <w:tc>
          <w:tcPr>
            <w:tcW w:w="852" w:type="dxa"/>
          </w:tcPr>
          <w:p>
            <w:pPr>
              <w:pStyle w:val="TableParagraph"/>
              <w:ind w:left="26" w:right="145"/>
              <w:rPr>
                <w:sz w:val="14"/>
              </w:rPr>
            </w:pPr>
            <w:r>
              <w:rPr>
                <w:color w:val="231F20"/>
                <w:spacing w:val="-4"/>
                <w:w w:val="95"/>
                <w:sz w:val="14"/>
              </w:rPr>
              <w:t>12.9</w:t>
            </w:r>
          </w:p>
        </w:tc>
        <w:tc>
          <w:tcPr>
            <w:tcW w:w="1074" w:type="dxa"/>
          </w:tcPr>
          <w:p>
            <w:pPr>
              <w:pStyle w:val="TableParagraph"/>
              <w:ind w:left="22" w:right="64"/>
              <w:rPr>
                <w:sz w:val="14"/>
              </w:rPr>
            </w:pPr>
            <w:r>
              <w:rPr>
                <w:color w:val="231F20"/>
                <w:spacing w:val="-4"/>
                <w:w w:val="95"/>
                <w:sz w:val="14"/>
              </w:rPr>
              <w:t>11.0</w:t>
            </w:r>
          </w:p>
        </w:tc>
        <w:tc>
          <w:tcPr>
            <w:tcW w:w="1071" w:type="dxa"/>
          </w:tcPr>
          <w:p>
            <w:pPr>
              <w:pStyle w:val="TableParagraph"/>
              <w:ind w:left="378"/>
              <w:jc w:val="left"/>
              <w:rPr>
                <w:sz w:val="14"/>
              </w:rPr>
            </w:pPr>
            <w:r>
              <w:rPr>
                <w:color w:val="231F20"/>
                <w:spacing w:val="-5"/>
                <w:w w:val="95"/>
                <w:sz w:val="14"/>
              </w:rPr>
              <w:t>6.4</w:t>
            </w:r>
          </w:p>
        </w:tc>
        <w:tc>
          <w:tcPr>
            <w:tcW w:w="756" w:type="dxa"/>
          </w:tcPr>
          <w:p>
            <w:pPr>
              <w:pStyle w:val="TableParagraph"/>
              <w:ind w:left="244"/>
              <w:jc w:val="left"/>
              <w:rPr>
                <w:sz w:val="14"/>
              </w:rPr>
            </w:pPr>
            <w:r>
              <w:rPr>
                <w:color w:val="231F20"/>
                <w:spacing w:val="-4"/>
                <w:w w:val="95"/>
                <w:sz w:val="14"/>
              </w:rPr>
              <w:t>14.8</w:t>
            </w:r>
          </w:p>
        </w:tc>
        <w:tc>
          <w:tcPr>
            <w:tcW w:w="241" w:type="dxa"/>
          </w:tcPr>
          <w:p>
            <w:pPr>
              <w:pStyle w:val="TableParagraph"/>
              <w:spacing w:before="0"/>
              <w:jc w:val="left"/>
              <w:rPr>
                <w:rFonts w:ascii="Times New Roman"/>
                <w:sz w:val="12"/>
              </w:rPr>
            </w:pPr>
          </w:p>
        </w:tc>
        <w:tc>
          <w:tcPr>
            <w:tcW w:w="852" w:type="dxa"/>
          </w:tcPr>
          <w:p>
            <w:pPr>
              <w:pStyle w:val="TableParagraph"/>
              <w:ind w:right="372"/>
              <w:jc w:val="right"/>
              <w:rPr>
                <w:sz w:val="14"/>
              </w:rPr>
            </w:pPr>
            <w:r>
              <w:rPr>
                <w:color w:val="231F20"/>
                <w:spacing w:val="-4"/>
                <w:w w:val="95"/>
                <w:sz w:val="14"/>
              </w:rPr>
              <w:t>12.9</w:t>
            </w:r>
          </w:p>
        </w:tc>
        <w:tc>
          <w:tcPr>
            <w:tcW w:w="1074" w:type="dxa"/>
          </w:tcPr>
          <w:p>
            <w:pPr>
              <w:pStyle w:val="TableParagraph"/>
              <w:ind w:left="22" w:right="74"/>
              <w:rPr>
                <w:sz w:val="14"/>
              </w:rPr>
            </w:pPr>
            <w:r>
              <w:rPr>
                <w:color w:val="231F20"/>
                <w:spacing w:val="-4"/>
                <w:w w:val="95"/>
                <w:sz w:val="14"/>
              </w:rPr>
              <w:t>11.0</w:t>
            </w:r>
          </w:p>
        </w:tc>
        <w:tc>
          <w:tcPr>
            <w:tcW w:w="937" w:type="dxa"/>
          </w:tcPr>
          <w:p>
            <w:pPr>
              <w:pStyle w:val="TableParagraph"/>
              <w:ind w:left="30" w:right="46"/>
              <w:rPr>
                <w:sz w:val="14"/>
              </w:rPr>
            </w:pPr>
            <w:r>
              <w:rPr>
                <w:color w:val="231F20"/>
                <w:spacing w:val="-5"/>
                <w:w w:val="95"/>
                <w:sz w:val="14"/>
              </w:rPr>
              <w:t>6.4</w:t>
            </w:r>
          </w:p>
        </w:tc>
        <w:tc>
          <w:tcPr>
            <w:tcW w:w="1009" w:type="dxa"/>
          </w:tcPr>
          <w:p>
            <w:pPr>
              <w:pStyle w:val="TableParagraph"/>
              <w:ind w:left="45" w:right="71"/>
              <w:rPr>
                <w:sz w:val="14"/>
              </w:rPr>
            </w:pPr>
            <w:r>
              <w:rPr>
                <w:color w:val="231F20"/>
                <w:spacing w:val="-4"/>
                <w:w w:val="95"/>
                <w:sz w:val="14"/>
              </w:rPr>
              <w:t>14.8</w:t>
            </w:r>
          </w:p>
        </w:tc>
      </w:tr>
      <w:tr>
        <w:trPr>
          <w:trHeight w:val="259" w:hRule="atLeast"/>
        </w:trPr>
        <w:tc>
          <w:tcPr>
            <w:tcW w:w="1280" w:type="dxa"/>
            <w:shd w:val="clear" w:color="auto" w:fill="D4E3F5"/>
          </w:tcPr>
          <w:p>
            <w:pPr>
              <w:pStyle w:val="TableParagraph"/>
              <w:ind w:left="80"/>
              <w:jc w:val="left"/>
              <w:rPr>
                <w:sz w:val="14"/>
              </w:rPr>
            </w:pPr>
            <w:r>
              <w:rPr>
                <w:color w:val="231F20"/>
                <w:spacing w:val="-2"/>
                <w:w w:val="85"/>
                <w:sz w:val="14"/>
              </w:rPr>
              <w:t>Estonia</w:t>
            </w:r>
          </w:p>
        </w:tc>
        <w:tc>
          <w:tcPr>
            <w:tcW w:w="1182" w:type="dxa"/>
            <w:shd w:val="clear" w:color="auto" w:fill="D4E3F5"/>
          </w:tcPr>
          <w:p>
            <w:pPr>
              <w:pStyle w:val="TableParagraph"/>
              <w:ind w:right="432"/>
              <w:jc w:val="right"/>
              <w:rPr>
                <w:sz w:val="14"/>
              </w:rPr>
            </w:pPr>
            <w:r>
              <w:rPr>
                <w:color w:val="231F20"/>
                <w:spacing w:val="-5"/>
                <w:w w:val="95"/>
                <w:sz w:val="14"/>
              </w:rPr>
              <w:t>49</w:t>
            </w:r>
          </w:p>
        </w:tc>
        <w:tc>
          <w:tcPr>
            <w:tcW w:w="852" w:type="dxa"/>
            <w:shd w:val="clear" w:color="auto" w:fill="D4E3F5"/>
          </w:tcPr>
          <w:p>
            <w:pPr>
              <w:pStyle w:val="TableParagraph"/>
              <w:ind w:left="89" w:right="145"/>
              <w:rPr>
                <w:sz w:val="14"/>
              </w:rPr>
            </w:pPr>
            <w:r>
              <w:rPr>
                <w:color w:val="231F20"/>
                <w:spacing w:val="-5"/>
                <w:w w:val="95"/>
                <w:sz w:val="14"/>
              </w:rPr>
              <w:t>6.2</w:t>
            </w:r>
          </w:p>
        </w:tc>
        <w:tc>
          <w:tcPr>
            <w:tcW w:w="1074" w:type="dxa"/>
            <w:shd w:val="clear" w:color="auto" w:fill="D4E3F5"/>
          </w:tcPr>
          <w:p>
            <w:pPr>
              <w:pStyle w:val="TableParagraph"/>
              <w:ind w:left="70" w:right="61"/>
              <w:rPr>
                <w:sz w:val="14"/>
              </w:rPr>
            </w:pPr>
            <w:r>
              <w:rPr>
                <w:color w:val="231F20"/>
                <w:spacing w:val="-5"/>
                <w:w w:val="95"/>
                <w:sz w:val="14"/>
              </w:rPr>
              <w:t>5.3</w:t>
            </w:r>
          </w:p>
        </w:tc>
        <w:tc>
          <w:tcPr>
            <w:tcW w:w="1071" w:type="dxa"/>
            <w:shd w:val="clear" w:color="auto" w:fill="D4E3F5"/>
          </w:tcPr>
          <w:p>
            <w:pPr>
              <w:pStyle w:val="TableParagraph"/>
              <w:ind w:left="380"/>
              <w:jc w:val="left"/>
              <w:rPr>
                <w:sz w:val="14"/>
              </w:rPr>
            </w:pPr>
            <w:r>
              <w:rPr>
                <w:color w:val="231F20"/>
                <w:spacing w:val="-5"/>
                <w:w w:val="95"/>
                <w:sz w:val="14"/>
              </w:rPr>
              <w:t>4.3</w:t>
            </w:r>
          </w:p>
        </w:tc>
        <w:tc>
          <w:tcPr>
            <w:tcW w:w="756" w:type="dxa"/>
            <w:shd w:val="clear" w:color="auto" w:fill="D4E3F5"/>
          </w:tcPr>
          <w:p>
            <w:pPr>
              <w:pStyle w:val="TableParagraph"/>
              <w:ind w:left="39" w:right="11"/>
              <w:rPr>
                <w:sz w:val="14"/>
              </w:rPr>
            </w:pPr>
            <w:r>
              <w:rPr>
                <w:color w:val="231F20"/>
                <w:spacing w:val="-5"/>
                <w:w w:val="95"/>
                <w:sz w:val="14"/>
              </w:rPr>
              <w:t>8.3</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7"/>
              <w:jc w:val="right"/>
              <w:rPr>
                <w:sz w:val="14"/>
              </w:rPr>
            </w:pPr>
            <w:r>
              <w:rPr>
                <w:color w:val="231F20"/>
                <w:spacing w:val="-5"/>
                <w:w w:val="95"/>
                <w:sz w:val="14"/>
              </w:rPr>
              <w:t>5.7</w:t>
            </w:r>
          </w:p>
        </w:tc>
        <w:tc>
          <w:tcPr>
            <w:tcW w:w="1074" w:type="dxa"/>
            <w:shd w:val="clear" w:color="auto" w:fill="D4E3F5"/>
          </w:tcPr>
          <w:p>
            <w:pPr>
              <w:pStyle w:val="TableParagraph"/>
              <w:ind w:left="61" w:right="61"/>
              <w:rPr>
                <w:sz w:val="14"/>
              </w:rPr>
            </w:pPr>
            <w:r>
              <w:rPr>
                <w:color w:val="231F20"/>
                <w:spacing w:val="-5"/>
                <w:w w:val="95"/>
                <w:sz w:val="14"/>
              </w:rPr>
              <w:t>5.3</w:t>
            </w:r>
          </w:p>
        </w:tc>
        <w:tc>
          <w:tcPr>
            <w:tcW w:w="937" w:type="dxa"/>
            <w:shd w:val="clear" w:color="auto" w:fill="D4E3F5"/>
          </w:tcPr>
          <w:p>
            <w:pPr>
              <w:pStyle w:val="TableParagraph"/>
              <w:ind w:left="34" w:right="46"/>
              <w:rPr>
                <w:sz w:val="14"/>
              </w:rPr>
            </w:pPr>
            <w:r>
              <w:rPr>
                <w:color w:val="231F20"/>
                <w:spacing w:val="-5"/>
                <w:w w:val="95"/>
                <w:sz w:val="14"/>
              </w:rPr>
              <w:t>4.3</w:t>
            </w:r>
          </w:p>
        </w:tc>
        <w:tc>
          <w:tcPr>
            <w:tcW w:w="1009" w:type="dxa"/>
            <w:shd w:val="clear" w:color="auto" w:fill="D4E3F5"/>
          </w:tcPr>
          <w:p>
            <w:pPr>
              <w:pStyle w:val="TableParagraph"/>
              <w:ind w:left="70" w:right="36"/>
              <w:rPr>
                <w:sz w:val="14"/>
              </w:rPr>
            </w:pPr>
            <w:r>
              <w:rPr>
                <w:color w:val="231F20"/>
                <w:spacing w:val="-5"/>
                <w:w w:val="95"/>
                <w:sz w:val="14"/>
              </w:rPr>
              <w:t>8.3</w:t>
            </w:r>
          </w:p>
        </w:tc>
      </w:tr>
      <w:tr>
        <w:trPr>
          <w:trHeight w:val="259" w:hRule="atLeast"/>
        </w:trPr>
        <w:tc>
          <w:tcPr>
            <w:tcW w:w="1280" w:type="dxa"/>
          </w:tcPr>
          <w:p>
            <w:pPr>
              <w:pStyle w:val="TableParagraph"/>
              <w:ind w:left="80"/>
              <w:jc w:val="left"/>
              <w:rPr>
                <w:sz w:val="14"/>
              </w:rPr>
            </w:pPr>
            <w:r>
              <w:rPr>
                <w:color w:val="231F20"/>
                <w:spacing w:val="-2"/>
                <w:w w:val="90"/>
                <w:sz w:val="14"/>
              </w:rPr>
              <w:t>Ethiopia</w:t>
            </w:r>
          </w:p>
        </w:tc>
        <w:tc>
          <w:tcPr>
            <w:tcW w:w="1182" w:type="dxa"/>
          </w:tcPr>
          <w:p>
            <w:pPr>
              <w:pStyle w:val="TableParagraph"/>
              <w:ind w:right="440"/>
              <w:jc w:val="right"/>
              <w:rPr>
                <w:sz w:val="14"/>
              </w:rPr>
            </w:pPr>
            <w:r>
              <w:rPr>
                <w:color w:val="231F20"/>
                <w:spacing w:val="-5"/>
                <w:w w:val="95"/>
                <w:sz w:val="14"/>
              </w:rPr>
              <w:t>18</w:t>
            </w:r>
          </w:p>
        </w:tc>
        <w:tc>
          <w:tcPr>
            <w:tcW w:w="852" w:type="dxa"/>
          </w:tcPr>
          <w:p>
            <w:pPr>
              <w:pStyle w:val="TableParagraph"/>
              <w:ind w:left="34" w:right="145"/>
              <w:rPr>
                <w:sz w:val="14"/>
              </w:rPr>
            </w:pPr>
            <w:r>
              <w:rPr>
                <w:color w:val="231F20"/>
                <w:spacing w:val="-4"/>
                <w:w w:val="95"/>
                <w:sz w:val="14"/>
              </w:rPr>
              <w:t>11.6</w:t>
            </w:r>
          </w:p>
        </w:tc>
        <w:tc>
          <w:tcPr>
            <w:tcW w:w="1074" w:type="dxa"/>
          </w:tcPr>
          <w:p>
            <w:pPr>
              <w:pStyle w:val="TableParagraph"/>
              <w:ind w:left="22" w:right="72"/>
              <w:rPr>
                <w:sz w:val="14"/>
              </w:rPr>
            </w:pPr>
            <w:r>
              <w:rPr>
                <w:color w:val="231F20"/>
                <w:spacing w:val="-4"/>
                <w:w w:val="95"/>
                <w:sz w:val="14"/>
              </w:rPr>
              <w:t>14.0</w:t>
            </w:r>
          </w:p>
        </w:tc>
        <w:tc>
          <w:tcPr>
            <w:tcW w:w="1071" w:type="dxa"/>
          </w:tcPr>
          <w:p>
            <w:pPr>
              <w:pStyle w:val="TableParagraph"/>
              <w:ind w:left="379"/>
              <w:jc w:val="left"/>
              <w:rPr>
                <w:sz w:val="14"/>
              </w:rPr>
            </w:pPr>
            <w:r>
              <w:rPr>
                <w:color w:val="231F20"/>
                <w:spacing w:val="-5"/>
                <w:w w:val="95"/>
                <w:sz w:val="14"/>
              </w:rPr>
              <w:t>9.2</w:t>
            </w:r>
          </w:p>
        </w:tc>
        <w:tc>
          <w:tcPr>
            <w:tcW w:w="756" w:type="dxa"/>
          </w:tcPr>
          <w:p>
            <w:pPr>
              <w:pStyle w:val="TableParagraph"/>
              <w:ind w:left="242"/>
              <w:jc w:val="left"/>
              <w:rPr>
                <w:sz w:val="14"/>
              </w:rPr>
            </w:pPr>
            <w:r>
              <w:rPr>
                <w:color w:val="231F20"/>
                <w:spacing w:val="-4"/>
                <w:w w:val="95"/>
                <w:sz w:val="14"/>
              </w:rPr>
              <w:t>15.3</w:t>
            </w:r>
          </w:p>
        </w:tc>
        <w:tc>
          <w:tcPr>
            <w:tcW w:w="241" w:type="dxa"/>
          </w:tcPr>
          <w:p>
            <w:pPr>
              <w:pStyle w:val="TableParagraph"/>
              <w:spacing w:before="0"/>
              <w:jc w:val="left"/>
              <w:rPr>
                <w:rFonts w:ascii="Times New Roman"/>
                <w:sz w:val="12"/>
              </w:rPr>
            </w:pPr>
          </w:p>
        </w:tc>
        <w:tc>
          <w:tcPr>
            <w:tcW w:w="852" w:type="dxa"/>
          </w:tcPr>
          <w:p>
            <w:pPr>
              <w:pStyle w:val="TableParagraph"/>
              <w:ind w:right="374"/>
              <w:jc w:val="right"/>
              <w:rPr>
                <w:sz w:val="14"/>
              </w:rPr>
            </w:pPr>
            <w:r>
              <w:rPr>
                <w:color w:val="231F20"/>
                <w:spacing w:val="-5"/>
                <w:w w:val="95"/>
                <w:sz w:val="14"/>
              </w:rPr>
              <w:t>6.4</w:t>
            </w:r>
          </w:p>
        </w:tc>
        <w:tc>
          <w:tcPr>
            <w:tcW w:w="1074" w:type="dxa"/>
          </w:tcPr>
          <w:p>
            <w:pPr>
              <w:pStyle w:val="TableParagraph"/>
              <w:ind w:left="60" w:right="61"/>
              <w:rPr>
                <w:sz w:val="14"/>
              </w:rPr>
            </w:pPr>
            <w:r>
              <w:rPr>
                <w:color w:val="231F20"/>
                <w:spacing w:val="-5"/>
                <w:w w:val="95"/>
                <w:sz w:val="14"/>
              </w:rPr>
              <w:t>4.7</w:t>
            </w:r>
          </w:p>
        </w:tc>
        <w:tc>
          <w:tcPr>
            <w:tcW w:w="937" w:type="dxa"/>
          </w:tcPr>
          <w:p>
            <w:pPr>
              <w:pStyle w:val="TableParagraph"/>
              <w:ind w:left="30" w:right="46"/>
              <w:rPr>
                <w:sz w:val="14"/>
              </w:rPr>
            </w:pPr>
            <w:r>
              <w:rPr>
                <w:color w:val="231F20"/>
                <w:spacing w:val="-5"/>
                <w:w w:val="95"/>
                <w:sz w:val="14"/>
              </w:rPr>
              <w:t>3.4</w:t>
            </w:r>
          </w:p>
        </w:tc>
        <w:tc>
          <w:tcPr>
            <w:tcW w:w="1009" w:type="dxa"/>
          </w:tcPr>
          <w:p>
            <w:pPr>
              <w:pStyle w:val="TableParagraph"/>
              <w:ind w:left="81" w:right="36"/>
              <w:rPr>
                <w:sz w:val="14"/>
              </w:rPr>
            </w:pPr>
            <w:r>
              <w:rPr>
                <w:color w:val="231F20"/>
                <w:spacing w:val="-5"/>
                <w:w w:val="95"/>
                <w:sz w:val="14"/>
              </w:rPr>
              <w:t>7.9</w:t>
            </w:r>
          </w:p>
        </w:tc>
      </w:tr>
      <w:tr>
        <w:trPr>
          <w:trHeight w:val="259" w:hRule="atLeast"/>
        </w:trPr>
        <w:tc>
          <w:tcPr>
            <w:tcW w:w="1280" w:type="dxa"/>
            <w:shd w:val="clear" w:color="auto" w:fill="D4E3F5"/>
          </w:tcPr>
          <w:p>
            <w:pPr>
              <w:pStyle w:val="TableParagraph"/>
              <w:ind w:left="80"/>
              <w:jc w:val="left"/>
              <w:rPr>
                <w:sz w:val="14"/>
              </w:rPr>
            </w:pPr>
            <w:r>
              <w:rPr>
                <w:color w:val="231F20"/>
                <w:spacing w:val="-4"/>
                <w:w w:val="90"/>
                <w:sz w:val="14"/>
              </w:rPr>
              <w:t>Fiji</w:t>
            </w:r>
          </w:p>
        </w:tc>
        <w:tc>
          <w:tcPr>
            <w:tcW w:w="1182" w:type="dxa"/>
            <w:shd w:val="clear" w:color="auto" w:fill="D4E3F5"/>
          </w:tcPr>
          <w:p>
            <w:pPr>
              <w:pStyle w:val="TableParagraph"/>
              <w:ind w:right="435"/>
              <w:jc w:val="right"/>
              <w:rPr>
                <w:sz w:val="14"/>
              </w:rPr>
            </w:pPr>
            <w:r>
              <w:rPr>
                <w:color w:val="231F20"/>
                <w:spacing w:val="-5"/>
                <w:w w:val="95"/>
                <w:sz w:val="14"/>
              </w:rPr>
              <w:t>151</w:t>
            </w:r>
          </w:p>
        </w:tc>
        <w:tc>
          <w:tcPr>
            <w:tcW w:w="852" w:type="dxa"/>
            <w:shd w:val="clear" w:color="auto" w:fill="D4E3F5"/>
          </w:tcPr>
          <w:p>
            <w:pPr>
              <w:pStyle w:val="TableParagraph"/>
              <w:ind w:left="88" w:right="145"/>
              <w:rPr>
                <w:sz w:val="14"/>
              </w:rPr>
            </w:pPr>
            <w:r>
              <w:rPr>
                <w:color w:val="231F20"/>
                <w:spacing w:val="-5"/>
                <w:w w:val="95"/>
                <w:sz w:val="14"/>
              </w:rPr>
              <w:t>3.6</w:t>
            </w:r>
          </w:p>
        </w:tc>
        <w:tc>
          <w:tcPr>
            <w:tcW w:w="1074" w:type="dxa"/>
            <w:shd w:val="clear" w:color="auto" w:fill="D4E3F5"/>
          </w:tcPr>
          <w:p>
            <w:pPr>
              <w:pStyle w:val="TableParagraph"/>
              <w:ind w:left="71" w:right="61"/>
              <w:rPr>
                <w:sz w:val="14"/>
              </w:rPr>
            </w:pPr>
            <w:r>
              <w:rPr>
                <w:color w:val="231F20"/>
                <w:spacing w:val="-5"/>
                <w:w w:val="95"/>
                <w:sz w:val="14"/>
              </w:rPr>
              <w:t>3.2</w:t>
            </w:r>
          </w:p>
        </w:tc>
        <w:tc>
          <w:tcPr>
            <w:tcW w:w="1071" w:type="dxa"/>
            <w:shd w:val="clear" w:color="auto" w:fill="D4E3F5"/>
          </w:tcPr>
          <w:p>
            <w:pPr>
              <w:pStyle w:val="TableParagraph"/>
              <w:ind w:left="379"/>
              <w:jc w:val="left"/>
              <w:rPr>
                <w:sz w:val="14"/>
              </w:rPr>
            </w:pPr>
            <w:r>
              <w:rPr>
                <w:color w:val="231F20"/>
                <w:spacing w:val="-5"/>
                <w:w w:val="95"/>
                <w:sz w:val="14"/>
              </w:rPr>
              <w:t>2.5</w:t>
            </w:r>
          </w:p>
        </w:tc>
        <w:tc>
          <w:tcPr>
            <w:tcW w:w="756" w:type="dxa"/>
            <w:shd w:val="clear" w:color="auto" w:fill="D4E3F5"/>
          </w:tcPr>
          <w:p>
            <w:pPr>
              <w:pStyle w:val="TableParagraph"/>
              <w:ind w:left="39" w:right="12"/>
              <w:rPr>
                <w:sz w:val="14"/>
              </w:rPr>
            </w:pPr>
            <w:r>
              <w:rPr>
                <w:color w:val="231F20"/>
                <w:spacing w:val="-5"/>
                <w:w w:val="95"/>
                <w:sz w:val="14"/>
              </w:rPr>
              <w:t>4.6</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2"/>
              <w:jc w:val="right"/>
              <w:rPr>
                <w:sz w:val="14"/>
              </w:rPr>
            </w:pPr>
            <w:r>
              <w:rPr>
                <w:color w:val="231F20"/>
                <w:spacing w:val="-5"/>
                <w:w w:val="95"/>
                <w:sz w:val="14"/>
              </w:rPr>
              <w:t>3.6</w:t>
            </w:r>
          </w:p>
        </w:tc>
        <w:tc>
          <w:tcPr>
            <w:tcW w:w="1074" w:type="dxa"/>
            <w:shd w:val="clear" w:color="auto" w:fill="D4E3F5"/>
          </w:tcPr>
          <w:p>
            <w:pPr>
              <w:pStyle w:val="TableParagraph"/>
              <w:ind w:left="61" w:right="61"/>
              <w:rPr>
                <w:sz w:val="14"/>
              </w:rPr>
            </w:pPr>
            <w:r>
              <w:rPr>
                <w:color w:val="231F20"/>
                <w:spacing w:val="-5"/>
                <w:w w:val="95"/>
                <w:sz w:val="14"/>
              </w:rPr>
              <w:t>3.2</w:t>
            </w:r>
          </w:p>
        </w:tc>
        <w:tc>
          <w:tcPr>
            <w:tcW w:w="937" w:type="dxa"/>
            <w:shd w:val="clear" w:color="auto" w:fill="D4E3F5"/>
          </w:tcPr>
          <w:p>
            <w:pPr>
              <w:pStyle w:val="TableParagraph"/>
              <w:ind w:left="33" w:right="46"/>
              <w:rPr>
                <w:sz w:val="14"/>
              </w:rPr>
            </w:pPr>
            <w:r>
              <w:rPr>
                <w:color w:val="231F20"/>
                <w:spacing w:val="-5"/>
                <w:w w:val="95"/>
                <w:sz w:val="14"/>
              </w:rPr>
              <w:t>2.5</w:t>
            </w:r>
          </w:p>
        </w:tc>
        <w:tc>
          <w:tcPr>
            <w:tcW w:w="1009" w:type="dxa"/>
            <w:shd w:val="clear" w:color="auto" w:fill="D4E3F5"/>
          </w:tcPr>
          <w:p>
            <w:pPr>
              <w:pStyle w:val="TableParagraph"/>
              <w:ind w:left="68" w:right="36"/>
              <w:rPr>
                <w:sz w:val="14"/>
              </w:rPr>
            </w:pPr>
            <w:r>
              <w:rPr>
                <w:color w:val="231F20"/>
                <w:spacing w:val="-5"/>
                <w:w w:val="95"/>
                <w:sz w:val="14"/>
              </w:rPr>
              <w:t>4.6</w:t>
            </w:r>
          </w:p>
        </w:tc>
      </w:tr>
      <w:tr>
        <w:trPr>
          <w:trHeight w:val="259" w:hRule="atLeast"/>
        </w:trPr>
        <w:tc>
          <w:tcPr>
            <w:tcW w:w="1280" w:type="dxa"/>
          </w:tcPr>
          <w:p>
            <w:pPr>
              <w:pStyle w:val="TableParagraph"/>
              <w:ind w:left="80"/>
              <w:jc w:val="left"/>
              <w:rPr>
                <w:sz w:val="14"/>
              </w:rPr>
            </w:pPr>
            <w:r>
              <w:rPr>
                <w:color w:val="231F20"/>
                <w:spacing w:val="-2"/>
                <w:w w:val="90"/>
                <w:sz w:val="14"/>
              </w:rPr>
              <w:t>Finland</w:t>
            </w:r>
          </w:p>
        </w:tc>
        <w:tc>
          <w:tcPr>
            <w:tcW w:w="1182" w:type="dxa"/>
          </w:tcPr>
          <w:p>
            <w:pPr>
              <w:pStyle w:val="TableParagraph"/>
              <w:ind w:right="435"/>
              <w:jc w:val="right"/>
              <w:rPr>
                <w:sz w:val="14"/>
              </w:rPr>
            </w:pPr>
            <w:r>
              <w:rPr>
                <w:color w:val="231F20"/>
                <w:spacing w:val="-2"/>
                <w:w w:val="95"/>
                <w:sz w:val="14"/>
              </w:rPr>
              <w:t>6,240</w:t>
            </w:r>
          </w:p>
        </w:tc>
        <w:tc>
          <w:tcPr>
            <w:tcW w:w="852" w:type="dxa"/>
          </w:tcPr>
          <w:p>
            <w:pPr>
              <w:pStyle w:val="TableParagraph"/>
              <w:ind w:left="87" w:right="145"/>
              <w:rPr>
                <w:sz w:val="14"/>
              </w:rPr>
            </w:pPr>
            <w:r>
              <w:rPr>
                <w:color w:val="231F20"/>
                <w:spacing w:val="-5"/>
                <w:w w:val="95"/>
                <w:sz w:val="14"/>
              </w:rPr>
              <w:t>9.4</w:t>
            </w:r>
          </w:p>
        </w:tc>
        <w:tc>
          <w:tcPr>
            <w:tcW w:w="1074" w:type="dxa"/>
          </w:tcPr>
          <w:p>
            <w:pPr>
              <w:pStyle w:val="TableParagraph"/>
              <w:ind w:left="54" w:right="61"/>
              <w:rPr>
                <w:sz w:val="14"/>
              </w:rPr>
            </w:pPr>
            <w:r>
              <w:rPr>
                <w:color w:val="231F20"/>
                <w:spacing w:val="-5"/>
                <w:w w:val="95"/>
                <w:sz w:val="14"/>
              </w:rPr>
              <w:t>8.1</w:t>
            </w:r>
          </w:p>
        </w:tc>
        <w:tc>
          <w:tcPr>
            <w:tcW w:w="1071" w:type="dxa"/>
          </w:tcPr>
          <w:p>
            <w:pPr>
              <w:pStyle w:val="TableParagraph"/>
              <w:ind w:left="378"/>
              <w:jc w:val="left"/>
              <w:rPr>
                <w:sz w:val="14"/>
              </w:rPr>
            </w:pPr>
            <w:r>
              <w:rPr>
                <w:color w:val="231F20"/>
                <w:spacing w:val="-5"/>
                <w:w w:val="95"/>
                <w:sz w:val="14"/>
              </w:rPr>
              <w:t>6.2</w:t>
            </w:r>
          </w:p>
        </w:tc>
        <w:tc>
          <w:tcPr>
            <w:tcW w:w="756" w:type="dxa"/>
          </w:tcPr>
          <w:p>
            <w:pPr>
              <w:pStyle w:val="TableParagraph"/>
              <w:ind w:left="252"/>
              <w:jc w:val="left"/>
              <w:rPr>
                <w:sz w:val="14"/>
              </w:rPr>
            </w:pPr>
            <w:r>
              <w:rPr>
                <w:color w:val="231F20"/>
                <w:spacing w:val="-4"/>
                <w:w w:val="95"/>
                <w:sz w:val="14"/>
              </w:rPr>
              <w:t>11.1</w:t>
            </w:r>
          </w:p>
        </w:tc>
        <w:tc>
          <w:tcPr>
            <w:tcW w:w="241" w:type="dxa"/>
          </w:tcPr>
          <w:p>
            <w:pPr>
              <w:pStyle w:val="TableParagraph"/>
              <w:spacing w:before="0"/>
              <w:jc w:val="left"/>
              <w:rPr>
                <w:rFonts w:ascii="Times New Roman"/>
                <w:sz w:val="12"/>
              </w:rPr>
            </w:pPr>
          </w:p>
        </w:tc>
        <w:tc>
          <w:tcPr>
            <w:tcW w:w="852" w:type="dxa"/>
          </w:tcPr>
          <w:p>
            <w:pPr>
              <w:pStyle w:val="TableParagraph"/>
              <w:ind w:right="374"/>
              <w:jc w:val="right"/>
              <w:rPr>
                <w:sz w:val="14"/>
              </w:rPr>
            </w:pPr>
            <w:r>
              <w:rPr>
                <w:color w:val="231F20"/>
                <w:spacing w:val="-5"/>
                <w:w w:val="95"/>
                <w:sz w:val="14"/>
              </w:rPr>
              <w:t>9.4</w:t>
            </w:r>
          </w:p>
        </w:tc>
        <w:tc>
          <w:tcPr>
            <w:tcW w:w="1074" w:type="dxa"/>
          </w:tcPr>
          <w:p>
            <w:pPr>
              <w:pStyle w:val="TableParagraph"/>
              <w:ind w:left="45" w:right="61"/>
              <w:rPr>
                <w:sz w:val="14"/>
              </w:rPr>
            </w:pPr>
            <w:r>
              <w:rPr>
                <w:color w:val="231F20"/>
                <w:spacing w:val="-5"/>
                <w:w w:val="95"/>
                <w:sz w:val="14"/>
              </w:rPr>
              <w:t>8.1</w:t>
            </w:r>
          </w:p>
        </w:tc>
        <w:tc>
          <w:tcPr>
            <w:tcW w:w="937" w:type="dxa"/>
          </w:tcPr>
          <w:p>
            <w:pPr>
              <w:pStyle w:val="TableParagraph"/>
              <w:ind w:left="33" w:right="46"/>
              <w:rPr>
                <w:sz w:val="14"/>
              </w:rPr>
            </w:pPr>
            <w:r>
              <w:rPr>
                <w:color w:val="231F20"/>
                <w:spacing w:val="-5"/>
                <w:w w:val="95"/>
                <w:sz w:val="14"/>
              </w:rPr>
              <w:t>6.2</w:t>
            </w:r>
          </w:p>
        </w:tc>
        <w:tc>
          <w:tcPr>
            <w:tcW w:w="1009" w:type="dxa"/>
          </w:tcPr>
          <w:p>
            <w:pPr>
              <w:pStyle w:val="TableParagraph"/>
              <w:ind w:left="45" w:right="81"/>
              <w:rPr>
                <w:sz w:val="14"/>
              </w:rPr>
            </w:pPr>
            <w:r>
              <w:rPr>
                <w:color w:val="231F20"/>
                <w:spacing w:val="-4"/>
                <w:w w:val="95"/>
                <w:sz w:val="14"/>
              </w:rPr>
              <w:t>11.1</w:t>
            </w:r>
          </w:p>
        </w:tc>
      </w:tr>
      <w:tr>
        <w:trPr>
          <w:trHeight w:val="259" w:hRule="atLeast"/>
        </w:trPr>
        <w:tc>
          <w:tcPr>
            <w:tcW w:w="1280" w:type="dxa"/>
            <w:shd w:val="clear" w:color="auto" w:fill="D4E3F5"/>
          </w:tcPr>
          <w:p>
            <w:pPr>
              <w:pStyle w:val="TableParagraph"/>
              <w:ind w:left="80"/>
              <w:jc w:val="left"/>
              <w:rPr>
                <w:sz w:val="14"/>
              </w:rPr>
            </w:pPr>
            <w:r>
              <w:rPr>
                <w:color w:val="231F20"/>
                <w:spacing w:val="-2"/>
                <w:w w:val="85"/>
                <w:sz w:val="14"/>
              </w:rPr>
              <w:t>France</w:t>
            </w:r>
          </w:p>
        </w:tc>
        <w:tc>
          <w:tcPr>
            <w:tcW w:w="1182" w:type="dxa"/>
            <w:shd w:val="clear" w:color="auto" w:fill="D4E3F5"/>
          </w:tcPr>
          <w:p>
            <w:pPr>
              <w:pStyle w:val="TableParagraph"/>
              <w:ind w:right="441"/>
              <w:jc w:val="right"/>
              <w:rPr>
                <w:sz w:val="14"/>
              </w:rPr>
            </w:pPr>
            <w:r>
              <w:rPr>
                <w:color w:val="231F20"/>
                <w:spacing w:val="-2"/>
                <w:w w:val="95"/>
                <w:sz w:val="14"/>
              </w:rPr>
              <w:t>14,417</w:t>
            </w:r>
          </w:p>
        </w:tc>
        <w:tc>
          <w:tcPr>
            <w:tcW w:w="852" w:type="dxa"/>
            <w:shd w:val="clear" w:color="auto" w:fill="D4E3F5"/>
          </w:tcPr>
          <w:p>
            <w:pPr>
              <w:pStyle w:val="TableParagraph"/>
              <w:ind w:left="89" w:right="145"/>
              <w:rPr>
                <w:sz w:val="14"/>
              </w:rPr>
            </w:pPr>
            <w:r>
              <w:rPr>
                <w:color w:val="231F20"/>
                <w:spacing w:val="-5"/>
                <w:w w:val="95"/>
                <w:sz w:val="14"/>
              </w:rPr>
              <w:t>9.5</w:t>
            </w:r>
          </w:p>
        </w:tc>
        <w:tc>
          <w:tcPr>
            <w:tcW w:w="1074" w:type="dxa"/>
            <w:shd w:val="clear" w:color="auto" w:fill="D4E3F5"/>
          </w:tcPr>
          <w:p>
            <w:pPr>
              <w:pStyle w:val="TableParagraph"/>
              <w:ind w:left="70" w:right="61"/>
              <w:rPr>
                <w:sz w:val="14"/>
              </w:rPr>
            </w:pPr>
            <w:r>
              <w:rPr>
                <w:color w:val="231F20"/>
                <w:spacing w:val="-5"/>
                <w:w w:val="95"/>
                <w:sz w:val="14"/>
              </w:rPr>
              <w:t>8.0</w:t>
            </w:r>
          </w:p>
        </w:tc>
        <w:tc>
          <w:tcPr>
            <w:tcW w:w="1071" w:type="dxa"/>
            <w:shd w:val="clear" w:color="auto" w:fill="D4E3F5"/>
          </w:tcPr>
          <w:p>
            <w:pPr>
              <w:pStyle w:val="TableParagraph"/>
              <w:ind w:left="380"/>
              <w:jc w:val="left"/>
              <w:rPr>
                <w:sz w:val="14"/>
              </w:rPr>
            </w:pPr>
            <w:r>
              <w:rPr>
                <w:color w:val="231F20"/>
                <w:spacing w:val="-5"/>
                <w:w w:val="95"/>
                <w:sz w:val="14"/>
              </w:rPr>
              <w:t>4.9</w:t>
            </w:r>
          </w:p>
        </w:tc>
        <w:tc>
          <w:tcPr>
            <w:tcW w:w="756" w:type="dxa"/>
            <w:shd w:val="clear" w:color="auto" w:fill="D4E3F5"/>
          </w:tcPr>
          <w:p>
            <w:pPr>
              <w:pStyle w:val="TableParagraph"/>
              <w:ind w:left="243"/>
              <w:jc w:val="left"/>
              <w:rPr>
                <w:sz w:val="14"/>
              </w:rPr>
            </w:pPr>
            <w:r>
              <w:rPr>
                <w:color w:val="231F20"/>
                <w:spacing w:val="-4"/>
                <w:w w:val="95"/>
                <w:sz w:val="14"/>
              </w:rPr>
              <w:t>12.4</w:t>
            </w:r>
          </w:p>
        </w:tc>
        <w:tc>
          <w:tcPr>
            <w:tcW w:w="241" w:type="dxa"/>
            <w:shd w:val="clear" w:color="auto" w:fill="D4E3F5"/>
          </w:tcPr>
          <w:p>
            <w:pPr>
              <w:pStyle w:val="TableParagraph"/>
              <w:spacing w:before="0"/>
              <w:jc w:val="left"/>
              <w:rPr>
                <w:rFonts w:ascii="Times New Roman"/>
                <w:sz w:val="12"/>
              </w:rPr>
            </w:pPr>
          </w:p>
        </w:tc>
        <w:tc>
          <w:tcPr>
            <w:tcW w:w="852" w:type="dxa"/>
            <w:shd w:val="clear" w:color="auto" w:fill="D4E3F5"/>
          </w:tcPr>
          <w:p>
            <w:pPr>
              <w:pStyle w:val="TableParagraph"/>
              <w:ind w:right="371"/>
              <w:jc w:val="right"/>
              <w:rPr>
                <w:sz w:val="14"/>
              </w:rPr>
            </w:pPr>
            <w:r>
              <w:rPr>
                <w:color w:val="231F20"/>
                <w:spacing w:val="-5"/>
                <w:w w:val="95"/>
                <w:sz w:val="14"/>
              </w:rPr>
              <w:t>9.2</w:t>
            </w:r>
          </w:p>
        </w:tc>
        <w:tc>
          <w:tcPr>
            <w:tcW w:w="1074" w:type="dxa"/>
            <w:shd w:val="clear" w:color="auto" w:fill="D4E3F5"/>
          </w:tcPr>
          <w:p>
            <w:pPr>
              <w:pStyle w:val="TableParagraph"/>
              <w:ind w:left="70" w:right="61"/>
              <w:rPr>
                <w:sz w:val="14"/>
              </w:rPr>
            </w:pPr>
            <w:r>
              <w:rPr>
                <w:color w:val="231F20"/>
                <w:spacing w:val="-5"/>
                <w:w w:val="95"/>
                <w:sz w:val="14"/>
              </w:rPr>
              <w:t>7.7</w:t>
            </w:r>
          </w:p>
        </w:tc>
        <w:tc>
          <w:tcPr>
            <w:tcW w:w="937" w:type="dxa"/>
            <w:shd w:val="clear" w:color="auto" w:fill="D4E3F5"/>
          </w:tcPr>
          <w:p>
            <w:pPr>
              <w:pStyle w:val="TableParagraph"/>
              <w:ind w:left="33" w:right="46"/>
              <w:rPr>
                <w:sz w:val="14"/>
              </w:rPr>
            </w:pPr>
            <w:r>
              <w:rPr>
                <w:color w:val="231F20"/>
                <w:spacing w:val="-5"/>
                <w:w w:val="95"/>
                <w:sz w:val="14"/>
              </w:rPr>
              <w:t>4.6</w:t>
            </w:r>
          </w:p>
        </w:tc>
        <w:tc>
          <w:tcPr>
            <w:tcW w:w="1009" w:type="dxa"/>
            <w:shd w:val="clear" w:color="auto" w:fill="D4E3F5"/>
          </w:tcPr>
          <w:p>
            <w:pPr>
              <w:pStyle w:val="TableParagraph"/>
              <w:ind w:left="45" w:right="73"/>
              <w:rPr>
                <w:sz w:val="14"/>
              </w:rPr>
            </w:pPr>
            <w:r>
              <w:rPr>
                <w:color w:val="231F20"/>
                <w:spacing w:val="-4"/>
                <w:w w:val="95"/>
                <w:sz w:val="14"/>
              </w:rPr>
              <w:t>12.0</w:t>
            </w:r>
          </w:p>
        </w:tc>
      </w:tr>
      <w:tr>
        <w:trPr>
          <w:trHeight w:val="259" w:hRule="atLeast"/>
        </w:trPr>
        <w:tc>
          <w:tcPr>
            <w:tcW w:w="1280" w:type="dxa"/>
          </w:tcPr>
          <w:p>
            <w:pPr>
              <w:pStyle w:val="TableParagraph"/>
              <w:ind w:left="80"/>
              <w:jc w:val="left"/>
              <w:rPr>
                <w:sz w:val="14"/>
              </w:rPr>
            </w:pPr>
            <w:r>
              <w:rPr>
                <w:color w:val="231F20"/>
                <w:spacing w:val="-2"/>
                <w:w w:val="85"/>
                <w:sz w:val="14"/>
              </w:rPr>
              <w:t>Gabon</w:t>
            </w:r>
          </w:p>
        </w:tc>
        <w:tc>
          <w:tcPr>
            <w:tcW w:w="1182" w:type="dxa"/>
          </w:tcPr>
          <w:p>
            <w:pPr>
              <w:pStyle w:val="TableParagraph"/>
              <w:ind w:right="434"/>
              <w:jc w:val="right"/>
              <w:rPr>
                <w:sz w:val="14"/>
              </w:rPr>
            </w:pPr>
            <w:r>
              <w:rPr>
                <w:color w:val="231F20"/>
                <w:spacing w:val="-5"/>
                <w:w w:val="95"/>
                <w:sz w:val="14"/>
              </w:rPr>
              <w:t>442</w:t>
            </w:r>
          </w:p>
        </w:tc>
        <w:tc>
          <w:tcPr>
            <w:tcW w:w="852" w:type="dxa"/>
          </w:tcPr>
          <w:p>
            <w:pPr>
              <w:pStyle w:val="TableParagraph"/>
              <w:ind w:left="86" w:right="145"/>
              <w:rPr>
                <w:sz w:val="14"/>
              </w:rPr>
            </w:pPr>
            <w:r>
              <w:rPr>
                <w:color w:val="231F20"/>
                <w:spacing w:val="-5"/>
                <w:w w:val="95"/>
                <w:sz w:val="14"/>
              </w:rPr>
              <w:t>6.4</w:t>
            </w:r>
          </w:p>
        </w:tc>
        <w:tc>
          <w:tcPr>
            <w:tcW w:w="1074" w:type="dxa"/>
          </w:tcPr>
          <w:p>
            <w:pPr>
              <w:pStyle w:val="TableParagraph"/>
              <w:ind w:left="54" w:right="61"/>
              <w:rPr>
                <w:sz w:val="14"/>
              </w:rPr>
            </w:pPr>
            <w:r>
              <w:rPr>
                <w:color w:val="231F20"/>
                <w:spacing w:val="-5"/>
                <w:w w:val="95"/>
                <w:sz w:val="14"/>
              </w:rPr>
              <w:t>6.1</w:t>
            </w:r>
          </w:p>
        </w:tc>
        <w:tc>
          <w:tcPr>
            <w:tcW w:w="1071" w:type="dxa"/>
          </w:tcPr>
          <w:p>
            <w:pPr>
              <w:pStyle w:val="TableParagraph"/>
              <w:ind w:left="380"/>
              <w:jc w:val="left"/>
              <w:rPr>
                <w:sz w:val="14"/>
              </w:rPr>
            </w:pPr>
            <w:r>
              <w:rPr>
                <w:color w:val="231F20"/>
                <w:spacing w:val="-5"/>
                <w:w w:val="95"/>
                <w:sz w:val="14"/>
              </w:rPr>
              <w:t>4.1</w:t>
            </w:r>
          </w:p>
        </w:tc>
        <w:tc>
          <w:tcPr>
            <w:tcW w:w="756" w:type="dxa"/>
          </w:tcPr>
          <w:p>
            <w:pPr>
              <w:pStyle w:val="TableParagraph"/>
              <w:ind w:left="374"/>
              <w:jc w:val="left"/>
              <w:rPr>
                <w:sz w:val="14"/>
              </w:rPr>
            </w:pPr>
            <w:r>
              <w:rPr>
                <w:color w:val="231F20"/>
                <w:spacing w:val="-4"/>
                <w:w w:val="90"/>
                <w:sz w:val="14"/>
              </w:rPr>
              <w:t>[Q?]</w:t>
            </w:r>
          </w:p>
        </w:tc>
        <w:tc>
          <w:tcPr>
            <w:tcW w:w="241" w:type="dxa"/>
          </w:tcPr>
          <w:p>
            <w:pPr>
              <w:pStyle w:val="TableParagraph"/>
              <w:spacing w:before="0"/>
              <w:jc w:val="left"/>
              <w:rPr>
                <w:rFonts w:ascii="Times New Roman"/>
                <w:sz w:val="12"/>
              </w:rPr>
            </w:pPr>
          </w:p>
        </w:tc>
        <w:tc>
          <w:tcPr>
            <w:tcW w:w="852" w:type="dxa"/>
          </w:tcPr>
          <w:p>
            <w:pPr>
              <w:pStyle w:val="TableParagraph"/>
              <w:ind w:right="371"/>
              <w:jc w:val="right"/>
              <w:rPr>
                <w:sz w:val="14"/>
              </w:rPr>
            </w:pPr>
            <w:r>
              <w:rPr>
                <w:color w:val="231F20"/>
                <w:spacing w:val="-5"/>
                <w:w w:val="95"/>
                <w:sz w:val="14"/>
              </w:rPr>
              <w:t>9.2</w:t>
            </w:r>
          </w:p>
        </w:tc>
        <w:tc>
          <w:tcPr>
            <w:tcW w:w="1074" w:type="dxa"/>
          </w:tcPr>
          <w:p>
            <w:pPr>
              <w:pStyle w:val="TableParagraph"/>
              <w:ind w:left="70" w:right="61"/>
              <w:rPr>
                <w:sz w:val="14"/>
              </w:rPr>
            </w:pPr>
            <w:r>
              <w:rPr>
                <w:color w:val="231F20"/>
                <w:spacing w:val="-5"/>
                <w:w w:val="95"/>
                <w:sz w:val="14"/>
              </w:rPr>
              <w:t>7.7</w:t>
            </w:r>
          </w:p>
        </w:tc>
        <w:tc>
          <w:tcPr>
            <w:tcW w:w="937" w:type="dxa"/>
          </w:tcPr>
          <w:p>
            <w:pPr>
              <w:pStyle w:val="TableParagraph"/>
              <w:ind w:left="33" w:right="46"/>
              <w:rPr>
                <w:sz w:val="14"/>
              </w:rPr>
            </w:pPr>
            <w:r>
              <w:rPr>
                <w:color w:val="231F20"/>
                <w:spacing w:val="-5"/>
                <w:w w:val="95"/>
                <w:sz w:val="14"/>
              </w:rPr>
              <w:t>4.6</w:t>
            </w:r>
          </w:p>
        </w:tc>
        <w:tc>
          <w:tcPr>
            <w:tcW w:w="1009" w:type="dxa"/>
          </w:tcPr>
          <w:p>
            <w:pPr>
              <w:pStyle w:val="TableParagraph"/>
              <w:ind w:left="45" w:right="73"/>
              <w:rPr>
                <w:sz w:val="14"/>
              </w:rPr>
            </w:pPr>
            <w:r>
              <w:rPr>
                <w:color w:val="231F20"/>
                <w:spacing w:val="-4"/>
                <w:w w:val="95"/>
                <w:sz w:val="14"/>
              </w:rPr>
              <w:t>12.0</w:t>
            </w:r>
          </w:p>
        </w:tc>
      </w:tr>
      <w:tr>
        <w:trPr>
          <w:trHeight w:val="254" w:hRule="atLeast"/>
        </w:trPr>
        <w:tc>
          <w:tcPr>
            <w:tcW w:w="1280" w:type="dxa"/>
            <w:tcBorders>
              <w:bottom w:val="single" w:sz="4" w:space="0" w:color="008FDD"/>
            </w:tcBorders>
            <w:shd w:val="clear" w:color="auto" w:fill="D4E3F5"/>
          </w:tcPr>
          <w:p>
            <w:pPr>
              <w:pStyle w:val="TableParagraph"/>
              <w:ind w:left="80"/>
              <w:jc w:val="left"/>
              <w:rPr>
                <w:sz w:val="14"/>
              </w:rPr>
            </w:pPr>
            <w:r>
              <w:rPr>
                <w:color w:val="231F20"/>
                <w:w w:val="75"/>
                <w:sz w:val="14"/>
              </w:rPr>
              <w:t>Gambia,</w:t>
            </w:r>
            <w:r>
              <w:rPr>
                <w:color w:val="231F20"/>
                <w:spacing w:val="16"/>
                <w:sz w:val="14"/>
              </w:rPr>
              <w:t> </w:t>
            </w:r>
            <w:r>
              <w:rPr>
                <w:color w:val="231F20"/>
                <w:spacing w:val="-5"/>
                <w:w w:val="80"/>
                <w:sz w:val="14"/>
              </w:rPr>
              <w:t>The</w:t>
            </w:r>
          </w:p>
        </w:tc>
        <w:tc>
          <w:tcPr>
            <w:tcW w:w="1182" w:type="dxa"/>
            <w:tcBorders>
              <w:bottom w:val="single" w:sz="4" w:space="0" w:color="008FDD"/>
            </w:tcBorders>
            <w:shd w:val="clear" w:color="auto" w:fill="D4E3F5"/>
          </w:tcPr>
          <w:p>
            <w:pPr>
              <w:pStyle w:val="TableParagraph"/>
              <w:ind w:right="434"/>
              <w:jc w:val="right"/>
              <w:rPr>
                <w:sz w:val="14"/>
              </w:rPr>
            </w:pPr>
            <w:r>
              <w:rPr>
                <w:color w:val="231F20"/>
                <w:spacing w:val="-5"/>
                <w:w w:val="95"/>
                <w:sz w:val="14"/>
              </w:rPr>
              <w:t>442</w:t>
            </w:r>
          </w:p>
        </w:tc>
        <w:tc>
          <w:tcPr>
            <w:tcW w:w="852" w:type="dxa"/>
            <w:tcBorders>
              <w:bottom w:val="single" w:sz="4" w:space="0" w:color="008FDD"/>
            </w:tcBorders>
            <w:shd w:val="clear" w:color="auto" w:fill="D4E3F5"/>
          </w:tcPr>
          <w:p>
            <w:pPr>
              <w:pStyle w:val="TableParagraph"/>
              <w:ind w:left="86" w:right="145"/>
              <w:rPr>
                <w:sz w:val="14"/>
              </w:rPr>
            </w:pPr>
            <w:r>
              <w:rPr>
                <w:color w:val="231F20"/>
                <w:spacing w:val="-5"/>
                <w:w w:val="95"/>
                <w:sz w:val="14"/>
              </w:rPr>
              <w:t>6.4</w:t>
            </w:r>
          </w:p>
        </w:tc>
        <w:tc>
          <w:tcPr>
            <w:tcW w:w="1074" w:type="dxa"/>
            <w:tcBorders>
              <w:bottom w:val="single" w:sz="4" w:space="0" w:color="008FDD"/>
            </w:tcBorders>
            <w:shd w:val="clear" w:color="auto" w:fill="D4E3F5"/>
          </w:tcPr>
          <w:p>
            <w:pPr>
              <w:pStyle w:val="TableParagraph"/>
              <w:ind w:left="54" w:right="61"/>
              <w:rPr>
                <w:sz w:val="14"/>
              </w:rPr>
            </w:pPr>
            <w:r>
              <w:rPr>
                <w:color w:val="231F20"/>
                <w:spacing w:val="-5"/>
                <w:w w:val="95"/>
                <w:sz w:val="14"/>
              </w:rPr>
              <w:t>6.1</w:t>
            </w:r>
          </w:p>
        </w:tc>
        <w:tc>
          <w:tcPr>
            <w:tcW w:w="1071" w:type="dxa"/>
            <w:tcBorders>
              <w:bottom w:val="single" w:sz="4" w:space="0" w:color="008FDD"/>
            </w:tcBorders>
            <w:shd w:val="clear" w:color="auto" w:fill="D4E3F5"/>
          </w:tcPr>
          <w:p>
            <w:pPr>
              <w:pStyle w:val="TableParagraph"/>
              <w:ind w:left="380"/>
              <w:jc w:val="left"/>
              <w:rPr>
                <w:sz w:val="14"/>
              </w:rPr>
            </w:pPr>
            <w:r>
              <w:rPr>
                <w:color w:val="231F20"/>
                <w:spacing w:val="-5"/>
                <w:w w:val="95"/>
                <w:sz w:val="14"/>
              </w:rPr>
              <w:t>4.1</w:t>
            </w:r>
          </w:p>
        </w:tc>
        <w:tc>
          <w:tcPr>
            <w:tcW w:w="756" w:type="dxa"/>
            <w:tcBorders>
              <w:bottom w:val="single" w:sz="4" w:space="0" w:color="008FDD"/>
            </w:tcBorders>
            <w:shd w:val="clear" w:color="auto" w:fill="D4E3F5"/>
          </w:tcPr>
          <w:p>
            <w:pPr>
              <w:pStyle w:val="TableParagraph"/>
              <w:ind w:left="39" w:right="12"/>
              <w:rPr>
                <w:sz w:val="14"/>
              </w:rPr>
            </w:pPr>
            <w:r>
              <w:rPr>
                <w:color w:val="231F20"/>
                <w:spacing w:val="-5"/>
                <w:w w:val="95"/>
                <w:sz w:val="14"/>
              </w:rPr>
              <w:t>8.2</w:t>
            </w:r>
          </w:p>
        </w:tc>
        <w:tc>
          <w:tcPr>
            <w:tcW w:w="241" w:type="dxa"/>
            <w:tcBorders>
              <w:bottom w:val="single" w:sz="4" w:space="0" w:color="008FDD"/>
            </w:tcBorders>
            <w:shd w:val="clear" w:color="auto" w:fill="D4E3F5"/>
          </w:tcPr>
          <w:p>
            <w:pPr>
              <w:pStyle w:val="TableParagraph"/>
              <w:spacing w:before="0"/>
              <w:jc w:val="left"/>
              <w:rPr>
                <w:rFonts w:ascii="Times New Roman"/>
                <w:sz w:val="12"/>
              </w:rPr>
            </w:pPr>
          </w:p>
        </w:tc>
        <w:tc>
          <w:tcPr>
            <w:tcW w:w="852" w:type="dxa"/>
            <w:tcBorders>
              <w:bottom w:val="single" w:sz="4" w:space="0" w:color="008FDD"/>
            </w:tcBorders>
            <w:shd w:val="clear" w:color="auto" w:fill="D4E3F5"/>
          </w:tcPr>
          <w:p>
            <w:pPr>
              <w:pStyle w:val="TableParagraph"/>
              <w:ind w:right="374"/>
              <w:jc w:val="right"/>
              <w:rPr>
                <w:sz w:val="14"/>
              </w:rPr>
            </w:pPr>
            <w:r>
              <w:rPr>
                <w:color w:val="231F20"/>
                <w:spacing w:val="-5"/>
                <w:w w:val="95"/>
                <w:sz w:val="14"/>
              </w:rPr>
              <w:t>6.4</w:t>
            </w:r>
          </w:p>
        </w:tc>
        <w:tc>
          <w:tcPr>
            <w:tcW w:w="1074" w:type="dxa"/>
            <w:tcBorders>
              <w:bottom w:val="single" w:sz="4" w:space="0" w:color="008FDD"/>
            </w:tcBorders>
            <w:shd w:val="clear" w:color="auto" w:fill="D4E3F5"/>
          </w:tcPr>
          <w:p>
            <w:pPr>
              <w:pStyle w:val="TableParagraph"/>
              <w:ind w:left="45" w:right="61"/>
              <w:rPr>
                <w:sz w:val="14"/>
              </w:rPr>
            </w:pPr>
            <w:r>
              <w:rPr>
                <w:color w:val="231F20"/>
                <w:spacing w:val="-5"/>
                <w:w w:val="95"/>
                <w:sz w:val="14"/>
              </w:rPr>
              <w:t>6.1</w:t>
            </w:r>
          </w:p>
        </w:tc>
        <w:tc>
          <w:tcPr>
            <w:tcW w:w="937" w:type="dxa"/>
            <w:tcBorders>
              <w:bottom w:val="single" w:sz="4" w:space="0" w:color="008FDD"/>
            </w:tcBorders>
            <w:shd w:val="clear" w:color="auto" w:fill="D4E3F5"/>
          </w:tcPr>
          <w:p>
            <w:pPr>
              <w:pStyle w:val="TableParagraph"/>
              <w:ind w:left="15" w:right="46"/>
              <w:rPr>
                <w:sz w:val="14"/>
              </w:rPr>
            </w:pPr>
            <w:r>
              <w:rPr>
                <w:color w:val="231F20"/>
                <w:spacing w:val="-5"/>
                <w:w w:val="95"/>
                <w:sz w:val="14"/>
              </w:rPr>
              <w:t>4.1</w:t>
            </w:r>
          </w:p>
        </w:tc>
        <w:tc>
          <w:tcPr>
            <w:tcW w:w="1009" w:type="dxa"/>
            <w:tcBorders>
              <w:bottom w:val="single" w:sz="4" w:space="0" w:color="008FDD"/>
            </w:tcBorders>
            <w:shd w:val="clear" w:color="auto" w:fill="D4E3F5"/>
          </w:tcPr>
          <w:p>
            <w:pPr>
              <w:pStyle w:val="TableParagraph"/>
              <w:ind w:left="69" w:right="36"/>
              <w:rPr>
                <w:sz w:val="14"/>
              </w:rPr>
            </w:pPr>
            <w:r>
              <w:rPr>
                <w:color w:val="231F20"/>
                <w:spacing w:val="-5"/>
                <w:w w:val="95"/>
                <w:sz w:val="14"/>
              </w:rPr>
              <w:t>8.2</w:t>
            </w:r>
          </w:p>
        </w:tc>
      </w:tr>
    </w:tbl>
    <w:p>
      <w:pPr>
        <w:spacing w:after="0"/>
        <w:rPr>
          <w:sz w:val="14"/>
        </w:rPr>
        <w:sectPr>
          <w:pgSz w:w="12240" w:h="15840"/>
          <w:pgMar w:header="370" w:footer="548" w:top="560" w:bottom="740" w:left="0" w:right="540"/>
        </w:sectPr>
      </w:pPr>
    </w:p>
    <w:p>
      <w:pPr>
        <w:pStyle w:val="BodyText"/>
        <w:rPr>
          <w:rFonts w:ascii="Arial"/>
          <w:sz w:val="20"/>
        </w:rPr>
      </w:pPr>
    </w:p>
    <w:p>
      <w:pPr>
        <w:pStyle w:val="BodyText"/>
        <w:rPr>
          <w:rFonts w:ascii="Arial"/>
          <w:sz w:val="20"/>
        </w:rPr>
      </w:pPr>
    </w:p>
    <w:p>
      <w:pPr>
        <w:pStyle w:val="BodyText"/>
        <w:spacing w:before="101" w:after="1"/>
        <w:rPr>
          <w:rFonts w:ascii="Arial"/>
          <w:sz w:val="20"/>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8"/>
        <w:gridCol w:w="1103"/>
        <w:gridCol w:w="851"/>
        <w:gridCol w:w="1063"/>
        <w:gridCol w:w="1083"/>
        <w:gridCol w:w="751"/>
        <w:gridCol w:w="240"/>
        <w:gridCol w:w="851"/>
        <w:gridCol w:w="1073"/>
        <w:gridCol w:w="939"/>
        <w:gridCol w:w="1005"/>
      </w:tblGrid>
      <w:tr>
        <w:trPr>
          <w:trHeight w:val="213" w:hRule="atLeast"/>
        </w:trPr>
        <w:tc>
          <w:tcPr>
            <w:tcW w:w="1358" w:type="dxa"/>
          </w:tcPr>
          <w:p>
            <w:pPr>
              <w:pStyle w:val="TableParagraph"/>
              <w:spacing w:before="0"/>
              <w:jc w:val="left"/>
              <w:rPr>
                <w:rFonts w:ascii="Times New Roman"/>
                <w:sz w:val="12"/>
              </w:rPr>
            </w:pPr>
          </w:p>
        </w:tc>
        <w:tc>
          <w:tcPr>
            <w:tcW w:w="1103" w:type="dxa"/>
            <w:vMerge w:val="restart"/>
            <w:tcBorders>
              <w:bottom w:val="single" w:sz="4" w:space="0" w:color="008FDD"/>
            </w:tcBorders>
          </w:tcPr>
          <w:p>
            <w:pPr>
              <w:pStyle w:val="TableParagraph"/>
              <w:spacing w:before="103"/>
              <w:ind w:left="111" w:firstLine="74"/>
              <w:jc w:val="left"/>
              <w:rPr>
                <w:b/>
                <w:sz w:val="14"/>
              </w:rPr>
            </w:pPr>
            <w:r>
              <w:rPr>
                <w:b/>
                <w:color w:val="231F20"/>
                <w:w w:val="90"/>
                <w:sz w:val="14"/>
              </w:rPr>
              <w:t>Number</w:t>
            </w:r>
            <w:r>
              <w:rPr>
                <w:b/>
                <w:color w:val="231F20"/>
                <w:spacing w:val="-6"/>
                <w:w w:val="90"/>
                <w:sz w:val="14"/>
              </w:rPr>
              <w:t> </w:t>
            </w:r>
            <w:r>
              <w:rPr>
                <w:b/>
                <w:color w:val="231F20"/>
                <w:w w:val="90"/>
                <w:sz w:val="14"/>
              </w:rPr>
              <w:t>of</w:t>
            </w:r>
            <w:r>
              <w:rPr>
                <w:b/>
                <w:color w:val="231F20"/>
                <w:spacing w:val="40"/>
                <w:sz w:val="14"/>
              </w:rPr>
              <w:t> </w:t>
            </w:r>
            <w:r>
              <w:rPr>
                <w:b/>
                <w:color w:val="231F20"/>
                <w:spacing w:val="-2"/>
                <w:w w:val="80"/>
                <w:sz w:val="14"/>
              </w:rPr>
              <w:t>observations</w:t>
            </w:r>
          </w:p>
        </w:tc>
        <w:tc>
          <w:tcPr>
            <w:tcW w:w="851" w:type="dxa"/>
            <w:tcBorders>
              <w:bottom w:val="single" w:sz="4" w:space="0" w:color="008FDD"/>
            </w:tcBorders>
          </w:tcPr>
          <w:p>
            <w:pPr>
              <w:pStyle w:val="TableParagraph"/>
              <w:spacing w:before="0"/>
              <w:jc w:val="left"/>
              <w:rPr>
                <w:rFonts w:ascii="Times New Roman"/>
                <w:sz w:val="12"/>
              </w:rPr>
            </w:pPr>
          </w:p>
        </w:tc>
        <w:tc>
          <w:tcPr>
            <w:tcW w:w="2146" w:type="dxa"/>
            <w:gridSpan w:val="2"/>
            <w:tcBorders>
              <w:bottom w:val="single" w:sz="4" w:space="0" w:color="008FDD"/>
            </w:tcBorders>
          </w:tcPr>
          <w:p>
            <w:pPr>
              <w:pStyle w:val="TableParagraph"/>
              <w:spacing w:before="3"/>
              <w:ind w:left="141"/>
              <w:jc w:val="left"/>
              <w:rPr>
                <w:b/>
                <w:sz w:val="14"/>
              </w:rPr>
            </w:pPr>
            <w:r>
              <w:rPr>
                <w:b/>
                <w:color w:val="231F20"/>
                <w:w w:val="80"/>
                <w:sz w:val="14"/>
              </w:rPr>
              <w:t>Consolidated</w:t>
            </w:r>
            <w:r>
              <w:rPr>
                <w:b/>
                <w:color w:val="231F20"/>
                <w:spacing w:val="20"/>
                <w:sz w:val="14"/>
              </w:rPr>
              <w:t> </w:t>
            </w:r>
            <w:r>
              <w:rPr>
                <w:b/>
                <w:color w:val="231F20"/>
                <w:w w:val="80"/>
                <w:sz w:val="14"/>
              </w:rPr>
              <w:t>dwell</w:t>
            </w:r>
            <w:r>
              <w:rPr>
                <w:b/>
                <w:color w:val="231F20"/>
                <w:spacing w:val="21"/>
                <w:sz w:val="14"/>
              </w:rPr>
              <w:t> </w:t>
            </w:r>
            <w:r>
              <w:rPr>
                <w:b/>
                <w:color w:val="231F20"/>
                <w:w w:val="80"/>
                <w:sz w:val="14"/>
              </w:rPr>
              <w:t>time</w:t>
            </w:r>
            <w:r>
              <w:rPr>
                <w:b/>
                <w:color w:val="231F20"/>
                <w:spacing w:val="20"/>
                <w:sz w:val="14"/>
              </w:rPr>
              <w:t> </w:t>
            </w:r>
            <w:r>
              <w:rPr>
                <w:b/>
                <w:color w:val="231F20"/>
                <w:spacing w:val="-2"/>
                <w:w w:val="80"/>
                <w:sz w:val="14"/>
              </w:rPr>
              <w:t>(days)</w:t>
            </w:r>
          </w:p>
        </w:tc>
        <w:tc>
          <w:tcPr>
            <w:tcW w:w="751" w:type="dxa"/>
            <w:tcBorders>
              <w:bottom w:val="single" w:sz="4" w:space="0" w:color="008FDD"/>
            </w:tcBorders>
          </w:tcPr>
          <w:p>
            <w:pPr>
              <w:pStyle w:val="TableParagraph"/>
              <w:spacing w:before="0"/>
              <w:jc w:val="left"/>
              <w:rPr>
                <w:rFonts w:ascii="Times New Roman"/>
                <w:sz w:val="12"/>
              </w:rPr>
            </w:pPr>
          </w:p>
        </w:tc>
        <w:tc>
          <w:tcPr>
            <w:tcW w:w="240" w:type="dxa"/>
          </w:tcPr>
          <w:p>
            <w:pPr>
              <w:pStyle w:val="TableParagraph"/>
              <w:spacing w:before="0"/>
              <w:jc w:val="left"/>
              <w:rPr>
                <w:rFonts w:ascii="Times New Roman"/>
                <w:sz w:val="12"/>
              </w:rPr>
            </w:pPr>
          </w:p>
        </w:tc>
        <w:tc>
          <w:tcPr>
            <w:tcW w:w="851" w:type="dxa"/>
            <w:tcBorders>
              <w:bottom w:val="single" w:sz="4" w:space="0" w:color="008FDD"/>
            </w:tcBorders>
          </w:tcPr>
          <w:p>
            <w:pPr>
              <w:pStyle w:val="TableParagraph"/>
              <w:spacing w:before="0"/>
              <w:jc w:val="left"/>
              <w:rPr>
                <w:rFonts w:ascii="Times New Roman"/>
                <w:sz w:val="12"/>
              </w:rPr>
            </w:pPr>
          </w:p>
        </w:tc>
        <w:tc>
          <w:tcPr>
            <w:tcW w:w="2012" w:type="dxa"/>
            <w:gridSpan w:val="2"/>
            <w:tcBorders>
              <w:bottom w:val="single" w:sz="4" w:space="0" w:color="008FDD"/>
            </w:tcBorders>
          </w:tcPr>
          <w:p>
            <w:pPr>
              <w:pStyle w:val="TableParagraph"/>
              <w:spacing w:before="3"/>
              <w:ind w:left="399"/>
              <w:jc w:val="left"/>
              <w:rPr>
                <w:b/>
                <w:sz w:val="14"/>
              </w:rPr>
            </w:pPr>
            <w:r>
              <w:rPr>
                <w:b/>
                <w:color w:val="231F20"/>
                <w:w w:val="85"/>
                <w:sz w:val="14"/>
              </w:rPr>
              <w:t>Port</w:t>
            </w:r>
            <w:r>
              <w:rPr>
                <w:b/>
                <w:color w:val="231F20"/>
                <w:spacing w:val="-2"/>
                <w:sz w:val="14"/>
              </w:rPr>
              <w:t> </w:t>
            </w:r>
            <w:r>
              <w:rPr>
                <w:b/>
                <w:color w:val="231F20"/>
                <w:w w:val="85"/>
                <w:sz w:val="14"/>
              </w:rPr>
              <w:t>dwell</w:t>
            </w:r>
            <w:r>
              <w:rPr>
                <w:b/>
                <w:color w:val="231F20"/>
                <w:spacing w:val="-2"/>
                <w:sz w:val="14"/>
              </w:rPr>
              <w:t> </w:t>
            </w:r>
            <w:r>
              <w:rPr>
                <w:b/>
                <w:color w:val="231F20"/>
                <w:w w:val="85"/>
                <w:sz w:val="14"/>
              </w:rPr>
              <w:t>time</w:t>
            </w:r>
            <w:r>
              <w:rPr>
                <w:b/>
                <w:color w:val="231F20"/>
                <w:spacing w:val="-2"/>
                <w:sz w:val="14"/>
              </w:rPr>
              <w:t> </w:t>
            </w:r>
            <w:r>
              <w:rPr>
                <w:b/>
                <w:color w:val="231F20"/>
                <w:spacing w:val="-2"/>
                <w:w w:val="85"/>
                <w:sz w:val="14"/>
              </w:rPr>
              <w:t>(days)</w:t>
            </w:r>
          </w:p>
        </w:tc>
        <w:tc>
          <w:tcPr>
            <w:tcW w:w="1005" w:type="dxa"/>
            <w:tcBorders>
              <w:bottom w:val="single" w:sz="4" w:space="0" w:color="008FDD"/>
            </w:tcBorders>
          </w:tcPr>
          <w:p>
            <w:pPr>
              <w:pStyle w:val="TableParagraph"/>
              <w:spacing w:before="0"/>
              <w:jc w:val="left"/>
              <w:rPr>
                <w:rFonts w:ascii="Times New Roman"/>
                <w:sz w:val="12"/>
              </w:rPr>
            </w:pPr>
          </w:p>
        </w:tc>
      </w:tr>
      <w:tr>
        <w:trPr>
          <w:trHeight w:val="246" w:hRule="atLeast"/>
        </w:trPr>
        <w:tc>
          <w:tcPr>
            <w:tcW w:w="1358" w:type="dxa"/>
            <w:tcBorders>
              <w:bottom w:val="single" w:sz="4" w:space="0" w:color="008FDD"/>
            </w:tcBorders>
          </w:tcPr>
          <w:p>
            <w:pPr>
              <w:pStyle w:val="TableParagraph"/>
              <w:spacing w:before="40"/>
              <w:ind w:left="80"/>
              <w:jc w:val="left"/>
              <w:rPr>
                <w:b/>
                <w:sz w:val="14"/>
              </w:rPr>
            </w:pPr>
            <w:r>
              <w:rPr>
                <w:b/>
                <w:color w:val="231F20"/>
                <w:spacing w:val="-2"/>
                <w:w w:val="90"/>
                <w:sz w:val="14"/>
              </w:rPr>
              <w:t>Economy</w:t>
            </w:r>
          </w:p>
        </w:tc>
        <w:tc>
          <w:tcPr>
            <w:tcW w:w="1103" w:type="dxa"/>
            <w:vMerge/>
            <w:tcBorders>
              <w:top w:val="nil"/>
              <w:bottom w:val="single" w:sz="4" w:space="0" w:color="008FDD"/>
            </w:tcBorders>
          </w:tcPr>
          <w:p>
            <w:pPr>
              <w:rPr>
                <w:sz w:val="2"/>
                <w:szCs w:val="2"/>
              </w:rPr>
            </w:pPr>
          </w:p>
        </w:tc>
        <w:tc>
          <w:tcPr>
            <w:tcW w:w="851" w:type="dxa"/>
            <w:tcBorders>
              <w:top w:val="single" w:sz="4" w:space="0" w:color="008FDD"/>
              <w:bottom w:val="single" w:sz="4" w:space="0" w:color="008FDD"/>
            </w:tcBorders>
          </w:tcPr>
          <w:p>
            <w:pPr>
              <w:pStyle w:val="TableParagraph"/>
              <w:spacing w:before="40"/>
              <w:ind w:left="48" w:right="136"/>
              <w:rPr>
                <w:b/>
                <w:sz w:val="14"/>
              </w:rPr>
            </w:pPr>
            <w:r>
              <w:rPr>
                <w:b/>
                <w:color w:val="231F20"/>
                <w:spacing w:val="-4"/>
                <w:w w:val="95"/>
                <w:sz w:val="14"/>
              </w:rPr>
              <w:t>Mean</w:t>
            </w:r>
          </w:p>
        </w:tc>
        <w:tc>
          <w:tcPr>
            <w:tcW w:w="1063" w:type="dxa"/>
            <w:tcBorders>
              <w:top w:val="single" w:sz="4" w:space="0" w:color="008FDD"/>
              <w:bottom w:val="single" w:sz="4" w:space="0" w:color="008FDD"/>
            </w:tcBorders>
          </w:tcPr>
          <w:p>
            <w:pPr>
              <w:pStyle w:val="TableParagraph"/>
              <w:spacing w:before="40"/>
              <w:ind w:left="43" w:right="53"/>
              <w:rPr>
                <w:b/>
                <w:sz w:val="14"/>
              </w:rPr>
            </w:pPr>
            <w:r>
              <w:rPr>
                <w:b/>
                <w:color w:val="231F20"/>
                <w:spacing w:val="-2"/>
                <w:w w:val="95"/>
                <w:sz w:val="14"/>
              </w:rPr>
              <w:t>Median</w:t>
            </w:r>
          </w:p>
        </w:tc>
        <w:tc>
          <w:tcPr>
            <w:tcW w:w="1083" w:type="dxa"/>
            <w:tcBorders>
              <w:top w:val="single" w:sz="4" w:space="0" w:color="008FDD"/>
              <w:bottom w:val="single" w:sz="4" w:space="0" w:color="008FDD"/>
            </w:tcBorders>
          </w:tcPr>
          <w:p>
            <w:pPr>
              <w:pStyle w:val="TableParagraph"/>
              <w:spacing w:before="40"/>
              <w:ind w:left="348"/>
              <w:jc w:val="left"/>
              <w:rPr>
                <w:b/>
                <w:sz w:val="14"/>
              </w:rPr>
            </w:pPr>
            <w:r>
              <w:rPr>
                <w:b/>
                <w:color w:val="231F20"/>
                <w:spacing w:val="-5"/>
                <w:w w:val="90"/>
                <w:sz w:val="14"/>
              </w:rPr>
              <w:t>Q25</w:t>
            </w:r>
          </w:p>
        </w:tc>
        <w:tc>
          <w:tcPr>
            <w:tcW w:w="751" w:type="dxa"/>
            <w:tcBorders>
              <w:top w:val="single" w:sz="4" w:space="0" w:color="008FDD"/>
              <w:bottom w:val="single" w:sz="4" w:space="0" w:color="008FDD"/>
            </w:tcBorders>
          </w:tcPr>
          <w:p>
            <w:pPr>
              <w:pStyle w:val="TableParagraph"/>
              <w:spacing w:before="40"/>
              <w:ind w:left="46" w:right="47"/>
              <w:rPr>
                <w:b/>
                <w:sz w:val="14"/>
              </w:rPr>
            </w:pPr>
            <w:r>
              <w:rPr>
                <w:b/>
                <w:color w:val="231F20"/>
                <w:spacing w:val="-5"/>
                <w:w w:val="90"/>
                <w:sz w:val="14"/>
              </w:rPr>
              <w:t>Q75</w:t>
            </w:r>
          </w:p>
        </w:tc>
        <w:tc>
          <w:tcPr>
            <w:tcW w:w="240" w:type="dxa"/>
            <w:tcBorders>
              <w:bottom w:val="single" w:sz="4" w:space="0" w:color="008FDD"/>
            </w:tcBorders>
          </w:tcPr>
          <w:p>
            <w:pPr>
              <w:pStyle w:val="TableParagraph"/>
              <w:spacing w:before="0"/>
              <w:jc w:val="left"/>
              <w:rPr>
                <w:rFonts w:ascii="Times New Roman"/>
                <w:sz w:val="12"/>
              </w:rPr>
            </w:pPr>
          </w:p>
        </w:tc>
        <w:tc>
          <w:tcPr>
            <w:tcW w:w="851" w:type="dxa"/>
            <w:tcBorders>
              <w:top w:val="single" w:sz="4" w:space="0" w:color="008FDD"/>
              <w:bottom w:val="single" w:sz="4" w:space="0" w:color="008FDD"/>
            </w:tcBorders>
          </w:tcPr>
          <w:p>
            <w:pPr>
              <w:pStyle w:val="TableParagraph"/>
              <w:spacing w:before="40"/>
              <w:ind w:left="223"/>
              <w:jc w:val="left"/>
              <w:rPr>
                <w:b/>
                <w:sz w:val="14"/>
              </w:rPr>
            </w:pPr>
            <w:r>
              <w:rPr>
                <w:b/>
                <w:color w:val="231F20"/>
                <w:spacing w:val="-4"/>
                <w:w w:val="95"/>
                <w:sz w:val="14"/>
              </w:rPr>
              <w:t>Mean</w:t>
            </w:r>
          </w:p>
        </w:tc>
        <w:tc>
          <w:tcPr>
            <w:tcW w:w="1073" w:type="dxa"/>
            <w:tcBorders>
              <w:top w:val="single" w:sz="4" w:space="0" w:color="008FDD"/>
              <w:bottom w:val="single" w:sz="4" w:space="0" w:color="008FDD"/>
            </w:tcBorders>
          </w:tcPr>
          <w:p>
            <w:pPr>
              <w:pStyle w:val="TableParagraph"/>
              <w:spacing w:before="40"/>
              <w:ind w:left="46" w:right="63"/>
              <w:rPr>
                <w:b/>
                <w:sz w:val="14"/>
              </w:rPr>
            </w:pPr>
            <w:r>
              <w:rPr>
                <w:b/>
                <w:color w:val="231F20"/>
                <w:spacing w:val="-2"/>
                <w:w w:val="95"/>
                <w:sz w:val="14"/>
              </w:rPr>
              <w:t>Median</w:t>
            </w:r>
          </w:p>
        </w:tc>
        <w:tc>
          <w:tcPr>
            <w:tcW w:w="939" w:type="dxa"/>
            <w:tcBorders>
              <w:top w:val="single" w:sz="4" w:space="0" w:color="008FDD"/>
              <w:bottom w:val="single" w:sz="4" w:space="0" w:color="008FDD"/>
            </w:tcBorders>
          </w:tcPr>
          <w:p>
            <w:pPr>
              <w:pStyle w:val="TableParagraph"/>
              <w:spacing w:before="40"/>
              <w:ind w:left="12" w:right="42"/>
              <w:rPr>
                <w:b/>
                <w:sz w:val="14"/>
              </w:rPr>
            </w:pPr>
            <w:r>
              <w:rPr>
                <w:b/>
                <w:color w:val="231F20"/>
                <w:spacing w:val="-5"/>
                <w:w w:val="90"/>
                <w:sz w:val="14"/>
              </w:rPr>
              <w:t>Q25</w:t>
            </w:r>
          </w:p>
        </w:tc>
        <w:tc>
          <w:tcPr>
            <w:tcW w:w="1005" w:type="dxa"/>
            <w:tcBorders>
              <w:top w:val="single" w:sz="4" w:space="0" w:color="008FDD"/>
              <w:bottom w:val="single" w:sz="4" w:space="0" w:color="008FDD"/>
            </w:tcBorders>
          </w:tcPr>
          <w:p>
            <w:pPr>
              <w:pStyle w:val="TableParagraph"/>
              <w:spacing w:before="40"/>
              <w:ind w:left="63" w:right="50"/>
              <w:rPr>
                <w:b/>
                <w:sz w:val="14"/>
              </w:rPr>
            </w:pPr>
            <w:r>
              <w:rPr>
                <w:b/>
                <w:color w:val="231F20"/>
                <w:spacing w:val="-5"/>
                <w:w w:val="90"/>
                <w:sz w:val="14"/>
              </w:rPr>
              <w:t>Q75</w:t>
            </w:r>
          </w:p>
        </w:tc>
      </w:tr>
      <w:tr>
        <w:trPr>
          <w:trHeight w:val="254" w:hRule="atLeast"/>
        </w:trPr>
        <w:tc>
          <w:tcPr>
            <w:tcW w:w="1358" w:type="dxa"/>
            <w:tcBorders>
              <w:top w:val="single" w:sz="4" w:space="0" w:color="008FDD"/>
            </w:tcBorders>
          </w:tcPr>
          <w:p>
            <w:pPr>
              <w:pStyle w:val="TableParagraph"/>
              <w:spacing w:before="43"/>
              <w:ind w:left="79"/>
              <w:jc w:val="left"/>
              <w:rPr>
                <w:sz w:val="14"/>
              </w:rPr>
            </w:pPr>
            <w:r>
              <w:rPr>
                <w:color w:val="231F20"/>
                <w:spacing w:val="-2"/>
                <w:w w:val="85"/>
                <w:sz w:val="14"/>
              </w:rPr>
              <w:t>Georgia</w:t>
            </w:r>
          </w:p>
        </w:tc>
        <w:tc>
          <w:tcPr>
            <w:tcW w:w="1103" w:type="dxa"/>
            <w:tcBorders>
              <w:top w:val="single" w:sz="4" w:space="0" w:color="008FDD"/>
            </w:tcBorders>
          </w:tcPr>
          <w:p>
            <w:pPr>
              <w:pStyle w:val="TableParagraph"/>
              <w:spacing w:before="43"/>
              <w:ind w:right="435"/>
              <w:jc w:val="right"/>
              <w:rPr>
                <w:sz w:val="14"/>
              </w:rPr>
            </w:pPr>
            <w:r>
              <w:rPr>
                <w:color w:val="231F20"/>
                <w:spacing w:val="-5"/>
                <w:w w:val="95"/>
                <w:sz w:val="14"/>
              </w:rPr>
              <w:t>365</w:t>
            </w:r>
          </w:p>
        </w:tc>
        <w:tc>
          <w:tcPr>
            <w:tcW w:w="851" w:type="dxa"/>
            <w:tcBorders>
              <w:top w:val="single" w:sz="4" w:space="0" w:color="008FDD"/>
            </w:tcBorders>
          </w:tcPr>
          <w:p>
            <w:pPr>
              <w:pStyle w:val="TableParagraph"/>
              <w:spacing w:before="43"/>
              <w:ind w:left="95" w:right="136"/>
              <w:rPr>
                <w:sz w:val="14"/>
              </w:rPr>
            </w:pPr>
            <w:r>
              <w:rPr>
                <w:color w:val="231F20"/>
                <w:spacing w:val="-5"/>
                <w:w w:val="95"/>
                <w:sz w:val="14"/>
              </w:rPr>
              <w:t>7.9</w:t>
            </w:r>
          </w:p>
        </w:tc>
        <w:tc>
          <w:tcPr>
            <w:tcW w:w="1063" w:type="dxa"/>
            <w:tcBorders>
              <w:top w:val="single" w:sz="4" w:space="0" w:color="008FDD"/>
            </w:tcBorders>
          </w:tcPr>
          <w:p>
            <w:pPr>
              <w:pStyle w:val="TableParagraph"/>
              <w:spacing w:before="43"/>
              <w:ind w:left="78" w:right="53"/>
              <w:rPr>
                <w:sz w:val="14"/>
              </w:rPr>
            </w:pPr>
            <w:r>
              <w:rPr>
                <w:color w:val="231F20"/>
                <w:spacing w:val="-5"/>
                <w:w w:val="95"/>
                <w:sz w:val="14"/>
              </w:rPr>
              <w:t>3.9</w:t>
            </w:r>
          </w:p>
        </w:tc>
        <w:tc>
          <w:tcPr>
            <w:tcW w:w="1083" w:type="dxa"/>
            <w:tcBorders>
              <w:top w:val="single" w:sz="4" w:space="0" w:color="008FDD"/>
            </w:tcBorders>
          </w:tcPr>
          <w:p>
            <w:pPr>
              <w:pStyle w:val="TableParagraph"/>
              <w:spacing w:before="43"/>
              <w:ind w:left="392"/>
              <w:jc w:val="left"/>
              <w:rPr>
                <w:sz w:val="14"/>
              </w:rPr>
            </w:pPr>
            <w:r>
              <w:rPr>
                <w:color w:val="231F20"/>
                <w:spacing w:val="-5"/>
                <w:w w:val="95"/>
                <w:sz w:val="14"/>
              </w:rPr>
              <w:t>2.7</w:t>
            </w:r>
          </w:p>
        </w:tc>
        <w:tc>
          <w:tcPr>
            <w:tcW w:w="751" w:type="dxa"/>
            <w:tcBorders>
              <w:top w:val="single" w:sz="4" w:space="0" w:color="008FDD"/>
            </w:tcBorders>
          </w:tcPr>
          <w:p>
            <w:pPr>
              <w:pStyle w:val="TableParagraph"/>
              <w:spacing w:before="43"/>
              <w:ind w:left="46" w:right="62"/>
              <w:rPr>
                <w:sz w:val="14"/>
              </w:rPr>
            </w:pPr>
            <w:r>
              <w:rPr>
                <w:color w:val="231F20"/>
                <w:spacing w:val="-4"/>
                <w:w w:val="95"/>
                <w:sz w:val="14"/>
              </w:rPr>
              <w:t>11.2</w:t>
            </w:r>
          </w:p>
        </w:tc>
        <w:tc>
          <w:tcPr>
            <w:tcW w:w="240" w:type="dxa"/>
            <w:tcBorders>
              <w:top w:val="single" w:sz="4" w:space="0" w:color="008FDD"/>
            </w:tcBorders>
          </w:tcPr>
          <w:p>
            <w:pPr>
              <w:pStyle w:val="TableParagraph"/>
              <w:spacing w:before="0"/>
              <w:jc w:val="left"/>
              <w:rPr>
                <w:rFonts w:ascii="Times New Roman"/>
                <w:sz w:val="12"/>
              </w:rPr>
            </w:pPr>
          </w:p>
        </w:tc>
        <w:tc>
          <w:tcPr>
            <w:tcW w:w="851" w:type="dxa"/>
            <w:tcBorders>
              <w:top w:val="single" w:sz="4" w:space="0" w:color="008FDD"/>
            </w:tcBorders>
          </w:tcPr>
          <w:p>
            <w:pPr>
              <w:pStyle w:val="TableParagraph"/>
              <w:spacing w:before="43"/>
              <w:ind w:left="94" w:right="136"/>
              <w:rPr>
                <w:sz w:val="14"/>
              </w:rPr>
            </w:pPr>
            <w:r>
              <w:rPr>
                <w:color w:val="231F20"/>
                <w:spacing w:val="-5"/>
                <w:w w:val="95"/>
                <w:sz w:val="14"/>
              </w:rPr>
              <w:t>7.7</w:t>
            </w:r>
          </w:p>
        </w:tc>
        <w:tc>
          <w:tcPr>
            <w:tcW w:w="1073" w:type="dxa"/>
            <w:tcBorders>
              <w:top w:val="single" w:sz="4" w:space="0" w:color="008FDD"/>
            </w:tcBorders>
          </w:tcPr>
          <w:p>
            <w:pPr>
              <w:pStyle w:val="TableParagraph"/>
              <w:spacing w:before="43"/>
              <w:ind w:left="81" w:right="63"/>
              <w:rPr>
                <w:sz w:val="14"/>
              </w:rPr>
            </w:pPr>
            <w:r>
              <w:rPr>
                <w:color w:val="231F20"/>
                <w:spacing w:val="-5"/>
                <w:w w:val="95"/>
                <w:sz w:val="14"/>
              </w:rPr>
              <w:t>3.9</w:t>
            </w:r>
          </w:p>
        </w:tc>
        <w:tc>
          <w:tcPr>
            <w:tcW w:w="939" w:type="dxa"/>
            <w:tcBorders>
              <w:top w:val="single" w:sz="4" w:space="0" w:color="008FDD"/>
            </w:tcBorders>
          </w:tcPr>
          <w:p>
            <w:pPr>
              <w:pStyle w:val="TableParagraph"/>
              <w:spacing w:before="43"/>
              <w:ind w:left="29" w:right="32"/>
              <w:rPr>
                <w:sz w:val="14"/>
              </w:rPr>
            </w:pPr>
            <w:r>
              <w:rPr>
                <w:color w:val="231F20"/>
                <w:spacing w:val="-5"/>
                <w:w w:val="95"/>
                <w:sz w:val="14"/>
              </w:rPr>
              <w:t>2.7</w:t>
            </w:r>
          </w:p>
        </w:tc>
        <w:tc>
          <w:tcPr>
            <w:tcW w:w="1005" w:type="dxa"/>
            <w:tcBorders>
              <w:top w:val="single" w:sz="4" w:space="0" w:color="008FDD"/>
            </w:tcBorders>
          </w:tcPr>
          <w:p>
            <w:pPr>
              <w:pStyle w:val="TableParagraph"/>
              <w:spacing w:before="43"/>
              <w:ind w:left="63" w:right="73"/>
              <w:rPr>
                <w:sz w:val="14"/>
              </w:rPr>
            </w:pPr>
            <w:r>
              <w:rPr>
                <w:color w:val="231F20"/>
                <w:spacing w:val="-4"/>
                <w:w w:val="95"/>
                <w:sz w:val="14"/>
              </w:rPr>
              <w:t>10.8</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Germany</w:t>
            </w:r>
          </w:p>
        </w:tc>
        <w:tc>
          <w:tcPr>
            <w:tcW w:w="1103" w:type="dxa"/>
            <w:shd w:val="clear" w:color="auto" w:fill="D4E3F5"/>
          </w:tcPr>
          <w:p>
            <w:pPr>
              <w:pStyle w:val="TableParagraph"/>
              <w:ind w:right="435"/>
              <w:jc w:val="right"/>
              <w:rPr>
                <w:sz w:val="14"/>
              </w:rPr>
            </w:pPr>
            <w:r>
              <w:rPr>
                <w:color w:val="231F20"/>
                <w:spacing w:val="-5"/>
                <w:w w:val="95"/>
                <w:sz w:val="14"/>
              </w:rPr>
              <w:t>529</w:t>
            </w:r>
          </w:p>
        </w:tc>
        <w:tc>
          <w:tcPr>
            <w:tcW w:w="851" w:type="dxa"/>
            <w:shd w:val="clear" w:color="auto" w:fill="D4E3F5"/>
          </w:tcPr>
          <w:p>
            <w:pPr>
              <w:pStyle w:val="TableParagraph"/>
              <w:ind w:left="83" w:right="136"/>
              <w:rPr>
                <w:sz w:val="14"/>
              </w:rPr>
            </w:pPr>
            <w:r>
              <w:rPr>
                <w:color w:val="231F20"/>
                <w:spacing w:val="-5"/>
                <w:w w:val="95"/>
                <w:sz w:val="14"/>
              </w:rPr>
              <w:t>4.9</w:t>
            </w:r>
          </w:p>
        </w:tc>
        <w:tc>
          <w:tcPr>
            <w:tcW w:w="1063" w:type="dxa"/>
            <w:shd w:val="clear" w:color="auto" w:fill="D4E3F5"/>
          </w:tcPr>
          <w:p>
            <w:pPr>
              <w:pStyle w:val="TableParagraph"/>
              <w:ind w:left="83" w:right="53"/>
              <w:rPr>
                <w:sz w:val="14"/>
              </w:rPr>
            </w:pPr>
            <w:r>
              <w:rPr>
                <w:color w:val="231F20"/>
                <w:spacing w:val="-5"/>
                <w:w w:val="95"/>
                <w:sz w:val="14"/>
              </w:rPr>
              <w:t>1.6</w:t>
            </w:r>
          </w:p>
        </w:tc>
        <w:tc>
          <w:tcPr>
            <w:tcW w:w="1083" w:type="dxa"/>
            <w:shd w:val="clear" w:color="auto" w:fill="D4E3F5"/>
          </w:tcPr>
          <w:p>
            <w:pPr>
              <w:pStyle w:val="TableParagraph"/>
              <w:ind w:left="392"/>
              <w:jc w:val="left"/>
              <w:rPr>
                <w:sz w:val="14"/>
              </w:rPr>
            </w:pPr>
            <w:r>
              <w:rPr>
                <w:color w:val="231F20"/>
                <w:spacing w:val="-2"/>
                <w:w w:val="95"/>
                <w:sz w:val="14"/>
              </w:rPr>
              <w:t>0.74.2</w:t>
            </w:r>
          </w:p>
        </w:tc>
        <w:tc>
          <w:tcPr>
            <w:tcW w:w="751" w:type="dxa"/>
            <w:shd w:val="clear" w:color="auto" w:fill="D4E3F5"/>
          </w:tcPr>
          <w:p>
            <w:pPr>
              <w:pStyle w:val="TableParagraph"/>
              <w:ind w:left="46" w:right="73"/>
              <w:rPr>
                <w:sz w:val="14"/>
              </w:rPr>
            </w:pPr>
            <w:r>
              <w:rPr>
                <w:color w:val="231F20"/>
                <w:spacing w:val="-4"/>
                <w:w w:val="95"/>
                <w:sz w:val="14"/>
              </w:rPr>
              <w:t>10.5</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94" w:right="136"/>
              <w:rPr>
                <w:sz w:val="14"/>
              </w:rPr>
            </w:pPr>
            <w:r>
              <w:rPr>
                <w:color w:val="231F20"/>
                <w:spacing w:val="-5"/>
                <w:w w:val="95"/>
                <w:sz w:val="14"/>
              </w:rPr>
              <w:t>7.7</w:t>
            </w:r>
          </w:p>
        </w:tc>
        <w:tc>
          <w:tcPr>
            <w:tcW w:w="1073" w:type="dxa"/>
            <w:shd w:val="clear" w:color="auto" w:fill="D4E3F5"/>
          </w:tcPr>
          <w:p>
            <w:pPr>
              <w:pStyle w:val="TableParagraph"/>
              <w:ind w:left="79" w:right="63"/>
              <w:rPr>
                <w:sz w:val="14"/>
              </w:rPr>
            </w:pPr>
            <w:r>
              <w:rPr>
                <w:color w:val="231F20"/>
                <w:spacing w:val="-5"/>
                <w:w w:val="95"/>
                <w:sz w:val="14"/>
              </w:rPr>
              <w:t>6.0</w:t>
            </w:r>
          </w:p>
        </w:tc>
        <w:tc>
          <w:tcPr>
            <w:tcW w:w="939" w:type="dxa"/>
            <w:shd w:val="clear" w:color="auto" w:fill="D4E3F5"/>
          </w:tcPr>
          <w:p>
            <w:pPr>
              <w:pStyle w:val="TableParagraph"/>
              <w:ind w:left="32" w:right="32"/>
              <w:rPr>
                <w:sz w:val="14"/>
              </w:rPr>
            </w:pPr>
            <w:r>
              <w:rPr>
                <w:color w:val="231F20"/>
                <w:spacing w:val="-5"/>
                <w:w w:val="95"/>
                <w:sz w:val="14"/>
              </w:rPr>
              <w:t>3.9</w:t>
            </w:r>
          </w:p>
        </w:tc>
        <w:tc>
          <w:tcPr>
            <w:tcW w:w="1005" w:type="dxa"/>
            <w:shd w:val="clear" w:color="auto" w:fill="D4E3F5"/>
          </w:tcPr>
          <w:p>
            <w:pPr>
              <w:pStyle w:val="TableParagraph"/>
              <w:ind w:left="63" w:right="14"/>
              <w:rPr>
                <w:sz w:val="14"/>
              </w:rPr>
            </w:pPr>
            <w:r>
              <w:rPr>
                <w:color w:val="231F20"/>
                <w:spacing w:val="-5"/>
                <w:w w:val="95"/>
                <w:sz w:val="14"/>
              </w:rPr>
              <w:t>9.4</w:t>
            </w:r>
          </w:p>
        </w:tc>
      </w:tr>
      <w:tr>
        <w:trPr>
          <w:trHeight w:val="259" w:hRule="atLeast"/>
        </w:trPr>
        <w:tc>
          <w:tcPr>
            <w:tcW w:w="1358" w:type="dxa"/>
          </w:tcPr>
          <w:p>
            <w:pPr>
              <w:pStyle w:val="TableParagraph"/>
              <w:ind w:left="80"/>
              <w:jc w:val="left"/>
              <w:rPr>
                <w:sz w:val="14"/>
              </w:rPr>
            </w:pPr>
            <w:r>
              <w:rPr>
                <w:color w:val="231F20"/>
                <w:spacing w:val="-2"/>
                <w:w w:val="85"/>
                <w:sz w:val="14"/>
              </w:rPr>
              <w:t>Ghana</w:t>
            </w:r>
          </w:p>
        </w:tc>
        <w:tc>
          <w:tcPr>
            <w:tcW w:w="1103" w:type="dxa"/>
          </w:tcPr>
          <w:p>
            <w:pPr>
              <w:pStyle w:val="TableParagraph"/>
              <w:ind w:right="442"/>
              <w:jc w:val="right"/>
              <w:rPr>
                <w:sz w:val="14"/>
              </w:rPr>
            </w:pPr>
            <w:r>
              <w:rPr>
                <w:color w:val="231F20"/>
                <w:spacing w:val="-2"/>
                <w:w w:val="95"/>
                <w:sz w:val="14"/>
              </w:rPr>
              <w:t>1,411</w:t>
            </w:r>
          </w:p>
        </w:tc>
        <w:tc>
          <w:tcPr>
            <w:tcW w:w="851" w:type="dxa"/>
          </w:tcPr>
          <w:p>
            <w:pPr>
              <w:pStyle w:val="TableParagraph"/>
              <w:ind w:left="82" w:right="136"/>
              <w:rPr>
                <w:sz w:val="14"/>
              </w:rPr>
            </w:pPr>
            <w:r>
              <w:rPr>
                <w:color w:val="231F20"/>
                <w:spacing w:val="-5"/>
                <w:w w:val="95"/>
                <w:sz w:val="14"/>
              </w:rPr>
              <w:t>5.3</w:t>
            </w:r>
          </w:p>
        </w:tc>
        <w:tc>
          <w:tcPr>
            <w:tcW w:w="1063" w:type="dxa"/>
          </w:tcPr>
          <w:p>
            <w:pPr>
              <w:pStyle w:val="TableParagraph"/>
              <w:ind w:left="60" w:right="53"/>
              <w:rPr>
                <w:sz w:val="14"/>
              </w:rPr>
            </w:pPr>
            <w:r>
              <w:rPr>
                <w:color w:val="231F20"/>
                <w:spacing w:val="-5"/>
                <w:w w:val="95"/>
                <w:sz w:val="14"/>
              </w:rPr>
              <w:t>4.1</w:t>
            </w:r>
          </w:p>
        </w:tc>
        <w:tc>
          <w:tcPr>
            <w:tcW w:w="1083" w:type="dxa"/>
          </w:tcPr>
          <w:p>
            <w:pPr>
              <w:pStyle w:val="TableParagraph"/>
              <w:ind w:left="391"/>
              <w:jc w:val="left"/>
              <w:rPr>
                <w:sz w:val="14"/>
              </w:rPr>
            </w:pPr>
            <w:r>
              <w:rPr>
                <w:color w:val="231F20"/>
                <w:spacing w:val="-5"/>
                <w:w w:val="95"/>
                <w:sz w:val="14"/>
              </w:rPr>
              <w:t>3.0</w:t>
            </w:r>
          </w:p>
        </w:tc>
        <w:tc>
          <w:tcPr>
            <w:tcW w:w="751" w:type="dxa"/>
          </w:tcPr>
          <w:p>
            <w:pPr>
              <w:pStyle w:val="TableParagraph"/>
              <w:ind w:left="78" w:right="45"/>
              <w:rPr>
                <w:sz w:val="14"/>
              </w:rPr>
            </w:pPr>
            <w:r>
              <w:rPr>
                <w:color w:val="231F20"/>
                <w:spacing w:val="-5"/>
                <w:w w:val="95"/>
                <w:sz w:val="14"/>
              </w:rPr>
              <w:t>5.8</w:t>
            </w:r>
          </w:p>
        </w:tc>
        <w:tc>
          <w:tcPr>
            <w:tcW w:w="240" w:type="dxa"/>
          </w:tcPr>
          <w:p>
            <w:pPr>
              <w:pStyle w:val="TableParagraph"/>
              <w:spacing w:before="0"/>
              <w:jc w:val="left"/>
              <w:rPr>
                <w:rFonts w:ascii="Times New Roman"/>
                <w:sz w:val="12"/>
              </w:rPr>
            </w:pPr>
          </w:p>
        </w:tc>
        <w:tc>
          <w:tcPr>
            <w:tcW w:w="851" w:type="dxa"/>
          </w:tcPr>
          <w:p>
            <w:pPr>
              <w:pStyle w:val="TableParagraph"/>
              <w:ind w:left="86" w:right="136"/>
              <w:rPr>
                <w:sz w:val="14"/>
              </w:rPr>
            </w:pPr>
            <w:r>
              <w:rPr>
                <w:color w:val="231F20"/>
                <w:spacing w:val="-5"/>
                <w:w w:val="95"/>
                <w:sz w:val="14"/>
              </w:rPr>
              <w:t>4.9</w:t>
            </w:r>
          </w:p>
        </w:tc>
        <w:tc>
          <w:tcPr>
            <w:tcW w:w="1073" w:type="dxa"/>
          </w:tcPr>
          <w:p>
            <w:pPr>
              <w:pStyle w:val="TableParagraph"/>
              <w:ind w:left="81" w:right="63"/>
              <w:rPr>
                <w:sz w:val="14"/>
              </w:rPr>
            </w:pPr>
            <w:r>
              <w:rPr>
                <w:color w:val="231F20"/>
                <w:spacing w:val="-5"/>
                <w:w w:val="95"/>
                <w:sz w:val="14"/>
              </w:rPr>
              <w:t>3.8</w:t>
            </w:r>
          </w:p>
        </w:tc>
        <w:tc>
          <w:tcPr>
            <w:tcW w:w="939" w:type="dxa"/>
          </w:tcPr>
          <w:p>
            <w:pPr>
              <w:pStyle w:val="TableParagraph"/>
              <w:ind w:left="29" w:right="32"/>
              <w:rPr>
                <w:sz w:val="14"/>
              </w:rPr>
            </w:pPr>
            <w:r>
              <w:rPr>
                <w:color w:val="231F20"/>
                <w:spacing w:val="-5"/>
                <w:w w:val="95"/>
                <w:sz w:val="14"/>
              </w:rPr>
              <w:t>2.7</w:t>
            </w:r>
          </w:p>
        </w:tc>
        <w:tc>
          <w:tcPr>
            <w:tcW w:w="1005" w:type="dxa"/>
          </w:tcPr>
          <w:p>
            <w:pPr>
              <w:pStyle w:val="TableParagraph"/>
              <w:ind w:left="63" w:right="15"/>
              <w:rPr>
                <w:sz w:val="14"/>
              </w:rPr>
            </w:pPr>
            <w:r>
              <w:rPr>
                <w:color w:val="231F20"/>
                <w:spacing w:val="-5"/>
                <w:w w:val="95"/>
                <w:sz w:val="14"/>
              </w:rPr>
              <w:t>5.4</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Greece</w:t>
            </w:r>
          </w:p>
        </w:tc>
        <w:tc>
          <w:tcPr>
            <w:tcW w:w="1103" w:type="dxa"/>
            <w:shd w:val="clear" w:color="auto" w:fill="D4E3F5"/>
          </w:tcPr>
          <w:p>
            <w:pPr>
              <w:pStyle w:val="TableParagraph"/>
              <w:ind w:right="437"/>
              <w:jc w:val="right"/>
              <w:rPr>
                <w:sz w:val="14"/>
              </w:rPr>
            </w:pPr>
            <w:r>
              <w:rPr>
                <w:color w:val="231F20"/>
                <w:spacing w:val="-2"/>
                <w:w w:val="95"/>
                <w:sz w:val="14"/>
              </w:rPr>
              <w:t>4,624</w:t>
            </w:r>
          </w:p>
        </w:tc>
        <w:tc>
          <w:tcPr>
            <w:tcW w:w="851" w:type="dxa"/>
            <w:shd w:val="clear" w:color="auto" w:fill="D4E3F5"/>
          </w:tcPr>
          <w:p>
            <w:pPr>
              <w:pStyle w:val="TableParagraph"/>
              <w:ind w:left="83" w:right="136"/>
              <w:rPr>
                <w:sz w:val="14"/>
              </w:rPr>
            </w:pPr>
            <w:r>
              <w:rPr>
                <w:color w:val="231F20"/>
                <w:spacing w:val="-5"/>
                <w:w w:val="95"/>
                <w:sz w:val="14"/>
              </w:rPr>
              <w:t>4.6</w:t>
            </w:r>
          </w:p>
        </w:tc>
        <w:tc>
          <w:tcPr>
            <w:tcW w:w="1063" w:type="dxa"/>
            <w:shd w:val="clear" w:color="auto" w:fill="D4E3F5"/>
          </w:tcPr>
          <w:p>
            <w:pPr>
              <w:pStyle w:val="TableParagraph"/>
              <w:ind w:left="78" w:right="53"/>
              <w:rPr>
                <w:sz w:val="14"/>
              </w:rPr>
            </w:pPr>
            <w:r>
              <w:rPr>
                <w:color w:val="231F20"/>
                <w:spacing w:val="-5"/>
                <w:w w:val="95"/>
                <w:sz w:val="14"/>
              </w:rPr>
              <w:t>3.8</w:t>
            </w:r>
          </w:p>
        </w:tc>
        <w:tc>
          <w:tcPr>
            <w:tcW w:w="1083" w:type="dxa"/>
            <w:shd w:val="clear" w:color="auto" w:fill="D4E3F5"/>
          </w:tcPr>
          <w:p>
            <w:pPr>
              <w:pStyle w:val="TableParagraph"/>
              <w:ind w:left="392"/>
              <w:jc w:val="left"/>
              <w:rPr>
                <w:sz w:val="14"/>
              </w:rPr>
            </w:pPr>
            <w:r>
              <w:rPr>
                <w:color w:val="231F20"/>
                <w:spacing w:val="-5"/>
                <w:w w:val="95"/>
                <w:sz w:val="14"/>
              </w:rPr>
              <w:t>2.8</w:t>
            </w:r>
          </w:p>
        </w:tc>
        <w:tc>
          <w:tcPr>
            <w:tcW w:w="751" w:type="dxa"/>
            <w:shd w:val="clear" w:color="auto" w:fill="D4E3F5"/>
          </w:tcPr>
          <w:p>
            <w:pPr>
              <w:pStyle w:val="TableParagraph"/>
              <w:ind w:left="79" w:right="45"/>
              <w:rPr>
                <w:sz w:val="14"/>
              </w:rPr>
            </w:pPr>
            <w:r>
              <w:rPr>
                <w:color w:val="231F20"/>
                <w:spacing w:val="-5"/>
                <w:w w:val="95"/>
                <w:sz w:val="14"/>
              </w:rPr>
              <w:t>5.2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5" w:right="136"/>
              <w:rPr>
                <w:sz w:val="14"/>
              </w:rPr>
            </w:pPr>
            <w:r>
              <w:rPr>
                <w:color w:val="231F20"/>
                <w:spacing w:val="-5"/>
                <w:w w:val="95"/>
                <w:sz w:val="14"/>
              </w:rPr>
              <w:t>4.6</w:t>
            </w:r>
          </w:p>
        </w:tc>
        <w:tc>
          <w:tcPr>
            <w:tcW w:w="1073" w:type="dxa"/>
            <w:shd w:val="clear" w:color="auto" w:fill="D4E3F5"/>
          </w:tcPr>
          <w:p>
            <w:pPr>
              <w:pStyle w:val="TableParagraph"/>
              <w:ind w:left="81" w:right="63"/>
              <w:rPr>
                <w:sz w:val="14"/>
              </w:rPr>
            </w:pPr>
            <w:r>
              <w:rPr>
                <w:color w:val="231F20"/>
                <w:spacing w:val="-5"/>
                <w:w w:val="95"/>
                <w:sz w:val="14"/>
              </w:rPr>
              <w:t>3.8</w:t>
            </w:r>
          </w:p>
        </w:tc>
        <w:tc>
          <w:tcPr>
            <w:tcW w:w="939" w:type="dxa"/>
            <w:shd w:val="clear" w:color="auto" w:fill="D4E3F5"/>
          </w:tcPr>
          <w:p>
            <w:pPr>
              <w:pStyle w:val="TableParagraph"/>
              <w:ind w:left="32" w:right="32"/>
              <w:rPr>
                <w:sz w:val="14"/>
              </w:rPr>
            </w:pPr>
            <w:r>
              <w:rPr>
                <w:color w:val="231F20"/>
                <w:spacing w:val="-5"/>
                <w:w w:val="95"/>
                <w:sz w:val="14"/>
              </w:rPr>
              <w:t>2.8</w:t>
            </w:r>
          </w:p>
        </w:tc>
        <w:tc>
          <w:tcPr>
            <w:tcW w:w="1005" w:type="dxa"/>
            <w:shd w:val="clear" w:color="auto" w:fill="D4E3F5"/>
          </w:tcPr>
          <w:p>
            <w:pPr>
              <w:pStyle w:val="TableParagraph"/>
              <w:ind w:left="64" w:right="13"/>
              <w:rPr>
                <w:sz w:val="14"/>
              </w:rPr>
            </w:pPr>
            <w:r>
              <w:rPr>
                <w:color w:val="231F20"/>
                <w:spacing w:val="-5"/>
                <w:w w:val="95"/>
                <w:sz w:val="14"/>
              </w:rPr>
              <w:t>5.2</w:t>
            </w:r>
          </w:p>
        </w:tc>
      </w:tr>
      <w:tr>
        <w:trPr>
          <w:trHeight w:val="259" w:hRule="atLeast"/>
        </w:trPr>
        <w:tc>
          <w:tcPr>
            <w:tcW w:w="1358" w:type="dxa"/>
          </w:tcPr>
          <w:p>
            <w:pPr>
              <w:pStyle w:val="TableParagraph"/>
              <w:ind w:left="80"/>
              <w:jc w:val="left"/>
              <w:rPr>
                <w:sz w:val="14"/>
              </w:rPr>
            </w:pPr>
            <w:r>
              <w:rPr>
                <w:color w:val="231F20"/>
                <w:spacing w:val="-2"/>
                <w:w w:val="85"/>
                <w:sz w:val="14"/>
              </w:rPr>
              <w:t>Guadeloupe</w:t>
            </w:r>
          </w:p>
        </w:tc>
        <w:tc>
          <w:tcPr>
            <w:tcW w:w="1103" w:type="dxa"/>
          </w:tcPr>
          <w:p>
            <w:pPr>
              <w:pStyle w:val="TableParagraph"/>
              <w:ind w:right="436"/>
              <w:jc w:val="right"/>
              <w:rPr>
                <w:sz w:val="14"/>
              </w:rPr>
            </w:pPr>
            <w:r>
              <w:rPr>
                <w:color w:val="231F20"/>
                <w:spacing w:val="-5"/>
                <w:w w:val="95"/>
                <w:sz w:val="14"/>
              </w:rPr>
              <w:t>101</w:t>
            </w:r>
          </w:p>
        </w:tc>
        <w:tc>
          <w:tcPr>
            <w:tcW w:w="851" w:type="dxa"/>
          </w:tcPr>
          <w:p>
            <w:pPr>
              <w:pStyle w:val="TableParagraph"/>
              <w:ind w:left="82" w:right="136"/>
              <w:rPr>
                <w:sz w:val="14"/>
              </w:rPr>
            </w:pPr>
            <w:r>
              <w:rPr>
                <w:color w:val="231F20"/>
                <w:spacing w:val="-5"/>
                <w:w w:val="95"/>
                <w:sz w:val="14"/>
              </w:rPr>
              <w:t>6.8</w:t>
            </w:r>
          </w:p>
        </w:tc>
        <w:tc>
          <w:tcPr>
            <w:tcW w:w="1063" w:type="dxa"/>
          </w:tcPr>
          <w:p>
            <w:pPr>
              <w:pStyle w:val="TableParagraph"/>
              <w:ind w:left="77" w:right="53"/>
              <w:rPr>
                <w:sz w:val="14"/>
              </w:rPr>
            </w:pPr>
            <w:r>
              <w:rPr>
                <w:color w:val="231F20"/>
                <w:spacing w:val="-5"/>
                <w:w w:val="95"/>
                <w:sz w:val="14"/>
              </w:rPr>
              <w:t>4.6</w:t>
            </w:r>
          </w:p>
        </w:tc>
        <w:tc>
          <w:tcPr>
            <w:tcW w:w="1083" w:type="dxa"/>
          </w:tcPr>
          <w:p>
            <w:pPr>
              <w:pStyle w:val="TableParagraph"/>
              <w:ind w:left="391"/>
              <w:jc w:val="left"/>
              <w:rPr>
                <w:sz w:val="14"/>
              </w:rPr>
            </w:pPr>
            <w:r>
              <w:rPr>
                <w:color w:val="231F20"/>
                <w:spacing w:val="-5"/>
                <w:w w:val="95"/>
                <w:sz w:val="14"/>
              </w:rPr>
              <w:t>3.1</w:t>
            </w:r>
          </w:p>
        </w:tc>
        <w:tc>
          <w:tcPr>
            <w:tcW w:w="751" w:type="dxa"/>
          </w:tcPr>
          <w:p>
            <w:pPr>
              <w:pStyle w:val="TableParagraph"/>
              <w:ind w:left="77" w:right="45"/>
              <w:rPr>
                <w:sz w:val="14"/>
              </w:rPr>
            </w:pPr>
            <w:r>
              <w:rPr>
                <w:color w:val="231F20"/>
                <w:spacing w:val="-5"/>
                <w:w w:val="95"/>
                <w:sz w:val="14"/>
              </w:rPr>
              <w:t>9.4</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6.8</w:t>
            </w:r>
          </w:p>
        </w:tc>
        <w:tc>
          <w:tcPr>
            <w:tcW w:w="1073" w:type="dxa"/>
          </w:tcPr>
          <w:p>
            <w:pPr>
              <w:pStyle w:val="TableParagraph"/>
              <w:ind w:left="80" w:right="63"/>
              <w:rPr>
                <w:sz w:val="14"/>
              </w:rPr>
            </w:pPr>
            <w:r>
              <w:rPr>
                <w:color w:val="231F20"/>
                <w:spacing w:val="-5"/>
                <w:w w:val="95"/>
                <w:sz w:val="14"/>
              </w:rPr>
              <w:t>4.6</w:t>
            </w:r>
          </w:p>
        </w:tc>
        <w:tc>
          <w:tcPr>
            <w:tcW w:w="939" w:type="dxa"/>
          </w:tcPr>
          <w:p>
            <w:pPr>
              <w:pStyle w:val="TableParagraph"/>
              <w:ind w:left="15" w:right="32"/>
              <w:rPr>
                <w:sz w:val="14"/>
              </w:rPr>
            </w:pPr>
            <w:r>
              <w:rPr>
                <w:color w:val="231F20"/>
                <w:spacing w:val="-5"/>
                <w:w w:val="95"/>
                <w:sz w:val="14"/>
              </w:rPr>
              <w:t>3.1</w:t>
            </w:r>
          </w:p>
        </w:tc>
        <w:tc>
          <w:tcPr>
            <w:tcW w:w="1005" w:type="dxa"/>
          </w:tcPr>
          <w:p>
            <w:pPr>
              <w:pStyle w:val="TableParagraph"/>
              <w:ind w:left="63" w:right="14"/>
              <w:rPr>
                <w:sz w:val="14"/>
              </w:rPr>
            </w:pPr>
            <w:r>
              <w:rPr>
                <w:color w:val="231F20"/>
                <w:spacing w:val="-5"/>
                <w:w w:val="95"/>
                <w:sz w:val="14"/>
              </w:rPr>
              <w:t>9.4</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Guatemala</w:t>
            </w:r>
          </w:p>
        </w:tc>
        <w:tc>
          <w:tcPr>
            <w:tcW w:w="1103" w:type="dxa"/>
            <w:shd w:val="clear" w:color="auto" w:fill="D4E3F5"/>
          </w:tcPr>
          <w:p>
            <w:pPr>
              <w:pStyle w:val="TableParagraph"/>
              <w:ind w:right="434"/>
              <w:jc w:val="right"/>
              <w:rPr>
                <w:sz w:val="14"/>
              </w:rPr>
            </w:pPr>
            <w:r>
              <w:rPr>
                <w:color w:val="231F20"/>
                <w:spacing w:val="-2"/>
                <w:w w:val="95"/>
                <w:sz w:val="14"/>
              </w:rPr>
              <w:t>5,328</w:t>
            </w:r>
          </w:p>
        </w:tc>
        <w:tc>
          <w:tcPr>
            <w:tcW w:w="851" w:type="dxa"/>
            <w:shd w:val="clear" w:color="auto" w:fill="D4E3F5"/>
          </w:tcPr>
          <w:p>
            <w:pPr>
              <w:pStyle w:val="TableParagraph"/>
              <w:ind w:left="85" w:right="136"/>
              <w:rPr>
                <w:sz w:val="14"/>
              </w:rPr>
            </w:pPr>
            <w:r>
              <w:rPr>
                <w:color w:val="231F20"/>
                <w:spacing w:val="-5"/>
                <w:w w:val="95"/>
                <w:sz w:val="14"/>
              </w:rPr>
              <w:t>4.2</w:t>
            </w:r>
          </w:p>
        </w:tc>
        <w:tc>
          <w:tcPr>
            <w:tcW w:w="1063" w:type="dxa"/>
            <w:shd w:val="clear" w:color="auto" w:fill="D4E3F5"/>
          </w:tcPr>
          <w:p>
            <w:pPr>
              <w:pStyle w:val="TableParagraph"/>
              <w:ind w:left="79" w:right="53"/>
              <w:rPr>
                <w:sz w:val="14"/>
              </w:rPr>
            </w:pPr>
            <w:r>
              <w:rPr>
                <w:color w:val="231F20"/>
                <w:spacing w:val="-5"/>
                <w:w w:val="95"/>
                <w:sz w:val="14"/>
              </w:rPr>
              <w:t>3.3</w:t>
            </w:r>
          </w:p>
        </w:tc>
        <w:tc>
          <w:tcPr>
            <w:tcW w:w="1083" w:type="dxa"/>
            <w:shd w:val="clear" w:color="auto" w:fill="D4E3F5"/>
          </w:tcPr>
          <w:p>
            <w:pPr>
              <w:pStyle w:val="TableParagraph"/>
              <w:ind w:left="399"/>
              <w:jc w:val="left"/>
              <w:rPr>
                <w:sz w:val="14"/>
              </w:rPr>
            </w:pPr>
            <w:r>
              <w:rPr>
                <w:color w:val="231F20"/>
                <w:spacing w:val="-5"/>
                <w:w w:val="95"/>
                <w:sz w:val="14"/>
              </w:rPr>
              <w:t>1.9</w:t>
            </w:r>
          </w:p>
        </w:tc>
        <w:tc>
          <w:tcPr>
            <w:tcW w:w="751" w:type="dxa"/>
            <w:shd w:val="clear" w:color="auto" w:fill="D4E3F5"/>
          </w:tcPr>
          <w:p>
            <w:pPr>
              <w:pStyle w:val="TableParagraph"/>
              <w:ind w:left="79" w:right="45"/>
              <w:rPr>
                <w:sz w:val="14"/>
              </w:rPr>
            </w:pPr>
            <w:r>
              <w:rPr>
                <w:color w:val="231F20"/>
                <w:spacing w:val="-5"/>
                <w:w w:val="95"/>
                <w:sz w:val="14"/>
              </w:rPr>
              <w:t>5.6</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7" w:right="136"/>
              <w:rPr>
                <w:sz w:val="14"/>
              </w:rPr>
            </w:pPr>
            <w:r>
              <w:rPr>
                <w:color w:val="231F20"/>
                <w:spacing w:val="-5"/>
                <w:w w:val="95"/>
                <w:sz w:val="14"/>
              </w:rPr>
              <w:t>4.2</w:t>
            </w:r>
          </w:p>
        </w:tc>
        <w:tc>
          <w:tcPr>
            <w:tcW w:w="1073" w:type="dxa"/>
            <w:shd w:val="clear" w:color="auto" w:fill="D4E3F5"/>
          </w:tcPr>
          <w:p>
            <w:pPr>
              <w:pStyle w:val="TableParagraph"/>
              <w:ind w:left="81" w:right="63"/>
              <w:rPr>
                <w:sz w:val="14"/>
              </w:rPr>
            </w:pPr>
            <w:r>
              <w:rPr>
                <w:color w:val="231F20"/>
                <w:spacing w:val="-5"/>
                <w:w w:val="95"/>
                <w:sz w:val="14"/>
              </w:rPr>
              <w:t>3.3</w:t>
            </w:r>
          </w:p>
        </w:tc>
        <w:tc>
          <w:tcPr>
            <w:tcW w:w="939" w:type="dxa"/>
            <w:shd w:val="clear" w:color="auto" w:fill="D4E3F5"/>
          </w:tcPr>
          <w:p>
            <w:pPr>
              <w:pStyle w:val="TableParagraph"/>
              <w:ind w:left="38" w:right="32"/>
              <w:rPr>
                <w:sz w:val="14"/>
              </w:rPr>
            </w:pPr>
            <w:r>
              <w:rPr>
                <w:color w:val="231F20"/>
                <w:spacing w:val="-5"/>
                <w:w w:val="95"/>
                <w:sz w:val="14"/>
              </w:rPr>
              <w:t>1.9</w:t>
            </w:r>
          </w:p>
        </w:tc>
        <w:tc>
          <w:tcPr>
            <w:tcW w:w="1005" w:type="dxa"/>
            <w:shd w:val="clear" w:color="auto" w:fill="D4E3F5"/>
          </w:tcPr>
          <w:p>
            <w:pPr>
              <w:pStyle w:val="TableParagraph"/>
              <w:ind w:left="63" w:right="13"/>
              <w:rPr>
                <w:sz w:val="14"/>
              </w:rPr>
            </w:pPr>
            <w:r>
              <w:rPr>
                <w:color w:val="231F20"/>
                <w:spacing w:val="-5"/>
                <w:w w:val="95"/>
                <w:sz w:val="14"/>
              </w:rPr>
              <w:t>5.6</w:t>
            </w:r>
          </w:p>
        </w:tc>
      </w:tr>
      <w:tr>
        <w:trPr>
          <w:trHeight w:val="259" w:hRule="atLeast"/>
        </w:trPr>
        <w:tc>
          <w:tcPr>
            <w:tcW w:w="1358" w:type="dxa"/>
          </w:tcPr>
          <w:p>
            <w:pPr>
              <w:pStyle w:val="TableParagraph"/>
              <w:ind w:left="80"/>
              <w:jc w:val="left"/>
              <w:rPr>
                <w:sz w:val="14"/>
              </w:rPr>
            </w:pPr>
            <w:r>
              <w:rPr>
                <w:color w:val="231F20"/>
                <w:spacing w:val="-2"/>
                <w:w w:val="85"/>
                <w:sz w:val="14"/>
              </w:rPr>
              <w:t>Guinea</w:t>
            </w:r>
          </w:p>
        </w:tc>
        <w:tc>
          <w:tcPr>
            <w:tcW w:w="1103" w:type="dxa"/>
          </w:tcPr>
          <w:p>
            <w:pPr>
              <w:pStyle w:val="TableParagraph"/>
              <w:ind w:right="439"/>
              <w:jc w:val="right"/>
              <w:rPr>
                <w:sz w:val="14"/>
              </w:rPr>
            </w:pPr>
            <w:r>
              <w:rPr>
                <w:color w:val="231F20"/>
                <w:spacing w:val="-5"/>
                <w:w w:val="95"/>
                <w:sz w:val="14"/>
              </w:rPr>
              <w:t>314</w:t>
            </w:r>
          </w:p>
        </w:tc>
        <w:tc>
          <w:tcPr>
            <w:tcW w:w="851" w:type="dxa"/>
          </w:tcPr>
          <w:p>
            <w:pPr>
              <w:pStyle w:val="TableParagraph"/>
              <w:ind w:left="81" w:right="136"/>
              <w:rPr>
                <w:sz w:val="14"/>
              </w:rPr>
            </w:pPr>
            <w:r>
              <w:rPr>
                <w:color w:val="231F20"/>
                <w:spacing w:val="-5"/>
                <w:w w:val="95"/>
                <w:sz w:val="14"/>
              </w:rPr>
              <w:t>9.4</w:t>
            </w:r>
          </w:p>
        </w:tc>
        <w:tc>
          <w:tcPr>
            <w:tcW w:w="1063" w:type="dxa"/>
          </w:tcPr>
          <w:p>
            <w:pPr>
              <w:pStyle w:val="TableParagraph"/>
              <w:ind w:left="71" w:right="53"/>
              <w:rPr>
                <w:sz w:val="14"/>
              </w:rPr>
            </w:pPr>
            <w:r>
              <w:rPr>
                <w:color w:val="231F20"/>
                <w:spacing w:val="-5"/>
                <w:w w:val="95"/>
                <w:sz w:val="14"/>
              </w:rPr>
              <w:t>8.7</w:t>
            </w:r>
          </w:p>
        </w:tc>
        <w:tc>
          <w:tcPr>
            <w:tcW w:w="1083" w:type="dxa"/>
          </w:tcPr>
          <w:p>
            <w:pPr>
              <w:pStyle w:val="TableParagraph"/>
              <w:ind w:left="392"/>
              <w:jc w:val="left"/>
              <w:rPr>
                <w:sz w:val="14"/>
              </w:rPr>
            </w:pPr>
            <w:r>
              <w:rPr>
                <w:color w:val="231F20"/>
                <w:spacing w:val="-5"/>
                <w:w w:val="95"/>
                <w:sz w:val="14"/>
              </w:rPr>
              <w:t>5.5</w:t>
            </w:r>
          </w:p>
        </w:tc>
        <w:tc>
          <w:tcPr>
            <w:tcW w:w="751" w:type="dxa"/>
          </w:tcPr>
          <w:p>
            <w:pPr>
              <w:pStyle w:val="TableParagraph"/>
              <w:ind w:left="46" w:right="71"/>
              <w:rPr>
                <w:sz w:val="14"/>
              </w:rPr>
            </w:pPr>
            <w:r>
              <w:rPr>
                <w:color w:val="231F20"/>
                <w:spacing w:val="-4"/>
                <w:w w:val="95"/>
                <w:sz w:val="14"/>
              </w:rPr>
              <w:t>12.3</w:t>
            </w:r>
          </w:p>
        </w:tc>
        <w:tc>
          <w:tcPr>
            <w:tcW w:w="240" w:type="dxa"/>
          </w:tcPr>
          <w:p>
            <w:pPr>
              <w:pStyle w:val="TableParagraph"/>
              <w:spacing w:before="0"/>
              <w:jc w:val="left"/>
              <w:rPr>
                <w:rFonts w:ascii="Times New Roman"/>
                <w:sz w:val="12"/>
              </w:rPr>
            </w:pPr>
          </w:p>
        </w:tc>
        <w:tc>
          <w:tcPr>
            <w:tcW w:w="851" w:type="dxa"/>
          </w:tcPr>
          <w:p>
            <w:pPr>
              <w:pStyle w:val="TableParagraph"/>
              <w:ind w:left="84" w:right="136"/>
              <w:rPr>
                <w:sz w:val="14"/>
              </w:rPr>
            </w:pPr>
            <w:r>
              <w:rPr>
                <w:color w:val="231F20"/>
                <w:spacing w:val="-5"/>
                <w:w w:val="95"/>
                <w:sz w:val="14"/>
              </w:rPr>
              <w:t>9.4</w:t>
            </w:r>
          </w:p>
        </w:tc>
        <w:tc>
          <w:tcPr>
            <w:tcW w:w="1073" w:type="dxa"/>
          </w:tcPr>
          <w:p>
            <w:pPr>
              <w:pStyle w:val="TableParagraph"/>
              <w:ind w:left="74" w:right="63"/>
              <w:rPr>
                <w:sz w:val="14"/>
              </w:rPr>
            </w:pPr>
            <w:r>
              <w:rPr>
                <w:color w:val="231F20"/>
                <w:spacing w:val="-5"/>
                <w:w w:val="95"/>
                <w:sz w:val="14"/>
              </w:rPr>
              <w:t>8.7</w:t>
            </w:r>
          </w:p>
        </w:tc>
        <w:tc>
          <w:tcPr>
            <w:tcW w:w="939" w:type="dxa"/>
          </w:tcPr>
          <w:p>
            <w:pPr>
              <w:pStyle w:val="TableParagraph"/>
              <w:ind w:left="32" w:right="32"/>
              <w:rPr>
                <w:sz w:val="14"/>
              </w:rPr>
            </w:pPr>
            <w:r>
              <w:rPr>
                <w:color w:val="231F20"/>
                <w:spacing w:val="-5"/>
                <w:w w:val="95"/>
                <w:sz w:val="14"/>
              </w:rPr>
              <w:t>5.5</w:t>
            </w:r>
          </w:p>
        </w:tc>
        <w:tc>
          <w:tcPr>
            <w:tcW w:w="1005" w:type="dxa"/>
          </w:tcPr>
          <w:p>
            <w:pPr>
              <w:pStyle w:val="TableParagraph"/>
              <w:ind w:left="63" w:right="72"/>
              <w:rPr>
                <w:sz w:val="14"/>
              </w:rPr>
            </w:pPr>
            <w:r>
              <w:rPr>
                <w:color w:val="231F20"/>
                <w:spacing w:val="-4"/>
                <w:w w:val="95"/>
                <w:sz w:val="14"/>
              </w:rPr>
              <w:t>12.3</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Guyana</w:t>
            </w:r>
          </w:p>
        </w:tc>
        <w:tc>
          <w:tcPr>
            <w:tcW w:w="1103" w:type="dxa"/>
            <w:shd w:val="clear" w:color="auto" w:fill="D4E3F5"/>
          </w:tcPr>
          <w:p>
            <w:pPr>
              <w:pStyle w:val="TableParagraph"/>
              <w:ind w:right="435"/>
              <w:jc w:val="right"/>
              <w:rPr>
                <w:sz w:val="14"/>
              </w:rPr>
            </w:pPr>
            <w:r>
              <w:rPr>
                <w:color w:val="231F20"/>
                <w:spacing w:val="-5"/>
                <w:w w:val="95"/>
                <w:sz w:val="14"/>
              </w:rPr>
              <w:t>250</w:t>
            </w:r>
          </w:p>
        </w:tc>
        <w:tc>
          <w:tcPr>
            <w:tcW w:w="851" w:type="dxa"/>
            <w:shd w:val="clear" w:color="auto" w:fill="D4E3F5"/>
          </w:tcPr>
          <w:p>
            <w:pPr>
              <w:pStyle w:val="TableParagraph"/>
              <w:ind w:left="82" w:right="136"/>
              <w:rPr>
                <w:sz w:val="14"/>
              </w:rPr>
            </w:pPr>
            <w:r>
              <w:rPr>
                <w:color w:val="231F20"/>
                <w:spacing w:val="-5"/>
                <w:w w:val="95"/>
                <w:sz w:val="14"/>
              </w:rPr>
              <w:t>8.6</w:t>
            </w:r>
          </w:p>
        </w:tc>
        <w:tc>
          <w:tcPr>
            <w:tcW w:w="1063" w:type="dxa"/>
            <w:shd w:val="clear" w:color="auto" w:fill="D4E3F5"/>
          </w:tcPr>
          <w:p>
            <w:pPr>
              <w:pStyle w:val="TableParagraph"/>
              <w:ind w:left="90" w:right="53"/>
              <w:rPr>
                <w:sz w:val="14"/>
              </w:rPr>
            </w:pPr>
            <w:r>
              <w:rPr>
                <w:color w:val="231F20"/>
                <w:spacing w:val="-5"/>
                <w:w w:val="95"/>
                <w:sz w:val="14"/>
              </w:rPr>
              <w:t>7.3</w:t>
            </w:r>
          </w:p>
        </w:tc>
        <w:tc>
          <w:tcPr>
            <w:tcW w:w="1083" w:type="dxa"/>
            <w:shd w:val="clear" w:color="auto" w:fill="D4E3F5"/>
          </w:tcPr>
          <w:p>
            <w:pPr>
              <w:pStyle w:val="TableParagraph"/>
              <w:ind w:left="391"/>
              <w:jc w:val="left"/>
              <w:rPr>
                <w:sz w:val="14"/>
              </w:rPr>
            </w:pPr>
            <w:r>
              <w:rPr>
                <w:color w:val="231F20"/>
                <w:spacing w:val="-5"/>
                <w:w w:val="95"/>
                <w:sz w:val="14"/>
              </w:rPr>
              <w:t>3.6</w:t>
            </w:r>
          </w:p>
        </w:tc>
        <w:tc>
          <w:tcPr>
            <w:tcW w:w="751" w:type="dxa"/>
            <w:shd w:val="clear" w:color="auto" w:fill="D4E3F5"/>
          </w:tcPr>
          <w:p>
            <w:pPr>
              <w:pStyle w:val="TableParagraph"/>
              <w:ind w:left="46" w:right="64"/>
              <w:rPr>
                <w:sz w:val="14"/>
              </w:rPr>
            </w:pPr>
            <w:r>
              <w:rPr>
                <w:color w:val="231F20"/>
                <w:spacing w:val="-4"/>
                <w:w w:val="95"/>
                <w:sz w:val="14"/>
              </w:rPr>
              <w:t>11.6</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5" w:right="136"/>
              <w:rPr>
                <w:sz w:val="14"/>
              </w:rPr>
            </w:pPr>
            <w:r>
              <w:rPr>
                <w:color w:val="231F20"/>
                <w:spacing w:val="-5"/>
                <w:w w:val="95"/>
                <w:sz w:val="14"/>
              </w:rPr>
              <w:t>8.6</w:t>
            </w:r>
          </w:p>
        </w:tc>
        <w:tc>
          <w:tcPr>
            <w:tcW w:w="1073" w:type="dxa"/>
            <w:shd w:val="clear" w:color="auto" w:fill="D4E3F5"/>
          </w:tcPr>
          <w:p>
            <w:pPr>
              <w:pStyle w:val="TableParagraph"/>
              <w:ind w:left="93" w:right="63"/>
              <w:rPr>
                <w:sz w:val="14"/>
              </w:rPr>
            </w:pPr>
            <w:r>
              <w:rPr>
                <w:color w:val="231F20"/>
                <w:spacing w:val="-5"/>
                <w:w w:val="95"/>
                <w:sz w:val="14"/>
              </w:rPr>
              <w:t>7.3</w:t>
            </w:r>
          </w:p>
        </w:tc>
        <w:tc>
          <w:tcPr>
            <w:tcW w:w="939" w:type="dxa"/>
            <w:shd w:val="clear" w:color="auto" w:fill="D4E3F5"/>
          </w:tcPr>
          <w:p>
            <w:pPr>
              <w:pStyle w:val="TableParagraph"/>
              <w:ind w:left="32" w:right="32"/>
              <w:rPr>
                <w:sz w:val="14"/>
              </w:rPr>
            </w:pPr>
            <w:r>
              <w:rPr>
                <w:color w:val="231F20"/>
                <w:spacing w:val="-5"/>
                <w:w w:val="95"/>
                <w:sz w:val="14"/>
              </w:rPr>
              <w:t>3.6</w:t>
            </w:r>
          </w:p>
        </w:tc>
        <w:tc>
          <w:tcPr>
            <w:tcW w:w="1005" w:type="dxa"/>
            <w:shd w:val="clear" w:color="auto" w:fill="D4E3F5"/>
          </w:tcPr>
          <w:p>
            <w:pPr>
              <w:pStyle w:val="TableParagraph"/>
              <w:ind w:left="63" w:right="64"/>
              <w:rPr>
                <w:sz w:val="14"/>
              </w:rPr>
            </w:pPr>
            <w:r>
              <w:rPr>
                <w:color w:val="231F20"/>
                <w:spacing w:val="-4"/>
                <w:w w:val="95"/>
                <w:sz w:val="14"/>
              </w:rPr>
              <w:t>11.6</w:t>
            </w:r>
          </w:p>
        </w:tc>
      </w:tr>
      <w:tr>
        <w:trPr>
          <w:trHeight w:val="259" w:hRule="atLeast"/>
        </w:trPr>
        <w:tc>
          <w:tcPr>
            <w:tcW w:w="1358" w:type="dxa"/>
          </w:tcPr>
          <w:p>
            <w:pPr>
              <w:pStyle w:val="TableParagraph"/>
              <w:ind w:left="80"/>
              <w:jc w:val="left"/>
              <w:rPr>
                <w:sz w:val="14"/>
              </w:rPr>
            </w:pPr>
            <w:r>
              <w:rPr>
                <w:color w:val="231F20"/>
                <w:spacing w:val="-2"/>
                <w:w w:val="90"/>
                <w:sz w:val="14"/>
              </w:rPr>
              <w:t>Haiti</w:t>
            </w:r>
          </w:p>
        </w:tc>
        <w:tc>
          <w:tcPr>
            <w:tcW w:w="1103" w:type="dxa"/>
          </w:tcPr>
          <w:p>
            <w:pPr>
              <w:pStyle w:val="TableParagraph"/>
              <w:ind w:right="435"/>
              <w:jc w:val="right"/>
              <w:rPr>
                <w:sz w:val="14"/>
              </w:rPr>
            </w:pPr>
            <w:r>
              <w:rPr>
                <w:color w:val="231F20"/>
                <w:spacing w:val="-5"/>
                <w:w w:val="95"/>
                <w:sz w:val="14"/>
              </w:rPr>
              <w:t>47</w:t>
            </w:r>
          </w:p>
        </w:tc>
        <w:tc>
          <w:tcPr>
            <w:tcW w:w="851" w:type="dxa"/>
          </w:tcPr>
          <w:p>
            <w:pPr>
              <w:pStyle w:val="TableParagraph"/>
              <w:ind w:left="29" w:right="136"/>
              <w:rPr>
                <w:sz w:val="14"/>
              </w:rPr>
            </w:pPr>
            <w:r>
              <w:rPr>
                <w:color w:val="231F20"/>
                <w:spacing w:val="-4"/>
                <w:w w:val="95"/>
                <w:sz w:val="14"/>
              </w:rPr>
              <w:t>11.5</w:t>
            </w:r>
          </w:p>
        </w:tc>
        <w:tc>
          <w:tcPr>
            <w:tcW w:w="1063" w:type="dxa"/>
          </w:tcPr>
          <w:p>
            <w:pPr>
              <w:pStyle w:val="TableParagraph"/>
              <w:ind w:left="38" w:right="75"/>
              <w:rPr>
                <w:sz w:val="14"/>
              </w:rPr>
            </w:pPr>
            <w:r>
              <w:rPr>
                <w:color w:val="231F20"/>
                <w:spacing w:val="-4"/>
                <w:w w:val="95"/>
                <w:sz w:val="14"/>
              </w:rPr>
              <w:t>10.0</w:t>
            </w:r>
          </w:p>
        </w:tc>
        <w:tc>
          <w:tcPr>
            <w:tcW w:w="1083" w:type="dxa"/>
          </w:tcPr>
          <w:p>
            <w:pPr>
              <w:pStyle w:val="TableParagraph"/>
              <w:ind w:left="391"/>
              <w:jc w:val="left"/>
              <w:rPr>
                <w:sz w:val="14"/>
              </w:rPr>
            </w:pPr>
            <w:r>
              <w:rPr>
                <w:color w:val="231F20"/>
                <w:spacing w:val="-5"/>
                <w:w w:val="95"/>
                <w:sz w:val="14"/>
              </w:rPr>
              <w:t>3.0</w:t>
            </w:r>
          </w:p>
        </w:tc>
        <w:tc>
          <w:tcPr>
            <w:tcW w:w="751" w:type="dxa"/>
          </w:tcPr>
          <w:p>
            <w:pPr>
              <w:pStyle w:val="TableParagraph"/>
              <w:ind w:left="46" w:right="71"/>
              <w:rPr>
                <w:sz w:val="14"/>
              </w:rPr>
            </w:pPr>
            <w:r>
              <w:rPr>
                <w:color w:val="231F20"/>
                <w:spacing w:val="-4"/>
                <w:w w:val="95"/>
                <w:sz w:val="14"/>
              </w:rPr>
              <w:t>15.2</w:t>
            </w:r>
          </w:p>
        </w:tc>
        <w:tc>
          <w:tcPr>
            <w:tcW w:w="240" w:type="dxa"/>
          </w:tcPr>
          <w:p>
            <w:pPr>
              <w:pStyle w:val="TableParagraph"/>
              <w:spacing w:before="0"/>
              <w:jc w:val="left"/>
              <w:rPr>
                <w:rFonts w:ascii="Times New Roman"/>
                <w:sz w:val="12"/>
              </w:rPr>
            </w:pPr>
          </w:p>
        </w:tc>
        <w:tc>
          <w:tcPr>
            <w:tcW w:w="851" w:type="dxa"/>
          </w:tcPr>
          <w:p>
            <w:pPr>
              <w:pStyle w:val="TableParagraph"/>
              <w:ind w:left="259"/>
              <w:jc w:val="left"/>
              <w:rPr>
                <w:sz w:val="14"/>
              </w:rPr>
            </w:pPr>
            <w:r>
              <w:rPr>
                <w:color w:val="231F20"/>
                <w:spacing w:val="-4"/>
                <w:w w:val="95"/>
                <w:sz w:val="14"/>
              </w:rPr>
              <w:t>11.5</w:t>
            </w:r>
          </w:p>
        </w:tc>
        <w:tc>
          <w:tcPr>
            <w:tcW w:w="1073" w:type="dxa"/>
          </w:tcPr>
          <w:p>
            <w:pPr>
              <w:pStyle w:val="TableParagraph"/>
              <w:ind w:left="30" w:right="75"/>
              <w:rPr>
                <w:sz w:val="14"/>
              </w:rPr>
            </w:pPr>
            <w:r>
              <w:rPr>
                <w:color w:val="231F20"/>
                <w:spacing w:val="-4"/>
                <w:w w:val="95"/>
                <w:sz w:val="14"/>
              </w:rPr>
              <w:t>10.0</w:t>
            </w:r>
          </w:p>
        </w:tc>
        <w:tc>
          <w:tcPr>
            <w:tcW w:w="939" w:type="dxa"/>
          </w:tcPr>
          <w:p>
            <w:pPr>
              <w:pStyle w:val="TableParagraph"/>
              <w:ind w:left="32" w:right="32"/>
              <w:rPr>
                <w:sz w:val="14"/>
              </w:rPr>
            </w:pPr>
            <w:r>
              <w:rPr>
                <w:color w:val="231F20"/>
                <w:spacing w:val="-5"/>
                <w:w w:val="95"/>
                <w:sz w:val="14"/>
              </w:rPr>
              <w:t>3.0</w:t>
            </w:r>
          </w:p>
        </w:tc>
        <w:tc>
          <w:tcPr>
            <w:tcW w:w="1005" w:type="dxa"/>
          </w:tcPr>
          <w:p>
            <w:pPr>
              <w:pStyle w:val="TableParagraph"/>
              <w:ind w:left="63" w:right="72"/>
              <w:rPr>
                <w:sz w:val="14"/>
              </w:rPr>
            </w:pPr>
            <w:r>
              <w:rPr>
                <w:color w:val="231F20"/>
                <w:spacing w:val="-4"/>
                <w:w w:val="95"/>
                <w:sz w:val="14"/>
              </w:rPr>
              <w:t>15.2</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Honduras</w:t>
            </w:r>
          </w:p>
        </w:tc>
        <w:tc>
          <w:tcPr>
            <w:tcW w:w="1103" w:type="dxa"/>
            <w:shd w:val="clear" w:color="auto" w:fill="D4E3F5"/>
          </w:tcPr>
          <w:p>
            <w:pPr>
              <w:pStyle w:val="TableParagraph"/>
              <w:ind w:right="434"/>
              <w:jc w:val="right"/>
              <w:rPr>
                <w:sz w:val="14"/>
              </w:rPr>
            </w:pPr>
            <w:r>
              <w:rPr>
                <w:color w:val="231F20"/>
                <w:spacing w:val="-2"/>
                <w:w w:val="95"/>
                <w:sz w:val="14"/>
              </w:rPr>
              <w:t>4,268</w:t>
            </w:r>
          </w:p>
        </w:tc>
        <w:tc>
          <w:tcPr>
            <w:tcW w:w="851" w:type="dxa"/>
            <w:shd w:val="clear" w:color="auto" w:fill="D4E3F5"/>
          </w:tcPr>
          <w:p>
            <w:pPr>
              <w:pStyle w:val="TableParagraph"/>
              <w:ind w:left="83" w:right="136"/>
              <w:rPr>
                <w:sz w:val="14"/>
              </w:rPr>
            </w:pPr>
            <w:r>
              <w:rPr>
                <w:color w:val="231F20"/>
                <w:spacing w:val="-5"/>
                <w:w w:val="95"/>
                <w:sz w:val="14"/>
              </w:rPr>
              <w:t>2.8</w:t>
            </w:r>
          </w:p>
        </w:tc>
        <w:tc>
          <w:tcPr>
            <w:tcW w:w="1063" w:type="dxa"/>
            <w:shd w:val="clear" w:color="auto" w:fill="D4E3F5"/>
          </w:tcPr>
          <w:p>
            <w:pPr>
              <w:pStyle w:val="TableParagraph"/>
              <w:ind w:left="77" w:right="53"/>
              <w:rPr>
                <w:sz w:val="14"/>
              </w:rPr>
            </w:pPr>
            <w:r>
              <w:rPr>
                <w:color w:val="231F20"/>
                <w:spacing w:val="-5"/>
                <w:w w:val="95"/>
                <w:sz w:val="14"/>
              </w:rPr>
              <w:t>2.0</w:t>
            </w:r>
          </w:p>
        </w:tc>
        <w:tc>
          <w:tcPr>
            <w:tcW w:w="1083" w:type="dxa"/>
            <w:shd w:val="clear" w:color="auto" w:fill="D4E3F5"/>
          </w:tcPr>
          <w:p>
            <w:pPr>
              <w:pStyle w:val="TableParagraph"/>
              <w:ind w:left="399"/>
              <w:jc w:val="left"/>
              <w:rPr>
                <w:sz w:val="14"/>
              </w:rPr>
            </w:pPr>
            <w:r>
              <w:rPr>
                <w:color w:val="231F20"/>
                <w:spacing w:val="-5"/>
                <w:w w:val="95"/>
                <w:sz w:val="14"/>
              </w:rPr>
              <w:t>1.6</w:t>
            </w:r>
          </w:p>
        </w:tc>
        <w:tc>
          <w:tcPr>
            <w:tcW w:w="751" w:type="dxa"/>
            <w:shd w:val="clear" w:color="auto" w:fill="D4E3F5"/>
          </w:tcPr>
          <w:p>
            <w:pPr>
              <w:pStyle w:val="TableParagraph"/>
              <w:ind w:left="59" w:right="45"/>
              <w:rPr>
                <w:sz w:val="14"/>
              </w:rPr>
            </w:pPr>
            <w:r>
              <w:rPr>
                <w:color w:val="231F20"/>
                <w:spacing w:val="-5"/>
                <w:w w:val="95"/>
                <w:sz w:val="14"/>
              </w:rPr>
              <w:t>3.1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0" w:right="136"/>
              <w:rPr>
                <w:sz w:val="14"/>
              </w:rPr>
            </w:pPr>
            <w:r>
              <w:rPr>
                <w:color w:val="231F20"/>
                <w:spacing w:val="-5"/>
                <w:w w:val="95"/>
                <w:sz w:val="14"/>
              </w:rPr>
              <w:t>2.7</w:t>
            </w:r>
          </w:p>
        </w:tc>
        <w:tc>
          <w:tcPr>
            <w:tcW w:w="1073" w:type="dxa"/>
            <w:shd w:val="clear" w:color="auto" w:fill="D4E3F5"/>
          </w:tcPr>
          <w:p>
            <w:pPr>
              <w:pStyle w:val="TableParagraph"/>
              <w:ind w:left="80" w:right="63"/>
              <w:rPr>
                <w:sz w:val="14"/>
              </w:rPr>
            </w:pPr>
            <w:r>
              <w:rPr>
                <w:color w:val="231F20"/>
                <w:spacing w:val="-5"/>
                <w:w w:val="95"/>
                <w:sz w:val="14"/>
              </w:rPr>
              <w:t>2.0</w:t>
            </w:r>
          </w:p>
        </w:tc>
        <w:tc>
          <w:tcPr>
            <w:tcW w:w="939" w:type="dxa"/>
            <w:shd w:val="clear" w:color="auto" w:fill="D4E3F5"/>
          </w:tcPr>
          <w:p>
            <w:pPr>
              <w:pStyle w:val="TableParagraph"/>
              <w:ind w:left="38" w:right="32"/>
              <w:rPr>
                <w:sz w:val="14"/>
              </w:rPr>
            </w:pPr>
            <w:r>
              <w:rPr>
                <w:color w:val="231F20"/>
                <w:spacing w:val="-5"/>
                <w:w w:val="95"/>
                <w:sz w:val="14"/>
              </w:rPr>
              <w:t>1.6</w:t>
            </w:r>
          </w:p>
        </w:tc>
        <w:tc>
          <w:tcPr>
            <w:tcW w:w="1005" w:type="dxa"/>
            <w:shd w:val="clear" w:color="auto" w:fill="D4E3F5"/>
          </w:tcPr>
          <w:p>
            <w:pPr>
              <w:pStyle w:val="TableParagraph"/>
              <w:ind w:left="63" w:right="32"/>
              <w:rPr>
                <w:sz w:val="14"/>
              </w:rPr>
            </w:pPr>
            <w:r>
              <w:rPr>
                <w:color w:val="231F20"/>
                <w:spacing w:val="-5"/>
                <w:w w:val="95"/>
                <w:sz w:val="14"/>
              </w:rPr>
              <w:t>3.1</w:t>
            </w:r>
          </w:p>
        </w:tc>
      </w:tr>
      <w:tr>
        <w:trPr>
          <w:trHeight w:val="259" w:hRule="atLeast"/>
        </w:trPr>
        <w:tc>
          <w:tcPr>
            <w:tcW w:w="1358" w:type="dxa"/>
          </w:tcPr>
          <w:p>
            <w:pPr>
              <w:pStyle w:val="TableParagraph"/>
              <w:ind w:left="80"/>
              <w:jc w:val="left"/>
              <w:rPr>
                <w:sz w:val="14"/>
              </w:rPr>
            </w:pPr>
            <w:r>
              <w:rPr>
                <w:color w:val="231F20"/>
                <w:w w:val="75"/>
                <w:sz w:val="14"/>
              </w:rPr>
              <w:t>Hong</w:t>
            </w:r>
            <w:r>
              <w:rPr>
                <w:color w:val="231F20"/>
                <w:spacing w:val="1"/>
                <w:sz w:val="14"/>
              </w:rPr>
              <w:t> </w:t>
            </w:r>
            <w:r>
              <w:rPr>
                <w:color w:val="231F20"/>
                <w:w w:val="75"/>
                <w:sz w:val="14"/>
              </w:rPr>
              <w:t>Kong</w:t>
            </w:r>
            <w:r>
              <w:rPr>
                <w:color w:val="231F20"/>
                <w:spacing w:val="2"/>
                <w:sz w:val="14"/>
              </w:rPr>
              <w:t> </w:t>
            </w:r>
            <w:r>
              <w:rPr>
                <w:color w:val="231F20"/>
                <w:w w:val="75"/>
                <w:sz w:val="14"/>
              </w:rPr>
              <w:t>SAR,</w:t>
            </w:r>
            <w:r>
              <w:rPr>
                <w:color w:val="231F20"/>
                <w:spacing w:val="1"/>
                <w:sz w:val="14"/>
              </w:rPr>
              <w:t> </w:t>
            </w:r>
            <w:r>
              <w:rPr>
                <w:color w:val="231F20"/>
                <w:spacing w:val="-2"/>
                <w:w w:val="75"/>
                <w:sz w:val="14"/>
              </w:rPr>
              <w:t>China</w:t>
            </w:r>
          </w:p>
        </w:tc>
        <w:tc>
          <w:tcPr>
            <w:tcW w:w="1103" w:type="dxa"/>
          </w:tcPr>
          <w:p>
            <w:pPr>
              <w:pStyle w:val="TableParagraph"/>
              <w:ind w:right="434"/>
              <w:jc w:val="right"/>
              <w:rPr>
                <w:sz w:val="14"/>
              </w:rPr>
            </w:pPr>
            <w:r>
              <w:rPr>
                <w:color w:val="231F20"/>
                <w:spacing w:val="-2"/>
                <w:w w:val="95"/>
                <w:sz w:val="14"/>
              </w:rPr>
              <w:t>5,794</w:t>
            </w:r>
          </w:p>
        </w:tc>
        <w:tc>
          <w:tcPr>
            <w:tcW w:w="851" w:type="dxa"/>
          </w:tcPr>
          <w:p>
            <w:pPr>
              <w:pStyle w:val="TableParagraph"/>
              <w:ind w:left="82" w:right="136"/>
              <w:rPr>
                <w:sz w:val="14"/>
              </w:rPr>
            </w:pPr>
            <w:r>
              <w:rPr>
                <w:color w:val="231F20"/>
                <w:spacing w:val="-5"/>
                <w:w w:val="95"/>
                <w:sz w:val="14"/>
              </w:rPr>
              <w:t>5.0</w:t>
            </w:r>
          </w:p>
        </w:tc>
        <w:tc>
          <w:tcPr>
            <w:tcW w:w="1063" w:type="dxa"/>
          </w:tcPr>
          <w:p>
            <w:pPr>
              <w:pStyle w:val="TableParagraph"/>
              <w:ind w:left="78" w:right="53"/>
              <w:rPr>
                <w:sz w:val="14"/>
              </w:rPr>
            </w:pPr>
            <w:r>
              <w:rPr>
                <w:color w:val="231F20"/>
                <w:spacing w:val="-5"/>
                <w:w w:val="95"/>
                <w:sz w:val="14"/>
              </w:rPr>
              <w:t>4.8</w:t>
            </w:r>
          </w:p>
        </w:tc>
        <w:tc>
          <w:tcPr>
            <w:tcW w:w="1083" w:type="dxa"/>
          </w:tcPr>
          <w:p>
            <w:pPr>
              <w:pStyle w:val="TableParagraph"/>
              <w:ind w:left="391"/>
              <w:jc w:val="left"/>
              <w:rPr>
                <w:sz w:val="14"/>
              </w:rPr>
            </w:pPr>
            <w:r>
              <w:rPr>
                <w:color w:val="231F20"/>
                <w:spacing w:val="-5"/>
                <w:w w:val="95"/>
                <w:sz w:val="14"/>
              </w:rPr>
              <w:t>3.4</w:t>
            </w:r>
          </w:p>
        </w:tc>
        <w:tc>
          <w:tcPr>
            <w:tcW w:w="751" w:type="dxa"/>
          </w:tcPr>
          <w:p>
            <w:pPr>
              <w:pStyle w:val="TableParagraph"/>
              <w:ind w:left="78" w:right="45"/>
              <w:rPr>
                <w:sz w:val="14"/>
              </w:rPr>
            </w:pPr>
            <w:r>
              <w:rPr>
                <w:color w:val="231F20"/>
                <w:spacing w:val="-5"/>
                <w:w w:val="95"/>
                <w:sz w:val="14"/>
              </w:rPr>
              <w:t>6.3</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5.0</w:t>
            </w:r>
          </w:p>
        </w:tc>
        <w:tc>
          <w:tcPr>
            <w:tcW w:w="1073" w:type="dxa"/>
          </w:tcPr>
          <w:p>
            <w:pPr>
              <w:pStyle w:val="TableParagraph"/>
              <w:ind w:left="81" w:right="63"/>
              <w:rPr>
                <w:sz w:val="14"/>
              </w:rPr>
            </w:pPr>
            <w:r>
              <w:rPr>
                <w:color w:val="231F20"/>
                <w:spacing w:val="-5"/>
                <w:w w:val="95"/>
                <w:sz w:val="14"/>
              </w:rPr>
              <w:t>4.8</w:t>
            </w:r>
          </w:p>
        </w:tc>
        <w:tc>
          <w:tcPr>
            <w:tcW w:w="939" w:type="dxa"/>
          </w:tcPr>
          <w:p>
            <w:pPr>
              <w:pStyle w:val="TableParagraph"/>
              <w:ind w:left="32" w:right="32"/>
              <w:rPr>
                <w:sz w:val="14"/>
              </w:rPr>
            </w:pPr>
            <w:r>
              <w:rPr>
                <w:color w:val="231F20"/>
                <w:spacing w:val="-5"/>
                <w:w w:val="95"/>
                <w:sz w:val="14"/>
              </w:rPr>
              <w:t>3.4</w:t>
            </w:r>
          </w:p>
        </w:tc>
        <w:tc>
          <w:tcPr>
            <w:tcW w:w="1005" w:type="dxa"/>
          </w:tcPr>
          <w:p>
            <w:pPr>
              <w:pStyle w:val="TableParagraph"/>
              <w:ind w:left="63" w:right="13"/>
              <w:rPr>
                <w:sz w:val="14"/>
              </w:rPr>
            </w:pPr>
            <w:r>
              <w:rPr>
                <w:color w:val="231F20"/>
                <w:spacing w:val="-5"/>
                <w:w w:val="95"/>
                <w:sz w:val="14"/>
              </w:rPr>
              <w:t>6.3</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Hungary</w:t>
            </w:r>
          </w:p>
        </w:tc>
        <w:tc>
          <w:tcPr>
            <w:tcW w:w="1103" w:type="dxa"/>
            <w:shd w:val="clear" w:color="auto" w:fill="D4E3F5"/>
          </w:tcPr>
          <w:p>
            <w:pPr>
              <w:pStyle w:val="TableParagraph"/>
              <w:ind w:right="435"/>
              <w:jc w:val="right"/>
              <w:rPr>
                <w:sz w:val="14"/>
              </w:rPr>
            </w:pPr>
            <w:r>
              <w:rPr>
                <w:color w:val="231F20"/>
                <w:spacing w:val="-2"/>
                <w:w w:val="95"/>
                <w:sz w:val="14"/>
              </w:rPr>
              <w:t>1,746</w:t>
            </w:r>
          </w:p>
        </w:tc>
        <w:tc>
          <w:tcPr>
            <w:tcW w:w="851" w:type="dxa"/>
            <w:shd w:val="clear" w:color="auto" w:fill="D4E3F5"/>
          </w:tcPr>
          <w:p>
            <w:pPr>
              <w:pStyle w:val="TableParagraph"/>
              <w:ind w:left="22" w:right="136"/>
              <w:rPr>
                <w:sz w:val="14"/>
              </w:rPr>
            </w:pPr>
            <w:r>
              <w:rPr>
                <w:color w:val="231F20"/>
                <w:spacing w:val="-4"/>
                <w:w w:val="95"/>
                <w:sz w:val="14"/>
              </w:rPr>
              <w:t>13.5</w:t>
            </w:r>
          </w:p>
        </w:tc>
        <w:tc>
          <w:tcPr>
            <w:tcW w:w="1063" w:type="dxa"/>
            <w:shd w:val="clear" w:color="auto" w:fill="D4E3F5"/>
          </w:tcPr>
          <w:p>
            <w:pPr>
              <w:pStyle w:val="TableParagraph"/>
              <w:ind w:left="38" w:right="64"/>
              <w:rPr>
                <w:sz w:val="14"/>
              </w:rPr>
            </w:pPr>
            <w:r>
              <w:rPr>
                <w:color w:val="231F20"/>
                <w:spacing w:val="-4"/>
                <w:w w:val="95"/>
                <w:sz w:val="14"/>
              </w:rPr>
              <w:t>11.5</w:t>
            </w:r>
          </w:p>
        </w:tc>
        <w:tc>
          <w:tcPr>
            <w:tcW w:w="1083" w:type="dxa"/>
            <w:shd w:val="clear" w:color="auto" w:fill="D4E3F5"/>
          </w:tcPr>
          <w:p>
            <w:pPr>
              <w:pStyle w:val="TableParagraph"/>
              <w:ind w:left="391"/>
              <w:jc w:val="left"/>
              <w:rPr>
                <w:sz w:val="14"/>
              </w:rPr>
            </w:pPr>
            <w:r>
              <w:rPr>
                <w:color w:val="231F20"/>
                <w:spacing w:val="-5"/>
                <w:w w:val="95"/>
                <w:sz w:val="14"/>
              </w:rPr>
              <w:t>8.3</w:t>
            </w:r>
          </w:p>
        </w:tc>
        <w:tc>
          <w:tcPr>
            <w:tcW w:w="751" w:type="dxa"/>
            <w:shd w:val="clear" w:color="auto" w:fill="D4E3F5"/>
          </w:tcPr>
          <w:p>
            <w:pPr>
              <w:pStyle w:val="TableParagraph"/>
              <w:ind w:left="46" w:right="72"/>
              <w:rPr>
                <w:sz w:val="14"/>
              </w:rPr>
            </w:pPr>
            <w:r>
              <w:rPr>
                <w:color w:val="231F20"/>
                <w:spacing w:val="-4"/>
                <w:w w:val="95"/>
                <w:sz w:val="14"/>
              </w:rPr>
              <w:t>16.2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6" w:right="136"/>
              <w:rPr>
                <w:sz w:val="14"/>
              </w:rPr>
            </w:pPr>
            <w:r>
              <w:rPr>
                <w:color w:val="231F20"/>
                <w:spacing w:val="-5"/>
                <w:w w:val="95"/>
                <w:sz w:val="14"/>
              </w:rPr>
              <w:t>8.8</w:t>
            </w:r>
          </w:p>
        </w:tc>
        <w:tc>
          <w:tcPr>
            <w:tcW w:w="1073" w:type="dxa"/>
            <w:shd w:val="clear" w:color="auto" w:fill="D4E3F5"/>
          </w:tcPr>
          <w:p>
            <w:pPr>
              <w:pStyle w:val="TableParagraph"/>
              <w:ind w:left="92" w:right="63"/>
              <w:rPr>
                <w:sz w:val="14"/>
              </w:rPr>
            </w:pPr>
            <w:r>
              <w:rPr>
                <w:color w:val="231F20"/>
                <w:spacing w:val="-5"/>
                <w:w w:val="95"/>
                <w:sz w:val="14"/>
              </w:rPr>
              <w:t>7.6</w:t>
            </w:r>
          </w:p>
        </w:tc>
        <w:tc>
          <w:tcPr>
            <w:tcW w:w="939" w:type="dxa"/>
            <w:shd w:val="clear" w:color="auto" w:fill="D4E3F5"/>
          </w:tcPr>
          <w:p>
            <w:pPr>
              <w:pStyle w:val="TableParagraph"/>
              <w:ind w:left="30" w:right="32"/>
              <w:rPr>
                <w:sz w:val="14"/>
              </w:rPr>
            </w:pPr>
            <w:r>
              <w:rPr>
                <w:color w:val="231F20"/>
                <w:spacing w:val="-5"/>
                <w:w w:val="95"/>
                <w:sz w:val="14"/>
              </w:rPr>
              <w:t>4.7</w:t>
            </w:r>
          </w:p>
        </w:tc>
        <w:tc>
          <w:tcPr>
            <w:tcW w:w="1005" w:type="dxa"/>
            <w:shd w:val="clear" w:color="auto" w:fill="D4E3F5"/>
          </w:tcPr>
          <w:p>
            <w:pPr>
              <w:pStyle w:val="TableParagraph"/>
              <w:ind w:left="63" w:right="73"/>
              <w:rPr>
                <w:sz w:val="14"/>
              </w:rPr>
            </w:pPr>
            <w:r>
              <w:rPr>
                <w:color w:val="231F20"/>
                <w:spacing w:val="-4"/>
                <w:w w:val="95"/>
                <w:sz w:val="14"/>
              </w:rPr>
              <w:t>10.3</w:t>
            </w:r>
          </w:p>
        </w:tc>
      </w:tr>
      <w:tr>
        <w:trPr>
          <w:trHeight w:val="259" w:hRule="atLeast"/>
        </w:trPr>
        <w:tc>
          <w:tcPr>
            <w:tcW w:w="1358" w:type="dxa"/>
          </w:tcPr>
          <w:p>
            <w:pPr>
              <w:pStyle w:val="TableParagraph"/>
              <w:ind w:left="80"/>
              <w:jc w:val="left"/>
              <w:rPr>
                <w:sz w:val="14"/>
              </w:rPr>
            </w:pPr>
            <w:r>
              <w:rPr>
                <w:color w:val="231F20"/>
                <w:spacing w:val="-4"/>
                <w:w w:val="85"/>
                <w:sz w:val="14"/>
              </w:rPr>
              <w:t>India</w:t>
            </w:r>
          </w:p>
        </w:tc>
        <w:tc>
          <w:tcPr>
            <w:tcW w:w="1103" w:type="dxa"/>
          </w:tcPr>
          <w:p>
            <w:pPr>
              <w:pStyle w:val="TableParagraph"/>
              <w:ind w:right="430"/>
              <w:jc w:val="right"/>
              <w:rPr>
                <w:sz w:val="14"/>
              </w:rPr>
            </w:pPr>
            <w:r>
              <w:rPr>
                <w:color w:val="231F20"/>
                <w:spacing w:val="-2"/>
                <w:w w:val="95"/>
                <w:sz w:val="14"/>
              </w:rPr>
              <w:t>129,906</w:t>
            </w:r>
          </w:p>
        </w:tc>
        <w:tc>
          <w:tcPr>
            <w:tcW w:w="851" w:type="dxa"/>
          </w:tcPr>
          <w:p>
            <w:pPr>
              <w:pStyle w:val="TableParagraph"/>
              <w:ind w:left="82" w:right="136"/>
              <w:rPr>
                <w:sz w:val="14"/>
              </w:rPr>
            </w:pPr>
            <w:r>
              <w:rPr>
                <w:color w:val="231F20"/>
                <w:spacing w:val="-5"/>
                <w:w w:val="95"/>
                <w:sz w:val="14"/>
              </w:rPr>
              <w:t>5.0</w:t>
            </w:r>
          </w:p>
        </w:tc>
        <w:tc>
          <w:tcPr>
            <w:tcW w:w="1063" w:type="dxa"/>
          </w:tcPr>
          <w:p>
            <w:pPr>
              <w:pStyle w:val="TableParagraph"/>
              <w:ind w:left="78" w:right="53"/>
              <w:rPr>
                <w:sz w:val="14"/>
              </w:rPr>
            </w:pPr>
            <w:r>
              <w:rPr>
                <w:color w:val="231F20"/>
                <w:spacing w:val="-5"/>
                <w:w w:val="95"/>
                <w:sz w:val="14"/>
              </w:rPr>
              <w:t>4.3</w:t>
            </w:r>
          </w:p>
        </w:tc>
        <w:tc>
          <w:tcPr>
            <w:tcW w:w="1083" w:type="dxa"/>
          </w:tcPr>
          <w:p>
            <w:pPr>
              <w:pStyle w:val="TableParagraph"/>
              <w:ind w:left="391"/>
              <w:jc w:val="left"/>
              <w:rPr>
                <w:sz w:val="14"/>
              </w:rPr>
            </w:pPr>
            <w:r>
              <w:rPr>
                <w:color w:val="231F20"/>
                <w:spacing w:val="-5"/>
                <w:w w:val="95"/>
                <w:sz w:val="14"/>
              </w:rPr>
              <w:t>3.0</w:t>
            </w:r>
          </w:p>
        </w:tc>
        <w:tc>
          <w:tcPr>
            <w:tcW w:w="751" w:type="dxa"/>
          </w:tcPr>
          <w:p>
            <w:pPr>
              <w:pStyle w:val="TableParagraph"/>
              <w:ind w:left="76" w:right="45"/>
              <w:rPr>
                <w:sz w:val="14"/>
              </w:rPr>
            </w:pPr>
            <w:r>
              <w:rPr>
                <w:color w:val="231F20"/>
                <w:spacing w:val="-5"/>
                <w:w w:val="95"/>
                <w:sz w:val="14"/>
              </w:rPr>
              <w:t>6.4</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4.6</w:t>
            </w:r>
          </w:p>
        </w:tc>
        <w:tc>
          <w:tcPr>
            <w:tcW w:w="1073" w:type="dxa"/>
          </w:tcPr>
          <w:p>
            <w:pPr>
              <w:pStyle w:val="TableParagraph"/>
              <w:ind w:left="63" w:right="63"/>
              <w:rPr>
                <w:sz w:val="14"/>
              </w:rPr>
            </w:pPr>
            <w:r>
              <w:rPr>
                <w:color w:val="231F20"/>
                <w:spacing w:val="-5"/>
                <w:w w:val="95"/>
                <w:sz w:val="14"/>
              </w:rPr>
              <w:t>4.1</w:t>
            </w:r>
          </w:p>
        </w:tc>
        <w:tc>
          <w:tcPr>
            <w:tcW w:w="939" w:type="dxa"/>
          </w:tcPr>
          <w:p>
            <w:pPr>
              <w:pStyle w:val="TableParagraph"/>
              <w:ind w:left="32" w:right="32"/>
              <w:rPr>
                <w:sz w:val="14"/>
              </w:rPr>
            </w:pPr>
            <w:r>
              <w:rPr>
                <w:color w:val="231F20"/>
                <w:spacing w:val="-5"/>
                <w:w w:val="95"/>
                <w:sz w:val="14"/>
              </w:rPr>
              <w:t>2.9</w:t>
            </w:r>
          </w:p>
        </w:tc>
        <w:tc>
          <w:tcPr>
            <w:tcW w:w="1005" w:type="dxa"/>
          </w:tcPr>
          <w:p>
            <w:pPr>
              <w:pStyle w:val="TableParagraph"/>
              <w:ind w:left="63" w:right="14"/>
              <w:rPr>
                <w:sz w:val="14"/>
              </w:rPr>
            </w:pPr>
            <w:r>
              <w:rPr>
                <w:color w:val="231F20"/>
                <w:spacing w:val="-5"/>
                <w:w w:val="95"/>
                <w:sz w:val="14"/>
              </w:rPr>
              <w:t>5.9</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Indonesia</w:t>
            </w:r>
          </w:p>
        </w:tc>
        <w:tc>
          <w:tcPr>
            <w:tcW w:w="1103" w:type="dxa"/>
            <w:shd w:val="clear" w:color="auto" w:fill="D4E3F5"/>
          </w:tcPr>
          <w:p>
            <w:pPr>
              <w:pStyle w:val="TableParagraph"/>
              <w:ind w:right="430"/>
              <w:jc w:val="right"/>
              <w:rPr>
                <w:sz w:val="14"/>
              </w:rPr>
            </w:pPr>
            <w:r>
              <w:rPr>
                <w:color w:val="231F20"/>
                <w:spacing w:val="-2"/>
                <w:w w:val="95"/>
                <w:sz w:val="14"/>
              </w:rPr>
              <w:t>46,046</w:t>
            </w:r>
          </w:p>
        </w:tc>
        <w:tc>
          <w:tcPr>
            <w:tcW w:w="851" w:type="dxa"/>
            <w:shd w:val="clear" w:color="auto" w:fill="D4E3F5"/>
          </w:tcPr>
          <w:p>
            <w:pPr>
              <w:pStyle w:val="TableParagraph"/>
              <w:ind w:left="84" w:right="136"/>
              <w:rPr>
                <w:sz w:val="14"/>
              </w:rPr>
            </w:pPr>
            <w:r>
              <w:rPr>
                <w:color w:val="231F20"/>
                <w:spacing w:val="-5"/>
                <w:w w:val="95"/>
                <w:sz w:val="14"/>
              </w:rPr>
              <w:t>3.5</w:t>
            </w:r>
          </w:p>
        </w:tc>
        <w:tc>
          <w:tcPr>
            <w:tcW w:w="1063" w:type="dxa"/>
            <w:shd w:val="clear" w:color="auto" w:fill="D4E3F5"/>
          </w:tcPr>
          <w:p>
            <w:pPr>
              <w:pStyle w:val="TableParagraph"/>
              <w:ind w:left="79" w:right="53"/>
              <w:rPr>
                <w:sz w:val="14"/>
              </w:rPr>
            </w:pPr>
            <w:r>
              <w:rPr>
                <w:color w:val="231F20"/>
                <w:spacing w:val="-5"/>
                <w:w w:val="95"/>
                <w:sz w:val="14"/>
              </w:rPr>
              <w:t>3.3</w:t>
            </w:r>
          </w:p>
        </w:tc>
        <w:tc>
          <w:tcPr>
            <w:tcW w:w="1083" w:type="dxa"/>
            <w:shd w:val="clear" w:color="auto" w:fill="D4E3F5"/>
          </w:tcPr>
          <w:p>
            <w:pPr>
              <w:pStyle w:val="TableParagraph"/>
              <w:ind w:left="392"/>
              <w:jc w:val="left"/>
              <w:rPr>
                <w:sz w:val="14"/>
              </w:rPr>
            </w:pPr>
            <w:r>
              <w:rPr>
                <w:color w:val="231F20"/>
                <w:spacing w:val="-5"/>
                <w:w w:val="95"/>
                <w:sz w:val="14"/>
              </w:rPr>
              <w:t>2.2</w:t>
            </w:r>
          </w:p>
        </w:tc>
        <w:tc>
          <w:tcPr>
            <w:tcW w:w="751" w:type="dxa"/>
            <w:shd w:val="clear" w:color="auto" w:fill="D4E3F5"/>
          </w:tcPr>
          <w:p>
            <w:pPr>
              <w:pStyle w:val="TableParagraph"/>
              <w:ind w:left="79" w:right="45"/>
              <w:rPr>
                <w:sz w:val="14"/>
              </w:rPr>
            </w:pPr>
            <w:r>
              <w:rPr>
                <w:color w:val="231F20"/>
                <w:spacing w:val="-5"/>
                <w:w w:val="95"/>
                <w:sz w:val="14"/>
              </w:rPr>
              <w:t>4.6</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7" w:right="136"/>
              <w:rPr>
                <w:sz w:val="14"/>
              </w:rPr>
            </w:pPr>
            <w:r>
              <w:rPr>
                <w:color w:val="231F20"/>
                <w:spacing w:val="-5"/>
                <w:w w:val="95"/>
                <w:sz w:val="14"/>
              </w:rPr>
              <w:t>3.5</w:t>
            </w:r>
          </w:p>
        </w:tc>
        <w:tc>
          <w:tcPr>
            <w:tcW w:w="1073" w:type="dxa"/>
            <w:shd w:val="clear" w:color="auto" w:fill="D4E3F5"/>
          </w:tcPr>
          <w:p>
            <w:pPr>
              <w:pStyle w:val="TableParagraph"/>
              <w:ind w:left="81" w:right="63"/>
              <w:rPr>
                <w:sz w:val="14"/>
              </w:rPr>
            </w:pPr>
            <w:r>
              <w:rPr>
                <w:color w:val="231F20"/>
                <w:spacing w:val="-5"/>
                <w:w w:val="95"/>
                <w:sz w:val="14"/>
              </w:rPr>
              <w:t>3.3</w:t>
            </w:r>
          </w:p>
        </w:tc>
        <w:tc>
          <w:tcPr>
            <w:tcW w:w="939" w:type="dxa"/>
            <w:shd w:val="clear" w:color="auto" w:fill="D4E3F5"/>
          </w:tcPr>
          <w:p>
            <w:pPr>
              <w:pStyle w:val="TableParagraph"/>
              <w:ind w:left="33" w:right="32"/>
              <w:rPr>
                <w:sz w:val="14"/>
              </w:rPr>
            </w:pPr>
            <w:r>
              <w:rPr>
                <w:color w:val="231F20"/>
                <w:spacing w:val="-5"/>
                <w:w w:val="95"/>
                <w:sz w:val="14"/>
              </w:rPr>
              <w:t>2.2</w:t>
            </w:r>
          </w:p>
        </w:tc>
        <w:tc>
          <w:tcPr>
            <w:tcW w:w="1005" w:type="dxa"/>
            <w:shd w:val="clear" w:color="auto" w:fill="D4E3F5"/>
          </w:tcPr>
          <w:p>
            <w:pPr>
              <w:pStyle w:val="TableParagraph"/>
              <w:ind w:left="63" w:right="13"/>
              <w:rPr>
                <w:sz w:val="14"/>
              </w:rPr>
            </w:pPr>
            <w:r>
              <w:rPr>
                <w:color w:val="231F20"/>
                <w:spacing w:val="-5"/>
                <w:w w:val="95"/>
                <w:sz w:val="14"/>
              </w:rPr>
              <w:t>4.6</w:t>
            </w:r>
          </w:p>
        </w:tc>
      </w:tr>
      <w:tr>
        <w:trPr>
          <w:trHeight w:val="259" w:hRule="atLeast"/>
        </w:trPr>
        <w:tc>
          <w:tcPr>
            <w:tcW w:w="1358" w:type="dxa"/>
          </w:tcPr>
          <w:p>
            <w:pPr>
              <w:pStyle w:val="TableParagraph"/>
              <w:ind w:left="80"/>
              <w:jc w:val="left"/>
              <w:rPr>
                <w:sz w:val="14"/>
              </w:rPr>
            </w:pPr>
            <w:r>
              <w:rPr>
                <w:color w:val="231F20"/>
                <w:spacing w:val="-4"/>
                <w:w w:val="85"/>
                <w:sz w:val="14"/>
              </w:rPr>
              <w:t>Iraq</w:t>
            </w:r>
          </w:p>
        </w:tc>
        <w:tc>
          <w:tcPr>
            <w:tcW w:w="1103" w:type="dxa"/>
          </w:tcPr>
          <w:p>
            <w:pPr>
              <w:pStyle w:val="TableParagraph"/>
              <w:ind w:right="436"/>
              <w:jc w:val="right"/>
              <w:rPr>
                <w:sz w:val="14"/>
              </w:rPr>
            </w:pPr>
            <w:r>
              <w:rPr>
                <w:color w:val="231F20"/>
                <w:spacing w:val="-10"/>
                <w:w w:val="95"/>
                <w:sz w:val="14"/>
              </w:rPr>
              <w:t>4</w:t>
            </w:r>
          </w:p>
        </w:tc>
        <w:tc>
          <w:tcPr>
            <w:tcW w:w="851" w:type="dxa"/>
          </w:tcPr>
          <w:p>
            <w:pPr>
              <w:pStyle w:val="TableParagraph"/>
              <w:ind w:left="83" w:right="136"/>
              <w:rPr>
                <w:sz w:val="14"/>
              </w:rPr>
            </w:pPr>
            <w:r>
              <w:rPr>
                <w:color w:val="231F20"/>
                <w:spacing w:val="-5"/>
                <w:w w:val="95"/>
                <w:sz w:val="14"/>
              </w:rPr>
              <w:t>6.2</w:t>
            </w:r>
          </w:p>
        </w:tc>
        <w:tc>
          <w:tcPr>
            <w:tcW w:w="1063" w:type="dxa"/>
          </w:tcPr>
          <w:p>
            <w:pPr>
              <w:pStyle w:val="TableParagraph"/>
              <w:ind w:left="58" w:right="53"/>
              <w:rPr>
                <w:sz w:val="14"/>
              </w:rPr>
            </w:pPr>
            <w:r>
              <w:rPr>
                <w:color w:val="231F20"/>
                <w:spacing w:val="-5"/>
                <w:w w:val="95"/>
                <w:sz w:val="14"/>
              </w:rPr>
              <w:t>6.1</w:t>
            </w:r>
          </w:p>
        </w:tc>
        <w:tc>
          <w:tcPr>
            <w:tcW w:w="1083" w:type="dxa"/>
          </w:tcPr>
          <w:p>
            <w:pPr>
              <w:pStyle w:val="TableParagraph"/>
              <w:ind w:left="393"/>
              <w:jc w:val="left"/>
              <w:rPr>
                <w:sz w:val="14"/>
              </w:rPr>
            </w:pPr>
            <w:r>
              <w:rPr>
                <w:color w:val="231F20"/>
                <w:spacing w:val="-5"/>
                <w:w w:val="95"/>
                <w:sz w:val="14"/>
              </w:rPr>
              <w:t>4.8</w:t>
            </w:r>
          </w:p>
        </w:tc>
        <w:tc>
          <w:tcPr>
            <w:tcW w:w="751" w:type="dxa"/>
          </w:tcPr>
          <w:p>
            <w:pPr>
              <w:pStyle w:val="TableParagraph"/>
              <w:ind w:left="91" w:right="45"/>
              <w:rPr>
                <w:sz w:val="14"/>
              </w:rPr>
            </w:pPr>
            <w:r>
              <w:rPr>
                <w:color w:val="231F20"/>
                <w:spacing w:val="-5"/>
                <w:w w:val="95"/>
                <w:sz w:val="14"/>
              </w:rPr>
              <w:t>7.5</w:t>
            </w:r>
          </w:p>
        </w:tc>
        <w:tc>
          <w:tcPr>
            <w:tcW w:w="240" w:type="dxa"/>
          </w:tcPr>
          <w:p>
            <w:pPr>
              <w:pStyle w:val="TableParagraph"/>
              <w:spacing w:before="0"/>
              <w:jc w:val="left"/>
              <w:rPr>
                <w:rFonts w:ascii="Times New Roman"/>
                <w:sz w:val="12"/>
              </w:rPr>
            </w:pPr>
          </w:p>
        </w:tc>
        <w:tc>
          <w:tcPr>
            <w:tcW w:w="851" w:type="dxa"/>
          </w:tcPr>
          <w:p>
            <w:pPr>
              <w:pStyle w:val="TableParagraph"/>
              <w:ind w:left="86" w:right="136"/>
              <w:rPr>
                <w:sz w:val="14"/>
              </w:rPr>
            </w:pPr>
            <w:r>
              <w:rPr>
                <w:color w:val="231F20"/>
                <w:spacing w:val="-5"/>
                <w:w w:val="95"/>
                <w:sz w:val="14"/>
              </w:rPr>
              <w:t>6.2</w:t>
            </w:r>
          </w:p>
        </w:tc>
        <w:tc>
          <w:tcPr>
            <w:tcW w:w="1073" w:type="dxa"/>
          </w:tcPr>
          <w:p>
            <w:pPr>
              <w:pStyle w:val="TableParagraph"/>
              <w:ind w:left="62" w:right="63"/>
              <w:rPr>
                <w:sz w:val="14"/>
              </w:rPr>
            </w:pPr>
            <w:r>
              <w:rPr>
                <w:color w:val="231F20"/>
                <w:spacing w:val="-5"/>
                <w:w w:val="95"/>
                <w:sz w:val="14"/>
              </w:rPr>
              <w:t>6.1</w:t>
            </w:r>
          </w:p>
        </w:tc>
        <w:tc>
          <w:tcPr>
            <w:tcW w:w="939" w:type="dxa"/>
          </w:tcPr>
          <w:p>
            <w:pPr>
              <w:pStyle w:val="TableParagraph"/>
              <w:ind w:left="32" w:right="32"/>
              <w:rPr>
                <w:sz w:val="14"/>
              </w:rPr>
            </w:pPr>
            <w:r>
              <w:rPr>
                <w:color w:val="231F20"/>
                <w:spacing w:val="-5"/>
                <w:w w:val="95"/>
                <w:sz w:val="14"/>
              </w:rPr>
              <w:t>4.8</w:t>
            </w:r>
          </w:p>
        </w:tc>
        <w:tc>
          <w:tcPr>
            <w:tcW w:w="1005" w:type="dxa"/>
          </w:tcPr>
          <w:p>
            <w:pPr>
              <w:pStyle w:val="TableParagraph"/>
              <w:ind w:left="76" w:right="13"/>
              <w:rPr>
                <w:sz w:val="14"/>
              </w:rPr>
            </w:pPr>
            <w:r>
              <w:rPr>
                <w:color w:val="231F20"/>
                <w:spacing w:val="-5"/>
                <w:w w:val="95"/>
                <w:sz w:val="14"/>
              </w:rPr>
              <w:t>7.5</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Ireland</w:t>
            </w:r>
          </w:p>
        </w:tc>
        <w:tc>
          <w:tcPr>
            <w:tcW w:w="1103" w:type="dxa"/>
            <w:shd w:val="clear" w:color="auto" w:fill="D4E3F5"/>
          </w:tcPr>
          <w:p>
            <w:pPr>
              <w:pStyle w:val="TableParagraph"/>
              <w:ind w:right="434"/>
              <w:jc w:val="right"/>
              <w:rPr>
                <w:sz w:val="14"/>
              </w:rPr>
            </w:pPr>
            <w:r>
              <w:rPr>
                <w:color w:val="231F20"/>
                <w:spacing w:val="-2"/>
                <w:w w:val="95"/>
                <w:sz w:val="14"/>
              </w:rPr>
              <w:t>3,263</w:t>
            </w:r>
          </w:p>
        </w:tc>
        <w:tc>
          <w:tcPr>
            <w:tcW w:w="851" w:type="dxa"/>
            <w:shd w:val="clear" w:color="auto" w:fill="D4E3F5"/>
          </w:tcPr>
          <w:p>
            <w:pPr>
              <w:pStyle w:val="TableParagraph"/>
              <w:ind w:left="94" w:right="136"/>
              <w:rPr>
                <w:sz w:val="14"/>
              </w:rPr>
            </w:pPr>
            <w:r>
              <w:rPr>
                <w:color w:val="231F20"/>
                <w:spacing w:val="-5"/>
                <w:w w:val="95"/>
                <w:sz w:val="14"/>
              </w:rPr>
              <w:t>7.6</w:t>
            </w:r>
          </w:p>
        </w:tc>
        <w:tc>
          <w:tcPr>
            <w:tcW w:w="1063" w:type="dxa"/>
            <w:shd w:val="clear" w:color="auto" w:fill="D4E3F5"/>
          </w:tcPr>
          <w:p>
            <w:pPr>
              <w:pStyle w:val="TableParagraph"/>
              <w:ind w:left="71" w:right="53"/>
              <w:rPr>
                <w:sz w:val="14"/>
              </w:rPr>
            </w:pPr>
            <w:r>
              <w:rPr>
                <w:color w:val="231F20"/>
                <w:spacing w:val="-5"/>
                <w:w w:val="95"/>
                <w:sz w:val="14"/>
              </w:rPr>
              <w:t>6.7</w:t>
            </w:r>
          </w:p>
        </w:tc>
        <w:tc>
          <w:tcPr>
            <w:tcW w:w="1083" w:type="dxa"/>
            <w:shd w:val="clear" w:color="auto" w:fill="D4E3F5"/>
          </w:tcPr>
          <w:p>
            <w:pPr>
              <w:pStyle w:val="TableParagraph"/>
              <w:ind w:left="393"/>
              <w:jc w:val="left"/>
              <w:rPr>
                <w:sz w:val="14"/>
              </w:rPr>
            </w:pPr>
            <w:r>
              <w:rPr>
                <w:color w:val="231F20"/>
                <w:spacing w:val="-5"/>
                <w:w w:val="95"/>
                <w:sz w:val="14"/>
              </w:rPr>
              <w:t>4.9</w:t>
            </w:r>
          </w:p>
        </w:tc>
        <w:tc>
          <w:tcPr>
            <w:tcW w:w="751" w:type="dxa"/>
            <w:shd w:val="clear" w:color="auto" w:fill="D4E3F5"/>
          </w:tcPr>
          <w:p>
            <w:pPr>
              <w:pStyle w:val="TableParagraph"/>
              <w:ind w:left="77" w:right="45"/>
              <w:rPr>
                <w:sz w:val="14"/>
              </w:rPr>
            </w:pPr>
            <w:r>
              <w:rPr>
                <w:color w:val="231F20"/>
                <w:spacing w:val="-5"/>
                <w:w w:val="95"/>
                <w:sz w:val="14"/>
              </w:rPr>
              <w:t>9.4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97" w:right="136"/>
              <w:rPr>
                <w:sz w:val="14"/>
              </w:rPr>
            </w:pPr>
            <w:r>
              <w:rPr>
                <w:color w:val="231F20"/>
                <w:spacing w:val="-5"/>
                <w:w w:val="95"/>
                <w:sz w:val="14"/>
              </w:rPr>
              <w:t>7.6</w:t>
            </w:r>
          </w:p>
        </w:tc>
        <w:tc>
          <w:tcPr>
            <w:tcW w:w="1073" w:type="dxa"/>
            <w:shd w:val="clear" w:color="auto" w:fill="D4E3F5"/>
          </w:tcPr>
          <w:p>
            <w:pPr>
              <w:pStyle w:val="TableParagraph"/>
              <w:ind w:left="74" w:right="63"/>
              <w:rPr>
                <w:sz w:val="14"/>
              </w:rPr>
            </w:pPr>
            <w:r>
              <w:rPr>
                <w:color w:val="231F20"/>
                <w:spacing w:val="-5"/>
                <w:w w:val="95"/>
                <w:sz w:val="14"/>
              </w:rPr>
              <w:t>6.7</w:t>
            </w:r>
          </w:p>
        </w:tc>
        <w:tc>
          <w:tcPr>
            <w:tcW w:w="939" w:type="dxa"/>
            <w:shd w:val="clear" w:color="auto" w:fill="D4E3F5"/>
          </w:tcPr>
          <w:p>
            <w:pPr>
              <w:pStyle w:val="TableParagraph"/>
              <w:ind w:left="32" w:right="32"/>
              <w:rPr>
                <w:sz w:val="14"/>
              </w:rPr>
            </w:pPr>
            <w:r>
              <w:rPr>
                <w:color w:val="231F20"/>
                <w:spacing w:val="-5"/>
                <w:w w:val="95"/>
                <w:sz w:val="14"/>
              </w:rPr>
              <w:t>4.9</w:t>
            </w:r>
          </w:p>
        </w:tc>
        <w:tc>
          <w:tcPr>
            <w:tcW w:w="1005" w:type="dxa"/>
            <w:shd w:val="clear" w:color="auto" w:fill="D4E3F5"/>
          </w:tcPr>
          <w:p>
            <w:pPr>
              <w:pStyle w:val="TableParagraph"/>
              <w:ind w:left="64" w:right="13"/>
              <w:rPr>
                <w:sz w:val="14"/>
              </w:rPr>
            </w:pPr>
            <w:r>
              <w:rPr>
                <w:color w:val="231F20"/>
                <w:spacing w:val="-5"/>
                <w:w w:val="95"/>
                <w:sz w:val="14"/>
              </w:rPr>
              <w:t>9.3</w:t>
            </w:r>
          </w:p>
        </w:tc>
      </w:tr>
      <w:tr>
        <w:trPr>
          <w:trHeight w:val="259" w:hRule="atLeast"/>
        </w:trPr>
        <w:tc>
          <w:tcPr>
            <w:tcW w:w="1358" w:type="dxa"/>
          </w:tcPr>
          <w:p>
            <w:pPr>
              <w:pStyle w:val="TableParagraph"/>
              <w:ind w:left="80"/>
              <w:jc w:val="left"/>
              <w:rPr>
                <w:sz w:val="14"/>
              </w:rPr>
            </w:pPr>
            <w:r>
              <w:rPr>
                <w:color w:val="231F20"/>
                <w:spacing w:val="-2"/>
                <w:w w:val="85"/>
                <w:sz w:val="14"/>
              </w:rPr>
              <w:t>Israel</w:t>
            </w:r>
          </w:p>
        </w:tc>
        <w:tc>
          <w:tcPr>
            <w:tcW w:w="1103" w:type="dxa"/>
          </w:tcPr>
          <w:p>
            <w:pPr>
              <w:pStyle w:val="TableParagraph"/>
              <w:ind w:right="435"/>
              <w:jc w:val="right"/>
              <w:rPr>
                <w:sz w:val="14"/>
              </w:rPr>
            </w:pPr>
            <w:r>
              <w:rPr>
                <w:color w:val="231F20"/>
                <w:spacing w:val="-2"/>
                <w:w w:val="95"/>
                <w:sz w:val="14"/>
              </w:rPr>
              <w:t>7,059</w:t>
            </w:r>
          </w:p>
        </w:tc>
        <w:tc>
          <w:tcPr>
            <w:tcW w:w="851" w:type="dxa"/>
          </w:tcPr>
          <w:p>
            <w:pPr>
              <w:pStyle w:val="TableParagraph"/>
              <w:ind w:left="84" w:right="136"/>
              <w:rPr>
                <w:sz w:val="14"/>
              </w:rPr>
            </w:pPr>
            <w:r>
              <w:rPr>
                <w:color w:val="231F20"/>
                <w:spacing w:val="-5"/>
                <w:w w:val="95"/>
                <w:sz w:val="14"/>
              </w:rPr>
              <w:t>3.3</w:t>
            </w:r>
          </w:p>
        </w:tc>
        <w:tc>
          <w:tcPr>
            <w:tcW w:w="1063" w:type="dxa"/>
          </w:tcPr>
          <w:p>
            <w:pPr>
              <w:pStyle w:val="TableParagraph"/>
              <w:ind w:left="77" w:right="53"/>
              <w:rPr>
                <w:sz w:val="14"/>
              </w:rPr>
            </w:pPr>
            <w:r>
              <w:rPr>
                <w:color w:val="231F20"/>
                <w:spacing w:val="-5"/>
                <w:w w:val="95"/>
                <w:sz w:val="14"/>
              </w:rPr>
              <w:t>2.5</w:t>
            </w:r>
          </w:p>
        </w:tc>
        <w:tc>
          <w:tcPr>
            <w:tcW w:w="1083" w:type="dxa"/>
          </w:tcPr>
          <w:p>
            <w:pPr>
              <w:pStyle w:val="TableParagraph"/>
              <w:ind w:left="399"/>
              <w:jc w:val="left"/>
              <w:rPr>
                <w:sz w:val="14"/>
              </w:rPr>
            </w:pPr>
            <w:r>
              <w:rPr>
                <w:color w:val="231F20"/>
                <w:spacing w:val="-5"/>
                <w:w w:val="95"/>
                <w:sz w:val="14"/>
              </w:rPr>
              <w:t>1.9</w:t>
            </w:r>
          </w:p>
        </w:tc>
        <w:tc>
          <w:tcPr>
            <w:tcW w:w="751" w:type="dxa"/>
          </w:tcPr>
          <w:p>
            <w:pPr>
              <w:pStyle w:val="TableParagraph"/>
              <w:ind w:left="76" w:right="45"/>
              <w:rPr>
                <w:sz w:val="14"/>
              </w:rPr>
            </w:pPr>
            <w:r>
              <w:rPr>
                <w:color w:val="231F20"/>
                <w:spacing w:val="-5"/>
                <w:w w:val="95"/>
                <w:sz w:val="14"/>
              </w:rPr>
              <w:t>3.4</w:t>
            </w:r>
          </w:p>
        </w:tc>
        <w:tc>
          <w:tcPr>
            <w:tcW w:w="240" w:type="dxa"/>
          </w:tcPr>
          <w:p>
            <w:pPr>
              <w:pStyle w:val="TableParagraph"/>
              <w:spacing w:before="0"/>
              <w:jc w:val="left"/>
              <w:rPr>
                <w:rFonts w:ascii="Times New Roman"/>
                <w:sz w:val="12"/>
              </w:rPr>
            </w:pPr>
          </w:p>
        </w:tc>
        <w:tc>
          <w:tcPr>
            <w:tcW w:w="851" w:type="dxa"/>
          </w:tcPr>
          <w:p>
            <w:pPr>
              <w:pStyle w:val="TableParagraph"/>
              <w:ind w:left="86" w:right="136"/>
              <w:rPr>
                <w:sz w:val="14"/>
              </w:rPr>
            </w:pPr>
            <w:r>
              <w:rPr>
                <w:color w:val="231F20"/>
                <w:spacing w:val="-5"/>
                <w:w w:val="95"/>
                <w:sz w:val="14"/>
              </w:rPr>
              <w:t>3.2</w:t>
            </w:r>
          </w:p>
        </w:tc>
        <w:tc>
          <w:tcPr>
            <w:tcW w:w="1073" w:type="dxa"/>
          </w:tcPr>
          <w:p>
            <w:pPr>
              <w:pStyle w:val="TableParagraph"/>
              <w:ind w:left="80" w:right="63"/>
              <w:rPr>
                <w:sz w:val="14"/>
              </w:rPr>
            </w:pPr>
            <w:r>
              <w:rPr>
                <w:color w:val="231F20"/>
                <w:spacing w:val="-5"/>
                <w:w w:val="95"/>
                <w:sz w:val="14"/>
              </w:rPr>
              <w:t>2.5</w:t>
            </w:r>
          </w:p>
        </w:tc>
        <w:tc>
          <w:tcPr>
            <w:tcW w:w="939" w:type="dxa"/>
          </w:tcPr>
          <w:p>
            <w:pPr>
              <w:pStyle w:val="TableParagraph"/>
              <w:ind w:left="38" w:right="32"/>
              <w:rPr>
                <w:sz w:val="14"/>
              </w:rPr>
            </w:pPr>
            <w:r>
              <w:rPr>
                <w:color w:val="231F20"/>
                <w:spacing w:val="-5"/>
                <w:w w:val="95"/>
                <w:sz w:val="14"/>
              </w:rPr>
              <w:t>1.9</w:t>
            </w:r>
          </w:p>
        </w:tc>
        <w:tc>
          <w:tcPr>
            <w:tcW w:w="1005" w:type="dxa"/>
          </w:tcPr>
          <w:p>
            <w:pPr>
              <w:pStyle w:val="TableParagraph"/>
              <w:ind w:left="63" w:right="16"/>
              <w:rPr>
                <w:sz w:val="14"/>
              </w:rPr>
            </w:pPr>
            <w:r>
              <w:rPr>
                <w:color w:val="231F20"/>
                <w:spacing w:val="-5"/>
                <w:w w:val="95"/>
                <w:sz w:val="14"/>
              </w:rPr>
              <w:t>3.4</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Italy</w:t>
            </w:r>
          </w:p>
        </w:tc>
        <w:tc>
          <w:tcPr>
            <w:tcW w:w="1103" w:type="dxa"/>
            <w:shd w:val="clear" w:color="auto" w:fill="D4E3F5"/>
          </w:tcPr>
          <w:p>
            <w:pPr>
              <w:pStyle w:val="TableParagraph"/>
              <w:ind w:right="434"/>
              <w:jc w:val="right"/>
              <w:rPr>
                <w:sz w:val="14"/>
              </w:rPr>
            </w:pPr>
            <w:r>
              <w:rPr>
                <w:color w:val="231F20"/>
                <w:spacing w:val="-2"/>
                <w:w w:val="95"/>
                <w:sz w:val="14"/>
              </w:rPr>
              <w:t>36,798</w:t>
            </w:r>
          </w:p>
        </w:tc>
        <w:tc>
          <w:tcPr>
            <w:tcW w:w="851" w:type="dxa"/>
            <w:shd w:val="clear" w:color="auto" w:fill="D4E3F5"/>
          </w:tcPr>
          <w:p>
            <w:pPr>
              <w:pStyle w:val="TableParagraph"/>
              <w:ind w:left="93" w:right="136"/>
              <w:rPr>
                <w:sz w:val="14"/>
              </w:rPr>
            </w:pPr>
            <w:r>
              <w:rPr>
                <w:color w:val="231F20"/>
                <w:spacing w:val="-5"/>
                <w:w w:val="95"/>
                <w:sz w:val="14"/>
              </w:rPr>
              <w:t>7.4</w:t>
            </w:r>
          </w:p>
        </w:tc>
        <w:tc>
          <w:tcPr>
            <w:tcW w:w="1063" w:type="dxa"/>
            <w:shd w:val="clear" w:color="auto" w:fill="D4E3F5"/>
          </w:tcPr>
          <w:p>
            <w:pPr>
              <w:pStyle w:val="TableParagraph"/>
              <w:ind w:left="78" w:right="53"/>
              <w:rPr>
                <w:sz w:val="14"/>
              </w:rPr>
            </w:pPr>
            <w:r>
              <w:rPr>
                <w:color w:val="231F20"/>
                <w:spacing w:val="-5"/>
                <w:w w:val="95"/>
                <w:sz w:val="14"/>
              </w:rPr>
              <w:t>6.2</w:t>
            </w:r>
          </w:p>
        </w:tc>
        <w:tc>
          <w:tcPr>
            <w:tcW w:w="1083" w:type="dxa"/>
            <w:shd w:val="clear" w:color="auto" w:fill="D4E3F5"/>
          </w:tcPr>
          <w:p>
            <w:pPr>
              <w:pStyle w:val="TableParagraph"/>
              <w:ind w:left="393"/>
              <w:jc w:val="left"/>
              <w:rPr>
                <w:sz w:val="14"/>
              </w:rPr>
            </w:pPr>
            <w:r>
              <w:rPr>
                <w:color w:val="231F20"/>
                <w:spacing w:val="-5"/>
                <w:w w:val="95"/>
                <w:sz w:val="14"/>
              </w:rPr>
              <w:t>4.4</w:t>
            </w:r>
          </w:p>
        </w:tc>
        <w:tc>
          <w:tcPr>
            <w:tcW w:w="751" w:type="dxa"/>
            <w:shd w:val="clear" w:color="auto" w:fill="D4E3F5"/>
          </w:tcPr>
          <w:p>
            <w:pPr>
              <w:pStyle w:val="TableParagraph"/>
              <w:ind w:left="61" w:right="45"/>
              <w:rPr>
                <w:sz w:val="14"/>
              </w:rPr>
            </w:pPr>
            <w:r>
              <w:rPr>
                <w:color w:val="231F20"/>
                <w:spacing w:val="-5"/>
                <w:w w:val="95"/>
                <w:sz w:val="14"/>
              </w:rPr>
              <w:t>9.1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97" w:right="136"/>
              <w:rPr>
                <w:sz w:val="14"/>
              </w:rPr>
            </w:pPr>
            <w:r>
              <w:rPr>
                <w:color w:val="231F20"/>
                <w:spacing w:val="-5"/>
                <w:w w:val="95"/>
                <w:sz w:val="14"/>
              </w:rPr>
              <w:t>7.0</w:t>
            </w:r>
          </w:p>
        </w:tc>
        <w:tc>
          <w:tcPr>
            <w:tcW w:w="1073" w:type="dxa"/>
            <w:shd w:val="clear" w:color="auto" w:fill="D4E3F5"/>
          </w:tcPr>
          <w:p>
            <w:pPr>
              <w:pStyle w:val="TableParagraph"/>
              <w:ind w:left="79" w:right="63"/>
              <w:rPr>
                <w:sz w:val="14"/>
              </w:rPr>
            </w:pPr>
            <w:r>
              <w:rPr>
                <w:color w:val="231F20"/>
                <w:spacing w:val="-5"/>
                <w:w w:val="95"/>
                <w:sz w:val="14"/>
              </w:rPr>
              <w:t>6.0</w:t>
            </w:r>
          </w:p>
        </w:tc>
        <w:tc>
          <w:tcPr>
            <w:tcW w:w="939" w:type="dxa"/>
            <w:shd w:val="clear" w:color="auto" w:fill="D4E3F5"/>
          </w:tcPr>
          <w:p>
            <w:pPr>
              <w:pStyle w:val="TableParagraph"/>
              <w:ind w:left="17" w:right="32"/>
              <w:rPr>
                <w:sz w:val="14"/>
              </w:rPr>
            </w:pPr>
            <w:r>
              <w:rPr>
                <w:color w:val="231F20"/>
                <w:spacing w:val="-5"/>
                <w:w w:val="95"/>
                <w:sz w:val="14"/>
              </w:rPr>
              <w:t>4.1</w:t>
            </w:r>
          </w:p>
        </w:tc>
        <w:tc>
          <w:tcPr>
            <w:tcW w:w="1005" w:type="dxa"/>
            <w:shd w:val="clear" w:color="auto" w:fill="D4E3F5"/>
          </w:tcPr>
          <w:p>
            <w:pPr>
              <w:pStyle w:val="TableParagraph"/>
              <w:ind w:left="65" w:right="13"/>
              <w:rPr>
                <w:sz w:val="14"/>
              </w:rPr>
            </w:pPr>
            <w:r>
              <w:rPr>
                <w:color w:val="231F20"/>
                <w:spacing w:val="-5"/>
                <w:w w:val="95"/>
                <w:sz w:val="14"/>
              </w:rPr>
              <w:t>8.5</w:t>
            </w:r>
          </w:p>
        </w:tc>
      </w:tr>
      <w:tr>
        <w:trPr>
          <w:trHeight w:val="259" w:hRule="atLeast"/>
        </w:trPr>
        <w:tc>
          <w:tcPr>
            <w:tcW w:w="1358" w:type="dxa"/>
          </w:tcPr>
          <w:p>
            <w:pPr>
              <w:pStyle w:val="TableParagraph"/>
              <w:ind w:left="80"/>
              <w:jc w:val="left"/>
              <w:rPr>
                <w:sz w:val="14"/>
              </w:rPr>
            </w:pPr>
            <w:r>
              <w:rPr>
                <w:color w:val="231F20"/>
                <w:spacing w:val="-2"/>
                <w:w w:val="90"/>
                <w:sz w:val="14"/>
              </w:rPr>
              <w:t>Jamaica</w:t>
            </w:r>
          </w:p>
        </w:tc>
        <w:tc>
          <w:tcPr>
            <w:tcW w:w="1103" w:type="dxa"/>
          </w:tcPr>
          <w:p>
            <w:pPr>
              <w:pStyle w:val="TableParagraph"/>
              <w:ind w:right="430"/>
              <w:jc w:val="right"/>
              <w:rPr>
                <w:sz w:val="14"/>
              </w:rPr>
            </w:pPr>
            <w:r>
              <w:rPr>
                <w:color w:val="231F20"/>
                <w:spacing w:val="-5"/>
                <w:w w:val="95"/>
                <w:sz w:val="14"/>
              </w:rPr>
              <w:t>22</w:t>
            </w:r>
          </w:p>
        </w:tc>
        <w:tc>
          <w:tcPr>
            <w:tcW w:w="851" w:type="dxa"/>
          </w:tcPr>
          <w:p>
            <w:pPr>
              <w:pStyle w:val="TableParagraph"/>
              <w:ind w:left="20" w:right="136"/>
              <w:rPr>
                <w:sz w:val="14"/>
              </w:rPr>
            </w:pPr>
            <w:r>
              <w:rPr>
                <w:color w:val="231F20"/>
                <w:spacing w:val="-4"/>
                <w:w w:val="95"/>
                <w:sz w:val="14"/>
              </w:rPr>
              <w:t>12.8</w:t>
            </w:r>
          </w:p>
        </w:tc>
        <w:tc>
          <w:tcPr>
            <w:tcW w:w="1063" w:type="dxa"/>
          </w:tcPr>
          <w:p>
            <w:pPr>
              <w:pStyle w:val="TableParagraph"/>
              <w:ind w:left="77" w:right="53"/>
              <w:rPr>
                <w:sz w:val="14"/>
              </w:rPr>
            </w:pPr>
            <w:r>
              <w:rPr>
                <w:color w:val="231F20"/>
                <w:spacing w:val="-5"/>
                <w:w w:val="95"/>
                <w:sz w:val="14"/>
              </w:rPr>
              <w:t>9.9</w:t>
            </w:r>
          </w:p>
        </w:tc>
        <w:tc>
          <w:tcPr>
            <w:tcW w:w="1083" w:type="dxa"/>
          </w:tcPr>
          <w:p>
            <w:pPr>
              <w:pStyle w:val="TableParagraph"/>
              <w:ind w:left="392"/>
              <w:jc w:val="left"/>
              <w:rPr>
                <w:sz w:val="14"/>
              </w:rPr>
            </w:pPr>
            <w:r>
              <w:rPr>
                <w:color w:val="231F20"/>
                <w:spacing w:val="-5"/>
                <w:w w:val="95"/>
                <w:sz w:val="14"/>
              </w:rPr>
              <w:t>5.2</w:t>
            </w:r>
          </w:p>
        </w:tc>
        <w:tc>
          <w:tcPr>
            <w:tcW w:w="751" w:type="dxa"/>
          </w:tcPr>
          <w:p>
            <w:pPr>
              <w:pStyle w:val="TableParagraph"/>
              <w:ind w:left="46" w:right="76"/>
              <w:rPr>
                <w:sz w:val="14"/>
              </w:rPr>
            </w:pPr>
            <w:r>
              <w:rPr>
                <w:color w:val="231F20"/>
                <w:spacing w:val="-4"/>
                <w:w w:val="95"/>
                <w:sz w:val="14"/>
              </w:rPr>
              <w:t>15.7</w:t>
            </w:r>
          </w:p>
        </w:tc>
        <w:tc>
          <w:tcPr>
            <w:tcW w:w="240" w:type="dxa"/>
          </w:tcPr>
          <w:p>
            <w:pPr>
              <w:pStyle w:val="TableParagraph"/>
              <w:spacing w:before="0"/>
              <w:jc w:val="left"/>
              <w:rPr>
                <w:rFonts w:ascii="Times New Roman"/>
                <w:sz w:val="12"/>
              </w:rPr>
            </w:pPr>
          </w:p>
        </w:tc>
        <w:tc>
          <w:tcPr>
            <w:tcW w:w="851" w:type="dxa"/>
          </w:tcPr>
          <w:p>
            <w:pPr>
              <w:pStyle w:val="TableParagraph"/>
              <w:ind w:left="251"/>
              <w:jc w:val="left"/>
              <w:rPr>
                <w:sz w:val="14"/>
              </w:rPr>
            </w:pPr>
            <w:r>
              <w:rPr>
                <w:color w:val="231F20"/>
                <w:spacing w:val="-4"/>
                <w:w w:val="95"/>
                <w:sz w:val="14"/>
              </w:rPr>
              <w:t>12.8</w:t>
            </w:r>
          </w:p>
        </w:tc>
        <w:tc>
          <w:tcPr>
            <w:tcW w:w="1073" w:type="dxa"/>
          </w:tcPr>
          <w:p>
            <w:pPr>
              <w:pStyle w:val="TableParagraph"/>
              <w:ind w:left="80" w:right="63"/>
              <w:rPr>
                <w:sz w:val="14"/>
              </w:rPr>
            </w:pPr>
            <w:r>
              <w:rPr>
                <w:color w:val="231F20"/>
                <w:spacing w:val="-5"/>
                <w:w w:val="95"/>
                <w:sz w:val="14"/>
              </w:rPr>
              <w:t>9.9</w:t>
            </w:r>
          </w:p>
        </w:tc>
        <w:tc>
          <w:tcPr>
            <w:tcW w:w="939" w:type="dxa"/>
          </w:tcPr>
          <w:p>
            <w:pPr>
              <w:pStyle w:val="TableParagraph"/>
              <w:ind w:left="32" w:right="32"/>
              <w:rPr>
                <w:sz w:val="14"/>
              </w:rPr>
            </w:pPr>
            <w:r>
              <w:rPr>
                <w:color w:val="231F20"/>
                <w:spacing w:val="-5"/>
                <w:w w:val="95"/>
                <w:sz w:val="14"/>
              </w:rPr>
              <w:t>5.2</w:t>
            </w:r>
          </w:p>
        </w:tc>
        <w:tc>
          <w:tcPr>
            <w:tcW w:w="1005" w:type="dxa"/>
          </w:tcPr>
          <w:p>
            <w:pPr>
              <w:pStyle w:val="TableParagraph"/>
              <w:ind w:left="63" w:right="76"/>
              <w:rPr>
                <w:sz w:val="14"/>
              </w:rPr>
            </w:pPr>
            <w:r>
              <w:rPr>
                <w:color w:val="231F20"/>
                <w:spacing w:val="-4"/>
                <w:w w:val="95"/>
                <w:sz w:val="14"/>
              </w:rPr>
              <w:t>15.7</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Japan</w:t>
            </w:r>
          </w:p>
        </w:tc>
        <w:tc>
          <w:tcPr>
            <w:tcW w:w="1103" w:type="dxa"/>
            <w:shd w:val="clear" w:color="auto" w:fill="D4E3F5"/>
          </w:tcPr>
          <w:p>
            <w:pPr>
              <w:pStyle w:val="TableParagraph"/>
              <w:ind w:right="435"/>
              <w:jc w:val="right"/>
              <w:rPr>
                <w:sz w:val="14"/>
              </w:rPr>
            </w:pPr>
            <w:r>
              <w:rPr>
                <w:color w:val="231F20"/>
                <w:spacing w:val="-2"/>
                <w:w w:val="95"/>
                <w:sz w:val="14"/>
              </w:rPr>
              <w:t>21,019</w:t>
            </w:r>
          </w:p>
        </w:tc>
        <w:tc>
          <w:tcPr>
            <w:tcW w:w="851" w:type="dxa"/>
            <w:shd w:val="clear" w:color="auto" w:fill="D4E3F5"/>
          </w:tcPr>
          <w:p>
            <w:pPr>
              <w:pStyle w:val="TableParagraph"/>
              <w:ind w:left="83" w:right="136"/>
              <w:rPr>
                <w:sz w:val="14"/>
              </w:rPr>
            </w:pPr>
            <w:r>
              <w:rPr>
                <w:color w:val="231F20"/>
                <w:spacing w:val="-5"/>
                <w:w w:val="95"/>
                <w:sz w:val="14"/>
              </w:rPr>
              <w:t>5.2</w:t>
            </w:r>
          </w:p>
        </w:tc>
        <w:tc>
          <w:tcPr>
            <w:tcW w:w="1063" w:type="dxa"/>
            <w:shd w:val="clear" w:color="auto" w:fill="D4E3F5"/>
          </w:tcPr>
          <w:p>
            <w:pPr>
              <w:pStyle w:val="TableParagraph"/>
              <w:ind w:left="78" w:right="53"/>
              <w:rPr>
                <w:sz w:val="14"/>
              </w:rPr>
            </w:pPr>
            <w:r>
              <w:rPr>
                <w:color w:val="231F20"/>
                <w:spacing w:val="-5"/>
                <w:w w:val="95"/>
                <w:sz w:val="14"/>
              </w:rPr>
              <w:t>4.5</w:t>
            </w:r>
          </w:p>
        </w:tc>
        <w:tc>
          <w:tcPr>
            <w:tcW w:w="1083" w:type="dxa"/>
            <w:shd w:val="clear" w:color="auto" w:fill="D4E3F5"/>
          </w:tcPr>
          <w:p>
            <w:pPr>
              <w:pStyle w:val="TableParagraph"/>
              <w:ind w:left="392"/>
              <w:jc w:val="left"/>
              <w:rPr>
                <w:sz w:val="14"/>
              </w:rPr>
            </w:pPr>
            <w:r>
              <w:rPr>
                <w:color w:val="231F20"/>
                <w:spacing w:val="-5"/>
                <w:w w:val="95"/>
                <w:sz w:val="14"/>
              </w:rPr>
              <w:t>2.4</w:t>
            </w:r>
          </w:p>
        </w:tc>
        <w:tc>
          <w:tcPr>
            <w:tcW w:w="751" w:type="dxa"/>
            <w:shd w:val="clear" w:color="auto" w:fill="D4E3F5"/>
          </w:tcPr>
          <w:p>
            <w:pPr>
              <w:pStyle w:val="TableParagraph"/>
              <w:ind w:left="81" w:right="45"/>
              <w:rPr>
                <w:sz w:val="14"/>
              </w:rPr>
            </w:pPr>
            <w:r>
              <w:rPr>
                <w:color w:val="231F20"/>
                <w:spacing w:val="-5"/>
                <w:w w:val="95"/>
                <w:sz w:val="14"/>
              </w:rPr>
              <w:t>7.1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91" w:right="136"/>
              <w:rPr>
                <w:sz w:val="14"/>
              </w:rPr>
            </w:pPr>
            <w:r>
              <w:rPr>
                <w:color w:val="231F20"/>
                <w:spacing w:val="-5"/>
                <w:w w:val="95"/>
                <w:sz w:val="14"/>
              </w:rPr>
              <w:t>1.0</w:t>
            </w:r>
          </w:p>
        </w:tc>
        <w:tc>
          <w:tcPr>
            <w:tcW w:w="1073" w:type="dxa"/>
            <w:shd w:val="clear" w:color="auto" w:fill="D4E3F5"/>
          </w:tcPr>
          <w:p>
            <w:pPr>
              <w:pStyle w:val="TableParagraph"/>
              <w:ind w:left="78" w:right="63"/>
              <w:rPr>
                <w:sz w:val="14"/>
              </w:rPr>
            </w:pPr>
            <w:r>
              <w:rPr>
                <w:color w:val="231F20"/>
                <w:spacing w:val="-5"/>
                <w:w w:val="95"/>
                <w:sz w:val="14"/>
              </w:rPr>
              <w:t>0.4</w:t>
            </w:r>
          </w:p>
        </w:tc>
        <w:tc>
          <w:tcPr>
            <w:tcW w:w="939" w:type="dxa"/>
            <w:shd w:val="clear" w:color="auto" w:fill="D4E3F5"/>
          </w:tcPr>
          <w:p>
            <w:pPr>
              <w:pStyle w:val="TableParagraph"/>
              <w:ind w:left="32" w:right="32"/>
              <w:rPr>
                <w:sz w:val="14"/>
              </w:rPr>
            </w:pPr>
            <w:r>
              <w:rPr>
                <w:color w:val="231F20"/>
                <w:spacing w:val="-5"/>
                <w:w w:val="95"/>
                <w:sz w:val="14"/>
              </w:rPr>
              <w:t>0.3</w:t>
            </w:r>
          </w:p>
        </w:tc>
        <w:tc>
          <w:tcPr>
            <w:tcW w:w="1005" w:type="dxa"/>
            <w:shd w:val="clear" w:color="auto" w:fill="D4E3F5"/>
          </w:tcPr>
          <w:p>
            <w:pPr>
              <w:pStyle w:val="TableParagraph"/>
              <w:ind w:left="64" w:right="13"/>
              <w:rPr>
                <w:sz w:val="14"/>
              </w:rPr>
            </w:pPr>
            <w:r>
              <w:rPr>
                <w:color w:val="231F20"/>
                <w:spacing w:val="-5"/>
                <w:w w:val="95"/>
                <w:sz w:val="14"/>
              </w:rPr>
              <w:t>0.6</w:t>
            </w:r>
          </w:p>
        </w:tc>
      </w:tr>
      <w:tr>
        <w:trPr>
          <w:trHeight w:val="259" w:hRule="atLeast"/>
        </w:trPr>
        <w:tc>
          <w:tcPr>
            <w:tcW w:w="1358" w:type="dxa"/>
          </w:tcPr>
          <w:p>
            <w:pPr>
              <w:pStyle w:val="TableParagraph"/>
              <w:ind w:left="80"/>
              <w:jc w:val="left"/>
              <w:rPr>
                <w:sz w:val="14"/>
              </w:rPr>
            </w:pPr>
            <w:r>
              <w:rPr>
                <w:color w:val="231F20"/>
                <w:spacing w:val="-2"/>
                <w:w w:val="90"/>
                <w:sz w:val="14"/>
              </w:rPr>
              <w:t>Jordan</w:t>
            </w:r>
          </w:p>
        </w:tc>
        <w:tc>
          <w:tcPr>
            <w:tcW w:w="1103" w:type="dxa"/>
          </w:tcPr>
          <w:p>
            <w:pPr>
              <w:pStyle w:val="TableParagraph"/>
              <w:ind w:right="434"/>
              <w:jc w:val="right"/>
              <w:rPr>
                <w:sz w:val="14"/>
              </w:rPr>
            </w:pPr>
            <w:r>
              <w:rPr>
                <w:color w:val="231F20"/>
                <w:spacing w:val="-2"/>
                <w:w w:val="95"/>
                <w:sz w:val="14"/>
              </w:rPr>
              <w:t>2,287</w:t>
            </w:r>
          </w:p>
        </w:tc>
        <w:tc>
          <w:tcPr>
            <w:tcW w:w="851" w:type="dxa"/>
          </w:tcPr>
          <w:p>
            <w:pPr>
              <w:pStyle w:val="TableParagraph"/>
              <w:ind w:left="82" w:right="136"/>
              <w:rPr>
                <w:sz w:val="14"/>
              </w:rPr>
            </w:pPr>
            <w:r>
              <w:rPr>
                <w:color w:val="231F20"/>
                <w:spacing w:val="-5"/>
                <w:w w:val="95"/>
                <w:sz w:val="14"/>
              </w:rPr>
              <w:t>5.3</w:t>
            </w:r>
          </w:p>
        </w:tc>
        <w:tc>
          <w:tcPr>
            <w:tcW w:w="1063" w:type="dxa"/>
          </w:tcPr>
          <w:p>
            <w:pPr>
              <w:pStyle w:val="TableParagraph"/>
              <w:ind w:left="78" w:right="53"/>
              <w:rPr>
                <w:sz w:val="14"/>
              </w:rPr>
            </w:pPr>
            <w:r>
              <w:rPr>
                <w:color w:val="231F20"/>
                <w:spacing w:val="-5"/>
                <w:w w:val="95"/>
                <w:sz w:val="14"/>
              </w:rPr>
              <w:t>4.8</w:t>
            </w:r>
          </w:p>
        </w:tc>
        <w:tc>
          <w:tcPr>
            <w:tcW w:w="1083" w:type="dxa"/>
          </w:tcPr>
          <w:p>
            <w:pPr>
              <w:pStyle w:val="TableParagraph"/>
              <w:ind w:left="391"/>
              <w:jc w:val="left"/>
              <w:rPr>
                <w:sz w:val="14"/>
              </w:rPr>
            </w:pPr>
            <w:r>
              <w:rPr>
                <w:color w:val="231F20"/>
                <w:spacing w:val="-5"/>
                <w:w w:val="95"/>
                <w:sz w:val="14"/>
              </w:rPr>
              <w:t>3.6</w:t>
            </w:r>
          </w:p>
        </w:tc>
        <w:tc>
          <w:tcPr>
            <w:tcW w:w="751" w:type="dxa"/>
          </w:tcPr>
          <w:p>
            <w:pPr>
              <w:pStyle w:val="TableParagraph"/>
              <w:ind w:left="78" w:right="45"/>
              <w:rPr>
                <w:sz w:val="14"/>
              </w:rPr>
            </w:pPr>
            <w:r>
              <w:rPr>
                <w:color w:val="231F20"/>
                <w:spacing w:val="-5"/>
                <w:w w:val="95"/>
                <w:sz w:val="14"/>
              </w:rPr>
              <w:t>6.6</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5.3</w:t>
            </w:r>
          </w:p>
        </w:tc>
        <w:tc>
          <w:tcPr>
            <w:tcW w:w="1073" w:type="dxa"/>
          </w:tcPr>
          <w:p>
            <w:pPr>
              <w:pStyle w:val="TableParagraph"/>
              <w:ind w:left="81" w:right="63"/>
              <w:rPr>
                <w:sz w:val="14"/>
              </w:rPr>
            </w:pPr>
            <w:r>
              <w:rPr>
                <w:color w:val="231F20"/>
                <w:spacing w:val="-5"/>
                <w:w w:val="95"/>
                <w:sz w:val="14"/>
              </w:rPr>
              <w:t>4.8</w:t>
            </w:r>
          </w:p>
        </w:tc>
        <w:tc>
          <w:tcPr>
            <w:tcW w:w="939" w:type="dxa"/>
          </w:tcPr>
          <w:p>
            <w:pPr>
              <w:pStyle w:val="TableParagraph"/>
              <w:ind w:left="32" w:right="32"/>
              <w:rPr>
                <w:sz w:val="14"/>
              </w:rPr>
            </w:pPr>
            <w:r>
              <w:rPr>
                <w:color w:val="231F20"/>
                <w:spacing w:val="-5"/>
                <w:w w:val="95"/>
                <w:sz w:val="14"/>
              </w:rPr>
              <w:t>3.6</w:t>
            </w:r>
          </w:p>
        </w:tc>
        <w:tc>
          <w:tcPr>
            <w:tcW w:w="1005" w:type="dxa"/>
          </w:tcPr>
          <w:p>
            <w:pPr>
              <w:pStyle w:val="TableParagraph"/>
              <w:ind w:left="63" w:right="13"/>
              <w:rPr>
                <w:sz w:val="14"/>
              </w:rPr>
            </w:pPr>
            <w:r>
              <w:rPr>
                <w:color w:val="231F20"/>
                <w:spacing w:val="-5"/>
                <w:w w:val="95"/>
                <w:sz w:val="14"/>
              </w:rPr>
              <w:t>6.6</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Kenya</w:t>
            </w:r>
          </w:p>
        </w:tc>
        <w:tc>
          <w:tcPr>
            <w:tcW w:w="1103" w:type="dxa"/>
            <w:shd w:val="clear" w:color="auto" w:fill="D4E3F5"/>
          </w:tcPr>
          <w:p>
            <w:pPr>
              <w:pStyle w:val="TableParagraph"/>
              <w:ind w:right="435"/>
              <w:jc w:val="right"/>
              <w:rPr>
                <w:sz w:val="14"/>
              </w:rPr>
            </w:pPr>
            <w:r>
              <w:rPr>
                <w:color w:val="231F20"/>
                <w:spacing w:val="-2"/>
                <w:w w:val="95"/>
                <w:sz w:val="14"/>
              </w:rPr>
              <w:t>7,039</w:t>
            </w:r>
          </w:p>
        </w:tc>
        <w:tc>
          <w:tcPr>
            <w:tcW w:w="851" w:type="dxa"/>
            <w:shd w:val="clear" w:color="auto" w:fill="D4E3F5"/>
          </w:tcPr>
          <w:p>
            <w:pPr>
              <w:pStyle w:val="TableParagraph"/>
              <w:ind w:left="82" w:right="136"/>
              <w:rPr>
                <w:sz w:val="14"/>
              </w:rPr>
            </w:pPr>
            <w:r>
              <w:rPr>
                <w:color w:val="231F20"/>
                <w:spacing w:val="-5"/>
                <w:w w:val="95"/>
                <w:sz w:val="14"/>
              </w:rPr>
              <w:t>5.8</w:t>
            </w:r>
          </w:p>
        </w:tc>
        <w:tc>
          <w:tcPr>
            <w:tcW w:w="1063" w:type="dxa"/>
            <w:shd w:val="clear" w:color="auto" w:fill="D4E3F5"/>
          </w:tcPr>
          <w:p>
            <w:pPr>
              <w:pStyle w:val="TableParagraph"/>
              <w:ind w:left="77" w:right="53"/>
              <w:rPr>
                <w:sz w:val="14"/>
              </w:rPr>
            </w:pPr>
            <w:r>
              <w:rPr>
                <w:color w:val="231F20"/>
                <w:spacing w:val="-5"/>
                <w:w w:val="95"/>
                <w:sz w:val="14"/>
              </w:rPr>
              <w:t>5.3</w:t>
            </w:r>
          </w:p>
        </w:tc>
        <w:tc>
          <w:tcPr>
            <w:tcW w:w="1083" w:type="dxa"/>
            <w:shd w:val="clear" w:color="auto" w:fill="D4E3F5"/>
          </w:tcPr>
          <w:p>
            <w:pPr>
              <w:pStyle w:val="TableParagraph"/>
              <w:ind w:left="392"/>
              <w:jc w:val="left"/>
              <w:rPr>
                <w:sz w:val="14"/>
              </w:rPr>
            </w:pPr>
            <w:r>
              <w:rPr>
                <w:color w:val="231F20"/>
                <w:spacing w:val="-5"/>
                <w:w w:val="95"/>
                <w:sz w:val="14"/>
              </w:rPr>
              <w:t>2.9</w:t>
            </w:r>
          </w:p>
        </w:tc>
        <w:tc>
          <w:tcPr>
            <w:tcW w:w="751" w:type="dxa"/>
            <w:shd w:val="clear" w:color="auto" w:fill="D4E3F5"/>
          </w:tcPr>
          <w:p>
            <w:pPr>
              <w:pStyle w:val="TableParagraph"/>
              <w:ind w:left="91" w:right="45"/>
              <w:rPr>
                <w:sz w:val="14"/>
              </w:rPr>
            </w:pPr>
            <w:r>
              <w:rPr>
                <w:color w:val="231F20"/>
                <w:spacing w:val="-5"/>
                <w:w w:val="95"/>
                <w:sz w:val="14"/>
              </w:rPr>
              <w:t>7.5</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5" w:right="136"/>
              <w:rPr>
                <w:sz w:val="14"/>
              </w:rPr>
            </w:pPr>
            <w:r>
              <w:rPr>
                <w:color w:val="231F20"/>
                <w:spacing w:val="-5"/>
                <w:w w:val="95"/>
                <w:sz w:val="14"/>
              </w:rPr>
              <w:t>5.8</w:t>
            </w:r>
          </w:p>
        </w:tc>
        <w:tc>
          <w:tcPr>
            <w:tcW w:w="1073" w:type="dxa"/>
            <w:shd w:val="clear" w:color="auto" w:fill="D4E3F5"/>
          </w:tcPr>
          <w:p>
            <w:pPr>
              <w:pStyle w:val="TableParagraph"/>
              <w:ind w:left="80" w:right="63"/>
              <w:rPr>
                <w:sz w:val="14"/>
              </w:rPr>
            </w:pPr>
            <w:r>
              <w:rPr>
                <w:color w:val="231F20"/>
                <w:spacing w:val="-5"/>
                <w:w w:val="95"/>
                <w:sz w:val="14"/>
              </w:rPr>
              <w:t>5.3</w:t>
            </w:r>
          </w:p>
        </w:tc>
        <w:tc>
          <w:tcPr>
            <w:tcW w:w="939" w:type="dxa"/>
            <w:shd w:val="clear" w:color="auto" w:fill="D4E3F5"/>
          </w:tcPr>
          <w:p>
            <w:pPr>
              <w:pStyle w:val="TableParagraph"/>
              <w:ind w:left="32" w:right="32"/>
              <w:rPr>
                <w:sz w:val="14"/>
              </w:rPr>
            </w:pPr>
            <w:r>
              <w:rPr>
                <w:color w:val="231F20"/>
                <w:spacing w:val="-5"/>
                <w:w w:val="95"/>
                <w:sz w:val="14"/>
              </w:rPr>
              <w:t>2.9</w:t>
            </w:r>
          </w:p>
        </w:tc>
        <w:tc>
          <w:tcPr>
            <w:tcW w:w="1005" w:type="dxa"/>
            <w:shd w:val="clear" w:color="auto" w:fill="D4E3F5"/>
          </w:tcPr>
          <w:p>
            <w:pPr>
              <w:pStyle w:val="TableParagraph"/>
              <w:ind w:left="74" w:right="13"/>
              <w:rPr>
                <w:sz w:val="14"/>
              </w:rPr>
            </w:pPr>
            <w:r>
              <w:rPr>
                <w:color w:val="231F20"/>
                <w:spacing w:val="-5"/>
                <w:w w:val="95"/>
                <w:sz w:val="14"/>
              </w:rPr>
              <w:t>7.4</w:t>
            </w:r>
          </w:p>
        </w:tc>
      </w:tr>
      <w:tr>
        <w:trPr>
          <w:trHeight w:val="259" w:hRule="atLeast"/>
        </w:trPr>
        <w:tc>
          <w:tcPr>
            <w:tcW w:w="1358" w:type="dxa"/>
          </w:tcPr>
          <w:p>
            <w:pPr>
              <w:pStyle w:val="TableParagraph"/>
              <w:ind w:left="80"/>
              <w:jc w:val="left"/>
              <w:rPr>
                <w:sz w:val="14"/>
              </w:rPr>
            </w:pPr>
            <w:r>
              <w:rPr>
                <w:color w:val="231F20"/>
                <w:w w:val="75"/>
                <w:sz w:val="14"/>
              </w:rPr>
              <w:t>Korea,</w:t>
            </w:r>
            <w:r>
              <w:rPr>
                <w:color w:val="231F20"/>
                <w:spacing w:val="9"/>
                <w:sz w:val="14"/>
              </w:rPr>
              <w:t> </w:t>
            </w:r>
            <w:r>
              <w:rPr>
                <w:color w:val="231F20"/>
                <w:spacing w:val="-4"/>
                <w:w w:val="90"/>
                <w:sz w:val="14"/>
              </w:rPr>
              <w:t>Rep.</w:t>
            </w:r>
          </w:p>
        </w:tc>
        <w:tc>
          <w:tcPr>
            <w:tcW w:w="1103" w:type="dxa"/>
          </w:tcPr>
          <w:p>
            <w:pPr>
              <w:pStyle w:val="TableParagraph"/>
              <w:ind w:right="435"/>
              <w:jc w:val="right"/>
              <w:rPr>
                <w:sz w:val="14"/>
              </w:rPr>
            </w:pPr>
            <w:r>
              <w:rPr>
                <w:color w:val="231F20"/>
                <w:spacing w:val="-2"/>
                <w:w w:val="95"/>
                <w:sz w:val="14"/>
              </w:rPr>
              <w:t>40,400</w:t>
            </w:r>
          </w:p>
        </w:tc>
        <w:tc>
          <w:tcPr>
            <w:tcW w:w="851" w:type="dxa"/>
          </w:tcPr>
          <w:p>
            <w:pPr>
              <w:pStyle w:val="TableParagraph"/>
              <w:ind w:left="75" w:right="136"/>
              <w:rPr>
                <w:sz w:val="14"/>
              </w:rPr>
            </w:pPr>
            <w:r>
              <w:rPr>
                <w:color w:val="231F20"/>
                <w:spacing w:val="-5"/>
                <w:w w:val="95"/>
                <w:sz w:val="14"/>
              </w:rPr>
              <w:t>3.7</w:t>
            </w:r>
          </w:p>
        </w:tc>
        <w:tc>
          <w:tcPr>
            <w:tcW w:w="1063" w:type="dxa"/>
          </w:tcPr>
          <w:p>
            <w:pPr>
              <w:pStyle w:val="TableParagraph"/>
              <w:ind w:left="77" w:right="53"/>
              <w:rPr>
                <w:sz w:val="14"/>
              </w:rPr>
            </w:pPr>
            <w:r>
              <w:rPr>
                <w:color w:val="231F20"/>
                <w:spacing w:val="-5"/>
                <w:w w:val="95"/>
                <w:sz w:val="14"/>
              </w:rPr>
              <w:t>2.8</w:t>
            </w:r>
          </w:p>
        </w:tc>
        <w:tc>
          <w:tcPr>
            <w:tcW w:w="1083" w:type="dxa"/>
          </w:tcPr>
          <w:p>
            <w:pPr>
              <w:pStyle w:val="TableParagraph"/>
              <w:ind w:left="392"/>
              <w:jc w:val="left"/>
              <w:rPr>
                <w:sz w:val="14"/>
              </w:rPr>
            </w:pPr>
            <w:r>
              <w:rPr>
                <w:color w:val="231F20"/>
                <w:spacing w:val="-5"/>
                <w:w w:val="95"/>
                <w:sz w:val="14"/>
              </w:rPr>
              <w:t>2.1</w:t>
            </w:r>
          </w:p>
        </w:tc>
        <w:tc>
          <w:tcPr>
            <w:tcW w:w="751" w:type="dxa"/>
          </w:tcPr>
          <w:p>
            <w:pPr>
              <w:pStyle w:val="TableParagraph"/>
              <w:ind w:left="80" w:right="45"/>
              <w:rPr>
                <w:sz w:val="14"/>
              </w:rPr>
            </w:pPr>
            <w:r>
              <w:rPr>
                <w:color w:val="231F20"/>
                <w:spacing w:val="-5"/>
                <w:w w:val="95"/>
                <w:sz w:val="14"/>
              </w:rPr>
              <w:t>3.8</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3.6</w:t>
            </w:r>
          </w:p>
        </w:tc>
        <w:tc>
          <w:tcPr>
            <w:tcW w:w="1073" w:type="dxa"/>
          </w:tcPr>
          <w:p>
            <w:pPr>
              <w:pStyle w:val="TableParagraph"/>
              <w:ind w:left="80" w:right="63"/>
              <w:rPr>
                <w:sz w:val="14"/>
              </w:rPr>
            </w:pPr>
            <w:r>
              <w:rPr>
                <w:color w:val="231F20"/>
                <w:spacing w:val="-5"/>
                <w:w w:val="95"/>
                <w:sz w:val="14"/>
              </w:rPr>
              <w:t>2.8</w:t>
            </w:r>
          </w:p>
        </w:tc>
        <w:tc>
          <w:tcPr>
            <w:tcW w:w="939" w:type="dxa"/>
          </w:tcPr>
          <w:p>
            <w:pPr>
              <w:pStyle w:val="TableParagraph"/>
              <w:ind w:left="32" w:right="32"/>
              <w:rPr>
                <w:sz w:val="14"/>
              </w:rPr>
            </w:pPr>
            <w:r>
              <w:rPr>
                <w:color w:val="231F20"/>
                <w:spacing w:val="-5"/>
                <w:w w:val="95"/>
                <w:sz w:val="14"/>
              </w:rPr>
              <w:t>2.0</w:t>
            </w:r>
          </w:p>
        </w:tc>
        <w:tc>
          <w:tcPr>
            <w:tcW w:w="1005" w:type="dxa"/>
          </w:tcPr>
          <w:p>
            <w:pPr>
              <w:pStyle w:val="TableParagraph"/>
              <w:ind w:left="64" w:right="13"/>
              <w:rPr>
                <w:sz w:val="14"/>
              </w:rPr>
            </w:pPr>
            <w:r>
              <w:rPr>
                <w:color w:val="231F20"/>
                <w:spacing w:val="-5"/>
                <w:w w:val="95"/>
                <w:sz w:val="14"/>
              </w:rPr>
              <w:t>3.8</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Kuwait</w:t>
            </w:r>
          </w:p>
        </w:tc>
        <w:tc>
          <w:tcPr>
            <w:tcW w:w="1103" w:type="dxa"/>
            <w:shd w:val="clear" w:color="auto" w:fill="D4E3F5"/>
          </w:tcPr>
          <w:p>
            <w:pPr>
              <w:pStyle w:val="TableParagraph"/>
              <w:ind w:right="435"/>
              <w:jc w:val="right"/>
              <w:rPr>
                <w:sz w:val="14"/>
              </w:rPr>
            </w:pPr>
            <w:r>
              <w:rPr>
                <w:color w:val="231F20"/>
                <w:spacing w:val="-2"/>
                <w:w w:val="95"/>
                <w:sz w:val="14"/>
              </w:rPr>
              <w:t>1,329</w:t>
            </w:r>
          </w:p>
        </w:tc>
        <w:tc>
          <w:tcPr>
            <w:tcW w:w="851" w:type="dxa"/>
            <w:shd w:val="clear" w:color="auto" w:fill="D4E3F5"/>
          </w:tcPr>
          <w:p>
            <w:pPr>
              <w:pStyle w:val="TableParagraph"/>
              <w:ind w:left="83" w:right="136"/>
              <w:rPr>
                <w:sz w:val="14"/>
              </w:rPr>
            </w:pPr>
            <w:r>
              <w:rPr>
                <w:color w:val="231F20"/>
                <w:spacing w:val="-5"/>
                <w:w w:val="95"/>
                <w:sz w:val="14"/>
              </w:rPr>
              <w:t>4.9</w:t>
            </w:r>
          </w:p>
        </w:tc>
        <w:tc>
          <w:tcPr>
            <w:tcW w:w="1063" w:type="dxa"/>
            <w:shd w:val="clear" w:color="auto" w:fill="D4E3F5"/>
          </w:tcPr>
          <w:p>
            <w:pPr>
              <w:pStyle w:val="TableParagraph"/>
              <w:ind w:left="78" w:right="53"/>
              <w:rPr>
                <w:sz w:val="14"/>
              </w:rPr>
            </w:pPr>
            <w:r>
              <w:rPr>
                <w:color w:val="231F20"/>
                <w:spacing w:val="-5"/>
                <w:w w:val="95"/>
                <w:sz w:val="14"/>
              </w:rPr>
              <w:t>4.5</w:t>
            </w:r>
          </w:p>
        </w:tc>
        <w:tc>
          <w:tcPr>
            <w:tcW w:w="1083" w:type="dxa"/>
            <w:shd w:val="clear" w:color="auto" w:fill="D4E3F5"/>
          </w:tcPr>
          <w:p>
            <w:pPr>
              <w:pStyle w:val="TableParagraph"/>
              <w:ind w:left="391"/>
              <w:jc w:val="left"/>
              <w:rPr>
                <w:sz w:val="14"/>
              </w:rPr>
            </w:pPr>
            <w:r>
              <w:rPr>
                <w:color w:val="231F20"/>
                <w:spacing w:val="-5"/>
                <w:w w:val="95"/>
                <w:sz w:val="14"/>
              </w:rPr>
              <w:t>3.0</w:t>
            </w:r>
          </w:p>
        </w:tc>
        <w:tc>
          <w:tcPr>
            <w:tcW w:w="751" w:type="dxa"/>
            <w:shd w:val="clear" w:color="auto" w:fill="D4E3F5"/>
          </w:tcPr>
          <w:p>
            <w:pPr>
              <w:pStyle w:val="TableParagraph"/>
              <w:ind w:left="78" w:right="45"/>
              <w:rPr>
                <w:sz w:val="14"/>
              </w:rPr>
            </w:pPr>
            <w:r>
              <w:rPr>
                <w:color w:val="231F20"/>
                <w:spacing w:val="-5"/>
                <w:w w:val="95"/>
                <w:sz w:val="14"/>
              </w:rPr>
              <w:t>6.5</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6" w:right="136"/>
              <w:rPr>
                <w:sz w:val="14"/>
              </w:rPr>
            </w:pPr>
            <w:r>
              <w:rPr>
                <w:color w:val="231F20"/>
                <w:spacing w:val="-5"/>
                <w:w w:val="95"/>
                <w:sz w:val="14"/>
              </w:rPr>
              <w:t>4.9</w:t>
            </w:r>
          </w:p>
        </w:tc>
        <w:tc>
          <w:tcPr>
            <w:tcW w:w="1073" w:type="dxa"/>
            <w:shd w:val="clear" w:color="auto" w:fill="D4E3F5"/>
          </w:tcPr>
          <w:p>
            <w:pPr>
              <w:pStyle w:val="TableParagraph"/>
              <w:ind w:left="81" w:right="63"/>
              <w:rPr>
                <w:sz w:val="14"/>
              </w:rPr>
            </w:pPr>
            <w:r>
              <w:rPr>
                <w:color w:val="231F20"/>
                <w:spacing w:val="-5"/>
                <w:w w:val="95"/>
                <w:sz w:val="14"/>
              </w:rPr>
              <w:t>4.5</w:t>
            </w:r>
          </w:p>
        </w:tc>
        <w:tc>
          <w:tcPr>
            <w:tcW w:w="939" w:type="dxa"/>
            <w:shd w:val="clear" w:color="auto" w:fill="D4E3F5"/>
          </w:tcPr>
          <w:p>
            <w:pPr>
              <w:pStyle w:val="TableParagraph"/>
              <w:ind w:left="32" w:right="32"/>
              <w:rPr>
                <w:sz w:val="14"/>
              </w:rPr>
            </w:pPr>
            <w:r>
              <w:rPr>
                <w:color w:val="231F20"/>
                <w:spacing w:val="-5"/>
                <w:w w:val="95"/>
                <w:sz w:val="14"/>
              </w:rPr>
              <w:t>3.0</w:t>
            </w:r>
          </w:p>
        </w:tc>
        <w:tc>
          <w:tcPr>
            <w:tcW w:w="1005" w:type="dxa"/>
            <w:shd w:val="clear" w:color="auto" w:fill="D4E3F5"/>
          </w:tcPr>
          <w:p>
            <w:pPr>
              <w:pStyle w:val="TableParagraph"/>
              <w:ind w:left="63" w:right="13"/>
              <w:rPr>
                <w:sz w:val="14"/>
              </w:rPr>
            </w:pPr>
            <w:r>
              <w:rPr>
                <w:color w:val="231F20"/>
                <w:spacing w:val="-5"/>
                <w:w w:val="95"/>
                <w:sz w:val="14"/>
              </w:rPr>
              <w:t>6.5</w:t>
            </w:r>
          </w:p>
        </w:tc>
      </w:tr>
      <w:tr>
        <w:trPr>
          <w:trHeight w:val="259" w:hRule="atLeast"/>
        </w:trPr>
        <w:tc>
          <w:tcPr>
            <w:tcW w:w="1358" w:type="dxa"/>
          </w:tcPr>
          <w:p>
            <w:pPr>
              <w:pStyle w:val="TableParagraph"/>
              <w:ind w:left="80"/>
              <w:jc w:val="left"/>
              <w:rPr>
                <w:sz w:val="14"/>
              </w:rPr>
            </w:pPr>
            <w:r>
              <w:rPr>
                <w:color w:val="231F20"/>
                <w:spacing w:val="-2"/>
                <w:w w:val="90"/>
                <w:sz w:val="14"/>
              </w:rPr>
              <w:t>Latvia</w:t>
            </w:r>
          </w:p>
        </w:tc>
        <w:tc>
          <w:tcPr>
            <w:tcW w:w="1103" w:type="dxa"/>
          </w:tcPr>
          <w:p>
            <w:pPr>
              <w:pStyle w:val="TableParagraph"/>
              <w:ind w:right="434"/>
              <w:jc w:val="right"/>
              <w:rPr>
                <w:sz w:val="14"/>
              </w:rPr>
            </w:pPr>
            <w:r>
              <w:rPr>
                <w:color w:val="231F20"/>
                <w:spacing w:val="-2"/>
                <w:w w:val="95"/>
                <w:sz w:val="14"/>
              </w:rPr>
              <w:t>2,342</w:t>
            </w:r>
          </w:p>
        </w:tc>
        <w:tc>
          <w:tcPr>
            <w:tcW w:w="851" w:type="dxa"/>
          </w:tcPr>
          <w:p>
            <w:pPr>
              <w:pStyle w:val="TableParagraph"/>
              <w:ind w:left="83" w:right="136"/>
              <w:rPr>
                <w:sz w:val="14"/>
              </w:rPr>
            </w:pPr>
            <w:r>
              <w:rPr>
                <w:color w:val="231F20"/>
                <w:spacing w:val="-5"/>
                <w:w w:val="95"/>
                <w:sz w:val="14"/>
              </w:rPr>
              <w:t>9.3</w:t>
            </w:r>
          </w:p>
        </w:tc>
        <w:tc>
          <w:tcPr>
            <w:tcW w:w="1063" w:type="dxa"/>
          </w:tcPr>
          <w:p>
            <w:pPr>
              <w:pStyle w:val="TableParagraph"/>
              <w:ind w:left="79" w:right="53"/>
              <w:rPr>
                <w:sz w:val="14"/>
              </w:rPr>
            </w:pPr>
            <w:r>
              <w:rPr>
                <w:color w:val="231F20"/>
                <w:spacing w:val="-5"/>
                <w:w w:val="95"/>
                <w:sz w:val="14"/>
              </w:rPr>
              <w:t>8.3</w:t>
            </w:r>
          </w:p>
        </w:tc>
        <w:tc>
          <w:tcPr>
            <w:tcW w:w="1083" w:type="dxa"/>
          </w:tcPr>
          <w:p>
            <w:pPr>
              <w:pStyle w:val="TableParagraph"/>
              <w:ind w:left="392"/>
              <w:jc w:val="left"/>
              <w:rPr>
                <w:sz w:val="14"/>
              </w:rPr>
            </w:pPr>
            <w:r>
              <w:rPr>
                <w:color w:val="231F20"/>
                <w:spacing w:val="-5"/>
                <w:w w:val="95"/>
                <w:sz w:val="14"/>
              </w:rPr>
              <w:t>5.3</w:t>
            </w:r>
          </w:p>
        </w:tc>
        <w:tc>
          <w:tcPr>
            <w:tcW w:w="751" w:type="dxa"/>
          </w:tcPr>
          <w:p>
            <w:pPr>
              <w:pStyle w:val="TableParagraph"/>
              <w:ind w:left="46" w:right="63"/>
              <w:rPr>
                <w:sz w:val="14"/>
              </w:rPr>
            </w:pPr>
            <w:r>
              <w:rPr>
                <w:color w:val="231F20"/>
                <w:spacing w:val="-4"/>
                <w:w w:val="95"/>
                <w:sz w:val="14"/>
              </w:rPr>
              <w:t>11.8</w:t>
            </w:r>
          </w:p>
        </w:tc>
        <w:tc>
          <w:tcPr>
            <w:tcW w:w="240" w:type="dxa"/>
          </w:tcPr>
          <w:p>
            <w:pPr>
              <w:pStyle w:val="TableParagraph"/>
              <w:spacing w:before="0"/>
              <w:jc w:val="left"/>
              <w:rPr>
                <w:rFonts w:ascii="Times New Roman"/>
                <w:sz w:val="12"/>
              </w:rPr>
            </w:pPr>
          </w:p>
        </w:tc>
        <w:tc>
          <w:tcPr>
            <w:tcW w:w="851" w:type="dxa"/>
          </w:tcPr>
          <w:p>
            <w:pPr>
              <w:pStyle w:val="TableParagraph"/>
              <w:ind w:left="86" w:right="136"/>
              <w:rPr>
                <w:sz w:val="14"/>
              </w:rPr>
            </w:pPr>
            <w:r>
              <w:rPr>
                <w:color w:val="231F20"/>
                <w:spacing w:val="-5"/>
                <w:w w:val="95"/>
                <w:sz w:val="14"/>
              </w:rPr>
              <w:t>9.3</w:t>
            </w:r>
          </w:p>
        </w:tc>
        <w:tc>
          <w:tcPr>
            <w:tcW w:w="1073" w:type="dxa"/>
          </w:tcPr>
          <w:p>
            <w:pPr>
              <w:pStyle w:val="TableParagraph"/>
              <w:ind w:left="81" w:right="63"/>
              <w:rPr>
                <w:sz w:val="14"/>
              </w:rPr>
            </w:pPr>
            <w:r>
              <w:rPr>
                <w:color w:val="231F20"/>
                <w:spacing w:val="-5"/>
                <w:w w:val="95"/>
                <w:sz w:val="14"/>
              </w:rPr>
              <w:t>8.3</w:t>
            </w:r>
          </w:p>
        </w:tc>
        <w:tc>
          <w:tcPr>
            <w:tcW w:w="939" w:type="dxa"/>
          </w:tcPr>
          <w:p>
            <w:pPr>
              <w:pStyle w:val="TableParagraph"/>
              <w:ind w:left="32" w:right="32"/>
              <w:rPr>
                <w:sz w:val="14"/>
              </w:rPr>
            </w:pPr>
            <w:r>
              <w:rPr>
                <w:color w:val="231F20"/>
                <w:spacing w:val="-5"/>
                <w:w w:val="95"/>
                <w:sz w:val="14"/>
              </w:rPr>
              <w:t>5.3</w:t>
            </w:r>
          </w:p>
        </w:tc>
        <w:tc>
          <w:tcPr>
            <w:tcW w:w="1005" w:type="dxa"/>
          </w:tcPr>
          <w:p>
            <w:pPr>
              <w:pStyle w:val="TableParagraph"/>
              <w:ind w:left="63" w:right="63"/>
              <w:rPr>
                <w:sz w:val="14"/>
              </w:rPr>
            </w:pPr>
            <w:r>
              <w:rPr>
                <w:color w:val="231F20"/>
                <w:spacing w:val="-4"/>
                <w:w w:val="95"/>
                <w:sz w:val="14"/>
              </w:rPr>
              <w:t>11.8</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Lebanon</w:t>
            </w:r>
          </w:p>
        </w:tc>
        <w:tc>
          <w:tcPr>
            <w:tcW w:w="1103" w:type="dxa"/>
            <w:shd w:val="clear" w:color="auto" w:fill="D4E3F5"/>
          </w:tcPr>
          <w:p>
            <w:pPr>
              <w:pStyle w:val="TableParagraph"/>
              <w:ind w:right="434"/>
              <w:jc w:val="right"/>
              <w:rPr>
                <w:sz w:val="14"/>
              </w:rPr>
            </w:pPr>
            <w:r>
              <w:rPr>
                <w:color w:val="231F20"/>
                <w:spacing w:val="-2"/>
                <w:w w:val="95"/>
                <w:sz w:val="14"/>
              </w:rPr>
              <w:t>2,386</w:t>
            </w:r>
          </w:p>
        </w:tc>
        <w:tc>
          <w:tcPr>
            <w:tcW w:w="851" w:type="dxa"/>
            <w:shd w:val="clear" w:color="auto" w:fill="D4E3F5"/>
          </w:tcPr>
          <w:p>
            <w:pPr>
              <w:pStyle w:val="TableParagraph"/>
              <w:ind w:left="82" w:right="136"/>
              <w:rPr>
                <w:sz w:val="14"/>
              </w:rPr>
            </w:pPr>
            <w:r>
              <w:rPr>
                <w:color w:val="231F20"/>
                <w:spacing w:val="-5"/>
                <w:w w:val="95"/>
                <w:sz w:val="14"/>
              </w:rPr>
              <w:t>5.5</w:t>
            </w:r>
          </w:p>
        </w:tc>
        <w:tc>
          <w:tcPr>
            <w:tcW w:w="1063" w:type="dxa"/>
            <w:shd w:val="clear" w:color="auto" w:fill="D4E3F5"/>
          </w:tcPr>
          <w:p>
            <w:pPr>
              <w:pStyle w:val="TableParagraph"/>
              <w:ind w:left="76" w:right="53"/>
              <w:rPr>
                <w:sz w:val="14"/>
              </w:rPr>
            </w:pPr>
            <w:r>
              <w:rPr>
                <w:color w:val="231F20"/>
                <w:spacing w:val="-5"/>
                <w:w w:val="95"/>
                <w:sz w:val="14"/>
              </w:rPr>
              <w:t>4.4</w:t>
            </w:r>
          </w:p>
        </w:tc>
        <w:tc>
          <w:tcPr>
            <w:tcW w:w="1083" w:type="dxa"/>
            <w:shd w:val="clear" w:color="auto" w:fill="D4E3F5"/>
          </w:tcPr>
          <w:p>
            <w:pPr>
              <w:pStyle w:val="TableParagraph"/>
              <w:ind w:left="392"/>
              <w:jc w:val="left"/>
              <w:rPr>
                <w:sz w:val="14"/>
              </w:rPr>
            </w:pPr>
            <w:r>
              <w:rPr>
                <w:color w:val="231F20"/>
                <w:spacing w:val="-5"/>
                <w:w w:val="95"/>
                <w:sz w:val="14"/>
              </w:rPr>
              <w:t>2.9</w:t>
            </w:r>
          </w:p>
        </w:tc>
        <w:tc>
          <w:tcPr>
            <w:tcW w:w="751" w:type="dxa"/>
            <w:shd w:val="clear" w:color="auto" w:fill="D4E3F5"/>
          </w:tcPr>
          <w:p>
            <w:pPr>
              <w:pStyle w:val="TableParagraph"/>
              <w:ind w:left="78" w:right="45"/>
              <w:rPr>
                <w:sz w:val="14"/>
              </w:rPr>
            </w:pPr>
            <w:r>
              <w:rPr>
                <w:color w:val="231F20"/>
                <w:spacing w:val="-5"/>
                <w:w w:val="95"/>
                <w:sz w:val="14"/>
              </w:rPr>
              <w:t>6.6</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5" w:right="136"/>
              <w:rPr>
                <w:sz w:val="14"/>
              </w:rPr>
            </w:pPr>
            <w:r>
              <w:rPr>
                <w:color w:val="231F20"/>
                <w:spacing w:val="-5"/>
                <w:w w:val="95"/>
                <w:sz w:val="14"/>
              </w:rPr>
              <w:t>5.5</w:t>
            </w:r>
          </w:p>
        </w:tc>
        <w:tc>
          <w:tcPr>
            <w:tcW w:w="1073" w:type="dxa"/>
            <w:shd w:val="clear" w:color="auto" w:fill="D4E3F5"/>
          </w:tcPr>
          <w:p>
            <w:pPr>
              <w:pStyle w:val="TableParagraph"/>
              <w:ind w:left="79" w:right="63"/>
              <w:rPr>
                <w:sz w:val="14"/>
              </w:rPr>
            </w:pPr>
            <w:r>
              <w:rPr>
                <w:color w:val="231F20"/>
                <w:spacing w:val="-5"/>
                <w:w w:val="95"/>
                <w:sz w:val="14"/>
              </w:rPr>
              <w:t>4.4</w:t>
            </w:r>
          </w:p>
        </w:tc>
        <w:tc>
          <w:tcPr>
            <w:tcW w:w="939" w:type="dxa"/>
            <w:shd w:val="clear" w:color="auto" w:fill="D4E3F5"/>
          </w:tcPr>
          <w:p>
            <w:pPr>
              <w:pStyle w:val="TableParagraph"/>
              <w:ind w:left="32" w:right="32"/>
              <w:rPr>
                <w:sz w:val="14"/>
              </w:rPr>
            </w:pPr>
            <w:r>
              <w:rPr>
                <w:color w:val="231F20"/>
                <w:spacing w:val="-5"/>
                <w:w w:val="95"/>
                <w:sz w:val="14"/>
              </w:rPr>
              <w:t>2.9</w:t>
            </w:r>
          </w:p>
        </w:tc>
        <w:tc>
          <w:tcPr>
            <w:tcW w:w="1005" w:type="dxa"/>
            <w:shd w:val="clear" w:color="auto" w:fill="D4E3F5"/>
          </w:tcPr>
          <w:p>
            <w:pPr>
              <w:pStyle w:val="TableParagraph"/>
              <w:ind w:left="63" w:right="13"/>
              <w:rPr>
                <w:sz w:val="14"/>
              </w:rPr>
            </w:pPr>
            <w:r>
              <w:rPr>
                <w:color w:val="231F20"/>
                <w:spacing w:val="-5"/>
                <w:w w:val="95"/>
                <w:sz w:val="14"/>
              </w:rPr>
              <w:t>6.6</w:t>
            </w:r>
          </w:p>
        </w:tc>
      </w:tr>
      <w:tr>
        <w:trPr>
          <w:trHeight w:val="259" w:hRule="atLeast"/>
        </w:trPr>
        <w:tc>
          <w:tcPr>
            <w:tcW w:w="1358" w:type="dxa"/>
          </w:tcPr>
          <w:p>
            <w:pPr>
              <w:pStyle w:val="TableParagraph"/>
              <w:ind w:left="80"/>
              <w:jc w:val="left"/>
              <w:rPr>
                <w:sz w:val="14"/>
              </w:rPr>
            </w:pPr>
            <w:r>
              <w:rPr>
                <w:color w:val="231F20"/>
                <w:spacing w:val="-2"/>
                <w:w w:val="90"/>
                <w:sz w:val="14"/>
              </w:rPr>
              <w:t>Liberia</w:t>
            </w:r>
          </w:p>
        </w:tc>
        <w:tc>
          <w:tcPr>
            <w:tcW w:w="1103" w:type="dxa"/>
          </w:tcPr>
          <w:p>
            <w:pPr>
              <w:pStyle w:val="TableParagraph"/>
              <w:ind w:right="434"/>
              <w:jc w:val="right"/>
              <w:rPr>
                <w:sz w:val="14"/>
              </w:rPr>
            </w:pPr>
            <w:r>
              <w:rPr>
                <w:color w:val="231F20"/>
                <w:spacing w:val="-5"/>
                <w:w w:val="95"/>
                <w:sz w:val="14"/>
              </w:rPr>
              <w:t>243</w:t>
            </w:r>
          </w:p>
        </w:tc>
        <w:tc>
          <w:tcPr>
            <w:tcW w:w="851" w:type="dxa"/>
          </w:tcPr>
          <w:p>
            <w:pPr>
              <w:pStyle w:val="TableParagraph"/>
              <w:ind w:left="83" w:right="136"/>
              <w:rPr>
                <w:sz w:val="14"/>
              </w:rPr>
            </w:pPr>
            <w:r>
              <w:rPr>
                <w:color w:val="231F20"/>
                <w:spacing w:val="-5"/>
                <w:w w:val="95"/>
                <w:sz w:val="14"/>
              </w:rPr>
              <w:t>9.5</w:t>
            </w:r>
          </w:p>
        </w:tc>
        <w:tc>
          <w:tcPr>
            <w:tcW w:w="1063" w:type="dxa"/>
          </w:tcPr>
          <w:p>
            <w:pPr>
              <w:pStyle w:val="TableParagraph"/>
              <w:ind w:left="58" w:right="53"/>
              <w:rPr>
                <w:sz w:val="14"/>
              </w:rPr>
            </w:pPr>
            <w:r>
              <w:rPr>
                <w:color w:val="231F20"/>
                <w:spacing w:val="-5"/>
                <w:w w:val="95"/>
                <w:sz w:val="14"/>
              </w:rPr>
              <w:t>8.1</w:t>
            </w:r>
          </w:p>
        </w:tc>
        <w:tc>
          <w:tcPr>
            <w:tcW w:w="1083" w:type="dxa"/>
          </w:tcPr>
          <w:p>
            <w:pPr>
              <w:pStyle w:val="TableParagraph"/>
              <w:ind w:left="392"/>
              <w:jc w:val="left"/>
              <w:rPr>
                <w:sz w:val="14"/>
              </w:rPr>
            </w:pPr>
            <w:r>
              <w:rPr>
                <w:color w:val="231F20"/>
                <w:spacing w:val="-5"/>
                <w:w w:val="95"/>
                <w:sz w:val="14"/>
              </w:rPr>
              <w:t>5.7</w:t>
            </w:r>
          </w:p>
        </w:tc>
        <w:tc>
          <w:tcPr>
            <w:tcW w:w="751" w:type="dxa"/>
          </w:tcPr>
          <w:p>
            <w:pPr>
              <w:pStyle w:val="TableParagraph"/>
              <w:ind w:left="46" w:right="73"/>
              <w:rPr>
                <w:sz w:val="14"/>
              </w:rPr>
            </w:pPr>
            <w:r>
              <w:rPr>
                <w:color w:val="231F20"/>
                <w:spacing w:val="-4"/>
                <w:w w:val="95"/>
                <w:sz w:val="14"/>
              </w:rPr>
              <w:t>10.9</w:t>
            </w:r>
          </w:p>
        </w:tc>
        <w:tc>
          <w:tcPr>
            <w:tcW w:w="240" w:type="dxa"/>
          </w:tcPr>
          <w:p>
            <w:pPr>
              <w:pStyle w:val="TableParagraph"/>
              <w:spacing w:before="0"/>
              <w:jc w:val="left"/>
              <w:rPr>
                <w:rFonts w:ascii="Times New Roman"/>
                <w:sz w:val="12"/>
              </w:rPr>
            </w:pPr>
          </w:p>
        </w:tc>
        <w:tc>
          <w:tcPr>
            <w:tcW w:w="851" w:type="dxa"/>
          </w:tcPr>
          <w:p>
            <w:pPr>
              <w:pStyle w:val="TableParagraph"/>
              <w:ind w:left="84" w:right="136"/>
              <w:rPr>
                <w:sz w:val="14"/>
              </w:rPr>
            </w:pPr>
            <w:r>
              <w:rPr>
                <w:color w:val="231F20"/>
                <w:spacing w:val="-5"/>
                <w:w w:val="95"/>
                <w:sz w:val="14"/>
              </w:rPr>
              <w:t>9.4</w:t>
            </w:r>
          </w:p>
        </w:tc>
        <w:tc>
          <w:tcPr>
            <w:tcW w:w="1073" w:type="dxa"/>
          </w:tcPr>
          <w:p>
            <w:pPr>
              <w:pStyle w:val="TableParagraph"/>
              <w:ind w:left="79" w:right="63"/>
              <w:rPr>
                <w:sz w:val="14"/>
              </w:rPr>
            </w:pPr>
            <w:r>
              <w:rPr>
                <w:color w:val="231F20"/>
                <w:spacing w:val="-5"/>
                <w:w w:val="95"/>
                <w:sz w:val="14"/>
              </w:rPr>
              <w:t>8.0</w:t>
            </w:r>
          </w:p>
        </w:tc>
        <w:tc>
          <w:tcPr>
            <w:tcW w:w="939" w:type="dxa"/>
          </w:tcPr>
          <w:p>
            <w:pPr>
              <w:pStyle w:val="TableParagraph"/>
              <w:ind w:left="29" w:right="32"/>
              <w:rPr>
                <w:sz w:val="14"/>
              </w:rPr>
            </w:pPr>
            <w:r>
              <w:rPr>
                <w:color w:val="231F20"/>
                <w:spacing w:val="-5"/>
                <w:w w:val="95"/>
                <w:sz w:val="14"/>
              </w:rPr>
              <w:t>5.7</w:t>
            </w:r>
          </w:p>
        </w:tc>
        <w:tc>
          <w:tcPr>
            <w:tcW w:w="1005" w:type="dxa"/>
          </w:tcPr>
          <w:p>
            <w:pPr>
              <w:pStyle w:val="TableParagraph"/>
              <w:ind w:left="63" w:right="74"/>
              <w:rPr>
                <w:sz w:val="14"/>
              </w:rPr>
            </w:pPr>
            <w:r>
              <w:rPr>
                <w:color w:val="231F20"/>
                <w:spacing w:val="-4"/>
                <w:w w:val="95"/>
                <w:sz w:val="14"/>
              </w:rPr>
              <w:t>10.9</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Libya</w:t>
            </w:r>
          </w:p>
        </w:tc>
        <w:tc>
          <w:tcPr>
            <w:tcW w:w="1103" w:type="dxa"/>
            <w:shd w:val="clear" w:color="auto" w:fill="D4E3F5"/>
          </w:tcPr>
          <w:p>
            <w:pPr>
              <w:pStyle w:val="TableParagraph"/>
              <w:ind w:right="432"/>
              <w:jc w:val="right"/>
              <w:rPr>
                <w:sz w:val="14"/>
              </w:rPr>
            </w:pPr>
            <w:r>
              <w:rPr>
                <w:color w:val="231F20"/>
                <w:spacing w:val="-5"/>
                <w:w w:val="95"/>
                <w:sz w:val="14"/>
              </w:rPr>
              <w:t>28</w:t>
            </w:r>
          </w:p>
        </w:tc>
        <w:tc>
          <w:tcPr>
            <w:tcW w:w="851" w:type="dxa"/>
            <w:shd w:val="clear" w:color="auto" w:fill="D4E3F5"/>
          </w:tcPr>
          <w:p>
            <w:pPr>
              <w:pStyle w:val="TableParagraph"/>
              <w:ind w:left="17" w:right="136"/>
              <w:rPr>
                <w:sz w:val="14"/>
              </w:rPr>
            </w:pPr>
            <w:r>
              <w:rPr>
                <w:color w:val="231F20"/>
                <w:spacing w:val="-4"/>
                <w:w w:val="95"/>
                <w:sz w:val="14"/>
              </w:rPr>
              <w:t>12.7</w:t>
            </w:r>
          </w:p>
        </w:tc>
        <w:tc>
          <w:tcPr>
            <w:tcW w:w="1063" w:type="dxa"/>
            <w:shd w:val="clear" w:color="auto" w:fill="D4E3F5"/>
          </w:tcPr>
          <w:p>
            <w:pPr>
              <w:pStyle w:val="TableParagraph"/>
              <w:ind w:left="90" w:right="53"/>
              <w:rPr>
                <w:sz w:val="14"/>
              </w:rPr>
            </w:pPr>
            <w:r>
              <w:rPr>
                <w:color w:val="231F20"/>
                <w:spacing w:val="-5"/>
                <w:w w:val="95"/>
                <w:sz w:val="14"/>
              </w:rPr>
              <w:t>7.5</w:t>
            </w:r>
          </w:p>
        </w:tc>
        <w:tc>
          <w:tcPr>
            <w:tcW w:w="1083" w:type="dxa"/>
            <w:shd w:val="clear" w:color="auto" w:fill="D4E3F5"/>
          </w:tcPr>
          <w:p>
            <w:pPr>
              <w:pStyle w:val="TableParagraph"/>
              <w:ind w:left="393"/>
              <w:jc w:val="left"/>
              <w:rPr>
                <w:sz w:val="14"/>
              </w:rPr>
            </w:pPr>
            <w:r>
              <w:rPr>
                <w:color w:val="231F20"/>
                <w:spacing w:val="-5"/>
                <w:w w:val="95"/>
                <w:sz w:val="14"/>
              </w:rPr>
              <w:t>4.5</w:t>
            </w:r>
          </w:p>
        </w:tc>
        <w:tc>
          <w:tcPr>
            <w:tcW w:w="751" w:type="dxa"/>
            <w:shd w:val="clear" w:color="auto" w:fill="D4E3F5"/>
          </w:tcPr>
          <w:p>
            <w:pPr>
              <w:pStyle w:val="TableParagraph"/>
              <w:ind w:left="46" w:right="71"/>
              <w:rPr>
                <w:sz w:val="14"/>
              </w:rPr>
            </w:pPr>
            <w:r>
              <w:rPr>
                <w:color w:val="231F20"/>
                <w:spacing w:val="-4"/>
                <w:w w:val="95"/>
                <w:sz w:val="14"/>
              </w:rPr>
              <w:t>14.9</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51"/>
              <w:jc w:val="left"/>
              <w:rPr>
                <w:sz w:val="14"/>
              </w:rPr>
            </w:pPr>
            <w:r>
              <w:rPr>
                <w:color w:val="231F20"/>
                <w:spacing w:val="-4"/>
                <w:w w:val="95"/>
                <w:sz w:val="14"/>
              </w:rPr>
              <w:t>12.7</w:t>
            </w:r>
          </w:p>
        </w:tc>
        <w:tc>
          <w:tcPr>
            <w:tcW w:w="1073" w:type="dxa"/>
            <w:shd w:val="clear" w:color="auto" w:fill="D4E3F5"/>
          </w:tcPr>
          <w:p>
            <w:pPr>
              <w:pStyle w:val="TableParagraph"/>
              <w:ind w:left="93" w:right="63"/>
              <w:rPr>
                <w:sz w:val="14"/>
              </w:rPr>
            </w:pPr>
            <w:r>
              <w:rPr>
                <w:color w:val="231F20"/>
                <w:spacing w:val="-5"/>
                <w:w w:val="95"/>
                <w:sz w:val="14"/>
              </w:rPr>
              <w:t>7.5</w:t>
            </w:r>
          </w:p>
        </w:tc>
        <w:tc>
          <w:tcPr>
            <w:tcW w:w="939" w:type="dxa"/>
            <w:shd w:val="clear" w:color="auto" w:fill="D4E3F5"/>
          </w:tcPr>
          <w:p>
            <w:pPr>
              <w:pStyle w:val="TableParagraph"/>
              <w:ind w:left="33" w:right="32"/>
              <w:rPr>
                <w:sz w:val="14"/>
              </w:rPr>
            </w:pPr>
            <w:r>
              <w:rPr>
                <w:color w:val="231F20"/>
                <w:spacing w:val="-5"/>
                <w:w w:val="95"/>
                <w:sz w:val="14"/>
              </w:rPr>
              <w:t>4.5</w:t>
            </w:r>
          </w:p>
        </w:tc>
        <w:tc>
          <w:tcPr>
            <w:tcW w:w="1005" w:type="dxa"/>
            <w:shd w:val="clear" w:color="auto" w:fill="D4E3F5"/>
          </w:tcPr>
          <w:p>
            <w:pPr>
              <w:pStyle w:val="TableParagraph"/>
              <w:ind w:left="63" w:right="72"/>
              <w:rPr>
                <w:sz w:val="14"/>
              </w:rPr>
            </w:pPr>
            <w:r>
              <w:rPr>
                <w:color w:val="231F20"/>
                <w:spacing w:val="-4"/>
                <w:w w:val="95"/>
                <w:sz w:val="14"/>
              </w:rPr>
              <w:t>14.9</w:t>
            </w:r>
          </w:p>
        </w:tc>
      </w:tr>
      <w:tr>
        <w:trPr>
          <w:trHeight w:val="259" w:hRule="atLeast"/>
        </w:trPr>
        <w:tc>
          <w:tcPr>
            <w:tcW w:w="1358" w:type="dxa"/>
          </w:tcPr>
          <w:p>
            <w:pPr>
              <w:pStyle w:val="TableParagraph"/>
              <w:ind w:left="80"/>
              <w:jc w:val="left"/>
              <w:rPr>
                <w:sz w:val="14"/>
              </w:rPr>
            </w:pPr>
            <w:r>
              <w:rPr>
                <w:color w:val="231F20"/>
                <w:spacing w:val="-2"/>
                <w:w w:val="90"/>
                <w:sz w:val="14"/>
              </w:rPr>
              <w:t>Lithuania</w:t>
            </w:r>
          </w:p>
        </w:tc>
        <w:tc>
          <w:tcPr>
            <w:tcW w:w="1103" w:type="dxa"/>
          </w:tcPr>
          <w:p>
            <w:pPr>
              <w:pStyle w:val="TableParagraph"/>
              <w:ind w:right="435"/>
              <w:jc w:val="right"/>
              <w:rPr>
                <w:sz w:val="14"/>
              </w:rPr>
            </w:pPr>
            <w:r>
              <w:rPr>
                <w:color w:val="231F20"/>
                <w:spacing w:val="-2"/>
                <w:w w:val="95"/>
                <w:sz w:val="14"/>
              </w:rPr>
              <w:t>1,903</w:t>
            </w:r>
          </w:p>
        </w:tc>
        <w:tc>
          <w:tcPr>
            <w:tcW w:w="851" w:type="dxa"/>
          </w:tcPr>
          <w:p>
            <w:pPr>
              <w:pStyle w:val="TableParagraph"/>
              <w:ind w:left="84" w:right="136"/>
              <w:rPr>
                <w:sz w:val="14"/>
              </w:rPr>
            </w:pPr>
            <w:r>
              <w:rPr>
                <w:color w:val="231F20"/>
                <w:spacing w:val="-5"/>
                <w:w w:val="95"/>
                <w:sz w:val="14"/>
              </w:rPr>
              <w:t>9.2</w:t>
            </w:r>
          </w:p>
        </w:tc>
        <w:tc>
          <w:tcPr>
            <w:tcW w:w="1063" w:type="dxa"/>
          </w:tcPr>
          <w:p>
            <w:pPr>
              <w:pStyle w:val="TableParagraph"/>
              <w:ind w:left="79" w:right="53"/>
              <w:rPr>
                <w:sz w:val="14"/>
              </w:rPr>
            </w:pPr>
            <w:r>
              <w:rPr>
                <w:color w:val="231F20"/>
                <w:spacing w:val="-5"/>
                <w:w w:val="95"/>
                <w:sz w:val="14"/>
              </w:rPr>
              <w:t>8.3</w:t>
            </w:r>
          </w:p>
        </w:tc>
        <w:tc>
          <w:tcPr>
            <w:tcW w:w="1083" w:type="dxa"/>
          </w:tcPr>
          <w:p>
            <w:pPr>
              <w:pStyle w:val="TableParagraph"/>
              <w:ind w:left="392"/>
              <w:jc w:val="left"/>
              <w:rPr>
                <w:sz w:val="14"/>
              </w:rPr>
            </w:pPr>
            <w:r>
              <w:rPr>
                <w:color w:val="231F20"/>
                <w:spacing w:val="-5"/>
                <w:w w:val="95"/>
                <w:sz w:val="14"/>
              </w:rPr>
              <w:t>5.7</w:t>
            </w:r>
          </w:p>
        </w:tc>
        <w:tc>
          <w:tcPr>
            <w:tcW w:w="751" w:type="dxa"/>
          </w:tcPr>
          <w:p>
            <w:pPr>
              <w:pStyle w:val="TableParagraph"/>
              <w:ind w:left="46" w:right="63"/>
              <w:rPr>
                <w:sz w:val="14"/>
              </w:rPr>
            </w:pPr>
            <w:r>
              <w:rPr>
                <w:color w:val="231F20"/>
                <w:spacing w:val="-4"/>
                <w:w w:val="95"/>
                <w:sz w:val="14"/>
              </w:rPr>
              <w:t>11.9</w:t>
            </w:r>
          </w:p>
        </w:tc>
        <w:tc>
          <w:tcPr>
            <w:tcW w:w="240" w:type="dxa"/>
          </w:tcPr>
          <w:p>
            <w:pPr>
              <w:pStyle w:val="TableParagraph"/>
              <w:spacing w:before="0"/>
              <w:jc w:val="left"/>
              <w:rPr>
                <w:rFonts w:ascii="Times New Roman"/>
                <w:sz w:val="12"/>
              </w:rPr>
            </w:pPr>
          </w:p>
        </w:tc>
        <w:tc>
          <w:tcPr>
            <w:tcW w:w="851" w:type="dxa"/>
          </w:tcPr>
          <w:p>
            <w:pPr>
              <w:pStyle w:val="TableParagraph"/>
              <w:ind w:left="67" w:right="136"/>
              <w:rPr>
                <w:sz w:val="14"/>
              </w:rPr>
            </w:pPr>
            <w:r>
              <w:rPr>
                <w:color w:val="231F20"/>
                <w:spacing w:val="-5"/>
                <w:w w:val="95"/>
                <w:sz w:val="14"/>
              </w:rPr>
              <w:t>9.1</w:t>
            </w:r>
          </w:p>
        </w:tc>
        <w:tc>
          <w:tcPr>
            <w:tcW w:w="1073" w:type="dxa"/>
          </w:tcPr>
          <w:p>
            <w:pPr>
              <w:pStyle w:val="TableParagraph"/>
              <w:ind w:left="81" w:right="63"/>
              <w:rPr>
                <w:sz w:val="14"/>
              </w:rPr>
            </w:pPr>
            <w:r>
              <w:rPr>
                <w:color w:val="231F20"/>
                <w:spacing w:val="-5"/>
                <w:w w:val="95"/>
                <w:sz w:val="14"/>
              </w:rPr>
              <w:t>8.3</w:t>
            </w:r>
          </w:p>
        </w:tc>
        <w:tc>
          <w:tcPr>
            <w:tcW w:w="939" w:type="dxa"/>
          </w:tcPr>
          <w:p>
            <w:pPr>
              <w:pStyle w:val="TableParagraph"/>
              <w:ind w:left="32" w:right="32"/>
              <w:rPr>
                <w:sz w:val="14"/>
              </w:rPr>
            </w:pPr>
            <w:r>
              <w:rPr>
                <w:color w:val="231F20"/>
                <w:spacing w:val="-5"/>
                <w:w w:val="95"/>
                <w:sz w:val="14"/>
              </w:rPr>
              <w:t>5.6</w:t>
            </w:r>
          </w:p>
        </w:tc>
        <w:tc>
          <w:tcPr>
            <w:tcW w:w="1005" w:type="dxa"/>
          </w:tcPr>
          <w:p>
            <w:pPr>
              <w:pStyle w:val="TableParagraph"/>
              <w:ind w:left="63" w:right="63"/>
              <w:rPr>
                <w:sz w:val="14"/>
              </w:rPr>
            </w:pPr>
            <w:r>
              <w:rPr>
                <w:color w:val="231F20"/>
                <w:spacing w:val="-4"/>
                <w:w w:val="95"/>
                <w:sz w:val="14"/>
              </w:rPr>
              <w:t>11.8</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Madagascar</w:t>
            </w:r>
          </w:p>
        </w:tc>
        <w:tc>
          <w:tcPr>
            <w:tcW w:w="1103" w:type="dxa"/>
            <w:shd w:val="clear" w:color="auto" w:fill="D4E3F5"/>
          </w:tcPr>
          <w:p>
            <w:pPr>
              <w:pStyle w:val="TableParagraph"/>
              <w:ind w:right="435"/>
              <w:jc w:val="right"/>
              <w:rPr>
                <w:sz w:val="14"/>
              </w:rPr>
            </w:pPr>
            <w:r>
              <w:rPr>
                <w:color w:val="231F20"/>
                <w:spacing w:val="-2"/>
                <w:w w:val="95"/>
                <w:sz w:val="14"/>
              </w:rPr>
              <w:t>1,698</w:t>
            </w:r>
          </w:p>
        </w:tc>
        <w:tc>
          <w:tcPr>
            <w:tcW w:w="851" w:type="dxa"/>
            <w:shd w:val="clear" w:color="auto" w:fill="D4E3F5"/>
          </w:tcPr>
          <w:p>
            <w:pPr>
              <w:pStyle w:val="TableParagraph"/>
              <w:ind w:left="83" w:right="136"/>
              <w:rPr>
                <w:sz w:val="14"/>
              </w:rPr>
            </w:pPr>
            <w:r>
              <w:rPr>
                <w:color w:val="231F20"/>
                <w:spacing w:val="-5"/>
                <w:w w:val="95"/>
                <w:sz w:val="14"/>
              </w:rPr>
              <w:t>2.8</w:t>
            </w:r>
          </w:p>
        </w:tc>
        <w:tc>
          <w:tcPr>
            <w:tcW w:w="1063" w:type="dxa"/>
            <w:shd w:val="clear" w:color="auto" w:fill="D4E3F5"/>
          </w:tcPr>
          <w:p>
            <w:pPr>
              <w:pStyle w:val="TableParagraph"/>
              <w:ind w:left="59" w:right="53"/>
              <w:rPr>
                <w:sz w:val="14"/>
              </w:rPr>
            </w:pPr>
            <w:r>
              <w:rPr>
                <w:color w:val="231F20"/>
                <w:spacing w:val="-5"/>
                <w:w w:val="95"/>
                <w:sz w:val="14"/>
              </w:rPr>
              <w:t>2.1</w:t>
            </w:r>
          </w:p>
        </w:tc>
        <w:tc>
          <w:tcPr>
            <w:tcW w:w="1083" w:type="dxa"/>
            <w:shd w:val="clear" w:color="auto" w:fill="D4E3F5"/>
          </w:tcPr>
          <w:p>
            <w:pPr>
              <w:pStyle w:val="TableParagraph"/>
              <w:ind w:left="399"/>
              <w:jc w:val="left"/>
              <w:rPr>
                <w:sz w:val="14"/>
              </w:rPr>
            </w:pPr>
            <w:r>
              <w:rPr>
                <w:color w:val="231F20"/>
                <w:spacing w:val="-5"/>
                <w:w w:val="95"/>
                <w:sz w:val="14"/>
              </w:rPr>
              <w:t>1.4</w:t>
            </w:r>
          </w:p>
        </w:tc>
        <w:tc>
          <w:tcPr>
            <w:tcW w:w="751" w:type="dxa"/>
            <w:shd w:val="clear" w:color="auto" w:fill="D4E3F5"/>
          </w:tcPr>
          <w:p>
            <w:pPr>
              <w:pStyle w:val="TableParagraph"/>
              <w:ind w:left="78" w:right="45"/>
              <w:rPr>
                <w:sz w:val="14"/>
              </w:rPr>
            </w:pPr>
            <w:r>
              <w:rPr>
                <w:color w:val="231F20"/>
                <w:spacing w:val="-5"/>
                <w:w w:val="95"/>
                <w:sz w:val="14"/>
              </w:rPr>
              <w:t>3.0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5" w:right="136"/>
              <w:rPr>
                <w:sz w:val="14"/>
              </w:rPr>
            </w:pPr>
            <w:r>
              <w:rPr>
                <w:color w:val="231F20"/>
                <w:spacing w:val="-5"/>
                <w:w w:val="95"/>
                <w:sz w:val="14"/>
              </w:rPr>
              <w:t>2.8</w:t>
            </w:r>
          </w:p>
        </w:tc>
        <w:tc>
          <w:tcPr>
            <w:tcW w:w="1073" w:type="dxa"/>
            <w:shd w:val="clear" w:color="auto" w:fill="D4E3F5"/>
          </w:tcPr>
          <w:p>
            <w:pPr>
              <w:pStyle w:val="TableParagraph"/>
              <w:ind w:left="63" w:right="63"/>
              <w:rPr>
                <w:sz w:val="14"/>
              </w:rPr>
            </w:pPr>
            <w:r>
              <w:rPr>
                <w:color w:val="231F20"/>
                <w:spacing w:val="-5"/>
                <w:w w:val="95"/>
                <w:sz w:val="14"/>
              </w:rPr>
              <w:t>2.1</w:t>
            </w:r>
          </w:p>
        </w:tc>
        <w:tc>
          <w:tcPr>
            <w:tcW w:w="939" w:type="dxa"/>
            <w:shd w:val="clear" w:color="auto" w:fill="D4E3F5"/>
          </w:tcPr>
          <w:p>
            <w:pPr>
              <w:pStyle w:val="TableParagraph"/>
              <w:ind w:left="36" w:right="32"/>
              <w:rPr>
                <w:sz w:val="14"/>
              </w:rPr>
            </w:pPr>
            <w:r>
              <w:rPr>
                <w:color w:val="231F20"/>
                <w:spacing w:val="-5"/>
                <w:w w:val="95"/>
                <w:sz w:val="14"/>
              </w:rPr>
              <w:t>1.4</w:t>
            </w:r>
          </w:p>
        </w:tc>
        <w:tc>
          <w:tcPr>
            <w:tcW w:w="1005" w:type="dxa"/>
            <w:shd w:val="clear" w:color="auto" w:fill="D4E3F5"/>
          </w:tcPr>
          <w:p>
            <w:pPr>
              <w:pStyle w:val="TableParagraph"/>
              <w:ind w:left="63" w:right="14"/>
              <w:rPr>
                <w:sz w:val="14"/>
              </w:rPr>
            </w:pPr>
            <w:r>
              <w:rPr>
                <w:color w:val="231F20"/>
                <w:spacing w:val="-5"/>
                <w:w w:val="95"/>
                <w:sz w:val="14"/>
              </w:rPr>
              <w:t>3.0</w:t>
            </w:r>
          </w:p>
        </w:tc>
      </w:tr>
      <w:tr>
        <w:trPr>
          <w:trHeight w:val="259" w:hRule="atLeast"/>
        </w:trPr>
        <w:tc>
          <w:tcPr>
            <w:tcW w:w="1358" w:type="dxa"/>
          </w:tcPr>
          <w:p>
            <w:pPr>
              <w:pStyle w:val="TableParagraph"/>
              <w:ind w:left="80"/>
              <w:jc w:val="left"/>
              <w:rPr>
                <w:sz w:val="14"/>
              </w:rPr>
            </w:pPr>
            <w:r>
              <w:rPr>
                <w:color w:val="231F20"/>
                <w:spacing w:val="-2"/>
                <w:w w:val="90"/>
                <w:sz w:val="14"/>
              </w:rPr>
              <w:t>Malaysia</w:t>
            </w:r>
          </w:p>
        </w:tc>
        <w:tc>
          <w:tcPr>
            <w:tcW w:w="1103" w:type="dxa"/>
          </w:tcPr>
          <w:p>
            <w:pPr>
              <w:pStyle w:val="TableParagraph"/>
              <w:ind w:right="429"/>
              <w:jc w:val="right"/>
              <w:rPr>
                <w:sz w:val="14"/>
              </w:rPr>
            </w:pPr>
            <w:r>
              <w:rPr>
                <w:color w:val="231F20"/>
                <w:spacing w:val="-2"/>
                <w:w w:val="95"/>
                <w:sz w:val="14"/>
              </w:rPr>
              <w:t>32,484</w:t>
            </w:r>
          </w:p>
        </w:tc>
        <w:tc>
          <w:tcPr>
            <w:tcW w:w="851" w:type="dxa"/>
          </w:tcPr>
          <w:p>
            <w:pPr>
              <w:pStyle w:val="TableParagraph"/>
              <w:ind w:left="81" w:right="136"/>
              <w:rPr>
                <w:sz w:val="14"/>
              </w:rPr>
            </w:pPr>
            <w:r>
              <w:rPr>
                <w:color w:val="231F20"/>
                <w:spacing w:val="-5"/>
                <w:w w:val="95"/>
                <w:sz w:val="14"/>
              </w:rPr>
              <w:t>4.4</w:t>
            </w:r>
          </w:p>
        </w:tc>
        <w:tc>
          <w:tcPr>
            <w:tcW w:w="1063" w:type="dxa"/>
          </w:tcPr>
          <w:p>
            <w:pPr>
              <w:pStyle w:val="TableParagraph"/>
              <w:ind w:left="77" w:right="53"/>
              <w:rPr>
                <w:sz w:val="14"/>
              </w:rPr>
            </w:pPr>
            <w:r>
              <w:rPr>
                <w:color w:val="231F20"/>
                <w:spacing w:val="-5"/>
                <w:w w:val="95"/>
                <w:sz w:val="14"/>
              </w:rPr>
              <w:t>3.6</w:t>
            </w:r>
          </w:p>
        </w:tc>
        <w:tc>
          <w:tcPr>
            <w:tcW w:w="1083" w:type="dxa"/>
          </w:tcPr>
          <w:p>
            <w:pPr>
              <w:pStyle w:val="TableParagraph"/>
              <w:ind w:left="392"/>
              <w:jc w:val="left"/>
              <w:rPr>
                <w:sz w:val="14"/>
              </w:rPr>
            </w:pPr>
            <w:r>
              <w:rPr>
                <w:color w:val="231F20"/>
                <w:spacing w:val="-5"/>
                <w:w w:val="95"/>
                <w:sz w:val="14"/>
              </w:rPr>
              <w:t>2.4</w:t>
            </w:r>
          </w:p>
        </w:tc>
        <w:tc>
          <w:tcPr>
            <w:tcW w:w="751" w:type="dxa"/>
          </w:tcPr>
          <w:p>
            <w:pPr>
              <w:pStyle w:val="TableParagraph"/>
              <w:ind w:left="78" w:right="45"/>
              <w:rPr>
                <w:sz w:val="14"/>
              </w:rPr>
            </w:pPr>
            <w:r>
              <w:rPr>
                <w:color w:val="231F20"/>
                <w:spacing w:val="-5"/>
                <w:w w:val="95"/>
                <w:sz w:val="14"/>
              </w:rPr>
              <w:t>5.5</w:t>
            </w:r>
          </w:p>
        </w:tc>
        <w:tc>
          <w:tcPr>
            <w:tcW w:w="240" w:type="dxa"/>
          </w:tcPr>
          <w:p>
            <w:pPr>
              <w:pStyle w:val="TableParagraph"/>
              <w:spacing w:before="0"/>
              <w:jc w:val="left"/>
              <w:rPr>
                <w:rFonts w:ascii="Times New Roman"/>
                <w:sz w:val="12"/>
              </w:rPr>
            </w:pPr>
          </w:p>
        </w:tc>
        <w:tc>
          <w:tcPr>
            <w:tcW w:w="851" w:type="dxa"/>
          </w:tcPr>
          <w:p>
            <w:pPr>
              <w:pStyle w:val="TableParagraph"/>
              <w:ind w:left="84" w:right="136"/>
              <w:rPr>
                <w:sz w:val="14"/>
              </w:rPr>
            </w:pPr>
            <w:r>
              <w:rPr>
                <w:color w:val="231F20"/>
                <w:spacing w:val="-5"/>
                <w:w w:val="95"/>
                <w:sz w:val="14"/>
              </w:rPr>
              <w:t>4.4</w:t>
            </w:r>
          </w:p>
        </w:tc>
        <w:tc>
          <w:tcPr>
            <w:tcW w:w="1073" w:type="dxa"/>
          </w:tcPr>
          <w:p>
            <w:pPr>
              <w:pStyle w:val="TableParagraph"/>
              <w:ind w:left="79" w:right="63"/>
              <w:rPr>
                <w:sz w:val="14"/>
              </w:rPr>
            </w:pPr>
            <w:r>
              <w:rPr>
                <w:color w:val="231F20"/>
                <w:spacing w:val="-5"/>
                <w:w w:val="95"/>
                <w:sz w:val="14"/>
              </w:rPr>
              <w:t>3.6</w:t>
            </w:r>
          </w:p>
        </w:tc>
        <w:tc>
          <w:tcPr>
            <w:tcW w:w="939" w:type="dxa"/>
          </w:tcPr>
          <w:p>
            <w:pPr>
              <w:pStyle w:val="TableParagraph"/>
              <w:ind w:left="32" w:right="32"/>
              <w:rPr>
                <w:sz w:val="14"/>
              </w:rPr>
            </w:pPr>
            <w:r>
              <w:rPr>
                <w:color w:val="231F20"/>
                <w:spacing w:val="-5"/>
                <w:w w:val="95"/>
                <w:sz w:val="14"/>
              </w:rPr>
              <w:t>2.4</w:t>
            </w:r>
          </w:p>
        </w:tc>
        <w:tc>
          <w:tcPr>
            <w:tcW w:w="1005" w:type="dxa"/>
          </w:tcPr>
          <w:p>
            <w:pPr>
              <w:pStyle w:val="TableParagraph"/>
              <w:ind w:left="63" w:right="13"/>
              <w:rPr>
                <w:sz w:val="14"/>
              </w:rPr>
            </w:pPr>
            <w:r>
              <w:rPr>
                <w:color w:val="231F20"/>
                <w:spacing w:val="-5"/>
                <w:w w:val="95"/>
                <w:sz w:val="14"/>
              </w:rPr>
              <w:t>5.5</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Maldives</w:t>
            </w:r>
          </w:p>
        </w:tc>
        <w:tc>
          <w:tcPr>
            <w:tcW w:w="1103" w:type="dxa"/>
            <w:shd w:val="clear" w:color="auto" w:fill="D4E3F5"/>
          </w:tcPr>
          <w:p>
            <w:pPr>
              <w:pStyle w:val="TableParagraph"/>
              <w:ind w:right="436"/>
              <w:jc w:val="right"/>
              <w:rPr>
                <w:sz w:val="14"/>
              </w:rPr>
            </w:pPr>
            <w:r>
              <w:rPr>
                <w:color w:val="231F20"/>
                <w:spacing w:val="-10"/>
                <w:w w:val="95"/>
                <w:sz w:val="14"/>
              </w:rPr>
              <w:t>6</w:t>
            </w:r>
          </w:p>
        </w:tc>
        <w:tc>
          <w:tcPr>
            <w:tcW w:w="851" w:type="dxa"/>
            <w:shd w:val="clear" w:color="auto" w:fill="D4E3F5"/>
          </w:tcPr>
          <w:p>
            <w:pPr>
              <w:pStyle w:val="TableParagraph"/>
              <w:ind w:left="90" w:right="136"/>
              <w:rPr>
                <w:sz w:val="14"/>
              </w:rPr>
            </w:pPr>
            <w:r>
              <w:rPr>
                <w:color w:val="231F20"/>
                <w:spacing w:val="-5"/>
                <w:w w:val="95"/>
                <w:sz w:val="14"/>
              </w:rPr>
              <w:t>1.5</w:t>
            </w:r>
          </w:p>
        </w:tc>
        <w:tc>
          <w:tcPr>
            <w:tcW w:w="1063" w:type="dxa"/>
            <w:shd w:val="clear" w:color="auto" w:fill="D4E3F5"/>
          </w:tcPr>
          <w:p>
            <w:pPr>
              <w:pStyle w:val="TableParagraph"/>
              <w:ind w:left="85" w:right="53"/>
              <w:rPr>
                <w:sz w:val="14"/>
              </w:rPr>
            </w:pPr>
            <w:r>
              <w:rPr>
                <w:color w:val="231F20"/>
                <w:spacing w:val="-5"/>
                <w:w w:val="95"/>
                <w:sz w:val="14"/>
              </w:rPr>
              <w:t>1.2</w:t>
            </w:r>
          </w:p>
        </w:tc>
        <w:tc>
          <w:tcPr>
            <w:tcW w:w="1083" w:type="dxa"/>
            <w:shd w:val="clear" w:color="auto" w:fill="D4E3F5"/>
          </w:tcPr>
          <w:p>
            <w:pPr>
              <w:pStyle w:val="TableParagraph"/>
              <w:ind w:left="399"/>
              <w:jc w:val="left"/>
              <w:rPr>
                <w:sz w:val="14"/>
              </w:rPr>
            </w:pPr>
            <w:r>
              <w:rPr>
                <w:color w:val="231F20"/>
                <w:spacing w:val="-5"/>
                <w:w w:val="95"/>
                <w:sz w:val="14"/>
              </w:rPr>
              <w:t>1.2</w:t>
            </w:r>
          </w:p>
        </w:tc>
        <w:tc>
          <w:tcPr>
            <w:tcW w:w="751" w:type="dxa"/>
            <w:shd w:val="clear" w:color="auto" w:fill="D4E3F5"/>
          </w:tcPr>
          <w:p>
            <w:pPr>
              <w:pStyle w:val="TableParagraph"/>
              <w:ind w:left="86" w:right="45"/>
              <w:rPr>
                <w:sz w:val="14"/>
              </w:rPr>
            </w:pPr>
            <w:r>
              <w:rPr>
                <w:color w:val="231F20"/>
                <w:spacing w:val="-5"/>
                <w:w w:val="95"/>
                <w:sz w:val="14"/>
              </w:rPr>
              <w:t>1.3</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92" w:right="136"/>
              <w:rPr>
                <w:sz w:val="14"/>
              </w:rPr>
            </w:pPr>
            <w:r>
              <w:rPr>
                <w:color w:val="231F20"/>
                <w:spacing w:val="-5"/>
                <w:w w:val="95"/>
                <w:sz w:val="14"/>
              </w:rPr>
              <w:t>1.5</w:t>
            </w:r>
          </w:p>
        </w:tc>
        <w:tc>
          <w:tcPr>
            <w:tcW w:w="1073" w:type="dxa"/>
            <w:shd w:val="clear" w:color="auto" w:fill="D4E3F5"/>
          </w:tcPr>
          <w:p>
            <w:pPr>
              <w:pStyle w:val="TableParagraph"/>
              <w:ind w:left="88" w:right="63"/>
              <w:rPr>
                <w:sz w:val="14"/>
              </w:rPr>
            </w:pPr>
            <w:r>
              <w:rPr>
                <w:color w:val="231F20"/>
                <w:spacing w:val="-5"/>
                <w:w w:val="95"/>
                <w:sz w:val="14"/>
              </w:rPr>
              <w:t>1.2</w:t>
            </w:r>
          </w:p>
        </w:tc>
        <w:tc>
          <w:tcPr>
            <w:tcW w:w="939" w:type="dxa"/>
            <w:shd w:val="clear" w:color="auto" w:fill="D4E3F5"/>
          </w:tcPr>
          <w:p>
            <w:pPr>
              <w:pStyle w:val="TableParagraph"/>
              <w:ind w:left="40" w:right="32"/>
              <w:rPr>
                <w:sz w:val="14"/>
              </w:rPr>
            </w:pPr>
            <w:r>
              <w:rPr>
                <w:color w:val="231F20"/>
                <w:spacing w:val="-5"/>
                <w:w w:val="95"/>
                <w:sz w:val="14"/>
              </w:rPr>
              <w:t>1.2</w:t>
            </w:r>
          </w:p>
        </w:tc>
        <w:tc>
          <w:tcPr>
            <w:tcW w:w="1005" w:type="dxa"/>
            <w:shd w:val="clear" w:color="auto" w:fill="D4E3F5"/>
          </w:tcPr>
          <w:p>
            <w:pPr>
              <w:pStyle w:val="TableParagraph"/>
              <w:ind w:left="70" w:right="13"/>
              <w:rPr>
                <w:sz w:val="14"/>
              </w:rPr>
            </w:pPr>
            <w:r>
              <w:rPr>
                <w:color w:val="231F20"/>
                <w:spacing w:val="-5"/>
                <w:w w:val="95"/>
                <w:sz w:val="14"/>
              </w:rPr>
              <w:t>1.3</w:t>
            </w:r>
          </w:p>
        </w:tc>
      </w:tr>
      <w:tr>
        <w:trPr>
          <w:trHeight w:val="259" w:hRule="atLeast"/>
        </w:trPr>
        <w:tc>
          <w:tcPr>
            <w:tcW w:w="1358" w:type="dxa"/>
          </w:tcPr>
          <w:p>
            <w:pPr>
              <w:pStyle w:val="TableParagraph"/>
              <w:ind w:left="80"/>
              <w:jc w:val="left"/>
              <w:rPr>
                <w:sz w:val="14"/>
              </w:rPr>
            </w:pPr>
            <w:r>
              <w:rPr>
                <w:color w:val="231F20"/>
                <w:spacing w:val="-4"/>
                <w:w w:val="90"/>
                <w:sz w:val="14"/>
              </w:rPr>
              <w:t>Mali</w:t>
            </w:r>
          </w:p>
        </w:tc>
        <w:tc>
          <w:tcPr>
            <w:tcW w:w="1103" w:type="dxa"/>
          </w:tcPr>
          <w:p>
            <w:pPr>
              <w:pStyle w:val="TableParagraph"/>
              <w:ind w:right="439"/>
              <w:jc w:val="right"/>
              <w:rPr>
                <w:sz w:val="14"/>
              </w:rPr>
            </w:pPr>
            <w:r>
              <w:rPr>
                <w:color w:val="231F20"/>
                <w:spacing w:val="-5"/>
                <w:w w:val="95"/>
                <w:sz w:val="14"/>
              </w:rPr>
              <w:t>14</w:t>
            </w:r>
          </w:p>
        </w:tc>
        <w:tc>
          <w:tcPr>
            <w:tcW w:w="851" w:type="dxa"/>
          </w:tcPr>
          <w:p>
            <w:pPr>
              <w:pStyle w:val="TableParagraph"/>
              <w:ind w:left="18" w:right="136"/>
              <w:rPr>
                <w:sz w:val="14"/>
              </w:rPr>
            </w:pPr>
            <w:r>
              <w:rPr>
                <w:color w:val="231F20"/>
                <w:spacing w:val="-4"/>
                <w:w w:val="95"/>
                <w:sz w:val="14"/>
              </w:rPr>
              <w:t>15.0</w:t>
            </w:r>
          </w:p>
        </w:tc>
        <w:tc>
          <w:tcPr>
            <w:tcW w:w="1063" w:type="dxa"/>
          </w:tcPr>
          <w:p>
            <w:pPr>
              <w:pStyle w:val="TableParagraph"/>
              <w:ind w:left="38" w:right="73"/>
              <w:rPr>
                <w:sz w:val="14"/>
              </w:rPr>
            </w:pPr>
            <w:r>
              <w:rPr>
                <w:color w:val="231F20"/>
                <w:spacing w:val="-4"/>
                <w:w w:val="95"/>
                <w:sz w:val="14"/>
              </w:rPr>
              <w:t>14.0</w:t>
            </w:r>
          </w:p>
        </w:tc>
        <w:tc>
          <w:tcPr>
            <w:tcW w:w="1083" w:type="dxa"/>
          </w:tcPr>
          <w:p>
            <w:pPr>
              <w:pStyle w:val="TableParagraph"/>
              <w:ind w:left="328"/>
              <w:jc w:val="left"/>
              <w:rPr>
                <w:sz w:val="14"/>
              </w:rPr>
            </w:pPr>
            <w:r>
              <w:rPr>
                <w:color w:val="231F20"/>
                <w:spacing w:val="-4"/>
                <w:w w:val="95"/>
                <w:sz w:val="14"/>
              </w:rPr>
              <w:t>10.8</w:t>
            </w:r>
          </w:p>
        </w:tc>
        <w:tc>
          <w:tcPr>
            <w:tcW w:w="751" w:type="dxa"/>
          </w:tcPr>
          <w:p>
            <w:pPr>
              <w:pStyle w:val="TableParagraph"/>
              <w:ind w:left="46" w:right="74"/>
              <w:rPr>
                <w:sz w:val="14"/>
              </w:rPr>
            </w:pPr>
            <w:r>
              <w:rPr>
                <w:color w:val="231F20"/>
                <w:spacing w:val="-4"/>
                <w:w w:val="95"/>
                <w:sz w:val="14"/>
              </w:rPr>
              <w:t>16.8</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3.6</w:t>
            </w:r>
          </w:p>
        </w:tc>
        <w:tc>
          <w:tcPr>
            <w:tcW w:w="1073" w:type="dxa"/>
          </w:tcPr>
          <w:p>
            <w:pPr>
              <w:pStyle w:val="TableParagraph"/>
              <w:ind w:left="80" w:right="63"/>
              <w:rPr>
                <w:sz w:val="14"/>
              </w:rPr>
            </w:pPr>
            <w:r>
              <w:rPr>
                <w:color w:val="231F20"/>
                <w:spacing w:val="-5"/>
                <w:w w:val="95"/>
                <w:sz w:val="14"/>
              </w:rPr>
              <w:t>4.0</w:t>
            </w:r>
          </w:p>
        </w:tc>
        <w:tc>
          <w:tcPr>
            <w:tcW w:w="939" w:type="dxa"/>
          </w:tcPr>
          <w:p>
            <w:pPr>
              <w:pStyle w:val="TableParagraph"/>
              <w:ind w:left="32" w:right="32"/>
              <w:rPr>
                <w:sz w:val="14"/>
              </w:rPr>
            </w:pPr>
            <w:r>
              <w:rPr>
                <w:color w:val="231F20"/>
                <w:spacing w:val="-5"/>
                <w:w w:val="95"/>
                <w:sz w:val="14"/>
              </w:rPr>
              <w:t>2.8</w:t>
            </w:r>
          </w:p>
        </w:tc>
        <w:tc>
          <w:tcPr>
            <w:tcW w:w="1005" w:type="dxa"/>
          </w:tcPr>
          <w:p>
            <w:pPr>
              <w:pStyle w:val="TableParagraph"/>
              <w:ind w:left="63" w:right="14"/>
              <w:rPr>
                <w:sz w:val="14"/>
              </w:rPr>
            </w:pPr>
            <w:r>
              <w:rPr>
                <w:color w:val="231F20"/>
                <w:spacing w:val="-5"/>
                <w:w w:val="95"/>
                <w:sz w:val="14"/>
              </w:rPr>
              <w:t>4.4</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Malta</w:t>
            </w:r>
          </w:p>
        </w:tc>
        <w:tc>
          <w:tcPr>
            <w:tcW w:w="1103" w:type="dxa"/>
            <w:shd w:val="clear" w:color="auto" w:fill="D4E3F5"/>
          </w:tcPr>
          <w:p>
            <w:pPr>
              <w:pStyle w:val="TableParagraph"/>
              <w:ind w:right="431"/>
              <w:jc w:val="right"/>
              <w:rPr>
                <w:sz w:val="14"/>
              </w:rPr>
            </w:pPr>
            <w:r>
              <w:rPr>
                <w:color w:val="231F20"/>
                <w:spacing w:val="-5"/>
                <w:w w:val="95"/>
                <w:sz w:val="14"/>
              </w:rPr>
              <w:t>59</w:t>
            </w:r>
          </w:p>
        </w:tc>
        <w:tc>
          <w:tcPr>
            <w:tcW w:w="851" w:type="dxa"/>
            <w:shd w:val="clear" w:color="auto" w:fill="D4E3F5"/>
          </w:tcPr>
          <w:p>
            <w:pPr>
              <w:pStyle w:val="TableParagraph"/>
              <w:ind w:left="83" w:right="136"/>
              <w:rPr>
                <w:sz w:val="14"/>
              </w:rPr>
            </w:pPr>
            <w:r>
              <w:rPr>
                <w:color w:val="231F20"/>
                <w:spacing w:val="-5"/>
                <w:w w:val="95"/>
                <w:sz w:val="14"/>
              </w:rPr>
              <w:t>8.2</w:t>
            </w:r>
          </w:p>
        </w:tc>
        <w:tc>
          <w:tcPr>
            <w:tcW w:w="1063" w:type="dxa"/>
            <w:shd w:val="clear" w:color="auto" w:fill="D4E3F5"/>
          </w:tcPr>
          <w:p>
            <w:pPr>
              <w:pStyle w:val="TableParagraph"/>
              <w:ind w:left="77" w:right="53"/>
              <w:rPr>
                <w:sz w:val="14"/>
              </w:rPr>
            </w:pPr>
            <w:r>
              <w:rPr>
                <w:color w:val="231F20"/>
                <w:spacing w:val="-5"/>
                <w:w w:val="95"/>
                <w:sz w:val="14"/>
              </w:rPr>
              <w:t>6.3</w:t>
            </w:r>
          </w:p>
        </w:tc>
        <w:tc>
          <w:tcPr>
            <w:tcW w:w="1083" w:type="dxa"/>
            <w:shd w:val="clear" w:color="auto" w:fill="D4E3F5"/>
          </w:tcPr>
          <w:p>
            <w:pPr>
              <w:pStyle w:val="TableParagraph"/>
              <w:ind w:left="391"/>
              <w:jc w:val="left"/>
              <w:rPr>
                <w:sz w:val="14"/>
              </w:rPr>
            </w:pPr>
            <w:r>
              <w:rPr>
                <w:color w:val="231F20"/>
                <w:spacing w:val="-5"/>
                <w:w w:val="95"/>
                <w:sz w:val="14"/>
              </w:rPr>
              <w:t>3.8</w:t>
            </w:r>
          </w:p>
        </w:tc>
        <w:tc>
          <w:tcPr>
            <w:tcW w:w="751" w:type="dxa"/>
            <w:shd w:val="clear" w:color="auto" w:fill="D4E3F5"/>
          </w:tcPr>
          <w:p>
            <w:pPr>
              <w:pStyle w:val="TableParagraph"/>
              <w:ind w:left="79" w:right="45"/>
              <w:rPr>
                <w:sz w:val="14"/>
              </w:rPr>
            </w:pPr>
            <w:r>
              <w:rPr>
                <w:color w:val="231F20"/>
                <w:spacing w:val="-5"/>
                <w:w w:val="95"/>
                <w:sz w:val="14"/>
              </w:rPr>
              <w:t>9.3</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6" w:right="136"/>
              <w:rPr>
                <w:sz w:val="14"/>
              </w:rPr>
            </w:pPr>
            <w:r>
              <w:rPr>
                <w:color w:val="231F20"/>
                <w:spacing w:val="-5"/>
                <w:w w:val="95"/>
                <w:sz w:val="14"/>
              </w:rPr>
              <w:t>8.2</w:t>
            </w:r>
          </w:p>
        </w:tc>
        <w:tc>
          <w:tcPr>
            <w:tcW w:w="1073" w:type="dxa"/>
            <w:shd w:val="clear" w:color="auto" w:fill="D4E3F5"/>
          </w:tcPr>
          <w:p>
            <w:pPr>
              <w:pStyle w:val="TableParagraph"/>
              <w:ind w:left="80" w:right="63"/>
              <w:rPr>
                <w:sz w:val="14"/>
              </w:rPr>
            </w:pPr>
            <w:r>
              <w:rPr>
                <w:color w:val="231F20"/>
                <w:spacing w:val="-5"/>
                <w:w w:val="95"/>
                <w:sz w:val="14"/>
              </w:rPr>
              <w:t>6.3</w:t>
            </w:r>
          </w:p>
        </w:tc>
        <w:tc>
          <w:tcPr>
            <w:tcW w:w="939" w:type="dxa"/>
            <w:shd w:val="clear" w:color="auto" w:fill="D4E3F5"/>
          </w:tcPr>
          <w:p>
            <w:pPr>
              <w:pStyle w:val="TableParagraph"/>
              <w:ind w:left="33" w:right="32"/>
              <w:rPr>
                <w:sz w:val="14"/>
              </w:rPr>
            </w:pPr>
            <w:r>
              <w:rPr>
                <w:color w:val="231F20"/>
                <w:spacing w:val="-5"/>
                <w:w w:val="95"/>
                <w:sz w:val="14"/>
              </w:rPr>
              <w:t>3.8</w:t>
            </w:r>
          </w:p>
        </w:tc>
        <w:tc>
          <w:tcPr>
            <w:tcW w:w="1005" w:type="dxa"/>
            <w:shd w:val="clear" w:color="auto" w:fill="D4E3F5"/>
          </w:tcPr>
          <w:p>
            <w:pPr>
              <w:pStyle w:val="TableParagraph"/>
              <w:ind w:left="64" w:right="13"/>
              <w:rPr>
                <w:sz w:val="14"/>
              </w:rPr>
            </w:pPr>
            <w:r>
              <w:rPr>
                <w:color w:val="231F20"/>
                <w:spacing w:val="-5"/>
                <w:w w:val="95"/>
                <w:sz w:val="14"/>
              </w:rPr>
              <w:t>9.3</w:t>
            </w:r>
          </w:p>
        </w:tc>
      </w:tr>
      <w:tr>
        <w:trPr>
          <w:trHeight w:val="259" w:hRule="atLeast"/>
        </w:trPr>
        <w:tc>
          <w:tcPr>
            <w:tcW w:w="1358" w:type="dxa"/>
          </w:tcPr>
          <w:p>
            <w:pPr>
              <w:pStyle w:val="TableParagraph"/>
              <w:ind w:left="80"/>
              <w:jc w:val="left"/>
              <w:rPr>
                <w:sz w:val="14"/>
              </w:rPr>
            </w:pPr>
            <w:r>
              <w:rPr>
                <w:color w:val="231F20"/>
                <w:spacing w:val="-2"/>
                <w:w w:val="90"/>
                <w:sz w:val="14"/>
              </w:rPr>
              <w:t>Martinique</w:t>
            </w:r>
          </w:p>
        </w:tc>
        <w:tc>
          <w:tcPr>
            <w:tcW w:w="1103" w:type="dxa"/>
          </w:tcPr>
          <w:p>
            <w:pPr>
              <w:pStyle w:val="TableParagraph"/>
              <w:ind w:right="435"/>
              <w:jc w:val="right"/>
              <w:rPr>
                <w:sz w:val="14"/>
              </w:rPr>
            </w:pPr>
            <w:r>
              <w:rPr>
                <w:color w:val="231F20"/>
                <w:spacing w:val="-5"/>
                <w:w w:val="95"/>
                <w:sz w:val="14"/>
              </w:rPr>
              <w:t>139</w:t>
            </w:r>
          </w:p>
        </w:tc>
        <w:tc>
          <w:tcPr>
            <w:tcW w:w="851" w:type="dxa"/>
          </w:tcPr>
          <w:p>
            <w:pPr>
              <w:pStyle w:val="TableParagraph"/>
              <w:ind w:left="20" w:right="136"/>
              <w:rPr>
                <w:sz w:val="14"/>
              </w:rPr>
            </w:pPr>
            <w:r>
              <w:rPr>
                <w:color w:val="231F20"/>
                <w:spacing w:val="-4"/>
                <w:w w:val="95"/>
                <w:sz w:val="14"/>
              </w:rPr>
              <w:t>12.9</w:t>
            </w:r>
          </w:p>
        </w:tc>
        <w:tc>
          <w:tcPr>
            <w:tcW w:w="1063" w:type="dxa"/>
          </w:tcPr>
          <w:p>
            <w:pPr>
              <w:pStyle w:val="TableParagraph"/>
              <w:ind w:left="38" w:right="76"/>
              <w:rPr>
                <w:sz w:val="14"/>
              </w:rPr>
            </w:pPr>
            <w:r>
              <w:rPr>
                <w:color w:val="231F20"/>
                <w:spacing w:val="-4"/>
                <w:w w:val="95"/>
                <w:sz w:val="14"/>
              </w:rPr>
              <w:t>10.4</w:t>
            </w:r>
          </w:p>
        </w:tc>
        <w:tc>
          <w:tcPr>
            <w:tcW w:w="1083" w:type="dxa"/>
          </w:tcPr>
          <w:p>
            <w:pPr>
              <w:pStyle w:val="TableParagraph"/>
              <w:ind w:left="393"/>
              <w:jc w:val="left"/>
              <w:rPr>
                <w:sz w:val="14"/>
              </w:rPr>
            </w:pPr>
            <w:r>
              <w:rPr>
                <w:color w:val="231F20"/>
                <w:spacing w:val="-5"/>
                <w:w w:val="95"/>
                <w:sz w:val="14"/>
              </w:rPr>
              <w:t>4.4</w:t>
            </w:r>
          </w:p>
        </w:tc>
        <w:tc>
          <w:tcPr>
            <w:tcW w:w="751" w:type="dxa"/>
          </w:tcPr>
          <w:p>
            <w:pPr>
              <w:pStyle w:val="TableParagraph"/>
              <w:ind w:left="46" w:right="74"/>
              <w:rPr>
                <w:sz w:val="14"/>
              </w:rPr>
            </w:pPr>
            <w:r>
              <w:rPr>
                <w:color w:val="231F20"/>
                <w:spacing w:val="-4"/>
                <w:w w:val="95"/>
                <w:sz w:val="14"/>
              </w:rPr>
              <w:t>18.6</w:t>
            </w:r>
          </w:p>
        </w:tc>
        <w:tc>
          <w:tcPr>
            <w:tcW w:w="240" w:type="dxa"/>
          </w:tcPr>
          <w:p>
            <w:pPr>
              <w:pStyle w:val="TableParagraph"/>
              <w:spacing w:before="0"/>
              <w:jc w:val="left"/>
              <w:rPr>
                <w:rFonts w:ascii="Times New Roman"/>
                <w:sz w:val="12"/>
              </w:rPr>
            </w:pPr>
          </w:p>
        </w:tc>
        <w:tc>
          <w:tcPr>
            <w:tcW w:w="851" w:type="dxa"/>
          </w:tcPr>
          <w:p>
            <w:pPr>
              <w:pStyle w:val="TableParagraph"/>
              <w:ind w:left="251"/>
              <w:jc w:val="left"/>
              <w:rPr>
                <w:sz w:val="14"/>
              </w:rPr>
            </w:pPr>
            <w:r>
              <w:rPr>
                <w:color w:val="231F20"/>
                <w:spacing w:val="-4"/>
                <w:w w:val="95"/>
                <w:sz w:val="14"/>
              </w:rPr>
              <w:t>12.9</w:t>
            </w:r>
          </w:p>
        </w:tc>
        <w:tc>
          <w:tcPr>
            <w:tcW w:w="1073" w:type="dxa"/>
          </w:tcPr>
          <w:p>
            <w:pPr>
              <w:pStyle w:val="TableParagraph"/>
              <w:ind w:left="30" w:right="76"/>
              <w:rPr>
                <w:sz w:val="14"/>
              </w:rPr>
            </w:pPr>
            <w:r>
              <w:rPr>
                <w:color w:val="231F20"/>
                <w:spacing w:val="-4"/>
                <w:w w:val="95"/>
                <w:sz w:val="14"/>
              </w:rPr>
              <w:t>10.4</w:t>
            </w:r>
          </w:p>
        </w:tc>
        <w:tc>
          <w:tcPr>
            <w:tcW w:w="939" w:type="dxa"/>
          </w:tcPr>
          <w:p>
            <w:pPr>
              <w:pStyle w:val="TableParagraph"/>
              <w:ind w:left="31" w:right="32"/>
              <w:rPr>
                <w:sz w:val="14"/>
              </w:rPr>
            </w:pPr>
            <w:r>
              <w:rPr>
                <w:color w:val="231F20"/>
                <w:spacing w:val="-5"/>
                <w:w w:val="95"/>
                <w:sz w:val="14"/>
              </w:rPr>
              <w:t>4.4</w:t>
            </w:r>
          </w:p>
        </w:tc>
        <w:tc>
          <w:tcPr>
            <w:tcW w:w="1005" w:type="dxa"/>
          </w:tcPr>
          <w:p>
            <w:pPr>
              <w:pStyle w:val="TableParagraph"/>
              <w:ind w:left="63" w:right="74"/>
              <w:rPr>
                <w:sz w:val="14"/>
              </w:rPr>
            </w:pPr>
            <w:r>
              <w:rPr>
                <w:color w:val="231F20"/>
                <w:spacing w:val="-4"/>
                <w:w w:val="95"/>
                <w:sz w:val="14"/>
              </w:rPr>
              <w:t>18.6</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Mauritania</w:t>
            </w:r>
          </w:p>
        </w:tc>
        <w:tc>
          <w:tcPr>
            <w:tcW w:w="1103" w:type="dxa"/>
            <w:shd w:val="clear" w:color="auto" w:fill="D4E3F5"/>
          </w:tcPr>
          <w:p>
            <w:pPr>
              <w:pStyle w:val="TableParagraph"/>
              <w:ind w:right="430"/>
              <w:jc w:val="right"/>
              <w:rPr>
                <w:sz w:val="14"/>
              </w:rPr>
            </w:pPr>
            <w:r>
              <w:rPr>
                <w:color w:val="231F20"/>
                <w:spacing w:val="-5"/>
                <w:w w:val="95"/>
                <w:sz w:val="14"/>
              </w:rPr>
              <w:t>388</w:t>
            </w:r>
          </w:p>
        </w:tc>
        <w:tc>
          <w:tcPr>
            <w:tcW w:w="851" w:type="dxa"/>
            <w:shd w:val="clear" w:color="auto" w:fill="D4E3F5"/>
          </w:tcPr>
          <w:p>
            <w:pPr>
              <w:pStyle w:val="TableParagraph"/>
              <w:ind w:left="18" w:right="136"/>
              <w:rPr>
                <w:sz w:val="14"/>
              </w:rPr>
            </w:pPr>
            <w:r>
              <w:rPr>
                <w:color w:val="231F20"/>
                <w:spacing w:val="-4"/>
                <w:w w:val="95"/>
                <w:sz w:val="14"/>
              </w:rPr>
              <w:t>15.0</w:t>
            </w:r>
          </w:p>
        </w:tc>
        <w:tc>
          <w:tcPr>
            <w:tcW w:w="1063" w:type="dxa"/>
            <w:shd w:val="clear" w:color="auto" w:fill="D4E3F5"/>
          </w:tcPr>
          <w:p>
            <w:pPr>
              <w:pStyle w:val="TableParagraph"/>
              <w:ind w:left="38" w:right="73"/>
              <w:rPr>
                <w:sz w:val="14"/>
              </w:rPr>
            </w:pPr>
            <w:r>
              <w:rPr>
                <w:color w:val="231F20"/>
                <w:spacing w:val="-4"/>
                <w:w w:val="95"/>
                <w:sz w:val="14"/>
              </w:rPr>
              <w:t>12.8</w:t>
            </w:r>
          </w:p>
        </w:tc>
        <w:tc>
          <w:tcPr>
            <w:tcW w:w="1083" w:type="dxa"/>
            <w:shd w:val="clear" w:color="auto" w:fill="D4E3F5"/>
          </w:tcPr>
          <w:p>
            <w:pPr>
              <w:pStyle w:val="TableParagraph"/>
              <w:ind w:left="391"/>
              <w:jc w:val="left"/>
              <w:rPr>
                <w:sz w:val="14"/>
              </w:rPr>
            </w:pPr>
            <w:r>
              <w:rPr>
                <w:color w:val="231F20"/>
                <w:spacing w:val="-5"/>
                <w:w w:val="95"/>
                <w:sz w:val="14"/>
              </w:rPr>
              <w:t>8.1</w:t>
            </w:r>
          </w:p>
        </w:tc>
        <w:tc>
          <w:tcPr>
            <w:tcW w:w="751" w:type="dxa"/>
            <w:shd w:val="clear" w:color="auto" w:fill="D4E3F5"/>
          </w:tcPr>
          <w:p>
            <w:pPr>
              <w:pStyle w:val="TableParagraph"/>
              <w:ind w:left="46" w:right="72"/>
              <w:rPr>
                <w:sz w:val="14"/>
              </w:rPr>
            </w:pPr>
            <w:r>
              <w:rPr>
                <w:color w:val="231F20"/>
                <w:spacing w:val="-4"/>
                <w:w w:val="95"/>
                <w:sz w:val="14"/>
              </w:rPr>
              <w:t>19.8</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51"/>
              <w:jc w:val="left"/>
              <w:rPr>
                <w:sz w:val="14"/>
              </w:rPr>
            </w:pPr>
            <w:r>
              <w:rPr>
                <w:color w:val="231F20"/>
                <w:spacing w:val="-4"/>
                <w:w w:val="95"/>
                <w:sz w:val="14"/>
              </w:rPr>
              <w:t>14.9</w:t>
            </w:r>
          </w:p>
        </w:tc>
        <w:tc>
          <w:tcPr>
            <w:tcW w:w="1073" w:type="dxa"/>
            <w:shd w:val="clear" w:color="auto" w:fill="D4E3F5"/>
          </w:tcPr>
          <w:p>
            <w:pPr>
              <w:pStyle w:val="TableParagraph"/>
              <w:ind w:left="30" w:right="76"/>
              <w:rPr>
                <w:sz w:val="14"/>
              </w:rPr>
            </w:pPr>
            <w:r>
              <w:rPr>
                <w:color w:val="231F20"/>
                <w:spacing w:val="-4"/>
                <w:w w:val="95"/>
                <w:sz w:val="14"/>
              </w:rPr>
              <w:t>12.7</w:t>
            </w:r>
          </w:p>
        </w:tc>
        <w:tc>
          <w:tcPr>
            <w:tcW w:w="939" w:type="dxa"/>
            <w:shd w:val="clear" w:color="auto" w:fill="D4E3F5"/>
          </w:tcPr>
          <w:p>
            <w:pPr>
              <w:pStyle w:val="TableParagraph"/>
              <w:ind w:left="32" w:right="32"/>
              <w:rPr>
                <w:sz w:val="14"/>
              </w:rPr>
            </w:pPr>
            <w:r>
              <w:rPr>
                <w:color w:val="231F20"/>
                <w:spacing w:val="-5"/>
                <w:w w:val="95"/>
                <w:sz w:val="14"/>
              </w:rPr>
              <w:t>8.0</w:t>
            </w:r>
          </w:p>
        </w:tc>
        <w:tc>
          <w:tcPr>
            <w:tcW w:w="1005" w:type="dxa"/>
            <w:shd w:val="clear" w:color="auto" w:fill="D4E3F5"/>
          </w:tcPr>
          <w:p>
            <w:pPr>
              <w:pStyle w:val="TableParagraph"/>
              <w:ind w:left="63" w:right="72"/>
              <w:rPr>
                <w:sz w:val="14"/>
              </w:rPr>
            </w:pPr>
            <w:r>
              <w:rPr>
                <w:color w:val="231F20"/>
                <w:spacing w:val="-4"/>
                <w:w w:val="95"/>
                <w:sz w:val="14"/>
              </w:rPr>
              <w:t>19.8</w:t>
            </w:r>
          </w:p>
        </w:tc>
      </w:tr>
      <w:tr>
        <w:trPr>
          <w:trHeight w:val="259" w:hRule="atLeast"/>
        </w:trPr>
        <w:tc>
          <w:tcPr>
            <w:tcW w:w="1358" w:type="dxa"/>
          </w:tcPr>
          <w:p>
            <w:pPr>
              <w:pStyle w:val="TableParagraph"/>
              <w:ind w:left="80"/>
              <w:jc w:val="left"/>
              <w:rPr>
                <w:sz w:val="14"/>
              </w:rPr>
            </w:pPr>
            <w:r>
              <w:rPr>
                <w:color w:val="231F20"/>
                <w:spacing w:val="-2"/>
                <w:w w:val="90"/>
                <w:sz w:val="14"/>
              </w:rPr>
              <w:t>Mauritius</w:t>
            </w:r>
          </w:p>
        </w:tc>
        <w:tc>
          <w:tcPr>
            <w:tcW w:w="1103" w:type="dxa"/>
          </w:tcPr>
          <w:p>
            <w:pPr>
              <w:pStyle w:val="TableParagraph"/>
              <w:ind w:right="435"/>
              <w:jc w:val="right"/>
              <w:rPr>
                <w:sz w:val="14"/>
              </w:rPr>
            </w:pPr>
            <w:r>
              <w:rPr>
                <w:color w:val="231F20"/>
                <w:spacing w:val="-2"/>
                <w:w w:val="95"/>
                <w:sz w:val="14"/>
              </w:rPr>
              <w:t>1,615</w:t>
            </w:r>
          </w:p>
        </w:tc>
        <w:tc>
          <w:tcPr>
            <w:tcW w:w="851" w:type="dxa"/>
          </w:tcPr>
          <w:p>
            <w:pPr>
              <w:pStyle w:val="TableParagraph"/>
              <w:ind w:left="83" w:right="136"/>
              <w:rPr>
                <w:sz w:val="14"/>
              </w:rPr>
            </w:pPr>
            <w:r>
              <w:rPr>
                <w:color w:val="231F20"/>
                <w:spacing w:val="-5"/>
                <w:w w:val="95"/>
                <w:sz w:val="14"/>
              </w:rPr>
              <w:t>3.9</w:t>
            </w:r>
          </w:p>
        </w:tc>
        <w:tc>
          <w:tcPr>
            <w:tcW w:w="1063" w:type="dxa"/>
          </w:tcPr>
          <w:p>
            <w:pPr>
              <w:pStyle w:val="TableParagraph"/>
              <w:ind w:left="79" w:right="53"/>
              <w:rPr>
                <w:sz w:val="14"/>
              </w:rPr>
            </w:pPr>
            <w:r>
              <w:rPr>
                <w:color w:val="231F20"/>
                <w:spacing w:val="-5"/>
                <w:w w:val="95"/>
                <w:sz w:val="14"/>
              </w:rPr>
              <w:t>3.3</w:t>
            </w:r>
          </w:p>
        </w:tc>
        <w:tc>
          <w:tcPr>
            <w:tcW w:w="1083" w:type="dxa"/>
          </w:tcPr>
          <w:p>
            <w:pPr>
              <w:pStyle w:val="TableParagraph"/>
              <w:ind w:left="392"/>
              <w:jc w:val="left"/>
              <w:rPr>
                <w:sz w:val="14"/>
              </w:rPr>
            </w:pPr>
            <w:r>
              <w:rPr>
                <w:color w:val="231F20"/>
                <w:spacing w:val="-5"/>
                <w:w w:val="95"/>
                <w:sz w:val="14"/>
              </w:rPr>
              <w:t>2.4</w:t>
            </w:r>
          </w:p>
        </w:tc>
        <w:tc>
          <w:tcPr>
            <w:tcW w:w="751" w:type="dxa"/>
          </w:tcPr>
          <w:p>
            <w:pPr>
              <w:pStyle w:val="TableParagraph"/>
              <w:ind w:left="74" w:right="45"/>
              <w:rPr>
                <w:sz w:val="14"/>
              </w:rPr>
            </w:pPr>
            <w:r>
              <w:rPr>
                <w:color w:val="231F20"/>
                <w:spacing w:val="-5"/>
                <w:w w:val="95"/>
                <w:sz w:val="14"/>
              </w:rPr>
              <w:t>4.7</w:t>
            </w:r>
          </w:p>
        </w:tc>
        <w:tc>
          <w:tcPr>
            <w:tcW w:w="240" w:type="dxa"/>
          </w:tcPr>
          <w:p>
            <w:pPr>
              <w:pStyle w:val="TableParagraph"/>
              <w:spacing w:before="0"/>
              <w:jc w:val="left"/>
              <w:rPr>
                <w:rFonts w:ascii="Times New Roman"/>
                <w:sz w:val="12"/>
              </w:rPr>
            </w:pPr>
          </w:p>
        </w:tc>
        <w:tc>
          <w:tcPr>
            <w:tcW w:w="851" w:type="dxa"/>
          </w:tcPr>
          <w:p>
            <w:pPr>
              <w:pStyle w:val="TableParagraph"/>
              <w:ind w:left="86" w:right="136"/>
              <w:rPr>
                <w:sz w:val="14"/>
              </w:rPr>
            </w:pPr>
            <w:r>
              <w:rPr>
                <w:color w:val="231F20"/>
                <w:spacing w:val="-5"/>
                <w:w w:val="95"/>
                <w:sz w:val="14"/>
              </w:rPr>
              <w:t>3.9</w:t>
            </w:r>
          </w:p>
        </w:tc>
        <w:tc>
          <w:tcPr>
            <w:tcW w:w="1073" w:type="dxa"/>
          </w:tcPr>
          <w:p>
            <w:pPr>
              <w:pStyle w:val="TableParagraph"/>
              <w:ind w:left="81" w:right="63"/>
              <w:rPr>
                <w:sz w:val="14"/>
              </w:rPr>
            </w:pPr>
            <w:r>
              <w:rPr>
                <w:color w:val="231F20"/>
                <w:spacing w:val="-5"/>
                <w:w w:val="95"/>
                <w:sz w:val="14"/>
              </w:rPr>
              <w:t>3.3</w:t>
            </w:r>
          </w:p>
        </w:tc>
        <w:tc>
          <w:tcPr>
            <w:tcW w:w="939" w:type="dxa"/>
          </w:tcPr>
          <w:p>
            <w:pPr>
              <w:pStyle w:val="TableParagraph"/>
              <w:ind w:left="32" w:right="32"/>
              <w:rPr>
                <w:sz w:val="14"/>
              </w:rPr>
            </w:pPr>
            <w:r>
              <w:rPr>
                <w:color w:val="231F20"/>
                <w:spacing w:val="-5"/>
                <w:w w:val="95"/>
                <w:sz w:val="14"/>
              </w:rPr>
              <w:t>2.4</w:t>
            </w:r>
          </w:p>
        </w:tc>
        <w:tc>
          <w:tcPr>
            <w:tcW w:w="1005" w:type="dxa"/>
          </w:tcPr>
          <w:p>
            <w:pPr>
              <w:pStyle w:val="TableParagraph"/>
              <w:ind w:left="63" w:right="17"/>
              <w:rPr>
                <w:sz w:val="14"/>
              </w:rPr>
            </w:pPr>
            <w:r>
              <w:rPr>
                <w:color w:val="231F20"/>
                <w:spacing w:val="-5"/>
                <w:w w:val="95"/>
                <w:sz w:val="14"/>
              </w:rPr>
              <w:t>4.7</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Mexico</w:t>
            </w:r>
          </w:p>
        </w:tc>
        <w:tc>
          <w:tcPr>
            <w:tcW w:w="1103" w:type="dxa"/>
            <w:shd w:val="clear" w:color="auto" w:fill="D4E3F5"/>
          </w:tcPr>
          <w:p>
            <w:pPr>
              <w:pStyle w:val="TableParagraph"/>
              <w:ind w:right="435"/>
              <w:jc w:val="right"/>
              <w:rPr>
                <w:sz w:val="14"/>
              </w:rPr>
            </w:pPr>
            <w:r>
              <w:rPr>
                <w:color w:val="231F20"/>
                <w:spacing w:val="-2"/>
                <w:w w:val="95"/>
                <w:sz w:val="14"/>
              </w:rPr>
              <w:t>13,672</w:t>
            </w:r>
          </w:p>
        </w:tc>
        <w:tc>
          <w:tcPr>
            <w:tcW w:w="851" w:type="dxa"/>
            <w:shd w:val="clear" w:color="auto" w:fill="D4E3F5"/>
          </w:tcPr>
          <w:p>
            <w:pPr>
              <w:pStyle w:val="TableParagraph"/>
              <w:ind w:left="17" w:right="136"/>
              <w:rPr>
                <w:sz w:val="14"/>
              </w:rPr>
            </w:pPr>
            <w:r>
              <w:rPr>
                <w:color w:val="231F20"/>
                <w:spacing w:val="-4"/>
                <w:w w:val="95"/>
                <w:sz w:val="14"/>
              </w:rPr>
              <w:t>10.4</w:t>
            </w:r>
          </w:p>
        </w:tc>
        <w:tc>
          <w:tcPr>
            <w:tcW w:w="1063" w:type="dxa"/>
            <w:shd w:val="clear" w:color="auto" w:fill="D4E3F5"/>
          </w:tcPr>
          <w:p>
            <w:pPr>
              <w:pStyle w:val="TableParagraph"/>
              <w:ind w:left="78" w:right="53"/>
              <w:rPr>
                <w:sz w:val="14"/>
              </w:rPr>
            </w:pPr>
            <w:r>
              <w:rPr>
                <w:color w:val="231F20"/>
                <w:spacing w:val="-5"/>
                <w:w w:val="95"/>
                <w:sz w:val="14"/>
              </w:rPr>
              <w:t>8.8</w:t>
            </w:r>
          </w:p>
        </w:tc>
        <w:tc>
          <w:tcPr>
            <w:tcW w:w="1083" w:type="dxa"/>
            <w:shd w:val="clear" w:color="auto" w:fill="D4E3F5"/>
          </w:tcPr>
          <w:p>
            <w:pPr>
              <w:pStyle w:val="TableParagraph"/>
              <w:ind w:left="392"/>
              <w:jc w:val="left"/>
              <w:rPr>
                <w:sz w:val="14"/>
              </w:rPr>
            </w:pPr>
            <w:r>
              <w:rPr>
                <w:color w:val="231F20"/>
                <w:spacing w:val="-5"/>
                <w:w w:val="95"/>
                <w:sz w:val="14"/>
              </w:rPr>
              <w:t>5.8</w:t>
            </w:r>
          </w:p>
        </w:tc>
        <w:tc>
          <w:tcPr>
            <w:tcW w:w="751" w:type="dxa"/>
            <w:shd w:val="clear" w:color="auto" w:fill="D4E3F5"/>
          </w:tcPr>
          <w:p>
            <w:pPr>
              <w:pStyle w:val="TableParagraph"/>
              <w:ind w:left="46" w:right="91"/>
              <w:rPr>
                <w:sz w:val="14"/>
              </w:rPr>
            </w:pPr>
            <w:r>
              <w:rPr>
                <w:color w:val="231F20"/>
                <w:spacing w:val="-4"/>
                <w:w w:val="95"/>
                <w:sz w:val="14"/>
              </w:rPr>
              <w:t>13.1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49"/>
              <w:jc w:val="left"/>
              <w:rPr>
                <w:sz w:val="14"/>
              </w:rPr>
            </w:pPr>
            <w:r>
              <w:rPr>
                <w:color w:val="231F20"/>
                <w:spacing w:val="-4"/>
                <w:w w:val="95"/>
                <w:sz w:val="14"/>
              </w:rPr>
              <w:t>10.2</w:t>
            </w:r>
          </w:p>
        </w:tc>
        <w:tc>
          <w:tcPr>
            <w:tcW w:w="1073" w:type="dxa"/>
            <w:shd w:val="clear" w:color="auto" w:fill="D4E3F5"/>
          </w:tcPr>
          <w:p>
            <w:pPr>
              <w:pStyle w:val="TableParagraph"/>
              <w:ind w:left="74" w:right="63"/>
              <w:rPr>
                <w:sz w:val="14"/>
              </w:rPr>
            </w:pPr>
            <w:r>
              <w:rPr>
                <w:color w:val="231F20"/>
                <w:spacing w:val="-5"/>
                <w:w w:val="95"/>
                <w:sz w:val="14"/>
              </w:rPr>
              <w:t>8.7</w:t>
            </w:r>
          </w:p>
        </w:tc>
        <w:tc>
          <w:tcPr>
            <w:tcW w:w="939" w:type="dxa"/>
            <w:shd w:val="clear" w:color="auto" w:fill="D4E3F5"/>
          </w:tcPr>
          <w:p>
            <w:pPr>
              <w:pStyle w:val="TableParagraph"/>
              <w:ind w:left="29" w:right="32"/>
              <w:rPr>
                <w:sz w:val="14"/>
              </w:rPr>
            </w:pPr>
            <w:r>
              <w:rPr>
                <w:color w:val="231F20"/>
                <w:spacing w:val="-5"/>
                <w:w w:val="95"/>
                <w:sz w:val="14"/>
              </w:rPr>
              <w:t>5.7</w:t>
            </w:r>
          </w:p>
        </w:tc>
        <w:tc>
          <w:tcPr>
            <w:tcW w:w="1005" w:type="dxa"/>
            <w:shd w:val="clear" w:color="auto" w:fill="D4E3F5"/>
          </w:tcPr>
          <w:p>
            <w:pPr>
              <w:pStyle w:val="TableParagraph"/>
              <w:ind w:left="63" w:right="72"/>
              <w:rPr>
                <w:sz w:val="14"/>
              </w:rPr>
            </w:pPr>
            <w:r>
              <w:rPr>
                <w:color w:val="231F20"/>
                <w:spacing w:val="-4"/>
                <w:w w:val="95"/>
                <w:sz w:val="14"/>
              </w:rPr>
              <w:t>12.9</w:t>
            </w:r>
          </w:p>
        </w:tc>
      </w:tr>
      <w:tr>
        <w:trPr>
          <w:trHeight w:val="259" w:hRule="atLeast"/>
        </w:trPr>
        <w:tc>
          <w:tcPr>
            <w:tcW w:w="1358" w:type="dxa"/>
          </w:tcPr>
          <w:p>
            <w:pPr>
              <w:pStyle w:val="TableParagraph"/>
              <w:ind w:left="80"/>
              <w:jc w:val="left"/>
              <w:rPr>
                <w:sz w:val="14"/>
              </w:rPr>
            </w:pPr>
            <w:r>
              <w:rPr>
                <w:color w:val="231F20"/>
                <w:spacing w:val="-2"/>
                <w:w w:val="90"/>
                <w:sz w:val="14"/>
              </w:rPr>
              <w:t>Morocco</w:t>
            </w:r>
          </w:p>
        </w:tc>
        <w:tc>
          <w:tcPr>
            <w:tcW w:w="1103" w:type="dxa"/>
          </w:tcPr>
          <w:p>
            <w:pPr>
              <w:pStyle w:val="TableParagraph"/>
              <w:ind w:right="430"/>
              <w:jc w:val="right"/>
              <w:rPr>
                <w:sz w:val="14"/>
              </w:rPr>
            </w:pPr>
            <w:r>
              <w:rPr>
                <w:color w:val="231F20"/>
                <w:spacing w:val="-2"/>
                <w:w w:val="95"/>
                <w:sz w:val="14"/>
              </w:rPr>
              <w:t>4,222</w:t>
            </w:r>
          </w:p>
        </w:tc>
        <w:tc>
          <w:tcPr>
            <w:tcW w:w="851" w:type="dxa"/>
          </w:tcPr>
          <w:p>
            <w:pPr>
              <w:pStyle w:val="TableParagraph"/>
              <w:ind w:left="80" w:right="136"/>
              <w:rPr>
                <w:sz w:val="14"/>
              </w:rPr>
            </w:pPr>
            <w:r>
              <w:rPr>
                <w:color w:val="231F20"/>
                <w:spacing w:val="-5"/>
                <w:w w:val="95"/>
                <w:sz w:val="14"/>
              </w:rPr>
              <w:t>6.4</w:t>
            </w:r>
          </w:p>
        </w:tc>
        <w:tc>
          <w:tcPr>
            <w:tcW w:w="1063" w:type="dxa"/>
          </w:tcPr>
          <w:p>
            <w:pPr>
              <w:pStyle w:val="TableParagraph"/>
              <w:ind w:left="77" w:right="53"/>
              <w:rPr>
                <w:sz w:val="14"/>
              </w:rPr>
            </w:pPr>
            <w:r>
              <w:rPr>
                <w:color w:val="231F20"/>
                <w:spacing w:val="-5"/>
                <w:w w:val="95"/>
                <w:sz w:val="14"/>
              </w:rPr>
              <w:t>5.8</w:t>
            </w:r>
          </w:p>
        </w:tc>
        <w:tc>
          <w:tcPr>
            <w:tcW w:w="1083" w:type="dxa"/>
          </w:tcPr>
          <w:p>
            <w:pPr>
              <w:pStyle w:val="TableParagraph"/>
              <w:ind w:left="391"/>
              <w:jc w:val="left"/>
              <w:rPr>
                <w:sz w:val="14"/>
              </w:rPr>
            </w:pPr>
            <w:r>
              <w:rPr>
                <w:color w:val="231F20"/>
                <w:spacing w:val="-5"/>
                <w:w w:val="95"/>
                <w:sz w:val="14"/>
              </w:rPr>
              <w:t>3.9</w:t>
            </w:r>
          </w:p>
        </w:tc>
        <w:tc>
          <w:tcPr>
            <w:tcW w:w="751" w:type="dxa"/>
          </w:tcPr>
          <w:p>
            <w:pPr>
              <w:pStyle w:val="TableParagraph"/>
              <w:ind w:left="59" w:right="45"/>
              <w:rPr>
                <w:sz w:val="14"/>
              </w:rPr>
            </w:pPr>
            <w:r>
              <w:rPr>
                <w:color w:val="231F20"/>
                <w:spacing w:val="-5"/>
                <w:w w:val="95"/>
                <w:sz w:val="14"/>
              </w:rPr>
              <w:t>8.1</w:t>
            </w:r>
          </w:p>
        </w:tc>
        <w:tc>
          <w:tcPr>
            <w:tcW w:w="240" w:type="dxa"/>
          </w:tcPr>
          <w:p>
            <w:pPr>
              <w:pStyle w:val="TableParagraph"/>
              <w:spacing w:before="0"/>
              <w:jc w:val="left"/>
              <w:rPr>
                <w:rFonts w:ascii="Times New Roman"/>
                <w:sz w:val="12"/>
              </w:rPr>
            </w:pPr>
          </w:p>
        </w:tc>
        <w:tc>
          <w:tcPr>
            <w:tcW w:w="851" w:type="dxa"/>
          </w:tcPr>
          <w:p>
            <w:pPr>
              <w:pStyle w:val="TableParagraph"/>
              <w:ind w:left="83" w:right="136"/>
              <w:rPr>
                <w:sz w:val="14"/>
              </w:rPr>
            </w:pPr>
            <w:r>
              <w:rPr>
                <w:color w:val="231F20"/>
                <w:spacing w:val="-5"/>
                <w:w w:val="95"/>
                <w:sz w:val="14"/>
              </w:rPr>
              <w:t>6.4</w:t>
            </w:r>
          </w:p>
        </w:tc>
        <w:tc>
          <w:tcPr>
            <w:tcW w:w="1073" w:type="dxa"/>
          </w:tcPr>
          <w:p>
            <w:pPr>
              <w:pStyle w:val="TableParagraph"/>
              <w:ind w:left="74" w:right="63"/>
              <w:rPr>
                <w:sz w:val="14"/>
              </w:rPr>
            </w:pPr>
            <w:r>
              <w:rPr>
                <w:color w:val="231F20"/>
                <w:spacing w:val="-5"/>
                <w:w w:val="95"/>
                <w:sz w:val="14"/>
              </w:rPr>
              <w:t>5.7</w:t>
            </w:r>
          </w:p>
        </w:tc>
        <w:tc>
          <w:tcPr>
            <w:tcW w:w="939" w:type="dxa"/>
          </w:tcPr>
          <w:p>
            <w:pPr>
              <w:pStyle w:val="TableParagraph"/>
              <w:ind w:left="32" w:right="32"/>
              <w:rPr>
                <w:sz w:val="14"/>
              </w:rPr>
            </w:pPr>
            <w:r>
              <w:rPr>
                <w:color w:val="231F20"/>
                <w:spacing w:val="-5"/>
                <w:w w:val="95"/>
                <w:sz w:val="14"/>
              </w:rPr>
              <w:t>3.9</w:t>
            </w:r>
          </w:p>
        </w:tc>
        <w:tc>
          <w:tcPr>
            <w:tcW w:w="1005" w:type="dxa"/>
          </w:tcPr>
          <w:p>
            <w:pPr>
              <w:pStyle w:val="TableParagraph"/>
              <w:ind w:left="63" w:right="32"/>
              <w:rPr>
                <w:sz w:val="14"/>
              </w:rPr>
            </w:pPr>
            <w:r>
              <w:rPr>
                <w:color w:val="231F20"/>
                <w:spacing w:val="-5"/>
                <w:w w:val="95"/>
                <w:sz w:val="14"/>
              </w:rPr>
              <w:t>8.1</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Mozambique</w:t>
            </w:r>
          </w:p>
        </w:tc>
        <w:tc>
          <w:tcPr>
            <w:tcW w:w="1103" w:type="dxa"/>
            <w:shd w:val="clear" w:color="auto" w:fill="D4E3F5"/>
          </w:tcPr>
          <w:p>
            <w:pPr>
              <w:pStyle w:val="TableParagraph"/>
              <w:ind w:right="429"/>
              <w:jc w:val="right"/>
              <w:rPr>
                <w:sz w:val="14"/>
              </w:rPr>
            </w:pPr>
            <w:r>
              <w:rPr>
                <w:color w:val="231F20"/>
                <w:spacing w:val="-5"/>
                <w:w w:val="95"/>
                <w:sz w:val="14"/>
              </w:rPr>
              <w:t>345</w:t>
            </w:r>
          </w:p>
        </w:tc>
        <w:tc>
          <w:tcPr>
            <w:tcW w:w="851" w:type="dxa"/>
            <w:shd w:val="clear" w:color="auto" w:fill="D4E3F5"/>
          </w:tcPr>
          <w:p>
            <w:pPr>
              <w:pStyle w:val="TableParagraph"/>
              <w:ind w:left="84" w:right="136"/>
              <w:rPr>
                <w:sz w:val="14"/>
              </w:rPr>
            </w:pPr>
            <w:r>
              <w:rPr>
                <w:color w:val="231F20"/>
                <w:spacing w:val="-5"/>
                <w:w w:val="95"/>
                <w:sz w:val="14"/>
              </w:rPr>
              <w:t>8.5</w:t>
            </w:r>
          </w:p>
        </w:tc>
        <w:tc>
          <w:tcPr>
            <w:tcW w:w="1063" w:type="dxa"/>
            <w:shd w:val="clear" w:color="auto" w:fill="D4E3F5"/>
          </w:tcPr>
          <w:p>
            <w:pPr>
              <w:pStyle w:val="TableParagraph"/>
              <w:ind w:left="90" w:right="53"/>
              <w:rPr>
                <w:sz w:val="14"/>
              </w:rPr>
            </w:pPr>
            <w:r>
              <w:rPr>
                <w:color w:val="231F20"/>
                <w:spacing w:val="-5"/>
                <w:w w:val="95"/>
                <w:sz w:val="14"/>
              </w:rPr>
              <w:t>7.3</w:t>
            </w:r>
          </w:p>
        </w:tc>
        <w:tc>
          <w:tcPr>
            <w:tcW w:w="1083" w:type="dxa"/>
            <w:shd w:val="clear" w:color="auto" w:fill="D4E3F5"/>
          </w:tcPr>
          <w:p>
            <w:pPr>
              <w:pStyle w:val="TableParagraph"/>
              <w:ind w:left="392"/>
              <w:jc w:val="left"/>
              <w:rPr>
                <w:sz w:val="14"/>
              </w:rPr>
            </w:pPr>
            <w:r>
              <w:rPr>
                <w:color w:val="231F20"/>
                <w:spacing w:val="-5"/>
                <w:w w:val="95"/>
                <w:sz w:val="14"/>
              </w:rPr>
              <w:t>5.8</w:t>
            </w:r>
          </w:p>
        </w:tc>
        <w:tc>
          <w:tcPr>
            <w:tcW w:w="751" w:type="dxa"/>
            <w:shd w:val="clear" w:color="auto" w:fill="D4E3F5"/>
          </w:tcPr>
          <w:p>
            <w:pPr>
              <w:pStyle w:val="TableParagraph"/>
              <w:ind w:left="46" w:right="64"/>
              <w:rPr>
                <w:sz w:val="14"/>
              </w:rPr>
            </w:pPr>
            <w:r>
              <w:rPr>
                <w:color w:val="231F20"/>
                <w:spacing w:val="-4"/>
                <w:w w:val="95"/>
                <w:sz w:val="14"/>
              </w:rPr>
              <w:t>11.0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2" w:right="136"/>
              <w:rPr>
                <w:sz w:val="14"/>
              </w:rPr>
            </w:pPr>
            <w:r>
              <w:rPr>
                <w:color w:val="231F20"/>
                <w:spacing w:val="-5"/>
                <w:w w:val="95"/>
                <w:sz w:val="14"/>
              </w:rPr>
              <w:t>8.4</w:t>
            </w:r>
          </w:p>
        </w:tc>
        <w:tc>
          <w:tcPr>
            <w:tcW w:w="1073" w:type="dxa"/>
            <w:shd w:val="clear" w:color="auto" w:fill="D4E3F5"/>
          </w:tcPr>
          <w:p>
            <w:pPr>
              <w:pStyle w:val="TableParagraph"/>
              <w:ind w:left="93" w:right="63"/>
              <w:rPr>
                <w:sz w:val="14"/>
              </w:rPr>
            </w:pPr>
            <w:r>
              <w:rPr>
                <w:color w:val="231F20"/>
                <w:spacing w:val="-5"/>
                <w:w w:val="95"/>
                <w:sz w:val="14"/>
              </w:rPr>
              <w:t>7.3</w:t>
            </w:r>
          </w:p>
        </w:tc>
        <w:tc>
          <w:tcPr>
            <w:tcW w:w="939" w:type="dxa"/>
            <w:shd w:val="clear" w:color="auto" w:fill="D4E3F5"/>
          </w:tcPr>
          <w:p>
            <w:pPr>
              <w:pStyle w:val="TableParagraph"/>
              <w:ind w:left="29" w:right="32"/>
              <w:rPr>
                <w:sz w:val="14"/>
              </w:rPr>
            </w:pPr>
            <w:r>
              <w:rPr>
                <w:color w:val="231F20"/>
                <w:spacing w:val="-5"/>
                <w:w w:val="95"/>
                <w:sz w:val="14"/>
              </w:rPr>
              <w:t>5.7</w:t>
            </w:r>
          </w:p>
        </w:tc>
        <w:tc>
          <w:tcPr>
            <w:tcW w:w="1005" w:type="dxa"/>
            <w:shd w:val="clear" w:color="auto" w:fill="D4E3F5"/>
          </w:tcPr>
          <w:p>
            <w:pPr>
              <w:pStyle w:val="TableParagraph"/>
              <w:ind w:left="63" w:right="64"/>
              <w:rPr>
                <w:sz w:val="14"/>
              </w:rPr>
            </w:pPr>
            <w:r>
              <w:rPr>
                <w:color w:val="231F20"/>
                <w:spacing w:val="-4"/>
                <w:w w:val="95"/>
                <w:sz w:val="14"/>
              </w:rPr>
              <w:t>11.0</w:t>
            </w:r>
          </w:p>
        </w:tc>
      </w:tr>
      <w:tr>
        <w:trPr>
          <w:trHeight w:val="259" w:hRule="atLeast"/>
        </w:trPr>
        <w:tc>
          <w:tcPr>
            <w:tcW w:w="1358" w:type="dxa"/>
          </w:tcPr>
          <w:p>
            <w:pPr>
              <w:pStyle w:val="TableParagraph"/>
              <w:ind w:left="80"/>
              <w:jc w:val="left"/>
              <w:rPr>
                <w:sz w:val="14"/>
              </w:rPr>
            </w:pPr>
            <w:r>
              <w:rPr>
                <w:color w:val="231F20"/>
                <w:spacing w:val="-2"/>
                <w:w w:val="90"/>
                <w:sz w:val="14"/>
              </w:rPr>
              <w:t>Myanmar</w:t>
            </w:r>
          </w:p>
        </w:tc>
        <w:tc>
          <w:tcPr>
            <w:tcW w:w="1103" w:type="dxa"/>
          </w:tcPr>
          <w:p>
            <w:pPr>
              <w:pStyle w:val="TableParagraph"/>
              <w:ind w:right="434"/>
              <w:jc w:val="right"/>
              <w:rPr>
                <w:sz w:val="14"/>
              </w:rPr>
            </w:pPr>
            <w:r>
              <w:rPr>
                <w:color w:val="231F20"/>
                <w:spacing w:val="-2"/>
                <w:w w:val="95"/>
                <w:sz w:val="14"/>
              </w:rPr>
              <w:t>9,036</w:t>
            </w:r>
          </w:p>
        </w:tc>
        <w:tc>
          <w:tcPr>
            <w:tcW w:w="851" w:type="dxa"/>
          </w:tcPr>
          <w:p>
            <w:pPr>
              <w:pStyle w:val="TableParagraph"/>
              <w:ind w:left="83" w:right="136"/>
              <w:rPr>
                <w:sz w:val="14"/>
              </w:rPr>
            </w:pPr>
            <w:r>
              <w:rPr>
                <w:color w:val="231F20"/>
                <w:spacing w:val="-5"/>
                <w:w w:val="95"/>
                <w:sz w:val="14"/>
              </w:rPr>
              <w:t>5.6</w:t>
            </w:r>
          </w:p>
        </w:tc>
        <w:tc>
          <w:tcPr>
            <w:tcW w:w="1063" w:type="dxa"/>
          </w:tcPr>
          <w:p>
            <w:pPr>
              <w:pStyle w:val="TableParagraph"/>
              <w:ind w:left="58" w:right="53"/>
              <w:rPr>
                <w:sz w:val="14"/>
              </w:rPr>
            </w:pPr>
            <w:r>
              <w:rPr>
                <w:color w:val="231F20"/>
                <w:spacing w:val="-5"/>
                <w:w w:val="95"/>
                <w:sz w:val="14"/>
              </w:rPr>
              <w:t>5.1</w:t>
            </w:r>
          </w:p>
        </w:tc>
        <w:tc>
          <w:tcPr>
            <w:tcW w:w="1083" w:type="dxa"/>
          </w:tcPr>
          <w:p>
            <w:pPr>
              <w:pStyle w:val="TableParagraph"/>
              <w:ind w:left="391"/>
              <w:jc w:val="left"/>
              <w:rPr>
                <w:sz w:val="14"/>
              </w:rPr>
            </w:pPr>
            <w:r>
              <w:rPr>
                <w:color w:val="231F20"/>
                <w:spacing w:val="-5"/>
                <w:w w:val="95"/>
                <w:sz w:val="14"/>
              </w:rPr>
              <w:t>3.6</w:t>
            </w:r>
          </w:p>
        </w:tc>
        <w:tc>
          <w:tcPr>
            <w:tcW w:w="751" w:type="dxa"/>
          </w:tcPr>
          <w:p>
            <w:pPr>
              <w:pStyle w:val="TableParagraph"/>
              <w:ind w:left="90" w:right="45"/>
              <w:rPr>
                <w:sz w:val="14"/>
              </w:rPr>
            </w:pPr>
            <w:r>
              <w:rPr>
                <w:color w:val="231F20"/>
                <w:spacing w:val="-5"/>
                <w:w w:val="95"/>
                <w:sz w:val="14"/>
              </w:rPr>
              <w:t>7.0</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5.6</w:t>
            </w:r>
          </w:p>
        </w:tc>
        <w:tc>
          <w:tcPr>
            <w:tcW w:w="1073" w:type="dxa"/>
          </w:tcPr>
          <w:p>
            <w:pPr>
              <w:pStyle w:val="TableParagraph"/>
              <w:ind w:left="62" w:right="63"/>
              <w:rPr>
                <w:sz w:val="14"/>
              </w:rPr>
            </w:pPr>
            <w:r>
              <w:rPr>
                <w:color w:val="231F20"/>
                <w:spacing w:val="-5"/>
                <w:w w:val="95"/>
                <w:sz w:val="14"/>
              </w:rPr>
              <w:t>5.1</w:t>
            </w:r>
          </w:p>
        </w:tc>
        <w:tc>
          <w:tcPr>
            <w:tcW w:w="939" w:type="dxa"/>
          </w:tcPr>
          <w:p>
            <w:pPr>
              <w:pStyle w:val="TableParagraph"/>
              <w:ind w:left="32" w:right="32"/>
              <w:rPr>
                <w:sz w:val="14"/>
              </w:rPr>
            </w:pPr>
            <w:r>
              <w:rPr>
                <w:color w:val="231F20"/>
                <w:spacing w:val="-5"/>
                <w:w w:val="95"/>
                <w:sz w:val="14"/>
              </w:rPr>
              <w:t>3.6</w:t>
            </w:r>
          </w:p>
        </w:tc>
        <w:tc>
          <w:tcPr>
            <w:tcW w:w="1005" w:type="dxa"/>
          </w:tcPr>
          <w:p>
            <w:pPr>
              <w:pStyle w:val="TableParagraph"/>
              <w:ind w:left="75" w:right="13"/>
              <w:rPr>
                <w:sz w:val="14"/>
              </w:rPr>
            </w:pPr>
            <w:r>
              <w:rPr>
                <w:color w:val="231F20"/>
                <w:spacing w:val="-5"/>
                <w:w w:val="95"/>
                <w:sz w:val="14"/>
              </w:rPr>
              <w:t>7.0</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Namibia</w:t>
            </w:r>
          </w:p>
        </w:tc>
        <w:tc>
          <w:tcPr>
            <w:tcW w:w="1103" w:type="dxa"/>
            <w:shd w:val="clear" w:color="auto" w:fill="D4E3F5"/>
          </w:tcPr>
          <w:p>
            <w:pPr>
              <w:pStyle w:val="TableParagraph"/>
              <w:ind w:right="435"/>
              <w:jc w:val="right"/>
              <w:rPr>
                <w:sz w:val="14"/>
              </w:rPr>
            </w:pPr>
            <w:r>
              <w:rPr>
                <w:color w:val="231F20"/>
                <w:spacing w:val="-2"/>
                <w:w w:val="95"/>
                <w:sz w:val="14"/>
              </w:rPr>
              <w:t>1,044</w:t>
            </w:r>
          </w:p>
        </w:tc>
        <w:tc>
          <w:tcPr>
            <w:tcW w:w="851" w:type="dxa"/>
            <w:shd w:val="clear" w:color="auto" w:fill="D4E3F5"/>
          </w:tcPr>
          <w:p>
            <w:pPr>
              <w:pStyle w:val="TableParagraph"/>
              <w:ind w:left="82" w:right="136"/>
              <w:rPr>
                <w:sz w:val="14"/>
              </w:rPr>
            </w:pPr>
            <w:r>
              <w:rPr>
                <w:color w:val="231F20"/>
                <w:spacing w:val="-5"/>
                <w:w w:val="95"/>
                <w:sz w:val="14"/>
              </w:rPr>
              <w:t>6.8</w:t>
            </w:r>
          </w:p>
        </w:tc>
        <w:tc>
          <w:tcPr>
            <w:tcW w:w="1063" w:type="dxa"/>
            <w:shd w:val="clear" w:color="auto" w:fill="D4E3F5"/>
          </w:tcPr>
          <w:p>
            <w:pPr>
              <w:pStyle w:val="TableParagraph"/>
              <w:ind w:left="76" w:right="53"/>
              <w:rPr>
                <w:sz w:val="14"/>
              </w:rPr>
            </w:pPr>
            <w:r>
              <w:rPr>
                <w:color w:val="231F20"/>
                <w:spacing w:val="-5"/>
                <w:w w:val="95"/>
                <w:sz w:val="14"/>
              </w:rPr>
              <w:t>5.9</w:t>
            </w:r>
          </w:p>
        </w:tc>
        <w:tc>
          <w:tcPr>
            <w:tcW w:w="1083" w:type="dxa"/>
            <w:shd w:val="clear" w:color="auto" w:fill="D4E3F5"/>
          </w:tcPr>
          <w:p>
            <w:pPr>
              <w:pStyle w:val="TableParagraph"/>
              <w:ind w:left="393"/>
              <w:jc w:val="left"/>
              <w:rPr>
                <w:sz w:val="14"/>
              </w:rPr>
            </w:pPr>
            <w:r>
              <w:rPr>
                <w:color w:val="231F20"/>
                <w:spacing w:val="-5"/>
                <w:w w:val="95"/>
                <w:sz w:val="14"/>
              </w:rPr>
              <w:t>4.6</w:t>
            </w:r>
          </w:p>
        </w:tc>
        <w:tc>
          <w:tcPr>
            <w:tcW w:w="751" w:type="dxa"/>
            <w:shd w:val="clear" w:color="auto" w:fill="D4E3F5"/>
          </w:tcPr>
          <w:p>
            <w:pPr>
              <w:pStyle w:val="TableParagraph"/>
              <w:ind w:left="88" w:right="45"/>
              <w:rPr>
                <w:sz w:val="14"/>
              </w:rPr>
            </w:pPr>
            <w:r>
              <w:rPr>
                <w:color w:val="231F20"/>
                <w:spacing w:val="-5"/>
                <w:w w:val="95"/>
                <w:sz w:val="14"/>
              </w:rPr>
              <w:t>7.7</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6" w:right="136"/>
              <w:rPr>
                <w:sz w:val="14"/>
              </w:rPr>
            </w:pPr>
            <w:r>
              <w:rPr>
                <w:color w:val="231F20"/>
                <w:spacing w:val="-5"/>
                <w:w w:val="95"/>
                <w:sz w:val="14"/>
              </w:rPr>
              <w:t>6.2</w:t>
            </w:r>
          </w:p>
        </w:tc>
        <w:tc>
          <w:tcPr>
            <w:tcW w:w="1073" w:type="dxa"/>
            <w:shd w:val="clear" w:color="auto" w:fill="D4E3F5"/>
          </w:tcPr>
          <w:p>
            <w:pPr>
              <w:pStyle w:val="TableParagraph"/>
              <w:ind w:left="74" w:right="63"/>
              <w:rPr>
                <w:sz w:val="14"/>
              </w:rPr>
            </w:pPr>
            <w:r>
              <w:rPr>
                <w:color w:val="231F20"/>
                <w:spacing w:val="-5"/>
                <w:w w:val="95"/>
                <w:sz w:val="14"/>
              </w:rPr>
              <w:t>5.7</w:t>
            </w:r>
          </w:p>
        </w:tc>
        <w:tc>
          <w:tcPr>
            <w:tcW w:w="939" w:type="dxa"/>
            <w:shd w:val="clear" w:color="auto" w:fill="D4E3F5"/>
          </w:tcPr>
          <w:p>
            <w:pPr>
              <w:pStyle w:val="TableParagraph"/>
              <w:ind w:left="31" w:right="32"/>
              <w:rPr>
                <w:sz w:val="14"/>
              </w:rPr>
            </w:pPr>
            <w:r>
              <w:rPr>
                <w:color w:val="231F20"/>
                <w:spacing w:val="-5"/>
                <w:w w:val="95"/>
                <w:sz w:val="14"/>
              </w:rPr>
              <w:t>4.4</w:t>
            </w:r>
          </w:p>
        </w:tc>
        <w:tc>
          <w:tcPr>
            <w:tcW w:w="1005" w:type="dxa"/>
            <w:shd w:val="clear" w:color="auto" w:fill="D4E3F5"/>
          </w:tcPr>
          <w:p>
            <w:pPr>
              <w:pStyle w:val="TableParagraph"/>
              <w:ind w:left="76" w:right="13"/>
              <w:rPr>
                <w:sz w:val="14"/>
              </w:rPr>
            </w:pPr>
            <w:r>
              <w:rPr>
                <w:color w:val="231F20"/>
                <w:spacing w:val="-5"/>
                <w:w w:val="95"/>
                <w:sz w:val="14"/>
              </w:rPr>
              <w:t>7.5</w:t>
            </w:r>
          </w:p>
        </w:tc>
      </w:tr>
      <w:tr>
        <w:trPr>
          <w:trHeight w:val="259" w:hRule="atLeast"/>
        </w:trPr>
        <w:tc>
          <w:tcPr>
            <w:tcW w:w="1358" w:type="dxa"/>
          </w:tcPr>
          <w:p>
            <w:pPr>
              <w:pStyle w:val="TableParagraph"/>
              <w:ind w:left="80"/>
              <w:jc w:val="left"/>
              <w:rPr>
                <w:sz w:val="14"/>
              </w:rPr>
            </w:pPr>
            <w:r>
              <w:rPr>
                <w:color w:val="231F20"/>
                <w:spacing w:val="-2"/>
                <w:w w:val="85"/>
                <w:sz w:val="14"/>
              </w:rPr>
              <w:t>Nepal</w:t>
            </w:r>
          </w:p>
        </w:tc>
        <w:tc>
          <w:tcPr>
            <w:tcW w:w="1103" w:type="dxa"/>
          </w:tcPr>
          <w:p>
            <w:pPr>
              <w:pStyle w:val="TableParagraph"/>
              <w:ind w:right="436"/>
              <w:jc w:val="right"/>
              <w:rPr>
                <w:sz w:val="14"/>
              </w:rPr>
            </w:pPr>
            <w:r>
              <w:rPr>
                <w:color w:val="231F20"/>
                <w:spacing w:val="-10"/>
                <w:w w:val="95"/>
                <w:sz w:val="14"/>
              </w:rPr>
              <w:t>5</w:t>
            </w:r>
          </w:p>
        </w:tc>
        <w:tc>
          <w:tcPr>
            <w:tcW w:w="851" w:type="dxa"/>
          </w:tcPr>
          <w:p>
            <w:pPr>
              <w:pStyle w:val="TableParagraph"/>
              <w:ind w:left="29" w:right="136"/>
              <w:rPr>
                <w:sz w:val="14"/>
              </w:rPr>
            </w:pPr>
            <w:r>
              <w:rPr>
                <w:color w:val="231F20"/>
                <w:spacing w:val="-4"/>
                <w:w w:val="95"/>
                <w:sz w:val="14"/>
              </w:rPr>
              <w:t>11.5</w:t>
            </w:r>
          </w:p>
        </w:tc>
        <w:tc>
          <w:tcPr>
            <w:tcW w:w="1063" w:type="dxa"/>
          </w:tcPr>
          <w:p>
            <w:pPr>
              <w:pStyle w:val="TableParagraph"/>
              <w:ind w:left="78" w:right="53"/>
              <w:rPr>
                <w:sz w:val="14"/>
              </w:rPr>
            </w:pPr>
            <w:r>
              <w:rPr>
                <w:color w:val="231F20"/>
                <w:spacing w:val="-5"/>
                <w:w w:val="95"/>
                <w:sz w:val="14"/>
              </w:rPr>
              <w:t>9.3</w:t>
            </w:r>
          </w:p>
        </w:tc>
        <w:tc>
          <w:tcPr>
            <w:tcW w:w="1083" w:type="dxa"/>
          </w:tcPr>
          <w:p>
            <w:pPr>
              <w:pStyle w:val="TableParagraph"/>
              <w:ind w:left="392"/>
              <w:jc w:val="left"/>
              <w:rPr>
                <w:sz w:val="14"/>
              </w:rPr>
            </w:pPr>
            <w:r>
              <w:rPr>
                <w:color w:val="231F20"/>
                <w:spacing w:val="-5"/>
                <w:w w:val="95"/>
                <w:sz w:val="14"/>
              </w:rPr>
              <w:t>9.2</w:t>
            </w:r>
          </w:p>
        </w:tc>
        <w:tc>
          <w:tcPr>
            <w:tcW w:w="751" w:type="dxa"/>
          </w:tcPr>
          <w:p>
            <w:pPr>
              <w:pStyle w:val="TableParagraph"/>
              <w:ind w:left="46" w:right="76"/>
              <w:rPr>
                <w:sz w:val="14"/>
              </w:rPr>
            </w:pPr>
            <w:r>
              <w:rPr>
                <w:color w:val="231F20"/>
                <w:spacing w:val="-4"/>
                <w:w w:val="95"/>
                <w:sz w:val="14"/>
              </w:rPr>
              <w:t>15.7</w:t>
            </w:r>
          </w:p>
        </w:tc>
        <w:tc>
          <w:tcPr>
            <w:tcW w:w="240" w:type="dxa"/>
          </w:tcPr>
          <w:p>
            <w:pPr>
              <w:pStyle w:val="TableParagraph"/>
              <w:spacing w:before="0"/>
              <w:jc w:val="left"/>
              <w:rPr>
                <w:rFonts w:ascii="Times New Roman"/>
                <w:sz w:val="12"/>
              </w:rPr>
            </w:pPr>
          </w:p>
        </w:tc>
        <w:tc>
          <w:tcPr>
            <w:tcW w:w="851" w:type="dxa"/>
          </w:tcPr>
          <w:p>
            <w:pPr>
              <w:pStyle w:val="TableParagraph"/>
              <w:ind w:left="86" w:right="136"/>
              <w:rPr>
                <w:sz w:val="14"/>
              </w:rPr>
            </w:pPr>
            <w:r>
              <w:rPr>
                <w:color w:val="231F20"/>
                <w:spacing w:val="-5"/>
                <w:w w:val="95"/>
                <w:sz w:val="14"/>
              </w:rPr>
              <w:t>6.9</w:t>
            </w:r>
          </w:p>
        </w:tc>
        <w:tc>
          <w:tcPr>
            <w:tcW w:w="1073" w:type="dxa"/>
          </w:tcPr>
          <w:p>
            <w:pPr>
              <w:pStyle w:val="TableParagraph"/>
              <w:ind w:left="82" w:right="63"/>
              <w:rPr>
                <w:sz w:val="14"/>
              </w:rPr>
            </w:pPr>
            <w:r>
              <w:rPr>
                <w:color w:val="231F20"/>
                <w:spacing w:val="-5"/>
                <w:w w:val="95"/>
                <w:sz w:val="14"/>
              </w:rPr>
              <w:t>7.1</w:t>
            </w:r>
          </w:p>
        </w:tc>
        <w:tc>
          <w:tcPr>
            <w:tcW w:w="939" w:type="dxa"/>
          </w:tcPr>
          <w:p>
            <w:pPr>
              <w:pStyle w:val="TableParagraph"/>
              <w:ind w:left="33" w:right="32"/>
              <w:rPr>
                <w:sz w:val="14"/>
              </w:rPr>
            </w:pPr>
            <w:r>
              <w:rPr>
                <w:color w:val="231F20"/>
                <w:spacing w:val="-5"/>
                <w:w w:val="95"/>
                <w:sz w:val="14"/>
              </w:rPr>
              <w:t>4.5</w:t>
            </w:r>
          </w:p>
        </w:tc>
        <w:tc>
          <w:tcPr>
            <w:tcW w:w="1005" w:type="dxa"/>
          </w:tcPr>
          <w:p>
            <w:pPr>
              <w:pStyle w:val="TableParagraph"/>
              <w:ind w:left="63" w:right="31"/>
              <w:rPr>
                <w:sz w:val="14"/>
              </w:rPr>
            </w:pPr>
            <w:r>
              <w:rPr>
                <w:color w:val="231F20"/>
                <w:spacing w:val="-5"/>
                <w:w w:val="95"/>
                <w:sz w:val="14"/>
              </w:rPr>
              <w:t>9.1</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Netherlands</w:t>
            </w:r>
          </w:p>
        </w:tc>
        <w:tc>
          <w:tcPr>
            <w:tcW w:w="1103" w:type="dxa"/>
            <w:shd w:val="clear" w:color="auto" w:fill="D4E3F5"/>
          </w:tcPr>
          <w:p>
            <w:pPr>
              <w:pStyle w:val="TableParagraph"/>
              <w:ind w:right="433"/>
              <w:jc w:val="right"/>
              <w:rPr>
                <w:sz w:val="14"/>
              </w:rPr>
            </w:pPr>
            <w:r>
              <w:rPr>
                <w:color w:val="231F20"/>
                <w:spacing w:val="-2"/>
                <w:w w:val="95"/>
                <w:sz w:val="14"/>
              </w:rPr>
              <w:t>35,175</w:t>
            </w:r>
          </w:p>
        </w:tc>
        <w:tc>
          <w:tcPr>
            <w:tcW w:w="851" w:type="dxa"/>
            <w:shd w:val="clear" w:color="auto" w:fill="D4E3F5"/>
          </w:tcPr>
          <w:p>
            <w:pPr>
              <w:pStyle w:val="TableParagraph"/>
              <w:ind w:left="82" w:right="136"/>
              <w:rPr>
                <w:sz w:val="14"/>
              </w:rPr>
            </w:pPr>
            <w:r>
              <w:rPr>
                <w:color w:val="231F20"/>
                <w:spacing w:val="-5"/>
                <w:w w:val="95"/>
                <w:sz w:val="14"/>
              </w:rPr>
              <w:t>6.5</w:t>
            </w:r>
          </w:p>
        </w:tc>
        <w:tc>
          <w:tcPr>
            <w:tcW w:w="1063" w:type="dxa"/>
            <w:shd w:val="clear" w:color="auto" w:fill="D4E3F5"/>
          </w:tcPr>
          <w:p>
            <w:pPr>
              <w:pStyle w:val="TableParagraph"/>
              <w:ind w:left="58" w:right="53"/>
              <w:rPr>
                <w:sz w:val="14"/>
              </w:rPr>
            </w:pPr>
            <w:r>
              <w:rPr>
                <w:color w:val="231F20"/>
                <w:spacing w:val="-5"/>
                <w:w w:val="95"/>
                <w:sz w:val="14"/>
              </w:rPr>
              <w:t>5.1</w:t>
            </w:r>
          </w:p>
        </w:tc>
        <w:tc>
          <w:tcPr>
            <w:tcW w:w="1083" w:type="dxa"/>
            <w:shd w:val="clear" w:color="auto" w:fill="D4E3F5"/>
          </w:tcPr>
          <w:p>
            <w:pPr>
              <w:pStyle w:val="TableParagraph"/>
              <w:ind w:left="391"/>
              <w:jc w:val="left"/>
              <w:rPr>
                <w:sz w:val="14"/>
              </w:rPr>
            </w:pPr>
            <w:r>
              <w:rPr>
                <w:color w:val="231F20"/>
                <w:spacing w:val="-5"/>
                <w:w w:val="95"/>
                <w:sz w:val="14"/>
              </w:rPr>
              <w:t>3.7</w:t>
            </w:r>
          </w:p>
        </w:tc>
        <w:tc>
          <w:tcPr>
            <w:tcW w:w="751" w:type="dxa"/>
            <w:shd w:val="clear" w:color="auto" w:fill="D4E3F5"/>
          </w:tcPr>
          <w:p>
            <w:pPr>
              <w:pStyle w:val="TableParagraph"/>
              <w:ind w:left="90" w:right="45"/>
              <w:rPr>
                <w:sz w:val="14"/>
              </w:rPr>
            </w:pPr>
            <w:r>
              <w:rPr>
                <w:color w:val="231F20"/>
                <w:spacing w:val="-5"/>
                <w:w w:val="95"/>
                <w:sz w:val="14"/>
              </w:rPr>
              <w:t>7.0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5" w:right="136"/>
              <w:rPr>
                <w:sz w:val="14"/>
              </w:rPr>
            </w:pPr>
            <w:r>
              <w:rPr>
                <w:color w:val="231F20"/>
                <w:spacing w:val="-5"/>
                <w:w w:val="95"/>
                <w:sz w:val="14"/>
              </w:rPr>
              <w:t>5.6</w:t>
            </w:r>
          </w:p>
        </w:tc>
        <w:tc>
          <w:tcPr>
            <w:tcW w:w="1073" w:type="dxa"/>
            <w:shd w:val="clear" w:color="auto" w:fill="D4E3F5"/>
          </w:tcPr>
          <w:p>
            <w:pPr>
              <w:pStyle w:val="TableParagraph"/>
              <w:ind w:left="76" w:right="63"/>
              <w:rPr>
                <w:sz w:val="14"/>
              </w:rPr>
            </w:pPr>
            <w:r>
              <w:rPr>
                <w:color w:val="231F20"/>
                <w:spacing w:val="-5"/>
                <w:w w:val="95"/>
                <w:sz w:val="14"/>
              </w:rPr>
              <w:t>4.7</w:t>
            </w:r>
          </w:p>
        </w:tc>
        <w:tc>
          <w:tcPr>
            <w:tcW w:w="939" w:type="dxa"/>
            <w:shd w:val="clear" w:color="auto" w:fill="D4E3F5"/>
          </w:tcPr>
          <w:p>
            <w:pPr>
              <w:pStyle w:val="TableParagraph"/>
              <w:ind w:left="32" w:right="32"/>
              <w:rPr>
                <w:sz w:val="14"/>
              </w:rPr>
            </w:pPr>
            <w:r>
              <w:rPr>
                <w:color w:val="231F20"/>
                <w:spacing w:val="-5"/>
                <w:w w:val="95"/>
                <w:sz w:val="14"/>
              </w:rPr>
              <w:t>3.4</w:t>
            </w:r>
          </w:p>
        </w:tc>
        <w:tc>
          <w:tcPr>
            <w:tcW w:w="1005" w:type="dxa"/>
            <w:shd w:val="clear" w:color="auto" w:fill="D4E3F5"/>
          </w:tcPr>
          <w:p>
            <w:pPr>
              <w:pStyle w:val="TableParagraph"/>
              <w:ind w:left="63" w:right="13"/>
              <w:rPr>
                <w:sz w:val="14"/>
              </w:rPr>
            </w:pPr>
            <w:r>
              <w:rPr>
                <w:color w:val="231F20"/>
                <w:spacing w:val="-5"/>
                <w:w w:val="95"/>
                <w:sz w:val="14"/>
              </w:rPr>
              <w:t>6.3</w:t>
            </w:r>
          </w:p>
        </w:tc>
      </w:tr>
      <w:tr>
        <w:trPr>
          <w:trHeight w:val="259" w:hRule="atLeast"/>
        </w:trPr>
        <w:tc>
          <w:tcPr>
            <w:tcW w:w="1358" w:type="dxa"/>
          </w:tcPr>
          <w:p>
            <w:pPr>
              <w:pStyle w:val="TableParagraph"/>
              <w:ind w:left="80"/>
              <w:jc w:val="left"/>
              <w:rPr>
                <w:sz w:val="14"/>
              </w:rPr>
            </w:pPr>
            <w:r>
              <w:rPr>
                <w:color w:val="231F20"/>
                <w:w w:val="75"/>
                <w:sz w:val="14"/>
              </w:rPr>
              <w:t>New</w:t>
            </w:r>
            <w:r>
              <w:rPr>
                <w:color w:val="231F20"/>
                <w:spacing w:val="4"/>
                <w:sz w:val="14"/>
              </w:rPr>
              <w:t> </w:t>
            </w:r>
            <w:r>
              <w:rPr>
                <w:color w:val="231F20"/>
                <w:spacing w:val="-2"/>
                <w:w w:val="85"/>
                <w:sz w:val="14"/>
              </w:rPr>
              <w:t>Zealand</w:t>
            </w:r>
          </w:p>
        </w:tc>
        <w:tc>
          <w:tcPr>
            <w:tcW w:w="1103" w:type="dxa"/>
          </w:tcPr>
          <w:p>
            <w:pPr>
              <w:pStyle w:val="TableParagraph"/>
              <w:ind w:right="435"/>
              <w:jc w:val="right"/>
              <w:rPr>
                <w:sz w:val="14"/>
              </w:rPr>
            </w:pPr>
            <w:r>
              <w:rPr>
                <w:color w:val="231F20"/>
                <w:spacing w:val="-2"/>
                <w:w w:val="95"/>
                <w:sz w:val="14"/>
              </w:rPr>
              <w:t>27,086</w:t>
            </w:r>
          </w:p>
        </w:tc>
        <w:tc>
          <w:tcPr>
            <w:tcW w:w="851" w:type="dxa"/>
          </w:tcPr>
          <w:p>
            <w:pPr>
              <w:pStyle w:val="TableParagraph"/>
              <w:ind w:left="65" w:right="136"/>
              <w:rPr>
                <w:sz w:val="14"/>
              </w:rPr>
            </w:pPr>
            <w:r>
              <w:rPr>
                <w:color w:val="231F20"/>
                <w:spacing w:val="-5"/>
                <w:w w:val="95"/>
                <w:sz w:val="14"/>
              </w:rPr>
              <w:t>9.1</w:t>
            </w:r>
          </w:p>
        </w:tc>
        <w:tc>
          <w:tcPr>
            <w:tcW w:w="1063" w:type="dxa"/>
          </w:tcPr>
          <w:p>
            <w:pPr>
              <w:pStyle w:val="TableParagraph"/>
              <w:ind w:left="77" w:right="53"/>
              <w:rPr>
                <w:sz w:val="14"/>
              </w:rPr>
            </w:pPr>
            <w:r>
              <w:rPr>
                <w:color w:val="231F20"/>
                <w:spacing w:val="-5"/>
                <w:w w:val="95"/>
                <w:sz w:val="14"/>
              </w:rPr>
              <w:t>8.0</w:t>
            </w:r>
          </w:p>
        </w:tc>
        <w:tc>
          <w:tcPr>
            <w:tcW w:w="1083" w:type="dxa"/>
          </w:tcPr>
          <w:p>
            <w:pPr>
              <w:pStyle w:val="TableParagraph"/>
              <w:ind w:left="392"/>
              <w:jc w:val="left"/>
              <w:rPr>
                <w:sz w:val="14"/>
              </w:rPr>
            </w:pPr>
            <w:r>
              <w:rPr>
                <w:color w:val="231F20"/>
                <w:spacing w:val="-5"/>
                <w:w w:val="95"/>
                <w:sz w:val="14"/>
              </w:rPr>
              <w:t>5.3</w:t>
            </w:r>
          </w:p>
        </w:tc>
        <w:tc>
          <w:tcPr>
            <w:tcW w:w="751" w:type="dxa"/>
          </w:tcPr>
          <w:p>
            <w:pPr>
              <w:pStyle w:val="TableParagraph"/>
              <w:ind w:left="46" w:right="65"/>
              <w:rPr>
                <w:sz w:val="14"/>
              </w:rPr>
            </w:pPr>
            <w:r>
              <w:rPr>
                <w:color w:val="231F20"/>
                <w:spacing w:val="-4"/>
                <w:w w:val="95"/>
                <w:sz w:val="14"/>
              </w:rPr>
              <w:t>11.4</w:t>
            </w:r>
          </w:p>
        </w:tc>
        <w:tc>
          <w:tcPr>
            <w:tcW w:w="240" w:type="dxa"/>
          </w:tcPr>
          <w:p>
            <w:pPr>
              <w:pStyle w:val="TableParagraph"/>
              <w:spacing w:before="0"/>
              <w:jc w:val="left"/>
              <w:rPr>
                <w:rFonts w:ascii="Times New Roman"/>
                <w:sz w:val="12"/>
              </w:rPr>
            </w:pPr>
          </w:p>
        </w:tc>
        <w:tc>
          <w:tcPr>
            <w:tcW w:w="851" w:type="dxa"/>
          </w:tcPr>
          <w:p>
            <w:pPr>
              <w:pStyle w:val="TableParagraph"/>
              <w:ind w:left="86" w:right="136"/>
              <w:rPr>
                <w:sz w:val="14"/>
              </w:rPr>
            </w:pPr>
            <w:r>
              <w:rPr>
                <w:color w:val="231F20"/>
                <w:spacing w:val="-5"/>
                <w:w w:val="95"/>
                <w:sz w:val="14"/>
              </w:rPr>
              <w:t>8.9</w:t>
            </w:r>
          </w:p>
        </w:tc>
        <w:tc>
          <w:tcPr>
            <w:tcW w:w="1073" w:type="dxa"/>
          </w:tcPr>
          <w:p>
            <w:pPr>
              <w:pStyle w:val="TableParagraph"/>
              <w:ind w:left="93" w:right="63"/>
              <w:rPr>
                <w:sz w:val="14"/>
              </w:rPr>
            </w:pPr>
            <w:r>
              <w:rPr>
                <w:color w:val="231F20"/>
                <w:spacing w:val="-5"/>
                <w:w w:val="95"/>
                <w:sz w:val="14"/>
              </w:rPr>
              <w:t>7.8</w:t>
            </w:r>
          </w:p>
        </w:tc>
        <w:tc>
          <w:tcPr>
            <w:tcW w:w="939" w:type="dxa"/>
          </w:tcPr>
          <w:p>
            <w:pPr>
              <w:pStyle w:val="TableParagraph"/>
              <w:ind w:left="16" w:right="32"/>
              <w:rPr>
                <w:sz w:val="14"/>
              </w:rPr>
            </w:pPr>
            <w:r>
              <w:rPr>
                <w:color w:val="231F20"/>
                <w:spacing w:val="-5"/>
                <w:w w:val="95"/>
                <w:sz w:val="14"/>
              </w:rPr>
              <w:t>5.1</w:t>
            </w:r>
          </w:p>
        </w:tc>
        <w:tc>
          <w:tcPr>
            <w:tcW w:w="1005" w:type="dxa"/>
          </w:tcPr>
          <w:p>
            <w:pPr>
              <w:pStyle w:val="TableParagraph"/>
              <w:ind w:left="63" w:right="64"/>
              <w:rPr>
                <w:sz w:val="14"/>
              </w:rPr>
            </w:pPr>
            <w:r>
              <w:rPr>
                <w:color w:val="231F20"/>
                <w:spacing w:val="-4"/>
                <w:w w:val="95"/>
                <w:sz w:val="14"/>
              </w:rPr>
              <w:t>11.2</w:t>
            </w:r>
          </w:p>
        </w:tc>
      </w:tr>
      <w:tr>
        <w:trPr>
          <w:trHeight w:val="259" w:hRule="atLeast"/>
        </w:trPr>
        <w:tc>
          <w:tcPr>
            <w:tcW w:w="1358" w:type="dxa"/>
            <w:shd w:val="clear" w:color="auto" w:fill="D4E3F5"/>
          </w:tcPr>
          <w:p>
            <w:pPr>
              <w:pStyle w:val="TableParagraph"/>
              <w:ind w:left="80"/>
              <w:jc w:val="left"/>
              <w:rPr>
                <w:sz w:val="14"/>
              </w:rPr>
            </w:pPr>
            <w:r>
              <w:rPr>
                <w:color w:val="231F20"/>
                <w:spacing w:val="-2"/>
                <w:w w:val="90"/>
                <w:sz w:val="14"/>
              </w:rPr>
              <w:t>Nicaragua</w:t>
            </w:r>
          </w:p>
        </w:tc>
        <w:tc>
          <w:tcPr>
            <w:tcW w:w="1103" w:type="dxa"/>
            <w:shd w:val="clear" w:color="auto" w:fill="D4E3F5"/>
          </w:tcPr>
          <w:p>
            <w:pPr>
              <w:pStyle w:val="TableParagraph"/>
              <w:ind w:right="435"/>
              <w:jc w:val="right"/>
              <w:rPr>
                <w:sz w:val="14"/>
              </w:rPr>
            </w:pPr>
            <w:r>
              <w:rPr>
                <w:color w:val="231F20"/>
                <w:spacing w:val="-2"/>
                <w:w w:val="95"/>
                <w:sz w:val="14"/>
              </w:rPr>
              <w:t>1,285</w:t>
            </w:r>
          </w:p>
        </w:tc>
        <w:tc>
          <w:tcPr>
            <w:tcW w:w="851" w:type="dxa"/>
            <w:shd w:val="clear" w:color="auto" w:fill="D4E3F5"/>
          </w:tcPr>
          <w:p>
            <w:pPr>
              <w:pStyle w:val="TableParagraph"/>
              <w:ind w:left="82" w:right="136"/>
              <w:rPr>
                <w:sz w:val="14"/>
              </w:rPr>
            </w:pPr>
            <w:r>
              <w:rPr>
                <w:color w:val="231F20"/>
                <w:spacing w:val="-5"/>
                <w:w w:val="95"/>
                <w:sz w:val="14"/>
              </w:rPr>
              <w:t>5.0</w:t>
            </w:r>
          </w:p>
        </w:tc>
        <w:tc>
          <w:tcPr>
            <w:tcW w:w="1063" w:type="dxa"/>
            <w:shd w:val="clear" w:color="auto" w:fill="D4E3F5"/>
          </w:tcPr>
          <w:p>
            <w:pPr>
              <w:pStyle w:val="TableParagraph"/>
              <w:ind w:left="77" w:right="53"/>
              <w:rPr>
                <w:sz w:val="14"/>
              </w:rPr>
            </w:pPr>
            <w:r>
              <w:rPr>
                <w:color w:val="231F20"/>
                <w:spacing w:val="-5"/>
                <w:w w:val="95"/>
                <w:sz w:val="14"/>
              </w:rPr>
              <w:t>4.0</w:t>
            </w:r>
          </w:p>
        </w:tc>
        <w:tc>
          <w:tcPr>
            <w:tcW w:w="1083" w:type="dxa"/>
            <w:shd w:val="clear" w:color="auto" w:fill="D4E3F5"/>
          </w:tcPr>
          <w:p>
            <w:pPr>
              <w:pStyle w:val="TableParagraph"/>
              <w:ind w:left="392"/>
              <w:jc w:val="left"/>
              <w:rPr>
                <w:sz w:val="14"/>
              </w:rPr>
            </w:pPr>
            <w:r>
              <w:rPr>
                <w:color w:val="231F20"/>
                <w:spacing w:val="-5"/>
                <w:w w:val="95"/>
                <w:sz w:val="14"/>
              </w:rPr>
              <w:t>2.4</w:t>
            </w:r>
          </w:p>
        </w:tc>
        <w:tc>
          <w:tcPr>
            <w:tcW w:w="751" w:type="dxa"/>
            <w:shd w:val="clear" w:color="auto" w:fill="D4E3F5"/>
          </w:tcPr>
          <w:p>
            <w:pPr>
              <w:pStyle w:val="TableParagraph"/>
              <w:ind w:left="76" w:right="45"/>
              <w:rPr>
                <w:sz w:val="14"/>
              </w:rPr>
            </w:pPr>
            <w:r>
              <w:rPr>
                <w:color w:val="231F20"/>
                <w:spacing w:val="-5"/>
                <w:w w:val="95"/>
                <w:sz w:val="14"/>
              </w:rPr>
              <w:t>6.4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5" w:right="136"/>
              <w:rPr>
                <w:sz w:val="14"/>
              </w:rPr>
            </w:pPr>
            <w:r>
              <w:rPr>
                <w:color w:val="231F20"/>
                <w:spacing w:val="-5"/>
                <w:w w:val="95"/>
                <w:sz w:val="14"/>
              </w:rPr>
              <w:t>5.0</w:t>
            </w:r>
          </w:p>
        </w:tc>
        <w:tc>
          <w:tcPr>
            <w:tcW w:w="1073" w:type="dxa"/>
            <w:shd w:val="clear" w:color="auto" w:fill="D4E3F5"/>
          </w:tcPr>
          <w:p>
            <w:pPr>
              <w:pStyle w:val="TableParagraph"/>
              <w:ind w:left="80" w:right="63"/>
              <w:rPr>
                <w:sz w:val="14"/>
              </w:rPr>
            </w:pPr>
            <w:r>
              <w:rPr>
                <w:color w:val="231F20"/>
                <w:spacing w:val="-5"/>
                <w:w w:val="95"/>
                <w:sz w:val="14"/>
              </w:rPr>
              <w:t>4.0</w:t>
            </w:r>
          </w:p>
        </w:tc>
        <w:tc>
          <w:tcPr>
            <w:tcW w:w="939" w:type="dxa"/>
            <w:shd w:val="clear" w:color="auto" w:fill="D4E3F5"/>
          </w:tcPr>
          <w:p>
            <w:pPr>
              <w:pStyle w:val="TableParagraph"/>
              <w:ind w:left="32" w:right="32"/>
              <w:rPr>
                <w:sz w:val="14"/>
              </w:rPr>
            </w:pPr>
            <w:r>
              <w:rPr>
                <w:color w:val="231F20"/>
                <w:spacing w:val="-5"/>
                <w:w w:val="95"/>
                <w:sz w:val="14"/>
              </w:rPr>
              <w:t>2.4</w:t>
            </w:r>
          </w:p>
        </w:tc>
        <w:tc>
          <w:tcPr>
            <w:tcW w:w="1005" w:type="dxa"/>
            <w:shd w:val="clear" w:color="auto" w:fill="D4E3F5"/>
          </w:tcPr>
          <w:p>
            <w:pPr>
              <w:pStyle w:val="TableParagraph"/>
              <w:ind w:left="63" w:right="13"/>
              <w:rPr>
                <w:sz w:val="14"/>
              </w:rPr>
            </w:pPr>
            <w:r>
              <w:rPr>
                <w:color w:val="231F20"/>
                <w:spacing w:val="-5"/>
                <w:w w:val="95"/>
                <w:sz w:val="14"/>
              </w:rPr>
              <w:t>6.3</w:t>
            </w:r>
          </w:p>
        </w:tc>
      </w:tr>
      <w:tr>
        <w:trPr>
          <w:trHeight w:val="259" w:hRule="atLeast"/>
        </w:trPr>
        <w:tc>
          <w:tcPr>
            <w:tcW w:w="1358" w:type="dxa"/>
          </w:tcPr>
          <w:p>
            <w:pPr>
              <w:pStyle w:val="TableParagraph"/>
              <w:ind w:left="80"/>
              <w:jc w:val="left"/>
              <w:rPr>
                <w:sz w:val="14"/>
              </w:rPr>
            </w:pPr>
            <w:r>
              <w:rPr>
                <w:color w:val="231F20"/>
                <w:spacing w:val="-2"/>
                <w:w w:val="90"/>
                <w:sz w:val="14"/>
              </w:rPr>
              <w:t>Nigeria</w:t>
            </w:r>
          </w:p>
        </w:tc>
        <w:tc>
          <w:tcPr>
            <w:tcW w:w="1103" w:type="dxa"/>
          </w:tcPr>
          <w:p>
            <w:pPr>
              <w:pStyle w:val="TableParagraph"/>
              <w:ind w:right="434"/>
              <w:jc w:val="right"/>
              <w:rPr>
                <w:sz w:val="14"/>
              </w:rPr>
            </w:pPr>
            <w:r>
              <w:rPr>
                <w:color w:val="231F20"/>
                <w:spacing w:val="-2"/>
                <w:w w:val="95"/>
                <w:sz w:val="14"/>
              </w:rPr>
              <w:t>1,128</w:t>
            </w:r>
          </w:p>
        </w:tc>
        <w:tc>
          <w:tcPr>
            <w:tcW w:w="851" w:type="dxa"/>
          </w:tcPr>
          <w:p>
            <w:pPr>
              <w:pStyle w:val="TableParagraph"/>
              <w:ind w:left="19" w:right="136"/>
              <w:rPr>
                <w:sz w:val="14"/>
              </w:rPr>
            </w:pPr>
            <w:r>
              <w:rPr>
                <w:color w:val="231F20"/>
                <w:spacing w:val="-4"/>
                <w:w w:val="95"/>
                <w:sz w:val="14"/>
              </w:rPr>
              <w:t>13.6</w:t>
            </w:r>
          </w:p>
        </w:tc>
        <w:tc>
          <w:tcPr>
            <w:tcW w:w="1063" w:type="dxa"/>
          </w:tcPr>
          <w:p>
            <w:pPr>
              <w:pStyle w:val="TableParagraph"/>
              <w:ind w:left="38" w:right="63"/>
              <w:rPr>
                <w:sz w:val="14"/>
              </w:rPr>
            </w:pPr>
            <w:r>
              <w:rPr>
                <w:color w:val="231F20"/>
                <w:spacing w:val="-4"/>
                <w:w w:val="95"/>
                <w:sz w:val="14"/>
              </w:rPr>
              <w:t>11.2</w:t>
            </w:r>
          </w:p>
        </w:tc>
        <w:tc>
          <w:tcPr>
            <w:tcW w:w="1083" w:type="dxa"/>
          </w:tcPr>
          <w:p>
            <w:pPr>
              <w:pStyle w:val="TableParagraph"/>
              <w:ind w:left="405"/>
              <w:jc w:val="left"/>
              <w:rPr>
                <w:sz w:val="14"/>
              </w:rPr>
            </w:pPr>
            <w:r>
              <w:rPr>
                <w:color w:val="231F20"/>
                <w:spacing w:val="-5"/>
                <w:w w:val="95"/>
                <w:sz w:val="14"/>
              </w:rPr>
              <w:t>7.7</w:t>
            </w:r>
          </w:p>
        </w:tc>
        <w:tc>
          <w:tcPr>
            <w:tcW w:w="751" w:type="dxa"/>
          </w:tcPr>
          <w:p>
            <w:pPr>
              <w:pStyle w:val="TableParagraph"/>
              <w:ind w:left="46" w:right="61"/>
              <w:rPr>
                <w:sz w:val="14"/>
              </w:rPr>
            </w:pPr>
            <w:r>
              <w:rPr>
                <w:color w:val="231F20"/>
                <w:spacing w:val="-4"/>
                <w:w w:val="95"/>
                <w:sz w:val="14"/>
              </w:rPr>
              <w:t>17.4</w:t>
            </w:r>
          </w:p>
        </w:tc>
        <w:tc>
          <w:tcPr>
            <w:tcW w:w="240" w:type="dxa"/>
          </w:tcPr>
          <w:p>
            <w:pPr>
              <w:pStyle w:val="TableParagraph"/>
              <w:spacing w:before="0"/>
              <w:jc w:val="left"/>
              <w:rPr>
                <w:rFonts w:ascii="Times New Roman"/>
                <w:sz w:val="12"/>
              </w:rPr>
            </w:pPr>
          </w:p>
        </w:tc>
        <w:tc>
          <w:tcPr>
            <w:tcW w:w="851" w:type="dxa"/>
          </w:tcPr>
          <w:p>
            <w:pPr>
              <w:pStyle w:val="TableParagraph"/>
              <w:ind w:left="250"/>
              <w:jc w:val="left"/>
              <w:rPr>
                <w:sz w:val="14"/>
              </w:rPr>
            </w:pPr>
            <w:r>
              <w:rPr>
                <w:color w:val="231F20"/>
                <w:spacing w:val="-4"/>
                <w:w w:val="95"/>
                <w:sz w:val="14"/>
              </w:rPr>
              <w:t>13.1</w:t>
            </w:r>
          </w:p>
        </w:tc>
        <w:tc>
          <w:tcPr>
            <w:tcW w:w="1073" w:type="dxa"/>
          </w:tcPr>
          <w:p>
            <w:pPr>
              <w:pStyle w:val="TableParagraph"/>
              <w:ind w:left="30" w:right="65"/>
              <w:rPr>
                <w:sz w:val="14"/>
              </w:rPr>
            </w:pPr>
            <w:r>
              <w:rPr>
                <w:color w:val="231F20"/>
                <w:spacing w:val="-4"/>
                <w:w w:val="95"/>
                <w:sz w:val="14"/>
              </w:rPr>
              <w:t>11.0</w:t>
            </w:r>
          </w:p>
        </w:tc>
        <w:tc>
          <w:tcPr>
            <w:tcW w:w="939" w:type="dxa"/>
          </w:tcPr>
          <w:p>
            <w:pPr>
              <w:pStyle w:val="TableParagraph"/>
              <w:ind w:left="44" w:right="32"/>
              <w:rPr>
                <w:sz w:val="14"/>
              </w:rPr>
            </w:pPr>
            <w:r>
              <w:rPr>
                <w:color w:val="231F20"/>
                <w:spacing w:val="-5"/>
                <w:w w:val="95"/>
                <w:sz w:val="14"/>
              </w:rPr>
              <w:t>7.3</w:t>
            </w:r>
          </w:p>
        </w:tc>
        <w:tc>
          <w:tcPr>
            <w:tcW w:w="1005" w:type="dxa"/>
          </w:tcPr>
          <w:p>
            <w:pPr>
              <w:pStyle w:val="TableParagraph"/>
              <w:ind w:left="63" w:right="74"/>
              <w:rPr>
                <w:sz w:val="14"/>
              </w:rPr>
            </w:pPr>
            <w:r>
              <w:rPr>
                <w:color w:val="231F20"/>
                <w:spacing w:val="-4"/>
                <w:w w:val="95"/>
                <w:sz w:val="14"/>
              </w:rPr>
              <w:t>16.8</w:t>
            </w:r>
          </w:p>
        </w:tc>
      </w:tr>
      <w:tr>
        <w:trPr>
          <w:trHeight w:val="259" w:hRule="atLeast"/>
        </w:trPr>
        <w:tc>
          <w:tcPr>
            <w:tcW w:w="1358" w:type="dxa"/>
            <w:shd w:val="clear" w:color="auto" w:fill="D4E3F5"/>
          </w:tcPr>
          <w:p>
            <w:pPr>
              <w:pStyle w:val="TableParagraph"/>
              <w:ind w:left="80"/>
              <w:jc w:val="left"/>
              <w:rPr>
                <w:sz w:val="14"/>
              </w:rPr>
            </w:pPr>
            <w:r>
              <w:rPr>
                <w:color w:val="231F20"/>
                <w:spacing w:val="-2"/>
                <w:w w:val="85"/>
                <w:sz w:val="14"/>
              </w:rPr>
              <w:t>Norway</w:t>
            </w:r>
          </w:p>
        </w:tc>
        <w:tc>
          <w:tcPr>
            <w:tcW w:w="1103" w:type="dxa"/>
            <w:shd w:val="clear" w:color="auto" w:fill="D4E3F5"/>
          </w:tcPr>
          <w:p>
            <w:pPr>
              <w:pStyle w:val="TableParagraph"/>
              <w:ind w:right="432"/>
              <w:jc w:val="right"/>
              <w:rPr>
                <w:sz w:val="14"/>
              </w:rPr>
            </w:pPr>
            <w:r>
              <w:rPr>
                <w:color w:val="231F20"/>
                <w:spacing w:val="-2"/>
                <w:w w:val="95"/>
                <w:sz w:val="14"/>
              </w:rPr>
              <w:t>3,161</w:t>
            </w:r>
          </w:p>
        </w:tc>
        <w:tc>
          <w:tcPr>
            <w:tcW w:w="851" w:type="dxa"/>
            <w:shd w:val="clear" w:color="auto" w:fill="D4E3F5"/>
          </w:tcPr>
          <w:p>
            <w:pPr>
              <w:pStyle w:val="TableParagraph"/>
              <w:ind w:left="84" w:right="136"/>
              <w:rPr>
                <w:sz w:val="14"/>
              </w:rPr>
            </w:pPr>
            <w:r>
              <w:rPr>
                <w:color w:val="231F20"/>
                <w:spacing w:val="-5"/>
                <w:w w:val="95"/>
                <w:sz w:val="14"/>
              </w:rPr>
              <w:t>6.9</w:t>
            </w:r>
          </w:p>
        </w:tc>
        <w:tc>
          <w:tcPr>
            <w:tcW w:w="1063" w:type="dxa"/>
            <w:shd w:val="clear" w:color="auto" w:fill="D4E3F5"/>
          </w:tcPr>
          <w:p>
            <w:pPr>
              <w:pStyle w:val="TableParagraph"/>
              <w:ind w:left="75" w:right="53"/>
              <w:rPr>
                <w:sz w:val="14"/>
              </w:rPr>
            </w:pPr>
            <w:r>
              <w:rPr>
                <w:color w:val="231F20"/>
                <w:spacing w:val="-5"/>
                <w:w w:val="95"/>
                <w:sz w:val="14"/>
              </w:rPr>
              <w:t>5.4</w:t>
            </w:r>
          </w:p>
        </w:tc>
        <w:tc>
          <w:tcPr>
            <w:tcW w:w="1083" w:type="dxa"/>
            <w:shd w:val="clear" w:color="auto" w:fill="D4E3F5"/>
          </w:tcPr>
          <w:p>
            <w:pPr>
              <w:pStyle w:val="TableParagraph"/>
              <w:ind w:left="391"/>
              <w:jc w:val="left"/>
              <w:rPr>
                <w:sz w:val="14"/>
              </w:rPr>
            </w:pPr>
            <w:r>
              <w:rPr>
                <w:color w:val="231F20"/>
                <w:spacing w:val="-5"/>
                <w:w w:val="95"/>
                <w:sz w:val="14"/>
              </w:rPr>
              <w:t>3.5</w:t>
            </w:r>
          </w:p>
        </w:tc>
        <w:tc>
          <w:tcPr>
            <w:tcW w:w="751" w:type="dxa"/>
            <w:shd w:val="clear" w:color="auto" w:fill="D4E3F5"/>
          </w:tcPr>
          <w:p>
            <w:pPr>
              <w:pStyle w:val="TableParagraph"/>
              <w:ind w:left="80" w:right="45"/>
              <w:rPr>
                <w:sz w:val="14"/>
              </w:rPr>
            </w:pPr>
            <w:r>
              <w:rPr>
                <w:color w:val="231F20"/>
                <w:spacing w:val="-5"/>
                <w:w w:val="95"/>
                <w:sz w:val="14"/>
              </w:rPr>
              <w:t>8.8</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6" w:right="136"/>
              <w:rPr>
                <w:sz w:val="14"/>
              </w:rPr>
            </w:pPr>
            <w:r>
              <w:rPr>
                <w:color w:val="231F20"/>
                <w:spacing w:val="-5"/>
                <w:w w:val="95"/>
                <w:sz w:val="14"/>
              </w:rPr>
              <w:t>6.9</w:t>
            </w:r>
          </w:p>
        </w:tc>
        <w:tc>
          <w:tcPr>
            <w:tcW w:w="1073" w:type="dxa"/>
            <w:shd w:val="clear" w:color="auto" w:fill="D4E3F5"/>
          </w:tcPr>
          <w:p>
            <w:pPr>
              <w:pStyle w:val="TableParagraph"/>
              <w:ind w:left="77" w:right="63"/>
              <w:rPr>
                <w:sz w:val="14"/>
              </w:rPr>
            </w:pPr>
            <w:r>
              <w:rPr>
                <w:color w:val="231F20"/>
                <w:spacing w:val="-5"/>
                <w:w w:val="95"/>
                <w:sz w:val="14"/>
              </w:rPr>
              <w:t>5.4</w:t>
            </w:r>
          </w:p>
        </w:tc>
        <w:tc>
          <w:tcPr>
            <w:tcW w:w="939" w:type="dxa"/>
            <w:shd w:val="clear" w:color="auto" w:fill="D4E3F5"/>
          </w:tcPr>
          <w:p>
            <w:pPr>
              <w:pStyle w:val="TableParagraph"/>
              <w:ind w:left="33" w:right="32"/>
              <w:rPr>
                <w:sz w:val="14"/>
              </w:rPr>
            </w:pPr>
            <w:r>
              <w:rPr>
                <w:color w:val="231F20"/>
                <w:spacing w:val="-5"/>
                <w:w w:val="95"/>
                <w:sz w:val="14"/>
              </w:rPr>
              <w:t>3.5</w:t>
            </w:r>
          </w:p>
        </w:tc>
        <w:tc>
          <w:tcPr>
            <w:tcW w:w="1005" w:type="dxa"/>
            <w:shd w:val="clear" w:color="auto" w:fill="D4E3F5"/>
          </w:tcPr>
          <w:p>
            <w:pPr>
              <w:pStyle w:val="TableParagraph"/>
              <w:ind w:left="64" w:right="13"/>
              <w:rPr>
                <w:sz w:val="14"/>
              </w:rPr>
            </w:pPr>
            <w:r>
              <w:rPr>
                <w:color w:val="231F20"/>
                <w:spacing w:val="-5"/>
                <w:w w:val="95"/>
                <w:sz w:val="14"/>
              </w:rPr>
              <w:t>8.8</w:t>
            </w:r>
          </w:p>
        </w:tc>
      </w:tr>
      <w:tr>
        <w:trPr>
          <w:trHeight w:val="254" w:hRule="atLeast"/>
        </w:trPr>
        <w:tc>
          <w:tcPr>
            <w:tcW w:w="1358" w:type="dxa"/>
            <w:tcBorders>
              <w:bottom w:val="single" w:sz="4" w:space="0" w:color="008FDD"/>
            </w:tcBorders>
          </w:tcPr>
          <w:p>
            <w:pPr>
              <w:pStyle w:val="TableParagraph"/>
              <w:ind w:left="80"/>
              <w:jc w:val="left"/>
              <w:rPr>
                <w:sz w:val="14"/>
              </w:rPr>
            </w:pPr>
            <w:r>
              <w:rPr>
                <w:color w:val="231F20"/>
                <w:spacing w:val="-4"/>
                <w:w w:val="90"/>
                <w:sz w:val="14"/>
              </w:rPr>
              <w:t>Oman</w:t>
            </w:r>
          </w:p>
        </w:tc>
        <w:tc>
          <w:tcPr>
            <w:tcW w:w="1103" w:type="dxa"/>
            <w:tcBorders>
              <w:bottom w:val="single" w:sz="4" w:space="0" w:color="008FDD"/>
            </w:tcBorders>
          </w:tcPr>
          <w:p>
            <w:pPr>
              <w:pStyle w:val="TableParagraph"/>
              <w:ind w:right="442"/>
              <w:jc w:val="right"/>
              <w:rPr>
                <w:sz w:val="14"/>
              </w:rPr>
            </w:pPr>
            <w:r>
              <w:rPr>
                <w:color w:val="231F20"/>
                <w:spacing w:val="-2"/>
                <w:w w:val="95"/>
                <w:sz w:val="14"/>
              </w:rPr>
              <w:t>4,111</w:t>
            </w:r>
          </w:p>
        </w:tc>
        <w:tc>
          <w:tcPr>
            <w:tcW w:w="851" w:type="dxa"/>
            <w:tcBorders>
              <w:bottom w:val="single" w:sz="4" w:space="0" w:color="008FDD"/>
            </w:tcBorders>
          </w:tcPr>
          <w:p>
            <w:pPr>
              <w:pStyle w:val="TableParagraph"/>
              <w:ind w:left="64" w:right="136"/>
              <w:rPr>
                <w:sz w:val="14"/>
              </w:rPr>
            </w:pPr>
            <w:r>
              <w:rPr>
                <w:color w:val="231F20"/>
                <w:spacing w:val="-5"/>
                <w:w w:val="95"/>
                <w:sz w:val="14"/>
              </w:rPr>
              <w:t>5.1</w:t>
            </w:r>
          </w:p>
        </w:tc>
        <w:tc>
          <w:tcPr>
            <w:tcW w:w="1063" w:type="dxa"/>
            <w:tcBorders>
              <w:bottom w:val="single" w:sz="4" w:space="0" w:color="008FDD"/>
            </w:tcBorders>
          </w:tcPr>
          <w:p>
            <w:pPr>
              <w:pStyle w:val="TableParagraph"/>
              <w:ind w:left="77" w:right="53"/>
              <w:rPr>
                <w:sz w:val="14"/>
              </w:rPr>
            </w:pPr>
            <w:r>
              <w:rPr>
                <w:color w:val="231F20"/>
                <w:spacing w:val="-5"/>
                <w:w w:val="95"/>
                <w:sz w:val="14"/>
              </w:rPr>
              <w:t>4.6</w:t>
            </w:r>
          </w:p>
        </w:tc>
        <w:tc>
          <w:tcPr>
            <w:tcW w:w="1083" w:type="dxa"/>
            <w:tcBorders>
              <w:bottom w:val="single" w:sz="4" w:space="0" w:color="008FDD"/>
            </w:tcBorders>
          </w:tcPr>
          <w:p>
            <w:pPr>
              <w:pStyle w:val="TableParagraph"/>
              <w:ind w:left="392"/>
              <w:jc w:val="left"/>
              <w:rPr>
                <w:sz w:val="14"/>
              </w:rPr>
            </w:pPr>
            <w:r>
              <w:rPr>
                <w:color w:val="231F20"/>
                <w:spacing w:val="-5"/>
                <w:w w:val="95"/>
                <w:sz w:val="14"/>
              </w:rPr>
              <w:t>2.9</w:t>
            </w:r>
          </w:p>
        </w:tc>
        <w:tc>
          <w:tcPr>
            <w:tcW w:w="751" w:type="dxa"/>
            <w:tcBorders>
              <w:bottom w:val="single" w:sz="4" w:space="0" w:color="008FDD"/>
            </w:tcBorders>
          </w:tcPr>
          <w:p>
            <w:pPr>
              <w:pStyle w:val="TableParagraph"/>
              <w:ind w:left="80" w:right="45"/>
              <w:rPr>
                <w:sz w:val="14"/>
              </w:rPr>
            </w:pPr>
            <w:r>
              <w:rPr>
                <w:color w:val="231F20"/>
                <w:spacing w:val="-5"/>
                <w:w w:val="95"/>
                <w:sz w:val="14"/>
              </w:rPr>
              <w:t>6.9</w:t>
            </w:r>
          </w:p>
        </w:tc>
        <w:tc>
          <w:tcPr>
            <w:tcW w:w="240" w:type="dxa"/>
            <w:tcBorders>
              <w:bottom w:val="single" w:sz="4" w:space="0" w:color="008FDD"/>
            </w:tcBorders>
          </w:tcPr>
          <w:p>
            <w:pPr>
              <w:pStyle w:val="TableParagraph"/>
              <w:spacing w:before="0"/>
              <w:jc w:val="left"/>
              <w:rPr>
                <w:rFonts w:ascii="Times New Roman"/>
                <w:sz w:val="12"/>
              </w:rPr>
            </w:pPr>
          </w:p>
        </w:tc>
        <w:tc>
          <w:tcPr>
            <w:tcW w:w="851" w:type="dxa"/>
            <w:tcBorders>
              <w:bottom w:val="single" w:sz="4" w:space="0" w:color="008FDD"/>
            </w:tcBorders>
          </w:tcPr>
          <w:p>
            <w:pPr>
              <w:pStyle w:val="TableParagraph"/>
              <w:ind w:left="66" w:right="136"/>
              <w:rPr>
                <w:sz w:val="14"/>
              </w:rPr>
            </w:pPr>
            <w:r>
              <w:rPr>
                <w:color w:val="231F20"/>
                <w:spacing w:val="-5"/>
                <w:w w:val="95"/>
                <w:sz w:val="14"/>
              </w:rPr>
              <w:t>5.1</w:t>
            </w:r>
          </w:p>
        </w:tc>
        <w:tc>
          <w:tcPr>
            <w:tcW w:w="1073" w:type="dxa"/>
            <w:tcBorders>
              <w:bottom w:val="single" w:sz="4" w:space="0" w:color="008FDD"/>
            </w:tcBorders>
          </w:tcPr>
          <w:p>
            <w:pPr>
              <w:pStyle w:val="TableParagraph"/>
              <w:ind w:left="80" w:right="63"/>
              <w:rPr>
                <w:sz w:val="14"/>
              </w:rPr>
            </w:pPr>
            <w:r>
              <w:rPr>
                <w:color w:val="231F20"/>
                <w:spacing w:val="-5"/>
                <w:w w:val="95"/>
                <w:sz w:val="14"/>
              </w:rPr>
              <w:t>4.6</w:t>
            </w:r>
          </w:p>
        </w:tc>
        <w:tc>
          <w:tcPr>
            <w:tcW w:w="939" w:type="dxa"/>
            <w:tcBorders>
              <w:bottom w:val="single" w:sz="4" w:space="0" w:color="008FDD"/>
            </w:tcBorders>
          </w:tcPr>
          <w:p>
            <w:pPr>
              <w:pStyle w:val="TableParagraph"/>
              <w:ind w:left="32" w:right="32"/>
              <w:rPr>
                <w:sz w:val="14"/>
              </w:rPr>
            </w:pPr>
            <w:r>
              <w:rPr>
                <w:color w:val="231F20"/>
                <w:spacing w:val="-5"/>
                <w:w w:val="95"/>
                <w:sz w:val="14"/>
              </w:rPr>
              <w:t>2.9</w:t>
            </w:r>
          </w:p>
        </w:tc>
        <w:tc>
          <w:tcPr>
            <w:tcW w:w="1005" w:type="dxa"/>
            <w:tcBorders>
              <w:bottom w:val="single" w:sz="4" w:space="0" w:color="008FDD"/>
            </w:tcBorders>
          </w:tcPr>
          <w:p>
            <w:pPr>
              <w:pStyle w:val="TableParagraph"/>
              <w:ind w:left="64" w:right="13"/>
              <w:rPr>
                <w:sz w:val="14"/>
              </w:rPr>
            </w:pPr>
            <w:r>
              <w:rPr>
                <w:color w:val="231F20"/>
                <w:spacing w:val="-5"/>
                <w:w w:val="95"/>
                <w:sz w:val="14"/>
              </w:rPr>
              <w:t>6.9</w:t>
            </w:r>
          </w:p>
        </w:tc>
      </w:tr>
    </w:tbl>
    <w:p>
      <w:pPr>
        <w:spacing w:after="0"/>
        <w:rPr>
          <w:sz w:val="14"/>
        </w:rPr>
        <w:sectPr>
          <w:pgSz w:w="12240" w:h="15840"/>
          <w:pgMar w:header="370" w:footer="548" w:top="560" w:bottom="740" w:left="0" w:right="540"/>
        </w:sectPr>
      </w:pPr>
    </w:p>
    <w:p>
      <w:pPr>
        <w:pStyle w:val="BodyText"/>
        <w:rPr>
          <w:rFonts w:ascii="Arial"/>
          <w:sz w:val="20"/>
        </w:rPr>
      </w:pPr>
    </w:p>
    <w:p>
      <w:pPr>
        <w:pStyle w:val="BodyText"/>
        <w:rPr>
          <w:rFonts w:ascii="Arial"/>
          <w:sz w:val="20"/>
        </w:rPr>
      </w:pPr>
    </w:p>
    <w:p>
      <w:pPr>
        <w:pStyle w:val="BodyText"/>
        <w:spacing w:before="101" w:after="1"/>
        <w:rPr>
          <w:rFonts w:ascii="Arial"/>
          <w:sz w:val="20"/>
        </w:rPr>
      </w:pPr>
    </w:p>
    <w:tbl>
      <w:tblPr>
        <w:tblW w:w="0" w:type="auto"/>
        <w:jc w:val="left"/>
        <w:tblInd w:w="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11"/>
        <w:gridCol w:w="1150"/>
        <w:gridCol w:w="851"/>
        <w:gridCol w:w="1063"/>
        <w:gridCol w:w="1083"/>
        <w:gridCol w:w="751"/>
        <w:gridCol w:w="240"/>
        <w:gridCol w:w="851"/>
        <w:gridCol w:w="1064"/>
        <w:gridCol w:w="948"/>
        <w:gridCol w:w="1005"/>
      </w:tblGrid>
      <w:tr>
        <w:trPr>
          <w:trHeight w:val="213" w:hRule="atLeast"/>
        </w:trPr>
        <w:tc>
          <w:tcPr>
            <w:tcW w:w="1311" w:type="dxa"/>
          </w:tcPr>
          <w:p>
            <w:pPr>
              <w:pStyle w:val="TableParagraph"/>
              <w:spacing w:before="0"/>
              <w:jc w:val="left"/>
              <w:rPr>
                <w:rFonts w:ascii="Times New Roman"/>
                <w:sz w:val="12"/>
              </w:rPr>
            </w:pPr>
          </w:p>
        </w:tc>
        <w:tc>
          <w:tcPr>
            <w:tcW w:w="1150" w:type="dxa"/>
            <w:vMerge w:val="restart"/>
            <w:tcBorders>
              <w:bottom w:val="single" w:sz="4" w:space="0" w:color="008FDD"/>
            </w:tcBorders>
          </w:tcPr>
          <w:p>
            <w:pPr>
              <w:pStyle w:val="TableParagraph"/>
              <w:spacing w:before="103"/>
              <w:ind w:left="158" w:firstLine="74"/>
              <w:jc w:val="left"/>
              <w:rPr>
                <w:b/>
                <w:sz w:val="14"/>
              </w:rPr>
            </w:pPr>
            <w:r>
              <w:rPr>
                <w:b/>
                <w:color w:val="231F20"/>
                <w:w w:val="90"/>
                <w:sz w:val="14"/>
              </w:rPr>
              <w:t>Number</w:t>
            </w:r>
            <w:r>
              <w:rPr>
                <w:b/>
                <w:color w:val="231F20"/>
                <w:spacing w:val="-6"/>
                <w:w w:val="90"/>
                <w:sz w:val="14"/>
              </w:rPr>
              <w:t> </w:t>
            </w:r>
            <w:r>
              <w:rPr>
                <w:b/>
                <w:color w:val="231F20"/>
                <w:w w:val="90"/>
                <w:sz w:val="14"/>
              </w:rPr>
              <w:t>of</w:t>
            </w:r>
            <w:r>
              <w:rPr>
                <w:b/>
                <w:color w:val="231F20"/>
                <w:spacing w:val="40"/>
                <w:sz w:val="14"/>
              </w:rPr>
              <w:t> </w:t>
            </w:r>
            <w:r>
              <w:rPr>
                <w:b/>
                <w:color w:val="231F20"/>
                <w:spacing w:val="-2"/>
                <w:w w:val="80"/>
                <w:sz w:val="14"/>
              </w:rPr>
              <w:t>observations</w:t>
            </w:r>
          </w:p>
        </w:tc>
        <w:tc>
          <w:tcPr>
            <w:tcW w:w="851" w:type="dxa"/>
            <w:tcBorders>
              <w:bottom w:val="single" w:sz="4" w:space="0" w:color="008FDD"/>
            </w:tcBorders>
          </w:tcPr>
          <w:p>
            <w:pPr>
              <w:pStyle w:val="TableParagraph"/>
              <w:spacing w:before="0"/>
              <w:jc w:val="left"/>
              <w:rPr>
                <w:rFonts w:ascii="Times New Roman"/>
                <w:sz w:val="12"/>
              </w:rPr>
            </w:pPr>
          </w:p>
        </w:tc>
        <w:tc>
          <w:tcPr>
            <w:tcW w:w="2146" w:type="dxa"/>
            <w:gridSpan w:val="2"/>
            <w:tcBorders>
              <w:bottom w:val="single" w:sz="4" w:space="0" w:color="008FDD"/>
            </w:tcBorders>
          </w:tcPr>
          <w:p>
            <w:pPr>
              <w:pStyle w:val="TableParagraph"/>
              <w:spacing w:before="3"/>
              <w:ind w:left="141"/>
              <w:jc w:val="left"/>
              <w:rPr>
                <w:b/>
                <w:sz w:val="14"/>
              </w:rPr>
            </w:pPr>
            <w:r>
              <w:rPr>
                <w:b/>
                <w:color w:val="231F20"/>
                <w:w w:val="80"/>
                <w:sz w:val="14"/>
              </w:rPr>
              <w:t>Consolidated</w:t>
            </w:r>
            <w:r>
              <w:rPr>
                <w:b/>
                <w:color w:val="231F20"/>
                <w:spacing w:val="20"/>
                <w:sz w:val="14"/>
              </w:rPr>
              <w:t> </w:t>
            </w:r>
            <w:r>
              <w:rPr>
                <w:b/>
                <w:color w:val="231F20"/>
                <w:w w:val="80"/>
                <w:sz w:val="14"/>
              </w:rPr>
              <w:t>dwell</w:t>
            </w:r>
            <w:r>
              <w:rPr>
                <w:b/>
                <w:color w:val="231F20"/>
                <w:spacing w:val="21"/>
                <w:sz w:val="14"/>
              </w:rPr>
              <w:t> </w:t>
            </w:r>
            <w:r>
              <w:rPr>
                <w:b/>
                <w:color w:val="231F20"/>
                <w:w w:val="80"/>
                <w:sz w:val="14"/>
              </w:rPr>
              <w:t>time</w:t>
            </w:r>
            <w:r>
              <w:rPr>
                <w:b/>
                <w:color w:val="231F20"/>
                <w:spacing w:val="20"/>
                <w:sz w:val="14"/>
              </w:rPr>
              <w:t> </w:t>
            </w:r>
            <w:r>
              <w:rPr>
                <w:b/>
                <w:color w:val="231F20"/>
                <w:spacing w:val="-2"/>
                <w:w w:val="80"/>
                <w:sz w:val="14"/>
              </w:rPr>
              <w:t>(days)</w:t>
            </w:r>
          </w:p>
        </w:tc>
        <w:tc>
          <w:tcPr>
            <w:tcW w:w="751" w:type="dxa"/>
            <w:tcBorders>
              <w:bottom w:val="single" w:sz="4" w:space="0" w:color="008FDD"/>
            </w:tcBorders>
          </w:tcPr>
          <w:p>
            <w:pPr>
              <w:pStyle w:val="TableParagraph"/>
              <w:spacing w:before="0"/>
              <w:jc w:val="left"/>
              <w:rPr>
                <w:rFonts w:ascii="Times New Roman"/>
                <w:sz w:val="12"/>
              </w:rPr>
            </w:pPr>
          </w:p>
        </w:tc>
        <w:tc>
          <w:tcPr>
            <w:tcW w:w="240" w:type="dxa"/>
          </w:tcPr>
          <w:p>
            <w:pPr>
              <w:pStyle w:val="TableParagraph"/>
              <w:spacing w:before="0"/>
              <w:jc w:val="left"/>
              <w:rPr>
                <w:rFonts w:ascii="Times New Roman"/>
                <w:sz w:val="12"/>
              </w:rPr>
            </w:pPr>
          </w:p>
        </w:tc>
        <w:tc>
          <w:tcPr>
            <w:tcW w:w="851" w:type="dxa"/>
            <w:tcBorders>
              <w:bottom w:val="single" w:sz="4" w:space="0" w:color="008FDD"/>
            </w:tcBorders>
          </w:tcPr>
          <w:p>
            <w:pPr>
              <w:pStyle w:val="TableParagraph"/>
              <w:spacing w:before="0"/>
              <w:jc w:val="left"/>
              <w:rPr>
                <w:rFonts w:ascii="Times New Roman"/>
                <w:sz w:val="12"/>
              </w:rPr>
            </w:pPr>
          </w:p>
        </w:tc>
        <w:tc>
          <w:tcPr>
            <w:tcW w:w="2012" w:type="dxa"/>
            <w:gridSpan w:val="2"/>
            <w:tcBorders>
              <w:bottom w:val="single" w:sz="4" w:space="0" w:color="008FDD"/>
            </w:tcBorders>
          </w:tcPr>
          <w:p>
            <w:pPr>
              <w:pStyle w:val="TableParagraph"/>
              <w:spacing w:before="3"/>
              <w:ind w:left="399"/>
              <w:jc w:val="left"/>
              <w:rPr>
                <w:b/>
                <w:sz w:val="14"/>
              </w:rPr>
            </w:pPr>
            <w:r>
              <w:rPr>
                <w:b/>
                <w:color w:val="231F20"/>
                <w:w w:val="85"/>
                <w:sz w:val="14"/>
              </w:rPr>
              <w:t>Port</w:t>
            </w:r>
            <w:r>
              <w:rPr>
                <w:b/>
                <w:color w:val="231F20"/>
                <w:spacing w:val="-2"/>
                <w:sz w:val="14"/>
              </w:rPr>
              <w:t> </w:t>
            </w:r>
            <w:r>
              <w:rPr>
                <w:b/>
                <w:color w:val="231F20"/>
                <w:w w:val="85"/>
                <w:sz w:val="14"/>
              </w:rPr>
              <w:t>dwell</w:t>
            </w:r>
            <w:r>
              <w:rPr>
                <w:b/>
                <w:color w:val="231F20"/>
                <w:spacing w:val="-2"/>
                <w:sz w:val="14"/>
              </w:rPr>
              <w:t> </w:t>
            </w:r>
            <w:r>
              <w:rPr>
                <w:b/>
                <w:color w:val="231F20"/>
                <w:w w:val="85"/>
                <w:sz w:val="14"/>
              </w:rPr>
              <w:t>time</w:t>
            </w:r>
            <w:r>
              <w:rPr>
                <w:b/>
                <w:color w:val="231F20"/>
                <w:spacing w:val="-2"/>
                <w:sz w:val="14"/>
              </w:rPr>
              <w:t> </w:t>
            </w:r>
            <w:r>
              <w:rPr>
                <w:b/>
                <w:color w:val="231F20"/>
                <w:spacing w:val="-2"/>
                <w:w w:val="85"/>
                <w:sz w:val="14"/>
              </w:rPr>
              <w:t>(days)</w:t>
            </w:r>
          </w:p>
        </w:tc>
        <w:tc>
          <w:tcPr>
            <w:tcW w:w="1005" w:type="dxa"/>
            <w:tcBorders>
              <w:bottom w:val="single" w:sz="4" w:space="0" w:color="008FDD"/>
            </w:tcBorders>
          </w:tcPr>
          <w:p>
            <w:pPr>
              <w:pStyle w:val="TableParagraph"/>
              <w:spacing w:before="0"/>
              <w:jc w:val="left"/>
              <w:rPr>
                <w:rFonts w:ascii="Times New Roman"/>
                <w:sz w:val="12"/>
              </w:rPr>
            </w:pPr>
          </w:p>
        </w:tc>
      </w:tr>
      <w:tr>
        <w:trPr>
          <w:trHeight w:val="246" w:hRule="atLeast"/>
        </w:trPr>
        <w:tc>
          <w:tcPr>
            <w:tcW w:w="1311" w:type="dxa"/>
            <w:tcBorders>
              <w:bottom w:val="single" w:sz="4" w:space="0" w:color="008FDD"/>
            </w:tcBorders>
          </w:tcPr>
          <w:p>
            <w:pPr>
              <w:pStyle w:val="TableParagraph"/>
              <w:spacing w:before="40"/>
              <w:ind w:left="80"/>
              <w:jc w:val="left"/>
              <w:rPr>
                <w:b/>
                <w:sz w:val="14"/>
              </w:rPr>
            </w:pPr>
            <w:r>
              <w:rPr>
                <w:b/>
                <w:color w:val="231F20"/>
                <w:spacing w:val="-2"/>
                <w:w w:val="90"/>
                <w:sz w:val="14"/>
              </w:rPr>
              <w:t>Economy</w:t>
            </w:r>
          </w:p>
        </w:tc>
        <w:tc>
          <w:tcPr>
            <w:tcW w:w="1150" w:type="dxa"/>
            <w:vMerge/>
            <w:tcBorders>
              <w:top w:val="nil"/>
              <w:bottom w:val="single" w:sz="4" w:space="0" w:color="008FDD"/>
            </w:tcBorders>
          </w:tcPr>
          <w:p>
            <w:pPr>
              <w:rPr>
                <w:sz w:val="2"/>
                <w:szCs w:val="2"/>
              </w:rPr>
            </w:pPr>
          </w:p>
        </w:tc>
        <w:tc>
          <w:tcPr>
            <w:tcW w:w="851" w:type="dxa"/>
            <w:tcBorders>
              <w:top w:val="single" w:sz="4" w:space="0" w:color="008FDD"/>
              <w:bottom w:val="single" w:sz="4" w:space="0" w:color="008FDD"/>
            </w:tcBorders>
          </w:tcPr>
          <w:p>
            <w:pPr>
              <w:pStyle w:val="TableParagraph"/>
              <w:spacing w:before="40"/>
              <w:ind w:left="48" w:right="136"/>
              <w:rPr>
                <w:b/>
                <w:sz w:val="14"/>
              </w:rPr>
            </w:pPr>
            <w:r>
              <w:rPr>
                <w:b/>
                <w:color w:val="231F20"/>
                <w:spacing w:val="-4"/>
                <w:w w:val="95"/>
                <w:sz w:val="14"/>
              </w:rPr>
              <w:t>Mean</w:t>
            </w:r>
          </w:p>
        </w:tc>
        <w:tc>
          <w:tcPr>
            <w:tcW w:w="1063" w:type="dxa"/>
            <w:tcBorders>
              <w:top w:val="single" w:sz="4" w:space="0" w:color="008FDD"/>
              <w:bottom w:val="single" w:sz="4" w:space="0" w:color="008FDD"/>
            </w:tcBorders>
          </w:tcPr>
          <w:p>
            <w:pPr>
              <w:pStyle w:val="TableParagraph"/>
              <w:spacing w:before="40"/>
              <w:ind w:left="43" w:right="53"/>
              <w:rPr>
                <w:b/>
                <w:sz w:val="14"/>
              </w:rPr>
            </w:pPr>
            <w:r>
              <w:rPr>
                <w:b/>
                <w:color w:val="231F20"/>
                <w:spacing w:val="-2"/>
                <w:w w:val="95"/>
                <w:sz w:val="14"/>
              </w:rPr>
              <w:t>Median</w:t>
            </w:r>
          </w:p>
        </w:tc>
        <w:tc>
          <w:tcPr>
            <w:tcW w:w="1083" w:type="dxa"/>
            <w:tcBorders>
              <w:top w:val="single" w:sz="4" w:space="0" w:color="008FDD"/>
              <w:bottom w:val="single" w:sz="4" w:space="0" w:color="008FDD"/>
            </w:tcBorders>
          </w:tcPr>
          <w:p>
            <w:pPr>
              <w:pStyle w:val="TableParagraph"/>
              <w:spacing w:before="40"/>
              <w:ind w:left="348"/>
              <w:jc w:val="left"/>
              <w:rPr>
                <w:b/>
                <w:sz w:val="14"/>
              </w:rPr>
            </w:pPr>
            <w:r>
              <w:rPr>
                <w:b/>
                <w:color w:val="231F20"/>
                <w:spacing w:val="-5"/>
                <w:w w:val="90"/>
                <w:sz w:val="14"/>
              </w:rPr>
              <w:t>Q25</w:t>
            </w:r>
          </w:p>
        </w:tc>
        <w:tc>
          <w:tcPr>
            <w:tcW w:w="751" w:type="dxa"/>
            <w:tcBorders>
              <w:top w:val="single" w:sz="4" w:space="0" w:color="008FDD"/>
              <w:bottom w:val="single" w:sz="4" w:space="0" w:color="008FDD"/>
            </w:tcBorders>
          </w:tcPr>
          <w:p>
            <w:pPr>
              <w:pStyle w:val="TableParagraph"/>
              <w:spacing w:before="40"/>
              <w:ind w:left="46" w:right="47"/>
              <w:rPr>
                <w:b/>
                <w:sz w:val="14"/>
              </w:rPr>
            </w:pPr>
            <w:r>
              <w:rPr>
                <w:b/>
                <w:color w:val="231F20"/>
                <w:spacing w:val="-5"/>
                <w:w w:val="90"/>
                <w:sz w:val="14"/>
              </w:rPr>
              <w:t>Q75</w:t>
            </w:r>
          </w:p>
        </w:tc>
        <w:tc>
          <w:tcPr>
            <w:tcW w:w="240" w:type="dxa"/>
            <w:tcBorders>
              <w:bottom w:val="single" w:sz="4" w:space="0" w:color="008FDD"/>
            </w:tcBorders>
          </w:tcPr>
          <w:p>
            <w:pPr>
              <w:pStyle w:val="TableParagraph"/>
              <w:spacing w:before="0"/>
              <w:jc w:val="left"/>
              <w:rPr>
                <w:rFonts w:ascii="Times New Roman"/>
                <w:sz w:val="12"/>
              </w:rPr>
            </w:pPr>
          </w:p>
        </w:tc>
        <w:tc>
          <w:tcPr>
            <w:tcW w:w="851" w:type="dxa"/>
            <w:tcBorders>
              <w:top w:val="single" w:sz="4" w:space="0" w:color="008FDD"/>
              <w:bottom w:val="single" w:sz="4" w:space="0" w:color="008FDD"/>
            </w:tcBorders>
          </w:tcPr>
          <w:p>
            <w:pPr>
              <w:pStyle w:val="TableParagraph"/>
              <w:spacing w:before="40"/>
              <w:ind w:left="223"/>
              <w:jc w:val="left"/>
              <w:rPr>
                <w:b/>
                <w:sz w:val="14"/>
              </w:rPr>
            </w:pPr>
            <w:r>
              <w:rPr>
                <w:b/>
                <w:color w:val="231F20"/>
                <w:spacing w:val="-4"/>
                <w:w w:val="95"/>
                <w:sz w:val="14"/>
              </w:rPr>
              <w:t>Mean</w:t>
            </w:r>
          </w:p>
        </w:tc>
        <w:tc>
          <w:tcPr>
            <w:tcW w:w="1064" w:type="dxa"/>
            <w:tcBorders>
              <w:top w:val="single" w:sz="4" w:space="0" w:color="008FDD"/>
              <w:bottom w:val="single" w:sz="4" w:space="0" w:color="008FDD"/>
            </w:tcBorders>
          </w:tcPr>
          <w:p>
            <w:pPr>
              <w:pStyle w:val="TableParagraph"/>
              <w:spacing w:before="40"/>
              <w:ind w:left="40" w:right="48"/>
              <w:rPr>
                <w:b/>
                <w:sz w:val="14"/>
              </w:rPr>
            </w:pPr>
            <w:r>
              <w:rPr>
                <w:b/>
                <w:color w:val="231F20"/>
                <w:spacing w:val="-2"/>
                <w:w w:val="95"/>
                <w:sz w:val="14"/>
              </w:rPr>
              <w:t>Median</w:t>
            </w:r>
          </w:p>
        </w:tc>
        <w:tc>
          <w:tcPr>
            <w:tcW w:w="948" w:type="dxa"/>
            <w:tcBorders>
              <w:top w:val="single" w:sz="4" w:space="0" w:color="008FDD"/>
              <w:bottom w:val="single" w:sz="4" w:space="0" w:color="008FDD"/>
            </w:tcBorders>
          </w:tcPr>
          <w:p>
            <w:pPr>
              <w:pStyle w:val="TableParagraph"/>
              <w:spacing w:before="40"/>
              <w:ind w:left="39" w:right="60"/>
              <w:rPr>
                <w:b/>
                <w:sz w:val="14"/>
              </w:rPr>
            </w:pPr>
            <w:r>
              <w:rPr>
                <w:b/>
                <w:color w:val="231F20"/>
                <w:spacing w:val="-5"/>
                <w:w w:val="90"/>
                <w:sz w:val="14"/>
              </w:rPr>
              <w:t>Q25</w:t>
            </w:r>
          </w:p>
        </w:tc>
        <w:tc>
          <w:tcPr>
            <w:tcW w:w="1005" w:type="dxa"/>
            <w:tcBorders>
              <w:top w:val="single" w:sz="4" w:space="0" w:color="008FDD"/>
              <w:bottom w:val="single" w:sz="4" w:space="0" w:color="008FDD"/>
            </w:tcBorders>
          </w:tcPr>
          <w:p>
            <w:pPr>
              <w:pStyle w:val="TableParagraph"/>
              <w:spacing w:before="40"/>
              <w:ind w:right="384"/>
              <w:jc w:val="right"/>
              <w:rPr>
                <w:b/>
                <w:sz w:val="14"/>
              </w:rPr>
            </w:pPr>
            <w:r>
              <w:rPr>
                <w:b/>
                <w:color w:val="231F20"/>
                <w:spacing w:val="-5"/>
                <w:w w:val="90"/>
                <w:sz w:val="14"/>
              </w:rPr>
              <w:t>Q75</w:t>
            </w:r>
          </w:p>
        </w:tc>
      </w:tr>
      <w:tr>
        <w:trPr>
          <w:trHeight w:val="254" w:hRule="atLeast"/>
        </w:trPr>
        <w:tc>
          <w:tcPr>
            <w:tcW w:w="1311" w:type="dxa"/>
            <w:tcBorders>
              <w:top w:val="single" w:sz="4" w:space="0" w:color="008FDD"/>
            </w:tcBorders>
            <w:shd w:val="clear" w:color="auto" w:fill="D4E3F5"/>
          </w:tcPr>
          <w:p>
            <w:pPr>
              <w:pStyle w:val="TableParagraph"/>
              <w:spacing w:before="43"/>
              <w:ind w:left="79"/>
              <w:jc w:val="left"/>
              <w:rPr>
                <w:sz w:val="14"/>
              </w:rPr>
            </w:pPr>
            <w:r>
              <w:rPr>
                <w:color w:val="231F20"/>
                <w:spacing w:val="-2"/>
                <w:w w:val="90"/>
                <w:sz w:val="14"/>
              </w:rPr>
              <w:t>Pakistan</w:t>
            </w:r>
          </w:p>
        </w:tc>
        <w:tc>
          <w:tcPr>
            <w:tcW w:w="1150" w:type="dxa"/>
            <w:tcBorders>
              <w:top w:val="single" w:sz="4" w:space="0" w:color="008FDD"/>
            </w:tcBorders>
            <w:shd w:val="clear" w:color="auto" w:fill="D4E3F5"/>
          </w:tcPr>
          <w:p>
            <w:pPr>
              <w:pStyle w:val="TableParagraph"/>
              <w:spacing w:before="43"/>
              <w:ind w:right="435"/>
              <w:jc w:val="right"/>
              <w:rPr>
                <w:sz w:val="14"/>
              </w:rPr>
            </w:pPr>
            <w:r>
              <w:rPr>
                <w:color w:val="231F20"/>
                <w:spacing w:val="-2"/>
                <w:w w:val="95"/>
                <w:sz w:val="14"/>
              </w:rPr>
              <w:t>17,594</w:t>
            </w:r>
          </w:p>
        </w:tc>
        <w:tc>
          <w:tcPr>
            <w:tcW w:w="851" w:type="dxa"/>
            <w:tcBorders>
              <w:top w:val="single" w:sz="4" w:space="0" w:color="008FDD"/>
            </w:tcBorders>
            <w:shd w:val="clear" w:color="auto" w:fill="D4E3F5"/>
          </w:tcPr>
          <w:p>
            <w:pPr>
              <w:pStyle w:val="TableParagraph"/>
              <w:spacing w:before="43"/>
              <w:ind w:left="82" w:right="136"/>
              <w:rPr>
                <w:sz w:val="14"/>
              </w:rPr>
            </w:pPr>
            <w:r>
              <w:rPr>
                <w:color w:val="231F20"/>
                <w:spacing w:val="-5"/>
                <w:w w:val="95"/>
                <w:sz w:val="14"/>
              </w:rPr>
              <w:t>5.8</w:t>
            </w:r>
          </w:p>
        </w:tc>
        <w:tc>
          <w:tcPr>
            <w:tcW w:w="1063" w:type="dxa"/>
            <w:tcBorders>
              <w:top w:val="single" w:sz="4" w:space="0" w:color="008FDD"/>
            </w:tcBorders>
            <w:shd w:val="clear" w:color="auto" w:fill="D4E3F5"/>
          </w:tcPr>
          <w:p>
            <w:pPr>
              <w:pStyle w:val="TableParagraph"/>
              <w:spacing w:before="43"/>
              <w:ind w:left="58" w:right="53"/>
              <w:rPr>
                <w:sz w:val="14"/>
              </w:rPr>
            </w:pPr>
            <w:r>
              <w:rPr>
                <w:color w:val="231F20"/>
                <w:spacing w:val="-5"/>
                <w:w w:val="95"/>
                <w:sz w:val="14"/>
              </w:rPr>
              <w:t>5.1</w:t>
            </w:r>
          </w:p>
        </w:tc>
        <w:tc>
          <w:tcPr>
            <w:tcW w:w="1083" w:type="dxa"/>
            <w:tcBorders>
              <w:top w:val="single" w:sz="4" w:space="0" w:color="008FDD"/>
            </w:tcBorders>
            <w:shd w:val="clear" w:color="auto" w:fill="D4E3F5"/>
          </w:tcPr>
          <w:p>
            <w:pPr>
              <w:pStyle w:val="TableParagraph"/>
              <w:spacing w:before="43"/>
              <w:ind w:left="391"/>
              <w:jc w:val="left"/>
              <w:rPr>
                <w:sz w:val="14"/>
              </w:rPr>
            </w:pPr>
            <w:r>
              <w:rPr>
                <w:color w:val="231F20"/>
                <w:spacing w:val="-5"/>
                <w:w w:val="95"/>
                <w:sz w:val="14"/>
              </w:rPr>
              <w:t>3.4</w:t>
            </w:r>
          </w:p>
        </w:tc>
        <w:tc>
          <w:tcPr>
            <w:tcW w:w="751" w:type="dxa"/>
            <w:tcBorders>
              <w:top w:val="single" w:sz="4" w:space="0" w:color="008FDD"/>
            </w:tcBorders>
            <w:shd w:val="clear" w:color="auto" w:fill="D4E3F5"/>
          </w:tcPr>
          <w:p>
            <w:pPr>
              <w:pStyle w:val="TableParagraph"/>
              <w:spacing w:before="43"/>
              <w:ind w:left="91" w:right="45"/>
              <w:rPr>
                <w:sz w:val="14"/>
              </w:rPr>
            </w:pPr>
            <w:r>
              <w:rPr>
                <w:color w:val="231F20"/>
                <w:spacing w:val="-5"/>
                <w:w w:val="95"/>
                <w:sz w:val="14"/>
              </w:rPr>
              <w:t>7.3</w:t>
            </w:r>
          </w:p>
        </w:tc>
        <w:tc>
          <w:tcPr>
            <w:tcW w:w="240" w:type="dxa"/>
            <w:tcBorders>
              <w:top w:val="single" w:sz="4" w:space="0" w:color="008FDD"/>
            </w:tcBorders>
            <w:shd w:val="clear" w:color="auto" w:fill="D4E3F5"/>
          </w:tcPr>
          <w:p>
            <w:pPr>
              <w:pStyle w:val="TableParagraph"/>
              <w:spacing w:before="0"/>
              <w:jc w:val="left"/>
              <w:rPr>
                <w:rFonts w:ascii="Times New Roman"/>
                <w:sz w:val="12"/>
              </w:rPr>
            </w:pPr>
          </w:p>
        </w:tc>
        <w:tc>
          <w:tcPr>
            <w:tcW w:w="851" w:type="dxa"/>
            <w:tcBorders>
              <w:top w:val="single" w:sz="4" w:space="0" w:color="008FDD"/>
            </w:tcBorders>
            <w:shd w:val="clear" w:color="auto" w:fill="D4E3F5"/>
          </w:tcPr>
          <w:p>
            <w:pPr>
              <w:pStyle w:val="TableParagraph"/>
              <w:spacing w:before="43"/>
              <w:ind w:left="80" w:right="136"/>
              <w:rPr>
                <w:sz w:val="14"/>
              </w:rPr>
            </w:pPr>
            <w:r>
              <w:rPr>
                <w:color w:val="231F20"/>
                <w:spacing w:val="-5"/>
                <w:w w:val="95"/>
                <w:sz w:val="14"/>
              </w:rPr>
              <w:t>5.7</w:t>
            </w:r>
          </w:p>
        </w:tc>
        <w:tc>
          <w:tcPr>
            <w:tcW w:w="1064" w:type="dxa"/>
            <w:tcBorders>
              <w:top w:val="single" w:sz="4" w:space="0" w:color="008FDD"/>
            </w:tcBorders>
            <w:shd w:val="clear" w:color="auto" w:fill="D4E3F5"/>
          </w:tcPr>
          <w:p>
            <w:pPr>
              <w:pStyle w:val="TableParagraph"/>
              <w:spacing w:before="43"/>
              <w:ind w:left="63" w:right="37"/>
              <w:rPr>
                <w:sz w:val="14"/>
              </w:rPr>
            </w:pPr>
            <w:r>
              <w:rPr>
                <w:color w:val="231F20"/>
                <w:spacing w:val="-5"/>
                <w:w w:val="95"/>
                <w:sz w:val="14"/>
              </w:rPr>
              <w:t>5.0</w:t>
            </w:r>
          </w:p>
        </w:tc>
        <w:tc>
          <w:tcPr>
            <w:tcW w:w="948" w:type="dxa"/>
            <w:tcBorders>
              <w:top w:val="single" w:sz="4" w:space="0" w:color="008FDD"/>
            </w:tcBorders>
            <w:shd w:val="clear" w:color="auto" w:fill="D4E3F5"/>
          </w:tcPr>
          <w:p>
            <w:pPr>
              <w:pStyle w:val="TableParagraph"/>
              <w:spacing w:before="43"/>
              <w:ind w:left="70" w:right="60"/>
              <w:rPr>
                <w:sz w:val="14"/>
              </w:rPr>
            </w:pPr>
            <w:r>
              <w:rPr>
                <w:color w:val="231F20"/>
                <w:spacing w:val="-5"/>
                <w:w w:val="95"/>
                <w:sz w:val="14"/>
              </w:rPr>
              <w:t>3.3</w:t>
            </w:r>
          </w:p>
        </w:tc>
        <w:tc>
          <w:tcPr>
            <w:tcW w:w="1005" w:type="dxa"/>
            <w:tcBorders>
              <w:top w:val="single" w:sz="4" w:space="0" w:color="008FDD"/>
            </w:tcBorders>
            <w:shd w:val="clear" w:color="auto" w:fill="D4E3F5"/>
          </w:tcPr>
          <w:p>
            <w:pPr>
              <w:pStyle w:val="TableParagraph"/>
              <w:spacing w:before="43"/>
              <w:ind w:right="390"/>
              <w:jc w:val="right"/>
              <w:rPr>
                <w:sz w:val="14"/>
              </w:rPr>
            </w:pPr>
            <w:r>
              <w:rPr>
                <w:color w:val="231F20"/>
                <w:spacing w:val="-5"/>
                <w:w w:val="95"/>
                <w:sz w:val="14"/>
              </w:rPr>
              <w:t>7.0</w:t>
            </w:r>
          </w:p>
        </w:tc>
      </w:tr>
      <w:tr>
        <w:trPr>
          <w:trHeight w:val="259" w:hRule="atLeast"/>
        </w:trPr>
        <w:tc>
          <w:tcPr>
            <w:tcW w:w="1311" w:type="dxa"/>
          </w:tcPr>
          <w:p>
            <w:pPr>
              <w:pStyle w:val="TableParagraph"/>
              <w:ind w:left="79"/>
              <w:jc w:val="left"/>
              <w:rPr>
                <w:sz w:val="14"/>
              </w:rPr>
            </w:pPr>
            <w:r>
              <w:rPr>
                <w:color w:val="231F20"/>
                <w:spacing w:val="-2"/>
                <w:w w:val="85"/>
                <w:sz w:val="14"/>
              </w:rPr>
              <w:t>Panama</w:t>
            </w:r>
          </w:p>
        </w:tc>
        <w:tc>
          <w:tcPr>
            <w:tcW w:w="1150" w:type="dxa"/>
          </w:tcPr>
          <w:p>
            <w:pPr>
              <w:pStyle w:val="TableParagraph"/>
              <w:ind w:right="434"/>
              <w:jc w:val="right"/>
              <w:rPr>
                <w:sz w:val="14"/>
              </w:rPr>
            </w:pPr>
            <w:r>
              <w:rPr>
                <w:color w:val="231F20"/>
                <w:spacing w:val="-2"/>
                <w:w w:val="95"/>
                <w:sz w:val="14"/>
              </w:rPr>
              <w:t>4,088</w:t>
            </w:r>
          </w:p>
        </w:tc>
        <w:tc>
          <w:tcPr>
            <w:tcW w:w="851" w:type="dxa"/>
          </w:tcPr>
          <w:p>
            <w:pPr>
              <w:pStyle w:val="TableParagraph"/>
              <w:ind w:left="93" w:right="136"/>
              <w:rPr>
                <w:sz w:val="14"/>
              </w:rPr>
            </w:pPr>
            <w:r>
              <w:rPr>
                <w:color w:val="231F20"/>
                <w:spacing w:val="-5"/>
                <w:w w:val="95"/>
                <w:sz w:val="14"/>
              </w:rPr>
              <w:t>7.4</w:t>
            </w:r>
          </w:p>
        </w:tc>
        <w:tc>
          <w:tcPr>
            <w:tcW w:w="1063" w:type="dxa"/>
          </w:tcPr>
          <w:p>
            <w:pPr>
              <w:pStyle w:val="TableParagraph"/>
              <w:ind w:left="72" w:right="53"/>
              <w:rPr>
                <w:sz w:val="14"/>
              </w:rPr>
            </w:pPr>
            <w:r>
              <w:rPr>
                <w:color w:val="231F20"/>
                <w:spacing w:val="-5"/>
                <w:w w:val="95"/>
                <w:sz w:val="14"/>
              </w:rPr>
              <w:t>5.7</w:t>
            </w:r>
          </w:p>
        </w:tc>
        <w:tc>
          <w:tcPr>
            <w:tcW w:w="1083" w:type="dxa"/>
          </w:tcPr>
          <w:p>
            <w:pPr>
              <w:pStyle w:val="TableParagraph"/>
              <w:ind w:left="391"/>
              <w:jc w:val="left"/>
              <w:rPr>
                <w:sz w:val="14"/>
              </w:rPr>
            </w:pPr>
            <w:r>
              <w:rPr>
                <w:color w:val="231F20"/>
                <w:spacing w:val="-5"/>
                <w:w w:val="95"/>
                <w:sz w:val="14"/>
              </w:rPr>
              <w:t>3.6</w:t>
            </w:r>
          </w:p>
        </w:tc>
        <w:tc>
          <w:tcPr>
            <w:tcW w:w="751" w:type="dxa"/>
          </w:tcPr>
          <w:p>
            <w:pPr>
              <w:pStyle w:val="TableParagraph"/>
              <w:ind w:left="80" w:right="45"/>
              <w:rPr>
                <w:sz w:val="14"/>
              </w:rPr>
            </w:pPr>
            <w:r>
              <w:rPr>
                <w:color w:val="231F20"/>
                <w:spacing w:val="-5"/>
                <w:w w:val="95"/>
                <w:sz w:val="14"/>
              </w:rPr>
              <w:t>9.2</w:t>
            </w:r>
          </w:p>
        </w:tc>
        <w:tc>
          <w:tcPr>
            <w:tcW w:w="240" w:type="dxa"/>
          </w:tcPr>
          <w:p>
            <w:pPr>
              <w:pStyle w:val="TableParagraph"/>
              <w:spacing w:before="0"/>
              <w:jc w:val="left"/>
              <w:rPr>
                <w:rFonts w:ascii="Times New Roman"/>
                <w:sz w:val="12"/>
              </w:rPr>
            </w:pPr>
          </w:p>
        </w:tc>
        <w:tc>
          <w:tcPr>
            <w:tcW w:w="851" w:type="dxa"/>
          </w:tcPr>
          <w:p>
            <w:pPr>
              <w:pStyle w:val="TableParagraph"/>
              <w:ind w:left="98" w:right="136"/>
              <w:rPr>
                <w:sz w:val="14"/>
              </w:rPr>
            </w:pPr>
            <w:r>
              <w:rPr>
                <w:color w:val="231F20"/>
                <w:spacing w:val="-5"/>
                <w:w w:val="95"/>
                <w:sz w:val="14"/>
              </w:rPr>
              <w:t>7.3</w:t>
            </w:r>
          </w:p>
        </w:tc>
        <w:tc>
          <w:tcPr>
            <w:tcW w:w="1064" w:type="dxa"/>
          </w:tcPr>
          <w:p>
            <w:pPr>
              <w:pStyle w:val="TableParagraph"/>
              <w:ind w:left="63" w:right="37"/>
              <w:rPr>
                <w:sz w:val="14"/>
              </w:rPr>
            </w:pPr>
            <w:r>
              <w:rPr>
                <w:color w:val="231F20"/>
                <w:spacing w:val="-5"/>
                <w:w w:val="95"/>
                <w:sz w:val="14"/>
              </w:rPr>
              <w:t>5.6</w:t>
            </w:r>
          </w:p>
        </w:tc>
        <w:tc>
          <w:tcPr>
            <w:tcW w:w="948" w:type="dxa"/>
          </w:tcPr>
          <w:p>
            <w:pPr>
              <w:pStyle w:val="TableParagraph"/>
              <w:ind w:left="70" w:right="60"/>
              <w:rPr>
                <w:sz w:val="14"/>
              </w:rPr>
            </w:pPr>
            <w:r>
              <w:rPr>
                <w:color w:val="231F20"/>
                <w:spacing w:val="-5"/>
                <w:w w:val="95"/>
                <w:sz w:val="14"/>
              </w:rPr>
              <w:t>3.5</w:t>
            </w:r>
          </w:p>
        </w:tc>
        <w:tc>
          <w:tcPr>
            <w:tcW w:w="1005" w:type="dxa"/>
          </w:tcPr>
          <w:p>
            <w:pPr>
              <w:pStyle w:val="TableParagraph"/>
              <w:ind w:right="407"/>
              <w:jc w:val="right"/>
              <w:rPr>
                <w:sz w:val="14"/>
              </w:rPr>
            </w:pPr>
            <w:r>
              <w:rPr>
                <w:color w:val="231F20"/>
                <w:spacing w:val="-5"/>
                <w:w w:val="95"/>
                <w:sz w:val="14"/>
              </w:rPr>
              <w:t>9.1</w:t>
            </w:r>
          </w:p>
        </w:tc>
      </w:tr>
      <w:tr>
        <w:trPr>
          <w:trHeight w:val="259" w:hRule="atLeast"/>
        </w:trPr>
        <w:tc>
          <w:tcPr>
            <w:tcW w:w="1311" w:type="dxa"/>
            <w:shd w:val="clear" w:color="auto" w:fill="D4E3F5"/>
          </w:tcPr>
          <w:p>
            <w:pPr>
              <w:pStyle w:val="TableParagraph"/>
              <w:ind w:left="79"/>
              <w:jc w:val="left"/>
              <w:rPr>
                <w:sz w:val="14"/>
              </w:rPr>
            </w:pPr>
            <w:r>
              <w:rPr>
                <w:color w:val="231F20"/>
                <w:w w:val="75"/>
                <w:sz w:val="14"/>
              </w:rPr>
              <w:t>Papua</w:t>
            </w:r>
            <w:r>
              <w:rPr>
                <w:color w:val="231F20"/>
                <w:spacing w:val="3"/>
                <w:sz w:val="14"/>
              </w:rPr>
              <w:t> </w:t>
            </w:r>
            <w:r>
              <w:rPr>
                <w:color w:val="231F20"/>
                <w:w w:val="75"/>
                <w:sz w:val="14"/>
              </w:rPr>
              <w:t>New</w:t>
            </w:r>
            <w:r>
              <w:rPr>
                <w:color w:val="231F20"/>
                <w:spacing w:val="4"/>
                <w:sz w:val="14"/>
              </w:rPr>
              <w:t> </w:t>
            </w:r>
            <w:r>
              <w:rPr>
                <w:color w:val="231F20"/>
                <w:spacing w:val="-2"/>
                <w:w w:val="75"/>
                <w:sz w:val="14"/>
              </w:rPr>
              <w:t>Guinea</w:t>
            </w:r>
          </w:p>
        </w:tc>
        <w:tc>
          <w:tcPr>
            <w:tcW w:w="1150" w:type="dxa"/>
            <w:shd w:val="clear" w:color="auto" w:fill="D4E3F5"/>
          </w:tcPr>
          <w:p>
            <w:pPr>
              <w:pStyle w:val="TableParagraph"/>
              <w:ind w:right="433"/>
              <w:jc w:val="right"/>
              <w:rPr>
                <w:sz w:val="14"/>
              </w:rPr>
            </w:pPr>
            <w:r>
              <w:rPr>
                <w:color w:val="231F20"/>
                <w:spacing w:val="-5"/>
                <w:w w:val="95"/>
                <w:sz w:val="14"/>
              </w:rPr>
              <w:t>587</w:t>
            </w:r>
          </w:p>
        </w:tc>
        <w:tc>
          <w:tcPr>
            <w:tcW w:w="851" w:type="dxa"/>
            <w:shd w:val="clear" w:color="auto" w:fill="D4E3F5"/>
          </w:tcPr>
          <w:p>
            <w:pPr>
              <w:pStyle w:val="TableParagraph"/>
              <w:ind w:left="84" w:right="136"/>
              <w:rPr>
                <w:sz w:val="14"/>
              </w:rPr>
            </w:pPr>
            <w:r>
              <w:rPr>
                <w:color w:val="231F20"/>
                <w:spacing w:val="-5"/>
                <w:w w:val="95"/>
                <w:sz w:val="14"/>
              </w:rPr>
              <w:t>3.3</w:t>
            </w:r>
          </w:p>
        </w:tc>
        <w:tc>
          <w:tcPr>
            <w:tcW w:w="1063" w:type="dxa"/>
            <w:shd w:val="clear" w:color="auto" w:fill="D4E3F5"/>
          </w:tcPr>
          <w:p>
            <w:pPr>
              <w:pStyle w:val="TableParagraph"/>
              <w:ind w:left="77" w:right="53"/>
              <w:rPr>
                <w:sz w:val="14"/>
              </w:rPr>
            </w:pPr>
            <w:r>
              <w:rPr>
                <w:color w:val="231F20"/>
                <w:spacing w:val="-5"/>
                <w:w w:val="95"/>
                <w:sz w:val="14"/>
              </w:rPr>
              <w:t>2.8</w:t>
            </w:r>
          </w:p>
        </w:tc>
        <w:tc>
          <w:tcPr>
            <w:tcW w:w="1083" w:type="dxa"/>
            <w:shd w:val="clear" w:color="auto" w:fill="D4E3F5"/>
          </w:tcPr>
          <w:p>
            <w:pPr>
              <w:pStyle w:val="TableParagraph"/>
              <w:ind w:left="392"/>
              <w:jc w:val="left"/>
              <w:rPr>
                <w:sz w:val="14"/>
              </w:rPr>
            </w:pPr>
            <w:r>
              <w:rPr>
                <w:color w:val="231F20"/>
                <w:spacing w:val="-5"/>
                <w:w w:val="95"/>
                <w:sz w:val="14"/>
              </w:rPr>
              <w:t>2.1</w:t>
            </w:r>
          </w:p>
        </w:tc>
        <w:tc>
          <w:tcPr>
            <w:tcW w:w="751" w:type="dxa"/>
            <w:shd w:val="clear" w:color="auto" w:fill="D4E3F5"/>
          </w:tcPr>
          <w:p>
            <w:pPr>
              <w:pStyle w:val="TableParagraph"/>
              <w:ind w:left="77" w:right="45"/>
              <w:rPr>
                <w:sz w:val="14"/>
              </w:rPr>
            </w:pPr>
            <w:r>
              <w:rPr>
                <w:color w:val="231F20"/>
                <w:spacing w:val="-5"/>
                <w:w w:val="95"/>
                <w:sz w:val="14"/>
              </w:rPr>
              <w:t>4.4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7" w:right="136"/>
              <w:rPr>
                <w:sz w:val="14"/>
              </w:rPr>
            </w:pPr>
            <w:r>
              <w:rPr>
                <w:color w:val="231F20"/>
                <w:spacing w:val="-5"/>
                <w:w w:val="95"/>
                <w:sz w:val="14"/>
              </w:rPr>
              <w:t>3.3</w:t>
            </w:r>
          </w:p>
        </w:tc>
        <w:tc>
          <w:tcPr>
            <w:tcW w:w="1064" w:type="dxa"/>
            <w:shd w:val="clear" w:color="auto" w:fill="D4E3F5"/>
          </w:tcPr>
          <w:p>
            <w:pPr>
              <w:pStyle w:val="TableParagraph"/>
              <w:ind w:left="63" w:right="37"/>
              <w:rPr>
                <w:sz w:val="14"/>
              </w:rPr>
            </w:pPr>
            <w:r>
              <w:rPr>
                <w:color w:val="231F20"/>
                <w:spacing w:val="-5"/>
                <w:w w:val="95"/>
                <w:sz w:val="14"/>
              </w:rPr>
              <w:t>2.8</w:t>
            </w:r>
          </w:p>
        </w:tc>
        <w:tc>
          <w:tcPr>
            <w:tcW w:w="948" w:type="dxa"/>
            <w:shd w:val="clear" w:color="auto" w:fill="D4E3F5"/>
          </w:tcPr>
          <w:p>
            <w:pPr>
              <w:pStyle w:val="TableParagraph"/>
              <w:ind w:left="53" w:right="60"/>
              <w:rPr>
                <w:sz w:val="14"/>
              </w:rPr>
            </w:pPr>
            <w:r>
              <w:rPr>
                <w:color w:val="231F20"/>
                <w:spacing w:val="-5"/>
                <w:w w:val="95"/>
                <w:sz w:val="14"/>
              </w:rPr>
              <w:t>2.1</w:t>
            </w:r>
          </w:p>
        </w:tc>
        <w:tc>
          <w:tcPr>
            <w:tcW w:w="1005" w:type="dxa"/>
            <w:shd w:val="clear" w:color="auto" w:fill="D4E3F5"/>
          </w:tcPr>
          <w:p>
            <w:pPr>
              <w:pStyle w:val="TableParagraph"/>
              <w:ind w:right="391"/>
              <w:jc w:val="right"/>
              <w:rPr>
                <w:sz w:val="14"/>
              </w:rPr>
            </w:pPr>
            <w:r>
              <w:rPr>
                <w:color w:val="231F20"/>
                <w:spacing w:val="-5"/>
                <w:w w:val="95"/>
                <w:sz w:val="14"/>
              </w:rPr>
              <w:t>4.4</w:t>
            </w:r>
          </w:p>
        </w:tc>
      </w:tr>
      <w:tr>
        <w:trPr>
          <w:trHeight w:val="259" w:hRule="atLeast"/>
        </w:trPr>
        <w:tc>
          <w:tcPr>
            <w:tcW w:w="1311" w:type="dxa"/>
          </w:tcPr>
          <w:p>
            <w:pPr>
              <w:pStyle w:val="TableParagraph"/>
              <w:ind w:left="79"/>
              <w:jc w:val="left"/>
              <w:rPr>
                <w:sz w:val="14"/>
              </w:rPr>
            </w:pPr>
            <w:r>
              <w:rPr>
                <w:color w:val="231F20"/>
                <w:spacing w:val="-2"/>
                <w:w w:val="85"/>
                <w:sz w:val="14"/>
              </w:rPr>
              <w:t>Paraguay</w:t>
            </w:r>
          </w:p>
        </w:tc>
        <w:tc>
          <w:tcPr>
            <w:tcW w:w="1150" w:type="dxa"/>
          </w:tcPr>
          <w:p>
            <w:pPr>
              <w:pStyle w:val="TableParagraph"/>
              <w:ind w:right="437"/>
              <w:jc w:val="right"/>
              <w:rPr>
                <w:sz w:val="14"/>
              </w:rPr>
            </w:pPr>
            <w:r>
              <w:rPr>
                <w:color w:val="231F20"/>
                <w:spacing w:val="-5"/>
                <w:w w:val="95"/>
                <w:sz w:val="14"/>
              </w:rPr>
              <w:t>441</w:t>
            </w:r>
          </w:p>
        </w:tc>
        <w:tc>
          <w:tcPr>
            <w:tcW w:w="851" w:type="dxa"/>
          </w:tcPr>
          <w:p>
            <w:pPr>
              <w:pStyle w:val="TableParagraph"/>
              <w:ind w:left="19" w:right="136"/>
              <w:rPr>
                <w:sz w:val="14"/>
              </w:rPr>
            </w:pPr>
            <w:r>
              <w:rPr>
                <w:color w:val="231F20"/>
                <w:spacing w:val="-4"/>
                <w:w w:val="95"/>
                <w:sz w:val="14"/>
              </w:rPr>
              <w:t>10.9</w:t>
            </w:r>
          </w:p>
        </w:tc>
        <w:tc>
          <w:tcPr>
            <w:tcW w:w="1063" w:type="dxa"/>
          </w:tcPr>
          <w:p>
            <w:pPr>
              <w:pStyle w:val="TableParagraph"/>
              <w:ind w:left="78" w:right="53"/>
              <w:rPr>
                <w:sz w:val="14"/>
              </w:rPr>
            </w:pPr>
            <w:r>
              <w:rPr>
                <w:color w:val="231F20"/>
                <w:spacing w:val="-5"/>
                <w:w w:val="95"/>
                <w:sz w:val="14"/>
              </w:rPr>
              <w:t>9.5</w:t>
            </w:r>
          </w:p>
        </w:tc>
        <w:tc>
          <w:tcPr>
            <w:tcW w:w="1083" w:type="dxa"/>
          </w:tcPr>
          <w:p>
            <w:pPr>
              <w:pStyle w:val="TableParagraph"/>
              <w:ind w:left="391"/>
              <w:jc w:val="left"/>
              <w:rPr>
                <w:sz w:val="14"/>
              </w:rPr>
            </w:pPr>
            <w:r>
              <w:rPr>
                <w:color w:val="231F20"/>
                <w:spacing w:val="-5"/>
                <w:w w:val="95"/>
                <w:sz w:val="14"/>
              </w:rPr>
              <w:t>6.6</w:t>
            </w:r>
          </w:p>
        </w:tc>
        <w:tc>
          <w:tcPr>
            <w:tcW w:w="751" w:type="dxa"/>
          </w:tcPr>
          <w:p>
            <w:pPr>
              <w:pStyle w:val="TableParagraph"/>
              <w:ind w:left="46" w:right="71"/>
              <w:rPr>
                <w:sz w:val="14"/>
              </w:rPr>
            </w:pPr>
            <w:r>
              <w:rPr>
                <w:color w:val="231F20"/>
                <w:spacing w:val="-4"/>
                <w:w w:val="95"/>
                <w:sz w:val="14"/>
              </w:rPr>
              <w:t>12.5</w:t>
            </w:r>
          </w:p>
        </w:tc>
        <w:tc>
          <w:tcPr>
            <w:tcW w:w="240" w:type="dxa"/>
          </w:tcPr>
          <w:p>
            <w:pPr>
              <w:pStyle w:val="TableParagraph"/>
              <w:spacing w:before="0"/>
              <w:jc w:val="left"/>
              <w:rPr>
                <w:rFonts w:ascii="Times New Roman"/>
                <w:sz w:val="12"/>
              </w:rPr>
            </w:pPr>
          </w:p>
        </w:tc>
        <w:tc>
          <w:tcPr>
            <w:tcW w:w="851" w:type="dxa"/>
          </w:tcPr>
          <w:p>
            <w:pPr>
              <w:pStyle w:val="TableParagraph"/>
              <w:ind w:left="249"/>
              <w:jc w:val="left"/>
              <w:rPr>
                <w:sz w:val="14"/>
              </w:rPr>
            </w:pPr>
            <w:r>
              <w:rPr>
                <w:color w:val="231F20"/>
                <w:spacing w:val="-4"/>
                <w:w w:val="95"/>
                <w:sz w:val="14"/>
              </w:rPr>
              <w:t>10.9</w:t>
            </w:r>
          </w:p>
        </w:tc>
        <w:tc>
          <w:tcPr>
            <w:tcW w:w="1064" w:type="dxa"/>
          </w:tcPr>
          <w:p>
            <w:pPr>
              <w:pStyle w:val="TableParagraph"/>
              <w:ind w:left="64" w:right="37"/>
              <w:rPr>
                <w:sz w:val="14"/>
              </w:rPr>
            </w:pPr>
            <w:r>
              <w:rPr>
                <w:color w:val="231F20"/>
                <w:spacing w:val="-5"/>
                <w:w w:val="95"/>
                <w:sz w:val="14"/>
              </w:rPr>
              <w:t>9.5</w:t>
            </w:r>
          </w:p>
        </w:tc>
        <w:tc>
          <w:tcPr>
            <w:tcW w:w="948" w:type="dxa"/>
          </w:tcPr>
          <w:p>
            <w:pPr>
              <w:pStyle w:val="TableParagraph"/>
              <w:ind w:left="68" w:right="60"/>
              <w:rPr>
                <w:sz w:val="14"/>
              </w:rPr>
            </w:pPr>
            <w:r>
              <w:rPr>
                <w:color w:val="231F20"/>
                <w:spacing w:val="-5"/>
                <w:w w:val="95"/>
                <w:sz w:val="14"/>
              </w:rPr>
              <w:t>6.6</w:t>
            </w:r>
          </w:p>
        </w:tc>
        <w:tc>
          <w:tcPr>
            <w:tcW w:w="1005" w:type="dxa"/>
          </w:tcPr>
          <w:p>
            <w:pPr>
              <w:pStyle w:val="TableParagraph"/>
              <w:ind w:right="389"/>
              <w:jc w:val="right"/>
              <w:rPr>
                <w:sz w:val="14"/>
              </w:rPr>
            </w:pPr>
            <w:r>
              <w:rPr>
                <w:color w:val="231F20"/>
                <w:spacing w:val="-4"/>
                <w:w w:val="95"/>
                <w:sz w:val="14"/>
              </w:rPr>
              <w:t>12.5</w:t>
            </w:r>
          </w:p>
        </w:tc>
      </w:tr>
      <w:tr>
        <w:trPr>
          <w:trHeight w:val="259" w:hRule="atLeast"/>
        </w:trPr>
        <w:tc>
          <w:tcPr>
            <w:tcW w:w="1311" w:type="dxa"/>
            <w:shd w:val="clear" w:color="auto" w:fill="D4E3F5"/>
          </w:tcPr>
          <w:p>
            <w:pPr>
              <w:pStyle w:val="TableParagraph"/>
              <w:ind w:left="79"/>
              <w:jc w:val="left"/>
              <w:rPr>
                <w:sz w:val="14"/>
              </w:rPr>
            </w:pPr>
            <w:r>
              <w:rPr>
                <w:color w:val="231F20"/>
                <w:spacing w:val="-4"/>
                <w:w w:val="90"/>
                <w:sz w:val="14"/>
              </w:rPr>
              <w:t>Peru</w:t>
            </w:r>
          </w:p>
        </w:tc>
        <w:tc>
          <w:tcPr>
            <w:tcW w:w="1150" w:type="dxa"/>
            <w:shd w:val="clear" w:color="auto" w:fill="D4E3F5"/>
          </w:tcPr>
          <w:p>
            <w:pPr>
              <w:pStyle w:val="TableParagraph"/>
              <w:ind w:right="435"/>
              <w:jc w:val="right"/>
              <w:rPr>
                <w:sz w:val="14"/>
              </w:rPr>
            </w:pPr>
            <w:r>
              <w:rPr>
                <w:color w:val="231F20"/>
                <w:spacing w:val="-2"/>
                <w:w w:val="95"/>
                <w:sz w:val="14"/>
              </w:rPr>
              <w:t>12,902</w:t>
            </w:r>
          </w:p>
        </w:tc>
        <w:tc>
          <w:tcPr>
            <w:tcW w:w="851" w:type="dxa"/>
            <w:shd w:val="clear" w:color="auto" w:fill="D4E3F5"/>
          </w:tcPr>
          <w:p>
            <w:pPr>
              <w:pStyle w:val="TableParagraph"/>
              <w:ind w:left="83" w:right="136"/>
              <w:rPr>
                <w:sz w:val="14"/>
              </w:rPr>
            </w:pPr>
            <w:r>
              <w:rPr>
                <w:color w:val="231F20"/>
                <w:spacing w:val="-5"/>
                <w:w w:val="95"/>
                <w:sz w:val="14"/>
              </w:rPr>
              <w:t>3.9</w:t>
            </w:r>
          </w:p>
        </w:tc>
        <w:tc>
          <w:tcPr>
            <w:tcW w:w="1063" w:type="dxa"/>
            <w:shd w:val="clear" w:color="auto" w:fill="D4E3F5"/>
          </w:tcPr>
          <w:p>
            <w:pPr>
              <w:pStyle w:val="TableParagraph"/>
              <w:ind w:left="58" w:right="53"/>
              <w:rPr>
                <w:sz w:val="14"/>
              </w:rPr>
            </w:pPr>
            <w:r>
              <w:rPr>
                <w:color w:val="231F20"/>
                <w:spacing w:val="-5"/>
                <w:w w:val="95"/>
                <w:sz w:val="14"/>
              </w:rPr>
              <w:t>3.1</w:t>
            </w:r>
          </w:p>
        </w:tc>
        <w:tc>
          <w:tcPr>
            <w:tcW w:w="1083" w:type="dxa"/>
            <w:shd w:val="clear" w:color="auto" w:fill="D4E3F5"/>
          </w:tcPr>
          <w:p>
            <w:pPr>
              <w:pStyle w:val="TableParagraph"/>
              <w:ind w:left="392"/>
              <w:jc w:val="left"/>
              <w:rPr>
                <w:sz w:val="14"/>
              </w:rPr>
            </w:pPr>
            <w:r>
              <w:rPr>
                <w:color w:val="231F20"/>
                <w:spacing w:val="-5"/>
                <w:w w:val="95"/>
                <w:sz w:val="14"/>
              </w:rPr>
              <w:t>2.2</w:t>
            </w:r>
          </w:p>
        </w:tc>
        <w:tc>
          <w:tcPr>
            <w:tcW w:w="751" w:type="dxa"/>
            <w:shd w:val="clear" w:color="auto" w:fill="D4E3F5"/>
          </w:tcPr>
          <w:p>
            <w:pPr>
              <w:pStyle w:val="TableParagraph"/>
              <w:ind w:left="79" w:right="45"/>
              <w:rPr>
                <w:sz w:val="14"/>
              </w:rPr>
            </w:pPr>
            <w:r>
              <w:rPr>
                <w:color w:val="231F20"/>
                <w:spacing w:val="-5"/>
                <w:w w:val="95"/>
                <w:sz w:val="14"/>
              </w:rPr>
              <w:t>4.8</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79" w:right="136"/>
              <w:rPr>
                <w:sz w:val="14"/>
              </w:rPr>
            </w:pPr>
            <w:r>
              <w:rPr>
                <w:color w:val="231F20"/>
                <w:spacing w:val="-5"/>
                <w:w w:val="95"/>
                <w:sz w:val="14"/>
              </w:rPr>
              <w:t>3.7</w:t>
            </w:r>
          </w:p>
        </w:tc>
        <w:tc>
          <w:tcPr>
            <w:tcW w:w="1064" w:type="dxa"/>
            <w:shd w:val="clear" w:color="auto" w:fill="D4E3F5"/>
          </w:tcPr>
          <w:p>
            <w:pPr>
              <w:pStyle w:val="TableParagraph"/>
              <w:ind w:left="63" w:right="37"/>
              <w:rPr>
                <w:sz w:val="14"/>
              </w:rPr>
            </w:pPr>
            <w:r>
              <w:rPr>
                <w:color w:val="231F20"/>
                <w:spacing w:val="-5"/>
                <w:w w:val="95"/>
                <w:sz w:val="14"/>
              </w:rPr>
              <w:t>2.9</w:t>
            </w:r>
          </w:p>
        </w:tc>
        <w:tc>
          <w:tcPr>
            <w:tcW w:w="948" w:type="dxa"/>
            <w:shd w:val="clear" w:color="auto" w:fill="D4E3F5"/>
          </w:tcPr>
          <w:p>
            <w:pPr>
              <w:pStyle w:val="TableParagraph"/>
              <w:ind w:left="53" w:right="60"/>
              <w:rPr>
                <w:sz w:val="14"/>
              </w:rPr>
            </w:pPr>
            <w:r>
              <w:rPr>
                <w:color w:val="231F20"/>
                <w:spacing w:val="-5"/>
                <w:w w:val="95"/>
                <w:sz w:val="14"/>
              </w:rPr>
              <w:t>2.1</w:t>
            </w:r>
          </w:p>
        </w:tc>
        <w:tc>
          <w:tcPr>
            <w:tcW w:w="1005" w:type="dxa"/>
            <w:shd w:val="clear" w:color="auto" w:fill="D4E3F5"/>
          </w:tcPr>
          <w:p>
            <w:pPr>
              <w:pStyle w:val="TableParagraph"/>
              <w:ind w:right="389"/>
              <w:jc w:val="right"/>
              <w:rPr>
                <w:sz w:val="14"/>
              </w:rPr>
            </w:pPr>
            <w:r>
              <w:rPr>
                <w:color w:val="231F20"/>
                <w:spacing w:val="-5"/>
                <w:w w:val="95"/>
                <w:sz w:val="14"/>
              </w:rPr>
              <w:t>4.5</w:t>
            </w:r>
          </w:p>
        </w:tc>
      </w:tr>
      <w:tr>
        <w:trPr>
          <w:trHeight w:val="259" w:hRule="atLeast"/>
        </w:trPr>
        <w:tc>
          <w:tcPr>
            <w:tcW w:w="1311" w:type="dxa"/>
          </w:tcPr>
          <w:p>
            <w:pPr>
              <w:pStyle w:val="TableParagraph"/>
              <w:ind w:left="79"/>
              <w:jc w:val="left"/>
              <w:rPr>
                <w:sz w:val="14"/>
              </w:rPr>
            </w:pPr>
            <w:r>
              <w:rPr>
                <w:color w:val="231F20"/>
                <w:spacing w:val="-2"/>
                <w:w w:val="90"/>
                <w:sz w:val="14"/>
              </w:rPr>
              <w:t>Philippines</w:t>
            </w:r>
          </w:p>
        </w:tc>
        <w:tc>
          <w:tcPr>
            <w:tcW w:w="1150" w:type="dxa"/>
          </w:tcPr>
          <w:p>
            <w:pPr>
              <w:pStyle w:val="TableParagraph"/>
              <w:ind w:right="434"/>
              <w:jc w:val="right"/>
              <w:rPr>
                <w:sz w:val="14"/>
              </w:rPr>
            </w:pPr>
            <w:r>
              <w:rPr>
                <w:color w:val="231F20"/>
                <w:spacing w:val="-2"/>
                <w:w w:val="95"/>
                <w:sz w:val="14"/>
              </w:rPr>
              <w:t>13,153</w:t>
            </w:r>
          </w:p>
        </w:tc>
        <w:tc>
          <w:tcPr>
            <w:tcW w:w="851" w:type="dxa"/>
          </w:tcPr>
          <w:p>
            <w:pPr>
              <w:pStyle w:val="TableParagraph"/>
              <w:ind w:left="78" w:right="136"/>
              <w:rPr>
                <w:sz w:val="14"/>
              </w:rPr>
            </w:pPr>
            <w:r>
              <w:rPr>
                <w:color w:val="231F20"/>
                <w:spacing w:val="-5"/>
                <w:w w:val="95"/>
                <w:sz w:val="14"/>
              </w:rPr>
              <w:t>4.7</w:t>
            </w:r>
          </w:p>
        </w:tc>
        <w:tc>
          <w:tcPr>
            <w:tcW w:w="1063" w:type="dxa"/>
          </w:tcPr>
          <w:p>
            <w:pPr>
              <w:pStyle w:val="TableParagraph"/>
              <w:ind w:left="79" w:right="53"/>
              <w:rPr>
                <w:sz w:val="14"/>
              </w:rPr>
            </w:pPr>
            <w:r>
              <w:rPr>
                <w:color w:val="231F20"/>
                <w:spacing w:val="-5"/>
                <w:w w:val="95"/>
                <w:sz w:val="14"/>
              </w:rPr>
              <w:t>3.3</w:t>
            </w:r>
          </w:p>
        </w:tc>
        <w:tc>
          <w:tcPr>
            <w:tcW w:w="1083" w:type="dxa"/>
          </w:tcPr>
          <w:p>
            <w:pPr>
              <w:pStyle w:val="TableParagraph"/>
              <w:ind w:left="392"/>
              <w:jc w:val="left"/>
              <w:rPr>
                <w:sz w:val="14"/>
              </w:rPr>
            </w:pPr>
            <w:r>
              <w:rPr>
                <w:color w:val="231F20"/>
                <w:spacing w:val="-5"/>
                <w:w w:val="95"/>
                <w:sz w:val="14"/>
              </w:rPr>
              <w:t>2.1</w:t>
            </w:r>
          </w:p>
        </w:tc>
        <w:tc>
          <w:tcPr>
            <w:tcW w:w="751" w:type="dxa"/>
          </w:tcPr>
          <w:p>
            <w:pPr>
              <w:pStyle w:val="TableParagraph"/>
              <w:ind w:left="78" w:right="45"/>
              <w:rPr>
                <w:sz w:val="14"/>
              </w:rPr>
            </w:pPr>
            <w:r>
              <w:rPr>
                <w:color w:val="231F20"/>
                <w:spacing w:val="-5"/>
                <w:w w:val="95"/>
                <w:sz w:val="14"/>
              </w:rPr>
              <w:t>5.9</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4.6</w:t>
            </w:r>
          </w:p>
        </w:tc>
        <w:tc>
          <w:tcPr>
            <w:tcW w:w="1064" w:type="dxa"/>
          </w:tcPr>
          <w:p>
            <w:pPr>
              <w:pStyle w:val="TableParagraph"/>
              <w:ind w:left="63" w:right="37"/>
              <w:rPr>
                <w:sz w:val="14"/>
              </w:rPr>
            </w:pPr>
            <w:r>
              <w:rPr>
                <w:color w:val="231F20"/>
                <w:spacing w:val="-5"/>
                <w:w w:val="95"/>
                <w:sz w:val="14"/>
              </w:rPr>
              <w:t>3.2</w:t>
            </w:r>
          </w:p>
        </w:tc>
        <w:tc>
          <w:tcPr>
            <w:tcW w:w="948" w:type="dxa"/>
          </w:tcPr>
          <w:p>
            <w:pPr>
              <w:pStyle w:val="TableParagraph"/>
              <w:ind w:left="53" w:right="60"/>
              <w:rPr>
                <w:sz w:val="14"/>
              </w:rPr>
            </w:pPr>
            <w:r>
              <w:rPr>
                <w:color w:val="231F20"/>
                <w:spacing w:val="-5"/>
                <w:w w:val="95"/>
                <w:sz w:val="14"/>
              </w:rPr>
              <w:t>2.1</w:t>
            </w:r>
          </w:p>
        </w:tc>
        <w:tc>
          <w:tcPr>
            <w:tcW w:w="1005" w:type="dxa"/>
          </w:tcPr>
          <w:p>
            <w:pPr>
              <w:pStyle w:val="TableParagraph"/>
              <w:ind w:right="389"/>
              <w:jc w:val="right"/>
              <w:rPr>
                <w:sz w:val="14"/>
              </w:rPr>
            </w:pPr>
            <w:r>
              <w:rPr>
                <w:color w:val="231F20"/>
                <w:spacing w:val="-5"/>
                <w:w w:val="95"/>
                <w:sz w:val="14"/>
              </w:rPr>
              <w:t>5.9</w:t>
            </w:r>
          </w:p>
        </w:tc>
      </w:tr>
      <w:tr>
        <w:trPr>
          <w:trHeight w:val="259" w:hRule="atLeast"/>
        </w:trPr>
        <w:tc>
          <w:tcPr>
            <w:tcW w:w="1311" w:type="dxa"/>
            <w:shd w:val="clear" w:color="auto" w:fill="D4E3F5"/>
          </w:tcPr>
          <w:p>
            <w:pPr>
              <w:pStyle w:val="TableParagraph"/>
              <w:ind w:left="79"/>
              <w:jc w:val="left"/>
              <w:rPr>
                <w:sz w:val="14"/>
              </w:rPr>
            </w:pPr>
            <w:r>
              <w:rPr>
                <w:color w:val="231F20"/>
                <w:spacing w:val="-2"/>
                <w:w w:val="85"/>
                <w:sz w:val="14"/>
              </w:rPr>
              <w:t>Poland</w:t>
            </w:r>
          </w:p>
        </w:tc>
        <w:tc>
          <w:tcPr>
            <w:tcW w:w="1150" w:type="dxa"/>
            <w:shd w:val="clear" w:color="auto" w:fill="D4E3F5"/>
          </w:tcPr>
          <w:p>
            <w:pPr>
              <w:pStyle w:val="TableParagraph"/>
              <w:ind w:right="435"/>
              <w:jc w:val="right"/>
              <w:rPr>
                <w:sz w:val="14"/>
              </w:rPr>
            </w:pPr>
            <w:r>
              <w:rPr>
                <w:color w:val="231F20"/>
                <w:spacing w:val="-2"/>
                <w:w w:val="95"/>
                <w:sz w:val="14"/>
              </w:rPr>
              <w:t>17,139</w:t>
            </w:r>
          </w:p>
        </w:tc>
        <w:tc>
          <w:tcPr>
            <w:tcW w:w="851" w:type="dxa"/>
            <w:shd w:val="clear" w:color="auto" w:fill="D4E3F5"/>
          </w:tcPr>
          <w:p>
            <w:pPr>
              <w:pStyle w:val="TableParagraph"/>
              <w:ind w:left="63" w:right="136"/>
              <w:rPr>
                <w:sz w:val="14"/>
              </w:rPr>
            </w:pPr>
            <w:r>
              <w:rPr>
                <w:color w:val="231F20"/>
                <w:spacing w:val="-5"/>
                <w:w w:val="95"/>
                <w:sz w:val="14"/>
              </w:rPr>
              <w:t>8.1</w:t>
            </w:r>
          </w:p>
        </w:tc>
        <w:tc>
          <w:tcPr>
            <w:tcW w:w="1063" w:type="dxa"/>
            <w:shd w:val="clear" w:color="auto" w:fill="D4E3F5"/>
          </w:tcPr>
          <w:p>
            <w:pPr>
              <w:pStyle w:val="TableParagraph"/>
              <w:ind w:left="78" w:right="53"/>
              <w:rPr>
                <w:sz w:val="14"/>
              </w:rPr>
            </w:pPr>
            <w:r>
              <w:rPr>
                <w:color w:val="231F20"/>
                <w:spacing w:val="-5"/>
                <w:w w:val="95"/>
                <w:sz w:val="14"/>
              </w:rPr>
              <w:t>6.9</w:t>
            </w:r>
          </w:p>
        </w:tc>
        <w:tc>
          <w:tcPr>
            <w:tcW w:w="1083" w:type="dxa"/>
            <w:shd w:val="clear" w:color="auto" w:fill="D4E3F5"/>
          </w:tcPr>
          <w:p>
            <w:pPr>
              <w:pStyle w:val="TableParagraph"/>
              <w:ind w:left="392"/>
              <w:jc w:val="left"/>
              <w:rPr>
                <w:sz w:val="14"/>
              </w:rPr>
            </w:pPr>
            <w:r>
              <w:rPr>
                <w:color w:val="231F20"/>
                <w:spacing w:val="-5"/>
                <w:w w:val="95"/>
                <w:sz w:val="14"/>
              </w:rPr>
              <w:t>5.3</w:t>
            </w:r>
          </w:p>
        </w:tc>
        <w:tc>
          <w:tcPr>
            <w:tcW w:w="751" w:type="dxa"/>
            <w:shd w:val="clear" w:color="auto" w:fill="D4E3F5"/>
          </w:tcPr>
          <w:p>
            <w:pPr>
              <w:pStyle w:val="TableParagraph"/>
              <w:ind w:left="74" w:right="45"/>
              <w:rPr>
                <w:sz w:val="14"/>
              </w:rPr>
            </w:pPr>
            <w:r>
              <w:rPr>
                <w:color w:val="231F20"/>
                <w:spacing w:val="-5"/>
                <w:w w:val="95"/>
                <w:sz w:val="14"/>
              </w:rPr>
              <w:t>9.7</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96" w:right="136"/>
              <w:rPr>
                <w:sz w:val="14"/>
              </w:rPr>
            </w:pPr>
            <w:r>
              <w:rPr>
                <w:color w:val="231F20"/>
                <w:spacing w:val="-5"/>
                <w:w w:val="95"/>
                <w:sz w:val="14"/>
              </w:rPr>
              <w:t>7.4</w:t>
            </w:r>
          </w:p>
        </w:tc>
        <w:tc>
          <w:tcPr>
            <w:tcW w:w="1064" w:type="dxa"/>
            <w:shd w:val="clear" w:color="auto" w:fill="D4E3F5"/>
          </w:tcPr>
          <w:p>
            <w:pPr>
              <w:pStyle w:val="TableParagraph"/>
              <w:ind w:left="63" w:right="37"/>
              <w:rPr>
                <w:sz w:val="14"/>
              </w:rPr>
            </w:pPr>
            <w:r>
              <w:rPr>
                <w:color w:val="231F20"/>
                <w:spacing w:val="-5"/>
                <w:w w:val="95"/>
                <w:sz w:val="14"/>
              </w:rPr>
              <w:t>6.6</w:t>
            </w:r>
          </w:p>
        </w:tc>
        <w:tc>
          <w:tcPr>
            <w:tcW w:w="948" w:type="dxa"/>
            <w:shd w:val="clear" w:color="auto" w:fill="D4E3F5"/>
          </w:tcPr>
          <w:p>
            <w:pPr>
              <w:pStyle w:val="TableParagraph"/>
              <w:ind w:left="68" w:right="60"/>
              <w:rPr>
                <w:sz w:val="14"/>
              </w:rPr>
            </w:pPr>
            <w:r>
              <w:rPr>
                <w:color w:val="231F20"/>
                <w:spacing w:val="-5"/>
                <w:w w:val="95"/>
                <w:sz w:val="14"/>
              </w:rPr>
              <w:t>5.0</w:t>
            </w:r>
          </w:p>
        </w:tc>
        <w:tc>
          <w:tcPr>
            <w:tcW w:w="1005" w:type="dxa"/>
            <w:shd w:val="clear" w:color="auto" w:fill="D4E3F5"/>
          </w:tcPr>
          <w:p>
            <w:pPr>
              <w:pStyle w:val="TableParagraph"/>
              <w:ind w:right="394"/>
              <w:jc w:val="right"/>
              <w:rPr>
                <w:sz w:val="14"/>
              </w:rPr>
            </w:pPr>
            <w:r>
              <w:rPr>
                <w:color w:val="231F20"/>
                <w:spacing w:val="-5"/>
                <w:w w:val="95"/>
                <w:sz w:val="14"/>
              </w:rPr>
              <w:t>8.7</w:t>
            </w:r>
          </w:p>
        </w:tc>
      </w:tr>
      <w:tr>
        <w:trPr>
          <w:trHeight w:val="259" w:hRule="atLeast"/>
        </w:trPr>
        <w:tc>
          <w:tcPr>
            <w:tcW w:w="1311" w:type="dxa"/>
          </w:tcPr>
          <w:p>
            <w:pPr>
              <w:pStyle w:val="TableParagraph"/>
              <w:ind w:left="79"/>
              <w:jc w:val="left"/>
              <w:rPr>
                <w:sz w:val="14"/>
              </w:rPr>
            </w:pPr>
            <w:r>
              <w:rPr>
                <w:color w:val="231F20"/>
                <w:spacing w:val="-2"/>
                <w:w w:val="90"/>
                <w:sz w:val="14"/>
              </w:rPr>
              <w:t>Portugal</w:t>
            </w:r>
          </w:p>
        </w:tc>
        <w:tc>
          <w:tcPr>
            <w:tcW w:w="1150" w:type="dxa"/>
          </w:tcPr>
          <w:p>
            <w:pPr>
              <w:pStyle w:val="TableParagraph"/>
              <w:ind w:right="434"/>
              <w:jc w:val="right"/>
              <w:rPr>
                <w:sz w:val="14"/>
              </w:rPr>
            </w:pPr>
            <w:r>
              <w:rPr>
                <w:color w:val="231F20"/>
                <w:spacing w:val="-2"/>
                <w:w w:val="95"/>
                <w:sz w:val="14"/>
              </w:rPr>
              <w:t>4,750</w:t>
            </w:r>
          </w:p>
        </w:tc>
        <w:tc>
          <w:tcPr>
            <w:tcW w:w="851" w:type="dxa"/>
          </w:tcPr>
          <w:p>
            <w:pPr>
              <w:pStyle w:val="TableParagraph"/>
              <w:ind w:left="82" w:right="136"/>
              <w:rPr>
                <w:sz w:val="14"/>
              </w:rPr>
            </w:pPr>
            <w:r>
              <w:rPr>
                <w:color w:val="231F20"/>
                <w:spacing w:val="-5"/>
                <w:w w:val="95"/>
                <w:sz w:val="14"/>
              </w:rPr>
              <w:t>5.8</w:t>
            </w:r>
          </w:p>
        </w:tc>
        <w:tc>
          <w:tcPr>
            <w:tcW w:w="1063" w:type="dxa"/>
          </w:tcPr>
          <w:p>
            <w:pPr>
              <w:pStyle w:val="TableParagraph"/>
              <w:ind w:left="77" w:right="53"/>
              <w:rPr>
                <w:sz w:val="14"/>
              </w:rPr>
            </w:pPr>
            <w:r>
              <w:rPr>
                <w:color w:val="231F20"/>
                <w:spacing w:val="-5"/>
                <w:w w:val="95"/>
                <w:sz w:val="14"/>
              </w:rPr>
              <w:t>5.3</w:t>
            </w:r>
          </w:p>
        </w:tc>
        <w:tc>
          <w:tcPr>
            <w:tcW w:w="1083" w:type="dxa"/>
          </w:tcPr>
          <w:p>
            <w:pPr>
              <w:pStyle w:val="TableParagraph"/>
              <w:ind w:left="393"/>
              <w:jc w:val="left"/>
              <w:rPr>
                <w:sz w:val="14"/>
              </w:rPr>
            </w:pPr>
            <w:r>
              <w:rPr>
                <w:color w:val="231F20"/>
                <w:spacing w:val="-5"/>
                <w:w w:val="95"/>
                <w:sz w:val="14"/>
              </w:rPr>
              <w:t>4.0</w:t>
            </w:r>
          </w:p>
        </w:tc>
        <w:tc>
          <w:tcPr>
            <w:tcW w:w="751" w:type="dxa"/>
          </w:tcPr>
          <w:p>
            <w:pPr>
              <w:pStyle w:val="TableParagraph"/>
              <w:ind w:left="78" w:right="45"/>
              <w:rPr>
                <w:sz w:val="14"/>
              </w:rPr>
            </w:pPr>
            <w:r>
              <w:rPr>
                <w:color w:val="231F20"/>
                <w:spacing w:val="-5"/>
                <w:w w:val="95"/>
                <w:sz w:val="14"/>
              </w:rPr>
              <w:t>6.8</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5.6</w:t>
            </w:r>
          </w:p>
        </w:tc>
        <w:tc>
          <w:tcPr>
            <w:tcW w:w="1064" w:type="dxa"/>
          </w:tcPr>
          <w:p>
            <w:pPr>
              <w:pStyle w:val="TableParagraph"/>
              <w:ind w:left="63" w:right="37"/>
              <w:rPr>
                <w:sz w:val="14"/>
              </w:rPr>
            </w:pPr>
            <w:r>
              <w:rPr>
                <w:color w:val="231F20"/>
                <w:spacing w:val="-5"/>
                <w:w w:val="95"/>
                <w:sz w:val="14"/>
              </w:rPr>
              <w:t>5.3</w:t>
            </w:r>
          </w:p>
        </w:tc>
        <w:tc>
          <w:tcPr>
            <w:tcW w:w="948" w:type="dxa"/>
          </w:tcPr>
          <w:p>
            <w:pPr>
              <w:pStyle w:val="TableParagraph"/>
              <w:ind w:left="69" w:right="60"/>
              <w:rPr>
                <w:sz w:val="14"/>
              </w:rPr>
            </w:pPr>
            <w:r>
              <w:rPr>
                <w:color w:val="231F20"/>
                <w:spacing w:val="-5"/>
                <w:w w:val="95"/>
                <w:sz w:val="14"/>
              </w:rPr>
              <w:t>4.0</w:t>
            </w:r>
          </w:p>
        </w:tc>
        <w:tc>
          <w:tcPr>
            <w:tcW w:w="1005" w:type="dxa"/>
          </w:tcPr>
          <w:p>
            <w:pPr>
              <w:pStyle w:val="TableParagraph"/>
              <w:ind w:right="394"/>
              <w:jc w:val="right"/>
              <w:rPr>
                <w:sz w:val="14"/>
              </w:rPr>
            </w:pPr>
            <w:r>
              <w:rPr>
                <w:color w:val="231F20"/>
                <w:spacing w:val="-5"/>
                <w:w w:val="95"/>
                <w:sz w:val="14"/>
              </w:rPr>
              <w:t>6.7</w:t>
            </w:r>
          </w:p>
        </w:tc>
      </w:tr>
      <w:tr>
        <w:trPr>
          <w:trHeight w:val="259" w:hRule="atLeast"/>
        </w:trPr>
        <w:tc>
          <w:tcPr>
            <w:tcW w:w="1311" w:type="dxa"/>
            <w:shd w:val="clear" w:color="auto" w:fill="D4E3F5"/>
          </w:tcPr>
          <w:p>
            <w:pPr>
              <w:pStyle w:val="TableParagraph"/>
              <w:ind w:left="79"/>
              <w:jc w:val="left"/>
              <w:rPr>
                <w:sz w:val="14"/>
              </w:rPr>
            </w:pPr>
            <w:r>
              <w:rPr>
                <w:color w:val="231F20"/>
                <w:w w:val="75"/>
                <w:sz w:val="14"/>
              </w:rPr>
              <w:t>Puerto</w:t>
            </w:r>
            <w:r>
              <w:rPr>
                <w:color w:val="231F20"/>
                <w:spacing w:val="12"/>
                <w:sz w:val="14"/>
              </w:rPr>
              <w:t> </w:t>
            </w:r>
            <w:r>
              <w:rPr>
                <w:color w:val="231F20"/>
                <w:spacing w:val="-4"/>
                <w:w w:val="85"/>
                <w:sz w:val="14"/>
              </w:rPr>
              <w:t>Rico</w:t>
            </w:r>
          </w:p>
        </w:tc>
        <w:tc>
          <w:tcPr>
            <w:tcW w:w="1150" w:type="dxa"/>
            <w:shd w:val="clear" w:color="auto" w:fill="D4E3F5"/>
          </w:tcPr>
          <w:p>
            <w:pPr>
              <w:pStyle w:val="TableParagraph"/>
              <w:ind w:right="433"/>
              <w:jc w:val="right"/>
              <w:rPr>
                <w:sz w:val="14"/>
              </w:rPr>
            </w:pPr>
            <w:r>
              <w:rPr>
                <w:color w:val="231F20"/>
                <w:spacing w:val="-5"/>
                <w:w w:val="95"/>
                <w:sz w:val="14"/>
              </w:rPr>
              <w:t>497</w:t>
            </w:r>
          </w:p>
        </w:tc>
        <w:tc>
          <w:tcPr>
            <w:tcW w:w="851" w:type="dxa"/>
            <w:shd w:val="clear" w:color="auto" w:fill="D4E3F5"/>
          </w:tcPr>
          <w:p>
            <w:pPr>
              <w:pStyle w:val="TableParagraph"/>
              <w:ind w:left="95" w:right="136"/>
              <w:rPr>
                <w:sz w:val="14"/>
              </w:rPr>
            </w:pPr>
            <w:r>
              <w:rPr>
                <w:color w:val="231F20"/>
                <w:spacing w:val="-5"/>
                <w:w w:val="95"/>
                <w:sz w:val="14"/>
              </w:rPr>
              <w:t>7.3</w:t>
            </w:r>
          </w:p>
        </w:tc>
        <w:tc>
          <w:tcPr>
            <w:tcW w:w="1063" w:type="dxa"/>
            <w:shd w:val="clear" w:color="auto" w:fill="D4E3F5"/>
          </w:tcPr>
          <w:p>
            <w:pPr>
              <w:pStyle w:val="TableParagraph"/>
              <w:ind w:left="77" w:right="53"/>
              <w:rPr>
                <w:sz w:val="14"/>
              </w:rPr>
            </w:pPr>
            <w:r>
              <w:rPr>
                <w:color w:val="231F20"/>
                <w:spacing w:val="-5"/>
                <w:w w:val="95"/>
                <w:sz w:val="14"/>
              </w:rPr>
              <w:t>6.0</w:t>
            </w:r>
          </w:p>
        </w:tc>
        <w:tc>
          <w:tcPr>
            <w:tcW w:w="1083" w:type="dxa"/>
            <w:shd w:val="clear" w:color="auto" w:fill="D4E3F5"/>
          </w:tcPr>
          <w:p>
            <w:pPr>
              <w:pStyle w:val="TableParagraph"/>
              <w:ind w:left="393"/>
              <w:jc w:val="left"/>
              <w:rPr>
                <w:sz w:val="14"/>
              </w:rPr>
            </w:pPr>
            <w:r>
              <w:rPr>
                <w:color w:val="231F20"/>
                <w:spacing w:val="-5"/>
                <w:w w:val="95"/>
                <w:sz w:val="14"/>
              </w:rPr>
              <w:t>4.0</w:t>
            </w:r>
          </w:p>
        </w:tc>
        <w:tc>
          <w:tcPr>
            <w:tcW w:w="751" w:type="dxa"/>
            <w:shd w:val="clear" w:color="auto" w:fill="D4E3F5"/>
          </w:tcPr>
          <w:p>
            <w:pPr>
              <w:pStyle w:val="TableParagraph"/>
              <w:ind w:left="77" w:right="45"/>
              <w:rPr>
                <w:sz w:val="14"/>
              </w:rPr>
            </w:pPr>
            <w:r>
              <w:rPr>
                <w:color w:val="231F20"/>
                <w:spacing w:val="-5"/>
                <w:w w:val="95"/>
                <w:sz w:val="14"/>
              </w:rPr>
              <w:t>9.4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99" w:right="136"/>
              <w:rPr>
                <w:sz w:val="14"/>
              </w:rPr>
            </w:pPr>
            <w:r>
              <w:rPr>
                <w:color w:val="231F20"/>
                <w:spacing w:val="-5"/>
                <w:w w:val="95"/>
                <w:sz w:val="14"/>
              </w:rPr>
              <w:t>7.2</w:t>
            </w:r>
          </w:p>
        </w:tc>
        <w:tc>
          <w:tcPr>
            <w:tcW w:w="1064" w:type="dxa"/>
            <w:shd w:val="clear" w:color="auto" w:fill="D4E3F5"/>
          </w:tcPr>
          <w:p>
            <w:pPr>
              <w:pStyle w:val="TableParagraph"/>
              <w:ind w:left="62" w:right="37"/>
              <w:rPr>
                <w:sz w:val="14"/>
              </w:rPr>
            </w:pPr>
            <w:r>
              <w:rPr>
                <w:color w:val="231F20"/>
                <w:spacing w:val="-5"/>
                <w:w w:val="95"/>
                <w:sz w:val="14"/>
              </w:rPr>
              <w:t>5.9</w:t>
            </w:r>
          </w:p>
        </w:tc>
        <w:tc>
          <w:tcPr>
            <w:tcW w:w="948" w:type="dxa"/>
            <w:shd w:val="clear" w:color="auto" w:fill="D4E3F5"/>
          </w:tcPr>
          <w:p>
            <w:pPr>
              <w:pStyle w:val="TableParagraph"/>
              <w:ind w:left="69" w:right="60"/>
              <w:rPr>
                <w:sz w:val="14"/>
              </w:rPr>
            </w:pPr>
            <w:r>
              <w:rPr>
                <w:color w:val="231F20"/>
                <w:spacing w:val="-5"/>
                <w:w w:val="95"/>
                <w:sz w:val="14"/>
              </w:rPr>
              <w:t>4.0</w:t>
            </w:r>
          </w:p>
        </w:tc>
        <w:tc>
          <w:tcPr>
            <w:tcW w:w="1005" w:type="dxa"/>
            <w:shd w:val="clear" w:color="auto" w:fill="D4E3F5"/>
          </w:tcPr>
          <w:p>
            <w:pPr>
              <w:pStyle w:val="TableParagraph"/>
              <w:ind w:right="389"/>
              <w:jc w:val="right"/>
              <w:rPr>
                <w:sz w:val="14"/>
              </w:rPr>
            </w:pPr>
            <w:r>
              <w:rPr>
                <w:color w:val="231F20"/>
                <w:spacing w:val="-5"/>
                <w:w w:val="95"/>
                <w:sz w:val="14"/>
              </w:rPr>
              <w:t>9.3</w:t>
            </w:r>
          </w:p>
        </w:tc>
      </w:tr>
      <w:tr>
        <w:trPr>
          <w:trHeight w:val="259" w:hRule="atLeast"/>
        </w:trPr>
        <w:tc>
          <w:tcPr>
            <w:tcW w:w="1311" w:type="dxa"/>
          </w:tcPr>
          <w:p>
            <w:pPr>
              <w:pStyle w:val="TableParagraph"/>
              <w:ind w:left="79"/>
              <w:jc w:val="left"/>
              <w:rPr>
                <w:sz w:val="14"/>
              </w:rPr>
            </w:pPr>
            <w:r>
              <w:rPr>
                <w:color w:val="231F20"/>
                <w:spacing w:val="-4"/>
                <w:w w:val="90"/>
                <w:sz w:val="14"/>
              </w:rPr>
              <w:t>Qatar</w:t>
            </w:r>
          </w:p>
        </w:tc>
        <w:tc>
          <w:tcPr>
            <w:tcW w:w="1150" w:type="dxa"/>
          </w:tcPr>
          <w:p>
            <w:pPr>
              <w:pStyle w:val="TableParagraph"/>
              <w:ind w:right="434"/>
              <w:jc w:val="right"/>
              <w:rPr>
                <w:sz w:val="14"/>
              </w:rPr>
            </w:pPr>
            <w:r>
              <w:rPr>
                <w:color w:val="231F20"/>
                <w:spacing w:val="-2"/>
                <w:w w:val="95"/>
                <w:sz w:val="14"/>
              </w:rPr>
              <w:t>2,104</w:t>
            </w:r>
          </w:p>
        </w:tc>
        <w:tc>
          <w:tcPr>
            <w:tcW w:w="851" w:type="dxa"/>
          </w:tcPr>
          <w:p>
            <w:pPr>
              <w:pStyle w:val="TableParagraph"/>
              <w:ind w:left="89" w:right="136"/>
              <w:rPr>
                <w:sz w:val="14"/>
              </w:rPr>
            </w:pPr>
            <w:r>
              <w:rPr>
                <w:color w:val="231F20"/>
                <w:spacing w:val="-5"/>
                <w:w w:val="95"/>
                <w:sz w:val="14"/>
              </w:rPr>
              <w:t>1.9</w:t>
            </w:r>
          </w:p>
        </w:tc>
        <w:tc>
          <w:tcPr>
            <w:tcW w:w="1063" w:type="dxa"/>
          </w:tcPr>
          <w:p>
            <w:pPr>
              <w:pStyle w:val="TableParagraph"/>
              <w:ind w:left="66" w:right="53"/>
              <w:rPr>
                <w:sz w:val="14"/>
              </w:rPr>
            </w:pPr>
            <w:r>
              <w:rPr>
                <w:color w:val="231F20"/>
                <w:spacing w:val="-5"/>
                <w:w w:val="95"/>
                <w:sz w:val="14"/>
              </w:rPr>
              <w:t>1.1</w:t>
            </w:r>
          </w:p>
        </w:tc>
        <w:tc>
          <w:tcPr>
            <w:tcW w:w="1083" w:type="dxa"/>
          </w:tcPr>
          <w:p>
            <w:pPr>
              <w:pStyle w:val="TableParagraph"/>
              <w:ind w:left="392"/>
              <w:jc w:val="left"/>
              <w:rPr>
                <w:sz w:val="14"/>
              </w:rPr>
            </w:pPr>
            <w:r>
              <w:rPr>
                <w:color w:val="231F20"/>
                <w:spacing w:val="-5"/>
                <w:w w:val="95"/>
                <w:sz w:val="14"/>
              </w:rPr>
              <w:t>0.6</w:t>
            </w:r>
          </w:p>
        </w:tc>
        <w:tc>
          <w:tcPr>
            <w:tcW w:w="751" w:type="dxa"/>
          </w:tcPr>
          <w:p>
            <w:pPr>
              <w:pStyle w:val="TableParagraph"/>
              <w:ind w:left="60" w:right="45"/>
              <w:rPr>
                <w:sz w:val="14"/>
              </w:rPr>
            </w:pPr>
            <w:r>
              <w:rPr>
                <w:color w:val="231F20"/>
                <w:spacing w:val="-5"/>
                <w:w w:val="95"/>
                <w:sz w:val="14"/>
              </w:rPr>
              <w:t>2.1</w:t>
            </w:r>
          </w:p>
        </w:tc>
        <w:tc>
          <w:tcPr>
            <w:tcW w:w="240" w:type="dxa"/>
          </w:tcPr>
          <w:p>
            <w:pPr>
              <w:pStyle w:val="TableParagraph"/>
              <w:spacing w:before="0"/>
              <w:jc w:val="left"/>
              <w:rPr>
                <w:rFonts w:ascii="Times New Roman"/>
                <w:sz w:val="12"/>
              </w:rPr>
            </w:pPr>
          </w:p>
        </w:tc>
        <w:tc>
          <w:tcPr>
            <w:tcW w:w="851" w:type="dxa"/>
          </w:tcPr>
          <w:p>
            <w:pPr>
              <w:pStyle w:val="TableParagraph"/>
              <w:ind w:left="92" w:right="136"/>
              <w:rPr>
                <w:sz w:val="14"/>
              </w:rPr>
            </w:pPr>
            <w:r>
              <w:rPr>
                <w:color w:val="231F20"/>
                <w:spacing w:val="-5"/>
                <w:w w:val="95"/>
                <w:sz w:val="14"/>
              </w:rPr>
              <w:t>1.9</w:t>
            </w:r>
          </w:p>
        </w:tc>
        <w:tc>
          <w:tcPr>
            <w:tcW w:w="1064" w:type="dxa"/>
          </w:tcPr>
          <w:p>
            <w:pPr>
              <w:pStyle w:val="TableParagraph"/>
              <w:ind w:left="51" w:right="37"/>
              <w:rPr>
                <w:sz w:val="14"/>
              </w:rPr>
            </w:pPr>
            <w:r>
              <w:rPr>
                <w:color w:val="231F20"/>
                <w:spacing w:val="-5"/>
                <w:w w:val="95"/>
                <w:sz w:val="14"/>
              </w:rPr>
              <w:t>1.1</w:t>
            </w:r>
          </w:p>
        </w:tc>
        <w:tc>
          <w:tcPr>
            <w:tcW w:w="948" w:type="dxa"/>
          </w:tcPr>
          <w:p>
            <w:pPr>
              <w:pStyle w:val="TableParagraph"/>
              <w:ind w:left="69" w:right="60"/>
              <w:rPr>
                <w:sz w:val="14"/>
              </w:rPr>
            </w:pPr>
            <w:r>
              <w:rPr>
                <w:color w:val="231F20"/>
                <w:spacing w:val="-5"/>
                <w:w w:val="95"/>
                <w:sz w:val="14"/>
              </w:rPr>
              <w:t>0.6</w:t>
            </w:r>
          </w:p>
        </w:tc>
        <w:tc>
          <w:tcPr>
            <w:tcW w:w="1005" w:type="dxa"/>
          </w:tcPr>
          <w:p>
            <w:pPr>
              <w:pStyle w:val="TableParagraph"/>
              <w:ind w:right="407"/>
              <w:jc w:val="right"/>
              <w:rPr>
                <w:sz w:val="14"/>
              </w:rPr>
            </w:pPr>
            <w:r>
              <w:rPr>
                <w:color w:val="231F20"/>
                <w:spacing w:val="-5"/>
                <w:w w:val="95"/>
                <w:sz w:val="14"/>
              </w:rPr>
              <w:t>2.1</w:t>
            </w:r>
          </w:p>
        </w:tc>
      </w:tr>
      <w:tr>
        <w:trPr>
          <w:trHeight w:val="259" w:hRule="atLeast"/>
        </w:trPr>
        <w:tc>
          <w:tcPr>
            <w:tcW w:w="1311" w:type="dxa"/>
            <w:shd w:val="clear" w:color="auto" w:fill="D4E3F5"/>
          </w:tcPr>
          <w:p>
            <w:pPr>
              <w:pStyle w:val="TableParagraph"/>
              <w:ind w:left="79"/>
              <w:jc w:val="left"/>
              <w:rPr>
                <w:sz w:val="14"/>
              </w:rPr>
            </w:pPr>
            <w:r>
              <w:rPr>
                <w:color w:val="231F20"/>
                <w:spacing w:val="-2"/>
                <w:w w:val="85"/>
                <w:sz w:val="14"/>
              </w:rPr>
              <w:t>Réunion</w:t>
            </w:r>
          </w:p>
        </w:tc>
        <w:tc>
          <w:tcPr>
            <w:tcW w:w="1150" w:type="dxa"/>
            <w:shd w:val="clear" w:color="auto" w:fill="D4E3F5"/>
          </w:tcPr>
          <w:p>
            <w:pPr>
              <w:pStyle w:val="TableParagraph"/>
              <w:ind w:right="434"/>
              <w:jc w:val="right"/>
              <w:rPr>
                <w:sz w:val="14"/>
              </w:rPr>
            </w:pPr>
            <w:r>
              <w:rPr>
                <w:color w:val="231F20"/>
                <w:spacing w:val="-5"/>
                <w:w w:val="95"/>
                <w:sz w:val="14"/>
              </w:rPr>
              <w:t>154</w:t>
            </w:r>
          </w:p>
        </w:tc>
        <w:tc>
          <w:tcPr>
            <w:tcW w:w="851" w:type="dxa"/>
            <w:shd w:val="clear" w:color="auto" w:fill="D4E3F5"/>
          </w:tcPr>
          <w:p>
            <w:pPr>
              <w:pStyle w:val="TableParagraph"/>
              <w:ind w:left="17" w:right="136"/>
              <w:rPr>
                <w:sz w:val="14"/>
              </w:rPr>
            </w:pPr>
            <w:r>
              <w:rPr>
                <w:color w:val="231F20"/>
                <w:spacing w:val="-4"/>
                <w:w w:val="95"/>
                <w:sz w:val="14"/>
              </w:rPr>
              <w:t>10.4</w:t>
            </w:r>
          </w:p>
        </w:tc>
        <w:tc>
          <w:tcPr>
            <w:tcW w:w="1063" w:type="dxa"/>
            <w:shd w:val="clear" w:color="auto" w:fill="D4E3F5"/>
          </w:tcPr>
          <w:p>
            <w:pPr>
              <w:pStyle w:val="TableParagraph"/>
              <w:ind w:left="71" w:right="53"/>
              <w:rPr>
                <w:sz w:val="14"/>
              </w:rPr>
            </w:pPr>
            <w:r>
              <w:rPr>
                <w:color w:val="231F20"/>
                <w:spacing w:val="-5"/>
                <w:w w:val="95"/>
                <w:sz w:val="14"/>
              </w:rPr>
              <w:t>8.7</w:t>
            </w:r>
          </w:p>
        </w:tc>
        <w:tc>
          <w:tcPr>
            <w:tcW w:w="1083" w:type="dxa"/>
            <w:shd w:val="clear" w:color="auto" w:fill="D4E3F5"/>
          </w:tcPr>
          <w:p>
            <w:pPr>
              <w:pStyle w:val="TableParagraph"/>
              <w:ind w:left="405"/>
              <w:jc w:val="left"/>
              <w:rPr>
                <w:sz w:val="14"/>
              </w:rPr>
            </w:pPr>
            <w:r>
              <w:rPr>
                <w:color w:val="231F20"/>
                <w:spacing w:val="-5"/>
                <w:w w:val="95"/>
                <w:sz w:val="14"/>
              </w:rPr>
              <w:t>7.1</w:t>
            </w:r>
          </w:p>
        </w:tc>
        <w:tc>
          <w:tcPr>
            <w:tcW w:w="751" w:type="dxa"/>
            <w:shd w:val="clear" w:color="auto" w:fill="D4E3F5"/>
          </w:tcPr>
          <w:p>
            <w:pPr>
              <w:pStyle w:val="TableParagraph"/>
              <w:ind w:left="46" w:right="70"/>
              <w:rPr>
                <w:sz w:val="14"/>
              </w:rPr>
            </w:pPr>
            <w:r>
              <w:rPr>
                <w:color w:val="231F20"/>
                <w:spacing w:val="-4"/>
                <w:w w:val="95"/>
                <w:sz w:val="14"/>
              </w:rPr>
              <w:t>13.3</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49"/>
              <w:jc w:val="left"/>
              <w:rPr>
                <w:sz w:val="14"/>
              </w:rPr>
            </w:pPr>
            <w:r>
              <w:rPr>
                <w:color w:val="231F20"/>
                <w:spacing w:val="-4"/>
                <w:w w:val="95"/>
                <w:sz w:val="14"/>
              </w:rPr>
              <w:t>10.4</w:t>
            </w:r>
          </w:p>
        </w:tc>
        <w:tc>
          <w:tcPr>
            <w:tcW w:w="1064" w:type="dxa"/>
            <w:shd w:val="clear" w:color="auto" w:fill="D4E3F5"/>
          </w:tcPr>
          <w:p>
            <w:pPr>
              <w:pStyle w:val="TableParagraph"/>
              <w:ind w:left="57" w:right="37"/>
              <w:rPr>
                <w:sz w:val="14"/>
              </w:rPr>
            </w:pPr>
            <w:r>
              <w:rPr>
                <w:color w:val="231F20"/>
                <w:spacing w:val="-5"/>
                <w:w w:val="95"/>
                <w:sz w:val="14"/>
              </w:rPr>
              <w:t>8.7</w:t>
            </w:r>
          </w:p>
        </w:tc>
        <w:tc>
          <w:tcPr>
            <w:tcW w:w="948" w:type="dxa"/>
            <w:shd w:val="clear" w:color="auto" w:fill="D4E3F5"/>
          </w:tcPr>
          <w:p>
            <w:pPr>
              <w:pStyle w:val="TableParagraph"/>
              <w:ind w:left="71" w:right="60"/>
              <w:rPr>
                <w:sz w:val="14"/>
              </w:rPr>
            </w:pPr>
            <w:r>
              <w:rPr>
                <w:color w:val="231F20"/>
                <w:spacing w:val="-5"/>
                <w:w w:val="95"/>
                <w:sz w:val="14"/>
              </w:rPr>
              <w:t>7.1</w:t>
            </w:r>
          </w:p>
        </w:tc>
        <w:tc>
          <w:tcPr>
            <w:tcW w:w="1005" w:type="dxa"/>
            <w:shd w:val="clear" w:color="auto" w:fill="D4E3F5"/>
          </w:tcPr>
          <w:p>
            <w:pPr>
              <w:pStyle w:val="TableParagraph"/>
              <w:ind w:right="388"/>
              <w:jc w:val="right"/>
              <w:rPr>
                <w:sz w:val="14"/>
              </w:rPr>
            </w:pPr>
            <w:r>
              <w:rPr>
                <w:color w:val="231F20"/>
                <w:spacing w:val="-4"/>
                <w:w w:val="95"/>
                <w:sz w:val="14"/>
              </w:rPr>
              <w:t>13.3</w:t>
            </w:r>
          </w:p>
        </w:tc>
      </w:tr>
      <w:tr>
        <w:trPr>
          <w:trHeight w:val="259" w:hRule="atLeast"/>
        </w:trPr>
        <w:tc>
          <w:tcPr>
            <w:tcW w:w="1311" w:type="dxa"/>
          </w:tcPr>
          <w:p>
            <w:pPr>
              <w:pStyle w:val="TableParagraph"/>
              <w:ind w:left="79"/>
              <w:jc w:val="left"/>
              <w:rPr>
                <w:sz w:val="14"/>
              </w:rPr>
            </w:pPr>
            <w:r>
              <w:rPr>
                <w:color w:val="231F20"/>
                <w:spacing w:val="-2"/>
                <w:w w:val="85"/>
                <w:sz w:val="14"/>
              </w:rPr>
              <w:t>Romania</w:t>
            </w:r>
          </w:p>
        </w:tc>
        <w:tc>
          <w:tcPr>
            <w:tcW w:w="1150" w:type="dxa"/>
          </w:tcPr>
          <w:p>
            <w:pPr>
              <w:pStyle w:val="TableParagraph"/>
              <w:ind w:right="440"/>
              <w:jc w:val="right"/>
              <w:rPr>
                <w:sz w:val="14"/>
              </w:rPr>
            </w:pPr>
            <w:r>
              <w:rPr>
                <w:color w:val="231F20"/>
                <w:spacing w:val="-2"/>
                <w:w w:val="95"/>
                <w:sz w:val="14"/>
              </w:rPr>
              <w:t>4,012</w:t>
            </w:r>
          </w:p>
        </w:tc>
        <w:tc>
          <w:tcPr>
            <w:tcW w:w="851" w:type="dxa"/>
          </w:tcPr>
          <w:p>
            <w:pPr>
              <w:pStyle w:val="TableParagraph"/>
              <w:ind w:left="82" w:right="136"/>
              <w:rPr>
                <w:sz w:val="14"/>
              </w:rPr>
            </w:pPr>
            <w:r>
              <w:rPr>
                <w:color w:val="231F20"/>
                <w:spacing w:val="-5"/>
                <w:w w:val="95"/>
                <w:sz w:val="14"/>
              </w:rPr>
              <w:t>5.5</w:t>
            </w:r>
          </w:p>
        </w:tc>
        <w:tc>
          <w:tcPr>
            <w:tcW w:w="1063" w:type="dxa"/>
          </w:tcPr>
          <w:p>
            <w:pPr>
              <w:pStyle w:val="TableParagraph"/>
              <w:ind w:left="78" w:right="53"/>
              <w:rPr>
                <w:sz w:val="14"/>
              </w:rPr>
            </w:pPr>
            <w:r>
              <w:rPr>
                <w:color w:val="231F20"/>
                <w:spacing w:val="-5"/>
                <w:w w:val="95"/>
                <w:sz w:val="14"/>
              </w:rPr>
              <w:t>4.9</w:t>
            </w:r>
          </w:p>
        </w:tc>
        <w:tc>
          <w:tcPr>
            <w:tcW w:w="1083" w:type="dxa"/>
          </w:tcPr>
          <w:p>
            <w:pPr>
              <w:pStyle w:val="TableParagraph"/>
              <w:ind w:left="391"/>
              <w:jc w:val="left"/>
              <w:rPr>
                <w:sz w:val="14"/>
              </w:rPr>
            </w:pPr>
            <w:r>
              <w:rPr>
                <w:color w:val="231F20"/>
                <w:spacing w:val="-5"/>
                <w:w w:val="95"/>
                <w:sz w:val="14"/>
              </w:rPr>
              <w:t>3.2</w:t>
            </w:r>
          </w:p>
        </w:tc>
        <w:tc>
          <w:tcPr>
            <w:tcW w:w="751" w:type="dxa"/>
          </w:tcPr>
          <w:p>
            <w:pPr>
              <w:pStyle w:val="TableParagraph"/>
              <w:ind w:left="91" w:right="45"/>
              <w:rPr>
                <w:sz w:val="14"/>
              </w:rPr>
            </w:pPr>
            <w:r>
              <w:rPr>
                <w:color w:val="231F20"/>
                <w:spacing w:val="-5"/>
                <w:w w:val="95"/>
                <w:sz w:val="14"/>
              </w:rPr>
              <w:t>7.3</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5.3</w:t>
            </w:r>
          </w:p>
        </w:tc>
        <w:tc>
          <w:tcPr>
            <w:tcW w:w="1064" w:type="dxa"/>
          </w:tcPr>
          <w:p>
            <w:pPr>
              <w:pStyle w:val="TableParagraph"/>
              <w:ind w:left="64" w:right="37"/>
              <w:rPr>
                <w:sz w:val="14"/>
              </w:rPr>
            </w:pPr>
            <w:r>
              <w:rPr>
                <w:color w:val="231F20"/>
                <w:spacing w:val="-5"/>
                <w:w w:val="95"/>
                <w:sz w:val="14"/>
              </w:rPr>
              <w:t>4.8</w:t>
            </w:r>
          </w:p>
        </w:tc>
        <w:tc>
          <w:tcPr>
            <w:tcW w:w="948" w:type="dxa"/>
          </w:tcPr>
          <w:p>
            <w:pPr>
              <w:pStyle w:val="TableParagraph"/>
              <w:ind w:left="52" w:right="60"/>
              <w:rPr>
                <w:sz w:val="14"/>
              </w:rPr>
            </w:pPr>
            <w:r>
              <w:rPr>
                <w:color w:val="231F20"/>
                <w:spacing w:val="-5"/>
                <w:w w:val="95"/>
                <w:sz w:val="14"/>
              </w:rPr>
              <w:t>3.1</w:t>
            </w:r>
          </w:p>
        </w:tc>
        <w:tc>
          <w:tcPr>
            <w:tcW w:w="1005" w:type="dxa"/>
          </w:tcPr>
          <w:p>
            <w:pPr>
              <w:pStyle w:val="TableParagraph"/>
              <w:ind w:right="399"/>
              <w:jc w:val="right"/>
              <w:rPr>
                <w:sz w:val="14"/>
              </w:rPr>
            </w:pPr>
            <w:r>
              <w:rPr>
                <w:color w:val="231F20"/>
                <w:spacing w:val="-5"/>
                <w:w w:val="95"/>
                <w:sz w:val="14"/>
              </w:rPr>
              <w:t>7.1</w:t>
            </w:r>
          </w:p>
        </w:tc>
      </w:tr>
      <w:tr>
        <w:trPr>
          <w:trHeight w:val="259" w:hRule="atLeast"/>
        </w:trPr>
        <w:tc>
          <w:tcPr>
            <w:tcW w:w="1311" w:type="dxa"/>
            <w:shd w:val="clear" w:color="auto" w:fill="D4E3F5"/>
          </w:tcPr>
          <w:p>
            <w:pPr>
              <w:pStyle w:val="TableParagraph"/>
              <w:ind w:left="79"/>
              <w:jc w:val="left"/>
              <w:rPr>
                <w:sz w:val="14"/>
              </w:rPr>
            </w:pPr>
            <w:r>
              <w:rPr>
                <w:color w:val="231F20"/>
                <w:w w:val="75"/>
                <w:sz w:val="14"/>
              </w:rPr>
              <w:t>Saudi</w:t>
            </w:r>
            <w:r>
              <w:rPr>
                <w:color w:val="231F20"/>
                <w:spacing w:val="6"/>
                <w:sz w:val="14"/>
              </w:rPr>
              <w:t> </w:t>
            </w:r>
            <w:r>
              <w:rPr>
                <w:color w:val="231F20"/>
                <w:spacing w:val="-2"/>
                <w:w w:val="90"/>
                <w:sz w:val="14"/>
              </w:rPr>
              <w:t>Arabia</w:t>
            </w:r>
          </w:p>
        </w:tc>
        <w:tc>
          <w:tcPr>
            <w:tcW w:w="1150" w:type="dxa"/>
            <w:shd w:val="clear" w:color="auto" w:fill="D4E3F5"/>
          </w:tcPr>
          <w:p>
            <w:pPr>
              <w:pStyle w:val="TableParagraph"/>
              <w:ind w:right="440"/>
              <w:jc w:val="right"/>
              <w:rPr>
                <w:sz w:val="14"/>
              </w:rPr>
            </w:pPr>
            <w:r>
              <w:rPr>
                <w:color w:val="231F20"/>
                <w:spacing w:val="-2"/>
                <w:w w:val="95"/>
                <w:sz w:val="14"/>
              </w:rPr>
              <w:t>19,317</w:t>
            </w:r>
          </w:p>
        </w:tc>
        <w:tc>
          <w:tcPr>
            <w:tcW w:w="851" w:type="dxa"/>
            <w:shd w:val="clear" w:color="auto" w:fill="D4E3F5"/>
          </w:tcPr>
          <w:p>
            <w:pPr>
              <w:pStyle w:val="TableParagraph"/>
              <w:ind w:left="83" w:right="136"/>
              <w:rPr>
                <w:sz w:val="14"/>
              </w:rPr>
            </w:pPr>
            <w:r>
              <w:rPr>
                <w:color w:val="231F20"/>
                <w:spacing w:val="-5"/>
                <w:w w:val="95"/>
                <w:sz w:val="14"/>
              </w:rPr>
              <w:t>5.2</w:t>
            </w:r>
          </w:p>
        </w:tc>
        <w:tc>
          <w:tcPr>
            <w:tcW w:w="1063" w:type="dxa"/>
            <w:shd w:val="clear" w:color="auto" w:fill="D4E3F5"/>
          </w:tcPr>
          <w:p>
            <w:pPr>
              <w:pStyle w:val="TableParagraph"/>
              <w:ind w:left="78" w:right="53"/>
              <w:rPr>
                <w:sz w:val="14"/>
              </w:rPr>
            </w:pPr>
            <w:r>
              <w:rPr>
                <w:color w:val="231F20"/>
                <w:spacing w:val="-5"/>
                <w:w w:val="95"/>
                <w:sz w:val="14"/>
              </w:rPr>
              <w:t>4.5</w:t>
            </w:r>
          </w:p>
        </w:tc>
        <w:tc>
          <w:tcPr>
            <w:tcW w:w="1083" w:type="dxa"/>
            <w:shd w:val="clear" w:color="auto" w:fill="D4E3F5"/>
          </w:tcPr>
          <w:p>
            <w:pPr>
              <w:pStyle w:val="TableParagraph"/>
              <w:ind w:left="391"/>
              <w:jc w:val="left"/>
              <w:rPr>
                <w:sz w:val="14"/>
              </w:rPr>
            </w:pPr>
            <w:r>
              <w:rPr>
                <w:color w:val="231F20"/>
                <w:spacing w:val="-5"/>
                <w:w w:val="95"/>
                <w:sz w:val="14"/>
              </w:rPr>
              <w:t>3.1</w:t>
            </w:r>
          </w:p>
        </w:tc>
        <w:tc>
          <w:tcPr>
            <w:tcW w:w="751" w:type="dxa"/>
            <w:shd w:val="clear" w:color="auto" w:fill="D4E3F5"/>
          </w:tcPr>
          <w:p>
            <w:pPr>
              <w:pStyle w:val="TableParagraph"/>
              <w:ind w:left="76" w:right="45"/>
              <w:rPr>
                <w:sz w:val="14"/>
              </w:rPr>
            </w:pPr>
            <w:r>
              <w:rPr>
                <w:color w:val="231F20"/>
                <w:spacing w:val="-5"/>
                <w:w w:val="95"/>
                <w:sz w:val="14"/>
              </w:rPr>
              <w:t>6.4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66" w:right="136"/>
              <w:rPr>
                <w:sz w:val="14"/>
              </w:rPr>
            </w:pPr>
            <w:r>
              <w:rPr>
                <w:color w:val="231F20"/>
                <w:spacing w:val="-5"/>
                <w:w w:val="95"/>
                <w:sz w:val="14"/>
              </w:rPr>
              <w:t>3.1</w:t>
            </w:r>
          </w:p>
        </w:tc>
        <w:tc>
          <w:tcPr>
            <w:tcW w:w="1064" w:type="dxa"/>
            <w:shd w:val="clear" w:color="auto" w:fill="D4E3F5"/>
          </w:tcPr>
          <w:p>
            <w:pPr>
              <w:pStyle w:val="TableParagraph"/>
              <w:ind w:left="45" w:right="37"/>
              <w:rPr>
                <w:sz w:val="14"/>
              </w:rPr>
            </w:pPr>
            <w:r>
              <w:rPr>
                <w:color w:val="231F20"/>
                <w:spacing w:val="-5"/>
                <w:w w:val="95"/>
                <w:sz w:val="14"/>
              </w:rPr>
              <w:t>2.1</w:t>
            </w:r>
          </w:p>
        </w:tc>
        <w:tc>
          <w:tcPr>
            <w:tcW w:w="948" w:type="dxa"/>
            <w:shd w:val="clear" w:color="auto" w:fill="D4E3F5"/>
          </w:tcPr>
          <w:p>
            <w:pPr>
              <w:pStyle w:val="TableParagraph"/>
              <w:ind w:left="69" w:right="60"/>
              <w:rPr>
                <w:sz w:val="14"/>
              </w:rPr>
            </w:pPr>
            <w:r>
              <w:rPr>
                <w:color w:val="231F20"/>
                <w:spacing w:val="-5"/>
                <w:w w:val="95"/>
                <w:sz w:val="14"/>
              </w:rPr>
              <w:t>0.6</w:t>
            </w:r>
          </w:p>
        </w:tc>
        <w:tc>
          <w:tcPr>
            <w:tcW w:w="1005" w:type="dxa"/>
            <w:shd w:val="clear" w:color="auto" w:fill="D4E3F5"/>
          </w:tcPr>
          <w:p>
            <w:pPr>
              <w:pStyle w:val="TableParagraph"/>
              <w:ind w:right="391"/>
              <w:jc w:val="right"/>
              <w:rPr>
                <w:sz w:val="14"/>
              </w:rPr>
            </w:pPr>
            <w:r>
              <w:rPr>
                <w:color w:val="231F20"/>
                <w:spacing w:val="-5"/>
                <w:w w:val="95"/>
                <w:sz w:val="14"/>
              </w:rPr>
              <w:t>4.4</w:t>
            </w:r>
          </w:p>
        </w:tc>
      </w:tr>
      <w:tr>
        <w:trPr>
          <w:trHeight w:val="259" w:hRule="atLeast"/>
        </w:trPr>
        <w:tc>
          <w:tcPr>
            <w:tcW w:w="1311" w:type="dxa"/>
          </w:tcPr>
          <w:p>
            <w:pPr>
              <w:pStyle w:val="TableParagraph"/>
              <w:ind w:left="79"/>
              <w:jc w:val="left"/>
              <w:rPr>
                <w:sz w:val="14"/>
              </w:rPr>
            </w:pPr>
            <w:r>
              <w:rPr>
                <w:color w:val="231F20"/>
                <w:spacing w:val="-2"/>
                <w:w w:val="85"/>
                <w:sz w:val="14"/>
              </w:rPr>
              <w:t>Senegal</w:t>
            </w:r>
          </w:p>
        </w:tc>
        <w:tc>
          <w:tcPr>
            <w:tcW w:w="1150" w:type="dxa"/>
          </w:tcPr>
          <w:p>
            <w:pPr>
              <w:pStyle w:val="TableParagraph"/>
              <w:ind w:right="434"/>
              <w:jc w:val="right"/>
              <w:rPr>
                <w:sz w:val="14"/>
              </w:rPr>
            </w:pPr>
            <w:r>
              <w:rPr>
                <w:color w:val="231F20"/>
                <w:spacing w:val="-2"/>
                <w:w w:val="95"/>
                <w:sz w:val="14"/>
              </w:rPr>
              <w:t>1,196</w:t>
            </w:r>
          </w:p>
        </w:tc>
        <w:tc>
          <w:tcPr>
            <w:tcW w:w="851" w:type="dxa"/>
          </w:tcPr>
          <w:p>
            <w:pPr>
              <w:pStyle w:val="TableParagraph"/>
              <w:ind w:left="82" w:right="136"/>
              <w:rPr>
                <w:sz w:val="14"/>
              </w:rPr>
            </w:pPr>
            <w:r>
              <w:rPr>
                <w:color w:val="231F20"/>
                <w:spacing w:val="-5"/>
                <w:w w:val="95"/>
                <w:sz w:val="14"/>
              </w:rPr>
              <w:t>3.6</w:t>
            </w:r>
          </w:p>
        </w:tc>
        <w:tc>
          <w:tcPr>
            <w:tcW w:w="1063" w:type="dxa"/>
          </w:tcPr>
          <w:p>
            <w:pPr>
              <w:pStyle w:val="TableParagraph"/>
              <w:ind w:left="79" w:right="53"/>
              <w:rPr>
                <w:sz w:val="14"/>
              </w:rPr>
            </w:pPr>
            <w:r>
              <w:rPr>
                <w:color w:val="231F20"/>
                <w:spacing w:val="-5"/>
                <w:w w:val="95"/>
                <w:sz w:val="14"/>
              </w:rPr>
              <w:t>3.3</w:t>
            </w:r>
          </w:p>
        </w:tc>
        <w:tc>
          <w:tcPr>
            <w:tcW w:w="1083" w:type="dxa"/>
          </w:tcPr>
          <w:p>
            <w:pPr>
              <w:pStyle w:val="TableParagraph"/>
              <w:ind w:left="392"/>
              <w:jc w:val="left"/>
              <w:rPr>
                <w:sz w:val="14"/>
              </w:rPr>
            </w:pPr>
            <w:r>
              <w:rPr>
                <w:color w:val="231F20"/>
                <w:spacing w:val="-5"/>
                <w:w w:val="95"/>
                <w:sz w:val="14"/>
              </w:rPr>
              <w:t>2.3</w:t>
            </w:r>
          </w:p>
        </w:tc>
        <w:tc>
          <w:tcPr>
            <w:tcW w:w="751" w:type="dxa"/>
          </w:tcPr>
          <w:p>
            <w:pPr>
              <w:pStyle w:val="TableParagraph"/>
              <w:ind w:left="77" w:right="45"/>
              <w:rPr>
                <w:sz w:val="14"/>
              </w:rPr>
            </w:pPr>
            <w:r>
              <w:rPr>
                <w:color w:val="231F20"/>
                <w:spacing w:val="-5"/>
                <w:w w:val="95"/>
                <w:sz w:val="14"/>
              </w:rPr>
              <w:t>4.4</w:t>
            </w:r>
          </w:p>
        </w:tc>
        <w:tc>
          <w:tcPr>
            <w:tcW w:w="240" w:type="dxa"/>
          </w:tcPr>
          <w:p>
            <w:pPr>
              <w:pStyle w:val="TableParagraph"/>
              <w:spacing w:before="0"/>
              <w:jc w:val="left"/>
              <w:rPr>
                <w:rFonts w:ascii="Times New Roman"/>
                <w:sz w:val="12"/>
              </w:rPr>
            </w:pPr>
          </w:p>
        </w:tc>
        <w:tc>
          <w:tcPr>
            <w:tcW w:w="851" w:type="dxa"/>
          </w:tcPr>
          <w:p>
            <w:pPr>
              <w:pStyle w:val="TableParagraph"/>
              <w:ind w:left="82" w:right="136"/>
              <w:rPr>
                <w:sz w:val="14"/>
              </w:rPr>
            </w:pPr>
            <w:r>
              <w:rPr>
                <w:color w:val="231F20"/>
                <w:spacing w:val="-5"/>
                <w:w w:val="95"/>
                <w:sz w:val="14"/>
              </w:rPr>
              <w:t>3.4</w:t>
            </w:r>
          </w:p>
        </w:tc>
        <w:tc>
          <w:tcPr>
            <w:tcW w:w="1064" w:type="dxa"/>
          </w:tcPr>
          <w:p>
            <w:pPr>
              <w:pStyle w:val="TableParagraph"/>
              <w:ind w:left="44" w:right="37"/>
              <w:rPr>
                <w:sz w:val="14"/>
              </w:rPr>
            </w:pPr>
            <w:r>
              <w:rPr>
                <w:color w:val="231F20"/>
                <w:spacing w:val="-5"/>
                <w:w w:val="95"/>
                <w:sz w:val="14"/>
              </w:rPr>
              <w:t>3.1</w:t>
            </w:r>
          </w:p>
        </w:tc>
        <w:tc>
          <w:tcPr>
            <w:tcW w:w="948" w:type="dxa"/>
          </w:tcPr>
          <w:p>
            <w:pPr>
              <w:pStyle w:val="TableParagraph"/>
              <w:ind w:left="69" w:right="60"/>
              <w:rPr>
                <w:sz w:val="14"/>
              </w:rPr>
            </w:pPr>
            <w:r>
              <w:rPr>
                <w:color w:val="231F20"/>
                <w:spacing w:val="-5"/>
                <w:w w:val="95"/>
                <w:sz w:val="14"/>
              </w:rPr>
              <w:t>2.3</w:t>
            </w:r>
          </w:p>
        </w:tc>
        <w:tc>
          <w:tcPr>
            <w:tcW w:w="1005" w:type="dxa"/>
          </w:tcPr>
          <w:p>
            <w:pPr>
              <w:pStyle w:val="TableParagraph"/>
              <w:ind w:right="389"/>
              <w:jc w:val="right"/>
              <w:rPr>
                <w:sz w:val="14"/>
              </w:rPr>
            </w:pPr>
            <w:r>
              <w:rPr>
                <w:color w:val="231F20"/>
                <w:spacing w:val="-5"/>
                <w:w w:val="95"/>
                <w:sz w:val="14"/>
              </w:rPr>
              <w:t>4.3</w:t>
            </w:r>
          </w:p>
        </w:tc>
      </w:tr>
      <w:tr>
        <w:trPr>
          <w:trHeight w:val="259" w:hRule="atLeast"/>
        </w:trPr>
        <w:tc>
          <w:tcPr>
            <w:tcW w:w="1311" w:type="dxa"/>
            <w:shd w:val="clear" w:color="auto" w:fill="D4E3F5"/>
          </w:tcPr>
          <w:p>
            <w:pPr>
              <w:pStyle w:val="TableParagraph"/>
              <w:ind w:left="79"/>
              <w:jc w:val="left"/>
              <w:rPr>
                <w:sz w:val="14"/>
              </w:rPr>
            </w:pPr>
            <w:r>
              <w:rPr>
                <w:color w:val="231F20"/>
                <w:spacing w:val="-2"/>
                <w:w w:val="90"/>
                <w:sz w:val="14"/>
              </w:rPr>
              <w:t>Serbia</w:t>
            </w:r>
          </w:p>
        </w:tc>
        <w:tc>
          <w:tcPr>
            <w:tcW w:w="1150" w:type="dxa"/>
            <w:shd w:val="clear" w:color="auto" w:fill="D4E3F5"/>
          </w:tcPr>
          <w:p>
            <w:pPr>
              <w:pStyle w:val="TableParagraph"/>
              <w:ind w:right="435"/>
              <w:jc w:val="right"/>
              <w:rPr>
                <w:sz w:val="14"/>
              </w:rPr>
            </w:pPr>
            <w:r>
              <w:rPr>
                <w:color w:val="231F20"/>
                <w:spacing w:val="-10"/>
                <w:w w:val="95"/>
                <w:sz w:val="14"/>
              </w:rPr>
              <w:t>4</w:t>
            </w:r>
          </w:p>
        </w:tc>
        <w:tc>
          <w:tcPr>
            <w:tcW w:w="851" w:type="dxa"/>
            <w:shd w:val="clear" w:color="auto" w:fill="D4E3F5"/>
          </w:tcPr>
          <w:p>
            <w:pPr>
              <w:pStyle w:val="TableParagraph"/>
              <w:ind w:left="18" w:right="136"/>
              <w:rPr>
                <w:sz w:val="14"/>
              </w:rPr>
            </w:pPr>
            <w:r>
              <w:rPr>
                <w:color w:val="231F20"/>
                <w:spacing w:val="-4"/>
                <w:w w:val="95"/>
                <w:sz w:val="14"/>
              </w:rPr>
              <w:t>16.9</w:t>
            </w:r>
          </w:p>
        </w:tc>
        <w:tc>
          <w:tcPr>
            <w:tcW w:w="1063" w:type="dxa"/>
            <w:shd w:val="clear" w:color="auto" w:fill="D4E3F5"/>
          </w:tcPr>
          <w:p>
            <w:pPr>
              <w:pStyle w:val="TableParagraph"/>
              <w:ind w:left="38" w:right="64"/>
              <w:rPr>
                <w:sz w:val="14"/>
              </w:rPr>
            </w:pPr>
            <w:r>
              <w:rPr>
                <w:color w:val="231F20"/>
                <w:spacing w:val="-4"/>
                <w:w w:val="95"/>
                <w:sz w:val="14"/>
              </w:rPr>
              <w:t>17.7</w:t>
            </w:r>
          </w:p>
        </w:tc>
        <w:tc>
          <w:tcPr>
            <w:tcW w:w="1083" w:type="dxa"/>
            <w:shd w:val="clear" w:color="auto" w:fill="D4E3F5"/>
          </w:tcPr>
          <w:p>
            <w:pPr>
              <w:pStyle w:val="TableParagraph"/>
              <w:ind w:left="329"/>
              <w:jc w:val="left"/>
              <w:rPr>
                <w:sz w:val="14"/>
              </w:rPr>
            </w:pPr>
            <w:r>
              <w:rPr>
                <w:color w:val="231F20"/>
                <w:spacing w:val="-4"/>
                <w:w w:val="95"/>
                <w:sz w:val="14"/>
              </w:rPr>
              <w:t>15.2</w:t>
            </w:r>
          </w:p>
        </w:tc>
        <w:tc>
          <w:tcPr>
            <w:tcW w:w="751" w:type="dxa"/>
            <w:shd w:val="clear" w:color="auto" w:fill="D4E3F5"/>
          </w:tcPr>
          <w:p>
            <w:pPr>
              <w:pStyle w:val="TableParagraph"/>
              <w:ind w:left="46" w:right="74"/>
              <w:rPr>
                <w:sz w:val="14"/>
              </w:rPr>
            </w:pPr>
            <w:r>
              <w:rPr>
                <w:color w:val="231F20"/>
                <w:spacing w:val="-4"/>
                <w:w w:val="95"/>
                <w:sz w:val="14"/>
              </w:rPr>
              <w:t>19.4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50"/>
              <w:jc w:val="left"/>
              <w:rPr>
                <w:sz w:val="14"/>
              </w:rPr>
            </w:pPr>
            <w:r>
              <w:rPr>
                <w:color w:val="231F20"/>
                <w:spacing w:val="-4"/>
                <w:w w:val="95"/>
                <w:sz w:val="14"/>
              </w:rPr>
              <w:t>13.3</w:t>
            </w:r>
          </w:p>
        </w:tc>
        <w:tc>
          <w:tcPr>
            <w:tcW w:w="1064" w:type="dxa"/>
            <w:shd w:val="clear" w:color="auto" w:fill="D4E3F5"/>
          </w:tcPr>
          <w:p>
            <w:pPr>
              <w:pStyle w:val="TableParagraph"/>
              <w:ind w:left="40" w:right="73"/>
              <w:rPr>
                <w:sz w:val="14"/>
              </w:rPr>
            </w:pPr>
            <w:r>
              <w:rPr>
                <w:color w:val="231F20"/>
                <w:spacing w:val="-4"/>
                <w:w w:val="95"/>
                <w:sz w:val="14"/>
              </w:rPr>
              <w:t>13.2</w:t>
            </w:r>
          </w:p>
        </w:tc>
        <w:tc>
          <w:tcPr>
            <w:tcW w:w="948" w:type="dxa"/>
            <w:shd w:val="clear" w:color="auto" w:fill="D4E3F5"/>
          </w:tcPr>
          <w:p>
            <w:pPr>
              <w:pStyle w:val="TableParagraph"/>
              <w:ind w:left="39" w:right="91"/>
              <w:rPr>
                <w:sz w:val="14"/>
              </w:rPr>
            </w:pPr>
            <w:r>
              <w:rPr>
                <w:color w:val="231F20"/>
                <w:spacing w:val="-4"/>
                <w:w w:val="95"/>
                <w:sz w:val="14"/>
              </w:rPr>
              <w:t>12.0</w:t>
            </w:r>
          </w:p>
        </w:tc>
        <w:tc>
          <w:tcPr>
            <w:tcW w:w="1005" w:type="dxa"/>
            <w:shd w:val="clear" w:color="auto" w:fill="D4E3F5"/>
          </w:tcPr>
          <w:p>
            <w:pPr>
              <w:pStyle w:val="TableParagraph"/>
              <w:ind w:right="389"/>
              <w:jc w:val="right"/>
              <w:rPr>
                <w:sz w:val="14"/>
              </w:rPr>
            </w:pPr>
            <w:r>
              <w:rPr>
                <w:color w:val="231F20"/>
                <w:spacing w:val="-4"/>
                <w:w w:val="95"/>
                <w:sz w:val="14"/>
              </w:rPr>
              <w:t>14.5</w:t>
            </w:r>
          </w:p>
        </w:tc>
      </w:tr>
      <w:tr>
        <w:trPr>
          <w:trHeight w:val="259" w:hRule="atLeast"/>
        </w:trPr>
        <w:tc>
          <w:tcPr>
            <w:tcW w:w="1311" w:type="dxa"/>
          </w:tcPr>
          <w:p>
            <w:pPr>
              <w:pStyle w:val="TableParagraph"/>
              <w:ind w:left="79"/>
              <w:jc w:val="left"/>
              <w:rPr>
                <w:sz w:val="14"/>
              </w:rPr>
            </w:pPr>
            <w:r>
              <w:rPr>
                <w:color w:val="231F20"/>
                <w:spacing w:val="-2"/>
                <w:w w:val="85"/>
                <w:sz w:val="14"/>
              </w:rPr>
              <w:t>Seychelles</w:t>
            </w:r>
          </w:p>
        </w:tc>
        <w:tc>
          <w:tcPr>
            <w:tcW w:w="1150" w:type="dxa"/>
          </w:tcPr>
          <w:p>
            <w:pPr>
              <w:pStyle w:val="TableParagraph"/>
              <w:ind w:right="430"/>
              <w:jc w:val="right"/>
              <w:rPr>
                <w:sz w:val="14"/>
              </w:rPr>
            </w:pPr>
            <w:r>
              <w:rPr>
                <w:color w:val="231F20"/>
                <w:spacing w:val="-5"/>
                <w:w w:val="95"/>
                <w:sz w:val="14"/>
              </w:rPr>
              <w:t>468</w:t>
            </w:r>
          </w:p>
        </w:tc>
        <w:tc>
          <w:tcPr>
            <w:tcW w:w="851" w:type="dxa"/>
          </w:tcPr>
          <w:p>
            <w:pPr>
              <w:pStyle w:val="TableParagraph"/>
              <w:ind w:left="95" w:right="136"/>
              <w:rPr>
                <w:sz w:val="14"/>
              </w:rPr>
            </w:pPr>
            <w:r>
              <w:rPr>
                <w:color w:val="231F20"/>
                <w:spacing w:val="-5"/>
                <w:w w:val="95"/>
                <w:sz w:val="14"/>
              </w:rPr>
              <w:t>7.9</w:t>
            </w:r>
          </w:p>
        </w:tc>
        <w:tc>
          <w:tcPr>
            <w:tcW w:w="1063" w:type="dxa"/>
          </w:tcPr>
          <w:p>
            <w:pPr>
              <w:pStyle w:val="TableParagraph"/>
              <w:ind w:left="76" w:right="53"/>
              <w:rPr>
                <w:sz w:val="14"/>
              </w:rPr>
            </w:pPr>
            <w:r>
              <w:rPr>
                <w:color w:val="231F20"/>
                <w:spacing w:val="-5"/>
                <w:w w:val="95"/>
                <w:sz w:val="14"/>
              </w:rPr>
              <w:t>3.0</w:t>
            </w:r>
          </w:p>
        </w:tc>
        <w:tc>
          <w:tcPr>
            <w:tcW w:w="1083" w:type="dxa"/>
          </w:tcPr>
          <w:p>
            <w:pPr>
              <w:pStyle w:val="TableParagraph"/>
              <w:ind w:left="399"/>
              <w:jc w:val="left"/>
              <w:rPr>
                <w:sz w:val="14"/>
              </w:rPr>
            </w:pPr>
            <w:r>
              <w:rPr>
                <w:color w:val="231F20"/>
                <w:spacing w:val="-5"/>
                <w:w w:val="95"/>
                <w:sz w:val="14"/>
              </w:rPr>
              <w:t>1.8</w:t>
            </w:r>
          </w:p>
        </w:tc>
        <w:tc>
          <w:tcPr>
            <w:tcW w:w="751" w:type="dxa"/>
          </w:tcPr>
          <w:p>
            <w:pPr>
              <w:pStyle w:val="TableParagraph"/>
              <w:ind w:left="61" w:right="45"/>
              <w:rPr>
                <w:sz w:val="14"/>
              </w:rPr>
            </w:pPr>
            <w:r>
              <w:rPr>
                <w:color w:val="231F20"/>
                <w:spacing w:val="-5"/>
                <w:w w:val="95"/>
                <w:sz w:val="14"/>
              </w:rPr>
              <w:t>9.1</w:t>
            </w:r>
          </w:p>
        </w:tc>
        <w:tc>
          <w:tcPr>
            <w:tcW w:w="240" w:type="dxa"/>
          </w:tcPr>
          <w:p>
            <w:pPr>
              <w:pStyle w:val="TableParagraph"/>
              <w:spacing w:before="0"/>
              <w:jc w:val="left"/>
              <w:rPr>
                <w:rFonts w:ascii="Times New Roman"/>
                <w:sz w:val="12"/>
              </w:rPr>
            </w:pPr>
          </w:p>
        </w:tc>
        <w:tc>
          <w:tcPr>
            <w:tcW w:w="851" w:type="dxa"/>
          </w:tcPr>
          <w:p>
            <w:pPr>
              <w:pStyle w:val="TableParagraph"/>
              <w:ind w:left="94" w:right="136"/>
              <w:rPr>
                <w:sz w:val="14"/>
              </w:rPr>
            </w:pPr>
            <w:r>
              <w:rPr>
                <w:color w:val="231F20"/>
                <w:spacing w:val="-5"/>
                <w:w w:val="95"/>
                <w:sz w:val="14"/>
              </w:rPr>
              <w:t>7.7</w:t>
            </w:r>
          </w:p>
        </w:tc>
        <w:tc>
          <w:tcPr>
            <w:tcW w:w="1064" w:type="dxa"/>
          </w:tcPr>
          <w:p>
            <w:pPr>
              <w:pStyle w:val="TableParagraph"/>
              <w:ind w:left="62" w:right="37"/>
              <w:rPr>
                <w:sz w:val="14"/>
              </w:rPr>
            </w:pPr>
            <w:r>
              <w:rPr>
                <w:color w:val="231F20"/>
                <w:spacing w:val="-5"/>
                <w:w w:val="95"/>
                <w:sz w:val="14"/>
              </w:rPr>
              <w:t>3.0</w:t>
            </w:r>
          </w:p>
        </w:tc>
        <w:tc>
          <w:tcPr>
            <w:tcW w:w="948" w:type="dxa"/>
          </w:tcPr>
          <w:p>
            <w:pPr>
              <w:pStyle w:val="TableParagraph"/>
              <w:ind w:left="76" w:right="60"/>
              <w:rPr>
                <w:sz w:val="14"/>
              </w:rPr>
            </w:pPr>
            <w:r>
              <w:rPr>
                <w:color w:val="231F20"/>
                <w:spacing w:val="-5"/>
                <w:w w:val="95"/>
                <w:sz w:val="14"/>
              </w:rPr>
              <w:t>1.3</w:t>
            </w:r>
          </w:p>
        </w:tc>
        <w:tc>
          <w:tcPr>
            <w:tcW w:w="1005" w:type="dxa"/>
          </w:tcPr>
          <w:p>
            <w:pPr>
              <w:pStyle w:val="TableParagraph"/>
              <w:ind w:right="390"/>
              <w:jc w:val="right"/>
              <w:rPr>
                <w:sz w:val="14"/>
              </w:rPr>
            </w:pPr>
            <w:r>
              <w:rPr>
                <w:color w:val="231F20"/>
                <w:spacing w:val="-5"/>
                <w:w w:val="95"/>
                <w:sz w:val="14"/>
              </w:rPr>
              <w:t>9.0</w:t>
            </w:r>
          </w:p>
        </w:tc>
      </w:tr>
      <w:tr>
        <w:trPr>
          <w:trHeight w:val="259" w:hRule="atLeast"/>
        </w:trPr>
        <w:tc>
          <w:tcPr>
            <w:tcW w:w="1311" w:type="dxa"/>
            <w:shd w:val="clear" w:color="auto" w:fill="D4E3F5"/>
          </w:tcPr>
          <w:p>
            <w:pPr>
              <w:pStyle w:val="TableParagraph"/>
              <w:ind w:left="79"/>
              <w:jc w:val="left"/>
              <w:rPr>
                <w:sz w:val="14"/>
              </w:rPr>
            </w:pPr>
            <w:r>
              <w:rPr>
                <w:color w:val="231F20"/>
                <w:w w:val="75"/>
                <w:sz w:val="14"/>
              </w:rPr>
              <w:t>Sierra</w:t>
            </w:r>
            <w:r>
              <w:rPr>
                <w:color w:val="231F20"/>
                <w:spacing w:val="9"/>
                <w:sz w:val="14"/>
              </w:rPr>
              <w:t> </w:t>
            </w:r>
            <w:r>
              <w:rPr>
                <w:color w:val="231F20"/>
                <w:spacing w:val="-2"/>
                <w:w w:val="90"/>
                <w:sz w:val="14"/>
              </w:rPr>
              <w:t>Leone</w:t>
            </w:r>
          </w:p>
        </w:tc>
        <w:tc>
          <w:tcPr>
            <w:tcW w:w="1150" w:type="dxa"/>
            <w:shd w:val="clear" w:color="auto" w:fill="D4E3F5"/>
          </w:tcPr>
          <w:p>
            <w:pPr>
              <w:pStyle w:val="TableParagraph"/>
              <w:ind w:right="435"/>
              <w:jc w:val="right"/>
              <w:rPr>
                <w:sz w:val="14"/>
              </w:rPr>
            </w:pPr>
            <w:r>
              <w:rPr>
                <w:color w:val="231F20"/>
                <w:spacing w:val="-5"/>
                <w:w w:val="95"/>
                <w:sz w:val="14"/>
              </w:rPr>
              <w:t>138</w:t>
            </w:r>
          </w:p>
        </w:tc>
        <w:tc>
          <w:tcPr>
            <w:tcW w:w="851" w:type="dxa"/>
            <w:shd w:val="clear" w:color="auto" w:fill="D4E3F5"/>
          </w:tcPr>
          <w:p>
            <w:pPr>
              <w:pStyle w:val="TableParagraph"/>
              <w:ind w:left="82" w:right="136"/>
              <w:rPr>
                <w:sz w:val="14"/>
              </w:rPr>
            </w:pPr>
            <w:r>
              <w:rPr>
                <w:color w:val="231F20"/>
                <w:spacing w:val="-5"/>
                <w:w w:val="95"/>
                <w:sz w:val="14"/>
              </w:rPr>
              <w:t>8.6</w:t>
            </w:r>
          </w:p>
        </w:tc>
        <w:tc>
          <w:tcPr>
            <w:tcW w:w="1063" w:type="dxa"/>
            <w:shd w:val="clear" w:color="auto" w:fill="D4E3F5"/>
          </w:tcPr>
          <w:p>
            <w:pPr>
              <w:pStyle w:val="TableParagraph"/>
              <w:ind w:left="91" w:right="53"/>
              <w:rPr>
                <w:sz w:val="14"/>
              </w:rPr>
            </w:pPr>
            <w:r>
              <w:rPr>
                <w:color w:val="231F20"/>
                <w:spacing w:val="-5"/>
                <w:w w:val="95"/>
                <w:sz w:val="14"/>
              </w:rPr>
              <w:t>7.2</w:t>
            </w:r>
          </w:p>
        </w:tc>
        <w:tc>
          <w:tcPr>
            <w:tcW w:w="1083" w:type="dxa"/>
            <w:shd w:val="clear" w:color="auto" w:fill="D4E3F5"/>
          </w:tcPr>
          <w:p>
            <w:pPr>
              <w:pStyle w:val="TableParagraph"/>
              <w:ind w:left="393"/>
              <w:jc w:val="left"/>
              <w:rPr>
                <w:sz w:val="14"/>
              </w:rPr>
            </w:pPr>
            <w:r>
              <w:rPr>
                <w:color w:val="231F20"/>
                <w:spacing w:val="-5"/>
                <w:w w:val="95"/>
                <w:sz w:val="14"/>
              </w:rPr>
              <w:t>4.9</w:t>
            </w:r>
          </w:p>
        </w:tc>
        <w:tc>
          <w:tcPr>
            <w:tcW w:w="751" w:type="dxa"/>
            <w:shd w:val="clear" w:color="auto" w:fill="D4E3F5"/>
          </w:tcPr>
          <w:p>
            <w:pPr>
              <w:pStyle w:val="TableParagraph"/>
              <w:ind w:left="46" w:right="64"/>
              <w:rPr>
                <w:sz w:val="14"/>
              </w:rPr>
            </w:pPr>
            <w:r>
              <w:rPr>
                <w:color w:val="231F20"/>
                <w:spacing w:val="-4"/>
                <w:w w:val="95"/>
                <w:sz w:val="14"/>
              </w:rPr>
              <w:t>11.0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5" w:right="136"/>
              <w:rPr>
                <w:sz w:val="14"/>
              </w:rPr>
            </w:pPr>
            <w:r>
              <w:rPr>
                <w:color w:val="231F20"/>
                <w:spacing w:val="-5"/>
                <w:w w:val="95"/>
                <w:sz w:val="14"/>
              </w:rPr>
              <w:t>8.6</w:t>
            </w:r>
          </w:p>
        </w:tc>
        <w:tc>
          <w:tcPr>
            <w:tcW w:w="1064" w:type="dxa"/>
            <w:shd w:val="clear" w:color="auto" w:fill="D4E3F5"/>
          </w:tcPr>
          <w:p>
            <w:pPr>
              <w:pStyle w:val="TableParagraph"/>
              <w:ind w:left="77" w:right="37"/>
              <w:rPr>
                <w:sz w:val="14"/>
              </w:rPr>
            </w:pPr>
            <w:r>
              <w:rPr>
                <w:color w:val="231F20"/>
                <w:spacing w:val="-5"/>
                <w:w w:val="95"/>
                <w:sz w:val="14"/>
              </w:rPr>
              <w:t>7.2</w:t>
            </w:r>
          </w:p>
        </w:tc>
        <w:tc>
          <w:tcPr>
            <w:tcW w:w="948" w:type="dxa"/>
            <w:shd w:val="clear" w:color="auto" w:fill="D4E3F5"/>
          </w:tcPr>
          <w:p>
            <w:pPr>
              <w:pStyle w:val="TableParagraph"/>
              <w:ind w:left="69" w:right="60"/>
              <w:rPr>
                <w:sz w:val="14"/>
              </w:rPr>
            </w:pPr>
            <w:r>
              <w:rPr>
                <w:color w:val="231F20"/>
                <w:spacing w:val="-5"/>
                <w:w w:val="95"/>
                <w:sz w:val="14"/>
              </w:rPr>
              <w:t>4.9</w:t>
            </w:r>
          </w:p>
        </w:tc>
        <w:tc>
          <w:tcPr>
            <w:tcW w:w="1005" w:type="dxa"/>
            <w:shd w:val="clear" w:color="auto" w:fill="D4E3F5"/>
          </w:tcPr>
          <w:p>
            <w:pPr>
              <w:pStyle w:val="TableParagraph"/>
              <w:ind w:right="390"/>
              <w:jc w:val="right"/>
              <w:rPr>
                <w:sz w:val="14"/>
              </w:rPr>
            </w:pPr>
            <w:r>
              <w:rPr>
                <w:color w:val="231F20"/>
                <w:spacing w:val="-4"/>
                <w:w w:val="95"/>
                <w:sz w:val="14"/>
              </w:rPr>
              <w:t>11.0</w:t>
            </w:r>
          </w:p>
        </w:tc>
      </w:tr>
      <w:tr>
        <w:trPr>
          <w:trHeight w:val="259" w:hRule="atLeast"/>
        </w:trPr>
        <w:tc>
          <w:tcPr>
            <w:tcW w:w="1311" w:type="dxa"/>
          </w:tcPr>
          <w:p>
            <w:pPr>
              <w:pStyle w:val="TableParagraph"/>
              <w:ind w:left="79"/>
              <w:jc w:val="left"/>
              <w:rPr>
                <w:sz w:val="14"/>
              </w:rPr>
            </w:pPr>
            <w:r>
              <w:rPr>
                <w:color w:val="231F20"/>
                <w:spacing w:val="-2"/>
                <w:w w:val="90"/>
                <w:sz w:val="14"/>
              </w:rPr>
              <w:t>Singapore</w:t>
            </w:r>
          </w:p>
        </w:tc>
        <w:tc>
          <w:tcPr>
            <w:tcW w:w="1150" w:type="dxa"/>
          </w:tcPr>
          <w:p>
            <w:pPr>
              <w:pStyle w:val="TableParagraph"/>
              <w:ind w:right="434"/>
              <w:jc w:val="right"/>
              <w:rPr>
                <w:sz w:val="14"/>
              </w:rPr>
            </w:pPr>
            <w:r>
              <w:rPr>
                <w:color w:val="231F20"/>
                <w:spacing w:val="-2"/>
                <w:w w:val="95"/>
                <w:sz w:val="14"/>
              </w:rPr>
              <w:t>15,384</w:t>
            </w:r>
          </w:p>
        </w:tc>
        <w:tc>
          <w:tcPr>
            <w:tcW w:w="851" w:type="dxa"/>
          </w:tcPr>
          <w:p>
            <w:pPr>
              <w:pStyle w:val="TableParagraph"/>
              <w:ind w:left="63" w:right="136"/>
              <w:rPr>
                <w:sz w:val="14"/>
              </w:rPr>
            </w:pPr>
            <w:r>
              <w:rPr>
                <w:color w:val="231F20"/>
                <w:spacing w:val="-5"/>
                <w:w w:val="95"/>
                <w:sz w:val="14"/>
              </w:rPr>
              <w:t>3.1</w:t>
            </w:r>
          </w:p>
        </w:tc>
        <w:tc>
          <w:tcPr>
            <w:tcW w:w="1063" w:type="dxa"/>
          </w:tcPr>
          <w:p>
            <w:pPr>
              <w:pStyle w:val="TableParagraph"/>
              <w:ind w:left="78" w:right="53"/>
              <w:rPr>
                <w:sz w:val="14"/>
              </w:rPr>
            </w:pPr>
            <w:r>
              <w:rPr>
                <w:color w:val="231F20"/>
                <w:spacing w:val="-5"/>
                <w:w w:val="95"/>
                <w:sz w:val="14"/>
              </w:rPr>
              <w:t>2.2</w:t>
            </w:r>
          </w:p>
        </w:tc>
        <w:tc>
          <w:tcPr>
            <w:tcW w:w="1083" w:type="dxa"/>
          </w:tcPr>
          <w:p>
            <w:pPr>
              <w:pStyle w:val="TableParagraph"/>
              <w:ind w:left="399"/>
              <w:jc w:val="left"/>
              <w:rPr>
                <w:sz w:val="14"/>
              </w:rPr>
            </w:pPr>
            <w:r>
              <w:rPr>
                <w:color w:val="231F20"/>
                <w:spacing w:val="-5"/>
                <w:w w:val="95"/>
                <w:sz w:val="14"/>
              </w:rPr>
              <w:t>1.5</w:t>
            </w:r>
          </w:p>
        </w:tc>
        <w:tc>
          <w:tcPr>
            <w:tcW w:w="751" w:type="dxa"/>
          </w:tcPr>
          <w:p>
            <w:pPr>
              <w:pStyle w:val="TableParagraph"/>
              <w:ind w:left="76" w:right="45"/>
              <w:rPr>
                <w:sz w:val="14"/>
              </w:rPr>
            </w:pPr>
            <w:r>
              <w:rPr>
                <w:color w:val="231F20"/>
                <w:spacing w:val="-5"/>
                <w:w w:val="95"/>
                <w:sz w:val="14"/>
              </w:rPr>
              <w:t>3.4</w:t>
            </w:r>
          </w:p>
        </w:tc>
        <w:tc>
          <w:tcPr>
            <w:tcW w:w="240" w:type="dxa"/>
          </w:tcPr>
          <w:p>
            <w:pPr>
              <w:pStyle w:val="TableParagraph"/>
              <w:spacing w:before="0"/>
              <w:jc w:val="left"/>
              <w:rPr>
                <w:rFonts w:ascii="Times New Roman"/>
                <w:sz w:val="12"/>
              </w:rPr>
            </w:pPr>
          </w:p>
        </w:tc>
        <w:tc>
          <w:tcPr>
            <w:tcW w:w="851" w:type="dxa"/>
          </w:tcPr>
          <w:p>
            <w:pPr>
              <w:pStyle w:val="TableParagraph"/>
              <w:ind w:left="66" w:right="136"/>
              <w:rPr>
                <w:sz w:val="14"/>
              </w:rPr>
            </w:pPr>
            <w:r>
              <w:rPr>
                <w:color w:val="231F20"/>
                <w:spacing w:val="-5"/>
                <w:w w:val="95"/>
                <w:sz w:val="14"/>
              </w:rPr>
              <w:t>3.1</w:t>
            </w:r>
          </w:p>
        </w:tc>
        <w:tc>
          <w:tcPr>
            <w:tcW w:w="1064" w:type="dxa"/>
          </w:tcPr>
          <w:p>
            <w:pPr>
              <w:pStyle w:val="TableParagraph"/>
              <w:ind w:left="64" w:right="37"/>
              <w:rPr>
                <w:sz w:val="14"/>
              </w:rPr>
            </w:pPr>
            <w:r>
              <w:rPr>
                <w:color w:val="231F20"/>
                <w:spacing w:val="-5"/>
                <w:w w:val="95"/>
                <w:sz w:val="14"/>
              </w:rPr>
              <w:t>2.2</w:t>
            </w:r>
          </w:p>
        </w:tc>
        <w:tc>
          <w:tcPr>
            <w:tcW w:w="948" w:type="dxa"/>
          </w:tcPr>
          <w:p>
            <w:pPr>
              <w:pStyle w:val="TableParagraph"/>
              <w:ind w:left="76" w:right="60"/>
              <w:rPr>
                <w:sz w:val="14"/>
              </w:rPr>
            </w:pPr>
            <w:r>
              <w:rPr>
                <w:color w:val="231F20"/>
                <w:spacing w:val="-5"/>
                <w:w w:val="95"/>
                <w:sz w:val="14"/>
              </w:rPr>
              <w:t>1.5</w:t>
            </w:r>
          </w:p>
        </w:tc>
        <w:tc>
          <w:tcPr>
            <w:tcW w:w="1005" w:type="dxa"/>
          </w:tcPr>
          <w:p>
            <w:pPr>
              <w:pStyle w:val="TableParagraph"/>
              <w:ind w:right="391"/>
              <w:jc w:val="right"/>
              <w:rPr>
                <w:sz w:val="14"/>
              </w:rPr>
            </w:pPr>
            <w:r>
              <w:rPr>
                <w:color w:val="231F20"/>
                <w:spacing w:val="-5"/>
                <w:w w:val="95"/>
                <w:sz w:val="14"/>
              </w:rPr>
              <w:t>3.4</w:t>
            </w:r>
          </w:p>
        </w:tc>
      </w:tr>
      <w:tr>
        <w:trPr>
          <w:trHeight w:val="259" w:hRule="atLeast"/>
        </w:trPr>
        <w:tc>
          <w:tcPr>
            <w:tcW w:w="1311" w:type="dxa"/>
            <w:shd w:val="clear" w:color="auto" w:fill="D4E3F5"/>
          </w:tcPr>
          <w:p>
            <w:pPr>
              <w:pStyle w:val="TableParagraph"/>
              <w:ind w:left="79"/>
              <w:jc w:val="left"/>
              <w:rPr>
                <w:sz w:val="14"/>
              </w:rPr>
            </w:pPr>
            <w:r>
              <w:rPr>
                <w:color w:val="231F20"/>
                <w:w w:val="75"/>
                <w:sz w:val="14"/>
              </w:rPr>
              <w:t>Slovak</w:t>
            </w:r>
            <w:r>
              <w:rPr>
                <w:color w:val="231F20"/>
                <w:spacing w:val="4"/>
                <w:sz w:val="14"/>
              </w:rPr>
              <w:t> </w:t>
            </w:r>
            <w:r>
              <w:rPr>
                <w:color w:val="231F20"/>
                <w:spacing w:val="-2"/>
                <w:w w:val="85"/>
                <w:sz w:val="14"/>
              </w:rPr>
              <w:t>Republic</w:t>
            </w:r>
          </w:p>
        </w:tc>
        <w:tc>
          <w:tcPr>
            <w:tcW w:w="1150" w:type="dxa"/>
            <w:shd w:val="clear" w:color="auto" w:fill="D4E3F5"/>
          </w:tcPr>
          <w:p>
            <w:pPr>
              <w:pStyle w:val="TableParagraph"/>
              <w:ind w:right="434"/>
              <w:jc w:val="right"/>
              <w:rPr>
                <w:sz w:val="14"/>
              </w:rPr>
            </w:pPr>
            <w:r>
              <w:rPr>
                <w:color w:val="231F20"/>
                <w:spacing w:val="-2"/>
                <w:w w:val="95"/>
                <w:sz w:val="14"/>
              </w:rPr>
              <w:t>1,116</w:t>
            </w:r>
          </w:p>
        </w:tc>
        <w:tc>
          <w:tcPr>
            <w:tcW w:w="851" w:type="dxa"/>
            <w:shd w:val="clear" w:color="auto" w:fill="D4E3F5"/>
          </w:tcPr>
          <w:p>
            <w:pPr>
              <w:pStyle w:val="TableParagraph"/>
              <w:ind w:left="20" w:right="136"/>
              <w:rPr>
                <w:sz w:val="14"/>
              </w:rPr>
            </w:pPr>
            <w:r>
              <w:rPr>
                <w:color w:val="231F20"/>
                <w:spacing w:val="-4"/>
                <w:w w:val="95"/>
                <w:sz w:val="14"/>
              </w:rPr>
              <w:t>14.0</w:t>
            </w:r>
          </w:p>
        </w:tc>
        <w:tc>
          <w:tcPr>
            <w:tcW w:w="1063" w:type="dxa"/>
            <w:shd w:val="clear" w:color="auto" w:fill="D4E3F5"/>
          </w:tcPr>
          <w:p>
            <w:pPr>
              <w:pStyle w:val="TableParagraph"/>
              <w:ind w:left="38" w:right="73"/>
              <w:rPr>
                <w:sz w:val="14"/>
              </w:rPr>
            </w:pPr>
            <w:r>
              <w:rPr>
                <w:color w:val="231F20"/>
                <w:spacing w:val="-4"/>
                <w:w w:val="95"/>
                <w:sz w:val="14"/>
              </w:rPr>
              <w:t>12.9</w:t>
            </w:r>
          </w:p>
        </w:tc>
        <w:tc>
          <w:tcPr>
            <w:tcW w:w="1083" w:type="dxa"/>
            <w:shd w:val="clear" w:color="auto" w:fill="D4E3F5"/>
          </w:tcPr>
          <w:p>
            <w:pPr>
              <w:pStyle w:val="TableParagraph"/>
              <w:ind w:left="392"/>
              <w:jc w:val="left"/>
              <w:rPr>
                <w:sz w:val="14"/>
              </w:rPr>
            </w:pPr>
            <w:r>
              <w:rPr>
                <w:color w:val="231F20"/>
                <w:spacing w:val="-5"/>
                <w:w w:val="95"/>
                <w:sz w:val="14"/>
              </w:rPr>
              <w:t>9.2</w:t>
            </w:r>
          </w:p>
        </w:tc>
        <w:tc>
          <w:tcPr>
            <w:tcW w:w="751" w:type="dxa"/>
            <w:shd w:val="clear" w:color="auto" w:fill="D4E3F5"/>
          </w:tcPr>
          <w:p>
            <w:pPr>
              <w:pStyle w:val="TableParagraph"/>
              <w:ind w:left="46" w:right="60"/>
              <w:rPr>
                <w:sz w:val="14"/>
              </w:rPr>
            </w:pPr>
            <w:r>
              <w:rPr>
                <w:color w:val="231F20"/>
                <w:spacing w:val="-4"/>
                <w:w w:val="95"/>
                <w:sz w:val="14"/>
              </w:rPr>
              <w:t>17.0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6" w:right="136"/>
              <w:rPr>
                <w:sz w:val="14"/>
              </w:rPr>
            </w:pPr>
            <w:r>
              <w:rPr>
                <w:color w:val="231F20"/>
                <w:spacing w:val="-5"/>
                <w:w w:val="95"/>
                <w:sz w:val="14"/>
              </w:rPr>
              <w:t>8.2</w:t>
            </w:r>
          </w:p>
        </w:tc>
        <w:tc>
          <w:tcPr>
            <w:tcW w:w="1064" w:type="dxa"/>
            <w:shd w:val="clear" w:color="auto" w:fill="D4E3F5"/>
          </w:tcPr>
          <w:p>
            <w:pPr>
              <w:pStyle w:val="TableParagraph"/>
              <w:ind w:left="57" w:right="37"/>
              <w:rPr>
                <w:sz w:val="14"/>
              </w:rPr>
            </w:pPr>
            <w:r>
              <w:rPr>
                <w:color w:val="231F20"/>
                <w:spacing w:val="-5"/>
                <w:w w:val="95"/>
                <w:sz w:val="14"/>
              </w:rPr>
              <w:t>6.7</w:t>
            </w:r>
          </w:p>
        </w:tc>
        <w:tc>
          <w:tcPr>
            <w:tcW w:w="948" w:type="dxa"/>
            <w:shd w:val="clear" w:color="auto" w:fill="D4E3F5"/>
          </w:tcPr>
          <w:p>
            <w:pPr>
              <w:pStyle w:val="TableParagraph"/>
              <w:ind w:left="69" w:right="60"/>
              <w:rPr>
                <w:sz w:val="14"/>
              </w:rPr>
            </w:pPr>
            <w:r>
              <w:rPr>
                <w:color w:val="231F20"/>
                <w:spacing w:val="-5"/>
                <w:w w:val="95"/>
                <w:sz w:val="14"/>
              </w:rPr>
              <w:t>4.6</w:t>
            </w:r>
          </w:p>
        </w:tc>
        <w:tc>
          <w:tcPr>
            <w:tcW w:w="1005" w:type="dxa"/>
            <w:shd w:val="clear" w:color="auto" w:fill="D4E3F5"/>
          </w:tcPr>
          <w:p>
            <w:pPr>
              <w:pStyle w:val="TableParagraph"/>
              <w:ind w:right="388"/>
              <w:jc w:val="right"/>
              <w:rPr>
                <w:sz w:val="14"/>
              </w:rPr>
            </w:pPr>
            <w:r>
              <w:rPr>
                <w:color w:val="231F20"/>
                <w:spacing w:val="-4"/>
                <w:w w:val="95"/>
                <w:sz w:val="14"/>
              </w:rPr>
              <w:t>10.2</w:t>
            </w:r>
          </w:p>
        </w:tc>
      </w:tr>
      <w:tr>
        <w:trPr>
          <w:trHeight w:val="259" w:hRule="atLeast"/>
        </w:trPr>
        <w:tc>
          <w:tcPr>
            <w:tcW w:w="1311" w:type="dxa"/>
          </w:tcPr>
          <w:p>
            <w:pPr>
              <w:pStyle w:val="TableParagraph"/>
              <w:ind w:left="79"/>
              <w:jc w:val="left"/>
              <w:rPr>
                <w:sz w:val="14"/>
              </w:rPr>
            </w:pPr>
            <w:r>
              <w:rPr>
                <w:color w:val="231F20"/>
                <w:spacing w:val="-2"/>
                <w:w w:val="85"/>
                <w:sz w:val="14"/>
              </w:rPr>
              <w:t>Slovenia</w:t>
            </w:r>
          </w:p>
        </w:tc>
        <w:tc>
          <w:tcPr>
            <w:tcW w:w="1150" w:type="dxa"/>
          </w:tcPr>
          <w:p>
            <w:pPr>
              <w:pStyle w:val="TableParagraph"/>
              <w:ind w:right="435"/>
              <w:jc w:val="right"/>
              <w:rPr>
                <w:sz w:val="14"/>
              </w:rPr>
            </w:pPr>
            <w:r>
              <w:rPr>
                <w:color w:val="231F20"/>
                <w:spacing w:val="-2"/>
                <w:w w:val="95"/>
                <w:sz w:val="14"/>
              </w:rPr>
              <w:t>4,467</w:t>
            </w:r>
          </w:p>
        </w:tc>
        <w:tc>
          <w:tcPr>
            <w:tcW w:w="851" w:type="dxa"/>
          </w:tcPr>
          <w:p>
            <w:pPr>
              <w:pStyle w:val="TableParagraph"/>
              <w:ind w:left="85" w:right="136"/>
              <w:rPr>
                <w:sz w:val="14"/>
              </w:rPr>
            </w:pPr>
            <w:r>
              <w:rPr>
                <w:color w:val="231F20"/>
                <w:spacing w:val="-5"/>
                <w:w w:val="95"/>
                <w:sz w:val="14"/>
              </w:rPr>
              <w:t>7.1</w:t>
            </w:r>
          </w:p>
        </w:tc>
        <w:tc>
          <w:tcPr>
            <w:tcW w:w="1063" w:type="dxa"/>
          </w:tcPr>
          <w:p>
            <w:pPr>
              <w:pStyle w:val="TableParagraph"/>
              <w:ind w:left="77" w:right="53"/>
              <w:rPr>
                <w:sz w:val="14"/>
              </w:rPr>
            </w:pPr>
            <w:r>
              <w:rPr>
                <w:color w:val="231F20"/>
                <w:spacing w:val="-5"/>
                <w:w w:val="95"/>
                <w:sz w:val="14"/>
              </w:rPr>
              <w:t>6.3</w:t>
            </w:r>
          </w:p>
        </w:tc>
        <w:tc>
          <w:tcPr>
            <w:tcW w:w="1083" w:type="dxa"/>
          </w:tcPr>
          <w:p>
            <w:pPr>
              <w:pStyle w:val="TableParagraph"/>
              <w:ind w:left="392"/>
              <w:jc w:val="left"/>
              <w:rPr>
                <w:sz w:val="14"/>
              </w:rPr>
            </w:pPr>
            <w:r>
              <w:rPr>
                <w:color w:val="231F20"/>
                <w:spacing w:val="-5"/>
                <w:w w:val="95"/>
                <w:sz w:val="14"/>
              </w:rPr>
              <w:t>5.1</w:t>
            </w:r>
          </w:p>
        </w:tc>
        <w:tc>
          <w:tcPr>
            <w:tcW w:w="751" w:type="dxa"/>
          </w:tcPr>
          <w:p>
            <w:pPr>
              <w:pStyle w:val="TableParagraph"/>
              <w:ind w:left="79" w:right="45"/>
              <w:rPr>
                <w:sz w:val="14"/>
              </w:rPr>
            </w:pPr>
            <w:r>
              <w:rPr>
                <w:color w:val="231F20"/>
                <w:spacing w:val="-5"/>
                <w:w w:val="95"/>
                <w:sz w:val="14"/>
              </w:rPr>
              <w:t>8.2</w:t>
            </w:r>
          </w:p>
        </w:tc>
        <w:tc>
          <w:tcPr>
            <w:tcW w:w="240" w:type="dxa"/>
          </w:tcPr>
          <w:p>
            <w:pPr>
              <w:pStyle w:val="TableParagraph"/>
              <w:spacing w:before="0"/>
              <w:jc w:val="left"/>
              <w:rPr>
                <w:rFonts w:ascii="Times New Roman"/>
                <w:sz w:val="12"/>
              </w:rPr>
            </w:pPr>
          </w:p>
        </w:tc>
        <w:tc>
          <w:tcPr>
            <w:tcW w:w="851" w:type="dxa"/>
          </w:tcPr>
          <w:p>
            <w:pPr>
              <w:pStyle w:val="TableParagraph"/>
              <w:ind w:left="88" w:right="136"/>
              <w:rPr>
                <w:sz w:val="14"/>
              </w:rPr>
            </w:pPr>
            <w:r>
              <w:rPr>
                <w:color w:val="231F20"/>
                <w:spacing w:val="-5"/>
                <w:w w:val="95"/>
                <w:sz w:val="14"/>
              </w:rPr>
              <w:t>7.1</w:t>
            </w:r>
          </w:p>
        </w:tc>
        <w:tc>
          <w:tcPr>
            <w:tcW w:w="1064" w:type="dxa"/>
          </w:tcPr>
          <w:p>
            <w:pPr>
              <w:pStyle w:val="TableParagraph"/>
              <w:ind w:left="62" w:right="37"/>
              <w:rPr>
                <w:sz w:val="14"/>
              </w:rPr>
            </w:pPr>
            <w:r>
              <w:rPr>
                <w:color w:val="231F20"/>
                <w:spacing w:val="-5"/>
                <w:w w:val="95"/>
                <w:sz w:val="14"/>
              </w:rPr>
              <w:t>6.3</w:t>
            </w:r>
          </w:p>
        </w:tc>
        <w:tc>
          <w:tcPr>
            <w:tcW w:w="948" w:type="dxa"/>
          </w:tcPr>
          <w:p>
            <w:pPr>
              <w:pStyle w:val="TableParagraph"/>
              <w:ind w:left="68" w:right="60"/>
              <w:rPr>
                <w:sz w:val="14"/>
              </w:rPr>
            </w:pPr>
            <w:r>
              <w:rPr>
                <w:color w:val="231F20"/>
                <w:spacing w:val="-5"/>
                <w:w w:val="95"/>
                <w:sz w:val="14"/>
              </w:rPr>
              <w:t>5.0</w:t>
            </w:r>
          </w:p>
        </w:tc>
        <w:tc>
          <w:tcPr>
            <w:tcW w:w="1005" w:type="dxa"/>
          </w:tcPr>
          <w:p>
            <w:pPr>
              <w:pStyle w:val="TableParagraph"/>
              <w:ind w:right="407"/>
              <w:jc w:val="right"/>
              <w:rPr>
                <w:sz w:val="14"/>
              </w:rPr>
            </w:pPr>
            <w:r>
              <w:rPr>
                <w:color w:val="231F20"/>
                <w:spacing w:val="-5"/>
                <w:w w:val="95"/>
                <w:sz w:val="14"/>
              </w:rPr>
              <w:t>8.1</w:t>
            </w:r>
          </w:p>
        </w:tc>
      </w:tr>
      <w:tr>
        <w:trPr>
          <w:trHeight w:val="259" w:hRule="atLeast"/>
        </w:trPr>
        <w:tc>
          <w:tcPr>
            <w:tcW w:w="1311" w:type="dxa"/>
            <w:shd w:val="clear" w:color="auto" w:fill="D4E3F5"/>
          </w:tcPr>
          <w:p>
            <w:pPr>
              <w:pStyle w:val="TableParagraph"/>
              <w:ind w:left="79"/>
              <w:jc w:val="left"/>
              <w:rPr>
                <w:sz w:val="14"/>
              </w:rPr>
            </w:pPr>
            <w:r>
              <w:rPr>
                <w:color w:val="231F20"/>
                <w:w w:val="75"/>
                <w:sz w:val="14"/>
              </w:rPr>
              <w:t>Solomon</w:t>
            </w:r>
            <w:r>
              <w:rPr>
                <w:color w:val="231F20"/>
                <w:spacing w:val="16"/>
                <w:sz w:val="14"/>
              </w:rPr>
              <w:t> </w:t>
            </w:r>
            <w:r>
              <w:rPr>
                <w:color w:val="231F20"/>
                <w:spacing w:val="-2"/>
                <w:w w:val="85"/>
                <w:sz w:val="14"/>
              </w:rPr>
              <w:t>Islands</w:t>
            </w:r>
          </w:p>
        </w:tc>
        <w:tc>
          <w:tcPr>
            <w:tcW w:w="1150" w:type="dxa"/>
            <w:shd w:val="clear" w:color="auto" w:fill="D4E3F5"/>
          </w:tcPr>
          <w:p>
            <w:pPr>
              <w:pStyle w:val="TableParagraph"/>
              <w:ind w:right="435"/>
              <w:jc w:val="right"/>
              <w:rPr>
                <w:sz w:val="14"/>
              </w:rPr>
            </w:pPr>
            <w:r>
              <w:rPr>
                <w:color w:val="231F20"/>
                <w:spacing w:val="-5"/>
                <w:w w:val="95"/>
                <w:sz w:val="14"/>
              </w:rPr>
              <w:t>107</w:t>
            </w:r>
          </w:p>
        </w:tc>
        <w:tc>
          <w:tcPr>
            <w:tcW w:w="851" w:type="dxa"/>
            <w:shd w:val="clear" w:color="auto" w:fill="D4E3F5"/>
          </w:tcPr>
          <w:p>
            <w:pPr>
              <w:pStyle w:val="TableParagraph"/>
              <w:ind w:left="77" w:right="136"/>
              <w:rPr>
                <w:sz w:val="14"/>
              </w:rPr>
            </w:pPr>
            <w:r>
              <w:rPr>
                <w:color w:val="231F20"/>
                <w:spacing w:val="-5"/>
                <w:w w:val="95"/>
                <w:sz w:val="14"/>
              </w:rPr>
              <w:t>2.7</w:t>
            </w:r>
          </w:p>
        </w:tc>
        <w:tc>
          <w:tcPr>
            <w:tcW w:w="1063" w:type="dxa"/>
            <w:shd w:val="clear" w:color="auto" w:fill="D4E3F5"/>
          </w:tcPr>
          <w:p>
            <w:pPr>
              <w:pStyle w:val="TableParagraph"/>
              <w:ind w:left="77" w:right="53"/>
              <w:rPr>
                <w:sz w:val="14"/>
              </w:rPr>
            </w:pPr>
            <w:r>
              <w:rPr>
                <w:color w:val="231F20"/>
                <w:spacing w:val="-5"/>
                <w:w w:val="95"/>
                <w:sz w:val="14"/>
              </w:rPr>
              <w:t>2.3</w:t>
            </w:r>
          </w:p>
        </w:tc>
        <w:tc>
          <w:tcPr>
            <w:tcW w:w="1083" w:type="dxa"/>
            <w:shd w:val="clear" w:color="auto" w:fill="D4E3F5"/>
          </w:tcPr>
          <w:p>
            <w:pPr>
              <w:pStyle w:val="TableParagraph"/>
              <w:ind w:left="399"/>
              <w:jc w:val="left"/>
              <w:rPr>
                <w:sz w:val="14"/>
              </w:rPr>
            </w:pPr>
            <w:r>
              <w:rPr>
                <w:color w:val="231F20"/>
                <w:spacing w:val="-5"/>
                <w:w w:val="95"/>
                <w:sz w:val="14"/>
              </w:rPr>
              <w:t>1.7</w:t>
            </w:r>
          </w:p>
        </w:tc>
        <w:tc>
          <w:tcPr>
            <w:tcW w:w="751" w:type="dxa"/>
            <w:shd w:val="clear" w:color="auto" w:fill="D4E3F5"/>
          </w:tcPr>
          <w:p>
            <w:pPr>
              <w:pStyle w:val="TableParagraph"/>
              <w:ind w:left="77" w:right="45"/>
              <w:rPr>
                <w:sz w:val="14"/>
              </w:rPr>
            </w:pPr>
            <w:r>
              <w:rPr>
                <w:color w:val="231F20"/>
                <w:spacing w:val="-5"/>
                <w:w w:val="95"/>
                <w:sz w:val="14"/>
              </w:rPr>
              <w:t>4.4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6" w:right="136"/>
              <w:rPr>
                <w:sz w:val="14"/>
              </w:rPr>
            </w:pPr>
            <w:r>
              <w:rPr>
                <w:color w:val="231F20"/>
                <w:spacing w:val="-5"/>
                <w:w w:val="95"/>
                <w:sz w:val="14"/>
              </w:rPr>
              <w:t>2.6</w:t>
            </w:r>
          </w:p>
        </w:tc>
        <w:tc>
          <w:tcPr>
            <w:tcW w:w="1064" w:type="dxa"/>
            <w:shd w:val="clear" w:color="auto" w:fill="D4E3F5"/>
          </w:tcPr>
          <w:p>
            <w:pPr>
              <w:pStyle w:val="TableParagraph"/>
              <w:ind w:left="63" w:right="37"/>
              <w:rPr>
                <w:sz w:val="14"/>
              </w:rPr>
            </w:pPr>
            <w:r>
              <w:rPr>
                <w:color w:val="231F20"/>
                <w:spacing w:val="-5"/>
                <w:w w:val="95"/>
                <w:sz w:val="14"/>
              </w:rPr>
              <w:t>2.3</w:t>
            </w:r>
          </w:p>
        </w:tc>
        <w:tc>
          <w:tcPr>
            <w:tcW w:w="948" w:type="dxa"/>
            <w:shd w:val="clear" w:color="auto" w:fill="D4E3F5"/>
          </w:tcPr>
          <w:p>
            <w:pPr>
              <w:pStyle w:val="TableParagraph"/>
              <w:ind w:left="72" w:right="60"/>
              <w:rPr>
                <w:sz w:val="14"/>
              </w:rPr>
            </w:pPr>
            <w:r>
              <w:rPr>
                <w:color w:val="231F20"/>
                <w:spacing w:val="-5"/>
                <w:w w:val="95"/>
                <w:sz w:val="14"/>
              </w:rPr>
              <w:t>1.7</w:t>
            </w:r>
          </w:p>
        </w:tc>
        <w:tc>
          <w:tcPr>
            <w:tcW w:w="1005" w:type="dxa"/>
            <w:shd w:val="clear" w:color="auto" w:fill="D4E3F5"/>
          </w:tcPr>
          <w:p>
            <w:pPr>
              <w:pStyle w:val="TableParagraph"/>
              <w:ind w:right="407"/>
              <w:jc w:val="right"/>
              <w:rPr>
                <w:sz w:val="14"/>
              </w:rPr>
            </w:pPr>
            <w:r>
              <w:rPr>
                <w:color w:val="231F20"/>
                <w:spacing w:val="-5"/>
                <w:w w:val="95"/>
                <w:sz w:val="14"/>
              </w:rPr>
              <w:t>4.1</w:t>
            </w:r>
          </w:p>
        </w:tc>
      </w:tr>
      <w:tr>
        <w:trPr>
          <w:trHeight w:val="259" w:hRule="atLeast"/>
        </w:trPr>
        <w:tc>
          <w:tcPr>
            <w:tcW w:w="1311" w:type="dxa"/>
          </w:tcPr>
          <w:p>
            <w:pPr>
              <w:pStyle w:val="TableParagraph"/>
              <w:ind w:left="79"/>
              <w:jc w:val="left"/>
              <w:rPr>
                <w:sz w:val="14"/>
              </w:rPr>
            </w:pPr>
            <w:r>
              <w:rPr>
                <w:color w:val="231F20"/>
                <w:spacing w:val="-2"/>
                <w:w w:val="90"/>
                <w:sz w:val="14"/>
              </w:rPr>
              <w:t>Somalia</w:t>
            </w:r>
          </w:p>
        </w:tc>
        <w:tc>
          <w:tcPr>
            <w:tcW w:w="1150" w:type="dxa"/>
          </w:tcPr>
          <w:p>
            <w:pPr>
              <w:pStyle w:val="TableParagraph"/>
              <w:ind w:right="433"/>
              <w:jc w:val="right"/>
              <w:rPr>
                <w:sz w:val="14"/>
              </w:rPr>
            </w:pPr>
            <w:r>
              <w:rPr>
                <w:color w:val="231F20"/>
                <w:spacing w:val="-5"/>
                <w:w w:val="95"/>
                <w:sz w:val="14"/>
              </w:rPr>
              <w:t>31</w:t>
            </w:r>
          </w:p>
        </w:tc>
        <w:tc>
          <w:tcPr>
            <w:tcW w:w="851" w:type="dxa"/>
          </w:tcPr>
          <w:p>
            <w:pPr>
              <w:pStyle w:val="TableParagraph"/>
              <w:ind w:left="82" w:right="136"/>
              <w:rPr>
                <w:sz w:val="14"/>
              </w:rPr>
            </w:pPr>
            <w:r>
              <w:rPr>
                <w:color w:val="231F20"/>
                <w:spacing w:val="-5"/>
                <w:w w:val="95"/>
                <w:sz w:val="14"/>
              </w:rPr>
              <w:t>9.0</w:t>
            </w:r>
          </w:p>
        </w:tc>
        <w:tc>
          <w:tcPr>
            <w:tcW w:w="1063" w:type="dxa"/>
          </w:tcPr>
          <w:p>
            <w:pPr>
              <w:pStyle w:val="TableParagraph"/>
              <w:ind w:left="90" w:right="53"/>
              <w:rPr>
                <w:sz w:val="14"/>
              </w:rPr>
            </w:pPr>
            <w:r>
              <w:rPr>
                <w:color w:val="231F20"/>
                <w:spacing w:val="-5"/>
                <w:w w:val="95"/>
                <w:sz w:val="14"/>
              </w:rPr>
              <w:t>7.5</w:t>
            </w:r>
          </w:p>
        </w:tc>
        <w:tc>
          <w:tcPr>
            <w:tcW w:w="1083" w:type="dxa"/>
          </w:tcPr>
          <w:p>
            <w:pPr>
              <w:pStyle w:val="TableParagraph"/>
              <w:ind w:left="391"/>
              <w:jc w:val="left"/>
              <w:rPr>
                <w:sz w:val="14"/>
              </w:rPr>
            </w:pPr>
            <w:r>
              <w:rPr>
                <w:color w:val="231F20"/>
                <w:spacing w:val="-5"/>
                <w:w w:val="95"/>
                <w:sz w:val="14"/>
              </w:rPr>
              <w:t>6.3</w:t>
            </w:r>
          </w:p>
        </w:tc>
        <w:tc>
          <w:tcPr>
            <w:tcW w:w="751" w:type="dxa"/>
          </w:tcPr>
          <w:p>
            <w:pPr>
              <w:pStyle w:val="TableParagraph"/>
              <w:ind w:left="46" w:right="75"/>
              <w:rPr>
                <w:sz w:val="14"/>
              </w:rPr>
            </w:pPr>
            <w:r>
              <w:rPr>
                <w:color w:val="231F20"/>
                <w:spacing w:val="-4"/>
                <w:w w:val="95"/>
                <w:sz w:val="14"/>
              </w:rPr>
              <w:t>10.4</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9.0</w:t>
            </w:r>
          </w:p>
        </w:tc>
        <w:tc>
          <w:tcPr>
            <w:tcW w:w="1064" w:type="dxa"/>
          </w:tcPr>
          <w:p>
            <w:pPr>
              <w:pStyle w:val="TableParagraph"/>
              <w:ind w:left="76" w:right="37"/>
              <w:rPr>
                <w:sz w:val="14"/>
              </w:rPr>
            </w:pPr>
            <w:r>
              <w:rPr>
                <w:color w:val="231F20"/>
                <w:spacing w:val="-5"/>
                <w:w w:val="95"/>
                <w:sz w:val="14"/>
              </w:rPr>
              <w:t>7.5</w:t>
            </w:r>
          </w:p>
        </w:tc>
        <w:tc>
          <w:tcPr>
            <w:tcW w:w="948" w:type="dxa"/>
          </w:tcPr>
          <w:p>
            <w:pPr>
              <w:pStyle w:val="TableParagraph"/>
              <w:ind w:left="68" w:right="60"/>
              <w:rPr>
                <w:sz w:val="14"/>
              </w:rPr>
            </w:pPr>
            <w:r>
              <w:rPr>
                <w:color w:val="231F20"/>
                <w:spacing w:val="-5"/>
                <w:w w:val="95"/>
                <w:sz w:val="14"/>
              </w:rPr>
              <w:t>6.3</w:t>
            </w:r>
          </w:p>
        </w:tc>
        <w:tc>
          <w:tcPr>
            <w:tcW w:w="1005" w:type="dxa"/>
          </w:tcPr>
          <w:p>
            <w:pPr>
              <w:pStyle w:val="TableParagraph"/>
              <w:ind w:right="391"/>
              <w:jc w:val="right"/>
              <w:rPr>
                <w:sz w:val="14"/>
              </w:rPr>
            </w:pPr>
            <w:r>
              <w:rPr>
                <w:color w:val="231F20"/>
                <w:spacing w:val="-4"/>
                <w:w w:val="95"/>
                <w:sz w:val="14"/>
              </w:rPr>
              <w:t>10.4</w:t>
            </w:r>
          </w:p>
        </w:tc>
      </w:tr>
      <w:tr>
        <w:trPr>
          <w:trHeight w:val="259" w:hRule="atLeast"/>
        </w:trPr>
        <w:tc>
          <w:tcPr>
            <w:tcW w:w="1311" w:type="dxa"/>
            <w:shd w:val="clear" w:color="auto" w:fill="D4E3F5"/>
          </w:tcPr>
          <w:p>
            <w:pPr>
              <w:pStyle w:val="TableParagraph"/>
              <w:ind w:left="79"/>
              <w:jc w:val="left"/>
              <w:rPr>
                <w:sz w:val="14"/>
              </w:rPr>
            </w:pPr>
            <w:r>
              <w:rPr>
                <w:color w:val="231F20"/>
                <w:w w:val="75"/>
                <w:sz w:val="14"/>
              </w:rPr>
              <w:t>South</w:t>
            </w:r>
            <w:r>
              <w:rPr>
                <w:color w:val="231F20"/>
                <w:spacing w:val="11"/>
                <w:sz w:val="14"/>
              </w:rPr>
              <w:t> </w:t>
            </w:r>
            <w:r>
              <w:rPr>
                <w:color w:val="231F20"/>
                <w:spacing w:val="-2"/>
                <w:w w:val="90"/>
                <w:sz w:val="14"/>
              </w:rPr>
              <w:t>Africa</w:t>
            </w:r>
          </w:p>
        </w:tc>
        <w:tc>
          <w:tcPr>
            <w:tcW w:w="1150" w:type="dxa"/>
            <w:shd w:val="clear" w:color="auto" w:fill="D4E3F5"/>
          </w:tcPr>
          <w:p>
            <w:pPr>
              <w:pStyle w:val="TableParagraph"/>
              <w:ind w:right="435"/>
              <w:jc w:val="right"/>
              <w:rPr>
                <w:sz w:val="14"/>
              </w:rPr>
            </w:pPr>
            <w:r>
              <w:rPr>
                <w:color w:val="231F20"/>
                <w:spacing w:val="-2"/>
                <w:w w:val="95"/>
                <w:sz w:val="14"/>
              </w:rPr>
              <w:t>35,442</w:t>
            </w:r>
          </w:p>
        </w:tc>
        <w:tc>
          <w:tcPr>
            <w:tcW w:w="851" w:type="dxa"/>
            <w:shd w:val="clear" w:color="auto" w:fill="D4E3F5"/>
          </w:tcPr>
          <w:p>
            <w:pPr>
              <w:pStyle w:val="TableParagraph"/>
              <w:ind w:left="82" w:right="136"/>
              <w:rPr>
                <w:sz w:val="14"/>
              </w:rPr>
            </w:pPr>
            <w:r>
              <w:rPr>
                <w:color w:val="231F20"/>
                <w:spacing w:val="-5"/>
                <w:w w:val="95"/>
                <w:sz w:val="14"/>
              </w:rPr>
              <w:t>5.5</w:t>
            </w:r>
          </w:p>
        </w:tc>
        <w:tc>
          <w:tcPr>
            <w:tcW w:w="1063" w:type="dxa"/>
            <w:shd w:val="clear" w:color="auto" w:fill="D4E3F5"/>
          </w:tcPr>
          <w:p>
            <w:pPr>
              <w:pStyle w:val="TableParagraph"/>
              <w:ind w:left="77" w:right="53"/>
              <w:rPr>
                <w:sz w:val="14"/>
              </w:rPr>
            </w:pPr>
            <w:r>
              <w:rPr>
                <w:color w:val="231F20"/>
                <w:spacing w:val="-5"/>
                <w:w w:val="95"/>
                <w:sz w:val="14"/>
              </w:rPr>
              <w:t>5.3</w:t>
            </w:r>
          </w:p>
        </w:tc>
        <w:tc>
          <w:tcPr>
            <w:tcW w:w="1083" w:type="dxa"/>
            <w:shd w:val="clear" w:color="auto" w:fill="D4E3F5"/>
          </w:tcPr>
          <w:p>
            <w:pPr>
              <w:pStyle w:val="TableParagraph"/>
              <w:ind w:left="391"/>
              <w:jc w:val="left"/>
              <w:rPr>
                <w:sz w:val="14"/>
              </w:rPr>
            </w:pPr>
            <w:r>
              <w:rPr>
                <w:color w:val="231F20"/>
                <w:spacing w:val="-5"/>
                <w:w w:val="95"/>
                <w:sz w:val="14"/>
              </w:rPr>
              <w:t>3.9</w:t>
            </w:r>
          </w:p>
        </w:tc>
        <w:tc>
          <w:tcPr>
            <w:tcW w:w="751" w:type="dxa"/>
            <w:shd w:val="clear" w:color="auto" w:fill="D4E3F5"/>
          </w:tcPr>
          <w:p>
            <w:pPr>
              <w:pStyle w:val="TableParagraph"/>
              <w:ind w:left="78" w:right="45"/>
              <w:rPr>
                <w:sz w:val="14"/>
              </w:rPr>
            </w:pPr>
            <w:r>
              <w:rPr>
                <w:color w:val="231F20"/>
                <w:spacing w:val="-5"/>
                <w:w w:val="95"/>
                <w:sz w:val="14"/>
              </w:rPr>
              <w:t>6.8</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5" w:right="136"/>
              <w:rPr>
                <w:sz w:val="14"/>
              </w:rPr>
            </w:pPr>
            <w:r>
              <w:rPr>
                <w:color w:val="231F20"/>
                <w:spacing w:val="-5"/>
                <w:w w:val="95"/>
                <w:sz w:val="14"/>
              </w:rPr>
              <w:t>5.5</w:t>
            </w:r>
          </w:p>
        </w:tc>
        <w:tc>
          <w:tcPr>
            <w:tcW w:w="1064" w:type="dxa"/>
            <w:shd w:val="clear" w:color="auto" w:fill="D4E3F5"/>
          </w:tcPr>
          <w:p>
            <w:pPr>
              <w:pStyle w:val="TableParagraph"/>
              <w:ind w:left="63" w:right="37"/>
              <w:rPr>
                <w:sz w:val="14"/>
              </w:rPr>
            </w:pPr>
            <w:r>
              <w:rPr>
                <w:color w:val="231F20"/>
                <w:spacing w:val="-5"/>
                <w:w w:val="95"/>
                <w:sz w:val="14"/>
              </w:rPr>
              <w:t>5.3</w:t>
            </w:r>
          </w:p>
        </w:tc>
        <w:tc>
          <w:tcPr>
            <w:tcW w:w="948" w:type="dxa"/>
            <w:shd w:val="clear" w:color="auto" w:fill="D4E3F5"/>
          </w:tcPr>
          <w:p>
            <w:pPr>
              <w:pStyle w:val="TableParagraph"/>
              <w:ind w:left="69" w:right="60"/>
              <w:rPr>
                <w:sz w:val="14"/>
              </w:rPr>
            </w:pPr>
            <w:r>
              <w:rPr>
                <w:color w:val="231F20"/>
                <w:spacing w:val="-5"/>
                <w:w w:val="95"/>
                <w:sz w:val="14"/>
              </w:rPr>
              <w:t>3.9</w:t>
            </w:r>
          </w:p>
        </w:tc>
        <w:tc>
          <w:tcPr>
            <w:tcW w:w="1005" w:type="dxa"/>
            <w:shd w:val="clear" w:color="auto" w:fill="D4E3F5"/>
          </w:tcPr>
          <w:p>
            <w:pPr>
              <w:pStyle w:val="TableParagraph"/>
              <w:ind w:right="389"/>
              <w:jc w:val="right"/>
              <w:rPr>
                <w:sz w:val="14"/>
              </w:rPr>
            </w:pPr>
            <w:r>
              <w:rPr>
                <w:color w:val="231F20"/>
                <w:spacing w:val="-5"/>
                <w:w w:val="95"/>
                <w:sz w:val="14"/>
              </w:rPr>
              <w:t>6.8</w:t>
            </w:r>
          </w:p>
        </w:tc>
      </w:tr>
      <w:tr>
        <w:trPr>
          <w:trHeight w:val="259" w:hRule="atLeast"/>
        </w:trPr>
        <w:tc>
          <w:tcPr>
            <w:tcW w:w="1311" w:type="dxa"/>
          </w:tcPr>
          <w:p>
            <w:pPr>
              <w:pStyle w:val="TableParagraph"/>
              <w:ind w:left="79"/>
              <w:jc w:val="left"/>
              <w:rPr>
                <w:sz w:val="14"/>
              </w:rPr>
            </w:pPr>
            <w:r>
              <w:rPr>
                <w:color w:val="231F20"/>
                <w:spacing w:val="-4"/>
                <w:w w:val="85"/>
                <w:sz w:val="14"/>
              </w:rPr>
              <w:t>Spain</w:t>
            </w:r>
          </w:p>
        </w:tc>
        <w:tc>
          <w:tcPr>
            <w:tcW w:w="1150" w:type="dxa"/>
          </w:tcPr>
          <w:p>
            <w:pPr>
              <w:pStyle w:val="TableParagraph"/>
              <w:ind w:right="435"/>
              <w:jc w:val="right"/>
              <w:rPr>
                <w:sz w:val="14"/>
              </w:rPr>
            </w:pPr>
            <w:r>
              <w:rPr>
                <w:color w:val="231F20"/>
                <w:spacing w:val="-2"/>
                <w:w w:val="95"/>
                <w:sz w:val="14"/>
              </w:rPr>
              <w:t>37,918</w:t>
            </w:r>
          </w:p>
        </w:tc>
        <w:tc>
          <w:tcPr>
            <w:tcW w:w="851" w:type="dxa"/>
          </w:tcPr>
          <w:p>
            <w:pPr>
              <w:pStyle w:val="TableParagraph"/>
              <w:ind w:left="83" w:right="136"/>
              <w:rPr>
                <w:sz w:val="14"/>
              </w:rPr>
            </w:pPr>
            <w:r>
              <w:rPr>
                <w:color w:val="231F20"/>
                <w:spacing w:val="-5"/>
                <w:w w:val="95"/>
                <w:sz w:val="14"/>
              </w:rPr>
              <w:t>9.8</w:t>
            </w:r>
          </w:p>
        </w:tc>
        <w:tc>
          <w:tcPr>
            <w:tcW w:w="1063" w:type="dxa"/>
          </w:tcPr>
          <w:p>
            <w:pPr>
              <w:pStyle w:val="TableParagraph"/>
              <w:ind w:left="74" w:right="53"/>
              <w:rPr>
                <w:sz w:val="14"/>
              </w:rPr>
            </w:pPr>
            <w:r>
              <w:rPr>
                <w:color w:val="231F20"/>
                <w:spacing w:val="-5"/>
                <w:w w:val="95"/>
                <w:sz w:val="14"/>
              </w:rPr>
              <w:t>8.4</w:t>
            </w:r>
          </w:p>
        </w:tc>
        <w:tc>
          <w:tcPr>
            <w:tcW w:w="1083" w:type="dxa"/>
          </w:tcPr>
          <w:p>
            <w:pPr>
              <w:pStyle w:val="TableParagraph"/>
              <w:ind w:left="392"/>
              <w:jc w:val="left"/>
              <w:rPr>
                <w:sz w:val="14"/>
              </w:rPr>
            </w:pPr>
            <w:r>
              <w:rPr>
                <w:color w:val="231F20"/>
                <w:spacing w:val="-5"/>
                <w:w w:val="95"/>
                <w:sz w:val="14"/>
              </w:rPr>
              <w:t>5.5</w:t>
            </w:r>
          </w:p>
        </w:tc>
        <w:tc>
          <w:tcPr>
            <w:tcW w:w="751" w:type="dxa"/>
          </w:tcPr>
          <w:p>
            <w:pPr>
              <w:pStyle w:val="TableParagraph"/>
              <w:ind w:left="46" w:right="70"/>
              <w:rPr>
                <w:sz w:val="14"/>
              </w:rPr>
            </w:pPr>
            <w:r>
              <w:rPr>
                <w:color w:val="231F20"/>
                <w:spacing w:val="-4"/>
                <w:w w:val="95"/>
                <w:sz w:val="14"/>
              </w:rPr>
              <w:t>12.2</w:t>
            </w:r>
          </w:p>
        </w:tc>
        <w:tc>
          <w:tcPr>
            <w:tcW w:w="240" w:type="dxa"/>
          </w:tcPr>
          <w:p>
            <w:pPr>
              <w:pStyle w:val="TableParagraph"/>
              <w:spacing w:before="0"/>
              <w:jc w:val="left"/>
              <w:rPr>
                <w:rFonts w:ascii="Times New Roman"/>
                <w:sz w:val="12"/>
              </w:rPr>
            </w:pPr>
          </w:p>
        </w:tc>
        <w:tc>
          <w:tcPr>
            <w:tcW w:w="851" w:type="dxa"/>
          </w:tcPr>
          <w:p>
            <w:pPr>
              <w:pStyle w:val="TableParagraph"/>
              <w:ind w:left="86" w:right="136"/>
              <w:rPr>
                <w:sz w:val="14"/>
              </w:rPr>
            </w:pPr>
            <w:r>
              <w:rPr>
                <w:color w:val="231F20"/>
                <w:spacing w:val="-5"/>
                <w:w w:val="95"/>
                <w:sz w:val="14"/>
              </w:rPr>
              <w:t>9.3</w:t>
            </w:r>
          </w:p>
        </w:tc>
        <w:tc>
          <w:tcPr>
            <w:tcW w:w="1064" w:type="dxa"/>
          </w:tcPr>
          <w:p>
            <w:pPr>
              <w:pStyle w:val="TableParagraph"/>
              <w:ind w:left="62" w:right="37"/>
              <w:rPr>
                <w:sz w:val="14"/>
              </w:rPr>
            </w:pPr>
            <w:r>
              <w:rPr>
                <w:color w:val="231F20"/>
                <w:spacing w:val="-5"/>
                <w:w w:val="95"/>
                <w:sz w:val="14"/>
              </w:rPr>
              <w:t>8.0</w:t>
            </w:r>
          </w:p>
        </w:tc>
        <w:tc>
          <w:tcPr>
            <w:tcW w:w="948" w:type="dxa"/>
          </w:tcPr>
          <w:p>
            <w:pPr>
              <w:pStyle w:val="TableParagraph"/>
              <w:ind w:left="68" w:right="60"/>
              <w:rPr>
                <w:sz w:val="14"/>
              </w:rPr>
            </w:pPr>
            <w:r>
              <w:rPr>
                <w:color w:val="231F20"/>
                <w:spacing w:val="-5"/>
                <w:w w:val="95"/>
                <w:sz w:val="14"/>
              </w:rPr>
              <w:t>5.3</w:t>
            </w:r>
          </w:p>
        </w:tc>
        <w:tc>
          <w:tcPr>
            <w:tcW w:w="1005" w:type="dxa"/>
          </w:tcPr>
          <w:p>
            <w:pPr>
              <w:pStyle w:val="TableParagraph"/>
              <w:ind w:right="390"/>
              <w:jc w:val="right"/>
              <w:rPr>
                <w:sz w:val="14"/>
              </w:rPr>
            </w:pPr>
            <w:r>
              <w:rPr>
                <w:color w:val="231F20"/>
                <w:spacing w:val="-4"/>
                <w:w w:val="95"/>
                <w:sz w:val="14"/>
              </w:rPr>
              <w:t>11.6</w:t>
            </w:r>
          </w:p>
        </w:tc>
      </w:tr>
      <w:tr>
        <w:trPr>
          <w:trHeight w:val="259" w:hRule="atLeast"/>
        </w:trPr>
        <w:tc>
          <w:tcPr>
            <w:tcW w:w="1311" w:type="dxa"/>
            <w:shd w:val="clear" w:color="auto" w:fill="D4E3F5"/>
          </w:tcPr>
          <w:p>
            <w:pPr>
              <w:pStyle w:val="TableParagraph"/>
              <w:ind w:left="80"/>
              <w:jc w:val="left"/>
              <w:rPr>
                <w:sz w:val="14"/>
              </w:rPr>
            </w:pPr>
            <w:r>
              <w:rPr>
                <w:color w:val="231F20"/>
                <w:w w:val="75"/>
                <w:sz w:val="14"/>
              </w:rPr>
              <w:t>Sri</w:t>
            </w:r>
            <w:r>
              <w:rPr>
                <w:color w:val="231F20"/>
                <w:sz w:val="14"/>
              </w:rPr>
              <w:t> </w:t>
            </w:r>
            <w:r>
              <w:rPr>
                <w:color w:val="231F20"/>
                <w:spacing w:val="-2"/>
                <w:w w:val="85"/>
                <w:sz w:val="14"/>
              </w:rPr>
              <w:t>Lanka</w:t>
            </w:r>
          </w:p>
        </w:tc>
        <w:tc>
          <w:tcPr>
            <w:tcW w:w="1150" w:type="dxa"/>
            <w:shd w:val="clear" w:color="auto" w:fill="D4E3F5"/>
          </w:tcPr>
          <w:p>
            <w:pPr>
              <w:pStyle w:val="TableParagraph"/>
              <w:ind w:right="435"/>
              <w:jc w:val="right"/>
              <w:rPr>
                <w:sz w:val="14"/>
              </w:rPr>
            </w:pPr>
            <w:r>
              <w:rPr>
                <w:color w:val="231F20"/>
                <w:spacing w:val="-2"/>
                <w:w w:val="95"/>
                <w:sz w:val="14"/>
              </w:rPr>
              <w:t>6,992</w:t>
            </w:r>
          </w:p>
        </w:tc>
        <w:tc>
          <w:tcPr>
            <w:tcW w:w="851" w:type="dxa"/>
            <w:shd w:val="clear" w:color="auto" w:fill="D4E3F5"/>
          </w:tcPr>
          <w:p>
            <w:pPr>
              <w:pStyle w:val="TableParagraph"/>
              <w:ind w:left="83" w:right="136"/>
              <w:rPr>
                <w:sz w:val="14"/>
              </w:rPr>
            </w:pPr>
            <w:r>
              <w:rPr>
                <w:color w:val="231F20"/>
                <w:spacing w:val="-5"/>
                <w:w w:val="95"/>
                <w:sz w:val="14"/>
              </w:rPr>
              <w:t>4.0</w:t>
            </w:r>
          </w:p>
        </w:tc>
        <w:tc>
          <w:tcPr>
            <w:tcW w:w="1063" w:type="dxa"/>
            <w:shd w:val="clear" w:color="auto" w:fill="D4E3F5"/>
          </w:tcPr>
          <w:p>
            <w:pPr>
              <w:pStyle w:val="TableParagraph"/>
              <w:ind w:left="79" w:right="53"/>
              <w:rPr>
                <w:sz w:val="14"/>
              </w:rPr>
            </w:pPr>
            <w:r>
              <w:rPr>
                <w:color w:val="231F20"/>
                <w:spacing w:val="-5"/>
                <w:w w:val="95"/>
                <w:sz w:val="14"/>
              </w:rPr>
              <w:t>3.5</w:t>
            </w:r>
          </w:p>
        </w:tc>
        <w:tc>
          <w:tcPr>
            <w:tcW w:w="1083" w:type="dxa"/>
            <w:shd w:val="clear" w:color="auto" w:fill="D4E3F5"/>
          </w:tcPr>
          <w:p>
            <w:pPr>
              <w:pStyle w:val="TableParagraph"/>
              <w:ind w:left="392"/>
              <w:jc w:val="left"/>
              <w:rPr>
                <w:sz w:val="14"/>
              </w:rPr>
            </w:pPr>
            <w:r>
              <w:rPr>
                <w:color w:val="231F20"/>
                <w:spacing w:val="-5"/>
                <w:w w:val="95"/>
                <w:sz w:val="14"/>
              </w:rPr>
              <w:t>2.3</w:t>
            </w:r>
          </w:p>
        </w:tc>
        <w:tc>
          <w:tcPr>
            <w:tcW w:w="751" w:type="dxa"/>
            <w:shd w:val="clear" w:color="auto" w:fill="D4E3F5"/>
          </w:tcPr>
          <w:p>
            <w:pPr>
              <w:pStyle w:val="TableParagraph"/>
              <w:ind w:left="79" w:right="45"/>
              <w:rPr>
                <w:sz w:val="14"/>
              </w:rPr>
            </w:pPr>
            <w:r>
              <w:rPr>
                <w:color w:val="231F20"/>
                <w:spacing w:val="-5"/>
                <w:w w:val="95"/>
                <w:sz w:val="14"/>
              </w:rPr>
              <w:t>5.2</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6" w:right="136"/>
              <w:rPr>
                <w:sz w:val="14"/>
              </w:rPr>
            </w:pPr>
            <w:r>
              <w:rPr>
                <w:color w:val="231F20"/>
                <w:spacing w:val="-5"/>
                <w:w w:val="95"/>
                <w:sz w:val="14"/>
              </w:rPr>
              <w:t>3.9</w:t>
            </w:r>
          </w:p>
        </w:tc>
        <w:tc>
          <w:tcPr>
            <w:tcW w:w="1064" w:type="dxa"/>
            <w:shd w:val="clear" w:color="auto" w:fill="D4E3F5"/>
          </w:tcPr>
          <w:p>
            <w:pPr>
              <w:pStyle w:val="TableParagraph"/>
              <w:ind w:left="64" w:right="37"/>
              <w:rPr>
                <w:sz w:val="14"/>
              </w:rPr>
            </w:pPr>
            <w:r>
              <w:rPr>
                <w:color w:val="231F20"/>
                <w:spacing w:val="-5"/>
                <w:w w:val="95"/>
                <w:sz w:val="14"/>
              </w:rPr>
              <w:t>3.5</w:t>
            </w:r>
          </w:p>
        </w:tc>
        <w:tc>
          <w:tcPr>
            <w:tcW w:w="948" w:type="dxa"/>
            <w:shd w:val="clear" w:color="auto" w:fill="D4E3F5"/>
          </w:tcPr>
          <w:p>
            <w:pPr>
              <w:pStyle w:val="TableParagraph"/>
              <w:ind w:left="70" w:right="60"/>
              <w:rPr>
                <w:sz w:val="14"/>
              </w:rPr>
            </w:pPr>
            <w:r>
              <w:rPr>
                <w:color w:val="231F20"/>
                <w:spacing w:val="-5"/>
                <w:w w:val="95"/>
                <w:sz w:val="14"/>
              </w:rPr>
              <w:t>2.2</w:t>
            </w:r>
          </w:p>
        </w:tc>
        <w:tc>
          <w:tcPr>
            <w:tcW w:w="1005" w:type="dxa"/>
            <w:shd w:val="clear" w:color="auto" w:fill="D4E3F5"/>
          </w:tcPr>
          <w:p>
            <w:pPr>
              <w:pStyle w:val="TableParagraph"/>
              <w:ind w:right="388"/>
              <w:jc w:val="right"/>
              <w:rPr>
                <w:sz w:val="14"/>
              </w:rPr>
            </w:pPr>
            <w:r>
              <w:rPr>
                <w:color w:val="231F20"/>
                <w:spacing w:val="-5"/>
                <w:w w:val="95"/>
                <w:sz w:val="14"/>
              </w:rPr>
              <w:t>5.2</w:t>
            </w:r>
          </w:p>
        </w:tc>
      </w:tr>
      <w:tr>
        <w:trPr>
          <w:trHeight w:val="259" w:hRule="atLeast"/>
        </w:trPr>
        <w:tc>
          <w:tcPr>
            <w:tcW w:w="1311" w:type="dxa"/>
          </w:tcPr>
          <w:p>
            <w:pPr>
              <w:pStyle w:val="TableParagraph"/>
              <w:ind w:left="80"/>
              <w:jc w:val="left"/>
              <w:rPr>
                <w:sz w:val="14"/>
              </w:rPr>
            </w:pPr>
            <w:r>
              <w:rPr>
                <w:color w:val="231F20"/>
                <w:spacing w:val="-2"/>
                <w:w w:val="85"/>
                <w:sz w:val="14"/>
              </w:rPr>
              <w:t>Sudan</w:t>
            </w:r>
          </w:p>
        </w:tc>
        <w:tc>
          <w:tcPr>
            <w:tcW w:w="1150" w:type="dxa"/>
          </w:tcPr>
          <w:p>
            <w:pPr>
              <w:pStyle w:val="TableParagraph"/>
              <w:ind w:right="435"/>
              <w:jc w:val="right"/>
              <w:rPr>
                <w:sz w:val="14"/>
              </w:rPr>
            </w:pPr>
            <w:r>
              <w:rPr>
                <w:color w:val="231F20"/>
                <w:spacing w:val="-5"/>
                <w:w w:val="95"/>
                <w:sz w:val="14"/>
              </w:rPr>
              <w:t>363</w:t>
            </w:r>
          </w:p>
        </w:tc>
        <w:tc>
          <w:tcPr>
            <w:tcW w:w="851" w:type="dxa"/>
          </w:tcPr>
          <w:p>
            <w:pPr>
              <w:pStyle w:val="TableParagraph"/>
              <w:ind w:left="19" w:right="136"/>
              <w:rPr>
                <w:sz w:val="14"/>
              </w:rPr>
            </w:pPr>
            <w:r>
              <w:rPr>
                <w:color w:val="231F20"/>
                <w:spacing w:val="-4"/>
                <w:w w:val="95"/>
                <w:sz w:val="14"/>
              </w:rPr>
              <w:t>10.8</w:t>
            </w:r>
          </w:p>
        </w:tc>
        <w:tc>
          <w:tcPr>
            <w:tcW w:w="1063" w:type="dxa"/>
          </w:tcPr>
          <w:p>
            <w:pPr>
              <w:pStyle w:val="TableParagraph"/>
              <w:ind w:left="80" w:right="53"/>
              <w:rPr>
                <w:sz w:val="14"/>
              </w:rPr>
            </w:pPr>
            <w:r>
              <w:rPr>
                <w:color w:val="231F20"/>
                <w:spacing w:val="-5"/>
                <w:w w:val="95"/>
                <w:sz w:val="14"/>
              </w:rPr>
              <w:t>7.1</w:t>
            </w:r>
          </w:p>
        </w:tc>
        <w:tc>
          <w:tcPr>
            <w:tcW w:w="1083" w:type="dxa"/>
          </w:tcPr>
          <w:p>
            <w:pPr>
              <w:pStyle w:val="TableParagraph"/>
              <w:ind w:left="392"/>
              <w:jc w:val="left"/>
              <w:rPr>
                <w:sz w:val="14"/>
              </w:rPr>
            </w:pPr>
            <w:r>
              <w:rPr>
                <w:color w:val="231F20"/>
                <w:spacing w:val="-5"/>
                <w:w w:val="95"/>
                <w:sz w:val="14"/>
              </w:rPr>
              <w:t>5.5</w:t>
            </w:r>
          </w:p>
        </w:tc>
        <w:tc>
          <w:tcPr>
            <w:tcW w:w="751" w:type="dxa"/>
          </w:tcPr>
          <w:p>
            <w:pPr>
              <w:pStyle w:val="TableParagraph"/>
              <w:ind w:left="46" w:right="71"/>
              <w:rPr>
                <w:sz w:val="14"/>
              </w:rPr>
            </w:pPr>
            <w:r>
              <w:rPr>
                <w:color w:val="231F20"/>
                <w:spacing w:val="-4"/>
                <w:w w:val="95"/>
                <w:sz w:val="14"/>
              </w:rPr>
              <w:t>13.2</w:t>
            </w:r>
          </w:p>
        </w:tc>
        <w:tc>
          <w:tcPr>
            <w:tcW w:w="240" w:type="dxa"/>
          </w:tcPr>
          <w:p>
            <w:pPr>
              <w:pStyle w:val="TableParagraph"/>
              <w:spacing w:before="0"/>
              <w:jc w:val="left"/>
              <w:rPr>
                <w:rFonts w:ascii="Times New Roman"/>
                <w:sz w:val="12"/>
              </w:rPr>
            </w:pPr>
          </w:p>
        </w:tc>
        <w:tc>
          <w:tcPr>
            <w:tcW w:w="851" w:type="dxa"/>
          </w:tcPr>
          <w:p>
            <w:pPr>
              <w:pStyle w:val="TableParagraph"/>
              <w:ind w:left="249"/>
              <w:jc w:val="left"/>
              <w:rPr>
                <w:sz w:val="14"/>
              </w:rPr>
            </w:pPr>
            <w:r>
              <w:rPr>
                <w:color w:val="231F20"/>
                <w:spacing w:val="-4"/>
                <w:w w:val="95"/>
                <w:sz w:val="14"/>
              </w:rPr>
              <w:t>10.8</w:t>
            </w:r>
          </w:p>
        </w:tc>
        <w:tc>
          <w:tcPr>
            <w:tcW w:w="1064" w:type="dxa"/>
          </w:tcPr>
          <w:p>
            <w:pPr>
              <w:pStyle w:val="TableParagraph"/>
              <w:ind w:left="65" w:right="37"/>
              <w:rPr>
                <w:sz w:val="14"/>
              </w:rPr>
            </w:pPr>
            <w:r>
              <w:rPr>
                <w:color w:val="231F20"/>
                <w:spacing w:val="-5"/>
                <w:w w:val="95"/>
                <w:sz w:val="14"/>
              </w:rPr>
              <w:t>7.1</w:t>
            </w:r>
          </w:p>
        </w:tc>
        <w:tc>
          <w:tcPr>
            <w:tcW w:w="948" w:type="dxa"/>
          </w:tcPr>
          <w:p>
            <w:pPr>
              <w:pStyle w:val="TableParagraph"/>
              <w:ind w:left="68" w:right="60"/>
              <w:rPr>
                <w:sz w:val="14"/>
              </w:rPr>
            </w:pPr>
            <w:r>
              <w:rPr>
                <w:color w:val="231F20"/>
                <w:spacing w:val="-5"/>
                <w:w w:val="95"/>
                <w:sz w:val="14"/>
              </w:rPr>
              <w:t>5.5</w:t>
            </w:r>
          </w:p>
        </w:tc>
        <w:tc>
          <w:tcPr>
            <w:tcW w:w="1005" w:type="dxa"/>
          </w:tcPr>
          <w:p>
            <w:pPr>
              <w:pStyle w:val="TableParagraph"/>
              <w:ind w:right="388"/>
              <w:jc w:val="right"/>
              <w:rPr>
                <w:sz w:val="14"/>
              </w:rPr>
            </w:pPr>
            <w:r>
              <w:rPr>
                <w:color w:val="231F20"/>
                <w:spacing w:val="-4"/>
                <w:w w:val="95"/>
                <w:sz w:val="14"/>
              </w:rPr>
              <w:t>13.2</w:t>
            </w:r>
          </w:p>
        </w:tc>
      </w:tr>
      <w:tr>
        <w:trPr>
          <w:trHeight w:val="259" w:hRule="atLeast"/>
        </w:trPr>
        <w:tc>
          <w:tcPr>
            <w:tcW w:w="1311" w:type="dxa"/>
            <w:shd w:val="clear" w:color="auto" w:fill="D4E3F5"/>
          </w:tcPr>
          <w:p>
            <w:pPr>
              <w:pStyle w:val="TableParagraph"/>
              <w:ind w:left="80"/>
              <w:jc w:val="left"/>
              <w:rPr>
                <w:sz w:val="14"/>
              </w:rPr>
            </w:pPr>
            <w:r>
              <w:rPr>
                <w:color w:val="231F20"/>
                <w:spacing w:val="-2"/>
                <w:w w:val="90"/>
                <w:sz w:val="14"/>
              </w:rPr>
              <w:t>Suriname</w:t>
            </w:r>
          </w:p>
        </w:tc>
        <w:tc>
          <w:tcPr>
            <w:tcW w:w="1150" w:type="dxa"/>
            <w:shd w:val="clear" w:color="auto" w:fill="D4E3F5"/>
          </w:tcPr>
          <w:p>
            <w:pPr>
              <w:pStyle w:val="TableParagraph"/>
              <w:ind w:right="434"/>
              <w:jc w:val="right"/>
              <w:rPr>
                <w:sz w:val="14"/>
              </w:rPr>
            </w:pPr>
            <w:r>
              <w:rPr>
                <w:color w:val="231F20"/>
                <w:spacing w:val="-5"/>
                <w:w w:val="95"/>
                <w:sz w:val="14"/>
              </w:rPr>
              <w:t>178</w:t>
            </w:r>
          </w:p>
        </w:tc>
        <w:tc>
          <w:tcPr>
            <w:tcW w:w="851" w:type="dxa"/>
            <w:shd w:val="clear" w:color="auto" w:fill="D4E3F5"/>
          </w:tcPr>
          <w:p>
            <w:pPr>
              <w:pStyle w:val="TableParagraph"/>
              <w:ind w:left="83" w:right="136"/>
              <w:rPr>
                <w:sz w:val="14"/>
              </w:rPr>
            </w:pPr>
            <w:r>
              <w:rPr>
                <w:color w:val="231F20"/>
                <w:spacing w:val="-5"/>
                <w:w w:val="95"/>
                <w:sz w:val="14"/>
              </w:rPr>
              <w:t>9.5</w:t>
            </w:r>
          </w:p>
        </w:tc>
        <w:tc>
          <w:tcPr>
            <w:tcW w:w="1063" w:type="dxa"/>
            <w:shd w:val="clear" w:color="auto" w:fill="D4E3F5"/>
          </w:tcPr>
          <w:p>
            <w:pPr>
              <w:pStyle w:val="TableParagraph"/>
              <w:ind w:left="78" w:right="53"/>
              <w:rPr>
                <w:sz w:val="14"/>
              </w:rPr>
            </w:pPr>
            <w:r>
              <w:rPr>
                <w:color w:val="231F20"/>
                <w:spacing w:val="-5"/>
                <w:w w:val="95"/>
                <w:sz w:val="14"/>
              </w:rPr>
              <w:t>8.8</w:t>
            </w:r>
          </w:p>
        </w:tc>
        <w:tc>
          <w:tcPr>
            <w:tcW w:w="1083" w:type="dxa"/>
            <w:shd w:val="clear" w:color="auto" w:fill="D4E3F5"/>
          </w:tcPr>
          <w:p>
            <w:pPr>
              <w:pStyle w:val="TableParagraph"/>
              <w:ind w:left="392"/>
              <w:jc w:val="left"/>
              <w:rPr>
                <w:sz w:val="14"/>
              </w:rPr>
            </w:pPr>
            <w:r>
              <w:rPr>
                <w:color w:val="231F20"/>
                <w:spacing w:val="-5"/>
                <w:w w:val="95"/>
                <w:sz w:val="14"/>
              </w:rPr>
              <w:t>5.7</w:t>
            </w:r>
          </w:p>
        </w:tc>
        <w:tc>
          <w:tcPr>
            <w:tcW w:w="751" w:type="dxa"/>
            <w:shd w:val="clear" w:color="auto" w:fill="D4E3F5"/>
          </w:tcPr>
          <w:p>
            <w:pPr>
              <w:pStyle w:val="TableParagraph"/>
              <w:ind w:left="46" w:right="74"/>
              <w:rPr>
                <w:sz w:val="14"/>
              </w:rPr>
            </w:pPr>
            <w:r>
              <w:rPr>
                <w:color w:val="231F20"/>
                <w:spacing w:val="-4"/>
                <w:w w:val="95"/>
                <w:sz w:val="14"/>
              </w:rPr>
              <w:t>13.0</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6" w:right="136"/>
              <w:rPr>
                <w:sz w:val="14"/>
              </w:rPr>
            </w:pPr>
            <w:r>
              <w:rPr>
                <w:color w:val="231F20"/>
                <w:spacing w:val="-5"/>
                <w:w w:val="95"/>
                <w:sz w:val="14"/>
              </w:rPr>
              <w:t>9.5</w:t>
            </w:r>
          </w:p>
        </w:tc>
        <w:tc>
          <w:tcPr>
            <w:tcW w:w="1064" w:type="dxa"/>
            <w:shd w:val="clear" w:color="auto" w:fill="D4E3F5"/>
          </w:tcPr>
          <w:p>
            <w:pPr>
              <w:pStyle w:val="TableParagraph"/>
              <w:ind w:left="64" w:right="37"/>
              <w:rPr>
                <w:sz w:val="14"/>
              </w:rPr>
            </w:pPr>
            <w:r>
              <w:rPr>
                <w:color w:val="231F20"/>
                <w:spacing w:val="-5"/>
                <w:w w:val="95"/>
                <w:sz w:val="14"/>
              </w:rPr>
              <w:t>8.8</w:t>
            </w:r>
          </w:p>
        </w:tc>
        <w:tc>
          <w:tcPr>
            <w:tcW w:w="948" w:type="dxa"/>
            <w:shd w:val="clear" w:color="auto" w:fill="D4E3F5"/>
          </w:tcPr>
          <w:p>
            <w:pPr>
              <w:pStyle w:val="TableParagraph"/>
              <w:ind w:left="69" w:right="60"/>
              <w:rPr>
                <w:sz w:val="14"/>
              </w:rPr>
            </w:pPr>
            <w:r>
              <w:rPr>
                <w:color w:val="231F20"/>
                <w:spacing w:val="-5"/>
                <w:w w:val="95"/>
                <w:sz w:val="14"/>
              </w:rPr>
              <w:t>5.6</w:t>
            </w:r>
          </w:p>
        </w:tc>
        <w:tc>
          <w:tcPr>
            <w:tcW w:w="1005" w:type="dxa"/>
            <w:shd w:val="clear" w:color="auto" w:fill="D4E3F5"/>
          </w:tcPr>
          <w:p>
            <w:pPr>
              <w:pStyle w:val="TableParagraph"/>
              <w:ind w:right="390"/>
              <w:jc w:val="right"/>
              <w:rPr>
                <w:sz w:val="14"/>
              </w:rPr>
            </w:pPr>
            <w:r>
              <w:rPr>
                <w:color w:val="231F20"/>
                <w:spacing w:val="-4"/>
                <w:w w:val="95"/>
                <w:sz w:val="14"/>
              </w:rPr>
              <w:t>13.0</w:t>
            </w:r>
          </w:p>
        </w:tc>
      </w:tr>
      <w:tr>
        <w:trPr>
          <w:trHeight w:val="259" w:hRule="atLeast"/>
        </w:trPr>
        <w:tc>
          <w:tcPr>
            <w:tcW w:w="1311" w:type="dxa"/>
          </w:tcPr>
          <w:p>
            <w:pPr>
              <w:pStyle w:val="TableParagraph"/>
              <w:ind w:left="80"/>
              <w:jc w:val="left"/>
              <w:rPr>
                <w:sz w:val="14"/>
              </w:rPr>
            </w:pPr>
            <w:r>
              <w:rPr>
                <w:color w:val="231F20"/>
                <w:spacing w:val="-2"/>
                <w:w w:val="85"/>
                <w:sz w:val="14"/>
              </w:rPr>
              <w:t>Sweden</w:t>
            </w:r>
          </w:p>
        </w:tc>
        <w:tc>
          <w:tcPr>
            <w:tcW w:w="1150" w:type="dxa"/>
          </w:tcPr>
          <w:p>
            <w:pPr>
              <w:pStyle w:val="TableParagraph"/>
              <w:ind w:right="435"/>
              <w:jc w:val="right"/>
              <w:rPr>
                <w:sz w:val="14"/>
              </w:rPr>
            </w:pPr>
            <w:r>
              <w:rPr>
                <w:color w:val="231F20"/>
                <w:spacing w:val="-2"/>
                <w:w w:val="95"/>
                <w:sz w:val="14"/>
              </w:rPr>
              <w:t>7,074</w:t>
            </w:r>
          </w:p>
        </w:tc>
        <w:tc>
          <w:tcPr>
            <w:tcW w:w="851" w:type="dxa"/>
          </w:tcPr>
          <w:p>
            <w:pPr>
              <w:pStyle w:val="TableParagraph"/>
              <w:ind w:left="92" w:right="136"/>
              <w:rPr>
                <w:sz w:val="14"/>
              </w:rPr>
            </w:pPr>
            <w:r>
              <w:rPr>
                <w:color w:val="231F20"/>
                <w:spacing w:val="-5"/>
                <w:w w:val="95"/>
                <w:sz w:val="14"/>
              </w:rPr>
              <w:t>7.7</w:t>
            </w:r>
          </w:p>
        </w:tc>
        <w:tc>
          <w:tcPr>
            <w:tcW w:w="1063" w:type="dxa"/>
          </w:tcPr>
          <w:p>
            <w:pPr>
              <w:pStyle w:val="TableParagraph"/>
              <w:ind w:left="78" w:right="53"/>
              <w:rPr>
                <w:sz w:val="14"/>
              </w:rPr>
            </w:pPr>
            <w:r>
              <w:rPr>
                <w:color w:val="231F20"/>
                <w:spacing w:val="-5"/>
                <w:w w:val="95"/>
                <w:sz w:val="14"/>
              </w:rPr>
              <w:t>6.2</w:t>
            </w:r>
          </w:p>
        </w:tc>
        <w:tc>
          <w:tcPr>
            <w:tcW w:w="1083" w:type="dxa"/>
          </w:tcPr>
          <w:p>
            <w:pPr>
              <w:pStyle w:val="TableParagraph"/>
              <w:ind w:left="393"/>
              <w:jc w:val="left"/>
              <w:rPr>
                <w:sz w:val="14"/>
              </w:rPr>
            </w:pPr>
            <w:r>
              <w:rPr>
                <w:color w:val="231F20"/>
                <w:spacing w:val="-5"/>
                <w:w w:val="95"/>
                <w:sz w:val="14"/>
              </w:rPr>
              <w:t>4.7</w:t>
            </w:r>
          </w:p>
        </w:tc>
        <w:tc>
          <w:tcPr>
            <w:tcW w:w="751" w:type="dxa"/>
          </w:tcPr>
          <w:p>
            <w:pPr>
              <w:pStyle w:val="TableParagraph"/>
              <w:ind w:left="79" w:right="45"/>
              <w:rPr>
                <w:sz w:val="14"/>
              </w:rPr>
            </w:pPr>
            <w:r>
              <w:rPr>
                <w:color w:val="231F20"/>
                <w:spacing w:val="-5"/>
                <w:w w:val="95"/>
                <w:sz w:val="14"/>
              </w:rPr>
              <w:t>9.9</w:t>
            </w:r>
          </w:p>
        </w:tc>
        <w:tc>
          <w:tcPr>
            <w:tcW w:w="240" w:type="dxa"/>
          </w:tcPr>
          <w:p>
            <w:pPr>
              <w:pStyle w:val="TableParagraph"/>
              <w:spacing w:before="0"/>
              <w:jc w:val="left"/>
              <w:rPr>
                <w:rFonts w:ascii="Times New Roman"/>
                <w:sz w:val="12"/>
              </w:rPr>
            </w:pPr>
          </w:p>
        </w:tc>
        <w:tc>
          <w:tcPr>
            <w:tcW w:w="851" w:type="dxa"/>
          </w:tcPr>
          <w:p>
            <w:pPr>
              <w:pStyle w:val="TableParagraph"/>
              <w:ind w:left="96" w:right="136"/>
              <w:rPr>
                <w:sz w:val="14"/>
              </w:rPr>
            </w:pPr>
            <w:r>
              <w:rPr>
                <w:color w:val="231F20"/>
                <w:spacing w:val="-5"/>
                <w:w w:val="95"/>
                <w:sz w:val="14"/>
              </w:rPr>
              <w:t>7.4</w:t>
            </w:r>
          </w:p>
        </w:tc>
        <w:tc>
          <w:tcPr>
            <w:tcW w:w="1064" w:type="dxa"/>
          </w:tcPr>
          <w:p>
            <w:pPr>
              <w:pStyle w:val="TableParagraph"/>
              <w:ind w:left="44" w:right="37"/>
              <w:rPr>
                <w:sz w:val="14"/>
              </w:rPr>
            </w:pPr>
            <w:r>
              <w:rPr>
                <w:color w:val="231F20"/>
                <w:spacing w:val="-5"/>
                <w:w w:val="95"/>
                <w:sz w:val="14"/>
              </w:rPr>
              <w:t>6.1</w:t>
            </w:r>
          </w:p>
        </w:tc>
        <w:tc>
          <w:tcPr>
            <w:tcW w:w="948" w:type="dxa"/>
          </w:tcPr>
          <w:p>
            <w:pPr>
              <w:pStyle w:val="TableParagraph"/>
              <w:ind w:left="67" w:right="60"/>
              <w:rPr>
                <w:sz w:val="14"/>
              </w:rPr>
            </w:pPr>
            <w:r>
              <w:rPr>
                <w:color w:val="231F20"/>
                <w:spacing w:val="-5"/>
                <w:w w:val="95"/>
                <w:sz w:val="14"/>
              </w:rPr>
              <w:t>4.4</w:t>
            </w:r>
          </w:p>
        </w:tc>
        <w:tc>
          <w:tcPr>
            <w:tcW w:w="1005" w:type="dxa"/>
          </w:tcPr>
          <w:p>
            <w:pPr>
              <w:pStyle w:val="TableParagraph"/>
              <w:ind w:right="390"/>
              <w:jc w:val="right"/>
              <w:rPr>
                <w:sz w:val="14"/>
              </w:rPr>
            </w:pPr>
            <w:r>
              <w:rPr>
                <w:color w:val="231F20"/>
                <w:spacing w:val="-5"/>
                <w:w w:val="95"/>
                <w:sz w:val="14"/>
              </w:rPr>
              <w:t>9.0</w:t>
            </w:r>
          </w:p>
        </w:tc>
      </w:tr>
      <w:tr>
        <w:trPr>
          <w:trHeight w:val="259" w:hRule="atLeast"/>
        </w:trPr>
        <w:tc>
          <w:tcPr>
            <w:tcW w:w="1311" w:type="dxa"/>
            <w:shd w:val="clear" w:color="auto" w:fill="D4E3F5"/>
          </w:tcPr>
          <w:p>
            <w:pPr>
              <w:pStyle w:val="TableParagraph"/>
              <w:ind w:left="80"/>
              <w:jc w:val="left"/>
              <w:rPr>
                <w:sz w:val="14"/>
              </w:rPr>
            </w:pPr>
            <w:r>
              <w:rPr>
                <w:color w:val="231F20"/>
                <w:spacing w:val="-2"/>
                <w:w w:val="90"/>
                <w:sz w:val="14"/>
              </w:rPr>
              <w:t>Switzerland</w:t>
            </w:r>
          </w:p>
        </w:tc>
        <w:tc>
          <w:tcPr>
            <w:tcW w:w="1150" w:type="dxa"/>
            <w:shd w:val="clear" w:color="auto" w:fill="D4E3F5"/>
          </w:tcPr>
          <w:p>
            <w:pPr>
              <w:pStyle w:val="TableParagraph"/>
              <w:ind w:right="435"/>
              <w:jc w:val="right"/>
              <w:rPr>
                <w:sz w:val="14"/>
              </w:rPr>
            </w:pPr>
            <w:r>
              <w:rPr>
                <w:color w:val="231F20"/>
                <w:spacing w:val="-5"/>
                <w:w w:val="95"/>
                <w:sz w:val="14"/>
              </w:rPr>
              <w:t>130</w:t>
            </w:r>
          </w:p>
        </w:tc>
        <w:tc>
          <w:tcPr>
            <w:tcW w:w="851" w:type="dxa"/>
            <w:shd w:val="clear" w:color="auto" w:fill="D4E3F5"/>
          </w:tcPr>
          <w:p>
            <w:pPr>
              <w:pStyle w:val="TableParagraph"/>
              <w:ind w:left="18" w:right="136"/>
              <w:rPr>
                <w:sz w:val="14"/>
              </w:rPr>
            </w:pPr>
            <w:r>
              <w:rPr>
                <w:color w:val="231F20"/>
                <w:spacing w:val="-4"/>
                <w:w w:val="95"/>
                <w:sz w:val="14"/>
              </w:rPr>
              <w:t>16.5</w:t>
            </w:r>
          </w:p>
        </w:tc>
        <w:tc>
          <w:tcPr>
            <w:tcW w:w="1063" w:type="dxa"/>
            <w:shd w:val="clear" w:color="auto" w:fill="D4E3F5"/>
          </w:tcPr>
          <w:p>
            <w:pPr>
              <w:pStyle w:val="TableParagraph"/>
              <w:ind w:left="38" w:right="74"/>
              <w:rPr>
                <w:sz w:val="14"/>
              </w:rPr>
            </w:pPr>
            <w:r>
              <w:rPr>
                <w:color w:val="231F20"/>
                <w:spacing w:val="-4"/>
                <w:w w:val="95"/>
                <w:sz w:val="14"/>
              </w:rPr>
              <w:t>12.6</w:t>
            </w:r>
          </w:p>
        </w:tc>
        <w:tc>
          <w:tcPr>
            <w:tcW w:w="1083" w:type="dxa"/>
            <w:shd w:val="clear" w:color="auto" w:fill="D4E3F5"/>
          </w:tcPr>
          <w:p>
            <w:pPr>
              <w:pStyle w:val="TableParagraph"/>
              <w:ind w:left="391"/>
              <w:jc w:val="left"/>
              <w:rPr>
                <w:sz w:val="14"/>
              </w:rPr>
            </w:pPr>
            <w:r>
              <w:rPr>
                <w:color w:val="231F20"/>
                <w:spacing w:val="-5"/>
                <w:w w:val="95"/>
                <w:sz w:val="14"/>
              </w:rPr>
              <w:t>8.7</w:t>
            </w:r>
          </w:p>
        </w:tc>
        <w:tc>
          <w:tcPr>
            <w:tcW w:w="751" w:type="dxa"/>
            <w:shd w:val="clear" w:color="auto" w:fill="D4E3F5"/>
          </w:tcPr>
          <w:p>
            <w:pPr>
              <w:pStyle w:val="TableParagraph"/>
              <w:ind w:left="46" w:right="72"/>
              <w:rPr>
                <w:sz w:val="14"/>
              </w:rPr>
            </w:pPr>
            <w:r>
              <w:rPr>
                <w:color w:val="231F20"/>
                <w:spacing w:val="-4"/>
                <w:w w:val="95"/>
                <w:sz w:val="14"/>
              </w:rPr>
              <w:t>19.8</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5" w:right="136"/>
              <w:rPr>
                <w:sz w:val="14"/>
              </w:rPr>
            </w:pPr>
            <w:r>
              <w:rPr>
                <w:color w:val="231F20"/>
                <w:spacing w:val="-5"/>
                <w:w w:val="95"/>
                <w:sz w:val="14"/>
              </w:rPr>
              <w:t>6.3</w:t>
            </w:r>
          </w:p>
        </w:tc>
        <w:tc>
          <w:tcPr>
            <w:tcW w:w="1064" w:type="dxa"/>
            <w:shd w:val="clear" w:color="auto" w:fill="D4E3F5"/>
          </w:tcPr>
          <w:p>
            <w:pPr>
              <w:pStyle w:val="TableParagraph"/>
              <w:ind w:left="57" w:right="37"/>
              <w:rPr>
                <w:sz w:val="14"/>
              </w:rPr>
            </w:pPr>
            <w:r>
              <w:rPr>
                <w:color w:val="231F20"/>
                <w:spacing w:val="-5"/>
                <w:w w:val="95"/>
                <w:sz w:val="14"/>
              </w:rPr>
              <w:t>5.7</w:t>
            </w:r>
          </w:p>
        </w:tc>
        <w:tc>
          <w:tcPr>
            <w:tcW w:w="948" w:type="dxa"/>
            <w:shd w:val="clear" w:color="auto" w:fill="D4E3F5"/>
          </w:tcPr>
          <w:p>
            <w:pPr>
              <w:pStyle w:val="TableParagraph"/>
              <w:ind w:left="69" w:right="60"/>
              <w:rPr>
                <w:sz w:val="14"/>
              </w:rPr>
            </w:pPr>
            <w:r>
              <w:rPr>
                <w:color w:val="231F20"/>
                <w:spacing w:val="-5"/>
                <w:w w:val="95"/>
                <w:sz w:val="14"/>
              </w:rPr>
              <w:t>4.0</w:t>
            </w:r>
          </w:p>
        </w:tc>
        <w:tc>
          <w:tcPr>
            <w:tcW w:w="1005" w:type="dxa"/>
            <w:shd w:val="clear" w:color="auto" w:fill="D4E3F5"/>
          </w:tcPr>
          <w:p>
            <w:pPr>
              <w:pStyle w:val="TableParagraph"/>
              <w:ind w:right="399"/>
              <w:jc w:val="right"/>
              <w:rPr>
                <w:sz w:val="14"/>
              </w:rPr>
            </w:pPr>
            <w:r>
              <w:rPr>
                <w:color w:val="231F20"/>
                <w:spacing w:val="-5"/>
                <w:w w:val="95"/>
                <w:sz w:val="14"/>
              </w:rPr>
              <w:t>7.1</w:t>
            </w:r>
          </w:p>
        </w:tc>
      </w:tr>
      <w:tr>
        <w:trPr>
          <w:trHeight w:val="259" w:hRule="atLeast"/>
        </w:trPr>
        <w:tc>
          <w:tcPr>
            <w:tcW w:w="1311" w:type="dxa"/>
          </w:tcPr>
          <w:p>
            <w:pPr>
              <w:pStyle w:val="TableParagraph"/>
              <w:ind w:left="80"/>
              <w:jc w:val="left"/>
              <w:rPr>
                <w:sz w:val="14"/>
              </w:rPr>
            </w:pPr>
            <w:r>
              <w:rPr>
                <w:color w:val="231F20"/>
                <w:w w:val="75"/>
                <w:sz w:val="14"/>
              </w:rPr>
              <w:t>Syrian</w:t>
            </w:r>
            <w:r>
              <w:rPr>
                <w:color w:val="231F20"/>
                <w:spacing w:val="9"/>
                <w:sz w:val="14"/>
              </w:rPr>
              <w:t> </w:t>
            </w:r>
            <w:r>
              <w:rPr>
                <w:color w:val="231F20"/>
                <w:w w:val="75"/>
                <w:sz w:val="14"/>
              </w:rPr>
              <w:t>Arab</w:t>
            </w:r>
            <w:r>
              <w:rPr>
                <w:color w:val="231F20"/>
                <w:spacing w:val="9"/>
                <w:sz w:val="14"/>
              </w:rPr>
              <w:t> </w:t>
            </w:r>
            <w:r>
              <w:rPr>
                <w:color w:val="231F20"/>
                <w:spacing w:val="-2"/>
                <w:w w:val="75"/>
                <w:sz w:val="14"/>
              </w:rPr>
              <w:t>Republic</w:t>
            </w:r>
          </w:p>
        </w:tc>
        <w:tc>
          <w:tcPr>
            <w:tcW w:w="1150" w:type="dxa"/>
          </w:tcPr>
          <w:p>
            <w:pPr>
              <w:pStyle w:val="TableParagraph"/>
              <w:ind w:right="430"/>
              <w:jc w:val="right"/>
              <w:rPr>
                <w:sz w:val="14"/>
              </w:rPr>
            </w:pPr>
            <w:r>
              <w:rPr>
                <w:color w:val="231F20"/>
                <w:spacing w:val="-5"/>
                <w:w w:val="95"/>
                <w:sz w:val="14"/>
              </w:rPr>
              <w:t>63</w:t>
            </w:r>
          </w:p>
        </w:tc>
        <w:tc>
          <w:tcPr>
            <w:tcW w:w="851" w:type="dxa"/>
          </w:tcPr>
          <w:p>
            <w:pPr>
              <w:pStyle w:val="TableParagraph"/>
              <w:ind w:left="83" w:right="136"/>
              <w:rPr>
                <w:sz w:val="14"/>
              </w:rPr>
            </w:pPr>
            <w:r>
              <w:rPr>
                <w:color w:val="231F20"/>
                <w:spacing w:val="-5"/>
                <w:w w:val="95"/>
                <w:sz w:val="14"/>
              </w:rPr>
              <w:t>5.6</w:t>
            </w:r>
          </w:p>
        </w:tc>
        <w:tc>
          <w:tcPr>
            <w:tcW w:w="1063" w:type="dxa"/>
          </w:tcPr>
          <w:p>
            <w:pPr>
              <w:pStyle w:val="TableParagraph"/>
              <w:ind w:left="77" w:right="53"/>
              <w:rPr>
                <w:sz w:val="14"/>
              </w:rPr>
            </w:pPr>
            <w:r>
              <w:rPr>
                <w:color w:val="231F20"/>
                <w:spacing w:val="-5"/>
                <w:w w:val="95"/>
                <w:sz w:val="14"/>
              </w:rPr>
              <w:t>5.0</w:t>
            </w:r>
          </w:p>
        </w:tc>
        <w:tc>
          <w:tcPr>
            <w:tcW w:w="1083" w:type="dxa"/>
          </w:tcPr>
          <w:p>
            <w:pPr>
              <w:pStyle w:val="TableParagraph"/>
              <w:ind w:left="392"/>
              <w:jc w:val="left"/>
              <w:rPr>
                <w:sz w:val="14"/>
              </w:rPr>
            </w:pPr>
            <w:r>
              <w:rPr>
                <w:color w:val="231F20"/>
                <w:spacing w:val="-5"/>
                <w:w w:val="95"/>
                <w:sz w:val="14"/>
              </w:rPr>
              <w:t>2.9</w:t>
            </w:r>
          </w:p>
        </w:tc>
        <w:tc>
          <w:tcPr>
            <w:tcW w:w="751" w:type="dxa"/>
          </w:tcPr>
          <w:p>
            <w:pPr>
              <w:pStyle w:val="TableParagraph"/>
              <w:ind w:left="89" w:right="45"/>
              <w:rPr>
                <w:sz w:val="14"/>
              </w:rPr>
            </w:pPr>
            <w:r>
              <w:rPr>
                <w:color w:val="231F20"/>
                <w:spacing w:val="-5"/>
                <w:w w:val="95"/>
                <w:sz w:val="14"/>
              </w:rPr>
              <w:t>7.4</w:t>
            </w:r>
          </w:p>
        </w:tc>
        <w:tc>
          <w:tcPr>
            <w:tcW w:w="240" w:type="dxa"/>
          </w:tcPr>
          <w:p>
            <w:pPr>
              <w:pStyle w:val="TableParagraph"/>
              <w:spacing w:before="0"/>
              <w:jc w:val="left"/>
              <w:rPr>
                <w:rFonts w:ascii="Times New Roman"/>
                <w:sz w:val="12"/>
              </w:rPr>
            </w:pPr>
          </w:p>
        </w:tc>
        <w:tc>
          <w:tcPr>
            <w:tcW w:w="851" w:type="dxa"/>
          </w:tcPr>
          <w:p>
            <w:pPr>
              <w:pStyle w:val="TableParagraph"/>
              <w:ind w:left="85" w:right="136"/>
              <w:rPr>
                <w:sz w:val="14"/>
              </w:rPr>
            </w:pPr>
            <w:r>
              <w:rPr>
                <w:color w:val="231F20"/>
                <w:spacing w:val="-5"/>
                <w:w w:val="95"/>
                <w:sz w:val="14"/>
              </w:rPr>
              <w:t>5.6</w:t>
            </w:r>
          </w:p>
        </w:tc>
        <w:tc>
          <w:tcPr>
            <w:tcW w:w="1064" w:type="dxa"/>
          </w:tcPr>
          <w:p>
            <w:pPr>
              <w:pStyle w:val="TableParagraph"/>
              <w:ind w:left="63" w:right="37"/>
              <w:rPr>
                <w:sz w:val="14"/>
              </w:rPr>
            </w:pPr>
            <w:r>
              <w:rPr>
                <w:color w:val="231F20"/>
                <w:spacing w:val="-5"/>
                <w:w w:val="95"/>
                <w:sz w:val="14"/>
              </w:rPr>
              <w:t>5.0</w:t>
            </w:r>
          </w:p>
        </w:tc>
        <w:tc>
          <w:tcPr>
            <w:tcW w:w="948" w:type="dxa"/>
          </w:tcPr>
          <w:p>
            <w:pPr>
              <w:pStyle w:val="TableParagraph"/>
              <w:ind w:left="68" w:right="60"/>
              <w:rPr>
                <w:sz w:val="14"/>
              </w:rPr>
            </w:pPr>
            <w:r>
              <w:rPr>
                <w:color w:val="231F20"/>
                <w:spacing w:val="-5"/>
                <w:w w:val="95"/>
                <w:sz w:val="14"/>
              </w:rPr>
              <w:t>2.9</w:t>
            </w:r>
          </w:p>
        </w:tc>
        <w:tc>
          <w:tcPr>
            <w:tcW w:w="1005" w:type="dxa"/>
          </w:tcPr>
          <w:p>
            <w:pPr>
              <w:pStyle w:val="TableParagraph"/>
              <w:ind w:right="391"/>
              <w:jc w:val="right"/>
              <w:rPr>
                <w:sz w:val="14"/>
              </w:rPr>
            </w:pPr>
            <w:r>
              <w:rPr>
                <w:color w:val="231F20"/>
                <w:spacing w:val="-5"/>
                <w:w w:val="95"/>
                <w:sz w:val="14"/>
              </w:rPr>
              <w:t>7.4</w:t>
            </w:r>
          </w:p>
        </w:tc>
      </w:tr>
      <w:tr>
        <w:trPr>
          <w:trHeight w:val="259" w:hRule="atLeast"/>
        </w:trPr>
        <w:tc>
          <w:tcPr>
            <w:tcW w:w="1311" w:type="dxa"/>
            <w:shd w:val="clear" w:color="auto" w:fill="D4E3F5"/>
          </w:tcPr>
          <w:p>
            <w:pPr>
              <w:pStyle w:val="TableParagraph"/>
              <w:ind w:left="80"/>
              <w:jc w:val="left"/>
              <w:rPr>
                <w:sz w:val="14"/>
              </w:rPr>
            </w:pPr>
            <w:r>
              <w:rPr>
                <w:color w:val="231F20"/>
                <w:w w:val="75"/>
                <w:sz w:val="14"/>
              </w:rPr>
              <w:t>Taiwan,</w:t>
            </w:r>
            <w:r>
              <w:rPr>
                <w:color w:val="231F20"/>
                <w:spacing w:val="7"/>
                <w:sz w:val="14"/>
              </w:rPr>
              <w:t> </w:t>
            </w:r>
            <w:r>
              <w:rPr>
                <w:color w:val="231F20"/>
                <w:spacing w:val="-2"/>
                <w:w w:val="90"/>
                <w:sz w:val="14"/>
              </w:rPr>
              <w:t>China</w:t>
            </w:r>
          </w:p>
        </w:tc>
        <w:tc>
          <w:tcPr>
            <w:tcW w:w="1150" w:type="dxa"/>
            <w:shd w:val="clear" w:color="auto" w:fill="D4E3F5"/>
          </w:tcPr>
          <w:p>
            <w:pPr>
              <w:pStyle w:val="TableParagraph"/>
              <w:ind w:right="435"/>
              <w:jc w:val="right"/>
              <w:rPr>
                <w:sz w:val="14"/>
              </w:rPr>
            </w:pPr>
            <w:r>
              <w:rPr>
                <w:color w:val="231F20"/>
                <w:spacing w:val="-2"/>
                <w:w w:val="95"/>
                <w:sz w:val="14"/>
              </w:rPr>
              <w:t>17,613</w:t>
            </w:r>
          </w:p>
        </w:tc>
        <w:tc>
          <w:tcPr>
            <w:tcW w:w="851" w:type="dxa"/>
            <w:shd w:val="clear" w:color="auto" w:fill="D4E3F5"/>
          </w:tcPr>
          <w:p>
            <w:pPr>
              <w:pStyle w:val="TableParagraph"/>
              <w:ind w:left="64" w:right="136"/>
              <w:rPr>
                <w:sz w:val="14"/>
              </w:rPr>
            </w:pPr>
            <w:r>
              <w:rPr>
                <w:color w:val="231F20"/>
                <w:spacing w:val="-5"/>
                <w:w w:val="95"/>
                <w:sz w:val="14"/>
              </w:rPr>
              <w:t>6.1</w:t>
            </w:r>
          </w:p>
        </w:tc>
        <w:tc>
          <w:tcPr>
            <w:tcW w:w="1063" w:type="dxa"/>
            <w:shd w:val="clear" w:color="auto" w:fill="D4E3F5"/>
          </w:tcPr>
          <w:p>
            <w:pPr>
              <w:pStyle w:val="TableParagraph"/>
              <w:ind w:left="77" w:right="53"/>
              <w:rPr>
                <w:sz w:val="14"/>
              </w:rPr>
            </w:pPr>
            <w:r>
              <w:rPr>
                <w:color w:val="231F20"/>
                <w:spacing w:val="-5"/>
                <w:w w:val="95"/>
                <w:sz w:val="14"/>
              </w:rPr>
              <w:t>5.3</w:t>
            </w:r>
          </w:p>
        </w:tc>
        <w:tc>
          <w:tcPr>
            <w:tcW w:w="1083" w:type="dxa"/>
            <w:shd w:val="clear" w:color="auto" w:fill="D4E3F5"/>
          </w:tcPr>
          <w:p>
            <w:pPr>
              <w:pStyle w:val="TableParagraph"/>
              <w:ind w:left="391"/>
              <w:jc w:val="left"/>
              <w:rPr>
                <w:sz w:val="14"/>
              </w:rPr>
            </w:pPr>
            <w:r>
              <w:rPr>
                <w:color w:val="231F20"/>
                <w:spacing w:val="-5"/>
                <w:w w:val="95"/>
                <w:sz w:val="14"/>
              </w:rPr>
              <w:t>3.8</w:t>
            </w:r>
          </w:p>
        </w:tc>
        <w:tc>
          <w:tcPr>
            <w:tcW w:w="751" w:type="dxa"/>
            <w:shd w:val="clear" w:color="auto" w:fill="D4E3F5"/>
          </w:tcPr>
          <w:p>
            <w:pPr>
              <w:pStyle w:val="TableParagraph"/>
              <w:ind w:left="90" w:right="45"/>
              <w:rPr>
                <w:sz w:val="14"/>
              </w:rPr>
            </w:pPr>
            <w:r>
              <w:rPr>
                <w:color w:val="231F20"/>
                <w:spacing w:val="-5"/>
                <w:w w:val="95"/>
                <w:sz w:val="14"/>
              </w:rPr>
              <w:t>7.6</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66" w:right="136"/>
              <w:rPr>
                <w:sz w:val="14"/>
              </w:rPr>
            </w:pPr>
            <w:r>
              <w:rPr>
                <w:color w:val="231F20"/>
                <w:spacing w:val="-5"/>
                <w:w w:val="95"/>
                <w:sz w:val="14"/>
              </w:rPr>
              <w:t>5.1</w:t>
            </w:r>
          </w:p>
        </w:tc>
        <w:tc>
          <w:tcPr>
            <w:tcW w:w="1064" w:type="dxa"/>
            <w:shd w:val="clear" w:color="auto" w:fill="D4E3F5"/>
          </w:tcPr>
          <w:p>
            <w:pPr>
              <w:pStyle w:val="TableParagraph"/>
              <w:ind w:left="64" w:right="37"/>
              <w:rPr>
                <w:sz w:val="14"/>
              </w:rPr>
            </w:pPr>
            <w:r>
              <w:rPr>
                <w:color w:val="231F20"/>
                <w:spacing w:val="-5"/>
                <w:w w:val="95"/>
                <w:sz w:val="14"/>
              </w:rPr>
              <w:t>4.5</w:t>
            </w:r>
          </w:p>
        </w:tc>
        <w:tc>
          <w:tcPr>
            <w:tcW w:w="948" w:type="dxa"/>
            <w:shd w:val="clear" w:color="auto" w:fill="D4E3F5"/>
          </w:tcPr>
          <w:p>
            <w:pPr>
              <w:pStyle w:val="TableParagraph"/>
              <w:ind w:left="68" w:right="60"/>
              <w:rPr>
                <w:sz w:val="14"/>
              </w:rPr>
            </w:pPr>
            <w:r>
              <w:rPr>
                <w:color w:val="231F20"/>
                <w:spacing w:val="-5"/>
                <w:w w:val="95"/>
                <w:sz w:val="14"/>
              </w:rPr>
              <w:t>2.9</w:t>
            </w:r>
          </w:p>
        </w:tc>
        <w:tc>
          <w:tcPr>
            <w:tcW w:w="1005" w:type="dxa"/>
            <w:shd w:val="clear" w:color="auto" w:fill="D4E3F5"/>
          </w:tcPr>
          <w:p>
            <w:pPr>
              <w:pStyle w:val="TableParagraph"/>
              <w:ind w:right="389"/>
              <w:jc w:val="right"/>
              <w:rPr>
                <w:sz w:val="14"/>
              </w:rPr>
            </w:pPr>
            <w:r>
              <w:rPr>
                <w:color w:val="231F20"/>
                <w:spacing w:val="-5"/>
                <w:w w:val="95"/>
                <w:sz w:val="14"/>
              </w:rPr>
              <w:t>6.6</w:t>
            </w:r>
          </w:p>
        </w:tc>
      </w:tr>
      <w:tr>
        <w:trPr>
          <w:trHeight w:val="259" w:hRule="atLeast"/>
        </w:trPr>
        <w:tc>
          <w:tcPr>
            <w:tcW w:w="1311" w:type="dxa"/>
          </w:tcPr>
          <w:p>
            <w:pPr>
              <w:pStyle w:val="TableParagraph"/>
              <w:ind w:left="80"/>
              <w:jc w:val="left"/>
              <w:rPr>
                <w:sz w:val="14"/>
              </w:rPr>
            </w:pPr>
            <w:r>
              <w:rPr>
                <w:color w:val="231F20"/>
                <w:spacing w:val="-2"/>
                <w:w w:val="85"/>
                <w:sz w:val="14"/>
              </w:rPr>
              <w:t>Tanzania</w:t>
            </w:r>
          </w:p>
        </w:tc>
        <w:tc>
          <w:tcPr>
            <w:tcW w:w="1150" w:type="dxa"/>
          </w:tcPr>
          <w:p>
            <w:pPr>
              <w:pStyle w:val="TableParagraph"/>
              <w:ind w:right="436"/>
              <w:jc w:val="right"/>
              <w:rPr>
                <w:sz w:val="14"/>
              </w:rPr>
            </w:pPr>
            <w:r>
              <w:rPr>
                <w:color w:val="231F20"/>
                <w:spacing w:val="-2"/>
                <w:w w:val="95"/>
                <w:sz w:val="14"/>
              </w:rPr>
              <w:t>2,410</w:t>
            </w:r>
          </w:p>
        </w:tc>
        <w:tc>
          <w:tcPr>
            <w:tcW w:w="851" w:type="dxa"/>
          </w:tcPr>
          <w:p>
            <w:pPr>
              <w:pStyle w:val="TableParagraph"/>
              <w:ind w:left="95" w:right="136"/>
              <w:rPr>
                <w:sz w:val="14"/>
              </w:rPr>
            </w:pPr>
            <w:r>
              <w:rPr>
                <w:color w:val="231F20"/>
                <w:spacing w:val="-5"/>
                <w:w w:val="95"/>
                <w:sz w:val="14"/>
              </w:rPr>
              <w:t>7.3</w:t>
            </w:r>
          </w:p>
        </w:tc>
        <w:tc>
          <w:tcPr>
            <w:tcW w:w="1063" w:type="dxa"/>
          </w:tcPr>
          <w:p>
            <w:pPr>
              <w:pStyle w:val="TableParagraph"/>
              <w:ind w:left="75" w:right="53"/>
              <w:rPr>
                <w:sz w:val="14"/>
              </w:rPr>
            </w:pPr>
            <w:r>
              <w:rPr>
                <w:color w:val="231F20"/>
                <w:spacing w:val="-5"/>
                <w:w w:val="95"/>
                <w:sz w:val="14"/>
              </w:rPr>
              <w:t>5.4</w:t>
            </w:r>
          </w:p>
        </w:tc>
        <w:tc>
          <w:tcPr>
            <w:tcW w:w="1083" w:type="dxa"/>
          </w:tcPr>
          <w:p>
            <w:pPr>
              <w:pStyle w:val="TableParagraph"/>
              <w:ind w:left="391"/>
              <w:jc w:val="left"/>
              <w:rPr>
                <w:sz w:val="14"/>
              </w:rPr>
            </w:pPr>
            <w:r>
              <w:rPr>
                <w:color w:val="231F20"/>
                <w:spacing w:val="-5"/>
                <w:w w:val="95"/>
                <w:sz w:val="14"/>
              </w:rPr>
              <w:t>3.8</w:t>
            </w:r>
          </w:p>
        </w:tc>
        <w:tc>
          <w:tcPr>
            <w:tcW w:w="751" w:type="dxa"/>
          </w:tcPr>
          <w:p>
            <w:pPr>
              <w:pStyle w:val="TableParagraph"/>
              <w:ind w:left="91" w:right="45"/>
              <w:rPr>
                <w:sz w:val="14"/>
              </w:rPr>
            </w:pPr>
            <w:r>
              <w:rPr>
                <w:color w:val="231F20"/>
                <w:spacing w:val="-5"/>
                <w:w w:val="95"/>
                <w:sz w:val="14"/>
              </w:rPr>
              <w:t>7.9</w:t>
            </w:r>
          </w:p>
        </w:tc>
        <w:tc>
          <w:tcPr>
            <w:tcW w:w="240" w:type="dxa"/>
          </w:tcPr>
          <w:p>
            <w:pPr>
              <w:pStyle w:val="TableParagraph"/>
              <w:spacing w:before="0"/>
              <w:jc w:val="left"/>
              <w:rPr>
                <w:rFonts w:ascii="Times New Roman"/>
                <w:sz w:val="12"/>
              </w:rPr>
            </w:pPr>
          </w:p>
        </w:tc>
        <w:tc>
          <w:tcPr>
            <w:tcW w:w="851" w:type="dxa"/>
          </w:tcPr>
          <w:p>
            <w:pPr>
              <w:pStyle w:val="TableParagraph"/>
              <w:ind w:left="99" w:right="136"/>
              <w:rPr>
                <w:sz w:val="14"/>
              </w:rPr>
            </w:pPr>
            <w:r>
              <w:rPr>
                <w:color w:val="231F20"/>
                <w:spacing w:val="-5"/>
                <w:w w:val="95"/>
                <w:sz w:val="14"/>
              </w:rPr>
              <w:t>7.2</w:t>
            </w:r>
          </w:p>
        </w:tc>
        <w:tc>
          <w:tcPr>
            <w:tcW w:w="1064" w:type="dxa"/>
          </w:tcPr>
          <w:p>
            <w:pPr>
              <w:pStyle w:val="TableParagraph"/>
              <w:ind w:left="60" w:right="37"/>
              <w:rPr>
                <w:sz w:val="14"/>
              </w:rPr>
            </w:pPr>
            <w:r>
              <w:rPr>
                <w:color w:val="231F20"/>
                <w:spacing w:val="-5"/>
                <w:w w:val="95"/>
                <w:sz w:val="14"/>
              </w:rPr>
              <w:t>5.4</w:t>
            </w:r>
          </w:p>
        </w:tc>
        <w:tc>
          <w:tcPr>
            <w:tcW w:w="948" w:type="dxa"/>
          </w:tcPr>
          <w:p>
            <w:pPr>
              <w:pStyle w:val="TableParagraph"/>
              <w:ind w:left="70" w:right="60"/>
              <w:rPr>
                <w:sz w:val="14"/>
              </w:rPr>
            </w:pPr>
            <w:r>
              <w:rPr>
                <w:color w:val="231F20"/>
                <w:spacing w:val="-5"/>
                <w:w w:val="95"/>
                <w:sz w:val="14"/>
              </w:rPr>
              <w:t>3.8</w:t>
            </w:r>
          </w:p>
        </w:tc>
        <w:tc>
          <w:tcPr>
            <w:tcW w:w="1005" w:type="dxa"/>
          </w:tcPr>
          <w:p>
            <w:pPr>
              <w:pStyle w:val="TableParagraph"/>
              <w:ind w:right="389"/>
              <w:jc w:val="right"/>
              <w:rPr>
                <w:sz w:val="14"/>
              </w:rPr>
            </w:pPr>
            <w:r>
              <w:rPr>
                <w:color w:val="231F20"/>
                <w:spacing w:val="-5"/>
                <w:w w:val="95"/>
                <w:sz w:val="14"/>
              </w:rPr>
              <w:t>7.8</w:t>
            </w:r>
          </w:p>
        </w:tc>
      </w:tr>
      <w:tr>
        <w:trPr>
          <w:trHeight w:val="259" w:hRule="atLeast"/>
        </w:trPr>
        <w:tc>
          <w:tcPr>
            <w:tcW w:w="1311" w:type="dxa"/>
            <w:shd w:val="clear" w:color="auto" w:fill="D4E3F5"/>
          </w:tcPr>
          <w:p>
            <w:pPr>
              <w:pStyle w:val="TableParagraph"/>
              <w:ind w:left="79"/>
              <w:jc w:val="left"/>
              <w:rPr>
                <w:sz w:val="14"/>
              </w:rPr>
            </w:pPr>
            <w:r>
              <w:rPr>
                <w:color w:val="231F20"/>
                <w:spacing w:val="-2"/>
                <w:w w:val="90"/>
                <w:sz w:val="14"/>
              </w:rPr>
              <w:t>Thailand</w:t>
            </w:r>
          </w:p>
        </w:tc>
        <w:tc>
          <w:tcPr>
            <w:tcW w:w="1150" w:type="dxa"/>
            <w:shd w:val="clear" w:color="auto" w:fill="D4E3F5"/>
          </w:tcPr>
          <w:p>
            <w:pPr>
              <w:pStyle w:val="TableParagraph"/>
              <w:ind w:right="429"/>
              <w:jc w:val="right"/>
              <w:rPr>
                <w:sz w:val="14"/>
              </w:rPr>
            </w:pPr>
            <w:r>
              <w:rPr>
                <w:color w:val="231F20"/>
                <w:spacing w:val="-2"/>
                <w:w w:val="95"/>
                <w:sz w:val="14"/>
              </w:rPr>
              <w:t>48,034</w:t>
            </w:r>
          </w:p>
        </w:tc>
        <w:tc>
          <w:tcPr>
            <w:tcW w:w="851" w:type="dxa"/>
            <w:shd w:val="clear" w:color="auto" w:fill="D4E3F5"/>
          </w:tcPr>
          <w:p>
            <w:pPr>
              <w:pStyle w:val="TableParagraph"/>
              <w:ind w:left="82" w:right="136"/>
              <w:rPr>
                <w:sz w:val="14"/>
              </w:rPr>
            </w:pPr>
            <w:r>
              <w:rPr>
                <w:color w:val="231F20"/>
                <w:spacing w:val="-5"/>
                <w:w w:val="95"/>
                <w:sz w:val="14"/>
              </w:rPr>
              <w:t>5.8</w:t>
            </w:r>
          </w:p>
        </w:tc>
        <w:tc>
          <w:tcPr>
            <w:tcW w:w="1063" w:type="dxa"/>
            <w:shd w:val="clear" w:color="auto" w:fill="D4E3F5"/>
          </w:tcPr>
          <w:p>
            <w:pPr>
              <w:pStyle w:val="TableParagraph"/>
              <w:ind w:left="58" w:right="53"/>
              <w:rPr>
                <w:sz w:val="14"/>
              </w:rPr>
            </w:pPr>
            <w:r>
              <w:rPr>
                <w:color w:val="231F20"/>
                <w:spacing w:val="-5"/>
                <w:w w:val="95"/>
                <w:sz w:val="14"/>
              </w:rPr>
              <w:t>5.1</w:t>
            </w:r>
          </w:p>
        </w:tc>
        <w:tc>
          <w:tcPr>
            <w:tcW w:w="1083" w:type="dxa"/>
            <w:shd w:val="clear" w:color="auto" w:fill="D4E3F5"/>
          </w:tcPr>
          <w:p>
            <w:pPr>
              <w:pStyle w:val="TableParagraph"/>
              <w:ind w:left="391"/>
              <w:jc w:val="left"/>
              <w:rPr>
                <w:sz w:val="14"/>
              </w:rPr>
            </w:pPr>
            <w:r>
              <w:rPr>
                <w:color w:val="231F20"/>
                <w:spacing w:val="-5"/>
                <w:w w:val="95"/>
                <w:sz w:val="14"/>
              </w:rPr>
              <w:t>3.5</w:t>
            </w:r>
          </w:p>
        </w:tc>
        <w:tc>
          <w:tcPr>
            <w:tcW w:w="751" w:type="dxa"/>
            <w:shd w:val="clear" w:color="auto" w:fill="D4E3F5"/>
          </w:tcPr>
          <w:p>
            <w:pPr>
              <w:pStyle w:val="TableParagraph"/>
              <w:ind w:left="89" w:right="45"/>
              <w:rPr>
                <w:sz w:val="14"/>
              </w:rPr>
            </w:pPr>
            <w:r>
              <w:rPr>
                <w:color w:val="231F20"/>
                <w:spacing w:val="-5"/>
                <w:w w:val="95"/>
                <w:sz w:val="14"/>
              </w:rPr>
              <w:t>7.4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66" w:right="136"/>
              <w:rPr>
                <w:sz w:val="14"/>
              </w:rPr>
            </w:pPr>
            <w:r>
              <w:rPr>
                <w:color w:val="231F20"/>
                <w:spacing w:val="-5"/>
                <w:w w:val="95"/>
                <w:sz w:val="14"/>
              </w:rPr>
              <w:t>5.1</w:t>
            </w:r>
          </w:p>
        </w:tc>
        <w:tc>
          <w:tcPr>
            <w:tcW w:w="1064" w:type="dxa"/>
            <w:shd w:val="clear" w:color="auto" w:fill="D4E3F5"/>
          </w:tcPr>
          <w:p>
            <w:pPr>
              <w:pStyle w:val="TableParagraph"/>
              <w:ind w:left="64" w:right="37"/>
              <w:rPr>
                <w:sz w:val="14"/>
              </w:rPr>
            </w:pPr>
            <w:r>
              <w:rPr>
                <w:color w:val="231F20"/>
                <w:spacing w:val="-5"/>
                <w:w w:val="95"/>
                <w:sz w:val="14"/>
              </w:rPr>
              <w:t>4.5</w:t>
            </w:r>
          </w:p>
        </w:tc>
        <w:tc>
          <w:tcPr>
            <w:tcW w:w="948" w:type="dxa"/>
            <w:shd w:val="clear" w:color="auto" w:fill="D4E3F5"/>
          </w:tcPr>
          <w:p>
            <w:pPr>
              <w:pStyle w:val="TableParagraph"/>
              <w:ind w:left="68" w:right="60"/>
              <w:rPr>
                <w:sz w:val="14"/>
              </w:rPr>
            </w:pPr>
            <w:r>
              <w:rPr>
                <w:color w:val="231F20"/>
                <w:spacing w:val="-5"/>
                <w:w w:val="95"/>
                <w:sz w:val="14"/>
              </w:rPr>
              <w:t>3.0</w:t>
            </w:r>
          </w:p>
        </w:tc>
        <w:tc>
          <w:tcPr>
            <w:tcW w:w="1005" w:type="dxa"/>
            <w:shd w:val="clear" w:color="auto" w:fill="D4E3F5"/>
          </w:tcPr>
          <w:p>
            <w:pPr>
              <w:pStyle w:val="TableParagraph"/>
              <w:ind w:right="389"/>
              <w:jc w:val="right"/>
              <w:rPr>
                <w:sz w:val="14"/>
              </w:rPr>
            </w:pPr>
            <w:r>
              <w:rPr>
                <w:color w:val="231F20"/>
                <w:spacing w:val="-5"/>
                <w:w w:val="95"/>
                <w:sz w:val="14"/>
              </w:rPr>
              <w:t>6.5</w:t>
            </w:r>
          </w:p>
        </w:tc>
      </w:tr>
      <w:tr>
        <w:trPr>
          <w:trHeight w:val="259" w:hRule="atLeast"/>
        </w:trPr>
        <w:tc>
          <w:tcPr>
            <w:tcW w:w="1311" w:type="dxa"/>
          </w:tcPr>
          <w:p>
            <w:pPr>
              <w:pStyle w:val="TableParagraph"/>
              <w:ind w:left="79"/>
              <w:jc w:val="left"/>
              <w:rPr>
                <w:sz w:val="14"/>
              </w:rPr>
            </w:pPr>
            <w:r>
              <w:rPr>
                <w:color w:val="231F20"/>
                <w:spacing w:val="-4"/>
                <w:w w:val="85"/>
                <w:sz w:val="14"/>
              </w:rPr>
              <w:t>Togo</w:t>
            </w:r>
          </w:p>
        </w:tc>
        <w:tc>
          <w:tcPr>
            <w:tcW w:w="1150" w:type="dxa"/>
          </w:tcPr>
          <w:p>
            <w:pPr>
              <w:pStyle w:val="TableParagraph"/>
              <w:ind w:right="432"/>
              <w:jc w:val="right"/>
              <w:rPr>
                <w:sz w:val="14"/>
              </w:rPr>
            </w:pPr>
            <w:r>
              <w:rPr>
                <w:color w:val="231F20"/>
                <w:spacing w:val="-5"/>
                <w:w w:val="95"/>
                <w:sz w:val="14"/>
              </w:rPr>
              <w:t>279</w:t>
            </w:r>
          </w:p>
        </w:tc>
        <w:tc>
          <w:tcPr>
            <w:tcW w:w="851" w:type="dxa"/>
          </w:tcPr>
          <w:p>
            <w:pPr>
              <w:pStyle w:val="TableParagraph"/>
              <w:ind w:left="33" w:right="136"/>
              <w:rPr>
                <w:sz w:val="14"/>
              </w:rPr>
            </w:pPr>
            <w:r>
              <w:rPr>
                <w:color w:val="231F20"/>
                <w:spacing w:val="-4"/>
                <w:w w:val="95"/>
                <w:sz w:val="14"/>
              </w:rPr>
              <w:t>17.8</w:t>
            </w:r>
          </w:p>
        </w:tc>
        <w:tc>
          <w:tcPr>
            <w:tcW w:w="1063" w:type="dxa"/>
          </w:tcPr>
          <w:p>
            <w:pPr>
              <w:pStyle w:val="TableParagraph"/>
              <w:ind w:left="38" w:right="75"/>
              <w:rPr>
                <w:sz w:val="14"/>
              </w:rPr>
            </w:pPr>
            <w:r>
              <w:rPr>
                <w:color w:val="231F20"/>
                <w:spacing w:val="-4"/>
                <w:w w:val="95"/>
                <w:sz w:val="14"/>
              </w:rPr>
              <w:t>15.6</w:t>
            </w:r>
          </w:p>
        </w:tc>
        <w:tc>
          <w:tcPr>
            <w:tcW w:w="1083" w:type="dxa"/>
          </w:tcPr>
          <w:p>
            <w:pPr>
              <w:pStyle w:val="TableParagraph"/>
              <w:ind w:left="339"/>
              <w:jc w:val="left"/>
              <w:rPr>
                <w:sz w:val="14"/>
              </w:rPr>
            </w:pPr>
            <w:r>
              <w:rPr>
                <w:color w:val="231F20"/>
                <w:spacing w:val="-4"/>
                <w:w w:val="95"/>
                <w:sz w:val="14"/>
              </w:rPr>
              <w:t>11.7</w:t>
            </w:r>
          </w:p>
        </w:tc>
        <w:tc>
          <w:tcPr>
            <w:tcW w:w="751" w:type="dxa"/>
          </w:tcPr>
          <w:p>
            <w:pPr>
              <w:pStyle w:val="TableParagraph"/>
              <w:ind w:left="46" w:right="72"/>
              <w:rPr>
                <w:sz w:val="14"/>
              </w:rPr>
            </w:pPr>
            <w:r>
              <w:rPr>
                <w:color w:val="231F20"/>
                <w:spacing w:val="-4"/>
                <w:w w:val="95"/>
                <w:sz w:val="14"/>
              </w:rPr>
              <w:t>21.5</w:t>
            </w:r>
          </w:p>
        </w:tc>
        <w:tc>
          <w:tcPr>
            <w:tcW w:w="240" w:type="dxa"/>
          </w:tcPr>
          <w:p>
            <w:pPr>
              <w:pStyle w:val="TableParagraph"/>
              <w:spacing w:before="0"/>
              <w:jc w:val="left"/>
              <w:rPr>
                <w:rFonts w:ascii="Times New Roman"/>
                <w:sz w:val="12"/>
              </w:rPr>
            </w:pPr>
          </w:p>
        </w:tc>
        <w:tc>
          <w:tcPr>
            <w:tcW w:w="851" w:type="dxa"/>
          </w:tcPr>
          <w:p>
            <w:pPr>
              <w:pStyle w:val="TableParagraph"/>
              <w:ind w:left="263"/>
              <w:jc w:val="left"/>
              <w:rPr>
                <w:sz w:val="14"/>
              </w:rPr>
            </w:pPr>
            <w:r>
              <w:rPr>
                <w:color w:val="231F20"/>
                <w:spacing w:val="-4"/>
                <w:w w:val="95"/>
                <w:sz w:val="14"/>
              </w:rPr>
              <w:t>17.8</w:t>
            </w:r>
          </w:p>
        </w:tc>
        <w:tc>
          <w:tcPr>
            <w:tcW w:w="1064" w:type="dxa"/>
          </w:tcPr>
          <w:p>
            <w:pPr>
              <w:pStyle w:val="TableParagraph"/>
              <w:ind w:left="40" w:right="74"/>
              <w:rPr>
                <w:sz w:val="14"/>
              </w:rPr>
            </w:pPr>
            <w:r>
              <w:rPr>
                <w:color w:val="231F20"/>
                <w:spacing w:val="-4"/>
                <w:w w:val="95"/>
                <w:sz w:val="14"/>
              </w:rPr>
              <w:t>15.3</w:t>
            </w:r>
          </w:p>
        </w:tc>
        <w:tc>
          <w:tcPr>
            <w:tcW w:w="948" w:type="dxa"/>
          </w:tcPr>
          <w:p>
            <w:pPr>
              <w:pStyle w:val="TableParagraph"/>
              <w:ind w:left="39" w:right="84"/>
              <w:rPr>
                <w:sz w:val="14"/>
              </w:rPr>
            </w:pPr>
            <w:r>
              <w:rPr>
                <w:color w:val="231F20"/>
                <w:spacing w:val="-4"/>
                <w:w w:val="95"/>
                <w:sz w:val="14"/>
              </w:rPr>
              <w:t>11.7</w:t>
            </w:r>
          </w:p>
        </w:tc>
        <w:tc>
          <w:tcPr>
            <w:tcW w:w="1005" w:type="dxa"/>
          </w:tcPr>
          <w:p>
            <w:pPr>
              <w:pStyle w:val="TableParagraph"/>
              <w:ind w:right="390"/>
              <w:jc w:val="right"/>
              <w:rPr>
                <w:sz w:val="14"/>
              </w:rPr>
            </w:pPr>
            <w:r>
              <w:rPr>
                <w:color w:val="231F20"/>
                <w:spacing w:val="-4"/>
                <w:w w:val="95"/>
                <w:sz w:val="14"/>
              </w:rPr>
              <w:t>21.0</w:t>
            </w:r>
          </w:p>
        </w:tc>
      </w:tr>
      <w:tr>
        <w:trPr>
          <w:trHeight w:val="259" w:hRule="atLeast"/>
        </w:trPr>
        <w:tc>
          <w:tcPr>
            <w:tcW w:w="1311" w:type="dxa"/>
            <w:shd w:val="clear" w:color="auto" w:fill="D4E3F5"/>
          </w:tcPr>
          <w:p>
            <w:pPr>
              <w:pStyle w:val="TableParagraph"/>
              <w:ind w:left="79"/>
              <w:jc w:val="left"/>
              <w:rPr>
                <w:sz w:val="14"/>
              </w:rPr>
            </w:pPr>
            <w:r>
              <w:rPr>
                <w:color w:val="231F20"/>
                <w:w w:val="75"/>
                <w:sz w:val="14"/>
              </w:rPr>
              <w:t>Trinidad</w:t>
            </w:r>
            <w:r>
              <w:rPr>
                <w:color w:val="231F20"/>
                <w:spacing w:val="6"/>
                <w:sz w:val="14"/>
              </w:rPr>
              <w:t> </w:t>
            </w:r>
            <w:r>
              <w:rPr>
                <w:color w:val="231F20"/>
                <w:w w:val="75"/>
                <w:sz w:val="14"/>
              </w:rPr>
              <w:t>and</w:t>
            </w:r>
            <w:r>
              <w:rPr>
                <w:color w:val="231F20"/>
                <w:spacing w:val="6"/>
                <w:sz w:val="14"/>
              </w:rPr>
              <w:t> </w:t>
            </w:r>
            <w:r>
              <w:rPr>
                <w:color w:val="231F20"/>
                <w:spacing w:val="-2"/>
                <w:w w:val="75"/>
                <w:sz w:val="14"/>
              </w:rPr>
              <w:t>Tobago</w:t>
            </w:r>
          </w:p>
        </w:tc>
        <w:tc>
          <w:tcPr>
            <w:tcW w:w="1150" w:type="dxa"/>
            <w:shd w:val="clear" w:color="auto" w:fill="D4E3F5"/>
          </w:tcPr>
          <w:p>
            <w:pPr>
              <w:pStyle w:val="TableParagraph"/>
              <w:ind w:right="435"/>
              <w:jc w:val="right"/>
              <w:rPr>
                <w:sz w:val="14"/>
              </w:rPr>
            </w:pPr>
            <w:r>
              <w:rPr>
                <w:color w:val="231F20"/>
                <w:spacing w:val="-5"/>
                <w:w w:val="95"/>
                <w:sz w:val="14"/>
              </w:rPr>
              <w:t>522</w:t>
            </w:r>
          </w:p>
        </w:tc>
        <w:tc>
          <w:tcPr>
            <w:tcW w:w="851" w:type="dxa"/>
            <w:shd w:val="clear" w:color="auto" w:fill="D4E3F5"/>
          </w:tcPr>
          <w:p>
            <w:pPr>
              <w:pStyle w:val="TableParagraph"/>
              <w:ind w:left="29" w:right="136"/>
              <w:rPr>
                <w:sz w:val="14"/>
              </w:rPr>
            </w:pPr>
            <w:r>
              <w:rPr>
                <w:color w:val="231F20"/>
                <w:spacing w:val="-4"/>
                <w:w w:val="95"/>
                <w:sz w:val="14"/>
              </w:rPr>
              <w:t>11.8</w:t>
            </w:r>
          </w:p>
        </w:tc>
        <w:tc>
          <w:tcPr>
            <w:tcW w:w="1063" w:type="dxa"/>
            <w:shd w:val="clear" w:color="auto" w:fill="D4E3F5"/>
          </w:tcPr>
          <w:p>
            <w:pPr>
              <w:pStyle w:val="TableParagraph"/>
              <w:ind w:left="38" w:right="76"/>
              <w:rPr>
                <w:sz w:val="14"/>
              </w:rPr>
            </w:pPr>
            <w:r>
              <w:rPr>
                <w:color w:val="231F20"/>
                <w:spacing w:val="-4"/>
                <w:w w:val="95"/>
                <w:sz w:val="14"/>
              </w:rPr>
              <w:t>10.4</w:t>
            </w:r>
          </w:p>
        </w:tc>
        <w:tc>
          <w:tcPr>
            <w:tcW w:w="1083" w:type="dxa"/>
            <w:shd w:val="clear" w:color="auto" w:fill="D4E3F5"/>
          </w:tcPr>
          <w:p>
            <w:pPr>
              <w:pStyle w:val="TableParagraph"/>
              <w:ind w:left="405"/>
              <w:jc w:val="left"/>
              <w:rPr>
                <w:sz w:val="14"/>
              </w:rPr>
            </w:pPr>
            <w:r>
              <w:rPr>
                <w:color w:val="231F20"/>
                <w:spacing w:val="-5"/>
                <w:w w:val="95"/>
                <w:sz w:val="14"/>
              </w:rPr>
              <w:t>7.8</w:t>
            </w:r>
          </w:p>
        </w:tc>
        <w:tc>
          <w:tcPr>
            <w:tcW w:w="751" w:type="dxa"/>
            <w:shd w:val="clear" w:color="auto" w:fill="D4E3F5"/>
          </w:tcPr>
          <w:p>
            <w:pPr>
              <w:pStyle w:val="TableParagraph"/>
              <w:ind w:left="46" w:right="72"/>
              <w:rPr>
                <w:sz w:val="14"/>
              </w:rPr>
            </w:pPr>
            <w:r>
              <w:rPr>
                <w:color w:val="231F20"/>
                <w:spacing w:val="-4"/>
                <w:w w:val="95"/>
                <w:sz w:val="14"/>
              </w:rPr>
              <w:t>14.6</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259"/>
              <w:jc w:val="left"/>
              <w:rPr>
                <w:sz w:val="14"/>
              </w:rPr>
            </w:pPr>
            <w:r>
              <w:rPr>
                <w:color w:val="231F20"/>
                <w:spacing w:val="-4"/>
                <w:w w:val="95"/>
                <w:sz w:val="14"/>
              </w:rPr>
              <w:t>11.8</w:t>
            </w:r>
          </w:p>
        </w:tc>
        <w:tc>
          <w:tcPr>
            <w:tcW w:w="1064" w:type="dxa"/>
            <w:shd w:val="clear" w:color="auto" w:fill="D4E3F5"/>
          </w:tcPr>
          <w:p>
            <w:pPr>
              <w:pStyle w:val="TableParagraph"/>
              <w:ind w:left="40" w:right="77"/>
              <w:rPr>
                <w:sz w:val="14"/>
              </w:rPr>
            </w:pPr>
            <w:r>
              <w:rPr>
                <w:color w:val="231F20"/>
                <w:spacing w:val="-4"/>
                <w:w w:val="95"/>
                <w:sz w:val="14"/>
              </w:rPr>
              <w:t>10.4</w:t>
            </w:r>
          </w:p>
        </w:tc>
        <w:tc>
          <w:tcPr>
            <w:tcW w:w="948" w:type="dxa"/>
            <w:shd w:val="clear" w:color="auto" w:fill="D4E3F5"/>
          </w:tcPr>
          <w:p>
            <w:pPr>
              <w:pStyle w:val="TableParagraph"/>
              <w:ind w:left="81" w:right="60"/>
              <w:rPr>
                <w:sz w:val="14"/>
              </w:rPr>
            </w:pPr>
            <w:r>
              <w:rPr>
                <w:color w:val="231F20"/>
                <w:spacing w:val="-5"/>
                <w:w w:val="95"/>
                <w:sz w:val="14"/>
              </w:rPr>
              <w:t>7.8</w:t>
            </w:r>
          </w:p>
        </w:tc>
        <w:tc>
          <w:tcPr>
            <w:tcW w:w="1005" w:type="dxa"/>
            <w:shd w:val="clear" w:color="auto" w:fill="D4E3F5"/>
          </w:tcPr>
          <w:p>
            <w:pPr>
              <w:pStyle w:val="TableParagraph"/>
              <w:ind w:right="389"/>
              <w:jc w:val="right"/>
              <w:rPr>
                <w:sz w:val="14"/>
              </w:rPr>
            </w:pPr>
            <w:r>
              <w:rPr>
                <w:color w:val="231F20"/>
                <w:spacing w:val="-4"/>
                <w:w w:val="95"/>
                <w:sz w:val="14"/>
              </w:rPr>
              <w:t>14.5</w:t>
            </w:r>
          </w:p>
        </w:tc>
      </w:tr>
      <w:tr>
        <w:trPr>
          <w:trHeight w:val="259" w:hRule="atLeast"/>
        </w:trPr>
        <w:tc>
          <w:tcPr>
            <w:tcW w:w="1311" w:type="dxa"/>
          </w:tcPr>
          <w:p>
            <w:pPr>
              <w:pStyle w:val="TableParagraph"/>
              <w:ind w:left="79"/>
              <w:jc w:val="left"/>
              <w:rPr>
                <w:sz w:val="14"/>
              </w:rPr>
            </w:pPr>
            <w:r>
              <w:rPr>
                <w:color w:val="231F20"/>
                <w:spacing w:val="-2"/>
                <w:w w:val="90"/>
                <w:sz w:val="14"/>
              </w:rPr>
              <w:t>Tunisia</w:t>
            </w:r>
          </w:p>
        </w:tc>
        <w:tc>
          <w:tcPr>
            <w:tcW w:w="1150" w:type="dxa"/>
          </w:tcPr>
          <w:p>
            <w:pPr>
              <w:pStyle w:val="TableParagraph"/>
              <w:ind w:right="435"/>
              <w:jc w:val="right"/>
              <w:rPr>
                <w:sz w:val="14"/>
              </w:rPr>
            </w:pPr>
            <w:r>
              <w:rPr>
                <w:color w:val="231F20"/>
                <w:spacing w:val="-2"/>
                <w:w w:val="95"/>
                <w:sz w:val="14"/>
              </w:rPr>
              <w:t>1,513</w:t>
            </w:r>
          </w:p>
        </w:tc>
        <w:tc>
          <w:tcPr>
            <w:tcW w:w="851" w:type="dxa"/>
          </w:tcPr>
          <w:p>
            <w:pPr>
              <w:pStyle w:val="TableParagraph"/>
              <w:ind w:left="83" w:right="136"/>
              <w:rPr>
                <w:sz w:val="14"/>
              </w:rPr>
            </w:pPr>
            <w:r>
              <w:rPr>
                <w:color w:val="231F20"/>
                <w:spacing w:val="-5"/>
                <w:w w:val="95"/>
                <w:sz w:val="14"/>
              </w:rPr>
              <w:t>4.9</w:t>
            </w:r>
          </w:p>
        </w:tc>
        <w:tc>
          <w:tcPr>
            <w:tcW w:w="1063" w:type="dxa"/>
          </w:tcPr>
          <w:p>
            <w:pPr>
              <w:pStyle w:val="TableParagraph"/>
              <w:ind w:left="76" w:right="53"/>
              <w:rPr>
                <w:sz w:val="14"/>
              </w:rPr>
            </w:pPr>
            <w:r>
              <w:rPr>
                <w:color w:val="231F20"/>
                <w:spacing w:val="-5"/>
                <w:w w:val="95"/>
                <w:sz w:val="14"/>
              </w:rPr>
              <w:t>3.0</w:t>
            </w:r>
          </w:p>
        </w:tc>
        <w:tc>
          <w:tcPr>
            <w:tcW w:w="1083" w:type="dxa"/>
          </w:tcPr>
          <w:p>
            <w:pPr>
              <w:pStyle w:val="TableParagraph"/>
              <w:ind w:left="399"/>
              <w:jc w:val="left"/>
              <w:rPr>
                <w:sz w:val="14"/>
              </w:rPr>
            </w:pPr>
            <w:r>
              <w:rPr>
                <w:color w:val="231F20"/>
                <w:spacing w:val="-5"/>
                <w:w w:val="95"/>
                <w:sz w:val="14"/>
              </w:rPr>
              <w:t>1.6</w:t>
            </w:r>
          </w:p>
        </w:tc>
        <w:tc>
          <w:tcPr>
            <w:tcW w:w="751" w:type="dxa"/>
          </w:tcPr>
          <w:p>
            <w:pPr>
              <w:pStyle w:val="TableParagraph"/>
              <w:ind w:left="73" w:right="45"/>
              <w:rPr>
                <w:sz w:val="14"/>
              </w:rPr>
            </w:pPr>
            <w:r>
              <w:rPr>
                <w:color w:val="231F20"/>
                <w:spacing w:val="-5"/>
                <w:w w:val="95"/>
                <w:sz w:val="14"/>
              </w:rPr>
              <w:t>6.7</w:t>
            </w:r>
          </w:p>
        </w:tc>
        <w:tc>
          <w:tcPr>
            <w:tcW w:w="240" w:type="dxa"/>
          </w:tcPr>
          <w:p>
            <w:pPr>
              <w:pStyle w:val="TableParagraph"/>
              <w:spacing w:before="0"/>
              <w:jc w:val="left"/>
              <w:rPr>
                <w:rFonts w:ascii="Times New Roman"/>
                <w:sz w:val="12"/>
              </w:rPr>
            </w:pPr>
          </w:p>
        </w:tc>
        <w:tc>
          <w:tcPr>
            <w:tcW w:w="851" w:type="dxa"/>
          </w:tcPr>
          <w:p>
            <w:pPr>
              <w:pStyle w:val="TableParagraph"/>
              <w:ind w:left="86" w:right="136"/>
              <w:rPr>
                <w:sz w:val="14"/>
              </w:rPr>
            </w:pPr>
            <w:r>
              <w:rPr>
                <w:color w:val="231F20"/>
                <w:spacing w:val="-5"/>
                <w:w w:val="95"/>
                <w:sz w:val="14"/>
              </w:rPr>
              <w:t>4.9</w:t>
            </w:r>
          </w:p>
        </w:tc>
        <w:tc>
          <w:tcPr>
            <w:tcW w:w="1064" w:type="dxa"/>
          </w:tcPr>
          <w:p>
            <w:pPr>
              <w:pStyle w:val="TableParagraph"/>
              <w:ind w:left="62" w:right="37"/>
              <w:rPr>
                <w:sz w:val="14"/>
              </w:rPr>
            </w:pPr>
            <w:r>
              <w:rPr>
                <w:color w:val="231F20"/>
                <w:spacing w:val="-5"/>
                <w:w w:val="95"/>
                <w:sz w:val="14"/>
              </w:rPr>
              <w:t>3.0</w:t>
            </w:r>
          </w:p>
        </w:tc>
        <w:tc>
          <w:tcPr>
            <w:tcW w:w="948" w:type="dxa"/>
          </w:tcPr>
          <w:p>
            <w:pPr>
              <w:pStyle w:val="TableParagraph"/>
              <w:ind w:left="75" w:right="60"/>
              <w:rPr>
                <w:sz w:val="14"/>
              </w:rPr>
            </w:pPr>
            <w:r>
              <w:rPr>
                <w:color w:val="231F20"/>
                <w:spacing w:val="-5"/>
                <w:w w:val="95"/>
                <w:sz w:val="14"/>
              </w:rPr>
              <w:t>1.6</w:t>
            </w:r>
          </w:p>
        </w:tc>
        <w:tc>
          <w:tcPr>
            <w:tcW w:w="1005" w:type="dxa"/>
          </w:tcPr>
          <w:p>
            <w:pPr>
              <w:pStyle w:val="TableParagraph"/>
              <w:ind w:right="394"/>
              <w:jc w:val="right"/>
              <w:rPr>
                <w:sz w:val="14"/>
              </w:rPr>
            </w:pPr>
            <w:r>
              <w:rPr>
                <w:color w:val="231F20"/>
                <w:spacing w:val="-5"/>
                <w:w w:val="95"/>
                <w:sz w:val="14"/>
              </w:rPr>
              <w:t>6.7</w:t>
            </w:r>
          </w:p>
        </w:tc>
      </w:tr>
      <w:tr>
        <w:trPr>
          <w:trHeight w:val="259" w:hRule="atLeast"/>
        </w:trPr>
        <w:tc>
          <w:tcPr>
            <w:tcW w:w="1311" w:type="dxa"/>
            <w:shd w:val="clear" w:color="auto" w:fill="D4E3F5"/>
          </w:tcPr>
          <w:p>
            <w:pPr>
              <w:pStyle w:val="TableParagraph"/>
              <w:ind w:left="79"/>
              <w:jc w:val="left"/>
              <w:rPr>
                <w:sz w:val="14"/>
              </w:rPr>
            </w:pPr>
            <w:r>
              <w:rPr>
                <w:color w:val="231F20"/>
                <w:spacing w:val="-2"/>
                <w:w w:val="90"/>
                <w:sz w:val="14"/>
              </w:rPr>
              <w:t>Türkiye</w:t>
            </w:r>
          </w:p>
        </w:tc>
        <w:tc>
          <w:tcPr>
            <w:tcW w:w="1150" w:type="dxa"/>
            <w:shd w:val="clear" w:color="auto" w:fill="D4E3F5"/>
          </w:tcPr>
          <w:p>
            <w:pPr>
              <w:pStyle w:val="TableParagraph"/>
              <w:ind w:right="435"/>
              <w:jc w:val="right"/>
              <w:rPr>
                <w:sz w:val="14"/>
              </w:rPr>
            </w:pPr>
            <w:r>
              <w:rPr>
                <w:color w:val="231F20"/>
                <w:spacing w:val="-2"/>
                <w:w w:val="95"/>
                <w:sz w:val="14"/>
              </w:rPr>
              <w:t>37,087</w:t>
            </w:r>
          </w:p>
        </w:tc>
        <w:tc>
          <w:tcPr>
            <w:tcW w:w="851" w:type="dxa"/>
            <w:shd w:val="clear" w:color="auto" w:fill="D4E3F5"/>
          </w:tcPr>
          <w:p>
            <w:pPr>
              <w:pStyle w:val="TableParagraph"/>
              <w:ind w:left="83" w:right="136"/>
              <w:rPr>
                <w:sz w:val="14"/>
              </w:rPr>
            </w:pPr>
            <w:r>
              <w:rPr>
                <w:color w:val="231F20"/>
                <w:spacing w:val="-5"/>
                <w:w w:val="95"/>
                <w:sz w:val="14"/>
              </w:rPr>
              <w:t>8.9</w:t>
            </w:r>
          </w:p>
        </w:tc>
        <w:tc>
          <w:tcPr>
            <w:tcW w:w="1063" w:type="dxa"/>
            <w:shd w:val="clear" w:color="auto" w:fill="D4E3F5"/>
          </w:tcPr>
          <w:p>
            <w:pPr>
              <w:pStyle w:val="TableParagraph"/>
              <w:ind w:left="90" w:right="53"/>
              <w:rPr>
                <w:sz w:val="14"/>
              </w:rPr>
            </w:pPr>
            <w:r>
              <w:rPr>
                <w:color w:val="231F20"/>
                <w:spacing w:val="-5"/>
                <w:w w:val="95"/>
                <w:sz w:val="14"/>
              </w:rPr>
              <w:t>7.8</w:t>
            </w:r>
          </w:p>
        </w:tc>
        <w:tc>
          <w:tcPr>
            <w:tcW w:w="1083" w:type="dxa"/>
            <w:shd w:val="clear" w:color="auto" w:fill="D4E3F5"/>
          </w:tcPr>
          <w:p>
            <w:pPr>
              <w:pStyle w:val="TableParagraph"/>
              <w:ind w:left="392"/>
              <w:jc w:val="left"/>
              <w:rPr>
                <w:sz w:val="14"/>
              </w:rPr>
            </w:pPr>
            <w:r>
              <w:rPr>
                <w:color w:val="231F20"/>
                <w:spacing w:val="-5"/>
                <w:w w:val="95"/>
                <w:sz w:val="14"/>
              </w:rPr>
              <w:t>5.4</w:t>
            </w:r>
          </w:p>
        </w:tc>
        <w:tc>
          <w:tcPr>
            <w:tcW w:w="751" w:type="dxa"/>
            <w:shd w:val="clear" w:color="auto" w:fill="D4E3F5"/>
          </w:tcPr>
          <w:p>
            <w:pPr>
              <w:pStyle w:val="TableParagraph"/>
              <w:ind w:left="46" w:right="81"/>
              <w:rPr>
                <w:sz w:val="14"/>
              </w:rPr>
            </w:pPr>
            <w:r>
              <w:rPr>
                <w:color w:val="231F20"/>
                <w:spacing w:val="-4"/>
                <w:w w:val="95"/>
                <w:sz w:val="14"/>
              </w:rPr>
              <w:t>11.1</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6" w:right="136"/>
              <w:rPr>
                <w:sz w:val="14"/>
              </w:rPr>
            </w:pPr>
            <w:r>
              <w:rPr>
                <w:color w:val="231F20"/>
                <w:spacing w:val="-5"/>
                <w:w w:val="95"/>
                <w:sz w:val="14"/>
              </w:rPr>
              <w:t>8.9</w:t>
            </w:r>
          </w:p>
        </w:tc>
        <w:tc>
          <w:tcPr>
            <w:tcW w:w="1064" w:type="dxa"/>
            <w:shd w:val="clear" w:color="auto" w:fill="D4E3F5"/>
          </w:tcPr>
          <w:p>
            <w:pPr>
              <w:pStyle w:val="TableParagraph"/>
              <w:ind w:left="72" w:right="37"/>
              <w:rPr>
                <w:sz w:val="14"/>
              </w:rPr>
            </w:pPr>
            <w:r>
              <w:rPr>
                <w:color w:val="231F20"/>
                <w:spacing w:val="-5"/>
                <w:w w:val="95"/>
                <w:sz w:val="14"/>
              </w:rPr>
              <w:t>7.7</w:t>
            </w:r>
          </w:p>
        </w:tc>
        <w:tc>
          <w:tcPr>
            <w:tcW w:w="948" w:type="dxa"/>
            <w:shd w:val="clear" w:color="auto" w:fill="D4E3F5"/>
          </w:tcPr>
          <w:p>
            <w:pPr>
              <w:pStyle w:val="TableParagraph"/>
              <w:ind w:left="68" w:right="60"/>
              <w:rPr>
                <w:sz w:val="14"/>
              </w:rPr>
            </w:pPr>
            <w:r>
              <w:rPr>
                <w:color w:val="231F20"/>
                <w:spacing w:val="-5"/>
                <w:w w:val="95"/>
                <w:sz w:val="14"/>
              </w:rPr>
              <w:t>5.3</w:t>
            </w:r>
          </w:p>
        </w:tc>
        <w:tc>
          <w:tcPr>
            <w:tcW w:w="1005" w:type="dxa"/>
            <w:shd w:val="clear" w:color="auto" w:fill="D4E3F5"/>
          </w:tcPr>
          <w:p>
            <w:pPr>
              <w:pStyle w:val="TableParagraph"/>
              <w:ind w:right="407"/>
              <w:jc w:val="right"/>
              <w:rPr>
                <w:sz w:val="14"/>
              </w:rPr>
            </w:pPr>
            <w:r>
              <w:rPr>
                <w:color w:val="231F20"/>
                <w:spacing w:val="-4"/>
                <w:w w:val="95"/>
                <w:sz w:val="14"/>
              </w:rPr>
              <w:t>11.1</w:t>
            </w:r>
          </w:p>
        </w:tc>
      </w:tr>
      <w:tr>
        <w:trPr>
          <w:trHeight w:val="259" w:hRule="atLeast"/>
        </w:trPr>
        <w:tc>
          <w:tcPr>
            <w:tcW w:w="1311" w:type="dxa"/>
          </w:tcPr>
          <w:p>
            <w:pPr>
              <w:pStyle w:val="TableParagraph"/>
              <w:ind w:left="80"/>
              <w:jc w:val="left"/>
              <w:rPr>
                <w:sz w:val="14"/>
              </w:rPr>
            </w:pPr>
            <w:r>
              <w:rPr>
                <w:color w:val="231F20"/>
                <w:spacing w:val="-2"/>
                <w:w w:val="85"/>
                <w:sz w:val="14"/>
              </w:rPr>
              <w:t>Uganda</w:t>
            </w:r>
          </w:p>
        </w:tc>
        <w:tc>
          <w:tcPr>
            <w:tcW w:w="1150" w:type="dxa"/>
          </w:tcPr>
          <w:p>
            <w:pPr>
              <w:pStyle w:val="TableParagraph"/>
              <w:ind w:right="436"/>
              <w:jc w:val="right"/>
              <w:rPr>
                <w:sz w:val="14"/>
              </w:rPr>
            </w:pPr>
            <w:r>
              <w:rPr>
                <w:color w:val="231F20"/>
                <w:spacing w:val="-10"/>
                <w:w w:val="95"/>
                <w:sz w:val="14"/>
              </w:rPr>
              <w:t>2</w:t>
            </w:r>
          </w:p>
        </w:tc>
        <w:tc>
          <w:tcPr>
            <w:tcW w:w="851" w:type="dxa"/>
          </w:tcPr>
          <w:p>
            <w:pPr>
              <w:pStyle w:val="TableParagraph"/>
              <w:ind w:left="18" w:right="136"/>
              <w:rPr>
                <w:sz w:val="14"/>
              </w:rPr>
            </w:pPr>
            <w:r>
              <w:rPr>
                <w:color w:val="231F20"/>
                <w:spacing w:val="-4"/>
                <w:w w:val="95"/>
                <w:sz w:val="14"/>
              </w:rPr>
              <w:t>15.0</w:t>
            </w:r>
          </w:p>
        </w:tc>
        <w:tc>
          <w:tcPr>
            <w:tcW w:w="1063" w:type="dxa"/>
          </w:tcPr>
          <w:p>
            <w:pPr>
              <w:pStyle w:val="TableParagraph"/>
              <w:ind w:left="38" w:right="75"/>
              <w:rPr>
                <w:sz w:val="14"/>
              </w:rPr>
            </w:pPr>
            <w:r>
              <w:rPr>
                <w:color w:val="231F20"/>
                <w:spacing w:val="-4"/>
                <w:w w:val="95"/>
                <w:sz w:val="14"/>
              </w:rPr>
              <w:t>15.0</w:t>
            </w:r>
          </w:p>
        </w:tc>
        <w:tc>
          <w:tcPr>
            <w:tcW w:w="1083" w:type="dxa"/>
          </w:tcPr>
          <w:p>
            <w:pPr>
              <w:pStyle w:val="TableParagraph"/>
              <w:ind w:left="330"/>
              <w:jc w:val="left"/>
              <w:rPr>
                <w:sz w:val="14"/>
              </w:rPr>
            </w:pPr>
            <w:r>
              <w:rPr>
                <w:color w:val="231F20"/>
                <w:spacing w:val="-4"/>
                <w:w w:val="95"/>
                <w:sz w:val="14"/>
              </w:rPr>
              <w:t>14.1</w:t>
            </w:r>
          </w:p>
        </w:tc>
        <w:tc>
          <w:tcPr>
            <w:tcW w:w="751" w:type="dxa"/>
          </w:tcPr>
          <w:p>
            <w:pPr>
              <w:pStyle w:val="TableParagraph"/>
              <w:ind w:left="46" w:right="73"/>
              <w:rPr>
                <w:sz w:val="14"/>
              </w:rPr>
            </w:pPr>
            <w:r>
              <w:rPr>
                <w:color w:val="231F20"/>
                <w:spacing w:val="-4"/>
                <w:w w:val="95"/>
                <w:sz w:val="14"/>
              </w:rPr>
              <w:t>15.9</w:t>
            </w:r>
          </w:p>
        </w:tc>
        <w:tc>
          <w:tcPr>
            <w:tcW w:w="240" w:type="dxa"/>
          </w:tcPr>
          <w:p>
            <w:pPr>
              <w:pStyle w:val="TableParagraph"/>
              <w:spacing w:before="0"/>
              <w:jc w:val="left"/>
              <w:rPr>
                <w:rFonts w:ascii="Times New Roman"/>
                <w:sz w:val="12"/>
              </w:rPr>
            </w:pPr>
          </w:p>
        </w:tc>
        <w:tc>
          <w:tcPr>
            <w:tcW w:w="851" w:type="dxa"/>
          </w:tcPr>
          <w:p>
            <w:pPr>
              <w:pStyle w:val="TableParagraph"/>
              <w:ind w:left="87" w:right="136"/>
              <w:rPr>
                <w:sz w:val="14"/>
              </w:rPr>
            </w:pPr>
            <w:r>
              <w:rPr>
                <w:color w:val="231F20"/>
                <w:spacing w:val="-5"/>
                <w:w w:val="95"/>
                <w:sz w:val="14"/>
              </w:rPr>
              <w:t>9.2</w:t>
            </w:r>
          </w:p>
        </w:tc>
        <w:tc>
          <w:tcPr>
            <w:tcW w:w="1064" w:type="dxa"/>
          </w:tcPr>
          <w:p>
            <w:pPr>
              <w:pStyle w:val="TableParagraph"/>
              <w:ind w:left="65" w:right="37"/>
              <w:rPr>
                <w:sz w:val="14"/>
              </w:rPr>
            </w:pPr>
            <w:r>
              <w:rPr>
                <w:color w:val="231F20"/>
                <w:spacing w:val="-5"/>
                <w:w w:val="95"/>
                <w:sz w:val="14"/>
              </w:rPr>
              <w:t>9.2</w:t>
            </w:r>
          </w:p>
        </w:tc>
        <w:tc>
          <w:tcPr>
            <w:tcW w:w="948" w:type="dxa"/>
          </w:tcPr>
          <w:p>
            <w:pPr>
              <w:pStyle w:val="TableParagraph"/>
              <w:ind w:left="70" w:right="60"/>
              <w:rPr>
                <w:sz w:val="14"/>
              </w:rPr>
            </w:pPr>
            <w:r>
              <w:rPr>
                <w:color w:val="231F20"/>
                <w:spacing w:val="-5"/>
                <w:w w:val="95"/>
                <w:sz w:val="14"/>
              </w:rPr>
              <w:t>6.9</w:t>
            </w:r>
          </w:p>
        </w:tc>
        <w:tc>
          <w:tcPr>
            <w:tcW w:w="1005" w:type="dxa"/>
          </w:tcPr>
          <w:p>
            <w:pPr>
              <w:pStyle w:val="TableParagraph"/>
              <w:ind w:right="389"/>
              <w:jc w:val="right"/>
              <w:rPr>
                <w:sz w:val="14"/>
              </w:rPr>
            </w:pPr>
            <w:r>
              <w:rPr>
                <w:color w:val="231F20"/>
                <w:spacing w:val="-4"/>
                <w:w w:val="95"/>
                <w:sz w:val="14"/>
              </w:rPr>
              <w:t>11.5</w:t>
            </w:r>
          </w:p>
        </w:tc>
      </w:tr>
      <w:tr>
        <w:trPr>
          <w:trHeight w:val="259" w:hRule="atLeast"/>
        </w:trPr>
        <w:tc>
          <w:tcPr>
            <w:tcW w:w="1311" w:type="dxa"/>
            <w:shd w:val="clear" w:color="auto" w:fill="D4E3F5"/>
          </w:tcPr>
          <w:p>
            <w:pPr>
              <w:pStyle w:val="TableParagraph"/>
              <w:ind w:left="80"/>
              <w:jc w:val="left"/>
              <w:rPr>
                <w:sz w:val="14"/>
              </w:rPr>
            </w:pPr>
            <w:r>
              <w:rPr>
                <w:color w:val="231F20"/>
                <w:spacing w:val="-2"/>
                <w:w w:val="90"/>
                <w:sz w:val="14"/>
              </w:rPr>
              <w:t>Ukraine</w:t>
            </w:r>
          </w:p>
        </w:tc>
        <w:tc>
          <w:tcPr>
            <w:tcW w:w="1150" w:type="dxa"/>
            <w:shd w:val="clear" w:color="auto" w:fill="D4E3F5"/>
          </w:tcPr>
          <w:p>
            <w:pPr>
              <w:pStyle w:val="TableParagraph"/>
              <w:ind w:right="432"/>
              <w:jc w:val="right"/>
              <w:rPr>
                <w:sz w:val="14"/>
              </w:rPr>
            </w:pPr>
            <w:r>
              <w:rPr>
                <w:color w:val="231F20"/>
                <w:spacing w:val="-5"/>
                <w:w w:val="95"/>
                <w:sz w:val="14"/>
              </w:rPr>
              <w:t>27</w:t>
            </w:r>
          </w:p>
        </w:tc>
        <w:tc>
          <w:tcPr>
            <w:tcW w:w="851" w:type="dxa"/>
            <w:shd w:val="clear" w:color="auto" w:fill="D4E3F5"/>
          </w:tcPr>
          <w:p>
            <w:pPr>
              <w:pStyle w:val="TableParagraph"/>
              <w:ind w:left="33" w:right="136"/>
              <w:rPr>
                <w:sz w:val="14"/>
              </w:rPr>
            </w:pPr>
            <w:r>
              <w:rPr>
                <w:color w:val="231F20"/>
                <w:spacing w:val="-4"/>
                <w:w w:val="95"/>
                <w:sz w:val="14"/>
              </w:rPr>
              <w:t>17.5</w:t>
            </w:r>
          </w:p>
        </w:tc>
        <w:tc>
          <w:tcPr>
            <w:tcW w:w="1063" w:type="dxa"/>
            <w:shd w:val="clear" w:color="auto" w:fill="D4E3F5"/>
          </w:tcPr>
          <w:p>
            <w:pPr>
              <w:pStyle w:val="TableParagraph"/>
              <w:ind w:left="38" w:right="74"/>
              <w:rPr>
                <w:sz w:val="14"/>
              </w:rPr>
            </w:pPr>
            <w:r>
              <w:rPr>
                <w:color w:val="231F20"/>
                <w:spacing w:val="-4"/>
                <w:w w:val="95"/>
                <w:sz w:val="14"/>
              </w:rPr>
              <w:t>10.3</w:t>
            </w:r>
          </w:p>
        </w:tc>
        <w:tc>
          <w:tcPr>
            <w:tcW w:w="1083" w:type="dxa"/>
            <w:shd w:val="clear" w:color="auto" w:fill="D4E3F5"/>
          </w:tcPr>
          <w:p>
            <w:pPr>
              <w:pStyle w:val="TableParagraph"/>
              <w:ind w:left="391"/>
              <w:jc w:val="left"/>
              <w:rPr>
                <w:sz w:val="14"/>
              </w:rPr>
            </w:pPr>
            <w:r>
              <w:rPr>
                <w:color w:val="231F20"/>
                <w:spacing w:val="-5"/>
                <w:w w:val="95"/>
                <w:sz w:val="14"/>
              </w:rPr>
              <w:t>6.5</w:t>
            </w:r>
          </w:p>
        </w:tc>
        <w:tc>
          <w:tcPr>
            <w:tcW w:w="751" w:type="dxa"/>
            <w:shd w:val="clear" w:color="auto" w:fill="D4E3F5"/>
          </w:tcPr>
          <w:p>
            <w:pPr>
              <w:pStyle w:val="TableParagraph"/>
              <w:ind w:left="46" w:right="72"/>
              <w:rPr>
                <w:sz w:val="14"/>
              </w:rPr>
            </w:pPr>
            <w:r>
              <w:rPr>
                <w:color w:val="231F20"/>
                <w:spacing w:val="-4"/>
                <w:w w:val="95"/>
                <w:sz w:val="14"/>
              </w:rPr>
              <w:t>19.5</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6" w:right="136"/>
              <w:rPr>
                <w:sz w:val="14"/>
              </w:rPr>
            </w:pPr>
            <w:r>
              <w:rPr>
                <w:color w:val="231F20"/>
                <w:spacing w:val="-5"/>
                <w:w w:val="95"/>
                <w:sz w:val="14"/>
              </w:rPr>
              <w:t>6.2</w:t>
            </w:r>
          </w:p>
        </w:tc>
        <w:tc>
          <w:tcPr>
            <w:tcW w:w="1064" w:type="dxa"/>
            <w:shd w:val="clear" w:color="auto" w:fill="D4E3F5"/>
          </w:tcPr>
          <w:p>
            <w:pPr>
              <w:pStyle w:val="TableParagraph"/>
              <w:ind w:left="62" w:right="37"/>
              <w:rPr>
                <w:sz w:val="14"/>
              </w:rPr>
            </w:pPr>
            <w:r>
              <w:rPr>
                <w:color w:val="231F20"/>
                <w:spacing w:val="-5"/>
                <w:w w:val="95"/>
                <w:sz w:val="14"/>
              </w:rPr>
              <w:t>5.9</w:t>
            </w:r>
          </w:p>
        </w:tc>
        <w:tc>
          <w:tcPr>
            <w:tcW w:w="948" w:type="dxa"/>
            <w:shd w:val="clear" w:color="auto" w:fill="D4E3F5"/>
          </w:tcPr>
          <w:p>
            <w:pPr>
              <w:pStyle w:val="TableParagraph"/>
              <w:ind w:left="63" w:right="60"/>
              <w:rPr>
                <w:sz w:val="14"/>
              </w:rPr>
            </w:pPr>
            <w:r>
              <w:rPr>
                <w:color w:val="231F20"/>
                <w:spacing w:val="-5"/>
                <w:w w:val="95"/>
                <w:sz w:val="14"/>
              </w:rPr>
              <w:t>3.7</w:t>
            </w:r>
          </w:p>
        </w:tc>
        <w:tc>
          <w:tcPr>
            <w:tcW w:w="1005" w:type="dxa"/>
            <w:shd w:val="clear" w:color="auto" w:fill="D4E3F5"/>
          </w:tcPr>
          <w:p>
            <w:pPr>
              <w:pStyle w:val="TableParagraph"/>
              <w:ind w:right="389"/>
              <w:jc w:val="right"/>
              <w:rPr>
                <w:sz w:val="14"/>
              </w:rPr>
            </w:pPr>
            <w:r>
              <w:rPr>
                <w:color w:val="231F20"/>
                <w:spacing w:val="-5"/>
                <w:w w:val="95"/>
                <w:sz w:val="14"/>
              </w:rPr>
              <w:t>8.0</w:t>
            </w:r>
          </w:p>
        </w:tc>
      </w:tr>
      <w:tr>
        <w:trPr>
          <w:trHeight w:val="259" w:hRule="atLeast"/>
        </w:trPr>
        <w:tc>
          <w:tcPr>
            <w:tcW w:w="1311" w:type="dxa"/>
          </w:tcPr>
          <w:p>
            <w:pPr>
              <w:pStyle w:val="TableParagraph"/>
              <w:ind w:left="80"/>
              <w:jc w:val="left"/>
              <w:rPr>
                <w:sz w:val="14"/>
              </w:rPr>
            </w:pPr>
            <w:r>
              <w:rPr>
                <w:color w:val="231F20"/>
                <w:w w:val="75"/>
                <w:sz w:val="14"/>
              </w:rPr>
              <w:t>United</w:t>
            </w:r>
            <w:r>
              <w:rPr>
                <w:color w:val="231F20"/>
                <w:spacing w:val="9"/>
                <w:sz w:val="14"/>
              </w:rPr>
              <w:t> </w:t>
            </w:r>
            <w:r>
              <w:rPr>
                <w:color w:val="231F20"/>
                <w:w w:val="75"/>
                <w:sz w:val="14"/>
              </w:rPr>
              <w:t>Arab</w:t>
            </w:r>
            <w:r>
              <w:rPr>
                <w:color w:val="231F20"/>
                <w:spacing w:val="9"/>
                <w:sz w:val="14"/>
              </w:rPr>
              <w:t> </w:t>
            </w:r>
            <w:r>
              <w:rPr>
                <w:color w:val="231F20"/>
                <w:spacing w:val="-2"/>
                <w:w w:val="75"/>
                <w:sz w:val="14"/>
              </w:rPr>
              <w:t>Emirates</w:t>
            </w:r>
          </w:p>
        </w:tc>
        <w:tc>
          <w:tcPr>
            <w:tcW w:w="1150" w:type="dxa"/>
          </w:tcPr>
          <w:p>
            <w:pPr>
              <w:pStyle w:val="TableParagraph"/>
              <w:ind w:right="434"/>
              <w:jc w:val="right"/>
              <w:rPr>
                <w:sz w:val="14"/>
              </w:rPr>
            </w:pPr>
            <w:r>
              <w:rPr>
                <w:color w:val="231F20"/>
                <w:spacing w:val="-2"/>
                <w:w w:val="95"/>
                <w:sz w:val="14"/>
              </w:rPr>
              <w:t>24,460</w:t>
            </w:r>
          </w:p>
        </w:tc>
        <w:tc>
          <w:tcPr>
            <w:tcW w:w="851" w:type="dxa"/>
          </w:tcPr>
          <w:p>
            <w:pPr>
              <w:pStyle w:val="TableParagraph"/>
              <w:ind w:left="82" w:right="136"/>
              <w:rPr>
                <w:sz w:val="14"/>
              </w:rPr>
            </w:pPr>
            <w:r>
              <w:rPr>
                <w:color w:val="231F20"/>
                <w:spacing w:val="-5"/>
                <w:w w:val="95"/>
                <w:sz w:val="14"/>
              </w:rPr>
              <w:t>5.5</w:t>
            </w:r>
          </w:p>
        </w:tc>
        <w:tc>
          <w:tcPr>
            <w:tcW w:w="1063" w:type="dxa"/>
          </w:tcPr>
          <w:p>
            <w:pPr>
              <w:pStyle w:val="TableParagraph"/>
              <w:ind w:left="78" w:right="53"/>
              <w:rPr>
                <w:sz w:val="14"/>
              </w:rPr>
            </w:pPr>
            <w:r>
              <w:rPr>
                <w:color w:val="231F20"/>
                <w:spacing w:val="-5"/>
                <w:w w:val="95"/>
                <w:sz w:val="14"/>
              </w:rPr>
              <w:t>4.8</w:t>
            </w:r>
          </w:p>
        </w:tc>
        <w:tc>
          <w:tcPr>
            <w:tcW w:w="1083" w:type="dxa"/>
          </w:tcPr>
          <w:p>
            <w:pPr>
              <w:pStyle w:val="TableParagraph"/>
              <w:ind w:left="391"/>
              <w:jc w:val="left"/>
              <w:rPr>
                <w:sz w:val="14"/>
              </w:rPr>
            </w:pPr>
            <w:r>
              <w:rPr>
                <w:color w:val="231F20"/>
                <w:spacing w:val="-5"/>
                <w:w w:val="95"/>
                <w:sz w:val="14"/>
              </w:rPr>
              <w:t>3.2</w:t>
            </w:r>
          </w:p>
        </w:tc>
        <w:tc>
          <w:tcPr>
            <w:tcW w:w="751" w:type="dxa"/>
          </w:tcPr>
          <w:p>
            <w:pPr>
              <w:pStyle w:val="TableParagraph"/>
              <w:ind w:left="80" w:right="45"/>
              <w:rPr>
                <w:sz w:val="14"/>
              </w:rPr>
            </w:pPr>
            <w:r>
              <w:rPr>
                <w:color w:val="231F20"/>
                <w:spacing w:val="-5"/>
                <w:w w:val="95"/>
                <w:sz w:val="14"/>
              </w:rPr>
              <w:t>6.9</w:t>
            </w:r>
          </w:p>
        </w:tc>
        <w:tc>
          <w:tcPr>
            <w:tcW w:w="240" w:type="dxa"/>
          </w:tcPr>
          <w:p>
            <w:pPr>
              <w:pStyle w:val="TableParagraph"/>
              <w:spacing w:before="0"/>
              <w:jc w:val="left"/>
              <w:rPr>
                <w:rFonts w:ascii="Times New Roman"/>
                <w:sz w:val="12"/>
              </w:rPr>
            </w:pPr>
          </w:p>
        </w:tc>
        <w:tc>
          <w:tcPr>
            <w:tcW w:w="851" w:type="dxa"/>
          </w:tcPr>
          <w:p>
            <w:pPr>
              <w:pStyle w:val="TableParagraph"/>
              <w:ind w:left="83" w:right="136"/>
              <w:rPr>
                <w:sz w:val="14"/>
              </w:rPr>
            </w:pPr>
            <w:r>
              <w:rPr>
                <w:color w:val="231F20"/>
                <w:spacing w:val="-5"/>
                <w:w w:val="95"/>
                <w:sz w:val="14"/>
              </w:rPr>
              <w:t>5.4</w:t>
            </w:r>
          </w:p>
        </w:tc>
        <w:tc>
          <w:tcPr>
            <w:tcW w:w="1064" w:type="dxa"/>
          </w:tcPr>
          <w:p>
            <w:pPr>
              <w:pStyle w:val="TableParagraph"/>
              <w:ind w:left="64" w:right="37"/>
              <w:rPr>
                <w:sz w:val="14"/>
              </w:rPr>
            </w:pPr>
            <w:r>
              <w:rPr>
                <w:color w:val="231F20"/>
                <w:spacing w:val="-5"/>
                <w:w w:val="95"/>
                <w:sz w:val="14"/>
              </w:rPr>
              <w:t>4.8</w:t>
            </w:r>
          </w:p>
        </w:tc>
        <w:tc>
          <w:tcPr>
            <w:tcW w:w="948" w:type="dxa"/>
          </w:tcPr>
          <w:p>
            <w:pPr>
              <w:pStyle w:val="TableParagraph"/>
              <w:ind w:left="52" w:right="60"/>
              <w:rPr>
                <w:sz w:val="14"/>
              </w:rPr>
            </w:pPr>
            <w:r>
              <w:rPr>
                <w:color w:val="231F20"/>
                <w:spacing w:val="-5"/>
                <w:w w:val="95"/>
                <w:sz w:val="14"/>
              </w:rPr>
              <w:t>3.1</w:t>
            </w:r>
          </w:p>
        </w:tc>
        <w:tc>
          <w:tcPr>
            <w:tcW w:w="1005" w:type="dxa"/>
          </w:tcPr>
          <w:p>
            <w:pPr>
              <w:pStyle w:val="TableParagraph"/>
              <w:ind w:right="387"/>
              <w:jc w:val="right"/>
              <w:rPr>
                <w:sz w:val="14"/>
              </w:rPr>
            </w:pPr>
            <w:r>
              <w:rPr>
                <w:color w:val="231F20"/>
                <w:spacing w:val="-5"/>
                <w:w w:val="95"/>
                <w:sz w:val="14"/>
              </w:rPr>
              <w:t>6.9</w:t>
            </w:r>
          </w:p>
        </w:tc>
      </w:tr>
      <w:tr>
        <w:trPr>
          <w:trHeight w:val="259" w:hRule="atLeast"/>
        </w:trPr>
        <w:tc>
          <w:tcPr>
            <w:tcW w:w="1311" w:type="dxa"/>
            <w:shd w:val="clear" w:color="auto" w:fill="D4E3F5"/>
          </w:tcPr>
          <w:p>
            <w:pPr>
              <w:pStyle w:val="TableParagraph"/>
              <w:ind w:left="79"/>
              <w:jc w:val="left"/>
              <w:rPr>
                <w:sz w:val="14"/>
              </w:rPr>
            </w:pPr>
            <w:r>
              <w:rPr>
                <w:color w:val="231F20"/>
                <w:w w:val="75"/>
                <w:sz w:val="14"/>
              </w:rPr>
              <w:t>United</w:t>
            </w:r>
            <w:r>
              <w:rPr>
                <w:color w:val="231F20"/>
                <w:spacing w:val="9"/>
                <w:sz w:val="14"/>
              </w:rPr>
              <w:t> </w:t>
            </w:r>
            <w:r>
              <w:rPr>
                <w:color w:val="231F20"/>
                <w:spacing w:val="-2"/>
                <w:w w:val="90"/>
                <w:sz w:val="14"/>
              </w:rPr>
              <w:t>Kingdom</w:t>
            </w:r>
          </w:p>
        </w:tc>
        <w:tc>
          <w:tcPr>
            <w:tcW w:w="1150" w:type="dxa"/>
            <w:shd w:val="clear" w:color="auto" w:fill="D4E3F5"/>
          </w:tcPr>
          <w:p>
            <w:pPr>
              <w:pStyle w:val="TableParagraph"/>
              <w:ind w:right="437"/>
              <w:jc w:val="right"/>
              <w:rPr>
                <w:sz w:val="14"/>
              </w:rPr>
            </w:pPr>
            <w:r>
              <w:rPr>
                <w:color w:val="231F20"/>
                <w:spacing w:val="-2"/>
                <w:w w:val="95"/>
                <w:sz w:val="14"/>
              </w:rPr>
              <w:t>22,041</w:t>
            </w:r>
          </w:p>
        </w:tc>
        <w:tc>
          <w:tcPr>
            <w:tcW w:w="851" w:type="dxa"/>
            <w:shd w:val="clear" w:color="auto" w:fill="D4E3F5"/>
          </w:tcPr>
          <w:p>
            <w:pPr>
              <w:pStyle w:val="TableParagraph"/>
              <w:ind w:left="19" w:right="136"/>
              <w:rPr>
                <w:sz w:val="14"/>
              </w:rPr>
            </w:pPr>
            <w:r>
              <w:rPr>
                <w:color w:val="231F20"/>
                <w:spacing w:val="-4"/>
                <w:w w:val="95"/>
                <w:sz w:val="14"/>
              </w:rPr>
              <w:t>10.3</w:t>
            </w:r>
          </w:p>
        </w:tc>
        <w:tc>
          <w:tcPr>
            <w:tcW w:w="1063" w:type="dxa"/>
            <w:shd w:val="clear" w:color="auto" w:fill="D4E3F5"/>
          </w:tcPr>
          <w:p>
            <w:pPr>
              <w:pStyle w:val="TableParagraph"/>
              <w:ind w:left="71" w:right="53"/>
              <w:rPr>
                <w:sz w:val="14"/>
              </w:rPr>
            </w:pPr>
            <w:r>
              <w:rPr>
                <w:color w:val="231F20"/>
                <w:spacing w:val="-5"/>
                <w:w w:val="95"/>
                <w:sz w:val="14"/>
              </w:rPr>
              <w:t>8.7</w:t>
            </w:r>
          </w:p>
        </w:tc>
        <w:tc>
          <w:tcPr>
            <w:tcW w:w="1083" w:type="dxa"/>
            <w:shd w:val="clear" w:color="auto" w:fill="D4E3F5"/>
          </w:tcPr>
          <w:p>
            <w:pPr>
              <w:pStyle w:val="TableParagraph"/>
              <w:ind w:left="391"/>
              <w:jc w:val="left"/>
              <w:rPr>
                <w:sz w:val="14"/>
              </w:rPr>
            </w:pPr>
            <w:r>
              <w:rPr>
                <w:color w:val="231F20"/>
                <w:spacing w:val="-5"/>
                <w:w w:val="95"/>
                <w:sz w:val="14"/>
              </w:rPr>
              <w:t>6.2</w:t>
            </w:r>
          </w:p>
        </w:tc>
        <w:tc>
          <w:tcPr>
            <w:tcW w:w="751" w:type="dxa"/>
            <w:shd w:val="clear" w:color="auto" w:fill="D4E3F5"/>
          </w:tcPr>
          <w:p>
            <w:pPr>
              <w:pStyle w:val="TableParagraph"/>
              <w:ind w:left="46" w:right="75"/>
              <w:rPr>
                <w:sz w:val="14"/>
              </w:rPr>
            </w:pPr>
            <w:r>
              <w:rPr>
                <w:color w:val="231F20"/>
                <w:spacing w:val="-4"/>
                <w:w w:val="95"/>
                <w:sz w:val="14"/>
              </w:rPr>
              <w:t>12.7</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6" w:right="136"/>
              <w:rPr>
                <w:sz w:val="14"/>
              </w:rPr>
            </w:pPr>
            <w:r>
              <w:rPr>
                <w:color w:val="231F20"/>
                <w:spacing w:val="-5"/>
                <w:w w:val="95"/>
                <w:sz w:val="14"/>
              </w:rPr>
              <w:t>9.8</w:t>
            </w:r>
          </w:p>
        </w:tc>
        <w:tc>
          <w:tcPr>
            <w:tcW w:w="1064" w:type="dxa"/>
            <w:shd w:val="clear" w:color="auto" w:fill="D4E3F5"/>
          </w:tcPr>
          <w:p>
            <w:pPr>
              <w:pStyle w:val="TableParagraph"/>
              <w:ind w:left="64" w:right="37"/>
              <w:rPr>
                <w:sz w:val="14"/>
              </w:rPr>
            </w:pPr>
            <w:r>
              <w:rPr>
                <w:color w:val="231F20"/>
                <w:spacing w:val="-5"/>
                <w:w w:val="95"/>
                <w:sz w:val="14"/>
              </w:rPr>
              <w:t>8.3</w:t>
            </w:r>
          </w:p>
        </w:tc>
        <w:tc>
          <w:tcPr>
            <w:tcW w:w="948" w:type="dxa"/>
            <w:shd w:val="clear" w:color="auto" w:fill="D4E3F5"/>
          </w:tcPr>
          <w:p>
            <w:pPr>
              <w:pStyle w:val="TableParagraph"/>
              <w:ind w:left="68" w:right="60"/>
              <w:rPr>
                <w:sz w:val="14"/>
              </w:rPr>
            </w:pPr>
            <w:r>
              <w:rPr>
                <w:color w:val="231F20"/>
                <w:spacing w:val="-5"/>
                <w:w w:val="95"/>
                <w:sz w:val="14"/>
              </w:rPr>
              <w:t>5.8</w:t>
            </w:r>
          </w:p>
        </w:tc>
        <w:tc>
          <w:tcPr>
            <w:tcW w:w="1005" w:type="dxa"/>
            <w:shd w:val="clear" w:color="auto" w:fill="D4E3F5"/>
          </w:tcPr>
          <w:p>
            <w:pPr>
              <w:pStyle w:val="TableParagraph"/>
              <w:ind w:right="407"/>
              <w:jc w:val="right"/>
              <w:rPr>
                <w:sz w:val="14"/>
              </w:rPr>
            </w:pPr>
            <w:r>
              <w:rPr>
                <w:color w:val="231F20"/>
                <w:spacing w:val="-4"/>
                <w:w w:val="95"/>
                <w:sz w:val="14"/>
              </w:rPr>
              <w:t>12.1</w:t>
            </w:r>
          </w:p>
        </w:tc>
      </w:tr>
      <w:tr>
        <w:trPr>
          <w:trHeight w:val="259" w:hRule="atLeast"/>
        </w:trPr>
        <w:tc>
          <w:tcPr>
            <w:tcW w:w="1311" w:type="dxa"/>
          </w:tcPr>
          <w:p>
            <w:pPr>
              <w:pStyle w:val="TableParagraph"/>
              <w:ind w:left="80"/>
              <w:jc w:val="left"/>
              <w:rPr>
                <w:sz w:val="14"/>
              </w:rPr>
            </w:pPr>
            <w:r>
              <w:rPr>
                <w:color w:val="231F20"/>
                <w:w w:val="75"/>
                <w:sz w:val="14"/>
              </w:rPr>
              <w:t>United</w:t>
            </w:r>
            <w:r>
              <w:rPr>
                <w:color w:val="231F20"/>
                <w:spacing w:val="9"/>
                <w:sz w:val="14"/>
              </w:rPr>
              <w:t> </w:t>
            </w:r>
            <w:r>
              <w:rPr>
                <w:color w:val="231F20"/>
                <w:spacing w:val="-2"/>
                <w:w w:val="90"/>
                <w:sz w:val="14"/>
              </w:rPr>
              <w:t>States</w:t>
            </w:r>
          </w:p>
        </w:tc>
        <w:tc>
          <w:tcPr>
            <w:tcW w:w="1150" w:type="dxa"/>
          </w:tcPr>
          <w:p>
            <w:pPr>
              <w:pStyle w:val="TableParagraph"/>
              <w:ind w:right="442"/>
              <w:jc w:val="right"/>
              <w:rPr>
                <w:sz w:val="14"/>
              </w:rPr>
            </w:pPr>
            <w:r>
              <w:rPr>
                <w:color w:val="231F20"/>
                <w:spacing w:val="-2"/>
                <w:w w:val="95"/>
                <w:sz w:val="14"/>
              </w:rPr>
              <w:t>114,211</w:t>
            </w:r>
          </w:p>
        </w:tc>
        <w:tc>
          <w:tcPr>
            <w:tcW w:w="851" w:type="dxa"/>
          </w:tcPr>
          <w:p>
            <w:pPr>
              <w:pStyle w:val="TableParagraph"/>
              <w:ind w:left="82" w:right="136"/>
              <w:rPr>
                <w:sz w:val="14"/>
              </w:rPr>
            </w:pPr>
            <w:r>
              <w:rPr>
                <w:color w:val="231F20"/>
                <w:spacing w:val="-5"/>
                <w:w w:val="95"/>
                <w:sz w:val="14"/>
              </w:rPr>
              <w:t>8.6</w:t>
            </w:r>
          </w:p>
        </w:tc>
        <w:tc>
          <w:tcPr>
            <w:tcW w:w="1063" w:type="dxa"/>
          </w:tcPr>
          <w:p>
            <w:pPr>
              <w:pStyle w:val="TableParagraph"/>
              <w:ind w:left="78" w:right="53"/>
              <w:rPr>
                <w:sz w:val="14"/>
              </w:rPr>
            </w:pPr>
            <w:r>
              <w:rPr>
                <w:color w:val="231F20"/>
                <w:spacing w:val="-5"/>
                <w:w w:val="95"/>
                <w:sz w:val="14"/>
              </w:rPr>
              <w:t>6.9</w:t>
            </w:r>
          </w:p>
        </w:tc>
        <w:tc>
          <w:tcPr>
            <w:tcW w:w="1083" w:type="dxa"/>
          </w:tcPr>
          <w:p>
            <w:pPr>
              <w:pStyle w:val="TableParagraph"/>
              <w:ind w:left="393"/>
              <w:jc w:val="left"/>
              <w:rPr>
                <w:sz w:val="14"/>
              </w:rPr>
            </w:pPr>
            <w:r>
              <w:rPr>
                <w:color w:val="231F20"/>
                <w:spacing w:val="-5"/>
                <w:w w:val="95"/>
                <w:sz w:val="14"/>
              </w:rPr>
              <w:t>4.5</w:t>
            </w:r>
          </w:p>
        </w:tc>
        <w:tc>
          <w:tcPr>
            <w:tcW w:w="751" w:type="dxa"/>
          </w:tcPr>
          <w:p>
            <w:pPr>
              <w:pStyle w:val="TableParagraph"/>
              <w:ind w:left="46" w:right="73"/>
              <w:rPr>
                <w:sz w:val="14"/>
              </w:rPr>
            </w:pPr>
            <w:r>
              <w:rPr>
                <w:color w:val="231F20"/>
                <w:spacing w:val="-4"/>
                <w:w w:val="95"/>
                <w:sz w:val="14"/>
              </w:rPr>
              <w:t>10.5</w:t>
            </w:r>
          </w:p>
        </w:tc>
        <w:tc>
          <w:tcPr>
            <w:tcW w:w="240" w:type="dxa"/>
          </w:tcPr>
          <w:p>
            <w:pPr>
              <w:pStyle w:val="TableParagraph"/>
              <w:spacing w:before="0"/>
              <w:jc w:val="left"/>
              <w:rPr>
                <w:rFonts w:ascii="Times New Roman"/>
                <w:sz w:val="12"/>
              </w:rPr>
            </w:pPr>
          </w:p>
        </w:tc>
        <w:tc>
          <w:tcPr>
            <w:tcW w:w="851" w:type="dxa"/>
          </w:tcPr>
          <w:p>
            <w:pPr>
              <w:pStyle w:val="TableParagraph"/>
              <w:ind w:left="86" w:right="136"/>
              <w:rPr>
                <w:sz w:val="14"/>
              </w:rPr>
            </w:pPr>
            <w:r>
              <w:rPr>
                <w:color w:val="231F20"/>
                <w:spacing w:val="-5"/>
                <w:w w:val="95"/>
                <w:sz w:val="14"/>
              </w:rPr>
              <w:t>8.2</w:t>
            </w:r>
          </w:p>
        </w:tc>
        <w:tc>
          <w:tcPr>
            <w:tcW w:w="1064" w:type="dxa"/>
          </w:tcPr>
          <w:p>
            <w:pPr>
              <w:pStyle w:val="TableParagraph"/>
              <w:ind w:left="62" w:right="37"/>
              <w:rPr>
                <w:sz w:val="14"/>
              </w:rPr>
            </w:pPr>
            <w:r>
              <w:rPr>
                <w:color w:val="231F20"/>
                <w:spacing w:val="-5"/>
                <w:w w:val="95"/>
                <w:sz w:val="14"/>
              </w:rPr>
              <w:t>6.8</w:t>
            </w:r>
          </w:p>
        </w:tc>
        <w:tc>
          <w:tcPr>
            <w:tcW w:w="948" w:type="dxa"/>
          </w:tcPr>
          <w:p>
            <w:pPr>
              <w:pStyle w:val="TableParagraph"/>
              <w:ind w:left="67" w:right="60"/>
              <w:rPr>
                <w:sz w:val="14"/>
              </w:rPr>
            </w:pPr>
            <w:r>
              <w:rPr>
                <w:color w:val="231F20"/>
                <w:spacing w:val="-5"/>
                <w:w w:val="95"/>
                <w:sz w:val="14"/>
              </w:rPr>
              <w:t>4.4</w:t>
            </w:r>
          </w:p>
        </w:tc>
        <w:tc>
          <w:tcPr>
            <w:tcW w:w="1005" w:type="dxa"/>
          </w:tcPr>
          <w:p>
            <w:pPr>
              <w:pStyle w:val="TableParagraph"/>
              <w:ind w:right="407"/>
              <w:jc w:val="right"/>
              <w:rPr>
                <w:sz w:val="14"/>
              </w:rPr>
            </w:pPr>
            <w:r>
              <w:rPr>
                <w:color w:val="231F20"/>
                <w:spacing w:val="-4"/>
                <w:w w:val="95"/>
                <w:sz w:val="14"/>
              </w:rPr>
              <w:t>10.1</w:t>
            </w:r>
          </w:p>
        </w:tc>
      </w:tr>
      <w:tr>
        <w:trPr>
          <w:trHeight w:val="259" w:hRule="atLeast"/>
        </w:trPr>
        <w:tc>
          <w:tcPr>
            <w:tcW w:w="1311" w:type="dxa"/>
            <w:shd w:val="clear" w:color="auto" w:fill="D4E3F5"/>
          </w:tcPr>
          <w:p>
            <w:pPr>
              <w:pStyle w:val="TableParagraph"/>
              <w:ind w:left="80"/>
              <w:jc w:val="left"/>
              <w:rPr>
                <w:sz w:val="14"/>
              </w:rPr>
            </w:pPr>
            <w:r>
              <w:rPr>
                <w:color w:val="231F20"/>
                <w:spacing w:val="-2"/>
                <w:w w:val="85"/>
                <w:sz w:val="14"/>
              </w:rPr>
              <w:t>Uruguay</w:t>
            </w:r>
          </w:p>
        </w:tc>
        <w:tc>
          <w:tcPr>
            <w:tcW w:w="1150" w:type="dxa"/>
            <w:shd w:val="clear" w:color="auto" w:fill="D4E3F5"/>
          </w:tcPr>
          <w:p>
            <w:pPr>
              <w:pStyle w:val="TableParagraph"/>
              <w:ind w:right="435"/>
              <w:jc w:val="right"/>
              <w:rPr>
                <w:sz w:val="14"/>
              </w:rPr>
            </w:pPr>
            <w:r>
              <w:rPr>
                <w:color w:val="231F20"/>
                <w:spacing w:val="-2"/>
                <w:w w:val="95"/>
                <w:sz w:val="14"/>
              </w:rPr>
              <w:t>1,749</w:t>
            </w:r>
          </w:p>
        </w:tc>
        <w:tc>
          <w:tcPr>
            <w:tcW w:w="851" w:type="dxa"/>
            <w:shd w:val="clear" w:color="auto" w:fill="D4E3F5"/>
          </w:tcPr>
          <w:p>
            <w:pPr>
              <w:pStyle w:val="TableParagraph"/>
              <w:ind w:left="82" w:right="136"/>
              <w:rPr>
                <w:sz w:val="14"/>
              </w:rPr>
            </w:pPr>
            <w:r>
              <w:rPr>
                <w:color w:val="231F20"/>
                <w:spacing w:val="-5"/>
                <w:w w:val="95"/>
                <w:sz w:val="14"/>
              </w:rPr>
              <w:t>5.3</w:t>
            </w:r>
          </w:p>
        </w:tc>
        <w:tc>
          <w:tcPr>
            <w:tcW w:w="1063" w:type="dxa"/>
            <w:shd w:val="clear" w:color="auto" w:fill="D4E3F5"/>
          </w:tcPr>
          <w:p>
            <w:pPr>
              <w:pStyle w:val="TableParagraph"/>
              <w:ind w:left="78" w:right="53"/>
              <w:rPr>
                <w:sz w:val="14"/>
              </w:rPr>
            </w:pPr>
            <w:r>
              <w:rPr>
                <w:color w:val="231F20"/>
                <w:spacing w:val="-5"/>
                <w:w w:val="95"/>
                <w:sz w:val="14"/>
              </w:rPr>
              <w:t>4.8</w:t>
            </w:r>
          </w:p>
        </w:tc>
        <w:tc>
          <w:tcPr>
            <w:tcW w:w="1083" w:type="dxa"/>
            <w:shd w:val="clear" w:color="auto" w:fill="D4E3F5"/>
          </w:tcPr>
          <w:p>
            <w:pPr>
              <w:pStyle w:val="TableParagraph"/>
              <w:ind w:left="391"/>
              <w:jc w:val="left"/>
              <w:rPr>
                <w:sz w:val="14"/>
              </w:rPr>
            </w:pPr>
            <w:r>
              <w:rPr>
                <w:color w:val="231F20"/>
                <w:spacing w:val="-5"/>
                <w:w w:val="95"/>
                <w:sz w:val="14"/>
              </w:rPr>
              <w:t>3.2</w:t>
            </w:r>
          </w:p>
        </w:tc>
        <w:tc>
          <w:tcPr>
            <w:tcW w:w="751" w:type="dxa"/>
            <w:shd w:val="clear" w:color="auto" w:fill="D4E3F5"/>
          </w:tcPr>
          <w:p>
            <w:pPr>
              <w:pStyle w:val="TableParagraph"/>
              <w:ind w:left="76" w:right="45"/>
              <w:rPr>
                <w:sz w:val="14"/>
              </w:rPr>
            </w:pPr>
            <w:r>
              <w:rPr>
                <w:color w:val="231F20"/>
                <w:spacing w:val="-5"/>
                <w:w w:val="95"/>
                <w:sz w:val="14"/>
              </w:rPr>
              <w:t>6.4</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5" w:right="136"/>
              <w:rPr>
                <w:sz w:val="14"/>
              </w:rPr>
            </w:pPr>
            <w:r>
              <w:rPr>
                <w:color w:val="231F20"/>
                <w:spacing w:val="-5"/>
                <w:w w:val="95"/>
                <w:sz w:val="14"/>
              </w:rPr>
              <w:t>5.3</w:t>
            </w:r>
          </w:p>
        </w:tc>
        <w:tc>
          <w:tcPr>
            <w:tcW w:w="1064" w:type="dxa"/>
            <w:shd w:val="clear" w:color="auto" w:fill="D4E3F5"/>
          </w:tcPr>
          <w:p>
            <w:pPr>
              <w:pStyle w:val="TableParagraph"/>
              <w:ind w:left="64" w:right="37"/>
              <w:rPr>
                <w:sz w:val="14"/>
              </w:rPr>
            </w:pPr>
            <w:r>
              <w:rPr>
                <w:color w:val="231F20"/>
                <w:spacing w:val="-5"/>
                <w:w w:val="95"/>
                <w:sz w:val="14"/>
              </w:rPr>
              <w:t>4.8</w:t>
            </w:r>
          </w:p>
        </w:tc>
        <w:tc>
          <w:tcPr>
            <w:tcW w:w="948" w:type="dxa"/>
            <w:shd w:val="clear" w:color="auto" w:fill="D4E3F5"/>
          </w:tcPr>
          <w:p>
            <w:pPr>
              <w:pStyle w:val="TableParagraph"/>
              <w:ind w:left="69" w:right="60"/>
              <w:rPr>
                <w:sz w:val="14"/>
              </w:rPr>
            </w:pPr>
            <w:r>
              <w:rPr>
                <w:color w:val="231F20"/>
                <w:spacing w:val="-5"/>
                <w:w w:val="95"/>
                <w:sz w:val="14"/>
              </w:rPr>
              <w:t>3.2</w:t>
            </w:r>
          </w:p>
        </w:tc>
        <w:tc>
          <w:tcPr>
            <w:tcW w:w="1005" w:type="dxa"/>
            <w:shd w:val="clear" w:color="auto" w:fill="D4E3F5"/>
          </w:tcPr>
          <w:p>
            <w:pPr>
              <w:pStyle w:val="TableParagraph"/>
              <w:ind w:right="391"/>
              <w:jc w:val="right"/>
              <w:rPr>
                <w:sz w:val="14"/>
              </w:rPr>
            </w:pPr>
            <w:r>
              <w:rPr>
                <w:color w:val="231F20"/>
                <w:spacing w:val="-5"/>
                <w:w w:val="95"/>
                <w:sz w:val="14"/>
              </w:rPr>
              <w:t>6.4</w:t>
            </w:r>
          </w:p>
        </w:tc>
      </w:tr>
      <w:tr>
        <w:trPr>
          <w:trHeight w:val="259" w:hRule="atLeast"/>
        </w:trPr>
        <w:tc>
          <w:tcPr>
            <w:tcW w:w="1311" w:type="dxa"/>
          </w:tcPr>
          <w:p>
            <w:pPr>
              <w:pStyle w:val="TableParagraph"/>
              <w:ind w:left="79"/>
              <w:jc w:val="left"/>
              <w:rPr>
                <w:sz w:val="14"/>
              </w:rPr>
            </w:pPr>
            <w:r>
              <w:rPr>
                <w:color w:val="231F20"/>
                <w:w w:val="75"/>
                <w:sz w:val="14"/>
              </w:rPr>
              <w:t>Venezuela,</w:t>
            </w:r>
            <w:r>
              <w:rPr>
                <w:color w:val="231F20"/>
                <w:spacing w:val="7"/>
                <w:sz w:val="14"/>
              </w:rPr>
              <w:t> </w:t>
            </w:r>
            <w:r>
              <w:rPr>
                <w:color w:val="231F20"/>
                <w:spacing w:val="-5"/>
                <w:w w:val="85"/>
                <w:sz w:val="14"/>
              </w:rPr>
              <w:t>RB</w:t>
            </w:r>
          </w:p>
        </w:tc>
        <w:tc>
          <w:tcPr>
            <w:tcW w:w="1150" w:type="dxa"/>
          </w:tcPr>
          <w:p>
            <w:pPr>
              <w:pStyle w:val="TableParagraph"/>
              <w:ind w:right="433"/>
              <w:jc w:val="right"/>
              <w:rPr>
                <w:sz w:val="14"/>
              </w:rPr>
            </w:pPr>
            <w:r>
              <w:rPr>
                <w:color w:val="231F20"/>
                <w:spacing w:val="-5"/>
                <w:w w:val="95"/>
                <w:sz w:val="14"/>
              </w:rPr>
              <w:t>781</w:t>
            </w:r>
          </w:p>
        </w:tc>
        <w:tc>
          <w:tcPr>
            <w:tcW w:w="851" w:type="dxa"/>
          </w:tcPr>
          <w:p>
            <w:pPr>
              <w:pStyle w:val="TableParagraph"/>
              <w:ind w:left="19" w:right="136"/>
              <w:rPr>
                <w:sz w:val="14"/>
              </w:rPr>
            </w:pPr>
            <w:r>
              <w:rPr>
                <w:color w:val="231F20"/>
                <w:spacing w:val="-4"/>
                <w:w w:val="95"/>
                <w:sz w:val="14"/>
              </w:rPr>
              <w:t>13.9</w:t>
            </w:r>
          </w:p>
        </w:tc>
        <w:tc>
          <w:tcPr>
            <w:tcW w:w="1063" w:type="dxa"/>
          </w:tcPr>
          <w:p>
            <w:pPr>
              <w:pStyle w:val="TableParagraph"/>
              <w:ind w:left="38" w:right="73"/>
              <w:rPr>
                <w:sz w:val="14"/>
              </w:rPr>
            </w:pPr>
            <w:r>
              <w:rPr>
                <w:color w:val="231F20"/>
                <w:spacing w:val="-4"/>
                <w:w w:val="95"/>
                <w:sz w:val="14"/>
              </w:rPr>
              <w:t>12.5</w:t>
            </w:r>
          </w:p>
        </w:tc>
        <w:tc>
          <w:tcPr>
            <w:tcW w:w="1083" w:type="dxa"/>
          </w:tcPr>
          <w:p>
            <w:pPr>
              <w:pStyle w:val="TableParagraph"/>
              <w:ind w:left="391"/>
              <w:jc w:val="left"/>
              <w:rPr>
                <w:sz w:val="14"/>
              </w:rPr>
            </w:pPr>
            <w:r>
              <w:rPr>
                <w:color w:val="231F20"/>
                <w:spacing w:val="-5"/>
                <w:w w:val="95"/>
                <w:sz w:val="14"/>
              </w:rPr>
              <w:t>8.5</w:t>
            </w:r>
          </w:p>
        </w:tc>
        <w:tc>
          <w:tcPr>
            <w:tcW w:w="751" w:type="dxa"/>
          </w:tcPr>
          <w:p>
            <w:pPr>
              <w:pStyle w:val="TableParagraph"/>
              <w:ind w:left="46" w:right="76"/>
              <w:rPr>
                <w:sz w:val="14"/>
              </w:rPr>
            </w:pPr>
            <w:r>
              <w:rPr>
                <w:color w:val="231F20"/>
                <w:spacing w:val="-4"/>
                <w:w w:val="95"/>
                <w:sz w:val="14"/>
              </w:rPr>
              <w:t>16.4</w:t>
            </w:r>
          </w:p>
        </w:tc>
        <w:tc>
          <w:tcPr>
            <w:tcW w:w="240" w:type="dxa"/>
          </w:tcPr>
          <w:p>
            <w:pPr>
              <w:pStyle w:val="TableParagraph"/>
              <w:spacing w:before="0"/>
              <w:jc w:val="left"/>
              <w:rPr>
                <w:rFonts w:ascii="Times New Roman"/>
                <w:sz w:val="12"/>
              </w:rPr>
            </w:pPr>
          </w:p>
        </w:tc>
        <w:tc>
          <w:tcPr>
            <w:tcW w:w="851" w:type="dxa"/>
          </w:tcPr>
          <w:p>
            <w:pPr>
              <w:pStyle w:val="TableParagraph"/>
              <w:ind w:left="250"/>
              <w:jc w:val="left"/>
              <w:rPr>
                <w:sz w:val="14"/>
              </w:rPr>
            </w:pPr>
            <w:r>
              <w:rPr>
                <w:color w:val="231F20"/>
                <w:spacing w:val="-4"/>
                <w:w w:val="95"/>
                <w:sz w:val="14"/>
              </w:rPr>
              <w:t>13.8</w:t>
            </w:r>
          </w:p>
        </w:tc>
        <w:tc>
          <w:tcPr>
            <w:tcW w:w="1064" w:type="dxa"/>
          </w:tcPr>
          <w:p>
            <w:pPr>
              <w:pStyle w:val="TableParagraph"/>
              <w:ind w:left="40" w:right="73"/>
              <w:rPr>
                <w:sz w:val="14"/>
              </w:rPr>
            </w:pPr>
            <w:r>
              <w:rPr>
                <w:color w:val="231F20"/>
                <w:spacing w:val="-4"/>
                <w:w w:val="95"/>
                <w:sz w:val="14"/>
              </w:rPr>
              <w:t>12.5</w:t>
            </w:r>
          </w:p>
        </w:tc>
        <w:tc>
          <w:tcPr>
            <w:tcW w:w="948" w:type="dxa"/>
          </w:tcPr>
          <w:p>
            <w:pPr>
              <w:pStyle w:val="TableParagraph"/>
              <w:ind w:left="70" w:right="60"/>
              <w:rPr>
                <w:sz w:val="14"/>
              </w:rPr>
            </w:pPr>
            <w:r>
              <w:rPr>
                <w:color w:val="231F20"/>
                <w:spacing w:val="-5"/>
                <w:w w:val="95"/>
                <w:sz w:val="14"/>
              </w:rPr>
              <w:t>8.5</w:t>
            </w:r>
          </w:p>
        </w:tc>
        <w:tc>
          <w:tcPr>
            <w:tcW w:w="1005" w:type="dxa"/>
          </w:tcPr>
          <w:p>
            <w:pPr>
              <w:pStyle w:val="TableParagraph"/>
              <w:ind w:right="388"/>
              <w:jc w:val="right"/>
              <w:rPr>
                <w:sz w:val="14"/>
              </w:rPr>
            </w:pPr>
            <w:r>
              <w:rPr>
                <w:color w:val="231F20"/>
                <w:spacing w:val="-4"/>
                <w:w w:val="95"/>
                <w:sz w:val="14"/>
              </w:rPr>
              <w:t>16.2</w:t>
            </w:r>
          </w:p>
        </w:tc>
      </w:tr>
      <w:tr>
        <w:trPr>
          <w:trHeight w:val="259" w:hRule="atLeast"/>
        </w:trPr>
        <w:tc>
          <w:tcPr>
            <w:tcW w:w="1311" w:type="dxa"/>
            <w:shd w:val="clear" w:color="auto" w:fill="D4E3F5"/>
          </w:tcPr>
          <w:p>
            <w:pPr>
              <w:pStyle w:val="TableParagraph"/>
              <w:ind w:left="79"/>
              <w:jc w:val="left"/>
              <w:rPr>
                <w:sz w:val="14"/>
              </w:rPr>
            </w:pPr>
            <w:r>
              <w:rPr>
                <w:color w:val="231F20"/>
                <w:spacing w:val="-2"/>
                <w:w w:val="90"/>
                <w:sz w:val="14"/>
              </w:rPr>
              <w:t>Vietnam</w:t>
            </w:r>
          </w:p>
        </w:tc>
        <w:tc>
          <w:tcPr>
            <w:tcW w:w="1150" w:type="dxa"/>
            <w:shd w:val="clear" w:color="auto" w:fill="D4E3F5"/>
          </w:tcPr>
          <w:p>
            <w:pPr>
              <w:pStyle w:val="TableParagraph"/>
              <w:ind w:right="435"/>
              <w:jc w:val="right"/>
              <w:rPr>
                <w:sz w:val="14"/>
              </w:rPr>
            </w:pPr>
            <w:r>
              <w:rPr>
                <w:color w:val="231F20"/>
                <w:spacing w:val="-2"/>
                <w:w w:val="95"/>
                <w:sz w:val="14"/>
              </w:rPr>
              <w:t>83,093</w:t>
            </w:r>
          </w:p>
        </w:tc>
        <w:tc>
          <w:tcPr>
            <w:tcW w:w="851" w:type="dxa"/>
            <w:shd w:val="clear" w:color="auto" w:fill="D4E3F5"/>
          </w:tcPr>
          <w:p>
            <w:pPr>
              <w:pStyle w:val="TableParagraph"/>
              <w:ind w:left="78" w:right="136"/>
              <w:rPr>
                <w:sz w:val="14"/>
              </w:rPr>
            </w:pPr>
            <w:r>
              <w:rPr>
                <w:color w:val="231F20"/>
                <w:spacing w:val="-5"/>
                <w:w w:val="95"/>
                <w:sz w:val="14"/>
              </w:rPr>
              <w:t>4.7</w:t>
            </w:r>
          </w:p>
        </w:tc>
        <w:tc>
          <w:tcPr>
            <w:tcW w:w="1063" w:type="dxa"/>
            <w:shd w:val="clear" w:color="auto" w:fill="D4E3F5"/>
          </w:tcPr>
          <w:p>
            <w:pPr>
              <w:pStyle w:val="TableParagraph"/>
              <w:ind w:left="60" w:right="53"/>
              <w:rPr>
                <w:sz w:val="14"/>
              </w:rPr>
            </w:pPr>
            <w:r>
              <w:rPr>
                <w:color w:val="231F20"/>
                <w:spacing w:val="-5"/>
                <w:w w:val="95"/>
                <w:sz w:val="14"/>
              </w:rPr>
              <w:t>4.1</w:t>
            </w:r>
          </w:p>
        </w:tc>
        <w:tc>
          <w:tcPr>
            <w:tcW w:w="1083" w:type="dxa"/>
            <w:shd w:val="clear" w:color="auto" w:fill="D4E3F5"/>
          </w:tcPr>
          <w:p>
            <w:pPr>
              <w:pStyle w:val="TableParagraph"/>
              <w:ind w:left="392"/>
              <w:jc w:val="left"/>
              <w:rPr>
                <w:sz w:val="14"/>
              </w:rPr>
            </w:pPr>
            <w:r>
              <w:rPr>
                <w:color w:val="231F20"/>
                <w:spacing w:val="-5"/>
                <w:w w:val="95"/>
                <w:sz w:val="14"/>
              </w:rPr>
              <w:t>2.5</w:t>
            </w:r>
          </w:p>
        </w:tc>
        <w:tc>
          <w:tcPr>
            <w:tcW w:w="751" w:type="dxa"/>
            <w:shd w:val="clear" w:color="auto" w:fill="D4E3F5"/>
          </w:tcPr>
          <w:p>
            <w:pPr>
              <w:pStyle w:val="TableParagraph"/>
              <w:ind w:left="78" w:right="45"/>
              <w:rPr>
                <w:sz w:val="14"/>
              </w:rPr>
            </w:pPr>
            <w:r>
              <w:rPr>
                <w:color w:val="231F20"/>
                <w:spacing w:val="-5"/>
                <w:w w:val="95"/>
                <w:sz w:val="14"/>
              </w:rPr>
              <w:t>6.3</w:t>
            </w:r>
          </w:p>
        </w:tc>
        <w:tc>
          <w:tcPr>
            <w:tcW w:w="240" w:type="dxa"/>
            <w:shd w:val="clear" w:color="auto" w:fill="D4E3F5"/>
          </w:tcPr>
          <w:p>
            <w:pPr>
              <w:pStyle w:val="TableParagraph"/>
              <w:spacing w:before="0"/>
              <w:jc w:val="left"/>
              <w:rPr>
                <w:rFonts w:ascii="Times New Roman"/>
                <w:sz w:val="12"/>
              </w:rPr>
            </w:pPr>
          </w:p>
        </w:tc>
        <w:tc>
          <w:tcPr>
            <w:tcW w:w="851" w:type="dxa"/>
            <w:shd w:val="clear" w:color="auto" w:fill="D4E3F5"/>
          </w:tcPr>
          <w:p>
            <w:pPr>
              <w:pStyle w:val="TableParagraph"/>
              <w:ind w:left="85" w:right="136"/>
              <w:rPr>
                <w:sz w:val="14"/>
              </w:rPr>
            </w:pPr>
            <w:r>
              <w:rPr>
                <w:color w:val="231F20"/>
                <w:spacing w:val="-5"/>
                <w:w w:val="95"/>
                <w:sz w:val="14"/>
              </w:rPr>
              <w:t>4.0</w:t>
            </w:r>
          </w:p>
        </w:tc>
        <w:tc>
          <w:tcPr>
            <w:tcW w:w="1064" w:type="dxa"/>
            <w:shd w:val="clear" w:color="auto" w:fill="D4E3F5"/>
          </w:tcPr>
          <w:p>
            <w:pPr>
              <w:pStyle w:val="TableParagraph"/>
              <w:ind w:left="63" w:right="37"/>
              <w:rPr>
                <w:sz w:val="14"/>
              </w:rPr>
            </w:pPr>
            <w:r>
              <w:rPr>
                <w:color w:val="231F20"/>
                <w:spacing w:val="-5"/>
                <w:w w:val="95"/>
                <w:sz w:val="14"/>
              </w:rPr>
              <w:t>3.2</w:t>
            </w:r>
          </w:p>
        </w:tc>
        <w:tc>
          <w:tcPr>
            <w:tcW w:w="948" w:type="dxa"/>
            <w:shd w:val="clear" w:color="auto" w:fill="D4E3F5"/>
          </w:tcPr>
          <w:p>
            <w:pPr>
              <w:pStyle w:val="TableParagraph"/>
              <w:ind w:left="75" w:right="60"/>
              <w:rPr>
                <w:sz w:val="14"/>
              </w:rPr>
            </w:pPr>
            <w:r>
              <w:rPr>
                <w:color w:val="231F20"/>
                <w:spacing w:val="-5"/>
                <w:w w:val="95"/>
                <w:sz w:val="14"/>
              </w:rPr>
              <w:t>1.9</w:t>
            </w:r>
          </w:p>
        </w:tc>
        <w:tc>
          <w:tcPr>
            <w:tcW w:w="1005" w:type="dxa"/>
            <w:shd w:val="clear" w:color="auto" w:fill="D4E3F5"/>
          </w:tcPr>
          <w:p>
            <w:pPr>
              <w:pStyle w:val="TableParagraph"/>
              <w:ind w:right="391"/>
              <w:jc w:val="right"/>
              <w:rPr>
                <w:sz w:val="14"/>
              </w:rPr>
            </w:pPr>
            <w:r>
              <w:rPr>
                <w:color w:val="231F20"/>
                <w:spacing w:val="-5"/>
                <w:w w:val="95"/>
                <w:sz w:val="14"/>
              </w:rPr>
              <w:t>5.4</w:t>
            </w:r>
          </w:p>
        </w:tc>
      </w:tr>
      <w:tr>
        <w:trPr>
          <w:trHeight w:val="254" w:hRule="atLeast"/>
        </w:trPr>
        <w:tc>
          <w:tcPr>
            <w:tcW w:w="1311" w:type="dxa"/>
            <w:tcBorders>
              <w:bottom w:val="single" w:sz="4" w:space="0" w:color="008FDD"/>
            </w:tcBorders>
          </w:tcPr>
          <w:p>
            <w:pPr>
              <w:pStyle w:val="TableParagraph"/>
              <w:ind w:left="79"/>
              <w:jc w:val="left"/>
              <w:rPr>
                <w:sz w:val="14"/>
              </w:rPr>
            </w:pPr>
            <w:r>
              <w:rPr>
                <w:color w:val="231F20"/>
                <w:w w:val="75"/>
                <w:sz w:val="14"/>
              </w:rPr>
              <w:t>Yemen,</w:t>
            </w:r>
            <w:r>
              <w:rPr>
                <w:color w:val="231F20"/>
                <w:spacing w:val="2"/>
                <w:sz w:val="14"/>
              </w:rPr>
              <w:t> </w:t>
            </w:r>
            <w:r>
              <w:rPr>
                <w:color w:val="231F20"/>
                <w:spacing w:val="-4"/>
                <w:w w:val="90"/>
                <w:sz w:val="14"/>
              </w:rPr>
              <w:t>Rep.</w:t>
            </w:r>
          </w:p>
        </w:tc>
        <w:tc>
          <w:tcPr>
            <w:tcW w:w="1150" w:type="dxa"/>
            <w:tcBorders>
              <w:bottom w:val="single" w:sz="4" w:space="0" w:color="008FDD"/>
            </w:tcBorders>
          </w:tcPr>
          <w:p>
            <w:pPr>
              <w:pStyle w:val="TableParagraph"/>
              <w:ind w:right="432"/>
              <w:jc w:val="right"/>
              <w:rPr>
                <w:sz w:val="14"/>
              </w:rPr>
            </w:pPr>
            <w:r>
              <w:rPr>
                <w:color w:val="231F20"/>
                <w:spacing w:val="-5"/>
                <w:w w:val="95"/>
                <w:sz w:val="14"/>
              </w:rPr>
              <w:t>73</w:t>
            </w:r>
          </w:p>
        </w:tc>
        <w:tc>
          <w:tcPr>
            <w:tcW w:w="851" w:type="dxa"/>
            <w:tcBorders>
              <w:bottom w:val="single" w:sz="4" w:space="0" w:color="008FDD"/>
            </w:tcBorders>
          </w:tcPr>
          <w:p>
            <w:pPr>
              <w:pStyle w:val="TableParagraph"/>
              <w:ind w:left="82" w:right="136"/>
              <w:rPr>
                <w:sz w:val="14"/>
              </w:rPr>
            </w:pPr>
            <w:r>
              <w:rPr>
                <w:color w:val="231F20"/>
                <w:spacing w:val="-5"/>
                <w:w w:val="95"/>
                <w:sz w:val="14"/>
              </w:rPr>
              <w:t>6.8</w:t>
            </w:r>
          </w:p>
        </w:tc>
        <w:tc>
          <w:tcPr>
            <w:tcW w:w="1063" w:type="dxa"/>
            <w:tcBorders>
              <w:bottom w:val="single" w:sz="4" w:space="0" w:color="008FDD"/>
            </w:tcBorders>
          </w:tcPr>
          <w:p>
            <w:pPr>
              <w:pStyle w:val="TableParagraph"/>
              <w:ind w:left="77" w:right="53"/>
              <w:rPr>
                <w:sz w:val="14"/>
              </w:rPr>
            </w:pPr>
            <w:r>
              <w:rPr>
                <w:color w:val="231F20"/>
                <w:spacing w:val="-5"/>
                <w:w w:val="95"/>
                <w:sz w:val="14"/>
              </w:rPr>
              <w:t>6.5</w:t>
            </w:r>
          </w:p>
        </w:tc>
        <w:tc>
          <w:tcPr>
            <w:tcW w:w="1083" w:type="dxa"/>
            <w:tcBorders>
              <w:bottom w:val="single" w:sz="4" w:space="0" w:color="008FDD"/>
            </w:tcBorders>
          </w:tcPr>
          <w:p>
            <w:pPr>
              <w:pStyle w:val="TableParagraph"/>
              <w:ind w:left="393"/>
              <w:jc w:val="left"/>
              <w:rPr>
                <w:sz w:val="14"/>
              </w:rPr>
            </w:pPr>
            <w:r>
              <w:rPr>
                <w:color w:val="231F20"/>
                <w:spacing w:val="-5"/>
                <w:w w:val="95"/>
                <w:sz w:val="14"/>
              </w:rPr>
              <w:t>4.5</w:t>
            </w:r>
          </w:p>
        </w:tc>
        <w:tc>
          <w:tcPr>
            <w:tcW w:w="751" w:type="dxa"/>
            <w:tcBorders>
              <w:bottom w:val="single" w:sz="4" w:space="0" w:color="008FDD"/>
            </w:tcBorders>
          </w:tcPr>
          <w:p>
            <w:pPr>
              <w:pStyle w:val="TableParagraph"/>
              <w:ind w:left="88" w:right="45"/>
              <w:rPr>
                <w:sz w:val="14"/>
              </w:rPr>
            </w:pPr>
            <w:r>
              <w:rPr>
                <w:color w:val="231F20"/>
                <w:spacing w:val="-5"/>
                <w:w w:val="95"/>
                <w:sz w:val="14"/>
              </w:rPr>
              <w:t>7.7</w:t>
            </w:r>
          </w:p>
        </w:tc>
        <w:tc>
          <w:tcPr>
            <w:tcW w:w="240" w:type="dxa"/>
            <w:tcBorders>
              <w:bottom w:val="single" w:sz="4" w:space="0" w:color="008FDD"/>
            </w:tcBorders>
          </w:tcPr>
          <w:p>
            <w:pPr>
              <w:pStyle w:val="TableParagraph"/>
              <w:spacing w:before="0"/>
              <w:jc w:val="left"/>
              <w:rPr>
                <w:rFonts w:ascii="Times New Roman"/>
                <w:sz w:val="12"/>
              </w:rPr>
            </w:pPr>
          </w:p>
        </w:tc>
        <w:tc>
          <w:tcPr>
            <w:tcW w:w="851" w:type="dxa"/>
            <w:tcBorders>
              <w:bottom w:val="single" w:sz="4" w:space="0" w:color="008FDD"/>
            </w:tcBorders>
          </w:tcPr>
          <w:p>
            <w:pPr>
              <w:pStyle w:val="TableParagraph"/>
              <w:ind w:left="85" w:right="136"/>
              <w:rPr>
                <w:sz w:val="14"/>
              </w:rPr>
            </w:pPr>
            <w:r>
              <w:rPr>
                <w:color w:val="231F20"/>
                <w:spacing w:val="-5"/>
                <w:w w:val="95"/>
                <w:sz w:val="14"/>
              </w:rPr>
              <w:t>2.9</w:t>
            </w:r>
          </w:p>
        </w:tc>
        <w:tc>
          <w:tcPr>
            <w:tcW w:w="1064" w:type="dxa"/>
            <w:tcBorders>
              <w:bottom w:val="single" w:sz="4" w:space="0" w:color="008FDD"/>
            </w:tcBorders>
          </w:tcPr>
          <w:p>
            <w:pPr>
              <w:pStyle w:val="TableParagraph"/>
              <w:ind w:left="63" w:right="37"/>
              <w:rPr>
                <w:sz w:val="14"/>
              </w:rPr>
            </w:pPr>
            <w:r>
              <w:rPr>
                <w:color w:val="231F20"/>
                <w:spacing w:val="-5"/>
                <w:w w:val="95"/>
                <w:sz w:val="14"/>
              </w:rPr>
              <w:t>0.0</w:t>
            </w:r>
          </w:p>
        </w:tc>
        <w:tc>
          <w:tcPr>
            <w:tcW w:w="948" w:type="dxa"/>
            <w:tcBorders>
              <w:bottom w:val="single" w:sz="4" w:space="0" w:color="008FDD"/>
            </w:tcBorders>
          </w:tcPr>
          <w:p>
            <w:pPr>
              <w:pStyle w:val="TableParagraph"/>
              <w:ind w:left="69" w:right="60"/>
              <w:rPr>
                <w:sz w:val="14"/>
              </w:rPr>
            </w:pPr>
            <w:r>
              <w:rPr>
                <w:color w:val="231F20"/>
                <w:spacing w:val="-5"/>
                <w:w w:val="95"/>
                <w:sz w:val="14"/>
              </w:rPr>
              <w:t>0.0</w:t>
            </w:r>
          </w:p>
        </w:tc>
        <w:tc>
          <w:tcPr>
            <w:tcW w:w="1005" w:type="dxa"/>
            <w:tcBorders>
              <w:bottom w:val="single" w:sz="4" w:space="0" w:color="008FDD"/>
            </w:tcBorders>
          </w:tcPr>
          <w:p>
            <w:pPr>
              <w:pStyle w:val="TableParagraph"/>
              <w:ind w:right="388"/>
              <w:jc w:val="right"/>
              <w:rPr>
                <w:sz w:val="14"/>
              </w:rPr>
            </w:pPr>
            <w:r>
              <w:rPr>
                <w:color w:val="231F20"/>
                <w:spacing w:val="-5"/>
                <w:w w:val="95"/>
                <w:sz w:val="14"/>
              </w:rPr>
              <w:t>5.2</w:t>
            </w:r>
          </w:p>
        </w:tc>
      </w:tr>
    </w:tbl>
    <w:p>
      <w:pPr>
        <w:pStyle w:val="BodyText"/>
        <w:spacing w:before="86"/>
        <w:rPr>
          <w:rFonts w:ascii="Arial"/>
          <w:sz w:val="12"/>
        </w:rPr>
      </w:pPr>
    </w:p>
    <w:p>
      <w:pPr>
        <w:spacing w:before="0"/>
        <w:ind w:left="719" w:right="0" w:firstLine="0"/>
        <w:jc w:val="left"/>
        <w:rPr>
          <w:rFonts w:ascii="Arial"/>
          <w:sz w:val="12"/>
        </w:rPr>
      </w:pPr>
      <w:r>
        <w:rPr>
          <w:rFonts w:ascii="Arial"/>
          <w:i/>
          <w:color w:val="231F20"/>
          <w:w w:val="75"/>
          <w:sz w:val="12"/>
        </w:rPr>
        <w:t>Source:</w:t>
      </w:r>
      <w:r>
        <w:rPr>
          <w:rFonts w:ascii="Arial"/>
          <w:i/>
          <w:color w:val="231F20"/>
          <w:spacing w:val="5"/>
          <w:sz w:val="12"/>
        </w:rPr>
        <w:t> </w:t>
      </w:r>
      <w:r>
        <w:rPr>
          <w:rFonts w:ascii="Arial"/>
          <w:color w:val="231F20"/>
          <w:spacing w:val="-2"/>
          <w:w w:val="90"/>
          <w:sz w:val="12"/>
        </w:rPr>
        <w:t>TradeLens.</w:t>
      </w:r>
    </w:p>
    <w:p>
      <w:pPr>
        <w:spacing w:after="0"/>
        <w:jc w:val="left"/>
        <w:rPr>
          <w:rFonts w:ascii="Arial"/>
          <w:sz w:val="12"/>
        </w:rPr>
        <w:sectPr>
          <w:pgSz w:w="12240" w:h="15840"/>
          <w:pgMar w:header="370" w:footer="548" w:top="560" w:bottom="740" w:left="0" w:right="540"/>
        </w:sectPr>
      </w:pPr>
    </w:p>
    <w:p>
      <w:pPr>
        <w:pStyle w:val="BodyText"/>
        <w:rPr>
          <w:rFonts w:ascii="Arial"/>
          <w:sz w:val="20"/>
        </w:rPr>
      </w:pPr>
      <w:r>
        <w:rPr/>
        <mc:AlternateContent>
          <mc:Choice Requires="wps">
            <w:drawing>
              <wp:anchor distT="0" distB="0" distL="0" distR="0" allowOverlap="1" layoutInCell="1" locked="0" behindDoc="1" simplePos="0" relativeHeight="466768896">
                <wp:simplePos x="0" y="0"/>
                <wp:positionH relativeFrom="page">
                  <wp:posOffset>723900</wp:posOffset>
                </wp:positionH>
                <wp:positionV relativeFrom="page">
                  <wp:posOffset>838200</wp:posOffset>
                </wp:positionV>
                <wp:extent cx="4953000" cy="609600"/>
                <wp:effectExtent l="0" t="0" r="0" b="0"/>
                <wp:wrapNone/>
                <wp:docPr id="1583" name="Group 1583"/>
                <wp:cNvGraphicFramePr>
                  <a:graphicFrameLocks/>
                </wp:cNvGraphicFramePr>
                <a:graphic>
                  <a:graphicData uri="http://schemas.microsoft.com/office/word/2010/wordprocessingGroup">
                    <wpg:wgp>
                      <wpg:cNvPr id="1583" name="Group 1583"/>
                      <wpg:cNvGrpSpPr/>
                      <wpg:grpSpPr>
                        <a:xfrm>
                          <a:off x="0" y="0"/>
                          <a:ext cx="4953000" cy="609600"/>
                          <a:chExt cx="4953000" cy="609600"/>
                        </a:xfrm>
                      </wpg:grpSpPr>
                      <wps:wsp>
                        <wps:cNvPr id="1584" name="Graphic 1584"/>
                        <wps:cNvSpPr/>
                        <wps:spPr>
                          <a:xfrm>
                            <a:off x="63500" y="19050"/>
                            <a:ext cx="4870450" cy="226060"/>
                          </a:xfrm>
                          <a:custGeom>
                            <a:avLst/>
                            <a:gdLst/>
                            <a:ahLst/>
                            <a:cxnLst/>
                            <a:rect l="l" t="t" r="r" b="b"/>
                            <a:pathLst>
                              <a:path w="4870450" h="226060">
                                <a:moveTo>
                                  <a:pt x="4775200" y="0"/>
                                </a:moveTo>
                                <a:lnTo>
                                  <a:pt x="50800" y="0"/>
                                </a:lnTo>
                                <a:lnTo>
                                  <a:pt x="13757" y="7496"/>
                                </a:lnTo>
                                <a:lnTo>
                                  <a:pt x="0" y="16778"/>
                                </a:lnTo>
                                <a:lnTo>
                                  <a:pt x="0" y="225907"/>
                                </a:lnTo>
                                <a:lnTo>
                                  <a:pt x="4870450" y="225907"/>
                                </a:lnTo>
                                <a:lnTo>
                                  <a:pt x="4870450" y="95250"/>
                                </a:lnTo>
                                <a:lnTo>
                                  <a:pt x="4862953" y="58207"/>
                                </a:lnTo>
                                <a:lnTo>
                                  <a:pt x="4842522" y="27927"/>
                                </a:lnTo>
                                <a:lnTo>
                                  <a:pt x="4812242" y="7496"/>
                                </a:lnTo>
                                <a:lnTo>
                                  <a:pt x="4775200" y="0"/>
                                </a:lnTo>
                                <a:close/>
                              </a:path>
                            </a:pathLst>
                          </a:custGeom>
                          <a:solidFill>
                            <a:srgbClr val="808285"/>
                          </a:solidFill>
                        </wps:spPr>
                        <wps:bodyPr wrap="square" lIns="0" tIns="0" rIns="0" bIns="0" rtlCol="0">
                          <a:prstTxWarp prst="textNoShape">
                            <a:avLst/>
                          </a:prstTxWarp>
                          <a:noAutofit/>
                        </wps:bodyPr>
                      </wps:wsp>
                      <wps:wsp>
                        <wps:cNvPr id="1585" name="Graphic 1585"/>
                        <wps:cNvSpPr/>
                        <wps:spPr>
                          <a:xfrm>
                            <a:off x="571500" y="29057"/>
                            <a:ext cx="1270" cy="225425"/>
                          </a:xfrm>
                          <a:custGeom>
                            <a:avLst/>
                            <a:gdLst/>
                            <a:ahLst/>
                            <a:cxnLst/>
                            <a:rect l="l" t="t" r="r" b="b"/>
                            <a:pathLst>
                              <a:path w="0" h="225425">
                                <a:moveTo>
                                  <a:pt x="0" y="2249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586" name="Graphic 1586"/>
                        <wps:cNvSpPr/>
                        <wps:spPr>
                          <a:xfrm>
                            <a:off x="38100" y="38100"/>
                            <a:ext cx="520700" cy="206375"/>
                          </a:xfrm>
                          <a:custGeom>
                            <a:avLst/>
                            <a:gdLst/>
                            <a:ahLst/>
                            <a:cxnLst/>
                            <a:rect l="l" t="t" r="r" b="b"/>
                            <a:pathLst>
                              <a:path w="520700" h="206375">
                                <a:moveTo>
                                  <a:pt x="0" y="206375"/>
                                </a:moveTo>
                                <a:lnTo>
                                  <a:pt x="520700" y="206375"/>
                                </a:lnTo>
                                <a:lnTo>
                                  <a:pt x="520700" y="0"/>
                                </a:lnTo>
                                <a:lnTo>
                                  <a:pt x="0" y="0"/>
                                </a:lnTo>
                                <a:lnTo>
                                  <a:pt x="0" y="206375"/>
                                </a:lnTo>
                                <a:close/>
                              </a:path>
                            </a:pathLst>
                          </a:custGeom>
                          <a:solidFill>
                            <a:srgbClr val="008FDD"/>
                          </a:solidFill>
                        </wps:spPr>
                        <wps:bodyPr wrap="square" lIns="0" tIns="0" rIns="0" bIns="0" rtlCol="0">
                          <a:prstTxWarp prst="textNoShape">
                            <a:avLst/>
                          </a:prstTxWarp>
                          <a:noAutofit/>
                        </wps:bodyPr>
                      </wps:wsp>
                      <wps:wsp>
                        <wps:cNvPr id="1587" name="Graphic 1587"/>
                        <wps:cNvSpPr/>
                        <wps:spPr>
                          <a:xfrm>
                            <a:off x="19050" y="19050"/>
                            <a:ext cx="4914900" cy="431800"/>
                          </a:xfrm>
                          <a:custGeom>
                            <a:avLst/>
                            <a:gdLst/>
                            <a:ahLst/>
                            <a:cxnLst/>
                            <a:rect l="l" t="t" r="r" b="b"/>
                            <a:pathLst>
                              <a:path w="4914900" h="431800">
                                <a:moveTo>
                                  <a:pt x="95250" y="0"/>
                                </a:moveTo>
                                <a:lnTo>
                                  <a:pt x="58212" y="7497"/>
                                </a:lnTo>
                                <a:lnTo>
                                  <a:pt x="27932" y="27932"/>
                                </a:lnTo>
                                <a:lnTo>
                                  <a:pt x="7497" y="58212"/>
                                </a:lnTo>
                                <a:lnTo>
                                  <a:pt x="0" y="95250"/>
                                </a:lnTo>
                                <a:lnTo>
                                  <a:pt x="0" y="412750"/>
                                </a:lnTo>
                                <a:lnTo>
                                  <a:pt x="0" y="431800"/>
                                </a:lnTo>
                                <a:lnTo>
                                  <a:pt x="19050" y="431800"/>
                                </a:lnTo>
                                <a:lnTo>
                                  <a:pt x="4895850" y="431800"/>
                                </a:lnTo>
                                <a:lnTo>
                                  <a:pt x="4914900" y="431800"/>
                                </a:lnTo>
                                <a:lnTo>
                                  <a:pt x="4914900" y="412750"/>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588" name="Graphic 1588"/>
                        <wps:cNvSpPr/>
                        <wps:spPr>
                          <a:xfrm>
                            <a:off x="38100" y="342899"/>
                            <a:ext cx="4876800" cy="266700"/>
                          </a:xfrm>
                          <a:custGeom>
                            <a:avLst/>
                            <a:gdLst/>
                            <a:ahLst/>
                            <a:cxnLst/>
                            <a:rect l="l" t="t" r="r" b="b"/>
                            <a:pathLst>
                              <a:path w="4876800" h="266700">
                                <a:moveTo>
                                  <a:pt x="4876800" y="0"/>
                                </a:moveTo>
                                <a:lnTo>
                                  <a:pt x="4876800" y="0"/>
                                </a:lnTo>
                                <a:lnTo>
                                  <a:pt x="0" y="0"/>
                                </a:lnTo>
                                <a:lnTo>
                                  <a:pt x="0" y="266674"/>
                                </a:lnTo>
                                <a:lnTo>
                                  <a:pt x="4876800" y="266674"/>
                                </a:lnTo>
                                <a:lnTo>
                                  <a:pt x="4876800" y="0"/>
                                </a:lnTo>
                                <a:close/>
                              </a:path>
                            </a:pathLst>
                          </a:custGeom>
                          <a:solidFill>
                            <a:srgbClr val="FFFFFF"/>
                          </a:solidFill>
                        </wps:spPr>
                        <wps:bodyPr wrap="square" lIns="0" tIns="0" rIns="0" bIns="0" rtlCol="0">
                          <a:prstTxWarp prst="textNoShape">
                            <a:avLst/>
                          </a:prstTxWarp>
                          <a:noAutofit/>
                        </wps:bodyPr>
                      </wps:wsp>
                      <wps:wsp>
                        <wps:cNvPr id="1589" name="Textbox 1589"/>
                        <wps:cNvSpPr txBox="1"/>
                        <wps:spPr>
                          <a:xfrm>
                            <a:off x="0" y="0"/>
                            <a:ext cx="4953000" cy="609600"/>
                          </a:xfrm>
                          <a:prstGeom prst="rect">
                            <a:avLst/>
                          </a:prstGeom>
                        </wps:spPr>
                        <wps:txbx>
                          <w:txbxContent>
                            <w:p>
                              <w:pPr>
                                <w:spacing w:before="130"/>
                                <w:ind w:left="1060" w:right="0" w:firstLine="0"/>
                                <w:jc w:val="left"/>
                                <w:rPr>
                                  <w:rFonts w:ascii="Arial"/>
                                  <w:b/>
                                  <w:sz w:val="16"/>
                                </w:rPr>
                              </w:pPr>
                              <w:r>
                                <w:rPr>
                                  <w:rFonts w:ascii="Arial"/>
                                  <w:b/>
                                  <w:color w:val="FFFFFF"/>
                                  <w:w w:val="105"/>
                                  <w:sz w:val="16"/>
                                </w:rPr>
                                <w:t>Dwell</w:t>
                              </w:r>
                              <w:r>
                                <w:rPr>
                                  <w:rFonts w:ascii="Arial"/>
                                  <w:b/>
                                  <w:color w:val="FFFFFF"/>
                                  <w:spacing w:val="17"/>
                                  <w:w w:val="105"/>
                                  <w:sz w:val="16"/>
                                </w:rPr>
                                <w:t> </w:t>
                              </w:r>
                              <w:r>
                                <w:rPr>
                                  <w:rFonts w:ascii="Arial"/>
                                  <w:b/>
                                  <w:color w:val="FFFFFF"/>
                                  <w:w w:val="105"/>
                                  <w:sz w:val="16"/>
                                </w:rPr>
                                <w:t>times</w:t>
                              </w:r>
                              <w:r>
                                <w:rPr>
                                  <w:rFonts w:ascii="Arial"/>
                                  <w:b/>
                                  <w:color w:val="FFFFFF"/>
                                  <w:spacing w:val="18"/>
                                  <w:w w:val="105"/>
                                  <w:sz w:val="16"/>
                                </w:rPr>
                                <w:t> </w:t>
                              </w:r>
                              <w:r>
                                <w:rPr>
                                  <w:rFonts w:ascii="Arial"/>
                                  <w:b/>
                                  <w:color w:val="FFFFFF"/>
                                  <w:w w:val="105"/>
                                  <w:sz w:val="16"/>
                                </w:rPr>
                                <w:t>for</w:t>
                              </w:r>
                              <w:r>
                                <w:rPr>
                                  <w:rFonts w:ascii="Arial"/>
                                  <w:b/>
                                  <w:color w:val="FFFFFF"/>
                                  <w:spacing w:val="17"/>
                                  <w:w w:val="105"/>
                                  <w:sz w:val="16"/>
                                </w:rPr>
                                <w:t> </w:t>
                              </w:r>
                              <w:r>
                                <w:rPr>
                                  <w:rFonts w:ascii="Arial"/>
                                  <w:b/>
                                  <w:color w:val="FFFFFF"/>
                                  <w:w w:val="105"/>
                                  <w:sz w:val="16"/>
                                </w:rPr>
                                <w:t>landlocked</w:t>
                              </w:r>
                              <w:r>
                                <w:rPr>
                                  <w:rFonts w:ascii="Arial"/>
                                  <w:b/>
                                  <w:color w:val="FFFFFF"/>
                                  <w:spacing w:val="18"/>
                                  <w:w w:val="105"/>
                                  <w:sz w:val="16"/>
                                </w:rPr>
                                <w:t> </w:t>
                              </w:r>
                              <w:r>
                                <w:rPr>
                                  <w:rFonts w:ascii="Arial"/>
                                  <w:b/>
                                  <w:color w:val="FFFFFF"/>
                                  <w:w w:val="105"/>
                                  <w:sz w:val="16"/>
                                </w:rPr>
                                <w:t>developing</w:t>
                              </w:r>
                              <w:r>
                                <w:rPr>
                                  <w:rFonts w:ascii="Arial"/>
                                  <w:b/>
                                  <w:color w:val="FFFFFF"/>
                                  <w:spacing w:val="17"/>
                                  <w:w w:val="105"/>
                                  <w:sz w:val="16"/>
                                </w:rPr>
                                <w:t> </w:t>
                              </w:r>
                              <w:r>
                                <w:rPr>
                                  <w:rFonts w:ascii="Arial"/>
                                  <w:b/>
                                  <w:color w:val="FFFFFF"/>
                                  <w:w w:val="105"/>
                                  <w:sz w:val="16"/>
                                </w:rPr>
                                <w:t>countries,</w:t>
                              </w:r>
                              <w:r>
                                <w:rPr>
                                  <w:rFonts w:ascii="Arial"/>
                                  <w:b/>
                                  <w:color w:val="FFFFFF"/>
                                  <w:spacing w:val="18"/>
                                  <w:w w:val="105"/>
                                  <w:sz w:val="16"/>
                                </w:rPr>
                                <w:t> </w:t>
                              </w:r>
                              <w:r>
                                <w:rPr>
                                  <w:rFonts w:ascii="Arial"/>
                                  <w:b/>
                                  <w:color w:val="FFFFFF"/>
                                  <w:w w:val="105"/>
                                  <w:sz w:val="16"/>
                                </w:rPr>
                                <w:t>2022</w:t>
                              </w:r>
                              <w:r>
                                <w:rPr>
                                  <w:rFonts w:ascii="Arial"/>
                                  <w:b/>
                                  <w:color w:val="FFFFFF"/>
                                  <w:spacing w:val="18"/>
                                  <w:w w:val="105"/>
                                  <w:sz w:val="16"/>
                                </w:rPr>
                                <w:t> </w:t>
                              </w:r>
                              <w:r>
                                <w:rPr>
                                  <w:rFonts w:ascii="Arial"/>
                                  <w:b/>
                                  <w:color w:val="FFFFFF"/>
                                  <w:spacing w:val="-2"/>
                                  <w:w w:val="105"/>
                                  <w:sz w:val="16"/>
                                </w:rPr>
                                <w:t>(days)</w:t>
                              </w:r>
                            </w:p>
                          </w:txbxContent>
                        </wps:txbx>
                        <wps:bodyPr wrap="square" lIns="0" tIns="0" rIns="0" bIns="0" rtlCol="0">
                          <a:noAutofit/>
                        </wps:bodyPr>
                      </wps:wsp>
                      <wps:wsp>
                        <wps:cNvPr id="1590" name="Textbox 1590"/>
                        <wps:cNvSpPr txBox="1"/>
                        <wps:spPr>
                          <a:xfrm>
                            <a:off x="38100" y="38100"/>
                            <a:ext cx="520700" cy="206375"/>
                          </a:xfrm>
                          <a:prstGeom prst="rect">
                            <a:avLst/>
                          </a:prstGeom>
                        </wps:spPr>
                        <wps:txbx>
                          <w:txbxContent>
                            <w:p>
                              <w:pPr>
                                <w:spacing w:before="70"/>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2.6</w:t>
                              </w:r>
                            </w:p>
                          </w:txbxContent>
                        </wps:txbx>
                        <wps:bodyPr wrap="square" lIns="0" tIns="0" rIns="0" bIns="0" rtlCol="0">
                          <a:noAutofit/>
                        </wps:bodyPr>
                      </wps:wsp>
                    </wpg:wgp>
                  </a:graphicData>
                </a:graphic>
              </wp:anchor>
            </w:drawing>
          </mc:Choice>
          <mc:Fallback>
            <w:pict>
              <v:group style="position:absolute;margin-left:57pt;margin-top:66pt;width:390pt;height:48pt;mso-position-horizontal-relative:page;mso-position-vertical-relative:page;z-index:-36547584" id="docshapegroup1342" coordorigin="1140,1320" coordsize="7800,960">
                <v:shape style="position:absolute;left:1240;top:1350;width:7670;height:356" id="docshape1343" coordorigin="1240,1350" coordsize="7670,356" path="m8760,1350l1320,1350,1262,1362,1240,1376,1240,1706,8910,1706,8910,1500,8898,1442,8866,1394,8818,1362,8760,1350xe" filled="true" fillcolor="#808285" stroked="false">
                  <v:path arrowok="t"/>
                  <v:fill type="solid"/>
                </v:shape>
                <v:line style="position:absolute" from="2040,1720" to="2040,1366" stroked="true" strokeweight="2pt" strokecolor="#ffffff">
                  <v:stroke dashstyle="solid"/>
                </v:line>
                <v:rect style="position:absolute;left:1200;top:1380;width:820;height:325" id="docshape1344" filled="true" fillcolor="#008fdd" stroked="false">
                  <v:fill type="solid"/>
                </v:rect>
                <v:shape style="position:absolute;left:1170;top:1350;width:7740;height:680" id="docshape1345" coordorigin="1170,1350" coordsize="7740,680" path="m1320,1350l1262,1362,1214,1394,1182,1442,1170,1500,1170,2000,1170,2030,1200,2030,8880,2030,8910,2030,8910,2000,8910,1500,8898,1442,8866,1394,8818,1362,8760,1350,1320,1350xe" filled="false" stroked="true" strokeweight="3pt" strokecolor="#ffffff">
                  <v:path arrowok="t"/>
                  <v:stroke dashstyle="solid"/>
                </v:shape>
                <v:rect style="position:absolute;left:1200;top:1860;width:7680;height:420" id="docshape1346" filled="true" fillcolor="#ffffff" stroked="false">
                  <v:fill type="solid"/>
                </v:rect>
                <v:shape style="position:absolute;left:1140;top:1320;width:7800;height:960" type="#_x0000_t202" id="docshape1347" filled="false" stroked="false">
                  <v:textbox inset="0,0,0,0">
                    <w:txbxContent>
                      <w:p>
                        <w:pPr>
                          <w:spacing w:before="130"/>
                          <w:ind w:left="1060" w:right="0" w:firstLine="0"/>
                          <w:jc w:val="left"/>
                          <w:rPr>
                            <w:rFonts w:ascii="Arial"/>
                            <w:b/>
                            <w:sz w:val="16"/>
                          </w:rPr>
                        </w:pPr>
                        <w:r>
                          <w:rPr>
                            <w:rFonts w:ascii="Arial"/>
                            <w:b/>
                            <w:color w:val="FFFFFF"/>
                            <w:w w:val="105"/>
                            <w:sz w:val="16"/>
                          </w:rPr>
                          <w:t>Dwell</w:t>
                        </w:r>
                        <w:r>
                          <w:rPr>
                            <w:rFonts w:ascii="Arial"/>
                            <w:b/>
                            <w:color w:val="FFFFFF"/>
                            <w:spacing w:val="17"/>
                            <w:w w:val="105"/>
                            <w:sz w:val="16"/>
                          </w:rPr>
                          <w:t> </w:t>
                        </w:r>
                        <w:r>
                          <w:rPr>
                            <w:rFonts w:ascii="Arial"/>
                            <w:b/>
                            <w:color w:val="FFFFFF"/>
                            <w:w w:val="105"/>
                            <w:sz w:val="16"/>
                          </w:rPr>
                          <w:t>times</w:t>
                        </w:r>
                        <w:r>
                          <w:rPr>
                            <w:rFonts w:ascii="Arial"/>
                            <w:b/>
                            <w:color w:val="FFFFFF"/>
                            <w:spacing w:val="18"/>
                            <w:w w:val="105"/>
                            <w:sz w:val="16"/>
                          </w:rPr>
                          <w:t> </w:t>
                        </w:r>
                        <w:r>
                          <w:rPr>
                            <w:rFonts w:ascii="Arial"/>
                            <w:b/>
                            <w:color w:val="FFFFFF"/>
                            <w:w w:val="105"/>
                            <w:sz w:val="16"/>
                          </w:rPr>
                          <w:t>for</w:t>
                        </w:r>
                        <w:r>
                          <w:rPr>
                            <w:rFonts w:ascii="Arial"/>
                            <w:b/>
                            <w:color w:val="FFFFFF"/>
                            <w:spacing w:val="17"/>
                            <w:w w:val="105"/>
                            <w:sz w:val="16"/>
                          </w:rPr>
                          <w:t> </w:t>
                        </w:r>
                        <w:r>
                          <w:rPr>
                            <w:rFonts w:ascii="Arial"/>
                            <w:b/>
                            <w:color w:val="FFFFFF"/>
                            <w:w w:val="105"/>
                            <w:sz w:val="16"/>
                          </w:rPr>
                          <w:t>landlocked</w:t>
                        </w:r>
                        <w:r>
                          <w:rPr>
                            <w:rFonts w:ascii="Arial"/>
                            <w:b/>
                            <w:color w:val="FFFFFF"/>
                            <w:spacing w:val="18"/>
                            <w:w w:val="105"/>
                            <w:sz w:val="16"/>
                          </w:rPr>
                          <w:t> </w:t>
                        </w:r>
                        <w:r>
                          <w:rPr>
                            <w:rFonts w:ascii="Arial"/>
                            <w:b/>
                            <w:color w:val="FFFFFF"/>
                            <w:w w:val="105"/>
                            <w:sz w:val="16"/>
                          </w:rPr>
                          <w:t>developing</w:t>
                        </w:r>
                        <w:r>
                          <w:rPr>
                            <w:rFonts w:ascii="Arial"/>
                            <w:b/>
                            <w:color w:val="FFFFFF"/>
                            <w:spacing w:val="17"/>
                            <w:w w:val="105"/>
                            <w:sz w:val="16"/>
                          </w:rPr>
                          <w:t> </w:t>
                        </w:r>
                        <w:r>
                          <w:rPr>
                            <w:rFonts w:ascii="Arial"/>
                            <w:b/>
                            <w:color w:val="FFFFFF"/>
                            <w:w w:val="105"/>
                            <w:sz w:val="16"/>
                          </w:rPr>
                          <w:t>countries,</w:t>
                        </w:r>
                        <w:r>
                          <w:rPr>
                            <w:rFonts w:ascii="Arial"/>
                            <w:b/>
                            <w:color w:val="FFFFFF"/>
                            <w:spacing w:val="18"/>
                            <w:w w:val="105"/>
                            <w:sz w:val="16"/>
                          </w:rPr>
                          <w:t> </w:t>
                        </w:r>
                        <w:r>
                          <w:rPr>
                            <w:rFonts w:ascii="Arial"/>
                            <w:b/>
                            <w:color w:val="FFFFFF"/>
                            <w:w w:val="105"/>
                            <w:sz w:val="16"/>
                          </w:rPr>
                          <w:t>2022</w:t>
                        </w:r>
                        <w:r>
                          <w:rPr>
                            <w:rFonts w:ascii="Arial"/>
                            <w:b/>
                            <w:color w:val="FFFFFF"/>
                            <w:spacing w:val="18"/>
                            <w:w w:val="105"/>
                            <w:sz w:val="16"/>
                          </w:rPr>
                          <w:t> </w:t>
                        </w:r>
                        <w:r>
                          <w:rPr>
                            <w:rFonts w:ascii="Arial"/>
                            <w:b/>
                            <w:color w:val="FFFFFF"/>
                            <w:spacing w:val="-2"/>
                            <w:w w:val="105"/>
                            <w:sz w:val="16"/>
                          </w:rPr>
                          <w:t>(days)</w:t>
                        </w:r>
                      </w:p>
                    </w:txbxContent>
                  </v:textbox>
                  <w10:wrap type="none"/>
                </v:shape>
                <v:shape style="position:absolute;left:1200;top:1380;width:820;height:325" type="#_x0000_t202" id="docshape1348" filled="false" stroked="false">
                  <v:textbox inset="0,0,0,0">
                    <w:txbxContent>
                      <w:p>
                        <w:pPr>
                          <w:spacing w:before="70"/>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2.6</w:t>
                        </w:r>
                      </w:p>
                    </w:txbxContent>
                  </v:textbox>
                  <w10:wrap type="none"/>
                </v:shape>
                <w10:wrap type="none"/>
              </v:group>
            </w:pict>
          </mc:Fallback>
        </mc:AlternateConten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85"/>
        <w:rPr>
          <w:rFonts w:ascii="Arial"/>
          <w:sz w:val="20"/>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4"/>
        <w:gridCol w:w="1402"/>
        <w:gridCol w:w="1604"/>
        <w:gridCol w:w="1599"/>
        <w:gridCol w:w="1490"/>
      </w:tblGrid>
      <w:tr>
        <w:trPr>
          <w:trHeight w:val="369" w:hRule="atLeast"/>
        </w:trPr>
        <w:tc>
          <w:tcPr>
            <w:tcW w:w="1584" w:type="dxa"/>
            <w:tcBorders>
              <w:bottom w:val="single" w:sz="4" w:space="0" w:color="008FDD"/>
            </w:tcBorders>
            <w:shd w:val="clear" w:color="auto" w:fill="FFFFFF"/>
          </w:tcPr>
          <w:p>
            <w:pPr>
              <w:pStyle w:val="TableParagraph"/>
              <w:spacing w:before="2"/>
              <w:jc w:val="left"/>
              <w:rPr>
                <w:sz w:val="14"/>
              </w:rPr>
            </w:pPr>
          </w:p>
          <w:p>
            <w:pPr>
              <w:pStyle w:val="TableParagraph"/>
              <w:spacing w:before="0"/>
              <w:ind w:left="80"/>
              <w:jc w:val="left"/>
              <w:rPr>
                <w:b/>
                <w:sz w:val="14"/>
              </w:rPr>
            </w:pPr>
            <w:r>
              <w:rPr>
                <w:b/>
                <w:color w:val="231F20"/>
                <w:spacing w:val="-2"/>
                <w:w w:val="90"/>
                <w:sz w:val="14"/>
              </w:rPr>
              <w:t>Country</w:t>
            </w:r>
          </w:p>
        </w:tc>
        <w:tc>
          <w:tcPr>
            <w:tcW w:w="1402" w:type="dxa"/>
            <w:tcBorders>
              <w:bottom w:val="single" w:sz="4" w:space="0" w:color="008FDD"/>
            </w:tcBorders>
            <w:shd w:val="clear" w:color="auto" w:fill="FFFFFF"/>
          </w:tcPr>
          <w:p>
            <w:pPr>
              <w:pStyle w:val="TableParagraph"/>
              <w:spacing w:before="2"/>
              <w:jc w:val="left"/>
              <w:rPr>
                <w:sz w:val="14"/>
              </w:rPr>
            </w:pPr>
          </w:p>
          <w:p>
            <w:pPr>
              <w:pStyle w:val="TableParagraph"/>
              <w:spacing w:before="0"/>
              <w:ind w:left="285"/>
              <w:jc w:val="left"/>
              <w:rPr>
                <w:b/>
                <w:sz w:val="14"/>
              </w:rPr>
            </w:pPr>
            <w:r>
              <w:rPr>
                <w:b/>
                <w:color w:val="231F20"/>
                <w:w w:val="80"/>
                <w:sz w:val="14"/>
              </w:rPr>
              <w:t>Port</w:t>
            </w:r>
            <w:r>
              <w:rPr>
                <w:b/>
                <w:color w:val="231F20"/>
                <w:spacing w:val="11"/>
                <w:sz w:val="14"/>
              </w:rPr>
              <w:t> </w:t>
            </w:r>
            <w:r>
              <w:rPr>
                <w:b/>
                <w:color w:val="231F20"/>
                <w:w w:val="80"/>
                <w:sz w:val="14"/>
              </w:rPr>
              <w:t>dwell</w:t>
            </w:r>
            <w:r>
              <w:rPr>
                <w:b/>
                <w:color w:val="231F20"/>
                <w:spacing w:val="12"/>
                <w:sz w:val="14"/>
              </w:rPr>
              <w:t> </w:t>
            </w:r>
            <w:r>
              <w:rPr>
                <w:b/>
                <w:color w:val="231F20"/>
                <w:spacing w:val="-4"/>
                <w:w w:val="80"/>
                <w:sz w:val="14"/>
              </w:rPr>
              <w:t>time</w:t>
            </w:r>
          </w:p>
        </w:tc>
        <w:tc>
          <w:tcPr>
            <w:tcW w:w="1604" w:type="dxa"/>
            <w:tcBorders>
              <w:bottom w:val="single" w:sz="4" w:space="0" w:color="008FDD"/>
            </w:tcBorders>
            <w:shd w:val="clear" w:color="auto" w:fill="FFFFFF"/>
          </w:tcPr>
          <w:p>
            <w:pPr>
              <w:pStyle w:val="TableParagraph"/>
              <w:spacing w:before="3"/>
              <w:ind w:left="278" w:right="51" w:hanging="33"/>
              <w:jc w:val="left"/>
              <w:rPr>
                <w:b/>
                <w:sz w:val="14"/>
              </w:rPr>
            </w:pPr>
            <w:r>
              <w:rPr>
                <w:b/>
                <w:color w:val="231F20"/>
                <w:w w:val="85"/>
                <w:sz w:val="14"/>
              </w:rPr>
              <w:t>Reference</w:t>
            </w:r>
            <w:r>
              <w:rPr>
                <w:b/>
                <w:color w:val="231F20"/>
                <w:spacing w:val="-3"/>
                <w:w w:val="85"/>
                <w:sz w:val="14"/>
              </w:rPr>
              <w:t> </w:t>
            </w:r>
            <w:r>
              <w:rPr>
                <w:b/>
                <w:color w:val="231F20"/>
                <w:w w:val="85"/>
                <w:sz w:val="14"/>
              </w:rPr>
              <w:t>dwell</w:t>
            </w:r>
            <w:r>
              <w:rPr>
                <w:b/>
                <w:color w:val="231F20"/>
                <w:spacing w:val="-3"/>
                <w:w w:val="85"/>
                <w:sz w:val="14"/>
              </w:rPr>
              <w:t> </w:t>
            </w:r>
            <w:r>
              <w:rPr>
                <w:b/>
                <w:color w:val="231F20"/>
                <w:w w:val="85"/>
                <w:sz w:val="14"/>
              </w:rPr>
              <w:t>time</w:t>
            </w:r>
            <w:r>
              <w:rPr>
                <w:b/>
                <w:color w:val="231F20"/>
                <w:spacing w:val="40"/>
                <w:sz w:val="14"/>
              </w:rPr>
              <w:t> </w:t>
            </w:r>
            <w:r>
              <w:rPr>
                <w:b/>
                <w:color w:val="231F20"/>
                <w:w w:val="80"/>
                <w:sz w:val="14"/>
              </w:rPr>
              <w:t>for</w:t>
            </w:r>
            <w:r>
              <w:rPr>
                <w:b/>
                <w:color w:val="231F20"/>
                <w:spacing w:val="14"/>
                <w:sz w:val="14"/>
              </w:rPr>
              <w:t> </w:t>
            </w:r>
            <w:r>
              <w:rPr>
                <w:b/>
                <w:color w:val="231F20"/>
                <w:w w:val="80"/>
                <w:sz w:val="14"/>
              </w:rPr>
              <w:t>transit</w:t>
            </w:r>
            <w:r>
              <w:rPr>
                <w:b/>
                <w:color w:val="231F20"/>
                <w:spacing w:val="15"/>
                <w:sz w:val="14"/>
              </w:rPr>
              <w:t> </w:t>
            </w:r>
            <w:r>
              <w:rPr>
                <w:b/>
                <w:color w:val="231F20"/>
                <w:spacing w:val="-2"/>
                <w:w w:val="80"/>
                <w:sz w:val="14"/>
              </w:rPr>
              <w:t>countries</w:t>
            </w:r>
          </w:p>
        </w:tc>
        <w:tc>
          <w:tcPr>
            <w:tcW w:w="1599" w:type="dxa"/>
            <w:tcBorders>
              <w:bottom w:val="single" w:sz="4" w:space="0" w:color="008FDD"/>
            </w:tcBorders>
            <w:shd w:val="clear" w:color="auto" w:fill="FFFFFF"/>
          </w:tcPr>
          <w:p>
            <w:pPr>
              <w:pStyle w:val="TableParagraph"/>
              <w:spacing w:before="3"/>
              <w:ind w:left="487" w:right="167" w:hanging="345"/>
              <w:jc w:val="left"/>
              <w:rPr>
                <w:b/>
                <w:sz w:val="14"/>
              </w:rPr>
            </w:pPr>
            <w:r>
              <w:rPr>
                <w:b/>
                <w:color w:val="231F20"/>
                <w:w w:val="80"/>
                <w:sz w:val="14"/>
              </w:rPr>
              <w:t>Inland and destination</w:t>
            </w:r>
            <w:r>
              <w:rPr>
                <w:b/>
                <w:color w:val="231F20"/>
                <w:spacing w:val="40"/>
                <w:sz w:val="14"/>
              </w:rPr>
              <w:t> </w:t>
            </w:r>
            <w:r>
              <w:rPr>
                <w:b/>
                <w:color w:val="231F20"/>
                <w:w w:val="95"/>
                <w:sz w:val="14"/>
              </w:rPr>
              <w:t>dwell</w:t>
            </w:r>
            <w:r>
              <w:rPr>
                <w:b/>
                <w:color w:val="231F20"/>
                <w:spacing w:val="-8"/>
                <w:w w:val="95"/>
                <w:sz w:val="14"/>
              </w:rPr>
              <w:t> </w:t>
            </w:r>
            <w:r>
              <w:rPr>
                <w:b/>
                <w:color w:val="231F20"/>
                <w:w w:val="95"/>
                <w:sz w:val="14"/>
              </w:rPr>
              <w:t>time</w:t>
            </w:r>
          </w:p>
        </w:tc>
        <w:tc>
          <w:tcPr>
            <w:tcW w:w="1490" w:type="dxa"/>
            <w:tcBorders>
              <w:bottom w:val="single" w:sz="4" w:space="0" w:color="008FDD"/>
            </w:tcBorders>
            <w:shd w:val="clear" w:color="auto" w:fill="FFFFFF"/>
          </w:tcPr>
          <w:p>
            <w:pPr>
              <w:pStyle w:val="TableParagraph"/>
              <w:spacing w:before="2"/>
              <w:jc w:val="left"/>
              <w:rPr>
                <w:sz w:val="14"/>
              </w:rPr>
            </w:pPr>
          </w:p>
          <w:p>
            <w:pPr>
              <w:pStyle w:val="TableParagraph"/>
              <w:spacing w:before="0"/>
              <w:ind w:left="1" w:right="43"/>
              <w:rPr>
                <w:b/>
                <w:sz w:val="14"/>
              </w:rPr>
            </w:pPr>
            <w:r>
              <w:rPr>
                <w:b/>
                <w:color w:val="231F20"/>
                <w:w w:val="80"/>
                <w:sz w:val="14"/>
              </w:rPr>
              <w:t>Corridor</w:t>
            </w:r>
            <w:r>
              <w:rPr>
                <w:b/>
                <w:color w:val="231F20"/>
                <w:spacing w:val="15"/>
                <w:sz w:val="14"/>
              </w:rPr>
              <w:t> </w:t>
            </w:r>
            <w:r>
              <w:rPr>
                <w:b/>
                <w:color w:val="231F20"/>
                <w:w w:val="80"/>
                <w:sz w:val="14"/>
              </w:rPr>
              <w:t>dwell</w:t>
            </w:r>
            <w:r>
              <w:rPr>
                <w:b/>
                <w:color w:val="231F20"/>
                <w:spacing w:val="15"/>
                <w:sz w:val="14"/>
              </w:rPr>
              <w:t> </w:t>
            </w:r>
            <w:r>
              <w:rPr>
                <w:b/>
                <w:color w:val="231F20"/>
                <w:spacing w:val="-4"/>
                <w:w w:val="80"/>
                <w:sz w:val="14"/>
              </w:rPr>
              <w:t>time</w:t>
            </w:r>
          </w:p>
        </w:tc>
      </w:tr>
      <w:tr>
        <w:trPr>
          <w:trHeight w:val="258" w:hRule="atLeast"/>
        </w:trPr>
        <w:tc>
          <w:tcPr>
            <w:tcW w:w="1584" w:type="dxa"/>
            <w:tcBorders>
              <w:top w:val="single" w:sz="4" w:space="0" w:color="008FDD"/>
            </w:tcBorders>
          </w:tcPr>
          <w:p>
            <w:pPr>
              <w:pStyle w:val="TableParagraph"/>
              <w:spacing w:before="47"/>
              <w:ind w:left="80"/>
              <w:jc w:val="left"/>
              <w:rPr>
                <w:sz w:val="14"/>
              </w:rPr>
            </w:pPr>
            <w:r>
              <w:rPr>
                <w:color w:val="231F20"/>
                <w:spacing w:val="-2"/>
                <w:w w:val="90"/>
                <w:sz w:val="14"/>
              </w:rPr>
              <w:t>Armenia</w:t>
            </w:r>
          </w:p>
        </w:tc>
        <w:tc>
          <w:tcPr>
            <w:tcW w:w="1402" w:type="dxa"/>
            <w:tcBorders>
              <w:top w:val="single" w:sz="4" w:space="0" w:color="008FDD"/>
            </w:tcBorders>
          </w:tcPr>
          <w:p>
            <w:pPr>
              <w:pStyle w:val="TableParagraph"/>
              <w:spacing w:before="47"/>
              <w:ind w:left="167" w:right="70"/>
              <w:rPr>
                <w:sz w:val="14"/>
              </w:rPr>
            </w:pPr>
            <w:r>
              <w:rPr>
                <w:color w:val="231F20"/>
                <w:spacing w:val="-5"/>
                <w:w w:val="95"/>
                <w:sz w:val="14"/>
              </w:rPr>
              <w:t>3.3</w:t>
            </w:r>
          </w:p>
        </w:tc>
        <w:tc>
          <w:tcPr>
            <w:tcW w:w="1604" w:type="dxa"/>
            <w:tcBorders>
              <w:top w:val="single" w:sz="4" w:space="0" w:color="008FDD"/>
            </w:tcBorders>
          </w:tcPr>
          <w:p>
            <w:pPr>
              <w:pStyle w:val="TableParagraph"/>
              <w:spacing w:before="47"/>
              <w:ind w:left="173" w:right="12"/>
              <w:rPr>
                <w:sz w:val="14"/>
              </w:rPr>
            </w:pPr>
            <w:r>
              <w:rPr>
                <w:color w:val="231F20"/>
                <w:spacing w:val="-5"/>
                <w:w w:val="95"/>
                <w:sz w:val="14"/>
              </w:rPr>
              <w:t>3.6</w:t>
            </w:r>
          </w:p>
        </w:tc>
        <w:tc>
          <w:tcPr>
            <w:tcW w:w="1599" w:type="dxa"/>
            <w:tcBorders>
              <w:top w:val="single" w:sz="4" w:space="0" w:color="008FDD"/>
            </w:tcBorders>
          </w:tcPr>
          <w:p>
            <w:pPr>
              <w:pStyle w:val="TableParagraph"/>
              <w:spacing w:before="47"/>
              <w:ind w:left="100" w:right="108"/>
              <w:rPr>
                <w:sz w:val="14"/>
              </w:rPr>
            </w:pPr>
            <w:r>
              <w:rPr>
                <w:color w:val="231F20"/>
                <w:spacing w:val="-5"/>
                <w:w w:val="95"/>
                <w:sz w:val="14"/>
              </w:rPr>
              <w:t>0.4</w:t>
            </w:r>
          </w:p>
        </w:tc>
        <w:tc>
          <w:tcPr>
            <w:tcW w:w="1490" w:type="dxa"/>
            <w:tcBorders>
              <w:top w:val="single" w:sz="4" w:space="0" w:color="008FDD"/>
            </w:tcBorders>
          </w:tcPr>
          <w:p>
            <w:pPr>
              <w:pStyle w:val="TableParagraph"/>
              <w:spacing w:before="47"/>
              <w:ind w:right="43"/>
              <w:rPr>
                <w:sz w:val="14"/>
              </w:rPr>
            </w:pPr>
            <w:r>
              <w:rPr>
                <w:color w:val="231F20"/>
                <w:spacing w:val="-10"/>
                <w:sz w:val="14"/>
              </w:rPr>
              <w:t>—</w:t>
            </w:r>
          </w:p>
        </w:tc>
      </w:tr>
      <w:tr>
        <w:trPr>
          <w:trHeight w:val="259" w:hRule="atLeast"/>
        </w:trPr>
        <w:tc>
          <w:tcPr>
            <w:tcW w:w="1584" w:type="dxa"/>
            <w:shd w:val="clear" w:color="auto" w:fill="D4E3F5"/>
          </w:tcPr>
          <w:p>
            <w:pPr>
              <w:pStyle w:val="TableParagraph"/>
              <w:ind w:left="80"/>
              <w:jc w:val="left"/>
              <w:rPr>
                <w:sz w:val="14"/>
              </w:rPr>
            </w:pPr>
            <w:r>
              <w:rPr>
                <w:color w:val="231F20"/>
                <w:spacing w:val="-2"/>
                <w:w w:val="90"/>
                <w:sz w:val="14"/>
              </w:rPr>
              <w:t>Azerbaijan</w:t>
            </w:r>
          </w:p>
        </w:tc>
        <w:tc>
          <w:tcPr>
            <w:tcW w:w="1402" w:type="dxa"/>
            <w:shd w:val="clear" w:color="auto" w:fill="D4E3F5"/>
          </w:tcPr>
          <w:p>
            <w:pPr>
              <w:pStyle w:val="TableParagraph"/>
              <w:ind w:left="109" w:right="112"/>
              <w:rPr>
                <w:sz w:val="14"/>
              </w:rPr>
            </w:pPr>
            <w:r>
              <w:rPr>
                <w:color w:val="231F20"/>
                <w:spacing w:val="-10"/>
                <w:w w:val="95"/>
                <w:sz w:val="14"/>
              </w:rPr>
              <w:t>4</w:t>
            </w:r>
          </w:p>
        </w:tc>
        <w:tc>
          <w:tcPr>
            <w:tcW w:w="1604" w:type="dxa"/>
            <w:shd w:val="clear" w:color="auto" w:fill="D4E3F5"/>
          </w:tcPr>
          <w:p>
            <w:pPr>
              <w:pStyle w:val="TableParagraph"/>
              <w:ind w:left="173" w:right="12"/>
              <w:rPr>
                <w:sz w:val="14"/>
              </w:rPr>
            </w:pPr>
            <w:r>
              <w:rPr>
                <w:color w:val="231F20"/>
                <w:spacing w:val="-5"/>
                <w:w w:val="95"/>
                <w:sz w:val="14"/>
              </w:rPr>
              <w:t>3.6</w:t>
            </w:r>
          </w:p>
        </w:tc>
        <w:tc>
          <w:tcPr>
            <w:tcW w:w="1599" w:type="dxa"/>
            <w:shd w:val="clear" w:color="auto" w:fill="D4E3F5"/>
          </w:tcPr>
          <w:p>
            <w:pPr>
              <w:pStyle w:val="TableParagraph"/>
              <w:ind w:left="108" w:right="108"/>
              <w:rPr>
                <w:sz w:val="14"/>
              </w:rPr>
            </w:pPr>
            <w:r>
              <w:rPr>
                <w:color w:val="231F20"/>
                <w:spacing w:val="-5"/>
                <w:w w:val="95"/>
                <w:sz w:val="14"/>
              </w:rPr>
              <w:t>1.2</w:t>
            </w:r>
          </w:p>
        </w:tc>
        <w:tc>
          <w:tcPr>
            <w:tcW w:w="1490" w:type="dxa"/>
            <w:shd w:val="clear" w:color="auto" w:fill="D4E3F5"/>
          </w:tcPr>
          <w:p>
            <w:pPr>
              <w:pStyle w:val="TableParagraph"/>
              <w:ind w:right="43"/>
              <w:rPr>
                <w:sz w:val="14"/>
              </w:rPr>
            </w:pPr>
            <w:r>
              <w:rPr>
                <w:color w:val="231F20"/>
                <w:spacing w:val="-10"/>
                <w:sz w:val="14"/>
              </w:rPr>
              <w:t>—</w:t>
            </w:r>
          </w:p>
        </w:tc>
      </w:tr>
      <w:tr>
        <w:trPr>
          <w:trHeight w:val="259" w:hRule="atLeast"/>
        </w:trPr>
        <w:tc>
          <w:tcPr>
            <w:tcW w:w="1584" w:type="dxa"/>
          </w:tcPr>
          <w:p>
            <w:pPr>
              <w:pStyle w:val="TableParagraph"/>
              <w:ind w:left="80"/>
              <w:jc w:val="left"/>
              <w:rPr>
                <w:sz w:val="14"/>
              </w:rPr>
            </w:pPr>
            <w:r>
              <w:rPr>
                <w:color w:val="231F20"/>
                <w:spacing w:val="-2"/>
                <w:w w:val="90"/>
                <w:sz w:val="14"/>
              </w:rPr>
              <w:t>Bolivia</w:t>
            </w:r>
          </w:p>
        </w:tc>
        <w:tc>
          <w:tcPr>
            <w:tcW w:w="1402" w:type="dxa"/>
          </w:tcPr>
          <w:p>
            <w:pPr>
              <w:pStyle w:val="TableParagraph"/>
              <w:ind w:left="109" w:right="112"/>
              <w:rPr>
                <w:sz w:val="14"/>
              </w:rPr>
            </w:pPr>
            <w:r>
              <w:rPr>
                <w:color w:val="231F20"/>
                <w:spacing w:val="-10"/>
                <w:w w:val="95"/>
                <w:sz w:val="14"/>
              </w:rPr>
              <w:t>6</w:t>
            </w:r>
          </w:p>
        </w:tc>
        <w:tc>
          <w:tcPr>
            <w:tcW w:w="1604" w:type="dxa"/>
          </w:tcPr>
          <w:p>
            <w:pPr>
              <w:pStyle w:val="TableParagraph"/>
              <w:ind w:left="173" w:right="28"/>
              <w:rPr>
                <w:sz w:val="14"/>
              </w:rPr>
            </w:pPr>
            <w:r>
              <w:rPr>
                <w:color w:val="231F20"/>
                <w:spacing w:val="-5"/>
                <w:w w:val="95"/>
                <w:sz w:val="14"/>
              </w:rPr>
              <w:t>4.1</w:t>
            </w:r>
          </w:p>
        </w:tc>
        <w:tc>
          <w:tcPr>
            <w:tcW w:w="1599" w:type="dxa"/>
          </w:tcPr>
          <w:p>
            <w:pPr>
              <w:pStyle w:val="TableParagraph"/>
              <w:ind w:left="4" w:right="112"/>
              <w:rPr>
                <w:sz w:val="14"/>
              </w:rPr>
            </w:pPr>
            <w:r>
              <w:rPr>
                <w:color w:val="231F20"/>
                <w:spacing w:val="-10"/>
                <w:w w:val="95"/>
                <w:sz w:val="14"/>
              </w:rPr>
              <w:t>0</w:t>
            </w:r>
          </w:p>
        </w:tc>
        <w:tc>
          <w:tcPr>
            <w:tcW w:w="1490" w:type="dxa"/>
          </w:tcPr>
          <w:p>
            <w:pPr>
              <w:pStyle w:val="TableParagraph"/>
              <w:ind w:right="43"/>
              <w:rPr>
                <w:sz w:val="14"/>
              </w:rPr>
            </w:pPr>
            <w:r>
              <w:rPr>
                <w:color w:val="231F20"/>
                <w:spacing w:val="-10"/>
                <w:sz w:val="14"/>
              </w:rPr>
              <w:t>—</w:t>
            </w:r>
          </w:p>
        </w:tc>
      </w:tr>
      <w:tr>
        <w:trPr>
          <w:trHeight w:val="259" w:hRule="atLeast"/>
        </w:trPr>
        <w:tc>
          <w:tcPr>
            <w:tcW w:w="1584" w:type="dxa"/>
            <w:shd w:val="clear" w:color="auto" w:fill="D4E3F5"/>
          </w:tcPr>
          <w:p>
            <w:pPr>
              <w:pStyle w:val="TableParagraph"/>
              <w:ind w:left="80"/>
              <w:jc w:val="left"/>
              <w:rPr>
                <w:sz w:val="14"/>
              </w:rPr>
            </w:pPr>
            <w:r>
              <w:rPr>
                <w:color w:val="231F20"/>
                <w:w w:val="75"/>
                <w:sz w:val="14"/>
              </w:rPr>
              <w:t>Bosnia</w:t>
            </w:r>
            <w:r>
              <w:rPr>
                <w:color w:val="231F20"/>
                <w:spacing w:val="6"/>
                <w:sz w:val="14"/>
              </w:rPr>
              <w:t> </w:t>
            </w:r>
            <w:r>
              <w:rPr>
                <w:color w:val="231F20"/>
                <w:w w:val="75"/>
                <w:sz w:val="14"/>
              </w:rPr>
              <w:t>and</w:t>
            </w:r>
            <w:r>
              <w:rPr>
                <w:color w:val="231F20"/>
                <w:spacing w:val="6"/>
                <w:sz w:val="14"/>
              </w:rPr>
              <w:t> </w:t>
            </w:r>
            <w:r>
              <w:rPr>
                <w:color w:val="231F20"/>
                <w:spacing w:val="-2"/>
                <w:w w:val="75"/>
                <w:sz w:val="14"/>
              </w:rPr>
              <w:t>Herzegovina</w:t>
            </w:r>
          </w:p>
        </w:tc>
        <w:tc>
          <w:tcPr>
            <w:tcW w:w="1402" w:type="dxa"/>
            <w:shd w:val="clear" w:color="auto" w:fill="D4E3F5"/>
          </w:tcPr>
          <w:p>
            <w:pPr>
              <w:pStyle w:val="TableParagraph"/>
              <w:ind w:left="109" w:right="76"/>
              <w:rPr>
                <w:sz w:val="14"/>
              </w:rPr>
            </w:pPr>
            <w:r>
              <w:rPr>
                <w:color w:val="231F20"/>
                <w:spacing w:val="-4"/>
                <w:w w:val="95"/>
                <w:sz w:val="14"/>
              </w:rPr>
              <w:t>12.9</w:t>
            </w:r>
          </w:p>
        </w:tc>
        <w:tc>
          <w:tcPr>
            <w:tcW w:w="1604" w:type="dxa"/>
            <w:shd w:val="clear" w:color="auto" w:fill="D4E3F5"/>
          </w:tcPr>
          <w:p>
            <w:pPr>
              <w:pStyle w:val="TableParagraph"/>
              <w:ind w:left="173" w:right="11"/>
              <w:rPr>
                <w:sz w:val="14"/>
              </w:rPr>
            </w:pPr>
            <w:r>
              <w:rPr>
                <w:color w:val="231F20"/>
                <w:spacing w:val="-5"/>
                <w:w w:val="95"/>
                <w:sz w:val="14"/>
              </w:rPr>
              <w:t>6.6</w:t>
            </w:r>
          </w:p>
        </w:tc>
        <w:tc>
          <w:tcPr>
            <w:tcW w:w="1599" w:type="dxa"/>
            <w:shd w:val="clear" w:color="auto" w:fill="D4E3F5"/>
          </w:tcPr>
          <w:p>
            <w:pPr>
              <w:pStyle w:val="TableParagraph"/>
              <w:ind w:left="4" w:right="112"/>
              <w:rPr>
                <w:sz w:val="14"/>
              </w:rPr>
            </w:pPr>
            <w:r>
              <w:rPr>
                <w:color w:val="231F20"/>
                <w:spacing w:val="-10"/>
                <w:w w:val="95"/>
                <w:sz w:val="14"/>
              </w:rPr>
              <w:t>0</w:t>
            </w:r>
          </w:p>
        </w:tc>
        <w:tc>
          <w:tcPr>
            <w:tcW w:w="1490" w:type="dxa"/>
            <w:shd w:val="clear" w:color="auto" w:fill="D4E3F5"/>
          </w:tcPr>
          <w:p>
            <w:pPr>
              <w:pStyle w:val="TableParagraph"/>
              <w:ind w:right="43"/>
              <w:rPr>
                <w:sz w:val="14"/>
              </w:rPr>
            </w:pPr>
            <w:r>
              <w:rPr>
                <w:color w:val="231F20"/>
                <w:spacing w:val="-10"/>
                <w:sz w:val="14"/>
              </w:rPr>
              <w:t>—</w:t>
            </w:r>
          </w:p>
        </w:tc>
      </w:tr>
      <w:tr>
        <w:trPr>
          <w:trHeight w:val="259" w:hRule="atLeast"/>
        </w:trPr>
        <w:tc>
          <w:tcPr>
            <w:tcW w:w="1584" w:type="dxa"/>
          </w:tcPr>
          <w:p>
            <w:pPr>
              <w:pStyle w:val="TableParagraph"/>
              <w:ind w:left="80"/>
              <w:jc w:val="left"/>
              <w:rPr>
                <w:sz w:val="14"/>
              </w:rPr>
            </w:pPr>
            <w:r>
              <w:rPr>
                <w:color w:val="231F20"/>
                <w:spacing w:val="-2"/>
                <w:w w:val="90"/>
                <w:sz w:val="14"/>
              </w:rPr>
              <w:t>Botswana</w:t>
            </w:r>
          </w:p>
        </w:tc>
        <w:tc>
          <w:tcPr>
            <w:tcW w:w="1402" w:type="dxa"/>
          </w:tcPr>
          <w:p>
            <w:pPr>
              <w:pStyle w:val="TableParagraph"/>
              <w:ind w:left="166" w:right="70"/>
              <w:rPr>
                <w:sz w:val="14"/>
              </w:rPr>
            </w:pPr>
            <w:r>
              <w:rPr>
                <w:color w:val="231F20"/>
                <w:spacing w:val="-5"/>
                <w:w w:val="95"/>
                <w:sz w:val="14"/>
              </w:rPr>
              <w:t>9.9</w:t>
            </w:r>
          </w:p>
        </w:tc>
        <w:tc>
          <w:tcPr>
            <w:tcW w:w="1604" w:type="dxa"/>
          </w:tcPr>
          <w:p>
            <w:pPr>
              <w:pStyle w:val="TableParagraph"/>
              <w:ind w:left="173" w:right="113"/>
              <w:rPr>
                <w:sz w:val="14"/>
              </w:rPr>
            </w:pPr>
            <w:r>
              <w:rPr>
                <w:color w:val="231F20"/>
                <w:spacing w:val="-10"/>
                <w:w w:val="95"/>
                <w:sz w:val="14"/>
              </w:rPr>
              <w:t>4</w:t>
            </w:r>
          </w:p>
        </w:tc>
        <w:tc>
          <w:tcPr>
            <w:tcW w:w="1599" w:type="dxa"/>
          </w:tcPr>
          <w:p>
            <w:pPr>
              <w:pStyle w:val="TableParagraph"/>
              <w:ind w:left="101" w:right="108"/>
              <w:rPr>
                <w:sz w:val="14"/>
              </w:rPr>
            </w:pPr>
            <w:r>
              <w:rPr>
                <w:color w:val="231F20"/>
                <w:spacing w:val="-5"/>
                <w:w w:val="95"/>
                <w:sz w:val="14"/>
              </w:rPr>
              <w:t>3.6</w:t>
            </w:r>
          </w:p>
        </w:tc>
        <w:tc>
          <w:tcPr>
            <w:tcW w:w="1490" w:type="dxa"/>
          </w:tcPr>
          <w:p>
            <w:pPr>
              <w:pStyle w:val="TableParagraph"/>
              <w:ind w:right="43"/>
              <w:rPr>
                <w:sz w:val="14"/>
              </w:rPr>
            </w:pPr>
            <w:r>
              <w:rPr>
                <w:color w:val="231F20"/>
                <w:spacing w:val="-10"/>
                <w:sz w:val="14"/>
              </w:rPr>
              <w:t>—</w:t>
            </w:r>
          </w:p>
        </w:tc>
      </w:tr>
      <w:tr>
        <w:trPr>
          <w:trHeight w:val="259" w:hRule="atLeast"/>
        </w:trPr>
        <w:tc>
          <w:tcPr>
            <w:tcW w:w="1584" w:type="dxa"/>
            <w:shd w:val="clear" w:color="auto" w:fill="D4E3F5"/>
          </w:tcPr>
          <w:p>
            <w:pPr>
              <w:pStyle w:val="TableParagraph"/>
              <w:ind w:left="80"/>
              <w:jc w:val="left"/>
              <w:rPr>
                <w:sz w:val="14"/>
              </w:rPr>
            </w:pPr>
            <w:r>
              <w:rPr>
                <w:color w:val="231F20"/>
                <w:w w:val="75"/>
                <w:sz w:val="14"/>
              </w:rPr>
              <w:t>Burkina</w:t>
            </w:r>
            <w:r>
              <w:rPr>
                <w:color w:val="231F20"/>
                <w:spacing w:val="20"/>
                <w:sz w:val="14"/>
              </w:rPr>
              <w:t> </w:t>
            </w:r>
            <w:r>
              <w:rPr>
                <w:color w:val="231F20"/>
                <w:spacing w:val="-4"/>
                <w:w w:val="85"/>
                <w:sz w:val="14"/>
              </w:rPr>
              <w:t>Faso</w:t>
            </w:r>
          </w:p>
        </w:tc>
        <w:tc>
          <w:tcPr>
            <w:tcW w:w="1402" w:type="dxa"/>
            <w:shd w:val="clear" w:color="auto" w:fill="D4E3F5"/>
          </w:tcPr>
          <w:p>
            <w:pPr>
              <w:pStyle w:val="TableParagraph"/>
              <w:ind w:left="109" w:right="77"/>
              <w:rPr>
                <w:sz w:val="14"/>
              </w:rPr>
            </w:pPr>
            <w:r>
              <w:rPr>
                <w:color w:val="231F20"/>
                <w:spacing w:val="-4"/>
                <w:w w:val="95"/>
                <w:sz w:val="14"/>
              </w:rPr>
              <w:t>13.6</w:t>
            </w:r>
          </w:p>
        </w:tc>
        <w:tc>
          <w:tcPr>
            <w:tcW w:w="1604" w:type="dxa"/>
            <w:shd w:val="clear" w:color="auto" w:fill="D4E3F5"/>
          </w:tcPr>
          <w:p>
            <w:pPr>
              <w:pStyle w:val="TableParagraph"/>
              <w:ind w:left="173" w:right="78"/>
              <w:rPr>
                <w:sz w:val="14"/>
              </w:rPr>
            </w:pPr>
            <w:r>
              <w:rPr>
                <w:color w:val="231F20"/>
                <w:spacing w:val="-4"/>
                <w:w w:val="95"/>
                <w:sz w:val="14"/>
              </w:rPr>
              <w:t>10.7</w:t>
            </w:r>
          </w:p>
        </w:tc>
        <w:tc>
          <w:tcPr>
            <w:tcW w:w="1599" w:type="dxa"/>
            <w:shd w:val="clear" w:color="auto" w:fill="D4E3F5"/>
          </w:tcPr>
          <w:p>
            <w:pPr>
              <w:pStyle w:val="TableParagraph"/>
              <w:ind w:left="112" w:right="108"/>
              <w:rPr>
                <w:sz w:val="14"/>
              </w:rPr>
            </w:pPr>
            <w:r>
              <w:rPr>
                <w:color w:val="231F20"/>
                <w:spacing w:val="-5"/>
                <w:w w:val="95"/>
                <w:sz w:val="14"/>
              </w:rPr>
              <w:t>7.8</w:t>
            </w:r>
          </w:p>
        </w:tc>
        <w:tc>
          <w:tcPr>
            <w:tcW w:w="1490" w:type="dxa"/>
            <w:shd w:val="clear" w:color="auto" w:fill="D4E3F5"/>
          </w:tcPr>
          <w:p>
            <w:pPr>
              <w:pStyle w:val="TableParagraph"/>
              <w:ind w:right="43"/>
              <w:rPr>
                <w:sz w:val="14"/>
              </w:rPr>
            </w:pPr>
            <w:r>
              <w:rPr>
                <w:color w:val="231F20"/>
                <w:spacing w:val="-10"/>
                <w:sz w:val="14"/>
              </w:rPr>
              <w:t>—</w:t>
            </w:r>
          </w:p>
        </w:tc>
      </w:tr>
      <w:tr>
        <w:trPr>
          <w:trHeight w:val="259" w:hRule="atLeast"/>
        </w:trPr>
        <w:tc>
          <w:tcPr>
            <w:tcW w:w="1584" w:type="dxa"/>
          </w:tcPr>
          <w:p>
            <w:pPr>
              <w:pStyle w:val="TableParagraph"/>
              <w:ind w:left="80"/>
              <w:jc w:val="left"/>
              <w:rPr>
                <w:sz w:val="14"/>
              </w:rPr>
            </w:pPr>
            <w:r>
              <w:rPr>
                <w:color w:val="231F20"/>
                <w:spacing w:val="-2"/>
                <w:w w:val="90"/>
                <w:sz w:val="14"/>
              </w:rPr>
              <w:t>Burundi</w:t>
            </w:r>
          </w:p>
        </w:tc>
        <w:tc>
          <w:tcPr>
            <w:tcW w:w="1402" w:type="dxa"/>
          </w:tcPr>
          <w:p>
            <w:pPr>
              <w:pStyle w:val="TableParagraph"/>
              <w:ind w:left="112" w:right="70"/>
              <w:rPr>
                <w:sz w:val="14"/>
              </w:rPr>
            </w:pPr>
            <w:r>
              <w:rPr>
                <w:color w:val="231F20"/>
                <w:spacing w:val="-4"/>
                <w:w w:val="95"/>
                <w:sz w:val="14"/>
              </w:rPr>
              <w:t>11.9</w:t>
            </w:r>
          </w:p>
        </w:tc>
        <w:tc>
          <w:tcPr>
            <w:tcW w:w="1604" w:type="dxa"/>
          </w:tcPr>
          <w:p>
            <w:pPr>
              <w:pStyle w:val="TableParagraph"/>
              <w:ind w:left="173" w:right="74"/>
              <w:rPr>
                <w:sz w:val="14"/>
              </w:rPr>
            </w:pPr>
            <w:r>
              <w:rPr>
                <w:color w:val="231F20"/>
                <w:spacing w:val="-4"/>
                <w:w w:val="95"/>
                <w:sz w:val="14"/>
              </w:rPr>
              <w:t>10.3</w:t>
            </w:r>
          </w:p>
        </w:tc>
        <w:tc>
          <w:tcPr>
            <w:tcW w:w="1599" w:type="dxa"/>
          </w:tcPr>
          <w:p>
            <w:pPr>
              <w:pStyle w:val="TableParagraph"/>
              <w:ind w:left="103" w:right="108"/>
              <w:rPr>
                <w:sz w:val="14"/>
              </w:rPr>
            </w:pPr>
            <w:r>
              <w:rPr>
                <w:color w:val="231F20"/>
                <w:spacing w:val="-5"/>
                <w:w w:val="95"/>
                <w:sz w:val="14"/>
              </w:rPr>
              <w:t>3.3</w:t>
            </w:r>
          </w:p>
        </w:tc>
        <w:tc>
          <w:tcPr>
            <w:tcW w:w="1490" w:type="dxa"/>
          </w:tcPr>
          <w:p>
            <w:pPr>
              <w:pStyle w:val="TableParagraph"/>
              <w:ind w:right="43"/>
              <w:rPr>
                <w:sz w:val="14"/>
              </w:rPr>
            </w:pPr>
            <w:r>
              <w:rPr>
                <w:color w:val="231F20"/>
                <w:spacing w:val="-10"/>
                <w:sz w:val="14"/>
              </w:rPr>
              <w:t>—</w:t>
            </w:r>
          </w:p>
        </w:tc>
      </w:tr>
      <w:tr>
        <w:trPr>
          <w:trHeight w:val="259" w:hRule="atLeast"/>
        </w:trPr>
        <w:tc>
          <w:tcPr>
            <w:tcW w:w="1584" w:type="dxa"/>
            <w:shd w:val="clear" w:color="auto" w:fill="D4E3F5"/>
          </w:tcPr>
          <w:p>
            <w:pPr>
              <w:pStyle w:val="TableParagraph"/>
              <w:ind w:left="80"/>
              <w:jc w:val="left"/>
              <w:rPr>
                <w:sz w:val="14"/>
              </w:rPr>
            </w:pPr>
            <w:r>
              <w:rPr>
                <w:color w:val="231F20"/>
                <w:spacing w:val="-4"/>
                <w:w w:val="85"/>
                <w:sz w:val="14"/>
              </w:rPr>
              <w:t>Chad</w:t>
            </w:r>
          </w:p>
        </w:tc>
        <w:tc>
          <w:tcPr>
            <w:tcW w:w="1402" w:type="dxa"/>
            <w:shd w:val="clear" w:color="auto" w:fill="D4E3F5"/>
          </w:tcPr>
          <w:p>
            <w:pPr>
              <w:pStyle w:val="TableParagraph"/>
              <w:ind w:left="109" w:right="75"/>
              <w:rPr>
                <w:sz w:val="14"/>
              </w:rPr>
            </w:pPr>
            <w:r>
              <w:rPr>
                <w:color w:val="231F20"/>
                <w:spacing w:val="-4"/>
                <w:w w:val="95"/>
                <w:sz w:val="14"/>
              </w:rPr>
              <w:t>15.2</w:t>
            </w:r>
          </w:p>
        </w:tc>
        <w:tc>
          <w:tcPr>
            <w:tcW w:w="1604" w:type="dxa"/>
            <w:shd w:val="clear" w:color="auto" w:fill="D4E3F5"/>
          </w:tcPr>
          <w:p>
            <w:pPr>
              <w:pStyle w:val="TableParagraph"/>
              <w:ind w:left="173" w:right="75"/>
              <w:rPr>
                <w:sz w:val="14"/>
              </w:rPr>
            </w:pPr>
            <w:r>
              <w:rPr>
                <w:color w:val="231F20"/>
                <w:spacing w:val="-4"/>
                <w:w w:val="95"/>
                <w:sz w:val="14"/>
              </w:rPr>
              <w:t>16.3</w:t>
            </w:r>
          </w:p>
        </w:tc>
        <w:tc>
          <w:tcPr>
            <w:tcW w:w="1599" w:type="dxa"/>
            <w:shd w:val="clear" w:color="auto" w:fill="D4E3F5"/>
          </w:tcPr>
          <w:p>
            <w:pPr>
              <w:pStyle w:val="TableParagraph"/>
              <w:ind w:left="4" w:right="112"/>
              <w:rPr>
                <w:sz w:val="14"/>
              </w:rPr>
            </w:pPr>
            <w:r>
              <w:rPr>
                <w:color w:val="231F20"/>
                <w:spacing w:val="-10"/>
                <w:w w:val="95"/>
                <w:sz w:val="14"/>
              </w:rPr>
              <w:t>0</w:t>
            </w:r>
          </w:p>
        </w:tc>
        <w:tc>
          <w:tcPr>
            <w:tcW w:w="1490" w:type="dxa"/>
            <w:shd w:val="clear" w:color="auto" w:fill="D4E3F5"/>
          </w:tcPr>
          <w:p>
            <w:pPr>
              <w:pStyle w:val="TableParagraph"/>
              <w:ind w:right="43"/>
              <w:rPr>
                <w:sz w:val="14"/>
              </w:rPr>
            </w:pPr>
            <w:r>
              <w:rPr>
                <w:color w:val="231F20"/>
                <w:spacing w:val="-10"/>
                <w:sz w:val="14"/>
              </w:rPr>
              <w:t>—</w:t>
            </w:r>
          </w:p>
        </w:tc>
      </w:tr>
      <w:tr>
        <w:trPr>
          <w:trHeight w:val="259" w:hRule="atLeast"/>
        </w:trPr>
        <w:tc>
          <w:tcPr>
            <w:tcW w:w="1584" w:type="dxa"/>
          </w:tcPr>
          <w:p>
            <w:pPr>
              <w:pStyle w:val="TableParagraph"/>
              <w:ind w:left="80"/>
              <w:jc w:val="left"/>
              <w:rPr>
                <w:sz w:val="14"/>
              </w:rPr>
            </w:pPr>
            <w:r>
              <w:rPr>
                <w:color w:val="231F20"/>
                <w:spacing w:val="-2"/>
                <w:w w:val="90"/>
                <w:sz w:val="14"/>
              </w:rPr>
              <w:t>Ethiopia</w:t>
            </w:r>
          </w:p>
        </w:tc>
        <w:tc>
          <w:tcPr>
            <w:tcW w:w="1402" w:type="dxa"/>
          </w:tcPr>
          <w:p>
            <w:pPr>
              <w:pStyle w:val="TableParagraph"/>
              <w:ind w:left="109" w:right="77"/>
              <w:rPr>
                <w:sz w:val="14"/>
              </w:rPr>
            </w:pPr>
            <w:r>
              <w:rPr>
                <w:color w:val="231F20"/>
                <w:spacing w:val="-4"/>
                <w:w w:val="95"/>
                <w:sz w:val="14"/>
              </w:rPr>
              <w:t>10.9</w:t>
            </w:r>
          </w:p>
        </w:tc>
        <w:tc>
          <w:tcPr>
            <w:tcW w:w="1604" w:type="dxa"/>
          </w:tcPr>
          <w:p>
            <w:pPr>
              <w:pStyle w:val="TableParagraph"/>
              <w:ind w:left="173" w:right="10"/>
              <w:rPr>
                <w:sz w:val="14"/>
              </w:rPr>
            </w:pPr>
            <w:r>
              <w:rPr>
                <w:color w:val="231F20"/>
                <w:spacing w:val="-5"/>
                <w:w w:val="95"/>
                <w:sz w:val="14"/>
              </w:rPr>
              <w:t>8.9</w:t>
            </w:r>
          </w:p>
        </w:tc>
        <w:tc>
          <w:tcPr>
            <w:tcW w:w="1599" w:type="dxa"/>
          </w:tcPr>
          <w:p>
            <w:pPr>
              <w:pStyle w:val="TableParagraph"/>
              <w:ind w:left="103" w:right="108"/>
              <w:rPr>
                <w:sz w:val="14"/>
              </w:rPr>
            </w:pPr>
            <w:r>
              <w:rPr>
                <w:color w:val="231F20"/>
                <w:spacing w:val="-5"/>
                <w:w w:val="95"/>
                <w:sz w:val="14"/>
              </w:rPr>
              <w:t>0.2</w:t>
            </w:r>
          </w:p>
        </w:tc>
        <w:tc>
          <w:tcPr>
            <w:tcW w:w="1490" w:type="dxa"/>
          </w:tcPr>
          <w:p>
            <w:pPr>
              <w:pStyle w:val="TableParagraph"/>
              <w:ind w:right="43"/>
              <w:rPr>
                <w:sz w:val="14"/>
              </w:rPr>
            </w:pPr>
            <w:r>
              <w:rPr>
                <w:color w:val="231F20"/>
                <w:spacing w:val="-10"/>
                <w:sz w:val="14"/>
              </w:rPr>
              <w:t>—</w:t>
            </w:r>
          </w:p>
        </w:tc>
      </w:tr>
      <w:tr>
        <w:trPr>
          <w:trHeight w:val="259" w:hRule="atLeast"/>
        </w:trPr>
        <w:tc>
          <w:tcPr>
            <w:tcW w:w="1584" w:type="dxa"/>
            <w:shd w:val="clear" w:color="auto" w:fill="D4E3F5"/>
          </w:tcPr>
          <w:p>
            <w:pPr>
              <w:pStyle w:val="TableParagraph"/>
              <w:ind w:left="80"/>
              <w:jc w:val="left"/>
              <w:rPr>
                <w:sz w:val="14"/>
              </w:rPr>
            </w:pPr>
            <w:r>
              <w:rPr>
                <w:color w:val="231F20"/>
                <w:w w:val="75"/>
                <w:sz w:val="14"/>
              </w:rPr>
              <w:t>Lao</w:t>
            </w:r>
            <w:r>
              <w:rPr>
                <w:color w:val="231F20"/>
                <w:spacing w:val="7"/>
                <w:sz w:val="14"/>
              </w:rPr>
              <w:t> </w:t>
            </w:r>
            <w:r>
              <w:rPr>
                <w:color w:val="231F20"/>
                <w:w w:val="75"/>
                <w:sz w:val="14"/>
              </w:rPr>
              <w:t>People’s</w:t>
            </w:r>
            <w:r>
              <w:rPr>
                <w:color w:val="231F20"/>
                <w:spacing w:val="8"/>
                <w:sz w:val="14"/>
              </w:rPr>
              <w:t> </w:t>
            </w:r>
            <w:r>
              <w:rPr>
                <w:color w:val="231F20"/>
                <w:w w:val="75"/>
                <w:sz w:val="14"/>
              </w:rPr>
              <w:t>Dem.</w:t>
            </w:r>
            <w:r>
              <w:rPr>
                <w:color w:val="231F20"/>
                <w:spacing w:val="8"/>
                <w:sz w:val="14"/>
              </w:rPr>
              <w:t> </w:t>
            </w:r>
            <w:r>
              <w:rPr>
                <w:color w:val="231F20"/>
                <w:spacing w:val="-4"/>
                <w:w w:val="75"/>
                <w:sz w:val="14"/>
              </w:rPr>
              <w:t>Rep.</w:t>
            </w:r>
          </w:p>
        </w:tc>
        <w:tc>
          <w:tcPr>
            <w:tcW w:w="1402" w:type="dxa"/>
            <w:shd w:val="clear" w:color="auto" w:fill="D4E3F5"/>
          </w:tcPr>
          <w:p>
            <w:pPr>
              <w:pStyle w:val="TableParagraph"/>
              <w:ind w:left="109" w:right="112"/>
              <w:rPr>
                <w:sz w:val="14"/>
              </w:rPr>
            </w:pPr>
            <w:r>
              <w:rPr>
                <w:color w:val="231F20"/>
                <w:spacing w:val="-10"/>
                <w:w w:val="95"/>
                <w:sz w:val="14"/>
              </w:rPr>
              <w:t>5</w:t>
            </w:r>
          </w:p>
        </w:tc>
        <w:tc>
          <w:tcPr>
            <w:tcW w:w="1604" w:type="dxa"/>
            <w:shd w:val="clear" w:color="auto" w:fill="D4E3F5"/>
          </w:tcPr>
          <w:p>
            <w:pPr>
              <w:pStyle w:val="TableParagraph"/>
              <w:ind w:left="173" w:right="12"/>
              <w:rPr>
                <w:sz w:val="14"/>
              </w:rPr>
            </w:pPr>
            <w:r>
              <w:rPr>
                <w:color w:val="231F20"/>
                <w:spacing w:val="-5"/>
                <w:w w:val="95"/>
                <w:sz w:val="14"/>
              </w:rPr>
              <w:t>4.4</w:t>
            </w:r>
          </w:p>
        </w:tc>
        <w:tc>
          <w:tcPr>
            <w:tcW w:w="1599" w:type="dxa"/>
            <w:shd w:val="clear" w:color="auto" w:fill="D4E3F5"/>
          </w:tcPr>
          <w:p>
            <w:pPr>
              <w:pStyle w:val="TableParagraph"/>
              <w:ind w:left="107" w:right="108"/>
              <w:rPr>
                <w:sz w:val="14"/>
              </w:rPr>
            </w:pPr>
            <w:r>
              <w:rPr>
                <w:color w:val="231F20"/>
                <w:spacing w:val="-5"/>
                <w:w w:val="95"/>
                <w:sz w:val="14"/>
              </w:rPr>
              <w:t>1.8</w:t>
            </w:r>
          </w:p>
        </w:tc>
        <w:tc>
          <w:tcPr>
            <w:tcW w:w="1490" w:type="dxa"/>
            <w:shd w:val="clear" w:color="auto" w:fill="D4E3F5"/>
          </w:tcPr>
          <w:p>
            <w:pPr>
              <w:pStyle w:val="TableParagraph"/>
              <w:ind w:right="43"/>
              <w:rPr>
                <w:sz w:val="14"/>
              </w:rPr>
            </w:pPr>
            <w:r>
              <w:rPr>
                <w:color w:val="231F20"/>
                <w:spacing w:val="-10"/>
                <w:sz w:val="14"/>
              </w:rPr>
              <w:t>—</w:t>
            </w:r>
          </w:p>
        </w:tc>
      </w:tr>
      <w:tr>
        <w:trPr>
          <w:trHeight w:val="259" w:hRule="atLeast"/>
        </w:trPr>
        <w:tc>
          <w:tcPr>
            <w:tcW w:w="1584" w:type="dxa"/>
          </w:tcPr>
          <w:p>
            <w:pPr>
              <w:pStyle w:val="TableParagraph"/>
              <w:ind w:left="80"/>
              <w:jc w:val="left"/>
              <w:rPr>
                <w:sz w:val="14"/>
              </w:rPr>
            </w:pPr>
            <w:r>
              <w:rPr>
                <w:color w:val="231F20"/>
                <w:spacing w:val="-2"/>
                <w:w w:val="90"/>
                <w:sz w:val="14"/>
              </w:rPr>
              <w:t>Lesotho</w:t>
            </w:r>
          </w:p>
        </w:tc>
        <w:tc>
          <w:tcPr>
            <w:tcW w:w="1402" w:type="dxa"/>
          </w:tcPr>
          <w:p>
            <w:pPr>
              <w:pStyle w:val="TableParagraph"/>
              <w:ind w:left="109" w:right="112"/>
              <w:rPr>
                <w:sz w:val="14"/>
              </w:rPr>
            </w:pPr>
            <w:r>
              <w:rPr>
                <w:color w:val="231F20"/>
                <w:spacing w:val="-10"/>
                <w:w w:val="95"/>
                <w:sz w:val="14"/>
              </w:rPr>
              <w:t>5</w:t>
            </w:r>
          </w:p>
        </w:tc>
        <w:tc>
          <w:tcPr>
            <w:tcW w:w="1604" w:type="dxa"/>
          </w:tcPr>
          <w:p>
            <w:pPr>
              <w:pStyle w:val="TableParagraph"/>
              <w:ind w:left="173" w:right="113"/>
              <w:rPr>
                <w:sz w:val="14"/>
              </w:rPr>
            </w:pPr>
            <w:r>
              <w:rPr>
                <w:color w:val="231F20"/>
                <w:spacing w:val="-10"/>
                <w:w w:val="95"/>
                <w:sz w:val="14"/>
              </w:rPr>
              <w:t>4</w:t>
            </w:r>
          </w:p>
        </w:tc>
        <w:tc>
          <w:tcPr>
            <w:tcW w:w="1599" w:type="dxa"/>
          </w:tcPr>
          <w:p>
            <w:pPr>
              <w:pStyle w:val="TableParagraph"/>
              <w:ind w:left="102" w:right="108"/>
              <w:rPr>
                <w:sz w:val="14"/>
              </w:rPr>
            </w:pPr>
            <w:r>
              <w:rPr>
                <w:color w:val="231F20"/>
                <w:spacing w:val="-5"/>
                <w:w w:val="95"/>
                <w:sz w:val="14"/>
              </w:rPr>
              <w:t>0.9</w:t>
            </w:r>
          </w:p>
        </w:tc>
        <w:tc>
          <w:tcPr>
            <w:tcW w:w="1490" w:type="dxa"/>
          </w:tcPr>
          <w:p>
            <w:pPr>
              <w:pStyle w:val="TableParagraph"/>
              <w:ind w:right="43"/>
              <w:rPr>
                <w:sz w:val="14"/>
              </w:rPr>
            </w:pPr>
            <w:r>
              <w:rPr>
                <w:color w:val="231F20"/>
                <w:spacing w:val="-10"/>
                <w:sz w:val="14"/>
              </w:rPr>
              <w:t>—</w:t>
            </w:r>
          </w:p>
        </w:tc>
      </w:tr>
      <w:tr>
        <w:trPr>
          <w:trHeight w:val="259" w:hRule="atLeast"/>
        </w:trPr>
        <w:tc>
          <w:tcPr>
            <w:tcW w:w="1584" w:type="dxa"/>
            <w:shd w:val="clear" w:color="auto" w:fill="D4E3F5"/>
          </w:tcPr>
          <w:p>
            <w:pPr>
              <w:pStyle w:val="TableParagraph"/>
              <w:ind w:left="80"/>
              <w:jc w:val="left"/>
              <w:rPr>
                <w:sz w:val="14"/>
              </w:rPr>
            </w:pPr>
            <w:r>
              <w:rPr>
                <w:color w:val="231F20"/>
                <w:spacing w:val="-2"/>
                <w:w w:val="90"/>
                <w:sz w:val="14"/>
              </w:rPr>
              <w:t>Malawi</w:t>
            </w:r>
          </w:p>
        </w:tc>
        <w:tc>
          <w:tcPr>
            <w:tcW w:w="1402" w:type="dxa"/>
            <w:shd w:val="clear" w:color="auto" w:fill="D4E3F5"/>
          </w:tcPr>
          <w:p>
            <w:pPr>
              <w:pStyle w:val="TableParagraph"/>
              <w:ind w:left="109" w:right="76"/>
              <w:rPr>
                <w:sz w:val="14"/>
              </w:rPr>
            </w:pPr>
            <w:r>
              <w:rPr>
                <w:color w:val="231F20"/>
                <w:spacing w:val="-4"/>
                <w:w w:val="95"/>
                <w:sz w:val="14"/>
              </w:rPr>
              <w:t>10.6</w:t>
            </w:r>
          </w:p>
        </w:tc>
        <w:tc>
          <w:tcPr>
            <w:tcW w:w="1604" w:type="dxa"/>
            <w:shd w:val="clear" w:color="auto" w:fill="D4E3F5"/>
          </w:tcPr>
          <w:p>
            <w:pPr>
              <w:pStyle w:val="TableParagraph"/>
              <w:ind w:left="173"/>
              <w:rPr>
                <w:sz w:val="14"/>
              </w:rPr>
            </w:pPr>
            <w:r>
              <w:rPr>
                <w:color w:val="231F20"/>
                <w:spacing w:val="-5"/>
                <w:w w:val="95"/>
                <w:sz w:val="14"/>
              </w:rPr>
              <w:t>7.4</w:t>
            </w:r>
          </w:p>
        </w:tc>
        <w:tc>
          <w:tcPr>
            <w:tcW w:w="1599" w:type="dxa"/>
            <w:shd w:val="clear" w:color="auto" w:fill="D4E3F5"/>
          </w:tcPr>
          <w:p>
            <w:pPr>
              <w:pStyle w:val="TableParagraph"/>
              <w:ind w:left="84" w:right="108"/>
              <w:rPr>
                <w:sz w:val="14"/>
              </w:rPr>
            </w:pPr>
            <w:r>
              <w:rPr>
                <w:color w:val="231F20"/>
                <w:spacing w:val="-5"/>
                <w:w w:val="95"/>
                <w:sz w:val="14"/>
              </w:rPr>
              <w:t>2.1</w:t>
            </w:r>
          </w:p>
        </w:tc>
        <w:tc>
          <w:tcPr>
            <w:tcW w:w="1490" w:type="dxa"/>
            <w:shd w:val="clear" w:color="auto" w:fill="D4E3F5"/>
          </w:tcPr>
          <w:p>
            <w:pPr>
              <w:pStyle w:val="TableParagraph"/>
              <w:ind w:left="2" w:right="43"/>
              <w:rPr>
                <w:sz w:val="14"/>
              </w:rPr>
            </w:pPr>
            <w:r>
              <w:rPr>
                <w:color w:val="231F20"/>
                <w:spacing w:val="-5"/>
                <w:w w:val="95"/>
                <w:sz w:val="14"/>
              </w:rPr>
              <w:t>6.5</w:t>
            </w:r>
          </w:p>
        </w:tc>
      </w:tr>
      <w:tr>
        <w:trPr>
          <w:trHeight w:val="259" w:hRule="atLeast"/>
        </w:trPr>
        <w:tc>
          <w:tcPr>
            <w:tcW w:w="1584" w:type="dxa"/>
          </w:tcPr>
          <w:p>
            <w:pPr>
              <w:pStyle w:val="TableParagraph"/>
              <w:ind w:left="80"/>
              <w:jc w:val="left"/>
              <w:rPr>
                <w:sz w:val="14"/>
              </w:rPr>
            </w:pPr>
            <w:r>
              <w:rPr>
                <w:color w:val="231F20"/>
                <w:spacing w:val="-4"/>
                <w:w w:val="90"/>
                <w:sz w:val="14"/>
              </w:rPr>
              <w:t>Mali</w:t>
            </w:r>
          </w:p>
        </w:tc>
        <w:tc>
          <w:tcPr>
            <w:tcW w:w="1402" w:type="dxa"/>
          </w:tcPr>
          <w:p>
            <w:pPr>
              <w:pStyle w:val="TableParagraph"/>
              <w:ind w:left="109" w:right="79"/>
              <w:rPr>
                <w:sz w:val="14"/>
              </w:rPr>
            </w:pPr>
            <w:r>
              <w:rPr>
                <w:color w:val="231F20"/>
                <w:spacing w:val="-4"/>
                <w:w w:val="95"/>
                <w:sz w:val="14"/>
              </w:rPr>
              <w:t>19.7</w:t>
            </w:r>
          </w:p>
        </w:tc>
        <w:tc>
          <w:tcPr>
            <w:tcW w:w="1604" w:type="dxa"/>
          </w:tcPr>
          <w:p>
            <w:pPr>
              <w:pStyle w:val="TableParagraph"/>
              <w:ind w:left="173" w:right="113"/>
              <w:rPr>
                <w:sz w:val="14"/>
              </w:rPr>
            </w:pPr>
            <w:r>
              <w:rPr>
                <w:color w:val="231F20"/>
                <w:spacing w:val="-10"/>
                <w:w w:val="95"/>
                <w:sz w:val="14"/>
              </w:rPr>
              <w:t>8</w:t>
            </w:r>
          </w:p>
        </w:tc>
        <w:tc>
          <w:tcPr>
            <w:tcW w:w="1599" w:type="dxa"/>
          </w:tcPr>
          <w:p>
            <w:pPr>
              <w:pStyle w:val="TableParagraph"/>
              <w:ind w:left="83" w:right="108"/>
              <w:rPr>
                <w:sz w:val="14"/>
              </w:rPr>
            </w:pPr>
            <w:r>
              <w:rPr>
                <w:color w:val="231F20"/>
                <w:spacing w:val="-5"/>
                <w:w w:val="95"/>
                <w:sz w:val="14"/>
              </w:rPr>
              <w:t>3.1</w:t>
            </w:r>
          </w:p>
        </w:tc>
        <w:tc>
          <w:tcPr>
            <w:tcW w:w="1490" w:type="dxa"/>
          </w:tcPr>
          <w:p>
            <w:pPr>
              <w:pStyle w:val="TableParagraph"/>
              <w:ind w:left="2" w:right="43"/>
              <w:rPr>
                <w:sz w:val="14"/>
              </w:rPr>
            </w:pPr>
            <w:r>
              <w:rPr>
                <w:color w:val="231F20"/>
                <w:spacing w:val="-5"/>
                <w:w w:val="95"/>
                <w:sz w:val="14"/>
              </w:rPr>
              <w:t>9.9</w:t>
            </w:r>
          </w:p>
        </w:tc>
      </w:tr>
      <w:tr>
        <w:trPr>
          <w:trHeight w:val="259" w:hRule="atLeast"/>
        </w:trPr>
        <w:tc>
          <w:tcPr>
            <w:tcW w:w="1584" w:type="dxa"/>
            <w:shd w:val="clear" w:color="auto" w:fill="D4E3F5"/>
          </w:tcPr>
          <w:p>
            <w:pPr>
              <w:pStyle w:val="TableParagraph"/>
              <w:ind w:left="80"/>
              <w:jc w:val="left"/>
              <w:rPr>
                <w:sz w:val="14"/>
              </w:rPr>
            </w:pPr>
            <w:r>
              <w:rPr>
                <w:color w:val="231F20"/>
                <w:spacing w:val="-2"/>
                <w:w w:val="90"/>
                <w:sz w:val="14"/>
              </w:rPr>
              <w:t>Moldova</w:t>
            </w:r>
          </w:p>
        </w:tc>
        <w:tc>
          <w:tcPr>
            <w:tcW w:w="1402" w:type="dxa"/>
            <w:shd w:val="clear" w:color="auto" w:fill="D4E3F5"/>
          </w:tcPr>
          <w:p>
            <w:pPr>
              <w:pStyle w:val="TableParagraph"/>
              <w:ind w:left="109" w:right="79"/>
              <w:rPr>
                <w:sz w:val="14"/>
              </w:rPr>
            </w:pPr>
            <w:r>
              <w:rPr>
                <w:color w:val="231F20"/>
                <w:spacing w:val="-4"/>
                <w:w w:val="95"/>
                <w:sz w:val="14"/>
              </w:rPr>
              <w:t>10.4</w:t>
            </w:r>
          </w:p>
        </w:tc>
        <w:tc>
          <w:tcPr>
            <w:tcW w:w="1604" w:type="dxa"/>
            <w:shd w:val="clear" w:color="auto" w:fill="D4E3F5"/>
          </w:tcPr>
          <w:p>
            <w:pPr>
              <w:pStyle w:val="TableParagraph"/>
              <w:ind w:left="173" w:right="11"/>
              <w:rPr>
                <w:sz w:val="14"/>
              </w:rPr>
            </w:pPr>
            <w:r>
              <w:rPr>
                <w:color w:val="231F20"/>
                <w:spacing w:val="-5"/>
                <w:w w:val="95"/>
                <w:sz w:val="14"/>
              </w:rPr>
              <w:t>9.6</w:t>
            </w:r>
          </w:p>
        </w:tc>
        <w:tc>
          <w:tcPr>
            <w:tcW w:w="1599" w:type="dxa"/>
            <w:shd w:val="clear" w:color="auto" w:fill="D4E3F5"/>
          </w:tcPr>
          <w:p>
            <w:pPr>
              <w:pStyle w:val="TableParagraph"/>
              <w:ind w:left="4" w:right="112"/>
              <w:rPr>
                <w:sz w:val="14"/>
              </w:rPr>
            </w:pPr>
            <w:r>
              <w:rPr>
                <w:color w:val="231F20"/>
                <w:spacing w:val="-10"/>
                <w:w w:val="95"/>
                <w:sz w:val="14"/>
              </w:rPr>
              <w:t>0</w:t>
            </w:r>
          </w:p>
        </w:tc>
        <w:tc>
          <w:tcPr>
            <w:tcW w:w="1490" w:type="dxa"/>
            <w:shd w:val="clear" w:color="auto" w:fill="D4E3F5"/>
          </w:tcPr>
          <w:p>
            <w:pPr>
              <w:pStyle w:val="TableParagraph"/>
              <w:ind w:right="43"/>
              <w:rPr>
                <w:sz w:val="14"/>
              </w:rPr>
            </w:pPr>
            <w:r>
              <w:rPr>
                <w:color w:val="231F20"/>
                <w:spacing w:val="-10"/>
                <w:sz w:val="14"/>
              </w:rPr>
              <w:t>—</w:t>
            </w:r>
          </w:p>
        </w:tc>
      </w:tr>
      <w:tr>
        <w:trPr>
          <w:trHeight w:val="259" w:hRule="atLeast"/>
        </w:trPr>
        <w:tc>
          <w:tcPr>
            <w:tcW w:w="1584" w:type="dxa"/>
          </w:tcPr>
          <w:p>
            <w:pPr>
              <w:pStyle w:val="TableParagraph"/>
              <w:ind w:left="80"/>
              <w:jc w:val="left"/>
              <w:rPr>
                <w:sz w:val="14"/>
              </w:rPr>
            </w:pPr>
            <w:r>
              <w:rPr>
                <w:color w:val="231F20"/>
                <w:spacing w:val="-2"/>
                <w:w w:val="90"/>
                <w:sz w:val="14"/>
              </w:rPr>
              <w:t>Mongolia</w:t>
            </w:r>
          </w:p>
        </w:tc>
        <w:tc>
          <w:tcPr>
            <w:tcW w:w="1402" w:type="dxa"/>
          </w:tcPr>
          <w:p>
            <w:pPr>
              <w:pStyle w:val="TableParagraph"/>
              <w:ind w:left="109" w:right="179"/>
              <w:rPr>
                <w:sz w:val="14"/>
              </w:rPr>
            </w:pPr>
            <w:r>
              <w:rPr>
                <w:color w:val="231F20"/>
                <w:spacing w:val="-5"/>
                <w:w w:val="95"/>
                <w:sz w:val="14"/>
              </w:rPr>
              <w:t>25</w:t>
            </w:r>
          </w:p>
        </w:tc>
        <w:tc>
          <w:tcPr>
            <w:tcW w:w="1604" w:type="dxa"/>
          </w:tcPr>
          <w:p>
            <w:pPr>
              <w:pStyle w:val="TableParagraph"/>
              <w:ind w:left="173" w:right="11"/>
              <w:rPr>
                <w:sz w:val="14"/>
              </w:rPr>
            </w:pPr>
            <w:r>
              <w:rPr>
                <w:color w:val="231F20"/>
                <w:spacing w:val="-5"/>
                <w:w w:val="95"/>
                <w:sz w:val="14"/>
              </w:rPr>
              <w:t>5.5</w:t>
            </w:r>
          </w:p>
        </w:tc>
        <w:tc>
          <w:tcPr>
            <w:tcW w:w="1599" w:type="dxa"/>
          </w:tcPr>
          <w:p>
            <w:pPr>
              <w:pStyle w:val="TableParagraph"/>
              <w:ind w:left="84" w:right="108"/>
              <w:rPr>
                <w:sz w:val="14"/>
              </w:rPr>
            </w:pPr>
            <w:r>
              <w:rPr>
                <w:color w:val="231F20"/>
                <w:spacing w:val="-5"/>
                <w:w w:val="95"/>
                <w:sz w:val="14"/>
              </w:rPr>
              <w:t>0.1</w:t>
            </w:r>
          </w:p>
        </w:tc>
        <w:tc>
          <w:tcPr>
            <w:tcW w:w="1490" w:type="dxa"/>
          </w:tcPr>
          <w:p>
            <w:pPr>
              <w:pStyle w:val="TableParagraph"/>
              <w:ind w:right="43"/>
              <w:rPr>
                <w:sz w:val="14"/>
              </w:rPr>
            </w:pPr>
            <w:r>
              <w:rPr>
                <w:color w:val="231F20"/>
                <w:spacing w:val="-10"/>
                <w:sz w:val="14"/>
              </w:rPr>
              <w:t>—</w:t>
            </w:r>
          </w:p>
        </w:tc>
      </w:tr>
      <w:tr>
        <w:trPr>
          <w:trHeight w:val="259" w:hRule="atLeast"/>
        </w:trPr>
        <w:tc>
          <w:tcPr>
            <w:tcW w:w="1584" w:type="dxa"/>
            <w:shd w:val="clear" w:color="auto" w:fill="D4E3F5"/>
          </w:tcPr>
          <w:p>
            <w:pPr>
              <w:pStyle w:val="TableParagraph"/>
              <w:ind w:left="80"/>
              <w:jc w:val="left"/>
              <w:rPr>
                <w:sz w:val="14"/>
              </w:rPr>
            </w:pPr>
            <w:r>
              <w:rPr>
                <w:color w:val="231F20"/>
                <w:spacing w:val="-2"/>
                <w:w w:val="85"/>
                <w:sz w:val="14"/>
              </w:rPr>
              <w:t>Nepal</w:t>
            </w:r>
          </w:p>
        </w:tc>
        <w:tc>
          <w:tcPr>
            <w:tcW w:w="1402" w:type="dxa"/>
            <w:shd w:val="clear" w:color="auto" w:fill="D4E3F5"/>
          </w:tcPr>
          <w:p>
            <w:pPr>
              <w:pStyle w:val="TableParagraph"/>
              <w:ind w:left="147" w:right="70"/>
              <w:rPr>
                <w:sz w:val="14"/>
              </w:rPr>
            </w:pPr>
            <w:r>
              <w:rPr>
                <w:color w:val="231F20"/>
                <w:spacing w:val="-5"/>
                <w:w w:val="95"/>
                <w:sz w:val="14"/>
              </w:rPr>
              <w:t>6.1</w:t>
            </w:r>
          </w:p>
        </w:tc>
        <w:tc>
          <w:tcPr>
            <w:tcW w:w="1604" w:type="dxa"/>
            <w:shd w:val="clear" w:color="auto" w:fill="D4E3F5"/>
          </w:tcPr>
          <w:p>
            <w:pPr>
              <w:pStyle w:val="TableParagraph"/>
              <w:ind w:left="173" w:right="11"/>
              <w:rPr>
                <w:sz w:val="14"/>
              </w:rPr>
            </w:pPr>
            <w:r>
              <w:rPr>
                <w:color w:val="231F20"/>
                <w:spacing w:val="-5"/>
                <w:w w:val="95"/>
                <w:sz w:val="14"/>
              </w:rPr>
              <w:t>2.6</w:t>
            </w:r>
          </w:p>
        </w:tc>
        <w:tc>
          <w:tcPr>
            <w:tcW w:w="1599" w:type="dxa"/>
            <w:shd w:val="clear" w:color="auto" w:fill="D4E3F5"/>
          </w:tcPr>
          <w:p>
            <w:pPr>
              <w:pStyle w:val="TableParagraph"/>
              <w:ind w:left="102" w:right="108"/>
              <w:rPr>
                <w:sz w:val="14"/>
              </w:rPr>
            </w:pPr>
            <w:r>
              <w:rPr>
                <w:color w:val="231F20"/>
                <w:spacing w:val="-5"/>
                <w:w w:val="95"/>
                <w:sz w:val="14"/>
              </w:rPr>
              <w:t>5.5</w:t>
            </w:r>
          </w:p>
        </w:tc>
        <w:tc>
          <w:tcPr>
            <w:tcW w:w="1490" w:type="dxa"/>
            <w:shd w:val="clear" w:color="auto" w:fill="D4E3F5"/>
          </w:tcPr>
          <w:p>
            <w:pPr>
              <w:pStyle w:val="TableParagraph"/>
              <w:ind w:left="2" w:right="43"/>
              <w:rPr>
                <w:sz w:val="14"/>
              </w:rPr>
            </w:pPr>
            <w:r>
              <w:rPr>
                <w:color w:val="231F20"/>
                <w:spacing w:val="-5"/>
                <w:w w:val="95"/>
                <w:sz w:val="14"/>
              </w:rPr>
              <w:t>9.2</w:t>
            </w:r>
          </w:p>
        </w:tc>
      </w:tr>
      <w:tr>
        <w:trPr>
          <w:trHeight w:val="259" w:hRule="atLeast"/>
        </w:trPr>
        <w:tc>
          <w:tcPr>
            <w:tcW w:w="1584" w:type="dxa"/>
          </w:tcPr>
          <w:p>
            <w:pPr>
              <w:pStyle w:val="TableParagraph"/>
              <w:ind w:left="80"/>
              <w:jc w:val="left"/>
              <w:rPr>
                <w:sz w:val="14"/>
              </w:rPr>
            </w:pPr>
            <w:r>
              <w:rPr>
                <w:color w:val="231F20"/>
                <w:spacing w:val="-2"/>
                <w:w w:val="90"/>
                <w:sz w:val="14"/>
              </w:rPr>
              <w:t>Niger</w:t>
            </w:r>
          </w:p>
        </w:tc>
        <w:tc>
          <w:tcPr>
            <w:tcW w:w="1402" w:type="dxa"/>
          </w:tcPr>
          <w:p>
            <w:pPr>
              <w:pStyle w:val="TableParagraph"/>
              <w:ind w:left="109" w:right="78"/>
              <w:rPr>
                <w:sz w:val="14"/>
              </w:rPr>
            </w:pPr>
            <w:r>
              <w:rPr>
                <w:color w:val="231F20"/>
                <w:spacing w:val="-4"/>
                <w:w w:val="95"/>
                <w:sz w:val="14"/>
              </w:rPr>
              <w:t>16.6</w:t>
            </w:r>
          </w:p>
        </w:tc>
        <w:tc>
          <w:tcPr>
            <w:tcW w:w="1604" w:type="dxa"/>
          </w:tcPr>
          <w:p>
            <w:pPr>
              <w:pStyle w:val="TableParagraph"/>
              <w:ind w:left="173" w:right="75"/>
              <w:rPr>
                <w:sz w:val="14"/>
              </w:rPr>
            </w:pPr>
            <w:r>
              <w:rPr>
                <w:color w:val="231F20"/>
                <w:spacing w:val="-4"/>
                <w:w w:val="95"/>
                <w:sz w:val="14"/>
              </w:rPr>
              <w:t>12.4</w:t>
            </w:r>
          </w:p>
        </w:tc>
        <w:tc>
          <w:tcPr>
            <w:tcW w:w="1599" w:type="dxa"/>
          </w:tcPr>
          <w:p>
            <w:pPr>
              <w:pStyle w:val="TableParagraph"/>
              <w:ind w:left="4" w:right="112"/>
              <w:rPr>
                <w:sz w:val="14"/>
              </w:rPr>
            </w:pPr>
            <w:r>
              <w:rPr>
                <w:color w:val="231F20"/>
                <w:spacing w:val="-10"/>
                <w:w w:val="95"/>
                <w:sz w:val="14"/>
              </w:rPr>
              <w:t>0</w:t>
            </w:r>
          </w:p>
        </w:tc>
        <w:tc>
          <w:tcPr>
            <w:tcW w:w="1490" w:type="dxa"/>
          </w:tcPr>
          <w:p>
            <w:pPr>
              <w:pStyle w:val="TableParagraph"/>
              <w:ind w:right="43"/>
              <w:rPr>
                <w:sz w:val="14"/>
              </w:rPr>
            </w:pPr>
            <w:r>
              <w:rPr>
                <w:color w:val="231F20"/>
                <w:spacing w:val="-10"/>
                <w:sz w:val="14"/>
              </w:rPr>
              <w:t>—</w:t>
            </w:r>
          </w:p>
        </w:tc>
      </w:tr>
      <w:tr>
        <w:trPr>
          <w:trHeight w:val="259" w:hRule="atLeast"/>
        </w:trPr>
        <w:tc>
          <w:tcPr>
            <w:tcW w:w="1584" w:type="dxa"/>
            <w:shd w:val="clear" w:color="auto" w:fill="D4E3F5"/>
          </w:tcPr>
          <w:p>
            <w:pPr>
              <w:pStyle w:val="TableParagraph"/>
              <w:ind w:left="80"/>
              <w:jc w:val="left"/>
              <w:rPr>
                <w:sz w:val="14"/>
              </w:rPr>
            </w:pPr>
            <w:r>
              <w:rPr>
                <w:color w:val="231F20"/>
                <w:w w:val="75"/>
                <w:sz w:val="14"/>
              </w:rPr>
              <w:t>North</w:t>
            </w:r>
            <w:r>
              <w:rPr>
                <w:color w:val="231F20"/>
                <w:spacing w:val="15"/>
                <w:sz w:val="14"/>
              </w:rPr>
              <w:t> </w:t>
            </w:r>
            <w:r>
              <w:rPr>
                <w:color w:val="231F20"/>
                <w:spacing w:val="-2"/>
                <w:w w:val="90"/>
                <w:sz w:val="14"/>
              </w:rPr>
              <w:t>Macedonia</w:t>
            </w:r>
          </w:p>
        </w:tc>
        <w:tc>
          <w:tcPr>
            <w:tcW w:w="1402" w:type="dxa"/>
            <w:shd w:val="clear" w:color="auto" w:fill="D4E3F5"/>
          </w:tcPr>
          <w:p>
            <w:pPr>
              <w:pStyle w:val="TableParagraph"/>
              <w:ind w:left="109" w:right="75"/>
              <w:rPr>
                <w:sz w:val="14"/>
              </w:rPr>
            </w:pPr>
            <w:r>
              <w:rPr>
                <w:color w:val="231F20"/>
                <w:spacing w:val="-4"/>
                <w:w w:val="95"/>
                <w:sz w:val="14"/>
              </w:rPr>
              <w:t>12.8</w:t>
            </w:r>
          </w:p>
        </w:tc>
        <w:tc>
          <w:tcPr>
            <w:tcW w:w="1604" w:type="dxa"/>
            <w:shd w:val="clear" w:color="auto" w:fill="D4E3F5"/>
          </w:tcPr>
          <w:p>
            <w:pPr>
              <w:pStyle w:val="TableParagraph"/>
              <w:ind w:left="173" w:right="10"/>
              <w:rPr>
                <w:sz w:val="14"/>
              </w:rPr>
            </w:pPr>
            <w:r>
              <w:rPr>
                <w:color w:val="231F20"/>
                <w:spacing w:val="-5"/>
                <w:w w:val="95"/>
                <w:sz w:val="14"/>
              </w:rPr>
              <w:t>5.2</w:t>
            </w:r>
          </w:p>
        </w:tc>
        <w:tc>
          <w:tcPr>
            <w:tcW w:w="1599" w:type="dxa"/>
            <w:shd w:val="clear" w:color="auto" w:fill="D4E3F5"/>
          </w:tcPr>
          <w:p>
            <w:pPr>
              <w:pStyle w:val="TableParagraph"/>
              <w:ind w:left="84" w:right="108"/>
              <w:rPr>
                <w:sz w:val="14"/>
              </w:rPr>
            </w:pPr>
            <w:r>
              <w:rPr>
                <w:color w:val="231F20"/>
                <w:spacing w:val="-5"/>
                <w:w w:val="95"/>
                <w:sz w:val="14"/>
              </w:rPr>
              <w:t>0.1</w:t>
            </w:r>
          </w:p>
        </w:tc>
        <w:tc>
          <w:tcPr>
            <w:tcW w:w="1490" w:type="dxa"/>
            <w:shd w:val="clear" w:color="auto" w:fill="D4E3F5"/>
          </w:tcPr>
          <w:p>
            <w:pPr>
              <w:pStyle w:val="TableParagraph"/>
              <w:ind w:right="43"/>
              <w:rPr>
                <w:sz w:val="14"/>
              </w:rPr>
            </w:pPr>
            <w:r>
              <w:rPr>
                <w:color w:val="231F20"/>
                <w:spacing w:val="-10"/>
                <w:sz w:val="14"/>
              </w:rPr>
              <w:t>—</w:t>
            </w:r>
          </w:p>
        </w:tc>
      </w:tr>
      <w:tr>
        <w:trPr>
          <w:trHeight w:val="259" w:hRule="atLeast"/>
        </w:trPr>
        <w:tc>
          <w:tcPr>
            <w:tcW w:w="1584" w:type="dxa"/>
          </w:tcPr>
          <w:p>
            <w:pPr>
              <w:pStyle w:val="TableParagraph"/>
              <w:ind w:left="80"/>
              <w:jc w:val="left"/>
              <w:rPr>
                <w:sz w:val="14"/>
              </w:rPr>
            </w:pPr>
            <w:r>
              <w:rPr>
                <w:color w:val="231F20"/>
                <w:spacing w:val="-2"/>
                <w:w w:val="85"/>
                <w:sz w:val="14"/>
              </w:rPr>
              <w:t>Paraguay</w:t>
            </w:r>
          </w:p>
        </w:tc>
        <w:tc>
          <w:tcPr>
            <w:tcW w:w="1402" w:type="dxa"/>
          </w:tcPr>
          <w:p>
            <w:pPr>
              <w:pStyle w:val="TableParagraph"/>
              <w:ind w:left="179" w:right="70"/>
              <w:rPr>
                <w:sz w:val="14"/>
              </w:rPr>
            </w:pPr>
            <w:r>
              <w:rPr>
                <w:color w:val="231F20"/>
                <w:spacing w:val="-5"/>
                <w:w w:val="95"/>
                <w:sz w:val="14"/>
              </w:rPr>
              <w:t>7.5</w:t>
            </w:r>
          </w:p>
        </w:tc>
        <w:tc>
          <w:tcPr>
            <w:tcW w:w="1604" w:type="dxa"/>
          </w:tcPr>
          <w:p>
            <w:pPr>
              <w:pStyle w:val="TableParagraph"/>
              <w:ind w:left="173" w:right="67"/>
              <w:rPr>
                <w:sz w:val="14"/>
              </w:rPr>
            </w:pPr>
            <w:r>
              <w:rPr>
                <w:color w:val="231F20"/>
                <w:spacing w:val="-4"/>
                <w:w w:val="95"/>
                <w:sz w:val="14"/>
              </w:rPr>
              <w:t>11.4</w:t>
            </w:r>
          </w:p>
        </w:tc>
        <w:tc>
          <w:tcPr>
            <w:tcW w:w="1599" w:type="dxa"/>
          </w:tcPr>
          <w:p>
            <w:pPr>
              <w:pStyle w:val="TableParagraph"/>
              <w:ind w:left="4" w:right="112"/>
              <w:rPr>
                <w:sz w:val="14"/>
              </w:rPr>
            </w:pPr>
            <w:r>
              <w:rPr>
                <w:color w:val="231F20"/>
                <w:spacing w:val="-10"/>
                <w:w w:val="95"/>
                <w:sz w:val="14"/>
              </w:rPr>
              <w:t>0</w:t>
            </w:r>
          </w:p>
        </w:tc>
        <w:tc>
          <w:tcPr>
            <w:tcW w:w="1490" w:type="dxa"/>
          </w:tcPr>
          <w:p>
            <w:pPr>
              <w:pStyle w:val="TableParagraph"/>
              <w:ind w:right="43"/>
              <w:rPr>
                <w:sz w:val="14"/>
              </w:rPr>
            </w:pPr>
            <w:r>
              <w:rPr>
                <w:color w:val="231F20"/>
                <w:spacing w:val="-10"/>
                <w:sz w:val="14"/>
              </w:rPr>
              <w:t>—</w:t>
            </w:r>
          </w:p>
        </w:tc>
      </w:tr>
      <w:tr>
        <w:trPr>
          <w:trHeight w:val="259" w:hRule="atLeast"/>
        </w:trPr>
        <w:tc>
          <w:tcPr>
            <w:tcW w:w="1584" w:type="dxa"/>
            <w:shd w:val="clear" w:color="auto" w:fill="D4E3F5"/>
          </w:tcPr>
          <w:p>
            <w:pPr>
              <w:pStyle w:val="TableParagraph"/>
              <w:ind w:left="80"/>
              <w:jc w:val="left"/>
              <w:rPr>
                <w:sz w:val="14"/>
              </w:rPr>
            </w:pPr>
            <w:r>
              <w:rPr>
                <w:color w:val="231F20"/>
                <w:spacing w:val="-2"/>
                <w:w w:val="85"/>
                <w:sz w:val="14"/>
              </w:rPr>
              <w:t>Rwanda</w:t>
            </w:r>
          </w:p>
        </w:tc>
        <w:tc>
          <w:tcPr>
            <w:tcW w:w="1402" w:type="dxa"/>
            <w:shd w:val="clear" w:color="auto" w:fill="D4E3F5"/>
          </w:tcPr>
          <w:p>
            <w:pPr>
              <w:pStyle w:val="TableParagraph"/>
              <w:ind w:left="109" w:right="75"/>
              <w:rPr>
                <w:sz w:val="14"/>
              </w:rPr>
            </w:pPr>
            <w:r>
              <w:rPr>
                <w:color w:val="231F20"/>
                <w:spacing w:val="-4"/>
                <w:w w:val="95"/>
                <w:sz w:val="14"/>
              </w:rPr>
              <w:t>14.6</w:t>
            </w:r>
          </w:p>
        </w:tc>
        <w:tc>
          <w:tcPr>
            <w:tcW w:w="1604" w:type="dxa"/>
            <w:shd w:val="clear" w:color="auto" w:fill="D4E3F5"/>
          </w:tcPr>
          <w:p>
            <w:pPr>
              <w:pStyle w:val="TableParagraph"/>
              <w:ind w:left="173" w:right="30"/>
              <w:rPr>
                <w:sz w:val="14"/>
              </w:rPr>
            </w:pPr>
            <w:r>
              <w:rPr>
                <w:color w:val="231F20"/>
                <w:spacing w:val="-5"/>
                <w:w w:val="95"/>
                <w:sz w:val="14"/>
              </w:rPr>
              <w:t>5.1</w:t>
            </w:r>
          </w:p>
        </w:tc>
        <w:tc>
          <w:tcPr>
            <w:tcW w:w="1599" w:type="dxa"/>
            <w:shd w:val="clear" w:color="auto" w:fill="D4E3F5"/>
          </w:tcPr>
          <w:p>
            <w:pPr>
              <w:pStyle w:val="TableParagraph"/>
              <w:ind w:left="4" w:right="112"/>
              <w:rPr>
                <w:sz w:val="14"/>
              </w:rPr>
            </w:pPr>
            <w:r>
              <w:rPr>
                <w:color w:val="231F20"/>
                <w:spacing w:val="-10"/>
                <w:w w:val="95"/>
                <w:sz w:val="14"/>
              </w:rPr>
              <w:t>2</w:t>
            </w:r>
          </w:p>
        </w:tc>
        <w:tc>
          <w:tcPr>
            <w:tcW w:w="1490" w:type="dxa"/>
            <w:shd w:val="clear" w:color="auto" w:fill="D4E3F5"/>
          </w:tcPr>
          <w:p>
            <w:pPr>
              <w:pStyle w:val="TableParagraph"/>
              <w:ind w:right="43"/>
              <w:rPr>
                <w:sz w:val="14"/>
              </w:rPr>
            </w:pPr>
            <w:r>
              <w:rPr>
                <w:color w:val="231F20"/>
                <w:spacing w:val="-10"/>
                <w:sz w:val="14"/>
              </w:rPr>
              <w:t>—</w:t>
            </w:r>
          </w:p>
        </w:tc>
      </w:tr>
      <w:tr>
        <w:trPr>
          <w:trHeight w:val="259" w:hRule="atLeast"/>
        </w:trPr>
        <w:tc>
          <w:tcPr>
            <w:tcW w:w="1584" w:type="dxa"/>
          </w:tcPr>
          <w:p>
            <w:pPr>
              <w:pStyle w:val="TableParagraph"/>
              <w:ind w:left="80"/>
              <w:jc w:val="left"/>
              <w:rPr>
                <w:sz w:val="14"/>
              </w:rPr>
            </w:pPr>
            <w:r>
              <w:rPr>
                <w:color w:val="231F20"/>
                <w:spacing w:val="-2"/>
                <w:w w:val="90"/>
                <w:sz w:val="14"/>
              </w:rPr>
              <w:t>Serbia</w:t>
            </w:r>
          </w:p>
        </w:tc>
        <w:tc>
          <w:tcPr>
            <w:tcW w:w="1402" w:type="dxa"/>
          </w:tcPr>
          <w:p>
            <w:pPr>
              <w:pStyle w:val="TableParagraph"/>
              <w:ind w:left="178" w:right="70"/>
              <w:rPr>
                <w:sz w:val="14"/>
              </w:rPr>
            </w:pPr>
            <w:r>
              <w:rPr>
                <w:color w:val="231F20"/>
                <w:spacing w:val="-5"/>
                <w:w w:val="95"/>
                <w:sz w:val="14"/>
              </w:rPr>
              <w:t>7.6</w:t>
            </w:r>
          </w:p>
        </w:tc>
        <w:tc>
          <w:tcPr>
            <w:tcW w:w="1604" w:type="dxa"/>
          </w:tcPr>
          <w:p>
            <w:pPr>
              <w:pStyle w:val="TableParagraph"/>
              <w:ind w:left="173" w:right="10"/>
              <w:rPr>
                <w:sz w:val="14"/>
              </w:rPr>
            </w:pPr>
            <w:r>
              <w:rPr>
                <w:color w:val="231F20"/>
                <w:spacing w:val="-5"/>
                <w:w w:val="95"/>
                <w:sz w:val="14"/>
              </w:rPr>
              <w:t>5.2</w:t>
            </w:r>
          </w:p>
        </w:tc>
        <w:tc>
          <w:tcPr>
            <w:tcW w:w="1599" w:type="dxa"/>
          </w:tcPr>
          <w:p>
            <w:pPr>
              <w:pStyle w:val="TableParagraph"/>
              <w:ind w:left="4" w:right="112"/>
              <w:rPr>
                <w:sz w:val="14"/>
              </w:rPr>
            </w:pPr>
            <w:r>
              <w:rPr>
                <w:color w:val="231F20"/>
                <w:spacing w:val="-10"/>
                <w:w w:val="95"/>
                <w:sz w:val="14"/>
              </w:rPr>
              <w:t>3</w:t>
            </w:r>
          </w:p>
        </w:tc>
        <w:tc>
          <w:tcPr>
            <w:tcW w:w="1490" w:type="dxa"/>
          </w:tcPr>
          <w:p>
            <w:pPr>
              <w:pStyle w:val="TableParagraph"/>
              <w:ind w:right="43"/>
              <w:rPr>
                <w:sz w:val="14"/>
              </w:rPr>
            </w:pPr>
            <w:r>
              <w:rPr>
                <w:color w:val="231F20"/>
                <w:spacing w:val="-10"/>
                <w:sz w:val="14"/>
              </w:rPr>
              <w:t>—</w:t>
            </w:r>
          </w:p>
        </w:tc>
      </w:tr>
      <w:tr>
        <w:trPr>
          <w:trHeight w:val="259" w:hRule="atLeast"/>
        </w:trPr>
        <w:tc>
          <w:tcPr>
            <w:tcW w:w="1584" w:type="dxa"/>
            <w:shd w:val="clear" w:color="auto" w:fill="D4E3F5"/>
          </w:tcPr>
          <w:p>
            <w:pPr>
              <w:pStyle w:val="TableParagraph"/>
              <w:ind w:left="80"/>
              <w:jc w:val="left"/>
              <w:rPr>
                <w:sz w:val="14"/>
              </w:rPr>
            </w:pPr>
            <w:r>
              <w:rPr>
                <w:color w:val="231F20"/>
                <w:spacing w:val="-2"/>
                <w:w w:val="85"/>
                <w:sz w:val="14"/>
              </w:rPr>
              <w:t>Uganda</w:t>
            </w:r>
          </w:p>
        </w:tc>
        <w:tc>
          <w:tcPr>
            <w:tcW w:w="1402" w:type="dxa"/>
            <w:shd w:val="clear" w:color="auto" w:fill="D4E3F5"/>
          </w:tcPr>
          <w:p>
            <w:pPr>
              <w:pStyle w:val="TableParagraph"/>
              <w:ind w:left="167" w:right="70"/>
              <w:rPr>
                <w:sz w:val="14"/>
              </w:rPr>
            </w:pPr>
            <w:r>
              <w:rPr>
                <w:color w:val="231F20"/>
                <w:spacing w:val="-5"/>
                <w:w w:val="95"/>
                <w:sz w:val="14"/>
              </w:rPr>
              <w:t>9.3</w:t>
            </w:r>
          </w:p>
        </w:tc>
        <w:tc>
          <w:tcPr>
            <w:tcW w:w="1604" w:type="dxa"/>
            <w:shd w:val="clear" w:color="auto" w:fill="D4E3F5"/>
          </w:tcPr>
          <w:p>
            <w:pPr>
              <w:pStyle w:val="TableParagraph"/>
              <w:ind w:left="173" w:right="30"/>
              <w:rPr>
                <w:sz w:val="14"/>
              </w:rPr>
            </w:pPr>
            <w:r>
              <w:rPr>
                <w:color w:val="231F20"/>
                <w:spacing w:val="-5"/>
                <w:w w:val="95"/>
                <w:sz w:val="14"/>
              </w:rPr>
              <w:t>5.1</w:t>
            </w:r>
          </w:p>
        </w:tc>
        <w:tc>
          <w:tcPr>
            <w:tcW w:w="1599" w:type="dxa"/>
            <w:shd w:val="clear" w:color="auto" w:fill="D4E3F5"/>
          </w:tcPr>
          <w:p>
            <w:pPr>
              <w:pStyle w:val="TableParagraph"/>
              <w:ind w:left="103" w:right="108"/>
              <w:rPr>
                <w:sz w:val="14"/>
              </w:rPr>
            </w:pPr>
            <w:r>
              <w:rPr>
                <w:color w:val="231F20"/>
                <w:spacing w:val="-5"/>
                <w:w w:val="95"/>
                <w:sz w:val="14"/>
              </w:rPr>
              <w:t>8.8</w:t>
            </w:r>
          </w:p>
        </w:tc>
        <w:tc>
          <w:tcPr>
            <w:tcW w:w="1490" w:type="dxa"/>
            <w:shd w:val="clear" w:color="auto" w:fill="D4E3F5"/>
          </w:tcPr>
          <w:p>
            <w:pPr>
              <w:pStyle w:val="TableParagraph"/>
              <w:ind w:left="1" w:right="43"/>
              <w:rPr>
                <w:sz w:val="14"/>
              </w:rPr>
            </w:pPr>
            <w:r>
              <w:rPr>
                <w:color w:val="231F20"/>
                <w:spacing w:val="-5"/>
                <w:w w:val="95"/>
                <w:sz w:val="14"/>
              </w:rPr>
              <w:t>4.4</w:t>
            </w:r>
          </w:p>
        </w:tc>
      </w:tr>
      <w:tr>
        <w:trPr>
          <w:trHeight w:val="259" w:hRule="atLeast"/>
        </w:trPr>
        <w:tc>
          <w:tcPr>
            <w:tcW w:w="1584" w:type="dxa"/>
          </w:tcPr>
          <w:p>
            <w:pPr>
              <w:pStyle w:val="TableParagraph"/>
              <w:ind w:left="80"/>
              <w:jc w:val="left"/>
              <w:rPr>
                <w:sz w:val="14"/>
              </w:rPr>
            </w:pPr>
            <w:r>
              <w:rPr>
                <w:color w:val="231F20"/>
                <w:spacing w:val="-2"/>
                <w:w w:val="90"/>
                <w:sz w:val="14"/>
              </w:rPr>
              <w:t>Zambia</w:t>
            </w:r>
          </w:p>
        </w:tc>
        <w:tc>
          <w:tcPr>
            <w:tcW w:w="1402" w:type="dxa"/>
          </w:tcPr>
          <w:p>
            <w:pPr>
              <w:pStyle w:val="TableParagraph"/>
              <w:ind w:left="109" w:right="77"/>
              <w:rPr>
                <w:sz w:val="14"/>
              </w:rPr>
            </w:pPr>
            <w:r>
              <w:rPr>
                <w:color w:val="231F20"/>
                <w:spacing w:val="-4"/>
                <w:w w:val="95"/>
                <w:sz w:val="14"/>
              </w:rPr>
              <w:t>13.6</w:t>
            </w:r>
          </w:p>
        </w:tc>
        <w:tc>
          <w:tcPr>
            <w:tcW w:w="1604" w:type="dxa"/>
          </w:tcPr>
          <w:p>
            <w:pPr>
              <w:pStyle w:val="TableParagraph"/>
              <w:ind w:left="173" w:right="113"/>
              <w:rPr>
                <w:sz w:val="14"/>
              </w:rPr>
            </w:pPr>
            <w:r>
              <w:rPr>
                <w:color w:val="231F20"/>
                <w:spacing w:val="-10"/>
                <w:w w:val="95"/>
                <w:sz w:val="14"/>
              </w:rPr>
              <w:t>4</w:t>
            </w:r>
          </w:p>
        </w:tc>
        <w:tc>
          <w:tcPr>
            <w:tcW w:w="1599" w:type="dxa"/>
          </w:tcPr>
          <w:p>
            <w:pPr>
              <w:pStyle w:val="TableParagraph"/>
              <w:ind w:left="103" w:right="108"/>
              <w:rPr>
                <w:sz w:val="14"/>
              </w:rPr>
            </w:pPr>
            <w:r>
              <w:rPr>
                <w:color w:val="231F20"/>
                <w:spacing w:val="-5"/>
                <w:w w:val="95"/>
                <w:sz w:val="14"/>
              </w:rPr>
              <w:t>0.2</w:t>
            </w:r>
          </w:p>
        </w:tc>
        <w:tc>
          <w:tcPr>
            <w:tcW w:w="1490" w:type="dxa"/>
          </w:tcPr>
          <w:p>
            <w:pPr>
              <w:pStyle w:val="TableParagraph"/>
              <w:ind w:right="43"/>
              <w:rPr>
                <w:sz w:val="14"/>
              </w:rPr>
            </w:pPr>
            <w:r>
              <w:rPr>
                <w:color w:val="231F20"/>
                <w:spacing w:val="-10"/>
                <w:sz w:val="14"/>
              </w:rPr>
              <w:t>—</w:t>
            </w:r>
          </w:p>
        </w:tc>
      </w:tr>
      <w:tr>
        <w:trPr>
          <w:trHeight w:val="259" w:hRule="atLeast"/>
        </w:trPr>
        <w:tc>
          <w:tcPr>
            <w:tcW w:w="1584" w:type="dxa"/>
            <w:shd w:val="clear" w:color="auto" w:fill="D4E3F5"/>
          </w:tcPr>
          <w:p>
            <w:pPr>
              <w:pStyle w:val="TableParagraph"/>
              <w:ind w:left="80"/>
              <w:jc w:val="left"/>
              <w:rPr>
                <w:sz w:val="14"/>
              </w:rPr>
            </w:pPr>
            <w:r>
              <w:rPr>
                <w:color w:val="231F20"/>
                <w:spacing w:val="-2"/>
                <w:w w:val="90"/>
                <w:sz w:val="14"/>
              </w:rPr>
              <w:t>Zimbabwe</w:t>
            </w:r>
          </w:p>
        </w:tc>
        <w:tc>
          <w:tcPr>
            <w:tcW w:w="1402" w:type="dxa"/>
            <w:shd w:val="clear" w:color="auto" w:fill="D4E3F5"/>
          </w:tcPr>
          <w:p>
            <w:pPr>
              <w:pStyle w:val="TableParagraph"/>
              <w:ind w:left="109" w:right="75"/>
              <w:rPr>
                <w:sz w:val="14"/>
              </w:rPr>
            </w:pPr>
            <w:r>
              <w:rPr>
                <w:color w:val="231F20"/>
                <w:spacing w:val="-4"/>
                <w:w w:val="95"/>
                <w:sz w:val="14"/>
              </w:rPr>
              <w:t>12.8</w:t>
            </w:r>
          </w:p>
        </w:tc>
        <w:tc>
          <w:tcPr>
            <w:tcW w:w="1604" w:type="dxa"/>
            <w:shd w:val="clear" w:color="auto" w:fill="D4E3F5"/>
          </w:tcPr>
          <w:p>
            <w:pPr>
              <w:pStyle w:val="TableParagraph"/>
              <w:ind w:left="173" w:right="113"/>
              <w:rPr>
                <w:sz w:val="14"/>
              </w:rPr>
            </w:pPr>
            <w:r>
              <w:rPr>
                <w:color w:val="231F20"/>
                <w:spacing w:val="-10"/>
                <w:w w:val="95"/>
                <w:sz w:val="14"/>
              </w:rPr>
              <w:t>4</w:t>
            </w:r>
          </w:p>
        </w:tc>
        <w:tc>
          <w:tcPr>
            <w:tcW w:w="1599" w:type="dxa"/>
            <w:shd w:val="clear" w:color="auto" w:fill="D4E3F5"/>
          </w:tcPr>
          <w:p>
            <w:pPr>
              <w:pStyle w:val="TableParagraph"/>
              <w:ind w:left="4" w:right="112"/>
              <w:rPr>
                <w:sz w:val="14"/>
              </w:rPr>
            </w:pPr>
            <w:r>
              <w:rPr>
                <w:color w:val="231F20"/>
                <w:spacing w:val="-10"/>
                <w:w w:val="95"/>
                <w:sz w:val="14"/>
              </w:rPr>
              <w:t>0</w:t>
            </w:r>
          </w:p>
        </w:tc>
        <w:tc>
          <w:tcPr>
            <w:tcW w:w="1490" w:type="dxa"/>
            <w:shd w:val="clear" w:color="auto" w:fill="D4E3F5"/>
          </w:tcPr>
          <w:p>
            <w:pPr>
              <w:pStyle w:val="TableParagraph"/>
              <w:ind w:right="43"/>
              <w:rPr>
                <w:sz w:val="14"/>
              </w:rPr>
            </w:pPr>
            <w:r>
              <w:rPr>
                <w:color w:val="231F20"/>
                <w:spacing w:val="-10"/>
                <w:sz w:val="14"/>
              </w:rPr>
              <w:t>—</w:t>
            </w:r>
          </w:p>
        </w:tc>
      </w:tr>
    </w:tbl>
    <w:p>
      <w:pPr>
        <w:pStyle w:val="BodyText"/>
        <w:spacing w:before="62"/>
        <w:rPr>
          <w:rFonts w:ascii="Arial"/>
          <w:sz w:val="12"/>
        </w:rPr>
      </w:pPr>
    </w:p>
    <w:p>
      <w:pPr>
        <w:spacing w:before="0"/>
        <w:ind w:left="1200" w:right="0" w:firstLine="0"/>
        <w:jc w:val="left"/>
        <w:rPr>
          <w:rFonts w:ascii="Arial" w:hAnsi="Arial"/>
          <w:sz w:val="12"/>
        </w:rPr>
      </w:pPr>
      <w:bookmarkStart w:name="_bookmark44" w:id="48"/>
      <w:bookmarkEnd w:id="48"/>
      <w:r>
        <w:rPr/>
      </w:r>
      <w:r>
        <w:rPr>
          <w:rFonts w:ascii="Arial" w:hAnsi="Arial"/>
          <w:color w:val="231F20"/>
          <w:w w:val="85"/>
          <w:sz w:val="12"/>
        </w:rPr>
        <w:t>—</w:t>
      </w:r>
      <w:r>
        <w:rPr>
          <w:rFonts w:ascii="Arial" w:hAnsi="Arial"/>
          <w:color w:val="231F20"/>
          <w:spacing w:val="-3"/>
          <w:sz w:val="12"/>
        </w:rPr>
        <w:t> </w:t>
      </w:r>
      <w:r>
        <w:rPr>
          <w:rFonts w:ascii="Arial" w:hAnsi="Arial"/>
          <w:color w:val="231F20"/>
          <w:w w:val="85"/>
          <w:sz w:val="12"/>
        </w:rPr>
        <w:t>is</w:t>
      </w:r>
      <w:r>
        <w:rPr>
          <w:rFonts w:ascii="Arial" w:hAnsi="Arial"/>
          <w:color w:val="231F20"/>
          <w:spacing w:val="-3"/>
          <w:sz w:val="12"/>
        </w:rPr>
        <w:t> </w:t>
      </w:r>
      <w:r>
        <w:rPr>
          <w:rFonts w:ascii="Arial" w:hAnsi="Arial"/>
          <w:color w:val="231F20"/>
          <w:w w:val="85"/>
          <w:sz w:val="12"/>
        </w:rPr>
        <w:t>not</w:t>
      </w:r>
      <w:r>
        <w:rPr>
          <w:rFonts w:ascii="Arial" w:hAnsi="Arial"/>
          <w:color w:val="231F20"/>
          <w:spacing w:val="-3"/>
          <w:sz w:val="12"/>
        </w:rPr>
        <w:t> </w:t>
      </w:r>
      <w:r>
        <w:rPr>
          <w:rFonts w:ascii="Arial" w:hAnsi="Arial"/>
          <w:color w:val="231F20"/>
          <w:spacing w:val="-2"/>
          <w:w w:val="85"/>
          <w:sz w:val="12"/>
        </w:rPr>
        <w:t>available.</w:t>
      </w:r>
    </w:p>
    <w:p>
      <w:pPr>
        <w:spacing w:before="22"/>
        <w:ind w:left="1200" w:right="0" w:firstLine="0"/>
        <w:jc w:val="left"/>
        <w:rPr>
          <w:rFonts w:ascii="Arial"/>
          <w:sz w:val="12"/>
        </w:rPr>
      </w:pPr>
      <w:r>
        <w:rPr>
          <w:rFonts w:ascii="Arial"/>
          <w:i/>
          <w:color w:val="231F20"/>
          <w:w w:val="75"/>
          <w:sz w:val="12"/>
        </w:rPr>
        <w:t>Source:</w:t>
      </w:r>
      <w:r>
        <w:rPr>
          <w:rFonts w:ascii="Arial"/>
          <w:i/>
          <w:color w:val="231F20"/>
          <w:spacing w:val="11"/>
          <w:sz w:val="12"/>
        </w:rPr>
        <w:t> </w:t>
      </w:r>
      <w:r>
        <w:rPr>
          <w:rFonts w:ascii="Arial"/>
          <w:color w:val="231F20"/>
          <w:w w:val="75"/>
          <w:sz w:val="12"/>
        </w:rPr>
        <w:t>World</w:t>
      </w:r>
      <w:r>
        <w:rPr>
          <w:rFonts w:ascii="Arial"/>
          <w:color w:val="231F20"/>
          <w:spacing w:val="12"/>
          <w:sz w:val="12"/>
        </w:rPr>
        <w:t> </w:t>
      </w:r>
      <w:r>
        <w:rPr>
          <w:rFonts w:ascii="Arial"/>
          <w:color w:val="231F20"/>
          <w:w w:val="75"/>
          <w:sz w:val="12"/>
        </w:rPr>
        <w:t>Bank</w:t>
      </w:r>
      <w:r>
        <w:rPr>
          <w:rFonts w:ascii="Arial"/>
          <w:color w:val="231F20"/>
          <w:spacing w:val="12"/>
          <w:sz w:val="12"/>
        </w:rPr>
        <w:t> </w:t>
      </w:r>
      <w:r>
        <w:rPr>
          <w:rFonts w:ascii="Arial"/>
          <w:color w:val="231F20"/>
          <w:w w:val="75"/>
          <w:sz w:val="12"/>
        </w:rPr>
        <w:t>calculations</w:t>
      </w:r>
      <w:r>
        <w:rPr>
          <w:rFonts w:ascii="Arial"/>
          <w:color w:val="231F20"/>
          <w:spacing w:val="12"/>
          <w:sz w:val="12"/>
        </w:rPr>
        <w:t> </w:t>
      </w:r>
      <w:r>
        <w:rPr>
          <w:rFonts w:ascii="Arial"/>
          <w:color w:val="231F20"/>
          <w:w w:val="75"/>
          <w:sz w:val="12"/>
        </w:rPr>
        <w:t>based</w:t>
      </w:r>
      <w:r>
        <w:rPr>
          <w:rFonts w:ascii="Arial"/>
          <w:color w:val="231F20"/>
          <w:spacing w:val="11"/>
          <w:sz w:val="12"/>
        </w:rPr>
        <w:t> </w:t>
      </w:r>
      <w:r>
        <w:rPr>
          <w:rFonts w:ascii="Arial"/>
          <w:color w:val="231F20"/>
          <w:w w:val="75"/>
          <w:sz w:val="12"/>
        </w:rPr>
        <w:t>on</w:t>
      </w:r>
      <w:r>
        <w:rPr>
          <w:rFonts w:ascii="Arial"/>
          <w:color w:val="231F20"/>
          <w:spacing w:val="12"/>
          <w:sz w:val="12"/>
        </w:rPr>
        <w:t> </w:t>
      </w:r>
      <w:r>
        <w:rPr>
          <w:rFonts w:ascii="Arial"/>
          <w:color w:val="231F20"/>
          <w:w w:val="75"/>
          <w:sz w:val="12"/>
        </w:rPr>
        <w:t>data</w:t>
      </w:r>
      <w:r>
        <w:rPr>
          <w:rFonts w:ascii="Arial"/>
          <w:color w:val="231F20"/>
          <w:spacing w:val="12"/>
          <w:sz w:val="12"/>
        </w:rPr>
        <w:t> </w:t>
      </w:r>
      <w:r>
        <w:rPr>
          <w:rFonts w:ascii="Arial"/>
          <w:color w:val="231F20"/>
          <w:w w:val="75"/>
          <w:sz w:val="12"/>
        </w:rPr>
        <w:t>from</w:t>
      </w:r>
      <w:r>
        <w:rPr>
          <w:rFonts w:ascii="Arial"/>
          <w:color w:val="231F20"/>
          <w:spacing w:val="12"/>
          <w:sz w:val="12"/>
        </w:rPr>
        <w:t> </w:t>
      </w:r>
      <w:r>
        <w:rPr>
          <w:rFonts w:ascii="Arial"/>
          <w:color w:val="231F20"/>
          <w:spacing w:val="-2"/>
          <w:w w:val="75"/>
          <w:sz w:val="12"/>
        </w:rPr>
        <w:t>TradeLens.</w:t>
      </w:r>
    </w:p>
    <w:p>
      <w:pPr>
        <w:spacing w:after="0"/>
        <w:jc w:val="left"/>
        <w:rPr>
          <w:rFonts w:ascii="Arial"/>
          <w:sz w:val="12"/>
        </w:rPr>
        <w:sectPr>
          <w:pgSz w:w="12240" w:h="15840"/>
          <w:pgMar w:header="370" w:footer="548" w:top="560" w:bottom="740" w:left="0" w:right="540"/>
        </w:sectPr>
      </w:pPr>
    </w:p>
    <w:p>
      <w:pPr>
        <w:pStyle w:val="BodyText"/>
        <w:spacing w:before="9"/>
        <w:rPr>
          <w:rFonts w:ascii="Arial"/>
          <w:sz w:val="40"/>
        </w:rPr>
      </w:pPr>
    </w:p>
    <w:p>
      <w:pPr>
        <w:pStyle w:val="Heading1"/>
        <w:spacing w:line="230" w:lineRule="auto"/>
        <w:ind w:left="3360" w:right="1495"/>
      </w:pPr>
      <w:r>
        <w:rPr/>
        <mc:AlternateContent>
          <mc:Choice Requires="wps">
            <w:drawing>
              <wp:anchor distT="0" distB="0" distL="0" distR="0" allowOverlap="1" layoutInCell="1" locked="0" behindDoc="0" simplePos="0" relativeHeight="15770624">
                <wp:simplePos x="0" y="0"/>
                <wp:positionH relativeFrom="page">
                  <wp:posOffset>1237231</wp:posOffset>
                </wp:positionH>
                <wp:positionV relativeFrom="paragraph">
                  <wp:posOffset>-106476</wp:posOffset>
                </wp:positionV>
                <wp:extent cx="159385" cy="628015"/>
                <wp:effectExtent l="0" t="0" r="0" b="0"/>
                <wp:wrapNone/>
                <wp:docPr id="1594" name="Textbox 1594"/>
                <wp:cNvGraphicFramePr>
                  <a:graphicFrameLocks/>
                </wp:cNvGraphicFramePr>
                <a:graphic>
                  <a:graphicData uri="http://schemas.microsoft.com/office/word/2010/wordprocessingShape">
                    <wps:wsp>
                      <wps:cNvPr id="1594" name="Textbox 1594"/>
                      <wps:cNvSpPr txBox="1"/>
                      <wps:spPr>
                        <a:xfrm>
                          <a:off x="0" y="0"/>
                          <a:ext cx="159385" cy="628015"/>
                        </a:xfrm>
                        <a:prstGeom prst="rect">
                          <a:avLst/>
                        </a:prstGeom>
                      </wps:spPr>
                      <wps:txbx>
                        <w:txbxContent>
                          <w:p>
                            <w:pPr>
                              <w:spacing w:before="28"/>
                              <w:ind w:left="20" w:right="0" w:firstLine="0"/>
                              <w:jc w:val="left"/>
                              <w:rPr>
                                <w:rFonts w:ascii="Arial"/>
                                <w:b/>
                                <w:sz w:val="17"/>
                              </w:rPr>
                            </w:pPr>
                            <w:r>
                              <w:rPr>
                                <w:rFonts w:ascii="Arial"/>
                                <w:b/>
                                <w:color w:val="231F20"/>
                                <w:spacing w:val="-2"/>
                                <w:w w:val="110"/>
                                <w:sz w:val="17"/>
                              </w:rPr>
                              <w:t>APPENDIX</w:t>
                            </w:r>
                          </w:p>
                        </w:txbxContent>
                      </wps:txbx>
                      <wps:bodyPr wrap="square" lIns="0" tIns="0" rIns="0" bIns="0" rtlCol="0" vert="vert270">
                        <a:noAutofit/>
                      </wps:bodyPr>
                    </wps:wsp>
                  </a:graphicData>
                </a:graphic>
              </wp:anchor>
            </w:drawing>
          </mc:Choice>
          <mc:Fallback>
            <w:pict>
              <v:shape style="position:absolute;margin-left:97.4198pt;margin-top:-8.383999pt;width:12.55pt;height:49.45pt;mso-position-horizontal-relative:page;mso-position-vertical-relative:paragraph;z-index:15770624" type="#_x0000_t202" id="docshape1352" filled="false" stroked="false">
                <v:textbox inset="0,0,0,0" style="layout-flow:vertical;mso-layout-flow-alt:bottom-to-top">
                  <w:txbxContent>
                    <w:p>
                      <w:pPr>
                        <w:spacing w:before="28"/>
                        <w:ind w:left="20" w:right="0" w:firstLine="0"/>
                        <w:jc w:val="left"/>
                        <w:rPr>
                          <w:rFonts w:ascii="Arial"/>
                          <w:b/>
                          <w:sz w:val="17"/>
                        </w:rPr>
                      </w:pPr>
                      <w:r>
                        <w:rPr>
                          <w:rFonts w:ascii="Arial"/>
                          <w:b/>
                          <w:color w:val="231F20"/>
                          <w:spacing w:val="-2"/>
                          <w:w w:val="110"/>
                          <w:sz w:val="17"/>
                        </w:rPr>
                        <w:t>APPENDIX</w:t>
                      </w:r>
                    </w:p>
                  </w:txbxContent>
                </v:textbox>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1432570</wp:posOffset>
                </wp:positionH>
                <wp:positionV relativeFrom="paragraph">
                  <wp:posOffset>-242672</wp:posOffset>
                </wp:positionV>
                <wp:extent cx="548640" cy="942340"/>
                <wp:effectExtent l="0" t="0" r="0" b="0"/>
                <wp:wrapNone/>
                <wp:docPr id="1595" name="Textbox 1595"/>
                <wp:cNvGraphicFramePr>
                  <a:graphicFrameLocks/>
                </wp:cNvGraphicFramePr>
                <a:graphic>
                  <a:graphicData uri="http://schemas.microsoft.com/office/word/2010/wordprocessingShape">
                    <wps:wsp>
                      <wps:cNvPr id="1595" name="Textbox 1595"/>
                      <wps:cNvSpPr txBox="1"/>
                      <wps:spPr>
                        <a:xfrm>
                          <a:off x="0" y="0"/>
                          <a:ext cx="548640" cy="942340"/>
                        </a:xfrm>
                        <a:prstGeom prst="rect">
                          <a:avLst/>
                        </a:prstGeom>
                      </wps:spPr>
                      <wps:txbx>
                        <w:txbxContent>
                          <w:p>
                            <w:pPr>
                              <w:spacing w:before="57"/>
                              <w:ind w:left="0" w:right="0" w:firstLine="0"/>
                              <w:jc w:val="left"/>
                              <w:rPr>
                                <w:rFonts w:ascii="Arial"/>
                                <w:b/>
                                <w:sz w:val="120"/>
                              </w:rPr>
                            </w:pPr>
                            <w:r>
                              <w:rPr>
                                <w:rFonts w:ascii="Arial"/>
                                <w:b/>
                                <w:color w:val="008FDD"/>
                                <w:spacing w:val="-10"/>
                                <w:w w:val="125"/>
                                <w:sz w:val="120"/>
                              </w:rPr>
                              <w:t>3</w:t>
                            </w:r>
                          </w:p>
                        </w:txbxContent>
                      </wps:txbx>
                      <wps:bodyPr wrap="square" lIns="0" tIns="0" rIns="0" bIns="0" rtlCol="0">
                        <a:noAutofit/>
                      </wps:bodyPr>
                    </wps:wsp>
                  </a:graphicData>
                </a:graphic>
              </wp:anchor>
            </w:drawing>
          </mc:Choice>
          <mc:Fallback>
            <w:pict>
              <v:shape style="position:absolute;margin-left:112.800797pt;margin-top:-19.108047pt;width:43.2pt;height:74.2pt;mso-position-horizontal-relative:page;mso-position-vertical-relative:paragraph;z-index:15771136" type="#_x0000_t202" id="docshape1353" filled="false" stroked="false">
                <v:textbox inset="0,0,0,0">
                  <w:txbxContent>
                    <w:p>
                      <w:pPr>
                        <w:spacing w:before="57"/>
                        <w:ind w:left="0" w:right="0" w:firstLine="0"/>
                        <w:jc w:val="left"/>
                        <w:rPr>
                          <w:rFonts w:ascii="Arial"/>
                          <w:b/>
                          <w:sz w:val="120"/>
                        </w:rPr>
                      </w:pPr>
                      <w:r>
                        <w:rPr>
                          <w:rFonts w:ascii="Arial"/>
                          <w:b/>
                          <w:color w:val="008FDD"/>
                          <w:spacing w:val="-10"/>
                          <w:w w:val="125"/>
                          <w:sz w:val="120"/>
                        </w:rPr>
                        <w:t>3</w:t>
                      </w:r>
                    </w:p>
                  </w:txbxContent>
                </v:textbox>
                <w10:wrap type="none"/>
              </v:shape>
            </w:pict>
          </mc:Fallback>
        </mc:AlternateContent>
      </w:r>
      <w:bookmarkStart w:name="_bookmark45" w:id="49"/>
      <w:bookmarkEnd w:id="49"/>
      <w:r>
        <w:rPr>
          <w:b w:val="0"/>
        </w:rPr>
      </w:r>
      <w:r>
        <w:rPr>
          <w:color w:val="231F20"/>
          <w:w w:val="105"/>
        </w:rPr>
        <w:t>Top and bottom scorers on the LPI,</w:t>
      </w:r>
      <w:r>
        <w:rPr>
          <w:color w:val="231F20"/>
          <w:spacing w:val="-12"/>
          <w:w w:val="105"/>
        </w:rPr>
        <w:t> </w:t>
      </w:r>
      <w:r>
        <w:rPr>
          <w:color w:val="231F20"/>
          <w:w w:val="105"/>
        </w:rPr>
        <w:t>overall</w:t>
      </w:r>
      <w:r>
        <w:rPr>
          <w:color w:val="231F20"/>
          <w:spacing w:val="-12"/>
          <w:w w:val="105"/>
        </w:rPr>
        <w:t> </w:t>
      </w:r>
      <w:r>
        <w:rPr>
          <w:color w:val="231F20"/>
          <w:w w:val="105"/>
        </w:rPr>
        <w:t>and</w:t>
      </w:r>
      <w:r>
        <w:rPr>
          <w:color w:val="231F20"/>
          <w:spacing w:val="-12"/>
          <w:w w:val="105"/>
        </w:rPr>
        <w:t> </w:t>
      </w:r>
      <w:r>
        <w:rPr>
          <w:color w:val="231F20"/>
          <w:w w:val="105"/>
        </w:rPr>
        <w:t>by</w:t>
      </w:r>
      <w:r>
        <w:rPr>
          <w:color w:val="231F20"/>
          <w:spacing w:val="-12"/>
          <w:w w:val="105"/>
        </w:rPr>
        <w:t> </w:t>
      </w:r>
      <w:r>
        <w:rPr>
          <w:color w:val="231F20"/>
          <w:w w:val="105"/>
        </w:rPr>
        <w:t>income</w:t>
      </w:r>
      <w:r>
        <w:rPr>
          <w:color w:val="231F20"/>
          <w:spacing w:val="-12"/>
          <w:w w:val="105"/>
        </w:rPr>
        <w:t> </w:t>
      </w:r>
      <w:r>
        <w:rPr>
          <w:color w:val="231F20"/>
          <w:w w:val="105"/>
        </w:rPr>
        <w:t>group</w:t>
      </w:r>
    </w:p>
    <w:p>
      <w:pPr>
        <w:pStyle w:val="BodyText"/>
        <w:spacing w:before="1"/>
        <w:rPr>
          <w:rFonts w:ascii="Arial"/>
          <w:b/>
          <w:sz w:val="14"/>
        </w:rPr>
      </w:pPr>
      <w:r>
        <w:rPr/>
        <mc:AlternateContent>
          <mc:Choice Requires="wps">
            <w:drawing>
              <wp:anchor distT="0" distB="0" distL="0" distR="0" allowOverlap="1" layoutInCell="1" locked="0" behindDoc="1" simplePos="0" relativeHeight="487627776">
                <wp:simplePos x="0" y="0"/>
                <wp:positionH relativeFrom="page">
                  <wp:posOffset>457200</wp:posOffset>
                </wp:positionH>
                <wp:positionV relativeFrom="paragraph">
                  <wp:posOffset>118690</wp:posOffset>
                </wp:positionV>
                <wp:extent cx="1524000" cy="171450"/>
                <wp:effectExtent l="0" t="0" r="0" b="0"/>
                <wp:wrapTopAndBottom/>
                <wp:docPr id="1596" name="Graphic 1596"/>
                <wp:cNvGraphicFramePr>
                  <a:graphicFrameLocks/>
                </wp:cNvGraphicFramePr>
                <a:graphic>
                  <a:graphicData uri="http://schemas.microsoft.com/office/word/2010/wordprocessingShape">
                    <wps:wsp>
                      <wps:cNvPr id="1596" name="Graphic 1596"/>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36pt;margin-top:9.345703pt;width:120pt;height:13.5pt;mso-position-horizontal-relative:page;mso-position-vertical-relative:paragraph;z-index:-15688704;mso-wrap-distance-left:0;mso-wrap-distance-right:0" id="docshape1354"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628288">
                <wp:simplePos x="0" y="0"/>
                <wp:positionH relativeFrom="page">
                  <wp:posOffset>2133600</wp:posOffset>
                </wp:positionH>
                <wp:positionV relativeFrom="paragraph">
                  <wp:posOffset>118690</wp:posOffset>
                </wp:positionV>
                <wp:extent cx="4876800" cy="171450"/>
                <wp:effectExtent l="0" t="0" r="0" b="0"/>
                <wp:wrapTopAndBottom/>
                <wp:docPr id="1597" name="Graphic 1597"/>
                <wp:cNvGraphicFramePr>
                  <a:graphicFrameLocks/>
                </wp:cNvGraphicFramePr>
                <a:graphic>
                  <a:graphicData uri="http://schemas.microsoft.com/office/word/2010/wordprocessingShape">
                    <wps:wsp>
                      <wps:cNvPr id="1597" name="Graphic 1597"/>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68pt;margin-top:9.345703pt;width:384pt;height:13.5pt;mso-position-horizontal-relative:page;mso-position-vertical-relative:paragraph;z-index:-15688192;mso-wrap-distance-left:0;mso-wrap-distance-right:0" id="docshape1355" filled="true" fillcolor="#c9dcf3" stroked="false">
                <v:fill type="solid"/>
                <w10:wrap type="topAndBottom"/>
              </v:rect>
            </w:pict>
          </mc:Fallback>
        </mc:AlternateConten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16"/>
        <w:rPr>
          <w:rFonts w:ascii="Arial"/>
          <w:b/>
          <w:sz w:val="20"/>
        </w:rPr>
      </w:pPr>
      <w:r>
        <w:rPr/>
        <mc:AlternateContent>
          <mc:Choice Requires="wps">
            <w:drawing>
              <wp:anchor distT="0" distB="0" distL="0" distR="0" allowOverlap="1" layoutInCell="1" locked="0" behindDoc="1" simplePos="0" relativeHeight="487628800">
                <wp:simplePos x="0" y="0"/>
                <wp:positionH relativeFrom="page">
                  <wp:posOffset>2095500</wp:posOffset>
                </wp:positionH>
                <wp:positionV relativeFrom="paragraph">
                  <wp:posOffset>298512</wp:posOffset>
                </wp:positionV>
                <wp:extent cx="4953000" cy="368300"/>
                <wp:effectExtent l="0" t="0" r="0" b="0"/>
                <wp:wrapTopAndBottom/>
                <wp:docPr id="1598" name="Group 1598"/>
                <wp:cNvGraphicFramePr>
                  <a:graphicFrameLocks/>
                </wp:cNvGraphicFramePr>
                <a:graphic>
                  <a:graphicData uri="http://schemas.microsoft.com/office/word/2010/wordprocessingGroup">
                    <wpg:wgp>
                      <wpg:cNvPr id="1598" name="Group 1598"/>
                      <wpg:cNvGrpSpPr/>
                      <wpg:grpSpPr>
                        <a:xfrm>
                          <a:off x="0" y="0"/>
                          <a:ext cx="4953000" cy="368300"/>
                          <a:chExt cx="4953000" cy="368300"/>
                        </a:xfrm>
                      </wpg:grpSpPr>
                      <wps:wsp>
                        <wps:cNvPr id="1599" name="Graphic 1599"/>
                        <wps:cNvSpPr/>
                        <wps:spPr>
                          <a:xfrm>
                            <a:off x="63500" y="19050"/>
                            <a:ext cx="4870450" cy="317500"/>
                          </a:xfrm>
                          <a:custGeom>
                            <a:avLst/>
                            <a:gdLst/>
                            <a:ahLst/>
                            <a:cxnLst/>
                            <a:rect l="l" t="t" r="r" b="b"/>
                            <a:pathLst>
                              <a:path w="4870450" h="317500">
                                <a:moveTo>
                                  <a:pt x="4775200" y="0"/>
                                </a:moveTo>
                                <a:lnTo>
                                  <a:pt x="50800" y="0"/>
                                </a:lnTo>
                                <a:lnTo>
                                  <a:pt x="13757" y="7496"/>
                                </a:lnTo>
                                <a:lnTo>
                                  <a:pt x="0" y="16778"/>
                                </a:lnTo>
                                <a:lnTo>
                                  <a:pt x="0" y="317500"/>
                                </a:lnTo>
                                <a:lnTo>
                                  <a:pt x="4870450" y="317500"/>
                                </a:lnTo>
                                <a:lnTo>
                                  <a:pt x="4870450" y="95250"/>
                                </a:lnTo>
                                <a:lnTo>
                                  <a:pt x="4862953" y="58207"/>
                                </a:lnTo>
                                <a:lnTo>
                                  <a:pt x="4842522" y="27927"/>
                                </a:lnTo>
                                <a:lnTo>
                                  <a:pt x="4812242" y="7496"/>
                                </a:lnTo>
                                <a:lnTo>
                                  <a:pt x="4775200" y="0"/>
                                </a:lnTo>
                                <a:close/>
                              </a:path>
                            </a:pathLst>
                          </a:custGeom>
                          <a:solidFill>
                            <a:srgbClr val="808285"/>
                          </a:solidFill>
                        </wps:spPr>
                        <wps:bodyPr wrap="square" lIns="0" tIns="0" rIns="0" bIns="0" rtlCol="0">
                          <a:prstTxWarp prst="textNoShape">
                            <a:avLst/>
                          </a:prstTxWarp>
                          <a:noAutofit/>
                        </wps:bodyPr>
                      </wps:wsp>
                      <wps:wsp>
                        <wps:cNvPr id="1600" name="Graphic 1600"/>
                        <wps:cNvSpPr/>
                        <wps:spPr>
                          <a:xfrm>
                            <a:off x="571500" y="29057"/>
                            <a:ext cx="1270" cy="339725"/>
                          </a:xfrm>
                          <a:custGeom>
                            <a:avLst/>
                            <a:gdLst/>
                            <a:ahLst/>
                            <a:cxnLst/>
                            <a:rect l="l" t="t" r="r" b="b"/>
                            <a:pathLst>
                              <a:path w="0" h="339725">
                                <a:moveTo>
                                  <a:pt x="0" y="3392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601" name="Graphic 1601"/>
                        <wps:cNvSpPr/>
                        <wps:spPr>
                          <a:xfrm>
                            <a:off x="38100" y="28575"/>
                            <a:ext cx="520700" cy="320675"/>
                          </a:xfrm>
                          <a:custGeom>
                            <a:avLst/>
                            <a:gdLst/>
                            <a:ahLst/>
                            <a:cxnLst/>
                            <a:rect l="l" t="t" r="r" b="b"/>
                            <a:pathLst>
                              <a:path w="520700" h="320675">
                                <a:moveTo>
                                  <a:pt x="0" y="320675"/>
                                </a:moveTo>
                                <a:lnTo>
                                  <a:pt x="520700" y="320675"/>
                                </a:lnTo>
                                <a:lnTo>
                                  <a:pt x="520700" y="0"/>
                                </a:lnTo>
                                <a:lnTo>
                                  <a:pt x="0" y="0"/>
                                </a:lnTo>
                                <a:lnTo>
                                  <a:pt x="0" y="320675"/>
                                </a:lnTo>
                                <a:close/>
                              </a:path>
                            </a:pathLst>
                          </a:custGeom>
                          <a:solidFill>
                            <a:srgbClr val="008FDD"/>
                          </a:solidFill>
                        </wps:spPr>
                        <wps:bodyPr wrap="square" lIns="0" tIns="0" rIns="0" bIns="0" rtlCol="0">
                          <a:prstTxWarp prst="textNoShape">
                            <a:avLst/>
                          </a:prstTxWarp>
                          <a:noAutofit/>
                        </wps:bodyPr>
                      </wps:wsp>
                      <wps:wsp>
                        <wps:cNvPr id="1602" name="Graphic 1602"/>
                        <wps:cNvSpPr/>
                        <wps:spPr>
                          <a:xfrm>
                            <a:off x="19050" y="19050"/>
                            <a:ext cx="4914900" cy="317500"/>
                          </a:xfrm>
                          <a:custGeom>
                            <a:avLst/>
                            <a:gdLst/>
                            <a:ahLst/>
                            <a:cxnLst/>
                            <a:rect l="l" t="t" r="r" b="b"/>
                            <a:pathLst>
                              <a:path w="4914900" h="317500">
                                <a:moveTo>
                                  <a:pt x="95250" y="0"/>
                                </a:moveTo>
                                <a:lnTo>
                                  <a:pt x="58212" y="7497"/>
                                </a:lnTo>
                                <a:lnTo>
                                  <a:pt x="27932" y="27932"/>
                                </a:lnTo>
                                <a:lnTo>
                                  <a:pt x="7497" y="58212"/>
                                </a:lnTo>
                                <a:lnTo>
                                  <a:pt x="0" y="95250"/>
                                </a:lnTo>
                                <a:lnTo>
                                  <a:pt x="0" y="298450"/>
                                </a:lnTo>
                                <a:lnTo>
                                  <a:pt x="0" y="317500"/>
                                </a:lnTo>
                                <a:lnTo>
                                  <a:pt x="19050" y="317500"/>
                                </a:lnTo>
                                <a:lnTo>
                                  <a:pt x="4895850" y="317500"/>
                                </a:lnTo>
                                <a:lnTo>
                                  <a:pt x="4914900" y="317500"/>
                                </a:lnTo>
                                <a:lnTo>
                                  <a:pt x="4914900" y="298450"/>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603" name="Textbox 1603"/>
                        <wps:cNvSpPr txBox="1"/>
                        <wps:spPr>
                          <a:xfrm>
                            <a:off x="0" y="0"/>
                            <a:ext cx="4953000" cy="368300"/>
                          </a:xfrm>
                          <a:prstGeom prst="rect">
                            <a:avLst/>
                          </a:prstGeom>
                        </wps:spPr>
                        <wps:txbx>
                          <w:txbxContent>
                            <w:p>
                              <w:pPr>
                                <w:spacing w:line="235" w:lineRule="auto" w:before="113"/>
                                <w:ind w:left="1060" w:right="2521" w:firstLine="0"/>
                                <w:jc w:val="left"/>
                                <w:rPr>
                                  <w:rFonts w:ascii="Arial"/>
                                  <w:b/>
                                  <w:sz w:val="16"/>
                                </w:rPr>
                              </w:pPr>
                              <w:r>
                                <w:rPr>
                                  <w:rFonts w:ascii="Arial"/>
                                  <w:b/>
                                  <w:color w:val="FFFFFF"/>
                                  <w:w w:val="105"/>
                                  <w:sz w:val="16"/>
                                </w:rPr>
                                <w:t>Top 12 LPI scorers in 2023 and their top scorer status for 2018, 2016, 2014, and 2012</w:t>
                              </w:r>
                            </w:p>
                          </w:txbxContent>
                        </wps:txbx>
                        <wps:bodyPr wrap="square" lIns="0" tIns="0" rIns="0" bIns="0" rtlCol="0">
                          <a:noAutofit/>
                        </wps:bodyPr>
                      </wps:wsp>
                      <wps:wsp>
                        <wps:cNvPr id="1604" name="Textbox 1604"/>
                        <wps:cNvSpPr txBox="1"/>
                        <wps:spPr>
                          <a:xfrm>
                            <a:off x="38100" y="28575"/>
                            <a:ext cx="520700" cy="320675"/>
                          </a:xfrm>
                          <a:prstGeom prst="rect">
                            <a:avLst/>
                          </a:prstGeom>
                        </wps:spPr>
                        <wps:txbx>
                          <w:txbxContent>
                            <w:p>
                              <w:pPr>
                                <w:spacing w:before="65"/>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3.1</w:t>
                              </w:r>
                            </w:p>
                          </w:txbxContent>
                        </wps:txbx>
                        <wps:bodyPr wrap="square" lIns="0" tIns="0" rIns="0" bIns="0" rtlCol="0">
                          <a:noAutofit/>
                        </wps:bodyPr>
                      </wps:wsp>
                    </wpg:wgp>
                  </a:graphicData>
                </a:graphic>
              </wp:anchor>
            </w:drawing>
          </mc:Choice>
          <mc:Fallback>
            <w:pict>
              <v:group style="position:absolute;margin-left:165pt;margin-top:23.504883pt;width:390pt;height:29pt;mso-position-horizontal-relative:page;mso-position-vertical-relative:paragraph;z-index:-15687680;mso-wrap-distance-left:0;mso-wrap-distance-right:0" id="docshapegroup1356" coordorigin="3300,470" coordsize="7800,580">
                <v:shape style="position:absolute;left:3400;top:500;width:7670;height:500" id="docshape1357" coordorigin="3400,500" coordsize="7670,500" path="m10920,500l3480,500,3422,512,3400,527,3400,1000,11070,1000,11070,650,11058,592,11026,544,10978,512,10920,500xe" filled="true" fillcolor="#808285" stroked="false">
                  <v:path arrowok="t"/>
                  <v:fill type="solid"/>
                </v:shape>
                <v:line style="position:absolute" from="4200,1050" to="4200,516" stroked="true" strokeweight="2pt" strokecolor="#ffffff">
                  <v:stroke dashstyle="solid"/>
                </v:line>
                <v:rect style="position:absolute;left:3360;top:515;width:820;height:505" id="docshape1358" filled="true" fillcolor="#008fdd" stroked="false">
                  <v:fill type="solid"/>
                </v:rect>
                <v:shape style="position:absolute;left:3330;top:500;width:7740;height:500" id="docshape1359" coordorigin="3330,500" coordsize="7740,500" path="m3480,500l3422,512,3374,544,3342,592,3330,650,3330,970,3330,1000,3360,1000,11040,1000,11070,1000,11070,970,11070,650,11058,592,11026,544,10978,512,10920,500,3480,500xe" filled="false" stroked="true" strokeweight="3pt" strokecolor="#ffffff">
                  <v:path arrowok="t"/>
                  <v:stroke dashstyle="solid"/>
                </v:shape>
                <v:shape style="position:absolute;left:3300;top:470;width:7800;height:580" type="#_x0000_t202" id="docshape1360" filled="false" stroked="false">
                  <v:textbox inset="0,0,0,0">
                    <w:txbxContent>
                      <w:p>
                        <w:pPr>
                          <w:spacing w:line="235" w:lineRule="auto" w:before="113"/>
                          <w:ind w:left="1060" w:right="2521" w:firstLine="0"/>
                          <w:jc w:val="left"/>
                          <w:rPr>
                            <w:rFonts w:ascii="Arial"/>
                            <w:b/>
                            <w:sz w:val="16"/>
                          </w:rPr>
                        </w:pPr>
                        <w:r>
                          <w:rPr>
                            <w:rFonts w:ascii="Arial"/>
                            <w:b/>
                            <w:color w:val="FFFFFF"/>
                            <w:w w:val="105"/>
                            <w:sz w:val="16"/>
                          </w:rPr>
                          <w:t>Top 12 LPI scorers in 2023 and their top scorer status for 2018, 2016, 2014, and 2012</w:t>
                        </w:r>
                      </w:p>
                    </w:txbxContent>
                  </v:textbox>
                  <w10:wrap type="none"/>
                </v:shape>
                <v:shape style="position:absolute;left:3360;top:515;width:820;height:505" type="#_x0000_t202" id="docshape1361" filled="false" stroked="false">
                  <v:textbox inset="0,0,0,0">
                    <w:txbxContent>
                      <w:p>
                        <w:pPr>
                          <w:spacing w:before="65"/>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3.1</w:t>
                        </w:r>
                      </w:p>
                    </w:txbxContent>
                  </v:textbox>
                  <w10:wrap type="none"/>
                </v:shape>
                <w10:wrap type="topAndBottom"/>
              </v:group>
            </w:pict>
          </mc:Fallback>
        </mc:AlternateContent>
      </w:r>
    </w:p>
    <w:p>
      <w:pPr>
        <w:pStyle w:val="BodyText"/>
        <w:spacing w:before="41" w:after="1"/>
        <w:rPr>
          <w:rFonts w:ascii="Arial"/>
          <w:b/>
          <w:sz w:val="20"/>
        </w:rPr>
      </w:pPr>
    </w:p>
    <w:tbl>
      <w:tblPr>
        <w:tblW w:w="0" w:type="auto"/>
        <w:jc w:val="left"/>
        <w:tblInd w:w="3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72"/>
        <w:gridCol w:w="1600"/>
        <w:gridCol w:w="1537"/>
        <w:gridCol w:w="1536"/>
        <w:gridCol w:w="1536"/>
      </w:tblGrid>
      <w:tr>
        <w:trPr>
          <w:trHeight w:val="209" w:hRule="atLeast"/>
        </w:trPr>
        <w:tc>
          <w:tcPr>
            <w:tcW w:w="1472" w:type="dxa"/>
            <w:tcBorders>
              <w:bottom w:val="single" w:sz="4" w:space="0" w:color="008FDD"/>
            </w:tcBorders>
          </w:tcPr>
          <w:p>
            <w:pPr>
              <w:pStyle w:val="TableParagraph"/>
              <w:spacing w:before="3"/>
              <w:ind w:left="80"/>
              <w:jc w:val="left"/>
              <w:rPr>
                <w:b/>
                <w:sz w:val="14"/>
              </w:rPr>
            </w:pPr>
            <w:r>
              <w:rPr>
                <w:b/>
                <w:color w:val="231F20"/>
                <w:spacing w:val="-2"/>
                <w:w w:val="90"/>
                <w:sz w:val="14"/>
              </w:rPr>
              <w:t>Economy</w:t>
            </w:r>
          </w:p>
        </w:tc>
        <w:tc>
          <w:tcPr>
            <w:tcW w:w="1600" w:type="dxa"/>
            <w:tcBorders>
              <w:bottom w:val="single" w:sz="4" w:space="0" w:color="008FDD"/>
            </w:tcBorders>
          </w:tcPr>
          <w:p>
            <w:pPr>
              <w:pStyle w:val="TableParagraph"/>
              <w:spacing w:before="3"/>
              <w:ind w:left="67" w:right="3"/>
              <w:rPr>
                <w:b/>
                <w:sz w:val="14"/>
              </w:rPr>
            </w:pPr>
            <w:r>
              <w:rPr>
                <w:b/>
                <w:color w:val="231F20"/>
                <w:w w:val="80"/>
                <w:sz w:val="14"/>
              </w:rPr>
              <w:t>Top</w:t>
            </w:r>
            <w:r>
              <w:rPr>
                <w:b/>
                <w:color w:val="231F20"/>
                <w:spacing w:val="-1"/>
                <w:sz w:val="14"/>
              </w:rPr>
              <w:t> </w:t>
            </w:r>
            <w:r>
              <w:rPr>
                <w:b/>
                <w:color w:val="231F20"/>
                <w:w w:val="80"/>
                <w:sz w:val="14"/>
              </w:rPr>
              <w:t>10</w:t>
            </w:r>
            <w:r>
              <w:rPr>
                <w:b/>
                <w:color w:val="231F20"/>
                <w:sz w:val="14"/>
              </w:rPr>
              <w:t> </w:t>
            </w:r>
            <w:r>
              <w:rPr>
                <w:b/>
                <w:color w:val="231F20"/>
                <w:w w:val="80"/>
                <w:sz w:val="14"/>
              </w:rPr>
              <w:t>scorer</w:t>
            </w:r>
            <w:r>
              <w:rPr>
                <w:b/>
                <w:color w:val="231F20"/>
                <w:sz w:val="14"/>
              </w:rPr>
              <w:t> </w:t>
            </w:r>
            <w:r>
              <w:rPr>
                <w:b/>
                <w:color w:val="231F20"/>
                <w:w w:val="80"/>
                <w:sz w:val="14"/>
              </w:rPr>
              <w:t>in</w:t>
            </w:r>
            <w:r>
              <w:rPr>
                <w:b/>
                <w:color w:val="231F20"/>
                <w:sz w:val="14"/>
              </w:rPr>
              <w:t> </w:t>
            </w:r>
            <w:r>
              <w:rPr>
                <w:b/>
                <w:color w:val="231F20"/>
                <w:spacing w:val="-4"/>
                <w:w w:val="80"/>
                <w:sz w:val="14"/>
              </w:rPr>
              <w:t>2018</w:t>
            </w:r>
          </w:p>
        </w:tc>
        <w:tc>
          <w:tcPr>
            <w:tcW w:w="1537" w:type="dxa"/>
            <w:tcBorders>
              <w:bottom w:val="single" w:sz="4" w:space="0" w:color="008FDD"/>
            </w:tcBorders>
          </w:tcPr>
          <w:p>
            <w:pPr>
              <w:pStyle w:val="TableParagraph"/>
              <w:spacing w:before="3"/>
              <w:ind w:left="2" w:right="2"/>
              <w:rPr>
                <w:b/>
                <w:sz w:val="14"/>
              </w:rPr>
            </w:pPr>
            <w:r>
              <w:rPr>
                <w:b/>
                <w:color w:val="231F20"/>
                <w:w w:val="80"/>
                <w:sz w:val="14"/>
              </w:rPr>
              <w:t>Top</w:t>
            </w:r>
            <w:r>
              <w:rPr>
                <w:b/>
                <w:color w:val="231F20"/>
                <w:spacing w:val="-1"/>
                <w:sz w:val="14"/>
              </w:rPr>
              <w:t> </w:t>
            </w:r>
            <w:r>
              <w:rPr>
                <w:b/>
                <w:color w:val="231F20"/>
                <w:w w:val="80"/>
                <w:sz w:val="14"/>
              </w:rPr>
              <w:t>10</w:t>
            </w:r>
            <w:r>
              <w:rPr>
                <w:b/>
                <w:color w:val="231F20"/>
                <w:sz w:val="14"/>
              </w:rPr>
              <w:t> </w:t>
            </w:r>
            <w:r>
              <w:rPr>
                <w:b/>
                <w:color w:val="231F20"/>
                <w:w w:val="80"/>
                <w:sz w:val="14"/>
              </w:rPr>
              <w:t>scorer</w:t>
            </w:r>
            <w:r>
              <w:rPr>
                <w:b/>
                <w:color w:val="231F20"/>
                <w:sz w:val="14"/>
              </w:rPr>
              <w:t> </w:t>
            </w:r>
            <w:r>
              <w:rPr>
                <w:b/>
                <w:color w:val="231F20"/>
                <w:w w:val="80"/>
                <w:sz w:val="14"/>
              </w:rPr>
              <w:t>in</w:t>
            </w:r>
            <w:r>
              <w:rPr>
                <w:b/>
                <w:color w:val="231F20"/>
                <w:sz w:val="14"/>
              </w:rPr>
              <w:t> </w:t>
            </w:r>
            <w:r>
              <w:rPr>
                <w:b/>
                <w:color w:val="231F20"/>
                <w:spacing w:val="-4"/>
                <w:w w:val="80"/>
                <w:sz w:val="14"/>
              </w:rPr>
              <w:t>2016</w:t>
            </w:r>
          </w:p>
        </w:tc>
        <w:tc>
          <w:tcPr>
            <w:tcW w:w="1536" w:type="dxa"/>
            <w:tcBorders>
              <w:bottom w:val="single" w:sz="4" w:space="0" w:color="008FDD"/>
            </w:tcBorders>
          </w:tcPr>
          <w:p>
            <w:pPr>
              <w:pStyle w:val="TableParagraph"/>
              <w:spacing w:before="3"/>
              <w:ind w:left="5" w:right="6"/>
              <w:rPr>
                <w:b/>
                <w:sz w:val="14"/>
              </w:rPr>
            </w:pPr>
            <w:r>
              <w:rPr>
                <w:b/>
                <w:color w:val="231F20"/>
                <w:w w:val="80"/>
                <w:sz w:val="14"/>
              </w:rPr>
              <w:t>Top</w:t>
            </w:r>
            <w:r>
              <w:rPr>
                <w:b/>
                <w:color w:val="231F20"/>
                <w:spacing w:val="-1"/>
                <w:sz w:val="14"/>
              </w:rPr>
              <w:t> </w:t>
            </w:r>
            <w:r>
              <w:rPr>
                <w:b/>
                <w:color w:val="231F20"/>
                <w:w w:val="80"/>
                <w:sz w:val="14"/>
              </w:rPr>
              <w:t>10</w:t>
            </w:r>
            <w:r>
              <w:rPr>
                <w:b/>
                <w:color w:val="231F20"/>
                <w:sz w:val="14"/>
              </w:rPr>
              <w:t> </w:t>
            </w:r>
            <w:r>
              <w:rPr>
                <w:b/>
                <w:color w:val="231F20"/>
                <w:w w:val="80"/>
                <w:sz w:val="14"/>
              </w:rPr>
              <w:t>scorer</w:t>
            </w:r>
            <w:r>
              <w:rPr>
                <w:b/>
                <w:color w:val="231F20"/>
                <w:sz w:val="14"/>
              </w:rPr>
              <w:t> </w:t>
            </w:r>
            <w:r>
              <w:rPr>
                <w:b/>
                <w:color w:val="231F20"/>
                <w:w w:val="80"/>
                <w:sz w:val="14"/>
              </w:rPr>
              <w:t>in</w:t>
            </w:r>
            <w:r>
              <w:rPr>
                <w:b/>
                <w:color w:val="231F20"/>
                <w:sz w:val="14"/>
              </w:rPr>
              <w:t> </w:t>
            </w:r>
            <w:r>
              <w:rPr>
                <w:b/>
                <w:color w:val="231F20"/>
                <w:spacing w:val="-4"/>
                <w:w w:val="80"/>
                <w:sz w:val="14"/>
              </w:rPr>
              <w:t>2014</w:t>
            </w:r>
          </w:p>
        </w:tc>
        <w:tc>
          <w:tcPr>
            <w:tcW w:w="1536" w:type="dxa"/>
            <w:tcBorders>
              <w:bottom w:val="single" w:sz="4" w:space="0" w:color="008FDD"/>
            </w:tcBorders>
          </w:tcPr>
          <w:p>
            <w:pPr>
              <w:pStyle w:val="TableParagraph"/>
              <w:spacing w:before="3"/>
              <w:ind w:left="5" w:right="6"/>
              <w:rPr>
                <w:b/>
                <w:sz w:val="14"/>
              </w:rPr>
            </w:pPr>
            <w:r>
              <w:rPr>
                <w:b/>
                <w:color w:val="231F20"/>
                <w:w w:val="80"/>
                <w:sz w:val="14"/>
              </w:rPr>
              <w:t>Top</w:t>
            </w:r>
            <w:r>
              <w:rPr>
                <w:b/>
                <w:color w:val="231F20"/>
                <w:spacing w:val="-1"/>
                <w:sz w:val="14"/>
              </w:rPr>
              <w:t> </w:t>
            </w:r>
            <w:r>
              <w:rPr>
                <w:b/>
                <w:color w:val="231F20"/>
                <w:w w:val="80"/>
                <w:sz w:val="14"/>
              </w:rPr>
              <w:t>10</w:t>
            </w:r>
            <w:r>
              <w:rPr>
                <w:b/>
                <w:color w:val="231F20"/>
                <w:sz w:val="14"/>
              </w:rPr>
              <w:t> </w:t>
            </w:r>
            <w:r>
              <w:rPr>
                <w:b/>
                <w:color w:val="231F20"/>
                <w:w w:val="80"/>
                <w:sz w:val="14"/>
              </w:rPr>
              <w:t>scorer</w:t>
            </w:r>
            <w:r>
              <w:rPr>
                <w:b/>
                <w:color w:val="231F20"/>
                <w:sz w:val="14"/>
              </w:rPr>
              <w:t> </w:t>
            </w:r>
            <w:r>
              <w:rPr>
                <w:b/>
                <w:color w:val="231F20"/>
                <w:w w:val="80"/>
                <w:sz w:val="14"/>
              </w:rPr>
              <w:t>in</w:t>
            </w:r>
            <w:r>
              <w:rPr>
                <w:b/>
                <w:color w:val="231F20"/>
                <w:sz w:val="14"/>
              </w:rPr>
              <w:t> </w:t>
            </w:r>
            <w:r>
              <w:rPr>
                <w:b/>
                <w:color w:val="231F20"/>
                <w:spacing w:val="-4"/>
                <w:w w:val="80"/>
                <w:sz w:val="14"/>
              </w:rPr>
              <w:t>2012</w:t>
            </w:r>
          </w:p>
        </w:tc>
      </w:tr>
      <w:tr>
        <w:trPr>
          <w:trHeight w:val="258" w:hRule="atLeast"/>
        </w:trPr>
        <w:tc>
          <w:tcPr>
            <w:tcW w:w="1472" w:type="dxa"/>
            <w:tcBorders>
              <w:top w:val="single" w:sz="4" w:space="0" w:color="008FDD"/>
            </w:tcBorders>
          </w:tcPr>
          <w:p>
            <w:pPr>
              <w:pStyle w:val="TableParagraph"/>
              <w:spacing w:before="47"/>
              <w:ind w:left="80"/>
              <w:jc w:val="left"/>
              <w:rPr>
                <w:sz w:val="14"/>
              </w:rPr>
            </w:pPr>
            <w:r>
              <w:rPr>
                <w:color w:val="231F20"/>
                <w:spacing w:val="-2"/>
                <w:w w:val="90"/>
                <w:sz w:val="14"/>
              </w:rPr>
              <w:t>Austria</w:t>
            </w:r>
          </w:p>
        </w:tc>
        <w:tc>
          <w:tcPr>
            <w:tcW w:w="1600" w:type="dxa"/>
            <w:tcBorders>
              <w:top w:val="single" w:sz="4" w:space="0" w:color="008FDD"/>
            </w:tcBorders>
          </w:tcPr>
          <w:p>
            <w:pPr>
              <w:pStyle w:val="TableParagraph"/>
              <w:spacing w:before="47"/>
              <w:ind w:left="67" w:right="3"/>
              <w:rPr>
                <w:sz w:val="14"/>
              </w:rPr>
            </w:pPr>
            <w:r>
              <w:rPr>
                <w:color w:val="231F20"/>
                <w:spacing w:val="-5"/>
                <w:w w:val="85"/>
                <w:sz w:val="14"/>
              </w:rPr>
              <w:t>Yes</w:t>
            </w:r>
          </w:p>
        </w:tc>
        <w:tc>
          <w:tcPr>
            <w:tcW w:w="1537" w:type="dxa"/>
            <w:tcBorders>
              <w:top w:val="single" w:sz="4" w:space="0" w:color="008FDD"/>
            </w:tcBorders>
          </w:tcPr>
          <w:p>
            <w:pPr>
              <w:pStyle w:val="TableParagraph"/>
              <w:spacing w:before="47"/>
              <w:ind w:left="2" w:right="2"/>
              <w:rPr>
                <w:sz w:val="14"/>
              </w:rPr>
            </w:pPr>
            <w:r>
              <w:rPr>
                <w:color w:val="231F20"/>
                <w:spacing w:val="-5"/>
                <w:w w:val="85"/>
                <w:sz w:val="14"/>
              </w:rPr>
              <w:t>Yes</w:t>
            </w:r>
          </w:p>
        </w:tc>
        <w:tc>
          <w:tcPr>
            <w:tcW w:w="1536" w:type="dxa"/>
            <w:tcBorders>
              <w:top w:val="single" w:sz="4" w:space="0" w:color="008FDD"/>
            </w:tcBorders>
          </w:tcPr>
          <w:p>
            <w:pPr>
              <w:pStyle w:val="TableParagraph"/>
              <w:spacing w:before="47"/>
              <w:ind w:left="5" w:right="4"/>
              <w:rPr>
                <w:sz w:val="14"/>
              </w:rPr>
            </w:pPr>
            <w:r>
              <w:rPr>
                <w:color w:val="231F20"/>
                <w:spacing w:val="-5"/>
                <w:w w:val="85"/>
                <w:sz w:val="14"/>
              </w:rPr>
              <w:t>No</w:t>
            </w:r>
          </w:p>
        </w:tc>
        <w:tc>
          <w:tcPr>
            <w:tcW w:w="1536" w:type="dxa"/>
            <w:tcBorders>
              <w:top w:val="single" w:sz="4" w:space="0" w:color="008FDD"/>
            </w:tcBorders>
          </w:tcPr>
          <w:p>
            <w:pPr>
              <w:pStyle w:val="TableParagraph"/>
              <w:spacing w:before="47"/>
              <w:ind w:left="5" w:right="6"/>
              <w:rPr>
                <w:sz w:val="14"/>
              </w:rPr>
            </w:pPr>
            <w:r>
              <w:rPr>
                <w:color w:val="231F20"/>
                <w:spacing w:val="-5"/>
                <w:w w:val="85"/>
                <w:sz w:val="14"/>
              </w:rPr>
              <w:t>Yes</w:t>
            </w:r>
          </w:p>
        </w:tc>
      </w:tr>
      <w:tr>
        <w:trPr>
          <w:trHeight w:val="259" w:hRule="atLeast"/>
        </w:trPr>
        <w:tc>
          <w:tcPr>
            <w:tcW w:w="1472" w:type="dxa"/>
            <w:shd w:val="clear" w:color="auto" w:fill="D4E3F5"/>
          </w:tcPr>
          <w:p>
            <w:pPr>
              <w:pStyle w:val="TableParagraph"/>
              <w:ind w:left="80"/>
              <w:jc w:val="left"/>
              <w:rPr>
                <w:sz w:val="14"/>
              </w:rPr>
            </w:pPr>
            <w:r>
              <w:rPr>
                <w:color w:val="231F20"/>
                <w:spacing w:val="-2"/>
                <w:w w:val="90"/>
                <w:sz w:val="14"/>
              </w:rPr>
              <w:t>Belgium</w:t>
            </w:r>
          </w:p>
        </w:tc>
        <w:tc>
          <w:tcPr>
            <w:tcW w:w="1600" w:type="dxa"/>
            <w:shd w:val="clear" w:color="auto" w:fill="D4E3F5"/>
          </w:tcPr>
          <w:p>
            <w:pPr>
              <w:pStyle w:val="TableParagraph"/>
              <w:ind w:left="67" w:right="3"/>
              <w:rPr>
                <w:sz w:val="14"/>
              </w:rPr>
            </w:pPr>
            <w:r>
              <w:rPr>
                <w:color w:val="231F20"/>
                <w:spacing w:val="-5"/>
                <w:w w:val="85"/>
                <w:sz w:val="14"/>
              </w:rPr>
              <w:t>Yes</w:t>
            </w:r>
          </w:p>
        </w:tc>
        <w:tc>
          <w:tcPr>
            <w:tcW w:w="1537" w:type="dxa"/>
            <w:shd w:val="clear" w:color="auto" w:fill="D4E3F5"/>
          </w:tcPr>
          <w:p>
            <w:pPr>
              <w:pStyle w:val="TableParagraph"/>
              <w:ind w:left="2" w:right="2"/>
              <w:rPr>
                <w:sz w:val="14"/>
              </w:rPr>
            </w:pPr>
            <w:r>
              <w:rPr>
                <w:color w:val="231F20"/>
                <w:spacing w:val="-5"/>
                <w:w w:val="85"/>
                <w:sz w:val="14"/>
              </w:rPr>
              <w:t>Yes</w:t>
            </w:r>
          </w:p>
        </w:tc>
        <w:tc>
          <w:tcPr>
            <w:tcW w:w="1536" w:type="dxa"/>
            <w:shd w:val="clear" w:color="auto" w:fill="D4E3F5"/>
          </w:tcPr>
          <w:p>
            <w:pPr>
              <w:pStyle w:val="TableParagraph"/>
              <w:ind w:left="5" w:right="6"/>
              <w:rPr>
                <w:sz w:val="14"/>
              </w:rPr>
            </w:pPr>
            <w:r>
              <w:rPr>
                <w:color w:val="231F20"/>
                <w:spacing w:val="-5"/>
                <w:w w:val="85"/>
                <w:sz w:val="14"/>
              </w:rPr>
              <w:t>Yes</w:t>
            </w:r>
          </w:p>
        </w:tc>
        <w:tc>
          <w:tcPr>
            <w:tcW w:w="1536" w:type="dxa"/>
            <w:shd w:val="clear" w:color="auto" w:fill="D4E3F5"/>
          </w:tcPr>
          <w:p>
            <w:pPr>
              <w:pStyle w:val="TableParagraph"/>
              <w:ind w:left="5" w:right="6"/>
              <w:rPr>
                <w:sz w:val="14"/>
              </w:rPr>
            </w:pPr>
            <w:r>
              <w:rPr>
                <w:color w:val="231F20"/>
                <w:spacing w:val="-5"/>
                <w:w w:val="85"/>
                <w:sz w:val="14"/>
              </w:rPr>
              <w:t>Yes</w:t>
            </w:r>
          </w:p>
        </w:tc>
      </w:tr>
      <w:tr>
        <w:trPr>
          <w:trHeight w:val="259" w:hRule="atLeast"/>
        </w:trPr>
        <w:tc>
          <w:tcPr>
            <w:tcW w:w="1472" w:type="dxa"/>
          </w:tcPr>
          <w:p>
            <w:pPr>
              <w:pStyle w:val="TableParagraph"/>
              <w:ind w:left="80"/>
              <w:jc w:val="left"/>
              <w:rPr>
                <w:sz w:val="14"/>
              </w:rPr>
            </w:pPr>
            <w:r>
              <w:rPr>
                <w:color w:val="231F20"/>
                <w:spacing w:val="-2"/>
                <w:w w:val="85"/>
                <w:sz w:val="14"/>
              </w:rPr>
              <w:t>Canada</w:t>
            </w:r>
          </w:p>
        </w:tc>
        <w:tc>
          <w:tcPr>
            <w:tcW w:w="1600" w:type="dxa"/>
          </w:tcPr>
          <w:p>
            <w:pPr>
              <w:pStyle w:val="TableParagraph"/>
              <w:ind w:left="67"/>
              <w:rPr>
                <w:sz w:val="14"/>
              </w:rPr>
            </w:pPr>
            <w:r>
              <w:rPr>
                <w:color w:val="231F20"/>
                <w:spacing w:val="-5"/>
                <w:w w:val="85"/>
                <w:sz w:val="14"/>
              </w:rPr>
              <w:t>No</w:t>
            </w:r>
          </w:p>
        </w:tc>
        <w:tc>
          <w:tcPr>
            <w:tcW w:w="1537" w:type="dxa"/>
          </w:tcPr>
          <w:p>
            <w:pPr>
              <w:pStyle w:val="TableParagraph"/>
              <w:ind w:left="2"/>
              <w:rPr>
                <w:sz w:val="14"/>
              </w:rPr>
            </w:pPr>
            <w:r>
              <w:rPr>
                <w:color w:val="231F20"/>
                <w:spacing w:val="-5"/>
                <w:w w:val="85"/>
                <w:sz w:val="14"/>
              </w:rPr>
              <w:t>No</w:t>
            </w:r>
          </w:p>
        </w:tc>
        <w:tc>
          <w:tcPr>
            <w:tcW w:w="1536" w:type="dxa"/>
          </w:tcPr>
          <w:p>
            <w:pPr>
              <w:pStyle w:val="TableParagraph"/>
              <w:ind w:left="5" w:right="6"/>
              <w:rPr>
                <w:sz w:val="14"/>
              </w:rPr>
            </w:pPr>
            <w:r>
              <w:rPr>
                <w:color w:val="231F20"/>
                <w:spacing w:val="-5"/>
                <w:w w:val="85"/>
                <w:sz w:val="14"/>
              </w:rPr>
              <w:t>Yes</w:t>
            </w:r>
          </w:p>
        </w:tc>
        <w:tc>
          <w:tcPr>
            <w:tcW w:w="1536" w:type="dxa"/>
          </w:tcPr>
          <w:p>
            <w:pPr>
              <w:pStyle w:val="TableParagraph"/>
              <w:ind w:left="5" w:right="4"/>
              <w:rPr>
                <w:sz w:val="14"/>
              </w:rPr>
            </w:pPr>
            <w:r>
              <w:rPr>
                <w:color w:val="231F20"/>
                <w:spacing w:val="-5"/>
                <w:w w:val="85"/>
                <w:sz w:val="14"/>
              </w:rPr>
              <w:t>No</w:t>
            </w:r>
          </w:p>
        </w:tc>
      </w:tr>
      <w:tr>
        <w:trPr>
          <w:trHeight w:val="259" w:hRule="atLeast"/>
        </w:trPr>
        <w:tc>
          <w:tcPr>
            <w:tcW w:w="1472" w:type="dxa"/>
            <w:shd w:val="clear" w:color="auto" w:fill="D4E3F5"/>
          </w:tcPr>
          <w:p>
            <w:pPr>
              <w:pStyle w:val="TableParagraph"/>
              <w:ind w:left="80"/>
              <w:jc w:val="left"/>
              <w:rPr>
                <w:sz w:val="14"/>
              </w:rPr>
            </w:pPr>
            <w:r>
              <w:rPr>
                <w:color w:val="231F20"/>
                <w:spacing w:val="-2"/>
                <w:w w:val="85"/>
                <w:sz w:val="14"/>
              </w:rPr>
              <w:t>Germany</w:t>
            </w:r>
          </w:p>
        </w:tc>
        <w:tc>
          <w:tcPr>
            <w:tcW w:w="1600" w:type="dxa"/>
            <w:shd w:val="clear" w:color="auto" w:fill="D4E3F5"/>
          </w:tcPr>
          <w:p>
            <w:pPr>
              <w:pStyle w:val="TableParagraph"/>
              <w:ind w:left="67" w:right="3"/>
              <w:rPr>
                <w:sz w:val="14"/>
              </w:rPr>
            </w:pPr>
            <w:r>
              <w:rPr>
                <w:color w:val="231F20"/>
                <w:spacing w:val="-5"/>
                <w:w w:val="85"/>
                <w:sz w:val="14"/>
              </w:rPr>
              <w:t>Yes</w:t>
            </w:r>
          </w:p>
        </w:tc>
        <w:tc>
          <w:tcPr>
            <w:tcW w:w="1537" w:type="dxa"/>
            <w:shd w:val="clear" w:color="auto" w:fill="D4E3F5"/>
          </w:tcPr>
          <w:p>
            <w:pPr>
              <w:pStyle w:val="TableParagraph"/>
              <w:ind w:left="2" w:right="2"/>
              <w:rPr>
                <w:sz w:val="14"/>
              </w:rPr>
            </w:pPr>
            <w:r>
              <w:rPr>
                <w:color w:val="231F20"/>
                <w:spacing w:val="-5"/>
                <w:w w:val="85"/>
                <w:sz w:val="14"/>
              </w:rPr>
              <w:t>Yes</w:t>
            </w:r>
          </w:p>
        </w:tc>
        <w:tc>
          <w:tcPr>
            <w:tcW w:w="1536" w:type="dxa"/>
            <w:shd w:val="clear" w:color="auto" w:fill="D4E3F5"/>
          </w:tcPr>
          <w:p>
            <w:pPr>
              <w:pStyle w:val="TableParagraph"/>
              <w:ind w:left="5" w:right="6"/>
              <w:rPr>
                <w:sz w:val="14"/>
              </w:rPr>
            </w:pPr>
            <w:r>
              <w:rPr>
                <w:color w:val="231F20"/>
                <w:spacing w:val="-5"/>
                <w:w w:val="85"/>
                <w:sz w:val="14"/>
              </w:rPr>
              <w:t>Yes</w:t>
            </w:r>
          </w:p>
        </w:tc>
        <w:tc>
          <w:tcPr>
            <w:tcW w:w="1536" w:type="dxa"/>
            <w:shd w:val="clear" w:color="auto" w:fill="D4E3F5"/>
          </w:tcPr>
          <w:p>
            <w:pPr>
              <w:pStyle w:val="TableParagraph"/>
              <w:ind w:left="5" w:right="6"/>
              <w:rPr>
                <w:sz w:val="14"/>
              </w:rPr>
            </w:pPr>
            <w:r>
              <w:rPr>
                <w:color w:val="231F20"/>
                <w:spacing w:val="-5"/>
                <w:w w:val="85"/>
                <w:sz w:val="14"/>
              </w:rPr>
              <w:t>Yes</w:t>
            </w:r>
          </w:p>
        </w:tc>
      </w:tr>
      <w:tr>
        <w:trPr>
          <w:trHeight w:val="259" w:hRule="atLeast"/>
        </w:trPr>
        <w:tc>
          <w:tcPr>
            <w:tcW w:w="1472" w:type="dxa"/>
          </w:tcPr>
          <w:p>
            <w:pPr>
              <w:pStyle w:val="TableParagraph"/>
              <w:ind w:left="80"/>
              <w:jc w:val="left"/>
              <w:rPr>
                <w:sz w:val="14"/>
              </w:rPr>
            </w:pPr>
            <w:r>
              <w:rPr>
                <w:color w:val="231F20"/>
                <w:spacing w:val="-2"/>
                <w:w w:val="90"/>
                <w:sz w:val="14"/>
              </w:rPr>
              <w:t>Denmark</w:t>
            </w:r>
          </w:p>
        </w:tc>
        <w:tc>
          <w:tcPr>
            <w:tcW w:w="1600" w:type="dxa"/>
          </w:tcPr>
          <w:p>
            <w:pPr>
              <w:pStyle w:val="TableParagraph"/>
              <w:ind w:left="67" w:right="3"/>
              <w:rPr>
                <w:sz w:val="14"/>
              </w:rPr>
            </w:pPr>
            <w:r>
              <w:rPr>
                <w:color w:val="231F20"/>
                <w:spacing w:val="-5"/>
                <w:w w:val="85"/>
                <w:sz w:val="14"/>
              </w:rPr>
              <w:t>Yes</w:t>
            </w:r>
          </w:p>
        </w:tc>
        <w:tc>
          <w:tcPr>
            <w:tcW w:w="1537" w:type="dxa"/>
          </w:tcPr>
          <w:p>
            <w:pPr>
              <w:pStyle w:val="TableParagraph"/>
              <w:ind w:left="2"/>
              <w:rPr>
                <w:sz w:val="14"/>
              </w:rPr>
            </w:pPr>
            <w:r>
              <w:rPr>
                <w:color w:val="231F20"/>
                <w:spacing w:val="-5"/>
                <w:w w:val="85"/>
                <w:sz w:val="14"/>
              </w:rPr>
              <w:t>No</w:t>
            </w:r>
          </w:p>
        </w:tc>
        <w:tc>
          <w:tcPr>
            <w:tcW w:w="1536" w:type="dxa"/>
          </w:tcPr>
          <w:p>
            <w:pPr>
              <w:pStyle w:val="TableParagraph"/>
              <w:ind w:left="5" w:right="4"/>
              <w:rPr>
                <w:sz w:val="14"/>
              </w:rPr>
            </w:pPr>
            <w:r>
              <w:rPr>
                <w:color w:val="231F20"/>
                <w:spacing w:val="-5"/>
                <w:w w:val="85"/>
                <w:sz w:val="14"/>
              </w:rPr>
              <w:t>No</w:t>
            </w:r>
          </w:p>
        </w:tc>
        <w:tc>
          <w:tcPr>
            <w:tcW w:w="1536" w:type="dxa"/>
          </w:tcPr>
          <w:p>
            <w:pPr>
              <w:pStyle w:val="TableParagraph"/>
              <w:ind w:left="5" w:right="6"/>
              <w:rPr>
                <w:sz w:val="14"/>
              </w:rPr>
            </w:pPr>
            <w:r>
              <w:rPr>
                <w:color w:val="231F20"/>
                <w:spacing w:val="-5"/>
                <w:w w:val="85"/>
                <w:sz w:val="14"/>
              </w:rPr>
              <w:t>Yes</w:t>
            </w:r>
          </w:p>
        </w:tc>
      </w:tr>
      <w:tr>
        <w:trPr>
          <w:trHeight w:val="259" w:hRule="atLeast"/>
        </w:trPr>
        <w:tc>
          <w:tcPr>
            <w:tcW w:w="1472" w:type="dxa"/>
            <w:shd w:val="clear" w:color="auto" w:fill="D4E3F5"/>
          </w:tcPr>
          <w:p>
            <w:pPr>
              <w:pStyle w:val="TableParagraph"/>
              <w:ind w:left="80"/>
              <w:jc w:val="left"/>
              <w:rPr>
                <w:sz w:val="14"/>
              </w:rPr>
            </w:pPr>
            <w:r>
              <w:rPr>
                <w:color w:val="231F20"/>
                <w:spacing w:val="-2"/>
                <w:w w:val="90"/>
                <w:sz w:val="14"/>
              </w:rPr>
              <w:t>Finland</w:t>
            </w:r>
          </w:p>
        </w:tc>
        <w:tc>
          <w:tcPr>
            <w:tcW w:w="1600" w:type="dxa"/>
            <w:shd w:val="clear" w:color="auto" w:fill="D4E3F5"/>
          </w:tcPr>
          <w:p>
            <w:pPr>
              <w:pStyle w:val="TableParagraph"/>
              <w:ind w:left="67" w:right="3"/>
              <w:rPr>
                <w:sz w:val="14"/>
              </w:rPr>
            </w:pPr>
            <w:r>
              <w:rPr>
                <w:color w:val="231F20"/>
                <w:spacing w:val="-5"/>
                <w:w w:val="85"/>
                <w:sz w:val="14"/>
              </w:rPr>
              <w:t>Yes</w:t>
            </w:r>
          </w:p>
        </w:tc>
        <w:tc>
          <w:tcPr>
            <w:tcW w:w="1537" w:type="dxa"/>
            <w:shd w:val="clear" w:color="auto" w:fill="D4E3F5"/>
          </w:tcPr>
          <w:p>
            <w:pPr>
              <w:pStyle w:val="TableParagraph"/>
              <w:ind w:left="2"/>
              <w:rPr>
                <w:sz w:val="14"/>
              </w:rPr>
            </w:pPr>
            <w:r>
              <w:rPr>
                <w:color w:val="231F20"/>
                <w:spacing w:val="-5"/>
                <w:w w:val="85"/>
                <w:sz w:val="14"/>
              </w:rPr>
              <w:t>No</w:t>
            </w:r>
          </w:p>
        </w:tc>
        <w:tc>
          <w:tcPr>
            <w:tcW w:w="1536" w:type="dxa"/>
            <w:shd w:val="clear" w:color="auto" w:fill="D4E3F5"/>
          </w:tcPr>
          <w:p>
            <w:pPr>
              <w:pStyle w:val="TableParagraph"/>
              <w:ind w:left="5" w:right="4"/>
              <w:rPr>
                <w:sz w:val="14"/>
              </w:rPr>
            </w:pPr>
            <w:r>
              <w:rPr>
                <w:color w:val="231F20"/>
                <w:spacing w:val="-5"/>
                <w:w w:val="85"/>
                <w:sz w:val="14"/>
              </w:rPr>
              <w:t>No</w:t>
            </w:r>
          </w:p>
        </w:tc>
        <w:tc>
          <w:tcPr>
            <w:tcW w:w="1536" w:type="dxa"/>
            <w:shd w:val="clear" w:color="auto" w:fill="D4E3F5"/>
          </w:tcPr>
          <w:p>
            <w:pPr>
              <w:pStyle w:val="TableParagraph"/>
              <w:ind w:left="5" w:right="6"/>
              <w:rPr>
                <w:sz w:val="14"/>
              </w:rPr>
            </w:pPr>
            <w:r>
              <w:rPr>
                <w:color w:val="231F20"/>
                <w:spacing w:val="-5"/>
                <w:w w:val="85"/>
                <w:sz w:val="14"/>
              </w:rPr>
              <w:t>Yes</w:t>
            </w:r>
          </w:p>
        </w:tc>
      </w:tr>
      <w:tr>
        <w:trPr>
          <w:trHeight w:val="259" w:hRule="atLeast"/>
        </w:trPr>
        <w:tc>
          <w:tcPr>
            <w:tcW w:w="1472" w:type="dxa"/>
          </w:tcPr>
          <w:p>
            <w:pPr>
              <w:pStyle w:val="TableParagraph"/>
              <w:ind w:left="80"/>
              <w:jc w:val="left"/>
              <w:rPr>
                <w:sz w:val="14"/>
              </w:rPr>
            </w:pPr>
            <w:r>
              <w:rPr>
                <w:color w:val="231F20"/>
                <w:w w:val="75"/>
                <w:sz w:val="14"/>
              </w:rPr>
              <w:t>Hong</w:t>
            </w:r>
            <w:r>
              <w:rPr>
                <w:color w:val="231F20"/>
                <w:spacing w:val="1"/>
                <w:sz w:val="14"/>
              </w:rPr>
              <w:t> </w:t>
            </w:r>
            <w:r>
              <w:rPr>
                <w:color w:val="231F20"/>
                <w:w w:val="75"/>
                <w:sz w:val="14"/>
              </w:rPr>
              <w:t>Kong</w:t>
            </w:r>
            <w:r>
              <w:rPr>
                <w:color w:val="231F20"/>
                <w:spacing w:val="2"/>
                <w:sz w:val="14"/>
              </w:rPr>
              <w:t> </w:t>
            </w:r>
            <w:r>
              <w:rPr>
                <w:color w:val="231F20"/>
                <w:w w:val="75"/>
                <w:sz w:val="14"/>
              </w:rPr>
              <w:t>SAR,</w:t>
            </w:r>
            <w:r>
              <w:rPr>
                <w:color w:val="231F20"/>
                <w:spacing w:val="1"/>
                <w:sz w:val="14"/>
              </w:rPr>
              <w:t> </w:t>
            </w:r>
            <w:r>
              <w:rPr>
                <w:color w:val="231F20"/>
                <w:spacing w:val="-2"/>
                <w:w w:val="75"/>
                <w:sz w:val="14"/>
              </w:rPr>
              <w:t>China</w:t>
            </w:r>
          </w:p>
        </w:tc>
        <w:tc>
          <w:tcPr>
            <w:tcW w:w="1600" w:type="dxa"/>
          </w:tcPr>
          <w:p>
            <w:pPr>
              <w:pStyle w:val="TableParagraph"/>
              <w:ind w:left="67" w:right="3"/>
              <w:rPr>
                <w:sz w:val="14"/>
              </w:rPr>
            </w:pPr>
            <w:r>
              <w:rPr>
                <w:color w:val="231F20"/>
                <w:spacing w:val="-5"/>
                <w:w w:val="85"/>
                <w:sz w:val="14"/>
              </w:rPr>
              <w:t>Yes</w:t>
            </w:r>
          </w:p>
        </w:tc>
        <w:tc>
          <w:tcPr>
            <w:tcW w:w="1537" w:type="dxa"/>
          </w:tcPr>
          <w:p>
            <w:pPr>
              <w:pStyle w:val="TableParagraph"/>
              <w:ind w:left="2" w:right="2"/>
              <w:rPr>
                <w:sz w:val="14"/>
              </w:rPr>
            </w:pPr>
            <w:r>
              <w:rPr>
                <w:color w:val="231F20"/>
                <w:spacing w:val="-5"/>
                <w:w w:val="85"/>
                <w:sz w:val="14"/>
              </w:rPr>
              <w:t>Yes</w:t>
            </w:r>
          </w:p>
        </w:tc>
        <w:tc>
          <w:tcPr>
            <w:tcW w:w="1536" w:type="dxa"/>
          </w:tcPr>
          <w:p>
            <w:pPr>
              <w:pStyle w:val="TableParagraph"/>
              <w:ind w:left="5" w:right="4"/>
              <w:rPr>
                <w:sz w:val="14"/>
              </w:rPr>
            </w:pPr>
            <w:r>
              <w:rPr>
                <w:color w:val="231F20"/>
                <w:spacing w:val="-5"/>
                <w:w w:val="85"/>
                <w:sz w:val="14"/>
              </w:rPr>
              <w:t>No</w:t>
            </w:r>
          </w:p>
        </w:tc>
        <w:tc>
          <w:tcPr>
            <w:tcW w:w="1536" w:type="dxa"/>
          </w:tcPr>
          <w:p>
            <w:pPr>
              <w:pStyle w:val="TableParagraph"/>
              <w:ind w:left="5" w:right="6"/>
              <w:rPr>
                <w:sz w:val="14"/>
              </w:rPr>
            </w:pPr>
            <w:r>
              <w:rPr>
                <w:color w:val="231F20"/>
                <w:spacing w:val="-5"/>
                <w:w w:val="85"/>
                <w:sz w:val="14"/>
              </w:rPr>
              <w:t>Yes</w:t>
            </w:r>
          </w:p>
        </w:tc>
      </w:tr>
      <w:tr>
        <w:trPr>
          <w:trHeight w:val="259" w:hRule="atLeast"/>
        </w:trPr>
        <w:tc>
          <w:tcPr>
            <w:tcW w:w="1472" w:type="dxa"/>
            <w:shd w:val="clear" w:color="auto" w:fill="D4E3F5"/>
          </w:tcPr>
          <w:p>
            <w:pPr>
              <w:pStyle w:val="TableParagraph"/>
              <w:ind w:left="80"/>
              <w:jc w:val="left"/>
              <w:rPr>
                <w:sz w:val="14"/>
              </w:rPr>
            </w:pPr>
            <w:r>
              <w:rPr>
                <w:color w:val="231F20"/>
                <w:spacing w:val="-2"/>
                <w:w w:val="90"/>
                <w:sz w:val="14"/>
              </w:rPr>
              <w:t>Netherlands</w:t>
            </w:r>
          </w:p>
        </w:tc>
        <w:tc>
          <w:tcPr>
            <w:tcW w:w="1600" w:type="dxa"/>
            <w:shd w:val="clear" w:color="auto" w:fill="D4E3F5"/>
          </w:tcPr>
          <w:p>
            <w:pPr>
              <w:pStyle w:val="TableParagraph"/>
              <w:ind w:left="67" w:right="3"/>
              <w:rPr>
                <w:sz w:val="14"/>
              </w:rPr>
            </w:pPr>
            <w:r>
              <w:rPr>
                <w:color w:val="231F20"/>
                <w:spacing w:val="-5"/>
                <w:w w:val="85"/>
                <w:sz w:val="14"/>
              </w:rPr>
              <w:t>Yes</w:t>
            </w:r>
          </w:p>
        </w:tc>
        <w:tc>
          <w:tcPr>
            <w:tcW w:w="1537" w:type="dxa"/>
            <w:shd w:val="clear" w:color="auto" w:fill="D4E3F5"/>
          </w:tcPr>
          <w:p>
            <w:pPr>
              <w:pStyle w:val="TableParagraph"/>
              <w:ind w:left="2" w:right="2"/>
              <w:rPr>
                <w:sz w:val="14"/>
              </w:rPr>
            </w:pPr>
            <w:r>
              <w:rPr>
                <w:color w:val="231F20"/>
                <w:spacing w:val="-5"/>
                <w:w w:val="85"/>
                <w:sz w:val="14"/>
              </w:rPr>
              <w:t>Yes</w:t>
            </w:r>
          </w:p>
        </w:tc>
        <w:tc>
          <w:tcPr>
            <w:tcW w:w="1536" w:type="dxa"/>
            <w:shd w:val="clear" w:color="auto" w:fill="D4E3F5"/>
          </w:tcPr>
          <w:p>
            <w:pPr>
              <w:pStyle w:val="TableParagraph"/>
              <w:ind w:left="5" w:right="6"/>
              <w:rPr>
                <w:sz w:val="14"/>
              </w:rPr>
            </w:pPr>
            <w:r>
              <w:rPr>
                <w:color w:val="231F20"/>
                <w:spacing w:val="-5"/>
                <w:w w:val="85"/>
                <w:sz w:val="14"/>
              </w:rPr>
              <w:t>Yes</w:t>
            </w:r>
          </w:p>
        </w:tc>
        <w:tc>
          <w:tcPr>
            <w:tcW w:w="1536" w:type="dxa"/>
            <w:shd w:val="clear" w:color="auto" w:fill="D4E3F5"/>
          </w:tcPr>
          <w:p>
            <w:pPr>
              <w:pStyle w:val="TableParagraph"/>
              <w:ind w:left="5" w:right="6"/>
              <w:rPr>
                <w:sz w:val="14"/>
              </w:rPr>
            </w:pPr>
            <w:r>
              <w:rPr>
                <w:color w:val="231F20"/>
                <w:spacing w:val="-5"/>
                <w:w w:val="85"/>
                <w:sz w:val="14"/>
              </w:rPr>
              <w:t>Yes</w:t>
            </w:r>
          </w:p>
        </w:tc>
      </w:tr>
      <w:tr>
        <w:trPr>
          <w:trHeight w:val="259" w:hRule="atLeast"/>
        </w:trPr>
        <w:tc>
          <w:tcPr>
            <w:tcW w:w="1472" w:type="dxa"/>
          </w:tcPr>
          <w:p>
            <w:pPr>
              <w:pStyle w:val="TableParagraph"/>
              <w:ind w:left="80"/>
              <w:jc w:val="left"/>
              <w:rPr>
                <w:sz w:val="14"/>
              </w:rPr>
            </w:pPr>
            <w:r>
              <w:rPr>
                <w:color w:val="231F20"/>
                <w:spacing w:val="-2"/>
                <w:w w:val="90"/>
                <w:sz w:val="14"/>
              </w:rPr>
              <w:t>Singapore</w:t>
            </w:r>
          </w:p>
        </w:tc>
        <w:tc>
          <w:tcPr>
            <w:tcW w:w="1600" w:type="dxa"/>
          </w:tcPr>
          <w:p>
            <w:pPr>
              <w:pStyle w:val="TableParagraph"/>
              <w:ind w:left="67" w:right="3"/>
              <w:rPr>
                <w:sz w:val="14"/>
              </w:rPr>
            </w:pPr>
            <w:r>
              <w:rPr>
                <w:color w:val="231F20"/>
                <w:spacing w:val="-5"/>
                <w:w w:val="85"/>
                <w:sz w:val="14"/>
              </w:rPr>
              <w:t>Yes</w:t>
            </w:r>
          </w:p>
        </w:tc>
        <w:tc>
          <w:tcPr>
            <w:tcW w:w="1537" w:type="dxa"/>
          </w:tcPr>
          <w:p>
            <w:pPr>
              <w:pStyle w:val="TableParagraph"/>
              <w:ind w:left="2" w:right="2"/>
              <w:rPr>
                <w:sz w:val="14"/>
              </w:rPr>
            </w:pPr>
            <w:r>
              <w:rPr>
                <w:color w:val="231F20"/>
                <w:spacing w:val="-5"/>
                <w:w w:val="85"/>
                <w:sz w:val="14"/>
              </w:rPr>
              <w:t>Yes</w:t>
            </w:r>
          </w:p>
        </w:tc>
        <w:tc>
          <w:tcPr>
            <w:tcW w:w="1536" w:type="dxa"/>
          </w:tcPr>
          <w:p>
            <w:pPr>
              <w:pStyle w:val="TableParagraph"/>
              <w:ind w:left="5" w:right="6"/>
              <w:rPr>
                <w:sz w:val="14"/>
              </w:rPr>
            </w:pPr>
            <w:r>
              <w:rPr>
                <w:color w:val="231F20"/>
                <w:spacing w:val="-5"/>
                <w:w w:val="85"/>
                <w:sz w:val="14"/>
              </w:rPr>
              <w:t>Yes</w:t>
            </w:r>
          </w:p>
        </w:tc>
        <w:tc>
          <w:tcPr>
            <w:tcW w:w="1536" w:type="dxa"/>
          </w:tcPr>
          <w:p>
            <w:pPr>
              <w:pStyle w:val="TableParagraph"/>
              <w:ind w:left="5" w:right="6"/>
              <w:rPr>
                <w:sz w:val="14"/>
              </w:rPr>
            </w:pPr>
            <w:r>
              <w:rPr>
                <w:color w:val="231F20"/>
                <w:spacing w:val="-5"/>
                <w:w w:val="85"/>
                <w:sz w:val="14"/>
              </w:rPr>
              <w:t>Yes</w:t>
            </w:r>
          </w:p>
        </w:tc>
      </w:tr>
      <w:tr>
        <w:trPr>
          <w:trHeight w:val="259" w:hRule="atLeast"/>
        </w:trPr>
        <w:tc>
          <w:tcPr>
            <w:tcW w:w="1472" w:type="dxa"/>
            <w:shd w:val="clear" w:color="auto" w:fill="D4E3F5"/>
          </w:tcPr>
          <w:p>
            <w:pPr>
              <w:pStyle w:val="TableParagraph"/>
              <w:ind w:left="80"/>
              <w:jc w:val="left"/>
              <w:rPr>
                <w:sz w:val="14"/>
              </w:rPr>
            </w:pPr>
            <w:r>
              <w:rPr>
                <w:color w:val="231F20"/>
                <w:spacing w:val="-2"/>
                <w:w w:val="85"/>
                <w:sz w:val="14"/>
              </w:rPr>
              <w:t>Sweden</w:t>
            </w:r>
          </w:p>
        </w:tc>
        <w:tc>
          <w:tcPr>
            <w:tcW w:w="1600" w:type="dxa"/>
            <w:shd w:val="clear" w:color="auto" w:fill="D4E3F5"/>
          </w:tcPr>
          <w:p>
            <w:pPr>
              <w:pStyle w:val="TableParagraph"/>
              <w:ind w:left="67" w:right="3"/>
              <w:rPr>
                <w:sz w:val="14"/>
              </w:rPr>
            </w:pPr>
            <w:r>
              <w:rPr>
                <w:color w:val="231F20"/>
                <w:spacing w:val="-5"/>
                <w:w w:val="85"/>
                <w:sz w:val="14"/>
              </w:rPr>
              <w:t>Yes</w:t>
            </w:r>
          </w:p>
        </w:tc>
        <w:tc>
          <w:tcPr>
            <w:tcW w:w="1537" w:type="dxa"/>
            <w:shd w:val="clear" w:color="auto" w:fill="D4E3F5"/>
          </w:tcPr>
          <w:p>
            <w:pPr>
              <w:pStyle w:val="TableParagraph"/>
              <w:ind w:left="2" w:right="2"/>
              <w:rPr>
                <w:sz w:val="14"/>
              </w:rPr>
            </w:pPr>
            <w:r>
              <w:rPr>
                <w:color w:val="231F20"/>
                <w:spacing w:val="-5"/>
                <w:w w:val="85"/>
                <w:sz w:val="14"/>
              </w:rPr>
              <w:t>Yes</w:t>
            </w:r>
          </w:p>
        </w:tc>
        <w:tc>
          <w:tcPr>
            <w:tcW w:w="1536" w:type="dxa"/>
            <w:shd w:val="clear" w:color="auto" w:fill="D4E3F5"/>
          </w:tcPr>
          <w:p>
            <w:pPr>
              <w:pStyle w:val="TableParagraph"/>
              <w:ind w:left="5" w:right="6"/>
              <w:rPr>
                <w:sz w:val="14"/>
              </w:rPr>
            </w:pPr>
            <w:r>
              <w:rPr>
                <w:color w:val="231F20"/>
                <w:spacing w:val="-5"/>
                <w:w w:val="85"/>
                <w:sz w:val="14"/>
              </w:rPr>
              <w:t>Yes</w:t>
            </w:r>
          </w:p>
        </w:tc>
        <w:tc>
          <w:tcPr>
            <w:tcW w:w="1536" w:type="dxa"/>
            <w:shd w:val="clear" w:color="auto" w:fill="D4E3F5"/>
          </w:tcPr>
          <w:p>
            <w:pPr>
              <w:pStyle w:val="TableParagraph"/>
              <w:ind w:left="5" w:right="4"/>
              <w:rPr>
                <w:sz w:val="14"/>
              </w:rPr>
            </w:pPr>
            <w:r>
              <w:rPr>
                <w:color w:val="231F20"/>
                <w:spacing w:val="-5"/>
                <w:w w:val="85"/>
                <w:sz w:val="14"/>
              </w:rPr>
              <w:t>No</w:t>
            </w:r>
          </w:p>
        </w:tc>
      </w:tr>
      <w:tr>
        <w:trPr>
          <w:trHeight w:val="259" w:hRule="atLeast"/>
        </w:trPr>
        <w:tc>
          <w:tcPr>
            <w:tcW w:w="1472" w:type="dxa"/>
          </w:tcPr>
          <w:p>
            <w:pPr>
              <w:pStyle w:val="TableParagraph"/>
              <w:ind w:left="80"/>
              <w:jc w:val="left"/>
              <w:rPr>
                <w:sz w:val="14"/>
              </w:rPr>
            </w:pPr>
            <w:r>
              <w:rPr>
                <w:color w:val="231F20"/>
                <w:spacing w:val="-2"/>
                <w:w w:val="90"/>
                <w:sz w:val="14"/>
              </w:rPr>
              <w:t>Switzerland</w:t>
            </w:r>
          </w:p>
        </w:tc>
        <w:tc>
          <w:tcPr>
            <w:tcW w:w="1600" w:type="dxa"/>
          </w:tcPr>
          <w:p>
            <w:pPr>
              <w:pStyle w:val="TableParagraph"/>
              <w:ind w:left="67"/>
              <w:rPr>
                <w:sz w:val="14"/>
              </w:rPr>
            </w:pPr>
            <w:r>
              <w:rPr>
                <w:color w:val="231F20"/>
                <w:spacing w:val="-5"/>
                <w:w w:val="85"/>
                <w:sz w:val="14"/>
              </w:rPr>
              <w:t>No</w:t>
            </w:r>
          </w:p>
        </w:tc>
        <w:tc>
          <w:tcPr>
            <w:tcW w:w="1537" w:type="dxa"/>
          </w:tcPr>
          <w:p>
            <w:pPr>
              <w:pStyle w:val="TableParagraph"/>
              <w:ind w:left="2" w:right="2"/>
              <w:rPr>
                <w:sz w:val="14"/>
              </w:rPr>
            </w:pPr>
            <w:r>
              <w:rPr>
                <w:color w:val="231F20"/>
                <w:spacing w:val="-5"/>
                <w:w w:val="85"/>
                <w:sz w:val="14"/>
              </w:rPr>
              <w:t>Yes</w:t>
            </w:r>
          </w:p>
        </w:tc>
        <w:tc>
          <w:tcPr>
            <w:tcW w:w="1536" w:type="dxa"/>
          </w:tcPr>
          <w:p>
            <w:pPr>
              <w:pStyle w:val="TableParagraph"/>
              <w:ind w:left="5" w:right="4"/>
              <w:rPr>
                <w:sz w:val="14"/>
              </w:rPr>
            </w:pPr>
            <w:r>
              <w:rPr>
                <w:color w:val="231F20"/>
                <w:spacing w:val="-5"/>
                <w:w w:val="85"/>
                <w:sz w:val="14"/>
              </w:rPr>
              <w:t>No</w:t>
            </w:r>
          </w:p>
        </w:tc>
        <w:tc>
          <w:tcPr>
            <w:tcW w:w="1536" w:type="dxa"/>
          </w:tcPr>
          <w:p>
            <w:pPr>
              <w:pStyle w:val="TableParagraph"/>
              <w:ind w:left="5" w:right="4"/>
              <w:rPr>
                <w:sz w:val="14"/>
              </w:rPr>
            </w:pPr>
            <w:r>
              <w:rPr>
                <w:color w:val="231F20"/>
                <w:spacing w:val="-5"/>
                <w:w w:val="85"/>
                <w:sz w:val="14"/>
              </w:rPr>
              <w:t>No</w:t>
            </w:r>
          </w:p>
        </w:tc>
      </w:tr>
      <w:tr>
        <w:trPr>
          <w:trHeight w:val="254" w:hRule="atLeast"/>
        </w:trPr>
        <w:tc>
          <w:tcPr>
            <w:tcW w:w="1472" w:type="dxa"/>
            <w:tcBorders>
              <w:bottom w:val="single" w:sz="4" w:space="0" w:color="008FDD"/>
            </w:tcBorders>
            <w:shd w:val="clear" w:color="auto" w:fill="D4E3F5"/>
          </w:tcPr>
          <w:p>
            <w:pPr>
              <w:pStyle w:val="TableParagraph"/>
              <w:ind w:left="80"/>
              <w:jc w:val="left"/>
              <w:rPr>
                <w:sz w:val="14"/>
              </w:rPr>
            </w:pPr>
            <w:r>
              <w:rPr>
                <w:color w:val="231F20"/>
                <w:w w:val="75"/>
                <w:sz w:val="14"/>
              </w:rPr>
              <w:t>United</w:t>
            </w:r>
            <w:r>
              <w:rPr>
                <w:color w:val="231F20"/>
                <w:spacing w:val="9"/>
                <w:sz w:val="14"/>
              </w:rPr>
              <w:t> </w:t>
            </w:r>
            <w:r>
              <w:rPr>
                <w:color w:val="231F20"/>
                <w:w w:val="75"/>
                <w:sz w:val="14"/>
              </w:rPr>
              <w:t>Arab</w:t>
            </w:r>
            <w:r>
              <w:rPr>
                <w:color w:val="231F20"/>
                <w:spacing w:val="9"/>
                <w:sz w:val="14"/>
              </w:rPr>
              <w:t> </w:t>
            </w:r>
            <w:r>
              <w:rPr>
                <w:color w:val="231F20"/>
                <w:spacing w:val="-2"/>
                <w:w w:val="75"/>
                <w:sz w:val="14"/>
              </w:rPr>
              <w:t>Emirates</w:t>
            </w:r>
          </w:p>
        </w:tc>
        <w:tc>
          <w:tcPr>
            <w:tcW w:w="1600" w:type="dxa"/>
            <w:tcBorders>
              <w:bottom w:val="single" w:sz="4" w:space="0" w:color="008FDD"/>
            </w:tcBorders>
            <w:shd w:val="clear" w:color="auto" w:fill="D4E3F5"/>
          </w:tcPr>
          <w:p>
            <w:pPr>
              <w:pStyle w:val="TableParagraph"/>
              <w:ind w:left="67" w:right="3"/>
              <w:rPr>
                <w:sz w:val="14"/>
              </w:rPr>
            </w:pPr>
            <w:r>
              <w:rPr>
                <w:color w:val="231F20"/>
                <w:spacing w:val="-5"/>
                <w:w w:val="85"/>
                <w:sz w:val="14"/>
              </w:rPr>
              <w:t>Yes</w:t>
            </w:r>
          </w:p>
        </w:tc>
        <w:tc>
          <w:tcPr>
            <w:tcW w:w="1537" w:type="dxa"/>
            <w:tcBorders>
              <w:bottom w:val="single" w:sz="4" w:space="0" w:color="008FDD"/>
            </w:tcBorders>
            <w:shd w:val="clear" w:color="auto" w:fill="D4E3F5"/>
          </w:tcPr>
          <w:p>
            <w:pPr>
              <w:pStyle w:val="TableParagraph"/>
              <w:ind w:left="2"/>
              <w:rPr>
                <w:sz w:val="14"/>
              </w:rPr>
            </w:pPr>
            <w:r>
              <w:rPr>
                <w:color w:val="231F20"/>
                <w:spacing w:val="-5"/>
                <w:w w:val="85"/>
                <w:sz w:val="14"/>
              </w:rPr>
              <w:t>No</w:t>
            </w:r>
          </w:p>
        </w:tc>
        <w:tc>
          <w:tcPr>
            <w:tcW w:w="1536" w:type="dxa"/>
            <w:tcBorders>
              <w:bottom w:val="single" w:sz="4" w:space="0" w:color="008FDD"/>
            </w:tcBorders>
            <w:shd w:val="clear" w:color="auto" w:fill="D4E3F5"/>
          </w:tcPr>
          <w:p>
            <w:pPr>
              <w:pStyle w:val="TableParagraph"/>
              <w:ind w:left="5" w:right="4"/>
              <w:rPr>
                <w:sz w:val="14"/>
              </w:rPr>
            </w:pPr>
            <w:r>
              <w:rPr>
                <w:color w:val="231F20"/>
                <w:spacing w:val="-5"/>
                <w:w w:val="85"/>
                <w:sz w:val="14"/>
              </w:rPr>
              <w:t>No</w:t>
            </w:r>
          </w:p>
        </w:tc>
        <w:tc>
          <w:tcPr>
            <w:tcW w:w="1536" w:type="dxa"/>
            <w:tcBorders>
              <w:bottom w:val="single" w:sz="4" w:space="0" w:color="008FDD"/>
            </w:tcBorders>
            <w:shd w:val="clear" w:color="auto" w:fill="D4E3F5"/>
          </w:tcPr>
          <w:p>
            <w:pPr>
              <w:pStyle w:val="TableParagraph"/>
              <w:ind w:left="5" w:right="4"/>
              <w:rPr>
                <w:sz w:val="14"/>
              </w:rPr>
            </w:pPr>
            <w:r>
              <w:rPr>
                <w:color w:val="231F20"/>
                <w:spacing w:val="-5"/>
                <w:w w:val="85"/>
                <w:sz w:val="14"/>
              </w:rPr>
              <w:t>No</w:t>
            </w:r>
          </w:p>
        </w:tc>
      </w:tr>
    </w:tbl>
    <w:p>
      <w:pPr>
        <w:pStyle w:val="BodyText"/>
        <w:spacing w:before="53"/>
        <w:rPr>
          <w:rFonts w:ascii="Arial"/>
          <w:b/>
          <w:sz w:val="12"/>
        </w:rPr>
      </w:pPr>
    </w:p>
    <w:p>
      <w:pPr>
        <w:spacing w:before="0"/>
        <w:ind w:left="3360" w:right="0" w:firstLine="0"/>
        <w:jc w:val="left"/>
        <w:rPr>
          <w:rFonts w:ascii="Arial"/>
          <w:sz w:val="12"/>
        </w:rPr>
      </w:pPr>
      <w:r>
        <w:rPr>
          <w:rFonts w:ascii="Arial"/>
          <w:i/>
          <w:color w:val="231F20"/>
          <w:w w:val="75"/>
          <w:sz w:val="12"/>
        </w:rPr>
        <w:t>Source:</w:t>
      </w:r>
      <w:r>
        <w:rPr>
          <w:rFonts w:ascii="Arial"/>
          <w:i/>
          <w:color w:val="231F20"/>
          <w:spacing w:val="7"/>
          <w:sz w:val="12"/>
        </w:rPr>
        <w:t> </w:t>
      </w:r>
      <w:r>
        <w:rPr>
          <w:rFonts w:ascii="Arial"/>
          <w:color w:val="231F20"/>
          <w:w w:val="75"/>
          <w:sz w:val="12"/>
        </w:rPr>
        <w:t>World</w:t>
      </w:r>
      <w:r>
        <w:rPr>
          <w:rFonts w:ascii="Arial"/>
          <w:color w:val="231F20"/>
          <w:spacing w:val="8"/>
          <w:sz w:val="12"/>
        </w:rPr>
        <w:t> </w:t>
      </w:r>
      <w:r>
        <w:rPr>
          <w:rFonts w:ascii="Arial"/>
          <w:color w:val="231F20"/>
          <w:spacing w:val="-2"/>
          <w:w w:val="75"/>
          <w:sz w:val="12"/>
        </w:rPr>
        <w:t>Bank.</w:t>
      </w:r>
    </w:p>
    <w:p>
      <w:pPr>
        <w:spacing w:before="22"/>
        <w:ind w:left="3360" w:right="0" w:firstLine="0"/>
        <w:jc w:val="left"/>
        <w:rPr>
          <w:rFonts w:ascii="Arial"/>
          <w:sz w:val="12"/>
        </w:rPr>
      </w:pPr>
      <w:r>
        <w:rPr>
          <w:rFonts w:ascii="Arial"/>
          <w:i/>
          <w:color w:val="231F20"/>
          <w:w w:val="75"/>
          <w:sz w:val="12"/>
        </w:rPr>
        <w:t>Note:</w:t>
      </w:r>
      <w:r>
        <w:rPr>
          <w:rFonts w:ascii="Arial"/>
          <w:i/>
          <w:color w:val="231F20"/>
          <w:spacing w:val="11"/>
          <w:sz w:val="12"/>
        </w:rPr>
        <w:t> </w:t>
      </w:r>
      <w:r>
        <w:rPr>
          <w:rFonts w:ascii="Arial"/>
          <w:color w:val="231F20"/>
          <w:w w:val="75"/>
          <w:sz w:val="12"/>
        </w:rPr>
        <w:t>Because</w:t>
      </w:r>
      <w:r>
        <w:rPr>
          <w:rFonts w:ascii="Arial"/>
          <w:color w:val="231F20"/>
          <w:spacing w:val="12"/>
          <w:sz w:val="12"/>
        </w:rPr>
        <w:t> </w:t>
      </w:r>
      <w:r>
        <w:rPr>
          <w:rFonts w:ascii="Arial"/>
          <w:color w:val="231F20"/>
          <w:w w:val="75"/>
          <w:sz w:val="12"/>
        </w:rPr>
        <w:t>of</w:t>
      </w:r>
      <w:r>
        <w:rPr>
          <w:rFonts w:ascii="Arial"/>
          <w:color w:val="231F20"/>
          <w:spacing w:val="12"/>
          <w:sz w:val="12"/>
        </w:rPr>
        <w:t> </w:t>
      </w:r>
      <w:r>
        <w:rPr>
          <w:rFonts w:ascii="Arial"/>
          <w:color w:val="231F20"/>
          <w:w w:val="75"/>
          <w:sz w:val="12"/>
        </w:rPr>
        <w:t>tied</w:t>
      </w:r>
      <w:r>
        <w:rPr>
          <w:rFonts w:ascii="Arial"/>
          <w:color w:val="231F20"/>
          <w:spacing w:val="12"/>
          <w:sz w:val="12"/>
        </w:rPr>
        <w:t> </w:t>
      </w:r>
      <w:r>
        <w:rPr>
          <w:rFonts w:ascii="Arial"/>
          <w:color w:val="231F20"/>
          <w:w w:val="75"/>
          <w:sz w:val="12"/>
        </w:rPr>
        <w:t>scores,</w:t>
      </w:r>
      <w:r>
        <w:rPr>
          <w:rFonts w:ascii="Arial"/>
          <w:color w:val="231F20"/>
          <w:spacing w:val="12"/>
          <w:sz w:val="12"/>
        </w:rPr>
        <w:t> </w:t>
      </w:r>
      <w:r>
        <w:rPr>
          <w:rFonts w:ascii="Arial"/>
          <w:color w:val="231F20"/>
          <w:w w:val="75"/>
          <w:sz w:val="12"/>
        </w:rPr>
        <w:t>the</w:t>
      </w:r>
      <w:r>
        <w:rPr>
          <w:rFonts w:ascii="Arial"/>
          <w:color w:val="231F20"/>
          <w:spacing w:val="12"/>
          <w:sz w:val="12"/>
        </w:rPr>
        <w:t> </w:t>
      </w:r>
      <w:r>
        <w:rPr>
          <w:rFonts w:ascii="Arial"/>
          <w:color w:val="231F20"/>
          <w:w w:val="75"/>
          <w:sz w:val="12"/>
        </w:rPr>
        <w:t>top</w:t>
      </w:r>
      <w:r>
        <w:rPr>
          <w:rFonts w:ascii="Arial"/>
          <w:color w:val="231F20"/>
          <w:spacing w:val="12"/>
          <w:sz w:val="12"/>
        </w:rPr>
        <w:t> </w:t>
      </w:r>
      <w:r>
        <w:rPr>
          <w:rFonts w:ascii="Arial"/>
          <w:color w:val="231F20"/>
          <w:w w:val="75"/>
          <w:sz w:val="12"/>
        </w:rPr>
        <w:t>10</w:t>
      </w:r>
      <w:r>
        <w:rPr>
          <w:rFonts w:ascii="Arial"/>
          <w:color w:val="231F20"/>
          <w:spacing w:val="12"/>
          <w:sz w:val="12"/>
        </w:rPr>
        <w:t> </w:t>
      </w:r>
      <w:r>
        <w:rPr>
          <w:rFonts w:ascii="Arial"/>
          <w:color w:val="231F20"/>
          <w:w w:val="75"/>
          <w:sz w:val="12"/>
        </w:rPr>
        <w:t>scores</w:t>
      </w:r>
      <w:r>
        <w:rPr>
          <w:rFonts w:ascii="Arial"/>
          <w:color w:val="231F20"/>
          <w:spacing w:val="12"/>
          <w:sz w:val="12"/>
        </w:rPr>
        <w:t> </w:t>
      </w:r>
      <w:r>
        <w:rPr>
          <w:rFonts w:ascii="Arial"/>
          <w:color w:val="231F20"/>
          <w:w w:val="75"/>
          <w:sz w:val="12"/>
        </w:rPr>
        <w:t>were</w:t>
      </w:r>
      <w:r>
        <w:rPr>
          <w:rFonts w:ascii="Arial"/>
          <w:color w:val="231F20"/>
          <w:spacing w:val="12"/>
          <w:sz w:val="12"/>
        </w:rPr>
        <w:t> </w:t>
      </w:r>
      <w:r>
        <w:rPr>
          <w:rFonts w:ascii="Arial"/>
          <w:color w:val="231F20"/>
          <w:w w:val="75"/>
          <w:sz w:val="12"/>
        </w:rPr>
        <w:t>attained</w:t>
      </w:r>
      <w:r>
        <w:rPr>
          <w:rFonts w:ascii="Arial"/>
          <w:color w:val="231F20"/>
          <w:spacing w:val="12"/>
          <w:sz w:val="12"/>
        </w:rPr>
        <w:t> </w:t>
      </w:r>
      <w:r>
        <w:rPr>
          <w:rFonts w:ascii="Arial"/>
          <w:color w:val="231F20"/>
          <w:w w:val="75"/>
          <w:sz w:val="12"/>
        </w:rPr>
        <w:t>by</w:t>
      </w:r>
      <w:r>
        <w:rPr>
          <w:rFonts w:ascii="Arial"/>
          <w:color w:val="231F20"/>
          <w:spacing w:val="12"/>
          <w:sz w:val="12"/>
        </w:rPr>
        <w:t> </w:t>
      </w:r>
      <w:r>
        <w:rPr>
          <w:rFonts w:ascii="Arial"/>
          <w:color w:val="231F20"/>
          <w:w w:val="75"/>
          <w:sz w:val="12"/>
        </w:rPr>
        <w:t>12</w:t>
      </w:r>
      <w:r>
        <w:rPr>
          <w:rFonts w:ascii="Arial"/>
          <w:color w:val="231F20"/>
          <w:spacing w:val="12"/>
          <w:sz w:val="12"/>
        </w:rPr>
        <w:t> </w:t>
      </w:r>
      <w:r>
        <w:rPr>
          <w:rFonts w:ascii="Arial"/>
          <w:color w:val="231F20"/>
          <w:w w:val="75"/>
          <w:sz w:val="12"/>
        </w:rPr>
        <w:t>countries.</w:t>
      </w:r>
      <w:r>
        <w:rPr>
          <w:rFonts w:ascii="Arial"/>
          <w:color w:val="231F20"/>
          <w:spacing w:val="12"/>
          <w:sz w:val="12"/>
        </w:rPr>
        <w:t> </w:t>
      </w:r>
      <w:r>
        <w:rPr>
          <w:rFonts w:ascii="Arial"/>
          <w:color w:val="231F20"/>
          <w:w w:val="75"/>
          <w:sz w:val="12"/>
        </w:rPr>
        <w:t>Countries</w:t>
      </w:r>
      <w:r>
        <w:rPr>
          <w:rFonts w:ascii="Arial"/>
          <w:color w:val="231F20"/>
          <w:spacing w:val="12"/>
          <w:sz w:val="12"/>
        </w:rPr>
        <w:t> </w:t>
      </w:r>
      <w:r>
        <w:rPr>
          <w:rFonts w:ascii="Arial"/>
          <w:color w:val="231F20"/>
          <w:w w:val="75"/>
          <w:sz w:val="12"/>
        </w:rPr>
        <w:t>are</w:t>
      </w:r>
      <w:r>
        <w:rPr>
          <w:rFonts w:ascii="Arial"/>
          <w:color w:val="231F20"/>
          <w:spacing w:val="12"/>
          <w:sz w:val="12"/>
        </w:rPr>
        <w:t> </w:t>
      </w:r>
      <w:r>
        <w:rPr>
          <w:rFonts w:ascii="Arial"/>
          <w:color w:val="231F20"/>
          <w:w w:val="75"/>
          <w:sz w:val="12"/>
        </w:rPr>
        <w:t>listed</w:t>
      </w:r>
      <w:r>
        <w:rPr>
          <w:rFonts w:ascii="Arial"/>
          <w:color w:val="231F20"/>
          <w:spacing w:val="12"/>
          <w:sz w:val="12"/>
        </w:rPr>
        <w:t> </w:t>
      </w:r>
      <w:r>
        <w:rPr>
          <w:rFonts w:ascii="Arial"/>
          <w:color w:val="231F20"/>
          <w:w w:val="75"/>
          <w:sz w:val="12"/>
        </w:rPr>
        <w:t>in</w:t>
      </w:r>
      <w:r>
        <w:rPr>
          <w:rFonts w:ascii="Arial"/>
          <w:color w:val="231F20"/>
          <w:spacing w:val="12"/>
          <w:sz w:val="12"/>
        </w:rPr>
        <w:t> </w:t>
      </w:r>
      <w:r>
        <w:rPr>
          <w:rFonts w:ascii="Arial"/>
          <w:color w:val="231F20"/>
          <w:w w:val="75"/>
          <w:sz w:val="12"/>
        </w:rPr>
        <w:t>alphabetical</w:t>
      </w:r>
      <w:r>
        <w:rPr>
          <w:rFonts w:ascii="Arial"/>
          <w:color w:val="231F20"/>
          <w:spacing w:val="12"/>
          <w:sz w:val="12"/>
        </w:rPr>
        <w:t> </w:t>
      </w:r>
      <w:r>
        <w:rPr>
          <w:rFonts w:ascii="Arial"/>
          <w:color w:val="231F20"/>
          <w:spacing w:val="-2"/>
          <w:w w:val="75"/>
          <w:sz w:val="12"/>
        </w:rPr>
        <w:t>order.</w:t>
      </w:r>
    </w:p>
    <w:p>
      <w:pPr>
        <w:pStyle w:val="BodyText"/>
        <w:spacing w:before="3"/>
        <w:rPr>
          <w:rFonts w:ascii="Arial"/>
          <w:sz w:val="14"/>
        </w:rPr>
      </w:pPr>
      <w:r>
        <w:rPr/>
        <mc:AlternateContent>
          <mc:Choice Requires="wps">
            <w:drawing>
              <wp:anchor distT="0" distB="0" distL="0" distR="0" allowOverlap="1" layoutInCell="1" locked="0" behindDoc="1" simplePos="0" relativeHeight="487629312">
                <wp:simplePos x="0" y="0"/>
                <wp:positionH relativeFrom="page">
                  <wp:posOffset>2095500</wp:posOffset>
                </wp:positionH>
                <wp:positionV relativeFrom="paragraph">
                  <wp:posOffset>119454</wp:posOffset>
                </wp:positionV>
                <wp:extent cx="4953000" cy="368300"/>
                <wp:effectExtent l="0" t="0" r="0" b="0"/>
                <wp:wrapTopAndBottom/>
                <wp:docPr id="1605" name="Group 1605"/>
                <wp:cNvGraphicFramePr>
                  <a:graphicFrameLocks/>
                </wp:cNvGraphicFramePr>
                <a:graphic>
                  <a:graphicData uri="http://schemas.microsoft.com/office/word/2010/wordprocessingGroup">
                    <wpg:wgp>
                      <wpg:cNvPr id="1605" name="Group 1605"/>
                      <wpg:cNvGrpSpPr/>
                      <wpg:grpSpPr>
                        <a:xfrm>
                          <a:off x="0" y="0"/>
                          <a:ext cx="4953000" cy="368300"/>
                          <a:chExt cx="4953000" cy="368300"/>
                        </a:xfrm>
                      </wpg:grpSpPr>
                      <wps:wsp>
                        <wps:cNvPr id="1606" name="Graphic 1606"/>
                        <wps:cNvSpPr/>
                        <wps:spPr>
                          <a:xfrm>
                            <a:off x="63500" y="19050"/>
                            <a:ext cx="4870450" cy="317500"/>
                          </a:xfrm>
                          <a:custGeom>
                            <a:avLst/>
                            <a:gdLst/>
                            <a:ahLst/>
                            <a:cxnLst/>
                            <a:rect l="l" t="t" r="r" b="b"/>
                            <a:pathLst>
                              <a:path w="4870450" h="317500">
                                <a:moveTo>
                                  <a:pt x="4775200" y="0"/>
                                </a:moveTo>
                                <a:lnTo>
                                  <a:pt x="50800" y="0"/>
                                </a:lnTo>
                                <a:lnTo>
                                  <a:pt x="13757" y="7496"/>
                                </a:lnTo>
                                <a:lnTo>
                                  <a:pt x="0" y="16778"/>
                                </a:lnTo>
                                <a:lnTo>
                                  <a:pt x="0" y="317500"/>
                                </a:lnTo>
                                <a:lnTo>
                                  <a:pt x="4870450" y="317500"/>
                                </a:lnTo>
                                <a:lnTo>
                                  <a:pt x="4870450" y="95250"/>
                                </a:lnTo>
                                <a:lnTo>
                                  <a:pt x="4862953" y="58207"/>
                                </a:lnTo>
                                <a:lnTo>
                                  <a:pt x="4842522" y="27927"/>
                                </a:lnTo>
                                <a:lnTo>
                                  <a:pt x="4812242" y="7496"/>
                                </a:lnTo>
                                <a:lnTo>
                                  <a:pt x="4775200" y="0"/>
                                </a:lnTo>
                                <a:close/>
                              </a:path>
                            </a:pathLst>
                          </a:custGeom>
                          <a:solidFill>
                            <a:srgbClr val="808285"/>
                          </a:solidFill>
                        </wps:spPr>
                        <wps:bodyPr wrap="square" lIns="0" tIns="0" rIns="0" bIns="0" rtlCol="0">
                          <a:prstTxWarp prst="textNoShape">
                            <a:avLst/>
                          </a:prstTxWarp>
                          <a:noAutofit/>
                        </wps:bodyPr>
                      </wps:wsp>
                      <wps:wsp>
                        <wps:cNvPr id="1607" name="Graphic 1607"/>
                        <wps:cNvSpPr/>
                        <wps:spPr>
                          <a:xfrm>
                            <a:off x="571500" y="29057"/>
                            <a:ext cx="1270" cy="339725"/>
                          </a:xfrm>
                          <a:custGeom>
                            <a:avLst/>
                            <a:gdLst/>
                            <a:ahLst/>
                            <a:cxnLst/>
                            <a:rect l="l" t="t" r="r" b="b"/>
                            <a:pathLst>
                              <a:path w="0" h="339725">
                                <a:moveTo>
                                  <a:pt x="0" y="3392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608" name="Graphic 1608"/>
                        <wps:cNvSpPr/>
                        <wps:spPr>
                          <a:xfrm>
                            <a:off x="38100" y="28575"/>
                            <a:ext cx="520700" cy="320675"/>
                          </a:xfrm>
                          <a:custGeom>
                            <a:avLst/>
                            <a:gdLst/>
                            <a:ahLst/>
                            <a:cxnLst/>
                            <a:rect l="l" t="t" r="r" b="b"/>
                            <a:pathLst>
                              <a:path w="520700" h="320675">
                                <a:moveTo>
                                  <a:pt x="0" y="320675"/>
                                </a:moveTo>
                                <a:lnTo>
                                  <a:pt x="520700" y="320675"/>
                                </a:lnTo>
                                <a:lnTo>
                                  <a:pt x="520700" y="0"/>
                                </a:lnTo>
                                <a:lnTo>
                                  <a:pt x="0" y="0"/>
                                </a:lnTo>
                                <a:lnTo>
                                  <a:pt x="0" y="320675"/>
                                </a:lnTo>
                                <a:close/>
                              </a:path>
                            </a:pathLst>
                          </a:custGeom>
                          <a:solidFill>
                            <a:srgbClr val="008FDD"/>
                          </a:solidFill>
                        </wps:spPr>
                        <wps:bodyPr wrap="square" lIns="0" tIns="0" rIns="0" bIns="0" rtlCol="0">
                          <a:prstTxWarp prst="textNoShape">
                            <a:avLst/>
                          </a:prstTxWarp>
                          <a:noAutofit/>
                        </wps:bodyPr>
                      </wps:wsp>
                      <wps:wsp>
                        <wps:cNvPr id="1609" name="Graphic 1609"/>
                        <wps:cNvSpPr/>
                        <wps:spPr>
                          <a:xfrm>
                            <a:off x="19050" y="19050"/>
                            <a:ext cx="4914900" cy="317500"/>
                          </a:xfrm>
                          <a:custGeom>
                            <a:avLst/>
                            <a:gdLst/>
                            <a:ahLst/>
                            <a:cxnLst/>
                            <a:rect l="l" t="t" r="r" b="b"/>
                            <a:pathLst>
                              <a:path w="4914900" h="317500">
                                <a:moveTo>
                                  <a:pt x="95250" y="0"/>
                                </a:moveTo>
                                <a:lnTo>
                                  <a:pt x="58212" y="7497"/>
                                </a:lnTo>
                                <a:lnTo>
                                  <a:pt x="27932" y="27932"/>
                                </a:lnTo>
                                <a:lnTo>
                                  <a:pt x="7497" y="58212"/>
                                </a:lnTo>
                                <a:lnTo>
                                  <a:pt x="0" y="95250"/>
                                </a:lnTo>
                                <a:lnTo>
                                  <a:pt x="0" y="298450"/>
                                </a:lnTo>
                                <a:lnTo>
                                  <a:pt x="0" y="317500"/>
                                </a:lnTo>
                                <a:lnTo>
                                  <a:pt x="19050" y="317500"/>
                                </a:lnTo>
                                <a:lnTo>
                                  <a:pt x="4895850" y="317500"/>
                                </a:lnTo>
                                <a:lnTo>
                                  <a:pt x="4914900" y="317500"/>
                                </a:lnTo>
                                <a:lnTo>
                                  <a:pt x="4914900" y="298450"/>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610" name="Textbox 1610"/>
                        <wps:cNvSpPr txBox="1"/>
                        <wps:spPr>
                          <a:xfrm>
                            <a:off x="0" y="0"/>
                            <a:ext cx="4953000" cy="368300"/>
                          </a:xfrm>
                          <a:prstGeom prst="rect">
                            <a:avLst/>
                          </a:prstGeom>
                        </wps:spPr>
                        <wps:txbx>
                          <w:txbxContent>
                            <w:p>
                              <w:pPr>
                                <w:spacing w:line="235" w:lineRule="auto" w:before="113"/>
                                <w:ind w:left="1060" w:right="2521" w:firstLine="0"/>
                                <w:jc w:val="left"/>
                                <w:rPr>
                                  <w:rFonts w:ascii="Arial"/>
                                  <w:b/>
                                  <w:sz w:val="16"/>
                                </w:rPr>
                              </w:pPr>
                              <w:r>
                                <w:rPr>
                                  <w:rFonts w:ascii="Arial"/>
                                  <w:b/>
                                  <w:color w:val="FFFFFF"/>
                                  <w:w w:val="105"/>
                                  <w:sz w:val="16"/>
                                </w:rPr>
                                <w:t>Bottom 12 LPI scorers in 2023 and their top scorer status for 2018, 2016, 2014, and 2012</w:t>
                              </w:r>
                            </w:p>
                          </w:txbxContent>
                        </wps:txbx>
                        <wps:bodyPr wrap="square" lIns="0" tIns="0" rIns="0" bIns="0" rtlCol="0">
                          <a:noAutofit/>
                        </wps:bodyPr>
                      </wps:wsp>
                      <wps:wsp>
                        <wps:cNvPr id="1611" name="Textbox 1611"/>
                        <wps:cNvSpPr txBox="1"/>
                        <wps:spPr>
                          <a:xfrm>
                            <a:off x="38100" y="28575"/>
                            <a:ext cx="520700" cy="320675"/>
                          </a:xfrm>
                          <a:prstGeom prst="rect">
                            <a:avLst/>
                          </a:prstGeom>
                        </wps:spPr>
                        <wps:txbx>
                          <w:txbxContent>
                            <w:p>
                              <w:pPr>
                                <w:spacing w:before="65"/>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3.2</w:t>
                              </w:r>
                            </w:p>
                          </w:txbxContent>
                        </wps:txbx>
                        <wps:bodyPr wrap="square" lIns="0" tIns="0" rIns="0" bIns="0" rtlCol="0">
                          <a:noAutofit/>
                        </wps:bodyPr>
                      </wps:wsp>
                    </wpg:wgp>
                  </a:graphicData>
                </a:graphic>
              </wp:anchor>
            </w:drawing>
          </mc:Choice>
          <mc:Fallback>
            <w:pict>
              <v:group style="position:absolute;margin-left:165pt;margin-top:9.405858pt;width:390pt;height:29pt;mso-position-horizontal-relative:page;mso-position-vertical-relative:paragraph;z-index:-15687168;mso-wrap-distance-left:0;mso-wrap-distance-right:0" id="docshapegroup1362" coordorigin="3300,188" coordsize="7800,580">
                <v:shape style="position:absolute;left:3400;top:218;width:7670;height:500" id="docshape1363" coordorigin="3400,218" coordsize="7670,500" path="m10920,218l3480,218,3422,230,3400,245,3400,718,11070,718,11070,368,11058,310,11026,262,10978,230,10920,218xe" filled="true" fillcolor="#808285" stroked="false">
                  <v:path arrowok="t"/>
                  <v:fill type="solid"/>
                </v:shape>
                <v:line style="position:absolute" from="4200,768" to="4200,234" stroked="true" strokeweight="2pt" strokecolor="#ffffff">
                  <v:stroke dashstyle="solid"/>
                </v:line>
                <v:rect style="position:absolute;left:3360;top:233;width:820;height:505" id="docshape1364" filled="true" fillcolor="#008fdd" stroked="false">
                  <v:fill type="solid"/>
                </v:rect>
                <v:shape style="position:absolute;left:3330;top:218;width:7740;height:500" id="docshape1365" coordorigin="3330,218" coordsize="7740,500" path="m3480,218l3422,230,3374,262,3342,310,3330,368,3330,688,3330,718,3360,718,11040,718,11070,718,11070,688,11070,368,11058,310,11026,262,10978,230,10920,218,3480,218xe" filled="false" stroked="true" strokeweight="3pt" strokecolor="#ffffff">
                  <v:path arrowok="t"/>
                  <v:stroke dashstyle="solid"/>
                </v:shape>
                <v:shape style="position:absolute;left:3300;top:188;width:7800;height:580" type="#_x0000_t202" id="docshape1366" filled="false" stroked="false">
                  <v:textbox inset="0,0,0,0">
                    <w:txbxContent>
                      <w:p>
                        <w:pPr>
                          <w:spacing w:line="235" w:lineRule="auto" w:before="113"/>
                          <w:ind w:left="1060" w:right="2521" w:firstLine="0"/>
                          <w:jc w:val="left"/>
                          <w:rPr>
                            <w:rFonts w:ascii="Arial"/>
                            <w:b/>
                            <w:sz w:val="16"/>
                          </w:rPr>
                        </w:pPr>
                        <w:r>
                          <w:rPr>
                            <w:rFonts w:ascii="Arial"/>
                            <w:b/>
                            <w:color w:val="FFFFFF"/>
                            <w:w w:val="105"/>
                            <w:sz w:val="16"/>
                          </w:rPr>
                          <w:t>Bottom 12 LPI scorers in 2023 and their top scorer status for 2018, 2016, 2014, and 2012</w:t>
                        </w:r>
                      </w:p>
                    </w:txbxContent>
                  </v:textbox>
                  <w10:wrap type="none"/>
                </v:shape>
                <v:shape style="position:absolute;left:3360;top:233;width:820;height:505" type="#_x0000_t202" id="docshape1367" filled="false" stroked="false">
                  <v:textbox inset="0,0,0,0">
                    <w:txbxContent>
                      <w:p>
                        <w:pPr>
                          <w:spacing w:before="65"/>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3.2</w:t>
                        </w:r>
                      </w:p>
                    </w:txbxContent>
                  </v:textbox>
                  <w10:wrap type="none"/>
                </v:shape>
                <w10:wrap type="topAndBottom"/>
              </v:group>
            </w:pict>
          </mc:Fallback>
        </mc:AlternateContent>
      </w:r>
    </w:p>
    <w:p>
      <w:pPr>
        <w:pStyle w:val="BodyText"/>
        <w:spacing w:before="2" w:after="1"/>
        <w:rPr>
          <w:rFonts w:ascii="Arial"/>
          <w:sz w:val="15"/>
        </w:rPr>
      </w:pPr>
    </w:p>
    <w:tbl>
      <w:tblPr>
        <w:tblW w:w="0" w:type="auto"/>
        <w:jc w:val="left"/>
        <w:tblInd w:w="3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0"/>
        <w:gridCol w:w="1801"/>
        <w:gridCol w:w="1535"/>
        <w:gridCol w:w="1535"/>
        <w:gridCol w:w="1535"/>
      </w:tblGrid>
      <w:tr>
        <w:trPr>
          <w:trHeight w:val="369" w:hRule="atLeast"/>
        </w:trPr>
        <w:tc>
          <w:tcPr>
            <w:tcW w:w="1270" w:type="dxa"/>
            <w:tcBorders>
              <w:bottom w:val="single" w:sz="4" w:space="0" w:color="008FDD"/>
            </w:tcBorders>
          </w:tcPr>
          <w:p>
            <w:pPr>
              <w:pStyle w:val="TableParagraph"/>
              <w:spacing w:before="2"/>
              <w:jc w:val="left"/>
              <w:rPr>
                <w:sz w:val="14"/>
              </w:rPr>
            </w:pPr>
          </w:p>
          <w:p>
            <w:pPr>
              <w:pStyle w:val="TableParagraph"/>
              <w:spacing w:before="0"/>
              <w:ind w:left="80"/>
              <w:jc w:val="left"/>
              <w:rPr>
                <w:b/>
                <w:sz w:val="14"/>
              </w:rPr>
            </w:pPr>
            <w:r>
              <w:rPr>
                <w:b/>
                <w:color w:val="231F20"/>
                <w:spacing w:val="-2"/>
                <w:w w:val="90"/>
                <w:sz w:val="14"/>
              </w:rPr>
              <w:t>Economy</w:t>
            </w:r>
          </w:p>
        </w:tc>
        <w:tc>
          <w:tcPr>
            <w:tcW w:w="1801" w:type="dxa"/>
            <w:tcBorders>
              <w:bottom w:val="single" w:sz="4" w:space="0" w:color="008FDD"/>
            </w:tcBorders>
          </w:tcPr>
          <w:p>
            <w:pPr>
              <w:pStyle w:val="TableParagraph"/>
              <w:spacing w:line="160" w:lineRule="exact" w:before="3"/>
              <w:ind w:left="267"/>
              <w:rPr>
                <w:b/>
                <w:sz w:val="14"/>
              </w:rPr>
            </w:pPr>
            <w:r>
              <w:rPr>
                <w:b/>
                <w:color w:val="231F20"/>
                <w:w w:val="80"/>
                <w:sz w:val="14"/>
              </w:rPr>
              <w:t>Bottom</w:t>
            </w:r>
            <w:r>
              <w:rPr>
                <w:b/>
                <w:color w:val="231F20"/>
                <w:spacing w:val="7"/>
                <w:sz w:val="14"/>
              </w:rPr>
              <w:t> </w:t>
            </w:r>
            <w:r>
              <w:rPr>
                <w:b/>
                <w:color w:val="231F20"/>
                <w:w w:val="80"/>
                <w:sz w:val="14"/>
              </w:rPr>
              <w:t>10</w:t>
            </w:r>
            <w:r>
              <w:rPr>
                <w:b/>
                <w:color w:val="231F20"/>
                <w:spacing w:val="7"/>
                <w:sz w:val="14"/>
              </w:rPr>
              <w:t> </w:t>
            </w:r>
            <w:r>
              <w:rPr>
                <w:b/>
                <w:color w:val="231F20"/>
                <w:spacing w:val="-2"/>
                <w:w w:val="80"/>
                <w:sz w:val="14"/>
              </w:rPr>
              <w:t>scorer</w:t>
            </w:r>
          </w:p>
          <w:p>
            <w:pPr>
              <w:pStyle w:val="TableParagraph"/>
              <w:spacing w:line="160" w:lineRule="exact" w:before="0"/>
              <w:ind w:left="267" w:right="4"/>
              <w:rPr>
                <w:b/>
                <w:sz w:val="14"/>
              </w:rPr>
            </w:pPr>
            <w:r>
              <w:rPr>
                <w:b/>
                <w:color w:val="231F20"/>
                <w:w w:val="85"/>
                <w:sz w:val="14"/>
              </w:rPr>
              <w:t>in</w:t>
            </w:r>
            <w:r>
              <w:rPr>
                <w:b/>
                <w:color w:val="231F20"/>
                <w:spacing w:val="-2"/>
                <w:w w:val="85"/>
                <w:sz w:val="14"/>
              </w:rPr>
              <w:t> </w:t>
            </w:r>
            <w:r>
              <w:rPr>
                <w:b/>
                <w:color w:val="231F20"/>
                <w:spacing w:val="-4"/>
                <w:w w:val="90"/>
                <w:sz w:val="14"/>
              </w:rPr>
              <w:t>2018</w:t>
            </w:r>
          </w:p>
        </w:tc>
        <w:tc>
          <w:tcPr>
            <w:tcW w:w="1535" w:type="dxa"/>
            <w:tcBorders>
              <w:bottom w:val="single" w:sz="4" w:space="0" w:color="008FDD"/>
            </w:tcBorders>
          </w:tcPr>
          <w:p>
            <w:pPr>
              <w:pStyle w:val="TableParagraph"/>
              <w:spacing w:line="160" w:lineRule="exact" w:before="3"/>
              <w:ind w:left="10" w:right="7"/>
              <w:rPr>
                <w:b/>
                <w:sz w:val="14"/>
              </w:rPr>
            </w:pPr>
            <w:r>
              <w:rPr>
                <w:b/>
                <w:color w:val="231F20"/>
                <w:w w:val="80"/>
                <w:sz w:val="14"/>
              </w:rPr>
              <w:t>Bottom</w:t>
            </w:r>
            <w:r>
              <w:rPr>
                <w:b/>
                <w:color w:val="231F20"/>
                <w:spacing w:val="7"/>
                <w:sz w:val="14"/>
              </w:rPr>
              <w:t> </w:t>
            </w:r>
            <w:r>
              <w:rPr>
                <w:b/>
                <w:color w:val="231F20"/>
                <w:w w:val="80"/>
                <w:sz w:val="14"/>
              </w:rPr>
              <w:t>10</w:t>
            </w:r>
            <w:r>
              <w:rPr>
                <w:b/>
                <w:color w:val="231F20"/>
                <w:spacing w:val="7"/>
                <w:sz w:val="14"/>
              </w:rPr>
              <w:t> </w:t>
            </w:r>
            <w:r>
              <w:rPr>
                <w:b/>
                <w:color w:val="231F20"/>
                <w:spacing w:val="-2"/>
                <w:w w:val="80"/>
                <w:sz w:val="14"/>
              </w:rPr>
              <w:t>scorer</w:t>
            </w:r>
          </w:p>
          <w:p>
            <w:pPr>
              <w:pStyle w:val="TableParagraph"/>
              <w:spacing w:line="160" w:lineRule="exact" w:before="0"/>
              <w:ind w:left="10" w:right="10"/>
              <w:rPr>
                <w:b/>
                <w:sz w:val="14"/>
              </w:rPr>
            </w:pPr>
            <w:r>
              <w:rPr>
                <w:b/>
                <w:color w:val="231F20"/>
                <w:w w:val="85"/>
                <w:sz w:val="14"/>
              </w:rPr>
              <w:t>in</w:t>
            </w:r>
            <w:r>
              <w:rPr>
                <w:b/>
                <w:color w:val="231F20"/>
                <w:spacing w:val="-2"/>
                <w:w w:val="85"/>
                <w:sz w:val="14"/>
              </w:rPr>
              <w:t> </w:t>
            </w:r>
            <w:r>
              <w:rPr>
                <w:b/>
                <w:color w:val="231F20"/>
                <w:spacing w:val="-4"/>
                <w:w w:val="95"/>
                <w:sz w:val="14"/>
              </w:rPr>
              <w:t>2016</w:t>
            </w:r>
          </w:p>
        </w:tc>
        <w:tc>
          <w:tcPr>
            <w:tcW w:w="1535" w:type="dxa"/>
            <w:tcBorders>
              <w:bottom w:val="single" w:sz="4" w:space="0" w:color="008FDD"/>
            </w:tcBorders>
          </w:tcPr>
          <w:p>
            <w:pPr>
              <w:pStyle w:val="TableParagraph"/>
              <w:spacing w:line="160" w:lineRule="exact" w:before="3"/>
              <w:ind w:left="10" w:right="5"/>
              <w:rPr>
                <w:b/>
                <w:sz w:val="14"/>
              </w:rPr>
            </w:pPr>
            <w:r>
              <w:rPr>
                <w:b/>
                <w:color w:val="231F20"/>
                <w:w w:val="80"/>
                <w:sz w:val="14"/>
              </w:rPr>
              <w:t>Bottom</w:t>
            </w:r>
            <w:r>
              <w:rPr>
                <w:b/>
                <w:color w:val="231F20"/>
                <w:spacing w:val="7"/>
                <w:sz w:val="14"/>
              </w:rPr>
              <w:t> </w:t>
            </w:r>
            <w:r>
              <w:rPr>
                <w:b/>
                <w:color w:val="231F20"/>
                <w:w w:val="80"/>
                <w:sz w:val="14"/>
              </w:rPr>
              <w:t>10</w:t>
            </w:r>
            <w:r>
              <w:rPr>
                <w:b/>
                <w:color w:val="231F20"/>
                <w:spacing w:val="7"/>
                <w:sz w:val="14"/>
              </w:rPr>
              <w:t> </w:t>
            </w:r>
            <w:r>
              <w:rPr>
                <w:b/>
                <w:color w:val="231F20"/>
                <w:spacing w:val="-2"/>
                <w:w w:val="80"/>
                <w:sz w:val="14"/>
              </w:rPr>
              <w:t>scorer</w:t>
            </w:r>
          </w:p>
          <w:p>
            <w:pPr>
              <w:pStyle w:val="TableParagraph"/>
              <w:spacing w:line="160" w:lineRule="exact" w:before="0"/>
              <w:ind w:left="10" w:right="9"/>
              <w:rPr>
                <w:b/>
                <w:sz w:val="14"/>
              </w:rPr>
            </w:pPr>
            <w:r>
              <w:rPr>
                <w:b/>
                <w:color w:val="231F20"/>
                <w:w w:val="85"/>
                <w:sz w:val="14"/>
              </w:rPr>
              <w:t>in</w:t>
            </w:r>
            <w:r>
              <w:rPr>
                <w:b/>
                <w:color w:val="231F20"/>
                <w:spacing w:val="-2"/>
                <w:w w:val="85"/>
                <w:sz w:val="14"/>
              </w:rPr>
              <w:t> </w:t>
            </w:r>
            <w:r>
              <w:rPr>
                <w:b/>
                <w:color w:val="231F20"/>
                <w:spacing w:val="-4"/>
                <w:w w:val="90"/>
                <w:sz w:val="14"/>
              </w:rPr>
              <w:t>2014</w:t>
            </w:r>
          </w:p>
        </w:tc>
        <w:tc>
          <w:tcPr>
            <w:tcW w:w="1535" w:type="dxa"/>
            <w:tcBorders>
              <w:bottom w:val="single" w:sz="4" w:space="0" w:color="008FDD"/>
            </w:tcBorders>
          </w:tcPr>
          <w:p>
            <w:pPr>
              <w:pStyle w:val="TableParagraph"/>
              <w:spacing w:line="160" w:lineRule="exact" w:before="3"/>
              <w:ind w:left="10" w:right="3"/>
              <w:rPr>
                <w:b/>
                <w:sz w:val="14"/>
              </w:rPr>
            </w:pPr>
            <w:r>
              <w:rPr>
                <w:b/>
                <w:color w:val="231F20"/>
                <w:w w:val="80"/>
                <w:sz w:val="14"/>
              </w:rPr>
              <w:t>Bottom</w:t>
            </w:r>
            <w:r>
              <w:rPr>
                <w:b/>
                <w:color w:val="231F20"/>
                <w:spacing w:val="7"/>
                <w:sz w:val="14"/>
              </w:rPr>
              <w:t> </w:t>
            </w:r>
            <w:r>
              <w:rPr>
                <w:b/>
                <w:color w:val="231F20"/>
                <w:w w:val="80"/>
                <w:sz w:val="14"/>
              </w:rPr>
              <w:t>10</w:t>
            </w:r>
            <w:r>
              <w:rPr>
                <w:b/>
                <w:color w:val="231F20"/>
                <w:spacing w:val="7"/>
                <w:sz w:val="14"/>
              </w:rPr>
              <w:t> </w:t>
            </w:r>
            <w:r>
              <w:rPr>
                <w:b/>
                <w:color w:val="231F20"/>
                <w:spacing w:val="-2"/>
                <w:w w:val="80"/>
                <w:sz w:val="14"/>
              </w:rPr>
              <w:t>scorer</w:t>
            </w:r>
          </w:p>
          <w:p>
            <w:pPr>
              <w:pStyle w:val="TableParagraph"/>
              <w:spacing w:line="160" w:lineRule="exact" w:before="0"/>
              <w:ind w:left="10" w:right="7"/>
              <w:rPr>
                <w:b/>
                <w:sz w:val="14"/>
              </w:rPr>
            </w:pPr>
            <w:r>
              <w:rPr>
                <w:b/>
                <w:color w:val="231F20"/>
                <w:w w:val="85"/>
                <w:sz w:val="14"/>
              </w:rPr>
              <w:t>in</w:t>
            </w:r>
            <w:r>
              <w:rPr>
                <w:b/>
                <w:color w:val="231F20"/>
                <w:spacing w:val="-2"/>
                <w:w w:val="85"/>
                <w:sz w:val="14"/>
              </w:rPr>
              <w:t> </w:t>
            </w:r>
            <w:r>
              <w:rPr>
                <w:b/>
                <w:color w:val="231F20"/>
                <w:spacing w:val="-4"/>
                <w:w w:val="90"/>
                <w:sz w:val="14"/>
              </w:rPr>
              <w:t>2012</w:t>
            </w:r>
          </w:p>
        </w:tc>
      </w:tr>
      <w:tr>
        <w:trPr>
          <w:trHeight w:val="258" w:hRule="atLeast"/>
        </w:trPr>
        <w:tc>
          <w:tcPr>
            <w:tcW w:w="1270" w:type="dxa"/>
            <w:tcBorders>
              <w:top w:val="single" w:sz="4" w:space="0" w:color="008FDD"/>
            </w:tcBorders>
          </w:tcPr>
          <w:p>
            <w:pPr>
              <w:pStyle w:val="TableParagraph"/>
              <w:spacing w:before="47"/>
              <w:ind w:left="80"/>
              <w:jc w:val="left"/>
              <w:rPr>
                <w:sz w:val="14"/>
              </w:rPr>
            </w:pPr>
            <w:r>
              <w:rPr>
                <w:color w:val="231F20"/>
                <w:spacing w:val="-2"/>
                <w:w w:val="90"/>
                <w:sz w:val="14"/>
              </w:rPr>
              <w:t>Afghanistan</w:t>
            </w:r>
          </w:p>
        </w:tc>
        <w:tc>
          <w:tcPr>
            <w:tcW w:w="1801" w:type="dxa"/>
            <w:tcBorders>
              <w:top w:val="single" w:sz="4" w:space="0" w:color="008FDD"/>
            </w:tcBorders>
          </w:tcPr>
          <w:p>
            <w:pPr>
              <w:pStyle w:val="TableParagraph"/>
              <w:spacing w:before="47"/>
              <w:ind w:right="677"/>
              <w:jc w:val="right"/>
              <w:rPr>
                <w:sz w:val="14"/>
              </w:rPr>
            </w:pPr>
            <w:r>
              <w:rPr>
                <w:color w:val="231F20"/>
                <w:spacing w:val="-5"/>
                <w:w w:val="85"/>
                <w:sz w:val="14"/>
              </w:rPr>
              <w:t>Yes</w:t>
            </w:r>
          </w:p>
        </w:tc>
        <w:tc>
          <w:tcPr>
            <w:tcW w:w="1535" w:type="dxa"/>
            <w:tcBorders>
              <w:top w:val="single" w:sz="4" w:space="0" w:color="008FDD"/>
            </w:tcBorders>
          </w:tcPr>
          <w:p>
            <w:pPr>
              <w:pStyle w:val="TableParagraph"/>
              <w:spacing w:before="47"/>
              <w:ind w:left="10" w:right="4"/>
              <w:rPr>
                <w:sz w:val="14"/>
              </w:rPr>
            </w:pPr>
            <w:r>
              <w:rPr>
                <w:color w:val="231F20"/>
                <w:spacing w:val="-5"/>
                <w:w w:val="85"/>
                <w:sz w:val="14"/>
              </w:rPr>
              <w:t>No</w:t>
            </w:r>
          </w:p>
        </w:tc>
        <w:tc>
          <w:tcPr>
            <w:tcW w:w="1535" w:type="dxa"/>
            <w:tcBorders>
              <w:top w:val="single" w:sz="4" w:space="0" w:color="008FDD"/>
            </w:tcBorders>
          </w:tcPr>
          <w:p>
            <w:pPr>
              <w:pStyle w:val="TableParagraph"/>
              <w:spacing w:before="47"/>
              <w:ind w:left="10" w:right="5"/>
              <w:rPr>
                <w:sz w:val="14"/>
              </w:rPr>
            </w:pPr>
            <w:r>
              <w:rPr>
                <w:color w:val="231F20"/>
                <w:spacing w:val="-5"/>
                <w:w w:val="85"/>
                <w:sz w:val="14"/>
              </w:rPr>
              <w:t>Yes</w:t>
            </w:r>
          </w:p>
        </w:tc>
        <w:tc>
          <w:tcPr>
            <w:tcW w:w="1535" w:type="dxa"/>
            <w:tcBorders>
              <w:top w:val="single" w:sz="4" w:space="0" w:color="008FDD"/>
            </w:tcBorders>
          </w:tcPr>
          <w:p>
            <w:pPr>
              <w:pStyle w:val="TableParagraph"/>
              <w:spacing w:before="47"/>
              <w:ind w:left="10"/>
              <w:rPr>
                <w:sz w:val="14"/>
              </w:rPr>
            </w:pPr>
            <w:r>
              <w:rPr>
                <w:color w:val="231F20"/>
                <w:spacing w:val="-5"/>
                <w:w w:val="85"/>
                <w:sz w:val="14"/>
              </w:rPr>
              <w:t>No</w:t>
            </w:r>
          </w:p>
        </w:tc>
      </w:tr>
      <w:tr>
        <w:trPr>
          <w:trHeight w:val="259" w:hRule="atLeast"/>
        </w:trPr>
        <w:tc>
          <w:tcPr>
            <w:tcW w:w="1270" w:type="dxa"/>
            <w:shd w:val="clear" w:color="auto" w:fill="D4E3F5"/>
          </w:tcPr>
          <w:p>
            <w:pPr>
              <w:pStyle w:val="TableParagraph"/>
              <w:ind w:left="80"/>
              <w:jc w:val="left"/>
              <w:rPr>
                <w:sz w:val="14"/>
              </w:rPr>
            </w:pPr>
            <w:r>
              <w:rPr>
                <w:color w:val="231F20"/>
                <w:spacing w:val="-2"/>
                <w:w w:val="85"/>
                <w:sz w:val="14"/>
              </w:rPr>
              <w:t>Angola</w:t>
            </w:r>
          </w:p>
        </w:tc>
        <w:tc>
          <w:tcPr>
            <w:tcW w:w="1801" w:type="dxa"/>
            <w:shd w:val="clear" w:color="auto" w:fill="D4E3F5"/>
          </w:tcPr>
          <w:p>
            <w:pPr>
              <w:pStyle w:val="TableParagraph"/>
              <w:ind w:right="677"/>
              <w:jc w:val="right"/>
              <w:rPr>
                <w:sz w:val="14"/>
              </w:rPr>
            </w:pPr>
            <w:r>
              <w:rPr>
                <w:color w:val="231F20"/>
                <w:spacing w:val="-5"/>
                <w:w w:val="85"/>
                <w:sz w:val="14"/>
              </w:rPr>
              <w:t>Yes</w:t>
            </w:r>
          </w:p>
        </w:tc>
        <w:tc>
          <w:tcPr>
            <w:tcW w:w="1535" w:type="dxa"/>
            <w:shd w:val="clear" w:color="auto" w:fill="D4E3F5"/>
          </w:tcPr>
          <w:p>
            <w:pPr>
              <w:pStyle w:val="TableParagraph"/>
              <w:ind w:left="10" w:right="4"/>
              <w:rPr>
                <w:sz w:val="14"/>
              </w:rPr>
            </w:pPr>
            <w:r>
              <w:rPr>
                <w:color w:val="231F20"/>
                <w:spacing w:val="-5"/>
                <w:w w:val="85"/>
                <w:sz w:val="14"/>
              </w:rPr>
              <w:t>No</w:t>
            </w:r>
          </w:p>
        </w:tc>
        <w:tc>
          <w:tcPr>
            <w:tcW w:w="1535" w:type="dxa"/>
            <w:shd w:val="clear" w:color="auto" w:fill="D4E3F5"/>
          </w:tcPr>
          <w:p>
            <w:pPr>
              <w:pStyle w:val="TableParagraph"/>
              <w:ind w:left="10" w:right="2"/>
              <w:rPr>
                <w:sz w:val="14"/>
              </w:rPr>
            </w:pPr>
            <w:r>
              <w:rPr>
                <w:color w:val="231F20"/>
                <w:spacing w:val="-5"/>
                <w:w w:val="85"/>
                <w:sz w:val="14"/>
              </w:rPr>
              <w:t>No</w:t>
            </w:r>
          </w:p>
        </w:tc>
        <w:tc>
          <w:tcPr>
            <w:tcW w:w="1535" w:type="dxa"/>
            <w:shd w:val="clear" w:color="auto" w:fill="D4E3F5"/>
          </w:tcPr>
          <w:p>
            <w:pPr>
              <w:pStyle w:val="TableParagraph"/>
              <w:ind w:left="10"/>
              <w:rPr>
                <w:sz w:val="14"/>
              </w:rPr>
            </w:pPr>
            <w:r>
              <w:rPr>
                <w:color w:val="231F20"/>
                <w:spacing w:val="-5"/>
                <w:w w:val="85"/>
                <w:sz w:val="14"/>
              </w:rPr>
              <w:t>No</w:t>
            </w:r>
          </w:p>
        </w:tc>
      </w:tr>
      <w:tr>
        <w:trPr>
          <w:trHeight w:val="259" w:hRule="atLeast"/>
        </w:trPr>
        <w:tc>
          <w:tcPr>
            <w:tcW w:w="1270" w:type="dxa"/>
          </w:tcPr>
          <w:p>
            <w:pPr>
              <w:pStyle w:val="TableParagraph"/>
              <w:ind w:left="80"/>
              <w:jc w:val="left"/>
              <w:rPr>
                <w:sz w:val="14"/>
              </w:rPr>
            </w:pPr>
            <w:r>
              <w:rPr>
                <w:color w:val="231F20"/>
                <w:spacing w:val="-2"/>
                <w:w w:val="85"/>
                <w:sz w:val="14"/>
              </w:rPr>
              <w:t>Cambodia</w:t>
            </w:r>
          </w:p>
        </w:tc>
        <w:tc>
          <w:tcPr>
            <w:tcW w:w="1801" w:type="dxa"/>
          </w:tcPr>
          <w:p>
            <w:pPr>
              <w:pStyle w:val="TableParagraph"/>
              <w:ind w:right="691"/>
              <w:jc w:val="right"/>
              <w:rPr>
                <w:sz w:val="14"/>
              </w:rPr>
            </w:pPr>
            <w:r>
              <w:rPr>
                <w:color w:val="231F20"/>
                <w:spacing w:val="-5"/>
                <w:w w:val="85"/>
                <w:sz w:val="14"/>
              </w:rPr>
              <w:t>No</w:t>
            </w:r>
          </w:p>
        </w:tc>
        <w:tc>
          <w:tcPr>
            <w:tcW w:w="1535" w:type="dxa"/>
          </w:tcPr>
          <w:p>
            <w:pPr>
              <w:pStyle w:val="TableParagraph"/>
              <w:ind w:left="10" w:right="4"/>
              <w:rPr>
                <w:sz w:val="14"/>
              </w:rPr>
            </w:pPr>
            <w:r>
              <w:rPr>
                <w:color w:val="231F20"/>
                <w:spacing w:val="-5"/>
                <w:w w:val="85"/>
                <w:sz w:val="14"/>
              </w:rPr>
              <w:t>No</w:t>
            </w:r>
          </w:p>
        </w:tc>
        <w:tc>
          <w:tcPr>
            <w:tcW w:w="1535" w:type="dxa"/>
          </w:tcPr>
          <w:p>
            <w:pPr>
              <w:pStyle w:val="TableParagraph"/>
              <w:ind w:left="10" w:right="2"/>
              <w:rPr>
                <w:sz w:val="14"/>
              </w:rPr>
            </w:pPr>
            <w:r>
              <w:rPr>
                <w:color w:val="231F20"/>
                <w:spacing w:val="-5"/>
                <w:w w:val="85"/>
                <w:sz w:val="14"/>
              </w:rPr>
              <w:t>No</w:t>
            </w:r>
          </w:p>
        </w:tc>
        <w:tc>
          <w:tcPr>
            <w:tcW w:w="1535" w:type="dxa"/>
          </w:tcPr>
          <w:p>
            <w:pPr>
              <w:pStyle w:val="TableParagraph"/>
              <w:ind w:left="10"/>
              <w:rPr>
                <w:sz w:val="14"/>
              </w:rPr>
            </w:pPr>
            <w:r>
              <w:rPr>
                <w:color w:val="231F20"/>
                <w:spacing w:val="-5"/>
                <w:w w:val="85"/>
                <w:sz w:val="14"/>
              </w:rPr>
              <w:t>No</w:t>
            </w:r>
          </w:p>
        </w:tc>
      </w:tr>
      <w:tr>
        <w:trPr>
          <w:trHeight w:val="259" w:hRule="atLeast"/>
        </w:trPr>
        <w:tc>
          <w:tcPr>
            <w:tcW w:w="1270" w:type="dxa"/>
            <w:shd w:val="clear" w:color="auto" w:fill="D4E3F5"/>
          </w:tcPr>
          <w:p>
            <w:pPr>
              <w:pStyle w:val="TableParagraph"/>
              <w:ind w:left="80"/>
              <w:jc w:val="left"/>
              <w:rPr>
                <w:sz w:val="14"/>
              </w:rPr>
            </w:pPr>
            <w:r>
              <w:rPr>
                <w:color w:val="231F20"/>
                <w:spacing w:val="-2"/>
                <w:w w:val="85"/>
                <w:sz w:val="14"/>
              </w:rPr>
              <w:t>Cameroon</w:t>
            </w:r>
          </w:p>
        </w:tc>
        <w:tc>
          <w:tcPr>
            <w:tcW w:w="1801" w:type="dxa"/>
            <w:shd w:val="clear" w:color="auto" w:fill="D4E3F5"/>
          </w:tcPr>
          <w:p>
            <w:pPr>
              <w:pStyle w:val="TableParagraph"/>
              <w:ind w:right="691"/>
              <w:jc w:val="right"/>
              <w:rPr>
                <w:sz w:val="14"/>
              </w:rPr>
            </w:pPr>
            <w:r>
              <w:rPr>
                <w:color w:val="231F20"/>
                <w:spacing w:val="-5"/>
                <w:w w:val="85"/>
                <w:sz w:val="14"/>
              </w:rPr>
              <w:t>No</w:t>
            </w:r>
          </w:p>
        </w:tc>
        <w:tc>
          <w:tcPr>
            <w:tcW w:w="1535" w:type="dxa"/>
            <w:shd w:val="clear" w:color="auto" w:fill="D4E3F5"/>
          </w:tcPr>
          <w:p>
            <w:pPr>
              <w:pStyle w:val="TableParagraph"/>
              <w:ind w:left="10" w:right="4"/>
              <w:rPr>
                <w:sz w:val="14"/>
              </w:rPr>
            </w:pPr>
            <w:r>
              <w:rPr>
                <w:color w:val="231F20"/>
                <w:spacing w:val="-5"/>
                <w:w w:val="85"/>
                <w:sz w:val="14"/>
              </w:rPr>
              <w:t>No</w:t>
            </w:r>
          </w:p>
        </w:tc>
        <w:tc>
          <w:tcPr>
            <w:tcW w:w="1535" w:type="dxa"/>
            <w:shd w:val="clear" w:color="auto" w:fill="D4E3F5"/>
          </w:tcPr>
          <w:p>
            <w:pPr>
              <w:pStyle w:val="TableParagraph"/>
              <w:ind w:left="10" w:right="2"/>
              <w:rPr>
                <w:sz w:val="14"/>
              </w:rPr>
            </w:pPr>
            <w:r>
              <w:rPr>
                <w:color w:val="231F20"/>
                <w:spacing w:val="-5"/>
                <w:w w:val="85"/>
                <w:sz w:val="14"/>
              </w:rPr>
              <w:t>No</w:t>
            </w:r>
          </w:p>
        </w:tc>
        <w:tc>
          <w:tcPr>
            <w:tcW w:w="1535" w:type="dxa"/>
            <w:shd w:val="clear" w:color="auto" w:fill="D4E3F5"/>
          </w:tcPr>
          <w:p>
            <w:pPr>
              <w:pStyle w:val="TableParagraph"/>
              <w:ind w:left="10"/>
              <w:rPr>
                <w:sz w:val="14"/>
              </w:rPr>
            </w:pPr>
            <w:r>
              <w:rPr>
                <w:color w:val="231F20"/>
                <w:spacing w:val="-5"/>
                <w:w w:val="85"/>
                <w:sz w:val="14"/>
              </w:rPr>
              <w:t>No</w:t>
            </w:r>
          </w:p>
        </w:tc>
      </w:tr>
      <w:tr>
        <w:trPr>
          <w:trHeight w:val="259" w:hRule="atLeast"/>
        </w:trPr>
        <w:tc>
          <w:tcPr>
            <w:tcW w:w="1270" w:type="dxa"/>
          </w:tcPr>
          <w:p>
            <w:pPr>
              <w:pStyle w:val="TableParagraph"/>
              <w:ind w:left="80"/>
              <w:jc w:val="left"/>
              <w:rPr>
                <w:sz w:val="14"/>
              </w:rPr>
            </w:pPr>
            <w:r>
              <w:rPr>
                <w:color w:val="231F20"/>
                <w:spacing w:val="-4"/>
                <w:w w:val="85"/>
                <w:sz w:val="14"/>
              </w:rPr>
              <w:t>Cuba</w:t>
            </w:r>
          </w:p>
        </w:tc>
        <w:tc>
          <w:tcPr>
            <w:tcW w:w="1801" w:type="dxa"/>
          </w:tcPr>
          <w:p>
            <w:pPr>
              <w:pStyle w:val="TableParagraph"/>
              <w:ind w:right="691"/>
              <w:jc w:val="right"/>
              <w:rPr>
                <w:sz w:val="14"/>
              </w:rPr>
            </w:pPr>
            <w:r>
              <w:rPr>
                <w:color w:val="231F20"/>
                <w:spacing w:val="-5"/>
                <w:w w:val="85"/>
                <w:sz w:val="14"/>
              </w:rPr>
              <w:t>No</w:t>
            </w:r>
          </w:p>
        </w:tc>
        <w:tc>
          <w:tcPr>
            <w:tcW w:w="1535" w:type="dxa"/>
          </w:tcPr>
          <w:p>
            <w:pPr>
              <w:pStyle w:val="TableParagraph"/>
              <w:ind w:left="10" w:right="4"/>
              <w:rPr>
                <w:sz w:val="14"/>
              </w:rPr>
            </w:pPr>
            <w:r>
              <w:rPr>
                <w:color w:val="231F20"/>
                <w:spacing w:val="-5"/>
                <w:w w:val="85"/>
                <w:sz w:val="14"/>
              </w:rPr>
              <w:t>No</w:t>
            </w:r>
          </w:p>
        </w:tc>
        <w:tc>
          <w:tcPr>
            <w:tcW w:w="1535" w:type="dxa"/>
          </w:tcPr>
          <w:p>
            <w:pPr>
              <w:pStyle w:val="TableParagraph"/>
              <w:ind w:left="10" w:right="5"/>
              <w:rPr>
                <w:sz w:val="14"/>
              </w:rPr>
            </w:pPr>
            <w:r>
              <w:rPr>
                <w:color w:val="231F20"/>
                <w:spacing w:val="-5"/>
                <w:w w:val="85"/>
                <w:sz w:val="14"/>
              </w:rPr>
              <w:t>Yes</w:t>
            </w:r>
          </w:p>
        </w:tc>
        <w:tc>
          <w:tcPr>
            <w:tcW w:w="1535" w:type="dxa"/>
          </w:tcPr>
          <w:p>
            <w:pPr>
              <w:pStyle w:val="TableParagraph"/>
              <w:ind w:left="10"/>
              <w:rPr>
                <w:sz w:val="14"/>
              </w:rPr>
            </w:pPr>
            <w:r>
              <w:rPr>
                <w:color w:val="231F20"/>
                <w:spacing w:val="-5"/>
                <w:w w:val="85"/>
                <w:sz w:val="14"/>
              </w:rPr>
              <w:t>No</w:t>
            </w:r>
          </w:p>
        </w:tc>
      </w:tr>
      <w:tr>
        <w:trPr>
          <w:trHeight w:val="259" w:hRule="atLeast"/>
        </w:trPr>
        <w:tc>
          <w:tcPr>
            <w:tcW w:w="1270" w:type="dxa"/>
            <w:shd w:val="clear" w:color="auto" w:fill="D4E3F5"/>
          </w:tcPr>
          <w:p>
            <w:pPr>
              <w:pStyle w:val="TableParagraph"/>
              <w:ind w:left="80"/>
              <w:jc w:val="left"/>
              <w:rPr>
                <w:sz w:val="14"/>
              </w:rPr>
            </w:pPr>
            <w:r>
              <w:rPr>
                <w:color w:val="231F20"/>
                <w:w w:val="75"/>
                <w:sz w:val="14"/>
              </w:rPr>
              <w:t>Gambia,</w:t>
            </w:r>
            <w:r>
              <w:rPr>
                <w:color w:val="231F20"/>
                <w:spacing w:val="16"/>
                <w:sz w:val="14"/>
              </w:rPr>
              <w:t> </w:t>
            </w:r>
            <w:r>
              <w:rPr>
                <w:color w:val="231F20"/>
                <w:spacing w:val="-5"/>
                <w:w w:val="80"/>
                <w:sz w:val="14"/>
              </w:rPr>
              <w:t>The</w:t>
            </w:r>
          </w:p>
        </w:tc>
        <w:tc>
          <w:tcPr>
            <w:tcW w:w="1801" w:type="dxa"/>
            <w:shd w:val="clear" w:color="auto" w:fill="D4E3F5"/>
          </w:tcPr>
          <w:p>
            <w:pPr>
              <w:pStyle w:val="TableParagraph"/>
              <w:ind w:right="691"/>
              <w:jc w:val="right"/>
              <w:rPr>
                <w:sz w:val="14"/>
              </w:rPr>
            </w:pPr>
            <w:r>
              <w:rPr>
                <w:color w:val="231F20"/>
                <w:spacing w:val="-5"/>
                <w:w w:val="85"/>
                <w:sz w:val="14"/>
              </w:rPr>
              <w:t>No</w:t>
            </w:r>
          </w:p>
        </w:tc>
        <w:tc>
          <w:tcPr>
            <w:tcW w:w="1535" w:type="dxa"/>
            <w:shd w:val="clear" w:color="auto" w:fill="D4E3F5"/>
          </w:tcPr>
          <w:p>
            <w:pPr>
              <w:pStyle w:val="TableParagraph"/>
              <w:ind w:left="10" w:right="6"/>
              <w:rPr>
                <w:sz w:val="14"/>
              </w:rPr>
            </w:pPr>
            <w:r>
              <w:rPr>
                <w:color w:val="231F20"/>
                <w:spacing w:val="-5"/>
                <w:w w:val="90"/>
                <w:sz w:val="14"/>
              </w:rPr>
              <w:t>na</w:t>
            </w:r>
          </w:p>
        </w:tc>
        <w:tc>
          <w:tcPr>
            <w:tcW w:w="1535" w:type="dxa"/>
            <w:shd w:val="clear" w:color="auto" w:fill="D4E3F5"/>
          </w:tcPr>
          <w:p>
            <w:pPr>
              <w:pStyle w:val="TableParagraph"/>
              <w:ind w:left="10" w:right="2"/>
              <w:rPr>
                <w:sz w:val="14"/>
              </w:rPr>
            </w:pPr>
            <w:r>
              <w:rPr>
                <w:color w:val="231F20"/>
                <w:spacing w:val="-5"/>
                <w:w w:val="85"/>
                <w:sz w:val="14"/>
              </w:rPr>
              <w:t>No</w:t>
            </w:r>
          </w:p>
        </w:tc>
        <w:tc>
          <w:tcPr>
            <w:tcW w:w="1535" w:type="dxa"/>
            <w:shd w:val="clear" w:color="auto" w:fill="D4E3F5"/>
          </w:tcPr>
          <w:p>
            <w:pPr>
              <w:pStyle w:val="TableParagraph"/>
              <w:ind w:left="10"/>
              <w:rPr>
                <w:sz w:val="14"/>
              </w:rPr>
            </w:pPr>
            <w:r>
              <w:rPr>
                <w:color w:val="231F20"/>
                <w:spacing w:val="-5"/>
                <w:w w:val="85"/>
                <w:sz w:val="14"/>
              </w:rPr>
              <w:t>No</w:t>
            </w:r>
          </w:p>
        </w:tc>
      </w:tr>
      <w:tr>
        <w:trPr>
          <w:trHeight w:val="259" w:hRule="atLeast"/>
        </w:trPr>
        <w:tc>
          <w:tcPr>
            <w:tcW w:w="1270" w:type="dxa"/>
          </w:tcPr>
          <w:p>
            <w:pPr>
              <w:pStyle w:val="TableParagraph"/>
              <w:ind w:left="80"/>
              <w:jc w:val="left"/>
              <w:rPr>
                <w:sz w:val="14"/>
              </w:rPr>
            </w:pPr>
            <w:r>
              <w:rPr>
                <w:color w:val="231F20"/>
                <w:spacing w:val="-2"/>
                <w:w w:val="90"/>
                <w:sz w:val="14"/>
              </w:rPr>
              <w:t>Haiti</w:t>
            </w:r>
          </w:p>
        </w:tc>
        <w:tc>
          <w:tcPr>
            <w:tcW w:w="1801" w:type="dxa"/>
          </w:tcPr>
          <w:p>
            <w:pPr>
              <w:pStyle w:val="TableParagraph"/>
              <w:ind w:right="677"/>
              <w:jc w:val="right"/>
              <w:rPr>
                <w:sz w:val="14"/>
              </w:rPr>
            </w:pPr>
            <w:r>
              <w:rPr>
                <w:color w:val="231F20"/>
                <w:spacing w:val="-5"/>
                <w:w w:val="85"/>
                <w:sz w:val="14"/>
              </w:rPr>
              <w:t>Yes</w:t>
            </w:r>
          </w:p>
        </w:tc>
        <w:tc>
          <w:tcPr>
            <w:tcW w:w="1535" w:type="dxa"/>
          </w:tcPr>
          <w:p>
            <w:pPr>
              <w:pStyle w:val="TableParagraph"/>
              <w:ind w:left="10" w:right="7"/>
              <w:rPr>
                <w:sz w:val="14"/>
              </w:rPr>
            </w:pPr>
            <w:r>
              <w:rPr>
                <w:color w:val="231F20"/>
                <w:spacing w:val="-5"/>
                <w:w w:val="85"/>
                <w:sz w:val="14"/>
              </w:rPr>
              <w:t>Yes</w:t>
            </w:r>
          </w:p>
        </w:tc>
        <w:tc>
          <w:tcPr>
            <w:tcW w:w="1535" w:type="dxa"/>
          </w:tcPr>
          <w:p>
            <w:pPr>
              <w:pStyle w:val="TableParagraph"/>
              <w:ind w:left="10" w:right="2"/>
              <w:rPr>
                <w:sz w:val="14"/>
              </w:rPr>
            </w:pPr>
            <w:r>
              <w:rPr>
                <w:color w:val="231F20"/>
                <w:spacing w:val="-5"/>
                <w:w w:val="85"/>
                <w:sz w:val="14"/>
              </w:rPr>
              <w:t>No</w:t>
            </w:r>
          </w:p>
        </w:tc>
        <w:tc>
          <w:tcPr>
            <w:tcW w:w="1535" w:type="dxa"/>
          </w:tcPr>
          <w:p>
            <w:pPr>
              <w:pStyle w:val="TableParagraph"/>
              <w:ind w:left="10" w:right="3"/>
              <w:rPr>
                <w:sz w:val="14"/>
              </w:rPr>
            </w:pPr>
            <w:r>
              <w:rPr>
                <w:color w:val="231F20"/>
                <w:spacing w:val="-5"/>
                <w:w w:val="85"/>
                <w:sz w:val="14"/>
              </w:rPr>
              <w:t>Yes</w:t>
            </w:r>
          </w:p>
        </w:tc>
      </w:tr>
      <w:tr>
        <w:trPr>
          <w:trHeight w:val="259" w:hRule="atLeast"/>
        </w:trPr>
        <w:tc>
          <w:tcPr>
            <w:tcW w:w="1270" w:type="dxa"/>
            <w:shd w:val="clear" w:color="auto" w:fill="D4E3F5"/>
          </w:tcPr>
          <w:p>
            <w:pPr>
              <w:pStyle w:val="TableParagraph"/>
              <w:ind w:left="80"/>
              <w:jc w:val="left"/>
              <w:rPr>
                <w:sz w:val="14"/>
              </w:rPr>
            </w:pPr>
            <w:r>
              <w:rPr>
                <w:color w:val="231F20"/>
                <w:spacing w:val="-2"/>
                <w:w w:val="90"/>
                <w:sz w:val="14"/>
              </w:rPr>
              <w:t>Libya</w:t>
            </w:r>
          </w:p>
        </w:tc>
        <w:tc>
          <w:tcPr>
            <w:tcW w:w="1801" w:type="dxa"/>
            <w:shd w:val="clear" w:color="auto" w:fill="D4E3F5"/>
          </w:tcPr>
          <w:p>
            <w:pPr>
              <w:pStyle w:val="TableParagraph"/>
              <w:ind w:right="677"/>
              <w:jc w:val="right"/>
              <w:rPr>
                <w:sz w:val="14"/>
              </w:rPr>
            </w:pPr>
            <w:r>
              <w:rPr>
                <w:color w:val="231F20"/>
                <w:spacing w:val="-5"/>
                <w:w w:val="85"/>
                <w:sz w:val="14"/>
              </w:rPr>
              <w:t>Yes</w:t>
            </w:r>
          </w:p>
        </w:tc>
        <w:tc>
          <w:tcPr>
            <w:tcW w:w="1535" w:type="dxa"/>
            <w:shd w:val="clear" w:color="auto" w:fill="D4E3F5"/>
          </w:tcPr>
          <w:p>
            <w:pPr>
              <w:pStyle w:val="TableParagraph"/>
              <w:ind w:left="10" w:right="4"/>
              <w:rPr>
                <w:sz w:val="14"/>
              </w:rPr>
            </w:pPr>
            <w:r>
              <w:rPr>
                <w:color w:val="231F20"/>
                <w:spacing w:val="-5"/>
                <w:w w:val="85"/>
                <w:sz w:val="14"/>
              </w:rPr>
              <w:t>No</w:t>
            </w:r>
          </w:p>
        </w:tc>
        <w:tc>
          <w:tcPr>
            <w:tcW w:w="1535" w:type="dxa"/>
            <w:shd w:val="clear" w:color="auto" w:fill="D4E3F5"/>
          </w:tcPr>
          <w:p>
            <w:pPr>
              <w:pStyle w:val="TableParagraph"/>
              <w:ind w:left="10" w:right="2"/>
              <w:rPr>
                <w:sz w:val="14"/>
              </w:rPr>
            </w:pPr>
            <w:r>
              <w:rPr>
                <w:color w:val="231F20"/>
                <w:spacing w:val="-5"/>
                <w:w w:val="85"/>
                <w:sz w:val="14"/>
              </w:rPr>
              <w:t>No</w:t>
            </w:r>
          </w:p>
        </w:tc>
        <w:tc>
          <w:tcPr>
            <w:tcW w:w="1535" w:type="dxa"/>
            <w:shd w:val="clear" w:color="auto" w:fill="D4E3F5"/>
          </w:tcPr>
          <w:p>
            <w:pPr>
              <w:pStyle w:val="TableParagraph"/>
              <w:ind w:left="10"/>
              <w:rPr>
                <w:sz w:val="14"/>
              </w:rPr>
            </w:pPr>
            <w:r>
              <w:rPr>
                <w:color w:val="231F20"/>
                <w:spacing w:val="-5"/>
                <w:w w:val="85"/>
                <w:sz w:val="14"/>
              </w:rPr>
              <w:t>No</w:t>
            </w:r>
          </w:p>
        </w:tc>
      </w:tr>
      <w:tr>
        <w:trPr>
          <w:trHeight w:val="259" w:hRule="atLeast"/>
        </w:trPr>
        <w:tc>
          <w:tcPr>
            <w:tcW w:w="1270" w:type="dxa"/>
          </w:tcPr>
          <w:p>
            <w:pPr>
              <w:pStyle w:val="TableParagraph"/>
              <w:ind w:left="80"/>
              <w:jc w:val="left"/>
              <w:rPr>
                <w:sz w:val="14"/>
              </w:rPr>
            </w:pPr>
            <w:r>
              <w:rPr>
                <w:color w:val="231F20"/>
                <w:spacing w:val="-2"/>
                <w:w w:val="90"/>
                <w:sz w:val="14"/>
              </w:rPr>
              <w:t>Somalia</w:t>
            </w:r>
          </w:p>
        </w:tc>
        <w:tc>
          <w:tcPr>
            <w:tcW w:w="1801" w:type="dxa"/>
          </w:tcPr>
          <w:p>
            <w:pPr>
              <w:pStyle w:val="TableParagraph"/>
              <w:ind w:right="691"/>
              <w:jc w:val="right"/>
              <w:rPr>
                <w:sz w:val="14"/>
              </w:rPr>
            </w:pPr>
            <w:r>
              <w:rPr>
                <w:color w:val="231F20"/>
                <w:spacing w:val="-5"/>
                <w:w w:val="85"/>
                <w:sz w:val="14"/>
              </w:rPr>
              <w:t>No</w:t>
            </w:r>
          </w:p>
        </w:tc>
        <w:tc>
          <w:tcPr>
            <w:tcW w:w="1535" w:type="dxa"/>
          </w:tcPr>
          <w:p>
            <w:pPr>
              <w:pStyle w:val="TableParagraph"/>
              <w:ind w:left="10" w:right="7"/>
              <w:rPr>
                <w:sz w:val="14"/>
              </w:rPr>
            </w:pPr>
            <w:r>
              <w:rPr>
                <w:color w:val="231F20"/>
                <w:spacing w:val="-5"/>
                <w:w w:val="85"/>
                <w:sz w:val="14"/>
              </w:rPr>
              <w:t>Yes</w:t>
            </w:r>
          </w:p>
        </w:tc>
        <w:tc>
          <w:tcPr>
            <w:tcW w:w="1535" w:type="dxa"/>
          </w:tcPr>
          <w:p>
            <w:pPr>
              <w:pStyle w:val="TableParagraph"/>
              <w:ind w:left="10" w:right="5"/>
              <w:rPr>
                <w:sz w:val="14"/>
              </w:rPr>
            </w:pPr>
            <w:r>
              <w:rPr>
                <w:color w:val="231F20"/>
                <w:spacing w:val="-5"/>
                <w:w w:val="85"/>
                <w:sz w:val="14"/>
              </w:rPr>
              <w:t>Yes</w:t>
            </w:r>
          </w:p>
        </w:tc>
        <w:tc>
          <w:tcPr>
            <w:tcW w:w="1535" w:type="dxa"/>
          </w:tcPr>
          <w:p>
            <w:pPr>
              <w:pStyle w:val="TableParagraph"/>
              <w:ind w:left="10" w:right="2"/>
              <w:rPr>
                <w:sz w:val="14"/>
              </w:rPr>
            </w:pPr>
            <w:r>
              <w:rPr>
                <w:color w:val="231F20"/>
                <w:spacing w:val="-5"/>
                <w:w w:val="90"/>
                <w:sz w:val="14"/>
              </w:rPr>
              <w:t>na</w:t>
            </w:r>
          </w:p>
        </w:tc>
      </w:tr>
      <w:tr>
        <w:trPr>
          <w:trHeight w:val="254" w:hRule="atLeast"/>
        </w:trPr>
        <w:tc>
          <w:tcPr>
            <w:tcW w:w="1270" w:type="dxa"/>
            <w:tcBorders>
              <w:bottom w:val="single" w:sz="4" w:space="0" w:color="008FDD"/>
            </w:tcBorders>
            <w:shd w:val="clear" w:color="auto" w:fill="D4E3F5"/>
          </w:tcPr>
          <w:p>
            <w:pPr>
              <w:pStyle w:val="TableParagraph"/>
              <w:ind w:left="80"/>
              <w:jc w:val="left"/>
              <w:rPr>
                <w:sz w:val="14"/>
              </w:rPr>
            </w:pPr>
            <w:r>
              <w:rPr>
                <w:color w:val="231F20"/>
                <w:w w:val="75"/>
                <w:sz w:val="14"/>
              </w:rPr>
              <w:t>Yemen,</w:t>
            </w:r>
            <w:r>
              <w:rPr>
                <w:color w:val="231F20"/>
                <w:spacing w:val="2"/>
                <w:sz w:val="14"/>
              </w:rPr>
              <w:t> </w:t>
            </w:r>
            <w:r>
              <w:rPr>
                <w:color w:val="231F20"/>
                <w:spacing w:val="-4"/>
                <w:w w:val="90"/>
                <w:sz w:val="14"/>
              </w:rPr>
              <w:t>Rep.</w:t>
            </w:r>
          </w:p>
        </w:tc>
        <w:tc>
          <w:tcPr>
            <w:tcW w:w="1801" w:type="dxa"/>
            <w:tcBorders>
              <w:bottom w:val="single" w:sz="4" w:space="0" w:color="008FDD"/>
            </w:tcBorders>
            <w:shd w:val="clear" w:color="auto" w:fill="D4E3F5"/>
          </w:tcPr>
          <w:p>
            <w:pPr>
              <w:pStyle w:val="TableParagraph"/>
              <w:ind w:right="691"/>
              <w:jc w:val="right"/>
              <w:rPr>
                <w:sz w:val="14"/>
              </w:rPr>
            </w:pPr>
            <w:r>
              <w:rPr>
                <w:color w:val="231F20"/>
                <w:spacing w:val="-5"/>
                <w:w w:val="85"/>
                <w:sz w:val="14"/>
              </w:rPr>
              <w:t>No</w:t>
            </w:r>
          </w:p>
        </w:tc>
        <w:tc>
          <w:tcPr>
            <w:tcW w:w="1535" w:type="dxa"/>
            <w:tcBorders>
              <w:bottom w:val="single" w:sz="4" w:space="0" w:color="008FDD"/>
            </w:tcBorders>
            <w:shd w:val="clear" w:color="auto" w:fill="D4E3F5"/>
          </w:tcPr>
          <w:p>
            <w:pPr>
              <w:pStyle w:val="TableParagraph"/>
              <w:ind w:left="10" w:right="6"/>
              <w:rPr>
                <w:sz w:val="14"/>
              </w:rPr>
            </w:pPr>
            <w:r>
              <w:rPr>
                <w:color w:val="231F20"/>
                <w:spacing w:val="-5"/>
                <w:w w:val="90"/>
                <w:sz w:val="14"/>
              </w:rPr>
              <w:t>na</w:t>
            </w:r>
          </w:p>
        </w:tc>
        <w:tc>
          <w:tcPr>
            <w:tcW w:w="1535" w:type="dxa"/>
            <w:tcBorders>
              <w:bottom w:val="single" w:sz="4" w:space="0" w:color="008FDD"/>
            </w:tcBorders>
            <w:shd w:val="clear" w:color="auto" w:fill="D4E3F5"/>
          </w:tcPr>
          <w:p>
            <w:pPr>
              <w:pStyle w:val="TableParagraph"/>
              <w:ind w:left="10" w:right="5"/>
              <w:rPr>
                <w:sz w:val="14"/>
              </w:rPr>
            </w:pPr>
            <w:r>
              <w:rPr>
                <w:color w:val="231F20"/>
                <w:spacing w:val="-5"/>
                <w:w w:val="85"/>
                <w:sz w:val="14"/>
              </w:rPr>
              <w:t>Yes</w:t>
            </w:r>
          </w:p>
        </w:tc>
        <w:tc>
          <w:tcPr>
            <w:tcW w:w="1535" w:type="dxa"/>
            <w:tcBorders>
              <w:bottom w:val="single" w:sz="4" w:space="0" w:color="008FDD"/>
            </w:tcBorders>
            <w:shd w:val="clear" w:color="auto" w:fill="D4E3F5"/>
          </w:tcPr>
          <w:p>
            <w:pPr>
              <w:pStyle w:val="TableParagraph"/>
              <w:ind w:left="10"/>
              <w:rPr>
                <w:sz w:val="14"/>
              </w:rPr>
            </w:pPr>
            <w:r>
              <w:rPr>
                <w:color w:val="231F20"/>
                <w:spacing w:val="-5"/>
                <w:w w:val="85"/>
                <w:sz w:val="14"/>
              </w:rPr>
              <w:t>No</w:t>
            </w:r>
          </w:p>
        </w:tc>
      </w:tr>
    </w:tbl>
    <w:p>
      <w:pPr>
        <w:pStyle w:val="BodyText"/>
        <w:spacing w:before="51"/>
        <w:rPr>
          <w:rFonts w:ascii="Arial"/>
          <w:sz w:val="12"/>
        </w:rPr>
      </w:pPr>
    </w:p>
    <w:p>
      <w:pPr>
        <w:spacing w:before="0"/>
        <w:ind w:left="3360" w:right="0" w:firstLine="0"/>
        <w:jc w:val="left"/>
        <w:rPr>
          <w:rFonts w:ascii="Arial"/>
          <w:sz w:val="12"/>
        </w:rPr>
      </w:pPr>
      <w:r>
        <w:rPr>
          <w:rFonts w:ascii="Arial"/>
          <w:i/>
          <w:color w:val="231F20"/>
          <w:w w:val="75"/>
          <w:sz w:val="12"/>
        </w:rPr>
        <w:t>Source:</w:t>
      </w:r>
      <w:r>
        <w:rPr>
          <w:rFonts w:ascii="Arial"/>
          <w:i/>
          <w:color w:val="231F20"/>
          <w:spacing w:val="7"/>
          <w:sz w:val="12"/>
        </w:rPr>
        <w:t> </w:t>
      </w:r>
      <w:r>
        <w:rPr>
          <w:rFonts w:ascii="Arial"/>
          <w:color w:val="231F20"/>
          <w:w w:val="75"/>
          <w:sz w:val="12"/>
        </w:rPr>
        <w:t>World</w:t>
      </w:r>
      <w:r>
        <w:rPr>
          <w:rFonts w:ascii="Arial"/>
          <w:color w:val="231F20"/>
          <w:spacing w:val="8"/>
          <w:sz w:val="12"/>
        </w:rPr>
        <w:t> </w:t>
      </w:r>
      <w:r>
        <w:rPr>
          <w:rFonts w:ascii="Arial"/>
          <w:color w:val="231F20"/>
          <w:spacing w:val="-2"/>
          <w:w w:val="75"/>
          <w:sz w:val="12"/>
        </w:rPr>
        <w:t>Bank.</w:t>
      </w:r>
    </w:p>
    <w:p>
      <w:pPr>
        <w:spacing w:before="22"/>
        <w:ind w:left="3360" w:right="0" w:firstLine="0"/>
        <w:jc w:val="left"/>
        <w:rPr>
          <w:rFonts w:ascii="Arial"/>
          <w:sz w:val="12"/>
        </w:rPr>
      </w:pPr>
      <w:r>
        <w:rPr>
          <w:rFonts w:ascii="Arial"/>
          <w:i/>
          <w:color w:val="231F20"/>
          <w:w w:val="75"/>
          <w:sz w:val="12"/>
        </w:rPr>
        <w:t>Note:</w:t>
      </w:r>
      <w:r>
        <w:rPr>
          <w:rFonts w:ascii="Arial"/>
          <w:i/>
          <w:color w:val="231F20"/>
          <w:spacing w:val="9"/>
          <w:sz w:val="12"/>
        </w:rPr>
        <w:t> </w:t>
      </w:r>
      <w:r>
        <w:rPr>
          <w:rFonts w:ascii="Arial"/>
          <w:color w:val="231F20"/>
          <w:w w:val="75"/>
          <w:sz w:val="12"/>
        </w:rPr>
        <w:t>Countries</w:t>
      </w:r>
      <w:r>
        <w:rPr>
          <w:rFonts w:ascii="Arial"/>
          <w:color w:val="231F20"/>
          <w:spacing w:val="10"/>
          <w:sz w:val="12"/>
        </w:rPr>
        <w:t> </w:t>
      </w:r>
      <w:r>
        <w:rPr>
          <w:rFonts w:ascii="Arial"/>
          <w:color w:val="231F20"/>
          <w:w w:val="75"/>
          <w:sz w:val="12"/>
        </w:rPr>
        <w:t>are</w:t>
      </w:r>
      <w:r>
        <w:rPr>
          <w:rFonts w:ascii="Arial"/>
          <w:color w:val="231F20"/>
          <w:spacing w:val="10"/>
          <w:sz w:val="12"/>
        </w:rPr>
        <w:t> </w:t>
      </w:r>
      <w:r>
        <w:rPr>
          <w:rFonts w:ascii="Arial"/>
          <w:color w:val="231F20"/>
          <w:w w:val="75"/>
          <w:sz w:val="12"/>
        </w:rPr>
        <w:t>listed</w:t>
      </w:r>
      <w:r>
        <w:rPr>
          <w:rFonts w:ascii="Arial"/>
          <w:color w:val="231F20"/>
          <w:spacing w:val="9"/>
          <w:sz w:val="12"/>
        </w:rPr>
        <w:t> </w:t>
      </w:r>
      <w:r>
        <w:rPr>
          <w:rFonts w:ascii="Arial"/>
          <w:color w:val="231F20"/>
          <w:w w:val="75"/>
          <w:sz w:val="12"/>
        </w:rPr>
        <w:t>in</w:t>
      </w:r>
      <w:r>
        <w:rPr>
          <w:rFonts w:ascii="Arial"/>
          <w:color w:val="231F20"/>
          <w:spacing w:val="10"/>
          <w:sz w:val="12"/>
        </w:rPr>
        <w:t> </w:t>
      </w:r>
      <w:r>
        <w:rPr>
          <w:rFonts w:ascii="Arial"/>
          <w:color w:val="231F20"/>
          <w:w w:val="75"/>
          <w:sz w:val="12"/>
        </w:rPr>
        <w:t>alphabetical</w:t>
      </w:r>
      <w:r>
        <w:rPr>
          <w:rFonts w:ascii="Arial"/>
          <w:color w:val="231F20"/>
          <w:spacing w:val="10"/>
          <w:sz w:val="12"/>
        </w:rPr>
        <w:t> </w:t>
      </w:r>
      <w:r>
        <w:rPr>
          <w:rFonts w:ascii="Arial"/>
          <w:color w:val="231F20"/>
          <w:w w:val="75"/>
          <w:sz w:val="12"/>
        </w:rPr>
        <w:t>order.</w:t>
      </w:r>
      <w:r>
        <w:rPr>
          <w:rFonts w:ascii="Arial"/>
          <w:color w:val="231F20"/>
          <w:spacing w:val="9"/>
          <w:sz w:val="12"/>
        </w:rPr>
        <w:t> </w:t>
      </w:r>
      <w:r>
        <w:rPr>
          <w:rFonts w:ascii="Arial"/>
          <w:color w:val="231F20"/>
          <w:w w:val="75"/>
          <w:sz w:val="12"/>
        </w:rPr>
        <w:t>na</w:t>
      </w:r>
      <w:r>
        <w:rPr>
          <w:rFonts w:ascii="Arial"/>
          <w:color w:val="231F20"/>
          <w:spacing w:val="10"/>
          <w:sz w:val="12"/>
        </w:rPr>
        <w:t> </w:t>
      </w:r>
      <w:r>
        <w:rPr>
          <w:rFonts w:ascii="Arial"/>
          <w:color w:val="231F20"/>
          <w:w w:val="75"/>
          <w:sz w:val="12"/>
        </w:rPr>
        <w:t>is</w:t>
      </w:r>
      <w:r>
        <w:rPr>
          <w:rFonts w:ascii="Arial"/>
          <w:color w:val="231F20"/>
          <w:spacing w:val="10"/>
          <w:sz w:val="12"/>
        </w:rPr>
        <w:t> </w:t>
      </w:r>
      <w:r>
        <w:rPr>
          <w:rFonts w:ascii="Arial"/>
          <w:color w:val="231F20"/>
          <w:w w:val="75"/>
          <w:sz w:val="12"/>
        </w:rPr>
        <w:t>not</w:t>
      </w:r>
      <w:r>
        <w:rPr>
          <w:rFonts w:ascii="Arial"/>
          <w:color w:val="231F20"/>
          <w:spacing w:val="9"/>
          <w:sz w:val="12"/>
        </w:rPr>
        <w:t> </w:t>
      </w:r>
      <w:r>
        <w:rPr>
          <w:rFonts w:ascii="Arial"/>
          <w:color w:val="231F20"/>
          <w:w w:val="75"/>
          <w:sz w:val="12"/>
        </w:rPr>
        <w:t>applicable</w:t>
      </w:r>
      <w:r>
        <w:rPr>
          <w:rFonts w:ascii="Arial"/>
          <w:color w:val="231F20"/>
          <w:spacing w:val="10"/>
          <w:sz w:val="12"/>
        </w:rPr>
        <w:t> </w:t>
      </w:r>
      <w:r>
        <w:rPr>
          <w:rFonts w:ascii="Arial"/>
          <w:color w:val="231F20"/>
          <w:w w:val="75"/>
          <w:sz w:val="12"/>
        </w:rPr>
        <w:t>because</w:t>
      </w:r>
      <w:r>
        <w:rPr>
          <w:rFonts w:ascii="Arial"/>
          <w:color w:val="231F20"/>
          <w:spacing w:val="10"/>
          <w:sz w:val="12"/>
        </w:rPr>
        <w:t> </w:t>
      </w:r>
      <w:r>
        <w:rPr>
          <w:rFonts w:ascii="Arial"/>
          <w:color w:val="231F20"/>
          <w:w w:val="75"/>
          <w:sz w:val="12"/>
        </w:rPr>
        <w:t>an</w:t>
      </w:r>
      <w:r>
        <w:rPr>
          <w:rFonts w:ascii="Arial"/>
          <w:color w:val="231F20"/>
          <w:spacing w:val="9"/>
          <w:sz w:val="12"/>
        </w:rPr>
        <w:t> </w:t>
      </w:r>
      <w:r>
        <w:rPr>
          <w:rFonts w:ascii="Arial"/>
          <w:color w:val="231F20"/>
          <w:w w:val="75"/>
          <w:sz w:val="12"/>
        </w:rPr>
        <w:t>LPI</w:t>
      </w:r>
      <w:r>
        <w:rPr>
          <w:rFonts w:ascii="Arial"/>
          <w:color w:val="231F20"/>
          <w:spacing w:val="10"/>
          <w:sz w:val="12"/>
        </w:rPr>
        <w:t> </w:t>
      </w:r>
      <w:r>
        <w:rPr>
          <w:rFonts w:ascii="Arial"/>
          <w:color w:val="231F20"/>
          <w:w w:val="75"/>
          <w:sz w:val="12"/>
        </w:rPr>
        <w:t>score</w:t>
      </w:r>
      <w:r>
        <w:rPr>
          <w:rFonts w:ascii="Arial"/>
          <w:color w:val="231F20"/>
          <w:spacing w:val="10"/>
          <w:sz w:val="12"/>
        </w:rPr>
        <w:t> </w:t>
      </w:r>
      <w:r>
        <w:rPr>
          <w:rFonts w:ascii="Arial"/>
          <w:color w:val="231F20"/>
          <w:w w:val="75"/>
          <w:sz w:val="12"/>
        </w:rPr>
        <w:t>was</w:t>
      </w:r>
      <w:r>
        <w:rPr>
          <w:rFonts w:ascii="Arial"/>
          <w:color w:val="231F20"/>
          <w:spacing w:val="9"/>
          <w:sz w:val="12"/>
        </w:rPr>
        <w:t> </w:t>
      </w:r>
      <w:r>
        <w:rPr>
          <w:rFonts w:ascii="Arial"/>
          <w:color w:val="231F20"/>
          <w:w w:val="75"/>
          <w:sz w:val="12"/>
        </w:rPr>
        <w:t>not</w:t>
      </w:r>
      <w:r>
        <w:rPr>
          <w:rFonts w:ascii="Arial"/>
          <w:color w:val="231F20"/>
          <w:spacing w:val="10"/>
          <w:sz w:val="12"/>
        </w:rPr>
        <w:t> </w:t>
      </w:r>
      <w:r>
        <w:rPr>
          <w:rFonts w:ascii="Arial"/>
          <w:color w:val="231F20"/>
          <w:w w:val="75"/>
          <w:sz w:val="12"/>
        </w:rPr>
        <w:t>calculated</w:t>
      </w:r>
      <w:r>
        <w:rPr>
          <w:rFonts w:ascii="Arial"/>
          <w:color w:val="231F20"/>
          <w:spacing w:val="10"/>
          <w:sz w:val="12"/>
        </w:rPr>
        <w:t> </w:t>
      </w:r>
      <w:r>
        <w:rPr>
          <w:rFonts w:ascii="Arial"/>
          <w:color w:val="231F20"/>
          <w:w w:val="75"/>
          <w:sz w:val="12"/>
        </w:rPr>
        <w:t>for</w:t>
      </w:r>
      <w:r>
        <w:rPr>
          <w:rFonts w:ascii="Arial"/>
          <w:color w:val="231F20"/>
          <w:spacing w:val="9"/>
          <w:sz w:val="12"/>
        </w:rPr>
        <w:t> </w:t>
      </w:r>
      <w:r>
        <w:rPr>
          <w:rFonts w:ascii="Arial"/>
          <w:color w:val="231F20"/>
          <w:w w:val="75"/>
          <w:sz w:val="12"/>
        </w:rPr>
        <w:t>the</w:t>
      </w:r>
      <w:r>
        <w:rPr>
          <w:rFonts w:ascii="Arial"/>
          <w:color w:val="231F20"/>
          <w:spacing w:val="10"/>
          <w:sz w:val="12"/>
        </w:rPr>
        <w:t> </w:t>
      </w:r>
      <w:r>
        <w:rPr>
          <w:rFonts w:ascii="Arial"/>
          <w:color w:val="231F20"/>
          <w:w w:val="75"/>
          <w:sz w:val="12"/>
        </w:rPr>
        <w:t>economy</w:t>
      </w:r>
      <w:r>
        <w:rPr>
          <w:rFonts w:ascii="Arial"/>
          <w:color w:val="231F20"/>
          <w:spacing w:val="10"/>
          <w:sz w:val="12"/>
        </w:rPr>
        <w:t> </w:t>
      </w:r>
      <w:r>
        <w:rPr>
          <w:rFonts w:ascii="Arial"/>
          <w:color w:val="231F20"/>
          <w:w w:val="75"/>
          <w:sz w:val="12"/>
        </w:rPr>
        <w:t>in</w:t>
      </w:r>
      <w:r>
        <w:rPr>
          <w:rFonts w:ascii="Arial"/>
          <w:color w:val="231F20"/>
          <w:spacing w:val="9"/>
          <w:sz w:val="12"/>
        </w:rPr>
        <w:t> </w:t>
      </w:r>
      <w:r>
        <w:rPr>
          <w:rFonts w:ascii="Arial"/>
          <w:color w:val="231F20"/>
          <w:w w:val="75"/>
          <w:sz w:val="12"/>
        </w:rPr>
        <w:t>the</w:t>
      </w:r>
      <w:r>
        <w:rPr>
          <w:rFonts w:ascii="Arial"/>
          <w:color w:val="231F20"/>
          <w:spacing w:val="10"/>
          <w:sz w:val="12"/>
        </w:rPr>
        <w:t> </w:t>
      </w:r>
      <w:r>
        <w:rPr>
          <w:rFonts w:ascii="Arial"/>
          <w:color w:val="231F20"/>
          <w:w w:val="75"/>
          <w:sz w:val="12"/>
        </w:rPr>
        <w:t>year</w:t>
      </w:r>
      <w:r>
        <w:rPr>
          <w:rFonts w:ascii="Arial"/>
          <w:color w:val="231F20"/>
          <w:spacing w:val="10"/>
          <w:sz w:val="12"/>
        </w:rPr>
        <w:t> </w:t>
      </w:r>
      <w:r>
        <w:rPr>
          <w:rFonts w:ascii="Arial"/>
          <w:color w:val="231F20"/>
          <w:spacing w:val="-2"/>
          <w:w w:val="75"/>
          <w:sz w:val="12"/>
        </w:rPr>
        <w:t>indicated.</w:t>
      </w:r>
    </w:p>
    <w:p>
      <w:pPr>
        <w:spacing w:after="0"/>
        <w:jc w:val="left"/>
        <w:rPr>
          <w:rFonts w:ascii="Arial"/>
          <w:sz w:val="12"/>
        </w:rPr>
        <w:sectPr>
          <w:headerReference w:type="even" r:id="rId122"/>
          <w:footerReference w:type="even" r:id="rId123"/>
          <w:footerReference w:type="default" r:id="rId124"/>
          <w:pgSz w:w="12240" w:h="15840"/>
          <w:pgMar w:header="0" w:footer="548" w:top="320" w:bottom="740" w:left="0" w:right="540"/>
          <w:pgNumType w:start="52"/>
        </w:sectPr>
      </w:pPr>
    </w:p>
    <w:p>
      <w:pPr>
        <w:pStyle w:val="BodyText"/>
        <w:rPr>
          <w:rFonts w:ascii="Arial"/>
          <w:sz w:val="20"/>
        </w:rPr>
      </w:pPr>
    </w:p>
    <w:p>
      <w:pPr>
        <w:pStyle w:val="BodyText"/>
        <w:rPr>
          <w:rFonts w:ascii="Arial"/>
          <w:sz w:val="20"/>
        </w:rPr>
      </w:pPr>
    </w:p>
    <w:p>
      <w:pPr>
        <w:pStyle w:val="BodyText"/>
        <w:spacing w:before="60"/>
        <w:rPr>
          <w:rFonts w:ascii="Arial"/>
          <w:sz w:val="20"/>
        </w:rPr>
      </w:pPr>
    </w:p>
    <w:p>
      <w:pPr>
        <w:pStyle w:val="BodyText"/>
        <w:ind w:left="1140"/>
        <w:rPr>
          <w:rFonts w:ascii="Arial"/>
          <w:sz w:val="20"/>
        </w:rPr>
      </w:pPr>
      <w:bookmarkStart w:name="_bookmark46" w:id="50"/>
      <w:bookmarkEnd w:id="50"/>
      <w:r>
        <w:rPr/>
      </w:r>
      <w:r>
        <w:rPr>
          <w:rFonts w:ascii="Arial"/>
          <w:sz w:val="20"/>
        </w:rPr>
        <mc:AlternateContent>
          <mc:Choice Requires="wps">
            <w:drawing>
              <wp:inline distT="0" distB="0" distL="0" distR="0">
                <wp:extent cx="4953000" cy="368300"/>
                <wp:effectExtent l="19050" t="19050" r="19050" b="22225"/>
                <wp:docPr id="1614" name="Group 1614"/>
                <wp:cNvGraphicFramePr>
                  <a:graphicFrameLocks/>
                </wp:cNvGraphicFramePr>
                <a:graphic>
                  <a:graphicData uri="http://schemas.microsoft.com/office/word/2010/wordprocessingGroup">
                    <wpg:wgp>
                      <wpg:cNvPr id="1614" name="Group 1614"/>
                      <wpg:cNvGrpSpPr/>
                      <wpg:grpSpPr>
                        <a:xfrm>
                          <a:off x="0" y="0"/>
                          <a:ext cx="4953000" cy="368300"/>
                          <a:chExt cx="4953000" cy="368300"/>
                        </a:xfrm>
                      </wpg:grpSpPr>
                      <wps:wsp>
                        <wps:cNvPr id="1615" name="Graphic 1615"/>
                        <wps:cNvSpPr/>
                        <wps:spPr>
                          <a:xfrm>
                            <a:off x="63500" y="19050"/>
                            <a:ext cx="4870450" cy="317500"/>
                          </a:xfrm>
                          <a:custGeom>
                            <a:avLst/>
                            <a:gdLst/>
                            <a:ahLst/>
                            <a:cxnLst/>
                            <a:rect l="l" t="t" r="r" b="b"/>
                            <a:pathLst>
                              <a:path w="4870450" h="317500">
                                <a:moveTo>
                                  <a:pt x="4775200" y="0"/>
                                </a:moveTo>
                                <a:lnTo>
                                  <a:pt x="50800" y="0"/>
                                </a:lnTo>
                                <a:lnTo>
                                  <a:pt x="13757" y="7496"/>
                                </a:lnTo>
                                <a:lnTo>
                                  <a:pt x="0" y="16778"/>
                                </a:lnTo>
                                <a:lnTo>
                                  <a:pt x="0" y="317500"/>
                                </a:lnTo>
                                <a:lnTo>
                                  <a:pt x="4870450" y="317500"/>
                                </a:lnTo>
                                <a:lnTo>
                                  <a:pt x="4870450" y="95250"/>
                                </a:lnTo>
                                <a:lnTo>
                                  <a:pt x="4862953" y="58207"/>
                                </a:lnTo>
                                <a:lnTo>
                                  <a:pt x="4842522" y="27927"/>
                                </a:lnTo>
                                <a:lnTo>
                                  <a:pt x="4812242" y="7496"/>
                                </a:lnTo>
                                <a:lnTo>
                                  <a:pt x="4775200" y="0"/>
                                </a:lnTo>
                                <a:close/>
                              </a:path>
                            </a:pathLst>
                          </a:custGeom>
                          <a:solidFill>
                            <a:srgbClr val="808285"/>
                          </a:solidFill>
                        </wps:spPr>
                        <wps:bodyPr wrap="square" lIns="0" tIns="0" rIns="0" bIns="0" rtlCol="0">
                          <a:prstTxWarp prst="textNoShape">
                            <a:avLst/>
                          </a:prstTxWarp>
                          <a:noAutofit/>
                        </wps:bodyPr>
                      </wps:wsp>
                      <wps:wsp>
                        <wps:cNvPr id="1616" name="Graphic 1616"/>
                        <wps:cNvSpPr/>
                        <wps:spPr>
                          <a:xfrm>
                            <a:off x="571500" y="29057"/>
                            <a:ext cx="1270" cy="339725"/>
                          </a:xfrm>
                          <a:custGeom>
                            <a:avLst/>
                            <a:gdLst/>
                            <a:ahLst/>
                            <a:cxnLst/>
                            <a:rect l="l" t="t" r="r" b="b"/>
                            <a:pathLst>
                              <a:path w="0" h="339725">
                                <a:moveTo>
                                  <a:pt x="0" y="3392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617" name="Graphic 1617"/>
                        <wps:cNvSpPr/>
                        <wps:spPr>
                          <a:xfrm>
                            <a:off x="38100" y="28575"/>
                            <a:ext cx="520700" cy="320675"/>
                          </a:xfrm>
                          <a:custGeom>
                            <a:avLst/>
                            <a:gdLst/>
                            <a:ahLst/>
                            <a:cxnLst/>
                            <a:rect l="l" t="t" r="r" b="b"/>
                            <a:pathLst>
                              <a:path w="520700" h="320675">
                                <a:moveTo>
                                  <a:pt x="0" y="320675"/>
                                </a:moveTo>
                                <a:lnTo>
                                  <a:pt x="520700" y="320675"/>
                                </a:lnTo>
                                <a:lnTo>
                                  <a:pt x="520700" y="0"/>
                                </a:lnTo>
                                <a:lnTo>
                                  <a:pt x="0" y="0"/>
                                </a:lnTo>
                                <a:lnTo>
                                  <a:pt x="0" y="320675"/>
                                </a:lnTo>
                                <a:close/>
                              </a:path>
                            </a:pathLst>
                          </a:custGeom>
                          <a:solidFill>
                            <a:srgbClr val="008FDD"/>
                          </a:solidFill>
                        </wps:spPr>
                        <wps:bodyPr wrap="square" lIns="0" tIns="0" rIns="0" bIns="0" rtlCol="0">
                          <a:prstTxWarp prst="textNoShape">
                            <a:avLst/>
                          </a:prstTxWarp>
                          <a:noAutofit/>
                        </wps:bodyPr>
                      </wps:wsp>
                      <wps:wsp>
                        <wps:cNvPr id="1618" name="Graphic 1618"/>
                        <wps:cNvSpPr/>
                        <wps:spPr>
                          <a:xfrm>
                            <a:off x="19050" y="19050"/>
                            <a:ext cx="4914900" cy="317500"/>
                          </a:xfrm>
                          <a:custGeom>
                            <a:avLst/>
                            <a:gdLst/>
                            <a:ahLst/>
                            <a:cxnLst/>
                            <a:rect l="l" t="t" r="r" b="b"/>
                            <a:pathLst>
                              <a:path w="4914900" h="317500">
                                <a:moveTo>
                                  <a:pt x="95250" y="0"/>
                                </a:moveTo>
                                <a:lnTo>
                                  <a:pt x="58212" y="7497"/>
                                </a:lnTo>
                                <a:lnTo>
                                  <a:pt x="27932" y="27932"/>
                                </a:lnTo>
                                <a:lnTo>
                                  <a:pt x="7497" y="58212"/>
                                </a:lnTo>
                                <a:lnTo>
                                  <a:pt x="0" y="95250"/>
                                </a:lnTo>
                                <a:lnTo>
                                  <a:pt x="0" y="298450"/>
                                </a:lnTo>
                                <a:lnTo>
                                  <a:pt x="0" y="317500"/>
                                </a:lnTo>
                                <a:lnTo>
                                  <a:pt x="19050" y="317500"/>
                                </a:lnTo>
                                <a:lnTo>
                                  <a:pt x="4895850" y="317500"/>
                                </a:lnTo>
                                <a:lnTo>
                                  <a:pt x="4914900" y="317500"/>
                                </a:lnTo>
                                <a:lnTo>
                                  <a:pt x="4914900" y="298450"/>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619" name="Textbox 1619"/>
                        <wps:cNvSpPr txBox="1"/>
                        <wps:spPr>
                          <a:xfrm>
                            <a:off x="0" y="0"/>
                            <a:ext cx="4953000" cy="368300"/>
                          </a:xfrm>
                          <a:prstGeom prst="rect">
                            <a:avLst/>
                          </a:prstGeom>
                        </wps:spPr>
                        <wps:txbx>
                          <w:txbxContent>
                            <w:p>
                              <w:pPr>
                                <w:spacing w:line="235" w:lineRule="auto" w:before="113"/>
                                <w:ind w:left="1060" w:right="1783" w:firstLine="0"/>
                                <w:jc w:val="left"/>
                                <w:rPr>
                                  <w:rFonts w:ascii="Arial"/>
                                  <w:b/>
                                  <w:sz w:val="16"/>
                                </w:rPr>
                              </w:pPr>
                              <w:r>
                                <w:rPr>
                                  <w:rFonts w:ascii="Arial"/>
                                  <w:b/>
                                  <w:color w:val="FFFFFF"/>
                                  <w:w w:val="105"/>
                                  <w:sz w:val="16"/>
                                </w:rPr>
                                <w:t>Top</w:t>
                              </w:r>
                              <w:r>
                                <w:rPr>
                                  <w:rFonts w:ascii="Arial"/>
                                  <w:b/>
                                  <w:color w:val="FFFFFF"/>
                                  <w:spacing w:val="16"/>
                                  <w:w w:val="105"/>
                                  <w:sz w:val="16"/>
                                </w:rPr>
                                <w:t> </w:t>
                              </w:r>
                              <w:r>
                                <w:rPr>
                                  <w:rFonts w:ascii="Arial"/>
                                  <w:b/>
                                  <w:color w:val="FFFFFF"/>
                                  <w:w w:val="105"/>
                                  <w:sz w:val="16"/>
                                </w:rPr>
                                <w:t>11</w:t>
                              </w:r>
                              <w:r>
                                <w:rPr>
                                  <w:rFonts w:ascii="Arial"/>
                                  <w:b/>
                                  <w:color w:val="FFFFFF"/>
                                  <w:spacing w:val="16"/>
                                  <w:w w:val="105"/>
                                  <w:sz w:val="16"/>
                                </w:rPr>
                                <w:t> </w:t>
                              </w:r>
                              <w:r>
                                <w:rPr>
                                  <w:rFonts w:ascii="Arial"/>
                                  <w:b/>
                                  <w:color w:val="FFFFFF"/>
                                  <w:w w:val="105"/>
                                  <w:sz w:val="16"/>
                                </w:rPr>
                                <w:t>upper-middle-income</w:t>
                              </w:r>
                              <w:r>
                                <w:rPr>
                                  <w:rFonts w:ascii="Arial"/>
                                  <w:b/>
                                  <w:color w:val="FFFFFF"/>
                                  <w:spacing w:val="16"/>
                                  <w:w w:val="105"/>
                                  <w:sz w:val="16"/>
                                </w:rPr>
                                <w:t> </w:t>
                              </w:r>
                              <w:r>
                                <w:rPr>
                                  <w:rFonts w:ascii="Arial"/>
                                  <w:b/>
                                  <w:color w:val="FFFFFF"/>
                                  <w:w w:val="105"/>
                                  <w:sz w:val="16"/>
                                </w:rPr>
                                <w:t>LPI</w:t>
                              </w:r>
                              <w:r>
                                <w:rPr>
                                  <w:rFonts w:ascii="Arial"/>
                                  <w:b/>
                                  <w:color w:val="FFFFFF"/>
                                  <w:spacing w:val="16"/>
                                  <w:w w:val="105"/>
                                  <w:sz w:val="16"/>
                                </w:rPr>
                                <w:t> </w:t>
                              </w:r>
                              <w:r>
                                <w:rPr>
                                  <w:rFonts w:ascii="Arial"/>
                                  <w:b/>
                                  <w:color w:val="FFFFFF"/>
                                  <w:w w:val="105"/>
                                  <w:sz w:val="16"/>
                                </w:rPr>
                                <w:t>scorers</w:t>
                              </w:r>
                              <w:r>
                                <w:rPr>
                                  <w:rFonts w:ascii="Arial"/>
                                  <w:b/>
                                  <w:color w:val="FFFFFF"/>
                                  <w:spacing w:val="16"/>
                                  <w:w w:val="105"/>
                                  <w:sz w:val="16"/>
                                </w:rPr>
                                <w:t> </w:t>
                              </w:r>
                              <w:r>
                                <w:rPr>
                                  <w:rFonts w:ascii="Arial"/>
                                  <w:b/>
                                  <w:color w:val="FFFFFF"/>
                                  <w:w w:val="105"/>
                                  <w:sz w:val="16"/>
                                </w:rPr>
                                <w:t>in</w:t>
                              </w:r>
                              <w:r>
                                <w:rPr>
                                  <w:rFonts w:ascii="Arial"/>
                                  <w:b/>
                                  <w:color w:val="FFFFFF"/>
                                  <w:spacing w:val="16"/>
                                  <w:w w:val="105"/>
                                  <w:sz w:val="16"/>
                                </w:rPr>
                                <w:t> </w:t>
                              </w:r>
                              <w:r>
                                <w:rPr>
                                  <w:rFonts w:ascii="Arial"/>
                                  <w:b/>
                                  <w:color w:val="FFFFFF"/>
                                  <w:w w:val="105"/>
                                  <w:sz w:val="16"/>
                                </w:rPr>
                                <w:t>2023</w:t>
                              </w:r>
                              <w:r>
                                <w:rPr>
                                  <w:rFonts w:ascii="Arial"/>
                                  <w:b/>
                                  <w:color w:val="FFFFFF"/>
                                  <w:spacing w:val="16"/>
                                  <w:w w:val="105"/>
                                  <w:sz w:val="16"/>
                                </w:rPr>
                                <w:t> </w:t>
                              </w:r>
                              <w:r>
                                <w:rPr>
                                  <w:rFonts w:ascii="Arial"/>
                                  <w:b/>
                                  <w:color w:val="FFFFFF"/>
                                  <w:w w:val="105"/>
                                  <w:sz w:val="16"/>
                                </w:rPr>
                                <w:t>and</w:t>
                              </w:r>
                              <w:r>
                                <w:rPr>
                                  <w:rFonts w:ascii="Arial"/>
                                  <w:b/>
                                  <w:color w:val="FFFFFF"/>
                                  <w:spacing w:val="16"/>
                                  <w:w w:val="105"/>
                                  <w:sz w:val="16"/>
                                </w:rPr>
                                <w:t> </w:t>
                              </w:r>
                              <w:r>
                                <w:rPr>
                                  <w:rFonts w:ascii="Arial"/>
                                  <w:b/>
                                  <w:color w:val="FFFFFF"/>
                                  <w:w w:val="105"/>
                                  <w:sz w:val="16"/>
                                </w:rPr>
                                <w:t>their top scorer status in 2018, 2016, 2014, and 2012</w:t>
                              </w:r>
                            </w:p>
                          </w:txbxContent>
                        </wps:txbx>
                        <wps:bodyPr wrap="square" lIns="0" tIns="0" rIns="0" bIns="0" rtlCol="0">
                          <a:noAutofit/>
                        </wps:bodyPr>
                      </wps:wsp>
                      <wps:wsp>
                        <wps:cNvPr id="1620" name="Textbox 1620"/>
                        <wps:cNvSpPr txBox="1"/>
                        <wps:spPr>
                          <a:xfrm>
                            <a:off x="38100" y="28575"/>
                            <a:ext cx="520700" cy="320675"/>
                          </a:xfrm>
                          <a:prstGeom prst="rect">
                            <a:avLst/>
                          </a:prstGeom>
                        </wps:spPr>
                        <wps:txbx>
                          <w:txbxContent>
                            <w:p>
                              <w:pPr>
                                <w:spacing w:before="65"/>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5"/>
                                  <w:sz w:val="16"/>
                                </w:rPr>
                                <w:t>A</w:t>
                              </w:r>
                              <w:r>
                                <w:rPr>
                                  <w:rFonts w:ascii="Arial"/>
                                  <w:b/>
                                  <w:color w:val="FFFFFF"/>
                                  <w:spacing w:val="-4"/>
                                  <w:w w:val="95"/>
                                  <w:sz w:val="16"/>
                                </w:rPr>
                                <w:t>3.3</w:t>
                              </w:r>
                            </w:p>
                          </w:txbxContent>
                        </wps:txbx>
                        <wps:bodyPr wrap="square" lIns="0" tIns="0" rIns="0" bIns="0" rtlCol="0">
                          <a:noAutofit/>
                        </wps:bodyPr>
                      </wps:wsp>
                    </wpg:wgp>
                  </a:graphicData>
                </a:graphic>
              </wp:inline>
            </w:drawing>
          </mc:Choice>
          <mc:Fallback>
            <w:pict>
              <v:group style="width:390pt;height:29pt;mso-position-horizontal-relative:char;mso-position-vertical-relative:line" id="docshapegroup1370" coordorigin="0,0" coordsize="7800,580">
                <v:shape style="position:absolute;left:100;top:30;width:7670;height:500" id="docshape1371" coordorigin="100,30" coordsize="7670,500" path="m7620,30l180,30,122,42,100,56,100,530,7770,530,7770,180,7758,122,7726,74,7678,42,7620,30xe" filled="true" fillcolor="#808285" stroked="false">
                  <v:path arrowok="t"/>
                  <v:fill type="solid"/>
                </v:shape>
                <v:line style="position:absolute" from="900,580" to="900,46" stroked="true" strokeweight="2pt" strokecolor="#ffffff">
                  <v:stroke dashstyle="solid"/>
                </v:line>
                <v:rect style="position:absolute;left:60;top:45;width:820;height:505" id="docshape1372" filled="true" fillcolor="#008fdd" stroked="false">
                  <v:fill type="solid"/>
                </v:rect>
                <v:shape style="position:absolute;left:30;top:30;width:7740;height:500" id="docshape1373" coordorigin="30,30" coordsize="7740,500" path="m180,30l122,42,74,74,42,122,30,180,30,500,30,530,60,530,7740,530,7770,530,7770,500,7770,180,7758,122,7726,74,7678,42,7620,30,180,30xe" filled="false" stroked="true" strokeweight="3pt" strokecolor="#ffffff">
                  <v:path arrowok="t"/>
                  <v:stroke dashstyle="solid"/>
                </v:shape>
                <v:shape style="position:absolute;left:0;top:0;width:7800;height:580" type="#_x0000_t202" id="docshape1374" filled="false" stroked="false">
                  <v:textbox inset="0,0,0,0">
                    <w:txbxContent>
                      <w:p>
                        <w:pPr>
                          <w:spacing w:line="235" w:lineRule="auto" w:before="113"/>
                          <w:ind w:left="1060" w:right="1783" w:firstLine="0"/>
                          <w:jc w:val="left"/>
                          <w:rPr>
                            <w:rFonts w:ascii="Arial"/>
                            <w:b/>
                            <w:sz w:val="16"/>
                          </w:rPr>
                        </w:pPr>
                        <w:r>
                          <w:rPr>
                            <w:rFonts w:ascii="Arial"/>
                            <w:b/>
                            <w:color w:val="FFFFFF"/>
                            <w:w w:val="105"/>
                            <w:sz w:val="16"/>
                          </w:rPr>
                          <w:t>Top</w:t>
                        </w:r>
                        <w:r>
                          <w:rPr>
                            <w:rFonts w:ascii="Arial"/>
                            <w:b/>
                            <w:color w:val="FFFFFF"/>
                            <w:spacing w:val="16"/>
                            <w:w w:val="105"/>
                            <w:sz w:val="16"/>
                          </w:rPr>
                          <w:t> </w:t>
                        </w:r>
                        <w:r>
                          <w:rPr>
                            <w:rFonts w:ascii="Arial"/>
                            <w:b/>
                            <w:color w:val="FFFFFF"/>
                            <w:w w:val="105"/>
                            <w:sz w:val="16"/>
                          </w:rPr>
                          <w:t>11</w:t>
                        </w:r>
                        <w:r>
                          <w:rPr>
                            <w:rFonts w:ascii="Arial"/>
                            <w:b/>
                            <w:color w:val="FFFFFF"/>
                            <w:spacing w:val="16"/>
                            <w:w w:val="105"/>
                            <w:sz w:val="16"/>
                          </w:rPr>
                          <w:t> </w:t>
                        </w:r>
                        <w:r>
                          <w:rPr>
                            <w:rFonts w:ascii="Arial"/>
                            <w:b/>
                            <w:color w:val="FFFFFF"/>
                            <w:w w:val="105"/>
                            <w:sz w:val="16"/>
                          </w:rPr>
                          <w:t>upper-middle-income</w:t>
                        </w:r>
                        <w:r>
                          <w:rPr>
                            <w:rFonts w:ascii="Arial"/>
                            <w:b/>
                            <w:color w:val="FFFFFF"/>
                            <w:spacing w:val="16"/>
                            <w:w w:val="105"/>
                            <w:sz w:val="16"/>
                          </w:rPr>
                          <w:t> </w:t>
                        </w:r>
                        <w:r>
                          <w:rPr>
                            <w:rFonts w:ascii="Arial"/>
                            <w:b/>
                            <w:color w:val="FFFFFF"/>
                            <w:w w:val="105"/>
                            <w:sz w:val="16"/>
                          </w:rPr>
                          <w:t>LPI</w:t>
                        </w:r>
                        <w:r>
                          <w:rPr>
                            <w:rFonts w:ascii="Arial"/>
                            <w:b/>
                            <w:color w:val="FFFFFF"/>
                            <w:spacing w:val="16"/>
                            <w:w w:val="105"/>
                            <w:sz w:val="16"/>
                          </w:rPr>
                          <w:t> </w:t>
                        </w:r>
                        <w:r>
                          <w:rPr>
                            <w:rFonts w:ascii="Arial"/>
                            <w:b/>
                            <w:color w:val="FFFFFF"/>
                            <w:w w:val="105"/>
                            <w:sz w:val="16"/>
                          </w:rPr>
                          <w:t>scorers</w:t>
                        </w:r>
                        <w:r>
                          <w:rPr>
                            <w:rFonts w:ascii="Arial"/>
                            <w:b/>
                            <w:color w:val="FFFFFF"/>
                            <w:spacing w:val="16"/>
                            <w:w w:val="105"/>
                            <w:sz w:val="16"/>
                          </w:rPr>
                          <w:t> </w:t>
                        </w:r>
                        <w:r>
                          <w:rPr>
                            <w:rFonts w:ascii="Arial"/>
                            <w:b/>
                            <w:color w:val="FFFFFF"/>
                            <w:w w:val="105"/>
                            <w:sz w:val="16"/>
                          </w:rPr>
                          <w:t>in</w:t>
                        </w:r>
                        <w:r>
                          <w:rPr>
                            <w:rFonts w:ascii="Arial"/>
                            <w:b/>
                            <w:color w:val="FFFFFF"/>
                            <w:spacing w:val="16"/>
                            <w:w w:val="105"/>
                            <w:sz w:val="16"/>
                          </w:rPr>
                          <w:t> </w:t>
                        </w:r>
                        <w:r>
                          <w:rPr>
                            <w:rFonts w:ascii="Arial"/>
                            <w:b/>
                            <w:color w:val="FFFFFF"/>
                            <w:w w:val="105"/>
                            <w:sz w:val="16"/>
                          </w:rPr>
                          <w:t>2023</w:t>
                        </w:r>
                        <w:r>
                          <w:rPr>
                            <w:rFonts w:ascii="Arial"/>
                            <w:b/>
                            <w:color w:val="FFFFFF"/>
                            <w:spacing w:val="16"/>
                            <w:w w:val="105"/>
                            <w:sz w:val="16"/>
                          </w:rPr>
                          <w:t> </w:t>
                        </w:r>
                        <w:r>
                          <w:rPr>
                            <w:rFonts w:ascii="Arial"/>
                            <w:b/>
                            <w:color w:val="FFFFFF"/>
                            <w:w w:val="105"/>
                            <w:sz w:val="16"/>
                          </w:rPr>
                          <w:t>and</w:t>
                        </w:r>
                        <w:r>
                          <w:rPr>
                            <w:rFonts w:ascii="Arial"/>
                            <w:b/>
                            <w:color w:val="FFFFFF"/>
                            <w:spacing w:val="16"/>
                            <w:w w:val="105"/>
                            <w:sz w:val="16"/>
                          </w:rPr>
                          <w:t> </w:t>
                        </w:r>
                        <w:r>
                          <w:rPr>
                            <w:rFonts w:ascii="Arial"/>
                            <w:b/>
                            <w:color w:val="FFFFFF"/>
                            <w:w w:val="105"/>
                            <w:sz w:val="16"/>
                          </w:rPr>
                          <w:t>their top scorer status in 2018, 2016, 2014, and 2012</w:t>
                        </w:r>
                      </w:p>
                    </w:txbxContent>
                  </v:textbox>
                  <w10:wrap type="none"/>
                </v:shape>
                <v:shape style="position:absolute;left:60;top:45;width:820;height:505" type="#_x0000_t202" id="docshape1375" filled="false" stroked="false">
                  <v:textbox inset="0,0,0,0">
                    <w:txbxContent>
                      <w:p>
                        <w:pPr>
                          <w:spacing w:before="65"/>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5"/>
                            <w:sz w:val="16"/>
                          </w:rPr>
                          <w:t>A</w:t>
                        </w:r>
                        <w:r>
                          <w:rPr>
                            <w:rFonts w:ascii="Arial"/>
                            <w:b/>
                            <w:color w:val="FFFFFF"/>
                            <w:spacing w:val="-4"/>
                            <w:w w:val="95"/>
                            <w:sz w:val="16"/>
                          </w:rPr>
                          <w:t>3.3</w:t>
                        </w:r>
                      </w:p>
                    </w:txbxContent>
                  </v:textbox>
                  <w10:wrap type="none"/>
                </v:shape>
              </v:group>
            </w:pict>
          </mc:Fallback>
        </mc:AlternateContent>
      </w:r>
      <w:r>
        <w:rPr>
          <w:rFonts w:ascii="Arial"/>
          <w:sz w:val="20"/>
        </w:rPr>
      </w:r>
    </w:p>
    <w:p>
      <w:pPr>
        <w:pStyle w:val="BodyText"/>
        <w:spacing w:before="38"/>
        <w:rPr>
          <w:rFonts w:ascii="Arial"/>
          <w:sz w:val="20"/>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5"/>
        <w:gridCol w:w="1587"/>
        <w:gridCol w:w="1537"/>
        <w:gridCol w:w="1536"/>
        <w:gridCol w:w="1536"/>
      </w:tblGrid>
      <w:tr>
        <w:trPr>
          <w:trHeight w:val="369" w:hRule="atLeast"/>
        </w:trPr>
        <w:tc>
          <w:tcPr>
            <w:tcW w:w="1485" w:type="dxa"/>
            <w:tcBorders>
              <w:bottom w:val="single" w:sz="4" w:space="0" w:color="008FDD"/>
            </w:tcBorders>
          </w:tcPr>
          <w:p>
            <w:pPr>
              <w:pStyle w:val="TableParagraph"/>
              <w:spacing w:before="2"/>
              <w:jc w:val="left"/>
              <w:rPr>
                <w:sz w:val="14"/>
              </w:rPr>
            </w:pPr>
          </w:p>
          <w:p>
            <w:pPr>
              <w:pStyle w:val="TableParagraph"/>
              <w:spacing w:before="0"/>
              <w:ind w:left="80"/>
              <w:jc w:val="left"/>
              <w:rPr>
                <w:b/>
                <w:sz w:val="14"/>
              </w:rPr>
            </w:pPr>
            <w:r>
              <w:rPr>
                <w:b/>
                <w:color w:val="231F20"/>
                <w:spacing w:val="-2"/>
                <w:w w:val="90"/>
                <w:sz w:val="14"/>
              </w:rPr>
              <w:t>Economy</w:t>
            </w:r>
          </w:p>
        </w:tc>
        <w:tc>
          <w:tcPr>
            <w:tcW w:w="1587" w:type="dxa"/>
            <w:tcBorders>
              <w:bottom w:val="single" w:sz="4" w:space="0" w:color="008FDD"/>
            </w:tcBorders>
          </w:tcPr>
          <w:p>
            <w:pPr>
              <w:pStyle w:val="TableParagraph"/>
              <w:spacing w:before="3"/>
              <w:ind w:left="186" w:firstLine="16"/>
              <w:jc w:val="left"/>
              <w:rPr>
                <w:b/>
                <w:sz w:val="14"/>
              </w:rPr>
            </w:pPr>
            <w:r>
              <w:rPr>
                <w:b/>
                <w:color w:val="231F20"/>
                <w:w w:val="85"/>
                <w:sz w:val="14"/>
              </w:rPr>
              <w:t>Top 10 upper-middle-</w:t>
            </w:r>
            <w:r>
              <w:rPr>
                <w:b/>
                <w:color w:val="231F20"/>
                <w:spacing w:val="40"/>
                <w:sz w:val="14"/>
              </w:rPr>
              <w:t> </w:t>
            </w:r>
            <w:r>
              <w:rPr>
                <w:b/>
                <w:color w:val="231F20"/>
                <w:w w:val="80"/>
                <w:sz w:val="14"/>
              </w:rPr>
              <w:t>income</w:t>
            </w:r>
            <w:r>
              <w:rPr>
                <w:b/>
                <w:color w:val="231F20"/>
                <w:spacing w:val="9"/>
                <w:sz w:val="14"/>
              </w:rPr>
              <w:t> </w:t>
            </w:r>
            <w:r>
              <w:rPr>
                <w:b/>
                <w:color w:val="231F20"/>
                <w:w w:val="80"/>
                <w:sz w:val="14"/>
              </w:rPr>
              <w:t>scorer</w:t>
            </w:r>
            <w:r>
              <w:rPr>
                <w:b/>
                <w:color w:val="231F20"/>
                <w:spacing w:val="10"/>
                <w:sz w:val="14"/>
              </w:rPr>
              <w:t> </w:t>
            </w:r>
            <w:r>
              <w:rPr>
                <w:b/>
                <w:color w:val="231F20"/>
                <w:w w:val="80"/>
                <w:sz w:val="14"/>
              </w:rPr>
              <w:t>in</w:t>
            </w:r>
            <w:r>
              <w:rPr>
                <w:b/>
                <w:color w:val="231F20"/>
                <w:spacing w:val="10"/>
                <w:sz w:val="14"/>
              </w:rPr>
              <w:t> </w:t>
            </w:r>
            <w:r>
              <w:rPr>
                <w:b/>
                <w:color w:val="231F20"/>
                <w:spacing w:val="-4"/>
                <w:w w:val="80"/>
                <w:sz w:val="14"/>
              </w:rPr>
              <w:t>2018</w:t>
            </w:r>
          </w:p>
        </w:tc>
        <w:tc>
          <w:tcPr>
            <w:tcW w:w="1537" w:type="dxa"/>
            <w:tcBorders>
              <w:bottom w:val="single" w:sz="4" w:space="0" w:color="008FDD"/>
            </w:tcBorders>
          </w:tcPr>
          <w:p>
            <w:pPr>
              <w:pStyle w:val="TableParagraph"/>
              <w:spacing w:before="3"/>
              <w:ind w:left="134" w:firstLine="16"/>
              <w:jc w:val="left"/>
              <w:rPr>
                <w:b/>
                <w:sz w:val="14"/>
              </w:rPr>
            </w:pPr>
            <w:r>
              <w:rPr>
                <w:b/>
                <w:color w:val="231F20"/>
                <w:w w:val="85"/>
                <w:sz w:val="14"/>
              </w:rPr>
              <w:t>Top 10 upper-middle-</w:t>
            </w:r>
            <w:r>
              <w:rPr>
                <w:b/>
                <w:color w:val="231F20"/>
                <w:spacing w:val="40"/>
                <w:sz w:val="14"/>
              </w:rPr>
              <w:t> </w:t>
            </w:r>
            <w:r>
              <w:rPr>
                <w:b/>
                <w:color w:val="231F20"/>
                <w:w w:val="80"/>
                <w:sz w:val="14"/>
              </w:rPr>
              <w:t>income</w:t>
            </w:r>
            <w:r>
              <w:rPr>
                <w:b/>
                <w:color w:val="231F20"/>
                <w:spacing w:val="9"/>
                <w:sz w:val="14"/>
              </w:rPr>
              <w:t> </w:t>
            </w:r>
            <w:r>
              <w:rPr>
                <w:b/>
                <w:color w:val="231F20"/>
                <w:w w:val="80"/>
                <w:sz w:val="14"/>
              </w:rPr>
              <w:t>scorer</w:t>
            </w:r>
            <w:r>
              <w:rPr>
                <w:b/>
                <w:color w:val="231F20"/>
                <w:spacing w:val="10"/>
                <w:sz w:val="14"/>
              </w:rPr>
              <w:t> </w:t>
            </w:r>
            <w:r>
              <w:rPr>
                <w:b/>
                <w:color w:val="231F20"/>
                <w:w w:val="80"/>
                <w:sz w:val="14"/>
              </w:rPr>
              <w:t>in</w:t>
            </w:r>
            <w:r>
              <w:rPr>
                <w:b/>
                <w:color w:val="231F20"/>
                <w:spacing w:val="10"/>
                <w:sz w:val="14"/>
              </w:rPr>
              <w:t> </w:t>
            </w:r>
            <w:r>
              <w:rPr>
                <w:b/>
                <w:color w:val="231F20"/>
                <w:spacing w:val="-4"/>
                <w:w w:val="80"/>
                <w:sz w:val="14"/>
              </w:rPr>
              <w:t>2016</w:t>
            </w:r>
          </w:p>
        </w:tc>
        <w:tc>
          <w:tcPr>
            <w:tcW w:w="1536" w:type="dxa"/>
            <w:tcBorders>
              <w:bottom w:val="single" w:sz="4" w:space="0" w:color="008FDD"/>
            </w:tcBorders>
          </w:tcPr>
          <w:p>
            <w:pPr>
              <w:pStyle w:val="TableParagraph"/>
              <w:spacing w:before="3"/>
              <w:ind w:left="134" w:firstLine="16"/>
              <w:jc w:val="left"/>
              <w:rPr>
                <w:b/>
                <w:sz w:val="14"/>
              </w:rPr>
            </w:pPr>
            <w:r>
              <w:rPr>
                <w:b/>
                <w:color w:val="231F20"/>
                <w:w w:val="85"/>
                <w:sz w:val="14"/>
              </w:rPr>
              <w:t>Top 10 upper-middle-</w:t>
            </w:r>
            <w:r>
              <w:rPr>
                <w:b/>
                <w:color w:val="231F20"/>
                <w:spacing w:val="40"/>
                <w:sz w:val="14"/>
              </w:rPr>
              <w:t> </w:t>
            </w:r>
            <w:r>
              <w:rPr>
                <w:b/>
                <w:color w:val="231F20"/>
                <w:w w:val="80"/>
                <w:sz w:val="14"/>
              </w:rPr>
              <w:t>income</w:t>
            </w:r>
            <w:r>
              <w:rPr>
                <w:b/>
                <w:color w:val="231F20"/>
                <w:spacing w:val="9"/>
                <w:sz w:val="14"/>
              </w:rPr>
              <w:t> </w:t>
            </w:r>
            <w:r>
              <w:rPr>
                <w:b/>
                <w:color w:val="231F20"/>
                <w:w w:val="80"/>
                <w:sz w:val="14"/>
              </w:rPr>
              <w:t>scorer</w:t>
            </w:r>
            <w:r>
              <w:rPr>
                <w:b/>
                <w:color w:val="231F20"/>
                <w:spacing w:val="10"/>
                <w:sz w:val="14"/>
              </w:rPr>
              <w:t> </w:t>
            </w:r>
            <w:r>
              <w:rPr>
                <w:b/>
                <w:color w:val="231F20"/>
                <w:w w:val="80"/>
                <w:sz w:val="14"/>
              </w:rPr>
              <w:t>in</w:t>
            </w:r>
            <w:r>
              <w:rPr>
                <w:b/>
                <w:color w:val="231F20"/>
                <w:spacing w:val="10"/>
                <w:sz w:val="14"/>
              </w:rPr>
              <w:t> </w:t>
            </w:r>
            <w:r>
              <w:rPr>
                <w:b/>
                <w:color w:val="231F20"/>
                <w:spacing w:val="-4"/>
                <w:w w:val="80"/>
                <w:sz w:val="14"/>
              </w:rPr>
              <w:t>2014</w:t>
            </w:r>
          </w:p>
        </w:tc>
        <w:tc>
          <w:tcPr>
            <w:tcW w:w="1536" w:type="dxa"/>
            <w:tcBorders>
              <w:bottom w:val="single" w:sz="4" w:space="0" w:color="008FDD"/>
            </w:tcBorders>
          </w:tcPr>
          <w:p>
            <w:pPr>
              <w:pStyle w:val="TableParagraph"/>
              <w:spacing w:before="3"/>
              <w:ind w:left="134" w:firstLine="16"/>
              <w:jc w:val="left"/>
              <w:rPr>
                <w:b/>
                <w:sz w:val="14"/>
              </w:rPr>
            </w:pPr>
            <w:r>
              <w:rPr>
                <w:b/>
                <w:color w:val="231F20"/>
                <w:w w:val="85"/>
                <w:sz w:val="14"/>
              </w:rPr>
              <w:t>Top 10 upper-middle-</w:t>
            </w:r>
            <w:r>
              <w:rPr>
                <w:b/>
                <w:color w:val="231F20"/>
                <w:spacing w:val="40"/>
                <w:sz w:val="14"/>
              </w:rPr>
              <w:t> </w:t>
            </w:r>
            <w:r>
              <w:rPr>
                <w:b/>
                <w:color w:val="231F20"/>
                <w:w w:val="80"/>
                <w:sz w:val="14"/>
              </w:rPr>
              <w:t>income</w:t>
            </w:r>
            <w:r>
              <w:rPr>
                <w:b/>
                <w:color w:val="231F20"/>
                <w:spacing w:val="9"/>
                <w:sz w:val="14"/>
              </w:rPr>
              <w:t> </w:t>
            </w:r>
            <w:r>
              <w:rPr>
                <w:b/>
                <w:color w:val="231F20"/>
                <w:w w:val="80"/>
                <w:sz w:val="14"/>
              </w:rPr>
              <w:t>scorer</w:t>
            </w:r>
            <w:r>
              <w:rPr>
                <w:b/>
                <w:color w:val="231F20"/>
                <w:spacing w:val="10"/>
                <w:sz w:val="14"/>
              </w:rPr>
              <w:t> </w:t>
            </w:r>
            <w:r>
              <w:rPr>
                <w:b/>
                <w:color w:val="231F20"/>
                <w:w w:val="80"/>
                <w:sz w:val="14"/>
              </w:rPr>
              <w:t>in</w:t>
            </w:r>
            <w:r>
              <w:rPr>
                <w:b/>
                <w:color w:val="231F20"/>
                <w:spacing w:val="10"/>
                <w:sz w:val="14"/>
              </w:rPr>
              <w:t> </w:t>
            </w:r>
            <w:r>
              <w:rPr>
                <w:b/>
                <w:color w:val="231F20"/>
                <w:spacing w:val="-4"/>
                <w:w w:val="80"/>
                <w:sz w:val="14"/>
              </w:rPr>
              <w:t>2012</w:t>
            </w:r>
          </w:p>
        </w:tc>
      </w:tr>
      <w:tr>
        <w:trPr>
          <w:trHeight w:val="258" w:hRule="atLeast"/>
        </w:trPr>
        <w:tc>
          <w:tcPr>
            <w:tcW w:w="1485" w:type="dxa"/>
            <w:tcBorders>
              <w:top w:val="single" w:sz="4" w:space="0" w:color="008FDD"/>
            </w:tcBorders>
          </w:tcPr>
          <w:p>
            <w:pPr>
              <w:pStyle w:val="TableParagraph"/>
              <w:spacing w:before="47"/>
              <w:ind w:left="80"/>
              <w:jc w:val="left"/>
              <w:rPr>
                <w:sz w:val="14"/>
              </w:rPr>
            </w:pPr>
            <w:r>
              <w:rPr>
                <w:color w:val="231F20"/>
                <w:w w:val="75"/>
                <w:sz w:val="14"/>
              </w:rPr>
              <w:t>Bosnia</w:t>
            </w:r>
            <w:r>
              <w:rPr>
                <w:color w:val="231F20"/>
                <w:spacing w:val="6"/>
                <w:sz w:val="14"/>
              </w:rPr>
              <w:t> </w:t>
            </w:r>
            <w:r>
              <w:rPr>
                <w:color w:val="231F20"/>
                <w:w w:val="75"/>
                <w:sz w:val="14"/>
              </w:rPr>
              <w:t>and</w:t>
            </w:r>
            <w:r>
              <w:rPr>
                <w:color w:val="231F20"/>
                <w:spacing w:val="6"/>
                <w:sz w:val="14"/>
              </w:rPr>
              <w:t> </w:t>
            </w:r>
            <w:r>
              <w:rPr>
                <w:color w:val="231F20"/>
                <w:spacing w:val="-2"/>
                <w:w w:val="75"/>
                <w:sz w:val="14"/>
              </w:rPr>
              <w:t>Herzegovina</w:t>
            </w:r>
          </w:p>
        </w:tc>
        <w:tc>
          <w:tcPr>
            <w:tcW w:w="1587" w:type="dxa"/>
            <w:tcBorders>
              <w:top w:val="single" w:sz="4" w:space="0" w:color="008FDD"/>
            </w:tcBorders>
          </w:tcPr>
          <w:p>
            <w:pPr>
              <w:pStyle w:val="TableParagraph"/>
              <w:spacing w:before="47"/>
              <w:ind w:left="54"/>
              <w:rPr>
                <w:sz w:val="14"/>
              </w:rPr>
            </w:pPr>
            <w:r>
              <w:rPr>
                <w:color w:val="231F20"/>
                <w:spacing w:val="-5"/>
                <w:w w:val="85"/>
                <w:sz w:val="14"/>
              </w:rPr>
              <w:t>No</w:t>
            </w:r>
          </w:p>
        </w:tc>
        <w:tc>
          <w:tcPr>
            <w:tcW w:w="1537" w:type="dxa"/>
            <w:tcBorders>
              <w:top w:val="single" w:sz="4" w:space="0" w:color="008FDD"/>
            </w:tcBorders>
          </w:tcPr>
          <w:p>
            <w:pPr>
              <w:pStyle w:val="TableParagraph"/>
              <w:spacing w:before="47"/>
              <w:ind w:left="2"/>
              <w:rPr>
                <w:sz w:val="14"/>
              </w:rPr>
            </w:pPr>
            <w:r>
              <w:rPr>
                <w:color w:val="231F20"/>
                <w:spacing w:val="-5"/>
                <w:w w:val="85"/>
                <w:sz w:val="14"/>
              </w:rPr>
              <w:t>No</w:t>
            </w:r>
          </w:p>
        </w:tc>
        <w:tc>
          <w:tcPr>
            <w:tcW w:w="1536" w:type="dxa"/>
            <w:tcBorders>
              <w:top w:val="single" w:sz="4" w:space="0" w:color="008FDD"/>
            </w:tcBorders>
          </w:tcPr>
          <w:p>
            <w:pPr>
              <w:pStyle w:val="TableParagraph"/>
              <w:spacing w:before="47"/>
              <w:ind w:left="5" w:right="4"/>
              <w:rPr>
                <w:sz w:val="14"/>
              </w:rPr>
            </w:pPr>
            <w:r>
              <w:rPr>
                <w:color w:val="231F20"/>
                <w:spacing w:val="-5"/>
                <w:w w:val="85"/>
                <w:sz w:val="14"/>
              </w:rPr>
              <w:t>No</w:t>
            </w:r>
          </w:p>
        </w:tc>
        <w:tc>
          <w:tcPr>
            <w:tcW w:w="1536" w:type="dxa"/>
            <w:tcBorders>
              <w:top w:val="single" w:sz="4" w:space="0" w:color="008FDD"/>
            </w:tcBorders>
          </w:tcPr>
          <w:p>
            <w:pPr>
              <w:pStyle w:val="TableParagraph"/>
              <w:spacing w:before="47"/>
              <w:ind w:left="5" w:right="6"/>
              <w:rPr>
                <w:sz w:val="14"/>
              </w:rPr>
            </w:pPr>
            <w:r>
              <w:rPr>
                <w:color w:val="231F20"/>
                <w:spacing w:val="-5"/>
                <w:w w:val="85"/>
                <w:sz w:val="14"/>
              </w:rPr>
              <w:t>Yes</w:t>
            </w:r>
          </w:p>
        </w:tc>
      </w:tr>
      <w:tr>
        <w:trPr>
          <w:trHeight w:val="259" w:hRule="atLeast"/>
        </w:trPr>
        <w:tc>
          <w:tcPr>
            <w:tcW w:w="1485" w:type="dxa"/>
            <w:shd w:val="clear" w:color="auto" w:fill="D4E3F5"/>
          </w:tcPr>
          <w:p>
            <w:pPr>
              <w:pStyle w:val="TableParagraph"/>
              <w:ind w:left="80"/>
              <w:jc w:val="left"/>
              <w:rPr>
                <w:sz w:val="14"/>
              </w:rPr>
            </w:pPr>
            <w:r>
              <w:rPr>
                <w:color w:val="231F20"/>
                <w:spacing w:val="-2"/>
                <w:w w:val="90"/>
                <w:sz w:val="14"/>
              </w:rPr>
              <w:t>Botswana</w:t>
            </w:r>
          </w:p>
        </w:tc>
        <w:tc>
          <w:tcPr>
            <w:tcW w:w="1587" w:type="dxa"/>
            <w:shd w:val="clear" w:color="auto" w:fill="D4E3F5"/>
          </w:tcPr>
          <w:p>
            <w:pPr>
              <w:pStyle w:val="TableParagraph"/>
              <w:ind w:left="54"/>
              <w:rPr>
                <w:sz w:val="14"/>
              </w:rPr>
            </w:pPr>
            <w:r>
              <w:rPr>
                <w:color w:val="231F20"/>
                <w:spacing w:val="-5"/>
                <w:w w:val="85"/>
                <w:sz w:val="14"/>
              </w:rPr>
              <w:t>No</w:t>
            </w:r>
          </w:p>
        </w:tc>
        <w:tc>
          <w:tcPr>
            <w:tcW w:w="1537" w:type="dxa"/>
            <w:shd w:val="clear" w:color="auto" w:fill="D4E3F5"/>
          </w:tcPr>
          <w:p>
            <w:pPr>
              <w:pStyle w:val="TableParagraph"/>
              <w:ind w:left="2" w:right="2"/>
              <w:rPr>
                <w:sz w:val="14"/>
              </w:rPr>
            </w:pPr>
            <w:r>
              <w:rPr>
                <w:color w:val="231F20"/>
                <w:spacing w:val="-5"/>
                <w:w w:val="85"/>
                <w:sz w:val="14"/>
              </w:rPr>
              <w:t>Yes</w:t>
            </w:r>
          </w:p>
        </w:tc>
        <w:tc>
          <w:tcPr>
            <w:tcW w:w="1536" w:type="dxa"/>
            <w:shd w:val="clear" w:color="auto" w:fill="D4E3F5"/>
          </w:tcPr>
          <w:p>
            <w:pPr>
              <w:pStyle w:val="TableParagraph"/>
              <w:ind w:left="5" w:right="4"/>
              <w:rPr>
                <w:sz w:val="14"/>
              </w:rPr>
            </w:pPr>
            <w:r>
              <w:rPr>
                <w:color w:val="231F20"/>
                <w:spacing w:val="-5"/>
                <w:w w:val="85"/>
                <w:sz w:val="14"/>
              </w:rPr>
              <w:t>No</w:t>
            </w:r>
          </w:p>
        </w:tc>
        <w:tc>
          <w:tcPr>
            <w:tcW w:w="1536" w:type="dxa"/>
            <w:shd w:val="clear" w:color="auto" w:fill="D4E3F5"/>
          </w:tcPr>
          <w:p>
            <w:pPr>
              <w:pStyle w:val="TableParagraph"/>
              <w:ind w:left="5" w:right="4"/>
              <w:rPr>
                <w:sz w:val="14"/>
              </w:rPr>
            </w:pPr>
            <w:r>
              <w:rPr>
                <w:color w:val="231F20"/>
                <w:spacing w:val="-5"/>
                <w:w w:val="85"/>
                <w:sz w:val="14"/>
              </w:rPr>
              <w:t>No</w:t>
            </w:r>
          </w:p>
        </w:tc>
      </w:tr>
      <w:tr>
        <w:trPr>
          <w:trHeight w:val="259" w:hRule="atLeast"/>
        </w:trPr>
        <w:tc>
          <w:tcPr>
            <w:tcW w:w="1485" w:type="dxa"/>
          </w:tcPr>
          <w:p>
            <w:pPr>
              <w:pStyle w:val="TableParagraph"/>
              <w:ind w:left="80"/>
              <w:jc w:val="left"/>
              <w:rPr>
                <w:sz w:val="14"/>
              </w:rPr>
            </w:pPr>
            <w:r>
              <w:rPr>
                <w:color w:val="231F20"/>
                <w:spacing w:val="-2"/>
                <w:w w:val="90"/>
                <w:sz w:val="14"/>
              </w:rPr>
              <w:t>Brazil</w:t>
            </w:r>
          </w:p>
        </w:tc>
        <w:tc>
          <w:tcPr>
            <w:tcW w:w="1587" w:type="dxa"/>
          </w:tcPr>
          <w:p>
            <w:pPr>
              <w:pStyle w:val="TableParagraph"/>
              <w:ind w:left="54" w:right="3"/>
              <w:rPr>
                <w:sz w:val="14"/>
              </w:rPr>
            </w:pPr>
            <w:r>
              <w:rPr>
                <w:color w:val="231F20"/>
                <w:spacing w:val="-5"/>
                <w:w w:val="85"/>
                <w:sz w:val="14"/>
              </w:rPr>
              <w:t>Yes</w:t>
            </w:r>
          </w:p>
        </w:tc>
        <w:tc>
          <w:tcPr>
            <w:tcW w:w="1537" w:type="dxa"/>
          </w:tcPr>
          <w:p>
            <w:pPr>
              <w:pStyle w:val="TableParagraph"/>
              <w:ind w:left="2" w:right="2"/>
              <w:rPr>
                <w:sz w:val="14"/>
              </w:rPr>
            </w:pPr>
            <w:r>
              <w:rPr>
                <w:color w:val="231F20"/>
                <w:spacing w:val="-5"/>
                <w:w w:val="85"/>
                <w:sz w:val="14"/>
              </w:rPr>
              <w:t>Yes</w:t>
            </w:r>
          </w:p>
        </w:tc>
        <w:tc>
          <w:tcPr>
            <w:tcW w:w="1536" w:type="dxa"/>
          </w:tcPr>
          <w:p>
            <w:pPr>
              <w:pStyle w:val="TableParagraph"/>
              <w:ind w:left="5" w:right="6"/>
              <w:rPr>
                <w:sz w:val="14"/>
              </w:rPr>
            </w:pPr>
            <w:r>
              <w:rPr>
                <w:color w:val="231F20"/>
                <w:spacing w:val="-5"/>
                <w:w w:val="85"/>
                <w:sz w:val="14"/>
              </w:rPr>
              <w:t>Yes</w:t>
            </w:r>
          </w:p>
        </w:tc>
        <w:tc>
          <w:tcPr>
            <w:tcW w:w="1536" w:type="dxa"/>
          </w:tcPr>
          <w:p>
            <w:pPr>
              <w:pStyle w:val="TableParagraph"/>
              <w:ind w:left="5" w:right="6"/>
              <w:rPr>
                <w:sz w:val="14"/>
              </w:rPr>
            </w:pPr>
            <w:r>
              <w:rPr>
                <w:color w:val="231F20"/>
                <w:spacing w:val="-5"/>
                <w:w w:val="85"/>
                <w:sz w:val="14"/>
              </w:rPr>
              <w:t>Yes</w:t>
            </w:r>
          </w:p>
        </w:tc>
      </w:tr>
      <w:tr>
        <w:trPr>
          <w:trHeight w:val="259" w:hRule="atLeast"/>
        </w:trPr>
        <w:tc>
          <w:tcPr>
            <w:tcW w:w="1485" w:type="dxa"/>
            <w:shd w:val="clear" w:color="auto" w:fill="D4E3F5"/>
          </w:tcPr>
          <w:p>
            <w:pPr>
              <w:pStyle w:val="TableParagraph"/>
              <w:ind w:left="80"/>
              <w:jc w:val="left"/>
              <w:rPr>
                <w:sz w:val="14"/>
              </w:rPr>
            </w:pPr>
            <w:r>
              <w:rPr>
                <w:color w:val="231F20"/>
                <w:spacing w:val="-2"/>
                <w:w w:val="90"/>
                <w:sz w:val="14"/>
              </w:rPr>
              <w:t>Bulgaria</w:t>
            </w:r>
          </w:p>
        </w:tc>
        <w:tc>
          <w:tcPr>
            <w:tcW w:w="1587" w:type="dxa"/>
            <w:shd w:val="clear" w:color="auto" w:fill="D4E3F5"/>
          </w:tcPr>
          <w:p>
            <w:pPr>
              <w:pStyle w:val="TableParagraph"/>
              <w:ind w:left="54" w:right="3"/>
              <w:rPr>
                <w:sz w:val="14"/>
              </w:rPr>
            </w:pPr>
            <w:r>
              <w:rPr>
                <w:color w:val="231F20"/>
                <w:spacing w:val="-5"/>
                <w:w w:val="85"/>
                <w:sz w:val="14"/>
              </w:rPr>
              <w:t>Yes</w:t>
            </w:r>
          </w:p>
        </w:tc>
        <w:tc>
          <w:tcPr>
            <w:tcW w:w="1537" w:type="dxa"/>
            <w:shd w:val="clear" w:color="auto" w:fill="D4E3F5"/>
          </w:tcPr>
          <w:p>
            <w:pPr>
              <w:pStyle w:val="TableParagraph"/>
              <w:ind w:left="2"/>
              <w:rPr>
                <w:sz w:val="14"/>
              </w:rPr>
            </w:pPr>
            <w:r>
              <w:rPr>
                <w:color w:val="231F20"/>
                <w:spacing w:val="-5"/>
                <w:w w:val="85"/>
                <w:sz w:val="14"/>
              </w:rPr>
              <w:t>No</w:t>
            </w:r>
          </w:p>
        </w:tc>
        <w:tc>
          <w:tcPr>
            <w:tcW w:w="1536" w:type="dxa"/>
            <w:shd w:val="clear" w:color="auto" w:fill="D4E3F5"/>
          </w:tcPr>
          <w:p>
            <w:pPr>
              <w:pStyle w:val="TableParagraph"/>
              <w:ind w:left="5" w:right="6"/>
              <w:rPr>
                <w:sz w:val="14"/>
              </w:rPr>
            </w:pPr>
            <w:r>
              <w:rPr>
                <w:color w:val="231F20"/>
                <w:spacing w:val="-5"/>
                <w:w w:val="85"/>
                <w:sz w:val="14"/>
              </w:rPr>
              <w:t>Yes</w:t>
            </w:r>
          </w:p>
        </w:tc>
        <w:tc>
          <w:tcPr>
            <w:tcW w:w="1536" w:type="dxa"/>
            <w:shd w:val="clear" w:color="auto" w:fill="D4E3F5"/>
          </w:tcPr>
          <w:p>
            <w:pPr>
              <w:pStyle w:val="TableParagraph"/>
              <w:ind w:left="5" w:right="6"/>
              <w:rPr>
                <w:sz w:val="14"/>
              </w:rPr>
            </w:pPr>
            <w:r>
              <w:rPr>
                <w:color w:val="231F20"/>
                <w:spacing w:val="-5"/>
                <w:w w:val="85"/>
                <w:sz w:val="14"/>
              </w:rPr>
              <w:t>Yes</w:t>
            </w:r>
          </w:p>
        </w:tc>
      </w:tr>
      <w:tr>
        <w:trPr>
          <w:trHeight w:val="259" w:hRule="atLeast"/>
        </w:trPr>
        <w:tc>
          <w:tcPr>
            <w:tcW w:w="1485" w:type="dxa"/>
          </w:tcPr>
          <w:p>
            <w:pPr>
              <w:pStyle w:val="TableParagraph"/>
              <w:ind w:left="80"/>
              <w:jc w:val="left"/>
              <w:rPr>
                <w:sz w:val="14"/>
              </w:rPr>
            </w:pPr>
            <w:r>
              <w:rPr>
                <w:color w:val="231F20"/>
                <w:spacing w:val="-2"/>
                <w:w w:val="85"/>
                <w:sz w:val="14"/>
              </w:rPr>
              <w:t>China</w:t>
            </w:r>
          </w:p>
        </w:tc>
        <w:tc>
          <w:tcPr>
            <w:tcW w:w="1587" w:type="dxa"/>
          </w:tcPr>
          <w:p>
            <w:pPr>
              <w:pStyle w:val="TableParagraph"/>
              <w:ind w:left="54" w:right="3"/>
              <w:rPr>
                <w:sz w:val="14"/>
              </w:rPr>
            </w:pPr>
            <w:r>
              <w:rPr>
                <w:color w:val="231F20"/>
                <w:spacing w:val="-5"/>
                <w:w w:val="85"/>
                <w:sz w:val="14"/>
              </w:rPr>
              <w:t>Yes</w:t>
            </w:r>
          </w:p>
        </w:tc>
        <w:tc>
          <w:tcPr>
            <w:tcW w:w="1537" w:type="dxa"/>
          </w:tcPr>
          <w:p>
            <w:pPr>
              <w:pStyle w:val="TableParagraph"/>
              <w:ind w:left="2" w:right="2"/>
              <w:rPr>
                <w:sz w:val="14"/>
              </w:rPr>
            </w:pPr>
            <w:r>
              <w:rPr>
                <w:color w:val="231F20"/>
                <w:spacing w:val="-5"/>
                <w:w w:val="85"/>
                <w:sz w:val="14"/>
              </w:rPr>
              <w:t>Yes</w:t>
            </w:r>
          </w:p>
        </w:tc>
        <w:tc>
          <w:tcPr>
            <w:tcW w:w="1536" w:type="dxa"/>
          </w:tcPr>
          <w:p>
            <w:pPr>
              <w:pStyle w:val="TableParagraph"/>
              <w:ind w:left="5" w:right="6"/>
              <w:rPr>
                <w:sz w:val="14"/>
              </w:rPr>
            </w:pPr>
            <w:r>
              <w:rPr>
                <w:color w:val="231F20"/>
                <w:spacing w:val="-5"/>
                <w:w w:val="85"/>
                <w:sz w:val="14"/>
              </w:rPr>
              <w:t>Yes</w:t>
            </w:r>
          </w:p>
        </w:tc>
        <w:tc>
          <w:tcPr>
            <w:tcW w:w="1536" w:type="dxa"/>
          </w:tcPr>
          <w:p>
            <w:pPr>
              <w:pStyle w:val="TableParagraph"/>
              <w:ind w:left="5" w:right="6"/>
              <w:rPr>
                <w:sz w:val="14"/>
              </w:rPr>
            </w:pPr>
            <w:r>
              <w:rPr>
                <w:color w:val="231F20"/>
                <w:spacing w:val="-5"/>
                <w:w w:val="85"/>
                <w:sz w:val="14"/>
              </w:rPr>
              <w:t>Yes</w:t>
            </w:r>
          </w:p>
        </w:tc>
      </w:tr>
      <w:tr>
        <w:trPr>
          <w:trHeight w:val="259" w:hRule="atLeast"/>
        </w:trPr>
        <w:tc>
          <w:tcPr>
            <w:tcW w:w="1485" w:type="dxa"/>
            <w:shd w:val="clear" w:color="auto" w:fill="D4E3F5"/>
          </w:tcPr>
          <w:p>
            <w:pPr>
              <w:pStyle w:val="TableParagraph"/>
              <w:ind w:left="80"/>
              <w:jc w:val="left"/>
              <w:rPr>
                <w:sz w:val="14"/>
              </w:rPr>
            </w:pPr>
            <w:r>
              <w:rPr>
                <w:color w:val="231F20"/>
                <w:spacing w:val="-2"/>
                <w:w w:val="90"/>
                <w:sz w:val="14"/>
              </w:rPr>
              <w:t>Malaysia</w:t>
            </w:r>
          </w:p>
        </w:tc>
        <w:tc>
          <w:tcPr>
            <w:tcW w:w="1587" w:type="dxa"/>
            <w:shd w:val="clear" w:color="auto" w:fill="D4E3F5"/>
          </w:tcPr>
          <w:p>
            <w:pPr>
              <w:pStyle w:val="TableParagraph"/>
              <w:ind w:left="54" w:right="3"/>
              <w:rPr>
                <w:sz w:val="14"/>
              </w:rPr>
            </w:pPr>
            <w:r>
              <w:rPr>
                <w:color w:val="231F20"/>
                <w:spacing w:val="-5"/>
                <w:w w:val="85"/>
                <w:sz w:val="14"/>
              </w:rPr>
              <w:t>Yes</w:t>
            </w:r>
          </w:p>
        </w:tc>
        <w:tc>
          <w:tcPr>
            <w:tcW w:w="1537" w:type="dxa"/>
            <w:shd w:val="clear" w:color="auto" w:fill="D4E3F5"/>
          </w:tcPr>
          <w:p>
            <w:pPr>
              <w:pStyle w:val="TableParagraph"/>
              <w:ind w:left="2" w:right="2"/>
              <w:rPr>
                <w:sz w:val="14"/>
              </w:rPr>
            </w:pPr>
            <w:r>
              <w:rPr>
                <w:color w:val="231F20"/>
                <w:spacing w:val="-5"/>
                <w:w w:val="85"/>
                <w:sz w:val="14"/>
              </w:rPr>
              <w:t>Yes</w:t>
            </w:r>
          </w:p>
        </w:tc>
        <w:tc>
          <w:tcPr>
            <w:tcW w:w="1536" w:type="dxa"/>
            <w:shd w:val="clear" w:color="auto" w:fill="D4E3F5"/>
          </w:tcPr>
          <w:p>
            <w:pPr>
              <w:pStyle w:val="TableParagraph"/>
              <w:ind w:left="5" w:right="6"/>
              <w:rPr>
                <w:sz w:val="14"/>
              </w:rPr>
            </w:pPr>
            <w:r>
              <w:rPr>
                <w:color w:val="231F20"/>
                <w:spacing w:val="-5"/>
                <w:w w:val="85"/>
                <w:sz w:val="14"/>
              </w:rPr>
              <w:t>Yes</w:t>
            </w:r>
          </w:p>
        </w:tc>
        <w:tc>
          <w:tcPr>
            <w:tcW w:w="1536" w:type="dxa"/>
            <w:shd w:val="clear" w:color="auto" w:fill="D4E3F5"/>
          </w:tcPr>
          <w:p>
            <w:pPr>
              <w:pStyle w:val="TableParagraph"/>
              <w:ind w:left="5" w:right="6"/>
              <w:rPr>
                <w:sz w:val="14"/>
              </w:rPr>
            </w:pPr>
            <w:r>
              <w:rPr>
                <w:color w:val="231F20"/>
                <w:spacing w:val="-5"/>
                <w:w w:val="85"/>
                <w:sz w:val="14"/>
              </w:rPr>
              <w:t>Yes</w:t>
            </w:r>
          </w:p>
        </w:tc>
      </w:tr>
      <w:tr>
        <w:trPr>
          <w:trHeight w:val="259" w:hRule="atLeast"/>
        </w:trPr>
        <w:tc>
          <w:tcPr>
            <w:tcW w:w="1485" w:type="dxa"/>
          </w:tcPr>
          <w:p>
            <w:pPr>
              <w:pStyle w:val="TableParagraph"/>
              <w:ind w:left="80"/>
              <w:jc w:val="left"/>
              <w:rPr>
                <w:sz w:val="14"/>
              </w:rPr>
            </w:pPr>
            <w:r>
              <w:rPr>
                <w:color w:val="231F20"/>
                <w:w w:val="75"/>
                <w:sz w:val="14"/>
              </w:rPr>
              <w:t>North</w:t>
            </w:r>
            <w:r>
              <w:rPr>
                <w:color w:val="231F20"/>
                <w:spacing w:val="15"/>
                <w:sz w:val="14"/>
              </w:rPr>
              <w:t> </w:t>
            </w:r>
            <w:r>
              <w:rPr>
                <w:color w:val="231F20"/>
                <w:spacing w:val="-2"/>
                <w:w w:val="90"/>
                <w:sz w:val="14"/>
              </w:rPr>
              <w:t>Macedonia</w:t>
            </w:r>
          </w:p>
        </w:tc>
        <w:tc>
          <w:tcPr>
            <w:tcW w:w="1587" w:type="dxa"/>
          </w:tcPr>
          <w:p>
            <w:pPr>
              <w:pStyle w:val="TableParagraph"/>
              <w:ind w:left="54"/>
              <w:rPr>
                <w:sz w:val="14"/>
              </w:rPr>
            </w:pPr>
            <w:r>
              <w:rPr>
                <w:color w:val="231F20"/>
                <w:spacing w:val="-5"/>
                <w:w w:val="85"/>
                <w:sz w:val="14"/>
              </w:rPr>
              <w:t>No</w:t>
            </w:r>
          </w:p>
        </w:tc>
        <w:tc>
          <w:tcPr>
            <w:tcW w:w="1537" w:type="dxa"/>
          </w:tcPr>
          <w:p>
            <w:pPr>
              <w:pStyle w:val="TableParagraph"/>
              <w:ind w:left="2"/>
              <w:rPr>
                <w:sz w:val="14"/>
              </w:rPr>
            </w:pPr>
            <w:r>
              <w:rPr>
                <w:color w:val="231F20"/>
                <w:spacing w:val="-5"/>
                <w:w w:val="85"/>
                <w:sz w:val="14"/>
              </w:rPr>
              <w:t>No</w:t>
            </w:r>
          </w:p>
        </w:tc>
        <w:tc>
          <w:tcPr>
            <w:tcW w:w="1536" w:type="dxa"/>
          </w:tcPr>
          <w:p>
            <w:pPr>
              <w:pStyle w:val="TableParagraph"/>
              <w:ind w:left="5" w:right="4"/>
              <w:rPr>
                <w:sz w:val="14"/>
              </w:rPr>
            </w:pPr>
            <w:r>
              <w:rPr>
                <w:color w:val="231F20"/>
                <w:spacing w:val="-5"/>
                <w:w w:val="85"/>
                <w:sz w:val="14"/>
              </w:rPr>
              <w:t>No</w:t>
            </w:r>
          </w:p>
        </w:tc>
        <w:tc>
          <w:tcPr>
            <w:tcW w:w="1536" w:type="dxa"/>
          </w:tcPr>
          <w:p>
            <w:pPr>
              <w:pStyle w:val="TableParagraph"/>
              <w:ind w:left="5" w:right="4"/>
              <w:rPr>
                <w:sz w:val="14"/>
              </w:rPr>
            </w:pPr>
            <w:r>
              <w:rPr>
                <w:color w:val="231F20"/>
                <w:spacing w:val="-5"/>
                <w:w w:val="85"/>
                <w:sz w:val="14"/>
              </w:rPr>
              <w:t>No</w:t>
            </w:r>
          </w:p>
        </w:tc>
      </w:tr>
      <w:tr>
        <w:trPr>
          <w:trHeight w:val="259" w:hRule="atLeast"/>
        </w:trPr>
        <w:tc>
          <w:tcPr>
            <w:tcW w:w="1485" w:type="dxa"/>
            <w:shd w:val="clear" w:color="auto" w:fill="D4E3F5"/>
          </w:tcPr>
          <w:p>
            <w:pPr>
              <w:pStyle w:val="TableParagraph"/>
              <w:ind w:left="80"/>
              <w:jc w:val="left"/>
              <w:rPr>
                <w:sz w:val="14"/>
              </w:rPr>
            </w:pPr>
            <w:r>
              <w:rPr>
                <w:color w:val="231F20"/>
                <w:spacing w:val="-4"/>
                <w:w w:val="90"/>
                <w:sz w:val="14"/>
              </w:rPr>
              <w:t>Peru</w:t>
            </w:r>
          </w:p>
        </w:tc>
        <w:tc>
          <w:tcPr>
            <w:tcW w:w="1587" w:type="dxa"/>
            <w:shd w:val="clear" w:color="auto" w:fill="D4E3F5"/>
          </w:tcPr>
          <w:p>
            <w:pPr>
              <w:pStyle w:val="TableParagraph"/>
              <w:ind w:left="54"/>
              <w:rPr>
                <w:sz w:val="14"/>
              </w:rPr>
            </w:pPr>
            <w:r>
              <w:rPr>
                <w:color w:val="231F20"/>
                <w:spacing w:val="-5"/>
                <w:w w:val="85"/>
                <w:sz w:val="14"/>
              </w:rPr>
              <w:t>No</w:t>
            </w:r>
          </w:p>
        </w:tc>
        <w:tc>
          <w:tcPr>
            <w:tcW w:w="1537" w:type="dxa"/>
            <w:shd w:val="clear" w:color="auto" w:fill="D4E3F5"/>
          </w:tcPr>
          <w:p>
            <w:pPr>
              <w:pStyle w:val="TableParagraph"/>
              <w:ind w:left="2" w:right="2"/>
              <w:rPr>
                <w:sz w:val="14"/>
              </w:rPr>
            </w:pPr>
            <w:r>
              <w:rPr>
                <w:color w:val="231F20"/>
                <w:spacing w:val="-5"/>
                <w:w w:val="85"/>
                <w:sz w:val="14"/>
              </w:rPr>
              <w:t>Yes</w:t>
            </w:r>
          </w:p>
        </w:tc>
        <w:tc>
          <w:tcPr>
            <w:tcW w:w="1536" w:type="dxa"/>
            <w:shd w:val="clear" w:color="auto" w:fill="D4E3F5"/>
          </w:tcPr>
          <w:p>
            <w:pPr>
              <w:pStyle w:val="TableParagraph"/>
              <w:ind w:left="5" w:right="4"/>
              <w:rPr>
                <w:sz w:val="14"/>
              </w:rPr>
            </w:pPr>
            <w:r>
              <w:rPr>
                <w:color w:val="231F20"/>
                <w:spacing w:val="-5"/>
                <w:w w:val="85"/>
                <w:sz w:val="14"/>
              </w:rPr>
              <w:t>No</w:t>
            </w:r>
          </w:p>
        </w:tc>
        <w:tc>
          <w:tcPr>
            <w:tcW w:w="1536" w:type="dxa"/>
            <w:shd w:val="clear" w:color="auto" w:fill="D4E3F5"/>
          </w:tcPr>
          <w:p>
            <w:pPr>
              <w:pStyle w:val="TableParagraph"/>
              <w:ind w:left="5" w:right="4"/>
              <w:rPr>
                <w:sz w:val="14"/>
              </w:rPr>
            </w:pPr>
            <w:r>
              <w:rPr>
                <w:color w:val="231F20"/>
                <w:spacing w:val="-5"/>
                <w:w w:val="85"/>
                <w:sz w:val="14"/>
              </w:rPr>
              <w:t>No</w:t>
            </w:r>
          </w:p>
        </w:tc>
      </w:tr>
      <w:tr>
        <w:trPr>
          <w:trHeight w:val="259" w:hRule="atLeast"/>
        </w:trPr>
        <w:tc>
          <w:tcPr>
            <w:tcW w:w="1485" w:type="dxa"/>
          </w:tcPr>
          <w:p>
            <w:pPr>
              <w:pStyle w:val="TableParagraph"/>
              <w:ind w:left="80"/>
              <w:jc w:val="left"/>
              <w:rPr>
                <w:sz w:val="14"/>
              </w:rPr>
            </w:pPr>
            <w:r>
              <w:rPr>
                <w:color w:val="231F20"/>
                <w:w w:val="75"/>
                <w:sz w:val="14"/>
              </w:rPr>
              <w:t>South</w:t>
            </w:r>
            <w:r>
              <w:rPr>
                <w:color w:val="231F20"/>
                <w:spacing w:val="11"/>
                <w:sz w:val="14"/>
              </w:rPr>
              <w:t> </w:t>
            </w:r>
            <w:r>
              <w:rPr>
                <w:color w:val="231F20"/>
                <w:spacing w:val="-2"/>
                <w:w w:val="90"/>
                <w:sz w:val="14"/>
              </w:rPr>
              <w:t>Africa</w:t>
            </w:r>
          </w:p>
        </w:tc>
        <w:tc>
          <w:tcPr>
            <w:tcW w:w="1587" w:type="dxa"/>
          </w:tcPr>
          <w:p>
            <w:pPr>
              <w:pStyle w:val="TableParagraph"/>
              <w:ind w:left="54" w:right="3"/>
              <w:rPr>
                <w:sz w:val="14"/>
              </w:rPr>
            </w:pPr>
            <w:r>
              <w:rPr>
                <w:color w:val="231F20"/>
                <w:spacing w:val="-5"/>
                <w:w w:val="85"/>
                <w:sz w:val="14"/>
              </w:rPr>
              <w:t>Yes</w:t>
            </w:r>
          </w:p>
        </w:tc>
        <w:tc>
          <w:tcPr>
            <w:tcW w:w="1537" w:type="dxa"/>
          </w:tcPr>
          <w:p>
            <w:pPr>
              <w:pStyle w:val="TableParagraph"/>
              <w:ind w:left="2" w:right="2"/>
              <w:rPr>
                <w:sz w:val="14"/>
              </w:rPr>
            </w:pPr>
            <w:r>
              <w:rPr>
                <w:color w:val="231F20"/>
                <w:spacing w:val="-5"/>
                <w:w w:val="85"/>
                <w:sz w:val="14"/>
              </w:rPr>
              <w:t>Yes</w:t>
            </w:r>
          </w:p>
        </w:tc>
        <w:tc>
          <w:tcPr>
            <w:tcW w:w="1536" w:type="dxa"/>
          </w:tcPr>
          <w:p>
            <w:pPr>
              <w:pStyle w:val="TableParagraph"/>
              <w:ind w:left="5" w:right="6"/>
              <w:rPr>
                <w:sz w:val="14"/>
              </w:rPr>
            </w:pPr>
            <w:r>
              <w:rPr>
                <w:color w:val="231F20"/>
                <w:spacing w:val="-5"/>
                <w:w w:val="85"/>
                <w:sz w:val="14"/>
              </w:rPr>
              <w:t>Yes</w:t>
            </w:r>
          </w:p>
        </w:tc>
        <w:tc>
          <w:tcPr>
            <w:tcW w:w="1536" w:type="dxa"/>
          </w:tcPr>
          <w:p>
            <w:pPr>
              <w:pStyle w:val="TableParagraph"/>
              <w:ind w:left="5" w:right="6"/>
              <w:rPr>
                <w:sz w:val="14"/>
              </w:rPr>
            </w:pPr>
            <w:r>
              <w:rPr>
                <w:color w:val="231F20"/>
                <w:spacing w:val="-5"/>
                <w:w w:val="85"/>
                <w:sz w:val="14"/>
              </w:rPr>
              <w:t>Yes</w:t>
            </w:r>
          </w:p>
        </w:tc>
      </w:tr>
      <w:tr>
        <w:trPr>
          <w:trHeight w:val="259" w:hRule="atLeast"/>
        </w:trPr>
        <w:tc>
          <w:tcPr>
            <w:tcW w:w="1485" w:type="dxa"/>
            <w:shd w:val="clear" w:color="auto" w:fill="D4E3F5"/>
          </w:tcPr>
          <w:p>
            <w:pPr>
              <w:pStyle w:val="TableParagraph"/>
              <w:ind w:left="80"/>
              <w:jc w:val="left"/>
              <w:rPr>
                <w:sz w:val="14"/>
              </w:rPr>
            </w:pPr>
            <w:r>
              <w:rPr>
                <w:color w:val="231F20"/>
                <w:spacing w:val="-2"/>
                <w:w w:val="90"/>
                <w:sz w:val="14"/>
              </w:rPr>
              <w:t>Thailand</w:t>
            </w:r>
          </w:p>
        </w:tc>
        <w:tc>
          <w:tcPr>
            <w:tcW w:w="1587" w:type="dxa"/>
            <w:shd w:val="clear" w:color="auto" w:fill="D4E3F5"/>
          </w:tcPr>
          <w:p>
            <w:pPr>
              <w:pStyle w:val="TableParagraph"/>
              <w:ind w:left="54" w:right="3"/>
              <w:rPr>
                <w:sz w:val="14"/>
              </w:rPr>
            </w:pPr>
            <w:r>
              <w:rPr>
                <w:color w:val="231F20"/>
                <w:spacing w:val="-5"/>
                <w:w w:val="85"/>
                <w:sz w:val="14"/>
              </w:rPr>
              <w:t>Yes</w:t>
            </w:r>
          </w:p>
        </w:tc>
        <w:tc>
          <w:tcPr>
            <w:tcW w:w="1537" w:type="dxa"/>
            <w:shd w:val="clear" w:color="auto" w:fill="D4E3F5"/>
          </w:tcPr>
          <w:p>
            <w:pPr>
              <w:pStyle w:val="TableParagraph"/>
              <w:ind w:left="2" w:right="2"/>
              <w:rPr>
                <w:sz w:val="14"/>
              </w:rPr>
            </w:pPr>
            <w:r>
              <w:rPr>
                <w:color w:val="231F20"/>
                <w:spacing w:val="-5"/>
                <w:w w:val="85"/>
                <w:sz w:val="14"/>
              </w:rPr>
              <w:t>Yes</w:t>
            </w:r>
          </w:p>
        </w:tc>
        <w:tc>
          <w:tcPr>
            <w:tcW w:w="1536" w:type="dxa"/>
            <w:shd w:val="clear" w:color="auto" w:fill="D4E3F5"/>
          </w:tcPr>
          <w:p>
            <w:pPr>
              <w:pStyle w:val="TableParagraph"/>
              <w:ind w:left="5" w:right="6"/>
              <w:rPr>
                <w:sz w:val="14"/>
              </w:rPr>
            </w:pPr>
            <w:r>
              <w:rPr>
                <w:color w:val="231F20"/>
                <w:spacing w:val="-5"/>
                <w:w w:val="85"/>
                <w:sz w:val="14"/>
              </w:rPr>
              <w:t>Yes</w:t>
            </w:r>
          </w:p>
        </w:tc>
        <w:tc>
          <w:tcPr>
            <w:tcW w:w="1536" w:type="dxa"/>
            <w:shd w:val="clear" w:color="auto" w:fill="D4E3F5"/>
          </w:tcPr>
          <w:p>
            <w:pPr>
              <w:pStyle w:val="TableParagraph"/>
              <w:ind w:left="5" w:right="6"/>
              <w:rPr>
                <w:sz w:val="14"/>
              </w:rPr>
            </w:pPr>
            <w:r>
              <w:rPr>
                <w:color w:val="231F20"/>
                <w:spacing w:val="-5"/>
                <w:w w:val="85"/>
                <w:sz w:val="14"/>
              </w:rPr>
              <w:t>Yes</w:t>
            </w:r>
          </w:p>
        </w:tc>
      </w:tr>
      <w:tr>
        <w:trPr>
          <w:trHeight w:val="254" w:hRule="atLeast"/>
        </w:trPr>
        <w:tc>
          <w:tcPr>
            <w:tcW w:w="1485" w:type="dxa"/>
            <w:tcBorders>
              <w:bottom w:val="single" w:sz="4" w:space="0" w:color="008FDD"/>
            </w:tcBorders>
          </w:tcPr>
          <w:p>
            <w:pPr>
              <w:pStyle w:val="TableParagraph"/>
              <w:ind w:left="80"/>
              <w:jc w:val="left"/>
              <w:rPr>
                <w:sz w:val="14"/>
              </w:rPr>
            </w:pPr>
            <w:r>
              <w:rPr>
                <w:color w:val="231F20"/>
                <w:spacing w:val="-2"/>
                <w:w w:val="90"/>
                <w:sz w:val="14"/>
              </w:rPr>
              <w:t>Türkiye</w:t>
            </w:r>
          </w:p>
        </w:tc>
        <w:tc>
          <w:tcPr>
            <w:tcW w:w="1587" w:type="dxa"/>
            <w:tcBorders>
              <w:bottom w:val="single" w:sz="4" w:space="0" w:color="008FDD"/>
            </w:tcBorders>
          </w:tcPr>
          <w:p>
            <w:pPr>
              <w:pStyle w:val="TableParagraph"/>
              <w:ind w:left="54" w:right="3"/>
              <w:rPr>
                <w:sz w:val="14"/>
              </w:rPr>
            </w:pPr>
            <w:r>
              <w:rPr>
                <w:color w:val="231F20"/>
                <w:spacing w:val="-5"/>
                <w:w w:val="85"/>
                <w:sz w:val="14"/>
              </w:rPr>
              <w:t>Yes</w:t>
            </w:r>
          </w:p>
        </w:tc>
        <w:tc>
          <w:tcPr>
            <w:tcW w:w="1537" w:type="dxa"/>
            <w:tcBorders>
              <w:bottom w:val="single" w:sz="4" w:space="0" w:color="008FDD"/>
            </w:tcBorders>
          </w:tcPr>
          <w:p>
            <w:pPr>
              <w:pStyle w:val="TableParagraph"/>
              <w:ind w:left="2" w:right="2"/>
              <w:rPr>
                <w:sz w:val="14"/>
              </w:rPr>
            </w:pPr>
            <w:r>
              <w:rPr>
                <w:color w:val="231F20"/>
                <w:spacing w:val="-5"/>
                <w:w w:val="85"/>
                <w:sz w:val="14"/>
              </w:rPr>
              <w:t>Yes</w:t>
            </w:r>
          </w:p>
        </w:tc>
        <w:tc>
          <w:tcPr>
            <w:tcW w:w="1536" w:type="dxa"/>
            <w:tcBorders>
              <w:bottom w:val="single" w:sz="4" w:space="0" w:color="008FDD"/>
            </w:tcBorders>
          </w:tcPr>
          <w:p>
            <w:pPr>
              <w:pStyle w:val="TableParagraph"/>
              <w:ind w:left="5" w:right="6"/>
              <w:rPr>
                <w:sz w:val="14"/>
              </w:rPr>
            </w:pPr>
            <w:r>
              <w:rPr>
                <w:color w:val="231F20"/>
                <w:spacing w:val="-5"/>
                <w:w w:val="85"/>
                <w:sz w:val="14"/>
              </w:rPr>
              <w:t>Yes</w:t>
            </w:r>
          </w:p>
        </w:tc>
        <w:tc>
          <w:tcPr>
            <w:tcW w:w="1536" w:type="dxa"/>
            <w:tcBorders>
              <w:bottom w:val="single" w:sz="4" w:space="0" w:color="008FDD"/>
            </w:tcBorders>
          </w:tcPr>
          <w:p>
            <w:pPr>
              <w:pStyle w:val="TableParagraph"/>
              <w:ind w:left="5" w:right="6"/>
              <w:rPr>
                <w:sz w:val="14"/>
              </w:rPr>
            </w:pPr>
            <w:r>
              <w:rPr>
                <w:color w:val="231F20"/>
                <w:spacing w:val="-5"/>
                <w:w w:val="85"/>
                <w:sz w:val="14"/>
              </w:rPr>
              <w:t>Yes</w:t>
            </w:r>
          </w:p>
        </w:tc>
      </w:tr>
    </w:tbl>
    <w:p>
      <w:pPr>
        <w:pStyle w:val="BodyText"/>
        <w:spacing w:before="52"/>
        <w:rPr>
          <w:rFonts w:ascii="Arial"/>
          <w:sz w:val="12"/>
        </w:rPr>
      </w:pPr>
    </w:p>
    <w:p>
      <w:pPr>
        <w:spacing w:before="0"/>
        <w:ind w:left="1200" w:right="0" w:firstLine="0"/>
        <w:jc w:val="left"/>
        <w:rPr>
          <w:rFonts w:ascii="Arial"/>
          <w:sz w:val="12"/>
        </w:rPr>
      </w:pPr>
      <w:r>
        <w:rPr>
          <w:rFonts w:ascii="Arial"/>
          <w:i/>
          <w:color w:val="231F20"/>
          <w:w w:val="75"/>
          <w:sz w:val="12"/>
        </w:rPr>
        <w:t>Source:</w:t>
      </w:r>
      <w:r>
        <w:rPr>
          <w:rFonts w:ascii="Arial"/>
          <w:i/>
          <w:color w:val="231F20"/>
          <w:spacing w:val="7"/>
          <w:sz w:val="12"/>
        </w:rPr>
        <w:t> </w:t>
      </w:r>
      <w:r>
        <w:rPr>
          <w:rFonts w:ascii="Arial"/>
          <w:color w:val="231F20"/>
          <w:w w:val="75"/>
          <w:sz w:val="12"/>
        </w:rPr>
        <w:t>World</w:t>
      </w:r>
      <w:r>
        <w:rPr>
          <w:rFonts w:ascii="Arial"/>
          <w:color w:val="231F20"/>
          <w:spacing w:val="8"/>
          <w:sz w:val="12"/>
        </w:rPr>
        <w:t> </w:t>
      </w:r>
      <w:r>
        <w:rPr>
          <w:rFonts w:ascii="Arial"/>
          <w:color w:val="231F20"/>
          <w:spacing w:val="-2"/>
          <w:w w:val="75"/>
          <w:sz w:val="12"/>
        </w:rPr>
        <w:t>Bank.</w:t>
      </w:r>
    </w:p>
    <w:p>
      <w:pPr>
        <w:spacing w:line="278" w:lineRule="auto" w:before="22"/>
        <w:ind w:left="1200" w:right="2865" w:firstLine="0"/>
        <w:jc w:val="left"/>
        <w:rPr>
          <w:rFonts w:ascii="Arial"/>
          <w:sz w:val="12"/>
        </w:rPr>
      </w:pPr>
      <w:r>
        <w:rPr>
          <w:rFonts w:ascii="Arial"/>
          <w:i/>
          <w:color w:val="231F20"/>
          <w:w w:val="80"/>
          <w:sz w:val="12"/>
        </w:rPr>
        <w:t>Note:</w:t>
      </w:r>
      <w:r>
        <w:rPr>
          <w:rFonts w:ascii="Arial"/>
          <w:i/>
          <w:color w:val="231F20"/>
          <w:sz w:val="12"/>
        </w:rPr>
        <w:t> </w:t>
      </w:r>
      <w:r>
        <w:rPr>
          <w:rFonts w:ascii="Arial"/>
          <w:color w:val="231F20"/>
          <w:w w:val="80"/>
          <w:sz w:val="12"/>
        </w:rPr>
        <w:t>Because</w:t>
      </w:r>
      <w:r>
        <w:rPr>
          <w:rFonts w:ascii="Arial"/>
          <w:color w:val="231F20"/>
          <w:sz w:val="12"/>
        </w:rPr>
        <w:t> </w:t>
      </w:r>
      <w:r>
        <w:rPr>
          <w:rFonts w:ascii="Arial"/>
          <w:color w:val="231F20"/>
          <w:w w:val="80"/>
          <w:sz w:val="12"/>
        </w:rPr>
        <w:t>of</w:t>
      </w:r>
      <w:r>
        <w:rPr>
          <w:rFonts w:ascii="Arial"/>
          <w:color w:val="231F20"/>
          <w:sz w:val="12"/>
        </w:rPr>
        <w:t> </w:t>
      </w:r>
      <w:r>
        <w:rPr>
          <w:rFonts w:ascii="Arial"/>
          <w:color w:val="231F20"/>
          <w:w w:val="80"/>
          <w:sz w:val="12"/>
        </w:rPr>
        <w:t>tied</w:t>
      </w:r>
      <w:r>
        <w:rPr>
          <w:rFonts w:ascii="Arial"/>
          <w:color w:val="231F20"/>
          <w:sz w:val="12"/>
        </w:rPr>
        <w:t> </w:t>
      </w:r>
      <w:r>
        <w:rPr>
          <w:rFonts w:ascii="Arial"/>
          <w:color w:val="231F20"/>
          <w:w w:val="80"/>
          <w:sz w:val="12"/>
        </w:rPr>
        <w:t>scores,</w:t>
      </w:r>
      <w:r>
        <w:rPr>
          <w:rFonts w:ascii="Arial"/>
          <w:color w:val="231F20"/>
          <w:sz w:val="12"/>
        </w:rPr>
        <w:t> </w:t>
      </w:r>
      <w:r>
        <w:rPr>
          <w:rFonts w:ascii="Arial"/>
          <w:color w:val="231F20"/>
          <w:w w:val="80"/>
          <w:sz w:val="12"/>
        </w:rPr>
        <w:t>the</w:t>
      </w:r>
      <w:r>
        <w:rPr>
          <w:rFonts w:ascii="Arial"/>
          <w:color w:val="231F20"/>
          <w:sz w:val="12"/>
        </w:rPr>
        <w:t> </w:t>
      </w:r>
      <w:r>
        <w:rPr>
          <w:rFonts w:ascii="Arial"/>
          <w:color w:val="231F20"/>
          <w:w w:val="80"/>
          <w:sz w:val="12"/>
        </w:rPr>
        <w:t>top</w:t>
      </w:r>
      <w:r>
        <w:rPr>
          <w:rFonts w:ascii="Arial"/>
          <w:color w:val="231F20"/>
          <w:sz w:val="12"/>
        </w:rPr>
        <w:t> </w:t>
      </w:r>
      <w:r>
        <w:rPr>
          <w:rFonts w:ascii="Arial"/>
          <w:color w:val="231F20"/>
          <w:w w:val="80"/>
          <w:sz w:val="12"/>
        </w:rPr>
        <w:t>10</w:t>
      </w:r>
      <w:r>
        <w:rPr>
          <w:rFonts w:ascii="Arial"/>
          <w:color w:val="231F20"/>
          <w:sz w:val="12"/>
        </w:rPr>
        <w:t> </w:t>
      </w:r>
      <w:r>
        <w:rPr>
          <w:rFonts w:ascii="Arial"/>
          <w:color w:val="231F20"/>
          <w:w w:val="80"/>
          <w:sz w:val="12"/>
        </w:rPr>
        <w:t>scores</w:t>
      </w:r>
      <w:r>
        <w:rPr>
          <w:rFonts w:ascii="Arial"/>
          <w:color w:val="231F20"/>
          <w:sz w:val="12"/>
        </w:rPr>
        <w:t> </w:t>
      </w:r>
      <w:r>
        <w:rPr>
          <w:rFonts w:ascii="Arial"/>
          <w:color w:val="231F20"/>
          <w:w w:val="80"/>
          <w:sz w:val="12"/>
        </w:rPr>
        <w:t>were</w:t>
      </w:r>
      <w:r>
        <w:rPr>
          <w:rFonts w:ascii="Arial"/>
          <w:color w:val="231F20"/>
          <w:sz w:val="12"/>
        </w:rPr>
        <w:t> </w:t>
      </w:r>
      <w:r>
        <w:rPr>
          <w:rFonts w:ascii="Arial"/>
          <w:color w:val="231F20"/>
          <w:w w:val="80"/>
          <w:sz w:val="12"/>
        </w:rPr>
        <w:t>attained</w:t>
      </w:r>
      <w:r>
        <w:rPr>
          <w:rFonts w:ascii="Arial"/>
          <w:color w:val="231F20"/>
          <w:sz w:val="12"/>
        </w:rPr>
        <w:t> </w:t>
      </w:r>
      <w:r>
        <w:rPr>
          <w:rFonts w:ascii="Arial"/>
          <w:color w:val="231F20"/>
          <w:w w:val="80"/>
          <w:sz w:val="12"/>
        </w:rPr>
        <w:t>by</w:t>
      </w:r>
      <w:r>
        <w:rPr>
          <w:rFonts w:ascii="Arial"/>
          <w:color w:val="231F20"/>
          <w:sz w:val="12"/>
        </w:rPr>
        <w:t> </w:t>
      </w:r>
      <w:r>
        <w:rPr>
          <w:rFonts w:ascii="Arial"/>
          <w:color w:val="231F20"/>
          <w:w w:val="80"/>
          <w:sz w:val="12"/>
        </w:rPr>
        <w:t>11</w:t>
      </w:r>
      <w:r>
        <w:rPr>
          <w:rFonts w:ascii="Arial"/>
          <w:color w:val="231F20"/>
          <w:sz w:val="12"/>
        </w:rPr>
        <w:t> </w:t>
      </w:r>
      <w:r>
        <w:rPr>
          <w:rFonts w:ascii="Arial"/>
          <w:color w:val="231F20"/>
          <w:w w:val="80"/>
          <w:sz w:val="12"/>
        </w:rPr>
        <w:t>countries.</w:t>
      </w:r>
      <w:r>
        <w:rPr>
          <w:rFonts w:ascii="Arial"/>
          <w:color w:val="231F20"/>
          <w:sz w:val="12"/>
        </w:rPr>
        <w:t> </w:t>
      </w:r>
      <w:r>
        <w:rPr>
          <w:rFonts w:ascii="Arial"/>
          <w:color w:val="231F20"/>
          <w:w w:val="80"/>
          <w:sz w:val="12"/>
        </w:rPr>
        <w:t>Upper-middle-income</w:t>
      </w:r>
      <w:r>
        <w:rPr>
          <w:rFonts w:ascii="Arial"/>
          <w:color w:val="231F20"/>
          <w:sz w:val="12"/>
        </w:rPr>
        <w:t> </w:t>
      </w:r>
      <w:r>
        <w:rPr>
          <w:rFonts w:ascii="Arial"/>
          <w:color w:val="231F20"/>
          <w:w w:val="80"/>
          <w:sz w:val="12"/>
        </w:rPr>
        <w:t>status</w:t>
      </w:r>
      <w:r>
        <w:rPr>
          <w:rFonts w:ascii="Arial"/>
          <w:color w:val="231F20"/>
          <w:sz w:val="12"/>
        </w:rPr>
        <w:t> </w:t>
      </w:r>
      <w:r>
        <w:rPr>
          <w:rFonts w:ascii="Arial"/>
          <w:color w:val="231F20"/>
          <w:w w:val="80"/>
          <w:sz w:val="12"/>
        </w:rPr>
        <w:t>is</w:t>
      </w:r>
      <w:r>
        <w:rPr>
          <w:rFonts w:ascii="Arial"/>
          <w:color w:val="231F20"/>
          <w:sz w:val="12"/>
        </w:rPr>
        <w:t> </w:t>
      </w:r>
      <w:r>
        <w:rPr>
          <w:rFonts w:ascii="Arial"/>
          <w:color w:val="231F20"/>
          <w:w w:val="80"/>
          <w:sz w:val="12"/>
        </w:rPr>
        <w:t>based</w:t>
      </w:r>
      <w:r>
        <w:rPr>
          <w:rFonts w:ascii="Arial"/>
          <w:color w:val="231F20"/>
          <w:sz w:val="12"/>
        </w:rPr>
        <w:t> </w:t>
      </w:r>
      <w:r>
        <w:rPr>
          <w:rFonts w:ascii="Arial"/>
          <w:color w:val="231F20"/>
          <w:w w:val="80"/>
          <w:sz w:val="12"/>
        </w:rPr>
        <w:t>on</w:t>
      </w:r>
      <w:r>
        <w:rPr>
          <w:rFonts w:ascii="Arial"/>
          <w:color w:val="231F20"/>
          <w:sz w:val="12"/>
        </w:rPr>
        <w:t> </w:t>
      </w:r>
      <w:r>
        <w:rPr>
          <w:rFonts w:ascii="Arial"/>
          <w:color w:val="231F20"/>
          <w:w w:val="80"/>
          <w:sz w:val="12"/>
        </w:rPr>
        <w:t>country</w:t>
      </w:r>
      <w:r>
        <w:rPr>
          <w:rFonts w:ascii="Arial"/>
          <w:color w:val="231F20"/>
          <w:sz w:val="12"/>
        </w:rPr>
        <w:t> </w:t>
      </w:r>
      <w:r>
        <w:rPr>
          <w:rFonts w:ascii="Arial"/>
          <w:color w:val="231F20"/>
          <w:w w:val="80"/>
          <w:sz w:val="12"/>
        </w:rPr>
        <w:t>status</w:t>
      </w:r>
      <w:r>
        <w:rPr>
          <w:rFonts w:ascii="Arial"/>
          <w:color w:val="231F20"/>
          <w:sz w:val="12"/>
        </w:rPr>
        <w:t> </w:t>
      </w:r>
      <w:r>
        <w:rPr>
          <w:rFonts w:ascii="Arial"/>
          <w:color w:val="231F20"/>
          <w:w w:val="80"/>
          <w:sz w:val="12"/>
        </w:rPr>
        <w:t>in</w:t>
      </w:r>
      <w:r>
        <w:rPr>
          <w:rFonts w:ascii="Arial"/>
          <w:color w:val="231F20"/>
          <w:sz w:val="12"/>
        </w:rPr>
        <w:t> </w:t>
      </w:r>
      <w:r>
        <w:rPr>
          <w:rFonts w:ascii="Arial"/>
          <w:color w:val="231F20"/>
          <w:w w:val="80"/>
          <w:sz w:val="12"/>
        </w:rPr>
        <w:t>fiscal</w:t>
      </w:r>
      <w:r>
        <w:rPr>
          <w:rFonts w:ascii="Arial"/>
          <w:color w:val="231F20"/>
          <w:sz w:val="12"/>
        </w:rPr>
        <w:t> </w:t>
      </w:r>
      <w:r>
        <w:rPr>
          <w:rFonts w:ascii="Arial"/>
          <w:color w:val="231F20"/>
          <w:w w:val="80"/>
          <w:sz w:val="12"/>
        </w:rPr>
        <w:t>year</w:t>
      </w:r>
      <w:r>
        <w:rPr>
          <w:rFonts w:ascii="Arial"/>
          <w:color w:val="231F20"/>
          <w:sz w:val="12"/>
        </w:rPr>
        <w:t> </w:t>
      </w:r>
      <w:r>
        <w:rPr>
          <w:rFonts w:ascii="Arial"/>
          <w:color w:val="231F20"/>
          <w:w w:val="80"/>
          <w:sz w:val="12"/>
        </w:rPr>
        <w:t>2022/23.</w:t>
      </w:r>
      <w:r>
        <w:rPr>
          <w:rFonts w:ascii="Arial"/>
          <w:color w:val="231F20"/>
          <w:sz w:val="12"/>
        </w:rPr>
        <w:t> </w:t>
      </w:r>
      <w:r>
        <w:rPr>
          <w:rFonts w:ascii="Arial"/>
          <w:color w:val="231F20"/>
          <w:w w:val="80"/>
          <w:sz w:val="12"/>
        </w:rPr>
        <w:t>Countries</w:t>
      </w:r>
      <w:r>
        <w:rPr>
          <w:rFonts w:ascii="Arial"/>
          <w:color w:val="231F20"/>
          <w:sz w:val="12"/>
        </w:rPr>
        <w:t> </w:t>
      </w:r>
      <w:r>
        <w:rPr>
          <w:rFonts w:ascii="Arial"/>
          <w:color w:val="231F20"/>
          <w:w w:val="80"/>
          <w:sz w:val="12"/>
        </w:rPr>
        <w:t>are</w:t>
      </w:r>
      <w:r>
        <w:rPr>
          <w:rFonts w:ascii="Arial"/>
          <w:color w:val="231F20"/>
          <w:spacing w:val="40"/>
          <w:sz w:val="12"/>
        </w:rPr>
        <w:t> </w:t>
      </w:r>
      <w:r>
        <w:rPr>
          <w:rFonts w:ascii="Arial"/>
          <w:color w:val="231F20"/>
          <w:w w:val="90"/>
          <w:sz w:val="12"/>
        </w:rPr>
        <w:t>listed</w:t>
      </w:r>
      <w:r>
        <w:rPr>
          <w:rFonts w:ascii="Arial"/>
          <w:color w:val="231F20"/>
          <w:spacing w:val="-5"/>
          <w:w w:val="90"/>
          <w:sz w:val="12"/>
        </w:rPr>
        <w:t> </w:t>
      </w:r>
      <w:r>
        <w:rPr>
          <w:rFonts w:ascii="Arial"/>
          <w:color w:val="231F20"/>
          <w:w w:val="90"/>
          <w:sz w:val="12"/>
        </w:rPr>
        <w:t>in</w:t>
      </w:r>
      <w:r>
        <w:rPr>
          <w:rFonts w:ascii="Arial"/>
          <w:color w:val="231F20"/>
          <w:spacing w:val="-5"/>
          <w:w w:val="90"/>
          <w:sz w:val="12"/>
        </w:rPr>
        <w:t> </w:t>
      </w:r>
      <w:r>
        <w:rPr>
          <w:rFonts w:ascii="Arial"/>
          <w:color w:val="231F20"/>
          <w:w w:val="90"/>
          <w:sz w:val="12"/>
        </w:rPr>
        <w:t>alphabetical</w:t>
      </w:r>
      <w:r>
        <w:rPr>
          <w:rFonts w:ascii="Arial"/>
          <w:color w:val="231F20"/>
          <w:spacing w:val="-5"/>
          <w:w w:val="90"/>
          <w:sz w:val="12"/>
        </w:rPr>
        <w:t> </w:t>
      </w:r>
      <w:r>
        <w:rPr>
          <w:rFonts w:ascii="Arial"/>
          <w:color w:val="231F20"/>
          <w:w w:val="90"/>
          <w:sz w:val="12"/>
        </w:rPr>
        <w:t>order.</w:t>
      </w:r>
    </w:p>
    <w:p>
      <w:pPr>
        <w:pStyle w:val="BodyText"/>
        <w:spacing w:before="90"/>
        <w:rPr>
          <w:rFonts w:ascii="Arial"/>
          <w:sz w:val="20"/>
        </w:rPr>
      </w:pPr>
      <w:r>
        <w:rPr/>
        <mc:AlternateContent>
          <mc:Choice Requires="wps">
            <w:drawing>
              <wp:anchor distT="0" distB="0" distL="0" distR="0" allowOverlap="1" layoutInCell="1" locked="0" behindDoc="1" simplePos="0" relativeHeight="487631360">
                <wp:simplePos x="0" y="0"/>
                <wp:positionH relativeFrom="page">
                  <wp:posOffset>723900</wp:posOffset>
                </wp:positionH>
                <wp:positionV relativeFrom="paragraph">
                  <wp:posOffset>218740</wp:posOffset>
                </wp:positionV>
                <wp:extent cx="4953000" cy="368300"/>
                <wp:effectExtent l="0" t="0" r="0" b="0"/>
                <wp:wrapTopAndBottom/>
                <wp:docPr id="1621" name="Group 1621"/>
                <wp:cNvGraphicFramePr>
                  <a:graphicFrameLocks/>
                </wp:cNvGraphicFramePr>
                <a:graphic>
                  <a:graphicData uri="http://schemas.microsoft.com/office/word/2010/wordprocessingGroup">
                    <wpg:wgp>
                      <wpg:cNvPr id="1621" name="Group 1621"/>
                      <wpg:cNvGrpSpPr/>
                      <wpg:grpSpPr>
                        <a:xfrm>
                          <a:off x="0" y="0"/>
                          <a:ext cx="4953000" cy="368300"/>
                          <a:chExt cx="4953000" cy="368300"/>
                        </a:xfrm>
                      </wpg:grpSpPr>
                      <wps:wsp>
                        <wps:cNvPr id="1622" name="Graphic 1622"/>
                        <wps:cNvSpPr/>
                        <wps:spPr>
                          <a:xfrm>
                            <a:off x="63500" y="19050"/>
                            <a:ext cx="4870450" cy="317500"/>
                          </a:xfrm>
                          <a:custGeom>
                            <a:avLst/>
                            <a:gdLst/>
                            <a:ahLst/>
                            <a:cxnLst/>
                            <a:rect l="l" t="t" r="r" b="b"/>
                            <a:pathLst>
                              <a:path w="4870450" h="317500">
                                <a:moveTo>
                                  <a:pt x="4775200" y="0"/>
                                </a:moveTo>
                                <a:lnTo>
                                  <a:pt x="50800" y="0"/>
                                </a:lnTo>
                                <a:lnTo>
                                  <a:pt x="13757" y="7496"/>
                                </a:lnTo>
                                <a:lnTo>
                                  <a:pt x="0" y="16778"/>
                                </a:lnTo>
                                <a:lnTo>
                                  <a:pt x="0" y="317500"/>
                                </a:lnTo>
                                <a:lnTo>
                                  <a:pt x="4870450" y="317500"/>
                                </a:lnTo>
                                <a:lnTo>
                                  <a:pt x="4870450" y="95250"/>
                                </a:lnTo>
                                <a:lnTo>
                                  <a:pt x="4862953" y="58207"/>
                                </a:lnTo>
                                <a:lnTo>
                                  <a:pt x="4842522" y="27927"/>
                                </a:lnTo>
                                <a:lnTo>
                                  <a:pt x="4812242" y="7496"/>
                                </a:lnTo>
                                <a:lnTo>
                                  <a:pt x="4775200" y="0"/>
                                </a:lnTo>
                                <a:close/>
                              </a:path>
                            </a:pathLst>
                          </a:custGeom>
                          <a:solidFill>
                            <a:srgbClr val="808285"/>
                          </a:solidFill>
                        </wps:spPr>
                        <wps:bodyPr wrap="square" lIns="0" tIns="0" rIns="0" bIns="0" rtlCol="0">
                          <a:prstTxWarp prst="textNoShape">
                            <a:avLst/>
                          </a:prstTxWarp>
                          <a:noAutofit/>
                        </wps:bodyPr>
                      </wps:wsp>
                      <wps:wsp>
                        <wps:cNvPr id="1623" name="Graphic 1623"/>
                        <wps:cNvSpPr/>
                        <wps:spPr>
                          <a:xfrm>
                            <a:off x="571500" y="29057"/>
                            <a:ext cx="1270" cy="339725"/>
                          </a:xfrm>
                          <a:custGeom>
                            <a:avLst/>
                            <a:gdLst/>
                            <a:ahLst/>
                            <a:cxnLst/>
                            <a:rect l="l" t="t" r="r" b="b"/>
                            <a:pathLst>
                              <a:path w="0" h="339725">
                                <a:moveTo>
                                  <a:pt x="0" y="3392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624" name="Graphic 1624"/>
                        <wps:cNvSpPr/>
                        <wps:spPr>
                          <a:xfrm>
                            <a:off x="38100" y="28575"/>
                            <a:ext cx="520700" cy="320675"/>
                          </a:xfrm>
                          <a:custGeom>
                            <a:avLst/>
                            <a:gdLst/>
                            <a:ahLst/>
                            <a:cxnLst/>
                            <a:rect l="l" t="t" r="r" b="b"/>
                            <a:pathLst>
                              <a:path w="520700" h="320675">
                                <a:moveTo>
                                  <a:pt x="0" y="320675"/>
                                </a:moveTo>
                                <a:lnTo>
                                  <a:pt x="520700" y="320675"/>
                                </a:lnTo>
                                <a:lnTo>
                                  <a:pt x="520700" y="0"/>
                                </a:lnTo>
                                <a:lnTo>
                                  <a:pt x="0" y="0"/>
                                </a:lnTo>
                                <a:lnTo>
                                  <a:pt x="0" y="320675"/>
                                </a:lnTo>
                                <a:close/>
                              </a:path>
                            </a:pathLst>
                          </a:custGeom>
                          <a:solidFill>
                            <a:srgbClr val="008FDD"/>
                          </a:solidFill>
                        </wps:spPr>
                        <wps:bodyPr wrap="square" lIns="0" tIns="0" rIns="0" bIns="0" rtlCol="0">
                          <a:prstTxWarp prst="textNoShape">
                            <a:avLst/>
                          </a:prstTxWarp>
                          <a:noAutofit/>
                        </wps:bodyPr>
                      </wps:wsp>
                      <wps:wsp>
                        <wps:cNvPr id="1625" name="Graphic 1625"/>
                        <wps:cNvSpPr/>
                        <wps:spPr>
                          <a:xfrm>
                            <a:off x="19050" y="19050"/>
                            <a:ext cx="4914900" cy="317500"/>
                          </a:xfrm>
                          <a:custGeom>
                            <a:avLst/>
                            <a:gdLst/>
                            <a:ahLst/>
                            <a:cxnLst/>
                            <a:rect l="l" t="t" r="r" b="b"/>
                            <a:pathLst>
                              <a:path w="4914900" h="317500">
                                <a:moveTo>
                                  <a:pt x="95250" y="0"/>
                                </a:moveTo>
                                <a:lnTo>
                                  <a:pt x="58212" y="7497"/>
                                </a:lnTo>
                                <a:lnTo>
                                  <a:pt x="27932" y="27932"/>
                                </a:lnTo>
                                <a:lnTo>
                                  <a:pt x="7497" y="58212"/>
                                </a:lnTo>
                                <a:lnTo>
                                  <a:pt x="0" y="95250"/>
                                </a:lnTo>
                                <a:lnTo>
                                  <a:pt x="0" y="298450"/>
                                </a:lnTo>
                                <a:lnTo>
                                  <a:pt x="0" y="317500"/>
                                </a:lnTo>
                                <a:lnTo>
                                  <a:pt x="19050" y="317500"/>
                                </a:lnTo>
                                <a:lnTo>
                                  <a:pt x="4895850" y="317500"/>
                                </a:lnTo>
                                <a:lnTo>
                                  <a:pt x="4914900" y="317500"/>
                                </a:lnTo>
                                <a:lnTo>
                                  <a:pt x="4914900" y="298450"/>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626" name="Textbox 1626"/>
                        <wps:cNvSpPr txBox="1"/>
                        <wps:spPr>
                          <a:xfrm>
                            <a:off x="0" y="0"/>
                            <a:ext cx="4953000" cy="368300"/>
                          </a:xfrm>
                          <a:prstGeom prst="rect">
                            <a:avLst/>
                          </a:prstGeom>
                        </wps:spPr>
                        <wps:txbx>
                          <w:txbxContent>
                            <w:p>
                              <w:pPr>
                                <w:spacing w:line="235" w:lineRule="auto" w:before="113"/>
                                <w:ind w:left="1060" w:right="1783" w:hanging="1"/>
                                <w:jc w:val="left"/>
                                <w:rPr>
                                  <w:rFonts w:ascii="Arial"/>
                                  <w:b/>
                                  <w:sz w:val="16"/>
                                </w:rPr>
                              </w:pPr>
                              <w:r>
                                <w:rPr>
                                  <w:rFonts w:ascii="Arial"/>
                                  <w:b/>
                                  <w:color w:val="FFFFFF"/>
                                  <w:sz w:val="16"/>
                                </w:rPr>
                                <w:t>Top</w:t>
                              </w:r>
                              <w:r>
                                <w:rPr>
                                  <w:rFonts w:ascii="Arial"/>
                                  <w:b/>
                                  <w:color w:val="FFFFFF"/>
                                  <w:spacing w:val="40"/>
                                  <w:sz w:val="16"/>
                                </w:rPr>
                                <w:t> </w:t>
                              </w:r>
                              <w:r>
                                <w:rPr>
                                  <w:rFonts w:ascii="Arial"/>
                                  <w:b/>
                                  <w:color w:val="FFFFFF"/>
                                  <w:sz w:val="16"/>
                                </w:rPr>
                                <w:t>13</w:t>
                              </w:r>
                              <w:r>
                                <w:rPr>
                                  <w:rFonts w:ascii="Arial"/>
                                  <w:b/>
                                  <w:color w:val="FFFFFF"/>
                                  <w:spacing w:val="40"/>
                                  <w:sz w:val="16"/>
                                </w:rPr>
                                <w:t> </w:t>
                              </w:r>
                              <w:r>
                                <w:rPr>
                                  <w:rFonts w:ascii="Arial"/>
                                  <w:b/>
                                  <w:color w:val="FFFFFF"/>
                                  <w:sz w:val="16"/>
                                </w:rPr>
                                <w:t>lower-middle-income</w:t>
                              </w:r>
                              <w:r>
                                <w:rPr>
                                  <w:rFonts w:ascii="Arial"/>
                                  <w:b/>
                                  <w:color w:val="FFFFFF"/>
                                  <w:spacing w:val="40"/>
                                  <w:sz w:val="16"/>
                                </w:rPr>
                                <w:t> </w:t>
                              </w:r>
                              <w:r>
                                <w:rPr>
                                  <w:rFonts w:ascii="Arial"/>
                                  <w:b/>
                                  <w:color w:val="FFFFFF"/>
                                  <w:sz w:val="16"/>
                                </w:rPr>
                                <w:t>LPI</w:t>
                              </w:r>
                              <w:r>
                                <w:rPr>
                                  <w:rFonts w:ascii="Arial"/>
                                  <w:b/>
                                  <w:color w:val="FFFFFF"/>
                                  <w:spacing w:val="40"/>
                                  <w:sz w:val="16"/>
                                </w:rPr>
                                <w:t> </w:t>
                              </w:r>
                              <w:r>
                                <w:rPr>
                                  <w:rFonts w:ascii="Arial"/>
                                  <w:b/>
                                  <w:color w:val="FFFFFF"/>
                                  <w:sz w:val="16"/>
                                </w:rPr>
                                <w:t>scorers</w:t>
                              </w:r>
                              <w:r>
                                <w:rPr>
                                  <w:rFonts w:ascii="Arial"/>
                                  <w:b/>
                                  <w:color w:val="FFFFFF"/>
                                  <w:spacing w:val="40"/>
                                  <w:sz w:val="16"/>
                                </w:rPr>
                                <w:t> </w:t>
                              </w:r>
                              <w:r>
                                <w:rPr>
                                  <w:rFonts w:ascii="Arial"/>
                                  <w:b/>
                                  <w:color w:val="FFFFFF"/>
                                  <w:sz w:val="16"/>
                                </w:rPr>
                                <w:t>in</w:t>
                              </w:r>
                              <w:r>
                                <w:rPr>
                                  <w:rFonts w:ascii="Arial"/>
                                  <w:b/>
                                  <w:color w:val="FFFFFF"/>
                                  <w:spacing w:val="40"/>
                                  <w:sz w:val="16"/>
                                </w:rPr>
                                <w:t> </w:t>
                              </w:r>
                              <w:r>
                                <w:rPr>
                                  <w:rFonts w:ascii="Arial"/>
                                  <w:b/>
                                  <w:color w:val="FFFFFF"/>
                                  <w:sz w:val="16"/>
                                </w:rPr>
                                <w:t>2023</w:t>
                              </w:r>
                              <w:r>
                                <w:rPr>
                                  <w:rFonts w:ascii="Arial"/>
                                  <w:b/>
                                  <w:color w:val="FFFFFF"/>
                                  <w:spacing w:val="40"/>
                                  <w:sz w:val="16"/>
                                </w:rPr>
                                <w:t> </w:t>
                              </w:r>
                              <w:r>
                                <w:rPr>
                                  <w:rFonts w:ascii="Arial"/>
                                  <w:b/>
                                  <w:color w:val="FFFFFF"/>
                                  <w:sz w:val="16"/>
                                </w:rPr>
                                <w:t>and</w:t>
                              </w:r>
                              <w:r>
                                <w:rPr>
                                  <w:rFonts w:ascii="Arial"/>
                                  <w:b/>
                                  <w:color w:val="FFFFFF"/>
                                  <w:spacing w:val="40"/>
                                  <w:sz w:val="16"/>
                                </w:rPr>
                                <w:t> </w:t>
                              </w:r>
                              <w:r>
                                <w:rPr>
                                  <w:rFonts w:ascii="Arial"/>
                                  <w:b/>
                                  <w:color w:val="FFFFFF"/>
                                  <w:sz w:val="16"/>
                                </w:rPr>
                                <w:t>their </w:t>
                              </w:r>
                              <w:r>
                                <w:rPr>
                                  <w:rFonts w:ascii="Arial"/>
                                  <w:b/>
                                  <w:color w:val="FFFFFF"/>
                                  <w:w w:val="110"/>
                                  <w:sz w:val="16"/>
                                </w:rPr>
                                <w:t>top scorer status in 2018, 2016, 2014, and 2012</w:t>
                              </w:r>
                            </w:p>
                          </w:txbxContent>
                        </wps:txbx>
                        <wps:bodyPr wrap="square" lIns="0" tIns="0" rIns="0" bIns="0" rtlCol="0">
                          <a:noAutofit/>
                        </wps:bodyPr>
                      </wps:wsp>
                      <wps:wsp>
                        <wps:cNvPr id="1627" name="Textbox 1627"/>
                        <wps:cNvSpPr txBox="1"/>
                        <wps:spPr>
                          <a:xfrm>
                            <a:off x="38100" y="28575"/>
                            <a:ext cx="520700" cy="320675"/>
                          </a:xfrm>
                          <a:prstGeom prst="rect">
                            <a:avLst/>
                          </a:prstGeom>
                        </wps:spPr>
                        <wps:txbx>
                          <w:txbxContent>
                            <w:p>
                              <w:pPr>
                                <w:spacing w:before="65"/>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3.4</w:t>
                              </w:r>
                            </w:p>
                          </w:txbxContent>
                        </wps:txbx>
                        <wps:bodyPr wrap="square" lIns="0" tIns="0" rIns="0" bIns="0" rtlCol="0">
                          <a:noAutofit/>
                        </wps:bodyPr>
                      </wps:wsp>
                    </wpg:wgp>
                  </a:graphicData>
                </a:graphic>
              </wp:anchor>
            </w:drawing>
          </mc:Choice>
          <mc:Fallback>
            <w:pict>
              <v:group style="position:absolute;margin-left:57pt;margin-top:17.223631pt;width:390pt;height:29pt;mso-position-horizontal-relative:page;mso-position-vertical-relative:paragraph;z-index:-15685120;mso-wrap-distance-left:0;mso-wrap-distance-right:0" id="docshapegroup1376" coordorigin="1140,344" coordsize="7800,580">
                <v:shape style="position:absolute;left:1240;top:374;width:7670;height:500" id="docshape1377" coordorigin="1240,374" coordsize="7670,500" path="m8760,374l1320,374,1262,386,1240,401,1240,874,8910,874,8910,524,8898,466,8866,418,8818,386,8760,374xe" filled="true" fillcolor="#808285" stroked="false">
                  <v:path arrowok="t"/>
                  <v:fill type="solid"/>
                </v:shape>
                <v:line style="position:absolute" from="2040,924" to="2040,390" stroked="true" strokeweight="2pt" strokecolor="#ffffff">
                  <v:stroke dashstyle="solid"/>
                </v:line>
                <v:rect style="position:absolute;left:1200;top:389;width:820;height:505" id="docshape1378" filled="true" fillcolor="#008fdd" stroked="false">
                  <v:fill type="solid"/>
                </v:rect>
                <v:shape style="position:absolute;left:1170;top:374;width:7740;height:500" id="docshape1379" coordorigin="1170,374" coordsize="7740,500" path="m1320,374l1262,386,1214,418,1182,466,1170,524,1170,844,1170,874,1200,874,8880,874,8910,874,8910,844,8910,524,8898,466,8866,418,8818,386,8760,374,1320,374xe" filled="false" stroked="true" strokeweight="3pt" strokecolor="#ffffff">
                  <v:path arrowok="t"/>
                  <v:stroke dashstyle="solid"/>
                </v:shape>
                <v:shape style="position:absolute;left:1140;top:344;width:7800;height:580" type="#_x0000_t202" id="docshape1380" filled="false" stroked="false">
                  <v:textbox inset="0,0,0,0">
                    <w:txbxContent>
                      <w:p>
                        <w:pPr>
                          <w:spacing w:line="235" w:lineRule="auto" w:before="113"/>
                          <w:ind w:left="1060" w:right="1783" w:hanging="1"/>
                          <w:jc w:val="left"/>
                          <w:rPr>
                            <w:rFonts w:ascii="Arial"/>
                            <w:b/>
                            <w:sz w:val="16"/>
                          </w:rPr>
                        </w:pPr>
                        <w:r>
                          <w:rPr>
                            <w:rFonts w:ascii="Arial"/>
                            <w:b/>
                            <w:color w:val="FFFFFF"/>
                            <w:sz w:val="16"/>
                          </w:rPr>
                          <w:t>Top</w:t>
                        </w:r>
                        <w:r>
                          <w:rPr>
                            <w:rFonts w:ascii="Arial"/>
                            <w:b/>
                            <w:color w:val="FFFFFF"/>
                            <w:spacing w:val="40"/>
                            <w:sz w:val="16"/>
                          </w:rPr>
                          <w:t> </w:t>
                        </w:r>
                        <w:r>
                          <w:rPr>
                            <w:rFonts w:ascii="Arial"/>
                            <w:b/>
                            <w:color w:val="FFFFFF"/>
                            <w:sz w:val="16"/>
                          </w:rPr>
                          <w:t>13</w:t>
                        </w:r>
                        <w:r>
                          <w:rPr>
                            <w:rFonts w:ascii="Arial"/>
                            <w:b/>
                            <w:color w:val="FFFFFF"/>
                            <w:spacing w:val="40"/>
                            <w:sz w:val="16"/>
                          </w:rPr>
                          <w:t> </w:t>
                        </w:r>
                        <w:r>
                          <w:rPr>
                            <w:rFonts w:ascii="Arial"/>
                            <w:b/>
                            <w:color w:val="FFFFFF"/>
                            <w:sz w:val="16"/>
                          </w:rPr>
                          <w:t>lower-middle-income</w:t>
                        </w:r>
                        <w:r>
                          <w:rPr>
                            <w:rFonts w:ascii="Arial"/>
                            <w:b/>
                            <w:color w:val="FFFFFF"/>
                            <w:spacing w:val="40"/>
                            <w:sz w:val="16"/>
                          </w:rPr>
                          <w:t> </w:t>
                        </w:r>
                        <w:r>
                          <w:rPr>
                            <w:rFonts w:ascii="Arial"/>
                            <w:b/>
                            <w:color w:val="FFFFFF"/>
                            <w:sz w:val="16"/>
                          </w:rPr>
                          <w:t>LPI</w:t>
                        </w:r>
                        <w:r>
                          <w:rPr>
                            <w:rFonts w:ascii="Arial"/>
                            <w:b/>
                            <w:color w:val="FFFFFF"/>
                            <w:spacing w:val="40"/>
                            <w:sz w:val="16"/>
                          </w:rPr>
                          <w:t> </w:t>
                        </w:r>
                        <w:r>
                          <w:rPr>
                            <w:rFonts w:ascii="Arial"/>
                            <w:b/>
                            <w:color w:val="FFFFFF"/>
                            <w:sz w:val="16"/>
                          </w:rPr>
                          <w:t>scorers</w:t>
                        </w:r>
                        <w:r>
                          <w:rPr>
                            <w:rFonts w:ascii="Arial"/>
                            <w:b/>
                            <w:color w:val="FFFFFF"/>
                            <w:spacing w:val="40"/>
                            <w:sz w:val="16"/>
                          </w:rPr>
                          <w:t> </w:t>
                        </w:r>
                        <w:r>
                          <w:rPr>
                            <w:rFonts w:ascii="Arial"/>
                            <w:b/>
                            <w:color w:val="FFFFFF"/>
                            <w:sz w:val="16"/>
                          </w:rPr>
                          <w:t>in</w:t>
                        </w:r>
                        <w:r>
                          <w:rPr>
                            <w:rFonts w:ascii="Arial"/>
                            <w:b/>
                            <w:color w:val="FFFFFF"/>
                            <w:spacing w:val="40"/>
                            <w:sz w:val="16"/>
                          </w:rPr>
                          <w:t> </w:t>
                        </w:r>
                        <w:r>
                          <w:rPr>
                            <w:rFonts w:ascii="Arial"/>
                            <w:b/>
                            <w:color w:val="FFFFFF"/>
                            <w:sz w:val="16"/>
                          </w:rPr>
                          <w:t>2023</w:t>
                        </w:r>
                        <w:r>
                          <w:rPr>
                            <w:rFonts w:ascii="Arial"/>
                            <w:b/>
                            <w:color w:val="FFFFFF"/>
                            <w:spacing w:val="40"/>
                            <w:sz w:val="16"/>
                          </w:rPr>
                          <w:t> </w:t>
                        </w:r>
                        <w:r>
                          <w:rPr>
                            <w:rFonts w:ascii="Arial"/>
                            <w:b/>
                            <w:color w:val="FFFFFF"/>
                            <w:sz w:val="16"/>
                          </w:rPr>
                          <w:t>and</w:t>
                        </w:r>
                        <w:r>
                          <w:rPr>
                            <w:rFonts w:ascii="Arial"/>
                            <w:b/>
                            <w:color w:val="FFFFFF"/>
                            <w:spacing w:val="40"/>
                            <w:sz w:val="16"/>
                          </w:rPr>
                          <w:t> </w:t>
                        </w:r>
                        <w:r>
                          <w:rPr>
                            <w:rFonts w:ascii="Arial"/>
                            <w:b/>
                            <w:color w:val="FFFFFF"/>
                            <w:sz w:val="16"/>
                          </w:rPr>
                          <w:t>their </w:t>
                        </w:r>
                        <w:r>
                          <w:rPr>
                            <w:rFonts w:ascii="Arial"/>
                            <w:b/>
                            <w:color w:val="FFFFFF"/>
                            <w:w w:val="110"/>
                            <w:sz w:val="16"/>
                          </w:rPr>
                          <w:t>top scorer status in 2018, 2016, 2014, and 2012</w:t>
                        </w:r>
                      </w:p>
                    </w:txbxContent>
                  </v:textbox>
                  <w10:wrap type="none"/>
                </v:shape>
                <v:shape style="position:absolute;left:1200;top:389;width:820;height:505" type="#_x0000_t202" id="docshape1381" filled="false" stroked="false">
                  <v:textbox inset="0,0,0,0">
                    <w:txbxContent>
                      <w:p>
                        <w:pPr>
                          <w:spacing w:before="65"/>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3.4</w:t>
                        </w:r>
                      </w:p>
                    </w:txbxContent>
                  </v:textbox>
                  <w10:wrap type="none"/>
                </v:shape>
                <w10:wrap type="topAndBottom"/>
              </v:group>
            </w:pict>
          </mc:Fallback>
        </mc:AlternateContent>
      </w:r>
    </w:p>
    <w:p>
      <w:pPr>
        <w:pStyle w:val="BodyText"/>
        <w:spacing w:before="4" w:after="1"/>
        <w:rPr>
          <w:rFonts w:ascii="Arial"/>
          <w:sz w:val="13"/>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8"/>
        <w:gridCol w:w="1704"/>
        <w:gridCol w:w="1536"/>
        <w:gridCol w:w="1536"/>
        <w:gridCol w:w="1536"/>
      </w:tblGrid>
      <w:tr>
        <w:trPr>
          <w:trHeight w:val="369" w:hRule="atLeast"/>
        </w:trPr>
        <w:tc>
          <w:tcPr>
            <w:tcW w:w="1368" w:type="dxa"/>
            <w:tcBorders>
              <w:bottom w:val="single" w:sz="4" w:space="0" w:color="008FDD"/>
            </w:tcBorders>
          </w:tcPr>
          <w:p>
            <w:pPr>
              <w:pStyle w:val="TableParagraph"/>
              <w:spacing w:before="2"/>
              <w:jc w:val="left"/>
              <w:rPr>
                <w:sz w:val="14"/>
              </w:rPr>
            </w:pPr>
          </w:p>
          <w:p>
            <w:pPr>
              <w:pStyle w:val="TableParagraph"/>
              <w:spacing w:before="0"/>
              <w:ind w:left="80"/>
              <w:jc w:val="left"/>
              <w:rPr>
                <w:b/>
                <w:sz w:val="14"/>
              </w:rPr>
            </w:pPr>
            <w:r>
              <w:rPr>
                <w:b/>
                <w:color w:val="231F20"/>
                <w:spacing w:val="-2"/>
                <w:w w:val="90"/>
                <w:sz w:val="14"/>
              </w:rPr>
              <w:t>Economy</w:t>
            </w:r>
          </w:p>
        </w:tc>
        <w:tc>
          <w:tcPr>
            <w:tcW w:w="1704" w:type="dxa"/>
            <w:tcBorders>
              <w:bottom w:val="single" w:sz="4" w:space="0" w:color="008FDD"/>
            </w:tcBorders>
          </w:tcPr>
          <w:p>
            <w:pPr>
              <w:pStyle w:val="TableParagraph"/>
              <w:spacing w:line="160" w:lineRule="exact" w:before="3"/>
              <w:ind w:left="325"/>
              <w:jc w:val="left"/>
              <w:rPr>
                <w:b/>
                <w:sz w:val="14"/>
              </w:rPr>
            </w:pPr>
            <w:r>
              <w:rPr>
                <w:b/>
                <w:color w:val="231F20"/>
                <w:w w:val="80"/>
                <w:sz w:val="14"/>
              </w:rPr>
              <w:t>Top</w:t>
            </w:r>
            <w:r>
              <w:rPr>
                <w:b/>
                <w:color w:val="231F20"/>
                <w:spacing w:val="9"/>
                <w:sz w:val="14"/>
              </w:rPr>
              <w:t> </w:t>
            </w:r>
            <w:r>
              <w:rPr>
                <w:b/>
                <w:color w:val="231F20"/>
                <w:w w:val="80"/>
                <w:sz w:val="14"/>
              </w:rPr>
              <w:t>10</w:t>
            </w:r>
            <w:r>
              <w:rPr>
                <w:b/>
                <w:color w:val="231F20"/>
                <w:spacing w:val="9"/>
                <w:sz w:val="14"/>
              </w:rPr>
              <w:t> </w:t>
            </w:r>
            <w:r>
              <w:rPr>
                <w:b/>
                <w:color w:val="231F20"/>
                <w:w w:val="80"/>
                <w:sz w:val="14"/>
              </w:rPr>
              <w:t>lower-</w:t>
            </w:r>
            <w:r>
              <w:rPr>
                <w:b/>
                <w:color w:val="231F20"/>
                <w:spacing w:val="-2"/>
                <w:w w:val="80"/>
                <w:sz w:val="14"/>
              </w:rPr>
              <w:t>middle-</w:t>
            </w:r>
          </w:p>
          <w:p>
            <w:pPr>
              <w:pStyle w:val="TableParagraph"/>
              <w:spacing w:line="160" w:lineRule="exact" w:before="0"/>
              <w:ind w:left="372"/>
              <w:jc w:val="left"/>
              <w:rPr>
                <w:b/>
                <w:sz w:val="14"/>
              </w:rPr>
            </w:pPr>
            <w:r>
              <w:rPr>
                <w:b/>
                <w:color w:val="231F20"/>
                <w:w w:val="80"/>
                <w:sz w:val="14"/>
              </w:rPr>
              <w:t>income</w:t>
            </w:r>
            <w:r>
              <w:rPr>
                <w:b/>
                <w:color w:val="231F20"/>
                <w:spacing w:val="15"/>
                <w:sz w:val="14"/>
              </w:rPr>
              <w:t> </w:t>
            </w:r>
            <w:r>
              <w:rPr>
                <w:b/>
                <w:color w:val="231F20"/>
                <w:w w:val="80"/>
                <w:sz w:val="14"/>
              </w:rPr>
              <w:t>scorer</w:t>
            </w:r>
            <w:r>
              <w:rPr>
                <w:b/>
                <w:color w:val="231F20"/>
                <w:spacing w:val="15"/>
                <w:sz w:val="14"/>
              </w:rPr>
              <w:t> </w:t>
            </w:r>
            <w:r>
              <w:rPr>
                <w:b/>
                <w:color w:val="231F20"/>
                <w:spacing w:val="-4"/>
                <w:w w:val="80"/>
                <w:sz w:val="14"/>
              </w:rPr>
              <w:t>2018</w:t>
            </w:r>
          </w:p>
        </w:tc>
        <w:tc>
          <w:tcPr>
            <w:tcW w:w="1536" w:type="dxa"/>
            <w:tcBorders>
              <w:bottom w:val="single" w:sz="4" w:space="0" w:color="008FDD"/>
            </w:tcBorders>
          </w:tcPr>
          <w:p>
            <w:pPr>
              <w:pStyle w:val="TableParagraph"/>
              <w:spacing w:line="160" w:lineRule="exact" w:before="3"/>
              <w:ind w:left="157"/>
              <w:jc w:val="left"/>
              <w:rPr>
                <w:b/>
                <w:sz w:val="14"/>
              </w:rPr>
            </w:pPr>
            <w:r>
              <w:rPr>
                <w:b/>
                <w:color w:val="231F20"/>
                <w:w w:val="80"/>
                <w:sz w:val="14"/>
              </w:rPr>
              <w:t>Top</w:t>
            </w:r>
            <w:r>
              <w:rPr>
                <w:b/>
                <w:color w:val="231F20"/>
                <w:spacing w:val="9"/>
                <w:sz w:val="14"/>
              </w:rPr>
              <w:t> </w:t>
            </w:r>
            <w:r>
              <w:rPr>
                <w:b/>
                <w:color w:val="231F20"/>
                <w:w w:val="80"/>
                <w:sz w:val="14"/>
              </w:rPr>
              <w:t>10</w:t>
            </w:r>
            <w:r>
              <w:rPr>
                <w:b/>
                <w:color w:val="231F20"/>
                <w:spacing w:val="9"/>
                <w:sz w:val="14"/>
              </w:rPr>
              <w:t> </w:t>
            </w:r>
            <w:r>
              <w:rPr>
                <w:b/>
                <w:color w:val="231F20"/>
                <w:w w:val="80"/>
                <w:sz w:val="14"/>
              </w:rPr>
              <w:t>lower-</w:t>
            </w:r>
            <w:r>
              <w:rPr>
                <w:b/>
                <w:color w:val="231F20"/>
                <w:spacing w:val="-2"/>
                <w:w w:val="80"/>
                <w:sz w:val="14"/>
              </w:rPr>
              <w:t>middle-</w:t>
            </w:r>
          </w:p>
          <w:p>
            <w:pPr>
              <w:pStyle w:val="TableParagraph"/>
              <w:spacing w:line="160" w:lineRule="exact" w:before="0"/>
              <w:ind w:left="204"/>
              <w:jc w:val="left"/>
              <w:rPr>
                <w:b/>
                <w:sz w:val="14"/>
              </w:rPr>
            </w:pPr>
            <w:r>
              <w:rPr>
                <w:b/>
                <w:color w:val="231F20"/>
                <w:w w:val="80"/>
                <w:sz w:val="14"/>
              </w:rPr>
              <w:t>income</w:t>
            </w:r>
            <w:r>
              <w:rPr>
                <w:b/>
                <w:color w:val="231F20"/>
                <w:spacing w:val="15"/>
                <w:sz w:val="14"/>
              </w:rPr>
              <w:t> </w:t>
            </w:r>
            <w:r>
              <w:rPr>
                <w:b/>
                <w:color w:val="231F20"/>
                <w:w w:val="80"/>
                <w:sz w:val="14"/>
              </w:rPr>
              <w:t>scorer</w:t>
            </w:r>
            <w:r>
              <w:rPr>
                <w:b/>
                <w:color w:val="231F20"/>
                <w:spacing w:val="15"/>
                <w:sz w:val="14"/>
              </w:rPr>
              <w:t> </w:t>
            </w:r>
            <w:r>
              <w:rPr>
                <w:b/>
                <w:color w:val="231F20"/>
                <w:spacing w:val="-4"/>
                <w:w w:val="80"/>
                <w:sz w:val="14"/>
              </w:rPr>
              <w:t>2016</w:t>
            </w:r>
          </w:p>
        </w:tc>
        <w:tc>
          <w:tcPr>
            <w:tcW w:w="1536" w:type="dxa"/>
            <w:tcBorders>
              <w:bottom w:val="single" w:sz="4" w:space="0" w:color="008FDD"/>
            </w:tcBorders>
          </w:tcPr>
          <w:p>
            <w:pPr>
              <w:pStyle w:val="TableParagraph"/>
              <w:spacing w:line="160" w:lineRule="exact" w:before="3"/>
              <w:ind w:left="157"/>
              <w:jc w:val="left"/>
              <w:rPr>
                <w:b/>
                <w:sz w:val="14"/>
              </w:rPr>
            </w:pPr>
            <w:r>
              <w:rPr>
                <w:b/>
                <w:color w:val="231F20"/>
                <w:w w:val="80"/>
                <w:sz w:val="14"/>
              </w:rPr>
              <w:t>Top</w:t>
            </w:r>
            <w:r>
              <w:rPr>
                <w:b/>
                <w:color w:val="231F20"/>
                <w:spacing w:val="9"/>
                <w:sz w:val="14"/>
              </w:rPr>
              <w:t> </w:t>
            </w:r>
            <w:r>
              <w:rPr>
                <w:b/>
                <w:color w:val="231F20"/>
                <w:w w:val="80"/>
                <w:sz w:val="14"/>
              </w:rPr>
              <w:t>10</w:t>
            </w:r>
            <w:r>
              <w:rPr>
                <w:b/>
                <w:color w:val="231F20"/>
                <w:spacing w:val="9"/>
                <w:sz w:val="14"/>
              </w:rPr>
              <w:t> </w:t>
            </w:r>
            <w:r>
              <w:rPr>
                <w:b/>
                <w:color w:val="231F20"/>
                <w:w w:val="80"/>
                <w:sz w:val="14"/>
              </w:rPr>
              <w:t>lower-</w:t>
            </w:r>
            <w:r>
              <w:rPr>
                <w:b/>
                <w:color w:val="231F20"/>
                <w:spacing w:val="-2"/>
                <w:w w:val="80"/>
                <w:sz w:val="14"/>
              </w:rPr>
              <w:t>middle-</w:t>
            </w:r>
          </w:p>
          <w:p>
            <w:pPr>
              <w:pStyle w:val="TableParagraph"/>
              <w:spacing w:line="160" w:lineRule="exact" w:before="0"/>
              <w:ind w:left="204"/>
              <w:jc w:val="left"/>
              <w:rPr>
                <w:b/>
                <w:sz w:val="14"/>
              </w:rPr>
            </w:pPr>
            <w:r>
              <w:rPr>
                <w:b/>
                <w:color w:val="231F20"/>
                <w:w w:val="80"/>
                <w:sz w:val="14"/>
              </w:rPr>
              <w:t>income</w:t>
            </w:r>
            <w:r>
              <w:rPr>
                <w:b/>
                <w:color w:val="231F20"/>
                <w:spacing w:val="15"/>
                <w:sz w:val="14"/>
              </w:rPr>
              <w:t> </w:t>
            </w:r>
            <w:r>
              <w:rPr>
                <w:b/>
                <w:color w:val="231F20"/>
                <w:w w:val="80"/>
                <w:sz w:val="14"/>
              </w:rPr>
              <w:t>scorer</w:t>
            </w:r>
            <w:r>
              <w:rPr>
                <w:b/>
                <w:color w:val="231F20"/>
                <w:spacing w:val="15"/>
                <w:sz w:val="14"/>
              </w:rPr>
              <w:t> </w:t>
            </w:r>
            <w:r>
              <w:rPr>
                <w:b/>
                <w:color w:val="231F20"/>
                <w:spacing w:val="-4"/>
                <w:w w:val="80"/>
                <w:sz w:val="14"/>
              </w:rPr>
              <w:t>2014</w:t>
            </w:r>
          </w:p>
        </w:tc>
        <w:tc>
          <w:tcPr>
            <w:tcW w:w="1536" w:type="dxa"/>
            <w:tcBorders>
              <w:bottom w:val="single" w:sz="4" w:space="0" w:color="008FDD"/>
            </w:tcBorders>
          </w:tcPr>
          <w:p>
            <w:pPr>
              <w:pStyle w:val="TableParagraph"/>
              <w:spacing w:line="160" w:lineRule="exact" w:before="3"/>
              <w:ind w:left="157"/>
              <w:jc w:val="left"/>
              <w:rPr>
                <w:b/>
                <w:sz w:val="14"/>
              </w:rPr>
            </w:pPr>
            <w:r>
              <w:rPr>
                <w:b/>
                <w:color w:val="231F20"/>
                <w:w w:val="80"/>
                <w:sz w:val="14"/>
              </w:rPr>
              <w:t>Top</w:t>
            </w:r>
            <w:r>
              <w:rPr>
                <w:b/>
                <w:color w:val="231F20"/>
                <w:spacing w:val="9"/>
                <w:sz w:val="14"/>
              </w:rPr>
              <w:t> </w:t>
            </w:r>
            <w:r>
              <w:rPr>
                <w:b/>
                <w:color w:val="231F20"/>
                <w:w w:val="80"/>
                <w:sz w:val="14"/>
              </w:rPr>
              <w:t>10</w:t>
            </w:r>
            <w:r>
              <w:rPr>
                <w:b/>
                <w:color w:val="231F20"/>
                <w:spacing w:val="9"/>
                <w:sz w:val="14"/>
              </w:rPr>
              <w:t> </w:t>
            </w:r>
            <w:r>
              <w:rPr>
                <w:b/>
                <w:color w:val="231F20"/>
                <w:w w:val="80"/>
                <w:sz w:val="14"/>
              </w:rPr>
              <w:t>lower-</w:t>
            </w:r>
            <w:r>
              <w:rPr>
                <w:b/>
                <w:color w:val="231F20"/>
                <w:spacing w:val="-2"/>
                <w:w w:val="80"/>
                <w:sz w:val="14"/>
              </w:rPr>
              <w:t>middle-</w:t>
            </w:r>
          </w:p>
          <w:p>
            <w:pPr>
              <w:pStyle w:val="TableParagraph"/>
              <w:spacing w:line="160" w:lineRule="exact" w:before="0"/>
              <w:ind w:left="205"/>
              <w:jc w:val="left"/>
              <w:rPr>
                <w:b/>
                <w:sz w:val="14"/>
              </w:rPr>
            </w:pPr>
            <w:r>
              <w:rPr>
                <w:b/>
                <w:color w:val="231F20"/>
                <w:w w:val="80"/>
                <w:sz w:val="14"/>
              </w:rPr>
              <w:t>income</w:t>
            </w:r>
            <w:r>
              <w:rPr>
                <w:b/>
                <w:color w:val="231F20"/>
                <w:spacing w:val="15"/>
                <w:sz w:val="14"/>
              </w:rPr>
              <w:t> </w:t>
            </w:r>
            <w:r>
              <w:rPr>
                <w:b/>
                <w:color w:val="231F20"/>
                <w:w w:val="80"/>
                <w:sz w:val="14"/>
              </w:rPr>
              <w:t>scorer</w:t>
            </w:r>
            <w:r>
              <w:rPr>
                <w:b/>
                <w:color w:val="231F20"/>
                <w:spacing w:val="15"/>
                <w:sz w:val="14"/>
              </w:rPr>
              <w:t> </w:t>
            </w:r>
            <w:r>
              <w:rPr>
                <w:b/>
                <w:color w:val="231F20"/>
                <w:spacing w:val="-4"/>
                <w:w w:val="80"/>
                <w:sz w:val="14"/>
              </w:rPr>
              <w:t>2012</w:t>
            </w:r>
          </w:p>
        </w:tc>
      </w:tr>
      <w:tr>
        <w:trPr>
          <w:trHeight w:val="258" w:hRule="atLeast"/>
        </w:trPr>
        <w:tc>
          <w:tcPr>
            <w:tcW w:w="1368" w:type="dxa"/>
            <w:tcBorders>
              <w:top w:val="single" w:sz="4" w:space="0" w:color="008FDD"/>
            </w:tcBorders>
          </w:tcPr>
          <w:p>
            <w:pPr>
              <w:pStyle w:val="TableParagraph"/>
              <w:spacing w:before="47"/>
              <w:ind w:left="80"/>
              <w:jc w:val="left"/>
              <w:rPr>
                <w:sz w:val="14"/>
              </w:rPr>
            </w:pPr>
            <w:r>
              <w:rPr>
                <w:color w:val="231F20"/>
                <w:spacing w:val="-2"/>
                <w:w w:val="90"/>
                <w:sz w:val="14"/>
              </w:rPr>
              <w:t>Benin</w:t>
            </w:r>
          </w:p>
        </w:tc>
        <w:tc>
          <w:tcPr>
            <w:tcW w:w="1704" w:type="dxa"/>
            <w:tcBorders>
              <w:top w:val="single" w:sz="4" w:space="0" w:color="008FDD"/>
            </w:tcBorders>
          </w:tcPr>
          <w:p>
            <w:pPr>
              <w:pStyle w:val="TableParagraph"/>
              <w:spacing w:before="47"/>
              <w:ind w:right="678"/>
              <w:jc w:val="right"/>
              <w:rPr>
                <w:sz w:val="14"/>
              </w:rPr>
            </w:pPr>
            <w:r>
              <w:rPr>
                <w:color w:val="231F20"/>
                <w:spacing w:val="-5"/>
                <w:w w:val="85"/>
                <w:sz w:val="14"/>
              </w:rPr>
              <w:t>Yes</w:t>
            </w:r>
          </w:p>
        </w:tc>
        <w:tc>
          <w:tcPr>
            <w:tcW w:w="1536" w:type="dxa"/>
            <w:tcBorders>
              <w:top w:val="single" w:sz="4" w:space="0" w:color="008FDD"/>
            </w:tcBorders>
          </w:tcPr>
          <w:p>
            <w:pPr>
              <w:pStyle w:val="TableParagraph"/>
              <w:spacing w:before="47"/>
              <w:ind w:left="5" w:right="2"/>
              <w:rPr>
                <w:sz w:val="14"/>
              </w:rPr>
            </w:pPr>
            <w:r>
              <w:rPr>
                <w:color w:val="231F20"/>
                <w:spacing w:val="-5"/>
                <w:w w:val="85"/>
                <w:sz w:val="14"/>
              </w:rPr>
              <w:t>No</w:t>
            </w:r>
          </w:p>
        </w:tc>
        <w:tc>
          <w:tcPr>
            <w:tcW w:w="1536" w:type="dxa"/>
            <w:tcBorders>
              <w:top w:val="single" w:sz="4" w:space="0" w:color="008FDD"/>
            </w:tcBorders>
          </w:tcPr>
          <w:p>
            <w:pPr>
              <w:pStyle w:val="TableParagraph"/>
              <w:spacing w:before="47"/>
              <w:ind w:left="5" w:right="2"/>
              <w:rPr>
                <w:sz w:val="14"/>
              </w:rPr>
            </w:pPr>
            <w:r>
              <w:rPr>
                <w:color w:val="231F20"/>
                <w:spacing w:val="-5"/>
                <w:w w:val="85"/>
                <w:sz w:val="14"/>
              </w:rPr>
              <w:t>No</w:t>
            </w:r>
          </w:p>
        </w:tc>
        <w:tc>
          <w:tcPr>
            <w:tcW w:w="1536" w:type="dxa"/>
            <w:tcBorders>
              <w:top w:val="single" w:sz="4" w:space="0" w:color="008FDD"/>
            </w:tcBorders>
          </w:tcPr>
          <w:p>
            <w:pPr>
              <w:pStyle w:val="TableParagraph"/>
              <w:spacing w:before="47"/>
              <w:ind w:left="5" w:right="5"/>
              <w:rPr>
                <w:sz w:val="14"/>
              </w:rPr>
            </w:pPr>
            <w:r>
              <w:rPr>
                <w:color w:val="231F20"/>
                <w:spacing w:val="-5"/>
                <w:w w:val="85"/>
                <w:sz w:val="14"/>
              </w:rPr>
              <w:t>Yes</w:t>
            </w:r>
          </w:p>
        </w:tc>
      </w:tr>
      <w:tr>
        <w:trPr>
          <w:trHeight w:val="259" w:hRule="atLeast"/>
        </w:trPr>
        <w:tc>
          <w:tcPr>
            <w:tcW w:w="1368" w:type="dxa"/>
            <w:shd w:val="clear" w:color="auto" w:fill="D4E3F5"/>
          </w:tcPr>
          <w:p>
            <w:pPr>
              <w:pStyle w:val="TableParagraph"/>
              <w:ind w:left="80"/>
              <w:jc w:val="left"/>
              <w:rPr>
                <w:sz w:val="14"/>
              </w:rPr>
            </w:pPr>
            <w:r>
              <w:rPr>
                <w:color w:val="231F20"/>
                <w:spacing w:val="-2"/>
                <w:w w:val="90"/>
                <w:sz w:val="14"/>
              </w:rPr>
              <w:t>Djibouti</w:t>
            </w:r>
          </w:p>
        </w:tc>
        <w:tc>
          <w:tcPr>
            <w:tcW w:w="1704" w:type="dxa"/>
            <w:shd w:val="clear" w:color="auto" w:fill="D4E3F5"/>
          </w:tcPr>
          <w:p>
            <w:pPr>
              <w:pStyle w:val="TableParagraph"/>
              <w:ind w:right="692"/>
              <w:jc w:val="right"/>
              <w:rPr>
                <w:sz w:val="14"/>
              </w:rPr>
            </w:pPr>
            <w:r>
              <w:rPr>
                <w:color w:val="231F20"/>
                <w:spacing w:val="-5"/>
                <w:w w:val="85"/>
                <w:sz w:val="14"/>
              </w:rPr>
              <w:t>No</w:t>
            </w:r>
          </w:p>
        </w:tc>
        <w:tc>
          <w:tcPr>
            <w:tcW w:w="1536" w:type="dxa"/>
            <w:shd w:val="clear" w:color="auto" w:fill="D4E3F5"/>
          </w:tcPr>
          <w:p>
            <w:pPr>
              <w:pStyle w:val="TableParagraph"/>
              <w:ind w:left="5" w:right="2"/>
              <w:rPr>
                <w:sz w:val="14"/>
              </w:rPr>
            </w:pPr>
            <w:r>
              <w:rPr>
                <w:color w:val="231F20"/>
                <w:spacing w:val="-5"/>
                <w:w w:val="85"/>
                <w:sz w:val="14"/>
              </w:rPr>
              <w:t>No</w:t>
            </w:r>
          </w:p>
        </w:tc>
        <w:tc>
          <w:tcPr>
            <w:tcW w:w="1536" w:type="dxa"/>
            <w:shd w:val="clear" w:color="auto" w:fill="D4E3F5"/>
          </w:tcPr>
          <w:p>
            <w:pPr>
              <w:pStyle w:val="TableParagraph"/>
              <w:ind w:left="5" w:right="2"/>
              <w:rPr>
                <w:sz w:val="14"/>
              </w:rPr>
            </w:pPr>
            <w:r>
              <w:rPr>
                <w:color w:val="231F20"/>
                <w:spacing w:val="-5"/>
                <w:w w:val="85"/>
                <w:sz w:val="14"/>
              </w:rPr>
              <w:t>No</w:t>
            </w:r>
          </w:p>
        </w:tc>
        <w:tc>
          <w:tcPr>
            <w:tcW w:w="1536" w:type="dxa"/>
            <w:shd w:val="clear" w:color="auto" w:fill="D4E3F5"/>
          </w:tcPr>
          <w:p>
            <w:pPr>
              <w:pStyle w:val="TableParagraph"/>
              <w:ind w:left="5" w:right="2"/>
              <w:rPr>
                <w:sz w:val="14"/>
              </w:rPr>
            </w:pPr>
            <w:r>
              <w:rPr>
                <w:color w:val="231F20"/>
                <w:spacing w:val="-5"/>
                <w:w w:val="85"/>
                <w:sz w:val="14"/>
              </w:rPr>
              <w:t>No</w:t>
            </w:r>
          </w:p>
        </w:tc>
      </w:tr>
      <w:tr>
        <w:trPr>
          <w:trHeight w:val="259" w:hRule="atLeast"/>
        </w:trPr>
        <w:tc>
          <w:tcPr>
            <w:tcW w:w="1368" w:type="dxa"/>
          </w:tcPr>
          <w:p>
            <w:pPr>
              <w:pStyle w:val="TableParagraph"/>
              <w:ind w:left="80"/>
              <w:jc w:val="left"/>
              <w:rPr>
                <w:sz w:val="14"/>
              </w:rPr>
            </w:pPr>
            <w:r>
              <w:rPr>
                <w:color w:val="231F20"/>
                <w:w w:val="75"/>
                <w:sz w:val="14"/>
              </w:rPr>
              <w:t>Egypt,</w:t>
            </w:r>
            <w:r>
              <w:rPr>
                <w:color w:val="231F20"/>
                <w:spacing w:val="7"/>
                <w:sz w:val="14"/>
              </w:rPr>
              <w:t> </w:t>
            </w:r>
            <w:r>
              <w:rPr>
                <w:color w:val="231F20"/>
                <w:w w:val="75"/>
                <w:sz w:val="14"/>
              </w:rPr>
              <w:t>Arab</w:t>
            </w:r>
            <w:r>
              <w:rPr>
                <w:color w:val="231F20"/>
                <w:spacing w:val="9"/>
                <w:sz w:val="14"/>
              </w:rPr>
              <w:t> </w:t>
            </w:r>
            <w:r>
              <w:rPr>
                <w:color w:val="231F20"/>
                <w:spacing w:val="-4"/>
                <w:w w:val="75"/>
                <w:sz w:val="14"/>
              </w:rPr>
              <w:t>Rep.</w:t>
            </w:r>
          </w:p>
        </w:tc>
        <w:tc>
          <w:tcPr>
            <w:tcW w:w="1704" w:type="dxa"/>
          </w:tcPr>
          <w:p>
            <w:pPr>
              <w:pStyle w:val="TableParagraph"/>
              <w:ind w:right="678"/>
              <w:jc w:val="right"/>
              <w:rPr>
                <w:sz w:val="14"/>
              </w:rPr>
            </w:pPr>
            <w:r>
              <w:rPr>
                <w:color w:val="231F20"/>
                <w:spacing w:val="-5"/>
                <w:w w:val="85"/>
                <w:sz w:val="14"/>
              </w:rPr>
              <w:t>Yes</w:t>
            </w:r>
          </w:p>
        </w:tc>
        <w:tc>
          <w:tcPr>
            <w:tcW w:w="1536" w:type="dxa"/>
          </w:tcPr>
          <w:p>
            <w:pPr>
              <w:pStyle w:val="TableParagraph"/>
              <w:ind w:left="5" w:right="5"/>
              <w:rPr>
                <w:sz w:val="14"/>
              </w:rPr>
            </w:pPr>
            <w:r>
              <w:rPr>
                <w:color w:val="231F20"/>
                <w:spacing w:val="-5"/>
                <w:w w:val="85"/>
                <w:sz w:val="14"/>
              </w:rPr>
              <w:t>Yes</w:t>
            </w:r>
          </w:p>
        </w:tc>
        <w:tc>
          <w:tcPr>
            <w:tcW w:w="1536" w:type="dxa"/>
          </w:tcPr>
          <w:p>
            <w:pPr>
              <w:pStyle w:val="TableParagraph"/>
              <w:ind w:left="5" w:right="5"/>
              <w:rPr>
                <w:sz w:val="14"/>
              </w:rPr>
            </w:pPr>
            <w:r>
              <w:rPr>
                <w:color w:val="231F20"/>
                <w:spacing w:val="-5"/>
                <w:w w:val="85"/>
                <w:sz w:val="14"/>
              </w:rPr>
              <w:t>Yes</w:t>
            </w:r>
          </w:p>
        </w:tc>
        <w:tc>
          <w:tcPr>
            <w:tcW w:w="1536" w:type="dxa"/>
          </w:tcPr>
          <w:p>
            <w:pPr>
              <w:pStyle w:val="TableParagraph"/>
              <w:ind w:left="5" w:right="5"/>
              <w:rPr>
                <w:sz w:val="14"/>
              </w:rPr>
            </w:pPr>
            <w:r>
              <w:rPr>
                <w:color w:val="231F20"/>
                <w:spacing w:val="-5"/>
                <w:w w:val="85"/>
                <w:sz w:val="14"/>
              </w:rPr>
              <w:t>Yes</w:t>
            </w:r>
          </w:p>
        </w:tc>
      </w:tr>
      <w:tr>
        <w:trPr>
          <w:trHeight w:val="259" w:hRule="atLeast"/>
        </w:trPr>
        <w:tc>
          <w:tcPr>
            <w:tcW w:w="1368" w:type="dxa"/>
            <w:shd w:val="clear" w:color="auto" w:fill="D4E3F5"/>
          </w:tcPr>
          <w:p>
            <w:pPr>
              <w:pStyle w:val="TableParagraph"/>
              <w:ind w:left="80"/>
              <w:jc w:val="left"/>
              <w:rPr>
                <w:sz w:val="14"/>
              </w:rPr>
            </w:pPr>
            <w:r>
              <w:rPr>
                <w:color w:val="231F20"/>
                <w:w w:val="70"/>
                <w:sz w:val="14"/>
              </w:rPr>
              <w:t>El</w:t>
            </w:r>
            <w:r>
              <w:rPr>
                <w:color w:val="231F20"/>
                <w:spacing w:val="-6"/>
                <w:sz w:val="14"/>
              </w:rPr>
              <w:t> </w:t>
            </w:r>
            <w:r>
              <w:rPr>
                <w:color w:val="231F20"/>
                <w:spacing w:val="-2"/>
                <w:w w:val="85"/>
                <w:sz w:val="14"/>
              </w:rPr>
              <w:t>Salvador</w:t>
            </w:r>
          </w:p>
        </w:tc>
        <w:tc>
          <w:tcPr>
            <w:tcW w:w="1704" w:type="dxa"/>
            <w:shd w:val="clear" w:color="auto" w:fill="D4E3F5"/>
          </w:tcPr>
          <w:p>
            <w:pPr>
              <w:pStyle w:val="TableParagraph"/>
              <w:ind w:right="692"/>
              <w:jc w:val="right"/>
              <w:rPr>
                <w:sz w:val="14"/>
              </w:rPr>
            </w:pPr>
            <w:r>
              <w:rPr>
                <w:color w:val="231F20"/>
                <w:spacing w:val="-5"/>
                <w:w w:val="85"/>
                <w:sz w:val="14"/>
              </w:rPr>
              <w:t>No</w:t>
            </w:r>
          </w:p>
        </w:tc>
        <w:tc>
          <w:tcPr>
            <w:tcW w:w="1536" w:type="dxa"/>
            <w:shd w:val="clear" w:color="auto" w:fill="D4E3F5"/>
          </w:tcPr>
          <w:p>
            <w:pPr>
              <w:pStyle w:val="TableParagraph"/>
              <w:ind w:left="5" w:right="5"/>
              <w:rPr>
                <w:sz w:val="14"/>
              </w:rPr>
            </w:pPr>
            <w:r>
              <w:rPr>
                <w:color w:val="231F20"/>
                <w:spacing w:val="-5"/>
                <w:w w:val="85"/>
                <w:sz w:val="14"/>
              </w:rPr>
              <w:t>Yes</w:t>
            </w:r>
          </w:p>
        </w:tc>
        <w:tc>
          <w:tcPr>
            <w:tcW w:w="1536" w:type="dxa"/>
            <w:shd w:val="clear" w:color="auto" w:fill="D4E3F5"/>
          </w:tcPr>
          <w:p>
            <w:pPr>
              <w:pStyle w:val="TableParagraph"/>
              <w:ind w:left="5" w:right="5"/>
              <w:rPr>
                <w:sz w:val="14"/>
              </w:rPr>
            </w:pPr>
            <w:r>
              <w:rPr>
                <w:color w:val="231F20"/>
                <w:spacing w:val="-5"/>
                <w:w w:val="85"/>
                <w:sz w:val="14"/>
              </w:rPr>
              <w:t>Yes</w:t>
            </w:r>
          </w:p>
        </w:tc>
        <w:tc>
          <w:tcPr>
            <w:tcW w:w="1536" w:type="dxa"/>
            <w:shd w:val="clear" w:color="auto" w:fill="D4E3F5"/>
          </w:tcPr>
          <w:p>
            <w:pPr>
              <w:pStyle w:val="TableParagraph"/>
              <w:ind w:left="5" w:right="5"/>
              <w:rPr>
                <w:sz w:val="14"/>
              </w:rPr>
            </w:pPr>
            <w:r>
              <w:rPr>
                <w:color w:val="231F20"/>
                <w:spacing w:val="-5"/>
                <w:w w:val="85"/>
                <w:sz w:val="14"/>
              </w:rPr>
              <w:t>Yes</w:t>
            </w:r>
          </w:p>
        </w:tc>
      </w:tr>
      <w:tr>
        <w:trPr>
          <w:trHeight w:val="259" w:hRule="atLeast"/>
        </w:trPr>
        <w:tc>
          <w:tcPr>
            <w:tcW w:w="1368" w:type="dxa"/>
          </w:tcPr>
          <w:p>
            <w:pPr>
              <w:pStyle w:val="TableParagraph"/>
              <w:ind w:left="80"/>
              <w:jc w:val="left"/>
              <w:rPr>
                <w:sz w:val="14"/>
              </w:rPr>
            </w:pPr>
            <w:r>
              <w:rPr>
                <w:color w:val="231F20"/>
                <w:spacing w:val="-2"/>
                <w:w w:val="90"/>
                <w:sz w:val="14"/>
              </w:rPr>
              <w:t>Honduras</w:t>
            </w:r>
          </w:p>
        </w:tc>
        <w:tc>
          <w:tcPr>
            <w:tcW w:w="1704" w:type="dxa"/>
          </w:tcPr>
          <w:p>
            <w:pPr>
              <w:pStyle w:val="TableParagraph"/>
              <w:ind w:right="692"/>
              <w:jc w:val="right"/>
              <w:rPr>
                <w:sz w:val="14"/>
              </w:rPr>
            </w:pPr>
            <w:r>
              <w:rPr>
                <w:color w:val="231F20"/>
                <w:spacing w:val="-5"/>
                <w:w w:val="85"/>
                <w:sz w:val="14"/>
              </w:rPr>
              <w:t>No</w:t>
            </w:r>
          </w:p>
        </w:tc>
        <w:tc>
          <w:tcPr>
            <w:tcW w:w="1536" w:type="dxa"/>
          </w:tcPr>
          <w:p>
            <w:pPr>
              <w:pStyle w:val="TableParagraph"/>
              <w:ind w:left="5" w:right="2"/>
              <w:rPr>
                <w:sz w:val="14"/>
              </w:rPr>
            </w:pPr>
            <w:r>
              <w:rPr>
                <w:color w:val="231F20"/>
                <w:spacing w:val="-5"/>
                <w:w w:val="85"/>
                <w:sz w:val="14"/>
              </w:rPr>
              <w:t>No</w:t>
            </w:r>
          </w:p>
        </w:tc>
        <w:tc>
          <w:tcPr>
            <w:tcW w:w="1536" w:type="dxa"/>
          </w:tcPr>
          <w:p>
            <w:pPr>
              <w:pStyle w:val="TableParagraph"/>
              <w:ind w:left="5" w:right="2"/>
              <w:rPr>
                <w:sz w:val="14"/>
              </w:rPr>
            </w:pPr>
            <w:r>
              <w:rPr>
                <w:color w:val="231F20"/>
                <w:spacing w:val="-5"/>
                <w:w w:val="85"/>
                <w:sz w:val="14"/>
              </w:rPr>
              <w:t>No</w:t>
            </w:r>
          </w:p>
        </w:tc>
        <w:tc>
          <w:tcPr>
            <w:tcW w:w="1536" w:type="dxa"/>
          </w:tcPr>
          <w:p>
            <w:pPr>
              <w:pStyle w:val="TableParagraph"/>
              <w:ind w:left="5" w:right="2"/>
              <w:rPr>
                <w:sz w:val="14"/>
              </w:rPr>
            </w:pPr>
            <w:r>
              <w:rPr>
                <w:color w:val="231F20"/>
                <w:spacing w:val="-5"/>
                <w:w w:val="85"/>
                <w:sz w:val="14"/>
              </w:rPr>
              <w:t>No</w:t>
            </w:r>
          </w:p>
        </w:tc>
      </w:tr>
      <w:tr>
        <w:trPr>
          <w:trHeight w:val="259" w:hRule="atLeast"/>
        </w:trPr>
        <w:tc>
          <w:tcPr>
            <w:tcW w:w="1368" w:type="dxa"/>
            <w:shd w:val="clear" w:color="auto" w:fill="D4E3F5"/>
          </w:tcPr>
          <w:p>
            <w:pPr>
              <w:pStyle w:val="TableParagraph"/>
              <w:ind w:left="80"/>
              <w:jc w:val="left"/>
              <w:rPr>
                <w:sz w:val="14"/>
              </w:rPr>
            </w:pPr>
            <w:r>
              <w:rPr>
                <w:color w:val="231F20"/>
                <w:spacing w:val="-4"/>
                <w:w w:val="85"/>
                <w:sz w:val="14"/>
              </w:rPr>
              <w:t>India</w:t>
            </w:r>
          </w:p>
        </w:tc>
        <w:tc>
          <w:tcPr>
            <w:tcW w:w="1704" w:type="dxa"/>
            <w:shd w:val="clear" w:color="auto" w:fill="D4E3F5"/>
          </w:tcPr>
          <w:p>
            <w:pPr>
              <w:pStyle w:val="TableParagraph"/>
              <w:ind w:right="678"/>
              <w:jc w:val="right"/>
              <w:rPr>
                <w:sz w:val="14"/>
              </w:rPr>
            </w:pPr>
            <w:r>
              <w:rPr>
                <w:color w:val="231F20"/>
                <w:spacing w:val="-5"/>
                <w:w w:val="85"/>
                <w:sz w:val="14"/>
              </w:rPr>
              <w:t>Yes</w:t>
            </w:r>
          </w:p>
        </w:tc>
        <w:tc>
          <w:tcPr>
            <w:tcW w:w="1536" w:type="dxa"/>
            <w:shd w:val="clear" w:color="auto" w:fill="D4E3F5"/>
          </w:tcPr>
          <w:p>
            <w:pPr>
              <w:pStyle w:val="TableParagraph"/>
              <w:ind w:left="5" w:right="5"/>
              <w:rPr>
                <w:sz w:val="14"/>
              </w:rPr>
            </w:pPr>
            <w:r>
              <w:rPr>
                <w:color w:val="231F20"/>
                <w:spacing w:val="-5"/>
                <w:w w:val="85"/>
                <w:sz w:val="14"/>
              </w:rPr>
              <w:t>Yes</w:t>
            </w:r>
          </w:p>
        </w:tc>
        <w:tc>
          <w:tcPr>
            <w:tcW w:w="1536" w:type="dxa"/>
            <w:shd w:val="clear" w:color="auto" w:fill="D4E3F5"/>
          </w:tcPr>
          <w:p>
            <w:pPr>
              <w:pStyle w:val="TableParagraph"/>
              <w:ind w:left="5" w:right="5"/>
              <w:rPr>
                <w:sz w:val="14"/>
              </w:rPr>
            </w:pPr>
            <w:r>
              <w:rPr>
                <w:color w:val="231F20"/>
                <w:spacing w:val="-5"/>
                <w:w w:val="85"/>
                <w:sz w:val="14"/>
              </w:rPr>
              <w:t>Yes</w:t>
            </w:r>
          </w:p>
        </w:tc>
        <w:tc>
          <w:tcPr>
            <w:tcW w:w="1536" w:type="dxa"/>
            <w:shd w:val="clear" w:color="auto" w:fill="D4E3F5"/>
          </w:tcPr>
          <w:p>
            <w:pPr>
              <w:pStyle w:val="TableParagraph"/>
              <w:ind w:left="5" w:right="5"/>
              <w:rPr>
                <w:sz w:val="14"/>
              </w:rPr>
            </w:pPr>
            <w:r>
              <w:rPr>
                <w:color w:val="231F20"/>
                <w:spacing w:val="-5"/>
                <w:w w:val="85"/>
                <w:sz w:val="14"/>
              </w:rPr>
              <w:t>Yes</w:t>
            </w:r>
          </w:p>
        </w:tc>
      </w:tr>
      <w:tr>
        <w:trPr>
          <w:trHeight w:val="259" w:hRule="atLeast"/>
        </w:trPr>
        <w:tc>
          <w:tcPr>
            <w:tcW w:w="1368" w:type="dxa"/>
          </w:tcPr>
          <w:p>
            <w:pPr>
              <w:pStyle w:val="TableParagraph"/>
              <w:ind w:left="80"/>
              <w:jc w:val="left"/>
              <w:rPr>
                <w:sz w:val="14"/>
              </w:rPr>
            </w:pPr>
            <w:r>
              <w:rPr>
                <w:color w:val="231F20"/>
                <w:spacing w:val="-2"/>
                <w:w w:val="85"/>
                <w:sz w:val="14"/>
              </w:rPr>
              <w:t>Indonesia</w:t>
            </w:r>
          </w:p>
        </w:tc>
        <w:tc>
          <w:tcPr>
            <w:tcW w:w="1704" w:type="dxa"/>
          </w:tcPr>
          <w:p>
            <w:pPr>
              <w:pStyle w:val="TableParagraph"/>
              <w:ind w:right="678"/>
              <w:jc w:val="right"/>
              <w:rPr>
                <w:sz w:val="14"/>
              </w:rPr>
            </w:pPr>
            <w:r>
              <w:rPr>
                <w:color w:val="231F20"/>
                <w:spacing w:val="-5"/>
                <w:w w:val="85"/>
                <w:sz w:val="14"/>
              </w:rPr>
              <w:t>Yes</w:t>
            </w:r>
          </w:p>
        </w:tc>
        <w:tc>
          <w:tcPr>
            <w:tcW w:w="1536" w:type="dxa"/>
          </w:tcPr>
          <w:p>
            <w:pPr>
              <w:pStyle w:val="TableParagraph"/>
              <w:ind w:left="5" w:right="5"/>
              <w:rPr>
                <w:sz w:val="14"/>
              </w:rPr>
            </w:pPr>
            <w:r>
              <w:rPr>
                <w:color w:val="231F20"/>
                <w:spacing w:val="-5"/>
                <w:w w:val="85"/>
                <w:sz w:val="14"/>
              </w:rPr>
              <w:t>Yes</w:t>
            </w:r>
          </w:p>
        </w:tc>
        <w:tc>
          <w:tcPr>
            <w:tcW w:w="1536" w:type="dxa"/>
          </w:tcPr>
          <w:p>
            <w:pPr>
              <w:pStyle w:val="TableParagraph"/>
              <w:ind w:left="5" w:right="5"/>
              <w:rPr>
                <w:sz w:val="14"/>
              </w:rPr>
            </w:pPr>
            <w:r>
              <w:rPr>
                <w:color w:val="231F20"/>
                <w:spacing w:val="-5"/>
                <w:w w:val="85"/>
                <w:sz w:val="14"/>
              </w:rPr>
              <w:t>Yes</w:t>
            </w:r>
          </w:p>
        </w:tc>
        <w:tc>
          <w:tcPr>
            <w:tcW w:w="1536" w:type="dxa"/>
          </w:tcPr>
          <w:p>
            <w:pPr>
              <w:pStyle w:val="TableParagraph"/>
              <w:ind w:left="5" w:right="5"/>
              <w:rPr>
                <w:sz w:val="14"/>
              </w:rPr>
            </w:pPr>
            <w:r>
              <w:rPr>
                <w:color w:val="231F20"/>
                <w:spacing w:val="-5"/>
                <w:w w:val="85"/>
                <w:sz w:val="14"/>
              </w:rPr>
              <w:t>Yes</w:t>
            </w:r>
          </w:p>
        </w:tc>
      </w:tr>
      <w:tr>
        <w:trPr>
          <w:trHeight w:val="259" w:hRule="atLeast"/>
        </w:trPr>
        <w:tc>
          <w:tcPr>
            <w:tcW w:w="1368" w:type="dxa"/>
            <w:shd w:val="clear" w:color="auto" w:fill="D4E3F5"/>
          </w:tcPr>
          <w:p>
            <w:pPr>
              <w:pStyle w:val="TableParagraph"/>
              <w:ind w:left="80"/>
              <w:jc w:val="left"/>
              <w:rPr>
                <w:sz w:val="14"/>
              </w:rPr>
            </w:pPr>
            <w:r>
              <w:rPr>
                <w:color w:val="231F20"/>
                <w:w w:val="75"/>
                <w:sz w:val="14"/>
              </w:rPr>
              <w:t>Papua</w:t>
            </w:r>
            <w:r>
              <w:rPr>
                <w:color w:val="231F20"/>
                <w:spacing w:val="3"/>
                <w:sz w:val="14"/>
              </w:rPr>
              <w:t> </w:t>
            </w:r>
            <w:r>
              <w:rPr>
                <w:color w:val="231F20"/>
                <w:w w:val="75"/>
                <w:sz w:val="14"/>
              </w:rPr>
              <w:t>New</w:t>
            </w:r>
            <w:r>
              <w:rPr>
                <w:color w:val="231F20"/>
                <w:spacing w:val="4"/>
                <w:sz w:val="14"/>
              </w:rPr>
              <w:t> </w:t>
            </w:r>
            <w:r>
              <w:rPr>
                <w:color w:val="231F20"/>
                <w:spacing w:val="-2"/>
                <w:w w:val="75"/>
                <w:sz w:val="14"/>
              </w:rPr>
              <w:t>Guinea</w:t>
            </w:r>
          </w:p>
        </w:tc>
        <w:tc>
          <w:tcPr>
            <w:tcW w:w="1704" w:type="dxa"/>
            <w:shd w:val="clear" w:color="auto" w:fill="D4E3F5"/>
          </w:tcPr>
          <w:p>
            <w:pPr>
              <w:pStyle w:val="TableParagraph"/>
              <w:ind w:right="692"/>
              <w:jc w:val="right"/>
              <w:rPr>
                <w:sz w:val="14"/>
              </w:rPr>
            </w:pPr>
            <w:r>
              <w:rPr>
                <w:color w:val="231F20"/>
                <w:spacing w:val="-5"/>
                <w:w w:val="85"/>
                <w:sz w:val="14"/>
              </w:rPr>
              <w:t>No</w:t>
            </w:r>
          </w:p>
        </w:tc>
        <w:tc>
          <w:tcPr>
            <w:tcW w:w="1536" w:type="dxa"/>
            <w:shd w:val="clear" w:color="auto" w:fill="D4E3F5"/>
          </w:tcPr>
          <w:p>
            <w:pPr>
              <w:pStyle w:val="TableParagraph"/>
              <w:ind w:left="5" w:right="2"/>
              <w:rPr>
                <w:sz w:val="14"/>
              </w:rPr>
            </w:pPr>
            <w:r>
              <w:rPr>
                <w:color w:val="231F20"/>
                <w:spacing w:val="-5"/>
                <w:w w:val="85"/>
                <w:sz w:val="14"/>
              </w:rPr>
              <w:t>No</w:t>
            </w:r>
          </w:p>
        </w:tc>
        <w:tc>
          <w:tcPr>
            <w:tcW w:w="1536" w:type="dxa"/>
            <w:shd w:val="clear" w:color="auto" w:fill="D4E3F5"/>
          </w:tcPr>
          <w:p>
            <w:pPr>
              <w:pStyle w:val="TableParagraph"/>
              <w:ind w:left="5" w:right="2"/>
              <w:rPr>
                <w:sz w:val="14"/>
              </w:rPr>
            </w:pPr>
            <w:r>
              <w:rPr>
                <w:color w:val="231F20"/>
                <w:spacing w:val="-5"/>
                <w:w w:val="85"/>
                <w:sz w:val="14"/>
              </w:rPr>
              <w:t>No</w:t>
            </w:r>
          </w:p>
        </w:tc>
        <w:tc>
          <w:tcPr>
            <w:tcW w:w="1536" w:type="dxa"/>
            <w:shd w:val="clear" w:color="auto" w:fill="D4E3F5"/>
          </w:tcPr>
          <w:p>
            <w:pPr>
              <w:pStyle w:val="TableParagraph"/>
              <w:ind w:left="5" w:right="2"/>
              <w:rPr>
                <w:sz w:val="14"/>
              </w:rPr>
            </w:pPr>
            <w:r>
              <w:rPr>
                <w:color w:val="231F20"/>
                <w:spacing w:val="-5"/>
                <w:w w:val="85"/>
                <w:sz w:val="14"/>
              </w:rPr>
              <w:t>No</w:t>
            </w:r>
          </w:p>
        </w:tc>
      </w:tr>
      <w:tr>
        <w:trPr>
          <w:trHeight w:val="259" w:hRule="atLeast"/>
        </w:trPr>
        <w:tc>
          <w:tcPr>
            <w:tcW w:w="1368" w:type="dxa"/>
          </w:tcPr>
          <w:p>
            <w:pPr>
              <w:pStyle w:val="TableParagraph"/>
              <w:ind w:left="80"/>
              <w:jc w:val="left"/>
              <w:rPr>
                <w:sz w:val="14"/>
              </w:rPr>
            </w:pPr>
            <w:r>
              <w:rPr>
                <w:color w:val="231F20"/>
                <w:spacing w:val="-2"/>
                <w:w w:val="90"/>
                <w:sz w:val="14"/>
              </w:rPr>
              <w:t>Philippines</w:t>
            </w:r>
          </w:p>
        </w:tc>
        <w:tc>
          <w:tcPr>
            <w:tcW w:w="1704" w:type="dxa"/>
          </w:tcPr>
          <w:p>
            <w:pPr>
              <w:pStyle w:val="TableParagraph"/>
              <w:ind w:right="678"/>
              <w:jc w:val="right"/>
              <w:rPr>
                <w:sz w:val="14"/>
              </w:rPr>
            </w:pPr>
            <w:r>
              <w:rPr>
                <w:color w:val="231F20"/>
                <w:spacing w:val="-5"/>
                <w:w w:val="85"/>
                <w:sz w:val="14"/>
              </w:rPr>
              <w:t>Yes</w:t>
            </w:r>
          </w:p>
        </w:tc>
        <w:tc>
          <w:tcPr>
            <w:tcW w:w="1536" w:type="dxa"/>
          </w:tcPr>
          <w:p>
            <w:pPr>
              <w:pStyle w:val="TableParagraph"/>
              <w:ind w:left="5" w:right="5"/>
              <w:rPr>
                <w:sz w:val="14"/>
              </w:rPr>
            </w:pPr>
            <w:r>
              <w:rPr>
                <w:color w:val="231F20"/>
                <w:spacing w:val="-5"/>
                <w:w w:val="85"/>
                <w:sz w:val="14"/>
              </w:rPr>
              <w:t>Yes</w:t>
            </w:r>
          </w:p>
        </w:tc>
        <w:tc>
          <w:tcPr>
            <w:tcW w:w="1536" w:type="dxa"/>
          </w:tcPr>
          <w:p>
            <w:pPr>
              <w:pStyle w:val="TableParagraph"/>
              <w:ind w:left="5" w:right="5"/>
              <w:rPr>
                <w:sz w:val="14"/>
              </w:rPr>
            </w:pPr>
            <w:r>
              <w:rPr>
                <w:color w:val="231F20"/>
                <w:spacing w:val="-5"/>
                <w:w w:val="85"/>
                <w:sz w:val="14"/>
              </w:rPr>
              <w:t>Yes</w:t>
            </w:r>
          </w:p>
        </w:tc>
        <w:tc>
          <w:tcPr>
            <w:tcW w:w="1536" w:type="dxa"/>
          </w:tcPr>
          <w:p>
            <w:pPr>
              <w:pStyle w:val="TableParagraph"/>
              <w:ind w:left="5" w:right="5"/>
              <w:rPr>
                <w:sz w:val="14"/>
              </w:rPr>
            </w:pPr>
            <w:r>
              <w:rPr>
                <w:color w:val="231F20"/>
                <w:spacing w:val="-5"/>
                <w:w w:val="85"/>
                <w:sz w:val="14"/>
              </w:rPr>
              <w:t>Yes</w:t>
            </w:r>
          </w:p>
        </w:tc>
      </w:tr>
      <w:tr>
        <w:trPr>
          <w:trHeight w:val="259" w:hRule="atLeast"/>
        </w:trPr>
        <w:tc>
          <w:tcPr>
            <w:tcW w:w="1368" w:type="dxa"/>
            <w:shd w:val="clear" w:color="auto" w:fill="D4E3F5"/>
          </w:tcPr>
          <w:p>
            <w:pPr>
              <w:pStyle w:val="TableParagraph"/>
              <w:ind w:left="80"/>
              <w:jc w:val="left"/>
              <w:rPr>
                <w:sz w:val="14"/>
              </w:rPr>
            </w:pPr>
            <w:r>
              <w:rPr>
                <w:color w:val="231F20"/>
                <w:w w:val="75"/>
                <w:sz w:val="14"/>
              </w:rPr>
              <w:t>Solomon</w:t>
            </w:r>
            <w:r>
              <w:rPr>
                <w:color w:val="231F20"/>
                <w:spacing w:val="16"/>
                <w:sz w:val="14"/>
              </w:rPr>
              <w:t> </w:t>
            </w:r>
            <w:r>
              <w:rPr>
                <w:color w:val="231F20"/>
                <w:spacing w:val="-2"/>
                <w:w w:val="85"/>
                <w:sz w:val="14"/>
              </w:rPr>
              <w:t>Islands</w:t>
            </w:r>
          </w:p>
        </w:tc>
        <w:tc>
          <w:tcPr>
            <w:tcW w:w="1704" w:type="dxa"/>
            <w:shd w:val="clear" w:color="auto" w:fill="D4E3F5"/>
          </w:tcPr>
          <w:p>
            <w:pPr>
              <w:pStyle w:val="TableParagraph"/>
              <w:ind w:right="692"/>
              <w:jc w:val="right"/>
              <w:rPr>
                <w:sz w:val="14"/>
              </w:rPr>
            </w:pPr>
            <w:r>
              <w:rPr>
                <w:color w:val="231F20"/>
                <w:spacing w:val="-5"/>
                <w:w w:val="85"/>
                <w:sz w:val="14"/>
              </w:rPr>
              <w:t>No</w:t>
            </w:r>
          </w:p>
        </w:tc>
        <w:tc>
          <w:tcPr>
            <w:tcW w:w="1536" w:type="dxa"/>
            <w:shd w:val="clear" w:color="auto" w:fill="D4E3F5"/>
          </w:tcPr>
          <w:p>
            <w:pPr>
              <w:pStyle w:val="TableParagraph"/>
              <w:ind w:left="5" w:right="2"/>
              <w:rPr>
                <w:sz w:val="14"/>
              </w:rPr>
            </w:pPr>
            <w:r>
              <w:rPr>
                <w:color w:val="231F20"/>
                <w:spacing w:val="-5"/>
                <w:w w:val="85"/>
                <w:sz w:val="14"/>
              </w:rPr>
              <w:t>No</w:t>
            </w:r>
          </w:p>
        </w:tc>
        <w:tc>
          <w:tcPr>
            <w:tcW w:w="1536" w:type="dxa"/>
            <w:shd w:val="clear" w:color="auto" w:fill="D4E3F5"/>
          </w:tcPr>
          <w:p>
            <w:pPr>
              <w:pStyle w:val="TableParagraph"/>
              <w:ind w:left="5" w:right="2"/>
              <w:rPr>
                <w:sz w:val="14"/>
              </w:rPr>
            </w:pPr>
            <w:r>
              <w:rPr>
                <w:color w:val="231F20"/>
                <w:spacing w:val="-5"/>
                <w:w w:val="85"/>
                <w:sz w:val="14"/>
              </w:rPr>
              <w:t>No</w:t>
            </w:r>
          </w:p>
        </w:tc>
        <w:tc>
          <w:tcPr>
            <w:tcW w:w="1536" w:type="dxa"/>
            <w:shd w:val="clear" w:color="auto" w:fill="D4E3F5"/>
          </w:tcPr>
          <w:p>
            <w:pPr>
              <w:pStyle w:val="TableParagraph"/>
              <w:ind w:left="5" w:right="2"/>
              <w:rPr>
                <w:sz w:val="14"/>
              </w:rPr>
            </w:pPr>
            <w:r>
              <w:rPr>
                <w:color w:val="231F20"/>
                <w:spacing w:val="-5"/>
                <w:w w:val="85"/>
                <w:sz w:val="14"/>
              </w:rPr>
              <w:t>No</w:t>
            </w:r>
          </w:p>
        </w:tc>
      </w:tr>
      <w:tr>
        <w:trPr>
          <w:trHeight w:val="259" w:hRule="atLeast"/>
        </w:trPr>
        <w:tc>
          <w:tcPr>
            <w:tcW w:w="1368" w:type="dxa"/>
          </w:tcPr>
          <w:p>
            <w:pPr>
              <w:pStyle w:val="TableParagraph"/>
              <w:ind w:left="80"/>
              <w:jc w:val="left"/>
              <w:rPr>
                <w:sz w:val="14"/>
              </w:rPr>
            </w:pPr>
            <w:r>
              <w:rPr>
                <w:color w:val="231F20"/>
                <w:w w:val="75"/>
                <w:sz w:val="14"/>
              </w:rPr>
              <w:t>Sri</w:t>
            </w:r>
            <w:r>
              <w:rPr>
                <w:color w:val="231F20"/>
                <w:sz w:val="14"/>
              </w:rPr>
              <w:t> </w:t>
            </w:r>
            <w:r>
              <w:rPr>
                <w:color w:val="231F20"/>
                <w:spacing w:val="-2"/>
                <w:w w:val="85"/>
                <w:sz w:val="14"/>
              </w:rPr>
              <w:t>Lanka</w:t>
            </w:r>
          </w:p>
        </w:tc>
        <w:tc>
          <w:tcPr>
            <w:tcW w:w="1704" w:type="dxa"/>
          </w:tcPr>
          <w:p>
            <w:pPr>
              <w:pStyle w:val="TableParagraph"/>
              <w:ind w:right="692"/>
              <w:jc w:val="right"/>
              <w:rPr>
                <w:sz w:val="14"/>
              </w:rPr>
            </w:pPr>
            <w:r>
              <w:rPr>
                <w:color w:val="231F20"/>
                <w:spacing w:val="-5"/>
                <w:w w:val="85"/>
                <w:sz w:val="14"/>
              </w:rPr>
              <w:t>No</w:t>
            </w:r>
          </w:p>
        </w:tc>
        <w:tc>
          <w:tcPr>
            <w:tcW w:w="1536" w:type="dxa"/>
          </w:tcPr>
          <w:p>
            <w:pPr>
              <w:pStyle w:val="TableParagraph"/>
              <w:ind w:left="5" w:right="4"/>
              <w:rPr>
                <w:sz w:val="14"/>
              </w:rPr>
            </w:pPr>
            <w:r>
              <w:rPr>
                <w:color w:val="231F20"/>
                <w:spacing w:val="-5"/>
                <w:w w:val="90"/>
                <w:sz w:val="14"/>
              </w:rPr>
              <w:t>na</w:t>
            </w:r>
          </w:p>
        </w:tc>
        <w:tc>
          <w:tcPr>
            <w:tcW w:w="1536" w:type="dxa"/>
          </w:tcPr>
          <w:p>
            <w:pPr>
              <w:pStyle w:val="TableParagraph"/>
              <w:ind w:left="5" w:right="2"/>
              <w:rPr>
                <w:sz w:val="14"/>
              </w:rPr>
            </w:pPr>
            <w:r>
              <w:rPr>
                <w:color w:val="231F20"/>
                <w:spacing w:val="-5"/>
                <w:w w:val="85"/>
                <w:sz w:val="14"/>
              </w:rPr>
              <w:t>No</w:t>
            </w:r>
          </w:p>
        </w:tc>
        <w:tc>
          <w:tcPr>
            <w:tcW w:w="1536" w:type="dxa"/>
          </w:tcPr>
          <w:p>
            <w:pPr>
              <w:pStyle w:val="TableParagraph"/>
              <w:ind w:left="5" w:right="5"/>
              <w:rPr>
                <w:sz w:val="14"/>
              </w:rPr>
            </w:pPr>
            <w:r>
              <w:rPr>
                <w:color w:val="231F20"/>
                <w:spacing w:val="-5"/>
                <w:w w:val="85"/>
                <w:sz w:val="14"/>
              </w:rPr>
              <w:t>Yes</w:t>
            </w:r>
          </w:p>
        </w:tc>
      </w:tr>
      <w:tr>
        <w:trPr>
          <w:trHeight w:val="259" w:hRule="atLeast"/>
        </w:trPr>
        <w:tc>
          <w:tcPr>
            <w:tcW w:w="1368" w:type="dxa"/>
            <w:shd w:val="clear" w:color="auto" w:fill="D4E3F5"/>
          </w:tcPr>
          <w:p>
            <w:pPr>
              <w:pStyle w:val="TableParagraph"/>
              <w:ind w:left="80"/>
              <w:jc w:val="left"/>
              <w:rPr>
                <w:sz w:val="14"/>
              </w:rPr>
            </w:pPr>
            <w:r>
              <w:rPr>
                <w:color w:val="231F20"/>
                <w:spacing w:val="-2"/>
                <w:w w:val="85"/>
                <w:sz w:val="14"/>
              </w:rPr>
              <w:t>Uzbekistan</w:t>
            </w:r>
          </w:p>
        </w:tc>
        <w:tc>
          <w:tcPr>
            <w:tcW w:w="1704" w:type="dxa"/>
            <w:shd w:val="clear" w:color="auto" w:fill="D4E3F5"/>
          </w:tcPr>
          <w:p>
            <w:pPr>
              <w:pStyle w:val="TableParagraph"/>
              <w:ind w:right="692"/>
              <w:jc w:val="right"/>
              <w:rPr>
                <w:sz w:val="14"/>
              </w:rPr>
            </w:pPr>
            <w:r>
              <w:rPr>
                <w:color w:val="231F20"/>
                <w:spacing w:val="-5"/>
                <w:w w:val="85"/>
                <w:sz w:val="14"/>
              </w:rPr>
              <w:t>No</w:t>
            </w:r>
          </w:p>
        </w:tc>
        <w:tc>
          <w:tcPr>
            <w:tcW w:w="1536" w:type="dxa"/>
            <w:shd w:val="clear" w:color="auto" w:fill="D4E3F5"/>
          </w:tcPr>
          <w:p>
            <w:pPr>
              <w:pStyle w:val="TableParagraph"/>
              <w:ind w:left="5" w:right="2"/>
              <w:rPr>
                <w:sz w:val="14"/>
              </w:rPr>
            </w:pPr>
            <w:r>
              <w:rPr>
                <w:color w:val="231F20"/>
                <w:spacing w:val="-5"/>
                <w:w w:val="85"/>
                <w:sz w:val="14"/>
              </w:rPr>
              <w:t>No</w:t>
            </w:r>
          </w:p>
        </w:tc>
        <w:tc>
          <w:tcPr>
            <w:tcW w:w="1536" w:type="dxa"/>
            <w:shd w:val="clear" w:color="auto" w:fill="D4E3F5"/>
          </w:tcPr>
          <w:p>
            <w:pPr>
              <w:pStyle w:val="TableParagraph"/>
              <w:ind w:left="5" w:right="2"/>
              <w:rPr>
                <w:sz w:val="14"/>
              </w:rPr>
            </w:pPr>
            <w:r>
              <w:rPr>
                <w:color w:val="231F20"/>
                <w:spacing w:val="-5"/>
                <w:w w:val="85"/>
                <w:sz w:val="14"/>
              </w:rPr>
              <w:t>No</w:t>
            </w:r>
          </w:p>
        </w:tc>
        <w:tc>
          <w:tcPr>
            <w:tcW w:w="1536" w:type="dxa"/>
            <w:shd w:val="clear" w:color="auto" w:fill="D4E3F5"/>
          </w:tcPr>
          <w:p>
            <w:pPr>
              <w:pStyle w:val="TableParagraph"/>
              <w:ind w:left="5" w:right="2"/>
              <w:rPr>
                <w:sz w:val="14"/>
              </w:rPr>
            </w:pPr>
            <w:r>
              <w:rPr>
                <w:color w:val="231F20"/>
                <w:spacing w:val="-5"/>
                <w:w w:val="85"/>
                <w:sz w:val="14"/>
              </w:rPr>
              <w:t>No</w:t>
            </w:r>
          </w:p>
        </w:tc>
      </w:tr>
      <w:tr>
        <w:trPr>
          <w:trHeight w:val="254" w:hRule="atLeast"/>
        </w:trPr>
        <w:tc>
          <w:tcPr>
            <w:tcW w:w="1368" w:type="dxa"/>
            <w:tcBorders>
              <w:bottom w:val="single" w:sz="4" w:space="0" w:color="008FDD"/>
            </w:tcBorders>
          </w:tcPr>
          <w:p>
            <w:pPr>
              <w:pStyle w:val="TableParagraph"/>
              <w:ind w:left="80"/>
              <w:jc w:val="left"/>
              <w:rPr>
                <w:sz w:val="14"/>
              </w:rPr>
            </w:pPr>
            <w:r>
              <w:rPr>
                <w:color w:val="231F20"/>
                <w:spacing w:val="-2"/>
                <w:w w:val="90"/>
                <w:sz w:val="14"/>
              </w:rPr>
              <w:t>Vietnam</w:t>
            </w:r>
          </w:p>
        </w:tc>
        <w:tc>
          <w:tcPr>
            <w:tcW w:w="1704" w:type="dxa"/>
            <w:tcBorders>
              <w:bottom w:val="single" w:sz="4" w:space="0" w:color="008FDD"/>
            </w:tcBorders>
          </w:tcPr>
          <w:p>
            <w:pPr>
              <w:pStyle w:val="TableParagraph"/>
              <w:ind w:right="678"/>
              <w:jc w:val="right"/>
              <w:rPr>
                <w:sz w:val="14"/>
              </w:rPr>
            </w:pPr>
            <w:r>
              <w:rPr>
                <w:color w:val="231F20"/>
                <w:spacing w:val="-5"/>
                <w:w w:val="85"/>
                <w:sz w:val="14"/>
              </w:rPr>
              <w:t>Yes</w:t>
            </w:r>
          </w:p>
        </w:tc>
        <w:tc>
          <w:tcPr>
            <w:tcW w:w="1536" w:type="dxa"/>
            <w:tcBorders>
              <w:bottom w:val="single" w:sz="4" w:space="0" w:color="008FDD"/>
            </w:tcBorders>
          </w:tcPr>
          <w:p>
            <w:pPr>
              <w:pStyle w:val="TableParagraph"/>
              <w:ind w:left="5" w:right="5"/>
              <w:rPr>
                <w:sz w:val="14"/>
              </w:rPr>
            </w:pPr>
            <w:r>
              <w:rPr>
                <w:color w:val="231F20"/>
                <w:spacing w:val="-5"/>
                <w:w w:val="85"/>
                <w:sz w:val="14"/>
              </w:rPr>
              <w:t>Yes</w:t>
            </w:r>
          </w:p>
        </w:tc>
        <w:tc>
          <w:tcPr>
            <w:tcW w:w="1536" w:type="dxa"/>
            <w:tcBorders>
              <w:bottom w:val="single" w:sz="4" w:space="0" w:color="008FDD"/>
            </w:tcBorders>
          </w:tcPr>
          <w:p>
            <w:pPr>
              <w:pStyle w:val="TableParagraph"/>
              <w:ind w:left="5" w:right="5"/>
              <w:rPr>
                <w:sz w:val="14"/>
              </w:rPr>
            </w:pPr>
            <w:r>
              <w:rPr>
                <w:color w:val="231F20"/>
                <w:spacing w:val="-5"/>
                <w:w w:val="85"/>
                <w:sz w:val="14"/>
              </w:rPr>
              <w:t>Yes</w:t>
            </w:r>
          </w:p>
        </w:tc>
        <w:tc>
          <w:tcPr>
            <w:tcW w:w="1536" w:type="dxa"/>
            <w:tcBorders>
              <w:bottom w:val="single" w:sz="4" w:space="0" w:color="008FDD"/>
            </w:tcBorders>
          </w:tcPr>
          <w:p>
            <w:pPr>
              <w:pStyle w:val="TableParagraph"/>
              <w:ind w:left="5" w:right="5"/>
              <w:rPr>
                <w:sz w:val="14"/>
              </w:rPr>
            </w:pPr>
            <w:r>
              <w:rPr>
                <w:color w:val="231F20"/>
                <w:spacing w:val="-5"/>
                <w:w w:val="85"/>
                <w:sz w:val="14"/>
              </w:rPr>
              <w:t>Yes</w:t>
            </w:r>
          </w:p>
        </w:tc>
      </w:tr>
    </w:tbl>
    <w:p>
      <w:pPr>
        <w:pStyle w:val="BodyText"/>
        <w:spacing w:before="53"/>
        <w:rPr>
          <w:rFonts w:ascii="Arial"/>
          <w:sz w:val="12"/>
        </w:rPr>
      </w:pPr>
    </w:p>
    <w:p>
      <w:pPr>
        <w:spacing w:before="1"/>
        <w:ind w:left="1200" w:right="0" w:firstLine="0"/>
        <w:jc w:val="left"/>
        <w:rPr>
          <w:rFonts w:ascii="Arial"/>
          <w:sz w:val="12"/>
        </w:rPr>
      </w:pPr>
      <w:r>
        <w:rPr>
          <w:rFonts w:ascii="Arial"/>
          <w:i/>
          <w:color w:val="231F20"/>
          <w:w w:val="75"/>
          <w:sz w:val="12"/>
        </w:rPr>
        <w:t>Source:</w:t>
      </w:r>
      <w:r>
        <w:rPr>
          <w:rFonts w:ascii="Arial"/>
          <w:i/>
          <w:color w:val="231F20"/>
          <w:spacing w:val="7"/>
          <w:sz w:val="12"/>
        </w:rPr>
        <w:t> </w:t>
      </w:r>
      <w:r>
        <w:rPr>
          <w:rFonts w:ascii="Arial"/>
          <w:color w:val="231F20"/>
          <w:w w:val="75"/>
          <w:sz w:val="12"/>
        </w:rPr>
        <w:t>World</w:t>
      </w:r>
      <w:r>
        <w:rPr>
          <w:rFonts w:ascii="Arial"/>
          <w:color w:val="231F20"/>
          <w:spacing w:val="8"/>
          <w:sz w:val="12"/>
        </w:rPr>
        <w:t> </w:t>
      </w:r>
      <w:r>
        <w:rPr>
          <w:rFonts w:ascii="Arial"/>
          <w:color w:val="231F20"/>
          <w:spacing w:val="-2"/>
          <w:w w:val="75"/>
          <w:sz w:val="12"/>
        </w:rPr>
        <w:t>Bank.</w:t>
      </w:r>
    </w:p>
    <w:p>
      <w:pPr>
        <w:spacing w:line="278" w:lineRule="auto" w:before="22"/>
        <w:ind w:left="1200" w:right="2865" w:firstLine="0"/>
        <w:jc w:val="left"/>
        <w:rPr>
          <w:rFonts w:ascii="Arial"/>
          <w:sz w:val="12"/>
        </w:rPr>
      </w:pPr>
      <w:r>
        <w:rPr>
          <w:rFonts w:ascii="Arial"/>
          <w:i/>
          <w:color w:val="231F20"/>
          <w:w w:val="80"/>
          <w:sz w:val="12"/>
        </w:rPr>
        <w:t>Note:</w:t>
      </w:r>
      <w:r>
        <w:rPr>
          <w:rFonts w:ascii="Arial"/>
          <w:i/>
          <w:color w:val="231F20"/>
          <w:sz w:val="12"/>
        </w:rPr>
        <w:t> </w:t>
      </w:r>
      <w:r>
        <w:rPr>
          <w:rFonts w:ascii="Arial"/>
          <w:color w:val="231F20"/>
          <w:w w:val="80"/>
          <w:sz w:val="12"/>
        </w:rPr>
        <w:t>Because</w:t>
      </w:r>
      <w:r>
        <w:rPr>
          <w:rFonts w:ascii="Arial"/>
          <w:color w:val="231F20"/>
          <w:sz w:val="12"/>
        </w:rPr>
        <w:t> </w:t>
      </w:r>
      <w:r>
        <w:rPr>
          <w:rFonts w:ascii="Arial"/>
          <w:color w:val="231F20"/>
          <w:w w:val="80"/>
          <w:sz w:val="12"/>
        </w:rPr>
        <w:t>of</w:t>
      </w:r>
      <w:r>
        <w:rPr>
          <w:rFonts w:ascii="Arial"/>
          <w:color w:val="231F20"/>
          <w:sz w:val="12"/>
        </w:rPr>
        <w:t> </w:t>
      </w:r>
      <w:r>
        <w:rPr>
          <w:rFonts w:ascii="Arial"/>
          <w:color w:val="231F20"/>
          <w:w w:val="80"/>
          <w:sz w:val="12"/>
        </w:rPr>
        <w:t>tied</w:t>
      </w:r>
      <w:r>
        <w:rPr>
          <w:rFonts w:ascii="Arial"/>
          <w:color w:val="231F20"/>
          <w:sz w:val="12"/>
        </w:rPr>
        <w:t> </w:t>
      </w:r>
      <w:r>
        <w:rPr>
          <w:rFonts w:ascii="Arial"/>
          <w:color w:val="231F20"/>
          <w:w w:val="80"/>
          <w:sz w:val="12"/>
        </w:rPr>
        <w:t>scores,</w:t>
      </w:r>
      <w:r>
        <w:rPr>
          <w:rFonts w:ascii="Arial"/>
          <w:color w:val="231F20"/>
          <w:sz w:val="12"/>
        </w:rPr>
        <w:t> </w:t>
      </w:r>
      <w:r>
        <w:rPr>
          <w:rFonts w:ascii="Arial"/>
          <w:color w:val="231F20"/>
          <w:w w:val="80"/>
          <w:sz w:val="12"/>
        </w:rPr>
        <w:t>the</w:t>
      </w:r>
      <w:r>
        <w:rPr>
          <w:rFonts w:ascii="Arial"/>
          <w:color w:val="231F20"/>
          <w:sz w:val="12"/>
        </w:rPr>
        <w:t> </w:t>
      </w:r>
      <w:r>
        <w:rPr>
          <w:rFonts w:ascii="Arial"/>
          <w:color w:val="231F20"/>
          <w:w w:val="80"/>
          <w:sz w:val="12"/>
        </w:rPr>
        <w:t>top</w:t>
      </w:r>
      <w:r>
        <w:rPr>
          <w:rFonts w:ascii="Arial"/>
          <w:color w:val="231F20"/>
          <w:sz w:val="12"/>
        </w:rPr>
        <w:t> </w:t>
      </w:r>
      <w:r>
        <w:rPr>
          <w:rFonts w:ascii="Arial"/>
          <w:color w:val="231F20"/>
          <w:w w:val="80"/>
          <w:sz w:val="12"/>
        </w:rPr>
        <w:t>10</w:t>
      </w:r>
      <w:r>
        <w:rPr>
          <w:rFonts w:ascii="Arial"/>
          <w:color w:val="231F20"/>
          <w:sz w:val="12"/>
        </w:rPr>
        <w:t> </w:t>
      </w:r>
      <w:r>
        <w:rPr>
          <w:rFonts w:ascii="Arial"/>
          <w:color w:val="231F20"/>
          <w:w w:val="80"/>
          <w:sz w:val="12"/>
        </w:rPr>
        <w:t>scores</w:t>
      </w:r>
      <w:r>
        <w:rPr>
          <w:rFonts w:ascii="Arial"/>
          <w:color w:val="231F20"/>
          <w:sz w:val="12"/>
        </w:rPr>
        <w:t> </w:t>
      </w:r>
      <w:r>
        <w:rPr>
          <w:rFonts w:ascii="Arial"/>
          <w:color w:val="231F20"/>
          <w:w w:val="80"/>
          <w:sz w:val="12"/>
        </w:rPr>
        <w:t>were</w:t>
      </w:r>
      <w:r>
        <w:rPr>
          <w:rFonts w:ascii="Arial"/>
          <w:color w:val="231F20"/>
          <w:sz w:val="12"/>
        </w:rPr>
        <w:t> </w:t>
      </w:r>
      <w:r>
        <w:rPr>
          <w:rFonts w:ascii="Arial"/>
          <w:color w:val="231F20"/>
          <w:w w:val="80"/>
          <w:sz w:val="12"/>
        </w:rPr>
        <w:t>attained</w:t>
      </w:r>
      <w:r>
        <w:rPr>
          <w:rFonts w:ascii="Arial"/>
          <w:color w:val="231F20"/>
          <w:sz w:val="12"/>
        </w:rPr>
        <w:t> </w:t>
      </w:r>
      <w:r>
        <w:rPr>
          <w:rFonts w:ascii="Arial"/>
          <w:color w:val="231F20"/>
          <w:w w:val="80"/>
          <w:sz w:val="12"/>
        </w:rPr>
        <w:t>by</w:t>
      </w:r>
      <w:r>
        <w:rPr>
          <w:rFonts w:ascii="Arial"/>
          <w:color w:val="231F20"/>
          <w:sz w:val="12"/>
        </w:rPr>
        <w:t> </w:t>
      </w:r>
      <w:r>
        <w:rPr>
          <w:rFonts w:ascii="Arial"/>
          <w:color w:val="231F20"/>
          <w:w w:val="80"/>
          <w:sz w:val="12"/>
        </w:rPr>
        <w:t>13</w:t>
      </w:r>
      <w:r>
        <w:rPr>
          <w:rFonts w:ascii="Arial"/>
          <w:color w:val="231F20"/>
          <w:sz w:val="12"/>
        </w:rPr>
        <w:t> </w:t>
      </w:r>
      <w:r>
        <w:rPr>
          <w:rFonts w:ascii="Arial"/>
          <w:color w:val="231F20"/>
          <w:w w:val="80"/>
          <w:sz w:val="12"/>
        </w:rPr>
        <w:t>countries.</w:t>
      </w:r>
      <w:r>
        <w:rPr>
          <w:rFonts w:ascii="Arial"/>
          <w:color w:val="231F20"/>
          <w:sz w:val="12"/>
        </w:rPr>
        <w:t> </w:t>
      </w:r>
      <w:r>
        <w:rPr>
          <w:rFonts w:ascii="Arial"/>
          <w:color w:val="231F20"/>
          <w:w w:val="80"/>
          <w:sz w:val="12"/>
        </w:rPr>
        <w:t>Lower-middle-income</w:t>
      </w:r>
      <w:r>
        <w:rPr>
          <w:rFonts w:ascii="Arial"/>
          <w:color w:val="231F20"/>
          <w:sz w:val="12"/>
        </w:rPr>
        <w:t> </w:t>
      </w:r>
      <w:r>
        <w:rPr>
          <w:rFonts w:ascii="Arial"/>
          <w:color w:val="231F20"/>
          <w:w w:val="80"/>
          <w:sz w:val="12"/>
        </w:rPr>
        <w:t>status</w:t>
      </w:r>
      <w:r>
        <w:rPr>
          <w:rFonts w:ascii="Arial"/>
          <w:color w:val="231F20"/>
          <w:sz w:val="12"/>
        </w:rPr>
        <w:t> </w:t>
      </w:r>
      <w:r>
        <w:rPr>
          <w:rFonts w:ascii="Arial"/>
          <w:color w:val="231F20"/>
          <w:w w:val="80"/>
          <w:sz w:val="12"/>
        </w:rPr>
        <w:t>is</w:t>
      </w:r>
      <w:r>
        <w:rPr>
          <w:rFonts w:ascii="Arial"/>
          <w:color w:val="231F20"/>
          <w:sz w:val="12"/>
        </w:rPr>
        <w:t> </w:t>
      </w:r>
      <w:r>
        <w:rPr>
          <w:rFonts w:ascii="Arial"/>
          <w:color w:val="231F20"/>
          <w:w w:val="80"/>
          <w:sz w:val="12"/>
        </w:rPr>
        <w:t>based</w:t>
      </w:r>
      <w:r>
        <w:rPr>
          <w:rFonts w:ascii="Arial"/>
          <w:color w:val="231F20"/>
          <w:sz w:val="12"/>
        </w:rPr>
        <w:t> </w:t>
      </w:r>
      <w:r>
        <w:rPr>
          <w:rFonts w:ascii="Arial"/>
          <w:color w:val="231F20"/>
          <w:w w:val="80"/>
          <w:sz w:val="12"/>
        </w:rPr>
        <w:t>on</w:t>
      </w:r>
      <w:r>
        <w:rPr>
          <w:rFonts w:ascii="Arial"/>
          <w:color w:val="231F20"/>
          <w:sz w:val="12"/>
        </w:rPr>
        <w:t> </w:t>
      </w:r>
      <w:r>
        <w:rPr>
          <w:rFonts w:ascii="Arial"/>
          <w:color w:val="231F20"/>
          <w:w w:val="80"/>
          <w:sz w:val="12"/>
        </w:rPr>
        <w:t>country</w:t>
      </w:r>
      <w:r>
        <w:rPr>
          <w:rFonts w:ascii="Arial"/>
          <w:color w:val="231F20"/>
          <w:sz w:val="12"/>
        </w:rPr>
        <w:t> </w:t>
      </w:r>
      <w:r>
        <w:rPr>
          <w:rFonts w:ascii="Arial"/>
          <w:color w:val="231F20"/>
          <w:w w:val="80"/>
          <w:sz w:val="12"/>
        </w:rPr>
        <w:t>status</w:t>
      </w:r>
      <w:r>
        <w:rPr>
          <w:rFonts w:ascii="Arial"/>
          <w:color w:val="231F20"/>
          <w:sz w:val="12"/>
        </w:rPr>
        <w:t> </w:t>
      </w:r>
      <w:r>
        <w:rPr>
          <w:rFonts w:ascii="Arial"/>
          <w:color w:val="231F20"/>
          <w:w w:val="80"/>
          <w:sz w:val="12"/>
        </w:rPr>
        <w:t>in</w:t>
      </w:r>
      <w:r>
        <w:rPr>
          <w:rFonts w:ascii="Arial"/>
          <w:color w:val="231F20"/>
          <w:sz w:val="12"/>
        </w:rPr>
        <w:t> </w:t>
      </w:r>
      <w:r>
        <w:rPr>
          <w:rFonts w:ascii="Arial"/>
          <w:color w:val="231F20"/>
          <w:w w:val="80"/>
          <w:sz w:val="12"/>
        </w:rPr>
        <w:t>fiscal</w:t>
      </w:r>
      <w:r>
        <w:rPr>
          <w:rFonts w:ascii="Arial"/>
          <w:color w:val="231F20"/>
          <w:sz w:val="12"/>
        </w:rPr>
        <w:t> </w:t>
      </w:r>
      <w:r>
        <w:rPr>
          <w:rFonts w:ascii="Arial"/>
          <w:color w:val="231F20"/>
          <w:w w:val="80"/>
          <w:sz w:val="12"/>
        </w:rPr>
        <w:t>year</w:t>
      </w:r>
      <w:r>
        <w:rPr>
          <w:rFonts w:ascii="Arial"/>
          <w:color w:val="231F20"/>
          <w:sz w:val="12"/>
        </w:rPr>
        <w:t> </w:t>
      </w:r>
      <w:r>
        <w:rPr>
          <w:rFonts w:ascii="Arial"/>
          <w:color w:val="231F20"/>
          <w:w w:val="80"/>
          <w:sz w:val="12"/>
        </w:rPr>
        <w:t>2022/23.</w:t>
      </w:r>
      <w:r>
        <w:rPr>
          <w:rFonts w:ascii="Arial"/>
          <w:color w:val="231F20"/>
          <w:sz w:val="12"/>
        </w:rPr>
        <w:t> </w:t>
      </w:r>
      <w:r>
        <w:rPr>
          <w:rFonts w:ascii="Arial"/>
          <w:color w:val="231F20"/>
          <w:w w:val="80"/>
          <w:sz w:val="12"/>
        </w:rPr>
        <w:t>Countries</w:t>
      </w:r>
      <w:r>
        <w:rPr>
          <w:rFonts w:ascii="Arial"/>
          <w:color w:val="231F20"/>
          <w:sz w:val="12"/>
        </w:rPr>
        <w:t> </w:t>
      </w:r>
      <w:r>
        <w:rPr>
          <w:rFonts w:ascii="Arial"/>
          <w:color w:val="231F20"/>
          <w:w w:val="80"/>
          <w:sz w:val="12"/>
        </w:rPr>
        <w:t>are</w:t>
      </w:r>
      <w:r>
        <w:rPr>
          <w:rFonts w:ascii="Arial"/>
          <w:color w:val="231F20"/>
          <w:spacing w:val="40"/>
          <w:sz w:val="12"/>
        </w:rPr>
        <w:t> </w:t>
      </w:r>
      <w:r>
        <w:rPr>
          <w:rFonts w:ascii="Arial"/>
          <w:color w:val="231F20"/>
          <w:w w:val="80"/>
          <w:sz w:val="12"/>
        </w:rPr>
        <w:t>listed in alphabetical order. na is not applicable because an LPI score was not calculated for the economy in the year indicated.</w:t>
      </w:r>
    </w:p>
    <w:p>
      <w:pPr>
        <w:spacing w:after="0" w:line="278" w:lineRule="auto"/>
        <w:jc w:val="left"/>
        <w:rPr>
          <w:rFonts w:ascii="Arial"/>
          <w:sz w:val="12"/>
        </w:rPr>
        <w:sectPr>
          <w:headerReference w:type="default" r:id="rId125"/>
          <w:headerReference w:type="even" r:id="rId126"/>
          <w:pgSz w:w="12240" w:h="15840"/>
          <w:pgMar w:header="370" w:footer="0" w:top="560" w:bottom="740" w:left="0" w:right="540"/>
        </w:sectPr>
      </w:pPr>
    </w:p>
    <w:p>
      <w:pPr>
        <w:pStyle w:val="BodyText"/>
        <w:rPr>
          <w:rFonts w:ascii="Arial"/>
          <w:sz w:val="20"/>
        </w:rPr>
      </w:pPr>
    </w:p>
    <w:p>
      <w:pPr>
        <w:pStyle w:val="BodyText"/>
        <w:rPr>
          <w:rFonts w:ascii="Arial"/>
          <w:sz w:val="20"/>
        </w:rPr>
      </w:pPr>
    </w:p>
    <w:p>
      <w:pPr>
        <w:pStyle w:val="BodyText"/>
        <w:spacing w:before="60"/>
        <w:rPr>
          <w:rFonts w:ascii="Arial"/>
          <w:sz w:val="20"/>
        </w:rPr>
      </w:pPr>
    </w:p>
    <w:p>
      <w:pPr>
        <w:pStyle w:val="BodyText"/>
        <w:ind w:left="3300"/>
        <w:rPr>
          <w:rFonts w:ascii="Arial"/>
          <w:sz w:val="20"/>
        </w:rPr>
      </w:pPr>
      <w:bookmarkStart w:name="_bookmark47" w:id="51"/>
      <w:bookmarkEnd w:id="51"/>
      <w:r>
        <w:rPr/>
      </w:r>
      <w:r>
        <w:rPr>
          <w:rFonts w:ascii="Arial"/>
          <w:sz w:val="20"/>
        </w:rPr>
        <mc:AlternateContent>
          <mc:Choice Requires="wps">
            <w:drawing>
              <wp:inline distT="0" distB="0" distL="0" distR="0">
                <wp:extent cx="4953000" cy="368300"/>
                <wp:effectExtent l="19050" t="19050" r="19050" b="22225"/>
                <wp:docPr id="1630" name="Group 1630"/>
                <wp:cNvGraphicFramePr>
                  <a:graphicFrameLocks/>
                </wp:cNvGraphicFramePr>
                <a:graphic>
                  <a:graphicData uri="http://schemas.microsoft.com/office/word/2010/wordprocessingGroup">
                    <wpg:wgp>
                      <wpg:cNvPr id="1630" name="Group 1630"/>
                      <wpg:cNvGrpSpPr/>
                      <wpg:grpSpPr>
                        <a:xfrm>
                          <a:off x="0" y="0"/>
                          <a:ext cx="4953000" cy="368300"/>
                          <a:chExt cx="4953000" cy="368300"/>
                        </a:xfrm>
                      </wpg:grpSpPr>
                      <wps:wsp>
                        <wps:cNvPr id="1631" name="Graphic 1631"/>
                        <wps:cNvSpPr/>
                        <wps:spPr>
                          <a:xfrm>
                            <a:off x="63500" y="19050"/>
                            <a:ext cx="4870450" cy="317500"/>
                          </a:xfrm>
                          <a:custGeom>
                            <a:avLst/>
                            <a:gdLst/>
                            <a:ahLst/>
                            <a:cxnLst/>
                            <a:rect l="l" t="t" r="r" b="b"/>
                            <a:pathLst>
                              <a:path w="4870450" h="317500">
                                <a:moveTo>
                                  <a:pt x="4775200" y="0"/>
                                </a:moveTo>
                                <a:lnTo>
                                  <a:pt x="50800" y="0"/>
                                </a:lnTo>
                                <a:lnTo>
                                  <a:pt x="13757" y="7496"/>
                                </a:lnTo>
                                <a:lnTo>
                                  <a:pt x="0" y="16778"/>
                                </a:lnTo>
                                <a:lnTo>
                                  <a:pt x="0" y="317500"/>
                                </a:lnTo>
                                <a:lnTo>
                                  <a:pt x="4870450" y="317500"/>
                                </a:lnTo>
                                <a:lnTo>
                                  <a:pt x="4870450" y="95250"/>
                                </a:lnTo>
                                <a:lnTo>
                                  <a:pt x="4862953" y="58207"/>
                                </a:lnTo>
                                <a:lnTo>
                                  <a:pt x="4842522" y="27927"/>
                                </a:lnTo>
                                <a:lnTo>
                                  <a:pt x="4812242" y="7496"/>
                                </a:lnTo>
                                <a:lnTo>
                                  <a:pt x="4775200" y="0"/>
                                </a:lnTo>
                                <a:close/>
                              </a:path>
                            </a:pathLst>
                          </a:custGeom>
                          <a:solidFill>
                            <a:srgbClr val="808285"/>
                          </a:solidFill>
                        </wps:spPr>
                        <wps:bodyPr wrap="square" lIns="0" tIns="0" rIns="0" bIns="0" rtlCol="0">
                          <a:prstTxWarp prst="textNoShape">
                            <a:avLst/>
                          </a:prstTxWarp>
                          <a:noAutofit/>
                        </wps:bodyPr>
                      </wps:wsp>
                      <wps:wsp>
                        <wps:cNvPr id="1632" name="Graphic 1632"/>
                        <wps:cNvSpPr/>
                        <wps:spPr>
                          <a:xfrm>
                            <a:off x="571500" y="29057"/>
                            <a:ext cx="1270" cy="339725"/>
                          </a:xfrm>
                          <a:custGeom>
                            <a:avLst/>
                            <a:gdLst/>
                            <a:ahLst/>
                            <a:cxnLst/>
                            <a:rect l="l" t="t" r="r" b="b"/>
                            <a:pathLst>
                              <a:path w="0" h="339725">
                                <a:moveTo>
                                  <a:pt x="0" y="3392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633" name="Graphic 1633"/>
                        <wps:cNvSpPr/>
                        <wps:spPr>
                          <a:xfrm>
                            <a:off x="38100" y="28575"/>
                            <a:ext cx="520700" cy="320675"/>
                          </a:xfrm>
                          <a:custGeom>
                            <a:avLst/>
                            <a:gdLst/>
                            <a:ahLst/>
                            <a:cxnLst/>
                            <a:rect l="l" t="t" r="r" b="b"/>
                            <a:pathLst>
                              <a:path w="520700" h="320675">
                                <a:moveTo>
                                  <a:pt x="0" y="320675"/>
                                </a:moveTo>
                                <a:lnTo>
                                  <a:pt x="520700" y="320675"/>
                                </a:lnTo>
                                <a:lnTo>
                                  <a:pt x="520700" y="0"/>
                                </a:lnTo>
                                <a:lnTo>
                                  <a:pt x="0" y="0"/>
                                </a:lnTo>
                                <a:lnTo>
                                  <a:pt x="0" y="320675"/>
                                </a:lnTo>
                                <a:close/>
                              </a:path>
                            </a:pathLst>
                          </a:custGeom>
                          <a:solidFill>
                            <a:srgbClr val="008FDD"/>
                          </a:solidFill>
                        </wps:spPr>
                        <wps:bodyPr wrap="square" lIns="0" tIns="0" rIns="0" bIns="0" rtlCol="0">
                          <a:prstTxWarp prst="textNoShape">
                            <a:avLst/>
                          </a:prstTxWarp>
                          <a:noAutofit/>
                        </wps:bodyPr>
                      </wps:wsp>
                      <wps:wsp>
                        <wps:cNvPr id="1634" name="Graphic 1634"/>
                        <wps:cNvSpPr/>
                        <wps:spPr>
                          <a:xfrm>
                            <a:off x="19050" y="19050"/>
                            <a:ext cx="4914900" cy="317500"/>
                          </a:xfrm>
                          <a:custGeom>
                            <a:avLst/>
                            <a:gdLst/>
                            <a:ahLst/>
                            <a:cxnLst/>
                            <a:rect l="l" t="t" r="r" b="b"/>
                            <a:pathLst>
                              <a:path w="4914900" h="317500">
                                <a:moveTo>
                                  <a:pt x="95250" y="0"/>
                                </a:moveTo>
                                <a:lnTo>
                                  <a:pt x="58212" y="7497"/>
                                </a:lnTo>
                                <a:lnTo>
                                  <a:pt x="27932" y="27932"/>
                                </a:lnTo>
                                <a:lnTo>
                                  <a:pt x="7497" y="58212"/>
                                </a:lnTo>
                                <a:lnTo>
                                  <a:pt x="0" y="95250"/>
                                </a:lnTo>
                                <a:lnTo>
                                  <a:pt x="0" y="298450"/>
                                </a:lnTo>
                                <a:lnTo>
                                  <a:pt x="0" y="317500"/>
                                </a:lnTo>
                                <a:lnTo>
                                  <a:pt x="19050" y="317500"/>
                                </a:lnTo>
                                <a:lnTo>
                                  <a:pt x="4895850" y="317500"/>
                                </a:lnTo>
                                <a:lnTo>
                                  <a:pt x="4914900" y="317500"/>
                                </a:lnTo>
                                <a:lnTo>
                                  <a:pt x="4914900" y="298450"/>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635" name="Textbox 1635"/>
                        <wps:cNvSpPr txBox="1"/>
                        <wps:spPr>
                          <a:xfrm>
                            <a:off x="0" y="0"/>
                            <a:ext cx="4953000" cy="368300"/>
                          </a:xfrm>
                          <a:prstGeom prst="rect">
                            <a:avLst/>
                          </a:prstGeom>
                        </wps:spPr>
                        <wps:txbx>
                          <w:txbxContent>
                            <w:p>
                              <w:pPr>
                                <w:spacing w:line="235" w:lineRule="auto" w:before="113"/>
                                <w:ind w:left="1060" w:right="2521" w:hanging="1"/>
                                <w:jc w:val="left"/>
                                <w:rPr>
                                  <w:rFonts w:ascii="Arial"/>
                                  <w:b/>
                                  <w:sz w:val="16"/>
                                </w:rPr>
                              </w:pPr>
                              <w:r>
                                <w:rPr>
                                  <w:rFonts w:ascii="Arial"/>
                                  <w:b/>
                                  <w:color w:val="FFFFFF"/>
                                  <w:w w:val="105"/>
                                  <w:sz w:val="16"/>
                                </w:rPr>
                                <w:t>Top 10 low-income LPI scorers in 2023 and their top scorer status in 2018, 2016, 2014, and 2012</w:t>
                              </w:r>
                            </w:p>
                          </w:txbxContent>
                        </wps:txbx>
                        <wps:bodyPr wrap="square" lIns="0" tIns="0" rIns="0" bIns="0" rtlCol="0">
                          <a:noAutofit/>
                        </wps:bodyPr>
                      </wps:wsp>
                      <wps:wsp>
                        <wps:cNvPr id="1636" name="Textbox 1636"/>
                        <wps:cNvSpPr txBox="1"/>
                        <wps:spPr>
                          <a:xfrm>
                            <a:off x="38100" y="28575"/>
                            <a:ext cx="520700" cy="320675"/>
                          </a:xfrm>
                          <a:prstGeom prst="rect">
                            <a:avLst/>
                          </a:prstGeom>
                        </wps:spPr>
                        <wps:txbx>
                          <w:txbxContent>
                            <w:p>
                              <w:pPr>
                                <w:spacing w:before="65"/>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5"/>
                                  <w:sz w:val="16"/>
                                </w:rPr>
                                <w:t>A</w:t>
                              </w:r>
                              <w:r>
                                <w:rPr>
                                  <w:rFonts w:ascii="Arial"/>
                                  <w:b/>
                                  <w:color w:val="FFFFFF"/>
                                  <w:spacing w:val="-4"/>
                                  <w:w w:val="95"/>
                                  <w:sz w:val="16"/>
                                </w:rPr>
                                <w:t>3.5</w:t>
                              </w:r>
                            </w:p>
                          </w:txbxContent>
                        </wps:txbx>
                        <wps:bodyPr wrap="square" lIns="0" tIns="0" rIns="0" bIns="0" rtlCol="0">
                          <a:noAutofit/>
                        </wps:bodyPr>
                      </wps:wsp>
                    </wpg:wgp>
                  </a:graphicData>
                </a:graphic>
              </wp:inline>
            </w:drawing>
          </mc:Choice>
          <mc:Fallback>
            <w:pict>
              <v:group style="width:390pt;height:29pt;mso-position-horizontal-relative:char;mso-position-vertical-relative:line" id="docshapegroup1384" coordorigin="0,0" coordsize="7800,580">
                <v:shape style="position:absolute;left:100;top:30;width:7670;height:500" id="docshape1385" coordorigin="100,30" coordsize="7670,500" path="m7620,30l180,30,122,42,100,56,100,530,7770,530,7770,180,7758,122,7726,74,7678,42,7620,30xe" filled="true" fillcolor="#808285" stroked="false">
                  <v:path arrowok="t"/>
                  <v:fill type="solid"/>
                </v:shape>
                <v:line style="position:absolute" from="900,580" to="900,46" stroked="true" strokeweight="2pt" strokecolor="#ffffff">
                  <v:stroke dashstyle="solid"/>
                </v:line>
                <v:rect style="position:absolute;left:60;top:45;width:820;height:505" id="docshape1386" filled="true" fillcolor="#008fdd" stroked="false">
                  <v:fill type="solid"/>
                </v:rect>
                <v:shape style="position:absolute;left:30;top:30;width:7740;height:500" id="docshape1387" coordorigin="30,30" coordsize="7740,500" path="m180,30l122,42,74,74,42,122,30,180,30,500,30,530,60,530,7740,530,7770,530,7770,500,7770,180,7758,122,7726,74,7678,42,7620,30,180,30xe" filled="false" stroked="true" strokeweight="3pt" strokecolor="#ffffff">
                  <v:path arrowok="t"/>
                  <v:stroke dashstyle="solid"/>
                </v:shape>
                <v:shape style="position:absolute;left:0;top:0;width:7800;height:580" type="#_x0000_t202" id="docshape1388" filled="false" stroked="false">
                  <v:textbox inset="0,0,0,0">
                    <w:txbxContent>
                      <w:p>
                        <w:pPr>
                          <w:spacing w:line="235" w:lineRule="auto" w:before="113"/>
                          <w:ind w:left="1060" w:right="2521" w:hanging="1"/>
                          <w:jc w:val="left"/>
                          <w:rPr>
                            <w:rFonts w:ascii="Arial"/>
                            <w:b/>
                            <w:sz w:val="16"/>
                          </w:rPr>
                        </w:pPr>
                        <w:r>
                          <w:rPr>
                            <w:rFonts w:ascii="Arial"/>
                            <w:b/>
                            <w:color w:val="FFFFFF"/>
                            <w:w w:val="105"/>
                            <w:sz w:val="16"/>
                          </w:rPr>
                          <w:t>Top 10 low-income LPI scorers in 2023 and their top scorer status in 2018, 2016, 2014, and 2012</w:t>
                        </w:r>
                      </w:p>
                    </w:txbxContent>
                  </v:textbox>
                  <w10:wrap type="none"/>
                </v:shape>
                <v:shape style="position:absolute;left:60;top:45;width:820;height:505" type="#_x0000_t202" id="docshape1389" filled="false" stroked="false">
                  <v:textbox inset="0,0,0,0">
                    <w:txbxContent>
                      <w:p>
                        <w:pPr>
                          <w:spacing w:before="65"/>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5"/>
                            <w:sz w:val="16"/>
                          </w:rPr>
                          <w:t>A</w:t>
                        </w:r>
                        <w:r>
                          <w:rPr>
                            <w:rFonts w:ascii="Arial"/>
                            <w:b/>
                            <w:color w:val="FFFFFF"/>
                            <w:spacing w:val="-4"/>
                            <w:w w:val="95"/>
                            <w:sz w:val="16"/>
                          </w:rPr>
                          <w:t>3.5</w:t>
                        </w:r>
                      </w:p>
                    </w:txbxContent>
                  </v:textbox>
                  <w10:wrap type="none"/>
                </v:shape>
              </v:group>
            </w:pict>
          </mc:Fallback>
        </mc:AlternateContent>
      </w:r>
      <w:r>
        <w:rPr>
          <w:rFonts w:ascii="Arial"/>
          <w:sz w:val="20"/>
        </w:rPr>
      </w:r>
    </w:p>
    <w:tbl>
      <w:tblPr>
        <w:tblW w:w="0" w:type="auto"/>
        <w:jc w:val="left"/>
        <w:tblInd w:w="3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6"/>
        <w:gridCol w:w="1465"/>
        <w:gridCol w:w="1536"/>
        <w:gridCol w:w="1535"/>
        <w:gridCol w:w="1535"/>
      </w:tblGrid>
      <w:tr>
        <w:trPr>
          <w:trHeight w:val="209" w:hRule="atLeast"/>
        </w:trPr>
        <w:tc>
          <w:tcPr>
            <w:tcW w:w="1606" w:type="dxa"/>
            <w:tcBorders>
              <w:bottom w:val="single" w:sz="4" w:space="0" w:color="008FDD"/>
            </w:tcBorders>
          </w:tcPr>
          <w:p>
            <w:pPr>
              <w:pStyle w:val="TableParagraph"/>
              <w:spacing w:before="3"/>
              <w:ind w:left="80"/>
              <w:jc w:val="left"/>
              <w:rPr>
                <w:b/>
                <w:sz w:val="14"/>
              </w:rPr>
            </w:pPr>
            <w:r>
              <w:rPr>
                <w:b/>
                <w:color w:val="231F20"/>
                <w:spacing w:val="-2"/>
                <w:w w:val="90"/>
                <w:sz w:val="14"/>
              </w:rPr>
              <w:t>Economy</w:t>
            </w:r>
          </w:p>
        </w:tc>
        <w:tc>
          <w:tcPr>
            <w:tcW w:w="1465" w:type="dxa"/>
            <w:tcBorders>
              <w:bottom w:val="single" w:sz="4" w:space="0" w:color="008FDD"/>
            </w:tcBorders>
          </w:tcPr>
          <w:p>
            <w:pPr>
              <w:pStyle w:val="TableParagraph"/>
              <w:spacing w:before="3"/>
              <w:ind w:right="67"/>
              <w:rPr>
                <w:b/>
                <w:sz w:val="14"/>
              </w:rPr>
            </w:pPr>
            <w:r>
              <w:rPr>
                <w:b/>
                <w:color w:val="231F20"/>
                <w:w w:val="80"/>
                <w:sz w:val="14"/>
              </w:rPr>
              <w:t>Top</w:t>
            </w:r>
            <w:r>
              <w:rPr>
                <w:b/>
                <w:color w:val="231F20"/>
                <w:spacing w:val="-6"/>
                <w:sz w:val="14"/>
              </w:rPr>
              <w:t> </w:t>
            </w:r>
            <w:r>
              <w:rPr>
                <w:b/>
                <w:color w:val="231F20"/>
                <w:w w:val="80"/>
                <w:sz w:val="14"/>
              </w:rPr>
              <w:t>10</w:t>
            </w:r>
            <w:r>
              <w:rPr>
                <w:b/>
                <w:color w:val="231F20"/>
                <w:spacing w:val="-5"/>
                <w:sz w:val="14"/>
              </w:rPr>
              <w:t> </w:t>
            </w:r>
            <w:r>
              <w:rPr>
                <w:b/>
                <w:color w:val="231F20"/>
                <w:w w:val="80"/>
                <w:sz w:val="14"/>
              </w:rPr>
              <w:t>LI</w:t>
            </w:r>
            <w:r>
              <w:rPr>
                <w:b/>
                <w:color w:val="231F20"/>
                <w:spacing w:val="-5"/>
                <w:sz w:val="14"/>
              </w:rPr>
              <w:t> </w:t>
            </w:r>
            <w:r>
              <w:rPr>
                <w:b/>
                <w:color w:val="231F20"/>
                <w:spacing w:val="-4"/>
                <w:w w:val="80"/>
                <w:sz w:val="14"/>
              </w:rPr>
              <w:t>2018</w:t>
            </w:r>
          </w:p>
        </w:tc>
        <w:tc>
          <w:tcPr>
            <w:tcW w:w="1536" w:type="dxa"/>
            <w:tcBorders>
              <w:bottom w:val="single" w:sz="4" w:space="0" w:color="008FDD"/>
            </w:tcBorders>
          </w:tcPr>
          <w:p>
            <w:pPr>
              <w:pStyle w:val="TableParagraph"/>
              <w:spacing w:before="3"/>
              <w:ind w:left="5" w:right="4"/>
              <w:rPr>
                <w:b/>
                <w:sz w:val="14"/>
              </w:rPr>
            </w:pPr>
            <w:r>
              <w:rPr>
                <w:b/>
                <w:color w:val="231F20"/>
                <w:w w:val="80"/>
                <w:sz w:val="14"/>
              </w:rPr>
              <w:t>Top</w:t>
            </w:r>
            <w:r>
              <w:rPr>
                <w:b/>
                <w:color w:val="231F20"/>
                <w:spacing w:val="-6"/>
                <w:sz w:val="14"/>
              </w:rPr>
              <w:t> </w:t>
            </w:r>
            <w:r>
              <w:rPr>
                <w:b/>
                <w:color w:val="231F20"/>
                <w:w w:val="80"/>
                <w:sz w:val="14"/>
              </w:rPr>
              <w:t>10</w:t>
            </w:r>
            <w:r>
              <w:rPr>
                <w:b/>
                <w:color w:val="231F20"/>
                <w:spacing w:val="-5"/>
                <w:sz w:val="14"/>
              </w:rPr>
              <w:t> </w:t>
            </w:r>
            <w:r>
              <w:rPr>
                <w:b/>
                <w:color w:val="231F20"/>
                <w:w w:val="80"/>
                <w:sz w:val="14"/>
              </w:rPr>
              <w:t>LI</w:t>
            </w:r>
            <w:r>
              <w:rPr>
                <w:b/>
                <w:color w:val="231F20"/>
                <w:spacing w:val="-5"/>
                <w:sz w:val="14"/>
              </w:rPr>
              <w:t> </w:t>
            </w:r>
            <w:r>
              <w:rPr>
                <w:b/>
                <w:color w:val="231F20"/>
                <w:spacing w:val="-4"/>
                <w:w w:val="80"/>
                <w:sz w:val="14"/>
              </w:rPr>
              <w:t>2016</w:t>
            </w:r>
          </w:p>
        </w:tc>
        <w:tc>
          <w:tcPr>
            <w:tcW w:w="1535" w:type="dxa"/>
            <w:tcBorders>
              <w:bottom w:val="single" w:sz="4" w:space="0" w:color="008FDD"/>
            </w:tcBorders>
          </w:tcPr>
          <w:p>
            <w:pPr>
              <w:pStyle w:val="TableParagraph"/>
              <w:spacing w:before="3"/>
              <w:ind w:left="10" w:right="8"/>
              <w:rPr>
                <w:b/>
                <w:sz w:val="14"/>
              </w:rPr>
            </w:pPr>
            <w:r>
              <w:rPr>
                <w:b/>
                <w:color w:val="231F20"/>
                <w:w w:val="80"/>
                <w:sz w:val="14"/>
              </w:rPr>
              <w:t>Top</w:t>
            </w:r>
            <w:r>
              <w:rPr>
                <w:b/>
                <w:color w:val="231F20"/>
                <w:spacing w:val="-6"/>
                <w:sz w:val="14"/>
              </w:rPr>
              <w:t> </w:t>
            </w:r>
            <w:r>
              <w:rPr>
                <w:b/>
                <w:color w:val="231F20"/>
                <w:w w:val="80"/>
                <w:sz w:val="14"/>
              </w:rPr>
              <w:t>10</w:t>
            </w:r>
            <w:r>
              <w:rPr>
                <w:b/>
                <w:color w:val="231F20"/>
                <w:spacing w:val="-5"/>
                <w:sz w:val="14"/>
              </w:rPr>
              <w:t> </w:t>
            </w:r>
            <w:r>
              <w:rPr>
                <w:b/>
                <w:color w:val="231F20"/>
                <w:w w:val="80"/>
                <w:sz w:val="14"/>
              </w:rPr>
              <w:t>LI</w:t>
            </w:r>
            <w:r>
              <w:rPr>
                <w:b/>
                <w:color w:val="231F20"/>
                <w:spacing w:val="-5"/>
                <w:sz w:val="14"/>
              </w:rPr>
              <w:t> </w:t>
            </w:r>
            <w:r>
              <w:rPr>
                <w:b/>
                <w:color w:val="231F20"/>
                <w:spacing w:val="-4"/>
                <w:w w:val="80"/>
                <w:sz w:val="14"/>
              </w:rPr>
              <w:t>2014</w:t>
            </w:r>
          </w:p>
        </w:tc>
        <w:tc>
          <w:tcPr>
            <w:tcW w:w="1535" w:type="dxa"/>
            <w:tcBorders>
              <w:bottom w:val="single" w:sz="4" w:space="0" w:color="008FDD"/>
            </w:tcBorders>
          </w:tcPr>
          <w:p>
            <w:pPr>
              <w:pStyle w:val="TableParagraph"/>
              <w:spacing w:before="3"/>
              <w:ind w:left="10" w:right="6"/>
              <w:rPr>
                <w:b/>
                <w:sz w:val="14"/>
              </w:rPr>
            </w:pPr>
            <w:r>
              <w:rPr>
                <w:b/>
                <w:color w:val="231F20"/>
                <w:w w:val="80"/>
                <w:sz w:val="14"/>
              </w:rPr>
              <w:t>Top</w:t>
            </w:r>
            <w:r>
              <w:rPr>
                <w:b/>
                <w:color w:val="231F20"/>
                <w:spacing w:val="-6"/>
                <w:sz w:val="14"/>
              </w:rPr>
              <w:t> </w:t>
            </w:r>
            <w:r>
              <w:rPr>
                <w:b/>
                <w:color w:val="231F20"/>
                <w:w w:val="80"/>
                <w:sz w:val="14"/>
              </w:rPr>
              <w:t>10</w:t>
            </w:r>
            <w:r>
              <w:rPr>
                <w:b/>
                <w:color w:val="231F20"/>
                <w:spacing w:val="-5"/>
                <w:sz w:val="14"/>
              </w:rPr>
              <w:t> </w:t>
            </w:r>
            <w:r>
              <w:rPr>
                <w:b/>
                <w:color w:val="231F20"/>
                <w:w w:val="80"/>
                <w:sz w:val="14"/>
              </w:rPr>
              <w:t>LI</w:t>
            </w:r>
            <w:r>
              <w:rPr>
                <w:b/>
                <w:color w:val="231F20"/>
                <w:spacing w:val="-5"/>
                <w:sz w:val="14"/>
              </w:rPr>
              <w:t> </w:t>
            </w:r>
            <w:r>
              <w:rPr>
                <w:b/>
                <w:color w:val="231F20"/>
                <w:spacing w:val="-4"/>
                <w:w w:val="80"/>
                <w:sz w:val="14"/>
              </w:rPr>
              <w:t>2012</w:t>
            </w:r>
          </w:p>
        </w:tc>
      </w:tr>
      <w:tr>
        <w:trPr>
          <w:trHeight w:val="258" w:hRule="atLeast"/>
        </w:trPr>
        <w:tc>
          <w:tcPr>
            <w:tcW w:w="1606" w:type="dxa"/>
            <w:tcBorders>
              <w:top w:val="single" w:sz="4" w:space="0" w:color="008FDD"/>
            </w:tcBorders>
          </w:tcPr>
          <w:p>
            <w:pPr>
              <w:pStyle w:val="TableParagraph"/>
              <w:spacing w:before="47"/>
              <w:ind w:left="80"/>
              <w:jc w:val="left"/>
              <w:rPr>
                <w:sz w:val="14"/>
              </w:rPr>
            </w:pPr>
            <w:r>
              <w:rPr>
                <w:color w:val="231F20"/>
                <w:w w:val="75"/>
                <w:sz w:val="14"/>
              </w:rPr>
              <w:t>Central</w:t>
            </w:r>
            <w:r>
              <w:rPr>
                <w:color w:val="231F20"/>
                <w:spacing w:val="19"/>
                <w:sz w:val="14"/>
              </w:rPr>
              <w:t> </w:t>
            </w:r>
            <w:r>
              <w:rPr>
                <w:color w:val="231F20"/>
                <w:w w:val="75"/>
                <w:sz w:val="14"/>
              </w:rPr>
              <w:t>African</w:t>
            </w:r>
            <w:r>
              <w:rPr>
                <w:color w:val="231F20"/>
                <w:spacing w:val="20"/>
                <w:sz w:val="14"/>
              </w:rPr>
              <w:t> </w:t>
            </w:r>
            <w:r>
              <w:rPr>
                <w:color w:val="231F20"/>
                <w:spacing w:val="-2"/>
                <w:w w:val="75"/>
                <w:sz w:val="14"/>
              </w:rPr>
              <w:t>Republic</w:t>
            </w:r>
          </w:p>
        </w:tc>
        <w:tc>
          <w:tcPr>
            <w:tcW w:w="1465" w:type="dxa"/>
            <w:tcBorders>
              <w:top w:val="single" w:sz="4" w:space="0" w:color="008FDD"/>
            </w:tcBorders>
          </w:tcPr>
          <w:p>
            <w:pPr>
              <w:pStyle w:val="TableParagraph"/>
              <w:spacing w:before="47"/>
              <w:ind w:left="4" w:right="67"/>
              <w:rPr>
                <w:sz w:val="14"/>
              </w:rPr>
            </w:pPr>
            <w:r>
              <w:rPr>
                <w:color w:val="231F20"/>
                <w:spacing w:val="-5"/>
                <w:w w:val="85"/>
                <w:sz w:val="14"/>
              </w:rPr>
              <w:t>No</w:t>
            </w:r>
          </w:p>
        </w:tc>
        <w:tc>
          <w:tcPr>
            <w:tcW w:w="1536" w:type="dxa"/>
            <w:tcBorders>
              <w:top w:val="single" w:sz="4" w:space="0" w:color="008FDD"/>
            </w:tcBorders>
          </w:tcPr>
          <w:p>
            <w:pPr>
              <w:pStyle w:val="TableParagraph"/>
              <w:spacing w:before="47"/>
              <w:ind w:left="5" w:right="2"/>
              <w:rPr>
                <w:sz w:val="14"/>
              </w:rPr>
            </w:pPr>
            <w:r>
              <w:rPr>
                <w:color w:val="231F20"/>
                <w:spacing w:val="-5"/>
                <w:w w:val="90"/>
                <w:sz w:val="14"/>
              </w:rPr>
              <w:t>na</w:t>
            </w:r>
          </w:p>
        </w:tc>
        <w:tc>
          <w:tcPr>
            <w:tcW w:w="1535" w:type="dxa"/>
            <w:tcBorders>
              <w:top w:val="single" w:sz="4" w:space="0" w:color="008FDD"/>
            </w:tcBorders>
          </w:tcPr>
          <w:p>
            <w:pPr>
              <w:pStyle w:val="TableParagraph"/>
              <w:spacing w:before="47"/>
              <w:ind w:left="10" w:right="7"/>
              <w:rPr>
                <w:sz w:val="14"/>
              </w:rPr>
            </w:pPr>
            <w:r>
              <w:rPr>
                <w:color w:val="231F20"/>
                <w:spacing w:val="-5"/>
                <w:w w:val="85"/>
                <w:sz w:val="14"/>
              </w:rPr>
              <w:t>Yes</w:t>
            </w:r>
          </w:p>
        </w:tc>
        <w:tc>
          <w:tcPr>
            <w:tcW w:w="1535" w:type="dxa"/>
            <w:tcBorders>
              <w:top w:val="single" w:sz="4" w:space="0" w:color="008FDD"/>
            </w:tcBorders>
          </w:tcPr>
          <w:p>
            <w:pPr>
              <w:pStyle w:val="TableParagraph"/>
              <w:spacing w:before="47"/>
              <w:ind w:left="10" w:right="5"/>
              <w:rPr>
                <w:sz w:val="14"/>
              </w:rPr>
            </w:pPr>
            <w:r>
              <w:rPr>
                <w:color w:val="231F20"/>
                <w:spacing w:val="-5"/>
                <w:w w:val="85"/>
                <w:sz w:val="14"/>
              </w:rPr>
              <w:t>Yes</w:t>
            </w:r>
          </w:p>
        </w:tc>
      </w:tr>
      <w:tr>
        <w:trPr>
          <w:trHeight w:val="259" w:hRule="atLeast"/>
        </w:trPr>
        <w:tc>
          <w:tcPr>
            <w:tcW w:w="1606" w:type="dxa"/>
            <w:shd w:val="clear" w:color="auto" w:fill="D4E3F5"/>
          </w:tcPr>
          <w:p>
            <w:pPr>
              <w:pStyle w:val="TableParagraph"/>
              <w:ind w:left="80"/>
              <w:jc w:val="left"/>
              <w:rPr>
                <w:sz w:val="14"/>
              </w:rPr>
            </w:pPr>
            <w:r>
              <w:rPr>
                <w:color w:val="231F20"/>
                <w:w w:val="75"/>
                <w:sz w:val="14"/>
              </w:rPr>
              <w:t>Congo,</w:t>
            </w:r>
            <w:r>
              <w:rPr>
                <w:color w:val="231F20"/>
                <w:spacing w:val="9"/>
                <w:sz w:val="14"/>
              </w:rPr>
              <w:t> </w:t>
            </w:r>
            <w:r>
              <w:rPr>
                <w:color w:val="231F20"/>
                <w:w w:val="75"/>
                <w:sz w:val="14"/>
              </w:rPr>
              <w:t>Dem.</w:t>
            </w:r>
            <w:r>
              <w:rPr>
                <w:color w:val="231F20"/>
                <w:spacing w:val="10"/>
                <w:sz w:val="14"/>
              </w:rPr>
              <w:t> </w:t>
            </w:r>
            <w:r>
              <w:rPr>
                <w:color w:val="231F20"/>
                <w:spacing w:val="-4"/>
                <w:w w:val="75"/>
                <w:sz w:val="14"/>
              </w:rPr>
              <w:t>Rep.</w:t>
            </w:r>
          </w:p>
        </w:tc>
        <w:tc>
          <w:tcPr>
            <w:tcW w:w="1465" w:type="dxa"/>
            <w:shd w:val="clear" w:color="auto" w:fill="D4E3F5"/>
          </w:tcPr>
          <w:p>
            <w:pPr>
              <w:pStyle w:val="TableParagraph"/>
              <w:ind w:left="1" w:right="67"/>
              <w:rPr>
                <w:sz w:val="14"/>
              </w:rPr>
            </w:pPr>
            <w:r>
              <w:rPr>
                <w:color w:val="231F20"/>
                <w:spacing w:val="-5"/>
                <w:w w:val="85"/>
                <w:sz w:val="14"/>
              </w:rPr>
              <w:t>Yes</w:t>
            </w:r>
          </w:p>
        </w:tc>
        <w:tc>
          <w:tcPr>
            <w:tcW w:w="1536" w:type="dxa"/>
            <w:shd w:val="clear" w:color="auto" w:fill="D4E3F5"/>
          </w:tcPr>
          <w:p>
            <w:pPr>
              <w:pStyle w:val="TableParagraph"/>
              <w:ind w:left="5" w:right="3"/>
              <w:rPr>
                <w:sz w:val="14"/>
              </w:rPr>
            </w:pPr>
            <w:r>
              <w:rPr>
                <w:color w:val="231F20"/>
                <w:spacing w:val="-5"/>
                <w:w w:val="85"/>
                <w:sz w:val="14"/>
              </w:rPr>
              <w:t>Yes</w:t>
            </w:r>
          </w:p>
        </w:tc>
        <w:tc>
          <w:tcPr>
            <w:tcW w:w="1535" w:type="dxa"/>
            <w:shd w:val="clear" w:color="auto" w:fill="D4E3F5"/>
          </w:tcPr>
          <w:p>
            <w:pPr>
              <w:pStyle w:val="TableParagraph"/>
              <w:ind w:left="10" w:right="4"/>
              <w:rPr>
                <w:sz w:val="14"/>
              </w:rPr>
            </w:pPr>
            <w:r>
              <w:rPr>
                <w:color w:val="231F20"/>
                <w:spacing w:val="-5"/>
                <w:w w:val="85"/>
                <w:sz w:val="14"/>
              </w:rPr>
              <w:t>No</w:t>
            </w:r>
          </w:p>
        </w:tc>
        <w:tc>
          <w:tcPr>
            <w:tcW w:w="1535" w:type="dxa"/>
            <w:shd w:val="clear" w:color="auto" w:fill="D4E3F5"/>
          </w:tcPr>
          <w:p>
            <w:pPr>
              <w:pStyle w:val="TableParagraph"/>
              <w:ind w:left="10" w:right="2"/>
              <w:rPr>
                <w:sz w:val="14"/>
              </w:rPr>
            </w:pPr>
            <w:r>
              <w:rPr>
                <w:color w:val="231F20"/>
                <w:spacing w:val="-5"/>
                <w:w w:val="85"/>
                <w:sz w:val="14"/>
              </w:rPr>
              <w:t>No</w:t>
            </w:r>
          </w:p>
        </w:tc>
      </w:tr>
      <w:tr>
        <w:trPr>
          <w:trHeight w:val="259" w:hRule="atLeast"/>
        </w:trPr>
        <w:tc>
          <w:tcPr>
            <w:tcW w:w="1606" w:type="dxa"/>
          </w:tcPr>
          <w:p>
            <w:pPr>
              <w:pStyle w:val="TableParagraph"/>
              <w:ind w:left="80"/>
              <w:jc w:val="left"/>
              <w:rPr>
                <w:sz w:val="14"/>
              </w:rPr>
            </w:pPr>
            <w:r>
              <w:rPr>
                <w:color w:val="231F20"/>
                <w:spacing w:val="-2"/>
                <w:w w:val="85"/>
                <w:sz w:val="14"/>
              </w:rPr>
              <w:t>Guinea</w:t>
            </w:r>
          </w:p>
        </w:tc>
        <w:tc>
          <w:tcPr>
            <w:tcW w:w="1465" w:type="dxa"/>
          </w:tcPr>
          <w:p>
            <w:pPr>
              <w:pStyle w:val="TableParagraph"/>
              <w:ind w:left="4" w:right="67"/>
              <w:rPr>
                <w:sz w:val="14"/>
              </w:rPr>
            </w:pPr>
            <w:r>
              <w:rPr>
                <w:color w:val="231F20"/>
                <w:spacing w:val="-5"/>
                <w:w w:val="85"/>
                <w:sz w:val="14"/>
              </w:rPr>
              <w:t>No</w:t>
            </w:r>
          </w:p>
        </w:tc>
        <w:tc>
          <w:tcPr>
            <w:tcW w:w="1536" w:type="dxa"/>
          </w:tcPr>
          <w:p>
            <w:pPr>
              <w:pStyle w:val="TableParagraph"/>
              <w:ind w:left="5" w:right="3"/>
              <w:rPr>
                <w:sz w:val="14"/>
              </w:rPr>
            </w:pPr>
            <w:r>
              <w:rPr>
                <w:color w:val="231F20"/>
                <w:spacing w:val="-5"/>
                <w:w w:val="85"/>
                <w:sz w:val="14"/>
              </w:rPr>
              <w:t>Yes</w:t>
            </w:r>
          </w:p>
        </w:tc>
        <w:tc>
          <w:tcPr>
            <w:tcW w:w="1535" w:type="dxa"/>
          </w:tcPr>
          <w:p>
            <w:pPr>
              <w:pStyle w:val="TableParagraph"/>
              <w:ind w:left="10" w:right="7"/>
              <w:rPr>
                <w:sz w:val="14"/>
              </w:rPr>
            </w:pPr>
            <w:r>
              <w:rPr>
                <w:color w:val="231F20"/>
                <w:spacing w:val="-5"/>
                <w:w w:val="85"/>
                <w:sz w:val="14"/>
              </w:rPr>
              <w:t>Yes</w:t>
            </w:r>
          </w:p>
        </w:tc>
        <w:tc>
          <w:tcPr>
            <w:tcW w:w="1535" w:type="dxa"/>
          </w:tcPr>
          <w:p>
            <w:pPr>
              <w:pStyle w:val="TableParagraph"/>
              <w:ind w:left="10" w:right="5"/>
              <w:rPr>
                <w:sz w:val="14"/>
              </w:rPr>
            </w:pPr>
            <w:r>
              <w:rPr>
                <w:color w:val="231F20"/>
                <w:spacing w:val="-5"/>
                <w:w w:val="85"/>
                <w:sz w:val="14"/>
              </w:rPr>
              <w:t>Yes</w:t>
            </w:r>
          </w:p>
        </w:tc>
      </w:tr>
      <w:tr>
        <w:trPr>
          <w:trHeight w:val="259" w:hRule="atLeast"/>
        </w:trPr>
        <w:tc>
          <w:tcPr>
            <w:tcW w:w="1606" w:type="dxa"/>
            <w:shd w:val="clear" w:color="auto" w:fill="D4E3F5"/>
          </w:tcPr>
          <w:p>
            <w:pPr>
              <w:pStyle w:val="TableParagraph"/>
              <w:ind w:left="80"/>
              <w:jc w:val="left"/>
              <w:rPr>
                <w:sz w:val="14"/>
              </w:rPr>
            </w:pPr>
            <w:r>
              <w:rPr>
                <w:color w:val="231F20"/>
                <w:w w:val="75"/>
                <w:sz w:val="14"/>
              </w:rPr>
              <w:t>Guinea-</w:t>
            </w:r>
            <w:r>
              <w:rPr>
                <w:color w:val="231F20"/>
                <w:spacing w:val="-2"/>
                <w:w w:val="85"/>
                <w:sz w:val="14"/>
              </w:rPr>
              <w:t>Bissau</w:t>
            </w:r>
          </w:p>
        </w:tc>
        <w:tc>
          <w:tcPr>
            <w:tcW w:w="1465" w:type="dxa"/>
            <w:shd w:val="clear" w:color="auto" w:fill="D4E3F5"/>
          </w:tcPr>
          <w:p>
            <w:pPr>
              <w:pStyle w:val="TableParagraph"/>
              <w:ind w:left="1" w:right="67"/>
              <w:rPr>
                <w:sz w:val="14"/>
              </w:rPr>
            </w:pPr>
            <w:r>
              <w:rPr>
                <w:color w:val="231F20"/>
                <w:spacing w:val="-5"/>
                <w:w w:val="85"/>
                <w:sz w:val="14"/>
              </w:rPr>
              <w:t>Yes</w:t>
            </w:r>
          </w:p>
        </w:tc>
        <w:tc>
          <w:tcPr>
            <w:tcW w:w="1536" w:type="dxa"/>
            <w:shd w:val="clear" w:color="auto" w:fill="D4E3F5"/>
          </w:tcPr>
          <w:p>
            <w:pPr>
              <w:pStyle w:val="TableParagraph"/>
              <w:ind w:left="5" w:right="3"/>
              <w:rPr>
                <w:sz w:val="14"/>
              </w:rPr>
            </w:pPr>
            <w:r>
              <w:rPr>
                <w:color w:val="231F20"/>
                <w:spacing w:val="-5"/>
                <w:w w:val="85"/>
                <w:sz w:val="14"/>
              </w:rPr>
              <w:t>Yes</w:t>
            </w:r>
          </w:p>
        </w:tc>
        <w:tc>
          <w:tcPr>
            <w:tcW w:w="1535" w:type="dxa"/>
            <w:shd w:val="clear" w:color="auto" w:fill="D4E3F5"/>
          </w:tcPr>
          <w:p>
            <w:pPr>
              <w:pStyle w:val="TableParagraph"/>
              <w:ind w:left="10" w:right="7"/>
              <w:rPr>
                <w:sz w:val="14"/>
              </w:rPr>
            </w:pPr>
            <w:r>
              <w:rPr>
                <w:color w:val="231F20"/>
                <w:spacing w:val="-5"/>
                <w:w w:val="85"/>
                <w:sz w:val="14"/>
              </w:rPr>
              <w:t>Yes</w:t>
            </w:r>
          </w:p>
        </w:tc>
        <w:tc>
          <w:tcPr>
            <w:tcW w:w="1535" w:type="dxa"/>
            <w:shd w:val="clear" w:color="auto" w:fill="D4E3F5"/>
          </w:tcPr>
          <w:p>
            <w:pPr>
              <w:pStyle w:val="TableParagraph"/>
              <w:ind w:left="10" w:right="5"/>
              <w:rPr>
                <w:sz w:val="14"/>
              </w:rPr>
            </w:pPr>
            <w:r>
              <w:rPr>
                <w:color w:val="231F20"/>
                <w:spacing w:val="-5"/>
                <w:w w:val="85"/>
                <w:sz w:val="14"/>
              </w:rPr>
              <w:t>Yes</w:t>
            </w:r>
          </w:p>
        </w:tc>
      </w:tr>
      <w:tr>
        <w:trPr>
          <w:trHeight w:val="259" w:hRule="atLeast"/>
        </w:trPr>
        <w:tc>
          <w:tcPr>
            <w:tcW w:w="1606" w:type="dxa"/>
          </w:tcPr>
          <w:p>
            <w:pPr>
              <w:pStyle w:val="TableParagraph"/>
              <w:ind w:left="80"/>
              <w:jc w:val="left"/>
              <w:rPr>
                <w:sz w:val="14"/>
              </w:rPr>
            </w:pPr>
            <w:r>
              <w:rPr>
                <w:color w:val="231F20"/>
                <w:spacing w:val="-2"/>
                <w:w w:val="90"/>
                <w:sz w:val="14"/>
              </w:rPr>
              <w:t>Liberia</w:t>
            </w:r>
          </w:p>
        </w:tc>
        <w:tc>
          <w:tcPr>
            <w:tcW w:w="1465" w:type="dxa"/>
          </w:tcPr>
          <w:p>
            <w:pPr>
              <w:pStyle w:val="TableParagraph"/>
              <w:ind w:left="4" w:right="67"/>
              <w:rPr>
                <w:sz w:val="14"/>
              </w:rPr>
            </w:pPr>
            <w:r>
              <w:rPr>
                <w:color w:val="231F20"/>
                <w:spacing w:val="-5"/>
                <w:w w:val="85"/>
                <w:sz w:val="14"/>
              </w:rPr>
              <w:t>No</w:t>
            </w:r>
          </w:p>
        </w:tc>
        <w:tc>
          <w:tcPr>
            <w:tcW w:w="1536" w:type="dxa"/>
          </w:tcPr>
          <w:p>
            <w:pPr>
              <w:pStyle w:val="TableParagraph"/>
              <w:ind w:left="5" w:right="3"/>
              <w:rPr>
                <w:sz w:val="14"/>
              </w:rPr>
            </w:pPr>
            <w:r>
              <w:rPr>
                <w:color w:val="231F20"/>
                <w:spacing w:val="-5"/>
                <w:w w:val="85"/>
                <w:sz w:val="14"/>
              </w:rPr>
              <w:t>Yes</w:t>
            </w:r>
          </w:p>
        </w:tc>
        <w:tc>
          <w:tcPr>
            <w:tcW w:w="1535" w:type="dxa"/>
          </w:tcPr>
          <w:p>
            <w:pPr>
              <w:pStyle w:val="TableParagraph"/>
              <w:ind w:left="10" w:right="7"/>
              <w:rPr>
                <w:sz w:val="14"/>
              </w:rPr>
            </w:pPr>
            <w:r>
              <w:rPr>
                <w:color w:val="231F20"/>
                <w:spacing w:val="-5"/>
                <w:w w:val="85"/>
                <w:sz w:val="14"/>
              </w:rPr>
              <w:t>Yes</w:t>
            </w:r>
          </w:p>
        </w:tc>
        <w:tc>
          <w:tcPr>
            <w:tcW w:w="1535" w:type="dxa"/>
          </w:tcPr>
          <w:p>
            <w:pPr>
              <w:pStyle w:val="TableParagraph"/>
              <w:ind w:left="10" w:right="5"/>
              <w:rPr>
                <w:sz w:val="14"/>
              </w:rPr>
            </w:pPr>
            <w:r>
              <w:rPr>
                <w:color w:val="231F20"/>
                <w:spacing w:val="-5"/>
                <w:w w:val="85"/>
                <w:sz w:val="14"/>
              </w:rPr>
              <w:t>Yes</w:t>
            </w:r>
          </w:p>
        </w:tc>
      </w:tr>
      <w:tr>
        <w:trPr>
          <w:trHeight w:val="259" w:hRule="atLeast"/>
        </w:trPr>
        <w:tc>
          <w:tcPr>
            <w:tcW w:w="1606" w:type="dxa"/>
            <w:shd w:val="clear" w:color="auto" w:fill="D4E3F5"/>
          </w:tcPr>
          <w:p>
            <w:pPr>
              <w:pStyle w:val="TableParagraph"/>
              <w:ind w:left="80"/>
              <w:jc w:val="left"/>
              <w:rPr>
                <w:sz w:val="14"/>
              </w:rPr>
            </w:pPr>
            <w:r>
              <w:rPr>
                <w:color w:val="231F20"/>
                <w:spacing w:val="-4"/>
                <w:w w:val="90"/>
                <w:sz w:val="14"/>
              </w:rPr>
              <w:t>Mali</w:t>
            </w:r>
          </w:p>
        </w:tc>
        <w:tc>
          <w:tcPr>
            <w:tcW w:w="1465" w:type="dxa"/>
            <w:shd w:val="clear" w:color="auto" w:fill="D4E3F5"/>
          </w:tcPr>
          <w:p>
            <w:pPr>
              <w:pStyle w:val="TableParagraph"/>
              <w:ind w:left="1" w:right="67"/>
              <w:rPr>
                <w:sz w:val="14"/>
              </w:rPr>
            </w:pPr>
            <w:r>
              <w:rPr>
                <w:color w:val="231F20"/>
                <w:spacing w:val="-5"/>
                <w:w w:val="85"/>
                <w:sz w:val="14"/>
              </w:rPr>
              <w:t>Yes</w:t>
            </w:r>
          </w:p>
        </w:tc>
        <w:tc>
          <w:tcPr>
            <w:tcW w:w="1536" w:type="dxa"/>
            <w:shd w:val="clear" w:color="auto" w:fill="D4E3F5"/>
          </w:tcPr>
          <w:p>
            <w:pPr>
              <w:pStyle w:val="TableParagraph"/>
              <w:ind w:left="5" w:right="3"/>
              <w:rPr>
                <w:sz w:val="14"/>
              </w:rPr>
            </w:pPr>
            <w:r>
              <w:rPr>
                <w:color w:val="231F20"/>
                <w:spacing w:val="-5"/>
                <w:w w:val="85"/>
                <w:sz w:val="14"/>
              </w:rPr>
              <w:t>Yes</w:t>
            </w:r>
          </w:p>
        </w:tc>
        <w:tc>
          <w:tcPr>
            <w:tcW w:w="1535" w:type="dxa"/>
            <w:shd w:val="clear" w:color="auto" w:fill="D4E3F5"/>
          </w:tcPr>
          <w:p>
            <w:pPr>
              <w:pStyle w:val="TableParagraph"/>
              <w:ind w:left="10" w:right="7"/>
              <w:rPr>
                <w:sz w:val="14"/>
              </w:rPr>
            </w:pPr>
            <w:r>
              <w:rPr>
                <w:color w:val="231F20"/>
                <w:spacing w:val="-5"/>
                <w:w w:val="85"/>
                <w:sz w:val="14"/>
              </w:rPr>
              <w:t>Yes</w:t>
            </w:r>
          </w:p>
        </w:tc>
        <w:tc>
          <w:tcPr>
            <w:tcW w:w="1535" w:type="dxa"/>
            <w:shd w:val="clear" w:color="auto" w:fill="D4E3F5"/>
          </w:tcPr>
          <w:p>
            <w:pPr>
              <w:pStyle w:val="TableParagraph"/>
              <w:ind w:left="10" w:right="4"/>
              <w:rPr>
                <w:sz w:val="14"/>
              </w:rPr>
            </w:pPr>
            <w:r>
              <w:rPr>
                <w:color w:val="231F20"/>
                <w:spacing w:val="-5"/>
                <w:w w:val="90"/>
                <w:sz w:val="14"/>
              </w:rPr>
              <w:t>na</w:t>
            </w:r>
          </w:p>
        </w:tc>
      </w:tr>
      <w:tr>
        <w:trPr>
          <w:trHeight w:val="259" w:hRule="atLeast"/>
        </w:trPr>
        <w:tc>
          <w:tcPr>
            <w:tcW w:w="1606" w:type="dxa"/>
          </w:tcPr>
          <w:p>
            <w:pPr>
              <w:pStyle w:val="TableParagraph"/>
              <w:ind w:left="80"/>
              <w:jc w:val="left"/>
              <w:rPr>
                <w:sz w:val="14"/>
              </w:rPr>
            </w:pPr>
            <w:r>
              <w:rPr>
                <w:color w:val="231F20"/>
                <w:spacing w:val="-2"/>
                <w:w w:val="85"/>
                <w:sz w:val="14"/>
              </w:rPr>
              <w:t>Rwanda</w:t>
            </w:r>
          </w:p>
        </w:tc>
        <w:tc>
          <w:tcPr>
            <w:tcW w:w="1465" w:type="dxa"/>
          </w:tcPr>
          <w:p>
            <w:pPr>
              <w:pStyle w:val="TableParagraph"/>
              <w:ind w:left="1" w:right="67"/>
              <w:rPr>
                <w:sz w:val="14"/>
              </w:rPr>
            </w:pPr>
            <w:r>
              <w:rPr>
                <w:color w:val="231F20"/>
                <w:spacing w:val="-5"/>
                <w:w w:val="85"/>
                <w:sz w:val="14"/>
              </w:rPr>
              <w:t>Yes</w:t>
            </w:r>
          </w:p>
        </w:tc>
        <w:tc>
          <w:tcPr>
            <w:tcW w:w="1536" w:type="dxa"/>
          </w:tcPr>
          <w:p>
            <w:pPr>
              <w:pStyle w:val="TableParagraph"/>
              <w:ind w:left="5" w:right="3"/>
              <w:rPr>
                <w:sz w:val="14"/>
              </w:rPr>
            </w:pPr>
            <w:r>
              <w:rPr>
                <w:color w:val="231F20"/>
                <w:spacing w:val="-5"/>
                <w:w w:val="85"/>
                <w:sz w:val="14"/>
              </w:rPr>
              <w:t>Yes</w:t>
            </w:r>
          </w:p>
        </w:tc>
        <w:tc>
          <w:tcPr>
            <w:tcW w:w="1535" w:type="dxa"/>
          </w:tcPr>
          <w:p>
            <w:pPr>
              <w:pStyle w:val="TableParagraph"/>
              <w:ind w:left="10" w:right="7"/>
              <w:rPr>
                <w:sz w:val="14"/>
              </w:rPr>
            </w:pPr>
            <w:r>
              <w:rPr>
                <w:color w:val="231F20"/>
                <w:spacing w:val="-5"/>
                <w:w w:val="85"/>
                <w:sz w:val="14"/>
              </w:rPr>
              <w:t>Yes</w:t>
            </w:r>
          </w:p>
        </w:tc>
        <w:tc>
          <w:tcPr>
            <w:tcW w:w="1535" w:type="dxa"/>
          </w:tcPr>
          <w:p>
            <w:pPr>
              <w:pStyle w:val="TableParagraph"/>
              <w:ind w:left="10" w:right="2"/>
              <w:rPr>
                <w:sz w:val="14"/>
              </w:rPr>
            </w:pPr>
            <w:r>
              <w:rPr>
                <w:color w:val="231F20"/>
                <w:spacing w:val="-5"/>
                <w:w w:val="85"/>
                <w:sz w:val="14"/>
              </w:rPr>
              <w:t>No</w:t>
            </w:r>
          </w:p>
        </w:tc>
      </w:tr>
      <w:tr>
        <w:trPr>
          <w:trHeight w:val="259" w:hRule="atLeast"/>
        </w:trPr>
        <w:tc>
          <w:tcPr>
            <w:tcW w:w="1606" w:type="dxa"/>
            <w:shd w:val="clear" w:color="auto" w:fill="D4E3F5"/>
          </w:tcPr>
          <w:p>
            <w:pPr>
              <w:pStyle w:val="TableParagraph"/>
              <w:ind w:left="80"/>
              <w:jc w:val="left"/>
              <w:rPr>
                <w:sz w:val="14"/>
              </w:rPr>
            </w:pPr>
            <w:r>
              <w:rPr>
                <w:color w:val="231F20"/>
                <w:spacing w:val="-2"/>
                <w:w w:val="85"/>
                <w:sz w:val="14"/>
              </w:rPr>
              <w:t>Sudan</w:t>
            </w:r>
          </w:p>
        </w:tc>
        <w:tc>
          <w:tcPr>
            <w:tcW w:w="1465" w:type="dxa"/>
            <w:shd w:val="clear" w:color="auto" w:fill="D4E3F5"/>
          </w:tcPr>
          <w:p>
            <w:pPr>
              <w:pStyle w:val="TableParagraph"/>
              <w:ind w:left="1" w:right="67"/>
              <w:rPr>
                <w:sz w:val="14"/>
              </w:rPr>
            </w:pPr>
            <w:r>
              <w:rPr>
                <w:color w:val="231F20"/>
                <w:spacing w:val="-5"/>
                <w:w w:val="85"/>
                <w:sz w:val="14"/>
              </w:rPr>
              <w:t>Yes</w:t>
            </w:r>
          </w:p>
        </w:tc>
        <w:tc>
          <w:tcPr>
            <w:tcW w:w="1536" w:type="dxa"/>
            <w:shd w:val="clear" w:color="auto" w:fill="D4E3F5"/>
          </w:tcPr>
          <w:p>
            <w:pPr>
              <w:pStyle w:val="TableParagraph"/>
              <w:ind w:left="5" w:right="3"/>
              <w:rPr>
                <w:sz w:val="14"/>
              </w:rPr>
            </w:pPr>
            <w:r>
              <w:rPr>
                <w:color w:val="231F20"/>
                <w:spacing w:val="-5"/>
                <w:w w:val="85"/>
                <w:sz w:val="14"/>
              </w:rPr>
              <w:t>Yes</w:t>
            </w:r>
          </w:p>
        </w:tc>
        <w:tc>
          <w:tcPr>
            <w:tcW w:w="1535" w:type="dxa"/>
            <w:shd w:val="clear" w:color="auto" w:fill="D4E3F5"/>
          </w:tcPr>
          <w:p>
            <w:pPr>
              <w:pStyle w:val="TableParagraph"/>
              <w:ind w:left="10" w:right="4"/>
              <w:rPr>
                <w:sz w:val="14"/>
              </w:rPr>
            </w:pPr>
            <w:r>
              <w:rPr>
                <w:color w:val="231F20"/>
                <w:spacing w:val="-5"/>
                <w:w w:val="85"/>
                <w:sz w:val="14"/>
              </w:rPr>
              <w:t>No</w:t>
            </w:r>
          </w:p>
        </w:tc>
        <w:tc>
          <w:tcPr>
            <w:tcW w:w="1535" w:type="dxa"/>
            <w:shd w:val="clear" w:color="auto" w:fill="D4E3F5"/>
          </w:tcPr>
          <w:p>
            <w:pPr>
              <w:pStyle w:val="TableParagraph"/>
              <w:ind w:left="10" w:right="2"/>
              <w:rPr>
                <w:sz w:val="14"/>
              </w:rPr>
            </w:pPr>
            <w:r>
              <w:rPr>
                <w:color w:val="231F20"/>
                <w:spacing w:val="-5"/>
                <w:w w:val="85"/>
                <w:sz w:val="14"/>
              </w:rPr>
              <w:t>No</w:t>
            </w:r>
          </w:p>
        </w:tc>
      </w:tr>
      <w:tr>
        <w:trPr>
          <w:trHeight w:val="259" w:hRule="atLeast"/>
        </w:trPr>
        <w:tc>
          <w:tcPr>
            <w:tcW w:w="1606" w:type="dxa"/>
          </w:tcPr>
          <w:p>
            <w:pPr>
              <w:pStyle w:val="TableParagraph"/>
              <w:ind w:left="80"/>
              <w:jc w:val="left"/>
              <w:rPr>
                <w:sz w:val="14"/>
              </w:rPr>
            </w:pPr>
            <w:r>
              <w:rPr>
                <w:color w:val="231F20"/>
                <w:w w:val="75"/>
                <w:sz w:val="14"/>
              </w:rPr>
              <w:t>Syrian</w:t>
            </w:r>
            <w:r>
              <w:rPr>
                <w:color w:val="231F20"/>
                <w:spacing w:val="9"/>
                <w:sz w:val="14"/>
              </w:rPr>
              <w:t> </w:t>
            </w:r>
            <w:r>
              <w:rPr>
                <w:color w:val="231F20"/>
                <w:w w:val="75"/>
                <w:sz w:val="14"/>
              </w:rPr>
              <w:t>Arab</w:t>
            </w:r>
            <w:r>
              <w:rPr>
                <w:color w:val="231F20"/>
                <w:spacing w:val="9"/>
                <w:sz w:val="14"/>
              </w:rPr>
              <w:t> </w:t>
            </w:r>
            <w:r>
              <w:rPr>
                <w:color w:val="231F20"/>
                <w:spacing w:val="-2"/>
                <w:w w:val="75"/>
                <w:sz w:val="14"/>
              </w:rPr>
              <w:t>Republic</w:t>
            </w:r>
          </w:p>
        </w:tc>
        <w:tc>
          <w:tcPr>
            <w:tcW w:w="1465" w:type="dxa"/>
          </w:tcPr>
          <w:p>
            <w:pPr>
              <w:pStyle w:val="TableParagraph"/>
              <w:ind w:left="1" w:right="67"/>
              <w:rPr>
                <w:sz w:val="14"/>
              </w:rPr>
            </w:pPr>
            <w:r>
              <w:rPr>
                <w:color w:val="231F20"/>
                <w:spacing w:val="-5"/>
                <w:w w:val="85"/>
                <w:sz w:val="14"/>
              </w:rPr>
              <w:t>Yes</w:t>
            </w:r>
          </w:p>
        </w:tc>
        <w:tc>
          <w:tcPr>
            <w:tcW w:w="1536" w:type="dxa"/>
          </w:tcPr>
          <w:p>
            <w:pPr>
              <w:pStyle w:val="TableParagraph"/>
              <w:ind w:left="6" w:right="1"/>
              <w:rPr>
                <w:sz w:val="14"/>
              </w:rPr>
            </w:pPr>
            <w:r>
              <w:rPr>
                <w:color w:val="231F20"/>
                <w:spacing w:val="-5"/>
                <w:w w:val="85"/>
                <w:sz w:val="14"/>
              </w:rPr>
              <w:t>No</w:t>
            </w:r>
          </w:p>
        </w:tc>
        <w:tc>
          <w:tcPr>
            <w:tcW w:w="1535" w:type="dxa"/>
          </w:tcPr>
          <w:p>
            <w:pPr>
              <w:pStyle w:val="TableParagraph"/>
              <w:ind w:left="10" w:right="4"/>
              <w:rPr>
                <w:sz w:val="14"/>
              </w:rPr>
            </w:pPr>
            <w:r>
              <w:rPr>
                <w:color w:val="231F20"/>
                <w:spacing w:val="-5"/>
                <w:w w:val="85"/>
                <w:sz w:val="14"/>
              </w:rPr>
              <w:t>No</w:t>
            </w:r>
          </w:p>
        </w:tc>
        <w:tc>
          <w:tcPr>
            <w:tcW w:w="1535" w:type="dxa"/>
          </w:tcPr>
          <w:p>
            <w:pPr>
              <w:pStyle w:val="TableParagraph"/>
              <w:ind w:left="10" w:right="5"/>
              <w:rPr>
                <w:sz w:val="14"/>
              </w:rPr>
            </w:pPr>
            <w:r>
              <w:rPr>
                <w:color w:val="231F20"/>
                <w:spacing w:val="-5"/>
                <w:w w:val="85"/>
                <w:sz w:val="14"/>
              </w:rPr>
              <w:t>Yes</w:t>
            </w:r>
          </w:p>
        </w:tc>
      </w:tr>
      <w:tr>
        <w:trPr>
          <w:trHeight w:val="254" w:hRule="atLeast"/>
        </w:trPr>
        <w:tc>
          <w:tcPr>
            <w:tcW w:w="1606" w:type="dxa"/>
            <w:tcBorders>
              <w:bottom w:val="single" w:sz="4" w:space="0" w:color="008FDD"/>
            </w:tcBorders>
            <w:shd w:val="clear" w:color="auto" w:fill="D4E3F5"/>
          </w:tcPr>
          <w:p>
            <w:pPr>
              <w:pStyle w:val="TableParagraph"/>
              <w:ind w:left="80"/>
              <w:jc w:val="left"/>
              <w:rPr>
                <w:sz w:val="14"/>
              </w:rPr>
            </w:pPr>
            <w:r>
              <w:rPr>
                <w:color w:val="231F20"/>
                <w:spacing w:val="-4"/>
                <w:w w:val="85"/>
                <w:sz w:val="14"/>
              </w:rPr>
              <w:t>Togo</w:t>
            </w:r>
          </w:p>
        </w:tc>
        <w:tc>
          <w:tcPr>
            <w:tcW w:w="1465" w:type="dxa"/>
            <w:tcBorders>
              <w:bottom w:val="single" w:sz="4" w:space="0" w:color="008FDD"/>
            </w:tcBorders>
            <w:shd w:val="clear" w:color="auto" w:fill="D4E3F5"/>
          </w:tcPr>
          <w:p>
            <w:pPr>
              <w:pStyle w:val="TableParagraph"/>
              <w:ind w:left="1" w:right="67"/>
              <w:rPr>
                <w:sz w:val="14"/>
              </w:rPr>
            </w:pPr>
            <w:r>
              <w:rPr>
                <w:color w:val="231F20"/>
                <w:spacing w:val="-5"/>
                <w:w w:val="85"/>
                <w:sz w:val="14"/>
              </w:rPr>
              <w:t>Yes</w:t>
            </w:r>
          </w:p>
        </w:tc>
        <w:tc>
          <w:tcPr>
            <w:tcW w:w="1536" w:type="dxa"/>
            <w:tcBorders>
              <w:bottom w:val="single" w:sz="4" w:space="0" w:color="008FDD"/>
            </w:tcBorders>
            <w:shd w:val="clear" w:color="auto" w:fill="D4E3F5"/>
          </w:tcPr>
          <w:p>
            <w:pPr>
              <w:pStyle w:val="TableParagraph"/>
              <w:ind w:left="5" w:right="3"/>
              <w:rPr>
                <w:sz w:val="14"/>
              </w:rPr>
            </w:pPr>
            <w:r>
              <w:rPr>
                <w:color w:val="231F20"/>
                <w:spacing w:val="-5"/>
                <w:w w:val="85"/>
                <w:sz w:val="14"/>
              </w:rPr>
              <w:t>Yes</w:t>
            </w:r>
          </w:p>
        </w:tc>
        <w:tc>
          <w:tcPr>
            <w:tcW w:w="1535" w:type="dxa"/>
            <w:tcBorders>
              <w:bottom w:val="single" w:sz="4" w:space="0" w:color="008FDD"/>
            </w:tcBorders>
            <w:shd w:val="clear" w:color="auto" w:fill="D4E3F5"/>
          </w:tcPr>
          <w:p>
            <w:pPr>
              <w:pStyle w:val="TableParagraph"/>
              <w:ind w:left="10" w:right="7"/>
              <w:rPr>
                <w:sz w:val="14"/>
              </w:rPr>
            </w:pPr>
            <w:r>
              <w:rPr>
                <w:color w:val="231F20"/>
                <w:spacing w:val="-5"/>
                <w:w w:val="85"/>
                <w:sz w:val="14"/>
              </w:rPr>
              <w:t>Yes</w:t>
            </w:r>
          </w:p>
        </w:tc>
        <w:tc>
          <w:tcPr>
            <w:tcW w:w="1535" w:type="dxa"/>
            <w:tcBorders>
              <w:bottom w:val="single" w:sz="4" w:space="0" w:color="008FDD"/>
            </w:tcBorders>
            <w:shd w:val="clear" w:color="auto" w:fill="D4E3F5"/>
          </w:tcPr>
          <w:p>
            <w:pPr>
              <w:pStyle w:val="TableParagraph"/>
              <w:ind w:left="10" w:right="5"/>
              <w:rPr>
                <w:sz w:val="14"/>
              </w:rPr>
            </w:pPr>
            <w:r>
              <w:rPr>
                <w:color w:val="231F20"/>
                <w:spacing w:val="-5"/>
                <w:w w:val="85"/>
                <w:sz w:val="14"/>
              </w:rPr>
              <w:t>Yes</w:t>
            </w:r>
          </w:p>
        </w:tc>
      </w:tr>
    </w:tbl>
    <w:p>
      <w:pPr>
        <w:pStyle w:val="BodyText"/>
        <w:spacing w:before="65"/>
        <w:rPr>
          <w:rFonts w:ascii="Arial"/>
          <w:sz w:val="12"/>
        </w:rPr>
      </w:pPr>
    </w:p>
    <w:p>
      <w:pPr>
        <w:spacing w:before="0"/>
        <w:ind w:left="3360" w:right="0" w:firstLine="0"/>
        <w:jc w:val="left"/>
        <w:rPr>
          <w:rFonts w:ascii="Arial"/>
          <w:sz w:val="12"/>
        </w:rPr>
      </w:pPr>
      <w:r>
        <w:rPr>
          <w:rFonts w:ascii="Arial"/>
          <w:i/>
          <w:color w:val="231F20"/>
          <w:w w:val="75"/>
          <w:sz w:val="12"/>
        </w:rPr>
        <w:t>Source:</w:t>
      </w:r>
      <w:r>
        <w:rPr>
          <w:rFonts w:ascii="Arial"/>
          <w:i/>
          <w:color w:val="231F20"/>
          <w:spacing w:val="7"/>
          <w:sz w:val="12"/>
        </w:rPr>
        <w:t> </w:t>
      </w:r>
      <w:r>
        <w:rPr>
          <w:rFonts w:ascii="Arial"/>
          <w:color w:val="231F20"/>
          <w:w w:val="75"/>
          <w:sz w:val="12"/>
        </w:rPr>
        <w:t>World</w:t>
      </w:r>
      <w:r>
        <w:rPr>
          <w:rFonts w:ascii="Arial"/>
          <w:color w:val="231F20"/>
          <w:spacing w:val="8"/>
          <w:sz w:val="12"/>
        </w:rPr>
        <w:t> </w:t>
      </w:r>
      <w:r>
        <w:rPr>
          <w:rFonts w:ascii="Arial"/>
          <w:color w:val="231F20"/>
          <w:spacing w:val="-2"/>
          <w:w w:val="75"/>
          <w:sz w:val="12"/>
        </w:rPr>
        <w:t>Bank.</w:t>
      </w:r>
    </w:p>
    <w:p>
      <w:pPr>
        <w:spacing w:line="278" w:lineRule="auto" w:before="22"/>
        <w:ind w:left="3360" w:right="1003" w:firstLine="0"/>
        <w:jc w:val="left"/>
        <w:rPr>
          <w:rFonts w:ascii="Arial"/>
          <w:sz w:val="12"/>
        </w:rPr>
      </w:pPr>
      <w:r>
        <w:rPr>
          <w:rFonts w:ascii="Arial"/>
          <w:i/>
          <w:color w:val="231F20"/>
          <w:w w:val="80"/>
          <w:sz w:val="12"/>
        </w:rPr>
        <w:t>Note:</w:t>
      </w:r>
      <w:r>
        <w:rPr>
          <w:rFonts w:ascii="Arial"/>
          <w:i/>
          <w:color w:val="231F20"/>
          <w:sz w:val="12"/>
        </w:rPr>
        <w:t> </w:t>
      </w:r>
      <w:r>
        <w:rPr>
          <w:rFonts w:ascii="Arial"/>
          <w:color w:val="231F20"/>
          <w:w w:val="80"/>
          <w:sz w:val="12"/>
        </w:rPr>
        <w:t>Low-income</w:t>
      </w:r>
      <w:r>
        <w:rPr>
          <w:rFonts w:ascii="Arial"/>
          <w:color w:val="231F20"/>
          <w:sz w:val="12"/>
        </w:rPr>
        <w:t> </w:t>
      </w:r>
      <w:r>
        <w:rPr>
          <w:rFonts w:ascii="Arial"/>
          <w:color w:val="231F20"/>
          <w:w w:val="80"/>
          <w:sz w:val="12"/>
        </w:rPr>
        <w:t>status</w:t>
      </w:r>
      <w:r>
        <w:rPr>
          <w:rFonts w:ascii="Arial"/>
          <w:color w:val="231F20"/>
          <w:sz w:val="12"/>
        </w:rPr>
        <w:t> </w:t>
      </w:r>
      <w:r>
        <w:rPr>
          <w:rFonts w:ascii="Arial"/>
          <w:color w:val="231F20"/>
          <w:w w:val="80"/>
          <w:sz w:val="12"/>
        </w:rPr>
        <w:t>is</w:t>
      </w:r>
      <w:r>
        <w:rPr>
          <w:rFonts w:ascii="Arial"/>
          <w:color w:val="231F20"/>
          <w:sz w:val="12"/>
        </w:rPr>
        <w:t> </w:t>
      </w:r>
      <w:r>
        <w:rPr>
          <w:rFonts w:ascii="Arial"/>
          <w:color w:val="231F20"/>
          <w:w w:val="80"/>
          <w:sz w:val="12"/>
        </w:rPr>
        <w:t>based</w:t>
      </w:r>
      <w:r>
        <w:rPr>
          <w:rFonts w:ascii="Arial"/>
          <w:color w:val="231F20"/>
          <w:sz w:val="12"/>
        </w:rPr>
        <w:t> </w:t>
      </w:r>
      <w:r>
        <w:rPr>
          <w:rFonts w:ascii="Arial"/>
          <w:color w:val="231F20"/>
          <w:w w:val="80"/>
          <w:sz w:val="12"/>
        </w:rPr>
        <w:t>on</w:t>
      </w:r>
      <w:r>
        <w:rPr>
          <w:rFonts w:ascii="Arial"/>
          <w:color w:val="231F20"/>
          <w:sz w:val="12"/>
        </w:rPr>
        <w:t> </w:t>
      </w:r>
      <w:r>
        <w:rPr>
          <w:rFonts w:ascii="Arial"/>
          <w:color w:val="231F20"/>
          <w:w w:val="80"/>
          <w:sz w:val="12"/>
        </w:rPr>
        <w:t>country</w:t>
      </w:r>
      <w:r>
        <w:rPr>
          <w:rFonts w:ascii="Arial"/>
          <w:color w:val="231F20"/>
          <w:sz w:val="12"/>
        </w:rPr>
        <w:t> </w:t>
      </w:r>
      <w:r>
        <w:rPr>
          <w:rFonts w:ascii="Arial"/>
          <w:color w:val="231F20"/>
          <w:w w:val="80"/>
          <w:sz w:val="12"/>
        </w:rPr>
        <w:t>status</w:t>
      </w:r>
      <w:r>
        <w:rPr>
          <w:rFonts w:ascii="Arial"/>
          <w:color w:val="231F20"/>
          <w:sz w:val="12"/>
        </w:rPr>
        <w:t> </w:t>
      </w:r>
      <w:r>
        <w:rPr>
          <w:rFonts w:ascii="Arial"/>
          <w:color w:val="231F20"/>
          <w:w w:val="80"/>
          <w:sz w:val="12"/>
        </w:rPr>
        <w:t>in</w:t>
      </w:r>
      <w:r>
        <w:rPr>
          <w:rFonts w:ascii="Arial"/>
          <w:color w:val="231F20"/>
          <w:sz w:val="12"/>
        </w:rPr>
        <w:t> </w:t>
      </w:r>
      <w:r>
        <w:rPr>
          <w:rFonts w:ascii="Arial"/>
          <w:color w:val="231F20"/>
          <w:w w:val="80"/>
          <w:sz w:val="12"/>
        </w:rPr>
        <w:t>fiscal</w:t>
      </w:r>
      <w:r>
        <w:rPr>
          <w:rFonts w:ascii="Arial"/>
          <w:color w:val="231F20"/>
          <w:sz w:val="12"/>
        </w:rPr>
        <w:t> </w:t>
      </w:r>
      <w:r>
        <w:rPr>
          <w:rFonts w:ascii="Arial"/>
          <w:color w:val="231F20"/>
          <w:w w:val="80"/>
          <w:sz w:val="12"/>
        </w:rPr>
        <w:t>year</w:t>
      </w:r>
      <w:r>
        <w:rPr>
          <w:rFonts w:ascii="Arial"/>
          <w:color w:val="231F20"/>
          <w:sz w:val="12"/>
        </w:rPr>
        <w:t> </w:t>
      </w:r>
      <w:r>
        <w:rPr>
          <w:rFonts w:ascii="Arial"/>
          <w:color w:val="231F20"/>
          <w:w w:val="80"/>
          <w:sz w:val="12"/>
        </w:rPr>
        <w:t>2022/23.</w:t>
      </w:r>
      <w:r>
        <w:rPr>
          <w:rFonts w:ascii="Arial"/>
          <w:color w:val="231F20"/>
          <w:sz w:val="12"/>
        </w:rPr>
        <w:t> </w:t>
      </w:r>
      <w:r>
        <w:rPr>
          <w:rFonts w:ascii="Arial"/>
          <w:color w:val="231F20"/>
          <w:w w:val="80"/>
          <w:sz w:val="12"/>
        </w:rPr>
        <w:t>Countries</w:t>
      </w:r>
      <w:r>
        <w:rPr>
          <w:rFonts w:ascii="Arial"/>
          <w:color w:val="231F20"/>
          <w:sz w:val="12"/>
        </w:rPr>
        <w:t> </w:t>
      </w:r>
      <w:r>
        <w:rPr>
          <w:rFonts w:ascii="Arial"/>
          <w:color w:val="231F20"/>
          <w:w w:val="80"/>
          <w:sz w:val="12"/>
        </w:rPr>
        <w:t>are</w:t>
      </w:r>
      <w:r>
        <w:rPr>
          <w:rFonts w:ascii="Arial"/>
          <w:color w:val="231F20"/>
          <w:sz w:val="12"/>
        </w:rPr>
        <w:t> </w:t>
      </w:r>
      <w:r>
        <w:rPr>
          <w:rFonts w:ascii="Arial"/>
          <w:color w:val="231F20"/>
          <w:w w:val="80"/>
          <w:sz w:val="12"/>
        </w:rPr>
        <w:t>listed</w:t>
      </w:r>
      <w:r>
        <w:rPr>
          <w:rFonts w:ascii="Arial"/>
          <w:color w:val="231F20"/>
          <w:sz w:val="12"/>
        </w:rPr>
        <w:t> </w:t>
      </w:r>
      <w:r>
        <w:rPr>
          <w:rFonts w:ascii="Arial"/>
          <w:color w:val="231F20"/>
          <w:w w:val="80"/>
          <w:sz w:val="12"/>
        </w:rPr>
        <w:t>in</w:t>
      </w:r>
      <w:r>
        <w:rPr>
          <w:rFonts w:ascii="Arial"/>
          <w:color w:val="231F20"/>
          <w:sz w:val="12"/>
        </w:rPr>
        <w:t> </w:t>
      </w:r>
      <w:r>
        <w:rPr>
          <w:rFonts w:ascii="Arial"/>
          <w:color w:val="231F20"/>
          <w:w w:val="80"/>
          <w:sz w:val="12"/>
        </w:rPr>
        <w:t>alphabetical</w:t>
      </w:r>
      <w:r>
        <w:rPr>
          <w:rFonts w:ascii="Arial"/>
          <w:color w:val="231F20"/>
          <w:sz w:val="12"/>
        </w:rPr>
        <w:t> </w:t>
      </w:r>
      <w:r>
        <w:rPr>
          <w:rFonts w:ascii="Arial"/>
          <w:color w:val="231F20"/>
          <w:w w:val="80"/>
          <w:sz w:val="12"/>
        </w:rPr>
        <w:t>order.</w:t>
      </w:r>
      <w:r>
        <w:rPr>
          <w:rFonts w:ascii="Arial"/>
          <w:color w:val="231F20"/>
          <w:sz w:val="12"/>
        </w:rPr>
        <w:t> </w:t>
      </w:r>
      <w:r>
        <w:rPr>
          <w:rFonts w:ascii="Arial"/>
          <w:color w:val="231F20"/>
          <w:w w:val="80"/>
          <w:sz w:val="12"/>
        </w:rPr>
        <w:t>na</w:t>
      </w:r>
      <w:r>
        <w:rPr>
          <w:rFonts w:ascii="Arial"/>
          <w:color w:val="231F20"/>
          <w:sz w:val="12"/>
        </w:rPr>
        <w:t> </w:t>
      </w:r>
      <w:r>
        <w:rPr>
          <w:rFonts w:ascii="Arial"/>
          <w:color w:val="231F20"/>
          <w:w w:val="80"/>
          <w:sz w:val="12"/>
        </w:rPr>
        <w:t>is</w:t>
      </w:r>
      <w:r>
        <w:rPr>
          <w:rFonts w:ascii="Arial"/>
          <w:color w:val="231F20"/>
          <w:sz w:val="12"/>
        </w:rPr>
        <w:t> </w:t>
      </w:r>
      <w:r>
        <w:rPr>
          <w:rFonts w:ascii="Arial"/>
          <w:color w:val="231F20"/>
          <w:w w:val="80"/>
          <w:sz w:val="12"/>
        </w:rPr>
        <w:t>not</w:t>
      </w:r>
      <w:r>
        <w:rPr>
          <w:rFonts w:ascii="Arial"/>
          <w:color w:val="231F20"/>
          <w:sz w:val="12"/>
        </w:rPr>
        <w:t> </w:t>
      </w:r>
      <w:r>
        <w:rPr>
          <w:rFonts w:ascii="Arial"/>
          <w:color w:val="231F20"/>
          <w:w w:val="80"/>
          <w:sz w:val="12"/>
        </w:rPr>
        <w:t>applicable</w:t>
      </w:r>
      <w:r>
        <w:rPr>
          <w:rFonts w:ascii="Arial"/>
          <w:color w:val="231F20"/>
          <w:sz w:val="12"/>
        </w:rPr>
        <w:t> </w:t>
      </w:r>
      <w:r>
        <w:rPr>
          <w:rFonts w:ascii="Arial"/>
          <w:color w:val="231F20"/>
          <w:w w:val="80"/>
          <w:sz w:val="12"/>
        </w:rPr>
        <w:t>because</w:t>
      </w:r>
      <w:r>
        <w:rPr>
          <w:rFonts w:ascii="Arial"/>
          <w:color w:val="231F20"/>
          <w:sz w:val="12"/>
        </w:rPr>
        <w:t> </w:t>
      </w:r>
      <w:r>
        <w:rPr>
          <w:rFonts w:ascii="Arial"/>
          <w:color w:val="231F20"/>
          <w:w w:val="80"/>
          <w:sz w:val="12"/>
        </w:rPr>
        <w:t>an</w:t>
      </w:r>
      <w:r>
        <w:rPr>
          <w:rFonts w:ascii="Arial"/>
          <w:color w:val="231F20"/>
          <w:sz w:val="12"/>
        </w:rPr>
        <w:t> </w:t>
      </w:r>
      <w:r>
        <w:rPr>
          <w:rFonts w:ascii="Arial"/>
          <w:color w:val="231F20"/>
          <w:w w:val="80"/>
          <w:sz w:val="12"/>
        </w:rPr>
        <w:t>LPI</w:t>
      </w:r>
      <w:r>
        <w:rPr>
          <w:rFonts w:ascii="Arial"/>
          <w:color w:val="231F20"/>
          <w:sz w:val="12"/>
        </w:rPr>
        <w:t> </w:t>
      </w:r>
      <w:r>
        <w:rPr>
          <w:rFonts w:ascii="Arial"/>
          <w:color w:val="231F20"/>
          <w:w w:val="80"/>
          <w:sz w:val="12"/>
        </w:rPr>
        <w:t>score</w:t>
      </w:r>
      <w:r>
        <w:rPr>
          <w:rFonts w:ascii="Arial"/>
          <w:color w:val="231F20"/>
          <w:sz w:val="12"/>
        </w:rPr>
        <w:t> </w:t>
      </w:r>
      <w:r>
        <w:rPr>
          <w:rFonts w:ascii="Arial"/>
          <w:color w:val="231F20"/>
          <w:w w:val="80"/>
          <w:sz w:val="12"/>
        </w:rPr>
        <w:t>was</w:t>
      </w:r>
      <w:r>
        <w:rPr>
          <w:rFonts w:ascii="Arial"/>
          <w:color w:val="231F20"/>
          <w:sz w:val="12"/>
        </w:rPr>
        <w:t> </w:t>
      </w:r>
      <w:r>
        <w:rPr>
          <w:rFonts w:ascii="Arial"/>
          <w:color w:val="231F20"/>
          <w:w w:val="80"/>
          <w:sz w:val="12"/>
        </w:rPr>
        <w:t>not</w:t>
      </w:r>
      <w:r>
        <w:rPr>
          <w:rFonts w:ascii="Arial"/>
          <w:color w:val="231F20"/>
          <w:spacing w:val="40"/>
          <w:sz w:val="12"/>
        </w:rPr>
        <w:t> </w:t>
      </w:r>
      <w:r>
        <w:rPr>
          <w:rFonts w:ascii="Arial"/>
          <w:color w:val="231F20"/>
          <w:w w:val="85"/>
          <w:sz w:val="12"/>
        </w:rPr>
        <w:t>calculated for the economy in the year indicated.</w:t>
      </w:r>
    </w:p>
    <w:p>
      <w:pPr>
        <w:spacing w:after="0" w:line="278" w:lineRule="auto"/>
        <w:jc w:val="left"/>
        <w:rPr>
          <w:rFonts w:ascii="Arial"/>
          <w:sz w:val="12"/>
        </w:rPr>
        <w:sectPr>
          <w:footerReference w:type="even" r:id="rId127"/>
          <w:footerReference w:type="default" r:id="rId128"/>
          <w:pgSz w:w="12240" w:h="15840"/>
          <w:pgMar w:header="0" w:footer="548" w:top="560" w:bottom="740" w:left="0" w:right="540"/>
          <w:pgNumType w:start="54"/>
        </w:sectPr>
      </w:pPr>
    </w:p>
    <w:p>
      <w:pPr>
        <w:pStyle w:val="BodyText"/>
        <w:spacing w:before="9"/>
        <w:rPr>
          <w:rFonts w:ascii="Arial"/>
          <w:sz w:val="40"/>
        </w:rPr>
      </w:pPr>
    </w:p>
    <w:p>
      <w:pPr>
        <w:pStyle w:val="Heading1"/>
        <w:spacing w:line="230" w:lineRule="auto"/>
        <w:ind w:right="1363"/>
      </w:pPr>
      <w:r>
        <w:rPr/>
        <mc:AlternateContent>
          <mc:Choice Requires="wps">
            <w:drawing>
              <wp:anchor distT="0" distB="0" distL="0" distR="0" allowOverlap="1" layoutInCell="1" locked="0" behindDoc="0" simplePos="0" relativeHeight="15774720">
                <wp:simplePos x="0" y="0"/>
                <wp:positionH relativeFrom="page">
                  <wp:posOffset>1542031</wp:posOffset>
                </wp:positionH>
                <wp:positionV relativeFrom="paragraph">
                  <wp:posOffset>-106476</wp:posOffset>
                </wp:positionV>
                <wp:extent cx="159385" cy="628015"/>
                <wp:effectExtent l="0" t="0" r="0" b="0"/>
                <wp:wrapNone/>
                <wp:docPr id="1637" name="Textbox 1637"/>
                <wp:cNvGraphicFramePr>
                  <a:graphicFrameLocks/>
                </wp:cNvGraphicFramePr>
                <a:graphic>
                  <a:graphicData uri="http://schemas.microsoft.com/office/word/2010/wordprocessingShape">
                    <wps:wsp>
                      <wps:cNvPr id="1637" name="Textbox 1637"/>
                      <wps:cNvSpPr txBox="1"/>
                      <wps:spPr>
                        <a:xfrm>
                          <a:off x="0" y="0"/>
                          <a:ext cx="159385" cy="628015"/>
                        </a:xfrm>
                        <a:prstGeom prst="rect">
                          <a:avLst/>
                        </a:prstGeom>
                      </wps:spPr>
                      <wps:txbx>
                        <w:txbxContent>
                          <w:p>
                            <w:pPr>
                              <w:spacing w:before="28"/>
                              <w:ind w:left="20" w:right="0" w:firstLine="0"/>
                              <w:jc w:val="left"/>
                              <w:rPr>
                                <w:rFonts w:ascii="Arial"/>
                                <w:b/>
                                <w:sz w:val="17"/>
                              </w:rPr>
                            </w:pPr>
                            <w:r>
                              <w:rPr>
                                <w:rFonts w:ascii="Arial"/>
                                <w:b/>
                                <w:color w:val="231F20"/>
                                <w:spacing w:val="-2"/>
                                <w:w w:val="110"/>
                                <w:sz w:val="17"/>
                              </w:rPr>
                              <w:t>APPENDIX</w:t>
                            </w:r>
                          </w:p>
                        </w:txbxContent>
                      </wps:txbx>
                      <wps:bodyPr wrap="square" lIns="0" tIns="0" rIns="0" bIns="0" rtlCol="0" vert="vert270">
                        <a:noAutofit/>
                      </wps:bodyPr>
                    </wps:wsp>
                  </a:graphicData>
                </a:graphic>
              </wp:anchor>
            </w:drawing>
          </mc:Choice>
          <mc:Fallback>
            <w:pict>
              <v:shape style="position:absolute;margin-left:121.4198pt;margin-top:-8.383999pt;width:12.55pt;height:49.45pt;mso-position-horizontal-relative:page;mso-position-vertical-relative:paragraph;z-index:15774720" type="#_x0000_t202" id="docshape1390" filled="false" stroked="false">
                <v:textbox inset="0,0,0,0" style="layout-flow:vertical;mso-layout-flow-alt:bottom-to-top">
                  <w:txbxContent>
                    <w:p>
                      <w:pPr>
                        <w:spacing w:before="28"/>
                        <w:ind w:left="20" w:right="0" w:firstLine="0"/>
                        <w:jc w:val="left"/>
                        <w:rPr>
                          <w:rFonts w:ascii="Arial"/>
                          <w:b/>
                          <w:sz w:val="17"/>
                        </w:rPr>
                      </w:pPr>
                      <w:r>
                        <w:rPr>
                          <w:rFonts w:ascii="Arial"/>
                          <w:b/>
                          <w:color w:val="231F20"/>
                          <w:spacing w:val="-2"/>
                          <w:w w:val="110"/>
                          <w:sz w:val="17"/>
                        </w:rPr>
                        <w:t>APPENDIX</w:t>
                      </w:r>
                    </w:p>
                  </w:txbxContent>
                </v:textbox>
                <w10:wrap type="none"/>
              </v:shape>
            </w:pict>
          </mc:Fallback>
        </mc:AlternateContent>
      </w:r>
      <w:r>
        <w:rPr/>
        <mc:AlternateContent>
          <mc:Choice Requires="wps">
            <w:drawing>
              <wp:anchor distT="0" distB="0" distL="0" distR="0" allowOverlap="1" layoutInCell="1" locked="0" behindDoc="0" simplePos="0" relativeHeight="15775232">
                <wp:simplePos x="0" y="0"/>
                <wp:positionH relativeFrom="page">
                  <wp:posOffset>1737370</wp:posOffset>
                </wp:positionH>
                <wp:positionV relativeFrom="paragraph">
                  <wp:posOffset>-242672</wp:posOffset>
                </wp:positionV>
                <wp:extent cx="548640" cy="942340"/>
                <wp:effectExtent l="0" t="0" r="0" b="0"/>
                <wp:wrapNone/>
                <wp:docPr id="1638" name="Textbox 1638"/>
                <wp:cNvGraphicFramePr>
                  <a:graphicFrameLocks/>
                </wp:cNvGraphicFramePr>
                <a:graphic>
                  <a:graphicData uri="http://schemas.microsoft.com/office/word/2010/wordprocessingShape">
                    <wps:wsp>
                      <wps:cNvPr id="1638" name="Textbox 1638"/>
                      <wps:cNvSpPr txBox="1"/>
                      <wps:spPr>
                        <a:xfrm>
                          <a:off x="0" y="0"/>
                          <a:ext cx="548640" cy="942340"/>
                        </a:xfrm>
                        <a:prstGeom prst="rect">
                          <a:avLst/>
                        </a:prstGeom>
                      </wps:spPr>
                      <wps:txbx>
                        <w:txbxContent>
                          <w:p>
                            <w:pPr>
                              <w:spacing w:before="57"/>
                              <w:ind w:left="0" w:right="0" w:firstLine="0"/>
                              <w:jc w:val="left"/>
                              <w:rPr>
                                <w:rFonts w:ascii="Arial"/>
                                <w:b/>
                                <w:sz w:val="120"/>
                              </w:rPr>
                            </w:pPr>
                            <w:r>
                              <w:rPr>
                                <w:rFonts w:ascii="Arial"/>
                                <w:b/>
                                <w:color w:val="008FDD"/>
                                <w:spacing w:val="-10"/>
                                <w:w w:val="125"/>
                                <w:sz w:val="120"/>
                              </w:rPr>
                              <w:t>4</w:t>
                            </w:r>
                          </w:p>
                        </w:txbxContent>
                      </wps:txbx>
                      <wps:bodyPr wrap="square" lIns="0" tIns="0" rIns="0" bIns="0" rtlCol="0">
                        <a:noAutofit/>
                      </wps:bodyPr>
                    </wps:wsp>
                  </a:graphicData>
                </a:graphic>
              </wp:anchor>
            </w:drawing>
          </mc:Choice>
          <mc:Fallback>
            <w:pict>
              <v:shape style="position:absolute;margin-left:136.800797pt;margin-top:-19.108047pt;width:43.2pt;height:74.2pt;mso-position-horizontal-relative:page;mso-position-vertical-relative:paragraph;z-index:15775232" type="#_x0000_t202" id="docshape1391" filled="false" stroked="false">
                <v:textbox inset="0,0,0,0">
                  <w:txbxContent>
                    <w:p>
                      <w:pPr>
                        <w:spacing w:before="57"/>
                        <w:ind w:left="0" w:right="0" w:firstLine="0"/>
                        <w:jc w:val="left"/>
                        <w:rPr>
                          <w:rFonts w:ascii="Arial"/>
                          <w:b/>
                          <w:sz w:val="120"/>
                        </w:rPr>
                      </w:pPr>
                      <w:r>
                        <w:rPr>
                          <w:rFonts w:ascii="Arial"/>
                          <w:b/>
                          <w:color w:val="008FDD"/>
                          <w:spacing w:val="-10"/>
                          <w:w w:val="125"/>
                          <w:sz w:val="120"/>
                        </w:rPr>
                        <w:t>4</w:t>
                      </w:r>
                    </w:p>
                  </w:txbxContent>
                </v:textbox>
                <w10:wrap type="none"/>
              </v:shape>
            </w:pict>
          </mc:Fallback>
        </mc:AlternateContent>
      </w:r>
      <w:bookmarkStart w:name="_bookmark48" w:id="52"/>
      <w:bookmarkEnd w:id="52"/>
      <w:r>
        <w:rPr>
          <w:b w:val="0"/>
        </w:rPr>
      </w:r>
      <w:r>
        <w:rPr>
          <w:color w:val="231F20"/>
          <w:w w:val="110"/>
        </w:rPr>
        <w:t>Description</w:t>
      </w:r>
      <w:r>
        <w:rPr>
          <w:color w:val="231F20"/>
          <w:spacing w:val="-23"/>
          <w:w w:val="110"/>
        </w:rPr>
        <w:t> </w:t>
      </w:r>
      <w:r>
        <w:rPr>
          <w:color w:val="231F20"/>
          <w:w w:val="110"/>
        </w:rPr>
        <w:t>of</w:t>
      </w:r>
      <w:r>
        <w:rPr>
          <w:color w:val="231F20"/>
          <w:spacing w:val="-23"/>
          <w:w w:val="110"/>
        </w:rPr>
        <w:t> </w:t>
      </w:r>
      <w:r>
        <w:rPr>
          <w:color w:val="231F20"/>
          <w:w w:val="110"/>
        </w:rPr>
        <w:t>the</w:t>
      </w:r>
      <w:r>
        <w:rPr>
          <w:color w:val="231F20"/>
          <w:spacing w:val="-23"/>
          <w:w w:val="110"/>
        </w:rPr>
        <w:t> </w:t>
      </w:r>
      <w:r>
        <w:rPr>
          <w:color w:val="231F20"/>
          <w:w w:val="110"/>
        </w:rPr>
        <w:t>new</w:t>
      </w:r>
      <w:r>
        <w:rPr>
          <w:color w:val="231F20"/>
          <w:spacing w:val="-23"/>
          <w:w w:val="110"/>
        </w:rPr>
        <w:t> </w:t>
      </w:r>
      <w:r>
        <w:rPr>
          <w:color w:val="231F20"/>
          <w:w w:val="110"/>
        </w:rPr>
        <w:t>data sources for the LPI 2023</w:t>
      </w:r>
    </w:p>
    <w:p>
      <w:pPr>
        <w:pStyle w:val="BodyText"/>
        <w:spacing w:before="1"/>
        <w:rPr>
          <w:rFonts w:ascii="Arial"/>
          <w:b/>
          <w:sz w:val="14"/>
        </w:rPr>
      </w:pPr>
      <w:r>
        <w:rPr/>
        <mc:AlternateContent>
          <mc:Choice Requires="wps">
            <w:drawing>
              <wp:anchor distT="0" distB="0" distL="0" distR="0" allowOverlap="1" layoutInCell="1" locked="0" behindDoc="1" simplePos="0" relativeHeight="487632384">
                <wp:simplePos x="0" y="0"/>
                <wp:positionH relativeFrom="page">
                  <wp:posOffset>762000</wp:posOffset>
                </wp:positionH>
                <wp:positionV relativeFrom="paragraph">
                  <wp:posOffset>118690</wp:posOffset>
                </wp:positionV>
                <wp:extent cx="1524000" cy="171450"/>
                <wp:effectExtent l="0" t="0" r="0" b="0"/>
                <wp:wrapTopAndBottom/>
                <wp:docPr id="1639" name="Graphic 1639"/>
                <wp:cNvGraphicFramePr>
                  <a:graphicFrameLocks/>
                </wp:cNvGraphicFramePr>
                <a:graphic>
                  <a:graphicData uri="http://schemas.microsoft.com/office/word/2010/wordprocessingShape">
                    <wps:wsp>
                      <wps:cNvPr id="1639" name="Graphic 1639"/>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9.345703pt;width:120pt;height:13.5pt;mso-position-horizontal-relative:page;mso-position-vertical-relative:paragraph;z-index:-15684096;mso-wrap-distance-left:0;mso-wrap-distance-right:0" id="docshape1392"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632896">
                <wp:simplePos x="0" y="0"/>
                <wp:positionH relativeFrom="page">
                  <wp:posOffset>2438400</wp:posOffset>
                </wp:positionH>
                <wp:positionV relativeFrom="paragraph">
                  <wp:posOffset>118690</wp:posOffset>
                </wp:positionV>
                <wp:extent cx="4876800" cy="171450"/>
                <wp:effectExtent l="0" t="0" r="0" b="0"/>
                <wp:wrapTopAndBottom/>
                <wp:docPr id="1640" name="Graphic 1640"/>
                <wp:cNvGraphicFramePr>
                  <a:graphicFrameLocks/>
                </wp:cNvGraphicFramePr>
                <a:graphic>
                  <a:graphicData uri="http://schemas.microsoft.com/office/word/2010/wordprocessingShape">
                    <wps:wsp>
                      <wps:cNvPr id="1640" name="Graphic 1640"/>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9.345703pt;width:384pt;height:13.5pt;mso-position-horizontal-relative:page;mso-position-vertical-relative:paragraph;z-index:-15683584;mso-wrap-distance-left:0;mso-wrap-distance-right:0" id="docshape1393" filled="true" fillcolor="#c9dcf3" stroked="false">
                <v:fill type="solid"/>
                <w10:wrap type="topAndBottom"/>
              </v:rect>
            </w:pict>
          </mc:Fallback>
        </mc:AlternateConten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17"/>
        <w:rPr>
          <w:rFonts w:ascii="Arial"/>
          <w:b/>
          <w:sz w:val="20"/>
        </w:rPr>
      </w:pPr>
    </w:p>
    <w:p>
      <w:pPr>
        <w:spacing w:after="0"/>
        <w:rPr>
          <w:rFonts w:ascii="Arial"/>
          <w:sz w:val="20"/>
        </w:rPr>
        <w:sectPr>
          <w:headerReference w:type="default" r:id="rId129"/>
          <w:pgSz w:w="12240" w:h="15840"/>
          <w:pgMar w:header="0" w:footer="0" w:top="320" w:bottom="740" w:left="0" w:right="540"/>
        </w:sectPr>
      </w:pPr>
    </w:p>
    <w:p>
      <w:pPr>
        <w:pStyle w:val="BodyText"/>
        <w:spacing w:line="268" w:lineRule="auto" w:before="97"/>
        <w:ind w:left="3840" w:right="4"/>
        <w:jc w:val="both"/>
      </w:pPr>
      <w:r>
        <w:rPr>
          <w:color w:val="231F20"/>
        </w:rPr>
        <w:t>This</w:t>
      </w:r>
      <w:r>
        <w:rPr>
          <w:color w:val="231F20"/>
          <w:spacing w:val="-14"/>
        </w:rPr>
        <w:t> </w:t>
      </w:r>
      <w:r>
        <w:rPr>
          <w:color w:val="231F20"/>
        </w:rPr>
        <w:t>appendix</w:t>
      </w:r>
      <w:r>
        <w:rPr>
          <w:color w:val="231F20"/>
          <w:spacing w:val="-13"/>
        </w:rPr>
        <w:t> </w:t>
      </w:r>
      <w:r>
        <w:rPr>
          <w:color w:val="231F20"/>
        </w:rPr>
        <w:t>introduces</w:t>
      </w:r>
      <w:r>
        <w:rPr>
          <w:color w:val="231F20"/>
          <w:spacing w:val="-13"/>
        </w:rPr>
        <w:t> </w:t>
      </w:r>
      <w:r>
        <w:rPr>
          <w:color w:val="231F20"/>
        </w:rPr>
        <w:t>the</w:t>
      </w:r>
      <w:r>
        <w:rPr>
          <w:color w:val="231F20"/>
          <w:spacing w:val="-13"/>
        </w:rPr>
        <w:t> </w:t>
      </w:r>
      <w:r>
        <w:rPr>
          <w:color w:val="231F20"/>
        </w:rPr>
        <w:t>data</w:t>
      </w:r>
      <w:r>
        <w:rPr>
          <w:color w:val="231F20"/>
          <w:spacing w:val="-13"/>
        </w:rPr>
        <w:t> </w:t>
      </w:r>
      <w:r>
        <w:rPr>
          <w:color w:val="231F20"/>
        </w:rPr>
        <w:t>sources</w:t>
      </w:r>
      <w:r>
        <w:rPr>
          <w:color w:val="231F20"/>
          <w:spacing w:val="-13"/>
        </w:rPr>
        <w:t> </w:t>
      </w:r>
      <w:r>
        <w:rPr>
          <w:color w:val="231F20"/>
        </w:rPr>
        <w:t>on </w:t>
      </w:r>
      <w:r>
        <w:rPr>
          <w:color w:val="231F20"/>
          <w:spacing w:val="-2"/>
        </w:rPr>
        <w:t>shipment</w:t>
      </w:r>
      <w:r>
        <w:rPr>
          <w:color w:val="231F20"/>
          <w:spacing w:val="-12"/>
        </w:rPr>
        <w:t> </w:t>
      </w:r>
      <w:r>
        <w:rPr>
          <w:color w:val="231F20"/>
          <w:spacing w:val="-2"/>
        </w:rPr>
        <w:t>tracking</w:t>
      </w:r>
      <w:r>
        <w:rPr>
          <w:color w:val="231F20"/>
          <w:spacing w:val="-11"/>
        </w:rPr>
        <w:t> </w:t>
      </w:r>
      <w:r>
        <w:rPr>
          <w:color w:val="231F20"/>
          <w:spacing w:val="-2"/>
        </w:rPr>
        <w:t>data.</w:t>
      </w:r>
      <w:r>
        <w:rPr>
          <w:color w:val="231F20"/>
          <w:spacing w:val="-11"/>
        </w:rPr>
        <w:t> </w:t>
      </w:r>
      <w:r>
        <w:rPr>
          <w:color w:val="231F20"/>
          <w:spacing w:val="-2"/>
        </w:rPr>
        <w:t>To</w:t>
      </w:r>
      <w:r>
        <w:rPr>
          <w:color w:val="231F20"/>
          <w:spacing w:val="-11"/>
        </w:rPr>
        <w:t> </w:t>
      </w:r>
      <w:r>
        <w:rPr>
          <w:color w:val="231F20"/>
          <w:spacing w:val="-2"/>
        </w:rPr>
        <w:t>construct</w:t>
      </w:r>
      <w:r>
        <w:rPr>
          <w:color w:val="231F20"/>
          <w:spacing w:val="-11"/>
        </w:rPr>
        <w:t> </w:t>
      </w:r>
      <w:r>
        <w:rPr>
          <w:color w:val="231F20"/>
          <w:spacing w:val="-2"/>
        </w:rPr>
        <w:t>new</w:t>
      </w:r>
      <w:r>
        <w:rPr>
          <w:color w:val="231F20"/>
          <w:spacing w:val="-11"/>
        </w:rPr>
        <w:t> </w:t>
      </w:r>
      <w:r>
        <w:rPr>
          <w:color w:val="231F20"/>
          <w:spacing w:val="-2"/>
        </w:rPr>
        <w:t>sets </w:t>
      </w:r>
      <w:r>
        <w:rPr>
          <w:color w:val="231F20"/>
        </w:rPr>
        <w:t>of indicators for the 2023 Logistics Perfor- mance</w:t>
      </w:r>
      <w:r>
        <w:rPr>
          <w:color w:val="231F20"/>
          <w:spacing w:val="-14"/>
        </w:rPr>
        <w:t> </w:t>
      </w:r>
      <w:r>
        <w:rPr>
          <w:color w:val="231F20"/>
        </w:rPr>
        <w:t>Index</w:t>
      </w:r>
      <w:r>
        <w:rPr>
          <w:color w:val="231F20"/>
          <w:spacing w:val="-13"/>
        </w:rPr>
        <w:t> </w:t>
      </w:r>
      <w:r>
        <w:rPr>
          <w:color w:val="231F20"/>
        </w:rPr>
        <w:t>(LPI),</w:t>
      </w:r>
      <w:r>
        <w:rPr>
          <w:color w:val="231F20"/>
          <w:spacing w:val="-13"/>
        </w:rPr>
        <w:t> </w:t>
      </w:r>
      <w:r>
        <w:rPr>
          <w:color w:val="231F20"/>
        </w:rPr>
        <w:t>the</w:t>
      </w:r>
      <w:r>
        <w:rPr>
          <w:color w:val="231F20"/>
          <w:spacing w:val="-13"/>
        </w:rPr>
        <w:t> </w:t>
      </w:r>
      <w:r>
        <w:rPr>
          <w:color w:val="231F20"/>
        </w:rPr>
        <w:t>World</w:t>
      </w:r>
      <w:r>
        <w:rPr>
          <w:color w:val="231F20"/>
          <w:spacing w:val="-13"/>
        </w:rPr>
        <w:t> </w:t>
      </w:r>
      <w:r>
        <w:rPr>
          <w:color w:val="231F20"/>
        </w:rPr>
        <w:t>Bank</w:t>
      </w:r>
      <w:r>
        <w:rPr>
          <w:color w:val="231F20"/>
          <w:spacing w:val="-13"/>
        </w:rPr>
        <w:t> </w:t>
      </w:r>
      <w:r>
        <w:rPr>
          <w:color w:val="231F20"/>
        </w:rPr>
        <w:t>collabo- </w:t>
      </w:r>
      <w:r>
        <w:rPr>
          <w:color w:val="231F20"/>
          <w:spacing w:val="-4"/>
        </w:rPr>
        <w:t>rated</w:t>
      </w:r>
      <w:r>
        <w:rPr>
          <w:color w:val="231F20"/>
          <w:spacing w:val="-9"/>
        </w:rPr>
        <w:t> </w:t>
      </w:r>
      <w:r>
        <w:rPr>
          <w:color w:val="231F20"/>
          <w:spacing w:val="-4"/>
        </w:rPr>
        <w:t>with</w:t>
      </w:r>
      <w:r>
        <w:rPr>
          <w:color w:val="231F20"/>
          <w:spacing w:val="-9"/>
        </w:rPr>
        <w:t> </w:t>
      </w:r>
      <w:r>
        <w:rPr>
          <w:color w:val="231F20"/>
          <w:spacing w:val="-4"/>
        </w:rPr>
        <w:t>several</w:t>
      </w:r>
      <w:r>
        <w:rPr>
          <w:color w:val="231F20"/>
          <w:spacing w:val="-9"/>
        </w:rPr>
        <w:t> </w:t>
      </w:r>
      <w:r>
        <w:rPr>
          <w:color w:val="231F20"/>
          <w:spacing w:val="-4"/>
        </w:rPr>
        <w:t>external</w:t>
      </w:r>
      <w:r>
        <w:rPr>
          <w:color w:val="231F20"/>
          <w:spacing w:val="-9"/>
        </w:rPr>
        <w:t> </w:t>
      </w:r>
      <w:r>
        <w:rPr>
          <w:color w:val="231F20"/>
          <w:spacing w:val="-4"/>
        </w:rPr>
        <w:t>data</w:t>
      </w:r>
      <w:r>
        <w:rPr>
          <w:color w:val="231F20"/>
          <w:spacing w:val="-9"/>
        </w:rPr>
        <w:t> </w:t>
      </w:r>
      <w:r>
        <w:rPr>
          <w:color w:val="231F20"/>
          <w:spacing w:val="-4"/>
        </w:rPr>
        <w:t>providers.</w:t>
      </w:r>
      <w:r>
        <w:rPr>
          <w:color w:val="231F20"/>
          <w:spacing w:val="-9"/>
        </w:rPr>
        <w:t> </w:t>
      </w:r>
      <w:r>
        <w:rPr>
          <w:color w:val="231F20"/>
          <w:spacing w:val="-4"/>
        </w:rPr>
        <w:t>The </w:t>
      </w:r>
      <w:r>
        <w:rPr>
          <w:color w:val="231F20"/>
        </w:rPr>
        <w:t>data comprise the following micro-logistics </w:t>
      </w:r>
      <w:r>
        <w:rPr>
          <w:color w:val="231F20"/>
          <w:spacing w:val="-2"/>
        </w:rPr>
        <w:t>high-frequency datasets: deployment of liner </w:t>
      </w:r>
      <w:r>
        <w:rPr>
          <w:color w:val="231F20"/>
        </w:rPr>
        <w:t>shipping</w:t>
      </w:r>
      <w:r>
        <w:rPr>
          <w:color w:val="231F20"/>
          <w:spacing w:val="-8"/>
        </w:rPr>
        <w:t> </w:t>
      </w:r>
      <w:r>
        <w:rPr>
          <w:color w:val="231F20"/>
        </w:rPr>
        <w:t>service</w:t>
      </w:r>
      <w:r>
        <w:rPr>
          <w:color w:val="231F20"/>
          <w:spacing w:val="-8"/>
        </w:rPr>
        <w:t> </w:t>
      </w:r>
      <w:r>
        <w:rPr>
          <w:color w:val="231F20"/>
        </w:rPr>
        <w:t>from</w:t>
      </w:r>
      <w:r>
        <w:rPr>
          <w:color w:val="231F20"/>
          <w:spacing w:val="-8"/>
        </w:rPr>
        <w:t> </w:t>
      </w:r>
      <w:r>
        <w:rPr>
          <w:color w:val="231F20"/>
        </w:rPr>
        <w:t>MDS</w:t>
      </w:r>
      <w:r>
        <w:rPr>
          <w:color w:val="231F20"/>
          <w:spacing w:val="-8"/>
        </w:rPr>
        <w:t> </w:t>
      </w:r>
      <w:r>
        <w:rPr>
          <w:color w:val="231F20"/>
        </w:rPr>
        <w:t>Transmodal,</w:t>
      </w:r>
      <w:r>
        <w:rPr>
          <w:color w:val="231F20"/>
          <w:spacing w:val="-8"/>
        </w:rPr>
        <w:t> </w:t>
      </w:r>
      <w:r>
        <w:rPr>
          <w:color w:val="231F20"/>
        </w:rPr>
        <w:t>air cargo</w:t>
      </w:r>
      <w:r>
        <w:rPr>
          <w:color w:val="231F20"/>
          <w:spacing w:val="-5"/>
        </w:rPr>
        <w:t> </w:t>
      </w:r>
      <w:r>
        <w:rPr>
          <w:color w:val="231F20"/>
        </w:rPr>
        <w:t>tracking</w:t>
      </w:r>
      <w:r>
        <w:rPr>
          <w:color w:val="231F20"/>
          <w:spacing w:val="-5"/>
        </w:rPr>
        <w:t> </w:t>
      </w:r>
      <w:r>
        <w:rPr>
          <w:color w:val="231F20"/>
        </w:rPr>
        <w:t>from</w:t>
      </w:r>
      <w:r>
        <w:rPr>
          <w:color w:val="231F20"/>
          <w:spacing w:val="-5"/>
        </w:rPr>
        <w:t> </w:t>
      </w:r>
      <w:r>
        <w:rPr>
          <w:color w:val="231F20"/>
        </w:rPr>
        <w:t>Cargo</w:t>
      </w:r>
      <w:r>
        <w:rPr>
          <w:color w:val="231F20"/>
          <w:spacing w:val="-5"/>
        </w:rPr>
        <w:t> </w:t>
      </w:r>
      <w:r>
        <w:rPr>
          <w:color w:val="231F20"/>
        </w:rPr>
        <w:t>iQ</w:t>
      </w:r>
      <w:r>
        <w:rPr>
          <w:color w:val="231F20"/>
          <w:spacing w:val="-5"/>
        </w:rPr>
        <w:t> </w:t>
      </w:r>
      <w:r>
        <w:rPr>
          <w:color w:val="231F20"/>
        </w:rPr>
        <w:t>(supported</w:t>
      </w:r>
      <w:r>
        <w:rPr>
          <w:color w:val="231F20"/>
          <w:spacing w:val="-5"/>
        </w:rPr>
        <w:t> </w:t>
      </w:r>
      <w:r>
        <w:rPr>
          <w:color w:val="231F20"/>
        </w:rPr>
        <w:t>by the</w:t>
      </w:r>
      <w:r>
        <w:rPr>
          <w:color w:val="231F20"/>
          <w:spacing w:val="-14"/>
        </w:rPr>
        <w:t> </w:t>
      </w:r>
      <w:r>
        <w:rPr>
          <w:color w:val="231F20"/>
        </w:rPr>
        <w:t>International</w:t>
      </w:r>
      <w:r>
        <w:rPr>
          <w:color w:val="231F20"/>
          <w:spacing w:val="-13"/>
        </w:rPr>
        <w:t> </w:t>
      </w:r>
      <w:r>
        <w:rPr>
          <w:color w:val="231F20"/>
        </w:rPr>
        <w:t>Air</w:t>
      </w:r>
      <w:r>
        <w:rPr>
          <w:color w:val="231F20"/>
          <w:spacing w:val="-13"/>
        </w:rPr>
        <w:t> </w:t>
      </w:r>
      <w:r>
        <w:rPr>
          <w:color w:val="231F20"/>
        </w:rPr>
        <w:t>Transport</w:t>
      </w:r>
      <w:r>
        <w:rPr>
          <w:color w:val="231F20"/>
          <w:spacing w:val="-13"/>
        </w:rPr>
        <w:t> </w:t>
      </w:r>
      <w:r>
        <w:rPr>
          <w:color w:val="231F20"/>
        </w:rPr>
        <w:t>Association), flow</w:t>
      </w:r>
      <w:r>
        <w:rPr>
          <w:color w:val="231F20"/>
          <w:spacing w:val="-12"/>
        </w:rPr>
        <w:t> </w:t>
      </w:r>
      <w:r>
        <w:rPr>
          <w:color w:val="231F20"/>
        </w:rPr>
        <w:t>of</w:t>
      </w:r>
      <w:r>
        <w:rPr>
          <w:color w:val="231F20"/>
          <w:spacing w:val="-12"/>
        </w:rPr>
        <w:t> </w:t>
      </w:r>
      <w:r>
        <w:rPr>
          <w:color w:val="231F20"/>
        </w:rPr>
        <w:t>international</w:t>
      </w:r>
      <w:r>
        <w:rPr>
          <w:color w:val="231F20"/>
          <w:spacing w:val="-12"/>
        </w:rPr>
        <w:t> </w:t>
      </w:r>
      <w:r>
        <w:rPr>
          <w:color w:val="231F20"/>
        </w:rPr>
        <w:t>letters</w:t>
      </w:r>
      <w:r>
        <w:rPr>
          <w:color w:val="231F20"/>
          <w:spacing w:val="-12"/>
        </w:rPr>
        <w:t> </w:t>
      </w:r>
      <w:r>
        <w:rPr>
          <w:color w:val="231F20"/>
        </w:rPr>
        <w:t>and</w:t>
      </w:r>
      <w:r>
        <w:rPr>
          <w:color w:val="231F20"/>
          <w:spacing w:val="-12"/>
        </w:rPr>
        <w:t> </w:t>
      </w:r>
      <w:r>
        <w:rPr>
          <w:color w:val="231F20"/>
        </w:rPr>
        <w:t>parcels</w:t>
      </w:r>
      <w:r>
        <w:rPr>
          <w:color w:val="231F20"/>
          <w:spacing w:val="-12"/>
        </w:rPr>
        <w:t> </w:t>
      </w:r>
      <w:r>
        <w:rPr>
          <w:color w:val="231F20"/>
        </w:rPr>
        <w:t>from the</w:t>
      </w:r>
      <w:r>
        <w:rPr>
          <w:color w:val="231F20"/>
          <w:spacing w:val="-1"/>
        </w:rPr>
        <w:t> </w:t>
      </w:r>
      <w:r>
        <w:rPr>
          <w:color w:val="231F20"/>
        </w:rPr>
        <w:t>Universal</w:t>
      </w:r>
      <w:r>
        <w:rPr>
          <w:color w:val="231F20"/>
          <w:spacing w:val="-1"/>
        </w:rPr>
        <w:t> </w:t>
      </w:r>
      <w:r>
        <w:rPr>
          <w:color w:val="231F20"/>
        </w:rPr>
        <w:t>Postal</w:t>
      </w:r>
      <w:r>
        <w:rPr>
          <w:color w:val="231F20"/>
          <w:spacing w:val="-1"/>
        </w:rPr>
        <w:t> </w:t>
      </w:r>
      <w:r>
        <w:rPr>
          <w:color w:val="231F20"/>
        </w:rPr>
        <w:t>Union</w:t>
      </w:r>
      <w:r>
        <w:rPr>
          <w:color w:val="231F20"/>
          <w:spacing w:val="-1"/>
        </w:rPr>
        <w:t> </w:t>
      </w:r>
      <w:r>
        <w:rPr>
          <w:color w:val="231F20"/>
        </w:rPr>
        <w:t>(UPU),</w:t>
      </w:r>
      <w:r>
        <w:rPr>
          <w:color w:val="231F20"/>
          <w:spacing w:val="-1"/>
        </w:rPr>
        <w:t> </w:t>
      </w:r>
      <w:r>
        <w:rPr>
          <w:color w:val="231F20"/>
        </w:rPr>
        <w:t>granular high-frequency</w:t>
      </w:r>
      <w:r>
        <w:rPr>
          <w:color w:val="231F20"/>
          <w:spacing w:val="-11"/>
        </w:rPr>
        <w:t> </w:t>
      </w:r>
      <w:r>
        <w:rPr>
          <w:color w:val="231F20"/>
        </w:rPr>
        <w:t>information</w:t>
      </w:r>
      <w:r>
        <w:rPr>
          <w:color w:val="231F20"/>
          <w:spacing w:val="-11"/>
        </w:rPr>
        <w:t> </w:t>
      </w:r>
      <w:r>
        <w:rPr>
          <w:color w:val="231F20"/>
        </w:rPr>
        <w:t>on</w:t>
      </w:r>
      <w:r>
        <w:rPr>
          <w:color w:val="231F20"/>
          <w:spacing w:val="-11"/>
        </w:rPr>
        <w:t> </w:t>
      </w:r>
      <w:r>
        <w:rPr>
          <w:color w:val="231F20"/>
        </w:rPr>
        <w:t>consignment activities (container data) from TradeLens, and</w:t>
      </w:r>
      <w:r>
        <w:rPr>
          <w:color w:val="231F20"/>
          <w:spacing w:val="-14"/>
        </w:rPr>
        <w:t> </w:t>
      </w:r>
      <w:r>
        <w:rPr>
          <w:color w:val="231F20"/>
        </w:rPr>
        <w:t>worldwide</w:t>
      </w:r>
      <w:r>
        <w:rPr>
          <w:color w:val="231F20"/>
          <w:spacing w:val="-13"/>
        </w:rPr>
        <w:t> </w:t>
      </w:r>
      <w:r>
        <w:rPr>
          <w:color w:val="231F20"/>
        </w:rPr>
        <w:t>container</w:t>
      </w:r>
      <w:r>
        <w:rPr>
          <w:color w:val="231F20"/>
          <w:spacing w:val="-13"/>
        </w:rPr>
        <w:t> </w:t>
      </w:r>
      <w:r>
        <w:rPr>
          <w:color w:val="231F20"/>
        </w:rPr>
        <w:t>ship</w:t>
      </w:r>
      <w:r>
        <w:rPr>
          <w:color w:val="231F20"/>
          <w:spacing w:val="-13"/>
        </w:rPr>
        <w:t> </w:t>
      </w:r>
      <w:r>
        <w:rPr>
          <w:color w:val="231F20"/>
        </w:rPr>
        <w:t>port</w:t>
      </w:r>
      <w:r>
        <w:rPr>
          <w:color w:val="231F20"/>
          <w:spacing w:val="-13"/>
        </w:rPr>
        <w:t> </w:t>
      </w:r>
      <w:r>
        <w:rPr>
          <w:color w:val="231F20"/>
        </w:rPr>
        <w:t>calls</w:t>
      </w:r>
      <w:r>
        <w:rPr>
          <w:color w:val="231F20"/>
          <w:spacing w:val="-13"/>
        </w:rPr>
        <w:t> </w:t>
      </w:r>
      <w:r>
        <w:rPr>
          <w:color w:val="231F20"/>
        </w:rPr>
        <w:t>from </w:t>
      </w:r>
      <w:r>
        <w:rPr>
          <w:color w:val="231F20"/>
          <w:spacing w:val="-6"/>
        </w:rPr>
        <w:t>an Automatic Identification System (AIS) data </w:t>
      </w:r>
      <w:r>
        <w:rPr>
          <w:color w:val="231F20"/>
          <w:spacing w:val="-8"/>
        </w:rPr>
        <w:t>provider</w:t>
      </w:r>
      <w:r>
        <w:rPr>
          <w:color w:val="231F20"/>
          <w:spacing w:val="-2"/>
        </w:rPr>
        <w:t> </w:t>
      </w:r>
      <w:r>
        <w:rPr>
          <w:color w:val="231F20"/>
          <w:spacing w:val="-8"/>
        </w:rPr>
        <w:t>(MarineTraffic).</w:t>
      </w:r>
      <w:r>
        <w:rPr>
          <w:color w:val="231F20"/>
          <w:spacing w:val="-2"/>
        </w:rPr>
        <w:t> </w:t>
      </w:r>
      <w:r>
        <w:rPr>
          <w:color w:val="231F20"/>
          <w:spacing w:val="-8"/>
        </w:rPr>
        <w:t>For</w:t>
      </w:r>
      <w:r>
        <w:rPr>
          <w:color w:val="231F20"/>
          <w:spacing w:val="-2"/>
        </w:rPr>
        <w:t> </w:t>
      </w:r>
      <w:r>
        <w:rPr>
          <w:color w:val="231F20"/>
          <w:spacing w:val="-8"/>
        </w:rPr>
        <w:t>the</w:t>
      </w:r>
      <w:r>
        <w:rPr>
          <w:color w:val="231F20"/>
          <w:spacing w:val="-2"/>
        </w:rPr>
        <w:t> </w:t>
      </w:r>
      <w:r>
        <w:rPr>
          <w:color w:val="231F20"/>
          <w:spacing w:val="-8"/>
        </w:rPr>
        <w:t>first</w:t>
      </w:r>
      <w:r>
        <w:rPr>
          <w:color w:val="231F20"/>
          <w:spacing w:val="-2"/>
        </w:rPr>
        <w:t> </w:t>
      </w:r>
      <w:r>
        <w:rPr>
          <w:color w:val="231F20"/>
          <w:spacing w:val="-8"/>
        </w:rPr>
        <w:t>time,</w:t>
      </w:r>
      <w:r>
        <w:rPr>
          <w:color w:val="231F20"/>
          <w:spacing w:val="-2"/>
        </w:rPr>
        <w:t> </w:t>
      </w:r>
      <w:r>
        <w:rPr>
          <w:color w:val="231F20"/>
          <w:spacing w:val="-8"/>
        </w:rPr>
        <w:t>LPI </w:t>
      </w:r>
      <w:r>
        <w:rPr>
          <w:color w:val="231F20"/>
          <w:spacing w:val="-4"/>
        </w:rPr>
        <w:t>data</w:t>
      </w:r>
      <w:r>
        <w:rPr>
          <w:color w:val="231F20"/>
          <w:spacing w:val="-7"/>
        </w:rPr>
        <w:t> </w:t>
      </w:r>
      <w:r>
        <w:rPr>
          <w:color w:val="231F20"/>
          <w:spacing w:val="-4"/>
        </w:rPr>
        <w:t>were</w:t>
      </w:r>
      <w:r>
        <w:rPr>
          <w:color w:val="231F20"/>
          <w:spacing w:val="-7"/>
        </w:rPr>
        <w:t> </w:t>
      </w:r>
      <w:r>
        <w:rPr>
          <w:color w:val="231F20"/>
          <w:spacing w:val="-4"/>
        </w:rPr>
        <w:t>not</w:t>
      </w:r>
      <w:r>
        <w:rPr>
          <w:color w:val="231F20"/>
          <w:spacing w:val="-7"/>
        </w:rPr>
        <w:t> </w:t>
      </w:r>
      <w:r>
        <w:rPr>
          <w:color w:val="231F20"/>
          <w:spacing w:val="-4"/>
        </w:rPr>
        <w:t>collected</w:t>
      </w:r>
      <w:r>
        <w:rPr>
          <w:color w:val="231F20"/>
          <w:spacing w:val="-7"/>
        </w:rPr>
        <w:t> </w:t>
      </w:r>
      <w:r>
        <w:rPr>
          <w:color w:val="231F20"/>
          <w:spacing w:val="-4"/>
        </w:rPr>
        <w:t>entirely</w:t>
      </w:r>
      <w:r>
        <w:rPr>
          <w:color w:val="231F20"/>
          <w:spacing w:val="-7"/>
        </w:rPr>
        <w:t> </w:t>
      </w:r>
      <w:r>
        <w:rPr>
          <w:color w:val="231F20"/>
          <w:spacing w:val="-4"/>
        </w:rPr>
        <w:t>in-house.</w:t>
      </w:r>
      <w:r>
        <w:rPr>
          <w:color w:val="231F20"/>
          <w:spacing w:val="-7"/>
        </w:rPr>
        <w:t> </w:t>
      </w:r>
      <w:r>
        <w:rPr>
          <w:color w:val="231F20"/>
          <w:spacing w:val="-4"/>
        </w:rPr>
        <w:t>This </w:t>
      </w:r>
      <w:r>
        <w:rPr>
          <w:color w:val="231F20"/>
          <w:w w:val="90"/>
        </w:rPr>
        <w:t>appendix covers the origin of the data, the coun- try coverage, and the variables used for the pro- </w:t>
      </w:r>
      <w:r>
        <w:rPr>
          <w:color w:val="231F20"/>
          <w:spacing w:val="-2"/>
        </w:rPr>
        <w:t>cessing</w:t>
      </w:r>
      <w:r>
        <w:rPr>
          <w:color w:val="231F20"/>
          <w:spacing w:val="-8"/>
        </w:rPr>
        <w:t> </w:t>
      </w:r>
      <w:r>
        <w:rPr>
          <w:color w:val="231F20"/>
          <w:spacing w:val="-2"/>
        </w:rPr>
        <w:t>of</w:t>
      </w:r>
      <w:r>
        <w:rPr>
          <w:color w:val="231F20"/>
          <w:spacing w:val="-8"/>
        </w:rPr>
        <w:t> </w:t>
      </w:r>
      <w:r>
        <w:rPr>
          <w:color w:val="231F20"/>
          <w:spacing w:val="-2"/>
        </w:rPr>
        <w:t>the</w:t>
      </w:r>
      <w:r>
        <w:rPr>
          <w:color w:val="231F20"/>
          <w:spacing w:val="-8"/>
        </w:rPr>
        <w:t> </w:t>
      </w:r>
      <w:r>
        <w:rPr>
          <w:color w:val="231F20"/>
          <w:spacing w:val="-2"/>
        </w:rPr>
        <w:t>key</w:t>
      </w:r>
      <w:r>
        <w:rPr>
          <w:color w:val="231F20"/>
          <w:spacing w:val="-8"/>
        </w:rPr>
        <w:t> </w:t>
      </w:r>
      <w:r>
        <w:rPr>
          <w:color w:val="231F20"/>
          <w:spacing w:val="-2"/>
        </w:rPr>
        <w:t>performance</w:t>
      </w:r>
      <w:r>
        <w:rPr>
          <w:color w:val="231F20"/>
          <w:spacing w:val="-8"/>
        </w:rPr>
        <w:t> </w:t>
      </w:r>
      <w:r>
        <w:rPr>
          <w:color w:val="231F20"/>
          <w:spacing w:val="-2"/>
        </w:rPr>
        <w:t>indicators.</w:t>
      </w:r>
    </w:p>
    <w:p>
      <w:pPr>
        <w:pStyle w:val="BodyText"/>
        <w:spacing w:before="27"/>
      </w:pPr>
    </w:p>
    <w:p>
      <w:pPr>
        <w:spacing w:before="0"/>
        <w:ind w:left="3840" w:right="0" w:firstLine="0"/>
        <w:jc w:val="both"/>
        <w:rPr>
          <w:rFonts w:ascii="Arial"/>
          <w:b/>
          <w:sz w:val="20"/>
        </w:rPr>
      </w:pPr>
      <w:r>
        <w:rPr>
          <w:rFonts w:ascii="Arial"/>
          <w:b/>
          <w:color w:val="231F20"/>
          <w:w w:val="105"/>
          <w:sz w:val="20"/>
        </w:rPr>
        <w:t>MDS</w:t>
      </w:r>
      <w:r>
        <w:rPr>
          <w:rFonts w:ascii="Arial"/>
          <w:b/>
          <w:color w:val="231F20"/>
          <w:spacing w:val="9"/>
          <w:w w:val="105"/>
          <w:sz w:val="20"/>
        </w:rPr>
        <w:t> </w:t>
      </w:r>
      <w:r>
        <w:rPr>
          <w:rFonts w:ascii="Arial"/>
          <w:b/>
          <w:color w:val="231F20"/>
          <w:spacing w:val="-2"/>
          <w:w w:val="105"/>
          <w:sz w:val="20"/>
        </w:rPr>
        <w:t>Transmodal</w:t>
      </w:r>
    </w:p>
    <w:p>
      <w:pPr>
        <w:pStyle w:val="BodyText"/>
        <w:spacing w:before="72"/>
        <w:rPr>
          <w:rFonts w:ascii="Arial"/>
          <w:b/>
          <w:sz w:val="20"/>
        </w:rPr>
      </w:pPr>
    </w:p>
    <w:p>
      <w:pPr>
        <w:pStyle w:val="BodyText"/>
        <w:spacing w:line="268" w:lineRule="auto"/>
        <w:ind w:left="3840"/>
        <w:jc w:val="both"/>
      </w:pPr>
      <w:r>
        <w:rPr>
          <w:color w:val="231F20"/>
        </w:rPr>
        <w:t>MDS</w:t>
      </w:r>
      <w:r>
        <w:rPr>
          <w:color w:val="231F20"/>
          <w:spacing w:val="-4"/>
        </w:rPr>
        <w:t> </w:t>
      </w:r>
      <w:r>
        <w:rPr>
          <w:color w:val="231F20"/>
        </w:rPr>
        <w:t>Transmodal</w:t>
      </w:r>
      <w:r>
        <w:rPr>
          <w:color w:val="231F20"/>
          <w:spacing w:val="-4"/>
        </w:rPr>
        <w:t> </w:t>
      </w:r>
      <w:r>
        <w:rPr>
          <w:color w:val="231F20"/>
        </w:rPr>
        <w:t>is</w:t>
      </w:r>
      <w:r>
        <w:rPr>
          <w:color w:val="231F20"/>
          <w:spacing w:val="-4"/>
        </w:rPr>
        <w:t> </w:t>
      </w:r>
      <w:r>
        <w:rPr>
          <w:color w:val="231F20"/>
        </w:rPr>
        <w:t>an</w:t>
      </w:r>
      <w:r>
        <w:rPr>
          <w:color w:val="231F20"/>
          <w:spacing w:val="-4"/>
        </w:rPr>
        <w:t> </w:t>
      </w:r>
      <w:r>
        <w:rPr>
          <w:color w:val="231F20"/>
        </w:rPr>
        <w:t>independent</w:t>
      </w:r>
      <w:r>
        <w:rPr>
          <w:color w:val="231F20"/>
          <w:spacing w:val="-4"/>
        </w:rPr>
        <w:t> </w:t>
      </w:r>
      <w:r>
        <w:rPr>
          <w:color w:val="231F20"/>
        </w:rPr>
        <w:t>consul- tancy focusing on the international freight transport sector, including shipping, ports, </w:t>
      </w:r>
      <w:r>
        <w:rPr>
          <w:color w:val="231F20"/>
          <w:spacing w:val="-4"/>
        </w:rPr>
        <w:t>road,</w:t>
      </w:r>
      <w:r>
        <w:rPr>
          <w:color w:val="231F20"/>
          <w:spacing w:val="-8"/>
        </w:rPr>
        <w:t> </w:t>
      </w:r>
      <w:r>
        <w:rPr>
          <w:color w:val="231F20"/>
          <w:spacing w:val="-4"/>
        </w:rPr>
        <w:t>rail,</w:t>
      </w:r>
      <w:r>
        <w:rPr>
          <w:color w:val="231F20"/>
          <w:spacing w:val="-8"/>
        </w:rPr>
        <w:t> </w:t>
      </w:r>
      <w:r>
        <w:rPr>
          <w:color w:val="231F20"/>
          <w:spacing w:val="-4"/>
        </w:rPr>
        <w:t>logistics,</w:t>
      </w:r>
      <w:r>
        <w:rPr>
          <w:color w:val="231F20"/>
          <w:spacing w:val="-8"/>
        </w:rPr>
        <w:t> </w:t>
      </w:r>
      <w:r>
        <w:rPr>
          <w:color w:val="231F20"/>
          <w:spacing w:val="-4"/>
        </w:rPr>
        <w:t>and</w:t>
      </w:r>
      <w:r>
        <w:rPr>
          <w:color w:val="231F20"/>
          <w:spacing w:val="-8"/>
        </w:rPr>
        <w:t> </w:t>
      </w:r>
      <w:r>
        <w:rPr>
          <w:color w:val="231F20"/>
          <w:spacing w:val="-4"/>
        </w:rPr>
        <w:t>distribution.</w:t>
      </w:r>
      <w:r>
        <w:rPr>
          <w:color w:val="231F20"/>
          <w:spacing w:val="-8"/>
        </w:rPr>
        <w:t> </w:t>
      </w:r>
      <w:r>
        <w:rPr>
          <w:color w:val="231F20"/>
          <w:spacing w:val="-4"/>
        </w:rPr>
        <w:t>It</w:t>
      </w:r>
      <w:r>
        <w:rPr>
          <w:color w:val="231F20"/>
          <w:spacing w:val="-8"/>
        </w:rPr>
        <w:t> </w:t>
      </w:r>
      <w:r>
        <w:rPr>
          <w:color w:val="231F20"/>
          <w:spacing w:val="-4"/>
        </w:rPr>
        <w:t>collects </w:t>
      </w:r>
      <w:r>
        <w:rPr>
          <w:color w:val="231F20"/>
          <w:w w:val="90"/>
        </w:rPr>
        <w:t>and aggregates several types of transport-related </w:t>
      </w:r>
      <w:r>
        <w:rPr>
          <w:color w:val="231F20"/>
          <w:spacing w:val="-4"/>
        </w:rPr>
        <w:t>data</w:t>
      </w:r>
      <w:r>
        <w:rPr>
          <w:color w:val="231F20"/>
          <w:spacing w:val="-6"/>
        </w:rPr>
        <w:t> </w:t>
      </w:r>
      <w:r>
        <w:rPr>
          <w:color w:val="231F20"/>
          <w:spacing w:val="-4"/>
        </w:rPr>
        <w:t>and</w:t>
      </w:r>
      <w:r>
        <w:rPr>
          <w:color w:val="231F20"/>
          <w:spacing w:val="-6"/>
        </w:rPr>
        <w:t> </w:t>
      </w:r>
      <w:r>
        <w:rPr>
          <w:color w:val="231F20"/>
          <w:spacing w:val="-4"/>
        </w:rPr>
        <w:t>maintains</w:t>
      </w:r>
      <w:r>
        <w:rPr>
          <w:color w:val="231F20"/>
          <w:spacing w:val="-6"/>
        </w:rPr>
        <w:t> </w:t>
      </w:r>
      <w:r>
        <w:rPr>
          <w:color w:val="231F20"/>
          <w:spacing w:val="-4"/>
        </w:rPr>
        <w:t>databases</w:t>
      </w:r>
      <w:r>
        <w:rPr>
          <w:color w:val="231F20"/>
          <w:spacing w:val="-6"/>
        </w:rPr>
        <w:t> </w:t>
      </w:r>
      <w:r>
        <w:rPr>
          <w:color w:val="231F20"/>
          <w:spacing w:val="-4"/>
        </w:rPr>
        <w:t>related</w:t>
      </w:r>
      <w:r>
        <w:rPr>
          <w:color w:val="231F20"/>
          <w:spacing w:val="-6"/>
        </w:rPr>
        <w:t> </w:t>
      </w:r>
      <w:r>
        <w:rPr>
          <w:color w:val="231F20"/>
          <w:spacing w:val="-4"/>
        </w:rPr>
        <w:t>to</w:t>
      </w:r>
      <w:r>
        <w:rPr>
          <w:color w:val="231F20"/>
          <w:spacing w:val="-6"/>
        </w:rPr>
        <w:t> </w:t>
      </w:r>
      <w:r>
        <w:rPr>
          <w:color w:val="231F20"/>
          <w:spacing w:val="-4"/>
        </w:rPr>
        <w:t>freight </w:t>
      </w:r>
      <w:r>
        <w:rPr>
          <w:color w:val="231F20"/>
        </w:rPr>
        <w:t>transportation. A dataset of aggregates for country</w:t>
      </w:r>
      <w:r>
        <w:rPr>
          <w:color w:val="231F20"/>
          <w:spacing w:val="-14"/>
        </w:rPr>
        <w:t> </w:t>
      </w:r>
      <w:r>
        <w:rPr>
          <w:color w:val="231F20"/>
        </w:rPr>
        <w:t>pairs</w:t>
      </w:r>
      <w:r>
        <w:rPr>
          <w:color w:val="231F20"/>
          <w:spacing w:val="-13"/>
        </w:rPr>
        <w:t> </w:t>
      </w:r>
      <w:r>
        <w:rPr>
          <w:color w:val="231F20"/>
        </w:rPr>
        <w:t>and</w:t>
      </w:r>
      <w:r>
        <w:rPr>
          <w:color w:val="231F20"/>
          <w:spacing w:val="-13"/>
        </w:rPr>
        <w:t> </w:t>
      </w:r>
      <w:r>
        <w:rPr>
          <w:color w:val="231F20"/>
        </w:rPr>
        <w:t>countries</w:t>
      </w:r>
      <w:r>
        <w:rPr>
          <w:color w:val="231F20"/>
          <w:spacing w:val="-13"/>
        </w:rPr>
        <w:t> </w:t>
      </w:r>
      <w:r>
        <w:rPr>
          <w:color w:val="231F20"/>
        </w:rPr>
        <w:t>for</w:t>
      </w:r>
      <w:r>
        <w:rPr>
          <w:color w:val="231F20"/>
          <w:spacing w:val="-13"/>
        </w:rPr>
        <w:t> </w:t>
      </w:r>
      <w:r>
        <w:rPr>
          <w:color w:val="231F20"/>
        </w:rPr>
        <w:t>January–June 2022 was derived from MDS Transmodal’s Containership</w:t>
      </w:r>
      <w:r>
        <w:rPr>
          <w:color w:val="231F20"/>
          <w:spacing w:val="-10"/>
        </w:rPr>
        <w:t> </w:t>
      </w:r>
      <w:r>
        <w:rPr>
          <w:color w:val="231F20"/>
        </w:rPr>
        <w:t>Databank,</w:t>
      </w:r>
      <w:r>
        <w:rPr>
          <w:color w:val="231F20"/>
          <w:spacing w:val="-10"/>
        </w:rPr>
        <w:t> </w:t>
      </w:r>
      <w:r>
        <w:rPr>
          <w:color w:val="231F20"/>
        </w:rPr>
        <w:t>which</w:t>
      </w:r>
      <w:r>
        <w:rPr>
          <w:color w:val="231F20"/>
          <w:spacing w:val="-10"/>
        </w:rPr>
        <w:t> </w:t>
      </w:r>
      <w:r>
        <w:rPr>
          <w:color w:val="231F20"/>
        </w:rPr>
        <w:t>covers</w:t>
      </w:r>
      <w:r>
        <w:rPr>
          <w:color w:val="231F20"/>
          <w:spacing w:val="-10"/>
        </w:rPr>
        <w:t> </w:t>
      </w:r>
      <w:r>
        <w:rPr>
          <w:color w:val="231F20"/>
        </w:rPr>
        <w:t>ship- ping</w:t>
      </w:r>
      <w:r>
        <w:rPr>
          <w:color w:val="231F20"/>
          <w:spacing w:val="-6"/>
        </w:rPr>
        <w:t> </w:t>
      </w:r>
      <w:r>
        <w:rPr>
          <w:color w:val="231F20"/>
        </w:rPr>
        <w:t>schedules</w:t>
      </w:r>
      <w:r>
        <w:rPr>
          <w:color w:val="231F20"/>
          <w:spacing w:val="-6"/>
        </w:rPr>
        <w:t> </w:t>
      </w:r>
      <w:r>
        <w:rPr>
          <w:color w:val="231F20"/>
        </w:rPr>
        <w:t>and</w:t>
      </w:r>
      <w:r>
        <w:rPr>
          <w:color w:val="231F20"/>
          <w:spacing w:val="-6"/>
        </w:rPr>
        <w:t> </w:t>
      </w:r>
      <w:r>
        <w:rPr>
          <w:color w:val="231F20"/>
        </w:rPr>
        <w:t>volumes</w:t>
      </w:r>
      <w:r>
        <w:rPr>
          <w:color w:val="231F20"/>
          <w:spacing w:val="-6"/>
        </w:rPr>
        <w:t> </w:t>
      </w:r>
      <w:r>
        <w:rPr>
          <w:color w:val="231F20"/>
        </w:rPr>
        <w:t>offered</w:t>
      </w:r>
      <w:r>
        <w:rPr>
          <w:color w:val="231F20"/>
          <w:spacing w:val="-6"/>
        </w:rPr>
        <w:t> </w:t>
      </w:r>
      <w:r>
        <w:rPr>
          <w:color w:val="231F20"/>
        </w:rPr>
        <w:t>on</w:t>
      </w:r>
      <w:r>
        <w:rPr>
          <w:color w:val="231F20"/>
          <w:spacing w:val="-6"/>
        </w:rPr>
        <w:t> </w:t>
      </w:r>
      <w:r>
        <w:rPr>
          <w:color w:val="231F20"/>
        </w:rPr>
        <w:t>liner shipping</w:t>
      </w:r>
      <w:r>
        <w:rPr>
          <w:color w:val="231F20"/>
          <w:spacing w:val="-14"/>
        </w:rPr>
        <w:t> </w:t>
      </w:r>
      <w:r>
        <w:rPr>
          <w:color w:val="231F20"/>
        </w:rPr>
        <w:t>routes.</w:t>
      </w:r>
    </w:p>
    <w:p>
      <w:pPr>
        <w:pStyle w:val="BodyText"/>
        <w:spacing w:line="268" w:lineRule="auto"/>
        <w:ind w:left="3840" w:right="5" w:firstLine="300"/>
        <w:jc w:val="both"/>
      </w:pPr>
      <w:r>
        <w:rPr>
          <w:color w:val="231F20"/>
          <w:spacing w:val="-2"/>
        </w:rPr>
        <w:t>Indicators</w:t>
      </w:r>
      <w:r>
        <w:rPr>
          <w:color w:val="231F20"/>
          <w:spacing w:val="-9"/>
        </w:rPr>
        <w:t> </w:t>
      </w:r>
      <w:r>
        <w:rPr>
          <w:color w:val="231F20"/>
          <w:spacing w:val="-2"/>
        </w:rPr>
        <w:t>available</w:t>
      </w:r>
      <w:r>
        <w:rPr>
          <w:color w:val="231F20"/>
          <w:spacing w:val="-9"/>
        </w:rPr>
        <w:t> </w:t>
      </w:r>
      <w:r>
        <w:rPr>
          <w:color w:val="231F20"/>
          <w:spacing w:val="-2"/>
        </w:rPr>
        <w:t>as</w:t>
      </w:r>
      <w:r>
        <w:rPr>
          <w:color w:val="231F20"/>
          <w:spacing w:val="-9"/>
        </w:rPr>
        <w:t> </w:t>
      </w:r>
      <w:r>
        <w:rPr>
          <w:color w:val="231F20"/>
          <w:spacing w:val="-2"/>
        </w:rPr>
        <w:t>part</w:t>
      </w:r>
      <w:r>
        <w:rPr>
          <w:color w:val="231F20"/>
          <w:spacing w:val="-9"/>
        </w:rPr>
        <w:t> </w:t>
      </w:r>
      <w:r>
        <w:rPr>
          <w:color w:val="231F20"/>
          <w:spacing w:val="-2"/>
        </w:rPr>
        <w:t>of</w:t>
      </w:r>
      <w:r>
        <w:rPr>
          <w:color w:val="231F20"/>
          <w:spacing w:val="-9"/>
        </w:rPr>
        <w:t> </w:t>
      </w:r>
      <w:r>
        <w:rPr>
          <w:color w:val="231F20"/>
          <w:spacing w:val="-2"/>
        </w:rPr>
        <w:t>the</w:t>
      </w:r>
      <w:r>
        <w:rPr>
          <w:color w:val="231F20"/>
          <w:spacing w:val="-9"/>
        </w:rPr>
        <w:t> </w:t>
      </w:r>
      <w:r>
        <w:rPr>
          <w:color w:val="231F20"/>
          <w:spacing w:val="-2"/>
        </w:rPr>
        <w:t>partner- </w:t>
      </w:r>
      <w:r>
        <w:rPr>
          <w:color w:val="231F20"/>
          <w:spacing w:val="-6"/>
        </w:rPr>
        <w:t>ship agreement with MDS Transmodal</w:t>
      </w:r>
      <w:r>
        <w:rPr>
          <w:color w:val="231F20"/>
          <w:spacing w:val="-5"/>
        </w:rPr>
        <w:t> </w:t>
      </w:r>
      <w:r>
        <w:rPr>
          <w:color w:val="231F20"/>
          <w:spacing w:val="-6"/>
        </w:rPr>
        <w:t>include</w:t>
      </w:r>
    </w:p>
    <w:p>
      <w:pPr>
        <w:pStyle w:val="BodyText"/>
        <w:spacing w:line="268" w:lineRule="auto" w:before="97"/>
        <w:ind w:left="192" w:right="177"/>
        <w:jc w:val="both"/>
      </w:pPr>
      <w:r>
        <w:rPr/>
        <w:br w:type="column"/>
      </w:r>
      <w:r>
        <w:rPr>
          <w:color w:val="231F20"/>
        </w:rPr>
        <w:t>the</w:t>
      </w:r>
      <w:r>
        <w:rPr>
          <w:color w:val="231F20"/>
          <w:spacing w:val="-14"/>
        </w:rPr>
        <w:t> </w:t>
      </w:r>
      <w:r>
        <w:rPr>
          <w:color w:val="231F20"/>
        </w:rPr>
        <w:t>number</w:t>
      </w:r>
      <w:r>
        <w:rPr>
          <w:color w:val="231F20"/>
          <w:spacing w:val="-13"/>
        </w:rPr>
        <w:t> </w:t>
      </w:r>
      <w:r>
        <w:rPr>
          <w:color w:val="231F20"/>
        </w:rPr>
        <w:t>of</w:t>
      </w:r>
      <w:r>
        <w:rPr>
          <w:color w:val="231F20"/>
          <w:spacing w:val="-13"/>
        </w:rPr>
        <w:t> </w:t>
      </w:r>
      <w:r>
        <w:rPr>
          <w:color w:val="231F20"/>
        </w:rPr>
        <w:t>services,</w:t>
      </w:r>
      <w:r>
        <w:rPr>
          <w:color w:val="231F20"/>
          <w:spacing w:val="-13"/>
        </w:rPr>
        <w:t> </w:t>
      </w:r>
      <w:r>
        <w:rPr>
          <w:color w:val="231F20"/>
        </w:rPr>
        <w:t>number</w:t>
      </w:r>
      <w:r>
        <w:rPr>
          <w:color w:val="231F20"/>
          <w:spacing w:val="-13"/>
        </w:rPr>
        <w:t> </w:t>
      </w:r>
      <w:r>
        <w:rPr>
          <w:color w:val="231F20"/>
        </w:rPr>
        <w:t>of</w:t>
      </w:r>
      <w:r>
        <w:rPr>
          <w:color w:val="231F20"/>
          <w:spacing w:val="-13"/>
        </w:rPr>
        <w:t> </w:t>
      </w:r>
      <w:r>
        <w:rPr>
          <w:color w:val="231F20"/>
        </w:rPr>
        <w:t>operators, number</w:t>
      </w:r>
      <w:r>
        <w:rPr>
          <w:color w:val="231F20"/>
          <w:spacing w:val="-10"/>
        </w:rPr>
        <w:t> </w:t>
      </w:r>
      <w:r>
        <w:rPr>
          <w:color w:val="231F20"/>
        </w:rPr>
        <w:t>of</w:t>
      </w:r>
      <w:r>
        <w:rPr>
          <w:color w:val="231F20"/>
          <w:spacing w:val="-10"/>
        </w:rPr>
        <w:t> </w:t>
      </w:r>
      <w:r>
        <w:rPr>
          <w:color w:val="231F20"/>
        </w:rPr>
        <w:t>alliances,</w:t>
      </w:r>
      <w:r>
        <w:rPr>
          <w:color w:val="231F20"/>
          <w:spacing w:val="-10"/>
        </w:rPr>
        <w:t> </w:t>
      </w:r>
      <w:r>
        <w:rPr>
          <w:color w:val="231F20"/>
        </w:rPr>
        <w:t>and</w:t>
      </w:r>
      <w:r>
        <w:rPr>
          <w:color w:val="231F20"/>
          <w:spacing w:val="-10"/>
        </w:rPr>
        <w:t> </w:t>
      </w:r>
      <w:r>
        <w:rPr>
          <w:color w:val="231F20"/>
        </w:rPr>
        <w:t>average</w:t>
      </w:r>
      <w:r>
        <w:rPr>
          <w:color w:val="231F20"/>
          <w:spacing w:val="-10"/>
        </w:rPr>
        <w:t> </w:t>
      </w:r>
      <w:r>
        <w:rPr>
          <w:color w:val="231F20"/>
        </w:rPr>
        <w:t>annual</w:t>
      </w:r>
      <w:r>
        <w:rPr>
          <w:color w:val="231F20"/>
          <w:spacing w:val="-10"/>
        </w:rPr>
        <w:t> </w:t>
      </w:r>
      <w:r>
        <w:rPr>
          <w:color w:val="231F20"/>
        </w:rPr>
        <w:t>fre- </w:t>
      </w:r>
      <w:r>
        <w:rPr>
          <w:color w:val="231F20"/>
          <w:w w:val="90"/>
        </w:rPr>
        <w:t>quency of shipping service, as well as statistics </w:t>
      </w:r>
      <w:r>
        <w:rPr>
          <w:color w:val="231F20"/>
        </w:rPr>
        <w:t>(average,</w:t>
      </w:r>
      <w:r>
        <w:rPr>
          <w:color w:val="231F20"/>
          <w:spacing w:val="-12"/>
        </w:rPr>
        <w:t> </w:t>
      </w:r>
      <w:r>
        <w:rPr>
          <w:color w:val="231F20"/>
        </w:rPr>
        <w:t>maximum,</w:t>
      </w:r>
      <w:r>
        <w:rPr>
          <w:color w:val="231F20"/>
          <w:spacing w:val="-12"/>
        </w:rPr>
        <w:t> </w:t>
      </w:r>
      <w:r>
        <w:rPr>
          <w:color w:val="231F20"/>
        </w:rPr>
        <w:t>minimum)</w:t>
      </w:r>
      <w:r>
        <w:rPr>
          <w:color w:val="231F20"/>
          <w:spacing w:val="-12"/>
        </w:rPr>
        <w:t> </w:t>
      </w:r>
      <w:r>
        <w:rPr>
          <w:color w:val="231F20"/>
        </w:rPr>
        <w:t>on</w:t>
      </w:r>
      <w:r>
        <w:rPr>
          <w:color w:val="231F20"/>
          <w:spacing w:val="-12"/>
        </w:rPr>
        <w:t> </w:t>
      </w:r>
      <w:r>
        <w:rPr>
          <w:color w:val="231F20"/>
        </w:rPr>
        <w:t>the</w:t>
      </w:r>
      <w:r>
        <w:rPr>
          <w:color w:val="231F20"/>
          <w:spacing w:val="-12"/>
        </w:rPr>
        <w:t> </w:t>
      </w:r>
      <w:r>
        <w:rPr>
          <w:color w:val="231F20"/>
        </w:rPr>
        <w:t>num- </w:t>
      </w:r>
      <w:r>
        <w:rPr>
          <w:color w:val="231F20"/>
          <w:w w:val="90"/>
        </w:rPr>
        <w:t>ber of deployed ships, ship sizes, and ship ages. </w:t>
      </w:r>
      <w:r>
        <w:rPr>
          <w:color w:val="231F20"/>
        </w:rPr>
        <w:t>Under MDS Transmodal’s definition, two economies</w:t>
      </w:r>
      <w:r>
        <w:rPr>
          <w:color w:val="231F20"/>
          <w:spacing w:val="-14"/>
        </w:rPr>
        <w:t> </w:t>
      </w:r>
      <w:r>
        <w:rPr>
          <w:color w:val="231F20"/>
        </w:rPr>
        <w:t>(or</w:t>
      </w:r>
      <w:r>
        <w:rPr>
          <w:color w:val="231F20"/>
          <w:spacing w:val="-13"/>
        </w:rPr>
        <w:t> </w:t>
      </w:r>
      <w:r>
        <w:rPr>
          <w:color w:val="231F20"/>
        </w:rPr>
        <w:t>ports)</w:t>
      </w:r>
      <w:r>
        <w:rPr>
          <w:color w:val="231F20"/>
          <w:spacing w:val="-13"/>
        </w:rPr>
        <w:t> </w:t>
      </w:r>
      <w:r>
        <w:rPr>
          <w:color w:val="231F20"/>
        </w:rPr>
        <w:t>are</w:t>
      </w:r>
      <w:r>
        <w:rPr>
          <w:color w:val="231F20"/>
          <w:spacing w:val="-13"/>
        </w:rPr>
        <w:t> </w:t>
      </w:r>
      <w:r>
        <w:rPr>
          <w:color w:val="231F20"/>
        </w:rPr>
        <w:t>connected</w:t>
      </w:r>
      <w:r>
        <w:rPr>
          <w:color w:val="231F20"/>
          <w:spacing w:val="-13"/>
        </w:rPr>
        <w:t> </w:t>
      </w:r>
      <w:r>
        <w:rPr>
          <w:color w:val="231F20"/>
        </w:rPr>
        <w:t>if</w:t>
      </w:r>
      <w:r>
        <w:rPr>
          <w:color w:val="231F20"/>
          <w:spacing w:val="-13"/>
        </w:rPr>
        <w:t> </w:t>
      </w:r>
      <w:r>
        <w:rPr>
          <w:color w:val="231F20"/>
        </w:rPr>
        <w:t>there</w:t>
      </w:r>
      <w:r>
        <w:rPr>
          <w:color w:val="231F20"/>
          <w:spacing w:val="-13"/>
        </w:rPr>
        <w:t> </w:t>
      </w:r>
      <w:r>
        <w:rPr>
          <w:color w:val="231F20"/>
        </w:rPr>
        <w:t>is </w:t>
      </w:r>
      <w:r>
        <w:rPr>
          <w:color w:val="231F20"/>
          <w:spacing w:val="-2"/>
        </w:rPr>
        <w:t>a</w:t>
      </w:r>
      <w:r>
        <w:rPr>
          <w:color w:val="231F20"/>
          <w:spacing w:val="-12"/>
        </w:rPr>
        <w:t> </w:t>
      </w:r>
      <w:r>
        <w:rPr>
          <w:color w:val="231F20"/>
          <w:spacing w:val="-2"/>
        </w:rPr>
        <w:t>shipping</w:t>
      </w:r>
      <w:r>
        <w:rPr>
          <w:color w:val="231F20"/>
          <w:spacing w:val="-11"/>
        </w:rPr>
        <w:t> </w:t>
      </w:r>
      <w:r>
        <w:rPr>
          <w:color w:val="231F20"/>
          <w:spacing w:val="-2"/>
        </w:rPr>
        <w:t>service</w:t>
      </w:r>
      <w:r>
        <w:rPr>
          <w:color w:val="231F20"/>
          <w:spacing w:val="-11"/>
        </w:rPr>
        <w:t> </w:t>
      </w:r>
      <w:r>
        <w:rPr>
          <w:color w:val="231F20"/>
          <w:spacing w:val="-2"/>
        </w:rPr>
        <w:t>between</w:t>
      </w:r>
      <w:r>
        <w:rPr>
          <w:color w:val="231F20"/>
          <w:spacing w:val="-11"/>
        </w:rPr>
        <w:t> </w:t>
      </w:r>
      <w:r>
        <w:rPr>
          <w:color w:val="231F20"/>
          <w:spacing w:val="-2"/>
        </w:rPr>
        <w:t>them.</w:t>
      </w:r>
      <w:r>
        <w:rPr>
          <w:color w:val="231F20"/>
          <w:spacing w:val="-11"/>
        </w:rPr>
        <w:t> </w:t>
      </w:r>
      <w:r>
        <w:rPr>
          <w:color w:val="231F20"/>
          <w:spacing w:val="-2"/>
        </w:rPr>
        <w:t>As</w:t>
      </w:r>
      <w:r>
        <w:rPr>
          <w:color w:val="231F20"/>
          <w:spacing w:val="-11"/>
        </w:rPr>
        <w:t> </w:t>
      </w:r>
      <w:r>
        <w:rPr>
          <w:color w:val="231F20"/>
          <w:spacing w:val="-2"/>
        </w:rPr>
        <w:t>shipping </w:t>
      </w:r>
      <w:r>
        <w:rPr>
          <w:color w:val="231F20"/>
          <w:spacing w:val="-6"/>
        </w:rPr>
        <w:t>services</w:t>
      </w:r>
      <w:r>
        <w:rPr>
          <w:color w:val="231F20"/>
          <w:spacing w:val="-10"/>
        </w:rPr>
        <w:t> </w:t>
      </w:r>
      <w:r>
        <w:rPr>
          <w:color w:val="231F20"/>
          <w:spacing w:val="-6"/>
        </w:rPr>
        <w:t>operate</w:t>
      </w:r>
      <w:r>
        <w:rPr>
          <w:color w:val="231F20"/>
          <w:spacing w:val="-7"/>
        </w:rPr>
        <w:t> </w:t>
      </w:r>
      <w:r>
        <w:rPr>
          <w:color w:val="231F20"/>
          <w:spacing w:val="-6"/>
        </w:rPr>
        <w:t>in</w:t>
      </w:r>
      <w:r>
        <w:rPr>
          <w:color w:val="231F20"/>
          <w:spacing w:val="-7"/>
        </w:rPr>
        <w:t> </w:t>
      </w:r>
      <w:r>
        <w:rPr>
          <w:color w:val="231F20"/>
          <w:spacing w:val="-6"/>
        </w:rPr>
        <w:t>loops,</w:t>
      </w:r>
      <w:r>
        <w:rPr>
          <w:color w:val="231F20"/>
          <w:spacing w:val="-7"/>
        </w:rPr>
        <w:t> </w:t>
      </w:r>
      <w:r>
        <w:rPr>
          <w:color w:val="231F20"/>
          <w:spacing w:val="-6"/>
        </w:rPr>
        <w:t>not</w:t>
      </w:r>
      <w:r>
        <w:rPr>
          <w:color w:val="231F20"/>
          <w:spacing w:val="-7"/>
        </w:rPr>
        <w:t> </w:t>
      </w:r>
      <w:r>
        <w:rPr>
          <w:color w:val="231F20"/>
          <w:spacing w:val="-6"/>
        </w:rPr>
        <w:t>point</w:t>
      </w:r>
      <w:r>
        <w:rPr>
          <w:color w:val="231F20"/>
          <w:spacing w:val="-7"/>
        </w:rPr>
        <w:t> </w:t>
      </w:r>
      <w:r>
        <w:rPr>
          <w:color w:val="231F20"/>
          <w:spacing w:val="-6"/>
        </w:rPr>
        <w:t>to</w:t>
      </w:r>
      <w:r>
        <w:rPr>
          <w:color w:val="231F20"/>
          <w:spacing w:val="-7"/>
        </w:rPr>
        <w:t> </w:t>
      </w:r>
      <w:r>
        <w:rPr>
          <w:color w:val="231F20"/>
          <w:spacing w:val="-6"/>
        </w:rPr>
        <w:t>point</w:t>
      </w:r>
      <w:r>
        <w:rPr>
          <w:color w:val="231F20"/>
          <w:spacing w:val="-7"/>
        </w:rPr>
        <w:t> </w:t>
      </w:r>
      <w:r>
        <w:rPr>
          <w:color w:val="231F20"/>
          <w:spacing w:val="-6"/>
        </w:rPr>
        <w:t>like </w:t>
      </w:r>
      <w:r>
        <w:rPr>
          <w:color w:val="231F20"/>
          <w:w w:val="90"/>
        </w:rPr>
        <w:t>aviation, connections are counted irrespective of </w:t>
      </w:r>
      <w:r>
        <w:rPr>
          <w:color w:val="231F20"/>
        </w:rPr>
        <w:t>the actual port sequence.</w:t>
      </w:r>
    </w:p>
    <w:p>
      <w:pPr>
        <w:pStyle w:val="BodyText"/>
        <w:spacing w:before="32"/>
      </w:pPr>
    </w:p>
    <w:p>
      <w:pPr>
        <w:spacing w:before="0"/>
        <w:ind w:left="192" w:right="0" w:firstLine="0"/>
        <w:jc w:val="both"/>
        <w:rPr>
          <w:rFonts w:ascii="Arial"/>
          <w:b/>
          <w:sz w:val="20"/>
        </w:rPr>
      </w:pPr>
      <w:r>
        <w:rPr>
          <w:rFonts w:ascii="Arial"/>
          <w:b/>
          <w:color w:val="231F20"/>
          <w:w w:val="105"/>
          <w:sz w:val="20"/>
        </w:rPr>
        <w:t>Cargo</w:t>
      </w:r>
      <w:r>
        <w:rPr>
          <w:rFonts w:ascii="Arial"/>
          <w:b/>
          <w:color w:val="231F20"/>
          <w:spacing w:val="3"/>
          <w:w w:val="105"/>
          <w:sz w:val="20"/>
        </w:rPr>
        <w:t> </w:t>
      </w:r>
      <w:r>
        <w:rPr>
          <w:rFonts w:ascii="Arial"/>
          <w:b/>
          <w:color w:val="231F20"/>
          <w:spacing w:val="-5"/>
          <w:w w:val="105"/>
          <w:sz w:val="20"/>
        </w:rPr>
        <w:t>iQ</w:t>
      </w:r>
    </w:p>
    <w:p>
      <w:pPr>
        <w:pStyle w:val="BodyText"/>
        <w:spacing w:before="71"/>
        <w:rPr>
          <w:rFonts w:ascii="Arial"/>
          <w:b/>
          <w:sz w:val="20"/>
        </w:rPr>
      </w:pPr>
    </w:p>
    <w:p>
      <w:pPr>
        <w:pStyle w:val="BodyText"/>
        <w:spacing w:line="268" w:lineRule="auto"/>
        <w:ind w:left="99" w:right="177"/>
        <w:jc w:val="right"/>
      </w:pPr>
      <w:r>
        <w:rPr>
          <w:color w:val="231F20"/>
        </w:rPr>
        <w:t>The</w:t>
      </w:r>
      <w:r>
        <w:rPr>
          <w:color w:val="231F20"/>
          <w:spacing w:val="-10"/>
        </w:rPr>
        <w:t> </w:t>
      </w:r>
      <w:r>
        <w:rPr>
          <w:color w:val="231F20"/>
        </w:rPr>
        <w:t>air</w:t>
      </w:r>
      <w:r>
        <w:rPr>
          <w:color w:val="231F20"/>
          <w:spacing w:val="-10"/>
        </w:rPr>
        <w:t> </w:t>
      </w:r>
      <w:r>
        <w:rPr>
          <w:color w:val="231F20"/>
        </w:rPr>
        <w:t>cargo</w:t>
      </w:r>
      <w:r>
        <w:rPr>
          <w:color w:val="231F20"/>
          <w:spacing w:val="-10"/>
        </w:rPr>
        <w:t> </w:t>
      </w:r>
      <w:r>
        <w:rPr>
          <w:color w:val="231F20"/>
        </w:rPr>
        <w:t>dataset</w:t>
      </w:r>
      <w:r>
        <w:rPr>
          <w:color w:val="231F20"/>
          <w:spacing w:val="-10"/>
        </w:rPr>
        <w:t> </w:t>
      </w:r>
      <w:r>
        <w:rPr>
          <w:color w:val="231F20"/>
        </w:rPr>
        <w:t>was</w:t>
      </w:r>
      <w:r>
        <w:rPr>
          <w:color w:val="231F20"/>
          <w:spacing w:val="-10"/>
        </w:rPr>
        <w:t> </w:t>
      </w:r>
      <w:r>
        <w:rPr>
          <w:color w:val="231F20"/>
        </w:rPr>
        <w:t>provided</w:t>
      </w:r>
      <w:r>
        <w:rPr>
          <w:color w:val="231F20"/>
          <w:spacing w:val="-10"/>
        </w:rPr>
        <w:t> </w:t>
      </w:r>
      <w:r>
        <w:rPr>
          <w:color w:val="231F20"/>
        </w:rPr>
        <w:t>by</w:t>
      </w:r>
      <w:r>
        <w:rPr>
          <w:color w:val="231F20"/>
          <w:spacing w:val="-10"/>
        </w:rPr>
        <w:t> </w:t>
      </w:r>
      <w:r>
        <w:rPr>
          <w:color w:val="231F20"/>
        </w:rPr>
        <w:t>Cargo iQ,</w:t>
      </w:r>
      <w:r>
        <w:rPr>
          <w:color w:val="231F20"/>
          <w:spacing w:val="-14"/>
        </w:rPr>
        <w:t> </w:t>
      </w:r>
      <w:r>
        <w:rPr>
          <w:color w:val="231F20"/>
        </w:rPr>
        <w:t>a</w:t>
      </w:r>
      <w:r>
        <w:rPr>
          <w:color w:val="231F20"/>
          <w:spacing w:val="-13"/>
        </w:rPr>
        <w:t> </w:t>
      </w:r>
      <w:r>
        <w:rPr>
          <w:color w:val="231F20"/>
        </w:rPr>
        <w:t>nonprofit</w:t>
      </w:r>
      <w:r>
        <w:rPr>
          <w:color w:val="231F20"/>
          <w:spacing w:val="-13"/>
        </w:rPr>
        <w:t> </w:t>
      </w:r>
      <w:r>
        <w:rPr>
          <w:color w:val="231F20"/>
        </w:rPr>
        <w:t>interest</w:t>
      </w:r>
      <w:r>
        <w:rPr>
          <w:color w:val="231F20"/>
          <w:spacing w:val="-13"/>
        </w:rPr>
        <w:t> </w:t>
      </w:r>
      <w:r>
        <w:rPr>
          <w:color w:val="231F20"/>
        </w:rPr>
        <w:t>group</w:t>
      </w:r>
      <w:r>
        <w:rPr>
          <w:color w:val="231F20"/>
          <w:spacing w:val="-13"/>
        </w:rPr>
        <w:t> </w:t>
      </w:r>
      <w:r>
        <w:rPr>
          <w:color w:val="231F20"/>
        </w:rPr>
        <w:t>created</w:t>
      </w:r>
      <w:r>
        <w:rPr>
          <w:color w:val="231F20"/>
          <w:spacing w:val="-13"/>
        </w:rPr>
        <w:t> </w:t>
      </w:r>
      <w:r>
        <w:rPr>
          <w:color w:val="231F20"/>
        </w:rPr>
        <w:t>in</w:t>
      </w:r>
      <w:r>
        <w:rPr>
          <w:color w:val="231F20"/>
          <w:spacing w:val="-13"/>
        </w:rPr>
        <w:t> </w:t>
      </w:r>
      <w:r>
        <w:rPr>
          <w:color w:val="231F20"/>
        </w:rPr>
        <w:t>1997 </w:t>
      </w:r>
      <w:r>
        <w:rPr>
          <w:color w:val="231F20"/>
          <w:spacing w:val="-4"/>
        </w:rPr>
        <w:t>by</w:t>
      </w:r>
      <w:r>
        <w:rPr>
          <w:color w:val="231F20"/>
          <w:spacing w:val="-9"/>
        </w:rPr>
        <w:t> </w:t>
      </w:r>
      <w:r>
        <w:rPr>
          <w:color w:val="231F20"/>
          <w:spacing w:val="-4"/>
        </w:rPr>
        <w:t>the</w:t>
      </w:r>
      <w:r>
        <w:rPr>
          <w:color w:val="231F20"/>
          <w:spacing w:val="-9"/>
        </w:rPr>
        <w:t> </w:t>
      </w:r>
      <w:r>
        <w:rPr>
          <w:color w:val="231F20"/>
          <w:spacing w:val="-4"/>
        </w:rPr>
        <w:t>International</w:t>
      </w:r>
      <w:r>
        <w:rPr>
          <w:color w:val="231F20"/>
          <w:spacing w:val="-9"/>
        </w:rPr>
        <w:t> </w:t>
      </w:r>
      <w:r>
        <w:rPr>
          <w:color w:val="231F20"/>
          <w:spacing w:val="-4"/>
        </w:rPr>
        <w:t>Air</w:t>
      </w:r>
      <w:r>
        <w:rPr>
          <w:color w:val="231F20"/>
          <w:spacing w:val="-9"/>
        </w:rPr>
        <w:t> </w:t>
      </w:r>
      <w:r>
        <w:rPr>
          <w:color w:val="231F20"/>
          <w:spacing w:val="-4"/>
        </w:rPr>
        <w:t>Transport</w:t>
      </w:r>
      <w:r>
        <w:rPr>
          <w:color w:val="231F20"/>
          <w:spacing w:val="-9"/>
        </w:rPr>
        <w:t> </w:t>
      </w:r>
      <w:r>
        <w:rPr>
          <w:color w:val="231F20"/>
          <w:spacing w:val="-4"/>
        </w:rPr>
        <w:t>Association </w:t>
      </w:r>
      <w:r>
        <w:rPr>
          <w:color w:val="231F20"/>
          <w:spacing w:val="-2"/>
        </w:rPr>
        <w:t>to</w:t>
      </w:r>
      <w:r>
        <w:rPr>
          <w:color w:val="231F20"/>
          <w:spacing w:val="-12"/>
        </w:rPr>
        <w:t> </w:t>
      </w:r>
      <w:r>
        <w:rPr>
          <w:color w:val="231F20"/>
          <w:spacing w:val="-2"/>
        </w:rPr>
        <w:t>develop</w:t>
      </w:r>
      <w:r>
        <w:rPr>
          <w:color w:val="231F20"/>
          <w:spacing w:val="-11"/>
        </w:rPr>
        <w:t> </w:t>
      </w:r>
      <w:r>
        <w:rPr>
          <w:color w:val="231F20"/>
          <w:spacing w:val="-2"/>
        </w:rPr>
        <w:t>a</w:t>
      </w:r>
      <w:r>
        <w:rPr>
          <w:color w:val="231F20"/>
          <w:spacing w:val="-11"/>
        </w:rPr>
        <w:t> </w:t>
      </w:r>
      <w:r>
        <w:rPr>
          <w:color w:val="231F20"/>
          <w:spacing w:val="-2"/>
        </w:rPr>
        <w:t>system</w:t>
      </w:r>
      <w:r>
        <w:rPr>
          <w:color w:val="231F20"/>
          <w:spacing w:val="-11"/>
        </w:rPr>
        <w:t> </w:t>
      </w:r>
      <w:r>
        <w:rPr>
          <w:color w:val="231F20"/>
          <w:spacing w:val="-2"/>
        </w:rPr>
        <w:t>of</w:t>
      </w:r>
      <w:r>
        <w:rPr>
          <w:color w:val="231F20"/>
          <w:spacing w:val="-11"/>
        </w:rPr>
        <w:t> </w:t>
      </w:r>
      <w:r>
        <w:rPr>
          <w:color w:val="231F20"/>
          <w:spacing w:val="-2"/>
        </w:rPr>
        <w:t>shipment</w:t>
      </w:r>
      <w:r>
        <w:rPr>
          <w:color w:val="231F20"/>
          <w:spacing w:val="-11"/>
        </w:rPr>
        <w:t> </w:t>
      </w:r>
      <w:r>
        <w:rPr>
          <w:color w:val="231F20"/>
          <w:spacing w:val="-2"/>
        </w:rPr>
        <w:t>planning</w:t>
      </w:r>
      <w:r>
        <w:rPr>
          <w:color w:val="231F20"/>
          <w:spacing w:val="-11"/>
        </w:rPr>
        <w:t> </w:t>
      </w:r>
      <w:r>
        <w:rPr>
          <w:color w:val="231F20"/>
          <w:spacing w:val="-2"/>
        </w:rPr>
        <w:t>and </w:t>
      </w:r>
      <w:r>
        <w:rPr>
          <w:color w:val="231F20"/>
          <w:spacing w:val="-6"/>
        </w:rPr>
        <w:t>performance monitoring for air cargo based on </w:t>
      </w:r>
      <w:r>
        <w:rPr>
          <w:color w:val="231F20"/>
          <w:spacing w:val="-4"/>
        </w:rPr>
        <w:t>definitions</w:t>
      </w:r>
      <w:r>
        <w:rPr>
          <w:color w:val="231F20"/>
          <w:spacing w:val="-10"/>
        </w:rPr>
        <w:t> </w:t>
      </w:r>
      <w:r>
        <w:rPr>
          <w:color w:val="231F20"/>
          <w:spacing w:val="-4"/>
        </w:rPr>
        <w:t>of</w:t>
      </w:r>
      <w:r>
        <w:rPr>
          <w:color w:val="231F20"/>
          <w:spacing w:val="-9"/>
        </w:rPr>
        <w:t> </w:t>
      </w:r>
      <w:r>
        <w:rPr>
          <w:color w:val="231F20"/>
          <w:spacing w:val="-4"/>
        </w:rPr>
        <w:t>common</w:t>
      </w:r>
      <w:r>
        <w:rPr>
          <w:color w:val="231F20"/>
          <w:spacing w:val="-9"/>
        </w:rPr>
        <w:t> </w:t>
      </w:r>
      <w:r>
        <w:rPr>
          <w:color w:val="231F20"/>
          <w:spacing w:val="-4"/>
        </w:rPr>
        <w:t>business</w:t>
      </w:r>
      <w:r>
        <w:rPr>
          <w:color w:val="231F20"/>
          <w:spacing w:val="-9"/>
        </w:rPr>
        <w:t> </w:t>
      </w:r>
      <w:r>
        <w:rPr>
          <w:color w:val="231F20"/>
          <w:spacing w:val="-4"/>
        </w:rPr>
        <w:t>processes</w:t>
      </w:r>
      <w:r>
        <w:rPr>
          <w:color w:val="231F20"/>
          <w:spacing w:val="-9"/>
        </w:rPr>
        <w:t> </w:t>
      </w:r>
      <w:r>
        <w:rPr>
          <w:color w:val="231F20"/>
          <w:spacing w:val="-4"/>
        </w:rPr>
        <w:t>and </w:t>
      </w:r>
      <w:r>
        <w:rPr>
          <w:color w:val="231F20"/>
          <w:spacing w:val="-6"/>
        </w:rPr>
        <w:t>milestones.</w:t>
      </w:r>
      <w:r>
        <w:rPr>
          <w:color w:val="231F20"/>
          <w:spacing w:val="-6"/>
          <w:position w:val="7"/>
          <w:sz w:val="14"/>
        </w:rPr>
        <w:t>1</w:t>
      </w:r>
      <w:r>
        <w:rPr>
          <w:color w:val="231F20"/>
          <w:spacing w:val="10"/>
          <w:position w:val="7"/>
          <w:sz w:val="14"/>
        </w:rPr>
        <w:t> </w:t>
      </w:r>
      <w:r>
        <w:rPr>
          <w:color w:val="231F20"/>
          <w:spacing w:val="-6"/>
        </w:rPr>
        <w:t>Cargo</w:t>
      </w:r>
      <w:r>
        <w:rPr>
          <w:color w:val="231F20"/>
          <w:spacing w:val="-8"/>
        </w:rPr>
        <w:t> </w:t>
      </w:r>
      <w:r>
        <w:rPr>
          <w:color w:val="231F20"/>
          <w:spacing w:val="-6"/>
        </w:rPr>
        <w:t>iQ</w:t>
      </w:r>
      <w:r>
        <w:rPr>
          <w:color w:val="231F20"/>
          <w:spacing w:val="-8"/>
        </w:rPr>
        <w:t> </w:t>
      </w:r>
      <w:r>
        <w:rPr>
          <w:color w:val="231F20"/>
          <w:spacing w:val="-6"/>
        </w:rPr>
        <w:t>is</w:t>
      </w:r>
      <w:r>
        <w:rPr>
          <w:color w:val="231F20"/>
          <w:spacing w:val="-8"/>
        </w:rPr>
        <w:t> </w:t>
      </w:r>
      <w:r>
        <w:rPr>
          <w:color w:val="231F20"/>
          <w:spacing w:val="-6"/>
        </w:rPr>
        <w:t>a</w:t>
      </w:r>
      <w:r>
        <w:rPr>
          <w:color w:val="231F20"/>
          <w:spacing w:val="-8"/>
        </w:rPr>
        <w:t> </w:t>
      </w:r>
      <w:r>
        <w:rPr>
          <w:color w:val="231F20"/>
          <w:spacing w:val="-6"/>
        </w:rPr>
        <w:t>pioneer</w:t>
      </w:r>
      <w:r>
        <w:rPr>
          <w:color w:val="231F20"/>
          <w:spacing w:val="-8"/>
        </w:rPr>
        <w:t> </w:t>
      </w:r>
      <w:r>
        <w:rPr>
          <w:color w:val="231F20"/>
          <w:spacing w:val="-6"/>
        </w:rPr>
        <w:t>in</w:t>
      </w:r>
      <w:r>
        <w:rPr>
          <w:color w:val="231F20"/>
          <w:spacing w:val="-8"/>
        </w:rPr>
        <w:t> </w:t>
      </w:r>
      <w:r>
        <w:rPr>
          <w:color w:val="231F20"/>
          <w:spacing w:val="-6"/>
        </w:rPr>
        <w:t>digitaliza- tion</w:t>
      </w:r>
      <w:r>
        <w:rPr>
          <w:color w:val="231F20"/>
          <w:spacing w:val="-17"/>
        </w:rPr>
        <w:t> </w:t>
      </w:r>
      <w:r>
        <w:rPr>
          <w:color w:val="231F20"/>
          <w:spacing w:val="-6"/>
        </w:rPr>
        <w:t>efforts</w:t>
      </w:r>
      <w:r>
        <w:rPr>
          <w:color w:val="231F20"/>
          <w:spacing w:val="-17"/>
        </w:rPr>
        <w:t> </w:t>
      </w:r>
      <w:r>
        <w:rPr>
          <w:color w:val="231F20"/>
          <w:spacing w:val="-6"/>
        </w:rPr>
        <w:t>in</w:t>
      </w:r>
      <w:r>
        <w:rPr>
          <w:color w:val="231F20"/>
          <w:spacing w:val="-17"/>
        </w:rPr>
        <w:t> </w:t>
      </w:r>
      <w:r>
        <w:rPr>
          <w:color w:val="231F20"/>
          <w:spacing w:val="-6"/>
        </w:rPr>
        <w:t>the</w:t>
      </w:r>
      <w:r>
        <w:rPr>
          <w:color w:val="231F20"/>
          <w:spacing w:val="-17"/>
        </w:rPr>
        <w:t> </w:t>
      </w:r>
      <w:r>
        <w:rPr>
          <w:color w:val="231F20"/>
          <w:spacing w:val="-6"/>
        </w:rPr>
        <w:t>air</w:t>
      </w:r>
      <w:r>
        <w:rPr>
          <w:color w:val="231F20"/>
          <w:spacing w:val="-17"/>
        </w:rPr>
        <w:t> </w:t>
      </w:r>
      <w:r>
        <w:rPr>
          <w:color w:val="231F20"/>
          <w:spacing w:val="-6"/>
        </w:rPr>
        <w:t>cargo</w:t>
      </w:r>
      <w:r>
        <w:rPr>
          <w:color w:val="231F20"/>
          <w:spacing w:val="-17"/>
        </w:rPr>
        <w:t> </w:t>
      </w:r>
      <w:r>
        <w:rPr>
          <w:color w:val="231F20"/>
          <w:spacing w:val="-6"/>
        </w:rPr>
        <w:t>industry,</w:t>
      </w:r>
      <w:r>
        <w:rPr>
          <w:color w:val="231F20"/>
          <w:spacing w:val="-17"/>
        </w:rPr>
        <w:t> </w:t>
      </w:r>
      <w:r>
        <w:rPr>
          <w:color w:val="231F20"/>
          <w:spacing w:val="-6"/>
        </w:rPr>
        <w:t>focusing</w:t>
      </w:r>
      <w:r>
        <w:rPr>
          <w:color w:val="231F20"/>
          <w:spacing w:val="-17"/>
        </w:rPr>
        <w:t> </w:t>
      </w:r>
      <w:r>
        <w:rPr>
          <w:color w:val="231F20"/>
          <w:spacing w:val="-6"/>
        </w:rPr>
        <w:t>on </w:t>
      </w:r>
      <w:r>
        <w:rPr>
          <w:color w:val="231F20"/>
          <w:w w:val="90"/>
        </w:rPr>
        <w:t>transparency,</w:t>
      </w:r>
      <w:r>
        <w:rPr>
          <w:color w:val="231F20"/>
          <w:spacing w:val="-19"/>
          <w:w w:val="90"/>
        </w:rPr>
        <w:t> </w:t>
      </w:r>
      <w:r>
        <w:rPr>
          <w:color w:val="231F20"/>
          <w:w w:val="90"/>
        </w:rPr>
        <w:t>visibility,</w:t>
      </w:r>
      <w:r>
        <w:rPr>
          <w:color w:val="231F20"/>
          <w:spacing w:val="-17"/>
          <w:w w:val="90"/>
        </w:rPr>
        <w:t> </w:t>
      </w:r>
      <w:r>
        <w:rPr>
          <w:color w:val="231F20"/>
          <w:w w:val="90"/>
        </w:rPr>
        <w:t>and</w:t>
      </w:r>
      <w:r>
        <w:rPr>
          <w:color w:val="231F20"/>
          <w:spacing w:val="-17"/>
          <w:w w:val="90"/>
        </w:rPr>
        <w:t> </w:t>
      </w:r>
      <w:r>
        <w:rPr>
          <w:color w:val="231F20"/>
          <w:w w:val="90"/>
        </w:rPr>
        <w:t>quality</w:t>
      </w:r>
      <w:r>
        <w:rPr>
          <w:color w:val="231F20"/>
          <w:spacing w:val="-16"/>
          <w:w w:val="90"/>
        </w:rPr>
        <w:t> </w:t>
      </w:r>
      <w:r>
        <w:rPr>
          <w:color w:val="231F20"/>
          <w:w w:val="90"/>
        </w:rPr>
        <w:t>improvement. </w:t>
      </w:r>
      <w:r>
        <w:rPr>
          <w:color w:val="231F20"/>
        </w:rPr>
        <w:t>Cargo iQ brings together more than 60 </w:t>
      </w:r>
      <w:r>
        <w:rPr>
          <w:color w:val="231F20"/>
          <w:spacing w:val="-4"/>
        </w:rPr>
        <w:t>participants,</w:t>
      </w:r>
      <w:r>
        <w:rPr>
          <w:color w:val="231F20"/>
          <w:spacing w:val="-10"/>
        </w:rPr>
        <w:t> </w:t>
      </w:r>
      <w:r>
        <w:rPr>
          <w:color w:val="231F20"/>
          <w:spacing w:val="-4"/>
        </w:rPr>
        <w:t>including</w:t>
      </w:r>
      <w:r>
        <w:rPr>
          <w:color w:val="231F20"/>
          <w:spacing w:val="-9"/>
        </w:rPr>
        <w:t> </w:t>
      </w:r>
      <w:r>
        <w:rPr>
          <w:color w:val="231F20"/>
          <w:spacing w:val="-4"/>
        </w:rPr>
        <w:t>forwarders,</w:t>
      </w:r>
      <w:r>
        <w:rPr>
          <w:color w:val="231F20"/>
          <w:spacing w:val="-9"/>
        </w:rPr>
        <w:t> </w:t>
      </w:r>
      <w:r>
        <w:rPr>
          <w:color w:val="231F20"/>
          <w:spacing w:val="-4"/>
        </w:rPr>
        <w:t>air</w:t>
      </w:r>
      <w:r>
        <w:rPr>
          <w:color w:val="231F20"/>
          <w:spacing w:val="-9"/>
        </w:rPr>
        <w:t> </w:t>
      </w:r>
      <w:r>
        <w:rPr>
          <w:color w:val="231F20"/>
          <w:spacing w:val="-4"/>
        </w:rPr>
        <w:t>carriers, ground</w:t>
      </w:r>
      <w:r>
        <w:rPr>
          <w:color w:val="231F20"/>
          <w:spacing w:val="-10"/>
        </w:rPr>
        <w:t> </w:t>
      </w:r>
      <w:r>
        <w:rPr>
          <w:color w:val="231F20"/>
          <w:spacing w:val="-4"/>
        </w:rPr>
        <w:t>handling</w:t>
      </w:r>
      <w:r>
        <w:rPr>
          <w:color w:val="231F20"/>
          <w:spacing w:val="-9"/>
        </w:rPr>
        <w:t> </w:t>
      </w:r>
      <w:r>
        <w:rPr>
          <w:color w:val="231F20"/>
          <w:spacing w:val="-4"/>
        </w:rPr>
        <w:t>companies,</w:t>
      </w:r>
      <w:r>
        <w:rPr>
          <w:color w:val="231F20"/>
          <w:spacing w:val="-9"/>
        </w:rPr>
        <w:t> </w:t>
      </w:r>
      <w:r>
        <w:rPr>
          <w:color w:val="231F20"/>
          <w:spacing w:val="-4"/>
        </w:rPr>
        <w:t>road</w:t>
      </w:r>
      <w:r>
        <w:rPr>
          <w:color w:val="231F20"/>
          <w:spacing w:val="-9"/>
        </w:rPr>
        <w:t> </w:t>
      </w:r>
      <w:r>
        <w:rPr>
          <w:color w:val="231F20"/>
          <w:spacing w:val="-4"/>
        </w:rPr>
        <w:t>carriers,</w:t>
      </w:r>
      <w:r>
        <w:rPr>
          <w:color w:val="231F20"/>
          <w:spacing w:val="-9"/>
        </w:rPr>
        <w:t> </w:t>
      </w:r>
      <w:r>
        <w:rPr>
          <w:color w:val="231F20"/>
          <w:spacing w:val="-4"/>
        </w:rPr>
        <w:t>and airports,</w:t>
      </w:r>
      <w:r>
        <w:rPr>
          <w:color w:val="231F20"/>
          <w:spacing w:val="-10"/>
        </w:rPr>
        <w:t> </w:t>
      </w:r>
      <w:r>
        <w:rPr>
          <w:color w:val="231F20"/>
          <w:spacing w:val="-4"/>
        </w:rPr>
        <w:t>to</w:t>
      </w:r>
      <w:r>
        <w:rPr>
          <w:color w:val="231F20"/>
          <w:spacing w:val="-10"/>
        </w:rPr>
        <w:t> </w:t>
      </w:r>
      <w:r>
        <w:rPr>
          <w:color w:val="231F20"/>
          <w:spacing w:val="-4"/>
        </w:rPr>
        <w:t>define</w:t>
      </w:r>
      <w:r>
        <w:rPr>
          <w:color w:val="231F20"/>
          <w:spacing w:val="-10"/>
        </w:rPr>
        <w:t> </w:t>
      </w:r>
      <w:r>
        <w:rPr>
          <w:color w:val="231F20"/>
          <w:spacing w:val="-4"/>
        </w:rPr>
        <w:t>the</w:t>
      </w:r>
      <w:r>
        <w:rPr>
          <w:color w:val="231F20"/>
          <w:spacing w:val="-10"/>
        </w:rPr>
        <w:t> </w:t>
      </w:r>
      <w:r>
        <w:rPr>
          <w:color w:val="231F20"/>
          <w:spacing w:val="-4"/>
        </w:rPr>
        <w:t>standards</w:t>
      </w:r>
      <w:r>
        <w:rPr>
          <w:color w:val="231F20"/>
          <w:spacing w:val="-10"/>
        </w:rPr>
        <w:t> </w:t>
      </w:r>
      <w:r>
        <w:rPr>
          <w:color w:val="231F20"/>
          <w:spacing w:val="-4"/>
        </w:rPr>
        <w:t>for</w:t>
      </w:r>
      <w:r>
        <w:rPr>
          <w:color w:val="231F20"/>
          <w:spacing w:val="-10"/>
        </w:rPr>
        <w:t> </w:t>
      </w:r>
      <w:r>
        <w:rPr>
          <w:color w:val="231F20"/>
          <w:spacing w:val="-4"/>
        </w:rPr>
        <w:t>shared</w:t>
      </w:r>
      <w:r>
        <w:rPr>
          <w:color w:val="231F20"/>
          <w:spacing w:val="-10"/>
        </w:rPr>
        <w:t> </w:t>
      </w:r>
      <w:r>
        <w:rPr>
          <w:color w:val="231F20"/>
          <w:spacing w:val="-4"/>
        </w:rPr>
        <w:t>pro- </w:t>
      </w:r>
      <w:r>
        <w:rPr>
          <w:color w:val="231F20"/>
          <w:spacing w:val="-6"/>
        </w:rPr>
        <w:t>cesses</w:t>
      </w:r>
      <w:r>
        <w:rPr>
          <w:color w:val="231F20"/>
          <w:spacing w:val="-14"/>
        </w:rPr>
        <w:t> </w:t>
      </w:r>
      <w:r>
        <w:rPr>
          <w:color w:val="231F20"/>
          <w:spacing w:val="-6"/>
        </w:rPr>
        <w:t>and</w:t>
      </w:r>
      <w:r>
        <w:rPr>
          <w:color w:val="231F20"/>
          <w:spacing w:val="-12"/>
        </w:rPr>
        <w:t> </w:t>
      </w:r>
      <w:r>
        <w:rPr>
          <w:color w:val="231F20"/>
          <w:spacing w:val="-6"/>
        </w:rPr>
        <w:t>planning</w:t>
      </w:r>
      <w:r>
        <w:rPr>
          <w:color w:val="231F20"/>
          <w:spacing w:val="-12"/>
        </w:rPr>
        <w:t> </w:t>
      </w:r>
      <w:r>
        <w:rPr>
          <w:color w:val="231F20"/>
          <w:spacing w:val="-6"/>
        </w:rPr>
        <w:t>to</w:t>
      </w:r>
      <w:r>
        <w:rPr>
          <w:color w:val="231F20"/>
          <w:spacing w:val="-12"/>
        </w:rPr>
        <w:t> </w:t>
      </w:r>
      <w:r>
        <w:rPr>
          <w:color w:val="231F20"/>
          <w:spacing w:val="-6"/>
        </w:rPr>
        <w:t>control</w:t>
      </w:r>
      <w:r>
        <w:rPr>
          <w:color w:val="231F20"/>
          <w:spacing w:val="-12"/>
        </w:rPr>
        <w:t> </w:t>
      </w:r>
      <w:r>
        <w:rPr>
          <w:color w:val="231F20"/>
          <w:spacing w:val="-6"/>
        </w:rPr>
        <w:t>and</w:t>
      </w:r>
      <w:r>
        <w:rPr>
          <w:color w:val="231F20"/>
          <w:spacing w:val="-12"/>
        </w:rPr>
        <w:t> </w:t>
      </w:r>
      <w:r>
        <w:rPr>
          <w:color w:val="231F20"/>
          <w:spacing w:val="-6"/>
        </w:rPr>
        <w:t>evaluate</w:t>
      </w:r>
      <w:r>
        <w:rPr>
          <w:color w:val="231F20"/>
          <w:spacing w:val="-12"/>
        </w:rPr>
        <w:t> </w:t>
      </w:r>
      <w:r>
        <w:rPr>
          <w:color w:val="231F20"/>
          <w:spacing w:val="-6"/>
        </w:rPr>
        <w:t>per- formance</w:t>
      </w:r>
      <w:r>
        <w:rPr>
          <w:color w:val="231F20"/>
          <w:spacing w:val="-15"/>
        </w:rPr>
        <w:t> </w:t>
      </w:r>
      <w:r>
        <w:rPr>
          <w:color w:val="231F20"/>
          <w:spacing w:val="-6"/>
        </w:rPr>
        <w:t>of</w:t>
      </w:r>
      <w:r>
        <w:rPr>
          <w:color w:val="231F20"/>
          <w:spacing w:val="-13"/>
        </w:rPr>
        <w:t> </w:t>
      </w:r>
      <w:r>
        <w:rPr>
          <w:color w:val="231F20"/>
          <w:spacing w:val="-6"/>
        </w:rPr>
        <w:t>cargo</w:t>
      </w:r>
      <w:r>
        <w:rPr>
          <w:color w:val="231F20"/>
          <w:spacing w:val="-13"/>
        </w:rPr>
        <w:t> </w:t>
      </w:r>
      <w:r>
        <w:rPr>
          <w:color w:val="231F20"/>
          <w:spacing w:val="-6"/>
        </w:rPr>
        <w:t>shipments.</w:t>
      </w:r>
      <w:r>
        <w:rPr>
          <w:color w:val="231F20"/>
          <w:spacing w:val="-13"/>
        </w:rPr>
        <w:t> </w:t>
      </w:r>
      <w:r>
        <w:rPr>
          <w:color w:val="231F20"/>
          <w:spacing w:val="-6"/>
        </w:rPr>
        <w:t>Cargo</w:t>
      </w:r>
      <w:r>
        <w:rPr>
          <w:color w:val="231F20"/>
          <w:spacing w:val="-13"/>
        </w:rPr>
        <w:t> </w:t>
      </w:r>
      <w:r>
        <w:rPr>
          <w:color w:val="231F20"/>
          <w:spacing w:val="-6"/>
        </w:rPr>
        <w:t>iQ</w:t>
      </w:r>
      <w:r>
        <w:rPr>
          <w:color w:val="231F20"/>
          <w:spacing w:val="-13"/>
        </w:rPr>
        <w:t> </w:t>
      </w:r>
      <w:r>
        <w:rPr>
          <w:color w:val="231F20"/>
          <w:spacing w:val="-6"/>
        </w:rPr>
        <w:t>collects more</w:t>
      </w:r>
      <w:r>
        <w:rPr>
          <w:color w:val="231F20"/>
          <w:spacing w:val="-10"/>
        </w:rPr>
        <w:t> </w:t>
      </w:r>
      <w:r>
        <w:rPr>
          <w:color w:val="231F20"/>
          <w:spacing w:val="-6"/>
        </w:rPr>
        <w:t>than</w:t>
      </w:r>
      <w:r>
        <w:rPr>
          <w:color w:val="231F20"/>
          <w:spacing w:val="-10"/>
        </w:rPr>
        <w:t> </w:t>
      </w:r>
      <w:r>
        <w:rPr>
          <w:color w:val="231F20"/>
          <w:spacing w:val="-6"/>
        </w:rPr>
        <w:t>110</w:t>
      </w:r>
      <w:r>
        <w:rPr>
          <w:color w:val="231F20"/>
          <w:spacing w:val="-10"/>
        </w:rPr>
        <w:t> </w:t>
      </w:r>
      <w:r>
        <w:rPr>
          <w:color w:val="231F20"/>
          <w:spacing w:val="-6"/>
        </w:rPr>
        <w:t>million</w:t>
      </w:r>
      <w:r>
        <w:rPr>
          <w:color w:val="231F20"/>
          <w:spacing w:val="-10"/>
        </w:rPr>
        <w:t> </w:t>
      </w:r>
      <w:r>
        <w:rPr>
          <w:color w:val="231F20"/>
          <w:spacing w:val="-6"/>
        </w:rPr>
        <w:t>data</w:t>
      </w:r>
      <w:r>
        <w:rPr>
          <w:color w:val="231F20"/>
          <w:spacing w:val="-10"/>
        </w:rPr>
        <w:t> </w:t>
      </w:r>
      <w:r>
        <w:rPr>
          <w:color w:val="231F20"/>
          <w:spacing w:val="-6"/>
        </w:rPr>
        <w:t>lines</w:t>
      </w:r>
      <w:r>
        <w:rPr>
          <w:color w:val="231F20"/>
          <w:spacing w:val="-10"/>
        </w:rPr>
        <w:t> </w:t>
      </w:r>
      <w:r>
        <w:rPr>
          <w:color w:val="231F20"/>
          <w:spacing w:val="-6"/>
        </w:rPr>
        <w:t>a</w:t>
      </w:r>
      <w:r>
        <w:rPr>
          <w:color w:val="231F20"/>
          <w:spacing w:val="-10"/>
        </w:rPr>
        <w:t> </w:t>
      </w:r>
      <w:r>
        <w:rPr>
          <w:color w:val="231F20"/>
          <w:spacing w:val="-6"/>
        </w:rPr>
        <w:t>year,</w:t>
      </w:r>
      <w:r>
        <w:rPr>
          <w:color w:val="231F20"/>
          <w:spacing w:val="-10"/>
        </w:rPr>
        <w:t> </w:t>
      </w:r>
      <w:r>
        <w:rPr>
          <w:color w:val="231F20"/>
          <w:spacing w:val="-6"/>
        </w:rPr>
        <w:t>12</w:t>
      </w:r>
      <w:r>
        <w:rPr>
          <w:color w:val="231F20"/>
          <w:spacing w:val="-10"/>
        </w:rPr>
        <w:t> </w:t>
      </w:r>
      <w:r>
        <w:rPr>
          <w:color w:val="231F20"/>
          <w:spacing w:val="-6"/>
        </w:rPr>
        <w:t>mil- </w:t>
      </w:r>
      <w:r>
        <w:rPr>
          <w:color w:val="231F20"/>
          <w:spacing w:val="-4"/>
        </w:rPr>
        <w:t>lion of which are airport-to-airport shipments. These</w:t>
      </w:r>
      <w:r>
        <w:rPr>
          <w:color w:val="231F20"/>
          <w:spacing w:val="-6"/>
        </w:rPr>
        <w:t> </w:t>
      </w:r>
      <w:r>
        <w:rPr>
          <w:color w:val="231F20"/>
          <w:spacing w:val="-4"/>
        </w:rPr>
        <w:t>records,</w:t>
      </w:r>
      <w:r>
        <w:rPr>
          <w:color w:val="231F20"/>
          <w:spacing w:val="-6"/>
        </w:rPr>
        <w:t> </w:t>
      </w:r>
      <w:r>
        <w:rPr>
          <w:color w:val="231F20"/>
          <w:spacing w:val="-4"/>
        </w:rPr>
        <w:t>covering</w:t>
      </w:r>
      <w:r>
        <w:rPr>
          <w:color w:val="231F20"/>
          <w:spacing w:val="-6"/>
        </w:rPr>
        <w:t> </w:t>
      </w:r>
      <w:r>
        <w:rPr>
          <w:color w:val="231F20"/>
          <w:spacing w:val="-4"/>
        </w:rPr>
        <w:t>information</w:t>
      </w:r>
      <w:r>
        <w:rPr>
          <w:color w:val="231F20"/>
          <w:spacing w:val="-6"/>
        </w:rPr>
        <w:t> </w:t>
      </w:r>
      <w:r>
        <w:rPr>
          <w:color w:val="231F20"/>
          <w:spacing w:val="-4"/>
        </w:rPr>
        <w:t>for</w:t>
      </w:r>
      <w:r>
        <w:rPr>
          <w:color w:val="231F20"/>
          <w:spacing w:val="-6"/>
        </w:rPr>
        <w:t> </w:t>
      </w:r>
      <w:r>
        <w:rPr>
          <w:color w:val="231F20"/>
          <w:spacing w:val="-4"/>
        </w:rPr>
        <w:t>about </w:t>
      </w:r>
      <w:r>
        <w:rPr>
          <w:color w:val="231F20"/>
          <w:spacing w:val="-6"/>
        </w:rPr>
        <w:t>650</w:t>
      </w:r>
      <w:r>
        <w:rPr>
          <w:color w:val="231F20"/>
          <w:spacing w:val="-17"/>
        </w:rPr>
        <w:t> </w:t>
      </w:r>
      <w:r>
        <w:rPr>
          <w:color w:val="231F20"/>
          <w:spacing w:val="-6"/>
        </w:rPr>
        <w:t>airports</w:t>
      </w:r>
      <w:r>
        <w:rPr>
          <w:color w:val="231F20"/>
          <w:spacing w:val="-17"/>
        </w:rPr>
        <w:t> </w:t>
      </w:r>
      <w:r>
        <w:rPr>
          <w:color w:val="231F20"/>
          <w:spacing w:val="-6"/>
        </w:rPr>
        <w:t>in</w:t>
      </w:r>
      <w:r>
        <w:rPr>
          <w:color w:val="231F20"/>
          <w:spacing w:val="-17"/>
        </w:rPr>
        <w:t> </w:t>
      </w:r>
      <w:r>
        <w:rPr>
          <w:color w:val="231F20"/>
          <w:spacing w:val="-6"/>
        </w:rPr>
        <w:t>184</w:t>
      </w:r>
      <w:r>
        <w:rPr>
          <w:color w:val="231F20"/>
          <w:spacing w:val="-17"/>
        </w:rPr>
        <w:t> </w:t>
      </w:r>
      <w:r>
        <w:rPr>
          <w:color w:val="231F20"/>
          <w:spacing w:val="-6"/>
        </w:rPr>
        <w:t>countries</w:t>
      </w:r>
      <w:r>
        <w:rPr>
          <w:color w:val="231F20"/>
          <w:spacing w:val="-17"/>
        </w:rPr>
        <w:t> </w:t>
      </w:r>
      <w:r>
        <w:rPr>
          <w:color w:val="231F20"/>
          <w:spacing w:val="-6"/>
        </w:rPr>
        <w:t>and</w:t>
      </w:r>
      <w:r>
        <w:rPr>
          <w:color w:val="231F20"/>
          <w:spacing w:val="-17"/>
        </w:rPr>
        <w:t> </w:t>
      </w:r>
      <w:r>
        <w:rPr>
          <w:color w:val="231F20"/>
          <w:spacing w:val="-6"/>
        </w:rPr>
        <w:t>accounting</w:t>
      </w:r>
      <w:r>
        <w:rPr>
          <w:color w:val="231F20"/>
          <w:spacing w:val="-17"/>
        </w:rPr>
        <w:t> </w:t>
      </w:r>
      <w:r>
        <w:rPr>
          <w:color w:val="231F20"/>
          <w:spacing w:val="-6"/>
        </w:rPr>
        <w:t>for </w:t>
      </w:r>
      <w:r>
        <w:rPr>
          <w:color w:val="231F20"/>
          <w:w w:val="90"/>
        </w:rPr>
        <w:t>45</w:t>
      </w:r>
      <w:r>
        <w:rPr>
          <w:color w:val="231F20"/>
          <w:spacing w:val="-13"/>
          <w:w w:val="90"/>
        </w:rPr>
        <w:t> </w:t>
      </w:r>
      <w:r>
        <w:rPr>
          <w:color w:val="231F20"/>
          <w:w w:val="90"/>
        </w:rPr>
        <w:t>percent</w:t>
      </w:r>
      <w:r>
        <w:rPr>
          <w:color w:val="231F20"/>
          <w:spacing w:val="-13"/>
          <w:w w:val="90"/>
        </w:rPr>
        <w:t> </w:t>
      </w:r>
      <w:r>
        <w:rPr>
          <w:color w:val="231F20"/>
          <w:w w:val="90"/>
        </w:rPr>
        <w:t>of</w:t>
      </w:r>
      <w:r>
        <w:rPr>
          <w:color w:val="231F20"/>
          <w:spacing w:val="-13"/>
          <w:w w:val="90"/>
        </w:rPr>
        <w:t> </w:t>
      </w:r>
      <w:r>
        <w:rPr>
          <w:color w:val="231F20"/>
          <w:w w:val="90"/>
        </w:rPr>
        <w:t>global</w:t>
      </w:r>
      <w:r>
        <w:rPr>
          <w:color w:val="231F20"/>
          <w:spacing w:val="-13"/>
          <w:w w:val="90"/>
        </w:rPr>
        <w:t> </w:t>
      </w:r>
      <w:r>
        <w:rPr>
          <w:color w:val="231F20"/>
          <w:w w:val="90"/>
        </w:rPr>
        <w:t>air</w:t>
      </w:r>
      <w:r>
        <w:rPr>
          <w:color w:val="231F20"/>
          <w:spacing w:val="-13"/>
          <w:w w:val="90"/>
        </w:rPr>
        <w:t> </w:t>
      </w:r>
      <w:r>
        <w:rPr>
          <w:color w:val="231F20"/>
          <w:w w:val="90"/>
        </w:rPr>
        <w:t>freight</w:t>
      </w:r>
      <w:r>
        <w:rPr>
          <w:color w:val="231F20"/>
          <w:spacing w:val="-13"/>
          <w:w w:val="90"/>
        </w:rPr>
        <w:t> </w:t>
      </w:r>
      <w:r>
        <w:rPr>
          <w:color w:val="231F20"/>
          <w:w w:val="90"/>
        </w:rPr>
        <w:t>volume,</w:t>
      </w:r>
      <w:r>
        <w:rPr>
          <w:color w:val="231F20"/>
          <w:spacing w:val="-13"/>
          <w:w w:val="90"/>
        </w:rPr>
        <w:t> </w:t>
      </w:r>
      <w:r>
        <w:rPr>
          <w:color w:val="231F20"/>
          <w:w w:val="90"/>
        </w:rPr>
        <w:t>were</w:t>
      </w:r>
      <w:r>
        <w:rPr>
          <w:color w:val="231F20"/>
          <w:spacing w:val="-13"/>
          <w:w w:val="90"/>
        </w:rPr>
        <w:t> </w:t>
      </w:r>
      <w:r>
        <w:rPr>
          <w:color w:val="231F20"/>
          <w:w w:val="90"/>
        </w:rPr>
        <w:t>used </w:t>
      </w:r>
      <w:r>
        <w:rPr>
          <w:color w:val="231F20"/>
          <w:spacing w:val="-4"/>
        </w:rPr>
        <w:t>to</w:t>
      </w:r>
      <w:r>
        <w:rPr>
          <w:color w:val="231F20"/>
          <w:spacing w:val="-13"/>
        </w:rPr>
        <w:t> </w:t>
      </w:r>
      <w:r>
        <w:rPr>
          <w:color w:val="231F20"/>
          <w:spacing w:val="-4"/>
        </w:rPr>
        <w:t>construct</w:t>
      </w:r>
      <w:r>
        <w:rPr>
          <w:color w:val="231F20"/>
          <w:spacing w:val="-13"/>
        </w:rPr>
        <w:t> </w:t>
      </w:r>
      <w:r>
        <w:rPr>
          <w:color w:val="231F20"/>
          <w:spacing w:val="-4"/>
        </w:rPr>
        <w:t>the</w:t>
      </w:r>
      <w:r>
        <w:rPr>
          <w:color w:val="231F20"/>
          <w:spacing w:val="-13"/>
        </w:rPr>
        <w:t> </w:t>
      </w:r>
      <w:r>
        <w:rPr>
          <w:color w:val="231F20"/>
          <w:spacing w:val="-4"/>
        </w:rPr>
        <w:t>aviation</w:t>
      </w:r>
      <w:r>
        <w:rPr>
          <w:color w:val="231F20"/>
          <w:spacing w:val="-13"/>
        </w:rPr>
        <w:t> </w:t>
      </w:r>
      <w:r>
        <w:rPr>
          <w:color w:val="231F20"/>
          <w:spacing w:val="-4"/>
        </w:rPr>
        <w:t>pillar</w:t>
      </w:r>
      <w:r>
        <w:rPr>
          <w:color w:val="231F20"/>
          <w:spacing w:val="-13"/>
        </w:rPr>
        <w:t> </w:t>
      </w:r>
      <w:r>
        <w:rPr>
          <w:color w:val="231F20"/>
          <w:spacing w:val="-4"/>
        </w:rPr>
        <w:t>of</w:t>
      </w:r>
      <w:r>
        <w:rPr>
          <w:color w:val="231F20"/>
          <w:spacing w:val="-13"/>
        </w:rPr>
        <w:t> </w:t>
      </w:r>
      <w:r>
        <w:rPr>
          <w:color w:val="231F20"/>
          <w:spacing w:val="-4"/>
        </w:rPr>
        <w:t>the</w:t>
      </w:r>
      <w:r>
        <w:rPr>
          <w:color w:val="231F20"/>
          <w:spacing w:val="-13"/>
        </w:rPr>
        <w:t> </w:t>
      </w:r>
      <w:r>
        <w:rPr>
          <w:color w:val="231F20"/>
          <w:spacing w:val="-4"/>
        </w:rPr>
        <w:t>2023</w:t>
      </w:r>
      <w:r>
        <w:rPr>
          <w:color w:val="231F20"/>
          <w:spacing w:val="-13"/>
        </w:rPr>
        <w:t> </w:t>
      </w:r>
      <w:r>
        <w:rPr>
          <w:color w:val="231F20"/>
          <w:spacing w:val="-4"/>
        </w:rPr>
        <w:t>LPI. </w:t>
      </w:r>
      <w:r>
        <w:rPr>
          <w:color w:val="231F20"/>
        </w:rPr>
        <w:t>Cargo</w:t>
      </w:r>
      <w:r>
        <w:rPr>
          <w:color w:val="231F20"/>
          <w:spacing w:val="-7"/>
        </w:rPr>
        <w:t> </w:t>
      </w:r>
      <w:r>
        <w:rPr>
          <w:color w:val="231F20"/>
        </w:rPr>
        <w:t>iQ’s</w:t>
      </w:r>
      <w:r>
        <w:rPr>
          <w:color w:val="231F20"/>
          <w:spacing w:val="-7"/>
        </w:rPr>
        <w:t> </w:t>
      </w:r>
      <w:r>
        <w:rPr>
          <w:color w:val="231F20"/>
        </w:rPr>
        <w:t>event</w:t>
      </w:r>
      <w:r>
        <w:rPr>
          <w:color w:val="231F20"/>
          <w:spacing w:val="-7"/>
        </w:rPr>
        <w:t> </w:t>
      </w:r>
      <w:r>
        <w:rPr>
          <w:color w:val="231F20"/>
        </w:rPr>
        <w:t>recording</w:t>
      </w:r>
      <w:r>
        <w:rPr>
          <w:color w:val="231F20"/>
          <w:spacing w:val="-7"/>
        </w:rPr>
        <w:t> </w:t>
      </w:r>
      <w:r>
        <w:rPr>
          <w:color w:val="231F20"/>
        </w:rPr>
        <w:t>follows</w:t>
      </w:r>
      <w:r>
        <w:rPr>
          <w:color w:val="231F20"/>
          <w:spacing w:val="-7"/>
        </w:rPr>
        <w:t> </w:t>
      </w:r>
      <w:r>
        <w:rPr>
          <w:color w:val="231F20"/>
        </w:rPr>
        <w:t>a</w:t>
      </w:r>
      <w:r>
        <w:rPr>
          <w:color w:val="231F20"/>
          <w:spacing w:val="-7"/>
        </w:rPr>
        <w:t> </w:t>
      </w:r>
      <w:r>
        <w:rPr>
          <w:color w:val="231F20"/>
        </w:rPr>
        <w:t>simi-</w:t>
      </w:r>
    </w:p>
    <w:p>
      <w:pPr>
        <w:pStyle w:val="BodyText"/>
        <w:spacing w:line="227" w:lineRule="exact"/>
        <w:ind w:right="177"/>
        <w:jc w:val="right"/>
      </w:pPr>
      <w:r>
        <w:rPr>
          <w:color w:val="231F20"/>
          <w:spacing w:val="-4"/>
        </w:rPr>
        <w:t>lar</w:t>
      </w:r>
      <w:r>
        <w:rPr>
          <w:color w:val="231F20"/>
          <w:spacing w:val="-14"/>
        </w:rPr>
        <w:t> </w:t>
      </w:r>
      <w:r>
        <w:rPr>
          <w:color w:val="231F20"/>
          <w:spacing w:val="-4"/>
        </w:rPr>
        <w:t>Electronic</w:t>
      </w:r>
      <w:r>
        <w:rPr>
          <w:color w:val="231F20"/>
          <w:spacing w:val="-14"/>
        </w:rPr>
        <w:t> </w:t>
      </w:r>
      <w:r>
        <w:rPr>
          <w:color w:val="231F20"/>
          <w:spacing w:val="-4"/>
        </w:rPr>
        <w:t>Data</w:t>
      </w:r>
      <w:r>
        <w:rPr>
          <w:color w:val="231F20"/>
          <w:spacing w:val="-15"/>
        </w:rPr>
        <w:t> </w:t>
      </w:r>
      <w:r>
        <w:rPr>
          <w:color w:val="231F20"/>
          <w:spacing w:val="-4"/>
        </w:rPr>
        <w:t>Interchange</w:t>
      </w:r>
      <w:r>
        <w:rPr>
          <w:color w:val="231F20"/>
          <w:spacing w:val="-13"/>
        </w:rPr>
        <w:t> </w:t>
      </w:r>
      <w:r>
        <w:rPr>
          <w:color w:val="231F20"/>
          <w:spacing w:val="-4"/>
        </w:rPr>
        <w:t>(EDI)</w:t>
      </w:r>
      <w:r>
        <w:rPr>
          <w:color w:val="231F20"/>
          <w:spacing w:val="-14"/>
        </w:rPr>
        <w:t> </w:t>
      </w:r>
      <w:r>
        <w:rPr>
          <w:color w:val="231F20"/>
          <w:spacing w:val="-4"/>
        </w:rPr>
        <w:t>protocol</w:t>
      </w:r>
    </w:p>
    <w:p>
      <w:pPr>
        <w:pStyle w:val="BodyText"/>
        <w:spacing w:before="29"/>
        <w:ind w:right="178"/>
        <w:jc w:val="right"/>
      </w:pPr>
      <w:r>
        <w:rPr>
          <w:color w:val="231F20"/>
          <w:spacing w:val="-2"/>
        </w:rPr>
        <w:t>as</w:t>
      </w:r>
      <w:r>
        <w:rPr>
          <w:color w:val="231F20"/>
          <w:spacing w:val="-8"/>
        </w:rPr>
        <w:t> </w:t>
      </w:r>
      <w:r>
        <w:rPr>
          <w:color w:val="231F20"/>
          <w:spacing w:val="-2"/>
        </w:rPr>
        <w:t>the</w:t>
      </w:r>
      <w:r>
        <w:rPr>
          <w:color w:val="231F20"/>
          <w:spacing w:val="-7"/>
        </w:rPr>
        <w:t> </w:t>
      </w:r>
      <w:r>
        <w:rPr>
          <w:color w:val="231F20"/>
          <w:spacing w:val="-2"/>
        </w:rPr>
        <w:t>UPU,</w:t>
      </w:r>
      <w:r>
        <w:rPr>
          <w:color w:val="231F20"/>
          <w:spacing w:val="-8"/>
        </w:rPr>
        <w:t> </w:t>
      </w:r>
      <w:r>
        <w:rPr>
          <w:color w:val="231F20"/>
          <w:spacing w:val="-2"/>
        </w:rPr>
        <w:t>with</w:t>
      </w:r>
      <w:r>
        <w:rPr>
          <w:color w:val="231F20"/>
          <w:spacing w:val="-7"/>
        </w:rPr>
        <w:t> </w:t>
      </w:r>
      <w:r>
        <w:rPr>
          <w:color w:val="231F20"/>
          <w:spacing w:val="-2"/>
        </w:rPr>
        <w:t>a</w:t>
      </w:r>
      <w:r>
        <w:rPr>
          <w:color w:val="231F20"/>
          <w:spacing w:val="-8"/>
        </w:rPr>
        <w:t> </w:t>
      </w:r>
      <w:r>
        <w:rPr>
          <w:color w:val="231F20"/>
          <w:spacing w:val="-2"/>
        </w:rPr>
        <w:t>similar</w:t>
      </w:r>
      <w:r>
        <w:rPr>
          <w:color w:val="231F20"/>
          <w:spacing w:val="-7"/>
        </w:rPr>
        <w:t> </w:t>
      </w:r>
      <w:r>
        <w:rPr>
          <w:color w:val="231F20"/>
          <w:spacing w:val="-2"/>
        </w:rPr>
        <w:t>logical</w:t>
      </w:r>
      <w:r>
        <w:rPr>
          <w:color w:val="231F20"/>
          <w:spacing w:val="-8"/>
        </w:rPr>
        <w:t> </w:t>
      </w:r>
      <w:r>
        <w:rPr>
          <w:color w:val="231F20"/>
          <w:spacing w:val="-2"/>
        </w:rPr>
        <w:t>ordering</w:t>
      </w:r>
      <w:r>
        <w:rPr>
          <w:color w:val="231F20"/>
          <w:spacing w:val="-7"/>
        </w:rPr>
        <w:t> </w:t>
      </w:r>
      <w:r>
        <w:rPr>
          <w:color w:val="231F20"/>
          <w:spacing w:val="-5"/>
        </w:rPr>
        <w:t>of</w:t>
      </w:r>
    </w:p>
    <w:p>
      <w:pPr>
        <w:spacing w:after="0"/>
        <w:jc w:val="right"/>
        <w:sectPr>
          <w:type w:val="continuous"/>
          <w:pgSz w:w="12240" w:h="15840"/>
          <w:pgMar w:header="0" w:footer="0" w:top="1140" w:bottom="280" w:left="0" w:right="540"/>
          <w:cols w:num="2" w:equalWidth="0">
            <w:col w:w="7568" w:space="40"/>
            <w:col w:w="4092"/>
          </w:cols>
        </w:sectPr>
      </w:pPr>
    </w:p>
    <w:p>
      <w:pPr>
        <w:pStyle w:val="BodyText"/>
        <w:spacing w:before="29"/>
        <w:rPr>
          <w:sz w:val="20"/>
        </w:rPr>
      </w:pPr>
    </w:p>
    <w:p>
      <w:pPr>
        <w:pStyle w:val="BodyText"/>
        <w:spacing w:line="20" w:lineRule="exact"/>
        <w:ind w:left="3840"/>
        <w:rPr>
          <w:sz w:val="2"/>
        </w:rPr>
      </w:pPr>
      <w:r>
        <w:rPr>
          <w:sz w:val="2"/>
        </w:rPr>
        <mc:AlternateContent>
          <mc:Choice Requires="wps">
            <w:drawing>
              <wp:inline distT="0" distB="0" distL="0" distR="0">
                <wp:extent cx="1219200" cy="6350"/>
                <wp:effectExtent l="9525" t="0" r="0" b="3175"/>
                <wp:docPr id="1641" name="Group 1641"/>
                <wp:cNvGraphicFramePr>
                  <a:graphicFrameLocks/>
                </wp:cNvGraphicFramePr>
                <a:graphic>
                  <a:graphicData uri="http://schemas.microsoft.com/office/word/2010/wordprocessingGroup">
                    <wpg:wgp>
                      <wpg:cNvPr id="1641" name="Group 1641"/>
                      <wpg:cNvGrpSpPr/>
                      <wpg:grpSpPr>
                        <a:xfrm>
                          <a:off x="0" y="0"/>
                          <a:ext cx="1219200" cy="6350"/>
                          <a:chExt cx="1219200" cy="6350"/>
                        </a:xfrm>
                      </wpg:grpSpPr>
                      <wps:wsp>
                        <wps:cNvPr id="1642" name="Graphic 1642"/>
                        <wps:cNvSpPr/>
                        <wps:spPr>
                          <a:xfrm>
                            <a:off x="0" y="3175"/>
                            <a:ext cx="1219200" cy="1270"/>
                          </a:xfrm>
                          <a:custGeom>
                            <a:avLst/>
                            <a:gdLst/>
                            <a:ahLst/>
                            <a:cxnLst/>
                            <a:rect l="l" t="t" r="r" b="b"/>
                            <a:pathLst>
                              <a:path w="1219200" h="0">
                                <a:moveTo>
                                  <a:pt x="0" y="0"/>
                                </a:moveTo>
                                <a:lnTo>
                                  <a:pt x="1219200" y="0"/>
                                </a:lnTo>
                              </a:path>
                            </a:pathLst>
                          </a:custGeom>
                          <a:ln w="6350">
                            <a:solidFill>
                              <a:srgbClr val="5AA2E2"/>
                            </a:solidFill>
                            <a:prstDash val="solid"/>
                          </a:ln>
                        </wps:spPr>
                        <wps:bodyPr wrap="square" lIns="0" tIns="0" rIns="0" bIns="0" rtlCol="0">
                          <a:prstTxWarp prst="textNoShape">
                            <a:avLst/>
                          </a:prstTxWarp>
                          <a:noAutofit/>
                        </wps:bodyPr>
                      </wps:wsp>
                    </wpg:wgp>
                  </a:graphicData>
                </a:graphic>
              </wp:inline>
            </w:drawing>
          </mc:Choice>
          <mc:Fallback>
            <w:pict>
              <v:group style="width:96pt;height:.5pt;mso-position-horizontal-relative:char;mso-position-vertical-relative:line" id="docshapegroup1394" coordorigin="0,0" coordsize="1920,10">
                <v:line style="position:absolute" from="0,5" to="1920,5" stroked="true" strokeweight=".5pt" strokecolor="#5aa2e2">
                  <v:stroke dashstyle="solid"/>
                </v:line>
              </v:group>
            </w:pict>
          </mc:Fallback>
        </mc:AlternateContent>
      </w:r>
      <w:r>
        <w:rPr>
          <w:sz w:val="2"/>
        </w:rPr>
      </w:r>
    </w:p>
    <w:p>
      <w:pPr>
        <w:pStyle w:val="ListParagraph"/>
        <w:numPr>
          <w:ilvl w:val="0"/>
          <w:numId w:val="15"/>
        </w:numPr>
        <w:tabs>
          <w:tab w:pos="4019" w:val="left" w:leader="none"/>
        </w:tabs>
        <w:spacing w:line="240" w:lineRule="auto" w:before="30" w:after="0"/>
        <w:ind w:left="4019" w:right="0" w:hanging="179"/>
        <w:jc w:val="left"/>
        <w:rPr>
          <w:sz w:val="16"/>
        </w:rPr>
      </w:pPr>
      <w:r>
        <w:rPr>
          <w:color w:val="231F20"/>
          <w:w w:val="80"/>
          <w:sz w:val="16"/>
        </w:rPr>
        <w:t>See</w:t>
      </w:r>
      <w:r>
        <w:rPr>
          <w:color w:val="231F20"/>
          <w:spacing w:val="48"/>
          <w:sz w:val="16"/>
        </w:rPr>
        <w:t> </w:t>
      </w:r>
      <w:hyperlink r:id="rId130">
        <w:r>
          <w:rPr>
            <w:color w:val="231F20"/>
            <w:w w:val="80"/>
            <w:sz w:val="16"/>
          </w:rPr>
          <w:t>https://www.cargoiq.org/value-</w:t>
        </w:r>
        <w:r>
          <w:rPr>
            <w:color w:val="231F20"/>
            <w:spacing w:val="-2"/>
            <w:w w:val="80"/>
            <w:sz w:val="16"/>
          </w:rPr>
          <w:t>proposition</w:t>
        </w:r>
      </w:hyperlink>
      <w:r>
        <w:rPr>
          <w:color w:val="231F20"/>
          <w:spacing w:val="-2"/>
          <w:w w:val="80"/>
          <w:sz w:val="16"/>
        </w:rPr>
        <w:t>.</w:t>
      </w:r>
    </w:p>
    <w:p>
      <w:pPr>
        <w:spacing w:after="0" w:line="240" w:lineRule="auto"/>
        <w:jc w:val="left"/>
        <w:rPr>
          <w:sz w:val="16"/>
        </w:rPr>
        <w:sectPr>
          <w:type w:val="continuous"/>
          <w:pgSz w:w="12240" w:h="15840"/>
          <w:pgMar w:header="0" w:footer="0" w:top="1140" w:bottom="280" w:left="0" w:right="540"/>
        </w:sectPr>
      </w:pPr>
    </w:p>
    <w:p>
      <w:pPr>
        <w:pStyle w:val="BodyText"/>
        <w:rPr>
          <w:rFonts w:ascii="Arial"/>
          <w:sz w:val="20"/>
        </w:rPr>
      </w:pPr>
    </w:p>
    <w:p>
      <w:pPr>
        <w:pStyle w:val="BodyText"/>
        <w:rPr>
          <w:rFonts w:ascii="Arial"/>
          <w:sz w:val="20"/>
        </w:rPr>
      </w:pPr>
    </w:p>
    <w:p>
      <w:pPr>
        <w:pStyle w:val="BodyText"/>
        <w:spacing w:before="140"/>
        <w:rPr>
          <w:rFonts w:ascii="Arial"/>
          <w:sz w:val="20"/>
        </w:rPr>
      </w:pPr>
    </w:p>
    <w:p>
      <w:pPr>
        <w:pStyle w:val="BodyText"/>
        <w:ind w:left="3360"/>
        <w:rPr>
          <w:rFonts w:ascii="Arial"/>
          <w:sz w:val="20"/>
        </w:rPr>
      </w:pPr>
      <w:r>
        <w:rPr>
          <w:rFonts w:ascii="Arial"/>
          <w:sz w:val="20"/>
        </w:rPr>
        <mc:AlternateContent>
          <mc:Choice Requires="wps">
            <w:drawing>
              <wp:inline distT="0" distB="0" distL="0" distR="0">
                <wp:extent cx="4877435" cy="1592580"/>
                <wp:effectExtent l="0" t="9525" r="0" b="7619"/>
                <wp:docPr id="1648" name="Group 1648"/>
                <wp:cNvGraphicFramePr>
                  <a:graphicFrameLocks/>
                </wp:cNvGraphicFramePr>
                <a:graphic>
                  <a:graphicData uri="http://schemas.microsoft.com/office/word/2010/wordprocessingGroup">
                    <wpg:wgp>
                      <wpg:cNvPr id="1648" name="Group 1648"/>
                      <wpg:cNvGrpSpPr/>
                      <wpg:grpSpPr>
                        <a:xfrm>
                          <a:off x="0" y="0"/>
                          <a:ext cx="4877435" cy="1592580"/>
                          <a:chExt cx="4877435" cy="1592580"/>
                        </a:xfrm>
                      </wpg:grpSpPr>
                      <wps:wsp>
                        <wps:cNvPr id="1649" name="Graphic 1649"/>
                        <wps:cNvSpPr/>
                        <wps:spPr>
                          <a:xfrm>
                            <a:off x="198" y="258093"/>
                            <a:ext cx="4876800" cy="1334135"/>
                          </a:xfrm>
                          <a:custGeom>
                            <a:avLst/>
                            <a:gdLst/>
                            <a:ahLst/>
                            <a:cxnLst/>
                            <a:rect l="l" t="t" r="r" b="b"/>
                            <a:pathLst>
                              <a:path w="4876800" h="1334135">
                                <a:moveTo>
                                  <a:pt x="4876800" y="0"/>
                                </a:moveTo>
                                <a:lnTo>
                                  <a:pt x="0" y="0"/>
                                </a:lnTo>
                                <a:lnTo>
                                  <a:pt x="0" y="1259205"/>
                                </a:lnTo>
                                <a:lnTo>
                                  <a:pt x="6159" y="1288303"/>
                                </a:lnTo>
                                <a:lnTo>
                                  <a:pt x="22693" y="1312063"/>
                                </a:lnTo>
                                <a:lnTo>
                                  <a:pt x="46682" y="1328083"/>
                                </a:lnTo>
                                <a:lnTo>
                                  <a:pt x="75209" y="1333957"/>
                                </a:lnTo>
                                <a:lnTo>
                                  <a:pt x="4797920" y="1333957"/>
                                </a:lnTo>
                                <a:lnTo>
                                  <a:pt x="4827020" y="1328702"/>
                                </a:lnTo>
                                <a:lnTo>
                                  <a:pt x="4852271" y="1313716"/>
                                </a:lnTo>
                                <a:lnTo>
                                  <a:pt x="4870066" y="1290162"/>
                                </a:lnTo>
                                <a:lnTo>
                                  <a:pt x="4876800" y="1259205"/>
                                </a:lnTo>
                                <a:lnTo>
                                  <a:pt x="4876800" y="0"/>
                                </a:lnTo>
                                <a:close/>
                              </a:path>
                            </a:pathLst>
                          </a:custGeom>
                          <a:solidFill>
                            <a:srgbClr val="DFEAF7"/>
                          </a:solidFill>
                        </wps:spPr>
                        <wps:bodyPr wrap="square" lIns="0" tIns="0" rIns="0" bIns="0" rtlCol="0">
                          <a:prstTxWarp prst="textNoShape">
                            <a:avLst/>
                          </a:prstTxWarp>
                          <a:noAutofit/>
                        </wps:bodyPr>
                      </wps:wsp>
                      <wps:wsp>
                        <wps:cNvPr id="1650" name="Graphic 1650"/>
                        <wps:cNvSpPr/>
                        <wps:spPr>
                          <a:xfrm>
                            <a:off x="0" y="0"/>
                            <a:ext cx="563245" cy="231775"/>
                          </a:xfrm>
                          <a:custGeom>
                            <a:avLst/>
                            <a:gdLst/>
                            <a:ahLst/>
                            <a:cxnLst/>
                            <a:rect l="l" t="t" r="r" b="b"/>
                            <a:pathLst>
                              <a:path w="563245" h="231775">
                                <a:moveTo>
                                  <a:pt x="562978" y="0"/>
                                </a:moveTo>
                                <a:lnTo>
                                  <a:pt x="76200" y="0"/>
                                </a:lnTo>
                                <a:lnTo>
                                  <a:pt x="47213" y="3058"/>
                                </a:lnTo>
                                <a:lnTo>
                                  <a:pt x="22917" y="14506"/>
                                </a:lnTo>
                                <a:lnTo>
                                  <a:pt x="6212" y="37751"/>
                                </a:lnTo>
                                <a:lnTo>
                                  <a:pt x="0" y="76200"/>
                                </a:lnTo>
                                <a:lnTo>
                                  <a:pt x="0" y="231775"/>
                                </a:lnTo>
                                <a:lnTo>
                                  <a:pt x="562978" y="231775"/>
                                </a:lnTo>
                                <a:lnTo>
                                  <a:pt x="562978" y="0"/>
                                </a:lnTo>
                                <a:close/>
                              </a:path>
                            </a:pathLst>
                          </a:custGeom>
                          <a:solidFill>
                            <a:srgbClr val="008FDD"/>
                          </a:solidFill>
                        </wps:spPr>
                        <wps:bodyPr wrap="square" lIns="0" tIns="0" rIns="0" bIns="0" rtlCol="0">
                          <a:prstTxWarp prst="textNoShape">
                            <a:avLst/>
                          </a:prstTxWarp>
                          <a:noAutofit/>
                        </wps:bodyPr>
                      </wps:wsp>
                      <wps:wsp>
                        <wps:cNvPr id="1651" name="Graphic 1651"/>
                        <wps:cNvSpPr/>
                        <wps:spPr>
                          <a:xfrm>
                            <a:off x="562978" y="0"/>
                            <a:ext cx="4313555" cy="231775"/>
                          </a:xfrm>
                          <a:custGeom>
                            <a:avLst/>
                            <a:gdLst/>
                            <a:ahLst/>
                            <a:cxnLst/>
                            <a:rect l="l" t="t" r="r" b="b"/>
                            <a:pathLst>
                              <a:path w="4313555" h="231775">
                                <a:moveTo>
                                  <a:pt x="4237126" y="0"/>
                                </a:moveTo>
                                <a:lnTo>
                                  <a:pt x="0" y="0"/>
                                </a:lnTo>
                                <a:lnTo>
                                  <a:pt x="0" y="231775"/>
                                </a:lnTo>
                                <a:lnTo>
                                  <a:pt x="4313326" y="231775"/>
                                </a:lnTo>
                                <a:lnTo>
                                  <a:pt x="4313326" y="76200"/>
                                </a:lnTo>
                                <a:lnTo>
                                  <a:pt x="4307820" y="50979"/>
                                </a:lnTo>
                                <a:lnTo>
                                  <a:pt x="4292295" y="26265"/>
                                </a:lnTo>
                                <a:lnTo>
                                  <a:pt x="4268235" y="7468"/>
                                </a:lnTo>
                                <a:lnTo>
                                  <a:pt x="4237126" y="0"/>
                                </a:lnTo>
                                <a:close/>
                              </a:path>
                            </a:pathLst>
                          </a:custGeom>
                          <a:solidFill>
                            <a:srgbClr val="808285"/>
                          </a:solidFill>
                        </wps:spPr>
                        <wps:bodyPr wrap="square" lIns="0" tIns="0" rIns="0" bIns="0" rtlCol="0">
                          <a:prstTxWarp prst="textNoShape">
                            <a:avLst/>
                          </a:prstTxWarp>
                          <a:noAutofit/>
                        </wps:bodyPr>
                      </wps:wsp>
                      <wps:wsp>
                        <wps:cNvPr id="1652" name="Graphic 1652"/>
                        <wps:cNvSpPr/>
                        <wps:spPr>
                          <a:xfrm>
                            <a:off x="562979"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pic:pic>
                        <pic:nvPicPr>
                          <pic:cNvPr id="1653" name="Image 1653"/>
                          <pic:cNvPicPr/>
                        </pic:nvPicPr>
                        <pic:blipFill>
                          <a:blip r:embed="rId135" cstate="print"/>
                          <a:stretch>
                            <a:fillRect/>
                          </a:stretch>
                        </pic:blipFill>
                        <pic:spPr>
                          <a:xfrm>
                            <a:off x="913497" y="732417"/>
                            <a:ext cx="147218" cy="172580"/>
                          </a:xfrm>
                          <a:prstGeom prst="rect">
                            <a:avLst/>
                          </a:prstGeom>
                        </pic:spPr>
                      </pic:pic>
                      <wps:wsp>
                        <wps:cNvPr id="1654" name="Graphic 1654"/>
                        <wps:cNvSpPr/>
                        <wps:spPr>
                          <a:xfrm>
                            <a:off x="146886" y="369072"/>
                            <a:ext cx="694690" cy="907415"/>
                          </a:xfrm>
                          <a:custGeom>
                            <a:avLst/>
                            <a:gdLst/>
                            <a:ahLst/>
                            <a:cxnLst/>
                            <a:rect l="l" t="t" r="r" b="b"/>
                            <a:pathLst>
                              <a:path w="694690" h="907415">
                                <a:moveTo>
                                  <a:pt x="0" y="69443"/>
                                </a:moveTo>
                                <a:lnTo>
                                  <a:pt x="5457" y="42412"/>
                                </a:lnTo>
                                <a:lnTo>
                                  <a:pt x="20339" y="20339"/>
                                </a:lnTo>
                                <a:lnTo>
                                  <a:pt x="42412" y="5457"/>
                                </a:lnTo>
                                <a:lnTo>
                                  <a:pt x="69443" y="0"/>
                                </a:lnTo>
                                <a:lnTo>
                                  <a:pt x="625017" y="0"/>
                                </a:lnTo>
                                <a:lnTo>
                                  <a:pt x="652048" y="5457"/>
                                </a:lnTo>
                                <a:lnTo>
                                  <a:pt x="674122" y="20339"/>
                                </a:lnTo>
                                <a:lnTo>
                                  <a:pt x="689004" y="42412"/>
                                </a:lnTo>
                                <a:lnTo>
                                  <a:pt x="694461" y="69443"/>
                                </a:lnTo>
                                <a:lnTo>
                                  <a:pt x="694461" y="837387"/>
                                </a:lnTo>
                                <a:lnTo>
                                  <a:pt x="689004" y="864418"/>
                                </a:lnTo>
                                <a:lnTo>
                                  <a:pt x="674122" y="886491"/>
                                </a:lnTo>
                                <a:lnTo>
                                  <a:pt x="652048" y="901373"/>
                                </a:lnTo>
                                <a:lnTo>
                                  <a:pt x="625017" y="906830"/>
                                </a:lnTo>
                                <a:lnTo>
                                  <a:pt x="69443" y="906830"/>
                                </a:lnTo>
                                <a:lnTo>
                                  <a:pt x="42412" y="901373"/>
                                </a:lnTo>
                                <a:lnTo>
                                  <a:pt x="20339" y="886491"/>
                                </a:lnTo>
                                <a:lnTo>
                                  <a:pt x="5457" y="864418"/>
                                </a:lnTo>
                                <a:lnTo>
                                  <a:pt x="0" y="837387"/>
                                </a:lnTo>
                                <a:lnTo>
                                  <a:pt x="0" y="69443"/>
                                </a:lnTo>
                                <a:close/>
                              </a:path>
                            </a:pathLst>
                          </a:custGeom>
                          <a:ln w="19050">
                            <a:solidFill>
                              <a:srgbClr val="008FDD"/>
                            </a:solidFill>
                            <a:prstDash val="solid"/>
                          </a:ln>
                        </wps:spPr>
                        <wps:bodyPr wrap="square" lIns="0" tIns="0" rIns="0" bIns="0" rtlCol="0">
                          <a:prstTxWarp prst="textNoShape">
                            <a:avLst/>
                          </a:prstTxWarp>
                          <a:noAutofit/>
                        </wps:bodyPr>
                      </wps:wsp>
                      <wps:wsp>
                        <wps:cNvPr id="1655" name="Graphic 1655"/>
                        <wps:cNvSpPr/>
                        <wps:spPr>
                          <a:xfrm>
                            <a:off x="1132871" y="369072"/>
                            <a:ext cx="694690" cy="907415"/>
                          </a:xfrm>
                          <a:custGeom>
                            <a:avLst/>
                            <a:gdLst/>
                            <a:ahLst/>
                            <a:cxnLst/>
                            <a:rect l="l" t="t" r="r" b="b"/>
                            <a:pathLst>
                              <a:path w="694690" h="907415">
                                <a:moveTo>
                                  <a:pt x="0" y="69443"/>
                                </a:moveTo>
                                <a:lnTo>
                                  <a:pt x="5457" y="42412"/>
                                </a:lnTo>
                                <a:lnTo>
                                  <a:pt x="20339" y="20339"/>
                                </a:lnTo>
                                <a:lnTo>
                                  <a:pt x="42412" y="5457"/>
                                </a:lnTo>
                                <a:lnTo>
                                  <a:pt x="69443" y="0"/>
                                </a:lnTo>
                                <a:lnTo>
                                  <a:pt x="625017" y="0"/>
                                </a:lnTo>
                                <a:lnTo>
                                  <a:pt x="652048" y="5457"/>
                                </a:lnTo>
                                <a:lnTo>
                                  <a:pt x="674122" y="20339"/>
                                </a:lnTo>
                                <a:lnTo>
                                  <a:pt x="689004" y="42412"/>
                                </a:lnTo>
                                <a:lnTo>
                                  <a:pt x="694461" y="69443"/>
                                </a:lnTo>
                                <a:lnTo>
                                  <a:pt x="694461" y="837387"/>
                                </a:lnTo>
                                <a:lnTo>
                                  <a:pt x="689004" y="864418"/>
                                </a:lnTo>
                                <a:lnTo>
                                  <a:pt x="674122" y="886491"/>
                                </a:lnTo>
                                <a:lnTo>
                                  <a:pt x="652048" y="901373"/>
                                </a:lnTo>
                                <a:lnTo>
                                  <a:pt x="625017" y="906830"/>
                                </a:lnTo>
                                <a:lnTo>
                                  <a:pt x="69443" y="906830"/>
                                </a:lnTo>
                                <a:lnTo>
                                  <a:pt x="42412" y="901373"/>
                                </a:lnTo>
                                <a:lnTo>
                                  <a:pt x="20339" y="886491"/>
                                </a:lnTo>
                                <a:lnTo>
                                  <a:pt x="5457" y="864418"/>
                                </a:lnTo>
                                <a:lnTo>
                                  <a:pt x="0" y="837387"/>
                                </a:lnTo>
                                <a:lnTo>
                                  <a:pt x="0" y="69443"/>
                                </a:lnTo>
                                <a:close/>
                              </a:path>
                            </a:pathLst>
                          </a:custGeom>
                          <a:ln w="19050">
                            <a:solidFill>
                              <a:srgbClr val="008FDD"/>
                            </a:solidFill>
                            <a:prstDash val="solid"/>
                          </a:ln>
                        </wps:spPr>
                        <wps:bodyPr wrap="square" lIns="0" tIns="0" rIns="0" bIns="0" rtlCol="0">
                          <a:prstTxWarp prst="textNoShape">
                            <a:avLst/>
                          </a:prstTxWarp>
                          <a:noAutofit/>
                        </wps:bodyPr>
                      </wps:wsp>
                      <wps:wsp>
                        <wps:cNvPr id="1656" name="Graphic 1656"/>
                        <wps:cNvSpPr/>
                        <wps:spPr>
                          <a:xfrm>
                            <a:off x="2118857" y="369072"/>
                            <a:ext cx="694690" cy="907415"/>
                          </a:xfrm>
                          <a:custGeom>
                            <a:avLst/>
                            <a:gdLst/>
                            <a:ahLst/>
                            <a:cxnLst/>
                            <a:rect l="l" t="t" r="r" b="b"/>
                            <a:pathLst>
                              <a:path w="694690" h="907415">
                                <a:moveTo>
                                  <a:pt x="0" y="69443"/>
                                </a:moveTo>
                                <a:lnTo>
                                  <a:pt x="5457" y="42412"/>
                                </a:lnTo>
                                <a:lnTo>
                                  <a:pt x="20339" y="20339"/>
                                </a:lnTo>
                                <a:lnTo>
                                  <a:pt x="42412" y="5457"/>
                                </a:lnTo>
                                <a:lnTo>
                                  <a:pt x="69443" y="0"/>
                                </a:lnTo>
                                <a:lnTo>
                                  <a:pt x="625017" y="0"/>
                                </a:lnTo>
                                <a:lnTo>
                                  <a:pt x="652043" y="5457"/>
                                </a:lnTo>
                                <a:lnTo>
                                  <a:pt x="674117" y="20339"/>
                                </a:lnTo>
                                <a:lnTo>
                                  <a:pt x="689002" y="42412"/>
                                </a:lnTo>
                                <a:lnTo>
                                  <a:pt x="694461" y="69443"/>
                                </a:lnTo>
                                <a:lnTo>
                                  <a:pt x="694461" y="837387"/>
                                </a:lnTo>
                                <a:lnTo>
                                  <a:pt x="689002" y="864418"/>
                                </a:lnTo>
                                <a:lnTo>
                                  <a:pt x="674117" y="886491"/>
                                </a:lnTo>
                                <a:lnTo>
                                  <a:pt x="652043" y="901373"/>
                                </a:lnTo>
                                <a:lnTo>
                                  <a:pt x="625017" y="906830"/>
                                </a:lnTo>
                                <a:lnTo>
                                  <a:pt x="69443" y="906830"/>
                                </a:lnTo>
                                <a:lnTo>
                                  <a:pt x="42412" y="901373"/>
                                </a:lnTo>
                                <a:lnTo>
                                  <a:pt x="20339" y="886491"/>
                                </a:lnTo>
                                <a:lnTo>
                                  <a:pt x="5457" y="864418"/>
                                </a:lnTo>
                                <a:lnTo>
                                  <a:pt x="0" y="837387"/>
                                </a:lnTo>
                                <a:lnTo>
                                  <a:pt x="0" y="69443"/>
                                </a:lnTo>
                                <a:close/>
                              </a:path>
                            </a:pathLst>
                          </a:custGeom>
                          <a:ln w="19050">
                            <a:solidFill>
                              <a:srgbClr val="008FDD"/>
                            </a:solidFill>
                            <a:prstDash val="solid"/>
                          </a:ln>
                        </wps:spPr>
                        <wps:bodyPr wrap="square" lIns="0" tIns="0" rIns="0" bIns="0" rtlCol="0">
                          <a:prstTxWarp prst="textNoShape">
                            <a:avLst/>
                          </a:prstTxWarp>
                          <a:noAutofit/>
                        </wps:bodyPr>
                      </wps:wsp>
                      <wps:wsp>
                        <wps:cNvPr id="1657" name="Graphic 1657"/>
                        <wps:cNvSpPr/>
                        <wps:spPr>
                          <a:xfrm>
                            <a:off x="3104844" y="369072"/>
                            <a:ext cx="694690" cy="907415"/>
                          </a:xfrm>
                          <a:custGeom>
                            <a:avLst/>
                            <a:gdLst/>
                            <a:ahLst/>
                            <a:cxnLst/>
                            <a:rect l="l" t="t" r="r" b="b"/>
                            <a:pathLst>
                              <a:path w="694690" h="907415">
                                <a:moveTo>
                                  <a:pt x="0" y="69443"/>
                                </a:moveTo>
                                <a:lnTo>
                                  <a:pt x="5457" y="42412"/>
                                </a:lnTo>
                                <a:lnTo>
                                  <a:pt x="20339" y="20339"/>
                                </a:lnTo>
                                <a:lnTo>
                                  <a:pt x="42412" y="5457"/>
                                </a:lnTo>
                                <a:lnTo>
                                  <a:pt x="69443" y="0"/>
                                </a:lnTo>
                                <a:lnTo>
                                  <a:pt x="625017" y="0"/>
                                </a:lnTo>
                                <a:lnTo>
                                  <a:pt x="652048" y="5457"/>
                                </a:lnTo>
                                <a:lnTo>
                                  <a:pt x="674122" y="20339"/>
                                </a:lnTo>
                                <a:lnTo>
                                  <a:pt x="689004" y="42412"/>
                                </a:lnTo>
                                <a:lnTo>
                                  <a:pt x="694461" y="69443"/>
                                </a:lnTo>
                                <a:lnTo>
                                  <a:pt x="694461" y="837387"/>
                                </a:lnTo>
                                <a:lnTo>
                                  <a:pt x="689004" y="864418"/>
                                </a:lnTo>
                                <a:lnTo>
                                  <a:pt x="674122" y="886491"/>
                                </a:lnTo>
                                <a:lnTo>
                                  <a:pt x="652048" y="901373"/>
                                </a:lnTo>
                                <a:lnTo>
                                  <a:pt x="625017" y="906830"/>
                                </a:lnTo>
                                <a:lnTo>
                                  <a:pt x="69443" y="906830"/>
                                </a:lnTo>
                                <a:lnTo>
                                  <a:pt x="42412" y="901373"/>
                                </a:lnTo>
                                <a:lnTo>
                                  <a:pt x="20339" y="886491"/>
                                </a:lnTo>
                                <a:lnTo>
                                  <a:pt x="5457" y="864418"/>
                                </a:lnTo>
                                <a:lnTo>
                                  <a:pt x="0" y="837387"/>
                                </a:lnTo>
                                <a:lnTo>
                                  <a:pt x="0" y="69443"/>
                                </a:lnTo>
                                <a:close/>
                              </a:path>
                            </a:pathLst>
                          </a:custGeom>
                          <a:ln w="19050">
                            <a:solidFill>
                              <a:srgbClr val="008FDD"/>
                            </a:solidFill>
                            <a:prstDash val="solid"/>
                          </a:ln>
                        </wps:spPr>
                        <wps:bodyPr wrap="square" lIns="0" tIns="0" rIns="0" bIns="0" rtlCol="0">
                          <a:prstTxWarp prst="textNoShape">
                            <a:avLst/>
                          </a:prstTxWarp>
                          <a:noAutofit/>
                        </wps:bodyPr>
                      </wps:wsp>
                      <pic:pic>
                        <pic:nvPicPr>
                          <pic:cNvPr id="1658" name="Image 1658"/>
                          <pic:cNvPicPr/>
                        </pic:nvPicPr>
                        <pic:blipFill>
                          <a:blip r:embed="rId135" cstate="print"/>
                          <a:stretch>
                            <a:fillRect/>
                          </a:stretch>
                        </pic:blipFill>
                        <pic:spPr>
                          <a:xfrm>
                            <a:off x="1899480" y="732417"/>
                            <a:ext cx="147231" cy="172580"/>
                          </a:xfrm>
                          <a:prstGeom prst="rect">
                            <a:avLst/>
                          </a:prstGeom>
                        </pic:spPr>
                      </pic:pic>
                      <pic:pic>
                        <pic:nvPicPr>
                          <pic:cNvPr id="1659" name="Image 1659"/>
                          <pic:cNvPicPr/>
                        </pic:nvPicPr>
                        <pic:blipFill>
                          <a:blip r:embed="rId135" cstate="print"/>
                          <a:stretch>
                            <a:fillRect/>
                          </a:stretch>
                        </pic:blipFill>
                        <pic:spPr>
                          <a:xfrm>
                            <a:off x="3871452" y="732417"/>
                            <a:ext cx="147218" cy="172580"/>
                          </a:xfrm>
                          <a:prstGeom prst="rect">
                            <a:avLst/>
                          </a:prstGeom>
                        </pic:spPr>
                      </pic:pic>
                      <pic:pic>
                        <pic:nvPicPr>
                          <pic:cNvPr id="1660" name="Image 1660"/>
                          <pic:cNvPicPr/>
                        </pic:nvPicPr>
                        <pic:blipFill>
                          <a:blip r:embed="rId135" cstate="print"/>
                          <a:stretch>
                            <a:fillRect/>
                          </a:stretch>
                        </pic:blipFill>
                        <pic:spPr>
                          <a:xfrm>
                            <a:off x="2885466" y="732417"/>
                            <a:ext cx="147218" cy="172580"/>
                          </a:xfrm>
                          <a:prstGeom prst="rect">
                            <a:avLst/>
                          </a:prstGeom>
                        </pic:spPr>
                      </pic:pic>
                      <wps:wsp>
                        <wps:cNvPr id="1661" name="Graphic 1661"/>
                        <wps:cNvSpPr/>
                        <wps:spPr>
                          <a:xfrm>
                            <a:off x="4090828" y="365295"/>
                            <a:ext cx="694690" cy="907415"/>
                          </a:xfrm>
                          <a:custGeom>
                            <a:avLst/>
                            <a:gdLst/>
                            <a:ahLst/>
                            <a:cxnLst/>
                            <a:rect l="l" t="t" r="r" b="b"/>
                            <a:pathLst>
                              <a:path w="694690" h="907415">
                                <a:moveTo>
                                  <a:pt x="0" y="69443"/>
                                </a:moveTo>
                                <a:lnTo>
                                  <a:pt x="5457" y="42412"/>
                                </a:lnTo>
                                <a:lnTo>
                                  <a:pt x="20339" y="20339"/>
                                </a:lnTo>
                                <a:lnTo>
                                  <a:pt x="42412" y="5457"/>
                                </a:lnTo>
                                <a:lnTo>
                                  <a:pt x="69443" y="0"/>
                                </a:lnTo>
                                <a:lnTo>
                                  <a:pt x="625017" y="0"/>
                                </a:lnTo>
                                <a:lnTo>
                                  <a:pt x="652043" y="5457"/>
                                </a:lnTo>
                                <a:lnTo>
                                  <a:pt x="674117" y="20339"/>
                                </a:lnTo>
                                <a:lnTo>
                                  <a:pt x="689002" y="42412"/>
                                </a:lnTo>
                                <a:lnTo>
                                  <a:pt x="694461" y="69443"/>
                                </a:lnTo>
                                <a:lnTo>
                                  <a:pt x="694461" y="837387"/>
                                </a:lnTo>
                                <a:lnTo>
                                  <a:pt x="689002" y="864418"/>
                                </a:lnTo>
                                <a:lnTo>
                                  <a:pt x="674117" y="886491"/>
                                </a:lnTo>
                                <a:lnTo>
                                  <a:pt x="652043" y="901373"/>
                                </a:lnTo>
                                <a:lnTo>
                                  <a:pt x="625017" y="906830"/>
                                </a:lnTo>
                                <a:lnTo>
                                  <a:pt x="69443" y="906830"/>
                                </a:lnTo>
                                <a:lnTo>
                                  <a:pt x="42412" y="901373"/>
                                </a:lnTo>
                                <a:lnTo>
                                  <a:pt x="20339" y="886491"/>
                                </a:lnTo>
                                <a:lnTo>
                                  <a:pt x="5457" y="864418"/>
                                </a:lnTo>
                                <a:lnTo>
                                  <a:pt x="0" y="837387"/>
                                </a:lnTo>
                                <a:lnTo>
                                  <a:pt x="0" y="69443"/>
                                </a:lnTo>
                                <a:close/>
                              </a:path>
                            </a:pathLst>
                          </a:custGeom>
                          <a:ln w="19050">
                            <a:solidFill>
                              <a:srgbClr val="008FDD"/>
                            </a:solidFill>
                            <a:prstDash val="solid"/>
                          </a:ln>
                        </wps:spPr>
                        <wps:bodyPr wrap="square" lIns="0" tIns="0" rIns="0" bIns="0" rtlCol="0">
                          <a:prstTxWarp prst="textNoShape">
                            <a:avLst/>
                          </a:prstTxWarp>
                          <a:noAutofit/>
                        </wps:bodyPr>
                      </wps:wsp>
                      <wps:wsp>
                        <wps:cNvPr id="1662" name="Textbox 1662"/>
                        <wps:cNvSpPr txBox="1"/>
                        <wps:spPr>
                          <a:xfrm>
                            <a:off x="76380" y="66855"/>
                            <a:ext cx="1579245" cy="121920"/>
                          </a:xfrm>
                          <a:prstGeom prst="rect">
                            <a:avLst/>
                          </a:prstGeom>
                        </wps:spPr>
                        <wps:txbx>
                          <w:txbxContent>
                            <w:p>
                              <w:pPr>
                                <w:spacing w:before="3"/>
                                <w:ind w:left="0" w:right="0" w:firstLine="0"/>
                                <w:jc w:val="left"/>
                                <w:rPr>
                                  <w:rFonts w:ascii="Arial"/>
                                  <w:b/>
                                  <w:sz w:val="16"/>
                                </w:rPr>
                              </w:pPr>
                              <w:r>
                                <w:rPr>
                                  <w:rFonts w:ascii="Arial"/>
                                  <w:color w:val="FFFFFF"/>
                                  <w:spacing w:val="-2"/>
                                  <w:sz w:val="16"/>
                                </w:rPr>
                                <w:t>Figure</w:t>
                              </w:r>
                              <w:r>
                                <w:rPr>
                                  <w:rFonts w:ascii="Arial"/>
                                  <w:color w:val="FFFFFF"/>
                                  <w:spacing w:val="-10"/>
                                  <w:sz w:val="16"/>
                                </w:rPr>
                                <w:t> </w:t>
                              </w:r>
                              <w:r>
                                <w:rPr>
                                  <w:rFonts w:ascii="Arial"/>
                                  <w:b/>
                                  <w:color w:val="FFFFFF"/>
                                  <w:spacing w:val="-2"/>
                                  <w:sz w:val="16"/>
                                </w:rPr>
                                <w:t>A4.1</w:t>
                              </w:r>
                              <w:r>
                                <w:rPr>
                                  <w:rFonts w:ascii="Arial"/>
                                  <w:b/>
                                  <w:color w:val="FFFFFF"/>
                                  <w:spacing w:val="41"/>
                                  <w:sz w:val="16"/>
                                </w:rPr>
                                <w:t> </w:t>
                              </w:r>
                              <w:r>
                                <w:rPr>
                                  <w:rFonts w:ascii="Arial"/>
                                  <w:b/>
                                  <w:color w:val="FFFFFF"/>
                                  <w:spacing w:val="-2"/>
                                  <w:sz w:val="16"/>
                                </w:rPr>
                                <w:t>Cargo</w:t>
                              </w:r>
                              <w:r>
                                <w:rPr>
                                  <w:rFonts w:ascii="Arial"/>
                                  <w:b/>
                                  <w:color w:val="FFFFFF"/>
                                  <w:spacing w:val="-9"/>
                                  <w:sz w:val="16"/>
                                </w:rPr>
                                <w:t> </w:t>
                              </w:r>
                              <w:r>
                                <w:rPr>
                                  <w:rFonts w:ascii="Arial"/>
                                  <w:b/>
                                  <w:color w:val="FFFFFF"/>
                                  <w:spacing w:val="-2"/>
                                  <w:sz w:val="16"/>
                                </w:rPr>
                                <w:t>iQ</w:t>
                              </w:r>
                              <w:r>
                                <w:rPr>
                                  <w:rFonts w:ascii="Arial"/>
                                  <w:b/>
                                  <w:color w:val="FFFFFF"/>
                                  <w:spacing w:val="-9"/>
                                  <w:sz w:val="16"/>
                                </w:rPr>
                                <w:t> </w:t>
                              </w:r>
                              <w:r>
                                <w:rPr>
                                  <w:rFonts w:ascii="Arial"/>
                                  <w:b/>
                                  <w:color w:val="FFFFFF"/>
                                  <w:spacing w:val="-2"/>
                                  <w:sz w:val="16"/>
                                </w:rPr>
                                <w:t>milestones</w:t>
                              </w:r>
                            </w:p>
                          </w:txbxContent>
                        </wps:txbx>
                        <wps:bodyPr wrap="square" lIns="0" tIns="0" rIns="0" bIns="0" rtlCol="0">
                          <a:noAutofit/>
                        </wps:bodyPr>
                      </wps:wsp>
                      <wps:wsp>
                        <wps:cNvPr id="1663" name="Textbox 1663"/>
                        <wps:cNvSpPr txBox="1"/>
                        <wps:spPr>
                          <a:xfrm>
                            <a:off x="174103" y="401631"/>
                            <a:ext cx="619760" cy="702945"/>
                          </a:xfrm>
                          <a:prstGeom prst="rect">
                            <a:avLst/>
                          </a:prstGeom>
                        </wps:spPr>
                        <wps:txbx>
                          <w:txbxContent>
                            <w:p>
                              <w:pPr>
                                <w:spacing w:before="22"/>
                                <w:ind w:left="20" w:right="0" w:firstLine="0"/>
                                <w:jc w:val="left"/>
                                <w:rPr>
                                  <w:rFonts w:ascii="Arial"/>
                                  <w:i/>
                                  <w:sz w:val="16"/>
                                </w:rPr>
                              </w:pPr>
                              <w:r>
                                <w:rPr>
                                  <w:rFonts w:ascii="Arial"/>
                                  <w:i/>
                                  <w:color w:val="231F20"/>
                                  <w:spacing w:val="-5"/>
                                  <w:w w:val="95"/>
                                  <w:sz w:val="16"/>
                                </w:rPr>
                                <w:t>DEP</w:t>
                              </w:r>
                            </w:p>
                            <w:p>
                              <w:pPr>
                                <w:spacing w:line="261" w:lineRule="auto" w:before="96"/>
                                <w:ind w:left="20" w:right="49" w:firstLine="0"/>
                                <w:jc w:val="left"/>
                                <w:rPr>
                                  <w:rFonts w:ascii="Arial"/>
                                  <w:sz w:val="16"/>
                                </w:rPr>
                              </w:pPr>
                              <w:r>
                                <w:rPr>
                                  <w:rFonts w:ascii="Arial"/>
                                  <w:color w:val="231F20"/>
                                  <w:spacing w:val="-2"/>
                                  <w:sz w:val="16"/>
                                </w:rPr>
                                <w:t>Shipment </w:t>
                              </w:r>
                              <w:r>
                                <w:rPr>
                                  <w:rFonts w:ascii="Arial"/>
                                  <w:color w:val="231F20"/>
                                  <w:w w:val="85"/>
                                  <w:sz w:val="16"/>
                                </w:rPr>
                                <w:t>departure</w:t>
                              </w:r>
                              <w:r>
                                <w:rPr>
                                  <w:rFonts w:ascii="Arial"/>
                                  <w:color w:val="231F20"/>
                                  <w:spacing w:val="-5"/>
                                  <w:w w:val="85"/>
                                  <w:sz w:val="16"/>
                                </w:rPr>
                                <w:t> </w:t>
                              </w:r>
                              <w:r>
                                <w:rPr>
                                  <w:rFonts w:ascii="Arial"/>
                                  <w:color w:val="231F20"/>
                                  <w:w w:val="85"/>
                                  <w:sz w:val="16"/>
                                </w:rPr>
                                <w:t>from</w:t>
                              </w:r>
                              <w:r>
                                <w:rPr>
                                  <w:rFonts w:ascii="Arial"/>
                                  <w:color w:val="231F20"/>
                                  <w:sz w:val="16"/>
                                </w:rPr>
                                <w:t> </w:t>
                              </w:r>
                              <w:r>
                                <w:rPr>
                                  <w:rFonts w:ascii="Arial"/>
                                  <w:color w:val="231F20"/>
                                  <w:spacing w:val="-2"/>
                                  <w:sz w:val="16"/>
                                </w:rPr>
                                <w:t>origin/last </w:t>
                              </w:r>
                              <w:r>
                                <w:rPr>
                                  <w:rFonts w:ascii="Arial"/>
                                  <w:color w:val="231F20"/>
                                  <w:spacing w:val="-2"/>
                                  <w:w w:val="85"/>
                                  <w:sz w:val="16"/>
                                </w:rPr>
                                <w:t>departure</w:t>
                              </w:r>
                              <w:r>
                                <w:rPr>
                                  <w:rFonts w:ascii="Arial"/>
                                  <w:color w:val="231F20"/>
                                  <w:spacing w:val="-3"/>
                                  <w:w w:val="85"/>
                                  <w:sz w:val="16"/>
                                </w:rPr>
                                <w:t> </w:t>
                              </w:r>
                              <w:r>
                                <w:rPr>
                                  <w:rFonts w:ascii="Arial"/>
                                  <w:color w:val="231F20"/>
                                  <w:spacing w:val="-2"/>
                                  <w:w w:val="85"/>
                                  <w:sz w:val="16"/>
                                </w:rPr>
                                <w:t>point</w:t>
                              </w:r>
                            </w:p>
                          </w:txbxContent>
                        </wps:txbx>
                        <wps:bodyPr wrap="square" lIns="0" tIns="0" rIns="0" bIns="0" rtlCol="0">
                          <a:noAutofit/>
                        </wps:bodyPr>
                      </wps:wsp>
                      <wps:wsp>
                        <wps:cNvPr id="1664" name="Textbox 1664"/>
                        <wps:cNvSpPr txBox="1"/>
                        <wps:spPr>
                          <a:xfrm>
                            <a:off x="1160537" y="406101"/>
                            <a:ext cx="459105" cy="702945"/>
                          </a:xfrm>
                          <a:prstGeom prst="rect">
                            <a:avLst/>
                          </a:prstGeom>
                        </wps:spPr>
                        <wps:txbx>
                          <w:txbxContent>
                            <w:p>
                              <w:pPr>
                                <w:spacing w:before="22"/>
                                <w:ind w:left="20" w:right="0" w:firstLine="0"/>
                                <w:jc w:val="left"/>
                                <w:rPr>
                                  <w:rFonts w:ascii="Arial"/>
                                  <w:i/>
                                  <w:sz w:val="16"/>
                                </w:rPr>
                              </w:pPr>
                              <w:r>
                                <w:rPr>
                                  <w:rFonts w:ascii="Arial"/>
                                  <w:i/>
                                  <w:color w:val="231F20"/>
                                  <w:spacing w:val="-5"/>
                                  <w:w w:val="95"/>
                                  <w:sz w:val="16"/>
                                </w:rPr>
                                <w:t>ARR</w:t>
                              </w:r>
                            </w:p>
                            <w:p>
                              <w:pPr>
                                <w:spacing w:line="261" w:lineRule="auto" w:before="96"/>
                                <w:ind w:left="20" w:right="47" w:firstLine="0"/>
                                <w:jc w:val="left"/>
                                <w:rPr>
                                  <w:rFonts w:ascii="Arial"/>
                                  <w:sz w:val="16"/>
                                </w:rPr>
                              </w:pPr>
                              <w:r>
                                <w:rPr>
                                  <w:rFonts w:ascii="Arial"/>
                                  <w:color w:val="231F20"/>
                                  <w:spacing w:val="-6"/>
                                  <w:sz w:val="16"/>
                                </w:rPr>
                                <w:t>Shipment</w:t>
                              </w:r>
                              <w:r>
                                <w:rPr>
                                  <w:rFonts w:ascii="Arial"/>
                                  <w:color w:val="231F20"/>
                                  <w:sz w:val="16"/>
                                </w:rPr>
                                <w:t> arrival</w:t>
                              </w:r>
                              <w:r>
                                <w:rPr>
                                  <w:rFonts w:ascii="Arial"/>
                                  <w:color w:val="231F20"/>
                                  <w:spacing w:val="-12"/>
                                  <w:sz w:val="16"/>
                                </w:rPr>
                                <w:t> </w:t>
                              </w:r>
                              <w:r>
                                <w:rPr>
                                  <w:rFonts w:ascii="Arial"/>
                                  <w:color w:val="231F20"/>
                                  <w:sz w:val="16"/>
                                </w:rPr>
                                <w:t>at </w:t>
                              </w:r>
                              <w:r>
                                <w:rPr>
                                  <w:rFonts w:ascii="Arial"/>
                                  <w:color w:val="231F20"/>
                                  <w:spacing w:val="-2"/>
                                  <w:sz w:val="16"/>
                                </w:rPr>
                                <w:t>transit/ </w:t>
                              </w:r>
                              <w:r>
                                <w:rPr>
                                  <w:rFonts w:ascii="Arial"/>
                                  <w:color w:val="231F20"/>
                                  <w:spacing w:val="-2"/>
                                  <w:w w:val="85"/>
                                  <w:sz w:val="16"/>
                                </w:rPr>
                                <w:t>destination</w:t>
                              </w:r>
                            </w:p>
                          </w:txbxContent>
                        </wps:txbx>
                        <wps:bodyPr wrap="square" lIns="0" tIns="0" rIns="0" bIns="0" rtlCol="0">
                          <a:noAutofit/>
                        </wps:bodyPr>
                      </wps:wsp>
                      <wps:wsp>
                        <wps:cNvPr id="1665" name="Textbox 1665"/>
                        <wps:cNvSpPr txBox="1"/>
                        <wps:spPr>
                          <a:xfrm>
                            <a:off x="2140875" y="406101"/>
                            <a:ext cx="647065" cy="702945"/>
                          </a:xfrm>
                          <a:prstGeom prst="rect">
                            <a:avLst/>
                          </a:prstGeom>
                        </wps:spPr>
                        <wps:txbx>
                          <w:txbxContent>
                            <w:p>
                              <w:pPr>
                                <w:spacing w:before="22"/>
                                <w:ind w:left="20" w:right="0" w:firstLine="0"/>
                                <w:jc w:val="left"/>
                                <w:rPr>
                                  <w:rFonts w:ascii="Arial"/>
                                  <w:i/>
                                  <w:sz w:val="16"/>
                                </w:rPr>
                              </w:pPr>
                              <w:r>
                                <w:rPr>
                                  <w:rFonts w:ascii="Arial"/>
                                  <w:i/>
                                  <w:color w:val="231F20"/>
                                  <w:spacing w:val="-5"/>
                                  <w:w w:val="95"/>
                                  <w:sz w:val="16"/>
                                </w:rPr>
                                <w:t>RCF</w:t>
                              </w:r>
                            </w:p>
                            <w:p>
                              <w:pPr>
                                <w:spacing w:line="261" w:lineRule="auto" w:before="96"/>
                                <w:ind w:left="20" w:right="0" w:firstLine="0"/>
                                <w:jc w:val="left"/>
                                <w:rPr>
                                  <w:rFonts w:ascii="Arial"/>
                                  <w:sz w:val="16"/>
                                </w:rPr>
                              </w:pPr>
                              <w:r>
                                <w:rPr>
                                  <w:rFonts w:ascii="Arial"/>
                                  <w:color w:val="231F20"/>
                                  <w:w w:val="85"/>
                                  <w:sz w:val="16"/>
                                </w:rPr>
                                <w:t>Cargo</w:t>
                              </w:r>
                              <w:r>
                                <w:rPr>
                                  <w:rFonts w:ascii="Arial"/>
                                  <w:color w:val="231F20"/>
                                  <w:spacing w:val="-5"/>
                                  <w:w w:val="85"/>
                                  <w:sz w:val="16"/>
                                </w:rPr>
                                <w:t> </w:t>
                              </w:r>
                              <w:r>
                                <w:rPr>
                                  <w:rFonts w:ascii="Arial"/>
                                  <w:color w:val="231F20"/>
                                  <w:w w:val="85"/>
                                  <w:sz w:val="16"/>
                                </w:rPr>
                                <w:t>received</w:t>
                              </w:r>
                              <w:r>
                                <w:rPr>
                                  <w:rFonts w:ascii="Arial"/>
                                  <w:color w:val="231F20"/>
                                  <w:sz w:val="16"/>
                                </w:rPr>
                                <w:t> </w:t>
                              </w:r>
                              <w:r>
                                <w:rPr>
                                  <w:rFonts w:ascii="Arial"/>
                                  <w:color w:val="231F20"/>
                                  <w:spacing w:val="-2"/>
                                  <w:w w:val="85"/>
                                  <w:sz w:val="16"/>
                                </w:rPr>
                                <w:t>in</w:t>
                              </w:r>
                              <w:r>
                                <w:rPr>
                                  <w:rFonts w:ascii="Arial"/>
                                  <w:color w:val="231F20"/>
                                  <w:spacing w:val="-3"/>
                                  <w:w w:val="85"/>
                                  <w:sz w:val="16"/>
                                </w:rPr>
                                <w:t> </w:t>
                              </w:r>
                              <w:r>
                                <w:rPr>
                                  <w:rFonts w:ascii="Arial"/>
                                  <w:color w:val="231F20"/>
                                  <w:spacing w:val="-2"/>
                                  <w:w w:val="85"/>
                                  <w:sz w:val="16"/>
                                </w:rPr>
                                <w:t>warehouse</w:t>
                              </w:r>
                              <w:r>
                                <w:rPr>
                                  <w:rFonts w:ascii="Arial"/>
                                  <w:color w:val="231F20"/>
                                  <w:spacing w:val="-3"/>
                                  <w:w w:val="85"/>
                                  <w:sz w:val="16"/>
                                </w:rPr>
                                <w:t> </w:t>
                              </w:r>
                              <w:r>
                                <w:rPr>
                                  <w:rFonts w:ascii="Arial"/>
                                  <w:color w:val="231F20"/>
                                  <w:spacing w:val="-2"/>
                                  <w:w w:val="85"/>
                                  <w:sz w:val="16"/>
                                </w:rPr>
                                <w:t>at</w:t>
                              </w:r>
                              <w:r>
                                <w:rPr>
                                  <w:rFonts w:ascii="Arial"/>
                                  <w:color w:val="231F20"/>
                                  <w:spacing w:val="-2"/>
                                  <w:w w:val="95"/>
                                  <w:sz w:val="16"/>
                                </w:rPr>
                                <w:t> transit/ destination</w:t>
                              </w:r>
                            </w:p>
                          </w:txbxContent>
                        </wps:txbx>
                        <wps:bodyPr wrap="square" lIns="0" tIns="0" rIns="0" bIns="0" rtlCol="0">
                          <a:noAutofit/>
                        </wps:bodyPr>
                      </wps:wsp>
                      <wps:wsp>
                        <wps:cNvPr id="1666" name="Textbox 1666"/>
                        <wps:cNvSpPr txBox="1"/>
                        <wps:spPr>
                          <a:xfrm>
                            <a:off x="3124465" y="406101"/>
                            <a:ext cx="652780" cy="829944"/>
                          </a:xfrm>
                          <a:prstGeom prst="rect">
                            <a:avLst/>
                          </a:prstGeom>
                        </wps:spPr>
                        <wps:txbx>
                          <w:txbxContent>
                            <w:p>
                              <w:pPr>
                                <w:spacing w:before="22"/>
                                <w:ind w:left="20" w:right="0" w:firstLine="0"/>
                                <w:jc w:val="left"/>
                                <w:rPr>
                                  <w:rFonts w:ascii="Arial"/>
                                  <w:i/>
                                  <w:sz w:val="16"/>
                                </w:rPr>
                              </w:pPr>
                              <w:r>
                                <w:rPr>
                                  <w:rFonts w:ascii="Arial"/>
                                  <w:i/>
                                  <w:color w:val="231F20"/>
                                  <w:spacing w:val="-5"/>
                                  <w:w w:val="95"/>
                                  <w:sz w:val="16"/>
                                </w:rPr>
                                <w:t>NFD</w:t>
                              </w:r>
                            </w:p>
                            <w:p>
                              <w:pPr>
                                <w:spacing w:line="261" w:lineRule="auto" w:before="96"/>
                                <w:ind w:left="20" w:right="48" w:firstLine="0"/>
                                <w:jc w:val="left"/>
                                <w:rPr>
                                  <w:rFonts w:ascii="Arial"/>
                                  <w:sz w:val="16"/>
                                </w:rPr>
                              </w:pPr>
                              <w:r>
                                <w:rPr>
                                  <w:rFonts w:ascii="Arial"/>
                                  <w:color w:val="231F20"/>
                                  <w:spacing w:val="-2"/>
                                  <w:sz w:val="16"/>
                                </w:rPr>
                                <w:t>Notification</w:t>
                              </w:r>
                              <w:r>
                                <w:rPr>
                                  <w:rFonts w:ascii="Arial"/>
                                  <w:color w:val="231F20"/>
                                  <w:spacing w:val="-12"/>
                                  <w:sz w:val="16"/>
                                </w:rPr>
                                <w:t> </w:t>
                              </w:r>
                              <w:r>
                                <w:rPr>
                                  <w:rFonts w:ascii="Arial"/>
                                  <w:color w:val="231F20"/>
                                  <w:spacing w:val="-2"/>
                                  <w:sz w:val="16"/>
                                </w:rPr>
                                <w:t>of </w:t>
                              </w:r>
                              <w:r>
                                <w:rPr>
                                  <w:rFonts w:ascii="Arial"/>
                                  <w:color w:val="231F20"/>
                                  <w:spacing w:val="-4"/>
                                  <w:sz w:val="16"/>
                                </w:rPr>
                                <w:t>Readiness</w:t>
                              </w:r>
                              <w:r>
                                <w:rPr>
                                  <w:rFonts w:ascii="Arial"/>
                                  <w:color w:val="231F20"/>
                                  <w:spacing w:val="-12"/>
                                  <w:sz w:val="16"/>
                                </w:rPr>
                                <w:t> </w:t>
                              </w:r>
                              <w:r>
                                <w:rPr>
                                  <w:rFonts w:ascii="Arial"/>
                                  <w:color w:val="231F20"/>
                                  <w:spacing w:val="-4"/>
                                  <w:sz w:val="16"/>
                                </w:rPr>
                                <w:t>for </w:t>
                              </w:r>
                              <w:r>
                                <w:rPr>
                                  <w:rFonts w:ascii="Arial"/>
                                  <w:color w:val="231F20"/>
                                  <w:spacing w:val="-4"/>
                                  <w:w w:val="85"/>
                                  <w:sz w:val="16"/>
                                </w:rPr>
                                <w:t>delivery</w:t>
                              </w:r>
                              <w:r>
                                <w:rPr>
                                  <w:rFonts w:ascii="Arial"/>
                                  <w:color w:val="231F20"/>
                                  <w:spacing w:val="-10"/>
                                  <w:sz w:val="16"/>
                                </w:rPr>
                                <w:t> </w:t>
                              </w:r>
                              <w:r>
                                <w:rPr>
                                  <w:rFonts w:ascii="Arial"/>
                                  <w:color w:val="231F20"/>
                                  <w:spacing w:val="-4"/>
                                  <w:w w:val="85"/>
                                  <w:sz w:val="16"/>
                                </w:rPr>
                                <w:t>of</w:t>
                              </w:r>
                              <w:r>
                                <w:rPr>
                                  <w:rFonts w:ascii="Arial"/>
                                  <w:color w:val="231F20"/>
                                  <w:spacing w:val="-10"/>
                                  <w:sz w:val="16"/>
                                </w:rPr>
                                <w:t> </w:t>
                              </w:r>
                              <w:r>
                                <w:rPr>
                                  <w:rFonts w:ascii="Arial"/>
                                  <w:color w:val="231F20"/>
                                  <w:spacing w:val="-4"/>
                                  <w:w w:val="85"/>
                                  <w:sz w:val="16"/>
                                </w:rPr>
                                <w:t>cargo</w:t>
                              </w:r>
                              <w:r>
                                <w:rPr>
                                  <w:rFonts w:ascii="Arial"/>
                                  <w:color w:val="231F20"/>
                                  <w:spacing w:val="-4"/>
                                  <w:sz w:val="16"/>
                                </w:rPr>
                                <w:t> </w:t>
                              </w:r>
                              <w:r>
                                <w:rPr>
                                  <w:rFonts w:ascii="Arial"/>
                                  <w:color w:val="231F20"/>
                                  <w:sz w:val="16"/>
                                </w:rPr>
                                <w:t>to</w:t>
                              </w:r>
                              <w:r>
                                <w:rPr>
                                  <w:rFonts w:ascii="Arial"/>
                                  <w:color w:val="231F20"/>
                                  <w:spacing w:val="-12"/>
                                  <w:sz w:val="16"/>
                                </w:rPr>
                                <w:t> </w:t>
                              </w:r>
                              <w:r>
                                <w:rPr>
                                  <w:rFonts w:ascii="Arial"/>
                                  <w:color w:val="231F20"/>
                                  <w:sz w:val="16"/>
                                </w:rPr>
                                <w:t>consignee/ </w:t>
                              </w:r>
                              <w:r>
                                <w:rPr>
                                  <w:rFonts w:ascii="Arial"/>
                                  <w:color w:val="231F20"/>
                                  <w:spacing w:val="-2"/>
                                  <w:sz w:val="16"/>
                                </w:rPr>
                                <w:t>agent</w:t>
                              </w:r>
                            </w:p>
                          </w:txbxContent>
                        </wps:txbx>
                        <wps:bodyPr wrap="square" lIns="0" tIns="0" rIns="0" bIns="0" rtlCol="0">
                          <a:noAutofit/>
                        </wps:bodyPr>
                      </wps:wsp>
                      <wps:wsp>
                        <wps:cNvPr id="1667" name="Textbox 1667"/>
                        <wps:cNvSpPr txBox="1"/>
                        <wps:spPr>
                          <a:xfrm>
                            <a:off x="4118113" y="406101"/>
                            <a:ext cx="632460" cy="575945"/>
                          </a:xfrm>
                          <a:prstGeom prst="rect">
                            <a:avLst/>
                          </a:prstGeom>
                        </wps:spPr>
                        <wps:txbx>
                          <w:txbxContent>
                            <w:p>
                              <w:pPr>
                                <w:spacing w:before="22"/>
                                <w:ind w:left="20" w:right="0" w:firstLine="0"/>
                                <w:jc w:val="left"/>
                                <w:rPr>
                                  <w:rFonts w:ascii="Arial"/>
                                  <w:i/>
                                  <w:sz w:val="16"/>
                                </w:rPr>
                              </w:pPr>
                              <w:r>
                                <w:rPr>
                                  <w:rFonts w:ascii="Arial"/>
                                  <w:i/>
                                  <w:color w:val="231F20"/>
                                  <w:spacing w:val="-5"/>
                                  <w:w w:val="95"/>
                                  <w:sz w:val="16"/>
                                </w:rPr>
                                <w:t>DLV</w:t>
                              </w:r>
                            </w:p>
                            <w:p>
                              <w:pPr>
                                <w:spacing w:line="261" w:lineRule="auto" w:before="96"/>
                                <w:ind w:left="20" w:right="0" w:firstLine="0"/>
                                <w:jc w:val="left"/>
                                <w:rPr>
                                  <w:rFonts w:ascii="Arial"/>
                                  <w:sz w:val="16"/>
                                </w:rPr>
                              </w:pPr>
                              <w:r>
                                <w:rPr>
                                  <w:rFonts w:ascii="Arial"/>
                                  <w:color w:val="231F20"/>
                                  <w:w w:val="80"/>
                                  <w:sz w:val="16"/>
                                </w:rPr>
                                <w:t>Cargo</w:t>
                              </w:r>
                              <w:r>
                                <w:rPr>
                                  <w:rFonts w:ascii="Arial"/>
                                  <w:color w:val="231F20"/>
                                  <w:spacing w:val="-3"/>
                                  <w:w w:val="80"/>
                                  <w:sz w:val="16"/>
                                </w:rPr>
                                <w:t> </w:t>
                              </w:r>
                              <w:r>
                                <w:rPr>
                                  <w:rFonts w:ascii="Arial"/>
                                  <w:color w:val="231F20"/>
                                  <w:w w:val="80"/>
                                  <w:sz w:val="16"/>
                                </w:rPr>
                                <w:t>delivered</w:t>
                              </w:r>
                              <w:r>
                                <w:rPr>
                                  <w:rFonts w:ascii="Arial"/>
                                  <w:color w:val="231F20"/>
                                  <w:sz w:val="16"/>
                                </w:rPr>
                                <w:t> </w:t>
                              </w:r>
                              <w:r>
                                <w:rPr>
                                  <w:rFonts w:ascii="Arial"/>
                                  <w:color w:val="231F20"/>
                                  <w:spacing w:val="-4"/>
                                  <w:sz w:val="16"/>
                                </w:rPr>
                                <w:t>to</w:t>
                              </w:r>
                              <w:r>
                                <w:rPr>
                                  <w:rFonts w:ascii="Arial"/>
                                  <w:color w:val="231F20"/>
                                  <w:spacing w:val="-11"/>
                                  <w:sz w:val="16"/>
                                </w:rPr>
                                <w:t> </w:t>
                              </w:r>
                              <w:r>
                                <w:rPr>
                                  <w:rFonts w:ascii="Arial"/>
                                  <w:color w:val="231F20"/>
                                  <w:spacing w:val="-4"/>
                                  <w:sz w:val="16"/>
                                </w:rPr>
                                <w:t>consignee/ </w:t>
                              </w:r>
                              <w:r>
                                <w:rPr>
                                  <w:rFonts w:ascii="Arial"/>
                                  <w:color w:val="231F20"/>
                                  <w:spacing w:val="-2"/>
                                  <w:sz w:val="16"/>
                                </w:rPr>
                                <w:t>agent</w:t>
                              </w:r>
                            </w:p>
                          </w:txbxContent>
                        </wps:txbx>
                        <wps:bodyPr wrap="square" lIns="0" tIns="0" rIns="0" bIns="0" rtlCol="0">
                          <a:noAutofit/>
                        </wps:bodyPr>
                      </wps:wsp>
                      <wps:wsp>
                        <wps:cNvPr id="1668" name="Textbox 1668"/>
                        <wps:cNvSpPr txBox="1"/>
                        <wps:spPr>
                          <a:xfrm>
                            <a:off x="63686" y="1395171"/>
                            <a:ext cx="514984" cy="116839"/>
                          </a:xfrm>
                          <a:prstGeom prst="rect">
                            <a:avLst/>
                          </a:prstGeom>
                        </wps:spPr>
                        <wps:txbx>
                          <w:txbxContent>
                            <w:p>
                              <w:pPr>
                                <w:spacing w:before="18"/>
                                <w:ind w:left="20" w:right="0" w:firstLine="0"/>
                                <w:jc w:val="left"/>
                                <w:rPr>
                                  <w:rFonts w:ascii="Arial"/>
                                  <w:sz w:val="12"/>
                                </w:rPr>
                              </w:pPr>
                              <w:r>
                                <w:rPr>
                                  <w:rFonts w:ascii="Arial"/>
                                  <w:i/>
                                  <w:color w:val="231F20"/>
                                  <w:w w:val="75"/>
                                  <w:sz w:val="12"/>
                                </w:rPr>
                                <w:t>Source:</w:t>
                              </w:r>
                              <w:r>
                                <w:rPr>
                                  <w:rFonts w:ascii="Arial"/>
                                  <w:i/>
                                  <w:color w:val="231F20"/>
                                  <w:spacing w:val="2"/>
                                  <w:sz w:val="12"/>
                                </w:rPr>
                                <w:t> </w:t>
                              </w:r>
                              <w:r>
                                <w:rPr>
                                  <w:rFonts w:ascii="Arial"/>
                                  <w:color w:val="231F20"/>
                                  <w:w w:val="75"/>
                                  <w:sz w:val="12"/>
                                </w:rPr>
                                <w:t>Cargo</w:t>
                              </w:r>
                              <w:r>
                                <w:rPr>
                                  <w:rFonts w:ascii="Arial"/>
                                  <w:color w:val="231F20"/>
                                  <w:spacing w:val="3"/>
                                  <w:sz w:val="12"/>
                                </w:rPr>
                                <w:t> </w:t>
                              </w:r>
                              <w:r>
                                <w:rPr>
                                  <w:rFonts w:ascii="Arial"/>
                                  <w:color w:val="231F20"/>
                                  <w:spacing w:val="-5"/>
                                  <w:w w:val="75"/>
                                  <w:sz w:val="12"/>
                                </w:rPr>
                                <w:t>iQ.</w:t>
                              </w:r>
                            </w:p>
                          </w:txbxContent>
                        </wps:txbx>
                        <wps:bodyPr wrap="square" lIns="0" tIns="0" rIns="0" bIns="0" rtlCol="0">
                          <a:noAutofit/>
                        </wps:bodyPr>
                      </wps:wsp>
                    </wpg:wgp>
                  </a:graphicData>
                </a:graphic>
              </wp:inline>
            </w:drawing>
          </mc:Choice>
          <mc:Fallback>
            <w:pict>
              <v:group style="width:384.05pt;height:125.4pt;mso-position-horizontal-relative:char;mso-position-vertical-relative:line" id="docshapegroup1400" coordorigin="0,0" coordsize="7681,2508">
                <v:shape style="position:absolute;left:0;top:406;width:7680;height:2101" id="docshape1401" coordorigin="0,406" coordsize="7680,2101" path="m7680,406l0,406,0,2389,10,2435,36,2473,74,2498,119,2507,7556,2507,7602,2499,7642,2475,7670,2438,7680,2389,7680,406xe" filled="true" fillcolor="#dfeaf7" stroked="false">
                  <v:path arrowok="t"/>
                  <v:fill type="solid"/>
                </v:shape>
                <v:shape style="position:absolute;left:0;top:0;width:887;height:365" id="docshape1402" coordorigin="0,0" coordsize="887,365" path="m887,0l120,0,74,5,36,23,10,59,0,120,0,365,887,365,887,0xe" filled="true" fillcolor="#008fdd" stroked="false">
                  <v:path arrowok="t"/>
                  <v:fill type="solid"/>
                </v:shape>
                <v:shape style="position:absolute;left:886;top:0;width:6793;height:365" id="docshape1403" coordorigin="887,0" coordsize="6793,365" path="m7559,0l887,0,887,365,7679,365,7679,120,7671,80,7646,41,7608,12,7559,0xe" filled="true" fillcolor="#808285" stroked="false">
                  <v:path arrowok="t"/>
                  <v:fill type="solid"/>
                </v:shape>
                <v:line style="position:absolute" from="887,0" to="887,379" stroked="true" strokeweight="2pt" strokecolor="#ffffff">
                  <v:stroke dashstyle="solid"/>
                </v:line>
                <v:shape style="position:absolute;left:1438;top:1153;width:232;height:272" type="#_x0000_t75" id="docshape1404" stroked="false">
                  <v:imagedata r:id="rId135" o:title=""/>
                </v:shape>
                <v:shape style="position:absolute;left:231;top:581;width:1094;height:1429" id="docshape1405" coordorigin="231,581" coordsize="1094,1429" path="m231,691l240,648,263,613,298,590,341,581,1216,581,1258,590,1293,613,1316,648,1325,691,1325,1900,1316,1943,1293,1977,1258,2001,1216,2009,341,2009,298,2001,263,1977,240,1943,231,1900,231,691xe" filled="false" stroked="true" strokeweight="1.5pt" strokecolor="#008fdd">
                  <v:path arrowok="t"/>
                  <v:stroke dashstyle="solid"/>
                </v:shape>
                <v:shape style="position:absolute;left:1784;top:581;width:1094;height:1429" id="docshape1406" coordorigin="1784,581" coordsize="1094,1429" path="m1784,691l1793,648,1816,613,1851,590,1893,581,2768,581,2811,590,2846,613,2869,648,2878,691,2878,1900,2869,1943,2846,1977,2811,2001,2768,2009,1893,2009,1851,2001,1816,1977,1793,1943,1784,1900,1784,691xe" filled="false" stroked="true" strokeweight="1.5pt" strokecolor="#008fdd">
                  <v:path arrowok="t"/>
                  <v:stroke dashstyle="solid"/>
                </v:shape>
                <v:shape style="position:absolute;left:3336;top:581;width:1094;height:1429" id="docshape1407" coordorigin="3337,581" coordsize="1094,1429" path="m3337,691l3345,648,3369,613,3404,590,3446,581,4321,581,4364,590,4398,613,4422,648,4430,691,4430,1900,4422,1943,4398,1977,4364,2001,4321,2009,3446,2009,3404,2001,3369,1977,3345,1943,3337,1900,3337,691xe" filled="false" stroked="true" strokeweight="1.5pt" strokecolor="#008fdd">
                  <v:path arrowok="t"/>
                  <v:stroke dashstyle="solid"/>
                </v:shape>
                <v:shape style="position:absolute;left:4889;top:581;width:1094;height:1429" id="docshape1408" coordorigin="4890,581" coordsize="1094,1429" path="m4890,691l4898,648,4922,613,4956,590,4999,581,5874,581,5916,590,5951,613,5975,648,5983,691,5983,1900,5975,1943,5951,1977,5916,2001,5874,2009,4999,2009,4956,2001,4922,1977,4898,1943,4890,1900,4890,691xe" filled="false" stroked="true" strokeweight="1.5pt" strokecolor="#008fdd">
                  <v:path arrowok="t"/>
                  <v:stroke dashstyle="solid"/>
                </v:shape>
                <v:shape style="position:absolute;left:2991;top:1153;width:232;height:272" type="#_x0000_t75" id="docshape1409" stroked="false">
                  <v:imagedata r:id="rId135" o:title=""/>
                </v:shape>
                <v:shape style="position:absolute;left:6096;top:1153;width:232;height:272" type="#_x0000_t75" id="docshape1410" stroked="false">
                  <v:imagedata r:id="rId135" o:title=""/>
                </v:shape>
                <v:shape style="position:absolute;left:4544;top:1153;width:232;height:272" type="#_x0000_t75" id="docshape1411" stroked="false">
                  <v:imagedata r:id="rId135" o:title=""/>
                </v:shape>
                <v:shape style="position:absolute;left:6442;top:575;width:1094;height:1429" id="docshape1412" coordorigin="6442,575" coordsize="1094,1429" path="m6442,685l6451,642,6474,607,6509,584,6552,575,7427,575,7469,584,7504,607,7527,642,7536,685,7536,1894,7527,1937,7504,1971,7469,1995,7427,2003,6552,2003,6509,1995,6474,1971,6451,1937,6442,1894,6442,685xe" filled="false" stroked="true" strokeweight="1.5pt" strokecolor="#008fdd">
                  <v:path arrowok="t"/>
                  <v:stroke dashstyle="solid"/>
                </v:shape>
                <v:shape style="position:absolute;left:120;top:105;width:2487;height:192" type="#_x0000_t202" id="docshape1413" filled="false" stroked="false">
                  <v:textbox inset="0,0,0,0">
                    <w:txbxContent>
                      <w:p>
                        <w:pPr>
                          <w:spacing w:before="3"/>
                          <w:ind w:left="0" w:right="0" w:firstLine="0"/>
                          <w:jc w:val="left"/>
                          <w:rPr>
                            <w:rFonts w:ascii="Arial"/>
                            <w:b/>
                            <w:sz w:val="16"/>
                          </w:rPr>
                        </w:pPr>
                        <w:r>
                          <w:rPr>
                            <w:rFonts w:ascii="Arial"/>
                            <w:color w:val="FFFFFF"/>
                            <w:spacing w:val="-2"/>
                            <w:sz w:val="16"/>
                          </w:rPr>
                          <w:t>Figure</w:t>
                        </w:r>
                        <w:r>
                          <w:rPr>
                            <w:rFonts w:ascii="Arial"/>
                            <w:color w:val="FFFFFF"/>
                            <w:spacing w:val="-10"/>
                            <w:sz w:val="16"/>
                          </w:rPr>
                          <w:t> </w:t>
                        </w:r>
                        <w:r>
                          <w:rPr>
                            <w:rFonts w:ascii="Arial"/>
                            <w:b/>
                            <w:color w:val="FFFFFF"/>
                            <w:spacing w:val="-2"/>
                            <w:sz w:val="16"/>
                          </w:rPr>
                          <w:t>A4.1</w:t>
                        </w:r>
                        <w:r>
                          <w:rPr>
                            <w:rFonts w:ascii="Arial"/>
                            <w:b/>
                            <w:color w:val="FFFFFF"/>
                            <w:spacing w:val="41"/>
                            <w:sz w:val="16"/>
                          </w:rPr>
                          <w:t> </w:t>
                        </w:r>
                        <w:r>
                          <w:rPr>
                            <w:rFonts w:ascii="Arial"/>
                            <w:b/>
                            <w:color w:val="FFFFFF"/>
                            <w:spacing w:val="-2"/>
                            <w:sz w:val="16"/>
                          </w:rPr>
                          <w:t>Cargo</w:t>
                        </w:r>
                        <w:r>
                          <w:rPr>
                            <w:rFonts w:ascii="Arial"/>
                            <w:b/>
                            <w:color w:val="FFFFFF"/>
                            <w:spacing w:val="-9"/>
                            <w:sz w:val="16"/>
                          </w:rPr>
                          <w:t> </w:t>
                        </w:r>
                        <w:r>
                          <w:rPr>
                            <w:rFonts w:ascii="Arial"/>
                            <w:b/>
                            <w:color w:val="FFFFFF"/>
                            <w:spacing w:val="-2"/>
                            <w:sz w:val="16"/>
                          </w:rPr>
                          <w:t>iQ</w:t>
                        </w:r>
                        <w:r>
                          <w:rPr>
                            <w:rFonts w:ascii="Arial"/>
                            <w:b/>
                            <w:color w:val="FFFFFF"/>
                            <w:spacing w:val="-9"/>
                            <w:sz w:val="16"/>
                          </w:rPr>
                          <w:t> </w:t>
                        </w:r>
                        <w:r>
                          <w:rPr>
                            <w:rFonts w:ascii="Arial"/>
                            <w:b/>
                            <w:color w:val="FFFFFF"/>
                            <w:spacing w:val="-2"/>
                            <w:sz w:val="16"/>
                          </w:rPr>
                          <w:t>milestones</w:t>
                        </w:r>
                      </w:p>
                    </w:txbxContent>
                  </v:textbox>
                  <w10:wrap type="none"/>
                </v:shape>
                <v:shape style="position:absolute;left:274;top:632;width:976;height:1107" type="#_x0000_t202" id="docshape1414" filled="false" stroked="false">
                  <v:textbox inset="0,0,0,0">
                    <w:txbxContent>
                      <w:p>
                        <w:pPr>
                          <w:spacing w:before="22"/>
                          <w:ind w:left="20" w:right="0" w:firstLine="0"/>
                          <w:jc w:val="left"/>
                          <w:rPr>
                            <w:rFonts w:ascii="Arial"/>
                            <w:i/>
                            <w:sz w:val="16"/>
                          </w:rPr>
                        </w:pPr>
                        <w:r>
                          <w:rPr>
                            <w:rFonts w:ascii="Arial"/>
                            <w:i/>
                            <w:color w:val="231F20"/>
                            <w:spacing w:val="-5"/>
                            <w:w w:val="95"/>
                            <w:sz w:val="16"/>
                          </w:rPr>
                          <w:t>DEP</w:t>
                        </w:r>
                      </w:p>
                      <w:p>
                        <w:pPr>
                          <w:spacing w:line="261" w:lineRule="auto" w:before="96"/>
                          <w:ind w:left="20" w:right="49" w:firstLine="0"/>
                          <w:jc w:val="left"/>
                          <w:rPr>
                            <w:rFonts w:ascii="Arial"/>
                            <w:sz w:val="16"/>
                          </w:rPr>
                        </w:pPr>
                        <w:r>
                          <w:rPr>
                            <w:rFonts w:ascii="Arial"/>
                            <w:color w:val="231F20"/>
                            <w:spacing w:val="-2"/>
                            <w:sz w:val="16"/>
                          </w:rPr>
                          <w:t>Shipment </w:t>
                        </w:r>
                        <w:r>
                          <w:rPr>
                            <w:rFonts w:ascii="Arial"/>
                            <w:color w:val="231F20"/>
                            <w:w w:val="85"/>
                            <w:sz w:val="16"/>
                          </w:rPr>
                          <w:t>departure</w:t>
                        </w:r>
                        <w:r>
                          <w:rPr>
                            <w:rFonts w:ascii="Arial"/>
                            <w:color w:val="231F20"/>
                            <w:spacing w:val="-5"/>
                            <w:w w:val="85"/>
                            <w:sz w:val="16"/>
                          </w:rPr>
                          <w:t> </w:t>
                        </w:r>
                        <w:r>
                          <w:rPr>
                            <w:rFonts w:ascii="Arial"/>
                            <w:color w:val="231F20"/>
                            <w:w w:val="85"/>
                            <w:sz w:val="16"/>
                          </w:rPr>
                          <w:t>from</w:t>
                        </w:r>
                        <w:r>
                          <w:rPr>
                            <w:rFonts w:ascii="Arial"/>
                            <w:color w:val="231F20"/>
                            <w:sz w:val="16"/>
                          </w:rPr>
                          <w:t> </w:t>
                        </w:r>
                        <w:r>
                          <w:rPr>
                            <w:rFonts w:ascii="Arial"/>
                            <w:color w:val="231F20"/>
                            <w:spacing w:val="-2"/>
                            <w:sz w:val="16"/>
                          </w:rPr>
                          <w:t>origin/last </w:t>
                        </w:r>
                        <w:r>
                          <w:rPr>
                            <w:rFonts w:ascii="Arial"/>
                            <w:color w:val="231F20"/>
                            <w:spacing w:val="-2"/>
                            <w:w w:val="85"/>
                            <w:sz w:val="16"/>
                          </w:rPr>
                          <w:t>departure</w:t>
                        </w:r>
                        <w:r>
                          <w:rPr>
                            <w:rFonts w:ascii="Arial"/>
                            <w:color w:val="231F20"/>
                            <w:spacing w:val="-3"/>
                            <w:w w:val="85"/>
                            <w:sz w:val="16"/>
                          </w:rPr>
                          <w:t> </w:t>
                        </w:r>
                        <w:r>
                          <w:rPr>
                            <w:rFonts w:ascii="Arial"/>
                            <w:color w:val="231F20"/>
                            <w:spacing w:val="-2"/>
                            <w:w w:val="85"/>
                            <w:sz w:val="16"/>
                          </w:rPr>
                          <w:t>point</w:t>
                        </w:r>
                      </w:p>
                    </w:txbxContent>
                  </v:textbox>
                  <w10:wrap type="none"/>
                </v:shape>
                <v:shape style="position:absolute;left:1827;top:639;width:723;height:1107" type="#_x0000_t202" id="docshape1415" filled="false" stroked="false">
                  <v:textbox inset="0,0,0,0">
                    <w:txbxContent>
                      <w:p>
                        <w:pPr>
                          <w:spacing w:before="22"/>
                          <w:ind w:left="20" w:right="0" w:firstLine="0"/>
                          <w:jc w:val="left"/>
                          <w:rPr>
                            <w:rFonts w:ascii="Arial"/>
                            <w:i/>
                            <w:sz w:val="16"/>
                          </w:rPr>
                        </w:pPr>
                        <w:r>
                          <w:rPr>
                            <w:rFonts w:ascii="Arial"/>
                            <w:i/>
                            <w:color w:val="231F20"/>
                            <w:spacing w:val="-5"/>
                            <w:w w:val="95"/>
                            <w:sz w:val="16"/>
                          </w:rPr>
                          <w:t>ARR</w:t>
                        </w:r>
                      </w:p>
                      <w:p>
                        <w:pPr>
                          <w:spacing w:line="261" w:lineRule="auto" w:before="96"/>
                          <w:ind w:left="20" w:right="47" w:firstLine="0"/>
                          <w:jc w:val="left"/>
                          <w:rPr>
                            <w:rFonts w:ascii="Arial"/>
                            <w:sz w:val="16"/>
                          </w:rPr>
                        </w:pPr>
                        <w:r>
                          <w:rPr>
                            <w:rFonts w:ascii="Arial"/>
                            <w:color w:val="231F20"/>
                            <w:spacing w:val="-6"/>
                            <w:sz w:val="16"/>
                          </w:rPr>
                          <w:t>Shipment</w:t>
                        </w:r>
                        <w:r>
                          <w:rPr>
                            <w:rFonts w:ascii="Arial"/>
                            <w:color w:val="231F20"/>
                            <w:sz w:val="16"/>
                          </w:rPr>
                          <w:t> arrival</w:t>
                        </w:r>
                        <w:r>
                          <w:rPr>
                            <w:rFonts w:ascii="Arial"/>
                            <w:color w:val="231F20"/>
                            <w:spacing w:val="-12"/>
                            <w:sz w:val="16"/>
                          </w:rPr>
                          <w:t> </w:t>
                        </w:r>
                        <w:r>
                          <w:rPr>
                            <w:rFonts w:ascii="Arial"/>
                            <w:color w:val="231F20"/>
                            <w:sz w:val="16"/>
                          </w:rPr>
                          <w:t>at </w:t>
                        </w:r>
                        <w:r>
                          <w:rPr>
                            <w:rFonts w:ascii="Arial"/>
                            <w:color w:val="231F20"/>
                            <w:spacing w:val="-2"/>
                            <w:sz w:val="16"/>
                          </w:rPr>
                          <w:t>transit/ </w:t>
                        </w:r>
                        <w:r>
                          <w:rPr>
                            <w:rFonts w:ascii="Arial"/>
                            <w:color w:val="231F20"/>
                            <w:spacing w:val="-2"/>
                            <w:w w:val="85"/>
                            <w:sz w:val="16"/>
                          </w:rPr>
                          <w:t>destination</w:t>
                        </w:r>
                      </w:p>
                    </w:txbxContent>
                  </v:textbox>
                  <w10:wrap type="none"/>
                </v:shape>
                <v:shape style="position:absolute;left:3371;top:639;width:1019;height:1107" type="#_x0000_t202" id="docshape1416" filled="false" stroked="false">
                  <v:textbox inset="0,0,0,0">
                    <w:txbxContent>
                      <w:p>
                        <w:pPr>
                          <w:spacing w:before="22"/>
                          <w:ind w:left="20" w:right="0" w:firstLine="0"/>
                          <w:jc w:val="left"/>
                          <w:rPr>
                            <w:rFonts w:ascii="Arial"/>
                            <w:i/>
                            <w:sz w:val="16"/>
                          </w:rPr>
                        </w:pPr>
                        <w:r>
                          <w:rPr>
                            <w:rFonts w:ascii="Arial"/>
                            <w:i/>
                            <w:color w:val="231F20"/>
                            <w:spacing w:val="-5"/>
                            <w:w w:val="95"/>
                            <w:sz w:val="16"/>
                          </w:rPr>
                          <w:t>RCF</w:t>
                        </w:r>
                      </w:p>
                      <w:p>
                        <w:pPr>
                          <w:spacing w:line="261" w:lineRule="auto" w:before="96"/>
                          <w:ind w:left="20" w:right="0" w:firstLine="0"/>
                          <w:jc w:val="left"/>
                          <w:rPr>
                            <w:rFonts w:ascii="Arial"/>
                            <w:sz w:val="16"/>
                          </w:rPr>
                        </w:pPr>
                        <w:r>
                          <w:rPr>
                            <w:rFonts w:ascii="Arial"/>
                            <w:color w:val="231F20"/>
                            <w:w w:val="85"/>
                            <w:sz w:val="16"/>
                          </w:rPr>
                          <w:t>Cargo</w:t>
                        </w:r>
                        <w:r>
                          <w:rPr>
                            <w:rFonts w:ascii="Arial"/>
                            <w:color w:val="231F20"/>
                            <w:spacing w:val="-5"/>
                            <w:w w:val="85"/>
                            <w:sz w:val="16"/>
                          </w:rPr>
                          <w:t> </w:t>
                        </w:r>
                        <w:r>
                          <w:rPr>
                            <w:rFonts w:ascii="Arial"/>
                            <w:color w:val="231F20"/>
                            <w:w w:val="85"/>
                            <w:sz w:val="16"/>
                          </w:rPr>
                          <w:t>received</w:t>
                        </w:r>
                        <w:r>
                          <w:rPr>
                            <w:rFonts w:ascii="Arial"/>
                            <w:color w:val="231F20"/>
                            <w:sz w:val="16"/>
                          </w:rPr>
                          <w:t> </w:t>
                        </w:r>
                        <w:r>
                          <w:rPr>
                            <w:rFonts w:ascii="Arial"/>
                            <w:color w:val="231F20"/>
                            <w:spacing w:val="-2"/>
                            <w:w w:val="85"/>
                            <w:sz w:val="16"/>
                          </w:rPr>
                          <w:t>in</w:t>
                        </w:r>
                        <w:r>
                          <w:rPr>
                            <w:rFonts w:ascii="Arial"/>
                            <w:color w:val="231F20"/>
                            <w:spacing w:val="-3"/>
                            <w:w w:val="85"/>
                            <w:sz w:val="16"/>
                          </w:rPr>
                          <w:t> </w:t>
                        </w:r>
                        <w:r>
                          <w:rPr>
                            <w:rFonts w:ascii="Arial"/>
                            <w:color w:val="231F20"/>
                            <w:spacing w:val="-2"/>
                            <w:w w:val="85"/>
                            <w:sz w:val="16"/>
                          </w:rPr>
                          <w:t>warehouse</w:t>
                        </w:r>
                        <w:r>
                          <w:rPr>
                            <w:rFonts w:ascii="Arial"/>
                            <w:color w:val="231F20"/>
                            <w:spacing w:val="-3"/>
                            <w:w w:val="85"/>
                            <w:sz w:val="16"/>
                          </w:rPr>
                          <w:t> </w:t>
                        </w:r>
                        <w:r>
                          <w:rPr>
                            <w:rFonts w:ascii="Arial"/>
                            <w:color w:val="231F20"/>
                            <w:spacing w:val="-2"/>
                            <w:w w:val="85"/>
                            <w:sz w:val="16"/>
                          </w:rPr>
                          <w:t>at</w:t>
                        </w:r>
                        <w:r>
                          <w:rPr>
                            <w:rFonts w:ascii="Arial"/>
                            <w:color w:val="231F20"/>
                            <w:spacing w:val="-2"/>
                            <w:w w:val="95"/>
                            <w:sz w:val="16"/>
                          </w:rPr>
                          <w:t> transit/ destination</w:t>
                        </w:r>
                      </w:p>
                    </w:txbxContent>
                  </v:textbox>
                  <w10:wrap type="none"/>
                </v:shape>
                <v:shape style="position:absolute;left:4920;top:639;width:1028;height:1307" type="#_x0000_t202" id="docshape1417" filled="false" stroked="false">
                  <v:textbox inset="0,0,0,0">
                    <w:txbxContent>
                      <w:p>
                        <w:pPr>
                          <w:spacing w:before="22"/>
                          <w:ind w:left="20" w:right="0" w:firstLine="0"/>
                          <w:jc w:val="left"/>
                          <w:rPr>
                            <w:rFonts w:ascii="Arial"/>
                            <w:i/>
                            <w:sz w:val="16"/>
                          </w:rPr>
                        </w:pPr>
                        <w:r>
                          <w:rPr>
                            <w:rFonts w:ascii="Arial"/>
                            <w:i/>
                            <w:color w:val="231F20"/>
                            <w:spacing w:val="-5"/>
                            <w:w w:val="95"/>
                            <w:sz w:val="16"/>
                          </w:rPr>
                          <w:t>NFD</w:t>
                        </w:r>
                      </w:p>
                      <w:p>
                        <w:pPr>
                          <w:spacing w:line="261" w:lineRule="auto" w:before="96"/>
                          <w:ind w:left="20" w:right="48" w:firstLine="0"/>
                          <w:jc w:val="left"/>
                          <w:rPr>
                            <w:rFonts w:ascii="Arial"/>
                            <w:sz w:val="16"/>
                          </w:rPr>
                        </w:pPr>
                        <w:r>
                          <w:rPr>
                            <w:rFonts w:ascii="Arial"/>
                            <w:color w:val="231F20"/>
                            <w:spacing w:val="-2"/>
                            <w:sz w:val="16"/>
                          </w:rPr>
                          <w:t>Notification</w:t>
                        </w:r>
                        <w:r>
                          <w:rPr>
                            <w:rFonts w:ascii="Arial"/>
                            <w:color w:val="231F20"/>
                            <w:spacing w:val="-12"/>
                            <w:sz w:val="16"/>
                          </w:rPr>
                          <w:t> </w:t>
                        </w:r>
                        <w:r>
                          <w:rPr>
                            <w:rFonts w:ascii="Arial"/>
                            <w:color w:val="231F20"/>
                            <w:spacing w:val="-2"/>
                            <w:sz w:val="16"/>
                          </w:rPr>
                          <w:t>of </w:t>
                        </w:r>
                        <w:r>
                          <w:rPr>
                            <w:rFonts w:ascii="Arial"/>
                            <w:color w:val="231F20"/>
                            <w:spacing w:val="-4"/>
                            <w:sz w:val="16"/>
                          </w:rPr>
                          <w:t>Readiness</w:t>
                        </w:r>
                        <w:r>
                          <w:rPr>
                            <w:rFonts w:ascii="Arial"/>
                            <w:color w:val="231F20"/>
                            <w:spacing w:val="-12"/>
                            <w:sz w:val="16"/>
                          </w:rPr>
                          <w:t> </w:t>
                        </w:r>
                        <w:r>
                          <w:rPr>
                            <w:rFonts w:ascii="Arial"/>
                            <w:color w:val="231F20"/>
                            <w:spacing w:val="-4"/>
                            <w:sz w:val="16"/>
                          </w:rPr>
                          <w:t>for </w:t>
                        </w:r>
                        <w:r>
                          <w:rPr>
                            <w:rFonts w:ascii="Arial"/>
                            <w:color w:val="231F20"/>
                            <w:spacing w:val="-4"/>
                            <w:w w:val="85"/>
                            <w:sz w:val="16"/>
                          </w:rPr>
                          <w:t>delivery</w:t>
                        </w:r>
                        <w:r>
                          <w:rPr>
                            <w:rFonts w:ascii="Arial"/>
                            <w:color w:val="231F20"/>
                            <w:spacing w:val="-10"/>
                            <w:sz w:val="16"/>
                          </w:rPr>
                          <w:t> </w:t>
                        </w:r>
                        <w:r>
                          <w:rPr>
                            <w:rFonts w:ascii="Arial"/>
                            <w:color w:val="231F20"/>
                            <w:spacing w:val="-4"/>
                            <w:w w:val="85"/>
                            <w:sz w:val="16"/>
                          </w:rPr>
                          <w:t>of</w:t>
                        </w:r>
                        <w:r>
                          <w:rPr>
                            <w:rFonts w:ascii="Arial"/>
                            <w:color w:val="231F20"/>
                            <w:spacing w:val="-10"/>
                            <w:sz w:val="16"/>
                          </w:rPr>
                          <w:t> </w:t>
                        </w:r>
                        <w:r>
                          <w:rPr>
                            <w:rFonts w:ascii="Arial"/>
                            <w:color w:val="231F20"/>
                            <w:spacing w:val="-4"/>
                            <w:w w:val="85"/>
                            <w:sz w:val="16"/>
                          </w:rPr>
                          <w:t>cargo</w:t>
                        </w:r>
                        <w:r>
                          <w:rPr>
                            <w:rFonts w:ascii="Arial"/>
                            <w:color w:val="231F20"/>
                            <w:spacing w:val="-4"/>
                            <w:sz w:val="16"/>
                          </w:rPr>
                          <w:t> </w:t>
                        </w:r>
                        <w:r>
                          <w:rPr>
                            <w:rFonts w:ascii="Arial"/>
                            <w:color w:val="231F20"/>
                            <w:sz w:val="16"/>
                          </w:rPr>
                          <w:t>to</w:t>
                        </w:r>
                        <w:r>
                          <w:rPr>
                            <w:rFonts w:ascii="Arial"/>
                            <w:color w:val="231F20"/>
                            <w:spacing w:val="-12"/>
                            <w:sz w:val="16"/>
                          </w:rPr>
                          <w:t> </w:t>
                        </w:r>
                        <w:r>
                          <w:rPr>
                            <w:rFonts w:ascii="Arial"/>
                            <w:color w:val="231F20"/>
                            <w:sz w:val="16"/>
                          </w:rPr>
                          <w:t>consignee/ </w:t>
                        </w:r>
                        <w:r>
                          <w:rPr>
                            <w:rFonts w:ascii="Arial"/>
                            <w:color w:val="231F20"/>
                            <w:spacing w:val="-2"/>
                            <w:sz w:val="16"/>
                          </w:rPr>
                          <w:t>agent</w:t>
                        </w:r>
                      </w:p>
                    </w:txbxContent>
                  </v:textbox>
                  <w10:wrap type="none"/>
                </v:shape>
                <v:shape style="position:absolute;left:6485;top:639;width:996;height:907" type="#_x0000_t202" id="docshape1418" filled="false" stroked="false">
                  <v:textbox inset="0,0,0,0">
                    <w:txbxContent>
                      <w:p>
                        <w:pPr>
                          <w:spacing w:before="22"/>
                          <w:ind w:left="20" w:right="0" w:firstLine="0"/>
                          <w:jc w:val="left"/>
                          <w:rPr>
                            <w:rFonts w:ascii="Arial"/>
                            <w:i/>
                            <w:sz w:val="16"/>
                          </w:rPr>
                        </w:pPr>
                        <w:r>
                          <w:rPr>
                            <w:rFonts w:ascii="Arial"/>
                            <w:i/>
                            <w:color w:val="231F20"/>
                            <w:spacing w:val="-5"/>
                            <w:w w:val="95"/>
                            <w:sz w:val="16"/>
                          </w:rPr>
                          <w:t>DLV</w:t>
                        </w:r>
                      </w:p>
                      <w:p>
                        <w:pPr>
                          <w:spacing w:line="261" w:lineRule="auto" w:before="96"/>
                          <w:ind w:left="20" w:right="0" w:firstLine="0"/>
                          <w:jc w:val="left"/>
                          <w:rPr>
                            <w:rFonts w:ascii="Arial"/>
                            <w:sz w:val="16"/>
                          </w:rPr>
                        </w:pPr>
                        <w:r>
                          <w:rPr>
                            <w:rFonts w:ascii="Arial"/>
                            <w:color w:val="231F20"/>
                            <w:w w:val="80"/>
                            <w:sz w:val="16"/>
                          </w:rPr>
                          <w:t>Cargo</w:t>
                        </w:r>
                        <w:r>
                          <w:rPr>
                            <w:rFonts w:ascii="Arial"/>
                            <w:color w:val="231F20"/>
                            <w:spacing w:val="-3"/>
                            <w:w w:val="80"/>
                            <w:sz w:val="16"/>
                          </w:rPr>
                          <w:t> </w:t>
                        </w:r>
                        <w:r>
                          <w:rPr>
                            <w:rFonts w:ascii="Arial"/>
                            <w:color w:val="231F20"/>
                            <w:w w:val="80"/>
                            <w:sz w:val="16"/>
                          </w:rPr>
                          <w:t>delivered</w:t>
                        </w:r>
                        <w:r>
                          <w:rPr>
                            <w:rFonts w:ascii="Arial"/>
                            <w:color w:val="231F20"/>
                            <w:sz w:val="16"/>
                          </w:rPr>
                          <w:t> </w:t>
                        </w:r>
                        <w:r>
                          <w:rPr>
                            <w:rFonts w:ascii="Arial"/>
                            <w:color w:val="231F20"/>
                            <w:spacing w:val="-4"/>
                            <w:sz w:val="16"/>
                          </w:rPr>
                          <w:t>to</w:t>
                        </w:r>
                        <w:r>
                          <w:rPr>
                            <w:rFonts w:ascii="Arial"/>
                            <w:color w:val="231F20"/>
                            <w:spacing w:val="-11"/>
                            <w:sz w:val="16"/>
                          </w:rPr>
                          <w:t> </w:t>
                        </w:r>
                        <w:r>
                          <w:rPr>
                            <w:rFonts w:ascii="Arial"/>
                            <w:color w:val="231F20"/>
                            <w:spacing w:val="-4"/>
                            <w:sz w:val="16"/>
                          </w:rPr>
                          <w:t>consignee/ </w:t>
                        </w:r>
                        <w:r>
                          <w:rPr>
                            <w:rFonts w:ascii="Arial"/>
                            <w:color w:val="231F20"/>
                            <w:spacing w:val="-2"/>
                            <w:sz w:val="16"/>
                          </w:rPr>
                          <w:t>agent</w:t>
                        </w:r>
                      </w:p>
                    </w:txbxContent>
                  </v:textbox>
                  <w10:wrap type="none"/>
                </v:shape>
                <v:shape style="position:absolute;left:100;top:2197;width:811;height:184" type="#_x0000_t202" id="docshape1419" filled="false" stroked="false">
                  <v:textbox inset="0,0,0,0">
                    <w:txbxContent>
                      <w:p>
                        <w:pPr>
                          <w:spacing w:before="18"/>
                          <w:ind w:left="20" w:right="0" w:firstLine="0"/>
                          <w:jc w:val="left"/>
                          <w:rPr>
                            <w:rFonts w:ascii="Arial"/>
                            <w:sz w:val="12"/>
                          </w:rPr>
                        </w:pPr>
                        <w:r>
                          <w:rPr>
                            <w:rFonts w:ascii="Arial"/>
                            <w:i/>
                            <w:color w:val="231F20"/>
                            <w:w w:val="75"/>
                            <w:sz w:val="12"/>
                          </w:rPr>
                          <w:t>Source:</w:t>
                        </w:r>
                        <w:r>
                          <w:rPr>
                            <w:rFonts w:ascii="Arial"/>
                            <w:i/>
                            <w:color w:val="231F20"/>
                            <w:spacing w:val="2"/>
                            <w:sz w:val="12"/>
                          </w:rPr>
                          <w:t> </w:t>
                        </w:r>
                        <w:r>
                          <w:rPr>
                            <w:rFonts w:ascii="Arial"/>
                            <w:color w:val="231F20"/>
                            <w:w w:val="75"/>
                            <w:sz w:val="12"/>
                          </w:rPr>
                          <w:t>Cargo</w:t>
                        </w:r>
                        <w:r>
                          <w:rPr>
                            <w:rFonts w:ascii="Arial"/>
                            <w:color w:val="231F20"/>
                            <w:spacing w:val="3"/>
                            <w:sz w:val="12"/>
                          </w:rPr>
                          <w:t> </w:t>
                        </w:r>
                        <w:r>
                          <w:rPr>
                            <w:rFonts w:ascii="Arial"/>
                            <w:color w:val="231F20"/>
                            <w:spacing w:val="-5"/>
                            <w:w w:val="75"/>
                            <w:sz w:val="12"/>
                          </w:rPr>
                          <w:t>iQ.</w:t>
                        </w:r>
                      </w:p>
                    </w:txbxContent>
                  </v:textbox>
                  <w10:wrap type="none"/>
                </v:shape>
              </v:group>
            </w:pict>
          </mc:Fallback>
        </mc:AlternateContent>
      </w:r>
      <w:r>
        <w:rPr>
          <w:rFonts w:ascii="Arial"/>
          <w:sz w:val="20"/>
        </w:rPr>
      </w:r>
    </w:p>
    <w:p>
      <w:pPr>
        <w:pStyle w:val="BodyText"/>
        <w:spacing w:before="87"/>
        <w:rPr>
          <w:rFonts w:ascii="Arial"/>
          <w:sz w:val="20"/>
        </w:rPr>
      </w:pPr>
    </w:p>
    <w:p>
      <w:pPr>
        <w:spacing w:after="0"/>
        <w:rPr>
          <w:rFonts w:ascii="Arial"/>
          <w:sz w:val="20"/>
        </w:rPr>
        <w:sectPr>
          <w:headerReference w:type="even" r:id="rId131"/>
          <w:headerReference w:type="default" r:id="rId132"/>
          <w:footerReference w:type="even" r:id="rId133"/>
          <w:footerReference w:type="default" r:id="rId134"/>
          <w:pgSz w:w="12240" w:h="15840"/>
          <w:pgMar w:header="370" w:footer="548" w:top="560" w:bottom="740" w:left="0" w:right="540"/>
          <w:pgNumType w:start="56"/>
        </w:sectPr>
      </w:pPr>
    </w:p>
    <w:p>
      <w:pPr>
        <w:pStyle w:val="BodyText"/>
        <w:spacing w:line="268" w:lineRule="auto" w:before="97"/>
        <w:ind w:left="3360"/>
        <w:jc w:val="both"/>
      </w:pPr>
      <w:r>
        <w:rPr>
          <w:color w:val="231F20"/>
        </w:rPr>
        <w:t>supply</w:t>
      </w:r>
      <w:r>
        <w:rPr>
          <w:color w:val="231F20"/>
          <w:spacing w:val="-12"/>
        </w:rPr>
        <w:t> </w:t>
      </w:r>
      <w:r>
        <w:rPr>
          <w:color w:val="231F20"/>
        </w:rPr>
        <w:t>chain</w:t>
      </w:r>
      <w:r>
        <w:rPr>
          <w:color w:val="231F20"/>
          <w:spacing w:val="-12"/>
        </w:rPr>
        <w:t> </w:t>
      </w:r>
      <w:r>
        <w:rPr>
          <w:color w:val="231F20"/>
        </w:rPr>
        <w:t>events.</w:t>
      </w:r>
      <w:r>
        <w:rPr>
          <w:color w:val="231F20"/>
          <w:spacing w:val="-12"/>
        </w:rPr>
        <w:t> </w:t>
      </w:r>
      <w:r>
        <w:rPr>
          <w:color w:val="231F20"/>
        </w:rPr>
        <w:t>A</w:t>
      </w:r>
      <w:r>
        <w:rPr>
          <w:color w:val="231F20"/>
          <w:spacing w:val="-12"/>
        </w:rPr>
        <w:t> </w:t>
      </w:r>
      <w:r>
        <w:rPr>
          <w:color w:val="231F20"/>
        </w:rPr>
        <w:t>shipment,</w:t>
      </w:r>
      <w:r>
        <w:rPr>
          <w:color w:val="231F20"/>
          <w:spacing w:val="-12"/>
        </w:rPr>
        <w:t> </w:t>
      </w:r>
      <w:r>
        <w:rPr>
          <w:color w:val="231F20"/>
        </w:rPr>
        <w:t>commonly identified through an electronic airway bill is</w:t>
      </w:r>
      <w:r>
        <w:rPr>
          <w:color w:val="231F20"/>
          <w:spacing w:val="-5"/>
        </w:rPr>
        <w:t> </w:t>
      </w:r>
      <w:r>
        <w:rPr>
          <w:color w:val="231F20"/>
        </w:rPr>
        <w:t>tracked</w:t>
      </w:r>
      <w:r>
        <w:rPr>
          <w:color w:val="231F20"/>
          <w:spacing w:val="-5"/>
        </w:rPr>
        <w:t> </w:t>
      </w:r>
      <w:r>
        <w:rPr>
          <w:color w:val="231F20"/>
        </w:rPr>
        <w:t>through</w:t>
      </w:r>
      <w:r>
        <w:rPr>
          <w:color w:val="231F20"/>
          <w:spacing w:val="-5"/>
        </w:rPr>
        <w:t> </w:t>
      </w:r>
      <w:r>
        <w:rPr>
          <w:color w:val="231F20"/>
        </w:rPr>
        <w:t>the</w:t>
      </w:r>
      <w:r>
        <w:rPr>
          <w:color w:val="231F20"/>
          <w:spacing w:val="-5"/>
        </w:rPr>
        <w:t> </w:t>
      </w:r>
      <w:r>
        <w:rPr>
          <w:color w:val="231F20"/>
        </w:rPr>
        <w:t>system</w:t>
      </w:r>
      <w:r>
        <w:rPr>
          <w:color w:val="231F20"/>
          <w:spacing w:val="-5"/>
        </w:rPr>
        <w:t> </w:t>
      </w:r>
      <w:r>
        <w:rPr>
          <w:color w:val="231F20"/>
        </w:rPr>
        <w:t>from</w:t>
      </w:r>
      <w:r>
        <w:rPr>
          <w:color w:val="231F20"/>
          <w:spacing w:val="-5"/>
        </w:rPr>
        <w:t> </w:t>
      </w:r>
      <w:r>
        <w:rPr>
          <w:color w:val="231F20"/>
        </w:rPr>
        <w:t>the</w:t>
      </w:r>
      <w:r>
        <w:rPr>
          <w:color w:val="231F20"/>
          <w:spacing w:val="-5"/>
        </w:rPr>
        <w:t> </w:t>
      </w:r>
      <w:r>
        <w:rPr>
          <w:color w:val="231F20"/>
        </w:rPr>
        <w:t>point of</w:t>
      </w:r>
      <w:r>
        <w:rPr>
          <w:color w:val="231F20"/>
          <w:spacing w:val="-8"/>
        </w:rPr>
        <w:t> </w:t>
      </w:r>
      <w:r>
        <w:rPr>
          <w:color w:val="231F20"/>
        </w:rPr>
        <w:t>departure</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flight</w:t>
      </w:r>
      <w:r>
        <w:rPr>
          <w:color w:val="231F20"/>
          <w:spacing w:val="-8"/>
        </w:rPr>
        <w:t> </w:t>
      </w:r>
      <w:r>
        <w:rPr>
          <w:color w:val="231F20"/>
        </w:rPr>
        <w:t>with</w:t>
      </w:r>
      <w:r>
        <w:rPr>
          <w:color w:val="231F20"/>
          <w:spacing w:val="-8"/>
        </w:rPr>
        <w:t> </w:t>
      </w:r>
      <w:r>
        <w:rPr>
          <w:color w:val="231F20"/>
        </w:rPr>
        <w:t>cargo</w:t>
      </w:r>
      <w:r>
        <w:rPr>
          <w:color w:val="231F20"/>
          <w:spacing w:val="-8"/>
        </w:rPr>
        <w:t> </w:t>
      </w:r>
      <w:r>
        <w:rPr>
          <w:color w:val="231F20"/>
        </w:rPr>
        <w:t>(DEP</w:t>
      </w:r>
      <w:r>
        <w:rPr>
          <w:color w:val="231F20"/>
          <w:spacing w:val="-8"/>
        </w:rPr>
        <w:t> </w:t>
      </w:r>
      <w:r>
        <w:rPr>
          <w:color w:val="231F20"/>
        </w:rPr>
        <w:t>in figure A4.1) through its arrival (ARR) and </w:t>
      </w:r>
      <w:r>
        <w:rPr>
          <w:color w:val="231F20"/>
          <w:spacing w:val="-6"/>
        </w:rPr>
        <w:t>check-in</w:t>
      </w:r>
      <w:r>
        <w:rPr>
          <w:color w:val="231F20"/>
          <w:spacing w:val="-7"/>
        </w:rPr>
        <w:t> </w:t>
      </w:r>
      <w:r>
        <w:rPr>
          <w:color w:val="231F20"/>
          <w:spacing w:val="-6"/>
        </w:rPr>
        <w:t>to</w:t>
      </w:r>
      <w:r>
        <w:rPr>
          <w:color w:val="231F20"/>
          <w:spacing w:val="-7"/>
        </w:rPr>
        <w:t> </w:t>
      </w:r>
      <w:r>
        <w:rPr>
          <w:color w:val="231F20"/>
          <w:spacing w:val="-6"/>
        </w:rPr>
        <w:t>a</w:t>
      </w:r>
      <w:r>
        <w:rPr>
          <w:color w:val="231F20"/>
          <w:spacing w:val="-7"/>
        </w:rPr>
        <w:t> </w:t>
      </w:r>
      <w:r>
        <w:rPr>
          <w:color w:val="231F20"/>
          <w:spacing w:val="-6"/>
        </w:rPr>
        <w:t>warehouse</w:t>
      </w:r>
      <w:r>
        <w:rPr>
          <w:color w:val="231F20"/>
          <w:spacing w:val="-7"/>
        </w:rPr>
        <w:t> </w:t>
      </w:r>
      <w:r>
        <w:rPr>
          <w:color w:val="231F20"/>
          <w:spacing w:val="-6"/>
        </w:rPr>
        <w:t>at</w:t>
      </w:r>
      <w:r>
        <w:rPr>
          <w:color w:val="231F20"/>
          <w:spacing w:val="-7"/>
        </w:rPr>
        <w:t> </w:t>
      </w:r>
      <w:r>
        <w:rPr>
          <w:color w:val="231F20"/>
          <w:spacing w:val="-6"/>
        </w:rPr>
        <w:t>a</w:t>
      </w:r>
      <w:r>
        <w:rPr>
          <w:color w:val="231F20"/>
          <w:spacing w:val="-7"/>
        </w:rPr>
        <w:t> </w:t>
      </w:r>
      <w:r>
        <w:rPr>
          <w:color w:val="231F20"/>
          <w:spacing w:val="-6"/>
        </w:rPr>
        <w:t>destination</w:t>
      </w:r>
      <w:r>
        <w:rPr>
          <w:color w:val="231F20"/>
          <w:spacing w:val="-7"/>
        </w:rPr>
        <w:t> </w:t>
      </w:r>
      <w:r>
        <w:rPr>
          <w:color w:val="231F20"/>
          <w:spacing w:val="-6"/>
        </w:rPr>
        <w:t>airport </w:t>
      </w:r>
      <w:r>
        <w:rPr>
          <w:color w:val="231F20"/>
        </w:rPr>
        <w:t>(RCF),</w:t>
      </w:r>
      <w:r>
        <w:rPr>
          <w:color w:val="231F20"/>
          <w:spacing w:val="-1"/>
        </w:rPr>
        <w:t> </w:t>
      </w:r>
      <w:r>
        <w:rPr>
          <w:color w:val="231F20"/>
        </w:rPr>
        <w:t>followed</w:t>
      </w:r>
      <w:r>
        <w:rPr>
          <w:color w:val="231F20"/>
          <w:spacing w:val="-1"/>
        </w:rPr>
        <w:t> </w:t>
      </w:r>
      <w:r>
        <w:rPr>
          <w:color w:val="231F20"/>
        </w:rPr>
        <w:t>by</w:t>
      </w:r>
      <w:r>
        <w:rPr>
          <w:color w:val="231F20"/>
          <w:spacing w:val="-1"/>
        </w:rPr>
        <w:t> </w:t>
      </w:r>
      <w:r>
        <w:rPr>
          <w:color w:val="231F20"/>
        </w:rPr>
        <w:t>the</w:t>
      </w:r>
      <w:r>
        <w:rPr>
          <w:color w:val="231F20"/>
          <w:spacing w:val="-1"/>
        </w:rPr>
        <w:t> </w:t>
      </w:r>
      <w:r>
        <w:rPr>
          <w:color w:val="231F20"/>
        </w:rPr>
        <w:t>advisory</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con- signee</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freight’s</w:t>
      </w:r>
      <w:r>
        <w:rPr>
          <w:color w:val="231F20"/>
          <w:spacing w:val="-13"/>
        </w:rPr>
        <w:t> </w:t>
      </w:r>
      <w:r>
        <w:rPr>
          <w:color w:val="231F20"/>
        </w:rPr>
        <w:t>arrival</w:t>
      </w:r>
      <w:r>
        <w:rPr>
          <w:color w:val="231F20"/>
          <w:spacing w:val="-13"/>
        </w:rPr>
        <w:t> </w:t>
      </w:r>
      <w:r>
        <w:rPr>
          <w:color w:val="231F20"/>
        </w:rPr>
        <w:t>(NFD),</w:t>
      </w:r>
      <w:r>
        <w:rPr>
          <w:color w:val="231F20"/>
          <w:spacing w:val="-13"/>
        </w:rPr>
        <w:t> </w:t>
      </w:r>
      <w:r>
        <w:rPr>
          <w:color w:val="231F20"/>
        </w:rPr>
        <w:t>and</w:t>
      </w:r>
      <w:r>
        <w:rPr>
          <w:color w:val="231F20"/>
          <w:spacing w:val="-13"/>
        </w:rPr>
        <w:t> </w:t>
      </w:r>
      <w:r>
        <w:rPr>
          <w:color w:val="231F20"/>
        </w:rPr>
        <w:t>the </w:t>
      </w:r>
      <w:r>
        <w:rPr>
          <w:color w:val="231F20"/>
          <w:spacing w:val="-4"/>
        </w:rPr>
        <w:t>consignee’s</w:t>
      </w:r>
      <w:r>
        <w:rPr>
          <w:color w:val="231F20"/>
          <w:spacing w:val="-10"/>
        </w:rPr>
        <w:t> </w:t>
      </w:r>
      <w:r>
        <w:rPr>
          <w:color w:val="231F20"/>
          <w:spacing w:val="-4"/>
        </w:rPr>
        <w:t>final</w:t>
      </w:r>
      <w:r>
        <w:rPr>
          <w:color w:val="231F20"/>
          <w:spacing w:val="-9"/>
        </w:rPr>
        <w:t> </w:t>
      </w:r>
      <w:r>
        <w:rPr>
          <w:color w:val="231F20"/>
          <w:spacing w:val="-4"/>
        </w:rPr>
        <w:t>collection</w:t>
      </w:r>
      <w:r>
        <w:rPr>
          <w:color w:val="231F20"/>
          <w:spacing w:val="-9"/>
        </w:rPr>
        <w:t> </w:t>
      </w:r>
      <w:r>
        <w:rPr>
          <w:color w:val="231F20"/>
          <w:spacing w:val="-4"/>
        </w:rPr>
        <w:t>of</w:t>
      </w:r>
      <w:r>
        <w:rPr>
          <w:color w:val="231F20"/>
          <w:spacing w:val="-9"/>
        </w:rPr>
        <w:t> </w:t>
      </w:r>
      <w:r>
        <w:rPr>
          <w:color w:val="231F20"/>
          <w:spacing w:val="-4"/>
        </w:rPr>
        <w:t>the</w:t>
      </w:r>
      <w:r>
        <w:rPr>
          <w:color w:val="231F20"/>
          <w:spacing w:val="-9"/>
        </w:rPr>
        <w:t> </w:t>
      </w:r>
      <w:r>
        <w:rPr>
          <w:color w:val="231F20"/>
          <w:spacing w:val="-4"/>
        </w:rPr>
        <w:t>freight</w:t>
      </w:r>
      <w:r>
        <w:rPr>
          <w:color w:val="231F20"/>
          <w:spacing w:val="-9"/>
        </w:rPr>
        <w:t> </w:t>
      </w:r>
      <w:r>
        <w:rPr>
          <w:color w:val="231F20"/>
          <w:spacing w:val="-4"/>
        </w:rPr>
        <w:t>from </w:t>
      </w:r>
      <w:r>
        <w:rPr>
          <w:color w:val="231F20"/>
        </w:rPr>
        <w:t>the</w:t>
      </w:r>
      <w:r>
        <w:rPr>
          <w:color w:val="231F20"/>
          <w:spacing w:val="-4"/>
        </w:rPr>
        <w:t> </w:t>
      </w:r>
      <w:r>
        <w:rPr>
          <w:color w:val="231F20"/>
        </w:rPr>
        <w:t>carrier</w:t>
      </w:r>
      <w:r>
        <w:rPr>
          <w:color w:val="231F20"/>
          <w:spacing w:val="-4"/>
        </w:rPr>
        <w:t> </w:t>
      </w:r>
      <w:r>
        <w:rPr>
          <w:color w:val="231F20"/>
        </w:rPr>
        <w:t>at</w:t>
      </w:r>
      <w:r>
        <w:rPr>
          <w:color w:val="231F20"/>
          <w:spacing w:val="-4"/>
        </w:rPr>
        <w:t> </w:t>
      </w:r>
      <w:r>
        <w:rPr>
          <w:color w:val="231F20"/>
        </w:rPr>
        <w:t>the</w:t>
      </w:r>
      <w:r>
        <w:rPr>
          <w:color w:val="231F20"/>
          <w:spacing w:val="-4"/>
        </w:rPr>
        <w:t> </w:t>
      </w:r>
      <w:r>
        <w:rPr>
          <w:color w:val="231F20"/>
        </w:rPr>
        <w:t>destination</w:t>
      </w:r>
      <w:r>
        <w:rPr>
          <w:color w:val="231F20"/>
          <w:spacing w:val="-4"/>
        </w:rPr>
        <w:t> </w:t>
      </w:r>
      <w:r>
        <w:rPr>
          <w:color w:val="231F20"/>
        </w:rPr>
        <w:t>airport</w:t>
      </w:r>
      <w:r>
        <w:rPr>
          <w:color w:val="231F20"/>
          <w:spacing w:val="-4"/>
        </w:rPr>
        <w:t> </w:t>
      </w:r>
      <w:r>
        <w:rPr>
          <w:color w:val="231F20"/>
        </w:rPr>
        <w:t>(DLV).</w:t>
      </w:r>
    </w:p>
    <w:p>
      <w:pPr>
        <w:pStyle w:val="BodyText"/>
        <w:spacing w:line="268" w:lineRule="auto"/>
        <w:ind w:left="3360" w:firstLine="300"/>
        <w:jc w:val="both"/>
      </w:pPr>
      <w:r>
        <w:rPr>
          <w:color w:val="231F20"/>
          <w:spacing w:val="-6"/>
        </w:rPr>
        <w:t>For all five milestones, it is the carriers’ re- </w:t>
      </w:r>
      <w:r>
        <w:rPr>
          <w:color w:val="231F20"/>
        </w:rPr>
        <w:t>sponsibility</w:t>
      </w:r>
      <w:r>
        <w:rPr>
          <w:color w:val="231F20"/>
          <w:spacing w:val="-10"/>
        </w:rPr>
        <w:t> </w:t>
      </w:r>
      <w:r>
        <w:rPr>
          <w:color w:val="231F20"/>
        </w:rPr>
        <w:t>to</w:t>
      </w:r>
      <w:r>
        <w:rPr>
          <w:color w:val="231F20"/>
          <w:spacing w:val="-10"/>
        </w:rPr>
        <w:t> </w:t>
      </w:r>
      <w:r>
        <w:rPr>
          <w:color w:val="231F20"/>
        </w:rPr>
        <w:t>enter</w:t>
      </w:r>
      <w:r>
        <w:rPr>
          <w:color w:val="231F20"/>
          <w:spacing w:val="-10"/>
        </w:rPr>
        <w:t> </w:t>
      </w:r>
      <w:r>
        <w:rPr>
          <w:color w:val="231F20"/>
        </w:rPr>
        <w:t>the</w:t>
      </w:r>
      <w:r>
        <w:rPr>
          <w:color w:val="231F20"/>
          <w:spacing w:val="-10"/>
        </w:rPr>
        <w:t> </w:t>
      </w:r>
      <w:r>
        <w:rPr>
          <w:color w:val="231F20"/>
        </w:rPr>
        <w:t>data</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system</w:t>
      </w:r>
      <w:r>
        <w:rPr>
          <w:color w:val="231F20"/>
          <w:spacing w:val="-10"/>
        </w:rPr>
        <w:t> </w:t>
      </w:r>
      <w:r>
        <w:rPr>
          <w:color w:val="231F20"/>
        </w:rPr>
        <w:t>in </w:t>
      </w:r>
      <w:r>
        <w:rPr>
          <w:color w:val="231F20"/>
          <w:spacing w:val="-4"/>
        </w:rPr>
        <w:t>a</w:t>
      </w:r>
      <w:r>
        <w:rPr>
          <w:color w:val="231F20"/>
          <w:spacing w:val="-10"/>
        </w:rPr>
        <w:t> </w:t>
      </w:r>
      <w:r>
        <w:rPr>
          <w:color w:val="231F20"/>
          <w:spacing w:val="-4"/>
        </w:rPr>
        <w:t>timely,</w:t>
      </w:r>
      <w:r>
        <w:rPr>
          <w:color w:val="231F20"/>
          <w:spacing w:val="-9"/>
        </w:rPr>
        <w:t> </w:t>
      </w:r>
      <w:r>
        <w:rPr>
          <w:color w:val="231F20"/>
          <w:spacing w:val="-4"/>
        </w:rPr>
        <w:t>consistent,</w:t>
      </w:r>
      <w:r>
        <w:rPr>
          <w:color w:val="231F20"/>
          <w:spacing w:val="-9"/>
        </w:rPr>
        <w:t> </w:t>
      </w:r>
      <w:r>
        <w:rPr>
          <w:color w:val="231F20"/>
          <w:spacing w:val="-4"/>
        </w:rPr>
        <w:t>and</w:t>
      </w:r>
      <w:r>
        <w:rPr>
          <w:color w:val="231F20"/>
          <w:spacing w:val="-9"/>
        </w:rPr>
        <w:t> </w:t>
      </w:r>
      <w:r>
        <w:rPr>
          <w:color w:val="231F20"/>
          <w:spacing w:val="-4"/>
        </w:rPr>
        <w:t>accurate</w:t>
      </w:r>
      <w:r>
        <w:rPr>
          <w:color w:val="231F20"/>
          <w:spacing w:val="-9"/>
        </w:rPr>
        <w:t> </w:t>
      </w:r>
      <w:r>
        <w:rPr>
          <w:color w:val="231F20"/>
          <w:spacing w:val="-4"/>
        </w:rPr>
        <w:t>manner.</w:t>
      </w:r>
      <w:r>
        <w:rPr>
          <w:color w:val="231F20"/>
          <w:spacing w:val="-9"/>
        </w:rPr>
        <w:t> </w:t>
      </w:r>
      <w:r>
        <w:rPr>
          <w:color w:val="231F20"/>
          <w:spacing w:val="-4"/>
        </w:rPr>
        <w:t>The </w:t>
      </w:r>
      <w:r>
        <w:rPr>
          <w:color w:val="231F20"/>
          <w:w w:val="90"/>
        </w:rPr>
        <w:t>time differences between the milestones provide </w:t>
      </w:r>
      <w:r>
        <w:rPr>
          <w:color w:val="231F20"/>
          <w:spacing w:val="-2"/>
        </w:rPr>
        <w:t>information</w:t>
      </w:r>
      <w:r>
        <w:rPr>
          <w:color w:val="231F20"/>
          <w:spacing w:val="-11"/>
        </w:rPr>
        <w:t> </w:t>
      </w:r>
      <w:r>
        <w:rPr>
          <w:color w:val="231F20"/>
          <w:spacing w:val="-2"/>
        </w:rPr>
        <w:t>on</w:t>
      </w:r>
      <w:r>
        <w:rPr>
          <w:color w:val="231F20"/>
          <w:spacing w:val="-11"/>
        </w:rPr>
        <w:t> </w:t>
      </w:r>
      <w:r>
        <w:rPr>
          <w:color w:val="231F20"/>
          <w:spacing w:val="-2"/>
        </w:rPr>
        <w:t>the</w:t>
      </w:r>
      <w:r>
        <w:rPr>
          <w:color w:val="231F20"/>
          <w:spacing w:val="-11"/>
        </w:rPr>
        <w:t> </w:t>
      </w:r>
      <w:r>
        <w:rPr>
          <w:color w:val="231F20"/>
          <w:spacing w:val="-2"/>
        </w:rPr>
        <w:t>various</w:t>
      </w:r>
      <w:r>
        <w:rPr>
          <w:color w:val="231F20"/>
          <w:spacing w:val="-11"/>
        </w:rPr>
        <w:t> </w:t>
      </w:r>
      <w:r>
        <w:rPr>
          <w:color w:val="231F20"/>
          <w:spacing w:val="-2"/>
        </w:rPr>
        <w:t>aspects</w:t>
      </w:r>
      <w:r>
        <w:rPr>
          <w:color w:val="231F20"/>
          <w:spacing w:val="-11"/>
        </w:rPr>
        <w:t> </w:t>
      </w:r>
      <w:r>
        <w:rPr>
          <w:color w:val="231F20"/>
          <w:spacing w:val="-2"/>
        </w:rPr>
        <w:t>of</w:t>
      </w:r>
      <w:r>
        <w:rPr>
          <w:color w:val="231F20"/>
          <w:spacing w:val="-11"/>
        </w:rPr>
        <w:t> </w:t>
      </w:r>
      <w:r>
        <w:rPr>
          <w:color w:val="231F20"/>
          <w:spacing w:val="-2"/>
        </w:rPr>
        <w:t>the</w:t>
      </w:r>
      <w:r>
        <w:rPr>
          <w:color w:val="231F20"/>
          <w:spacing w:val="-11"/>
        </w:rPr>
        <w:t> </w:t>
      </w:r>
      <w:r>
        <w:rPr>
          <w:color w:val="231F20"/>
          <w:spacing w:val="-2"/>
        </w:rPr>
        <w:t>reli- </w:t>
      </w:r>
      <w:r>
        <w:rPr>
          <w:color w:val="231F20"/>
          <w:spacing w:val="-4"/>
        </w:rPr>
        <w:t>ability</w:t>
      </w:r>
      <w:r>
        <w:rPr>
          <w:color w:val="231F20"/>
          <w:spacing w:val="-5"/>
        </w:rPr>
        <w:t> </w:t>
      </w:r>
      <w:r>
        <w:rPr>
          <w:color w:val="231F20"/>
          <w:spacing w:val="-4"/>
        </w:rPr>
        <w:t>and</w:t>
      </w:r>
      <w:r>
        <w:rPr>
          <w:color w:val="231F20"/>
          <w:spacing w:val="-5"/>
        </w:rPr>
        <w:t> </w:t>
      </w:r>
      <w:r>
        <w:rPr>
          <w:color w:val="231F20"/>
          <w:spacing w:val="-4"/>
        </w:rPr>
        <w:t>performance</w:t>
      </w:r>
      <w:r>
        <w:rPr>
          <w:color w:val="231F20"/>
          <w:spacing w:val="-5"/>
        </w:rPr>
        <w:t> </w:t>
      </w:r>
      <w:r>
        <w:rPr>
          <w:color w:val="231F20"/>
          <w:spacing w:val="-4"/>
        </w:rPr>
        <w:t>of</w:t>
      </w:r>
      <w:r>
        <w:rPr>
          <w:color w:val="231F20"/>
          <w:spacing w:val="-5"/>
        </w:rPr>
        <w:t> </w:t>
      </w:r>
      <w:r>
        <w:rPr>
          <w:color w:val="231F20"/>
          <w:spacing w:val="-4"/>
        </w:rPr>
        <w:t>individual</w:t>
      </w:r>
      <w:r>
        <w:rPr>
          <w:color w:val="231F20"/>
          <w:spacing w:val="-5"/>
        </w:rPr>
        <w:t> </w:t>
      </w:r>
      <w:r>
        <w:rPr>
          <w:color w:val="231F20"/>
          <w:spacing w:val="-4"/>
        </w:rPr>
        <w:t>carriers, </w:t>
      </w:r>
      <w:r>
        <w:rPr>
          <w:color w:val="231F20"/>
          <w:spacing w:val="-2"/>
        </w:rPr>
        <w:t>freighters,</w:t>
      </w:r>
      <w:r>
        <w:rPr>
          <w:color w:val="231F20"/>
          <w:spacing w:val="-12"/>
        </w:rPr>
        <w:t> </w:t>
      </w:r>
      <w:r>
        <w:rPr>
          <w:color w:val="231F20"/>
          <w:spacing w:val="-2"/>
        </w:rPr>
        <w:t>and</w:t>
      </w:r>
      <w:r>
        <w:rPr>
          <w:color w:val="231F20"/>
          <w:spacing w:val="-11"/>
        </w:rPr>
        <w:t> </w:t>
      </w:r>
      <w:r>
        <w:rPr>
          <w:color w:val="231F20"/>
          <w:spacing w:val="-2"/>
        </w:rPr>
        <w:t>operators</w:t>
      </w:r>
      <w:r>
        <w:rPr>
          <w:color w:val="231F20"/>
          <w:spacing w:val="-11"/>
        </w:rPr>
        <w:t> </w:t>
      </w:r>
      <w:r>
        <w:rPr>
          <w:color w:val="231F20"/>
          <w:spacing w:val="-2"/>
        </w:rPr>
        <w:t>and</w:t>
      </w:r>
      <w:r>
        <w:rPr>
          <w:color w:val="231F20"/>
          <w:spacing w:val="-11"/>
        </w:rPr>
        <w:t> </w:t>
      </w:r>
      <w:r>
        <w:rPr>
          <w:color w:val="231F20"/>
          <w:spacing w:val="-2"/>
        </w:rPr>
        <w:t>(at</w:t>
      </w:r>
      <w:r>
        <w:rPr>
          <w:color w:val="231F20"/>
          <w:spacing w:val="-11"/>
        </w:rPr>
        <w:t> </w:t>
      </w:r>
      <w:r>
        <w:rPr>
          <w:color w:val="231F20"/>
          <w:spacing w:val="-2"/>
        </w:rPr>
        <w:t>the</w:t>
      </w:r>
      <w:r>
        <w:rPr>
          <w:color w:val="231F20"/>
          <w:spacing w:val="-11"/>
        </w:rPr>
        <w:t> </w:t>
      </w:r>
      <w:r>
        <w:rPr>
          <w:color w:val="231F20"/>
          <w:spacing w:val="-2"/>
        </w:rPr>
        <w:t>aggregate </w:t>
      </w:r>
      <w:r>
        <w:rPr>
          <w:color w:val="231F20"/>
        </w:rPr>
        <w:t>level)</w:t>
      </w:r>
      <w:r>
        <w:rPr>
          <w:color w:val="231F20"/>
          <w:spacing w:val="-6"/>
        </w:rPr>
        <w:t> </w:t>
      </w:r>
      <w:r>
        <w:rPr>
          <w:color w:val="231F20"/>
        </w:rPr>
        <w:t>of</w:t>
      </w:r>
      <w:r>
        <w:rPr>
          <w:color w:val="231F20"/>
          <w:spacing w:val="-6"/>
        </w:rPr>
        <w:t> </w:t>
      </w:r>
      <w:r>
        <w:rPr>
          <w:color w:val="231F20"/>
        </w:rPr>
        <w:t>airports</w:t>
      </w:r>
      <w:r>
        <w:rPr>
          <w:color w:val="231F20"/>
          <w:spacing w:val="-6"/>
        </w:rPr>
        <w:t> </w:t>
      </w:r>
      <w:r>
        <w:rPr>
          <w:color w:val="231F20"/>
        </w:rPr>
        <w:t>and</w:t>
      </w:r>
      <w:r>
        <w:rPr>
          <w:color w:val="231F20"/>
          <w:spacing w:val="-6"/>
        </w:rPr>
        <w:t> </w:t>
      </w:r>
      <w:r>
        <w:rPr>
          <w:color w:val="231F20"/>
        </w:rPr>
        <w:t>countries.</w:t>
      </w:r>
    </w:p>
    <w:p>
      <w:pPr>
        <w:pStyle w:val="BodyText"/>
        <w:spacing w:line="268" w:lineRule="auto"/>
        <w:ind w:left="3360" w:firstLine="300"/>
        <w:jc w:val="both"/>
      </w:pPr>
      <w:r>
        <w:rPr/>
        <mc:AlternateContent>
          <mc:Choice Requires="wps">
            <w:drawing>
              <wp:anchor distT="0" distB="0" distL="0" distR="0" allowOverlap="1" layoutInCell="1" locked="0" behindDoc="1" simplePos="0" relativeHeight="466777088">
                <wp:simplePos x="0" y="0"/>
                <wp:positionH relativeFrom="page">
                  <wp:posOffset>2133401</wp:posOffset>
                </wp:positionH>
                <wp:positionV relativeFrom="paragraph">
                  <wp:posOffset>525648</wp:posOffset>
                </wp:positionV>
                <wp:extent cx="4877435" cy="2837180"/>
                <wp:effectExtent l="0" t="0" r="0" b="0"/>
                <wp:wrapNone/>
                <wp:docPr id="1669" name="Group 1669"/>
                <wp:cNvGraphicFramePr>
                  <a:graphicFrameLocks/>
                </wp:cNvGraphicFramePr>
                <a:graphic>
                  <a:graphicData uri="http://schemas.microsoft.com/office/word/2010/wordprocessingGroup">
                    <wpg:wgp>
                      <wpg:cNvPr id="1669" name="Group 1669"/>
                      <wpg:cNvGrpSpPr/>
                      <wpg:grpSpPr>
                        <a:xfrm>
                          <a:off x="0" y="0"/>
                          <a:ext cx="4877435" cy="2837180"/>
                          <a:chExt cx="4877435" cy="2837180"/>
                        </a:xfrm>
                      </wpg:grpSpPr>
                      <wps:wsp>
                        <wps:cNvPr id="1670" name="Graphic 1670"/>
                        <wps:cNvSpPr/>
                        <wps:spPr>
                          <a:xfrm>
                            <a:off x="198" y="258093"/>
                            <a:ext cx="4876800" cy="2578735"/>
                          </a:xfrm>
                          <a:custGeom>
                            <a:avLst/>
                            <a:gdLst/>
                            <a:ahLst/>
                            <a:cxnLst/>
                            <a:rect l="l" t="t" r="r" b="b"/>
                            <a:pathLst>
                              <a:path w="4876800" h="2578735">
                                <a:moveTo>
                                  <a:pt x="4876800" y="0"/>
                                </a:moveTo>
                                <a:lnTo>
                                  <a:pt x="0" y="0"/>
                                </a:lnTo>
                                <a:lnTo>
                                  <a:pt x="0" y="2503804"/>
                                </a:lnTo>
                                <a:lnTo>
                                  <a:pt x="6159" y="2532903"/>
                                </a:lnTo>
                                <a:lnTo>
                                  <a:pt x="22693" y="2556663"/>
                                </a:lnTo>
                                <a:lnTo>
                                  <a:pt x="46682" y="2572683"/>
                                </a:lnTo>
                                <a:lnTo>
                                  <a:pt x="75209" y="2578557"/>
                                </a:lnTo>
                                <a:lnTo>
                                  <a:pt x="4797920" y="2578557"/>
                                </a:lnTo>
                                <a:lnTo>
                                  <a:pt x="4827020" y="2573302"/>
                                </a:lnTo>
                                <a:lnTo>
                                  <a:pt x="4852271" y="2558316"/>
                                </a:lnTo>
                                <a:lnTo>
                                  <a:pt x="4870066" y="2534762"/>
                                </a:lnTo>
                                <a:lnTo>
                                  <a:pt x="4876800" y="2503804"/>
                                </a:lnTo>
                                <a:lnTo>
                                  <a:pt x="4876800" y="0"/>
                                </a:lnTo>
                                <a:close/>
                              </a:path>
                            </a:pathLst>
                          </a:custGeom>
                          <a:solidFill>
                            <a:srgbClr val="DFEAF7"/>
                          </a:solidFill>
                        </wps:spPr>
                        <wps:bodyPr wrap="square" lIns="0" tIns="0" rIns="0" bIns="0" rtlCol="0">
                          <a:prstTxWarp prst="textNoShape">
                            <a:avLst/>
                          </a:prstTxWarp>
                          <a:noAutofit/>
                        </wps:bodyPr>
                      </wps:wsp>
                      <wps:wsp>
                        <wps:cNvPr id="1671" name="Graphic 1671"/>
                        <wps:cNvSpPr/>
                        <wps:spPr>
                          <a:xfrm>
                            <a:off x="0" y="0"/>
                            <a:ext cx="550545" cy="231775"/>
                          </a:xfrm>
                          <a:custGeom>
                            <a:avLst/>
                            <a:gdLst/>
                            <a:ahLst/>
                            <a:cxnLst/>
                            <a:rect l="l" t="t" r="r" b="b"/>
                            <a:pathLst>
                              <a:path w="550545" h="231775">
                                <a:moveTo>
                                  <a:pt x="550506" y="0"/>
                                </a:moveTo>
                                <a:lnTo>
                                  <a:pt x="76200" y="0"/>
                                </a:lnTo>
                                <a:lnTo>
                                  <a:pt x="47213" y="3058"/>
                                </a:lnTo>
                                <a:lnTo>
                                  <a:pt x="22917" y="14506"/>
                                </a:lnTo>
                                <a:lnTo>
                                  <a:pt x="6212" y="37751"/>
                                </a:lnTo>
                                <a:lnTo>
                                  <a:pt x="0" y="76200"/>
                                </a:lnTo>
                                <a:lnTo>
                                  <a:pt x="0" y="231775"/>
                                </a:lnTo>
                                <a:lnTo>
                                  <a:pt x="550506" y="231775"/>
                                </a:lnTo>
                                <a:lnTo>
                                  <a:pt x="550506" y="0"/>
                                </a:lnTo>
                                <a:close/>
                              </a:path>
                            </a:pathLst>
                          </a:custGeom>
                          <a:solidFill>
                            <a:srgbClr val="008FDD"/>
                          </a:solidFill>
                        </wps:spPr>
                        <wps:bodyPr wrap="square" lIns="0" tIns="0" rIns="0" bIns="0" rtlCol="0">
                          <a:prstTxWarp prst="textNoShape">
                            <a:avLst/>
                          </a:prstTxWarp>
                          <a:noAutofit/>
                        </wps:bodyPr>
                      </wps:wsp>
                      <wps:wsp>
                        <wps:cNvPr id="1672" name="Graphic 1672"/>
                        <wps:cNvSpPr/>
                        <wps:spPr>
                          <a:xfrm>
                            <a:off x="550506" y="0"/>
                            <a:ext cx="4326255" cy="231775"/>
                          </a:xfrm>
                          <a:custGeom>
                            <a:avLst/>
                            <a:gdLst/>
                            <a:ahLst/>
                            <a:cxnLst/>
                            <a:rect l="l" t="t" r="r" b="b"/>
                            <a:pathLst>
                              <a:path w="4326255" h="231775">
                                <a:moveTo>
                                  <a:pt x="4249597" y="0"/>
                                </a:moveTo>
                                <a:lnTo>
                                  <a:pt x="0" y="0"/>
                                </a:lnTo>
                                <a:lnTo>
                                  <a:pt x="0" y="231775"/>
                                </a:lnTo>
                                <a:lnTo>
                                  <a:pt x="4325797" y="231775"/>
                                </a:lnTo>
                                <a:lnTo>
                                  <a:pt x="4325797" y="76200"/>
                                </a:lnTo>
                                <a:lnTo>
                                  <a:pt x="4320292" y="50979"/>
                                </a:lnTo>
                                <a:lnTo>
                                  <a:pt x="4304766" y="26265"/>
                                </a:lnTo>
                                <a:lnTo>
                                  <a:pt x="4280706" y="7468"/>
                                </a:lnTo>
                                <a:lnTo>
                                  <a:pt x="4249597" y="0"/>
                                </a:lnTo>
                                <a:close/>
                              </a:path>
                            </a:pathLst>
                          </a:custGeom>
                          <a:solidFill>
                            <a:srgbClr val="808285"/>
                          </a:solidFill>
                        </wps:spPr>
                        <wps:bodyPr wrap="square" lIns="0" tIns="0" rIns="0" bIns="0" rtlCol="0">
                          <a:prstTxWarp prst="textNoShape">
                            <a:avLst/>
                          </a:prstTxWarp>
                          <a:noAutofit/>
                        </wps:bodyPr>
                      </wps:wsp>
                      <wps:wsp>
                        <wps:cNvPr id="1673" name="Graphic 1673"/>
                        <wps:cNvSpPr/>
                        <wps:spPr>
                          <a:xfrm>
                            <a:off x="550503"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wps:wsp>
                        <wps:cNvPr id="1674" name="Graphic 1674"/>
                        <wps:cNvSpPr/>
                        <wps:spPr>
                          <a:xfrm>
                            <a:off x="274403" y="2359124"/>
                            <a:ext cx="4458335" cy="1270"/>
                          </a:xfrm>
                          <a:custGeom>
                            <a:avLst/>
                            <a:gdLst/>
                            <a:ahLst/>
                            <a:cxnLst/>
                            <a:rect l="l" t="t" r="r" b="b"/>
                            <a:pathLst>
                              <a:path w="4458335" h="0">
                                <a:moveTo>
                                  <a:pt x="0" y="0"/>
                                </a:moveTo>
                                <a:lnTo>
                                  <a:pt x="4458093" y="0"/>
                                </a:lnTo>
                              </a:path>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675" name="Graphic 1675"/>
                        <wps:cNvSpPr/>
                        <wps:spPr>
                          <a:xfrm>
                            <a:off x="274403" y="1012657"/>
                            <a:ext cx="4458335" cy="897890"/>
                          </a:xfrm>
                          <a:custGeom>
                            <a:avLst/>
                            <a:gdLst/>
                            <a:ahLst/>
                            <a:cxnLst/>
                            <a:rect l="l" t="t" r="r" b="b"/>
                            <a:pathLst>
                              <a:path w="4458335" h="897890">
                                <a:moveTo>
                                  <a:pt x="0" y="897644"/>
                                </a:moveTo>
                                <a:lnTo>
                                  <a:pt x="175132" y="897644"/>
                                </a:lnTo>
                              </a:path>
                              <a:path w="4458335" h="897890">
                                <a:moveTo>
                                  <a:pt x="461721" y="897644"/>
                                </a:moveTo>
                                <a:lnTo>
                                  <a:pt x="812012" y="897644"/>
                                </a:lnTo>
                              </a:path>
                              <a:path w="4458335" h="897890">
                                <a:moveTo>
                                  <a:pt x="1098600" y="897644"/>
                                </a:moveTo>
                                <a:lnTo>
                                  <a:pt x="1448879" y="897644"/>
                                </a:lnTo>
                              </a:path>
                              <a:path w="4458335" h="897890">
                                <a:moveTo>
                                  <a:pt x="1735467" y="897644"/>
                                </a:moveTo>
                                <a:lnTo>
                                  <a:pt x="2085746" y="897644"/>
                                </a:lnTo>
                              </a:path>
                              <a:path w="4458335" h="897890">
                                <a:moveTo>
                                  <a:pt x="2372334" y="897644"/>
                                </a:moveTo>
                                <a:lnTo>
                                  <a:pt x="2722626" y="897644"/>
                                </a:lnTo>
                              </a:path>
                              <a:path w="4458335" h="897890">
                                <a:moveTo>
                                  <a:pt x="3009214" y="897644"/>
                                </a:moveTo>
                                <a:lnTo>
                                  <a:pt x="3359492" y="897644"/>
                                </a:lnTo>
                              </a:path>
                              <a:path w="4458335" h="897890">
                                <a:moveTo>
                                  <a:pt x="3646081" y="897644"/>
                                </a:moveTo>
                                <a:lnTo>
                                  <a:pt x="3996359" y="897644"/>
                                </a:lnTo>
                              </a:path>
                              <a:path w="4458335" h="897890">
                                <a:moveTo>
                                  <a:pt x="4282948" y="897644"/>
                                </a:moveTo>
                                <a:lnTo>
                                  <a:pt x="4458093" y="897644"/>
                                </a:lnTo>
                              </a:path>
                              <a:path w="4458335" h="897890">
                                <a:moveTo>
                                  <a:pt x="0" y="448823"/>
                                </a:moveTo>
                                <a:lnTo>
                                  <a:pt x="812012" y="448823"/>
                                </a:lnTo>
                              </a:path>
                              <a:path w="4458335" h="897890">
                                <a:moveTo>
                                  <a:pt x="1098600" y="448823"/>
                                </a:moveTo>
                                <a:lnTo>
                                  <a:pt x="1448879" y="448823"/>
                                </a:lnTo>
                              </a:path>
                              <a:path w="4458335" h="897890">
                                <a:moveTo>
                                  <a:pt x="1735467" y="448823"/>
                                </a:moveTo>
                                <a:lnTo>
                                  <a:pt x="2085746" y="448823"/>
                                </a:lnTo>
                              </a:path>
                              <a:path w="4458335" h="897890">
                                <a:moveTo>
                                  <a:pt x="2372334" y="448823"/>
                                </a:moveTo>
                                <a:lnTo>
                                  <a:pt x="2722626" y="448823"/>
                                </a:lnTo>
                              </a:path>
                              <a:path w="4458335" h="897890">
                                <a:moveTo>
                                  <a:pt x="3009214" y="448823"/>
                                </a:moveTo>
                                <a:lnTo>
                                  <a:pt x="4458093" y="448823"/>
                                </a:lnTo>
                              </a:path>
                              <a:path w="4458335" h="897890">
                                <a:moveTo>
                                  <a:pt x="0" y="0"/>
                                </a:moveTo>
                                <a:lnTo>
                                  <a:pt x="2722626" y="0"/>
                                </a:lnTo>
                              </a:path>
                              <a:path w="4458335" h="897890">
                                <a:moveTo>
                                  <a:pt x="3009214"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676" name="Graphic 1676"/>
                        <wps:cNvSpPr/>
                        <wps:spPr>
                          <a:xfrm>
                            <a:off x="274403" y="563835"/>
                            <a:ext cx="4458335" cy="1270"/>
                          </a:xfrm>
                          <a:custGeom>
                            <a:avLst/>
                            <a:gdLst/>
                            <a:ahLst/>
                            <a:cxnLst/>
                            <a:rect l="l" t="t" r="r" b="b"/>
                            <a:pathLst>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677" name="Graphic 1677"/>
                        <wps:cNvSpPr/>
                        <wps:spPr>
                          <a:xfrm>
                            <a:off x="449536" y="1472704"/>
                            <a:ext cx="287020" cy="886460"/>
                          </a:xfrm>
                          <a:custGeom>
                            <a:avLst/>
                            <a:gdLst/>
                            <a:ahLst/>
                            <a:cxnLst/>
                            <a:rect l="l" t="t" r="r" b="b"/>
                            <a:pathLst>
                              <a:path w="287020" h="886460">
                                <a:moveTo>
                                  <a:pt x="286588" y="0"/>
                                </a:moveTo>
                                <a:lnTo>
                                  <a:pt x="0" y="0"/>
                                </a:lnTo>
                                <a:lnTo>
                                  <a:pt x="0" y="886421"/>
                                </a:lnTo>
                                <a:lnTo>
                                  <a:pt x="286588" y="886421"/>
                                </a:lnTo>
                                <a:lnTo>
                                  <a:pt x="286588" y="0"/>
                                </a:lnTo>
                                <a:close/>
                              </a:path>
                            </a:pathLst>
                          </a:custGeom>
                          <a:solidFill>
                            <a:srgbClr val="008FDD"/>
                          </a:solidFill>
                        </wps:spPr>
                        <wps:bodyPr wrap="square" lIns="0" tIns="0" rIns="0" bIns="0" rtlCol="0">
                          <a:prstTxWarp prst="textNoShape">
                            <a:avLst/>
                          </a:prstTxWarp>
                          <a:noAutofit/>
                        </wps:bodyPr>
                      </wps:wsp>
                      <wps:wsp>
                        <wps:cNvPr id="1678" name="Graphic 1678"/>
                        <wps:cNvSpPr/>
                        <wps:spPr>
                          <a:xfrm>
                            <a:off x="449538" y="1472704"/>
                            <a:ext cx="287020" cy="886460"/>
                          </a:xfrm>
                          <a:custGeom>
                            <a:avLst/>
                            <a:gdLst/>
                            <a:ahLst/>
                            <a:cxnLst/>
                            <a:rect l="l" t="t" r="r" b="b"/>
                            <a:pathLst>
                              <a:path w="287020" h="886460">
                                <a:moveTo>
                                  <a:pt x="0" y="0"/>
                                </a:moveTo>
                                <a:lnTo>
                                  <a:pt x="286588" y="0"/>
                                </a:lnTo>
                                <a:lnTo>
                                  <a:pt x="286588" y="886421"/>
                                </a:lnTo>
                                <a:lnTo>
                                  <a:pt x="0" y="886421"/>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679" name="Graphic 1679"/>
                        <wps:cNvSpPr/>
                        <wps:spPr>
                          <a:xfrm>
                            <a:off x="1086416" y="1044079"/>
                            <a:ext cx="287020" cy="1315085"/>
                          </a:xfrm>
                          <a:custGeom>
                            <a:avLst/>
                            <a:gdLst/>
                            <a:ahLst/>
                            <a:cxnLst/>
                            <a:rect l="l" t="t" r="r" b="b"/>
                            <a:pathLst>
                              <a:path w="287020" h="1315085">
                                <a:moveTo>
                                  <a:pt x="286588" y="0"/>
                                </a:moveTo>
                                <a:lnTo>
                                  <a:pt x="0" y="0"/>
                                </a:lnTo>
                                <a:lnTo>
                                  <a:pt x="0" y="1315046"/>
                                </a:lnTo>
                                <a:lnTo>
                                  <a:pt x="286588" y="1315046"/>
                                </a:lnTo>
                                <a:lnTo>
                                  <a:pt x="286588" y="0"/>
                                </a:lnTo>
                                <a:close/>
                              </a:path>
                            </a:pathLst>
                          </a:custGeom>
                          <a:solidFill>
                            <a:srgbClr val="008FDD"/>
                          </a:solidFill>
                        </wps:spPr>
                        <wps:bodyPr wrap="square" lIns="0" tIns="0" rIns="0" bIns="0" rtlCol="0">
                          <a:prstTxWarp prst="textNoShape">
                            <a:avLst/>
                          </a:prstTxWarp>
                          <a:noAutofit/>
                        </wps:bodyPr>
                      </wps:wsp>
                      <wps:wsp>
                        <wps:cNvPr id="1680" name="Graphic 1680"/>
                        <wps:cNvSpPr/>
                        <wps:spPr>
                          <a:xfrm>
                            <a:off x="1086417" y="1044079"/>
                            <a:ext cx="287020" cy="1315085"/>
                          </a:xfrm>
                          <a:custGeom>
                            <a:avLst/>
                            <a:gdLst/>
                            <a:ahLst/>
                            <a:cxnLst/>
                            <a:rect l="l" t="t" r="r" b="b"/>
                            <a:pathLst>
                              <a:path w="287020" h="1315085">
                                <a:moveTo>
                                  <a:pt x="0" y="0"/>
                                </a:moveTo>
                                <a:lnTo>
                                  <a:pt x="286588" y="0"/>
                                </a:lnTo>
                                <a:lnTo>
                                  <a:pt x="286588" y="1315046"/>
                                </a:lnTo>
                                <a:lnTo>
                                  <a:pt x="0" y="1315046"/>
                                </a:lnTo>
                                <a:lnTo>
                                  <a:pt x="0" y="0"/>
                                </a:lnTo>
                                <a:close/>
                              </a:path>
                            </a:pathLst>
                          </a:custGeom>
                          <a:ln w="3174">
                            <a:solidFill>
                              <a:srgbClr val="FFFFFF"/>
                            </a:solidFill>
                            <a:prstDash val="solid"/>
                          </a:ln>
                        </wps:spPr>
                        <wps:bodyPr wrap="square" lIns="0" tIns="0" rIns="0" bIns="0" rtlCol="0">
                          <a:prstTxWarp prst="textNoShape">
                            <a:avLst/>
                          </a:prstTxWarp>
                          <a:noAutofit/>
                        </wps:bodyPr>
                      </wps:wsp>
                      <wps:wsp>
                        <wps:cNvPr id="1681" name="Graphic 1681"/>
                        <wps:cNvSpPr/>
                        <wps:spPr>
                          <a:xfrm>
                            <a:off x="1723283" y="1427822"/>
                            <a:ext cx="287020" cy="931544"/>
                          </a:xfrm>
                          <a:custGeom>
                            <a:avLst/>
                            <a:gdLst/>
                            <a:ahLst/>
                            <a:cxnLst/>
                            <a:rect l="l" t="t" r="r" b="b"/>
                            <a:pathLst>
                              <a:path w="287020" h="931544">
                                <a:moveTo>
                                  <a:pt x="286588" y="0"/>
                                </a:moveTo>
                                <a:lnTo>
                                  <a:pt x="0" y="0"/>
                                </a:lnTo>
                                <a:lnTo>
                                  <a:pt x="0" y="931303"/>
                                </a:lnTo>
                                <a:lnTo>
                                  <a:pt x="286588" y="931303"/>
                                </a:lnTo>
                                <a:lnTo>
                                  <a:pt x="286588" y="0"/>
                                </a:lnTo>
                                <a:close/>
                              </a:path>
                            </a:pathLst>
                          </a:custGeom>
                          <a:solidFill>
                            <a:srgbClr val="008FDD"/>
                          </a:solidFill>
                        </wps:spPr>
                        <wps:bodyPr wrap="square" lIns="0" tIns="0" rIns="0" bIns="0" rtlCol="0">
                          <a:prstTxWarp prst="textNoShape">
                            <a:avLst/>
                          </a:prstTxWarp>
                          <a:noAutofit/>
                        </wps:bodyPr>
                      </wps:wsp>
                      <wps:wsp>
                        <wps:cNvPr id="1682" name="Graphic 1682"/>
                        <wps:cNvSpPr/>
                        <wps:spPr>
                          <a:xfrm>
                            <a:off x="1723284" y="1427822"/>
                            <a:ext cx="287020" cy="931544"/>
                          </a:xfrm>
                          <a:custGeom>
                            <a:avLst/>
                            <a:gdLst/>
                            <a:ahLst/>
                            <a:cxnLst/>
                            <a:rect l="l" t="t" r="r" b="b"/>
                            <a:pathLst>
                              <a:path w="287020" h="931544">
                                <a:moveTo>
                                  <a:pt x="0" y="0"/>
                                </a:moveTo>
                                <a:lnTo>
                                  <a:pt x="286588" y="0"/>
                                </a:lnTo>
                                <a:lnTo>
                                  <a:pt x="286588" y="931303"/>
                                </a:lnTo>
                                <a:lnTo>
                                  <a:pt x="0" y="931303"/>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683" name="Graphic 1683"/>
                        <wps:cNvSpPr/>
                        <wps:spPr>
                          <a:xfrm>
                            <a:off x="2360150" y="1077734"/>
                            <a:ext cx="287020" cy="1281430"/>
                          </a:xfrm>
                          <a:custGeom>
                            <a:avLst/>
                            <a:gdLst/>
                            <a:ahLst/>
                            <a:cxnLst/>
                            <a:rect l="l" t="t" r="r" b="b"/>
                            <a:pathLst>
                              <a:path w="287020" h="1281430">
                                <a:moveTo>
                                  <a:pt x="286588" y="0"/>
                                </a:moveTo>
                                <a:lnTo>
                                  <a:pt x="0" y="0"/>
                                </a:lnTo>
                                <a:lnTo>
                                  <a:pt x="0" y="1281391"/>
                                </a:lnTo>
                                <a:lnTo>
                                  <a:pt x="286588" y="1281391"/>
                                </a:lnTo>
                                <a:lnTo>
                                  <a:pt x="286588" y="0"/>
                                </a:lnTo>
                                <a:close/>
                              </a:path>
                            </a:pathLst>
                          </a:custGeom>
                          <a:solidFill>
                            <a:srgbClr val="008FDD"/>
                          </a:solidFill>
                        </wps:spPr>
                        <wps:bodyPr wrap="square" lIns="0" tIns="0" rIns="0" bIns="0" rtlCol="0">
                          <a:prstTxWarp prst="textNoShape">
                            <a:avLst/>
                          </a:prstTxWarp>
                          <a:noAutofit/>
                        </wps:bodyPr>
                      </wps:wsp>
                      <wps:wsp>
                        <wps:cNvPr id="1684" name="Graphic 1684"/>
                        <wps:cNvSpPr/>
                        <wps:spPr>
                          <a:xfrm>
                            <a:off x="2360151" y="1077734"/>
                            <a:ext cx="287020" cy="1281430"/>
                          </a:xfrm>
                          <a:custGeom>
                            <a:avLst/>
                            <a:gdLst/>
                            <a:ahLst/>
                            <a:cxnLst/>
                            <a:rect l="l" t="t" r="r" b="b"/>
                            <a:pathLst>
                              <a:path w="287020" h="1281430">
                                <a:moveTo>
                                  <a:pt x="0" y="0"/>
                                </a:moveTo>
                                <a:lnTo>
                                  <a:pt x="286588" y="0"/>
                                </a:lnTo>
                                <a:lnTo>
                                  <a:pt x="286588" y="1281391"/>
                                </a:lnTo>
                                <a:lnTo>
                                  <a:pt x="0" y="1281391"/>
                                </a:lnTo>
                                <a:lnTo>
                                  <a:pt x="0" y="0"/>
                                </a:lnTo>
                                <a:close/>
                              </a:path>
                            </a:pathLst>
                          </a:custGeom>
                          <a:ln w="3174">
                            <a:solidFill>
                              <a:srgbClr val="FFFFFF"/>
                            </a:solidFill>
                            <a:prstDash val="solid"/>
                          </a:ln>
                        </wps:spPr>
                        <wps:bodyPr wrap="square" lIns="0" tIns="0" rIns="0" bIns="0" rtlCol="0">
                          <a:prstTxWarp prst="textNoShape">
                            <a:avLst/>
                          </a:prstTxWarp>
                          <a:noAutofit/>
                        </wps:bodyPr>
                      </wps:wsp>
                      <wps:wsp>
                        <wps:cNvPr id="1685" name="Graphic 1685"/>
                        <wps:cNvSpPr/>
                        <wps:spPr>
                          <a:xfrm>
                            <a:off x="2997029" y="862304"/>
                            <a:ext cx="287020" cy="1497330"/>
                          </a:xfrm>
                          <a:custGeom>
                            <a:avLst/>
                            <a:gdLst/>
                            <a:ahLst/>
                            <a:cxnLst/>
                            <a:rect l="l" t="t" r="r" b="b"/>
                            <a:pathLst>
                              <a:path w="287020" h="1497330">
                                <a:moveTo>
                                  <a:pt x="286588" y="0"/>
                                </a:moveTo>
                                <a:lnTo>
                                  <a:pt x="0" y="0"/>
                                </a:lnTo>
                                <a:lnTo>
                                  <a:pt x="0" y="1496821"/>
                                </a:lnTo>
                                <a:lnTo>
                                  <a:pt x="286588" y="1496821"/>
                                </a:lnTo>
                                <a:lnTo>
                                  <a:pt x="286588" y="0"/>
                                </a:lnTo>
                                <a:close/>
                              </a:path>
                            </a:pathLst>
                          </a:custGeom>
                          <a:solidFill>
                            <a:srgbClr val="008FDD"/>
                          </a:solidFill>
                        </wps:spPr>
                        <wps:bodyPr wrap="square" lIns="0" tIns="0" rIns="0" bIns="0" rtlCol="0">
                          <a:prstTxWarp prst="textNoShape">
                            <a:avLst/>
                          </a:prstTxWarp>
                          <a:noAutofit/>
                        </wps:bodyPr>
                      </wps:wsp>
                      <wps:wsp>
                        <wps:cNvPr id="1686" name="Graphic 1686"/>
                        <wps:cNvSpPr/>
                        <wps:spPr>
                          <a:xfrm>
                            <a:off x="2997031" y="862304"/>
                            <a:ext cx="287020" cy="1497330"/>
                          </a:xfrm>
                          <a:custGeom>
                            <a:avLst/>
                            <a:gdLst/>
                            <a:ahLst/>
                            <a:cxnLst/>
                            <a:rect l="l" t="t" r="r" b="b"/>
                            <a:pathLst>
                              <a:path w="287020" h="1497330">
                                <a:moveTo>
                                  <a:pt x="0" y="0"/>
                                </a:moveTo>
                                <a:lnTo>
                                  <a:pt x="286588" y="0"/>
                                </a:lnTo>
                                <a:lnTo>
                                  <a:pt x="286588" y="1496821"/>
                                </a:lnTo>
                                <a:lnTo>
                                  <a:pt x="0" y="1496821"/>
                                </a:lnTo>
                                <a:lnTo>
                                  <a:pt x="0" y="0"/>
                                </a:lnTo>
                                <a:close/>
                              </a:path>
                            </a:pathLst>
                          </a:custGeom>
                          <a:ln w="3174">
                            <a:solidFill>
                              <a:srgbClr val="FFFFFF"/>
                            </a:solidFill>
                            <a:prstDash val="solid"/>
                          </a:ln>
                        </wps:spPr>
                        <wps:bodyPr wrap="square" lIns="0" tIns="0" rIns="0" bIns="0" rtlCol="0">
                          <a:prstTxWarp prst="textNoShape">
                            <a:avLst/>
                          </a:prstTxWarp>
                          <a:noAutofit/>
                        </wps:bodyPr>
                      </wps:wsp>
                      <wps:wsp>
                        <wps:cNvPr id="1687" name="Graphic 1687"/>
                        <wps:cNvSpPr/>
                        <wps:spPr>
                          <a:xfrm>
                            <a:off x="3633896" y="1517586"/>
                            <a:ext cx="287020" cy="842010"/>
                          </a:xfrm>
                          <a:custGeom>
                            <a:avLst/>
                            <a:gdLst/>
                            <a:ahLst/>
                            <a:cxnLst/>
                            <a:rect l="l" t="t" r="r" b="b"/>
                            <a:pathLst>
                              <a:path w="287020" h="842010">
                                <a:moveTo>
                                  <a:pt x="286588" y="0"/>
                                </a:moveTo>
                                <a:lnTo>
                                  <a:pt x="0" y="0"/>
                                </a:lnTo>
                                <a:lnTo>
                                  <a:pt x="0" y="841540"/>
                                </a:lnTo>
                                <a:lnTo>
                                  <a:pt x="286588" y="841540"/>
                                </a:lnTo>
                                <a:lnTo>
                                  <a:pt x="286588" y="0"/>
                                </a:lnTo>
                                <a:close/>
                              </a:path>
                            </a:pathLst>
                          </a:custGeom>
                          <a:solidFill>
                            <a:srgbClr val="008FDD"/>
                          </a:solidFill>
                        </wps:spPr>
                        <wps:bodyPr wrap="square" lIns="0" tIns="0" rIns="0" bIns="0" rtlCol="0">
                          <a:prstTxWarp prst="textNoShape">
                            <a:avLst/>
                          </a:prstTxWarp>
                          <a:noAutofit/>
                        </wps:bodyPr>
                      </wps:wsp>
                      <wps:wsp>
                        <wps:cNvPr id="1688" name="Graphic 1688"/>
                        <wps:cNvSpPr/>
                        <wps:spPr>
                          <a:xfrm>
                            <a:off x="3633897" y="1517586"/>
                            <a:ext cx="287020" cy="842010"/>
                          </a:xfrm>
                          <a:custGeom>
                            <a:avLst/>
                            <a:gdLst/>
                            <a:ahLst/>
                            <a:cxnLst/>
                            <a:rect l="l" t="t" r="r" b="b"/>
                            <a:pathLst>
                              <a:path w="287020" h="842010">
                                <a:moveTo>
                                  <a:pt x="0" y="0"/>
                                </a:moveTo>
                                <a:lnTo>
                                  <a:pt x="286588" y="0"/>
                                </a:lnTo>
                                <a:lnTo>
                                  <a:pt x="286588" y="841540"/>
                                </a:lnTo>
                                <a:lnTo>
                                  <a:pt x="0" y="84154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689" name="Graphic 1689"/>
                        <wps:cNvSpPr/>
                        <wps:spPr>
                          <a:xfrm>
                            <a:off x="4270763" y="1564703"/>
                            <a:ext cx="287020" cy="795020"/>
                          </a:xfrm>
                          <a:custGeom>
                            <a:avLst/>
                            <a:gdLst/>
                            <a:ahLst/>
                            <a:cxnLst/>
                            <a:rect l="l" t="t" r="r" b="b"/>
                            <a:pathLst>
                              <a:path w="287020" h="795020">
                                <a:moveTo>
                                  <a:pt x="286588" y="0"/>
                                </a:moveTo>
                                <a:lnTo>
                                  <a:pt x="0" y="0"/>
                                </a:lnTo>
                                <a:lnTo>
                                  <a:pt x="0" y="794410"/>
                                </a:lnTo>
                                <a:lnTo>
                                  <a:pt x="286588" y="794410"/>
                                </a:lnTo>
                                <a:lnTo>
                                  <a:pt x="286588" y="0"/>
                                </a:lnTo>
                                <a:close/>
                              </a:path>
                            </a:pathLst>
                          </a:custGeom>
                          <a:solidFill>
                            <a:srgbClr val="008FDD"/>
                          </a:solidFill>
                        </wps:spPr>
                        <wps:bodyPr wrap="square" lIns="0" tIns="0" rIns="0" bIns="0" rtlCol="0">
                          <a:prstTxWarp prst="textNoShape">
                            <a:avLst/>
                          </a:prstTxWarp>
                          <a:noAutofit/>
                        </wps:bodyPr>
                      </wps:wsp>
                      <wps:wsp>
                        <wps:cNvPr id="1690" name="Graphic 1690"/>
                        <wps:cNvSpPr/>
                        <wps:spPr>
                          <a:xfrm>
                            <a:off x="4270764" y="1564703"/>
                            <a:ext cx="287020" cy="795020"/>
                          </a:xfrm>
                          <a:custGeom>
                            <a:avLst/>
                            <a:gdLst/>
                            <a:ahLst/>
                            <a:cxnLst/>
                            <a:rect l="l" t="t" r="r" b="b"/>
                            <a:pathLst>
                              <a:path w="287020" h="795020">
                                <a:moveTo>
                                  <a:pt x="0" y="0"/>
                                </a:moveTo>
                                <a:lnTo>
                                  <a:pt x="286588" y="0"/>
                                </a:lnTo>
                                <a:lnTo>
                                  <a:pt x="286588" y="794410"/>
                                </a:lnTo>
                                <a:lnTo>
                                  <a:pt x="0" y="79441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691" name="Graphic 1691"/>
                        <wps:cNvSpPr/>
                        <wps:spPr>
                          <a:xfrm>
                            <a:off x="273893" y="2359124"/>
                            <a:ext cx="4415790" cy="1270"/>
                          </a:xfrm>
                          <a:custGeom>
                            <a:avLst/>
                            <a:gdLst/>
                            <a:ahLst/>
                            <a:cxnLst/>
                            <a:rect l="l" t="t" r="r" b="b"/>
                            <a:pathLst>
                              <a:path w="4415790" h="0">
                                <a:moveTo>
                                  <a:pt x="0" y="0"/>
                                </a:moveTo>
                                <a:lnTo>
                                  <a:pt x="4415764" y="0"/>
                                </a:lnTo>
                              </a:path>
                            </a:pathLst>
                          </a:custGeom>
                          <a:ln w="6350">
                            <a:solidFill>
                              <a:srgbClr val="FFFFFF"/>
                            </a:solidFill>
                            <a:prstDash val="solid"/>
                          </a:ln>
                        </wps:spPr>
                        <wps:bodyPr wrap="square" lIns="0" tIns="0" rIns="0" bIns="0" rtlCol="0">
                          <a:prstTxWarp prst="textNoShape">
                            <a:avLst/>
                          </a:prstTxWarp>
                          <a:noAutofit/>
                        </wps:bodyPr>
                      </wps:wsp>
                      <wps:wsp>
                        <wps:cNvPr id="1692" name="Textbox 1692"/>
                        <wps:cNvSpPr txBox="1"/>
                        <wps:spPr>
                          <a:xfrm>
                            <a:off x="76380" y="66855"/>
                            <a:ext cx="3629025" cy="551180"/>
                          </a:xfrm>
                          <a:prstGeom prst="rect">
                            <a:avLst/>
                          </a:prstGeom>
                        </wps:spPr>
                        <wps:txbx>
                          <w:txbxContent>
                            <w:p>
                              <w:pPr>
                                <w:spacing w:before="3"/>
                                <w:ind w:left="0" w:right="0" w:firstLine="0"/>
                                <w:jc w:val="left"/>
                                <w:rPr>
                                  <w:rFonts w:ascii="Arial"/>
                                  <w:b/>
                                  <w:sz w:val="16"/>
                                </w:rPr>
                              </w:pPr>
                              <w:r>
                                <w:rPr>
                                  <w:rFonts w:ascii="Arial"/>
                                  <w:color w:val="FFFFFF"/>
                                  <w:sz w:val="16"/>
                                </w:rPr>
                                <w:t>Figure</w:t>
                              </w:r>
                              <w:r>
                                <w:rPr>
                                  <w:rFonts w:ascii="Arial"/>
                                  <w:color w:val="FFFFFF"/>
                                  <w:spacing w:val="-1"/>
                                  <w:sz w:val="16"/>
                                </w:rPr>
                                <w:t> </w:t>
                              </w:r>
                              <w:r>
                                <w:rPr>
                                  <w:rFonts w:ascii="Arial"/>
                                  <w:b/>
                                  <w:color w:val="FFFFFF"/>
                                  <w:sz w:val="16"/>
                                </w:rPr>
                                <w:t>A4.2</w:t>
                              </w:r>
                              <w:r>
                                <w:rPr>
                                  <w:rFonts w:ascii="Arial"/>
                                  <w:b/>
                                  <w:color w:val="FFFFFF"/>
                                  <w:spacing w:val="34"/>
                                  <w:sz w:val="16"/>
                                </w:rPr>
                                <w:t>  </w:t>
                              </w:r>
                              <w:r>
                                <w:rPr>
                                  <w:rFonts w:ascii="Arial"/>
                                  <w:b/>
                                  <w:color w:val="FFFFFF"/>
                                  <w:sz w:val="16"/>
                                </w:rPr>
                                <w:t>Country</w:t>
                              </w:r>
                              <w:r>
                                <w:rPr>
                                  <w:rFonts w:ascii="Arial"/>
                                  <w:b/>
                                  <w:color w:val="FFFFFF"/>
                                  <w:spacing w:val="2"/>
                                  <w:sz w:val="16"/>
                                </w:rPr>
                                <w:t> </w:t>
                              </w:r>
                              <w:r>
                                <w:rPr>
                                  <w:rFonts w:ascii="Arial"/>
                                  <w:b/>
                                  <w:color w:val="FFFFFF"/>
                                  <w:sz w:val="16"/>
                                </w:rPr>
                                <w:t>coverage</w:t>
                              </w:r>
                              <w:r>
                                <w:rPr>
                                  <w:rFonts w:ascii="Arial"/>
                                  <w:b/>
                                  <w:color w:val="FFFFFF"/>
                                  <w:spacing w:val="3"/>
                                  <w:sz w:val="16"/>
                                </w:rPr>
                                <w:t> </w:t>
                              </w:r>
                              <w:r>
                                <w:rPr>
                                  <w:rFonts w:ascii="Arial"/>
                                  <w:b/>
                                  <w:color w:val="FFFFFF"/>
                                  <w:sz w:val="16"/>
                                </w:rPr>
                                <w:t>of</w:t>
                              </w:r>
                              <w:r>
                                <w:rPr>
                                  <w:rFonts w:ascii="Arial"/>
                                  <w:b/>
                                  <w:color w:val="FFFFFF"/>
                                  <w:spacing w:val="2"/>
                                  <w:sz w:val="16"/>
                                </w:rPr>
                                <w:t> </w:t>
                              </w:r>
                              <w:r>
                                <w:rPr>
                                  <w:rFonts w:ascii="Arial"/>
                                  <w:b/>
                                  <w:color w:val="FFFFFF"/>
                                  <w:sz w:val="16"/>
                                </w:rPr>
                                <w:t>Cargo</w:t>
                              </w:r>
                              <w:r>
                                <w:rPr>
                                  <w:rFonts w:ascii="Arial"/>
                                  <w:b/>
                                  <w:color w:val="FFFFFF"/>
                                  <w:spacing w:val="2"/>
                                  <w:sz w:val="16"/>
                                </w:rPr>
                                <w:t> </w:t>
                              </w:r>
                              <w:r>
                                <w:rPr>
                                  <w:rFonts w:ascii="Arial"/>
                                  <w:b/>
                                  <w:color w:val="FFFFFF"/>
                                  <w:sz w:val="16"/>
                                </w:rPr>
                                <w:t>iQ</w:t>
                              </w:r>
                              <w:r>
                                <w:rPr>
                                  <w:rFonts w:ascii="Arial"/>
                                  <w:b/>
                                  <w:color w:val="FFFFFF"/>
                                  <w:spacing w:val="3"/>
                                  <w:sz w:val="16"/>
                                </w:rPr>
                                <w:t> </w:t>
                              </w:r>
                              <w:r>
                                <w:rPr>
                                  <w:rFonts w:ascii="Arial"/>
                                  <w:b/>
                                  <w:color w:val="FFFFFF"/>
                                  <w:sz w:val="16"/>
                                </w:rPr>
                                <w:t>dataset,</w:t>
                              </w:r>
                              <w:r>
                                <w:rPr>
                                  <w:rFonts w:ascii="Arial"/>
                                  <w:b/>
                                  <w:color w:val="FFFFFF"/>
                                  <w:spacing w:val="2"/>
                                  <w:sz w:val="16"/>
                                </w:rPr>
                                <w:t> </w:t>
                              </w:r>
                              <w:r>
                                <w:rPr>
                                  <w:rFonts w:ascii="Arial"/>
                                  <w:b/>
                                  <w:color w:val="FFFFFF"/>
                                  <w:sz w:val="16"/>
                                </w:rPr>
                                <w:t>by</w:t>
                              </w:r>
                              <w:r>
                                <w:rPr>
                                  <w:rFonts w:ascii="Arial"/>
                                  <w:b/>
                                  <w:color w:val="FFFFFF"/>
                                  <w:spacing w:val="2"/>
                                  <w:sz w:val="16"/>
                                </w:rPr>
                                <w:t> </w:t>
                              </w:r>
                              <w:r>
                                <w:rPr>
                                  <w:rFonts w:ascii="Arial"/>
                                  <w:b/>
                                  <w:color w:val="FFFFFF"/>
                                  <w:sz w:val="16"/>
                                </w:rPr>
                                <w:t>World</w:t>
                              </w:r>
                              <w:r>
                                <w:rPr>
                                  <w:rFonts w:ascii="Arial"/>
                                  <w:b/>
                                  <w:color w:val="FFFFFF"/>
                                  <w:spacing w:val="3"/>
                                  <w:sz w:val="16"/>
                                </w:rPr>
                                <w:t> </w:t>
                              </w:r>
                              <w:r>
                                <w:rPr>
                                  <w:rFonts w:ascii="Arial"/>
                                  <w:b/>
                                  <w:color w:val="FFFFFF"/>
                                  <w:sz w:val="16"/>
                                </w:rPr>
                                <w:t>Bank</w:t>
                              </w:r>
                              <w:r>
                                <w:rPr>
                                  <w:rFonts w:ascii="Arial"/>
                                  <w:b/>
                                  <w:color w:val="FFFFFF"/>
                                  <w:spacing w:val="2"/>
                                  <w:sz w:val="16"/>
                                </w:rPr>
                                <w:t> </w:t>
                              </w:r>
                              <w:r>
                                <w:rPr>
                                  <w:rFonts w:ascii="Arial"/>
                                  <w:b/>
                                  <w:color w:val="FFFFFF"/>
                                  <w:spacing w:val="-2"/>
                                  <w:sz w:val="16"/>
                                </w:rPr>
                                <w:t>region</w:t>
                              </w:r>
                            </w:p>
                            <w:p>
                              <w:pPr>
                                <w:spacing w:line="240" w:lineRule="auto" w:before="10"/>
                                <w:rPr>
                                  <w:rFonts w:ascii="Arial"/>
                                  <w:b/>
                                  <w:sz w:val="16"/>
                                </w:rPr>
                              </w:pPr>
                            </w:p>
                            <w:p>
                              <w:pPr>
                                <w:spacing w:line="240" w:lineRule="atLeast" w:before="0"/>
                                <w:ind w:left="67" w:right="4062" w:hanging="68"/>
                                <w:jc w:val="left"/>
                                <w:rPr>
                                  <w:rFonts w:ascii="Arial"/>
                                  <w:sz w:val="14"/>
                                </w:rPr>
                              </w:pPr>
                              <w:r>
                                <w:rPr>
                                  <w:rFonts w:ascii="Arial"/>
                                  <w:color w:val="231F20"/>
                                  <w:w w:val="80"/>
                                  <w:sz w:val="14"/>
                                </w:rPr>
                                <w:t>Percent</w:t>
                              </w:r>
                              <w:r>
                                <w:rPr>
                                  <w:rFonts w:ascii="Arial"/>
                                  <w:color w:val="231F20"/>
                                  <w:spacing w:val="-2"/>
                                  <w:w w:val="80"/>
                                  <w:sz w:val="14"/>
                                </w:rPr>
                                <w:t> </w:t>
                              </w:r>
                              <w:r>
                                <w:rPr>
                                  <w:rFonts w:ascii="Arial"/>
                                  <w:color w:val="231F20"/>
                                  <w:w w:val="80"/>
                                  <w:sz w:val="14"/>
                                </w:rPr>
                                <w:t>of</w:t>
                              </w:r>
                              <w:r>
                                <w:rPr>
                                  <w:rFonts w:ascii="Arial"/>
                                  <w:color w:val="231F20"/>
                                  <w:spacing w:val="-2"/>
                                  <w:w w:val="80"/>
                                  <w:sz w:val="14"/>
                                </w:rPr>
                                <w:t> </w:t>
                              </w:r>
                              <w:r>
                                <w:rPr>
                                  <w:rFonts w:ascii="Arial"/>
                                  <w:color w:val="231F20"/>
                                  <w:w w:val="80"/>
                                  <w:sz w:val="14"/>
                                </w:rPr>
                                <w:t>countries</w:t>
                              </w:r>
                              <w:r>
                                <w:rPr>
                                  <w:rFonts w:ascii="Arial"/>
                                  <w:color w:val="231F20"/>
                                  <w:spacing w:val="-2"/>
                                  <w:w w:val="80"/>
                                  <w:sz w:val="14"/>
                                </w:rPr>
                                <w:t> </w:t>
                              </w:r>
                              <w:r>
                                <w:rPr>
                                  <w:rFonts w:ascii="Arial"/>
                                  <w:color w:val="231F20"/>
                                  <w:w w:val="80"/>
                                  <w:sz w:val="14"/>
                                </w:rPr>
                                <w:t>in</w:t>
                              </w:r>
                              <w:r>
                                <w:rPr>
                                  <w:rFonts w:ascii="Arial"/>
                                  <w:color w:val="231F20"/>
                                  <w:spacing w:val="-2"/>
                                  <w:w w:val="80"/>
                                  <w:sz w:val="14"/>
                                </w:rPr>
                                <w:t> </w:t>
                              </w:r>
                              <w:r>
                                <w:rPr>
                                  <w:rFonts w:ascii="Arial"/>
                                  <w:color w:val="231F20"/>
                                  <w:w w:val="80"/>
                                  <w:sz w:val="14"/>
                                </w:rPr>
                                <w:t>the</w:t>
                              </w:r>
                              <w:r>
                                <w:rPr>
                                  <w:rFonts w:ascii="Arial"/>
                                  <w:color w:val="231F20"/>
                                  <w:spacing w:val="-2"/>
                                  <w:w w:val="80"/>
                                  <w:sz w:val="14"/>
                                </w:rPr>
                                <w:t> </w:t>
                              </w:r>
                              <w:r>
                                <w:rPr>
                                  <w:rFonts w:ascii="Arial"/>
                                  <w:color w:val="231F20"/>
                                  <w:w w:val="80"/>
                                  <w:sz w:val="14"/>
                                </w:rPr>
                                <w:t>region</w:t>
                              </w:r>
                              <w:r>
                                <w:rPr>
                                  <w:rFonts w:ascii="Arial"/>
                                  <w:color w:val="231F20"/>
                                  <w:spacing w:val="40"/>
                                  <w:sz w:val="14"/>
                                </w:rPr>
                                <w:t> </w:t>
                              </w:r>
                              <w:r>
                                <w:rPr>
                                  <w:rFonts w:ascii="Arial"/>
                                  <w:color w:val="231F20"/>
                                  <w:spacing w:val="-6"/>
                                  <w:w w:val="90"/>
                                  <w:sz w:val="14"/>
                                </w:rPr>
                                <w:t>80</w:t>
                              </w:r>
                            </w:p>
                          </w:txbxContent>
                        </wps:txbx>
                        <wps:bodyPr wrap="square" lIns="0" tIns="0" rIns="0" bIns="0" rtlCol="0">
                          <a:noAutofit/>
                        </wps:bodyPr>
                      </wps:wsp>
                      <wps:wsp>
                        <wps:cNvPr id="1693" name="Textbox 1693"/>
                        <wps:cNvSpPr txBox="1"/>
                        <wps:spPr>
                          <a:xfrm>
                            <a:off x="119407" y="966038"/>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60</w:t>
                              </w:r>
                            </w:p>
                          </w:txbxContent>
                        </wps:txbx>
                        <wps:bodyPr wrap="square" lIns="0" tIns="0" rIns="0" bIns="0" rtlCol="0">
                          <a:noAutofit/>
                        </wps:bodyPr>
                      </wps:wsp>
                      <wps:wsp>
                        <wps:cNvPr id="1694" name="Textbox 1694"/>
                        <wps:cNvSpPr txBox="1"/>
                        <wps:spPr>
                          <a:xfrm>
                            <a:off x="119407" y="1414894"/>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40</w:t>
                              </w:r>
                            </w:p>
                          </w:txbxContent>
                        </wps:txbx>
                        <wps:bodyPr wrap="square" lIns="0" tIns="0" rIns="0" bIns="0" rtlCol="0">
                          <a:noAutofit/>
                        </wps:bodyPr>
                      </wps:wsp>
                      <wps:wsp>
                        <wps:cNvPr id="1695" name="Textbox 1695"/>
                        <wps:cNvSpPr txBox="1"/>
                        <wps:spPr>
                          <a:xfrm>
                            <a:off x="119407" y="1863750"/>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20</w:t>
                              </w:r>
                            </w:p>
                          </w:txbxContent>
                        </wps:txbx>
                        <wps:bodyPr wrap="square" lIns="0" tIns="0" rIns="0" bIns="0" rtlCol="0">
                          <a:noAutofit/>
                        </wps:bodyPr>
                      </wps:wsp>
                      <wps:wsp>
                        <wps:cNvPr id="1696" name="Textbox 1696"/>
                        <wps:cNvSpPr txBox="1"/>
                        <wps:spPr>
                          <a:xfrm>
                            <a:off x="76386" y="2312606"/>
                            <a:ext cx="1692275" cy="431800"/>
                          </a:xfrm>
                          <a:prstGeom prst="rect">
                            <a:avLst/>
                          </a:prstGeom>
                        </wps:spPr>
                        <wps:txbx>
                          <w:txbxContent>
                            <w:p>
                              <w:pPr>
                                <w:spacing w:line="159" w:lineRule="exact" w:before="0"/>
                                <w:ind w:left="134" w:right="0" w:firstLine="0"/>
                                <w:jc w:val="left"/>
                                <w:rPr>
                                  <w:rFonts w:ascii="Arial"/>
                                  <w:sz w:val="14"/>
                                </w:rPr>
                              </w:pPr>
                              <w:r>
                                <w:rPr>
                                  <w:rFonts w:ascii="Arial"/>
                                  <w:color w:val="231F20"/>
                                  <w:spacing w:val="-10"/>
                                  <w:w w:val="95"/>
                                  <w:sz w:val="14"/>
                                </w:rPr>
                                <w:t>0</w:t>
                              </w:r>
                            </w:p>
                            <w:p>
                              <w:pPr>
                                <w:spacing w:line="240" w:lineRule="auto" w:before="0"/>
                                <w:rPr>
                                  <w:rFonts w:ascii="Arial"/>
                                  <w:sz w:val="14"/>
                                </w:rPr>
                              </w:pPr>
                            </w:p>
                            <w:p>
                              <w:pPr>
                                <w:spacing w:line="240" w:lineRule="auto" w:before="52"/>
                                <w:rPr>
                                  <w:rFonts w:ascii="Arial"/>
                                  <w:sz w:val="14"/>
                                </w:rPr>
                              </w:pPr>
                            </w:p>
                            <w:p>
                              <w:pPr>
                                <w:spacing w:before="0"/>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World</w:t>
                              </w:r>
                              <w:r>
                                <w:rPr>
                                  <w:rFonts w:ascii="Arial"/>
                                  <w:color w:val="231F20"/>
                                  <w:spacing w:val="5"/>
                                  <w:sz w:val="12"/>
                                </w:rPr>
                                <w:t> </w:t>
                              </w:r>
                              <w:r>
                                <w:rPr>
                                  <w:rFonts w:ascii="Arial"/>
                                  <w:color w:val="231F20"/>
                                  <w:w w:val="75"/>
                                  <w:sz w:val="12"/>
                                </w:rPr>
                                <w:t>Bank</w:t>
                              </w:r>
                              <w:r>
                                <w:rPr>
                                  <w:rFonts w:ascii="Arial"/>
                                  <w:color w:val="231F20"/>
                                  <w:spacing w:val="5"/>
                                  <w:sz w:val="12"/>
                                </w:rPr>
                                <w:t> </w:t>
                              </w:r>
                              <w:r>
                                <w:rPr>
                                  <w:rFonts w:ascii="Arial"/>
                                  <w:color w:val="231F20"/>
                                  <w:w w:val="75"/>
                                  <w:sz w:val="12"/>
                                </w:rPr>
                                <w:t>calculations</w:t>
                              </w:r>
                              <w:r>
                                <w:rPr>
                                  <w:rFonts w:ascii="Arial"/>
                                  <w:color w:val="231F20"/>
                                  <w:spacing w:val="5"/>
                                  <w:sz w:val="12"/>
                                </w:rPr>
                                <w:t> </w:t>
                              </w:r>
                              <w:r>
                                <w:rPr>
                                  <w:rFonts w:ascii="Arial"/>
                                  <w:color w:val="231F20"/>
                                  <w:w w:val="75"/>
                                  <w:sz w:val="12"/>
                                </w:rPr>
                                <w:t>based</w:t>
                              </w:r>
                              <w:r>
                                <w:rPr>
                                  <w:rFonts w:ascii="Arial"/>
                                  <w:color w:val="231F20"/>
                                  <w:spacing w:val="5"/>
                                  <w:sz w:val="12"/>
                                </w:rPr>
                                <w:t> </w:t>
                              </w:r>
                              <w:r>
                                <w:rPr>
                                  <w:rFonts w:ascii="Arial"/>
                                  <w:color w:val="231F20"/>
                                  <w:w w:val="75"/>
                                  <w:sz w:val="12"/>
                                </w:rPr>
                                <w:t>on</w:t>
                              </w:r>
                              <w:r>
                                <w:rPr>
                                  <w:rFonts w:ascii="Arial"/>
                                  <w:color w:val="231F20"/>
                                  <w:spacing w:val="4"/>
                                  <w:sz w:val="12"/>
                                </w:rPr>
                                <w:t> </w:t>
                              </w:r>
                              <w:r>
                                <w:rPr>
                                  <w:rFonts w:ascii="Arial"/>
                                  <w:color w:val="231F20"/>
                                  <w:w w:val="75"/>
                                  <w:sz w:val="12"/>
                                </w:rPr>
                                <w:t>data</w:t>
                              </w:r>
                              <w:r>
                                <w:rPr>
                                  <w:rFonts w:ascii="Arial"/>
                                  <w:color w:val="231F20"/>
                                  <w:spacing w:val="5"/>
                                  <w:sz w:val="12"/>
                                </w:rPr>
                                <w:t> </w:t>
                              </w:r>
                              <w:r>
                                <w:rPr>
                                  <w:rFonts w:ascii="Arial"/>
                                  <w:color w:val="231F20"/>
                                  <w:w w:val="75"/>
                                  <w:sz w:val="12"/>
                                </w:rPr>
                                <w:t>from</w:t>
                              </w:r>
                              <w:r>
                                <w:rPr>
                                  <w:rFonts w:ascii="Arial"/>
                                  <w:color w:val="231F20"/>
                                  <w:spacing w:val="5"/>
                                  <w:sz w:val="12"/>
                                </w:rPr>
                                <w:t> </w:t>
                              </w:r>
                              <w:r>
                                <w:rPr>
                                  <w:rFonts w:ascii="Arial"/>
                                  <w:color w:val="231F20"/>
                                  <w:w w:val="75"/>
                                  <w:sz w:val="12"/>
                                </w:rPr>
                                <w:t>Cargo</w:t>
                              </w:r>
                              <w:r>
                                <w:rPr>
                                  <w:rFonts w:ascii="Arial"/>
                                  <w:color w:val="231F20"/>
                                  <w:spacing w:val="5"/>
                                  <w:sz w:val="12"/>
                                </w:rPr>
                                <w:t> </w:t>
                              </w:r>
                              <w:r>
                                <w:rPr>
                                  <w:rFonts w:ascii="Arial"/>
                                  <w:color w:val="231F20"/>
                                  <w:spacing w:val="-5"/>
                                  <w:w w:val="75"/>
                                  <w:sz w:val="12"/>
                                </w:rPr>
                                <w:t>iQ.</w:t>
                              </w:r>
                            </w:p>
                          </w:txbxContent>
                        </wps:txbx>
                        <wps:bodyPr wrap="square" lIns="0" tIns="0" rIns="0" bIns="0" rtlCol="0">
                          <a:noAutofit/>
                        </wps:bodyPr>
                      </wps:wsp>
                    </wpg:wgp>
                  </a:graphicData>
                </a:graphic>
              </wp:anchor>
            </w:drawing>
          </mc:Choice>
          <mc:Fallback>
            <w:pict>
              <v:group style="position:absolute;margin-left:167.984406pt;margin-top:41.389648pt;width:384.05pt;height:223.4pt;mso-position-horizontal-relative:page;mso-position-vertical-relative:paragraph;z-index:-36539392" id="docshapegroup1420" coordorigin="3360,828" coordsize="7681,4468">
                <v:shape style="position:absolute;left:3360;top:1234;width:7680;height:4061" id="docshape1421" coordorigin="3360,1234" coordsize="7680,4061" path="m11040,1234l3360,1234,3360,5177,3370,5223,3396,5260,3434,5286,3478,5295,10916,5295,10962,5287,11001,5263,11029,5226,11040,5177,11040,1234xe" filled="true" fillcolor="#dfeaf7" stroked="false">
                  <v:path arrowok="t"/>
                  <v:fill type="solid"/>
                </v:shape>
                <v:shape style="position:absolute;left:3359;top:827;width:867;height:365" id="docshape1422" coordorigin="3360,828" coordsize="867,365" path="m4227,828l3480,828,3434,833,3396,851,3369,887,3360,948,3360,1193,4227,1193,4227,828xe" filled="true" fillcolor="#008fdd" stroked="false">
                  <v:path arrowok="t"/>
                  <v:fill type="solid"/>
                </v:shape>
                <v:shape style="position:absolute;left:4226;top:827;width:6813;height:365" id="docshape1423" coordorigin="4227,828" coordsize="6813,365" path="m10919,828l4227,828,4227,1193,11039,1193,11039,948,11030,908,11006,869,10968,840,10919,828xe" filled="true" fillcolor="#808285" stroked="false">
                  <v:path arrowok="t"/>
                  <v:fill type="solid"/>
                </v:shape>
                <v:line style="position:absolute" from="4227,828" to="4227,1207" stroked="true" strokeweight="2pt" strokecolor="#ffffff">
                  <v:stroke dashstyle="solid"/>
                </v:line>
                <v:shape style="position:absolute;left:3791;top:4542;width:7021;height:2" id="docshape1424" coordorigin="3792,4543" coordsize="7021,0" path="m3792,4543l10812,4543m3792,4543l10812,4543e" filled="false" stroked="true" strokeweight=".5pt" strokecolor="#ffffff">
                  <v:path arrowok="t"/>
                  <v:stroke dashstyle="solid"/>
                </v:shape>
                <v:shape style="position:absolute;left:3791;top:2422;width:7021;height:1414" id="docshape1425" coordorigin="3792,2423" coordsize="7021,1414" path="m3792,3836l4068,3836m4519,3836l5071,3836m5522,3836l6074,3836m6525,3836l7076,3836m7528,3836l8079,3836m8531,3836l9082,3836m9534,3836l10085,3836m10537,3836l10812,3836m3792,3129l5071,3129m5522,3129l6074,3129m6525,3129l7076,3129m7528,3129l8079,3129m8531,3129l10812,3129m3792,2423l8079,2423m8531,2423l10812,2423e" filled="false" stroked="true" strokeweight=".5pt" strokecolor="#ffffff">
                  <v:path arrowok="t"/>
                  <v:stroke dashstyle="solid"/>
                </v:shape>
                <v:line style="position:absolute" from="3792,1716" to="10812,1716" stroked="true" strokeweight=".5pt" strokecolor="#ffffff">
                  <v:stroke dashstyle="solid"/>
                </v:line>
                <v:rect style="position:absolute;left:4067;top:3147;width:452;height:1396" id="docshape1426" filled="true" fillcolor="#008fdd" stroked="false">
                  <v:fill type="solid"/>
                </v:rect>
                <v:rect style="position:absolute;left:4067;top:3147;width:452;height:1396" id="docshape1427" filled="false" stroked="true" strokeweight=".25pt" strokecolor="#ffffff">
                  <v:stroke dashstyle="solid"/>
                </v:rect>
                <v:rect style="position:absolute;left:5070;top:2472;width:452;height:2071" id="docshape1428" filled="true" fillcolor="#008fdd" stroked="false">
                  <v:fill type="solid"/>
                </v:rect>
                <v:rect style="position:absolute;left:5070;top:2472;width:452;height:2071" id="docshape1429" filled="false" stroked="true" strokeweight=".25pt" strokecolor="#ffffff">
                  <v:stroke dashstyle="solid"/>
                </v:rect>
                <v:rect style="position:absolute;left:6073;top:3076;width:452;height:1467" id="docshape1430" filled="true" fillcolor="#008fdd" stroked="false">
                  <v:fill type="solid"/>
                </v:rect>
                <v:rect style="position:absolute;left:6073;top:3076;width:452;height:1467" id="docshape1431" filled="false" stroked="true" strokeweight=".25pt" strokecolor="#ffffff">
                  <v:stroke dashstyle="solid"/>
                </v:rect>
                <v:rect style="position:absolute;left:7076;top:2525;width:452;height:2018" id="docshape1432" filled="true" fillcolor="#008fdd" stroked="false">
                  <v:fill type="solid"/>
                </v:rect>
                <v:rect style="position:absolute;left:7076;top:2525;width:452;height:2018" id="docshape1433" filled="false" stroked="true" strokeweight=".25pt" strokecolor="#ffffff">
                  <v:stroke dashstyle="solid"/>
                </v:rect>
                <v:rect style="position:absolute;left:8079;top:2185;width:452;height:2358" id="docshape1434" filled="true" fillcolor="#008fdd" stroked="false">
                  <v:fill type="solid"/>
                </v:rect>
                <v:rect style="position:absolute;left:8079;top:2185;width:452;height:2358" id="docshape1435" filled="false" stroked="true" strokeweight=".25pt" strokecolor="#ffffff">
                  <v:stroke dashstyle="solid"/>
                </v:rect>
                <v:rect style="position:absolute;left:9082;top:3217;width:452;height:1326" id="docshape1436" filled="true" fillcolor="#008fdd" stroked="false">
                  <v:fill type="solid"/>
                </v:rect>
                <v:rect style="position:absolute;left:9082;top:3217;width:452;height:1326" id="docshape1437" filled="false" stroked="true" strokeweight=".25pt" strokecolor="#ffffff">
                  <v:stroke dashstyle="solid"/>
                </v:rect>
                <v:rect style="position:absolute;left:10085;top:3291;width:452;height:1252" id="docshape1438" filled="true" fillcolor="#008fdd" stroked="false">
                  <v:fill type="solid"/>
                </v:rect>
                <v:rect style="position:absolute;left:10085;top:3291;width:452;height:1252" id="docshape1439" filled="false" stroked="true" strokeweight=".25pt" strokecolor="#ffffff">
                  <v:stroke dashstyle="solid"/>
                </v:rect>
                <v:line style="position:absolute" from="3791,4543" to="10745,4543" stroked="true" strokeweight=".5pt" strokecolor="#ffffff">
                  <v:stroke dashstyle="solid"/>
                </v:line>
                <v:shape style="position:absolute;left:3479;top:933;width:5715;height:868" type="#_x0000_t202" id="docshape1440" filled="false" stroked="false">
                  <v:textbox inset="0,0,0,0">
                    <w:txbxContent>
                      <w:p>
                        <w:pPr>
                          <w:spacing w:before="3"/>
                          <w:ind w:left="0" w:right="0" w:firstLine="0"/>
                          <w:jc w:val="left"/>
                          <w:rPr>
                            <w:rFonts w:ascii="Arial"/>
                            <w:b/>
                            <w:sz w:val="16"/>
                          </w:rPr>
                        </w:pPr>
                        <w:r>
                          <w:rPr>
                            <w:rFonts w:ascii="Arial"/>
                            <w:color w:val="FFFFFF"/>
                            <w:sz w:val="16"/>
                          </w:rPr>
                          <w:t>Figure</w:t>
                        </w:r>
                        <w:r>
                          <w:rPr>
                            <w:rFonts w:ascii="Arial"/>
                            <w:color w:val="FFFFFF"/>
                            <w:spacing w:val="-1"/>
                            <w:sz w:val="16"/>
                          </w:rPr>
                          <w:t> </w:t>
                        </w:r>
                        <w:r>
                          <w:rPr>
                            <w:rFonts w:ascii="Arial"/>
                            <w:b/>
                            <w:color w:val="FFFFFF"/>
                            <w:sz w:val="16"/>
                          </w:rPr>
                          <w:t>A4.2</w:t>
                        </w:r>
                        <w:r>
                          <w:rPr>
                            <w:rFonts w:ascii="Arial"/>
                            <w:b/>
                            <w:color w:val="FFFFFF"/>
                            <w:spacing w:val="34"/>
                            <w:sz w:val="16"/>
                          </w:rPr>
                          <w:t>  </w:t>
                        </w:r>
                        <w:r>
                          <w:rPr>
                            <w:rFonts w:ascii="Arial"/>
                            <w:b/>
                            <w:color w:val="FFFFFF"/>
                            <w:sz w:val="16"/>
                          </w:rPr>
                          <w:t>Country</w:t>
                        </w:r>
                        <w:r>
                          <w:rPr>
                            <w:rFonts w:ascii="Arial"/>
                            <w:b/>
                            <w:color w:val="FFFFFF"/>
                            <w:spacing w:val="2"/>
                            <w:sz w:val="16"/>
                          </w:rPr>
                          <w:t> </w:t>
                        </w:r>
                        <w:r>
                          <w:rPr>
                            <w:rFonts w:ascii="Arial"/>
                            <w:b/>
                            <w:color w:val="FFFFFF"/>
                            <w:sz w:val="16"/>
                          </w:rPr>
                          <w:t>coverage</w:t>
                        </w:r>
                        <w:r>
                          <w:rPr>
                            <w:rFonts w:ascii="Arial"/>
                            <w:b/>
                            <w:color w:val="FFFFFF"/>
                            <w:spacing w:val="3"/>
                            <w:sz w:val="16"/>
                          </w:rPr>
                          <w:t> </w:t>
                        </w:r>
                        <w:r>
                          <w:rPr>
                            <w:rFonts w:ascii="Arial"/>
                            <w:b/>
                            <w:color w:val="FFFFFF"/>
                            <w:sz w:val="16"/>
                          </w:rPr>
                          <w:t>of</w:t>
                        </w:r>
                        <w:r>
                          <w:rPr>
                            <w:rFonts w:ascii="Arial"/>
                            <w:b/>
                            <w:color w:val="FFFFFF"/>
                            <w:spacing w:val="2"/>
                            <w:sz w:val="16"/>
                          </w:rPr>
                          <w:t> </w:t>
                        </w:r>
                        <w:r>
                          <w:rPr>
                            <w:rFonts w:ascii="Arial"/>
                            <w:b/>
                            <w:color w:val="FFFFFF"/>
                            <w:sz w:val="16"/>
                          </w:rPr>
                          <w:t>Cargo</w:t>
                        </w:r>
                        <w:r>
                          <w:rPr>
                            <w:rFonts w:ascii="Arial"/>
                            <w:b/>
                            <w:color w:val="FFFFFF"/>
                            <w:spacing w:val="2"/>
                            <w:sz w:val="16"/>
                          </w:rPr>
                          <w:t> </w:t>
                        </w:r>
                        <w:r>
                          <w:rPr>
                            <w:rFonts w:ascii="Arial"/>
                            <w:b/>
                            <w:color w:val="FFFFFF"/>
                            <w:sz w:val="16"/>
                          </w:rPr>
                          <w:t>iQ</w:t>
                        </w:r>
                        <w:r>
                          <w:rPr>
                            <w:rFonts w:ascii="Arial"/>
                            <w:b/>
                            <w:color w:val="FFFFFF"/>
                            <w:spacing w:val="3"/>
                            <w:sz w:val="16"/>
                          </w:rPr>
                          <w:t> </w:t>
                        </w:r>
                        <w:r>
                          <w:rPr>
                            <w:rFonts w:ascii="Arial"/>
                            <w:b/>
                            <w:color w:val="FFFFFF"/>
                            <w:sz w:val="16"/>
                          </w:rPr>
                          <w:t>dataset,</w:t>
                        </w:r>
                        <w:r>
                          <w:rPr>
                            <w:rFonts w:ascii="Arial"/>
                            <w:b/>
                            <w:color w:val="FFFFFF"/>
                            <w:spacing w:val="2"/>
                            <w:sz w:val="16"/>
                          </w:rPr>
                          <w:t> </w:t>
                        </w:r>
                        <w:r>
                          <w:rPr>
                            <w:rFonts w:ascii="Arial"/>
                            <w:b/>
                            <w:color w:val="FFFFFF"/>
                            <w:sz w:val="16"/>
                          </w:rPr>
                          <w:t>by</w:t>
                        </w:r>
                        <w:r>
                          <w:rPr>
                            <w:rFonts w:ascii="Arial"/>
                            <w:b/>
                            <w:color w:val="FFFFFF"/>
                            <w:spacing w:val="2"/>
                            <w:sz w:val="16"/>
                          </w:rPr>
                          <w:t> </w:t>
                        </w:r>
                        <w:r>
                          <w:rPr>
                            <w:rFonts w:ascii="Arial"/>
                            <w:b/>
                            <w:color w:val="FFFFFF"/>
                            <w:sz w:val="16"/>
                          </w:rPr>
                          <w:t>World</w:t>
                        </w:r>
                        <w:r>
                          <w:rPr>
                            <w:rFonts w:ascii="Arial"/>
                            <w:b/>
                            <w:color w:val="FFFFFF"/>
                            <w:spacing w:val="3"/>
                            <w:sz w:val="16"/>
                          </w:rPr>
                          <w:t> </w:t>
                        </w:r>
                        <w:r>
                          <w:rPr>
                            <w:rFonts w:ascii="Arial"/>
                            <w:b/>
                            <w:color w:val="FFFFFF"/>
                            <w:sz w:val="16"/>
                          </w:rPr>
                          <w:t>Bank</w:t>
                        </w:r>
                        <w:r>
                          <w:rPr>
                            <w:rFonts w:ascii="Arial"/>
                            <w:b/>
                            <w:color w:val="FFFFFF"/>
                            <w:spacing w:val="2"/>
                            <w:sz w:val="16"/>
                          </w:rPr>
                          <w:t> </w:t>
                        </w:r>
                        <w:r>
                          <w:rPr>
                            <w:rFonts w:ascii="Arial"/>
                            <w:b/>
                            <w:color w:val="FFFFFF"/>
                            <w:spacing w:val="-2"/>
                            <w:sz w:val="16"/>
                          </w:rPr>
                          <w:t>region</w:t>
                        </w:r>
                      </w:p>
                      <w:p>
                        <w:pPr>
                          <w:spacing w:line="240" w:lineRule="auto" w:before="10"/>
                          <w:rPr>
                            <w:rFonts w:ascii="Arial"/>
                            <w:b/>
                            <w:sz w:val="16"/>
                          </w:rPr>
                        </w:pPr>
                      </w:p>
                      <w:p>
                        <w:pPr>
                          <w:spacing w:line="240" w:lineRule="atLeast" w:before="0"/>
                          <w:ind w:left="67" w:right="4062" w:hanging="68"/>
                          <w:jc w:val="left"/>
                          <w:rPr>
                            <w:rFonts w:ascii="Arial"/>
                            <w:sz w:val="14"/>
                          </w:rPr>
                        </w:pPr>
                        <w:r>
                          <w:rPr>
                            <w:rFonts w:ascii="Arial"/>
                            <w:color w:val="231F20"/>
                            <w:w w:val="80"/>
                            <w:sz w:val="14"/>
                          </w:rPr>
                          <w:t>Percent</w:t>
                        </w:r>
                        <w:r>
                          <w:rPr>
                            <w:rFonts w:ascii="Arial"/>
                            <w:color w:val="231F20"/>
                            <w:spacing w:val="-2"/>
                            <w:w w:val="80"/>
                            <w:sz w:val="14"/>
                          </w:rPr>
                          <w:t> </w:t>
                        </w:r>
                        <w:r>
                          <w:rPr>
                            <w:rFonts w:ascii="Arial"/>
                            <w:color w:val="231F20"/>
                            <w:w w:val="80"/>
                            <w:sz w:val="14"/>
                          </w:rPr>
                          <w:t>of</w:t>
                        </w:r>
                        <w:r>
                          <w:rPr>
                            <w:rFonts w:ascii="Arial"/>
                            <w:color w:val="231F20"/>
                            <w:spacing w:val="-2"/>
                            <w:w w:val="80"/>
                            <w:sz w:val="14"/>
                          </w:rPr>
                          <w:t> </w:t>
                        </w:r>
                        <w:r>
                          <w:rPr>
                            <w:rFonts w:ascii="Arial"/>
                            <w:color w:val="231F20"/>
                            <w:w w:val="80"/>
                            <w:sz w:val="14"/>
                          </w:rPr>
                          <w:t>countries</w:t>
                        </w:r>
                        <w:r>
                          <w:rPr>
                            <w:rFonts w:ascii="Arial"/>
                            <w:color w:val="231F20"/>
                            <w:spacing w:val="-2"/>
                            <w:w w:val="80"/>
                            <w:sz w:val="14"/>
                          </w:rPr>
                          <w:t> </w:t>
                        </w:r>
                        <w:r>
                          <w:rPr>
                            <w:rFonts w:ascii="Arial"/>
                            <w:color w:val="231F20"/>
                            <w:w w:val="80"/>
                            <w:sz w:val="14"/>
                          </w:rPr>
                          <w:t>in</w:t>
                        </w:r>
                        <w:r>
                          <w:rPr>
                            <w:rFonts w:ascii="Arial"/>
                            <w:color w:val="231F20"/>
                            <w:spacing w:val="-2"/>
                            <w:w w:val="80"/>
                            <w:sz w:val="14"/>
                          </w:rPr>
                          <w:t> </w:t>
                        </w:r>
                        <w:r>
                          <w:rPr>
                            <w:rFonts w:ascii="Arial"/>
                            <w:color w:val="231F20"/>
                            <w:w w:val="80"/>
                            <w:sz w:val="14"/>
                          </w:rPr>
                          <w:t>the</w:t>
                        </w:r>
                        <w:r>
                          <w:rPr>
                            <w:rFonts w:ascii="Arial"/>
                            <w:color w:val="231F20"/>
                            <w:spacing w:val="-2"/>
                            <w:w w:val="80"/>
                            <w:sz w:val="14"/>
                          </w:rPr>
                          <w:t> </w:t>
                        </w:r>
                        <w:r>
                          <w:rPr>
                            <w:rFonts w:ascii="Arial"/>
                            <w:color w:val="231F20"/>
                            <w:w w:val="80"/>
                            <w:sz w:val="14"/>
                          </w:rPr>
                          <w:t>region</w:t>
                        </w:r>
                        <w:r>
                          <w:rPr>
                            <w:rFonts w:ascii="Arial"/>
                            <w:color w:val="231F20"/>
                            <w:spacing w:val="40"/>
                            <w:sz w:val="14"/>
                          </w:rPr>
                          <w:t> </w:t>
                        </w:r>
                        <w:r>
                          <w:rPr>
                            <w:rFonts w:ascii="Arial"/>
                            <w:color w:val="231F20"/>
                            <w:spacing w:val="-6"/>
                            <w:w w:val="90"/>
                            <w:sz w:val="14"/>
                          </w:rPr>
                          <w:t>80</w:t>
                        </w:r>
                      </w:p>
                    </w:txbxContent>
                  </v:textbox>
                  <w10:wrap type="none"/>
                </v:shape>
                <v:shape style="position:absolute;left:3547;top:2349;width:155;height:159" type="#_x0000_t202" id="docshape1441"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60</w:t>
                        </w:r>
                      </w:p>
                    </w:txbxContent>
                  </v:textbox>
                  <w10:wrap type="none"/>
                </v:shape>
                <v:shape style="position:absolute;left:3547;top:3055;width:155;height:159" type="#_x0000_t202" id="docshape1442"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40</w:t>
                        </w:r>
                      </w:p>
                    </w:txbxContent>
                  </v:textbox>
                  <w10:wrap type="none"/>
                </v:shape>
                <v:shape style="position:absolute;left:3547;top:3762;width:155;height:159" type="#_x0000_t202" id="docshape1443"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20</w:t>
                        </w:r>
                      </w:p>
                    </w:txbxContent>
                  </v:textbox>
                  <w10:wrap type="none"/>
                </v:shape>
                <v:shape style="position:absolute;left:3479;top:4469;width:2665;height:680" type="#_x0000_t202" id="docshape1444" filled="false" stroked="false">
                  <v:textbox inset="0,0,0,0">
                    <w:txbxContent>
                      <w:p>
                        <w:pPr>
                          <w:spacing w:line="159" w:lineRule="exact" w:before="0"/>
                          <w:ind w:left="134" w:right="0" w:firstLine="0"/>
                          <w:jc w:val="left"/>
                          <w:rPr>
                            <w:rFonts w:ascii="Arial"/>
                            <w:sz w:val="14"/>
                          </w:rPr>
                        </w:pPr>
                        <w:r>
                          <w:rPr>
                            <w:rFonts w:ascii="Arial"/>
                            <w:color w:val="231F20"/>
                            <w:spacing w:val="-10"/>
                            <w:w w:val="95"/>
                            <w:sz w:val="14"/>
                          </w:rPr>
                          <w:t>0</w:t>
                        </w:r>
                      </w:p>
                      <w:p>
                        <w:pPr>
                          <w:spacing w:line="240" w:lineRule="auto" w:before="0"/>
                          <w:rPr>
                            <w:rFonts w:ascii="Arial"/>
                            <w:sz w:val="14"/>
                          </w:rPr>
                        </w:pPr>
                      </w:p>
                      <w:p>
                        <w:pPr>
                          <w:spacing w:line="240" w:lineRule="auto" w:before="52"/>
                          <w:rPr>
                            <w:rFonts w:ascii="Arial"/>
                            <w:sz w:val="14"/>
                          </w:rPr>
                        </w:pPr>
                      </w:p>
                      <w:p>
                        <w:pPr>
                          <w:spacing w:before="0"/>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World</w:t>
                        </w:r>
                        <w:r>
                          <w:rPr>
                            <w:rFonts w:ascii="Arial"/>
                            <w:color w:val="231F20"/>
                            <w:spacing w:val="5"/>
                            <w:sz w:val="12"/>
                          </w:rPr>
                          <w:t> </w:t>
                        </w:r>
                        <w:r>
                          <w:rPr>
                            <w:rFonts w:ascii="Arial"/>
                            <w:color w:val="231F20"/>
                            <w:w w:val="75"/>
                            <w:sz w:val="12"/>
                          </w:rPr>
                          <w:t>Bank</w:t>
                        </w:r>
                        <w:r>
                          <w:rPr>
                            <w:rFonts w:ascii="Arial"/>
                            <w:color w:val="231F20"/>
                            <w:spacing w:val="5"/>
                            <w:sz w:val="12"/>
                          </w:rPr>
                          <w:t> </w:t>
                        </w:r>
                        <w:r>
                          <w:rPr>
                            <w:rFonts w:ascii="Arial"/>
                            <w:color w:val="231F20"/>
                            <w:w w:val="75"/>
                            <w:sz w:val="12"/>
                          </w:rPr>
                          <w:t>calculations</w:t>
                        </w:r>
                        <w:r>
                          <w:rPr>
                            <w:rFonts w:ascii="Arial"/>
                            <w:color w:val="231F20"/>
                            <w:spacing w:val="5"/>
                            <w:sz w:val="12"/>
                          </w:rPr>
                          <w:t> </w:t>
                        </w:r>
                        <w:r>
                          <w:rPr>
                            <w:rFonts w:ascii="Arial"/>
                            <w:color w:val="231F20"/>
                            <w:w w:val="75"/>
                            <w:sz w:val="12"/>
                          </w:rPr>
                          <w:t>based</w:t>
                        </w:r>
                        <w:r>
                          <w:rPr>
                            <w:rFonts w:ascii="Arial"/>
                            <w:color w:val="231F20"/>
                            <w:spacing w:val="5"/>
                            <w:sz w:val="12"/>
                          </w:rPr>
                          <w:t> </w:t>
                        </w:r>
                        <w:r>
                          <w:rPr>
                            <w:rFonts w:ascii="Arial"/>
                            <w:color w:val="231F20"/>
                            <w:w w:val="75"/>
                            <w:sz w:val="12"/>
                          </w:rPr>
                          <w:t>on</w:t>
                        </w:r>
                        <w:r>
                          <w:rPr>
                            <w:rFonts w:ascii="Arial"/>
                            <w:color w:val="231F20"/>
                            <w:spacing w:val="4"/>
                            <w:sz w:val="12"/>
                          </w:rPr>
                          <w:t> </w:t>
                        </w:r>
                        <w:r>
                          <w:rPr>
                            <w:rFonts w:ascii="Arial"/>
                            <w:color w:val="231F20"/>
                            <w:w w:val="75"/>
                            <w:sz w:val="12"/>
                          </w:rPr>
                          <w:t>data</w:t>
                        </w:r>
                        <w:r>
                          <w:rPr>
                            <w:rFonts w:ascii="Arial"/>
                            <w:color w:val="231F20"/>
                            <w:spacing w:val="5"/>
                            <w:sz w:val="12"/>
                          </w:rPr>
                          <w:t> </w:t>
                        </w:r>
                        <w:r>
                          <w:rPr>
                            <w:rFonts w:ascii="Arial"/>
                            <w:color w:val="231F20"/>
                            <w:w w:val="75"/>
                            <w:sz w:val="12"/>
                          </w:rPr>
                          <w:t>from</w:t>
                        </w:r>
                        <w:r>
                          <w:rPr>
                            <w:rFonts w:ascii="Arial"/>
                            <w:color w:val="231F20"/>
                            <w:spacing w:val="5"/>
                            <w:sz w:val="12"/>
                          </w:rPr>
                          <w:t> </w:t>
                        </w:r>
                        <w:r>
                          <w:rPr>
                            <w:rFonts w:ascii="Arial"/>
                            <w:color w:val="231F20"/>
                            <w:w w:val="75"/>
                            <w:sz w:val="12"/>
                          </w:rPr>
                          <w:t>Cargo</w:t>
                        </w:r>
                        <w:r>
                          <w:rPr>
                            <w:rFonts w:ascii="Arial"/>
                            <w:color w:val="231F20"/>
                            <w:spacing w:val="5"/>
                            <w:sz w:val="12"/>
                          </w:rPr>
                          <w:t> </w:t>
                        </w:r>
                        <w:r>
                          <w:rPr>
                            <w:rFonts w:ascii="Arial"/>
                            <w:color w:val="231F20"/>
                            <w:spacing w:val="-5"/>
                            <w:w w:val="75"/>
                            <w:sz w:val="12"/>
                          </w:rPr>
                          <w:t>iQ.</w:t>
                        </w:r>
                      </w:p>
                    </w:txbxContent>
                  </v:textbox>
                  <w10:wrap type="none"/>
                </v:shape>
                <w10:wrap type="none"/>
              </v:group>
            </w:pict>
          </mc:Fallback>
        </mc:AlternateContent>
      </w:r>
      <w:r>
        <w:rPr>
          <w:color w:val="231F20"/>
          <w:spacing w:val="-4"/>
        </w:rPr>
        <w:t>To</w:t>
      </w:r>
      <w:r>
        <w:rPr>
          <w:color w:val="231F20"/>
          <w:spacing w:val="-10"/>
        </w:rPr>
        <w:t> </w:t>
      </w:r>
      <w:r>
        <w:rPr>
          <w:color w:val="231F20"/>
          <w:spacing w:val="-4"/>
        </w:rPr>
        <w:t>avoid</w:t>
      </w:r>
      <w:r>
        <w:rPr>
          <w:color w:val="231F20"/>
          <w:spacing w:val="-9"/>
        </w:rPr>
        <w:t> </w:t>
      </w:r>
      <w:r>
        <w:rPr>
          <w:color w:val="231F20"/>
          <w:spacing w:val="-4"/>
        </w:rPr>
        <w:t>revealing</w:t>
      </w:r>
      <w:r>
        <w:rPr>
          <w:color w:val="231F20"/>
          <w:spacing w:val="-9"/>
        </w:rPr>
        <w:t> </w:t>
      </w:r>
      <w:r>
        <w:rPr>
          <w:color w:val="231F20"/>
          <w:spacing w:val="-4"/>
        </w:rPr>
        <w:t>commercially</w:t>
      </w:r>
      <w:r>
        <w:rPr>
          <w:color w:val="231F20"/>
          <w:spacing w:val="-9"/>
        </w:rPr>
        <w:t> </w:t>
      </w:r>
      <w:r>
        <w:rPr>
          <w:color w:val="231F20"/>
          <w:spacing w:val="-4"/>
        </w:rPr>
        <w:t>sensitive </w:t>
      </w:r>
      <w:r>
        <w:rPr>
          <w:color w:val="231F20"/>
        </w:rPr>
        <w:t>information</w:t>
      </w:r>
      <w:r>
        <w:rPr>
          <w:color w:val="231F20"/>
          <w:spacing w:val="4"/>
        </w:rPr>
        <w:t> </w:t>
      </w:r>
      <w:r>
        <w:rPr>
          <w:color w:val="231F20"/>
        </w:rPr>
        <w:t>for</w:t>
      </w:r>
      <w:r>
        <w:rPr>
          <w:color w:val="231F20"/>
          <w:spacing w:val="5"/>
        </w:rPr>
        <w:t> </w:t>
      </w:r>
      <w:r>
        <w:rPr>
          <w:color w:val="231F20"/>
        </w:rPr>
        <w:t>specific</w:t>
      </w:r>
      <w:r>
        <w:rPr>
          <w:color w:val="231F20"/>
          <w:spacing w:val="5"/>
        </w:rPr>
        <w:t> </w:t>
      </w:r>
      <w:r>
        <w:rPr>
          <w:color w:val="231F20"/>
        </w:rPr>
        <w:t>carriers,</w:t>
      </w:r>
      <w:r>
        <w:rPr>
          <w:color w:val="231F20"/>
          <w:spacing w:val="5"/>
        </w:rPr>
        <w:t> </w:t>
      </w:r>
      <w:r>
        <w:rPr>
          <w:color w:val="231F20"/>
        </w:rPr>
        <w:t>trade</w:t>
      </w:r>
      <w:r>
        <w:rPr>
          <w:color w:val="231F20"/>
          <w:spacing w:val="5"/>
        </w:rPr>
        <w:t> </w:t>
      </w:r>
      <w:r>
        <w:rPr>
          <w:color w:val="231F20"/>
          <w:spacing w:val="-4"/>
        </w:rPr>
        <w:t>lanes</w:t>
      </w:r>
    </w:p>
    <w:p>
      <w:pPr>
        <w:pStyle w:val="BodyText"/>
        <w:spacing w:line="268" w:lineRule="auto" w:before="97"/>
        <w:ind w:left="199" w:right="657"/>
        <w:jc w:val="both"/>
      </w:pPr>
      <w:r>
        <w:rPr/>
        <w:br w:type="column"/>
      </w:r>
      <w:r>
        <w:rPr>
          <w:color w:val="231F20"/>
          <w:spacing w:val="-2"/>
        </w:rPr>
        <w:t>with</w:t>
      </w:r>
      <w:r>
        <w:rPr>
          <w:color w:val="231F20"/>
          <w:spacing w:val="-12"/>
        </w:rPr>
        <w:t> </w:t>
      </w:r>
      <w:r>
        <w:rPr>
          <w:color w:val="231F20"/>
          <w:spacing w:val="-2"/>
        </w:rPr>
        <w:t>certain</w:t>
      </w:r>
      <w:r>
        <w:rPr>
          <w:color w:val="231F20"/>
          <w:spacing w:val="-11"/>
        </w:rPr>
        <w:t> </w:t>
      </w:r>
      <w:r>
        <w:rPr>
          <w:color w:val="231F20"/>
          <w:spacing w:val="-2"/>
        </w:rPr>
        <w:t>characteristics</w:t>
      </w:r>
      <w:r>
        <w:rPr>
          <w:color w:val="231F20"/>
          <w:spacing w:val="-11"/>
        </w:rPr>
        <w:t> </w:t>
      </w:r>
      <w:r>
        <w:rPr>
          <w:color w:val="231F20"/>
          <w:spacing w:val="-2"/>
        </w:rPr>
        <w:t>are</w:t>
      </w:r>
      <w:r>
        <w:rPr>
          <w:color w:val="231F20"/>
          <w:spacing w:val="-11"/>
        </w:rPr>
        <w:t> </w:t>
      </w:r>
      <w:r>
        <w:rPr>
          <w:color w:val="231F20"/>
          <w:spacing w:val="-2"/>
        </w:rPr>
        <w:t>excluded</w:t>
      </w:r>
      <w:r>
        <w:rPr>
          <w:color w:val="231F20"/>
          <w:spacing w:val="-11"/>
        </w:rPr>
        <w:t> </w:t>
      </w:r>
      <w:r>
        <w:rPr>
          <w:color w:val="231F20"/>
          <w:spacing w:val="-2"/>
        </w:rPr>
        <w:t>from </w:t>
      </w:r>
      <w:r>
        <w:rPr>
          <w:color w:val="231F20"/>
          <w:w w:val="90"/>
        </w:rPr>
        <w:t>the dataset. They are bilateral lanes representing </w:t>
      </w:r>
      <w:r>
        <w:rPr>
          <w:color w:val="231F20"/>
          <w:spacing w:val="-4"/>
        </w:rPr>
        <w:t>more</w:t>
      </w:r>
      <w:r>
        <w:rPr>
          <w:color w:val="231F20"/>
          <w:spacing w:val="-8"/>
        </w:rPr>
        <w:t> </w:t>
      </w:r>
      <w:r>
        <w:rPr>
          <w:color w:val="231F20"/>
          <w:spacing w:val="-4"/>
        </w:rPr>
        <w:t>than</w:t>
      </w:r>
      <w:r>
        <w:rPr>
          <w:color w:val="231F20"/>
          <w:spacing w:val="-8"/>
        </w:rPr>
        <w:t> </w:t>
      </w:r>
      <w:r>
        <w:rPr>
          <w:color w:val="231F20"/>
          <w:spacing w:val="-4"/>
        </w:rPr>
        <w:t>80</w:t>
      </w:r>
      <w:r>
        <w:rPr>
          <w:color w:val="231F20"/>
          <w:spacing w:val="-8"/>
        </w:rPr>
        <w:t> </w:t>
      </w:r>
      <w:r>
        <w:rPr>
          <w:color w:val="231F20"/>
          <w:spacing w:val="-4"/>
        </w:rPr>
        <w:t>percent</w:t>
      </w:r>
      <w:r>
        <w:rPr>
          <w:color w:val="231F20"/>
          <w:spacing w:val="-8"/>
        </w:rPr>
        <w:t> </w:t>
      </w:r>
      <w:r>
        <w:rPr>
          <w:color w:val="231F20"/>
          <w:spacing w:val="-4"/>
        </w:rPr>
        <w:t>of</w:t>
      </w:r>
      <w:r>
        <w:rPr>
          <w:color w:val="231F20"/>
          <w:spacing w:val="-8"/>
        </w:rPr>
        <w:t> </w:t>
      </w:r>
      <w:r>
        <w:rPr>
          <w:color w:val="231F20"/>
          <w:spacing w:val="-4"/>
        </w:rPr>
        <w:t>total</w:t>
      </w:r>
      <w:r>
        <w:rPr>
          <w:color w:val="231F20"/>
          <w:spacing w:val="-8"/>
        </w:rPr>
        <w:t> </w:t>
      </w:r>
      <w:r>
        <w:rPr>
          <w:color w:val="231F20"/>
          <w:spacing w:val="-4"/>
        </w:rPr>
        <w:t>shipments</w:t>
      </w:r>
      <w:r>
        <w:rPr>
          <w:color w:val="231F20"/>
          <w:spacing w:val="-8"/>
        </w:rPr>
        <w:t> </w:t>
      </w:r>
      <w:r>
        <w:rPr>
          <w:color w:val="231F20"/>
          <w:spacing w:val="-4"/>
        </w:rPr>
        <w:t>to</w:t>
      </w:r>
      <w:r>
        <w:rPr>
          <w:color w:val="231F20"/>
          <w:spacing w:val="-8"/>
        </w:rPr>
        <w:t> </w:t>
      </w:r>
      <w:r>
        <w:rPr>
          <w:color w:val="231F20"/>
          <w:spacing w:val="-4"/>
        </w:rPr>
        <w:t>tar- </w:t>
      </w:r>
      <w:r>
        <w:rPr>
          <w:color w:val="231F20"/>
          <w:spacing w:val="-6"/>
        </w:rPr>
        <w:t>get countries with three or fewer carriers; these </w:t>
      </w:r>
      <w:r>
        <w:rPr>
          <w:color w:val="231F20"/>
          <w:spacing w:val="-4"/>
        </w:rPr>
        <w:t>excluded</w:t>
      </w:r>
      <w:r>
        <w:rPr>
          <w:color w:val="231F20"/>
          <w:spacing w:val="-10"/>
        </w:rPr>
        <w:t> </w:t>
      </w:r>
      <w:r>
        <w:rPr>
          <w:color w:val="231F20"/>
          <w:spacing w:val="-4"/>
        </w:rPr>
        <w:t>46</w:t>
      </w:r>
      <w:r>
        <w:rPr>
          <w:color w:val="231F20"/>
          <w:spacing w:val="-9"/>
        </w:rPr>
        <w:t> </w:t>
      </w:r>
      <w:r>
        <w:rPr>
          <w:color w:val="231F20"/>
          <w:spacing w:val="-4"/>
        </w:rPr>
        <w:t>countries</w:t>
      </w:r>
      <w:r>
        <w:rPr>
          <w:color w:val="231F20"/>
          <w:spacing w:val="-9"/>
        </w:rPr>
        <w:t> </w:t>
      </w:r>
      <w:r>
        <w:rPr>
          <w:color w:val="231F20"/>
          <w:spacing w:val="-4"/>
        </w:rPr>
        <w:t>from</w:t>
      </w:r>
      <w:r>
        <w:rPr>
          <w:color w:val="231F20"/>
          <w:spacing w:val="-9"/>
        </w:rPr>
        <w:t> </w:t>
      </w:r>
      <w:r>
        <w:rPr>
          <w:color w:val="231F20"/>
          <w:spacing w:val="-4"/>
        </w:rPr>
        <w:t>the</w:t>
      </w:r>
      <w:r>
        <w:rPr>
          <w:color w:val="231F20"/>
          <w:spacing w:val="-9"/>
        </w:rPr>
        <w:t> </w:t>
      </w:r>
      <w:r>
        <w:rPr>
          <w:color w:val="231F20"/>
          <w:spacing w:val="-4"/>
        </w:rPr>
        <w:t>final</w:t>
      </w:r>
      <w:r>
        <w:rPr>
          <w:color w:val="231F20"/>
          <w:spacing w:val="-9"/>
        </w:rPr>
        <w:t> </w:t>
      </w:r>
      <w:r>
        <w:rPr>
          <w:color w:val="231F20"/>
          <w:spacing w:val="-4"/>
        </w:rPr>
        <w:t>set</w:t>
      </w:r>
      <w:r>
        <w:rPr>
          <w:color w:val="231F20"/>
          <w:spacing w:val="-9"/>
        </w:rPr>
        <w:t> </w:t>
      </w:r>
      <w:r>
        <w:rPr>
          <w:color w:val="231F20"/>
          <w:spacing w:val="-4"/>
        </w:rPr>
        <w:t>of</w:t>
      </w:r>
      <w:r>
        <w:rPr>
          <w:color w:val="231F20"/>
          <w:spacing w:val="-9"/>
        </w:rPr>
        <w:t> </w:t>
      </w:r>
      <w:r>
        <w:rPr>
          <w:color w:val="231F20"/>
          <w:spacing w:val="-4"/>
        </w:rPr>
        <w:t>key performance</w:t>
      </w:r>
      <w:r>
        <w:rPr>
          <w:color w:val="231F20"/>
          <w:spacing w:val="-10"/>
        </w:rPr>
        <w:t> </w:t>
      </w:r>
      <w:r>
        <w:rPr>
          <w:color w:val="231F20"/>
          <w:spacing w:val="-4"/>
        </w:rPr>
        <w:t>indicators,</w:t>
      </w:r>
      <w:r>
        <w:rPr>
          <w:color w:val="231F20"/>
          <w:spacing w:val="-9"/>
        </w:rPr>
        <w:t> </w:t>
      </w:r>
      <w:r>
        <w:rPr>
          <w:color w:val="231F20"/>
          <w:spacing w:val="-4"/>
        </w:rPr>
        <w:t>resulting</w:t>
      </w:r>
      <w:r>
        <w:rPr>
          <w:color w:val="231F20"/>
          <w:spacing w:val="-9"/>
        </w:rPr>
        <w:t> </w:t>
      </w:r>
      <w:r>
        <w:rPr>
          <w:color w:val="231F20"/>
          <w:spacing w:val="-4"/>
        </w:rPr>
        <w:t>in</w:t>
      </w:r>
      <w:r>
        <w:rPr>
          <w:color w:val="231F20"/>
          <w:spacing w:val="-9"/>
        </w:rPr>
        <w:t> </w:t>
      </w:r>
      <w:r>
        <w:rPr>
          <w:color w:val="231F20"/>
          <w:spacing w:val="-4"/>
        </w:rPr>
        <w:t>141</w:t>
      </w:r>
      <w:r>
        <w:rPr>
          <w:color w:val="231F20"/>
          <w:spacing w:val="-9"/>
        </w:rPr>
        <w:t> </w:t>
      </w:r>
      <w:r>
        <w:rPr>
          <w:color w:val="231F20"/>
          <w:spacing w:val="-4"/>
        </w:rPr>
        <w:t>coun- </w:t>
      </w:r>
      <w:r>
        <w:rPr>
          <w:color w:val="231F20"/>
        </w:rPr>
        <w:t>tries</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2023</w:t>
      </w:r>
      <w:r>
        <w:rPr>
          <w:color w:val="231F20"/>
          <w:spacing w:val="-6"/>
        </w:rPr>
        <w:t> </w:t>
      </w:r>
      <w:r>
        <w:rPr>
          <w:color w:val="231F20"/>
        </w:rPr>
        <w:t>LPI</w:t>
      </w:r>
      <w:r>
        <w:rPr>
          <w:color w:val="231F20"/>
          <w:spacing w:val="-6"/>
        </w:rPr>
        <w:t> </w:t>
      </w:r>
      <w:r>
        <w:rPr>
          <w:color w:val="231F20"/>
        </w:rPr>
        <w:t>aviation</w:t>
      </w:r>
      <w:r>
        <w:rPr>
          <w:color w:val="231F20"/>
          <w:spacing w:val="-6"/>
        </w:rPr>
        <w:t> </w:t>
      </w:r>
      <w:r>
        <w:rPr>
          <w:color w:val="231F20"/>
        </w:rPr>
        <w:t>pillar.</w:t>
      </w:r>
    </w:p>
    <w:p>
      <w:pPr>
        <w:pStyle w:val="BodyText"/>
        <w:spacing w:line="268" w:lineRule="auto"/>
        <w:ind w:left="199" w:right="657" w:firstLine="300"/>
        <w:jc w:val="both"/>
      </w:pPr>
      <w:r>
        <w:rPr>
          <w:color w:val="231F20"/>
          <w:spacing w:val="-6"/>
        </w:rPr>
        <w:t>The</w:t>
      </w:r>
      <w:r>
        <w:rPr>
          <w:color w:val="231F20"/>
          <w:spacing w:val="-8"/>
        </w:rPr>
        <w:t> </w:t>
      </w:r>
      <w:r>
        <w:rPr>
          <w:color w:val="231F20"/>
          <w:spacing w:val="-6"/>
        </w:rPr>
        <w:t>data</w:t>
      </w:r>
      <w:r>
        <w:rPr>
          <w:color w:val="231F20"/>
          <w:spacing w:val="-7"/>
        </w:rPr>
        <w:t> </w:t>
      </w:r>
      <w:r>
        <w:rPr>
          <w:color w:val="231F20"/>
          <w:spacing w:val="-6"/>
        </w:rPr>
        <w:t>from</w:t>
      </w:r>
      <w:r>
        <w:rPr>
          <w:color w:val="231F20"/>
          <w:spacing w:val="-7"/>
        </w:rPr>
        <w:t> </w:t>
      </w:r>
      <w:r>
        <w:rPr>
          <w:color w:val="231F20"/>
          <w:spacing w:val="-6"/>
        </w:rPr>
        <w:t>Cargo</w:t>
      </w:r>
      <w:r>
        <w:rPr>
          <w:color w:val="231F20"/>
          <w:spacing w:val="-7"/>
        </w:rPr>
        <w:t> </w:t>
      </w:r>
      <w:r>
        <w:rPr>
          <w:color w:val="231F20"/>
          <w:spacing w:val="-6"/>
        </w:rPr>
        <w:t>iQ’s</w:t>
      </w:r>
      <w:r>
        <w:rPr>
          <w:color w:val="231F20"/>
          <w:spacing w:val="-7"/>
        </w:rPr>
        <w:t> </w:t>
      </w:r>
      <w:r>
        <w:rPr>
          <w:color w:val="231F20"/>
          <w:spacing w:val="-6"/>
        </w:rPr>
        <w:t>system</w:t>
      </w:r>
      <w:r>
        <w:rPr>
          <w:color w:val="231F20"/>
          <w:spacing w:val="-7"/>
        </w:rPr>
        <w:t> </w:t>
      </w:r>
      <w:r>
        <w:rPr>
          <w:color w:val="231F20"/>
          <w:spacing w:val="-6"/>
        </w:rPr>
        <w:t>are</w:t>
      </w:r>
      <w:r>
        <w:rPr>
          <w:color w:val="231F20"/>
          <w:spacing w:val="-7"/>
        </w:rPr>
        <w:t> </w:t>
      </w:r>
      <w:r>
        <w:rPr>
          <w:color w:val="231F20"/>
          <w:spacing w:val="-6"/>
        </w:rPr>
        <w:t>based </w:t>
      </w:r>
      <w:r>
        <w:rPr>
          <w:color w:val="231F20"/>
        </w:rPr>
        <w:t>on</w:t>
      </w:r>
      <w:r>
        <w:rPr>
          <w:color w:val="231F20"/>
          <w:spacing w:val="-2"/>
        </w:rPr>
        <w:t> </w:t>
      </w:r>
      <w:r>
        <w:rPr>
          <w:color w:val="231F20"/>
        </w:rPr>
        <w:t>a</w:t>
      </w:r>
      <w:r>
        <w:rPr>
          <w:color w:val="231F20"/>
          <w:spacing w:val="-2"/>
        </w:rPr>
        <w:t> </w:t>
      </w:r>
      <w:r>
        <w:rPr>
          <w:color w:val="231F20"/>
        </w:rPr>
        <w:t>pair</w:t>
      </w:r>
      <w:r>
        <w:rPr>
          <w:color w:val="231F20"/>
          <w:spacing w:val="-2"/>
        </w:rPr>
        <w:t> </w:t>
      </w:r>
      <w:r>
        <w:rPr>
          <w:color w:val="231F20"/>
        </w:rPr>
        <w:t>of</w:t>
      </w:r>
      <w:r>
        <w:rPr>
          <w:color w:val="231F20"/>
          <w:spacing w:val="-2"/>
        </w:rPr>
        <w:t> </w:t>
      </w:r>
      <w:r>
        <w:rPr>
          <w:color w:val="231F20"/>
        </w:rPr>
        <w:t>milestones:</w:t>
      </w:r>
      <w:r>
        <w:rPr>
          <w:color w:val="231F20"/>
          <w:spacing w:val="-2"/>
        </w:rPr>
        <w:t> </w:t>
      </w:r>
      <w:r>
        <w:rPr>
          <w:color w:val="231F20"/>
        </w:rPr>
        <w:t>advisory</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con- </w:t>
      </w:r>
      <w:r>
        <w:rPr>
          <w:color w:val="231F20"/>
          <w:w w:val="90"/>
        </w:rPr>
        <w:t>signee of the freight’s arrival to the consignee’s </w:t>
      </w:r>
      <w:r>
        <w:rPr>
          <w:color w:val="231F20"/>
        </w:rPr>
        <w:t>final</w:t>
      </w:r>
      <w:r>
        <w:rPr>
          <w:color w:val="231F20"/>
          <w:spacing w:val="-14"/>
        </w:rPr>
        <w:t> </w:t>
      </w:r>
      <w:r>
        <w:rPr>
          <w:color w:val="231F20"/>
        </w:rPr>
        <w:t>collection</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freight</w:t>
      </w:r>
      <w:r>
        <w:rPr>
          <w:color w:val="231F20"/>
          <w:spacing w:val="-13"/>
        </w:rPr>
        <w:t> </w:t>
      </w:r>
      <w:r>
        <w:rPr>
          <w:color w:val="231F20"/>
        </w:rPr>
        <w:t>from</w:t>
      </w:r>
      <w:r>
        <w:rPr>
          <w:color w:val="231F20"/>
          <w:spacing w:val="-13"/>
        </w:rPr>
        <w:t> </w:t>
      </w:r>
      <w:r>
        <w:rPr>
          <w:color w:val="231F20"/>
        </w:rPr>
        <w:t>the</w:t>
      </w:r>
      <w:r>
        <w:rPr>
          <w:color w:val="231F20"/>
          <w:spacing w:val="-13"/>
        </w:rPr>
        <w:t> </w:t>
      </w:r>
      <w:r>
        <w:rPr>
          <w:color w:val="231F20"/>
        </w:rPr>
        <w:t>carrier at</w:t>
      </w:r>
      <w:r>
        <w:rPr>
          <w:color w:val="231F20"/>
          <w:spacing w:val="-8"/>
        </w:rPr>
        <w:t> </w:t>
      </w:r>
      <w:r>
        <w:rPr>
          <w:color w:val="231F20"/>
        </w:rPr>
        <w:t>the</w:t>
      </w:r>
      <w:r>
        <w:rPr>
          <w:color w:val="231F20"/>
          <w:spacing w:val="-8"/>
        </w:rPr>
        <w:t> </w:t>
      </w:r>
      <w:r>
        <w:rPr>
          <w:color w:val="231F20"/>
        </w:rPr>
        <w:t>destination</w:t>
      </w:r>
      <w:r>
        <w:rPr>
          <w:color w:val="231F20"/>
          <w:spacing w:val="-8"/>
        </w:rPr>
        <w:t> </w:t>
      </w:r>
      <w:r>
        <w:rPr>
          <w:color w:val="231F20"/>
        </w:rPr>
        <w:t>airport.</w:t>
      </w:r>
      <w:r>
        <w:rPr>
          <w:color w:val="231F20"/>
          <w:spacing w:val="-8"/>
        </w:rPr>
        <w:t> </w:t>
      </w:r>
      <w:r>
        <w:rPr>
          <w:color w:val="231F20"/>
        </w:rPr>
        <w:t>In</w:t>
      </w:r>
      <w:r>
        <w:rPr>
          <w:color w:val="231F20"/>
          <w:spacing w:val="-8"/>
        </w:rPr>
        <w:t> </w:t>
      </w:r>
      <w:r>
        <w:rPr>
          <w:color w:val="231F20"/>
        </w:rPr>
        <w:t>other</w:t>
      </w:r>
      <w:r>
        <w:rPr>
          <w:color w:val="231F20"/>
          <w:spacing w:val="-8"/>
        </w:rPr>
        <w:t> </w:t>
      </w:r>
      <w:r>
        <w:rPr>
          <w:color w:val="231F20"/>
        </w:rPr>
        <w:t>words,</w:t>
      </w:r>
      <w:r>
        <w:rPr>
          <w:color w:val="231F20"/>
          <w:spacing w:val="-8"/>
        </w:rPr>
        <w:t> </w:t>
      </w:r>
      <w:r>
        <w:rPr>
          <w:color w:val="231F20"/>
        </w:rPr>
        <w:t>the </w:t>
      </w:r>
      <w:r>
        <w:rPr>
          <w:color w:val="231F20"/>
          <w:spacing w:val="-6"/>
        </w:rPr>
        <w:t>time elapsed between the two events was com- </w:t>
      </w:r>
      <w:r>
        <w:rPr>
          <w:color w:val="231F20"/>
          <w:spacing w:val="-2"/>
        </w:rPr>
        <w:t>puted</w:t>
      </w:r>
      <w:r>
        <w:rPr>
          <w:color w:val="231F20"/>
          <w:spacing w:val="-11"/>
        </w:rPr>
        <w:t> </w:t>
      </w:r>
      <w:r>
        <w:rPr>
          <w:color w:val="231F20"/>
          <w:spacing w:val="-2"/>
        </w:rPr>
        <w:t>for</w:t>
      </w:r>
      <w:r>
        <w:rPr>
          <w:color w:val="231F20"/>
          <w:spacing w:val="-11"/>
        </w:rPr>
        <w:t> </w:t>
      </w:r>
      <w:r>
        <w:rPr>
          <w:color w:val="231F20"/>
          <w:spacing w:val="-2"/>
        </w:rPr>
        <w:t>each</w:t>
      </w:r>
      <w:r>
        <w:rPr>
          <w:color w:val="231F20"/>
          <w:spacing w:val="-11"/>
        </w:rPr>
        <w:t> </w:t>
      </w:r>
      <w:r>
        <w:rPr>
          <w:color w:val="231F20"/>
          <w:spacing w:val="-2"/>
        </w:rPr>
        <w:t>electronic</w:t>
      </w:r>
      <w:r>
        <w:rPr>
          <w:color w:val="231F20"/>
          <w:spacing w:val="-11"/>
        </w:rPr>
        <w:t> </w:t>
      </w:r>
      <w:r>
        <w:rPr>
          <w:color w:val="231F20"/>
          <w:spacing w:val="-2"/>
        </w:rPr>
        <w:t>airway</w:t>
      </w:r>
      <w:r>
        <w:rPr>
          <w:color w:val="231F20"/>
          <w:spacing w:val="-11"/>
        </w:rPr>
        <w:t> </w:t>
      </w:r>
      <w:r>
        <w:rPr>
          <w:color w:val="231F20"/>
          <w:spacing w:val="-2"/>
        </w:rPr>
        <w:t>bill</w:t>
      </w:r>
      <w:r>
        <w:rPr>
          <w:color w:val="231F20"/>
          <w:spacing w:val="-11"/>
        </w:rPr>
        <w:t> </w:t>
      </w:r>
      <w:r>
        <w:rPr>
          <w:color w:val="231F20"/>
          <w:spacing w:val="-2"/>
        </w:rPr>
        <w:t>recorded </w:t>
      </w:r>
      <w:r>
        <w:rPr>
          <w:color w:val="231F20"/>
          <w:spacing w:val="-6"/>
        </w:rPr>
        <w:t>in the system at a destination country given the </w:t>
      </w:r>
      <w:r>
        <w:rPr>
          <w:color w:val="231F20"/>
        </w:rPr>
        <w:t>validity</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time</w:t>
      </w:r>
      <w:r>
        <w:rPr>
          <w:color w:val="231F20"/>
          <w:spacing w:val="-7"/>
        </w:rPr>
        <w:t> </w:t>
      </w:r>
      <w:r>
        <w:rPr>
          <w:color w:val="231F20"/>
        </w:rPr>
        <w:t>difference</w:t>
      </w:r>
      <w:r>
        <w:rPr>
          <w:color w:val="231F20"/>
          <w:spacing w:val="-7"/>
        </w:rPr>
        <w:t> </w:t>
      </w:r>
      <w:r>
        <w:rPr>
          <w:color w:val="231F20"/>
        </w:rPr>
        <w:t>(meaning</w:t>
      </w:r>
      <w:r>
        <w:rPr>
          <w:color w:val="231F20"/>
          <w:spacing w:val="-7"/>
        </w:rPr>
        <w:t> </w:t>
      </w:r>
      <w:r>
        <w:rPr>
          <w:color w:val="231F20"/>
        </w:rPr>
        <w:t>that </w:t>
      </w:r>
      <w:r>
        <w:rPr>
          <w:color w:val="231F20"/>
          <w:spacing w:val="-2"/>
        </w:rPr>
        <w:t>both</w:t>
      </w:r>
      <w:r>
        <w:rPr>
          <w:color w:val="231F20"/>
          <w:spacing w:val="-11"/>
        </w:rPr>
        <w:t> </w:t>
      </w:r>
      <w:r>
        <w:rPr>
          <w:color w:val="231F20"/>
          <w:spacing w:val="-2"/>
        </w:rPr>
        <w:t>timestamps</w:t>
      </w:r>
      <w:r>
        <w:rPr>
          <w:color w:val="231F20"/>
          <w:spacing w:val="-11"/>
        </w:rPr>
        <w:t> </w:t>
      </w:r>
      <w:r>
        <w:rPr>
          <w:color w:val="231F20"/>
          <w:spacing w:val="-2"/>
        </w:rPr>
        <w:t>exist</w:t>
      </w:r>
      <w:r>
        <w:rPr>
          <w:color w:val="231F20"/>
          <w:spacing w:val="-11"/>
        </w:rPr>
        <w:t> </w:t>
      </w:r>
      <w:r>
        <w:rPr>
          <w:color w:val="231F20"/>
          <w:spacing w:val="-2"/>
        </w:rPr>
        <w:t>and</w:t>
      </w:r>
      <w:r>
        <w:rPr>
          <w:color w:val="231F20"/>
          <w:spacing w:val="-11"/>
        </w:rPr>
        <w:t> </w:t>
      </w:r>
      <w:r>
        <w:rPr>
          <w:color w:val="231F20"/>
          <w:spacing w:val="-2"/>
        </w:rPr>
        <w:t>the</w:t>
      </w:r>
      <w:r>
        <w:rPr>
          <w:color w:val="231F20"/>
          <w:spacing w:val="-11"/>
        </w:rPr>
        <w:t> </w:t>
      </w:r>
      <w:r>
        <w:rPr>
          <w:color w:val="231F20"/>
          <w:spacing w:val="-2"/>
        </w:rPr>
        <w:t>time</w:t>
      </w:r>
      <w:r>
        <w:rPr>
          <w:color w:val="231F20"/>
          <w:spacing w:val="-11"/>
        </w:rPr>
        <w:t> </w:t>
      </w:r>
      <w:r>
        <w:rPr>
          <w:color w:val="231F20"/>
          <w:spacing w:val="-2"/>
        </w:rPr>
        <w:t>difference </w:t>
      </w:r>
      <w:r>
        <w:rPr>
          <w:color w:val="231F20"/>
          <w:w w:val="90"/>
        </w:rPr>
        <w:t>between them is positive). The choice of this in- </w:t>
      </w:r>
      <w:r>
        <w:rPr>
          <w:color w:val="231F20"/>
          <w:spacing w:val="-2"/>
        </w:rPr>
        <w:t>dicator</w:t>
      </w:r>
      <w:r>
        <w:rPr>
          <w:color w:val="231F20"/>
          <w:spacing w:val="-12"/>
        </w:rPr>
        <w:t> </w:t>
      </w:r>
      <w:r>
        <w:rPr>
          <w:color w:val="231F20"/>
          <w:spacing w:val="-2"/>
        </w:rPr>
        <w:t>was</w:t>
      </w:r>
      <w:r>
        <w:rPr>
          <w:color w:val="231F20"/>
          <w:spacing w:val="-11"/>
        </w:rPr>
        <w:t> </w:t>
      </w:r>
      <w:r>
        <w:rPr>
          <w:color w:val="231F20"/>
          <w:spacing w:val="-2"/>
        </w:rPr>
        <w:t>based</w:t>
      </w:r>
      <w:r>
        <w:rPr>
          <w:color w:val="231F20"/>
          <w:spacing w:val="-11"/>
        </w:rPr>
        <w:t> </w:t>
      </w:r>
      <w:r>
        <w:rPr>
          <w:color w:val="231F20"/>
          <w:spacing w:val="-2"/>
        </w:rPr>
        <w:t>on</w:t>
      </w:r>
      <w:r>
        <w:rPr>
          <w:color w:val="231F20"/>
          <w:spacing w:val="-11"/>
        </w:rPr>
        <w:t> </w:t>
      </w:r>
      <w:r>
        <w:rPr>
          <w:color w:val="231F20"/>
          <w:spacing w:val="-2"/>
        </w:rPr>
        <w:t>two</w:t>
      </w:r>
      <w:r>
        <w:rPr>
          <w:color w:val="231F20"/>
          <w:spacing w:val="-11"/>
        </w:rPr>
        <w:t> </w:t>
      </w:r>
      <w:r>
        <w:rPr>
          <w:color w:val="231F20"/>
          <w:spacing w:val="-2"/>
        </w:rPr>
        <w:t>considerations:</w:t>
      </w:r>
      <w:r>
        <w:rPr>
          <w:color w:val="231F20"/>
          <w:spacing w:val="-11"/>
        </w:rPr>
        <w:t> </w:t>
      </w:r>
      <w:r>
        <w:rPr>
          <w:color w:val="231F20"/>
          <w:spacing w:val="-2"/>
        </w:rPr>
        <w:t>best </w:t>
      </w:r>
      <w:r>
        <w:rPr>
          <w:color w:val="231F20"/>
          <w:w w:val="95"/>
        </w:rPr>
        <w:t>apparent</w:t>
      </w:r>
      <w:r>
        <w:rPr>
          <w:color w:val="231F20"/>
          <w:spacing w:val="9"/>
        </w:rPr>
        <w:t> </w:t>
      </w:r>
      <w:r>
        <w:rPr>
          <w:color w:val="231F20"/>
          <w:w w:val="95"/>
        </w:rPr>
        <w:t>quality</w:t>
      </w:r>
      <w:r>
        <w:rPr>
          <w:color w:val="231F20"/>
          <w:spacing w:val="10"/>
        </w:rPr>
        <w:t> </w:t>
      </w:r>
      <w:r>
        <w:rPr>
          <w:color w:val="231F20"/>
          <w:w w:val="95"/>
        </w:rPr>
        <w:t>of</w:t>
      </w:r>
      <w:r>
        <w:rPr>
          <w:color w:val="231F20"/>
          <w:spacing w:val="10"/>
        </w:rPr>
        <w:t> </w:t>
      </w:r>
      <w:r>
        <w:rPr>
          <w:color w:val="231F20"/>
          <w:w w:val="95"/>
        </w:rPr>
        <w:t>data</w:t>
      </w:r>
      <w:r>
        <w:rPr>
          <w:color w:val="231F20"/>
          <w:spacing w:val="10"/>
        </w:rPr>
        <w:t> </w:t>
      </w:r>
      <w:r>
        <w:rPr>
          <w:color w:val="231F20"/>
          <w:w w:val="95"/>
        </w:rPr>
        <w:t>and</w:t>
      </w:r>
      <w:r>
        <w:rPr>
          <w:color w:val="231F20"/>
          <w:spacing w:val="10"/>
        </w:rPr>
        <w:t> </w:t>
      </w:r>
      <w:r>
        <w:rPr>
          <w:color w:val="231F20"/>
          <w:w w:val="95"/>
        </w:rPr>
        <w:t>country</w:t>
      </w:r>
      <w:r>
        <w:rPr>
          <w:color w:val="231F20"/>
          <w:spacing w:val="10"/>
        </w:rPr>
        <w:t> </w:t>
      </w:r>
      <w:r>
        <w:rPr>
          <w:color w:val="231F20"/>
          <w:spacing w:val="-2"/>
          <w:w w:val="90"/>
        </w:rPr>
        <w:t>coverage</w:t>
      </w:r>
    </w:p>
    <w:p>
      <w:pPr>
        <w:spacing w:after="0" w:line="268" w:lineRule="auto"/>
        <w:jc w:val="both"/>
        <w:sectPr>
          <w:type w:val="continuous"/>
          <w:pgSz w:w="12240" w:h="15840"/>
          <w:pgMar w:header="370" w:footer="548" w:top="1140" w:bottom="280" w:left="0" w:right="540"/>
          <w:cols w:num="2" w:equalWidth="0">
            <w:col w:w="7081" w:space="40"/>
            <w:col w:w="457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9" w:after="1"/>
        <w:rPr>
          <w:sz w:val="20"/>
        </w:rPr>
      </w:pPr>
    </w:p>
    <w:tbl>
      <w:tblPr>
        <w:tblW w:w="0" w:type="auto"/>
        <w:jc w:val="left"/>
        <w:tblInd w:w="4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0"/>
        <w:gridCol w:w="990"/>
        <w:gridCol w:w="1075"/>
        <w:gridCol w:w="1051"/>
        <w:gridCol w:w="962"/>
        <w:gridCol w:w="881"/>
        <w:gridCol w:w="965"/>
      </w:tblGrid>
      <w:tr>
        <w:trPr>
          <w:trHeight w:val="149" w:hRule="atLeast"/>
        </w:trPr>
        <w:tc>
          <w:tcPr>
            <w:tcW w:w="740" w:type="dxa"/>
          </w:tcPr>
          <w:p>
            <w:pPr>
              <w:pStyle w:val="TableParagraph"/>
              <w:spacing w:line="129" w:lineRule="exact" w:before="0"/>
              <w:ind w:left="50"/>
              <w:jc w:val="left"/>
              <w:rPr>
                <w:sz w:val="14"/>
              </w:rPr>
            </w:pPr>
            <w:r>
              <w:rPr>
                <w:color w:val="231F20"/>
                <w:w w:val="70"/>
                <w:sz w:val="14"/>
              </w:rPr>
              <w:t>East</w:t>
            </w:r>
            <w:r>
              <w:rPr>
                <w:color w:val="231F20"/>
                <w:sz w:val="14"/>
              </w:rPr>
              <w:t> </w:t>
            </w:r>
            <w:r>
              <w:rPr>
                <w:color w:val="231F20"/>
                <w:spacing w:val="-4"/>
                <w:w w:val="85"/>
                <w:sz w:val="14"/>
              </w:rPr>
              <w:t>Asia</w:t>
            </w:r>
          </w:p>
        </w:tc>
        <w:tc>
          <w:tcPr>
            <w:tcW w:w="990" w:type="dxa"/>
          </w:tcPr>
          <w:p>
            <w:pPr>
              <w:pStyle w:val="TableParagraph"/>
              <w:spacing w:line="129" w:lineRule="exact" w:before="0"/>
              <w:ind w:left="84"/>
              <w:rPr>
                <w:sz w:val="14"/>
              </w:rPr>
            </w:pPr>
            <w:r>
              <w:rPr>
                <w:color w:val="231F20"/>
                <w:w w:val="75"/>
                <w:sz w:val="14"/>
              </w:rPr>
              <w:t>Europe</w:t>
            </w:r>
            <w:r>
              <w:rPr>
                <w:color w:val="231F20"/>
                <w:spacing w:val="-2"/>
                <w:sz w:val="14"/>
              </w:rPr>
              <w:t> </w:t>
            </w:r>
            <w:r>
              <w:rPr>
                <w:color w:val="231F20"/>
                <w:spacing w:val="-10"/>
                <w:w w:val="90"/>
                <w:sz w:val="14"/>
              </w:rPr>
              <w:t>&amp;</w:t>
            </w:r>
          </w:p>
        </w:tc>
        <w:tc>
          <w:tcPr>
            <w:tcW w:w="1075" w:type="dxa"/>
          </w:tcPr>
          <w:p>
            <w:pPr>
              <w:pStyle w:val="TableParagraph"/>
              <w:spacing w:line="129" w:lineRule="exact" w:before="0"/>
              <w:ind w:left="25"/>
              <w:rPr>
                <w:sz w:val="14"/>
              </w:rPr>
            </w:pPr>
            <w:r>
              <w:rPr>
                <w:color w:val="231F20"/>
                <w:w w:val="75"/>
                <w:sz w:val="14"/>
              </w:rPr>
              <w:t>Latin</w:t>
            </w:r>
            <w:r>
              <w:rPr>
                <w:color w:val="231F20"/>
                <w:spacing w:val="4"/>
                <w:sz w:val="14"/>
              </w:rPr>
              <w:t> </w:t>
            </w:r>
            <w:r>
              <w:rPr>
                <w:color w:val="231F20"/>
                <w:w w:val="75"/>
                <w:sz w:val="14"/>
              </w:rPr>
              <w:t>America</w:t>
            </w:r>
            <w:r>
              <w:rPr>
                <w:color w:val="231F20"/>
                <w:spacing w:val="11"/>
                <w:sz w:val="14"/>
              </w:rPr>
              <w:t> </w:t>
            </w:r>
            <w:r>
              <w:rPr>
                <w:color w:val="231F20"/>
                <w:spacing w:val="-10"/>
                <w:w w:val="75"/>
                <w:sz w:val="14"/>
              </w:rPr>
              <w:t>&amp;</w:t>
            </w:r>
          </w:p>
        </w:tc>
        <w:tc>
          <w:tcPr>
            <w:tcW w:w="1051" w:type="dxa"/>
          </w:tcPr>
          <w:p>
            <w:pPr>
              <w:pStyle w:val="TableParagraph"/>
              <w:spacing w:line="129" w:lineRule="exact" w:before="0"/>
              <w:ind w:right="92"/>
              <w:rPr>
                <w:sz w:val="14"/>
              </w:rPr>
            </w:pPr>
            <w:r>
              <w:rPr>
                <w:color w:val="231F20"/>
                <w:w w:val="80"/>
                <w:sz w:val="14"/>
              </w:rPr>
              <w:t>Middle</w:t>
            </w:r>
            <w:r>
              <w:rPr>
                <w:color w:val="231F20"/>
                <w:spacing w:val="-1"/>
                <w:w w:val="85"/>
                <w:sz w:val="14"/>
              </w:rPr>
              <w:t> </w:t>
            </w:r>
            <w:r>
              <w:rPr>
                <w:color w:val="231F20"/>
                <w:spacing w:val="-4"/>
                <w:w w:val="85"/>
                <w:sz w:val="14"/>
              </w:rPr>
              <w:t>East</w:t>
            </w:r>
          </w:p>
        </w:tc>
        <w:tc>
          <w:tcPr>
            <w:tcW w:w="962" w:type="dxa"/>
          </w:tcPr>
          <w:p>
            <w:pPr>
              <w:pStyle w:val="TableParagraph"/>
              <w:spacing w:line="129" w:lineRule="exact" w:before="0"/>
              <w:ind w:right="99"/>
              <w:rPr>
                <w:sz w:val="14"/>
              </w:rPr>
            </w:pPr>
            <w:r>
              <w:rPr>
                <w:color w:val="231F20"/>
                <w:spacing w:val="-2"/>
                <w:w w:val="90"/>
                <w:sz w:val="14"/>
              </w:rPr>
              <w:t>North</w:t>
            </w:r>
          </w:p>
        </w:tc>
        <w:tc>
          <w:tcPr>
            <w:tcW w:w="881" w:type="dxa"/>
          </w:tcPr>
          <w:p>
            <w:pPr>
              <w:pStyle w:val="TableParagraph"/>
              <w:spacing w:line="129" w:lineRule="exact" w:before="0"/>
              <w:ind w:right="265"/>
              <w:jc w:val="right"/>
              <w:rPr>
                <w:sz w:val="14"/>
              </w:rPr>
            </w:pPr>
            <w:r>
              <w:rPr>
                <w:color w:val="231F20"/>
                <w:spacing w:val="-4"/>
                <w:w w:val="85"/>
                <w:sz w:val="14"/>
              </w:rPr>
              <w:t>South</w:t>
            </w:r>
          </w:p>
        </w:tc>
        <w:tc>
          <w:tcPr>
            <w:tcW w:w="965" w:type="dxa"/>
          </w:tcPr>
          <w:p>
            <w:pPr>
              <w:pStyle w:val="TableParagraph"/>
              <w:spacing w:line="129" w:lineRule="exact" w:before="0"/>
              <w:ind w:left="220"/>
              <w:rPr>
                <w:sz w:val="14"/>
              </w:rPr>
            </w:pPr>
            <w:r>
              <w:rPr>
                <w:color w:val="231F20"/>
                <w:w w:val="75"/>
                <w:sz w:val="14"/>
              </w:rPr>
              <w:t>Sub-</w:t>
            </w:r>
            <w:r>
              <w:rPr>
                <w:color w:val="231F20"/>
                <w:spacing w:val="-2"/>
                <w:w w:val="90"/>
                <w:sz w:val="14"/>
              </w:rPr>
              <w:t>Saharan</w:t>
            </w:r>
          </w:p>
        </w:tc>
      </w:tr>
      <w:tr>
        <w:trPr>
          <w:trHeight w:val="149" w:hRule="atLeast"/>
        </w:trPr>
        <w:tc>
          <w:tcPr>
            <w:tcW w:w="740" w:type="dxa"/>
          </w:tcPr>
          <w:p>
            <w:pPr>
              <w:pStyle w:val="TableParagraph"/>
              <w:spacing w:line="129" w:lineRule="exact" w:before="0"/>
              <w:ind w:left="56"/>
              <w:jc w:val="left"/>
              <w:rPr>
                <w:sz w:val="14"/>
              </w:rPr>
            </w:pPr>
            <w:r>
              <w:rPr>
                <w:color w:val="231F20"/>
                <w:w w:val="80"/>
                <w:sz w:val="14"/>
              </w:rPr>
              <w:t>&amp;</w:t>
            </w:r>
            <w:r>
              <w:rPr>
                <w:color w:val="231F20"/>
                <w:spacing w:val="-3"/>
                <w:w w:val="90"/>
                <w:sz w:val="14"/>
              </w:rPr>
              <w:t> </w:t>
            </w:r>
            <w:r>
              <w:rPr>
                <w:color w:val="231F20"/>
                <w:spacing w:val="-2"/>
                <w:w w:val="90"/>
                <w:sz w:val="14"/>
              </w:rPr>
              <w:t>Pacific</w:t>
            </w:r>
          </w:p>
        </w:tc>
        <w:tc>
          <w:tcPr>
            <w:tcW w:w="990" w:type="dxa"/>
          </w:tcPr>
          <w:p>
            <w:pPr>
              <w:pStyle w:val="TableParagraph"/>
              <w:spacing w:line="129" w:lineRule="exact" w:before="0"/>
              <w:ind w:left="84"/>
              <w:rPr>
                <w:sz w:val="14"/>
              </w:rPr>
            </w:pPr>
            <w:r>
              <w:rPr>
                <w:color w:val="231F20"/>
                <w:w w:val="75"/>
                <w:sz w:val="14"/>
              </w:rPr>
              <w:t>Central</w:t>
            </w:r>
            <w:r>
              <w:rPr>
                <w:color w:val="231F20"/>
                <w:spacing w:val="2"/>
                <w:sz w:val="14"/>
              </w:rPr>
              <w:t> </w:t>
            </w:r>
            <w:r>
              <w:rPr>
                <w:color w:val="231F20"/>
                <w:spacing w:val="-4"/>
                <w:w w:val="90"/>
                <w:sz w:val="14"/>
              </w:rPr>
              <w:t>Asia</w:t>
            </w:r>
          </w:p>
        </w:tc>
        <w:tc>
          <w:tcPr>
            <w:tcW w:w="1075" w:type="dxa"/>
          </w:tcPr>
          <w:p>
            <w:pPr>
              <w:pStyle w:val="TableParagraph"/>
              <w:spacing w:line="129" w:lineRule="exact" w:before="0"/>
              <w:ind w:left="25"/>
              <w:rPr>
                <w:sz w:val="14"/>
              </w:rPr>
            </w:pPr>
            <w:r>
              <w:rPr>
                <w:color w:val="231F20"/>
                <w:spacing w:val="-2"/>
                <w:w w:val="85"/>
                <w:sz w:val="14"/>
              </w:rPr>
              <w:t>Caribbean</w:t>
            </w:r>
          </w:p>
        </w:tc>
        <w:tc>
          <w:tcPr>
            <w:tcW w:w="1051" w:type="dxa"/>
          </w:tcPr>
          <w:p>
            <w:pPr>
              <w:pStyle w:val="TableParagraph"/>
              <w:spacing w:line="129" w:lineRule="exact" w:before="0"/>
              <w:ind w:right="92"/>
              <w:rPr>
                <w:sz w:val="14"/>
              </w:rPr>
            </w:pPr>
            <w:r>
              <w:rPr>
                <w:color w:val="231F20"/>
                <w:w w:val="75"/>
                <w:sz w:val="14"/>
              </w:rPr>
              <w:t>&amp;</w:t>
            </w:r>
            <w:r>
              <w:rPr>
                <w:color w:val="231F20"/>
                <w:spacing w:val="2"/>
                <w:sz w:val="14"/>
              </w:rPr>
              <w:t> </w:t>
            </w:r>
            <w:r>
              <w:rPr>
                <w:color w:val="231F20"/>
                <w:w w:val="75"/>
                <w:sz w:val="14"/>
              </w:rPr>
              <w:t>North</w:t>
            </w:r>
            <w:r>
              <w:rPr>
                <w:color w:val="231F20"/>
                <w:spacing w:val="-5"/>
                <w:sz w:val="14"/>
              </w:rPr>
              <w:t> </w:t>
            </w:r>
            <w:r>
              <w:rPr>
                <w:color w:val="231F20"/>
                <w:spacing w:val="-2"/>
                <w:w w:val="75"/>
                <w:sz w:val="14"/>
              </w:rPr>
              <w:t>Africa</w:t>
            </w:r>
          </w:p>
        </w:tc>
        <w:tc>
          <w:tcPr>
            <w:tcW w:w="962" w:type="dxa"/>
          </w:tcPr>
          <w:p>
            <w:pPr>
              <w:pStyle w:val="TableParagraph"/>
              <w:spacing w:line="129" w:lineRule="exact" w:before="0"/>
              <w:ind w:right="99"/>
              <w:rPr>
                <w:sz w:val="14"/>
              </w:rPr>
            </w:pPr>
            <w:r>
              <w:rPr>
                <w:color w:val="231F20"/>
                <w:spacing w:val="-2"/>
                <w:w w:val="90"/>
                <w:sz w:val="14"/>
              </w:rPr>
              <w:t>America</w:t>
            </w:r>
          </w:p>
        </w:tc>
        <w:tc>
          <w:tcPr>
            <w:tcW w:w="881" w:type="dxa"/>
          </w:tcPr>
          <w:p>
            <w:pPr>
              <w:pStyle w:val="TableParagraph"/>
              <w:spacing w:line="129" w:lineRule="exact" w:before="0"/>
              <w:ind w:right="303"/>
              <w:jc w:val="right"/>
              <w:rPr>
                <w:sz w:val="14"/>
              </w:rPr>
            </w:pPr>
            <w:r>
              <w:rPr>
                <w:color w:val="231F20"/>
                <w:spacing w:val="-4"/>
                <w:w w:val="85"/>
                <w:sz w:val="14"/>
              </w:rPr>
              <w:t>Asia</w:t>
            </w:r>
          </w:p>
        </w:tc>
        <w:tc>
          <w:tcPr>
            <w:tcW w:w="965" w:type="dxa"/>
          </w:tcPr>
          <w:p>
            <w:pPr>
              <w:pStyle w:val="TableParagraph"/>
              <w:spacing w:line="129" w:lineRule="exact" w:before="0"/>
              <w:ind w:left="220"/>
              <w:rPr>
                <w:sz w:val="14"/>
              </w:rPr>
            </w:pPr>
            <w:r>
              <w:rPr>
                <w:color w:val="231F20"/>
                <w:spacing w:val="-2"/>
                <w:w w:val="90"/>
                <w:sz w:val="14"/>
              </w:rPr>
              <w:t>Africa</w:t>
            </w:r>
          </w:p>
        </w:tc>
      </w:tr>
    </w:tbl>
    <w:p>
      <w:pPr>
        <w:spacing w:after="0" w:line="129" w:lineRule="exact"/>
        <w:rPr>
          <w:sz w:val="14"/>
        </w:rPr>
        <w:sectPr>
          <w:type w:val="continuous"/>
          <w:pgSz w:w="12240" w:h="15840"/>
          <w:pgMar w:header="370" w:footer="548" w:top="1140" w:bottom="280" w:left="0" w:right="540"/>
        </w:sectPr>
      </w:pPr>
    </w:p>
    <w:p>
      <w:pPr>
        <w:pStyle w:val="BodyText"/>
        <w:rPr>
          <w:sz w:val="20"/>
        </w:rPr>
      </w:pPr>
    </w:p>
    <w:p>
      <w:pPr>
        <w:pStyle w:val="BodyText"/>
        <w:rPr>
          <w:sz w:val="20"/>
        </w:rPr>
      </w:pPr>
    </w:p>
    <w:p>
      <w:pPr>
        <w:pStyle w:val="BodyText"/>
        <w:spacing w:before="37"/>
        <w:rPr>
          <w:sz w:val="20"/>
        </w:rPr>
      </w:pPr>
    </w:p>
    <w:p>
      <w:pPr>
        <w:spacing w:after="0"/>
        <w:rPr>
          <w:sz w:val="20"/>
        </w:rPr>
        <w:sectPr>
          <w:pgSz w:w="12240" w:h="15840"/>
          <w:pgMar w:header="370" w:footer="548" w:top="560" w:bottom="740" w:left="0" w:right="540"/>
        </w:sectPr>
      </w:pPr>
    </w:p>
    <w:p>
      <w:pPr>
        <w:pStyle w:val="BodyText"/>
        <w:spacing w:line="268" w:lineRule="auto" w:before="97"/>
        <w:ind w:left="1200"/>
        <w:jc w:val="both"/>
      </w:pPr>
      <w:r>
        <w:rPr/>
        <mc:AlternateContent>
          <mc:Choice Requires="wps">
            <w:drawing>
              <wp:anchor distT="0" distB="0" distL="0" distR="0" allowOverlap="1" layoutInCell="1" locked="0" behindDoc="1" simplePos="0" relativeHeight="466778112">
                <wp:simplePos x="0" y="0"/>
                <wp:positionH relativeFrom="page">
                  <wp:posOffset>3238500</wp:posOffset>
                </wp:positionH>
                <wp:positionV relativeFrom="paragraph">
                  <wp:posOffset>14642</wp:posOffset>
                </wp:positionV>
                <wp:extent cx="4114800" cy="2903855"/>
                <wp:effectExtent l="0" t="0" r="0" b="0"/>
                <wp:wrapNone/>
                <wp:docPr id="1697" name="Group 1697"/>
                <wp:cNvGraphicFramePr>
                  <a:graphicFrameLocks/>
                </wp:cNvGraphicFramePr>
                <a:graphic>
                  <a:graphicData uri="http://schemas.microsoft.com/office/word/2010/wordprocessingGroup">
                    <wpg:wgp>
                      <wpg:cNvPr id="1697" name="Group 1697"/>
                      <wpg:cNvGrpSpPr/>
                      <wpg:grpSpPr>
                        <a:xfrm>
                          <a:off x="0" y="0"/>
                          <a:ext cx="4114800" cy="2903855"/>
                          <a:chExt cx="4114800" cy="2903855"/>
                        </a:xfrm>
                      </wpg:grpSpPr>
                      <wps:wsp>
                        <wps:cNvPr id="1698" name="Graphic 1698"/>
                        <wps:cNvSpPr/>
                        <wps:spPr>
                          <a:xfrm>
                            <a:off x="63500" y="19050"/>
                            <a:ext cx="4032250" cy="226060"/>
                          </a:xfrm>
                          <a:custGeom>
                            <a:avLst/>
                            <a:gdLst/>
                            <a:ahLst/>
                            <a:cxnLst/>
                            <a:rect l="l" t="t" r="r" b="b"/>
                            <a:pathLst>
                              <a:path w="4032250" h="226060">
                                <a:moveTo>
                                  <a:pt x="3937000" y="0"/>
                                </a:moveTo>
                                <a:lnTo>
                                  <a:pt x="50800" y="0"/>
                                </a:lnTo>
                                <a:lnTo>
                                  <a:pt x="13757" y="7496"/>
                                </a:lnTo>
                                <a:lnTo>
                                  <a:pt x="0" y="16778"/>
                                </a:lnTo>
                                <a:lnTo>
                                  <a:pt x="0" y="225907"/>
                                </a:lnTo>
                                <a:lnTo>
                                  <a:pt x="4032250" y="225907"/>
                                </a:lnTo>
                                <a:lnTo>
                                  <a:pt x="4032250" y="95250"/>
                                </a:lnTo>
                                <a:lnTo>
                                  <a:pt x="4024752" y="58207"/>
                                </a:lnTo>
                                <a:lnTo>
                                  <a:pt x="4004317" y="27927"/>
                                </a:lnTo>
                                <a:lnTo>
                                  <a:pt x="3974037" y="7496"/>
                                </a:lnTo>
                                <a:lnTo>
                                  <a:pt x="3937000" y="0"/>
                                </a:lnTo>
                                <a:close/>
                              </a:path>
                            </a:pathLst>
                          </a:custGeom>
                          <a:solidFill>
                            <a:srgbClr val="808285"/>
                          </a:solidFill>
                        </wps:spPr>
                        <wps:bodyPr wrap="square" lIns="0" tIns="0" rIns="0" bIns="0" rtlCol="0">
                          <a:prstTxWarp prst="textNoShape">
                            <a:avLst/>
                          </a:prstTxWarp>
                          <a:noAutofit/>
                        </wps:bodyPr>
                      </wps:wsp>
                      <wps:wsp>
                        <wps:cNvPr id="1699" name="Graphic 1699"/>
                        <wps:cNvSpPr/>
                        <wps:spPr>
                          <a:xfrm>
                            <a:off x="546100" y="29057"/>
                            <a:ext cx="1270" cy="225425"/>
                          </a:xfrm>
                          <a:custGeom>
                            <a:avLst/>
                            <a:gdLst/>
                            <a:ahLst/>
                            <a:cxnLst/>
                            <a:rect l="l" t="t" r="r" b="b"/>
                            <a:pathLst>
                              <a:path w="0" h="225425">
                                <a:moveTo>
                                  <a:pt x="0" y="2249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700" name="Graphic 1700"/>
                        <wps:cNvSpPr/>
                        <wps:spPr>
                          <a:xfrm>
                            <a:off x="38100" y="38100"/>
                            <a:ext cx="495300" cy="206375"/>
                          </a:xfrm>
                          <a:custGeom>
                            <a:avLst/>
                            <a:gdLst/>
                            <a:ahLst/>
                            <a:cxnLst/>
                            <a:rect l="l" t="t" r="r" b="b"/>
                            <a:pathLst>
                              <a:path w="495300" h="206375">
                                <a:moveTo>
                                  <a:pt x="0" y="206375"/>
                                </a:moveTo>
                                <a:lnTo>
                                  <a:pt x="495300" y="206375"/>
                                </a:lnTo>
                                <a:lnTo>
                                  <a:pt x="495300" y="0"/>
                                </a:lnTo>
                                <a:lnTo>
                                  <a:pt x="0" y="0"/>
                                </a:lnTo>
                                <a:lnTo>
                                  <a:pt x="0" y="206375"/>
                                </a:lnTo>
                                <a:close/>
                              </a:path>
                            </a:pathLst>
                          </a:custGeom>
                          <a:solidFill>
                            <a:srgbClr val="008FDD"/>
                          </a:solidFill>
                        </wps:spPr>
                        <wps:bodyPr wrap="square" lIns="0" tIns="0" rIns="0" bIns="0" rtlCol="0">
                          <a:prstTxWarp prst="textNoShape">
                            <a:avLst/>
                          </a:prstTxWarp>
                          <a:noAutofit/>
                        </wps:bodyPr>
                      </wps:wsp>
                      <wps:wsp>
                        <wps:cNvPr id="1701" name="Graphic 1701"/>
                        <wps:cNvSpPr/>
                        <wps:spPr>
                          <a:xfrm>
                            <a:off x="19050" y="19050"/>
                            <a:ext cx="4076700" cy="2865755"/>
                          </a:xfrm>
                          <a:custGeom>
                            <a:avLst/>
                            <a:gdLst/>
                            <a:ahLst/>
                            <a:cxnLst/>
                            <a:rect l="l" t="t" r="r" b="b"/>
                            <a:pathLst>
                              <a:path w="4076700" h="2865755">
                                <a:moveTo>
                                  <a:pt x="95250" y="0"/>
                                </a:moveTo>
                                <a:lnTo>
                                  <a:pt x="58212" y="7497"/>
                                </a:lnTo>
                                <a:lnTo>
                                  <a:pt x="27932" y="27932"/>
                                </a:lnTo>
                                <a:lnTo>
                                  <a:pt x="7497" y="58212"/>
                                </a:lnTo>
                                <a:lnTo>
                                  <a:pt x="0" y="95250"/>
                                </a:lnTo>
                                <a:lnTo>
                                  <a:pt x="0" y="2846654"/>
                                </a:lnTo>
                                <a:lnTo>
                                  <a:pt x="0" y="2865704"/>
                                </a:lnTo>
                                <a:lnTo>
                                  <a:pt x="19050" y="2865704"/>
                                </a:lnTo>
                                <a:lnTo>
                                  <a:pt x="4057650" y="2865704"/>
                                </a:lnTo>
                                <a:lnTo>
                                  <a:pt x="4076700" y="2865704"/>
                                </a:lnTo>
                                <a:lnTo>
                                  <a:pt x="4076700" y="2846654"/>
                                </a:lnTo>
                                <a:lnTo>
                                  <a:pt x="4076700" y="95250"/>
                                </a:lnTo>
                                <a:lnTo>
                                  <a:pt x="4069202" y="58212"/>
                                </a:lnTo>
                                <a:lnTo>
                                  <a:pt x="4048767" y="27932"/>
                                </a:lnTo>
                                <a:lnTo>
                                  <a:pt x="4018487" y="7497"/>
                                </a:lnTo>
                                <a:lnTo>
                                  <a:pt x="39814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702" name="Textbox 1702"/>
                        <wps:cNvSpPr txBox="1"/>
                        <wps:spPr>
                          <a:xfrm>
                            <a:off x="622282" y="81178"/>
                            <a:ext cx="2254885" cy="120650"/>
                          </a:xfrm>
                          <a:prstGeom prst="rect">
                            <a:avLst/>
                          </a:prstGeom>
                        </wps:spPr>
                        <wps:txbx>
                          <w:txbxContent>
                            <w:p>
                              <w:pPr>
                                <w:spacing w:before="2"/>
                                <w:ind w:left="0" w:right="0" w:firstLine="0"/>
                                <w:jc w:val="left"/>
                                <w:rPr>
                                  <w:rFonts w:ascii="Arial"/>
                                  <w:b/>
                                  <w:sz w:val="16"/>
                                </w:rPr>
                              </w:pPr>
                              <w:r>
                                <w:rPr>
                                  <w:rFonts w:ascii="Arial"/>
                                  <w:b/>
                                  <w:color w:val="FFFFFF"/>
                                  <w:w w:val="105"/>
                                  <w:sz w:val="16"/>
                                </w:rPr>
                                <w:t>The</w:t>
                              </w:r>
                              <w:r>
                                <w:rPr>
                                  <w:rFonts w:ascii="Arial"/>
                                  <w:b/>
                                  <w:color w:val="FFFFFF"/>
                                  <w:spacing w:val="12"/>
                                  <w:w w:val="105"/>
                                  <w:sz w:val="16"/>
                                </w:rPr>
                                <w:t> </w:t>
                              </w:r>
                              <w:r>
                                <w:rPr>
                                  <w:rFonts w:ascii="Arial"/>
                                  <w:b/>
                                  <w:color w:val="FFFFFF"/>
                                  <w:w w:val="105"/>
                                  <w:sz w:val="16"/>
                                </w:rPr>
                                <w:t>postal</w:t>
                              </w:r>
                              <w:r>
                                <w:rPr>
                                  <w:rFonts w:ascii="Arial"/>
                                  <w:b/>
                                  <w:color w:val="FFFFFF"/>
                                  <w:spacing w:val="13"/>
                                  <w:w w:val="105"/>
                                  <w:sz w:val="16"/>
                                </w:rPr>
                                <w:t> </w:t>
                              </w:r>
                              <w:r>
                                <w:rPr>
                                  <w:rFonts w:ascii="Arial"/>
                                  <w:b/>
                                  <w:color w:val="FFFFFF"/>
                                  <w:w w:val="105"/>
                                  <w:sz w:val="16"/>
                                </w:rPr>
                                <w:t>sequence</w:t>
                              </w:r>
                              <w:r>
                                <w:rPr>
                                  <w:rFonts w:ascii="Arial"/>
                                  <w:b/>
                                  <w:color w:val="FFFFFF"/>
                                  <w:spacing w:val="13"/>
                                  <w:w w:val="105"/>
                                  <w:sz w:val="16"/>
                                </w:rPr>
                                <w:t> </w:t>
                              </w:r>
                              <w:r>
                                <w:rPr>
                                  <w:rFonts w:ascii="Arial"/>
                                  <w:b/>
                                  <w:color w:val="FFFFFF"/>
                                  <w:w w:val="105"/>
                                  <w:sz w:val="16"/>
                                </w:rPr>
                                <w:t>of</w:t>
                              </w:r>
                              <w:r>
                                <w:rPr>
                                  <w:rFonts w:ascii="Arial"/>
                                  <w:b/>
                                  <w:color w:val="FFFFFF"/>
                                  <w:spacing w:val="13"/>
                                  <w:w w:val="105"/>
                                  <w:sz w:val="16"/>
                                </w:rPr>
                                <w:t> </w:t>
                              </w:r>
                              <w:r>
                                <w:rPr>
                                  <w:rFonts w:ascii="Arial"/>
                                  <w:b/>
                                  <w:color w:val="FFFFFF"/>
                                  <w:w w:val="105"/>
                                  <w:sz w:val="16"/>
                                </w:rPr>
                                <w:t>tracking</w:t>
                              </w:r>
                              <w:r>
                                <w:rPr>
                                  <w:rFonts w:ascii="Arial"/>
                                  <w:b/>
                                  <w:color w:val="FFFFFF"/>
                                  <w:spacing w:val="13"/>
                                  <w:w w:val="105"/>
                                  <w:sz w:val="16"/>
                                </w:rPr>
                                <w:t> </w:t>
                              </w:r>
                              <w:r>
                                <w:rPr>
                                  <w:rFonts w:ascii="Arial"/>
                                  <w:b/>
                                  <w:color w:val="FFFFFF"/>
                                  <w:spacing w:val="-2"/>
                                  <w:w w:val="105"/>
                                  <w:sz w:val="16"/>
                                </w:rPr>
                                <w:t>messages</w:t>
                              </w:r>
                            </w:p>
                          </w:txbxContent>
                        </wps:txbx>
                        <wps:bodyPr wrap="square" lIns="0" tIns="0" rIns="0" bIns="0" rtlCol="0">
                          <a:noAutofit/>
                        </wps:bodyPr>
                      </wps:wsp>
                      <wps:wsp>
                        <wps:cNvPr id="1703" name="Textbox 1703"/>
                        <wps:cNvSpPr txBox="1"/>
                        <wps:spPr>
                          <a:xfrm>
                            <a:off x="63500" y="2769665"/>
                            <a:ext cx="880744" cy="91440"/>
                          </a:xfrm>
                          <a:prstGeom prst="rect">
                            <a:avLst/>
                          </a:prstGeom>
                        </wps:spPr>
                        <wps:txbx>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9"/>
                                  <w:sz w:val="12"/>
                                </w:rPr>
                                <w:t> </w:t>
                              </w:r>
                              <w:r>
                                <w:rPr>
                                  <w:rFonts w:ascii="Arial"/>
                                  <w:color w:val="231F20"/>
                                  <w:w w:val="75"/>
                                  <w:sz w:val="12"/>
                                </w:rPr>
                                <w:t>Universal</w:t>
                              </w:r>
                              <w:r>
                                <w:rPr>
                                  <w:rFonts w:ascii="Arial"/>
                                  <w:color w:val="231F20"/>
                                  <w:spacing w:val="10"/>
                                  <w:sz w:val="12"/>
                                </w:rPr>
                                <w:t> </w:t>
                              </w:r>
                              <w:r>
                                <w:rPr>
                                  <w:rFonts w:ascii="Arial"/>
                                  <w:color w:val="231F20"/>
                                  <w:w w:val="75"/>
                                  <w:sz w:val="12"/>
                                </w:rPr>
                                <w:t>Postal</w:t>
                              </w:r>
                              <w:r>
                                <w:rPr>
                                  <w:rFonts w:ascii="Arial"/>
                                  <w:color w:val="231F20"/>
                                  <w:spacing w:val="10"/>
                                  <w:sz w:val="12"/>
                                </w:rPr>
                                <w:t> </w:t>
                              </w:r>
                              <w:r>
                                <w:rPr>
                                  <w:rFonts w:ascii="Arial"/>
                                  <w:color w:val="231F20"/>
                                  <w:spacing w:val="-2"/>
                                  <w:w w:val="75"/>
                                  <w:sz w:val="12"/>
                                </w:rPr>
                                <w:t>Union.</w:t>
                              </w:r>
                            </w:p>
                          </w:txbxContent>
                        </wps:txbx>
                        <wps:bodyPr wrap="square" lIns="0" tIns="0" rIns="0" bIns="0" rtlCol="0">
                          <a:noAutofit/>
                        </wps:bodyPr>
                      </wps:wsp>
                      <wps:wsp>
                        <wps:cNvPr id="1704" name="Textbox 1704"/>
                        <wps:cNvSpPr txBox="1"/>
                        <wps:spPr>
                          <a:xfrm>
                            <a:off x="38100" y="38100"/>
                            <a:ext cx="495300" cy="206375"/>
                          </a:xfrm>
                          <a:prstGeom prst="rect">
                            <a:avLst/>
                          </a:prstGeom>
                        </wps:spPr>
                        <wps:txbx>
                          <w:txbxContent>
                            <w:p>
                              <w:pPr>
                                <w:spacing w:before="70"/>
                                <w:ind w:left="12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4.1</w:t>
                              </w:r>
                            </w:p>
                          </w:txbxContent>
                        </wps:txbx>
                        <wps:bodyPr wrap="square" lIns="0" tIns="0" rIns="0" bIns="0" rtlCol="0">
                          <a:noAutofit/>
                        </wps:bodyPr>
                      </wps:wsp>
                    </wpg:wgp>
                  </a:graphicData>
                </a:graphic>
              </wp:anchor>
            </w:drawing>
          </mc:Choice>
          <mc:Fallback>
            <w:pict>
              <v:group style="position:absolute;margin-left:255pt;margin-top:1.15293pt;width:324pt;height:228.65pt;mso-position-horizontal-relative:page;mso-position-vertical-relative:paragraph;z-index:-36538368" id="docshapegroup1445" coordorigin="5100,23" coordsize="6480,4573">
                <v:shape style="position:absolute;left:5200;top:53;width:6350;height:356" id="docshape1446" coordorigin="5200,53" coordsize="6350,356" path="m11400,53l5280,53,5222,65,5200,79,5200,409,11550,409,11550,203,11538,145,11506,97,11458,65,11400,53xe" filled="true" fillcolor="#808285" stroked="false">
                  <v:path arrowok="t"/>
                  <v:fill type="solid"/>
                </v:shape>
                <v:line style="position:absolute" from="5960,423" to="5960,69" stroked="true" strokeweight="2pt" strokecolor="#ffffff">
                  <v:stroke dashstyle="solid"/>
                </v:line>
                <v:rect style="position:absolute;left:5160;top:83;width:780;height:325" id="docshape1447" filled="true" fillcolor="#008fdd" stroked="false">
                  <v:fill type="solid"/>
                </v:rect>
                <v:shape style="position:absolute;left:5130;top:53;width:6420;height:4513" id="docshape1448" coordorigin="5130,53" coordsize="6420,4513" path="m5280,53l5222,65,5174,97,5142,145,5130,203,5130,4536,5130,4566,5160,4566,11520,4566,11550,4566,11550,4536,11550,203,11538,145,11506,97,11458,65,11400,53,5280,53xe" filled="false" stroked="true" strokeweight="3pt" strokecolor="#ffffff">
                  <v:path arrowok="t"/>
                  <v:stroke dashstyle="solid"/>
                </v:shape>
                <v:shape style="position:absolute;left:6079;top:150;width:3551;height:190" type="#_x0000_t202" id="docshape1449" filled="false" stroked="false">
                  <v:textbox inset="0,0,0,0">
                    <w:txbxContent>
                      <w:p>
                        <w:pPr>
                          <w:spacing w:before="2"/>
                          <w:ind w:left="0" w:right="0" w:firstLine="0"/>
                          <w:jc w:val="left"/>
                          <w:rPr>
                            <w:rFonts w:ascii="Arial"/>
                            <w:b/>
                            <w:sz w:val="16"/>
                          </w:rPr>
                        </w:pPr>
                        <w:r>
                          <w:rPr>
                            <w:rFonts w:ascii="Arial"/>
                            <w:b/>
                            <w:color w:val="FFFFFF"/>
                            <w:w w:val="105"/>
                            <w:sz w:val="16"/>
                          </w:rPr>
                          <w:t>The</w:t>
                        </w:r>
                        <w:r>
                          <w:rPr>
                            <w:rFonts w:ascii="Arial"/>
                            <w:b/>
                            <w:color w:val="FFFFFF"/>
                            <w:spacing w:val="12"/>
                            <w:w w:val="105"/>
                            <w:sz w:val="16"/>
                          </w:rPr>
                          <w:t> </w:t>
                        </w:r>
                        <w:r>
                          <w:rPr>
                            <w:rFonts w:ascii="Arial"/>
                            <w:b/>
                            <w:color w:val="FFFFFF"/>
                            <w:w w:val="105"/>
                            <w:sz w:val="16"/>
                          </w:rPr>
                          <w:t>postal</w:t>
                        </w:r>
                        <w:r>
                          <w:rPr>
                            <w:rFonts w:ascii="Arial"/>
                            <w:b/>
                            <w:color w:val="FFFFFF"/>
                            <w:spacing w:val="13"/>
                            <w:w w:val="105"/>
                            <w:sz w:val="16"/>
                          </w:rPr>
                          <w:t> </w:t>
                        </w:r>
                        <w:r>
                          <w:rPr>
                            <w:rFonts w:ascii="Arial"/>
                            <w:b/>
                            <w:color w:val="FFFFFF"/>
                            <w:w w:val="105"/>
                            <w:sz w:val="16"/>
                          </w:rPr>
                          <w:t>sequence</w:t>
                        </w:r>
                        <w:r>
                          <w:rPr>
                            <w:rFonts w:ascii="Arial"/>
                            <w:b/>
                            <w:color w:val="FFFFFF"/>
                            <w:spacing w:val="13"/>
                            <w:w w:val="105"/>
                            <w:sz w:val="16"/>
                          </w:rPr>
                          <w:t> </w:t>
                        </w:r>
                        <w:r>
                          <w:rPr>
                            <w:rFonts w:ascii="Arial"/>
                            <w:b/>
                            <w:color w:val="FFFFFF"/>
                            <w:w w:val="105"/>
                            <w:sz w:val="16"/>
                          </w:rPr>
                          <w:t>of</w:t>
                        </w:r>
                        <w:r>
                          <w:rPr>
                            <w:rFonts w:ascii="Arial"/>
                            <w:b/>
                            <w:color w:val="FFFFFF"/>
                            <w:spacing w:val="13"/>
                            <w:w w:val="105"/>
                            <w:sz w:val="16"/>
                          </w:rPr>
                          <w:t> </w:t>
                        </w:r>
                        <w:r>
                          <w:rPr>
                            <w:rFonts w:ascii="Arial"/>
                            <w:b/>
                            <w:color w:val="FFFFFF"/>
                            <w:w w:val="105"/>
                            <w:sz w:val="16"/>
                          </w:rPr>
                          <w:t>tracking</w:t>
                        </w:r>
                        <w:r>
                          <w:rPr>
                            <w:rFonts w:ascii="Arial"/>
                            <w:b/>
                            <w:color w:val="FFFFFF"/>
                            <w:spacing w:val="13"/>
                            <w:w w:val="105"/>
                            <w:sz w:val="16"/>
                          </w:rPr>
                          <w:t> </w:t>
                        </w:r>
                        <w:r>
                          <w:rPr>
                            <w:rFonts w:ascii="Arial"/>
                            <w:b/>
                            <w:color w:val="FFFFFF"/>
                            <w:spacing w:val="-2"/>
                            <w:w w:val="105"/>
                            <w:sz w:val="16"/>
                          </w:rPr>
                          <w:t>messages</w:t>
                        </w:r>
                      </w:p>
                    </w:txbxContent>
                  </v:textbox>
                  <w10:wrap type="none"/>
                </v:shape>
                <v:shape style="position:absolute;left:5200;top:4384;width:1387;height:144" type="#_x0000_t202" id="docshape1450" filled="false" stroked="false">
                  <v:textbox inset="0,0,0,0">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9"/>
                            <w:sz w:val="12"/>
                          </w:rPr>
                          <w:t> </w:t>
                        </w:r>
                        <w:r>
                          <w:rPr>
                            <w:rFonts w:ascii="Arial"/>
                            <w:color w:val="231F20"/>
                            <w:w w:val="75"/>
                            <w:sz w:val="12"/>
                          </w:rPr>
                          <w:t>Universal</w:t>
                        </w:r>
                        <w:r>
                          <w:rPr>
                            <w:rFonts w:ascii="Arial"/>
                            <w:color w:val="231F20"/>
                            <w:spacing w:val="10"/>
                            <w:sz w:val="12"/>
                          </w:rPr>
                          <w:t> </w:t>
                        </w:r>
                        <w:r>
                          <w:rPr>
                            <w:rFonts w:ascii="Arial"/>
                            <w:color w:val="231F20"/>
                            <w:w w:val="75"/>
                            <w:sz w:val="12"/>
                          </w:rPr>
                          <w:t>Postal</w:t>
                        </w:r>
                        <w:r>
                          <w:rPr>
                            <w:rFonts w:ascii="Arial"/>
                            <w:color w:val="231F20"/>
                            <w:spacing w:val="10"/>
                            <w:sz w:val="12"/>
                          </w:rPr>
                          <w:t> </w:t>
                        </w:r>
                        <w:r>
                          <w:rPr>
                            <w:rFonts w:ascii="Arial"/>
                            <w:color w:val="231F20"/>
                            <w:spacing w:val="-2"/>
                            <w:w w:val="75"/>
                            <w:sz w:val="12"/>
                          </w:rPr>
                          <w:t>Union.</w:t>
                        </w:r>
                      </w:p>
                    </w:txbxContent>
                  </v:textbox>
                  <w10:wrap type="none"/>
                </v:shape>
                <v:shape style="position:absolute;left:5160;top:83;width:780;height:325" type="#_x0000_t202" id="docshape1451" filled="false" stroked="false">
                  <v:textbox inset="0,0,0,0">
                    <w:txbxContent>
                      <w:p>
                        <w:pPr>
                          <w:spacing w:before="70"/>
                          <w:ind w:left="12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4.1</w:t>
                        </w:r>
                      </w:p>
                    </w:txbxContent>
                  </v:textbox>
                  <w10:wrap type="none"/>
                </v:shape>
                <w10:wrap type="none"/>
              </v:group>
            </w:pict>
          </mc:Fallback>
        </mc:AlternateContent>
      </w:r>
      <w:r>
        <w:rPr>
          <w:color w:val="231F20"/>
          <w:spacing w:val="-2"/>
        </w:rPr>
        <w:t>and</w:t>
      </w:r>
      <w:r>
        <w:rPr>
          <w:color w:val="231F20"/>
          <w:spacing w:val="-4"/>
        </w:rPr>
        <w:t> </w:t>
      </w:r>
      <w:r>
        <w:rPr>
          <w:color w:val="231F20"/>
          <w:spacing w:val="-2"/>
        </w:rPr>
        <w:t>interpretability.</w:t>
      </w:r>
      <w:r>
        <w:rPr>
          <w:color w:val="231F20"/>
          <w:spacing w:val="-4"/>
        </w:rPr>
        <w:t> </w:t>
      </w:r>
      <w:r>
        <w:rPr>
          <w:color w:val="231F20"/>
          <w:spacing w:val="-2"/>
        </w:rPr>
        <w:t>This</w:t>
      </w:r>
      <w:r>
        <w:rPr>
          <w:color w:val="231F20"/>
          <w:spacing w:val="-4"/>
        </w:rPr>
        <w:t> </w:t>
      </w:r>
      <w:r>
        <w:rPr>
          <w:color w:val="231F20"/>
          <w:spacing w:val="-2"/>
        </w:rPr>
        <w:t>indicator</w:t>
      </w:r>
      <w:r>
        <w:rPr>
          <w:color w:val="231F20"/>
          <w:spacing w:val="-4"/>
        </w:rPr>
        <w:t> </w:t>
      </w:r>
      <w:r>
        <w:rPr>
          <w:color w:val="231F20"/>
          <w:spacing w:val="-2"/>
        </w:rPr>
        <w:t>represents </w:t>
      </w:r>
      <w:r>
        <w:rPr>
          <w:color w:val="231F20"/>
          <w:spacing w:val="-6"/>
        </w:rPr>
        <w:t>how</w:t>
      </w:r>
      <w:r>
        <w:rPr>
          <w:color w:val="231F20"/>
          <w:spacing w:val="-7"/>
        </w:rPr>
        <w:t> </w:t>
      </w:r>
      <w:r>
        <w:rPr>
          <w:color w:val="231F20"/>
          <w:spacing w:val="-6"/>
        </w:rPr>
        <w:t>fast</w:t>
      </w:r>
      <w:r>
        <w:rPr>
          <w:color w:val="231F20"/>
          <w:spacing w:val="-7"/>
        </w:rPr>
        <w:t> </w:t>
      </w:r>
      <w:r>
        <w:rPr>
          <w:color w:val="231F20"/>
          <w:spacing w:val="-6"/>
        </w:rPr>
        <w:t>air</w:t>
      </w:r>
      <w:r>
        <w:rPr>
          <w:color w:val="231F20"/>
          <w:spacing w:val="-7"/>
        </w:rPr>
        <w:t> </w:t>
      </w:r>
      <w:r>
        <w:rPr>
          <w:color w:val="231F20"/>
          <w:spacing w:val="-6"/>
        </w:rPr>
        <w:t>cargo</w:t>
      </w:r>
      <w:r>
        <w:rPr>
          <w:color w:val="231F20"/>
          <w:spacing w:val="-7"/>
        </w:rPr>
        <w:t> </w:t>
      </w:r>
      <w:r>
        <w:rPr>
          <w:color w:val="231F20"/>
          <w:spacing w:val="-6"/>
        </w:rPr>
        <w:t>shipments</w:t>
      </w:r>
      <w:r>
        <w:rPr>
          <w:color w:val="231F20"/>
          <w:spacing w:val="-7"/>
        </w:rPr>
        <w:t> </w:t>
      </w:r>
      <w:r>
        <w:rPr>
          <w:color w:val="231F20"/>
          <w:spacing w:val="-6"/>
        </w:rPr>
        <w:t>move</w:t>
      </w:r>
      <w:r>
        <w:rPr>
          <w:color w:val="231F20"/>
          <w:spacing w:val="-7"/>
        </w:rPr>
        <w:t> </w:t>
      </w:r>
      <w:r>
        <w:rPr>
          <w:color w:val="231F20"/>
          <w:spacing w:val="-6"/>
        </w:rPr>
        <w:t>at</w:t>
      </w:r>
      <w:r>
        <w:rPr>
          <w:color w:val="231F20"/>
          <w:spacing w:val="-7"/>
        </w:rPr>
        <w:t> </w:t>
      </w:r>
      <w:r>
        <w:rPr>
          <w:color w:val="231F20"/>
          <w:spacing w:val="-6"/>
        </w:rPr>
        <w:t>the</w:t>
      </w:r>
      <w:r>
        <w:rPr>
          <w:color w:val="231F20"/>
          <w:spacing w:val="-7"/>
        </w:rPr>
        <w:t> </w:t>
      </w:r>
      <w:r>
        <w:rPr>
          <w:color w:val="231F20"/>
          <w:spacing w:val="-6"/>
        </w:rPr>
        <w:t>desti- </w:t>
      </w:r>
      <w:r>
        <w:rPr>
          <w:color w:val="231F20"/>
          <w:spacing w:val="-4"/>
        </w:rPr>
        <w:t>nation,</w:t>
      </w:r>
      <w:r>
        <w:rPr>
          <w:color w:val="231F20"/>
          <w:spacing w:val="-10"/>
        </w:rPr>
        <w:t> </w:t>
      </w:r>
      <w:r>
        <w:rPr>
          <w:color w:val="231F20"/>
          <w:spacing w:val="-4"/>
        </w:rPr>
        <w:t>which</w:t>
      </w:r>
      <w:r>
        <w:rPr>
          <w:color w:val="231F20"/>
          <w:spacing w:val="-9"/>
        </w:rPr>
        <w:t> </w:t>
      </w:r>
      <w:r>
        <w:rPr>
          <w:color w:val="231F20"/>
          <w:spacing w:val="-4"/>
        </w:rPr>
        <w:t>is</w:t>
      </w:r>
      <w:r>
        <w:rPr>
          <w:color w:val="231F20"/>
          <w:spacing w:val="-9"/>
        </w:rPr>
        <w:t> </w:t>
      </w:r>
      <w:r>
        <w:rPr>
          <w:color w:val="231F20"/>
          <w:spacing w:val="-4"/>
        </w:rPr>
        <w:t>the</w:t>
      </w:r>
      <w:r>
        <w:rPr>
          <w:color w:val="231F20"/>
          <w:spacing w:val="-9"/>
        </w:rPr>
        <w:t> </w:t>
      </w:r>
      <w:r>
        <w:rPr>
          <w:color w:val="231F20"/>
          <w:spacing w:val="-4"/>
        </w:rPr>
        <w:t>equivalent</w:t>
      </w:r>
      <w:r>
        <w:rPr>
          <w:color w:val="231F20"/>
          <w:spacing w:val="-9"/>
        </w:rPr>
        <w:t> </w:t>
      </w:r>
      <w:r>
        <w:rPr>
          <w:color w:val="231F20"/>
          <w:spacing w:val="-4"/>
        </w:rPr>
        <w:t>of</w:t>
      </w:r>
      <w:r>
        <w:rPr>
          <w:color w:val="231F20"/>
          <w:spacing w:val="-9"/>
        </w:rPr>
        <w:t> </w:t>
      </w:r>
      <w:r>
        <w:rPr>
          <w:color w:val="231F20"/>
          <w:spacing w:val="-4"/>
        </w:rPr>
        <w:t>import</w:t>
      </w:r>
      <w:r>
        <w:rPr>
          <w:color w:val="231F20"/>
          <w:spacing w:val="-9"/>
        </w:rPr>
        <w:t> </w:t>
      </w:r>
      <w:r>
        <w:rPr>
          <w:color w:val="231F20"/>
          <w:spacing w:val="-4"/>
        </w:rPr>
        <w:t>dwell </w:t>
      </w:r>
      <w:r>
        <w:rPr>
          <w:color w:val="231F20"/>
          <w:w w:val="90"/>
        </w:rPr>
        <w:t>time. Future editions of </w:t>
      </w:r>
      <w:r>
        <w:rPr>
          <w:i/>
          <w:color w:val="231F20"/>
          <w:w w:val="90"/>
        </w:rPr>
        <w:t>Connecting to Compete </w:t>
      </w:r>
      <w:r>
        <w:rPr>
          <w:color w:val="231F20"/>
          <w:spacing w:val="-2"/>
        </w:rPr>
        <w:t>may</w:t>
      </w:r>
      <w:r>
        <w:rPr>
          <w:color w:val="231F20"/>
          <w:spacing w:val="-6"/>
        </w:rPr>
        <w:t> </w:t>
      </w:r>
      <w:r>
        <w:rPr>
          <w:color w:val="231F20"/>
          <w:spacing w:val="-2"/>
        </w:rPr>
        <w:t>consider</w:t>
      </w:r>
      <w:r>
        <w:rPr>
          <w:color w:val="231F20"/>
          <w:spacing w:val="-6"/>
        </w:rPr>
        <w:t> </w:t>
      </w:r>
      <w:r>
        <w:rPr>
          <w:color w:val="231F20"/>
          <w:spacing w:val="-2"/>
        </w:rPr>
        <w:t>additional</w:t>
      </w:r>
      <w:r>
        <w:rPr>
          <w:color w:val="231F20"/>
          <w:spacing w:val="-6"/>
        </w:rPr>
        <w:t> </w:t>
      </w:r>
      <w:r>
        <w:rPr>
          <w:color w:val="231F20"/>
          <w:spacing w:val="-2"/>
        </w:rPr>
        <w:t>delay</w:t>
      </w:r>
      <w:r>
        <w:rPr>
          <w:color w:val="231F20"/>
          <w:spacing w:val="-6"/>
        </w:rPr>
        <w:t> </w:t>
      </w:r>
      <w:r>
        <w:rPr>
          <w:color w:val="231F20"/>
          <w:spacing w:val="-2"/>
        </w:rPr>
        <w:t>indicators.</w:t>
      </w:r>
    </w:p>
    <w:p>
      <w:pPr>
        <w:pStyle w:val="BodyText"/>
        <w:spacing w:line="268" w:lineRule="auto"/>
        <w:ind w:left="1200" w:firstLine="300"/>
        <w:jc w:val="both"/>
      </w:pPr>
      <w:r>
        <w:rPr>
          <w:color w:val="231F20"/>
          <w:spacing w:val="-8"/>
        </w:rPr>
        <w:t>Low-income</w:t>
      </w:r>
      <w:r>
        <w:rPr>
          <w:color w:val="231F20"/>
          <w:spacing w:val="-2"/>
        </w:rPr>
        <w:t> </w:t>
      </w:r>
      <w:r>
        <w:rPr>
          <w:color w:val="231F20"/>
          <w:spacing w:val="-8"/>
        </w:rPr>
        <w:t>countries</w:t>
      </w:r>
      <w:r>
        <w:rPr>
          <w:color w:val="231F20"/>
          <w:spacing w:val="-2"/>
        </w:rPr>
        <w:t> </w:t>
      </w:r>
      <w:r>
        <w:rPr>
          <w:color w:val="231F20"/>
          <w:spacing w:val="-8"/>
        </w:rPr>
        <w:t>have</w:t>
      </w:r>
      <w:r>
        <w:rPr>
          <w:color w:val="231F20"/>
          <w:spacing w:val="-2"/>
        </w:rPr>
        <w:t> </w:t>
      </w:r>
      <w:r>
        <w:rPr>
          <w:color w:val="231F20"/>
          <w:spacing w:val="-8"/>
        </w:rPr>
        <w:t>the</w:t>
      </w:r>
      <w:r>
        <w:rPr>
          <w:color w:val="231F20"/>
          <w:spacing w:val="-2"/>
        </w:rPr>
        <w:t> </w:t>
      </w:r>
      <w:r>
        <w:rPr>
          <w:color w:val="231F20"/>
          <w:spacing w:val="-8"/>
        </w:rPr>
        <w:t>lowest</w:t>
      </w:r>
      <w:r>
        <w:rPr>
          <w:color w:val="231F20"/>
          <w:spacing w:val="-2"/>
        </w:rPr>
        <w:t> </w:t>
      </w:r>
      <w:r>
        <w:rPr>
          <w:color w:val="231F20"/>
          <w:spacing w:val="-8"/>
        </w:rPr>
        <w:t>cov- </w:t>
      </w:r>
      <w:r>
        <w:rPr>
          <w:color w:val="231F20"/>
          <w:spacing w:val="-6"/>
        </w:rPr>
        <w:t>erage:</w:t>
      </w:r>
      <w:r>
        <w:rPr>
          <w:color w:val="231F20"/>
          <w:spacing w:val="-8"/>
        </w:rPr>
        <w:t> </w:t>
      </w:r>
      <w:r>
        <w:rPr>
          <w:color w:val="231F20"/>
          <w:spacing w:val="-6"/>
        </w:rPr>
        <w:t>data</w:t>
      </w:r>
      <w:r>
        <w:rPr>
          <w:color w:val="231F20"/>
          <w:spacing w:val="-7"/>
        </w:rPr>
        <w:t> </w:t>
      </w:r>
      <w:r>
        <w:rPr>
          <w:color w:val="231F20"/>
          <w:spacing w:val="-6"/>
        </w:rPr>
        <w:t>are</w:t>
      </w:r>
      <w:r>
        <w:rPr>
          <w:color w:val="231F20"/>
          <w:spacing w:val="-7"/>
        </w:rPr>
        <w:t> </w:t>
      </w:r>
      <w:r>
        <w:rPr>
          <w:color w:val="231F20"/>
          <w:spacing w:val="-6"/>
        </w:rPr>
        <w:t>available</w:t>
      </w:r>
      <w:r>
        <w:rPr>
          <w:color w:val="231F20"/>
          <w:spacing w:val="-7"/>
        </w:rPr>
        <w:t> </w:t>
      </w:r>
      <w:r>
        <w:rPr>
          <w:color w:val="231F20"/>
          <w:spacing w:val="-6"/>
        </w:rPr>
        <w:t>for</w:t>
      </w:r>
      <w:r>
        <w:rPr>
          <w:color w:val="231F20"/>
          <w:spacing w:val="-7"/>
        </w:rPr>
        <w:t> </w:t>
      </w:r>
      <w:r>
        <w:rPr>
          <w:color w:val="231F20"/>
          <w:spacing w:val="-6"/>
        </w:rPr>
        <w:t>25</w:t>
      </w:r>
      <w:r>
        <w:rPr>
          <w:color w:val="231F20"/>
          <w:spacing w:val="-7"/>
        </w:rPr>
        <w:t> </w:t>
      </w:r>
      <w:r>
        <w:rPr>
          <w:color w:val="231F20"/>
          <w:spacing w:val="-6"/>
        </w:rPr>
        <w:t>percent</w:t>
      </w:r>
      <w:r>
        <w:rPr>
          <w:color w:val="231F20"/>
          <w:spacing w:val="2"/>
        </w:rPr>
        <w:t> </w:t>
      </w:r>
      <w:r>
        <w:rPr>
          <w:color w:val="231F20"/>
          <w:spacing w:val="-6"/>
        </w:rPr>
        <w:t>of</w:t>
      </w:r>
      <w:r>
        <w:rPr>
          <w:color w:val="231F20"/>
          <w:spacing w:val="-7"/>
        </w:rPr>
        <w:t> </w:t>
      </w:r>
      <w:r>
        <w:rPr>
          <w:color w:val="231F20"/>
          <w:spacing w:val="-6"/>
        </w:rPr>
        <w:t>these </w:t>
      </w:r>
      <w:r>
        <w:rPr>
          <w:color w:val="231F20"/>
          <w:w w:val="90"/>
        </w:rPr>
        <w:t>countries.</w:t>
      </w:r>
      <w:r>
        <w:rPr>
          <w:color w:val="231F20"/>
          <w:spacing w:val="-5"/>
          <w:w w:val="90"/>
        </w:rPr>
        <w:t> </w:t>
      </w:r>
      <w:r>
        <w:rPr>
          <w:color w:val="231F20"/>
          <w:w w:val="90"/>
        </w:rPr>
        <w:t>The</w:t>
      </w:r>
      <w:r>
        <w:rPr>
          <w:color w:val="231F20"/>
          <w:spacing w:val="-5"/>
          <w:w w:val="90"/>
        </w:rPr>
        <w:t> </w:t>
      </w:r>
      <w:r>
        <w:rPr>
          <w:color w:val="231F20"/>
          <w:w w:val="90"/>
        </w:rPr>
        <w:t>East</w:t>
      </w:r>
      <w:r>
        <w:rPr>
          <w:color w:val="231F20"/>
          <w:spacing w:val="-5"/>
          <w:w w:val="90"/>
        </w:rPr>
        <w:t> </w:t>
      </w:r>
      <w:r>
        <w:rPr>
          <w:color w:val="231F20"/>
          <w:w w:val="90"/>
        </w:rPr>
        <w:t>Asia</w:t>
      </w:r>
      <w:r>
        <w:rPr>
          <w:color w:val="231F20"/>
          <w:spacing w:val="-5"/>
          <w:w w:val="90"/>
        </w:rPr>
        <w:t> </w:t>
      </w:r>
      <w:r>
        <w:rPr>
          <w:color w:val="231F20"/>
          <w:w w:val="90"/>
        </w:rPr>
        <w:t>and</w:t>
      </w:r>
      <w:r>
        <w:rPr>
          <w:color w:val="231F20"/>
          <w:spacing w:val="-5"/>
          <w:w w:val="90"/>
        </w:rPr>
        <w:t> </w:t>
      </w:r>
      <w:r>
        <w:rPr>
          <w:color w:val="231F20"/>
          <w:w w:val="90"/>
        </w:rPr>
        <w:t>Pacific,</w:t>
      </w:r>
      <w:r>
        <w:rPr>
          <w:color w:val="231F20"/>
          <w:spacing w:val="-5"/>
          <w:w w:val="90"/>
        </w:rPr>
        <w:t> </w:t>
      </w:r>
      <w:r>
        <w:rPr>
          <w:color w:val="231F20"/>
          <w:w w:val="90"/>
        </w:rPr>
        <w:t>South</w:t>
      </w:r>
      <w:r>
        <w:rPr>
          <w:color w:val="231F20"/>
          <w:spacing w:val="-5"/>
          <w:w w:val="90"/>
        </w:rPr>
        <w:t> </w:t>
      </w:r>
      <w:r>
        <w:rPr>
          <w:color w:val="231F20"/>
          <w:w w:val="90"/>
        </w:rPr>
        <w:t>Asia, </w:t>
      </w:r>
      <w:r>
        <w:rPr>
          <w:color w:val="231F20"/>
          <w:spacing w:val="-4"/>
        </w:rPr>
        <w:t>and</w:t>
      </w:r>
      <w:r>
        <w:rPr>
          <w:color w:val="231F20"/>
          <w:spacing w:val="-10"/>
        </w:rPr>
        <w:t> </w:t>
      </w:r>
      <w:r>
        <w:rPr>
          <w:color w:val="231F20"/>
          <w:spacing w:val="-4"/>
        </w:rPr>
        <w:t>Sub-Saharan</w:t>
      </w:r>
      <w:r>
        <w:rPr>
          <w:color w:val="231F20"/>
          <w:spacing w:val="-9"/>
        </w:rPr>
        <w:t> </w:t>
      </w:r>
      <w:r>
        <w:rPr>
          <w:color w:val="231F20"/>
          <w:spacing w:val="-4"/>
        </w:rPr>
        <w:t>Africa</w:t>
      </w:r>
      <w:r>
        <w:rPr>
          <w:color w:val="231F20"/>
          <w:spacing w:val="-9"/>
        </w:rPr>
        <w:t> </w:t>
      </w:r>
      <w:r>
        <w:rPr>
          <w:color w:val="231F20"/>
          <w:spacing w:val="-4"/>
        </w:rPr>
        <w:t>regions</w:t>
      </w:r>
      <w:r>
        <w:rPr>
          <w:color w:val="231F20"/>
          <w:spacing w:val="-9"/>
        </w:rPr>
        <w:t> </w:t>
      </w:r>
      <w:r>
        <w:rPr>
          <w:color w:val="231F20"/>
          <w:spacing w:val="-4"/>
        </w:rPr>
        <w:t>all</w:t>
      </w:r>
      <w:r>
        <w:rPr>
          <w:color w:val="231F20"/>
          <w:spacing w:val="-9"/>
        </w:rPr>
        <w:t> </w:t>
      </w:r>
      <w:r>
        <w:rPr>
          <w:color w:val="231F20"/>
          <w:spacing w:val="-4"/>
        </w:rPr>
        <w:t>have</w:t>
      </w:r>
      <w:r>
        <w:rPr>
          <w:color w:val="231F20"/>
          <w:spacing w:val="-9"/>
        </w:rPr>
        <w:t> </w:t>
      </w:r>
      <w:r>
        <w:rPr>
          <w:color w:val="231F20"/>
          <w:spacing w:val="-4"/>
        </w:rPr>
        <w:t>about </w:t>
      </w:r>
      <w:r>
        <w:rPr>
          <w:color w:val="231F20"/>
        </w:rPr>
        <w:t>35–40</w:t>
      </w:r>
      <w:r>
        <w:rPr>
          <w:color w:val="231F20"/>
          <w:spacing w:val="-2"/>
        </w:rPr>
        <w:t> </w:t>
      </w:r>
      <w:r>
        <w:rPr>
          <w:color w:val="231F20"/>
        </w:rPr>
        <w:t>percent</w:t>
      </w:r>
      <w:r>
        <w:rPr>
          <w:color w:val="231F20"/>
          <w:spacing w:val="-2"/>
        </w:rPr>
        <w:t> </w:t>
      </w:r>
      <w:r>
        <w:rPr>
          <w:color w:val="231F20"/>
        </w:rPr>
        <w:t>coverage</w:t>
      </w:r>
      <w:r>
        <w:rPr>
          <w:color w:val="231F20"/>
          <w:spacing w:val="-2"/>
        </w:rPr>
        <w:t> </w:t>
      </w:r>
      <w:r>
        <w:rPr>
          <w:color w:val="231F20"/>
        </w:rPr>
        <w:t>(figure</w:t>
      </w:r>
      <w:r>
        <w:rPr>
          <w:color w:val="231F20"/>
          <w:spacing w:val="-2"/>
        </w:rPr>
        <w:t> </w:t>
      </w:r>
      <w:r>
        <w:rPr>
          <w:color w:val="231F20"/>
        </w:rPr>
        <w:t>A4.2).</w:t>
      </w:r>
      <w:r>
        <w:rPr>
          <w:color w:val="231F20"/>
          <w:spacing w:val="-2"/>
        </w:rPr>
        <w:t> </w:t>
      </w:r>
      <w:r>
        <w:rPr>
          <w:color w:val="231F20"/>
        </w:rPr>
        <w:t>Geo- </w:t>
      </w:r>
      <w:r>
        <w:rPr>
          <w:color w:val="231F20"/>
          <w:spacing w:val="-2"/>
        </w:rPr>
        <w:t>graphical</w:t>
      </w:r>
      <w:r>
        <w:rPr>
          <w:color w:val="231F20"/>
          <w:spacing w:val="-12"/>
        </w:rPr>
        <w:t> </w:t>
      </w:r>
      <w:r>
        <w:rPr>
          <w:color w:val="231F20"/>
          <w:spacing w:val="-2"/>
        </w:rPr>
        <w:t>coverage</w:t>
      </w:r>
      <w:r>
        <w:rPr>
          <w:color w:val="231F20"/>
          <w:spacing w:val="-11"/>
        </w:rPr>
        <w:t> </w:t>
      </w:r>
      <w:r>
        <w:rPr>
          <w:color w:val="231F20"/>
          <w:spacing w:val="-2"/>
        </w:rPr>
        <w:t>is</w:t>
      </w:r>
      <w:r>
        <w:rPr>
          <w:color w:val="231F20"/>
          <w:spacing w:val="-11"/>
        </w:rPr>
        <w:t> </w:t>
      </w:r>
      <w:r>
        <w:rPr>
          <w:color w:val="231F20"/>
          <w:spacing w:val="-2"/>
        </w:rPr>
        <w:t>lower</w:t>
      </w:r>
      <w:r>
        <w:rPr>
          <w:color w:val="231F20"/>
          <w:spacing w:val="-11"/>
        </w:rPr>
        <w:t> </w:t>
      </w:r>
      <w:r>
        <w:rPr>
          <w:color w:val="231F20"/>
          <w:spacing w:val="-2"/>
        </w:rPr>
        <w:t>for</w:t>
      </w:r>
      <w:r>
        <w:rPr>
          <w:color w:val="231F20"/>
          <w:spacing w:val="-11"/>
        </w:rPr>
        <w:t> </w:t>
      </w:r>
      <w:r>
        <w:rPr>
          <w:color w:val="231F20"/>
          <w:spacing w:val="-2"/>
        </w:rPr>
        <w:t>Cargo</w:t>
      </w:r>
      <w:r>
        <w:rPr>
          <w:color w:val="231F20"/>
          <w:spacing w:val="-11"/>
        </w:rPr>
        <w:t> </w:t>
      </w:r>
      <w:r>
        <w:rPr>
          <w:color w:val="231F20"/>
          <w:spacing w:val="-2"/>
        </w:rPr>
        <w:t>iQ</w:t>
      </w:r>
      <w:r>
        <w:rPr>
          <w:color w:val="231F20"/>
          <w:spacing w:val="-11"/>
        </w:rPr>
        <w:t> </w:t>
      </w:r>
      <w:r>
        <w:rPr>
          <w:color w:val="231F20"/>
          <w:spacing w:val="-2"/>
        </w:rPr>
        <w:t>than </w:t>
      </w:r>
      <w:r>
        <w:rPr>
          <w:color w:val="231F20"/>
        </w:rPr>
        <w:t>for the UPU.</w:t>
      </w:r>
    </w:p>
    <w:p>
      <w:pPr>
        <w:pStyle w:val="BodyText"/>
        <w:spacing w:before="31"/>
      </w:pPr>
    </w:p>
    <w:p>
      <w:pPr>
        <w:spacing w:before="0"/>
        <w:ind w:left="1200" w:right="0" w:firstLine="0"/>
        <w:jc w:val="both"/>
        <w:rPr>
          <w:rFonts w:ascii="Arial"/>
          <w:b/>
          <w:sz w:val="20"/>
        </w:rPr>
      </w:pPr>
      <w:r>
        <w:rPr>
          <w:rFonts w:ascii="Arial"/>
          <w:b/>
          <w:color w:val="231F20"/>
          <w:w w:val="105"/>
          <w:sz w:val="20"/>
        </w:rPr>
        <w:t>Universal</w:t>
      </w:r>
      <w:r>
        <w:rPr>
          <w:rFonts w:ascii="Arial"/>
          <w:b/>
          <w:color w:val="231F20"/>
          <w:spacing w:val="1"/>
          <w:w w:val="105"/>
          <w:sz w:val="20"/>
        </w:rPr>
        <w:t> </w:t>
      </w:r>
      <w:r>
        <w:rPr>
          <w:rFonts w:ascii="Arial"/>
          <w:b/>
          <w:color w:val="231F20"/>
          <w:w w:val="105"/>
          <w:sz w:val="20"/>
        </w:rPr>
        <w:t>Postal</w:t>
      </w:r>
      <w:r>
        <w:rPr>
          <w:rFonts w:ascii="Arial"/>
          <w:b/>
          <w:color w:val="231F20"/>
          <w:spacing w:val="1"/>
          <w:w w:val="105"/>
          <w:sz w:val="20"/>
        </w:rPr>
        <w:t> </w:t>
      </w:r>
      <w:r>
        <w:rPr>
          <w:rFonts w:ascii="Arial"/>
          <w:b/>
          <w:color w:val="231F20"/>
          <w:spacing w:val="-4"/>
          <w:w w:val="105"/>
          <w:sz w:val="20"/>
        </w:rPr>
        <w:t>Union</w:t>
      </w:r>
    </w:p>
    <w:p>
      <w:pPr>
        <w:pStyle w:val="BodyText"/>
        <w:spacing w:before="72"/>
        <w:rPr>
          <w:rFonts w:ascii="Arial"/>
          <w:b/>
          <w:sz w:val="20"/>
        </w:rPr>
      </w:pPr>
    </w:p>
    <w:p>
      <w:pPr>
        <w:pStyle w:val="BodyText"/>
        <w:spacing w:line="268" w:lineRule="auto"/>
        <w:ind w:left="1200"/>
        <w:jc w:val="both"/>
      </w:pPr>
      <w:r>
        <w:rPr>
          <w:color w:val="231F20"/>
        </w:rPr>
        <w:t>Most cross-border e-commerce depends on </w:t>
      </w:r>
      <w:r>
        <w:rPr>
          <w:color w:val="231F20"/>
          <w:spacing w:val="-4"/>
        </w:rPr>
        <w:t>postal</w:t>
      </w:r>
      <w:r>
        <w:rPr>
          <w:color w:val="231F20"/>
          <w:spacing w:val="-7"/>
        </w:rPr>
        <w:t> </w:t>
      </w:r>
      <w:r>
        <w:rPr>
          <w:color w:val="231F20"/>
          <w:spacing w:val="-4"/>
        </w:rPr>
        <w:t>parcel</w:t>
      </w:r>
      <w:r>
        <w:rPr>
          <w:color w:val="231F20"/>
          <w:spacing w:val="-7"/>
        </w:rPr>
        <w:t> </w:t>
      </w:r>
      <w:r>
        <w:rPr>
          <w:color w:val="231F20"/>
          <w:spacing w:val="-4"/>
        </w:rPr>
        <w:t>services</w:t>
      </w:r>
      <w:r>
        <w:rPr>
          <w:color w:val="231F20"/>
          <w:spacing w:val="-7"/>
        </w:rPr>
        <w:t> </w:t>
      </w:r>
      <w:r>
        <w:rPr>
          <w:color w:val="231F20"/>
          <w:spacing w:val="-4"/>
        </w:rPr>
        <w:t>provided</w:t>
      </w:r>
      <w:r>
        <w:rPr>
          <w:color w:val="231F20"/>
          <w:spacing w:val="-7"/>
        </w:rPr>
        <w:t> </w:t>
      </w:r>
      <w:r>
        <w:rPr>
          <w:color w:val="231F20"/>
          <w:spacing w:val="-4"/>
        </w:rPr>
        <w:t>by</w:t>
      </w:r>
      <w:r>
        <w:rPr>
          <w:color w:val="231F20"/>
          <w:spacing w:val="-7"/>
        </w:rPr>
        <w:t> </w:t>
      </w:r>
      <w:r>
        <w:rPr>
          <w:color w:val="231F20"/>
          <w:spacing w:val="-4"/>
        </w:rPr>
        <w:t>UPU</w:t>
      </w:r>
      <w:r>
        <w:rPr>
          <w:color w:val="231F20"/>
          <w:spacing w:val="-7"/>
        </w:rPr>
        <w:t> </w:t>
      </w:r>
      <w:r>
        <w:rPr>
          <w:color w:val="231F20"/>
          <w:spacing w:val="-4"/>
        </w:rPr>
        <w:t>mem- </w:t>
      </w:r>
      <w:r>
        <w:rPr>
          <w:color w:val="231F20"/>
          <w:spacing w:val="-2"/>
        </w:rPr>
        <w:t>bers</w:t>
      </w:r>
      <w:r>
        <w:rPr>
          <w:color w:val="231F20"/>
          <w:spacing w:val="-12"/>
        </w:rPr>
        <w:t> </w:t>
      </w:r>
      <w:r>
        <w:rPr>
          <w:color w:val="231F20"/>
          <w:spacing w:val="-2"/>
        </w:rPr>
        <w:t>or</w:t>
      </w:r>
      <w:r>
        <w:rPr>
          <w:color w:val="231F20"/>
          <w:spacing w:val="-11"/>
        </w:rPr>
        <w:t> </w:t>
      </w:r>
      <w:r>
        <w:rPr>
          <w:color w:val="231F20"/>
          <w:spacing w:val="-2"/>
        </w:rPr>
        <w:t>global</w:t>
      </w:r>
      <w:r>
        <w:rPr>
          <w:color w:val="231F20"/>
          <w:spacing w:val="-11"/>
        </w:rPr>
        <w:t> </w:t>
      </w:r>
      <w:r>
        <w:rPr>
          <w:color w:val="231F20"/>
          <w:spacing w:val="-2"/>
        </w:rPr>
        <w:t>express</w:t>
      </w:r>
      <w:r>
        <w:rPr>
          <w:color w:val="231F20"/>
          <w:spacing w:val="-11"/>
        </w:rPr>
        <w:t> </w:t>
      </w:r>
      <w:r>
        <w:rPr>
          <w:color w:val="231F20"/>
          <w:spacing w:val="-2"/>
        </w:rPr>
        <w:t>operators</w:t>
      </w:r>
      <w:r>
        <w:rPr>
          <w:color w:val="231F20"/>
          <w:spacing w:val="-11"/>
        </w:rPr>
        <w:t> </w:t>
      </w:r>
      <w:r>
        <w:rPr>
          <w:color w:val="231F20"/>
          <w:spacing w:val="-2"/>
        </w:rPr>
        <w:t>(for</w:t>
      </w:r>
      <w:r>
        <w:rPr>
          <w:color w:val="231F20"/>
          <w:spacing w:val="-11"/>
        </w:rPr>
        <w:t> </w:t>
      </w:r>
      <w:r>
        <w:rPr>
          <w:color w:val="231F20"/>
          <w:spacing w:val="-2"/>
        </w:rPr>
        <w:t>example, </w:t>
      </w:r>
      <w:r>
        <w:rPr>
          <w:color w:val="231F20"/>
        </w:rPr>
        <w:t>DHL,</w:t>
      </w:r>
      <w:r>
        <w:rPr>
          <w:color w:val="231F20"/>
          <w:spacing w:val="-14"/>
        </w:rPr>
        <w:t> </w:t>
      </w:r>
      <w:r>
        <w:rPr>
          <w:color w:val="231F20"/>
        </w:rPr>
        <w:t>FedEx,</w:t>
      </w:r>
      <w:r>
        <w:rPr>
          <w:color w:val="231F20"/>
          <w:spacing w:val="-13"/>
        </w:rPr>
        <w:t> </w:t>
      </w:r>
      <w:r>
        <w:rPr>
          <w:color w:val="231F20"/>
        </w:rPr>
        <w:t>and</w:t>
      </w:r>
      <w:r>
        <w:rPr>
          <w:color w:val="231F20"/>
          <w:spacing w:val="-13"/>
        </w:rPr>
        <w:t> </w:t>
      </w:r>
      <w:r>
        <w:rPr>
          <w:color w:val="231F20"/>
        </w:rPr>
        <w:t>UPS).</w:t>
      </w:r>
      <w:r>
        <w:rPr>
          <w:color w:val="231F20"/>
          <w:spacing w:val="-13"/>
        </w:rPr>
        <w:t> </w:t>
      </w:r>
      <w:r>
        <w:rPr>
          <w:color w:val="231F20"/>
        </w:rPr>
        <w:t>UPU</w:t>
      </w:r>
      <w:r>
        <w:rPr>
          <w:color w:val="231F20"/>
          <w:spacing w:val="-13"/>
        </w:rPr>
        <w:t> </w:t>
      </w:r>
      <w:r>
        <w:rPr>
          <w:color w:val="231F20"/>
        </w:rPr>
        <w:t>members</w:t>
      </w:r>
      <w:r>
        <w:rPr>
          <w:color w:val="231F20"/>
          <w:spacing w:val="-13"/>
        </w:rPr>
        <w:t> </w:t>
      </w:r>
      <w:r>
        <w:rPr>
          <w:color w:val="231F20"/>
        </w:rPr>
        <w:t>han- </w:t>
      </w:r>
      <w:r>
        <w:rPr>
          <w:color w:val="231F20"/>
          <w:w w:val="90"/>
        </w:rPr>
        <w:t>dle two-thirds of letter-parcel deliveries (up to 2 kilograms) across borders.</w:t>
      </w:r>
      <w:r>
        <w:rPr>
          <w:color w:val="231F20"/>
          <w:w w:val="90"/>
          <w:position w:val="7"/>
          <w:sz w:val="14"/>
        </w:rPr>
        <w:t>2</w:t>
      </w:r>
      <w:r>
        <w:rPr>
          <w:color w:val="231F20"/>
          <w:spacing w:val="30"/>
          <w:position w:val="7"/>
          <w:sz w:val="14"/>
        </w:rPr>
        <w:t> </w:t>
      </w:r>
      <w:r>
        <w:rPr>
          <w:color w:val="231F20"/>
          <w:w w:val="90"/>
        </w:rPr>
        <w:t>Therefore, informa- tion</w:t>
      </w:r>
      <w:r>
        <w:rPr>
          <w:color w:val="231F20"/>
          <w:spacing w:val="-1"/>
          <w:w w:val="90"/>
        </w:rPr>
        <w:t> </w:t>
      </w:r>
      <w:r>
        <w:rPr>
          <w:color w:val="231F20"/>
          <w:w w:val="90"/>
        </w:rPr>
        <w:t>collected</w:t>
      </w:r>
      <w:r>
        <w:rPr>
          <w:color w:val="231F20"/>
          <w:spacing w:val="-1"/>
          <w:w w:val="90"/>
        </w:rPr>
        <w:t> </w:t>
      </w:r>
      <w:r>
        <w:rPr>
          <w:color w:val="231F20"/>
          <w:w w:val="90"/>
        </w:rPr>
        <w:t>by</w:t>
      </w:r>
      <w:r>
        <w:rPr>
          <w:color w:val="231F20"/>
          <w:spacing w:val="-1"/>
          <w:w w:val="90"/>
        </w:rPr>
        <w:t> </w:t>
      </w:r>
      <w:r>
        <w:rPr>
          <w:color w:val="231F20"/>
          <w:w w:val="90"/>
        </w:rPr>
        <w:t>UPU</w:t>
      </w:r>
      <w:r>
        <w:rPr>
          <w:color w:val="231F20"/>
          <w:spacing w:val="-1"/>
          <w:w w:val="90"/>
        </w:rPr>
        <w:t> </w:t>
      </w:r>
      <w:r>
        <w:rPr>
          <w:color w:val="231F20"/>
          <w:w w:val="90"/>
        </w:rPr>
        <w:t>is</w:t>
      </w:r>
      <w:r>
        <w:rPr>
          <w:color w:val="231F20"/>
          <w:spacing w:val="-1"/>
          <w:w w:val="90"/>
        </w:rPr>
        <w:t> </w:t>
      </w:r>
      <w:r>
        <w:rPr>
          <w:color w:val="231F20"/>
          <w:w w:val="90"/>
        </w:rPr>
        <w:t>a</w:t>
      </w:r>
      <w:r>
        <w:rPr>
          <w:color w:val="231F20"/>
          <w:spacing w:val="-1"/>
          <w:w w:val="90"/>
        </w:rPr>
        <w:t> </w:t>
      </w:r>
      <w:r>
        <w:rPr>
          <w:color w:val="231F20"/>
          <w:w w:val="90"/>
        </w:rPr>
        <w:t>source</w:t>
      </w:r>
      <w:r>
        <w:rPr>
          <w:color w:val="231F20"/>
          <w:spacing w:val="-1"/>
          <w:w w:val="90"/>
        </w:rPr>
        <w:t> </w:t>
      </w:r>
      <w:r>
        <w:rPr>
          <w:color w:val="231F20"/>
          <w:w w:val="90"/>
        </w:rPr>
        <w:t>of</w:t>
      </w:r>
      <w:r>
        <w:rPr>
          <w:color w:val="231F20"/>
          <w:spacing w:val="-1"/>
          <w:w w:val="90"/>
        </w:rPr>
        <w:t> </w:t>
      </w:r>
      <w:r>
        <w:rPr>
          <w:color w:val="231F20"/>
          <w:w w:val="90"/>
        </w:rPr>
        <w:t>comprehen- </w:t>
      </w:r>
      <w:r>
        <w:rPr>
          <w:color w:val="231F20"/>
          <w:spacing w:val="-4"/>
        </w:rPr>
        <w:t>sive</w:t>
      </w:r>
      <w:r>
        <w:rPr>
          <w:color w:val="231F20"/>
          <w:spacing w:val="-6"/>
        </w:rPr>
        <w:t> </w:t>
      </w:r>
      <w:r>
        <w:rPr>
          <w:color w:val="231F20"/>
          <w:spacing w:val="-4"/>
        </w:rPr>
        <w:t>data</w:t>
      </w:r>
      <w:r>
        <w:rPr>
          <w:color w:val="231F20"/>
          <w:spacing w:val="-6"/>
        </w:rPr>
        <w:t> </w:t>
      </w:r>
      <w:r>
        <w:rPr>
          <w:color w:val="231F20"/>
          <w:spacing w:val="-4"/>
        </w:rPr>
        <w:t>for</w:t>
      </w:r>
      <w:r>
        <w:rPr>
          <w:color w:val="231F20"/>
          <w:spacing w:val="-6"/>
        </w:rPr>
        <w:t> </w:t>
      </w:r>
      <w:r>
        <w:rPr>
          <w:color w:val="231F20"/>
          <w:spacing w:val="-4"/>
        </w:rPr>
        <w:t>more</w:t>
      </w:r>
      <w:r>
        <w:rPr>
          <w:color w:val="231F20"/>
          <w:spacing w:val="-6"/>
        </w:rPr>
        <w:t> </w:t>
      </w:r>
      <w:r>
        <w:rPr>
          <w:color w:val="231F20"/>
          <w:spacing w:val="-4"/>
        </w:rPr>
        <w:t>than</w:t>
      </w:r>
      <w:r>
        <w:rPr>
          <w:color w:val="231F20"/>
          <w:spacing w:val="-6"/>
        </w:rPr>
        <w:t> </w:t>
      </w:r>
      <w:r>
        <w:rPr>
          <w:color w:val="231F20"/>
          <w:spacing w:val="-4"/>
        </w:rPr>
        <w:t>190</w:t>
      </w:r>
      <w:r>
        <w:rPr>
          <w:color w:val="231F20"/>
          <w:spacing w:val="-6"/>
        </w:rPr>
        <w:t> </w:t>
      </w:r>
      <w:r>
        <w:rPr>
          <w:color w:val="231F20"/>
          <w:spacing w:val="-4"/>
        </w:rPr>
        <w:t>member</w:t>
      </w:r>
      <w:r>
        <w:rPr>
          <w:color w:val="231F20"/>
          <w:spacing w:val="-6"/>
        </w:rPr>
        <w:t> </w:t>
      </w:r>
      <w:r>
        <w:rPr>
          <w:color w:val="231F20"/>
          <w:spacing w:val="-4"/>
        </w:rPr>
        <w:t>countries </w:t>
      </w:r>
      <w:r>
        <w:rPr>
          <w:color w:val="231F20"/>
          <w:w w:val="90"/>
        </w:rPr>
        <w:t>and probably the best unified source of informa- </w:t>
      </w:r>
      <w:r>
        <w:rPr>
          <w:color w:val="231F20"/>
        </w:rPr>
        <w:t>tion on e-commerce trade.</w:t>
      </w:r>
    </w:p>
    <w:p>
      <w:pPr>
        <w:pStyle w:val="BodyText"/>
        <w:spacing w:line="268" w:lineRule="auto"/>
        <w:ind w:left="1200" w:firstLine="300"/>
        <w:jc w:val="both"/>
      </w:pPr>
      <w:r>
        <w:rPr>
          <w:color w:val="231F20"/>
        </w:rPr>
        <w:t>UPU maintains technical standards and </w:t>
      </w:r>
      <w:r>
        <w:rPr>
          <w:color w:val="231F20"/>
          <w:w w:val="90"/>
        </w:rPr>
        <w:t>EDI</w:t>
      </w:r>
      <w:r>
        <w:rPr>
          <w:color w:val="231F20"/>
          <w:spacing w:val="-6"/>
          <w:w w:val="90"/>
        </w:rPr>
        <w:t> </w:t>
      </w:r>
      <w:r>
        <w:rPr>
          <w:color w:val="231F20"/>
          <w:w w:val="90"/>
        </w:rPr>
        <w:t>message</w:t>
      </w:r>
      <w:r>
        <w:rPr>
          <w:color w:val="231F20"/>
          <w:spacing w:val="-6"/>
          <w:w w:val="90"/>
        </w:rPr>
        <w:t> </w:t>
      </w:r>
      <w:r>
        <w:rPr>
          <w:color w:val="231F20"/>
          <w:w w:val="90"/>
        </w:rPr>
        <w:t>specifications</w:t>
      </w:r>
      <w:r>
        <w:rPr>
          <w:color w:val="231F20"/>
          <w:spacing w:val="-6"/>
          <w:w w:val="90"/>
        </w:rPr>
        <w:t> </w:t>
      </w:r>
      <w:r>
        <w:rPr>
          <w:color w:val="231F20"/>
          <w:w w:val="90"/>
        </w:rPr>
        <w:t>used</w:t>
      </w:r>
      <w:r>
        <w:rPr>
          <w:color w:val="231F20"/>
          <w:spacing w:val="-6"/>
          <w:w w:val="90"/>
        </w:rPr>
        <w:t> </w:t>
      </w:r>
      <w:r>
        <w:rPr>
          <w:color w:val="231F20"/>
          <w:w w:val="90"/>
        </w:rPr>
        <w:t>in</w:t>
      </w:r>
      <w:r>
        <w:rPr>
          <w:color w:val="231F20"/>
          <w:spacing w:val="-6"/>
          <w:w w:val="90"/>
        </w:rPr>
        <w:t> </w:t>
      </w:r>
      <w:r>
        <w:rPr>
          <w:color w:val="231F20"/>
          <w:w w:val="90"/>
        </w:rPr>
        <w:t>the</w:t>
      </w:r>
      <w:r>
        <w:rPr>
          <w:color w:val="231F20"/>
          <w:spacing w:val="-6"/>
          <w:w w:val="90"/>
        </w:rPr>
        <w:t> </w:t>
      </w:r>
      <w:r>
        <w:rPr>
          <w:color w:val="231F20"/>
          <w:w w:val="90"/>
        </w:rPr>
        <w:t>exchange </w:t>
      </w:r>
      <w:r>
        <w:rPr>
          <w:color w:val="231F20"/>
          <w:spacing w:val="-4"/>
        </w:rPr>
        <w:t>of</w:t>
      </w:r>
      <w:r>
        <w:rPr>
          <w:color w:val="231F20"/>
          <w:spacing w:val="-7"/>
        </w:rPr>
        <w:t> </w:t>
      </w:r>
      <w:r>
        <w:rPr>
          <w:color w:val="231F20"/>
          <w:spacing w:val="-4"/>
        </w:rPr>
        <w:t>electronic</w:t>
      </w:r>
      <w:r>
        <w:rPr>
          <w:color w:val="231F20"/>
          <w:spacing w:val="-7"/>
        </w:rPr>
        <w:t> </w:t>
      </w:r>
      <w:r>
        <w:rPr>
          <w:color w:val="231F20"/>
          <w:spacing w:val="-4"/>
        </w:rPr>
        <w:t>information</w:t>
      </w:r>
      <w:r>
        <w:rPr>
          <w:color w:val="231F20"/>
          <w:spacing w:val="-7"/>
        </w:rPr>
        <w:t> </w:t>
      </w:r>
      <w:r>
        <w:rPr>
          <w:color w:val="231F20"/>
          <w:spacing w:val="-4"/>
        </w:rPr>
        <w:t>between</w:t>
      </w:r>
      <w:r>
        <w:rPr>
          <w:color w:val="231F20"/>
          <w:spacing w:val="-7"/>
        </w:rPr>
        <w:t> </w:t>
      </w:r>
      <w:r>
        <w:rPr>
          <w:color w:val="231F20"/>
          <w:spacing w:val="-4"/>
        </w:rPr>
        <w:t>postal</w:t>
      </w:r>
      <w:r>
        <w:rPr>
          <w:color w:val="231F20"/>
          <w:spacing w:val="-7"/>
        </w:rPr>
        <w:t> </w:t>
      </w:r>
      <w:r>
        <w:rPr>
          <w:color w:val="231F20"/>
          <w:spacing w:val="-4"/>
        </w:rPr>
        <w:t>serv- ices. To exchange information between mem- </w:t>
      </w:r>
      <w:r>
        <w:rPr>
          <w:color w:val="231F20"/>
          <w:w w:val="90"/>
        </w:rPr>
        <w:t>bers’ postal services, UPU maintains EDI data- bases with records on volumes, frequencies, key </w:t>
      </w:r>
      <w:r>
        <w:rPr>
          <w:color w:val="231F20"/>
          <w:spacing w:val="-4"/>
        </w:rPr>
        <w:t>cross-border</w:t>
      </w:r>
      <w:r>
        <w:rPr>
          <w:color w:val="231F20"/>
          <w:spacing w:val="-9"/>
        </w:rPr>
        <w:t> </w:t>
      </w:r>
      <w:r>
        <w:rPr>
          <w:color w:val="231F20"/>
          <w:spacing w:val="-4"/>
        </w:rPr>
        <w:t>activities,</w:t>
      </w:r>
      <w:r>
        <w:rPr>
          <w:color w:val="231F20"/>
          <w:spacing w:val="-9"/>
        </w:rPr>
        <w:t> </w:t>
      </w:r>
      <w:r>
        <w:rPr>
          <w:color w:val="231F20"/>
          <w:spacing w:val="-4"/>
        </w:rPr>
        <w:t>and</w:t>
      </w:r>
      <w:r>
        <w:rPr>
          <w:color w:val="231F20"/>
          <w:spacing w:val="-9"/>
        </w:rPr>
        <w:t> </w:t>
      </w:r>
      <w:r>
        <w:rPr>
          <w:color w:val="231F20"/>
          <w:spacing w:val="-4"/>
        </w:rPr>
        <w:t>other</w:t>
      </w:r>
      <w:r>
        <w:rPr>
          <w:color w:val="231F20"/>
          <w:spacing w:val="-9"/>
        </w:rPr>
        <w:t> </w:t>
      </w:r>
      <w:r>
        <w:rPr>
          <w:color w:val="231F20"/>
          <w:spacing w:val="-4"/>
        </w:rPr>
        <w:t>tracking</w:t>
      </w:r>
      <w:r>
        <w:rPr>
          <w:color w:val="231F20"/>
          <w:spacing w:val="-9"/>
        </w:rPr>
        <w:t> </w:t>
      </w:r>
      <w:r>
        <w:rPr>
          <w:color w:val="231F20"/>
          <w:spacing w:val="-4"/>
        </w:rPr>
        <w:t>data </w:t>
      </w:r>
      <w:r>
        <w:rPr>
          <w:color w:val="231F20"/>
          <w:w w:val="90"/>
        </w:rPr>
        <w:t>of postal items. This information is available via the</w:t>
      </w:r>
      <w:r>
        <w:rPr>
          <w:color w:val="231F20"/>
          <w:spacing w:val="-6"/>
          <w:w w:val="90"/>
        </w:rPr>
        <w:t> </w:t>
      </w:r>
      <w:r>
        <w:rPr>
          <w:color w:val="231F20"/>
          <w:w w:val="90"/>
        </w:rPr>
        <w:t>Express</w:t>
      </w:r>
      <w:r>
        <w:rPr>
          <w:color w:val="231F20"/>
          <w:spacing w:val="-6"/>
          <w:w w:val="90"/>
        </w:rPr>
        <w:t> </w:t>
      </w:r>
      <w:r>
        <w:rPr>
          <w:color w:val="231F20"/>
          <w:w w:val="90"/>
        </w:rPr>
        <w:t>Mail</w:t>
      </w:r>
      <w:r>
        <w:rPr>
          <w:color w:val="231F20"/>
          <w:spacing w:val="-6"/>
          <w:w w:val="90"/>
        </w:rPr>
        <w:t> </w:t>
      </w:r>
      <w:r>
        <w:rPr>
          <w:color w:val="231F20"/>
          <w:w w:val="90"/>
        </w:rPr>
        <w:t>Service</w:t>
      </w:r>
      <w:r>
        <w:rPr>
          <w:color w:val="231F20"/>
          <w:spacing w:val="-6"/>
          <w:w w:val="90"/>
        </w:rPr>
        <w:t> </w:t>
      </w:r>
      <w:r>
        <w:rPr>
          <w:color w:val="231F20"/>
          <w:w w:val="90"/>
        </w:rPr>
        <w:t>Events</w:t>
      </w:r>
      <w:r>
        <w:rPr>
          <w:color w:val="231F20"/>
          <w:spacing w:val="-6"/>
          <w:w w:val="90"/>
        </w:rPr>
        <w:t> </w:t>
      </w:r>
      <w:r>
        <w:rPr>
          <w:color w:val="231F20"/>
          <w:w w:val="90"/>
        </w:rPr>
        <w:t>messaging</w:t>
      </w:r>
      <w:r>
        <w:rPr>
          <w:color w:val="231F20"/>
          <w:spacing w:val="-6"/>
          <w:w w:val="90"/>
        </w:rPr>
        <w:t> </w:t>
      </w:r>
      <w:r>
        <w:rPr>
          <w:color w:val="231F20"/>
          <w:w w:val="90"/>
        </w:rPr>
        <w:t>stan- dard,</w:t>
      </w:r>
      <w:r>
        <w:rPr>
          <w:color w:val="231F20"/>
          <w:spacing w:val="-3"/>
          <w:w w:val="90"/>
        </w:rPr>
        <w:t> </w:t>
      </w:r>
      <w:r>
        <w:rPr>
          <w:color w:val="231F20"/>
          <w:w w:val="90"/>
        </w:rPr>
        <w:t>which</w:t>
      </w:r>
      <w:r>
        <w:rPr>
          <w:color w:val="231F20"/>
          <w:spacing w:val="-3"/>
          <w:w w:val="90"/>
        </w:rPr>
        <w:t> </w:t>
      </w:r>
      <w:r>
        <w:rPr>
          <w:color w:val="231F20"/>
          <w:w w:val="90"/>
        </w:rPr>
        <w:t>is</w:t>
      </w:r>
      <w:r>
        <w:rPr>
          <w:color w:val="231F20"/>
          <w:spacing w:val="-3"/>
          <w:w w:val="90"/>
        </w:rPr>
        <w:t> </w:t>
      </w:r>
      <w:r>
        <w:rPr>
          <w:color w:val="231F20"/>
          <w:w w:val="90"/>
        </w:rPr>
        <w:t>used</w:t>
      </w:r>
      <w:r>
        <w:rPr>
          <w:color w:val="231F20"/>
          <w:spacing w:val="-3"/>
          <w:w w:val="90"/>
        </w:rPr>
        <w:t> </w:t>
      </w:r>
      <w:r>
        <w:rPr>
          <w:color w:val="231F20"/>
          <w:w w:val="90"/>
        </w:rPr>
        <w:t>to</w:t>
      </w:r>
      <w:r>
        <w:rPr>
          <w:color w:val="231F20"/>
          <w:spacing w:val="-3"/>
          <w:w w:val="90"/>
        </w:rPr>
        <w:t> </w:t>
      </w:r>
      <w:r>
        <w:rPr>
          <w:color w:val="231F20"/>
          <w:w w:val="90"/>
        </w:rPr>
        <w:t>track</w:t>
      </w:r>
      <w:r>
        <w:rPr>
          <w:color w:val="231F20"/>
          <w:spacing w:val="-3"/>
          <w:w w:val="90"/>
        </w:rPr>
        <w:t> </w:t>
      </w:r>
      <w:r>
        <w:rPr>
          <w:color w:val="231F20"/>
          <w:w w:val="90"/>
        </w:rPr>
        <w:t>parcels</w:t>
      </w:r>
      <w:r>
        <w:rPr>
          <w:color w:val="231F20"/>
          <w:spacing w:val="-3"/>
          <w:w w:val="90"/>
        </w:rPr>
        <w:t> </w:t>
      </w:r>
      <w:r>
        <w:rPr>
          <w:color w:val="231F20"/>
          <w:w w:val="90"/>
        </w:rPr>
        <w:t>(packages</w:t>
      </w:r>
      <w:r>
        <w:rPr>
          <w:color w:val="231F20"/>
          <w:spacing w:val="-3"/>
          <w:w w:val="90"/>
        </w:rPr>
        <w:t> </w:t>
      </w:r>
      <w:r>
        <w:rPr>
          <w:color w:val="231F20"/>
          <w:w w:val="90"/>
        </w:rPr>
        <w:t>up </w:t>
      </w:r>
      <w:r>
        <w:rPr>
          <w:color w:val="231F20"/>
          <w:spacing w:val="-2"/>
        </w:rPr>
        <w:t>to</w:t>
      </w:r>
      <w:r>
        <w:rPr>
          <w:color w:val="231F20"/>
          <w:spacing w:val="-12"/>
        </w:rPr>
        <w:t> </w:t>
      </w:r>
      <w:r>
        <w:rPr>
          <w:color w:val="231F20"/>
          <w:spacing w:val="-2"/>
        </w:rPr>
        <w:t>30</w:t>
      </w:r>
      <w:r>
        <w:rPr>
          <w:color w:val="231F20"/>
          <w:spacing w:val="-11"/>
        </w:rPr>
        <w:t> </w:t>
      </w:r>
      <w:r>
        <w:rPr>
          <w:color w:val="231F20"/>
          <w:spacing w:val="-2"/>
        </w:rPr>
        <w:t>kilograms),</w:t>
      </w:r>
      <w:r>
        <w:rPr>
          <w:color w:val="231F20"/>
          <w:spacing w:val="-11"/>
        </w:rPr>
        <w:t> </w:t>
      </w:r>
      <w:r>
        <w:rPr>
          <w:color w:val="231F20"/>
          <w:spacing w:val="-2"/>
        </w:rPr>
        <w:t>letters</w:t>
      </w:r>
      <w:r>
        <w:rPr>
          <w:color w:val="231F20"/>
          <w:spacing w:val="-11"/>
        </w:rPr>
        <w:t> </w:t>
      </w:r>
      <w:r>
        <w:rPr>
          <w:color w:val="231F20"/>
          <w:spacing w:val="-2"/>
        </w:rPr>
        <w:t>(letter-post</w:t>
      </w:r>
      <w:r>
        <w:rPr>
          <w:color w:val="231F20"/>
          <w:spacing w:val="-11"/>
        </w:rPr>
        <w:t> </w:t>
      </w:r>
      <w:r>
        <w:rPr>
          <w:color w:val="231F20"/>
          <w:spacing w:val="-2"/>
        </w:rPr>
        <w:t>items</w:t>
      </w:r>
      <w:r>
        <w:rPr>
          <w:color w:val="231F20"/>
          <w:spacing w:val="-11"/>
        </w:rPr>
        <w:t> </w:t>
      </w:r>
      <w:r>
        <w:rPr>
          <w:color w:val="231F20"/>
          <w:spacing w:val="-2"/>
        </w:rPr>
        <w:t>and </w:t>
      </w:r>
      <w:r>
        <w:rPr>
          <w:color w:val="231F20"/>
          <w:spacing w:val="-4"/>
        </w:rPr>
        <w:t>packages</w:t>
      </w:r>
      <w:r>
        <w:rPr>
          <w:color w:val="231F20"/>
          <w:spacing w:val="-8"/>
        </w:rPr>
        <w:t> </w:t>
      </w:r>
      <w:r>
        <w:rPr>
          <w:color w:val="231F20"/>
          <w:spacing w:val="-4"/>
        </w:rPr>
        <w:t>up</w:t>
      </w:r>
      <w:r>
        <w:rPr>
          <w:color w:val="231F20"/>
          <w:spacing w:val="-8"/>
        </w:rPr>
        <w:t> </w:t>
      </w:r>
      <w:r>
        <w:rPr>
          <w:color w:val="231F20"/>
          <w:spacing w:val="-4"/>
        </w:rPr>
        <w:t>to</w:t>
      </w:r>
      <w:r>
        <w:rPr>
          <w:color w:val="231F20"/>
          <w:spacing w:val="-8"/>
        </w:rPr>
        <w:t> </w:t>
      </w:r>
      <w:r>
        <w:rPr>
          <w:color w:val="231F20"/>
          <w:spacing w:val="-4"/>
        </w:rPr>
        <w:t>2</w:t>
      </w:r>
      <w:r>
        <w:rPr>
          <w:color w:val="231F20"/>
          <w:spacing w:val="-8"/>
        </w:rPr>
        <w:t> </w:t>
      </w:r>
      <w:r>
        <w:rPr>
          <w:color w:val="231F20"/>
          <w:spacing w:val="-4"/>
        </w:rPr>
        <w:t>kilograms),</w:t>
      </w:r>
      <w:r>
        <w:rPr>
          <w:color w:val="231F20"/>
          <w:spacing w:val="-8"/>
        </w:rPr>
        <w:t> </w:t>
      </w:r>
      <w:r>
        <w:rPr>
          <w:color w:val="231F20"/>
          <w:spacing w:val="-4"/>
        </w:rPr>
        <w:t>and</w:t>
      </w:r>
      <w:r>
        <w:rPr>
          <w:color w:val="231F20"/>
          <w:spacing w:val="-8"/>
        </w:rPr>
        <w:t> </w:t>
      </w:r>
      <w:r>
        <w:rPr>
          <w:color w:val="231F20"/>
          <w:spacing w:val="-4"/>
        </w:rPr>
        <w:t>express</w:t>
      </w:r>
      <w:r>
        <w:rPr>
          <w:color w:val="231F20"/>
          <w:spacing w:val="-8"/>
        </w:rPr>
        <w:t> </w:t>
      </w:r>
      <w:r>
        <w:rPr>
          <w:color w:val="231F20"/>
          <w:spacing w:val="-4"/>
        </w:rPr>
        <w:t>mail </w:t>
      </w:r>
      <w:r>
        <w:rPr>
          <w:color w:val="231F20"/>
        </w:rPr>
        <w:t>flows</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rPr>
        <w:t>UPU</w:t>
      </w:r>
      <w:r>
        <w:rPr>
          <w:color w:val="231F20"/>
          <w:spacing w:val="-12"/>
        </w:rPr>
        <w:t> </w:t>
      </w:r>
      <w:r>
        <w:rPr>
          <w:color w:val="231F20"/>
        </w:rPr>
        <w:t>network</w:t>
      </w:r>
      <w:r>
        <w:rPr>
          <w:color w:val="231F20"/>
          <w:spacing w:val="-12"/>
        </w:rPr>
        <w:t> </w:t>
      </w:r>
      <w:r>
        <w:rPr>
          <w:color w:val="231F20"/>
        </w:rPr>
        <w:t>(table</w:t>
      </w:r>
      <w:r>
        <w:rPr>
          <w:color w:val="231F20"/>
          <w:spacing w:val="-12"/>
        </w:rPr>
        <w:t> </w:t>
      </w:r>
      <w:r>
        <w:rPr>
          <w:color w:val="231F20"/>
        </w:rPr>
        <w:t>A4.1).</w:t>
      </w:r>
    </w:p>
    <w:p>
      <w:pPr>
        <w:pStyle w:val="BodyText"/>
        <w:spacing w:line="268" w:lineRule="auto"/>
        <w:ind w:left="1200" w:firstLine="300"/>
        <w:jc w:val="both"/>
      </w:pPr>
      <w:r>
        <w:rPr>
          <w:color w:val="231F20"/>
          <w:spacing w:val="-4"/>
        </w:rPr>
        <w:t>For</w:t>
      </w:r>
      <w:r>
        <w:rPr>
          <w:color w:val="231F20"/>
          <w:spacing w:val="-8"/>
        </w:rPr>
        <w:t> </w:t>
      </w:r>
      <w:r>
        <w:rPr>
          <w:color w:val="231F20"/>
          <w:spacing w:val="-4"/>
        </w:rPr>
        <w:t>an</w:t>
      </w:r>
      <w:r>
        <w:rPr>
          <w:color w:val="231F20"/>
          <w:spacing w:val="-8"/>
        </w:rPr>
        <w:t> </w:t>
      </w:r>
      <w:r>
        <w:rPr>
          <w:color w:val="231F20"/>
          <w:spacing w:val="-4"/>
        </w:rPr>
        <w:t>e-commerce</w:t>
      </w:r>
      <w:r>
        <w:rPr>
          <w:color w:val="231F20"/>
          <w:spacing w:val="-8"/>
        </w:rPr>
        <w:t> </w:t>
      </w:r>
      <w:r>
        <w:rPr>
          <w:color w:val="231F20"/>
          <w:spacing w:val="-4"/>
        </w:rPr>
        <w:t>item,</w:t>
      </w:r>
      <w:r>
        <w:rPr>
          <w:color w:val="231F20"/>
          <w:spacing w:val="-8"/>
        </w:rPr>
        <w:t> </w:t>
      </w:r>
      <w:r>
        <w:rPr>
          <w:color w:val="231F20"/>
          <w:spacing w:val="-4"/>
        </w:rPr>
        <w:t>after</w:t>
      </w:r>
      <w:r>
        <w:rPr>
          <w:color w:val="231F20"/>
          <w:spacing w:val="-8"/>
        </w:rPr>
        <w:t> </w:t>
      </w:r>
      <w:r>
        <w:rPr>
          <w:color w:val="231F20"/>
          <w:spacing w:val="-4"/>
        </w:rPr>
        <w:t>a</w:t>
      </w:r>
      <w:r>
        <w:rPr>
          <w:color w:val="231F20"/>
          <w:spacing w:val="-8"/>
        </w:rPr>
        <w:t> </w:t>
      </w:r>
      <w:r>
        <w:rPr>
          <w:color w:val="231F20"/>
          <w:spacing w:val="-4"/>
        </w:rPr>
        <w:t>consumer </w:t>
      </w:r>
      <w:r>
        <w:rPr>
          <w:color w:val="231F20"/>
          <w:spacing w:val="-6"/>
        </w:rPr>
        <w:t>places</w:t>
      </w:r>
      <w:r>
        <w:rPr>
          <w:color w:val="231F20"/>
          <w:spacing w:val="-10"/>
        </w:rPr>
        <w:t> </w:t>
      </w:r>
      <w:r>
        <w:rPr>
          <w:color w:val="231F20"/>
          <w:spacing w:val="-6"/>
        </w:rPr>
        <w:t>an</w:t>
      </w:r>
      <w:r>
        <w:rPr>
          <w:color w:val="231F20"/>
          <w:spacing w:val="-7"/>
        </w:rPr>
        <w:t> </w:t>
      </w:r>
      <w:r>
        <w:rPr>
          <w:color w:val="231F20"/>
          <w:spacing w:val="-6"/>
        </w:rPr>
        <w:t>order,</w:t>
      </w:r>
      <w:r>
        <w:rPr>
          <w:color w:val="231F20"/>
          <w:spacing w:val="-7"/>
        </w:rPr>
        <w:t> </w:t>
      </w:r>
      <w:r>
        <w:rPr>
          <w:color w:val="231F20"/>
          <w:spacing w:val="-6"/>
        </w:rPr>
        <w:t>the</w:t>
      </w:r>
      <w:r>
        <w:rPr>
          <w:color w:val="231F20"/>
          <w:spacing w:val="-7"/>
        </w:rPr>
        <w:t> </w:t>
      </w:r>
      <w:r>
        <w:rPr>
          <w:color w:val="231F20"/>
          <w:spacing w:val="-6"/>
        </w:rPr>
        <w:t>shipper</w:t>
      </w:r>
      <w:r>
        <w:rPr>
          <w:color w:val="231F20"/>
          <w:spacing w:val="-7"/>
        </w:rPr>
        <w:t> </w:t>
      </w:r>
      <w:r>
        <w:rPr>
          <w:color w:val="231F20"/>
          <w:spacing w:val="-6"/>
        </w:rPr>
        <w:t>hands</w:t>
      </w:r>
      <w:r>
        <w:rPr>
          <w:color w:val="231F20"/>
          <w:spacing w:val="-7"/>
        </w:rPr>
        <w:t> </w:t>
      </w:r>
      <w:r>
        <w:rPr>
          <w:color w:val="231F20"/>
          <w:spacing w:val="-6"/>
        </w:rPr>
        <w:t>the</w:t>
      </w:r>
      <w:r>
        <w:rPr>
          <w:color w:val="231F20"/>
          <w:spacing w:val="-7"/>
        </w:rPr>
        <w:t> </w:t>
      </w:r>
      <w:r>
        <w:rPr>
          <w:color w:val="231F20"/>
          <w:spacing w:val="-6"/>
        </w:rPr>
        <w:t>item</w:t>
      </w:r>
      <w:r>
        <w:rPr>
          <w:color w:val="231F20"/>
          <w:spacing w:val="-7"/>
        </w:rPr>
        <w:t> </w:t>
      </w:r>
      <w:r>
        <w:rPr>
          <w:color w:val="231F20"/>
          <w:spacing w:val="-6"/>
        </w:rPr>
        <w:t>over </w:t>
      </w:r>
      <w:r>
        <w:rPr>
          <w:color w:val="231F20"/>
          <w:spacing w:val="-2"/>
        </w:rPr>
        <w:t>to</w:t>
      </w:r>
      <w:r>
        <w:rPr>
          <w:color w:val="231F20"/>
          <w:spacing w:val="-11"/>
        </w:rPr>
        <w:t> </w:t>
      </w:r>
      <w:r>
        <w:rPr>
          <w:color w:val="231F20"/>
          <w:spacing w:val="-2"/>
        </w:rPr>
        <w:t>the</w:t>
      </w:r>
      <w:r>
        <w:rPr>
          <w:color w:val="231F20"/>
          <w:spacing w:val="-11"/>
        </w:rPr>
        <w:t> </w:t>
      </w:r>
      <w:r>
        <w:rPr>
          <w:color w:val="231F20"/>
          <w:spacing w:val="-2"/>
        </w:rPr>
        <w:t>origin</w:t>
      </w:r>
      <w:r>
        <w:rPr>
          <w:color w:val="231F20"/>
          <w:spacing w:val="-11"/>
        </w:rPr>
        <w:t> </w:t>
      </w:r>
      <w:r>
        <w:rPr>
          <w:color w:val="231F20"/>
          <w:spacing w:val="-2"/>
        </w:rPr>
        <w:t>post</w:t>
      </w:r>
      <w:r>
        <w:rPr>
          <w:color w:val="231F20"/>
          <w:spacing w:val="-11"/>
        </w:rPr>
        <w:t> </w:t>
      </w:r>
      <w:r>
        <w:rPr>
          <w:color w:val="231F20"/>
          <w:spacing w:val="-2"/>
        </w:rPr>
        <w:t>(event</w:t>
      </w:r>
      <w:r>
        <w:rPr>
          <w:color w:val="231F20"/>
          <w:spacing w:val="-11"/>
        </w:rPr>
        <w:t> </w:t>
      </w:r>
      <w:r>
        <w:rPr>
          <w:color w:val="231F20"/>
          <w:spacing w:val="-2"/>
        </w:rPr>
        <w:t>A</w:t>
      </w:r>
      <w:r>
        <w:rPr>
          <w:color w:val="231F20"/>
          <w:spacing w:val="-11"/>
        </w:rPr>
        <w:t> </w:t>
      </w:r>
      <w:r>
        <w:rPr>
          <w:color w:val="231F20"/>
          <w:spacing w:val="-2"/>
        </w:rPr>
        <w:t>in</w:t>
      </w:r>
      <w:r>
        <w:rPr>
          <w:color w:val="231F20"/>
          <w:spacing w:val="-11"/>
        </w:rPr>
        <w:t> </w:t>
      </w:r>
      <w:r>
        <w:rPr>
          <w:color w:val="231F20"/>
          <w:spacing w:val="-2"/>
        </w:rPr>
        <w:t>table</w:t>
      </w:r>
      <w:r>
        <w:rPr>
          <w:color w:val="231F20"/>
          <w:spacing w:val="-11"/>
        </w:rPr>
        <w:t> </w:t>
      </w:r>
      <w:r>
        <w:rPr>
          <w:color w:val="231F20"/>
          <w:spacing w:val="-2"/>
        </w:rPr>
        <w:t>A4.1).</w:t>
      </w:r>
      <w:r>
        <w:rPr>
          <w:color w:val="231F20"/>
          <w:spacing w:val="-11"/>
        </w:rPr>
        <w:t> </w:t>
      </w:r>
      <w:r>
        <w:rPr>
          <w:color w:val="231F20"/>
          <w:spacing w:val="-2"/>
        </w:rPr>
        <w:t>The </w:t>
      </w:r>
      <w:r>
        <w:rPr>
          <w:color w:val="231F20"/>
          <w:spacing w:val="-6"/>
        </w:rPr>
        <w:t>post</w:t>
      </w:r>
      <w:r>
        <w:rPr>
          <w:color w:val="231F20"/>
          <w:spacing w:val="-8"/>
        </w:rPr>
        <w:t> </w:t>
      </w:r>
      <w:r>
        <w:rPr>
          <w:color w:val="231F20"/>
          <w:spacing w:val="-6"/>
        </w:rPr>
        <w:t>inducts</w:t>
      </w:r>
      <w:r>
        <w:rPr>
          <w:color w:val="231F20"/>
          <w:spacing w:val="-7"/>
        </w:rPr>
        <w:t> </w:t>
      </w:r>
      <w:r>
        <w:rPr>
          <w:color w:val="231F20"/>
          <w:spacing w:val="-6"/>
        </w:rPr>
        <w:t>the</w:t>
      </w:r>
      <w:r>
        <w:rPr>
          <w:color w:val="231F20"/>
          <w:spacing w:val="-7"/>
        </w:rPr>
        <w:t> </w:t>
      </w:r>
      <w:r>
        <w:rPr>
          <w:color w:val="231F20"/>
          <w:spacing w:val="-6"/>
        </w:rPr>
        <w:t>item</w:t>
      </w:r>
      <w:r>
        <w:rPr>
          <w:color w:val="231F20"/>
          <w:spacing w:val="-7"/>
        </w:rPr>
        <w:t> </w:t>
      </w:r>
      <w:r>
        <w:rPr>
          <w:color w:val="231F20"/>
          <w:spacing w:val="-6"/>
        </w:rPr>
        <w:t>into</w:t>
      </w:r>
      <w:r>
        <w:rPr>
          <w:color w:val="231F20"/>
          <w:spacing w:val="-7"/>
        </w:rPr>
        <w:t> </w:t>
      </w:r>
      <w:r>
        <w:rPr>
          <w:color w:val="231F20"/>
          <w:spacing w:val="-6"/>
        </w:rPr>
        <w:t>its</w:t>
      </w:r>
      <w:r>
        <w:rPr>
          <w:color w:val="231F20"/>
          <w:spacing w:val="-7"/>
        </w:rPr>
        <w:t> </w:t>
      </w:r>
      <w:r>
        <w:rPr>
          <w:color w:val="231F20"/>
          <w:spacing w:val="-6"/>
        </w:rPr>
        <w:t>domestic</w:t>
      </w:r>
      <w:r>
        <w:rPr>
          <w:color w:val="231F20"/>
          <w:spacing w:val="-7"/>
        </w:rPr>
        <w:t> </w:t>
      </w:r>
      <w:r>
        <w:rPr>
          <w:color w:val="231F20"/>
          <w:spacing w:val="-6"/>
        </w:rPr>
        <w:t>network, </w:t>
      </w:r>
      <w:r>
        <w:rPr>
          <w:color w:val="231F20"/>
          <w:spacing w:val="-4"/>
        </w:rPr>
        <w:t>where</w:t>
      </w:r>
      <w:r>
        <w:rPr>
          <w:color w:val="231F20"/>
          <w:spacing w:val="-10"/>
        </w:rPr>
        <w:t> </w:t>
      </w:r>
      <w:r>
        <w:rPr>
          <w:color w:val="231F20"/>
          <w:spacing w:val="-4"/>
        </w:rPr>
        <w:t>it</w:t>
      </w:r>
      <w:r>
        <w:rPr>
          <w:color w:val="231F20"/>
          <w:spacing w:val="-9"/>
        </w:rPr>
        <w:t> </w:t>
      </w:r>
      <w:r>
        <w:rPr>
          <w:color w:val="231F20"/>
          <w:spacing w:val="-4"/>
        </w:rPr>
        <w:t>passes</w:t>
      </w:r>
      <w:r>
        <w:rPr>
          <w:color w:val="231F20"/>
          <w:spacing w:val="-9"/>
        </w:rPr>
        <w:t> </w:t>
      </w:r>
      <w:r>
        <w:rPr>
          <w:color w:val="231F20"/>
          <w:spacing w:val="-4"/>
        </w:rPr>
        <w:t>through</w:t>
      </w:r>
      <w:r>
        <w:rPr>
          <w:color w:val="231F20"/>
          <w:spacing w:val="-9"/>
        </w:rPr>
        <w:t> </w:t>
      </w:r>
      <w:r>
        <w:rPr>
          <w:color w:val="231F20"/>
          <w:spacing w:val="-4"/>
        </w:rPr>
        <w:t>several</w:t>
      </w:r>
      <w:r>
        <w:rPr>
          <w:color w:val="231F20"/>
          <w:spacing w:val="-9"/>
        </w:rPr>
        <w:t> </w:t>
      </w:r>
      <w:r>
        <w:rPr>
          <w:color w:val="231F20"/>
          <w:spacing w:val="-4"/>
        </w:rPr>
        <w:t>handling,</w:t>
      </w:r>
      <w:r>
        <w:rPr>
          <w:color w:val="231F20"/>
          <w:spacing w:val="-9"/>
        </w:rPr>
        <w:t> </w:t>
      </w:r>
      <w:r>
        <w:rPr>
          <w:color w:val="231F20"/>
          <w:spacing w:val="-4"/>
        </w:rPr>
        <w:t>sort- </w:t>
      </w:r>
      <w:r>
        <w:rPr>
          <w:color w:val="231F20"/>
        </w:rPr>
        <w:t>ing,</w:t>
      </w:r>
      <w:r>
        <w:rPr>
          <w:color w:val="231F20"/>
          <w:spacing w:val="-14"/>
        </w:rPr>
        <w:t> </w:t>
      </w:r>
      <w:r>
        <w:rPr>
          <w:color w:val="231F20"/>
        </w:rPr>
        <w:t>and</w:t>
      </w:r>
      <w:r>
        <w:rPr>
          <w:color w:val="231F20"/>
          <w:spacing w:val="-13"/>
        </w:rPr>
        <w:t> </w:t>
      </w:r>
      <w:r>
        <w:rPr>
          <w:color w:val="231F20"/>
        </w:rPr>
        <w:t>transport</w:t>
      </w:r>
      <w:r>
        <w:rPr>
          <w:color w:val="231F20"/>
          <w:spacing w:val="-13"/>
        </w:rPr>
        <w:t> </w:t>
      </w:r>
      <w:r>
        <w:rPr>
          <w:color w:val="231F20"/>
        </w:rPr>
        <w:t>processes</w:t>
      </w:r>
      <w:r>
        <w:rPr>
          <w:color w:val="231F20"/>
          <w:spacing w:val="-13"/>
        </w:rPr>
        <w:t> </w:t>
      </w:r>
      <w:r>
        <w:rPr>
          <w:color w:val="231F20"/>
        </w:rPr>
        <w:t>(event</w:t>
      </w:r>
      <w:r>
        <w:rPr>
          <w:color w:val="231F20"/>
          <w:spacing w:val="-13"/>
        </w:rPr>
        <w:t> </w:t>
      </w:r>
      <w:r>
        <w:rPr>
          <w:color w:val="231F20"/>
        </w:rPr>
        <w:t>B).</w:t>
      </w:r>
      <w:r>
        <w:rPr>
          <w:color w:val="231F20"/>
          <w:spacing w:val="-13"/>
        </w:rPr>
        <w:t> </w:t>
      </w:r>
      <w:r>
        <w:rPr>
          <w:color w:val="231F20"/>
        </w:rPr>
        <w:t>At</w:t>
      </w:r>
      <w:r>
        <w:rPr>
          <w:color w:val="231F20"/>
          <w:spacing w:val="-13"/>
        </w:rPr>
        <w:t> </w:t>
      </w:r>
      <w:r>
        <w:rPr>
          <w:color w:val="231F20"/>
        </w:rPr>
        <w:t>the </w:t>
      </w:r>
      <w:r>
        <w:rPr>
          <w:color w:val="231F20"/>
          <w:w w:val="90"/>
        </w:rPr>
        <w:t>origin Office of Exchange, the item is assigned</w:t>
      </w:r>
      <w:r>
        <w:rPr>
          <w:color w:val="231F20"/>
        </w:rPr>
        <w:t> </w:t>
      </w:r>
      <w:r>
        <w:rPr>
          <w:color w:val="231F20"/>
          <w:spacing w:val="-4"/>
        </w:rPr>
        <w:t>to</w:t>
      </w:r>
      <w:r>
        <w:rPr>
          <w:color w:val="231F20"/>
          <w:spacing w:val="-10"/>
        </w:rPr>
        <w:t> </w:t>
      </w:r>
      <w:r>
        <w:rPr>
          <w:color w:val="231F20"/>
          <w:spacing w:val="-4"/>
        </w:rPr>
        <w:t>a</w:t>
      </w:r>
      <w:r>
        <w:rPr>
          <w:color w:val="231F20"/>
          <w:spacing w:val="-9"/>
        </w:rPr>
        <w:t> </w:t>
      </w:r>
      <w:r>
        <w:rPr>
          <w:color w:val="231F20"/>
          <w:spacing w:val="-4"/>
        </w:rPr>
        <w:t>receptacle</w:t>
      </w:r>
      <w:r>
        <w:rPr>
          <w:color w:val="231F20"/>
          <w:spacing w:val="-9"/>
        </w:rPr>
        <w:t> </w:t>
      </w:r>
      <w:r>
        <w:rPr>
          <w:color w:val="231F20"/>
          <w:spacing w:val="-4"/>
        </w:rPr>
        <w:t>for</w:t>
      </w:r>
      <w:r>
        <w:rPr>
          <w:color w:val="231F20"/>
          <w:spacing w:val="-9"/>
        </w:rPr>
        <w:t> </w:t>
      </w:r>
      <w:r>
        <w:rPr>
          <w:color w:val="231F20"/>
          <w:spacing w:val="-4"/>
        </w:rPr>
        <w:t>international</w:t>
      </w:r>
      <w:r>
        <w:rPr>
          <w:color w:val="231F20"/>
          <w:spacing w:val="-9"/>
        </w:rPr>
        <w:t> </w:t>
      </w:r>
      <w:r>
        <w:rPr>
          <w:color w:val="231F20"/>
          <w:spacing w:val="-4"/>
        </w:rPr>
        <w:t>dispatch</w:t>
      </w:r>
      <w:r>
        <w:rPr>
          <w:color w:val="231F20"/>
          <w:spacing w:val="-9"/>
        </w:rPr>
        <w:t> </w:t>
      </w:r>
      <w:r>
        <w:rPr>
          <w:color w:val="231F20"/>
          <w:spacing w:val="-4"/>
        </w:rPr>
        <w:t>to</w:t>
      </w:r>
      <w:r>
        <w:rPr>
          <w:color w:val="231F20"/>
          <w:spacing w:val="-9"/>
        </w:rPr>
        <w:t> </w:t>
      </w:r>
      <w:r>
        <w:rPr>
          <w:color w:val="231F20"/>
          <w:spacing w:val="-5"/>
        </w:rPr>
        <w:t>the</w:t>
      </w:r>
    </w:p>
    <w:p>
      <w:pPr>
        <w:spacing w:line="240" w:lineRule="auto" w:before="0"/>
        <w:rPr>
          <w:sz w:val="20"/>
        </w:rPr>
      </w:pPr>
      <w:r>
        <w:rPr/>
        <w:br w:type="column"/>
      </w:r>
      <w:r>
        <w:rPr>
          <w:sz w:val="20"/>
        </w:rPr>
      </w:r>
    </w:p>
    <w:p>
      <w:pPr>
        <w:pStyle w:val="BodyText"/>
        <w:spacing w:before="145"/>
        <w:rPr>
          <w:sz w:val="20"/>
        </w:rPr>
      </w:pPr>
    </w:p>
    <w:tbl>
      <w:tblPr>
        <w:tblW w:w="0" w:type="auto"/>
        <w:jc w:val="left"/>
        <w:tblInd w:w="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0"/>
        <w:gridCol w:w="5520"/>
      </w:tblGrid>
      <w:tr>
        <w:trPr>
          <w:trHeight w:val="209" w:hRule="atLeast"/>
        </w:trPr>
        <w:tc>
          <w:tcPr>
            <w:tcW w:w="820" w:type="dxa"/>
            <w:tcBorders>
              <w:bottom w:val="single" w:sz="4" w:space="0" w:color="008FDD"/>
            </w:tcBorders>
          </w:tcPr>
          <w:p>
            <w:pPr>
              <w:pStyle w:val="TableParagraph"/>
              <w:spacing w:before="3"/>
              <w:ind w:left="80"/>
              <w:jc w:val="left"/>
              <w:rPr>
                <w:b/>
                <w:sz w:val="14"/>
              </w:rPr>
            </w:pPr>
            <w:r>
              <w:rPr>
                <w:b/>
                <w:color w:val="231F20"/>
                <w:spacing w:val="2"/>
                <w:w w:val="80"/>
                <w:sz w:val="14"/>
              </w:rPr>
              <w:t>Message</w:t>
            </w:r>
            <w:r>
              <w:rPr>
                <w:b/>
                <w:color w:val="231F20"/>
                <w:spacing w:val="7"/>
                <w:sz w:val="14"/>
              </w:rPr>
              <w:t> </w:t>
            </w:r>
            <w:r>
              <w:rPr>
                <w:b/>
                <w:color w:val="231F20"/>
                <w:spacing w:val="-5"/>
                <w:w w:val="95"/>
                <w:sz w:val="14"/>
              </w:rPr>
              <w:t>ID</w:t>
            </w:r>
          </w:p>
        </w:tc>
        <w:tc>
          <w:tcPr>
            <w:tcW w:w="5520" w:type="dxa"/>
            <w:tcBorders>
              <w:bottom w:val="single" w:sz="4" w:space="0" w:color="008FDD"/>
            </w:tcBorders>
          </w:tcPr>
          <w:p>
            <w:pPr>
              <w:pStyle w:val="TableParagraph"/>
              <w:spacing w:before="3"/>
              <w:ind w:left="80"/>
              <w:jc w:val="left"/>
              <w:rPr>
                <w:b/>
                <w:sz w:val="14"/>
              </w:rPr>
            </w:pPr>
            <w:r>
              <w:rPr>
                <w:b/>
                <w:color w:val="231F20"/>
                <w:w w:val="80"/>
                <w:sz w:val="14"/>
              </w:rPr>
              <w:t>Event</w:t>
            </w:r>
            <w:r>
              <w:rPr>
                <w:b/>
                <w:color w:val="231F20"/>
                <w:spacing w:val="-1"/>
                <w:sz w:val="14"/>
              </w:rPr>
              <w:t> </w:t>
            </w:r>
            <w:r>
              <w:rPr>
                <w:b/>
                <w:color w:val="231F20"/>
                <w:spacing w:val="-2"/>
                <w:w w:val="90"/>
                <w:sz w:val="14"/>
              </w:rPr>
              <w:t>description</w:t>
            </w:r>
          </w:p>
        </w:tc>
      </w:tr>
      <w:tr>
        <w:trPr>
          <w:trHeight w:val="254" w:hRule="atLeast"/>
        </w:trPr>
        <w:tc>
          <w:tcPr>
            <w:tcW w:w="6340" w:type="dxa"/>
            <w:gridSpan w:val="2"/>
            <w:tcBorders>
              <w:top w:val="single" w:sz="4" w:space="0" w:color="008FDD"/>
            </w:tcBorders>
          </w:tcPr>
          <w:p>
            <w:pPr>
              <w:pStyle w:val="TableParagraph"/>
              <w:spacing w:before="43"/>
              <w:ind w:left="80"/>
              <w:jc w:val="left"/>
              <w:rPr>
                <w:i/>
                <w:sz w:val="14"/>
              </w:rPr>
            </w:pPr>
            <w:r>
              <w:rPr>
                <w:i/>
                <w:color w:val="231F20"/>
                <w:w w:val="75"/>
                <w:sz w:val="14"/>
              </w:rPr>
              <w:t>Exporting</w:t>
            </w:r>
            <w:r>
              <w:rPr>
                <w:i/>
                <w:color w:val="231F20"/>
                <w:spacing w:val="7"/>
                <w:sz w:val="14"/>
              </w:rPr>
              <w:t> </w:t>
            </w:r>
            <w:r>
              <w:rPr>
                <w:i/>
                <w:color w:val="231F20"/>
                <w:spacing w:val="-2"/>
                <w:w w:val="90"/>
                <w:sz w:val="14"/>
              </w:rPr>
              <w:t>events</w:t>
            </w:r>
          </w:p>
        </w:tc>
      </w:tr>
      <w:tr>
        <w:trPr>
          <w:trHeight w:val="259" w:hRule="atLeast"/>
        </w:trPr>
        <w:tc>
          <w:tcPr>
            <w:tcW w:w="820" w:type="dxa"/>
            <w:shd w:val="clear" w:color="auto" w:fill="D4E3F5"/>
          </w:tcPr>
          <w:p>
            <w:pPr>
              <w:pStyle w:val="TableParagraph"/>
              <w:ind w:left="80"/>
              <w:jc w:val="left"/>
              <w:rPr>
                <w:sz w:val="14"/>
              </w:rPr>
            </w:pPr>
            <w:r>
              <w:rPr>
                <w:color w:val="231F20"/>
                <w:spacing w:val="-10"/>
                <w:w w:val="85"/>
                <w:sz w:val="14"/>
              </w:rPr>
              <w:t>A</w:t>
            </w:r>
          </w:p>
        </w:tc>
        <w:tc>
          <w:tcPr>
            <w:tcW w:w="5520" w:type="dxa"/>
            <w:shd w:val="clear" w:color="auto" w:fill="D4E3F5"/>
          </w:tcPr>
          <w:p>
            <w:pPr>
              <w:pStyle w:val="TableParagraph"/>
              <w:ind w:left="80"/>
              <w:jc w:val="left"/>
              <w:rPr>
                <w:sz w:val="14"/>
              </w:rPr>
            </w:pPr>
            <w:r>
              <w:rPr>
                <w:color w:val="231F20"/>
                <w:spacing w:val="-2"/>
                <w:w w:val="90"/>
                <w:sz w:val="14"/>
              </w:rPr>
              <w:t>Posting/collection</w:t>
            </w:r>
          </w:p>
        </w:tc>
      </w:tr>
      <w:tr>
        <w:trPr>
          <w:trHeight w:val="259" w:hRule="atLeast"/>
        </w:trPr>
        <w:tc>
          <w:tcPr>
            <w:tcW w:w="820" w:type="dxa"/>
          </w:tcPr>
          <w:p>
            <w:pPr>
              <w:pStyle w:val="TableParagraph"/>
              <w:ind w:left="80"/>
              <w:jc w:val="left"/>
              <w:rPr>
                <w:sz w:val="14"/>
              </w:rPr>
            </w:pPr>
            <w:r>
              <w:rPr>
                <w:color w:val="231F20"/>
                <w:spacing w:val="-10"/>
                <w:w w:val="85"/>
                <w:sz w:val="14"/>
              </w:rPr>
              <w:t>B</w:t>
            </w:r>
          </w:p>
        </w:tc>
        <w:tc>
          <w:tcPr>
            <w:tcW w:w="5520" w:type="dxa"/>
          </w:tcPr>
          <w:p>
            <w:pPr>
              <w:pStyle w:val="TableParagraph"/>
              <w:ind w:left="80"/>
              <w:jc w:val="left"/>
              <w:rPr>
                <w:sz w:val="14"/>
              </w:rPr>
            </w:pPr>
            <w:r>
              <w:rPr>
                <w:color w:val="231F20"/>
                <w:w w:val="80"/>
                <w:sz w:val="14"/>
              </w:rPr>
              <w:t>Arrival</w:t>
            </w:r>
            <w:r>
              <w:rPr>
                <w:color w:val="231F20"/>
                <w:spacing w:val="-2"/>
                <w:sz w:val="14"/>
              </w:rPr>
              <w:t> </w:t>
            </w:r>
            <w:r>
              <w:rPr>
                <w:color w:val="231F20"/>
                <w:w w:val="80"/>
                <w:sz w:val="14"/>
              </w:rPr>
              <w:t>at</w:t>
            </w:r>
            <w:r>
              <w:rPr>
                <w:color w:val="231F20"/>
                <w:spacing w:val="-1"/>
                <w:sz w:val="14"/>
              </w:rPr>
              <w:t> </w:t>
            </w:r>
            <w:r>
              <w:rPr>
                <w:color w:val="231F20"/>
                <w:w w:val="80"/>
                <w:sz w:val="14"/>
              </w:rPr>
              <w:t>outwards</w:t>
            </w:r>
            <w:r>
              <w:rPr>
                <w:color w:val="231F20"/>
                <w:spacing w:val="-1"/>
                <w:sz w:val="14"/>
              </w:rPr>
              <w:t> </w:t>
            </w:r>
            <w:r>
              <w:rPr>
                <w:color w:val="231F20"/>
                <w:w w:val="80"/>
                <w:sz w:val="14"/>
              </w:rPr>
              <w:t>office</w:t>
            </w:r>
            <w:r>
              <w:rPr>
                <w:color w:val="231F20"/>
                <w:spacing w:val="-1"/>
                <w:sz w:val="14"/>
              </w:rPr>
              <w:t> </w:t>
            </w:r>
            <w:r>
              <w:rPr>
                <w:color w:val="231F20"/>
                <w:w w:val="80"/>
                <w:sz w:val="14"/>
              </w:rPr>
              <w:t>of</w:t>
            </w:r>
            <w:r>
              <w:rPr>
                <w:color w:val="231F20"/>
                <w:spacing w:val="-1"/>
                <w:sz w:val="14"/>
              </w:rPr>
              <w:t> </w:t>
            </w:r>
            <w:r>
              <w:rPr>
                <w:color w:val="231F20"/>
                <w:spacing w:val="-2"/>
                <w:w w:val="80"/>
                <w:sz w:val="14"/>
              </w:rPr>
              <w:t>exchange</w:t>
            </w:r>
          </w:p>
        </w:tc>
      </w:tr>
      <w:tr>
        <w:trPr>
          <w:trHeight w:val="254" w:hRule="atLeast"/>
        </w:trPr>
        <w:tc>
          <w:tcPr>
            <w:tcW w:w="820" w:type="dxa"/>
            <w:tcBorders>
              <w:bottom w:val="single" w:sz="4" w:space="0" w:color="008FDD"/>
            </w:tcBorders>
            <w:shd w:val="clear" w:color="auto" w:fill="D4E3F5"/>
          </w:tcPr>
          <w:p>
            <w:pPr>
              <w:pStyle w:val="TableParagraph"/>
              <w:ind w:left="80"/>
              <w:jc w:val="left"/>
              <w:rPr>
                <w:sz w:val="14"/>
              </w:rPr>
            </w:pPr>
            <w:r>
              <w:rPr>
                <w:color w:val="231F20"/>
                <w:spacing w:val="-10"/>
                <w:w w:val="80"/>
                <w:sz w:val="14"/>
              </w:rPr>
              <w:t>C</w:t>
            </w:r>
          </w:p>
        </w:tc>
        <w:tc>
          <w:tcPr>
            <w:tcW w:w="5520" w:type="dxa"/>
            <w:tcBorders>
              <w:bottom w:val="single" w:sz="4" w:space="0" w:color="008FDD"/>
            </w:tcBorders>
            <w:shd w:val="clear" w:color="auto" w:fill="D4E3F5"/>
          </w:tcPr>
          <w:p>
            <w:pPr>
              <w:pStyle w:val="TableParagraph"/>
              <w:ind w:left="80"/>
              <w:jc w:val="left"/>
              <w:rPr>
                <w:sz w:val="14"/>
              </w:rPr>
            </w:pPr>
            <w:r>
              <w:rPr>
                <w:color w:val="231F20"/>
                <w:w w:val="80"/>
                <w:sz w:val="14"/>
              </w:rPr>
              <w:t>Departure</w:t>
            </w:r>
            <w:r>
              <w:rPr>
                <w:color w:val="231F20"/>
                <w:sz w:val="14"/>
              </w:rPr>
              <w:t> </w:t>
            </w:r>
            <w:r>
              <w:rPr>
                <w:color w:val="231F20"/>
                <w:w w:val="80"/>
                <w:sz w:val="14"/>
              </w:rPr>
              <w:t>from</w:t>
            </w:r>
            <w:r>
              <w:rPr>
                <w:color w:val="231F20"/>
                <w:sz w:val="14"/>
              </w:rPr>
              <w:t> </w:t>
            </w:r>
            <w:r>
              <w:rPr>
                <w:color w:val="231F20"/>
                <w:w w:val="80"/>
                <w:sz w:val="14"/>
              </w:rPr>
              <w:t>outward</w:t>
            </w:r>
            <w:r>
              <w:rPr>
                <w:color w:val="231F20"/>
                <w:sz w:val="14"/>
              </w:rPr>
              <w:t> </w:t>
            </w:r>
            <w:r>
              <w:rPr>
                <w:color w:val="231F20"/>
                <w:w w:val="80"/>
                <w:sz w:val="14"/>
              </w:rPr>
              <w:t>office</w:t>
            </w:r>
            <w:r>
              <w:rPr>
                <w:color w:val="231F20"/>
                <w:spacing w:val="1"/>
                <w:sz w:val="14"/>
              </w:rPr>
              <w:t> </w:t>
            </w:r>
            <w:r>
              <w:rPr>
                <w:color w:val="231F20"/>
                <w:w w:val="80"/>
                <w:sz w:val="14"/>
              </w:rPr>
              <w:t>of</w:t>
            </w:r>
            <w:r>
              <w:rPr>
                <w:color w:val="231F20"/>
                <w:sz w:val="14"/>
              </w:rPr>
              <w:t> </w:t>
            </w:r>
            <w:r>
              <w:rPr>
                <w:color w:val="231F20"/>
                <w:spacing w:val="-2"/>
                <w:w w:val="80"/>
                <w:sz w:val="14"/>
              </w:rPr>
              <w:t>exchange</w:t>
            </w:r>
          </w:p>
        </w:tc>
      </w:tr>
      <w:tr>
        <w:trPr>
          <w:trHeight w:val="254" w:hRule="atLeast"/>
        </w:trPr>
        <w:tc>
          <w:tcPr>
            <w:tcW w:w="6340" w:type="dxa"/>
            <w:gridSpan w:val="2"/>
            <w:tcBorders>
              <w:top w:val="single" w:sz="4" w:space="0" w:color="008FDD"/>
            </w:tcBorders>
          </w:tcPr>
          <w:p>
            <w:pPr>
              <w:pStyle w:val="TableParagraph"/>
              <w:spacing w:before="43"/>
              <w:ind w:left="80"/>
              <w:jc w:val="left"/>
              <w:rPr>
                <w:i/>
                <w:sz w:val="14"/>
              </w:rPr>
            </w:pPr>
            <w:r>
              <w:rPr>
                <w:i/>
                <w:color w:val="231F20"/>
                <w:w w:val="75"/>
                <w:sz w:val="14"/>
              </w:rPr>
              <w:t>Importing</w:t>
            </w:r>
            <w:r>
              <w:rPr>
                <w:i/>
                <w:color w:val="231F20"/>
                <w:spacing w:val="24"/>
                <w:sz w:val="14"/>
              </w:rPr>
              <w:t> </w:t>
            </w:r>
            <w:r>
              <w:rPr>
                <w:i/>
                <w:color w:val="231F20"/>
                <w:spacing w:val="-2"/>
                <w:w w:val="90"/>
                <w:sz w:val="14"/>
              </w:rPr>
              <w:t>events</w:t>
            </w:r>
          </w:p>
        </w:tc>
      </w:tr>
      <w:tr>
        <w:trPr>
          <w:trHeight w:val="259" w:hRule="atLeast"/>
        </w:trPr>
        <w:tc>
          <w:tcPr>
            <w:tcW w:w="820" w:type="dxa"/>
            <w:shd w:val="clear" w:color="auto" w:fill="D4E3F5"/>
          </w:tcPr>
          <w:p>
            <w:pPr>
              <w:pStyle w:val="TableParagraph"/>
              <w:ind w:left="80"/>
              <w:jc w:val="left"/>
              <w:rPr>
                <w:sz w:val="14"/>
              </w:rPr>
            </w:pPr>
            <w:r>
              <w:rPr>
                <w:color w:val="231F20"/>
                <w:spacing w:val="-10"/>
                <w:w w:val="85"/>
                <w:sz w:val="14"/>
              </w:rPr>
              <w:t>D</w:t>
            </w:r>
          </w:p>
        </w:tc>
        <w:tc>
          <w:tcPr>
            <w:tcW w:w="5520" w:type="dxa"/>
            <w:shd w:val="clear" w:color="auto" w:fill="D4E3F5"/>
          </w:tcPr>
          <w:p>
            <w:pPr>
              <w:pStyle w:val="TableParagraph"/>
              <w:ind w:left="80"/>
              <w:jc w:val="left"/>
              <w:rPr>
                <w:sz w:val="14"/>
              </w:rPr>
            </w:pPr>
            <w:r>
              <w:rPr>
                <w:color w:val="231F20"/>
                <w:w w:val="80"/>
                <w:sz w:val="14"/>
              </w:rPr>
              <w:t>Arrival</w:t>
            </w:r>
            <w:r>
              <w:rPr>
                <w:color w:val="231F20"/>
                <w:spacing w:val="-3"/>
                <w:sz w:val="14"/>
              </w:rPr>
              <w:t> </w:t>
            </w:r>
            <w:r>
              <w:rPr>
                <w:color w:val="231F20"/>
                <w:w w:val="80"/>
                <w:sz w:val="14"/>
              </w:rPr>
              <w:t>at</w:t>
            </w:r>
            <w:r>
              <w:rPr>
                <w:color w:val="231F20"/>
                <w:spacing w:val="-2"/>
                <w:sz w:val="14"/>
              </w:rPr>
              <w:t> </w:t>
            </w:r>
            <w:r>
              <w:rPr>
                <w:color w:val="231F20"/>
                <w:w w:val="80"/>
                <w:sz w:val="14"/>
              </w:rPr>
              <w:t>inward</w:t>
            </w:r>
            <w:r>
              <w:rPr>
                <w:color w:val="231F20"/>
                <w:spacing w:val="-2"/>
                <w:sz w:val="14"/>
              </w:rPr>
              <w:t> </w:t>
            </w:r>
            <w:r>
              <w:rPr>
                <w:color w:val="231F20"/>
                <w:w w:val="80"/>
                <w:sz w:val="14"/>
              </w:rPr>
              <w:t>office</w:t>
            </w:r>
            <w:r>
              <w:rPr>
                <w:color w:val="231F20"/>
                <w:spacing w:val="-2"/>
                <w:sz w:val="14"/>
              </w:rPr>
              <w:t> </w:t>
            </w:r>
            <w:r>
              <w:rPr>
                <w:color w:val="231F20"/>
                <w:w w:val="80"/>
                <w:sz w:val="14"/>
              </w:rPr>
              <w:t>of</w:t>
            </w:r>
            <w:r>
              <w:rPr>
                <w:color w:val="231F20"/>
                <w:spacing w:val="-2"/>
                <w:sz w:val="14"/>
              </w:rPr>
              <w:t> </w:t>
            </w:r>
            <w:r>
              <w:rPr>
                <w:color w:val="231F20"/>
                <w:spacing w:val="-2"/>
                <w:w w:val="80"/>
                <w:sz w:val="14"/>
              </w:rPr>
              <w:t>exchange</w:t>
            </w:r>
          </w:p>
        </w:tc>
      </w:tr>
      <w:tr>
        <w:trPr>
          <w:trHeight w:val="259" w:hRule="atLeast"/>
        </w:trPr>
        <w:tc>
          <w:tcPr>
            <w:tcW w:w="820" w:type="dxa"/>
          </w:tcPr>
          <w:p>
            <w:pPr>
              <w:pStyle w:val="TableParagraph"/>
              <w:ind w:left="80"/>
              <w:jc w:val="left"/>
              <w:rPr>
                <w:sz w:val="14"/>
              </w:rPr>
            </w:pPr>
            <w:r>
              <w:rPr>
                <w:color w:val="231F20"/>
                <w:spacing w:val="-10"/>
                <w:w w:val="75"/>
                <w:sz w:val="14"/>
              </w:rPr>
              <w:t>E</w:t>
            </w:r>
          </w:p>
        </w:tc>
        <w:tc>
          <w:tcPr>
            <w:tcW w:w="5520" w:type="dxa"/>
          </w:tcPr>
          <w:p>
            <w:pPr>
              <w:pStyle w:val="TableParagraph"/>
              <w:ind w:left="80"/>
              <w:jc w:val="left"/>
              <w:rPr>
                <w:sz w:val="14"/>
              </w:rPr>
            </w:pPr>
            <w:r>
              <w:rPr>
                <w:color w:val="231F20"/>
                <w:w w:val="75"/>
                <w:sz w:val="14"/>
              </w:rPr>
              <w:t>Held</w:t>
            </w:r>
            <w:r>
              <w:rPr>
                <w:color w:val="231F20"/>
                <w:spacing w:val="7"/>
                <w:sz w:val="14"/>
              </w:rPr>
              <w:t> </w:t>
            </w:r>
            <w:r>
              <w:rPr>
                <w:color w:val="231F20"/>
                <w:w w:val="75"/>
                <w:sz w:val="14"/>
              </w:rPr>
              <w:t>by</w:t>
            </w:r>
            <w:r>
              <w:rPr>
                <w:color w:val="231F20"/>
                <w:spacing w:val="8"/>
                <w:sz w:val="14"/>
              </w:rPr>
              <w:t> </w:t>
            </w:r>
            <w:r>
              <w:rPr>
                <w:color w:val="231F20"/>
                <w:w w:val="75"/>
                <w:sz w:val="14"/>
              </w:rPr>
              <w:t>import</w:t>
            </w:r>
            <w:r>
              <w:rPr>
                <w:color w:val="231F20"/>
                <w:spacing w:val="8"/>
                <w:sz w:val="14"/>
              </w:rPr>
              <w:t> </w:t>
            </w:r>
            <w:r>
              <w:rPr>
                <w:color w:val="231F20"/>
                <w:spacing w:val="-2"/>
                <w:w w:val="75"/>
                <w:sz w:val="14"/>
              </w:rPr>
              <w:t>customs</w:t>
            </w:r>
          </w:p>
        </w:tc>
      </w:tr>
      <w:tr>
        <w:trPr>
          <w:trHeight w:val="259" w:hRule="atLeast"/>
        </w:trPr>
        <w:tc>
          <w:tcPr>
            <w:tcW w:w="820" w:type="dxa"/>
            <w:shd w:val="clear" w:color="auto" w:fill="D4E3F5"/>
          </w:tcPr>
          <w:p>
            <w:pPr>
              <w:pStyle w:val="TableParagraph"/>
              <w:ind w:left="80"/>
              <w:jc w:val="left"/>
              <w:rPr>
                <w:sz w:val="14"/>
              </w:rPr>
            </w:pPr>
            <w:r>
              <w:rPr>
                <w:color w:val="231F20"/>
                <w:spacing w:val="-10"/>
                <w:w w:val="80"/>
                <w:sz w:val="14"/>
              </w:rPr>
              <w:t>F</w:t>
            </w:r>
          </w:p>
        </w:tc>
        <w:tc>
          <w:tcPr>
            <w:tcW w:w="5520" w:type="dxa"/>
            <w:shd w:val="clear" w:color="auto" w:fill="D4E3F5"/>
          </w:tcPr>
          <w:p>
            <w:pPr>
              <w:pStyle w:val="TableParagraph"/>
              <w:ind w:left="80"/>
              <w:jc w:val="left"/>
              <w:rPr>
                <w:sz w:val="14"/>
              </w:rPr>
            </w:pPr>
            <w:r>
              <w:rPr>
                <w:color w:val="231F20"/>
                <w:w w:val="80"/>
                <w:sz w:val="14"/>
              </w:rPr>
              <w:t>Departure</w:t>
            </w:r>
            <w:r>
              <w:rPr>
                <w:color w:val="231F20"/>
                <w:spacing w:val="-3"/>
                <w:sz w:val="14"/>
              </w:rPr>
              <w:t> </w:t>
            </w:r>
            <w:r>
              <w:rPr>
                <w:color w:val="231F20"/>
                <w:w w:val="80"/>
                <w:sz w:val="14"/>
              </w:rPr>
              <w:t>from</w:t>
            </w:r>
            <w:r>
              <w:rPr>
                <w:color w:val="231F20"/>
                <w:spacing w:val="-1"/>
                <w:sz w:val="14"/>
              </w:rPr>
              <w:t> </w:t>
            </w:r>
            <w:r>
              <w:rPr>
                <w:color w:val="231F20"/>
                <w:w w:val="80"/>
                <w:sz w:val="14"/>
              </w:rPr>
              <w:t>inward</w:t>
            </w:r>
            <w:r>
              <w:rPr>
                <w:color w:val="231F20"/>
                <w:spacing w:val="-1"/>
                <w:sz w:val="14"/>
              </w:rPr>
              <w:t> </w:t>
            </w:r>
            <w:r>
              <w:rPr>
                <w:color w:val="231F20"/>
                <w:w w:val="80"/>
                <w:sz w:val="14"/>
              </w:rPr>
              <w:t>office</w:t>
            </w:r>
            <w:r>
              <w:rPr>
                <w:color w:val="231F20"/>
                <w:spacing w:val="-1"/>
                <w:sz w:val="14"/>
              </w:rPr>
              <w:t> </w:t>
            </w:r>
            <w:r>
              <w:rPr>
                <w:color w:val="231F20"/>
                <w:w w:val="80"/>
                <w:sz w:val="14"/>
              </w:rPr>
              <w:t>of</w:t>
            </w:r>
            <w:r>
              <w:rPr>
                <w:color w:val="231F20"/>
                <w:sz w:val="14"/>
              </w:rPr>
              <w:t> </w:t>
            </w:r>
            <w:r>
              <w:rPr>
                <w:color w:val="231F20"/>
                <w:spacing w:val="-2"/>
                <w:w w:val="80"/>
                <w:sz w:val="14"/>
              </w:rPr>
              <w:t>exchange</w:t>
            </w:r>
          </w:p>
        </w:tc>
      </w:tr>
      <w:tr>
        <w:trPr>
          <w:trHeight w:val="259" w:hRule="atLeast"/>
        </w:trPr>
        <w:tc>
          <w:tcPr>
            <w:tcW w:w="820" w:type="dxa"/>
          </w:tcPr>
          <w:p>
            <w:pPr>
              <w:pStyle w:val="TableParagraph"/>
              <w:ind w:left="80"/>
              <w:jc w:val="left"/>
              <w:rPr>
                <w:sz w:val="14"/>
              </w:rPr>
            </w:pPr>
            <w:r>
              <w:rPr>
                <w:color w:val="231F20"/>
                <w:spacing w:val="-10"/>
                <w:w w:val="80"/>
                <w:sz w:val="14"/>
              </w:rPr>
              <w:t>G</w:t>
            </w:r>
          </w:p>
        </w:tc>
        <w:tc>
          <w:tcPr>
            <w:tcW w:w="5520" w:type="dxa"/>
          </w:tcPr>
          <w:p>
            <w:pPr>
              <w:pStyle w:val="TableParagraph"/>
              <w:ind w:left="80"/>
              <w:jc w:val="left"/>
              <w:rPr>
                <w:sz w:val="14"/>
              </w:rPr>
            </w:pPr>
            <w:r>
              <w:rPr>
                <w:color w:val="231F20"/>
                <w:w w:val="75"/>
                <w:sz w:val="14"/>
              </w:rPr>
              <w:t>Arrival</w:t>
            </w:r>
            <w:r>
              <w:rPr>
                <w:color w:val="231F20"/>
                <w:spacing w:val="11"/>
                <w:sz w:val="14"/>
              </w:rPr>
              <w:t> </w:t>
            </w:r>
            <w:r>
              <w:rPr>
                <w:color w:val="231F20"/>
                <w:w w:val="75"/>
                <w:sz w:val="14"/>
              </w:rPr>
              <w:t>at</w:t>
            </w:r>
            <w:r>
              <w:rPr>
                <w:color w:val="231F20"/>
                <w:spacing w:val="11"/>
                <w:sz w:val="14"/>
              </w:rPr>
              <w:t> </w:t>
            </w:r>
            <w:r>
              <w:rPr>
                <w:color w:val="231F20"/>
                <w:w w:val="75"/>
                <w:sz w:val="14"/>
              </w:rPr>
              <w:t>delivery</w:t>
            </w:r>
            <w:r>
              <w:rPr>
                <w:color w:val="231F20"/>
                <w:spacing w:val="12"/>
                <w:sz w:val="14"/>
              </w:rPr>
              <w:t> </w:t>
            </w:r>
            <w:r>
              <w:rPr>
                <w:color w:val="231F20"/>
                <w:spacing w:val="-2"/>
                <w:w w:val="75"/>
                <w:sz w:val="14"/>
              </w:rPr>
              <w:t>office</w:t>
            </w:r>
          </w:p>
        </w:tc>
      </w:tr>
      <w:tr>
        <w:trPr>
          <w:trHeight w:val="259" w:hRule="atLeast"/>
        </w:trPr>
        <w:tc>
          <w:tcPr>
            <w:tcW w:w="820" w:type="dxa"/>
            <w:shd w:val="clear" w:color="auto" w:fill="D4E3F5"/>
          </w:tcPr>
          <w:p>
            <w:pPr>
              <w:pStyle w:val="TableParagraph"/>
              <w:ind w:left="80"/>
              <w:jc w:val="left"/>
              <w:rPr>
                <w:sz w:val="14"/>
              </w:rPr>
            </w:pPr>
            <w:r>
              <w:rPr>
                <w:color w:val="231F20"/>
                <w:spacing w:val="-10"/>
                <w:w w:val="80"/>
                <w:sz w:val="14"/>
              </w:rPr>
              <w:t>H</w:t>
            </w:r>
          </w:p>
        </w:tc>
        <w:tc>
          <w:tcPr>
            <w:tcW w:w="5520" w:type="dxa"/>
            <w:shd w:val="clear" w:color="auto" w:fill="D4E3F5"/>
          </w:tcPr>
          <w:p>
            <w:pPr>
              <w:pStyle w:val="TableParagraph"/>
              <w:ind w:left="80"/>
              <w:jc w:val="left"/>
              <w:rPr>
                <w:sz w:val="14"/>
              </w:rPr>
            </w:pPr>
            <w:r>
              <w:rPr>
                <w:color w:val="231F20"/>
                <w:spacing w:val="4"/>
                <w:w w:val="75"/>
                <w:sz w:val="14"/>
              </w:rPr>
              <w:t>Attempted/unsuccessful</w:t>
            </w:r>
            <w:r>
              <w:rPr>
                <w:color w:val="231F20"/>
                <w:spacing w:val="12"/>
                <w:sz w:val="14"/>
              </w:rPr>
              <w:t> </w:t>
            </w:r>
            <w:r>
              <w:rPr>
                <w:color w:val="231F20"/>
                <w:spacing w:val="-2"/>
                <w:w w:val="90"/>
                <w:sz w:val="14"/>
              </w:rPr>
              <w:t>delivery</w:t>
            </w:r>
          </w:p>
        </w:tc>
      </w:tr>
      <w:tr>
        <w:trPr>
          <w:trHeight w:val="259" w:hRule="atLeast"/>
        </w:trPr>
        <w:tc>
          <w:tcPr>
            <w:tcW w:w="820" w:type="dxa"/>
          </w:tcPr>
          <w:p>
            <w:pPr>
              <w:pStyle w:val="TableParagraph"/>
              <w:ind w:left="80"/>
              <w:jc w:val="left"/>
              <w:rPr>
                <w:sz w:val="14"/>
              </w:rPr>
            </w:pPr>
            <w:r>
              <w:rPr>
                <w:color w:val="231F20"/>
                <w:spacing w:val="-10"/>
                <w:w w:val="75"/>
                <w:sz w:val="14"/>
              </w:rPr>
              <w:t>I</w:t>
            </w:r>
          </w:p>
        </w:tc>
        <w:tc>
          <w:tcPr>
            <w:tcW w:w="5520" w:type="dxa"/>
          </w:tcPr>
          <w:p>
            <w:pPr>
              <w:pStyle w:val="TableParagraph"/>
              <w:ind w:left="80"/>
              <w:jc w:val="left"/>
              <w:rPr>
                <w:sz w:val="14"/>
              </w:rPr>
            </w:pPr>
            <w:r>
              <w:rPr>
                <w:color w:val="231F20"/>
                <w:w w:val="75"/>
                <w:sz w:val="14"/>
              </w:rPr>
              <w:t>Final</w:t>
            </w:r>
            <w:r>
              <w:rPr>
                <w:color w:val="231F20"/>
                <w:spacing w:val="2"/>
                <w:sz w:val="14"/>
              </w:rPr>
              <w:t> </w:t>
            </w:r>
            <w:r>
              <w:rPr>
                <w:color w:val="231F20"/>
                <w:spacing w:val="-2"/>
                <w:w w:val="90"/>
                <w:sz w:val="14"/>
              </w:rPr>
              <w:t>delivery</w:t>
            </w:r>
          </w:p>
        </w:tc>
      </w:tr>
      <w:tr>
        <w:trPr>
          <w:trHeight w:val="259" w:hRule="atLeast"/>
        </w:trPr>
        <w:tc>
          <w:tcPr>
            <w:tcW w:w="820" w:type="dxa"/>
            <w:shd w:val="clear" w:color="auto" w:fill="D4E3F5"/>
          </w:tcPr>
          <w:p>
            <w:pPr>
              <w:pStyle w:val="TableParagraph"/>
              <w:ind w:left="80"/>
              <w:jc w:val="left"/>
              <w:rPr>
                <w:sz w:val="14"/>
              </w:rPr>
            </w:pPr>
            <w:r>
              <w:rPr>
                <w:color w:val="231F20"/>
                <w:spacing w:val="-10"/>
                <w:w w:val="90"/>
                <w:sz w:val="14"/>
              </w:rPr>
              <w:t>J</w:t>
            </w:r>
          </w:p>
        </w:tc>
        <w:tc>
          <w:tcPr>
            <w:tcW w:w="5520" w:type="dxa"/>
            <w:shd w:val="clear" w:color="auto" w:fill="D4E3F5"/>
          </w:tcPr>
          <w:p>
            <w:pPr>
              <w:pStyle w:val="TableParagraph"/>
              <w:ind w:left="80"/>
              <w:jc w:val="left"/>
              <w:rPr>
                <w:sz w:val="14"/>
              </w:rPr>
            </w:pPr>
            <w:r>
              <w:rPr>
                <w:color w:val="231F20"/>
                <w:w w:val="80"/>
                <w:sz w:val="14"/>
              </w:rPr>
              <w:t>Arrival</w:t>
            </w:r>
            <w:r>
              <w:rPr>
                <w:color w:val="231F20"/>
                <w:spacing w:val="-1"/>
                <w:sz w:val="14"/>
              </w:rPr>
              <w:t> </w:t>
            </w:r>
            <w:r>
              <w:rPr>
                <w:color w:val="231F20"/>
                <w:w w:val="80"/>
                <w:sz w:val="14"/>
              </w:rPr>
              <w:t>at</w:t>
            </w:r>
            <w:r>
              <w:rPr>
                <w:color w:val="231F20"/>
                <w:spacing w:val="-1"/>
                <w:sz w:val="14"/>
              </w:rPr>
              <w:t> </w:t>
            </w:r>
            <w:r>
              <w:rPr>
                <w:color w:val="231F20"/>
                <w:w w:val="80"/>
                <w:sz w:val="14"/>
              </w:rPr>
              <w:t>transit</w:t>
            </w:r>
            <w:r>
              <w:rPr>
                <w:color w:val="231F20"/>
                <w:spacing w:val="-1"/>
                <w:sz w:val="14"/>
              </w:rPr>
              <w:t> </w:t>
            </w:r>
            <w:r>
              <w:rPr>
                <w:color w:val="231F20"/>
                <w:w w:val="80"/>
                <w:sz w:val="14"/>
              </w:rPr>
              <w:t>office</w:t>
            </w:r>
            <w:r>
              <w:rPr>
                <w:color w:val="231F20"/>
                <w:sz w:val="14"/>
              </w:rPr>
              <w:t> </w:t>
            </w:r>
            <w:r>
              <w:rPr>
                <w:color w:val="231F20"/>
                <w:w w:val="80"/>
                <w:sz w:val="14"/>
              </w:rPr>
              <w:t>of</w:t>
            </w:r>
            <w:r>
              <w:rPr>
                <w:color w:val="231F20"/>
                <w:spacing w:val="-1"/>
                <w:sz w:val="14"/>
              </w:rPr>
              <w:t> </w:t>
            </w:r>
            <w:r>
              <w:rPr>
                <w:color w:val="231F20"/>
                <w:spacing w:val="-2"/>
                <w:w w:val="80"/>
                <w:sz w:val="14"/>
              </w:rPr>
              <w:t>exchange</w:t>
            </w:r>
          </w:p>
        </w:tc>
      </w:tr>
      <w:tr>
        <w:trPr>
          <w:trHeight w:val="254" w:hRule="atLeast"/>
        </w:trPr>
        <w:tc>
          <w:tcPr>
            <w:tcW w:w="820" w:type="dxa"/>
            <w:tcBorders>
              <w:bottom w:val="single" w:sz="4" w:space="0" w:color="008FDD"/>
            </w:tcBorders>
          </w:tcPr>
          <w:p>
            <w:pPr>
              <w:pStyle w:val="TableParagraph"/>
              <w:ind w:left="80"/>
              <w:jc w:val="left"/>
              <w:rPr>
                <w:sz w:val="14"/>
              </w:rPr>
            </w:pPr>
            <w:r>
              <w:rPr>
                <w:color w:val="231F20"/>
                <w:spacing w:val="-10"/>
                <w:w w:val="80"/>
                <w:sz w:val="14"/>
              </w:rPr>
              <w:t>K</w:t>
            </w:r>
          </w:p>
        </w:tc>
        <w:tc>
          <w:tcPr>
            <w:tcW w:w="5520" w:type="dxa"/>
            <w:tcBorders>
              <w:bottom w:val="single" w:sz="4" w:space="0" w:color="008FDD"/>
            </w:tcBorders>
          </w:tcPr>
          <w:p>
            <w:pPr>
              <w:pStyle w:val="TableParagraph"/>
              <w:ind w:left="80"/>
              <w:jc w:val="left"/>
              <w:rPr>
                <w:sz w:val="14"/>
              </w:rPr>
            </w:pPr>
            <w:r>
              <w:rPr>
                <w:color w:val="231F20"/>
                <w:w w:val="80"/>
                <w:sz w:val="14"/>
              </w:rPr>
              <w:t>Departure</w:t>
            </w:r>
            <w:r>
              <w:rPr>
                <w:color w:val="231F20"/>
                <w:sz w:val="14"/>
              </w:rPr>
              <w:t> </w:t>
            </w:r>
            <w:r>
              <w:rPr>
                <w:color w:val="231F20"/>
                <w:w w:val="80"/>
                <w:sz w:val="14"/>
              </w:rPr>
              <w:t>from</w:t>
            </w:r>
            <w:r>
              <w:rPr>
                <w:color w:val="231F20"/>
                <w:spacing w:val="1"/>
                <w:sz w:val="14"/>
              </w:rPr>
              <w:t> </w:t>
            </w:r>
            <w:r>
              <w:rPr>
                <w:color w:val="231F20"/>
                <w:w w:val="80"/>
                <w:sz w:val="14"/>
              </w:rPr>
              <w:t>transit</w:t>
            </w:r>
            <w:r>
              <w:rPr>
                <w:color w:val="231F20"/>
                <w:spacing w:val="1"/>
                <w:sz w:val="14"/>
              </w:rPr>
              <w:t> </w:t>
            </w:r>
            <w:r>
              <w:rPr>
                <w:color w:val="231F20"/>
                <w:w w:val="80"/>
                <w:sz w:val="14"/>
              </w:rPr>
              <w:t>office</w:t>
            </w:r>
            <w:r>
              <w:rPr>
                <w:color w:val="231F20"/>
                <w:sz w:val="14"/>
              </w:rPr>
              <w:t> </w:t>
            </w:r>
            <w:r>
              <w:rPr>
                <w:color w:val="231F20"/>
                <w:w w:val="80"/>
                <w:sz w:val="14"/>
              </w:rPr>
              <w:t>of</w:t>
            </w:r>
            <w:r>
              <w:rPr>
                <w:color w:val="231F20"/>
                <w:spacing w:val="1"/>
                <w:sz w:val="14"/>
              </w:rPr>
              <w:t> </w:t>
            </w:r>
            <w:r>
              <w:rPr>
                <w:color w:val="231F20"/>
                <w:spacing w:val="-2"/>
                <w:w w:val="80"/>
                <w:sz w:val="14"/>
              </w:rPr>
              <w:t>exchange</w:t>
            </w:r>
          </w:p>
        </w:tc>
      </w:tr>
    </w:tbl>
    <w:p>
      <w:pPr>
        <w:pStyle w:val="BodyText"/>
      </w:pPr>
    </w:p>
    <w:p>
      <w:pPr>
        <w:pStyle w:val="BodyText"/>
      </w:pPr>
    </w:p>
    <w:p>
      <w:pPr>
        <w:pStyle w:val="BodyText"/>
        <w:spacing w:before="41"/>
      </w:pPr>
    </w:p>
    <w:p>
      <w:pPr>
        <w:pStyle w:val="BodyText"/>
        <w:spacing w:line="268" w:lineRule="auto"/>
        <w:ind w:left="197" w:right="2817"/>
        <w:jc w:val="both"/>
      </w:pPr>
      <w:r>
        <w:rPr>
          <w:color w:val="231F20"/>
        </w:rPr>
        <w:t>destination Office of Exchange, in which it </w:t>
      </w:r>
      <w:r>
        <w:rPr>
          <w:color w:val="231F20"/>
          <w:spacing w:val="-2"/>
        </w:rPr>
        <w:t>departs</w:t>
      </w:r>
      <w:r>
        <w:rPr>
          <w:color w:val="231F20"/>
          <w:spacing w:val="-4"/>
        </w:rPr>
        <w:t> </w:t>
      </w:r>
      <w:r>
        <w:rPr>
          <w:color w:val="231F20"/>
          <w:spacing w:val="-2"/>
        </w:rPr>
        <w:t>from</w:t>
      </w:r>
      <w:r>
        <w:rPr>
          <w:color w:val="231F20"/>
          <w:spacing w:val="-4"/>
        </w:rPr>
        <w:t> </w:t>
      </w:r>
      <w:r>
        <w:rPr>
          <w:color w:val="231F20"/>
          <w:spacing w:val="-2"/>
        </w:rPr>
        <w:t>the</w:t>
      </w:r>
      <w:r>
        <w:rPr>
          <w:color w:val="231F20"/>
          <w:spacing w:val="-4"/>
        </w:rPr>
        <w:t> </w:t>
      </w:r>
      <w:r>
        <w:rPr>
          <w:color w:val="231F20"/>
          <w:spacing w:val="-2"/>
        </w:rPr>
        <w:t>country-of-origin</w:t>
      </w:r>
      <w:r>
        <w:rPr>
          <w:color w:val="231F20"/>
          <w:spacing w:val="-4"/>
        </w:rPr>
        <w:t> </w:t>
      </w:r>
      <w:r>
        <w:rPr>
          <w:color w:val="231F20"/>
          <w:spacing w:val="-2"/>
        </w:rPr>
        <w:t>(event</w:t>
      </w:r>
      <w:r>
        <w:rPr>
          <w:color w:val="231F20"/>
          <w:spacing w:val="-4"/>
        </w:rPr>
        <w:t> </w:t>
      </w:r>
      <w:r>
        <w:rPr>
          <w:color w:val="231F20"/>
          <w:spacing w:val="-2"/>
        </w:rPr>
        <w:t>C). After</w:t>
      </w:r>
      <w:r>
        <w:rPr>
          <w:color w:val="231F20"/>
          <w:spacing w:val="-12"/>
        </w:rPr>
        <w:t> </w:t>
      </w:r>
      <w:r>
        <w:rPr>
          <w:color w:val="231F20"/>
          <w:spacing w:val="-2"/>
        </w:rPr>
        <w:t>a</w:t>
      </w:r>
      <w:r>
        <w:rPr>
          <w:color w:val="231F20"/>
          <w:spacing w:val="-11"/>
        </w:rPr>
        <w:t> </w:t>
      </w:r>
      <w:r>
        <w:rPr>
          <w:color w:val="231F20"/>
          <w:spacing w:val="-2"/>
        </w:rPr>
        <w:t>few</w:t>
      </w:r>
      <w:r>
        <w:rPr>
          <w:color w:val="231F20"/>
          <w:spacing w:val="-11"/>
        </w:rPr>
        <w:t> </w:t>
      </w:r>
      <w:r>
        <w:rPr>
          <w:color w:val="231F20"/>
          <w:spacing w:val="-2"/>
        </w:rPr>
        <w:t>potential</w:t>
      </w:r>
      <w:r>
        <w:rPr>
          <w:color w:val="231F20"/>
          <w:spacing w:val="-11"/>
        </w:rPr>
        <w:t> </w:t>
      </w:r>
      <w:r>
        <w:rPr>
          <w:color w:val="231F20"/>
          <w:spacing w:val="-2"/>
        </w:rPr>
        <w:t>transiting</w:t>
      </w:r>
      <w:r>
        <w:rPr>
          <w:color w:val="231F20"/>
          <w:spacing w:val="-11"/>
        </w:rPr>
        <w:t> </w:t>
      </w:r>
      <w:r>
        <w:rPr>
          <w:color w:val="231F20"/>
          <w:spacing w:val="-2"/>
        </w:rPr>
        <w:t>events</w:t>
      </w:r>
      <w:r>
        <w:rPr>
          <w:color w:val="231F20"/>
          <w:spacing w:val="-11"/>
        </w:rPr>
        <w:t> </w:t>
      </w:r>
      <w:r>
        <w:rPr>
          <w:color w:val="231F20"/>
          <w:spacing w:val="-2"/>
        </w:rPr>
        <w:t>(events </w:t>
      </w:r>
      <w:r>
        <w:rPr>
          <w:color w:val="231F20"/>
          <w:spacing w:val="-4"/>
        </w:rPr>
        <w:t>J–K),</w:t>
      </w:r>
      <w:r>
        <w:rPr>
          <w:color w:val="231F20"/>
          <w:spacing w:val="-6"/>
        </w:rPr>
        <w:t> </w:t>
      </w:r>
      <w:r>
        <w:rPr>
          <w:color w:val="231F20"/>
          <w:spacing w:val="-4"/>
        </w:rPr>
        <w:t>the</w:t>
      </w:r>
      <w:r>
        <w:rPr>
          <w:color w:val="231F20"/>
          <w:spacing w:val="-6"/>
        </w:rPr>
        <w:t> </w:t>
      </w:r>
      <w:r>
        <w:rPr>
          <w:color w:val="231F20"/>
          <w:spacing w:val="-4"/>
        </w:rPr>
        <w:t>item</w:t>
      </w:r>
      <w:r>
        <w:rPr>
          <w:color w:val="231F20"/>
          <w:spacing w:val="-6"/>
        </w:rPr>
        <w:t> </w:t>
      </w:r>
      <w:r>
        <w:rPr>
          <w:color w:val="231F20"/>
          <w:spacing w:val="-4"/>
        </w:rPr>
        <w:t>arrives</w:t>
      </w:r>
      <w:r>
        <w:rPr>
          <w:color w:val="231F20"/>
          <w:spacing w:val="-6"/>
        </w:rPr>
        <w:t> </w:t>
      </w:r>
      <w:r>
        <w:rPr>
          <w:color w:val="231F20"/>
          <w:spacing w:val="-4"/>
        </w:rPr>
        <w:t>at</w:t>
      </w:r>
      <w:r>
        <w:rPr>
          <w:color w:val="231F20"/>
          <w:spacing w:val="-6"/>
        </w:rPr>
        <w:t> </w:t>
      </w:r>
      <w:r>
        <w:rPr>
          <w:color w:val="231F20"/>
          <w:spacing w:val="-4"/>
        </w:rPr>
        <w:t>the</w:t>
      </w:r>
      <w:r>
        <w:rPr>
          <w:color w:val="231F20"/>
          <w:spacing w:val="-6"/>
        </w:rPr>
        <w:t> </w:t>
      </w:r>
      <w:r>
        <w:rPr>
          <w:color w:val="231F20"/>
          <w:spacing w:val="-4"/>
        </w:rPr>
        <w:t>destination</w:t>
      </w:r>
      <w:r>
        <w:rPr>
          <w:color w:val="231F20"/>
          <w:spacing w:val="-6"/>
        </w:rPr>
        <w:t> </w:t>
      </w:r>
      <w:r>
        <w:rPr>
          <w:color w:val="231F20"/>
          <w:spacing w:val="-4"/>
        </w:rPr>
        <w:t>(event </w:t>
      </w:r>
      <w:r>
        <w:rPr>
          <w:color w:val="231F20"/>
          <w:spacing w:val="-6"/>
        </w:rPr>
        <w:t>D),</w:t>
      </w:r>
      <w:r>
        <w:rPr>
          <w:color w:val="231F20"/>
          <w:spacing w:val="-8"/>
        </w:rPr>
        <w:t> </w:t>
      </w:r>
      <w:r>
        <w:rPr>
          <w:color w:val="231F20"/>
          <w:spacing w:val="-6"/>
        </w:rPr>
        <w:t>where</w:t>
      </w:r>
      <w:r>
        <w:rPr>
          <w:color w:val="231F20"/>
          <w:spacing w:val="-7"/>
        </w:rPr>
        <w:t> </w:t>
      </w:r>
      <w:r>
        <w:rPr>
          <w:color w:val="231F20"/>
          <w:spacing w:val="-6"/>
        </w:rPr>
        <w:t>it</w:t>
      </w:r>
      <w:r>
        <w:rPr>
          <w:color w:val="231F20"/>
          <w:spacing w:val="-7"/>
        </w:rPr>
        <w:t> </w:t>
      </w:r>
      <w:r>
        <w:rPr>
          <w:color w:val="231F20"/>
          <w:spacing w:val="-6"/>
        </w:rPr>
        <w:t>is</w:t>
      </w:r>
      <w:r>
        <w:rPr>
          <w:color w:val="231F20"/>
          <w:spacing w:val="-7"/>
        </w:rPr>
        <w:t> </w:t>
      </w:r>
      <w:r>
        <w:rPr>
          <w:color w:val="231F20"/>
          <w:spacing w:val="-6"/>
        </w:rPr>
        <w:t>unloaded</w:t>
      </w:r>
      <w:r>
        <w:rPr>
          <w:color w:val="231F20"/>
          <w:spacing w:val="-7"/>
        </w:rPr>
        <w:t> </w:t>
      </w:r>
      <w:r>
        <w:rPr>
          <w:color w:val="231F20"/>
          <w:spacing w:val="-6"/>
        </w:rPr>
        <w:t>and</w:t>
      </w:r>
      <w:r>
        <w:rPr>
          <w:color w:val="231F20"/>
          <w:spacing w:val="-7"/>
        </w:rPr>
        <w:t> </w:t>
      </w:r>
      <w:r>
        <w:rPr>
          <w:color w:val="231F20"/>
          <w:spacing w:val="-6"/>
        </w:rPr>
        <w:t>handed</w:t>
      </w:r>
      <w:r>
        <w:rPr>
          <w:color w:val="231F20"/>
          <w:spacing w:val="-7"/>
        </w:rPr>
        <w:t> </w:t>
      </w:r>
      <w:r>
        <w:rPr>
          <w:color w:val="231F20"/>
          <w:spacing w:val="-6"/>
        </w:rPr>
        <w:t>over</w:t>
      </w:r>
      <w:r>
        <w:rPr>
          <w:color w:val="231F20"/>
          <w:spacing w:val="-7"/>
        </w:rPr>
        <w:t> </w:t>
      </w:r>
      <w:r>
        <w:rPr>
          <w:color w:val="231F20"/>
          <w:spacing w:val="-6"/>
        </w:rPr>
        <w:t>to</w:t>
      </w:r>
      <w:r>
        <w:rPr>
          <w:color w:val="231F20"/>
          <w:spacing w:val="-8"/>
        </w:rPr>
        <w:t> </w:t>
      </w:r>
      <w:r>
        <w:rPr>
          <w:color w:val="231F20"/>
          <w:spacing w:val="-6"/>
        </w:rPr>
        <w:t>the </w:t>
      </w:r>
      <w:r>
        <w:rPr>
          <w:color w:val="231F20"/>
          <w:spacing w:val="-4"/>
        </w:rPr>
        <w:t>destination</w:t>
      </w:r>
      <w:r>
        <w:rPr>
          <w:color w:val="231F20"/>
          <w:spacing w:val="-10"/>
        </w:rPr>
        <w:t> </w:t>
      </w:r>
      <w:r>
        <w:rPr>
          <w:color w:val="231F20"/>
          <w:spacing w:val="-4"/>
        </w:rPr>
        <w:t>post.</w:t>
      </w:r>
      <w:r>
        <w:rPr>
          <w:color w:val="231F20"/>
          <w:spacing w:val="-9"/>
        </w:rPr>
        <w:t> </w:t>
      </w:r>
      <w:r>
        <w:rPr>
          <w:color w:val="231F20"/>
          <w:spacing w:val="-4"/>
        </w:rPr>
        <w:t>Event</w:t>
      </w:r>
      <w:r>
        <w:rPr>
          <w:color w:val="231F20"/>
          <w:spacing w:val="-9"/>
        </w:rPr>
        <w:t> </w:t>
      </w:r>
      <w:r>
        <w:rPr>
          <w:color w:val="231F20"/>
          <w:spacing w:val="-4"/>
        </w:rPr>
        <w:t>E</w:t>
      </w:r>
      <w:r>
        <w:rPr>
          <w:color w:val="231F20"/>
          <w:spacing w:val="-9"/>
        </w:rPr>
        <w:t> </w:t>
      </w:r>
      <w:r>
        <w:rPr>
          <w:color w:val="231F20"/>
          <w:spacing w:val="-4"/>
        </w:rPr>
        <w:t>describes</w:t>
      </w:r>
      <w:r>
        <w:rPr>
          <w:color w:val="231F20"/>
          <w:spacing w:val="-9"/>
        </w:rPr>
        <w:t> </w:t>
      </w:r>
      <w:r>
        <w:rPr>
          <w:color w:val="231F20"/>
          <w:spacing w:val="-4"/>
        </w:rPr>
        <w:t>the</w:t>
      </w:r>
      <w:r>
        <w:rPr>
          <w:color w:val="231F20"/>
          <w:spacing w:val="-9"/>
        </w:rPr>
        <w:t> </w:t>
      </w:r>
      <w:r>
        <w:rPr>
          <w:color w:val="231F20"/>
          <w:spacing w:val="-4"/>
        </w:rPr>
        <w:t>process </w:t>
      </w:r>
      <w:r>
        <w:rPr>
          <w:color w:val="231F20"/>
        </w:rPr>
        <w:t>of</w:t>
      </w:r>
      <w:r>
        <w:rPr>
          <w:color w:val="231F20"/>
          <w:spacing w:val="-14"/>
        </w:rPr>
        <w:t> </w:t>
      </w:r>
      <w:r>
        <w:rPr>
          <w:color w:val="231F20"/>
        </w:rPr>
        <w:t>separating</w:t>
      </w:r>
      <w:r>
        <w:rPr>
          <w:color w:val="231F20"/>
          <w:spacing w:val="-13"/>
        </w:rPr>
        <w:t> </w:t>
      </w:r>
      <w:r>
        <w:rPr>
          <w:color w:val="231F20"/>
        </w:rPr>
        <w:t>different</w:t>
      </w:r>
      <w:r>
        <w:rPr>
          <w:color w:val="231F20"/>
          <w:spacing w:val="-13"/>
        </w:rPr>
        <w:t> </w:t>
      </w:r>
      <w:r>
        <w:rPr>
          <w:color w:val="231F20"/>
        </w:rPr>
        <w:t>items</w:t>
      </w:r>
      <w:r>
        <w:rPr>
          <w:color w:val="231F20"/>
          <w:spacing w:val="-13"/>
        </w:rPr>
        <w:t> </w:t>
      </w:r>
      <w:r>
        <w:rPr>
          <w:color w:val="231F20"/>
        </w:rPr>
        <w:t>from</w:t>
      </w:r>
      <w:r>
        <w:rPr>
          <w:color w:val="231F20"/>
          <w:spacing w:val="-13"/>
        </w:rPr>
        <w:t> </w:t>
      </w:r>
      <w:r>
        <w:rPr>
          <w:color w:val="231F20"/>
        </w:rPr>
        <w:t>the</w:t>
      </w:r>
      <w:r>
        <w:rPr>
          <w:color w:val="231F20"/>
          <w:spacing w:val="-13"/>
        </w:rPr>
        <w:t> </w:t>
      </w:r>
      <w:r>
        <w:rPr>
          <w:color w:val="231F20"/>
        </w:rPr>
        <w:t>bundle </w:t>
      </w:r>
      <w:r>
        <w:rPr>
          <w:color w:val="231F20"/>
          <w:w w:val="90"/>
        </w:rPr>
        <w:t>(receptacle) that they were shipped in, retrieving </w:t>
      </w:r>
      <w:r>
        <w:rPr>
          <w:color w:val="231F20"/>
          <w:spacing w:val="-4"/>
        </w:rPr>
        <w:t>the</w:t>
      </w:r>
      <w:r>
        <w:rPr>
          <w:color w:val="231F20"/>
          <w:spacing w:val="-6"/>
        </w:rPr>
        <w:t> </w:t>
      </w:r>
      <w:r>
        <w:rPr>
          <w:color w:val="231F20"/>
          <w:spacing w:val="-4"/>
        </w:rPr>
        <w:t>items,</w:t>
      </w:r>
      <w:r>
        <w:rPr>
          <w:color w:val="231F20"/>
          <w:spacing w:val="-6"/>
        </w:rPr>
        <w:t> </w:t>
      </w:r>
      <w:r>
        <w:rPr>
          <w:color w:val="231F20"/>
          <w:spacing w:val="-4"/>
        </w:rPr>
        <w:t>and</w:t>
      </w:r>
      <w:r>
        <w:rPr>
          <w:color w:val="231F20"/>
          <w:spacing w:val="-6"/>
        </w:rPr>
        <w:t> </w:t>
      </w:r>
      <w:r>
        <w:rPr>
          <w:color w:val="231F20"/>
          <w:spacing w:val="-4"/>
        </w:rPr>
        <w:t>clearing</w:t>
      </w:r>
      <w:r>
        <w:rPr>
          <w:color w:val="231F20"/>
          <w:spacing w:val="-6"/>
        </w:rPr>
        <w:t> </w:t>
      </w:r>
      <w:r>
        <w:rPr>
          <w:color w:val="231F20"/>
          <w:spacing w:val="-4"/>
        </w:rPr>
        <w:t>them</w:t>
      </w:r>
      <w:r>
        <w:rPr>
          <w:color w:val="231F20"/>
          <w:spacing w:val="-6"/>
        </w:rPr>
        <w:t> </w:t>
      </w:r>
      <w:r>
        <w:rPr>
          <w:color w:val="231F20"/>
          <w:spacing w:val="-4"/>
        </w:rPr>
        <w:t>through</w:t>
      </w:r>
      <w:r>
        <w:rPr>
          <w:color w:val="231F20"/>
          <w:spacing w:val="-6"/>
        </w:rPr>
        <w:t> </w:t>
      </w:r>
      <w:r>
        <w:rPr>
          <w:color w:val="231F20"/>
          <w:spacing w:val="-4"/>
        </w:rPr>
        <w:t>customs. Finally,</w:t>
      </w:r>
      <w:r>
        <w:rPr>
          <w:color w:val="231F20"/>
          <w:spacing w:val="-10"/>
        </w:rPr>
        <w:t> </w:t>
      </w:r>
      <w:r>
        <w:rPr>
          <w:color w:val="231F20"/>
          <w:spacing w:val="-4"/>
        </w:rPr>
        <w:t>the</w:t>
      </w:r>
      <w:r>
        <w:rPr>
          <w:color w:val="231F20"/>
          <w:spacing w:val="-9"/>
        </w:rPr>
        <w:t> </w:t>
      </w:r>
      <w:r>
        <w:rPr>
          <w:color w:val="231F20"/>
          <w:spacing w:val="-4"/>
        </w:rPr>
        <w:t>destination</w:t>
      </w:r>
      <w:r>
        <w:rPr>
          <w:color w:val="231F20"/>
          <w:spacing w:val="-9"/>
        </w:rPr>
        <w:t> </w:t>
      </w:r>
      <w:r>
        <w:rPr>
          <w:color w:val="231F20"/>
          <w:spacing w:val="-4"/>
        </w:rPr>
        <w:t>Office</w:t>
      </w:r>
      <w:r>
        <w:rPr>
          <w:color w:val="231F20"/>
          <w:spacing w:val="-9"/>
        </w:rPr>
        <w:t> </w:t>
      </w:r>
      <w:r>
        <w:rPr>
          <w:color w:val="231F20"/>
          <w:spacing w:val="-4"/>
        </w:rPr>
        <w:t>of</w:t>
      </w:r>
      <w:r>
        <w:rPr>
          <w:color w:val="231F20"/>
          <w:spacing w:val="-9"/>
        </w:rPr>
        <w:t> </w:t>
      </w:r>
      <w:r>
        <w:rPr>
          <w:color w:val="231F20"/>
          <w:spacing w:val="-4"/>
        </w:rPr>
        <w:t>Exchange</w:t>
      </w:r>
      <w:r>
        <w:rPr>
          <w:color w:val="231F20"/>
          <w:spacing w:val="-9"/>
        </w:rPr>
        <w:t> </w:t>
      </w:r>
      <w:r>
        <w:rPr>
          <w:color w:val="231F20"/>
          <w:spacing w:val="-4"/>
        </w:rPr>
        <w:t>in- </w:t>
      </w:r>
      <w:r>
        <w:rPr>
          <w:color w:val="231F20"/>
          <w:spacing w:val="-8"/>
        </w:rPr>
        <w:t>ducts</w:t>
      </w:r>
      <w:r>
        <w:rPr>
          <w:color w:val="231F20"/>
          <w:spacing w:val="-2"/>
        </w:rPr>
        <w:t> </w:t>
      </w:r>
      <w:r>
        <w:rPr>
          <w:color w:val="231F20"/>
          <w:spacing w:val="-8"/>
        </w:rPr>
        <w:t>it</w:t>
      </w:r>
      <w:r>
        <w:rPr>
          <w:color w:val="231F20"/>
          <w:spacing w:val="-2"/>
        </w:rPr>
        <w:t> </w:t>
      </w:r>
      <w:r>
        <w:rPr>
          <w:color w:val="231F20"/>
          <w:spacing w:val="-8"/>
        </w:rPr>
        <w:t>into</w:t>
      </w:r>
      <w:r>
        <w:rPr>
          <w:color w:val="231F20"/>
          <w:spacing w:val="-2"/>
        </w:rPr>
        <w:t> </w:t>
      </w:r>
      <w:r>
        <w:rPr>
          <w:color w:val="231F20"/>
          <w:spacing w:val="-8"/>
        </w:rPr>
        <w:t>their</w:t>
      </w:r>
      <w:r>
        <w:rPr>
          <w:color w:val="231F20"/>
          <w:spacing w:val="-2"/>
        </w:rPr>
        <w:t> </w:t>
      </w:r>
      <w:r>
        <w:rPr>
          <w:color w:val="231F20"/>
          <w:spacing w:val="-8"/>
        </w:rPr>
        <w:t>domestic</w:t>
      </w:r>
      <w:r>
        <w:rPr>
          <w:color w:val="231F20"/>
          <w:spacing w:val="-2"/>
        </w:rPr>
        <w:t> </w:t>
      </w:r>
      <w:r>
        <w:rPr>
          <w:color w:val="231F20"/>
          <w:spacing w:val="-8"/>
        </w:rPr>
        <w:t>network</w:t>
      </w:r>
      <w:r>
        <w:rPr>
          <w:color w:val="231F20"/>
          <w:spacing w:val="-2"/>
        </w:rPr>
        <w:t> </w:t>
      </w:r>
      <w:r>
        <w:rPr>
          <w:color w:val="231F20"/>
          <w:spacing w:val="-8"/>
        </w:rPr>
        <w:t>for</w:t>
      </w:r>
      <w:r>
        <w:rPr>
          <w:color w:val="231F20"/>
          <w:spacing w:val="-2"/>
        </w:rPr>
        <w:t> </w:t>
      </w:r>
      <w:r>
        <w:rPr>
          <w:color w:val="231F20"/>
          <w:spacing w:val="-8"/>
        </w:rPr>
        <w:t>process- </w:t>
      </w:r>
      <w:r>
        <w:rPr>
          <w:color w:val="231F20"/>
          <w:spacing w:val="-2"/>
        </w:rPr>
        <w:t>ing</w:t>
      </w:r>
      <w:r>
        <w:rPr>
          <w:color w:val="231F20"/>
          <w:spacing w:val="-12"/>
        </w:rPr>
        <w:t> </w:t>
      </w:r>
      <w:r>
        <w:rPr>
          <w:color w:val="231F20"/>
          <w:spacing w:val="-2"/>
        </w:rPr>
        <w:t>and</w:t>
      </w:r>
      <w:r>
        <w:rPr>
          <w:color w:val="231F20"/>
          <w:spacing w:val="-11"/>
        </w:rPr>
        <w:t> </w:t>
      </w:r>
      <w:r>
        <w:rPr>
          <w:color w:val="231F20"/>
          <w:spacing w:val="-2"/>
        </w:rPr>
        <w:t>potential</w:t>
      </w:r>
      <w:r>
        <w:rPr>
          <w:color w:val="231F20"/>
          <w:spacing w:val="-11"/>
        </w:rPr>
        <w:t> </w:t>
      </w:r>
      <w:r>
        <w:rPr>
          <w:color w:val="231F20"/>
          <w:spacing w:val="-2"/>
        </w:rPr>
        <w:t>relocation</w:t>
      </w:r>
      <w:r>
        <w:rPr>
          <w:color w:val="231F20"/>
          <w:spacing w:val="-11"/>
        </w:rPr>
        <w:t> </w:t>
      </w:r>
      <w:r>
        <w:rPr>
          <w:color w:val="231F20"/>
          <w:spacing w:val="-2"/>
        </w:rPr>
        <w:t>to</w:t>
      </w:r>
      <w:r>
        <w:rPr>
          <w:color w:val="231F20"/>
          <w:spacing w:val="-11"/>
        </w:rPr>
        <w:t> </w:t>
      </w:r>
      <w:r>
        <w:rPr>
          <w:color w:val="231F20"/>
          <w:spacing w:val="-2"/>
        </w:rPr>
        <w:t>the</w:t>
      </w:r>
      <w:r>
        <w:rPr>
          <w:color w:val="231F20"/>
          <w:spacing w:val="-11"/>
        </w:rPr>
        <w:t> </w:t>
      </w:r>
      <w:r>
        <w:rPr>
          <w:color w:val="231F20"/>
          <w:spacing w:val="-2"/>
        </w:rPr>
        <w:t>delivery</w:t>
      </w:r>
      <w:r>
        <w:rPr>
          <w:color w:val="231F20"/>
          <w:spacing w:val="-11"/>
        </w:rPr>
        <w:t> </w:t>
      </w:r>
      <w:r>
        <w:rPr>
          <w:color w:val="231F20"/>
          <w:spacing w:val="-2"/>
        </w:rPr>
        <w:t>of- </w:t>
      </w:r>
      <w:r>
        <w:rPr>
          <w:color w:val="231F20"/>
          <w:w w:val="90"/>
        </w:rPr>
        <w:t>fice, from which a final delivery to the customer </w:t>
      </w:r>
      <w:r>
        <w:rPr>
          <w:color w:val="231F20"/>
          <w:spacing w:val="-4"/>
        </w:rPr>
        <w:t>happens (event I). Unsuccessful deliveries are </w:t>
      </w:r>
      <w:r>
        <w:rPr>
          <w:color w:val="231F20"/>
        </w:rPr>
        <w:t>recorded</w:t>
      </w:r>
      <w:r>
        <w:rPr>
          <w:color w:val="231F20"/>
          <w:spacing w:val="-14"/>
        </w:rPr>
        <w:t> </w:t>
      </w:r>
      <w:r>
        <w:rPr>
          <w:color w:val="231F20"/>
        </w:rPr>
        <w:t>using</w:t>
      </w:r>
      <w:r>
        <w:rPr>
          <w:color w:val="231F20"/>
          <w:spacing w:val="-13"/>
        </w:rPr>
        <w:t> </w:t>
      </w:r>
      <w:r>
        <w:rPr>
          <w:color w:val="231F20"/>
        </w:rPr>
        <w:t>event</w:t>
      </w:r>
      <w:r>
        <w:rPr>
          <w:color w:val="231F20"/>
          <w:spacing w:val="-13"/>
        </w:rPr>
        <w:t> </w:t>
      </w:r>
      <w:r>
        <w:rPr>
          <w:color w:val="231F20"/>
        </w:rPr>
        <w:t>H.</w:t>
      </w:r>
      <w:r>
        <w:rPr>
          <w:color w:val="231F20"/>
          <w:spacing w:val="-13"/>
        </w:rPr>
        <w:t> </w:t>
      </w:r>
      <w:r>
        <w:rPr>
          <w:color w:val="231F20"/>
        </w:rPr>
        <w:t>The</w:t>
      </w:r>
      <w:r>
        <w:rPr>
          <w:color w:val="231F20"/>
          <w:spacing w:val="-13"/>
        </w:rPr>
        <w:t> </w:t>
      </w:r>
      <w:r>
        <w:rPr>
          <w:color w:val="231F20"/>
        </w:rPr>
        <w:t>focus</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LPI has been on the performance at the destina- tion,</w:t>
      </w:r>
      <w:r>
        <w:rPr>
          <w:color w:val="231F20"/>
          <w:spacing w:val="-14"/>
        </w:rPr>
        <w:t> </w:t>
      </w:r>
      <w:r>
        <w:rPr>
          <w:color w:val="231F20"/>
        </w:rPr>
        <w:t>making</w:t>
      </w:r>
      <w:r>
        <w:rPr>
          <w:color w:val="231F20"/>
          <w:spacing w:val="-13"/>
        </w:rPr>
        <w:t> </w:t>
      </w:r>
      <w:r>
        <w:rPr>
          <w:color w:val="231F20"/>
        </w:rPr>
        <w:t>the</w:t>
      </w:r>
      <w:r>
        <w:rPr>
          <w:color w:val="231F20"/>
          <w:spacing w:val="-13"/>
        </w:rPr>
        <w:t> </w:t>
      </w:r>
      <w:r>
        <w:rPr>
          <w:color w:val="231F20"/>
        </w:rPr>
        <w:t>delay</w:t>
      </w:r>
      <w:r>
        <w:rPr>
          <w:color w:val="231F20"/>
          <w:spacing w:val="-13"/>
        </w:rPr>
        <w:t> </w:t>
      </w:r>
      <w:r>
        <w:rPr>
          <w:color w:val="231F20"/>
        </w:rPr>
        <w:t>between</w:t>
      </w:r>
      <w:r>
        <w:rPr>
          <w:color w:val="231F20"/>
          <w:spacing w:val="-13"/>
        </w:rPr>
        <w:t> </w:t>
      </w:r>
      <w:r>
        <w:rPr>
          <w:color w:val="231F20"/>
        </w:rPr>
        <w:t>events</w:t>
      </w:r>
      <w:r>
        <w:rPr>
          <w:color w:val="231F20"/>
          <w:spacing w:val="-13"/>
        </w:rPr>
        <w:t> </w:t>
      </w:r>
      <w:r>
        <w:rPr>
          <w:color w:val="231F20"/>
        </w:rPr>
        <w:t>D</w:t>
      </w:r>
      <w:r>
        <w:rPr>
          <w:color w:val="231F20"/>
          <w:spacing w:val="-13"/>
        </w:rPr>
        <w:t> </w:t>
      </w:r>
      <w:r>
        <w:rPr>
          <w:color w:val="231F20"/>
        </w:rPr>
        <w:t>and </w:t>
      </w:r>
      <w:r>
        <w:rPr>
          <w:color w:val="231F20"/>
          <w:spacing w:val="-4"/>
        </w:rPr>
        <w:t>H/I</w:t>
      </w:r>
      <w:r>
        <w:rPr>
          <w:color w:val="231F20"/>
          <w:spacing w:val="-6"/>
        </w:rPr>
        <w:t> </w:t>
      </w:r>
      <w:r>
        <w:rPr>
          <w:color w:val="231F20"/>
          <w:spacing w:val="-4"/>
        </w:rPr>
        <w:t>the</w:t>
      </w:r>
      <w:r>
        <w:rPr>
          <w:color w:val="231F20"/>
          <w:spacing w:val="-6"/>
        </w:rPr>
        <w:t> </w:t>
      </w:r>
      <w:r>
        <w:rPr>
          <w:color w:val="231F20"/>
          <w:spacing w:val="-4"/>
        </w:rPr>
        <w:t>primary</w:t>
      </w:r>
      <w:r>
        <w:rPr>
          <w:color w:val="231F20"/>
          <w:spacing w:val="-6"/>
        </w:rPr>
        <w:t> </w:t>
      </w:r>
      <w:r>
        <w:rPr>
          <w:color w:val="231F20"/>
          <w:spacing w:val="-4"/>
        </w:rPr>
        <w:t>key</w:t>
      </w:r>
      <w:r>
        <w:rPr>
          <w:color w:val="231F20"/>
          <w:spacing w:val="-6"/>
        </w:rPr>
        <w:t> </w:t>
      </w:r>
      <w:r>
        <w:rPr>
          <w:color w:val="231F20"/>
          <w:spacing w:val="-4"/>
        </w:rPr>
        <w:t>performance</w:t>
      </w:r>
      <w:r>
        <w:rPr>
          <w:color w:val="231F20"/>
          <w:spacing w:val="-6"/>
        </w:rPr>
        <w:t> </w:t>
      </w:r>
      <w:r>
        <w:rPr>
          <w:color w:val="231F20"/>
          <w:spacing w:val="-4"/>
        </w:rPr>
        <w:t>indicator</w:t>
      </w:r>
      <w:r>
        <w:rPr>
          <w:color w:val="231F20"/>
          <w:spacing w:val="-6"/>
        </w:rPr>
        <w:t> </w:t>
      </w:r>
      <w:r>
        <w:rPr>
          <w:color w:val="231F20"/>
          <w:spacing w:val="-4"/>
        </w:rPr>
        <w:t>as- </w:t>
      </w:r>
      <w:r>
        <w:rPr>
          <w:color w:val="231F20"/>
          <w:w w:val="90"/>
        </w:rPr>
        <w:t>sessing postal logistics, covering the quality of postal infrastructure and speed of delivery.</w:t>
      </w:r>
      <w:r>
        <w:rPr>
          <w:color w:val="231F20"/>
          <w:w w:val="90"/>
          <w:position w:val="7"/>
          <w:sz w:val="14"/>
        </w:rPr>
        <w:t>3</w:t>
      </w:r>
      <w:r>
        <w:rPr>
          <w:color w:val="231F20"/>
          <w:spacing w:val="20"/>
          <w:position w:val="7"/>
          <w:sz w:val="14"/>
        </w:rPr>
        <w:t> </w:t>
      </w:r>
      <w:r>
        <w:rPr>
          <w:color w:val="231F20"/>
          <w:w w:val="90"/>
        </w:rPr>
        <w:t>The delivery events have also been found to have the </w:t>
      </w:r>
      <w:r>
        <w:rPr>
          <w:color w:val="231F20"/>
          <w:spacing w:val="-2"/>
        </w:rPr>
        <w:t>most</w:t>
      </w:r>
      <w:r>
        <w:rPr>
          <w:color w:val="231F20"/>
          <w:spacing w:val="-7"/>
        </w:rPr>
        <w:t> </w:t>
      </w:r>
      <w:r>
        <w:rPr>
          <w:color w:val="231F20"/>
          <w:spacing w:val="-2"/>
        </w:rPr>
        <w:t>consistency</w:t>
      </w:r>
      <w:r>
        <w:rPr>
          <w:color w:val="231F20"/>
          <w:spacing w:val="-7"/>
        </w:rPr>
        <w:t> </w:t>
      </w:r>
      <w:r>
        <w:rPr>
          <w:color w:val="231F20"/>
          <w:spacing w:val="-2"/>
        </w:rPr>
        <w:t>and</w:t>
      </w:r>
      <w:r>
        <w:rPr>
          <w:color w:val="231F20"/>
          <w:spacing w:val="-7"/>
        </w:rPr>
        <w:t> </w:t>
      </w:r>
      <w:r>
        <w:rPr>
          <w:color w:val="231F20"/>
          <w:spacing w:val="-2"/>
        </w:rPr>
        <w:t>country</w:t>
      </w:r>
      <w:r>
        <w:rPr>
          <w:color w:val="231F20"/>
          <w:spacing w:val="-7"/>
        </w:rPr>
        <w:t> </w:t>
      </w:r>
      <w:r>
        <w:rPr>
          <w:color w:val="231F20"/>
          <w:spacing w:val="-2"/>
        </w:rPr>
        <w:t>coverage.</w:t>
      </w:r>
    </w:p>
    <w:p>
      <w:pPr>
        <w:pStyle w:val="BodyText"/>
        <w:spacing w:line="227" w:lineRule="exact"/>
        <w:ind w:left="497"/>
        <w:jc w:val="both"/>
      </w:pPr>
      <w:r>
        <w:rPr>
          <w:color w:val="231F20"/>
        </w:rPr>
        <w:t>The</w:t>
      </w:r>
      <w:r>
        <w:rPr>
          <w:color w:val="231F20"/>
          <w:spacing w:val="19"/>
        </w:rPr>
        <w:t> </w:t>
      </w:r>
      <w:r>
        <w:rPr>
          <w:color w:val="231F20"/>
        </w:rPr>
        <w:t>dataset</w:t>
      </w:r>
      <w:r>
        <w:rPr>
          <w:color w:val="231F20"/>
          <w:spacing w:val="19"/>
        </w:rPr>
        <w:t> </w:t>
      </w:r>
      <w:r>
        <w:rPr>
          <w:color w:val="231F20"/>
        </w:rPr>
        <w:t>was</w:t>
      </w:r>
      <w:r>
        <w:rPr>
          <w:color w:val="231F20"/>
          <w:spacing w:val="19"/>
        </w:rPr>
        <w:t> </w:t>
      </w:r>
      <w:r>
        <w:rPr>
          <w:color w:val="231F20"/>
        </w:rPr>
        <w:t>constructed</w:t>
      </w:r>
      <w:r>
        <w:rPr>
          <w:color w:val="231F20"/>
          <w:spacing w:val="19"/>
        </w:rPr>
        <w:t> </w:t>
      </w:r>
      <w:r>
        <w:rPr>
          <w:color w:val="231F20"/>
        </w:rPr>
        <w:t>for</w:t>
      </w:r>
      <w:r>
        <w:rPr>
          <w:color w:val="231F20"/>
          <w:spacing w:val="20"/>
        </w:rPr>
        <w:t> </w:t>
      </w:r>
      <w:r>
        <w:rPr>
          <w:color w:val="231F20"/>
        </w:rPr>
        <w:t>the</w:t>
      </w:r>
      <w:r>
        <w:rPr>
          <w:color w:val="231F20"/>
          <w:spacing w:val="19"/>
        </w:rPr>
        <w:t> </w:t>
      </w:r>
      <w:r>
        <w:rPr>
          <w:color w:val="231F20"/>
          <w:spacing w:val="-5"/>
        </w:rPr>
        <w:t>en-</w:t>
      </w:r>
    </w:p>
    <w:p>
      <w:pPr>
        <w:pStyle w:val="BodyText"/>
        <w:spacing w:line="268" w:lineRule="auto" w:before="29"/>
        <w:ind w:left="197" w:right="2817"/>
        <w:jc w:val="both"/>
      </w:pPr>
      <w:r>
        <w:rPr>
          <w:color w:val="231F20"/>
        </w:rPr>
        <w:t>tire</w:t>
      </w:r>
      <w:r>
        <w:rPr>
          <w:color w:val="231F20"/>
          <w:spacing w:val="-6"/>
        </w:rPr>
        <w:t> </w:t>
      </w:r>
      <w:r>
        <w:rPr>
          <w:color w:val="231F20"/>
        </w:rPr>
        <w:t>calendar</w:t>
      </w:r>
      <w:r>
        <w:rPr>
          <w:color w:val="231F20"/>
          <w:spacing w:val="-6"/>
        </w:rPr>
        <w:t> </w:t>
      </w:r>
      <w:r>
        <w:rPr>
          <w:color w:val="231F20"/>
        </w:rPr>
        <w:t>year</w:t>
      </w:r>
      <w:r>
        <w:rPr>
          <w:color w:val="231F20"/>
          <w:spacing w:val="-6"/>
        </w:rPr>
        <w:t> </w:t>
      </w:r>
      <w:r>
        <w:rPr>
          <w:color w:val="231F20"/>
        </w:rPr>
        <w:t>of</w:t>
      </w:r>
      <w:r>
        <w:rPr>
          <w:color w:val="231F20"/>
          <w:spacing w:val="-6"/>
        </w:rPr>
        <w:t> </w:t>
      </w:r>
      <w:r>
        <w:rPr>
          <w:color w:val="231F20"/>
        </w:rPr>
        <w:t>2019.</w:t>
      </w:r>
      <w:r>
        <w:rPr>
          <w:color w:val="231F20"/>
          <w:spacing w:val="-6"/>
        </w:rPr>
        <w:t> </w:t>
      </w:r>
      <w:r>
        <w:rPr>
          <w:color w:val="231F20"/>
        </w:rPr>
        <w:t>The</w:t>
      </w:r>
      <w:r>
        <w:rPr>
          <w:color w:val="231F20"/>
          <w:spacing w:val="-6"/>
        </w:rPr>
        <w:t> </w:t>
      </w:r>
      <w:r>
        <w:rPr>
          <w:color w:val="231F20"/>
        </w:rPr>
        <w:t>sample</w:t>
      </w:r>
      <w:r>
        <w:rPr>
          <w:color w:val="231F20"/>
          <w:spacing w:val="-6"/>
        </w:rPr>
        <w:t> </w:t>
      </w:r>
      <w:r>
        <w:rPr>
          <w:color w:val="231F20"/>
        </w:rPr>
        <w:t>com- prised</w:t>
      </w:r>
      <w:r>
        <w:rPr>
          <w:color w:val="231F20"/>
          <w:spacing w:val="-14"/>
        </w:rPr>
        <w:t> </w:t>
      </w:r>
      <w:r>
        <w:rPr>
          <w:color w:val="231F20"/>
        </w:rPr>
        <w:t>countries</w:t>
      </w:r>
      <w:r>
        <w:rPr>
          <w:color w:val="231F20"/>
          <w:spacing w:val="-13"/>
        </w:rPr>
        <w:t> </w:t>
      </w:r>
      <w:r>
        <w:rPr>
          <w:color w:val="231F20"/>
        </w:rPr>
        <w:t>with</w:t>
      </w:r>
      <w:r>
        <w:rPr>
          <w:color w:val="231F20"/>
          <w:spacing w:val="-13"/>
        </w:rPr>
        <w:t> </w:t>
      </w:r>
      <w:r>
        <w:rPr>
          <w:color w:val="231F20"/>
        </w:rPr>
        <w:t>more</w:t>
      </w:r>
      <w:r>
        <w:rPr>
          <w:color w:val="231F20"/>
          <w:spacing w:val="-13"/>
        </w:rPr>
        <w:t> </w:t>
      </w:r>
      <w:r>
        <w:rPr>
          <w:color w:val="231F20"/>
        </w:rPr>
        <w:t>than</w:t>
      </w:r>
      <w:r>
        <w:rPr>
          <w:color w:val="231F20"/>
          <w:spacing w:val="-13"/>
        </w:rPr>
        <w:t> </w:t>
      </w:r>
      <w:r>
        <w:rPr>
          <w:color w:val="231F20"/>
        </w:rPr>
        <w:t>100</w:t>
      </w:r>
      <w:r>
        <w:rPr>
          <w:color w:val="231F20"/>
          <w:spacing w:val="-13"/>
        </w:rPr>
        <w:t> </w:t>
      </w:r>
      <w:r>
        <w:rPr>
          <w:color w:val="231F20"/>
        </w:rPr>
        <w:t>inbound unique parcel shipments; this included 132 </w:t>
      </w:r>
      <w:r>
        <w:rPr>
          <w:color w:val="231F20"/>
          <w:spacing w:val="-4"/>
        </w:rPr>
        <w:t>countries</w:t>
      </w:r>
      <w:r>
        <w:rPr>
          <w:color w:val="231F20"/>
          <w:spacing w:val="-8"/>
        </w:rPr>
        <w:t> </w:t>
      </w:r>
      <w:r>
        <w:rPr>
          <w:color w:val="231F20"/>
          <w:spacing w:val="-4"/>
        </w:rPr>
        <w:t>from</w:t>
      </w:r>
      <w:r>
        <w:rPr>
          <w:color w:val="231F20"/>
          <w:spacing w:val="-8"/>
        </w:rPr>
        <w:t> </w:t>
      </w:r>
      <w:r>
        <w:rPr>
          <w:color w:val="231F20"/>
          <w:spacing w:val="-4"/>
        </w:rPr>
        <w:t>all</w:t>
      </w:r>
      <w:r>
        <w:rPr>
          <w:color w:val="231F20"/>
          <w:spacing w:val="-8"/>
        </w:rPr>
        <w:t> </w:t>
      </w:r>
      <w:r>
        <w:rPr>
          <w:color w:val="231F20"/>
          <w:spacing w:val="-4"/>
        </w:rPr>
        <w:t>World</w:t>
      </w:r>
      <w:r>
        <w:rPr>
          <w:color w:val="231F20"/>
          <w:spacing w:val="-8"/>
        </w:rPr>
        <w:t> </w:t>
      </w:r>
      <w:r>
        <w:rPr>
          <w:color w:val="231F20"/>
          <w:spacing w:val="-4"/>
        </w:rPr>
        <w:t>Bank</w:t>
      </w:r>
      <w:r>
        <w:rPr>
          <w:color w:val="231F20"/>
          <w:spacing w:val="-8"/>
        </w:rPr>
        <w:t> </w:t>
      </w:r>
      <w:r>
        <w:rPr>
          <w:color w:val="231F20"/>
          <w:spacing w:val="-4"/>
        </w:rPr>
        <w:t>regions</w:t>
      </w:r>
      <w:r>
        <w:rPr>
          <w:color w:val="231F20"/>
          <w:spacing w:val="-8"/>
        </w:rPr>
        <w:t> </w:t>
      </w:r>
      <w:r>
        <w:rPr>
          <w:color w:val="231F20"/>
          <w:spacing w:val="-4"/>
        </w:rPr>
        <w:t>and</w:t>
      </w:r>
      <w:r>
        <w:rPr>
          <w:color w:val="231F20"/>
          <w:spacing w:val="-8"/>
        </w:rPr>
        <w:t> </w:t>
      </w:r>
      <w:r>
        <w:rPr>
          <w:color w:val="231F20"/>
          <w:spacing w:val="-4"/>
        </w:rPr>
        <w:t>in- </w:t>
      </w:r>
      <w:r>
        <w:rPr>
          <w:color w:val="231F20"/>
          <w:w w:val="90"/>
        </w:rPr>
        <w:t>come</w:t>
      </w:r>
      <w:r>
        <w:rPr>
          <w:color w:val="231F20"/>
          <w:spacing w:val="6"/>
        </w:rPr>
        <w:t> </w:t>
      </w:r>
      <w:r>
        <w:rPr>
          <w:color w:val="231F20"/>
          <w:w w:val="90"/>
        </w:rPr>
        <w:t>groups.</w:t>
      </w:r>
      <w:r>
        <w:rPr>
          <w:color w:val="231F20"/>
          <w:spacing w:val="6"/>
        </w:rPr>
        <w:t> </w:t>
      </w:r>
      <w:r>
        <w:rPr>
          <w:color w:val="231F20"/>
          <w:w w:val="90"/>
        </w:rPr>
        <w:t>After</w:t>
      </w:r>
      <w:r>
        <w:rPr>
          <w:color w:val="231F20"/>
          <w:spacing w:val="6"/>
        </w:rPr>
        <w:t> </w:t>
      </w:r>
      <w:r>
        <w:rPr>
          <w:color w:val="231F20"/>
          <w:w w:val="90"/>
        </w:rPr>
        <w:t>data</w:t>
      </w:r>
      <w:r>
        <w:rPr>
          <w:color w:val="231F20"/>
          <w:spacing w:val="6"/>
        </w:rPr>
        <w:t> </w:t>
      </w:r>
      <w:r>
        <w:rPr>
          <w:color w:val="231F20"/>
          <w:w w:val="90"/>
        </w:rPr>
        <w:t>cleaning,</w:t>
      </w:r>
      <w:r>
        <w:rPr>
          <w:color w:val="231F20"/>
          <w:spacing w:val="6"/>
        </w:rPr>
        <w:t> </w:t>
      </w:r>
      <w:r>
        <w:rPr>
          <w:color w:val="231F20"/>
          <w:w w:val="90"/>
        </w:rPr>
        <w:t>40</w:t>
      </w:r>
      <w:r>
        <w:rPr>
          <w:color w:val="231F20"/>
          <w:spacing w:val="6"/>
        </w:rPr>
        <w:t> </w:t>
      </w:r>
      <w:r>
        <w:rPr>
          <w:color w:val="231F20"/>
          <w:w w:val="90"/>
        </w:rPr>
        <w:t>percent</w:t>
      </w:r>
      <w:r>
        <w:rPr>
          <w:color w:val="231F20"/>
          <w:spacing w:val="6"/>
        </w:rPr>
        <w:t> </w:t>
      </w:r>
      <w:r>
        <w:rPr>
          <w:color w:val="231F20"/>
          <w:spacing w:val="-5"/>
          <w:w w:val="90"/>
        </w:rPr>
        <w:t>of</w:t>
      </w:r>
    </w:p>
    <w:p>
      <w:pPr>
        <w:spacing w:after="0" w:line="268" w:lineRule="auto"/>
        <w:jc w:val="both"/>
        <w:sectPr>
          <w:type w:val="continuous"/>
          <w:pgSz w:w="12240" w:h="15840"/>
          <w:pgMar w:header="370" w:footer="548" w:top="1140" w:bottom="280" w:left="0" w:right="540"/>
          <w:cols w:num="2" w:equalWidth="0">
            <w:col w:w="4923" w:space="40"/>
            <w:col w:w="6737"/>
          </w:cols>
        </w:sectPr>
      </w:pPr>
    </w:p>
    <w:p>
      <w:pPr>
        <w:pStyle w:val="BodyText"/>
        <w:spacing w:before="87"/>
        <w:rPr>
          <w:sz w:val="20"/>
        </w:rPr>
      </w:pPr>
    </w:p>
    <w:p>
      <w:pPr>
        <w:pStyle w:val="BodyText"/>
        <w:spacing w:line="20" w:lineRule="exact"/>
        <w:ind w:left="1200"/>
        <w:rPr>
          <w:sz w:val="2"/>
        </w:rPr>
      </w:pPr>
      <w:r>
        <w:rPr>
          <w:sz w:val="2"/>
        </w:rPr>
        <mc:AlternateContent>
          <mc:Choice Requires="wps">
            <w:drawing>
              <wp:inline distT="0" distB="0" distL="0" distR="0">
                <wp:extent cx="1219200" cy="6350"/>
                <wp:effectExtent l="9525" t="0" r="0" b="3175"/>
                <wp:docPr id="1705" name="Group 1705"/>
                <wp:cNvGraphicFramePr>
                  <a:graphicFrameLocks/>
                </wp:cNvGraphicFramePr>
                <a:graphic>
                  <a:graphicData uri="http://schemas.microsoft.com/office/word/2010/wordprocessingGroup">
                    <wpg:wgp>
                      <wpg:cNvPr id="1705" name="Group 1705"/>
                      <wpg:cNvGrpSpPr/>
                      <wpg:grpSpPr>
                        <a:xfrm>
                          <a:off x="0" y="0"/>
                          <a:ext cx="1219200" cy="6350"/>
                          <a:chExt cx="1219200" cy="6350"/>
                        </a:xfrm>
                      </wpg:grpSpPr>
                      <wps:wsp>
                        <wps:cNvPr id="1706" name="Graphic 1706"/>
                        <wps:cNvSpPr/>
                        <wps:spPr>
                          <a:xfrm>
                            <a:off x="0" y="3175"/>
                            <a:ext cx="1219200" cy="1270"/>
                          </a:xfrm>
                          <a:custGeom>
                            <a:avLst/>
                            <a:gdLst/>
                            <a:ahLst/>
                            <a:cxnLst/>
                            <a:rect l="l" t="t" r="r" b="b"/>
                            <a:pathLst>
                              <a:path w="1219200" h="0">
                                <a:moveTo>
                                  <a:pt x="0" y="0"/>
                                </a:moveTo>
                                <a:lnTo>
                                  <a:pt x="1219200" y="0"/>
                                </a:lnTo>
                              </a:path>
                            </a:pathLst>
                          </a:custGeom>
                          <a:ln w="6350">
                            <a:solidFill>
                              <a:srgbClr val="5AA2E2"/>
                            </a:solidFill>
                            <a:prstDash val="solid"/>
                          </a:ln>
                        </wps:spPr>
                        <wps:bodyPr wrap="square" lIns="0" tIns="0" rIns="0" bIns="0" rtlCol="0">
                          <a:prstTxWarp prst="textNoShape">
                            <a:avLst/>
                          </a:prstTxWarp>
                          <a:noAutofit/>
                        </wps:bodyPr>
                      </wps:wsp>
                    </wpg:wgp>
                  </a:graphicData>
                </a:graphic>
              </wp:inline>
            </w:drawing>
          </mc:Choice>
          <mc:Fallback>
            <w:pict>
              <v:group style="width:96pt;height:.5pt;mso-position-horizontal-relative:char;mso-position-vertical-relative:line" id="docshapegroup1452" coordorigin="0,0" coordsize="1920,10">
                <v:line style="position:absolute" from="0,5" to="1920,5" stroked="true" strokeweight=".5pt" strokecolor="#5aa2e2">
                  <v:stroke dashstyle="solid"/>
                </v:line>
              </v:group>
            </w:pict>
          </mc:Fallback>
        </mc:AlternateContent>
      </w:r>
      <w:r>
        <w:rPr>
          <w:sz w:val="2"/>
        </w:rPr>
      </w:r>
    </w:p>
    <w:p>
      <w:pPr>
        <w:pStyle w:val="ListParagraph"/>
        <w:numPr>
          <w:ilvl w:val="0"/>
          <w:numId w:val="15"/>
        </w:numPr>
        <w:tabs>
          <w:tab w:pos="1417" w:val="left" w:leader="none"/>
        </w:tabs>
        <w:spacing w:line="240" w:lineRule="auto" w:before="30" w:after="0"/>
        <w:ind w:left="1417" w:right="0" w:hanging="217"/>
        <w:jc w:val="left"/>
        <w:rPr>
          <w:sz w:val="16"/>
        </w:rPr>
      </w:pPr>
      <w:r>
        <w:rPr>
          <w:color w:val="231F20"/>
          <w:w w:val="75"/>
          <w:sz w:val="16"/>
        </w:rPr>
        <w:t>Beretzky</w:t>
      </w:r>
      <w:r>
        <w:rPr>
          <w:color w:val="231F20"/>
          <w:spacing w:val="12"/>
          <w:sz w:val="16"/>
        </w:rPr>
        <w:t> </w:t>
      </w:r>
      <w:r>
        <w:rPr>
          <w:color w:val="231F20"/>
          <w:w w:val="75"/>
          <w:sz w:val="16"/>
        </w:rPr>
        <w:t>and</w:t>
      </w:r>
      <w:r>
        <w:rPr>
          <w:color w:val="231F20"/>
          <w:spacing w:val="13"/>
          <w:sz w:val="16"/>
        </w:rPr>
        <w:t> </w:t>
      </w:r>
      <w:r>
        <w:rPr>
          <w:color w:val="231F20"/>
          <w:w w:val="75"/>
          <w:sz w:val="16"/>
        </w:rPr>
        <w:t>others</w:t>
      </w:r>
      <w:r>
        <w:rPr>
          <w:color w:val="231F20"/>
          <w:spacing w:val="12"/>
          <w:sz w:val="16"/>
        </w:rPr>
        <w:t> </w:t>
      </w:r>
      <w:r>
        <w:rPr>
          <w:color w:val="231F20"/>
          <w:spacing w:val="-4"/>
          <w:w w:val="75"/>
          <w:sz w:val="16"/>
        </w:rPr>
        <w:t>2022.</w:t>
      </w:r>
    </w:p>
    <w:p>
      <w:pPr>
        <w:pStyle w:val="ListParagraph"/>
        <w:numPr>
          <w:ilvl w:val="0"/>
          <w:numId w:val="15"/>
        </w:numPr>
        <w:tabs>
          <w:tab w:pos="1417" w:val="left" w:leader="none"/>
        </w:tabs>
        <w:spacing w:line="240" w:lineRule="auto" w:before="16" w:after="0"/>
        <w:ind w:left="1417" w:right="0" w:hanging="217"/>
        <w:jc w:val="left"/>
        <w:rPr>
          <w:sz w:val="16"/>
        </w:rPr>
      </w:pPr>
      <w:r>
        <w:rPr>
          <w:color w:val="231F20"/>
          <w:w w:val="75"/>
          <w:sz w:val="16"/>
        </w:rPr>
        <w:t>Boffa</w:t>
      </w:r>
      <w:r>
        <w:rPr>
          <w:color w:val="231F20"/>
          <w:spacing w:val="14"/>
          <w:sz w:val="16"/>
        </w:rPr>
        <w:t> </w:t>
      </w:r>
      <w:r>
        <w:rPr>
          <w:color w:val="231F20"/>
          <w:spacing w:val="-2"/>
          <w:w w:val="95"/>
          <w:sz w:val="16"/>
        </w:rPr>
        <w:t>2015.</w:t>
      </w:r>
    </w:p>
    <w:p>
      <w:pPr>
        <w:spacing w:after="0" w:line="240" w:lineRule="auto"/>
        <w:jc w:val="left"/>
        <w:rPr>
          <w:sz w:val="16"/>
        </w:rPr>
        <w:sectPr>
          <w:type w:val="continuous"/>
          <w:pgSz w:w="12240" w:h="15840"/>
          <w:pgMar w:header="370" w:footer="548" w:top="1140" w:bottom="280" w:left="0" w:right="54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22" w:after="1"/>
        <w:rPr>
          <w:rFonts w:ascii="Arial"/>
          <w:sz w:val="20"/>
        </w:rPr>
      </w:pPr>
    </w:p>
    <w:tbl>
      <w:tblPr>
        <w:tblW w:w="0" w:type="auto"/>
        <w:jc w:val="left"/>
        <w:tblInd w:w="4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0"/>
        <w:gridCol w:w="990"/>
        <w:gridCol w:w="1075"/>
        <w:gridCol w:w="1051"/>
        <w:gridCol w:w="962"/>
        <w:gridCol w:w="881"/>
        <w:gridCol w:w="965"/>
      </w:tblGrid>
      <w:tr>
        <w:trPr>
          <w:trHeight w:val="149" w:hRule="atLeast"/>
        </w:trPr>
        <w:tc>
          <w:tcPr>
            <w:tcW w:w="740" w:type="dxa"/>
          </w:tcPr>
          <w:p>
            <w:pPr>
              <w:pStyle w:val="TableParagraph"/>
              <w:spacing w:line="129" w:lineRule="exact" w:before="0"/>
              <w:ind w:left="50"/>
              <w:jc w:val="left"/>
              <w:rPr>
                <w:sz w:val="14"/>
              </w:rPr>
            </w:pPr>
            <w:r>
              <w:rPr>
                <w:color w:val="231F20"/>
                <w:w w:val="70"/>
                <w:sz w:val="14"/>
              </w:rPr>
              <w:t>East</w:t>
            </w:r>
            <w:r>
              <w:rPr>
                <w:color w:val="231F20"/>
                <w:sz w:val="14"/>
              </w:rPr>
              <w:t> </w:t>
            </w:r>
            <w:r>
              <w:rPr>
                <w:color w:val="231F20"/>
                <w:spacing w:val="-4"/>
                <w:w w:val="85"/>
                <w:sz w:val="14"/>
              </w:rPr>
              <w:t>Asia</w:t>
            </w:r>
          </w:p>
        </w:tc>
        <w:tc>
          <w:tcPr>
            <w:tcW w:w="990" w:type="dxa"/>
          </w:tcPr>
          <w:p>
            <w:pPr>
              <w:pStyle w:val="TableParagraph"/>
              <w:spacing w:line="129" w:lineRule="exact" w:before="0"/>
              <w:ind w:left="84"/>
              <w:rPr>
                <w:sz w:val="14"/>
              </w:rPr>
            </w:pPr>
            <w:r>
              <w:rPr>
                <w:color w:val="231F20"/>
                <w:w w:val="75"/>
                <w:sz w:val="14"/>
              </w:rPr>
              <w:t>Europe</w:t>
            </w:r>
            <w:r>
              <w:rPr>
                <w:color w:val="231F20"/>
                <w:spacing w:val="-2"/>
                <w:sz w:val="14"/>
              </w:rPr>
              <w:t> </w:t>
            </w:r>
            <w:r>
              <w:rPr>
                <w:color w:val="231F20"/>
                <w:spacing w:val="-10"/>
                <w:w w:val="90"/>
                <w:sz w:val="14"/>
              </w:rPr>
              <w:t>&amp;</w:t>
            </w:r>
          </w:p>
        </w:tc>
        <w:tc>
          <w:tcPr>
            <w:tcW w:w="1075" w:type="dxa"/>
          </w:tcPr>
          <w:p>
            <w:pPr>
              <w:pStyle w:val="TableParagraph"/>
              <w:spacing w:line="129" w:lineRule="exact" w:before="0"/>
              <w:ind w:left="25"/>
              <w:rPr>
                <w:sz w:val="14"/>
              </w:rPr>
            </w:pPr>
            <w:r>
              <w:rPr>
                <w:color w:val="231F20"/>
                <w:w w:val="75"/>
                <w:sz w:val="14"/>
              </w:rPr>
              <w:t>Latin</w:t>
            </w:r>
            <w:r>
              <w:rPr>
                <w:color w:val="231F20"/>
                <w:spacing w:val="4"/>
                <w:sz w:val="14"/>
              </w:rPr>
              <w:t> </w:t>
            </w:r>
            <w:r>
              <w:rPr>
                <w:color w:val="231F20"/>
                <w:w w:val="75"/>
                <w:sz w:val="14"/>
              </w:rPr>
              <w:t>America</w:t>
            </w:r>
            <w:r>
              <w:rPr>
                <w:color w:val="231F20"/>
                <w:spacing w:val="11"/>
                <w:sz w:val="14"/>
              </w:rPr>
              <w:t> </w:t>
            </w:r>
            <w:r>
              <w:rPr>
                <w:color w:val="231F20"/>
                <w:spacing w:val="-10"/>
                <w:w w:val="75"/>
                <w:sz w:val="14"/>
              </w:rPr>
              <w:t>&amp;</w:t>
            </w:r>
          </w:p>
        </w:tc>
        <w:tc>
          <w:tcPr>
            <w:tcW w:w="1051" w:type="dxa"/>
          </w:tcPr>
          <w:p>
            <w:pPr>
              <w:pStyle w:val="TableParagraph"/>
              <w:spacing w:line="129" w:lineRule="exact" w:before="0"/>
              <w:ind w:right="92"/>
              <w:rPr>
                <w:sz w:val="14"/>
              </w:rPr>
            </w:pPr>
            <w:r>
              <w:rPr>
                <w:color w:val="231F20"/>
                <w:w w:val="80"/>
                <w:sz w:val="14"/>
              </w:rPr>
              <w:t>Middle</w:t>
            </w:r>
            <w:r>
              <w:rPr>
                <w:color w:val="231F20"/>
                <w:spacing w:val="-1"/>
                <w:w w:val="85"/>
                <w:sz w:val="14"/>
              </w:rPr>
              <w:t> </w:t>
            </w:r>
            <w:r>
              <w:rPr>
                <w:color w:val="231F20"/>
                <w:spacing w:val="-4"/>
                <w:w w:val="85"/>
                <w:sz w:val="14"/>
              </w:rPr>
              <w:t>East</w:t>
            </w:r>
          </w:p>
        </w:tc>
        <w:tc>
          <w:tcPr>
            <w:tcW w:w="962" w:type="dxa"/>
          </w:tcPr>
          <w:p>
            <w:pPr>
              <w:pStyle w:val="TableParagraph"/>
              <w:spacing w:line="129" w:lineRule="exact" w:before="0"/>
              <w:ind w:right="99"/>
              <w:rPr>
                <w:sz w:val="14"/>
              </w:rPr>
            </w:pPr>
            <w:r>
              <w:rPr>
                <w:color w:val="231F20"/>
                <w:spacing w:val="-2"/>
                <w:w w:val="90"/>
                <w:sz w:val="14"/>
              </w:rPr>
              <w:t>North</w:t>
            </w:r>
          </w:p>
        </w:tc>
        <w:tc>
          <w:tcPr>
            <w:tcW w:w="881" w:type="dxa"/>
          </w:tcPr>
          <w:p>
            <w:pPr>
              <w:pStyle w:val="TableParagraph"/>
              <w:spacing w:line="129" w:lineRule="exact" w:before="0"/>
              <w:ind w:right="265"/>
              <w:jc w:val="right"/>
              <w:rPr>
                <w:sz w:val="14"/>
              </w:rPr>
            </w:pPr>
            <w:r>
              <w:rPr>
                <w:color w:val="231F20"/>
                <w:spacing w:val="-4"/>
                <w:w w:val="85"/>
                <w:sz w:val="14"/>
              </w:rPr>
              <w:t>South</w:t>
            </w:r>
          </w:p>
        </w:tc>
        <w:tc>
          <w:tcPr>
            <w:tcW w:w="965" w:type="dxa"/>
          </w:tcPr>
          <w:p>
            <w:pPr>
              <w:pStyle w:val="TableParagraph"/>
              <w:spacing w:line="129" w:lineRule="exact" w:before="0"/>
              <w:ind w:left="220"/>
              <w:rPr>
                <w:sz w:val="14"/>
              </w:rPr>
            </w:pPr>
            <w:r>
              <w:rPr>
                <w:color w:val="231F20"/>
                <w:w w:val="75"/>
                <w:sz w:val="14"/>
              </w:rPr>
              <w:t>Sub-</w:t>
            </w:r>
            <w:r>
              <w:rPr>
                <w:color w:val="231F20"/>
                <w:spacing w:val="-2"/>
                <w:w w:val="90"/>
                <w:sz w:val="14"/>
              </w:rPr>
              <w:t>Saharan</w:t>
            </w:r>
          </w:p>
        </w:tc>
      </w:tr>
      <w:tr>
        <w:trPr>
          <w:trHeight w:val="149" w:hRule="atLeast"/>
        </w:trPr>
        <w:tc>
          <w:tcPr>
            <w:tcW w:w="740" w:type="dxa"/>
          </w:tcPr>
          <w:p>
            <w:pPr>
              <w:pStyle w:val="TableParagraph"/>
              <w:spacing w:line="129" w:lineRule="exact" w:before="0"/>
              <w:ind w:left="56"/>
              <w:jc w:val="left"/>
              <w:rPr>
                <w:sz w:val="14"/>
              </w:rPr>
            </w:pPr>
            <w:r>
              <w:rPr>
                <w:color w:val="231F20"/>
                <w:w w:val="80"/>
                <w:sz w:val="14"/>
              </w:rPr>
              <w:t>&amp;</w:t>
            </w:r>
            <w:r>
              <w:rPr>
                <w:color w:val="231F20"/>
                <w:spacing w:val="-3"/>
                <w:w w:val="90"/>
                <w:sz w:val="14"/>
              </w:rPr>
              <w:t> </w:t>
            </w:r>
            <w:r>
              <w:rPr>
                <w:color w:val="231F20"/>
                <w:spacing w:val="-2"/>
                <w:w w:val="90"/>
                <w:sz w:val="14"/>
              </w:rPr>
              <w:t>Pacific</w:t>
            </w:r>
          </w:p>
        </w:tc>
        <w:tc>
          <w:tcPr>
            <w:tcW w:w="990" w:type="dxa"/>
          </w:tcPr>
          <w:p>
            <w:pPr>
              <w:pStyle w:val="TableParagraph"/>
              <w:spacing w:line="129" w:lineRule="exact" w:before="0"/>
              <w:ind w:left="84"/>
              <w:rPr>
                <w:sz w:val="14"/>
              </w:rPr>
            </w:pPr>
            <w:r>
              <w:rPr>
                <w:color w:val="231F20"/>
                <w:w w:val="75"/>
                <w:sz w:val="14"/>
              </w:rPr>
              <w:t>Central</w:t>
            </w:r>
            <w:r>
              <w:rPr>
                <w:color w:val="231F20"/>
                <w:spacing w:val="2"/>
                <w:sz w:val="14"/>
              </w:rPr>
              <w:t> </w:t>
            </w:r>
            <w:r>
              <w:rPr>
                <w:color w:val="231F20"/>
                <w:spacing w:val="-4"/>
                <w:w w:val="90"/>
                <w:sz w:val="14"/>
              </w:rPr>
              <w:t>Asia</w:t>
            </w:r>
          </w:p>
        </w:tc>
        <w:tc>
          <w:tcPr>
            <w:tcW w:w="1075" w:type="dxa"/>
          </w:tcPr>
          <w:p>
            <w:pPr>
              <w:pStyle w:val="TableParagraph"/>
              <w:spacing w:line="129" w:lineRule="exact" w:before="0"/>
              <w:ind w:left="25"/>
              <w:rPr>
                <w:sz w:val="14"/>
              </w:rPr>
            </w:pPr>
            <w:r>
              <w:rPr>
                <w:color w:val="231F20"/>
                <w:spacing w:val="-2"/>
                <w:w w:val="85"/>
                <w:sz w:val="14"/>
              </w:rPr>
              <w:t>Caribbean</w:t>
            </w:r>
          </w:p>
        </w:tc>
        <w:tc>
          <w:tcPr>
            <w:tcW w:w="1051" w:type="dxa"/>
          </w:tcPr>
          <w:p>
            <w:pPr>
              <w:pStyle w:val="TableParagraph"/>
              <w:spacing w:line="129" w:lineRule="exact" w:before="0"/>
              <w:ind w:right="92"/>
              <w:rPr>
                <w:sz w:val="14"/>
              </w:rPr>
            </w:pPr>
            <w:r>
              <w:rPr>
                <w:color w:val="231F20"/>
                <w:w w:val="75"/>
                <w:sz w:val="14"/>
              </w:rPr>
              <w:t>&amp;</w:t>
            </w:r>
            <w:r>
              <w:rPr>
                <w:color w:val="231F20"/>
                <w:spacing w:val="2"/>
                <w:sz w:val="14"/>
              </w:rPr>
              <w:t> </w:t>
            </w:r>
            <w:r>
              <w:rPr>
                <w:color w:val="231F20"/>
                <w:w w:val="75"/>
                <w:sz w:val="14"/>
              </w:rPr>
              <w:t>North</w:t>
            </w:r>
            <w:r>
              <w:rPr>
                <w:color w:val="231F20"/>
                <w:spacing w:val="-5"/>
                <w:sz w:val="14"/>
              </w:rPr>
              <w:t> </w:t>
            </w:r>
            <w:r>
              <w:rPr>
                <w:color w:val="231F20"/>
                <w:spacing w:val="-2"/>
                <w:w w:val="75"/>
                <w:sz w:val="14"/>
              </w:rPr>
              <w:t>Africa</w:t>
            </w:r>
          </w:p>
        </w:tc>
        <w:tc>
          <w:tcPr>
            <w:tcW w:w="962" w:type="dxa"/>
          </w:tcPr>
          <w:p>
            <w:pPr>
              <w:pStyle w:val="TableParagraph"/>
              <w:spacing w:line="129" w:lineRule="exact" w:before="0"/>
              <w:ind w:right="99"/>
              <w:rPr>
                <w:sz w:val="14"/>
              </w:rPr>
            </w:pPr>
            <w:r>
              <w:rPr>
                <w:color w:val="231F20"/>
                <w:spacing w:val="-2"/>
                <w:w w:val="90"/>
                <w:sz w:val="14"/>
              </w:rPr>
              <w:t>America</w:t>
            </w:r>
          </w:p>
        </w:tc>
        <w:tc>
          <w:tcPr>
            <w:tcW w:w="881" w:type="dxa"/>
          </w:tcPr>
          <w:p>
            <w:pPr>
              <w:pStyle w:val="TableParagraph"/>
              <w:spacing w:line="129" w:lineRule="exact" w:before="0"/>
              <w:ind w:right="303"/>
              <w:jc w:val="right"/>
              <w:rPr>
                <w:sz w:val="14"/>
              </w:rPr>
            </w:pPr>
            <w:r>
              <w:rPr>
                <w:color w:val="231F20"/>
                <w:spacing w:val="-4"/>
                <w:w w:val="85"/>
                <w:sz w:val="14"/>
              </w:rPr>
              <w:t>Asia</w:t>
            </w:r>
          </w:p>
        </w:tc>
        <w:tc>
          <w:tcPr>
            <w:tcW w:w="965" w:type="dxa"/>
          </w:tcPr>
          <w:p>
            <w:pPr>
              <w:pStyle w:val="TableParagraph"/>
              <w:spacing w:line="129" w:lineRule="exact" w:before="0"/>
              <w:ind w:left="220"/>
              <w:rPr>
                <w:sz w:val="14"/>
              </w:rPr>
            </w:pPr>
            <w:r>
              <w:rPr>
                <w:color w:val="231F20"/>
                <w:spacing w:val="-2"/>
                <w:w w:val="90"/>
                <w:sz w:val="14"/>
              </w:rPr>
              <w:t>Africa</w:t>
            </w:r>
          </w:p>
        </w:tc>
      </w:tr>
    </w:tbl>
    <w:p>
      <w:pPr>
        <w:pStyle w:val="BodyText"/>
        <w:rPr>
          <w:rFonts w:ascii="Arial"/>
          <w:sz w:val="20"/>
        </w:rPr>
      </w:pPr>
    </w:p>
    <w:p>
      <w:pPr>
        <w:pStyle w:val="BodyText"/>
        <w:rPr>
          <w:rFonts w:ascii="Arial"/>
          <w:sz w:val="20"/>
        </w:rPr>
      </w:pPr>
    </w:p>
    <w:p>
      <w:pPr>
        <w:pStyle w:val="BodyText"/>
        <w:spacing w:before="6"/>
        <w:rPr>
          <w:rFonts w:ascii="Arial"/>
          <w:sz w:val="20"/>
        </w:rPr>
      </w:pPr>
    </w:p>
    <w:p>
      <w:pPr>
        <w:spacing w:after="0"/>
        <w:rPr>
          <w:rFonts w:ascii="Arial"/>
          <w:sz w:val="20"/>
        </w:rPr>
        <w:sectPr>
          <w:pgSz w:w="12240" w:h="15840"/>
          <w:pgMar w:header="370" w:footer="548" w:top="560" w:bottom="740" w:left="0" w:right="540"/>
        </w:sectPr>
      </w:pPr>
    </w:p>
    <w:p>
      <w:pPr>
        <w:pStyle w:val="BodyText"/>
        <w:spacing w:line="268" w:lineRule="auto" w:before="97"/>
        <w:ind w:left="3360"/>
        <w:jc w:val="both"/>
      </w:pPr>
      <w:r>
        <w:rPr/>
        <mc:AlternateContent>
          <mc:Choice Requires="wps">
            <w:drawing>
              <wp:anchor distT="0" distB="0" distL="0" distR="0" allowOverlap="1" layoutInCell="1" locked="0" behindDoc="1" simplePos="0" relativeHeight="466779136">
                <wp:simplePos x="0" y="0"/>
                <wp:positionH relativeFrom="page">
                  <wp:posOffset>2133401</wp:posOffset>
                </wp:positionH>
                <wp:positionV relativeFrom="paragraph">
                  <wp:posOffset>-3007699</wp:posOffset>
                </wp:positionV>
                <wp:extent cx="4877435" cy="2837180"/>
                <wp:effectExtent l="0" t="0" r="0" b="0"/>
                <wp:wrapNone/>
                <wp:docPr id="1707" name="Group 1707"/>
                <wp:cNvGraphicFramePr>
                  <a:graphicFrameLocks/>
                </wp:cNvGraphicFramePr>
                <a:graphic>
                  <a:graphicData uri="http://schemas.microsoft.com/office/word/2010/wordprocessingGroup">
                    <wpg:wgp>
                      <wpg:cNvPr id="1707" name="Group 1707"/>
                      <wpg:cNvGrpSpPr/>
                      <wpg:grpSpPr>
                        <a:xfrm>
                          <a:off x="0" y="0"/>
                          <a:ext cx="4877435" cy="2837180"/>
                          <a:chExt cx="4877435" cy="2837180"/>
                        </a:xfrm>
                      </wpg:grpSpPr>
                      <wps:wsp>
                        <wps:cNvPr id="1708" name="Graphic 1708"/>
                        <wps:cNvSpPr/>
                        <wps:spPr>
                          <a:xfrm>
                            <a:off x="198" y="258093"/>
                            <a:ext cx="4876800" cy="2578735"/>
                          </a:xfrm>
                          <a:custGeom>
                            <a:avLst/>
                            <a:gdLst/>
                            <a:ahLst/>
                            <a:cxnLst/>
                            <a:rect l="l" t="t" r="r" b="b"/>
                            <a:pathLst>
                              <a:path w="4876800" h="2578735">
                                <a:moveTo>
                                  <a:pt x="4876800" y="0"/>
                                </a:moveTo>
                                <a:lnTo>
                                  <a:pt x="0" y="0"/>
                                </a:lnTo>
                                <a:lnTo>
                                  <a:pt x="0" y="2503805"/>
                                </a:lnTo>
                                <a:lnTo>
                                  <a:pt x="6159" y="2532903"/>
                                </a:lnTo>
                                <a:lnTo>
                                  <a:pt x="22693" y="2556663"/>
                                </a:lnTo>
                                <a:lnTo>
                                  <a:pt x="46682" y="2572683"/>
                                </a:lnTo>
                                <a:lnTo>
                                  <a:pt x="75209" y="2578557"/>
                                </a:lnTo>
                                <a:lnTo>
                                  <a:pt x="4797920" y="2578557"/>
                                </a:lnTo>
                                <a:lnTo>
                                  <a:pt x="4827020" y="2573302"/>
                                </a:lnTo>
                                <a:lnTo>
                                  <a:pt x="4852271" y="2558316"/>
                                </a:lnTo>
                                <a:lnTo>
                                  <a:pt x="4870066" y="2534762"/>
                                </a:lnTo>
                                <a:lnTo>
                                  <a:pt x="4876800" y="2503805"/>
                                </a:lnTo>
                                <a:lnTo>
                                  <a:pt x="4876800" y="0"/>
                                </a:lnTo>
                                <a:close/>
                              </a:path>
                            </a:pathLst>
                          </a:custGeom>
                          <a:solidFill>
                            <a:srgbClr val="DFEAF7"/>
                          </a:solidFill>
                        </wps:spPr>
                        <wps:bodyPr wrap="square" lIns="0" tIns="0" rIns="0" bIns="0" rtlCol="0">
                          <a:prstTxWarp prst="textNoShape">
                            <a:avLst/>
                          </a:prstTxWarp>
                          <a:noAutofit/>
                        </wps:bodyPr>
                      </wps:wsp>
                      <wps:wsp>
                        <wps:cNvPr id="1709" name="Graphic 1709"/>
                        <wps:cNvSpPr/>
                        <wps:spPr>
                          <a:xfrm>
                            <a:off x="0" y="0"/>
                            <a:ext cx="550545" cy="231775"/>
                          </a:xfrm>
                          <a:custGeom>
                            <a:avLst/>
                            <a:gdLst/>
                            <a:ahLst/>
                            <a:cxnLst/>
                            <a:rect l="l" t="t" r="r" b="b"/>
                            <a:pathLst>
                              <a:path w="550545" h="231775">
                                <a:moveTo>
                                  <a:pt x="550506" y="0"/>
                                </a:moveTo>
                                <a:lnTo>
                                  <a:pt x="76200" y="0"/>
                                </a:lnTo>
                                <a:lnTo>
                                  <a:pt x="47213" y="3058"/>
                                </a:lnTo>
                                <a:lnTo>
                                  <a:pt x="22917" y="14506"/>
                                </a:lnTo>
                                <a:lnTo>
                                  <a:pt x="6212" y="37751"/>
                                </a:lnTo>
                                <a:lnTo>
                                  <a:pt x="0" y="76200"/>
                                </a:lnTo>
                                <a:lnTo>
                                  <a:pt x="0" y="231775"/>
                                </a:lnTo>
                                <a:lnTo>
                                  <a:pt x="550506" y="231775"/>
                                </a:lnTo>
                                <a:lnTo>
                                  <a:pt x="550506" y="0"/>
                                </a:lnTo>
                                <a:close/>
                              </a:path>
                            </a:pathLst>
                          </a:custGeom>
                          <a:solidFill>
                            <a:srgbClr val="008FDD"/>
                          </a:solidFill>
                        </wps:spPr>
                        <wps:bodyPr wrap="square" lIns="0" tIns="0" rIns="0" bIns="0" rtlCol="0">
                          <a:prstTxWarp prst="textNoShape">
                            <a:avLst/>
                          </a:prstTxWarp>
                          <a:noAutofit/>
                        </wps:bodyPr>
                      </wps:wsp>
                      <wps:wsp>
                        <wps:cNvPr id="1710" name="Graphic 1710"/>
                        <wps:cNvSpPr/>
                        <wps:spPr>
                          <a:xfrm>
                            <a:off x="550506" y="0"/>
                            <a:ext cx="4326255" cy="231775"/>
                          </a:xfrm>
                          <a:custGeom>
                            <a:avLst/>
                            <a:gdLst/>
                            <a:ahLst/>
                            <a:cxnLst/>
                            <a:rect l="l" t="t" r="r" b="b"/>
                            <a:pathLst>
                              <a:path w="4326255" h="231775">
                                <a:moveTo>
                                  <a:pt x="4249597" y="0"/>
                                </a:moveTo>
                                <a:lnTo>
                                  <a:pt x="0" y="0"/>
                                </a:lnTo>
                                <a:lnTo>
                                  <a:pt x="0" y="231775"/>
                                </a:lnTo>
                                <a:lnTo>
                                  <a:pt x="4325797" y="231775"/>
                                </a:lnTo>
                                <a:lnTo>
                                  <a:pt x="4325797" y="76200"/>
                                </a:lnTo>
                                <a:lnTo>
                                  <a:pt x="4320292" y="50979"/>
                                </a:lnTo>
                                <a:lnTo>
                                  <a:pt x="4304766" y="26265"/>
                                </a:lnTo>
                                <a:lnTo>
                                  <a:pt x="4280706" y="7468"/>
                                </a:lnTo>
                                <a:lnTo>
                                  <a:pt x="4249597" y="0"/>
                                </a:lnTo>
                                <a:close/>
                              </a:path>
                            </a:pathLst>
                          </a:custGeom>
                          <a:solidFill>
                            <a:srgbClr val="808285"/>
                          </a:solidFill>
                        </wps:spPr>
                        <wps:bodyPr wrap="square" lIns="0" tIns="0" rIns="0" bIns="0" rtlCol="0">
                          <a:prstTxWarp prst="textNoShape">
                            <a:avLst/>
                          </a:prstTxWarp>
                          <a:noAutofit/>
                        </wps:bodyPr>
                      </wps:wsp>
                      <wps:wsp>
                        <wps:cNvPr id="1711" name="Graphic 1711"/>
                        <wps:cNvSpPr/>
                        <wps:spPr>
                          <a:xfrm>
                            <a:off x="550503"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wps:wsp>
                        <wps:cNvPr id="1712" name="Graphic 1712"/>
                        <wps:cNvSpPr/>
                        <wps:spPr>
                          <a:xfrm>
                            <a:off x="274403" y="2359124"/>
                            <a:ext cx="4458335" cy="1270"/>
                          </a:xfrm>
                          <a:custGeom>
                            <a:avLst/>
                            <a:gdLst/>
                            <a:ahLst/>
                            <a:cxnLst/>
                            <a:rect l="l" t="t" r="r" b="b"/>
                            <a:pathLst>
                              <a:path w="4458335" h="0">
                                <a:moveTo>
                                  <a:pt x="0" y="0"/>
                                </a:moveTo>
                                <a:lnTo>
                                  <a:pt x="4458093" y="0"/>
                                </a:lnTo>
                              </a:path>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713" name="Graphic 1713"/>
                        <wps:cNvSpPr/>
                        <wps:spPr>
                          <a:xfrm>
                            <a:off x="274403" y="1012657"/>
                            <a:ext cx="4458335" cy="897890"/>
                          </a:xfrm>
                          <a:custGeom>
                            <a:avLst/>
                            <a:gdLst/>
                            <a:ahLst/>
                            <a:cxnLst/>
                            <a:rect l="l" t="t" r="r" b="b"/>
                            <a:pathLst>
                              <a:path w="4458335" h="897890">
                                <a:moveTo>
                                  <a:pt x="0" y="897644"/>
                                </a:moveTo>
                                <a:lnTo>
                                  <a:pt x="175132" y="897644"/>
                                </a:lnTo>
                              </a:path>
                              <a:path w="4458335" h="897890">
                                <a:moveTo>
                                  <a:pt x="461721" y="897644"/>
                                </a:moveTo>
                                <a:lnTo>
                                  <a:pt x="812012" y="897644"/>
                                </a:lnTo>
                              </a:path>
                              <a:path w="4458335" h="897890">
                                <a:moveTo>
                                  <a:pt x="1098600" y="897644"/>
                                </a:moveTo>
                                <a:lnTo>
                                  <a:pt x="1448879" y="897644"/>
                                </a:lnTo>
                              </a:path>
                              <a:path w="4458335" h="897890">
                                <a:moveTo>
                                  <a:pt x="1735467" y="897644"/>
                                </a:moveTo>
                                <a:lnTo>
                                  <a:pt x="2085746" y="897644"/>
                                </a:lnTo>
                              </a:path>
                              <a:path w="4458335" h="897890">
                                <a:moveTo>
                                  <a:pt x="2372334" y="897644"/>
                                </a:moveTo>
                                <a:lnTo>
                                  <a:pt x="2722626" y="897644"/>
                                </a:lnTo>
                              </a:path>
                              <a:path w="4458335" h="897890">
                                <a:moveTo>
                                  <a:pt x="3009214" y="897644"/>
                                </a:moveTo>
                                <a:lnTo>
                                  <a:pt x="3359492" y="897644"/>
                                </a:lnTo>
                              </a:path>
                              <a:path w="4458335" h="897890">
                                <a:moveTo>
                                  <a:pt x="3646081" y="897644"/>
                                </a:moveTo>
                                <a:lnTo>
                                  <a:pt x="3996359" y="897644"/>
                                </a:lnTo>
                              </a:path>
                              <a:path w="4458335" h="897890">
                                <a:moveTo>
                                  <a:pt x="4282948" y="897644"/>
                                </a:moveTo>
                                <a:lnTo>
                                  <a:pt x="4458093" y="897644"/>
                                </a:lnTo>
                              </a:path>
                              <a:path w="4458335" h="897890">
                                <a:moveTo>
                                  <a:pt x="0" y="448821"/>
                                </a:moveTo>
                                <a:lnTo>
                                  <a:pt x="175132" y="448821"/>
                                </a:lnTo>
                              </a:path>
                              <a:path w="4458335" h="897890">
                                <a:moveTo>
                                  <a:pt x="461721" y="448821"/>
                                </a:moveTo>
                                <a:lnTo>
                                  <a:pt x="812012" y="448821"/>
                                </a:lnTo>
                              </a:path>
                              <a:path w="4458335" h="897890">
                                <a:moveTo>
                                  <a:pt x="1098600" y="448821"/>
                                </a:moveTo>
                                <a:lnTo>
                                  <a:pt x="1448879" y="448821"/>
                                </a:lnTo>
                              </a:path>
                              <a:path w="4458335" h="897890">
                                <a:moveTo>
                                  <a:pt x="1735467" y="448821"/>
                                </a:moveTo>
                                <a:lnTo>
                                  <a:pt x="2085746" y="448821"/>
                                </a:lnTo>
                              </a:path>
                              <a:path w="4458335" h="897890">
                                <a:moveTo>
                                  <a:pt x="2372334" y="448821"/>
                                </a:moveTo>
                                <a:lnTo>
                                  <a:pt x="2722626" y="448821"/>
                                </a:lnTo>
                              </a:path>
                              <a:path w="4458335" h="897890">
                                <a:moveTo>
                                  <a:pt x="3009214" y="448821"/>
                                </a:moveTo>
                                <a:lnTo>
                                  <a:pt x="3359492" y="448821"/>
                                </a:lnTo>
                              </a:path>
                              <a:path w="4458335" h="897890">
                                <a:moveTo>
                                  <a:pt x="3646081" y="448821"/>
                                </a:moveTo>
                                <a:lnTo>
                                  <a:pt x="3996359" y="448821"/>
                                </a:lnTo>
                              </a:path>
                              <a:path w="4458335" h="897890">
                                <a:moveTo>
                                  <a:pt x="4282948" y="448821"/>
                                </a:moveTo>
                                <a:lnTo>
                                  <a:pt x="4458093" y="448821"/>
                                </a:lnTo>
                              </a:path>
                              <a:path w="4458335" h="897890">
                                <a:moveTo>
                                  <a:pt x="0" y="0"/>
                                </a:moveTo>
                                <a:lnTo>
                                  <a:pt x="812012" y="0"/>
                                </a:lnTo>
                              </a:path>
                              <a:path w="4458335" h="897890">
                                <a:moveTo>
                                  <a:pt x="1098600" y="0"/>
                                </a:moveTo>
                                <a:lnTo>
                                  <a:pt x="2085746" y="0"/>
                                </a:lnTo>
                              </a:path>
                              <a:path w="4458335" h="897890">
                                <a:moveTo>
                                  <a:pt x="2372334" y="0"/>
                                </a:moveTo>
                                <a:lnTo>
                                  <a:pt x="2722626" y="0"/>
                                </a:lnTo>
                              </a:path>
                              <a:path w="4458335" h="897890">
                                <a:moveTo>
                                  <a:pt x="3009214" y="0"/>
                                </a:moveTo>
                                <a:lnTo>
                                  <a:pt x="3359492" y="0"/>
                                </a:lnTo>
                              </a:path>
                              <a:path w="4458335" h="897890">
                                <a:moveTo>
                                  <a:pt x="3646081"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714" name="Graphic 1714"/>
                        <wps:cNvSpPr/>
                        <wps:spPr>
                          <a:xfrm>
                            <a:off x="274403" y="563835"/>
                            <a:ext cx="4458335" cy="1270"/>
                          </a:xfrm>
                          <a:custGeom>
                            <a:avLst/>
                            <a:gdLst/>
                            <a:ahLst/>
                            <a:cxnLst/>
                            <a:rect l="l" t="t" r="r" b="b"/>
                            <a:pathLst>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715" name="Graphic 1715"/>
                        <wps:cNvSpPr/>
                        <wps:spPr>
                          <a:xfrm>
                            <a:off x="449536" y="1178725"/>
                            <a:ext cx="287020" cy="1180465"/>
                          </a:xfrm>
                          <a:custGeom>
                            <a:avLst/>
                            <a:gdLst/>
                            <a:ahLst/>
                            <a:cxnLst/>
                            <a:rect l="l" t="t" r="r" b="b"/>
                            <a:pathLst>
                              <a:path w="287020" h="1180465">
                                <a:moveTo>
                                  <a:pt x="286588" y="0"/>
                                </a:moveTo>
                                <a:lnTo>
                                  <a:pt x="0" y="0"/>
                                </a:lnTo>
                                <a:lnTo>
                                  <a:pt x="0" y="1180401"/>
                                </a:lnTo>
                                <a:lnTo>
                                  <a:pt x="286588" y="1180401"/>
                                </a:lnTo>
                                <a:lnTo>
                                  <a:pt x="286588" y="0"/>
                                </a:lnTo>
                                <a:close/>
                              </a:path>
                            </a:pathLst>
                          </a:custGeom>
                          <a:solidFill>
                            <a:srgbClr val="008FDD"/>
                          </a:solidFill>
                        </wps:spPr>
                        <wps:bodyPr wrap="square" lIns="0" tIns="0" rIns="0" bIns="0" rtlCol="0">
                          <a:prstTxWarp prst="textNoShape">
                            <a:avLst/>
                          </a:prstTxWarp>
                          <a:noAutofit/>
                        </wps:bodyPr>
                      </wps:wsp>
                      <wps:wsp>
                        <wps:cNvPr id="1716" name="Graphic 1716"/>
                        <wps:cNvSpPr/>
                        <wps:spPr>
                          <a:xfrm>
                            <a:off x="449538" y="1178725"/>
                            <a:ext cx="287020" cy="1180465"/>
                          </a:xfrm>
                          <a:custGeom>
                            <a:avLst/>
                            <a:gdLst/>
                            <a:ahLst/>
                            <a:cxnLst/>
                            <a:rect l="l" t="t" r="r" b="b"/>
                            <a:pathLst>
                              <a:path w="287020" h="1180465">
                                <a:moveTo>
                                  <a:pt x="0" y="0"/>
                                </a:moveTo>
                                <a:lnTo>
                                  <a:pt x="286588" y="0"/>
                                </a:lnTo>
                                <a:lnTo>
                                  <a:pt x="286588" y="1180401"/>
                                </a:lnTo>
                                <a:lnTo>
                                  <a:pt x="0" y="1180401"/>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717" name="Graphic 1717"/>
                        <wps:cNvSpPr/>
                        <wps:spPr>
                          <a:xfrm>
                            <a:off x="1086416" y="579539"/>
                            <a:ext cx="287020" cy="1779905"/>
                          </a:xfrm>
                          <a:custGeom>
                            <a:avLst/>
                            <a:gdLst/>
                            <a:ahLst/>
                            <a:cxnLst/>
                            <a:rect l="l" t="t" r="r" b="b"/>
                            <a:pathLst>
                              <a:path w="287020" h="1779905">
                                <a:moveTo>
                                  <a:pt x="286588" y="0"/>
                                </a:moveTo>
                                <a:lnTo>
                                  <a:pt x="0" y="0"/>
                                </a:lnTo>
                                <a:lnTo>
                                  <a:pt x="0" y="1779574"/>
                                </a:lnTo>
                                <a:lnTo>
                                  <a:pt x="286588" y="1779574"/>
                                </a:lnTo>
                                <a:lnTo>
                                  <a:pt x="286588" y="0"/>
                                </a:lnTo>
                                <a:close/>
                              </a:path>
                            </a:pathLst>
                          </a:custGeom>
                          <a:solidFill>
                            <a:srgbClr val="008FDD"/>
                          </a:solidFill>
                        </wps:spPr>
                        <wps:bodyPr wrap="square" lIns="0" tIns="0" rIns="0" bIns="0" rtlCol="0">
                          <a:prstTxWarp prst="textNoShape">
                            <a:avLst/>
                          </a:prstTxWarp>
                          <a:noAutofit/>
                        </wps:bodyPr>
                      </wps:wsp>
                      <wps:wsp>
                        <wps:cNvPr id="1718" name="Graphic 1718"/>
                        <wps:cNvSpPr/>
                        <wps:spPr>
                          <a:xfrm>
                            <a:off x="1086417" y="579539"/>
                            <a:ext cx="287020" cy="1779905"/>
                          </a:xfrm>
                          <a:custGeom>
                            <a:avLst/>
                            <a:gdLst/>
                            <a:ahLst/>
                            <a:cxnLst/>
                            <a:rect l="l" t="t" r="r" b="b"/>
                            <a:pathLst>
                              <a:path w="287020" h="1779905">
                                <a:moveTo>
                                  <a:pt x="0" y="0"/>
                                </a:moveTo>
                                <a:lnTo>
                                  <a:pt x="286588" y="0"/>
                                </a:lnTo>
                                <a:lnTo>
                                  <a:pt x="286588" y="1779574"/>
                                </a:lnTo>
                                <a:lnTo>
                                  <a:pt x="0" y="1779574"/>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719" name="Graphic 1719"/>
                        <wps:cNvSpPr/>
                        <wps:spPr>
                          <a:xfrm>
                            <a:off x="1723283" y="1154036"/>
                            <a:ext cx="287020" cy="1205230"/>
                          </a:xfrm>
                          <a:custGeom>
                            <a:avLst/>
                            <a:gdLst/>
                            <a:ahLst/>
                            <a:cxnLst/>
                            <a:rect l="l" t="t" r="r" b="b"/>
                            <a:pathLst>
                              <a:path w="287020" h="1205230">
                                <a:moveTo>
                                  <a:pt x="286588" y="0"/>
                                </a:moveTo>
                                <a:lnTo>
                                  <a:pt x="0" y="0"/>
                                </a:lnTo>
                                <a:lnTo>
                                  <a:pt x="0" y="1205090"/>
                                </a:lnTo>
                                <a:lnTo>
                                  <a:pt x="286588" y="1205090"/>
                                </a:lnTo>
                                <a:lnTo>
                                  <a:pt x="286588" y="0"/>
                                </a:lnTo>
                                <a:close/>
                              </a:path>
                            </a:pathLst>
                          </a:custGeom>
                          <a:solidFill>
                            <a:srgbClr val="008FDD"/>
                          </a:solidFill>
                        </wps:spPr>
                        <wps:bodyPr wrap="square" lIns="0" tIns="0" rIns="0" bIns="0" rtlCol="0">
                          <a:prstTxWarp prst="textNoShape">
                            <a:avLst/>
                          </a:prstTxWarp>
                          <a:noAutofit/>
                        </wps:bodyPr>
                      </wps:wsp>
                      <wps:wsp>
                        <wps:cNvPr id="1720" name="Graphic 1720"/>
                        <wps:cNvSpPr/>
                        <wps:spPr>
                          <a:xfrm>
                            <a:off x="1723284" y="1154036"/>
                            <a:ext cx="287020" cy="1205230"/>
                          </a:xfrm>
                          <a:custGeom>
                            <a:avLst/>
                            <a:gdLst/>
                            <a:ahLst/>
                            <a:cxnLst/>
                            <a:rect l="l" t="t" r="r" b="b"/>
                            <a:pathLst>
                              <a:path w="287020" h="1205230">
                                <a:moveTo>
                                  <a:pt x="0" y="0"/>
                                </a:moveTo>
                                <a:lnTo>
                                  <a:pt x="286588" y="0"/>
                                </a:lnTo>
                                <a:lnTo>
                                  <a:pt x="286588" y="1205090"/>
                                </a:lnTo>
                                <a:lnTo>
                                  <a:pt x="0" y="1205090"/>
                                </a:lnTo>
                                <a:lnTo>
                                  <a:pt x="0" y="0"/>
                                </a:lnTo>
                                <a:close/>
                              </a:path>
                            </a:pathLst>
                          </a:custGeom>
                          <a:ln w="3174">
                            <a:solidFill>
                              <a:srgbClr val="FFFFFF"/>
                            </a:solidFill>
                            <a:prstDash val="solid"/>
                          </a:ln>
                        </wps:spPr>
                        <wps:bodyPr wrap="square" lIns="0" tIns="0" rIns="0" bIns="0" rtlCol="0">
                          <a:prstTxWarp prst="textNoShape">
                            <a:avLst/>
                          </a:prstTxWarp>
                          <a:noAutofit/>
                        </wps:bodyPr>
                      </wps:wsp>
                      <wps:wsp>
                        <wps:cNvPr id="1721" name="Graphic 1721"/>
                        <wps:cNvSpPr/>
                        <wps:spPr>
                          <a:xfrm>
                            <a:off x="2360150" y="756831"/>
                            <a:ext cx="287020" cy="1602740"/>
                          </a:xfrm>
                          <a:custGeom>
                            <a:avLst/>
                            <a:gdLst/>
                            <a:ahLst/>
                            <a:cxnLst/>
                            <a:rect l="l" t="t" r="r" b="b"/>
                            <a:pathLst>
                              <a:path w="287020" h="1602740">
                                <a:moveTo>
                                  <a:pt x="286588" y="0"/>
                                </a:moveTo>
                                <a:lnTo>
                                  <a:pt x="0" y="0"/>
                                </a:lnTo>
                                <a:lnTo>
                                  <a:pt x="0" y="1602295"/>
                                </a:lnTo>
                                <a:lnTo>
                                  <a:pt x="286588" y="1602295"/>
                                </a:lnTo>
                                <a:lnTo>
                                  <a:pt x="286588" y="0"/>
                                </a:lnTo>
                                <a:close/>
                              </a:path>
                            </a:pathLst>
                          </a:custGeom>
                          <a:solidFill>
                            <a:srgbClr val="008FDD"/>
                          </a:solidFill>
                        </wps:spPr>
                        <wps:bodyPr wrap="square" lIns="0" tIns="0" rIns="0" bIns="0" rtlCol="0">
                          <a:prstTxWarp prst="textNoShape">
                            <a:avLst/>
                          </a:prstTxWarp>
                          <a:noAutofit/>
                        </wps:bodyPr>
                      </wps:wsp>
                      <wps:wsp>
                        <wps:cNvPr id="1722" name="Graphic 1722"/>
                        <wps:cNvSpPr/>
                        <wps:spPr>
                          <a:xfrm>
                            <a:off x="2360151" y="756831"/>
                            <a:ext cx="287020" cy="1602740"/>
                          </a:xfrm>
                          <a:custGeom>
                            <a:avLst/>
                            <a:gdLst/>
                            <a:ahLst/>
                            <a:cxnLst/>
                            <a:rect l="l" t="t" r="r" b="b"/>
                            <a:pathLst>
                              <a:path w="287020" h="1602740">
                                <a:moveTo>
                                  <a:pt x="0" y="0"/>
                                </a:moveTo>
                                <a:lnTo>
                                  <a:pt x="286588" y="0"/>
                                </a:lnTo>
                                <a:lnTo>
                                  <a:pt x="286588" y="1602295"/>
                                </a:lnTo>
                                <a:lnTo>
                                  <a:pt x="0" y="1602295"/>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723" name="Graphic 1723"/>
                        <wps:cNvSpPr/>
                        <wps:spPr>
                          <a:xfrm>
                            <a:off x="2997029" y="862304"/>
                            <a:ext cx="287020" cy="1497330"/>
                          </a:xfrm>
                          <a:custGeom>
                            <a:avLst/>
                            <a:gdLst/>
                            <a:ahLst/>
                            <a:cxnLst/>
                            <a:rect l="l" t="t" r="r" b="b"/>
                            <a:pathLst>
                              <a:path w="287020" h="1497330">
                                <a:moveTo>
                                  <a:pt x="286588" y="0"/>
                                </a:moveTo>
                                <a:lnTo>
                                  <a:pt x="0" y="0"/>
                                </a:lnTo>
                                <a:lnTo>
                                  <a:pt x="0" y="1496822"/>
                                </a:lnTo>
                                <a:lnTo>
                                  <a:pt x="286588" y="1496822"/>
                                </a:lnTo>
                                <a:lnTo>
                                  <a:pt x="286588" y="0"/>
                                </a:lnTo>
                                <a:close/>
                              </a:path>
                            </a:pathLst>
                          </a:custGeom>
                          <a:solidFill>
                            <a:srgbClr val="008FDD"/>
                          </a:solidFill>
                        </wps:spPr>
                        <wps:bodyPr wrap="square" lIns="0" tIns="0" rIns="0" bIns="0" rtlCol="0">
                          <a:prstTxWarp prst="textNoShape">
                            <a:avLst/>
                          </a:prstTxWarp>
                          <a:noAutofit/>
                        </wps:bodyPr>
                      </wps:wsp>
                      <wps:wsp>
                        <wps:cNvPr id="1724" name="Graphic 1724"/>
                        <wps:cNvSpPr/>
                        <wps:spPr>
                          <a:xfrm>
                            <a:off x="2997031" y="862304"/>
                            <a:ext cx="287020" cy="1497330"/>
                          </a:xfrm>
                          <a:custGeom>
                            <a:avLst/>
                            <a:gdLst/>
                            <a:ahLst/>
                            <a:cxnLst/>
                            <a:rect l="l" t="t" r="r" b="b"/>
                            <a:pathLst>
                              <a:path w="287020" h="1497330">
                                <a:moveTo>
                                  <a:pt x="0" y="0"/>
                                </a:moveTo>
                                <a:lnTo>
                                  <a:pt x="286588" y="0"/>
                                </a:lnTo>
                                <a:lnTo>
                                  <a:pt x="286588" y="1496822"/>
                                </a:lnTo>
                                <a:lnTo>
                                  <a:pt x="0" y="1496822"/>
                                </a:lnTo>
                                <a:lnTo>
                                  <a:pt x="0" y="0"/>
                                </a:lnTo>
                                <a:close/>
                              </a:path>
                            </a:pathLst>
                          </a:custGeom>
                          <a:ln w="3174">
                            <a:solidFill>
                              <a:srgbClr val="FFFFFF"/>
                            </a:solidFill>
                            <a:prstDash val="solid"/>
                          </a:ln>
                        </wps:spPr>
                        <wps:bodyPr wrap="square" lIns="0" tIns="0" rIns="0" bIns="0" rtlCol="0">
                          <a:prstTxWarp prst="textNoShape">
                            <a:avLst/>
                          </a:prstTxWarp>
                          <a:noAutofit/>
                        </wps:bodyPr>
                      </wps:wsp>
                      <wps:wsp>
                        <wps:cNvPr id="1725" name="Graphic 1725"/>
                        <wps:cNvSpPr/>
                        <wps:spPr>
                          <a:xfrm>
                            <a:off x="3633896" y="956551"/>
                            <a:ext cx="287020" cy="1402715"/>
                          </a:xfrm>
                          <a:custGeom>
                            <a:avLst/>
                            <a:gdLst/>
                            <a:ahLst/>
                            <a:cxnLst/>
                            <a:rect l="l" t="t" r="r" b="b"/>
                            <a:pathLst>
                              <a:path w="287020" h="1402715">
                                <a:moveTo>
                                  <a:pt x="286588" y="0"/>
                                </a:moveTo>
                                <a:lnTo>
                                  <a:pt x="0" y="0"/>
                                </a:lnTo>
                                <a:lnTo>
                                  <a:pt x="0" y="1402575"/>
                                </a:lnTo>
                                <a:lnTo>
                                  <a:pt x="286588" y="1402575"/>
                                </a:lnTo>
                                <a:lnTo>
                                  <a:pt x="286588" y="0"/>
                                </a:lnTo>
                                <a:close/>
                              </a:path>
                            </a:pathLst>
                          </a:custGeom>
                          <a:solidFill>
                            <a:srgbClr val="008FDD"/>
                          </a:solidFill>
                        </wps:spPr>
                        <wps:bodyPr wrap="square" lIns="0" tIns="0" rIns="0" bIns="0" rtlCol="0">
                          <a:prstTxWarp prst="textNoShape">
                            <a:avLst/>
                          </a:prstTxWarp>
                          <a:noAutofit/>
                        </wps:bodyPr>
                      </wps:wsp>
                      <wps:wsp>
                        <wps:cNvPr id="1726" name="Graphic 1726"/>
                        <wps:cNvSpPr/>
                        <wps:spPr>
                          <a:xfrm>
                            <a:off x="3633897" y="956551"/>
                            <a:ext cx="287020" cy="1402715"/>
                          </a:xfrm>
                          <a:custGeom>
                            <a:avLst/>
                            <a:gdLst/>
                            <a:ahLst/>
                            <a:cxnLst/>
                            <a:rect l="l" t="t" r="r" b="b"/>
                            <a:pathLst>
                              <a:path w="287020" h="1402715">
                                <a:moveTo>
                                  <a:pt x="0" y="0"/>
                                </a:moveTo>
                                <a:lnTo>
                                  <a:pt x="286588" y="0"/>
                                </a:lnTo>
                                <a:lnTo>
                                  <a:pt x="286588" y="1402575"/>
                                </a:lnTo>
                                <a:lnTo>
                                  <a:pt x="0" y="1402575"/>
                                </a:lnTo>
                                <a:lnTo>
                                  <a:pt x="0" y="0"/>
                                </a:lnTo>
                                <a:close/>
                              </a:path>
                            </a:pathLst>
                          </a:custGeom>
                          <a:ln w="3174">
                            <a:solidFill>
                              <a:srgbClr val="FFFFFF"/>
                            </a:solidFill>
                            <a:prstDash val="solid"/>
                          </a:ln>
                        </wps:spPr>
                        <wps:bodyPr wrap="square" lIns="0" tIns="0" rIns="0" bIns="0" rtlCol="0">
                          <a:prstTxWarp prst="textNoShape">
                            <a:avLst/>
                          </a:prstTxWarp>
                          <a:noAutofit/>
                        </wps:bodyPr>
                      </wps:wsp>
                      <wps:wsp>
                        <wps:cNvPr id="1727" name="Graphic 1727"/>
                        <wps:cNvSpPr/>
                        <wps:spPr>
                          <a:xfrm>
                            <a:off x="4270763" y="1331315"/>
                            <a:ext cx="287020" cy="1028065"/>
                          </a:xfrm>
                          <a:custGeom>
                            <a:avLst/>
                            <a:gdLst/>
                            <a:ahLst/>
                            <a:cxnLst/>
                            <a:rect l="l" t="t" r="r" b="b"/>
                            <a:pathLst>
                              <a:path w="287020" h="1028065">
                                <a:moveTo>
                                  <a:pt x="286588" y="0"/>
                                </a:moveTo>
                                <a:lnTo>
                                  <a:pt x="0" y="0"/>
                                </a:lnTo>
                                <a:lnTo>
                                  <a:pt x="0" y="1027798"/>
                                </a:lnTo>
                                <a:lnTo>
                                  <a:pt x="286588" y="1027798"/>
                                </a:lnTo>
                                <a:lnTo>
                                  <a:pt x="286588" y="0"/>
                                </a:lnTo>
                                <a:close/>
                              </a:path>
                            </a:pathLst>
                          </a:custGeom>
                          <a:solidFill>
                            <a:srgbClr val="008FDD"/>
                          </a:solidFill>
                        </wps:spPr>
                        <wps:bodyPr wrap="square" lIns="0" tIns="0" rIns="0" bIns="0" rtlCol="0">
                          <a:prstTxWarp prst="textNoShape">
                            <a:avLst/>
                          </a:prstTxWarp>
                          <a:noAutofit/>
                        </wps:bodyPr>
                      </wps:wsp>
                      <wps:wsp>
                        <wps:cNvPr id="1728" name="Graphic 1728"/>
                        <wps:cNvSpPr/>
                        <wps:spPr>
                          <a:xfrm>
                            <a:off x="4270764" y="1331315"/>
                            <a:ext cx="287020" cy="1028065"/>
                          </a:xfrm>
                          <a:custGeom>
                            <a:avLst/>
                            <a:gdLst/>
                            <a:ahLst/>
                            <a:cxnLst/>
                            <a:rect l="l" t="t" r="r" b="b"/>
                            <a:pathLst>
                              <a:path w="287020" h="1028065">
                                <a:moveTo>
                                  <a:pt x="0" y="0"/>
                                </a:moveTo>
                                <a:lnTo>
                                  <a:pt x="286588" y="0"/>
                                </a:lnTo>
                                <a:lnTo>
                                  <a:pt x="286588" y="1027798"/>
                                </a:lnTo>
                                <a:lnTo>
                                  <a:pt x="0" y="1027798"/>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729" name="Graphic 1729"/>
                        <wps:cNvSpPr/>
                        <wps:spPr>
                          <a:xfrm>
                            <a:off x="273893" y="2359124"/>
                            <a:ext cx="4415790" cy="1270"/>
                          </a:xfrm>
                          <a:custGeom>
                            <a:avLst/>
                            <a:gdLst/>
                            <a:ahLst/>
                            <a:cxnLst/>
                            <a:rect l="l" t="t" r="r" b="b"/>
                            <a:pathLst>
                              <a:path w="4415790" h="0">
                                <a:moveTo>
                                  <a:pt x="0" y="0"/>
                                </a:moveTo>
                                <a:lnTo>
                                  <a:pt x="4415764" y="0"/>
                                </a:lnTo>
                              </a:path>
                            </a:pathLst>
                          </a:custGeom>
                          <a:ln w="6350">
                            <a:solidFill>
                              <a:srgbClr val="FFFFFF"/>
                            </a:solidFill>
                            <a:prstDash val="solid"/>
                          </a:ln>
                        </wps:spPr>
                        <wps:bodyPr wrap="square" lIns="0" tIns="0" rIns="0" bIns="0" rtlCol="0">
                          <a:prstTxWarp prst="textNoShape">
                            <a:avLst/>
                          </a:prstTxWarp>
                          <a:noAutofit/>
                        </wps:bodyPr>
                      </wps:wsp>
                      <wps:wsp>
                        <wps:cNvPr id="1730" name="Textbox 1730"/>
                        <wps:cNvSpPr txBox="1"/>
                        <wps:spPr>
                          <a:xfrm>
                            <a:off x="76380" y="66855"/>
                            <a:ext cx="4535805" cy="551180"/>
                          </a:xfrm>
                          <a:prstGeom prst="rect">
                            <a:avLst/>
                          </a:prstGeom>
                        </wps:spPr>
                        <wps:txbx>
                          <w:txbxContent>
                            <w:p>
                              <w:pPr>
                                <w:spacing w:before="3"/>
                                <w:ind w:left="0" w:right="0" w:firstLine="0"/>
                                <w:jc w:val="left"/>
                                <w:rPr>
                                  <w:rFonts w:ascii="Arial"/>
                                  <w:b/>
                                  <w:sz w:val="16"/>
                                </w:rPr>
                              </w:pPr>
                              <w:r>
                                <w:rPr>
                                  <w:rFonts w:ascii="Arial"/>
                                  <w:color w:val="FFFFFF"/>
                                  <w:sz w:val="16"/>
                                </w:rPr>
                                <w:t>Figure</w:t>
                              </w:r>
                              <w:r>
                                <w:rPr>
                                  <w:rFonts w:ascii="Arial"/>
                                  <w:color w:val="FFFFFF"/>
                                  <w:spacing w:val="3"/>
                                  <w:sz w:val="16"/>
                                </w:rPr>
                                <w:t> </w:t>
                              </w:r>
                              <w:r>
                                <w:rPr>
                                  <w:rFonts w:ascii="Arial"/>
                                  <w:b/>
                                  <w:color w:val="FFFFFF"/>
                                  <w:sz w:val="16"/>
                                </w:rPr>
                                <w:t>A4.3</w:t>
                              </w:r>
                              <w:r>
                                <w:rPr>
                                  <w:rFonts w:ascii="Arial"/>
                                  <w:b/>
                                  <w:color w:val="FFFFFF"/>
                                  <w:spacing w:val="41"/>
                                  <w:sz w:val="16"/>
                                </w:rPr>
                                <w:t>  </w:t>
                              </w:r>
                              <w:r>
                                <w:rPr>
                                  <w:rFonts w:ascii="Arial"/>
                                  <w:b/>
                                  <w:color w:val="FFFFFF"/>
                                  <w:sz w:val="16"/>
                                </w:rPr>
                                <w:t>Country</w:t>
                              </w:r>
                              <w:r>
                                <w:rPr>
                                  <w:rFonts w:ascii="Arial"/>
                                  <w:b/>
                                  <w:color w:val="FFFFFF"/>
                                  <w:spacing w:val="7"/>
                                  <w:sz w:val="16"/>
                                </w:rPr>
                                <w:t> </w:t>
                              </w:r>
                              <w:r>
                                <w:rPr>
                                  <w:rFonts w:ascii="Arial"/>
                                  <w:b/>
                                  <w:color w:val="FFFFFF"/>
                                  <w:sz w:val="16"/>
                                </w:rPr>
                                <w:t>coverage</w:t>
                              </w:r>
                              <w:r>
                                <w:rPr>
                                  <w:rFonts w:ascii="Arial"/>
                                  <w:b/>
                                  <w:color w:val="FFFFFF"/>
                                  <w:spacing w:val="7"/>
                                  <w:sz w:val="16"/>
                                </w:rPr>
                                <w:t> </w:t>
                              </w:r>
                              <w:r>
                                <w:rPr>
                                  <w:rFonts w:ascii="Arial"/>
                                  <w:b/>
                                  <w:color w:val="FFFFFF"/>
                                  <w:sz w:val="16"/>
                                </w:rPr>
                                <w:t>of</w:t>
                              </w:r>
                              <w:r>
                                <w:rPr>
                                  <w:rFonts w:ascii="Arial"/>
                                  <w:b/>
                                  <w:color w:val="FFFFFF"/>
                                  <w:spacing w:val="7"/>
                                  <w:sz w:val="16"/>
                                </w:rPr>
                                <w:t> </w:t>
                              </w:r>
                              <w:r>
                                <w:rPr>
                                  <w:rFonts w:ascii="Arial"/>
                                  <w:b/>
                                  <w:color w:val="FFFFFF"/>
                                  <w:sz w:val="16"/>
                                </w:rPr>
                                <w:t>the</w:t>
                              </w:r>
                              <w:r>
                                <w:rPr>
                                  <w:rFonts w:ascii="Arial"/>
                                  <w:b/>
                                  <w:color w:val="FFFFFF"/>
                                  <w:spacing w:val="7"/>
                                  <w:sz w:val="16"/>
                                </w:rPr>
                                <w:t> </w:t>
                              </w:r>
                              <w:r>
                                <w:rPr>
                                  <w:rFonts w:ascii="Arial"/>
                                  <w:b/>
                                  <w:color w:val="FFFFFF"/>
                                  <w:sz w:val="16"/>
                                </w:rPr>
                                <w:t>Universal</w:t>
                              </w:r>
                              <w:r>
                                <w:rPr>
                                  <w:rFonts w:ascii="Arial"/>
                                  <w:b/>
                                  <w:color w:val="FFFFFF"/>
                                  <w:spacing w:val="6"/>
                                  <w:sz w:val="16"/>
                                </w:rPr>
                                <w:t> </w:t>
                              </w:r>
                              <w:r>
                                <w:rPr>
                                  <w:rFonts w:ascii="Arial"/>
                                  <w:b/>
                                  <w:color w:val="FFFFFF"/>
                                  <w:sz w:val="16"/>
                                </w:rPr>
                                <w:t>Postal</w:t>
                              </w:r>
                              <w:r>
                                <w:rPr>
                                  <w:rFonts w:ascii="Arial"/>
                                  <w:b/>
                                  <w:color w:val="FFFFFF"/>
                                  <w:spacing w:val="7"/>
                                  <w:sz w:val="16"/>
                                </w:rPr>
                                <w:t> </w:t>
                              </w:r>
                              <w:r>
                                <w:rPr>
                                  <w:rFonts w:ascii="Arial"/>
                                  <w:b/>
                                  <w:color w:val="FFFFFF"/>
                                  <w:sz w:val="16"/>
                                </w:rPr>
                                <w:t>Union</w:t>
                              </w:r>
                              <w:r>
                                <w:rPr>
                                  <w:rFonts w:ascii="Arial"/>
                                  <w:b/>
                                  <w:color w:val="FFFFFF"/>
                                  <w:spacing w:val="7"/>
                                  <w:sz w:val="16"/>
                                </w:rPr>
                                <w:t> </w:t>
                              </w:r>
                              <w:r>
                                <w:rPr>
                                  <w:rFonts w:ascii="Arial"/>
                                  <w:b/>
                                  <w:color w:val="FFFFFF"/>
                                  <w:sz w:val="16"/>
                                </w:rPr>
                                <w:t>dataset,</w:t>
                              </w:r>
                              <w:r>
                                <w:rPr>
                                  <w:rFonts w:ascii="Arial"/>
                                  <w:b/>
                                  <w:color w:val="FFFFFF"/>
                                  <w:spacing w:val="7"/>
                                  <w:sz w:val="16"/>
                                </w:rPr>
                                <w:t> </w:t>
                              </w:r>
                              <w:r>
                                <w:rPr>
                                  <w:rFonts w:ascii="Arial"/>
                                  <w:b/>
                                  <w:color w:val="FFFFFF"/>
                                  <w:sz w:val="16"/>
                                </w:rPr>
                                <w:t>by</w:t>
                              </w:r>
                              <w:r>
                                <w:rPr>
                                  <w:rFonts w:ascii="Arial"/>
                                  <w:b/>
                                  <w:color w:val="FFFFFF"/>
                                  <w:spacing w:val="6"/>
                                  <w:sz w:val="16"/>
                                </w:rPr>
                                <w:t> </w:t>
                              </w:r>
                              <w:r>
                                <w:rPr>
                                  <w:rFonts w:ascii="Arial"/>
                                  <w:b/>
                                  <w:color w:val="FFFFFF"/>
                                  <w:sz w:val="16"/>
                                </w:rPr>
                                <w:t>World</w:t>
                              </w:r>
                              <w:r>
                                <w:rPr>
                                  <w:rFonts w:ascii="Arial"/>
                                  <w:b/>
                                  <w:color w:val="FFFFFF"/>
                                  <w:spacing w:val="7"/>
                                  <w:sz w:val="16"/>
                                </w:rPr>
                                <w:t> </w:t>
                              </w:r>
                              <w:r>
                                <w:rPr>
                                  <w:rFonts w:ascii="Arial"/>
                                  <w:b/>
                                  <w:color w:val="FFFFFF"/>
                                  <w:sz w:val="16"/>
                                </w:rPr>
                                <w:t>Bank</w:t>
                              </w:r>
                              <w:r>
                                <w:rPr>
                                  <w:rFonts w:ascii="Arial"/>
                                  <w:b/>
                                  <w:color w:val="FFFFFF"/>
                                  <w:spacing w:val="7"/>
                                  <w:sz w:val="16"/>
                                </w:rPr>
                                <w:t> </w:t>
                              </w:r>
                              <w:r>
                                <w:rPr>
                                  <w:rFonts w:ascii="Arial"/>
                                  <w:b/>
                                  <w:color w:val="FFFFFF"/>
                                  <w:spacing w:val="-2"/>
                                  <w:sz w:val="16"/>
                                </w:rPr>
                                <w:t>region</w:t>
                              </w:r>
                            </w:p>
                            <w:p>
                              <w:pPr>
                                <w:spacing w:line="240" w:lineRule="auto" w:before="10"/>
                                <w:rPr>
                                  <w:rFonts w:ascii="Arial"/>
                                  <w:b/>
                                  <w:sz w:val="16"/>
                                </w:rPr>
                              </w:pPr>
                            </w:p>
                            <w:p>
                              <w:pPr>
                                <w:spacing w:line="240" w:lineRule="atLeast" w:before="0"/>
                                <w:ind w:left="67" w:right="5490" w:hanging="68"/>
                                <w:jc w:val="left"/>
                                <w:rPr>
                                  <w:rFonts w:ascii="Arial"/>
                                  <w:sz w:val="14"/>
                                </w:rPr>
                              </w:pPr>
                              <w:r>
                                <w:rPr>
                                  <w:rFonts w:ascii="Arial"/>
                                  <w:color w:val="231F20"/>
                                  <w:w w:val="80"/>
                                  <w:sz w:val="14"/>
                                </w:rPr>
                                <w:t>Percent</w:t>
                              </w:r>
                              <w:r>
                                <w:rPr>
                                  <w:rFonts w:ascii="Arial"/>
                                  <w:color w:val="231F20"/>
                                  <w:spacing w:val="-2"/>
                                  <w:w w:val="80"/>
                                  <w:sz w:val="14"/>
                                </w:rPr>
                                <w:t> </w:t>
                              </w:r>
                              <w:r>
                                <w:rPr>
                                  <w:rFonts w:ascii="Arial"/>
                                  <w:color w:val="231F20"/>
                                  <w:w w:val="80"/>
                                  <w:sz w:val="14"/>
                                </w:rPr>
                                <w:t>of</w:t>
                              </w:r>
                              <w:r>
                                <w:rPr>
                                  <w:rFonts w:ascii="Arial"/>
                                  <w:color w:val="231F20"/>
                                  <w:spacing w:val="-2"/>
                                  <w:w w:val="80"/>
                                  <w:sz w:val="14"/>
                                </w:rPr>
                                <w:t> </w:t>
                              </w:r>
                              <w:r>
                                <w:rPr>
                                  <w:rFonts w:ascii="Arial"/>
                                  <w:color w:val="231F20"/>
                                  <w:w w:val="80"/>
                                  <w:sz w:val="14"/>
                                </w:rPr>
                                <w:t>countries</w:t>
                              </w:r>
                              <w:r>
                                <w:rPr>
                                  <w:rFonts w:ascii="Arial"/>
                                  <w:color w:val="231F20"/>
                                  <w:spacing w:val="-2"/>
                                  <w:w w:val="80"/>
                                  <w:sz w:val="14"/>
                                </w:rPr>
                                <w:t> </w:t>
                              </w:r>
                              <w:r>
                                <w:rPr>
                                  <w:rFonts w:ascii="Arial"/>
                                  <w:color w:val="231F20"/>
                                  <w:w w:val="80"/>
                                  <w:sz w:val="14"/>
                                </w:rPr>
                                <w:t>in</w:t>
                              </w:r>
                              <w:r>
                                <w:rPr>
                                  <w:rFonts w:ascii="Arial"/>
                                  <w:color w:val="231F20"/>
                                  <w:spacing w:val="-2"/>
                                  <w:w w:val="80"/>
                                  <w:sz w:val="14"/>
                                </w:rPr>
                                <w:t> </w:t>
                              </w:r>
                              <w:r>
                                <w:rPr>
                                  <w:rFonts w:ascii="Arial"/>
                                  <w:color w:val="231F20"/>
                                  <w:w w:val="80"/>
                                  <w:sz w:val="14"/>
                                </w:rPr>
                                <w:t>the</w:t>
                              </w:r>
                              <w:r>
                                <w:rPr>
                                  <w:rFonts w:ascii="Arial"/>
                                  <w:color w:val="231F20"/>
                                  <w:spacing w:val="-2"/>
                                  <w:w w:val="80"/>
                                  <w:sz w:val="14"/>
                                </w:rPr>
                                <w:t> </w:t>
                              </w:r>
                              <w:r>
                                <w:rPr>
                                  <w:rFonts w:ascii="Arial"/>
                                  <w:color w:val="231F20"/>
                                  <w:w w:val="80"/>
                                  <w:sz w:val="14"/>
                                </w:rPr>
                                <w:t>region</w:t>
                              </w:r>
                              <w:r>
                                <w:rPr>
                                  <w:rFonts w:ascii="Arial"/>
                                  <w:color w:val="231F20"/>
                                  <w:spacing w:val="40"/>
                                  <w:sz w:val="14"/>
                                </w:rPr>
                                <w:t> </w:t>
                              </w:r>
                              <w:r>
                                <w:rPr>
                                  <w:rFonts w:ascii="Arial"/>
                                  <w:color w:val="231F20"/>
                                  <w:spacing w:val="-6"/>
                                  <w:w w:val="90"/>
                                  <w:sz w:val="14"/>
                                </w:rPr>
                                <w:t>80</w:t>
                              </w:r>
                            </w:p>
                          </w:txbxContent>
                        </wps:txbx>
                        <wps:bodyPr wrap="square" lIns="0" tIns="0" rIns="0" bIns="0" rtlCol="0">
                          <a:noAutofit/>
                        </wps:bodyPr>
                      </wps:wsp>
                      <wps:wsp>
                        <wps:cNvPr id="1731" name="Textbox 1731"/>
                        <wps:cNvSpPr txBox="1"/>
                        <wps:spPr>
                          <a:xfrm>
                            <a:off x="119407" y="966038"/>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60</w:t>
                              </w:r>
                            </w:p>
                          </w:txbxContent>
                        </wps:txbx>
                        <wps:bodyPr wrap="square" lIns="0" tIns="0" rIns="0" bIns="0" rtlCol="0">
                          <a:noAutofit/>
                        </wps:bodyPr>
                      </wps:wsp>
                      <wps:wsp>
                        <wps:cNvPr id="1732" name="Textbox 1732"/>
                        <wps:cNvSpPr txBox="1"/>
                        <wps:spPr>
                          <a:xfrm>
                            <a:off x="119407" y="1414894"/>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40</w:t>
                              </w:r>
                            </w:p>
                          </w:txbxContent>
                        </wps:txbx>
                        <wps:bodyPr wrap="square" lIns="0" tIns="0" rIns="0" bIns="0" rtlCol="0">
                          <a:noAutofit/>
                        </wps:bodyPr>
                      </wps:wsp>
                      <wps:wsp>
                        <wps:cNvPr id="1733" name="Textbox 1733"/>
                        <wps:cNvSpPr txBox="1"/>
                        <wps:spPr>
                          <a:xfrm>
                            <a:off x="119407" y="1863750"/>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20</w:t>
                              </w:r>
                            </w:p>
                          </w:txbxContent>
                        </wps:txbx>
                        <wps:bodyPr wrap="square" lIns="0" tIns="0" rIns="0" bIns="0" rtlCol="0">
                          <a:noAutofit/>
                        </wps:bodyPr>
                      </wps:wsp>
                      <wps:wsp>
                        <wps:cNvPr id="1734" name="Textbox 1734"/>
                        <wps:cNvSpPr txBox="1"/>
                        <wps:spPr>
                          <a:xfrm>
                            <a:off x="76386" y="2312606"/>
                            <a:ext cx="851535" cy="431800"/>
                          </a:xfrm>
                          <a:prstGeom prst="rect">
                            <a:avLst/>
                          </a:prstGeom>
                        </wps:spPr>
                        <wps:txbx>
                          <w:txbxContent>
                            <w:p>
                              <w:pPr>
                                <w:spacing w:line="159" w:lineRule="exact" w:before="0"/>
                                <w:ind w:left="134" w:right="0" w:firstLine="0"/>
                                <w:jc w:val="left"/>
                                <w:rPr>
                                  <w:rFonts w:ascii="Arial"/>
                                  <w:sz w:val="14"/>
                                </w:rPr>
                              </w:pPr>
                              <w:r>
                                <w:rPr>
                                  <w:rFonts w:ascii="Arial"/>
                                  <w:color w:val="231F20"/>
                                  <w:spacing w:val="-10"/>
                                  <w:w w:val="95"/>
                                  <w:sz w:val="14"/>
                                </w:rPr>
                                <w:t>0</w:t>
                              </w:r>
                            </w:p>
                            <w:p>
                              <w:pPr>
                                <w:spacing w:line="240" w:lineRule="auto" w:before="0"/>
                                <w:rPr>
                                  <w:rFonts w:ascii="Arial"/>
                                  <w:sz w:val="14"/>
                                </w:rPr>
                              </w:pPr>
                            </w:p>
                            <w:p>
                              <w:pPr>
                                <w:spacing w:line="240" w:lineRule="auto" w:before="52"/>
                                <w:rPr>
                                  <w:rFonts w:ascii="Arial"/>
                                  <w:sz w:val="14"/>
                                </w:rPr>
                              </w:pPr>
                            </w:p>
                            <w:p>
                              <w:pPr>
                                <w:spacing w:before="0"/>
                                <w:ind w:left="0" w:right="0" w:firstLine="0"/>
                                <w:jc w:val="left"/>
                                <w:rPr>
                                  <w:rFonts w:ascii="Arial"/>
                                  <w:sz w:val="12"/>
                                </w:rPr>
                              </w:pPr>
                              <w:r>
                                <w:rPr>
                                  <w:rFonts w:ascii="Arial"/>
                                  <w:i/>
                                  <w:color w:val="231F20"/>
                                  <w:w w:val="75"/>
                                  <w:sz w:val="12"/>
                                </w:rPr>
                                <w:t>Source:</w:t>
                              </w:r>
                              <w:r>
                                <w:rPr>
                                  <w:rFonts w:ascii="Arial"/>
                                  <w:i/>
                                  <w:color w:val="231F20"/>
                                  <w:spacing w:val="3"/>
                                  <w:sz w:val="12"/>
                                </w:rPr>
                                <w:t> </w:t>
                              </w:r>
                              <w:r>
                                <w:rPr>
                                  <w:rFonts w:ascii="Arial"/>
                                  <w:color w:val="231F20"/>
                                  <w:w w:val="75"/>
                                  <w:sz w:val="12"/>
                                </w:rPr>
                                <w:t>Universal</w:t>
                              </w:r>
                              <w:r>
                                <w:rPr>
                                  <w:rFonts w:ascii="Arial"/>
                                  <w:color w:val="231F20"/>
                                  <w:spacing w:val="3"/>
                                  <w:sz w:val="12"/>
                                </w:rPr>
                                <w:t> </w:t>
                              </w:r>
                              <w:r>
                                <w:rPr>
                                  <w:rFonts w:ascii="Arial"/>
                                  <w:color w:val="231F20"/>
                                  <w:w w:val="75"/>
                                  <w:sz w:val="12"/>
                                </w:rPr>
                                <w:t>Postal</w:t>
                              </w:r>
                              <w:r>
                                <w:rPr>
                                  <w:rFonts w:ascii="Arial"/>
                                  <w:color w:val="231F20"/>
                                  <w:spacing w:val="3"/>
                                  <w:sz w:val="12"/>
                                </w:rPr>
                                <w:t> </w:t>
                              </w:r>
                              <w:r>
                                <w:rPr>
                                  <w:rFonts w:ascii="Arial"/>
                                  <w:color w:val="231F20"/>
                                  <w:spacing w:val="-2"/>
                                  <w:w w:val="75"/>
                                  <w:sz w:val="12"/>
                                </w:rPr>
                                <w:t>Union.</w:t>
                              </w:r>
                            </w:p>
                          </w:txbxContent>
                        </wps:txbx>
                        <wps:bodyPr wrap="square" lIns="0" tIns="0" rIns="0" bIns="0" rtlCol="0">
                          <a:noAutofit/>
                        </wps:bodyPr>
                      </wps:wsp>
                    </wpg:wgp>
                  </a:graphicData>
                </a:graphic>
              </wp:anchor>
            </w:drawing>
          </mc:Choice>
          <mc:Fallback>
            <w:pict>
              <v:group style="position:absolute;margin-left:167.984406pt;margin-top:-236.826767pt;width:384.05pt;height:223.4pt;mso-position-horizontal-relative:page;mso-position-vertical-relative:paragraph;z-index:-36537344" id="docshapegroup1453" coordorigin="3360,-4737" coordsize="7681,4468">
                <v:shape style="position:absolute;left:3360;top:-4331;width:7680;height:4061" id="docshape1454" coordorigin="3360,-4330" coordsize="7680,4061" path="m11040,-4330l3360,-4330,3360,-387,3370,-341,3396,-304,3434,-279,3478,-269,10916,-269,10962,-278,11001,-301,11029,-338,11040,-387,11040,-4330xe" filled="true" fillcolor="#dfeaf7" stroked="false">
                  <v:path arrowok="t"/>
                  <v:fill type="solid"/>
                </v:shape>
                <v:shape style="position:absolute;left:3359;top:-4737;width:867;height:365" id="docshape1455" coordorigin="3360,-4737" coordsize="867,365" path="m4227,-4737l3480,-4737,3434,-4732,3396,-4714,3369,-4677,3360,-4617,3360,-4372,4227,-4372,4227,-4737xe" filled="true" fillcolor="#008fdd" stroked="false">
                  <v:path arrowok="t"/>
                  <v:fill type="solid"/>
                </v:shape>
                <v:shape style="position:absolute;left:4226;top:-4737;width:6813;height:365" id="docshape1456" coordorigin="4227,-4737" coordsize="6813,365" path="m10919,-4737l4227,-4737,4227,-4372,11039,-4372,11039,-4617,11030,-4656,11006,-4695,10968,-4725,10919,-4737xe" filled="true" fillcolor="#808285" stroked="false">
                  <v:path arrowok="t"/>
                  <v:fill type="solid"/>
                </v:shape>
                <v:line style="position:absolute" from="4227,-4737" to="4227,-4358" stroked="true" strokeweight="2pt" strokecolor="#ffffff">
                  <v:stroke dashstyle="solid"/>
                </v:line>
                <v:shape style="position:absolute;left:3791;top:-1022;width:7021;height:2" id="docshape1457" coordorigin="3792,-1021" coordsize="7021,0" path="m3792,-1021l10812,-1021m3792,-1021l10812,-1021e" filled="false" stroked="true" strokeweight=".5pt" strokecolor="#ffffff">
                  <v:path arrowok="t"/>
                  <v:stroke dashstyle="solid"/>
                </v:shape>
                <v:shape style="position:absolute;left:3791;top:-3142;width:7021;height:1414" id="docshape1458" coordorigin="3792,-3142" coordsize="7021,1414" path="m3792,-1728l4068,-1728m4519,-1728l5071,-1728m5522,-1728l6074,-1728m6525,-1728l7076,-1728m7528,-1728l8079,-1728m8531,-1728l9082,-1728m9534,-1728l10085,-1728m10537,-1728l10812,-1728m3792,-2435l4068,-2435m4519,-2435l5071,-2435m5522,-2435l6074,-2435m6525,-2435l7076,-2435m7528,-2435l8079,-2435m8531,-2435l9082,-2435m9534,-2435l10085,-2435m10537,-2435l10812,-2435m3792,-3142l5071,-3142m5522,-3142l7076,-3142m7528,-3142l8079,-3142m8531,-3142l9082,-3142m9534,-3142l10812,-3142e" filled="false" stroked="true" strokeweight=".5pt" strokecolor="#ffffff">
                  <v:path arrowok="t"/>
                  <v:stroke dashstyle="solid"/>
                </v:shape>
                <v:line style="position:absolute" from="3792,-3849" to="10812,-3849" stroked="true" strokeweight=".5pt" strokecolor="#ffffff">
                  <v:stroke dashstyle="solid"/>
                </v:line>
                <v:rect style="position:absolute;left:4067;top:-2881;width:452;height:1859" id="docshape1459" filled="true" fillcolor="#008fdd" stroked="false">
                  <v:fill type="solid"/>
                </v:rect>
                <v:rect style="position:absolute;left:4067;top:-2881;width:452;height:1859" id="docshape1460" filled="false" stroked="true" strokeweight=".25pt" strokecolor="#ffffff">
                  <v:stroke dashstyle="solid"/>
                </v:rect>
                <v:rect style="position:absolute;left:5070;top:-3824;width:452;height:2803" id="docshape1461" filled="true" fillcolor="#008fdd" stroked="false">
                  <v:fill type="solid"/>
                </v:rect>
                <v:rect style="position:absolute;left:5070;top:-3824;width:452;height:2803" id="docshape1462" filled="false" stroked="true" strokeweight=".25pt" strokecolor="#ffffff">
                  <v:stroke dashstyle="solid"/>
                </v:rect>
                <v:rect style="position:absolute;left:6073;top:-2920;width:452;height:1898" id="docshape1463" filled="true" fillcolor="#008fdd" stroked="false">
                  <v:fill type="solid"/>
                </v:rect>
                <v:rect style="position:absolute;left:6073;top:-2920;width:452;height:1898" id="docshape1464" filled="false" stroked="true" strokeweight=".25pt" strokecolor="#ffffff">
                  <v:stroke dashstyle="solid"/>
                </v:rect>
                <v:rect style="position:absolute;left:7076;top:-3545;width:452;height:2524" id="docshape1465" filled="true" fillcolor="#008fdd" stroked="false">
                  <v:fill type="solid"/>
                </v:rect>
                <v:rect style="position:absolute;left:7076;top:-3545;width:452;height:2524" id="docshape1466" filled="false" stroked="true" strokeweight=".25pt" strokecolor="#ffffff">
                  <v:stroke dashstyle="solid"/>
                </v:rect>
                <v:rect style="position:absolute;left:8079;top:-3379;width:452;height:2358" id="docshape1467" filled="true" fillcolor="#008fdd" stroked="false">
                  <v:fill type="solid"/>
                </v:rect>
                <v:rect style="position:absolute;left:8079;top:-3379;width:452;height:2358" id="docshape1468" filled="false" stroked="true" strokeweight=".25pt" strokecolor="#ffffff">
                  <v:stroke dashstyle="solid"/>
                </v:rect>
                <v:rect style="position:absolute;left:9082;top:-3231;width:452;height:2209" id="docshape1469" filled="true" fillcolor="#008fdd" stroked="false">
                  <v:fill type="solid"/>
                </v:rect>
                <v:rect style="position:absolute;left:9082;top:-3231;width:452;height:2209" id="docshape1470" filled="false" stroked="true" strokeweight=".25pt" strokecolor="#ffffff">
                  <v:stroke dashstyle="solid"/>
                </v:rect>
                <v:rect style="position:absolute;left:10085;top:-2640;width:452;height:1619" id="docshape1471" filled="true" fillcolor="#008fdd" stroked="false">
                  <v:fill type="solid"/>
                </v:rect>
                <v:rect style="position:absolute;left:10085;top:-2640;width:452;height:1619" id="docshape1472" filled="false" stroked="true" strokeweight=".25pt" strokecolor="#ffffff">
                  <v:stroke dashstyle="solid"/>
                </v:rect>
                <v:line style="position:absolute" from="3791,-1021" to="10745,-1021" stroked="true" strokeweight=".5pt" strokecolor="#ffffff">
                  <v:stroke dashstyle="solid"/>
                </v:line>
                <v:shape style="position:absolute;left:3479;top:-4632;width:7143;height:868" type="#_x0000_t202" id="docshape1473" filled="false" stroked="false">
                  <v:textbox inset="0,0,0,0">
                    <w:txbxContent>
                      <w:p>
                        <w:pPr>
                          <w:spacing w:before="3"/>
                          <w:ind w:left="0" w:right="0" w:firstLine="0"/>
                          <w:jc w:val="left"/>
                          <w:rPr>
                            <w:rFonts w:ascii="Arial"/>
                            <w:b/>
                            <w:sz w:val="16"/>
                          </w:rPr>
                        </w:pPr>
                        <w:r>
                          <w:rPr>
                            <w:rFonts w:ascii="Arial"/>
                            <w:color w:val="FFFFFF"/>
                            <w:sz w:val="16"/>
                          </w:rPr>
                          <w:t>Figure</w:t>
                        </w:r>
                        <w:r>
                          <w:rPr>
                            <w:rFonts w:ascii="Arial"/>
                            <w:color w:val="FFFFFF"/>
                            <w:spacing w:val="3"/>
                            <w:sz w:val="16"/>
                          </w:rPr>
                          <w:t> </w:t>
                        </w:r>
                        <w:r>
                          <w:rPr>
                            <w:rFonts w:ascii="Arial"/>
                            <w:b/>
                            <w:color w:val="FFFFFF"/>
                            <w:sz w:val="16"/>
                          </w:rPr>
                          <w:t>A4.3</w:t>
                        </w:r>
                        <w:r>
                          <w:rPr>
                            <w:rFonts w:ascii="Arial"/>
                            <w:b/>
                            <w:color w:val="FFFFFF"/>
                            <w:spacing w:val="41"/>
                            <w:sz w:val="16"/>
                          </w:rPr>
                          <w:t>  </w:t>
                        </w:r>
                        <w:r>
                          <w:rPr>
                            <w:rFonts w:ascii="Arial"/>
                            <w:b/>
                            <w:color w:val="FFFFFF"/>
                            <w:sz w:val="16"/>
                          </w:rPr>
                          <w:t>Country</w:t>
                        </w:r>
                        <w:r>
                          <w:rPr>
                            <w:rFonts w:ascii="Arial"/>
                            <w:b/>
                            <w:color w:val="FFFFFF"/>
                            <w:spacing w:val="7"/>
                            <w:sz w:val="16"/>
                          </w:rPr>
                          <w:t> </w:t>
                        </w:r>
                        <w:r>
                          <w:rPr>
                            <w:rFonts w:ascii="Arial"/>
                            <w:b/>
                            <w:color w:val="FFFFFF"/>
                            <w:sz w:val="16"/>
                          </w:rPr>
                          <w:t>coverage</w:t>
                        </w:r>
                        <w:r>
                          <w:rPr>
                            <w:rFonts w:ascii="Arial"/>
                            <w:b/>
                            <w:color w:val="FFFFFF"/>
                            <w:spacing w:val="7"/>
                            <w:sz w:val="16"/>
                          </w:rPr>
                          <w:t> </w:t>
                        </w:r>
                        <w:r>
                          <w:rPr>
                            <w:rFonts w:ascii="Arial"/>
                            <w:b/>
                            <w:color w:val="FFFFFF"/>
                            <w:sz w:val="16"/>
                          </w:rPr>
                          <w:t>of</w:t>
                        </w:r>
                        <w:r>
                          <w:rPr>
                            <w:rFonts w:ascii="Arial"/>
                            <w:b/>
                            <w:color w:val="FFFFFF"/>
                            <w:spacing w:val="7"/>
                            <w:sz w:val="16"/>
                          </w:rPr>
                          <w:t> </w:t>
                        </w:r>
                        <w:r>
                          <w:rPr>
                            <w:rFonts w:ascii="Arial"/>
                            <w:b/>
                            <w:color w:val="FFFFFF"/>
                            <w:sz w:val="16"/>
                          </w:rPr>
                          <w:t>the</w:t>
                        </w:r>
                        <w:r>
                          <w:rPr>
                            <w:rFonts w:ascii="Arial"/>
                            <w:b/>
                            <w:color w:val="FFFFFF"/>
                            <w:spacing w:val="7"/>
                            <w:sz w:val="16"/>
                          </w:rPr>
                          <w:t> </w:t>
                        </w:r>
                        <w:r>
                          <w:rPr>
                            <w:rFonts w:ascii="Arial"/>
                            <w:b/>
                            <w:color w:val="FFFFFF"/>
                            <w:sz w:val="16"/>
                          </w:rPr>
                          <w:t>Universal</w:t>
                        </w:r>
                        <w:r>
                          <w:rPr>
                            <w:rFonts w:ascii="Arial"/>
                            <w:b/>
                            <w:color w:val="FFFFFF"/>
                            <w:spacing w:val="6"/>
                            <w:sz w:val="16"/>
                          </w:rPr>
                          <w:t> </w:t>
                        </w:r>
                        <w:r>
                          <w:rPr>
                            <w:rFonts w:ascii="Arial"/>
                            <w:b/>
                            <w:color w:val="FFFFFF"/>
                            <w:sz w:val="16"/>
                          </w:rPr>
                          <w:t>Postal</w:t>
                        </w:r>
                        <w:r>
                          <w:rPr>
                            <w:rFonts w:ascii="Arial"/>
                            <w:b/>
                            <w:color w:val="FFFFFF"/>
                            <w:spacing w:val="7"/>
                            <w:sz w:val="16"/>
                          </w:rPr>
                          <w:t> </w:t>
                        </w:r>
                        <w:r>
                          <w:rPr>
                            <w:rFonts w:ascii="Arial"/>
                            <w:b/>
                            <w:color w:val="FFFFFF"/>
                            <w:sz w:val="16"/>
                          </w:rPr>
                          <w:t>Union</w:t>
                        </w:r>
                        <w:r>
                          <w:rPr>
                            <w:rFonts w:ascii="Arial"/>
                            <w:b/>
                            <w:color w:val="FFFFFF"/>
                            <w:spacing w:val="7"/>
                            <w:sz w:val="16"/>
                          </w:rPr>
                          <w:t> </w:t>
                        </w:r>
                        <w:r>
                          <w:rPr>
                            <w:rFonts w:ascii="Arial"/>
                            <w:b/>
                            <w:color w:val="FFFFFF"/>
                            <w:sz w:val="16"/>
                          </w:rPr>
                          <w:t>dataset,</w:t>
                        </w:r>
                        <w:r>
                          <w:rPr>
                            <w:rFonts w:ascii="Arial"/>
                            <w:b/>
                            <w:color w:val="FFFFFF"/>
                            <w:spacing w:val="7"/>
                            <w:sz w:val="16"/>
                          </w:rPr>
                          <w:t> </w:t>
                        </w:r>
                        <w:r>
                          <w:rPr>
                            <w:rFonts w:ascii="Arial"/>
                            <w:b/>
                            <w:color w:val="FFFFFF"/>
                            <w:sz w:val="16"/>
                          </w:rPr>
                          <w:t>by</w:t>
                        </w:r>
                        <w:r>
                          <w:rPr>
                            <w:rFonts w:ascii="Arial"/>
                            <w:b/>
                            <w:color w:val="FFFFFF"/>
                            <w:spacing w:val="6"/>
                            <w:sz w:val="16"/>
                          </w:rPr>
                          <w:t> </w:t>
                        </w:r>
                        <w:r>
                          <w:rPr>
                            <w:rFonts w:ascii="Arial"/>
                            <w:b/>
                            <w:color w:val="FFFFFF"/>
                            <w:sz w:val="16"/>
                          </w:rPr>
                          <w:t>World</w:t>
                        </w:r>
                        <w:r>
                          <w:rPr>
                            <w:rFonts w:ascii="Arial"/>
                            <w:b/>
                            <w:color w:val="FFFFFF"/>
                            <w:spacing w:val="7"/>
                            <w:sz w:val="16"/>
                          </w:rPr>
                          <w:t> </w:t>
                        </w:r>
                        <w:r>
                          <w:rPr>
                            <w:rFonts w:ascii="Arial"/>
                            <w:b/>
                            <w:color w:val="FFFFFF"/>
                            <w:sz w:val="16"/>
                          </w:rPr>
                          <w:t>Bank</w:t>
                        </w:r>
                        <w:r>
                          <w:rPr>
                            <w:rFonts w:ascii="Arial"/>
                            <w:b/>
                            <w:color w:val="FFFFFF"/>
                            <w:spacing w:val="7"/>
                            <w:sz w:val="16"/>
                          </w:rPr>
                          <w:t> </w:t>
                        </w:r>
                        <w:r>
                          <w:rPr>
                            <w:rFonts w:ascii="Arial"/>
                            <w:b/>
                            <w:color w:val="FFFFFF"/>
                            <w:spacing w:val="-2"/>
                            <w:sz w:val="16"/>
                          </w:rPr>
                          <w:t>region</w:t>
                        </w:r>
                      </w:p>
                      <w:p>
                        <w:pPr>
                          <w:spacing w:line="240" w:lineRule="auto" w:before="10"/>
                          <w:rPr>
                            <w:rFonts w:ascii="Arial"/>
                            <w:b/>
                            <w:sz w:val="16"/>
                          </w:rPr>
                        </w:pPr>
                      </w:p>
                      <w:p>
                        <w:pPr>
                          <w:spacing w:line="240" w:lineRule="atLeast" w:before="0"/>
                          <w:ind w:left="67" w:right="5490" w:hanging="68"/>
                          <w:jc w:val="left"/>
                          <w:rPr>
                            <w:rFonts w:ascii="Arial"/>
                            <w:sz w:val="14"/>
                          </w:rPr>
                        </w:pPr>
                        <w:r>
                          <w:rPr>
                            <w:rFonts w:ascii="Arial"/>
                            <w:color w:val="231F20"/>
                            <w:w w:val="80"/>
                            <w:sz w:val="14"/>
                          </w:rPr>
                          <w:t>Percent</w:t>
                        </w:r>
                        <w:r>
                          <w:rPr>
                            <w:rFonts w:ascii="Arial"/>
                            <w:color w:val="231F20"/>
                            <w:spacing w:val="-2"/>
                            <w:w w:val="80"/>
                            <w:sz w:val="14"/>
                          </w:rPr>
                          <w:t> </w:t>
                        </w:r>
                        <w:r>
                          <w:rPr>
                            <w:rFonts w:ascii="Arial"/>
                            <w:color w:val="231F20"/>
                            <w:w w:val="80"/>
                            <w:sz w:val="14"/>
                          </w:rPr>
                          <w:t>of</w:t>
                        </w:r>
                        <w:r>
                          <w:rPr>
                            <w:rFonts w:ascii="Arial"/>
                            <w:color w:val="231F20"/>
                            <w:spacing w:val="-2"/>
                            <w:w w:val="80"/>
                            <w:sz w:val="14"/>
                          </w:rPr>
                          <w:t> </w:t>
                        </w:r>
                        <w:r>
                          <w:rPr>
                            <w:rFonts w:ascii="Arial"/>
                            <w:color w:val="231F20"/>
                            <w:w w:val="80"/>
                            <w:sz w:val="14"/>
                          </w:rPr>
                          <w:t>countries</w:t>
                        </w:r>
                        <w:r>
                          <w:rPr>
                            <w:rFonts w:ascii="Arial"/>
                            <w:color w:val="231F20"/>
                            <w:spacing w:val="-2"/>
                            <w:w w:val="80"/>
                            <w:sz w:val="14"/>
                          </w:rPr>
                          <w:t> </w:t>
                        </w:r>
                        <w:r>
                          <w:rPr>
                            <w:rFonts w:ascii="Arial"/>
                            <w:color w:val="231F20"/>
                            <w:w w:val="80"/>
                            <w:sz w:val="14"/>
                          </w:rPr>
                          <w:t>in</w:t>
                        </w:r>
                        <w:r>
                          <w:rPr>
                            <w:rFonts w:ascii="Arial"/>
                            <w:color w:val="231F20"/>
                            <w:spacing w:val="-2"/>
                            <w:w w:val="80"/>
                            <w:sz w:val="14"/>
                          </w:rPr>
                          <w:t> </w:t>
                        </w:r>
                        <w:r>
                          <w:rPr>
                            <w:rFonts w:ascii="Arial"/>
                            <w:color w:val="231F20"/>
                            <w:w w:val="80"/>
                            <w:sz w:val="14"/>
                          </w:rPr>
                          <w:t>the</w:t>
                        </w:r>
                        <w:r>
                          <w:rPr>
                            <w:rFonts w:ascii="Arial"/>
                            <w:color w:val="231F20"/>
                            <w:spacing w:val="-2"/>
                            <w:w w:val="80"/>
                            <w:sz w:val="14"/>
                          </w:rPr>
                          <w:t> </w:t>
                        </w:r>
                        <w:r>
                          <w:rPr>
                            <w:rFonts w:ascii="Arial"/>
                            <w:color w:val="231F20"/>
                            <w:w w:val="80"/>
                            <w:sz w:val="14"/>
                          </w:rPr>
                          <w:t>region</w:t>
                        </w:r>
                        <w:r>
                          <w:rPr>
                            <w:rFonts w:ascii="Arial"/>
                            <w:color w:val="231F20"/>
                            <w:spacing w:val="40"/>
                            <w:sz w:val="14"/>
                          </w:rPr>
                          <w:t> </w:t>
                        </w:r>
                        <w:r>
                          <w:rPr>
                            <w:rFonts w:ascii="Arial"/>
                            <w:color w:val="231F20"/>
                            <w:spacing w:val="-6"/>
                            <w:w w:val="90"/>
                            <w:sz w:val="14"/>
                          </w:rPr>
                          <w:t>80</w:t>
                        </w:r>
                      </w:p>
                    </w:txbxContent>
                  </v:textbox>
                  <w10:wrap type="none"/>
                </v:shape>
                <v:shape style="position:absolute;left:3547;top:-3216;width:155;height:159" type="#_x0000_t202" id="docshape1474"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60</w:t>
                        </w:r>
                      </w:p>
                    </w:txbxContent>
                  </v:textbox>
                  <w10:wrap type="none"/>
                </v:shape>
                <v:shape style="position:absolute;left:3547;top:-2509;width:155;height:159" type="#_x0000_t202" id="docshape1475"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40</w:t>
                        </w:r>
                      </w:p>
                    </w:txbxContent>
                  </v:textbox>
                  <w10:wrap type="none"/>
                </v:shape>
                <v:shape style="position:absolute;left:3547;top:-1802;width:155;height:159" type="#_x0000_t202" id="docshape1476"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20</w:t>
                        </w:r>
                      </w:p>
                    </w:txbxContent>
                  </v:textbox>
                  <w10:wrap type="none"/>
                </v:shape>
                <v:shape style="position:absolute;left:3479;top:-1095;width:1341;height:680" type="#_x0000_t202" id="docshape1477" filled="false" stroked="false">
                  <v:textbox inset="0,0,0,0">
                    <w:txbxContent>
                      <w:p>
                        <w:pPr>
                          <w:spacing w:line="159" w:lineRule="exact" w:before="0"/>
                          <w:ind w:left="134" w:right="0" w:firstLine="0"/>
                          <w:jc w:val="left"/>
                          <w:rPr>
                            <w:rFonts w:ascii="Arial"/>
                            <w:sz w:val="14"/>
                          </w:rPr>
                        </w:pPr>
                        <w:r>
                          <w:rPr>
                            <w:rFonts w:ascii="Arial"/>
                            <w:color w:val="231F20"/>
                            <w:spacing w:val="-10"/>
                            <w:w w:val="95"/>
                            <w:sz w:val="14"/>
                          </w:rPr>
                          <w:t>0</w:t>
                        </w:r>
                      </w:p>
                      <w:p>
                        <w:pPr>
                          <w:spacing w:line="240" w:lineRule="auto" w:before="0"/>
                          <w:rPr>
                            <w:rFonts w:ascii="Arial"/>
                            <w:sz w:val="14"/>
                          </w:rPr>
                        </w:pPr>
                      </w:p>
                      <w:p>
                        <w:pPr>
                          <w:spacing w:line="240" w:lineRule="auto" w:before="52"/>
                          <w:rPr>
                            <w:rFonts w:ascii="Arial"/>
                            <w:sz w:val="14"/>
                          </w:rPr>
                        </w:pPr>
                      </w:p>
                      <w:p>
                        <w:pPr>
                          <w:spacing w:before="0"/>
                          <w:ind w:left="0" w:right="0" w:firstLine="0"/>
                          <w:jc w:val="left"/>
                          <w:rPr>
                            <w:rFonts w:ascii="Arial"/>
                            <w:sz w:val="12"/>
                          </w:rPr>
                        </w:pPr>
                        <w:r>
                          <w:rPr>
                            <w:rFonts w:ascii="Arial"/>
                            <w:i/>
                            <w:color w:val="231F20"/>
                            <w:w w:val="75"/>
                            <w:sz w:val="12"/>
                          </w:rPr>
                          <w:t>Source:</w:t>
                        </w:r>
                        <w:r>
                          <w:rPr>
                            <w:rFonts w:ascii="Arial"/>
                            <w:i/>
                            <w:color w:val="231F20"/>
                            <w:spacing w:val="3"/>
                            <w:sz w:val="12"/>
                          </w:rPr>
                          <w:t> </w:t>
                        </w:r>
                        <w:r>
                          <w:rPr>
                            <w:rFonts w:ascii="Arial"/>
                            <w:color w:val="231F20"/>
                            <w:w w:val="75"/>
                            <w:sz w:val="12"/>
                          </w:rPr>
                          <w:t>Universal</w:t>
                        </w:r>
                        <w:r>
                          <w:rPr>
                            <w:rFonts w:ascii="Arial"/>
                            <w:color w:val="231F20"/>
                            <w:spacing w:val="3"/>
                            <w:sz w:val="12"/>
                          </w:rPr>
                          <w:t> </w:t>
                        </w:r>
                        <w:r>
                          <w:rPr>
                            <w:rFonts w:ascii="Arial"/>
                            <w:color w:val="231F20"/>
                            <w:w w:val="75"/>
                            <w:sz w:val="12"/>
                          </w:rPr>
                          <w:t>Postal</w:t>
                        </w:r>
                        <w:r>
                          <w:rPr>
                            <w:rFonts w:ascii="Arial"/>
                            <w:color w:val="231F20"/>
                            <w:spacing w:val="3"/>
                            <w:sz w:val="12"/>
                          </w:rPr>
                          <w:t> </w:t>
                        </w:r>
                        <w:r>
                          <w:rPr>
                            <w:rFonts w:ascii="Arial"/>
                            <w:color w:val="231F20"/>
                            <w:spacing w:val="-2"/>
                            <w:w w:val="75"/>
                            <w:sz w:val="12"/>
                          </w:rPr>
                          <w:t>Union.</w:t>
                        </w:r>
                      </w:p>
                    </w:txbxContent>
                  </v:textbox>
                  <w10:wrap type="none"/>
                </v:shape>
                <w10:wrap type="none"/>
              </v:group>
            </w:pict>
          </mc:Fallback>
        </mc:AlternateContent>
      </w:r>
      <w:r>
        <w:rPr>
          <w:color w:val="231F20"/>
          <w:spacing w:val="-2"/>
        </w:rPr>
        <w:t>low-income</w:t>
      </w:r>
      <w:r>
        <w:rPr>
          <w:color w:val="231F20"/>
          <w:spacing w:val="-12"/>
        </w:rPr>
        <w:t> </w:t>
      </w:r>
      <w:r>
        <w:rPr>
          <w:color w:val="231F20"/>
          <w:spacing w:val="-2"/>
        </w:rPr>
        <w:t>countries</w:t>
      </w:r>
      <w:r>
        <w:rPr>
          <w:color w:val="231F20"/>
          <w:spacing w:val="-11"/>
        </w:rPr>
        <w:t> </w:t>
      </w:r>
      <w:r>
        <w:rPr>
          <w:color w:val="231F20"/>
          <w:spacing w:val="-2"/>
        </w:rPr>
        <w:t>were</w:t>
      </w:r>
      <w:r>
        <w:rPr>
          <w:color w:val="231F20"/>
          <w:spacing w:val="-11"/>
        </w:rPr>
        <w:t> </w:t>
      </w:r>
      <w:r>
        <w:rPr>
          <w:color w:val="231F20"/>
          <w:spacing w:val="-2"/>
        </w:rPr>
        <w:t>represented</w:t>
      </w:r>
      <w:r>
        <w:rPr>
          <w:color w:val="231F20"/>
          <w:spacing w:val="-11"/>
        </w:rPr>
        <w:t> </w:t>
      </w:r>
      <w:r>
        <w:rPr>
          <w:color w:val="231F20"/>
          <w:spacing w:val="-2"/>
        </w:rPr>
        <w:t>in</w:t>
      </w:r>
      <w:r>
        <w:rPr>
          <w:color w:val="231F20"/>
          <w:spacing w:val="-11"/>
        </w:rPr>
        <w:t> </w:t>
      </w:r>
      <w:r>
        <w:rPr>
          <w:color w:val="231F20"/>
          <w:spacing w:val="-2"/>
        </w:rPr>
        <w:t>the </w:t>
      </w:r>
      <w:r>
        <w:rPr>
          <w:color w:val="231F20"/>
          <w:spacing w:val="-6"/>
        </w:rPr>
        <w:t>postal dataset, 50 percent of Sub-Saharan Afri- </w:t>
      </w:r>
      <w:r>
        <w:rPr>
          <w:color w:val="231F20"/>
          <w:w w:val="90"/>
        </w:rPr>
        <w:t>can countries were represented, and Europe and </w:t>
      </w:r>
      <w:r>
        <w:rPr>
          <w:color w:val="231F20"/>
          <w:spacing w:val="-6"/>
        </w:rPr>
        <w:t>Central Asia had a representation of 79 percent </w:t>
      </w:r>
      <w:r>
        <w:rPr>
          <w:color w:val="231F20"/>
        </w:rPr>
        <w:t>(figure</w:t>
      </w:r>
      <w:r>
        <w:rPr>
          <w:color w:val="231F20"/>
          <w:spacing w:val="-14"/>
        </w:rPr>
        <w:t> </w:t>
      </w:r>
      <w:r>
        <w:rPr>
          <w:color w:val="231F20"/>
        </w:rPr>
        <w:t>A4.3).</w:t>
      </w:r>
    </w:p>
    <w:p>
      <w:pPr>
        <w:pStyle w:val="BodyText"/>
        <w:spacing w:before="35"/>
      </w:pPr>
    </w:p>
    <w:p>
      <w:pPr>
        <w:spacing w:before="0"/>
        <w:ind w:left="985" w:right="282" w:firstLine="0"/>
        <w:jc w:val="center"/>
        <w:rPr>
          <w:rFonts w:ascii="Arial"/>
          <w:b/>
          <w:sz w:val="20"/>
        </w:rPr>
      </w:pPr>
      <w:r>
        <w:rPr>
          <w:rFonts w:ascii="Arial"/>
          <w:b/>
          <w:color w:val="231F20"/>
          <w:spacing w:val="-2"/>
          <w:w w:val="105"/>
          <w:sz w:val="20"/>
        </w:rPr>
        <w:t>TradeLens</w:t>
      </w:r>
    </w:p>
    <w:p>
      <w:pPr>
        <w:pStyle w:val="BodyText"/>
        <w:spacing w:before="71"/>
        <w:rPr>
          <w:rFonts w:ascii="Arial"/>
          <w:b/>
          <w:sz w:val="20"/>
        </w:rPr>
      </w:pPr>
    </w:p>
    <w:p>
      <w:pPr>
        <w:pStyle w:val="BodyText"/>
        <w:spacing w:line="268" w:lineRule="auto"/>
        <w:ind w:left="3360"/>
        <w:jc w:val="both"/>
      </w:pPr>
      <w:r>
        <w:rPr>
          <w:color w:val="231F20"/>
          <w:spacing w:val="-4"/>
        </w:rPr>
        <w:t>TradeLens</w:t>
      </w:r>
      <w:r>
        <w:rPr>
          <w:color w:val="231F20"/>
          <w:spacing w:val="-9"/>
        </w:rPr>
        <w:t> </w:t>
      </w:r>
      <w:r>
        <w:rPr>
          <w:color w:val="231F20"/>
          <w:spacing w:val="-4"/>
        </w:rPr>
        <w:t>was</w:t>
      </w:r>
      <w:r>
        <w:rPr>
          <w:color w:val="231F20"/>
          <w:spacing w:val="-9"/>
        </w:rPr>
        <w:t> </w:t>
      </w:r>
      <w:r>
        <w:rPr>
          <w:color w:val="231F20"/>
          <w:spacing w:val="-4"/>
        </w:rPr>
        <w:t>a</w:t>
      </w:r>
      <w:r>
        <w:rPr>
          <w:color w:val="231F20"/>
          <w:spacing w:val="-9"/>
        </w:rPr>
        <w:t> </w:t>
      </w:r>
      <w:r>
        <w:rPr>
          <w:color w:val="231F20"/>
          <w:spacing w:val="-4"/>
        </w:rPr>
        <w:t>highly</w:t>
      </w:r>
      <w:r>
        <w:rPr>
          <w:color w:val="231F20"/>
          <w:spacing w:val="-9"/>
        </w:rPr>
        <w:t> </w:t>
      </w:r>
      <w:r>
        <w:rPr>
          <w:color w:val="231F20"/>
          <w:spacing w:val="-4"/>
        </w:rPr>
        <w:t>secure</w:t>
      </w:r>
      <w:r>
        <w:rPr>
          <w:color w:val="231F20"/>
          <w:spacing w:val="-9"/>
        </w:rPr>
        <w:t> </w:t>
      </w:r>
      <w:r>
        <w:rPr>
          <w:color w:val="231F20"/>
          <w:spacing w:val="-4"/>
        </w:rPr>
        <w:t>data</w:t>
      </w:r>
      <w:r>
        <w:rPr>
          <w:color w:val="231F20"/>
          <w:spacing w:val="-9"/>
        </w:rPr>
        <w:t> </w:t>
      </w:r>
      <w:r>
        <w:rPr>
          <w:color w:val="231F20"/>
          <w:spacing w:val="-4"/>
        </w:rPr>
        <w:t>and</w:t>
      </w:r>
      <w:r>
        <w:rPr>
          <w:color w:val="231F20"/>
          <w:spacing w:val="-9"/>
        </w:rPr>
        <w:t> </w:t>
      </w:r>
      <w:r>
        <w:rPr>
          <w:color w:val="231F20"/>
          <w:spacing w:val="-4"/>
        </w:rPr>
        <w:t>docu- </w:t>
      </w:r>
      <w:r>
        <w:rPr>
          <w:color w:val="231F20"/>
          <w:w w:val="90"/>
        </w:rPr>
        <w:t>ment sharing platform aimed at simplifying and speeding trade workflows for all participants of </w:t>
      </w:r>
      <w:r>
        <w:rPr>
          <w:color w:val="231F20"/>
        </w:rPr>
        <w:t>the</w:t>
      </w:r>
      <w:r>
        <w:rPr>
          <w:color w:val="231F20"/>
          <w:spacing w:val="-8"/>
        </w:rPr>
        <w:t> </w:t>
      </w:r>
      <w:r>
        <w:rPr>
          <w:color w:val="231F20"/>
        </w:rPr>
        <w:t>supply</w:t>
      </w:r>
      <w:r>
        <w:rPr>
          <w:color w:val="231F20"/>
          <w:spacing w:val="-8"/>
        </w:rPr>
        <w:t> </w:t>
      </w:r>
      <w:r>
        <w:rPr>
          <w:color w:val="231F20"/>
        </w:rPr>
        <w:t>chain</w:t>
      </w:r>
      <w:r>
        <w:rPr>
          <w:color w:val="231F20"/>
          <w:spacing w:val="-8"/>
        </w:rPr>
        <w:t> </w:t>
      </w:r>
      <w:r>
        <w:rPr>
          <w:color w:val="231F20"/>
        </w:rPr>
        <w:t>ecosystem.</w:t>
      </w:r>
      <w:r>
        <w:rPr>
          <w:color w:val="231F20"/>
          <w:spacing w:val="-8"/>
        </w:rPr>
        <w:t> </w:t>
      </w:r>
      <w:r>
        <w:rPr>
          <w:color w:val="231F20"/>
        </w:rPr>
        <w:t>A</w:t>
      </w:r>
      <w:r>
        <w:rPr>
          <w:color w:val="231F20"/>
          <w:spacing w:val="-8"/>
        </w:rPr>
        <w:t> </w:t>
      </w:r>
      <w:r>
        <w:rPr>
          <w:color w:val="231F20"/>
        </w:rPr>
        <w:t>collaboration </w:t>
      </w:r>
      <w:r>
        <w:rPr>
          <w:color w:val="231F20"/>
          <w:spacing w:val="-6"/>
        </w:rPr>
        <w:t>between IBM and GTD Solution (a division of </w:t>
      </w:r>
      <w:r>
        <w:rPr>
          <w:color w:val="231F20"/>
          <w:spacing w:val="-2"/>
        </w:rPr>
        <w:t>shipping</w:t>
      </w:r>
      <w:r>
        <w:rPr>
          <w:color w:val="231F20"/>
          <w:spacing w:val="-12"/>
        </w:rPr>
        <w:t> </w:t>
      </w:r>
      <w:r>
        <w:rPr>
          <w:color w:val="231F20"/>
          <w:spacing w:val="-2"/>
        </w:rPr>
        <w:t>conglomerate</w:t>
      </w:r>
      <w:r>
        <w:rPr>
          <w:color w:val="231F20"/>
          <w:spacing w:val="-11"/>
        </w:rPr>
        <w:t> </w:t>
      </w:r>
      <w:r>
        <w:rPr>
          <w:color w:val="231F20"/>
          <w:spacing w:val="-2"/>
        </w:rPr>
        <w:t>Maersk),</w:t>
      </w:r>
      <w:r>
        <w:rPr>
          <w:color w:val="231F20"/>
          <w:spacing w:val="-11"/>
        </w:rPr>
        <w:t> </w:t>
      </w:r>
      <w:r>
        <w:rPr>
          <w:color w:val="231F20"/>
          <w:spacing w:val="-2"/>
        </w:rPr>
        <w:t>the</w:t>
      </w:r>
      <w:r>
        <w:rPr>
          <w:color w:val="231F20"/>
          <w:spacing w:val="-11"/>
        </w:rPr>
        <w:t> </w:t>
      </w:r>
      <w:r>
        <w:rPr>
          <w:color w:val="231F20"/>
          <w:spacing w:val="-2"/>
        </w:rPr>
        <w:t>platform </w:t>
      </w:r>
      <w:r>
        <w:rPr>
          <w:color w:val="231F20"/>
          <w:spacing w:val="-4"/>
        </w:rPr>
        <w:t>operated</w:t>
      </w:r>
      <w:r>
        <w:rPr>
          <w:color w:val="231F20"/>
          <w:spacing w:val="-6"/>
        </w:rPr>
        <w:t> </w:t>
      </w:r>
      <w:r>
        <w:rPr>
          <w:color w:val="231F20"/>
          <w:spacing w:val="-4"/>
        </w:rPr>
        <w:t>between</w:t>
      </w:r>
      <w:r>
        <w:rPr>
          <w:color w:val="231F20"/>
          <w:spacing w:val="-6"/>
        </w:rPr>
        <w:t> </w:t>
      </w:r>
      <w:r>
        <w:rPr>
          <w:color w:val="231F20"/>
          <w:spacing w:val="-4"/>
        </w:rPr>
        <w:t>2018</w:t>
      </w:r>
      <w:r>
        <w:rPr>
          <w:color w:val="231F20"/>
          <w:spacing w:val="-6"/>
        </w:rPr>
        <w:t> </w:t>
      </w:r>
      <w:r>
        <w:rPr>
          <w:color w:val="231F20"/>
          <w:spacing w:val="-4"/>
        </w:rPr>
        <w:t>and</w:t>
      </w:r>
      <w:r>
        <w:rPr>
          <w:color w:val="231F20"/>
          <w:spacing w:val="-6"/>
        </w:rPr>
        <w:t> </w:t>
      </w:r>
      <w:r>
        <w:rPr>
          <w:color w:val="231F20"/>
          <w:spacing w:val="-4"/>
        </w:rPr>
        <w:t>the</w:t>
      </w:r>
      <w:r>
        <w:rPr>
          <w:color w:val="231F20"/>
          <w:spacing w:val="-6"/>
        </w:rPr>
        <w:t> </w:t>
      </w:r>
      <w:r>
        <w:rPr>
          <w:color w:val="231F20"/>
          <w:spacing w:val="-4"/>
        </w:rPr>
        <w:t>first</w:t>
      </w:r>
      <w:r>
        <w:rPr>
          <w:color w:val="231F20"/>
          <w:spacing w:val="-6"/>
        </w:rPr>
        <w:t> </w:t>
      </w:r>
      <w:r>
        <w:rPr>
          <w:color w:val="231F20"/>
          <w:spacing w:val="-4"/>
        </w:rPr>
        <w:t>quarter</w:t>
      </w:r>
      <w:r>
        <w:rPr>
          <w:color w:val="231F20"/>
          <w:spacing w:val="-6"/>
        </w:rPr>
        <w:t> </w:t>
      </w:r>
      <w:r>
        <w:rPr>
          <w:color w:val="231F20"/>
          <w:spacing w:val="-4"/>
        </w:rPr>
        <w:t>of </w:t>
      </w:r>
      <w:r>
        <w:rPr>
          <w:color w:val="231F20"/>
        </w:rPr>
        <w:t>2023.</w:t>
      </w:r>
      <w:r>
        <w:rPr>
          <w:color w:val="231F20"/>
          <w:spacing w:val="-14"/>
        </w:rPr>
        <w:t> </w:t>
      </w:r>
      <w:r>
        <w:rPr>
          <w:color w:val="231F20"/>
        </w:rPr>
        <w:t>TradeLens</w:t>
      </w:r>
      <w:r>
        <w:rPr>
          <w:color w:val="231F20"/>
          <w:spacing w:val="-13"/>
        </w:rPr>
        <w:t> </w:t>
      </w:r>
      <w:r>
        <w:rPr>
          <w:color w:val="231F20"/>
        </w:rPr>
        <w:t>used</w:t>
      </w:r>
      <w:r>
        <w:rPr>
          <w:color w:val="231F20"/>
          <w:spacing w:val="-13"/>
        </w:rPr>
        <w:t> </w:t>
      </w:r>
      <w:r>
        <w:rPr>
          <w:color w:val="231F20"/>
        </w:rPr>
        <w:t>IBM</w:t>
      </w:r>
      <w:r>
        <w:rPr>
          <w:color w:val="231F20"/>
          <w:spacing w:val="-13"/>
        </w:rPr>
        <w:t> </w:t>
      </w:r>
      <w:r>
        <w:rPr>
          <w:color w:val="231F20"/>
        </w:rPr>
        <w:t>Blockchain</w:t>
      </w:r>
      <w:r>
        <w:rPr>
          <w:color w:val="231F20"/>
          <w:spacing w:val="-13"/>
        </w:rPr>
        <w:t> </w:t>
      </w:r>
      <w:r>
        <w:rPr>
          <w:color w:val="231F20"/>
        </w:rPr>
        <w:t>Plat- form,</w:t>
      </w:r>
      <w:r>
        <w:rPr>
          <w:color w:val="231F20"/>
          <w:spacing w:val="-14"/>
        </w:rPr>
        <w:t> </w:t>
      </w:r>
      <w:r>
        <w:rPr>
          <w:color w:val="231F20"/>
        </w:rPr>
        <w:t>a</w:t>
      </w:r>
      <w:r>
        <w:rPr>
          <w:color w:val="231F20"/>
          <w:spacing w:val="-13"/>
        </w:rPr>
        <w:t> </w:t>
      </w:r>
      <w:r>
        <w:rPr>
          <w:color w:val="231F20"/>
        </w:rPr>
        <w:t>permissioned</w:t>
      </w:r>
      <w:r>
        <w:rPr>
          <w:color w:val="231F20"/>
          <w:spacing w:val="-13"/>
        </w:rPr>
        <w:t> </w:t>
      </w:r>
      <w:r>
        <w:rPr>
          <w:color w:val="231F20"/>
        </w:rPr>
        <w:t>blockchain</w:t>
      </w:r>
      <w:r>
        <w:rPr>
          <w:color w:val="231F20"/>
          <w:spacing w:val="-13"/>
        </w:rPr>
        <w:t> </w:t>
      </w:r>
      <w:r>
        <w:rPr>
          <w:color w:val="231F20"/>
        </w:rPr>
        <w:t>system</w:t>
      </w:r>
      <w:r>
        <w:rPr>
          <w:color w:val="231F20"/>
          <w:spacing w:val="-13"/>
        </w:rPr>
        <w:t> </w:t>
      </w:r>
      <w:r>
        <w:rPr>
          <w:color w:val="231F20"/>
        </w:rPr>
        <w:t>that </w:t>
      </w:r>
      <w:r>
        <w:rPr>
          <w:color w:val="231F20"/>
          <w:spacing w:val="-2"/>
        </w:rPr>
        <w:t>offers immutability, privacy, and traceability </w:t>
      </w:r>
      <w:r>
        <w:rPr>
          <w:color w:val="231F20"/>
        </w:rPr>
        <w:t>of shipping documents. TradeLens brought together more than 1,000 major entities </w:t>
      </w:r>
      <w:r>
        <w:rPr>
          <w:color w:val="231F20"/>
          <w:spacing w:val="-2"/>
        </w:rPr>
        <w:t>involved</w:t>
      </w:r>
      <w:r>
        <w:rPr>
          <w:color w:val="231F20"/>
          <w:spacing w:val="-12"/>
        </w:rPr>
        <w:t> </w:t>
      </w:r>
      <w:r>
        <w:rPr>
          <w:color w:val="231F20"/>
          <w:spacing w:val="-2"/>
        </w:rPr>
        <w:t>in</w:t>
      </w:r>
      <w:r>
        <w:rPr>
          <w:color w:val="231F20"/>
          <w:spacing w:val="-11"/>
        </w:rPr>
        <w:t> </w:t>
      </w:r>
      <w:r>
        <w:rPr>
          <w:color w:val="231F20"/>
          <w:spacing w:val="-2"/>
        </w:rPr>
        <w:t>the</w:t>
      </w:r>
      <w:r>
        <w:rPr>
          <w:color w:val="231F20"/>
          <w:spacing w:val="-11"/>
        </w:rPr>
        <w:t> </w:t>
      </w:r>
      <w:r>
        <w:rPr>
          <w:color w:val="231F20"/>
          <w:spacing w:val="-2"/>
        </w:rPr>
        <w:t>global</w:t>
      </w:r>
      <w:r>
        <w:rPr>
          <w:color w:val="231F20"/>
          <w:spacing w:val="-11"/>
        </w:rPr>
        <w:t> </w:t>
      </w:r>
      <w:r>
        <w:rPr>
          <w:color w:val="231F20"/>
          <w:spacing w:val="-2"/>
        </w:rPr>
        <w:t>supply</w:t>
      </w:r>
      <w:r>
        <w:rPr>
          <w:color w:val="231F20"/>
          <w:spacing w:val="-11"/>
        </w:rPr>
        <w:t> </w:t>
      </w:r>
      <w:r>
        <w:rPr>
          <w:color w:val="231F20"/>
          <w:spacing w:val="-2"/>
        </w:rPr>
        <w:t>chain,</w:t>
      </w:r>
      <w:r>
        <w:rPr>
          <w:color w:val="231F20"/>
          <w:spacing w:val="-11"/>
        </w:rPr>
        <w:t> </w:t>
      </w:r>
      <w:r>
        <w:rPr>
          <w:color w:val="231F20"/>
          <w:spacing w:val="-2"/>
        </w:rPr>
        <w:t>including </w:t>
      </w:r>
      <w:r>
        <w:rPr>
          <w:color w:val="231F20"/>
        </w:rPr>
        <w:t>more</w:t>
      </w:r>
      <w:r>
        <w:rPr>
          <w:color w:val="231F20"/>
          <w:spacing w:val="-5"/>
        </w:rPr>
        <w:t> </w:t>
      </w:r>
      <w:r>
        <w:rPr>
          <w:color w:val="231F20"/>
        </w:rPr>
        <w:t>than</w:t>
      </w:r>
      <w:r>
        <w:rPr>
          <w:color w:val="231F20"/>
          <w:spacing w:val="-5"/>
        </w:rPr>
        <w:t> </w:t>
      </w:r>
      <w:r>
        <w:rPr>
          <w:color w:val="231F20"/>
        </w:rPr>
        <w:t>200</w:t>
      </w:r>
      <w:r>
        <w:rPr>
          <w:color w:val="231F20"/>
          <w:spacing w:val="-5"/>
        </w:rPr>
        <w:t> </w:t>
      </w:r>
      <w:r>
        <w:rPr>
          <w:color w:val="231F20"/>
        </w:rPr>
        <w:t>ports</w:t>
      </w:r>
      <w:r>
        <w:rPr>
          <w:color w:val="231F20"/>
          <w:spacing w:val="-5"/>
        </w:rPr>
        <w:t> </w:t>
      </w:r>
      <w:r>
        <w:rPr>
          <w:color w:val="231F20"/>
        </w:rPr>
        <w:t>and</w:t>
      </w:r>
      <w:r>
        <w:rPr>
          <w:color w:val="231F20"/>
          <w:spacing w:val="-5"/>
        </w:rPr>
        <w:t> </w:t>
      </w:r>
      <w:r>
        <w:rPr>
          <w:color w:val="231F20"/>
        </w:rPr>
        <w:t>terminals</w:t>
      </w:r>
      <w:r>
        <w:rPr>
          <w:color w:val="231F20"/>
          <w:spacing w:val="-5"/>
        </w:rPr>
        <w:t> </w:t>
      </w:r>
      <w:r>
        <w:rPr>
          <w:color w:val="231F20"/>
        </w:rPr>
        <w:t>and</w:t>
      </w:r>
      <w:r>
        <w:rPr>
          <w:color w:val="231F20"/>
          <w:spacing w:val="-5"/>
        </w:rPr>
        <w:t> </w:t>
      </w:r>
      <w:r>
        <w:rPr>
          <w:color w:val="231F20"/>
        </w:rPr>
        <w:t>more </w:t>
      </w:r>
      <w:r>
        <w:rPr>
          <w:color w:val="231F20"/>
          <w:spacing w:val="-4"/>
        </w:rPr>
        <w:t>than</w:t>
      </w:r>
      <w:r>
        <w:rPr>
          <w:color w:val="231F20"/>
          <w:spacing w:val="-10"/>
        </w:rPr>
        <w:t> </w:t>
      </w:r>
      <w:r>
        <w:rPr>
          <w:color w:val="231F20"/>
          <w:spacing w:val="-4"/>
        </w:rPr>
        <w:t>15</w:t>
      </w:r>
      <w:r>
        <w:rPr>
          <w:color w:val="231F20"/>
          <w:spacing w:val="-9"/>
        </w:rPr>
        <w:t> </w:t>
      </w:r>
      <w:r>
        <w:rPr>
          <w:color w:val="231F20"/>
          <w:spacing w:val="-4"/>
        </w:rPr>
        <w:t>customs</w:t>
      </w:r>
      <w:r>
        <w:rPr>
          <w:color w:val="231F20"/>
          <w:spacing w:val="-9"/>
        </w:rPr>
        <w:t> </w:t>
      </w:r>
      <w:r>
        <w:rPr>
          <w:color w:val="231F20"/>
          <w:spacing w:val="-4"/>
        </w:rPr>
        <w:t>authorities,</w:t>
      </w:r>
      <w:r>
        <w:rPr>
          <w:color w:val="231F20"/>
          <w:spacing w:val="-9"/>
        </w:rPr>
        <w:t> </w:t>
      </w:r>
      <w:r>
        <w:rPr>
          <w:color w:val="231F20"/>
          <w:spacing w:val="-4"/>
        </w:rPr>
        <w:t>and</w:t>
      </w:r>
      <w:r>
        <w:rPr>
          <w:color w:val="231F20"/>
          <w:spacing w:val="-9"/>
        </w:rPr>
        <w:t> </w:t>
      </w:r>
      <w:r>
        <w:rPr>
          <w:color w:val="231F20"/>
          <w:spacing w:val="-4"/>
        </w:rPr>
        <w:t>by</w:t>
      </w:r>
      <w:r>
        <w:rPr>
          <w:color w:val="231F20"/>
          <w:spacing w:val="-9"/>
        </w:rPr>
        <w:t> </w:t>
      </w:r>
      <w:r>
        <w:rPr>
          <w:color w:val="231F20"/>
          <w:spacing w:val="-4"/>
        </w:rPr>
        <w:t>mid-2022, it</w:t>
      </w:r>
      <w:r>
        <w:rPr>
          <w:color w:val="231F20"/>
          <w:spacing w:val="-7"/>
        </w:rPr>
        <w:t> </w:t>
      </w:r>
      <w:r>
        <w:rPr>
          <w:color w:val="231F20"/>
          <w:spacing w:val="-4"/>
        </w:rPr>
        <w:t>was</w:t>
      </w:r>
      <w:r>
        <w:rPr>
          <w:color w:val="231F20"/>
          <w:spacing w:val="-7"/>
        </w:rPr>
        <w:t> </w:t>
      </w:r>
      <w:r>
        <w:rPr>
          <w:color w:val="231F20"/>
          <w:spacing w:val="-4"/>
        </w:rPr>
        <w:t>facilitating</w:t>
      </w:r>
      <w:r>
        <w:rPr>
          <w:color w:val="231F20"/>
          <w:spacing w:val="-7"/>
        </w:rPr>
        <w:t> </w:t>
      </w:r>
      <w:r>
        <w:rPr>
          <w:color w:val="231F20"/>
          <w:spacing w:val="-4"/>
        </w:rPr>
        <w:t>the</w:t>
      </w:r>
      <w:r>
        <w:rPr>
          <w:color w:val="231F20"/>
          <w:spacing w:val="-7"/>
        </w:rPr>
        <w:t> </w:t>
      </w:r>
      <w:r>
        <w:rPr>
          <w:color w:val="231F20"/>
          <w:spacing w:val="-4"/>
        </w:rPr>
        <w:t>information</w:t>
      </w:r>
      <w:r>
        <w:rPr>
          <w:color w:val="231F20"/>
          <w:spacing w:val="-7"/>
        </w:rPr>
        <w:t> </w:t>
      </w:r>
      <w:r>
        <w:rPr>
          <w:color w:val="231F20"/>
          <w:spacing w:val="-4"/>
        </w:rPr>
        <w:t>exchange</w:t>
      </w:r>
      <w:r>
        <w:rPr>
          <w:color w:val="231F20"/>
          <w:spacing w:val="-7"/>
        </w:rPr>
        <w:t> </w:t>
      </w:r>
      <w:r>
        <w:rPr>
          <w:color w:val="231F20"/>
          <w:spacing w:val="-4"/>
        </w:rPr>
        <w:t>of </w:t>
      </w:r>
      <w:r>
        <w:rPr>
          <w:color w:val="231F20"/>
        </w:rPr>
        <w:t>about 60 percent of containerized trade.</w:t>
      </w:r>
      <w:r>
        <w:rPr>
          <w:color w:val="231F20"/>
          <w:position w:val="7"/>
          <w:sz w:val="14"/>
        </w:rPr>
        <w:t>4</w:t>
      </w:r>
      <w:r>
        <w:rPr>
          <w:color w:val="231F20"/>
          <w:spacing w:val="19"/>
          <w:position w:val="7"/>
          <w:sz w:val="14"/>
        </w:rPr>
        <w:t> </w:t>
      </w:r>
      <w:r>
        <w:rPr>
          <w:color w:val="231F20"/>
        </w:rPr>
        <w:t>Its interoperability was supported through the adaptation of a data model and access con- </w:t>
      </w:r>
      <w:r>
        <w:rPr>
          <w:color w:val="231F20"/>
          <w:spacing w:val="-2"/>
        </w:rPr>
        <w:t>trol</w:t>
      </w:r>
      <w:r>
        <w:rPr>
          <w:color w:val="231F20"/>
          <w:spacing w:val="-12"/>
        </w:rPr>
        <w:t> </w:t>
      </w:r>
      <w:r>
        <w:rPr>
          <w:color w:val="231F20"/>
          <w:spacing w:val="-2"/>
        </w:rPr>
        <w:t>schema</w:t>
      </w:r>
      <w:r>
        <w:rPr>
          <w:color w:val="231F20"/>
          <w:spacing w:val="-11"/>
        </w:rPr>
        <w:t> </w:t>
      </w:r>
      <w:r>
        <w:rPr>
          <w:color w:val="231F20"/>
          <w:spacing w:val="-2"/>
        </w:rPr>
        <w:t>that</w:t>
      </w:r>
      <w:r>
        <w:rPr>
          <w:color w:val="231F20"/>
          <w:spacing w:val="-11"/>
        </w:rPr>
        <w:t> </w:t>
      </w:r>
      <w:r>
        <w:rPr>
          <w:color w:val="231F20"/>
          <w:spacing w:val="-2"/>
        </w:rPr>
        <w:t>were</w:t>
      </w:r>
      <w:r>
        <w:rPr>
          <w:color w:val="231F20"/>
          <w:spacing w:val="-11"/>
        </w:rPr>
        <w:t> </w:t>
      </w:r>
      <w:r>
        <w:rPr>
          <w:color w:val="231F20"/>
          <w:spacing w:val="-2"/>
        </w:rPr>
        <w:t>aligned</w:t>
      </w:r>
      <w:r>
        <w:rPr>
          <w:color w:val="231F20"/>
          <w:spacing w:val="-11"/>
        </w:rPr>
        <w:t> </w:t>
      </w:r>
      <w:r>
        <w:rPr>
          <w:color w:val="231F20"/>
          <w:spacing w:val="-2"/>
        </w:rPr>
        <w:t>with</w:t>
      </w:r>
      <w:r>
        <w:rPr>
          <w:color w:val="231F20"/>
          <w:spacing w:val="-11"/>
        </w:rPr>
        <w:t> </w:t>
      </w:r>
      <w:r>
        <w:rPr>
          <w:color w:val="231F20"/>
          <w:spacing w:val="-2"/>
        </w:rPr>
        <w:t>the</w:t>
      </w:r>
      <w:r>
        <w:rPr>
          <w:color w:val="231F20"/>
          <w:spacing w:val="-11"/>
        </w:rPr>
        <w:t> </w:t>
      </w:r>
      <w:r>
        <w:rPr>
          <w:color w:val="231F20"/>
          <w:spacing w:val="-2"/>
        </w:rPr>
        <w:t>Supply </w:t>
      </w:r>
      <w:r>
        <w:rPr>
          <w:color w:val="231F20"/>
        </w:rPr>
        <w:t>Chain</w:t>
      </w:r>
      <w:r>
        <w:rPr>
          <w:color w:val="231F20"/>
          <w:spacing w:val="10"/>
        </w:rPr>
        <w:t> </w:t>
      </w:r>
      <w:r>
        <w:rPr>
          <w:color w:val="231F20"/>
        </w:rPr>
        <w:t>Reference</w:t>
      </w:r>
      <w:r>
        <w:rPr>
          <w:color w:val="231F20"/>
          <w:spacing w:val="10"/>
        </w:rPr>
        <w:t> </w:t>
      </w:r>
      <w:r>
        <w:rPr>
          <w:color w:val="231F20"/>
        </w:rPr>
        <w:t>Data</w:t>
      </w:r>
      <w:r>
        <w:rPr>
          <w:color w:val="231F20"/>
          <w:spacing w:val="10"/>
        </w:rPr>
        <w:t> </w:t>
      </w:r>
      <w:r>
        <w:rPr>
          <w:color w:val="231F20"/>
        </w:rPr>
        <w:t>Model</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spacing w:val="-2"/>
        </w:rPr>
        <w:t>United</w:t>
      </w:r>
    </w:p>
    <w:p>
      <w:pPr>
        <w:pStyle w:val="BodyText"/>
        <w:spacing w:line="268" w:lineRule="auto" w:before="97"/>
        <w:ind w:left="199" w:right="659"/>
        <w:jc w:val="both"/>
      </w:pPr>
      <w:r>
        <w:rPr/>
        <w:br w:type="column"/>
      </w:r>
      <w:r>
        <w:rPr>
          <w:color w:val="231F20"/>
          <w:spacing w:val="-6"/>
        </w:rPr>
        <w:t>Nations</w:t>
      </w:r>
      <w:r>
        <w:rPr>
          <w:color w:val="231F20"/>
          <w:spacing w:val="-7"/>
        </w:rPr>
        <w:t> </w:t>
      </w:r>
      <w:r>
        <w:rPr>
          <w:color w:val="231F20"/>
          <w:spacing w:val="-6"/>
        </w:rPr>
        <w:t>Centre</w:t>
      </w:r>
      <w:r>
        <w:rPr>
          <w:color w:val="231F20"/>
          <w:spacing w:val="-7"/>
        </w:rPr>
        <w:t> </w:t>
      </w:r>
      <w:r>
        <w:rPr>
          <w:color w:val="231F20"/>
          <w:spacing w:val="-6"/>
        </w:rPr>
        <w:t>for</w:t>
      </w:r>
      <w:r>
        <w:rPr>
          <w:color w:val="231F20"/>
          <w:spacing w:val="-7"/>
        </w:rPr>
        <w:t> </w:t>
      </w:r>
      <w:r>
        <w:rPr>
          <w:color w:val="231F20"/>
          <w:spacing w:val="-6"/>
        </w:rPr>
        <w:t>Trade</w:t>
      </w:r>
      <w:r>
        <w:rPr>
          <w:color w:val="231F20"/>
          <w:spacing w:val="-7"/>
        </w:rPr>
        <w:t> </w:t>
      </w:r>
      <w:r>
        <w:rPr>
          <w:color w:val="231F20"/>
          <w:spacing w:val="-6"/>
        </w:rPr>
        <w:t>Facilitation</w:t>
      </w:r>
      <w:r>
        <w:rPr>
          <w:color w:val="231F20"/>
          <w:spacing w:val="-7"/>
        </w:rPr>
        <w:t> </w:t>
      </w:r>
      <w:r>
        <w:rPr>
          <w:color w:val="231F20"/>
          <w:spacing w:val="-6"/>
        </w:rPr>
        <w:t>and</w:t>
      </w:r>
      <w:r>
        <w:rPr>
          <w:color w:val="231F20"/>
          <w:spacing w:val="-7"/>
        </w:rPr>
        <w:t> </w:t>
      </w:r>
      <w:r>
        <w:rPr>
          <w:color w:val="231F20"/>
          <w:spacing w:val="-6"/>
        </w:rPr>
        <w:t>Elec- </w:t>
      </w:r>
      <w:r>
        <w:rPr>
          <w:color w:val="231F20"/>
        </w:rPr>
        <w:t>tronic</w:t>
      </w:r>
      <w:r>
        <w:rPr>
          <w:color w:val="231F20"/>
          <w:spacing w:val="-14"/>
        </w:rPr>
        <w:t> </w:t>
      </w:r>
      <w:r>
        <w:rPr>
          <w:color w:val="231F20"/>
        </w:rPr>
        <w:t>Business</w:t>
      </w:r>
      <w:r>
        <w:rPr>
          <w:color w:val="231F20"/>
          <w:spacing w:val="-13"/>
        </w:rPr>
        <w:t> </w:t>
      </w:r>
      <w:r>
        <w:rPr>
          <w:color w:val="231F20"/>
        </w:rPr>
        <w:t>(figure</w:t>
      </w:r>
      <w:r>
        <w:rPr>
          <w:color w:val="231F20"/>
          <w:spacing w:val="-13"/>
        </w:rPr>
        <w:t> </w:t>
      </w:r>
      <w:r>
        <w:rPr>
          <w:color w:val="231F20"/>
        </w:rPr>
        <w:t>A4.4).</w:t>
      </w:r>
    </w:p>
    <w:p>
      <w:pPr>
        <w:pStyle w:val="BodyText"/>
        <w:spacing w:line="268" w:lineRule="auto"/>
        <w:ind w:left="199" w:right="657" w:firstLine="300"/>
        <w:jc w:val="both"/>
      </w:pPr>
      <w:r>
        <w:rPr>
          <w:color w:val="231F20"/>
          <w:w w:val="90"/>
        </w:rPr>
        <w:t>TradeLens used a simple, logical data model </w:t>
      </w:r>
      <w:r>
        <w:rPr>
          <w:color w:val="231F20"/>
          <w:spacing w:val="-6"/>
        </w:rPr>
        <w:t>with three related classes: consignments, trans- </w:t>
      </w:r>
      <w:r>
        <w:rPr>
          <w:color w:val="231F20"/>
        </w:rPr>
        <w:t>port equipment, and shipments. The main purpose of this model was to track consign- ments,</w:t>
      </w:r>
      <w:r>
        <w:rPr>
          <w:color w:val="231F20"/>
          <w:spacing w:val="-14"/>
        </w:rPr>
        <w:t> </w:t>
      </w:r>
      <w:r>
        <w:rPr>
          <w:color w:val="231F20"/>
        </w:rPr>
        <w:t>transport</w:t>
      </w:r>
      <w:r>
        <w:rPr>
          <w:color w:val="231F20"/>
          <w:spacing w:val="-13"/>
        </w:rPr>
        <w:t> </w:t>
      </w:r>
      <w:r>
        <w:rPr>
          <w:color w:val="231F20"/>
        </w:rPr>
        <w:t>equipment</w:t>
      </w:r>
      <w:r>
        <w:rPr>
          <w:color w:val="231F20"/>
          <w:spacing w:val="-13"/>
        </w:rPr>
        <w:t> </w:t>
      </w:r>
      <w:r>
        <w:rPr>
          <w:color w:val="231F20"/>
        </w:rPr>
        <w:t>(containers),</w:t>
      </w:r>
      <w:r>
        <w:rPr>
          <w:color w:val="231F20"/>
          <w:spacing w:val="-13"/>
        </w:rPr>
        <w:t> </w:t>
      </w:r>
      <w:r>
        <w:rPr>
          <w:color w:val="231F20"/>
        </w:rPr>
        <w:t>and </w:t>
      </w:r>
      <w:r>
        <w:rPr>
          <w:color w:val="231F20"/>
          <w:spacing w:val="-2"/>
        </w:rPr>
        <w:t>shipments</w:t>
      </w:r>
      <w:r>
        <w:rPr>
          <w:color w:val="231F20"/>
          <w:spacing w:val="-12"/>
        </w:rPr>
        <w:t> </w:t>
      </w:r>
      <w:r>
        <w:rPr>
          <w:color w:val="231F20"/>
          <w:spacing w:val="-2"/>
        </w:rPr>
        <w:t>while</w:t>
      </w:r>
      <w:r>
        <w:rPr>
          <w:color w:val="231F20"/>
          <w:spacing w:val="-11"/>
        </w:rPr>
        <w:t> </w:t>
      </w:r>
      <w:r>
        <w:rPr>
          <w:color w:val="231F20"/>
          <w:spacing w:val="-2"/>
        </w:rPr>
        <w:t>managing</w:t>
      </w:r>
      <w:r>
        <w:rPr>
          <w:color w:val="231F20"/>
          <w:spacing w:val="-11"/>
        </w:rPr>
        <w:t> </w:t>
      </w:r>
      <w:r>
        <w:rPr>
          <w:color w:val="231F20"/>
          <w:spacing w:val="-2"/>
        </w:rPr>
        <w:t>the</w:t>
      </w:r>
      <w:r>
        <w:rPr>
          <w:color w:val="231F20"/>
          <w:spacing w:val="-11"/>
        </w:rPr>
        <w:t> </w:t>
      </w:r>
      <w:r>
        <w:rPr>
          <w:color w:val="231F20"/>
          <w:spacing w:val="-2"/>
        </w:rPr>
        <w:t>identifiers</w:t>
      </w:r>
      <w:r>
        <w:rPr>
          <w:color w:val="231F20"/>
          <w:spacing w:val="-11"/>
        </w:rPr>
        <w:t> </w:t>
      </w:r>
      <w:r>
        <w:rPr>
          <w:color w:val="231F20"/>
          <w:spacing w:val="-2"/>
        </w:rPr>
        <w:t>and relationships</w:t>
      </w:r>
      <w:r>
        <w:rPr>
          <w:color w:val="231F20"/>
          <w:spacing w:val="-4"/>
        </w:rPr>
        <w:t> </w:t>
      </w:r>
      <w:r>
        <w:rPr>
          <w:color w:val="231F20"/>
          <w:spacing w:val="-2"/>
        </w:rPr>
        <w:t>between</w:t>
      </w:r>
      <w:r>
        <w:rPr>
          <w:color w:val="231F20"/>
          <w:spacing w:val="-4"/>
        </w:rPr>
        <w:t> </w:t>
      </w:r>
      <w:r>
        <w:rPr>
          <w:color w:val="231F20"/>
          <w:spacing w:val="-2"/>
        </w:rPr>
        <w:t>them.</w:t>
      </w:r>
      <w:r>
        <w:rPr>
          <w:color w:val="231F20"/>
          <w:spacing w:val="-4"/>
        </w:rPr>
        <w:t> </w:t>
      </w:r>
      <w:r>
        <w:rPr>
          <w:color w:val="231F20"/>
          <w:spacing w:val="-2"/>
        </w:rPr>
        <w:t>The</w:t>
      </w:r>
      <w:r>
        <w:rPr>
          <w:color w:val="231F20"/>
          <w:spacing w:val="-4"/>
        </w:rPr>
        <w:t> </w:t>
      </w:r>
      <w:r>
        <w:rPr>
          <w:color w:val="231F20"/>
          <w:spacing w:val="-2"/>
        </w:rPr>
        <w:t>platform</w:t>
      </w:r>
      <w:r>
        <w:rPr>
          <w:color w:val="231F20"/>
          <w:spacing w:val="-4"/>
        </w:rPr>
        <w:t> </w:t>
      </w:r>
      <w:r>
        <w:rPr>
          <w:color w:val="231F20"/>
          <w:spacing w:val="-2"/>
        </w:rPr>
        <w:t>al- </w:t>
      </w:r>
      <w:r>
        <w:rPr>
          <w:color w:val="231F20"/>
          <w:spacing w:val="-8"/>
        </w:rPr>
        <w:t>lowed</w:t>
      </w:r>
      <w:r>
        <w:rPr>
          <w:color w:val="231F20"/>
          <w:spacing w:val="-4"/>
        </w:rPr>
        <w:t> </w:t>
      </w:r>
      <w:r>
        <w:rPr>
          <w:color w:val="231F20"/>
          <w:spacing w:val="-8"/>
        </w:rPr>
        <w:t>a</w:t>
      </w:r>
      <w:r>
        <w:rPr>
          <w:color w:val="231F20"/>
          <w:spacing w:val="-4"/>
        </w:rPr>
        <w:t> </w:t>
      </w:r>
      <w:r>
        <w:rPr>
          <w:color w:val="231F20"/>
          <w:spacing w:val="-8"/>
        </w:rPr>
        <w:t>consignment</w:t>
      </w:r>
      <w:r>
        <w:rPr>
          <w:color w:val="231F20"/>
          <w:spacing w:val="-4"/>
        </w:rPr>
        <w:t> </w:t>
      </w:r>
      <w:r>
        <w:rPr>
          <w:color w:val="231F20"/>
          <w:spacing w:val="-8"/>
        </w:rPr>
        <w:t>to</w:t>
      </w:r>
      <w:r>
        <w:rPr>
          <w:color w:val="231F20"/>
          <w:spacing w:val="-4"/>
        </w:rPr>
        <w:t> </w:t>
      </w:r>
      <w:r>
        <w:rPr>
          <w:color w:val="231F20"/>
          <w:spacing w:val="-8"/>
        </w:rPr>
        <w:t>be</w:t>
      </w:r>
      <w:r>
        <w:rPr>
          <w:color w:val="231F20"/>
          <w:spacing w:val="-4"/>
        </w:rPr>
        <w:t> </w:t>
      </w:r>
      <w:r>
        <w:rPr>
          <w:color w:val="231F20"/>
          <w:spacing w:val="-8"/>
        </w:rPr>
        <w:t>in</w:t>
      </w:r>
      <w:r>
        <w:rPr>
          <w:color w:val="231F20"/>
          <w:spacing w:val="-4"/>
        </w:rPr>
        <w:t> </w:t>
      </w:r>
      <w:r>
        <w:rPr>
          <w:color w:val="231F20"/>
          <w:spacing w:val="-8"/>
        </w:rPr>
        <w:t>multiple</w:t>
      </w:r>
      <w:r>
        <w:rPr>
          <w:color w:val="231F20"/>
          <w:spacing w:val="-4"/>
        </w:rPr>
        <w:t> </w:t>
      </w:r>
      <w:r>
        <w:rPr>
          <w:color w:val="231F20"/>
          <w:spacing w:val="-8"/>
        </w:rPr>
        <w:t>pieces</w:t>
      </w:r>
      <w:r>
        <w:rPr>
          <w:color w:val="231F20"/>
          <w:spacing w:val="-4"/>
        </w:rPr>
        <w:t> </w:t>
      </w:r>
      <w:r>
        <w:rPr>
          <w:color w:val="231F20"/>
          <w:spacing w:val="-8"/>
        </w:rPr>
        <w:t>of </w:t>
      </w:r>
      <w:r>
        <w:rPr>
          <w:color w:val="231F20"/>
          <w:spacing w:val="-6"/>
        </w:rPr>
        <w:t>transport equipment, along with other consign- </w:t>
      </w:r>
      <w:r>
        <w:rPr>
          <w:color w:val="231F20"/>
          <w:spacing w:val="-2"/>
        </w:rPr>
        <w:t>ments.</w:t>
      </w:r>
      <w:r>
        <w:rPr>
          <w:color w:val="231F20"/>
          <w:spacing w:val="-6"/>
        </w:rPr>
        <w:t> </w:t>
      </w:r>
      <w:r>
        <w:rPr>
          <w:color w:val="231F20"/>
          <w:spacing w:val="-2"/>
        </w:rPr>
        <w:t>It</w:t>
      </w:r>
      <w:r>
        <w:rPr>
          <w:color w:val="231F20"/>
          <w:spacing w:val="-6"/>
        </w:rPr>
        <w:t> </w:t>
      </w:r>
      <w:r>
        <w:rPr>
          <w:color w:val="231F20"/>
          <w:spacing w:val="-2"/>
        </w:rPr>
        <w:t>also</w:t>
      </w:r>
      <w:r>
        <w:rPr>
          <w:color w:val="231F20"/>
          <w:spacing w:val="-6"/>
        </w:rPr>
        <w:t> </w:t>
      </w:r>
      <w:r>
        <w:rPr>
          <w:color w:val="231F20"/>
          <w:spacing w:val="-2"/>
        </w:rPr>
        <w:t>allowed</w:t>
      </w:r>
      <w:r>
        <w:rPr>
          <w:color w:val="231F20"/>
          <w:spacing w:val="-6"/>
        </w:rPr>
        <w:t> </w:t>
      </w:r>
      <w:r>
        <w:rPr>
          <w:color w:val="231F20"/>
          <w:spacing w:val="-2"/>
        </w:rPr>
        <w:t>transport</w:t>
      </w:r>
      <w:r>
        <w:rPr>
          <w:color w:val="231F20"/>
          <w:spacing w:val="-6"/>
        </w:rPr>
        <w:t> </w:t>
      </w:r>
      <w:r>
        <w:rPr>
          <w:color w:val="231F20"/>
          <w:spacing w:val="-2"/>
        </w:rPr>
        <w:t>equipment</w:t>
      </w:r>
      <w:r>
        <w:rPr>
          <w:color w:val="231F20"/>
          <w:spacing w:val="-6"/>
        </w:rPr>
        <w:t> </w:t>
      </w:r>
      <w:r>
        <w:rPr>
          <w:color w:val="231F20"/>
          <w:spacing w:val="-2"/>
        </w:rPr>
        <w:t>to </w:t>
      </w:r>
      <w:r>
        <w:rPr>
          <w:color w:val="231F20"/>
        </w:rPr>
        <w:t>be</w:t>
      </w:r>
      <w:r>
        <w:rPr>
          <w:color w:val="231F20"/>
          <w:spacing w:val="-5"/>
        </w:rPr>
        <w:t> </w:t>
      </w:r>
      <w:r>
        <w:rPr>
          <w:color w:val="231F20"/>
        </w:rPr>
        <w:t>part</w:t>
      </w:r>
      <w:r>
        <w:rPr>
          <w:color w:val="231F20"/>
          <w:spacing w:val="-5"/>
        </w:rPr>
        <w:t> </w:t>
      </w:r>
      <w:r>
        <w:rPr>
          <w:color w:val="231F20"/>
        </w:rPr>
        <w:t>of</w:t>
      </w:r>
      <w:r>
        <w:rPr>
          <w:color w:val="231F20"/>
          <w:spacing w:val="-5"/>
        </w:rPr>
        <w:t> </w:t>
      </w:r>
      <w:r>
        <w:rPr>
          <w:color w:val="231F20"/>
        </w:rPr>
        <w:t>multiple</w:t>
      </w:r>
      <w:r>
        <w:rPr>
          <w:color w:val="231F20"/>
          <w:spacing w:val="-5"/>
        </w:rPr>
        <w:t> </w:t>
      </w:r>
      <w:r>
        <w:rPr>
          <w:color w:val="231F20"/>
        </w:rPr>
        <w:t>consignments.</w:t>
      </w:r>
    </w:p>
    <w:p>
      <w:pPr>
        <w:pStyle w:val="BodyText"/>
        <w:spacing w:line="268" w:lineRule="auto"/>
        <w:ind w:left="199" w:right="657" w:firstLine="300"/>
        <w:jc w:val="both"/>
      </w:pPr>
      <w:r>
        <w:rPr>
          <w:color w:val="231F20"/>
        </w:rPr>
        <w:t>The dataset extracted by TradeLens for the World Bank covers May 1–October 31, </w:t>
      </w:r>
      <w:r>
        <w:rPr>
          <w:color w:val="231F20"/>
          <w:spacing w:val="-6"/>
        </w:rPr>
        <w:t>2022. The sample contained timestamps for 11 </w:t>
      </w:r>
      <w:r>
        <w:rPr>
          <w:color w:val="231F20"/>
        </w:rPr>
        <w:t>events</w:t>
      </w:r>
      <w:r>
        <w:rPr>
          <w:color w:val="231F20"/>
          <w:spacing w:val="-14"/>
        </w:rPr>
        <w:t> </w:t>
      </w:r>
      <w:r>
        <w:rPr>
          <w:color w:val="231F20"/>
        </w:rPr>
        <w:t>for</w:t>
      </w:r>
      <w:r>
        <w:rPr>
          <w:color w:val="231F20"/>
          <w:spacing w:val="-13"/>
        </w:rPr>
        <w:t> </w:t>
      </w:r>
      <w:r>
        <w:rPr>
          <w:color w:val="231F20"/>
        </w:rPr>
        <w:t>four</w:t>
      </w:r>
      <w:r>
        <w:rPr>
          <w:color w:val="231F20"/>
          <w:spacing w:val="-13"/>
        </w:rPr>
        <w:t> </w:t>
      </w:r>
      <w:r>
        <w:rPr>
          <w:color w:val="231F20"/>
        </w:rPr>
        <w:t>transport</w:t>
      </w:r>
      <w:r>
        <w:rPr>
          <w:color w:val="231F20"/>
          <w:spacing w:val="-13"/>
        </w:rPr>
        <w:t> </w:t>
      </w:r>
      <w:r>
        <w:rPr>
          <w:color w:val="231F20"/>
        </w:rPr>
        <w:t>modes</w:t>
      </w:r>
      <w:r>
        <w:rPr>
          <w:color w:val="231F20"/>
          <w:spacing w:val="-13"/>
        </w:rPr>
        <w:t> </w:t>
      </w:r>
      <w:r>
        <w:rPr>
          <w:color w:val="231F20"/>
        </w:rPr>
        <w:t>(ocean,</w:t>
      </w:r>
      <w:r>
        <w:rPr>
          <w:color w:val="231F20"/>
          <w:spacing w:val="-13"/>
        </w:rPr>
        <w:t> </w:t>
      </w:r>
      <w:r>
        <w:rPr>
          <w:color w:val="231F20"/>
        </w:rPr>
        <w:t>road, barge,</w:t>
      </w:r>
      <w:r>
        <w:rPr>
          <w:color w:val="231F20"/>
          <w:spacing w:val="-10"/>
        </w:rPr>
        <w:t> </w:t>
      </w:r>
      <w:r>
        <w:rPr>
          <w:color w:val="231F20"/>
        </w:rPr>
        <w:t>and</w:t>
      </w:r>
      <w:r>
        <w:rPr>
          <w:color w:val="231F20"/>
          <w:spacing w:val="-10"/>
        </w:rPr>
        <w:t> </w:t>
      </w:r>
      <w:r>
        <w:rPr>
          <w:color w:val="231F20"/>
        </w:rPr>
        <w:t>rail)</w:t>
      </w:r>
      <w:r>
        <w:rPr>
          <w:color w:val="231F20"/>
          <w:spacing w:val="-10"/>
        </w:rPr>
        <w:t> </w:t>
      </w:r>
      <w:r>
        <w:rPr>
          <w:color w:val="231F20"/>
        </w:rPr>
        <w:t>and</w:t>
      </w:r>
      <w:r>
        <w:rPr>
          <w:color w:val="231F20"/>
          <w:spacing w:val="-10"/>
        </w:rPr>
        <w:t> </w:t>
      </w:r>
      <w:r>
        <w:rPr>
          <w:color w:val="231F20"/>
        </w:rPr>
        <w:t>two</w:t>
      </w:r>
      <w:r>
        <w:rPr>
          <w:color w:val="231F20"/>
          <w:spacing w:val="-10"/>
        </w:rPr>
        <w:t> </w:t>
      </w:r>
      <w:r>
        <w:rPr>
          <w:color w:val="231F20"/>
        </w:rPr>
        <w:t>load</w:t>
      </w:r>
      <w:r>
        <w:rPr>
          <w:color w:val="231F20"/>
          <w:spacing w:val="-10"/>
        </w:rPr>
        <w:t> </w:t>
      </w:r>
      <w:r>
        <w:rPr>
          <w:color w:val="231F20"/>
        </w:rPr>
        <w:t>statuses</w:t>
      </w:r>
      <w:r>
        <w:rPr>
          <w:color w:val="231F20"/>
          <w:spacing w:val="-10"/>
        </w:rPr>
        <w:t> </w:t>
      </w:r>
      <w:r>
        <w:rPr>
          <w:color w:val="231F20"/>
        </w:rPr>
        <w:t>(full</w:t>
      </w:r>
      <w:r>
        <w:rPr>
          <w:color w:val="231F20"/>
          <w:spacing w:val="-10"/>
        </w:rPr>
        <w:t> </w:t>
      </w:r>
      <w:r>
        <w:rPr>
          <w:color w:val="231F20"/>
        </w:rPr>
        <w:t>or empty),</w:t>
      </w:r>
      <w:r>
        <w:rPr>
          <w:color w:val="231F20"/>
          <w:spacing w:val="-4"/>
        </w:rPr>
        <w:t> </w:t>
      </w:r>
      <w:r>
        <w:rPr>
          <w:color w:val="231F20"/>
        </w:rPr>
        <w:t>associated</w:t>
      </w:r>
      <w:r>
        <w:rPr>
          <w:color w:val="231F20"/>
          <w:spacing w:val="-4"/>
        </w:rPr>
        <w:t> </w:t>
      </w:r>
      <w:r>
        <w:rPr>
          <w:color w:val="231F20"/>
        </w:rPr>
        <w:t>with</w:t>
      </w:r>
      <w:r>
        <w:rPr>
          <w:color w:val="231F20"/>
          <w:spacing w:val="-4"/>
        </w:rPr>
        <w:t> </w:t>
      </w:r>
      <w:r>
        <w:rPr>
          <w:color w:val="231F20"/>
        </w:rPr>
        <w:t>more</w:t>
      </w:r>
      <w:r>
        <w:rPr>
          <w:color w:val="231F20"/>
          <w:spacing w:val="-4"/>
        </w:rPr>
        <w:t> </w:t>
      </w:r>
      <w:r>
        <w:rPr>
          <w:color w:val="231F20"/>
        </w:rPr>
        <w:t>than</w:t>
      </w:r>
      <w:r>
        <w:rPr>
          <w:color w:val="231F20"/>
          <w:spacing w:val="-4"/>
        </w:rPr>
        <w:t> </w:t>
      </w:r>
      <w:r>
        <w:rPr>
          <w:color w:val="231F20"/>
        </w:rPr>
        <w:t>3</w:t>
      </w:r>
      <w:r>
        <w:rPr>
          <w:color w:val="231F20"/>
          <w:spacing w:val="-4"/>
        </w:rPr>
        <w:t> </w:t>
      </w:r>
      <w:r>
        <w:rPr>
          <w:color w:val="231F20"/>
        </w:rPr>
        <w:t>million unique</w:t>
      </w:r>
      <w:r>
        <w:rPr>
          <w:color w:val="231F20"/>
          <w:spacing w:val="-5"/>
        </w:rPr>
        <w:t> </w:t>
      </w:r>
      <w:r>
        <w:rPr>
          <w:color w:val="231F20"/>
        </w:rPr>
        <w:t>tracked</w:t>
      </w:r>
      <w:r>
        <w:rPr>
          <w:color w:val="231F20"/>
          <w:spacing w:val="-5"/>
        </w:rPr>
        <w:t> </w:t>
      </w:r>
      <w:r>
        <w:rPr>
          <w:color w:val="231F20"/>
        </w:rPr>
        <w:t>consignments</w:t>
      </w:r>
      <w:r>
        <w:rPr>
          <w:color w:val="231F20"/>
          <w:spacing w:val="-5"/>
        </w:rPr>
        <w:t> </w:t>
      </w:r>
      <w:r>
        <w:rPr>
          <w:color w:val="231F20"/>
        </w:rPr>
        <w:t>and</w:t>
      </w:r>
      <w:r>
        <w:rPr>
          <w:color w:val="231F20"/>
          <w:spacing w:val="-5"/>
        </w:rPr>
        <w:t> </w:t>
      </w:r>
      <w:r>
        <w:rPr>
          <w:color w:val="231F20"/>
        </w:rPr>
        <w:t>more</w:t>
      </w:r>
      <w:r>
        <w:rPr>
          <w:color w:val="231F20"/>
          <w:spacing w:val="-5"/>
        </w:rPr>
        <w:t> </w:t>
      </w:r>
      <w:r>
        <w:rPr>
          <w:color w:val="231F20"/>
        </w:rPr>
        <w:t>than 30</w:t>
      </w:r>
      <w:r>
        <w:rPr>
          <w:color w:val="231F20"/>
          <w:spacing w:val="-2"/>
        </w:rPr>
        <w:t> </w:t>
      </w:r>
      <w:r>
        <w:rPr>
          <w:color w:val="231F20"/>
        </w:rPr>
        <w:t>million</w:t>
      </w:r>
      <w:r>
        <w:rPr>
          <w:color w:val="231F20"/>
          <w:spacing w:val="-2"/>
        </w:rPr>
        <w:t> </w:t>
      </w:r>
      <w:r>
        <w:rPr>
          <w:color w:val="231F20"/>
        </w:rPr>
        <w:t>observations</w:t>
      </w:r>
      <w:r>
        <w:rPr>
          <w:color w:val="231F20"/>
          <w:spacing w:val="-2"/>
        </w:rPr>
        <w:t> </w:t>
      </w:r>
      <w:r>
        <w:rPr>
          <w:color w:val="231F20"/>
        </w:rPr>
        <w:t>in</w:t>
      </w:r>
      <w:r>
        <w:rPr>
          <w:color w:val="231F20"/>
          <w:spacing w:val="-2"/>
        </w:rPr>
        <w:t> </w:t>
      </w:r>
      <w:r>
        <w:rPr>
          <w:color w:val="231F20"/>
        </w:rPr>
        <w:t>total.</w:t>
      </w:r>
      <w:r>
        <w:rPr>
          <w:color w:val="231F20"/>
          <w:spacing w:val="-2"/>
        </w:rPr>
        <w:t> </w:t>
      </w:r>
      <w:r>
        <w:rPr>
          <w:color w:val="231F20"/>
        </w:rPr>
        <w:t>The</w:t>
      </w:r>
      <w:r>
        <w:rPr>
          <w:color w:val="231F20"/>
          <w:spacing w:val="-2"/>
        </w:rPr>
        <w:t> </w:t>
      </w:r>
      <w:r>
        <w:rPr>
          <w:color w:val="231F20"/>
        </w:rPr>
        <w:t>dataset covers</w:t>
      </w:r>
      <w:r>
        <w:rPr>
          <w:color w:val="231F20"/>
          <w:spacing w:val="-10"/>
        </w:rPr>
        <w:t> </w:t>
      </w:r>
      <w:r>
        <w:rPr>
          <w:color w:val="231F20"/>
        </w:rPr>
        <w:t>more</w:t>
      </w:r>
      <w:r>
        <w:rPr>
          <w:color w:val="231F20"/>
          <w:spacing w:val="-10"/>
        </w:rPr>
        <w:t> </w:t>
      </w:r>
      <w:r>
        <w:rPr>
          <w:color w:val="231F20"/>
        </w:rPr>
        <w:t>than</w:t>
      </w:r>
      <w:r>
        <w:rPr>
          <w:color w:val="231F20"/>
          <w:spacing w:val="-10"/>
        </w:rPr>
        <w:t> </w:t>
      </w:r>
      <w:r>
        <w:rPr>
          <w:color w:val="231F20"/>
        </w:rPr>
        <w:t>11,000</w:t>
      </w:r>
      <w:r>
        <w:rPr>
          <w:color w:val="231F20"/>
          <w:spacing w:val="-10"/>
        </w:rPr>
        <w:t> </w:t>
      </w:r>
      <w:r>
        <w:rPr>
          <w:color w:val="231F20"/>
        </w:rPr>
        <w:t>distinct</w:t>
      </w:r>
      <w:r>
        <w:rPr>
          <w:color w:val="231F20"/>
          <w:spacing w:val="-10"/>
        </w:rPr>
        <w:t> </w:t>
      </w:r>
      <w:r>
        <w:rPr>
          <w:color w:val="231F20"/>
        </w:rPr>
        <w:t>United</w:t>
      </w:r>
      <w:r>
        <w:rPr>
          <w:color w:val="231F20"/>
          <w:spacing w:val="-10"/>
        </w:rPr>
        <w:t> </w:t>
      </w:r>
      <w:r>
        <w:rPr>
          <w:color w:val="231F20"/>
        </w:rPr>
        <w:t>Na- tions Code for Trade and Transport Loca- </w:t>
      </w:r>
      <w:r>
        <w:rPr>
          <w:color w:val="231F20"/>
          <w:spacing w:val="-2"/>
        </w:rPr>
        <w:t>tions (UNLOCODE), including destinations, </w:t>
      </w:r>
      <w:r>
        <w:rPr>
          <w:color w:val="231F20"/>
          <w:w w:val="90"/>
        </w:rPr>
        <w:t>origins, and live locations (locations of specific event timestamps). On average, about 9.8 events </w:t>
      </w:r>
      <w:r>
        <w:rPr>
          <w:color w:val="231F20"/>
        </w:rPr>
        <w:t>are</w:t>
      </w:r>
      <w:r>
        <w:rPr>
          <w:color w:val="231F20"/>
          <w:spacing w:val="-14"/>
        </w:rPr>
        <w:t> </w:t>
      </w:r>
      <w:r>
        <w:rPr>
          <w:color w:val="231F20"/>
        </w:rPr>
        <w:t>associated</w:t>
      </w:r>
      <w:r>
        <w:rPr>
          <w:color w:val="231F20"/>
          <w:spacing w:val="-13"/>
        </w:rPr>
        <w:t> </w:t>
      </w:r>
      <w:r>
        <w:rPr>
          <w:color w:val="231F20"/>
        </w:rPr>
        <w:t>with</w:t>
      </w:r>
      <w:r>
        <w:rPr>
          <w:color w:val="231F20"/>
          <w:spacing w:val="-13"/>
        </w:rPr>
        <w:t> </w:t>
      </w:r>
      <w:r>
        <w:rPr>
          <w:color w:val="231F20"/>
        </w:rPr>
        <w:t>each</w:t>
      </w:r>
      <w:r>
        <w:rPr>
          <w:color w:val="231F20"/>
          <w:spacing w:val="-13"/>
        </w:rPr>
        <w:t> </w:t>
      </w:r>
      <w:r>
        <w:rPr>
          <w:color w:val="231F20"/>
        </w:rPr>
        <w:t>consignment.</w:t>
      </w:r>
    </w:p>
    <w:p>
      <w:pPr>
        <w:pStyle w:val="BodyText"/>
        <w:spacing w:line="268" w:lineRule="auto"/>
        <w:ind w:left="199" w:right="659" w:firstLine="300"/>
        <w:jc w:val="both"/>
      </w:pPr>
      <w:r>
        <w:rPr>
          <w:color w:val="231F20"/>
        </w:rPr>
        <w:t>To create the key performance indica- tors,</w:t>
      </w:r>
      <w:r>
        <w:rPr>
          <w:color w:val="231F20"/>
          <w:spacing w:val="10"/>
        </w:rPr>
        <w:t> </w:t>
      </w:r>
      <w:r>
        <w:rPr>
          <w:color w:val="231F20"/>
        </w:rPr>
        <w:t>the</w:t>
      </w:r>
      <w:r>
        <w:rPr>
          <w:color w:val="231F20"/>
          <w:spacing w:val="10"/>
        </w:rPr>
        <w:t> </w:t>
      </w:r>
      <w:r>
        <w:rPr>
          <w:color w:val="231F20"/>
        </w:rPr>
        <w:t>World</w:t>
      </w:r>
      <w:r>
        <w:rPr>
          <w:color w:val="231F20"/>
          <w:spacing w:val="10"/>
        </w:rPr>
        <w:t> </w:t>
      </w:r>
      <w:r>
        <w:rPr>
          <w:color w:val="231F20"/>
        </w:rPr>
        <w:t>Bank</w:t>
      </w:r>
      <w:r>
        <w:rPr>
          <w:color w:val="231F20"/>
          <w:spacing w:val="10"/>
        </w:rPr>
        <w:t> </w:t>
      </w:r>
      <w:r>
        <w:rPr>
          <w:color w:val="231F20"/>
        </w:rPr>
        <w:t>team</w:t>
      </w:r>
      <w:r>
        <w:rPr>
          <w:color w:val="231F20"/>
          <w:spacing w:val="11"/>
        </w:rPr>
        <w:t> </w:t>
      </w:r>
      <w:r>
        <w:rPr>
          <w:color w:val="231F20"/>
        </w:rPr>
        <w:t>focused</w:t>
      </w:r>
      <w:r>
        <w:rPr>
          <w:color w:val="231F20"/>
          <w:spacing w:val="10"/>
        </w:rPr>
        <w:t> </w:t>
      </w:r>
      <w:r>
        <w:rPr>
          <w:color w:val="231F20"/>
        </w:rPr>
        <w:t>on</w:t>
      </w:r>
      <w:r>
        <w:rPr>
          <w:color w:val="231F20"/>
          <w:spacing w:val="10"/>
        </w:rPr>
        <w:t> </w:t>
      </w:r>
      <w:r>
        <w:rPr>
          <w:color w:val="231F20"/>
          <w:spacing w:val="-4"/>
        </w:rPr>
        <w:t>time</w:t>
      </w:r>
    </w:p>
    <w:p>
      <w:pPr>
        <w:spacing w:after="0" w:line="268" w:lineRule="auto"/>
        <w:jc w:val="both"/>
        <w:sectPr>
          <w:type w:val="continuous"/>
          <w:pgSz w:w="12240" w:h="15840"/>
          <w:pgMar w:header="370" w:footer="548" w:top="1140" w:bottom="280" w:left="0" w:right="540"/>
          <w:cols w:num="2" w:equalWidth="0">
            <w:col w:w="7081" w:space="40"/>
            <w:col w:w="4579"/>
          </w:cols>
        </w:sectPr>
      </w:pPr>
    </w:p>
    <w:p>
      <w:pPr>
        <w:pStyle w:val="BodyText"/>
        <w:spacing w:before="22"/>
        <w:rPr>
          <w:sz w:val="20"/>
        </w:rPr>
      </w:pPr>
    </w:p>
    <w:p>
      <w:pPr>
        <w:pStyle w:val="BodyText"/>
        <w:spacing w:line="20" w:lineRule="exact"/>
        <w:ind w:left="3360"/>
        <w:rPr>
          <w:sz w:val="2"/>
        </w:rPr>
      </w:pPr>
      <w:r>
        <w:rPr>
          <w:sz w:val="2"/>
        </w:rPr>
        <mc:AlternateContent>
          <mc:Choice Requires="wps">
            <w:drawing>
              <wp:inline distT="0" distB="0" distL="0" distR="0">
                <wp:extent cx="1219200" cy="6350"/>
                <wp:effectExtent l="9525" t="0" r="0" b="3175"/>
                <wp:docPr id="1735" name="Group 1735"/>
                <wp:cNvGraphicFramePr>
                  <a:graphicFrameLocks/>
                </wp:cNvGraphicFramePr>
                <a:graphic>
                  <a:graphicData uri="http://schemas.microsoft.com/office/word/2010/wordprocessingGroup">
                    <wpg:wgp>
                      <wpg:cNvPr id="1735" name="Group 1735"/>
                      <wpg:cNvGrpSpPr/>
                      <wpg:grpSpPr>
                        <a:xfrm>
                          <a:off x="0" y="0"/>
                          <a:ext cx="1219200" cy="6350"/>
                          <a:chExt cx="1219200" cy="6350"/>
                        </a:xfrm>
                      </wpg:grpSpPr>
                      <wps:wsp>
                        <wps:cNvPr id="1736" name="Graphic 1736"/>
                        <wps:cNvSpPr/>
                        <wps:spPr>
                          <a:xfrm>
                            <a:off x="0" y="3175"/>
                            <a:ext cx="1219200" cy="1270"/>
                          </a:xfrm>
                          <a:custGeom>
                            <a:avLst/>
                            <a:gdLst/>
                            <a:ahLst/>
                            <a:cxnLst/>
                            <a:rect l="l" t="t" r="r" b="b"/>
                            <a:pathLst>
                              <a:path w="1219200" h="0">
                                <a:moveTo>
                                  <a:pt x="0" y="0"/>
                                </a:moveTo>
                                <a:lnTo>
                                  <a:pt x="1219200" y="0"/>
                                </a:lnTo>
                              </a:path>
                            </a:pathLst>
                          </a:custGeom>
                          <a:ln w="6350">
                            <a:solidFill>
                              <a:srgbClr val="5AA2E2"/>
                            </a:solidFill>
                            <a:prstDash val="solid"/>
                          </a:ln>
                        </wps:spPr>
                        <wps:bodyPr wrap="square" lIns="0" tIns="0" rIns="0" bIns="0" rtlCol="0">
                          <a:prstTxWarp prst="textNoShape">
                            <a:avLst/>
                          </a:prstTxWarp>
                          <a:noAutofit/>
                        </wps:bodyPr>
                      </wps:wsp>
                    </wpg:wgp>
                  </a:graphicData>
                </a:graphic>
              </wp:inline>
            </w:drawing>
          </mc:Choice>
          <mc:Fallback>
            <w:pict>
              <v:group style="width:96pt;height:.5pt;mso-position-horizontal-relative:char;mso-position-vertical-relative:line" id="docshapegroup1478" coordorigin="0,0" coordsize="1920,10">
                <v:line style="position:absolute" from="0,5" to="1920,5" stroked="true" strokeweight=".5pt" strokecolor="#5aa2e2">
                  <v:stroke dashstyle="solid"/>
                </v:line>
              </v:group>
            </w:pict>
          </mc:Fallback>
        </mc:AlternateContent>
      </w:r>
      <w:r>
        <w:rPr>
          <w:sz w:val="2"/>
        </w:rPr>
      </w:r>
    </w:p>
    <w:p>
      <w:pPr>
        <w:pStyle w:val="ListParagraph"/>
        <w:numPr>
          <w:ilvl w:val="0"/>
          <w:numId w:val="15"/>
        </w:numPr>
        <w:tabs>
          <w:tab w:pos="3577" w:val="left" w:leader="none"/>
        </w:tabs>
        <w:spacing w:line="240" w:lineRule="auto" w:before="30" w:after="0"/>
        <w:ind w:left="3577" w:right="0" w:hanging="217"/>
        <w:jc w:val="left"/>
        <w:rPr>
          <w:sz w:val="16"/>
        </w:rPr>
      </w:pPr>
      <w:r>
        <w:rPr>
          <w:color w:val="231F20"/>
          <w:w w:val="75"/>
          <w:sz w:val="16"/>
        </w:rPr>
        <w:t>See</w:t>
      </w:r>
      <w:r>
        <w:rPr>
          <w:color w:val="231F20"/>
          <w:spacing w:val="-6"/>
          <w:sz w:val="16"/>
        </w:rPr>
        <w:t> </w:t>
      </w:r>
      <w:hyperlink r:id="rId136">
        <w:r>
          <w:rPr>
            <w:color w:val="231F20"/>
            <w:spacing w:val="-2"/>
            <w:w w:val="85"/>
            <w:sz w:val="16"/>
          </w:rPr>
          <w:t>https://www.tradelens.com/network</w:t>
        </w:r>
      </w:hyperlink>
      <w:r>
        <w:rPr>
          <w:color w:val="231F20"/>
          <w:spacing w:val="-2"/>
          <w:w w:val="85"/>
          <w:sz w:val="16"/>
        </w:rPr>
        <w:t>.</w:t>
      </w:r>
    </w:p>
    <w:p>
      <w:pPr>
        <w:spacing w:after="0" w:line="240" w:lineRule="auto"/>
        <w:jc w:val="left"/>
        <w:rPr>
          <w:sz w:val="16"/>
        </w:rPr>
        <w:sectPr>
          <w:type w:val="continuous"/>
          <w:pgSz w:w="12240" w:h="15840"/>
          <w:pgMar w:header="370" w:footer="548" w:top="1140" w:bottom="280" w:left="0" w:right="54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0"/>
        <w:rPr>
          <w:rFonts w:ascii="Arial"/>
          <w:sz w:val="20"/>
        </w:rPr>
      </w:pPr>
    </w:p>
    <w:tbl>
      <w:tblPr>
        <w:tblW w:w="0" w:type="auto"/>
        <w:jc w:val="left"/>
        <w:tblInd w:w="52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
        <w:gridCol w:w="215"/>
        <w:gridCol w:w="420"/>
        <w:gridCol w:w="420"/>
        <w:gridCol w:w="420"/>
        <w:gridCol w:w="420"/>
        <w:gridCol w:w="420"/>
        <w:gridCol w:w="420"/>
        <w:gridCol w:w="389"/>
      </w:tblGrid>
      <w:tr>
        <w:trPr>
          <w:trHeight w:val="1682" w:hRule="atLeast"/>
        </w:trPr>
        <w:tc>
          <w:tcPr>
            <w:tcW w:w="394" w:type="dxa"/>
            <w:gridSpan w:val="2"/>
            <w:tcBorders>
              <w:right w:val="single" w:sz="24" w:space="0" w:color="FFFFFF"/>
            </w:tcBorders>
            <w:shd w:val="clear" w:color="auto" w:fill="008FDD"/>
            <w:textDirection w:val="btLr"/>
          </w:tcPr>
          <w:p>
            <w:pPr>
              <w:pStyle w:val="TableParagraph"/>
              <w:spacing w:before="60"/>
              <w:ind w:left="83"/>
              <w:jc w:val="left"/>
              <w:rPr>
                <w:sz w:val="12"/>
              </w:rPr>
            </w:pPr>
            <w:r>
              <w:rPr>
                <w:color w:val="FFFFFF"/>
                <w:w w:val="75"/>
                <w:sz w:val="12"/>
              </w:rPr>
              <w:t>Vessel</w:t>
            </w:r>
            <w:r>
              <w:rPr>
                <w:color w:val="FFFFFF"/>
                <w:spacing w:val="4"/>
                <w:sz w:val="12"/>
              </w:rPr>
              <w:t> </w:t>
            </w:r>
            <w:r>
              <w:rPr>
                <w:color w:val="FFFFFF"/>
                <w:spacing w:val="-2"/>
                <w:w w:val="85"/>
                <w:sz w:val="12"/>
              </w:rPr>
              <w:t>arrival</w:t>
            </w:r>
          </w:p>
        </w:tc>
        <w:tc>
          <w:tcPr>
            <w:tcW w:w="420" w:type="dxa"/>
            <w:tcBorders>
              <w:left w:val="single" w:sz="24" w:space="0" w:color="FFFFFF"/>
              <w:right w:val="single" w:sz="24" w:space="0" w:color="FFFFFF"/>
            </w:tcBorders>
            <w:shd w:val="clear" w:color="auto" w:fill="008FDD"/>
            <w:textDirection w:val="btLr"/>
          </w:tcPr>
          <w:p>
            <w:pPr>
              <w:pStyle w:val="TableParagraph"/>
              <w:spacing w:line="208" w:lineRule="auto" w:before="71"/>
              <w:ind w:left="83"/>
              <w:jc w:val="left"/>
              <w:rPr>
                <w:sz w:val="12"/>
              </w:rPr>
            </w:pPr>
            <w:r>
              <w:rPr>
                <w:color w:val="FFFFFF"/>
                <w:spacing w:val="-2"/>
                <w:w w:val="85"/>
                <w:sz w:val="12"/>
              </w:rPr>
              <w:t>Full</w:t>
            </w:r>
            <w:r>
              <w:rPr>
                <w:color w:val="FFFFFF"/>
                <w:spacing w:val="-7"/>
                <w:sz w:val="12"/>
              </w:rPr>
              <w:t> </w:t>
            </w:r>
            <w:r>
              <w:rPr>
                <w:color w:val="FFFFFF"/>
                <w:spacing w:val="-2"/>
                <w:w w:val="85"/>
                <w:sz w:val="12"/>
              </w:rPr>
              <w:t>container</w:t>
            </w:r>
            <w:r>
              <w:rPr>
                <w:color w:val="FFFFFF"/>
                <w:spacing w:val="-6"/>
                <w:sz w:val="12"/>
              </w:rPr>
              <w:t> </w:t>
            </w:r>
            <w:r>
              <w:rPr>
                <w:color w:val="FFFFFF"/>
                <w:spacing w:val="-2"/>
                <w:w w:val="85"/>
                <w:sz w:val="12"/>
              </w:rPr>
              <w:t>discharged</w:t>
            </w:r>
            <w:r>
              <w:rPr>
                <w:color w:val="FFFFFF"/>
                <w:spacing w:val="-6"/>
                <w:sz w:val="12"/>
              </w:rPr>
              <w:t> </w:t>
            </w:r>
            <w:r>
              <w:rPr>
                <w:color w:val="FFFFFF"/>
                <w:spacing w:val="-2"/>
                <w:w w:val="85"/>
                <w:sz w:val="12"/>
              </w:rPr>
              <w:t>from</w:t>
            </w:r>
            <w:r>
              <w:rPr>
                <w:color w:val="FFFFFF"/>
                <w:spacing w:val="40"/>
                <w:sz w:val="12"/>
              </w:rPr>
              <w:t> </w:t>
            </w:r>
            <w:r>
              <w:rPr>
                <w:color w:val="FFFFFF"/>
                <w:spacing w:val="-2"/>
                <w:w w:val="95"/>
                <w:sz w:val="12"/>
              </w:rPr>
              <w:t>vessel</w:t>
            </w:r>
          </w:p>
        </w:tc>
        <w:tc>
          <w:tcPr>
            <w:tcW w:w="420" w:type="dxa"/>
            <w:tcBorders>
              <w:left w:val="single" w:sz="24" w:space="0" w:color="FFFFFF"/>
              <w:right w:val="single" w:sz="24" w:space="0" w:color="FFFFFF"/>
            </w:tcBorders>
            <w:shd w:val="clear" w:color="auto" w:fill="D1D3D4"/>
            <w:textDirection w:val="btLr"/>
          </w:tcPr>
          <w:p>
            <w:pPr>
              <w:pStyle w:val="TableParagraph"/>
              <w:spacing w:before="56"/>
              <w:ind w:left="83"/>
              <w:jc w:val="left"/>
              <w:rPr>
                <w:sz w:val="12"/>
              </w:rPr>
            </w:pPr>
            <w:r>
              <w:rPr>
                <w:color w:val="231F20"/>
                <w:w w:val="80"/>
                <w:sz w:val="12"/>
              </w:rPr>
              <w:t>Customs</w:t>
            </w:r>
            <w:r>
              <w:rPr>
                <w:color w:val="231F20"/>
                <w:spacing w:val="-1"/>
                <w:sz w:val="12"/>
              </w:rPr>
              <w:t> </w:t>
            </w:r>
            <w:r>
              <w:rPr>
                <w:color w:val="231F20"/>
                <w:spacing w:val="-2"/>
                <w:w w:val="90"/>
                <w:sz w:val="12"/>
              </w:rPr>
              <w:t>release</w:t>
            </w:r>
          </w:p>
        </w:tc>
        <w:tc>
          <w:tcPr>
            <w:tcW w:w="420" w:type="dxa"/>
            <w:tcBorders>
              <w:left w:val="single" w:sz="24" w:space="0" w:color="FFFFFF"/>
              <w:right w:val="single" w:sz="24" w:space="0" w:color="FFFFFF"/>
            </w:tcBorders>
            <w:shd w:val="clear" w:color="auto" w:fill="008FDD"/>
            <w:textDirection w:val="btLr"/>
          </w:tcPr>
          <w:p>
            <w:pPr>
              <w:pStyle w:val="TableParagraph"/>
              <w:spacing w:line="208" w:lineRule="auto" w:before="71"/>
              <w:ind w:left="83"/>
              <w:jc w:val="left"/>
              <w:rPr>
                <w:sz w:val="12"/>
              </w:rPr>
            </w:pPr>
            <w:r>
              <w:rPr>
                <w:color w:val="FFFFFF"/>
                <w:spacing w:val="-2"/>
                <w:w w:val="85"/>
                <w:sz w:val="12"/>
              </w:rPr>
              <w:t>Gate</w:t>
            </w:r>
            <w:r>
              <w:rPr>
                <w:color w:val="FFFFFF"/>
                <w:spacing w:val="-4"/>
                <w:sz w:val="12"/>
              </w:rPr>
              <w:t> </w:t>
            </w:r>
            <w:r>
              <w:rPr>
                <w:color w:val="FFFFFF"/>
                <w:spacing w:val="-2"/>
                <w:w w:val="85"/>
                <w:sz w:val="12"/>
              </w:rPr>
              <w:t>out</w:t>
            </w:r>
            <w:r>
              <w:rPr>
                <w:color w:val="FFFFFF"/>
                <w:spacing w:val="-4"/>
                <w:sz w:val="12"/>
              </w:rPr>
              <w:t> </w:t>
            </w:r>
            <w:r>
              <w:rPr>
                <w:color w:val="FFFFFF"/>
                <w:spacing w:val="-2"/>
                <w:w w:val="85"/>
                <w:sz w:val="12"/>
              </w:rPr>
              <w:t>of</w:t>
            </w:r>
            <w:r>
              <w:rPr>
                <w:color w:val="FFFFFF"/>
                <w:spacing w:val="-4"/>
                <w:sz w:val="12"/>
              </w:rPr>
              <w:t> </w:t>
            </w:r>
            <w:r>
              <w:rPr>
                <w:color w:val="FFFFFF"/>
                <w:spacing w:val="-2"/>
                <w:w w:val="85"/>
                <w:sz w:val="12"/>
              </w:rPr>
              <w:t>full</w:t>
            </w:r>
            <w:r>
              <w:rPr>
                <w:color w:val="FFFFFF"/>
                <w:spacing w:val="-4"/>
                <w:sz w:val="12"/>
              </w:rPr>
              <w:t> </w:t>
            </w:r>
            <w:r>
              <w:rPr>
                <w:color w:val="FFFFFF"/>
                <w:spacing w:val="-2"/>
                <w:w w:val="85"/>
                <w:sz w:val="12"/>
              </w:rPr>
              <w:t>container</w:t>
            </w:r>
            <w:r>
              <w:rPr>
                <w:color w:val="FFFFFF"/>
                <w:spacing w:val="-4"/>
                <w:sz w:val="12"/>
              </w:rPr>
              <w:t> </w:t>
            </w:r>
            <w:r>
              <w:rPr>
                <w:color w:val="FFFFFF"/>
                <w:spacing w:val="-2"/>
                <w:w w:val="85"/>
                <w:sz w:val="12"/>
              </w:rPr>
              <w:t>at</w:t>
            </w:r>
            <w:r>
              <w:rPr>
                <w:color w:val="FFFFFF"/>
                <w:spacing w:val="-4"/>
                <w:sz w:val="12"/>
              </w:rPr>
              <w:t> </w:t>
            </w:r>
            <w:r>
              <w:rPr>
                <w:color w:val="FFFFFF"/>
                <w:spacing w:val="-2"/>
                <w:w w:val="85"/>
                <w:sz w:val="12"/>
              </w:rPr>
              <w:t>import</w:t>
            </w:r>
            <w:r>
              <w:rPr>
                <w:color w:val="FFFFFF"/>
                <w:spacing w:val="40"/>
                <w:sz w:val="12"/>
              </w:rPr>
              <w:t> </w:t>
            </w:r>
            <w:r>
              <w:rPr>
                <w:color w:val="FFFFFF"/>
                <w:spacing w:val="-2"/>
                <w:w w:val="95"/>
                <w:sz w:val="12"/>
              </w:rPr>
              <w:t>terminal</w:t>
            </w:r>
          </w:p>
        </w:tc>
        <w:tc>
          <w:tcPr>
            <w:tcW w:w="420" w:type="dxa"/>
            <w:tcBorders>
              <w:left w:val="single" w:sz="24" w:space="0" w:color="FFFFFF"/>
              <w:right w:val="single" w:sz="24" w:space="0" w:color="FFFFFF"/>
            </w:tcBorders>
            <w:shd w:val="clear" w:color="auto" w:fill="D1D3D4"/>
            <w:textDirection w:val="btLr"/>
          </w:tcPr>
          <w:p>
            <w:pPr>
              <w:pStyle w:val="TableParagraph"/>
              <w:spacing w:line="208" w:lineRule="auto" w:before="71"/>
              <w:ind w:left="83"/>
              <w:jc w:val="left"/>
              <w:rPr>
                <w:sz w:val="12"/>
              </w:rPr>
            </w:pPr>
            <w:r>
              <w:rPr>
                <w:color w:val="231F20"/>
                <w:spacing w:val="-2"/>
                <w:w w:val="85"/>
                <w:sz w:val="12"/>
              </w:rPr>
              <w:t>Gate-in</w:t>
            </w:r>
            <w:r>
              <w:rPr>
                <w:color w:val="231F20"/>
                <w:spacing w:val="-3"/>
                <w:sz w:val="12"/>
              </w:rPr>
              <w:t> </w:t>
            </w:r>
            <w:r>
              <w:rPr>
                <w:color w:val="231F20"/>
                <w:spacing w:val="-2"/>
                <w:w w:val="85"/>
                <w:sz w:val="12"/>
              </w:rPr>
              <w:t>of</w:t>
            </w:r>
            <w:r>
              <w:rPr>
                <w:color w:val="231F20"/>
                <w:spacing w:val="-3"/>
                <w:sz w:val="12"/>
              </w:rPr>
              <w:t> </w:t>
            </w:r>
            <w:r>
              <w:rPr>
                <w:color w:val="231F20"/>
                <w:spacing w:val="-2"/>
                <w:w w:val="85"/>
                <w:sz w:val="12"/>
              </w:rPr>
              <w:t>full</w:t>
            </w:r>
            <w:r>
              <w:rPr>
                <w:color w:val="231F20"/>
                <w:spacing w:val="-3"/>
                <w:sz w:val="12"/>
              </w:rPr>
              <w:t> </w:t>
            </w:r>
            <w:r>
              <w:rPr>
                <w:color w:val="231F20"/>
                <w:spacing w:val="-2"/>
                <w:w w:val="85"/>
                <w:sz w:val="12"/>
              </w:rPr>
              <w:t>container</w:t>
            </w:r>
            <w:r>
              <w:rPr>
                <w:color w:val="231F20"/>
                <w:spacing w:val="-3"/>
                <w:sz w:val="12"/>
              </w:rPr>
              <w:t> </w:t>
            </w:r>
            <w:r>
              <w:rPr>
                <w:color w:val="231F20"/>
                <w:spacing w:val="-2"/>
                <w:w w:val="85"/>
                <w:sz w:val="12"/>
              </w:rPr>
              <w:t>at</w:t>
            </w:r>
            <w:r>
              <w:rPr>
                <w:color w:val="231F20"/>
                <w:spacing w:val="-3"/>
                <w:sz w:val="12"/>
              </w:rPr>
              <w:t> </w:t>
            </w:r>
            <w:r>
              <w:rPr>
                <w:color w:val="231F20"/>
                <w:spacing w:val="-2"/>
                <w:w w:val="85"/>
                <w:sz w:val="12"/>
              </w:rPr>
              <w:t>inland</w:t>
            </w:r>
            <w:r>
              <w:rPr>
                <w:color w:val="231F20"/>
                <w:spacing w:val="40"/>
                <w:sz w:val="12"/>
              </w:rPr>
              <w:t> </w:t>
            </w:r>
            <w:r>
              <w:rPr>
                <w:color w:val="231F20"/>
                <w:spacing w:val="-2"/>
                <w:w w:val="95"/>
                <w:sz w:val="12"/>
              </w:rPr>
              <w:t>location</w:t>
            </w:r>
          </w:p>
        </w:tc>
        <w:tc>
          <w:tcPr>
            <w:tcW w:w="420" w:type="dxa"/>
            <w:tcBorders>
              <w:left w:val="single" w:sz="24" w:space="0" w:color="FFFFFF"/>
              <w:right w:val="single" w:sz="24" w:space="0" w:color="FFFFFF"/>
            </w:tcBorders>
            <w:shd w:val="clear" w:color="auto" w:fill="D1D3D4"/>
            <w:textDirection w:val="btLr"/>
          </w:tcPr>
          <w:p>
            <w:pPr>
              <w:pStyle w:val="TableParagraph"/>
              <w:spacing w:line="208" w:lineRule="auto" w:before="71"/>
              <w:ind w:left="83"/>
              <w:jc w:val="left"/>
              <w:rPr>
                <w:sz w:val="12"/>
              </w:rPr>
            </w:pPr>
            <w:r>
              <w:rPr>
                <w:color w:val="231F20"/>
                <w:spacing w:val="-2"/>
                <w:w w:val="85"/>
                <w:sz w:val="12"/>
              </w:rPr>
              <w:t>Stripping</w:t>
            </w:r>
            <w:r>
              <w:rPr>
                <w:color w:val="231F20"/>
                <w:spacing w:val="-4"/>
                <w:sz w:val="12"/>
              </w:rPr>
              <w:t> </w:t>
            </w:r>
            <w:r>
              <w:rPr>
                <w:color w:val="231F20"/>
                <w:spacing w:val="-2"/>
                <w:w w:val="85"/>
                <w:sz w:val="12"/>
              </w:rPr>
              <w:t>completed</w:t>
            </w:r>
            <w:r>
              <w:rPr>
                <w:color w:val="231F20"/>
                <w:spacing w:val="-4"/>
                <w:sz w:val="12"/>
              </w:rPr>
              <w:t> </w:t>
            </w:r>
            <w:r>
              <w:rPr>
                <w:color w:val="231F20"/>
                <w:spacing w:val="-2"/>
                <w:w w:val="85"/>
                <w:sz w:val="12"/>
              </w:rPr>
              <w:t>in</w:t>
            </w:r>
            <w:r>
              <w:rPr>
                <w:color w:val="231F20"/>
                <w:spacing w:val="-4"/>
                <w:sz w:val="12"/>
              </w:rPr>
              <w:t> </w:t>
            </w:r>
            <w:r>
              <w:rPr>
                <w:color w:val="231F20"/>
                <w:spacing w:val="-2"/>
                <w:w w:val="85"/>
                <w:sz w:val="12"/>
              </w:rPr>
              <w:t>container</w:t>
            </w:r>
            <w:r>
              <w:rPr>
                <w:color w:val="231F20"/>
                <w:spacing w:val="40"/>
                <w:sz w:val="12"/>
              </w:rPr>
              <w:t> </w:t>
            </w:r>
            <w:r>
              <w:rPr>
                <w:color w:val="231F20"/>
                <w:w w:val="95"/>
                <w:sz w:val="12"/>
              </w:rPr>
              <w:t>inland</w:t>
            </w:r>
            <w:r>
              <w:rPr>
                <w:color w:val="231F20"/>
                <w:spacing w:val="-7"/>
                <w:w w:val="95"/>
                <w:sz w:val="12"/>
              </w:rPr>
              <w:t> </w:t>
            </w:r>
            <w:r>
              <w:rPr>
                <w:color w:val="231F20"/>
                <w:w w:val="95"/>
                <w:sz w:val="12"/>
              </w:rPr>
              <w:t>location</w:t>
            </w:r>
          </w:p>
        </w:tc>
        <w:tc>
          <w:tcPr>
            <w:tcW w:w="420" w:type="dxa"/>
            <w:tcBorders>
              <w:left w:val="single" w:sz="24" w:space="0" w:color="FFFFFF"/>
              <w:right w:val="single" w:sz="24" w:space="0" w:color="FFFFFF"/>
            </w:tcBorders>
            <w:shd w:val="clear" w:color="auto" w:fill="D1D3D4"/>
            <w:textDirection w:val="btLr"/>
          </w:tcPr>
          <w:p>
            <w:pPr>
              <w:pStyle w:val="TableParagraph"/>
              <w:spacing w:line="208" w:lineRule="auto" w:before="71"/>
              <w:ind w:left="83"/>
              <w:jc w:val="left"/>
              <w:rPr>
                <w:sz w:val="12"/>
              </w:rPr>
            </w:pPr>
            <w:r>
              <w:rPr>
                <w:color w:val="231F20"/>
                <w:spacing w:val="-2"/>
                <w:w w:val="85"/>
                <w:sz w:val="12"/>
              </w:rPr>
              <w:t>Gate</w:t>
            </w:r>
            <w:r>
              <w:rPr>
                <w:color w:val="231F20"/>
                <w:spacing w:val="-7"/>
                <w:sz w:val="12"/>
              </w:rPr>
              <w:t> </w:t>
            </w:r>
            <w:r>
              <w:rPr>
                <w:color w:val="231F20"/>
                <w:spacing w:val="-2"/>
                <w:w w:val="85"/>
                <w:sz w:val="12"/>
              </w:rPr>
              <w:t>out</w:t>
            </w:r>
            <w:r>
              <w:rPr>
                <w:color w:val="231F20"/>
                <w:spacing w:val="-6"/>
                <w:sz w:val="12"/>
              </w:rPr>
              <w:t> </w:t>
            </w:r>
            <w:r>
              <w:rPr>
                <w:color w:val="231F20"/>
                <w:spacing w:val="-2"/>
                <w:w w:val="85"/>
                <w:sz w:val="12"/>
              </w:rPr>
              <w:t>of</w:t>
            </w:r>
            <w:r>
              <w:rPr>
                <w:color w:val="231F20"/>
                <w:spacing w:val="-6"/>
                <w:sz w:val="12"/>
              </w:rPr>
              <w:t> </w:t>
            </w:r>
            <w:r>
              <w:rPr>
                <w:color w:val="231F20"/>
                <w:spacing w:val="-2"/>
                <w:w w:val="85"/>
                <w:sz w:val="12"/>
              </w:rPr>
              <w:t>empty</w:t>
            </w:r>
            <w:r>
              <w:rPr>
                <w:color w:val="231F20"/>
                <w:spacing w:val="-7"/>
                <w:sz w:val="12"/>
              </w:rPr>
              <w:t> </w:t>
            </w:r>
            <w:r>
              <w:rPr>
                <w:color w:val="231F20"/>
                <w:spacing w:val="-2"/>
                <w:w w:val="85"/>
                <w:sz w:val="12"/>
              </w:rPr>
              <w:t>container</w:t>
            </w:r>
            <w:r>
              <w:rPr>
                <w:color w:val="231F20"/>
                <w:spacing w:val="-6"/>
                <w:sz w:val="12"/>
              </w:rPr>
              <w:t> </w:t>
            </w:r>
            <w:r>
              <w:rPr>
                <w:color w:val="231F20"/>
                <w:spacing w:val="-2"/>
                <w:w w:val="85"/>
                <w:sz w:val="12"/>
              </w:rPr>
              <w:t>from</w:t>
            </w:r>
            <w:r>
              <w:rPr>
                <w:color w:val="231F20"/>
                <w:spacing w:val="40"/>
                <w:sz w:val="12"/>
              </w:rPr>
              <w:t> </w:t>
            </w:r>
            <w:r>
              <w:rPr>
                <w:color w:val="231F20"/>
                <w:w w:val="95"/>
                <w:sz w:val="12"/>
              </w:rPr>
              <w:t>inland</w:t>
            </w:r>
            <w:r>
              <w:rPr>
                <w:color w:val="231F20"/>
                <w:spacing w:val="-7"/>
                <w:w w:val="95"/>
                <w:sz w:val="12"/>
              </w:rPr>
              <w:t> </w:t>
            </w:r>
            <w:r>
              <w:rPr>
                <w:color w:val="231F20"/>
                <w:w w:val="95"/>
                <w:sz w:val="12"/>
              </w:rPr>
              <w:t>site</w:t>
            </w:r>
          </w:p>
        </w:tc>
        <w:tc>
          <w:tcPr>
            <w:tcW w:w="389" w:type="dxa"/>
            <w:tcBorders>
              <w:left w:val="single" w:sz="24" w:space="0" w:color="FFFFFF"/>
            </w:tcBorders>
            <w:shd w:val="clear" w:color="auto" w:fill="008FDD"/>
            <w:textDirection w:val="btLr"/>
          </w:tcPr>
          <w:p>
            <w:pPr>
              <w:pStyle w:val="TableParagraph"/>
              <w:spacing w:line="208" w:lineRule="auto" w:before="71"/>
              <w:ind w:left="83" w:right="84"/>
              <w:jc w:val="left"/>
              <w:rPr>
                <w:sz w:val="12"/>
              </w:rPr>
            </w:pPr>
            <w:r>
              <w:rPr>
                <w:color w:val="FFFFFF"/>
                <w:spacing w:val="-2"/>
                <w:w w:val="85"/>
                <w:sz w:val="12"/>
              </w:rPr>
              <w:t>Gate-in</w:t>
            </w:r>
            <w:r>
              <w:rPr>
                <w:color w:val="FFFFFF"/>
                <w:spacing w:val="-7"/>
                <w:sz w:val="12"/>
              </w:rPr>
              <w:t> </w:t>
            </w:r>
            <w:r>
              <w:rPr>
                <w:color w:val="FFFFFF"/>
                <w:spacing w:val="-2"/>
                <w:w w:val="85"/>
                <w:sz w:val="12"/>
              </w:rPr>
              <w:t>of</w:t>
            </w:r>
            <w:r>
              <w:rPr>
                <w:color w:val="FFFFFF"/>
                <w:spacing w:val="-6"/>
                <w:sz w:val="12"/>
              </w:rPr>
              <w:t> </w:t>
            </w:r>
            <w:r>
              <w:rPr>
                <w:color w:val="FFFFFF"/>
                <w:spacing w:val="-2"/>
                <w:w w:val="85"/>
                <w:sz w:val="12"/>
              </w:rPr>
              <w:t>empty</w:t>
            </w:r>
            <w:r>
              <w:rPr>
                <w:color w:val="FFFFFF"/>
                <w:spacing w:val="-6"/>
                <w:sz w:val="12"/>
              </w:rPr>
              <w:t> </w:t>
            </w:r>
            <w:r>
              <w:rPr>
                <w:color w:val="FFFFFF"/>
                <w:spacing w:val="-2"/>
                <w:w w:val="85"/>
                <w:sz w:val="12"/>
              </w:rPr>
              <w:t>container</w:t>
            </w:r>
            <w:r>
              <w:rPr>
                <w:color w:val="FFFFFF"/>
                <w:spacing w:val="-7"/>
                <w:sz w:val="12"/>
              </w:rPr>
              <w:t> </w:t>
            </w:r>
            <w:r>
              <w:rPr>
                <w:color w:val="FFFFFF"/>
                <w:spacing w:val="-2"/>
                <w:w w:val="85"/>
                <w:sz w:val="12"/>
              </w:rPr>
              <w:t>at</w:t>
            </w:r>
            <w:r>
              <w:rPr>
                <w:color w:val="FFFFFF"/>
                <w:spacing w:val="40"/>
                <w:sz w:val="12"/>
              </w:rPr>
              <w:t> </w:t>
            </w:r>
            <w:r>
              <w:rPr>
                <w:color w:val="FFFFFF"/>
                <w:spacing w:val="-2"/>
                <w:w w:val="95"/>
                <w:sz w:val="12"/>
              </w:rPr>
              <w:t>depot</w:t>
            </w:r>
          </w:p>
        </w:tc>
      </w:tr>
      <w:tr>
        <w:trPr>
          <w:trHeight w:val="213" w:hRule="atLeast"/>
        </w:trPr>
        <w:tc>
          <w:tcPr>
            <w:tcW w:w="179" w:type="dxa"/>
            <w:tcBorders>
              <w:right w:val="single" w:sz="12" w:space="0" w:color="231F20"/>
            </w:tcBorders>
          </w:tcPr>
          <w:p>
            <w:pPr>
              <w:pStyle w:val="TableParagraph"/>
              <w:spacing w:before="0"/>
              <w:jc w:val="left"/>
              <w:rPr>
                <w:rFonts w:ascii="Times New Roman"/>
                <w:sz w:val="14"/>
              </w:rPr>
            </w:pPr>
          </w:p>
        </w:tc>
        <w:tc>
          <w:tcPr>
            <w:tcW w:w="3124" w:type="dxa"/>
            <w:gridSpan w:val="8"/>
            <w:tcBorders>
              <w:left w:val="single" w:sz="12" w:space="0" w:color="231F20"/>
              <w:bottom w:val="single" w:sz="6" w:space="0" w:color="231F20"/>
              <w:right w:val="single" w:sz="12" w:space="0" w:color="231F20"/>
            </w:tcBorders>
          </w:tcPr>
          <w:p>
            <w:pPr>
              <w:pStyle w:val="TableParagraph"/>
              <w:spacing w:before="0"/>
              <w:jc w:val="left"/>
              <w:rPr>
                <w:rFonts w:ascii="Times New Roman"/>
                <w:sz w:val="14"/>
              </w:rPr>
            </w:pPr>
          </w:p>
        </w:tc>
      </w:tr>
    </w:tbl>
    <w:p>
      <w:pPr>
        <w:pStyle w:val="BodyText"/>
        <w:rPr>
          <w:rFonts w:ascii="Arial"/>
          <w:sz w:val="20"/>
        </w:rPr>
      </w:pPr>
    </w:p>
    <w:p>
      <w:pPr>
        <w:pStyle w:val="BodyText"/>
        <w:rPr>
          <w:rFonts w:ascii="Arial"/>
          <w:sz w:val="20"/>
        </w:rPr>
      </w:pPr>
    </w:p>
    <w:p>
      <w:pPr>
        <w:pStyle w:val="BodyText"/>
        <w:spacing w:before="227"/>
        <w:rPr>
          <w:rFonts w:ascii="Arial"/>
          <w:sz w:val="20"/>
        </w:rPr>
      </w:pPr>
    </w:p>
    <w:p>
      <w:pPr>
        <w:spacing w:after="0"/>
        <w:rPr>
          <w:rFonts w:ascii="Arial"/>
          <w:sz w:val="20"/>
        </w:rPr>
        <w:sectPr>
          <w:pgSz w:w="12240" w:h="15840"/>
          <w:pgMar w:header="370" w:footer="548" w:top="560" w:bottom="740" w:left="0" w:right="540"/>
        </w:sectPr>
      </w:pPr>
    </w:p>
    <w:p>
      <w:pPr>
        <w:pStyle w:val="BodyText"/>
        <w:spacing w:line="268" w:lineRule="auto" w:before="96"/>
        <w:ind w:left="1200"/>
        <w:jc w:val="both"/>
      </w:pPr>
      <w:r>
        <w:rPr/>
        <mc:AlternateContent>
          <mc:Choice Requires="wps">
            <w:drawing>
              <wp:anchor distT="0" distB="0" distL="0" distR="0" allowOverlap="1" layoutInCell="1" locked="0" behindDoc="1" simplePos="0" relativeHeight="466780160">
                <wp:simplePos x="0" y="0"/>
                <wp:positionH relativeFrom="page">
                  <wp:posOffset>762000</wp:posOffset>
                </wp:positionH>
                <wp:positionV relativeFrom="paragraph">
                  <wp:posOffset>-3179580</wp:posOffset>
                </wp:positionV>
                <wp:extent cx="4877435" cy="3032125"/>
                <wp:effectExtent l="0" t="0" r="0" b="0"/>
                <wp:wrapNone/>
                <wp:docPr id="1737" name="Group 1737"/>
                <wp:cNvGraphicFramePr>
                  <a:graphicFrameLocks/>
                </wp:cNvGraphicFramePr>
                <a:graphic>
                  <a:graphicData uri="http://schemas.microsoft.com/office/word/2010/wordprocessingGroup">
                    <wpg:wgp>
                      <wpg:cNvPr id="1737" name="Group 1737"/>
                      <wpg:cNvGrpSpPr/>
                      <wpg:grpSpPr>
                        <a:xfrm>
                          <a:off x="0" y="0"/>
                          <a:ext cx="4877435" cy="3032125"/>
                          <a:chExt cx="4877435" cy="3032125"/>
                        </a:xfrm>
                      </wpg:grpSpPr>
                      <wps:wsp>
                        <wps:cNvPr id="1738" name="Graphic 1738"/>
                        <wps:cNvSpPr/>
                        <wps:spPr>
                          <a:xfrm>
                            <a:off x="198" y="258091"/>
                            <a:ext cx="4876800" cy="2774315"/>
                          </a:xfrm>
                          <a:custGeom>
                            <a:avLst/>
                            <a:gdLst/>
                            <a:ahLst/>
                            <a:cxnLst/>
                            <a:rect l="l" t="t" r="r" b="b"/>
                            <a:pathLst>
                              <a:path w="4876800" h="2774315">
                                <a:moveTo>
                                  <a:pt x="4876800" y="0"/>
                                </a:moveTo>
                                <a:lnTo>
                                  <a:pt x="0" y="0"/>
                                </a:lnTo>
                                <a:lnTo>
                                  <a:pt x="0" y="2699105"/>
                                </a:lnTo>
                                <a:lnTo>
                                  <a:pt x="6159" y="2728203"/>
                                </a:lnTo>
                                <a:lnTo>
                                  <a:pt x="22693" y="2751964"/>
                                </a:lnTo>
                                <a:lnTo>
                                  <a:pt x="46682" y="2767983"/>
                                </a:lnTo>
                                <a:lnTo>
                                  <a:pt x="75209" y="2773857"/>
                                </a:lnTo>
                                <a:lnTo>
                                  <a:pt x="4797920" y="2773857"/>
                                </a:lnTo>
                                <a:lnTo>
                                  <a:pt x="4827020" y="2768603"/>
                                </a:lnTo>
                                <a:lnTo>
                                  <a:pt x="4852271" y="2753617"/>
                                </a:lnTo>
                                <a:lnTo>
                                  <a:pt x="4870066" y="2730063"/>
                                </a:lnTo>
                                <a:lnTo>
                                  <a:pt x="4876800" y="2699105"/>
                                </a:lnTo>
                                <a:lnTo>
                                  <a:pt x="4876800" y="0"/>
                                </a:lnTo>
                                <a:close/>
                              </a:path>
                            </a:pathLst>
                          </a:custGeom>
                          <a:solidFill>
                            <a:srgbClr val="DFEAF7"/>
                          </a:solidFill>
                        </wps:spPr>
                        <wps:bodyPr wrap="square" lIns="0" tIns="0" rIns="0" bIns="0" rtlCol="0">
                          <a:prstTxWarp prst="textNoShape">
                            <a:avLst/>
                          </a:prstTxWarp>
                          <a:noAutofit/>
                        </wps:bodyPr>
                      </wps:wsp>
                      <wps:wsp>
                        <wps:cNvPr id="1739" name="Graphic 1739"/>
                        <wps:cNvSpPr/>
                        <wps:spPr>
                          <a:xfrm>
                            <a:off x="0" y="0"/>
                            <a:ext cx="563245" cy="231775"/>
                          </a:xfrm>
                          <a:custGeom>
                            <a:avLst/>
                            <a:gdLst/>
                            <a:ahLst/>
                            <a:cxnLst/>
                            <a:rect l="l" t="t" r="r" b="b"/>
                            <a:pathLst>
                              <a:path w="563245" h="231775">
                                <a:moveTo>
                                  <a:pt x="562978" y="0"/>
                                </a:moveTo>
                                <a:lnTo>
                                  <a:pt x="76200" y="0"/>
                                </a:lnTo>
                                <a:lnTo>
                                  <a:pt x="47213" y="3058"/>
                                </a:lnTo>
                                <a:lnTo>
                                  <a:pt x="22917" y="14506"/>
                                </a:lnTo>
                                <a:lnTo>
                                  <a:pt x="6212" y="37751"/>
                                </a:lnTo>
                                <a:lnTo>
                                  <a:pt x="0" y="76200"/>
                                </a:lnTo>
                                <a:lnTo>
                                  <a:pt x="0" y="231775"/>
                                </a:lnTo>
                                <a:lnTo>
                                  <a:pt x="562978" y="231775"/>
                                </a:lnTo>
                                <a:lnTo>
                                  <a:pt x="562978" y="0"/>
                                </a:lnTo>
                                <a:close/>
                              </a:path>
                            </a:pathLst>
                          </a:custGeom>
                          <a:solidFill>
                            <a:srgbClr val="008FDD"/>
                          </a:solidFill>
                        </wps:spPr>
                        <wps:bodyPr wrap="square" lIns="0" tIns="0" rIns="0" bIns="0" rtlCol="0">
                          <a:prstTxWarp prst="textNoShape">
                            <a:avLst/>
                          </a:prstTxWarp>
                          <a:noAutofit/>
                        </wps:bodyPr>
                      </wps:wsp>
                      <wps:wsp>
                        <wps:cNvPr id="1740" name="Graphic 1740"/>
                        <wps:cNvSpPr/>
                        <wps:spPr>
                          <a:xfrm>
                            <a:off x="562978" y="0"/>
                            <a:ext cx="4313555" cy="231775"/>
                          </a:xfrm>
                          <a:custGeom>
                            <a:avLst/>
                            <a:gdLst/>
                            <a:ahLst/>
                            <a:cxnLst/>
                            <a:rect l="l" t="t" r="r" b="b"/>
                            <a:pathLst>
                              <a:path w="4313555" h="231775">
                                <a:moveTo>
                                  <a:pt x="4237126" y="0"/>
                                </a:moveTo>
                                <a:lnTo>
                                  <a:pt x="0" y="0"/>
                                </a:lnTo>
                                <a:lnTo>
                                  <a:pt x="0" y="231775"/>
                                </a:lnTo>
                                <a:lnTo>
                                  <a:pt x="4313326" y="231775"/>
                                </a:lnTo>
                                <a:lnTo>
                                  <a:pt x="4313326" y="76200"/>
                                </a:lnTo>
                                <a:lnTo>
                                  <a:pt x="4307820" y="50979"/>
                                </a:lnTo>
                                <a:lnTo>
                                  <a:pt x="4292295" y="26265"/>
                                </a:lnTo>
                                <a:lnTo>
                                  <a:pt x="4268235" y="7468"/>
                                </a:lnTo>
                                <a:lnTo>
                                  <a:pt x="4237126" y="0"/>
                                </a:lnTo>
                                <a:close/>
                              </a:path>
                            </a:pathLst>
                          </a:custGeom>
                          <a:solidFill>
                            <a:srgbClr val="808285"/>
                          </a:solidFill>
                        </wps:spPr>
                        <wps:bodyPr wrap="square" lIns="0" tIns="0" rIns="0" bIns="0" rtlCol="0">
                          <a:prstTxWarp prst="textNoShape">
                            <a:avLst/>
                          </a:prstTxWarp>
                          <a:noAutofit/>
                        </wps:bodyPr>
                      </wps:wsp>
                      <wps:wsp>
                        <wps:cNvPr id="1741" name="Graphic 1741"/>
                        <wps:cNvSpPr/>
                        <wps:spPr>
                          <a:xfrm>
                            <a:off x="562979"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wps:wsp>
                        <wps:cNvPr id="1742" name="Graphic 1742"/>
                        <wps:cNvSpPr/>
                        <wps:spPr>
                          <a:xfrm>
                            <a:off x="3783342" y="386294"/>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008FDD"/>
                          </a:solidFill>
                        </wps:spPr>
                        <wps:bodyPr wrap="square" lIns="0" tIns="0" rIns="0" bIns="0" rtlCol="0">
                          <a:prstTxWarp prst="textNoShape">
                            <a:avLst/>
                          </a:prstTxWarp>
                          <a:noAutofit/>
                        </wps:bodyPr>
                      </wps:wsp>
                      <wps:wsp>
                        <wps:cNvPr id="1743" name="Graphic 1743"/>
                        <wps:cNvSpPr/>
                        <wps:spPr>
                          <a:xfrm>
                            <a:off x="4365853" y="386294"/>
                            <a:ext cx="50800" cy="50800"/>
                          </a:xfrm>
                          <a:custGeom>
                            <a:avLst/>
                            <a:gdLst/>
                            <a:ahLst/>
                            <a:cxnLst/>
                            <a:rect l="l" t="t" r="r" b="b"/>
                            <a:pathLst>
                              <a:path w="50800" h="50800">
                                <a:moveTo>
                                  <a:pt x="50800" y="0"/>
                                </a:moveTo>
                                <a:lnTo>
                                  <a:pt x="0" y="0"/>
                                </a:lnTo>
                                <a:lnTo>
                                  <a:pt x="0" y="50800"/>
                                </a:lnTo>
                                <a:lnTo>
                                  <a:pt x="50800" y="50800"/>
                                </a:lnTo>
                                <a:lnTo>
                                  <a:pt x="50800" y="0"/>
                                </a:lnTo>
                                <a:close/>
                              </a:path>
                            </a:pathLst>
                          </a:custGeom>
                          <a:solidFill>
                            <a:srgbClr val="D1D3D4"/>
                          </a:solidFill>
                        </wps:spPr>
                        <wps:bodyPr wrap="square" lIns="0" tIns="0" rIns="0" bIns="0" rtlCol="0">
                          <a:prstTxWarp prst="textNoShape">
                            <a:avLst/>
                          </a:prstTxWarp>
                          <a:noAutofit/>
                        </wps:bodyPr>
                      </wps:wsp>
                      <pic:pic>
                        <pic:nvPicPr>
                          <pic:cNvPr id="1744" name="Image 1744"/>
                          <pic:cNvPicPr/>
                        </pic:nvPicPr>
                        <pic:blipFill>
                          <a:blip r:embed="rId137" cstate="print"/>
                          <a:stretch>
                            <a:fillRect/>
                          </a:stretch>
                        </pic:blipFill>
                        <pic:spPr>
                          <a:xfrm>
                            <a:off x="2235386" y="900577"/>
                            <a:ext cx="403905" cy="315260"/>
                          </a:xfrm>
                          <a:prstGeom prst="rect">
                            <a:avLst/>
                          </a:prstGeom>
                        </pic:spPr>
                      </pic:pic>
                      <wps:wsp>
                        <wps:cNvPr id="1745" name="Graphic 1745"/>
                        <wps:cNvSpPr/>
                        <wps:spPr>
                          <a:xfrm>
                            <a:off x="88160" y="1161183"/>
                            <a:ext cx="2149475" cy="53340"/>
                          </a:xfrm>
                          <a:custGeom>
                            <a:avLst/>
                            <a:gdLst/>
                            <a:ahLst/>
                            <a:cxnLst/>
                            <a:rect l="l" t="t" r="r" b="b"/>
                            <a:pathLst>
                              <a:path w="2149475" h="53340">
                                <a:moveTo>
                                  <a:pt x="0" y="0"/>
                                </a:moveTo>
                                <a:lnTo>
                                  <a:pt x="2149475" y="0"/>
                                </a:lnTo>
                                <a:lnTo>
                                  <a:pt x="2149475" y="52870"/>
                                </a:lnTo>
                              </a:path>
                            </a:pathLst>
                          </a:custGeom>
                          <a:ln w="9525">
                            <a:solidFill>
                              <a:srgbClr val="231F20"/>
                            </a:solidFill>
                            <a:prstDash val="solid"/>
                          </a:ln>
                        </wps:spPr>
                        <wps:bodyPr wrap="square" lIns="0" tIns="0" rIns="0" bIns="0" rtlCol="0">
                          <a:prstTxWarp prst="textNoShape">
                            <a:avLst/>
                          </a:prstTxWarp>
                          <a:noAutofit/>
                        </wps:bodyPr>
                      </wps:wsp>
                      <wps:wsp>
                        <wps:cNvPr id="1746" name="Graphic 1746"/>
                        <wps:cNvSpPr/>
                        <wps:spPr>
                          <a:xfrm>
                            <a:off x="2639166" y="1168007"/>
                            <a:ext cx="2150110" cy="53340"/>
                          </a:xfrm>
                          <a:custGeom>
                            <a:avLst/>
                            <a:gdLst/>
                            <a:ahLst/>
                            <a:cxnLst/>
                            <a:rect l="l" t="t" r="r" b="b"/>
                            <a:pathLst>
                              <a:path w="2150110" h="53340">
                                <a:moveTo>
                                  <a:pt x="2149868" y="0"/>
                                </a:moveTo>
                                <a:lnTo>
                                  <a:pt x="0" y="0"/>
                                </a:lnTo>
                                <a:lnTo>
                                  <a:pt x="0" y="52870"/>
                                </a:lnTo>
                              </a:path>
                            </a:pathLst>
                          </a:custGeom>
                          <a:ln w="9524">
                            <a:solidFill>
                              <a:srgbClr val="231F20"/>
                            </a:solidFill>
                            <a:prstDash val="solid"/>
                          </a:ln>
                        </wps:spPr>
                        <wps:bodyPr wrap="square" lIns="0" tIns="0" rIns="0" bIns="0" rtlCol="0">
                          <a:prstTxWarp prst="textNoShape">
                            <a:avLst/>
                          </a:prstTxWarp>
                          <a:noAutofit/>
                        </wps:bodyPr>
                      </wps:wsp>
                      <wps:wsp>
                        <wps:cNvPr id="1747" name="Graphic 1747"/>
                        <wps:cNvSpPr/>
                        <wps:spPr>
                          <a:xfrm>
                            <a:off x="1937567" y="1122387"/>
                            <a:ext cx="182245" cy="36195"/>
                          </a:xfrm>
                          <a:custGeom>
                            <a:avLst/>
                            <a:gdLst/>
                            <a:ahLst/>
                            <a:cxnLst/>
                            <a:rect l="l" t="t" r="r" b="b"/>
                            <a:pathLst>
                              <a:path w="182245" h="36195">
                                <a:moveTo>
                                  <a:pt x="182054" y="35814"/>
                                </a:moveTo>
                                <a:lnTo>
                                  <a:pt x="182054" y="0"/>
                                </a:lnTo>
                                <a:lnTo>
                                  <a:pt x="0" y="0"/>
                                </a:lnTo>
                                <a:lnTo>
                                  <a:pt x="0" y="35814"/>
                                </a:lnTo>
                              </a:path>
                            </a:pathLst>
                          </a:custGeom>
                          <a:ln w="9525">
                            <a:solidFill>
                              <a:srgbClr val="231F20"/>
                            </a:solidFill>
                            <a:prstDash val="solid"/>
                          </a:ln>
                        </wps:spPr>
                        <wps:bodyPr wrap="square" lIns="0" tIns="0" rIns="0" bIns="0" rtlCol="0">
                          <a:prstTxWarp prst="textNoShape">
                            <a:avLst/>
                          </a:prstTxWarp>
                          <a:noAutofit/>
                        </wps:bodyPr>
                      </wps:wsp>
                      <wps:wsp>
                        <wps:cNvPr id="1748" name="Graphic 1748"/>
                        <wps:cNvSpPr/>
                        <wps:spPr>
                          <a:xfrm>
                            <a:off x="2050439" y="910874"/>
                            <a:ext cx="22225" cy="212090"/>
                          </a:xfrm>
                          <a:custGeom>
                            <a:avLst/>
                            <a:gdLst/>
                            <a:ahLst/>
                            <a:cxnLst/>
                            <a:rect l="l" t="t" r="r" b="b"/>
                            <a:pathLst>
                              <a:path w="22225" h="212090">
                                <a:moveTo>
                                  <a:pt x="22199" y="0"/>
                                </a:moveTo>
                                <a:lnTo>
                                  <a:pt x="0" y="0"/>
                                </a:lnTo>
                                <a:lnTo>
                                  <a:pt x="0" y="211505"/>
                                </a:lnTo>
                                <a:lnTo>
                                  <a:pt x="22199" y="211505"/>
                                </a:lnTo>
                                <a:lnTo>
                                  <a:pt x="22199" y="0"/>
                                </a:lnTo>
                                <a:close/>
                              </a:path>
                            </a:pathLst>
                          </a:custGeom>
                          <a:ln w="9525">
                            <a:solidFill>
                              <a:srgbClr val="231F20"/>
                            </a:solidFill>
                            <a:prstDash val="solid"/>
                          </a:ln>
                        </wps:spPr>
                        <wps:bodyPr wrap="square" lIns="0" tIns="0" rIns="0" bIns="0" rtlCol="0">
                          <a:prstTxWarp prst="textNoShape">
                            <a:avLst/>
                          </a:prstTxWarp>
                          <a:noAutofit/>
                        </wps:bodyPr>
                      </wps:wsp>
                      <wps:wsp>
                        <wps:cNvPr id="1749" name="Graphic 1749"/>
                        <wps:cNvSpPr/>
                        <wps:spPr>
                          <a:xfrm>
                            <a:off x="2048752" y="883587"/>
                            <a:ext cx="26034" cy="1270"/>
                          </a:xfrm>
                          <a:custGeom>
                            <a:avLst/>
                            <a:gdLst/>
                            <a:ahLst/>
                            <a:cxnLst/>
                            <a:rect l="l" t="t" r="r" b="b"/>
                            <a:pathLst>
                              <a:path w="26034" h="0">
                                <a:moveTo>
                                  <a:pt x="25565" y="0"/>
                                </a:moveTo>
                                <a:lnTo>
                                  <a:pt x="25565" y="0"/>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1750" name="Graphic 1750"/>
                        <wps:cNvSpPr/>
                        <wps:spPr>
                          <a:xfrm>
                            <a:off x="2031978" y="856724"/>
                            <a:ext cx="59690" cy="54610"/>
                          </a:xfrm>
                          <a:custGeom>
                            <a:avLst/>
                            <a:gdLst/>
                            <a:ahLst/>
                            <a:cxnLst/>
                            <a:rect l="l" t="t" r="r" b="b"/>
                            <a:pathLst>
                              <a:path w="59690" h="54610">
                                <a:moveTo>
                                  <a:pt x="59118" y="0"/>
                                </a:moveTo>
                                <a:lnTo>
                                  <a:pt x="0" y="0"/>
                                </a:lnTo>
                                <a:lnTo>
                                  <a:pt x="0" y="54152"/>
                                </a:lnTo>
                                <a:lnTo>
                                  <a:pt x="59118" y="54152"/>
                                </a:lnTo>
                                <a:lnTo>
                                  <a:pt x="59118" y="0"/>
                                </a:lnTo>
                                <a:close/>
                              </a:path>
                            </a:pathLst>
                          </a:custGeom>
                          <a:ln w="9524">
                            <a:solidFill>
                              <a:srgbClr val="231F20"/>
                            </a:solidFill>
                            <a:prstDash val="solid"/>
                          </a:ln>
                        </wps:spPr>
                        <wps:bodyPr wrap="square" lIns="0" tIns="0" rIns="0" bIns="0" rtlCol="0">
                          <a:prstTxWarp prst="textNoShape">
                            <a:avLst/>
                          </a:prstTxWarp>
                          <a:noAutofit/>
                        </wps:bodyPr>
                      </wps:wsp>
                      <wps:wsp>
                        <wps:cNvPr id="1751" name="Graphic 1751"/>
                        <wps:cNvSpPr/>
                        <wps:spPr>
                          <a:xfrm>
                            <a:off x="1941757" y="875482"/>
                            <a:ext cx="38735" cy="33655"/>
                          </a:xfrm>
                          <a:custGeom>
                            <a:avLst/>
                            <a:gdLst/>
                            <a:ahLst/>
                            <a:cxnLst/>
                            <a:rect l="l" t="t" r="r" b="b"/>
                            <a:pathLst>
                              <a:path w="38735" h="33655">
                                <a:moveTo>
                                  <a:pt x="0" y="0"/>
                                </a:moveTo>
                                <a:lnTo>
                                  <a:pt x="0" y="33261"/>
                                </a:lnTo>
                                <a:lnTo>
                                  <a:pt x="38150" y="33261"/>
                                </a:lnTo>
                                <a:lnTo>
                                  <a:pt x="38150" y="0"/>
                                </a:lnTo>
                              </a:path>
                            </a:pathLst>
                          </a:custGeom>
                          <a:ln w="9525">
                            <a:solidFill>
                              <a:srgbClr val="231F20"/>
                            </a:solidFill>
                            <a:prstDash val="solid"/>
                          </a:ln>
                        </wps:spPr>
                        <wps:bodyPr wrap="square" lIns="0" tIns="0" rIns="0" bIns="0" rtlCol="0">
                          <a:prstTxWarp prst="textNoShape">
                            <a:avLst/>
                          </a:prstTxWarp>
                          <a:noAutofit/>
                        </wps:bodyPr>
                      </wps:wsp>
                      <wps:wsp>
                        <wps:cNvPr id="1752" name="Graphic 1752"/>
                        <wps:cNvSpPr/>
                        <wps:spPr>
                          <a:xfrm>
                            <a:off x="1890129" y="875482"/>
                            <a:ext cx="142240" cy="17145"/>
                          </a:xfrm>
                          <a:custGeom>
                            <a:avLst/>
                            <a:gdLst/>
                            <a:ahLst/>
                            <a:cxnLst/>
                            <a:rect l="l" t="t" r="r" b="b"/>
                            <a:pathLst>
                              <a:path w="142240" h="17145">
                                <a:moveTo>
                                  <a:pt x="141846" y="0"/>
                                </a:moveTo>
                                <a:lnTo>
                                  <a:pt x="0" y="0"/>
                                </a:lnTo>
                                <a:lnTo>
                                  <a:pt x="0" y="16637"/>
                                </a:lnTo>
                                <a:lnTo>
                                  <a:pt x="51625" y="16637"/>
                                </a:lnTo>
                              </a:path>
                            </a:pathLst>
                          </a:custGeom>
                          <a:ln w="9525">
                            <a:solidFill>
                              <a:srgbClr val="231F20"/>
                            </a:solidFill>
                            <a:prstDash val="solid"/>
                          </a:ln>
                        </wps:spPr>
                        <wps:bodyPr wrap="square" lIns="0" tIns="0" rIns="0" bIns="0" rtlCol="0">
                          <a:prstTxWarp prst="textNoShape">
                            <a:avLst/>
                          </a:prstTxWarp>
                          <a:noAutofit/>
                        </wps:bodyPr>
                      </wps:wsp>
                      <wps:wsp>
                        <wps:cNvPr id="1753" name="Graphic 1753"/>
                        <wps:cNvSpPr/>
                        <wps:spPr>
                          <a:xfrm>
                            <a:off x="2091096" y="875479"/>
                            <a:ext cx="20320" cy="17145"/>
                          </a:xfrm>
                          <a:custGeom>
                            <a:avLst/>
                            <a:gdLst/>
                            <a:ahLst/>
                            <a:cxnLst/>
                            <a:rect l="l" t="t" r="r" b="b"/>
                            <a:pathLst>
                              <a:path w="20320" h="17145">
                                <a:moveTo>
                                  <a:pt x="0" y="16636"/>
                                </a:moveTo>
                                <a:lnTo>
                                  <a:pt x="19748" y="16636"/>
                                </a:lnTo>
                                <a:lnTo>
                                  <a:pt x="19748" y="0"/>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1754" name="Graphic 1754"/>
                        <wps:cNvSpPr/>
                        <wps:spPr>
                          <a:xfrm>
                            <a:off x="1979903" y="892116"/>
                            <a:ext cx="52069" cy="1270"/>
                          </a:xfrm>
                          <a:custGeom>
                            <a:avLst/>
                            <a:gdLst/>
                            <a:ahLst/>
                            <a:cxnLst/>
                            <a:rect l="l" t="t" r="r" b="b"/>
                            <a:pathLst>
                              <a:path w="52069" h="0">
                                <a:moveTo>
                                  <a:pt x="0" y="0"/>
                                </a:moveTo>
                                <a:lnTo>
                                  <a:pt x="0" y="0"/>
                                </a:lnTo>
                                <a:lnTo>
                                  <a:pt x="52069" y="0"/>
                                </a:lnTo>
                              </a:path>
                            </a:pathLst>
                          </a:custGeom>
                          <a:ln w="9525">
                            <a:solidFill>
                              <a:srgbClr val="231F20"/>
                            </a:solidFill>
                            <a:prstDash val="solid"/>
                          </a:ln>
                        </wps:spPr>
                        <wps:bodyPr wrap="square" lIns="0" tIns="0" rIns="0" bIns="0" rtlCol="0">
                          <a:prstTxWarp prst="textNoShape">
                            <a:avLst/>
                          </a:prstTxWarp>
                          <a:noAutofit/>
                        </wps:bodyPr>
                      </wps:wsp>
                      <wps:wsp>
                        <wps:cNvPr id="1755" name="Graphic 1755"/>
                        <wps:cNvSpPr/>
                        <wps:spPr>
                          <a:xfrm>
                            <a:off x="1960606" y="908312"/>
                            <a:ext cx="1270" cy="26034"/>
                          </a:xfrm>
                          <a:custGeom>
                            <a:avLst/>
                            <a:gdLst/>
                            <a:ahLst/>
                            <a:cxnLst/>
                            <a:rect l="l" t="t" r="r" b="b"/>
                            <a:pathLst>
                              <a:path w="0" h="26034">
                                <a:moveTo>
                                  <a:pt x="0" y="25590"/>
                                </a:moveTo>
                                <a:lnTo>
                                  <a:pt x="0" y="25590"/>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1756" name="Graphic 1756"/>
                        <wps:cNvSpPr/>
                        <wps:spPr>
                          <a:xfrm>
                            <a:off x="1915753" y="933907"/>
                            <a:ext cx="90805" cy="86995"/>
                          </a:xfrm>
                          <a:custGeom>
                            <a:avLst/>
                            <a:gdLst/>
                            <a:ahLst/>
                            <a:cxnLst/>
                            <a:rect l="l" t="t" r="r" b="b"/>
                            <a:pathLst>
                              <a:path w="90805" h="86995">
                                <a:moveTo>
                                  <a:pt x="0" y="86982"/>
                                </a:moveTo>
                                <a:lnTo>
                                  <a:pt x="90220" y="86982"/>
                                </a:lnTo>
                                <a:lnTo>
                                  <a:pt x="90220" y="0"/>
                                </a:lnTo>
                                <a:lnTo>
                                  <a:pt x="0" y="0"/>
                                </a:lnTo>
                                <a:lnTo>
                                  <a:pt x="0" y="86982"/>
                                </a:lnTo>
                                <a:close/>
                              </a:path>
                            </a:pathLst>
                          </a:custGeom>
                          <a:ln w="9525">
                            <a:solidFill>
                              <a:srgbClr val="231F20"/>
                            </a:solidFill>
                            <a:prstDash val="solid"/>
                          </a:ln>
                        </wps:spPr>
                        <wps:bodyPr wrap="square" lIns="0" tIns="0" rIns="0" bIns="0" rtlCol="0">
                          <a:prstTxWarp prst="textNoShape">
                            <a:avLst/>
                          </a:prstTxWarp>
                          <a:noAutofit/>
                        </wps:bodyPr>
                      </wps:wsp>
                      <wps:wsp>
                        <wps:cNvPr id="1757" name="Graphic 1757"/>
                        <wps:cNvSpPr/>
                        <wps:spPr>
                          <a:xfrm>
                            <a:off x="1981580" y="956504"/>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1758" name="Graphic 1758"/>
                        <wps:cNvSpPr/>
                        <wps:spPr>
                          <a:xfrm>
                            <a:off x="1960606" y="956504"/>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wps:wsp>
                        <wps:cNvPr id="1759" name="Graphic 1759"/>
                        <wps:cNvSpPr/>
                        <wps:spPr>
                          <a:xfrm>
                            <a:off x="1940080" y="956504"/>
                            <a:ext cx="1270" cy="42545"/>
                          </a:xfrm>
                          <a:custGeom>
                            <a:avLst/>
                            <a:gdLst/>
                            <a:ahLst/>
                            <a:cxnLst/>
                            <a:rect l="l" t="t" r="r" b="b"/>
                            <a:pathLst>
                              <a:path w="0" h="42545">
                                <a:moveTo>
                                  <a:pt x="0" y="0"/>
                                </a:moveTo>
                                <a:lnTo>
                                  <a:pt x="0" y="0"/>
                                </a:lnTo>
                                <a:lnTo>
                                  <a:pt x="0" y="42214"/>
                                </a:lnTo>
                              </a:path>
                            </a:pathLst>
                          </a:custGeom>
                          <a:ln w="9525">
                            <a:solidFill>
                              <a:srgbClr val="231F20"/>
                            </a:solidFill>
                            <a:prstDash val="solid"/>
                          </a:ln>
                        </wps:spPr>
                        <wps:bodyPr wrap="square" lIns="0" tIns="0" rIns="0" bIns="0" rtlCol="0">
                          <a:prstTxWarp prst="textNoShape">
                            <a:avLst/>
                          </a:prstTxWarp>
                          <a:noAutofit/>
                        </wps:bodyPr>
                      </wps:wsp>
                      <pic:pic>
                        <pic:nvPicPr>
                          <pic:cNvPr id="1760" name="Image 1760"/>
                          <pic:cNvPicPr/>
                        </pic:nvPicPr>
                        <pic:blipFill>
                          <a:blip r:embed="rId138" cstate="print"/>
                          <a:stretch>
                            <a:fillRect/>
                          </a:stretch>
                        </pic:blipFill>
                        <pic:spPr>
                          <a:xfrm>
                            <a:off x="1491651" y="851961"/>
                            <a:ext cx="191579" cy="313984"/>
                          </a:xfrm>
                          <a:prstGeom prst="rect">
                            <a:avLst/>
                          </a:prstGeom>
                        </pic:spPr>
                      </pic:pic>
                      <wps:wsp>
                        <wps:cNvPr id="1761" name="Graphic 1761"/>
                        <wps:cNvSpPr/>
                        <wps:spPr>
                          <a:xfrm>
                            <a:off x="992785" y="1101486"/>
                            <a:ext cx="300990" cy="35560"/>
                          </a:xfrm>
                          <a:custGeom>
                            <a:avLst/>
                            <a:gdLst/>
                            <a:ahLst/>
                            <a:cxnLst/>
                            <a:rect l="l" t="t" r="r" b="b"/>
                            <a:pathLst>
                              <a:path w="300990" h="35560">
                                <a:moveTo>
                                  <a:pt x="300405" y="0"/>
                                </a:moveTo>
                                <a:lnTo>
                                  <a:pt x="0" y="0"/>
                                </a:lnTo>
                                <a:lnTo>
                                  <a:pt x="0" y="34963"/>
                                </a:lnTo>
                                <a:lnTo>
                                  <a:pt x="12572" y="34963"/>
                                </a:lnTo>
                                <a:lnTo>
                                  <a:pt x="14235" y="28028"/>
                                </a:lnTo>
                                <a:lnTo>
                                  <a:pt x="18207" y="22332"/>
                                </a:lnTo>
                                <a:lnTo>
                                  <a:pt x="23990" y="18475"/>
                                </a:lnTo>
                                <a:lnTo>
                                  <a:pt x="31089" y="17056"/>
                                </a:lnTo>
                                <a:lnTo>
                                  <a:pt x="40716" y="17056"/>
                                </a:lnTo>
                                <a:lnTo>
                                  <a:pt x="49098" y="25158"/>
                                </a:lnTo>
                                <a:lnTo>
                                  <a:pt x="49098" y="34963"/>
                                </a:lnTo>
                                <a:lnTo>
                                  <a:pt x="73431" y="34963"/>
                                </a:lnTo>
                                <a:lnTo>
                                  <a:pt x="75087" y="28028"/>
                                </a:lnTo>
                                <a:lnTo>
                                  <a:pt x="79052" y="22332"/>
                                </a:lnTo>
                                <a:lnTo>
                                  <a:pt x="84820" y="18475"/>
                                </a:lnTo>
                                <a:lnTo>
                                  <a:pt x="91884" y="17056"/>
                                </a:lnTo>
                                <a:lnTo>
                                  <a:pt x="98790" y="18475"/>
                                </a:lnTo>
                                <a:lnTo>
                                  <a:pt x="104549" y="22332"/>
                                </a:lnTo>
                                <a:lnTo>
                                  <a:pt x="108493" y="28028"/>
                                </a:lnTo>
                                <a:lnTo>
                                  <a:pt x="109956" y="34963"/>
                                </a:lnTo>
                                <a:lnTo>
                                  <a:pt x="227025" y="34963"/>
                                </a:lnTo>
                                <a:lnTo>
                                  <a:pt x="227418" y="25158"/>
                                </a:lnTo>
                                <a:lnTo>
                                  <a:pt x="235407" y="17056"/>
                                </a:lnTo>
                                <a:lnTo>
                                  <a:pt x="245033" y="17056"/>
                                </a:lnTo>
                                <a:lnTo>
                                  <a:pt x="252110" y="18475"/>
                                </a:lnTo>
                                <a:lnTo>
                                  <a:pt x="257889" y="22332"/>
                                </a:lnTo>
                                <a:lnTo>
                                  <a:pt x="261853" y="28028"/>
                                </a:lnTo>
                                <a:lnTo>
                                  <a:pt x="263486" y="34963"/>
                                </a:lnTo>
                                <a:lnTo>
                                  <a:pt x="300405" y="34963"/>
                                </a:lnTo>
                                <a:lnTo>
                                  <a:pt x="300405" y="0"/>
                                </a:lnTo>
                                <a:close/>
                              </a:path>
                            </a:pathLst>
                          </a:custGeom>
                          <a:ln w="9524">
                            <a:solidFill>
                              <a:srgbClr val="231F20"/>
                            </a:solidFill>
                            <a:prstDash val="solid"/>
                          </a:ln>
                        </wps:spPr>
                        <wps:bodyPr wrap="square" lIns="0" tIns="0" rIns="0" bIns="0" rtlCol="0">
                          <a:prstTxWarp prst="textNoShape">
                            <a:avLst/>
                          </a:prstTxWarp>
                          <a:noAutofit/>
                        </wps:bodyPr>
                      </wps:wsp>
                      <pic:pic>
                        <pic:nvPicPr>
                          <pic:cNvPr id="1762" name="Image 1762"/>
                          <pic:cNvPicPr/>
                        </pic:nvPicPr>
                        <pic:blipFill>
                          <a:blip r:embed="rId139" cstate="print"/>
                          <a:stretch>
                            <a:fillRect/>
                          </a:stretch>
                        </pic:blipFill>
                        <pic:spPr>
                          <a:xfrm>
                            <a:off x="967219" y="966231"/>
                            <a:ext cx="330738" cy="194174"/>
                          </a:xfrm>
                          <a:prstGeom prst="rect">
                            <a:avLst/>
                          </a:prstGeom>
                        </pic:spPr>
                      </pic:pic>
                      <pic:pic>
                        <pic:nvPicPr>
                          <pic:cNvPr id="1763" name="Image 1763"/>
                          <pic:cNvPicPr/>
                        </pic:nvPicPr>
                        <pic:blipFill>
                          <a:blip r:embed="rId140" cstate="print"/>
                          <a:stretch>
                            <a:fillRect/>
                          </a:stretch>
                        </pic:blipFill>
                        <pic:spPr>
                          <a:xfrm>
                            <a:off x="545884" y="881386"/>
                            <a:ext cx="285609" cy="284988"/>
                          </a:xfrm>
                          <a:prstGeom prst="rect">
                            <a:avLst/>
                          </a:prstGeom>
                        </pic:spPr>
                      </pic:pic>
                      <wps:wsp>
                        <wps:cNvPr id="1764" name="Graphic 1764"/>
                        <wps:cNvSpPr/>
                        <wps:spPr>
                          <a:xfrm>
                            <a:off x="227451" y="1105316"/>
                            <a:ext cx="33655" cy="55244"/>
                          </a:xfrm>
                          <a:custGeom>
                            <a:avLst/>
                            <a:gdLst/>
                            <a:ahLst/>
                            <a:cxnLst/>
                            <a:rect l="l" t="t" r="r" b="b"/>
                            <a:pathLst>
                              <a:path w="33655" h="55244">
                                <a:moveTo>
                                  <a:pt x="0" y="55016"/>
                                </a:moveTo>
                                <a:lnTo>
                                  <a:pt x="0" y="0"/>
                                </a:lnTo>
                                <a:lnTo>
                                  <a:pt x="33147" y="0"/>
                                </a:lnTo>
                                <a:lnTo>
                                  <a:pt x="33147" y="55016"/>
                                </a:lnTo>
                              </a:path>
                            </a:pathLst>
                          </a:custGeom>
                          <a:ln w="9525">
                            <a:solidFill>
                              <a:srgbClr val="231F20"/>
                            </a:solidFill>
                            <a:prstDash val="solid"/>
                          </a:ln>
                        </wps:spPr>
                        <wps:bodyPr wrap="square" lIns="0" tIns="0" rIns="0" bIns="0" rtlCol="0">
                          <a:prstTxWarp prst="textNoShape">
                            <a:avLst/>
                          </a:prstTxWarp>
                          <a:noAutofit/>
                        </wps:bodyPr>
                      </wps:wsp>
                      <wps:wsp>
                        <wps:cNvPr id="1765" name="Graphic 1765"/>
                        <wps:cNvSpPr/>
                        <wps:spPr>
                          <a:xfrm>
                            <a:off x="208573" y="956932"/>
                            <a:ext cx="46990" cy="48260"/>
                          </a:xfrm>
                          <a:custGeom>
                            <a:avLst/>
                            <a:gdLst/>
                            <a:ahLst/>
                            <a:cxnLst/>
                            <a:rect l="l" t="t" r="r" b="b"/>
                            <a:pathLst>
                              <a:path w="46990" h="48260">
                                <a:moveTo>
                                  <a:pt x="46990" y="48183"/>
                                </a:moveTo>
                                <a:lnTo>
                                  <a:pt x="0" y="48183"/>
                                </a:lnTo>
                                <a:lnTo>
                                  <a:pt x="0" y="0"/>
                                </a:lnTo>
                                <a:lnTo>
                                  <a:pt x="46990" y="0"/>
                                </a:lnTo>
                                <a:lnTo>
                                  <a:pt x="46990" y="48183"/>
                                </a:lnTo>
                                <a:close/>
                              </a:path>
                            </a:pathLst>
                          </a:custGeom>
                          <a:ln w="9525">
                            <a:solidFill>
                              <a:srgbClr val="231F20"/>
                            </a:solidFill>
                            <a:prstDash val="solid"/>
                          </a:ln>
                        </wps:spPr>
                        <wps:bodyPr wrap="square" lIns="0" tIns="0" rIns="0" bIns="0" rtlCol="0">
                          <a:prstTxWarp prst="textNoShape">
                            <a:avLst/>
                          </a:prstTxWarp>
                          <a:noAutofit/>
                        </wps:bodyPr>
                      </wps:wsp>
                      <wps:wsp>
                        <wps:cNvPr id="1766" name="Graphic 1766"/>
                        <wps:cNvSpPr/>
                        <wps:spPr>
                          <a:xfrm>
                            <a:off x="281995" y="956932"/>
                            <a:ext cx="46990" cy="48260"/>
                          </a:xfrm>
                          <a:custGeom>
                            <a:avLst/>
                            <a:gdLst/>
                            <a:ahLst/>
                            <a:cxnLst/>
                            <a:rect l="l" t="t" r="r" b="b"/>
                            <a:pathLst>
                              <a:path w="46990" h="48260">
                                <a:moveTo>
                                  <a:pt x="46990" y="48183"/>
                                </a:moveTo>
                                <a:lnTo>
                                  <a:pt x="0" y="48183"/>
                                </a:lnTo>
                                <a:lnTo>
                                  <a:pt x="0" y="0"/>
                                </a:lnTo>
                                <a:lnTo>
                                  <a:pt x="46990" y="0"/>
                                </a:lnTo>
                                <a:lnTo>
                                  <a:pt x="46990" y="48183"/>
                                </a:lnTo>
                                <a:close/>
                              </a:path>
                            </a:pathLst>
                          </a:custGeom>
                          <a:ln w="9525">
                            <a:solidFill>
                              <a:srgbClr val="231F20"/>
                            </a:solidFill>
                            <a:prstDash val="solid"/>
                          </a:ln>
                        </wps:spPr>
                        <wps:bodyPr wrap="square" lIns="0" tIns="0" rIns="0" bIns="0" rtlCol="0">
                          <a:prstTxWarp prst="textNoShape">
                            <a:avLst/>
                          </a:prstTxWarp>
                          <a:noAutofit/>
                        </wps:bodyPr>
                      </wps:wsp>
                      <wps:wsp>
                        <wps:cNvPr id="1767" name="Graphic 1767"/>
                        <wps:cNvSpPr/>
                        <wps:spPr>
                          <a:xfrm>
                            <a:off x="208988" y="1040933"/>
                            <a:ext cx="76835" cy="44450"/>
                          </a:xfrm>
                          <a:custGeom>
                            <a:avLst/>
                            <a:gdLst/>
                            <a:ahLst/>
                            <a:cxnLst/>
                            <a:rect l="l" t="t" r="r" b="b"/>
                            <a:pathLst>
                              <a:path w="76835" h="44450">
                                <a:moveTo>
                                  <a:pt x="0" y="0"/>
                                </a:moveTo>
                                <a:lnTo>
                                  <a:pt x="76365" y="0"/>
                                </a:lnTo>
                                <a:lnTo>
                                  <a:pt x="76365" y="43916"/>
                                </a:lnTo>
                                <a:lnTo>
                                  <a:pt x="0" y="43916"/>
                                </a:lnTo>
                                <a:lnTo>
                                  <a:pt x="0" y="0"/>
                                </a:lnTo>
                                <a:close/>
                              </a:path>
                            </a:pathLst>
                          </a:custGeom>
                          <a:ln w="9524">
                            <a:solidFill>
                              <a:srgbClr val="231F20"/>
                            </a:solidFill>
                            <a:prstDash val="solid"/>
                          </a:ln>
                        </wps:spPr>
                        <wps:bodyPr wrap="square" lIns="0" tIns="0" rIns="0" bIns="0" rtlCol="0">
                          <a:prstTxWarp prst="textNoShape">
                            <a:avLst/>
                          </a:prstTxWarp>
                          <a:noAutofit/>
                        </wps:bodyPr>
                      </wps:wsp>
                      <wps:wsp>
                        <wps:cNvPr id="1768" name="Graphic 1768"/>
                        <wps:cNvSpPr/>
                        <wps:spPr>
                          <a:xfrm>
                            <a:off x="208564" y="911301"/>
                            <a:ext cx="120650" cy="22225"/>
                          </a:xfrm>
                          <a:custGeom>
                            <a:avLst/>
                            <a:gdLst/>
                            <a:ahLst/>
                            <a:cxnLst/>
                            <a:rect l="l" t="t" r="r" b="b"/>
                            <a:pathLst>
                              <a:path w="120650" h="22225">
                                <a:moveTo>
                                  <a:pt x="120421" y="22174"/>
                                </a:moveTo>
                                <a:lnTo>
                                  <a:pt x="0" y="22174"/>
                                </a:lnTo>
                                <a:lnTo>
                                  <a:pt x="0" y="0"/>
                                </a:lnTo>
                                <a:lnTo>
                                  <a:pt x="120421" y="0"/>
                                </a:lnTo>
                                <a:lnTo>
                                  <a:pt x="120421" y="22174"/>
                                </a:lnTo>
                                <a:close/>
                              </a:path>
                            </a:pathLst>
                          </a:custGeom>
                          <a:ln w="9525">
                            <a:solidFill>
                              <a:srgbClr val="231F20"/>
                            </a:solidFill>
                            <a:prstDash val="solid"/>
                          </a:ln>
                        </wps:spPr>
                        <wps:bodyPr wrap="square" lIns="0" tIns="0" rIns="0" bIns="0" rtlCol="0">
                          <a:prstTxWarp prst="textNoShape">
                            <a:avLst/>
                          </a:prstTxWarp>
                          <a:noAutofit/>
                        </wps:bodyPr>
                      </wps:wsp>
                      <wps:wsp>
                        <wps:cNvPr id="1769" name="Graphic 1769"/>
                        <wps:cNvSpPr/>
                        <wps:spPr>
                          <a:xfrm>
                            <a:off x="268987" y="911727"/>
                            <a:ext cx="1270" cy="22225"/>
                          </a:xfrm>
                          <a:custGeom>
                            <a:avLst/>
                            <a:gdLst/>
                            <a:ahLst/>
                            <a:cxnLst/>
                            <a:rect l="l" t="t" r="r" b="b"/>
                            <a:pathLst>
                              <a:path w="0" h="22225">
                                <a:moveTo>
                                  <a:pt x="0" y="0"/>
                                </a:moveTo>
                                <a:lnTo>
                                  <a:pt x="0" y="0"/>
                                </a:lnTo>
                                <a:lnTo>
                                  <a:pt x="0" y="22174"/>
                                </a:lnTo>
                              </a:path>
                            </a:pathLst>
                          </a:custGeom>
                          <a:ln w="9525">
                            <a:solidFill>
                              <a:srgbClr val="231F20"/>
                            </a:solidFill>
                            <a:prstDash val="solid"/>
                          </a:ln>
                        </wps:spPr>
                        <wps:bodyPr wrap="square" lIns="0" tIns="0" rIns="0" bIns="0" rtlCol="0">
                          <a:prstTxWarp prst="textNoShape">
                            <a:avLst/>
                          </a:prstTxWarp>
                          <a:noAutofit/>
                        </wps:bodyPr>
                      </wps:wsp>
                      <wps:wsp>
                        <wps:cNvPr id="1770" name="Graphic 1770"/>
                        <wps:cNvSpPr/>
                        <wps:spPr>
                          <a:xfrm>
                            <a:off x="335702" y="1055856"/>
                            <a:ext cx="40005" cy="29209"/>
                          </a:xfrm>
                          <a:custGeom>
                            <a:avLst/>
                            <a:gdLst/>
                            <a:ahLst/>
                            <a:cxnLst/>
                            <a:rect l="l" t="t" r="r" b="b"/>
                            <a:pathLst>
                              <a:path w="40005" h="29209">
                                <a:moveTo>
                                  <a:pt x="0" y="0"/>
                                </a:moveTo>
                                <a:lnTo>
                                  <a:pt x="39852" y="0"/>
                                </a:lnTo>
                                <a:lnTo>
                                  <a:pt x="39852" y="28994"/>
                                </a:lnTo>
                                <a:lnTo>
                                  <a:pt x="0" y="28994"/>
                                </a:lnTo>
                                <a:lnTo>
                                  <a:pt x="0" y="0"/>
                                </a:lnTo>
                                <a:close/>
                              </a:path>
                            </a:pathLst>
                          </a:custGeom>
                          <a:ln w="9524">
                            <a:solidFill>
                              <a:srgbClr val="231F20"/>
                            </a:solidFill>
                            <a:prstDash val="solid"/>
                          </a:ln>
                        </wps:spPr>
                        <wps:bodyPr wrap="square" lIns="0" tIns="0" rIns="0" bIns="0" rtlCol="0">
                          <a:prstTxWarp prst="textNoShape">
                            <a:avLst/>
                          </a:prstTxWarp>
                          <a:noAutofit/>
                        </wps:bodyPr>
                      </wps:wsp>
                      <wps:wsp>
                        <wps:cNvPr id="1771" name="Graphic 1771"/>
                        <wps:cNvSpPr/>
                        <wps:spPr>
                          <a:xfrm>
                            <a:off x="335702" y="1101062"/>
                            <a:ext cx="40005" cy="59690"/>
                          </a:xfrm>
                          <a:custGeom>
                            <a:avLst/>
                            <a:gdLst/>
                            <a:ahLst/>
                            <a:cxnLst/>
                            <a:rect l="l" t="t" r="r" b="b"/>
                            <a:pathLst>
                              <a:path w="40005" h="59690">
                                <a:moveTo>
                                  <a:pt x="0" y="59270"/>
                                </a:moveTo>
                                <a:lnTo>
                                  <a:pt x="0" y="0"/>
                                </a:lnTo>
                                <a:lnTo>
                                  <a:pt x="39852" y="0"/>
                                </a:lnTo>
                                <a:lnTo>
                                  <a:pt x="39852" y="59270"/>
                                </a:lnTo>
                              </a:path>
                            </a:pathLst>
                          </a:custGeom>
                          <a:ln w="9525">
                            <a:solidFill>
                              <a:srgbClr val="231F20"/>
                            </a:solidFill>
                            <a:prstDash val="solid"/>
                          </a:ln>
                        </wps:spPr>
                        <wps:bodyPr wrap="square" lIns="0" tIns="0" rIns="0" bIns="0" rtlCol="0">
                          <a:prstTxWarp prst="textNoShape">
                            <a:avLst/>
                          </a:prstTxWarp>
                          <a:noAutofit/>
                        </wps:bodyPr>
                      </wps:wsp>
                      <wps:wsp>
                        <wps:cNvPr id="1772" name="Graphic 1772"/>
                        <wps:cNvSpPr/>
                        <wps:spPr>
                          <a:xfrm>
                            <a:off x="185489" y="885720"/>
                            <a:ext cx="229870" cy="275590"/>
                          </a:xfrm>
                          <a:custGeom>
                            <a:avLst/>
                            <a:gdLst/>
                            <a:ahLst/>
                            <a:cxnLst/>
                            <a:rect l="l" t="t" r="r" b="b"/>
                            <a:pathLst>
                              <a:path w="229870" h="275590">
                                <a:moveTo>
                                  <a:pt x="110769" y="275463"/>
                                </a:moveTo>
                                <a:lnTo>
                                  <a:pt x="110769" y="155206"/>
                                </a:lnTo>
                                <a:lnTo>
                                  <a:pt x="229501" y="155206"/>
                                </a:lnTo>
                                <a:lnTo>
                                  <a:pt x="229501" y="275463"/>
                                </a:lnTo>
                                <a:lnTo>
                                  <a:pt x="0" y="275463"/>
                                </a:lnTo>
                                <a:lnTo>
                                  <a:pt x="0" y="37515"/>
                                </a:lnTo>
                                <a:lnTo>
                                  <a:pt x="0" y="19189"/>
                                </a:lnTo>
                                <a:lnTo>
                                  <a:pt x="0" y="0"/>
                                </a:lnTo>
                                <a:lnTo>
                                  <a:pt x="18465" y="0"/>
                                </a:lnTo>
                                <a:lnTo>
                                  <a:pt x="36512" y="0"/>
                                </a:lnTo>
                                <a:lnTo>
                                  <a:pt x="167830" y="0"/>
                                </a:lnTo>
                                <a:lnTo>
                                  <a:pt x="167830" y="155206"/>
                                </a:lnTo>
                              </a:path>
                            </a:pathLst>
                          </a:custGeom>
                          <a:ln w="9524">
                            <a:solidFill>
                              <a:srgbClr val="231F20"/>
                            </a:solidFill>
                            <a:prstDash val="solid"/>
                          </a:ln>
                        </wps:spPr>
                        <wps:bodyPr wrap="square" lIns="0" tIns="0" rIns="0" bIns="0" rtlCol="0">
                          <a:prstTxWarp prst="textNoShape">
                            <a:avLst/>
                          </a:prstTxWarp>
                          <a:noAutofit/>
                        </wps:bodyPr>
                      </wps:wsp>
                      <wps:wsp>
                        <wps:cNvPr id="1773" name="Graphic 1773"/>
                        <wps:cNvSpPr/>
                        <wps:spPr>
                          <a:xfrm>
                            <a:off x="4616583" y="1111718"/>
                            <a:ext cx="33655" cy="55880"/>
                          </a:xfrm>
                          <a:custGeom>
                            <a:avLst/>
                            <a:gdLst/>
                            <a:ahLst/>
                            <a:cxnLst/>
                            <a:rect l="l" t="t" r="r" b="b"/>
                            <a:pathLst>
                              <a:path w="33655" h="55880">
                                <a:moveTo>
                                  <a:pt x="33172" y="55435"/>
                                </a:moveTo>
                                <a:lnTo>
                                  <a:pt x="33172" y="0"/>
                                </a:lnTo>
                                <a:lnTo>
                                  <a:pt x="0" y="0"/>
                                </a:lnTo>
                                <a:lnTo>
                                  <a:pt x="0" y="55435"/>
                                </a:lnTo>
                              </a:path>
                            </a:pathLst>
                          </a:custGeom>
                          <a:ln w="9525">
                            <a:solidFill>
                              <a:srgbClr val="231F20"/>
                            </a:solidFill>
                            <a:prstDash val="solid"/>
                          </a:ln>
                        </wps:spPr>
                        <wps:bodyPr wrap="square" lIns="0" tIns="0" rIns="0" bIns="0" rtlCol="0">
                          <a:prstTxWarp prst="textNoShape">
                            <a:avLst/>
                          </a:prstTxWarp>
                          <a:noAutofit/>
                        </wps:bodyPr>
                      </wps:wsp>
                      <wps:wsp>
                        <wps:cNvPr id="1774" name="Graphic 1774"/>
                        <wps:cNvSpPr/>
                        <wps:spPr>
                          <a:xfrm>
                            <a:off x="4621621" y="963757"/>
                            <a:ext cx="46990" cy="48260"/>
                          </a:xfrm>
                          <a:custGeom>
                            <a:avLst/>
                            <a:gdLst/>
                            <a:ahLst/>
                            <a:cxnLst/>
                            <a:rect l="l" t="t" r="r" b="b"/>
                            <a:pathLst>
                              <a:path w="46990" h="48260">
                                <a:moveTo>
                                  <a:pt x="0" y="48183"/>
                                </a:moveTo>
                                <a:lnTo>
                                  <a:pt x="46596" y="48183"/>
                                </a:lnTo>
                                <a:lnTo>
                                  <a:pt x="46596" y="0"/>
                                </a:lnTo>
                                <a:lnTo>
                                  <a:pt x="0" y="0"/>
                                </a:lnTo>
                                <a:lnTo>
                                  <a:pt x="0" y="48183"/>
                                </a:lnTo>
                                <a:close/>
                              </a:path>
                            </a:pathLst>
                          </a:custGeom>
                          <a:ln w="9525">
                            <a:solidFill>
                              <a:srgbClr val="231F20"/>
                            </a:solidFill>
                            <a:prstDash val="solid"/>
                          </a:ln>
                        </wps:spPr>
                        <wps:bodyPr wrap="square" lIns="0" tIns="0" rIns="0" bIns="0" rtlCol="0">
                          <a:prstTxWarp prst="textNoShape">
                            <a:avLst/>
                          </a:prstTxWarp>
                          <a:noAutofit/>
                        </wps:bodyPr>
                      </wps:wsp>
                      <wps:wsp>
                        <wps:cNvPr id="1775" name="Graphic 1775"/>
                        <wps:cNvSpPr/>
                        <wps:spPr>
                          <a:xfrm>
                            <a:off x="4548238" y="963757"/>
                            <a:ext cx="46990" cy="48260"/>
                          </a:xfrm>
                          <a:custGeom>
                            <a:avLst/>
                            <a:gdLst/>
                            <a:ahLst/>
                            <a:cxnLst/>
                            <a:rect l="l" t="t" r="r" b="b"/>
                            <a:pathLst>
                              <a:path w="46990" h="48260">
                                <a:moveTo>
                                  <a:pt x="0" y="48183"/>
                                </a:moveTo>
                                <a:lnTo>
                                  <a:pt x="46977" y="48183"/>
                                </a:lnTo>
                                <a:lnTo>
                                  <a:pt x="46977" y="0"/>
                                </a:lnTo>
                                <a:lnTo>
                                  <a:pt x="0" y="0"/>
                                </a:lnTo>
                                <a:lnTo>
                                  <a:pt x="0" y="48183"/>
                                </a:lnTo>
                                <a:close/>
                              </a:path>
                            </a:pathLst>
                          </a:custGeom>
                          <a:ln w="9525">
                            <a:solidFill>
                              <a:srgbClr val="231F20"/>
                            </a:solidFill>
                            <a:prstDash val="solid"/>
                          </a:ln>
                        </wps:spPr>
                        <wps:bodyPr wrap="square" lIns="0" tIns="0" rIns="0" bIns="0" rtlCol="0">
                          <a:prstTxWarp prst="textNoShape">
                            <a:avLst/>
                          </a:prstTxWarp>
                          <a:noAutofit/>
                        </wps:bodyPr>
                      </wps:wsp>
                      <wps:wsp>
                        <wps:cNvPr id="1776" name="Graphic 1776"/>
                        <wps:cNvSpPr/>
                        <wps:spPr>
                          <a:xfrm>
                            <a:off x="4591860" y="1047760"/>
                            <a:ext cx="76835" cy="44450"/>
                          </a:xfrm>
                          <a:custGeom>
                            <a:avLst/>
                            <a:gdLst/>
                            <a:ahLst/>
                            <a:cxnLst/>
                            <a:rect l="l" t="t" r="r" b="b"/>
                            <a:pathLst>
                              <a:path w="76835" h="44450">
                                <a:moveTo>
                                  <a:pt x="76352" y="0"/>
                                </a:moveTo>
                                <a:lnTo>
                                  <a:pt x="0" y="0"/>
                                </a:lnTo>
                                <a:lnTo>
                                  <a:pt x="0" y="43916"/>
                                </a:lnTo>
                                <a:lnTo>
                                  <a:pt x="76352" y="43916"/>
                                </a:lnTo>
                                <a:lnTo>
                                  <a:pt x="76352" y="0"/>
                                </a:lnTo>
                                <a:close/>
                              </a:path>
                            </a:pathLst>
                          </a:custGeom>
                          <a:ln w="9525">
                            <a:solidFill>
                              <a:srgbClr val="231F20"/>
                            </a:solidFill>
                            <a:prstDash val="solid"/>
                          </a:ln>
                        </wps:spPr>
                        <wps:bodyPr wrap="square" lIns="0" tIns="0" rIns="0" bIns="0" rtlCol="0">
                          <a:prstTxWarp prst="textNoShape">
                            <a:avLst/>
                          </a:prstTxWarp>
                          <a:noAutofit/>
                        </wps:bodyPr>
                      </wps:wsp>
                      <wps:wsp>
                        <wps:cNvPr id="1777" name="Graphic 1777"/>
                        <wps:cNvSpPr/>
                        <wps:spPr>
                          <a:xfrm>
                            <a:off x="4548238" y="918128"/>
                            <a:ext cx="120014" cy="22225"/>
                          </a:xfrm>
                          <a:custGeom>
                            <a:avLst/>
                            <a:gdLst/>
                            <a:ahLst/>
                            <a:cxnLst/>
                            <a:rect l="l" t="t" r="r" b="b"/>
                            <a:pathLst>
                              <a:path w="120014" h="22225">
                                <a:moveTo>
                                  <a:pt x="0" y="22174"/>
                                </a:moveTo>
                                <a:lnTo>
                                  <a:pt x="119976" y="22174"/>
                                </a:lnTo>
                                <a:lnTo>
                                  <a:pt x="119976" y="0"/>
                                </a:lnTo>
                                <a:lnTo>
                                  <a:pt x="0" y="0"/>
                                </a:lnTo>
                                <a:lnTo>
                                  <a:pt x="0" y="22174"/>
                                </a:lnTo>
                                <a:close/>
                              </a:path>
                            </a:pathLst>
                          </a:custGeom>
                          <a:ln w="9524">
                            <a:solidFill>
                              <a:srgbClr val="231F20"/>
                            </a:solidFill>
                            <a:prstDash val="solid"/>
                          </a:ln>
                        </wps:spPr>
                        <wps:bodyPr wrap="square" lIns="0" tIns="0" rIns="0" bIns="0" rtlCol="0">
                          <a:prstTxWarp prst="textNoShape">
                            <a:avLst/>
                          </a:prstTxWarp>
                          <a:noAutofit/>
                        </wps:bodyPr>
                      </wps:wsp>
                      <wps:wsp>
                        <wps:cNvPr id="1778" name="Graphic 1778"/>
                        <wps:cNvSpPr/>
                        <wps:spPr>
                          <a:xfrm>
                            <a:off x="4608197" y="918552"/>
                            <a:ext cx="1270" cy="22225"/>
                          </a:xfrm>
                          <a:custGeom>
                            <a:avLst/>
                            <a:gdLst/>
                            <a:ahLst/>
                            <a:cxnLst/>
                            <a:rect l="l" t="t" r="r" b="b"/>
                            <a:pathLst>
                              <a:path w="0" h="22225">
                                <a:moveTo>
                                  <a:pt x="0" y="0"/>
                                </a:moveTo>
                                <a:lnTo>
                                  <a:pt x="0" y="0"/>
                                </a:lnTo>
                                <a:lnTo>
                                  <a:pt x="0" y="22174"/>
                                </a:lnTo>
                              </a:path>
                            </a:pathLst>
                          </a:custGeom>
                          <a:ln w="9525">
                            <a:solidFill>
                              <a:srgbClr val="231F20"/>
                            </a:solidFill>
                            <a:prstDash val="solid"/>
                          </a:ln>
                        </wps:spPr>
                        <wps:bodyPr wrap="square" lIns="0" tIns="0" rIns="0" bIns="0" rtlCol="0">
                          <a:prstTxWarp prst="textNoShape">
                            <a:avLst/>
                          </a:prstTxWarp>
                          <a:noAutofit/>
                        </wps:bodyPr>
                      </wps:wsp>
                      <wps:wsp>
                        <wps:cNvPr id="1779" name="Graphic 1779"/>
                        <wps:cNvSpPr/>
                        <wps:spPr>
                          <a:xfrm>
                            <a:off x="4501648" y="1062255"/>
                            <a:ext cx="40005" cy="29845"/>
                          </a:xfrm>
                          <a:custGeom>
                            <a:avLst/>
                            <a:gdLst/>
                            <a:ahLst/>
                            <a:cxnLst/>
                            <a:rect l="l" t="t" r="r" b="b"/>
                            <a:pathLst>
                              <a:path w="40005" h="29845">
                                <a:moveTo>
                                  <a:pt x="39877" y="0"/>
                                </a:moveTo>
                                <a:lnTo>
                                  <a:pt x="0" y="0"/>
                                </a:lnTo>
                                <a:lnTo>
                                  <a:pt x="0" y="29425"/>
                                </a:lnTo>
                                <a:lnTo>
                                  <a:pt x="39877" y="29425"/>
                                </a:lnTo>
                                <a:lnTo>
                                  <a:pt x="39877" y="0"/>
                                </a:lnTo>
                                <a:close/>
                              </a:path>
                            </a:pathLst>
                          </a:custGeom>
                          <a:ln w="9525">
                            <a:solidFill>
                              <a:srgbClr val="231F20"/>
                            </a:solidFill>
                            <a:prstDash val="solid"/>
                          </a:ln>
                        </wps:spPr>
                        <wps:bodyPr wrap="square" lIns="0" tIns="0" rIns="0" bIns="0" rtlCol="0">
                          <a:prstTxWarp prst="textNoShape">
                            <a:avLst/>
                          </a:prstTxWarp>
                          <a:noAutofit/>
                        </wps:bodyPr>
                      </wps:wsp>
                      <wps:wsp>
                        <wps:cNvPr id="1780" name="Graphic 1780"/>
                        <wps:cNvSpPr/>
                        <wps:spPr>
                          <a:xfrm>
                            <a:off x="4501648" y="1107464"/>
                            <a:ext cx="40005" cy="59690"/>
                          </a:xfrm>
                          <a:custGeom>
                            <a:avLst/>
                            <a:gdLst/>
                            <a:ahLst/>
                            <a:cxnLst/>
                            <a:rect l="l" t="t" r="r" b="b"/>
                            <a:pathLst>
                              <a:path w="40005" h="59690">
                                <a:moveTo>
                                  <a:pt x="39877" y="59690"/>
                                </a:moveTo>
                                <a:lnTo>
                                  <a:pt x="39877" y="0"/>
                                </a:lnTo>
                                <a:lnTo>
                                  <a:pt x="0" y="0"/>
                                </a:lnTo>
                                <a:lnTo>
                                  <a:pt x="0" y="59690"/>
                                </a:lnTo>
                              </a:path>
                            </a:pathLst>
                          </a:custGeom>
                          <a:ln w="9525">
                            <a:solidFill>
                              <a:srgbClr val="231F20"/>
                            </a:solidFill>
                            <a:prstDash val="solid"/>
                          </a:ln>
                        </wps:spPr>
                        <wps:bodyPr wrap="square" lIns="0" tIns="0" rIns="0" bIns="0" rtlCol="0">
                          <a:prstTxWarp prst="textNoShape">
                            <a:avLst/>
                          </a:prstTxWarp>
                          <a:noAutofit/>
                        </wps:bodyPr>
                      </wps:wsp>
                      <wps:wsp>
                        <wps:cNvPr id="1781" name="Graphic 1781"/>
                        <wps:cNvSpPr/>
                        <wps:spPr>
                          <a:xfrm>
                            <a:off x="4462213" y="892544"/>
                            <a:ext cx="229870" cy="275590"/>
                          </a:xfrm>
                          <a:custGeom>
                            <a:avLst/>
                            <a:gdLst/>
                            <a:ahLst/>
                            <a:cxnLst/>
                            <a:rect l="l" t="t" r="r" b="b"/>
                            <a:pathLst>
                              <a:path w="229870" h="275590">
                                <a:moveTo>
                                  <a:pt x="118745" y="275463"/>
                                </a:moveTo>
                                <a:lnTo>
                                  <a:pt x="118745" y="155219"/>
                                </a:lnTo>
                                <a:lnTo>
                                  <a:pt x="0" y="155219"/>
                                </a:lnTo>
                                <a:lnTo>
                                  <a:pt x="0" y="275463"/>
                                </a:lnTo>
                                <a:lnTo>
                                  <a:pt x="229489" y="275463"/>
                                </a:lnTo>
                                <a:lnTo>
                                  <a:pt x="229489" y="37096"/>
                                </a:lnTo>
                                <a:lnTo>
                                  <a:pt x="229489" y="18757"/>
                                </a:lnTo>
                                <a:lnTo>
                                  <a:pt x="229489" y="0"/>
                                </a:lnTo>
                                <a:lnTo>
                                  <a:pt x="211035" y="0"/>
                                </a:lnTo>
                                <a:lnTo>
                                  <a:pt x="193027" y="0"/>
                                </a:lnTo>
                                <a:lnTo>
                                  <a:pt x="61696" y="0"/>
                                </a:lnTo>
                                <a:lnTo>
                                  <a:pt x="61696" y="155219"/>
                                </a:lnTo>
                              </a:path>
                            </a:pathLst>
                          </a:custGeom>
                          <a:ln w="9525">
                            <a:solidFill>
                              <a:srgbClr val="231F20"/>
                            </a:solidFill>
                            <a:prstDash val="solid"/>
                          </a:ln>
                        </wps:spPr>
                        <wps:bodyPr wrap="square" lIns="0" tIns="0" rIns="0" bIns="0" rtlCol="0">
                          <a:prstTxWarp prst="textNoShape">
                            <a:avLst/>
                          </a:prstTxWarp>
                          <a:noAutofit/>
                        </wps:bodyPr>
                      </wps:wsp>
                      <wps:wsp>
                        <wps:cNvPr id="1782" name="Graphic 1782"/>
                        <wps:cNvSpPr/>
                        <wps:spPr>
                          <a:xfrm>
                            <a:off x="4000389" y="1107885"/>
                            <a:ext cx="300990" cy="35560"/>
                          </a:xfrm>
                          <a:custGeom>
                            <a:avLst/>
                            <a:gdLst/>
                            <a:ahLst/>
                            <a:cxnLst/>
                            <a:rect l="l" t="t" r="r" b="b"/>
                            <a:pathLst>
                              <a:path w="300990" h="35560">
                                <a:moveTo>
                                  <a:pt x="300863" y="0"/>
                                </a:moveTo>
                                <a:lnTo>
                                  <a:pt x="0" y="0"/>
                                </a:lnTo>
                                <a:lnTo>
                                  <a:pt x="0" y="35382"/>
                                </a:lnTo>
                                <a:lnTo>
                                  <a:pt x="13030" y="35382"/>
                                </a:lnTo>
                                <a:lnTo>
                                  <a:pt x="14492" y="28271"/>
                                </a:lnTo>
                                <a:lnTo>
                                  <a:pt x="18430" y="22594"/>
                                </a:lnTo>
                                <a:lnTo>
                                  <a:pt x="24174" y="18835"/>
                                </a:lnTo>
                                <a:lnTo>
                                  <a:pt x="31051" y="17475"/>
                                </a:lnTo>
                                <a:lnTo>
                                  <a:pt x="38122" y="18835"/>
                                </a:lnTo>
                                <a:lnTo>
                                  <a:pt x="43902" y="22594"/>
                                </a:lnTo>
                                <a:lnTo>
                                  <a:pt x="47869" y="28271"/>
                                </a:lnTo>
                                <a:lnTo>
                                  <a:pt x="49504" y="35382"/>
                                </a:lnTo>
                                <a:lnTo>
                                  <a:pt x="73837" y="35382"/>
                                </a:lnTo>
                                <a:lnTo>
                                  <a:pt x="75298" y="28271"/>
                                </a:lnTo>
                                <a:lnTo>
                                  <a:pt x="79238" y="22594"/>
                                </a:lnTo>
                                <a:lnTo>
                                  <a:pt x="84992" y="18835"/>
                                </a:lnTo>
                                <a:lnTo>
                                  <a:pt x="91897" y="17475"/>
                                </a:lnTo>
                                <a:lnTo>
                                  <a:pt x="98975" y="18835"/>
                                </a:lnTo>
                                <a:lnTo>
                                  <a:pt x="104759" y="22594"/>
                                </a:lnTo>
                                <a:lnTo>
                                  <a:pt x="108727" y="28271"/>
                                </a:lnTo>
                                <a:lnTo>
                                  <a:pt x="110362" y="35382"/>
                                </a:lnTo>
                                <a:lnTo>
                                  <a:pt x="227418" y="35382"/>
                                </a:lnTo>
                                <a:lnTo>
                                  <a:pt x="227418" y="25158"/>
                                </a:lnTo>
                                <a:lnTo>
                                  <a:pt x="235369" y="17475"/>
                                </a:lnTo>
                                <a:lnTo>
                                  <a:pt x="245427" y="17475"/>
                                </a:lnTo>
                                <a:lnTo>
                                  <a:pt x="252526" y="18835"/>
                                </a:lnTo>
                                <a:lnTo>
                                  <a:pt x="258264" y="22594"/>
                                </a:lnTo>
                                <a:lnTo>
                                  <a:pt x="262101" y="28271"/>
                                </a:lnTo>
                                <a:lnTo>
                                  <a:pt x="263499" y="35382"/>
                                </a:lnTo>
                                <a:lnTo>
                                  <a:pt x="300863" y="35382"/>
                                </a:lnTo>
                                <a:lnTo>
                                  <a:pt x="300863" y="0"/>
                                </a:lnTo>
                                <a:close/>
                              </a:path>
                            </a:pathLst>
                          </a:custGeom>
                          <a:ln w="9525">
                            <a:solidFill>
                              <a:srgbClr val="231F20"/>
                            </a:solidFill>
                            <a:prstDash val="solid"/>
                          </a:ln>
                        </wps:spPr>
                        <wps:bodyPr wrap="square" lIns="0" tIns="0" rIns="0" bIns="0" rtlCol="0">
                          <a:prstTxWarp prst="textNoShape">
                            <a:avLst/>
                          </a:prstTxWarp>
                          <a:noAutofit/>
                        </wps:bodyPr>
                      </wps:wsp>
                      <pic:pic>
                        <pic:nvPicPr>
                          <pic:cNvPr id="1783" name="Image 1783"/>
                          <pic:cNvPicPr/>
                        </pic:nvPicPr>
                        <pic:blipFill>
                          <a:blip r:embed="rId141" cstate="print"/>
                          <a:stretch>
                            <a:fillRect/>
                          </a:stretch>
                        </pic:blipFill>
                        <pic:spPr>
                          <a:xfrm>
                            <a:off x="3975224" y="972633"/>
                            <a:ext cx="330794" cy="194590"/>
                          </a:xfrm>
                          <a:prstGeom prst="rect">
                            <a:avLst/>
                          </a:prstGeom>
                        </pic:spPr>
                      </pic:pic>
                      <wps:wsp>
                        <wps:cNvPr id="1784" name="Graphic 1784"/>
                        <wps:cNvSpPr/>
                        <wps:spPr>
                          <a:xfrm>
                            <a:off x="4000389" y="1107885"/>
                            <a:ext cx="300990" cy="35560"/>
                          </a:xfrm>
                          <a:custGeom>
                            <a:avLst/>
                            <a:gdLst/>
                            <a:ahLst/>
                            <a:cxnLst/>
                            <a:rect l="l" t="t" r="r" b="b"/>
                            <a:pathLst>
                              <a:path w="300990" h="35560">
                                <a:moveTo>
                                  <a:pt x="300863" y="0"/>
                                </a:moveTo>
                                <a:lnTo>
                                  <a:pt x="0" y="0"/>
                                </a:lnTo>
                                <a:lnTo>
                                  <a:pt x="0" y="35382"/>
                                </a:lnTo>
                                <a:lnTo>
                                  <a:pt x="13030" y="35382"/>
                                </a:lnTo>
                                <a:lnTo>
                                  <a:pt x="14492" y="28271"/>
                                </a:lnTo>
                                <a:lnTo>
                                  <a:pt x="18430" y="22594"/>
                                </a:lnTo>
                                <a:lnTo>
                                  <a:pt x="24174" y="18835"/>
                                </a:lnTo>
                                <a:lnTo>
                                  <a:pt x="31051" y="17475"/>
                                </a:lnTo>
                                <a:lnTo>
                                  <a:pt x="38122" y="18835"/>
                                </a:lnTo>
                                <a:lnTo>
                                  <a:pt x="43902" y="22594"/>
                                </a:lnTo>
                                <a:lnTo>
                                  <a:pt x="47869" y="28271"/>
                                </a:lnTo>
                                <a:lnTo>
                                  <a:pt x="49504" y="35382"/>
                                </a:lnTo>
                                <a:lnTo>
                                  <a:pt x="73837" y="35382"/>
                                </a:lnTo>
                                <a:lnTo>
                                  <a:pt x="75298" y="28271"/>
                                </a:lnTo>
                                <a:lnTo>
                                  <a:pt x="79238" y="22594"/>
                                </a:lnTo>
                                <a:lnTo>
                                  <a:pt x="84992" y="18835"/>
                                </a:lnTo>
                                <a:lnTo>
                                  <a:pt x="91897" y="17475"/>
                                </a:lnTo>
                                <a:lnTo>
                                  <a:pt x="98975" y="18835"/>
                                </a:lnTo>
                                <a:lnTo>
                                  <a:pt x="104759" y="22594"/>
                                </a:lnTo>
                                <a:lnTo>
                                  <a:pt x="108727" y="28271"/>
                                </a:lnTo>
                                <a:lnTo>
                                  <a:pt x="110362" y="35382"/>
                                </a:lnTo>
                                <a:lnTo>
                                  <a:pt x="227418" y="35382"/>
                                </a:lnTo>
                                <a:lnTo>
                                  <a:pt x="227418" y="25158"/>
                                </a:lnTo>
                                <a:lnTo>
                                  <a:pt x="235369" y="17475"/>
                                </a:lnTo>
                                <a:lnTo>
                                  <a:pt x="245427" y="17475"/>
                                </a:lnTo>
                                <a:lnTo>
                                  <a:pt x="252526" y="18835"/>
                                </a:lnTo>
                                <a:lnTo>
                                  <a:pt x="258264" y="22594"/>
                                </a:lnTo>
                                <a:lnTo>
                                  <a:pt x="262101" y="28271"/>
                                </a:lnTo>
                                <a:lnTo>
                                  <a:pt x="263499" y="35382"/>
                                </a:lnTo>
                                <a:lnTo>
                                  <a:pt x="300863" y="35382"/>
                                </a:lnTo>
                                <a:lnTo>
                                  <a:pt x="300863" y="0"/>
                                </a:lnTo>
                                <a:close/>
                              </a:path>
                            </a:pathLst>
                          </a:custGeom>
                          <a:ln w="9525">
                            <a:solidFill>
                              <a:srgbClr val="231F20"/>
                            </a:solidFill>
                            <a:prstDash val="solid"/>
                          </a:ln>
                        </wps:spPr>
                        <wps:bodyPr wrap="square" lIns="0" tIns="0" rIns="0" bIns="0" rtlCol="0">
                          <a:prstTxWarp prst="textNoShape">
                            <a:avLst/>
                          </a:prstTxWarp>
                          <a:noAutofit/>
                        </wps:bodyPr>
                      </wps:wsp>
                      <pic:pic>
                        <pic:nvPicPr>
                          <pic:cNvPr id="1785" name="Image 1785"/>
                          <pic:cNvPicPr/>
                        </pic:nvPicPr>
                        <pic:blipFill>
                          <a:blip r:embed="rId142" cstate="print"/>
                          <a:stretch>
                            <a:fillRect/>
                          </a:stretch>
                        </pic:blipFill>
                        <pic:spPr>
                          <a:xfrm>
                            <a:off x="3975224" y="972633"/>
                            <a:ext cx="330794" cy="194590"/>
                          </a:xfrm>
                          <a:prstGeom prst="rect">
                            <a:avLst/>
                          </a:prstGeom>
                        </pic:spPr>
                      </pic:pic>
                      <pic:pic>
                        <pic:nvPicPr>
                          <pic:cNvPr id="1786" name="Image 1786"/>
                          <pic:cNvPicPr/>
                        </pic:nvPicPr>
                        <pic:blipFill>
                          <a:blip r:embed="rId143" cstate="print"/>
                          <a:stretch>
                            <a:fillRect/>
                          </a:stretch>
                        </pic:blipFill>
                        <pic:spPr>
                          <a:xfrm>
                            <a:off x="3561909" y="887779"/>
                            <a:ext cx="286057" cy="284993"/>
                          </a:xfrm>
                          <a:prstGeom prst="rect">
                            <a:avLst/>
                          </a:prstGeom>
                        </pic:spPr>
                      </pic:pic>
                      <pic:pic>
                        <pic:nvPicPr>
                          <pic:cNvPr id="1787" name="Image 1787"/>
                          <pic:cNvPicPr/>
                        </pic:nvPicPr>
                        <pic:blipFill>
                          <a:blip r:embed="rId144" cstate="print"/>
                          <a:stretch>
                            <a:fillRect/>
                          </a:stretch>
                        </pic:blipFill>
                        <pic:spPr>
                          <a:xfrm>
                            <a:off x="3193943" y="858775"/>
                            <a:ext cx="191198" cy="313994"/>
                          </a:xfrm>
                          <a:prstGeom prst="rect">
                            <a:avLst/>
                          </a:prstGeom>
                        </pic:spPr>
                      </pic:pic>
                      <wps:wsp>
                        <wps:cNvPr id="1788" name="Graphic 1788"/>
                        <wps:cNvSpPr/>
                        <wps:spPr>
                          <a:xfrm>
                            <a:off x="2757575" y="1128775"/>
                            <a:ext cx="182245" cy="36830"/>
                          </a:xfrm>
                          <a:custGeom>
                            <a:avLst/>
                            <a:gdLst/>
                            <a:ahLst/>
                            <a:cxnLst/>
                            <a:rect l="l" t="t" r="r" b="b"/>
                            <a:pathLst>
                              <a:path w="182245" h="36830">
                                <a:moveTo>
                                  <a:pt x="0" y="36245"/>
                                </a:moveTo>
                                <a:lnTo>
                                  <a:pt x="0" y="0"/>
                                </a:lnTo>
                                <a:lnTo>
                                  <a:pt x="182118" y="0"/>
                                </a:lnTo>
                                <a:lnTo>
                                  <a:pt x="182118" y="36245"/>
                                </a:lnTo>
                              </a:path>
                            </a:pathLst>
                          </a:custGeom>
                          <a:ln w="9524">
                            <a:solidFill>
                              <a:srgbClr val="231F20"/>
                            </a:solidFill>
                            <a:prstDash val="solid"/>
                          </a:ln>
                        </wps:spPr>
                        <wps:bodyPr wrap="square" lIns="0" tIns="0" rIns="0" bIns="0" rtlCol="0">
                          <a:prstTxWarp prst="textNoShape">
                            <a:avLst/>
                          </a:prstTxWarp>
                          <a:noAutofit/>
                        </wps:bodyPr>
                      </wps:wsp>
                      <wps:wsp>
                        <wps:cNvPr id="1789" name="Graphic 1789"/>
                        <wps:cNvSpPr/>
                        <wps:spPr>
                          <a:xfrm>
                            <a:off x="2804557" y="917702"/>
                            <a:ext cx="22860" cy="212090"/>
                          </a:xfrm>
                          <a:custGeom>
                            <a:avLst/>
                            <a:gdLst/>
                            <a:ahLst/>
                            <a:cxnLst/>
                            <a:rect l="l" t="t" r="r" b="b"/>
                            <a:pathLst>
                              <a:path w="22860" h="212090">
                                <a:moveTo>
                                  <a:pt x="0" y="0"/>
                                </a:moveTo>
                                <a:lnTo>
                                  <a:pt x="22263" y="0"/>
                                </a:lnTo>
                                <a:lnTo>
                                  <a:pt x="22263" y="211505"/>
                                </a:lnTo>
                                <a:lnTo>
                                  <a:pt x="0" y="211505"/>
                                </a:lnTo>
                                <a:lnTo>
                                  <a:pt x="0" y="0"/>
                                </a:lnTo>
                                <a:close/>
                              </a:path>
                            </a:pathLst>
                          </a:custGeom>
                          <a:ln w="9525">
                            <a:solidFill>
                              <a:srgbClr val="231F20"/>
                            </a:solidFill>
                            <a:prstDash val="solid"/>
                          </a:ln>
                        </wps:spPr>
                        <wps:bodyPr wrap="square" lIns="0" tIns="0" rIns="0" bIns="0" rtlCol="0">
                          <a:prstTxWarp prst="textNoShape">
                            <a:avLst/>
                          </a:prstTxWarp>
                          <a:noAutofit/>
                        </wps:bodyPr>
                      </wps:wsp>
                      <wps:wsp>
                        <wps:cNvPr id="1790" name="Graphic 1790"/>
                        <wps:cNvSpPr/>
                        <wps:spPr>
                          <a:xfrm>
                            <a:off x="2802488" y="890412"/>
                            <a:ext cx="26034" cy="1270"/>
                          </a:xfrm>
                          <a:custGeom>
                            <a:avLst/>
                            <a:gdLst/>
                            <a:ahLst/>
                            <a:cxnLst/>
                            <a:rect l="l" t="t" r="r" b="b"/>
                            <a:pathLst>
                              <a:path w="26034" h="0">
                                <a:moveTo>
                                  <a:pt x="0" y="0"/>
                                </a:moveTo>
                                <a:lnTo>
                                  <a:pt x="0" y="0"/>
                                </a:lnTo>
                                <a:lnTo>
                                  <a:pt x="26009" y="0"/>
                                </a:lnTo>
                              </a:path>
                            </a:pathLst>
                          </a:custGeom>
                          <a:ln w="9525">
                            <a:solidFill>
                              <a:srgbClr val="231F20"/>
                            </a:solidFill>
                            <a:prstDash val="solid"/>
                          </a:ln>
                        </wps:spPr>
                        <wps:bodyPr wrap="square" lIns="0" tIns="0" rIns="0" bIns="0" rtlCol="0">
                          <a:prstTxWarp prst="textNoShape">
                            <a:avLst/>
                          </a:prstTxWarp>
                          <a:noAutofit/>
                        </wps:bodyPr>
                      </wps:wsp>
                      <wps:wsp>
                        <wps:cNvPr id="1791" name="Graphic 1791"/>
                        <wps:cNvSpPr/>
                        <wps:spPr>
                          <a:xfrm>
                            <a:off x="2786099" y="863116"/>
                            <a:ext cx="59055" cy="54610"/>
                          </a:xfrm>
                          <a:custGeom>
                            <a:avLst/>
                            <a:gdLst/>
                            <a:ahLst/>
                            <a:cxnLst/>
                            <a:rect l="l" t="t" r="r" b="b"/>
                            <a:pathLst>
                              <a:path w="59055" h="54610">
                                <a:moveTo>
                                  <a:pt x="0" y="0"/>
                                </a:moveTo>
                                <a:lnTo>
                                  <a:pt x="58724" y="0"/>
                                </a:lnTo>
                                <a:lnTo>
                                  <a:pt x="58724" y="54584"/>
                                </a:lnTo>
                                <a:lnTo>
                                  <a:pt x="0" y="54584"/>
                                </a:lnTo>
                                <a:lnTo>
                                  <a:pt x="0" y="0"/>
                                </a:lnTo>
                                <a:close/>
                              </a:path>
                            </a:pathLst>
                          </a:custGeom>
                          <a:ln w="9524">
                            <a:solidFill>
                              <a:srgbClr val="231F20"/>
                            </a:solidFill>
                            <a:prstDash val="solid"/>
                          </a:ln>
                        </wps:spPr>
                        <wps:bodyPr wrap="square" lIns="0" tIns="0" rIns="0" bIns="0" rtlCol="0">
                          <a:prstTxWarp prst="textNoShape">
                            <a:avLst/>
                          </a:prstTxWarp>
                          <a:noAutofit/>
                        </wps:bodyPr>
                      </wps:wsp>
                      <wps:wsp>
                        <wps:cNvPr id="1792" name="Graphic 1792"/>
                        <wps:cNvSpPr/>
                        <wps:spPr>
                          <a:xfrm>
                            <a:off x="2897292" y="881881"/>
                            <a:ext cx="38735" cy="33655"/>
                          </a:xfrm>
                          <a:custGeom>
                            <a:avLst/>
                            <a:gdLst/>
                            <a:ahLst/>
                            <a:cxnLst/>
                            <a:rect l="l" t="t" r="r" b="b"/>
                            <a:pathLst>
                              <a:path w="38735" h="33655">
                                <a:moveTo>
                                  <a:pt x="38201" y="0"/>
                                </a:moveTo>
                                <a:lnTo>
                                  <a:pt x="38201" y="33261"/>
                                </a:lnTo>
                                <a:lnTo>
                                  <a:pt x="0" y="33261"/>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1793" name="Graphic 1793"/>
                        <wps:cNvSpPr/>
                        <wps:spPr>
                          <a:xfrm>
                            <a:off x="2844829" y="881881"/>
                            <a:ext cx="142240" cy="17145"/>
                          </a:xfrm>
                          <a:custGeom>
                            <a:avLst/>
                            <a:gdLst/>
                            <a:ahLst/>
                            <a:cxnLst/>
                            <a:rect l="l" t="t" r="r" b="b"/>
                            <a:pathLst>
                              <a:path w="142240" h="17145">
                                <a:moveTo>
                                  <a:pt x="0" y="0"/>
                                </a:moveTo>
                                <a:lnTo>
                                  <a:pt x="142240" y="0"/>
                                </a:lnTo>
                                <a:lnTo>
                                  <a:pt x="142240" y="16624"/>
                                </a:lnTo>
                                <a:lnTo>
                                  <a:pt x="90665" y="16624"/>
                                </a:lnTo>
                              </a:path>
                            </a:pathLst>
                          </a:custGeom>
                          <a:ln w="9525">
                            <a:solidFill>
                              <a:srgbClr val="231F20"/>
                            </a:solidFill>
                            <a:prstDash val="solid"/>
                          </a:ln>
                        </wps:spPr>
                        <wps:bodyPr wrap="square" lIns="0" tIns="0" rIns="0" bIns="0" rtlCol="0">
                          <a:prstTxWarp prst="textNoShape">
                            <a:avLst/>
                          </a:prstTxWarp>
                          <a:noAutofit/>
                        </wps:bodyPr>
                      </wps:wsp>
                      <wps:wsp>
                        <wps:cNvPr id="1794" name="Graphic 1794"/>
                        <wps:cNvSpPr/>
                        <wps:spPr>
                          <a:xfrm>
                            <a:off x="2766414" y="881884"/>
                            <a:ext cx="19685" cy="17145"/>
                          </a:xfrm>
                          <a:custGeom>
                            <a:avLst/>
                            <a:gdLst/>
                            <a:ahLst/>
                            <a:cxnLst/>
                            <a:rect l="l" t="t" r="r" b="b"/>
                            <a:pathLst>
                              <a:path w="19685" h="17145">
                                <a:moveTo>
                                  <a:pt x="19685" y="16624"/>
                                </a:moveTo>
                                <a:lnTo>
                                  <a:pt x="0" y="16624"/>
                                </a:lnTo>
                                <a:lnTo>
                                  <a:pt x="0" y="0"/>
                                </a:lnTo>
                                <a:lnTo>
                                  <a:pt x="19685" y="0"/>
                                </a:lnTo>
                              </a:path>
                            </a:pathLst>
                          </a:custGeom>
                          <a:ln w="9525">
                            <a:solidFill>
                              <a:srgbClr val="231F20"/>
                            </a:solidFill>
                            <a:prstDash val="solid"/>
                          </a:ln>
                        </wps:spPr>
                        <wps:bodyPr wrap="square" lIns="0" tIns="0" rIns="0" bIns="0" rtlCol="0">
                          <a:prstTxWarp prst="textNoShape">
                            <a:avLst/>
                          </a:prstTxWarp>
                          <a:noAutofit/>
                        </wps:bodyPr>
                      </wps:wsp>
                      <wps:wsp>
                        <wps:cNvPr id="1795" name="Graphic 1795"/>
                        <wps:cNvSpPr/>
                        <wps:spPr>
                          <a:xfrm>
                            <a:off x="2845273" y="898508"/>
                            <a:ext cx="52069" cy="1270"/>
                          </a:xfrm>
                          <a:custGeom>
                            <a:avLst/>
                            <a:gdLst/>
                            <a:ahLst/>
                            <a:cxnLst/>
                            <a:rect l="l" t="t" r="r" b="b"/>
                            <a:pathLst>
                              <a:path w="52069" h="0">
                                <a:moveTo>
                                  <a:pt x="52019" y="0"/>
                                </a:moveTo>
                                <a:lnTo>
                                  <a:pt x="52019" y="0"/>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1796" name="Graphic 1796"/>
                        <wps:cNvSpPr/>
                        <wps:spPr>
                          <a:xfrm>
                            <a:off x="2916198" y="915137"/>
                            <a:ext cx="1270" cy="26034"/>
                          </a:xfrm>
                          <a:custGeom>
                            <a:avLst/>
                            <a:gdLst/>
                            <a:ahLst/>
                            <a:cxnLst/>
                            <a:rect l="l" t="t" r="r" b="b"/>
                            <a:pathLst>
                              <a:path w="0" h="26034">
                                <a:moveTo>
                                  <a:pt x="0" y="25590"/>
                                </a:moveTo>
                                <a:lnTo>
                                  <a:pt x="0" y="25590"/>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1797" name="Graphic 1797"/>
                        <wps:cNvSpPr/>
                        <wps:spPr>
                          <a:xfrm>
                            <a:off x="2871291" y="940734"/>
                            <a:ext cx="90805" cy="86995"/>
                          </a:xfrm>
                          <a:custGeom>
                            <a:avLst/>
                            <a:gdLst/>
                            <a:ahLst/>
                            <a:cxnLst/>
                            <a:rect l="l" t="t" r="r" b="b"/>
                            <a:pathLst>
                              <a:path w="90805" h="86995">
                                <a:moveTo>
                                  <a:pt x="71754" y="86982"/>
                                </a:moveTo>
                                <a:lnTo>
                                  <a:pt x="90208" y="86982"/>
                                </a:lnTo>
                                <a:lnTo>
                                  <a:pt x="90208" y="67792"/>
                                </a:lnTo>
                                <a:lnTo>
                                  <a:pt x="90208" y="49453"/>
                                </a:lnTo>
                                <a:lnTo>
                                  <a:pt x="90208" y="0"/>
                                </a:lnTo>
                                <a:lnTo>
                                  <a:pt x="0" y="0"/>
                                </a:lnTo>
                                <a:lnTo>
                                  <a:pt x="0" y="86982"/>
                                </a:lnTo>
                                <a:lnTo>
                                  <a:pt x="53301" y="86982"/>
                                </a:lnTo>
                                <a:lnTo>
                                  <a:pt x="71754" y="86982"/>
                                </a:lnTo>
                                <a:close/>
                              </a:path>
                            </a:pathLst>
                          </a:custGeom>
                          <a:ln w="9525">
                            <a:solidFill>
                              <a:srgbClr val="231F20"/>
                            </a:solidFill>
                            <a:prstDash val="solid"/>
                          </a:ln>
                        </wps:spPr>
                        <wps:bodyPr wrap="square" lIns="0" tIns="0" rIns="0" bIns="0" rtlCol="0">
                          <a:prstTxWarp prst="textNoShape">
                            <a:avLst/>
                          </a:prstTxWarp>
                          <a:noAutofit/>
                        </wps:bodyPr>
                      </wps:wsp>
                      <wps:wsp>
                        <wps:cNvPr id="1798" name="Graphic 1798"/>
                        <wps:cNvSpPr/>
                        <wps:spPr>
                          <a:xfrm>
                            <a:off x="2895615" y="962903"/>
                            <a:ext cx="1270" cy="43180"/>
                          </a:xfrm>
                          <a:custGeom>
                            <a:avLst/>
                            <a:gdLst/>
                            <a:ahLst/>
                            <a:cxnLst/>
                            <a:rect l="l" t="t" r="r" b="b"/>
                            <a:pathLst>
                              <a:path w="0" h="43180">
                                <a:moveTo>
                                  <a:pt x="0" y="0"/>
                                </a:moveTo>
                                <a:lnTo>
                                  <a:pt x="0" y="0"/>
                                </a:lnTo>
                                <a:lnTo>
                                  <a:pt x="0" y="42633"/>
                                </a:lnTo>
                              </a:path>
                            </a:pathLst>
                          </a:custGeom>
                          <a:ln w="9525">
                            <a:solidFill>
                              <a:srgbClr val="231F20"/>
                            </a:solidFill>
                            <a:prstDash val="solid"/>
                          </a:ln>
                        </wps:spPr>
                        <wps:bodyPr wrap="square" lIns="0" tIns="0" rIns="0" bIns="0" rtlCol="0">
                          <a:prstTxWarp prst="textNoShape">
                            <a:avLst/>
                          </a:prstTxWarp>
                          <a:noAutofit/>
                        </wps:bodyPr>
                      </wps:wsp>
                      <wps:wsp>
                        <wps:cNvPr id="1799" name="Graphic 1799"/>
                        <wps:cNvSpPr/>
                        <wps:spPr>
                          <a:xfrm>
                            <a:off x="2916589" y="962903"/>
                            <a:ext cx="1270" cy="43180"/>
                          </a:xfrm>
                          <a:custGeom>
                            <a:avLst/>
                            <a:gdLst/>
                            <a:ahLst/>
                            <a:cxnLst/>
                            <a:rect l="l" t="t" r="r" b="b"/>
                            <a:pathLst>
                              <a:path w="0" h="43180">
                                <a:moveTo>
                                  <a:pt x="0" y="0"/>
                                </a:moveTo>
                                <a:lnTo>
                                  <a:pt x="0" y="0"/>
                                </a:lnTo>
                                <a:lnTo>
                                  <a:pt x="0" y="42633"/>
                                </a:lnTo>
                              </a:path>
                            </a:pathLst>
                          </a:custGeom>
                          <a:ln w="9525">
                            <a:solidFill>
                              <a:srgbClr val="231F20"/>
                            </a:solidFill>
                            <a:prstDash val="solid"/>
                          </a:ln>
                        </wps:spPr>
                        <wps:bodyPr wrap="square" lIns="0" tIns="0" rIns="0" bIns="0" rtlCol="0">
                          <a:prstTxWarp prst="textNoShape">
                            <a:avLst/>
                          </a:prstTxWarp>
                          <a:noAutofit/>
                        </wps:bodyPr>
                      </wps:wsp>
                      <wps:wsp>
                        <wps:cNvPr id="1800" name="Graphic 1800"/>
                        <wps:cNvSpPr/>
                        <wps:spPr>
                          <a:xfrm>
                            <a:off x="2937172" y="962903"/>
                            <a:ext cx="1270" cy="43180"/>
                          </a:xfrm>
                          <a:custGeom>
                            <a:avLst/>
                            <a:gdLst/>
                            <a:ahLst/>
                            <a:cxnLst/>
                            <a:rect l="l" t="t" r="r" b="b"/>
                            <a:pathLst>
                              <a:path w="0" h="43180">
                                <a:moveTo>
                                  <a:pt x="0" y="0"/>
                                </a:moveTo>
                                <a:lnTo>
                                  <a:pt x="0" y="0"/>
                                </a:lnTo>
                                <a:lnTo>
                                  <a:pt x="0" y="42633"/>
                                </a:lnTo>
                              </a:path>
                            </a:pathLst>
                          </a:custGeom>
                          <a:ln w="9525">
                            <a:solidFill>
                              <a:srgbClr val="231F20"/>
                            </a:solidFill>
                            <a:prstDash val="solid"/>
                          </a:ln>
                        </wps:spPr>
                        <wps:bodyPr wrap="square" lIns="0" tIns="0" rIns="0" bIns="0" rtlCol="0">
                          <a:prstTxWarp prst="textNoShape">
                            <a:avLst/>
                          </a:prstTxWarp>
                          <a:noAutofit/>
                        </wps:bodyPr>
                      </wps:wsp>
                      <wps:wsp>
                        <wps:cNvPr id="1801" name="Graphic 1801"/>
                        <wps:cNvSpPr/>
                        <wps:spPr>
                          <a:xfrm>
                            <a:off x="186804" y="1389086"/>
                            <a:ext cx="233679" cy="1068705"/>
                          </a:xfrm>
                          <a:custGeom>
                            <a:avLst/>
                            <a:gdLst/>
                            <a:ahLst/>
                            <a:cxnLst/>
                            <a:rect l="l" t="t" r="r" b="b"/>
                            <a:pathLst>
                              <a:path w="233679" h="1068705">
                                <a:moveTo>
                                  <a:pt x="233464" y="0"/>
                                </a:moveTo>
                                <a:lnTo>
                                  <a:pt x="0" y="0"/>
                                </a:lnTo>
                                <a:lnTo>
                                  <a:pt x="0" y="1068577"/>
                                </a:lnTo>
                                <a:lnTo>
                                  <a:pt x="233464" y="1068577"/>
                                </a:lnTo>
                                <a:lnTo>
                                  <a:pt x="233464" y="0"/>
                                </a:lnTo>
                                <a:close/>
                              </a:path>
                            </a:pathLst>
                          </a:custGeom>
                          <a:solidFill>
                            <a:srgbClr val="008FDD"/>
                          </a:solidFill>
                        </wps:spPr>
                        <wps:bodyPr wrap="square" lIns="0" tIns="0" rIns="0" bIns="0" rtlCol="0">
                          <a:prstTxWarp prst="textNoShape">
                            <a:avLst/>
                          </a:prstTxWarp>
                          <a:noAutofit/>
                        </wps:bodyPr>
                      </wps:wsp>
                      <wps:wsp>
                        <wps:cNvPr id="1802" name="Graphic 1802"/>
                        <wps:cNvSpPr/>
                        <wps:spPr>
                          <a:xfrm>
                            <a:off x="453504" y="1389098"/>
                            <a:ext cx="767080" cy="1068705"/>
                          </a:xfrm>
                          <a:custGeom>
                            <a:avLst/>
                            <a:gdLst/>
                            <a:ahLst/>
                            <a:cxnLst/>
                            <a:rect l="l" t="t" r="r" b="b"/>
                            <a:pathLst>
                              <a:path w="767080" h="1068705">
                                <a:moveTo>
                                  <a:pt x="233464" y="0"/>
                                </a:moveTo>
                                <a:lnTo>
                                  <a:pt x="0" y="0"/>
                                </a:lnTo>
                                <a:lnTo>
                                  <a:pt x="0" y="1068565"/>
                                </a:lnTo>
                                <a:lnTo>
                                  <a:pt x="233464" y="1068565"/>
                                </a:lnTo>
                                <a:lnTo>
                                  <a:pt x="233464" y="0"/>
                                </a:lnTo>
                                <a:close/>
                              </a:path>
                              <a:path w="767080" h="1068705">
                                <a:moveTo>
                                  <a:pt x="500164" y="0"/>
                                </a:moveTo>
                                <a:lnTo>
                                  <a:pt x="266700" y="0"/>
                                </a:lnTo>
                                <a:lnTo>
                                  <a:pt x="266700" y="1068565"/>
                                </a:lnTo>
                                <a:lnTo>
                                  <a:pt x="500164" y="1068565"/>
                                </a:lnTo>
                                <a:lnTo>
                                  <a:pt x="500164" y="0"/>
                                </a:lnTo>
                                <a:close/>
                              </a:path>
                              <a:path w="767080" h="1068705">
                                <a:moveTo>
                                  <a:pt x="766864" y="0"/>
                                </a:moveTo>
                                <a:lnTo>
                                  <a:pt x="533400" y="0"/>
                                </a:lnTo>
                                <a:lnTo>
                                  <a:pt x="533400" y="1068565"/>
                                </a:lnTo>
                                <a:lnTo>
                                  <a:pt x="766864" y="1068565"/>
                                </a:lnTo>
                                <a:lnTo>
                                  <a:pt x="766864" y="0"/>
                                </a:lnTo>
                                <a:close/>
                              </a:path>
                            </a:pathLst>
                          </a:custGeom>
                          <a:solidFill>
                            <a:srgbClr val="D1D3D4"/>
                          </a:solidFill>
                        </wps:spPr>
                        <wps:bodyPr wrap="square" lIns="0" tIns="0" rIns="0" bIns="0" rtlCol="0">
                          <a:prstTxWarp prst="textNoShape">
                            <a:avLst/>
                          </a:prstTxWarp>
                          <a:noAutofit/>
                        </wps:bodyPr>
                      </wps:wsp>
                      <wps:wsp>
                        <wps:cNvPr id="1803" name="Graphic 1803"/>
                        <wps:cNvSpPr/>
                        <wps:spPr>
                          <a:xfrm>
                            <a:off x="1253604" y="1389098"/>
                            <a:ext cx="500380" cy="1068705"/>
                          </a:xfrm>
                          <a:custGeom>
                            <a:avLst/>
                            <a:gdLst/>
                            <a:ahLst/>
                            <a:cxnLst/>
                            <a:rect l="l" t="t" r="r" b="b"/>
                            <a:pathLst>
                              <a:path w="500380" h="1068705">
                                <a:moveTo>
                                  <a:pt x="233464" y="0"/>
                                </a:moveTo>
                                <a:lnTo>
                                  <a:pt x="0" y="0"/>
                                </a:lnTo>
                                <a:lnTo>
                                  <a:pt x="0" y="1068565"/>
                                </a:lnTo>
                                <a:lnTo>
                                  <a:pt x="233464" y="1068565"/>
                                </a:lnTo>
                                <a:lnTo>
                                  <a:pt x="233464" y="0"/>
                                </a:lnTo>
                                <a:close/>
                              </a:path>
                              <a:path w="500380" h="1068705">
                                <a:moveTo>
                                  <a:pt x="500164" y="0"/>
                                </a:moveTo>
                                <a:lnTo>
                                  <a:pt x="266700" y="0"/>
                                </a:lnTo>
                                <a:lnTo>
                                  <a:pt x="266700" y="1068565"/>
                                </a:lnTo>
                                <a:lnTo>
                                  <a:pt x="500164" y="1068565"/>
                                </a:lnTo>
                                <a:lnTo>
                                  <a:pt x="500164" y="0"/>
                                </a:lnTo>
                                <a:close/>
                              </a:path>
                            </a:pathLst>
                          </a:custGeom>
                          <a:solidFill>
                            <a:srgbClr val="008FDD"/>
                          </a:solidFill>
                        </wps:spPr>
                        <wps:bodyPr wrap="square" lIns="0" tIns="0" rIns="0" bIns="0" rtlCol="0">
                          <a:prstTxWarp prst="textNoShape">
                            <a:avLst/>
                          </a:prstTxWarp>
                          <a:noAutofit/>
                        </wps:bodyPr>
                      </wps:wsp>
                      <wps:wsp>
                        <wps:cNvPr id="1804" name="Graphic 1804"/>
                        <wps:cNvSpPr/>
                        <wps:spPr>
                          <a:xfrm>
                            <a:off x="1787004" y="1389086"/>
                            <a:ext cx="233679" cy="1068705"/>
                          </a:xfrm>
                          <a:custGeom>
                            <a:avLst/>
                            <a:gdLst/>
                            <a:ahLst/>
                            <a:cxnLst/>
                            <a:rect l="l" t="t" r="r" b="b"/>
                            <a:pathLst>
                              <a:path w="233679" h="1068705">
                                <a:moveTo>
                                  <a:pt x="233464" y="0"/>
                                </a:moveTo>
                                <a:lnTo>
                                  <a:pt x="0" y="0"/>
                                </a:lnTo>
                                <a:lnTo>
                                  <a:pt x="0" y="1068577"/>
                                </a:lnTo>
                                <a:lnTo>
                                  <a:pt x="233464" y="1068577"/>
                                </a:lnTo>
                                <a:lnTo>
                                  <a:pt x="233464" y="0"/>
                                </a:lnTo>
                                <a:close/>
                              </a:path>
                            </a:pathLst>
                          </a:custGeom>
                          <a:solidFill>
                            <a:srgbClr val="D1D3D4"/>
                          </a:solidFill>
                        </wps:spPr>
                        <wps:bodyPr wrap="square" lIns="0" tIns="0" rIns="0" bIns="0" rtlCol="0">
                          <a:prstTxWarp prst="textNoShape">
                            <a:avLst/>
                          </a:prstTxWarp>
                          <a:noAutofit/>
                        </wps:bodyPr>
                      </wps:wsp>
                      <wps:wsp>
                        <wps:cNvPr id="1805" name="Graphic 1805"/>
                        <wps:cNvSpPr/>
                        <wps:spPr>
                          <a:xfrm>
                            <a:off x="2053704" y="1389086"/>
                            <a:ext cx="233679" cy="1068705"/>
                          </a:xfrm>
                          <a:custGeom>
                            <a:avLst/>
                            <a:gdLst/>
                            <a:ahLst/>
                            <a:cxnLst/>
                            <a:rect l="l" t="t" r="r" b="b"/>
                            <a:pathLst>
                              <a:path w="233679" h="1068705">
                                <a:moveTo>
                                  <a:pt x="233464" y="0"/>
                                </a:moveTo>
                                <a:lnTo>
                                  <a:pt x="0" y="0"/>
                                </a:lnTo>
                                <a:lnTo>
                                  <a:pt x="0" y="1068577"/>
                                </a:lnTo>
                                <a:lnTo>
                                  <a:pt x="233464" y="1068577"/>
                                </a:lnTo>
                                <a:lnTo>
                                  <a:pt x="233464" y="0"/>
                                </a:lnTo>
                                <a:close/>
                              </a:path>
                            </a:pathLst>
                          </a:custGeom>
                          <a:solidFill>
                            <a:srgbClr val="008FDD"/>
                          </a:solidFill>
                        </wps:spPr>
                        <wps:bodyPr wrap="square" lIns="0" tIns="0" rIns="0" bIns="0" rtlCol="0">
                          <a:prstTxWarp prst="textNoShape">
                            <a:avLst/>
                          </a:prstTxWarp>
                          <a:noAutofit/>
                        </wps:bodyPr>
                      </wps:wsp>
                      <wps:wsp>
                        <wps:cNvPr id="1806" name="Graphic 1806"/>
                        <wps:cNvSpPr/>
                        <wps:spPr>
                          <a:xfrm>
                            <a:off x="186799" y="2496652"/>
                            <a:ext cx="1990089" cy="101600"/>
                          </a:xfrm>
                          <a:custGeom>
                            <a:avLst/>
                            <a:gdLst/>
                            <a:ahLst/>
                            <a:cxnLst/>
                            <a:rect l="l" t="t" r="r" b="b"/>
                            <a:pathLst>
                              <a:path w="1990089" h="101600">
                                <a:moveTo>
                                  <a:pt x="1989861" y="0"/>
                                </a:moveTo>
                                <a:lnTo>
                                  <a:pt x="1988541" y="45342"/>
                                </a:lnTo>
                                <a:lnTo>
                                  <a:pt x="1980399" y="76993"/>
                                </a:lnTo>
                                <a:lnTo>
                                  <a:pt x="1959161" y="95547"/>
                                </a:lnTo>
                                <a:lnTo>
                                  <a:pt x="1918550" y="101600"/>
                                </a:lnTo>
                                <a:lnTo>
                                  <a:pt x="71310" y="101600"/>
                                </a:lnTo>
                                <a:lnTo>
                                  <a:pt x="30700" y="95547"/>
                                </a:lnTo>
                                <a:lnTo>
                                  <a:pt x="9461" y="76993"/>
                                </a:lnTo>
                                <a:lnTo>
                                  <a:pt x="1319" y="45342"/>
                                </a:ln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07" name="Graphic 1807"/>
                        <wps:cNvSpPr/>
                        <wps:spPr>
                          <a:xfrm>
                            <a:off x="2213397" y="2496652"/>
                            <a:ext cx="447675" cy="101600"/>
                          </a:xfrm>
                          <a:custGeom>
                            <a:avLst/>
                            <a:gdLst/>
                            <a:ahLst/>
                            <a:cxnLst/>
                            <a:rect l="l" t="t" r="r" b="b"/>
                            <a:pathLst>
                              <a:path w="447675" h="101600">
                                <a:moveTo>
                                  <a:pt x="447459" y="0"/>
                                </a:moveTo>
                                <a:lnTo>
                                  <a:pt x="446139" y="45342"/>
                                </a:lnTo>
                                <a:lnTo>
                                  <a:pt x="437997" y="76993"/>
                                </a:lnTo>
                                <a:lnTo>
                                  <a:pt x="416758" y="95547"/>
                                </a:lnTo>
                                <a:lnTo>
                                  <a:pt x="376148" y="101600"/>
                                </a:lnTo>
                                <a:lnTo>
                                  <a:pt x="71310" y="101600"/>
                                </a:lnTo>
                                <a:lnTo>
                                  <a:pt x="30700" y="95547"/>
                                </a:lnTo>
                                <a:lnTo>
                                  <a:pt x="9461" y="76993"/>
                                </a:lnTo>
                                <a:lnTo>
                                  <a:pt x="1319" y="45342"/>
                                </a:ln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08" name="Textbox 1808"/>
                        <wps:cNvSpPr txBox="1"/>
                        <wps:spPr>
                          <a:xfrm>
                            <a:off x="76380" y="66855"/>
                            <a:ext cx="4721860" cy="751205"/>
                          </a:xfrm>
                          <a:prstGeom prst="rect">
                            <a:avLst/>
                          </a:prstGeom>
                        </wps:spPr>
                        <wps:txbx>
                          <w:txbxContent>
                            <w:p>
                              <w:pPr>
                                <w:spacing w:before="3"/>
                                <w:ind w:left="0" w:right="0" w:firstLine="0"/>
                                <w:jc w:val="left"/>
                                <w:rPr>
                                  <w:rFonts w:ascii="Arial"/>
                                  <w:b/>
                                  <w:sz w:val="16"/>
                                </w:rPr>
                              </w:pPr>
                              <w:r>
                                <w:rPr>
                                  <w:rFonts w:ascii="Arial"/>
                                  <w:color w:val="FFFFFF"/>
                                  <w:spacing w:val="-2"/>
                                  <w:sz w:val="16"/>
                                </w:rPr>
                                <w:t>Figure</w:t>
                              </w:r>
                              <w:r>
                                <w:rPr>
                                  <w:rFonts w:ascii="Arial"/>
                                  <w:color w:val="FFFFFF"/>
                                  <w:spacing w:val="-5"/>
                                  <w:sz w:val="16"/>
                                </w:rPr>
                                <w:t> </w:t>
                              </w:r>
                              <w:r>
                                <w:rPr>
                                  <w:rFonts w:ascii="Arial"/>
                                  <w:b/>
                                  <w:color w:val="FFFFFF"/>
                                  <w:spacing w:val="-2"/>
                                  <w:sz w:val="16"/>
                                </w:rPr>
                                <w:t>A4.4</w:t>
                              </w:r>
                              <w:r>
                                <w:rPr>
                                  <w:rFonts w:ascii="Arial"/>
                                  <w:b/>
                                  <w:color w:val="FFFFFF"/>
                                  <w:spacing w:val="67"/>
                                  <w:sz w:val="16"/>
                                </w:rPr>
                                <w:t> </w:t>
                              </w:r>
                              <w:r>
                                <w:rPr>
                                  <w:rFonts w:ascii="Arial"/>
                                  <w:b/>
                                  <w:color w:val="FFFFFF"/>
                                  <w:spacing w:val="-2"/>
                                  <w:sz w:val="16"/>
                                </w:rPr>
                                <w:t>TradeLens</w:t>
                              </w:r>
                              <w:r>
                                <w:rPr>
                                  <w:rFonts w:ascii="Arial"/>
                                  <w:b/>
                                  <w:color w:val="FFFFFF"/>
                                  <w:spacing w:val="-4"/>
                                  <w:sz w:val="16"/>
                                </w:rPr>
                                <w:t> </w:t>
                              </w:r>
                              <w:r>
                                <w:rPr>
                                  <w:rFonts w:ascii="Arial"/>
                                  <w:b/>
                                  <w:color w:val="FFFFFF"/>
                                  <w:spacing w:val="-2"/>
                                  <w:sz w:val="16"/>
                                </w:rPr>
                                <w:t>data</w:t>
                              </w:r>
                              <w:r>
                                <w:rPr>
                                  <w:rFonts w:ascii="Arial"/>
                                  <w:b/>
                                  <w:color w:val="FFFFFF"/>
                                  <w:spacing w:val="-5"/>
                                  <w:sz w:val="16"/>
                                </w:rPr>
                                <w:t> </w:t>
                              </w:r>
                              <w:r>
                                <w:rPr>
                                  <w:rFonts w:ascii="Arial"/>
                                  <w:b/>
                                  <w:color w:val="FFFFFF"/>
                                  <w:spacing w:val="-2"/>
                                  <w:sz w:val="16"/>
                                </w:rPr>
                                <w:t>model</w:t>
                              </w:r>
                            </w:p>
                            <w:p>
                              <w:pPr>
                                <w:spacing w:line="240" w:lineRule="auto" w:before="97"/>
                                <w:rPr>
                                  <w:rFonts w:ascii="Arial"/>
                                  <w:b/>
                                  <w:sz w:val="16"/>
                                </w:rPr>
                              </w:pPr>
                            </w:p>
                            <w:p>
                              <w:pPr>
                                <w:tabs>
                                  <w:tab w:pos="6877" w:val="left" w:leader="none"/>
                                </w:tabs>
                                <w:spacing w:before="1"/>
                                <w:ind w:left="5960" w:right="0" w:firstLine="0"/>
                                <w:jc w:val="left"/>
                                <w:rPr>
                                  <w:rFonts w:ascii="Arial"/>
                                  <w:sz w:val="12"/>
                                </w:rPr>
                              </w:pPr>
                              <w:r>
                                <w:rPr>
                                  <w:rFonts w:ascii="Arial"/>
                                  <w:color w:val="231F20"/>
                                  <w:w w:val="75"/>
                                  <w:sz w:val="12"/>
                                </w:rPr>
                                <w:t>Events</w:t>
                              </w:r>
                              <w:r>
                                <w:rPr>
                                  <w:rFonts w:ascii="Arial"/>
                                  <w:color w:val="231F20"/>
                                  <w:spacing w:val="-5"/>
                                  <w:sz w:val="12"/>
                                </w:rPr>
                                <w:t> </w:t>
                              </w:r>
                              <w:r>
                                <w:rPr>
                                  <w:rFonts w:ascii="Arial"/>
                                  <w:color w:val="231F20"/>
                                  <w:spacing w:val="-2"/>
                                  <w:w w:val="85"/>
                                  <w:sz w:val="12"/>
                                </w:rPr>
                                <w:t>available</w:t>
                              </w:r>
                              <w:r>
                                <w:rPr>
                                  <w:rFonts w:ascii="Arial"/>
                                  <w:color w:val="231F20"/>
                                  <w:sz w:val="12"/>
                                </w:rPr>
                                <w:tab/>
                              </w:r>
                              <w:r>
                                <w:rPr>
                                  <w:rFonts w:ascii="Arial"/>
                                  <w:color w:val="231F20"/>
                                  <w:w w:val="75"/>
                                  <w:sz w:val="12"/>
                                </w:rPr>
                                <w:t>Other</w:t>
                              </w:r>
                              <w:r>
                                <w:rPr>
                                  <w:rFonts w:ascii="Arial"/>
                                  <w:color w:val="231F20"/>
                                  <w:spacing w:val="1"/>
                                  <w:sz w:val="12"/>
                                </w:rPr>
                                <w:t> </w:t>
                              </w:r>
                              <w:r>
                                <w:rPr>
                                  <w:rFonts w:ascii="Arial"/>
                                  <w:color w:val="231F20"/>
                                  <w:spacing w:val="-2"/>
                                  <w:w w:val="80"/>
                                  <w:sz w:val="12"/>
                                </w:rPr>
                                <w:t>events</w:t>
                              </w:r>
                            </w:p>
                            <w:p>
                              <w:pPr>
                                <w:spacing w:line="240" w:lineRule="auto" w:before="74"/>
                                <w:rPr>
                                  <w:rFonts w:ascii="Arial"/>
                                  <w:sz w:val="12"/>
                                </w:rPr>
                              </w:pPr>
                            </w:p>
                            <w:p>
                              <w:pPr>
                                <w:tabs>
                                  <w:tab w:pos="1352" w:val="left" w:leader="none"/>
                                  <w:tab w:pos="1527" w:val="left" w:leader="none"/>
                                  <w:tab w:pos="2169" w:val="left" w:leader="none"/>
                                  <w:tab w:pos="2932" w:val="left" w:leader="none"/>
                                  <w:tab w:pos="3551" w:val="left" w:leader="none"/>
                                  <w:tab w:pos="4196" w:val="left" w:leader="none"/>
                                  <w:tab w:pos="4298" w:val="left" w:leader="none"/>
                                  <w:tab w:pos="4850" w:val="left" w:leader="none"/>
                                  <w:tab w:pos="5489" w:val="left" w:leader="none"/>
                                  <w:tab w:pos="5630" w:val="left" w:leader="none"/>
                                  <w:tab w:pos="6089" w:val="left" w:leader="none"/>
                                  <w:tab w:pos="6264" w:val="left" w:leader="none"/>
                                  <w:tab w:pos="6880" w:val="left" w:leader="none"/>
                                </w:tabs>
                                <w:spacing w:line="208" w:lineRule="auto" w:before="0"/>
                                <w:ind w:left="879" w:right="138" w:hanging="735"/>
                                <w:jc w:val="left"/>
                                <w:rPr>
                                  <w:rFonts w:ascii="Arial"/>
                                  <w:sz w:val="12"/>
                                </w:rPr>
                              </w:pPr>
                              <w:r>
                                <w:rPr>
                                  <w:rFonts w:ascii="Arial"/>
                                  <w:color w:val="6D6E71"/>
                                  <w:w w:val="90"/>
                                  <w:sz w:val="12"/>
                                </w:rPr>
                                <w:t>BCO/NVO</w:t>
                              </w:r>
                              <w:r>
                                <w:rPr>
                                  <w:rFonts w:ascii="Arial"/>
                                  <w:color w:val="6D6E71"/>
                                  <w:spacing w:val="80"/>
                                  <w:w w:val="150"/>
                                  <w:sz w:val="12"/>
                                </w:rPr>
                                <w:t> </w:t>
                              </w:r>
                              <w:r>
                                <w:rPr>
                                  <w:rFonts w:ascii="Arial"/>
                                  <w:color w:val="6D6E71"/>
                                  <w:w w:val="90"/>
                                  <w:sz w:val="12"/>
                                </w:rPr>
                                <w:t>FFW/CHB/</w:t>
                              </w:r>
                              <w:r>
                                <w:rPr>
                                  <w:rFonts w:ascii="Arial"/>
                                  <w:color w:val="6D6E71"/>
                                  <w:sz w:val="12"/>
                                </w:rPr>
                                <w:tab/>
                                <w:tab/>
                              </w:r>
                              <w:r>
                                <w:rPr>
                                  <w:rFonts w:ascii="Arial"/>
                                  <w:color w:val="6D6E71"/>
                                  <w:spacing w:val="-2"/>
                                  <w:w w:val="90"/>
                                  <w:sz w:val="12"/>
                                </w:rPr>
                                <w:t>Inland</w:t>
                              </w:r>
                              <w:r>
                                <w:rPr>
                                  <w:rFonts w:ascii="Arial"/>
                                  <w:color w:val="6D6E71"/>
                                  <w:sz w:val="12"/>
                                </w:rPr>
                                <w:tab/>
                              </w:r>
                              <w:r>
                                <w:rPr>
                                  <w:rFonts w:ascii="Arial"/>
                                  <w:color w:val="6D6E71"/>
                                  <w:spacing w:val="-2"/>
                                  <w:w w:val="90"/>
                                  <w:sz w:val="12"/>
                                </w:rPr>
                                <w:t>Customs/</w:t>
                              </w:r>
                              <w:r>
                                <w:rPr>
                                  <w:rFonts w:ascii="Arial"/>
                                  <w:color w:val="6D6E71"/>
                                  <w:sz w:val="12"/>
                                </w:rPr>
                                <w:tab/>
                              </w:r>
                              <w:r>
                                <w:rPr>
                                  <w:rFonts w:ascii="Arial"/>
                                  <w:color w:val="6D6E71"/>
                                  <w:spacing w:val="-2"/>
                                  <w:w w:val="90"/>
                                  <w:sz w:val="12"/>
                                </w:rPr>
                                <w:t>Port/</w:t>
                              </w:r>
                              <w:r>
                                <w:rPr>
                                  <w:rFonts w:ascii="Arial"/>
                                  <w:color w:val="6D6E71"/>
                                  <w:sz w:val="12"/>
                                </w:rPr>
                                <w:tab/>
                              </w:r>
                              <w:r>
                                <w:rPr>
                                  <w:rFonts w:ascii="Arial"/>
                                  <w:color w:val="6D6E71"/>
                                  <w:spacing w:val="-9"/>
                                  <w:sz w:val="12"/>
                                </w:rPr>
                                <w:t> </w:t>
                              </w:r>
                              <w:r>
                                <w:rPr>
                                  <w:rFonts w:ascii="Arial"/>
                                  <w:color w:val="6D6E71"/>
                                  <w:w w:val="90"/>
                                  <w:sz w:val="12"/>
                                </w:rPr>
                                <w:t>Ocean</w:t>
                              </w:r>
                              <w:r>
                                <w:rPr>
                                  <w:rFonts w:ascii="Arial"/>
                                  <w:color w:val="6D6E71"/>
                                  <w:sz w:val="12"/>
                                </w:rPr>
                                <w:tab/>
                                <w:tab/>
                              </w:r>
                              <w:r>
                                <w:rPr>
                                  <w:rFonts w:ascii="Arial"/>
                                  <w:color w:val="6D6E71"/>
                                  <w:spacing w:val="-2"/>
                                  <w:w w:val="90"/>
                                  <w:sz w:val="12"/>
                                </w:rPr>
                                <w:t>Port/</w:t>
                              </w:r>
                              <w:r>
                                <w:rPr>
                                  <w:rFonts w:ascii="Arial"/>
                                  <w:color w:val="6D6E71"/>
                                  <w:sz w:val="12"/>
                                </w:rPr>
                                <w:tab/>
                              </w:r>
                              <w:r>
                                <w:rPr>
                                  <w:rFonts w:ascii="Arial"/>
                                  <w:color w:val="6D6E71"/>
                                  <w:spacing w:val="-2"/>
                                  <w:w w:val="90"/>
                                  <w:sz w:val="12"/>
                                </w:rPr>
                                <w:t>Customs/</w:t>
                              </w:r>
                              <w:r>
                                <w:rPr>
                                  <w:rFonts w:ascii="Arial"/>
                                  <w:color w:val="6D6E71"/>
                                  <w:sz w:val="12"/>
                                </w:rPr>
                                <w:tab/>
                              </w:r>
                              <w:r>
                                <w:rPr>
                                  <w:rFonts w:ascii="Arial"/>
                                  <w:color w:val="6D6E71"/>
                                  <w:spacing w:val="-2"/>
                                  <w:w w:val="90"/>
                                  <w:sz w:val="12"/>
                                </w:rPr>
                                <w:t>FFW/CHB/</w:t>
                              </w:r>
                              <w:r>
                                <w:rPr>
                                  <w:rFonts w:ascii="Arial"/>
                                  <w:color w:val="6D6E71"/>
                                  <w:sz w:val="12"/>
                                </w:rPr>
                                <w:tab/>
                                <w:tab/>
                              </w:r>
                              <w:r>
                                <w:rPr>
                                  <w:rFonts w:ascii="Arial"/>
                                  <w:color w:val="6D6E71"/>
                                  <w:spacing w:val="-2"/>
                                  <w:w w:val="90"/>
                                  <w:sz w:val="12"/>
                                </w:rPr>
                                <w:t>Inland</w:t>
                              </w:r>
                              <w:r>
                                <w:rPr>
                                  <w:rFonts w:ascii="Arial"/>
                                  <w:color w:val="6D6E71"/>
                                  <w:sz w:val="12"/>
                                </w:rPr>
                                <w:tab/>
                              </w:r>
                              <w:r>
                                <w:rPr>
                                  <w:rFonts w:ascii="Arial"/>
                                  <w:color w:val="6D6E71"/>
                                  <w:spacing w:val="-2"/>
                                  <w:w w:val="75"/>
                                  <w:sz w:val="12"/>
                                </w:rPr>
                                <w:t>BCO/NVO</w:t>
                              </w:r>
                              <w:r>
                                <w:rPr>
                                  <w:rFonts w:ascii="Arial"/>
                                  <w:color w:val="6D6E71"/>
                                  <w:spacing w:val="40"/>
                                  <w:sz w:val="12"/>
                                </w:rPr>
                                <w:t> </w:t>
                              </w:r>
                              <w:r>
                                <w:rPr>
                                  <w:rFonts w:ascii="Arial"/>
                                  <w:color w:val="6D6E71"/>
                                  <w:spacing w:val="-4"/>
                                  <w:w w:val="90"/>
                                  <w:sz w:val="12"/>
                                </w:rPr>
                                <w:t>3PL</w:t>
                              </w:r>
                              <w:r>
                                <w:rPr>
                                  <w:rFonts w:ascii="Arial"/>
                                  <w:color w:val="6D6E71"/>
                                  <w:sz w:val="12"/>
                                </w:rPr>
                                <w:tab/>
                              </w:r>
                              <w:r>
                                <w:rPr>
                                  <w:rFonts w:ascii="Arial"/>
                                  <w:color w:val="6D6E71"/>
                                  <w:w w:val="90"/>
                                  <w:sz w:val="12"/>
                                </w:rPr>
                                <w:t>transportation</w:t>
                              </w:r>
                              <w:r>
                                <w:rPr>
                                  <w:rFonts w:ascii="Arial"/>
                                  <w:color w:val="6D6E71"/>
                                  <w:spacing w:val="80"/>
                                  <w:sz w:val="12"/>
                                </w:rPr>
                                <w:t> </w:t>
                              </w:r>
                              <w:r>
                                <w:rPr>
                                  <w:rFonts w:ascii="Arial"/>
                                  <w:color w:val="6D6E71"/>
                                  <w:w w:val="90"/>
                                  <w:sz w:val="12"/>
                                </w:rPr>
                                <w:t>government</w:t>
                              </w:r>
                              <w:r>
                                <w:rPr>
                                  <w:rFonts w:ascii="Arial"/>
                                  <w:color w:val="6D6E71"/>
                                  <w:spacing w:val="80"/>
                                  <w:w w:val="150"/>
                                  <w:sz w:val="12"/>
                                </w:rPr>
                                <w:t> </w:t>
                              </w:r>
                              <w:r>
                                <w:rPr>
                                  <w:rFonts w:ascii="Arial"/>
                                  <w:color w:val="6D6E71"/>
                                  <w:w w:val="90"/>
                                  <w:sz w:val="12"/>
                                </w:rPr>
                                <w:t>terminals</w:t>
                              </w:r>
                              <w:r>
                                <w:rPr>
                                  <w:rFonts w:ascii="Arial"/>
                                  <w:color w:val="6D6E71"/>
                                  <w:sz w:val="12"/>
                                </w:rPr>
                                <w:tab/>
                              </w:r>
                              <w:r>
                                <w:rPr>
                                  <w:rFonts w:ascii="Arial"/>
                                  <w:color w:val="6D6E71"/>
                                  <w:spacing w:val="-2"/>
                                  <w:w w:val="90"/>
                                  <w:sz w:val="12"/>
                                </w:rPr>
                                <w:t>carriers</w:t>
                              </w:r>
                              <w:r>
                                <w:rPr>
                                  <w:rFonts w:ascii="Arial"/>
                                  <w:color w:val="6D6E71"/>
                                  <w:sz w:val="12"/>
                                </w:rPr>
                                <w:tab/>
                              </w:r>
                              <w:r>
                                <w:rPr>
                                  <w:rFonts w:ascii="Arial"/>
                                  <w:color w:val="6D6E71"/>
                                  <w:w w:val="90"/>
                                  <w:sz w:val="12"/>
                                </w:rPr>
                                <w:t>terminals</w:t>
                              </w:r>
                              <w:r>
                                <w:rPr>
                                  <w:rFonts w:ascii="Arial"/>
                                  <w:color w:val="6D6E71"/>
                                  <w:spacing w:val="80"/>
                                  <w:w w:val="150"/>
                                  <w:sz w:val="12"/>
                                </w:rPr>
                                <w:t> </w:t>
                              </w:r>
                              <w:r>
                                <w:rPr>
                                  <w:rFonts w:ascii="Arial"/>
                                  <w:color w:val="6D6E71"/>
                                  <w:w w:val="90"/>
                                  <w:sz w:val="12"/>
                                </w:rPr>
                                <w:t>government</w:t>
                              </w:r>
                              <w:r>
                                <w:rPr>
                                  <w:rFonts w:ascii="Arial"/>
                                  <w:color w:val="6D6E71"/>
                                  <w:sz w:val="12"/>
                                </w:rPr>
                                <w:tab/>
                                <w:tab/>
                              </w:r>
                              <w:r>
                                <w:rPr>
                                  <w:rFonts w:ascii="Arial"/>
                                  <w:color w:val="6D6E71"/>
                                  <w:spacing w:val="-4"/>
                                  <w:w w:val="90"/>
                                  <w:sz w:val="12"/>
                                </w:rPr>
                                <w:t>3PL</w:t>
                              </w:r>
                              <w:r>
                                <w:rPr>
                                  <w:rFonts w:ascii="Arial"/>
                                  <w:color w:val="6D6E71"/>
                                  <w:sz w:val="12"/>
                                </w:rPr>
                                <w:tab/>
                              </w:r>
                              <w:r>
                                <w:rPr>
                                  <w:rFonts w:ascii="Arial"/>
                                  <w:color w:val="6D6E71"/>
                                  <w:spacing w:val="-2"/>
                                  <w:w w:val="90"/>
                                  <w:sz w:val="12"/>
                                </w:rPr>
                                <w:t>transportation</w:t>
                              </w:r>
                            </w:p>
                            <w:p>
                              <w:pPr>
                                <w:tabs>
                                  <w:tab w:pos="4827" w:val="left" w:leader="none"/>
                                </w:tabs>
                                <w:spacing w:line="123" w:lineRule="exact" w:before="0"/>
                                <w:ind w:left="2146" w:right="0" w:firstLine="0"/>
                                <w:jc w:val="left"/>
                                <w:rPr>
                                  <w:rFonts w:ascii="Arial"/>
                                  <w:sz w:val="12"/>
                                </w:rPr>
                              </w:pPr>
                              <w:r>
                                <w:rPr>
                                  <w:rFonts w:ascii="Arial"/>
                                  <w:color w:val="6D6E71"/>
                                  <w:spacing w:val="-2"/>
                                  <w:w w:val="95"/>
                                  <w:sz w:val="12"/>
                                </w:rPr>
                                <w:t>authorities</w:t>
                              </w:r>
                              <w:r>
                                <w:rPr>
                                  <w:rFonts w:ascii="Arial"/>
                                  <w:color w:val="6D6E71"/>
                                  <w:sz w:val="12"/>
                                </w:rPr>
                                <w:tab/>
                              </w:r>
                              <w:r>
                                <w:rPr>
                                  <w:rFonts w:ascii="Arial"/>
                                  <w:color w:val="6D6E71"/>
                                  <w:spacing w:val="-2"/>
                                  <w:w w:val="95"/>
                                  <w:sz w:val="12"/>
                                </w:rPr>
                                <w:t>authorities</w:t>
                              </w:r>
                            </w:p>
                          </w:txbxContent>
                        </wps:txbx>
                        <wps:bodyPr wrap="square" lIns="0" tIns="0" rIns="0" bIns="0" rtlCol="0">
                          <a:noAutofit/>
                        </wps:bodyPr>
                      </wps:wsp>
                      <wps:wsp>
                        <wps:cNvPr id="1809" name="Textbox 1809"/>
                        <wps:cNvSpPr txBox="1"/>
                        <wps:spPr>
                          <a:xfrm>
                            <a:off x="128550" y="1225396"/>
                            <a:ext cx="1363980" cy="104139"/>
                          </a:xfrm>
                          <a:prstGeom prst="rect">
                            <a:avLst/>
                          </a:prstGeom>
                        </wps:spPr>
                        <wps:txbx>
                          <w:txbxContent>
                            <w:p>
                              <w:pPr>
                                <w:spacing w:before="2"/>
                                <w:ind w:left="0" w:right="0" w:firstLine="0"/>
                                <w:jc w:val="left"/>
                                <w:rPr>
                                  <w:rFonts w:ascii="Arial"/>
                                  <w:sz w:val="14"/>
                                </w:rPr>
                              </w:pPr>
                              <w:r>
                                <w:rPr>
                                  <w:rFonts w:ascii="Arial"/>
                                  <w:color w:val="231F20"/>
                                  <w:w w:val="85"/>
                                  <w:sz w:val="14"/>
                                </w:rPr>
                                <w:t>Shipping</w:t>
                              </w:r>
                              <w:r>
                                <w:rPr>
                                  <w:rFonts w:ascii="Arial"/>
                                  <w:color w:val="231F20"/>
                                  <w:spacing w:val="2"/>
                                  <w:sz w:val="14"/>
                                </w:rPr>
                                <w:t> </w:t>
                              </w:r>
                              <w:r>
                                <w:rPr>
                                  <w:rFonts w:ascii="Arial"/>
                                  <w:color w:val="231F20"/>
                                  <w:w w:val="85"/>
                                  <w:sz w:val="14"/>
                                </w:rPr>
                                <w:t>milestones</w:t>
                              </w:r>
                              <w:r>
                                <w:rPr>
                                  <w:rFonts w:ascii="Arial"/>
                                  <w:color w:val="231F20"/>
                                  <w:spacing w:val="3"/>
                                  <w:sz w:val="14"/>
                                </w:rPr>
                                <w:t> </w:t>
                              </w:r>
                              <w:r>
                                <w:rPr>
                                  <w:rFonts w:ascii="Arial"/>
                                  <w:color w:val="231F20"/>
                                  <w:w w:val="85"/>
                                  <w:sz w:val="14"/>
                                </w:rPr>
                                <w:t>and</w:t>
                              </w:r>
                              <w:r>
                                <w:rPr>
                                  <w:rFonts w:ascii="Arial"/>
                                  <w:color w:val="231F20"/>
                                  <w:spacing w:val="3"/>
                                  <w:sz w:val="14"/>
                                </w:rPr>
                                <w:t> </w:t>
                              </w:r>
                              <w:r>
                                <w:rPr>
                                  <w:rFonts w:ascii="Arial"/>
                                  <w:color w:val="231F20"/>
                                  <w:w w:val="85"/>
                                  <w:sz w:val="14"/>
                                </w:rPr>
                                <w:t>shipment</w:t>
                              </w:r>
                              <w:r>
                                <w:rPr>
                                  <w:rFonts w:ascii="Arial"/>
                                  <w:color w:val="231F20"/>
                                  <w:spacing w:val="3"/>
                                  <w:sz w:val="14"/>
                                </w:rPr>
                                <w:t> </w:t>
                              </w:r>
                              <w:r>
                                <w:rPr>
                                  <w:rFonts w:ascii="Arial"/>
                                  <w:color w:val="231F20"/>
                                  <w:spacing w:val="-4"/>
                                  <w:w w:val="85"/>
                                  <w:sz w:val="14"/>
                                </w:rPr>
                                <w:t>data</w:t>
                              </w:r>
                            </w:p>
                          </w:txbxContent>
                        </wps:txbx>
                        <wps:bodyPr wrap="square" lIns="0" tIns="0" rIns="0" bIns="0" rtlCol="0">
                          <a:noAutofit/>
                        </wps:bodyPr>
                      </wps:wsp>
                      <wps:wsp>
                        <wps:cNvPr id="1810" name="Textbox 1810"/>
                        <wps:cNvSpPr txBox="1"/>
                        <wps:spPr>
                          <a:xfrm>
                            <a:off x="1054409" y="2624364"/>
                            <a:ext cx="378460" cy="87630"/>
                          </a:xfrm>
                          <a:prstGeom prst="rect">
                            <a:avLst/>
                          </a:prstGeom>
                        </wps:spPr>
                        <wps:txbx>
                          <w:txbxContent>
                            <w:p>
                              <w:pPr>
                                <w:spacing w:line="137" w:lineRule="exact" w:before="0"/>
                                <w:ind w:left="0" w:right="0" w:firstLine="0"/>
                                <w:jc w:val="left"/>
                                <w:rPr>
                                  <w:rFonts w:ascii="Arial"/>
                                  <w:sz w:val="12"/>
                                </w:rPr>
                              </w:pPr>
                              <w:r>
                                <w:rPr>
                                  <w:rFonts w:ascii="Arial"/>
                                  <w:color w:val="231F20"/>
                                  <w:w w:val="80"/>
                                  <w:sz w:val="12"/>
                                </w:rPr>
                                <w:t>Export</w:t>
                              </w:r>
                              <w:r>
                                <w:rPr>
                                  <w:rFonts w:ascii="Arial"/>
                                  <w:color w:val="231F20"/>
                                  <w:spacing w:val="-5"/>
                                  <w:sz w:val="12"/>
                                </w:rPr>
                                <w:t> </w:t>
                              </w:r>
                              <w:r>
                                <w:rPr>
                                  <w:rFonts w:ascii="Arial"/>
                                  <w:color w:val="231F20"/>
                                  <w:spacing w:val="-2"/>
                                  <w:w w:val="85"/>
                                  <w:sz w:val="12"/>
                                </w:rPr>
                                <w:t>phase</w:t>
                              </w:r>
                            </w:p>
                          </w:txbxContent>
                        </wps:txbx>
                        <wps:bodyPr wrap="square" lIns="0" tIns="0" rIns="0" bIns="0" rtlCol="0">
                          <a:noAutofit/>
                        </wps:bodyPr>
                      </wps:wsp>
                      <wps:wsp>
                        <wps:cNvPr id="1811" name="Textbox 1811"/>
                        <wps:cNvSpPr txBox="1"/>
                        <wps:spPr>
                          <a:xfrm>
                            <a:off x="2230480" y="2624364"/>
                            <a:ext cx="426084" cy="176530"/>
                          </a:xfrm>
                          <a:prstGeom prst="rect">
                            <a:avLst/>
                          </a:prstGeom>
                        </wps:spPr>
                        <wps:txbx>
                          <w:txbxContent>
                            <w:p>
                              <w:pPr>
                                <w:spacing w:line="242" w:lineRule="auto" w:before="0"/>
                                <w:ind w:left="192" w:right="18" w:hanging="193"/>
                                <w:jc w:val="left"/>
                                <w:rPr>
                                  <w:rFonts w:ascii="Arial"/>
                                  <w:sz w:val="12"/>
                                </w:rPr>
                              </w:pPr>
                              <w:r>
                                <w:rPr>
                                  <w:rFonts w:ascii="Arial"/>
                                  <w:color w:val="231F20"/>
                                  <w:spacing w:val="-2"/>
                                  <w:w w:val="80"/>
                                  <w:sz w:val="12"/>
                                </w:rPr>
                                <w:t>Transshipment</w:t>
                              </w:r>
                              <w:r>
                                <w:rPr>
                                  <w:rFonts w:ascii="Arial"/>
                                  <w:color w:val="231F20"/>
                                  <w:spacing w:val="40"/>
                                  <w:sz w:val="12"/>
                                </w:rPr>
                                <w:t> </w:t>
                              </w:r>
                              <w:r>
                                <w:rPr>
                                  <w:rFonts w:ascii="Arial"/>
                                  <w:color w:val="231F20"/>
                                  <w:spacing w:val="-2"/>
                                  <w:w w:val="90"/>
                                  <w:sz w:val="12"/>
                                </w:rPr>
                                <w:t>phase</w:t>
                              </w:r>
                            </w:p>
                          </w:txbxContent>
                        </wps:txbx>
                        <wps:bodyPr wrap="square" lIns="0" tIns="0" rIns="0" bIns="0" rtlCol="0">
                          <a:noAutofit/>
                        </wps:bodyPr>
                      </wps:wsp>
                      <wps:wsp>
                        <wps:cNvPr id="1812" name="Textbox 1812"/>
                        <wps:cNvSpPr txBox="1"/>
                        <wps:spPr>
                          <a:xfrm>
                            <a:off x="3452500" y="2624364"/>
                            <a:ext cx="382270" cy="87630"/>
                          </a:xfrm>
                          <a:prstGeom prst="rect">
                            <a:avLst/>
                          </a:prstGeom>
                        </wps:spPr>
                        <wps:txbx>
                          <w:txbxContent>
                            <w:p>
                              <w:pPr>
                                <w:spacing w:line="137" w:lineRule="exact" w:before="0"/>
                                <w:ind w:left="0" w:right="0" w:firstLine="0"/>
                                <w:jc w:val="left"/>
                                <w:rPr>
                                  <w:rFonts w:ascii="Arial"/>
                                  <w:sz w:val="12"/>
                                </w:rPr>
                              </w:pPr>
                              <w:r>
                                <w:rPr>
                                  <w:rFonts w:ascii="Arial"/>
                                  <w:color w:val="231F20"/>
                                  <w:w w:val="80"/>
                                  <w:sz w:val="12"/>
                                </w:rPr>
                                <w:t>Import</w:t>
                              </w:r>
                              <w:r>
                                <w:rPr>
                                  <w:rFonts w:ascii="Arial"/>
                                  <w:color w:val="231F20"/>
                                  <w:spacing w:val="8"/>
                                  <w:sz w:val="12"/>
                                </w:rPr>
                                <w:t> </w:t>
                              </w:r>
                              <w:r>
                                <w:rPr>
                                  <w:rFonts w:ascii="Arial"/>
                                  <w:color w:val="231F20"/>
                                  <w:spacing w:val="-2"/>
                                  <w:w w:val="85"/>
                                  <w:sz w:val="12"/>
                                </w:rPr>
                                <w:t>phase</w:t>
                              </w:r>
                            </w:p>
                          </w:txbxContent>
                        </wps:txbx>
                        <wps:bodyPr wrap="square" lIns="0" tIns="0" rIns="0" bIns="0" rtlCol="0">
                          <a:noAutofit/>
                        </wps:bodyPr>
                      </wps:wsp>
                      <wps:wsp>
                        <wps:cNvPr id="1813" name="Textbox 1813"/>
                        <wps:cNvSpPr txBox="1"/>
                        <wps:spPr>
                          <a:xfrm>
                            <a:off x="76386" y="2847770"/>
                            <a:ext cx="528955" cy="91440"/>
                          </a:xfrm>
                          <a:prstGeom prst="rect">
                            <a:avLst/>
                          </a:prstGeom>
                        </wps:spPr>
                        <wps:txbx>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3"/>
                                  <w:sz w:val="12"/>
                                </w:rPr>
                                <w:t> </w:t>
                              </w:r>
                              <w:r>
                                <w:rPr>
                                  <w:rFonts w:ascii="Arial"/>
                                  <w:color w:val="231F20"/>
                                  <w:spacing w:val="-2"/>
                                  <w:w w:val="80"/>
                                  <w:sz w:val="12"/>
                                </w:rPr>
                                <w:t>TradeLens.</w:t>
                              </w:r>
                            </w:p>
                          </w:txbxContent>
                        </wps:txbx>
                        <wps:bodyPr wrap="square" lIns="0" tIns="0" rIns="0" bIns="0" rtlCol="0">
                          <a:noAutofit/>
                        </wps:bodyPr>
                      </wps:wsp>
                    </wpg:wgp>
                  </a:graphicData>
                </a:graphic>
              </wp:anchor>
            </w:drawing>
          </mc:Choice>
          <mc:Fallback>
            <w:pict>
              <v:group style="position:absolute;margin-left:60pt;margin-top:-250.360687pt;width:384.05pt;height:238.75pt;mso-position-horizontal-relative:page;mso-position-vertical-relative:paragraph;z-index:-36536320" id="docshapegroup1479" coordorigin="1200,-5007" coordsize="7681,4775">
                <v:shape style="position:absolute;left:1200;top:-4601;width:7680;height:4369" id="docshape1480" coordorigin="1200,-4601" coordsize="7680,4369" path="m8880,-4601l1200,-4601,1200,-350,1210,-304,1236,-267,1274,-242,1319,-232,8756,-232,8802,-241,8842,-264,8870,-301,8880,-350,8880,-4601xe" filled="true" fillcolor="#dfeaf7" stroked="false">
                  <v:path arrowok="t"/>
                  <v:fill type="solid"/>
                </v:shape>
                <v:shape style="position:absolute;left:1200;top:-5008;width:887;height:365" id="docshape1481" coordorigin="1200,-5007" coordsize="887,365" path="m2087,-5007l1320,-5007,1274,-5002,1236,-4984,1210,-4948,1200,-4887,1200,-4642,2087,-4642,2087,-5007xe" filled="true" fillcolor="#008fdd" stroked="false">
                  <v:path arrowok="t"/>
                  <v:fill type="solid"/>
                </v:shape>
                <v:shape style="position:absolute;left:2086;top:-5008;width:6793;height:365" id="docshape1482" coordorigin="2087,-5007" coordsize="6793,365" path="m8759,-5007l2087,-5007,2087,-4642,8879,-4642,8879,-4887,8871,-4927,8846,-4966,8808,-4995,8759,-5007xe" filled="true" fillcolor="#808285" stroked="false">
                  <v:path arrowok="t"/>
                  <v:fill type="solid"/>
                </v:shape>
                <v:line style="position:absolute" from="2087,-5007" to="2087,-4628" stroked="true" strokeweight="2pt" strokecolor="#ffffff">
                  <v:stroke dashstyle="solid"/>
                </v:line>
                <v:rect style="position:absolute;left:7158;top:-4399;width:80;height:80" id="docshape1483" filled="true" fillcolor="#008fdd" stroked="false">
                  <v:fill type="solid"/>
                </v:rect>
                <v:rect style="position:absolute;left:8075;top:-4399;width:80;height:80" id="docshape1484" filled="true" fillcolor="#d1d3d4" stroked="false">
                  <v:fill type="solid"/>
                </v:rect>
                <v:shape style="position:absolute;left:4720;top:-3589;width:637;height:497" type="#_x0000_t75" id="docshape1485" stroked="false">
                  <v:imagedata r:id="rId137" o:title=""/>
                </v:shape>
                <v:shape style="position:absolute;left:1338;top:-3179;width:3385;height:84" id="docshape1486" coordorigin="1339,-3179" coordsize="3385,84" path="m1339,-3179l4724,-3179,4724,-3095e" filled="false" stroked="true" strokeweight=".75pt" strokecolor="#231f20">
                  <v:path arrowok="t"/>
                  <v:stroke dashstyle="solid"/>
                </v:shape>
                <v:shape style="position:absolute;left:5356;top:-3168;width:3386;height:84" id="docshape1487" coordorigin="5356,-3168" coordsize="3386,84" path="m8742,-3168l5356,-3168,5356,-3085e" filled="false" stroked="true" strokeweight=".75pt" strokecolor="#231f20">
                  <v:path arrowok="t"/>
                  <v:stroke dashstyle="solid"/>
                </v:shape>
                <v:shape style="position:absolute;left:4251;top:-3240;width:287;height:57" id="docshape1488" coordorigin="4251,-3240" coordsize="287,57" path="m4538,-3183l4538,-3240,4251,-3240,4251,-3183e" filled="false" stroked="true" strokeweight=".75pt" strokecolor="#231f20">
                  <v:path arrowok="t"/>
                  <v:stroke dashstyle="solid"/>
                </v:shape>
                <v:rect style="position:absolute;left:4429;top:-3573;width:35;height:334" id="docshape1489" filled="false" stroked="true" strokeweight=".75pt" strokecolor="#231f20">
                  <v:stroke dashstyle="solid"/>
                </v:rect>
                <v:shape style="position:absolute;left:4426;top:-3616;width:41;height:2" id="docshape1490" coordorigin="4426,-3616" coordsize="41,0" path="m4467,-3616l4467,-3616,4426,-3616e" filled="false" stroked="true" strokeweight=".75pt" strokecolor="#231f20">
                  <v:path arrowok="t"/>
                  <v:stroke dashstyle="solid"/>
                </v:shape>
                <v:rect style="position:absolute;left:4399;top:-3659;width:94;height:86" id="docshape1491" filled="false" stroked="true" strokeweight=".75pt" strokecolor="#231f20">
                  <v:stroke dashstyle="solid"/>
                </v:rect>
                <v:shape style="position:absolute;left:4257;top:-3629;width:61;height:53" id="docshape1492" coordorigin="4258,-3629" coordsize="61,53" path="m4258,-3629l4258,-3576,4318,-3576,4318,-3629e" filled="false" stroked="true" strokeweight=".75pt" strokecolor="#231f20">
                  <v:path arrowok="t"/>
                  <v:stroke dashstyle="solid"/>
                </v:shape>
                <v:shape style="position:absolute;left:4176;top:-3629;width:224;height:27" id="docshape1493" coordorigin="4177,-3629" coordsize="224,27" path="m4400,-3629l4177,-3629,4177,-3602,4258,-3602e" filled="false" stroked="true" strokeweight=".75pt" strokecolor="#231f20">
                  <v:path arrowok="t"/>
                  <v:stroke dashstyle="solid"/>
                </v:shape>
                <v:shape style="position:absolute;left:4493;top:-3629;width:32;height:27" id="docshape1494" coordorigin="4493,-3629" coordsize="32,27" path="m4493,-3602l4524,-3602,4524,-3629,4493,-3629e" filled="false" stroked="true" strokeweight=".75pt" strokecolor="#231f20">
                  <v:path arrowok="t"/>
                  <v:stroke dashstyle="solid"/>
                </v:shape>
                <v:shape style="position:absolute;left:4317;top:-3603;width:82;height:2" id="docshape1495" coordorigin="4318,-3602" coordsize="82,0" path="m4318,-3602l4318,-3602,4400,-3602e" filled="false" stroked="true" strokeweight=".75pt" strokecolor="#231f20">
                  <v:path arrowok="t"/>
                  <v:stroke dashstyle="solid"/>
                </v:shape>
                <v:shape style="position:absolute;left:4287;top:-3577;width:2;height:41" id="docshape1496" coordorigin="4288,-3577" coordsize="0,41" path="m4288,-3536l4288,-3536,4288,-3577e" filled="false" stroked="true" strokeweight=".75pt" strokecolor="#231f20">
                  <v:path arrowok="t"/>
                  <v:stroke dashstyle="solid"/>
                </v:shape>
                <v:rect style="position:absolute;left:4216;top:-3537;width:143;height:137" id="docshape1497" filled="false" stroked="true" strokeweight=".75pt" strokecolor="#231f20">
                  <v:stroke dashstyle="solid"/>
                </v:rect>
                <v:shape style="position:absolute;left:4320;top:-3501;width:2;height:67" id="docshape1498" coordorigin="4321,-3501" coordsize="0,67" path="m4321,-3501l4321,-3501,4321,-3434e" filled="false" stroked="true" strokeweight=".75pt" strokecolor="#231f20">
                  <v:path arrowok="t"/>
                  <v:stroke dashstyle="solid"/>
                </v:shape>
                <v:shape style="position:absolute;left:4287;top:-3501;width:2;height:67" id="docshape1499" coordorigin="4288,-3501" coordsize="0,67" path="m4288,-3501l4288,-3501,4288,-3434e" filled="false" stroked="true" strokeweight=".75pt" strokecolor="#231f20">
                  <v:path arrowok="t"/>
                  <v:stroke dashstyle="solid"/>
                </v:shape>
                <v:shape style="position:absolute;left:4255;top:-3501;width:2;height:67" id="docshape1500" coordorigin="4255,-3501" coordsize="0,67" path="m4255,-3501l4255,-3501,4255,-3434e" filled="false" stroked="true" strokeweight=".75pt" strokecolor="#231f20">
                  <v:path arrowok="t"/>
                  <v:stroke dashstyle="solid"/>
                </v:shape>
                <v:shape style="position:absolute;left:3549;top:-3666;width:302;height:495" type="#_x0000_t75" id="docshape1501" stroked="false">
                  <v:imagedata r:id="rId138" o:title=""/>
                </v:shape>
                <v:shape style="position:absolute;left:2763;top:-3273;width:474;height:56" id="docshape1502" coordorigin="2763,-3273" coordsize="474,56" path="m3237,-3273l2763,-3273,2763,-3218,2783,-3218,2786,-3228,2792,-3237,2801,-3243,2812,-3246,2828,-3246,2841,-3233,2841,-3218,2879,-3218,2882,-3228,2888,-3237,2897,-3243,2908,-3246,2919,-3243,2928,-3237,2934,-3228,2937,-3218,3121,-3218,3122,-3233,3134,-3246,3149,-3246,3160,-3243,3170,-3237,3176,-3228,3178,-3218,3237,-3218,3237,-3273xe" filled="false" stroked="true" strokeweight=".75pt" strokecolor="#231f20">
                  <v:path arrowok="t"/>
                  <v:stroke dashstyle="solid"/>
                </v:shape>
                <v:shape style="position:absolute;left:2723;top:-3486;width:521;height:306" type="#_x0000_t75" id="docshape1503" stroked="false">
                  <v:imagedata r:id="rId139" o:title=""/>
                </v:shape>
                <v:shape style="position:absolute;left:2059;top:-3620;width:450;height:449" type="#_x0000_t75" id="docshape1504" stroked="false">
                  <v:imagedata r:id="rId140" o:title=""/>
                </v:shape>
                <v:shape style="position:absolute;left:1558;top:-3267;width:53;height:87" id="docshape1505" coordorigin="1558,-3267" coordsize="53,87" path="m1558,-3180l1558,-3267,1610,-3267,1610,-3180e" filled="false" stroked="true" strokeweight=".75pt" strokecolor="#231f20">
                  <v:path arrowok="t"/>
                  <v:stroke dashstyle="solid"/>
                </v:shape>
                <v:rect style="position:absolute;left:1528;top:-3501;width:74;height:76" id="docshape1506" filled="false" stroked="true" strokeweight=".75pt" strokecolor="#231f20">
                  <v:stroke dashstyle="solid"/>
                </v:rect>
                <v:rect style="position:absolute;left:1644;top:-3501;width:74;height:76" id="docshape1507" filled="false" stroked="true" strokeweight=".75pt" strokecolor="#231f20">
                  <v:stroke dashstyle="solid"/>
                </v:rect>
                <v:rect style="position:absolute;left:1529;top:-3368;width:121;height:70" id="docshape1508" filled="false" stroked="true" strokeweight=".75pt" strokecolor="#231f20">
                  <v:stroke dashstyle="solid"/>
                </v:rect>
                <v:rect style="position:absolute;left:1528;top:-3573;width:190;height:35" id="docshape1509" filled="false" stroked="true" strokeweight=".75pt" strokecolor="#231f20">
                  <v:stroke dashstyle="solid"/>
                </v:rect>
                <v:shape style="position:absolute;left:1623;top:-3572;width:2;height:35" id="docshape1510" coordorigin="1624,-3571" coordsize="0,35" path="m1624,-3571l1624,-3571,1624,-3537e" filled="false" stroked="true" strokeweight=".75pt" strokecolor="#231f20">
                  <v:path arrowok="t"/>
                  <v:stroke dashstyle="solid"/>
                </v:shape>
                <v:rect style="position:absolute;left:1728;top:-3345;width:63;height:46" id="docshape1511" filled="false" stroked="true" strokeweight=".75pt" strokecolor="#231f20">
                  <v:stroke dashstyle="solid"/>
                </v:rect>
                <v:shape style="position:absolute;left:1728;top:-3274;width:63;height:94" id="docshape1512" coordorigin="1729,-3273" coordsize="63,94" path="m1729,-3180l1729,-3273,1791,-3273,1791,-3180e" filled="false" stroked="true" strokeweight=".75pt" strokecolor="#231f20">
                  <v:path arrowok="t"/>
                  <v:stroke dashstyle="solid"/>
                </v:shape>
                <v:shape style="position:absolute;left:1492;top:-3613;width:362;height:434" id="docshape1513" coordorigin="1492,-3612" coordsize="362,434" path="m1667,-3179l1667,-3368,1854,-3368,1854,-3179,1492,-3179,1492,-3553,1492,-3582,1492,-3612,1521,-3612,1550,-3612,1756,-3612,1756,-3368e" filled="false" stroked="true" strokeweight=".75pt" strokecolor="#231f20">
                  <v:path arrowok="t"/>
                  <v:stroke dashstyle="solid"/>
                </v:shape>
                <v:shape style="position:absolute;left:8470;top:-3257;width:53;height:88" id="docshape1514" coordorigin="8470,-3256" coordsize="53,88" path="m8522,-3169l8522,-3256,8470,-3256,8470,-3169e" filled="false" stroked="true" strokeweight=".75pt" strokecolor="#231f20">
                  <v:path arrowok="t"/>
                  <v:stroke dashstyle="solid"/>
                </v:shape>
                <v:rect style="position:absolute;left:8478;top:-3490;width:74;height:76" id="docshape1515" filled="false" stroked="true" strokeweight=".75pt" strokecolor="#231f20">
                  <v:stroke dashstyle="solid"/>
                </v:rect>
                <v:rect style="position:absolute;left:8362;top:-3490;width:74;height:76" id="docshape1516" filled="false" stroked="true" strokeweight=".75pt" strokecolor="#231f20">
                  <v:stroke dashstyle="solid"/>
                </v:rect>
                <v:rect style="position:absolute;left:8431;top:-3358;width:121;height:70" id="docshape1517" filled="false" stroked="true" strokeweight=".75pt" strokecolor="#231f20">
                  <v:stroke dashstyle="solid"/>
                </v:rect>
                <v:rect style="position:absolute;left:8362;top:-3562;width:189;height:35" id="docshape1518" filled="false" stroked="true" strokeweight=".75pt" strokecolor="#231f20">
                  <v:stroke dashstyle="solid"/>
                </v:rect>
                <v:shape style="position:absolute;left:8457;top:-3561;width:2;height:35" id="docshape1519" coordorigin="8457,-3561" coordsize="0,35" path="m8457,-3561l8457,-3561,8457,-3526e" filled="false" stroked="true" strokeweight=".75pt" strokecolor="#231f20">
                  <v:path arrowok="t"/>
                  <v:stroke dashstyle="solid"/>
                </v:shape>
                <v:rect style="position:absolute;left:8289;top:-3335;width:63;height:47" id="docshape1520" filled="false" stroked="true" strokeweight=".75pt" strokecolor="#231f20">
                  <v:stroke dashstyle="solid"/>
                </v:rect>
                <v:shape style="position:absolute;left:8289;top:-3264;width:63;height:94" id="docshape1521" coordorigin="8289,-3263" coordsize="63,94" path="m8352,-3169l8352,-3263,8289,-3263,8289,-3169e" filled="false" stroked="true" strokeweight=".75pt" strokecolor="#231f20">
                  <v:path arrowok="t"/>
                  <v:stroke dashstyle="solid"/>
                </v:shape>
                <v:shape style="position:absolute;left:8227;top:-3602;width:362;height:434" id="docshape1522" coordorigin="8227,-3602" coordsize="362,434" path="m8414,-3168l8414,-3357,8227,-3357,8227,-3168,8589,-3168,8589,-3543,8589,-3572,8589,-3602,8559,-3602,8531,-3602,8324,-3602,8324,-3357e" filled="false" stroked="true" strokeweight=".75pt" strokecolor="#231f20">
                  <v:path arrowok="t"/>
                  <v:stroke dashstyle="solid"/>
                </v:shape>
                <v:shape style="position:absolute;left:7499;top:-3263;width:474;height:56" id="docshape1523" coordorigin="7500,-3263" coordsize="474,56" path="m7974,-3263l7500,-3263,7500,-3207,7520,-3207,7523,-3218,7529,-3227,7538,-3233,7549,-3235,7560,-3233,7569,-3227,7575,-3218,7578,-3207,7616,-3207,7618,-3218,7625,-3227,7634,-3233,7645,-3235,7656,-3233,7665,-3227,7671,-3218,7674,-3207,7858,-3207,7858,-3223,7870,-3235,7886,-3235,7898,-3233,7907,-3227,7913,-3218,7915,-3207,7974,-3207,7974,-3263xe" filled="false" stroked="true" strokeweight=".75pt" strokecolor="#231f20">
                  <v:path arrowok="t"/>
                  <v:stroke dashstyle="solid"/>
                </v:shape>
                <v:shape style="position:absolute;left:7460;top:-3476;width:521;height:307" type="#_x0000_t75" id="docshape1524" stroked="false">
                  <v:imagedata r:id="rId141" o:title=""/>
                </v:shape>
                <v:shape style="position:absolute;left:7499;top:-3263;width:474;height:56" id="docshape1525" coordorigin="7500,-3263" coordsize="474,56" path="m7974,-3263l7500,-3263,7500,-3207,7520,-3207,7523,-3218,7529,-3227,7538,-3233,7549,-3235,7560,-3233,7569,-3227,7575,-3218,7578,-3207,7616,-3207,7618,-3218,7625,-3227,7634,-3233,7645,-3235,7656,-3233,7665,-3227,7671,-3218,7674,-3207,7858,-3207,7858,-3223,7870,-3235,7886,-3235,7898,-3233,7907,-3227,7913,-3218,7915,-3207,7974,-3207,7974,-3263xe" filled="false" stroked="true" strokeweight=".75pt" strokecolor="#231f20">
                  <v:path arrowok="t"/>
                  <v:stroke dashstyle="solid"/>
                </v:shape>
                <v:shape style="position:absolute;left:7460;top:-3476;width:521;height:307" type="#_x0000_t75" id="docshape1526" stroked="false">
                  <v:imagedata r:id="rId142" o:title=""/>
                </v:shape>
                <v:shape style="position:absolute;left:6809;top:-3610;width:451;height:449" type="#_x0000_t75" id="docshape1527" stroked="false">
                  <v:imagedata r:id="rId143" o:title=""/>
                </v:shape>
                <v:shape style="position:absolute;left:6229;top:-3655;width:302;height:495" type="#_x0000_t75" id="docshape1528" stroked="false">
                  <v:imagedata r:id="rId144" o:title=""/>
                </v:shape>
                <v:shape style="position:absolute;left:5542;top:-3230;width:287;height:58" id="docshape1529" coordorigin="5543,-3230" coordsize="287,58" path="m5543,-3173l5543,-3230,5829,-3230,5829,-3173e" filled="false" stroked="true" strokeweight=".75pt" strokecolor="#231f20">
                  <v:path arrowok="t"/>
                  <v:stroke dashstyle="solid"/>
                </v:shape>
                <v:rect style="position:absolute;left:5616;top:-3563;width:36;height:334" id="docshape1530" filled="false" stroked="true" strokeweight=".75pt" strokecolor="#231f20">
                  <v:stroke dashstyle="solid"/>
                </v:rect>
                <v:shape style="position:absolute;left:5613;top:-3605;width:41;height:2" id="docshape1531" coordorigin="5613,-3605" coordsize="41,0" path="m5613,-3605l5613,-3605,5654,-3605e" filled="false" stroked="true" strokeweight=".75pt" strokecolor="#231f20">
                  <v:path arrowok="t"/>
                  <v:stroke dashstyle="solid"/>
                </v:shape>
                <v:rect style="position:absolute;left:5587;top:-3648;width:93;height:86" id="docshape1532" filled="false" stroked="true" strokeweight=".75pt" strokecolor="#231f20">
                  <v:stroke dashstyle="solid"/>
                </v:rect>
                <v:shape style="position:absolute;left:5762;top:-3619;width:61;height:53" id="docshape1533" coordorigin="5763,-3618" coordsize="61,53" path="m5823,-3618l5823,-3566,5763,-3566,5763,-3618e" filled="false" stroked="true" strokeweight=".75pt" strokecolor="#231f20">
                  <v:path arrowok="t"/>
                  <v:stroke dashstyle="solid"/>
                </v:shape>
                <v:shape style="position:absolute;left:5680;top:-3619;width:224;height:27" id="docshape1534" coordorigin="5680,-3618" coordsize="224,27" path="m5680,-3618l5904,-3618,5904,-3592,5823,-3592e" filled="false" stroked="true" strokeweight=".75pt" strokecolor="#231f20">
                  <v:path arrowok="t"/>
                  <v:stroke dashstyle="solid"/>
                </v:shape>
                <v:shape style="position:absolute;left:5556;top:-3619;width:31;height:27" id="docshape1535" coordorigin="5557,-3618" coordsize="31,27" path="m5588,-3592l5557,-3592,5557,-3618,5588,-3618e" filled="false" stroked="true" strokeweight=".75pt" strokecolor="#231f20">
                  <v:path arrowok="t"/>
                  <v:stroke dashstyle="solid"/>
                </v:shape>
                <v:shape style="position:absolute;left:5680;top:-3593;width:82;height:2" id="docshape1536" coordorigin="5681,-3592" coordsize="82,0" path="m5763,-3592l5763,-3592,5681,-3592e" filled="false" stroked="true" strokeweight=".75pt" strokecolor="#231f20">
                  <v:path arrowok="t"/>
                  <v:stroke dashstyle="solid"/>
                </v:shape>
                <v:shape style="position:absolute;left:5792;top:-3567;width:2;height:41" id="docshape1537" coordorigin="5792,-3566" coordsize="0,41" path="m5792,-3526l5792,-3526,5792,-3566e" filled="false" stroked="true" strokeweight=".75pt" strokecolor="#231f20">
                  <v:path arrowok="t"/>
                  <v:stroke dashstyle="solid"/>
                </v:shape>
                <v:shape style="position:absolute;left:5721;top:-3526;width:143;height:137" id="docshape1538" coordorigin="5722,-3526" coordsize="143,137" path="m5835,-3389l5864,-3389,5864,-3419,5864,-3448,5864,-3526,5722,-3526,5722,-3389,5806,-3389,5835,-3389xe" filled="false" stroked="true" strokeweight=".75pt" strokecolor="#231f20">
                  <v:path arrowok="t"/>
                  <v:stroke dashstyle="solid"/>
                </v:shape>
                <v:shape style="position:absolute;left:5760;top:-3491;width:2;height:68" id="docshape1539" coordorigin="5760,-3491" coordsize="0,68" path="m5760,-3491l5760,-3491,5760,-3424e" filled="false" stroked="true" strokeweight=".75pt" strokecolor="#231f20">
                  <v:path arrowok="t"/>
                  <v:stroke dashstyle="solid"/>
                </v:shape>
                <v:shape style="position:absolute;left:5793;top:-3491;width:2;height:68" id="docshape1540" coordorigin="5793,-3491" coordsize="0,68" path="m5793,-3491l5793,-3491,5793,-3424e" filled="false" stroked="true" strokeweight=".75pt" strokecolor="#231f20">
                  <v:path arrowok="t"/>
                  <v:stroke dashstyle="solid"/>
                </v:shape>
                <v:shape style="position:absolute;left:5825;top:-3491;width:2;height:68" id="docshape1541" coordorigin="5825,-3491" coordsize="0,68" path="m5825,-3491l5825,-3491,5825,-3424e" filled="false" stroked="true" strokeweight=".75pt" strokecolor="#231f20">
                  <v:path arrowok="t"/>
                  <v:stroke dashstyle="solid"/>
                </v:shape>
                <v:rect style="position:absolute;left:1494;top:-2820;width:368;height:1683" id="docshape1542" filled="true" fillcolor="#008fdd" stroked="false">
                  <v:fill type="solid"/>
                </v:rect>
                <v:shape style="position:absolute;left:1914;top:-2820;width:1208;height:1683" id="docshape1543" coordorigin="1914,-2820" coordsize="1208,1683" path="m2282,-2820l1914,-2820,1914,-1137,2282,-1137,2282,-2820xm2702,-2820l2334,-2820,2334,-1137,2702,-1137,2702,-2820xm3122,-2820l2754,-2820,2754,-1137,3122,-1137,3122,-2820xe" filled="true" fillcolor="#d1d3d4" stroked="false">
                  <v:path arrowok="t"/>
                  <v:fill type="solid"/>
                </v:shape>
                <v:shape style="position:absolute;left:3174;top:-2820;width:788;height:1683" id="docshape1544" coordorigin="3174,-2820" coordsize="788,1683" path="m3542,-2820l3174,-2820,3174,-1137,3542,-1137,3542,-2820xm3962,-2820l3594,-2820,3594,-1137,3962,-1137,3962,-2820xe" filled="true" fillcolor="#008fdd" stroked="false">
                  <v:path arrowok="t"/>
                  <v:fill type="solid"/>
                </v:shape>
                <v:rect style="position:absolute;left:4014;top:-2820;width:368;height:1683" id="docshape1545" filled="true" fillcolor="#d1d3d4" stroked="false">
                  <v:fill type="solid"/>
                </v:rect>
                <v:rect style="position:absolute;left:4434;top:-2820;width:368;height:1683" id="docshape1546" filled="true" fillcolor="#008fdd" stroked="false">
                  <v:fill type="solid"/>
                </v:rect>
                <v:shape style="position:absolute;left:1494;top:-1076;width:3134;height:160" id="docshape1547" coordorigin="1494,-1075" coordsize="3134,160" path="m4628,-1075l4626,-1004,4613,-954,4579,-925,4516,-915,1606,-915,1543,-925,1509,-954,1496,-1004,1494,-1075e" filled="false" stroked="true" strokeweight=".5pt" strokecolor="#231f20">
                  <v:path arrowok="t"/>
                  <v:stroke dashstyle="solid"/>
                </v:shape>
                <v:shape style="position:absolute;left:4685;top:-1076;width:705;height:160" id="docshape1548" coordorigin="4686,-1075" coordsize="705,160" path="m5390,-1075l5388,-1004,5375,-954,5342,-925,5278,-915,4798,-915,4734,-925,4701,-954,4688,-1004,4686,-1075e" filled="false" stroked="true" strokeweight=".5pt" strokecolor="#231f20">
                  <v:path arrowok="t"/>
                  <v:stroke dashstyle="solid"/>
                </v:shape>
                <v:shape style="position:absolute;left:1320;top:-4902;width:7436;height:1183" type="#_x0000_t202" id="docshape1549" filled="false" stroked="false">
                  <v:textbox inset="0,0,0,0">
                    <w:txbxContent>
                      <w:p>
                        <w:pPr>
                          <w:spacing w:before="3"/>
                          <w:ind w:left="0" w:right="0" w:firstLine="0"/>
                          <w:jc w:val="left"/>
                          <w:rPr>
                            <w:rFonts w:ascii="Arial"/>
                            <w:b/>
                            <w:sz w:val="16"/>
                          </w:rPr>
                        </w:pPr>
                        <w:r>
                          <w:rPr>
                            <w:rFonts w:ascii="Arial"/>
                            <w:color w:val="FFFFFF"/>
                            <w:spacing w:val="-2"/>
                            <w:sz w:val="16"/>
                          </w:rPr>
                          <w:t>Figure</w:t>
                        </w:r>
                        <w:r>
                          <w:rPr>
                            <w:rFonts w:ascii="Arial"/>
                            <w:color w:val="FFFFFF"/>
                            <w:spacing w:val="-5"/>
                            <w:sz w:val="16"/>
                          </w:rPr>
                          <w:t> </w:t>
                        </w:r>
                        <w:r>
                          <w:rPr>
                            <w:rFonts w:ascii="Arial"/>
                            <w:b/>
                            <w:color w:val="FFFFFF"/>
                            <w:spacing w:val="-2"/>
                            <w:sz w:val="16"/>
                          </w:rPr>
                          <w:t>A4.4</w:t>
                        </w:r>
                        <w:r>
                          <w:rPr>
                            <w:rFonts w:ascii="Arial"/>
                            <w:b/>
                            <w:color w:val="FFFFFF"/>
                            <w:spacing w:val="67"/>
                            <w:sz w:val="16"/>
                          </w:rPr>
                          <w:t> </w:t>
                        </w:r>
                        <w:r>
                          <w:rPr>
                            <w:rFonts w:ascii="Arial"/>
                            <w:b/>
                            <w:color w:val="FFFFFF"/>
                            <w:spacing w:val="-2"/>
                            <w:sz w:val="16"/>
                          </w:rPr>
                          <w:t>TradeLens</w:t>
                        </w:r>
                        <w:r>
                          <w:rPr>
                            <w:rFonts w:ascii="Arial"/>
                            <w:b/>
                            <w:color w:val="FFFFFF"/>
                            <w:spacing w:val="-4"/>
                            <w:sz w:val="16"/>
                          </w:rPr>
                          <w:t> </w:t>
                        </w:r>
                        <w:r>
                          <w:rPr>
                            <w:rFonts w:ascii="Arial"/>
                            <w:b/>
                            <w:color w:val="FFFFFF"/>
                            <w:spacing w:val="-2"/>
                            <w:sz w:val="16"/>
                          </w:rPr>
                          <w:t>data</w:t>
                        </w:r>
                        <w:r>
                          <w:rPr>
                            <w:rFonts w:ascii="Arial"/>
                            <w:b/>
                            <w:color w:val="FFFFFF"/>
                            <w:spacing w:val="-5"/>
                            <w:sz w:val="16"/>
                          </w:rPr>
                          <w:t> </w:t>
                        </w:r>
                        <w:r>
                          <w:rPr>
                            <w:rFonts w:ascii="Arial"/>
                            <w:b/>
                            <w:color w:val="FFFFFF"/>
                            <w:spacing w:val="-2"/>
                            <w:sz w:val="16"/>
                          </w:rPr>
                          <w:t>model</w:t>
                        </w:r>
                      </w:p>
                      <w:p>
                        <w:pPr>
                          <w:spacing w:line="240" w:lineRule="auto" w:before="97"/>
                          <w:rPr>
                            <w:rFonts w:ascii="Arial"/>
                            <w:b/>
                            <w:sz w:val="16"/>
                          </w:rPr>
                        </w:pPr>
                      </w:p>
                      <w:p>
                        <w:pPr>
                          <w:tabs>
                            <w:tab w:pos="6877" w:val="left" w:leader="none"/>
                          </w:tabs>
                          <w:spacing w:before="1"/>
                          <w:ind w:left="5960" w:right="0" w:firstLine="0"/>
                          <w:jc w:val="left"/>
                          <w:rPr>
                            <w:rFonts w:ascii="Arial"/>
                            <w:sz w:val="12"/>
                          </w:rPr>
                        </w:pPr>
                        <w:r>
                          <w:rPr>
                            <w:rFonts w:ascii="Arial"/>
                            <w:color w:val="231F20"/>
                            <w:w w:val="75"/>
                            <w:sz w:val="12"/>
                          </w:rPr>
                          <w:t>Events</w:t>
                        </w:r>
                        <w:r>
                          <w:rPr>
                            <w:rFonts w:ascii="Arial"/>
                            <w:color w:val="231F20"/>
                            <w:spacing w:val="-5"/>
                            <w:sz w:val="12"/>
                          </w:rPr>
                          <w:t> </w:t>
                        </w:r>
                        <w:r>
                          <w:rPr>
                            <w:rFonts w:ascii="Arial"/>
                            <w:color w:val="231F20"/>
                            <w:spacing w:val="-2"/>
                            <w:w w:val="85"/>
                            <w:sz w:val="12"/>
                          </w:rPr>
                          <w:t>available</w:t>
                        </w:r>
                        <w:r>
                          <w:rPr>
                            <w:rFonts w:ascii="Arial"/>
                            <w:color w:val="231F20"/>
                            <w:sz w:val="12"/>
                          </w:rPr>
                          <w:tab/>
                        </w:r>
                        <w:r>
                          <w:rPr>
                            <w:rFonts w:ascii="Arial"/>
                            <w:color w:val="231F20"/>
                            <w:w w:val="75"/>
                            <w:sz w:val="12"/>
                          </w:rPr>
                          <w:t>Other</w:t>
                        </w:r>
                        <w:r>
                          <w:rPr>
                            <w:rFonts w:ascii="Arial"/>
                            <w:color w:val="231F20"/>
                            <w:spacing w:val="1"/>
                            <w:sz w:val="12"/>
                          </w:rPr>
                          <w:t> </w:t>
                        </w:r>
                        <w:r>
                          <w:rPr>
                            <w:rFonts w:ascii="Arial"/>
                            <w:color w:val="231F20"/>
                            <w:spacing w:val="-2"/>
                            <w:w w:val="80"/>
                            <w:sz w:val="12"/>
                          </w:rPr>
                          <w:t>events</w:t>
                        </w:r>
                      </w:p>
                      <w:p>
                        <w:pPr>
                          <w:spacing w:line="240" w:lineRule="auto" w:before="74"/>
                          <w:rPr>
                            <w:rFonts w:ascii="Arial"/>
                            <w:sz w:val="12"/>
                          </w:rPr>
                        </w:pPr>
                      </w:p>
                      <w:p>
                        <w:pPr>
                          <w:tabs>
                            <w:tab w:pos="1352" w:val="left" w:leader="none"/>
                            <w:tab w:pos="1527" w:val="left" w:leader="none"/>
                            <w:tab w:pos="2169" w:val="left" w:leader="none"/>
                            <w:tab w:pos="2932" w:val="left" w:leader="none"/>
                            <w:tab w:pos="3551" w:val="left" w:leader="none"/>
                            <w:tab w:pos="4196" w:val="left" w:leader="none"/>
                            <w:tab w:pos="4298" w:val="left" w:leader="none"/>
                            <w:tab w:pos="4850" w:val="left" w:leader="none"/>
                            <w:tab w:pos="5489" w:val="left" w:leader="none"/>
                            <w:tab w:pos="5630" w:val="left" w:leader="none"/>
                            <w:tab w:pos="6089" w:val="left" w:leader="none"/>
                            <w:tab w:pos="6264" w:val="left" w:leader="none"/>
                            <w:tab w:pos="6880" w:val="left" w:leader="none"/>
                          </w:tabs>
                          <w:spacing w:line="208" w:lineRule="auto" w:before="0"/>
                          <w:ind w:left="879" w:right="138" w:hanging="735"/>
                          <w:jc w:val="left"/>
                          <w:rPr>
                            <w:rFonts w:ascii="Arial"/>
                            <w:sz w:val="12"/>
                          </w:rPr>
                        </w:pPr>
                        <w:r>
                          <w:rPr>
                            <w:rFonts w:ascii="Arial"/>
                            <w:color w:val="6D6E71"/>
                            <w:w w:val="90"/>
                            <w:sz w:val="12"/>
                          </w:rPr>
                          <w:t>BCO/NVO</w:t>
                        </w:r>
                        <w:r>
                          <w:rPr>
                            <w:rFonts w:ascii="Arial"/>
                            <w:color w:val="6D6E71"/>
                            <w:spacing w:val="80"/>
                            <w:w w:val="150"/>
                            <w:sz w:val="12"/>
                          </w:rPr>
                          <w:t> </w:t>
                        </w:r>
                        <w:r>
                          <w:rPr>
                            <w:rFonts w:ascii="Arial"/>
                            <w:color w:val="6D6E71"/>
                            <w:w w:val="90"/>
                            <w:sz w:val="12"/>
                          </w:rPr>
                          <w:t>FFW/CHB/</w:t>
                        </w:r>
                        <w:r>
                          <w:rPr>
                            <w:rFonts w:ascii="Arial"/>
                            <w:color w:val="6D6E71"/>
                            <w:sz w:val="12"/>
                          </w:rPr>
                          <w:tab/>
                          <w:tab/>
                        </w:r>
                        <w:r>
                          <w:rPr>
                            <w:rFonts w:ascii="Arial"/>
                            <w:color w:val="6D6E71"/>
                            <w:spacing w:val="-2"/>
                            <w:w w:val="90"/>
                            <w:sz w:val="12"/>
                          </w:rPr>
                          <w:t>Inland</w:t>
                        </w:r>
                        <w:r>
                          <w:rPr>
                            <w:rFonts w:ascii="Arial"/>
                            <w:color w:val="6D6E71"/>
                            <w:sz w:val="12"/>
                          </w:rPr>
                          <w:tab/>
                        </w:r>
                        <w:r>
                          <w:rPr>
                            <w:rFonts w:ascii="Arial"/>
                            <w:color w:val="6D6E71"/>
                            <w:spacing w:val="-2"/>
                            <w:w w:val="90"/>
                            <w:sz w:val="12"/>
                          </w:rPr>
                          <w:t>Customs/</w:t>
                        </w:r>
                        <w:r>
                          <w:rPr>
                            <w:rFonts w:ascii="Arial"/>
                            <w:color w:val="6D6E71"/>
                            <w:sz w:val="12"/>
                          </w:rPr>
                          <w:tab/>
                        </w:r>
                        <w:r>
                          <w:rPr>
                            <w:rFonts w:ascii="Arial"/>
                            <w:color w:val="6D6E71"/>
                            <w:spacing w:val="-2"/>
                            <w:w w:val="90"/>
                            <w:sz w:val="12"/>
                          </w:rPr>
                          <w:t>Port/</w:t>
                        </w:r>
                        <w:r>
                          <w:rPr>
                            <w:rFonts w:ascii="Arial"/>
                            <w:color w:val="6D6E71"/>
                            <w:sz w:val="12"/>
                          </w:rPr>
                          <w:tab/>
                        </w:r>
                        <w:r>
                          <w:rPr>
                            <w:rFonts w:ascii="Arial"/>
                            <w:color w:val="6D6E71"/>
                            <w:spacing w:val="-9"/>
                            <w:sz w:val="12"/>
                          </w:rPr>
                          <w:t> </w:t>
                        </w:r>
                        <w:r>
                          <w:rPr>
                            <w:rFonts w:ascii="Arial"/>
                            <w:color w:val="6D6E71"/>
                            <w:w w:val="90"/>
                            <w:sz w:val="12"/>
                          </w:rPr>
                          <w:t>Ocean</w:t>
                        </w:r>
                        <w:r>
                          <w:rPr>
                            <w:rFonts w:ascii="Arial"/>
                            <w:color w:val="6D6E71"/>
                            <w:sz w:val="12"/>
                          </w:rPr>
                          <w:tab/>
                          <w:tab/>
                        </w:r>
                        <w:r>
                          <w:rPr>
                            <w:rFonts w:ascii="Arial"/>
                            <w:color w:val="6D6E71"/>
                            <w:spacing w:val="-2"/>
                            <w:w w:val="90"/>
                            <w:sz w:val="12"/>
                          </w:rPr>
                          <w:t>Port/</w:t>
                        </w:r>
                        <w:r>
                          <w:rPr>
                            <w:rFonts w:ascii="Arial"/>
                            <w:color w:val="6D6E71"/>
                            <w:sz w:val="12"/>
                          </w:rPr>
                          <w:tab/>
                        </w:r>
                        <w:r>
                          <w:rPr>
                            <w:rFonts w:ascii="Arial"/>
                            <w:color w:val="6D6E71"/>
                            <w:spacing w:val="-2"/>
                            <w:w w:val="90"/>
                            <w:sz w:val="12"/>
                          </w:rPr>
                          <w:t>Customs/</w:t>
                        </w:r>
                        <w:r>
                          <w:rPr>
                            <w:rFonts w:ascii="Arial"/>
                            <w:color w:val="6D6E71"/>
                            <w:sz w:val="12"/>
                          </w:rPr>
                          <w:tab/>
                        </w:r>
                        <w:r>
                          <w:rPr>
                            <w:rFonts w:ascii="Arial"/>
                            <w:color w:val="6D6E71"/>
                            <w:spacing w:val="-2"/>
                            <w:w w:val="90"/>
                            <w:sz w:val="12"/>
                          </w:rPr>
                          <w:t>FFW/CHB/</w:t>
                        </w:r>
                        <w:r>
                          <w:rPr>
                            <w:rFonts w:ascii="Arial"/>
                            <w:color w:val="6D6E71"/>
                            <w:sz w:val="12"/>
                          </w:rPr>
                          <w:tab/>
                          <w:tab/>
                        </w:r>
                        <w:r>
                          <w:rPr>
                            <w:rFonts w:ascii="Arial"/>
                            <w:color w:val="6D6E71"/>
                            <w:spacing w:val="-2"/>
                            <w:w w:val="90"/>
                            <w:sz w:val="12"/>
                          </w:rPr>
                          <w:t>Inland</w:t>
                        </w:r>
                        <w:r>
                          <w:rPr>
                            <w:rFonts w:ascii="Arial"/>
                            <w:color w:val="6D6E71"/>
                            <w:sz w:val="12"/>
                          </w:rPr>
                          <w:tab/>
                        </w:r>
                        <w:r>
                          <w:rPr>
                            <w:rFonts w:ascii="Arial"/>
                            <w:color w:val="6D6E71"/>
                            <w:spacing w:val="-2"/>
                            <w:w w:val="75"/>
                            <w:sz w:val="12"/>
                          </w:rPr>
                          <w:t>BCO/NVO</w:t>
                        </w:r>
                        <w:r>
                          <w:rPr>
                            <w:rFonts w:ascii="Arial"/>
                            <w:color w:val="6D6E71"/>
                            <w:spacing w:val="40"/>
                            <w:sz w:val="12"/>
                          </w:rPr>
                          <w:t> </w:t>
                        </w:r>
                        <w:r>
                          <w:rPr>
                            <w:rFonts w:ascii="Arial"/>
                            <w:color w:val="6D6E71"/>
                            <w:spacing w:val="-4"/>
                            <w:w w:val="90"/>
                            <w:sz w:val="12"/>
                          </w:rPr>
                          <w:t>3PL</w:t>
                        </w:r>
                        <w:r>
                          <w:rPr>
                            <w:rFonts w:ascii="Arial"/>
                            <w:color w:val="6D6E71"/>
                            <w:sz w:val="12"/>
                          </w:rPr>
                          <w:tab/>
                        </w:r>
                        <w:r>
                          <w:rPr>
                            <w:rFonts w:ascii="Arial"/>
                            <w:color w:val="6D6E71"/>
                            <w:w w:val="90"/>
                            <w:sz w:val="12"/>
                          </w:rPr>
                          <w:t>transportation</w:t>
                        </w:r>
                        <w:r>
                          <w:rPr>
                            <w:rFonts w:ascii="Arial"/>
                            <w:color w:val="6D6E71"/>
                            <w:spacing w:val="80"/>
                            <w:sz w:val="12"/>
                          </w:rPr>
                          <w:t> </w:t>
                        </w:r>
                        <w:r>
                          <w:rPr>
                            <w:rFonts w:ascii="Arial"/>
                            <w:color w:val="6D6E71"/>
                            <w:w w:val="90"/>
                            <w:sz w:val="12"/>
                          </w:rPr>
                          <w:t>government</w:t>
                        </w:r>
                        <w:r>
                          <w:rPr>
                            <w:rFonts w:ascii="Arial"/>
                            <w:color w:val="6D6E71"/>
                            <w:spacing w:val="80"/>
                            <w:w w:val="150"/>
                            <w:sz w:val="12"/>
                          </w:rPr>
                          <w:t> </w:t>
                        </w:r>
                        <w:r>
                          <w:rPr>
                            <w:rFonts w:ascii="Arial"/>
                            <w:color w:val="6D6E71"/>
                            <w:w w:val="90"/>
                            <w:sz w:val="12"/>
                          </w:rPr>
                          <w:t>terminals</w:t>
                        </w:r>
                        <w:r>
                          <w:rPr>
                            <w:rFonts w:ascii="Arial"/>
                            <w:color w:val="6D6E71"/>
                            <w:sz w:val="12"/>
                          </w:rPr>
                          <w:tab/>
                        </w:r>
                        <w:r>
                          <w:rPr>
                            <w:rFonts w:ascii="Arial"/>
                            <w:color w:val="6D6E71"/>
                            <w:spacing w:val="-2"/>
                            <w:w w:val="90"/>
                            <w:sz w:val="12"/>
                          </w:rPr>
                          <w:t>carriers</w:t>
                        </w:r>
                        <w:r>
                          <w:rPr>
                            <w:rFonts w:ascii="Arial"/>
                            <w:color w:val="6D6E71"/>
                            <w:sz w:val="12"/>
                          </w:rPr>
                          <w:tab/>
                        </w:r>
                        <w:r>
                          <w:rPr>
                            <w:rFonts w:ascii="Arial"/>
                            <w:color w:val="6D6E71"/>
                            <w:w w:val="90"/>
                            <w:sz w:val="12"/>
                          </w:rPr>
                          <w:t>terminals</w:t>
                        </w:r>
                        <w:r>
                          <w:rPr>
                            <w:rFonts w:ascii="Arial"/>
                            <w:color w:val="6D6E71"/>
                            <w:spacing w:val="80"/>
                            <w:w w:val="150"/>
                            <w:sz w:val="12"/>
                          </w:rPr>
                          <w:t> </w:t>
                        </w:r>
                        <w:r>
                          <w:rPr>
                            <w:rFonts w:ascii="Arial"/>
                            <w:color w:val="6D6E71"/>
                            <w:w w:val="90"/>
                            <w:sz w:val="12"/>
                          </w:rPr>
                          <w:t>government</w:t>
                        </w:r>
                        <w:r>
                          <w:rPr>
                            <w:rFonts w:ascii="Arial"/>
                            <w:color w:val="6D6E71"/>
                            <w:sz w:val="12"/>
                          </w:rPr>
                          <w:tab/>
                          <w:tab/>
                        </w:r>
                        <w:r>
                          <w:rPr>
                            <w:rFonts w:ascii="Arial"/>
                            <w:color w:val="6D6E71"/>
                            <w:spacing w:val="-4"/>
                            <w:w w:val="90"/>
                            <w:sz w:val="12"/>
                          </w:rPr>
                          <w:t>3PL</w:t>
                        </w:r>
                        <w:r>
                          <w:rPr>
                            <w:rFonts w:ascii="Arial"/>
                            <w:color w:val="6D6E71"/>
                            <w:sz w:val="12"/>
                          </w:rPr>
                          <w:tab/>
                        </w:r>
                        <w:r>
                          <w:rPr>
                            <w:rFonts w:ascii="Arial"/>
                            <w:color w:val="6D6E71"/>
                            <w:spacing w:val="-2"/>
                            <w:w w:val="90"/>
                            <w:sz w:val="12"/>
                          </w:rPr>
                          <w:t>transportation</w:t>
                        </w:r>
                      </w:p>
                      <w:p>
                        <w:pPr>
                          <w:tabs>
                            <w:tab w:pos="4827" w:val="left" w:leader="none"/>
                          </w:tabs>
                          <w:spacing w:line="123" w:lineRule="exact" w:before="0"/>
                          <w:ind w:left="2146" w:right="0" w:firstLine="0"/>
                          <w:jc w:val="left"/>
                          <w:rPr>
                            <w:rFonts w:ascii="Arial"/>
                            <w:sz w:val="12"/>
                          </w:rPr>
                        </w:pPr>
                        <w:r>
                          <w:rPr>
                            <w:rFonts w:ascii="Arial"/>
                            <w:color w:val="6D6E71"/>
                            <w:spacing w:val="-2"/>
                            <w:w w:val="95"/>
                            <w:sz w:val="12"/>
                          </w:rPr>
                          <w:t>authorities</w:t>
                        </w:r>
                        <w:r>
                          <w:rPr>
                            <w:rFonts w:ascii="Arial"/>
                            <w:color w:val="6D6E71"/>
                            <w:sz w:val="12"/>
                          </w:rPr>
                          <w:tab/>
                        </w:r>
                        <w:r>
                          <w:rPr>
                            <w:rFonts w:ascii="Arial"/>
                            <w:color w:val="6D6E71"/>
                            <w:spacing w:val="-2"/>
                            <w:w w:val="95"/>
                            <w:sz w:val="12"/>
                          </w:rPr>
                          <w:t>authorities</w:t>
                        </w:r>
                      </w:p>
                    </w:txbxContent>
                  </v:textbox>
                  <w10:wrap type="none"/>
                </v:shape>
                <v:shape style="position:absolute;left:1402;top:-3078;width:2148;height:164" type="#_x0000_t202" id="docshape1550" filled="false" stroked="false">
                  <v:textbox inset="0,0,0,0">
                    <w:txbxContent>
                      <w:p>
                        <w:pPr>
                          <w:spacing w:before="2"/>
                          <w:ind w:left="0" w:right="0" w:firstLine="0"/>
                          <w:jc w:val="left"/>
                          <w:rPr>
                            <w:rFonts w:ascii="Arial"/>
                            <w:sz w:val="14"/>
                          </w:rPr>
                        </w:pPr>
                        <w:r>
                          <w:rPr>
                            <w:rFonts w:ascii="Arial"/>
                            <w:color w:val="231F20"/>
                            <w:w w:val="85"/>
                            <w:sz w:val="14"/>
                          </w:rPr>
                          <w:t>Shipping</w:t>
                        </w:r>
                        <w:r>
                          <w:rPr>
                            <w:rFonts w:ascii="Arial"/>
                            <w:color w:val="231F20"/>
                            <w:spacing w:val="2"/>
                            <w:sz w:val="14"/>
                          </w:rPr>
                          <w:t> </w:t>
                        </w:r>
                        <w:r>
                          <w:rPr>
                            <w:rFonts w:ascii="Arial"/>
                            <w:color w:val="231F20"/>
                            <w:w w:val="85"/>
                            <w:sz w:val="14"/>
                          </w:rPr>
                          <w:t>milestones</w:t>
                        </w:r>
                        <w:r>
                          <w:rPr>
                            <w:rFonts w:ascii="Arial"/>
                            <w:color w:val="231F20"/>
                            <w:spacing w:val="3"/>
                            <w:sz w:val="14"/>
                          </w:rPr>
                          <w:t> </w:t>
                        </w:r>
                        <w:r>
                          <w:rPr>
                            <w:rFonts w:ascii="Arial"/>
                            <w:color w:val="231F20"/>
                            <w:w w:val="85"/>
                            <w:sz w:val="14"/>
                          </w:rPr>
                          <w:t>and</w:t>
                        </w:r>
                        <w:r>
                          <w:rPr>
                            <w:rFonts w:ascii="Arial"/>
                            <w:color w:val="231F20"/>
                            <w:spacing w:val="3"/>
                            <w:sz w:val="14"/>
                          </w:rPr>
                          <w:t> </w:t>
                        </w:r>
                        <w:r>
                          <w:rPr>
                            <w:rFonts w:ascii="Arial"/>
                            <w:color w:val="231F20"/>
                            <w:w w:val="85"/>
                            <w:sz w:val="14"/>
                          </w:rPr>
                          <w:t>shipment</w:t>
                        </w:r>
                        <w:r>
                          <w:rPr>
                            <w:rFonts w:ascii="Arial"/>
                            <w:color w:val="231F20"/>
                            <w:spacing w:val="3"/>
                            <w:sz w:val="14"/>
                          </w:rPr>
                          <w:t> </w:t>
                        </w:r>
                        <w:r>
                          <w:rPr>
                            <w:rFonts w:ascii="Arial"/>
                            <w:color w:val="231F20"/>
                            <w:spacing w:val="-4"/>
                            <w:w w:val="85"/>
                            <w:sz w:val="14"/>
                          </w:rPr>
                          <w:t>data</w:t>
                        </w:r>
                      </w:p>
                    </w:txbxContent>
                  </v:textbox>
                  <w10:wrap type="none"/>
                </v:shape>
                <v:shape style="position:absolute;left:2860;top:-875;width:596;height:138" type="#_x0000_t202" id="docshape1551" filled="false" stroked="false">
                  <v:textbox inset="0,0,0,0">
                    <w:txbxContent>
                      <w:p>
                        <w:pPr>
                          <w:spacing w:line="137" w:lineRule="exact" w:before="0"/>
                          <w:ind w:left="0" w:right="0" w:firstLine="0"/>
                          <w:jc w:val="left"/>
                          <w:rPr>
                            <w:rFonts w:ascii="Arial"/>
                            <w:sz w:val="12"/>
                          </w:rPr>
                        </w:pPr>
                        <w:r>
                          <w:rPr>
                            <w:rFonts w:ascii="Arial"/>
                            <w:color w:val="231F20"/>
                            <w:w w:val="80"/>
                            <w:sz w:val="12"/>
                          </w:rPr>
                          <w:t>Export</w:t>
                        </w:r>
                        <w:r>
                          <w:rPr>
                            <w:rFonts w:ascii="Arial"/>
                            <w:color w:val="231F20"/>
                            <w:spacing w:val="-5"/>
                            <w:sz w:val="12"/>
                          </w:rPr>
                          <w:t> </w:t>
                        </w:r>
                        <w:r>
                          <w:rPr>
                            <w:rFonts w:ascii="Arial"/>
                            <w:color w:val="231F20"/>
                            <w:spacing w:val="-2"/>
                            <w:w w:val="85"/>
                            <w:sz w:val="12"/>
                          </w:rPr>
                          <w:t>phase</w:t>
                        </w:r>
                      </w:p>
                    </w:txbxContent>
                  </v:textbox>
                  <w10:wrap type="none"/>
                </v:shape>
                <v:shape style="position:absolute;left:4712;top:-875;width:671;height:278" type="#_x0000_t202" id="docshape1552" filled="false" stroked="false">
                  <v:textbox inset="0,0,0,0">
                    <w:txbxContent>
                      <w:p>
                        <w:pPr>
                          <w:spacing w:line="242" w:lineRule="auto" w:before="0"/>
                          <w:ind w:left="192" w:right="18" w:hanging="193"/>
                          <w:jc w:val="left"/>
                          <w:rPr>
                            <w:rFonts w:ascii="Arial"/>
                            <w:sz w:val="12"/>
                          </w:rPr>
                        </w:pPr>
                        <w:r>
                          <w:rPr>
                            <w:rFonts w:ascii="Arial"/>
                            <w:color w:val="231F20"/>
                            <w:spacing w:val="-2"/>
                            <w:w w:val="80"/>
                            <w:sz w:val="12"/>
                          </w:rPr>
                          <w:t>Transshipment</w:t>
                        </w:r>
                        <w:r>
                          <w:rPr>
                            <w:rFonts w:ascii="Arial"/>
                            <w:color w:val="231F20"/>
                            <w:spacing w:val="40"/>
                            <w:sz w:val="12"/>
                          </w:rPr>
                          <w:t> </w:t>
                        </w:r>
                        <w:r>
                          <w:rPr>
                            <w:rFonts w:ascii="Arial"/>
                            <w:color w:val="231F20"/>
                            <w:spacing w:val="-2"/>
                            <w:w w:val="90"/>
                            <w:sz w:val="12"/>
                          </w:rPr>
                          <w:t>phase</w:t>
                        </w:r>
                      </w:p>
                    </w:txbxContent>
                  </v:textbox>
                  <w10:wrap type="none"/>
                </v:shape>
                <v:shape style="position:absolute;left:6637;top:-875;width:602;height:138" type="#_x0000_t202" id="docshape1553" filled="false" stroked="false">
                  <v:textbox inset="0,0,0,0">
                    <w:txbxContent>
                      <w:p>
                        <w:pPr>
                          <w:spacing w:line="137" w:lineRule="exact" w:before="0"/>
                          <w:ind w:left="0" w:right="0" w:firstLine="0"/>
                          <w:jc w:val="left"/>
                          <w:rPr>
                            <w:rFonts w:ascii="Arial"/>
                            <w:sz w:val="12"/>
                          </w:rPr>
                        </w:pPr>
                        <w:r>
                          <w:rPr>
                            <w:rFonts w:ascii="Arial"/>
                            <w:color w:val="231F20"/>
                            <w:w w:val="80"/>
                            <w:sz w:val="12"/>
                          </w:rPr>
                          <w:t>Import</w:t>
                        </w:r>
                        <w:r>
                          <w:rPr>
                            <w:rFonts w:ascii="Arial"/>
                            <w:color w:val="231F20"/>
                            <w:spacing w:val="8"/>
                            <w:sz w:val="12"/>
                          </w:rPr>
                          <w:t> </w:t>
                        </w:r>
                        <w:r>
                          <w:rPr>
                            <w:rFonts w:ascii="Arial"/>
                            <w:color w:val="231F20"/>
                            <w:spacing w:val="-2"/>
                            <w:w w:val="85"/>
                            <w:sz w:val="12"/>
                          </w:rPr>
                          <w:t>phase</w:t>
                        </w:r>
                      </w:p>
                    </w:txbxContent>
                  </v:textbox>
                  <w10:wrap type="none"/>
                </v:shape>
                <v:shape style="position:absolute;left:1320;top:-523;width:833;height:144" type="#_x0000_t202" id="docshape1554" filled="false" stroked="false">
                  <v:textbox inset="0,0,0,0">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3"/>
                            <w:sz w:val="12"/>
                          </w:rPr>
                          <w:t> </w:t>
                        </w:r>
                        <w:r>
                          <w:rPr>
                            <w:rFonts w:ascii="Arial"/>
                            <w:color w:val="231F20"/>
                            <w:spacing w:val="-2"/>
                            <w:w w:val="80"/>
                            <w:sz w:val="12"/>
                          </w:rPr>
                          <w:t>TradeLens.</w:t>
                        </w:r>
                      </w:p>
                    </w:txbxContent>
                  </v:textbox>
                  <w10:wrap type="none"/>
                </v:shape>
                <w10:wrap type="none"/>
              </v:group>
            </w:pict>
          </mc:Fallback>
        </mc:AlternateContent>
      </w:r>
      <w:r>
        <w:rPr>
          <w:color w:val="231F20"/>
        </w:rPr>
        <w:t>differences</w:t>
      </w:r>
      <w:r>
        <w:rPr>
          <w:color w:val="231F20"/>
          <w:spacing w:val="-10"/>
        </w:rPr>
        <w:t> </w:t>
      </w:r>
      <w:r>
        <w:rPr>
          <w:color w:val="231F20"/>
        </w:rPr>
        <w:t>or</w:t>
      </w:r>
      <w:r>
        <w:rPr>
          <w:color w:val="231F20"/>
          <w:spacing w:val="-10"/>
        </w:rPr>
        <w:t> </w:t>
      </w:r>
      <w:r>
        <w:rPr>
          <w:color w:val="231F20"/>
        </w:rPr>
        <w:t>lead</w:t>
      </w:r>
      <w:r>
        <w:rPr>
          <w:color w:val="231F20"/>
          <w:spacing w:val="-10"/>
        </w:rPr>
        <w:t> </w:t>
      </w:r>
      <w:r>
        <w:rPr>
          <w:color w:val="231F20"/>
        </w:rPr>
        <w:t>time</w:t>
      </w:r>
      <w:r>
        <w:rPr>
          <w:color w:val="231F20"/>
          <w:spacing w:val="-10"/>
        </w:rPr>
        <w:t> </w:t>
      </w:r>
      <w:r>
        <w:rPr>
          <w:color w:val="231F20"/>
        </w:rPr>
        <w:t>between</w:t>
      </w:r>
      <w:r>
        <w:rPr>
          <w:color w:val="231F20"/>
          <w:spacing w:val="-10"/>
        </w:rPr>
        <w:t> </w:t>
      </w:r>
      <w:r>
        <w:rPr>
          <w:color w:val="231F20"/>
        </w:rPr>
        <w:t>subsequent </w:t>
      </w:r>
      <w:r>
        <w:rPr>
          <w:color w:val="231F20"/>
          <w:spacing w:val="-8"/>
        </w:rPr>
        <w:t>events.</w:t>
      </w:r>
      <w:r>
        <w:rPr>
          <w:color w:val="231F20"/>
          <w:spacing w:val="-3"/>
        </w:rPr>
        <w:t> </w:t>
      </w:r>
      <w:r>
        <w:rPr>
          <w:color w:val="231F20"/>
          <w:spacing w:val="-8"/>
        </w:rPr>
        <w:t>Events</w:t>
      </w:r>
      <w:r>
        <w:rPr>
          <w:color w:val="231F20"/>
          <w:spacing w:val="-3"/>
        </w:rPr>
        <w:t> </w:t>
      </w:r>
      <w:r>
        <w:rPr>
          <w:color w:val="231F20"/>
          <w:spacing w:val="-8"/>
        </w:rPr>
        <w:t>can</w:t>
      </w:r>
      <w:r>
        <w:rPr>
          <w:color w:val="231F20"/>
          <w:spacing w:val="-4"/>
        </w:rPr>
        <w:t> </w:t>
      </w:r>
      <w:r>
        <w:rPr>
          <w:color w:val="231F20"/>
          <w:spacing w:val="-8"/>
        </w:rPr>
        <w:t>happen</w:t>
      </w:r>
      <w:r>
        <w:rPr>
          <w:color w:val="231F20"/>
          <w:spacing w:val="-3"/>
        </w:rPr>
        <w:t> </w:t>
      </w:r>
      <w:r>
        <w:rPr>
          <w:color w:val="231F20"/>
          <w:spacing w:val="-8"/>
        </w:rPr>
        <w:t>between</w:t>
      </w:r>
      <w:r>
        <w:rPr>
          <w:color w:val="231F20"/>
          <w:spacing w:val="-4"/>
        </w:rPr>
        <w:t> </w:t>
      </w:r>
      <w:r>
        <w:rPr>
          <w:color w:val="231F20"/>
          <w:spacing w:val="-8"/>
        </w:rPr>
        <w:t>different</w:t>
      </w:r>
      <w:r>
        <w:rPr>
          <w:color w:val="231F20"/>
          <w:spacing w:val="-4"/>
        </w:rPr>
        <w:t> </w:t>
      </w:r>
      <w:r>
        <w:rPr>
          <w:color w:val="231F20"/>
          <w:spacing w:val="-8"/>
        </w:rPr>
        <w:t>lo- </w:t>
      </w:r>
      <w:r>
        <w:rPr>
          <w:color w:val="231F20"/>
          <w:spacing w:val="-6"/>
        </w:rPr>
        <w:t>cations—for instance, on multimodal corridors </w:t>
      </w:r>
      <w:r>
        <w:rPr>
          <w:color w:val="231F20"/>
          <w:w w:val="90"/>
        </w:rPr>
        <w:t>or</w:t>
      </w:r>
      <w:r>
        <w:rPr>
          <w:color w:val="231F20"/>
          <w:spacing w:val="-8"/>
          <w:w w:val="90"/>
        </w:rPr>
        <w:t> </w:t>
      </w:r>
      <w:r>
        <w:rPr>
          <w:color w:val="231F20"/>
          <w:w w:val="90"/>
        </w:rPr>
        <w:t>in</w:t>
      </w:r>
      <w:r>
        <w:rPr>
          <w:color w:val="231F20"/>
          <w:spacing w:val="-8"/>
          <w:w w:val="90"/>
        </w:rPr>
        <w:t> </w:t>
      </w:r>
      <w:r>
        <w:rPr>
          <w:color w:val="231F20"/>
          <w:w w:val="90"/>
        </w:rPr>
        <w:t>shipping.</w:t>
      </w:r>
      <w:r>
        <w:rPr>
          <w:color w:val="231F20"/>
          <w:spacing w:val="-8"/>
          <w:w w:val="90"/>
        </w:rPr>
        <w:t> </w:t>
      </w:r>
      <w:r>
        <w:rPr>
          <w:color w:val="231F20"/>
          <w:w w:val="90"/>
        </w:rPr>
        <w:t>Subsequent</w:t>
      </w:r>
      <w:r>
        <w:rPr>
          <w:color w:val="231F20"/>
          <w:spacing w:val="-8"/>
          <w:w w:val="90"/>
        </w:rPr>
        <w:t> </w:t>
      </w:r>
      <w:r>
        <w:rPr>
          <w:color w:val="231F20"/>
          <w:w w:val="90"/>
        </w:rPr>
        <w:t>events</w:t>
      </w:r>
      <w:r>
        <w:rPr>
          <w:color w:val="231F20"/>
          <w:spacing w:val="-8"/>
          <w:w w:val="90"/>
        </w:rPr>
        <w:t> </w:t>
      </w:r>
      <w:r>
        <w:rPr>
          <w:color w:val="231F20"/>
          <w:w w:val="90"/>
        </w:rPr>
        <w:t>may</w:t>
      </w:r>
      <w:r>
        <w:rPr>
          <w:color w:val="231F20"/>
          <w:spacing w:val="-8"/>
          <w:w w:val="90"/>
        </w:rPr>
        <w:t> </w:t>
      </w:r>
      <w:r>
        <w:rPr>
          <w:color w:val="231F20"/>
          <w:w w:val="90"/>
        </w:rPr>
        <w:t>also</w:t>
      </w:r>
      <w:r>
        <w:rPr>
          <w:color w:val="231F20"/>
          <w:spacing w:val="-8"/>
          <w:w w:val="90"/>
        </w:rPr>
        <w:t> </w:t>
      </w:r>
      <w:r>
        <w:rPr>
          <w:color w:val="231F20"/>
          <w:w w:val="90"/>
        </w:rPr>
        <w:t>occur </w:t>
      </w:r>
      <w:r>
        <w:rPr>
          <w:color w:val="231F20"/>
          <w:spacing w:val="-4"/>
        </w:rPr>
        <w:t>at</w:t>
      </w:r>
      <w:r>
        <w:rPr>
          <w:color w:val="231F20"/>
          <w:spacing w:val="-10"/>
        </w:rPr>
        <w:t> </w:t>
      </w:r>
      <w:r>
        <w:rPr>
          <w:color w:val="231F20"/>
          <w:spacing w:val="-4"/>
        </w:rPr>
        <w:t>the</w:t>
      </w:r>
      <w:r>
        <w:rPr>
          <w:color w:val="231F20"/>
          <w:spacing w:val="-9"/>
        </w:rPr>
        <w:t> </w:t>
      </w:r>
      <w:r>
        <w:rPr>
          <w:color w:val="231F20"/>
          <w:spacing w:val="-4"/>
        </w:rPr>
        <w:t>same</w:t>
      </w:r>
      <w:r>
        <w:rPr>
          <w:color w:val="231F20"/>
          <w:spacing w:val="-9"/>
        </w:rPr>
        <w:t> </w:t>
      </w:r>
      <w:r>
        <w:rPr>
          <w:color w:val="231F20"/>
          <w:spacing w:val="-4"/>
        </w:rPr>
        <w:t>location,</w:t>
      </w:r>
      <w:r>
        <w:rPr>
          <w:color w:val="231F20"/>
          <w:spacing w:val="-9"/>
        </w:rPr>
        <w:t> </w:t>
      </w:r>
      <w:r>
        <w:rPr>
          <w:color w:val="231F20"/>
          <w:spacing w:val="-4"/>
        </w:rPr>
        <w:t>and</w:t>
      </w:r>
      <w:r>
        <w:rPr>
          <w:color w:val="231F20"/>
          <w:spacing w:val="-9"/>
        </w:rPr>
        <w:t> </w:t>
      </w:r>
      <w:r>
        <w:rPr>
          <w:color w:val="231F20"/>
          <w:spacing w:val="-4"/>
        </w:rPr>
        <w:t>the</w:t>
      </w:r>
      <w:r>
        <w:rPr>
          <w:color w:val="231F20"/>
          <w:spacing w:val="-9"/>
        </w:rPr>
        <w:t> </w:t>
      </w:r>
      <w:r>
        <w:rPr>
          <w:color w:val="231F20"/>
          <w:spacing w:val="-4"/>
        </w:rPr>
        <w:t>time</w:t>
      </w:r>
      <w:r>
        <w:rPr>
          <w:color w:val="231F20"/>
          <w:spacing w:val="-9"/>
        </w:rPr>
        <w:t> </w:t>
      </w:r>
      <w:r>
        <w:rPr>
          <w:color w:val="231F20"/>
          <w:spacing w:val="-4"/>
        </w:rPr>
        <w:t>that</w:t>
      </w:r>
      <w:r>
        <w:rPr>
          <w:color w:val="231F20"/>
          <w:spacing w:val="-9"/>
        </w:rPr>
        <w:t> </w:t>
      </w:r>
      <w:r>
        <w:rPr>
          <w:color w:val="231F20"/>
          <w:spacing w:val="-4"/>
        </w:rPr>
        <w:t>contain- </w:t>
      </w:r>
      <w:r>
        <w:rPr>
          <w:color w:val="231F20"/>
          <w:w w:val="90"/>
        </w:rPr>
        <w:t>ers stay at the same place is typically referred to as</w:t>
      </w:r>
      <w:r>
        <w:rPr>
          <w:color w:val="231F20"/>
          <w:spacing w:val="-4"/>
          <w:w w:val="90"/>
        </w:rPr>
        <w:t> </w:t>
      </w:r>
      <w:r>
        <w:rPr>
          <w:color w:val="231F20"/>
          <w:w w:val="90"/>
        </w:rPr>
        <w:t>dwell</w:t>
      </w:r>
      <w:r>
        <w:rPr>
          <w:color w:val="231F20"/>
          <w:spacing w:val="-4"/>
          <w:w w:val="90"/>
        </w:rPr>
        <w:t> </w:t>
      </w:r>
      <w:r>
        <w:rPr>
          <w:color w:val="231F20"/>
          <w:w w:val="90"/>
        </w:rPr>
        <w:t>time.</w:t>
      </w:r>
      <w:r>
        <w:rPr>
          <w:color w:val="231F20"/>
          <w:spacing w:val="-4"/>
          <w:w w:val="90"/>
        </w:rPr>
        <w:t> </w:t>
      </w:r>
      <w:r>
        <w:rPr>
          <w:color w:val="231F20"/>
          <w:w w:val="90"/>
        </w:rPr>
        <w:t>Data</w:t>
      </w:r>
      <w:r>
        <w:rPr>
          <w:color w:val="231F20"/>
          <w:spacing w:val="-4"/>
          <w:w w:val="90"/>
        </w:rPr>
        <w:t> </w:t>
      </w:r>
      <w:r>
        <w:rPr>
          <w:color w:val="231F20"/>
          <w:w w:val="90"/>
        </w:rPr>
        <w:t>processing</w:t>
      </w:r>
      <w:r>
        <w:rPr>
          <w:color w:val="231F20"/>
          <w:spacing w:val="-4"/>
          <w:w w:val="90"/>
        </w:rPr>
        <w:t> </w:t>
      </w:r>
      <w:r>
        <w:rPr>
          <w:color w:val="231F20"/>
          <w:w w:val="90"/>
        </w:rPr>
        <w:t>consisted</w:t>
      </w:r>
      <w:r>
        <w:rPr>
          <w:color w:val="231F20"/>
          <w:spacing w:val="-4"/>
          <w:w w:val="90"/>
        </w:rPr>
        <w:t> </w:t>
      </w:r>
      <w:r>
        <w:rPr>
          <w:color w:val="231F20"/>
          <w:w w:val="90"/>
        </w:rPr>
        <w:t>of</w:t>
      </w:r>
      <w:r>
        <w:rPr>
          <w:color w:val="231F20"/>
          <w:spacing w:val="-4"/>
          <w:w w:val="90"/>
        </w:rPr>
        <w:t> </w:t>
      </w:r>
      <w:r>
        <w:rPr>
          <w:color w:val="231F20"/>
          <w:w w:val="90"/>
        </w:rPr>
        <w:t>split- </w:t>
      </w:r>
      <w:r>
        <w:rPr>
          <w:color w:val="231F20"/>
          <w:spacing w:val="-4"/>
        </w:rPr>
        <w:t>ting</w:t>
      </w:r>
      <w:r>
        <w:rPr>
          <w:color w:val="231F20"/>
          <w:spacing w:val="-5"/>
        </w:rPr>
        <w:t> </w:t>
      </w:r>
      <w:r>
        <w:rPr>
          <w:color w:val="231F20"/>
          <w:spacing w:val="-4"/>
        </w:rPr>
        <w:t>container</w:t>
      </w:r>
      <w:r>
        <w:rPr>
          <w:color w:val="231F20"/>
          <w:spacing w:val="-5"/>
        </w:rPr>
        <w:t> </w:t>
      </w:r>
      <w:r>
        <w:rPr>
          <w:color w:val="231F20"/>
          <w:spacing w:val="-4"/>
        </w:rPr>
        <w:t>trips</w:t>
      </w:r>
      <w:r>
        <w:rPr>
          <w:color w:val="231F20"/>
          <w:spacing w:val="-5"/>
        </w:rPr>
        <w:t> </w:t>
      </w:r>
      <w:r>
        <w:rPr>
          <w:color w:val="231F20"/>
          <w:spacing w:val="-4"/>
        </w:rPr>
        <w:t>into</w:t>
      </w:r>
      <w:r>
        <w:rPr>
          <w:color w:val="231F20"/>
          <w:spacing w:val="-5"/>
        </w:rPr>
        <w:t> </w:t>
      </w:r>
      <w:r>
        <w:rPr>
          <w:color w:val="231F20"/>
          <w:spacing w:val="-4"/>
        </w:rPr>
        <w:t>a</w:t>
      </w:r>
      <w:r>
        <w:rPr>
          <w:color w:val="231F20"/>
          <w:spacing w:val="-5"/>
        </w:rPr>
        <w:t> </w:t>
      </w:r>
      <w:r>
        <w:rPr>
          <w:color w:val="231F20"/>
          <w:spacing w:val="-4"/>
        </w:rPr>
        <w:t>succession</w:t>
      </w:r>
      <w:r>
        <w:rPr>
          <w:color w:val="231F20"/>
          <w:spacing w:val="-5"/>
        </w:rPr>
        <w:t> </w:t>
      </w:r>
      <w:r>
        <w:rPr>
          <w:color w:val="231F20"/>
          <w:spacing w:val="-4"/>
        </w:rPr>
        <w:t>of</w:t>
      </w:r>
      <w:r>
        <w:rPr>
          <w:color w:val="231F20"/>
          <w:spacing w:val="-5"/>
        </w:rPr>
        <w:t> </w:t>
      </w:r>
      <w:r>
        <w:rPr>
          <w:color w:val="231F20"/>
          <w:spacing w:val="-4"/>
        </w:rPr>
        <w:t>transi- </w:t>
      </w:r>
      <w:r>
        <w:rPr>
          <w:color w:val="231F20"/>
          <w:spacing w:val="-6"/>
        </w:rPr>
        <w:t>tions</w:t>
      </w:r>
      <w:r>
        <w:rPr>
          <w:color w:val="231F20"/>
          <w:spacing w:val="-7"/>
        </w:rPr>
        <w:t> </w:t>
      </w:r>
      <w:r>
        <w:rPr>
          <w:color w:val="231F20"/>
          <w:spacing w:val="-6"/>
        </w:rPr>
        <w:t>between</w:t>
      </w:r>
      <w:r>
        <w:rPr>
          <w:color w:val="231F20"/>
          <w:spacing w:val="-7"/>
        </w:rPr>
        <w:t> </w:t>
      </w:r>
      <w:r>
        <w:rPr>
          <w:color w:val="231F20"/>
          <w:spacing w:val="-6"/>
        </w:rPr>
        <w:t>subsequent</w:t>
      </w:r>
      <w:r>
        <w:rPr>
          <w:color w:val="231F20"/>
          <w:spacing w:val="-7"/>
        </w:rPr>
        <w:t> </w:t>
      </w:r>
      <w:r>
        <w:rPr>
          <w:color w:val="231F20"/>
          <w:spacing w:val="-6"/>
        </w:rPr>
        <w:t>events</w:t>
      </w:r>
      <w:r>
        <w:rPr>
          <w:color w:val="231F20"/>
          <w:spacing w:val="-7"/>
        </w:rPr>
        <w:t> </w:t>
      </w:r>
      <w:r>
        <w:rPr>
          <w:color w:val="231F20"/>
          <w:spacing w:val="-6"/>
        </w:rPr>
        <w:t>at</w:t>
      </w:r>
      <w:r>
        <w:rPr>
          <w:color w:val="231F20"/>
          <w:spacing w:val="-7"/>
        </w:rPr>
        <w:t> </w:t>
      </w:r>
      <w:r>
        <w:rPr>
          <w:color w:val="231F20"/>
          <w:spacing w:val="-6"/>
        </w:rPr>
        <w:t>the</w:t>
      </w:r>
      <w:r>
        <w:rPr>
          <w:color w:val="231F20"/>
          <w:spacing w:val="-7"/>
        </w:rPr>
        <w:t> </w:t>
      </w:r>
      <w:r>
        <w:rPr>
          <w:color w:val="231F20"/>
          <w:spacing w:val="-6"/>
        </w:rPr>
        <w:t>same</w:t>
      </w:r>
      <w:r>
        <w:rPr>
          <w:color w:val="231F20"/>
          <w:spacing w:val="-7"/>
        </w:rPr>
        <w:t> </w:t>
      </w:r>
      <w:r>
        <w:rPr>
          <w:color w:val="231F20"/>
          <w:spacing w:val="-6"/>
        </w:rPr>
        <w:t>or different</w:t>
      </w:r>
      <w:r>
        <w:rPr>
          <w:color w:val="231F20"/>
          <w:spacing w:val="-8"/>
        </w:rPr>
        <w:t> </w:t>
      </w:r>
      <w:r>
        <w:rPr>
          <w:color w:val="231F20"/>
          <w:spacing w:val="-6"/>
        </w:rPr>
        <w:t>locations.</w:t>
      </w:r>
      <w:r>
        <w:rPr>
          <w:color w:val="231F20"/>
          <w:spacing w:val="-7"/>
        </w:rPr>
        <w:t> </w:t>
      </w:r>
      <w:r>
        <w:rPr>
          <w:color w:val="231F20"/>
          <w:spacing w:val="-6"/>
        </w:rPr>
        <w:t>Key</w:t>
      </w:r>
      <w:r>
        <w:rPr>
          <w:color w:val="231F20"/>
          <w:spacing w:val="-7"/>
        </w:rPr>
        <w:t> </w:t>
      </w:r>
      <w:r>
        <w:rPr>
          <w:color w:val="231F20"/>
          <w:spacing w:val="-6"/>
        </w:rPr>
        <w:t>performance</w:t>
      </w:r>
      <w:r>
        <w:rPr>
          <w:color w:val="231F20"/>
          <w:spacing w:val="-7"/>
        </w:rPr>
        <w:t> </w:t>
      </w:r>
      <w:r>
        <w:rPr>
          <w:color w:val="231F20"/>
          <w:spacing w:val="-6"/>
        </w:rPr>
        <w:t>indicators </w:t>
      </w:r>
      <w:r>
        <w:rPr>
          <w:color w:val="231F20"/>
          <w:w w:val="90"/>
        </w:rPr>
        <w:t>were</w:t>
      </w:r>
      <w:r>
        <w:rPr>
          <w:color w:val="231F20"/>
          <w:spacing w:val="-2"/>
          <w:w w:val="90"/>
        </w:rPr>
        <w:t> </w:t>
      </w:r>
      <w:r>
        <w:rPr>
          <w:color w:val="231F20"/>
          <w:w w:val="90"/>
        </w:rPr>
        <w:t>constructed</w:t>
      </w:r>
      <w:r>
        <w:rPr>
          <w:color w:val="231F20"/>
          <w:spacing w:val="-2"/>
          <w:w w:val="90"/>
        </w:rPr>
        <w:t> </w:t>
      </w:r>
      <w:r>
        <w:rPr>
          <w:color w:val="231F20"/>
          <w:w w:val="90"/>
        </w:rPr>
        <w:t>by</w:t>
      </w:r>
      <w:r>
        <w:rPr>
          <w:color w:val="231F20"/>
          <w:spacing w:val="-2"/>
          <w:w w:val="90"/>
        </w:rPr>
        <w:t> </w:t>
      </w:r>
      <w:r>
        <w:rPr>
          <w:color w:val="231F20"/>
          <w:w w:val="90"/>
        </w:rPr>
        <w:t>aggregating</w:t>
      </w:r>
      <w:r>
        <w:rPr>
          <w:color w:val="231F20"/>
          <w:spacing w:val="-2"/>
          <w:w w:val="90"/>
        </w:rPr>
        <w:t> </w:t>
      </w:r>
      <w:r>
        <w:rPr>
          <w:color w:val="231F20"/>
          <w:w w:val="90"/>
        </w:rPr>
        <w:t>the</w:t>
      </w:r>
      <w:r>
        <w:rPr>
          <w:color w:val="231F20"/>
          <w:spacing w:val="-2"/>
          <w:w w:val="90"/>
        </w:rPr>
        <w:t> </w:t>
      </w:r>
      <w:r>
        <w:rPr>
          <w:color w:val="231F20"/>
          <w:w w:val="90"/>
        </w:rPr>
        <w:t>lead</w:t>
      </w:r>
      <w:r>
        <w:rPr>
          <w:color w:val="231F20"/>
          <w:spacing w:val="-2"/>
          <w:w w:val="90"/>
        </w:rPr>
        <w:t> </w:t>
      </w:r>
      <w:r>
        <w:rPr>
          <w:color w:val="231F20"/>
          <w:w w:val="90"/>
        </w:rPr>
        <w:t>time</w:t>
      </w:r>
      <w:r>
        <w:rPr>
          <w:color w:val="231F20"/>
          <w:spacing w:val="-2"/>
          <w:w w:val="90"/>
        </w:rPr>
        <w:t> </w:t>
      </w:r>
      <w:r>
        <w:rPr>
          <w:color w:val="231F20"/>
          <w:w w:val="90"/>
        </w:rPr>
        <w:t>or </w:t>
      </w:r>
      <w:r>
        <w:rPr>
          <w:color w:val="231F20"/>
        </w:rPr>
        <w:t>dwell</w:t>
      </w:r>
      <w:r>
        <w:rPr>
          <w:color w:val="231F20"/>
          <w:spacing w:val="-14"/>
        </w:rPr>
        <w:t> </w:t>
      </w:r>
      <w:r>
        <w:rPr>
          <w:color w:val="231F20"/>
        </w:rPr>
        <w:t>time</w:t>
      </w:r>
      <w:r>
        <w:rPr>
          <w:color w:val="231F20"/>
          <w:spacing w:val="-13"/>
        </w:rPr>
        <w:t> </w:t>
      </w:r>
      <w:r>
        <w:rPr>
          <w:color w:val="231F20"/>
        </w:rPr>
        <w:t>for</w:t>
      </w:r>
      <w:r>
        <w:rPr>
          <w:color w:val="231F20"/>
          <w:spacing w:val="-13"/>
        </w:rPr>
        <w:t> </w:t>
      </w:r>
      <w:r>
        <w:rPr>
          <w:color w:val="231F20"/>
        </w:rPr>
        <w:t>UNLOCODE</w:t>
      </w:r>
      <w:r>
        <w:rPr>
          <w:color w:val="231F20"/>
          <w:spacing w:val="-13"/>
        </w:rPr>
        <w:t> </w:t>
      </w:r>
      <w:r>
        <w:rPr>
          <w:color w:val="231F20"/>
        </w:rPr>
        <w:t>or</w:t>
      </w:r>
      <w:r>
        <w:rPr>
          <w:color w:val="231F20"/>
          <w:spacing w:val="-13"/>
        </w:rPr>
        <w:t> </w:t>
      </w:r>
      <w:r>
        <w:rPr>
          <w:color w:val="231F20"/>
        </w:rPr>
        <w:t>lead</w:t>
      </w:r>
      <w:r>
        <w:rPr>
          <w:color w:val="231F20"/>
          <w:spacing w:val="-13"/>
        </w:rPr>
        <w:t> </w:t>
      </w:r>
      <w:r>
        <w:rPr>
          <w:color w:val="231F20"/>
        </w:rPr>
        <w:t>time</w:t>
      </w:r>
      <w:r>
        <w:rPr>
          <w:color w:val="231F20"/>
          <w:spacing w:val="-13"/>
        </w:rPr>
        <w:t> </w:t>
      </w:r>
      <w:r>
        <w:rPr>
          <w:color w:val="231F20"/>
        </w:rPr>
        <w:t>be- </w:t>
      </w:r>
      <w:r>
        <w:rPr>
          <w:color w:val="231F20"/>
          <w:spacing w:val="-2"/>
        </w:rPr>
        <w:t>tween</w:t>
      </w:r>
      <w:r>
        <w:rPr>
          <w:color w:val="231F20"/>
          <w:spacing w:val="-10"/>
        </w:rPr>
        <w:t> </w:t>
      </w:r>
      <w:r>
        <w:rPr>
          <w:color w:val="231F20"/>
          <w:spacing w:val="-2"/>
        </w:rPr>
        <w:t>pairs</w:t>
      </w:r>
      <w:r>
        <w:rPr>
          <w:color w:val="231F20"/>
          <w:spacing w:val="-10"/>
        </w:rPr>
        <w:t> </w:t>
      </w:r>
      <w:r>
        <w:rPr>
          <w:color w:val="231F20"/>
          <w:spacing w:val="-2"/>
        </w:rPr>
        <w:t>of</w:t>
      </w:r>
      <w:r>
        <w:rPr>
          <w:color w:val="231F20"/>
          <w:spacing w:val="-10"/>
        </w:rPr>
        <w:t> </w:t>
      </w:r>
      <w:r>
        <w:rPr>
          <w:color w:val="231F20"/>
          <w:spacing w:val="-2"/>
        </w:rPr>
        <w:t>UNLOCODE.</w:t>
      </w:r>
      <w:r>
        <w:rPr>
          <w:color w:val="231F20"/>
          <w:spacing w:val="-10"/>
        </w:rPr>
        <w:t> </w:t>
      </w:r>
      <w:r>
        <w:rPr>
          <w:color w:val="231F20"/>
          <w:spacing w:val="-2"/>
        </w:rPr>
        <w:t>To</w:t>
      </w:r>
      <w:r>
        <w:rPr>
          <w:color w:val="231F20"/>
          <w:spacing w:val="-10"/>
        </w:rPr>
        <w:t> </w:t>
      </w:r>
      <w:r>
        <w:rPr>
          <w:color w:val="231F20"/>
          <w:spacing w:val="-2"/>
        </w:rPr>
        <w:t>facilitate</w:t>
      </w:r>
      <w:r>
        <w:rPr>
          <w:color w:val="231F20"/>
          <w:spacing w:val="-10"/>
        </w:rPr>
        <w:t> </w:t>
      </w:r>
      <w:r>
        <w:rPr>
          <w:color w:val="231F20"/>
          <w:spacing w:val="-2"/>
        </w:rPr>
        <w:t>in- </w:t>
      </w:r>
      <w:r>
        <w:rPr>
          <w:color w:val="231F20"/>
          <w:w w:val="90"/>
        </w:rPr>
        <w:t>terpretation,</w:t>
      </w:r>
      <w:r>
        <w:rPr>
          <w:color w:val="231F20"/>
        </w:rPr>
        <w:t> </w:t>
      </w:r>
      <w:r>
        <w:rPr>
          <w:color w:val="231F20"/>
          <w:w w:val="90"/>
        </w:rPr>
        <w:t>the</w:t>
      </w:r>
      <w:r>
        <w:rPr>
          <w:color w:val="231F20"/>
          <w:spacing w:val="1"/>
        </w:rPr>
        <w:t> </w:t>
      </w:r>
      <w:r>
        <w:rPr>
          <w:color w:val="231F20"/>
          <w:w w:val="90"/>
        </w:rPr>
        <w:t>global</w:t>
      </w:r>
      <w:r>
        <w:rPr>
          <w:color w:val="231F20"/>
          <w:spacing w:val="1"/>
        </w:rPr>
        <w:t> </w:t>
      </w:r>
      <w:r>
        <w:rPr>
          <w:color w:val="231F20"/>
          <w:w w:val="90"/>
        </w:rPr>
        <w:t>container</w:t>
      </w:r>
      <w:r>
        <w:rPr>
          <w:color w:val="231F20"/>
          <w:spacing w:val="1"/>
        </w:rPr>
        <w:t> </w:t>
      </w:r>
      <w:r>
        <w:rPr>
          <w:color w:val="231F20"/>
          <w:w w:val="90"/>
        </w:rPr>
        <w:t>supply</w:t>
      </w:r>
      <w:r>
        <w:rPr>
          <w:color w:val="231F20"/>
        </w:rPr>
        <w:t> </w:t>
      </w:r>
      <w:r>
        <w:rPr>
          <w:color w:val="231F20"/>
          <w:w w:val="90"/>
        </w:rPr>
        <w:t>chain</w:t>
      </w:r>
      <w:r>
        <w:rPr>
          <w:color w:val="231F20"/>
          <w:spacing w:val="1"/>
        </w:rPr>
        <w:t> </w:t>
      </w:r>
      <w:r>
        <w:rPr>
          <w:color w:val="231F20"/>
          <w:spacing w:val="-5"/>
          <w:w w:val="90"/>
        </w:rPr>
        <w:t>is</w:t>
      </w:r>
    </w:p>
    <w:p>
      <w:pPr>
        <w:pStyle w:val="BodyText"/>
        <w:spacing w:line="268" w:lineRule="auto" w:before="96"/>
        <w:ind w:left="199" w:right="2817"/>
        <w:jc w:val="both"/>
      </w:pPr>
      <w:r>
        <w:rPr/>
        <w:br w:type="column"/>
      </w:r>
      <w:r>
        <w:rPr>
          <w:color w:val="231F20"/>
          <w:spacing w:val="-6"/>
        </w:rPr>
        <w:t>broken</w:t>
      </w:r>
      <w:r>
        <w:rPr>
          <w:color w:val="231F20"/>
          <w:spacing w:val="-8"/>
        </w:rPr>
        <w:t> </w:t>
      </w:r>
      <w:r>
        <w:rPr>
          <w:color w:val="231F20"/>
          <w:spacing w:val="-6"/>
        </w:rPr>
        <w:t>into</w:t>
      </w:r>
      <w:r>
        <w:rPr>
          <w:color w:val="231F20"/>
          <w:spacing w:val="-7"/>
        </w:rPr>
        <w:t> </w:t>
      </w:r>
      <w:r>
        <w:rPr>
          <w:color w:val="231F20"/>
          <w:spacing w:val="-6"/>
        </w:rPr>
        <w:t>three</w:t>
      </w:r>
      <w:r>
        <w:rPr>
          <w:color w:val="231F20"/>
          <w:spacing w:val="-7"/>
        </w:rPr>
        <w:t> </w:t>
      </w:r>
      <w:r>
        <w:rPr>
          <w:color w:val="231F20"/>
          <w:spacing w:val="-6"/>
        </w:rPr>
        <w:t>phases:</w:t>
      </w:r>
      <w:r>
        <w:rPr>
          <w:color w:val="231F20"/>
          <w:spacing w:val="-7"/>
        </w:rPr>
        <w:t> </w:t>
      </w:r>
      <w:r>
        <w:rPr>
          <w:color w:val="231F20"/>
          <w:spacing w:val="-6"/>
        </w:rPr>
        <w:t>export</w:t>
      </w:r>
      <w:r>
        <w:rPr>
          <w:color w:val="231F20"/>
          <w:spacing w:val="-7"/>
        </w:rPr>
        <w:t> </w:t>
      </w:r>
      <w:r>
        <w:rPr>
          <w:color w:val="231F20"/>
          <w:spacing w:val="-6"/>
        </w:rPr>
        <w:t>on</w:t>
      </w:r>
      <w:r>
        <w:rPr>
          <w:color w:val="231F20"/>
          <w:spacing w:val="-7"/>
        </w:rPr>
        <w:t> </w:t>
      </w:r>
      <w:r>
        <w:rPr>
          <w:color w:val="231F20"/>
          <w:spacing w:val="-6"/>
        </w:rPr>
        <w:t>shore,</w:t>
      </w:r>
      <w:r>
        <w:rPr>
          <w:color w:val="231F20"/>
          <w:spacing w:val="-7"/>
        </w:rPr>
        <w:t> </w:t>
      </w:r>
      <w:r>
        <w:rPr>
          <w:color w:val="231F20"/>
          <w:spacing w:val="-6"/>
        </w:rPr>
        <w:t>ship- </w:t>
      </w:r>
      <w:r>
        <w:rPr>
          <w:color w:val="231F20"/>
        </w:rPr>
        <w:t>ping</w:t>
      </w:r>
      <w:r>
        <w:rPr>
          <w:color w:val="231F20"/>
          <w:spacing w:val="-3"/>
        </w:rPr>
        <w:t> </w:t>
      </w:r>
      <w:r>
        <w:rPr>
          <w:color w:val="231F20"/>
        </w:rPr>
        <w:t>and</w:t>
      </w:r>
      <w:r>
        <w:rPr>
          <w:color w:val="231F20"/>
          <w:spacing w:val="-3"/>
        </w:rPr>
        <w:t> </w:t>
      </w:r>
      <w:r>
        <w:rPr>
          <w:color w:val="231F20"/>
        </w:rPr>
        <w:t>transshipment,</w:t>
      </w:r>
      <w:r>
        <w:rPr>
          <w:color w:val="231F20"/>
          <w:spacing w:val="-3"/>
        </w:rPr>
        <w:t> </w:t>
      </w:r>
      <w:r>
        <w:rPr>
          <w:color w:val="231F20"/>
        </w:rPr>
        <w:t>and</w:t>
      </w:r>
      <w:r>
        <w:rPr>
          <w:color w:val="231F20"/>
          <w:spacing w:val="-3"/>
        </w:rPr>
        <w:t> </w:t>
      </w:r>
      <w:r>
        <w:rPr>
          <w:color w:val="231F20"/>
        </w:rPr>
        <w:t>import</w:t>
      </w:r>
      <w:r>
        <w:rPr>
          <w:color w:val="231F20"/>
          <w:spacing w:val="-3"/>
        </w:rPr>
        <w:t> </w:t>
      </w:r>
      <w:r>
        <w:rPr>
          <w:color w:val="231F20"/>
        </w:rPr>
        <w:t>onshore (figure</w:t>
      </w:r>
      <w:r>
        <w:rPr>
          <w:color w:val="231F20"/>
          <w:spacing w:val="-15"/>
        </w:rPr>
        <w:t> </w:t>
      </w:r>
      <w:r>
        <w:rPr>
          <w:color w:val="231F20"/>
        </w:rPr>
        <w:t>A4.5).</w:t>
      </w:r>
    </w:p>
    <w:p>
      <w:pPr>
        <w:pStyle w:val="BodyText"/>
        <w:spacing w:line="268" w:lineRule="auto"/>
        <w:ind w:left="199" w:right="2817" w:firstLine="300"/>
        <w:jc w:val="both"/>
      </w:pPr>
      <w:r>
        <w:rPr>
          <w:color w:val="231F20"/>
          <w:spacing w:val="-2"/>
        </w:rPr>
        <w:t>The</w:t>
      </w:r>
      <w:r>
        <w:rPr>
          <w:color w:val="231F20"/>
          <w:spacing w:val="-8"/>
        </w:rPr>
        <w:t> </w:t>
      </w:r>
      <w:r>
        <w:rPr>
          <w:color w:val="231F20"/>
          <w:spacing w:val="-2"/>
        </w:rPr>
        <w:t>tracking</w:t>
      </w:r>
      <w:r>
        <w:rPr>
          <w:color w:val="231F20"/>
          <w:spacing w:val="-8"/>
        </w:rPr>
        <w:t> </w:t>
      </w:r>
      <w:r>
        <w:rPr>
          <w:color w:val="231F20"/>
          <w:spacing w:val="-2"/>
        </w:rPr>
        <w:t>data</w:t>
      </w:r>
      <w:r>
        <w:rPr>
          <w:color w:val="231F20"/>
          <w:spacing w:val="-8"/>
        </w:rPr>
        <w:t> </w:t>
      </w:r>
      <w:r>
        <w:rPr>
          <w:color w:val="231F20"/>
          <w:spacing w:val="-2"/>
        </w:rPr>
        <w:t>cover</w:t>
      </w:r>
      <w:r>
        <w:rPr>
          <w:color w:val="231F20"/>
          <w:spacing w:val="-8"/>
        </w:rPr>
        <w:t> </w:t>
      </w:r>
      <w:r>
        <w:rPr>
          <w:color w:val="231F20"/>
          <w:spacing w:val="-2"/>
        </w:rPr>
        <w:t>the</w:t>
      </w:r>
      <w:r>
        <w:rPr>
          <w:color w:val="231F20"/>
          <w:spacing w:val="-8"/>
        </w:rPr>
        <w:t> </w:t>
      </w:r>
      <w:r>
        <w:rPr>
          <w:color w:val="231F20"/>
          <w:spacing w:val="-2"/>
        </w:rPr>
        <w:t>responsibility of</w:t>
      </w:r>
      <w:r>
        <w:rPr>
          <w:color w:val="231F20"/>
          <w:spacing w:val="-12"/>
        </w:rPr>
        <w:t> </w:t>
      </w:r>
      <w:r>
        <w:rPr>
          <w:color w:val="231F20"/>
          <w:spacing w:val="-2"/>
        </w:rPr>
        <w:t>international</w:t>
      </w:r>
      <w:r>
        <w:rPr>
          <w:color w:val="231F20"/>
          <w:spacing w:val="-11"/>
        </w:rPr>
        <w:t> </w:t>
      </w:r>
      <w:r>
        <w:rPr>
          <w:color w:val="231F20"/>
          <w:spacing w:val="-2"/>
        </w:rPr>
        <w:t>logistics</w:t>
      </w:r>
      <w:r>
        <w:rPr>
          <w:color w:val="231F20"/>
          <w:spacing w:val="-11"/>
        </w:rPr>
        <w:t> </w:t>
      </w:r>
      <w:r>
        <w:rPr>
          <w:color w:val="231F20"/>
          <w:spacing w:val="-2"/>
        </w:rPr>
        <w:t>operators,</w:t>
      </w:r>
      <w:r>
        <w:rPr>
          <w:color w:val="231F20"/>
          <w:spacing w:val="-11"/>
        </w:rPr>
        <w:t> </w:t>
      </w:r>
      <w:r>
        <w:rPr>
          <w:color w:val="231F20"/>
          <w:spacing w:val="-2"/>
        </w:rPr>
        <w:t>not</w:t>
      </w:r>
      <w:r>
        <w:rPr>
          <w:color w:val="231F20"/>
          <w:spacing w:val="-11"/>
        </w:rPr>
        <w:t> </w:t>
      </w:r>
      <w:r>
        <w:rPr>
          <w:color w:val="231F20"/>
          <w:spacing w:val="-2"/>
        </w:rPr>
        <w:t>that</w:t>
      </w:r>
      <w:r>
        <w:rPr>
          <w:color w:val="231F20"/>
          <w:spacing w:val="-11"/>
        </w:rPr>
        <w:t> </w:t>
      </w:r>
      <w:r>
        <w:rPr>
          <w:color w:val="231F20"/>
          <w:spacing w:val="-2"/>
        </w:rPr>
        <w:t>of </w:t>
      </w:r>
      <w:r>
        <w:rPr>
          <w:color w:val="231F20"/>
          <w:spacing w:val="-4"/>
        </w:rPr>
        <w:t>shippers</w:t>
      </w:r>
      <w:r>
        <w:rPr>
          <w:color w:val="231F20"/>
          <w:spacing w:val="-5"/>
        </w:rPr>
        <w:t> </w:t>
      </w:r>
      <w:r>
        <w:rPr>
          <w:color w:val="231F20"/>
          <w:spacing w:val="-4"/>
        </w:rPr>
        <w:t>upstream</w:t>
      </w:r>
      <w:r>
        <w:rPr>
          <w:color w:val="231F20"/>
          <w:spacing w:val="-5"/>
        </w:rPr>
        <w:t> </w:t>
      </w:r>
      <w:r>
        <w:rPr>
          <w:color w:val="231F20"/>
          <w:spacing w:val="-4"/>
        </w:rPr>
        <w:t>or</w:t>
      </w:r>
      <w:r>
        <w:rPr>
          <w:color w:val="231F20"/>
          <w:spacing w:val="-5"/>
        </w:rPr>
        <w:t> </w:t>
      </w:r>
      <w:r>
        <w:rPr>
          <w:color w:val="231F20"/>
          <w:spacing w:val="-4"/>
        </w:rPr>
        <w:t>consignees</w:t>
      </w:r>
      <w:r>
        <w:rPr>
          <w:color w:val="231F20"/>
          <w:spacing w:val="-5"/>
        </w:rPr>
        <w:t> </w:t>
      </w:r>
      <w:r>
        <w:rPr>
          <w:color w:val="231F20"/>
          <w:spacing w:val="-4"/>
        </w:rPr>
        <w:t>downstream. </w:t>
      </w:r>
      <w:r>
        <w:rPr>
          <w:color w:val="231F20"/>
          <w:spacing w:val="-2"/>
        </w:rPr>
        <w:t>Supply</w:t>
      </w:r>
      <w:r>
        <w:rPr>
          <w:color w:val="231F20"/>
          <w:spacing w:val="-12"/>
        </w:rPr>
        <w:t> </w:t>
      </w:r>
      <w:r>
        <w:rPr>
          <w:color w:val="231F20"/>
          <w:spacing w:val="-2"/>
        </w:rPr>
        <w:t>chain</w:t>
      </w:r>
      <w:r>
        <w:rPr>
          <w:color w:val="231F20"/>
          <w:spacing w:val="-11"/>
        </w:rPr>
        <w:t> </w:t>
      </w:r>
      <w:r>
        <w:rPr>
          <w:color w:val="231F20"/>
          <w:spacing w:val="-2"/>
        </w:rPr>
        <w:t>practices</w:t>
      </w:r>
      <w:r>
        <w:rPr>
          <w:color w:val="231F20"/>
          <w:spacing w:val="-11"/>
        </w:rPr>
        <w:t> </w:t>
      </w:r>
      <w:r>
        <w:rPr>
          <w:color w:val="231F20"/>
          <w:spacing w:val="-2"/>
        </w:rPr>
        <w:t>by</w:t>
      </w:r>
      <w:r>
        <w:rPr>
          <w:color w:val="231F20"/>
          <w:spacing w:val="-11"/>
        </w:rPr>
        <w:t> </w:t>
      </w:r>
      <w:r>
        <w:rPr>
          <w:color w:val="231F20"/>
          <w:spacing w:val="-2"/>
        </w:rPr>
        <w:t>the</w:t>
      </w:r>
      <w:r>
        <w:rPr>
          <w:color w:val="231F20"/>
          <w:spacing w:val="-11"/>
        </w:rPr>
        <w:t> </w:t>
      </w:r>
      <w:r>
        <w:rPr>
          <w:color w:val="231F20"/>
          <w:spacing w:val="-2"/>
        </w:rPr>
        <w:t>latter</w:t>
      </w:r>
      <w:r>
        <w:rPr>
          <w:color w:val="231F20"/>
          <w:spacing w:val="-11"/>
        </w:rPr>
        <w:t> </w:t>
      </w:r>
      <w:r>
        <w:rPr>
          <w:color w:val="231F20"/>
          <w:spacing w:val="-2"/>
        </w:rPr>
        <w:t>may</w:t>
      </w:r>
      <w:r>
        <w:rPr>
          <w:color w:val="231F20"/>
          <w:spacing w:val="-11"/>
        </w:rPr>
        <w:t> </w:t>
      </w:r>
      <w:r>
        <w:rPr>
          <w:color w:val="231F20"/>
          <w:spacing w:val="-2"/>
        </w:rPr>
        <w:t>vary. But</w:t>
      </w:r>
      <w:r>
        <w:rPr>
          <w:color w:val="231F20"/>
          <w:spacing w:val="-11"/>
        </w:rPr>
        <w:t> </w:t>
      </w:r>
      <w:r>
        <w:rPr>
          <w:color w:val="231F20"/>
          <w:spacing w:val="-2"/>
        </w:rPr>
        <w:t>container</w:t>
      </w:r>
      <w:r>
        <w:rPr>
          <w:color w:val="231F20"/>
          <w:spacing w:val="-11"/>
        </w:rPr>
        <w:t> </w:t>
      </w:r>
      <w:r>
        <w:rPr>
          <w:color w:val="231F20"/>
          <w:spacing w:val="-2"/>
        </w:rPr>
        <w:t>data</w:t>
      </w:r>
      <w:r>
        <w:rPr>
          <w:color w:val="231F20"/>
          <w:spacing w:val="-11"/>
        </w:rPr>
        <w:t> </w:t>
      </w:r>
      <w:r>
        <w:rPr>
          <w:color w:val="231F20"/>
          <w:spacing w:val="-2"/>
        </w:rPr>
        <w:t>include</w:t>
      </w:r>
      <w:r>
        <w:rPr>
          <w:color w:val="231F20"/>
          <w:spacing w:val="-11"/>
        </w:rPr>
        <w:t> </w:t>
      </w:r>
      <w:r>
        <w:rPr>
          <w:color w:val="231F20"/>
          <w:spacing w:val="-2"/>
        </w:rPr>
        <w:t>information</w:t>
      </w:r>
      <w:r>
        <w:rPr>
          <w:color w:val="231F20"/>
          <w:spacing w:val="-11"/>
        </w:rPr>
        <w:t> </w:t>
      </w:r>
      <w:r>
        <w:rPr>
          <w:color w:val="231F20"/>
          <w:spacing w:val="-2"/>
        </w:rPr>
        <w:t>on</w:t>
      </w:r>
      <w:r>
        <w:rPr>
          <w:color w:val="231F20"/>
          <w:spacing w:val="-11"/>
        </w:rPr>
        <w:t> </w:t>
      </w:r>
      <w:r>
        <w:rPr>
          <w:color w:val="231F20"/>
          <w:spacing w:val="-2"/>
        </w:rPr>
        <w:t>the </w:t>
      </w:r>
      <w:r>
        <w:rPr>
          <w:color w:val="231F20"/>
          <w:spacing w:val="-4"/>
        </w:rPr>
        <w:t>movement</w:t>
      </w:r>
      <w:r>
        <w:rPr>
          <w:color w:val="231F20"/>
          <w:spacing w:val="-10"/>
        </w:rPr>
        <w:t> </w:t>
      </w:r>
      <w:r>
        <w:rPr>
          <w:color w:val="231F20"/>
          <w:spacing w:val="-4"/>
        </w:rPr>
        <w:t>of</w:t>
      </w:r>
      <w:r>
        <w:rPr>
          <w:color w:val="231F20"/>
          <w:spacing w:val="-9"/>
        </w:rPr>
        <w:t> </w:t>
      </w:r>
      <w:r>
        <w:rPr>
          <w:color w:val="231F20"/>
          <w:spacing w:val="-4"/>
        </w:rPr>
        <w:t>empty</w:t>
      </w:r>
      <w:r>
        <w:rPr>
          <w:color w:val="231F20"/>
          <w:spacing w:val="-9"/>
        </w:rPr>
        <w:t> </w:t>
      </w:r>
      <w:r>
        <w:rPr>
          <w:color w:val="231F20"/>
          <w:spacing w:val="-4"/>
        </w:rPr>
        <w:t>containers,</w:t>
      </w:r>
      <w:r>
        <w:rPr>
          <w:color w:val="231F20"/>
          <w:spacing w:val="-9"/>
        </w:rPr>
        <w:t> </w:t>
      </w:r>
      <w:r>
        <w:rPr>
          <w:color w:val="231F20"/>
          <w:spacing w:val="-4"/>
        </w:rPr>
        <w:t>which</w:t>
      </w:r>
      <w:r>
        <w:rPr>
          <w:color w:val="231F20"/>
          <w:spacing w:val="-9"/>
        </w:rPr>
        <w:t> </w:t>
      </w:r>
      <w:r>
        <w:rPr>
          <w:color w:val="231F20"/>
          <w:spacing w:val="-4"/>
        </w:rPr>
        <w:t>proxies the</w:t>
      </w:r>
      <w:r>
        <w:rPr>
          <w:color w:val="231F20"/>
          <w:spacing w:val="-7"/>
        </w:rPr>
        <w:t> </w:t>
      </w:r>
      <w:r>
        <w:rPr>
          <w:color w:val="231F20"/>
          <w:spacing w:val="-4"/>
        </w:rPr>
        <w:t>time</w:t>
      </w:r>
      <w:r>
        <w:rPr>
          <w:color w:val="231F20"/>
          <w:spacing w:val="-7"/>
        </w:rPr>
        <w:t> </w:t>
      </w:r>
      <w:r>
        <w:rPr>
          <w:color w:val="231F20"/>
          <w:spacing w:val="-4"/>
        </w:rPr>
        <w:t>taken</w:t>
      </w:r>
      <w:r>
        <w:rPr>
          <w:color w:val="231F20"/>
          <w:spacing w:val="-7"/>
        </w:rPr>
        <w:t> </w:t>
      </w:r>
      <w:r>
        <w:rPr>
          <w:color w:val="231F20"/>
          <w:spacing w:val="-4"/>
        </w:rPr>
        <w:t>to</w:t>
      </w:r>
      <w:r>
        <w:rPr>
          <w:color w:val="231F20"/>
          <w:spacing w:val="-7"/>
        </w:rPr>
        <w:t> </w:t>
      </w:r>
      <w:r>
        <w:rPr>
          <w:color w:val="231F20"/>
          <w:spacing w:val="-4"/>
        </w:rPr>
        <w:t>stuff</w:t>
      </w:r>
      <w:r>
        <w:rPr>
          <w:color w:val="231F20"/>
          <w:spacing w:val="-7"/>
        </w:rPr>
        <w:t> </w:t>
      </w:r>
      <w:r>
        <w:rPr>
          <w:color w:val="231F20"/>
          <w:spacing w:val="-4"/>
        </w:rPr>
        <w:t>export</w:t>
      </w:r>
      <w:r>
        <w:rPr>
          <w:color w:val="231F20"/>
          <w:spacing w:val="-7"/>
        </w:rPr>
        <w:t> </w:t>
      </w:r>
      <w:r>
        <w:rPr>
          <w:color w:val="231F20"/>
          <w:spacing w:val="-4"/>
        </w:rPr>
        <w:t>containers</w:t>
      </w:r>
      <w:r>
        <w:rPr>
          <w:color w:val="231F20"/>
          <w:spacing w:val="-7"/>
        </w:rPr>
        <w:t> </w:t>
      </w:r>
      <w:r>
        <w:rPr>
          <w:color w:val="231F20"/>
          <w:spacing w:val="-4"/>
        </w:rPr>
        <w:t>or</w:t>
      </w:r>
      <w:r>
        <w:rPr>
          <w:color w:val="231F20"/>
          <w:spacing w:val="-7"/>
        </w:rPr>
        <w:t> </w:t>
      </w:r>
      <w:r>
        <w:rPr>
          <w:color w:val="231F20"/>
          <w:spacing w:val="-4"/>
        </w:rPr>
        <w:t>de- </w:t>
      </w:r>
      <w:r>
        <w:rPr>
          <w:color w:val="231F20"/>
          <w:spacing w:val="-2"/>
        </w:rPr>
        <w:t>liver</w:t>
      </w:r>
      <w:r>
        <w:rPr>
          <w:color w:val="231F20"/>
          <w:spacing w:val="-5"/>
        </w:rPr>
        <w:t> </w:t>
      </w:r>
      <w:r>
        <w:rPr>
          <w:color w:val="231F20"/>
          <w:spacing w:val="-2"/>
        </w:rPr>
        <w:t>full</w:t>
      </w:r>
      <w:r>
        <w:rPr>
          <w:color w:val="231F20"/>
          <w:spacing w:val="-5"/>
        </w:rPr>
        <w:t> </w:t>
      </w:r>
      <w:r>
        <w:rPr>
          <w:color w:val="231F20"/>
          <w:spacing w:val="-2"/>
        </w:rPr>
        <w:t>import</w:t>
      </w:r>
      <w:r>
        <w:rPr>
          <w:color w:val="231F20"/>
          <w:spacing w:val="-5"/>
        </w:rPr>
        <w:t> </w:t>
      </w:r>
      <w:r>
        <w:rPr>
          <w:color w:val="231F20"/>
          <w:spacing w:val="-2"/>
        </w:rPr>
        <w:t>containers</w:t>
      </w:r>
      <w:r>
        <w:rPr>
          <w:color w:val="231F20"/>
          <w:spacing w:val="-5"/>
        </w:rPr>
        <w:t> </w:t>
      </w:r>
      <w:r>
        <w:rPr>
          <w:color w:val="231F20"/>
          <w:spacing w:val="-2"/>
        </w:rPr>
        <w:t>at</w:t>
      </w:r>
      <w:r>
        <w:rPr>
          <w:color w:val="231F20"/>
          <w:spacing w:val="-5"/>
        </w:rPr>
        <w:t> </w:t>
      </w:r>
      <w:r>
        <w:rPr>
          <w:color w:val="231F20"/>
          <w:spacing w:val="-2"/>
        </w:rPr>
        <w:t>the</w:t>
      </w:r>
      <w:r>
        <w:rPr>
          <w:color w:val="231F20"/>
          <w:spacing w:val="-5"/>
        </w:rPr>
        <w:t> </w:t>
      </w:r>
      <w:r>
        <w:rPr>
          <w:color w:val="231F20"/>
          <w:spacing w:val="-2"/>
        </w:rPr>
        <w:t>destination. </w:t>
      </w:r>
      <w:r>
        <w:rPr>
          <w:color w:val="231F20"/>
        </w:rPr>
        <w:t>Information on repositioning and return of </w:t>
      </w:r>
      <w:r>
        <w:rPr>
          <w:color w:val="231F20"/>
          <w:spacing w:val="-6"/>
        </w:rPr>
        <w:t>empty</w:t>
      </w:r>
      <w:r>
        <w:rPr>
          <w:color w:val="231F20"/>
          <w:spacing w:val="-8"/>
        </w:rPr>
        <w:t> </w:t>
      </w:r>
      <w:r>
        <w:rPr>
          <w:color w:val="231F20"/>
          <w:spacing w:val="-6"/>
        </w:rPr>
        <w:t>containers</w:t>
      </w:r>
      <w:r>
        <w:rPr>
          <w:color w:val="231F20"/>
          <w:spacing w:val="-7"/>
        </w:rPr>
        <w:t> </w:t>
      </w:r>
      <w:r>
        <w:rPr>
          <w:color w:val="231F20"/>
          <w:spacing w:val="-6"/>
        </w:rPr>
        <w:t>may</w:t>
      </w:r>
      <w:r>
        <w:rPr>
          <w:color w:val="231F20"/>
          <w:spacing w:val="-7"/>
        </w:rPr>
        <w:t> </w:t>
      </w:r>
      <w:r>
        <w:rPr>
          <w:color w:val="231F20"/>
          <w:spacing w:val="-6"/>
        </w:rPr>
        <w:t>lead</w:t>
      </w:r>
      <w:r>
        <w:rPr>
          <w:color w:val="231F20"/>
          <w:spacing w:val="-7"/>
        </w:rPr>
        <w:t> </w:t>
      </w:r>
      <w:r>
        <w:rPr>
          <w:color w:val="231F20"/>
          <w:spacing w:val="-6"/>
        </w:rPr>
        <w:t>to</w:t>
      </w:r>
      <w:r>
        <w:rPr>
          <w:color w:val="231F20"/>
          <w:spacing w:val="-7"/>
        </w:rPr>
        <w:t> </w:t>
      </w:r>
      <w:r>
        <w:rPr>
          <w:color w:val="231F20"/>
          <w:spacing w:val="-6"/>
        </w:rPr>
        <w:t>more</w:t>
      </w:r>
      <w:r>
        <w:rPr>
          <w:color w:val="231F20"/>
          <w:spacing w:val="-7"/>
        </w:rPr>
        <w:t> </w:t>
      </w:r>
      <w:r>
        <w:rPr>
          <w:color w:val="231F20"/>
          <w:spacing w:val="-6"/>
        </w:rPr>
        <w:t>meaningful </w:t>
      </w:r>
      <w:r>
        <w:rPr>
          <w:color w:val="231F20"/>
        </w:rPr>
        <w:t>indicators in the future.</w:t>
      </w:r>
    </w:p>
    <w:p>
      <w:pPr>
        <w:spacing w:after="0" w:line="268" w:lineRule="auto"/>
        <w:jc w:val="both"/>
        <w:sectPr>
          <w:type w:val="continuous"/>
          <w:pgSz w:w="12240" w:h="15840"/>
          <w:pgMar w:header="370" w:footer="548" w:top="1140" w:bottom="280" w:left="0" w:right="540"/>
          <w:cols w:num="2" w:equalWidth="0">
            <w:col w:w="4921" w:space="40"/>
            <w:col w:w="6739"/>
          </w:cols>
        </w:sectPr>
      </w:pPr>
    </w:p>
    <w:p>
      <w:pPr>
        <w:pStyle w:val="BodyText"/>
        <w:spacing w:before="40"/>
        <w:rPr>
          <w:sz w:val="20"/>
        </w:rPr>
      </w:pPr>
    </w:p>
    <w:p>
      <w:pPr>
        <w:pStyle w:val="BodyText"/>
        <w:ind w:left="1200"/>
        <w:rPr>
          <w:sz w:val="20"/>
        </w:rPr>
      </w:pPr>
      <w:r>
        <w:rPr>
          <w:sz w:val="20"/>
        </w:rPr>
        <mc:AlternateContent>
          <mc:Choice Requires="wps">
            <w:drawing>
              <wp:inline distT="0" distB="0" distL="0" distR="0">
                <wp:extent cx="4877435" cy="2532380"/>
                <wp:effectExtent l="0" t="9525" r="0" b="1269"/>
                <wp:docPr id="1814" name="Group 1814"/>
                <wp:cNvGraphicFramePr>
                  <a:graphicFrameLocks/>
                </wp:cNvGraphicFramePr>
                <a:graphic>
                  <a:graphicData uri="http://schemas.microsoft.com/office/word/2010/wordprocessingGroup">
                    <wpg:wgp>
                      <wpg:cNvPr id="1814" name="Group 1814"/>
                      <wpg:cNvGrpSpPr/>
                      <wpg:grpSpPr>
                        <a:xfrm>
                          <a:off x="0" y="0"/>
                          <a:ext cx="4877435" cy="2532380"/>
                          <a:chExt cx="4877435" cy="2532380"/>
                        </a:xfrm>
                      </wpg:grpSpPr>
                      <wps:wsp>
                        <wps:cNvPr id="1815" name="Graphic 1815"/>
                        <wps:cNvSpPr/>
                        <wps:spPr>
                          <a:xfrm>
                            <a:off x="198" y="258093"/>
                            <a:ext cx="4876800" cy="2273935"/>
                          </a:xfrm>
                          <a:custGeom>
                            <a:avLst/>
                            <a:gdLst/>
                            <a:ahLst/>
                            <a:cxnLst/>
                            <a:rect l="l" t="t" r="r" b="b"/>
                            <a:pathLst>
                              <a:path w="4876800" h="2273935">
                                <a:moveTo>
                                  <a:pt x="4876800" y="0"/>
                                </a:moveTo>
                                <a:lnTo>
                                  <a:pt x="0" y="0"/>
                                </a:lnTo>
                                <a:lnTo>
                                  <a:pt x="0" y="2199004"/>
                                </a:lnTo>
                                <a:lnTo>
                                  <a:pt x="6159" y="2228103"/>
                                </a:lnTo>
                                <a:lnTo>
                                  <a:pt x="22693" y="2251863"/>
                                </a:lnTo>
                                <a:lnTo>
                                  <a:pt x="46682" y="2267883"/>
                                </a:lnTo>
                                <a:lnTo>
                                  <a:pt x="75209" y="2273757"/>
                                </a:lnTo>
                                <a:lnTo>
                                  <a:pt x="4797920" y="2273757"/>
                                </a:lnTo>
                                <a:lnTo>
                                  <a:pt x="4827020" y="2268502"/>
                                </a:lnTo>
                                <a:lnTo>
                                  <a:pt x="4852271" y="2253516"/>
                                </a:lnTo>
                                <a:lnTo>
                                  <a:pt x="4870066" y="2229962"/>
                                </a:lnTo>
                                <a:lnTo>
                                  <a:pt x="4876800" y="2199004"/>
                                </a:lnTo>
                                <a:lnTo>
                                  <a:pt x="4876800" y="0"/>
                                </a:lnTo>
                                <a:close/>
                              </a:path>
                            </a:pathLst>
                          </a:custGeom>
                          <a:solidFill>
                            <a:srgbClr val="DFEAF7"/>
                          </a:solidFill>
                        </wps:spPr>
                        <wps:bodyPr wrap="square" lIns="0" tIns="0" rIns="0" bIns="0" rtlCol="0">
                          <a:prstTxWarp prst="textNoShape">
                            <a:avLst/>
                          </a:prstTxWarp>
                          <a:noAutofit/>
                        </wps:bodyPr>
                      </wps:wsp>
                      <wps:wsp>
                        <wps:cNvPr id="1816" name="Graphic 1816"/>
                        <wps:cNvSpPr/>
                        <wps:spPr>
                          <a:xfrm>
                            <a:off x="2998918" y="1793472"/>
                            <a:ext cx="499109" cy="1270"/>
                          </a:xfrm>
                          <a:custGeom>
                            <a:avLst/>
                            <a:gdLst/>
                            <a:ahLst/>
                            <a:cxnLst/>
                            <a:rect l="l" t="t" r="r" b="b"/>
                            <a:pathLst>
                              <a:path w="499109" h="0">
                                <a:moveTo>
                                  <a:pt x="0" y="0"/>
                                </a:moveTo>
                                <a:lnTo>
                                  <a:pt x="498703" y="0"/>
                                </a:lnTo>
                              </a:path>
                            </a:pathLst>
                          </a:custGeom>
                          <a:ln w="76200">
                            <a:solidFill>
                              <a:srgbClr val="977F84"/>
                            </a:solidFill>
                            <a:prstDash val="solid"/>
                          </a:ln>
                        </wps:spPr>
                        <wps:bodyPr wrap="square" lIns="0" tIns="0" rIns="0" bIns="0" rtlCol="0">
                          <a:prstTxWarp prst="textNoShape">
                            <a:avLst/>
                          </a:prstTxWarp>
                          <a:noAutofit/>
                        </wps:bodyPr>
                      </wps:wsp>
                      <wps:wsp>
                        <wps:cNvPr id="1817" name="Graphic 1817"/>
                        <wps:cNvSpPr/>
                        <wps:spPr>
                          <a:xfrm>
                            <a:off x="3488310" y="1724043"/>
                            <a:ext cx="69850" cy="139065"/>
                          </a:xfrm>
                          <a:custGeom>
                            <a:avLst/>
                            <a:gdLst/>
                            <a:ahLst/>
                            <a:cxnLst/>
                            <a:rect l="l" t="t" r="r" b="b"/>
                            <a:pathLst>
                              <a:path w="69850" h="139065">
                                <a:moveTo>
                                  <a:pt x="0" y="0"/>
                                </a:moveTo>
                                <a:lnTo>
                                  <a:pt x="0" y="138861"/>
                                </a:lnTo>
                                <a:lnTo>
                                  <a:pt x="69405" y="69430"/>
                                </a:lnTo>
                                <a:lnTo>
                                  <a:pt x="0" y="0"/>
                                </a:lnTo>
                                <a:close/>
                              </a:path>
                            </a:pathLst>
                          </a:custGeom>
                          <a:solidFill>
                            <a:srgbClr val="977F84"/>
                          </a:solidFill>
                        </wps:spPr>
                        <wps:bodyPr wrap="square" lIns="0" tIns="0" rIns="0" bIns="0" rtlCol="0">
                          <a:prstTxWarp prst="textNoShape">
                            <a:avLst/>
                          </a:prstTxWarp>
                          <a:noAutofit/>
                        </wps:bodyPr>
                      </wps:wsp>
                      <wps:wsp>
                        <wps:cNvPr id="1818" name="Graphic 1818"/>
                        <wps:cNvSpPr/>
                        <wps:spPr>
                          <a:xfrm>
                            <a:off x="1940965" y="1793472"/>
                            <a:ext cx="499109" cy="1270"/>
                          </a:xfrm>
                          <a:custGeom>
                            <a:avLst/>
                            <a:gdLst/>
                            <a:ahLst/>
                            <a:cxnLst/>
                            <a:rect l="l" t="t" r="r" b="b"/>
                            <a:pathLst>
                              <a:path w="499109" h="0">
                                <a:moveTo>
                                  <a:pt x="0" y="0"/>
                                </a:moveTo>
                                <a:lnTo>
                                  <a:pt x="498703" y="0"/>
                                </a:lnTo>
                              </a:path>
                            </a:pathLst>
                          </a:custGeom>
                          <a:ln w="76200">
                            <a:solidFill>
                              <a:srgbClr val="008FDD"/>
                            </a:solidFill>
                            <a:prstDash val="solid"/>
                          </a:ln>
                        </wps:spPr>
                        <wps:bodyPr wrap="square" lIns="0" tIns="0" rIns="0" bIns="0" rtlCol="0">
                          <a:prstTxWarp prst="textNoShape">
                            <a:avLst/>
                          </a:prstTxWarp>
                          <a:noAutofit/>
                        </wps:bodyPr>
                      </wps:wsp>
                      <wps:wsp>
                        <wps:cNvPr id="1819" name="Graphic 1819"/>
                        <wps:cNvSpPr/>
                        <wps:spPr>
                          <a:xfrm>
                            <a:off x="2430358" y="1724043"/>
                            <a:ext cx="69850" cy="139065"/>
                          </a:xfrm>
                          <a:custGeom>
                            <a:avLst/>
                            <a:gdLst/>
                            <a:ahLst/>
                            <a:cxnLst/>
                            <a:rect l="l" t="t" r="r" b="b"/>
                            <a:pathLst>
                              <a:path w="69850" h="139065">
                                <a:moveTo>
                                  <a:pt x="0" y="0"/>
                                </a:moveTo>
                                <a:lnTo>
                                  <a:pt x="0" y="138861"/>
                                </a:lnTo>
                                <a:lnTo>
                                  <a:pt x="69405" y="69430"/>
                                </a:lnTo>
                                <a:lnTo>
                                  <a:pt x="0" y="0"/>
                                </a:lnTo>
                                <a:close/>
                              </a:path>
                            </a:pathLst>
                          </a:custGeom>
                          <a:solidFill>
                            <a:srgbClr val="008FDD"/>
                          </a:solidFill>
                        </wps:spPr>
                        <wps:bodyPr wrap="square" lIns="0" tIns="0" rIns="0" bIns="0" rtlCol="0">
                          <a:prstTxWarp prst="textNoShape">
                            <a:avLst/>
                          </a:prstTxWarp>
                          <a:noAutofit/>
                        </wps:bodyPr>
                      </wps:wsp>
                      <wps:wsp>
                        <wps:cNvPr id="1820" name="Graphic 1820"/>
                        <wps:cNvSpPr/>
                        <wps:spPr>
                          <a:xfrm>
                            <a:off x="1554514" y="602818"/>
                            <a:ext cx="499109" cy="1270"/>
                          </a:xfrm>
                          <a:custGeom>
                            <a:avLst/>
                            <a:gdLst/>
                            <a:ahLst/>
                            <a:cxnLst/>
                            <a:rect l="l" t="t" r="r" b="b"/>
                            <a:pathLst>
                              <a:path w="499109" h="0">
                                <a:moveTo>
                                  <a:pt x="0" y="0"/>
                                </a:moveTo>
                                <a:lnTo>
                                  <a:pt x="498703" y="0"/>
                                </a:lnTo>
                              </a:path>
                            </a:pathLst>
                          </a:custGeom>
                          <a:ln w="76200">
                            <a:solidFill>
                              <a:srgbClr val="008FDD"/>
                            </a:solidFill>
                            <a:prstDash val="solid"/>
                          </a:ln>
                        </wps:spPr>
                        <wps:bodyPr wrap="square" lIns="0" tIns="0" rIns="0" bIns="0" rtlCol="0">
                          <a:prstTxWarp prst="textNoShape">
                            <a:avLst/>
                          </a:prstTxWarp>
                          <a:noAutofit/>
                        </wps:bodyPr>
                      </wps:wsp>
                      <wps:wsp>
                        <wps:cNvPr id="1821" name="Graphic 1821"/>
                        <wps:cNvSpPr/>
                        <wps:spPr>
                          <a:xfrm>
                            <a:off x="2043906" y="533389"/>
                            <a:ext cx="69850" cy="139065"/>
                          </a:xfrm>
                          <a:custGeom>
                            <a:avLst/>
                            <a:gdLst/>
                            <a:ahLst/>
                            <a:cxnLst/>
                            <a:rect l="l" t="t" r="r" b="b"/>
                            <a:pathLst>
                              <a:path w="69850" h="139065">
                                <a:moveTo>
                                  <a:pt x="0" y="0"/>
                                </a:moveTo>
                                <a:lnTo>
                                  <a:pt x="0" y="138861"/>
                                </a:lnTo>
                                <a:lnTo>
                                  <a:pt x="69405" y="69430"/>
                                </a:lnTo>
                                <a:lnTo>
                                  <a:pt x="0" y="0"/>
                                </a:lnTo>
                                <a:close/>
                              </a:path>
                            </a:pathLst>
                          </a:custGeom>
                          <a:solidFill>
                            <a:srgbClr val="008FDD"/>
                          </a:solidFill>
                        </wps:spPr>
                        <wps:bodyPr wrap="square" lIns="0" tIns="0" rIns="0" bIns="0" rtlCol="0">
                          <a:prstTxWarp prst="textNoShape">
                            <a:avLst/>
                          </a:prstTxWarp>
                          <a:noAutofit/>
                        </wps:bodyPr>
                      </wps:wsp>
                      <wps:wsp>
                        <wps:cNvPr id="1822" name="Graphic 1822"/>
                        <wps:cNvSpPr/>
                        <wps:spPr>
                          <a:xfrm>
                            <a:off x="2500567" y="602822"/>
                            <a:ext cx="499109" cy="1270"/>
                          </a:xfrm>
                          <a:custGeom>
                            <a:avLst/>
                            <a:gdLst/>
                            <a:ahLst/>
                            <a:cxnLst/>
                            <a:rect l="l" t="t" r="r" b="b"/>
                            <a:pathLst>
                              <a:path w="499109" h="0">
                                <a:moveTo>
                                  <a:pt x="0" y="0"/>
                                </a:moveTo>
                                <a:lnTo>
                                  <a:pt x="498703" y="0"/>
                                </a:lnTo>
                              </a:path>
                            </a:pathLst>
                          </a:custGeom>
                          <a:ln w="76200">
                            <a:solidFill>
                              <a:srgbClr val="008FDD"/>
                            </a:solidFill>
                            <a:prstDash val="solid"/>
                          </a:ln>
                        </wps:spPr>
                        <wps:bodyPr wrap="square" lIns="0" tIns="0" rIns="0" bIns="0" rtlCol="0">
                          <a:prstTxWarp prst="textNoShape">
                            <a:avLst/>
                          </a:prstTxWarp>
                          <a:noAutofit/>
                        </wps:bodyPr>
                      </wps:wsp>
                      <wps:wsp>
                        <wps:cNvPr id="1823" name="Graphic 1823"/>
                        <wps:cNvSpPr/>
                        <wps:spPr>
                          <a:xfrm>
                            <a:off x="2989959" y="533393"/>
                            <a:ext cx="69850" cy="139065"/>
                          </a:xfrm>
                          <a:custGeom>
                            <a:avLst/>
                            <a:gdLst/>
                            <a:ahLst/>
                            <a:cxnLst/>
                            <a:rect l="l" t="t" r="r" b="b"/>
                            <a:pathLst>
                              <a:path w="69850" h="139065">
                                <a:moveTo>
                                  <a:pt x="0" y="0"/>
                                </a:moveTo>
                                <a:lnTo>
                                  <a:pt x="0" y="138861"/>
                                </a:lnTo>
                                <a:lnTo>
                                  <a:pt x="69405" y="69430"/>
                                </a:lnTo>
                                <a:lnTo>
                                  <a:pt x="0" y="0"/>
                                </a:lnTo>
                                <a:close/>
                              </a:path>
                            </a:pathLst>
                          </a:custGeom>
                          <a:solidFill>
                            <a:srgbClr val="008FDD"/>
                          </a:solidFill>
                        </wps:spPr>
                        <wps:bodyPr wrap="square" lIns="0" tIns="0" rIns="0" bIns="0" rtlCol="0">
                          <a:prstTxWarp prst="textNoShape">
                            <a:avLst/>
                          </a:prstTxWarp>
                          <a:noAutofit/>
                        </wps:bodyPr>
                      </wps:wsp>
                      <wps:wsp>
                        <wps:cNvPr id="1824" name="Graphic 1824"/>
                        <wps:cNvSpPr/>
                        <wps:spPr>
                          <a:xfrm>
                            <a:off x="640198" y="602818"/>
                            <a:ext cx="499109" cy="1270"/>
                          </a:xfrm>
                          <a:custGeom>
                            <a:avLst/>
                            <a:gdLst/>
                            <a:ahLst/>
                            <a:cxnLst/>
                            <a:rect l="l" t="t" r="r" b="b"/>
                            <a:pathLst>
                              <a:path w="499109" h="0">
                                <a:moveTo>
                                  <a:pt x="0" y="0"/>
                                </a:moveTo>
                                <a:lnTo>
                                  <a:pt x="498703" y="0"/>
                                </a:lnTo>
                              </a:path>
                            </a:pathLst>
                          </a:custGeom>
                          <a:ln w="76200">
                            <a:solidFill>
                              <a:srgbClr val="977F84"/>
                            </a:solidFill>
                            <a:prstDash val="solid"/>
                          </a:ln>
                        </wps:spPr>
                        <wps:bodyPr wrap="square" lIns="0" tIns="0" rIns="0" bIns="0" rtlCol="0">
                          <a:prstTxWarp prst="textNoShape">
                            <a:avLst/>
                          </a:prstTxWarp>
                          <a:noAutofit/>
                        </wps:bodyPr>
                      </wps:wsp>
                      <wps:wsp>
                        <wps:cNvPr id="1825" name="Graphic 1825"/>
                        <wps:cNvSpPr/>
                        <wps:spPr>
                          <a:xfrm>
                            <a:off x="1129590" y="533389"/>
                            <a:ext cx="69850" cy="139065"/>
                          </a:xfrm>
                          <a:custGeom>
                            <a:avLst/>
                            <a:gdLst/>
                            <a:ahLst/>
                            <a:cxnLst/>
                            <a:rect l="l" t="t" r="r" b="b"/>
                            <a:pathLst>
                              <a:path w="69850" h="139065">
                                <a:moveTo>
                                  <a:pt x="0" y="0"/>
                                </a:moveTo>
                                <a:lnTo>
                                  <a:pt x="0" y="138861"/>
                                </a:lnTo>
                                <a:lnTo>
                                  <a:pt x="69405" y="69430"/>
                                </a:lnTo>
                                <a:lnTo>
                                  <a:pt x="0" y="0"/>
                                </a:lnTo>
                                <a:close/>
                              </a:path>
                            </a:pathLst>
                          </a:custGeom>
                          <a:solidFill>
                            <a:srgbClr val="977F84"/>
                          </a:solidFill>
                        </wps:spPr>
                        <wps:bodyPr wrap="square" lIns="0" tIns="0" rIns="0" bIns="0" rtlCol="0">
                          <a:prstTxWarp prst="textNoShape">
                            <a:avLst/>
                          </a:prstTxWarp>
                          <a:noAutofit/>
                        </wps:bodyPr>
                      </wps:wsp>
                      <wps:wsp>
                        <wps:cNvPr id="1826" name="Graphic 1826"/>
                        <wps:cNvSpPr/>
                        <wps:spPr>
                          <a:xfrm>
                            <a:off x="914754" y="1793472"/>
                            <a:ext cx="499109" cy="1270"/>
                          </a:xfrm>
                          <a:custGeom>
                            <a:avLst/>
                            <a:gdLst/>
                            <a:ahLst/>
                            <a:cxnLst/>
                            <a:rect l="l" t="t" r="r" b="b"/>
                            <a:pathLst>
                              <a:path w="499109" h="0">
                                <a:moveTo>
                                  <a:pt x="0" y="0"/>
                                </a:moveTo>
                                <a:lnTo>
                                  <a:pt x="498703" y="0"/>
                                </a:lnTo>
                              </a:path>
                            </a:pathLst>
                          </a:custGeom>
                          <a:ln w="76200">
                            <a:solidFill>
                              <a:srgbClr val="008FDD"/>
                            </a:solidFill>
                            <a:prstDash val="solid"/>
                          </a:ln>
                        </wps:spPr>
                        <wps:bodyPr wrap="square" lIns="0" tIns="0" rIns="0" bIns="0" rtlCol="0">
                          <a:prstTxWarp prst="textNoShape">
                            <a:avLst/>
                          </a:prstTxWarp>
                          <a:noAutofit/>
                        </wps:bodyPr>
                      </wps:wsp>
                      <wps:wsp>
                        <wps:cNvPr id="1827" name="Graphic 1827"/>
                        <wps:cNvSpPr/>
                        <wps:spPr>
                          <a:xfrm>
                            <a:off x="0" y="0"/>
                            <a:ext cx="1473835" cy="1863089"/>
                          </a:xfrm>
                          <a:custGeom>
                            <a:avLst/>
                            <a:gdLst/>
                            <a:ahLst/>
                            <a:cxnLst/>
                            <a:rect l="l" t="t" r="r" b="b"/>
                            <a:pathLst>
                              <a:path w="1473835" h="1863089">
                                <a:moveTo>
                                  <a:pt x="562978" y="0"/>
                                </a:moveTo>
                                <a:lnTo>
                                  <a:pt x="76200" y="0"/>
                                </a:lnTo>
                                <a:lnTo>
                                  <a:pt x="47205" y="3060"/>
                                </a:lnTo>
                                <a:lnTo>
                                  <a:pt x="22910" y="14516"/>
                                </a:lnTo>
                                <a:lnTo>
                                  <a:pt x="6210" y="37757"/>
                                </a:lnTo>
                                <a:lnTo>
                                  <a:pt x="0" y="76200"/>
                                </a:lnTo>
                                <a:lnTo>
                                  <a:pt x="0" y="231775"/>
                                </a:lnTo>
                                <a:lnTo>
                                  <a:pt x="562978" y="231775"/>
                                </a:lnTo>
                                <a:lnTo>
                                  <a:pt x="562978" y="0"/>
                                </a:lnTo>
                                <a:close/>
                              </a:path>
                              <a:path w="1473835" h="1863089">
                                <a:moveTo>
                                  <a:pt x="1473542" y="1793481"/>
                                </a:moveTo>
                                <a:lnTo>
                                  <a:pt x="1404137" y="1724050"/>
                                </a:lnTo>
                                <a:lnTo>
                                  <a:pt x="1404137" y="1862912"/>
                                </a:lnTo>
                                <a:lnTo>
                                  <a:pt x="1473542" y="1793481"/>
                                </a:lnTo>
                                <a:close/>
                              </a:path>
                            </a:pathLst>
                          </a:custGeom>
                          <a:solidFill>
                            <a:srgbClr val="008FDD"/>
                          </a:solidFill>
                        </wps:spPr>
                        <wps:bodyPr wrap="square" lIns="0" tIns="0" rIns="0" bIns="0" rtlCol="0">
                          <a:prstTxWarp prst="textNoShape">
                            <a:avLst/>
                          </a:prstTxWarp>
                          <a:noAutofit/>
                        </wps:bodyPr>
                      </wps:wsp>
                      <wps:wsp>
                        <wps:cNvPr id="1828" name="Graphic 1828"/>
                        <wps:cNvSpPr/>
                        <wps:spPr>
                          <a:xfrm>
                            <a:off x="562978" y="0"/>
                            <a:ext cx="4313555" cy="231775"/>
                          </a:xfrm>
                          <a:custGeom>
                            <a:avLst/>
                            <a:gdLst/>
                            <a:ahLst/>
                            <a:cxnLst/>
                            <a:rect l="l" t="t" r="r" b="b"/>
                            <a:pathLst>
                              <a:path w="4313555" h="231775">
                                <a:moveTo>
                                  <a:pt x="4237126" y="0"/>
                                </a:moveTo>
                                <a:lnTo>
                                  <a:pt x="0" y="0"/>
                                </a:lnTo>
                                <a:lnTo>
                                  <a:pt x="0" y="231775"/>
                                </a:lnTo>
                                <a:lnTo>
                                  <a:pt x="4313326" y="231775"/>
                                </a:lnTo>
                                <a:lnTo>
                                  <a:pt x="4313326" y="76200"/>
                                </a:lnTo>
                                <a:lnTo>
                                  <a:pt x="4307820" y="50979"/>
                                </a:lnTo>
                                <a:lnTo>
                                  <a:pt x="4292295" y="26265"/>
                                </a:lnTo>
                                <a:lnTo>
                                  <a:pt x="4268235" y="7468"/>
                                </a:lnTo>
                                <a:lnTo>
                                  <a:pt x="4237126" y="0"/>
                                </a:lnTo>
                                <a:close/>
                              </a:path>
                            </a:pathLst>
                          </a:custGeom>
                          <a:solidFill>
                            <a:srgbClr val="808285"/>
                          </a:solidFill>
                        </wps:spPr>
                        <wps:bodyPr wrap="square" lIns="0" tIns="0" rIns="0" bIns="0" rtlCol="0">
                          <a:prstTxWarp prst="textNoShape">
                            <a:avLst/>
                          </a:prstTxWarp>
                          <a:noAutofit/>
                        </wps:bodyPr>
                      </wps:wsp>
                      <wps:wsp>
                        <wps:cNvPr id="1829" name="Graphic 1829"/>
                        <wps:cNvSpPr/>
                        <wps:spPr>
                          <a:xfrm>
                            <a:off x="562979"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wps:wsp>
                        <wps:cNvPr id="1830" name="Graphic 1830"/>
                        <wps:cNvSpPr/>
                        <wps:spPr>
                          <a:xfrm>
                            <a:off x="428307" y="408584"/>
                            <a:ext cx="3641725" cy="1579245"/>
                          </a:xfrm>
                          <a:custGeom>
                            <a:avLst/>
                            <a:gdLst/>
                            <a:ahLst/>
                            <a:cxnLst/>
                            <a:rect l="l" t="t" r="r" b="b"/>
                            <a:pathLst>
                              <a:path w="3641725" h="1579245">
                                <a:moveTo>
                                  <a:pt x="499148" y="1384896"/>
                                </a:moveTo>
                                <a:lnTo>
                                  <a:pt x="494080" y="1345742"/>
                                </a:lnTo>
                                <a:lnTo>
                                  <a:pt x="479539" y="1309293"/>
                                </a:lnTo>
                                <a:lnTo>
                                  <a:pt x="456526" y="1276299"/>
                                </a:lnTo>
                                <a:lnTo>
                                  <a:pt x="426046" y="1247546"/>
                                </a:lnTo>
                                <a:lnTo>
                                  <a:pt x="389115" y="1223835"/>
                                </a:lnTo>
                                <a:lnTo>
                                  <a:pt x="346710" y="1205928"/>
                                </a:lnTo>
                                <a:lnTo>
                                  <a:pt x="299872" y="1194612"/>
                                </a:lnTo>
                                <a:lnTo>
                                  <a:pt x="249567" y="1190663"/>
                                </a:lnTo>
                                <a:lnTo>
                                  <a:pt x="199263" y="1194612"/>
                                </a:lnTo>
                                <a:lnTo>
                                  <a:pt x="152425" y="1205928"/>
                                </a:lnTo>
                                <a:lnTo>
                                  <a:pt x="110032" y="1223835"/>
                                </a:lnTo>
                                <a:lnTo>
                                  <a:pt x="73088" y="1247546"/>
                                </a:lnTo>
                                <a:lnTo>
                                  <a:pt x="42621" y="1276299"/>
                                </a:lnTo>
                                <a:lnTo>
                                  <a:pt x="19608" y="1309293"/>
                                </a:lnTo>
                                <a:lnTo>
                                  <a:pt x="5067" y="1345742"/>
                                </a:lnTo>
                                <a:lnTo>
                                  <a:pt x="0" y="1384896"/>
                                </a:lnTo>
                                <a:lnTo>
                                  <a:pt x="5067" y="1424038"/>
                                </a:lnTo>
                                <a:lnTo>
                                  <a:pt x="19608" y="1460500"/>
                                </a:lnTo>
                                <a:lnTo>
                                  <a:pt x="42621" y="1493494"/>
                                </a:lnTo>
                                <a:lnTo>
                                  <a:pt x="73088" y="1522234"/>
                                </a:lnTo>
                                <a:lnTo>
                                  <a:pt x="110032" y="1545958"/>
                                </a:lnTo>
                                <a:lnTo>
                                  <a:pt x="152425" y="1563865"/>
                                </a:lnTo>
                                <a:lnTo>
                                  <a:pt x="199263" y="1575181"/>
                                </a:lnTo>
                                <a:lnTo>
                                  <a:pt x="249567" y="1579130"/>
                                </a:lnTo>
                                <a:lnTo>
                                  <a:pt x="299872" y="1575181"/>
                                </a:lnTo>
                                <a:lnTo>
                                  <a:pt x="346710" y="1563865"/>
                                </a:lnTo>
                                <a:lnTo>
                                  <a:pt x="389115" y="1545958"/>
                                </a:lnTo>
                                <a:lnTo>
                                  <a:pt x="426046" y="1522234"/>
                                </a:lnTo>
                                <a:lnTo>
                                  <a:pt x="456526" y="1493494"/>
                                </a:lnTo>
                                <a:lnTo>
                                  <a:pt x="479539" y="1460500"/>
                                </a:lnTo>
                                <a:lnTo>
                                  <a:pt x="494080" y="1424038"/>
                                </a:lnTo>
                                <a:lnTo>
                                  <a:pt x="499148" y="1384896"/>
                                </a:lnTo>
                                <a:close/>
                              </a:path>
                              <a:path w="3641725" h="1579245">
                                <a:moveTo>
                                  <a:pt x="1282534" y="194233"/>
                                </a:moveTo>
                                <a:lnTo>
                                  <a:pt x="1277467" y="155092"/>
                                </a:lnTo>
                                <a:lnTo>
                                  <a:pt x="1262926" y="118630"/>
                                </a:lnTo>
                                <a:lnTo>
                                  <a:pt x="1239913" y="85636"/>
                                </a:lnTo>
                                <a:lnTo>
                                  <a:pt x="1209433" y="56896"/>
                                </a:lnTo>
                                <a:lnTo>
                                  <a:pt x="1172502" y="33172"/>
                                </a:lnTo>
                                <a:lnTo>
                                  <a:pt x="1130109" y="15265"/>
                                </a:lnTo>
                                <a:lnTo>
                                  <a:pt x="1083259" y="3949"/>
                                </a:lnTo>
                                <a:lnTo>
                                  <a:pt x="1032954" y="0"/>
                                </a:lnTo>
                                <a:lnTo>
                                  <a:pt x="982662" y="3949"/>
                                </a:lnTo>
                                <a:lnTo>
                                  <a:pt x="935812" y="15265"/>
                                </a:lnTo>
                                <a:lnTo>
                                  <a:pt x="893419" y="33172"/>
                                </a:lnTo>
                                <a:lnTo>
                                  <a:pt x="856488" y="56896"/>
                                </a:lnTo>
                                <a:lnTo>
                                  <a:pt x="826008" y="85636"/>
                                </a:lnTo>
                                <a:lnTo>
                                  <a:pt x="802995" y="118630"/>
                                </a:lnTo>
                                <a:lnTo>
                                  <a:pt x="788454" y="155092"/>
                                </a:lnTo>
                                <a:lnTo>
                                  <a:pt x="783386" y="194233"/>
                                </a:lnTo>
                                <a:lnTo>
                                  <a:pt x="788454" y="233387"/>
                                </a:lnTo>
                                <a:lnTo>
                                  <a:pt x="802995" y="269849"/>
                                </a:lnTo>
                                <a:lnTo>
                                  <a:pt x="826008" y="302844"/>
                                </a:lnTo>
                                <a:lnTo>
                                  <a:pt x="856488" y="331584"/>
                                </a:lnTo>
                                <a:lnTo>
                                  <a:pt x="893419" y="355307"/>
                                </a:lnTo>
                                <a:lnTo>
                                  <a:pt x="935812" y="373214"/>
                                </a:lnTo>
                                <a:lnTo>
                                  <a:pt x="982662" y="384530"/>
                                </a:lnTo>
                                <a:lnTo>
                                  <a:pt x="1032954" y="388467"/>
                                </a:lnTo>
                                <a:lnTo>
                                  <a:pt x="1083259" y="384530"/>
                                </a:lnTo>
                                <a:lnTo>
                                  <a:pt x="1130109" y="373214"/>
                                </a:lnTo>
                                <a:lnTo>
                                  <a:pt x="1172502" y="355307"/>
                                </a:lnTo>
                                <a:lnTo>
                                  <a:pt x="1209433" y="331584"/>
                                </a:lnTo>
                                <a:lnTo>
                                  <a:pt x="1239913" y="302844"/>
                                </a:lnTo>
                                <a:lnTo>
                                  <a:pt x="1262926" y="269849"/>
                                </a:lnTo>
                                <a:lnTo>
                                  <a:pt x="1277467" y="233387"/>
                                </a:lnTo>
                                <a:lnTo>
                                  <a:pt x="1282534" y="194233"/>
                                </a:lnTo>
                                <a:close/>
                              </a:path>
                              <a:path w="3641725" h="1579245">
                                <a:moveTo>
                                  <a:pt x="1557096" y="1384896"/>
                                </a:moveTo>
                                <a:lnTo>
                                  <a:pt x="1552028" y="1345742"/>
                                </a:lnTo>
                                <a:lnTo>
                                  <a:pt x="1537487" y="1309293"/>
                                </a:lnTo>
                                <a:lnTo>
                                  <a:pt x="1514475" y="1276299"/>
                                </a:lnTo>
                                <a:lnTo>
                                  <a:pt x="1483995" y="1247546"/>
                                </a:lnTo>
                                <a:lnTo>
                                  <a:pt x="1447063" y="1223835"/>
                                </a:lnTo>
                                <a:lnTo>
                                  <a:pt x="1404658" y="1205928"/>
                                </a:lnTo>
                                <a:lnTo>
                                  <a:pt x="1357820" y="1194612"/>
                                </a:lnTo>
                                <a:lnTo>
                                  <a:pt x="1307515" y="1190663"/>
                                </a:lnTo>
                                <a:lnTo>
                                  <a:pt x="1257211" y="1194612"/>
                                </a:lnTo>
                                <a:lnTo>
                                  <a:pt x="1210373" y="1205928"/>
                                </a:lnTo>
                                <a:lnTo>
                                  <a:pt x="1167980" y="1223835"/>
                                </a:lnTo>
                                <a:lnTo>
                                  <a:pt x="1131036" y="1247546"/>
                                </a:lnTo>
                                <a:lnTo>
                                  <a:pt x="1100569" y="1276299"/>
                                </a:lnTo>
                                <a:lnTo>
                                  <a:pt x="1077556" y="1309293"/>
                                </a:lnTo>
                                <a:lnTo>
                                  <a:pt x="1063015" y="1345742"/>
                                </a:lnTo>
                                <a:lnTo>
                                  <a:pt x="1057948" y="1384896"/>
                                </a:lnTo>
                                <a:lnTo>
                                  <a:pt x="1063015" y="1424038"/>
                                </a:lnTo>
                                <a:lnTo>
                                  <a:pt x="1077556" y="1460500"/>
                                </a:lnTo>
                                <a:lnTo>
                                  <a:pt x="1100569" y="1493494"/>
                                </a:lnTo>
                                <a:lnTo>
                                  <a:pt x="1131036" y="1522234"/>
                                </a:lnTo>
                                <a:lnTo>
                                  <a:pt x="1167980" y="1545958"/>
                                </a:lnTo>
                                <a:lnTo>
                                  <a:pt x="1210373" y="1563865"/>
                                </a:lnTo>
                                <a:lnTo>
                                  <a:pt x="1257211" y="1575181"/>
                                </a:lnTo>
                                <a:lnTo>
                                  <a:pt x="1307515" y="1579130"/>
                                </a:lnTo>
                                <a:lnTo>
                                  <a:pt x="1357820" y="1575181"/>
                                </a:lnTo>
                                <a:lnTo>
                                  <a:pt x="1404658" y="1563865"/>
                                </a:lnTo>
                                <a:lnTo>
                                  <a:pt x="1447063" y="1545958"/>
                                </a:lnTo>
                                <a:lnTo>
                                  <a:pt x="1483995" y="1522234"/>
                                </a:lnTo>
                                <a:lnTo>
                                  <a:pt x="1514475" y="1493494"/>
                                </a:lnTo>
                                <a:lnTo>
                                  <a:pt x="1537487" y="1460500"/>
                                </a:lnTo>
                                <a:lnTo>
                                  <a:pt x="1552028" y="1424038"/>
                                </a:lnTo>
                                <a:lnTo>
                                  <a:pt x="1557096" y="1384896"/>
                                </a:lnTo>
                                <a:close/>
                              </a:path>
                              <a:path w="3641725" h="1579245">
                                <a:moveTo>
                                  <a:pt x="2067483" y="850963"/>
                                </a:moveTo>
                                <a:lnTo>
                                  <a:pt x="2048344" y="778243"/>
                                </a:lnTo>
                                <a:lnTo>
                                  <a:pt x="2025713" y="745782"/>
                                </a:lnTo>
                                <a:lnTo>
                                  <a:pt x="1995525" y="716699"/>
                                </a:lnTo>
                                <a:lnTo>
                                  <a:pt x="1958644" y="691578"/>
                                </a:lnTo>
                                <a:lnTo>
                                  <a:pt x="1915934" y="671017"/>
                                </a:lnTo>
                                <a:lnTo>
                                  <a:pt x="1868271" y="655599"/>
                                </a:lnTo>
                                <a:lnTo>
                                  <a:pt x="1816493" y="645922"/>
                                </a:lnTo>
                                <a:lnTo>
                                  <a:pt x="1761490" y="642569"/>
                                </a:lnTo>
                                <a:lnTo>
                                  <a:pt x="1706499" y="645922"/>
                                </a:lnTo>
                                <a:lnTo>
                                  <a:pt x="1654733" y="655599"/>
                                </a:lnTo>
                                <a:lnTo>
                                  <a:pt x="1607058" y="671017"/>
                                </a:lnTo>
                                <a:lnTo>
                                  <a:pt x="1564360" y="691578"/>
                                </a:lnTo>
                                <a:lnTo>
                                  <a:pt x="1527479" y="716699"/>
                                </a:lnTo>
                                <a:lnTo>
                                  <a:pt x="1497291" y="745782"/>
                                </a:lnTo>
                                <a:lnTo>
                                  <a:pt x="1474660" y="778243"/>
                                </a:lnTo>
                                <a:lnTo>
                                  <a:pt x="1455508" y="850963"/>
                                </a:lnTo>
                                <a:lnTo>
                                  <a:pt x="1460436" y="888415"/>
                                </a:lnTo>
                                <a:lnTo>
                                  <a:pt x="1497291" y="956132"/>
                                </a:lnTo>
                                <a:lnTo>
                                  <a:pt x="1527479" y="985227"/>
                                </a:lnTo>
                                <a:lnTo>
                                  <a:pt x="1564360" y="1010335"/>
                                </a:lnTo>
                                <a:lnTo>
                                  <a:pt x="1607058" y="1030897"/>
                                </a:lnTo>
                                <a:lnTo>
                                  <a:pt x="1654733" y="1046314"/>
                                </a:lnTo>
                                <a:lnTo>
                                  <a:pt x="1706499" y="1055992"/>
                                </a:lnTo>
                                <a:lnTo>
                                  <a:pt x="1761490" y="1059357"/>
                                </a:lnTo>
                                <a:lnTo>
                                  <a:pt x="1816493" y="1055992"/>
                                </a:lnTo>
                                <a:lnTo>
                                  <a:pt x="1868271" y="1046314"/>
                                </a:lnTo>
                                <a:lnTo>
                                  <a:pt x="1915934" y="1030897"/>
                                </a:lnTo>
                                <a:lnTo>
                                  <a:pt x="1958644" y="1010335"/>
                                </a:lnTo>
                                <a:lnTo>
                                  <a:pt x="1995525" y="985227"/>
                                </a:lnTo>
                                <a:lnTo>
                                  <a:pt x="2025713" y="956132"/>
                                </a:lnTo>
                                <a:lnTo>
                                  <a:pt x="2048344" y="923671"/>
                                </a:lnTo>
                                <a:lnTo>
                                  <a:pt x="2067483" y="850963"/>
                                </a:lnTo>
                                <a:close/>
                              </a:path>
                              <a:path w="3641725" h="1579245">
                                <a:moveTo>
                                  <a:pt x="2212721" y="194233"/>
                                </a:moveTo>
                                <a:lnTo>
                                  <a:pt x="2207653" y="155092"/>
                                </a:lnTo>
                                <a:lnTo>
                                  <a:pt x="2193112" y="118630"/>
                                </a:lnTo>
                                <a:lnTo>
                                  <a:pt x="2170099" y="85636"/>
                                </a:lnTo>
                                <a:lnTo>
                                  <a:pt x="2139619" y="56896"/>
                                </a:lnTo>
                                <a:lnTo>
                                  <a:pt x="2102688" y="33172"/>
                                </a:lnTo>
                                <a:lnTo>
                                  <a:pt x="2060295" y="15265"/>
                                </a:lnTo>
                                <a:lnTo>
                                  <a:pt x="2013445" y="3949"/>
                                </a:lnTo>
                                <a:lnTo>
                                  <a:pt x="1963140" y="0"/>
                                </a:lnTo>
                                <a:lnTo>
                                  <a:pt x="1912848" y="3949"/>
                                </a:lnTo>
                                <a:lnTo>
                                  <a:pt x="1865998" y="15265"/>
                                </a:lnTo>
                                <a:lnTo>
                                  <a:pt x="1823605" y="33172"/>
                                </a:lnTo>
                                <a:lnTo>
                                  <a:pt x="1786674" y="56896"/>
                                </a:lnTo>
                                <a:lnTo>
                                  <a:pt x="1756194" y="85636"/>
                                </a:lnTo>
                                <a:lnTo>
                                  <a:pt x="1733181" y="118630"/>
                                </a:lnTo>
                                <a:lnTo>
                                  <a:pt x="1718640" y="155092"/>
                                </a:lnTo>
                                <a:lnTo>
                                  <a:pt x="1713572" y="194233"/>
                                </a:lnTo>
                                <a:lnTo>
                                  <a:pt x="1718640" y="233387"/>
                                </a:lnTo>
                                <a:lnTo>
                                  <a:pt x="1733181" y="269849"/>
                                </a:lnTo>
                                <a:lnTo>
                                  <a:pt x="1756194" y="302844"/>
                                </a:lnTo>
                                <a:lnTo>
                                  <a:pt x="1786674" y="331584"/>
                                </a:lnTo>
                                <a:lnTo>
                                  <a:pt x="1823605" y="355307"/>
                                </a:lnTo>
                                <a:lnTo>
                                  <a:pt x="1865998" y="373214"/>
                                </a:lnTo>
                                <a:lnTo>
                                  <a:pt x="1912848" y="384530"/>
                                </a:lnTo>
                                <a:lnTo>
                                  <a:pt x="1963140" y="388467"/>
                                </a:lnTo>
                                <a:lnTo>
                                  <a:pt x="2013445" y="384530"/>
                                </a:lnTo>
                                <a:lnTo>
                                  <a:pt x="2060295" y="373214"/>
                                </a:lnTo>
                                <a:lnTo>
                                  <a:pt x="2102688" y="355307"/>
                                </a:lnTo>
                                <a:lnTo>
                                  <a:pt x="2139619" y="331584"/>
                                </a:lnTo>
                                <a:lnTo>
                                  <a:pt x="2170099" y="302844"/>
                                </a:lnTo>
                                <a:lnTo>
                                  <a:pt x="2193112" y="269849"/>
                                </a:lnTo>
                                <a:lnTo>
                                  <a:pt x="2207653" y="233387"/>
                                </a:lnTo>
                                <a:lnTo>
                                  <a:pt x="2212721" y="194233"/>
                                </a:lnTo>
                                <a:close/>
                              </a:path>
                              <a:path w="3641725" h="1579245">
                                <a:moveTo>
                                  <a:pt x="3641255" y="1384896"/>
                                </a:moveTo>
                                <a:lnTo>
                                  <a:pt x="3636187" y="1345742"/>
                                </a:lnTo>
                                <a:lnTo>
                                  <a:pt x="3621646" y="1309293"/>
                                </a:lnTo>
                                <a:lnTo>
                                  <a:pt x="3598634" y="1276299"/>
                                </a:lnTo>
                                <a:lnTo>
                                  <a:pt x="3568154" y="1247546"/>
                                </a:lnTo>
                                <a:lnTo>
                                  <a:pt x="3531222" y="1223835"/>
                                </a:lnTo>
                                <a:lnTo>
                                  <a:pt x="3488829" y="1205928"/>
                                </a:lnTo>
                                <a:lnTo>
                                  <a:pt x="3441979" y="1194612"/>
                                </a:lnTo>
                                <a:lnTo>
                                  <a:pt x="3391674" y="1190663"/>
                                </a:lnTo>
                                <a:lnTo>
                                  <a:pt x="3341382" y="1194612"/>
                                </a:lnTo>
                                <a:lnTo>
                                  <a:pt x="3294532" y="1205928"/>
                                </a:lnTo>
                                <a:lnTo>
                                  <a:pt x="3252139" y="1223835"/>
                                </a:lnTo>
                                <a:lnTo>
                                  <a:pt x="3215208" y="1247546"/>
                                </a:lnTo>
                                <a:lnTo>
                                  <a:pt x="3184728" y="1276299"/>
                                </a:lnTo>
                                <a:lnTo>
                                  <a:pt x="3161715" y="1309293"/>
                                </a:lnTo>
                                <a:lnTo>
                                  <a:pt x="3147174" y="1345742"/>
                                </a:lnTo>
                                <a:lnTo>
                                  <a:pt x="3142107" y="1384896"/>
                                </a:lnTo>
                                <a:lnTo>
                                  <a:pt x="3147174" y="1424038"/>
                                </a:lnTo>
                                <a:lnTo>
                                  <a:pt x="3161715" y="1460500"/>
                                </a:lnTo>
                                <a:lnTo>
                                  <a:pt x="3184728" y="1493494"/>
                                </a:lnTo>
                                <a:lnTo>
                                  <a:pt x="3215208" y="1522234"/>
                                </a:lnTo>
                                <a:lnTo>
                                  <a:pt x="3252139" y="1545958"/>
                                </a:lnTo>
                                <a:lnTo>
                                  <a:pt x="3294532" y="1563865"/>
                                </a:lnTo>
                                <a:lnTo>
                                  <a:pt x="3341382" y="1575181"/>
                                </a:lnTo>
                                <a:lnTo>
                                  <a:pt x="3391674" y="1579130"/>
                                </a:lnTo>
                                <a:lnTo>
                                  <a:pt x="3441979" y="1575181"/>
                                </a:lnTo>
                                <a:lnTo>
                                  <a:pt x="3488829" y="1563865"/>
                                </a:lnTo>
                                <a:lnTo>
                                  <a:pt x="3531222" y="1545958"/>
                                </a:lnTo>
                                <a:lnTo>
                                  <a:pt x="3568154" y="1522234"/>
                                </a:lnTo>
                                <a:lnTo>
                                  <a:pt x="3598634" y="1493494"/>
                                </a:lnTo>
                                <a:lnTo>
                                  <a:pt x="3621646" y="1460500"/>
                                </a:lnTo>
                                <a:lnTo>
                                  <a:pt x="3636187" y="1424038"/>
                                </a:lnTo>
                                <a:lnTo>
                                  <a:pt x="3641255" y="1384896"/>
                                </a:lnTo>
                                <a:close/>
                              </a:path>
                            </a:pathLst>
                          </a:custGeom>
                          <a:solidFill>
                            <a:srgbClr val="008FDD"/>
                          </a:solidFill>
                        </wps:spPr>
                        <wps:bodyPr wrap="square" lIns="0" tIns="0" rIns="0" bIns="0" rtlCol="0">
                          <a:prstTxWarp prst="textNoShape">
                            <a:avLst/>
                          </a:prstTxWarp>
                          <a:noAutofit/>
                        </wps:bodyPr>
                      </wps:wsp>
                      <wps:wsp>
                        <wps:cNvPr id="1831" name="Graphic 1831"/>
                        <wps:cNvSpPr/>
                        <wps:spPr>
                          <a:xfrm>
                            <a:off x="297385" y="408581"/>
                            <a:ext cx="499745" cy="388620"/>
                          </a:xfrm>
                          <a:custGeom>
                            <a:avLst/>
                            <a:gdLst/>
                            <a:ahLst/>
                            <a:cxnLst/>
                            <a:rect l="l" t="t" r="r" b="b"/>
                            <a:pathLst>
                              <a:path w="499745" h="388620">
                                <a:moveTo>
                                  <a:pt x="249567" y="0"/>
                                </a:moveTo>
                                <a:lnTo>
                                  <a:pt x="199270" y="3945"/>
                                </a:lnTo>
                                <a:lnTo>
                                  <a:pt x="152424" y="15263"/>
                                </a:lnTo>
                                <a:lnTo>
                                  <a:pt x="110031" y="33170"/>
                                </a:lnTo>
                                <a:lnTo>
                                  <a:pt x="73096" y="56888"/>
                                </a:lnTo>
                                <a:lnTo>
                                  <a:pt x="42622" y="85633"/>
                                </a:lnTo>
                                <a:lnTo>
                                  <a:pt x="19612" y="118627"/>
                                </a:lnTo>
                                <a:lnTo>
                                  <a:pt x="5070" y="155087"/>
                                </a:lnTo>
                                <a:lnTo>
                                  <a:pt x="0" y="194233"/>
                                </a:lnTo>
                                <a:lnTo>
                                  <a:pt x="5070" y="233379"/>
                                </a:lnTo>
                                <a:lnTo>
                                  <a:pt x="19612" y="269840"/>
                                </a:lnTo>
                                <a:lnTo>
                                  <a:pt x="42622" y="302833"/>
                                </a:lnTo>
                                <a:lnTo>
                                  <a:pt x="73096" y="331579"/>
                                </a:lnTo>
                                <a:lnTo>
                                  <a:pt x="110031" y="355296"/>
                                </a:lnTo>
                                <a:lnTo>
                                  <a:pt x="152424" y="373204"/>
                                </a:lnTo>
                                <a:lnTo>
                                  <a:pt x="199270" y="384521"/>
                                </a:lnTo>
                                <a:lnTo>
                                  <a:pt x="249567" y="388467"/>
                                </a:lnTo>
                                <a:lnTo>
                                  <a:pt x="299868" y="384521"/>
                                </a:lnTo>
                                <a:lnTo>
                                  <a:pt x="346718" y="373204"/>
                                </a:lnTo>
                                <a:lnTo>
                                  <a:pt x="389113" y="355296"/>
                                </a:lnTo>
                                <a:lnTo>
                                  <a:pt x="426050" y="331579"/>
                                </a:lnTo>
                                <a:lnTo>
                                  <a:pt x="456525" y="302833"/>
                                </a:lnTo>
                                <a:lnTo>
                                  <a:pt x="479535" y="269840"/>
                                </a:lnTo>
                                <a:lnTo>
                                  <a:pt x="494077" y="233379"/>
                                </a:lnTo>
                                <a:lnTo>
                                  <a:pt x="499148" y="194233"/>
                                </a:lnTo>
                                <a:lnTo>
                                  <a:pt x="494077" y="155087"/>
                                </a:lnTo>
                                <a:lnTo>
                                  <a:pt x="479535" y="118627"/>
                                </a:lnTo>
                                <a:lnTo>
                                  <a:pt x="456525" y="85633"/>
                                </a:lnTo>
                                <a:lnTo>
                                  <a:pt x="426050" y="56888"/>
                                </a:lnTo>
                                <a:lnTo>
                                  <a:pt x="389113" y="33170"/>
                                </a:lnTo>
                                <a:lnTo>
                                  <a:pt x="346718" y="15263"/>
                                </a:lnTo>
                                <a:lnTo>
                                  <a:pt x="299868" y="3945"/>
                                </a:lnTo>
                                <a:lnTo>
                                  <a:pt x="249567" y="0"/>
                                </a:lnTo>
                                <a:close/>
                              </a:path>
                            </a:pathLst>
                          </a:custGeom>
                          <a:solidFill>
                            <a:srgbClr val="977F84"/>
                          </a:solidFill>
                        </wps:spPr>
                        <wps:bodyPr wrap="square" lIns="0" tIns="0" rIns="0" bIns="0" rtlCol="0">
                          <a:prstTxWarp prst="textNoShape">
                            <a:avLst/>
                          </a:prstTxWarp>
                          <a:noAutofit/>
                        </wps:bodyPr>
                      </wps:wsp>
                      <wps:wsp>
                        <wps:cNvPr id="1832" name="Graphic 1832"/>
                        <wps:cNvSpPr/>
                        <wps:spPr>
                          <a:xfrm>
                            <a:off x="3072071" y="408588"/>
                            <a:ext cx="499745" cy="388620"/>
                          </a:xfrm>
                          <a:custGeom>
                            <a:avLst/>
                            <a:gdLst/>
                            <a:ahLst/>
                            <a:cxnLst/>
                            <a:rect l="l" t="t" r="r" b="b"/>
                            <a:pathLst>
                              <a:path w="499745" h="388620">
                                <a:moveTo>
                                  <a:pt x="249567" y="0"/>
                                </a:moveTo>
                                <a:lnTo>
                                  <a:pt x="199270" y="3945"/>
                                </a:lnTo>
                                <a:lnTo>
                                  <a:pt x="152424" y="15263"/>
                                </a:lnTo>
                                <a:lnTo>
                                  <a:pt x="110031" y="33170"/>
                                </a:lnTo>
                                <a:lnTo>
                                  <a:pt x="73096" y="56888"/>
                                </a:lnTo>
                                <a:lnTo>
                                  <a:pt x="42622" y="85633"/>
                                </a:lnTo>
                                <a:lnTo>
                                  <a:pt x="19612" y="118627"/>
                                </a:lnTo>
                                <a:lnTo>
                                  <a:pt x="5070" y="155087"/>
                                </a:lnTo>
                                <a:lnTo>
                                  <a:pt x="0" y="194233"/>
                                </a:lnTo>
                                <a:lnTo>
                                  <a:pt x="5070" y="233379"/>
                                </a:lnTo>
                                <a:lnTo>
                                  <a:pt x="19612" y="269840"/>
                                </a:lnTo>
                                <a:lnTo>
                                  <a:pt x="42622" y="302833"/>
                                </a:lnTo>
                                <a:lnTo>
                                  <a:pt x="73096" y="331579"/>
                                </a:lnTo>
                                <a:lnTo>
                                  <a:pt x="110031" y="355296"/>
                                </a:lnTo>
                                <a:lnTo>
                                  <a:pt x="152424" y="373204"/>
                                </a:lnTo>
                                <a:lnTo>
                                  <a:pt x="199270" y="384521"/>
                                </a:lnTo>
                                <a:lnTo>
                                  <a:pt x="249567" y="388467"/>
                                </a:lnTo>
                                <a:lnTo>
                                  <a:pt x="299868" y="384521"/>
                                </a:lnTo>
                                <a:lnTo>
                                  <a:pt x="346718" y="373204"/>
                                </a:lnTo>
                                <a:lnTo>
                                  <a:pt x="389113" y="355296"/>
                                </a:lnTo>
                                <a:lnTo>
                                  <a:pt x="426050" y="331579"/>
                                </a:lnTo>
                                <a:lnTo>
                                  <a:pt x="456525" y="302833"/>
                                </a:lnTo>
                                <a:lnTo>
                                  <a:pt x="479535" y="269840"/>
                                </a:lnTo>
                                <a:lnTo>
                                  <a:pt x="494077" y="233379"/>
                                </a:lnTo>
                                <a:lnTo>
                                  <a:pt x="499148" y="194233"/>
                                </a:lnTo>
                                <a:lnTo>
                                  <a:pt x="494077" y="155087"/>
                                </a:lnTo>
                                <a:lnTo>
                                  <a:pt x="479535" y="118627"/>
                                </a:lnTo>
                                <a:lnTo>
                                  <a:pt x="456525" y="85633"/>
                                </a:lnTo>
                                <a:lnTo>
                                  <a:pt x="426050" y="56888"/>
                                </a:lnTo>
                                <a:lnTo>
                                  <a:pt x="389113" y="33170"/>
                                </a:lnTo>
                                <a:lnTo>
                                  <a:pt x="346718" y="15263"/>
                                </a:lnTo>
                                <a:lnTo>
                                  <a:pt x="299868" y="3945"/>
                                </a:lnTo>
                                <a:lnTo>
                                  <a:pt x="249567" y="0"/>
                                </a:lnTo>
                                <a:close/>
                              </a:path>
                            </a:pathLst>
                          </a:custGeom>
                          <a:solidFill>
                            <a:srgbClr val="008FDD"/>
                          </a:solidFill>
                        </wps:spPr>
                        <wps:bodyPr wrap="square" lIns="0" tIns="0" rIns="0" bIns="0" rtlCol="0">
                          <a:prstTxWarp prst="textNoShape">
                            <a:avLst/>
                          </a:prstTxWarp>
                          <a:noAutofit/>
                        </wps:bodyPr>
                      </wps:wsp>
                      <wps:wsp>
                        <wps:cNvPr id="1833" name="Graphic 1833"/>
                        <wps:cNvSpPr/>
                        <wps:spPr>
                          <a:xfrm>
                            <a:off x="2512470" y="1599238"/>
                            <a:ext cx="499745" cy="388620"/>
                          </a:xfrm>
                          <a:custGeom>
                            <a:avLst/>
                            <a:gdLst/>
                            <a:ahLst/>
                            <a:cxnLst/>
                            <a:rect l="l" t="t" r="r" b="b"/>
                            <a:pathLst>
                              <a:path w="499745" h="388620">
                                <a:moveTo>
                                  <a:pt x="249567" y="0"/>
                                </a:moveTo>
                                <a:lnTo>
                                  <a:pt x="199270" y="3945"/>
                                </a:lnTo>
                                <a:lnTo>
                                  <a:pt x="152424" y="15263"/>
                                </a:lnTo>
                                <a:lnTo>
                                  <a:pt x="110031" y="33170"/>
                                </a:lnTo>
                                <a:lnTo>
                                  <a:pt x="73096" y="56888"/>
                                </a:lnTo>
                                <a:lnTo>
                                  <a:pt x="42622" y="85633"/>
                                </a:lnTo>
                                <a:lnTo>
                                  <a:pt x="19612" y="118627"/>
                                </a:lnTo>
                                <a:lnTo>
                                  <a:pt x="5070" y="155087"/>
                                </a:lnTo>
                                <a:lnTo>
                                  <a:pt x="0" y="194233"/>
                                </a:lnTo>
                                <a:lnTo>
                                  <a:pt x="5070" y="233379"/>
                                </a:lnTo>
                                <a:lnTo>
                                  <a:pt x="19612" y="269840"/>
                                </a:lnTo>
                                <a:lnTo>
                                  <a:pt x="42622" y="302833"/>
                                </a:lnTo>
                                <a:lnTo>
                                  <a:pt x="73096" y="331579"/>
                                </a:lnTo>
                                <a:lnTo>
                                  <a:pt x="110031" y="355296"/>
                                </a:lnTo>
                                <a:lnTo>
                                  <a:pt x="152424" y="373204"/>
                                </a:lnTo>
                                <a:lnTo>
                                  <a:pt x="199270" y="384521"/>
                                </a:lnTo>
                                <a:lnTo>
                                  <a:pt x="249567" y="388467"/>
                                </a:lnTo>
                                <a:lnTo>
                                  <a:pt x="299868" y="384521"/>
                                </a:lnTo>
                                <a:lnTo>
                                  <a:pt x="346718" y="373204"/>
                                </a:lnTo>
                                <a:lnTo>
                                  <a:pt x="389113" y="355296"/>
                                </a:lnTo>
                                <a:lnTo>
                                  <a:pt x="426050" y="331579"/>
                                </a:lnTo>
                                <a:lnTo>
                                  <a:pt x="456525" y="302833"/>
                                </a:lnTo>
                                <a:lnTo>
                                  <a:pt x="479535" y="269840"/>
                                </a:lnTo>
                                <a:lnTo>
                                  <a:pt x="494077" y="233379"/>
                                </a:lnTo>
                                <a:lnTo>
                                  <a:pt x="499148" y="194233"/>
                                </a:lnTo>
                                <a:lnTo>
                                  <a:pt x="494077" y="155087"/>
                                </a:lnTo>
                                <a:lnTo>
                                  <a:pt x="479535" y="118627"/>
                                </a:lnTo>
                                <a:lnTo>
                                  <a:pt x="456525" y="85633"/>
                                </a:lnTo>
                                <a:lnTo>
                                  <a:pt x="426050" y="56888"/>
                                </a:lnTo>
                                <a:lnTo>
                                  <a:pt x="389113" y="33170"/>
                                </a:lnTo>
                                <a:lnTo>
                                  <a:pt x="346718" y="15263"/>
                                </a:lnTo>
                                <a:lnTo>
                                  <a:pt x="299868" y="3945"/>
                                </a:lnTo>
                                <a:lnTo>
                                  <a:pt x="249567" y="0"/>
                                </a:lnTo>
                                <a:close/>
                              </a:path>
                            </a:pathLst>
                          </a:custGeom>
                          <a:solidFill>
                            <a:srgbClr val="977F84"/>
                          </a:solidFill>
                        </wps:spPr>
                        <wps:bodyPr wrap="square" lIns="0" tIns="0" rIns="0" bIns="0" rtlCol="0">
                          <a:prstTxWarp prst="textNoShape">
                            <a:avLst/>
                          </a:prstTxWarp>
                          <a:noAutofit/>
                        </wps:bodyPr>
                      </wps:wsp>
                      <wps:wsp>
                        <wps:cNvPr id="1834" name="Graphic 1834"/>
                        <wps:cNvSpPr/>
                        <wps:spPr>
                          <a:xfrm>
                            <a:off x="1563547" y="1937075"/>
                            <a:ext cx="226060" cy="220979"/>
                          </a:xfrm>
                          <a:custGeom>
                            <a:avLst/>
                            <a:gdLst/>
                            <a:ahLst/>
                            <a:cxnLst/>
                            <a:rect l="l" t="t" r="r" b="b"/>
                            <a:pathLst>
                              <a:path w="226060" h="220979">
                                <a:moveTo>
                                  <a:pt x="148375" y="0"/>
                                </a:moveTo>
                                <a:lnTo>
                                  <a:pt x="182253" y="17453"/>
                                </a:lnTo>
                                <a:lnTo>
                                  <a:pt x="217325" y="62798"/>
                                </a:lnTo>
                                <a:lnTo>
                                  <a:pt x="225880" y="105100"/>
                                </a:lnTo>
                                <a:lnTo>
                                  <a:pt x="217895" y="147823"/>
                                </a:lnTo>
                                <a:lnTo>
                                  <a:pt x="193333" y="185826"/>
                                </a:lnTo>
                                <a:lnTo>
                                  <a:pt x="156142" y="211593"/>
                                </a:lnTo>
                                <a:lnTo>
                                  <a:pt x="113699" y="220948"/>
                                </a:lnTo>
                                <a:lnTo>
                                  <a:pt x="71145" y="213758"/>
                                </a:lnTo>
                                <a:lnTo>
                                  <a:pt x="33618" y="189890"/>
                                </a:lnTo>
                                <a:lnTo>
                                  <a:pt x="15160" y="166413"/>
                                </a:lnTo>
                                <a:lnTo>
                                  <a:pt x="3951" y="139730"/>
                                </a:lnTo>
                                <a:lnTo>
                                  <a:pt x="0" y="111339"/>
                                </a:lnTo>
                                <a:lnTo>
                                  <a:pt x="3316" y="82740"/>
                                </a:lnTo>
                              </a:path>
                            </a:pathLst>
                          </a:custGeom>
                          <a:ln w="76200">
                            <a:solidFill>
                              <a:srgbClr val="008FDD"/>
                            </a:solidFill>
                            <a:prstDash val="solid"/>
                          </a:ln>
                        </wps:spPr>
                        <wps:bodyPr wrap="square" lIns="0" tIns="0" rIns="0" bIns="0" rtlCol="0">
                          <a:prstTxWarp prst="textNoShape">
                            <a:avLst/>
                          </a:prstTxWarp>
                          <a:noAutofit/>
                        </wps:bodyPr>
                      </wps:wsp>
                      <wps:wsp>
                        <wps:cNvPr id="1835" name="Graphic 1835"/>
                        <wps:cNvSpPr/>
                        <wps:spPr>
                          <a:xfrm>
                            <a:off x="1502426" y="1967195"/>
                            <a:ext cx="123189" cy="93980"/>
                          </a:xfrm>
                          <a:custGeom>
                            <a:avLst/>
                            <a:gdLst/>
                            <a:ahLst/>
                            <a:cxnLst/>
                            <a:rect l="l" t="t" r="r" b="b"/>
                            <a:pathLst>
                              <a:path w="123189" h="93980">
                                <a:moveTo>
                                  <a:pt x="93662" y="0"/>
                                </a:moveTo>
                                <a:lnTo>
                                  <a:pt x="0" y="29425"/>
                                </a:lnTo>
                                <a:lnTo>
                                  <a:pt x="123113" y="93649"/>
                                </a:lnTo>
                                <a:lnTo>
                                  <a:pt x="93662" y="0"/>
                                </a:lnTo>
                                <a:close/>
                              </a:path>
                            </a:pathLst>
                          </a:custGeom>
                          <a:solidFill>
                            <a:srgbClr val="008FDD"/>
                          </a:solidFill>
                        </wps:spPr>
                        <wps:bodyPr wrap="square" lIns="0" tIns="0" rIns="0" bIns="0" rtlCol="0">
                          <a:prstTxWarp prst="textNoShape">
                            <a:avLst/>
                          </a:prstTxWarp>
                          <a:noAutofit/>
                        </wps:bodyPr>
                      </wps:wsp>
                      <wps:wsp>
                        <wps:cNvPr id="1836" name="Graphic 1836"/>
                        <wps:cNvSpPr/>
                        <wps:spPr>
                          <a:xfrm>
                            <a:off x="2589758" y="1937075"/>
                            <a:ext cx="226060" cy="220979"/>
                          </a:xfrm>
                          <a:custGeom>
                            <a:avLst/>
                            <a:gdLst/>
                            <a:ahLst/>
                            <a:cxnLst/>
                            <a:rect l="l" t="t" r="r" b="b"/>
                            <a:pathLst>
                              <a:path w="226060" h="220979">
                                <a:moveTo>
                                  <a:pt x="148375" y="0"/>
                                </a:moveTo>
                                <a:lnTo>
                                  <a:pt x="182253" y="17453"/>
                                </a:lnTo>
                                <a:lnTo>
                                  <a:pt x="217325" y="62798"/>
                                </a:lnTo>
                                <a:lnTo>
                                  <a:pt x="225880" y="105100"/>
                                </a:lnTo>
                                <a:lnTo>
                                  <a:pt x="217895" y="147823"/>
                                </a:lnTo>
                                <a:lnTo>
                                  <a:pt x="193333" y="185826"/>
                                </a:lnTo>
                                <a:lnTo>
                                  <a:pt x="156142" y="211593"/>
                                </a:lnTo>
                                <a:lnTo>
                                  <a:pt x="113699" y="220948"/>
                                </a:lnTo>
                                <a:lnTo>
                                  <a:pt x="71145" y="213758"/>
                                </a:lnTo>
                                <a:lnTo>
                                  <a:pt x="33618" y="189890"/>
                                </a:lnTo>
                                <a:lnTo>
                                  <a:pt x="15160" y="166413"/>
                                </a:lnTo>
                                <a:lnTo>
                                  <a:pt x="3951" y="139730"/>
                                </a:lnTo>
                                <a:lnTo>
                                  <a:pt x="0" y="111339"/>
                                </a:lnTo>
                                <a:lnTo>
                                  <a:pt x="3316" y="82740"/>
                                </a:lnTo>
                              </a:path>
                            </a:pathLst>
                          </a:custGeom>
                          <a:ln w="76200">
                            <a:solidFill>
                              <a:srgbClr val="977F84"/>
                            </a:solidFill>
                            <a:prstDash val="solid"/>
                          </a:ln>
                        </wps:spPr>
                        <wps:bodyPr wrap="square" lIns="0" tIns="0" rIns="0" bIns="0" rtlCol="0">
                          <a:prstTxWarp prst="textNoShape">
                            <a:avLst/>
                          </a:prstTxWarp>
                          <a:noAutofit/>
                        </wps:bodyPr>
                      </wps:wsp>
                      <wps:wsp>
                        <wps:cNvPr id="1837" name="Graphic 1837"/>
                        <wps:cNvSpPr/>
                        <wps:spPr>
                          <a:xfrm>
                            <a:off x="2528635" y="1967195"/>
                            <a:ext cx="123189" cy="93980"/>
                          </a:xfrm>
                          <a:custGeom>
                            <a:avLst/>
                            <a:gdLst/>
                            <a:ahLst/>
                            <a:cxnLst/>
                            <a:rect l="l" t="t" r="r" b="b"/>
                            <a:pathLst>
                              <a:path w="123189" h="93980">
                                <a:moveTo>
                                  <a:pt x="93662" y="0"/>
                                </a:moveTo>
                                <a:lnTo>
                                  <a:pt x="0" y="29425"/>
                                </a:lnTo>
                                <a:lnTo>
                                  <a:pt x="123113" y="93649"/>
                                </a:lnTo>
                                <a:lnTo>
                                  <a:pt x="93662" y="0"/>
                                </a:lnTo>
                                <a:close/>
                              </a:path>
                            </a:pathLst>
                          </a:custGeom>
                          <a:solidFill>
                            <a:srgbClr val="977F84"/>
                          </a:solidFill>
                        </wps:spPr>
                        <wps:bodyPr wrap="square" lIns="0" tIns="0" rIns="0" bIns="0" rtlCol="0">
                          <a:prstTxWarp prst="textNoShape">
                            <a:avLst/>
                          </a:prstTxWarp>
                          <a:noAutofit/>
                        </wps:bodyPr>
                      </wps:wsp>
                      <wps:wsp>
                        <wps:cNvPr id="1838" name="Graphic 1838"/>
                        <wps:cNvSpPr/>
                        <wps:spPr>
                          <a:xfrm>
                            <a:off x="505599" y="1937073"/>
                            <a:ext cx="226060" cy="220979"/>
                          </a:xfrm>
                          <a:custGeom>
                            <a:avLst/>
                            <a:gdLst/>
                            <a:ahLst/>
                            <a:cxnLst/>
                            <a:rect l="l" t="t" r="r" b="b"/>
                            <a:pathLst>
                              <a:path w="226060" h="220979">
                                <a:moveTo>
                                  <a:pt x="148375" y="0"/>
                                </a:moveTo>
                                <a:lnTo>
                                  <a:pt x="182253" y="17453"/>
                                </a:lnTo>
                                <a:lnTo>
                                  <a:pt x="217325" y="62798"/>
                                </a:lnTo>
                                <a:lnTo>
                                  <a:pt x="225880" y="105100"/>
                                </a:lnTo>
                                <a:lnTo>
                                  <a:pt x="217895" y="147823"/>
                                </a:lnTo>
                                <a:lnTo>
                                  <a:pt x="193333" y="185826"/>
                                </a:lnTo>
                                <a:lnTo>
                                  <a:pt x="156142" y="211593"/>
                                </a:lnTo>
                                <a:lnTo>
                                  <a:pt x="113699" y="220948"/>
                                </a:lnTo>
                                <a:lnTo>
                                  <a:pt x="71145" y="213758"/>
                                </a:lnTo>
                                <a:lnTo>
                                  <a:pt x="33618" y="189890"/>
                                </a:lnTo>
                                <a:lnTo>
                                  <a:pt x="15160" y="166413"/>
                                </a:lnTo>
                                <a:lnTo>
                                  <a:pt x="3951" y="139730"/>
                                </a:lnTo>
                                <a:lnTo>
                                  <a:pt x="0" y="111339"/>
                                </a:lnTo>
                                <a:lnTo>
                                  <a:pt x="3316" y="82740"/>
                                </a:lnTo>
                              </a:path>
                            </a:pathLst>
                          </a:custGeom>
                          <a:ln w="76200">
                            <a:solidFill>
                              <a:srgbClr val="008FDD"/>
                            </a:solidFill>
                            <a:prstDash val="solid"/>
                          </a:ln>
                        </wps:spPr>
                        <wps:bodyPr wrap="square" lIns="0" tIns="0" rIns="0" bIns="0" rtlCol="0">
                          <a:prstTxWarp prst="textNoShape">
                            <a:avLst/>
                          </a:prstTxWarp>
                          <a:noAutofit/>
                        </wps:bodyPr>
                      </wps:wsp>
                      <wps:wsp>
                        <wps:cNvPr id="1839" name="Graphic 1839"/>
                        <wps:cNvSpPr/>
                        <wps:spPr>
                          <a:xfrm>
                            <a:off x="444477" y="1967195"/>
                            <a:ext cx="123189" cy="93980"/>
                          </a:xfrm>
                          <a:custGeom>
                            <a:avLst/>
                            <a:gdLst/>
                            <a:ahLst/>
                            <a:cxnLst/>
                            <a:rect l="l" t="t" r="r" b="b"/>
                            <a:pathLst>
                              <a:path w="123189" h="93980">
                                <a:moveTo>
                                  <a:pt x="93662" y="0"/>
                                </a:moveTo>
                                <a:lnTo>
                                  <a:pt x="0" y="29425"/>
                                </a:lnTo>
                                <a:lnTo>
                                  <a:pt x="123113" y="93649"/>
                                </a:lnTo>
                                <a:lnTo>
                                  <a:pt x="93662" y="0"/>
                                </a:lnTo>
                                <a:close/>
                              </a:path>
                            </a:pathLst>
                          </a:custGeom>
                          <a:solidFill>
                            <a:srgbClr val="008FDD"/>
                          </a:solidFill>
                        </wps:spPr>
                        <wps:bodyPr wrap="square" lIns="0" tIns="0" rIns="0" bIns="0" rtlCol="0">
                          <a:prstTxWarp prst="textNoShape">
                            <a:avLst/>
                          </a:prstTxWarp>
                          <a:noAutofit/>
                        </wps:bodyPr>
                      </wps:wsp>
                      <wps:wsp>
                        <wps:cNvPr id="1840" name="Graphic 1840"/>
                        <wps:cNvSpPr/>
                        <wps:spPr>
                          <a:xfrm>
                            <a:off x="2219174" y="746418"/>
                            <a:ext cx="226060" cy="220979"/>
                          </a:xfrm>
                          <a:custGeom>
                            <a:avLst/>
                            <a:gdLst/>
                            <a:ahLst/>
                            <a:cxnLst/>
                            <a:rect l="l" t="t" r="r" b="b"/>
                            <a:pathLst>
                              <a:path w="226060" h="220979">
                                <a:moveTo>
                                  <a:pt x="148375" y="0"/>
                                </a:moveTo>
                                <a:lnTo>
                                  <a:pt x="182253" y="17453"/>
                                </a:lnTo>
                                <a:lnTo>
                                  <a:pt x="217325" y="62798"/>
                                </a:lnTo>
                                <a:lnTo>
                                  <a:pt x="225880" y="105100"/>
                                </a:lnTo>
                                <a:lnTo>
                                  <a:pt x="217895" y="147823"/>
                                </a:lnTo>
                                <a:lnTo>
                                  <a:pt x="193333" y="185826"/>
                                </a:lnTo>
                                <a:lnTo>
                                  <a:pt x="156142" y="211598"/>
                                </a:lnTo>
                                <a:lnTo>
                                  <a:pt x="113699" y="220953"/>
                                </a:lnTo>
                                <a:lnTo>
                                  <a:pt x="71145" y="213760"/>
                                </a:lnTo>
                                <a:lnTo>
                                  <a:pt x="33618" y="189890"/>
                                </a:lnTo>
                                <a:lnTo>
                                  <a:pt x="15160" y="166413"/>
                                </a:lnTo>
                                <a:lnTo>
                                  <a:pt x="3951" y="139730"/>
                                </a:lnTo>
                                <a:lnTo>
                                  <a:pt x="0" y="111339"/>
                                </a:lnTo>
                                <a:lnTo>
                                  <a:pt x="3316" y="82740"/>
                                </a:lnTo>
                              </a:path>
                            </a:pathLst>
                          </a:custGeom>
                          <a:ln w="76200">
                            <a:solidFill>
                              <a:srgbClr val="008FDD"/>
                            </a:solidFill>
                            <a:prstDash val="solid"/>
                          </a:ln>
                        </wps:spPr>
                        <wps:bodyPr wrap="square" lIns="0" tIns="0" rIns="0" bIns="0" rtlCol="0">
                          <a:prstTxWarp prst="textNoShape">
                            <a:avLst/>
                          </a:prstTxWarp>
                          <a:noAutofit/>
                        </wps:bodyPr>
                      </wps:wsp>
                      <wps:wsp>
                        <wps:cNvPr id="1841" name="Graphic 1841"/>
                        <wps:cNvSpPr/>
                        <wps:spPr>
                          <a:xfrm>
                            <a:off x="2158053" y="776540"/>
                            <a:ext cx="123189" cy="93980"/>
                          </a:xfrm>
                          <a:custGeom>
                            <a:avLst/>
                            <a:gdLst/>
                            <a:ahLst/>
                            <a:cxnLst/>
                            <a:rect l="l" t="t" r="r" b="b"/>
                            <a:pathLst>
                              <a:path w="123189" h="93980">
                                <a:moveTo>
                                  <a:pt x="93662" y="0"/>
                                </a:moveTo>
                                <a:lnTo>
                                  <a:pt x="0" y="29425"/>
                                </a:lnTo>
                                <a:lnTo>
                                  <a:pt x="123113" y="93649"/>
                                </a:lnTo>
                                <a:lnTo>
                                  <a:pt x="93662" y="0"/>
                                </a:lnTo>
                                <a:close/>
                              </a:path>
                            </a:pathLst>
                          </a:custGeom>
                          <a:solidFill>
                            <a:srgbClr val="008FDD"/>
                          </a:solidFill>
                        </wps:spPr>
                        <wps:bodyPr wrap="square" lIns="0" tIns="0" rIns="0" bIns="0" rtlCol="0">
                          <a:prstTxWarp prst="textNoShape">
                            <a:avLst/>
                          </a:prstTxWarp>
                          <a:noAutofit/>
                        </wps:bodyPr>
                      </wps:wsp>
                      <wps:wsp>
                        <wps:cNvPr id="1842" name="Graphic 1842"/>
                        <wps:cNvSpPr/>
                        <wps:spPr>
                          <a:xfrm>
                            <a:off x="3149359" y="746424"/>
                            <a:ext cx="226060" cy="220979"/>
                          </a:xfrm>
                          <a:custGeom>
                            <a:avLst/>
                            <a:gdLst/>
                            <a:ahLst/>
                            <a:cxnLst/>
                            <a:rect l="l" t="t" r="r" b="b"/>
                            <a:pathLst>
                              <a:path w="226060" h="220979">
                                <a:moveTo>
                                  <a:pt x="148375" y="0"/>
                                </a:moveTo>
                                <a:lnTo>
                                  <a:pt x="182253" y="17453"/>
                                </a:lnTo>
                                <a:lnTo>
                                  <a:pt x="217325" y="62798"/>
                                </a:lnTo>
                                <a:lnTo>
                                  <a:pt x="225880" y="105100"/>
                                </a:lnTo>
                                <a:lnTo>
                                  <a:pt x="217895" y="147823"/>
                                </a:lnTo>
                                <a:lnTo>
                                  <a:pt x="193333" y="185826"/>
                                </a:lnTo>
                                <a:lnTo>
                                  <a:pt x="156142" y="211593"/>
                                </a:lnTo>
                                <a:lnTo>
                                  <a:pt x="113699" y="220948"/>
                                </a:lnTo>
                                <a:lnTo>
                                  <a:pt x="71145" y="213758"/>
                                </a:lnTo>
                                <a:lnTo>
                                  <a:pt x="33618" y="189890"/>
                                </a:lnTo>
                                <a:lnTo>
                                  <a:pt x="15160" y="166413"/>
                                </a:lnTo>
                                <a:lnTo>
                                  <a:pt x="3951" y="139730"/>
                                </a:lnTo>
                                <a:lnTo>
                                  <a:pt x="0" y="111339"/>
                                </a:lnTo>
                                <a:lnTo>
                                  <a:pt x="3316" y="82740"/>
                                </a:lnTo>
                              </a:path>
                            </a:pathLst>
                          </a:custGeom>
                          <a:ln w="76200">
                            <a:solidFill>
                              <a:srgbClr val="008FDD"/>
                            </a:solidFill>
                            <a:prstDash val="solid"/>
                          </a:ln>
                        </wps:spPr>
                        <wps:bodyPr wrap="square" lIns="0" tIns="0" rIns="0" bIns="0" rtlCol="0">
                          <a:prstTxWarp prst="textNoShape">
                            <a:avLst/>
                          </a:prstTxWarp>
                          <a:noAutofit/>
                        </wps:bodyPr>
                      </wps:wsp>
                      <wps:wsp>
                        <wps:cNvPr id="1843" name="Graphic 1843"/>
                        <wps:cNvSpPr/>
                        <wps:spPr>
                          <a:xfrm>
                            <a:off x="3088238" y="776545"/>
                            <a:ext cx="123189" cy="93980"/>
                          </a:xfrm>
                          <a:custGeom>
                            <a:avLst/>
                            <a:gdLst/>
                            <a:ahLst/>
                            <a:cxnLst/>
                            <a:rect l="l" t="t" r="r" b="b"/>
                            <a:pathLst>
                              <a:path w="123189" h="93980">
                                <a:moveTo>
                                  <a:pt x="93662" y="0"/>
                                </a:moveTo>
                                <a:lnTo>
                                  <a:pt x="0" y="29425"/>
                                </a:lnTo>
                                <a:lnTo>
                                  <a:pt x="123113" y="93649"/>
                                </a:lnTo>
                                <a:lnTo>
                                  <a:pt x="93662" y="0"/>
                                </a:lnTo>
                                <a:close/>
                              </a:path>
                            </a:pathLst>
                          </a:custGeom>
                          <a:solidFill>
                            <a:srgbClr val="008FDD"/>
                          </a:solidFill>
                        </wps:spPr>
                        <wps:bodyPr wrap="square" lIns="0" tIns="0" rIns="0" bIns="0" rtlCol="0">
                          <a:prstTxWarp prst="textNoShape">
                            <a:avLst/>
                          </a:prstTxWarp>
                          <a:noAutofit/>
                        </wps:bodyPr>
                      </wps:wsp>
                      <wps:wsp>
                        <wps:cNvPr id="1844" name="Graphic 1844"/>
                        <wps:cNvSpPr/>
                        <wps:spPr>
                          <a:xfrm>
                            <a:off x="2017526" y="1417292"/>
                            <a:ext cx="226060" cy="220979"/>
                          </a:xfrm>
                          <a:custGeom>
                            <a:avLst/>
                            <a:gdLst/>
                            <a:ahLst/>
                            <a:cxnLst/>
                            <a:rect l="l" t="t" r="r" b="b"/>
                            <a:pathLst>
                              <a:path w="226060" h="220979">
                                <a:moveTo>
                                  <a:pt x="148375" y="0"/>
                                </a:moveTo>
                                <a:lnTo>
                                  <a:pt x="182253" y="17453"/>
                                </a:lnTo>
                                <a:lnTo>
                                  <a:pt x="217325" y="62798"/>
                                </a:lnTo>
                                <a:lnTo>
                                  <a:pt x="225880" y="105100"/>
                                </a:lnTo>
                                <a:lnTo>
                                  <a:pt x="217895" y="147823"/>
                                </a:lnTo>
                                <a:lnTo>
                                  <a:pt x="193333" y="185826"/>
                                </a:lnTo>
                                <a:lnTo>
                                  <a:pt x="156142" y="211593"/>
                                </a:lnTo>
                                <a:lnTo>
                                  <a:pt x="113699" y="220948"/>
                                </a:lnTo>
                                <a:lnTo>
                                  <a:pt x="71145" y="213758"/>
                                </a:lnTo>
                                <a:lnTo>
                                  <a:pt x="33618" y="189890"/>
                                </a:lnTo>
                                <a:lnTo>
                                  <a:pt x="15160" y="166413"/>
                                </a:lnTo>
                                <a:lnTo>
                                  <a:pt x="3951" y="139730"/>
                                </a:lnTo>
                                <a:lnTo>
                                  <a:pt x="0" y="111339"/>
                                </a:lnTo>
                                <a:lnTo>
                                  <a:pt x="3316" y="82740"/>
                                </a:lnTo>
                              </a:path>
                            </a:pathLst>
                          </a:custGeom>
                          <a:ln w="76200">
                            <a:solidFill>
                              <a:srgbClr val="008FDD"/>
                            </a:solidFill>
                            <a:prstDash val="solid"/>
                          </a:ln>
                        </wps:spPr>
                        <wps:bodyPr wrap="square" lIns="0" tIns="0" rIns="0" bIns="0" rtlCol="0">
                          <a:prstTxWarp prst="textNoShape">
                            <a:avLst/>
                          </a:prstTxWarp>
                          <a:noAutofit/>
                        </wps:bodyPr>
                      </wps:wsp>
                      <wps:wsp>
                        <wps:cNvPr id="1845" name="Graphic 1845"/>
                        <wps:cNvSpPr/>
                        <wps:spPr>
                          <a:xfrm>
                            <a:off x="1956405" y="1447413"/>
                            <a:ext cx="123189" cy="93980"/>
                          </a:xfrm>
                          <a:custGeom>
                            <a:avLst/>
                            <a:gdLst/>
                            <a:ahLst/>
                            <a:cxnLst/>
                            <a:rect l="l" t="t" r="r" b="b"/>
                            <a:pathLst>
                              <a:path w="123189" h="93980">
                                <a:moveTo>
                                  <a:pt x="93662" y="0"/>
                                </a:moveTo>
                                <a:lnTo>
                                  <a:pt x="0" y="29425"/>
                                </a:lnTo>
                                <a:lnTo>
                                  <a:pt x="123113" y="93649"/>
                                </a:lnTo>
                                <a:lnTo>
                                  <a:pt x="93662" y="0"/>
                                </a:lnTo>
                                <a:close/>
                              </a:path>
                            </a:pathLst>
                          </a:custGeom>
                          <a:solidFill>
                            <a:srgbClr val="008FDD"/>
                          </a:solidFill>
                        </wps:spPr>
                        <wps:bodyPr wrap="square" lIns="0" tIns="0" rIns="0" bIns="0" rtlCol="0">
                          <a:prstTxWarp prst="textNoShape">
                            <a:avLst/>
                          </a:prstTxWarp>
                          <a:noAutofit/>
                        </wps:bodyPr>
                      </wps:wsp>
                      <wps:wsp>
                        <wps:cNvPr id="1846" name="Graphic 1846"/>
                        <wps:cNvSpPr/>
                        <wps:spPr>
                          <a:xfrm>
                            <a:off x="1288991" y="746419"/>
                            <a:ext cx="226060" cy="220979"/>
                          </a:xfrm>
                          <a:custGeom>
                            <a:avLst/>
                            <a:gdLst/>
                            <a:ahLst/>
                            <a:cxnLst/>
                            <a:rect l="l" t="t" r="r" b="b"/>
                            <a:pathLst>
                              <a:path w="226060" h="220979">
                                <a:moveTo>
                                  <a:pt x="148375" y="0"/>
                                </a:moveTo>
                                <a:lnTo>
                                  <a:pt x="182253" y="17453"/>
                                </a:lnTo>
                                <a:lnTo>
                                  <a:pt x="217325" y="62798"/>
                                </a:lnTo>
                                <a:lnTo>
                                  <a:pt x="225880" y="105100"/>
                                </a:lnTo>
                                <a:lnTo>
                                  <a:pt x="217895" y="147823"/>
                                </a:lnTo>
                                <a:lnTo>
                                  <a:pt x="193333" y="185826"/>
                                </a:lnTo>
                                <a:lnTo>
                                  <a:pt x="156142" y="211593"/>
                                </a:lnTo>
                                <a:lnTo>
                                  <a:pt x="113699" y="220948"/>
                                </a:lnTo>
                                <a:lnTo>
                                  <a:pt x="71145" y="213758"/>
                                </a:lnTo>
                                <a:lnTo>
                                  <a:pt x="33618" y="189890"/>
                                </a:lnTo>
                                <a:lnTo>
                                  <a:pt x="15160" y="166413"/>
                                </a:lnTo>
                                <a:lnTo>
                                  <a:pt x="3951" y="139730"/>
                                </a:lnTo>
                                <a:lnTo>
                                  <a:pt x="0" y="111339"/>
                                </a:lnTo>
                                <a:lnTo>
                                  <a:pt x="3316" y="82740"/>
                                </a:lnTo>
                              </a:path>
                            </a:pathLst>
                          </a:custGeom>
                          <a:ln w="76200">
                            <a:solidFill>
                              <a:srgbClr val="008FDD"/>
                            </a:solidFill>
                            <a:prstDash val="solid"/>
                          </a:ln>
                        </wps:spPr>
                        <wps:bodyPr wrap="square" lIns="0" tIns="0" rIns="0" bIns="0" rtlCol="0">
                          <a:prstTxWarp prst="textNoShape">
                            <a:avLst/>
                          </a:prstTxWarp>
                          <a:noAutofit/>
                        </wps:bodyPr>
                      </wps:wsp>
                      <wps:wsp>
                        <wps:cNvPr id="1847" name="Graphic 1847"/>
                        <wps:cNvSpPr/>
                        <wps:spPr>
                          <a:xfrm>
                            <a:off x="1227869" y="776540"/>
                            <a:ext cx="123189" cy="93980"/>
                          </a:xfrm>
                          <a:custGeom>
                            <a:avLst/>
                            <a:gdLst/>
                            <a:ahLst/>
                            <a:cxnLst/>
                            <a:rect l="l" t="t" r="r" b="b"/>
                            <a:pathLst>
                              <a:path w="123189" h="93980">
                                <a:moveTo>
                                  <a:pt x="93662" y="0"/>
                                </a:moveTo>
                                <a:lnTo>
                                  <a:pt x="0" y="29425"/>
                                </a:lnTo>
                                <a:lnTo>
                                  <a:pt x="123113" y="93649"/>
                                </a:lnTo>
                                <a:lnTo>
                                  <a:pt x="93662" y="0"/>
                                </a:lnTo>
                                <a:close/>
                              </a:path>
                            </a:pathLst>
                          </a:custGeom>
                          <a:solidFill>
                            <a:srgbClr val="008FDD"/>
                          </a:solidFill>
                        </wps:spPr>
                        <wps:bodyPr wrap="square" lIns="0" tIns="0" rIns="0" bIns="0" rtlCol="0">
                          <a:prstTxWarp prst="textNoShape">
                            <a:avLst/>
                          </a:prstTxWarp>
                          <a:noAutofit/>
                        </wps:bodyPr>
                      </wps:wsp>
                      <wps:wsp>
                        <wps:cNvPr id="1848" name="Graphic 1848"/>
                        <wps:cNvSpPr/>
                        <wps:spPr>
                          <a:xfrm>
                            <a:off x="107740" y="1179294"/>
                            <a:ext cx="104139" cy="1270"/>
                          </a:xfrm>
                          <a:custGeom>
                            <a:avLst/>
                            <a:gdLst/>
                            <a:ahLst/>
                            <a:cxnLst/>
                            <a:rect l="l" t="t" r="r" b="b"/>
                            <a:pathLst>
                              <a:path w="104139" h="0">
                                <a:moveTo>
                                  <a:pt x="0" y="0"/>
                                </a:moveTo>
                                <a:lnTo>
                                  <a:pt x="103809" y="0"/>
                                </a:lnTo>
                              </a:path>
                            </a:pathLst>
                          </a:custGeom>
                          <a:ln w="76200">
                            <a:solidFill>
                              <a:srgbClr val="008FDD"/>
                            </a:solidFill>
                            <a:prstDash val="solid"/>
                          </a:ln>
                        </wps:spPr>
                        <wps:bodyPr wrap="square" lIns="0" tIns="0" rIns="0" bIns="0" rtlCol="0">
                          <a:prstTxWarp prst="textNoShape">
                            <a:avLst/>
                          </a:prstTxWarp>
                          <a:noAutofit/>
                        </wps:bodyPr>
                      </wps:wsp>
                      <wps:wsp>
                        <wps:cNvPr id="1849" name="Graphic 1849"/>
                        <wps:cNvSpPr/>
                        <wps:spPr>
                          <a:xfrm>
                            <a:off x="202242" y="1109865"/>
                            <a:ext cx="69850" cy="139065"/>
                          </a:xfrm>
                          <a:custGeom>
                            <a:avLst/>
                            <a:gdLst/>
                            <a:ahLst/>
                            <a:cxnLst/>
                            <a:rect l="l" t="t" r="r" b="b"/>
                            <a:pathLst>
                              <a:path w="69850" h="139065">
                                <a:moveTo>
                                  <a:pt x="0" y="0"/>
                                </a:moveTo>
                                <a:lnTo>
                                  <a:pt x="0" y="138861"/>
                                </a:lnTo>
                                <a:lnTo>
                                  <a:pt x="69405" y="69430"/>
                                </a:lnTo>
                                <a:lnTo>
                                  <a:pt x="0" y="0"/>
                                </a:lnTo>
                                <a:close/>
                              </a:path>
                            </a:pathLst>
                          </a:custGeom>
                          <a:solidFill>
                            <a:srgbClr val="008FDD"/>
                          </a:solidFill>
                        </wps:spPr>
                        <wps:bodyPr wrap="square" lIns="0" tIns="0" rIns="0" bIns="0" rtlCol="0">
                          <a:prstTxWarp prst="textNoShape">
                            <a:avLst/>
                          </a:prstTxWarp>
                          <a:noAutofit/>
                        </wps:bodyPr>
                      </wps:wsp>
                      <wps:wsp>
                        <wps:cNvPr id="1850" name="Graphic 1850"/>
                        <wps:cNvSpPr/>
                        <wps:spPr>
                          <a:xfrm>
                            <a:off x="107740" y="1339777"/>
                            <a:ext cx="104139" cy="1270"/>
                          </a:xfrm>
                          <a:custGeom>
                            <a:avLst/>
                            <a:gdLst/>
                            <a:ahLst/>
                            <a:cxnLst/>
                            <a:rect l="l" t="t" r="r" b="b"/>
                            <a:pathLst>
                              <a:path w="104139" h="0">
                                <a:moveTo>
                                  <a:pt x="0" y="0"/>
                                </a:moveTo>
                                <a:lnTo>
                                  <a:pt x="103809" y="0"/>
                                </a:lnTo>
                              </a:path>
                            </a:pathLst>
                          </a:custGeom>
                          <a:ln w="76200">
                            <a:solidFill>
                              <a:srgbClr val="977F84"/>
                            </a:solidFill>
                            <a:prstDash val="solid"/>
                          </a:ln>
                        </wps:spPr>
                        <wps:bodyPr wrap="square" lIns="0" tIns="0" rIns="0" bIns="0" rtlCol="0">
                          <a:prstTxWarp prst="textNoShape">
                            <a:avLst/>
                          </a:prstTxWarp>
                          <a:noAutofit/>
                        </wps:bodyPr>
                      </wps:wsp>
                      <wps:wsp>
                        <wps:cNvPr id="1851" name="Graphic 1851"/>
                        <wps:cNvSpPr/>
                        <wps:spPr>
                          <a:xfrm>
                            <a:off x="202242" y="1270349"/>
                            <a:ext cx="69850" cy="139065"/>
                          </a:xfrm>
                          <a:custGeom>
                            <a:avLst/>
                            <a:gdLst/>
                            <a:ahLst/>
                            <a:cxnLst/>
                            <a:rect l="l" t="t" r="r" b="b"/>
                            <a:pathLst>
                              <a:path w="69850" h="139065">
                                <a:moveTo>
                                  <a:pt x="0" y="0"/>
                                </a:moveTo>
                                <a:lnTo>
                                  <a:pt x="0" y="138861"/>
                                </a:lnTo>
                                <a:lnTo>
                                  <a:pt x="69405" y="69430"/>
                                </a:lnTo>
                                <a:lnTo>
                                  <a:pt x="0" y="0"/>
                                </a:lnTo>
                                <a:close/>
                              </a:path>
                            </a:pathLst>
                          </a:custGeom>
                          <a:solidFill>
                            <a:srgbClr val="977F84"/>
                          </a:solidFill>
                        </wps:spPr>
                        <wps:bodyPr wrap="square" lIns="0" tIns="0" rIns="0" bIns="0" rtlCol="0">
                          <a:prstTxWarp prst="textNoShape">
                            <a:avLst/>
                          </a:prstTxWarp>
                          <a:noAutofit/>
                        </wps:bodyPr>
                      </wps:wsp>
                      <wps:wsp>
                        <wps:cNvPr id="1852" name="Textbox 1852"/>
                        <wps:cNvSpPr txBox="1"/>
                        <wps:spPr>
                          <a:xfrm>
                            <a:off x="76380" y="66855"/>
                            <a:ext cx="2349500" cy="121920"/>
                          </a:xfrm>
                          <a:prstGeom prst="rect">
                            <a:avLst/>
                          </a:prstGeom>
                        </wps:spPr>
                        <wps:txbx>
                          <w:txbxContent>
                            <w:p>
                              <w:pPr>
                                <w:spacing w:before="3"/>
                                <w:ind w:left="0" w:right="0" w:firstLine="0"/>
                                <w:jc w:val="left"/>
                                <w:rPr>
                                  <w:rFonts w:ascii="Arial"/>
                                  <w:b/>
                                  <w:sz w:val="16"/>
                                </w:rPr>
                              </w:pPr>
                              <w:r>
                                <w:rPr>
                                  <w:rFonts w:ascii="Arial"/>
                                  <w:color w:val="FFFFFF"/>
                                  <w:sz w:val="16"/>
                                </w:rPr>
                                <w:t>Figure</w:t>
                              </w:r>
                              <w:r>
                                <w:rPr>
                                  <w:rFonts w:ascii="Arial"/>
                                  <w:color w:val="FFFFFF"/>
                                  <w:spacing w:val="1"/>
                                  <w:sz w:val="16"/>
                                </w:rPr>
                                <w:t> </w:t>
                              </w:r>
                              <w:r>
                                <w:rPr>
                                  <w:rFonts w:ascii="Arial"/>
                                  <w:b/>
                                  <w:color w:val="FFFFFF"/>
                                  <w:sz w:val="16"/>
                                </w:rPr>
                                <w:t>A4.5</w:t>
                              </w:r>
                              <w:r>
                                <w:rPr>
                                  <w:rFonts w:ascii="Arial"/>
                                  <w:b/>
                                  <w:color w:val="FFFFFF"/>
                                  <w:spacing w:val="62"/>
                                  <w:w w:val="150"/>
                                  <w:sz w:val="16"/>
                                </w:rPr>
                                <w:t> </w:t>
                              </w:r>
                              <w:r>
                                <w:rPr>
                                  <w:rFonts w:ascii="Arial"/>
                                  <w:b/>
                                  <w:color w:val="FFFFFF"/>
                                  <w:sz w:val="16"/>
                                </w:rPr>
                                <w:t>The</w:t>
                              </w:r>
                              <w:r>
                                <w:rPr>
                                  <w:rFonts w:ascii="Arial"/>
                                  <w:b/>
                                  <w:color w:val="FFFFFF"/>
                                  <w:spacing w:val="1"/>
                                  <w:sz w:val="16"/>
                                </w:rPr>
                                <w:t> </w:t>
                              </w:r>
                              <w:r>
                                <w:rPr>
                                  <w:rFonts w:ascii="Arial"/>
                                  <w:b/>
                                  <w:color w:val="FFFFFF"/>
                                  <w:sz w:val="16"/>
                                </w:rPr>
                                <w:t>three</w:t>
                              </w:r>
                              <w:r>
                                <w:rPr>
                                  <w:rFonts w:ascii="Arial"/>
                                  <w:b/>
                                  <w:color w:val="FFFFFF"/>
                                  <w:spacing w:val="1"/>
                                  <w:sz w:val="16"/>
                                </w:rPr>
                                <w:t> </w:t>
                              </w:r>
                              <w:r>
                                <w:rPr>
                                  <w:rFonts w:ascii="Arial"/>
                                  <w:b/>
                                  <w:color w:val="FFFFFF"/>
                                  <w:sz w:val="16"/>
                                </w:rPr>
                                <w:t>phases</w:t>
                              </w:r>
                              <w:r>
                                <w:rPr>
                                  <w:rFonts w:ascii="Arial"/>
                                  <w:b/>
                                  <w:color w:val="FFFFFF"/>
                                  <w:spacing w:val="2"/>
                                  <w:sz w:val="16"/>
                                </w:rPr>
                                <w:t> </w:t>
                              </w:r>
                              <w:r>
                                <w:rPr>
                                  <w:rFonts w:ascii="Arial"/>
                                  <w:b/>
                                  <w:color w:val="FFFFFF"/>
                                  <w:sz w:val="16"/>
                                </w:rPr>
                                <w:t>of</w:t>
                              </w:r>
                              <w:r>
                                <w:rPr>
                                  <w:rFonts w:ascii="Arial"/>
                                  <w:b/>
                                  <w:color w:val="FFFFFF"/>
                                  <w:spacing w:val="1"/>
                                  <w:sz w:val="16"/>
                                </w:rPr>
                                <w:t> </w:t>
                              </w:r>
                              <w:r>
                                <w:rPr>
                                  <w:rFonts w:ascii="Arial"/>
                                  <w:b/>
                                  <w:color w:val="FFFFFF"/>
                                  <w:sz w:val="16"/>
                                </w:rPr>
                                <w:t>container</w:t>
                              </w:r>
                              <w:r>
                                <w:rPr>
                                  <w:rFonts w:ascii="Arial"/>
                                  <w:b/>
                                  <w:color w:val="FFFFFF"/>
                                  <w:spacing w:val="1"/>
                                  <w:sz w:val="16"/>
                                </w:rPr>
                                <w:t> </w:t>
                              </w:r>
                              <w:r>
                                <w:rPr>
                                  <w:rFonts w:ascii="Arial"/>
                                  <w:b/>
                                  <w:color w:val="FFFFFF"/>
                                  <w:spacing w:val="-2"/>
                                  <w:sz w:val="16"/>
                                </w:rPr>
                                <w:t>trips</w:t>
                              </w:r>
                            </w:p>
                          </w:txbxContent>
                        </wps:txbx>
                        <wps:bodyPr wrap="square" lIns="0" tIns="0" rIns="0" bIns="0" rtlCol="0">
                          <a:noAutofit/>
                        </wps:bodyPr>
                      </wps:wsp>
                      <wps:wsp>
                        <wps:cNvPr id="1853" name="Textbox 1853"/>
                        <wps:cNvSpPr txBox="1"/>
                        <wps:spPr>
                          <a:xfrm>
                            <a:off x="444146" y="493520"/>
                            <a:ext cx="218440" cy="207010"/>
                          </a:xfrm>
                          <a:prstGeom prst="rect">
                            <a:avLst/>
                          </a:prstGeom>
                        </wps:spPr>
                        <wps:txbx>
                          <w:txbxContent>
                            <w:p>
                              <w:pPr>
                                <w:spacing w:before="3"/>
                                <w:ind w:left="1" w:right="16" w:hanging="2"/>
                                <w:jc w:val="left"/>
                                <w:rPr>
                                  <w:rFonts w:ascii="Arial"/>
                                  <w:b/>
                                  <w:sz w:val="14"/>
                                </w:rPr>
                              </w:pPr>
                              <w:r>
                                <w:rPr>
                                  <w:rFonts w:ascii="Arial"/>
                                  <w:b/>
                                  <w:color w:val="FFFFFF"/>
                                  <w:spacing w:val="-2"/>
                                  <w:w w:val="80"/>
                                  <w:sz w:val="14"/>
                                </w:rPr>
                                <w:t>Depot</w:t>
                              </w:r>
                              <w:r>
                                <w:rPr>
                                  <w:rFonts w:ascii="Arial"/>
                                  <w:b/>
                                  <w:color w:val="FFFFFF"/>
                                  <w:spacing w:val="40"/>
                                  <w:sz w:val="14"/>
                                </w:rPr>
                                <w:t> </w:t>
                              </w:r>
                              <w:r>
                                <w:rPr>
                                  <w:rFonts w:ascii="Arial"/>
                                  <w:b/>
                                  <w:color w:val="FFFFFF"/>
                                  <w:spacing w:val="-4"/>
                                  <w:w w:val="85"/>
                                  <w:sz w:val="14"/>
                                </w:rPr>
                                <w:t>origin</w:t>
                              </w:r>
                            </w:p>
                          </w:txbxContent>
                        </wps:txbx>
                        <wps:bodyPr wrap="square" lIns="0" tIns="0" rIns="0" bIns="0" rtlCol="0">
                          <a:noAutofit/>
                        </wps:bodyPr>
                      </wps:wsp>
                      <wps:wsp>
                        <wps:cNvPr id="1854" name="Textbox 1854"/>
                        <wps:cNvSpPr txBox="1"/>
                        <wps:spPr>
                          <a:xfrm>
                            <a:off x="1261493" y="493520"/>
                            <a:ext cx="412750" cy="207010"/>
                          </a:xfrm>
                          <a:prstGeom prst="rect">
                            <a:avLst/>
                          </a:prstGeom>
                        </wps:spPr>
                        <wps:txbx>
                          <w:txbxContent>
                            <w:p>
                              <w:pPr>
                                <w:spacing w:before="3"/>
                                <w:ind w:left="0" w:right="15" w:firstLine="148"/>
                                <w:jc w:val="left"/>
                                <w:rPr>
                                  <w:rFonts w:ascii="Arial"/>
                                  <w:b/>
                                  <w:sz w:val="14"/>
                                </w:rPr>
                              </w:pPr>
                              <w:r>
                                <w:rPr>
                                  <w:rFonts w:ascii="Arial"/>
                                  <w:b/>
                                  <w:color w:val="FFFFFF"/>
                                  <w:spacing w:val="-2"/>
                                  <w:w w:val="95"/>
                                  <w:sz w:val="14"/>
                                </w:rPr>
                                <w:t>Origin</w:t>
                              </w:r>
                              <w:r>
                                <w:rPr>
                                  <w:rFonts w:ascii="Arial"/>
                                  <w:b/>
                                  <w:color w:val="FFFFFF"/>
                                  <w:spacing w:val="40"/>
                                  <w:sz w:val="14"/>
                                </w:rPr>
                                <w:t> </w:t>
                              </w:r>
                              <w:r>
                                <w:rPr>
                                  <w:rFonts w:ascii="Arial"/>
                                  <w:b/>
                                  <w:color w:val="FFFFFF"/>
                                  <w:spacing w:val="-2"/>
                                  <w:w w:val="85"/>
                                  <w:sz w:val="14"/>
                                </w:rPr>
                                <w:t>multimodal</w:t>
                              </w:r>
                            </w:p>
                          </w:txbxContent>
                        </wps:txbx>
                        <wps:bodyPr wrap="square" lIns="0" tIns="0" rIns="0" bIns="0" rtlCol="0">
                          <a:noAutofit/>
                        </wps:bodyPr>
                      </wps:wsp>
                      <wps:wsp>
                        <wps:cNvPr id="1855" name="Textbox 1855"/>
                        <wps:cNvSpPr txBox="1"/>
                        <wps:spPr>
                          <a:xfrm>
                            <a:off x="3209381" y="493520"/>
                            <a:ext cx="237490" cy="207010"/>
                          </a:xfrm>
                          <a:prstGeom prst="rect">
                            <a:avLst/>
                          </a:prstGeom>
                        </wps:spPr>
                        <wps:txbx>
                          <w:txbxContent>
                            <w:p>
                              <w:pPr>
                                <w:spacing w:before="3"/>
                                <w:ind w:left="0" w:right="14" w:firstLine="64"/>
                                <w:jc w:val="left"/>
                                <w:rPr>
                                  <w:rFonts w:ascii="Arial"/>
                                  <w:b/>
                                  <w:sz w:val="14"/>
                                </w:rPr>
                              </w:pPr>
                              <w:r>
                                <w:rPr>
                                  <w:rFonts w:ascii="Arial"/>
                                  <w:b/>
                                  <w:color w:val="FFFFFF"/>
                                  <w:spacing w:val="-4"/>
                                  <w:w w:val="95"/>
                                  <w:sz w:val="14"/>
                                </w:rPr>
                                <w:t>Port</w:t>
                              </w:r>
                              <w:r>
                                <w:rPr>
                                  <w:rFonts w:ascii="Arial"/>
                                  <w:b/>
                                  <w:color w:val="FFFFFF"/>
                                  <w:spacing w:val="40"/>
                                  <w:sz w:val="14"/>
                                </w:rPr>
                                <w:t> </w:t>
                              </w:r>
                              <w:r>
                                <w:rPr>
                                  <w:rFonts w:ascii="Arial"/>
                                  <w:b/>
                                  <w:color w:val="FFFFFF"/>
                                  <w:spacing w:val="-4"/>
                                  <w:w w:val="85"/>
                                  <w:sz w:val="14"/>
                                </w:rPr>
                                <w:t>export</w:t>
                              </w:r>
                            </w:p>
                          </w:txbxContent>
                        </wps:txbx>
                        <wps:bodyPr wrap="square" lIns="0" tIns="0" rIns="0" bIns="0" rtlCol="0">
                          <a:noAutofit/>
                        </wps:bodyPr>
                      </wps:wsp>
                      <wps:wsp>
                        <wps:cNvPr id="1856" name="Textbox 1856"/>
                        <wps:cNvSpPr txBox="1"/>
                        <wps:spPr>
                          <a:xfrm>
                            <a:off x="4140963" y="485161"/>
                            <a:ext cx="646430" cy="222250"/>
                          </a:xfrm>
                          <a:prstGeom prst="rect">
                            <a:avLst/>
                          </a:prstGeom>
                        </wps:spPr>
                        <wps:txbx>
                          <w:txbxContent>
                            <w:p>
                              <w:pPr>
                                <w:spacing w:line="172" w:lineRule="exact" w:before="3"/>
                                <w:ind w:left="0" w:right="0" w:firstLine="0"/>
                                <w:jc w:val="left"/>
                                <w:rPr>
                                  <w:rFonts w:ascii="Arial"/>
                                  <w:b/>
                                  <w:sz w:val="16"/>
                                </w:rPr>
                              </w:pPr>
                              <w:r>
                                <w:rPr>
                                  <w:rFonts w:ascii="Arial"/>
                                  <w:b/>
                                  <w:color w:val="231F20"/>
                                  <w:w w:val="80"/>
                                  <w:sz w:val="16"/>
                                </w:rPr>
                                <w:t>Phase</w:t>
                              </w:r>
                              <w:r>
                                <w:rPr>
                                  <w:rFonts w:ascii="Arial"/>
                                  <w:b/>
                                  <w:color w:val="231F20"/>
                                  <w:spacing w:val="-4"/>
                                  <w:sz w:val="16"/>
                                </w:rPr>
                                <w:t> </w:t>
                              </w:r>
                              <w:r>
                                <w:rPr>
                                  <w:rFonts w:ascii="Arial"/>
                                  <w:b/>
                                  <w:color w:val="231F20"/>
                                  <w:spacing w:val="-10"/>
                                  <w:sz w:val="16"/>
                                </w:rPr>
                                <w:t>1</w:t>
                              </w:r>
                            </w:p>
                            <w:p>
                              <w:pPr>
                                <w:spacing w:line="172" w:lineRule="exact" w:before="0"/>
                                <w:ind w:left="0" w:right="0" w:firstLine="0"/>
                                <w:jc w:val="left"/>
                                <w:rPr>
                                  <w:rFonts w:ascii="Arial"/>
                                  <w:b/>
                                  <w:sz w:val="16"/>
                                </w:rPr>
                              </w:pPr>
                              <w:r>
                                <w:rPr>
                                  <w:rFonts w:ascii="Arial"/>
                                  <w:b/>
                                  <w:color w:val="231F20"/>
                                  <w:w w:val="80"/>
                                  <w:sz w:val="16"/>
                                </w:rPr>
                                <w:t>Export</w:t>
                              </w:r>
                              <w:r>
                                <w:rPr>
                                  <w:rFonts w:ascii="Arial"/>
                                  <w:b/>
                                  <w:color w:val="231F20"/>
                                  <w:spacing w:val="-7"/>
                                  <w:sz w:val="16"/>
                                </w:rPr>
                                <w:t> </w:t>
                              </w:r>
                              <w:r>
                                <w:rPr>
                                  <w:rFonts w:ascii="Arial"/>
                                  <w:b/>
                                  <w:color w:val="231F20"/>
                                  <w:w w:val="80"/>
                                  <w:sz w:val="16"/>
                                </w:rPr>
                                <w:t>on</w:t>
                              </w:r>
                              <w:r>
                                <w:rPr>
                                  <w:rFonts w:ascii="Arial"/>
                                  <w:b/>
                                  <w:color w:val="231F20"/>
                                  <w:spacing w:val="-7"/>
                                  <w:sz w:val="16"/>
                                </w:rPr>
                                <w:t> </w:t>
                              </w:r>
                              <w:r>
                                <w:rPr>
                                  <w:rFonts w:ascii="Arial"/>
                                  <w:b/>
                                  <w:color w:val="231F20"/>
                                  <w:spacing w:val="-2"/>
                                  <w:w w:val="80"/>
                                  <w:sz w:val="16"/>
                                </w:rPr>
                                <w:t>shore</w:t>
                              </w:r>
                            </w:p>
                          </w:txbxContent>
                        </wps:txbx>
                        <wps:bodyPr wrap="square" lIns="0" tIns="0" rIns="0" bIns="0" rtlCol="0">
                          <a:noAutofit/>
                        </wps:bodyPr>
                      </wps:wsp>
                      <wps:wsp>
                        <wps:cNvPr id="1857" name="Textbox 1857"/>
                        <wps:cNvSpPr txBox="1"/>
                        <wps:spPr>
                          <a:xfrm>
                            <a:off x="1577389" y="799630"/>
                            <a:ext cx="324485" cy="89535"/>
                          </a:xfrm>
                          <a:prstGeom prst="rect">
                            <a:avLst/>
                          </a:prstGeom>
                        </wps:spPr>
                        <wps:txbx>
                          <w:txbxContent>
                            <w:p>
                              <w:pPr>
                                <w:spacing w:before="1"/>
                                <w:ind w:left="0" w:right="0" w:firstLine="0"/>
                                <w:jc w:val="left"/>
                                <w:rPr>
                                  <w:rFonts w:ascii="Arial"/>
                                  <w:sz w:val="12"/>
                                </w:rPr>
                              </w:pPr>
                              <w:r>
                                <w:rPr>
                                  <w:rFonts w:ascii="Arial"/>
                                  <w:color w:val="6D6E71"/>
                                  <w:w w:val="85"/>
                                  <w:sz w:val="12"/>
                                </w:rPr>
                                <w:t>Dwell</w:t>
                              </w:r>
                              <w:r>
                                <w:rPr>
                                  <w:rFonts w:ascii="Arial"/>
                                  <w:color w:val="6D6E71"/>
                                  <w:sz w:val="12"/>
                                </w:rPr>
                                <w:t> </w:t>
                              </w:r>
                              <w:r>
                                <w:rPr>
                                  <w:rFonts w:ascii="Arial"/>
                                  <w:color w:val="6D6E71"/>
                                  <w:spacing w:val="-4"/>
                                  <w:sz w:val="12"/>
                                </w:rPr>
                                <w:t>time</w:t>
                              </w:r>
                            </w:p>
                          </w:txbxContent>
                        </wps:txbx>
                        <wps:bodyPr wrap="square" lIns="0" tIns="0" rIns="0" bIns="0" rtlCol="0">
                          <a:noAutofit/>
                        </wps:bodyPr>
                      </wps:wsp>
                      <wps:wsp>
                        <wps:cNvPr id="1858" name="Textbox 1858"/>
                        <wps:cNvSpPr txBox="1"/>
                        <wps:spPr>
                          <a:xfrm>
                            <a:off x="2192543" y="506233"/>
                            <a:ext cx="638810" cy="382905"/>
                          </a:xfrm>
                          <a:prstGeom prst="rect">
                            <a:avLst/>
                          </a:prstGeom>
                        </wps:spPr>
                        <wps:txbx>
                          <w:txbxContent>
                            <w:p>
                              <w:pPr>
                                <w:spacing w:before="3"/>
                                <w:ind w:left="125" w:right="0" w:hanging="126"/>
                                <w:jc w:val="left"/>
                                <w:rPr>
                                  <w:rFonts w:ascii="Arial"/>
                                  <w:b/>
                                  <w:sz w:val="14"/>
                                </w:rPr>
                              </w:pPr>
                              <w:r>
                                <w:rPr>
                                  <w:rFonts w:ascii="Arial"/>
                                  <w:b/>
                                  <w:color w:val="FFFFFF"/>
                                  <w:spacing w:val="-2"/>
                                  <w:w w:val="85"/>
                                  <w:sz w:val="14"/>
                                </w:rPr>
                                <w:t>Multimodal</w:t>
                              </w:r>
                              <w:r>
                                <w:rPr>
                                  <w:rFonts w:ascii="Arial"/>
                                  <w:b/>
                                  <w:color w:val="FFFFFF"/>
                                  <w:spacing w:val="40"/>
                                  <w:sz w:val="14"/>
                                </w:rPr>
                                <w:t> </w:t>
                              </w:r>
                              <w:r>
                                <w:rPr>
                                  <w:rFonts w:ascii="Arial"/>
                                  <w:b/>
                                  <w:color w:val="FFFFFF"/>
                                  <w:spacing w:val="-2"/>
                                  <w:sz w:val="14"/>
                                </w:rPr>
                                <w:t>facility</w:t>
                              </w:r>
                            </w:p>
                            <w:p>
                              <w:pPr>
                                <w:spacing w:before="138"/>
                                <w:ind w:left="494" w:right="0" w:firstLine="0"/>
                                <w:jc w:val="left"/>
                                <w:rPr>
                                  <w:rFonts w:ascii="Arial"/>
                                  <w:sz w:val="12"/>
                                </w:rPr>
                              </w:pPr>
                              <w:r>
                                <w:rPr>
                                  <w:rFonts w:ascii="Arial"/>
                                  <w:color w:val="6D6E71"/>
                                  <w:w w:val="85"/>
                                  <w:sz w:val="12"/>
                                </w:rPr>
                                <w:t>Dwell</w:t>
                              </w:r>
                              <w:r>
                                <w:rPr>
                                  <w:rFonts w:ascii="Arial"/>
                                  <w:color w:val="6D6E71"/>
                                  <w:sz w:val="12"/>
                                </w:rPr>
                                <w:t> </w:t>
                              </w:r>
                              <w:r>
                                <w:rPr>
                                  <w:rFonts w:ascii="Arial"/>
                                  <w:color w:val="6D6E71"/>
                                  <w:spacing w:val="-4"/>
                                  <w:sz w:val="12"/>
                                </w:rPr>
                                <w:t>time</w:t>
                              </w:r>
                            </w:p>
                          </w:txbxContent>
                        </wps:txbx>
                        <wps:bodyPr wrap="square" lIns="0" tIns="0" rIns="0" bIns="0" rtlCol="0">
                          <a:noAutofit/>
                        </wps:bodyPr>
                      </wps:wsp>
                      <wps:wsp>
                        <wps:cNvPr id="1859" name="Textbox 1859"/>
                        <wps:cNvSpPr txBox="1"/>
                        <wps:spPr>
                          <a:xfrm>
                            <a:off x="3435679" y="799630"/>
                            <a:ext cx="324485" cy="89535"/>
                          </a:xfrm>
                          <a:prstGeom prst="rect">
                            <a:avLst/>
                          </a:prstGeom>
                        </wps:spPr>
                        <wps:txbx>
                          <w:txbxContent>
                            <w:p>
                              <w:pPr>
                                <w:spacing w:before="1"/>
                                <w:ind w:left="0" w:right="0" w:firstLine="0"/>
                                <w:jc w:val="left"/>
                                <w:rPr>
                                  <w:rFonts w:ascii="Arial"/>
                                  <w:sz w:val="12"/>
                                </w:rPr>
                              </w:pPr>
                              <w:r>
                                <w:rPr>
                                  <w:rFonts w:ascii="Arial"/>
                                  <w:color w:val="6D6E71"/>
                                  <w:w w:val="85"/>
                                  <w:sz w:val="12"/>
                                </w:rPr>
                                <w:t>Dwell</w:t>
                              </w:r>
                              <w:r>
                                <w:rPr>
                                  <w:rFonts w:ascii="Arial"/>
                                  <w:color w:val="6D6E71"/>
                                  <w:sz w:val="12"/>
                                </w:rPr>
                                <w:t> </w:t>
                              </w:r>
                              <w:r>
                                <w:rPr>
                                  <w:rFonts w:ascii="Arial"/>
                                  <w:color w:val="6D6E71"/>
                                  <w:spacing w:val="-4"/>
                                  <w:sz w:val="12"/>
                                </w:rPr>
                                <w:t>time</w:t>
                              </w:r>
                            </w:p>
                          </w:txbxContent>
                        </wps:txbx>
                        <wps:bodyPr wrap="square" lIns="0" tIns="0" rIns="0" bIns="0" rtlCol="0">
                          <a:noAutofit/>
                        </wps:bodyPr>
                      </wps:wsp>
                      <wps:wsp>
                        <wps:cNvPr id="1860" name="Textbox 1860"/>
                        <wps:cNvSpPr txBox="1"/>
                        <wps:spPr>
                          <a:xfrm>
                            <a:off x="298623" y="1127612"/>
                            <a:ext cx="552450" cy="261620"/>
                          </a:xfrm>
                          <a:prstGeom prst="rect">
                            <a:avLst/>
                          </a:prstGeom>
                        </wps:spPr>
                        <wps:txbx>
                          <w:txbxContent>
                            <w:p>
                              <w:pPr>
                                <w:spacing w:line="159" w:lineRule="exact" w:before="0"/>
                                <w:ind w:left="0" w:right="0" w:firstLine="0"/>
                                <w:jc w:val="left"/>
                                <w:rPr>
                                  <w:rFonts w:ascii="Arial"/>
                                  <w:sz w:val="14"/>
                                </w:rPr>
                              </w:pPr>
                              <w:r>
                                <w:rPr>
                                  <w:rFonts w:ascii="Arial"/>
                                  <w:color w:val="231F20"/>
                                  <w:w w:val="75"/>
                                  <w:sz w:val="14"/>
                                </w:rPr>
                                <w:t>Laden</w:t>
                              </w:r>
                              <w:r>
                                <w:rPr>
                                  <w:rFonts w:ascii="Arial"/>
                                  <w:color w:val="231F20"/>
                                  <w:spacing w:val="-1"/>
                                  <w:sz w:val="14"/>
                                </w:rPr>
                                <w:t> </w:t>
                              </w:r>
                              <w:r>
                                <w:rPr>
                                  <w:rFonts w:ascii="Arial"/>
                                  <w:color w:val="231F20"/>
                                  <w:spacing w:val="-4"/>
                                  <w:w w:val="85"/>
                                  <w:sz w:val="14"/>
                                </w:rPr>
                                <w:t>containers</w:t>
                              </w:r>
                            </w:p>
                            <w:p>
                              <w:pPr>
                                <w:spacing w:line="160" w:lineRule="exact" w:before="91"/>
                                <w:ind w:left="0" w:right="0" w:firstLine="0"/>
                                <w:jc w:val="left"/>
                                <w:rPr>
                                  <w:rFonts w:ascii="Arial"/>
                                  <w:sz w:val="14"/>
                                </w:rPr>
                              </w:pPr>
                              <w:r>
                                <w:rPr>
                                  <w:rFonts w:ascii="Arial"/>
                                  <w:color w:val="231F20"/>
                                  <w:spacing w:val="-2"/>
                                  <w:w w:val="95"/>
                                  <w:sz w:val="14"/>
                                </w:rPr>
                                <w:t>Empty</w:t>
                              </w:r>
                            </w:p>
                          </w:txbxContent>
                        </wps:txbx>
                        <wps:bodyPr wrap="square" lIns="0" tIns="0" rIns="0" bIns="0" rtlCol="0">
                          <a:noAutofit/>
                        </wps:bodyPr>
                      </wps:wsp>
                      <wps:wsp>
                        <wps:cNvPr id="1861" name="Textbox 1861"/>
                        <wps:cNvSpPr txBox="1"/>
                        <wps:spPr>
                          <a:xfrm>
                            <a:off x="1934022" y="1137512"/>
                            <a:ext cx="524510" cy="207010"/>
                          </a:xfrm>
                          <a:prstGeom prst="rect">
                            <a:avLst/>
                          </a:prstGeom>
                        </wps:spPr>
                        <wps:txbx>
                          <w:txbxContent>
                            <w:p>
                              <w:pPr>
                                <w:spacing w:before="3"/>
                                <w:ind w:left="0" w:right="12" w:firstLine="290"/>
                                <w:jc w:val="left"/>
                                <w:rPr>
                                  <w:rFonts w:ascii="Arial"/>
                                  <w:b/>
                                  <w:sz w:val="14"/>
                                </w:rPr>
                              </w:pPr>
                              <w:r>
                                <w:rPr>
                                  <w:rFonts w:ascii="Arial"/>
                                  <w:b/>
                                  <w:color w:val="FFFFFF"/>
                                  <w:spacing w:val="-4"/>
                                  <w:w w:val="95"/>
                                  <w:sz w:val="14"/>
                                </w:rPr>
                                <w:t>Port</w:t>
                              </w:r>
                              <w:r>
                                <w:rPr>
                                  <w:rFonts w:ascii="Arial"/>
                                  <w:b/>
                                  <w:color w:val="FFFFFF"/>
                                  <w:spacing w:val="40"/>
                                  <w:sz w:val="14"/>
                                </w:rPr>
                                <w:t> </w:t>
                              </w:r>
                              <w:r>
                                <w:rPr>
                                  <w:rFonts w:ascii="Arial"/>
                                  <w:b/>
                                  <w:color w:val="FFFFFF"/>
                                  <w:spacing w:val="-2"/>
                                  <w:w w:val="85"/>
                                  <w:sz w:val="14"/>
                                </w:rPr>
                                <w:t>transshipment</w:t>
                              </w:r>
                            </w:p>
                          </w:txbxContent>
                        </wps:txbx>
                        <wps:bodyPr wrap="square" lIns="0" tIns="0" rIns="0" bIns="0" rtlCol="0">
                          <a:noAutofit/>
                        </wps:bodyPr>
                      </wps:wsp>
                      <wps:wsp>
                        <wps:cNvPr id="1862" name="Textbox 1862"/>
                        <wps:cNvSpPr txBox="1"/>
                        <wps:spPr>
                          <a:xfrm>
                            <a:off x="4140963" y="1141903"/>
                            <a:ext cx="374015" cy="222250"/>
                          </a:xfrm>
                          <a:prstGeom prst="rect">
                            <a:avLst/>
                          </a:prstGeom>
                        </wps:spPr>
                        <wps:txbx>
                          <w:txbxContent>
                            <w:p>
                              <w:pPr>
                                <w:spacing w:line="208" w:lineRule="auto" w:before="23"/>
                                <w:ind w:left="0" w:right="10" w:firstLine="0"/>
                                <w:jc w:val="left"/>
                                <w:rPr>
                                  <w:rFonts w:ascii="Arial"/>
                                  <w:b/>
                                  <w:sz w:val="16"/>
                                </w:rPr>
                              </w:pPr>
                              <w:r>
                                <w:rPr>
                                  <w:rFonts w:ascii="Arial"/>
                                  <w:b/>
                                  <w:color w:val="231F20"/>
                                  <w:spacing w:val="-6"/>
                                  <w:sz w:val="16"/>
                                </w:rPr>
                                <w:t>Phase</w:t>
                              </w:r>
                              <w:r>
                                <w:rPr>
                                  <w:rFonts w:ascii="Arial"/>
                                  <w:b/>
                                  <w:color w:val="231F20"/>
                                  <w:spacing w:val="-10"/>
                                  <w:sz w:val="16"/>
                                </w:rPr>
                                <w:t> </w:t>
                              </w:r>
                              <w:r>
                                <w:rPr>
                                  <w:rFonts w:ascii="Arial"/>
                                  <w:b/>
                                  <w:color w:val="231F20"/>
                                  <w:spacing w:val="-6"/>
                                  <w:sz w:val="16"/>
                                </w:rPr>
                                <w:t>2</w:t>
                              </w:r>
                              <w:r>
                                <w:rPr>
                                  <w:rFonts w:ascii="Arial"/>
                                  <w:b/>
                                  <w:color w:val="231F20"/>
                                  <w:spacing w:val="-2"/>
                                  <w:sz w:val="16"/>
                                </w:rPr>
                                <w:t> </w:t>
                              </w:r>
                              <w:r>
                                <w:rPr>
                                  <w:rFonts w:ascii="Arial"/>
                                  <w:b/>
                                  <w:color w:val="231F20"/>
                                  <w:spacing w:val="-2"/>
                                  <w:w w:val="85"/>
                                  <w:sz w:val="16"/>
                                </w:rPr>
                                <w:t>Maritime</w:t>
                              </w:r>
                            </w:p>
                          </w:txbxContent>
                        </wps:txbx>
                        <wps:bodyPr wrap="square" lIns="0" tIns="0" rIns="0" bIns="0" rtlCol="0">
                          <a:noAutofit/>
                        </wps:bodyPr>
                      </wps:wsp>
                      <wps:wsp>
                        <wps:cNvPr id="1863" name="Textbox 1863"/>
                        <wps:cNvSpPr txBox="1"/>
                        <wps:spPr>
                          <a:xfrm>
                            <a:off x="2303804" y="1470494"/>
                            <a:ext cx="554355" cy="89535"/>
                          </a:xfrm>
                          <a:prstGeom prst="rect">
                            <a:avLst/>
                          </a:prstGeom>
                        </wps:spPr>
                        <wps:txbx>
                          <w:txbxContent>
                            <w:p>
                              <w:pPr>
                                <w:spacing w:before="1"/>
                                <w:ind w:left="0" w:right="0" w:firstLine="0"/>
                                <w:jc w:val="left"/>
                                <w:rPr>
                                  <w:rFonts w:ascii="Arial"/>
                                  <w:sz w:val="12"/>
                                </w:rPr>
                              </w:pPr>
                              <w:r>
                                <w:rPr>
                                  <w:rFonts w:ascii="Arial"/>
                                  <w:color w:val="6D6E71"/>
                                  <w:w w:val="85"/>
                                  <w:sz w:val="12"/>
                                </w:rPr>
                                <w:t>Transsipment</w:t>
                              </w:r>
                              <w:r>
                                <w:rPr>
                                  <w:rFonts w:ascii="Arial"/>
                                  <w:color w:val="6D6E71"/>
                                  <w:spacing w:val="-2"/>
                                  <w:w w:val="85"/>
                                  <w:sz w:val="12"/>
                                </w:rPr>
                                <w:t> </w:t>
                              </w:r>
                              <w:r>
                                <w:rPr>
                                  <w:rFonts w:ascii="Arial"/>
                                  <w:color w:val="6D6E71"/>
                                  <w:spacing w:val="-4"/>
                                  <w:w w:val="95"/>
                                  <w:sz w:val="12"/>
                                </w:rPr>
                                <w:t>time</w:t>
                              </w:r>
                            </w:p>
                          </w:txbxContent>
                        </wps:txbx>
                        <wps:bodyPr wrap="square" lIns="0" tIns="0" rIns="0" bIns="0" rtlCol="0">
                          <a:noAutofit/>
                        </wps:bodyPr>
                      </wps:wsp>
                      <wps:wsp>
                        <wps:cNvPr id="1864" name="Textbox 1864"/>
                        <wps:cNvSpPr txBox="1"/>
                        <wps:spPr>
                          <a:xfrm>
                            <a:off x="561939" y="1684158"/>
                            <a:ext cx="244475" cy="207010"/>
                          </a:xfrm>
                          <a:prstGeom prst="rect">
                            <a:avLst/>
                          </a:prstGeom>
                        </wps:spPr>
                        <wps:txbx>
                          <w:txbxContent>
                            <w:p>
                              <w:pPr>
                                <w:spacing w:before="3"/>
                                <w:ind w:left="0" w:right="0" w:firstLine="70"/>
                                <w:jc w:val="left"/>
                                <w:rPr>
                                  <w:rFonts w:ascii="Arial"/>
                                  <w:b/>
                                  <w:sz w:val="14"/>
                                </w:rPr>
                              </w:pPr>
                              <w:r>
                                <w:rPr>
                                  <w:rFonts w:ascii="Arial"/>
                                  <w:b/>
                                  <w:color w:val="FFFFFF"/>
                                  <w:spacing w:val="-4"/>
                                  <w:w w:val="95"/>
                                  <w:sz w:val="14"/>
                                </w:rPr>
                                <w:t>Port</w:t>
                              </w:r>
                              <w:r>
                                <w:rPr>
                                  <w:rFonts w:ascii="Arial"/>
                                  <w:b/>
                                  <w:color w:val="FFFFFF"/>
                                  <w:spacing w:val="40"/>
                                  <w:sz w:val="14"/>
                                </w:rPr>
                                <w:t> </w:t>
                              </w:r>
                              <w:r>
                                <w:rPr>
                                  <w:rFonts w:ascii="Arial"/>
                                  <w:b/>
                                  <w:color w:val="FFFFFF"/>
                                  <w:spacing w:val="-4"/>
                                  <w:w w:val="85"/>
                                  <w:sz w:val="14"/>
                                </w:rPr>
                                <w:t>import</w:t>
                              </w:r>
                            </w:p>
                          </w:txbxContent>
                        </wps:txbx>
                        <wps:bodyPr wrap="square" lIns="0" tIns="0" rIns="0" bIns="0" rtlCol="0">
                          <a:noAutofit/>
                        </wps:bodyPr>
                      </wps:wsp>
                      <wps:wsp>
                        <wps:cNvPr id="1865" name="Textbox 1865"/>
                        <wps:cNvSpPr txBox="1"/>
                        <wps:spPr>
                          <a:xfrm>
                            <a:off x="3702243" y="1675812"/>
                            <a:ext cx="1092200" cy="222250"/>
                          </a:xfrm>
                          <a:prstGeom prst="rect">
                            <a:avLst/>
                          </a:prstGeom>
                        </wps:spPr>
                        <wps:txbx>
                          <w:txbxContent>
                            <w:p>
                              <w:pPr>
                                <w:tabs>
                                  <w:tab w:pos="690" w:val="left" w:leader="none"/>
                                </w:tabs>
                                <w:spacing w:line="172" w:lineRule="exact" w:before="3"/>
                                <w:ind w:left="0" w:right="0" w:firstLine="0"/>
                                <w:jc w:val="left"/>
                                <w:rPr>
                                  <w:rFonts w:ascii="Arial"/>
                                  <w:b/>
                                  <w:sz w:val="16"/>
                                </w:rPr>
                              </w:pPr>
                              <w:r>
                                <w:rPr>
                                  <w:rFonts w:ascii="Arial"/>
                                  <w:b/>
                                  <w:color w:val="FFFFFF"/>
                                  <w:spacing w:val="-2"/>
                                  <w:position w:val="1"/>
                                  <w:sz w:val="14"/>
                                </w:rPr>
                                <w:t>Return</w:t>
                              </w:r>
                              <w:r>
                                <w:rPr>
                                  <w:rFonts w:ascii="Arial"/>
                                  <w:b/>
                                  <w:color w:val="FFFFFF"/>
                                  <w:position w:val="1"/>
                                  <w:sz w:val="14"/>
                                </w:rPr>
                                <w:tab/>
                              </w:r>
                              <w:r>
                                <w:rPr>
                                  <w:rFonts w:ascii="Arial"/>
                                  <w:b/>
                                  <w:color w:val="231F20"/>
                                  <w:w w:val="80"/>
                                  <w:sz w:val="16"/>
                                </w:rPr>
                                <w:t>Phase</w:t>
                              </w:r>
                              <w:r>
                                <w:rPr>
                                  <w:rFonts w:ascii="Arial"/>
                                  <w:b/>
                                  <w:color w:val="231F20"/>
                                  <w:spacing w:val="-4"/>
                                  <w:sz w:val="16"/>
                                </w:rPr>
                                <w:t> </w:t>
                              </w:r>
                              <w:r>
                                <w:rPr>
                                  <w:rFonts w:ascii="Arial"/>
                                  <w:b/>
                                  <w:color w:val="231F20"/>
                                  <w:spacing w:val="-10"/>
                                  <w:sz w:val="16"/>
                                </w:rPr>
                                <w:t>3</w:t>
                              </w:r>
                            </w:p>
                            <w:p>
                              <w:pPr>
                                <w:tabs>
                                  <w:tab w:pos="690" w:val="left" w:leader="none"/>
                                </w:tabs>
                                <w:spacing w:line="172" w:lineRule="exact" w:before="0"/>
                                <w:ind w:left="28" w:right="0" w:firstLine="0"/>
                                <w:jc w:val="left"/>
                                <w:rPr>
                                  <w:rFonts w:ascii="Arial"/>
                                  <w:b/>
                                  <w:sz w:val="16"/>
                                </w:rPr>
                              </w:pPr>
                              <w:r>
                                <w:rPr>
                                  <w:rFonts w:ascii="Arial"/>
                                  <w:b/>
                                  <w:color w:val="FFFFFF"/>
                                  <w:spacing w:val="-4"/>
                                  <w:w w:val="90"/>
                                  <w:position w:val="1"/>
                                  <w:sz w:val="14"/>
                                </w:rPr>
                                <w:t>depot</w:t>
                              </w:r>
                              <w:r>
                                <w:rPr>
                                  <w:rFonts w:ascii="Arial"/>
                                  <w:b/>
                                  <w:color w:val="FFFFFF"/>
                                  <w:position w:val="1"/>
                                  <w:sz w:val="14"/>
                                </w:rPr>
                                <w:tab/>
                              </w:r>
                              <w:r>
                                <w:rPr>
                                  <w:rFonts w:ascii="Arial"/>
                                  <w:b/>
                                  <w:color w:val="231F20"/>
                                  <w:w w:val="80"/>
                                  <w:sz w:val="16"/>
                                </w:rPr>
                                <w:t>Import</w:t>
                              </w:r>
                              <w:r>
                                <w:rPr>
                                  <w:rFonts w:ascii="Arial"/>
                                  <w:b/>
                                  <w:color w:val="231F20"/>
                                  <w:spacing w:val="2"/>
                                  <w:sz w:val="16"/>
                                </w:rPr>
                                <w:t> </w:t>
                              </w:r>
                              <w:r>
                                <w:rPr>
                                  <w:rFonts w:ascii="Arial"/>
                                  <w:b/>
                                  <w:color w:val="231F20"/>
                                  <w:w w:val="80"/>
                                  <w:sz w:val="16"/>
                                </w:rPr>
                                <w:t>on</w:t>
                              </w:r>
                              <w:r>
                                <w:rPr>
                                  <w:rFonts w:ascii="Arial"/>
                                  <w:b/>
                                  <w:color w:val="231F20"/>
                                  <w:spacing w:val="3"/>
                                  <w:sz w:val="16"/>
                                </w:rPr>
                                <w:t> </w:t>
                              </w:r>
                              <w:r>
                                <w:rPr>
                                  <w:rFonts w:ascii="Arial"/>
                                  <w:b/>
                                  <w:color w:val="231F20"/>
                                  <w:spacing w:val="-2"/>
                                  <w:w w:val="80"/>
                                  <w:sz w:val="16"/>
                                </w:rPr>
                                <w:t>shore</w:t>
                              </w:r>
                            </w:p>
                          </w:txbxContent>
                        </wps:txbx>
                        <wps:bodyPr wrap="square" lIns="0" tIns="0" rIns="0" bIns="0" rtlCol="0">
                          <a:noAutofit/>
                        </wps:bodyPr>
                      </wps:wsp>
                      <wps:wsp>
                        <wps:cNvPr id="1866" name="Textbox 1866"/>
                        <wps:cNvSpPr txBox="1"/>
                        <wps:spPr>
                          <a:xfrm>
                            <a:off x="798092" y="1990255"/>
                            <a:ext cx="324485" cy="89535"/>
                          </a:xfrm>
                          <a:prstGeom prst="rect">
                            <a:avLst/>
                          </a:prstGeom>
                        </wps:spPr>
                        <wps:txbx>
                          <w:txbxContent>
                            <w:p>
                              <w:pPr>
                                <w:spacing w:before="1"/>
                                <w:ind w:left="0" w:right="0" w:firstLine="0"/>
                                <w:jc w:val="left"/>
                                <w:rPr>
                                  <w:rFonts w:ascii="Arial"/>
                                  <w:sz w:val="12"/>
                                </w:rPr>
                              </w:pPr>
                              <w:r>
                                <w:rPr>
                                  <w:rFonts w:ascii="Arial"/>
                                  <w:color w:val="6D6E71"/>
                                  <w:w w:val="85"/>
                                  <w:sz w:val="12"/>
                                </w:rPr>
                                <w:t>Dwell</w:t>
                              </w:r>
                              <w:r>
                                <w:rPr>
                                  <w:rFonts w:ascii="Arial"/>
                                  <w:color w:val="6D6E71"/>
                                  <w:sz w:val="12"/>
                                </w:rPr>
                                <w:t> </w:t>
                              </w:r>
                              <w:r>
                                <w:rPr>
                                  <w:rFonts w:ascii="Arial"/>
                                  <w:color w:val="6D6E71"/>
                                  <w:spacing w:val="-4"/>
                                  <w:sz w:val="12"/>
                                </w:rPr>
                                <w:t>time</w:t>
                              </w:r>
                            </w:p>
                          </w:txbxContent>
                        </wps:txbx>
                        <wps:bodyPr wrap="square" lIns="0" tIns="0" rIns="0" bIns="0" rtlCol="0">
                          <a:noAutofit/>
                        </wps:bodyPr>
                      </wps:wsp>
                      <wps:wsp>
                        <wps:cNvPr id="1867" name="Textbox 1867"/>
                        <wps:cNvSpPr txBox="1"/>
                        <wps:spPr>
                          <a:xfrm>
                            <a:off x="1536905" y="1696871"/>
                            <a:ext cx="641985" cy="382905"/>
                          </a:xfrm>
                          <a:prstGeom prst="rect">
                            <a:avLst/>
                          </a:prstGeom>
                        </wps:spPr>
                        <wps:txbx>
                          <w:txbxContent>
                            <w:p>
                              <w:pPr>
                                <w:spacing w:before="3"/>
                                <w:ind w:left="125" w:right="0" w:hanging="126"/>
                                <w:jc w:val="left"/>
                                <w:rPr>
                                  <w:rFonts w:ascii="Arial"/>
                                  <w:b/>
                                  <w:sz w:val="14"/>
                                </w:rPr>
                              </w:pPr>
                              <w:r>
                                <w:rPr>
                                  <w:rFonts w:ascii="Arial"/>
                                  <w:b/>
                                  <w:color w:val="FFFFFF"/>
                                  <w:spacing w:val="-2"/>
                                  <w:w w:val="85"/>
                                  <w:sz w:val="14"/>
                                </w:rPr>
                                <w:t>Multimodal</w:t>
                              </w:r>
                              <w:r>
                                <w:rPr>
                                  <w:rFonts w:ascii="Arial"/>
                                  <w:b/>
                                  <w:color w:val="FFFFFF"/>
                                  <w:spacing w:val="40"/>
                                  <w:sz w:val="14"/>
                                </w:rPr>
                                <w:t> </w:t>
                              </w:r>
                              <w:r>
                                <w:rPr>
                                  <w:rFonts w:ascii="Arial"/>
                                  <w:b/>
                                  <w:color w:val="FFFFFF"/>
                                  <w:spacing w:val="-2"/>
                                  <w:sz w:val="14"/>
                                </w:rPr>
                                <w:t>facility</w:t>
                              </w:r>
                            </w:p>
                            <w:p>
                              <w:pPr>
                                <w:spacing w:before="138"/>
                                <w:ind w:left="499" w:right="0" w:firstLine="0"/>
                                <w:jc w:val="left"/>
                                <w:rPr>
                                  <w:rFonts w:ascii="Arial"/>
                                  <w:sz w:val="12"/>
                                </w:rPr>
                              </w:pPr>
                              <w:r>
                                <w:rPr>
                                  <w:rFonts w:ascii="Arial"/>
                                  <w:color w:val="6D6E71"/>
                                  <w:w w:val="85"/>
                                  <w:sz w:val="12"/>
                                </w:rPr>
                                <w:t>Dwell</w:t>
                              </w:r>
                              <w:r>
                                <w:rPr>
                                  <w:rFonts w:ascii="Arial"/>
                                  <w:color w:val="6D6E71"/>
                                  <w:sz w:val="12"/>
                                </w:rPr>
                                <w:t> </w:t>
                              </w:r>
                              <w:r>
                                <w:rPr>
                                  <w:rFonts w:ascii="Arial"/>
                                  <w:color w:val="6D6E71"/>
                                  <w:spacing w:val="-4"/>
                                  <w:sz w:val="12"/>
                                </w:rPr>
                                <w:t>time</w:t>
                              </w:r>
                            </w:p>
                          </w:txbxContent>
                        </wps:txbx>
                        <wps:bodyPr wrap="square" lIns="0" tIns="0" rIns="0" bIns="0" rtlCol="0">
                          <a:noAutofit/>
                        </wps:bodyPr>
                      </wps:wsp>
                      <wps:wsp>
                        <wps:cNvPr id="1868" name="Textbox 1868"/>
                        <wps:cNvSpPr txBox="1"/>
                        <wps:spPr>
                          <a:xfrm>
                            <a:off x="2561400" y="1734983"/>
                            <a:ext cx="639445" cy="344805"/>
                          </a:xfrm>
                          <a:prstGeom prst="rect">
                            <a:avLst/>
                          </a:prstGeom>
                        </wps:spPr>
                        <wps:txbx>
                          <w:txbxContent>
                            <w:p>
                              <w:pPr>
                                <w:spacing w:before="3"/>
                                <w:ind w:left="0" w:right="0" w:firstLine="0"/>
                                <w:jc w:val="left"/>
                                <w:rPr>
                                  <w:rFonts w:ascii="Arial"/>
                                  <w:b/>
                                  <w:sz w:val="14"/>
                                </w:rPr>
                              </w:pPr>
                              <w:r>
                                <w:rPr>
                                  <w:rFonts w:ascii="Arial"/>
                                  <w:b/>
                                  <w:color w:val="FFFFFF"/>
                                  <w:spacing w:val="-2"/>
                                  <w:sz w:val="14"/>
                                </w:rPr>
                                <w:t>Destination</w:t>
                              </w:r>
                            </w:p>
                            <w:p>
                              <w:pPr>
                                <w:spacing w:line="240" w:lineRule="auto" w:before="78"/>
                                <w:rPr>
                                  <w:rFonts w:ascii="Arial"/>
                                  <w:b/>
                                  <w:sz w:val="14"/>
                                </w:rPr>
                              </w:pPr>
                            </w:p>
                            <w:p>
                              <w:pPr>
                                <w:spacing w:before="0"/>
                                <w:ind w:left="495" w:right="0" w:firstLine="0"/>
                                <w:jc w:val="left"/>
                                <w:rPr>
                                  <w:rFonts w:ascii="Arial"/>
                                  <w:sz w:val="12"/>
                                </w:rPr>
                              </w:pPr>
                              <w:r>
                                <w:rPr>
                                  <w:rFonts w:ascii="Arial"/>
                                  <w:color w:val="6D6E71"/>
                                  <w:w w:val="85"/>
                                  <w:sz w:val="12"/>
                                </w:rPr>
                                <w:t>Dwell</w:t>
                              </w:r>
                              <w:r>
                                <w:rPr>
                                  <w:rFonts w:ascii="Arial"/>
                                  <w:color w:val="6D6E71"/>
                                  <w:sz w:val="12"/>
                                </w:rPr>
                                <w:t> </w:t>
                              </w:r>
                              <w:r>
                                <w:rPr>
                                  <w:rFonts w:ascii="Arial"/>
                                  <w:color w:val="6D6E71"/>
                                  <w:spacing w:val="-4"/>
                                  <w:sz w:val="12"/>
                                </w:rPr>
                                <w:t>time</w:t>
                              </w:r>
                            </w:p>
                          </w:txbxContent>
                        </wps:txbx>
                        <wps:bodyPr wrap="square" lIns="0" tIns="0" rIns="0" bIns="0" rtlCol="0">
                          <a:noAutofit/>
                        </wps:bodyPr>
                      </wps:wsp>
                      <wps:wsp>
                        <wps:cNvPr id="1869" name="Textbox 1869"/>
                        <wps:cNvSpPr txBox="1"/>
                        <wps:spPr>
                          <a:xfrm>
                            <a:off x="76386" y="2347671"/>
                            <a:ext cx="656590" cy="91440"/>
                          </a:xfrm>
                          <a:prstGeom prst="rect">
                            <a:avLst/>
                          </a:prstGeom>
                        </wps:spPr>
                        <wps:txbx>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1"/>
                                  <w:w w:val="80"/>
                                  <w:sz w:val="12"/>
                                </w:rPr>
                                <w:t> </w:t>
                              </w:r>
                              <w:r>
                                <w:rPr>
                                  <w:rFonts w:ascii="Arial"/>
                                  <w:color w:val="231F20"/>
                                  <w:w w:val="80"/>
                                  <w:sz w:val="12"/>
                                </w:rPr>
                                <w:t>2023</w:t>
                              </w:r>
                              <w:r>
                                <w:rPr>
                                  <w:rFonts w:ascii="Arial"/>
                                  <w:color w:val="231F20"/>
                                  <w:spacing w:val="-1"/>
                                  <w:w w:val="80"/>
                                  <w:sz w:val="12"/>
                                </w:rPr>
                                <w:t> </w:t>
                              </w:r>
                              <w:r>
                                <w:rPr>
                                  <w:rFonts w:ascii="Arial"/>
                                  <w:color w:val="231F20"/>
                                  <w:w w:val="80"/>
                                  <w:sz w:val="12"/>
                                </w:rPr>
                                <w:t>LPI</w:t>
                              </w:r>
                              <w:r>
                                <w:rPr>
                                  <w:rFonts w:ascii="Arial"/>
                                  <w:color w:val="231F20"/>
                                  <w:spacing w:val="-1"/>
                                  <w:w w:val="80"/>
                                  <w:sz w:val="12"/>
                                </w:rPr>
                                <w:t> </w:t>
                              </w:r>
                              <w:r>
                                <w:rPr>
                                  <w:rFonts w:ascii="Arial"/>
                                  <w:color w:val="231F20"/>
                                  <w:spacing w:val="-2"/>
                                  <w:w w:val="80"/>
                                  <w:sz w:val="12"/>
                                </w:rPr>
                                <w:t>team.</w:t>
                              </w:r>
                            </w:p>
                          </w:txbxContent>
                        </wps:txbx>
                        <wps:bodyPr wrap="square" lIns="0" tIns="0" rIns="0" bIns="0" rtlCol="0">
                          <a:noAutofit/>
                        </wps:bodyPr>
                      </wps:wsp>
                    </wpg:wgp>
                  </a:graphicData>
                </a:graphic>
              </wp:inline>
            </w:drawing>
          </mc:Choice>
          <mc:Fallback>
            <w:pict>
              <v:group style="width:384.05pt;height:199.4pt;mso-position-horizontal-relative:char;mso-position-vertical-relative:line" id="docshapegroup1555" coordorigin="0,0" coordsize="7681,3988">
                <v:shape style="position:absolute;left:0;top:406;width:7680;height:3581" id="docshape1556" coordorigin="0,406" coordsize="7680,3581" path="m7680,406l0,406,0,3869,10,3915,36,3953,74,3978,119,3987,7556,3987,7602,3979,7642,3955,7670,3918,7680,3869,7680,406xe" filled="true" fillcolor="#dfeaf7" stroked="false">
                  <v:path arrowok="t"/>
                  <v:fill type="solid"/>
                </v:shape>
                <v:line style="position:absolute" from="4723,2824" to="5508,2824" stroked="true" strokeweight="6pt" strokecolor="#977f84">
                  <v:stroke dashstyle="solid"/>
                </v:line>
                <v:shape style="position:absolute;left:5493;top:2715;width:110;height:219" id="docshape1557" coordorigin="5493,2715" coordsize="110,219" path="m5493,2715l5493,2934,5603,2824,5493,2715xe" filled="true" fillcolor="#977f84" stroked="false">
                  <v:path arrowok="t"/>
                  <v:fill type="solid"/>
                </v:shape>
                <v:line style="position:absolute" from="3057,2824" to="3842,2824" stroked="true" strokeweight="6pt" strokecolor="#008fdd">
                  <v:stroke dashstyle="solid"/>
                </v:line>
                <v:shape style="position:absolute;left:3827;top:2715;width:110;height:219" id="docshape1558" coordorigin="3827,2715" coordsize="110,219" path="m3827,2715l3827,2934,3937,2824,3827,2715xe" filled="true" fillcolor="#008fdd" stroked="false">
                  <v:path arrowok="t"/>
                  <v:fill type="solid"/>
                </v:shape>
                <v:line style="position:absolute" from="2448,949" to="3233,949" stroked="true" strokeweight="6pt" strokecolor="#008fdd">
                  <v:stroke dashstyle="solid"/>
                </v:line>
                <v:shape style="position:absolute;left:3218;top:839;width:110;height:219" id="docshape1559" coordorigin="3219,840" coordsize="110,219" path="m3219,840l3219,1059,3328,949,3219,840xe" filled="true" fillcolor="#008fdd" stroked="false">
                  <v:path arrowok="t"/>
                  <v:fill type="solid"/>
                </v:shape>
                <v:line style="position:absolute" from="3938,949" to="4723,949" stroked="true" strokeweight="6pt" strokecolor="#008fdd">
                  <v:stroke dashstyle="solid"/>
                </v:line>
                <v:shape style="position:absolute;left:4708;top:840;width:110;height:219" id="docshape1560" coordorigin="4709,840" coordsize="110,219" path="m4709,840l4709,1059,4818,949,4709,840xe" filled="true" fillcolor="#008fdd" stroked="false">
                  <v:path arrowok="t"/>
                  <v:fill type="solid"/>
                </v:shape>
                <v:line style="position:absolute" from="1008,949" to="1794,949" stroked="true" strokeweight="6pt" strokecolor="#977f84">
                  <v:stroke dashstyle="solid"/>
                </v:line>
                <v:shape style="position:absolute;left:1778;top:839;width:110;height:219" id="docshape1561" coordorigin="1779,840" coordsize="110,219" path="m1779,840l1779,1059,1888,949,1779,840xe" filled="true" fillcolor="#977f84" stroked="false">
                  <v:path arrowok="t"/>
                  <v:fill type="solid"/>
                </v:shape>
                <v:line style="position:absolute" from="1441,2824" to="2226,2824" stroked="true" strokeweight="6pt" strokecolor="#008fdd">
                  <v:stroke dashstyle="solid"/>
                </v:line>
                <v:shape style="position:absolute;left:0;top:0;width:2321;height:2934" id="docshape1562" coordorigin="0,0" coordsize="2321,2934" path="m887,0l120,0,74,5,36,23,10,59,0,120,0,365,887,365,887,0xm2321,2824l2211,2715,2211,2934,2321,2824xe" filled="true" fillcolor="#008fdd" stroked="false">
                  <v:path arrowok="t"/>
                  <v:fill type="solid"/>
                </v:shape>
                <v:shape style="position:absolute;left:886;top:0;width:6793;height:365" id="docshape1563" coordorigin="887,0" coordsize="6793,365" path="m7559,0l887,0,887,365,7679,365,7679,120,7671,80,7646,41,7608,12,7559,0xe" filled="true" fillcolor="#808285" stroked="false">
                  <v:path arrowok="t"/>
                  <v:fill type="solid"/>
                </v:shape>
                <v:line style="position:absolute" from="887,0" to="887,379" stroked="true" strokeweight="2pt" strokecolor="#ffffff">
                  <v:stroke dashstyle="solid"/>
                </v:line>
                <v:shape style="position:absolute;left:674;top:643;width:5735;height:2487" id="docshape1564" coordorigin="675,643" coordsize="5735,2487" path="m1461,2824l1453,2763,1430,2705,1393,2653,1345,2608,1287,2571,1221,2543,1147,2525,1068,2518,988,2525,915,2543,848,2571,790,2608,742,2653,705,2705,682,2763,675,2824,682,2886,705,2943,742,2995,790,3041,848,3078,915,3106,988,3124,1068,3130,1147,3124,1221,3106,1287,3078,1345,3041,1393,2995,1430,2943,1453,2886,1461,2824xm2694,949l2686,888,2663,830,2627,778,2579,733,2521,696,2454,667,2380,650,2301,643,2222,650,2148,667,2081,696,2023,733,1975,778,1939,830,1916,888,1908,949,1916,1011,1939,1068,1975,1120,2023,1166,2081,1203,2148,1231,2222,1249,2301,1255,2380,1249,2454,1231,2521,1203,2579,1166,2627,1120,2663,1068,2686,1011,2694,949xm3127,2824l3119,2763,3096,2705,3060,2653,3012,2608,2953,2571,2887,2543,2813,2525,2734,2518,2654,2525,2581,2543,2514,2571,2456,2608,2408,2653,2371,2705,2349,2763,2341,2824,2349,2886,2371,2943,2408,2995,2456,3041,2514,3078,2581,3106,2654,3124,2734,3130,2813,3124,2887,3106,2953,3078,3012,3041,3060,2995,3096,2943,3119,2886,3127,2824xm3930,1984l3923,1925,3900,1869,3865,1818,3817,1772,3759,1733,3692,1700,3617,1676,3535,1661,3449,1655,3362,1661,3280,1676,3205,1700,3138,1733,3080,1772,3032,1818,2997,1869,2974,1925,2967,1984,2974,2043,2997,2098,3032,2149,3080,2195,3138,2235,3205,2267,3280,2291,3362,2306,3449,2312,3535,2306,3617,2291,3692,2267,3759,2235,3817,2195,3865,2149,3900,2098,3923,2043,3930,1984xm4159,949l4151,888,4128,830,4092,778,4044,733,3986,696,3919,667,3845,650,3766,643,3687,650,3613,667,3546,696,3488,733,3440,778,3404,830,3381,888,3373,949,3381,1011,3404,1068,3440,1120,3488,1166,3546,1203,3613,1231,3687,1249,3766,1255,3845,1249,3919,1231,3986,1203,4044,1166,4092,1120,4128,1068,4151,1011,4159,949xm6409,2824l6401,2763,6378,2705,6342,2653,6294,2608,6235,2571,6169,2543,6095,2525,6016,2518,5937,2525,5863,2543,5796,2571,5738,2608,5690,2653,5654,2705,5631,2763,5623,2824,5631,2886,5654,2943,5690,2995,5738,3041,5796,3078,5863,3106,5937,3124,6016,3130,6095,3124,6169,3106,6235,3078,6294,3041,6342,2995,6378,2943,6401,2886,6409,2824xe" filled="true" fillcolor="#008fdd" stroked="false">
                  <v:path arrowok="t"/>
                  <v:fill type="solid"/>
                </v:shape>
                <v:shape style="position:absolute;left:468;top:643;width:787;height:612" id="docshape1565" coordorigin="468,643" coordsize="787,612" path="m861,643l782,650,708,667,642,696,583,733,535,778,499,830,476,888,468,949,476,1011,499,1068,535,1120,583,1166,642,1203,708,1231,782,1249,861,1255,941,1249,1014,1231,1081,1203,1139,1166,1187,1120,1223,1068,1246,1011,1254,949,1246,888,1223,830,1187,778,1139,733,1081,696,1014,667,941,650,861,643xe" filled="true" fillcolor="#977f84" stroked="false">
                  <v:path arrowok="t"/>
                  <v:fill type="solid"/>
                </v:shape>
                <v:shape style="position:absolute;left:4837;top:643;width:787;height:612" id="docshape1566" coordorigin="4838,643" coordsize="787,612" path="m5231,643l5152,650,5078,667,5011,696,4953,733,4905,778,4869,830,4846,888,4838,949,4846,1011,4869,1068,4905,1120,4953,1166,5011,1203,5078,1231,5152,1249,5231,1255,5310,1249,5384,1231,5451,1203,5509,1166,5557,1120,5593,1068,5616,1011,5624,949,5616,888,5593,830,5557,778,5509,733,5451,696,5384,667,5310,650,5231,643xe" filled="true" fillcolor="#008fdd" stroked="false">
                  <v:path arrowok="t"/>
                  <v:fill type="solid"/>
                </v:shape>
                <v:shape style="position:absolute;left:3956;top:2518;width:787;height:612" id="docshape1567" coordorigin="3957,2518" coordsize="787,612" path="m4350,2518l4270,2525,4197,2543,4130,2571,4072,2608,4024,2653,3988,2705,3965,2763,3957,2824,3965,2886,3988,2943,4024,2995,4072,3041,4130,3078,4197,3106,4270,3124,4350,3130,4429,3124,4503,3106,4569,3078,4628,3041,4676,2995,4712,2943,4735,2886,4743,2824,4735,2763,4712,2705,4676,2653,4628,2608,4569,2571,4503,2543,4429,2525,4350,2518xe" filled="true" fillcolor="#977f84" stroked="false">
                  <v:path arrowok="t"/>
                  <v:fill type="solid"/>
                </v:shape>
                <v:shape style="position:absolute;left:2462;top:3050;width:356;height:348" id="docshape1568" coordorigin="2462,3051" coordsize="356,348" path="m2696,3051l2749,3078,2805,3149,2818,3216,2805,3283,2767,3343,2708,3384,2641,3398,2574,3387,2515,3350,2486,3313,2469,3271,2462,3226,2468,3181e" filled="false" stroked="true" strokeweight="6pt" strokecolor="#008fdd">
                  <v:path arrowok="t"/>
                  <v:stroke dashstyle="solid"/>
                </v:shape>
                <v:shape style="position:absolute;left:2366;top:3097;width:194;height:148" id="docshape1569" coordorigin="2366,3098" coordsize="194,148" path="m2514,3098l2366,3144,2560,3245,2514,3098xe" filled="true" fillcolor="#008fdd" stroked="false">
                  <v:path arrowok="t"/>
                  <v:fill type="solid"/>
                </v:shape>
                <v:shape style="position:absolute;left:4078;top:3050;width:356;height:348" id="docshape1570" coordorigin="4078,3051" coordsize="356,348" path="m4312,3051l4365,3078,4421,3149,4434,3216,4422,3283,4383,3343,4324,3384,4257,3398,4190,3387,4131,3350,4102,3313,4085,3271,4078,3226,4084,3181e" filled="false" stroked="true" strokeweight="6pt" strokecolor="#977f84">
                  <v:path arrowok="t"/>
                  <v:stroke dashstyle="solid"/>
                </v:shape>
                <v:shape style="position:absolute;left:3982;top:3097;width:194;height:148" id="docshape1571" coordorigin="3982,3098" coordsize="194,148" path="m4130,3098l3982,3144,4176,3245,4130,3098xe" filled="true" fillcolor="#977f84" stroked="false">
                  <v:path arrowok="t"/>
                  <v:fill type="solid"/>
                </v:shape>
                <v:shape style="position:absolute;left:796;top:3050;width:356;height:348" id="docshape1572" coordorigin="796,3051" coordsize="356,348" path="m1030,3051l1083,3078,1138,3149,1152,3216,1139,3283,1101,3343,1042,3384,975,3398,908,3387,849,3350,820,3313,802,3271,796,3226,801,3181e" filled="false" stroked="true" strokeweight="6pt" strokecolor="#008fdd">
                  <v:path arrowok="t"/>
                  <v:stroke dashstyle="solid"/>
                </v:shape>
                <v:shape style="position:absolute;left:699;top:3097;width:194;height:148" id="docshape1573" coordorigin="700,3098" coordsize="194,148" path="m847,3098l700,3144,894,3245,847,3098xe" filled="true" fillcolor="#008fdd" stroked="false">
                  <v:path arrowok="t"/>
                  <v:fill type="solid"/>
                </v:shape>
                <v:shape style="position:absolute;left:3494;top:1175;width:356;height:348" id="docshape1574" coordorigin="3495,1175" coordsize="356,348" path="m3728,1175l3782,1203,3837,1274,3850,1341,3838,1408,3799,1468,3741,1509,3674,1523,3607,1512,3548,1475,3519,1438,3501,1396,3495,1351,3500,1306e" filled="false" stroked="true" strokeweight="6pt" strokecolor="#008fdd">
                  <v:path arrowok="t"/>
                  <v:stroke dashstyle="solid"/>
                </v:shape>
                <v:shape style="position:absolute;left:3398;top:1222;width:194;height:148" id="docshape1575" coordorigin="3399,1223" coordsize="194,148" path="m3546,1223l3399,1269,3592,1370,3546,1223xe" filled="true" fillcolor="#008fdd" stroked="false">
                  <v:path arrowok="t"/>
                  <v:fill type="solid"/>
                </v:shape>
                <v:shape style="position:absolute;left:4959;top:1175;width:356;height:348" id="docshape1576" coordorigin="4960,1175" coordsize="356,348" path="m5193,1175l5247,1203,5302,1274,5315,1341,5303,1408,5264,1468,5206,1509,5139,1523,5072,1512,5013,1475,4983,1438,4966,1396,4960,1351,4965,1306e" filled="false" stroked="true" strokeweight="6pt" strokecolor="#008fdd">
                  <v:path arrowok="t"/>
                  <v:stroke dashstyle="solid"/>
                </v:shape>
                <v:shape style="position:absolute;left:4863;top:1222;width:194;height:148" id="docshape1577" coordorigin="4863,1223" coordsize="194,148" path="m5011,1223l4863,1269,5057,1370,5011,1223xe" filled="true" fillcolor="#008fdd" stroked="false">
                  <v:path arrowok="t"/>
                  <v:fill type="solid"/>
                </v:shape>
                <v:shape style="position:absolute;left:3177;top:2231;width:356;height:348" id="docshape1578" coordorigin="3177,2232" coordsize="356,348" path="m3411,2232l3464,2259,3519,2331,3533,2397,3520,2465,3482,2525,3423,2565,3356,2580,3289,2569,3230,2531,3201,2494,3183,2452,3177,2407,3182,2362e" filled="false" stroked="true" strokeweight="6pt" strokecolor="#008fdd">
                  <v:path arrowok="t"/>
                  <v:stroke dashstyle="solid"/>
                </v:shape>
                <v:shape style="position:absolute;left:3080;top:2279;width:194;height:148" id="docshape1579" coordorigin="3081,2279" coordsize="194,148" path="m3228,2279l3081,2326,3275,2427,3228,2279xe" filled="true" fillcolor="#008fdd" stroked="false">
                  <v:path arrowok="t"/>
                  <v:fill type="solid"/>
                </v:shape>
                <v:shape style="position:absolute;left:2029;top:1175;width:356;height:348" id="docshape1580" coordorigin="2030,1175" coordsize="356,348" path="m2264,1175l2317,1203,2372,1274,2386,1341,2373,1408,2334,1468,2276,1509,2209,1523,2142,1512,2083,1475,2054,1438,2036,1396,2030,1351,2035,1306e" filled="false" stroked="true" strokeweight="6pt" strokecolor="#008fdd">
                  <v:path arrowok="t"/>
                  <v:stroke dashstyle="solid"/>
                </v:shape>
                <v:shape style="position:absolute;left:1933;top:1222;width:194;height:148" id="docshape1581" coordorigin="1934,1223" coordsize="194,148" path="m2081,1223l1934,1269,2128,1370,2081,1223xe" filled="true" fillcolor="#008fdd" stroked="false">
                  <v:path arrowok="t"/>
                  <v:fill type="solid"/>
                </v:shape>
                <v:line style="position:absolute" from="170,1857" to="333,1857" stroked="true" strokeweight="6pt" strokecolor="#008fdd">
                  <v:stroke dashstyle="solid"/>
                </v:line>
                <v:shape style="position:absolute;left:318;top:1747;width:110;height:219" id="docshape1582" coordorigin="318,1748" coordsize="110,219" path="m318,1748l318,1966,428,1857,318,1748xe" filled="true" fillcolor="#008fdd" stroked="false">
                  <v:path arrowok="t"/>
                  <v:fill type="solid"/>
                </v:shape>
                <v:line style="position:absolute" from="170,2110" to="333,2110" stroked="true" strokeweight="6pt" strokecolor="#977f84">
                  <v:stroke dashstyle="solid"/>
                </v:line>
                <v:shape style="position:absolute;left:318;top:2000;width:110;height:219" id="docshape1583" coordorigin="318,2001" coordsize="110,219" path="m318,2001l318,2219,428,2110,318,2001xe" filled="true" fillcolor="#977f84" stroked="false">
                  <v:path arrowok="t"/>
                  <v:fill type="solid"/>
                </v:shape>
                <v:shape style="position:absolute;left:120;top:105;width:3700;height:192" type="#_x0000_t202" id="docshape1584" filled="false" stroked="false">
                  <v:textbox inset="0,0,0,0">
                    <w:txbxContent>
                      <w:p>
                        <w:pPr>
                          <w:spacing w:before="3"/>
                          <w:ind w:left="0" w:right="0" w:firstLine="0"/>
                          <w:jc w:val="left"/>
                          <w:rPr>
                            <w:rFonts w:ascii="Arial"/>
                            <w:b/>
                            <w:sz w:val="16"/>
                          </w:rPr>
                        </w:pPr>
                        <w:r>
                          <w:rPr>
                            <w:rFonts w:ascii="Arial"/>
                            <w:color w:val="FFFFFF"/>
                            <w:sz w:val="16"/>
                          </w:rPr>
                          <w:t>Figure</w:t>
                        </w:r>
                        <w:r>
                          <w:rPr>
                            <w:rFonts w:ascii="Arial"/>
                            <w:color w:val="FFFFFF"/>
                            <w:spacing w:val="1"/>
                            <w:sz w:val="16"/>
                          </w:rPr>
                          <w:t> </w:t>
                        </w:r>
                        <w:r>
                          <w:rPr>
                            <w:rFonts w:ascii="Arial"/>
                            <w:b/>
                            <w:color w:val="FFFFFF"/>
                            <w:sz w:val="16"/>
                          </w:rPr>
                          <w:t>A4.5</w:t>
                        </w:r>
                        <w:r>
                          <w:rPr>
                            <w:rFonts w:ascii="Arial"/>
                            <w:b/>
                            <w:color w:val="FFFFFF"/>
                            <w:spacing w:val="62"/>
                            <w:w w:val="150"/>
                            <w:sz w:val="16"/>
                          </w:rPr>
                          <w:t> </w:t>
                        </w:r>
                        <w:r>
                          <w:rPr>
                            <w:rFonts w:ascii="Arial"/>
                            <w:b/>
                            <w:color w:val="FFFFFF"/>
                            <w:sz w:val="16"/>
                          </w:rPr>
                          <w:t>The</w:t>
                        </w:r>
                        <w:r>
                          <w:rPr>
                            <w:rFonts w:ascii="Arial"/>
                            <w:b/>
                            <w:color w:val="FFFFFF"/>
                            <w:spacing w:val="1"/>
                            <w:sz w:val="16"/>
                          </w:rPr>
                          <w:t> </w:t>
                        </w:r>
                        <w:r>
                          <w:rPr>
                            <w:rFonts w:ascii="Arial"/>
                            <w:b/>
                            <w:color w:val="FFFFFF"/>
                            <w:sz w:val="16"/>
                          </w:rPr>
                          <w:t>three</w:t>
                        </w:r>
                        <w:r>
                          <w:rPr>
                            <w:rFonts w:ascii="Arial"/>
                            <w:b/>
                            <w:color w:val="FFFFFF"/>
                            <w:spacing w:val="1"/>
                            <w:sz w:val="16"/>
                          </w:rPr>
                          <w:t> </w:t>
                        </w:r>
                        <w:r>
                          <w:rPr>
                            <w:rFonts w:ascii="Arial"/>
                            <w:b/>
                            <w:color w:val="FFFFFF"/>
                            <w:sz w:val="16"/>
                          </w:rPr>
                          <w:t>phases</w:t>
                        </w:r>
                        <w:r>
                          <w:rPr>
                            <w:rFonts w:ascii="Arial"/>
                            <w:b/>
                            <w:color w:val="FFFFFF"/>
                            <w:spacing w:val="2"/>
                            <w:sz w:val="16"/>
                          </w:rPr>
                          <w:t> </w:t>
                        </w:r>
                        <w:r>
                          <w:rPr>
                            <w:rFonts w:ascii="Arial"/>
                            <w:b/>
                            <w:color w:val="FFFFFF"/>
                            <w:sz w:val="16"/>
                          </w:rPr>
                          <w:t>of</w:t>
                        </w:r>
                        <w:r>
                          <w:rPr>
                            <w:rFonts w:ascii="Arial"/>
                            <w:b/>
                            <w:color w:val="FFFFFF"/>
                            <w:spacing w:val="1"/>
                            <w:sz w:val="16"/>
                          </w:rPr>
                          <w:t> </w:t>
                        </w:r>
                        <w:r>
                          <w:rPr>
                            <w:rFonts w:ascii="Arial"/>
                            <w:b/>
                            <w:color w:val="FFFFFF"/>
                            <w:sz w:val="16"/>
                          </w:rPr>
                          <w:t>container</w:t>
                        </w:r>
                        <w:r>
                          <w:rPr>
                            <w:rFonts w:ascii="Arial"/>
                            <w:b/>
                            <w:color w:val="FFFFFF"/>
                            <w:spacing w:val="1"/>
                            <w:sz w:val="16"/>
                          </w:rPr>
                          <w:t> </w:t>
                        </w:r>
                        <w:r>
                          <w:rPr>
                            <w:rFonts w:ascii="Arial"/>
                            <w:b/>
                            <w:color w:val="FFFFFF"/>
                            <w:spacing w:val="-2"/>
                            <w:sz w:val="16"/>
                          </w:rPr>
                          <w:t>trips</w:t>
                        </w:r>
                      </w:p>
                    </w:txbxContent>
                  </v:textbox>
                  <w10:wrap type="none"/>
                </v:shape>
                <v:shape style="position:absolute;left:699;top:777;width:344;height:326" type="#_x0000_t202" id="docshape1585" filled="false" stroked="false">
                  <v:textbox inset="0,0,0,0">
                    <w:txbxContent>
                      <w:p>
                        <w:pPr>
                          <w:spacing w:before="3"/>
                          <w:ind w:left="1" w:right="16" w:hanging="2"/>
                          <w:jc w:val="left"/>
                          <w:rPr>
                            <w:rFonts w:ascii="Arial"/>
                            <w:b/>
                            <w:sz w:val="14"/>
                          </w:rPr>
                        </w:pPr>
                        <w:r>
                          <w:rPr>
                            <w:rFonts w:ascii="Arial"/>
                            <w:b/>
                            <w:color w:val="FFFFFF"/>
                            <w:spacing w:val="-2"/>
                            <w:w w:val="80"/>
                            <w:sz w:val="14"/>
                          </w:rPr>
                          <w:t>Depot</w:t>
                        </w:r>
                        <w:r>
                          <w:rPr>
                            <w:rFonts w:ascii="Arial"/>
                            <w:b/>
                            <w:color w:val="FFFFFF"/>
                            <w:spacing w:val="40"/>
                            <w:sz w:val="14"/>
                          </w:rPr>
                          <w:t> </w:t>
                        </w:r>
                        <w:r>
                          <w:rPr>
                            <w:rFonts w:ascii="Arial"/>
                            <w:b/>
                            <w:color w:val="FFFFFF"/>
                            <w:spacing w:val="-4"/>
                            <w:w w:val="85"/>
                            <w:sz w:val="14"/>
                          </w:rPr>
                          <w:t>origin</w:t>
                        </w:r>
                      </w:p>
                    </w:txbxContent>
                  </v:textbox>
                  <w10:wrap type="none"/>
                </v:shape>
                <v:shape style="position:absolute;left:1986;top:777;width:650;height:326" type="#_x0000_t202" id="docshape1586" filled="false" stroked="false">
                  <v:textbox inset="0,0,0,0">
                    <w:txbxContent>
                      <w:p>
                        <w:pPr>
                          <w:spacing w:before="3"/>
                          <w:ind w:left="0" w:right="15" w:firstLine="148"/>
                          <w:jc w:val="left"/>
                          <w:rPr>
                            <w:rFonts w:ascii="Arial"/>
                            <w:b/>
                            <w:sz w:val="14"/>
                          </w:rPr>
                        </w:pPr>
                        <w:r>
                          <w:rPr>
                            <w:rFonts w:ascii="Arial"/>
                            <w:b/>
                            <w:color w:val="FFFFFF"/>
                            <w:spacing w:val="-2"/>
                            <w:w w:val="95"/>
                            <w:sz w:val="14"/>
                          </w:rPr>
                          <w:t>Origin</w:t>
                        </w:r>
                        <w:r>
                          <w:rPr>
                            <w:rFonts w:ascii="Arial"/>
                            <w:b/>
                            <w:color w:val="FFFFFF"/>
                            <w:spacing w:val="40"/>
                            <w:sz w:val="14"/>
                          </w:rPr>
                          <w:t> </w:t>
                        </w:r>
                        <w:r>
                          <w:rPr>
                            <w:rFonts w:ascii="Arial"/>
                            <w:b/>
                            <w:color w:val="FFFFFF"/>
                            <w:spacing w:val="-2"/>
                            <w:w w:val="85"/>
                            <w:sz w:val="14"/>
                          </w:rPr>
                          <w:t>multimodal</w:t>
                        </w:r>
                      </w:p>
                    </w:txbxContent>
                  </v:textbox>
                  <w10:wrap type="none"/>
                </v:shape>
                <v:shape style="position:absolute;left:5054;top:777;width:374;height:326" type="#_x0000_t202" id="docshape1587" filled="false" stroked="false">
                  <v:textbox inset="0,0,0,0">
                    <w:txbxContent>
                      <w:p>
                        <w:pPr>
                          <w:spacing w:before="3"/>
                          <w:ind w:left="0" w:right="14" w:firstLine="64"/>
                          <w:jc w:val="left"/>
                          <w:rPr>
                            <w:rFonts w:ascii="Arial"/>
                            <w:b/>
                            <w:sz w:val="14"/>
                          </w:rPr>
                        </w:pPr>
                        <w:r>
                          <w:rPr>
                            <w:rFonts w:ascii="Arial"/>
                            <w:b/>
                            <w:color w:val="FFFFFF"/>
                            <w:spacing w:val="-4"/>
                            <w:w w:val="95"/>
                            <w:sz w:val="14"/>
                          </w:rPr>
                          <w:t>Port</w:t>
                        </w:r>
                        <w:r>
                          <w:rPr>
                            <w:rFonts w:ascii="Arial"/>
                            <w:b/>
                            <w:color w:val="FFFFFF"/>
                            <w:spacing w:val="40"/>
                            <w:sz w:val="14"/>
                          </w:rPr>
                          <w:t> </w:t>
                        </w:r>
                        <w:r>
                          <w:rPr>
                            <w:rFonts w:ascii="Arial"/>
                            <w:b/>
                            <w:color w:val="FFFFFF"/>
                            <w:spacing w:val="-4"/>
                            <w:w w:val="85"/>
                            <w:sz w:val="14"/>
                          </w:rPr>
                          <w:t>export</w:t>
                        </w:r>
                      </w:p>
                    </w:txbxContent>
                  </v:textbox>
                  <w10:wrap type="none"/>
                </v:shape>
                <v:shape style="position:absolute;left:6521;top:764;width:1018;height:350" type="#_x0000_t202" id="docshape1588" filled="false" stroked="false">
                  <v:textbox inset="0,0,0,0">
                    <w:txbxContent>
                      <w:p>
                        <w:pPr>
                          <w:spacing w:line="172" w:lineRule="exact" w:before="3"/>
                          <w:ind w:left="0" w:right="0" w:firstLine="0"/>
                          <w:jc w:val="left"/>
                          <w:rPr>
                            <w:rFonts w:ascii="Arial"/>
                            <w:b/>
                            <w:sz w:val="16"/>
                          </w:rPr>
                        </w:pPr>
                        <w:r>
                          <w:rPr>
                            <w:rFonts w:ascii="Arial"/>
                            <w:b/>
                            <w:color w:val="231F20"/>
                            <w:w w:val="80"/>
                            <w:sz w:val="16"/>
                          </w:rPr>
                          <w:t>Phase</w:t>
                        </w:r>
                        <w:r>
                          <w:rPr>
                            <w:rFonts w:ascii="Arial"/>
                            <w:b/>
                            <w:color w:val="231F20"/>
                            <w:spacing w:val="-4"/>
                            <w:sz w:val="16"/>
                          </w:rPr>
                          <w:t> </w:t>
                        </w:r>
                        <w:r>
                          <w:rPr>
                            <w:rFonts w:ascii="Arial"/>
                            <w:b/>
                            <w:color w:val="231F20"/>
                            <w:spacing w:val="-10"/>
                            <w:sz w:val="16"/>
                          </w:rPr>
                          <w:t>1</w:t>
                        </w:r>
                      </w:p>
                      <w:p>
                        <w:pPr>
                          <w:spacing w:line="172" w:lineRule="exact" w:before="0"/>
                          <w:ind w:left="0" w:right="0" w:firstLine="0"/>
                          <w:jc w:val="left"/>
                          <w:rPr>
                            <w:rFonts w:ascii="Arial"/>
                            <w:b/>
                            <w:sz w:val="16"/>
                          </w:rPr>
                        </w:pPr>
                        <w:r>
                          <w:rPr>
                            <w:rFonts w:ascii="Arial"/>
                            <w:b/>
                            <w:color w:val="231F20"/>
                            <w:w w:val="80"/>
                            <w:sz w:val="16"/>
                          </w:rPr>
                          <w:t>Export</w:t>
                        </w:r>
                        <w:r>
                          <w:rPr>
                            <w:rFonts w:ascii="Arial"/>
                            <w:b/>
                            <w:color w:val="231F20"/>
                            <w:spacing w:val="-7"/>
                            <w:sz w:val="16"/>
                          </w:rPr>
                          <w:t> </w:t>
                        </w:r>
                        <w:r>
                          <w:rPr>
                            <w:rFonts w:ascii="Arial"/>
                            <w:b/>
                            <w:color w:val="231F20"/>
                            <w:w w:val="80"/>
                            <w:sz w:val="16"/>
                          </w:rPr>
                          <w:t>on</w:t>
                        </w:r>
                        <w:r>
                          <w:rPr>
                            <w:rFonts w:ascii="Arial"/>
                            <w:b/>
                            <w:color w:val="231F20"/>
                            <w:spacing w:val="-7"/>
                            <w:sz w:val="16"/>
                          </w:rPr>
                          <w:t> </w:t>
                        </w:r>
                        <w:r>
                          <w:rPr>
                            <w:rFonts w:ascii="Arial"/>
                            <w:b/>
                            <w:color w:val="231F20"/>
                            <w:spacing w:val="-2"/>
                            <w:w w:val="80"/>
                            <w:sz w:val="16"/>
                          </w:rPr>
                          <w:t>shore</w:t>
                        </w:r>
                      </w:p>
                    </w:txbxContent>
                  </v:textbox>
                  <w10:wrap type="none"/>
                </v:shape>
                <v:shape style="position:absolute;left:2484;top:1259;width:511;height:141" type="#_x0000_t202" id="docshape1589" filled="false" stroked="false">
                  <v:textbox inset="0,0,0,0">
                    <w:txbxContent>
                      <w:p>
                        <w:pPr>
                          <w:spacing w:before="1"/>
                          <w:ind w:left="0" w:right="0" w:firstLine="0"/>
                          <w:jc w:val="left"/>
                          <w:rPr>
                            <w:rFonts w:ascii="Arial"/>
                            <w:sz w:val="12"/>
                          </w:rPr>
                        </w:pPr>
                        <w:r>
                          <w:rPr>
                            <w:rFonts w:ascii="Arial"/>
                            <w:color w:val="6D6E71"/>
                            <w:w w:val="85"/>
                            <w:sz w:val="12"/>
                          </w:rPr>
                          <w:t>Dwell</w:t>
                        </w:r>
                        <w:r>
                          <w:rPr>
                            <w:rFonts w:ascii="Arial"/>
                            <w:color w:val="6D6E71"/>
                            <w:sz w:val="12"/>
                          </w:rPr>
                          <w:t> </w:t>
                        </w:r>
                        <w:r>
                          <w:rPr>
                            <w:rFonts w:ascii="Arial"/>
                            <w:color w:val="6D6E71"/>
                            <w:spacing w:val="-4"/>
                            <w:sz w:val="12"/>
                          </w:rPr>
                          <w:t>time</w:t>
                        </w:r>
                      </w:p>
                    </w:txbxContent>
                  </v:textbox>
                  <w10:wrap type="none"/>
                </v:shape>
                <v:shape style="position:absolute;left:3452;top:797;width:1006;height:603" type="#_x0000_t202" id="docshape1590" filled="false" stroked="false">
                  <v:textbox inset="0,0,0,0">
                    <w:txbxContent>
                      <w:p>
                        <w:pPr>
                          <w:spacing w:before="3"/>
                          <w:ind w:left="125" w:right="0" w:hanging="126"/>
                          <w:jc w:val="left"/>
                          <w:rPr>
                            <w:rFonts w:ascii="Arial"/>
                            <w:b/>
                            <w:sz w:val="14"/>
                          </w:rPr>
                        </w:pPr>
                        <w:r>
                          <w:rPr>
                            <w:rFonts w:ascii="Arial"/>
                            <w:b/>
                            <w:color w:val="FFFFFF"/>
                            <w:spacing w:val="-2"/>
                            <w:w w:val="85"/>
                            <w:sz w:val="14"/>
                          </w:rPr>
                          <w:t>Multimodal</w:t>
                        </w:r>
                        <w:r>
                          <w:rPr>
                            <w:rFonts w:ascii="Arial"/>
                            <w:b/>
                            <w:color w:val="FFFFFF"/>
                            <w:spacing w:val="40"/>
                            <w:sz w:val="14"/>
                          </w:rPr>
                          <w:t> </w:t>
                        </w:r>
                        <w:r>
                          <w:rPr>
                            <w:rFonts w:ascii="Arial"/>
                            <w:b/>
                            <w:color w:val="FFFFFF"/>
                            <w:spacing w:val="-2"/>
                            <w:sz w:val="14"/>
                          </w:rPr>
                          <w:t>facility</w:t>
                        </w:r>
                      </w:p>
                      <w:p>
                        <w:pPr>
                          <w:spacing w:before="138"/>
                          <w:ind w:left="494" w:right="0" w:firstLine="0"/>
                          <w:jc w:val="left"/>
                          <w:rPr>
                            <w:rFonts w:ascii="Arial"/>
                            <w:sz w:val="12"/>
                          </w:rPr>
                        </w:pPr>
                        <w:r>
                          <w:rPr>
                            <w:rFonts w:ascii="Arial"/>
                            <w:color w:val="6D6E71"/>
                            <w:w w:val="85"/>
                            <w:sz w:val="12"/>
                          </w:rPr>
                          <w:t>Dwell</w:t>
                        </w:r>
                        <w:r>
                          <w:rPr>
                            <w:rFonts w:ascii="Arial"/>
                            <w:color w:val="6D6E71"/>
                            <w:sz w:val="12"/>
                          </w:rPr>
                          <w:t> </w:t>
                        </w:r>
                        <w:r>
                          <w:rPr>
                            <w:rFonts w:ascii="Arial"/>
                            <w:color w:val="6D6E71"/>
                            <w:spacing w:val="-4"/>
                            <w:sz w:val="12"/>
                          </w:rPr>
                          <w:t>time</w:t>
                        </w:r>
                      </w:p>
                    </w:txbxContent>
                  </v:textbox>
                  <w10:wrap type="none"/>
                </v:shape>
                <v:shape style="position:absolute;left:5410;top:1259;width:511;height:141" type="#_x0000_t202" id="docshape1591" filled="false" stroked="false">
                  <v:textbox inset="0,0,0,0">
                    <w:txbxContent>
                      <w:p>
                        <w:pPr>
                          <w:spacing w:before="1"/>
                          <w:ind w:left="0" w:right="0" w:firstLine="0"/>
                          <w:jc w:val="left"/>
                          <w:rPr>
                            <w:rFonts w:ascii="Arial"/>
                            <w:sz w:val="12"/>
                          </w:rPr>
                        </w:pPr>
                        <w:r>
                          <w:rPr>
                            <w:rFonts w:ascii="Arial"/>
                            <w:color w:val="6D6E71"/>
                            <w:w w:val="85"/>
                            <w:sz w:val="12"/>
                          </w:rPr>
                          <w:t>Dwell</w:t>
                        </w:r>
                        <w:r>
                          <w:rPr>
                            <w:rFonts w:ascii="Arial"/>
                            <w:color w:val="6D6E71"/>
                            <w:sz w:val="12"/>
                          </w:rPr>
                          <w:t> </w:t>
                        </w:r>
                        <w:r>
                          <w:rPr>
                            <w:rFonts w:ascii="Arial"/>
                            <w:color w:val="6D6E71"/>
                            <w:spacing w:val="-4"/>
                            <w:sz w:val="12"/>
                          </w:rPr>
                          <w:t>time</w:t>
                        </w:r>
                      </w:p>
                    </w:txbxContent>
                  </v:textbox>
                  <w10:wrap type="none"/>
                </v:shape>
                <v:shape style="position:absolute;left:470;top:1775;width:870;height:412" type="#_x0000_t202" id="docshape1592" filled="false" stroked="false">
                  <v:textbox inset="0,0,0,0">
                    <w:txbxContent>
                      <w:p>
                        <w:pPr>
                          <w:spacing w:line="159" w:lineRule="exact" w:before="0"/>
                          <w:ind w:left="0" w:right="0" w:firstLine="0"/>
                          <w:jc w:val="left"/>
                          <w:rPr>
                            <w:rFonts w:ascii="Arial"/>
                            <w:sz w:val="14"/>
                          </w:rPr>
                        </w:pPr>
                        <w:r>
                          <w:rPr>
                            <w:rFonts w:ascii="Arial"/>
                            <w:color w:val="231F20"/>
                            <w:w w:val="75"/>
                            <w:sz w:val="14"/>
                          </w:rPr>
                          <w:t>Laden</w:t>
                        </w:r>
                        <w:r>
                          <w:rPr>
                            <w:rFonts w:ascii="Arial"/>
                            <w:color w:val="231F20"/>
                            <w:spacing w:val="-1"/>
                            <w:sz w:val="14"/>
                          </w:rPr>
                          <w:t> </w:t>
                        </w:r>
                        <w:r>
                          <w:rPr>
                            <w:rFonts w:ascii="Arial"/>
                            <w:color w:val="231F20"/>
                            <w:spacing w:val="-4"/>
                            <w:w w:val="85"/>
                            <w:sz w:val="14"/>
                          </w:rPr>
                          <w:t>containers</w:t>
                        </w:r>
                      </w:p>
                      <w:p>
                        <w:pPr>
                          <w:spacing w:line="160" w:lineRule="exact" w:before="91"/>
                          <w:ind w:left="0" w:right="0" w:firstLine="0"/>
                          <w:jc w:val="left"/>
                          <w:rPr>
                            <w:rFonts w:ascii="Arial"/>
                            <w:sz w:val="14"/>
                          </w:rPr>
                        </w:pPr>
                        <w:r>
                          <w:rPr>
                            <w:rFonts w:ascii="Arial"/>
                            <w:color w:val="231F20"/>
                            <w:spacing w:val="-2"/>
                            <w:w w:val="95"/>
                            <w:sz w:val="14"/>
                          </w:rPr>
                          <w:t>Empty</w:t>
                        </w:r>
                      </w:p>
                    </w:txbxContent>
                  </v:textbox>
                  <w10:wrap type="none"/>
                </v:shape>
                <v:shape style="position:absolute;left:3045;top:1791;width:826;height:326" type="#_x0000_t202" id="docshape1593" filled="false" stroked="false">
                  <v:textbox inset="0,0,0,0">
                    <w:txbxContent>
                      <w:p>
                        <w:pPr>
                          <w:spacing w:before="3"/>
                          <w:ind w:left="0" w:right="12" w:firstLine="290"/>
                          <w:jc w:val="left"/>
                          <w:rPr>
                            <w:rFonts w:ascii="Arial"/>
                            <w:b/>
                            <w:sz w:val="14"/>
                          </w:rPr>
                        </w:pPr>
                        <w:r>
                          <w:rPr>
                            <w:rFonts w:ascii="Arial"/>
                            <w:b/>
                            <w:color w:val="FFFFFF"/>
                            <w:spacing w:val="-4"/>
                            <w:w w:val="95"/>
                            <w:sz w:val="14"/>
                          </w:rPr>
                          <w:t>Port</w:t>
                        </w:r>
                        <w:r>
                          <w:rPr>
                            <w:rFonts w:ascii="Arial"/>
                            <w:b/>
                            <w:color w:val="FFFFFF"/>
                            <w:spacing w:val="40"/>
                            <w:sz w:val="14"/>
                          </w:rPr>
                          <w:t> </w:t>
                        </w:r>
                        <w:r>
                          <w:rPr>
                            <w:rFonts w:ascii="Arial"/>
                            <w:b/>
                            <w:color w:val="FFFFFF"/>
                            <w:spacing w:val="-2"/>
                            <w:w w:val="85"/>
                            <w:sz w:val="14"/>
                          </w:rPr>
                          <w:t>transshipment</w:t>
                        </w:r>
                      </w:p>
                    </w:txbxContent>
                  </v:textbox>
                  <w10:wrap type="none"/>
                </v:shape>
                <v:shape style="position:absolute;left:6521;top:1798;width:589;height:350" type="#_x0000_t202" id="docshape1594" filled="false" stroked="false">
                  <v:textbox inset="0,0,0,0">
                    <w:txbxContent>
                      <w:p>
                        <w:pPr>
                          <w:spacing w:line="208" w:lineRule="auto" w:before="23"/>
                          <w:ind w:left="0" w:right="10" w:firstLine="0"/>
                          <w:jc w:val="left"/>
                          <w:rPr>
                            <w:rFonts w:ascii="Arial"/>
                            <w:b/>
                            <w:sz w:val="16"/>
                          </w:rPr>
                        </w:pPr>
                        <w:r>
                          <w:rPr>
                            <w:rFonts w:ascii="Arial"/>
                            <w:b/>
                            <w:color w:val="231F20"/>
                            <w:spacing w:val="-6"/>
                            <w:sz w:val="16"/>
                          </w:rPr>
                          <w:t>Phase</w:t>
                        </w:r>
                        <w:r>
                          <w:rPr>
                            <w:rFonts w:ascii="Arial"/>
                            <w:b/>
                            <w:color w:val="231F20"/>
                            <w:spacing w:val="-10"/>
                            <w:sz w:val="16"/>
                          </w:rPr>
                          <w:t> </w:t>
                        </w:r>
                        <w:r>
                          <w:rPr>
                            <w:rFonts w:ascii="Arial"/>
                            <w:b/>
                            <w:color w:val="231F20"/>
                            <w:spacing w:val="-6"/>
                            <w:sz w:val="16"/>
                          </w:rPr>
                          <w:t>2</w:t>
                        </w:r>
                        <w:r>
                          <w:rPr>
                            <w:rFonts w:ascii="Arial"/>
                            <w:b/>
                            <w:color w:val="231F20"/>
                            <w:spacing w:val="-2"/>
                            <w:sz w:val="16"/>
                          </w:rPr>
                          <w:t> </w:t>
                        </w:r>
                        <w:r>
                          <w:rPr>
                            <w:rFonts w:ascii="Arial"/>
                            <w:b/>
                            <w:color w:val="231F20"/>
                            <w:spacing w:val="-2"/>
                            <w:w w:val="85"/>
                            <w:sz w:val="16"/>
                          </w:rPr>
                          <w:t>Maritime</w:t>
                        </w:r>
                      </w:p>
                    </w:txbxContent>
                  </v:textbox>
                  <w10:wrap type="none"/>
                </v:shape>
                <v:shape style="position:absolute;left:3628;top:2315;width:873;height:141" type="#_x0000_t202" id="docshape1595" filled="false" stroked="false">
                  <v:textbox inset="0,0,0,0">
                    <w:txbxContent>
                      <w:p>
                        <w:pPr>
                          <w:spacing w:before="1"/>
                          <w:ind w:left="0" w:right="0" w:firstLine="0"/>
                          <w:jc w:val="left"/>
                          <w:rPr>
                            <w:rFonts w:ascii="Arial"/>
                            <w:sz w:val="12"/>
                          </w:rPr>
                        </w:pPr>
                        <w:r>
                          <w:rPr>
                            <w:rFonts w:ascii="Arial"/>
                            <w:color w:val="6D6E71"/>
                            <w:w w:val="85"/>
                            <w:sz w:val="12"/>
                          </w:rPr>
                          <w:t>Transsipment</w:t>
                        </w:r>
                        <w:r>
                          <w:rPr>
                            <w:rFonts w:ascii="Arial"/>
                            <w:color w:val="6D6E71"/>
                            <w:spacing w:val="-2"/>
                            <w:w w:val="85"/>
                            <w:sz w:val="12"/>
                          </w:rPr>
                          <w:t> </w:t>
                        </w:r>
                        <w:r>
                          <w:rPr>
                            <w:rFonts w:ascii="Arial"/>
                            <w:color w:val="6D6E71"/>
                            <w:spacing w:val="-4"/>
                            <w:w w:val="95"/>
                            <w:sz w:val="12"/>
                          </w:rPr>
                          <w:t>time</w:t>
                        </w:r>
                      </w:p>
                    </w:txbxContent>
                  </v:textbox>
                  <w10:wrap type="none"/>
                </v:shape>
                <v:shape style="position:absolute;left:884;top:2652;width:385;height:326" type="#_x0000_t202" id="docshape1596" filled="false" stroked="false">
                  <v:textbox inset="0,0,0,0">
                    <w:txbxContent>
                      <w:p>
                        <w:pPr>
                          <w:spacing w:before="3"/>
                          <w:ind w:left="0" w:right="0" w:firstLine="70"/>
                          <w:jc w:val="left"/>
                          <w:rPr>
                            <w:rFonts w:ascii="Arial"/>
                            <w:b/>
                            <w:sz w:val="14"/>
                          </w:rPr>
                        </w:pPr>
                        <w:r>
                          <w:rPr>
                            <w:rFonts w:ascii="Arial"/>
                            <w:b/>
                            <w:color w:val="FFFFFF"/>
                            <w:spacing w:val="-4"/>
                            <w:w w:val="95"/>
                            <w:sz w:val="14"/>
                          </w:rPr>
                          <w:t>Port</w:t>
                        </w:r>
                        <w:r>
                          <w:rPr>
                            <w:rFonts w:ascii="Arial"/>
                            <w:b/>
                            <w:color w:val="FFFFFF"/>
                            <w:spacing w:val="40"/>
                            <w:sz w:val="14"/>
                          </w:rPr>
                          <w:t> </w:t>
                        </w:r>
                        <w:r>
                          <w:rPr>
                            <w:rFonts w:ascii="Arial"/>
                            <w:b/>
                            <w:color w:val="FFFFFF"/>
                            <w:spacing w:val="-4"/>
                            <w:w w:val="85"/>
                            <w:sz w:val="14"/>
                          </w:rPr>
                          <w:t>import</w:t>
                        </w:r>
                      </w:p>
                    </w:txbxContent>
                  </v:textbox>
                  <w10:wrap type="none"/>
                </v:shape>
                <v:shape style="position:absolute;left:5830;top:2639;width:1720;height:350" type="#_x0000_t202" id="docshape1597" filled="false" stroked="false">
                  <v:textbox inset="0,0,0,0">
                    <w:txbxContent>
                      <w:p>
                        <w:pPr>
                          <w:tabs>
                            <w:tab w:pos="690" w:val="left" w:leader="none"/>
                          </w:tabs>
                          <w:spacing w:line="172" w:lineRule="exact" w:before="3"/>
                          <w:ind w:left="0" w:right="0" w:firstLine="0"/>
                          <w:jc w:val="left"/>
                          <w:rPr>
                            <w:rFonts w:ascii="Arial"/>
                            <w:b/>
                            <w:sz w:val="16"/>
                          </w:rPr>
                        </w:pPr>
                        <w:r>
                          <w:rPr>
                            <w:rFonts w:ascii="Arial"/>
                            <w:b/>
                            <w:color w:val="FFFFFF"/>
                            <w:spacing w:val="-2"/>
                            <w:position w:val="1"/>
                            <w:sz w:val="14"/>
                          </w:rPr>
                          <w:t>Return</w:t>
                        </w:r>
                        <w:r>
                          <w:rPr>
                            <w:rFonts w:ascii="Arial"/>
                            <w:b/>
                            <w:color w:val="FFFFFF"/>
                            <w:position w:val="1"/>
                            <w:sz w:val="14"/>
                          </w:rPr>
                          <w:tab/>
                        </w:r>
                        <w:r>
                          <w:rPr>
                            <w:rFonts w:ascii="Arial"/>
                            <w:b/>
                            <w:color w:val="231F20"/>
                            <w:w w:val="80"/>
                            <w:sz w:val="16"/>
                          </w:rPr>
                          <w:t>Phase</w:t>
                        </w:r>
                        <w:r>
                          <w:rPr>
                            <w:rFonts w:ascii="Arial"/>
                            <w:b/>
                            <w:color w:val="231F20"/>
                            <w:spacing w:val="-4"/>
                            <w:sz w:val="16"/>
                          </w:rPr>
                          <w:t> </w:t>
                        </w:r>
                        <w:r>
                          <w:rPr>
                            <w:rFonts w:ascii="Arial"/>
                            <w:b/>
                            <w:color w:val="231F20"/>
                            <w:spacing w:val="-10"/>
                            <w:sz w:val="16"/>
                          </w:rPr>
                          <w:t>3</w:t>
                        </w:r>
                      </w:p>
                      <w:p>
                        <w:pPr>
                          <w:tabs>
                            <w:tab w:pos="690" w:val="left" w:leader="none"/>
                          </w:tabs>
                          <w:spacing w:line="172" w:lineRule="exact" w:before="0"/>
                          <w:ind w:left="28" w:right="0" w:firstLine="0"/>
                          <w:jc w:val="left"/>
                          <w:rPr>
                            <w:rFonts w:ascii="Arial"/>
                            <w:b/>
                            <w:sz w:val="16"/>
                          </w:rPr>
                        </w:pPr>
                        <w:r>
                          <w:rPr>
                            <w:rFonts w:ascii="Arial"/>
                            <w:b/>
                            <w:color w:val="FFFFFF"/>
                            <w:spacing w:val="-4"/>
                            <w:w w:val="90"/>
                            <w:position w:val="1"/>
                            <w:sz w:val="14"/>
                          </w:rPr>
                          <w:t>depot</w:t>
                        </w:r>
                        <w:r>
                          <w:rPr>
                            <w:rFonts w:ascii="Arial"/>
                            <w:b/>
                            <w:color w:val="FFFFFF"/>
                            <w:position w:val="1"/>
                            <w:sz w:val="14"/>
                          </w:rPr>
                          <w:tab/>
                        </w:r>
                        <w:r>
                          <w:rPr>
                            <w:rFonts w:ascii="Arial"/>
                            <w:b/>
                            <w:color w:val="231F20"/>
                            <w:w w:val="80"/>
                            <w:sz w:val="16"/>
                          </w:rPr>
                          <w:t>Import</w:t>
                        </w:r>
                        <w:r>
                          <w:rPr>
                            <w:rFonts w:ascii="Arial"/>
                            <w:b/>
                            <w:color w:val="231F20"/>
                            <w:spacing w:val="2"/>
                            <w:sz w:val="16"/>
                          </w:rPr>
                          <w:t> </w:t>
                        </w:r>
                        <w:r>
                          <w:rPr>
                            <w:rFonts w:ascii="Arial"/>
                            <w:b/>
                            <w:color w:val="231F20"/>
                            <w:w w:val="80"/>
                            <w:sz w:val="16"/>
                          </w:rPr>
                          <w:t>on</w:t>
                        </w:r>
                        <w:r>
                          <w:rPr>
                            <w:rFonts w:ascii="Arial"/>
                            <w:b/>
                            <w:color w:val="231F20"/>
                            <w:spacing w:val="3"/>
                            <w:sz w:val="16"/>
                          </w:rPr>
                          <w:t> </w:t>
                        </w:r>
                        <w:r>
                          <w:rPr>
                            <w:rFonts w:ascii="Arial"/>
                            <w:b/>
                            <w:color w:val="231F20"/>
                            <w:spacing w:val="-2"/>
                            <w:w w:val="80"/>
                            <w:sz w:val="16"/>
                          </w:rPr>
                          <w:t>shore</w:t>
                        </w:r>
                      </w:p>
                    </w:txbxContent>
                  </v:textbox>
                  <w10:wrap type="none"/>
                </v:shape>
                <v:shape style="position:absolute;left:1256;top:3134;width:511;height:141" type="#_x0000_t202" id="docshape1598" filled="false" stroked="false">
                  <v:textbox inset="0,0,0,0">
                    <w:txbxContent>
                      <w:p>
                        <w:pPr>
                          <w:spacing w:before="1"/>
                          <w:ind w:left="0" w:right="0" w:firstLine="0"/>
                          <w:jc w:val="left"/>
                          <w:rPr>
                            <w:rFonts w:ascii="Arial"/>
                            <w:sz w:val="12"/>
                          </w:rPr>
                        </w:pPr>
                        <w:r>
                          <w:rPr>
                            <w:rFonts w:ascii="Arial"/>
                            <w:color w:val="6D6E71"/>
                            <w:w w:val="85"/>
                            <w:sz w:val="12"/>
                          </w:rPr>
                          <w:t>Dwell</w:t>
                        </w:r>
                        <w:r>
                          <w:rPr>
                            <w:rFonts w:ascii="Arial"/>
                            <w:color w:val="6D6E71"/>
                            <w:sz w:val="12"/>
                          </w:rPr>
                          <w:t> </w:t>
                        </w:r>
                        <w:r>
                          <w:rPr>
                            <w:rFonts w:ascii="Arial"/>
                            <w:color w:val="6D6E71"/>
                            <w:spacing w:val="-4"/>
                            <w:sz w:val="12"/>
                          </w:rPr>
                          <w:t>time</w:t>
                        </w:r>
                      </w:p>
                    </w:txbxContent>
                  </v:textbox>
                  <w10:wrap type="none"/>
                </v:shape>
                <v:shape style="position:absolute;left:2420;top:2672;width:1011;height:603" type="#_x0000_t202" id="docshape1599" filled="false" stroked="false">
                  <v:textbox inset="0,0,0,0">
                    <w:txbxContent>
                      <w:p>
                        <w:pPr>
                          <w:spacing w:before="3"/>
                          <w:ind w:left="125" w:right="0" w:hanging="126"/>
                          <w:jc w:val="left"/>
                          <w:rPr>
                            <w:rFonts w:ascii="Arial"/>
                            <w:b/>
                            <w:sz w:val="14"/>
                          </w:rPr>
                        </w:pPr>
                        <w:r>
                          <w:rPr>
                            <w:rFonts w:ascii="Arial"/>
                            <w:b/>
                            <w:color w:val="FFFFFF"/>
                            <w:spacing w:val="-2"/>
                            <w:w w:val="85"/>
                            <w:sz w:val="14"/>
                          </w:rPr>
                          <w:t>Multimodal</w:t>
                        </w:r>
                        <w:r>
                          <w:rPr>
                            <w:rFonts w:ascii="Arial"/>
                            <w:b/>
                            <w:color w:val="FFFFFF"/>
                            <w:spacing w:val="40"/>
                            <w:sz w:val="14"/>
                          </w:rPr>
                          <w:t> </w:t>
                        </w:r>
                        <w:r>
                          <w:rPr>
                            <w:rFonts w:ascii="Arial"/>
                            <w:b/>
                            <w:color w:val="FFFFFF"/>
                            <w:spacing w:val="-2"/>
                            <w:sz w:val="14"/>
                          </w:rPr>
                          <w:t>facility</w:t>
                        </w:r>
                      </w:p>
                      <w:p>
                        <w:pPr>
                          <w:spacing w:before="138"/>
                          <w:ind w:left="499" w:right="0" w:firstLine="0"/>
                          <w:jc w:val="left"/>
                          <w:rPr>
                            <w:rFonts w:ascii="Arial"/>
                            <w:sz w:val="12"/>
                          </w:rPr>
                        </w:pPr>
                        <w:r>
                          <w:rPr>
                            <w:rFonts w:ascii="Arial"/>
                            <w:color w:val="6D6E71"/>
                            <w:w w:val="85"/>
                            <w:sz w:val="12"/>
                          </w:rPr>
                          <w:t>Dwell</w:t>
                        </w:r>
                        <w:r>
                          <w:rPr>
                            <w:rFonts w:ascii="Arial"/>
                            <w:color w:val="6D6E71"/>
                            <w:sz w:val="12"/>
                          </w:rPr>
                          <w:t> </w:t>
                        </w:r>
                        <w:r>
                          <w:rPr>
                            <w:rFonts w:ascii="Arial"/>
                            <w:color w:val="6D6E71"/>
                            <w:spacing w:val="-4"/>
                            <w:sz w:val="12"/>
                          </w:rPr>
                          <w:t>time</w:t>
                        </w:r>
                      </w:p>
                    </w:txbxContent>
                  </v:textbox>
                  <w10:wrap type="none"/>
                </v:shape>
                <v:shape style="position:absolute;left:4033;top:2732;width:1007;height:543" type="#_x0000_t202" id="docshape1600" filled="false" stroked="false">
                  <v:textbox inset="0,0,0,0">
                    <w:txbxContent>
                      <w:p>
                        <w:pPr>
                          <w:spacing w:before="3"/>
                          <w:ind w:left="0" w:right="0" w:firstLine="0"/>
                          <w:jc w:val="left"/>
                          <w:rPr>
                            <w:rFonts w:ascii="Arial"/>
                            <w:b/>
                            <w:sz w:val="14"/>
                          </w:rPr>
                        </w:pPr>
                        <w:r>
                          <w:rPr>
                            <w:rFonts w:ascii="Arial"/>
                            <w:b/>
                            <w:color w:val="FFFFFF"/>
                            <w:spacing w:val="-2"/>
                            <w:sz w:val="14"/>
                          </w:rPr>
                          <w:t>Destination</w:t>
                        </w:r>
                      </w:p>
                      <w:p>
                        <w:pPr>
                          <w:spacing w:line="240" w:lineRule="auto" w:before="78"/>
                          <w:rPr>
                            <w:rFonts w:ascii="Arial"/>
                            <w:b/>
                            <w:sz w:val="14"/>
                          </w:rPr>
                        </w:pPr>
                      </w:p>
                      <w:p>
                        <w:pPr>
                          <w:spacing w:before="0"/>
                          <w:ind w:left="495" w:right="0" w:firstLine="0"/>
                          <w:jc w:val="left"/>
                          <w:rPr>
                            <w:rFonts w:ascii="Arial"/>
                            <w:sz w:val="12"/>
                          </w:rPr>
                        </w:pPr>
                        <w:r>
                          <w:rPr>
                            <w:rFonts w:ascii="Arial"/>
                            <w:color w:val="6D6E71"/>
                            <w:w w:val="85"/>
                            <w:sz w:val="12"/>
                          </w:rPr>
                          <w:t>Dwell</w:t>
                        </w:r>
                        <w:r>
                          <w:rPr>
                            <w:rFonts w:ascii="Arial"/>
                            <w:color w:val="6D6E71"/>
                            <w:sz w:val="12"/>
                          </w:rPr>
                          <w:t> </w:t>
                        </w:r>
                        <w:r>
                          <w:rPr>
                            <w:rFonts w:ascii="Arial"/>
                            <w:color w:val="6D6E71"/>
                            <w:spacing w:val="-4"/>
                            <w:sz w:val="12"/>
                          </w:rPr>
                          <w:t>time</w:t>
                        </w:r>
                      </w:p>
                    </w:txbxContent>
                  </v:textbox>
                  <w10:wrap type="none"/>
                </v:shape>
                <v:shape style="position:absolute;left:120;top:3697;width:1034;height:144" type="#_x0000_t202" id="docshape1601" filled="false" stroked="false">
                  <v:textbox inset="0,0,0,0">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1"/>
                            <w:w w:val="80"/>
                            <w:sz w:val="12"/>
                          </w:rPr>
                          <w:t> </w:t>
                        </w:r>
                        <w:r>
                          <w:rPr>
                            <w:rFonts w:ascii="Arial"/>
                            <w:color w:val="231F20"/>
                            <w:w w:val="80"/>
                            <w:sz w:val="12"/>
                          </w:rPr>
                          <w:t>2023</w:t>
                        </w:r>
                        <w:r>
                          <w:rPr>
                            <w:rFonts w:ascii="Arial"/>
                            <w:color w:val="231F20"/>
                            <w:spacing w:val="-1"/>
                            <w:w w:val="80"/>
                            <w:sz w:val="12"/>
                          </w:rPr>
                          <w:t> </w:t>
                        </w:r>
                        <w:r>
                          <w:rPr>
                            <w:rFonts w:ascii="Arial"/>
                            <w:color w:val="231F20"/>
                            <w:w w:val="80"/>
                            <w:sz w:val="12"/>
                          </w:rPr>
                          <w:t>LPI</w:t>
                        </w:r>
                        <w:r>
                          <w:rPr>
                            <w:rFonts w:ascii="Arial"/>
                            <w:color w:val="231F20"/>
                            <w:spacing w:val="-1"/>
                            <w:w w:val="80"/>
                            <w:sz w:val="12"/>
                          </w:rPr>
                          <w:t> </w:t>
                        </w:r>
                        <w:r>
                          <w:rPr>
                            <w:rFonts w:ascii="Arial"/>
                            <w:color w:val="231F20"/>
                            <w:spacing w:val="-2"/>
                            <w:w w:val="80"/>
                            <w:sz w:val="12"/>
                          </w:rPr>
                          <w:t>team.</w:t>
                        </w:r>
                      </w:p>
                    </w:txbxContent>
                  </v:textbox>
                  <w10:wrap type="none"/>
                </v:shape>
              </v:group>
            </w:pict>
          </mc:Fallback>
        </mc:AlternateContent>
      </w:r>
      <w:r>
        <w:rPr>
          <w:sz w:val="20"/>
        </w:rPr>
      </w:r>
    </w:p>
    <w:p>
      <w:pPr>
        <w:spacing w:after="0"/>
        <w:rPr>
          <w:sz w:val="20"/>
        </w:rPr>
        <w:sectPr>
          <w:type w:val="continuous"/>
          <w:pgSz w:w="12240" w:h="15840"/>
          <w:pgMar w:header="370" w:footer="548" w:top="1140" w:bottom="280" w:left="0" w:right="540"/>
        </w:sectPr>
      </w:pPr>
    </w:p>
    <w:p>
      <w:pPr>
        <w:pStyle w:val="BodyText"/>
        <w:rPr>
          <w:sz w:val="20"/>
        </w:rPr>
      </w:pPr>
    </w:p>
    <w:p>
      <w:pPr>
        <w:pStyle w:val="BodyText"/>
        <w:rPr>
          <w:sz w:val="20"/>
        </w:rPr>
      </w:pPr>
    </w:p>
    <w:p>
      <w:pPr>
        <w:pStyle w:val="BodyText"/>
        <w:spacing w:before="37"/>
        <w:rPr>
          <w:sz w:val="20"/>
        </w:rPr>
      </w:pPr>
    </w:p>
    <w:p>
      <w:pPr>
        <w:spacing w:after="0"/>
        <w:rPr>
          <w:sz w:val="20"/>
        </w:rPr>
        <w:sectPr>
          <w:pgSz w:w="12240" w:h="15840"/>
          <w:pgMar w:header="370" w:footer="548" w:top="560" w:bottom="740" w:left="0" w:right="540"/>
        </w:sectPr>
      </w:pPr>
    </w:p>
    <w:p>
      <w:pPr>
        <w:spacing w:before="105"/>
        <w:ind w:left="985" w:right="0" w:firstLine="0"/>
        <w:jc w:val="center"/>
        <w:rPr>
          <w:rFonts w:ascii="Arial"/>
          <w:b/>
          <w:sz w:val="20"/>
        </w:rPr>
      </w:pPr>
      <w:r>
        <w:rPr>
          <w:rFonts w:ascii="Arial"/>
          <w:b/>
          <w:color w:val="231F20"/>
          <w:spacing w:val="-2"/>
          <w:w w:val="105"/>
          <w:sz w:val="20"/>
        </w:rPr>
        <w:t>MarineTraffic</w:t>
      </w:r>
    </w:p>
    <w:p>
      <w:pPr>
        <w:pStyle w:val="BodyText"/>
        <w:spacing w:before="72"/>
        <w:rPr>
          <w:rFonts w:ascii="Arial"/>
          <w:b/>
          <w:sz w:val="20"/>
        </w:rPr>
      </w:pPr>
    </w:p>
    <w:p>
      <w:pPr>
        <w:pStyle w:val="BodyText"/>
        <w:spacing w:line="268" w:lineRule="auto"/>
        <w:ind w:left="3360"/>
        <w:jc w:val="both"/>
      </w:pPr>
      <w:r>
        <w:rPr/>
        <mc:AlternateContent>
          <mc:Choice Requires="wps">
            <w:drawing>
              <wp:anchor distT="0" distB="0" distL="0" distR="0" allowOverlap="1" layoutInCell="1" locked="0" behindDoc="1" simplePos="0" relativeHeight="466781184">
                <wp:simplePos x="0" y="0"/>
                <wp:positionH relativeFrom="page">
                  <wp:posOffset>2133600</wp:posOffset>
                </wp:positionH>
                <wp:positionV relativeFrom="paragraph">
                  <wp:posOffset>2416872</wp:posOffset>
                </wp:positionV>
                <wp:extent cx="4877435" cy="2964180"/>
                <wp:effectExtent l="0" t="0" r="0" b="0"/>
                <wp:wrapNone/>
                <wp:docPr id="1870" name="Group 1870"/>
                <wp:cNvGraphicFramePr>
                  <a:graphicFrameLocks/>
                </wp:cNvGraphicFramePr>
                <a:graphic>
                  <a:graphicData uri="http://schemas.microsoft.com/office/word/2010/wordprocessingGroup">
                    <wpg:wgp>
                      <wpg:cNvPr id="1870" name="Group 1870"/>
                      <wpg:cNvGrpSpPr/>
                      <wpg:grpSpPr>
                        <a:xfrm>
                          <a:off x="0" y="0"/>
                          <a:ext cx="4877435" cy="2964180"/>
                          <a:chExt cx="4877435" cy="2964180"/>
                        </a:xfrm>
                      </wpg:grpSpPr>
                      <wps:wsp>
                        <wps:cNvPr id="1871" name="Graphic 1871"/>
                        <wps:cNvSpPr/>
                        <wps:spPr>
                          <a:xfrm>
                            <a:off x="198" y="385093"/>
                            <a:ext cx="4876800" cy="2578735"/>
                          </a:xfrm>
                          <a:custGeom>
                            <a:avLst/>
                            <a:gdLst/>
                            <a:ahLst/>
                            <a:cxnLst/>
                            <a:rect l="l" t="t" r="r" b="b"/>
                            <a:pathLst>
                              <a:path w="4876800" h="2578735">
                                <a:moveTo>
                                  <a:pt x="4876800" y="0"/>
                                </a:moveTo>
                                <a:lnTo>
                                  <a:pt x="0" y="0"/>
                                </a:lnTo>
                                <a:lnTo>
                                  <a:pt x="0" y="2503805"/>
                                </a:lnTo>
                                <a:lnTo>
                                  <a:pt x="6159" y="2532903"/>
                                </a:lnTo>
                                <a:lnTo>
                                  <a:pt x="22693" y="2556663"/>
                                </a:lnTo>
                                <a:lnTo>
                                  <a:pt x="46682" y="2572683"/>
                                </a:lnTo>
                                <a:lnTo>
                                  <a:pt x="75209" y="2578557"/>
                                </a:lnTo>
                                <a:lnTo>
                                  <a:pt x="4797920" y="2578557"/>
                                </a:lnTo>
                                <a:lnTo>
                                  <a:pt x="4827020" y="2573302"/>
                                </a:lnTo>
                                <a:lnTo>
                                  <a:pt x="4852271" y="2558316"/>
                                </a:lnTo>
                                <a:lnTo>
                                  <a:pt x="4870066" y="2534762"/>
                                </a:lnTo>
                                <a:lnTo>
                                  <a:pt x="4876800" y="2503805"/>
                                </a:lnTo>
                                <a:lnTo>
                                  <a:pt x="4876800" y="0"/>
                                </a:lnTo>
                                <a:close/>
                              </a:path>
                            </a:pathLst>
                          </a:custGeom>
                          <a:solidFill>
                            <a:srgbClr val="DFEAF7"/>
                          </a:solidFill>
                        </wps:spPr>
                        <wps:bodyPr wrap="square" lIns="0" tIns="0" rIns="0" bIns="0" rtlCol="0">
                          <a:prstTxWarp prst="textNoShape">
                            <a:avLst/>
                          </a:prstTxWarp>
                          <a:noAutofit/>
                        </wps:bodyPr>
                      </wps:wsp>
                      <wps:wsp>
                        <wps:cNvPr id="1872" name="Graphic 1872"/>
                        <wps:cNvSpPr/>
                        <wps:spPr>
                          <a:xfrm>
                            <a:off x="0" y="0"/>
                            <a:ext cx="550545" cy="358775"/>
                          </a:xfrm>
                          <a:custGeom>
                            <a:avLst/>
                            <a:gdLst/>
                            <a:ahLst/>
                            <a:cxnLst/>
                            <a:rect l="l" t="t" r="r" b="b"/>
                            <a:pathLst>
                              <a:path w="550545" h="358775">
                                <a:moveTo>
                                  <a:pt x="550506" y="0"/>
                                </a:moveTo>
                                <a:lnTo>
                                  <a:pt x="76200" y="0"/>
                                </a:lnTo>
                                <a:lnTo>
                                  <a:pt x="47213" y="3058"/>
                                </a:lnTo>
                                <a:lnTo>
                                  <a:pt x="22917" y="14506"/>
                                </a:lnTo>
                                <a:lnTo>
                                  <a:pt x="6212" y="37751"/>
                                </a:lnTo>
                                <a:lnTo>
                                  <a:pt x="0" y="76200"/>
                                </a:lnTo>
                                <a:lnTo>
                                  <a:pt x="0" y="358775"/>
                                </a:lnTo>
                                <a:lnTo>
                                  <a:pt x="550506" y="358775"/>
                                </a:lnTo>
                                <a:lnTo>
                                  <a:pt x="550506" y="0"/>
                                </a:lnTo>
                                <a:close/>
                              </a:path>
                            </a:pathLst>
                          </a:custGeom>
                          <a:solidFill>
                            <a:srgbClr val="008FDD"/>
                          </a:solidFill>
                        </wps:spPr>
                        <wps:bodyPr wrap="square" lIns="0" tIns="0" rIns="0" bIns="0" rtlCol="0">
                          <a:prstTxWarp prst="textNoShape">
                            <a:avLst/>
                          </a:prstTxWarp>
                          <a:noAutofit/>
                        </wps:bodyPr>
                      </wps:wsp>
                      <wps:wsp>
                        <wps:cNvPr id="1873" name="Graphic 1873"/>
                        <wps:cNvSpPr/>
                        <wps:spPr>
                          <a:xfrm>
                            <a:off x="550506" y="0"/>
                            <a:ext cx="4326255" cy="358775"/>
                          </a:xfrm>
                          <a:custGeom>
                            <a:avLst/>
                            <a:gdLst/>
                            <a:ahLst/>
                            <a:cxnLst/>
                            <a:rect l="l" t="t" r="r" b="b"/>
                            <a:pathLst>
                              <a:path w="4326255" h="358775">
                                <a:moveTo>
                                  <a:pt x="4249597" y="0"/>
                                </a:moveTo>
                                <a:lnTo>
                                  <a:pt x="0" y="0"/>
                                </a:lnTo>
                                <a:lnTo>
                                  <a:pt x="0" y="358775"/>
                                </a:lnTo>
                                <a:lnTo>
                                  <a:pt x="4325797" y="358775"/>
                                </a:lnTo>
                                <a:lnTo>
                                  <a:pt x="4325797" y="76200"/>
                                </a:lnTo>
                                <a:lnTo>
                                  <a:pt x="4320292" y="50979"/>
                                </a:lnTo>
                                <a:lnTo>
                                  <a:pt x="4304766" y="26265"/>
                                </a:lnTo>
                                <a:lnTo>
                                  <a:pt x="4280706" y="7468"/>
                                </a:lnTo>
                                <a:lnTo>
                                  <a:pt x="4249597" y="0"/>
                                </a:lnTo>
                                <a:close/>
                              </a:path>
                            </a:pathLst>
                          </a:custGeom>
                          <a:solidFill>
                            <a:srgbClr val="808285"/>
                          </a:solidFill>
                        </wps:spPr>
                        <wps:bodyPr wrap="square" lIns="0" tIns="0" rIns="0" bIns="0" rtlCol="0">
                          <a:prstTxWarp prst="textNoShape">
                            <a:avLst/>
                          </a:prstTxWarp>
                          <a:noAutofit/>
                        </wps:bodyPr>
                      </wps:wsp>
                      <wps:wsp>
                        <wps:cNvPr id="1874" name="Graphic 1874"/>
                        <wps:cNvSpPr/>
                        <wps:spPr>
                          <a:xfrm>
                            <a:off x="550503" y="0"/>
                            <a:ext cx="1270" cy="367665"/>
                          </a:xfrm>
                          <a:custGeom>
                            <a:avLst/>
                            <a:gdLst/>
                            <a:ahLst/>
                            <a:cxnLst/>
                            <a:rect l="l" t="t" r="r" b="b"/>
                            <a:pathLst>
                              <a:path w="0" h="367665">
                                <a:moveTo>
                                  <a:pt x="0" y="0"/>
                                </a:moveTo>
                                <a:lnTo>
                                  <a:pt x="0" y="367487"/>
                                </a:lnTo>
                              </a:path>
                            </a:pathLst>
                          </a:custGeom>
                          <a:ln w="25400">
                            <a:solidFill>
                              <a:srgbClr val="FFFFFF"/>
                            </a:solidFill>
                            <a:prstDash val="solid"/>
                          </a:ln>
                        </wps:spPr>
                        <wps:bodyPr wrap="square" lIns="0" tIns="0" rIns="0" bIns="0" rtlCol="0">
                          <a:prstTxWarp prst="textNoShape">
                            <a:avLst/>
                          </a:prstTxWarp>
                          <a:noAutofit/>
                        </wps:bodyPr>
                      </wps:wsp>
                      <wps:wsp>
                        <wps:cNvPr id="1875" name="Graphic 1875"/>
                        <wps:cNvSpPr/>
                        <wps:spPr>
                          <a:xfrm>
                            <a:off x="274403" y="2486124"/>
                            <a:ext cx="4458335" cy="1270"/>
                          </a:xfrm>
                          <a:custGeom>
                            <a:avLst/>
                            <a:gdLst/>
                            <a:ahLst/>
                            <a:cxnLst/>
                            <a:rect l="l" t="t" r="r" b="b"/>
                            <a:pathLst>
                              <a:path w="4458335" h="0">
                                <a:moveTo>
                                  <a:pt x="0" y="0"/>
                                </a:moveTo>
                                <a:lnTo>
                                  <a:pt x="4458093" y="0"/>
                                </a:lnTo>
                              </a:path>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876" name="Graphic 1876"/>
                        <wps:cNvSpPr/>
                        <wps:spPr>
                          <a:xfrm>
                            <a:off x="274403" y="1139657"/>
                            <a:ext cx="4458335" cy="897890"/>
                          </a:xfrm>
                          <a:custGeom>
                            <a:avLst/>
                            <a:gdLst/>
                            <a:ahLst/>
                            <a:cxnLst/>
                            <a:rect l="l" t="t" r="r" b="b"/>
                            <a:pathLst>
                              <a:path w="4458335" h="897890">
                                <a:moveTo>
                                  <a:pt x="0" y="897644"/>
                                </a:moveTo>
                                <a:lnTo>
                                  <a:pt x="175138" y="897644"/>
                                </a:lnTo>
                              </a:path>
                              <a:path w="4458335" h="897890">
                                <a:moveTo>
                                  <a:pt x="461726" y="897644"/>
                                </a:moveTo>
                                <a:lnTo>
                                  <a:pt x="812017" y="897644"/>
                                </a:lnTo>
                              </a:path>
                              <a:path w="4458335" h="897890">
                                <a:moveTo>
                                  <a:pt x="1098605" y="897644"/>
                                </a:moveTo>
                                <a:lnTo>
                                  <a:pt x="1448884" y="897644"/>
                                </a:lnTo>
                              </a:path>
                              <a:path w="4458335" h="897890">
                                <a:moveTo>
                                  <a:pt x="1735472" y="897644"/>
                                </a:moveTo>
                                <a:lnTo>
                                  <a:pt x="2085751" y="897644"/>
                                </a:lnTo>
                              </a:path>
                              <a:path w="4458335" h="897890">
                                <a:moveTo>
                                  <a:pt x="2372339" y="897644"/>
                                </a:moveTo>
                                <a:lnTo>
                                  <a:pt x="2722631" y="897644"/>
                                </a:lnTo>
                              </a:path>
                              <a:path w="4458335" h="897890">
                                <a:moveTo>
                                  <a:pt x="3009219" y="897644"/>
                                </a:moveTo>
                                <a:lnTo>
                                  <a:pt x="3359497" y="897644"/>
                                </a:lnTo>
                              </a:path>
                              <a:path w="4458335" h="897890">
                                <a:moveTo>
                                  <a:pt x="3646086" y="897644"/>
                                </a:moveTo>
                                <a:lnTo>
                                  <a:pt x="3996364" y="897644"/>
                                </a:lnTo>
                              </a:path>
                              <a:path w="4458335" h="897890">
                                <a:moveTo>
                                  <a:pt x="4282953" y="897644"/>
                                </a:moveTo>
                                <a:lnTo>
                                  <a:pt x="4458093" y="897644"/>
                                </a:lnTo>
                              </a:path>
                              <a:path w="4458335" h="897890">
                                <a:moveTo>
                                  <a:pt x="0" y="448823"/>
                                </a:moveTo>
                                <a:lnTo>
                                  <a:pt x="175138" y="448823"/>
                                </a:lnTo>
                              </a:path>
                              <a:path w="4458335" h="897890">
                                <a:moveTo>
                                  <a:pt x="461726" y="448823"/>
                                </a:moveTo>
                                <a:lnTo>
                                  <a:pt x="812017" y="448823"/>
                                </a:lnTo>
                              </a:path>
                              <a:path w="4458335" h="897890">
                                <a:moveTo>
                                  <a:pt x="1098605" y="448823"/>
                                </a:moveTo>
                                <a:lnTo>
                                  <a:pt x="1448884" y="448823"/>
                                </a:lnTo>
                              </a:path>
                              <a:path w="4458335" h="897890">
                                <a:moveTo>
                                  <a:pt x="1735472" y="448823"/>
                                </a:moveTo>
                                <a:lnTo>
                                  <a:pt x="2085751" y="448823"/>
                                </a:lnTo>
                              </a:path>
                              <a:path w="4458335" h="897890">
                                <a:moveTo>
                                  <a:pt x="2372339" y="448823"/>
                                </a:moveTo>
                                <a:lnTo>
                                  <a:pt x="2722631" y="448823"/>
                                </a:lnTo>
                              </a:path>
                              <a:path w="4458335" h="897890">
                                <a:moveTo>
                                  <a:pt x="3009219" y="448823"/>
                                </a:moveTo>
                                <a:lnTo>
                                  <a:pt x="3996364" y="448823"/>
                                </a:lnTo>
                              </a:path>
                              <a:path w="4458335" h="897890">
                                <a:moveTo>
                                  <a:pt x="4282953" y="448823"/>
                                </a:moveTo>
                                <a:lnTo>
                                  <a:pt x="4458093" y="448823"/>
                                </a:lnTo>
                              </a:path>
                              <a:path w="4458335" h="897890">
                                <a:moveTo>
                                  <a:pt x="0" y="0"/>
                                </a:moveTo>
                                <a:lnTo>
                                  <a:pt x="2085751" y="0"/>
                                </a:lnTo>
                              </a:path>
                              <a:path w="4458335" h="897890">
                                <a:moveTo>
                                  <a:pt x="2372339" y="0"/>
                                </a:moveTo>
                                <a:lnTo>
                                  <a:pt x="2722631" y="0"/>
                                </a:lnTo>
                              </a:path>
                              <a:path w="4458335" h="897890">
                                <a:moveTo>
                                  <a:pt x="3009219"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877" name="Graphic 1877"/>
                        <wps:cNvSpPr/>
                        <wps:spPr>
                          <a:xfrm>
                            <a:off x="274403" y="690835"/>
                            <a:ext cx="4458335" cy="1270"/>
                          </a:xfrm>
                          <a:custGeom>
                            <a:avLst/>
                            <a:gdLst/>
                            <a:ahLst/>
                            <a:cxnLst/>
                            <a:rect l="l" t="t" r="r" b="b"/>
                            <a:pathLst>
                              <a:path w="4458335" h="0">
                                <a:moveTo>
                                  <a:pt x="0" y="0"/>
                                </a:moveTo>
                                <a:lnTo>
                                  <a:pt x="4458093" y="0"/>
                                </a:lnTo>
                              </a:path>
                            </a:pathLst>
                          </a:custGeom>
                          <a:ln w="6350">
                            <a:solidFill>
                              <a:srgbClr val="FFFFFF"/>
                            </a:solidFill>
                            <a:prstDash val="solid"/>
                          </a:ln>
                        </wps:spPr>
                        <wps:bodyPr wrap="square" lIns="0" tIns="0" rIns="0" bIns="0" rtlCol="0">
                          <a:prstTxWarp prst="textNoShape">
                            <a:avLst/>
                          </a:prstTxWarp>
                          <a:noAutofit/>
                        </wps:bodyPr>
                      </wps:wsp>
                      <wps:wsp>
                        <wps:cNvPr id="1878" name="Graphic 1878"/>
                        <wps:cNvSpPr/>
                        <wps:spPr>
                          <a:xfrm>
                            <a:off x="449541" y="1422412"/>
                            <a:ext cx="287020" cy="1064260"/>
                          </a:xfrm>
                          <a:custGeom>
                            <a:avLst/>
                            <a:gdLst/>
                            <a:ahLst/>
                            <a:cxnLst/>
                            <a:rect l="l" t="t" r="r" b="b"/>
                            <a:pathLst>
                              <a:path w="287020" h="1064260">
                                <a:moveTo>
                                  <a:pt x="286588" y="0"/>
                                </a:moveTo>
                                <a:lnTo>
                                  <a:pt x="0" y="0"/>
                                </a:lnTo>
                                <a:lnTo>
                                  <a:pt x="0" y="1063713"/>
                                </a:lnTo>
                                <a:lnTo>
                                  <a:pt x="286588" y="1063713"/>
                                </a:lnTo>
                                <a:lnTo>
                                  <a:pt x="286588" y="0"/>
                                </a:lnTo>
                                <a:close/>
                              </a:path>
                            </a:pathLst>
                          </a:custGeom>
                          <a:solidFill>
                            <a:srgbClr val="008FDD"/>
                          </a:solidFill>
                        </wps:spPr>
                        <wps:bodyPr wrap="square" lIns="0" tIns="0" rIns="0" bIns="0" rtlCol="0">
                          <a:prstTxWarp prst="textNoShape">
                            <a:avLst/>
                          </a:prstTxWarp>
                          <a:noAutofit/>
                        </wps:bodyPr>
                      </wps:wsp>
                      <wps:wsp>
                        <wps:cNvPr id="1879" name="Graphic 1879"/>
                        <wps:cNvSpPr/>
                        <wps:spPr>
                          <a:xfrm>
                            <a:off x="449538" y="1422412"/>
                            <a:ext cx="287020" cy="1064260"/>
                          </a:xfrm>
                          <a:custGeom>
                            <a:avLst/>
                            <a:gdLst/>
                            <a:ahLst/>
                            <a:cxnLst/>
                            <a:rect l="l" t="t" r="r" b="b"/>
                            <a:pathLst>
                              <a:path w="287020" h="1064260">
                                <a:moveTo>
                                  <a:pt x="0" y="0"/>
                                </a:moveTo>
                                <a:lnTo>
                                  <a:pt x="286588" y="0"/>
                                </a:lnTo>
                                <a:lnTo>
                                  <a:pt x="286588" y="1063713"/>
                                </a:lnTo>
                                <a:lnTo>
                                  <a:pt x="0" y="1063713"/>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880" name="Graphic 1880"/>
                        <wps:cNvSpPr/>
                        <wps:spPr>
                          <a:xfrm>
                            <a:off x="1086421" y="1325918"/>
                            <a:ext cx="287020" cy="1160780"/>
                          </a:xfrm>
                          <a:custGeom>
                            <a:avLst/>
                            <a:gdLst/>
                            <a:ahLst/>
                            <a:cxnLst/>
                            <a:rect l="l" t="t" r="r" b="b"/>
                            <a:pathLst>
                              <a:path w="287020" h="1160780">
                                <a:moveTo>
                                  <a:pt x="286588" y="0"/>
                                </a:moveTo>
                                <a:lnTo>
                                  <a:pt x="0" y="0"/>
                                </a:lnTo>
                                <a:lnTo>
                                  <a:pt x="0" y="1160208"/>
                                </a:lnTo>
                                <a:lnTo>
                                  <a:pt x="286588" y="1160208"/>
                                </a:lnTo>
                                <a:lnTo>
                                  <a:pt x="286588" y="0"/>
                                </a:lnTo>
                                <a:close/>
                              </a:path>
                            </a:pathLst>
                          </a:custGeom>
                          <a:solidFill>
                            <a:srgbClr val="008FDD"/>
                          </a:solidFill>
                        </wps:spPr>
                        <wps:bodyPr wrap="square" lIns="0" tIns="0" rIns="0" bIns="0" rtlCol="0">
                          <a:prstTxWarp prst="textNoShape">
                            <a:avLst/>
                          </a:prstTxWarp>
                          <a:noAutofit/>
                        </wps:bodyPr>
                      </wps:wsp>
                      <wps:wsp>
                        <wps:cNvPr id="1881" name="Graphic 1881"/>
                        <wps:cNvSpPr/>
                        <wps:spPr>
                          <a:xfrm>
                            <a:off x="1086417" y="1325918"/>
                            <a:ext cx="287020" cy="1160780"/>
                          </a:xfrm>
                          <a:custGeom>
                            <a:avLst/>
                            <a:gdLst/>
                            <a:ahLst/>
                            <a:cxnLst/>
                            <a:rect l="l" t="t" r="r" b="b"/>
                            <a:pathLst>
                              <a:path w="287020" h="1160780">
                                <a:moveTo>
                                  <a:pt x="0" y="0"/>
                                </a:moveTo>
                                <a:lnTo>
                                  <a:pt x="286588" y="0"/>
                                </a:lnTo>
                                <a:lnTo>
                                  <a:pt x="286588" y="1160208"/>
                                </a:lnTo>
                                <a:lnTo>
                                  <a:pt x="0" y="1160208"/>
                                </a:lnTo>
                                <a:lnTo>
                                  <a:pt x="0" y="0"/>
                                </a:lnTo>
                                <a:close/>
                              </a:path>
                            </a:pathLst>
                          </a:custGeom>
                          <a:ln w="3174">
                            <a:solidFill>
                              <a:srgbClr val="FFFFFF"/>
                            </a:solidFill>
                            <a:prstDash val="solid"/>
                          </a:ln>
                        </wps:spPr>
                        <wps:bodyPr wrap="square" lIns="0" tIns="0" rIns="0" bIns="0" rtlCol="0">
                          <a:prstTxWarp prst="textNoShape">
                            <a:avLst/>
                          </a:prstTxWarp>
                          <a:noAutofit/>
                        </wps:bodyPr>
                      </wps:wsp>
                      <wps:wsp>
                        <wps:cNvPr id="1882" name="Graphic 1882"/>
                        <wps:cNvSpPr/>
                        <wps:spPr>
                          <a:xfrm>
                            <a:off x="1723288" y="1173314"/>
                            <a:ext cx="287020" cy="1313180"/>
                          </a:xfrm>
                          <a:custGeom>
                            <a:avLst/>
                            <a:gdLst/>
                            <a:ahLst/>
                            <a:cxnLst/>
                            <a:rect l="l" t="t" r="r" b="b"/>
                            <a:pathLst>
                              <a:path w="287020" h="1313180">
                                <a:moveTo>
                                  <a:pt x="286588" y="0"/>
                                </a:moveTo>
                                <a:lnTo>
                                  <a:pt x="0" y="0"/>
                                </a:lnTo>
                                <a:lnTo>
                                  <a:pt x="0" y="1312799"/>
                                </a:lnTo>
                                <a:lnTo>
                                  <a:pt x="286588" y="1312799"/>
                                </a:lnTo>
                                <a:lnTo>
                                  <a:pt x="286588" y="0"/>
                                </a:lnTo>
                                <a:close/>
                              </a:path>
                            </a:pathLst>
                          </a:custGeom>
                          <a:solidFill>
                            <a:srgbClr val="008FDD"/>
                          </a:solidFill>
                        </wps:spPr>
                        <wps:bodyPr wrap="square" lIns="0" tIns="0" rIns="0" bIns="0" rtlCol="0">
                          <a:prstTxWarp prst="textNoShape">
                            <a:avLst/>
                          </a:prstTxWarp>
                          <a:noAutofit/>
                        </wps:bodyPr>
                      </wps:wsp>
                      <wps:wsp>
                        <wps:cNvPr id="1883" name="Graphic 1883"/>
                        <wps:cNvSpPr/>
                        <wps:spPr>
                          <a:xfrm>
                            <a:off x="1723284" y="1173314"/>
                            <a:ext cx="287020" cy="1313180"/>
                          </a:xfrm>
                          <a:custGeom>
                            <a:avLst/>
                            <a:gdLst/>
                            <a:ahLst/>
                            <a:cxnLst/>
                            <a:rect l="l" t="t" r="r" b="b"/>
                            <a:pathLst>
                              <a:path w="287020" h="1313180">
                                <a:moveTo>
                                  <a:pt x="0" y="0"/>
                                </a:moveTo>
                                <a:lnTo>
                                  <a:pt x="286588" y="0"/>
                                </a:lnTo>
                                <a:lnTo>
                                  <a:pt x="286588" y="1312799"/>
                                </a:lnTo>
                                <a:lnTo>
                                  <a:pt x="0" y="1312799"/>
                                </a:lnTo>
                                <a:lnTo>
                                  <a:pt x="0" y="0"/>
                                </a:lnTo>
                                <a:close/>
                              </a:path>
                            </a:pathLst>
                          </a:custGeom>
                          <a:ln w="3174">
                            <a:solidFill>
                              <a:srgbClr val="FFFFFF"/>
                            </a:solidFill>
                            <a:prstDash val="solid"/>
                          </a:ln>
                        </wps:spPr>
                        <wps:bodyPr wrap="square" lIns="0" tIns="0" rIns="0" bIns="0" rtlCol="0">
                          <a:prstTxWarp prst="textNoShape">
                            <a:avLst/>
                          </a:prstTxWarp>
                          <a:noAutofit/>
                        </wps:bodyPr>
                      </wps:wsp>
                      <wps:wsp>
                        <wps:cNvPr id="1884" name="Graphic 1884"/>
                        <wps:cNvSpPr/>
                        <wps:spPr>
                          <a:xfrm>
                            <a:off x="2360155" y="776109"/>
                            <a:ext cx="287020" cy="1710055"/>
                          </a:xfrm>
                          <a:custGeom>
                            <a:avLst/>
                            <a:gdLst/>
                            <a:ahLst/>
                            <a:cxnLst/>
                            <a:rect l="l" t="t" r="r" b="b"/>
                            <a:pathLst>
                              <a:path w="287020" h="1710055">
                                <a:moveTo>
                                  <a:pt x="286588" y="0"/>
                                </a:moveTo>
                                <a:lnTo>
                                  <a:pt x="0" y="0"/>
                                </a:lnTo>
                                <a:lnTo>
                                  <a:pt x="0" y="1710016"/>
                                </a:lnTo>
                                <a:lnTo>
                                  <a:pt x="286588" y="1710016"/>
                                </a:lnTo>
                                <a:lnTo>
                                  <a:pt x="286588" y="0"/>
                                </a:lnTo>
                                <a:close/>
                              </a:path>
                            </a:pathLst>
                          </a:custGeom>
                          <a:solidFill>
                            <a:srgbClr val="008FDD"/>
                          </a:solidFill>
                        </wps:spPr>
                        <wps:bodyPr wrap="square" lIns="0" tIns="0" rIns="0" bIns="0" rtlCol="0">
                          <a:prstTxWarp prst="textNoShape">
                            <a:avLst/>
                          </a:prstTxWarp>
                          <a:noAutofit/>
                        </wps:bodyPr>
                      </wps:wsp>
                      <wps:wsp>
                        <wps:cNvPr id="1885" name="Graphic 1885"/>
                        <wps:cNvSpPr/>
                        <wps:spPr>
                          <a:xfrm>
                            <a:off x="2360151" y="776109"/>
                            <a:ext cx="287020" cy="1710055"/>
                          </a:xfrm>
                          <a:custGeom>
                            <a:avLst/>
                            <a:gdLst/>
                            <a:ahLst/>
                            <a:cxnLst/>
                            <a:rect l="l" t="t" r="r" b="b"/>
                            <a:pathLst>
                              <a:path w="287020" h="1710055">
                                <a:moveTo>
                                  <a:pt x="0" y="0"/>
                                </a:moveTo>
                                <a:lnTo>
                                  <a:pt x="286588" y="0"/>
                                </a:lnTo>
                                <a:lnTo>
                                  <a:pt x="286588" y="1710016"/>
                                </a:lnTo>
                                <a:lnTo>
                                  <a:pt x="0" y="1710016"/>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886" name="Graphic 1886"/>
                        <wps:cNvSpPr/>
                        <wps:spPr>
                          <a:xfrm>
                            <a:off x="2997034" y="989304"/>
                            <a:ext cx="287020" cy="1497330"/>
                          </a:xfrm>
                          <a:custGeom>
                            <a:avLst/>
                            <a:gdLst/>
                            <a:ahLst/>
                            <a:cxnLst/>
                            <a:rect l="l" t="t" r="r" b="b"/>
                            <a:pathLst>
                              <a:path w="287020" h="1497330">
                                <a:moveTo>
                                  <a:pt x="286588" y="0"/>
                                </a:moveTo>
                                <a:lnTo>
                                  <a:pt x="0" y="0"/>
                                </a:lnTo>
                                <a:lnTo>
                                  <a:pt x="0" y="1496822"/>
                                </a:lnTo>
                                <a:lnTo>
                                  <a:pt x="286588" y="1496822"/>
                                </a:lnTo>
                                <a:lnTo>
                                  <a:pt x="286588" y="0"/>
                                </a:lnTo>
                                <a:close/>
                              </a:path>
                            </a:pathLst>
                          </a:custGeom>
                          <a:solidFill>
                            <a:srgbClr val="008FDD"/>
                          </a:solidFill>
                        </wps:spPr>
                        <wps:bodyPr wrap="square" lIns="0" tIns="0" rIns="0" bIns="0" rtlCol="0">
                          <a:prstTxWarp prst="textNoShape">
                            <a:avLst/>
                          </a:prstTxWarp>
                          <a:noAutofit/>
                        </wps:bodyPr>
                      </wps:wsp>
                      <wps:wsp>
                        <wps:cNvPr id="1887" name="Graphic 1887"/>
                        <wps:cNvSpPr/>
                        <wps:spPr>
                          <a:xfrm>
                            <a:off x="2997031" y="989304"/>
                            <a:ext cx="287020" cy="1497330"/>
                          </a:xfrm>
                          <a:custGeom>
                            <a:avLst/>
                            <a:gdLst/>
                            <a:ahLst/>
                            <a:cxnLst/>
                            <a:rect l="l" t="t" r="r" b="b"/>
                            <a:pathLst>
                              <a:path w="287020" h="1497330">
                                <a:moveTo>
                                  <a:pt x="0" y="0"/>
                                </a:moveTo>
                                <a:lnTo>
                                  <a:pt x="286588" y="0"/>
                                </a:lnTo>
                                <a:lnTo>
                                  <a:pt x="286588" y="1496822"/>
                                </a:lnTo>
                                <a:lnTo>
                                  <a:pt x="0" y="1496822"/>
                                </a:lnTo>
                                <a:lnTo>
                                  <a:pt x="0" y="0"/>
                                </a:lnTo>
                                <a:close/>
                              </a:path>
                            </a:pathLst>
                          </a:custGeom>
                          <a:ln w="3174">
                            <a:solidFill>
                              <a:srgbClr val="FFFFFF"/>
                            </a:solidFill>
                            <a:prstDash val="solid"/>
                          </a:ln>
                        </wps:spPr>
                        <wps:bodyPr wrap="square" lIns="0" tIns="0" rIns="0" bIns="0" rtlCol="0">
                          <a:prstTxWarp prst="textNoShape">
                            <a:avLst/>
                          </a:prstTxWarp>
                          <a:noAutofit/>
                        </wps:bodyPr>
                      </wps:wsp>
                      <wps:wsp>
                        <wps:cNvPr id="1888" name="Graphic 1888"/>
                        <wps:cNvSpPr/>
                        <wps:spPr>
                          <a:xfrm>
                            <a:off x="3633901" y="1644586"/>
                            <a:ext cx="287020" cy="842010"/>
                          </a:xfrm>
                          <a:custGeom>
                            <a:avLst/>
                            <a:gdLst/>
                            <a:ahLst/>
                            <a:cxnLst/>
                            <a:rect l="l" t="t" r="r" b="b"/>
                            <a:pathLst>
                              <a:path w="287020" h="842010">
                                <a:moveTo>
                                  <a:pt x="286588" y="0"/>
                                </a:moveTo>
                                <a:lnTo>
                                  <a:pt x="0" y="0"/>
                                </a:lnTo>
                                <a:lnTo>
                                  <a:pt x="0" y="841540"/>
                                </a:lnTo>
                                <a:lnTo>
                                  <a:pt x="286588" y="841540"/>
                                </a:lnTo>
                                <a:lnTo>
                                  <a:pt x="286588" y="0"/>
                                </a:lnTo>
                                <a:close/>
                              </a:path>
                            </a:pathLst>
                          </a:custGeom>
                          <a:solidFill>
                            <a:srgbClr val="008FDD"/>
                          </a:solidFill>
                        </wps:spPr>
                        <wps:bodyPr wrap="square" lIns="0" tIns="0" rIns="0" bIns="0" rtlCol="0">
                          <a:prstTxWarp prst="textNoShape">
                            <a:avLst/>
                          </a:prstTxWarp>
                          <a:noAutofit/>
                        </wps:bodyPr>
                      </wps:wsp>
                      <wps:wsp>
                        <wps:cNvPr id="1889" name="Graphic 1889"/>
                        <wps:cNvSpPr/>
                        <wps:spPr>
                          <a:xfrm>
                            <a:off x="3633897" y="1644586"/>
                            <a:ext cx="287020" cy="842010"/>
                          </a:xfrm>
                          <a:custGeom>
                            <a:avLst/>
                            <a:gdLst/>
                            <a:ahLst/>
                            <a:cxnLst/>
                            <a:rect l="l" t="t" r="r" b="b"/>
                            <a:pathLst>
                              <a:path w="287020" h="842010">
                                <a:moveTo>
                                  <a:pt x="0" y="0"/>
                                </a:moveTo>
                                <a:lnTo>
                                  <a:pt x="286588" y="0"/>
                                </a:lnTo>
                                <a:lnTo>
                                  <a:pt x="286588" y="841540"/>
                                </a:lnTo>
                                <a:lnTo>
                                  <a:pt x="0" y="841540"/>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890" name="Graphic 1890"/>
                        <wps:cNvSpPr/>
                        <wps:spPr>
                          <a:xfrm>
                            <a:off x="4270768" y="1550327"/>
                            <a:ext cx="287020" cy="935990"/>
                          </a:xfrm>
                          <a:custGeom>
                            <a:avLst/>
                            <a:gdLst/>
                            <a:ahLst/>
                            <a:cxnLst/>
                            <a:rect l="l" t="t" r="r" b="b"/>
                            <a:pathLst>
                              <a:path w="287020" h="935990">
                                <a:moveTo>
                                  <a:pt x="286588" y="0"/>
                                </a:moveTo>
                                <a:lnTo>
                                  <a:pt x="0" y="0"/>
                                </a:lnTo>
                                <a:lnTo>
                                  <a:pt x="0" y="935799"/>
                                </a:lnTo>
                                <a:lnTo>
                                  <a:pt x="286588" y="935799"/>
                                </a:lnTo>
                                <a:lnTo>
                                  <a:pt x="286588" y="0"/>
                                </a:lnTo>
                                <a:close/>
                              </a:path>
                            </a:pathLst>
                          </a:custGeom>
                          <a:solidFill>
                            <a:srgbClr val="008FDD"/>
                          </a:solidFill>
                        </wps:spPr>
                        <wps:bodyPr wrap="square" lIns="0" tIns="0" rIns="0" bIns="0" rtlCol="0">
                          <a:prstTxWarp prst="textNoShape">
                            <a:avLst/>
                          </a:prstTxWarp>
                          <a:noAutofit/>
                        </wps:bodyPr>
                      </wps:wsp>
                      <wps:wsp>
                        <wps:cNvPr id="1891" name="Graphic 1891"/>
                        <wps:cNvSpPr/>
                        <wps:spPr>
                          <a:xfrm>
                            <a:off x="4270764" y="1550327"/>
                            <a:ext cx="287020" cy="935990"/>
                          </a:xfrm>
                          <a:custGeom>
                            <a:avLst/>
                            <a:gdLst/>
                            <a:ahLst/>
                            <a:cxnLst/>
                            <a:rect l="l" t="t" r="r" b="b"/>
                            <a:pathLst>
                              <a:path w="287020" h="935990">
                                <a:moveTo>
                                  <a:pt x="0" y="0"/>
                                </a:moveTo>
                                <a:lnTo>
                                  <a:pt x="286588" y="0"/>
                                </a:lnTo>
                                <a:lnTo>
                                  <a:pt x="286588" y="935799"/>
                                </a:lnTo>
                                <a:lnTo>
                                  <a:pt x="0" y="935799"/>
                                </a:lnTo>
                                <a:lnTo>
                                  <a:pt x="0" y="0"/>
                                </a:lnTo>
                                <a:close/>
                              </a:path>
                            </a:pathLst>
                          </a:custGeom>
                          <a:ln w="3175">
                            <a:solidFill>
                              <a:srgbClr val="FFFFFF"/>
                            </a:solidFill>
                            <a:prstDash val="solid"/>
                          </a:ln>
                        </wps:spPr>
                        <wps:bodyPr wrap="square" lIns="0" tIns="0" rIns="0" bIns="0" rtlCol="0">
                          <a:prstTxWarp prst="textNoShape">
                            <a:avLst/>
                          </a:prstTxWarp>
                          <a:noAutofit/>
                        </wps:bodyPr>
                      </wps:wsp>
                      <wps:wsp>
                        <wps:cNvPr id="1892" name="Graphic 1892"/>
                        <wps:cNvSpPr/>
                        <wps:spPr>
                          <a:xfrm>
                            <a:off x="273893" y="2486124"/>
                            <a:ext cx="4415790" cy="1270"/>
                          </a:xfrm>
                          <a:custGeom>
                            <a:avLst/>
                            <a:gdLst/>
                            <a:ahLst/>
                            <a:cxnLst/>
                            <a:rect l="l" t="t" r="r" b="b"/>
                            <a:pathLst>
                              <a:path w="4415790" h="0">
                                <a:moveTo>
                                  <a:pt x="0" y="0"/>
                                </a:moveTo>
                                <a:lnTo>
                                  <a:pt x="4415764" y="0"/>
                                </a:lnTo>
                              </a:path>
                            </a:pathLst>
                          </a:custGeom>
                          <a:ln w="6350">
                            <a:solidFill>
                              <a:srgbClr val="FFFFFF"/>
                            </a:solidFill>
                            <a:prstDash val="solid"/>
                          </a:ln>
                        </wps:spPr>
                        <wps:bodyPr wrap="square" lIns="0" tIns="0" rIns="0" bIns="0" rtlCol="0">
                          <a:prstTxWarp prst="textNoShape">
                            <a:avLst/>
                          </a:prstTxWarp>
                          <a:noAutofit/>
                        </wps:bodyPr>
                      </wps:wsp>
                      <wps:wsp>
                        <wps:cNvPr id="1893" name="Textbox 1893"/>
                        <wps:cNvSpPr txBox="1"/>
                        <wps:spPr>
                          <a:xfrm>
                            <a:off x="76380" y="66855"/>
                            <a:ext cx="4203065" cy="678180"/>
                          </a:xfrm>
                          <a:prstGeom prst="rect">
                            <a:avLst/>
                          </a:prstGeom>
                        </wps:spPr>
                        <wps:txbx>
                          <w:txbxContent>
                            <w:p>
                              <w:pPr>
                                <w:spacing w:line="261" w:lineRule="auto" w:before="3"/>
                                <w:ind w:left="850" w:right="9" w:hanging="851"/>
                                <w:jc w:val="left"/>
                                <w:rPr>
                                  <w:rFonts w:ascii="Arial"/>
                                  <w:b/>
                                  <w:sz w:val="16"/>
                                </w:rPr>
                              </w:pPr>
                              <w:r>
                                <w:rPr>
                                  <w:rFonts w:ascii="Arial"/>
                                  <w:color w:val="FFFFFF"/>
                                  <w:w w:val="105"/>
                                  <w:sz w:val="16"/>
                                </w:rPr>
                                <w:t>Figure</w:t>
                              </w:r>
                              <w:r>
                                <w:rPr>
                                  <w:rFonts w:ascii="Arial"/>
                                  <w:color w:val="FFFFFF"/>
                                  <w:spacing w:val="-12"/>
                                  <w:w w:val="105"/>
                                  <w:sz w:val="16"/>
                                </w:rPr>
                                <w:t> </w:t>
                              </w:r>
                              <w:r>
                                <w:rPr>
                                  <w:rFonts w:ascii="Arial"/>
                                  <w:b/>
                                  <w:color w:val="FFFFFF"/>
                                  <w:w w:val="105"/>
                                  <w:sz w:val="16"/>
                                </w:rPr>
                                <w:t>A4.6</w:t>
                              </w:r>
                              <w:r>
                                <w:rPr>
                                  <w:rFonts w:ascii="Arial"/>
                                  <w:b/>
                                  <w:color w:val="FFFFFF"/>
                                  <w:spacing w:val="61"/>
                                  <w:w w:val="105"/>
                                  <w:sz w:val="16"/>
                                </w:rPr>
                                <w:t> </w:t>
                              </w:r>
                              <w:r>
                                <w:rPr>
                                  <w:rFonts w:ascii="Arial"/>
                                  <w:b/>
                                  <w:color w:val="FFFFFF"/>
                                  <w:w w:val="105"/>
                                  <w:sz w:val="16"/>
                                </w:rPr>
                                <w:t>Country</w:t>
                              </w:r>
                              <w:r>
                                <w:rPr>
                                  <w:rFonts w:ascii="Arial"/>
                                  <w:b/>
                                  <w:color w:val="FFFFFF"/>
                                  <w:spacing w:val="-12"/>
                                  <w:w w:val="105"/>
                                  <w:sz w:val="16"/>
                                </w:rPr>
                                <w:t> </w:t>
                              </w:r>
                              <w:r>
                                <w:rPr>
                                  <w:rFonts w:ascii="Arial"/>
                                  <w:b/>
                                  <w:color w:val="FFFFFF"/>
                                  <w:w w:val="105"/>
                                  <w:sz w:val="16"/>
                                </w:rPr>
                                <w:t>coverage</w:t>
                              </w:r>
                              <w:r>
                                <w:rPr>
                                  <w:rFonts w:ascii="Arial"/>
                                  <w:b/>
                                  <w:color w:val="FFFFFF"/>
                                  <w:spacing w:val="-12"/>
                                  <w:w w:val="105"/>
                                  <w:sz w:val="16"/>
                                </w:rPr>
                                <w:t> </w:t>
                              </w:r>
                              <w:r>
                                <w:rPr>
                                  <w:rFonts w:ascii="Arial"/>
                                  <w:b/>
                                  <w:color w:val="FFFFFF"/>
                                  <w:w w:val="105"/>
                                  <w:sz w:val="16"/>
                                </w:rPr>
                                <w:t>of</w:t>
                              </w:r>
                              <w:r>
                                <w:rPr>
                                  <w:rFonts w:ascii="Arial"/>
                                  <w:b/>
                                  <w:color w:val="FFFFFF"/>
                                  <w:spacing w:val="-11"/>
                                  <w:w w:val="105"/>
                                  <w:sz w:val="16"/>
                                </w:rPr>
                                <w:t> </w:t>
                              </w:r>
                              <w:r>
                                <w:rPr>
                                  <w:rFonts w:ascii="Arial"/>
                                  <w:b/>
                                  <w:color w:val="FFFFFF"/>
                                  <w:w w:val="105"/>
                                  <w:sz w:val="16"/>
                                </w:rPr>
                                <w:t>the</w:t>
                              </w:r>
                              <w:r>
                                <w:rPr>
                                  <w:rFonts w:ascii="Arial"/>
                                  <w:b/>
                                  <w:color w:val="FFFFFF"/>
                                  <w:spacing w:val="-12"/>
                                  <w:w w:val="105"/>
                                  <w:sz w:val="16"/>
                                </w:rPr>
                                <w:t> </w:t>
                              </w:r>
                              <w:r>
                                <w:rPr>
                                  <w:rFonts w:ascii="Arial"/>
                                  <w:b/>
                                  <w:color w:val="FFFFFF"/>
                                  <w:w w:val="105"/>
                                  <w:sz w:val="16"/>
                                </w:rPr>
                                <w:t>MDS</w:t>
                              </w:r>
                              <w:r>
                                <w:rPr>
                                  <w:rFonts w:ascii="Arial"/>
                                  <w:b/>
                                  <w:color w:val="FFFFFF"/>
                                  <w:spacing w:val="-12"/>
                                  <w:w w:val="105"/>
                                  <w:sz w:val="16"/>
                                </w:rPr>
                                <w:t> </w:t>
                              </w:r>
                              <w:r>
                                <w:rPr>
                                  <w:rFonts w:ascii="Arial"/>
                                  <w:b/>
                                  <w:color w:val="FFFFFF"/>
                                  <w:w w:val="105"/>
                                  <w:sz w:val="16"/>
                                </w:rPr>
                                <w:t>Transmodal</w:t>
                              </w:r>
                              <w:r>
                                <w:rPr>
                                  <w:rFonts w:ascii="Arial"/>
                                  <w:b/>
                                  <w:color w:val="FFFFFF"/>
                                  <w:spacing w:val="-11"/>
                                  <w:w w:val="105"/>
                                  <w:sz w:val="16"/>
                                </w:rPr>
                                <w:t> </w:t>
                              </w:r>
                              <w:r>
                                <w:rPr>
                                  <w:rFonts w:ascii="Arial"/>
                                  <w:b/>
                                  <w:color w:val="FFFFFF"/>
                                  <w:w w:val="105"/>
                                  <w:sz w:val="16"/>
                                </w:rPr>
                                <w:t>and</w:t>
                              </w:r>
                              <w:r>
                                <w:rPr>
                                  <w:rFonts w:ascii="Arial"/>
                                  <w:b/>
                                  <w:color w:val="FFFFFF"/>
                                  <w:spacing w:val="-12"/>
                                  <w:w w:val="105"/>
                                  <w:sz w:val="16"/>
                                </w:rPr>
                                <w:t> </w:t>
                              </w:r>
                              <w:r>
                                <w:rPr>
                                  <w:rFonts w:ascii="Arial"/>
                                  <w:b/>
                                  <w:color w:val="FFFFFF"/>
                                  <w:w w:val="105"/>
                                  <w:sz w:val="16"/>
                                </w:rPr>
                                <w:t>MarineTraffic</w:t>
                              </w:r>
                              <w:r>
                                <w:rPr>
                                  <w:rFonts w:ascii="Arial"/>
                                  <w:b/>
                                  <w:color w:val="FFFFFF"/>
                                  <w:spacing w:val="-12"/>
                                  <w:w w:val="105"/>
                                  <w:sz w:val="16"/>
                                </w:rPr>
                                <w:t> </w:t>
                              </w:r>
                              <w:r>
                                <w:rPr>
                                  <w:rFonts w:ascii="Arial"/>
                                  <w:b/>
                                  <w:color w:val="FFFFFF"/>
                                  <w:w w:val="105"/>
                                  <w:sz w:val="16"/>
                                </w:rPr>
                                <w:t>dataset,</w:t>
                              </w:r>
                              <w:r>
                                <w:rPr>
                                  <w:rFonts w:ascii="Arial"/>
                                  <w:b/>
                                  <w:color w:val="FFFFFF"/>
                                  <w:spacing w:val="-11"/>
                                  <w:w w:val="105"/>
                                  <w:sz w:val="16"/>
                                </w:rPr>
                                <w:t> </w:t>
                              </w:r>
                              <w:r>
                                <w:rPr>
                                  <w:rFonts w:ascii="Arial"/>
                                  <w:b/>
                                  <w:color w:val="FFFFFF"/>
                                  <w:w w:val="105"/>
                                  <w:sz w:val="16"/>
                                </w:rPr>
                                <w:t>by World Bank region</w:t>
                              </w:r>
                            </w:p>
                            <w:p>
                              <w:pPr>
                                <w:spacing w:line="240" w:lineRule="atLeast" w:before="177"/>
                                <w:ind w:left="67" w:right="4966" w:hanging="68"/>
                                <w:jc w:val="left"/>
                                <w:rPr>
                                  <w:rFonts w:ascii="Arial"/>
                                  <w:sz w:val="14"/>
                                </w:rPr>
                              </w:pPr>
                              <w:r>
                                <w:rPr>
                                  <w:rFonts w:ascii="Arial"/>
                                  <w:color w:val="231F20"/>
                                  <w:w w:val="80"/>
                                  <w:sz w:val="14"/>
                                </w:rPr>
                                <w:t>Percent</w:t>
                              </w:r>
                              <w:r>
                                <w:rPr>
                                  <w:rFonts w:ascii="Arial"/>
                                  <w:color w:val="231F20"/>
                                  <w:spacing w:val="-2"/>
                                  <w:w w:val="80"/>
                                  <w:sz w:val="14"/>
                                </w:rPr>
                                <w:t> </w:t>
                              </w:r>
                              <w:r>
                                <w:rPr>
                                  <w:rFonts w:ascii="Arial"/>
                                  <w:color w:val="231F20"/>
                                  <w:w w:val="80"/>
                                  <w:sz w:val="14"/>
                                </w:rPr>
                                <w:t>of</w:t>
                              </w:r>
                              <w:r>
                                <w:rPr>
                                  <w:rFonts w:ascii="Arial"/>
                                  <w:color w:val="231F20"/>
                                  <w:spacing w:val="-2"/>
                                  <w:w w:val="80"/>
                                  <w:sz w:val="14"/>
                                </w:rPr>
                                <w:t> </w:t>
                              </w:r>
                              <w:r>
                                <w:rPr>
                                  <w:rFonts w:ascii="Arial"/>
                                  <w:color w:val="231F20"/>
                                  <w:w w:val="80"/>
                                  <w:sz w:val="14"/>
                                </w:rPr>
                                <w:t>countries</w:t>
                              </w:r>
                              <w:r>
                                <w:rPr>
                                  <w:rFonts w:ascii="Arial"/>
                                  <w:color w:val="231F20"/>
                                  <w:spacing w:val="-2"/>
                                  <w:w w:val="80"/>
                                  <w:sz w:val="14"/>
                                </w:rPr>
                                <w:t> </w:t>
                              </w:r>
                              <w:r>
                                <w:rPr>
                                  <w:rFonts w:ascii="Arial"/>
                                  <w:color w:val="231F20"/>
                                  <w:w w:val="80"/>
                                  <w:sz w:val="14"/>
                                </w:rPr>
                                <w:t>in</w:t>
                              </w:r>
                              <w:r>
                                <w:rPr>
                                  <w:rFonts w:ascii="Arial"/>
                                  <w:color w:val="231F20"/>
                                  <w:spacing w:val="-2"/>
                                  <w:w w:val="80"/>
                                  <w:sz w:val="14"/>
                                </w:rPr>
                                <w:t> </w:t>
                              </w:r>
                              <w:r>
                                <w:rPr>
                                  <w:rFonts w:ascii="Arial"/>
                                  <w:color w:val="231F20"/>
                                  <w:w w:val="80"/>
                                  <w:sz w:val="14"/>
                                </w:rPr>
                                <w:t>the</w:t>
                              </w:r>
                              <w:r>
                                <w:rPr>
                                  <w:rFonts w:ascii="Arial"/>
                                  <w:color w:val="231F20"/>
                                  <w:spacing w:val="-2"/>
                                  <w:w w:val="80"/>
                                  <w:sz w:val="14"/>
                                </w:rPr>
                                <w:t> </w:t>
                              </w:r>
                              <w:r>
                                <w:rPr>
                                  <w:rFonts w:ascii="Arial"/>
                                  <w:color w:val="231F20"/>
                                  <w:w w:val="80"/>
                                  <w:sz w:val="14"/>
                                </w:rPr>
                                <w:t>region</w:t>
                              </w:r>
                              <w:r>
                                <w:rPr>
                                  <w:rFonts w:ascii="Arial"/>
                                  <w:color w:val="231F20"/>
                                  <w:spacing w:val="40"/>
                                  <w:sz w:val="14"/>
                                </w:rPr>
                                <w:t> </w:t>
                              </w:r>
                              <w:r>
                                <w:rPr>
                                  <w:rFonts w:ascii="Arial"/>
                                  <w:color w:val="231F20"/>
                                  <w:spacing w:val="-6"/>
                                  <w:w w:val="90"/>
                                  <w:sz w:val="14"/>
                                </w:rPr>
                                <w:t>80</w:t>
                              </w:r>
                            </w:p>
                          </w:txbxContent>
                        </wps:txbx>
                        <wps:bodyPr wrap="square" lIns="0" tIns="0" rIns="0" bIns="0" rtlCol="0">
                          <a:noAutofit/>
                        </wps:bodyPr>
                      </wps:wsp>
                      <wps:wsp>
                        <wps:cNvPr id="1894" name="Textbox 1894"/>
                        <wps:cNvSpPr txBox="1"/>
                        <wps:spPr>
                          <a:xfrm>
                            <a:off x="119407" y="1093038"/>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60</w:t>
                              </w:r>
                            </w:p>
                          </w:txbxContent>
                        </wps:txbx>
                        <wps:bodyPr wrap="square" lIns="0" tIns="0" rIns="0" bIns="0" rtlCol="0">
                          <a:noAutofit/>
                        </wps:bodyPr>
                      </wps:wsp>
                      <wps:wsp>
                        <wps:cNvPr id="1895" name="Textbox 1895"/>
                        <wps:cNvSpPr txBox="1"/>
                        <wps:spPr>
                          <a:xfrm>
                            <a:off x="119407" y="1541894"/>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40</w:t>
                              </w:r>
                            </w:p>
                          </w:txbxContent>
                        </wps:txbx>
                        <wps:bodyPr wrap="square" lIns="0" tIns="0" rIns="0" bIns="0" rtlCol="0">
                          <a:noAutofit/>
                        </wps:bodyPr>
                      </wps:wsp>
                      <wps:wsp>
                        <wps:cNvPr id="1896" name="Textbox 1896"/>
                        <wps:cNvSpPr txBox="1"/>
                        <wps:spPr>
                          <a:xfrm>
                            <a:off x="119407" y="1990750"/>
                            <a:ext cx="9842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5"/>
                                  <w:w w:val="95"/>
                                  <w:sz w:val="14"/>
                                </w:rPr>
                                <w:t>20</w:t>
                              </w:r>
                            </w:p>
                          </w:txbxContent>
                        </wps:txbx>
                        <wps:bodyPr wrap="square" lIns="0" tIns="0" rIns="0" bIns="0" rtlCol="0">
                          <a:noAutofit/>
                        </wps:bodyPr>
                      </wps:wsp>
                      <wps:wsp>
                        <wps:cNvPr id="1897" name="Textbox 1897"/>
                        <wps:cNvSpPr txBox="1"/>
                        <wps:spPr>
                          <a:xfrm>
                            <a:off x="76386" y="2439606"/>
                            <a:ext cx="2400300" cy="431800"/>
                          </a:xfrm>
                          <a:prstGeom prst="rect">
                            <a:avLst/>
                          </a:prstGeom>
                        </wps:spPr>
                        <wps:txbx>
                          <w:txbxContent>
                            <w:p>
                              <w:pPr>
                                <w:spacing w:line="159" w:lineRule="exact" w:before="0"/>
                                <w:ind w:left="134" w:right="0" w:firstLine="0"/>
                                <w:jc w:val="left"/>
                                <w:rPr>
                                  <w:rFonts w:ascii="Arial"/>
                                  <w:sz w:val="14"/>
                                </w:rPr>
                              </w:pPr>
                              <w:r>
                                <w:rPr>
                                  <w:rFonts w:ascii="Arial"/>
                                  <w:color w:val="231F20"/>
                                  <w:spacing w:val="-10"/>
                                  <w:w w:val="95"/>
                                  <w:sz w:val="14"/>
                                </w:rPr>
                                <w:t>0</w:t>
                              </w:r>
                            </w:p>
                            <w:p>
                              <w:pPr>
                                <w:spacing w:line="240" w:lineRule="auto" w:before="0"/>
                                <w:rPr>
                                  <w:rFonts w:ascii="Arial"/>
                                  <w:sz w:val="14"/>
                                </w:rPr>
                              </w:pPr>
                            </w:p>
                            <w:p>
                              <w:pPr>
                                <w:spacing w:line="240" w:lineRule="auto" w:before="52"/>
                                <w:rPr>
                                  <w:rFonts w:ascii="Arial"/>
                                  <w:sz w:val="14"/>
                                </w:rPr>
                              </w:pPr>
                            </w:p>
                            <w:p>
                              <w:pPr>
                                <w:spacing w:before="0"/>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World</w:t>
                              </w:r>
                              <w:r>
                                <w:rPr>
                                  <w:rFonts w:ascii="Arial"/>
                                  <w:color w:val="231F20"/>
                                  <w:spacing w:val="5"/>
                                  <w:sz w:val="12"/>
                                </w:rPr>
                                <w:t> </w:t>
                              </w:r>
                              <w:r>
                                <w:rPr>
                                  <w:rFonts w:ascii="Arial"/>
                                  <w:color w:val="231F20"/>
                                  <w:w w:val="75"/>
                                  <w:sz w:val="12"/>
                                </w:rPr>
                                <w:t>Bank</w:t>
                              </w:r>
                              <w:r>
                                <w:rPr>
                                  <w:rFonts w:ascii="Arial"/>
                                  <w:color w:val="231F20"/>
                                  <w:spacing w:val="4"/>
                                  <w:sz w:val="12"/>
                                </w:rPr>
                                <w:t> </w:t>
                              </w:r>
                              <w:r>
                                <w:rPr>
                                  <w:rFonts w:ascii="Arial"/>
                                  <w:color w:val="231F20"/>
                                  <w:w w:val="75"/>
                                  <w:sz w:val="12"/>
                                </w:rPr>
                                <w:t>calculations</w:t>
                              </w:r>
                              <w:r>
                                <w:rPr>
                                  <w:rFonts w:ascii="Arial"/>
                                  <w:color w:val="231F20"/>
                                  <w:spacing w:val="5"/>
                                  <w:sz w:val="12"/>
                                </w:rPr>
                                <w:t> </w:t>
                              </w:r>
                              <w:r>
                                <w:rPr>
                                  <w:rFonts w:ascii="Arial"/>
                                  <w:color w:val="231F20"/>
                                  <w:w w:val="75"/>
                                  <w:sz w:val="12"/>
                                </w:rPr>
                                <w:t>based</w:t>
                              </w:r>
                              <w:r>
                                <w:rPr>
                                  <w:rFonts w:ascii="Arial"/>
                                  <w:color w:val="231F20"/>
                                  <w:spacing w:val="5"/>
                                  <w:sz w:val="12"/>
                                </w:rPr>
                                <w:t> </w:t>
                              </w:r>
                              <w:r>
                                <w:rPr>
                                  <w:rFonts w:ascii="Arial"/>
                                  <w:color w:val="231F20"/>
                                  <w:w w:val="75"/>
                                  <w:sz w:val="12"/>
                                </w:rPr>
                                <w:t>on</w:t>
                              </w:r>
                              <w:r>
                                <w:rPr>
                                  <w:rFonts w:ascii="Arial"/>
                                  <w:color w:val="231F20"/>
                                  <w:spacing w:val="4"/>
                                  <w:sz w:val="12"/>
                                </w:rPr>
                                <w:t> </w:t>
                              </w:r>
                              <w:r>
                                <w:rPr>
                                  <w:rFonts w:ascii="Arial"/>
                                  <w:color w:val="231F20"/>
                                  <w:w w:val="75"/>
                                  <w:sz w:val="12"/>
                                </w:rPr>
                                <w:t>data</w:t>
                              </w:r>
                              <w:r>
                                <w:rPr>
                                  <w:rFonts w:ascii="Arial"/>
                                  <w:color w:val="231F20"/>
                                  <w:spacing w:val="5"/>
                                  <w:sz w:val="12"/>
                                </w:rPr>
                                <w:t> </w:t>
                              </w:r>
                              <w:r>
                                <w:rPr>
                                  <w:rFonts w:ascii="Arial"/>
                                  <w:color w:val="231F20"/>
                                  <w:w w:val="75"/>
                                  <w:sz w:val="12"/>
                                </w:rPr>
                                <w:t>from</w:t>
                              </w:r>
                              <w:r>
                                <w:rPr>
                                  <w:rFonts w:ascii="Arial"/>
                                  <w:color w:val="231F20"/>
                                  <w:spacing w:val="5"/>
                                  <w:sz w:val="12"/>
                                </w:rPr>
                                <w:t> </w:t>
                              </w:r>
                              <w:r>
                                <w:rPr>
                                  <w:rFonts w:ascii="Arial"/>
                                  <w:color w:val="231F20"/>
                                  <w:w w:val="75"/>
                                  <w:sz w:val="12"/>
                                </w:rPr>
                                <w:t>MDS</w:t>
                              </w:r>
                              <w:r>
                                <w:rPr>
                                  <w:rFonts w:ascii="Arial"/>
                                  <w:color w:val="231F20"/>
                                  <w:spacing w:val="-1"/>
                                  <w:sz w:val="12"/>
                                </w:rPr>
                                <w:t> </w:t>
                              </w:r>
                              <w:r>
                                <w:rPr>
                                  <w:rFonts w:ascii="Arial"/>
                                  <w:color w:val="231F20"/>
                                  <w:w w:val="75"/>
                                  <w:sz w:val="12"/>
                                </w:rPr>
                                <w:t>Transmodal</w:t>
                              </w:r>
                              <w:r>
                                <w:rPr>
                                  <w:rFonts w:ascii="Arial"/>
                                  <w:color w:val="231F20"/>
                                  <w:spacing w:val="5"/>
                                  <w:sz w:val="12"/>
                                </w:rPr>
                                <w:t> </w:t>
                              </w:r>
                              <w:r>
                                <w:rPr>
                                  <w:rFonts w:ascii="Arial"/>
                                  <w:color w:val="231F20"/>
                                  <w:w w:val="75"/>
                                  <w:sz w:val="12"/>
                                </w:rPr>
                                <w:t>and</w:t>
                              </w:r>
                              <w:r>
                                <w:rPr>
                                  <w:rFonts w:ascii="Arial"/>
                                  <w:color w:val="231F20"/>
                                  <w:spacing w:val="5"/>
                                  <w:sz w:val="12"/>
                                </w:rPr>
                                <w:t> </w:t>
                              </w:r>
                              <w:r>
                                <w:rPr>
                                  <w:rFonts w:ascii="Arial"/>
                                  <w:color w:val="231F20"/>
                                  <w:spacing w:val="-2"/>
                                  <w:w w:val="75"/>
                                  <w:sz w:val="12"/>
                                </w:rPr>
                                <w:t>MarineTraffic.</w:t>
                              </w:r>
                            </w:p>
                          </w:txbxContent>
                        </wps:txbx>
                        <wps:bodyPr wrap="square" lIns="0" tIns="0" rIns="0" bIns="0" rtlCol="0">
                          <a:noAutofit/>
                        </wps:bodyPr>
                      </wps:wsp>
                    </wpg:wgp>
                  </a:graphicData>
                </a:graphic>
              </wp:anchor>
            </w:drawing>
          </mc:Choice>
          <mc:Fallback>
            <w:pict>
              <v:group style="position:absolute;margin-left:168pt;margin-top:190.304886pt;width:384.05pt;height:233.4pt;mso-position-horizontal-relative:page;mso-position-vertical-relative:paragraph;z-index:-36535296" id="docshapegroup1602" coordorigin="3360,3806" coordsize="7681,4668">
                <v:shape style="position:absolute;left:3360;top:4412;width:7680;height:4061" id="docshape1603" coordorigin="3360,4413" coordsize="7680,4061" path="m11040,4413l3360,4413,3360,8356,3370,8401,3396,8439,3434,8464,3479,8473,10916,8473,10962,8465,11002,8441,11030,8404,11040,8356,11040,4413xe" filled="true" fillcolor="#dfeaf7" stroked="false">
                  <v:path arrowok="t"/>
                  <v:fill type="solid"/>
                </v:shape>
                <v:shape style="position:absolute;left:3360;top:3806;width:867;height:565" id="docshape1604" coordorigin="3360,3806" coordsize="867,565" path="m4227,3806l3480,3806,3434,3811,3396,3829,3370,3866,3360,3926,3360,4371,4227,4371,4227,3806xe" filled="true" fillcolor="#008fdd" stroked="false">
                  <v:path arrowok="t"/>
                  <v:fill type="solid"/>
                </v:shape>
                <v:shape style="position:absolute;left:4226;top:3806;width:6813;height:565" id="docshape1605" coordorigin="4227,3806" coordsize="6813,565" path="m10919,3806l4227,3806,4227,4371,11039,4371,11039,3926,11031,3886,11006,3847,10968,3818,10919,3806xe" filled="true" fillcolor="#808285" stroked="false">
                  <v:path arrowok="t"/>
                  <v:fill type="solid"/>
                </v:shape>
                <v:line style="position:absolute" from="4227,3806" to="4227,4385" stroked="true" strokeweight="2pt" strokecolor="#ffffff">
                  <v:stroke dashstyle="solid"/>
                </v:line>
                <v:shape style="position:absolute;left:3792;top:7721;width:7021;height:2" id="docshape1606" coordorigin="3792,7721" coordsize="7021,0" path="m3792,7721l10813,7721m3792,7721l10813,7721e" filled="false" stroked="true" strokeweight=".5pt" strokecolor="#ffffff">
                  <v:path arrowok="t"/>
                  <v:stroke dashstyle="solid"/>
                </v:shape>
                <v:shape style="position:absolute;left:3792;top:5600;width:7021;height:1414" id="docshape1607" coordorigin="3792,5601" coordsize="7021,1414" path="m3792,7014l4068,7014m4519,7014l5071,7014m5522,7014l6074,7014m6525,7014l7077,7014m7528,7014l8080,7014m8531,7014l9083,7014m9534,7014l10086,7014m10537,7014l10813,7014m3792,6308l4068,6308m4519,6308l5071,6308m5522,6308l6074,6308m6525,6308l7077,6308m7528,6308l8080,6308m8531,6308l10086,6308m10537,6308l10813,6308m3792,5601l7077,5601m7528,5601l8080,5601m8531,5601l10813,5601e" filled="false" stroked="true" strokeweight=".5pt" strokecolor="#ffffff">
                  <v:path arrowok="t"/>
                  <v:stroke dashstyle="solid"/>
                </v:shape>
                <v:line style="position:absolute" from="3792,4894" to="10813,4894" stroked="true" strokeweight=".5pt" strokecolor="#ffffff">
                  <v:stroke dashstyle="solid"/>
                </v:line>
                <v:rect style="position:absolute;left:4067;top:6046;width:452;height:1676" id="docshape1608" filled="true" fillcolor="#008fdd" stroked="false">
                  <v:fill type="solid"/>
                </v:rect>
                <v:rect style="position:absolute;left:4067;top:6046;width:452;height:1676" id="docshape1609" filled="false" stroked="true" strokeweight=".25pt" strokecolor="#ffffff">
                  <v:stroke dashstyle="solid"/>
                </v:rect>
                <v:rect style="position:absolute;left:5070;top:5894;width:452;height:1828" id="docshape1610" filled="true" fillcolor="#008fdd" stroked="false">
                  <v:fill type="solid"/>
                </v:rect>
                <v:rect style="position:absolute;left:5070;top:5894;width:452;height:1828" id="docshape1611" filled="false" stroked="true" strokeweight=".25pt" strokecolor="#ffffff">
                  <v:stroke dashstyle="solid"/>
                </v:rect>
                <v:rect style="position:absolute;left:6073;top:5653;width:452;height:2068" id="docshape1612" filled="true" fillcolor="#008fdd" stroked="false">
                  <v:fill type="solid"/>
                </v:rect>
                <v:rect style="position:absolute;left:6073;top:5653;width:452;height:2068" id="docshape1613" filled="false" stroked="true" strokeweight=".25pt" strokecolor="#ffffff">
                  <v:stroke dashstyle="solid"/>
                </v:rect>
                <v:rect style="position:absolute;left:7076;top:5028;width:452;height:2693" id="docshape1614" filled="true" fillcolor="#008fdd" stroked="false">
                  <v:fill type="solid"/>
                </v:rect>
                <v:rect style="position:absolute;left:7076;top:5028;width:452;height:2693" id="docshape1615" filled="false" stroked="true" strokeweight=".25pt" strokecolor="#ffffff">
                  <v:stroke dashstyle="solid"/>
                </v:rect>
                <v:rect style="position:absolute;left:8079;top:5364;width:452;height:2358" id="docshape1616" filled="true" fillcolor="#008fdd" stroked="false">
                  <v:fill type="solid"/>
                </v:rect>
                <v:rect style="position:absolute;left:8079;top:5364;width:452;height:2358" id="docshape1617" filled="false" stroked="true" strokeweight=".25pt" strokecolor="#ffffff">
                  <v:stroke dashstyle="solid"/>
                </v:rect>
                <v:rect style="position:absolute;left:9082;top:6396;width:452;height:1326" id="docshape1618" filled="true" fillcolor="#008fdd" stroked="false">
                  <v:fill type="solid"/>
                </v:rect>
                <v:rect style="position:absolute;left:9082;top:6396;width:452;height:1326" id="docshape1619" filled="false" stroked="true" strokeweight=".25pt" strokecolor="#ffffff">
                  <v:stroke dashstyle="solid"/>
                </v:rect>
                <v:rect style="position:absolute;left:10085;top:6247;width:452;height:1474" id="docshape1620" filled="true" fillcolor="#008fdd" stroked="false">
                  <v:fill type="solid"/>
                </v:rect>
                <v:rect style="position:absolute;left:10085;top:6247;width:452;height:1474" id="docshape1621" filled="false" stroked="true" strokeweight=".25pt" strokecolor="#ffffff">
                  <v:stroke dashstyle="solid"/>
                </v:rect>
                <v:line style="position:absolute" from="3791,7721" to="10745,7721" stroked="true" strokeweight=".5pt" strokecolor="#ffffff">
                  <v:stroke dashstyle="solid"/>
                </v:line>
                <v:shape style="position:absolute;left:3480;top:3911;width:6619;height:1068" type="#_x0000_t202" id="docshape1622" filled="false" stroked="false">
                  <v:textbox inset="0,0,0,0">
                    <w:txbxContent>
                      <w:p>
                        <w:pPr>
                          <w:spacing w:line="261" w:lineRule="auto" w:before="3"/>
                          <w:ind w:left="850" w:right="9" w:hanging="851"/>
                          <w:jc w:val="left"/>
                          <w:rPr>
                            <w:rFonts w:ascii="Arial"/>
                            <w:b/>
                            <w:sz w:val="16"/>
                          </w:rPr>
                        </w:pPr>
                        <w:r>
                          <w:rPr>
                            <w:rFonts w:ascii="Arial"/>
                            <w:color w:val="FFFFFF"/>
                            <w:w w:val="105"/>
                            <w:sz w:val="16"/>
                          </w:rPr>
                          <w:t>Figure</w:t>
                        </w:r>
                        <w:r>
                          <w:rPr>
                            <w:rFonts w:ascii="Arial"/>
                            <w:color w:val="FFFFFF"/>
                            <w:spacing w:val="-12"/>
                            <w:w w:val="105"/>
                            <w:sz w:val="16"/>
                          </w:rPr>
                          <w:t> </w:t>
                        </w:r>
                        <w:r>
                          <w:rPr>
                            <w:rFonts w:ascii="Arial"/>
                            <w:b/>
                            <w:color w:val="FFFFFF"/>
                            <w:w w:val="105"/>
                            <w:sz w:val="16"/>
                          </w:rPr>
                          <w:t>A4.6</w:t>
                        </w:r>
                        <w:r>
                          <w:rPr>
                            <w:rFonts w:ascii="Arial"/>
                            <w:b/>
                            <w:color w:val="FFFFFF"/>
                            <w:spacing w:val="61"/>
                            <w:w w:val="105"/>
                            <w:sz w:val="16"/>
                          </w:rPr>
                          <w:t> </w:t>
                        </w:r>
                        <w:r>
                          <w:rPr>
                            <w:rFonts w:ascii="Arial"/>
                            <w:b/>
                            <w:color w:val="FFFFFF"/>
                            <w:w w:val="105"/>
                            <w:sz w:val="16"/>
                          </w:rPr>
                          <w:t>Country</w:t>
                        </w:r>
                        <w:r>
                          <w:rPr>
                            <w:rFonts w:ascii="Arial"/>
                            <w:b/>
                            <w:color w:val="FFFFFF"/>
                            <w:spacing w:val="-12"/>
                            <w:w w:val="105"/>
                            <w:sz w:val="16"/>
                          </w:rPr>
                          <w:t> </w:t>
                        </w:r>
                        <w:r>
                          <w:rPr>
                            <w:rFonts w:ascii="Arial"/>
                            <w:b/>
                            <w:color w:val="FFFFFF"/>
                            <w:w w:val="105"/>
                            <w:sz w:val="16"/>
                          </w:rPr>
                          <w:t>coverage</w:t>
                        </w:r>
                        <w:r>
                          <w:rPr>
                            <w:rFonts w:ascii="Arial"/>
                            <w:b/>
                            <w:color w:val="FFFFFF"/>
                            <w:spacing w:val="-12"/>
                            <w:w w:val="105"/>
                            <w:sz w:val="16"/>
                          </w:rPr>
                          <w:t> </w:t>
                        </w:r>
                        <w:r>
                          <w:rPr>
                            <w:rFonts w:ascii="Arial"/>
                            <w:b/>
                            <w:color w:val="FFFFFF"/>
                            <w:w w:val="105"/>
                            <w:sz w:val="16"/>
                          </w:rPr>
                          <w:t>of</w:t>
                        </w:r>
                        <w:r>
                          <w:rPr>
                            <w:rFonts w:ascii="Arial"/>
                            <w:b/>
                            <w:color w:val="FFFFFF"/>
                            <w:spacing w:val="-11"/>
                            <w:w w:val="105"/>
                            <w:sz w:val="16"/>
                          </w:rPr>
                          <w:t> </w:t>
                        </w:r>
                        <w:r>
                          <w:rPr>
                            <w:rFonts w:ascii="Arial"/>
                            <w:b/>
                            <w:color w:val="FFFFFF"/>
                            <w:w w:val="105"/>
                            <w:sz w:val="16"/>
                          </w:rPr>
                          <w:t>the</w:t>
                        </w:r>
                        <w:r>
                          <w:rPr>
                            <w:rFonts w:ascii="Arial"/>
                            <w:b/>
                            <w:color w:val="FFFFFF"/>
                            <w:spacing w:val="-12"/>
                            <w:w w:val="105"/>
                            <w:sz w:val="16"/>
                          </w:rPr>
                          <w:t> </w:t>
                        </w:r>
                        <w:r>
                          <w:rPr>
                            <w:rFonts w:ascii="Arial"/>
                            <w:b/>
                            <w:color w:val="FFFFFF"/>
                            <w:w w:val="105"/>
                            <w:sz w:val="16"/>
                          </w:rPr>
                          <w:t>MDS</w:t>
                        </w:r>
                        <w:r>
                          <w:rPr>
                            <w:rFonts w:ascii="Arial"/>
                            <w:b/>
                            <w:color w:val="FFFFFF"/>
                            <w:spacing w:val="-12"/>
                            <w:w w:val="105"/>
                            <w:sz w:val="16"/>
                          </w:rPr>
                          <w:t> </w:t>
                        </w:r>
                        <w:r>
                          <w:rPr>
                            <w:rFonts w:ascii="Arial"/>
                            <w:b/>
                            <w:color w:val="FFFFFF"/>
                            <w:w w:val="105"/>
                            <w:sz w:val="16"/>
                          </w:rPr>
                          <w:t>Transmodal</w:t>
                        </w:r>
                        <w:r>
                          <w:rPr>
                            <w:rFonts w:ascii="Arial"/>
                            <w:b/>
                            <w:color w:val="FFFFFF"/>
                            <w:spacing w:val="-11"/>
                            <w:w w:val="105"/>
                            <w:sz w:val="16"/>
                          </w:rPr>
                          <w:t> </w:t>
                        </w:r>
                        <w:r>
                          <w:rPr>
                            <w:rFonts w:ascii="Arial"/>
                            <w:b/>
                            <w:color w:val="FFFFFF"/>
                            <w:w w:val="105"/>
                            <w:sz w:val="16"/>
                          </w:rPr>
                          <w:t>and</w:t>
                        </w:r>
                        <w:r>
                          <w:rPr>
                            <w:rFonts w:ascii="Arial"/>
                            <w:b/>
                            <w:color w:val="FFFFFF"/>
                            <w:spacing w:val="-12"/>
                            <w:w w:val="105"/>
                            <w:sz w:val="16"/>
                          </w:rPr>
                          <w:t> </w:t>
                        </w:r>
                        <w:r>
                          <w:rPr>
                            <w:rFonts w:ascii="Arial"/>
                            <w:b/>
                            <w:color w:val="FFFFFF"/>
                            <w:w w:val="105"/>
                            <w:sz w:val="16"/>
                          </w:rPr>
                          <w:t>MarineTraffic</w:t>
                        </w:r>
                        <w:r>
                          <w:rPr>
                            <w:rFonts w:ascii="Arial"/>
                            <w:b/>
                            <w:color w:val="FFFFFF"/>
                            <w:spacing w:val="-12"/>
                            <w:w w:val="105"/>
                            <w:sz w:val="16"/>
                          </w:rPr>
                          <w:t> </w:t>
                        </w:r>
                        <w:r>
                          <w:rPr>
                            <w:rFonts w:ascii="Arial"/>
                            <w:b/>
                            <w:color w:val="FFFFFF"/>
                            <w:w w:val="105"/>
                            <w:sz w:val="16"/>
                          </w:rPr>
                          <w:t>dataset,</w:t>
                        </w:r>
                        <w:r>
                          <w:rPr>
                            <w:rFonts w:ascii="Arial"/>
                            <w:b/>
                            <w:color w:val="FFFFFF"/>
                            <w:spacing w:val="-11"/>
                            <w:w w:val="105"/>
                            <w:sz w:val="16"/>
                          </w:rPr>
                          <w:t> </w:t>
                        </w:r>
                        <w:r>
                          <w:rPr>
                            <w:rFonts w:ascii="Arial"/>
                            <w:b/>
                            <w:color w:val="FFFFFF"/>
                            <w:w w:val="105"/>
                            <w:sz w:val="16"/>
                          </w:rPr>
                          <w:t>by World Bank region</w:t>
                        </w:r>
                      </w:p>
                      <w:p>
                        <w:pPr>
                          <w:spacing w:line="240" w:lineRule="atLeast" w:before="177"/>
                          <w:ind w:left="67" w:right="4966" w:hanging="68"/>
                          <w:jc w:val="left"/>
                          <w:rPr>
                            <w:rFonts w:ascii="Arial"/>
                            <w:sz w:val="14"/>
                          </w:rPr>
                        </w:pPr>
                        <w:r>
                          <w:rPr>
                            <w:rFonts w:ascii="Arial"/>
                            <w:color w:val="231F20"/>
                            <w:w w:val="80"/>
                            <w:sz w:val="14"/>
                          </w:rPr>
                          <w:t>Percent</w:t>
                        </w:r>
                        <w:r>
                          <w:rPr>
                            <w:rFonts w:ascii="Arial"/>
                            <w:color w:val="231F20"/>
                            <w:spacing w:val="-2"/>
                            <w:w w:val="80"/>
                            <w:sz w:val="14"/>
                          </w:rPr>
                          <w:t> </w:t>
                        </w:r>
                        <w:r>
                          <w:rPr>
                            <w:rFonts w:ascii="Arial"/>
                            <w:color w:val="231F20"/>
                            <w:w w:val="80"/>
                            <w:sz w:val="14"/>
                          </w:rPr>
                          <w:t>of</w:t>
                        </w:r>
                        <w:r>
                          <w:rPr>
                            <w:rFonts w:ascii="Arial"/>
                            <w:color w:val="231F20"/>
                            <w:spacing w:val="-2"/>
                            <w:w w:val="80"/>
                            <w:sz w:val="14"/>
                          </w:rPr>
                          <w:t> </w:t>
                        </w:r>
                        <w:r>
                          <w:rPr>
                            <w:rFonts w:ascii="Arial"/>
                            <w:color w:val="231F20"/>
                            <w:w w:val="80"/>
                            <w:sz w:val="14"/>
                          </w:rPr>
                          <w:t>countries</w:t>
                        </w:r>
                        <w:r>
                          <w:rPr>
                            <w:rFonts w:ascii="Arial"/>
                            <w:color w:val="231F20"/>
                            <w:spacing w:val="-2"/>
                            <w:w w:val="80"/>
                            <w:sz w:val="14"/>
                          </w:rPr>
                          <w:t> </w:t>
                        </w:r>
                        <w:r>
                          <w:rPr>
                            <w:rFonts w:ascii="Arial"/>
                            <w:color w:val="231F20"/>
                            <w:w w:val="80"/>
                            <w:sz w:val="14"/>
                          </w:rPr>
                          <w:t>in</w:t>
                        </w:r>
                        <w:r>
                          <w:rPr>
                            <w:rFonts w:ascii="Arial"/>
                            <w:color w:val="231F20"/>
                            <w:spacing w:val="-2"/>
                            <w:w w:val="80"/>
                            <w:sz w:val="14"/>
                          </w:rPr>
                          <w:t> </w:t>
                        </w:r>
                        <w:r>
                          <w:rPr>
                            <w:rFonts w:ascii="Arial"/>
                            <w:color w:val="231F20"/>
                            <w:w w:val="80"/>
                            <w:sz w:val="14"/>
                          </w:rPr>
                          <w:t>the</w:t>
                        </w:r>
                        <w:r>
                          <w:rPr>
                            <w:rFonts w:ascii="Arial"/>
                            <w:color w:val="231F20"/>
                            <w:spacing w:val="-2"/>
                            <w:w w:val="80"/>
                            <w:sz w:val="14"/>
                          </w:rPr>
                          <w:t> </w:t>
                        </w:r>
                        <w:r>
                          <w:rPr>
                            <w:rFonts w:ascii="Arial"/>
                            <w:color w:val="231F20"/>
                            <w:w w:val="80"/>
                            <w:sz w:val="14"/>
                          </w:rPr>
                          <w:t>region</w:t>
                        </w:r>
                        <w:r>
                          <w:rPr>
                            <w:rFonts w:ascii="Arial"/>
                            <w:color w:val="231F20"/>
                            <w:spacing w:val="40"/>
                            <w:sz w:val="14"/>
                          </w:rPr>
                          <w:t> </w:t>
                        </w:r>
                        <w:r>
                          <w:rPr>
                            <w:rFonts w:ascii="Arial"/>
                            <w:color w:val="231F20"/>
                            <w:spacing w:val="-6"/>
                            <w:w w:val="90"/>
                            <w:sz w:val="14"/>
                          </w:rPr>
                          <w:t>80</w:t>
                        </w:r>
                      </w:p>
                    </w:txbxContent>
                  </v:textbox>
                  <w10:wrap type="none"/>
                </v:shape>
                <v:shape style="position:absolute;left:3548;top:5527;width:155;height:159" type="#_x0000_t202" id="docshape1623"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60</w:t>
                        </w:r>
                      </w:p>
                    </w:txbxContent>
                  </v:textbox>
                  <w10:wrap type="none"/>
                </v:shape>
                <v:shape style="position:absolute;left:3548;top:6234;width:155;height:159" type="#_x0000_t202" id="docshape1624"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40</w:t>
                        </w:r>
                      </w:p>
                    </w:txbxContent>
                  </v:textbox>
                  <w10:wrap type="none"/>
                </v:shape>
                <v:shape style="position:absolute;left:3548;top:6941;width:155;height:159" type="#_x0000_t202" id="docshape1625" filled="false" stroked="false">
                  <v:textbox inset="0,0,0,0">
                    <w:txbxContent>
                      <w:p>
                        <w:pPr>
                          <w:spacing w:line="158" w:lineRule="exact" w:before="0"/>
                          <w:ind w:left="0" w:right="0" w:firstLine="0"/>
                          <w:jc w:val="left"/>
                          <w:rPr>
                            <w:rFonts w:ascii="Arial"/>
                            <w:sz w:val="14"/>
                          </w:rPr>
                        </w:pPr>
                        <w:r>
                          <w:rPr>
                            <w:rFonts w:ascii="Arial"/>
                            <w:color w:val="231F20"/>
                            <w:spacing w:val="-5"/>
                            <w:w w:val="95"/>
                            <w:sz w:val="14"/>
                          </w:rPr>
                          <w:t>20</w:t>
                        </w:r>
                      </w:p>
                    </w:txbxContent>
                  </v:textbox>
                  <w10:wrap type="none"/>
                </v:shape>
                <v:shape style="position:absolute;left:3480;top:7648;width:3780;height:680" type="#_x0000_t202" id="docshape1626" filled="false" stroked="false">
                  <v:textbox inset="0,0,0,0">
                    <w:txbxContent>
                      <w:p>
                        <w:pPr>
                          <w:spacing w:line="159" w:lineRule="exact" w:before="0"/>
                          <w:ind w:left="134" w:right="0" w:firstLine="0"/>
                          <w:jc w:val="left"/>
                          <w:rPr>
                            <w:rFonts w:ascii="Arial"/>
                            <w:sz w:val="14"/>
                          </w:rPr>
                        </w:pPr>
                        <w:r>
                          <w:rPr>
                            <w:rFonts w:ascii="Arial"/>
                            <w:color w:val="231F20"/>
                            <w:spacing w:val="-10"/>
                            <w:w w:val="95"/>
                            <w:sz w:val="14"/>
                          </w:rPr>
                          <w:t>0</w:t>
                        </w:r>
                      </w:p>
                      <w:p>
                        <w:pPr>
                          <w:spacing w:line="240" w:lineRule="auto" w:before="0"/>
                          <w:rPr>
                            <w:rFonts w:ascii="Arial"/>
                            <w:sz w:val="14"/>
                          </w:rPr>
                        </w:pPr>
                      </w:p>
                      <w:p>
                        <w:pPr>
                          <w:spacing w:line="240" w:lineRule="auto" w:before="52"/>
                          <w:rPr>
                            <w:rFonts w:ascii="Arial"/>
                            <w:sz w:val="14"/>
                          </w:rPr>
                        </w:pPr>
                      </w:p>
                      <w:p>
                        <w:pPr>
                          <w:spacing w:before="0"/>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World</w:t>
                        </w:r>
                        <w:r>
                          <w:rPr>
                            <w:rFonts w:ascii="Arial"/>
                            <w:color w:val="231F20"/>
                            <w:spacing w:val="5"/>
                            <w:sz w:val="12"/>
                          </w:rPr>
                          <w:t> </w:t>
                        </w:r>
                        <w:r>
                          <w:rPr>
                            <w:rFonts w:ascii="Arial"/>
                            <w:color w:val="231F20"/>
                            <w:w w:val="75"/>
                            <w:sz w:val="12"/>
                          </w:rPr>
                          <w:t>Bank</w:t>
                        </w:r>
                        <w:r>
                          <w:rPr>
                            <w:rFonts w:ascii="Arial"/>
                            <w:color w:val="231F20"/>
                            <w:spacing w:val="4"/>
                            <w:sz w:val="12"/>
                          </w:rPr>
                          <w:t> </w:t>
                        </w:r>
                        <w:r>
                          <w:rPr>
                            <w:rFonts w:ascii="Arial"/>
                            <w:color w:val="231F20"/>
                            <w:w w:val="75"/>
                            <w:sz w:val="12"/>
                          </w:rPr>
                          <w:t>calculations</w:t>
                        </w:r>
                        <w:r>
                          <w:rPr>
                            <w:rFonts w:ascii="Arial"/>
                            <w:color w:val="231F20"/>
                            <w:spacing w:val="5"/>
                            <w:sz w:val="12"/>
                          </w:rPr>
                          <w:t> </w:t>
                        </w:r>
                        <w:r>
                          <w:rPr>
                            <w:rFonts w:ascii="Arial"/>
                            <w:color w:val="231F20"/>
                            <w:w w:val="75"/>
                            <w:sz w:val="12"/>
                          </w:rPr>
                          <w:t>based</w:t>
                        </w:r>
                        <w:r>
                          <w:rPr>
                            <w:rFonts w:ascii="Arial"/>
                            <w:color w:val="231F20"/>
                            <w:spacing w:val="5"/>
                            <w:sz w:val="12"/>
                          </w:rPr>
                          <w:t> </w:t>
                        </w:r>
                        <w:r>
                          <w:rPr>
                            <w:rFonts w:ascii="Arial"/>
                            <w:color w:val="231F20"/>
                            <w:w w:val="75"/>
                            <w:sz w:val="12"/>
                          </w:rPr>
                          <w:t>on</w:t>
                        </w:r>
                        <w:r>
                          <w:rPr>
                            <w:rFonts w:ascii="Arial"/>
                            <w:color w:val="231F20"/>
                            <w:spacing w:val="4"/>
                            <w:sz w:val="12"/>
                          </w:rPr>
                          <w:t> </w:t>
                        </w:r>
                        <w:r>
                          <w:rPr>
                            <w:rFonts w:ascii="Arial"/>
                            <w:color w:val="231F20"/>
                            <w:w w:val="75"/>
                            <w:sz w:val="12"/>
                          </w:rPr>
                          <w:t>data</w:t>
                        </w:r>
                        <w:r>
                          <w:rPr>
                            <w:rFonts w:ascii="Arial"/>
                            <w:color w:val="231F20"/>
                            <w:spacing w:val="5"/>
                            <w:sz w:val="12"/>
                          </w:rPr>
                          <w:t> </w:t>
                        </w:r>
                        <w:r>
                          <w:rPr>
                            <w:rFonts w:ascii="Arial"/>
                            <w:color w:val="231F20"/>
                            <w:w w:val="75"/>
                            <w:sz w:val="12"/>
                          </w:rPr>
                          <w:t>from</w:t>
                        </w:r>
                        <w:r>
                          <w:rPr>
                            <w:rFonts w:ascii="Arial"/>
                            <w:color w:val="231F20"/>
                            <w:spacing w:val="5"/>
                            <w:sz w:val="12"/>
                          </w:rPr>
                          <w:t> </w:t>
                        </w:r>
                        <w:r>
                          <w:rPr>
                            <w:rFonts w:ascii="Arial"/>
                            <w:color w:val="231F20"/>
                            <w:w w:val="75"/>
                            <w:sz w:val="12"/>
                          </w:rPr>
                          <w:t>MDS</w:t>
                        </w:r>
                        <w:r>
                          <w:rPr>
                            <w:rFonts w:ascii="Arial"/>
                            <w:color w:val="231F20"/>
                            <w:spacing w:val="-1"/>
                            <w:sz w:val="12"/>
                          </w:rPr>
                          <w:t> </w:t>
                        </w:r>
                        <w:r>
                          <w:rPr>
                            <w:rFonts w:ascii="Arial"/>
                            <w:color w:val="231F20"/>
                            <w:w w:val="75"/>
                            <w:sz w:val="12"/>
                          </w:rPr>
                          <w:t>Transmodal</w:t>
                        </w:r>
                        <w:r>
                          <w:rPr>
                            <w:rFonts w:ascii="Arial"/>
                            <w:color w:val="231F20"/>
                            <w:spacing w:val="5"/>
                            <w:sz w:val="12"/>
                          </w:rPr>
                          <w:t> </w:t>
                        </w:r>
                        <w:r>
                          <w:rPr>
                            <w:rFonts w:ascii="Arial"/>
                            <w:color w:val="231F20"/>
                            <w:w w:val="75"/>
                            <w:sz w:val="12"/>
                          </w:rPr>
                          <w:t>and</w:t>
                        </w:r>
                        <w:r>
                          <w:rPr>
                            <w:rFonts w:ascii="Arial"/>
                            <w:color w:val="231F20"/>
                            <w:spacing w:val="5"/>
                            <w:sz w:val="12"/>
                          </w:rPr>
                          <w:t> </w:t>
                        </w:r>
                        <w:r>
                          <w:rPr>
                            <w:rFonts w:ascii="Arial"/>
                            <w:color w:val="231F20"/>
                            <w:spacing w:val="-2"/>
                            <w:w w:val="75"/>
                            <w:sz w:val="12"/>
                          </w:rPr>
                          <w:t>MarineTraffic.</w:t>
                        </w:r>
                      </w:p>
                    </w:txbxContent>
                  </v:textbox>
                  <w10:wrap type="none"/>
                </v:shape>
                <w10:wrap type="none"/>
              </v:group>
            </w:pict>
          </mc:Fallback>
        </mc:AlternateContent>
      </w:r>
      <w:r>
        <w:rPr>
          <w:color w:val="231F20"/>
          <w:w w:val="90"/>
        </w:rPr>
        <w:t>The</w:t>
      </w:r>
      <w:r>
        <w:rPr>
          <w:color w:val="231F20"/>
          <w:spacing w:val="-5"/>
          <w:w w:val="90"/>
        </w:rPr>
        <w:t> </w:t>
      </w:r>
      <w:r>
        <w:rPr>
          <w:color w:val="231F20"/>
          <w:w w:val="90"/>
        </w:rPr>
        <w:t>port</w:t>
      </w:r>
      <w:r>
        <w:rPr>
          <w:color w:val="231F20"/>
          <w:spacing w:val="-5"/>
          <w:w w:val="90"/>
        </w:rPr>
        <w:t> </w:t>
      </w:r>
      <w:r>
        <w:rPr>
          <w:color w:val="231F20"/>
          <w:w w:val="90"/>
        </w:rPr>
        <w:t>call</w:t>
      </w:r>
      <w:r>
        <w:rPr>
          <w:color w:val="231F20"/>
          <w:spacing w:val="-5"/>
          <w:w w:val="90"/>
        </w:rPr>
        <w:t> </w:t>
      </w:r>
      <w:r>
        <w:rPr>
          <w:color w:val="231F20"/>
          <w:w w:val="90"/>
        </w:rPr>
        <w:t>dataset</w:t>
      </w:r>
      <w:r>
        <w:rPr>
          <w:color w:val="231F20"/>
          <w:spacing w:val="-5"/>
          <w:w w:val="90"/>
        </w:rPr>
        <w:t> </w:t>
      </w:r>
      <w:r>
        <w:rPr>
          <w:color w:val="231F20"/>
          <w:w w:val="90"/>
        </w:rPr>
        <w:t>from</w:t>
      </w:r>
      <w:r>
        <w:rPr>
          <w:color w:val="231F20"/>
          <w:spacing w:val="-5"/>
          <w:w w:val="90"/>
        </w:rPr>
        <w:t> </w:t>
      </w:r>
      <w:r>
        <w:rPr>
          <w:color w:val="231F20"/>
          <w:w w:val="90"/>
        </w:rPr>
        <w:t>MarineTraffic</w:t>
      </w:r>
      <w:r>
        <w:rPr>
          <w:color w:val="231F20"/>
          <w:spacing w:val="-5"/>
          <w:w w:val="90"/>
        </w:rPr>
        <w:t> </w:t>
      </w:r>
      <w:r>
        <w:rPr>
          <w:color w:val="231F20"/>
          <w:w w:val="90"/>
        </w:rPr>
        <w:t>is</w:t>
      </w:r>
      <w:r>
        <w:rPr>
          <w:color w:val="231F20"/>
          <w:spacing w:val="-5"/>
          <w:w w:val="90"/>
        </w:rPr>
        <w:t> </w:t>
      </w:r>
      <w:r>
        <w:rPr>
          <w:color w:val="231F20"/>
          <w:w w:val="90"/>
        </w:rPr>
        <w:t>a</w:t>
      </w:r>
      <w:r>
        <w:rPr>
          <w:color w:val="231F20"/>
          <w:spacing w:val="-5"/>
          <w:w w:val="90"/>
        </w:rPr>
        <w:t> </w:t>
      </w:r>
      <w:r>
        <w:rPr>
          <w:color w:val="231F20"/>
          <w:w w:val="90"/>
        </w:rPr>
        <w:t>col- </w:t>
      </w:r>
      <w:r>
        <w:rPr>
          <w:color w:val="231F20"/>
          <w:spacing w:val="-2"/>
        </w:rPr>
        <w:t>lection</w:t>
      </w:r>
      <w:r>
        <w:rPr>
          <w:color w:val="231F20"/>
          <w:spacing w:val="-9"/>
        </w:rPr>
        <w:t> </w:t>
      </w:r>
      <w:r>
        <w:rPr>
          <w:color w:val="231F20"/>
          <w:spacing w:val="-2"/>
        </w:rPr>
        <w:t>of</w:t>
      </w:r>
      <w:r>
        <w:rPr>
          <w:color w:val="231F20"/>
          <w:spacing w:val="-9"/>
        </w:rPr>
        <w:t> </w:t>
      </w:r>
      <w:r>
        <w:rPr>
          <w:color w:val="231F20"/>
          <w:spacing w:val="-2"/>
        </w:rPr>
        <w:t>records,</w:t>
      </w:r>
      <w:r>
        <w:rPr>
          <w:color w:val="231F20"/>
          <w:spacing w:val="-9"/>
        </w:rPr>
        <w:t> </w:t>
      </w:r>
      <w:r>
        <w:rPr>
          <w:color w:val="231F20"/>
          <w:spacing w:val="-2"/>
        </w:rPr>
        <w:t>processed</w:t>
      </w:r>
      <w:r>
        <w:rPr>
          <w:color w:val="231F20"/>
          <w:spacing w:val="-9"/>
        </w:rPr>
        <w:t> </w:t>
      </w:r>
      <w:r>
        <w:rPr>
          <w:color w:val="231F20"/>
          <w:spacing w:val="-2"/>
        </w:rPr>
        <w:t>from</w:t>
      </w:r>
      <w:r>
        <w:rPr>
          <w:color w:val="231F20"/>
          <w:spacing w:val="-9"/>
        </w:rPr>
        <w:t> </w:t>
      </w:r>
      <w:r>
        <w:rPr>
          <w:color w:val="231F20"/>
          <w:spacing w:val="-2"/>
        </w:rPr>
        <w:t>Automatic Identification</w:t>
      </w:r>
      <w:r>
        <w:rPr>
          <w:color w:val="231F20"/>
          <w:spacing w:val="-6"/>
        </w:rPr>
        <w:t> </w:t>
      </w:r>
      <w:r>
        <w:rPr>
          <w:color w:val="231F20"/>
          <w:spacing w:val="-2"/>
        </w:rPr>
        <w:t>System</w:t>
      </w:r>
      <w:r>
        <w:rPr>
          <w:color w:val="231F20"/>
          <w:spacing w:val="-6"/>
        </w:rPr>
        <w:t> </w:t>
      </w:r>
      <w:r>
        <w:rPr>
          <w:color w:val="231F20"/>
          <w:spacing w:val="-2"/>
        </w:rPr>
        <w:t>messages</w:t>
      </w:r>
      <w:r>
        <w:rPr>
          <w:color w:val="231F20"/>
          <w:spacing w:val="-6"/>
        </w:rPr>
        <w:t> </w:t>
      </w:r>
      <w:r>
        <w:rPr>
          <w:color w:val="231F20"/>
          <w:spacing w:val="-2"/>
        </w:rPr>
        <w:t>and</w:t>
      </w:r>
      <w:r>
        <w:rPr>
          <w:color w:val="231F20"/>
          <w:spacing w:val="-6"/>
        </w:rPr>
        <w:t> </w:t>
      </w:r>
      <w:r>
        <w:rPr>
          <w:color w:val="231F20"/>
          <w:spacing w:val="-2"/>
        </w:rPr>
        <w:t>enriched </w:t>
      </w:r>
      <w:r>
        <w:rPr>
          <w:color w:val="231F20"/>
          <w:spacing w:val="-4"/>
        </w:rPr>
        <w:t>with</w:t>
      </w:r>
      <w:r>
        <w:rPr>
          <w:color w:val="231F20"/>
          <w:spacing w:val="-10"/>
        </w:rPr>
        <w:t> </w:t>
      </w:r>
      <w:r>
        <w:rPr>
          <w:color w:val="231F20"/>
          <w:spacing w:val="-4"/>
        </w:rPr>
        <w:t>proprietary</w:t>
      </w:r>
      <w:r>
        <w:rPr>
          <w:color w:val="231F20"/>
          <w:spacing w:val="-9"/>
        </w:rPr>
        <w:t> </w:t>
      </w:r>
      <w:r>
        <w:rPr>
          <w:color w:val="231F20"/>
          <w:spacing w:val="-4"/>
        </w:rPr>
        <w:t>information</w:t>
      </w:r>
      <w:r>
        <w:rPr>
          <w:color w:val="231F20"/>
          <w:spacing w:val="-9"/>
        </w:rPr>
        <w:t> </w:t>
      </w:r>
      <w:r>
        <w:rPr>
          <w:color w:val="231F20"/>
          <w:spacing w:val="-4"/>
        </w:rPr>
        <w:t>on</w:t>
      </w:r>
      <w:r>
        <w:rPr>
          <w:color w:val="231F20"/>
          <w:spacing w:val="-9"/>
        </w:rPr>
        <w:t> </w:t>
      </w:r>
      <w:r>
        <w:rPr>
          <w:color w:val="231F20"/>
          <w:spacing w:val="-4"/>
        </w:rPr>
        <w:t>ports</w:t>
      </w:r>
      <w:r>
        <w:rPr>
          <w:color w:val="231F20"/>
          <w:spacing w:val="-9"/>
        </w:rPr>
        <w:t> </w:t>
      </w:r>
      <w:r>
        <w:rPr>
          <w:color w:val="231F20"/>
          <w:spacing w:val="-4"/>
        </w:rPr>
        <w:t>and</w:t>
      </w:r>
      <w:r>
        <w:rPr>
          <w:color w:val="231F20"/>
          <w:spacing w:val="-9"/>
        </w:rPr>
        <w:t> </w:t>
      </w:r>
      <w:r>
        <w:rPr>
          <w:color w:val="231F20"/>
          <w:spacing w:val="-4"/>
        </w:rPr>
        <w:t>ship </w:t>
      </w:r>
      <w:r>
        <w:rPr>
          <w:color w:val="231F20"/>
          <w:w w:val="90"/>
        </w:rPr>
        <w:t>datasets</w:t>
      </w:r>
      <w:r>
        <w:rPr>
          <w:color w:val="231F20"/>
          <w:spacing w:val="-2"/>
          <w:w w:val="90"/>
        </w:rPr>
        <w:t> </w:t>
      </w:r>
      <w:r>
        <w:rPr>
          <w:color w:val="231F20"/>
          <w:w w:val="90"/>
        </w:rPr>
        <w:t>sourced</w:t>
      </w:r>
      <w:r>
        <w:rPr>
          <w:color w:val="231F20"/>
          <w:spacing w:val="-2"/>
          <w:w w:val="90"/>
        </w:rPr>
        <w:t> </w:t>
      </w:r>
      <w:r>
        <w:rPr>
          <w:color w:val="231F20"/>
          <w:w w:val="90"/>
        </w:rPr>
        <w:t>from</w:t>
      </w:r>
      <w:r>
        <w:rPr>
          <w:color w:val="231F20"/>
          <w:spacing w:val="-2"/>
          <w:w w:val="90"/>
        </w:rPr>
        <w:t> </w:t>
      </w:r>
      <w:r>
        <w:rPr>
          <w:color w:val="231F20"/>
          <w:w w:val="90"/>
        </w:rPr>
        <w:t>the</w:t>
      </w:r>
      <w:r>
        <w:rPr>
          <w:color w:val="231F20"/>
          <w:spacing w:val="-2"/>
          <w:w w:val="90"/>
        </w:rPr>
        <w:t> </w:t>
      </w:r>
      <w:r>
        <w:rPr>
          <w:color w:val="231F20"/>
          <w:w w:val="90"/>
        </w:rPr>
        <w:t>International</w:t>
      </w:r>
      <w:r>
        <w:rPr>
          <w:color w:val="231F20"/>
          <w:spacing w:val="-2"/>
          <w:w w:val="90"/>
        </w:rPr>
        <w:t> </w:t>
      </w:r>
      <w:r>
        <w:rPr>
          <w:color w:val="231F20"/>
          <w:w w:val="90"/>
        </w:rPr>
        <w:t>Maritime </w:t>
      </w:r>
      <w:r>
        <w:rPr>
          <w:color w:val="231F20"/>
          <w:spacing w:val="-6"/>
        </w:rPr>
        <w:t>Organization registry. Ship types ranging from small</w:t>
      </w:r>
      <w:r>
        <w:rPr>
          <w:color w:val="231F20"/>
          <w:spacing w:val="-8"/>
        </w:rPr>
        <w:t> </w:t>
      </w:r>
      <w:r>
        <w:rPr>
          <w:color w:val="231F20"/>
          <w:spacing w:val="-6"/>
        </w:rPr>
        <w:t>feeders</w:t>
      </w:r>
      <w:r>
        <w:rPr>
          <w:color w:val="231F20"/>
          <w:spacing w:val="-7"/>
        </w:rPr>
        <w:t> </w:t>
      </w:r>
      <w:r>
        <w:rPr>
          <w:color w:val="231F20"/>
          <w:spacing w:val="-6"/>
        </w:rPr>
        <w:t>with</w:t>
      </w:r>
      <w:r>
        <w:rPr>
          <w:color w:val="231F20"/>
          <w:spacing w:val="-7"/>
        </w:rPr>
        <w:t> </w:t>
      </w:r>
      <w:r>
        <w:rPr>
          <w:color w:val="231F20"/>
          <w:spacing w:val="-6"/>
        </w:rPr>
        <w:t>capacity</w:t>
      </w:r>
      <w:r>
        <w:rPr>
          <w:color w:val="231F20"/>
          <w:spacing w:val="-7"/>
        </w:rPr>
        <w:t> </w:t>
      </w:r>
      <w:r>
        <w:rPr>
          <w:color w:val="231F20"/>
          <w:spacing w:val="-6"/>
        </w:rPr>
        <w:t>up</w:t>
      </w:r>
      <w:r>
        <w:rPr>
          <w:color w:val="231F20"/>
          <w:spacing w:val="-7"/>
        </w:rPr>
        <w:t> </w:t>
      </w:r>
      <w:r>
        <w:rPr>
          <w:color w:val="231F20"/>
          <w:spacing w:val="-6"/>
        </w:rPr>
        <w:t>to</w:t>
      </w:r>
      <w:r>
        <w:rPr>
          <w:color w:val="231F20"/>
          <w:spacing w:val="-7"/>
        </w:rPr>
        <w:t> </w:t>
      </w:r>
      <w:r>
        <w:rPr>
          <w:color w:val="231F20"/>
          <w:spacing w:val="-6"/>
        </w:rPr>
        <w:t>1,000</w:t>
      </w:r>
      <w:r>
        <w:rPr>
          <w:color w:val="231F20"/>
          <w:spacing w:val="-7"/>
        </w:rPr>
        <w:t> </w:t>
      </w:r>
      <w:r>
        <w:rPr>
          <w:color w:val="231F20"/>
          <w:spacing w:val="-6"/>
        </w:rPr>
        <w:t>twenty- </w:t>
      </w:r>
      <w:r>
        <w:rPr>
          <w:color w:val="231F20"/>
        </w:rPr>
        <w:t>foot</w:t>
      </w:r>
      <w:r>
        <w:rPr>
          <w:color w:val="231F20"/>
          <w:spacing w:val="-1"/>
        </w:rPr>
        <w:t> </w:t>
      </w:r>
      <w:r>
        <w:rPr>
          <w:color w:val="231F20"/>
        </w:rPr>
        <w:t>equivalent</w:t>
      </w:r>
      <w:r>
        <w:rPr>
          <w:color w:val="231F20"/>
          <w:spacing w:val="-1"/>
        </w:rPr>
        <w:t> </w:t>
      </w:r>
      <w:r>
        <w:rPr>
          <w:color w:val="231F20"/>
        </w:rPr>
        <w:t>units</w:t>
      </w:r>
      <w:r>
        <w:rPr>
          <w:color w:val="231F20"/>
          <w:spacing w:val="-1"/>
        </w:rPr>
        <w:t> </w:t>
      </w:r>
      <w:r>
        <w:rPr>
          <w:color w:val="231F20"/>
        </w:rPr>
        <w:t>to</w:t>
      </w:r>
      <w:r>
        <w:rPr>
          <w:color w:val="231F20"/>
          <w:spacing w:val="-1"/>
        </w:rPr>
        <w:t> </w:t>
      </w:r>
      <w:r>
        <w:rPr>
          <w:color w:val="231F20"/>
        </w:rPr>
        <w:t>ultra</w:t>
      </w:r>
      <w:r>
        <w:rPr>
          <w:color w:val="231F20"/>
          <w:spacing w:val="-1"/>
        </w:rPr>
        <w:t> </w:t>
      </w:r>
      <w:r>
        <w:rPr>
          <w:color w:val="231F20"/>
        </w:rPr>
        <w:t>large</w:t>
      </w:r>
      <w:r>
        <w:rPr>
          <w:color w:val="231F20"/>
          <w:spacing w:val="-1"/>
        </w:rPr>
        <w:t> </w:t>
      </w:r>
      <w:r>
        <w:rPr>
          <w:color w:val="231F20"/>
        </w:rPr>
        <w:t>container </w:t>
      </w:r>
      <w:r>
        <w:rPr>
          <w:color w:val="231F20"/>
          <w:spacing w:val="-6"/>
        </w:rPr>
        <w:t>vessels</w:t>
      </w:r>
      <w:r>
        <w:rPr>
          <w:color w:val="231F20"/>
          <w:spacing w:val="-8"/>
        </w:rPr>
        <w:t> </w:t>
      </w:r>
      <w:r>
        <w:rPr>
          <w:color w:val="231F20"/>
          <w:spacing w:val="-6"/>
        </w:rPr>
        <w:t>with</w:t>
      </w:r>
      <w:r>
        <w:rPr>
          <w:color w:val="231F20"/>
          <w:spacing w:val="-7"/>
        </w:rPr>
        <w:t> </w:t>
      </w:r>
      <w:r>
        <w:rPr>
          <w:color w:val="231F20"/>
          <w:spacing w:val="-6"/>
        </w:rPr>
        <w:t>capacity</w:t>
      </w:r>
      <w:r>
        <w:rPr>
          <w:color w:val="231F20"/>
          <w:spacing w:val="-7"/>
        </w:rPr>
        <w:t> </w:t>
      </w:r>
      <w:r>
        <w:rPr>
          <w:color w:val="231F20"/>
          <w:spacing w:val="-6"/>
        </w:rPr>
        <w:t>starting</w:t>
      </w:r>
      <w:r>
        <w:rPr>
          <w:color w:val="231F20"/>
          <w:spacing w:val="-7"/>
        </w:rPr>
        <w:t> </w:t>
      </w:r>
      <w:r>
        <w:rPr>
          <w:color w:val="231F20"/>
          <w:spacing w:val="-6"/>
        </w:rPr>
        <w:t>at</w:t>
      </w:r>
      <w:r>
        <w:rPr>
          <w:color w:val="231F20"/>
          <w:spacing w:val="-7"/>
        </w:rPr>
        <w:t> </w:t>
      </w:r>
      <w:r>
        <w:rPr>
          <w:color w:val="231F20"/>
          <w:spacing w:val="-6"/>
        </w:rPr>
        <w:t>14,501</w:t>
      </w:r>
      <w:r>
        <w:rPr>
          <w:color w:val="231F20"/>
          <w:spacing w:val="-7"/>
        </w:rPr>
        <w:t> </w:t>
      </w:r>
      <w:r>
        <w:rPr>
          <w:color w:val="231F20"/>
          <w:spacing w:val="-6"/>
        </w:rPr>
        <w:t>twenty- </w:t>
      </w:r>
      <w:r>
        <w:rPr>
          <w:color w:val="231F20"/>
          <w:spacing w:val="-8"/>
        </w:rPr>
        <w:t>foot</w:t>
      </w:r>
      <w:r>
        <w:rPr>
          <w:color w:val="231F20"/>
        </w:rPr>
        <w:t> </w:t>
      </w:r>
      <w:r>
        <w:rPr>
          <w:color w:val="231F20"/>
          <w:spacing w:val="-8"/>
        </w:rPr>
        <w:t>equivalent</w:t>
      </w:r>
      <w:r>
        <w:rPr>
          <w:color w:val="231F20"/>
        </w:rPr>
        <w:t> </w:t>
      </w:r>
      <w:r>
        <w:rPr>
          <w:color w:val="231F20"/>
          <w:spacing w:val="-8"/>
        </w:rPr>
        <w:t>units.</w:t>
      </w:r>
      <w:r>
        <w:rPr>
          <w:color w:val="231F20"/>
        </w:rPr>
        <w:t> </w:t>
      </w:r>
      <w:r>
        <w:rPr>
          <w:color w:val="231F20"/>
          <w:spacing w:val="-8"/>
        </w:rPr>
        <w:t>The</w:t>
      </w:r>
      <w:r>
        <w:rPr>
          <w:color w:val="231F20"/>
        </w:rPr>
        <w:t> </w:t>
      </w:r>
      <w:r>
        <w:rPr>
          <w:color w:val="231F20"/>
          <w:spacing w:val="-8"/>
        </w:rPr>
        <w:t>information</w:t>
      </w:r>
      <w:r>
        <w:rPr>
          <w:color w:val="231F20"/>
        </w:rPr>
        <w:t> </w:t>
      </w:r>
      <w:r>
        <w:rPr>
          <w:color w:val="231F20"/>
          <w:spacing w:val="-8"/>
        </w:rPr>
        <w:t>available </w:t>
      </w:r>
      <w:r>
        <w:rPr>
          <w:color w:val="231F20"/>
          <w:spacing w:val="-6"/>
        </w:rPr>
        <w:t>includes timestamps of port arrivals and depar- tures</w:t>
      </w:r>
      <w:r>
        <w:rPr>
          <w:color w:val="231F20"/>
          <w:spacing w:val="-8"/>
        </w:rPr>
        <w:t> </w:t>
      </w:r>
      <w:r>
        <w:rPr>
          <w:color w:val="231F20"/>
          <w:spacing w:val="-6"/>
        </w:rPr>
        <w:t>reported</w:t>
      </w:r>
      <w:r>
        <w:rPr>
          <w:color w:val="231F20"/>
          <w:spacing w:val="-7"/>
        </w:rPr>
        <w:t> </w:t>
      </w:r>
      <w:r>
        <w:rPr>
          <w:color w:val="231F20"/>
          <w:spacing w:val="-6"/>
        </w:rPr>
        <w:t>through</w:t>
      </w:r>
      <w:r>
        <w:rPr>
          <w:color w:val="231F20"/>
          <w:spacing w:val="-7"/>
        </w:rPr>
        <w:t> </w:t>
      </w:r>
      <w:r>
        <w:rPr>
          <w:color w:val="231F20"/>
          <w:spacing w:val="-6"/>
        </w:rPr>
        <w:t>Automatic</w:t>
      </w:r>
      <w:r>
        <w:rPr>
          <w:color w:val="231F20"/>
          <w:spacing w:val="-7"/>
        </w:rPr>
        <w:t> </w:t>
      </w:r>
      <w:r>
        <w:rPr>
          <w:color w:val="231F20"/>
          <w:spacing w:val="-6"/>
        </w:rPr>
        <w:t>Identification </w:t>
      </w:r>
      <w:r>
        <w:rPr>
          <w:color w:val="231F20"/>
          <w:spacing w:val="-2"/>
          <w:w w:val="90"/>
        </w:rPr>
        <w:t>System</w:t>
      </w:r>
      <w:r>
        <w:rPr>
          <w:color w:val="231F20"/>
          <w:spacing w:val="-17"/>
          <w:w w:val="90"/>
        </w:rPr>
        <w:t> </w:t>
      </w:r>
      <w:r>
        <w:rPr>
          <w:color w:val="231F20"/>
          <w:spacing w:val="-2"/>
          <w:w w:val="90"/>
        </w:rPr>
        <w:t>signals</w:t>
      </w:r>
      <w:r>
        <w:rPr>
          <w:color w:val="231F20"/>
          <w:spacing w:val="-17"/>
          <w:w w:val="90"/>
        </w:rPr>
        <w:t> </w:t>
      </w:r>
      <w:r>
        <w:rPr>
          <w:color w:val="231F20"/>
          <w:spacing w:val="-2"/>
          <w:w w:val="90"/>
        </w:rPr>
        <w:t>via</w:t>
      </w:r>
      <w:r>
        <w:rPr>
          <w:color w:val="231F20"/>
          <w:spacing w:val="-17"/>
          <w:w w:val="90"/>
        </w:rPr>
        <w:t> </w:t>
      </w:r>
      <w:r>
        <w:rPr>
          <w:color w:val="231F20"/>
          <w:spacing w:val="-2"/>
          <w:w w:val="90"/>
        </w:rPr>
        <w:t>terrestrial</w:t>
      </w:r>
      <w:r>
        <w:rPr>
          <w:color w:val="231F20"/>
          <w:spacing w:val="-16"/>
          <w:w w:val="90"/>
        </w:rPr>
        <w:t> </w:t>
      </w:r>
      <w:r>
        <w:rPr>
          <w:color w:val="231F20"/>
          <w:spacing w:val="-2"/>
          <w:w w:val="90"/>
        </w:rPr>
        <w:t>and</w:t>
      </w:r>
      <w:r>
        <w:rPr>
          <w:color w:val="231F20"/>
          <w:spacing w:val="-17"/>
          <w:w w:val="90"/>
        </w:rPr>
        <w:t> </w:t>
      </w:r>
      <w:r>
        <w:rPr>
          <w:color w:val="231F20"/>
          <w:spacing w:val="-2"/>
          <w:w w:val="90"/>
        </w:rPr>
        <w:t>satellite</w:t>
      </w:r>
      <w:r>
        <w:rPr>
          <w:color w:val="231F20"/>
          <w:spacing w:val="-17"/>
          <w:w w:val="90"/>
        </w:rPr>
        <w:t> </w:t>
      </w:r>
      <w:r>
        <w:rPr>
          <w:color w:val="231F20"/>
          <w:spacing w:val="-4"/>
          <w:w w:val="90"/>
        </w:rPr>
        <w:t>receivers.</w:t>
      </w:r>
    </w:p>
    <w:p>
      <w:pPr>
        <w:pStyle w:val="BodyText"/>
        <w:spacing w:line="268" w:lineRule="auto" w:before="97"/>
        <w:ind w:left="199" w:right="657" w:firstLine="300"/>
        <w:jc w:val="both"/>
      </w:pPr>
      <w:r>
        <w:rPr/>
        <w:br w:type="column"/>
      </w:r>
      <w:r>
        <w:rPr>
          <w:color w:val="231F20"/>
        </w:rPr>
        <w:t>The dataset was prepared using Marine- </w:t>
      </w:r>
      <w:r>
        <w:rPr>
          <w:color w:val="231F20"/>
          <w:w w:val="90"/>
        </w:rPr>
        <w:t>Traffic data on port calls that covered more than </w:t>
      </w:r>
      <w:r>
        <w:rPr>
          <w:color w:val="231F20"/>
          <w:spacing w:val="-4"/>
        </w:rPr>
        <w:t>5,000</w:t>
      </w:r>
      <w:r>
        <w:rPr>
          <w:color w:val="231F20"/>
          <w:spacing w:val="-7"/>
        </w:rPr>
        <w:t> </w:t>
      </w:r>
      <w:r>
        <w:rPr>
          <w:color w:val="231F20"/>
          <w:spacing w:val="-4"/>
        </w:rPr>
        <w:t>container</w:t>
      </w:r>
      <w:r>
        <w:rPr>
          <w:color w:val="231F20"/>
          <w:spacing w:val="-7"/>
        </w:rPr>
        <w:t> </w:t>
      </w:r>
      <w:r>
        <w:rPr>
          <w:color w:val="231F20"/>
          <w:spacing w:val="-4"/>
        </w:rPr>
        <w:t>ships</w:t>
      </w:r>
      <w:r>
        <w:rPr>
          <w:color w:val="231F20"/>
          <w:spacing w:val="-7"/>
        </w:rPr>
        <w:t> </w:t>
      </w:r>
      <w:r>
        <w:rPr>
          <w:color w:val="231F20"/>
          <w:spacing w:val="-4"/>
        </w:rPr>
        <w:t>calling</w:t>
      </w:r>
      <w:r>
        <w:rPr>
          <w:color w:val="231F20"/>
          <w:spacing w:val="-7"/>
        </w:rPr>
        <w:t> </w:t>
      </w:r>
      <w:r>
        <w:rPr>
          <w:color w:val="231F20"/>
          <w:spacing w:val="-4"/>
        </w:rPr>
        <w:t>at</w:t>
      </w:r>
      <w:r>
        <w:rPr>
          <w:color w:val="231F20"/>
          <w:spacing w:val="-7"/>
        </w:rPr>
        <w:t> </w:t>
      </w:r>
      <w:r>
        <w:rPr>
          <w:color w:val="231F20"/>
          <w:spacing w:val="-4"/>
        </w:rPr>
        <w:t>more</w:t>
      </w:r>
      <w:r>
        <w:rPr>
          <w:color w:val="231F20"/>
          <w:spacing w:val="-7"/>
        </w:rPr>
        <w:t> </w:t>
      </w:r>
      <w:r>
        <w:rPr>
          <w:color w:val="231F20"/>
          <w:spacing w:val="-4"/>
        </w:rPr>
        <w:t>than</w:t>
      </w:r>
      <w:r>
        <w:rPr>
          <w:color w:val="231F20"/>
          <w:spacing w:val="-7"/>
        </w:rPr>
        <w:t> </w:t>
      </w:r>
      <w:r>
        <w:rPr>
          <w:color w:val="231F20"/>
          <w:spacing w:val="-4"/>
        </w:rPr>
        <w:t>800 </w:t>
      </w:r>
      <w:r>
        <w:rPr>
          <w:color w:val="231F20"/>
          <w:spacing w:val="-6"/>
        </w:rPr>
        <w:t>ports</w:t>
      </w:r>
      <w:r>
        <w:rPr>
          <w:color w:val="231F20"/>
          <w:spacing w:val="-8"/>
        </w:rPr>
        <w:t> </w:t>
      </w:r>
      <w:r>
        <w:rPr>
          <w:color w:val="231F20"/>
          <w:spacing w:val="-6"/>
        </w:rPr>
        <w:t>worldwide</w:t>
      </w:r>
      <w:r>
        <w:rPr>
          <w:color w:val="231F20"/>
          <w:spacing w:val="-7"/>
        </w:rPr>
        <w:t> </w:t>
      </w:r>
      <w:r>
        <w:rPr>
          <w:color w:val="231F20"/>
          <w:spacing w:val="-6"/>
        </w:rPr>
        <w:t>during</w:t>
      </w:r>
      <w:r>
        <w:rPr>
          <w:color w:val="231F20"/>
          <w:spacing w:val="-7"/>
        </w:rPr>
        <w:t> </w:t>
      </w:r>
      <w:r>
        <w:rPr>
          <w:color w:val="231F20"/>
          <w:spacing w:val="-6"/>
        </w:rPr>
        <w:t>the</w:t>
      </w:r>
      <w:r>
        <w:rPr>
          <w:color w:val="231F20"/>
          <w:spacing w:val="-7"/>
        </w:rPr>
        <w:t> </w:t>
      </w:r>
      <w:r>
        <w:rPr>
          <w:color w:val="231F20"/>
          <w:spacing w:val="-6"/>
        </w:rPr>
        <w:t>first</w:t>
      </w:r>
      <w:r>
        <w:rPr>
          <w:color w:val="231F20"/>
          <w:spacing w:val="-7"/>
        </w:rPr>
        <w:t> </w:t>
      </w:r>
      <w:r>
        <w:rPr>
          <w:color w:val="231F20"/>
          <w:spacing w:val="-6"/>
        </w:rPr>
        <w:t>two</w:t>
      </w:r>
      <w:r>
        <w:rPr>
          <w:color w:val="231F20"/>
          <w:spacing w:val="-7"/>
        </w:rPr>
        <w:t> </w:t>
      </w:r>
      <w:r>
        <w:rPr>
          <w:color w:val="231F20"/>
          <w:spacing w:val="-6"/>
        </w:rPr>
        <w:t>quarters</w:t>
      </w:r>
      <w:r>
        <w:rPr>
          <w:color w:val="231F20"/>
          <w:spacing w:val="-7"/>
        </w:rPr>
        <w:t> </w:t>
      </w:r>
      <w:r>
        <w:rPr>
          <w:color w:val="231F20"/>
          <w:spacing w:val="-6"/>
        </w:rPr>
        <w:t>of </w:t>
      </w:r>
      <w:r>
        <w:rPr>
          <w:color w:val="231F20"/>
          <w:spacing w:val="-4"/>
        </w:rPr>
        <w:t>2022.</w:t>
      </w:r>
      <w:r>
        <w:rPr>
          <w:color w:val="231F20"/>
          <w:spacing w:val="-9"/>
        </w:rPr>
        <w:t> </w:t>
      </w:r>
      <w:r>
        <w:rPr>
          <w:color w:val="231F20"/>
          <w:spacing w:val="-4"/>
        </w:rPr>
        <w:t>Based</w:t>
      </w:r>
      <w:r>
        <w:rPr>
          <w:color w:val="231F20"/>
          <w:spacing w:val="-9"/>
        </w:rPr>
        <w:t> </w:t>
      </w:r>
      <w:r>
        <w:rPr>
          <w:color w:val="231F20"/>
          <w:spacing w:val="-4"/>
        </w:rPr>
        <w:t>on</w:t>
      </w:r>
      <w:r>
        <w:rPr>
          <w:color w:val="231F20"/>
          <w:spacing w:val="-9"/>
        </w:rPr>
        <w:t> </w:t>
      </w:r>
      <w:r>
        <w:rPr>
          <w:color w:val="231F20"/>
          <w:spacing w:val="-4"/>
        </w:rPr>
        <w:t>estimated</w:t>
      </w:r>
      <w:r>
        <w:rPr>
          <w:color w:val="231F20"/>
          <w:spacing w:val="-9"/>
        </w:rPr>
        <w:t> </w:t>
      </w:r>
      <w:r>
        <w:rPr>
          <w:color w:val="231F20"/>
          <w:spacing w:val="-4"/>
        </w:rPr>
        <w:t>time</w:t>
      </w:r>
      <w:r>
        <w:rPr>
          <w:color w:val="231F20"/>
          <w:spacing w:val="-9"/>
        </w:rPr>
        <w:t> </w:t>
      </w:r>
      <w:r>
        <w:rPr>
          <w:color w:val="231F20"/>
          <w:spacing w:val="-4"/>
        </w:rPr>
        <w:t>differences</w:t>
      </w:r>
      <w:r>
        <w:rPr>
          <w:color w:val="231F20"/>
          <w:spacing w:val="-9"/>
        </w:rPr>
        <w:t> </w:t>
      </w:r>
      <w:r>
        <w:rPr>
          <w:color w:val="231F20"/>
          <w:spacing w:val="-4"/>
        </w:rPr>
        <w:t>be- tween recorded arrivals and departures to port </w:t>
      </w:r>
      <w:r>
        <w:rPr>
          <w:color w:val="231F20"/>
        </w:rPr>
        <w:t>facilities,</w:t>
      </w:r>
      <w:r>
        <w:rPr>
          <w:color w:val="231F20"/>
          <w:spacing w:val="-14"/>
        </w:rPr>
        <w:t> </w:t>
      </w:r>
      <w:r>
        <w:rPr>
          <w:color w:val="231F20"/>
        </w:rPr>
        <w:t>an</w:t>
      </w:r>
      <w:r>
        <w:rPr>
          <w:color w:val="231F20"/>
          <w:spacing w:val="-13"/>
        </w:rPr>
        <w:t> </w:t>
      </w:r>
      <w:r>
        <w:rPr>
          <w:color w:val="231F20"/>
        </w:rPr>
        <w:t>indicator</w:t>
      </w:r>
      <w:r>
        <w:rPr>
          <w:color w:val="231F20"/>
          <w:spacing w:val="-13"/>
        </w:rPr>
        <w:t> </w:t>
      </w:r>
      <w:r>
        <w:rPr>
          <w:color w:val="231F20"/>
        </w:rPr>
        <w:t>of</w:t>
      </w:r>
      <w:r>
        <w:rPr>
          <w:color w:val="231F20"/>
          <w:spacing w:val="-13"/>
        </w:rPr>
        <w:t> </w:t>
      </w:r>
      <w:r>
        <w:rPr>
          <w:color w:val="231F20"/>
        </w:rPr>
        <w:t>turnaround</w:t>
      </w:r>
      <w:r>
        <w:rPr>
          <w:color w:val="231F20"/>
          <w:spacing w:val="-13"/>
        </w:rPr>
        <w:t> </w:t>
      </w:r>
      <w:r>
        <w:rPr>
          <w:color w:val="231F20"/>
        </w:rPr>
        <w:t>time</w:t>
      </w:r>
      <w:r>
        <w:rPr>
          <w:color w:val="231F20"/>
          <w:spacing w:val="-13"/>
        </w:rPr>
        <w:t> </w:t>
      </w:r>
      <w:r>
        <w:rPr>
          <w:color w:val="231F20"/>
        </w:rPr>
        <w:t>per port was constructed.</w:t>
      </w:r>
    </w:p>
    <w:p>
      <w:pPr>
        <w:pStyle w:val="BodyText"/>
        <w:spacing w:line="266" w:lineRule="auto"/>
        <w:ind w:left="199" w:right="659" w:firstLine="300"/>
        <w:jc w:val="both"/>
        <w:rPr>
          <w:sz w:val="14"/>
        </w:rPr>
      </w:pPr>
      <w:r>
        <w:rPr>
          <w:color w:val="231F20"/>
          <w:spacing w:val="-6"/>
        </w:rPr>
        <w:t>The</w:t>
      </w:r>
      <w:r>
        <w:rPr>
          <w:color w:val="231F20"/>
          <w:spacing w:val="-8"/>
        </w:rPr>
        <w:t> </w:t>
      </w:r>
      <w:r>
        <w:rPr>
          <w:color w:val="231F20"/>
          <w:spacing w:val="-6"/>
        </w:rPr>
        <w:t>data</w:t>
      </w:r>
      <w:r>
        <w:rPr>
          <w:color w:val="231F20"/>
          <w:spacing w:val="-7"/>
        </w:rPr>
        <w:t> </w:t>
      </w:r>
      <w:r>
        <w:rPr>
          <w:color w:val="231F20"/>
          <w:spacing w:val="-6"/>
        </w:rPr>
        <w:t>from</w:t>
      </w:r>
      <w:r>
        <w:rPr>
          <w:color w:val="231F20"/>
          <w:spacing w:val="-7"/>
        </w:rPr>
        <w:t> </w:t>
      </w:r>
      <w:r>
        <w:rPr>
          <w:color w:val="231F20"/>
          <w:spacing w:val="-6"/>
        </w:rPr>
        <w:t>MDS</w:t>
      </w:r>
      <w:r>
        <w:rPr>
          <w:color w:val="231F20"/>
          <w:spacing w:val="-7"/>
        </w:rPr>
        <w:t> </w:t>
      </w:r>
      <w:r>
        <w:rPr>
          <w:color w:val="231F20"/>
          <w:spacing w:val="-6"/>
        </w:rPr>
        <w:t>Transmodal</w:t>
      </w:r>
      <w:r>
        <w:rPr>
          <w:color w:val="231F20"/>
          <w:spacing w:val="-7"/>
        </w:rPr>
        <w:t> </w:t>
      </w:r>
      <w:r>
        <w:rPr>
          <w:color w:val="231F20"/>
          <w:spacing w:val="-6"/>
        </w:rPr>
        <w:t>and</w:t>
      </w:r>
      <w:r>
        <w:rPr>
          <w:color w:val="231F20"/>
          <w:spacing w:val="-7"/>
        </w:rPr>
        <w:t> </w:t>
      </w:r>
      <w:r>
        <w:rPr>
          <w:color w:val="231F20"/>
          <w:spacing w:val="-6"/>
        </w:rPr>
        <w:t>Mari- </w:t>
      </w:r>
      <w:r>
        <w:rPr>
          <w:color w:val="231F20"/>
          <w:w w:val="90"/>
        </w:rPr>
        <w:t>neTraffic cover 52 percent of World Bank mem- </w:t>
      </w:r>
      <w:r>
        <w:rPr>
          <w:color w:val="231F20"/>
          <w:spacing w:val="-6"/>
        </w:rPr>
        <w:t>bers</w:t>
      </w:r>
      <w:r>
        <w:rPr>
          <w:color w:val="231F20"/>
          <w:spacing w:val="-8"/>
        </w:rPr>
        <w:t> </w:t>
      </w:r>
      <w:r>
        <w:rPr>
          <w:color w:val="231F20"/>
          <w:spacing w:val="-6"/>
        </w:rPr>
        <w:t>(figure</w:t>
      </w:r>
      <w:r>
        <w:rPr>
          <w:color w:val="231F20"/>
          <w:spacing w:val="-7"/>
        </w:rPr>
        <w:t> </w:t>
      </w:r>
      <w:r>
        <w:rPr>
          <w:color w:val="231F20"/>
          <w:spacing w:val="-6"/>
        </w:rPr>
        <w:t>A4.6).</w:t>
      </w:r>
      <w:r>
        <w:rPr>
          <w:color w:val="231F20"/>
          <w:spacing w:val="-7"/>
        </w:rPr>
        <w:t> </w:t>
      </w:r>
      <w:r>
        <w:rPr>
          <w:color w:val="231F20"/>
          <w:spacing w:val="-6"/>
        </w:rPr>
        <w:t>The</w:t>
      </w:r>
      <w:r>
        <w:rPr>
          <w:color w:val="231F20"/>
          <w:spacing w:val="-7"/>
        </w:rPr>
        <w:t> </w:t>
      </w:r>
      <w:r>
        <w:rPr>
          <w:color w:val="231F20"/>
          <w:spacing w:val="-6"/>
        </w:rPr>
        <w:t>United</w:t>
      </w:r>
      <w:r>
        <w:rPr>
          <w:color w:val="231F20"/>
          <w:spacing w:val="-7"/>
        </w:rPr>
        <w:t> </w:t>
      </w:r>
      <w:r>
        <w:rPr>
          <w:color w:val="231F20"/>
          <w:spacing w:val="-6"/>
        </w:rPr>
        <w:t>Nations</w:t>
      </w:r>
      <w:r>
        <w:rPr>
          <w:color w:val="231F20"/>
          <w:spacing w:val="-7"/>
        </w:rPr>
        <w:t> </w:t>
      </w:r>
      <w:r>
        <w:rPr>
          <w:color w:val="231F20"/>
          <w:spacing w:val="-6"/>
        </w:rPr>
        <w:t>Confer- ence on Trade and Development uses the same </w:t>
      </w:r>
      <w:r>
        <w:rPr>
          <w:color w:val="231F20"/>
        </w:rPr>
        <w:t>sources</w:t>
      </w:r>
      <w:r>
        <w:rPr>
          <w:color w:val="231F20"/>
          <w:spacing w:val="-12"/>
        </w:rPr>
        <w:t> </w:t>
      </w:r>
      <w:r>
        <w:rPr>
          <w:color w:val="231F20"/>
        </w:rPr>
        <w:t>when</w:t>
      </w:r>
      <w:r>
        <w:rPr>
          <w:color w:val="231F20"/>
          <w:spacing w:val="-12"/>
        </w:rPr>
        <w:t> </w:t>
      </w:r>
      <w:r>
        <w:rPr>
          <w:color w:val="231F20"/>
        </w:rPr>
        <w:t>producing</w:t>
      </w:r>
      <w:r>
        <w:rPr>
          <w:color w:val="231F20"/>
          <w:spacing w:val="-12"/>
        </w:rPr>
        <w:t> </w:t>
      </w:r>
      <w:r>
        <w:rPr>
          <w:color w:val="231F20"/>
        </w:rPr>
        <w:t>the</w:t>
      </w:r>
      <w:r>
        <w:rPr>
          <w:color w:val="231F20"/>
          <w:spacing w:val="-12"/>
        </w:rPr>
        <w:t> </w:t>
      </w:r>
      <w:r>
        <w:rPr>
          <w:color w:val="231F20"/>
        </w:rPr>
        <w:t>Liner</w:t>
      </w:r>
      <w:r>
        <w:rPr>
          <w:color w:val="231F20"/>
          <w:spacing w:val="-12"/>
        </w:rPr>
        <w:t> </w:t>
      </w:r>
      <w:r>
        <w:rPr>
          <w:color w:val="231F20"/>
        </w:rPr>
        <w:t>Container </w:t>
      </w:r>
      <w:r>
        <w:rPr>
          <w:color w:val="231F20"/>
          <w:spacing w:val="-4"/>
        </w:rPr>
        <w:t>Shipping</w:t>
      </w:r>
      <w:r>
        <w:rPr>
          <w:color w:val="231F20"/>
          <w:spacing w:val="-10"/>
        </w:rPr>
        <w:t> </w:t>
      </w:r>
      <w:r>
        <w:rPr>
          <w:color w:val="231F20"/>
          <w:spacing w:val="-4"/>
        </w:rPr>
        <w:t>Connectivity</w:t>
      </w:r>
      <w:r>
        <w:rPr>
          <w:color w:val="231F20"/>
          <w:spacing w:val="-9"/>
        </w:rPr>
        <w:t> </w:t>
      </w:r>
      <w:r>
        <w:rPr>
          <w:color w:val="231F20"/>
          <w:spacing w:val="-4"/>
        </w:rPr>
        <w:t>Index</w:t>
      </w:r>
      <w:r>
        <w:rPr>
          <w:color w:val="231F20"/>
          <w:spacing w:val="-9"/>
        </w:rPr>
        <w:t> </w:t>
      </w:r>
      <w:r>
        <w:rPr>
          <w:color w:val="231F20"/>
          <w:spacing w:val="-4"/>
        </w:rPr>
        <w:t>and</w:t>
      </w:r>
      <w:r>
        <w:rPr>
          <w:color w:val="231F20"/>
          <w:spacing w:val="-9"/>
        </w:rPr>
        <w:t> </w:t>
      </w:r>
      <w:r>
        <w:rPr>
          <w:color w:val="231F20"/>
          <w:spacing w:val="-4"/>
        </w:rPr>
        <w:t>its</w:t>
      </w:r>
      <w:r>
        <w:rPr>
          <w:color w:val="231F20"/>
          <w:spacing w:val="-9"/>
        </w:rPr>
        <w:t> </w:t>
      </w:r>
      <w:r>
        <w:rPr>
          <w:color w:val="231F20"/>
          <w:spacing w:val="-4"/>
        </w:rPr>
        <w:t>own</w:t>
      </w:r>
      <w:r>
        <w:rPr>
          <w:color w:val="231F20"/>
          <w:spacing w:val="-9"/>
        </w:rPr>
        <w:t> </w:t>
      </w:r>
      <w:r>
        <w:rPr>
          <w:color w:val="231F20"/>
          <w:spacing w:val="-4"/>
        </w:rPr>
        <w:t>indi- </w:t>
      </w:r>
      <w:r>
        <w:rPr>
          <w:color w:val="231F20"/>
        </w:rPr>
        <w:t>cator of turnaround time.</w:t>
      </w:r>
      <w:r>
        <w:rPr>
          <w:color w:val="231F20"/>
          <w:position w:val="7"/>
          <w:sz w:val="14"/>
        </w:rPr>
        <w:t>5</w:t>
      </w:r>
    </w:p>
    <w:p>
      <w:pPr>
        <w:spacing w:after="0" w:line="266" w:lineRule="auto"/>
        <w:jc w:val="both"/>
        <w:rPr>
          <w:sz w:val="14"/>
        </w:rPr>
        <w:sectPr>
          <w:type w:val="continuous"/>
          <w:pgSz w:w="12240" w:h="15840"/>
          <w:pgMar w:header="370" w:footer="548" w:top="1140" w:bottom="280" w:left="0" w:right="540"/>
          <w:cols w:num="2" w:equalWidth="0">
            <w:col w:w="7081" w:space="40"/>
            <w:col w:w="457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3"/>
        <w:rPr>
          <w:sz w:val="20"/>
        </w:rPr>
      </w:pPr>
    </w:p>
    <w:tbl>
      <w:tblPr>
        <w:tblW w:w="0" w:type="auto"/>
        <w:jc w:val="left"/>
        <w:tblInd w:w="4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0"/>
        <w:gridCol w:w="990"/>
        <w:gridCol w:w="1075"/>
        <w:gridCol w:w="1051"/>
        <w:gridCol w:w="962"/>
        <w:gridCol w:w="881"/>
        <w:gridCol w:w="965"/>
      </w:tblGrid>
      <w:tr>
        <w:trPr>
          <w:trHeight w:val="149" w:hRule="atLeast"/>
        </w:trPr>
        <w:tc>
          <w:tcPr>
            <w:tcW w:w="740" w:type="dxa"/>
          </w:tcPr>
          <w:p>
            <w:pPr>
              <w:pStyle w:val="TableParagraph"/>
              <w:spacing w:line="129" w:lineRule="exact" w:before="0"/>
              <w:ind w:left="50"/>
              <w:jc w:val="left"/>
              <w:rPr>
                <w:sz w:val="14"/>
              </w:rPr>
            </w:pPr>
            <w:r>
              <w:rPr>
                <w:color w:val="231F20"/>
                <w:w w:val="70"/>
                <w:sz w:val="14"/>
              </w:rPr>
              <w:t>East</w:t>
            </w:r>
            <w:r>
              <w:rPr>
                <w:color w:val="231F20"/>
                <w:sz w:val="14"/>
              </w:rPr>
              <w:t> </w:t>
            </w:r>
            <w:r>
              <w:rPr>
                <w:color w:val="231F20"/>
                <w:spacing w:val="-4"/>
                <w:w w:val="85"/>
                <w:sz w:val="14"/>
              </w:rPr>
              <w:t>Asia</w:t>
            </w:r>
          </w:p>
        </w:tc>
        <w:tc>
          <w:tcPr>
            <w:tcW w:w="990" w:type="dxa"/>
          </w:tcPr>
          <w:p>
            <w:pPr>
              <w:pStyle w:val="TableParagraph"/>
              <w:spacing w:line="129" w:lineRule="exact" w:before="0"/>
              <w:ind w:left="84"/>
              <w:rPr>
                <w:sz w:val="14"/>
              </w:rPr>
            </w:pPr>
            <w:r>
              <w:rPr>
                <w:color w:val="231F20"/>
                <w:w w:val="75"/>
                <w:sz w:val="14"/>
              </w:rPr>
              <w:t>Europe</w:t>
            </w:r>
            <w:r>
              <w:rPr>
                <w:color w:val="231F20"/>
                <w:spacing w:val="-2"/>
                <w:sz w:val="14"/>
              </w:rPr>
              <w:t> </w:t>
            </w:r>
            <w:r>
              <w:rPr>
                <w:color w:val="231F20"/>
                <w:spacing w:val="-10"/>
                <w:w w:val="90"/>
                <w:sz w:val="14"/>
              </w:rPr>
              <w:t>&amp;</w:t>
            </w:r>
          </w:p>
        </w:tc>
        <w:tc>
          <w:tcPr>
            <w:tcW w:w="1075" w:type="dxa"/>
          </w:tcPr>
          <w:p>
            <w:pPr>
              <w:pStyle w:val="TableParagraph"/>
              <w:spacing w:line="129" w:lineRule="exact" w:before="0"/>
              <w:ind w:left="25"/>
              <w:rPr>
                <w:sz w:val="14"/>
              </w:rPr>
            </w:pPr>
            <w:r>
              <w:rPr>
                <w:color w:val="231F20"/>
                <w:w w:val="75"/>
                <w:sz w:val="14"/>
              </w:rPr>
              <w:t>Latin</w:t>
            </w:r>
            <w:r>
              <w:rPr>
                <w:color w:val="231F20"/>
                <w:spacing w:val="4"/>
                <w:sz w:val="14"/>
              </w:rPr>
              <w:t> </w:t>
            </w:r>
            <w:r>
              <w:rPr>
                <w:color w:val="231F20"/>
                <w:w w:val="75"/>
                <w:sz w:val="14"/>
              </w:rPr>
              <w:t>America</w:t>
            </w:r>
            <w:r>
              <w:rPr>
                <w:color w:val="231F20"/>
                <w:spacing w:val="11"/>
                <w:sz w:val="14"/>
              </w:rPr>
              <w:t> </w:t>
            </w:r>
            <w:r>
              <w:rPr>
                <w:color w:val="231F20"/>
                <w:spacing w:val="-10"/>
                <w:w w:val="75"/>
                <w:sz w:val="14"/>
              </w:rPr>
              <w:t>&amp;</w:t>
            </w:r>
          </w:p>
        </w:tc>
        <w:tc>
          <w:tcPr>
            <w:tcW w:w="1051" w:type="dxa"/>
          </w:tcPr>
          <w:p>
            <w:pPr>
              <w:pStyle w:val="TableParagraph"/>
              <w:spacing w:line="129" w:lineRule="exact" w:before="0"/>
              <w:ind w:right="92"/>
              <w:rPr>
                <w:sz w:val="14"/>
              </w:rPr>
            </w:pPr>
            <w:r>
              <w:rPr>
                <w:color w:val="231F20"/>
                <w:w w:val="80"/>
                <w:sz w:val="14"/>
              </w:rPr>
              <w:t>Middle</w:t>
            </w:r>
            <w:r>
              <w:rPr>
                <w:color w:val="231F20"/>
                <w:spacing w:val="-1"/>
                <w:w w:val="85"/>
                <w:sz w:val="14"/>
              </w:rPr>
              <w:t> </w:t>
            </w:r>
            <w:r>
              <w:rPr>
                <w:color w:val="231F20"/>
                <w:spacing w:val="-4"/>
                <w:w w:val="85"/>
                <w:sz w:val="14"/>
              </w:rPr>
              <w:t>East</w:t>
            </w:r>
          </w:p>
        </w:tc>
        <w:tc>
          <w:tcPr>
            <w:tcW w:w="962" w:type="dxa"/>
          </w:tcPr>
          <w:p>
            <w:pPr>
              <w:pStyle w:val="TableParagraph"/>
              <w:spacing w:line="129" w:lineRule="exact" w:before="0"/>
              <w:ind w:right="99"/>
              <w:rPr>
                <w:sz w:val="14"/>
              </w:rPr>
            </w:pPr>
            <w:r>
              <w:rPr>
                <w:color w:val="231F20"/>
                <w:spacing w:val="-2"/>
                <w:w w:val="90"/>
                <w:sz w:val="14"/>
              </w:rPr>
              <w:t>North</w:t>
            </w:r>
          </w:p>
        </w:tc>
        <w:tc>
          <w:tcPr>
            <w:tcW w:w="881" w:type="dxa"/>
          </w:tcPr>
          <w:p>
            <w:pPr>
              <w:pStyle w:val="TableParagraph"/>
              <w:spacing w:line="129" w:lineRule="exact" w:before="0"/>
              <w:ind w:right="265"/>
              <w:jc w:val="right"/>
              <w:rPr>
                <w:sz w:val="14"/>
              </w:rPr>
            </w:pPr>
            <w:r>
              <w:rPr>
                <w:color w:val="231F20"/>
                <w:spacing w:val="-4"/>
                <w:w w:val="85"/>
                <w:sz w:val="14"/>
              </w:rPr>
              <w:t>South</w:t>
            </w:r>
          </w:p>
        </w:tc>
        <w:tc>
          <w:tcPr>
            <w:tcW w:w="965" w:type="dxa"/>
          </w:tcPr>
          <w:p>
            <w:pPr>
              <w:pStyle w:val="TableParagraph"/>
              <w:spacing w:line="129" w:lineRule="exact" w:before="0"/>
              <w:ind w:left="220"/>
              <w:rPr>
                <w:sz w:val="14"/>
              </w:rPr>
            </w:pPr>
            <w:r>
              <w:rPr>
                <w:color w:val="231F20"/>
                <w:w w:val="75"/>
                <w:sz w:val="14"/>
              </w:rPr>
              <w:t>Sub-</w:t>
            </w:r>
            <w:r>
              <w:rPr>
                <w:color w:val="231F20"/>
                <w:spacing w:val="-2"/>
                <w:w w:val="90"/>
                <w:sz w:val="14"/>
              </w:rPr>
              <w:t>Saharan</w:t>
            </w:r>
          </w:p>
        </w:tc>
      </w:tr>
      <w:tr>
        <w:trPr>
          <w:trHeight w:val="149" w:hRule="atLeast"/>
        </w:trPr>
        <w:tc>
          <w:tcPr>
            <w:tcW w:w="740" w:type="dxa"/>
          </w:tcPr>
          <w:p>
            <w:pPr>
              <w:pStyle w:val="TableParagraph"/>
              <w:spacing w:line="129" w:lineRule="exact" w:before="0"/>
              <w:ind w:left="56"/>
              <w:jc w:val="left"/>
              <w:rPr>
                <w:sz w:val="14"/>
              </w:rPr>
            </w:pPr>
            <w:r>
              <w:rPr>
                <w:color w:val="231F20"/>
                <w:w w:val="80"/>
                <w:sz w:val="14"/>
              </w:rPr>
              <w:t>&amp;</w:t>
            </w:r>
            <w:r>
              <w:rPr>
                <w:color w:val="231F20"/>
                <w:spacing w:val="-3"/>
                <w:w w:val="90"/>
                <w:sz w:val="14"/>
              </w:rPr>
              <w:t> </w:t>
            </w:r>
            <w:r>
              <w:rPr>
                <w:color w:val="231F20"/>
                <w:spacing w:val="-2"/>
                <w:w w:val="90"/>
                <w:sz w:val="14"/>
              </w:rPr>
              <w:t>Pacific</w:t>
            </w:r>
          </w:p>
        </w:tc>
        <w:tc>
          <w:tcPr>
            <w:tcW w:w="990" w:type="dxa"/>
          </w:tcPr>
          <w:p>
            <w:pPr>
              <w:pStyle w:val="TableParagraph"/>
              <w:spacing w:line="129" w:lineRule="exact" w:before="0"/>
              <w:ind w:left="84"/>
              <w:rPr>
                <w:sz w:val="14"/>
              </w:rPr>
            </w:pPr>
            <w:r>
              <w:rPr>
                <w:color w:val="231F20"/>
                <w:w w:val="75"/>
                <w:sz w:val="14"/>
              </w:rPr>
              <w:t>Central</w:t>
            </w:r>
            <w:r>
              <w:rPr>
                <w:color w:val="231F20"/>
                <w:spacing w:val="2"/>
                <w:sz w:val="14"/>
              </w:rPr>
              <w:t> </w:t>
            </w:r>
            <w:r>
              <w:rPr>
                <w:color w:val="231F20"/>
                <w:spacing w:val="-4"/>
                <w:w w:val="90"/>
                <w:sz w:val="14"/>
              </w:rPr>
              <w:t>Asia</w:t>
            </w:r>
          </w:p>
        </w:tc>
        <w:tc>
          <w:tcPr>
            <w:tcW w:w="1075" w:type="dxa"/>
          </w:tcPr>
          <w:p>
            <w:pPr>
              <w:pStyle w:val="TableParagraph"/>
              <w:spacing w:line="129" w:lineRule="exact" w:before="0"/>
              <w:ind w:left="25"/>
              <w:rPr>
                <w:sz w:val="14"/>
              </w:rPr>
            </w:pPr>
            <w:r>
              <w:rPr>
                <w:color w:val="231F20"/>
                <w:spacing w:val="-2"/>
                <w:w w:val="85"/>
                <w:sz w:val="14"/>
              </w:rPr>
              <w:t>Caribbean</w:t>
            </w:r>
          </w:p>
        </w:tc>
        <w:tc>
          <w:tcPr>
            <w:tcW w:w="1051" w:type="dxa"/>
          </w:tcPr>
          <w:p>
            <w:pPr>
              <w:pStyle w:val="TableParagraph"/>
              <w:spacing w:line="129" w:lineRule="exact" w:before="0"/>
              <w:ind w:right="92"/>
              <w:rPr>
                <w:sz w:val="14"/>
              </w:rPr>
            </w:pPr>
            <w:r>
              <w:rPr>
                <w:color w:val="231F20"/>
                <w:w w:val="75"/>
                <w:sz w:val="14"/>
              </w:rPr>
              <w:t>&amp;</w:t>
            </w:r>
            <w:r>
              <w:rPr>
                <w:color w:val="231F20"/>
                <w:spacing w:val="2"/>
                <w:sz w:val="14"/>
              </w:rPr>
              <w:t> </w:t>
            </w:r>
            <w:r>
              <w:rPr>
                <w:color w:val="231F20"/>
                <w:w w:val="75"/>
                <w:sz w:val="14"/>
              </w:rPr>
              <w:t>North</w:t>
            </w:r>
            <w:r>
              <w:rPr>
                <w:color w:val="231F20"/>
                <w:spacing w:val="-5"/>
                <w:sz w:val="14"/>
              </w:rPr>
              <w:t> </w:t>
            </w:r>
            <w:r>
              <w:rPr>
                <w:color w:val="231F20"/>
                <w:spacing w:val="-2"/>
                <w:w w:val="75"/>
                <w:sz w:val="14"/>
              </w:rPr>
              <w:t>Africa</w:t>
            </w:r>
          </w:p>
        </w:tc>
        <w:tc>
          <w:tcPr>
            <w:tcW w:w="962" w:type="dxa"/>
          </w:tcPr>
          <w:p>
            <w:pPr>
              <w:pStyle w:val="TableParagraph"/>
              <w:spacing w:line="129" w:lineRule="exact" w:before="0"/>
              <w:ind w:right="99"/>
              <w:rPr>
                <w:sz w:val="14"/>
              </w:rPr>
            </w:pPr>
            <w:r>
              <w:rPr>
                <w:color w:val="231F20"/>
                <w:spacing w:val="-2"/>
                <w:w w:val="90"/>
                <w:sz w:val="14"/>
              </w:rPr>
              <w:t>America</w:t>
            </w:r>
          </w:p>
        </w:tc>
        <w:tc>
          <w:tcPr>
            <w:tcW w:w="881" w:type="dxa"/>
          </w:tcPr>
          <w:p>
            <w:pPr>
              <w:pStyle w:val="TableParagraph"/>
              <w:spacing w:line="129" w:lineRule="exact" w:before="0"/>
              <w:ind w:right="303"/>
              <w:jc w:val="right"/>
              <w:rPr>
                <w:sz w:val="14"/>
              </w:rPr>
            </w:pPr>
            <w:r>
              <w:rPr>
                <w:color w:val="231F20"/>
                <w:spacing w:val="-4"/>
                <w:w w:val="85"/>
                <w:sz w:val="14"/>
              </w:rPr>
              <w:t>Asia</w:t>
            </w:r>
          </w:p>
        </w:tc>
        <w:tc>
          <w:tcPr>
            <w:tcW w:w="965" w:type="dxa"/>
          </w:tcPr>
          <w:p>
            <w:pPr>
              <w:pStyle w:val="TableParagraph"/>
              <w:spacing w:line="129" w:lineRule="exact" w:before="0"/>
              <w:ind w:left="220"/>
              <w:rPr>
                <w:sz w:val="14"/>
              </w:rPr>
            </w:pPr>
            <w:r>
              <w:rPr>
                <w:color w:val="231F20"/>
                <w:spacing w:val="-2"/>
                <w:w w:val="90"/>
                <w:sz w:val="14"/>
              </w:rPr>
              <w:t>Africa</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5"/>
        <w:rPr>
          <w:sz w:val="20"/>
        </w:rPr>
      </w:pPr>
      <w:r>
        <w:rPr/>
        <mc:AlternateContent>
          <mc:Choice Requires="wps">
            <w:drawing>
              <wp:anchor distT="0" distB="0" distL="0" distR="0" allowOverlap="1" layoutInCell="1" locked="0" behindDoc="1" simplePos="0" relativeHeight="487639040">
                <wp:simplePos x="0" y="0"/>
                <wp:positionH relativeFrom="page">
                  <wp:posOffset>2133600</wp:posOffset>
                </wp:positionH>
                <wp:positionV relativeFrom="paragraph">
                  <wp:posOffset>291932</wp:posOffset>
                </wp:positionV>
                <wp:extent cx="1219200" cy="1270"/>
                <wp:effectExtent l="0" t="0" r="0" b="0"/>
                <wp:wrapTopAndBottom/>
                <wp:docPr id="1898" name="Graphic 1898"/>
                <wp:cNvGraphicFramePr>
                  <a:graphicFrameLocks/>
                </wp:cNvGraphicFramePr>
                <a:graphic>
                  <a:graphicData uri="http://schemas.microsoft.com/office/word/2010/wordprocessingShape">
                    <wps:wsp>
                      <wps:cNvPr id="1898" name="Graphic 1898"/>
                      <wps:cNvSpPr/>
                      <wps:spPr>
                        <a:xfrm>
                          <a:off x="0" y="0"/>
                          <a:ext cx="1219200" cy="1270"/>
                        </a:xfrm>
                        <a:custGeom>
                          <a:avLst/>
                          <a:gdLst/>
                          <a:ahLst/>
                          <a:cxnLst/>
                          <a:rect l="l" t="t" r="r" b="b"/>
                          <a:pathLst>
                            <a:path w="1219200" h="0">
                              <a:moveTo>
                                <a:pt x="0" y="0"/>
                              </a:moveTo>
                              <a:lnTo>
                                <a:pt x="1219200" y="0"/>
                              </a:lnTo>
                            </a:path>
                          </a:pathLst>
                        </a:custGeom>
                        <a:ln w="6350">
                          <a:solidFill>
                            <a:srgbClr val="5AA2E2"/>
                          </a:solidFill>
                          <a:prstDash val="solid"/>
                        </a:ln>
                      </wps:spPr>
                      <wps:bodyPr wrap="square" lIns="0" tIns="0" rIns="0" bIns="0" rtlCol="0">
                        <a:prstTxWarp prst="textNoShape">
                          <a:avLst/>
                        </a:prstTxWarp>
                        <a:noAutofit/>
                      </wps:bodyPr>
                    </wps:wsp>
                  </a:graphicData>
                </a:graphic>
              </wp:anchor>
            </w:drawing>
          </mc:Choice>
          <mc:Fallback>
            <w:pict>
              <v:shape style="position:absolute;margin-left:168pt;margin-top:22.986801pt;width:96pt;height:.1pt;mso-position-horizontal-relative:page;mso-position-vertical-relative:paragraph;z-index:-15677440;mso-wrap-distance-left:0;mso-wrap-distance-right:0" id="docshape1627" coordorigin="3360,460" coordsize="1920,0" path="m3360,460l5280,460e" filled="false" stroked="true" strokeweight=".5pt" strokecolor="#5aa2e2">
                <v:path arrowok="t"/>
                <v:stroke dashstyle="solid"/>
                <w10:wrap type="topAndBottom"/>
              </v:shape>
            </w:pict>
          </mc:Fallback>
        </mc:AlternateContent>
      </w:r>
    </w:p>
    <w:p>
      <w:pPr>
        <w:pStyle w:val="ListParagraph"/>
        <w:numPr>
          <w:ilvl w:val="0"/>
          <w:numId w:val="15"/>
        </w:numPr>
        <w:tabs>
          <w:tab w:pos="3578" w:val="left" w:leader="none"/>
        </w:tabs>
        <w:spacing w:line="240" w:lineRule="auto" w:before="45" w:after="0"/>
        <w:ind w:left="3578" w:right="0" w:hanging="218"/>
        <w:jc w:val="left"/>
        <w:rPr>
          <w:sz w:val="16"/>
        </w:rPr>
      </w:pPr>
      <w:r>
        <w:rPr>
          <w:color w:val="231F20"/>
          <w:w w:val="70"/>
          <w:sz w:val="16"/>
        </w:rPr>
        <w:t>UNCTAD</w:t>
      </w:r>
      <w:r>
        <w:rPr>
          <w:color w:val="231F20"/>
          <w:spacing w:val="23"/>
          <w:sz w:val="16"/>
        </w:rPr>
        <w:t> </w:t>
      </w:r>
      <w:r>
        <w:rPr>
          <w:color w:val="231F20"/>
          <w:spacing w:val="-2"/>
          <w:w w:val="90"/>
          <w:sz w:val="16"/>
        </w:rPr>
        <w:t>2021b.</w:t>
      </w:r>
    </w:p>
    <w:p>
      <w:pPr>
        <w:spacing w:after="0" w:line="240" w:lineRule="auto"/>
        <w:jc w:val="left"/>
        <w:rPr>
          <w:sz w:val="16"/>
        </w:rPr>
        <w:sectPr>
          <w:type w:val="continuous"/>
          <w:pgSz w:w="12240" w:h="15840"/>
          <w:pgMar w:header="370" w:footer="548" w:top="1140" w:bottom="280" w:left="0" w:right="540"/>
        </w:sectPr>
      </w:pPr>
    </w:p>
    <w:p>
      <w:pPr>
        <w:pStyle w:val="BodyText"/>
        <w:rPr>
          <w:rFonts w:ascii="Arial"/>
          <w:sz w:val="20"/>
        </w:rPr>
      </w:pPr>
    </w:p>
    <w:p>
      <w:pPr>
        <w:pStyle w:val="BodyText"/>
        <w:rPr>
          <w:rFonts w:ascii="Arial"/>
          <w:sz w:val="20"/>
        </w:rPr>
      </w:pPr>
    </w:p>
    <w:p>
      <w:pPr>
        <w:pStyle w:val="BodyText"/>
        <w:spacing w:before="60"/>
        <w:rPr>
          <w:rFonts w:ascii="Arial"/>
          <w:sz w:val="20"/>
        </w:rPr>
      </w:pPr>
    </w:p>
    <w:p>
      <w:pPr>
        <w:pStyle w:val="BodyText"/>
        <w:ind w:left="1140"/>
        <w:rPr>
          <w:rFonts w:ascii="Arial"/>
          <w:sz w:val="20"/>
        </w:rPr>
      </w:pPr>
      <w:r>
        <w:rPr>
          <w:rFonts w:ascii="Arial"/>
          <w:sz w:val="20"/>
        </w:rPr>
        <mc:AlternateContent>
          <mc:Choice Requires="wps">
            <w:drawing>
              <wp:inline distT="0" distB="0" distL="0" distR="0">
                <wp:extent cx="6629400" cy="389255"/>
                <wp:effectExtent l="19050" t="19050" r="19050" b="20320"/>
                <wp:docPr id="1899" name="Group 1899"/>
                <wp:cNvGraphicFramePr>
                  <a:graphicFrameLocks/>
                </wp:cNvGraphicFramePr>
                <a:graphic>
                  <a:graphicData uri="http://schemas.microsoft.com/office/word/2010/wordprocessingGroup">
                    <wpg:wgp>
                      <wpg:cNvPr id="1899" name="Group 1899"/>
                      <wpg:cNvGrpSpPr/>
                      <wpg:grpSpPr>
                        <a:xfrm>
                          <a:off x="0" y="0"/>
                          <a:ext cx="6629400" cy="389255"/>
                          <a:chExt cx="6629400" cy="389255"/>
                        </a:xfrm>
                      </wpg:grpSpPr>
                      <wps:wsp>
                        <wps:cNvPr id="1900" name="Graphic 1900"/>
                        <wps:cNvSpPr/>
                        <wps:spPr>
                          <a:xfrm>
                            <a:off x="152400" y="38100"/>
                            <a:ext cx="6457950" cy="254000"/>
                          </a:xfrm>
                          <a:custGeom>
                            <a:avLst/>
                            <a:gdLst/>
                            <a:ahLst/>
                            <a:cxnLst/>
                            <a:rect l="l" t="t" r="r" b="b"/>
                            <a:pathLst>
                              <a:path w="6457950" h="254000">
                                <a:moveTo>
                                  <a:pt x="6416861" y="0"/>
                                </a:moveTo>
                                <a:lnTo>
                                  <a:pt x="0" y="0"/>
                                </a:lnTo>
                                <a:lnTo>
                                  <a:pt x="0" y="254000"/>
                                </a:lnTo>
                                <a:lnTo>
                                  <a:pt x="6457950" y="254000"/>
                                </a:lnTo>
                                <a:lnTo>
                                  <a:pt x="6457950" y="76200"/>
                                </a:lnTo>
                                <a:lnTo>
                                  <a:pt x="6450452" y="39157"/>
                                </a:lnTo>
                                <a:lnTo>
                                  <a:pt x="6430017" y="8877"/>
                                </a:lnTo>
                                <a:lnTo>
                                  <a:pt x="6416861" y="0"/>
                                </a:lnTo>
                                <a:close/>
                              </a:path>
                            </a:pathLst>
                          </a:custGeom>
                          <a:solidFill>
                            <a:srgbClr val="808285"/>
                          </a:solidFill>
                        </wps:spPr>
                        <wps:bodyPr wrap="square" lIns="0" tIns="0" rIns="0" bIns="0" rtlCol="0">
                          <a:prstTxWarp prst="textNoShape">
                            <a:avLst/>
                          </a:prstTxWarp>
                          <a:noAutofit/>
                        </wps:bodyPr>
                      </wps:wsp>
                      <wps:wsp>
                        <wps:cNvPr id="1901" name="Graphic 1901"/>
                        <wps:cNvSpPr/>
                        <wps:spPr>
                          <a:xfrm>
                            <a:off x="622300" y="38098"/>
                            <a:ext cx="1270" cy="254635"/>
                          </a:xfrm>
                          <a:custGeom>
                            <a:avLst/>
                            <a:gdLst/>
                            <a:ahLst/>
                            <a:cxnLst/>
                            <a:rect l="l" t="t" r="r" b="b"/>
                            <a:pathLst>
                              <a:path w="0" h="254635">
                                <a:moveTo>
                                  <a:pt x="0" y="25415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902" name="Graphic 1902"/>
                        <wps:cNvSpPr/>
                        <wps:spPr>
                          <a:xfrm>
                            <a:off x="38100" y="38251"/>
                            <a:ext cx="571500" cy="254000"/>
                          </a:xfrm>
                          <a:custGeom>
                            <a:avLst/>
                            <a:gdLst/>
                            <a:ahLst/>
                            <a:cxnLst/>
                            <a:rect l="l" t="t" r="r" b="b"/>
                            <a:pathLst>
                              <a:path w="571500" h="254000">
                                <a:moveTo>
                                  <a:pt x="0" y="254000"/>
                                </a:moveTo>
                                <a:lnTo>
                                  <a:pt x="571500" y="254000"/>
                                </a:lnTo>
                                <a:lnTo>
                                  <a:pt x="571500" y="0"/>
                                </a:lnTo>
                                <a:lnTo>
                                  <a:pt x="0" y="0"/>
                                </a:lnTo>
                                <a:lnTo>
                                  <a:pt x="0" y="254000"/>
                                </a:lnTo>
                                <a:close/>
                              </a:path>
                            </a:pathLst>
                          </a:custGeom>
                          <a:solidFill>
                            <a:srgbClr val="008FDD"/>
                          </a:solidFill>
                        </wps:spPr>
                        <wps:bodyPr wrap="square" lIns="0" tIns="0" rIns="0" bIns="0" rtlCol="0">
                          <a:prstTxWarp prst="textNoShape">
                            <a:avLst/>
                          </a:prstTxWarp>
                          <a:noAutofit/>
                        </wps:bodyPr>
                      </wps:wsp>
                      <wps:wsp>
                        <wps:cNvPr id="1903" name="Graphic 1903"/>
                        <wps:cNvSpPr/>
                        <wps:spPr>
                          <a:xfrm>
                            <a:off x="19050" y="19050"/>
                            <a:ext cx="6591300" cy="351155"/>
                          </a:xfrm>
                          <a:custGeom>
                            <a:avLst/>
                            <a:gdLst/>
                            <a:ahLst/>
                            <a:cxnLst/>
                            <a:rect l="l" t="t" r="r" b="b"/>
                            <a:pathLst>
                              <a:path w="6591300" h="351155">
                                <a:moveTo>
                                  <a:pt x="95250" y="0"/>
                                </a:moveTo>
                                <a:lnTo>
                                  <a:pt x="58207" y="7497"/>
                                </a:lnTo>
                                <a:lnTo>
                                  <a:pt x="27927" y="27932"/>
                                </a:lnTo>
                                <a:lnTo>
                                  <a:pt x="7496" y="58212"/>
                                </a:lnTo>
                                <a:lnTo>
                                  <a:pt x="0" y="95250"/>
                                </a:lnTo>
                                <a:lnTo>
                                  <a:pt x="0" y="331889"/>
                                </a:lnTo>
                                <a:lnTo>
                                  <a:pt x="0" y="350939"/>
                                </a:lnTo>
                                <a:lnTo>
                                  <a:pt x="19050" y="350939"/>
                                </a:lnTo>
                                <a:lnTo>
                                  <a:pt x="6572250" y="350939"/>
                                </a:lnTo>
                                <a:lnTo>
                                  <a:pt x="6591300" y="350939"/>
                                </a:lnTo>
                                <a:lnTo>
                                  <a:pt x="6591300" y="331889"/>
                                </a:lnTo>
                                <a:lnTo>
                                  <a:pt x="6591300" y="95250"/>
                                </a:lnTo>
                                <a:lnTo>
                                  <a:pt x="6583803" y="58212"/>
                                </a:lnTo>
                                <a:lnTo>
                                  <a:pt x="6563372" y="27932"/>
                                </a:lnTo>
                                <a:lnTo>
                                  <a:pt x="6533092" y="7497"/>
                                </a:lnTo>
                                <a:lnTo>
                                  <a:pt x="64960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904" name="Textbox 1904"/>
                        <wps:cNvSpPr txBox="1"/>
                        <wps:spPr>
                          <a:xfrm>
                            <a:off x="0" y="0"/>
                            <a:ext cx="6629400" cy="389255"/>
                          </a:xfrm>
                          <a:prstGeom prst="rect">
                            <a:avLst/>
                          </a:prstGeom>
                        </wps:spPr>
                        <wps:txbx>
                          <w:txbxContent>
                            <w:p>
                              <w:pPr>
                                <w:spacing w:line="240" w:lineRule="auto" w:before="20"/>
                                <w:rPr>
                                  <w:rFonts w:ascii="Arial"/>
                                  <w:sz w:val="16"/>
                                </w:rPr>
                              </w:pPr>
                            </w:p>
                            <w:p>
                              <w:pPr>
                                <w:spacing w:before="0"/>
                                <w:ind w:left="1079" w:right="0" w:firstLine="0"/>
                                <w:jc w:val="left"/>
                                <w:rPr>
                                  <w:rFonts w:ascii="Arial"/>
                                  <w:b/>
                                  <w:sz w:val="16"/>
                                </w:rPr>
                              </w:pPr>
                              <w:r>
                                <w:rPr>
                                  <w:rFonts w:ascii="Arial"/>
                                  <w:b/>
                                  <w:color w:val="FFFFFF"/>
                                  <w:w w:val="105"/>
                                  <w:sz w:val="16"/>
                                </w:rPr>
                                <w:t>List</w:t>
                              </w:r>
                              <w:r>
                                <w:rPr>
                                  <w:rFonts w:ascii="Arial"/>
                                  <w:b/>
                                  <w:color w:val="FFFFFF"/>
                                  <w:spacing w:val="13"/>
                                  <w:w w:val="105"/>
                                  <w:sz w:val="16"/>
                                </w:rPr>
                                <w:t> </w:t>
                              </w:r>
                              <w:r>
                                <w:rPr>
                                  <w:rFonts w:ascii="Arial"/>
                                  <w:b/>
                                  <w:color w:val="FFFFFF"/>
                                  <w:w w:val="105"/>
                                  <w:sz w:val="16"/>
                                </w:rPr>
                                <w:t>of</w:t>
                              </w:r>
                              <w:r>
                                <w:rPr>
                                  <w:rFonts w:ascii="Arial"/>
                                  <w:b/>
                                  <w:color w:val="FFFFFF"/>
                                  <w:spacing w:val="13"/>
                                  <w:w w:val="105"/>
                                  <w:sz w:val="16"/>
                                </w:rPr>
                                <w:t> </w:t>
                              </w:r>
                              <w:r>
                                <w:rPr>
                                  <w:rFonts w:ascii="Arial"/>
                                  <w:b/>
                                  <w:color w:val="FFFFFF"/>
                                  <w:w w:val="105"/>
                                  <w:sz w:val="16"/>
                                </w:rPr>
                                <w:t>key</w:t>
                              </w:r>
                              <w:r>
                                <w:rPr>
                                  <w:rFonts w:ascii="Arial"/>
                                  <w:b/>
                                  <w:color w:val="FFFFFF"/>
                                  <w:spacing w:val="13"/>
                                  <w:w w:val="105"/>
                                  <w:sz w:val="16"/>
                                </w:rPr>
                                <w:t> </w:t>
                              </w:r>
                              <w:r>
                                <w:rPr>
                                  <w:rFonts w:ascii="Arial"/>
                                  <w:b/>
                                  <w:color w:val="FFFFFF"/>
                                  <w:w w:val="105"/>
                                  <w:sz w:val="16"/>
                                </w:rPr>
                                <w:t>performance</w:t>
                              </w:r>
                              <w:r>
                                <w:rPr>
                                  <w:rFonts w:ascii="Arial"/>
                                  <w:b/>
                                  <w:color w:val="FFFFFF"/>
                                  <w:spacing w:val="13"/>
                                  <w:w w:val="105"/>
                                  <w:sz w:val="16"/>
                                </w:rPr>
                                <w:t> </w:t>
                              </w:r>
                              <w:r>
                                <w:rPr>
                                  <w:rFonts w:ascii="Arial"/>
                                  <w:b/>
                                  <w:color w:val="FFFFFF"/>
                                  <w:w w:val="105"/>
                                  <w:sz w:val="16"/>
                                </w:rPr>
                                <w:t>indicators</w:t>
                              </w:r>
                              <w:r>
                                <w:rPr>
                                  <w:rFonts w:ascii="Arial"/>
                                  <w:b/>
                                  <w:color w:val="FFFFFF"/>
                                  <w:spacing w:val="14"/>
                                  <w:w w:val="105"/>
                                  <w:sz w:val="16"/>
                                </w:rPr>
                                <w:t> </w:t>
                              </w:r>
                              <w:r>
                                <w:rPr>
                                  <w:rFonts w:ascii="Arial"/>
                                  <w:b/>
                                  <w:color w:val="FFFFFF"/>
                                  <w:w w:val="105"/>
                                  <w:sz w:val="16"/>
                                </w:rPr>
                                <w:t>derived</w:t>
                              </w:r>
                              <w:r>
                                <w:rPr>
                                  <w:rFonts w:ascii="Arial"/>
                                  <w:b/>
                                  <w:color w:val="FFFFFF"/>
                                  <w:spacing w:val="13"/>
                                  <w:w w:val="105"/>
                                  <w:sz w:val="16"/>
                                </w:rPr>
                                <w:t> </w:t>
                              </w:r>
                              <w:r>
                                <w:rPr>
                                  <w:rFonts w:ascii="Arial"/>
                                  <w:b/>
                                  <w:color w:val="FFFFFF"/>
                                  <w:w w:val="105"/>
                                  <w:sz w:val="16"/>
                                </w:rPr>
                                <w:t>from</w:t>
                              </w:r>
                              <w:r>
                                <w:rPr>
                                  <w:rFonts w:ascii="Arial"/>
                                  <w:b/>
                                  <w:color w:val="FFFFFF"/>
                                  <w:spacing w:val="13"/>
                                  <w:w w:val="105"/>
                                  <w:sz w:val="16"/>
                                </w:rPr>
                                <w:t> </w:t>
                              </w:r>
                              <w:r>
                                <w:rPr>
                                  <w:rFonts w:ascii="Arial"/>
                                  <w:b/>
                                  <w:color w:val="FFFFFF"/>
                                  <w:w w:val="105"/>
                                  <w:sz w:val="16"/>
                                </w:rPr>
                                <w:t>tracking</w:t>
                              </w:r>
                              <w:r>
                                <w:rPr>
                                  <w:rFonts w:ascii="Arial"/>
                                  <w:b/>
                                  <w:color w:val="FFFFFF"/>
                                  <w:spacing w:val="13"/>
                                  <w:w w:val="105"/>
                                  <w:sz w:val="16"/>
                                </w:rPr>
                                <w:t> </w:t>
                              </w:r>
                              <w:r>
                                <w:rPr>
                                  <w:rFonts w:ascii="Arial"/>
                                  <w:b/>
                                  <w:color w:val="FFFFFF"/>
                                  <w:spacing w:val="-4"/>
                                  <w:w w:val="105"/>
                                  <w:sz w:val="16"/>
                                </w:rPr>
                                <w:t>data</w:t>
                              </w:r>
                            </w:p>
                          </w:txbxContent>
                        </wps:txbx>
                        <wps:bodyPr wrap="square" lIns="0" tIns="0" rIns="0" bIns="0" rtlCol="0">
                          <a:noAutofit/>
                        </wps:bodyPr>
                      </wps:wsp>
                      <wps:wsp>
                        <wps:cNvPr id="1905" name="Textbox 1905"/>
                        <wps:cNvSpPr txBox="1"/>
                        <wps:spPr>
                          <a:xfrm>
                            <a:off x="38100" y="38251"/>
                            <a:ext cx="571500" cy="254000"/>
                          </a:xfrm>
                          <a:prstGeom prst="rect">
                            <a:avLst/>
                          </a:prstGeom>
                        </wps:spPr>
                        <wps:txbx>
                          <w:txbxContent>
                            <w:p>
                              <w:pPr>
                                <w:spacing w:before="144"/>
                                <w:ind w:left="1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b/>
                                  <w:color w:val="FFFFFF"/>
                                  <w:spacing w:val="-4"/>
                                  <w:w w:val="95"/>
                                  <w:sz w:val="16"/>
                                </w:rPr>
                                <w:t>A4.2</w:t>
                              </w:r>
                            </w:p>
                          </w:txbxContent>
                        </wps:txbx>
                        <wps:bodyPr wrap="square" lIns="0" tIns="0" rIns="0" bIns="0" rtlCol="0">
                          <a:noAutofit/>
                        </wps:bodyPr>
                      </wps:wsp>
                    </wpg:wgp>
                  </a:graphicData>
                </a:graphic>
              </wp:inline>
            </w:drawing>
          </mc:Choice>
          <mc:Fallback>
            <w:pict>
              <v:group style="width:522pt;height:30.65pt;mso-position-horizontal-relative:char;mso-position-vertical-relative:line" id="docshapegroup1628" coordorigin="0,0" coordsize="10440,613">
                <v:shape style="position:absolute;left:240;top:60;width:10170;height:400" id="docshape1629" coordorigin="240,60" coordsize="10170,400" path="m10345,60l240,60,240,460,10410,460,10410,180,10398,122,10366,74,10345,60xe" filled="true" fillcolor="#808285" stroked="false">
                  <v:path arrowok="t"/>
                  <v:fill type="solid"/>
                </v:shape>
                <v:line style="position:absolute" from="980,460" to="980,60" stroked="true" strokeweight="2pt" strokecolor="#ffffff">
                  <v:stroke dashstyle="solid"/>
                </v:line>
                <v:rect style="position:absolute;left:60;top:60;width:900;height:400" id="docshape1630" filled="true" fillcolor="#008fdd" stroked="false">
                  <v:fill type="solid"/>
                </v:rect>
                <v:shape style="position:absolute;left:30;top:30;width:10380;height:553" id="docshape1631" coordorigin="30,30" coordsize="10380,553" path="m180,30l122,42,74,74,42,122,30,180,30,553,30,583,60,583,10380,583,10410,583,10410,553,10410,180,10398,122,10366,74,10318,42,10260,30,180,30xe" filled="false" stroked="true" strokeweight="3pt" strokecolor="#ffffff">
                  <v:path arrowok="t"/>
                  <v:stroke dashstyle="solid"/>
                </v:shape>
                <v:shape style="position:absolute;left:0;top:0;width:10440;height:613" type="#_x0000_t202" id="docshape1632" filled="false" stroked="false">
                  <v:textbox inset="0,0,0,0">
                    <w:txbxContent>
                      <w:p>
                        <w:pPr>
                          <w:spacing w:line="240" w:lineRule="auto" w:before="20"/>
                          <w:rPr>
                            <w:rFonts w:ascii="Arial"/>
                            <w:sz w:val="16"/>
                          </w:rPr>
                        </w:pPr>
                      </w:p>
                      <w:p>
                        <w:pPr>
                          <w:spacing w:before="0"/>
                          <w:ind w:left="1079" w:right="0" w:firstLine="0"/>
                          <w:jc w:val="left"/>
                          <w:rPr>
                            <w:rFonts w:ascii="Arial"/>
                            <w:b/>
                            <w:sz w:val="16"/>
                          </w:rPr>
                        </w:pPr>
                        <w:r>
                          <w:rPr>
                            <w:rFonts w:ascii="Arial"/>
                            <w:b/>
                            <w:color w:val="FFFFFF"/>
                            <w:w w:val="105"/>
                            <w:sz w:val="16"/>
                          </w:rPr>
                          <w:t>List</w:t>
                        </w:r>
                        <w:r>
                          <w:rPr>
                            <w:rFonts w:ascii="Arial"/>
                            <w:b/>
                            <w:color w:val="FFFFFF"/>
                            <w:spacing w:val="13"/>
                            <w:w w:val="105"/>
                            <w:sz w:val="16"/>
                          </w:rPr>
                          <w:t> </w:t>
                        </w:r>
                        <w:r>
                          <w:rPr>
                            <w:rFonts w:ascii="Arial"/>
                            <w:b/>
                            <w:color w:val="FFFFFF"/>
                            <w:w w:val="105"/>
                            <w:sz w:val="16"/>
                          </w:rPr>
                          <w:t>of</w:t>
                        </w:r>
                        <w:r>
                          <w:rPr>
                            <w:rFonts w:ascii="Arial"/>
                            <w:b/>
                            <w:color w:val="FFFFFF"/>
                            <w:spacing w:val="13"/>
                            <w:w w:val="105"/>
                            <w:sz w:val="16"/>
                          </w:rPr>
                          <w:t> </w:t>
                        </w:r>
                        <w:r>
                          <w:rPr>
                            <w:rFonts w:ascii="Arial"/>
                            <w:b/>
                            <w:color w:val="FFFFFF"/>
                            <w:w w:val="105"/>
                            <w:sz w:val="16"/>
                          </w:rPr>
                          <w:t>key</w:t>
                        </w:r>
                        <w:r>
                          <w:rPr>
                            <w:rFonts w:ascii="Arial"/>
                            <w:b/>
                            <w:color w:val="FFFFFF"/>
                            <w:spacing w:val="13"/>
                            <w:w w:val="105"/>
                            <w:sz w:val="16"/>
                          </w:rPr>
                          <w:t> </w:t>
                        </w:r>
                        <w:r>
                          <w:rPr>
                            <w:rFonts w:ascii="Arial"/>
                            <w:b/>
                            <w:color w:val="FFFFFF"/>
                            <w:w w:val="105"/>
                            <w:sz w:val="16"/>
                          </w:rPr>
                          <w:t>performance</w:t>
                        </w:r>
                        <w:r>
                          <w:rPr>
                            <w:rFonts w:ascii="Arial"/>
                            <w:b/>
                            <w:color w:val="FFFFFF"/>
                            <w:spacing w:val="13"/>
                            <w:w w:val="105"/>
                            <w:sz w:val="16"/>
                          </w:rPr>
                          <w:t> </w:t>
                        </w:r>
                        <w:r>
                          <w:rPr>
                            <w:rFonts w:ascii="Arial"/>
                            <w:b/>
                            <w:color w:val="FFFFFF"/>
                            <w:w w:val="105"/>
                            <w:sz w:val="16"/>
                          </w:rPr>
                          <w:t>indicators</w:t>
                        </w:r>
                        <w:r>
                          <w:rPr>
                            <w:rFonts w:ascii="Arial"/>
                            <w:b/>
                            <w:color w:val="FFFFFF"/>
                            <w:spacing w:val="14"/>
                            <w:w w:val="105"/>
                            <w:sz w:val="16"/>
                          </w:rPr>
                          <w:t> </w:t>
                        </w:r>
                        <w:r>
                          <w:rPr>
                            <w:rFonts w:ascii="Arial"/>
                            <w:b/>
                            <w:color w:val="FFFFFF"/>
                            <w:w w:val="105"/>
                            <w:sz w:val="16"/>
                          </w:rPr>
                          <w:t>derived</w:t>
                        </w:r>
                        <w:r>
                          <w:rPr>
                            <w:rFonts w:ascii="Arial"/>
                            <w:b/>
                            <w:color w:val="FFFFFF"/>
                            <w:spacing w:val="13"/>
                            <w:w w:val="105"/>
                            <w:sz w:val="16"/>
                          </w:rPr>
                          <w:t> </w:t>
                        </w:r>
                        <w:r>
                          <w:rPr>
                            <w:rFonts w:ascii="Arial"/>
                            <w:b/>
                            <w:color w:val="FFFFFF"/>
                            <w:w w:val="105"/>
                            <w:sz w:val="16"/>
                          </w:rPr>
                          <w:t>from</w:t>
                        </w:r>
                        <w:r>
                          <w:rPr>
                            <w:rFonts w:ascii="Arial"/>
                            <w:b/>
                            <w:color w:val="FFFFFF"/>
                            <w:spacing w:val="13"/>
                            <w:w w:val="105"/>
                            <w:sz w:val="16"/>
                          </w:rPr>
                          <w:t> </w:t>
                        </w:r>
                        <w:r>
                          <w:rPr>
                            <w:rFonts w:ascii="Arial"/>
                            <w:b/>
                            <w:color w:val="FFFFFF"/>
                            <w:w w:val="105"/>
                            <w:sz w:val="16"/>
                          </w:rPr>
                          <w:t>tracking</w:t>
                        </w:r>
                        <w:r>
                          <w:rPr>
                            <w:rFonts w:ascii="Arial"/>
                            <w:b/>
                            <w:color w:val="FFFFFF"/>
                            <w:spacing w:val="13"/>
                            <w:w w:val="105"/>
                            <w:sz w:val="16"/>
                          </w:rPr>
                          <w:t> </w:t>
                        </w:r>
                        <w:r>
                          <w:rPr>
                            <w:rFonts w:ascii="Arial"/>
                            <w:b/>
                            <w:color w:val="FFFFFF"/>
                            <w:spacing w:val="-4"/>
                            <w:w w:val="105"/>
                            <w:sz w:val="16"/>
                          </w:rPr>
                          <w:t>data</w:t>
                        </w:r>
                      </w:p>
                    </w:txbxContent>
                  </v:textbox>
                  <w10:wrap type="none"/>
                </v:shape>
                <v:shape style="position:absolute;left:60;top:60;width:900;height:400" type="#_x0000_t202" id="docshape1633" filled="false" stroked="false">
                  <v:textbox inset="0,0,0,0">
                    <w:txbxContent>
                      <w:p>
                        <w:pPr>
                          <w:spacing w:before="144"/>
                          <w:ind w:left="1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b/>
                            <w:color w:val="FFFFFF"/>
                            <w:spacing w:val="-4"/>
                            <w:w w:val="95"/>
                            <w:sz w:val="16"/>
                          </w:rPr>
                          <w:t>A4.2</w:t>
                        </w:r>
                      </w:p>
                    </w:txbxContent>
                  </v:textbox>
                  <w10:wrap type="none"/>
                </v:shape>
              </v:group>
            </w:pict>
          </mc:Fallback>
        </mc:AlternateContent>
      </w:r>
      <w:r>
        <w:rPr>
          <w:rFonts w:ascii="Arial"/>
          <w:sz w:val="20"/>
        </w:rPr>
      </w:r>
    </w:p>
    <w:p>
      <w:pPr>
        <w:pStyle w:val="BodyText"/>
        <w:spacing w:before="5"/>
        <w:rPr>
          <w:rFonts w:ascii="Arial"/>
          <w:sz w:val="5"/>
        </w:rPr>
      </w:pPr>
    </w:p>
    <w:tbl>
      <w:tblPr>
        <w:tblW w:w="0" w:type="auto"/>
        <w:jc w:val="left"/>
        <w:tblInd w:w="1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0"/>
        <w:gridCol w:w="1272"/>
        <w:gridCol w:w="3769"/>
        <w:gridCol w:w="1138"/>
        <w:gridCol w:w="2704"/>
      </w:tblGrid>
      <w:tr>
        <w:trPr>
          <w:trHeight w:val="209" w:hRule="atLeast"/>
        </w:trPr>
        <w:tc>
          <w:tcPr>
            <w:tcW w:w="1440" w:type="dxa"/>
            <w:tcBorders>
              <w:bottom w:val="single" w:sz="4" w:space="0" w:color="008FDD"/>
            </w:tcBorders>
          </w:tcPr>
          <w:p>
            <w:pPr>
              <w:pStyle w:val="TableParagraph"/>
              <w:spacing w:before="3"/>
              <w:ind w:left="80"/>
              <w:jc w:val="left"/>
              <w:rPr>
                <w:b/>
                <w:sz w:val="14"/>
              </w:rPr>
            </w:pPr>
            <w:r>
              <w:rPr>
                <w:b/>
                <w:color w:val="231F20"/>
                <w:spacing w:val="-2"/>
                <w:w w:val="90"/>
                <w:sz w:val="14"/>
              </w:rPr>
              <w:t>Source</w:t>
            </w:r>
          </w:p>
        </w:tc>
        <w:tc>
          <w:tcPr>
            <w:tcW w:w="1272" w:type="dxa"/>
            <w:tcBorders>
              <w:bottom w:val="single" w:sz="4" w:space="0" w:color="008FDD"/>
            </w:tcBorders>
          </w:tcPr>
          <w:p>
            <w:pPr>
              <w:pStyle w:val="TableParagraph"/>
              <w:spacing w:before="3"/>
              <w:ind w:left="80"/>
              <w:jc w:val="left"/>
              <w:rPr>
                <w:b/>
                <w:sz w:val="14"/>
              </w:rPr>
            </w:pPr>
            <w:r>
              <w:rPr>
                <w:b/>
                <w:color w:val="231F20"/>
                <w:spacing w:val="-2"/>
                <w:w w:val="95"/>
                <w:sz w:val="14"/>
              </w:rPr>
              <w:t>Indicator</w:t>
            </w:r>
          </w:p>
        </w:tc>
        <w:tc>
          <w:tcPr>
            <w:tcW w:w="3769" w:type="dxa"/>
            <w:tcBorders>
              <w:bottom w:val="single" w:sz="4" w:space="0" w:color="008FDD"/>
            </w:tcBorders>
          </w:tcPr>
          <w:p>
            <w:pPr>
              <w:pStyle w:val="TableParagraph"/>
              <w:spacing w:before="3"/>
              <w:ind w:left="183"/>
              <w:jc w:val="left"/>
              <w:rPr>
                <w:b/>
                <w:sz w:val="14"/>
              </w:rPr>
            </w:pPr>
            <w:r>
              <w:rPr>
                <w:b/>
                <w:color w:val="231F20"/>
                <w:spacing w:val="-2"/>
                <w:w w:val="95"/>
                <w:sz w:val="14"/>
              </w:rPr>
              <w:t>Definition</w:t>
            </w:r>
          </w:p>
        </w:tc>
        <w:tc>
          <w:tcPr>
            <w:tcW w:w="1138" w:type="dxa"/>
            <w:tcBorders>
              <w:bottom w:val="single" w:sz="4" w:space="0" w:color="008FDD"/>
            </w:tcBorders>
          </w:tcPr>
          <w:p>
            <w:pPr>
              <w:pStyle w:val="TableParagraph"/>
              <w:spacing w:before="3"/>
              <w:ind w:left="79"/>
              <w:jc w:val="left"/>
              <w:rPr>
                <w:b/>
                <w:sz w:val="14"/>
              </w:rPr>
            </w:pPr>
            <w:r>
              <w:rPr>
                <w:b/>
                <w:color w:val="231F20"/>
                <w:spacing w:val="-2"/>
                <w:w w:val="90"/>
                <w:sz w:val="14"/>
              </w:rPr>
              <w:t>Period</w:t>
            </w:r>
          </w:p>
        </w:tc>
        <w:tc>
          <w:tcPr>
            <w:tcW w:w="2704" w:type="dxa"/>
            <w:tcBorders>
              <w:bottom w:val="single" w:sz="4" w:space="0" w:color="008FDD"/>
            </w:tcBorders>
          </w:tcPr>
          <w:p>
            <w:pPr>
              <w:pStyle w:val="TableParagraph"/>
              <w:spacing w:before="3"/>
              <w:ind w:left="141"/>
              <w:jc w:val="left"/>
              <w:rPr>
                <w:b/>
                <w:sz w:val="14"/>
              </w:rPr>
            </w:pPr>
            <w:r>
              <w:rPr>
                <w:b/>
                <w:color w:val="231F20"/>
                <w:w w:val="80"/>
                <w:sz w:val="14"/>
              </w:rPr>
              <w:t>Why</w:t>
            </w:r>
            <w:r>
              <w:rPr>
                <w:b/>
                <w:color w:val="231F20"/>
                <w:sz w:val="14"/>
              </w:rPr>
              <w:t> </w:t>
            </w:r>
            <w:r>
              <w:rPr>
                <w:b/>
                <w:color w:val="231F20"/>
                <w:w w:val="80"/>
                <w:sz w:val="14"/>
              </w:rPr>
              <w:t>it</w:t>
            </w:r>
            <w:r>
              <w:rPr>
                <w:b/>
                <w:color w:val="231F20"/>
                <w:sz w:val="14"/>
              </w:rPr>
              <w:t> </w:t>
            </w:r>
            <w:r>
              <w:rPr>
                <w:b/>
                <w:color w:val="231F20"/>
                <w:spacing w:val="-2"/>
                <w:w w:val="80"/>
                <w:sz w:val="14"/>
              </w:rPr>
              <w:t>matters</w:t>
            </w:r>
          </w:p>
        </w:tc>
      </w:tr>
      <w:tr>
        <w:trPr>
          <w:trHeight w:val="409" w:hRule="atLeast"/>
        </w:trPr>
        <w:tc>
          <w:tcPr>
            <w:tcW w:w="1440" w:type="dxa"/>
            <w:vMerge w:val="restart"/>
            <w:tcBorders>
              <w:top w:val="single" w:sz="4" w:space="0" w:color="008FDD"/>
              <w:bottom w:val="single" w:sz="4" w:space="0" w:color="008FDD"/>
            </w:tcBorders>
            <w:shd w:val="clear" w:color="auto" w:fill="D4E3F5"/>
          </w:tcPr>
          <w:p>
            <w:pPr>
              <w:pStyle w:val="TableParagraph"/>
              <w:spacing w:before="43"/>
              <w:ind w:left="80"/>
              <w:jc w:val="left"/>
              <w:rPr>
                <w:sz w:val="14"/>
              </w:rPr>
            </w:pPr>
            <w:r>
              <w:rPr>
                <w:color w:val="231F20"/>
                <w:w w:val="75"/>
                <w:sz w:val="14"/>
              </w:rPr>
              <w:t>MDS</w:t>
            </w:r>
            <w:r>
              <w:rPr>
                <w:color w:val="231F20"/>
                <w:spacing w:val="5"/>
                <w:sz w:val="14"/>
              </w:rPr>
              <w:t> </w:t>
            </w:r>
            <w:r>
              <w:rPr>
                <w:color w:val="231F20"/>
                <w:spacing w:val="-2"/>
                <w:w w:val="85"/>
                <w:sz w:val="14"/>
              </w:rPr>
              <w:t>Transmodal</w:t>
            </w:r>
          </w:p>
        </w:tc>
        <w:tc>
          <w:tcPr>
            <w:tcW w:w="1272" w:type="dxa"/>
            <w:tcBorders>
              <w:top w:val="single" w:sz="4" w:space="0" w:color="008FDD"/>
              <w:bottom w:val="single" w:sz="4" w:space="0" w:color="008FDD"/>
            </w:tcBorders>
            <w:shd w:val="clear" w:color="auto" w:fill="D4E3F5"/>
          </w:tcPr>
          <w:p>
            <w:pPr>
              <w:pStyle w:val="TableParagraph"/>
              <w:spacing w:before="43"/>
              <w:ind w:left="80"/>
              <w:jc w:val="left"/>
              <w:rPr>
                <w:sz w:val="14"/>
              </w:rPr>
            </w:pPr>
            <w:r>
              <w:rPr>
                <w:color w:val="231F20"/>
                <w:w w:val="75"/>
                <w:sz w:val="14"/>
              </w:rPr>
              <w:t>Number</w:t>
            </w:r>
            <w:r>
              <w:rPr>
                <w:color w:val="231F20"/>
                <w:spacing w:val="9"/>
                <w:sz w:val="14"/>
              </w:rPr>
              <w:t> </w:t>
            </w:r>
            <w:r>
              <w:rPr>
                <w:color w:val="231F20"/>
                <w:w w:val="75"/>
                <w:sz w:val="14"/>
              </w:rPr>
              <w:t>of</w:t>
            </w:r>
            <w:r>
              <w:rPr>
                <w:color w:val="231F20"/>
                <w:spacing w:val="10"/>
                <w:sz w:val="14"/>
              </w:rPr>
              <w:t> </w:t>
            </w:r>
            <w:r>
              <w:rPr>
                <w:color w:val="231F20"/>
                <w:spacing w:val="-2"/>
                <w:w w:val="75"/>
                <w:sz w:val="14"/>
              </w:rPr>
              <w:t>services</w:t>
            </w:r>
          </w:p>
        </w:tc>
        <w:tc>
          <w:tcPr>
            <w:tcW w:w="3769" w:type="dxa"/>
            <w:tcBorders>
              <w:top w:val="single" w:sz="4" w:space="0" w:color="008FDD"/>
              <w:bottom w:val="single" w:sz="4" w:space="0" w:color="008FDD"/>
            </w:tcBorders>
            <w:shd w:val="clear" w:color="auto" w:fill="D4E3F5"/>
          </w:tcPr>
          <w:p>
            <w:pPr>
              <w:pStyle w:val="TableParagraph"/>
              <w:spacing w:before="43"/>
              <w:ind w:left="183"/>
              <w:jc w:val="left"/>
              <w:rPr>
                <w:sz w:val="14"/>
              </w:rPr>
            </w:pPr>
            <w:r>
              <w:rPr>
                <w:color w:val="231F20"/>
                <w:w w:val="80"/>
                <w:sz w:val="14"/>
              </w:rPr>
              <w:t>Total number of maritime services (operated through liner shipping</w:t>
            </w:r>
            <w:r>
              <w:rPr>
                <w:color w:val="231F20"/>
                <w:spacing w:val="40"/>
                <w:sz w:val="14"/>
              </w:rPr>
              <w:t> </w:t>
            </w:r>
            <w:r>
              <w:rPr>
                <w:color w:val="231F20"/>
                <w:w w:val="80"/>
                <w:sz w:val="14"/>
              </w:rPr>
              <w:t>companies on a predefined rotation) between the two countries.</w:t>
            </w:r>
          </w:p>
        </w:tc>
        <w:tc>
          <w:tcPr>
            <w:tcW w:w="1138" w:type="dxa"/>
            <w:tcBorders>
              <w:top w:val="single" w:sz="4" w:space="0" w:color="008FDD"/>
              <w:bottom w:val="single" w:sz="4" w:space="0" w:color="008FDD"/>
            </w:tcBorders>
            <w:shd w:val="clear" w:color="auto" w:fill="D4E3F5"/>
          </w:tcPr>
          <w:p>
            <w:pPr>
              <w:pStyle w:val="TableParagraph"/>
              <w:spacing w:before="43"/>
              <w:ind w:left="79" w:right="210"/>
              <w:jc w:val="left"/>
              <w:rPr>
                <w:sz w:val="14"/>
              </w:rPr>
            </w:pPr>
            <w:r>
              <w:rPr>
                <w:color w:val="231F20"/>
                <w:w w:val="80"/>
                <w:sz w:val="14"/>
              </w:rPr>
              <w:t>Second</w:t>
            </w:r>
            <w:r>
              <w:rPr>
                <w:color w:val="231F20"/>
                <w:spacing w:val="-2"/>
                <w:w w:val="80"/>
                <w:sz w:val="14"/>
              </w:rPr>
              <w:t> </w:t>
            </w:r>
            <w:r>
              <w:rPr>
                <w:color w:val="231F20"/>
                <w:w w:val="80"/>
                <w:sz w:val="14"/>
              </w:rPr>
              <w:t>quarter</w:t>
            </w:r>
            <w:r>
              <w:rPr>
                <w:color w:val="231F20"/>
                <w:spacing w:val="40"/>
                <w:sz w:val="14"/>
              </w:rPr>
              <w:t> </w:t>
            </w:r>
            <w:r>
              <w:rPr>
                <w:color w:val="231F20"/>
                <w:w w:val="90"/>
                <w:sz w:val="14"/>
              </w:rPr>
              <w:t>of</w:t>
            </w:r>
            <w:r>
              <w:rPr>
                <w:color w:val="231F20"/>
                <w:spacing w:val="-6"/>
                <w:w w:val="90"/>
                <w:sz w:val="14"/>
              </w:rPr>
              <w:t> </w:t>
            </w:r>
            <w:r>
              <w:rPr>
                <w:color w:val="231F20"/>
                <w:w w:val="90"/>
                <w:sz w:val="14"/>
              </w:rPr>
              <w:t>2022</w:t>
            </w:r>
          </w:p>
        </w:tc>
        <w:tc>
          <w:tcPr>
            <w:tcW w:w="2704" w:type="dxa"/>
            <w:tcBorders>
              <w:top w:val="single" w:sz="4" w:space="0" w:color="008FDD"/>
              <w:bottom w:val="single" w:sz="4" w:space="0" w:color="008FDD"/>
            </w:tcBorders>
            <w:shd w:val="clear" w:color="auto" w:fill="D4E3F5"/>
          </w:tcPr>
          <w:p>
            <w:pPr>
              <w:pStyle w:val="TableParagraph"/>
              <w:spacing w:before="43"/>
              <w:ind w:left="141" w:right="752"/>
              <w:jc w:val="left"/>
              <w:rPr>
                <w:sz w:val="14"/>
              </w:rPr>
            </w:pPr>
            <w:r>
              <w:rPr>
                <w:color w:val="231F20"/>
                <w:w w:val="80"/>
                <w:sz w:val="14"/>
              </w:rPr>
              <w:t>Availability</w:t>
            </w:r>
            <w:r>
              <w:rPr>
                <w:color w:val="231F20"/>
                <w:spacing w:val="-2"/>
                <w:w w:val="80"/>
                <w:sz w:val="14"/>
              </w:rPr>
              <w:t> </w:t>
            </w:r>
            <w:r>
              <w:rPr>
                <w:color w:val="231F20"/>
                <w:w w:val="80"/>
                <w:sz w:val="14"/>
              </w:rPr>
              <w:t>of</w:t>
            </w:r>
            <w:r>
              <w:rPr>
                <w:color w:val="231F20"/>
                <w:spacing w:val="-2"/>
                <w:w w:val="80"/>
                <w:sz w:val="14"/>
              </w:rPr>
              <w:t> </w:t>
            </w:r>
            <w:r>
              <w:rPr>
                <w:color w:val="231F20"/>
                <w:w w:val="80"/>
                <w:sz w:val="14"/>
              </w:rPr>
              <w:t>services</w:t>
            </w:r>
            <w:r>
              <w:rPr>
                <w:color w:val="231F20"/>
                <w:spacing w:val="-2"/>
                <w:w w:val="80"/>
                <w:sz w:val="14"/>
              </w:rPr>
              <w:t> </w:t>
            </w:r>
            <w:r>
              <w:rPr>
                <w:color w:val="231F20"/>
                <w:w w:val="80"/>
                <w:sz w:val="14"/>
              </w:rPr>
              <w:t>and</w:t>
            </w:r>
            <w:r>
              <w:rPr>
                <w:color w:val="231F20"/>
                <w:spacing w:val="40"/>
                <w:sz w:val="14"/>
              </w:rPr>
              <w:t> </w:t>
            </w:r>
            <w:r>
              <w:rPr>
                <w:color w:val="231F20"/>
                <w:w w:val="85"/>
                <w:sz w:val="14"/>
              </w:rPr>
              <w:t>frequency of connection.</w:t>
            </w:r>
          </w:p>
        </w:tc>
      </w:tr>
      <w:tr>
        <w:trPr>
          <w:trHeight w:val="409" w:hRule="atLeast"/>
        </w:trPr>
        <w:tc>
          <w:tcPr>
            <w:tcW w:w="1440" w:type="dxa"/>
            <w:vMerge/>
            <w:tcBorders>
              <w:top w:val="nil"/>
              <w:bottom w:val="single" w:sz="4" w:space="0" w:color="008FDD"/>
            </w:tcBorders>
            <w:shd w:val="clear" w:color="auto" w:fill="D4E3F5"/>
          </w:tcPr>
          <w:p>
            <w:pPr>
              <w:rPr>
                <w:sz w:val="2"/>
                <w:szCs w:val="2"/>
              </w:rPr>
            </w:pPr>
          </w:p>
        </w:tc>
        <w:tc>
          <w:tcPr>
            <w:tcW w:w="1272" w:type="dxa"/>
            <w:tcBorders>
              <w:top w:val="single" w:sz="4" w:space="0" w:color="008FDD"/>
              <w:bottom w:val="single" w:sz="4" w:space="0" w:color="008FDD"/>
            </w:tcBorders>
            <w:shd w:val="clear" w:color="auto" w:fill="D4E3F5"/>
          </w:tcPr>
          <w:p>
            <w:pPr>
              <w:pStyle w:val="TableParagraph"/>
              <w:spacing w:before="43"/>
              <w:ind w:left="80"/>
              <w:jc w:val="left"/>
              <w:rPr>
                <w:sz w:val="14"/>
              </w:rPr>
            </w:pPr>
            <w:r>
              <w:rPr>
                <w:color w:val="231F20"/>
                <w:w w:val="80"/>
                <w:sz w:val="14"/>
              </w:rPr>
              <w:t>Number</w:t>
            </w:r>
            <w:r>
              <w:rPr>
                <w:color w:val="231F20"/>
                <w:spacing w:val="-6"/>
                <w:sz w:val="14"/>
              </w:rPr>
              <w:t> </w:t>
            </w:r>
            <w:r>
              <w:rPr>
                <w:color w:val="231F20"/>
                <w:w w:val="80"/>
                <w:sz w:val="14"/>
              </w:rPr>
              <w:t>of</w:t>
            </w:r>
            <w:r>
              <w:rPr>
                <w:color w:val="231F20"/>
                <w:spacing w:val="-5"/>
                <w:sz w:val="14"/>
              </w:rPr>
              <w:t> </w:t>
            </w:r>
            <w:r>
              <w:rPr>
                <w:color w:val="231F20"/>
                <w:spacing w:val="-2"/>
                <w:w w:val="80"/>
                <w:sz w:val="14"/>
              </w:rPr>
              <w:t>alliances</w:t>
            </w:r>
          </w:p>
        </w:tc>
        <w:tc>
          <w:tcPr>
            <w:tcW w:w="3769" w:type="dxa"/>
            <w:tcBorders>
              <w:top w:val="single" w:sz="4" w:space="0" w:color="008FDD"/>
              <w:bottom w:val="single" w:sz="4" w:space="0" w:color="008FDD"/>
            </w:tcBorders>
            <w:shd w:val="clear" w:color="auto" w:fill="D4E3F5"/>
          </w:tcPr>
          <w:p>
            <w:pPr>
              <w:pStyle w:val="TableParagraph"/>
              <w:spacing w:before="43"/>
              <w:ind w:left="183"/>
              <w:jc w:val="left"/>
              <w:rPr>
                <w:sz w:val="14"/>
              </w:rPr>
            </w:pPr>
            <w:r>
              <w:rPr>
                <w:color w:val="231F20"/>
                <w:w w:val="75"/>
                <w:sz w:val="14"/>
              </w:rPr>
              <w:t>Count</w:t>
            </w:r>
            <w:r>
              <w:rPr>
                <w:color w:val="231F20"/>
                <w:spacing w:val="11"/>
                <w:sz w:val="14"/>
              </w:rPr>
              <w:t> </w:t>
            </w:r>
            <w:r>
              <w:rPr>
                <w:color w:val="231F20"/>
                <w:w w:val="75"/>
                <w:sz w:val="14"/>
              </w:rPr>
              <w:t>of</w:t>
            </w:r>
            <w:r>
              <w:rPr>
                <w:color w:val="231F20"/>
                <w:spacing w:val="12"/>
                <w:sz w:val="14"/>
              </w:rPr>
              <w:t> </w:t>
            </w:r>
            <w:r>
              <w:rPr>
                <w:color w:val="231F20"/>
                <w:w w:val="75"/>
                <w:sz w:val="14"/>
              </w:rPr>
              <w:t>the</w:t>
            </w:r>
            <w:r>
              <w:rPr>
                <w:color w:val="231F20"/>
                <w:spacing w:val="12"/>
                <w:sz w:val="14"/>
              </w:rPr>
              <w:t> </w:t>
            </w:r>
            <w:r>
              <w:rPr>
                <w:color w:val="231F20"/>
                <w:w w:val="75"/>
                <w:sz w:val="14"/>
              </w:rPr>
              <w:t>number</w:t>
            </w:r>
            <w:r>
              <w:rPr>
                <w:color w:val="231F20"/>
                <w:spacing w:val="11"/>
                <w:sz w:val="14"/>
              </w:rPr>
              <w:t> </w:t>
            </w:r>
            <w:r>
              <w:rPr>
                <w:color w:val="231F20"/>
                <w:w w:val="75"/>
                <w:sz w:val="14"/>
              </w:rPr>
              <w:t>of</w:t>
            </w:r>
            <w:r>
              <w:rPr>
                <w:color w:val="231F20"/>
                <w:spacing w:val="12"/>
                <w:sz w:val="14"/>
              </w:rPr>
              <w:t> </w:t>
            </w:r>
            <w:r>
              <w:rPr>
                <w:color w:val="231F20"/>
                <w:w w:val="75"/>
                <w:sz w:val="14"/>
              </w:rPr>
              <w:t>alliances</w:t>
            </w:r>
            <w:r>
              <w:rPr>
                <w:color w:val="231F20"/>
                <w:spacing w:val="12"/>
                <w:sz w:val="14"/>
              </w:rPr>
              <w:t> </w:t>
            </w:r>
            <w:r>
              <w:rPr>
                <w:color w:val="231F20"/>
                <w:w w:val="75"/>
                <w:sz w:val="14"/>
              </w:rPr>
              <w:t>per</w:t>
            </w:r>
            <w:r>
              <w:rPr>
                <w:color w:val="231F20"/>
                <w:spacing w:val="12"/>
                <w:sz w:val="14"/>
              </w:rPr>
              <w:t> </w:t>
            </w:r>
            <w:r>
              <w:rPr>
                <w:color w:val="231F20"/>
                <w:w w:val="75"/>
                <w:sz w:val="14"/>
              </w:rPr>
              <w:t>destination</w:t>
            </w:r>
            <w:r>
              <w:rPr>
                <w:color w:val="231F20"/>
                <w:spacing w:val="11"/>
                <w:sz w:val="14"/>
              </w:rPr>
              <w:t> </w:t>
            </w:r>
            <w:r>
              <w:rPr>
                <w:color w:val="231F20"/>
                <w:spacing w:val="-2"/>
                <w:w w:val="75"/>
                <w:sz w:val="14"/>
              </w:rPr>
              <w:t>country.</w:t>
            </w:r>
          </w:p>
        </w:tc>
        <w:tc>
          <w:tcPr>
            <w:tcW w:w="1138" w:type="dxa"/>
            <w:tcBorders>
              <w:top w:val="single" w:sz="4" w:space="0" w:color="008FDD"/>
              <w:bottom w:val="single" w:sz="4" w:space="0" w:color="008FDD"/>
            </w:tcBorders>
            <w:shd w:val="clear" w:color="auto" w:fill="D4E3F5"/>
          </w:tcPr>
          <w:p>
            <w:pPr>
              <w:pStyle w:val="TableParagraph"/>
              <w:spacing w:before="43"/>
              <w:ind w:left="79" w:right="210"/>
              <w:jc w:val="left"/>
              <w:rPr>
                <w:sz w:val="14"/>
              </w:rPr>
            </w:pPr>
            <w:r>
              <w:rPr>
                <w:color w:val="231F20"/>
                <w:w w:val="80"/>
                <w:sz w:val="14"/>
              </w:rPr>
              <w:t>Second</w:t>
            </w:r>
            <w:r>
              <w:rPr>
                <w:color w:val="231F20"/>
                <w:spacing w:val="-2"/>
                <w:w w:val="80"/>
                <w:sz w:val="14"/>
              </w:rPr>
              <w:t> </w:t>
            </w:r>
            <w:r>
              <w:rPr>
                <w:color w:val="231F20"/>
                <w:w w:val="80"/>
                <w:sz w:val="14"/>
              </w:rPr>
              <w:t>quarter</w:t>
            </w:r>
            <w:r>
              <w:rPr>
                <w:color w:val="231F20"/>
                <w:spacing w:val="40"/>
                <w:sz w:val="14"/>
              </w:rPr>
              <w:t> </w:t>
            </w:r>
            <w:r>
              <w:rPr>
                <w:color w:val="231F20"/>
                <w:w w:val="90"/>
                <w:sz w:val="14"/>
              </w:rPr>
              <w:t>of</w:t>
            </w:r>
            <w:r>
              <w:rPr>
                <w:color w:val="231F20"/>
                <w:spacing w:val="-6"/>
                <w:w w:val="90"/>
                <w:sz w:val="14"/>
              </w:rPr>
              <w:t> </w:t>
            </w:r>
            <w:r>
              <w:rPr>
                <w:color w:val="231F20"/>
                <w:w w:val="90"/>
                <w:sz w:val="14"/>
              </w:rPr>
              <w:t>2022</w:t>
            </w:r>
          </w:p>
        </w:tc>
        <w:tc>
          <w:tcPr>
            <w:tcW w:w="2704" w:type="dxa"/>
            <w:tcBorders>
              <w:top w:val="single" w:sz="4" w:space="0" w:color="008FDD"/>
              <w:bottom w:val="single" w:sz="4" w:space="0" w:color="008FDD"/>
            </w:tcBorders>
            <w:shd w:val="clear" w:color="auto" w:fill="D4E3F5"/>
          </w:tcPr>
          <w:p>
            <w:pPr>
              <w:pStyle w:val="TableParagraph"/>
              <w:spacing w:before="43"/>
              <w:ind w:left="141"/>
              <w:jc w:val="left"/>
              <w:rPr>
                <w:sz w:val="14"/>
              </w:rPr>
            </w:pPr>
            <w:r>
              <w:rPr>
                <w:color w:val="231F20"/>
                <w:spacing w:val="2"/>
                <w:w w:val="75"/>
                <w:sz w:val="14"/>
              </w:rPr>
              <w:t>Competition</w:t>
            </w:r>
            <w:r>
              <w:rPr>
                <w:color w:val="231F20"/>
                <w:spacing w:val="13"/>
                <w:sz w:val="14"/>
              </w:rPr>
              <w:t> </w:t>
            </w:r>
            <w:r>
              <w:rPr>
                <w:color w:val="231F20"/>
                <w:spacing w:val="2"/>
                <w:w w:val="75"/>
                <w:sz w:val="14"/>
              </w:rPr>
              <w:t>between</w:t>
            </w:r>
            <w:r>
              <w:rPr>
                <w:color w:val="231F20"/>
                <w:spacing w:val="13"/>
                <w:sz w:val="14"/>
              </w:rPr>
              <w:t> </w:t>
            </w:r>
            <w:r>
              <w:rPr>
                <w:color w:val="231F20"/>
                <w:spacing w:val="-2"/>
                <w:w w:val="75"/>
                <w:sz w:val="14"/>
              </w:rPr>
              <w:t>services.</w:t>
            </w:r>
          </w:p>
        </w:tc>
      </w:tr>
      <w:tr>
        <w:trPr>
          <w:trHeight w:val="409" w:hRule="atLeast"/>
        </w:trPr>
        <w:tc>
          <w:tcPr>
            <w:tcW w:w="1440" w:type="dxa"/>
            <w:vMerge/>
            <w:tcBorders>
              <w:top w:val="nil"/>
              <w:bottom w:val="single" w:sz="4" w:space="0" w:color="008FDD"/>
            </w:tcBorders>
            <w:shd w:val="clear" w:color="auto" w:fill="D4E3F5"/>
          </w:tcPr>
          <w:p>
            <w:pPr>
              <w:rPr>
                <w:sz w:val="2"/>
                <w:szCs w:val="2"/>
              </w:rPr>
            </w:pPr>
          </w:p>
        </w:tc>
        <w:tc>
          <w:tcPr>
            <w:tcW w:w="1272" w:type="dxa"/>
            <w:tcBorders>
              <w:top w:val="single" w:sz="4" w:space="0" w:color="008FDD"/>
              <w:bottom w:val="single" w:sz="4" w:space="0" w:color="008FDD"/>
            </w:tcBorders>
            <w:shd w:val="clear" w:color="auto" w:fill="D4E3F5"/>
          </w:tcPr>
          <w:p>
            <w:pPr>
              <w:pStyle w:val="TableParagraph"/>
              <w:spacing w:before="43"/>
              <w:ind w:left="80"/>
              <w:jc w:val="left"/>
              <w:rPr>
                <w:sz w:val="14"/>
              </w:rPr>
            </w:pPr>
            <w:r>
              <w:rPr>
                <w:color w:val="231F20"/>
                <w:w w:val="80"/>
                <w:sz w:val="14"/>
              </w:rPr>
              <w:t>Number</w:t>
            </w:r>
            <w:r>
              <w:rPr>
                <w:color w:val="231F20"/>
                <w:spacing w:val="-2"/>
                <w:w w:val="80"/>
                <w:sz w:val="14"/>
              </w:rPr>
              <w:t> </w:t>
            </w:r>
            <w:r>
              <w:rPr>
                <w:color w:val="231F20"/>
                <w:w w:val="80"/>
                <w:sz w:val="14"/>
              </w:rPr>
              <w:t>of</w:t>
            </w:r>
            <w:r>
              <w:rPr>
                <w:color w:val="231F20"/>
                <w:spacing w:val="-2"/>
                <w:w w:val="80"/>
                <w:sz w:val="14"/>
              </w:rPr>
              <w:t> </w:t>
            </w:r>
            <w:r>
              <w:rPr>
                <w:color w:val="231F20"/>
                <w:w w:val="80"/>
                <w:sz w:val="14"/>
              </w:rPr>
              <w:t>partners</w:t>
            </w:r>
            <w:r>
              <w:rPr>
                <w:color w:val="231F20"/>
                <w:spacing w:val="40"/>
                <w:sz w:val="14"/>
              </w:rPr>
              <w:t> </w:t>
            </w:r>
            <w:r>
              <w:rPr>
                <w:color w:val="231F20"/>
                <w:spacing w:val="-2"/>
                <w:w w:val="90"/>
                <w:sz w:val="14"/>
              </w:rPr>
              <w:t>(countries)</w:t>
            </w:r>
          </w:p>
        </w:tc>
        <w:tc>
          <w:tcPr>
            <w:tcW w:w="3769" w:type="dxa"/>
            <w:tcBorders>
              <w:top w:val="single" w:sz="4" w:space="0" w:color="008FDD"/>
              <w:bottom w:val="single" w:sz="4" w:space="0" w:color="008FDD"/>
            </w:tcBorders>
            <w:shd w:val="clear" w:color="auto" w:fill="D4E3F5"/>
          </w:tcPr>
          <w:p>
            <w:pPr>
              <w:pStyle w:val="TableParagraph"/>
              <w:spacing w:before="43"/>
              <w:ind w:left="183"/>
              <w:jc w:val="left"/>
              <w:rPr>
                <w:sz w:val="14"/>
              </w:rPr>
            </w:pPr>
            <w:r>
              <w:rPr>
                <w:color w:val="231F20"/>
                <w:w w:val="80"/>
                <w:sz w:val="14"/>
              </w:rPr>
              <w:t>Count</w:t>
            </w:r>
            <w:r>
              <w:rPr>
                <w:color w:val="231F20"/>
                <w:spacing w:val="-3"/>
                <w:sz w:val="14"/>
              </w:rPr>
              <w:t> </w:t>
            </w:r>
            <w:r>
              <w:rPr>
                <w:color w:val="231F20"/>
                <w:w w:val="80"/>
                <w:sz w:val="14"/>
              </w:rPr>
              <w:t>of</w:t>
            </w:r>
            <w:r>
              <w:rPr>
                <w:color w:val="231F20"/>
                <w:spacing w:val="-2"/>
                <w:sz w:val="14"/>
              </w:rPr>
              <w:t> </w:t>
            </w:r>
            <w:r>
              <w:rPr>
                <w:color w:val="231F20"/>
                <w:w w:val="80"/>
                <w:sz w:val="14"/>
              </w:rPr>
              <w:t>distinct</w:t>
            </w:r>
            <w:r>
              <w:rPr>
                <w:color w:val="231F20"/>
                <w:spacing w:val="-2"/>
                <w:sz w:val="14"/>
              </w:rPr>
              <w:t> </w:t>
            </w:r>
            <w:r>
              <w:rPr>
                <w:color w:val="231F20"/>
                <w:w w:val="80"/>
                <w:sz w:val="14"/>
              </w:rPr>
              <w:t>number</w:t>
            </w:r>
            <w:r>
              <w:rPr>
                <w:color w:val="231F20"/>
                <w:spacing w:val="-2"/>
                <w:sz w:val="14"/>
              </w:rPr>
              <w:t> </w:t>
            </w:r>
            <w:r>
              <w:rPr>
                <w:color w:val="231F20"/>
                <w:w w:val="80"/>
                <w:sz w:val="14"/>
              </w:rPr>
              <w:t>of</w:t>
            </w:r>
            <w:r>
              <w:rPr>
                <w:color w:val="231F20"/>
                <w:spacing w:val="-2"/>
                <w:sz w:val="14"/>
              </w:rPr>
              <w:t> </w:t>
            </w:r>
            <w:r>
              <w:rPr>
                <w:color w:val="231F20"/>
                <w:w w:val="80"/>
                <w:sz w:val="14"/>
              </w:rPr>
              <w:t>country</w:t>
            </w:r>
            <w:r>
              <w:rPr>
                <w:color w:val="231F20"/>
                <w:spacing w:val="-2"/>
                <w:sz w:val="14"/>
              </w:rPr>
              <w:t> </w:t>
            </w:r>
            <w:r>
              <w:rPr>
                <w:color w:val="231F20"/>
                <w:w w:val="80"/>
                <w:sz w:val="14"/>
              </w:rPr>
              <w:t>partners</w:t>
            </w:r>
            <w:r>
              <w:rPr>
                <w:color w:val="231F20"/>
                <w:spacing w:val="-2"/>
                <w:sz w:val="14"/>
              </w:rPr>
              <w:t> </w:t>
            </w:r>
            <w:r>
              <w:rPr>
                <w:color w:val="231F20"/>
                <w:w w:val="80"/>
                <w:sz w:val="14"/>
              </w:rPr>
              <w:t>per</w:t>
            </w:r>
            <w:r>
              <w:rPr>
                <w:color w:val="231F20"/>
                <w:spacing w:val="-2"/>
                <w:sz w:val="14"/>
              </w:rPr>
              <w:t> </w:t>
            </w:r>
            <w:r>
              <w:rPr>
                <w:color w:val="231F20"/>
                <w:w w:val="80"/>
                <w:sz w:val="14"/>
              </w:rPr>
              <w:t>destination</w:t>
            </w:r>
            <w:r>
              <w:rPr>
                <w:color w:val="231F20"/>
                <w:spacing w:val="-2"/>
                <w:sz w:val="14"/>
              </w:rPr>
              <w:t> </w:t>
            </w:r>
            <w:r>
              <w:rPr>
                <w:color w:val="231F20"/>
                <w:spacing w:val="-2"/>
                <w:w w:val="80"/>
                <w:sz w:val="14"/>
              </w:rPr>
              <w:t>country.</w:t>
            </w:r>
          </w:p>
        </w:tc>
        <w:tc>
          <w:tcPr>
            <w:tcW w:w="1138" w:type="dxa"/>
            <w:tcBorders>
              <w:top w:val="single" w:sz="4" w:space="0" w:color="008FDD"/>
              <w:bottom w:val="single" w:sz="4" w:space="0" w:color="008FDD"/>
            </w:tcBorders>
            <w:shd w:val="clear" w:color="auto" w:fill="D4E3F5"/>
          </w:tcPr>
          <w:p>
            <w:pPr>
              <w:pStyle w:val="TableParagraph"/>
              <w:spacing w:before="43"/>
              <w:ind w:left="79" w:right="210"/>
              <w:jc w:val="left"/>
              <w:rPr>
                <w:sz w:val="14"/>
              </w:rPr>
            </w:pPr>
            <w:r>
              <w:rPr>
                <w:color w:val="231F20"/>
                <w:w w:val="80"/>
                <w:sz w:val="14"/>
              </w:rPr>
              <w:t>Second</w:t>
            </w:r>
            <w:r>
              <w:rPr>
                <w:color w:val="231F20"/>
                <w:spacing w:val="-2"/>
                <w:w w:val="80"/>
                <w:sz w:val="14"/>
              </w:rPr>
              <w:t> </w:t>
            </w:r>
            <w:r>
              <w:rPr>
                <w:color w:val="231F20"/>
                <w:w w:val="80"/>
                <w:sz w:val="14"/>
              </w:rPr>
              <w:t>quarter</w:t>
            </w:r>
            <w:r>
              <w:rPr>
                <w:color w:val="231F20"/>
                <w:spacing w:val="40"/>
                <w:sz w:val="14"/>
              </w:rPr>
              <w:t> </w:t>
            </w:r>
            <w:r>
              <w:rPr>
                <w:color w:val="231F20"/>
                <w:w w:val="90"/>
                <w:sz w:val="14"/>
              </w:rPr>
              <w:t>of</w:t>
            </w:r>
            <w:r>
              <w:rPr>
                <w:color w:val="231F20"/>
                <w:spacing w:val="-6"/>
                <w:w w:val="90"/>
                <w:sz w:val="14"/>
              </w:rPr>
              <w:t> </w:t>
            </w:r>
            <w:r>
              <w:rPr>
                <w:color w:val="231F20"/>
                <w:w w:val="90"/>
                <w:sz w:val="14"/>
              </w:rPr>
              <w:t>2022</w:t>
            </w:r>
          </w:p>
        </w:tc>
        <w:tc>
          <w:tcPr>
            <w:tcW w:w="2704" w:type="dxa"/>
            <w:tcBorders>
              <w:top w:val="single" w:sz="4" w:space="0" w:color="008FDD"/>
              <w:bottom w:val="single" w:sz="4" w:space="0" w:color="008FDD"/>
            </w:tcBorders>
            <w:shd w:val="clear" w:color="auto" w:fill="D4E3F5"/>
          </w:tcPr>
          <w:p>
            <w:pPr>
              <w:pStyle w:val="TableParagraph"/>
              <w:spacing w:before="43"/>
              <w:ind w:left="141"/>
              <w:jc w:val="left"/>
              <w:rPr>
                <w:sz w:val="14"/>
              </w:rPr>
            </w:pPr>
            <w:r>
              <w:rPr>
                <w:color w:val="231F20"/>
                <w:spacing w:val="2"/>
                <w:w w:val="75"/>
                <w:sz w:val="14"/>
              </w:rPr>
              <w:t>Shipping</w:t>
            </w:r>
            <w:r>
              <w:rPr>
                <w:color w:val="231F20"/>
                <w:spacing w:val="10"/>
                <w:sz w:val="14"/>
              </w:rPr>
              <w:t> </w:t>
            </w:r>
            <w:r>
              <w:rPr>
                <w:color w:val="231F20"/>
                <w:spacing w:val="2"/>
                <w:w w:val="75"/>
                <w:sz w:val="14"/>
              </w:rPr>
              <w:t>connectivity</w:t>
            </w:r>
            <w:r>
              <w:rPr>
                <w:color w:val="231F20"/>
                <w:spacing w:val="11"/>
                <w:sz w:val="14"/>
              </w:rPr>
              <w:t> </w:t>
            </w:r>
            <w:r>
              <w:rPr>
                <w:color w:val="231F20"/>
                <w:spacing w:val="-2"/>
                <w:w w:val="75"/>
                <w:sz w:val="14"/>
              </w:rPr>
              <w:t>metric.</w:t>
            </w:r>
          </w:p>
        </w:tc>
      </w:tr>
      <w:tr>
        <w:trPr>
          <w:trHeight w:val="409" w:hRule="atLeast"/>
        </w:trPr>
        <w:tc>
          <w:tcPr>
            <w:tcW w:w="1440" w:type="dxa"/>
            <w:tcBorders>
              <w:top w:val="single" w:sz="4" w:space="0" w:color="008FDD"/>
            </w:tcBorders>
          </w:tcPr>
          <w:p>
            <w:pPr>
              <w:pStyle w:val="TableParagraph"/>
              <w:spacing w:before="43"/>
              <w:ind w:left="80"/>
              <w:jc w:val="left"/>
              <w:rPr>
                <w:sz w:val="14"/>
              </w:rPr>
            </w:pPr>
            <w:r>
              <w:rPr>
                <w:color w:val="231F20"/>
                <w:w w:val="75"/>
                <w:sz w:val="14"/>
              </w:rPr>
              <w:t>Cargo</w:t>
            </w:r>
            <w:r>
              <w:rPr>
                <w:color w:val="231F20"/>
                <w:spacing w:val="4"/>
                <w:sz w:val="14"/>
              </w:rPr>
              <w:t> </w:t>
            </w:r>
            <w:r>
              <w:rPr>
                <w:color w:val="231F20"/>
                <w:spacing w:val="-5"/>
                <w:w w:val="85"/>
                <w:sz w:val="14"/>
              </w:rPr>
              <w:t>iQ</w:t>
            </w:r>
          </w:p>
        </w:tc>
        <w:tc>
          <w:tcPr>
            <w:tcW w:w="1272" w:type="dxa"/>
            <w:tcBorders>
              <w:top w:val="single" w:sz="4" w:space="0" w:color="008FDD"/>
              <w:bottom w:val="single" w:sz="4" w:space="0" w:color="008FDD"/>
            </w:tcBorders>
          </w:tcPr>
          <w:p>
            <w:pPr>
              <w:pStyle w:val="TableParagraph"/>
              <w:spacing w:before="43"/>
              <w:ind w:left="80"/>
              <w:jc w:val="left"/>
              <w:rPr>
                <w:sz w:val="14"/>
              </w:rPr>
            </w:pPr>
            <w:r>
              <w:rPr>
                <w:color w:val="231F20"/>
                <w:w w:val="80"/>
                <w:sz w:val="14"/>
              </w:rPr>
              <w:t>Number</w:t>
            </w:r>
            <w:r>
              <w:rPr>
                <w:color w:val="231F20"/>
                <w:spacing w:val="-2"/>
                <w:w w:val="80"/>
                <w:sz w:val="14"/>
              </w:rPr>
              <w:t> </w:t>
            </w:r>
            <w:r>
              <w:rPr>
                <w:color w:val="231F20"/>
                <w:w w:val="80"/>
                <w:sz w:val="14"/>
              </w:rPr>
              <w:t>of</w:t>
            </w:r>
            <w:r>
              <w:rPr>
                <w:color w:val="231F20"/>
                <w:spacing w:val="-2"/>
                <w:w w:val="80"/>
                <w:sz w:val="14"/>
              </w:rPr>
              <w:t> </w:t>
            </w:r>
            <w:r>
              <w:rPr>
                <w:color w:val="231F20"/>
                <w:w w:val="80"/>
                <w:sz w:val="14"/>
              </w:rPr>
              <w:t>partners</w:t>
            </w:r>
            <w:r>
              <w:rPr>
                <w:color w:val="231F20"/>
                <w:spacing w:val="40"/>
                <w:sz w:val="14"/>
              </w:rPr>
              <w:t> </w:t>
            </w:r>
            <w:r>
              <w:rPr>
                <w:color w:val="231F20"/>
                <w:spacing w:val="-2"/>
                <w:w w:val="90"/>
                <w:sz w:val="14"/>
              </w:rPr>
              <w:t>(countries)</w:t>
            </w:r>
          </w:p>
        </w:tc>
        <w:tc>
          <w:tcPr>
            <w:tcW w:w="3769" w:type="dxa"/>
            <w:tcBorders>
              <w:top w:val="single" w:sz="4" w:space="0" w:color="008FDD"/>
              <w:bottom w:val="single" w:sz="4" w:space="0" w:color="008FDD"/>
            </w:tcBorders>
          </w:tcPr>
          <w:p>
            <w:pPr>
              <w:pStyle w:val="TableParagraph"/>
              <w:spacing w:before="43"/>
              <w:ind w:left="183"/>
              <w:jc w:val="left"/>
              <w:rPr>
                <w:sz w:val="14"/>
              </w:rPr>
            </w:pPr>
            <w:r>
              <w:rPr>
                <w:color w:val="231F20"/>
                <w:w w:val="75"/>
                <w:sz w:val="14"/>
              </w:rPr>
              <w:t>Average</w:t>
            </w:r>
            <w:r>
              <w:rPr>
                <w:color w:val="231F20"/>
                <w:spacing w:val="13"/>
                <w:sz w:val="14"/>
              </w:rPr>
              <w:t> </w:t>
            </w:r>
            <w:r>
              <w:rPr>
                <w:color w:val="231F20"/>
                <w:w w:val="75"/>
                <w:sz w:val="14"/>
              </w:rPr>
              <w:t>number</w:t>
            </w:r>
            <w:r>
              <w:rPr>
                <w:color w:val="231F20"/>
                <w:spacing w:val="14"/>
                <w:sz w:val="14"/>
              </w:rPr>
              <w:t> </w:t>
            </w:r>
            <w:r>
              <w:rPr>
                <w:color w:val="231F20"/>
                <w:w w:val="75"/>
                <w:sz w:val="14"/>
              </w:rPr>
              <w:t>of</w:t>
            </w:r>
            <w:r>
              <w:rPr>
                <w:color w:val="231F20"/>
                <w:spacing w:val="13"/>
                <w:sz w:val="14"/>
              </w:rPr>
              <w:t> </w:t>
            </w:r>
            <w:r>
              <w:rPr>
                <w:color w:val="231F20"/>
                <w:w w:val="75"/>
                <w:sz w:val="14"/>
              </w:rPr>
              <w:t>partner</w:t>
            </w:r>
            <w:r>
              <w:rPr>
                <w:color w:val="231F20"/>
                <w:spacing w:val="14"/>
                <w:sz w:val="14"/>
              </w:rPr>
              <w:t> </w:t>
            </w:r>
            <w:r>
              <w:rPr>
                <w:color w:val="231F20"/>
                <w:spacing w:val="-2"/>
                <w:w w:val="75"/>
                <w:sz w:val="14"/>
              </w:rPr>
              <w:t>countries</w:t>
            </w:r>
          </w:p>
        </w:tc>
        <w:tc>
          <w:tcPr>
            <w:tcW w:w="1138" w:type="dxa"/>
            <w:tcBorders>
              <w:top w:val="single" w:sz="4" w:space="0" w:color="008FDD"/>
              <w:bottom w:val="single" w:sz="4" w:space="0" w:color="008FDD"/>
            </w:tcBorders>
          </w:tcPr>
          <w:p>
            <w:pPr>
              <w:pStyle w:val="TableParagraph"/>
              <w:spacing w:before="43"/>
              <w:ind w:left="79"/>
              <w:jc w:val="left"/>
              <w:rPr>
                <w:sz w:val="14"/>
              </w:rPr>
            </w:pPr>
            <w:r>
              <w:rPr>
                <w:color w:val="231F20"/>
                <w:w w:val="80"/>
                <w:sz w:val="14"/>
              </w:rPr>
              <w:t>First and second</w:t>
            </w:r>
            <w:r>
              <w:rPr>
                <w:color w:val="231F20"/>
                <w:spacing w:val="40"/>
                <w:sz w:val="14"/>
              </w:rPr>
              <w:t> </w:t>
            </w:r>
            <w:r>
              <w:rPr>
                <w:color w:val="231F20"/>
                <w:w w:val="80"/>
                <w:sz w:val="14"/>
              </w:rPr>
              <w:t>quarters</w:t>
            </w:r>
            <w:r>
              <w:rPr>
                <w:color w:val="231F20"/>
                <w:spacing w:val="-3"/>
                <w:sz w:val="14"/>
              </w:rPr>
              <w:t> </w:t>
            </w:r>
            <w:r>
              <w:rPr>
                <w:color w:val="231F20"/>
                <w:w w:val="80"/>
                <w:sz w:val="14"/>
              </w:rPr>
              <w:t>of</w:t>
            </w:r>
            <w:r>
              <w:rPr>
                <w:color w:val="231F20"/>
                <w:spacing w:val="-2"/>
                <w:sz w:val="14"/>
              </w:rPr>
              <w:t> </w:t>
            </w:r>
            <w:r>
              <w:rPr>
                <w:color w:val="231F20"/>
                <w:spacing w:val="-4"/>
                <w:w w:val="80"/>
                <w:sz w:val="14"/>
              </w:rPr>
              <w:t>2022</w:t>
            </w:r>
          </w:p>
        </w:tc>
        <w:tc>
          <w:tcPr>
            <w:tcW w:w="2704" w:type="dxa"/>
            <w:tcBorders>
              <w:top w:val="single" w:sz="4" w:space="0" w:color="008FDD"/>
              <w:bottom w:val="single" w:sz="4" w:space="0" w:color="008FDD"/>
            </w:tcBorders>
          </w:tcPr>
          <w:p>
            <w:pPr>
              <w:pStyle w:val="TableParagraph"/>
              <w:spacing w:before="43"/>
              <w:ind w:left="141"/>
              <w:jc w:val="left"/>
              <w:rPr>
                <w:sz w:val="14"/>
              </w:rPr>
            </w:pPr>
            <w:r>
              <w:rPr>
                <w:color w:val="231F20"/>
                <w:w w:val="75"/>
                <w:sz w:val="14"/>
              </w:rPr>
              <w:t>Air</w:t>
            </w:r>
            <w:r>
              <w:rPr>
                <w:color w:val="231F20"/>
                <w:spacing w:val="19"/>
                <w:sz w:val="14"/>
              </w:rPr>
              <w:t> </w:t>
            </w:r>
            <w:r>
              <w:rPr>
                <w:color w:val="231F20"/>
                <w:w w:val="75"/>
                <w:sz w:val="14"/>
              </w:rPr>
              <w:t>cargo</w:t>
            </w:r>
            <w:r>
              <w:rPr>
                <w:color w:val="231F20"/>
                <w:spacing w:val="19"/>
                <w:sz w:val="14"/>
              </w:rPr>
              <w:t> </w:t>
            </w:r>
            <w:r>
              <w:rPr>
                <w:color w:val="231F20"/>
                <w:w w:val="75"/>
                <w:sz w:val="14"/>
              </w:rPr>
              <w:t>connectivity</w:t>
            </w:r>
            <w:r>
              <w:rPr>
                <w:color w:val="231F20"/>
                <w:spacing w:val="20"/>
                <w:sz w:val="14"/>
              </w:rPr>
              <w:t> </w:t>
            </w:r>
            <w:r>
              <w:rPr>
                <w:color w:val="231F20"/>
                <w:spacing w:val="-2"/>
                <w:w w:val="75"/>
                <w:sz w:val="14"/>
              </w:rPr>
              <w:t>metric.</w:t>
            </w:r>
          </w:p>
        </w:tc>
      </w:tr>
      <w:tr>
        <w:trPr>
          <w:trHeight w:val="569" w:hRule="atLeast"/>
        </w:trPr>
        <w:tc>
          <w:tcPr>
            <w:tcW w:w="1440" w:type="dxa"/>
            <w:tcBorders>
              <w:bottom w:val="single" w:sz="4" w:space="0" w:color="008FDD"/>
            </w:tcBorders>
          </w:tcPr>
          <w:p>
            <w:pPr>
              <w:pStyle w:val="TableParagraph"/>
              <w:spacing w:before="0"/>
              <w:jc w:val="left"/>
              <w:rPr>
                <w:rFonts w:ascii="Times New Roman"/>
                <w:sz w:val="12"/>
              </w:rPr>
            </w:pPr>
          </w:p>
        </w:tc>
        <w:tc>
          <w:tcPr>
            <w:tcW w:w="1272" w:type="dxa"/>
            <w:tcBorders>
              <w:top w:val="single" w:sz="4" w:space="0" w:color="008FDD"/>
              <w:bottom w:val="single" w:sz="4" w:space="0" w:color="008FDD"/>
            </w:tcBorders>
          </w:tcPr>
          <w:p>
            <w:pPr>
              <w:pStyle w:val="TableParagraph"/>
              <w:spacing w:before="43"/>
              <w:ind w:left="80"/>
              <w:jc w:val="left"/>
              <w:rPr>
                <w:sz w:val="14"/>
              </w:rPr>
            </w:pPr>
            <w:r>
              <w:rPr>
                <w:color w:val="231F20"/>
                <w:w w:val="80"/>
                <w:sz w:val="14"/>
              </w:rPr>
              <w:t>Aviation</w:t>
            </w:r>
            <w:r>
              <w:rPr>
                <w:color w:val="231F20"/>
                <w:spacing w:val="-2"/>
                <w:w w:val="80"/>
                <w:sz w:val="14"/>
              </w:rPr>
              <w:t> </w:t>
            </w:r>
            <w:r>
              <w:rPr>
                <w:color w:val="231F20"/>
                <w:w w:val="80"/>
                <w:sz w:val="14"/>
              </w:rPr>
              <w:t>dwell</w:t>
            </w:r>
            <w:r>
              <w:rPr>
                <w:color w:val="231F20"/>
                <w:spacing w:val="-2"/>
                <w:w w:val="80"/>
                <w:sz w:val="14"/>
              </w:rPr>
              <w:t> </w:t>
            </w:r>
            <w:r>
              <w:rPr>
                <w:color w:val="231F20"/>
                <w:w w:val="80"/>
                <w:sz w:val="14"/>
              </w:rPr>
              <w:t>time</w:t>
            </w:r>
            <w:r>
              <w:rPr>
                <w:color w:val="231F20"/>
                <w:spacing w:val="40"/>
                <w:sz w:val="14"/>
              </w:rPr>
              <w:t> </w:t>
            </w:r>
            <w:r>
              <w:rPr>
                <w:color w:val="231F20"/>
                <w:spacing w:val="-2"/>
                <w:w w:val="90"/>
                <w:sz w:val="14"/>
              </w:rPr>
              <w:t>(days)</w:t>
            </w:r>
          </w:p>
        </w:tc>
        <w:tc>
          <w:tcPr>
            <w:tcW w:w="3769" w:type="dxa"/>
            <w:tcBorders>
              <w:top w:val="single" w:sz="4" w:space="0" w:color="008FDD"/>
              <w:bottom w:val="single" w:sz="4" w:space="0" w:color="008FDD"/>
            </w:tcBorders>
          </w:tcPr>
          <w:p>
            <w:pPr>
              <w:pStyle w:val="TableParagraph"/>
              <w:spacing w:before="43"/>
              <w:ind w:left="183" w:right="567"/>
              <w:jc w:val="left"/>
              <w:rPr>
                <w:sz w:val="14"/>
              </w:rPr>
            </w:pPr>
            <w:r>
              <w:rPr>
                <w:color w:val="231F20"/>
                <w:w w:val="85"/>
                <w:sz w:val="14"/>
              </w:rPr>
              <w:t>Time difference between notification of readiness for</w:t>
            </w:r>
            <w:r>
              <w:rPr>
                <w:color w:val="231F20"/>
                <w:spacing w:val="40"/>
                <w:sz w:val="14"/>
              </w:rPr>
              <w:t> </w:t>
            </w:r>
            <w:r>
              <w:rPr>
                <w:color w:val="231F20"/>
                <w:w w:val="80"/>
                <w:sz w:val="14"/>
              </w:rPr>
              <w:t>delivery of cargo and cargo delivered to consignee at</w:t>
            </w:r>
            <w:r>
              <w:rPr>
                <w:color w:val="231F20"/>
                <w:spacing w:val="40"/>
                <w:sz w:val="14"/>
              </w:rPr>
              <w:t> </w:t>
            </w:r>
            <w:r>
              <w:rPr>
                <w:color w:val="231F20"/>
                <w:w w:val="80"/>
                <w:sz w:val="14"/>
              </w:rPr>
              <w:t>destination country. Median and quartiles are provided.</w:t>
            </w:r>
          </w:p>
        </w:tc>
        <w:tc>
          <w:tcPr>
            <w:tcW w:w="1138" w:type="dxa"/>
            <w:tcBorders>
              <w:top w:val="single" w:sz="4" w:space="0" w:color="008FDD"/>
              <w:bottom w:val="single" w:sz="4" w:space="0" w:color="008FDD"/>
            </w:tcBorders>
          </w:tcPr>
          <w:p>
            <w:pPr>
              <w:pStyle w:val="TableParagraph"/>
              <w:spacing w:before="43"/>
              <w:ind w:left="79"/>
              <w:jc w:val="left"/>
              <w:rPr>
                <w:sz w:val="14"/>
              </w:rPr>
            </w:pPr>
            <w:r>
              <w:rPr>
                <w:color w:val="231F20"/>
                <w:w w:val="80"/>
                <w:sz w:val="14"/>
              </w:rPr>
              <w:t>First and second</w:t>
            </w:r>
            <w:r>
              <w:rPr>
                <w:color w:val="231F20"/>
                <w:spacing w:val="40"/>
                <w:sz w:val="14"/>
              </w:rPr>
              <w:t> </w:t>
            </w:r>
            <w:r>
              <w:rPr>
                <w:color w:val="231F20"/>
                <w:w w:val="80"/>
                <w:sz w:val="14"/>
              </w:rPr>
              <w:t>quarters</w:t>
            </w:r>
            <w:r>
              <w:rPr>
                <w:color w:val="231F20"/>
                <w:spacing w:val="-3"/>
                <w:sz w:val="14"/>
              </w:rPr>
              <w:t> </w:t>
            </w:r>
            <w:r>
              <w:rPr>
                <w:color w:val="231F20"/>
                <w:w w:val="80"/>
                <w:sz w:val="14"/>
              </w:rPr>
              <w:t>of</w:t>
            </w:r>
            <w:r>
              <w:rPr>
                <w:color w:val="231F20"/>
                <w:spacing w:val="-2"/>
                <w:sz w:val="14"/>
              </w:rPr>
              <w:t> </w:t>
            </w:r>
            <w:r>
              <w:rPr>
                <w:color w:val="231F20"/>
                <w:spacing w:val="-4"/>
                <w:w w:val="80"/>
                <w:sz w:val="14"/>
              </w:rPr>
              <w:t>2022</w:t>
            </w:r>
          </w:p>
        </w:tc>
        <w:tc>
          <w:tcPr>
            <w:tcW w:w="2704" w:type="dxa"/>
            <w:tcBorders>
              <w:top w:val="single" w:sz="4" w:space="0" w:color="008FDD"/>
              <w:bottom w:val="single" w:sz="4" w:space="0" w:color="008FDD"/>
            </w:tcBorders>
          </w:tcPr>
          <w:p>
            <w:pPr>
              <w:pStyle w:val="TableParagraph"/>
              <w:spacing w:before="43"/>
              <w:ind w:left="141" w:right="591"/>
              <w:jc w:val="left"/>
              <w:rPr>
                <w:sz w:val="14"/>
              </w:rPr>
            </w:pPr>
            <w:r>
              <w:rPr>
                <w:color w:val="231F20"/>
                <w:w w:val="80"/>
                <w:sz w:val="14"/>
              </w:rPr>
              <w:t>Efficiency of handling and clearance</w:t>
            </w:r>
            <w:r>
              <w:rPr>
                <w:color w:val="231F20"/>
                <w:spacing w:val="40"/>
                <w:sz w:val="14"/>
              </w:rPr>
              <w:t> </w:t>
            </w:r>
            <w:r>
              <w:rPr>
                <w:color w:val="231F20"/>
                <w:w w:val="85"/>
                <w:sz w:val="14"/>
              </w:rPr>
              <w:t>and notification to consignee.</w:t>
            </w:r>
          </w:p>
        </w:tc>
      </w:tr>
      <w:tr>
        <w:trPr>
          <w:trHeight w:val="409" w:hRule="atLeast"/>
        </w:trPr>
        <w:tc>
          <w:tcPr>
            <w:tcW w:w="1440" w:type="dxa"/>
            <w:vMerge w:val="restart"/>
            <w:tcBorders>
              <w:top w:val="single" w:sz="4" w:space="0" w:color="008FDD"/>
              <w:bottom w:val="single" w:sz="4" w:space="0" w:color="008FDD"/>
            </w:tcBorders>
            <w:shd w:val="clear" w:color="auto" w:fill="D4E3F5"/>
          </w:tcPr>
          <w:p>
            <w:pPr>
              <w:pStyle w:val="TableParagraph"/>
              <w:spacing w:before="43"/>
              <w:ind w:left="80"/>
              <w:jc w:val="left"/>
              <w:rPr>
                <w:sz w:val="14"/>
              </w:rPr>
            </w:pPr>
            <w:r>
              <w:rPr>
                <w:color w:val="231F20"/>
                <w:w w:val="75"/>
                <w:sz w:val="14"/>
              </w:rPr>
              <w:t>Universal</w:t>
            </w:r>
            <w:r>
              <w:rPr>
                <w:color w:val="231F20"/>
                <w:spacing w:val="11"/>
                <w:sz w:val="14"/>
              </w:rPr>
              <w:t> </w:t>
            </w:r>
            <w:r>
              <w:rPr>
                <w:color w:val="231F20"/>
                <w:w w:val="75"/>
                <w:sz w:val="14"/>
              </w:rPr>
              <w:t>Postal</w:t>
            </w:r>
            <w:r>
              <w:rPr>
                <w:color w:val="231F20"/>
                <w:spacing w:val="11"/>
                <w:sz w:val="14"/>
              </w:rPr>
              <w:t> </w:t>
            </w:r>
            <w:r>
              <w:rPr>
                <w:color w:val="231F20"/>
                <w:spacing w:val="-2"/>
                <w:w w:val="75"/>
                <w:sz w:val="14"/>
              </w:rPr>
              <w:t>Union</w:t>
            </w:r>
          </w:p>
        </w:tc>
        <w:tc>
          <w:tcPr>
            <w:tcW w:w="1272" w:type="dxa"/>
            <w:tcBorders>
              <w:top w:val="single" w:sz="4" w:space="0" w:color="008FDD"/>
              <w:bottom w:val="single" w:sz="4" w:space="0" w:color="008FDD"/>
            </w:tcBorders>
            <w:shd w:val="clear" w:color="auto" w:fill="D4E3F5"/>
          </w:tcPr>
          <w:p>
            <w:pPr>
              <w:pStyle w:val="TableParagraph"/>
              <w:spacing w:before="43"/>
              <w:ind w:left="80"/>
              <w:jc w:val="left"/>
              <w:rPr>
                <w:sz w:val="14"/>
              </w:rPr>
            </w:pPr>
            <w:r>
              <w:rPr>
                <w:color w:val="231F20"/>
                <w:w w:val="80"/>
                <w:sz w:val="14"/>
              </w:rPr>
              <w:t>Number</w:t>
            </w:r>
            <w:r>
              <w:rPr>
                <w:color w:val="231F20"/>
                <w:spacing w:val="-2"/>
                <w:w w:val="80"/>
                <w:sz w:val="14"/>
              </w:rPr>
              <w:t> </w:t>
            </w:r>
            <w:r>
              <w:rPr>
                <w:color w:val="231F20"/>
                <w:w w:val="80"/>
                <w:sz w:val="14"/>
              </w:rPr>
              <w:t>of</w:t>
            </w:r>
            <w:r>
              <w:rPr>
                <w:color w:val="231F20"/>
                <w:spacing w:val="-2"/>
                <w:w w:val="80"/>
                <w:sz w:val="14"/>
              </w:rPr>
              <w:t> </w:t>
            </w:r>
            <w:r>
              <w:rPr>
                <w:color w:val="231F20"/>
                <w:w w:val="80"/>
                <w:sz w:val="14"/>
              </w:rPr>
              <w:t>partners</w:t>
            </w:r>
            <w:r>
              <w:rPr>
                <w:color w:val="231F20"/>
                <w:spacing w:val="40"/>
                <w:sz w:val="14"/>
              </w:rPr>
              <w:t> </w:t>
            </w:r>
            <w:r>
              <w:rPr>
                <w:color w:val="231F20"/>
                <w:spacing w:val="-2"/>
                <w:w w:val="90"/>
                <w:sz w:val="14"/>
              </w:rPr>
              <w:t>(countries)</w:t>
            </w:r>
          </w:p>
        </w:tc>
        <w:tc>
          <w:tcPr>
            <w:tcW w:w="3769" w:type="dxa"/>
            <w:tcBorders>
              <w:top w:val="single" w:sz="4" w:space="0" w:color="008FDD"/>
              <w:bottom w:val="single" w:sz="4" w:space="0" w:color="008FDD"/>
            </w:tcBorders>
            <w:shd w:val="clear" w:color="auto" w:fill="D4E3F5"/>
          </w:tcPr>
          <w:p>
            <w:pPr>
              <w:pStyle w:val="TableParagraph"/>
              <w:spacing w:before="43"/>
              <w:ind w:left="183"/>
              <w:jc w:val="left"/>
              <w:rPr>
                <w:sz w:val="14"/>
              </w:rPr>
            </w:pPr>
            <w:r>
              <w:rPr>
                <w:color w:val="231F20"/>
                <w:w w:val="75"/>
                <w:sz w:val="14"/>
              </w:rPr>
              <w:t>Average</w:t>
            </w:r>
            <w:r>
              <w:rPr>
                <w:color w:val="231F20"/>
                <w:spacing w:val="13"/>
                <w:sz w:val="14"/>
              </w:rPr>
              <w:t> </w:t>
            </w:r>
            <w:r>
              <w:rPr>
                <w:color w:val="231F20"/>
                <w:w w:val="75"/>
                <w:sz w:val="14"/>
              </w:rPr>
              <w:t>number</w:t>
            </w:r>
            <w:r>
              <w:rPr>
                <w:color w:val="231F20"/>
                <w:spacing w:val="13"/>
                <w:sz w:val="14"/>
              </w:rPr>
              <w:t> </w:t>
            </w:r>
            <w:r>
              <w:rPr>
                <w:color w:val="231F20"/>
                <w:w w:val="75"/>
                <w:sz w:val="14"/>
              </w:rPr>
              <w:t>of</w:t>
            </w:r>
            <w:r>
              <w:rPr>
                <w:color w:val="231F20"/>
                <w:spacing w:val="13"/>
                <w:sz w:val="14"/>
              </w:rPr>
              <w:t> </w:t>
            </w:r>
            <w:r>
              <w:rPr>
                <w:color w:val="231F20"/>
                <w:w w:val="75"/>
                <w:sz w:val="14"/>
              </w:rPr>
              <w:t>country</w:t>
            </w:r>
            <w:r>
              <w:rPr>
                <w:color w:val="231F20"/>
                <w:spacing w:val="14"/>
                <w:sz w:val="14"/>
              </w:rPr>
              <w:t> </w:t>
            </w:r>
            <w:r>
              <w:rPr>
                <w:color w:val="231F20"/>
                <w:spacing w:val="-2"/>
                <w:w w:val="75"/>
                <w:sz w:val="14"/>
              </w:rPr>
              <w:t>partners.</w:t>
            </w:r>
          </w:p>
        </w:tc>
        <w:tc>
          <w:tcPr>
            <w:tcW w:w="1138" w:type="dxa"/>
            <w:tcBorders>
              <w:top w:val="single" w:sz="4" w:space="0" w:color="008FDD"/>
              <w:bottom w:val="single" w:sz="4" w:space="0" w:color="008FDD"/>
            </w:tcBorders>
            <w:shd w:val="clear" w:color="auto" w:fill="D4E3F5"/>
          </w:tcPr>
          <w:p>
            <w:pPr>
              <w:pStyle w:val="TableParagraph"/>
              <w:spacing w:before="43"/>
              <w:ind w:left="79"/>
              <w:jc w:val="left"/>
              <w:rPr>
                <w:sz w:val="14"/>
              </w:rPr>
            </w:pPr>
            <w:r>
              <w:rPr>
                <w:color w:val="231F20"/>
                <w:spacing w:val="-4"/>
                <w:w w:val="95"/>
                <w:sz w:val="14"/>
              </w:rPr>
              <w:t>2019</w:t>
            </w:r>
          </w:p>
        </w:tc>
        <w:tc>
          <w:tcPr>
            <w:tcW w:w="2704" w:type="dxa"/>
            <w:tcBorders>
              <w:top w:val="single" w:sz="4" w:space="0" w:color="008FDD"/>
              <w:bottom w:val="single" w:sz="4" w:space="0" w:color="008FDD"/>
            </w:tcBorders>
            <w:shd w:val="clear" w:color="auto" w:fill="D4E3F5"/>
          </w:tcPr>
          <w:p>
            <w:pPr>
              <w:pStyle w:val="TableParagraph"/>
              <w:spacing w:before="43"/>
              <w:ind w:left="141"/>
              <w:jc w:val="left"/>
              <w:rPr>
                <w:sz w:val="14"/>
              </w:rPr>
            </w:pPr>
            <w:r>
              <w:rPr>
                <w:color w:val="231F20"/>
                <w:w w:val="75"/>
                <w:sz w:val="14"/>
              </w:rPr>
              <w:t>Postal</w:t>
            </w:r>
            <w:r>
              <w:rPr>
                <w:color w:val="231F20"/>
                <w:spacing w:val="9"/>
                <w:sz w:val="14"/>
              </w:rPr>
              <w:t> </w:t>
            </w:r>
            <w:r>
              <w:rPr>
                <w:color w:val="231F20"/>
                <w:spacing w:val="-2"/>
                <w:w w:val="90"/>
                <w:sz w:val="14"/>
              </w:rPr>
              <w:t>connectivity.</w:t>
            </w:r>
          </w:p>
        </w:tc>
      </w:tr>
      <w:tr>
        <w:trPr>
          <w:trHeight w:val="569" w:hRule="atLeast"/>
        </w:trPr>
        <w:tc>
          <w:tcPr>
            <w:tcW w:w="1440" w:type="dxa"/>
            <w:vMerge/>
            <w:tcBorders>
              <w:top w:val="nil"/>
              <w:bottom w:val="single" w:sz="4" w:space="0" w:color="008FDD"/>
            </w:tcBorders>
            <w:shd w:val="clear" w:color="auto" w:fill="D4E3F5"/>
          </w:tcPr>
          <w:p>
            <w:pPr>
              <w:rPr>
                <w:sz w:val="2"/>
                <w:szCs w:val="2"/>
              </w:rPr>
            </w:pPr>
          </w:p>
        </w:tc>
        <w:tc>
          <w:tcPr>
            <w:tcW w:w="1272" w:type="dxa"/>
            <w:tcBorders>
              <w:top w:val="single" w:sz="4" w:space="0" w:color="008FDD"/>
              <w:bottom w:val="single" w:sz="4" w:space="0" w:color="008FDD"/>
            </w:tcBorders>
            <w:shd w:val="clear" w:color="auto" w:fill="D4E3F5"/>
          </w:tcPr>
          <w:p>
            <w:pPr>
              <w:pStyle w:val="TableParagraph"/>
              <w:spacing w:before="43"/>
              <w:ind w:left="80" w:right="445"/>
              <w:jc w:val="left"/>
              <w:rPr>
                <w:sz w:val="14"/>
              </w:rPr>
            </w:pPr>
            <w:r>
              <w:rPr>
                <w:color w:val="231F20"/>
                <w:w w:val="80"/>
                <w:sz w:val="14"/>
              </w:rPr>
              <w:t>Postal</w:t>
            </w:r>
            <w:r>
              <w:rPr>
                <w:color w:val="231F20"/>
                <w:spacing w:val="-2"/>
                <w:w w:val="80"/>
                <w:sz w:val="14"/>
              </w:rPr>
              <w:t> </w:t>
            </w:r>
            <w:r>
              <w:rPr>
                <w:color w:val="231F20"/>
                <w:w w:val="80"/>
                <w:sz w:val="14"/>
              </w:rPr>
              <w:t>delivery</w:t>
            </w:r>
            <w:r>
              <w:rPr>
                <w:color w:val="231F20"/>
                <w:spacing w:val="40"/>
                <w:sz w:val="14"/>
              </w:rPr>
              <w:t> </w:t>
            </w:r>
            <w:r>
              <w:rPr>
                <w:color w:val="231F20"/>
                <w:w w:val="90"/>
                <w:sz w:val="14"/>
              </w:rPr>
              <w:t>time</w:t>
            </w:r>
            <w:r>
              <w:rPr>
                <w:color w:val="231F20"/>
                <w:spacing w:val="-6"/>
                <w:w w:val="90"/>
                <w:sz w:val="14"/>
              </w:rPr>
              <w:t> </w:t>
            </w:r>
            <w:r>
              <w:rPr>
                <w:color w:val="231F20"/>
                <w:w w:val="90"/>
                <w:sz w:val="14"/>
              </w:rPr>
              <w:t>(days)</w:t>
            </w:r>
          </w:p>
        </w:tc>
        <w:tc>
          <w:tcPr>
            <w:tcW w:w="3769" w:type="dxa"/>
            <w:tcBorders>
              <w:top w:val="single" w:sz="4" w:space="0" w:color="008FDD"/>
              <w:bottom w:val="single" w:sz="4" w:space="0" w:color="008FDD"/>
            </w:tcBorders>
            <w:shd w:val="clear" w:color="auto" w:fill="D4E3F5"/>
          </w:tcPr>
          <w:p>
            <w:pPr>
              <w:pStyle w:val="TableParagraph"/>
              <w:spacing w:before="43"/>
              <w:ind w:left="183" w:right="349"/>
              <w:jc w:val="left"/>
              <w:rPr>
                <w:sz w:val="14"/>
              </w:rPr>
            </w:pPr>
            <w:r>
              <w:rPr>
                <w:color w:val="231F20"/>
                <w:w w:val="85"/>
                <w:sz w:val="14"/>
              </w:rPr>
              <w:t>Median time difference between arrival at inward office of</w:t>
            </w:r>
            <w:r>
              <w:rPr>
                <w:color w:val="231F20"/>
                <w:spacing w:val="40"/>
                <w:sz w:val="14"/>
              </w:rPr>
              <w:t> </w:t>
            </w:r>
            <w:r>
              <w:rPr>
                <w:color w:val="231F20"/>
                <w:w w:val="80"/>
                <w:sz w:val="14"/>
              </w:rPr>
              <w:t>exchange and unsuccessful delivery or final delivery to recipient</w:t>
            </w:r>
            <w:r>
              <w:rPr>
                <w:color w:val="231F20"/>
                <w:spacing w:val="40"/>
                <w:sz w:val="14"/>
              </w:rPr>
              <w:t> </w:t>
            </w:r>
            <w:r>
              <w:rPr>
                <w:color w:val="231F20"/>
                <w:w w:val="80"/>
                <w:sz w:val="14"/>
              </w:rPr>
              <w:t>at the destination country. Median and quartiles are provided.</w:t>
            </w:r>
          </w:p>
        </w:tc>
        <w:tc>
          <w:tcPr>
            <w:tcW w:w="1138" w:type="dxa"/>
            <w:tcBorders>
              <w:top w:val="single" w:sz="4" w:space="0" w:color="008FDD"/>
              <w:bottom w:val="single" w:sz="4" w:space="0" w:color="008FDD"/>
            </w:tcBorders>
            <w:shd w:val="clear" w:color="auto" w:fill="D4E3F5"/>
          </w:tcPr>
          <w:p>
            <w:pPr>
              <w:pStyle w:val="TableParagraph"/>
              <w:spacing w:before="43"/>
              <w:ind w:left="79"/>
              <w:jc w:val="left"/>
              <w:rPr>
                <w:sz w:val="14"/>
              </w:rPr>
            </w:pPr>
            <w:r>
              <w:rPr>
                <w:color w:val="231F20"/>
                <w:spacing w:val="-4"/>
                <w:w w:val="95"/>
                <w:sz w:val="14"/>
              </w:rPr>
              <w:t>2019</w:t>
            </w:r>
          </w:p>
        </w:tc>
        <w:tc>
          <w:tcPr>
            <w:tcW w:w="2704" w:type="dxa"/>
            <w:tcBorders>
              <w:top w:val="single" w:sz="4" w:space="0" w:color="008FDD"/>
              <w:bottom w:val="single" w:sz="4" w:space="0" w:color="008FDD"/>
            </w:tcBorders>
            <w:shd w:val="clear" w:color="auto" w:fill="D4E3F5"/>
          </w:tcPr>
          <w:p>
            <w:pPr>
              <w:pStyle w:val="TableParagraph"/>
              <w:spacing w:before="43"/>
              <w:ind w:left="141" w:right="752"/>
              <w:jc w:val="left"/>
              <w:rPr>
                <w:sz w:val="14"/>
              </w:rPr>
            </w:pPr>
            <w:r>
              <w:rPr>
                <w:color w:val="231F20"/>
                <w:w w:val="80"/>
                <w:sz w:val="14"/>
              </w:rPr>
              <w:t>Efficiency of clearance and postal</w:t>
            </w:r>
            <w:r>
              <w:rPr>
                <w:color w:val="231F20"/>
                <w:spacing w:val="40"/>
                <w:sz w:val="14"/>
              </w:rPr>
              <w:t> </w:t>
            </w:r>
            <w:r>
              <w:rPr>
                <w:color w:val="231F20"/>
                <w:w w:val="90"/>
                <w:sz w:val="14"/>
              </w:rPr>
              <w:t>logistics at destination.</w:t>
            </w:r>
          </w:p>
        </w:tc>
      </w:tr>
      <w:tr>
        <w:trPr>
          <w:trHeight w:val="1209" w:hRule="atLeast"/>
        </w:trPr>
        <w:tc>
          <w:tcPr>
            <w:tcW w:w="1440" w:type="dxa"/>
            <w:tcBorders>
              <w:top w:val="single" w:sz="4" w:space="0" w:color="008FDD"/>
            </w:tcBorders>
          </w:tcPr>
          <w:p>
            <w:pPr>
              <w:pStyle w:val="TableParagraph"/>
              <w:spacing w:before="43"/>
              <w:ind w:left="80"/>
              <w:jc w:val="left"/>
              <w:rPr>
                <w:sz w:val="14"/>
              </w:rPr>
            </w:pPr>
            <w:r>
              <w:rPr>
                <w:color w:val="231F20"/>
                <w:spacing w:val="-2"/>
                <w:w w:val="85"/>
                <w:sz w:val="14"/>
              </w:rPr>
              <w:t>TradeLens</w:t>
            </w:r>
          </w:p>
        </w:tc>
        <w:tc>
          <w:tcPr>
            <w:tcW w:w="1272" w:type="dxa"/>
            <w:tcBorders>
              <w:top w:val="single" w:sz="4" w:space="0" w:color="008FDD"/>
              <w:bottom w:val="single" w:sz="4" w:space="0" w:color="008FDD"/>
            </w:tcBorders>
          </w:tcPr>
          <w:p>
            <w:pPr>
              <w:pStyle w:val="TableParagraph"/>
              <w:spacing w:before="43"/>
              <w:ind w:left="80" w:right="235"/>
              <w:jc w:val="left"/>
              <w:rPr>
                <w:sz w:val="14"/>
              </w:rPr>
            </w:pPr>
            <w:r>
              <w:rPr>
                <w:color w:val="231F20"/>
                <w:w w:val="80"/>
                <w:sz w:val="14"/>
              </w:rPr>
              <w:t>Import</w:t>
            </w:r>
            <w:r>
              <w:rPr>
                <w:color w:val="231F20"/>
                <w:spacing w:val="-2"/>
                <w:w w:val="80"/>
                <w:sz w:val="14"/>
              </w:rPr>
              <w:t> </w:t>
            </w:r>
            <w:r>
              <w:rPr>
                <w:color w:val="231F20"/>
                <w:w w:val="80"/>
                <w:sz w:val="14"/>
              </w:rPr>
              <w:t>and</w:t>
            </w:r>
            <w:r>
              <w:rPr>
                <w:color w:val="231F20"/>
                <w:spacing w:val="-2"/>
                <w:w w:val="80"/>
                <w:sz w:val="14"/>
              </w:rPr>
              <w:t> </w:t>
            </w:r>
            <w:r>
              <w:rPr>
                <w:color w:val="231F20"/>
                <w:w w:val="80"/>
                <w:sz w:val="14"/>
              </w:rPr>
              <w:t>export</w:t>
            </w:r>
            <w:r>
              <w:rPr>
                <w:color w:val="231F20"/>
                <w:spacing w:val="40"/>
                <w:sz w:val="14"/>
              </w:rPr>
              <w:t> </w:t>
            </w:r>
            <w:r>
              <w:rPr>
                <w:color w:val="231F20"/>
                <w:w w:val="85"/>
                <w:sz w:val="14"/>
              </w:rPr>
              <w:t>dwell</w:t>
            </w:r>
            <w:r>
              <w:rPr>
                <w:color w:val="231F20"/>
                <w:spacing w:val="-4"/>
                <w:w w:val="85"/>
                <w:sz w:val="14"/>
              </w:rPr>
              <w:t> </w:t>
            </w:r>
            <w:r>
              <w:rPr>
                <w:color w:val="231F20"/>
                <w:w w:val="85"/>
                <w:sz w:val="14"/>
              </w:rPr>
              <w:t>time</w:t>
            </w:r>
            <w:r>
              <w:rPr>
                <w:color w:val="231F20"/>
                <w:spacing w:val="-4"/>
                <w:w w:val="85"/>
                <w:sz w:val="14"/>
              </w:rPr>
              <w:t> </w:t>
            </w:r>
            <w:r>
              <w:rPr>
                <w:color w:val="231F20"/>
                <w:w w:val="85"/>
                <w:sz w:val="14"/>
              </w:rPr>
              <w:t>(days)</w:t>
            </w:r>
          </w:p>
        </w:tc>
        <w:tc>
          <w:tcPr>
            <w:tcW w:w="3769" w:type="dxa"/>
            <w:tcBorders>
              <w:top w:val="single" w:sz="4" w:space="0" w:color="008FDD"/>
              <w:bottom w:val="single" w:sz="4" w:space="0" w:color="008FDD"/>
            </w:tcBorders>
          </w:tcPr>
          <w:p>
            <w:pPr>
              <w:pStyle w:val="TableParagraph"/>
              <w:spacing w:before="43"/>
              <w:ind w:left="183" w:right="129"/>
              <w:jc w:val="left"/>
              <w:rPr>
                <w:sz w:val="14"/>
              </w:rPr>
            </w:pPr>
            <w:r>
              <w:rPr>
                <w:color w:val="231F20"/>
                <w:w w:val="80"/>
                <w:sz w:val="14"/>
              </w:rPr>
              <w:t>Time spent at the same location (as defined by United Nations Code</w:t>
            </w:r>
            <w:r>
              <w:rPr>
                <w:color w:val="231F20"/>
                <w:spacing w:val="40"/>
                <w:sz w:val="14"/>
              </w:rPr>
              <w:t> </w:t>
            </w:r>
            <w:r>
              <w:rPr>
                <w:color w:val="231F20"/>
                <w:w w:val="80"/>
                <w:sz w:val="14"/>
              </w:rPr>
              <w:t>for Trade and Transport Locations) since expedition and before ship</w:t>
            </w:r>
            <w:r>
              <w:rPr>
                <w:color w:val="231F20"/>
                <w:spacing w:val="40"/>
                <w:sz w:val="14"/>
              </w:rPr>
              <w:t> </w:t>
            </w:r>
            <w:r>
              <w:rPr>
                <w:color w:val="231F20"/>
                <w:w w:val="80"/>
                <w:sz w:val="14"/>
              </w:rPr>
              <w:t>loading. Two variables are produced for each country: dwell time at</w:t>
            </w:r>
            <w:r>
              <w:rPr>
                <w:color w:val="231F20"/>
                <w:spacing w:val="40"/>
                <w:sz w:val="14"/>
              </w:rPr>
              <w:t> </w:t>
            </w:r>
            <w:r>
              <w:rPr>
                <w:color w:val="231F20"/>
                <w:w w:val="80"/>
                <w:sz w:val="14"/>
              </w:rPr>
              <w:t>port</w:t>
            </w:r>
            <w:r>
              <w:rPr>
                <w:color w:val="231F20"/>
                <w:sz w:val="14"/>
              </w:rPr>
              <w:t> </w:t>
            </w:r>
            <w:r>
              <w:rPr>
                <w:color w:val="231F20"/>
                <w:w w:val="80"/>
                <w:sz w:val="14"/>
              </w:rPr>
              <w:t>of</w:t>
            </w:r>
            <w:r>
              <w:rPr>
                <w:color w:val="231F20"/>
                <w:sz w:val="14"/>
              </w:rPr>
              <w:t> </w:t>
            </w:r>
            <w:r>
              <w:rPr>
                <w:color w:val="231F20"/>
                <w:w w:val="80"/>
                <w:sz w:val="14"/>
              </w:rPr>
              <w:t>departure</w:t>
            </w:r>
            <w:r>
              <w:rPr>
                <w:color w:val="231F20"/>
                <w:sz w:val="14"/>
              </w:rPr>
              <w:t> </w:t>
            </w:r>
            <w:r>
              <w:rPr>
                <w:color w:val="231F20"/>
                <w:w w:val="80"/>
                <w:sz w:val="14"/>
              </w:rPr>
              <w:t>and</w:t>
            </w:r>
            <w:r>
              <w:rPr>
                <w:color w:val="231F20"/>
                <w:sz w:val="14"/>
              </w:rPr>
              <w:t> </w:t>
            </w:r>
            <w:r>
              <w:rPr>
                <w:color w:val="231F20"/>
                <w:w w:val="80"/>
                <w:sz w:val="14"/>
              </w:rPr>
              <w:t>consolidated</w:t>
            </w:r>
            <w:r>
              <w:rPr>
                <w:color w:val="231F20"/>
                <w:sz w:val="14"/>
              </w:rPr>
              <w:t> </w:t>
            </w:r>
            <w:r>
              <w:rPr>
                <w:color w:val="231F20"/>
                <w:w w:val="80"/>
                <w:sz w:val="14"/>
              </w:rPr>
              <w:t>dwell</w:t>
            </w:r>
            <w:r>
              <w:rPr>
                <w:color w:val="231F20"/>
                <w:sz w:val="14"/>
              </w:rPr>
              <w:t> </w:t>
            </w:r>
            <w:r>
              <w:rPr>
                <w:color w:val="231F20"/>
                <w:w w:val="80"/>
                <w:sz w:val="14"/>
              </w:rPr>
              <w:t>time</w:t>
            </w:r>
            <w:r>
              <w:rPr>
                <w:color w:val="231F20"/>
                <w:sz w:val="14"/>
              </w:rPr>
              <w:t> </w:t>
            </w:r>
            <w:r>
              <w:rPr>
                <w:color w:val="231F20"/>
                <w:w w:val="80"/>
                <w:sz w:val="14"/>
              </w:rPr>
              <w:t>(including</w:t>
            </w:r>
            <w:r>
              <w:rPr>
                <w:color w:val="231F20"/>
                <w:sz w:val="14"/>
              </w:rPr>
              <w:t> </w:t>
            </w:r>
            <w:r>
              <w:rPr>
                <w:color w:val="231F20"/>
                <w:w w:val="80"/>
                <w:sz w:val="14"/>
              </w:rPr>
              <w:t>time</w:t>
            </w:r>
            <w:r>
              <w:rPr>
                <w:color w:val="231F20"/>
                <w:sz w:val="14"/>
              </w:rPr>
              <w:t> </w:t>
            </w:r>
            <w:r>
              <w:rPr>
                <w:color w:val="231F20"/>
                <w:w w:val="80"/>
                <w:sz w:val="14"/>
              </w:rPr>
              <w:t>spent</w:t>
            </w:r>
            <w:r>
              <w:rPr>
                <w:color w:val="231F20"/>
                <w:spacing w:val="80"/>
                <w:sz w:val="14"/>
              </w:rPr>
              <w:t> </w:t>
            </w:r>
            <w:r>
              <w:rPr>
                <w:color w:val="231F20"/>
                <w:w w:val="80"/>
                <w:sz w:val="14"/>
              </w:rPr>
              <w:t>at intermediate locations). Mean, median, and quartiles are provided.</w:t>
            </w:r>
          </w:p>
          <w:p>
            <w:pPr>
              <w:pStyle w:val="TableParagraph"/>
              <w:spacing w:line="237" w:lineRule="auto" w:before="0"/>
              <w:ind w:left="183" w:right="567"/>
              <w:jc w:val="left"/>
              <w:rPr>
                <w:sz w:val="14"/>
              </w:rPr>
            </w:pPr>
            <w:r>
              <w:rPr>
                <w:color w:val="231F20"/>
                <w:w w:val="80"/>
                <w:sz w:val="14"/>
              </w:rPr>
              <w:t>The statistics are based on all container trips originating in</w:t>
            </w:r>
            <w:r>
              <w:rPr>
                <w:color w:val="231F20"/>
                <w:spacing w:val="40"/>
                <w:sz w:val="14"/>
              </w:rPr>
              <w:t> </w:t>
            </w:r>
            <w:r>
              <w:rPr>
                <w:color w:val="231F20"/>
                <w:w w:val="80"/>
                <w:sz w:val="14"/>
              </w:rPr>
              <w:t>the</w:t>
            </w:r>
            <w:r>
              <w:rPr>
                <w:color w:val="231F20"/>
                <w:spacing w:val="-3"/>
                <w:sz w:val="14"/>
              </w:rPr>
              <w:t> </w:t>
            </w:r>
            <w:r>
              <w:rPr>
                <w:color w:val="231F20"/>
                <w:w w:val="80"/>
                <w:sz w:val="14"/>
              </w:rPr>
              <w:t>country,</w:t>
            </w:r>
            <w:r>
              <w:rPr>
                <w:color w:val="231F20"/>
                <w:spacing w:val="-2"/>
                <w:sz w:val="14"/>
              </w:rPr>
              <w:t> </w:t>
            </w:r>
            <w:r>
              <w:rPr>
                <w:color w:val="231F20"/>
                <w:w w:val="80"/>
                <w:sz w:val="14"/>
              </w:rPr>
              <w:t>irrespective</w:t>
            </w:r>
            <w:r>
              <w:rPr>
                <w:color w:val="231F20"/>
                <w:spacing w:val="-3"/>
                <w:sz w:val="14"/>
              </w:rPr>
              <w:t> </w:t>
            </w:r>
            <w:r>
              <w:rPr>
                <w:color w:val="231F20"/>
                <w:w w:val="80"/>
                <w:sz w:val="14"/>
              </w:rPr>
              <w:t>of</w:t>
            </w:r>
            <w:r>
              <w:rPr>
                <w:color w:val="231F20"/>
                <w:spacing w:val="-2"/>
                <w:sz w:val="14"/>
              </w:rPr>
              <w:t> </w:t>
            </w:r>
            <w:r>
              <w:rPr>
                <w:color w:val="231F20"/>
                <w:w w:val="80"/>
                <w:sz w:val="14"/>
              </w:rPr>
              <w:t>the</w:t>
            </w:r>
            <w:r>
              <w:rPr>
                <w:color w:val="231F20"/>
                <w:spacing w:val="-3"/>
                <w:sz w:val="14"/>
              </w:rPr>
              <w:t> </w:t>
            </w:r>
            <w:r>
              <w:rPr>
                <w:color w:val="231F20"/>
                <w:w w:val="80"/>
                <w:sz w:val="14"/>
              </w:rPr>
              <w:t>export</w:t>
            </w:r>
            <w:r>
              <w:rPr>
                <w:color w:val="231F20"/>
                <w:spacing w:val="-2"/>
                <w:sz w:val="14"/>
              </w:rPr>
              <w:t> </w:t>
            </w:r>
            <w:r>
              <w:rPr>
                <w:color w:val="231F20"/>
                <w:w w:val="80"/>
                <w:sz w:val="14"/>
              </w:rPr>
              <w:t>and</w:t>
            </w:r>
            <w:r>
              <w:rPr>
                <w:color w:val="231F20"/>
                <w:spacing w:val="-3"/>
                <w:sz w:val="14"/>
              </w:rPr>
              <w:t> </w:t>
            </w:r>
            <w:r>
              <w:rPr>
                <w:color w:val="231F20"/>
                <w:w w:val="80"/>
                <w:sz w:val="14"/>
              </w:rPr>
              <w:t>import</w:t>
            </w:r>
            <w:r>
              <w:rPr>
                <w:color w:val="231F20"/>
                <w:spacing w:val="-2"/>
                <w:sz w:val="14"/>
              </w:rPr>
              <w:t> </w:t>
            </w:r>
            <w:r>
              <w:rPr>
                <w:color w:val="231F20"/>
                <w:spacing w:val="-2"/>
                <w:w w:val="80"/>
                <w:sz w:val="14"/>
              </w:rPr>
              <w:t>corridor.</w:t>
            </w:r>
          </w:p>
        </w:tc>
        <w:tc>
          <w:tcPr>
            <w:tcW w:w="1138" w:type="dxa"/>
            <w:tcBorders>
              <w:top w:val="single" w:sz="4" w:space="0" w:color="008FDD"/>
              <w:bottom w:val="single" w:sz="4" w:space="0" w:color="008FDD"/>
            </w:tcBorders>
          </w:tcPr>
          <w:p>
            <w:pPr>
              <w:pStyle w:val="TableParagraph"/>
              <w:spacing w:line="160" w:lineRule="exact" w:before="43"/>
              <w:ind w:left="79"/>
              <w:jc w:val="left"/>
              <w:rPr>
                <w:sz w:val="14"/>
              </w:rPr>
            </w:pPr>
            <w:r>
              <w:rPr>
                <w:color w:val="231F20"/>
                <w:w w:val="80"/>
                <w:sz w:val="14"/>
              </w:rPr>
              <w:t>May</w:t>
            </w:r>
            <w:r>
              <w:rPr>
                <w:color w:val="231F20"/>
                <w:spacing w:val="-5"/>
                <w:sz w:val="14"/>
              </w:rPr>
              <w:t> </w:t>
            </w:r>
            <w:r>
              <w:rPr>
                <w:color w:val="231F20"/>
                <w:w w:val="80"/>
                <w:sz w:val="14"/>
              </w:rPr>
              <w:t>1</w:t>
            </w:r>
            <w:r>
              <w:rPr>
                <w:color w:val="231F20"/>
                <w:spacing w:val="-5"/>
                <w:sz w:val="14"/>
              </w:rPr>
              <w:t> </w:t>
            </w:r>
            <w:r>
              <w:rPr>
                <w:color w:val="231F20"/>
                <w:spacing w:val="-5"/>
                <w:w w:val="80"/>
                <w:sz w:val="14"/>
              </w:rPr>
              <w:t>to</w:t>
            </w:r>
          </w:p>
          <w:p>
            <w:pPr>
              <w:pStyle w:val="TableParagraph"/>
              <w:spacing w:line="160" w:lineRule="exact" w:before="0"/>
              <w:ind w:left="79"/>
              <w:jc w:val="left"/>
              <w:rPr>
                <w:sz w:val="14"/>
              </w:rPr>
            </w:pPr>
            <w:r>
              <w:rPr>
                <w:color w:val="231F20"/>
                <w:w w:val="80"/>
                <w:sz w:val="14"/>
              </w:rPr>
              <w:t>October</w:t>
            </w:r>
            <w:r>
              <w:rPr>
                <w:color w:val="231F20"/>
                <w:spacing w:val="-4"/>
                <w:sz w:val="14"/>
              </w:rPr>
              <w:t> </w:t>
            </w:r>
            <w:r>
              <w:rPr>
                <w:color w:val="231F20"/>
                <w:w w:val="80"/>
                <w:sz w:val="14"/>
              </w:rPr>
              <w:t>31,</w:t>
            </w:r>
            <w:r>
              <w:rPr>
                <w:color w:val="231F20"/>
                <w:spacing w:val="-3"/>
                <w:sz w:val="14"/>
              </w:rPr>
              <w:t> </w:t>
            </w:r>
            <w:r>
              <w:rPr>
                <w:color w:val="231F20"/>
                <w:spacing w:val="-4"/>
                <w:w w:val="80"/>
                <w:sz w:val="14"/>
              </w:rPr>
              <w:t>2022</w:t>
            </w:r>
          </w:p>
        </w:tc>
        <w:tc>
          <w:tcPr>
            <w:tcW w:w="2704" w:type="dxa"/>
            <w:tcBorders>
              <w:top w:val="single" w:sz="4" w:space="0" w:color="008FDD"/>
              <w:bottom w:val="single" w:sz="4" w:space="0" w:color="008FDD"/>
            </w:tcBorders>
          </w:tcPr>
          <w:p>
            <w:pPr>
              <w:pStyle w:val="TableParagraph"/>
              <w:spacing w:before="43"/>
              <w:ind w:left="141" w:right="248"/>
              <w:jc w:val="left"/>
              <w:rPr>
                <w:sz w:val="14"/>
              </w:rPr>
            </w:pPr>
            <w:r>
              <w:rPr>
                <w:color w:val="231F20"/>
                <w:w w:val="80"/>
                <w:sz w:val="14"/>
              </w:rPr>
              <w:t>Critical indicator resulting from many factors,</w:t>
            </w:r>
            <w:r>
              <w:rPr>
                <w:color w:val="231F20"/>
                <w:spacing w:val="40"/>
                <w:sz w:val="14"/>
              </w:rPr>
              <w:t> </w:t>
            </w:r>
            <w:r>
              <w:rPr>
                <w:color w:val="231F20"/>
                <w:w w:val="80"/>
                <w:sz w:val="14"/>
              </w:rPr>
              <w:t>including goods clearance, removal, and land</w:t>
            </w:r>
            <w:r>
              <w:rPr>
                <w:color w:val="231F20"/>
                <w:spacing w:val="40"/>
                <w:sz w:val="14"/>
              </w:rPr>
              <w:t> </w:t>
            </w:r>
            <w:r>
              <w:rPr>
                <w:color w:val="231F20"/>
                <w:w w:val="85"/>
                <w:sz w:val="14"/>
              </w:rPr>
              <w:t>services and to some extent terminal and</w:t>
            </w:r>
            <w:r>
              <w:rPr>
                <w:color w:val="231F20"/>
                <w:spacing w:val="40"/>
                <w:sz w:val="14"/>
              </w:rPr>
              <w:t> </w:t>
            </w:r>
            <w:r>
              <w:rPr>
                <w:color w:val="231F20"/>
                <w:w w:val="85"/>
                <w:sz w:val="14"/>
              </w:rPr>
              <w:t>multimodal performance. Export dwell time</w:t>
            </w:r>
            <w:r>
              <w:rPr>
                <w:color w:val="231F20"/>
                <w:spacing w:val="40"/>
                <w:sz w:val="14"/>
              </w:rPr>
              <w:t> </w:t>
            </w:r>
            <w:r>
              <w:rPr>
                <w:color w:val="231F20"/>
                <w:w w:val="85"/>
                <w:sz w:val="14"/>
              </w:rPr>
              <w:t>is representative of domestic logistics.</w:t>
            </w:r>
          </w:p>
        </w:tc>
      </w:tr>
      <w:tr>
        <w:trPr>
          <w:trHeight w:val="569" w:hRule="atLeast"/>
        </w:trPr>
        <w:tc>
          <w:tcPr>
            <w:tcW w:w="1440" w:type="dxa"/>
          </w:tcPr>
          <w:p>
            <w:pPr>
              <w:pStyle w:val="TableParagraph"/>
              <w:spacing w:before="0"/>
              <w:jc w:val="left"/>
              <w:rPr>
                <w:rFonts w:ascii="Times New Roman"/>
                <w:sz w:val="12"/>
              </w:rPr>
            </w:pPr>
          </w:p>
        </w:tc>
        <w:tc>
          <w:tcPr>
            <w:tcW w:w="1272" w:type="dxa"/>
            <w:tcBorders>
              <w:top w:val="single" w:sz="4" w:space="0" w:color="008FDD"/>
              <w:bottom w:val="single" w:sz="4" w:space="0" w:color="008FDD"/>
            </w:tcBorders>
          </w:tcPr>
          <w:p>
            <w:pPr>
              <w:pStyle w:val="TableParagraph"/>
              <w:spacing w:before="43"/>
              <w:ind w:left="80" w:right="199"/>
              <w:jc w:val="left"/>
              <w:rPr>
                <w:sz w:val="14"/>
              </w:rPr>
            </w:pPr>
            <w:r>
              <w:rPr>
                <w:color w:val="231F20"/>
                <w:w w:val="80"/>
                <w:sz w:val="14"/>
              </w:rPr>
              <w:t>Corridors</w:t>
            </w:r>
            <w:r>
              <w:rPr>
                <w:color w:val="231F20"/>
                <w:spacing w:val="-2"/>
                <w:w w:val="80"/>
                <w:sz w:val="14"/>
              </w:rPr>
              <w:t> </w:t>
            </w:r>
            <w:r>
              <w:rPr>
                <w:color w:val="231F20"/>
                <w:w w:val="80"/>
                <w:sz w:val="14"/>
              </w:rPr>
              <w:t>import</w:t>
            </w:r>
            <w:r>
              <w:rPr>
                <w:color w:val="231F20"/>
                <w:spacing w:val="40"/>
                <w:sz w:val="14"/>
              </w:rPr>
              <w:t> </w:t>
            </w:r>
            <w:r>
              <w:rPr>
                <w:color w:val="231F20"/>
                <w:w w:val="80"/>
                <w:sz w:val="14"/>
              </w:rPr>
              <w:t>lead</w:t>
            </w:r>
            <w:r>
              <w:rPr>
                <w:color w:val="231F20"/>
                <w:spacing w:val="-5"/>
                <w:sz w:val="14"/>
              </w:rPr>
              <w:t> </w:t>
            </w:r>
            <w:r>
              <w:rPr>
                <w:color w:val="231F20"/>
                <w:w w:val="80"/>
                <w:sz w:val="14"/>
              </w:rPr>
              <w:t>time</w:t>
            </w:r>
            <w:r>
              <w:rPr>
                <w:color w:val="231F20"/>
                <w:spacing w:val="-4"/>
                <w:sz w:val="14"/>
              </w:rPr>
              <w:t> </w:t>
            </w:r>
            <w:r>
              <w:rPr>
                <w:color w:val="231F20"/>
                <w:spacing w:val="-2"/>
                <w:w w:val="80"/>
                <w:sz w:val="14"/>
              </w:rPr>
              <w:t>(days)</w:t>
            </w:r>
          </w:p>
        </w:tc>
        <w:tc>
          <w:tcPr>
            <w:tcW w:w="3769" w:type="dxa"/>
            <w:tcBorders>
              <w:top w:val="single" w:sz="4" w:space="0" w:color="008FDD"/>
              <w:bottom w:val="single" w:sz="4" w:space="0" w:color="008FDD"/>
            </w:tcBorders>
          </w:tcPr>
          <w:p>
            <w:pPr>
              <w:pStyle w:val="TableParagraph"/>
              <w:spacing w:before="43"/>
              <w:ind w:left="183"/>
              <w:jc w:val="left"/>
              <w:rPr>
                <w:sz w:val="14"/>
              </w:rPr>
            </w:pPr>
            <w:r>
              <w:rPr>
                <w:color w:val="231F20"/>
                <w:w w:val="80"/>
                <w:sz w:val="14"/>
              </w:rPr>
              <w:t>Estimation of mean time to import for corridors serving landlocked</w:t>
            </w:r>
            <w:r>
              <w:rPr>
                <w:color w:val="231F20"/>
                <w:spacing w:val="40"/>
                <w:sz w:val="14"/>
              </w:rPr>
              <w:t> </w:t>
            </w:r>
            <w:r>
              <w:rPr>
                <w:color w:val="231F20"/>
                <w:w w:val="80"/>
                <w:sz w:val="14"/>
              </w:rPr>
              <w:t>countries based on lead time between destination and port of import.</w:t>
            </w:r>
          </w:p>
        </w:tc>
        <w:tc>
          <w:tcPr>
            <w:tcW w:w="1138" w:type="dxa"/>
            <w:tcBorders>
              <w:top w:val="single" w:sz="4" w:space="0" w:color="008FDD"/>
              <w:bottom w:val="single" w:sz="4" w:space="0" w:color="008FDD"/>
            </w:tcBorders>
          </w:tcPr>
          <w:p>
            <w:pPr>
              <w:pStyle w:val="TableParagraph"/>
              <w:spacing w:line="160" w:lineRule="exact" w:before="43"/>
              <w:ind w:left="79"/>
              <w:jc w:val="left"/>
              <w:rPr>
                <w:sz w:val="14"/>
              </w:rPr>
            </w:pPr>
            <w:r>
              <w:rPr>
                <w:color w:val="231F20"/>
                <w:w w:val="80"/>
                <w:sz w:val="14"/>
              </w:rPr>
              <w:t>May</w:t>
            </w:r>
            <w:r>
              <w:rPr>
                <w:color w:val="231F20"/>
                <w:spacing w:val="-5"/>
                <w:sz w:val="14"/>
              </w:rPr>
              <w:t> </w:t>
            </w:r>
            <w:r>
              <w:rPr>
                <w:color w:val="231F20"/>
                <w:w w:val="80"/>
                <w:sz w:val="14"/>
              </w:rPr>
              <w:t>1</w:t>
            </w:r>
            <w:r>
              <w:rPr>
                <w:color w:val="231F20"/>
                <w:spacing w:val="-5"/>
                <w:sz w:val="14"/>
              </w:rPr>
              <w:t> </w:t>
            </w:r>
            <w:r>
              <w:rPr>
                <w:color w:val="231F20"/>
                <w:spacing w:val="-5"/>
                <w:w w:val="80"/>
                <w:sz w:val="14"/>
              </w:rPr>
              <w:t>to</w:t>
            </w:r>
          </w:p>
          <w:p>
            <w:pPr>
              <w:pStyle w:val="TableParagraph"/>
              <w:spacing w:line="160" w:lineRule="exact" w:before="0"/>
              <w:ind w:left="79"/>
              <w:jc w:val="left"/>
              <w:rPr>
                <w:sz w:val="14"/>
              </w:rPr>
            </w:pPr>
            <w:r>
              <w:rPr>
                <w:color w:val="231F20"/>
                <w:w w:val="80"/>
                <w:sz w:val="14"/>
              </w:rPr>
              <w:t>October</w:t>
            </w:r>
            <w:r>
              <w:rPr>
                <w:color w:val="231F20"/>
                <w:spacing w:val="-4"/>
                <w:sz w:val="14"/>
              </w:rPr>
              <w:t> </w:t>
            </w:r>
            <w:r>
              <w:rPr>
                <w:color w:val="231F20"/>
                <w:w w:val="80"/>
                <w:sz w:val="14"/>
              </w:rPr>
              <w:t>31,</w:t>
            </w:r>
            <w:r>
              <w:rPr>
                <w:color w:val="231F20"/>
                <w:spacing w:val="-3"/>
                <w:sz w:val="14"/>
              </w:rPr>
              <w:t> </w:t>
            </w:r>
            <w:r>
              <w:rPr>
                <w:color w:val="231F20"/>
                <w:spacing w:val="-4"/>
                <w:w w:val="80"/>
                <w:sz w:val="14"/>
              </w:rPr>
              <w:t>2022</w:t>
            </w:r>
          </w:p>
        </w:tc>
        <w:tc>
          <w:tcPr>
            <w:tcW w:w="2704" w:type="dxa"/>
            <w:tcBorders>
              <w:top w:val="single" w:sz="4" w:space="0" w:color="008FDD"/>
              <w:bottom w:val="single" w:sz="4" w:space="0" w:color="008FDD"/>
            </w:tcBorders>
          </w:tcPr>
          <w:p>
            <w:pPr>
              <w:pStyle w:val="TableParagraph"/>
              <w:spacing w:before="43"/>
              <w:ind w:left="141" w:right="334"/>
              <w:jc w:val="left"/>
              <w:rPr>
                <w:sz w:val="14"/>
              </w:rPr>
            </w:pPr>
            <w:r>
              <w:rPr>
                <w:color w:val="231F20"/>
                <w:w w:val="85"/>
                <w:sz w:val="14"/>
              </w:rPr>
              <w:t>Representative of road or rail corridor</w:t>
            </w:r>
            <w:r>
              <w:rPr>
                <w:color w:val="231F20"/>
                <w:spacing w:val="40"/>
                <w:sz w:val="14"/>
              </w:rPr>
              <w:t> </w:t>
            </w:r>
            <w:r>
              <w:rPr>
                <w:color w:val="231F20"/>
                <w:w w:val="80"/>
                <w:sz w:val="14"/>
              </w:rPr>
              <w:t>performance excluding multimodal transfer</w:t>
            </w:r>
            <w:r>
              <w:rPr>
                <w:color w:val="231F20"/>
                <w:spacing w:val="40"/>
                <w:sz w:val="14"/>
              </w:rPr>
              <w:t> </w:t>
            </w:r>
            <w:r>
              <w:rPr>
                <w:color w:val="231F20"/>
                <w:w w:val="85"/>
                <w:sz w:val="14"/>
              </w:rPr>
              <w:t>en</w:t>
            </w:r>
            <w:r>
              <w:rPr>
                <w:color w:val="231F20"/>
                <w:spacing w:val="-4"/>
                <w:w w:val="85"/>
                <w:sz w:val="14"/>
              </w:rPr>
              <w:t> </w:t>
            </w:r>
            <w:r>
              <w:rPr>
                <w:color w:val="231F20"/>
                <w:w w:val="85"/>
                <w:sz w:val="14"/>
              </w:rPr>
              <w:t>route</w:t>
            </w:r>
            <w:r>
              <w:rPr>
                <w:color w:val="231F20"/>
                <w:spacing w:val="-4"/>
                <w:w w:val="85"/>
                <w:sz w:val="14"/>
              </w:rPr>
              <w:t> </w:t>
            </w:r>
            <w:r>
              <w:rPr>
                <w:color w:val="231F20"/>
                <w:w w:val="85"/>
                <w:sz w:val="14"/>
              </w:rPr>
              <w:t>which</w:t>
            </w:r>
            <w:r>
              <w:rPr>
                <w:color w:val="231F20"/>
                <w:spacing w:val="-4"/>
                <w:w w:val="85"/>
                <w:sz w:val="14"/>
              </w:rPr>
              <w:t> </w:t>
            </w:r>
            <w:r>
              <w:rPr>
                <w:color w:val="231F20"/>
                <w:w w:val="85"/>
                <w:sz w:val="14"/>
              </w:rPr>
              <w:t>are</w:t>
            </w:r>
            <w:r>
              <w:rPr>
                <w:color w:val="231F20"/>
                <w:spacing w:val="-4"/>
                <w:w w:val="85"/>
                <w:sz w:val="14"/>
              </w:rPr>
              <w:t> </w:t>
            </w:r>
            <w:r>
              <w:rPr>
                <w:color w:val="231F20"/>
                <w:w w:val="85"/>
                <w:sz w:val="14"/>
              </w:rPr>
              <w:t>included</w:t>
            </w:r>
            <w:r>
              <w:rPr>
                <w:color w:val="231F20"/>
                <w:spacing w:val="-4"/>
                <w:w w:val="85"/>
                <w:sz w:val="14"/>
              </w:rPr>
              <w:t> </w:t>
            </w:r>
            <w:r>
              <w:rPr>
                <w:color w:val="231F20"/>
                <w:w w:val="85"/>
                <w:sz w:val="14"/>
              </w:rPr>
              <w:t>in</w:t>
            </w:r>
            <w:r>
              <w:rPr>
                <w:color w:val="231F20"/>
                <w:spacing w:val="-4"/>
                <w:w w:val="85"/>
                <w:sz w:val="14"/>
              </w:rPr>
              <w:t> </w:t>
            </w:r>
            <w:r>
              <w:rPr>
                <w:color w:val="231F20"/>
                <w:w w:val="85"/>
                <w:sz w:val="14"/>
              </w:rPr>
              <w:t>dwell</w:t>
            </w:r>
            <w:r>
              <w:rPr>
                <w:color w:val="231F20"/>
                <w:spacing w:val="-4"/>
                <w:w w:val="85"/>
                <w:sz w:val="14"/>
              </w:rPr>
              <w:t> </w:t>
            </w:r>
            <w:r>
              <w:rPr>
                <w:color w:val="231F20"/>
                <w:w w:val="85"/>
                <w:sz w:val="14"/>
              </w:rPr>
              <w:t>time.</w:t>
            </w:r>
          </w:p>
        </w:tc>
      </w:tr>
      <w:tr>
        <w:trPr>
          <w:trHeight w:val="409" w:hRule="atLeast"/>
        </w:trPr>
        <w:tc>
          <w:tcPr>
            <w:tcW w:w="1440" w:type="dxa"/>
            <w:tcBorders>
              <w:bottom w:val="single" w:sz="4" w:space="0" w:color="008FDD"/>
            </w:tcBorders>
          </w:tcPr>
          <w:p>
            <w:pPr>
              <w:pStyle w:val="TableParagraph"/>
              <w:spacing w:before="0"/>
              <w:jc w:val="left"/>
              <w:rPr>
                <w:rFonts w:ascii="Times New Roman"/>
                <w:sz w:val="12"/>
              </w:rPr>
            </w:pPr>
          </w:p>
        </w:tc>
        <w:tc>
          <w:tcPr>
            <w:tcW w:w="1272" w:type="dxa"/>
            <w:tcBorders>
              <w:top w:val="single" w:sz="4" w:space="0" w:color="008FDD"/>
              <w:bottom w:val="single" w:sz="4" w:space="0" w:color="008FDD"/>
            </w:tcBorders>
          </w:tcPr>
          <w:p>
            <w:pPr>
              <w:pStyle w:val="TableParagraph"/>
              <w:spacing w:before="43"/>
              <w:ind w:left="80" w:right="235"/>
              <w:jc w:val="left"/>
              <w:rPr>
                <w:sz w:val="14"/>
              </w:rPr>
            </w:pPr>
            <w:r>
              <w:rPr>
                <w:color w:val="231F20"/>
                <w:w w:val="75"/>
                <w:sz w:val="14"/>
              </w:rPr>
              <w:t>Export container</w:t>
            </w:r>
            <w:r>
              <w:rPr>
                <w:color w:val="231F20"/>
                <w:spacing w:val="40"/>
                <w:sz w:val="14"/>
              </w:rPr>
              <w:t> </w:t>
            </w:r>
            <w:r>
              <w:rPr>
                <w:color w:val="231F20"/>
                <w:w w:val="80"/>
                <w:sz w:val="14"/>
              </w:rPr>
              <w:t>lead</w:t>
            </w:r>
            <w:r>
              <w:rPr>
                <w:color w:val="231F20"/>
                <w:spacing w:val="-5"/>
                <w:sz w:val="14"/>
              </w:rPr>
              <w:t> </w:t>
            </w:r>
            <w:r>
              <w:rPr>
                <w:color w:val="231F20"/>
                <w:w w:val="80"/>
                <w:sz w:val="14"/>
              </w:rPr>
              <w:t>time</w:t>
            </w:r>
            <w:r>
              <w:rPr>
                <w:color w:val="231F20"/>
                <w:spacing w:val="-4"/>
                <w:sz w:val="14"/>
              </w:rPr>
              <w:t> </w:t>
            </w:r>
            <w:r>
              <w:rPr>
                <w:color w:val="231F20"/>
                <w:spacing w:val="-2"/>
                <w:w w:val="80"/>
                <w:sz w:val="14"/>
              </w:rPr>
              <w:t>(days)</w:t>
            </w:r>
          </w:p>
        </w:tc>
        <w:tc>
          <w:tcPr>
            <w:tcW w:w="3769" w:type="dxa"/>
            <w:tcBorders>
              <w:top w:val="single" w:sz="4" w:space="0" w:color="008FDD"/>
              <w:bottom w:val="single" w:sz="4" w:space="0" w:color="008FDD"/>
            </w:tcBorders>
          </w:tcPr>
          <w:p>
            <w:pPr>
              <w:pStyle w:val="TableParagraph"/>
              <w:spacing w:before="43"/>
              <w:ind w:left="183" w:right="1195"/>
              <w:jc w:val="left"/>
              <w:rPr>
                <w:sz w:val="14"/>
              </w:rPr>
            </w:pPr>
            <w:r>
              <w:rPr>
                <w:color w:val="231F20"/>
                <w:w w:val="80"/>
                <w:sz w:val="14"/>
              </w:rPr>
              <w:t>Sum of consolidated dwell time and corridor</w:t>
            </w:r>
            <w:r>
              <w:rPr>
                <w:color w:val="231F20"/>
                <w:spacing w:val="40"/>
                <w:sz w:val="14"/>
              </w:rPr>
              <w:t> </w:t>
            </w:r>
            <w:r>
              <w:rPr>
                <w:color w:val="231F20"/>
                <w:w w:val="90"/>
                <w:sz w:val="14"/>
              </w:rPr>
              <w:t>time</w:t>
            </w:r>
            <w:r>
              <w:rPr>
                <w:color w:val="231F20"/>
                <w:spacing w:val="-5"/>
                <w:w w:val="90"/>
                <w:sz w:val="14"/>
              </w:rPr>
              <w:t> </w:t>
            </w:r>
            <w:r>
              <w:rPr>
                <w:color w:val="231F20"/>
                <w:w w:val="90"/>
                <w:sz w:val="14"/>
              </w:rPr>
              <w:t>for</w:t>
            </w:r>
            <w:r>
              <w:rPr>
                <w:color w:val="231F20"/>
                <w:spacing w:val="-5"/>
                <w:w w:val="90"/>
                <w:sz w:val="14"/>
              </w:rPr>
              <w:t> </w:t>
            </w:r>
            <w:r>
              <w:rPr>
                <w:color w:val="231F20"/>
                <w:w w:val="90"/>
                <w:sz w:val="14"/>
              </w:rPr>
              <w:t>export</w:t>
            </w:r>
            <w:r>
              <w:rPr>
                <w:color w:val="231F20"/>
                <w:spacing w:val="-5"/>
                <w:w w:val="90"/>
                <w:sz w:val="14"/>
              </w:rPr>
              <w:t> </w:t>
            </w:r>
            <w:r>
              <w:rPr>
                <w:color w:val="231F20"/>
                <w:w w:val="90"/>
                <w:sz w:val="14"/>
              </w:rPr>
              <w:t>and</w:t>
            </w:r>
            <w:r>
              <w:rPr>
                <w:color w:val="231F20"/>
                <w:spacing w:val="-5"/>
                <w:w w:val="90"/>
                <w:sz w:val="14"/>
              </w:rPr>
              <w:t> </w:t>
            </w:r>
            <w:r>
              <w:rPr>
                <w:color w:val="231F20"/>
                <w:w w:val="90"/>
                <w:sz w:val="14"/>
              </w:rPr>
              <w:t>stuffing</w:t>
            </w:r>
            <w:r>
              <w:rPr>
                <w:color w:val="231F20"/>
                <w:spacing w:val="-5"/>
                <w:w w:val="90"/>
                <w:sz w:val="14"/>
              </w:rPr>
              <w:t> </w:t>
            </w:r>
            <w:r>
              <w:rPr>
                <w:color w:val="231F20"/>
                <w:w w:val="90"/>
                <w:sz w:val="14"/>
              </w:rPr>
              <w:t>time.</w:t>
            </w:r>
          </w:p>
        </w:tc>
        <w:tc>
          <w:tcPr>
            <w:tcW w:w="1138" w:type="dxa"/>
            <w:tcBorders>
              <w:top w:val="single" w:sz="4" w:space="0" w:color="008FDD"/>
              <w:bottom w:val="single" w:sz="4" w:space="0" w:color="008FDD"/>
            </w:tcBorders>
          </w:tcPr>
          <w:p>
            <w:pPr>
              <w:pStyle w:val="TableParagraph"/>
              <w:spacing w:line="160" w:lineRule="exact" w:before="43"/>
              <w:ind w:left="79"/>
              <w:jc w:val="left"/>
              <w:rPr>
                <w:sz w:val="14"/>
              </w:rPr>
            </w:pPr>
            <w:r>
              <w:rPr>
                <w:color w:val="231F20"/>
                <w:w w:val="80"/>
                <w:sz w:val="14"/>
              </w:rPr>
              <w:t>May</w:t>
            </w:r>
            <w:r>
              <w:rPr>
                <w:color w:val="231F20"/>
                <w:spacing w:val="-5"/>
                <w:sz w:val="14"/>
              </w:rPr>
              <w:t> </w:t>
            </w:r>
            <w:r>
              <w:rPr>
                <w:color w:val="231F20"/>
                <w:w w:val="80"/>
                <w:sz w:val="14"/>
              </w:rPr>
              <w:t>1</w:t>
            </w:r>
            <w:r>
              <w:rPr>
                <w:color w:val="231F20"/>
                <w:spacing w:val="-5"/>
                <w:sz w:val="14"/>
              </w:rPr>
              <w:t> </w:t>
            </w:r>
            <w:r>
              <w:rPr>
                <w:color w:val="231F20"/>
                <w:spacing w:val="-5"/>
                <w:w w:val="80"/>
                <w:sz w:val="14"/>
              </w:rPr>
              <w:t>to</w:t>
            </w:r>
          </w:p>
          <w:p>
            <w:pPr>
              <w:pStyle w:val="TableParagraph"/>
              <w:spacing w:line="160" w:lineRule="exact" w:before="0"/>
              <w:ind w:left="79"/>
              <w:jc w:val="left"/>
              <w:rPr>
                <w:sz w:val="14"/>
              </w:rPr>
            </w:pPr>
            <w:r>
              <w:rPr>
                <w:color w:val="231F20"/>
                <w:w w:val="80"/>
                <w:sz w:val="14"/>
              </w:rPr>
              <w:t>October</w:t>
            </w:r>
            <w:r>
              <w:rPr>
                <w:color w:val="231F20"/>
                <w:spacing w:val="-4"/>
                <w:sz w:val="14"/>
              </w:rPr>
              <w:t> </w:t>
            </w:r>
            <w:r>
              <w:rPr>
                <w:color w:val="231F20"/>
                <w:w w:val="80"/>
                <w:sz w:val="14"/>
              </w:rPr>
              <w:t>31,</w:t>
            </w:r>
            <w:r>
              <w:rPr>
                <w:color w:val="231F20"/>
                <w:spacing w:val="-3"/>
                <w:sz w:val="14"/>
              </w:rPr>
              <w:t> </w:t>
            </w:r>
            <w:r>
              <w:rPr>
                <w:color w:val="231F20"/>
                <w:spacing w:val="-4"/>
                <w:w w:val="80"/>
                <w:sz w:val="14"/>
              </w:rPr>
              <w:t>2022</w:t>
            </w:r>
          </w:p>
        </w:tc>
        <w:tc>
          <w:tcPr>
            <w:tcW w:w="2704" w:type="dxa"/>
            <w:tcBorders>
              <w:top w:val="single" w:sz="4" w:space="0" w:color="008FDD"/>
              <w:bottom w:val="single" w:sz="4" w:space="0" w:color="008FDD"/>
            </w:tcBorders>
          </w:tcPr>
          <w:p>
            <w:pPr>
              <w:pStyle w:val="TableParagraph"/>
              <w:spacing w:before="43"/>
              <w:ind w:left="141"/>
              <w:jc w:val="left"/>
              <w:rPr>
                <w:sz w:val="14"/>
              </w:rPr>
            </w:pPr>
            <w:r>
              <w:rPr>
                <w:color w:val="231F20"/>
                <w:w w:val="75"/>
                <w:sz w:val="14"/>
              </w:rPr>
              <w:t>Same</w:t>
            </w:r>
            <w:r>
              <w:rPr>
                <w:color w:val="231F20"/>
                <w:spacing w:val="11"/>
                <w:sz w:val="14"/>
              </w:rPr>
              <w:t> </w:t>
            </w:r>
            <w:r>
              <w:rPr>
                <w:color w:val="231F20"/>
                <w:w w:val="75"/>
                <w:sz w:val="14"/>
              </w:rPr>
              <w:t>concept</w:t>
            </w:r>
            <w:r>
              <w:rPr>
                <w:color w:val="231F20"/>
                <w:spacing w:val="12"/>
                <w:sz w:val="14"/>
              </w:rPr>
              <w:t> </w:t>
            </w:r>
            <w:r>
              <w:rPr>
                <w:color w:val="231F20"/>
                <w:w w:val="75"/>
                <w:sz w:val="14"/>
              </w:rPr>
              <w:t>for</w:t>
            </w:r>
            <w:r>
              <w:rPr>
                <w:color w:val="231F20"/>
                <w:spacing w:val="12"/>
                <w:sz w:val="14"/>
              </w:rPr>
              <w:t> </w:t>
            </w:r>
            <w:r>
              <w:rPr>
                <w:color w:val="231F20"/>
                <w:spacing w:val="-2"/>
                <w:w w:val="75"/>
                <w:sz w:val="14"/>
              </w:rPr>
              <w:t>exports.</w:t>
            </w:r>
          </w:p>
        </w:tc>
      </w:tr>
      <w:tr>
        <w:trPr>
          <w:trHeight w:val="1049" w:hRule="atLeast"/>
        </w:trPr>
        <w:tc>
          <w:tcPr>
            <w:tcW w:w="1440" w:type="dxa"/>
            <w:tcBorders>
              <w:top w:val="single" w:sz="4" w:space="0" w:color="008FDD"/>
              <w:bottom w:val="single" w:sz="4" w:space="0" w:color="008FDD"/>
            </w:tcBorders>
            <w:shd w:val="clear" w:color="auto" w:fill="D4E3F5"/>
          </w:tcPr>
          <w:p>
            <w:pPr>
              <w:pStyle w:val="TableParagraph"/>
              <w:spacing w:before="43"/>
              <w:ind w:left="80"/>
              <w:jc w:val="left"/>
              <w:rPr>
                <w:sz w:val="14"/>
              </w:rPr>
            </w:pPr>
            <w:r>
              <w:rPr>
                <w:color w:val="231F20"/>
                <w:spacing w:val="-2"/>
                <w:w w:val="90"/>
                <w:sz w:val="14"/>
              </w:rPr>
              <w:t>MarineTraffic</w:t>
            </w:r>
          </w:p>
        </w:tc>
        <w:tc>
          <w:tcPr>
            <w:tcW w:w="1272" w:type="dxa"/>
            <w:tcBorders>
              <w:top w:val="single" w:sz="4" w:space="0" w:color="008FDD"/>
              <w:bottom w:val="single" w:sz="4" w:space="0" w:color="008FDD"/>
            </w:tcBorders>
            <w:shd w:val="clear" w:color="auto" w:fill="D4E3F5"/>
          </w:tcPr>
          <w:p>
            <w:pPr>
              <w:pStyle w:val="TableParagraph"/>
              <w:spacing w:before="43"/>
              <w:ind w:left="80" w:right="352"/>
              <w:jc w:val="left"/>
              <w:rPr>
                <w:sz w:val="14"/>
              </w:rPr>
            </w:pPr>
            <w:r>
              <w:rPr>
                <w:color w:val="231F20"/>
                <w:w w:val="80"/>
                <w:sz w:val="14"/>
              </w:rPr>
              <w:t>Turnaround</w:t>
            </w:r>
            <w:r>
              <w:rPr>
                <w:color w:val="231F20"/>
                <w:spacing w:val="-2"/>
                <w:w w:val="80"/>
                <w:sz w:val="14"/>
              </w:rPr>
              <w:t> </w:t>
            </w:r>
            <w:r>
              <w:rPr>
                <w:color w:val="231F20"/>
                <w:w w:val="80"/>
                <w:sz w:val="14"/>
              </w:rPr>
              <w:t>time</w:t>
            </w:r>
            <w:r>
              <w:rPr>
                <w:color w:val="231F20"/>
                <w:spacing w:val="40"/>
                <w:sz w:val="14"/>
              </w:rPr>
              <w:t> </w:t>
            </w:r>
            <w:r>
              <w:rPr>
                <w:color w:val="231F20"/>
                <w:spacing w:val="-2"/>
                <w:w w:val="90"/>
                <w:sz w:val="14"/>
              </w:rPr>
              <w:t>(days)</w:t>
            </w:r>
          </w:p>
        </w:tc>
        <w:tc>
          <w:tcPr>
            <w:tcW w:w="3769" w:type="dxa"/>
            <w:tcBorders>
              <w:top w:val="single" w:sz="4" w:space="0" w:color="008FDD"/>
              <w:bottom w:val="single" w:sz="4" w:space="0" w:color="008FDD"/>
            </w:tcBorders>
            <w:shd w:val="clear" w:color="auto" w:fill="D4E3F5"/>
          </w:tcPr>
          <w:p>
            <w:pPr>
              <w:pStyle w:val="TableParagraph"/>
              <w:spacing w:before="43"/>
              <w:ind w:left="183" w:right="429"/>
              <w:jc w:val="left"/>
              <w:rPr>
                <w:sz w:val="14"/>
              </w:rPr>
            </w:pPr>
            <w:r>
              <w:rPr>
                <w:color w:val="231F20"/>
                <w:w w:val="85"/>
                <w:sz w:val="14"/>
              </w:rPr>
              <w:t>Time difference between first instance of arrival and last</w:t>
            </w:r>
            <w:r>
              <w:rPr>
                <w:color w:val="231F20"/>
                <w:spacing w:val="40"/>
                <w:sz w:val="14"/>
              </w:rPr>
              <w:t> </w:t>
            </w:r>
            <w:r>
              <w:rPr>
                <w:color w:val="231F20"/>
                <w:w w:val="80"/>
                <w:sz w:val="14"/>
              </w:rPr>
              <w:t>instance of departure for consecutive repeated port visits (if</w:t>
            </w:r>
            <w:r>
              <w:rPr>
                <w:color w:val="231F20"/>
                <w:spacing w:val="40"/>
                <w:sz w:val="14"/>
              </w:rPr>
              <w:t> </w:t>
            </w:r>
            <w:r>
              <w:rPr>
                <w:color w:val="231F20"/>
                <w:w w:val="80"/>
                <w:sz w:val="14"/>
              </w:rPr>
              <w:t>any) calculated for each port call (as defined by United Nations</w:t>
            </w:r>
            <w:r>
              <w:rPr>
                <w:color w:val="231F20"/>
                <w:spacing w:val="40"/>
                <w:sz w:val="14"/>
              </w:rPr>
              <w:t> </w:t>
            </w:r>
            <w:r>
              <w:rPr>
                <w:color w:val="231F20"/>
                <w:w w:val="80"/>
                <w:sz w:val="14"/>
              </w:rPr>
              <w:t>Code for Trade and Transport Locations). Aggregated directly</w:t>
            </w:r>
            <w:r>
              <w:rPr>
                <w:color w:val="231F20"/>
                <w:spacing w:val="40"/>
                <w:sz w:val="14"/>
              </w:rPr>
              <w:t> </w:t>
            </w:r>
            <w:r>
              <w:rPr>
                <w:color w:val="231F20"/>
                <w:w w:val="85"/>
                <w:sz w:val="14"/>
              </w:rPr>
              <w:t>from port call time differences to countries over six months.</w:t>
            </w:r>
            <w:r>
              <w:rPr>
                <w:color w:val="231F20"/>
                <w:spacing w:val="40"/>
                <w:sz w:val="14"/>
              </w:rPr>
              <w:t> </w:t>
            </w:r>
            <w:r>
              <w:rPr>
                <w:color w:val="231F20"/>
                <w:w w:val="85"/>
                <w:sz w:val="14"/>
              </w:rPr>
              <w:t>This indicator excludes waiting time at anchorage.</w:t>
            </w:r>
          </w:p>
        </w:tc>
        <w:tc>
          <w:tcPr>
            <w:tcW w:w="1138" w:type="dxa"/>
            <w:tcBorders>
              <w:top w:val="single" w:sz="4" w:space="0" w:color="008FDD"/>
              <w:bottom w:val="single" w:sz="4" w:space="0" w:color="008FDD"/>
            </w:tcBorders>
            <w:shd w:val="clear" w:color="auto" w:fill="D4E3F5"/>
          </w:tcPr>
          <w:p>
            <w:pPr>
              <w:pStyle w:val="TableParagraph"/>
              <w:spacing w:before="43"/>
              <w:ind w:left="79"/>
              <w:jc w:val="left"/>
              <w:rPr>
                <w:sz w:val="14"/>
              </w:rPr>
            </w:pPr>
            <w:r>
              <w:rPr>
                <w:color w:val="231F20"/>
                <w:w w:val="80"/>
                <w:sz w:val="14"/>
              </w:rPr>
              <w:t>First and second</w:t>
            </w:r>
            <w:r>
              <w:rPr>
                <w:color w:val="231F20"/>
                <w:spacing w:val="40"/>
                <w:sz w:val="14"/>
              </w:rPr>
              <w:t> </w:t>
            </w:r>
            <w:r>
              <w:rPr>
                <w:color w:val="231F20"/>
                <w:w w:val="80"/>
                <w:sz w:val="14"/>
              </w:rPr>
              <w:t>quarters</w:t>
            </w:r>
            <w:r>
              <w:rPr>
                <w:color w:val="231F20"/>
                <w:spacing w:val="-3"/>
                <w:sz w:val="14"/>
              </w:rPr>
              <w:t> </w:t>
            </w:r>
            <w:r>
              <w:rPr>
                <w:color w:val="231F20"/>
                <w:w w:val="80"/>
                <w:sz w:val="14"/>
              </w:rPr>
              <w:t>of</w:t>
            </w:r>
            <w:r>
              <w:rPr>
                <w:color w:val="231F20"/>
                <w:spacing w:val="-2"/>
                <w:sz w:val="14"/>
              </w:rPr>
              <w:t> </w:t>
            </w:r>
            <w:r>
              <w:rPr>
                <w:color w:val="231F20"/>
                <w:spacing w:val="-4"/>
                <w:w w:val="80"/>
                <w:sz w:val="14"/>
              </w:rPr>
              <w:t>2022</w:t>
            </w:r>
          </w:p>
        </w:tc>
        <w:tc>
          <w:tcPr>
            <w:tcW w:w="2704" w:type="dxa"/>
            <w:tcBorders>
              <w:top w:val="single" w:sz="4" w:space="0" w:color="008FDD"/>
              <w:bottom w:val="single" w:sz="4" w:space="0" w:color="008FDD"/>
            </w:tcBorders>
            <w:shd w:val="clear" w:color="auto" w:fill="D4E3F5"/>
          </w:tcPr>
          <w:p>
            <w:pPr>
              <w:pStyle w:val="TableParagraph"/>
              <w:spacing w:before="43"/>
              <w:ind w:left="141" w:right="679"/>
              <w:jc w:val="both"/>
              <w:rPr>
                <w:sz w:val="14"/>
              </w:rPr>
            </w:pPr>
            <w:r>
              <w:rPr>
                <w:color w:val="231F20"/>
                <w:w w:val="80"/>
                <w:sz w:val="14"/>
              </w:rPr>
              <w:t>Proxy of the performance of the ship</w:t>
            </w:r>
            <w:r>
              <w:rPr>
                <w:color w:val="231F20"/>
                <w:spacing w:val="40"/>
                <w:sz w:val="14"/>
              </w:rPr>
              <w:t> </w:t>
            </w:r>
            <w:r>
              <w:rPr>
                <w:color w:val="231F20"/>
                <w:w w:val="80"/>
                <w:sz w:val="14"/>
              </w:rPr>
              <w:t>to shore interface (including handling</w:t>
            </w:r>
            <w:r>
              <w:rPr>
                <w:color w:val="231F20"/>
                <w:spacing w:val="40"/>
                <w:sz w:val="14"/>
              </w:rPr>
              <w:t> </w:t>
            </w:r>
            <w:r>
              <w:rPr>
                <w:color w:val="231F20"/>
                <w:w w:val="90"/>
                <w:sz w:val="14"/>
              </w:rPr>
              <w:t>by</w:t>
            </w:r>
            <w:r>
              <w:rPr>
                <w:color w:val="231F20"/>
                <w:spacing w:val="-6"/>
                <w:w w:val="90"/>
                <w:sz w:val="14"/>
              </w:rPr>
              <w:t> </w:t>
            </w:r>
            <w:r>
              <w:rPr>
                <w:color w:val="231F20"/>
                <w:w w:val="90"/>
                <w:sz w:val="14"/>
              </w:rPr>
              <w:t>the</w:t>
            </w:r>
            <w:r>
              <w:rPr>
                <w:color w:val="231F20"/>
                <w:spacing w:val="-6"/>
                <w:w w:val="90"/>
                <w:sz w:val="14"/>
              </w:rPr>
              <w:t> </w:t>
            </w:r>
            <w:r>
              <w:rPr>
                <w:color w:val="231F20"/>
                <w:w w:val="90"/>
                <w:sz w:val="14"/>
              </w:rPr>
              <w:t>terminal</w:t>
            </w:r>
            <w:r>
              <w:rPr>
                <w:color w:val="231F20"/>
                <w:spacing w:val="-6"/>
                <w:w w:val="90"/>
                <w:sz w:val="14"/>
              </w:rPr>
              <w:t> </w:t>
            </w:r>
            <w:r>
              <w:rPr>
                <w:color w:val="231F20"/>
                <w:w w:val="90"/>
                <w:sz w:val="14"/>
              </w:rPr>
              <w:t>operator).</w:t>
            </w:r>
          </w:p>
        </w:tc>
      </w:tr>
    </w:tbl>
    <w:p>
      <w:pPr>
        <w:pStyle w:val="BodyText"/>
        <w:spacing w:before="52"/>
        <w:rPr>
          <w:rFonts w:ascii="Arial"/>
          <w:sz w:val="12"/>
        </w:rPr>
      </w:pPr>
    </w:p>
    <w:p>
      <w:pPr>
        <w:spacing w:before="0"/>
        <w:ind w:left="1200" w:right="0" w:firstLine="0"/>
        <w:jc w:val="left"/>
        <w:rPr>
          <w:rFonts w:ascii="Arial"/>
          <w:sz w:val="12"/>
        </w:rPr>
      </w:pPr>
      <w:r>
        <w:rPr>
          <w:rFonts w:ascii="Arial"/>
          <w:i/>
          <w:color w:val="231F20"/>
          <w:w w:val="75"/>
          <w:sz w:val="12"/>
        </w:rPr>
        <w:t>Source:</w:t>
      </w:r>
      <w:r>
        <w:rPr>
          <w:rFonts w:ascii="Arial"/>
          <w:i/>
          <w:color w:val="231F20"/>
          <w:spacing w:val="7"/>
          <w:sz w:val="12"/>
        </w:rPr>
        <w:t> </w:t>
      </w:r>
      <w:r>
        <w:rPr>
          <w:rFonts w:ascii="Arial"/>
          <w:color w:val="231F20"/>
          <w:w w:val="75"/>
          <w:sz w:val="12"/>
        </w:rPr>
        <w:t>World</w:t>
      </w:r>
      <w:r>
        <w:rPr>
          <w:rFonts w:ascii="Arial"/>
          <w:color w:val="231F20"/>
          <w:spacing w:val="8"/>
          <w:sz w:val="12"/>
        </w:rPr>
        <w:t> </w:t>
      </w:r>
      <w:r>
        <w:rPr>
          <w:rFonts w:ascii="Arial"/>
          <w:color w:val="231F20"/>
          <w:spacing w:val="-2"/>
          <w:w w:val="75"/>
          <w:sz w:val="12"/>
        </w:rPr>
        <w:t>Bank.</w:t>
      </w:r>
    </w:p>
    <w:p>
      <w:pPr>
        <w:spacing w:after="0"/>
        <w:jc w:val="left"/>
        <w:rPr>
          <w:rFonts w:ascii="Arial"/>
          <w:sz w:val="12"/>
        </w:rPr>
        <w:sectPr>
          <w:pgSz w:w="12240" w:h="15840"/>
          <w:pgMar w:header="370" w:footer="548" w:top="560" w:bottom="740" w:left="0" w:right="540"/>
        </w:sectPr>
      </w:pPr>
    </w:p>
    <w:p>
      <w:pPr>
        <w:pStyle w:val="Heading1"/>
        <w:spacing w:before="144"/>
        <w:ind w:left="540" w:right="2415"/>
        <w:jc w:val="center"/>
      </w:pPr>
      <w:r>
        <w:rPr/>
        <mc:AlternateContent>
          <mc:Choice Requires="wps">
            <w:drawing>
              <wp:anchor distT="0" distB="0" distL="0" distR="0" allowOverlap="1" layoutInCell="1" locked="0" behindDoc="1" simplePos="0" relativeHeight="487640576">
                <wp:simplePos x="0" y="0"/>
                <wp:positionH relativeFrom="page">
                  <wp:posOffset>457200</wp:posOffset>
                </wp:positionH>
                <wp:positionV relativeFrom="paragraph">
                  <wp:posOffset>977900</wp:posOffset>
                </wp:positionV>
                <wp:extent cx="1524000" cy="171450"/>
                <wp:effectExtent l="0" t="0" r="0" b="0"/>
                <wp:wrapTopAndBottom/>
                <wp:docPr id="1909" name="Graphic 1909"/>
                <wp:cNvGraphicFramePr>
                  <a:graphicFrameLocks/>
                </wp:cNvGraphicFramePr>
                <a:graphic>
                  <a:graphicData uri="http://schemas.microsoft.com/office/word/2010/wordprocessingShape">
                    <wps:wsp>
                      <wps:cNvPr id="1909" name="Graphic 1909"/>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36pt;margin-top:77pt;width:120pt;height:13.5pt;mso-position-horizontal-relative:page;mso-position-vertical-relative:paragraph;z-index:-15675904;mso-wrap-distance-left:0;mso-wrap-distance-right:0" id="docshape1637"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641088">
                <wp:simplePos x="0" y="0"/>
                <wp:positionH relativeFrom="page">
                  <wp:posOffset>2133600</wp:posOffset>
                </wp:positionH>
                <wp:positionV relativeFrom="paragraph">
                  <wp:posOffset>977900</wp:posOffset>
                </wp:positionV>
                <wp:extent cx="4876800" cy="171450"/>
                <wp:effectExtent l="0" t="0" r="0" b="0"/>
                <wp:wrapTopAndBottom/>
                <wp:docPr id="1910" name="Graphic 1910"/>
                <wp:cNvGraphicFramePr>
                  <a:graphicFrameLocks/>
                </wp:cNvGraphicFramePr>
                <a:graphic>
                  <a:graphicData uri="http://schemas.microsoft.com/office/word/2010/wordprocessingShape">
                    <wps:wsp>
                      <wps:cNvPr id="1910" name="Graphic 1910"/>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68pt;margin-top:77pt;width:384pt;height:13.5pt;mso-position-horizontal-relative:page;mso-position-vertical-relative:paragraph;z-index:-15675392;mso-wrap-distance-left:0;mso-wrap-distance-right:0" id="docshape1638" filled="true" fillcolor="#c9dcf3" stroked="false">
                <v:fill type="solid"/>
                <w10:wrap type="topAndBottom"/>
              </v:rect>
            </w:pict>
          </mc:Fallback>
        </mc:AlternateContent>
      </w:r>
      <w:r>
        <w:rPr/>
        <mc:AlternateContent>
          <mc:Choice Requires="wps">
            <w:drawing>
              <wp:anchor distT="0" distB="0" distL="0" distR="0" allowOverlap="1" layoutInCell="1" locked="0" behindDoc="0" simplePos="0" relativeHeight="15782912">
                <wp:simplePos x="0" y="0"/>
                <wp:positionH relativeFrom="page">
                  <wp:posOffset>1237231</wp:posOffset>
                </wp:positionH>
                <wp:positionV relativeFrom="paragraph">
                  <wp:posOffset>191313</wp:posOffset>
                </wp:positionV>
                <wp:extent cx="159385" cy="628015"/>
                <wp:effectExtent l="0" t="0" r="0" b="0"/>
                <wp:wrapNone/>
                <wp:docPr id="1911" name="Textbox 1911"/>
                <wp:cNvGraphicFramePr>
                  <a:graphicFrameLocks/>
                </wp:cNvGraphicFramePr>
                <a:graphic>
                  <a:graphicData uri="http://schemas.microsoft.com/office/word/2010/wordprocessingShape">
                    <wps:wsp>
                      <wps:cNvPr id="1911" name="Textbox 1911"/>
                      <wps:cNvSpPr txBox="1"/>
                      <wps:spPr>
                        <a:xfrm>
                          <a:off x="0" y="0"/>
                          <a:ext cx="159385" cy="628015"/>
                        </a:xfrm>
                        <a:prstGeom prst="rect">
                          <a:avLst/>
                        </a:prstGeom>
                      </wps:spPr>
                      <wps:txbx>
                        <w:txbxContent>
                          <w:p>
                            <w:pPr>
                              <w:spacing w:before="28"/>
                              <w:ind w:left="20" w:right="0" w:firstLine="0"/>
                              <w:jc w:val="left"/>
                              <w:rPr>
                                <w:rFonts w:ascii="Arial"/>
                                <w:b/>
                                <w:sz w:val="17"/>
                              </w:rPr>
                            </w:pPr>
                            <w:r>
                              <w:rPr>
                                <w:rFonts w:ascii="Arial"/>
                                <w:b/>
                                <w:color w:val="231F20"/>
                                <w:spacing w:val="-2"/>
                                <w:w w:val="110"/>
                                <w:sz w:val="17"/>
                              </w:rPr>
                              <w:t>APPENDIX</w:t>
                            </w:r>
                          </w:p>
                        </w:txbxContent>
                      </wps:txbx>
                      <wps:bodyPr wrap="square" lIns="0" tIns="0" rIns="0" bIns="0" rtlCol="0" vert="vert270">
                        <a:noAutofit/>
                      </wps:bodyPr>
                    </wps:wsp>
                  </a:graphicData>
                </a:graphic>
              </wp:anchor>
            </w:drawing>
          </mc:Choice>
          <mc:Fallback>
            <w:pict>
              <v:shape style="position:absolute;margin-left:97.4198pt;margin-top:15.064048pt;width:12.55pt;height:49.45pt;mso-position-horizontal-relative:page;mso-position-vertical-relative:paragraph;z-index:15782912" type="#_x0000_t202" id="docshape1639" filled="false" stroked="false">
                <v:textbox inset="0,0,0,0" style="layout-flow:vertical;mso-layout-flow-alt:bottom-to-top">
                  <w:txbxContent>
                    <w:p>
                      <w:pPr>
                        <w:spacing w:before="28"/>
                        <w:ind w:left="20" w:right="0" w:firstLine="0"/>
                        <w:jc w:val="left"/>
                        <w:rPr>
                          <w:rFonts w:ascii="Arial"/>
                          <w:b/>
                          <w:sz w:val="17"/>
                        </w:rPr>
                      </w:pPr>
                      <w:r>
                        <w:rPr>
                          <w:rFonts w:ascii="Arial"/>
                          <w:b/>
                          <w:color w:val="231F20"/>
                          <w:spacing w:val="-2"/>
                          <w:w w:val="110"/>
                          <w:sz w:val="17"/>
                        </w:rPr>
                        <w:t>APPENDIX</w:t>
                      </w:r>
                    </w:p>
                  </w:txbxContent>
                </v:textbox>
                <w10:wrap type="none"/>
              </v:shape>
            </w:pict>
          </mc:Fallback>
        </mc:AlternateContent>
      </w:r>
      <w:bookmarkStart w:name="_bookmark49" w:id="53"/>
      <w:bookmarkEnd w:id="53"/>
      <w:r>
        <w:rPr>
          <w:b w:val="0"/>
        </w:rPr>
      </w:r>
      <w:r>
        <w:rPr>
          <w:color w:val="008FDD"/>
          <w:w w:val="110"/>
          <w:sz w:val="120"/>
        </w:rPr>
        <w:t>5</w:t>
      </w:r>
      <w:r>
        <w:rPr>
          <w:color w:val="008FDD"/>
          <w:spacing w:val="-124"/>
          <w:w w:val="110"/>
          <w:sz w:val="120"/>
        </w:rPr>
        <w:t> </w:t>
      </w:r>
      <w:r>
        <w:rPr>
          <w:color w:val="231F20"/>
          <w:w w:val="110"/>
        </w:rPr>
        <w:t>The</w:t>
      </w:r>
      <w:r>
        <w:rPr>
          <w:color w:val="231F20"/>
          <w:spacing w:val="23"/>
          <w:w w:val="110"/>
        </w:rPr>
        <w:t> </w:t>
      </w:r>
      <w:r>
        <w:rPr>
          <w:color w:val="231F20"/>
          <w:w w:val="110"/>
        </w:rPr>
        <w:t>LPI</w:t>
      </w:r>
      <w:r>
        <w:rPr>
          <w:color w:val="231F20"/>
          <w:spacing w:val="23"/>
          <w:w w:val="110"/>
        </w:rPr>
        <w:t> </w:t>
      </w:r>
      <w:r>
        <w:rPr>
          <w:color w:val="231F20"/>
          <w:spacing w:val="-2"/>
          <w:w w:val="110"/>
        </w:rPr>
        <w:t>methodology</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17"/>
        <w:rPr>
          <w:rFonts w:ascii="Arial"/>
          <w:b/>
          <w:sz w:val="20"/>
        </w:rPr>
      </w:pPr>
    </w:p>
    <w:p>
      <w:pPr>
        <w:spacing w:after="0"/>
        <w:rPr>
          <w:rFonts w:ascii="Arial"/>
          <w:sz w:val="20"/>
        </w:rPr>
        <w:sectPr>
          <w:headerReference w:type="even" r:id="rId145"/>
          <w:footerReference w:type="even" r:id="rId146"/>
          <w:footerReference w:type="default" r:id="rId147"/>
          <w:pgSz w:w="12240" w:h="15840"/>
          <w:pgMar w:header="0" w:footer="548" w:top="320" w:bottom="740" w:left="0" w:right="540"/>
          <w:pgNumType w:start="62"/>
        </w:sectPr>
      </w:pPr>
    </w:p>
    <w:p>
      <w:pPr>
        <w:pStyle w:val="BodyText"/>
        <w:spacing w:line="268" w:lineRule="auto" w:before="97"/>
        <w:ind w:left="3360"/>
        <w:jc w:val="both"/>
      </w:pPr>
      <w:r>
        <w:rPr/>
        <mc:AlternateContent>
          <mc:Choice Requires="wps">
            <w:drawing>
              <wp:anchor distT="0" distB="0" distL="0" distR="0" allowOverlap="1" layoutInCell="1" locked="0" behindDoc="1" simplePos="0" relativeHeight="466783232">
                <wp:simplePos x="0" y="0"/>
                <wp:positionH relativeFrom="page">
                  <wp:posOffset>2095500</wp:posOffset>
                </wp:positionH>
                <wp:positionV relativeFrom="paragraph">
                  <wp:posOffset>2929329</wp:posOffset>
                </wp:positionV>
                <wp:extent cx="4953000" cy="3935095"/>
                <wp:effectExtent l="0" t="0" r="0" b="0"/>
                <wp:wrapNone/>
                <wp:docPr id="1912" name="Group 1912"/>
                <wp:cNvGraphicFramePr>
                  <a:graphicFrameLocks/>
                </wp:cNvGraphicFramePr>
                <a:graphic>
                  <a:graphicData uri="http://schemas.microsoft.com/office/word/2010/wordprocessingGroup">
                    <wpg:wgp>
                      <wpg:cNvPr id="1912" name="Group 1912"/>
                      <wpg:cNvGrpSpPr/>
                      <wpg:grpSpPr>
                        <a:xfrm>
                          <a:off x="0" y="0"/>
                          <a:ext cx="4953000" cy="3935095"/>
                          <a:chExt cx="4953000" cy="3935095"/>
                        </a:xfrm>
                      </wpg:grpSpPr>
                      <wps:wsp>
                        <wps:cNvPr id="1913" name="Graphic 1913"/>
                        <wps:cNvSpPr/>
                        <wps:spPr>
                          <a:xfrm>
                            <a:off x="63500" y="19050"/>
                            <a:ext cx="4870450" cy="226060"/>
                          </a:xfrm>
                          <a:custGeom>
                            <a:avLst/>
                            <a:gdLst/>
                            <a:ahLst/>
                            <a:cxnLst/>
                            <a:rect l="l" t="t" r="r" b="b"/>
                            <a:pathLst>
                              <a:path w="4870450" h="226060">
                                <a:moveTo>
                                  <a:pt x="4775200" y="0"/>
                                </a:moveTo>
                                <a:lnTo>
                                  <a:pt x="50800" y="0"/>
                                </a:lnTo>
                                <a:lnTo>
                                  <a:pt x="13757" y="7496"/>
                                </a:lnTo>
                                <a:lnTo>
                                  <a:pt x="0" y="16778"/>
                                </a:lnTo>
                                <a:lnTo>
                                  <a:pt x="0" y="225907"/>
                                </a:lnTo>
                                <a:lnTo>
                                  <a:pt x="4870450" y="225907"/>
                                </a:lnTo>
                                <a:lnTo>
                                  <a:pt x="4870450" y="95250"/>
                                </a:lnTo>
                                <a:lnTo>
                                  <a:pt x="4862953" y="58207"/>
                                </a:lnTo>
                                <a:lnTo>
                                  <a:pt x="4842522" y="27927"/>
                                </a:lnTo>
                                <a:lnTo>
                                  <a:pt x="4812242" y="7496"/>
                                </a:lnTo>
                                <a:lnTo>
                                  <a:pt x="4775200" y="0"/>
                                </a:lnTo>
                                <a:close/>
                              </a:path>
                            </a:pathLst>
                          </a:custGeom>
                          <a:solidFill>
                            <a:srgbClr val="808285"/>
                          </a:solidFill>
                        </wps:spPr>
                        <wps:bodyPr wrap="square" lIns="0" tIns="0" rIns="0" bIns="0" rtlCol="0">
                          <a:prstTxWarp prst="textNoShape">
                            <a:avLst/>
                          </a:prstTxWarp>
                          <a:noAutofit/>
                        </wps:bodyPr>
                      </wps:wsp>
                      <wps:wsp>
                        <wps:cNvPr id="1914" name="Graphic 1914"/>
                        <wps:cNvSpPr/>
                        <wps:spPr>
                          <a:xfrm>
                            <a:off x="546100" y="29057"/>
                            <a:ext cx="1270" cy="225425"/>
                          </a:xfrm>
                          <a:custGeom>
                            <a:avLst/>
                            <a:gdLst/>
                            <a:ahLst/>
                            <a:cxnLst/>
                            <a:rect l="l" t="t" r="r" b="b"/>
                            <a:pathLst>
                              <a:path w="0" h="225425">
                                <a:moveTo>
                                  <a:pt x="0" y="2249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915" name="Graphic 1915"/>
                        <wps:cNvSpPr/>
                        <wps:spPr>
                          <a:xfrm>
                            <a:off x="38100" y="38100"/>
                            <a:ext cx="495300" cy="206375"/>
                          </a:xfrm>
                          <a:custGeom>
                            <a:avLst/>
                            <a:gdLst/>
                            <a:ahLst/>
                            <a:cxnLst/>
                            <a:rect l="l" t="t" r="r" b="b"/>
                            <a:pathLst>
                              <a:path w="495300" h="206375">
                                <a:moveTo>
                                  <a:pt x="0" y="206375"/>
                                </a:moveTo>
                                <a:lnTo>
                                  <a:pt x="495300" y="206375"/>
                                </a:lnTo>
                                <a:lnTo>
                                  <a:pt x="495300" y="0"/>
                                </a:lnTo>
                                <a:lnTo>
                                  <a:pt x="0" y="0"/>
                                </a:lnTo>
                                <a:lnTo>
                                  <a:pt x="0" y="206375"/>
                                </a:lnTo>
                                <a:close/>
                              </a:path>
                            </a:pathLst>
                          </a:custGeom>
                          <a:solidFill>
                            <a:srgbClr val="008FDD"/>
                          </a:solidFill>
                        </wps:spPr>
                        <wps:bodyPr wrap="square" lIns="0" tIns="0" rIns="0" bIns="0" rtlCol="0">
                          <a:prstTxWarp prst="textNoShape">
                            <a:avLst/>
                          </a:prstTxWarp>
                          <a:noAutofit/>
                        </wps:bodyPr>
                      </wps:wsp>
                      <wps:wsp>
                        <wps:cNvPr id="1916" name="Graphic 1916"/>
                        <wps:cNvSpPr/>
                        <wps:spPr>
                          <a:xfrm>
                            <a:off x="19050" y="19050"/>
                            <a:ext cx="4914900" cy="3896995"/>
                          </a:xfrm>
                          <a:custGeom>
                            <a:avLst/>
                            <a:gdLst/>
                            <a:ahLst/>
                            <a:cxnLst/>
                            <a:rect l="l" t="t" r="r" b="b"/>
                            <a:pathLst>
                              <a:path w="4914900" h="3896995">
                                <a:moveTo>
                                  <a:pt x="95250" y="0"/>
                                </a:moveTo>
                                <a:lnTo>
                                  <a:pt x="58212" y="7497"/>
                                </a:lnTo>
                                <a:lnTo>
                                  <a:pt x="27932" y="27932"/>
                                </a:lnTo>
                                <a:lnTo>
                                  <a:pt x="7497" y="58212"/>
                                </a:lnTo>
                                <a:lnTo>
                                  <a:pt x="0" y="95250"/>
                                </a:lnTo>
                                <a:lnTo>
                                  <a:pt x="0" y="3877868"/>
                                </a:lnTo>
                                <a:lnTo>
                                  <a:pt x="0" y="3896918"/>
                                </a:lnTo>
                                <a:lnTo>
                                  <a:pt x="19050" y="3896918"/>
                                </a:lnTo>
                                <a:lnTo>
                                  <a:pt x="4895850" y="3896918"/>
                                </a:lnTo>
                                <a:lnTo>
                                  <a:pt x="4914900" y="3896918"/>
                                </a:lnTo>
                                <a:lnTo>
                                  <a:pt x="4914900" y="3877868"/>
                                </a:lnTo>
                                <a:lnTo>
                                  <a:pt x="4914900" y="95250"/>
                                </a:lnTo>
                                <a:lnTo>
                                  <a:pt x="4907402" y="58212"/>
                                </a:lnTo>
                                <a:lnTo>
                                  <a:pt x="4886967" y="27932"/>
                                </a:lnTo>
                                <a:lnTo>
                                  <a:pt x="4856687" y="7497"/>
                                </a:lnTo>
                                <a:lnTo>
                                  <a:pt x="48196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917" name="Textbox 1917"/>
                        <wps:cNvSpPr txBox="1"/>
                        <wps:spPr>
                          <a:xfrm>
                            <a:off x="622334" y="81178"/>
                            <a:ext cx="3448685" cy="120650"/>
                          </a:xfrm>
                          <a:prstGeom prst="rect">
                            <a:avLst/>
                          </a:prstGeom>
                        </wps:spPr>
                        <wps:txbx>
                          <w:txbxContent>
                            <w:p>
                              <w:pPr>
                                <w:spacing w:before="2"/>
                                <w:ind w:left="0" w:right="0" w:firstLine="0"/>
                                <w:jc w:val="left"/>
                                <w:rPr>
                                  <w:rFonts w:ascii="Arial"/>
                                  <w:b/>
                                  <w:sz w:val="16"/>
                                </w:rPr>
                              </w:pPr>
                              <w:r>
                                <w:rPr>
                                  <w:rFonts w:ascii="Arial"/>
                                  <w:b/>
                                  <w:color w:val="FFFFFF"/>
                                  <w:w w:val="105"/>
                                  <w:sz w:val="16"/>
                                </w:rPr>
                                <w:t>Methodology</w:t>
                              </w:r>
                              <w:r>
                                <w:rPr>
                                  <w:rFonts w:ascii="Arial"/>
                                  <w:b/>
                                  <w:color w:val="FFFFFF"/>
                                  <w:spacing w:val="8"/>
                                  <w:w w:val="105"/>
                                  <w:sz w:val="16"/>
                                </w:rPr>
                                <w:t> </w:t>
                              </w:r>
                              <w:r>
                                <w:rPr>
                                  <w:rFonts w:ascii="Arial"/>
                                  <w:b/>
                                  <w:color w:val="FFFFFF"/>
                                  <w:w w:val="105"/>
                                  <w:sz w:val="16"/>
                                </w:rPr>
                                <w:t>for</w:t>
                              </w:r>
                              <w:r>
                                <w:rPr>
                                  <w:rFonts w:ascii="Arial"/>
                                  <w:b/>
                                  <w:color w:val="FFFFFF"/>
                                  <w:spacing w:val="9"/>
                                  <w:w w:val="105"/>
                                  <w:sz w:val="16"/>
                                </w:rPr>
                                <w:t> </w:t>
                              </w:r>
                              <w:r>
                                <w:rPr>
                                  <w:rFonts w:ascii="Arial"/>
                                  <w:b/>
                                  <w:color w:val="FFFFFF"/>
                                  <w:w w:val="105"/>
                                  <w:sz w:val="16"/>
                                </w:rPr>
                                <w:t>selecting</w:t>
                              </w:r>
                              <w:r>
                                <w:rPr>
                                  <w:rFonts w:ascii="Arial"/>
                                  <w:b/>
                                  <w:color w:val="FFFFFF"/>
                                  <w:spacing w:val="9"/>
                                  <w:w w:val="105"/>
                                  <w:sz w:val="16"/>
                                </w:rPr>
                                <w:t> </w:t>
                              </w:r>
                              <w:r>
                                <w:rPr>
                                  <w:rFonts w:ascii="Arial"/>
                                  <w:b/>
                                  <w:color w:val="FFFFFF"/>
                                  <w:w w:val="105"/>
                                  <w:sz w:val="16"/>
                                </w:rPr>
                                <w:t>country</w:t>
                              </w:r>
                              <w:r>
                                <w:rPr>
                                  <w:rFonts w:ascii="Arial"/>
                                  <w:b/>
                                  <w:color w:val="FFFFFF"/>
                                  <w:spacing w:val="8"/>
                                  <w:w w:val="105"/>
                                  <w:sz w:val="16"/>
                                </w:rPr>
                                <w:t> </w:t>
                              </w:r>
                              <w:r>
                                <w:rPr>
                                  <w:rFonts w:ascii="Arial"/>
                                  <w:b/>
                                  <w:color w:val="FFFFFF"/>
                                  <w:w w:val="105"/>
                                  <w:sz w:val="16"/>
                                </w:rPr>
                                <w:t>groups</w:t>
                              </w:r>
                              <w:r>
                                <w:rPr>
                                  <w:rFonts w:ascii="Arial"/>
                                  <w:b/>
                                  <w:color w:val="FFFFFF"/>
                                  <w:spacing w:val="9"/>
                                  <w:w w:val="105"/>
                                  <w:sz w:val="16"/>
                                </w:rPr>
                                <w:t> </w:t>
                              </w:r>
                              <w:r>
                                <w:rPr>
                                  <w:rFonts w:ascii="Arial"/>
                                  <w:b/>
                                  <w:color w:val="FFFFFF"/>
                                  <w:w w:val="105"/>
                                  <w:sz w:val="16"/>
                                </w:rPr>
                                <w:t>for</w:t>
                              </w:r>
                              <w:r>
                                <w:rPr>
                                  <w:rFonts w:ascii="Arial"/>
                                  <w:b/>
                                  <w:color w:val="FFFFFF"/>
                                  <w:spacing w:val="9"/>
                                  <w:w w:val="105"/>
                                  <w:sz w:val="16"/>
                                </w:rPr>
                                <w:t> </w:t>
                              </w:r>
                              <w:r>
                                <w:rPr>
                                  <w:rFonts w:ascii="Arial"/>
                                  <w:b/>
                                  <w:color w:val="FFFFFF"/>
                                  <w:w w:val="105"/>
                                  <w:sz w:val="16"/>
                                </w:rPr>
                                <w:t>survey</w:t>
                              </w:r>
                              <w:r>
                                <w:rPr>
                                  <w:rFonts w:ascii="Arial"/>
                                  <w:b/>
                                  <w:color w:val="FFFFFF"/>
                                  <w:spacing w:val="8"/>
                                  <w:w w:val="105"/>
                                  <w:sz w:val="16"/>
                                </w:rPr>
                                <w:t> </w:t>
                              </w:r>
                              <w:r>
                                <w:rPr>
                                  <w:rFonts w:ascii="Arial"/>
                                  <w:b/>
                                  <w:color w:val="FFFFFF"/>
                                  <w:spacing w:val="-2"/>
                                  <w:w w:val="105"/>
                                  <w:sz w:val="16"/>
                                </w:rPr>
                                <w:t>respondents</w:t>
                              </w:r>
                            </w:p>
                          </w:txbxContent>
                        </wps:txbx>
                        <wps:bodyPr wrap="square" lIns="0" tIns="0" rIns="0" bIns="0" rtlCol="0">
                          <a:noAutofit/>
                        </wps:bodyPr>
                      </wps:wsp>
                      <wps:wsp>
                        <wps:cNvPr id="1918" name="Textbox 1918"/>
                        <wps:cNvSpPr txBox="1"/>
                        <wps:spPr>
                          <a:xfrm>
                            <a:off x="63500" y="3800878"/>
                            <a:ext cx="675640" cy="91440"/>
                          </a:xfrm>
                          <a:prstGeom prst="rect">
                            <a:avLst/>
                          </a:prstGeom>
                        </wps:spPr>
                        <wps:txbx>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3"/>
                                  <w:sz w:val="12"/>
                                </w:rPr>
                                <w:t> </w:t>
                              </w:r>
                              <w:r>
                                <w:rPr>
                                  <w:rFonts w:ascii="Arial"/>
                                  <w:color w:val="231F20"/>
                                  <w:w w:val="80"/>
                                  <w:sz w:val="12"/>
                                </w:rPr>
                                <w:t>2023</w:t>
                              </w:r>
                              <w:r>
                                <w:rPr>
                                  <w:rFonts w:ascii="Arial"/>
                                  <w:color w:val="231F20"/>
                                  <w:spacing w:val="-2"/>
                                  <w:sz w:val="12"/>
                                </w:rPr>
                                <w:t> </w:t>
                              </w:r>
                              <w:r>
                                <w:rPr>
                                  <w:rFonts w:ascii="Arial"/>
                                  <w:color w:val="231F20"/>
                                  <w:w w:val="80"/>
                                  <w:sz w:val="12"/>
                                </w:rPr>
                                <w:t>LPI</w:t>
                              </w:r>
                              <w:r>
                                <w:rPr>
                                  <w:rFonts w:ascii="Arial"/>
                                  <w:color w:val="231F20"/>
                                  <w:spacing w:val="-2"/>
                                  <w:sz w:val="12"/>
                                </w:rPr>
                                <w:t> </w:t>
                              </w:r>
                              <w:r>
                                <w:rPr>
                                  <w:rFonts w:ascii="Arial"/>
                                  <w:color w:val="231F20"/>
                                  <w:spacing w:val="-2"/>
                                  <w:w w:val="80"/>
                                  <w:sz w:val="12"/>
                                </w:rPr>
                                <w:t>team.</w:t>
                              </w:r>
                            </w:p>
                          </w:txbxContent>
                        </wps:txbx>
                        <wps:bodyPr wrap="square" lIns="0" tIns="0" rIns="0" bIns="0" rtlCol="0">
                          <a:noAutofit/>
                        </wps:bodyPr>
                      </wps:wsp>
                      <wps:wsp>
                        <wps:cNvPr id="1919" name="Textbox 1919"/>
                        <wps:cNvSpPr txBox="1"/>
                        <wps:spPr>
                          <a:xfrm>
                            <a:off x="38100" y="38100"/>
                            <a:ext cx="495300" cy="206375"/>
                          </a:xfrm>
                          <a:prstGeom prst="rect">
                            <a:avLst/>
                          </a:prstGeom>
                        </wps:spPr>
                        <wps:txbx>
                          <w:txbxContent>
                            <w:p>
                              <w:pPr>
                                <w:spacing w:before="70"/>
                                <w:ind w:left="12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5.1</w:t>
                              </w:r>
                            </w:p>
                          </w:txbxContent>
                        </wps:txbx>
                        <wps:bodyPr wrap="square" lIns="0" tIns="0" rIns="0" bIns="0" rtlCol="0">
                          <a:noAutofit/>
                        </wps:bodyPr>
                      </wps:wsp>
                    </wpg:wgp>
                  </a:graphicData>
                </a:graphic>
              </wp:anchor>
            </w:drawing>
          </mc:Choice>
          <mc:Fallback>
            <w:pict>
              <v:group style="position:absolute;margin-left:165pt;margin-top:230.655853pt;width:390pt;height:309.850pt;mso-position-horizontal-relative:page;mso-position-vertical-relative:paragraph;z-index:-36533248" id="docshapegroup1640" coordorigin="3300,4613" coordsize="7800,6197">
                <v:shape style="position:absolute;left:3400;top:4643;width:7670;height:356" id="docshape1641" coordorigin="3400,4643" coordsize="7670,356" path="m10920,4643l3480,4643,3422,4655,3400,4670,3400,4999,11070,4999,11070,4793,11058,4735,11026,4687,10978,4655,10920,4643xe" filled="true" fillcolor="#808285" stroked="false">
                  <v:path arrowok="t"/>
                  <v:fill type="solid"/>
                </v:shape>
                <v:line style="position:absolute" from="4160,5013" to="4160,4659" stroked="true" strokeweight="2pt" strokecolor="#ffffff">
                  <v:stroke dashstyle="solid"/>
                </v:line>
                <v:rect style="position:absolute;left:3360;top:4673;width:780;height:325" id="docshape1642" filled="true" fillcolor="#008fdd" stroked="false">
                  <v:fill type="solid"/>
                </v:rect>
                <v:shape style="position:absolute;left:3330;top:4643;width:7740;height:6137" id="docshape1643" coordorigin="3330,4643" coordsize="7740,6137" path="m3480,4643l3422,4655,3374,4687,3342,4735,3330,4793,3330,10750,3330,10780,3360,10780,11040,10780,11070,10780,11070,10750,11070,4793,11058,4735,11026,4687,10978,4655,10920,4643,3480,4643xe" filled="false" stroked="true" strokeweight="3pt" strokecolor="#ffffff">
                  <v:path arrowok="t"/>
                  <v:stroke dashstyle="solid"/>
                </v:shape>
                <v:shape style="position:absolute;left:4280;top:4740;width:5431;height:190" type="#_x0000_t202" id="docshape1644" filled="false" stroked="false">
                  <v:textbox inset="0,0,0,0">
                    <w:txbxContent>
                      <w:p>
                        <w:pPr>
                          <w:spacing w:before="2"/>
                          <w:ind w:left="0" w:right="0" w:firstLine="0"/>
                          <w:jc w:val="left"/>
                          <w:rPr>
                            <w:rFonts w:ascii="Arial"/>
                            <w:b/>
                            <w:sz w:val="16"/>
                          </w:rPr>
                        </w:pPr>
                        <w:r>
                          <w:rPr>
                            <w:rFonts w:ascii="Arial"/>
                            <w:b/>
                            <w:color w:val="FFFFFF"/>
                            <w:w w:val="105"/>
                            <w:sz w:val="16"/>
                          </w:rPr>
                          <w:t>Methodology</w:t>
                        </w:r>
                        <w:r>
                          <w:rPr>
                            <w:rFonts w:ascii="Arial"/>
                            <w:b/>
                            <w:color w:val="FFFFFF"/>
                            <w:spacing w:val="8"/>
                            <w:w w:val="105"/>
                            <w:sz w:val="16"/>
                          </w:rPr>
                          <w:t> </w:t>
                        </w:r>
                        <w:r>
                          <w:rPr>
                            <w:rFonts w:ascii="Arial"/>
                            <w:b/>
                            <w:color w:val="FFFFFF"/>
                            <w:w w:val="105"/>
                            <w:sz w:val="16"/>
                          </w:rPr>
                          <w:t>for</w:t>
                        </w:r>
                        <w:r>
                          <w:rPr>
                            <w:rFonts w:ascii="Arial"/>
                            <w:b/>
                            <w:color w:val="FFFFFF"/>
                            <w:spacing w:val="9"/>
                            <w:w w:val="105"/>
                            <w:sz w:val="16"/>
                          </w:rPr>
                          <w:t> </w:t>
                        </w:r>
                        <w:r>
                          <w:rPr>
                            <w:rFonts w:ascii="Arial"/>
                            <w:b/>
                            <w:color w:val="FFFFFF"/>
                            <w:w w:val="105"/>
                            <w:sz w:val="16"/>
                          </w:rPr>
                          <w:t>selecting</w:t>
                        </w:r>
                        <w:r>
                          <w:rPr>
                            <w:rFonts w:ascii="Arial"/>
                            <w:b/>
                            <w:color w:val="FFFFFF"/>
                            <w:spacing w:val="9"/>
                            <w:w w:val="105"/>
                            <w:sz w:val="16"/>
                          </w:rPr>
                          <w:t> </w:t>
                        </w:r>
                        <w:r>
                          <w:rPr>
                            <w:rFonts w:ascii="Arial"/>
                            <w:b/>
                            <w:color w:val="FFFFFF"/>
                            <w:w w:val="105"/>
                            <w:sz w:val="16"/>
                          </w:rPr>
                          <w:t>country</w:t>
                        </w:r>
                        <w:r>
                          <w:rPr>
                            <w:rFonts w:ascii="Arial"/>
                            <w:b/>
                            <w:color w:val="FFFFFF"/>
                            <w:spacing w:val="8"/>
                            <w:w w:val="105"/>
                            <w:sz w:val="16"/>
                          </w:rPr>
                          <w:t> </w:t>
                        </w:r>
                        <w:r>
                          <w:rPr>
                            <w:rFonts w:ascii="Arial"/>
                            <w:b/>
                            <w:color w:val="FFFFFF"/>
                            <w:w w:val="105"/>
                            <w:sz w:val="16"/>
                          </w:rPr>
                          <w:t>groups</w:t>
                        </w:r>
                        <w:r>
                          <w:rPr>
                            <w:rFonts w:ascii="Arial"/>
                            <w:b/>
                            <w:color w:val="FFFFFF"/>
                            <w:spacing w:val="9"/>
                            <w:w w:val="105"/>
                            <w:sz w:val="16"/>
                          </w:rPr>
                          <w:t> </w:t>
                        </w:r>
                        <w:r>
                          <w:rPr>
                            <w:rFonts w:ascii="Arial"/>
                            <w:b/>
                            <w:color w:val="FFFFFF"/>
                            <w:w w:val="105"/>
                            <w:sz w:val="16"/>
                          </w:rPr>
                          <w:t>for</w:t>
                        </w:r>
                        <w:r>
                          <w:rPr>
                            <w:rFonts w:ascii="Arial"/>
                            <w:b/>
                            <w:color w:val="FFFFFF"/>
                            <w:spacing w:val="9"/>
                            <w:w w:val="105"/>
                            <w:sz w:val="16"/>
                          </w:rPr>
                          <w:t> </w:t>
                        </w:r>
                        <w:r>
                          <w:rPr>
                            <w:rFonts w:ascii="Arial"/>
                            <w:b/>
                            <w:color w:val="FFFFFF"/>
                            <w:w w:val="105"/>
                            <w:sz w:val="16"/>
                          </w:rPr>
                          <w:t>survey</w:t>
                        </w:r>
                        <w:r>
                          <w:rPr>
                            <w:rFonts w:ascii="Arial"/>
                            <w:b/>
                            <w:color w:val="FFFFFF"/>
                            <w:spacing w:val="8"/>
                            <w:w w:val="105"/>
                            <w:sz w:val="16"/>
                          </w:rPr>
                          <w:t> </w:t>
                        </w:r>
                        <w:r>
                          <w:rPr>
                            <w:rFonts w:ascii="Arial"/>
                            <w:b/>
                            <w:color w:val="FFFFFF"/>
                            <w:spacing w:val="-2"/>
                            <w:w w:val="105"/>
                            <w:sz w:val="16"/>
                          </w:rPr>
                          <w:t>respondents</w:t>
                        </w:r>
                      </w:p>
                    </w:txbxContent>
                  </v:textbox>
                  <w10:wrap type="none"/>
                </v:shape>
                <v:shape style="position:absolute;left:3400;top:10598;width:1064;height:144" type="#_x0000_t202" id="docshape1645" filled="false" stroked="false">
                  <v:textbox inset="0,0,0,0">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3"/>
                            <w:sz w:val="12"/>
                          </w:rPr>
                          <w:t> </w:t>
                        </w:r>
                        <w:r>
                          <w:rPr>
                            <w:rFonts w:ascii="Arial"/>
                            <w:color w:val="231F20"/>
                            <w:w w:val="80"/>
                            <w:sz w:val="12"/>
                          </w:rPr>
                          <w:t>2023</w:t>
                        </w:r>
                        <w:r>
                          <w:rPr>
                            <w:rFonts w:ascii="Arial"/>
                            <w:color w:val="231F20"/>
                            <w:spacing w:val="-2"/>
                            <w:sz w:val="12"/>
                          </w:rPr>
                          <w:t> </w:t>
                        </w:r>
                        <w:r>
                          <w:rPr>
                            <w:rFonts w:ascii="Arial"/>
                            <w:color w:val="231F20"/>
                            <w:w w:val="80"/>
                            <w:sz w:val="12"/>
                          </w:rPr>
                          <w:t>LPI</w:t>
                        </w:r>
                        <w:r>
                          <w:rPr>
                            <w:rFonts w:ascii="Arial"/>
                            <w:color w:val="231F20"/>
                            <w:spacing w:val="-2"/>
                            <w:sz w:val="12"/>
                          </w:rPr>
                          <w:t> </w:t>
                        </w:r>
                        <w:r>
                          <w:rPr>
                            <w:rFonts w:ascii="Arial"/>
                            <w:color w:val="231F20"/>
                            <w:spacing w:val="-2"/>
                            <w:w w:val="80"/>
                            <w:sz w:val="12"/>
                          </w:rPr>
                          <w:t>team.</w:t>
                        </w:r>
                      </w:p>
                    </w:txbxContent>
                  </v:textbox>
                  <w10:wrap type="none"/>
                </v:shape>
                <v:shape style="position:absolute;left:3360;top:4673;width:780;height:325" type="#_x0000_t202" id="docshape1646" filled="false" stroked="false">
                  <v:textbox inset="0,0,0,0">
                    <w:txbxContent>
                      <w:p>
                        <w:pPr>
                          <w:spacing w:before="70"/>
                          <w:ind w:left="12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5.1</w:t>
                        </w:r>
                      </w:p>
                    </w:txbxContent>
                  </v:textbox>
                  <w10:wrap type="none"/>
                </v:shape>
                <w10:wrap type="none"/>
              </v:group>
            </w:pict>
          </mc:Fallback>
        </mc:AlternateContent>
      </w:r>
      <w:r>
        <w:rPr>
          <w:color w:val="231F20"/>
          <w:spacing w:val="-2"/>
        </w:rPr>
        <w:t>Because</w:t>
      </w:r>
      <w:r>
        <w:rPr>
          <w:color w:val="231F20"/>
          <w:spacing w:val="-12"/>
        </w:rPr>
        <w:t> </w:t>
      </w:r>
      <w:r>
        <w:rPr>
          <w:color w:val="231F20"/>
          <w:spacing w:val="-2"/>
        </w:rPr>
        <w:t>logistics</w:t>
      </w:r>
      <w:r>
        <w:rPr>
          <w:color w:val="231F20"/>
          <w:spacing w:val="-11"/>
        </w:rPr>
        <w:t> </w:t>
      </w:r>
      <w:r>
        <w:rPr>
          <w:color w:val="231F20"/>
          <w:spacing w:val="-2"/>
        </w:rPr>
        <w:t>has</w:t>
      </w:r>
      <w:r>
        <w:rPr>
          <w:color w:val="231F20"/>
          <w:spacing w:val="-11"/>
        </w:rPr>
        <w:t> </w:t>
      </w:r>
      <w:r>
        <w:rPr>
          <w:color w:val="231F20"/>
          <w:spacing w:val="-2"/>
        </w:rPr>
        <w:t>many</w:t>
      </w:r>
      <w:r>
        <w:rPr>
          <w:color w:val="231F20"/>
          <w:spacing w:val="-11"/>
        </w:rPr>
        <w:t> </w:t>
      </w:r>
      <w:r>
        <w:rPr>
          <w:color w:val="231F20"/>
          <w:spacing w:val="-2"/>
        </w:rPr>
        <w:t>dimensions,</w:t>
      </w:r>
      <w:r>
        <w:rPr>
          <w:color w:val="231F20"/>
          <w:spacing w:val="-11"/>
        </w:rPr>
        <w:t> </w:t>
      </w:r>
      <w:r>
        <w:rPr>
          <w:color w:val="231F20"/>
          <w:spacing w:val="-2"/>
        </w:rPr>
        <w:t>mea- </w:t>
      </w:r>
      <w:r>
        <w:rPr>
          <w:color w:val="231F20"/>
        </w:rPr>
        <w:t>suring</w:t>
      </w:r>
      <w:r>
        <w:rPr>
          <w:color w:val="231F20"/>
          <w:spacing w:val="-10"/>
        </w:rPr>
        <w:t> </w:t>
      </w:r>
      <w:r>
        <w:rPr>
          <w:color w:val="231F20"/>
        </w:rPr>
        <w:t>and</w:t>
      </w:r>
      <w:r>
        <w:rPr>
          <w:color w:val="231F20"/>
          <w:spacing w:val="-10"/>
        </w:rPr>
        <w:t> </w:t>
      </w:r>
      <w:r>
        <w:rPr>
          <w:color w:val="231F20"/>
        </w:rPr>
        <w:t>summarizing</w:t>
      </w:r>
      <w:r>
        <w:rPr>
          <w:color w:val="231F20"/>
          <w:spacing w:val="-10"/>
        </w:rPr>
        <w:t> </w:t>
      </w:r>
      <w:r>
        <w:rPr>
          <w:color w:val="231F20"/>
        </w:rPr>
        <w:t>performance</w:t>
      </w:r>
      <w:r>
        <w:rPr>
          <w:color w:val="231F20"/>
          <w:spacing w:val="-10"/>
        </w:rPr>
        <w:t> </w:t>
      </w:r>
      <w:r>
        <w:rPr>
          <w:color w:val="231F20"/>
        </w:rPr>
        <w:t>across </w:t>
      </w:r>
      <w:r>
        <w:rPr>
          <w:color w:val="231F20"/>
          <w:spacing w:val="-4"/>
        </w:rPr>
        <w:t>countries</w:t>
      </w:r>
      <w:r>
        <w:rPr>
          <w:color w:val="231F20"/>
          <w:spacing w:val="-6"/>
        </w:rPr>
        <w:t> </w:t>
      </w:r>
      <w:r>
        <w:rPr>
          <w:color w:val="231F20"/>
          <w:spacing w:val="-4"/>
        </w:rPr>
        <w:t>are</w:t>
      </w:r>
      <w:r>
        <w:rPr>
          <w:color w:val="231F20"/>
          <w:spacing w:val="-6"/>
        </w:rPr>
        <w:t> </w:t>
      </w:r>
      <w:r>
        <w:rPr>
          <w:color w:val="231F20"/>
          <w:spacing w:val="-4"/>
        </w:rPr>
        <w:t>challenging.</w:t>
      </w:r>
      <w:r>
        <w:rPr>
          <w:color w:val="231F20"/>
          <w:spacing w:val="-6"/>
        </w:rPr>
        <w:t> </w:t>
      </w:r>
      <w:r>
        <w:rPr>
          <w:color w:val="231F20"/>
          <w:spacing w:val="-4"/>
        </w:rPr>
        <w:t>Examining</w:t>
      </w:r>
      <w:r>
        <w:rPr>
          <w:color w:val="231F20"/>
          <w:spacing w:val="-6"/>
        </w:rPr>
        <w:t> </w:t>
      </w:r>
      <w:r>
        <w:rPr>
          <w:color w:val="231F20"/>
          <w:spacing w:val="-4"/>
        </w:rPr>
        <w:t>the</w:t>
      </w:r>
      <w:r>
        <w:rPr>
          <w:color w:val="231F20"/>
          <w:spacing w:val="-6"/>
        </w:rPr>
        <w:t> </w:t>
      </w:r>
      <w:r>
        <w:rPr>
          <w:color w:val="231F20"/>
          <w:spacing w:val="-4"/>
        </w:rPr>
        <w:t>time </w:t>
      </w:r>
      <w:r>
        <w:rPr>
          <w:color w:val="231F20"/>
          <w:w w:val="90"/>
        </w:rPr>
        <w:t>and costs associated with logistics processes— </w:t>
      </w:r>
      <w:r>
        <w:rPr>
          <w:color w:val="231F20"/>
          <w:spacing w:val="-2"/>
        </w:rPr>
        <w:t>port</w:t>
      </w:r>
      <w:r>
        <w:rPr>
          <w:color w:val="231F20"/>
          <w:spacing w:val="-12"/>
        </w:rPr>
        <w:t> </w:t>
      </w:r>
      <w:r>
        <w:rPr>
          <w:color w:val="231F20"/>
          <w:spacing w:val="-2"/>
        </w:rPr>
        <w:t>processing,</w:t>
      </w:r>
      <w:r>
        <w:rPr>
          <w:color w:val="231F20"/>
          <w:spacing w:val="-11"/>
        </w:rPr>
        <w:t> </w:t>
      </w:r>
      <w:r>
        <w:rPr>
          <w:color w:val="231F20"/>
          <w:spacing w:val="-2"/>
        </w:rPr>
        <w:t>customs</w:t>
      </w:r>
      <w:r>
        <w:rPr>
          <w:color w:val="231F20"/>
          <w:spacing w:val="-11"/>
        </w:rPr>
        <w:t> </w:t>
      </w:r>
      <w:r>
        <w:rPr>
          <w:color w:val="231F20"/>
          <w:spacing w:val="-2"/>
        </w:rPr>
        <w:t>clearance,</w:t>
      </w:r>
      <w:r>
        <w:rPr>
          <w:color w:val="231F20"/>
          <w:spacing w:val="-11"/>
        </w:rPr>
        <w:t> </w:t>
      </w:r>
      <w:r>
        <w:rPr>
          <w:color w:val="231F20"/>
          <w:spacing w:val="-2"/>
        </w:rPr>
        <w:t>transport, </w:t>
      </w:r>
      <w:r>
        <w:rPr>
          <w:color w:val="231F20"/>
        </w:rPr>
        <w:t>and the like—is a good start, and in many </w:t>
      </w:r>
      <w:r>
        <w:rPr>
          <w:color w:val="231F20"/>
          <w:spacing w:val="-4"/>
        </w:rPr>
        <w:t>cases</w:t>
      </w:r>
      <w:r>
        <w:rPr>
          <w:color w:val="231F20"/>
          <w:spacing w:val="-7"/>
        </w:rPr>
        <w:t> </w:t>
      </w:r>
      <w:r>
        <w:rPr>
          <w:color w:val="231F20"/>
          <w:spacing w:val="-4"/>
        </w:rPr>
        <w:t>this</w:t>
      </w:r>
      <w:r>
        <w:rPr>
          <w:color w:val="231F20"/>
          <w:spacing w:val="-7"/>
        </w:rPr>
        <w:t> </w:t>
      </w:r>
      <w:r>
        <w:rPr>
          <w:color w:val="231F20"/>
          <w:spacing w:val="-4"/>
        </w:rPr>
        <w:t>information</w:t>
      </w:r>
      <w:r>
        <w:rPr>
          <w:color w:val="231F20"/>
          <w:spacing w:val="-7"/>
        </w:rPr>
        <w:t> </w:t>
      </w:r>
      <w:r>
        <w:rPr>
          <w:color w:val="231F20"/>
          <w:spacing w:val="-4"/>
        </w:rPr>
        <w:t>is</w:t>
      </w:r>
      <w:r>
        <w:rPr>
          <w:color w:val="231F20"/>
          <w:spacing w:val="-7"/>
        </w:rPr>
        <w:t> </w:t>
      </w:r>
      <w:r>
        <w:rPr>
          <w:color w:val="231F20"/>
          <w:spacing w:val="-4"/>
        </w:rPr>
        <w:t>readily</w:t>
      </w:r>
      <w:r>
        <w:rPr>
          <w:color w:val="231F20"/>
          <w:spacing w:val="-7"/>
        </w:rPr>
        <w:t> </w:t>
      </w:r>
      <w:r>
        <w:rPr>
          <w:color w:val="231F20"/>
          <w:spacing w:val="-4"/>
        </w:rPr>
        <w:t>available.</w:t>
      </w:r>
      <w:r>
        <w:rPr>
          <w:color w:val="231F20"/>
          <w:spacing w:val="-7"/>
        </w:rPr>
        <w:t> </w:t>
      </w:r>
      <w:r>
        <w:rPr>
          <w:color w:val="231F20"/>
          <w:spacing w:val="-4"/>
        </w:rPr>
        <w:t>But </w:t>
      </w:r>
      <w:r>
        <w:rPr>
          <w:color w:val="231F20"/>
          <w:spacing w:val="-2"/>
        </w:rPr>
        <w:t>even</w:t>
      </w:r>
      <w:r>
        <w:rPr>
          <w:color w:val="231F20"/>
          <w:spacing w:val="-7"/>
        </w:rPr>
        <w:t> </w:t>
      </w:r>
      <w:r>
        <w:rPr>
          <w:color w:val="231F20"/>
          <w:spacing w:val="-2"/>
        </w:rPr>
        <w:t>when</w:t>
      </w:r>
      <w:r>
        <w:rPr>
          <w:color w:val="231F20"/>
          <w:spacing w:val="-7"/>
        </w:rPr>
        <w:t> </w:t>
      </w:r>
      <w:r>
        <w:rPr>
          <w:color w:val="231F20"/>
          <w:spacing w:val="-2"/>
        </w:rPr>
        <w:t>complete,</w:t>
      </w:r>
      <w:r>
        <w:rPr>
          <w:color w:val="231F20"/>
          <w:spacing w:val="-7"/>
        </w:rPr>
        <w:t> </w:t>
      </w:r>
      <w:r>
        <w:rPr>
          <w:color w:val="231F20"/>
          <w:spacing w:val="-2"/>
        </w:rPr>
        <w:t>this</w:t>
      </w:r>
      <w:r>
        <w:rPr>
          <w:color w:val="231F20"/>
          <w:spacing w:val="-7"/>
        </w:rPr>
        <w:t> </w:t>
      </w:r>
      <w:r>
        <w:rPr>
          <w:color w:val="231F20"/>
          <w:spacing w:val="-2"/>
        </w:rPr>
        <w:t>information</w:t>
      </w:r>
      <w:r>
        <w:rPr>
          <w:color w:val="231F20"/>
          <w:spacing w:val="-7"/>
        </w:rPr>
        <w:t> </w:t>
      </w:r>
      <w:r>
        <w:rPr>
          <w:color w:val="231F20"/>
          <w:spacing w:val="-2"/>
        </w:rPr>
        <w:t>cannot </w:t>
      </w:r>
      <w:r>
        <w:rPr>
          <w:color w:val="231F20"/>
        </w:rPr>
        <w:t>be</w:t>
      </w:r>
      <w:r>
        <w:rPr>
          <w:color w:val="231F20"/>
          <w:spacing w:val="-14"/>
        </w:rPr>
        <w:t> </w:t>
      </w:r>
      <w:r>
        <w:rPr>
          <w:color w:val="231F20"/>
        </w:rPr>
        <w:t>easily</w:t>
      </w:r>
      <w:r>
        <w:rPr>
          <w:color w:val="231F20"/>
          <w:spacing w:val="-13"/>
        </w:rPr>
        <w:t> </w:t>
      </w:r>
      <w:r>
        <w:rPr>
          <w:color w:val="231F20"/>
        </w:rPr>
        <w:t>aggregated</w:t>
      </w:r>
      <w:r>
        <w:rPr>
          <w:color w:val="231F20"/>
          <w:spacing w:val="-13"/>
        </w:rPr>
        <w:t> </w:t>
      </w:r>
      <w:r>
        <w:rPr>
          <w:color w:val="231F20"/>
        </w:rPr>
        <w:t>into</w:t>
      </w:r>
      <w:r>
        <w:rPr>
          <w:color w:val="231F20"/>
          <w:spacing w:val="-13"/>
        </w:rPr>
        <w:t> </w:t>
      </w:r>
      <w:r>
        <w:rPr>
          <w:color w:val="231F20"/>
        </w:rPr>
        <w:t>a</w:t>
      </w:r>
      <w:r>
        <w:rPr>
          <w:color w:val="231F20"/>
          <w:spacing w:val="-13"/>
        </w:rPr>
        <w:t> </w:t>
      </w:r>
      <w:r>
        <w:rPr>
          <w:color w:val="231F20"/>
        </w:rPr>
        <w:t>single,</w:t>
      </w:r>
      <w:r>
        <w:rPr>
          <w:color w:val="231F20"/>
          <w:spacing w:val="-13"/>
        </w:rPr>
        <w:t> </w:t>
      </w:r>
      <w:r>
        <w:rPr>
          <w:color w:val="231F20"/>
        </w:rPr>
        <w:t>consistent, </w:t>
      </w:r>
      <w:r>
        <w:rPr>
          <w:color w:val="231F20"/>
          <w:w w:val="90"/>
        </w:rPr>
        <w:t>cross-country dataset, because of structural dif- ferences in countries’ supply chains. Even more </w:t>
      </w:r>
      <w:r>
        <w:rPr>
          <w:color w:val="231F20"/>
        </w:rPr>
        <w:t>important, many critical elements of good logistics—such</w:t>
      </w:r>
      <w:r>
        <w:rPr>
          <w:color w:val="231F20"/>
          <w:spacing w:val="-1"/>
        </w:rPr>
        <w:t> </w:t>
      </w:r>
      <w:r>
        <w:rPr>
          <w:color w:val="231F20"/>
        </w:rPr>
        <w:t>as</w:t>
      </w:r>
      <w:r>
        <w:rPr>
          <w:color w:val="231F20"/>
          <w:spacing w:val="-1"/>
        </w:rPr>
        <w:t> </w:t>
      </w:r>
      <w:r>
        <w:rPr>
          <w:color w:val="231F20"/>
        </w:rPr>
        <w:t>process</w:t>
      </w:r>
      <w:r>
        <w:rPr>
          <w:color w:val="231F20"/>
          <w:spacing w:val="-1"/>
        </w:rPr>
        <w:t> </w:t>
      </w:r>
      <w:r>
        <w:rPr>
          <w:color w:val="231F20"/>
        </w:rPr>
        <w:t>transparency</w:t>
      </w:r>
      <w:r>
        <w:rPr>
          <w:color w:val="231F20"/>
          <w:spacing w:val="-1"/>
        </w:rPr>
        <w:t> </w:t>
      </w:r>
      <w:r>
        <w:rPr>
          <w:color w:val="231F20"/>
        </w:rPr>
        <w:t>and </w:t>
      </w:r>
      <w:r>
        <w:rPr>
          <w:color w:val="231F20"/>
          <w:w w:val="90"/>
        </w:rPr>
        <w:t>service quality, predictability, and reliability— </w:t>
      </w:r>
      <w:r>
        <w:rPr>
          <w:color w:val="231F20"/>
        </w:rPr>
        <w:t>cannot be assessed using only time and cost </w:t>
      </w:r>
      <w:r>
        <w:rPr>
          <w:color w:val="231F20"/>
          <w:spacing w:val="-2"/>
        </w:rPr>
        <w:t>information.</w:t>
      </w:r>
    </w:p>
    <w:p>
      <w:pPr>
        <w:spacing w:before="105"/>
        <w:ind w:left="197" w:right="0" w:firstLine="0"/>
        <w:jc w:val="left"/>
        <w:rPr>
          <w:rFonts w:ascii="Arial"/>
          <w:b/>
          <w:sz w:val="20"/>
        </w:rPr>
      </w:pPr>
      <w:r>
        <w:rPr/>
        <w:br w:type="column"/>
      </w:r>
      <w:r>
        <w:rPr>
          <w:rFonts w:ascii="Arial"/>
          <w:b/>
          <w:color w:val="231F20"/>
          <w:w w:val="105"/>
          <w:sz w:val="20"/>
        </w:rPr>
        <w:t>Constructing</w:t>
      </w:r>
      <w:r>
        <w:rPr>
          <w:rFonts w:ascii="Arial"/>
          <w:b/>
          <w:color w:val="231F20"/>
          <w:spacing w:val="22"/>
          <w:w w:val="105"/>
          <w:sz w:val="20"/>
        </w:rPr>
        <w:t> </w:t>
      </w:r>
      <w:r>
        <w:rPr>
          <w:rFonts w:ascii="Arial"/>
          <w:b/>
          <w:color w:val="231F20"/>
          <w:w w:val="105"/>
          <w:sz w:val="20"/>
        </w:rPr>
        <w:t>the</w:t>
      </w:r>
      <w:r>
        <w:rPr>
          <w:rFonts w:ascii="Arial"/>
          <w:b/>
          <w:color w:val="231F20"/>
          <w:spacing w:val="22"/>
          <w:w w:val="105"/>
          <w:sz w:val="20"/>
        </w:rPr>
        <w:t> </w:t>
      </w:r>
      <w:r>
        <w:rPr>
          <w:rFonts w:ascii="Arial"/>
          <w:b/>
          <w:color w:val="231F20"/>
          <w:w w:val="105"/>
          <w:sz w:val="20"/>
        </w:rPr>
        <w:t>international</w:t>
      </w:r>
      <w:r>
        <w:rPr>
          <w:rFonts w:ascii="Arial"/>
          <w:b/>
          <w:color w:val="231F20"/>
          <w:spacing w:val="22"/>
          <w:w w:val="105"/>
          <w:sz w:val="20"/>
        </w:rPr>
        <w:t> </w:t>
      </w:r>
      <w:r>
        <w:rPr>
          <w:rFonts w:ascii="Arial"/>
          <w:b/>
          <w:color w:val="231F20"/>
          <w:spacing w:val="-5"/>
          <w:w w:val="105"/>
          <w:sz w:val="20"/>
        </w:rPr>
        <w:t>LPI</w:t>
      </w:r>
    </w:p>
    <w:p>
      <w:pPr>
        <w:pStyle w:val="BodyText"/>
        <w:spacing w:before="72"/>
        <w:rPr>
          <w:rFonts w:ascii="Arial"/>
          <w:b/>
          <w:sz w:val="20"/>
        </w:rPr>
      </w:pPr>
    </w:p>
    <w:p>
      <w:pPr>
        <w:pStyle w:val="BodyText"/>
        <w:spacing w:line="268" w:lineRule="auto"/>
        <w:ind w:left="100" w:right="655"/>
        <w:jc w:val="right"/>
      </w:pPr>
      <w:r>
        <w:rPr>
          <w:color w:val="231F20"/>
        </w:rPr>
        <w:t>The main part of the Logistics Performance </w:t>
      </w:r>
      <w:r>
        <w:rPr>
          <w:color w:val="231F20"/>
          <w:spacing w:val="-6"/>
        </w:rPr>
        <w:t>Index</w:t>
      </w:r>
      <w:r>
        <w:rPr>
          <w:color w:val="231F20"/>
          <w:spacing w:val="-14"/>
        </w:rPr>
        <w:t> </w:t>
      </w:r>
      <w:r>
        <w:rPr>
          <w:color w:val="231F20"/>
          <w:spacing w:val="-6"/>
        </w:rPr>
        <w:t>(LPI)</w:t>
      </w:r>
      <w:r>
        <w:rPr>
          <w:color w:val="231F20"/>
          <w:spacing w:val="-14"/>
        </w:rPr>
        <w:t> </w:t>
      </w:r>
      <w:r>
        <w:rPr>
          <w:color w:val="231F20"/>
          <w:spacing w:val="-6"/>
        </w:rPr>
        <w:t>survey</w:t>
      </w:r>
      <w:r>
        <w:rPr>
          <w:color w:val="231F20"/>
          <w:spacing w:val="-14"/>
        </w:rPr>
        <w:t> </w:t>
      </w:r>
      <w:r>
        <w:rPr>
          <w:color w:val="231F20"/>
          <w:spacing w:val="-6"/>
        </w:rPr>
        <w:t>(questions</w:t>
      </w:r>
      <w:r>
        <w:rPr>
          <w:color w:val="231F20"/>
          <w:spacing w:val="-14"/>
        </w:rPr>
        <w:t> </w:t>
      </w:r>
      <w:r>
        <w:rPr>
          <w:color w:val="231F20"/>
          <w:spacing w:val="-6"/>
        </w:rPr>
        <w:t>4</w:t>
      </w:r>
      <w:r>
        <w:rPr>
          <w:color w:val="231F20"/>
          <w:spacing w:val="-14"/>
        </w:rPr>
        <w:t> </w:t>
      </w:r>
      <w:r>
        <w:rPr>
          <w:color w:val="231F20"/>
          <w:spacing w:val="-6"/>
        </w:rPr>
        <w:t>to</w:t>
      </w:r>
      <w:r>
        <w:rPr>
          <w:color w:val="231F20"/>
          <w:spacing w:val="-14"/>
        </w:rPr>
        <w:t> </w:t>
      </w:r>
      <w:r>
        <w:rPr>
          <w:color w:val="231F20"/>
          <w:spacing w:val="-6"/>
        </w:rPr>
        <w:t>9</w:t>
      </w:r>
      <w:r>
        <w:rPr>
          <w:color w:val="231F20"/>
          <w:spacing w:val="-14"/>
        </w:rPr>
        <w:t> </w:t>
      </w:r>
      <w:r>
        <w:rPr>
          <w:color w:val="231F20"/>
          <w:spacing w:val="-6"/>
        </w:rPr>
        <w:t>in</w:t>
      </w:r>
      <w:r>
        <w:rPr>
          <w:color w:val="231F20"/>
          <w:spacing w:val="-14"/>
        </w:rPr>
        <w:t> </w:t>
      </w:r>
      <w:r>
        <w:rPr>
          <w:color w:val="231F20"/>
          <w:spacing w:val="-6"/>
        </w:rPr>
        <w:t>the</w:t>
      </w:r>
      <w:r>
        <w:rPr>
          <w:color w:val="231F20"/>
          <w:spacing w:val="-14"/>
        </w:rPr>
        <w:t> </w:t>
      </w:r>
      <w:r>
        <w:rPr>
          <w:color w:val="231F20"/>
          <w:spacing w:val="-6"/>
        </w:rPr>
        <w:t>2023 </w:t>
      </w:r>
      <w:r>
        <w:rPr>
          <w:color w:val="231F20"/>
          <w:spacing w:val="-2"/>
        </w:rPr>
        <w:t>edition)</w:t>
      </w:r>
      <w:r>
        <w:rPr>
          <w:color w:val="231F20"/>
          <w:spacing w:val="-8"/>
        </w:rPr>
        <w:t> </w:t>
      </w:r>
      <w:r>
        <w:rPr>
          <w:color w:val="231F20"/>
          <w:spacing w:val="-2"/>
        </w:rPr>
        <w:t>provides</w:t>
      </w:r>
      <w:r>
        <w:rPr>
          <w:color w:val="231F20"/>
          <w:spacing w:val="-8"/>
        </w:rPr>
        <w:t> </w:t>
      </w:r>
      <w:r>
        <w:rPr>
          <w:color w:val="231F20"/>
          <w:spacing w:val="-2"/>
        </w:rPr>
        <w:t>the</w:t>
      </w:r>
      <w:r>
        <w:rPr>
          <w:color w:val="231F20"/>
          <w:spacing w:val="-8"/>
        </w:rPr>
        <w:t> </w:t>
      </w:r>
      <w:r>
        <w:rPr>
          <w:color w:val="231F20"/>
          <w:spacing w:val="-2"/>
        </w:rPr>
        <w:t>raw</w:t>
      </w:r>
      <w:r>
        <w:rPr>
          <w:color w:val="231F20"/>
          <w:spacing w:val="-8"/>
        </w:rPr>
        <w:t> </w:t>
      </w:r>
      <w:r>
        <w:rPr>
          <w:color w:val="231F20"/>
          <w:spacing w:val="-2"/>
        </w:rPr>
        <w:t>data</w:t>
      </w:r>
      <w:r>
        <w:rPr>
          <w:color w:val="231F20"/>
          <w:spacing w:val="-8"/>
        </w:rPr>
        <w:t> </w:t>
      </w:r>
      <w:r>
        <w:rPr>
          <w:color w:val="231F20"/>
          <w:spacing w:val="-2"/>
        </w:rPr>
        <w:t>for</w:t>
      </w:r>
      <w:r>
        <w:rPr>
          <w:color w:val="231F20"/>
          <w:spacing w:val="-8"/>
        </w:rPr>
        <w:t> </w:t>
      </w:r>
      <w:r>
        <w:rPr>
          <w:color w:val="231F20"/>
          <w:spacing w:val="-2"/>
        </w:rPr>
        <w:t>the</w:t>
      </w:r>
      <w:r>
        <w:rPr>
          <w:color w:val="231F20"/>
          <w:spacing w:val="-8"/>
        </w:rPr>
        <w:t> </w:t>
      </w:r>
      <w:r>
        <w:rPr>
          <w:color w:val="231F20"/>
          <w:spacing w:val="-2"/>
        </w:rPr>
        <w:t>interna- </w:t>
      </w:r>
      <w:r>
        <w:rPr>
          <w:color w:val="231F20"/>
          <w:spacing w:val="-4"/>
        </w:rPr>
        <w:t>tional</w:t>
      </w:r>
      <w:r>
        <w:rPr>
          <w:color w:val="231F20"/>
          <w:spacing w:val="-7"/>
        </w:rPr>
        <w:t> </w:t>
      </w:r>
      <w:r>
        <w:rPr>
          <w:color w:val="231F20"/>
          <w:spacing w:val="-4"/>
        </w:rPr>
        <w:t>LPI.</w:t>
      </w:r>
      <w:r>
        <w:rPr>
          <w:color w:val="231F20"/>
          <w:spacing w:val="-7"/>
        </w:rPr>
        <w:t> </w:t>
      </w:r>
      <w:r>
        <w:rPr>
          <w:color w:val="231F20"/>
          <w:spacing w:val="-4"/>
        </w:rPr>
        <w:t>Each</w:t>
      </w:r>
      <w:r>
        <w:rPr>
          <w:color w:val="231F20"/>
          <w:spacing w:val="-7"/>
        </w:rPr>
        <w:t> </w:t>
      </w:r>
      <w:r>
        <w:rPr>
          <w:color w:val="231F20"/>
          <w:spacing w:val="-4"/>
        </w:rPr>
        <w:t>survey</w:t>
      </w:r>
      <w:r>
        <w:rPr>
          <w:color w:val="231F20"/>
          <w:spacing w:val="-7"/>
        </w:rPr>
        <w:t> </w:t>
      </w:r>
      <w:r>
        <w:rPr>
          <w:color w:val="231F20"/>
          <w:spacing w:val="-4"/>
        </w:rPr>
        <w:t>respondent</w:t>
      </w:r>
      <w:r>
        <w:rPr>
          <w:color w:val="231F20"/>
          <w:spacing w:val="-7"/>
        </w:rPr>
        <w:t> </w:t>
      </w:r>
      <w:r>
        <w:rPr>
          <w:color w:val="231F20"/>
          <w:spacing w:val="-4"/>
        </w:rPr>
        <w:t>rates</w:t>
      </w:r>
      <w:r>
        <w:rPr>
          <w:color w:val="231F20"/>
          <w:spacing w:val="-7"/>
        </w:rPr>
        <w:t> </w:t>
      </w:r>
      <w:r>
        <w:rPr>
          <w:color w:val="231F20"/>
          <w:spacing w:val="-4"/>
        </w:rPr>
        <w:t>up</w:t>
      </w:r>
      <w:r>
        <w:rPr>
          <w:color w:val="231F20"/>
          <w:spacing w:val="-7"/>
        </w:rPr>
        <w:t> </w:t>
      </w:r>
      <w:r>
        <w:rPr>
          <w:color w:val="231F20"/>
          <w:spacing w:val="-4"/>
        </w:rPr>
        <w:t>to </w:t>
      </w:r>
      <w:r>
        <w:rPr>
          <w:color w:val="231F20"/>
          <w:spacing w:val="-6"/>
        </w:rPr>
        <w:t>eight overseas markets on six core components </w:t>
      </w:r>
      <w:r>
        <w:rPr>
          <w:color w:val="231F20"/>
          <w:w w:val="90"/>
        </w:rPr>
        <w:t>of logistics performance. The eight countries are </w:t>
      </w:r>
      <w:r>
        <w:rPr>
          <w:color w:val="231F20"/>
          <w:spacing w:val="-6"/>
        </w:rPr>
        <w:t>chosen</w:t>
      </w:r>
      <w:r>
        <w:rPr>
          <w:color w:val="231F20"/>
          <w:spacing w:val="-7"/>
        </w:rPr>
        <w:t> </w:t>
      </w:r>
      <w:r>
        <w:rPr>
          <w:color w:val="231F20"/>
          <w:spacing w:val="-6"/>
        </w:rPr>
        <w:t>based</w:t>
      </w:r>
      <w:r>
        <w:rPr>
          <w:color w:val="231F20"/>
          <w:spacing w:val="-7"/>
        </w:rPr>
        <w:t> </w:t>
      </w:r>
      <w:r>
        <w:rPr>
          <w:color w:val="231F20"/>
          <w:spacing w:val="-6"/>
        </w:rPr>
        <w:t>on</w:t>
      </w:r>
      <w:r>
        <w:rPr>
          <w:color w:val="231F20"/>
          <w:spacing w:val="-7"/>
        </w:rPr>
        <w:t> </w:t>
      </w:r>
      <w:r>
        <w:rPr>
          <w:color w:val="231F20"/>
          <w:spacing w:val="-6"/>
        </w:rPr>
        <w:t>the</w:t>
      </w:r>
      <w:r>
        <w:rPr>
          <w:color w:val="231F20"/>
          <w:spacing w:val="-7"/>
        </w:rPr>
        <w:t> </w:t>
      </w:r>
      <w:r>
        <w:rPr>
          <w:color w:val="231F20"/>
          <w:spacing w:val="-6"/>
        </w:rPr>
        <w:t>most</w:t>
      </w:r>
      <w:r>
        <w:rPr>
          <w:color w:val="231F20"/>
          <w:spacing w:val="-7"/>
        </w:rPr>
        <w:t> </w:t>
      </w:r>
      <w:r>
        <w:rPr>
          <w:color w:val="231F20"/>
          <w:spacing w:val="-6"/>
        </w:rPr>
        <w:t>important</w:t>
      </w:r>
      <w:r>
        <w:rPr>
          <w:color w:val="231F20"/>
          <w:spacing w:val="-7"/>
        </w:rPr>
        <w:t> </w:t>
      </w:r>
      <w:r>
        <w:rPr>
          <w:color w:val="231F20"/>
          <w:spacing w:val="-6"/>
        </w:rPr>
        <w:t>export</w:t>
      </w:r>
      <w:r>
        <w:rPr>
          <w:color w:val="231F20"/>
          <w:spacing w:val="-7"/>
        </w:rPr>
        <w:t> </w:t>
      </w:r>
      <w:r>
        <w:rPr>
          <w:color w:val="231F20"/>
          <w:spacing w:val="-6"/>
        </w:rPr>
        <w:t>and import</w:t>
      </w:r>
      <w:r>
        <w:rPr>
          <w:color w:val="231F20"/>
          <w:spacing w:val="-20"/>
        </w:rPr>
        <w:t> </w:t>
      </w:r>
      <w:r>
        <w:rPr>
          <w:color w:val="231F20"/>
          <w:spacing w:val="-6"/>
        </w:rPr>
        <w:t>markets</w:t>
      </w:r>
      <w:r>
        <w:rPr>
          <w:color w:val="231F20"/>
          <w:spacing w:val="-20"/>
        </w:rPr>
        <w:t> </w:t>
      </w:r>
      <w:r>
        <w:rPr>
          <w:color w:val="231F20"/>
          <w:spacing w:val="-6"/>
        </w:rPr>
        <w:t>of</w:t>
      </w:r>
      <w:r>
        <w:rPr>
          <w:color w:val="231F20"/>
          <w:spacing w:val="-20"/>
        </w:rPr>
        <w:t> </w:t>
      </w:r>
      <w:r>
        <w:rPr>
          <w:color w:val="231F20"/>
          <w:spacing w:val="-6"/>
        </w:rPr>
        <w:t>the</w:t>
      </w:r>
      <w:r>
        <w:rPr>
          <w:color w:val="231F20"/>
          <w:spacing w:val="-20"/>
        </w:rPr>
        <w:t> </w:t>
      </w:r>
      <w:r>
        <w:rPr>
          <w:color w:val="231F20"/>
          <w:spacing w:val="-6"/>
        </w:rPr>
        <w:t>country</w:t>
      </w:r>
      <w:r>
        <w:rPr>
          <w:color w:val="231F20"/>
          <w:spacing w:val="-20"/>
        </w:rPr>
        <w:t> </w:t>
      </w:r>
      <w:r>
        <w:rPr>
          <w:color w:val="231F20"/>
          <w:spacing w:val="-6"/>
        </w:rPr>
        <w:t>where</w:t>
      </w:r>
      <w:r>
        <w:rPr>
          <w:color w:val="231F20"/>
          <w:spacing w:val="-20"/>
        </w:rPr>
        <w:t> </w:t>
      </w:r>
      <w:r>
        <w:rPr>
          <w:color w:val="231F20"/>
          <w:spacing w:val="-6"/>
        </w:rPr>
        <w:t>the</w:t>
      </w:r>
      <w:r>
        <w:rPr>
          <w:color w:val="231F20"/>
          <w:spacing w:val="-20"/>
        </w:rPr>
        <w:t> </w:t>
      </w:r>
      <w:r>
        <w:rPr>
          <w:color w:val="231F20"/>
          <w:spacing w:val="-6"/>
        </w:rPr>
        <w:t>respon- </w:t>
      </w:r>
      <w:r>
        <w:rPr>
          <w:color w:val="231F20"/>
          <w:spacing w:val="-4"/>
        </w:rPr>
        <w:t>dent</w:t>
      </w:r>
      <w:r>
        <w:rPr>
          <w:color w:val="231F20"/>
          <w:spacing w:val="-8"/>
        </w:rPr>
        <w:t> </w:t>
      </w:r>
      <w:r>
        <w:rPr>
          <w:color w:val="231F20"/>
          <w:spacing w:val="-4"/>
        </w:rPr>
        <w:t>is</w:t>
      </w:r>
      <w:r>
        <w:rPr>
          <w:color w:val="231F20"/>
          <w:spacing w:val="-8"/>
        </w:rPr>
        <w:t> </w:t>
      </w:r>
      <w:r>
        <w:rPr>
          <w:color w:val="231F20"/>
          <w:spacing w:val="-4"/>
        </w:rPr>
        <w:t>located,</w:t>
      </w:r>
      <w:r>
        <w:rPr>
          <w:color w:val="231F20"/>
          <w:spacing w:val="-8"/>
        </w:rPr>
        <w:t> </w:t>
      </w:r>
      <w:r>
        <w:rPr>
          <w:color w:val="231F20"/>
          <w:spacing w:val="-4"/>
        </w:rPr>
        <w:t>on</w:t>
      </w:r>
      <w:r>
        <w:rPr>
          <w:color w:val="231F20"/>
          <w:spacing w:val="-8"/>
        </w:rPr>
        <w:t> </w:t>
      </w:r>
      <w:r>
        <w:rPr>
          <w:color w:val="231F20"/>
          <w:spacing w:val="-4"/>
        </w:rPr>
        <w:t>random</w:t>
      </w:r>
      <w:r>
        <w:rPr>
          <w:color w:val="231F20"/>
          <w:spacing w:val="-8"/>
        </w:rPr>
        <w:t> </w:t>
      </w:r>
      <w:r>
        <w:rPr>
          <w:color w:val="231F20"/>
          <w:spacing w:val="-4"/>
        </w:rPr>
        <w:t>selection,</w:t>
      </w:r>
      <w:r>
        <w:rPr>
          <w:color w:val="231F20"/>
          <w:spacing w:val="-8"/>
        </w:rPr>
        <w:t> </w:t>
      </w:r>
      <w:r>
        <w:rPr>
          <w:color w:val="231F20"/>
          <w:spacing w:val="-4"/>
        </w:rPr>
        <w:t>and—for </w:t>
      </w:r>
      <w:r>
        <w:rPr>
          <w:color w:val="231F20"/>
          <w:spacing w:val="-2"/>
        </w:rPr>
        <w:t>landlocked countries—on neighboring coun- tries</w:t>
      </w:r>
      <w:r>
        <w:rPr>
          <w:color w:val="231F20"/>
          <w:spacing w:val="-12"/>
        </w:rPr>
        <w:t> </w:t>
      </w:r>
      <w:r>
        <w:rPr>
          <w:color w:val="231F20"/>
          <w:spacing w:val="-2"/>
        </w:rPr>
        <w:t>that</w:t>
      </w:r>
      <w:r>
        <w:rPr>
          <w:color w:val="231F20"/>
          <w:spacing w:val="-11"/>
        </w:rPr>
        <w:t> </w:t>
      </w:r>
      <w:r>
        <w:rPr>
          <w:color w:val="231F20"/>
          <w:spacing w:val="-2"/>
        </w:rPr>
        <w:t>form</w:t>
      </w:r>
      <w:r>
        <w:rPr>
          <w:color w:val="231F20"/>
          <w:spacing w:val="-11"/>
        </w:rPr>
        <w:t> </w:t>
      </w:r>
      <w:r>
        <w:rPr>
          <w:color w:val="231F20"/>
          <w:spacing w:val="-2"/>
        </w:rPr>
        <w:t>part</w:t>
      </w:r>
      <w:r>
        <w:rPr>
          <w:color w:val="231F20"/>
          <w:spacing w:val="-11"/>
        </w:rPr>
        <w:t> </w:t>
      </w:r>
      <w:r>
        <w:rPr>
          <w:color w:val="231F20"/>
          <w:spacing w:val="-2"/>
        </w:rPr>
        <w:t>of</w:t>
      </w:r>
      <w:r>
        <w:rPr>
          <w:color w:val="231F20"/>
          <w:spacing w:val="-11"/>
        </w:rPr>
        <w:t> </w:t>
      </w:r>
      <w:r>
        <w:rPr>
          <w:color w:val="231F20"/>
          <w:spacing w:val="-2"/>
        </w:rPr>
        <w:t>the</w:t>
      </w:r>
      <w:r>
        <w:rPr>
          <w:color w:val="231F20"/>
          <w:spacing w:val="-11"/>
        </w:rPr>
        <w:t> </w:t>
      </w:r>
      <w:r>
        <w:rPr>
          <w:color w:val="231F20"/>
          <w:spacing w:val="-2"/>
        </w:rPr>
        <w:t>land</w:t>
      </w:r>
      <w:r>
        <w:rPr>
          <w:color w:val="231F20"/>
          <w:spacing w:val="-11"/>
        </w:rPr>
        <w:t> </w:t>
      </w:r>
      <w:r>
        <w:rPr>
          <w:color w:val="231F20"/>
          <w:spacing w:val="-2"/>
        </w:rPr>
        <w:t>bridge</w:t>
      </w:r>
      <w:r>
        <w:rPr>
          <w:color w:val="231F20"/>
          <w:spacing w:val="-11"/>
        </w:rPr>
        <w:t> </w:t>
      </w:r>
      <w:r>
        <w:rPr>
          <w:color w:val="231F20"/>
          <w:spacing w:val="-2"/>
        </w:rPr>
        <w:t>connect- </w:t>
      </w:r>
      <w:r>
        <w:rPr>
          <w:color w:val="231F20"/>
          <w:spacing w:val="-8"/>
        </w:rPr>
        <w:t>ing</w:t>
      </w:r>
      <w:r>
        <w:rPr>
          <w:color w:val="231F20"/>
          <w:spacing w:val="-15"/>
        </w:rPr>
        <w:t> </w:t>
      </w:r>
      <w:r>
        <w:rPr>
          <w:color w:val="231F20"/>
          <w:spacing w:val="-8"/>
        </w:rPr>
        <w:t>them</w:t>
      </w:r>
      <w:r>
        <w:rPr>
          <w:color w:val="231F20"/>
          <w:spacing w:val="-15"/>
        </w:rPr>
        <w:t> </w:t>
      </w:r>
      <w:r>
        <w:rPr>
          <w:color w:val="231F20"/>
          <w:spacing w:val="-8"/>
        </w:rPr>
        <w:t>with</w:t>
      </w:r>
      <w:r>
        <w:rPr>
          <w:color w:val="231F20"/>
          <w:spacing w:val="-15"/>
        </w:rPr>
        <w:t> </w:t>
      </w:r>
      <w:r>
        <w:rPr>
          <w:color w:val="231F20"/>
          <w:spacing w:val="-8"/>
        </w:rPr>
        <w:t>international</w:t>
      </w:r>
      <w:r>
        <w:rPr>
          <w:color w:val="231F20"/>
          <w:spacing w:val="-15"/>
        </w:rPr>
        <w:t> </w:t>
      </w:r>
      <w:r>
        <w:rPr>
          <w:color w:val="231F20"/>
          <w:spacing w:val="-8"/>
        </w:rPr>
        <w:t>markets</w:t>
      </w:r>
      <w:r>
        <w:rPr>
          <w:color w:val="231F20"/>
          <w:spacing w:val="-15"/>
        </w:rPr>
        <w:t> </w:t>
      </w:r>
      <w:r>
        <w:rPr>
          <w:color w:val="231F20"/>
          <w:spacing w:val="-8"/>
        </w:rPr>
        <w:t>(table</w:t>
      </w:r>
      <w:r>
        <w:rPr>
          <w:color w:val="231F20"/>
          <w:spacing w:val="-15"/>
        </w:rPr>
        <w:t> </w:t>
      </w:r>
      <w:r>
        <w:rPr>
          <w:color w:val="231F20"/>
          <w:spacing w:val="-8"/>
        </w:rPr>
        <w:t>A5.1). </w:t>
      </w:r>
      <w:r>
        <w:rPr>
          <w:color w:val="231F20"/>
          <w:spacing w:val="-4"/>
        </w:rPr>
        <w:t>Respondents</w:t>
      </w:r>
      <w:r>
        <w:rPr>
          <w:color w:val="231F20"/>
          <w:spacing w:val="-12"/>
        </w:rPr>
        <w:t> </w:t>
      </w:r>
      <w:r>
        <w:rPr>
          <w:color w:val="231F20"/>
          <w:spacing w:val="-4"/>
        </w:rPr>
        <w:t>take</w:t>
      </w:r>
      <w:r>
        <w:rPr>
          <w:color w:val="231F20"/>
          <w:spacing w:val="-12"/>
        </w:rPr>
        <w:t> </w:t>
      </w:r>
      <w:r>
        <w:rPr>
          <w:color w:val="231F20"/>
          <w:spacing w:val="-4"/>
        </w:rPr>
        <w:t>the</w:t>
      </w:r>
      <w:r>
        <w:rPr>
          <w:color w:val="231F20"/>
          <w:spacing w:val="-12"/>
        </w:rPr>
        <w:t> </w:t>
      </w:r>
      <w:r>
        <w:rPr>
          <w:color w:val="231F20"/>
          <w:spacing w:val="-4"/>
        </w:rPr>
        <w:t>survey</w:t>
      </w:r>
      <w:r>
        <w:rPr>
          <w:color w:val="231F20"/>
          <w:spacing w:val="-12"/>
        </w:rPr>
        <w:t> </w:t>
      </w:r>
      <w:r>
        <w:rPr>
          <w:color w:val="231F20"/>
          <w:spacing w:val="-4"/>
        </w:rPr>
        <w:t>online.</w:t>
      </w:r>
      <w:r>
        <w:rPr>
          <w:color w:val="231F20"/>
          <w:spacing w:val="-12"/>
        </w:rPr>
        <w:t> </w:t>
      </w:r>
      <w:r>
        <w:rPr>
          <w:color w:val="231F20"/>
          <w:spacing w:val="-4"/>
        </w:rPr>
        <w:t>The</w:t>
      </w:r>
      <w:r>
        <w:rPr>
          <w:color w:val="231F20"/>
          <w:spacing w:val="-12"/>
        </w:rPr>
        <w:t> </w:t>
      </w:r>
      <w:r>
        <w:rPr>
          <w:color w:val="231F20"/>
          <w:spacing w:val="-4"/>
        </w:rPr>
        <w:t>sur-</w:t>
      </w:r>
    </w:p>
    <w:p>
      <w:pPr>
        <w:pStyle w:val="BodyText"/>
        <w:spacing w:line="236" w:lineRule="exact"/>
        <w:ind w:left="100" w:right="658"/>
        <w:jc w:val="right"/>
      </w:pPr>
      <w:r>
        <w:rPr>
          <w:color w:val="231F20"/>
          <w:w w:val="90"/>
        </w:rPr>
        <w:t>vey</w:t>
      </w:r>
      <w:r>
        <w:rPr>
          <w:color w:val="231F20"/>
          <w:spacing w:val="4"/>
        </w:rPr>
        <w:t> </w:t>
      </w:r>
      <w:r>
        <w:rPr>
          <w:color w:val="231F20"/>
          <w:w w:val="90"/>
        </w:rPr>
        <w:t>for</w:t>
      </w:r>
      <w:r>
        <w:rPr>
          <w:color w:val="231F20"/>
          <w:spacing w:val="4"/>
        </w:rPr>
        <w:t> </w:t>
      </w:r>
      <w:r>
        <w:rPr>
          <w:color w:val="231F20"/>
          <w:w w:val="90"/>
        </w:rPr>
        <w:t>this</w:t>
      </w:r>
      <w:r>
        <w:rPr>
          <w:color w:val="231F20"/>
          <w:spacing w:val="5"/>
        </w:rPr>
        <w:t> </w:t>
      </w:r>
      <w:r>
        <w:rPr>
          <w:color w:val="231F20"/>
          <w:w w:val="90"/>
        </w:rPr>
        <w:t>edition</w:t>
      </w:r>
      <w:r>
        <w:rPr>
          <w:color w:val="231F20"/>
          <w:spacing w:val="4"/>
        </w:rPr>
        <w:t> </w:t>
      </w:r>
      <w:r>
        <w:rPr>
          <w:color w:val="231F20"/>
          <w:w w:val="90"/>
        </w:rPr>
        <w:t>was</w:t>
      </w:r>
      <w:r>
        <w:rPr>
          <w:color w:val="231F20"/>
          <w:spacing w:val="5"/>
        </w:rPr>
        <w:t> </w:t>
      </w:r>
      <w:r>
        <w:rPr>
          <w:color w:val="231F20"/>
          <w:w w:val="90"/>
        </w:rPr>
        <w:t>open</w:t>
      </w:r>
      <w:r>
        <w:rPr>
          <w:color w:val="231F20"/>
          <w:spacing w:val="4"/>
        </w:rPr>
        <w:t> </w:t>
      </w:r>
      <w:r>
        <w:rPr>
          <w:color w:val="231F20"/>
          <w:w w:val="90"/>
        </w:rPr>
        <w:t>from</w:t>
      </w:r>
      <w:r>
        <w:rPr>
          <w:color w:val="231F20"/>
          <w:spacing w:val="5"/>
        </w:rPr>
        <w:t> </w:t>
      </w:r>
      <w:r>
        <w:rPr>
          <w:color w:val="231F20"/>
          <w:w w:val="90"/>
        </w:rPr>
        <w:t>September</w:t>
      </w:r>
      <w:r>
        <w:rPr>
          <w:color w:val="231F20"/>
          <w:spacing w:val="4"/>
        </w:rPr>
        <w:t> </w:t>
      </w:r>
      <w:r>
        <w:rPr>
          <w:color w:val="231F20"/>
          <w:spacing w:val="-10"/>
          <w:w w:val="90"/>
        </w:rPr>
        <w:t>6</w:t>
      </w:r>
    </w:p>
    <w:p>
      <w:pPr>
        <w:spacing w:after="0" w:line="236" w:lineRule="exact"/>
        <w:jc w:val="right"/>
        <w:sectPr>
          <w:type w:val="continuous"/>
          <w:pgSz w:w="12240" w:h="15840"/>
          <w:pgMar w:header="0" w:footer="548" w:top="1140" w:bottom="280" w:left="0" w:right="540"/>
          <w:cols w:num="2" w:equalWidth="0">
            <w:col w:w="7083" w:space="40"/>
            <w:col w:w="4577"/>
          </w:cols>
        </w:sectPr>
      </w:pPr>
    </w:p>
    <w:p>
      <w:pPr>
        <w:pStyle w:val="BodyText"/>
        <w:rPr>
          <w:sz w:val="20"/>
        </w:rPr>
      </w:pPr>
    </w:p>
    <w:p>
      <w:pPr>
        <w:pStyle w:val="BodyText"/>
        <w:rPr>
          <w:sz w:val="20"/>
        </w:rPr>
      </w:pPr>
    </w:p>
    <w:p>
      <w:pPr>
        <w:pStyle w:val="BodyText"/>
        <w:spacing w:before="80"/>
        <w:rPr>
          <w:sz w:val="20"/>
        </w:rPr>
      </w:pPr>
    </w:p>
    <w:tbl>
      <w:tblPr>
        <w:tblW w:w="0" w:type="auto"/>
        <w:jc w:val="left"/>
        <w:tblInd w:w="3407" w:type="dxa"/>
        <w:tblBorders>
          <w:top w:val="single" w:sz="4" w:space="0" w:color="008FDD"/>
          <w:left w:val="single" w:sz="4" w:space="0" w:color="008FDD"/>
          <w:bottom w:val="single" w:sz="4" w:space="0" w:color="008FDD"/>
          <w:right w:val="single" w:sz="4" w:space="0" w:color="008FDD"/>
          <w:insideH w:val="single" w:sz="4" w:space="0" w:color="008FDD"/>
          <w:insideV w:val="single" w:sz="4" w:space="0" w:color="008FDD"/>
        </w:tblBorders>
        <w:tblLayout w:type="fixed"/>
        <w:tblCellMar>
          <w:top w:w="0" w:type="dxa"/>
          <w:left w:w="0" w:type="dxa"/>
          <w:bottom w:w="0" w:type="dxa"/>
          <w:right w:w="0" w:type="dxa"/>
        </w:tblCellMar>
        <w:tblLook w:val="01E0"/>
      </w:tblPr>
      <w:tblGrid>
        <w:gridCol w:w="1920"/>
        <w:gridCol w:w="1920"/>
        <w:gridCol w:w="1920"/>
        <w:gridCol w:w="1920"/>
      </w:tblGrid>
      <w:tr>
        <w:trPr>
          <w:trHeight w:val="369" w:hRule="atLeast"/>
        </w:trPr>
        <w:tc>
          <w:tcPr>
            <w:tcW w:w="1920" w:type="dxa"/>
            <w:tcBorders>
              <w:top w:val="nil"/>
              <w:left w:val="nil"/>
              <w:bottom w:val="nil"/>
              <w:right w:val="nil"/>
            </w:tcBorders>
          </w:tcPr>
          <w:p>
            <w:pPr>
              <w:pStyle w:val="TableParagraph"/>
              <w:spacing w:before="0"/>
              <w:jc w:val="left"/>
              <w:rPr>
                <w:rFonts w:ascii="Times New Roman"/>
                <w:sz w:val="16"/>
              </w:rPr>
            </w:pPr>
          </w:p>
        </w:tc>
        <w:tc>
          <w:tcPr>
            <w:tcW w:w="1920" w:type="dxa"/>
            <w:tcBorders>
              <w:top w:val="nil"/>
              <w:left w:val="nil"/>
              <w:right w:val="nil"/>
            </w:tcBorders>
          </w:tcPr>
          <w:p>
            <w:pPr>
              <w:pStyle w:val="TableParagraph"/>
              <w:spacing w:before="3"/>
              <w:ind w:left="332" w:right="327" w:firstLine="101"/>
              <w:jc w:val="left"/>
              <w:rPr>
                <w:b/>
                <w:sz w:val="14"/>
              </w:rPr>
            </w:pPr>
            <w:r>
              <w:rPr>
                <w:b/>
                <w:color w:val="231F20"/>
                <w:w w:val="90"/>
                <w:sz w:val="14"/>
              </w:rPr>
              <w:t>Respondents</w:t>
            </w:r>
            <w:r>
              <w:rPr>
                <w:b/>
                <w:color w:val="231F20"/>
                <w:spacing w:val="-6"/>
                <w:w w:val="90"/>
                <w:sz w:val="14"/>
              </w:rPr>
              <w:t> </w:t>
            </w:r>
            <w:r>
              <w:rPr>
                <w:b/>
                <w:color w:val="231F20"/>
                <w:w w:val="90"/>
                <w:sz w:val="14"/>
              </w:rPr>
              <w:t>from</w:t>
            </w:r>
            <w:r>
              <w:rPr>
                <w:b/>
                <w:color w:val="231F20"/>
                <w:spacing w:val="40"/>
                <w:sz w:val="14"/>
              </w:rPr>
              <w:t> </w:t>
            </w:r>
            <w:r>
              <w:rPr>
                <w:b/>
                <w:color w:val="231F20"/>
                <w:w w:val="85"/>
                <w:sz w:val="14"/>
              </w:rPr>
              <w:t>low-income</w:t>
            </w:r>
            <w:r>
              <w:rPr>
                <w:b/>
                <w:color w:val="231F20"/>
                <w:spacing w:val="-4"/>
                <w:w w:val="85"/>
                <w:sz w:val="14"/>
              </w:rPr>
              <w:t> </w:t>
            </w:r>
            <w:r>
              <w:rPr>
                <w:b/>
                <w:color w:val="231F20"/>
                <w:w w:val="85"/>
                <w:sz w:val="14"/>
              </w:rPr>
              <w:t>countries</w:t>
            </w:r>
          </w:p>
        </w:tc>
        <w:tc>
          <w:tcPr>
            <w:tcW w:w="1920" w:type="dxa"/>
            <w:tcBorders>
              <w:top w:val="nil"/>
              <w:left w:val="nil"/>
              <w:right w:val="nil"/>
            </w:tcBorders>
          </w:tcPr>
          <w:p>
            <w:pPr>
              <w:pStyle w:val="TableParagraph"/>
              <w:spacing w:before="3"/>
              <w:ind w:left="237" w:right="233" w:firstLine="195"/>
              <w:jc w:val="left"/>
              <w:rPr>
                <w:b/>
                <w:sz w:val="14"/>
              </w:rPr>
            </w:pPr>
            <w:r>
              <w:rPr>
                <w:b/>
                <w:color w:val="231F20"/>
                <w:w w:val="95"/>
                <w:sz w:val="14"/>
              </w:rPr>
              <w:t>Respondents</w:t>
            </w:r>
            <w:r>
              <w:rPr>
                <w:b/>
                <w:color w:val="231F20"/>
                <w:spacing w:val="-8"/>
                <w:w w:val="95"/>
                <w:sz w:val="14"/>
              </w:rPr>
              <w:t> </w:t>
            </w:r>
            <w:r>
              <w:rPr>
                <w:b/>
                <w:color w:val="231F20"/>
                <w:w w:val="95"/>
                <w:sz w:val="14"/>
              </w:rPr>
              <w:t>from</w:t>
            </w:r>
            <w:r>
              <w:rPr>
                <w:b/>
                <w:color w:val="231F20"/>
                <w:spacing w:val="40"/>
                <w:sz w:val="14"/>
              </w:rPr>
              <w:t> </w:t>
            </w:r>
            <w:r>
              <w:rPr>
                <w:b/>
                <w:color w:val="231F20"/>
                <w:w w:val="85"/>
                <w:sz w:val="14"/>
              </w:rPr>
              <w:t>middle-income</w:t>
            </w:r>
            <w:r>
              <w:rPr>
                <w:b/>
                <w:color w:val="231F20"/>
                <w:spacing w:val="-4"/>
                <w:w w:val="85"/>
                <w:sz w:val="14"/>
              </w:rPr>
              <w:t> </w:t>
            </w:r>
            <w:r>
              <w:rPr>
                <w:b/>
                <w:color w:val="231F20"/>
                <w:w w:val="85"/>
                <w:sz w:val="14"/>
              </w:rPr>
              <w:t>countries</w:t>
            </w:r>
          </w:p>
        </w:tc>
        <w:tc>
          <w:tcPr>
            <w:tcW w:w="1920" w:type="dxa"/>
            <w:tcBorders>
              <w:top w:val="nil"/>
              <w:left w:val="nil"/>
              <w:right w:val="nil"/>
            </w:tcBorders>
          </w:tcPr>
          <w:p>
            <w:pPr>
              <w:pStyle w:val="TableParagraph"/>
              <w:spacing w:before="3"/>
              <w:ind w:left="308" w:right="303" w:firstLine="125"/>
              <w:jc w:val="left"/>
              <w:rPr>
                <w:b/>
                <w:sz w:val="14"/>
              </w:rPr>
            </w:pPr>
            <w:r>
              <w:rPr>
                <w:b/>
                <w:color w:val="231F20"/>
                <w:w w:val="90"/>
                <w:sz w:val="14"/>
              </w:rPr>
              <w:t>Respondents</w:t>
            </w:r>
            <w:r>
              <w:rPr>
                <w:b/>
                <w:color w:val="231F20"/>
                <w:spacing w:val="-6"/>
                <w:w w:val="90"/>
                <w:sz w:val="14"/>
              </w:rPr>
              <w:t> </w:t>
            </w:r>
            <w:r>
              <w:rPr>
                <w:b/>
                <w:color w:val="231F20"/>
                <w:w w:val="90"/>
                <w:sz w:val="14"/>
              </w:rPr>
              <w:t>from</w:t>
            </w:r>
            <w:r>
              <w:rPr>
                <w:b/>
                <w:color w:val="231F20"/>
                <w:spacing w:val="40"/>
                <w:sz w:val="14"/>
              </w:rPr>
              <w:t> </w:t>
            </w:r>
            <w:r>
              <w:rPr>
                <w:b/>
                <w:color w:val="231F20"/>
                <w:w w:val="80"/>
                <w:sz w:val="14"/>
              </w:rPr>
              <w:t>high-income</w:t>
            </w:r>
            <w:r>
              <w:rPr>
                <w:b/>
                <w:color w:val="231F20"/>
                <w:spacing w:val="-2"/>
                <w:w w:val="80"/>
                <w:sz w:val="14"/>
              </w:rPr>
              <w:t> </w:t>
            </w:r>
            <w:r>
              <w:rPr>
                <w:b/>
                <w:color w:val="231F20"/>
                <w:w w:val="80"/>
                <w:sz w:val="14"/>
              </w:rPr>
              <w:t>countries</w:t>
            </w:r>
          </w:p>
        </w:tc>
      </w:tr>
      <w:tr>
        <w:trPr>
          <w:trHeight w:val="2333" w:hRule="atLeast"/>
        </w:trPr>
        <w:tc>
          <w:tcPr>
            <w:tcW w:w="1920" w:type="dxa"/>
            <w:tcBorders>
              <w:top w:val="nil"/>
              <w:left w:val="nil"/>
            </w:tcBorders>
          </w:tcPr>
          <w:p>
            <w:pPr>
              <w:pStyle w:val="TableParagraph"/>
              <w:spacing w:before="47"/>
              <w:ind w:left="461" w:right="426" w:hanging="28"/>
              <w:jc w:val="left"/>
              <w:rPr>
                <w:b/>
                <w:sz w:val="14"/>
              </w:rPr>
            </w:pPr>
            <w:r>
              <w:rPr>
                <w:b/>
                <w:color w:val="231F20"/>
                <w:w w:val="80"/>
                <w:sz w:val="14"/>
              </w:rPr>
              <w:t>Respondents</w:t>
            </w:r>
            <w:r>
              <w:rPr>
                <w:b/>
                <w:color w:val="231F20"/>
                <w:spacing w:val="-2"/>
                <w:w w:val="80"/>
                <w:sz w:val="14"/>
              </w:rPr>
              <w:t> </w:t>
            </w:r>
            <w:r>
              <w:rPr>
                <w:b/>
                <w:color w:val="231F20"/>
                <w:w w:val="80"/>
                <w:sz w:val="14"/>
              </w:rPr>
              <w:t>from</w:t>
            </w:r>
            <w:r>
              <w:rPr>
                <w:b/>
                <w:color w:val="231F20"/>
                <w:spacing w:val="40"/>
                <w:sz w:val="14"/>
              </w:rPr>
              <w:t> </w:t>
            </w:r>
            <w:r>
              <w:rPr>
                <w:b/>
                <w:color w:val="231F20"/>
                <w:w w:val="80"/>
                <w:sz w:val="14"/>
              </w:rPr>
              <w:t>coastal</w:t>
            </w:r>
            <w:r>
              <w:rPr>
                <w:b/>
                <w:color w:val="231F20"/>
                <w:spacing w:val="23"/>
                <w:sz w:val="14"/>
              </w:rPr>
              <w:t> </w:t>
            </w:r>
            <w:r>
              <w:rPr>
                <w:b/>
                <w:color w:val="231F20"/>
                <w:spacing w:val="-2"/>
                <w:w w:val="85"/>
                <w:sz w:val="14"/>
              </w:rPr>
              <w:t>countries</w:t>
            </w:r>
          </w:p>
        </w:tc>
        <w:tc>
          <w:tcPr>
            <w:tcW w:w="1920" w:type="dxa"/>
          </w:tcPr>
          <w:p>
            <w:pPr>
              <w:pStyle w:val="TableParagraph"/>
              <w:spacing w:before="47"/>
              <w:ind w:left="271" w:right="271"/>
              <w:rPr>
                <w:sz w:val="14"/>
              </w:rPr>
            </w:pPr>
            <w:r>
              <w:rPr>
                <w:color w:val="231F20"/>
                <w:w w:val="80"/>
                <w:sz w:val="14"/>
              </w:rPr>
              <w:t>Five most important export</w:t>
            </w:r>
            <w:r>
              <w:rPr>
                <w:color w:val="231F20"/>
                <w:spacing w:val="40"/>
                <w:sz w:val="14"/>
              </w:rPr>
              <w:t> </w:t>
            </w:r>
            <w:r>
              <w:rPr>
                <w:color w:val="231F20"/>
                <w:w w:val="90"/>
                <w:sz w:val="14"/>
              </w:rPr>
              <w:t>partner</w:t>
            </w:r>
            <w:r>
              <w:rPr>
                <w:color w:val="231F20"/>
                <w:spacing w:val="-6"/>
                <w:w w:val="90"/>
                <w:sz w:val="14"/>
              </w:rPr>
              <w:t> </w:t>
            </w:r>
            <w:r>
              <w:rPr>
                <w:color w:val="231F20"/>
                <w:w w:val="90"/>
                <w:sz w:val="14"/>
              </w:rPr>
              <w:t>countries</w:t>
            </w:r>
          </w:p>
          <w:p>
            <w:pPr>
              <w:pStyle w:val="TableParagraph"/>
              <w:spacing w:line="159" w:lineRule="exact" w:before="0"/>
              <w:rPr>
                <w:sz w:val="14"/>
              </w:rPr>
            </w:pPr>
            <w:r>
              <w:rPr>
                <w:color w:val="231F20"/>
                <w:spacing w:val="-10"/>
                <w:sz w:val="14"/>
              </w:rPr>
              <w:t>+</w:t>
            </w:r>
          </w:p>
          <w:p>
            <w:pPr>
              <w:pStyle w:val="TableParagraph"/>
              <w:spacing w:before="0"/>
              <w:ind w:left="225" w:right="223"/>
              <w:rPr>
                <w:sz w:val="14"/>
              </w:rPr>
            </w:pPr>
            <w:r>
              <w:rPr>
                <w:color w:val="231F20"/>
                <w:w w:val="90"/>
                <w:sz w:val="14"/>
              </w:rPr>
              <w:t>Three most important</w:t>
            </w:r>
            <w:r>
              <w:rPr>
                <w:color w:val="231F20"/>
                <w:spacing w:val="40"/>
                <w:sz w:val="14"/>
              </w:rPr>
              <w:t> </w:t>
            </w:r>
            <w:r>
              <w:rPr>
                <w:color w:val="231F20"/>
                <w:w w:val="80"/>
                <w:sz w:val="14"/>
              </w:rPr>
              <w:t>import partner countries</w:t>
            </w:r>
          </w:p>
        </w:tc>
        <w:tc>
          <w:tcPr>
            <w:tcW w:w="1920" w:type="dxa"/>
          </w:tcPr>
          <w:p>
            <w:pPr>
              <w:pStyle w:val="TableParagraph"/>
              <w:spacing w:before="47"/>
              <w:ind w:left="225" w:right="223"/>
              <w:rPr>
                <w:sz w:val="14"/>
              </w:rPr>
            </w:pPr>
            <w:r>
              <w:rPr>
                <w:color w:val="231F20"/>
                <w:w w:val="90"/>
                <w:sz w:val="14"/>
              </w:rPr>
              <w:t>Three</w:t>
            </w:r>
            <w:r>
              <w:rPr>
                <w:color w:val="231F20"/>
                <w:spacing w:val="-4"/>
                <w:w w:val="90"/>
                <w:sz w:val="14"/>
              </w:rPr>
              <w:t> </w:t>
            </w:r>
            <w:r>
              <w:rPr>
                <w:color w:val="231F20"/>
                <w:w w:val="90"/>
                <w:sz w:val="14"/>
              </w:rPr>
              <w:t>most</w:t>
            </w:r>
            <w:r>
              <w:rPr>
                <w:color w:val="231F20"/>
                <w:spacing w:val="-4"/>
                <w:w w:val="90"/>
                <w:sz w:val="14"/>
              </w:rPr>
              <w:t> </w:t>
            </w:r>
            <w:r>
              <w:rPr>
                <w:color w:val="231F20"/>
                <w:w w:val="90"/>
                <w:sz w:val="14"/>
              </w:rPr>
              <w:t>important</w:t>
            </w:r>
            <w:r>
              <w:rPr>
                <w:color w:val="231F20"/>
                <w:spacing w:val="40"/>
                <w:sz w:val="14"/>
              </w:rPr>
              <w:t> </w:t>
            </w:r>
            <w:r>
              <w:rPr>
                <w:color w:val="231F20"/>
                <w:w w:val="80"/>
                <w:sz w:val="14"/>
              </w:rPr>
              <w:t>export partner countries</w:t>
            </w:r>
          </w:p>
          <w:p>
            <w:pPr>
              <w:pStyle w:val="TableParagraph"/>
              <w:spacing w:line="159" w:lineRule="exact" w:before="0"/>
              <w:rPr>
                <w:sz w:val="14"/>
              </w:rPr>
            </w:pPr>
            <w:r>
              <w:rPr>
                <w:color w:val="231F20"/>
                <w:spacing w:val="-10"/>
                <w:sz w:val="14"/>
              </w:rPr>
              <w:t>+</w:t>
            </w:r>
          </w:p>
          <w:p>
            <w:pPr>
              <w:pStyle w:val="TableParagraph"/>
              <w:spacing w:before="0"/>
              <w:ind w:left="225" w:right="223"/>
              <w:rPr>
                <w:sz w:val="14"/>
              </w:rPr>
            </w:pPr>
            <w:r>
              <w:rPr>
                <w:color w:val="231F20"/>
                <w:w w:val="80"/>
                <w:sz w:val="14"/>
              </w:rPr>
              <w:t>The most important import</w:t>
            </w:r>
            <w:r>
              <w:rPr>
                <w:color w:val="231F20"/>
                <w:spacing w:val="40"/>
                <w:sz w:val="14"/>
              </w:rPr>
              <w:t> </w:t>
            </w:r>
            <w:r>
              <w:rPr>
                <w:color w:val="231F20"/>
                <w:w w:val="90"/>
                <w:sz w:val="14"/>
              </w:rPr>
              <w:t>partner</w:t>
            </w:r>
            <w:r>
              <w:rPr>
                <w:color w:val="231F20"/>
                <w:spacing w:val="-6"/>
                <w:w w:val="90"/>
                <w:sz w:val="14"/>
              </w:rPr>
              <w:t> </w:t>
            </w:r>
            <w:r>
              <w:rPr>
                <w:color w:val="231F20"/>
                <w:w w:val="90"/>
                <w:sz w:val="14"/>
              </w:rPr>
              <w:t>country</w:t>
            </w:r>
          </w:p>
          <w:p>
            <w:pPr>
              <w:pStyle w:val="TableParagraph"/>
              <w:spacing w:line="159" w:lineRule="exact" w:before="0"/>
              <w:rPr>
                <w:sz w:val="14"/>
              </w:rPr>
            </w:pPr>
            <w:r>
              <w:rPr>
                <w:color w:val="231F20"/>
                <w:spacing w:val="-10"/>
                <w:sz w:val="14"/>
              </w:rPr>
              <w:t>+</w:t>
            </w:r>
          </w:p>
          <w:p>
            <w:pPr>
              <w:pStyle w:val="TableParagraph"/>
              <w:spacing w:before="0"/>
              <w:ind w:left="225" w:right="223"/>
              <w:rPr>
                <w:sz w:val="14"/>
              </w:rPr>
            </w:pPr>
            <w:r>
              <w:rPr>
                <w:color w:val="231F20"/>
                <w:w w:val="80"/>
                <w:sz w:val="14"/>
              </w:rPr>
              <w:t>Four</w:t>
            </w:r>
            <w:r>
              <w:rPr>
                <w:color w:val="231F20"/>
                <w:spacing w:val="-2"/>
                <w:w w:val="80"/>
                <w:sz w:val="14"/>
              </w:rPr>
              <w:t> </w:t>
            </w:r>
            <w:r>
              <w:rPr>
                <w:color w:val="231F20"/>
                <w:w w:val="80"/>
                <w:sz w:val="14"/>
              </w:rPr>
              <w:t>random</w:t>
            </w:r>
            <w:r>
              <w:rPr>
                <w:color w:val="231F20"/>
                <w:spacing w:val="-2"/>
                <w:w w:val="80"/>
                <w:sz w:val="14"/>
              </w:rPr>
              <w:t> </w:t>
            </w:r>
            <w:r>
              <w:rPr>
                <w:color w:val="231F20"/>
                <w:w w:val="80"/>
                <w:sz w:val="14"/>
              </w:rPr>
              <w:t>countries,</w:t>
            </w:r>
            <w:r>
              <w:rPr>
                <w:color w:val="231F20"/>
                <w:spacing w:val="-2"/>
                <w:w w:val="80"/>
                <w:sz w:val="14"/>
              </w:rPr>
              <w:t> </w:t>
            </w:r>
            <w:r>
              <w:rPr>
                <w:color w:val="231F20"/>
                <w:w w:val="80"/>
                <w:sz w:val="14"/>
              </w:rPr>
              <w:t>one</w:t>
            </w:r>
            <w:r>
              <w:rPr>
                <w:color w:val="231F20"/>
                <w:spacing w:val="40"/>
                <w:sz w:val="14"/>
              </w:rPr>
              <w:t> </w:t>
            </w:r>
            <w:r>
              <w:rPr>
                <w:color w:val="231F20"/>
                <w:w w:val="90"/>
                <w:sz w:val="14"/>
              </w:rPr>
              <w:t>from</w:t>
            </w:r>
            <w:r>
              <w:rPr>
                <w:color w:val="231F20"/>
                <w:spacing w:val="-6"/>
                <w:w w:val="90"/>
                <w:sz w:val="14"/>
              </w:rPr>
              <w:t> </w:t>
            </w:r>
            <w:r>
              <w:rPr>
                <w:color w:val="231F20"/>
                <w:w w:val="90"/>
                <w:sz w:val="14"/>
              </w:rPr>
              <w:t>each</w:t>
            </w:r>
            <w:r>
              <w:rPr>
                <w:color w:val="231F20"/>
                <w:spacing w:val="-6"/>
                <w:w w:val="90"/>
                <w:sz w:val="14"/>
              </w:rPr>
              <w:t> </w:t>
            </w:r>
            <w:r>
              <w:rPr>
                <w:color w:val="231F20"/>
                <w:w w:val="90"/>
                <w:sz w:val="14"/>
              </w:rPr>
              <w:t>country</w:t>
            </w:r>
            <w:r>
              <w:rPr>
                <w:color w:val="231F20"/>
                <w:spacing w:val="-6"/>
                <w:w w:val="90"/>
                <w:sz w:val="14"/>
              </w:rPr>
              <w:t> </w:t>
            </w:r>
            <w:r>
              <w:rPr>
                <w:color w:val="231F20"/>
                <w:w w:val="90"/>
                <w:sz w:val="14"/>
              </w:rPr>
              <w:t>group:</w:t>
            </w:r>
          </w:p>
          <w:p>
            <w:pPr>
              <w:pStyle w:val="TableParagraph"/>
              <w:numPr>
                <w:ilvl w:val="0"/>
                <w:numId w:val="16"/>
              </w:numPr>
              <w:tabs>
                <w:tab w:pos="553" w:val="left" w:leader="none"/>
              </w:tabs>
              <w:spacing w:line="159" w:lineRule="exact" w:before="0" w:after="0"/>
              <w:ind w:left="553" w:right="0" w:hanging="238"/>
              <w:jc w:val="left"/>
              <w:rPr>
                <w:sz w:val="14"/>
              </w:rPr>
            </w:pPr>
            <w:r>
              <w:rPr>
                <w:color w:val="231F20"/>
                <w:spacing w:val="-2"/>
                <w:w w:val="90"/>
                <w:sz w:val="14"/>
              </w:rPr>
              <w:t>Africa</w:t>
            </w:r>
          </w:p>
          <w:p>
            <w:pPr>
              <w:pStyle w:val="TableParagraph"/>
              <w:numPr>
                <w:ilvl w:val="0"/>
                <w:numId w:val="16"/>
              </w:numPr>
              <w:tabs>
                <w:tab w:pos="555" w:val="left" w:leader="none"/>
              </w:tabs>
              <w:spacing w:line="240" w:lineRule="auto" w:before="0" w:after="0"/>
              <w:ind w:left="555" w:right="662" w:hanging="240"/>
              <w:jc w:val="left"/>
              <w:rPr>
                <w:sz w:val="14"/>
              </w:rPr>
            </w:pPr>
            <w:r>
              <w:rPr>
                <w:color w:val="231F20"/>
                <w:spacing w:val="-2"/>
                <w:w w:val="80"/>
                <w:sz w:val="14"/>
              </w:rPr>
              <w:t>East</w:t>
            </w:r>
            <w:r>
              <w:rPr>
                <w:color w:val="231F20"/>
                <w:spacing w:val="-8"/>
                <w:sz w:val="14"/>
              </w:rPr>
              <w:t> </w:t>
            </w:r>
            <w:r>
              <w:rPr>
                <w:color w:val="231F20"/>
                <w:spacing w:val="-2"/>
                <w:w w:val="80"/>
                <w:sz w:val="14"/>
              </w:rPr>
              <w:t>Asia</w:t>
            </w:r>
            <w:r>
              <w:rPr>
                <w:color w:val="231F20"/>
                <w:spacing w:val="-8"/>
                <w:sz w:val="14"/>
              </w:rPr>
              <w:t> </w:t>
            </w:r>
            <w:r>
              <w:rPr>
                <w:color w:val="231F20"/>
                <w:spacing w:val="-2"/>
                <w:w w:val="80"/>
                <w:sz w:val="14"/>
              </w:rPr>
              <w:t>and</w:t>
            </w:r>
            <w:r>
              <w:rPr>
                <w:color w:val="231F20"/>
                <w:spacing w:val="40"/>
                <w:sz w:val="14"/>
              </w:rPr>
              <w:t> </w:t>
            </w:r>
            <w:r>
              <w:rPr>
                <w:color w:val="231F20"/>
                <w:w w:val="85"/>
                <w:sz w:val="14"/>
              </w:rPr>
              <w:t>Central</w:t>
            </w:r>
            <w:r>
              <w:rPr>
                <w:color w:val="231F20"/>
                <w:spacing w:val="-4"/>
                <w:w w:val="85"/>
                <w:sz w:val="14"/>
              </w:rPr>
              <w:t> </w:t>
            </w:r>
            <w:r>
              <w:rPr>
                <w:color w:val="231F20"/>
                <w:w w:val="85"/>
                <w:sz w:val="14"/>
              </w:rPr>
              <w:t>Asia</w:t>
            </w:r>
          </w:p>
          <w:p>
            <w:pPr>
              <w:pStyle w:val="TableParagraph"/>
              <w:numPr>
                <w:ilvl w:val="0"/>
                <w:numId w:val="16"/>
              </w:numPr>
              <w:tabs>
                <w:tab w:pos="554" w:val="left" w:leader="none"/>
              </w:tabs>
              <w:spacing w:line="159" w:lineRule="exact" w:before="0" w:after="0"/>
              <w:ind w:left="554" w:right="0" w:hanging="239"/>
              <w:jc w:val="left"/>
              <w:rPr>
                <w:sz w:val="14"/>
              </w:rPr>
            </w:pPr>
            <w:r>
              <w:rPr>
                <w:color w:val="231F20"/>
                <w:w w:val="75"/>
                <w:sz w:val="14"/>
              </w:rPr>
              <w:t>Latin</w:t>
            </w:r>
            <w:r>
              <w:rPr>
                <w:color w:val="231F20"/>
                <w:spacing w:val="12"/>
                <w:sz w:val="14"/>
              </w:rPr>
              <w:t> </w:t>
            </w:r>
            <w:r>
              <w:rPr>
                <w:color w:val="231F20"/>
                <w:spacing w:val="-2"/>
                <w:w w:val="90"/>
                <w:sz w:val="14"/>
              </w:rPr>
              <w:t>America</w:t>
            </w:r>
          </w:p>
          <w:p>
            <w:pPr>
              <w:pStyle w:val="TableParagraph"/>
              <w:numPr>
                <w:ilvl w:val="0"/>
                <w:numId w:val="16"/>
              </w:numPr>
              <w:tabs>
                <w:tab w:pos="555" w:val="left" w:leader="none"/>
              </w:tabs>
              <w:spacing w:line="240" w:lineRule="auto" w:before="0" w:after="0"/>
              <w:ind w:left="555" w:right="364" w:hanging="240"/>
              <w:jc w:val="left"/>
              <w:rPr>
                <w:sz w:val="14"/>
              </w:rPr>
            </w:pPr>
            <w:r>
              <w:rPr>
                <w:color w:val="231F20"/>
                <w:w w:val="75"/>
                <w:sz w:val="14"/>
              </w:rPr>
              <w:t>Europe less Central</w:t>
            </w:r>
            <w:r>
              <w:rPr>
                <w:color w:val="231F20"/>
                <w:spacing w:val="40"/>
                <w:sz w:val="14"/>
              </w:rPr>
              <w:t> </w:t>
            </w:r>
            <w:r>
              <w:rPr>
                <w:color w:val="231F20"/>
                <w:w w:val="85"/>
                <w:sz w:val="14"/>
              </w:rPr>
              <w:t>Asia and OECD</w:t>
            </w:r>
          </w:p>
        </w:tc>
        <w:tc>
          <w:tcPr>
            <w:tcW w:w="1920" w:type="dxa"/>
            <w:vMerge w:val="restart"/>
            <w:tcBorders>
              <w:right w:val="nil"/>
            </w:tcBorders>
          </w:tcPr>
          <w:p>
            <w:pPr>
              <w:pStyle w:val="TableParagraph"/>
              <w:spacing w:before="47"/>
              <w:ind w:left="65" w:right="68"/>
              <w:rPr>
                <w:sz w:val="14"/>
              </w:rPr>
            </w:pPr>
            <w:r>
              <w:rPr>
                <w:color w:val="231F20"/>
                <w:w w:val="85"/>
                <w:sz w:val="14"/>
              </w:rPr>
              <w:t>Two</w:t>
            </w:r>
            <w:r>
              <w:rPr>
                <w:color w:val="231F20"/>
                <w:spacing w:val="-1"/>
                <w:w w:val="85"/>
                <w:sz w:val="14"/>
              </w:rPr>
              <w:t> </w:t>
            </w:r>
            <w:r>
              <w:rPr>
                <w:color w:val="231F20"/>
                <w:w w:val="85"/>
                <w:sz w:val="14"/>
              </w:rPr>
              <w:t>random</w:t>
            </w:r>
            <w:r>
              <w:rPr>
                <w:color w:val="231F20"/>
                <w:spacing w:val="-1"/>
                <w:w w:val="85"/>
                <w:sz w:val="14"/>
              </w:rPr>
              <w:t> </w:t>
            </w:r>
            <w:r>
              <w:rPr>
                <w:color w:val="231F20"/>
                <w:w w:val="85"/>
                <w:sz w:val="14"/>
              </w:rPr>
              <w:t>countries</w:t>
            </w:r>
            <w:r>
              <w:rPr>
                <w:color w:val="231F20"/>
                <w:spacing w:val="-1"/>
                <w:w w:val="85"/>
                <w:sz w:val="14"/>
              </w:rPr>
              <w:t> </w:t>
            </w:r>
            <w:r>
              <w:rPr>
                <w:color w:val="231F20"/>
                <w:w w:val="85"/>
                <w:sz w:val="14"/>
              </w:rPr>
              <w:t>from</w:t>
            </w:r>
            <w:r>
              <w:rPr>
                <w:color w:val="231F20"/>
                <w:spacing w:val="-1"/>
                <w:w w:val="85"/>
                <w:sz w:val="14"/>
              </w:rPr>
              <w:t> </w:t>
            </w:r>
            <w:r>
              <w:rPr>
                <w:color w:val="231F20"/>
                <w:w w:val="85"/>
                <w:sz w:val="14"/>
              </w:rPr>
              <w:t>a</w:t>
            </w:r>
            <w:r>
              <w:rPr>
                <w:color w:val="231F20"/>
                <w:spacing w:val="-1"/>
                <w:w w:val="85"/>
                <w:sz w:val="14"/>
              </w:rPr>
              <w:t> </w:t>
            </w:r>
            <w:r>
              <w:rPr>
                <w:color w:val="231F20"/>
                <w:w w:val="85"/>
                <w:sz w:val="14"/>
              </w:rPr>
              <w:t>list</w:t>
            </w:r>
            <w:r>
              <w:rPr>
                <w:color w:val="231F20"/>
                <w:spacing w:val="40"/>
                <w:sz w:val="14"/>
              </w:rPr>
              <w:t> </w:t>
            </w:r>
            <w:r>
              <w:rPr>
                <w:color w:val="231F20"/>
                <w:w w:val="85"/>
                <w:sz w:val="14"/>
              </w:rPr>
              <w:t>of the five most important export</w:t>
            </w:r>
            <w:r>
              <w:rPr>
                <w:color w:val="231F20"/>
                <w:spacing w:val="40"/>
                <w:sz w:val="14"/>
              </w:rPr>
              <w:t> </w:t>
            </w:r>
            <w:r>
              <w:rPr>
                <w:color w:val="231F20"/>
                <w:w w:val="85"/>
                <w:sz w:val="14"/>
              </w:rPr>
              <w:t>partner countries and five most</w:t>
            </w:r>
            <w:r>
              <w:rPr>
                <w:color w:val="231F20"/>
                <w:spacing w:val="40"/>
                <w:sz w:val="14"/>
              </w:rPr>
              <w:t> </w:t>
            </w:r>
            <w:r>
              <w:rPr>
                <w:color w:val="231F20"/>
                <w:w w:val="80"/>
                <w:sz w:val="14"/>
              </w:rPr>
              <w:t>important import partner countries</w:t>
            </w:r>
          </w:p>
          <w:p>
            <w:pPr>
              <w:pStyle w:val="TableParagraph"/>
              <w:spacing w:line="157" w:lineRule="exact" w:before="0"/>
              <w:ind w:left="65" w:right="69"/>
              <w:rPr>
                <w:sz w:val="14"/>
              </w:rPr>
            </w:pPr>
            <w:r>
              <w:rPr>
                <w:color w:val="231F20"/>
                <w:spacing w:val="-10"/>
                <w:sz w:val="14"/>
              </w:rPr>
              <w:t>+</w:t>
            </w:r>
          </w:p>
          <w:p>
            <w:pPr>
              <w:pStyle w:val="TableParagraph"/>
              <w:spacing w:before="0"/>
              <w:ind w:left="245" w:right="248"/>
              <w:rPr>
                <w:sz w:val="14"/>
              </w:rPr>
            </w:pPr>
            <w:r>
              <w:rPr>
                <w:color w:val="231F20"/>
                <w:w w:val="80"/>
                <w:sz w:val="14"/>
              </w:rPr>
              <w:t>Four</w:t>
            </w:r>
            <w:r>
              <w:rPr>
                <w:color w:val="231F20"/>
                <w:spacing w:val="-2"/>
                <w:w w:val="80"/>
                <w:sz w:val="14"/>
              </w:rPr>
              <w:t> </w:t>
            </w:r>
            <w:r>
              <w:rPr>
                <w:color w:val="231F20"/>
                <w:w w:val="80"/>
                <w:sz w:val="14"/>
              </w:rPr>
              <w:t>random</w:t>
            </w:r>
            <w:r>
              <w:rPr>
                <w:color w:val="231F20"/>
                <w:spacing w:val="-2"/>
                <w:w w:val="80"/>
                <w:sz w:val="14"/>
              </w:rPr>
              <w:t> </w:t>
            </w:r>
            <w:r>
              <w:rPr>
                <w:color w:val="231F20"/>
                <w:w w:val="80"/>
                <w:sz w:val="14"/>
              </w:rPr>
              <w:t>countries,</w:t>
            </w:r>
            <w:r>
              <w:rPr>
                <w:color w:val="231F20"/>
                <w:spacing w:val="-2"/>
                <w:w w:val="80"/>
                <w:sz w:val="14"/>
              </w:rPr>
              <w:t> </w:t>
            </w:r>
            <w:r>
              <w:rPr>
                <w:color w:val="231F20"/>
                <w:w w:val="80"/>
                <w:sz w:val="14"/>
              </w:rPr>
              <w:t>one</w:t>
            </w:r>
            <w:r>
              <w:rPr>
                <w:color w:val="231F20"/>
                <w:spacing w:val="40"/>
                <w:sz w:val="14"/>
              </w:rPr>
              <w:t> </w:t>
            </w:r>
            <w:r>
              <w:rPr>
                <w:color w:val="231F20"/>
                <w:w w:val="90"/>
                <w:sz w:val="14"/>
              </w:rPr>
              <w:t>from</w:t>
            </w:r>
            <w:r>
              <w:rPr>
                <w:color w:val="231F20"/>
                <w:spacing w:val="-6"/>
                <w:w w:val="90"/>
                <w:sz w:val="14"/>
              </w:rPr>
              <w:t> </w:t>
            </w:r>
            <w:r>
              <w:rPr>
                <w:color w:val="231F20"/>
                <w:w w:val="90"/>
                <w:sz w:val="14"/>
              </w:rPr>
              <w:t>each</w:t>
            </w:r>
            <w:r>
              <w:rPr>
                <w:color w:val="231F20"/>
                <w:spacing w:val="-6"/>
                <w:w w:val="90"/>
                <w:sz w:val="14"/>
              </w:rPr>
              <w:t> </w:t>
            </w:r>
            <w:r>
              <w:rPr>
                <w:color w:val="231F20"/>
                <w:w w:val="90"/>
                <w:sz w:val="14"/>
              </w:rPr>
              <w:t>country</w:t>
            </w:r>
            <w:r>
              <w:rPr>
                <w:color w:val="231F20"/>
                <w:spacing w:val="-6"/>
                <w:w w:val="90"/>
                <w:sz w:val="14"/>
              </w:rPr>
              <w:t> </w:t>
            </w:r>
            <w:r>
              <w:rPr>
                <w:color w:val="231F20"/>
                <w:w w:val="90"/>
                <w:sz w:val="14"/>
              </w:rPr>
              <w:t>group:</w:t>
            </w:r>
          </w:p>
          <w:p>
            <w:pPr>
              <w:pStyle w:val="TableParagraph"/>
              <w:numPr>
                <w:ilvl w:val="0"/>
                <w:numId w:val="17"/>
              </w:numPr>
              <w:tabs>
                <w:tab w:pos="553" w:val="left" w:leader="none"/>
              </w:tabs>
              <w:spacing w:line="159" w:lineRule="exact" w:before="0" w:after="0"/>
              <w:ind w:left="553" w:right="0" w:hanging="238"/>
              <w:jc w:val="left"/>
              <w:rPr>
                <w:sz w:val="14"/>
              </w:rPr>
            </w:pPr>
            <w:r>
              <w:rPr>
                <w:color w:val="231F20"/>
                <w:spacing w:val="-2"/>
                <w:w w:val="90"/>
                <w:sz w:val="14"/>
              </w:rPr>
              <w:t>Africa</w:t>
            </w:r>
          </w:p>
          <w:p>
            <w:pPr>
              <w:pStyle w:val="TableParagraph"/>
              <w:numPr>
                <w:ilvl w:val="0"/>
                <w:numId w:val="17"/>
              </w:numPr>
              <w:tabs>
                <w:tab w:pos="555" w:val="left" w:leader="none"/>
              </w:tabs>
              <w:spacing w:line="240" w:lineRule="auto" w:before="0" w:after="0"/>
              <w:ind w:left="555" w:right="667" w:hanging="240"/>
              <w:jc w:val="left"/>
              <w:rPr>
                <w:sz w:val="14"/>
              </w:rPr>
            </w:pPr>
            <w:r>
              <w:rPr>
                <w:color w:val="231F20"/>
                <w:spacing w:val="-2"/>
                <w:w w:val="80"/>
                <w:sz w:val="14"/>
              </w:rPr>
              <w:t>East</w:t>
            </w:r>
            <w:r>
              <w:rPr>
                <w:color w:val="231F20"/>
                <w:spacing w:val="-8"/>
                <w:sz w:val="14"/>
              </w:rPr>
              <w:t> </w:t>
            </w:r>
            <w:r>
              <w:rPr>
                <w:color w:val="231F20"/>
                <w:spacing w:val="-2"/>
                <w:w w:val="80"/>
                <w:sz w:val="14"/>
              </w:rPr>
              <w:t>Asia</w:t>
            </w:r>
            <w:r>
              <w:rPr>
                <w:color w:val="231F20"/>
                <w:spacing w:val="-8"/>
                <w:sz w:val="14"/>
              </w:rPr>
              <w:t> </w:t>
            </w:r>
            <w:r>
              <w:rPr>
                <w:color w:val="231F20"/>
                <w:spacing w:val="-2"/>
                <w:w w:val="80"/>
                <w:sz w:val="14"/>
              </w:rPr>
              <w:t>and</w:t>
            </w:r>
            <w:r>
              <w:rPr>
                <w:color w:val="231F20"/>
                <w:spacing w:val="40"/>
                <w:sz w:val="14"/>
              </w:rPr>
              <w:t> </w:t>
            </w:r>
            <w:r>
              <w:rPr>
                <w:color w:val="231F20"/>
                <w:w w:val="85"/>
                <w:sz w:val="14"/>
              </w:rPr>
              <w:t>Central</w:t>
            </w:r>
            <w:r>
              <w:rPr>
                <w:color w:val="231F20"/>
                <w:spacing w:val="-4"/>
                <w:w w:val="85"/>
                <w:sz w:val="14"/>
              </w:rPr>
              <w:t> </w:t>
            </w:r>
            <w:r>
              <w:rPr>
                <w:color w:val="231F20"/>
                <w:w w:val="85"/>
                <w:sz w:val="14"/>
              </w:rPr>
              <w:t>Asia</w:t>
            </w:r>
          </w:p>
          <w:p>
            <w:pPr>
              <w:pStyle w:val="TableParagraph"/>
              <w:numPr>
                <w:ilvl w:val="0"/>
                <w:numId w:val="17"/>
              </w:numPr>
              <w:tabs>
                <w:tab w:pos="554" w:val="left" w:leader="none"/>
              </w:tabs>
              <w:spacing w:line="159" w:lineRule="exact" w:before="0" w:after="0"/>
              <w:ind w:left="554" w:right="0" w:hanging="239"/>
              <w:jc w:val="left"/>
              <w:rPr>
                <w:sz w:val="14"/>
              </w:rPr>
            </w:pPr>
            <w:r>
              <w:rPr>
                <w:color w:val="231F20"/>
                <w:w w:val="75"/>
                <w:sz w:val="14"/>
              </w:rPr>
              <w:t>Latin</w:t>
            </w:r>
            <w:r>
              <w:rPr>
                <w:color w:val="231F20"/>
                <w:spacing w:val="12"/>
                <w:sz w:val="14"/>
              </w:rPr>
              <w:t> </w:t>
            </w:r>
            <w:r>
              <w:rPr>
                <w:color w:val="231F20"/>
                <w:spacing w:val="-2"/>
                <w:w w:val="90"/>
                <w:sz w:val="14"/>
              </w:rPr>
              <w:t>America</w:t>
            </w:r>
          </w:p>
          <w:p>
            <w:pPr>
              <w:pStyle w:val="TableParagraph"/>
              <w:numPr>
                <w:ilvl w:val="0"/>
                <w:numId w:val="17"/>
              </w:numPr>
              <w:tabs>
                <w:tab w:pos="555" w:val="left" w:leader="none"/>
              </w:tabs>
              <w:spacing w:line="240" w:lineRule="auto" w:before="0" w:after="0"/>
              <w:ind w:left="555" w:right="369" w:hanging="240"/>
              <w:jc w:val="left"/>
              <w:rPr>
                <w:sz w:val="14"/>
              </w:rPr>
            </w:pPr>
            <w:r>
              <w:rPr>
                <w:color w:val="231F20"/>
                <w:w w:val="75"/>
                <w:sz w:val="14"/>
              </w:rPr>
              <w:t>Europe less Central</w:t>
            </w:r>
            <w:r>
              <w:rPr>
                <w:color w:val="231F20"/>
                <w:spacing w:val="40"/>
                <w:sz w:val="14"/>
              </w:rPr>
              <w:t> </w:t>
            </w:r>
            <w:r>
              <w:rPr>
                <w:color w:val="231F20"/>
                <w:w w:val="85"/>
                <w:sz w:val="14"/>
              </w:rPr>
              <w:t>Asia and OECD</w:t>
            </w:r>
          </w:p>
          <w:p>
            <w:pPr>
              <w:pStyle w:val="TableParagraph"/>
              <w:spacing w:line="159" w:lineRule="exact" w:before="0"/>
              <w:ind w:left="65" w:right="69"/>
              <w:rPr>
                <w:sz w:val="14"/>
              </w:rPr>
            </w:pPr>
            <w:r>
              <w:rPr>
                <w:color w:val="231F20"/>
                <w:spacing w:val="-10"/>
                <w:sz w:val="14"/>
              </w:rPr>
              <w:t>+</w:t>
            </w:r>
          </w:p>
          <w:p>
            <w:pPr>
              <w:pStyle w:val="TableParagraph"/>
              <w:spacing w:before="0"/>
              <w:ind w:left="245" w:right="248"/>
              <w:rPr>
                <w:sz w:val="14"/>
              </w:rPr>
            </w:pPr>
            <w:r>
              <w:rPr>
                <w:color w:val="231F20"/>
                <w:w w:val="90"/>
                <w:sz w:val="14"/>
              </w:rPr>
              <w:t>Two</w:t>
            </w:r>
            <w:r>
              <w:rPr>
                <w:color w:val="231F20"/>
                <w:spacing w:val="-5"/>
                <w:w w:val="90"/>
                <w:sz w:val="14"/>
              </w:rPr>
              <w:t> </w:t>
            </w:r>
            <w:r>
              <w:rPr>
                <w:color w:val="231F20"/>
                <w:w w:val="90"/>
                <w:sz w:val="14"/>
              </w:rPr>
              <w:t>random</w:t>
            </w:r>
            <w:r>
              <w:rPr>
                <w:color w:val="231F20"/>
                <w:spacing w:val="-5"/>
                <w:w w:val="90"/>
                <w:sz w:val="14"/>
              </w:rPr>
              <w:t> </w:t>
            </w:r>
            <w:r>
              <w:rPr>
                <w:color w:val="231F20"/>
                <w:w w:val="90"/>
                <w:sz w:val="14"/>
              </w:rPr>
              <w:t>countries</w:t>
            </w:r>
            <w:r>
              <w:rPr>
                <w:color w:val="231F20"/>
                <w:spacing w:val="40"/>
                <w:sz w:val="14"/>
              </w:rPr>
              <w:t> </w:t>
            </w:r>
            <w:r>
              <w:rPr>
                <w:color w:val="231F20"/>
                <w:w w:val="80"/>
                <w:sz w:val="14"/>
              </w:rPr>
              <w:t>from the combined country</w:t>
            </w:r>
            <w:r>
              <w:rPr>
                <w:color w:val="231F20"/>
                <w:spacing w:val="40"/>
                <w:sz w:val="14"/>
              </w:rPr>
              <w:t> </w:t>
            </w:r>
            <w:r>
              <w:rPr>
                <w:color w:val="231F20"/>
                <w:w w:val="90"/>
                <w:sz w:val="14"/>
              </w:rPr>
              <w:t>groups a, b, c, and d</w:t>
            </w:r>
          </w:p>
        </w:tc>
      </w:tr>
      <w:tr>
        <w:trPr>
          <w:trHeight w:val="2489" w:hRule="atLeast"/>
        </w:trPr>
        <w:tc>
          <w:tcPr>
            <w:tcW w:w="1920" w:type="dxa"/>
            <w:tcBorders>
              <w:left w:val="nil"/>
            </w:tcBorders>
          </w:tcPr>
          <w:p>
            <w:pPr>
              <w:pStyle w:val="TableParagraph"/>
              <w:spacing w:before="43"/>
              <w:ind w:left="355" w:firstLine="77"/>
              <w:jc w:val="left"/>
              <w:rPr>
                <w:b/>
                <w:sz w:val="14"/>
              </w:rPr>
            </w:pPr>
            <w:r>
              <w:rPr>
                <w:b/>
                <w:color w:val="231F20"/>
                <w:w w:val="85"/>
                <w:sz w:val="14"/>
              </w:rPr>
              <w:t>Respondents</w:t>
            </w:r>
            <w:r>
              <w:rPr>
                <w:b/>
                <w:color w:val="231F20"/>
                <w:spacing w:val="-4"/>
                <w:w w:val="85"/>
                <w:sz w:val="14"/>
              </w:rPr>
              <w:t> </w:t>
            </w:r>
            <w:r>
              <w:rPr>
                <w:b/>
                <w:color w:val="231F20"/>
                <w:w w:val="85"/>
                <w:sz w:val="14"/>
              </w:rPr>
              <w:t>from</w:t>
            </w:r>
            <w:r>
              <w:rPr>
                <w:b/>
                <w:color w:val="231F20"/>
                <w:spacing w:val="40"/>
                <w:sz w:val="14"/>
              </w:rPr>
              <w:t> </w:t>
            </w:r>
            <w:r>
              <w:rPr>
                <w:b/>
                <w:color w:val="231F20"/>
                <w:w w:val="80"/>
                <w:sz w:val="14"/>
              </w:rPr>
              <w:t>landlocked</w:t>
            </w:r>
            <w:r>
              <w:rPr>
                <w:b/>
                <w:color w:val="231F20"/>
                <w:spacing w:val="-2"/>
                <w:w w:val="80"/>
                <w:sz w:val="14"/>
              </w:rPr>
              <w:t> </w:t>
            </w:r>
            <w:r>
              <w:rPr>
                <w:b/>
                <w:color w:val="231F20"/>
                <w:w w:val="80"/>
                <w:sz w:val="14"/>
              </w:rPr>
              <w:t>countries</w:t>
            </w:r>
          </w:p>
        </w:tc>
        <w:tc>
          <w:tcPr>
            <w:tcW w:w="1920" w:type="dxa"/>
          </w:tcPr>
          <w:p>
            <w:pPr>
              <w:pStyle w:val="TableParagraph"/>
              <w:spacing w:before="43"/>
              <w:ind w:left="225" w:right="223"/>
              <w:rPr>
                <w:sz w:val="14"/>
              </w:rPr>
            </w:pPr>
            <w:r>
              <w:rPr>
                <w:color w:val="231F20"/>
                <w:w w:val="80"/>
                <w:sz w:val="14"/>
              </w:rPr>
              <w:t>Four most important export</w:t>
            </w:r>
            <w:r>
              <w:rPr>
                <w:color w:val="231F20"/>
                <w:spacing w:val="40"/>
                <w:sz w:val="14"/>
              </w:rPr>
              <w:t> </w:t>
            </w:r>
            <w:r>
              <w:rPr>
                <w:color w:val="231F20"/>
                <w:w w:val="90"/>
                <w:sz w:val="14"/>
              </w:rPr>
              <w:t>partner</w:t>
            </w:r>
            <w:r>
              <w:rPr>
                <w:color w:val="231F20"/>
                <w:spacing w:val="-6"/>
                <w:w w:val="90"/>
                <w:sz w:val="14"/>
              </w:rPr>
              <w:t> </w:t>
            </w:r>
            <w:r>
              <w:rPr>
                <w:color w:val="231F20"/>
                <w:w w:val="90"/>
                <w:sz w:val="14"/>
              </w:rPr>
              <w:t>countries</w:t>
            </w:r>
          </w:p>
          <w:p>
            <w:pPr>
              <w:pStyle w:val="TableParagraph"/>
              <w:spacing w:line="159" w:lineRule="exact" w:before="0"/>
              <w:rPr>
                <w:sz w:val="14"/>
              </w:rPr>
            </w:pPr>
            <w:r>
              <w:rPr>
                <w:color w:val="231F20"/>
                <w:spacing w:val="-10"/>
                <w:sz w:val="14"/>
              </w:rPr>
              <w:t>+</w:t>
            </w:r>
          </w:p>
          <w:p>
            <w:pPr>
              <w:pStyle w:val="TableParagraph"/>
              <w:spacing w:before="0"/>
              <w:ind w:left="225" w:right="223"/>
              <w:rPr>
                <w:sz w:val="14"/>
              </w:rPr>
            </w:pPr>
            <w:r>
              <w:rPr>
                <w:color w:val="231F20"/>
                <w:w w:val="80"/>
                <w:sz w:val="14"/>
              </w:rPr>
              <w:t>Two most important import</w:t>
            </w:r>
            <w:r>
              <w:rPr>
                <w:color w:val="231F20"/>
                <w:spacing w:val="40"/>
                <w:sz w:val="14"/>
              </w:rPr>
              <w:t> </w:t>
            </w:r>
            <w:r>
              <w:rPr>
                <w:color w:val="231F20"/>
                <w:w w:val="90"/>
                <w:sz w:val="14"/>
              </w:rPr>
              <w:t>partner</w:t>
            </w:r>
            <w:r>
              <w:rPr>
                <w:color w:val="231F20"/>
                <w:spacing w:val="-6"/>
                <w:w w:val="90"/>
                <w:sz w:val="14"/>
              </w:rPr>
              <w:t> </w:t>
            </w:r>
            <w:r>
              <w:rPr>
                <w:color w:val="231F20"/>
                <w:w w:val="90"/>
                <w:sz w:val="14"/>
              </w:rPr>
              <w:t>countries</w:t>
            </w:r>
          </w:p>
          <w:p>
            <w:pPr>
              <w:pStyle w:val="TableParagraph"/>
              <w:spacing w:line="159" w:lineRule="exact" w:before="0"/>
              <w:rPr>
                <w:sz w:val="14"/>
              </w:rPr>
            </w:pPr>
            <w:r>
              <w:rPr>
                <w:color w:val="231F20"/>
                <w:spacing w:val="-10"/>
                <w:sz w:val="14"/>
              </w:rPr>
              <w:t>+</w:t>
            </w:r>
          </w:p>
          <w:p>
            <w:pPr>
              <w:pStyle w:val="TableParagraph"/>
              <w:spacing w:line="160" w:lineRule="exact" w:before="0"/>
              <w:rPr>
                <w:sz w:val="14"/>
              </w:rPr>
            </w:pPr>
            <w:r>
              <w:rPr>
                <w:color w:val="231F20"/>
                <w:w w:val="75"/>
                <w:sz w:val="14"/>
              </w:rPr>
              <w:t>Two</w:t>
            </w:r>
            <w:r>
              <w:rPr>
                <w:color w:val="231F20"/>
                <w:spacing w:val="20"/>
                <w:sz w:val="14"/>
              </w:rPr>
              <w:t> </w:t>
            </w:r>
            <w:r>
              <w:rPr>
                <w:color w:val="231F20"/>
                <w:w w:val="75"/>
                <w:sz w:val="14"/>
              </w:rPr>
              <w:t>land-bridge</w:t>
            </w:r>
            <w:r>
              <w:rPr>
                <w:color w:val="231F20"/>
                <w:spacing w:val="20"/>
                <w:sz w:val="14"/>
              </w:rPr>
              <w:t> </w:t>
            </w:r>
            <w:r>
              <w:rPr>
                <w:color w:val="231F20"/>
                <w:spacing w:val="-2"/>
                <w:w w:val="75"/>
                <w:sz w:val="14"/>
              </w:rPr>
              <w:t>countries</w:t>
            </w:r>
          </w:p>
        </w:tc>
        <w:tc>
          <w:tcPr>
            <w:tcW w:w="1920" w:type="dxa"/>
          </w:tcPr>
          <w:p>
            <w:pPr>
              <w:pStyle w:val="TableParagraph"/>
              <w:spacing w:before="43"/>
              <w:ind w:left="225" w:right="223"/>
              <w:rPr>
                <w:sz w:val="14"/>
              </w:rPr>
            </w:pPr>
            <w:r>
              <w:rPr>
                <w:color w:val="231F20"/>
                <w:w w:val="90"/>
                <w:sz w:val="14"/>
              </w:rPr>
              <w:t>Three</w:t>
            </w:r>
            <w:r>
              <w:rPr>
                <w:color w:val="231F20"/>
                <w:spacing w:val="-4"/>
                <w:w w:val="90"/>
                <w:sz w:val="14"/>
              </w:rPr>
              <w:t> </w:t>
            </w:r>
            <w:r>
              <w:rPr>
                <w:color w:val="231F20"/>
                <w:w w:val="90"/>
                <w:sz w:val="14"/>
              </w:rPr>
              <w:t>most</w:t>
            </w:r>
            <w:r>
              <w:rPr>
                <w:color w:val="231F20"/>
                <w:spacing w:val="-4"/>
                <w:w w:val="90"/>
                <w:sz w:val="14"/>
              </w:rPr>
              <w:t> </w:t>
            </w:r>
            <w:r>
              <w:rPr>
                <w:color w:val="231F20"/>
                <w:w w:val="90"/>
                <w:sz w:val="14"/>
              </w:rPr>
              <w:t>important</w:t>
            </w:r>
            <w:r>
              <w:rPr>
                <w:color w:val="231F20"/>
                <w:spacing w:val="40"/>
                <w:sz w:val="14"/>
              </w:rPr>
              <w:t> </w:t>
            </w:r>
            <w:r>
              <w:rPr>
                <w:color w:val="231F20"/>
                <w:w w:val="80"/>
                <w:sz w:val="14"/>
              </w:rPr>
              <w:t>export partner countries</w:t>
            </w:r>
          </w:p>
          <w:p>
            <w:pPr>
              <w:pStyle w:val="TableParagraph"/>
              <w:spacing w:line="159" w:lineRule="exact" w:before="0"/>
              <w:rPr>
                <w:sz w:val="14"/>
              </w:rPr>
            </w:pPr>
            <w:r>
              <w:rPr>
                <w:color w:val="231F20"/>
                <w:spacing w:val="-10"/>
                <w:sz w:val="14"/>
              </w:rPr>
              <w:t>+</w:t>
            </w:r>
          </w:p>
          <w:p>
            <w:pPr>
              <w:pStyle w:val="TableParagraph"/>
              <w:spacing w:before="0"/>
              <w:ind w:left="380" w:right="373" w:hanging="6"/>
              <w:rPr>
                <w:sz w:val="14"/>
              </w:rPr>
            </w:pPr>
            <w:r>
              <w:rPr>
                <w:color w:val="231F20"/>
                <w:w w:val="90"/>
                <w:sz w:val="14"/>
              </w:rPr>
              <w:t>One most important</w:t>
            </w:r>
            <w:r>
              <w:rPr>
                <w:color w:val="231F20"/>
                <w:spacing w:val="40"/>
                <w:sz w:val="14"/>
              </w:rPr>
              <w:t> </w:t>
            </w:r>
            <w:r>
              <w:rPr>
                <w:color w:val="231F20"/>
                <w:w w:val="80"/>
                <w:sz w:val="14"/>
              </w:rPr>
              <w:t>import partner country</w:t>
            </w:r>
          </w:p>
          <w:p>
            <w:pPr>
              <w:pStyle w:val="TableParagraph"/>
              <w:spacing w:line="159" w:lineRule="exact" w:before="0"/>
              <w:rPr>
                <w:sz w:val="14"/>
              </w:rPr>
            </w:pPr>
            <w:r>
              <w:rPr>
                <w:color w:val="231F20"/>
                <w:spacing w:val="-10"/>
                <w:sz w:val="14"/>
              </w:rPr>
              <w:t>+</w:t>
            </w:r>
          </w:p>
          <w:p>
            <w:pPr>
              <w:pStyle w:val="TableParagraph"/>
              <w:spacing w:line="160" w:lineRule="exact" w:before="0"/>
              <w:rPr>
                <w:sz w:val="14"/>
              </w:rPr>
            </w:pPr>
            <w:r>
              <w:rPr>
                <w:color w:val="231F20"/>
                <w:w w:val="75"/>
                <w:sz w:val="14"/>
              </w:rPr>
              <w:t>Two</w:t>
            </w:r>
            <w:r>
              <w:rPr>
                <w:color w:val="231F20"/>
                <w:spacing w:val="20"/>
                <w:sz w:val="14"/>
              </w:rPr>
              <w:t> </w:t>
            </w:r>
            <w:r>
              <w:rPr>
                <w:color w:val="231F20"/>
                <w:w w:val="75"/>
                <w:sz w:val="14"/>
              </w:rPr>
              <w:t>land-bridge</w:t>
            </w:r>
            <w:r>
              <w:rPr>
                <w:color w:val="231F20"/>
                <w:spacing w:val="20"/>
                <w:sz w:val="14"/>
              </w:rPr>
              <w:t> </w:t>
            </w:r>
            <w:r>
              <w:rPr>
                <w:color w:val="231F20"/>
                <w:spacing w:val="-2"/>
                <w:w w:val="75"/>
                <w:sz w:val="14"/>
              </w:rPr>
              <w:t>countries</w:t>
            </w:r>
          </w:p>
          <w:p>
            <w:pPr>
              <w:pStyle w:val="TableParagraph"/>
              <w:spacing w:line="160" w:lineRule="exact" w:before="0"/>
              <w:rPr>
                <w:sz w:val="14"/>
              </w:rPr>
            </w:pPr>
            <w:r>
              <w:rPr>
                <w:color w:val="231F20"/>
                <w:spacing w:val="-10"/>
                <w:sz w:val="14"/>
              </w:rPr>
              <w:t>+</w:t>
            </w:r>
          </w:p>
          <w:p>
            <w:pPr>
              <w:pStyle w:val="TableParagraph"/>
              <w:spacing w:before="0"/>
              <w:ind w:left="225" w:right="223"/>
              <w:rPr>
                <w:sz w:val="14"/>
              </w:rPr>
            </w:pPr>
            <w:r>
              <w:rPr>
                <w:color w:val="231F20"/>
                <w:w w:val="80"/>
                <w:sz w:val="14"/>
              </w:rPr>
              <w:t>Two</w:t>
            </w:r>
            <w:r>
              <w:rPr>
                <w:color w:val="231F20"/>
                <w:spacing w:val="-2"/>
                <w:w w:val="80"/>
                <w:sz w:val="14"/>
              </w:rPr>
              <w:t> </w:t>
            </w:r>
            <w:r>
              <w:rPr>
                <w:color w:val="231F20"/>
                <w:w w:val="80"/>
                <w:sz w:val="14"/>
              </w:rPr>
              <w:t>countries</w:t>
            </w:r>
            <w:r>
              <w:rPr>
                <w:color w:val="231F20"/>
                <w:spacing w:val="-2"/>
                <w:w w:val="80"/>
                <w:sz w:val="14"/>
              </w:rPr>
              <w:t> </w:t>
            </w:r>
            <w:r>
              <w:rPr>
                <w:color w:val="231F20"/>
                <w:w w:val="80"/>
                <w:sz w:val="14"/>
              </w:rPr>
              <w:t>randomly,</w:t>
            </w:r>
            <w:r>
              <w:rPr>
                <w:color w:val="231F20"/>
                <w:spacing w:val="-2"/>
                <w:w w:val="80"/>
                <w:sz w:val="14"/>
              </w:rPr>
              <w:t> </w:t>
            </w:r>
            <w:r>
              <w:rPr>
                <w:color w:val="231F20"/>
                <w:w w:val="80"/>
                <w:sz w:val="14"/>
              </w:rPr>
              <w:t>one</w:t>
            </w:r>
            <w:r>
              <w:rPr>
                <w:color w:val="231F20"/>
                <w:spacing w:val="40"/>
                <w:sz w:val="14"/>
              </w:rPr>
              <w:t> </w:t>
            </w:r>
            <w:r>
              <w:rPr>
                <w:color w:val="231F20"/>
                <w:w w:val="90"/>
                <w:sz w:val="14"/>
              </w:rPr>
              <w:t>from</w:t>
            </w:r>
            <w:r>
              <w:rPr>
                <w:color w:val="231F20"/>
                <w:spacing w:val="-3"/>
                <w:w w:val="90"/>
                <w:sz w:val="14"/>
              </w:rPr>
              <w:t> </w:t>
            </w:r>
            <w:r>
              <w:rPr>
                <w:color w:val="231F20"/>
                <w:w w:val="90"/>
                <w:sz w:val="14"/>
              </w:rPr>
              <w:t>each</w:t>
            </w:r>
            <w:r>
              <w:rPr>
                <w:color w:val="231F20"/>
                <w:spacing w:val="-3"/>
                <w:w w:val="90"/>
                <w:sz w:val="14"/>
              </w:rPr>
              <w:t> </w:t>
            </w:r>
            <w:r>
              <w:rPr>
                <w:color w:val="231F20"/>
                <w:w w:val="90"/>
                <w:sz w:val="14"/>
              </w:rPr>
              <w:t>country</w:t>
            </w:r>
            <w:r>
              <w:rPr>
                <w:color w:val="231F20"/>
                <w:spacing w:val="-3"/>
                <w:w w:val="90"/>
                <w:sz w:val="14"/>
              </w:rPr>
              <w:t> </w:t>
            </w:r>
            <w:r>
              <w:rPr>
                <w:color w:val="231F20"/>
                <w:w w:val="90"/>
                <w:sz w:val="14"/>
              </w:rPr>
              <w:t>group:</w:t>
            </w:r>
          </w:p>
          <w:p>
            <w:pPr>
              <w:pStyle w:val="TableParagraph"/>
              <w:numPr>
                <w:ilvl w:val="0"/>
                <w:numId w:val="18"/>
              </w:numPr>
              <w:tabs>
                <w:tab w:pos="553" w:val="left" w:leader="none"/>
                <w:tab w:pos="555" w:val="left" w:leader="none"/>
              </w:tabs>
              <w:spacing w:line="240" w:lineRule="auto" w:before="0" w:after="0"/>
              <w:ind w:left="555" w:right="426" w:hanging="240"/>
              <w:jc w:val="both"/>
              <w:rPr>
                <w:sz w:val="14"/>
              </w:rPr>
            </w:pPr>
            <w:r>
              <w:rPr>
                <w:color w:val="231F20"/>
                <w:w w:val="85"/>
                <w:sz w:val="14"/>
              </w:rPr>
              <w:t>Africa, East Asia</w:t>
            </w:r>
            <w:r>
              <w:rPr>
                <w:color w:val="231F20"/>
                <w:spacing w:val="40"/>
                <w:sz w:val="14"/>
              </w:rPr>
              <w:t> </w:t>
            </w:r>
            <w:r>
              <w:rPr>
                <w:color w:val="231F20"/>
                <w:w w:val="85"/>
                <w:sz w:val="14"/>
              </w:rPr>
              <w:t>and</w:t>
            </w:r>
            <w:r>
              <w:rPr>
                <w:color w:val="231F20"/>
                <w:spacing w:val="-4"/>
                <w:w w:val="85"/>
                <w:sz w:val="14"/>
              </w:rPr>
              <w:t> </w:t>
            </w:r>
            <w:r>
              <w:rPr>
                <w:color w:val="231F20"/>
                <w:w w:val="85"/>
                <w:sz w:val="14"/>
              </w:rPr>
              <w:t>Central</w:t>
            </w:r>
            <w:r>
              <w:rPr>
                <w:color w:val="231F20"/>
                <w:spacing w:val="-4"/>
                <w:w w:val="85"/>
                <w:sz w:val="14"/>
              </w:rPr>
              <w:t> </w:t>
            </w:r>
            <w:r>
              <w:rPr>
                <w:color w:val="231F20"/>
                <w:w w:val="85"/>
                <w:sz w:val="14"/>
              </w:rPr>
              <w:t>Asia,</w:t>
            </w:r>
            <w:r>
              <w:rPr>
                <w:color w:val="231F20"/>
                <w:spacing w:val="40"/>
                <w:sz w:val="14"/>
              </w:rPr>
              <w:t> </w:t>
            </w:r>
            <w:r>
              <w:rPr>
                <w:color w:val="231F20"/>
                <w:w w:val="80"/>
                <w:sz w:val="14"/>
              </w:rPr>
              <w:t>and</w:t>
            </w:r>
            <w:r>
              <w:rPr>
                <w:color w:val="231F20"/>
                <w:spacing w:val="-2"/>
                <w:w w:val="80"/>
                <w:sz w:val="14"/>
              </w:rPr>
              <w:t> </w:t>
            </w:r>
            <w:r>
              <w:rPr>
                <w:color w:val="231F20"/>
                <w:w w:val="80"/>
                <w:sz w:val="14"/>
              </w:rPr>
              <w:t>Latin</w:t>
            </w:r>
            <w:r>
              <w:rPr>
                <w:color w:val="231F20"/>
                <w:spacing w:val="-2"/>
                <w:w w:val="80"/>
                <w:sz w:val="14"/>
              </w:rPr>
              <w:t> </w:t>
            </w:r>
            <w:r>
              <w:rPr>
                <w:color w:val="231F20"/>
                <w:w w:val="80"/>
                <w:sz w:val="14"/>
              </w:rPr>
              <w:t>America</w:t>
            </w:r>
          </w:p>
          <w:p>
            <w:pPr>
              <w:pStyle w:val="TableParagraph"/>
              <w:numPr>
                <w:ilvl w:val="0"/>
                <w:numId w:val="18"/>
              </w:numPr>
              <w:tabs>
                <w:tab w:pos="555" w:val="left" w:leader="none"/>
              </w:tabs>
              <w:spacing w:line="237" w:lineRule="auto" w:before="0" w:after="0"/>
              <w:ind w:left="555" w:right="364" w:hanging="240"/>
              <w:jc w:val="both"/>
              <w:rPr>
                <w:sz w:val="14"/>
              </w:rPr>
            </w:pPr>
            <w:r>
              <w:rPr>
                <w:color w:val="231F20"/>
                <w:w w:val="75"/>
                <w:sz w:val="14"/>
              </w:rPr>
              <w:t>Europe less Central</w:t>
            </w:r>
            <w:r>
              <w:rPr>
                <w:color w:val="231F20"/>
                <w:spacing w:val="40"/>
                <w:sz w:val="14"/>
              </w:rPr>
              <w:t> </w:t>
            </w:r>
            <w:r>
              <w:rPr>
                <w:color w:val="231F20"/>
                <w:w w:val="85"/>
                <w:sz w:val="14"/>
              </w:rPr>
              <w:t>Asia and OECD</w:t>
            </w:r>
          </w:p>
        </w:tc>
        <w:tc>
          <w:tcPr>
            <w:tcW w:w="1920" w:type="dxa"/>
            <w:vMerge/>
            <w:tcBorders>
              <w:top w:val="nil"/>
              <w:right w:val="nil"/>
            </w:tcBorders>
          </w:tcPr>
          <w:p>
            <w:pPr>
              <w:rPr>
                <w:sz w:val="2"/>
                <w:szCs w:val="2"/>
              </w:rPr>
            </w:pPr>
          </w:p>
        </w:tc>
      </w:tr>
    </w:tbl>
    <w:p>
      <w:pPr>
        <w:spacing w:after="0"/>
        <w:rPr>
          <w:sz w:val="2"/>
          <w:szCs w:val="2"/>
        </w:rPr>
        <w:sectPr>
          <w:type w:val="continuous"/>
          <w:pgSz w:w="12240" w:h="15840"/>
          <w:pgMar w:header="0" w:footer="548" w:top="1140" w:bottom="280" w:left="0" w:right="540"/>
        </w:sectPr>
      </w:pPr>
    </w:p>
    <w:p>
      <w:pPr>
        <w:pStyle w:val="BodyText"/>
        <w:rPr>
          <w:sz w:val="20"/>
        </w:rPr>
      </w:pPr>
    </w:p>
    <w:p>
      <w:pPr>
        <w:pStyle w:val="BodyText"/>
        <w:rPr>
          <w:sz w:val="20"/>
        </w:rPr>
      </w:pPr>
    </w:p>
    <w:p>
      <w:pPr>
        <w:pStyle w:val="BodyText"/>
        <w:spacing w:before="17"/>
        <w:rPr>
          <w:sz w:val="20"/>
        </w:rPr>
      </w:pPr>
    </w:p>
    <w:p>
      <w:pPr>
        <w:spacing w:after="0"/>
        <w:rPr>
          <w:sz w:val="20"/>
        </w:rPr>
        <w:sectPr>
          <w:headerReference w:type="default" r:id="rId148"/>
          <w:headerReference w:type="even" r:id="rId149"/>
          <w:pgSz w:w="12240" w:h="15840"/>
          <w:pgMar w:header="370" w:footer="0" w:top="560" w:bottom="740" w:left="0" w:right="540"/>
        </w:sectPr>
      </w:pPr>
    </w:p>
    <w:p>
      <w:pPr>
        <w:pStyle w:val="BodyText"/>
        <w:spacing w:line="268" w:lineRule="auto" w:before="117"/>
        <w:ind w:left="1200"/>
        <w:jc w:val="both"/>
      </w:pPr>
      <w:r>
        <w:rPr>
          <w:color w:val="231F20"/>
          <w:spacing w:val="-2"/>
        </w:rPr>
        <w:t>to</w:t>
      </w:r>
      <w:r>
        <w:rPr>
          <w:color w:val="231F20"/>
          <w:spacing w:val="-11"/>
        </w:rPr>
        <w:t> </w:t>
      </w:r>
      <w:r>
        <w:rPr>
          <w:color w:val="231F20"/>
          <w:spacing w:val="-2"/>
        </w:rPr>
        <w:t>November</w:t>
      </w:r>
      <w:r>
        <w:rPr>
          <w:color w:val="231F20"/>
          <w:spacing w:val="-11"/>
        </w:rPr>
        <w:t> </w:t>
      </w:r>
      <w:r>
        <w:rPr>
          <w:color w:val="231F20"/>
          <w:spacing w:val="-2"/>
        </w:rPr>
        <w:t>5,</w:t>
      </w:r>
      <w:r>
        <w:rPr>
          <w:color w:val="231F20"/>
          <w:spacing w:val="-11"/>
        </w:rPr>
        <w:t> </w:t>
      </w:r>
      <w:r>
        <w:rPr>
          <w:color w:val="231F20"/>
          <w:spacing w:val="-2"/>
        </w:rPr>
        <w:t>2022.</w:t>
      </w:r>
      <w:r>
        <w:rPr>
          <w:color w:val="231F20"/>
          <w:spacing w:val="-11"/>
        </w:rPr>
        <w:t> </w:t>
      </w:r>
      <w:r>
        <w:rPr>
          <w:color w:val="231F20"/>
          <w:spacing w:val="-2"/>
        </w:rPr>
        <w:t>The</w:t>
      </w:r>
      <w:r>
        <w:rPr>
          <w:color w:val="231F20"/>
          <w:spacing w:val="-11"/>
        </w:rPr>
        <w:t> </w:t>
      </w:r>
      <w:r>
        <w:rPr>
          <w:color w:val="231F20"/>
          <w:spacing w:val="-2"/>
        </w:rPr>
        <w:t>web</w:t>
      </w:r>
      <w:r>
        <w:rPr>
          <w:color w:val="231F20"/>
          <w:spacing w:val="-11"/>
        </w:rPr>
        <w:t> </w:t>
      </w:r>
      <w:r>
        <w:rPr>
          <w:color w:val="231F20"/>
          <w:spacing w:val="-2"/>
        </w:rPr>
        <w:t>engine</w:t>
      </w:r>
      <w:r>
        <w:rPr>
          <w:color w:val="231F20"/>
          <w:spacing w:val="-11"/>
        </w:rPr>
        <w:t> </w:t>
      </w:r>
      <w:r>
        <w:rPr>
          <w:color w:val="231F20"/>
          <w:spacing w:val="-2"/>
        </w:rPr>
        <w:t>for</w:t>
      </w:r>
      <w:r>
        <w:rPr>
          <w:color w:val="231F20"/>
          <w:spacing w:val="-11"/>
        </w:rPr>
        <w:t> </w:t>
      </w:r>
      <w:r>
        <w:rPr>
          <w:color w:val="231F20"/>
          <w:spacing w:val="-2"/>
        </w:rPr>
        <w:t>the survey</w:t>
      </w:r>
      <w:r>
        <w:rPr>
          <w:color w:val="231F20"/>
          <w:spacing w:val="-12"/>
        </w:rPr>
        <w:t> </w:t>
      </w:r>
      <w:r>
        <w:rPr>
          <w:color w:val="231F20"/>
          <w:spacing w:val="-2"/>
        </w:rPr>
        <w:t>underlying</w:t>
      </w:r>
      <w:r>
        <w:rPr>
          <w:color w:val="231F20"/>
          <w:spacing w:val="-11"/>
        </w:rPr>
        <w:t> </w:t>
      </w:r>
      <w:r>
        <w:rPr>
          <w:color w:val="231F20"/>
          <w:spacing w:val="-2"/>
        </w:rPr>
        <w:t>the</w:t>
      </w:r>
      <w:r>
        <w:rPr>
          <w:color w:val="231F20"/>
          <w:spacing w:val="-11"/>
        </w:rPr>
        <w:t> </w:t>
      </w:r>
      <w:r>
        <w:rPr>
          <w:color w:val="231F20"/>
          <w:spacing w:val="-2"/>
        </w:rPr>
        <w:t>2023</w:t>
      </w:r>
      <w:r>
        <w:rPr>
          <w:color w:val="231F20"/>
          <w:spacing w:val="-11"/>
        </w:rPr>
        <w:t> </w:t>
      </w:r>
      <w:r>
        <w:rPr>
          <w:color w:val="231F20"/>
          <w:spacing w:val="-2"/>
        </w:rPr>
        <w:t>LPI</w:t>
      </w:r>
      <w:r>
        <w:rPr>
          <w:color w:val="231F20"/>
          <w:spacing w:val="-11"/>
        </w:rPr>
        <w:t> </w:t>
      </w:r>
      <w:r>
        <w:rPr>
          <w:color w:val="231F20"/>
          <w:spacing w:val="-2"/>
        </w:rPr>
        <w:t>was</w:t>
      </w:r>
      <w:r>
        <w:rPr>
          <w:color w:val="231F20"/>
          <w:spacing w:val="-11"/>
        </w:rPr>
        <w:t> </w:t>
      </w:r>
      <w:r>
        <w:rPr>
          <w:color w:val="231F20"/>
          <w:spacing w:val="-2"/>
        </w:rPr>
        <w:t>the</w:t>
      </w:r>
      <w:r>
        <w:rPr>
          <w:color w:val="231F20"/>
          <w:spacing w:val="-11"/>
        </w:rPr>
        <w:t> </w:t>
      </w:r>
      <w:r>
        <w:rPr>
          <w:color w:val="231F20"/>
          <w:spacing w:val="-2"/>
        </w:rPr>
        <w:t>same as</w:t>
      </w:r>
      <w:r>
        <w:rPr>
          <w:color w:val="231F20"/>
          <w:spacing w:val="-12"/>
        </w:rPr>
        <w:t> </w:t>
      </w:r>
      <w:r>
        <w:rPr>
          <w:color w:val="231F20"/>
          <w:spacing w:val="-2"/>
        </w:rPr>
        <w:t>the</w:t>
      </w:r>
      <w:r>
        <w:rPr>
          <w:color w:val="231F20"/>
          <w:spacing w:val="-11"/>
        </w:rPr>
        <w:t> </w:t>
      </w:r>
      <w:r>
        <w:rPr>
          <w:color w:val="231F20"/>
          <w:spacing w:val="-2"/>
        </w:rPr>
        <w:t>engine</w:t>
      </w:r>
      <w:r>
        <w:rPr>
          <w:color w:val="231F20"/>
          <w:spacing w:val="-11"/>
        </w:rPr>
        <w:t> </w:t>
      </w:r>
      <w:r>
        <w:rPr>
          <w:color w:val="231F20"/>
          <w:spacing w:val="-2"/>
        </w:rPr>
        <w:t>put</w:t>
      </w:r>
      <w:r>
        <w:rPr>
          <w:color w:val="231F20"/>
          <w:spacing w:val="-11"/>
        </w:rPr>
        <w:t> </w:t>
      </w:r>
      <w:r>
        <w:rPr>
          <w:color w:val="231F20"/>
          <w:spacing w:val="-2"/>
        </w:rPr>
        <w:t>in</w:t>
      </w:r>
      <w:r>
        <w:rPr>
          <w:color w:val="231F20"/>
          <w:spacing w:val="-11"/>
        </w:rPr>
        <w:t> </w:t>
      </w:r>
      <w:r>
        <w:rPr>
          <w:color w:val="231F20"/>
          <w:spacing w:val="-2"/>
        </w:rPr>
        <w:t>place</w:t>
      </w:r>
      <w:r>
        <w:rPr>
          <w:color w:val="231F20"/>
          <w:spacing w:val="-11"/>
        </w:rPr>
        <w:t> </w:t>
      </w:r>
      <w:r>
        <w:rPr>
          <w:color w:val="231F20"/>
          <w:spacing w:val="-2"/>
        </w:rPr>
        <w:t>in</w:t>
      </w:r>
      <w:r>
        <w:rPr>
          <w:color w:val="231F20"/>
          <w:spacing w:val="-11"/>
        </w:rPr>
        <w:t> </w:t>
      </w:r>
      <w:r>
        <w:rPr>
          <w:color w:val="231F20"/>
          <w:spacing w:val="-2"/>
        </w:rPr>
        <w:t>2012</w:t>
      </w:r>
      <w:r>
        <w:rPr>
          <w:color w:val="231F20"/>
          <w:spacing w:val="-11"/>
        </w:rPr>
        <w:t> </w:t>
      </w:r>
      <w:r>
        <w:rPr>
          <w:color w:val="231F20"/>
          <w:spacing w:val="-2"/>
        </w:rPr>
        <w:t>(and</w:t>
      </w:r>
      <w:r>
        <w:rPr>
          <w:color w:val="231F20"/>
          <w:spacing w:val="-12"/>
        </w:rPr>
        <w:t> </w:t>
      </w:r>
      <w:r>
        <w:rPr>
          <w:color w:val="231F20"/>
          <w:spacing w:val="-2"/>
        </w:rPr>
        <w:t>used</w:t>
      </w:r>
      <w:r>
        <w:rPr>
          <w:color w:val="231F20"/>
          <w:spacing w:val="-11"/>
        </w:rPr>
        <w:t> </w:t>
      </w:r>
      <w:r>
        <w:rPr>
          <w:color w:val="231F20"/>
          <w:spacing w:val="-2"/>
        </w:rPr>
        <w:t>in </w:t>
      </w:r>
      <w:r>
        <w:rPr>
          <w:color w:val="231F20"/>
        </w:rPr>
        <w:t>subsequent</w:t>
      </w:r>
      <w:r>
        <w:rPr>
          <w:color w:val="231F20"/>
          <w:spacing w:val="-13"/>
        </w:rPr>
        <w:t> </w:t>
      </w:r>
      <w:r>
        <w:rPr>
          <w:color w:val="231F20"/>
        </w:rPr>
        <w:t>editions).</w:t>
      </w:r>
      <w:r>
        <w:rPr>
          <w:color w:val="231F20"/>
          <w:spacing w:val="-13"/>
        </w:rPr>
        <w:t> </w:t>
      </w:r>
      <w:r>
        <w:rPr>
          <w:color w:val="231F20"/>
        </w:rPr>
        <w:t>It</w:t>
      </w:r>
      <w:r>
        <w:rPr>
          <w:color w:val="231F20"/>
          <w:spacing w:val="-13"/>
        </w:rPr>
        <w:t> </w:t>
      </w:r>
      <w:r>
        <w:rPr>
          <w:color w:val="231F20"/>
        </w:rPr>
        <w:t>incorporates</w:t>
      </w:r>
      <w:r>
        <w:rPr>
          <w:color w:val="231F20"/>
          <w:spacing w:val="-13"/>
        </w:rPr>
        <w:t> </w:t>
      </w:r>
      <w:r>
        <w:rPr>
          <w:color w:val="231F20"/>
        </w:rPr>
        <w:t>the</w:t>
      </w:r>
      <w:r>
        <w:rPr>
          <w:color w:val="231F20"/>
          <w:spacing w:val="-13"/>
        </w:rPr>
        <w:t> </w:t>
      </w:r>
      <w:r>
        <w:rPr>
          <w:color w:val="231F20"/>
        </w:rPr>
        <w:t>uni- </w:t>
      </w:r>
      <w:r>
        <w:rPr>
          <w:color w:val="231F20"/>
          <w:w w:val="90"/>
        </w:rPr>
        <w:t>form sampling randomized approach to gain the </w:t>
      </w:r>
      <w:r>
        <w:rPr>
          <w:color w:val="231F20"/>
          <w:spacing w:val="-6"/>
        </w:rPr>
        <w:t>most</w:t>
      </w:r>
      <w:r>
        <w:rPr>
          <w:color w:val="231F20"/>
          <w:spacing w:val="-8"/>
        </w:rPr>
        <w:t> </w:t>
      </w:r>
      <w:r>
        <w:rPr>
          <w:color w:val="231F20"/>
          <w:spacing w:val="-6"/>
        </w:rPr>
        <w:t>possible</w:t>
      </w:r>
      <w:r>
        <w:rPr>
          <w:color w:val="231F20"/>
          <w:spacing w:val="-7"/>
        </w:rPr>
        <w:t> </w:t>
      </w:r>
      <w:r>
        <w:rPr>
          <w:color w:val="231F20"/>
          <w:spacing w:val="-6"/>
        </w:rPr>
        <w:t>responses</w:t>
      </w:r>
      <w:r>
        <w:rPr>
          <w:color w:val="231F20"/>
          <w:spacing w:val="-7"/>
        </w:rPr>
        <w:t> </w:t>
      </w:r>
      <w:r>
        <w:rPr>
          <w:color w:val="231F20"/>
          <w:spacing w:val="-6"/>
        </w:rPr>
        <w:t>from</w:t>
      </w:r>
      <w:r>
        <w:rPr>
          <w:color w:val="231F20"/>
          <w:spacing w:val="-7"/>
        </w:rPr>
        <w:t> </w:t>
      </w:r>
      <w:r>
        <w:rPr>
          <w:color w:val="231F20"/>
          <w:spacing w:val="-6"/>
        </w:rPr>
        <w:t>underrepresented </w:t>
      </w:r>
      <w:r>
        <w:rPr>
          <w:color w:val="231F20"/>
          <w:spacing w:val="-4"/>
        </w:rPr>
        <w:t>countries.</w:t>
      </w:r>
      <w:r>
        <w:rPr>
          <w:color w:val="231F20"/>
          <w:spacing w:val="-7"/>
        </w:rPr>
        <w:t> </w:t>
      </w:r>
      <w:r>
        <w:rPr>
          <w:color w:val="231F20"/>
          <w:spacing w:val="-4"/>
        </w:rPr>
        <w:t>Because</w:t>
      </w:r>
      <w:r>
        <w:rPr>
          <w:color w:val="231F20"/>
          <w:spacing w:val="-7"/>
        </w:rPr>
        <w:t> </w:t>
      </w:r>
      <w:r>
        <w:rPr>
          <w:color w:val="231F20"/>
          <w:spacing w:val="-4"/>
        </w:rPr>
        <w:t>the</w:t>
      </w:r>
      <w:r>
        <w:rPr>
          <w:color w:val="231F20"/>
          <w:spacing w:val="-7"/>
        </w:rPr>
        <w:t> </w:t>
      </w:r>
      <w:r>
        <w:rPr>
          <w:color w:val="231F20"/>
          <w:spacing w:val="-4"/>
        </w:rPr>
        <w:t>survey</w:t>
      </w:r>
      <w:r>
        <w:rPr>
          <w:color w:val="231F20"/>
          <w:spacing w:val="-7"/>
        </w:rPr>
        <w:t> </w:t>
      </w:r>
      <w:r>
        <w:rPr>
          <w:color w:val="231F20"/>
          <w:spacing w:val="-4"/>
        </w:rPr>
        <w:t>engine</w:t>
      </w:r>
      <w:r>
        <w:rPr>
          <w:color w:val="231F20"/>
          <w:spacing w:val="-7"/>
        </w:rPr>
        <w:t> </w:t>
      </w:r>
      <w:r>
        <w:rPr>
          <w:color w:val="231F20"/>
          <w:spacing w:val="-4"/>
        </w:rPr>
        <w:t>relies</w:t>
      </w:r>
      <w:r>
        <w:rPr>
          <w:color w:val="231F20"/>
          <w:spacing w:val="-7"/>
        </w:rPr>
        <w:t> </w:t>
      </w:r>
      <w:r>
        <w:rPr>
          <w:color w:val="231F20"/>
          <w:spacing w:val="-4"/>
        </w:rPr>
        <w:t>on </w:t>
      </w:r>
      <w:r>
        <w:rPr>
          <w:color w:val="231F20"/>
        </w:rPr>
        <w:t>a</w:t>
      </w:r>
      <w:r>
        <w:rPr>
          <w:color w:val="231F20"/>
          <w:spacing w:val="-13"/>
        </w:rPr>
        <w:t> </w:t>
      </w:r>
      <w:r>
        <w:rPr>
          <w:color w:val="231F20"/>
        </w:rPr>
        <w:t>specialized</w:t>
      </w:r>
      <w:r>
        <w:rPr>
          <w:color w:val="231F20"/>
          <w:spacing w:val="-13"/>
        </w:rPr>
        <w:t> </w:t>
      </w:r>
      <w:r>
        <w:rPr>
          <w:color w:val="231F20"/>
        </w:rPr>
        <w:t>country</w:t>
      </w:r>
      <w:r>
        <w:rPr>
          <w:color w:val="231F20"/>
          <w:spacing w:val="-13"/>
        </w:rPr>
        <w:t> </w:t>
      </w:r>
      <w:r>
        <w:rPr>
          <w:color w:val="231F20"/>
        </w:rPr>
        <w:t>selection</w:t>
      </w:r>
      <w:r>
        <w:rPr>
          <w:color w:val="231F20"/>
          <w:spacing w:val="-13"/>
        </w:rPr>
        <w:t> </w:t>
      </w:r>
      <w:r>
        <w:rPr>
          <w:color w:val="231F20"/>
        </w:rPr>
        <w:t>methodology </w:t>
      </w:r>
      <w:r>
        <w:rPr>
          <w:color w:val="231F20"/>
          <w:spacing w:val="-6"/>
        </w:rPr>
        <w:t>for</w:t>
      </w:r>
      <w:r>
        <w:rPr>
          <w:color w:val="231F20"/>
          <w:spacing w:val="-8"/>
        </w:rPr>
        <w:t> </w:t>
      </w:r>
      <w:r>
        <w:rPr>
          <w:color w:val="231F20"/>
          <w:spacing w:val="-6"/>
        </w:rPr>
        <w:t>survey</w:t>
      </w:r>
      <w:r>
        <w:rPr>
          <w:color w:val="231F20"/>
          <w:spacing w:val="-7"/>
        </w:rPr>
        <w:t> </w:t>
      </w:r>
      <w:r>
        <w:rPr>
          <w:color w:val="231F20"/>
          <w:spacing w:val="-6"/>
        </w:rPr>
        <w:t>respondents</w:t>
      </w:r>
      <w:r>
        <w:rPr>
          <w:color w:val="231F20"/>
          <w:spacing w:val="-7"/>
        </w:rPr>
        <w:t> </w:t>
      </w:r>
      <w:r>
        <w:rPr>
          <w:color w:val="231F20"/>
          <w:spacing w:val="-6"/>
        </w:rPr>
        <w:t>based</w:t>
      </w:r>
      <w:r>
        <w:rPr>
          <w:color w:val="231F20"/>
          <w:spacing w:val="-7"/>
        </w:rPr>
        <w:t> </w:t>
      </w:r>
      <w:r>
        <w:rPr>
          <w:color w:val="231F20"/>
          <w:spacing w:val="-6"/>
        </w:rPr>
        <w:t>on</w:t>
      </w:r>
      <w:r>
        <w:rPr>
          <w:color w:val="231F20"/>
          <w:spacing w:val="-7"/>
        </w:rPr>
        <w:t> </w:t>
      </w:r>
      <w:r>
        <w:rPr>
          <w:color w:val="231F20"/>
          <w:spacing w:val="-6"/>
        </w:rPr>
        <w:t>high</w:t>
      </w:r>
      <w:r>
        <w:rPr>
          <w:color w:val="231F20"/>
          <w:spacing w:val="-7"/>
        </w:rPr>
        <w:t> </w:t>
      </w:r>
      <w:r>
        <w:rPr>
          <w:color w:val="231F20"/>
          <w:spacing w:val="-6"/>
        </w:rPr>
        <w:t>trade</w:t>
      </w:r>
      <w:r>
        <w:rPr>
          <w:color w:val="231F20"/>
          <w:spacing w:val="-7"/>
        </w:rPr>
        <w:t> </w:t>
      </w:r>
      <w:r>
        <w:rPr>
          <w:color w:val="231F20"/>
          <w:spacing w:val="-6"/>
        </w:rPr>
        <w:t>vol- </w:t>
      </w:r>
      <w:r>
        <w:rPr>
          <w:color w:val="231F20"/>
          <w:spacing w:val="-4"/>
        </w:rPr>
        <w:t>ume between countries, the uniform sampling </w:t>
      </w:r>
      <w:r>
        <w:rPr>
          <w:color w:val="231F20"/>
          <w:spacing w:val="-2"/>
        </w:rPr>
        <w:t>randomized</w:t>
      </w:r>
      <w:r>
        <w:rPr>
          <w:color w:val="231F20"/>
          <w:spacing w:val="-12"/>
        </w:rPr>
        <w:t> </w:t>
      </w:r>
      <w:r>
        <w:rPr>
          <w:color w:val="231F20"/>
          <w:spacing w:val="-2"/>
        </w:rPr>
        <w:t>approach</w:t>
      </w:r>
      <w:r>
        <w:rPr>
          <w:color w:val="231F20"/>
          <w:spacing w:val="-11"/>
        </w:rPr>
        <w:t> </w:t>
      </w:r>
      <w:r>
        <w:rPr>
          <w:color w:val="231F20"/>
          <w:spacing w:val="-2"/>
        </w:rPr>
        <w:t>can</w:t>
      </w:r>
      <w:r>
        <w:rPr>
          <w:color w:val="231F20"/>
          <w:spacing w:val="-11"/>
        </w:rPr>
        <w:t> </w:t>
      </w:r>
      <w:r>
        <w:rPr>
          <w:color w:val="231F20"/>
          <w:spacing w:val="-2"/>
        </w:rPr>
        <w:t>help</w:t>
      </w:r>
      <w:r>
        <w:rPr>
          <w:color w:val="231F20"/>
          <w:spacing w:val="-11"/>
        </w:rPr>
        <w:t> </w:t>
      </w:r>
      <w:r>
        <w:rPr>
          <w:color w:val="231F20"/>
          <w:spacing w:val="-2"/>
        </w:rPr>
        <w:t>countries</w:t>
      </w:r>
      <w:r>
        <w:rPr>
          <w:color w:val="231F20"/>
          <w:spacing w:val="-11"/>
        </w:rPr>
        <w:t> </w:t>
      </w:r>
      <w:r>
        <w:rPr>
          <w:color w:val="231F20"/>
          <w:spacing w:val="-2"/>
        </w:rPr>
        <w:t>with </w:t>
      </w:r>
      <w:r>
        <w:rPr>
          <w:color w:val="231F20"/>
          <w:spacing w:val="-8"/>
        </w:rPr>
        <w:t>lower trade</w:t>
      </w:r>
      <w:r>
        <w:rPr>
          <w:color w:val="231F20"/>
          <w:spacing w:val="-5"/>
        </w:rPr>
        <w:t> </w:t>
      </w:r>
      <w:r>
        <w:rPr>
          <w:color w:val="231F20"/>
          <w:spacing w:val="-8"/>
        </w:rPr>
        <w:t>volumes</w:t>
      </w:r>
      <w:r>
        <w:rPr>
          <w:color w:val="231F20"/>
          <w:spacing w:val="-5"/>
        </w:rPr>
        <w:t> </w:t>
      </w:r>
      <w:r>
        <w:rPr>
          <w:color w:val="231F20"/>
          <w:spacing w:val="-8"/>
        </w:rPr>
        <w:t>rise</w:t>
      </w:r>
      <w:r>
        <w:rPr>
          <w:color w:val="231F20"/>
          <w:spacing w:val="-5"/>
        </w:rPr>
        <w:t> </w:t>
      </w:r>
      <w:r>
        <w:rPr>
          <w:color w:val="231F20"/>
          <w:spacing w:val="-8"/>
        </w:rPr>
        <w:t>to</w:t>
      </w:r>
      <w:r>
        <w:rPr>
          <w:color w:val="231F20"/>
          <w:spacing w:val="-5"/>
        </w:rPr>
        <w:t> </w:t>
      </w:r>
      <w:r>
        <w:rPr>
          <w:color w:val="231F20"/>
          <w:spacing w:val="-8"/>
        </w:rPr>
        <w:t>the</w:t>
      </w:r>
      <w:r>
        <w:rPr>
          <w:color w:val="231F20"/>
          <w:spacing w:val="-5"/>
        </w:rPr>
        <w:t> </w:t>
      </w:r>
      <w:r>
        <w:rPr>
          <w:color w:val="231F20"/>
          <w:spacing w:val="-8"/>
        </w:rPr>
        <w:t>top</w:t>
      </w:r>
      <w:r>
        <w:rPr>
          <w:color w:val="231F20"/>
          <w:spacing w:val="-5"/>
        </w:rPr>
        <w:t> </w:t>
      </w:r>
      <w:r>
        <w:rPr>
          <w:color w:val="231F20"/>
          <w:spacing w:val="-8"/>
        </w:rPr>
        <w:t>during</w:t>
      </w:r>
      <w:r>
        <w:rPr>
          <w:color w:val="231F20"/>
          <w:spacing w:val="-5"/>
        </w:rPr>
        <w:t> </w:t>
      </w:r>
      <w:r>
        <w:rPr>
          <w:color w:val="231F20"/>
          <w:spacing w:val="-8"/>
        </w:rPr>
        <w:t>coun- </w:t>
      </w:r>
      <w:r>
        <w:rPr>
          <w:color w:val="231F20"/>
        </w:rPr>
        <w:t>try</w:t>
      </w:r>
      <w:r>
        <w:rPr>
          <w:color w:val="231F20"/>
          <w:spacing w:val="-15"/>
        </w:rPr>
        <w:t> </w:t>
      </w:r>
      <w:r>
        <w:rPr>
          <w:color w:val="231F20"/>
        </w:rPr>
        <w:t>selection.</w:t>
      </w:r>
    </w:p>
    <w:p>
      <w:pPr>
        <w:pStyle w:val="BodyText"/>
        <w:spacing w:line="268" w:lineRule="auto"/>
        <w:ind w:left="1200" w:firstLine="300"/>
        <w:jc w:val="both"/>
      </w:pPr>
      <w:r>
        <w:rPr>
          <w:color w:val="231F20"/>
          <w:w w:val="90"/>
        </w:rPr>
        <w:t>The</w:t>
      </w:r>
      <w:r>
        <w:rPr>
          <w:color w:val="231F20"/>
          <w:spacing w:val="-3"/>
          <w:w w:val="90"/>
        </w:rPr>
        <w:t> </w:t>
      </w:r>
      <w:r>
        <w:rPr>
          <w:color w:val="231F20"/>
          <w:w w:val="90"/>
        </w:rPr>
        <w:t>survey</w:t>
      </w:r>
      <w:r>
        <w:rPr>
          <w:color w:val="231F20"/>
          <w:spacing w:val="-3"/>
          <w:w w:val="90"/>
        </w:rPr>
        <w:t> </w:t>
      </w:r>
      <w:r>
        <w:rPr>
          <w:color w:val="231F20"/>
          <w:w w:val="90"/>
        </w:rPr>
        <w:t>engine</w:t>
      </w:r>
      <w:r>
        <w:rPr>
          <w:color w:val="231F20"/>
          <w:spacing w:val="-3"/>
          <w:w w:val="90"/>
        </w:rPr>
        <w:t> </w:t>
      </w:r>
      <w:r>
        <w:rPr>
          <w:color w:val="231F20"/>
          <w:w w:val="90"/>
        </w:rPr>
        <w:t>builds</w:t>
      </w:r>
      <w:r>
        <w:rPr>
          <w:color w:val="231F20"/>
          <w:spacing w:val="-3"/>
          <w:w w:val="90"/>
        </w:rPr>
        <w:t> </w:t>
      </w:r>
      <w:r>
        <w:rPr>
          <w:color w:val="231F20"/>
          <w:w w:val="90"/>
        </w:rPr>
        <w:t>a</w:t>
      </w:r>
      <w:r>
        <w:rPr>
          <w:color w:val="231F20"/>
          <w:spacing w:val="-3"/>
          <w:w w:val="90"/>
        </w:rPr>
        <w:t> </w:t>
      </w:r>
      <w:r>
        <w:rPr>
          <w:color w:val="231F20"/>
          <w:w w:val="90"/>
        </w:rPr>
        <w:t>set</w:t>
      </w:r>
      <w:r>
        <w:rPr>
          <w:color w:val="231F20"/>
          <w:spacing w:val="-3"/>
          <w:w w:val="90"/>
        </w:rPr>
        <w:t> </w:t>
      </w:r>
      <w:r>
        <w:rPr>
          <w:color w:val="231F20"/>
          <w:w w:val="90"/>
        </w:rPr>
        <w:t>of</w:t>
      </w:r>
      <w:r>
        <w:rPr>
          <w:color w:val="231F20"/>
          <w:spacing w:val="-3"/>
          <w:w w:val="90"/>
        </w:rPr>
        <w:t> </w:t>
      </w:r>
      <w:r>
        <w:rPr>
          <w:color w:val="231F20"/>
          <w:w w:val="90"/>
        </w:rPr>
        <w:t>eight</w:t>
      </w:r>
      <w:r>
        <w:rPr>
          <w:color w:val="231F20"/>
          <w:spacing w:val="-3"/>
          <w:w w:val="90"/>
        </w:rPr>
        <w:t> </w:t>
      </w:r>
      <w:r>
        <w:rPr>
          <w:color w:val="231F20"/>
          <w:w w:val="90"/>
        </w:rPr>
        <w:t>coun- tries for the survey respondents (see table A5.1). </w:t>
      </w:r>
      <w:r>
        <w:rPr>
          <w:color w:val="231F20"/>
          <w:spacing w:val="-2"/>
        </w:rPr>
        <w:t>After</w:t>
      </w:r>
      <w:r>
        <w:rPr>
          <w:color w:val="231F20"/>
          <w:spacing w:val="-9"/>
        </w:rPr>
        <w:t> </w:t>
      </w:r>
      <w:r>
        <w:rPr>
          <w:color w:val="231F20"/>
          <w:spacing w:val="-2"/>
        </w:rPr>
        <w:t>200</w:t>
      </w:r>
      <w:r>
        <w:rPr>
          <w:color w:val="231F20"/>
          <w:spacing w:val="-9"/>
        </w:rPr>
        <w:t> </w:t>
      </w:r>
      <w:r>
        <w:rPr>
          <w:color w:val="231F20"/>
          <w:spacing w:val="-2"/>
        </w:rPr>
        <w:t>surveys,</w:t>
      </w:r>
      <w:r>
        <w:rPr>
          <w:color w:val="231F20"/>
          <w:spacing w:val="-9"/>
        </w:rPr>
        <w:t> </w:t>
      </w:r>
      <w:r>
        <w:rPr>
          <w:color w:val="231F20"/>
          <w:spacing w:val="-2"/>
        </w:rPr>
        <w:t>the</w:t>
      </w:r>
      <w:r>
        <w:rPr>
          <w:color w:val="231F20"/>
          <w:spacing w:val="-9"/>
        </w:rPr>
        <w:t> </w:t>
      </w:r>
      <w:r>
        <w:rPr>
          <w:color w:val="231F20"/>
          <w:spacing w:val="-2"/>
        </w:rPr>
        <w:t>uniform</w:t>
      </w:r>
      <w:r>
        <w:rPr>
          <w:color w:val="231F20"/>
          <w:spacing w:val="-9"/>
        </w:rPr>
        <w:t> </w:t>
      </w:r>
      <w:r>
        <w:rPr>
          <w:color w:val="231F20"/>
          <w:spacing w:val="-2"/>
        </w:rPr>
        <w:t>sampling</w:t>
      </w:r>
      <w:r>
        <w:rPr>
          <w:color w:val="231F20"/>
          <w:spacing w:val="-9"/>
        </w:rPr>
        <w:t> </w:t>
      </w:r>
      <w:r>
        <w:rPr>
          <w:color w:val="231F20"/>
          <w:spacing w:val="-2"/>
        </w:rPr>
        <w:t>ran- </w:t>
      </w:r>
      <w:r>
        <w:rPr>
          <w:color w:val="231F20"/>
        </w:rPr>
        <w:t>domized</w:t>
      </w:r>
      <w:r>
        <w:rPr>
          <w:color w:val="231F20"/>
          <w:spacing w:val="-3"/>
        </w:rPr>
        <w:t> </w:t>
      </w:r>
      <w:r>
        <w:rPr>
          <w:color w:val="231F20"/>
        </w:rPr>
        <w:t>approach</w:t>
      </w:r>
      <w:r>
        <w:rPr>
          <w:color w:val="231F20"/>
          <w:spacing w:val="-3"/>
        </w:rPr>
        <w:t> </w:t>
      </w:r>
      <w:r>
        <w:rPr>
          <w:color w:val="231F20"/>
        </w:rPr>
        <w:t>is</w:t>
      </w:r>
      <w:r>
        <w:rPr>
          <w:color w:val="231F20"/>
          <w:spacing w:val="-3"/>
        </w:rPr>
        <w:t> </w:t>
      </w:r>
      <w:r>
        <w:rPr>
          <w:color w:val="231F20"/>
        </w:rPr>
        <w:t>introduced</w:t>
      </w:r>
      <w:r>
        <w:rPr>
          <w:color w:val="231F20"/>
          <w:spacing w:val="-3"/>
        </w:rPr>
        <w:t> </w:t>
      </w:r>
      <w:r>
        <w:rPr>
          <w:color w:val="231F20"/>
        </w:rPr>
        <w:t>into</w:t>
      </w:r>
      <w:r>
        <w:rPr>
          <w:color w:val="231F20"/>
          <w:spacing w:val="-3"/>
        </w:rPr>
        <w:t> </w:t>
      </w:r>
      <w:r>
        <w:rPr>
          <w:color w:val="231F20"/>
        </w:rPr>
        <w:t>the</w:t>
      </w:r>
      <w:r>
        <w:rPr>
          <w:color w:val="231F20"/>
          <w:spacing w:val="-3"/>
        </w:rPr>
        <w:t> </w:t>
      </w:r>
      <w:r>
        <w:rPr>
          <w:color w:val="231F20"/>
        </w:rPr>
        <w:t>en- </w:t>
      </w:r>
      <w:r>
        <w:rPr>
          <w:color w:val="231F20"/>
          <w:spacing w:val="-2"/>
        </w:rPr>
        <w:t>gine’s</w:t>
      </w:r>
      <w:r>
        <w:rPr>
          <w:color w:val="231F20"/>
          <w:spacing w:val="-10"/>
        </w:rPr>
        <w:t> </w:t>
      </w:r>
      <w:r>
        <w:rPr>
          <w:color w:val="231F20"/>
          <w:spacing w:val="-2"/>
        </w:rPr>
        <w:t>process</w:t>
      </w:r>
      <w:r>
        <w:rPr>
          <w:color w:val="231F20"/>
          <w:spacing w:val="-10"/>
        </w:rPr>
        <w:t> </w:t>
      </w:r>
      <w:r>
        <w:rPr>
          <w:color w:val="231F20"/>
          <w:spacing w:val="-2"/>
        </w:rPr>
        <w:t>for</w:t>
      </w:r>
      <w:r>
        <w:rPr>
          <w:color w:val="231F20"/>
          <w:spacing w:val="-10"/>
        </w:rPr>
        <w:t> </w:t>
      </w:r>
      <w:r>
        <w:rPr>
          <w:color w:val="231F20"/>
          <w:spacing w:val="-2"/>
        </w:rPr>
        <w:t>country</w:t>
      </w:r>
      <w:r>
        <w:rPr>
          <w:color w:val="231F20"/>
          <w:spacing w:val="-10"/>
        </w:rPr>
        <w:t> </w:t>
      </w:r>
      <w:r>
        <w:rPr>
          <w:color w:val="231F20"/>
          <w:spacing w:val="-2"/>
        </w:rPr>
        <w:t>selection.</w:t>
      </w:r>
      <w:r>
        <w:rPr>
          <w:color w:val="231F20"/>
          <w:spacing w:val="-10"/>
        </w:rPr>
        <w:t> </w:t>
      </w:r>
      <w:r>
        <w:rPr>
          <w:color w:val="231F20"/>
          <w:spacing w:val="-2"/>
        </w:rPr>
        <w:t>For</w:t>
      </w:r>
      <w:r>
        <w:rPr>
          <w:color w:val="231F20"/>
          <w:spacing w:val="-10"/>
        </w:rPr>
        <w:t> </w:t>
      </w:r>
      <w:r>
        <w:rPr>
          <w:color w:val="231F20"/>
          <w:spacing w:val="-2"/>
        </w:rPr>
        <w:t>each </w:t>
      </w:r>
      <w:r>
        <w:rPr>
          <w:color w:val="231F20"/>
          <w:spacing w:val="-4"/>
        </w:rPr>
        <w:t>new</w:t>
      </w:r>
      <w:r>
        <w:rPr>
          <w:color w:val="231F20"/>
          <w:spacing w:val="-10"/>
        </w:rPr>
        <w:t> </w:t>
      </w:r>
      <w:r>
        <w:rPr>
          <w:color w:val="231F20"/>
          <w:spacing w:val="-4"/>
        </w:rPr>
        <w:t>survey</w:t>
      </w:r>
      <w:r>
        <w:rPr>
          <w:color w:val="231F20"/>
          <w:spacing w:val="-9"/>
        </w:rPr>
        <w:t> </w:t>
      </w:r>
      <w:r>
        <w:rPr>
          <w:color w:val="231F20"/>
          <w:spacing w:val="-4"/>
        </w:rPr>
        <w:t>respondent,</w:t>
      </w:r>
      <w:r>
        <w:rPr>
          <w:color w:val="231F20"/>
          <w:spacing w:val="-9"/>
        </w:rPr>
        <w:t> </w:t>
      </w:r>
      <w:r>
        <w:rPr>
          <w:color w:val="231F20"/>
          <w:spacing w:val="-4"/>
        </w:rPr>
        <w:t>the</w:t>
      </w:r>
      <w:r>
        <w:rPr>
          <w:color w:val="231F20"/>
          <w:spacing w:val="-9"/>
        </w:rPr>
        <w:t> </w:t>
      </w:r>
      <w:r>
        <w:rPr>
          <w:color w:val="231F20"/>
          <w:spacing w:val="-4"/>
        </w:rPr>
        <w:t>approach</w:t>
      </w:r>
      <w:r>
        <w:rPr>
          <w:color w:val="231F20"/>
          <w:spacing w:val="-9"/>
        </w:rPr>
        <w:t> </w:t>
      </w:r>
      <w:r>
        <w:rPr>
          <w:color w:val="231F20"/>
          <w:spacing w:val="-4"/>
        </w:rPr>
        <w:t>solicits</w:t>
      </w:r>
      <w:r>
        <w:rPr>
          <w:color w:val="231F20"/>
          <w:spacing w:val="-9"/>
        </w:rPr>
        <w:t> </w:t>
      </w:r>
      <w:r>
        <w:rPr>
          <w:color w:val="231F20"/>
          <w:spacing w:val="-4"/>
        </w:rPr>
        <w:t>a response</w:t>
      </w:r>
      <w:r>
        <w:rPr>
          <w:color w:val="231F20"/>
          <w:spacing w:val="-9"/>
        </w:rPr>
        <w:t> </w:t>
      </w:r>
      <w:r>
        <w:rPr>
          <w:color w:val="231F20"/>
          <w:spacing w:val="-4"/>
        </w:rPr>
        <w:t>from</w:t>
      </w:r>
      <w:r>
        <w:rPr>
          <w:color w:val="231F20"/>
          <w:spacing w:val="-9"/>
        </w:rPr>
        <w:t> </w:t>
      </w:r>
      <w:r>
        <w:rPr>
          <w:color w:val="231F20"/>
          <w:spacing w:val="-4"/>
        </w:rPr>
        <w:t>a</w:t>
      </w:r>
      <w:r>
        <w:rPr>
          <w:color w:val="231F20"/>
          <w:spacing w:val="-9"/>
        </w:rPr>
        <w:t> </w:t>
      </w:r>
      <w:r>
        <w:rPr>
          <w:color w:val="231F20"/>
          <w:spacing w:val="-4"/>
        </w:rPr>
        <w:t>country</w:t>
      </w:r>
      <w:r>
        <w:rPr>
          <w:color w:val="231F20"/>
          <w:spacing w:val="-9"/>
        </w:rPr>
        <w:t> </w:t>
      </w:r>
      <w:r>
        <w:rPr>
          <w:color w:val="231F20"/>
          <w:spacing w:val="-4"/>
        </w:rPr>
        <w:t>chosen</w:t>
      </w:r>
      <w:r>
        <w:rPr>
          <w:color w:val="231F20"/>
          <w:spacing w:val="-9"/>
        </w:rPr>
        <w:t> </w:t>
      </w:r>
      <w:r>
        <w:rPr>
          <w:color w:val="231F20"/>
          <w:spacing w:val="-4"/>
        </w:rPr>
        <w:t>at</w:t>
      </w:r>
      <w:r>
        <w:rPr>
          <w:color w:val="231F20"/>
          <w:spacing w:val="-9"/>
        </w:rPr>
        <w:t> </w:t>
      </w:r>
      <w:r>
        <w:rPr>
          <w:color w:val="231F20"/>
          <w:spacing w:val="-4"/>
        </w:rPr>
        <w:t>random</w:t>
      </w:r>
      <w:r>
        <w:rPr>
          <w:color w:val="231F20"/>
          <w:spacing w:val="-9"/>
        </w:rPr>
        <w:t> </w:t>
      </w:r>
      <w:r>
        <w:rPr>
          <w:color w:val="231F20"/>
          <w:spacing w:val="-4"/>
        </w:rPr>
        <w:t>but </w:t>
      </w:r>
      <w:r>
        <w:rPr>
          <w:color w:val="231F20"/>
        </w:rPr>
        <w:t>with nonuniform probability—with weights </w:t>
      </w:r>
      <w:r>
        <w:rPr>
          <w:color w:val="231F20"/>
          <w:spacing w:val="-4"/>
        </w:rPr>
        <w:t>chosen</w:t>
      </w:r>
      <w:r>
        <w:rPr>
          <w:color w:val="231F20"/>
          <w:spacing w:val="-10"/>
        </w:rPr>
        <w:t> </w:t>
      </w:r>
      <w:r>
        <w:rPr>
          <w:color w:val="231F20"/>
          <w:spacing w:val="-4"/>
        </w:rPr>
        <w:t>to</w:t>
      </w:r>
      <w:r>
        <w:rPr>
          <w:color w:val="231F20"/>
          <w:spacing w:val="-9"/>
        </w:rPr>
        <w:t> </w:t>
      </w:r>
      <w:r>
        <w:rPr>
          <w:color w:val="231F20"/>
          <w:spacing w:val="-4"/>
        </w:rPr>
        <w:t>evolve</w:t>
      </w:r>
      <w:r>
        <w:rPr>
          <w:color w:val="231F20"/>
          <w:spacing w:val="-9"/>
        </w:rPr>
        <w:t> </w:t>
      </w:r>
      <w:r>
        <w:rPr>
          <w:color w:val="231F20"/>
          <w:spacing w:val="-4"/>
        </w:rPr>
        <w:t>the</w:t>
      </w:r>
      <w:r>
        <w:rPr>
          <w:color w:val="231F20"/>
          <w:spacing w:val="-9"/>
        </w:rPr>
        <w:t> </w:t>
      </w:r>
      <w:r>
        <w:rPr>
          <w:color w:val="231F20"/>
          <w:spacing w:val="-4"/>
        </w:rPr>
        <w:t>sampling</w:t>
      </w:r>
      <w:r>
        <w:rPr>
          <w:color w:val="231F20"/>
          <w:spacing w:val="-9"/>
        </w:rPr>
        <w:t> </w:t>
      </w:r>
      <w:r>
        <w:rPr>
          <w:color w:val="231F20"/>
          <w:spacing w:val="-4"/>
        </w:rPr>
        <w:t>toward</w:t>
      </w:r>
      <w:r>
        <w:rPr>
          <w:color w:val="231F20"/>
          <w:spacing w:val="-9"/>
        </w:rPr>
        <w:t> </w:t>
      </w:r>
      <w:r>
        <w:rPr>
          <w:color w:val="231F20"/>
          <w:spacing w:val="-4"/>
        </w:rPr>
        <w:t>uniform </w:t>
      </w:r>
      <w:r>
        <w:rPr>
          <w:color w:val="231F20"/>
          <w:spacing w:val="-2"/>
        </w:rPr>
        <w:t>probability.</w:t>
      </w:r>
      <w:r>
        <w:rPr>
          <w:color w:val="231F20"/>
          <w:spacing w:val="-12"/>
        </w:rPr>
        <w:t> </w:t>
      </w:r>
      <w:r>
        <w:rPr>
          <w:color w:val="231F20"/>
          <w:spacing w:val="-2"/>
        </w:rPr>
        <w:t>Specifically,</w:t>
      </w:r>
      <w:r>
        <w:rPr>
          <w:color w:val="231F20"/>
          <w:spacing w:val="-11"/>
        </w:rPr>
        <w:t> </w:t>
      </w:r>
      <w:r>
        <w:rPr>
          <w:color w:val="231F20"/>
          <w:spacing w:val="-2"/>
        </w:rPr>
        <w:t>a</w:t>
      </w:r>
      <w:r>
        <w:rPr>
          <w:color w:val="231F20"/>
          <w:spacing w:val="-11"/>
        </w:rPr>
        <w:t> </w:t>
      </w:r>
      <w:r>
        <w:rPr>
          <w:color w:val="231F20"/>
          <w:spacing w:val="-2"/>
        </w:rPr>
        <w:t>country</w:t>
      </w:r>
      <w:r>
        <w:rPr>
          <w:color w:val="231F20"/>
          <w:spacing w:val="-11"/>
        </w:rPr>
        <w:t> </w:t>
      </w:r>
      <w:r>
        <w:rPr>
          <w:i/>
          <w:color w:val="231F20"/>
          <w:spacing w:val="-2"/>
        </w:rPr>
        <w:t>i</w:t>
      </w:r>
      <w:r>
        <w:rPr>
          <w:i/>
          <w:color w:val="231F20"/>
          <w:spacing w:val="-11"/>
        </w:rPr>
        <w:t> </w:t>
      </w:r>
      <w:r>
        <w:rPr>
          <w:color w:val="231F20"/>
          <w:spacing w:val="-2"/>
        </w:rPr>
        <w:t>is</w:t>
      </w:r>
      <w:r>
        <w:rPr>
          <w:color w:val="231F20"/>
          <w:spacing w:val="-11"/>
        </w:rPr>
        <w:t> </w:t>
      </w:r>
      <w:r>
        <w:rPr>
          <w:color w:val="231F20"/>
          <w:spacing w:val="-2"/>
        </w:rPr>
        <w:t>chosen </w:t>
      </w:r>
      <w:r>
        <w:rPr>
          <w:color w:val="231F20"/>
        </w:rPr>
        <w:t>with</w:t>
      </w:r>
      <w:r>
        <w:rPr>
          <w:color w:val="231F20"/>
          <w:spacing w:val="-14"/>
        </w:rPr>
        <w:t> </w:t>
      </w:r>
      <w:r>
        <w:rPr>
          <w:color w:val="231F20"/>
        </w:rPr>
        <w:t>a</w:t>
      </w:r>
      <w:r>
        <w:rPr>
          <w:color w:val="231F20"/>
          <w:spacing w:val="-13"/>
        </w:rPr>
        <w:t> </w:t>
      </w:r>
      <w:r>
        <w:rPr>
          <w:color w:val="231F20"/>
        </w:rPr>
        <w:t>probability</w:t>
      </w:r>
      <w:r>
        <w:rPr>
          <w:color w:val="231F20"/>
          <w:spacing w:val="-13"/>
        </w:rPr>
        <w:t> </w:t>
      </w:r>
      <w:r>
        <w:rPr>
          <w:color w:val="231F20"/>
        </w:rPr>
        <w:t>(</w:t>
      </w:r>
      <w:r>
        <w:rPr>
          <w:i/>
          <w:color w:val="231F20"/>
        </w:rPr>
        <w:t>N</w:t>
      </w:r>
      <w:r>
        <w:rPr>
          <w:color w:val="231F20"/>
        </w:rPr>
        <w:t>–</w:t>
      </w:r>
      <w:r>
        <w:rPr>
          <w:i/>
          <w:color w:val="231F20"/>
        </w:rPr>
        <w:t>n</w:t>
      </w:r>
      <w:r>
        <w:rPr>
          <w:i/>
          <w:color w:val="231F20"/>
          <w:position w:val="-6"/>
          <w:sz w:val="14"/>
        </w:rPr>
        <w:t>i</w:t>
      </w:r>
      <w:r>
        <w:rPr>
          <w:color w:val="231F20"/>
        </w:rPr>
        <w:t>)</w:t>
      </w:r>
      <w:r>
        <w:rPr>
          <w:color w:val="231F20"/>
          <w:spacing w:val="-13"/>
        </w:rPr>
        <w:t> </w:t>
      </w:r>
      <w:r>
        <w:rPr>
          <w:color w:val="231F20"/>
          <w:w w:val="110"/>
        </w:rPr>
        <w:t>/</w:t>
      </w:r>
      <w:r>
        <w:rPr>
          <w:color w:val="231F20"/>
          <w:spacing w:val="-14"/>
          <w:w w:val="110"/>
        </w:rPr>
        <w:t> </w:t>
      </w:r>
      <w:r>
        <w:rPr>
          <w:color w:val="231F20"/>
        </w:rPr>
        <w:t>2</w:t>
      </w:r>
      <w:r>
        <w:rPr>
          <w:i/>
          <w:color w:val="231F20"/>
        </w:rPr>
        <w:t>N</w:t>
      </w:r>
      <w:r>
        <w:rPr>
          <w:color w:val="231F20"/>
        </w:rPr>
        <w:t>,</w:t>
      </w:r>
      <w:r>
        <w:rPr>
          <w:color w:val="231F20"/>
          <w:spacing w:val="-14"/>
        </w:rPr>
        <w:t> </w:t>
      </w:r>
      <w:r>
        <w:rPr>
          <w:color w:val="231F20"/>
        </w:rPr>
        <w:t>where</w:t>
      </w:r>
      <w:r>
        <w:rPr>
          <w:color w:val="231F20"/>
          <w:spacing w:val="-13"/>
        </w:rPr>
        <w:t> </w:t>
      </w:r>
      <w:r>
        <w:rPr>
          <w:i/>
          <w:color w:val="231F20"/>
        </w:rPr>
        <w:t>n</w:t>
      </w:r>
      <w:r>
        <w:rPr>
          <w:i/>
          <w:color w:val="231F20"/>
          <w:position w:val="-6"/>
          <w:sz w:val="14"/>
        </w:rPr>
        <w:t>i</w:t>
      </w:r>
      <w:r>
        <w:rPr>
          <w:i/>
          <w:color w:val="231F20"/>
          <w:spacing w:val="1"/>
          <w:position w:val="-6"/>
          <w:sz w:val="14"/>
        </w:rPr>
        <w:t> </w:t>
      </w:r>
      <w:r>
        <w:rPr>
          <w:color w:val="231F20"/>
        </w:rPr>
        <w:t>is</w:t>
      </w:r>
      <w:r>
        <w:rPr>
          <w:color w:val="231F20"/>
          <w:spacing w:val="-13"/>
        </w:rPr>
        <w:t> </w:t>
      </w:r>
      <w:r>
        <w:rPr>
          <w:color w:val="231F20"/>
          <w:spacing w:val="-5"/>
        </w:rPr>
        <w:t>the</w:t>
      </w:r>
    </w:p>
    <w:p>
      <w:pPr>
        <w:pStyle w:val="BodyText"/>
        <w:spacing w:line="182" w:lineRule="exact"/>
        <w:ind w:left="1200"/>
        <w:jc w:val="both"/>
      </w:pPr>
      <w:r>
        <w:rPr>
          <w:color w:val="231F20"/>
          <w:w w:val="90"/>
        </w:rPr>
        <w:t>sample</w:t>
      </w:r>
      <w:r>
        <w:rPr>
          <w:color w:val="231F20"/>
          <w:spacing w:val="-1"/>
          <w:w w:val="90"/>
        </w:rPr>
        <w:t> </w:t>
      </w:r>
      <w:r>
        <w:rPr>
          <w:color w:val="231F20"/>
          <w:w w:val="90"/>
        </w:rPr>
        <w:t>size</w:t>
      </w:r>
      <w:r>
        <w:rPr>
          <w:color w:val="231F20"/>
          <w:spacing w:val="-1"/>
          <w:w w:val="90"/>
        </w:rPr>
        <w:t> </w:t>
      </w:r>
      <w:r>
        <w:rPr>
          <w:color w:val="231F20"/>
          <w:w w:val="90"/>
        </w:rPr>
        <w:t>of</w:t>
      </w:r>
      <w:r>
        <w:rPr>
          <w:color w:val="231F20"/>
          <w:spacing w:val="-5"/>
        </w:rPr>
        <w:t> </w:t>
      </w:r>
      <w:r>
        <w:rPr>
          <w:color w:val="231F20"/>
          <w:w w:val="90"/>
        </w:rPr>
        <w:t>country</w:t>
      </w:r>
      <w:r>
        <w:rPr>
          <w:color w:val="231F20"/>
          <w:spacing w:val="-1"/>
          <w:w w:val="90"/>
        </w:rPr>
        <w:t> </w:t>
      </w:r>
      <w:r>
        <w:rPr>
          <w:i/>
          <w:color w:val="231F20"/>
          <w:w w:val="90"/>
        </w:rPr>
        <w:t>i</w:t>
      </w:r>
      <w:r>
        <w:rPr>
          <w:i/>
          <w:color w:val="231F20"/>
          <w:spacing w:val="-6"/>
        </w:rPr>
        <w:t> </w:t>
      </w:r>
      <w:r>
        <w:rPr>
          <w:color w:val="231F20"/>
          <w:w w:val="90"/>
        </w:rPr>
        <w:t>so</w:t>
      </w:r>
      <w:r>
        <w:rPr>
          <w:color w:val="231F20"/>
          <w:spacing w:val="-5"/>
        </w:rPr>
        <w:t> </w:t>
      </w:r>
      <w:r>
        <w:rPr>
          <w:color w:val="231F20"/>
          <w:w w:val="90"/>
        </w:rPr>
        <w:t>far,</w:t>
      </w:r>
      <w:r>
        <w:rPr>
          <w:color w:val="231F20"/>
          <w:spacing w:val="-1"/>
          <w:w w:val="90"/>
        </w:rPr>
        <w:t> </w:t>
      </w:r>
      <w:r>
        <w:rPr>
          <w:color w:val="231F20"/>
          <w:w w:val="90"/>
        </w:rPr>
        <w:t>and</w:t>
      </w:r>
      <w:r>
        <w:rPr>
          <w:color w:val="231F20"/>
          <w:spacing w:val="-6"/>
        </w:rPr>
        <w:t> </w:t>
      </w:r>
      <w:r>
        <w:rPr>
          <w:i/>
          <w:color w:val="231F20"/>
          <w:w w:val="90"/>
        </w:rPr>
        <w:t>N</w:t>
      </w:r>
      <w:r>
        <w:rPr>
          <w:i/>
          <w:color w:val="231F20"/>
          <w:spacing w:val="-5"/>
        </w:rPr>
        <w:t> </w:t>
      </w:r>
      <w:r>
        <w:rPr>
          <w:color w:val="231F20"/>
          <w:w w:val="90"/>
        </w:rPr>
        <w:t>is</w:t>
      </w:r>
      <w:r>
        <w:rPr>
          <w:color w:val="231F20"/>
          <w:spacing w:val="-1"/>
          <w:w w:val="90"/>
        </w:rPr>
        <w:t> </w:t>
      </w:r>
      <w:r>
        <w:rPr>
          <w:color w:val="231F20"/>
          <w:w w:val="90"/>
        </w:rPr>
        <w:t>the</w:t>
      </w:r>
      <w:r>
        <w:rPr>
          <w:color w:val="231F20"/>
          <w:spacing w:val="-1"/>
          <w:w w:val="90"/>
        </w:rPr>
        <w:t> </w:t>
      </w:r>
      <w:r>
        <w:rPr>
          <w:color w:val="231F20"/>
          <w:spacing w:val="-4"/>
          <w:w w:val="90"/>
        </w:rPr>
        <w:t>total</w:t>
      </w:r>
    </w:p>
    <w:p>
      <w:pPr>
        <w:pStyle w:val="BodyText"/>
        <w:spacing w:line="268" w:lineRule="auto" w:before="22"/>
        <w:ind w:left="1200"/>
        <w:jc w:val="both"/>
      </w:pPr>
      <w:r>
        <w:rPr>
          <w:color w:val="231F20"/>
          <w:w w:val="90"/>
        </w:rPr>
        <w:t>sample</w:t>
      </w:r>
      <w:r>
        <w:rPr>
          <w:color w:val="231F20"/>
          <w:spacing w:val="-7"/>
          <w:w w:val="90"/>
        </w:rPr>
        <w:t> </w:t>
      </w:r>
      <w:r>
        <w:rPr>
          <w:color w:val="231F20"/>
          <w:w w:val="90"/>
        </w:rPr>
        <w:t>size.</w:t>
      </w:r>
      <w:r>
        <w:rPr>
          <w:color w:val="231F20"/>
          <w:spacing w:val="-7"/>
          <w:w w:val="90"/>
        </w:rPr>
        <w:t> </w:t>
      </w:r>
      <w:r>
        <w:rPr>
          <w:color w:val="231F20"/>
          <w:w w:val="90"/>
        </w:rPr>
        <w:t>As</w:t>
      </w:r>
      <w:r>
        <w:rPr>
          <w:color w:val="231F20"/>
          <w:spacing w:val="-7"/>
          <w:w w:val="90"/>
        </w:rPr>
        <w:t> </w:t>
      </w:r>
      <w:r>
        <w:rPr>
          <w:color w:val="231F20"/>
          <w:w w:val="90"/>
        </w:rPr>
        <w:t>country</w:t>
      </w:r>
      <w:r>
        <w:rPr>
          <w:color w:val="231F20"/>
          <w:spacing w:val="-7"/>
          <w:w w:val="90"/>
        </w:rPr>
        <w:t> </w:t>
      </w:r>
      <w:r>
        <w:rPr>
          <w:color w:val="231F20"/>
          <w:w w:val="90"/>
        </w:rPr>
        <w:t>sample</w:t>
      </w:r>
      <w:r>
        <w:rPr>
          <w:color w:val="231F20"/>
          <w:spacing w:val="-7"/>
          <w:w w:val="90"/>
        </w:rPr>
        <w:t> </w:t>
      </w:r>
      <w:r>
        <w:rPr>
          <w:color w:val="231F20"/>
          <w:w w:val="90"/>
        </w:rPr>
        <w:t>sizes</w:t>
      </w:r>
      <w:r>
        <w:rPr>
          <w:color w:val="231F20"/>
          <w:spacing w:val="-7"/>
          <w:w w:val="90"/>
        </w:rPr>
        <w:t> </w:t>
      </w:r>
      <w:r>
        <w:rPr>
          <w:color w:val="231F20"/>
          <w:w w:val="90"/>
        </w:rPr>
        <w:t>grew</w:t>
      </w:r>
      <w:r>
        <w:rPr>
          <w:color w:val="231F20"/>
          <w:spacing w:val="-7"/>
          <w:w w:val="90"/>
        </w:rPr>
        <w:t> </w:t>
      </w:r>
      <w:r>
        <w:rPr>
          <w:color w:val="231F20"/>
          <w:w w:val="90"/>
        </w:rPr>
        <w:t>above </w:t>
      </w:r>
      <w:r>
        <w:rPr>
          <w:color w:val="231F20"/>
        </w:rPr>
        <w:t>100, the country selection engine excluded </w:t>
      </w:r>
      <w:r>
        <w:rPr>
          <w:color w:val="231F20"/>
          <w:w w:val="90"/>
        </w:rPr>
        <w:t>oversampled countries from the pool to increase </w:t>
      </w:r>
      <w:r>
        <w:rPr>
          <w:color w:val="231F20"/>
        </w:rPr>
        <w:t>responses</w:t>
      </w:r>
      <w:r>
        <w:rPr>
          <w:color w:val="231F20"/>
          <w:spacing w:val="-14"/>
        </w:rPr>
        <w:t> </w:t>
      </w:r>
      <w:r>
        <w:rPr>
          <w:color w:val="231F20"/>
        </w:rPr>
        <w:t>from</w:t>
      </w:r>
      <w:r>
        <w:rPr>
          <w:color w:val="231F20"/>
          <w:spacing w:val="-13"/>
        </w:rPr>
        <w:t> </w:t>
      </w:r>
      <w:r>
        <w:rPr>
          <w:color w:val="231F20"/>
        </w:rPr>
        <w:t>underrepresented</w:t>
      </w:r>
      <w:r>
        <w:rPr>
          <w:color w:val="231F20"/>
          <w:spacing w:val="-13"/>
        </w:rPr>
        <w:t> </w:t>
      </w:r>
      <w:r>
        <w:rPr>
          <w:color w:val="231F20"/>
        </w:rPr>
        <w:t>countries.</w:t>
      </w:r>
    </w:p>
    <w:p>
      <w:pPr>
        <w:pStyle w:val="BodyText"/>
        <w:spacing w:line="268" w:lineRule="auto"/>
        <w:ind w:left="1200" w:firstLine="300"/>
        <w:jc w:val="both"/>
      </w:pPr>
      <w:r>
        <w:rPr/>
        <mc:AlternateContent>
          <mc:Choice Requires="wps">
            <w:drawing>
              <wp:anchor distT="0" distB="0" distL="0" distR="0" allowOverlap="1" layoutInCell="1" locked="0" behindDoc="1" simplePos="0" relativeHeight="466784256">
                <wp:simplePos x="0" y="0"/>
                <wp:positionH relativeFrom="page">
                  <wp:posOffset>3238500</wp:posOffset>
                </wp:positionH>
                <wp:positionV relativeFrom="paragraph">
                  <wp:posOffset>1495304</wp:posOffset>
                </wp:positionV>
                <wp:extent cx="4114800" cy="1966595"/>
                <wp:effectExtent l="0" t="0" r="0" b="0"/>
                <wp:wrapNone/>
                <wp:docPr id="1922" name="Group 1922"/>
                <wp:cNvGraphicFramePr>
                  <a:graphicFrameLocks/>
                </wp:cNvGraphicFramePr>
                <a:graphic>
                  <a:graphicData uri="http://schemas.microsoft.com/office/word/2010/wordprocessingGroup">
                    <wpg:wgp>
                      <wpg:cNvPr id="1922" name="Group 1922"/>
                      <wpg:cNvGrpSpPr/>
                      <wpg:grpSpPr>
                        <a:xfrm>
                          <a:off x="0" y="0"/>
                          <a:ext cx="4114800" cy="1966595"/>
                          <a:chExt cx="4114800" cy="1966595"/>
                        </a:xfrm>
                      </wpg:grpSpPr>
                      <wps:wsp>
                        <wps:cNvPr id="1923" name="Graphic 1923"/>
                        <wps:cNvSpPr/>
                        <wps:spPr>
                          <a:xfrm>
                            <a:off x="63500" y="19050"/>
                            <a:ext cx="4032250" cy="340360"/>
                          </a:xfrm>
                          <a:custGeom>
                            <a:avLst/>
                            <a:gdLst/>
                            <a:ahLst/>
                            <a:cxnLst/>
                            <a:rect l="l" t="t" r="r" b="b"/>
                            <a:pathLst>
                              <a:path w="4032250" h="340360">
                                <a:moveTo>
                                  <a:pt x="3937000" y="0"/>
                                </a:moveTo>
                                <a:lnTo>
                                  <a:pt x="50800" y="0"/>
                                </a:lnTo>
                                <a:lnTo>
                                  <a:pt x="13757" y="7496"/>
                                </a:lnTo>
                                <a:lnTo>
                                  <a:pt x="0" y="16778"/>
                                </a:lnTo>
                                <a:lnTo>
                                  <a:pt x="0" y="340207"/>
                                </a:lnTo>
                                <a:lnTo>
                                  <a:pt x="4032250" y="340207"/>
                                </a:lnTo>
                                <a:lnTo>
                                  <a:pt x="4032250" y="95250"/>
                                </a:lnTo>
                                <a:lnTo>
                                  <a:pt x="4024752" y="58207"/>
                                </a:lnTo>
                                <a:lnTo>
                                  <a:pt x="4004317" y="27927"/>
                                </a:lnTo>
                                <a:lnTo>
                                  <a:pt x="3974037" y="7496"/>
                                </a:lnTo>
                                <a:lnTo>
                                  <a:pt x="3937000" y="0"/>
                                </a:lnTo>
                                <a:close/>
                              </a:path>
                            </a:pathLst>
                          </a:custGeom>
                          <a:solidFill>
                            <a:srgbClr val="808285"/>
                          </a:solidFill>
                        </wps:spPr>
                        <wps:bodyPr wrap="square" lIns="0" tIns="0" rIns="0" bIns="0" rtlCol="0">
                          <a:prstTxWarp prst="textNoShape">
                            <a:avLst/>
                          </a:prstTxWarp>
                          <a:noAutofit/>
                        </wps:bodyPr>
                      </wps:wsp>
                      <wps:wsp>
                        <wps:cNvPr id="1924" name="Graphic 1924"/>
                        <wps:cNvSpPr/>
                        <wps:spPr>
                          <a:xfrm>
                            <a:off x="571500" y="29057"/>
                            <a:ext cx="1270" cy="339725"/>
                          </a:xfrm>
                          <a:custGeom>
                            <a:avLst/>
                            <a:gdLst/>
                            <a:ahLst/>
                            <a:cxnLst/>
                            <a:rect l="l" t="t" r="r" b="b"/>
                            <a:pathLst>
                              <a:path w="0" h="339725">
                                <a:moveTo>
                                  <a:pt x="0" y="3392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925" name="Graphic 1925"/>
                        <wps:cNvSpPr/>
                        <wps:spPr>
                          <a:xfrm>
                            <a:off x="38100" y="34925"/>
                            <a:ext cx="520700" cy="323850"/>
                          </a:xfrm>
                          <a:custGeom>
                            <a:avLst/>
                            <a:gdLst/>
                            <a:ahLst/>
                            <a:cxnLst/>
                            <a:rect l="l" t="t" r="r" b="b"/>
                            <a:pathLst>
                              <a:path w="520700" h="323850">
                                <a:moveTo>
                                  <a:pt x="0" y="323850"/>
                                </a:moveTo>
                                <a:lnTo>
                                  <a:pt x="520700" y="323850"/>
                                </a:lnTo>
                                <a:lnTo>
                                  <a:pt x="520700" y="0"/>
                                </a:lnTo>
                                <a:lnTo>
                                  <a:pt x="0" y="0"/>
                                </a:lnTo>
                                <a:lnTo>
                                  <a:pt x="0" y="323850"/>
                                </a:lnTo>
                                <a:close/>
                              </a:path>
                            </a:pathLst>
                          </a:custGeom>
                          <a:solidFill>
                            <a:srgbClr val="008FDD"/>
                          </a:solidFill>
                        </wps:spPr>
                        <wps:bodyPr wrap="square" lIns="0" tIns="0" rIns="0" bIns="0" rtlCol="0">
                          <a:prstTxWarp prst="textNoShape">
                            <a:avLst/>
                          </a:prstTxWarp>
                          <a:noAutofit/>
                        </wps:bodyPr>
                      </wps:wsp>
                      <wps:wsp>
                        <wps:cNvPr id="1926" name="Graphic 1926"/>
                        <wps:cNvSpPr/>
                        <wps:spPr>
                          <a:xfrm>
                            <a:off x="19050" y="19050"/>
                            <a:ext cx="4076700" cy="1928495"/>
                          </a:xfrm>
                          <a:custGeom>
                            <a:avLst/>
                            <a:gdLst/>
                            <a:ahLst/>
                            <a:cxnLst/>
                            <a:rect l="l" t="t" r="r" b="b"/>
                            <a:pathLst>
                              <a:path w="4076700" h="1928495">
                                <a:moveTo>
                                  <a:pt x="95250" y="0"/>
                                </a:moveTo>
                                <a:lnTo>
                                  <a:pt x="58212" y="7497"/>
                                </a:lnTo>
                                <a:lnTo>
                                  <a:pt x="27932" y="27932"/>
                                </a:lnTo>
                                <a:lnTo>
                                  <a:pt x="7497" y="58212"/>
                                </a:lnTo>
                                <a:lnTo>
                                  <a:pt x="0" y="95250"/>
                                </a:lnTo>
                                <a:lnTo>
                                  <a:pt x="0" y="1909254"/>
                                </a:lnTo>
                                <a:lnTo>
                                  <a:pt x="0" y="1928304"/>
                                </a:lnTo>
                                <a:lnTo>
                                  <a:pt x="19050" y="1928304"/>
                                </a:lnTo>
                                <a:lnTo>
                                  <a:pt x="4057650" y="1928304"/>
                                </a:lnTo>
                                <a:lnTo>
                                  <a:pt x="4076700" y="1928304"/>
                                </a:lnTo>
                                <a:lnTo>
                                  <a:pt x="4076700" y="1909254"/>
                                </a:lnTo>
                                <a:lnTo>
                                  <a:pt x="4076700" y="95250"/>
                                </a:lnTo>
                                <a:lnTo>
                                  <a:pt x="4069202" y="58212"/>
                                </a:lnTo>
                                <a:lnTo>
                                  <a:pt x="4048767" y="27932"/>
                                </a:lnTo>
                                <a:lnTo>
                                  <a:pt x="4018487" y="7497"/>
                                </a:lnTo>
                                <a:lnTo>
                                  <a:pt x="39814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927" name="Textbox 1927"/>
                        <wps:cNvSpPr txBox="1"/>
                        <wps:spPr>
                          <a:xfrm>
                            <a:off x="673100" y="81178"/>
                            <a:ext cx="2282190" cy="234950"/>
                          </a:xfrm>
                          <a:prstGeom prst="rect">
                            <a:avLst/>
                          </a:prstGeom>
                        </wps:spPr>
                        <wps:txbx>
                          <w:txbxContent>
                            <w:p>
                              <w:pPr>
                                <w:spacing w:line="235" w:lineRule="auto" w:before="5"/>
                                <w:ind w:left="0" w:right="18" w:firstLine="0"/>
                                <w:jc w:val="left"/>
                                <w:rPr>
                                  <w:rFonts w:ascii="Arial"/>
                                  <w:b/>
                                  <w:sz w:val="16"/>
                                </w:rPr>
                              </w:pPr>
                              <w:r>
                                <w:rPr>
                                  <w:rFonts w:ascii="Arial"/>
                                  <w:b/>
                                  <w:color w:val="FFFFFF"/>
                                  <w:w w:val="105"/>
                                  <w:sz w:val="16"/>
                                </w:rPr>
                                <w:t>Results of principal component analysis for the 2023 international LPI score</w:t>
                              </w:r>
                            </w:p>
                          </w:txbxContent>
                        </wps:txbx>
                        <wps:bodyPr wrap="square" lIns="0" tIns="0" rIns="0" bIns="0" rtlCol="0">
                          <a:noAutofit/>
                        </wps:bodyPr>
                      </wps:wsp>
                      <wps:wsp>
                        <wps:cNvPr id="1928" name="Textbox 1928"/>
                        <wps:cNvSpPr txBox="1"/>
                        <wps:spPr>
                          <a:xfrm>
                            <a:off x="63500" y="1730673"/>
                            <a:ext cx="732155" cy="193040"/>
                          </a:xfrm>
                          <a:prstGeom prst="rect">
                            <a:avLst/>
                          </a:prstGeom>
                        </wps:spPr>
                        <wps:txbx>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3"/>
                                  <w:sz w:val="12"/>
                                </w:rPr>
                                <w:t> </w:t>
                              </w:r>
                              <w:r>
                                <w:rPr>
                                  <w:rFonts w:ascii="Arial"/>
                                  <w:color w:val="231F20"/>
                                  <w:w w:val="80"/>
                                  <w:sz w:val="12"/>
                                </w:rPr>
                                <w:t>2023</w:t>
                              </w:r>
                              <w:r>
                                <w:rPr>
                                  <w:rFonts w:ascii="Arial"/>
                                  <w:color w:val="231F20"/>
                                  <w:spacing w:val="-2"/>
                                  <w:sz w:val="12"/>
                                </w:rPr>
                                <w:t> </w:t>
                              </w:r>
                              <w:r>
                                <w:rPr>
                                  <w:rFonts w:ascii="Arial"/>
                                  <w:color w:val="231F20"/>
                                  <w:w w:val="80"/>
                                  <w:sz w:val="12"/>
                                </w:rPr>
                                <w:t>LPI</w:t>
                              </w:r>
                              <w:r>
                                <w:rPr>
                                  <w:rFonts w:ascii="Arial"/>
                                  <w:color w:val="231F20"/>
                                  <w:spacing w:val="-2"/>
                                  <w:sz w:val="12"/>
                                </w:rPr>
                                <w:t> </w:t>
                              </w:r>
                              <w:r>
                                <w:rPr>
                                  <w:rFonts w:ascii="Arial"/>
                                  <w:color w:val="231F20"/>
                                  <w:spacing w:val="-2"/>
                                  <w:w w:val="80"/>
                                  <w:sz w:val="12"/>
                                </w:rPr>
                                <w:t>team.</w:t>
                              </w:r>
                            </w:p>
                            <w:p>
                              <w:pPr>
                                <w:spacing w:before="22"/>
                                <w:ind w:left="0" w:right="0" w:firstLine="0"/>
                                <w:jc w:val="left"/>
                                <w:rPr>
                                  <w:rFonts w:ascii="Arial"/>
                                  <w:sz w:val="12"/>
                                </w:rPr>
                              </w:pPr>
                              <w:r>
                                <w:rPr>
                                  <w:rFonts w:ascii="Arial"/>
                                  <w:i/>
                                  <w:color w:val="231F20"/>
                                  <w:w w:val="80"/>
                                  <w:sz w:val="12"/>
                                </w:rPr>
                                <w:t>Note:</w:t>
                              </w:r>
                              <w:r>
                                <w:rPr>
                                  <w:rFonts w:ascii="Arial"/>
                                  <w:i/>
                                  <w:color w:val="231F20"/>
                                  <w:spacing w:val="-1"/>
                                  <w:w w:val="80"/>
                                  <w:sz w:val="12"/>
                                </w:rPr>
                                <w:t> </w:t>
                              </w:r>
                              <w:r>
                                <w:rPr>
                                  <w:rFonts w:ascii="Arial"/>
                                  <w:color w:val="231F20"/>
                                  <w:w w:val="80"/>
                                  <w:sz w:val="12"/>
                                </w:rPr>
                                <w:t>na</w:t>
                              </w:r>
                              <w:r>
                                <w:rPr>
                                  <w:rFonts w:ascii="Arial"/>
                                  <w:color w:val="231F20"/>
                                  <w:spacing w:val="-7"/>
                                  <w:sz w:val="12"/>
                                </w:rPr>
                                <w:t> </w:t>
                              </w:r>
                              <w:r>
                                <w:rPr>
                                  <w:rFonts w:ascii="Arial"/>
                                  <w:color w:val="231F20"/>
                                  <w:w w:val="80"/>
                                  <w:sz w:val="12"/>
                                </w:rPr>
                                <w:t>is</w:t>
                              </w:r>
                              <w:r>
                                <w:rPr>
                                  <w:rFonts w:ascii="Arial"/>
                                  <w:color w:val="231F20"/>
                                  <w:spacing w:val="-6"/>
                                  <w:sz w:val="12"/>
                                </w:rPr>
                                <w:t> </w:t>
                              </w:r>
                              <w:r>
                                <w:rPr>
                                  <w:rFonts w:ascii="Arial"/>
                                  <w:color w:val="231F20"/>
                                  <w:w w:val="80"/>
                                  <w:sz w:val="12"/>
                                </w:rPr>
                                <w:t>not</w:t>
                              </w:r>
                              <w:r>
                                <w:rPr>
                                  <w:rFonts w:ascii="Arial"/>
                                  <w:color w:val="231F20"/>
                                  <w:spacing w:val="-1"/>
                                  <w:w w:val="80"/>
                                  <w:sz w:val="12"/>
                                </w:rPr>
                                <w:t> </w:t>
                              </w:r>
                              <w:r>
                                <w:rPr>
                                  <w:rFonts w:ascii="Arial"/>
                                  <w:color w:val="231F20"/>
                                  <w:spacing w:val="-2"/>
                                  <w:w w:val="80"/>
                                  <w:sz w:val="12"/>
                                </w:rPr>
                                <w:t>applicable.</w:t>
                              </w:r>
                            </w:p>
                          </w:txbxContent>
                        </wps:txbx>
                        <wps:bodyPr wrap="square" lIns="0" tIns="0" rIns="0" bIns="0" rtlCol="0">
                          <a:noAutofit/>
                        </wps:bodyPr>
                      </wps:wsp>
                      <wps:wsp>
                        <wps:cNvPr id="1929" name="Textbox 1929"/>
                        <wps:cNvSpPr txBox="1"/>
                        <wps:spPr>
                          <a:xfrm>
                            <a:off x="38100" y="34925"/>
                            <a:ext cx="520700" cy="323850"/>
                          </a:xfrm>
                          <a:prstGeom prst="rect">
                            <a:avLst/>
                          </a:prstGeom>
                        </wps:spPr>
                        <wps:txbx>
                          <w:txbxContent>
                            <w:p>
                              <w:pPr>
                                <w:spacing w:before="75"/>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5.2</w:t>
                              </w:r>
                            </w:p>
                          </w:txbxContent>
                        </wps:txbx>
                        <wps:bodyPr wrap="square" lIns="0" tIns="0" rIns="0" bIns="0" rtlCol="0">
                          <a:noAutofit/>
                        </wps:bodyPr>
                      </wps:wsp>
                    </wpg:wgp>
                  </a:graphicData>
                </a:graphic>
              </wp:anchor>
            </w:drawing>
          </mc:Choice>
          <mc:Fallback>
            <w:pict>
              <v:group style="position:absolute;margin-left:255pt;margin-top:117.740479pt;width:324pt;height:154.85pt;mso-position-horizontal-relative:page;mso-position-vertical-relative:paragraph;z-index:-36532224" id="docshapegroup1649" coordorigin="5100,2355" coordsize="6480,3097">
                <v:shape style="position:absolute;left:5200;top:2384;width:6350;height:536" id="docshape1650" coordorigin="5200,2385" coordsize="6350,536" path="m11400,2385l5280,2385,5222,2397,5200,2411,5200,2921,11550,2921,11550,2535,11538,2476,11506,2429,11458,2397,11400,2385xe" filled="true" fillcolor="#808285" stroked="false">
                  <v:path arrowok="t"/>
                  <v:fill type="solid"/>
                </v:shape>
                <v:line style="position:absolute" from="6000,2935" to="6000,2401" stroked="true" strokeweight="2pt" strokecolor="#ffffff">
                  <v:stroke dashstyle="solid"/>
                </v:line>
                <v:rect style="position:absolute;left:5160;top:2409;width:820;height:510" id="docshape1651" filled="true" fillcolor="#008fdd" stroked="false">
                  <v:fill type="solid"/>
                </v:rect>
                <v:shape style="position:absolute;left:5130;top:2384;width:6420;height:3037" id="docshape1652" coordorigin="5130,2385" coordsize="6420,3037" path="m5280,2385l5222,2397,5174,2429,5142,2476,5130,2535,5130,5392,5130,5422,5160,5422,11520,5422,11550,5422,11550,5392,11550,2535,11538,2476,11506,2429,11458,2397,11400,2385,5280,2385xe" filled="false" stroked="true" strokeweight="3pt" strokecolor="#ffffff">
                  <v:path arrowok="t"/>
                  <v:stroke dashstyle="solid"/>
                </v:shape>
                <v:shape style="position:absolute;left:6160;top:2482;width:3594;height:370" type="#_x0000_t202" id="docshape1653" filled="false" stroked="false">
                  <v:textbox inset="0,0,0,0">
                    <w:txbxContent>
                      <w:p>
                        <w:pPr>
                          <w:spacing w:line="235" w:lineRule="auto" w:before="5"/>
                          <w:ind w:left="0" w:right="18" w:firstLine="0"/>
                          <w:jc w:val="left"/>
                          <w:rPr>
                            <w:rFonts w:ascii="Arial"/>
                            <w:b/>
                            <w:sz w:val="16"/>
                          </w:rPr>
                        </w:pPr>
                        <w:r>
                          <w:rPr>
                            <w:rFonts w:ascii="Arial"/>
                            <w:b/>
                            <w:color w:val="FFFFFF"/>
                            <w:w w:val="105"/>
                            <w:sz w:val="16"/>
                          </w:rPr>
                          <w:t>Results of principal component analysis for the 2023 international LPI score</w:t>
                        </w:r>
                      </w:p>
                    </w:txbxContent>
                  </v:textbox>
                  <w10:wrap type="none"/>
                </v:shape>
                <v:shape style="position:absolute;left:5200;top:5080;width:1153;height:304" type="#_x0000_t202" id="docshape1654" filled="false" stroked="false">
                  <v:textbox inset="0,0,0,0">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3"/>
                            <w:sz w:val="12"/>
                          </w:rPr>
                          <w:t> </w:t>
                        </w:r>
                        <w:r>
                          <w:rPr>
                            <w:rFonts w:ascii="Arial"/>
                            <w:color w:val="231F20"/>
                            <w:w w:val="80"/>
                            <w:sz w:val="12"/>
                          </w:rPr>
                          <w:t>2023</w:t>
                        </w:r>
                        <w:r>
                          <w:rPr>
                            <w:rFonts w:ascii="Arial"/>
                            <w:color w:val="231F20"/>
                            <w:spacing w:val="-2"/>
                            <w:sz w:val="12"/>
                          </w:rPr>
                          <w:t> </w:t>
                        </w:r>
                        <w:r>
                          <w:rPr>
                            <w:rFonts w:ascii="Arial"/>
                            <w:color w:val="231F20"/>
                            <w:w w:val="80"/>
                            <w:sz w:val="12"/>
                          </w:rPr>
                          <w:t>LPI</w:t>
                        </w:r>
                        <w:r>
                          <w:rPr>
                            <w:rFonts w:ascii="Arial"/>
                            <w:color w:val="231F20"/>
                            <w:spacing w:val="-2"/>
                            <w:sz w:val="12"/>
                          </w:rPr>
                          <w:t> </w:t>
                        </w:r>
                        <w:r>
                          <w:rPr>
                            <w:rFonts w:ascii="Arial"/>
                            <w:color w:val="231F20"/>
                            <w:spacing w:val="-2"/>
                            <w:w w:val="80"/>
                            <w:sz w:val="12"/>
                          </w:rPr>
                          <w:t>team.</w:t>
                        </w:r>
                      </w:p>
                      <w:p>
                        <w:pPr>
                          <w:spacing w:before="22"/>
                          <w:ind w:left="0" w:right="0" w:firstLine="0"/>
                          <w:jc w:val="left"/>
                          <w:rPr>
                            <w:rFonts w:ascii="Arial"/>
                            <w:sz w:val="12"/>
                          </w:rPr>
                        </w:pPr>
                        <w:r>
                          <w:rPr>
                            <w:rFonts w:ascii="Arial"/>
                            <w:i/>
                            <w:color w:val="231F20"/>
                            <w:w w:val="80"/>
                            <w:sz w:val="12"/>
                          </w:rPr>
                          <w:t>Note:</w:t>
                        </w:r>
                        <w:r>
                          <w:rPr>
                            <w:rFonts w:ascii="Arial"/>
                            <w:i/>
                            <w:color w:val="231F20"/>
                            <w:spacing w:val="-1"/>
                            <w:w w:val="80"/>
                            <w:sz w:val="12"/>
                          </w:rPr>
                          <w:t> </w:t>
                        </w:r>
                        <w:r>
                          <w:rPr>
                            <w:rFonts w:ascii="Arial"/>
                            <w:color w:val="231F20"/>
                            <w:w w:val="80"/>
                            <w:sz w:val="12"/>
                          </w:rPr>
                          <w:t>na</w:t>
                        </w:r>
                        <w:r>
                          <w:rPr>
                            <w:rFonts w:ascii="Arial"/>
                            <w:color w:val="231F20"/>
                            <w:spacing w:val="-7"/>
                            <w:sz w:val="12"/>
                          </w:rPr>
                          <w:t> </w:t>
                        </w:r>
                        <w:r>
                          <w:rPr>
                            <w:rFonts w:ascii="Arial"/>
                            <w:color w:val="231F20"/>
                            <w:w w:val="80"/>
                            <w:sz w:val="12"/>
                          </w:rPr>
                          <w:t>is</w:t>
                        </w:r>
                        <w:r>
                          <w:rPr>
                            <w:rFonts w:ascii="Arial"/>
                            <w:color w:val="231F20"/>
                            <w:spacing w:val="-6"/>
                            <w:sz w:val="12"/>
                          </w:rPr>
                          <w:t> </w:t>
                        </w:r>
                        <w:r>
                          <w:rPr>
                            <w:rFonts w:ascii="Arial"/>
                            <w:color w:val="231F20"/>
                            <w:w w:val="80"/>
                            <w:sz w:val="12"/>
                          </w:rPr>
                          <w:t>not</w:t>
                        </w:r>
                        <w:r>
                          <w:rPr>
                            <w:rFonts w:ascii="Arial"/>
                            <w:color w:val="231F20"/>
                            <w:spacing w:val="-1"/>
                            <w:w w:val="80"/>
                            <w:sz w:val="12"/>
                          </w:rPr>
                          <w:t> </w:t>
                        </w:r>
                        <w:r>
                          <w:rPr>
                            <w:rFonts w:ascii="Arial"/>
                            <w:color w:val="231F20"/>
                            <w:spacing w:val="-2"/>
                            <w:w w:val="80"/>
                            <w:sz w:val="12"/>
                          </w:rPr>
                          <w:t>applicable.</w:t>
                        </w:r>
                      </w:p>
                    </w:txbxContent>
                  </v:textbox>
                  <w10:wrap type="none"/>
                </v:shape>
                <v:shape style="position:absolute;left:5160;top:2409;width:820;height:510" type="#_x0000_t202" id="docshape1655" filled="false" stroked="false">
                  <v:textbox inset="0,0,0,0">
                    <w:txbxContent>
                      <w:p>
                        <w:pPr>
                          <w:spacing w:before="75"/>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5.2</w:t>
                        </w:r>
                      </w:p>
                    </w:txbxContent>
                  </v:textbox>
                  <w10:wrap type="none"/>
                </v:shape>
                <w10:wrap type="none"/>
              </v:group>
            </w:pict>
          </mc:Fallback>
        </mc:AlternateContent>
      </w:r>
      <w:r>
        <w:rPr>
          <w:color w:val="231F20"/>
          <w:spacing w:val="-6"/>
        </w:rPr>
        <w:t>The international LPI is a summary indica- </w:t>
      </w:r>
      <w:r>
        <w:rPr>
          <w:color w:val="231F20"/>
          <w:spacing w:val="-4"/>
        </w:rPr>
        <w:t>tor</w:t>
      </w:r>
      <w:r>
        <w:rPr>
          <w:color w:val="231F20"/>
          <w:spacing w:val="-8"/>
        </w:rPr>
        <w:t> </w:t>
      </w:r>
      <w:r>
        <w:rPr>
          <w:color w:val="231F20"/>
          <w:spacing w:val="-4"/>
        </w:rPr>
        <w:t>of</w:t>
      </w:r>
      <w:r>
        <w:rPr>
          <w:color w:val="231F20"/>
          <w:spacing w:val="-8"/>
        </w:rPr>
        <w:t> </w:t>
      </w:r>
      <w:r>
        <w:rPr>
          <w:color w:val="231F20"/>
          <w:spacing w:val="-4"/>
        </w:rPr>
        <w:t>logistics</w:t>
      </w:r>
      <w:r>
        <w:rPr>
          <w:color w:val="231F20"/>
          <w:spacing w:val="-8"/>
        </w:rPr>
        <w:t> </w:t>
      </w:r>
      <w:r>
        <w:rPr>
          <w:color w:val="231F20"/>
          <w:spacing w:val="-4"/>
        </w:rPr>
        <w:t>sector</w:t>
      </w:r>
      <w:r>
        <w:rPr>
          <w:color w:val="231F20"/>
          <w:spacing w:val="-8"/>
        </w:rPr>
        <w:t> </w:t>
      </w:r>
      <w:r>
        <w:rPr>
          <w:color w:val="231F20"/>
          <w:spacing w:val="-4"/>
        </w:rPr>
        <w:t>performance,</w:t>
      </w:r>
      <w:r>
        <w:rPr>
          <w:color w:val="231F20"/>
          <w:spacing w:val="-8"/>
        </w:rPr>
        <w:t> </w:t>
      </w:r>
      <w:r>
        <w:rPr>
          <w:color w:val="231F20"/>
          <w:spacing w:val="-4"/>
        </w:rPr>
        <w:t>combining </w:t>
      </w:r>
      <w:r>
        <w:rPr>
          <w:color w:val="231F20"/>
          <w:spacing w:val="-8"/>
        </w:rPr>
        <w:t>data</w:t>
      </w:r>
      <w:r>
        <w:rPr>
          <w:color w:val="231F20"/>
          <w:spacing w:val="-6"/>
        </w:rPr>
        <w:t> </w:t>
      </w:r>
      <w:r>
        <w:rPr>
          <w:color w:val="231F20"/>
          <w:spacing w:val="-8"/>
        </w:rPr>
        <w:t>on</w:t>
      </w:r>
      <w:r>
        <w:rPr>
          <w:color w:val="231F20"/>
          <w:spacing w:val="-5"/>
        </w:rPr>
        <w:t> </w:t>
      </w:r>
      <w:r>
        <w:rPr>
          <w:color w:val="231F20"/>
          <w:spacing w:val="-8"/>
        </w:rPr>
        <w:t>six</w:t>
      </w:r>
      <w:r>
        <w:rPr>
          <w:color w:val="231F20"/>
          <w:spacing w:val="-5"/>
        </w:rPr>
        <w:t> </w:t>
      </w:r>
      <w:r>
        <w:rPr>
          <w:color w:val="231F20"/>
          <w:spacing w:val="-8"/>
        </w:rPr>
        <w:t>core</w:t>
      </w:r>
      <w:r>
        <w:rPr>
          <w:color w:val="231F20"/>
          <w:spacing w:val="-5"/>
        </w:rPr>
        <w:t> </w:t>
      </w:r>
      <w:r>
        <w:rPr>
          <w:color w:val="231F20"/>
          <w:spacing w:val="-8"/>
        </w:rPr>
        <w:t>performance</w:t>
      </w:r>
      <w:r>
        <w:rPr>
          <w:color w:val="231F20"/>
          <w:spacing w:val="-5"/>
        </w:rPr>
        <w:t> </w:t>
      </w:r>
      <w:r>
        <w:rPr>
          <w:color w:val="231F20"/>
          <w:spacing w:val="-8"/>
        </w:rPr>
        <w:t>components</w:t>
      </w:r>
      <w:r>
        <w:rPr>
          <w:color w:val="231F20"/>
          <w:spacing w:val="-5"/>
        </w:rPr>
        <w:t> </w:t>
      </w:r>
      <w:r>
        <w:rPr>
          <w:color w:val="231F20"/>
          <w:spacing w:val="-8"/>
        </w:rPr>
        <w:t>into</w:t>
      </w:r>
      <w:r>
        <w:rPr>
          <w:color w:val="231F20"/>
          <w:spacing w:val="-5"/>
        </w:rPr>
        <w:t> </w:t>
      </w:r>
      <w:r>
        <w:rPr>
          <w:color w:val="231F20"/>
          <w:spacing w:val="-8"/>
        </w:rPr>
        <w:t>a </w:t>
      </w:r>
      <w:r>
        <w:rPr>
          <w:color w:val="231F20"/>
          <w:w w:val="90"/>
        </w:rPr>
        <w:t>single aggregate measure. Some respondents did </w:t>
      </w:r>
      <w:r>
        <w:rPr>
          <w:color w:val="231F20"/>
          <w:spacing w:val="-6"/>
        </w:rPr>
        <w:t>not</w:t>
      </w:r>
      <w:r>
        <w:rPr>
          <w:color w:val="231F20"/>
          <w:spacing w:val="-8"/>
        </w:rPr>
        <w:t> </w:t>
      </w:r>
      <w:r>
        <w:rPr>
          <w:color w:val="231F20"/>
          <w:spacing w:val="-6"/>
        </w:rPr>
        <w:t>provide</w:t>
      </w:r>
      <w:r>
        <w:rPr>
          <w:color w:val="231F20"/>
          <w:spacing w:val="-7"/>
        </w:rPr>
        <w:t> </w:t>
      </w:r>
      <w:r>
        <w:rPr>
          <w:color w:val="231F20"/>
          <w:spacing w:val="-6"/>
        </w:rPr>
        <w:t>information</w:t>
      </w:r>
      <w:r>
        <w:rPr>
          <w:color w:val="231F20"/>
          <w:spacing w:val="-7"/>
        </w:rPr>
        <w:t> </w:t>
      </w:r>
      <w:r>
        <w:rPr>
          <w:color w:val="231F20"/>
          <w:spacing w:val="-6"/>
        </w:rPr>
        <w:t>for</w:t>
      </w:r>
      <w:r>
        <w:rPr>
          <w:color w:val="231F20"/>
          <w:spacing w:val="-7"/>
        </w:rPr>
        <w:t> </w:t>
      </w:r>
      <w:r>
        <w:rPr>
          <w:color w:val="231F20"/>
          <w:spacing w:val="-6"/>
        </w:rPr>
        <w:t>all</w:t>
      </w:r>
      <w:r>
        <w:rPr>
          <w:color w:val="231F20"/>
          <w:spacing w:val="-7"/>
        </w:rPr>
        <w:t> </w:t>
      </w:r>
      <w:r>
        <w:rPr>
          <w:color w:val="231F20"/>
          <w:spacing w:val="-6"/>
        </w:rPr>
        <w:t>six</w:t>
      </w:r>
      <w:r>
        <w:rPr>
          <w:color w:val="231F20"/>
          <w:spacing w:val="-7"/>
        </w:rPr>
        <w:t> </w:t>
      </w:r>
      <w:r>
        <w:rPr>
          <w:color w:val="231F20"/>
          <w:spacing w:val="-6"/>
        </w:rPr>
        <w:t>components, </w:t>
      </w:r>
      <w:r>
        <w:rPr>
          <w:color w:val="231F20"/>
          <w:spacing w:val="-4"/>
        </w:rPr>
        <w:t>so</w:t>
      </w:r>
      <w:r>
        <w:rPr>
          <w:color w:val="231F20"/>
          <w:spacing w:val="-10"/>
        </w:rPr>
        <w:t> </w:t>
      </w:r>
      <w:r>
        <w:rPr>
          <w:color w:val="231F20"/>
          <w:spacing w:val="-4"/>
        </w:rPr>
        <w:t>interpolation</w:t>
      </w:r>
      <w:r>
        <w:rPr>
          <w:color w:val="231F20"/>
          <w:spacing w:val="-9"/>
        </w:rPr>
        <w:t> </w:t>
      </w:r>
      <w:r>
        <w:rPr>
          <w:color w:val="231F20"/>
          <w:spacing w:val="-4"/>
        </w:rPr>
        <w:t>was</w:t>
      </w:r>
      <w:r>
        <w:rPr>
          <w:color w:val="231F20"/>
          <w:spacing w:val="-9"/>
        </w:rPr>
        <w:t> </w:t>
      </w:r>
      <w:r>
        <w:rPr>
          <w:color w:val="231F20"/>
          <w:spacing w:val="-4"/>
        </w:rPr>
        <w:t>used</w:t>
      </w:r>
      <w:r>
        <w:rPr>
          <w:color w:val="231F20"/>
          <w:spacing w:val="-9"/>
        </w:rPr>
        <w:t> </w:t>
      </w:r>
      <w:r>
        <w:rPr>
          <w:color w:val="231F20"/>
          <w:spacing w:val="-4"/>
        </w:rPr>
        <w:t>to</w:t>
      </w:r>
      <w:r>
        <w:rPr>
          <w:color w:val="231F20"/>
          <w:spacing w:val="-9"/>
        </w:rPr>
        <w:t> </w:t>
      </w:r>
      <w:r>
        <w:rPr>
          <w:color w:val="231F20"/>
          <w:spacing w:val="-4"/>
        </w:rPr>
        <w:t>fill</w:t>
      </w:r>
      <w:r>
        <w:rPr>
          <w:color w:val="231F20"/>
          <w:spacing w:val="-9"/>
        </w:rPr>
        <w:t> </w:t>
      </w:r>
      <w:r>
        <w:rPr>
          <w:color w:val="231F20"/>
          <w:spacing w:val="-4"/>
        </w:rPr>
        <w:t>in</w:t>
      </w:r>
      <w:r>
        <w:rPr>
          <w:color w:val="231F20"/>
          <w:spacing w:val="-9"/>
        </w:rPr>
        <w:t> </w:t>
      </w:r>
      <w:r>
        <w:rPr>
          <w:color w:val="231F20"/>
          <w:spacing w:val="-4"/>
        </w:rPr>
        <w:t>missing</w:t>
      </w:r>
      <w:r>
        <w:rPr>
          <w:color w:val="231F20"/>
          <w:spacing w:val="-9"/>
        </w:rPr>
        <w:t> </w:t>
      </w:r>
      <w:r>
        <w:rPr>
          <w:color w:val="231F20"/>
          <w:spacing w:val="-4"/>
        </w:rPr>
        <w:t>val- </w:t>
      </w:r>
      <w:r>
        <w:rPr>
          <w:color w:val="231F20"/>
          <w:spacing w:val="-6"/>
        </w:rPr>
        <w:t>ues.</w:t>
      </w:r>
      <w:r>
        <w:rPr>
          <w:color w:val="231F20"/>
          <w:spacing w:val="-8"/>
        </w:rPr>
        <w:t> </w:t>
      </w:r>
      <w:r>
        <w:rPr>
          <w:color w:val="231F20"/>
          <w:spacing w:val="-6"/>
        </w:rPr>
        <w:t>The</w:t>
      </w:r>
      <w:r>
        <w:rPr>
          <w:color w:val="231F20"/>
          <w:spacing w:val="-7"/>
        </w:rPr>
        <w:t> </w:t>
      </w:r>
      <w:r>
        <w:rPr>
          <w:color w:val="231F20"/>
          <w:spacing w:val="-6"/>
        </w:rPr>
        <w:t>missing</w:t>
      </w:r>
      <w:r>
        <w:rPr>
          <w:color w:val="231F20"/>
          <w:spacing w:val="-7"/>
        </w:rPr>
        <w:t> </w:t>
      </w:r>
      <w:r>
        <w:rPr>
          <w:color w:val="231F20"/>
          <w:spacing w:val="-6"/>
        </w:rPr>
        <w:t>values</w:t>
      </w:r>
      <w:r>
        <w:rPr>
          <w:color w:val="231F20"/>
          <w:spacing w:val="-7"/>
        </w:rPr>
        <w:t> </w:t>
      </w:r>
      <w:r>
        <w:rPr>
          <w:color w:val="231F20"/>
          <w:spacing w:val="-6"/>
        </w:rPr>
        <w:t>were</w:t>
      </w:r>
      <w:r>
        <w:rPr>
          <w:color w:val="231F20"/>
          <w:spacing w:val="-7"/>
        </w:rPr>
        <w:t> </w:t>
      </w:r>
      <w:r>
        <w:rPr>
          <w:color w:val="231F20"/>
          <w:spacing w:val="-6"/>
        </w:rPr>
        <w:t>replaced</w:t>
      </w:r>
      <w:r>
        <w:rPr>
          <w:color w:val="231F20"/>
          <w:spacing w:val="-7"/>
        </w:rPr>
        <w:t> </w:t>
      </w:r>
      <w:r>
        <w:rPr>
          <w:color w:val="231F20"/>
          <w:spacing w:val="-6"/>
        </w:rPr>
        <w:t>with</w:t>
      </w:r>
      <w:r>
        <w:rPr>
          <w:color w:val="231F20"/>
          <w:spacing w:val="-7"/>
        </w:rPr>
        <w:t> </w:t>
      </w:r>
      <w:r>
        <w:rPr>
          <w:color w:val="231F20"/>
          <w:spacing w:val="-6"/>
        </w:rPr>
        <w:t>the </w:t>
      </w:r>
      <w:r>
        <w:rPr>
          <w:color w:val="231F20"/>
          <w:spacing w:val="-2"/>
        </w:rPr>
        <w:t>country</w:t>
      </w:r>
      <w:r>
        <w:rPr>
          <w:color w:val="231F20"/>
          <w:spacing w:val="-9"/>
        </w:rPr>
        <w:t> </w:t>
      </w:r>
      <w:r>
        <w:rPr>
          <w:color w:val="231F20"/>
          <w:spacing w:val="-2"/>
        </w:rPr>
        <w:t>mean</w:t>
      </w:r>
      <w:r>
        <w:rPr>
          <w:color w:val="231F20"/>
          <w:spacing w:val="-9"/>
        </w:rPr>
        <w:t> </w:t>
      </w:r>
      <w:r>
        <w:rPr>
          <w:color w:val="231F20"/>
          <w:spacing w:val="-2"/>
        </w:rPr>
        <w:t>response</w:t>
      </w:r>
      <w:r>
        <w:rPr>
          <w:color w:val="231F20"/>
          <w:spacing w:val="-9"/>
        </w:rPr>
        <w:t> </w:t>
      </w:r>
      <w:r>
        <w:rPr>
          <w:color w:val="231F20"/>
          <w:spacing w:val="-2"/>
        </w:rPr>
        <w:t>for</w:t>
      </w:r>
      <w:r>
        <w:rPr>
          <w:color w:val="231F20"/>
          <w:spacing w:val="-9"/>
        </w:rPr>
        <w:t> </w:t>
      </w:r>
      <w:r>
        <w:rPr>
          <w:color w:val="231F20"/>
          <w:spacing w:val="-2"/>
        </w:rPr>
        <w:t>each</w:t>
      </w:r>
      <w:r>
        <w:rPr>
          <w:color w:val="231F20"/>
          <w:spacing w:val="-9"/>
        </w:rPr>
        <w:t> </w:t>
      </w:r>
      <w:r>
        <w:rPr>
          <w:color w:val="231F20"/>
          <w:spacing w:val="-2"/>
        </w:rPr>
        <w:t>question,</w:t>
      </w:r>
      <w:r>
        <w:rPr>
          <w:color w:val="231F20"/>
          <w:spacing w:val="-9"/>
        </w:rPr>
        <w:t> </w:t>
      </w:r>
      <w:r>
        <w:rPr>
          <w:color w:val="231F20"/>
          <w:spacing w:val="-2"/>
        </w:rPr>
        <w:t>ad- </w:t>
      </w:r>
      <w:r>
        <w:rPr>
          <w:color w:val="231F20"/>
          <w:spacing w:val="-2"/>
          <w:w w:val="90"/>
        </w:rPr>
        <w:t>justed</w:t>
      </w:r>
      <w:r>
        <w:rPr>
          <w:color w:val="231F20"/>
          <w:spacing w:val="-4"/>
          <w:w w:val="90"/>
        </w:rPr>
        <w:t> </w:t>
      </w:r>
      <w:r>
        <w:rPr>
          <w:color w:val="231F20"/>
          <w:spacing w:val="-2"/>
          <w:w w:val="90"/>
        </w:rPr>
        <w:t>by the respondent’s average deviation from </w:t>
      </w:r>
      <w:r>
        <w:rPr>
          <w:color w:val="231F20"/>
        </w:rPr>
        <w:t>the</w:t>
      </w:r>
      <w:r>
        <w:rPr>
          <w:color w:val="231F20"/>
          <w:spacing w:val="-15"/>
        </w:rPr>
        <w:t> </w:t>
      </w:r>
      <w:r>
        <w:rPr>
          <w:color w:val="231F20"/>
        </w:rPr>
        <w:t>country</w:t>
      </w:r>
      <w:r>
        <w:rPr>
          <w:color w:val="231F20"/>
          <w:spacing w:val="-15"/>
        </w:rPr>
        <w:t> </w:t>
      </w:r>
      <w:r>
        <w:rPr>
          <w:color w:val="231F20"/>
        </w:rPr>
        <w:t>mean</w:t>
      </w:r>
      <w:r>
        <w:rPr>
          <w:color w:val="231F20"/>
          <w:spacing w:val="-15"/>
        </w:rPr>
        <w:t> </w:t>
      </w:r>
      <w:r>
        <w:rPr>
          <w:color w:val="231F20"/>
        </w:rPr>
        <w:t>in</w:t>
      </w:r>
      <w:r>
        <w:rPr>
          <w:color w:val="231F20"/>
          <w:spacing w:val="-15"/>
        </w:rPr>
        <w:t> </w:t>
      </w:r>
      <w:r>
        <w:rPr>
          <w:color w:val="231F20"/>
        </w:rPr>
        <w:t>the</w:t>
      </w:r>
      <w:r>
        <w:rPr>
          <w:color w:val="231F20"/>
          <w:spacing w:val="-15"/>
        </w:rPr>
        <w:t> </w:t>
      </w:r>
      <w:r>
        <w:rPr>
          <w:color w:val="231F20"/>
        </w:rPr>
        <w:t>answered</w:t>
      </w:r>
      <w:r>
        <w:rPr>
          <w:color w:val="231F20"/>
          <w:spacing w:val="-15"/>
        </w:rPr>
        <w:t> </w:t>
      </w:r>
      <w:r>
        <w:rPr>
          <w:color w:val="231F20"/>
        </w:rPr>
        <w:t>questions.</w:t>
      </w:r>
    </w:p>
    <w:p>
      <w:pPr>
        <w:pStyle w:val="BodyText"/>
        <w:spacing w:line="237" w:lineRule="exact"/>
        <w:ind w:left="1500"/>
        <w:jc w:val="both"/>
      </w:pPr>
      <w:r>
        <w:rPr>
          <w:color w:val="231F20"/>
          <w:w w:val="90"/>
        </w:rPr>
        <w:t>The</w:t>
      </w:r>
      <w:r>
        <w:rPr>
          <w:color w:val="231F20"/>
        </w:rPr>
        <w:t> </w:t>
      </w:r>
      <w:r>
        <w:rPr>
          <w:color w:val="231F20"/>
          <w:w w:val="90"/>
        </w:rPr>
        <w:t>six</w:t>
      </w:r>
      <w:r>
        <w:rPr>
          <w:color w:val="231F20"/>
        </w:rPr>
        <w:t> </w:t>
      </w:r>
      <w:r>
        <w:rPr>
          <w:color w:val="231F20"/>
          <w:w w:val="90"/>
        </w:rPr>
        <w:t>core</w:t>
      </w:r>
      <w:r>
        <w:rPr>
          <w:color w:val="231F20"/>
          <w:spacing w:val="1"/>
        </w:rPr>
        <w:t> </w:t>
      </w:r>
      <w:r>
        <w:rPr>
          <w:color w:val="231F20"/>
          <w:w w:val="90"/>
        </w:rPr>
        <w:t>components</w:t>
      </w:r>
      <w:r>
        <w:rPr>
          <w:color w:val="231F20"/>
        </w:rPr>
        <w:t> </w:t>
      </w:r>
      <w:r>
        <w:rPr>
          <w:color w:val="231F20"/>
          <w:spacing w:val="-4"/>
          <w:w w:val="90"/>
        </w:rPr>
        <w:t>are:</w:t>
      </w:r>
    </w:p>
    <w:p>
      <w:pPr>
        <w:pStyle w:val="ListParagraph"/>
        <w:numPr>
          <w:ilvl w:val="0"/>
          <w:numId w:val="19"/>
        </w:numPr>
        <w:tabs>
          <w:tab w:pos="1500" w:val="left" w:leader="none"/>
        </w:tabs>
        <w:spacing w:line="268" w:lineRule="auto" w:before="7" w:after="0"/>
        <w:ind w:left="1500" w:right="0" w:hanging="300"/>
        <w:jc w:val="both"/>
        <w:rPr>
          <w:rFonts w:ascii="Times New Roman" w:hAnsi="Times New Roman"/>
          <w:sz w:val="21"/>
        </w:rPr>
      </w:pPr>
      <w:r>
        <w:rPr>
          <w:rFonts w:ascii="Times New Roman" w:hAnsi="Times New Roman"/>
          <w:color w:val="231F20"/>
          <w:spacing w:val="-6"/>
          <w:sz w:val="21"/>
        </w:rPr>
        <w:t>The</w:t>
      </w:r>
      <w:r>
        <w:rPr>
          <w:rFonts w:ascii="Times New Roman" w:hAnsi="Times New Roman"/>
          <w:color w:val="231F20"/>
          <w:spacing w:val="-7"/>
          <w:sz w:val="21"/>
        </w:rPr>
        <w:t> </w:t>
      </w:r>
      <w:r>
        <w:rPr>
          <w:rFonts w:ascii="Times New Roman" w:hAnsi="Times New Roman"/>
          <w:color w:val="231F20"/>
          <w:spacing w:val="-6"/>
          <w:sz w:val="21"/>
        </w:rPr>
        <w:t>efficiency</w:t>
      </w:r>
      <w:r>
        <w:rPr>
          <w:rFonts w:ascii="Times New Roman" w:hAnsi="Times New Roman"/>
          <w:color w:val="231F20"/>
          <w:spacing w:val="-7"/>
          <w:sz w:val="21"/>
        </w:rPr>
        <w:t> </w:t>
      </w:r>
      <w:r>
        <w:rPr>
          <w:rFonts w:ascii="Times New Roman" w:hAnsi="Times New Roman"/>
          <w:color w:val="231F20"/>
          <w:spacing w:val="-6"/>
          <w:sz w:val="21"/>
        </w:rPr>
        <w:t>of</w:t>
      </w:r>
      <w:r>
        <w:rPr>
          <w:rFonts w:ascii="Times New Roman" w:hAnsi="Times New Roman"/>
          <w:color w:val="231F20"/>
          <w:spacing w:val="-7"/>
          <w:sz w:val="21"/>
        </w:rPr>
        <w:t> </w:t>
      </w:r>
      <w:r>
        <w:rPr>
          <w:rFonts w:ascii="Times New Roman" w:hAnsi="Times New Roman"/>
          <w:color w:val="231F20"/>
          <w:spacing w:val="-6"/>
          <w:sz w:val="21"/>
        </w:rPr>
        <w:t>customs</w:t>
      </w:r>
      <w:r>
        <w:rPr>
          <w:rFonts w:ascii="Times New Roman" w:hAnsi="Times New Roman"/>
          <w:color w:val="231F20"/>
          <w:spacing w:val="-7"/>
          <w:sz w:val="21"/>
        </w:rPr>
        <w:t> </w:t>
      </w:r>
      <w:r>
        <w:rPr>
          <w:rFonts w:ascii="Times New Roman" w:hAnsi="Times New Roman"/>
          <w:color w:val="231F20"/>
          <w:spacing w:val="-6"/>
          <w:sz w:val="21"/>
        </w:rPr>
        <w:t>and</w:t>
      </w:r>
      <w:r>
        <w:rPr>
          <w:rFonts w:ascii="Times New Roman" w:hAnsi="Times New Roman"/>
          <w:color w:val="231F20"/>
          <w:spacing w:val="-7"/>
          <w:sz w:val="21"/>
        </w:rPr>
        <w:t> </w:t>
      </w:r>
      <w:r>
        <w:rPr>
          <w:rFonts w:ascii="Times New Roman" w:hAnsi="Times New Roman"/>
          <w:color w:val="231F20"/>
          <w:spacing w:val="-6"/>
          <w:sz w:val="21"/>
        </w:rPr>
        <w:t>border</w:t>
      </w:r>
      <w:r>
        <w:rPr>
          <w:rFonts w:ascii="Times New Roman" w:hAnsi="Times New Roman"/>
          <w:color w:val="231F20"/>
          <w:spacing w:val="-7"/>
          <w:sz w:val="21"/>
        </w:rPr>
        <w:t> </w:t>
      </w:r>
      <w:r>
        <w:rPr>
          <w:rFonts w:ascii="Times New Roman" w:hAnsi="Times New Roman"/>
          <w:color w:val="231F20"/>
          <w:spacing w:val="-6"/>
          <w:sz w:val="21"/>
        </w:rPr>
        <w:t>man- agement clearance, rated from very low (1) </w:t>
      </w:r>
      <w:r>
        <w:rPr>
          <w:rFonts w:ascii="Times New Roman" w:hAnsi="Times New Roman"/>
          <w:color w:val="231F20"/>
          <w:sz w:val="21"/>
        </w:rPr>
        <w:t>to</w:t>
      </w:r>
      <w:r>
        <w:rPr>
          <w:rFonts w:ascii="Times New Roman" w:hAnsi="Times New Roman"/>
          <w:color w:val="231F20"/>
          <w:spacing w:val="-13"/>
          <w:sz w:val="21"/>
        </w:rPr>
        <w:t> </w:t>
      </w:r>
      <w:r>
        <w:rPr>
          <w:rFonts w:ascii="Times New Roman" w:hAnsi="Times New Roman"/>
          <w:color w:val="231F20"/>
          <w:sz w:val="21"/>
        </w:rPr>
        <w:t>very</w:t>
      </w:r>
      <w:r>
        <w:rPr>
          <w:rFonts w:ascii="Times New Roman" w:hAnsi="Times New Roman"/>
          <w:color w:val="231F20"/>
          <w:spacing w:val="-13"/>
          <w:sz w:val="21"/>
        </w:rPr>
        <w:t> </w:t>
      </w:r>
      <w:r>
        <w:rPr>
          <w:rFonts w:ascii="Times New Roman" w:hAnsi="Times New Roman"/>
          <w:color w:val="231F20"/>
          <w:sz w:val="21"/>
        </w:rPr>
        <w:t>high</w:t>
      </w:r>
      <w:r>
        <w:rPr>
          <w:rFonts w:ascii="Times New Roman" w:hAnsi="Times New Roman"/>
          <w:color w:val="231F20"/>
          <w:spacing w:val="-13"/>
          <w:sz w:val="21"/>
        </w:rPr>
        <w:t> </w:t>
      </w:r>
      <w:r>
        <w:rPr>
          <w:rFonts w:ascii="Times New Roman" w:hAnsi="Times New Roman"/>
          <w:color w:val="231F20"/>
          <w:sz w:val="21"/>
        </w:rPr>
        <w:t>(5)</w:t>
      </w:r>
      <w:r>
        <w:rPr>
          <w:rFonts w:ascii="Times New Roman" w:hAnsi="Times New Roman"/>
          <w:color w:val="231F20"/>
          <w:spacing w:val="-13"/>
          <w:sz w:val="21"/>
        </w:rPr>
        <w:t> </w:t>
      </w:r>
      <w:r>
        <w:rPr>
          <w:rFonts w:ascii="Times New Roman" w:hAnsi="Times New Roman"/>
          <w:color w:val="231F20"/>
          <w:sz w:val="21"/>
        </w:rPr>
        <w:t>in</w:t>
      </w:r>
      <w:r>
        <w:rPr>
          <w:rFonts w:ascii="Times New Roman" w:hAnsi="Times New Roman"/>
          <w:color w:val="231F20"/>
          <w:spacing w:val="-13"/>
          <w:sz w:val="21"/>
        </w:rPr>
        <w:t> </w:t>
      </w:r>
      <w:r>
        <w:rPr>
          <w:rFonts w:ascii="Times New Roman" w:hAnsi="Times New Roman"/>
          <w:color w:val="231F20"/>
          <w:sz w:val="21"/>
        </w:rPr>
        <w:t>survey</w:t>
      </w:r>
      <w:r>
        <w:rPr>
          <w:rFonts w:ascii="Times New Roman" w:hAnsi="Times New Roman"/>
          <w:color w:val="231F20"/>
          <w:spacing w:val="-13"/>
          <w:sz w:val="21"/>
        </w:rPr>
        <w:t> </w:t>
      </w:r>
      <w:r>
        <w:rPr>
          <w:rFonts w:ascii="Times New Roman" w:hAnsi="Times New Roman"/>
          <w:color w:val="231F20"/>
          <w:sz w:val="21"/>
        </w:rPr>
        <w:t>question</w:t>
      </w:r>
      <w:r>
        <w:rPr>
          <w:rFonts w:ascii="Times New Roman" w:hAnsi="Times New Roman"/>
          <w:color w:val="231F20"/>
          <w:spacing w:val="-13"/>
          <w:sz w:val="21"/>
        </w:rPr>
        <w:t> </w:t>
      </w:r>
      <w:r>
        <w:rPr>
          <w:rFonts w:ascii="Times New Roman" w:hAnsi="Times New Roman"/>
          <w:color w:val="231F20"/>
          <w:sz w:val="21"/>
        </w:rPr>
        <w:t>4.</w:t>
      </w:r>
    </w:p>
    <w:p>
      <w:pPr>
        <w:pStyle w:val="ListParagraph"/>
        <w:numPr>
          <w:ilvl w:val="0"/>
          <w:numId w:val="19"/>
        </w:numPr>
        <w:tabs>
          <w:tab w:pos="1499" w:val="left" w:leader="none"/>
        </w:tabs>
        <w:spacing w:line="240" w:lineRule="exact" w:before="0" w:after="0"/>
        <w:ind w:left="1499" w:right="0" w:hanging="299"/>
        <w:jc w:val="both"/>
        <w:rPr>
          <w:rFonts w:ascii="Times New Roman" w:hAnsi="Times New Roman"/>
          <w:sz w:val="21"/>
        </w:rPr>
      </w:pPr>
      <w:r>
        <w:rPr>
          <w:rFonts w:ascii="Times New Roman" w:hAnsi="Times New Roman"/>
          <w:color w:val="231F20"/>
          <w:sz w:val="21"/>
        </w:rPr>
        <w:t>The</w:t>
      </w:r>
      <w:r>
        <w:rPr>
          <w:rFonts w:ascii="Times New Roman" w:hAnsi="Times New Roman"/>
          <w:color w:val="231F20"/>
          <w:spacing w:val="11"/>
          <w:sz w:val="21"/>
        </w:rPr>
        <w:t> </w:t>
      </w:r>
      <w:r>
        <w:rPr>
          <w:rFonts w:ascii="Times New Roman" w:hAnsi="Times New Roman"/>
          <w:color w:val="231F20"/>
          <w:sz w:val="21"/>
        </w:rPr>
        <w:t>quality</w:t>
      </w:r>
      <w:r>
        <w:rPr>
          <w:rFonts w:ascii="Times New Roman" w:hAnsi="Times New Roman"/>
          <w:color w:val="231F20"/>
          <w:spacing w:val="11"/>
          <w:sz w:val="21"/>
        </w:rPr>
        <w:t> </w:t>
      </w:r>
      <w:r>
        <w:rPr>
          <w:rFonts w:ascii="Times New Roman" w:hAnsi="Times New Roman"/>
          <w:color w:val="231F20"/>
          <w:sz w:val="21"/>
        </w:rPr>
        <w:t>of</w:t>
      </w:r>
      <w:r>
        <w:rPr>
          <w:rFonts w:ascii="Times New Roman" w:hAnsi="Times New Roman"/>
          <w:color w:val="231F20"/>
          <w:spacing w:val="11"/>
          <w:sz w:val="21"/>
        </w:rPr>
        <w:t> </w:t>
      </w:r>
      <w:r>
        <w:rPr>
          <w:rFonts w:ascii="Times New Roman" w:hAnsi="Times New Roman"/>
          <w:color w:val="231F20"/>
          <w:sz w:val="21"/>
        </w:rPr>
        <w:t>trade</w:t>
      </w:r>
      <w:r>
        <w:rPr>
          <w:rFonts w:ascii="Times New Roman" w:hAnsi="Times New Roman"/>
          <w:color w:val="231F20"/>
          <w:spacing w:val="12"/>
          <w:sz w:val="21"/>
        </w:rPr>
        <w:t> </w:t>
      </w:r>
      <w:r>
        <w:rPr>
          <w:rFonts w:ascii="Times New Roman" w:hAnsi="Times New Roman"/>
          <w:color w:val="231F20"/>
          <w:sz w:val="21"/>
        </w:rPr>
        <w:t>and</w:t>
      </w:r>
      <w:r>
        <w:rPr>
          <w:rFonts w:ascii="Times New Roman" w:hAnsi="Times New Roman"/>
          <w:color w:val="231F20"/>
          <w:spacing w:val="11"/>
          <w:sz w:val="21"/>
        </w:rPr>
        <w:t> </w:t>
      </w:r>
      <w:r>
        <w:rPr>
          <w:rFonts w:ascii="Times New Roman" w:hAnsi="Times New Roman"/>
          <w:color w:val="231F20"/>
          <w:sz w:val="21"/>
        </w:rPr>
        <w:t>transport</w:t>
      </w:r>
      <w:r>
        <w:rPr>
          <w:rFonts w:ascii="Times New Roman" w:hAnsi="Times New Roman"/>
          <w:color w:val="231F20"/>
          <w:spacing w:val="11"/>
          <w:sz w:val="21"/>
        </w:rPr>
        <w:t> </w:t>
      </w:r>
      <w:r>
        <w:rPr>
          <w:rFonts w:ascii="Times New Roman" w:hAnsi="Times New Roman"/>
          <w:color w:val="231F20"/>
          <w:spacing w:val="-2"/>
          <w:sz w:val="21"/>
        </w:rPr>
        <w:t>infra-</w:t>
      </w:r>
    </w:p>
    <w:p>
      <w:pPr>
        <w:pStyle w:val="BodyText"/>
        <w:spacing w:line="268" w:lineRule="auto" w:before="28"/>
        <w:ind w:left="1500"/>
        <w:jc w:val="both"/>
      </w:pPr>
      <w:r>
        <w:rPr>
          <w:color w:val="231F20"/>
        </w:rPr>
        <w:t>structure,</w:t>
      </w:r>
      <w:r>
        <w:rPr>
          <w:color w:val="231F20"/>
          <w:spacing w:val="-11"/>
        </w:rPr>
        <w:t> </w:t>
      </w:r>
      <w:r>
        <w:rPr>
          <w:color w:val="231F20"/>
        </w:rPr>
        <w:t>rated</w:t>
      </w:r>
      <w:r>
        <w:rPr>
          <w:color w:val="231F20"/>
          <w:spacing w:val="-11"/>
        </w:rPr>
        <w:t> </w:t>
      </w:r>
      <w:r>
        <w:rPr>
          <w:color w:val="231F20"/>
        </w:rPr>
        <w:t>from</w:t>
      </w:r>
      <w:r>
        <w:rPr>
          <w:color w:val="231F20"/>
          <w:spacing w:val="-11"/>
        </w:rPr>
        <w:t> </w:t>
      </w:r>
      <w:r>
        <w:rPr>
          <w:color w:val="231F20"/>
        </w:rPr>
        <w:t>very</w:t>
      </w:r>
      <w:r>
        <w:rPr>
          <w:color w:val="231F20"/>
          <w:spacing w:val="-11"/>
        </w:rPr>
        <w:t> </w:t>
      </w:r>
      <w:r>
        <w:rPr>
          <w:color w:val="231F20"/>
        </w:rPr>
        <w:t>low</w:t>
      </w:r>
      <w:r>
        <w:rPr>
          <w:color w:val="231F20"/>
          <w:spacing w:val="-11"/>
        </w:rPr>
        <w:t> </w:t>
      </w:r>
      <w:r>
        <w:rPr>
          <w:color w:val="231F20"/>
        </w:rPr>
        <w:t>(1)</w:t>
      </w:r>
      <w:r>
        <w:rPr>
          <w:color w:val="231F20"/>
          <w:spacing w:val="-11"/>
        </w:rPr>
        <w:t> </w:t>
      </w:r>
      <w:r>
        <w:rPr>
          <w:color w:val="231F20"/>
        </w:rPr>
        <w:t>to</w:t>
      </w:r>
      <w:r>
        <w:rPr>
          <w:color w:val="231F20"/>
          <w:spacing w:val="-11"/>
        </w:rPr>
        <w:t> </w:t>
      </w:r>
      <w:r>
        <w:rPr>
          <w:color w:val="231F20"/>
        </w:rPr>
        <w:t>very high</w:t>
      </w:r>
      <w:r>
        <w:rPr>
          <w:color w:val="231F20"/>
          <w:spacing w:val="-5"/>
        </w:rPr>
        <w:t> </w:t>
      </w:r>
      <w:r>
        <w:rPr>
          <w:color w:val="231F20"/>
        </w:rPr>
        <w:t>(5)</w:t>
      </w:r>
      <w:r>
        <w:rPr>
          <w:color w:val="231F20"/>
          <w:spacing w:val="-5"/>
        </w:rPr>
        <w:t> </w:t>
      </w:r>
      <w:r>
        <w:rPr>
          <w:color w:val="231F20"/>
        </w:rPr>
        <w:t>in</w:t>
      </w:r>
      <w:r>
        <w:rPr>
          <w:color w:val="231F20"/>
          <w:spacing w:val="-5"/>
        </w:rPr>
        <w:t> </w:t>
      </w:r>
      <w:r>
        <w:rPr>
          <w:color w:val="231F20"/>
        </w:rPr>
        <w:t>survey</w:t>
      </w:r>
      <w:r>
        <w:rPr>
          <w:color w:val="231F20"/>
          <w:spacing w:val="-5"/>
        </w:rPr>
        <w:t> </w:t>
      </w:r>
      <w:r>
        <w:rPr>
          <w:color w:val="231F20"/>
        </w:rPr>
        <w:t>question</w:t>
      </w:r>
      <w:r>
        <w:rPr>
          <w:color w:val="231F20"/>
          <w:spacing w:val="-5"/>
        </w:rPr>
        <w:t> </w:t>
      </w:r>
      <w:r>
        <w:rPr>
          <w:color w:val="231F20"/>
        </w:rPr>
        <w:t>5.</w:t>
      </w:r>
    </w:p>
    <w:p>
      <w:pPr>
        <w:pStyle w:val="ListParagraph"/>
        <w:numPr>
          <w:ilvl w:val="0"/>
          <w:numId w:val="19"/>
        </w:numPr>
        <w:tabs>
          <w:tab w:pos="1499" w:val="left" w:leader="none"/>
        </w:tabs>
        <w:spacing w:line="241" w:lineRule="exact" w:before="0" w:after="0"/>
        <w:ind w:left="1499" w:right="0" w:hanging="299"/>
        <w:jc w:val="both"/>
        <w:rPr>
          <w:rFonts w:ascii="Times New Roman" w:hAnsi="Times New Roman"/>
          <w:sz w:val="21"/>
        </w:rPr>
      </w:pPr>
      <w:r>
        <w:rPr>
          <w:rFonts w:ascii="Times New Roman" w:hAnsi="Times New Roman"/>
          <w:color w:val="231F20"/>
          <w:w w:val="90"/>
          <w:sz w:val="21"/>
        </w:rPr>
        <w:t>The</w:t>
      </w:r>
      <w:r>
        <w:rPr>
          <w:rFonts w:ascii="Times New Roman" w:hAnsi="Times New Roman"/>
          <w:color w:val="231F20"/>
          <w:spacing w:val="18"/>
          <w:sz w:val="21"/>
        </w:rPr>
        <w:t> </w:t>
      </w:r>
      <w:r>
        <w:rPr>
          <w:rFonts w:ascii="Times New Roman" w:hAnsi="Times New Roman"/>
          <w:color w:val="231F20"/>
          <w:w w:val="90"/>
          <w:sz w:val="21"/>
        </w:rPr>
        <w:t>ease</w:t>
      </w:r>
      <w:r>
        <w:rPr>
          <w:rFonts w:ascii="Times New Roman" w:hAnsi="Times New Roman"/>
          <w:color w:val="231F20"/>
          <w:spacing w:val="18"/>
          <w:sz w:val="21"/>
        </w:rPr>
        <w:t> </w:t>
      </w:r>
      <w:r>
        <w:rPr>
          <w:rFonts w:ascii="Times New Roman" w:hAnsi="Times New Roman"/>
          <w:color w:val="231F20"/>
          <w:w w:val="90"/>
          <w:sz w:val="21"/>
        </w:rPr>
        <w:t>of</w:t>
      </w:r>
      <w:r>
        <w:rPr>
          <w:rFonts w:ascii="Times New Roman" w:hAnsi="Times New Roman"/>
          <w:color w:val="231F20"/>
          <w:spacing w:val="19"/>
          <w:sz w:val="21"/>
        </w:rPr>
        <w:t> </w:t>
      </w:r>
      <w:r>
        <w:rPr>
          <w:rFonts w:ascii="Times New Roman" w:hAnsi="Times New Roman"/>
          <w:color w:val="231F20"/>
          <w:w w:val="90"/>
          <w:sz w:val="21"/>
        </w:rPr>
        <w:t>arranging</w:t>
      </w:r>
      <w:r>
        <w:rPr>
          <w:rFonts w:ascii="Times New Roman" w:hAnsi="Times New Roman"/>
          <w:color w:val="231F20"/>
          <w:spacing w:val="18"/>
          <w:sz w:val="21"/>
        </w:rPr>
        <w:t> </w:t>
      </w:r>
      <w:r>
        <w:rPr>
          <w:rFonts w:ascii="Times New Roman" w:hAnsi="Times New Roman"/>
          <w:color w:val="231F20"/>
          <w:w w:val="90"/>
          <w:sz w:val="21"/>
        </w:rPr>
        <w:t>competitively</w:t>
      </w:r>
      <w:r>
        <w:rPr>
          <w:rFonts w:ascii="Times New Roman" w:hAnsi="Times New Roman"/>
          <w:color w:val="231F20"/>
          <w:spacing w:val="18"/>
          <w:sz w:val="21"/>
        </w:rPr>
        <w:t> </w:t>
      </w:r>
      <w:r>
        <w:rPr>
          <w:rFonts w:ascii="Times New Roman" w:hAnsi="Times New Roman"/>
          <w:color w:val="231F20"/>
          <w:spacing w:val="-2"/>
          <w:w w:val="90"/>
          <w:sz w:val="21"/>
        </w:rPr>
        <w:t>priced</w:t>
      </w:r>
    </w:p>
    <w:p>
      <w:pPr>
        <w:pStyle w:val="BodyText"/>
        <w:spacing w:line="268" w:lineRule="auto" w:before="29"/>
        <w:ind w:left="1500" w:right="1"/>
        <w:jc w:val="both"/>
      </w:pPr>
      <w:r>
        <w:rPr>
          <w:color w:val="231F20"/>
          <w:spacing w:val="-2"/>
        </w:rPr>
        <w:t>shipments,</w:t>
      </w:r>
      <w:r>
        <w:rPr>
          <w:color w:val="231F20"/>
          <w:spacing w:val="-9"/>
        </w:rPr>
        <w:t> </w:t>
      </w:r>
      <w:r>
        <w:rPr>
          <w:color w:val="231F20"/>
          <w:spacing w:val="-2"/>
        </w:rPr>
        <w:t>rated</w:t>
      </w:r>
      <w:r>
        <w:rPr>
          <w:color w:val="231F20"/>
          <w:spacing w:val="-9"/>
        </w:rPr>
        <w:t> </w:t>
      </w:r>
      <w:r>
        <w:rPr>
          <w:color w:val="231F20"/>
          <w:spacing w:val="-2"/>
        </w:rPr>
        <w:t>from</w:t>
      </w:r>
      <w:r>
        <w:rPr>
          <w:color w:val="231F20"/>
          <w:spacing w:val="-9"/>
        </w:rPr>
        <w:t> </w:t>
      </w:r>
      <w:r>
        <w:rPr>
          <w:color w:val="231F20"/>
          <w:spacing w:val="-2"/>
        </w:rPr>
        <w:t>very</w:t>
      </w:r>
      <w:r>
        <w:rPr>
          <w:color w:val="231F20"/>
          <w:spacing w:val="-9"/>
        </w:rPr>
        <w:t> </w:t>
      </w:r>
      <w:r>
        <w:rPr>
          <w:color w:val="231F20"/>
          <w:spacing w:val="-2"/>
        </w:rPr>
        <w:t>difficult</w:t>
      </w:r>
      <w:r>
        <w:rPr>
          <w:color w:val="231F20"/>
          <w:spacing w:val="-9"/>
        </w:rPr>
        <w:t> </w:t>
      </w:r>
      <w:r>
        <w:rPr>
          <w:color w:val="231F20"/>
          <w:spacing w:val="-2"/>
        </w:rPr>
        <w:t>(1)</w:t>
      </w:r>
      <w:r>
        <w:rPr>
          <w:color w:val="231F20"/>
          <w:spacing w:val="-9"/>
        </w:rPr>
        <w:t> </w:t>
      </w:r>
      <w:r>
        <w:rPr>
          <w:color w:val="231F20"/>
          <w:spacing w:val="-2"/>
        </w:rPr>
        <w:t>to very</w:t>
      </w:r>
      <w:r>
        <w:rPr>
          <w:color w:val="231F20"/>
          <w:spacing w:val="-10"/>
        </w:rPr>
        <w:t> </w:t>
      </w:r>
      <w:r>
        <w:rPr>
          <w:color w:val="231F20"/>
          <w:spacing w:val="-2"/>
        </w:rPr>
        <w:t>easy</w:t>
      </w:r>
      <w:r>
        <w:rPr>
          <w:color w:val="231F20"/>
          <w:spacing w:val="-10"/>
        </w:rPr>
        <w:t> </w:t>
      </w:r>
      <w:r>
        <w:rPr>
          <w:color w:val="231F20"/>
          <w:spacing w:val="-2"/>
        </w:rPr>
        <w:t>(5)</w:t>
      </w:r>
      <w:r>
        <w:rPr>
          <w:color w:val="231F20"/>
          <w:spacing w:val="-10"/>
        </w:rPr>
        <w:t> </w:t>
      </w:r>
      <w:r>
        <w:rPr>
          <w:color w:val="231F20"/>
          <w:spacing w:val="-2"/>
        </w:rPr>
        <w:t>in</w:t>
      </w:r>
      <w:r>
        <w:rPr>
          <w:color w:val="231F20"/>
          <w:spacing w:val="-10"/>
        </w:rPr>
        <w:t> </w:t>
      </w:r>
      <w:r>
        <w:rPr>
          <w:color w:val="231F20"/>
          <w:spacing w:val="-2"/>
        </w:rPr>
        <w:t>survey</w:t>
      </w:r>
      <w:r>
        <w:rPr>
          <w:color w:val="231F20"/>
          <w:spacing w:val="-10"/>
        </w:rPr>
        <w:t> </w:t>
      </w:r>
      <w:r>
        <w:rPr>
          <w:color w:val="231F20"/>
          <w:spacing w:val="-2"/>
        </w:rPr>
        <w:t>question</w:t>
      </w:r>
      <w:r>
        <w:rPr>
          <w:color w:val="231F20"/>
          <w:spacing w:val="-10"/>
        </w:rPr>
        <w:t> </w:t>
      </w:r>
      <w:r>
        <w:rPr>
          <w:color w:val="231F20"/>
          <w:spacing w:val="-2"/>
        </w:rPr>
        <w:t>6.</w:t>
      </w:r>
    </w:p>
    <w:p>
      <w:pPr>
        <w:pStyle w:val="ListParagraph"/>
        <w:numPr>
          <w:ilvl w:val="0"/>
          <w:numId w:val="20"/>
        </w:numPr>
        <w:tabs>
          <w:tab w:pos="499" w:val="left" w:leader="none"/>
        </w:tabs>
        <w:spacing w:line="268" w:lineRule="auto" w:before="97" w:after="0"/>
        <w:ind w:left="499" w:right="2817" w:hanging="300"/>
        <w:jc w:val="both"/>
        <w:rPr>
          <w:rFonts w:ascii="Times New Roman" w:hAnsi="Times New Roman"/>
          <w:sz w:val="21"/>
        </w:rPr>
      </w:pPr>
      <w:r>
        <w:rPr/>
        <w:br w:type="column"/>
      </w:r>
      <w:r>
        <w:rPr>
          <w:rFonts w:ascii="Times New Roman" w:hAnsi="Times New Roman"/>
          <w:color w:val="231F20"/>
          <w:sz w:val="21"/>
        </w:rPr>
        <w:t>The competence and quality of logistics </w:t>
      </w:r>
      <w:r>
        <w:rPr>
          <w:rFonts w:ascii="Times New Roman" w:hAnsi="Times New Roman"/>
          <w:color w:val="231F20"/>
          <w:w w:val="90"/>
          <w:sz w:val="21"/>
        </w:rPr>
        <w:t>services,</w:t>
      </w:r>
      <w:r>
        <w:rPr>
          <w:rFonts w:ascii="Times New Roman" w:hAnsi="Times New Roman"/>
          <w:color w:val="231F20"/>
          <w:spacing w:val="-7"/>
          <w:w w:val="90"/>
          <w:sz w:val="21"/>
        </w:rPr>
        <w:t> </w:t>
      </w:r>
      <w:r>
        <w:rPr>
          <w:rFonts w:ascii="Times New Roman" w:hAnsi="Times New Roman"/>
          <w:color w:val="231F20"/>
          <w:w w:val="90"/>
          <w:sz w:val="21"/>
        </w:rPr>
        <w:t>rated</w:t>
      </w:r>
      <w:r>
        <w:rPr>
          <w:rFonts w:ascii="Times New Roman" w:hAnsi="Times New Roman"/>
          <w:color w:val="231F20"/>
          <w:spacing w:val="-7"/>
          <w:w w:val="90"/>
          <w:sz w:val="21"/>
        </w:rPr>
        <w:t> </w:t>
      </w:r>
      <w:r>
        <w:rPr>
          <w:rFonts w:ascii="Times New Roman" w:hAnsi="Times New Roman"/>
          <w:color w:val="231F20"/>
          <w:w w:val="90"/>
          <w:sz w:val="21"/>
        </w:rPr>
        <w:t>from</w:t>
      </w:r>
      <w:r>
        <w:rPr>
          <w:rFonts w:ascii="Times New Roman" w:hAnsi="Times New Roman"/>
          <w:color w:val="231F20"/>
          <w:spacing w:val="-7"/>
          <w:w w:val="90"/>
          <w:sz w:val="21"/>
        </w:rPr>
        <w:t> </w:t>
      </w:r>
      <w:r>
        <w:rPr>
          <w:rFonts w:ascii="Times New Roman" w:hAnsi="Times New Roman"/>
          <w:color w:val="231F20"/>
          <w:w w:val="90"/>
          <w:sz w:val="21"/>
        </w:rPr>
        <w:t>very</w:t>
      </w:r>
      <w:r>
        <w:rPr>
          <w:rFonts w:ascii="Times New Roman" w:hAnsi="Times New Roman"/>
          <w:color w:val="231F20"/>
          <w:spacing w:val="-7"/>
          <w:w w:val="90"/>
          <w:sz w:val="21"/>
        </w:rPr>
        <w:t> </w:t>
      </w:r>
      <w:r>
        <w:rPr>
          <w:rFonts w:ascii="Times New Roman" w:hAnsi="Times New Roman"/>
          <w:color w:val="231F20"/>
          <w:w w:val="90"/>
          <w:sz w:val="21"/>
        </w:rPr>
        <w:t>low</w:t>
      </w:r>
      <w:r>
        <w:rPr>
          <w:rFonts w:ascii="Times New Roman" w:hAnsi="Times New Roman"/>
          <w:color w:val="231F20"/>
          <w:spacing w:val="-7"/>
          <w:w w:val="90"/>
          <w:sz w:val="21"/>
        </w:rPr>
        <w:t> </w:t>
      </w:r>
      <w:r>
        <w:rPr>
          <w:rFonts w:ascii="Times New Roman" w:hAnsi="Times New Roman"/>
          <w:color w:val="231F20"/>
          <w:w w:val="90"/>
          <w:sz w:val="21"/>
        </w:rPr>
        <w:t>(1)</w:t>
      </w:r>
      <w:r>
        <w:rPr>
          <w:rFonts w:ascii="Times New Roman" w:hAnsi="Times New Roman"/>
          <w:color w:val="231F20"/>
          <w:spacing w:val="-7"/>
          <w:w w:val="90"/>
          <w:sz w:val="21"/>
        </w:rPr>
        <w:t> </w:t>
      </w:r>
      <w:r>
        <w:rPr>
          <w:rFonts w:ascii="Times New Roman" w:hAnsi="Times New Roman"/>
          <w:color w:val="231F20"/>
          <w:w w:val="90"/>
          <w:sz w:val="21"/>
        </w:rPr>
        <w:t>to</w:t>
      </w:r>
      <w:r>
        <w:rPr>
          <w:rFonts w:ascii="Times New Roman" w:hAnsi="Times New Roman"/>
          <w:color w:val="231F20"/>
          <w:spacing w:val="-7"/>
          <w:w w:val="90"/>
          <w:sz w:val="21"/>
        </w:rPr>
        <w:t> </w:t>
      </w:r>
      <w:r>
        <w:rPr>
          <w:rFonts w:ascii="Times New Roman" w:hAnsi="Times New Roman"/>
          <w:color w:val="231F20"/>
          <w:w w:val="90"/>
          <w:sz w:val="21"/>
        </w:rPr>
        <w:t>very</w:t>
      </w:r>
      <w:r>
        <w:rPr>
          <w:rFonts w:ascii="Times New Roman" w:hAnsi="Times New Roman"/>
          <w:color w:val="231F20"/>
          <w:spacing w:val="-7"/>
          <w:w w:val="90"/>
          <w:sz w:val="21"/>
        </w:rPr>
        <w:t> </w:t>
      </w:r>
      <w:r>
        <w:rPr>
          <w:rFonts w:ascii="Times New Roman" w:hAnsi="Times New Roman"/>
          <w:color w:val="231F20"/>
          <w:w w:val="90"/>
          <w:sz w:val="21"/>
        </w:rPr>
        <w:t>high</w:t>
      </w:r>
    </w:p>
    <w:p>
      <w:pPr>
        <w:pStyle w:val="BodyText"/>
        <w:spacing w:line="241" w:lineRule="exact"/>
        <w:ind w:left="499"/>
        <w:jc w:val="both"/>
      </w:pPr>
      <w:r>
        <w:rPr>
          <w:color w:val="231F20"/>
          <w:w w:val="90"/>
        </w:rPr>
        <w:t>(5)</w:t>
      </w:r>
      <w:r>
        <w:rPr>
          <w:color w:val="231F20"/>
          <w:spacing w:val="2"/>
        </w:rPr>
        <w:t> </w:t>
      </w:r>
      <w:r>
        <w:rPr>
          <w:color w:val="231F20"/>
          <w:w w:val="90"/>
        </w:rPr>
        <w:t>in</w:t>
      </w:r>
      <w:r>
        <w:rPr>
          <w:color w:val="231F20"/>
          <w:spacing w:val="2"/>
        </w:rPr>
        <w:t> </w:t>
      </w:r>
      <w:r>
        <w:rPr>
          <w:color w:val="231F20"/>
          <w:w w:val="90"/>
        </w:rPr>
        <w:t>survey</w:t>
      </w:r>
      <w:r>
        <w:rPr>
          <w:color w:val="231F20"/>
          <w:spacing w:val="3"/>
        </w:rPr>
        <w:t> </w:t>
      </w:r>
      <w:r>
        <w:rPr>
          <w:color w:val="231F20"/>
          <w:w w:val="90"/>
        </w:rPr>
        <w:t>question</w:t>
      </w:r>
      <w:r>
        <w:rPr>
          <w:color w:val="231F20"/>
          <w:spacing w:val="2"/>
        </w:rPr>
        <w:t> </w:t>
      </w:r>
      <w:r>
        <w:rPr>
          <w:color w:val="231F20"/>
          <w:spacing w:val="-5"/>
          <w:w w:val="90"/>
        </w:rPr>
        <w:t>7.</w:t>
      </w:r>
    </w:p>
    <w:p>
      <w:pPr>
        <w:pStyle w:val="ListParagraph"/>
        <w:numPr>
          <w:ilvl w:val="0"/>
          <w:numId w:val="20"/>
        </w:numPr>
        <w:tabs>
          <w:tab w:pos="499" w:val="left" w:leader="none"/>
        </w:tabs>
        <w:spacing w:line="268" w:lineRule="auto" w:before="8" w:after="0"/>
        <w:ind w:left="499" w:right="2817" w:hanging="300"/>
        <w:jc w:val="both"/>
        <w:rPr>
          <w:rFonts w:ascii="Times New Roman" w:hAnsi="Times New Roman"/>
          <w:sz w:val="21"/>
        </w:rPr>
      </w:pPr>
      <w:r>
        <w:rPr>
          <w:rFonts w:ascii="Times New Roman" w:hAnsi="Times New Roman"/>
          <w:color w:val="231F20"/>
          <w:w w:val="90"/>
          <w:sz w:val="21"/>
        </w:rPr>
        <w:t>The ability to track and trace consignments, </w:t>
      </w:r>
      <w:r>
        <w:rPr>
          <w:rFonts w:ascii="Times New Roman" w:hAnsi="Times New Roman"/>
          <w:color w:val="231F20"/>
          <w:spacing w:val="-2"/>
          <w:sz w:val="21"/>
        </w:rPr>
        <w:t>rated</w:t>
      </w:r>
      <w:r>
        <w:rPr>
          <w:rFonts w:ascii="Times New Roman" w:hAnsi="Times New Roman"/>
          <w:color w:val="231F20"/>
          <w:spacing w:val="-12"/>
          <w:sz w:val="21"/>
        </w:rPr>
        <w:t> </w:t>
      </w:r>
      <w:r>
        <w:rPr>
          <w:rFonts w:ascii="Times New Roman" w:hAnsi="Times New Roman"/>
          <w:color w:val="231F20"/>
          <w:spacing w:val="-2"/>
          <w:sz w:val="21"/>
        </w:rPr>
        <w:t>from</w:t>
      </w:r>
      <w:r>
        <w:rPr>
          <w:rFonts w:ascii="Times New Roman" w:hAnsi="Times New Roman"/>
          <w:color w:val="231F20"/>
          <w:spacing w:val="-11"/>
          <w:sz w:val="21"/>
        </w:rPr>
        <w:t> </w:t>
      </w:r>
      <w:r>
        <w:rPr>
          <w:rFonts w:ascii="Times New Roman" w:hAnsi="Times New Roman"/>
          <w:color w:val="231F20"/>
          <w:spacing w:val="-2"/>
          <w:sz w:val="21"/>
        </w:rPr>
        <w:t>very</w:t>
      </w:r>
      <w:r>
        <w:rPr>
          <w:rFonts w:ascii="Times New Roman" w:hAnsi="Times New Roman"/>
          <w:color w:val="231F20"/>
          <w:spacing w:val="-11"/>
          <w:sz w:val="21"/>
        </w:rPr>
        <w:t> </w:t>
      </w:r>
      <w:r>
        <w:rPr>
          <w:rFonts w:ascii="Times New Roman" w:hAnsi="Times New Roman"/>
          <w:color w:val="231F20"/>
          <w:spacing w:val="-2"/>
          <w:sz w:val="21"/>
        </w:rPr>
        <w:t>low</w:t>
      </w:r>
      <w:r>
        <w:rPr>
          <w:rFonts w:ascii="Times New Roman" w:hAnsi="Times New Roman"/>
          <w:color w:val="231F20"/>
          <w:spacing w:val="-11"/>
          <w:sz w:val="21"/>
        </w:rPr>
        <w:t> </w:t>
      </w:r>
      <w:r>
        <w:rPr>
          <w:rFonts w:ascii="Times New Roman" w:hAnsi="Times New Roman"/>
          <w:color w:val="231F20"/>
          <w:spacing w:val="-2"/>
          <w:sz w:val="21"/>
        </w:rPr>
        <w:t>(1)</w:t>
      </w:r>
      <w:r>
        <w:rPr>
          <w:rFonts w:ascii="Times New Roman" w:hAnsi="Times New Roman"/>
          <w:color w:val="231F20"/>
          <w:spacing w:val="-11"/>
          <w:sz w:val="21"/>
        </w:rPr>
        <w:t> </w:t>
      </w:r>
      <w:r>
        <w:rPr>
          <w:rFonts w:ascii="Times New Roman" w:hAnsi="Times New Roman"/>
          <w:color w:val="231F20"/>
          <w:spacing w:val="-2"/>
          <w:sz w:val="21"/>
        </w:rPr>
        <w:t>to</w:t>
      </w:r>
      <w:r>
        <w:rPr>
          <w:rFonts w:ascii="Times New Roman" w:hAnsi="Times New Roman"/>
          <w:color w:val="231F20"/>
          <w:spacing w:val="-11"/>
          <w:sz w:val="21"/>
        </w:rPr>
        <w:t> </w:t>
      </w:r>
      <w:r>
        <w:rPr>
          <w:rFonts w:ascii="Times New Roman" w:hAnsi="Times New Roman"/>
          <w:color w:val="231F20"/>
          <w:spacing w:val="-2"/>
          <w:sz w:val="21"/>
        </w:rPr>
        <w:t>very</w:t>
      </w:r>
      <w:r>
        <w:rPr>
          <w:rFonts w:ascii="Times New Roman" w:hAnsi="Times New Roman"/>
          <w:color w:val="231F20"/>
          <w:spacing w:val="-11"/>
          <w:sz w:val="21"/>
        </w:rPr>
        <w:t> </w:t>
      </w:r>
      <w:r>
        <w:rPr>
          <w:rFonts w:ascii="Times New Roman" w:hAnsi="Times New Roman"/>
          <w:color w:val="231F20"/>
          <w:spacing w:val="-2"/>
          <w:sz w:val="21"/>
        </w:rPr>
        <w:t>high</w:t>
      </w:r>
      <w:r>
        <w:rPr>
          <w:rFonts w:ascii="Times New Roman" w:hAnsi="Times New Roman"/>
          <w:color w:val="231F20"/>
          <w:spacing w:val="-11"/>
          <w:sz w:val="21"/>
        </w:rPr>
        <w:t> </w:t>
      </w:r>
      <w:r>
        <w:rPr>
          <w:rFonts w:ascii="Times New Roman" w:hAnsi="Times New Roman"/>
          <w:color w:val="231F20"/>
          <w:spacing w:val="-2"/>
          <w:sz w:val="21"/>
        </w:rPr>
        <w:t>(5)</w:t>
      </w:r>
      <w:r>
        <w:rPr>
          <w:rFonts w:ascii="Times New Roman" w:hAnsi="Times New Roman"/>
          <w:color w:val="231F20"/>
          <w:spacing w:val="-12"/>
          <w:sz w:val="21"/>
        </w:rPr>
        <w:t> </w:t>
      </w:r>
      <w:r>
        <w:rPr>
          <w:rFonts w:ascii="Times New Roman" w:hAnsi="Times New Roman"/>
          <w:color w:val="231F20"/>
          <w:spacing w:val="-2"/>
          <w:sz w:val="21"/>
        </w:rPr>
        <w:t>in </w:t>
      </w:r>
      <w:r>
        <w:rPr>
          <w:rFonts w:ascii="Times New Roman" w:hAnsi="Times New Roman"/>
          <w:color w:val="231F20"/>
          <w:sz w:val="21"/>
        </w:rPr>
        <w:t>survey question 8.</w:t>
      </w:r>
    </w:p>
    <w:p>
      <w:pPr>
        <w:pStyle w:val="ListParagraph"/>
        <w:numPr>
          <w:ilvl w:val="0"/>
          <w:numId w:val="20"/>
        </w:numPr>
        <w:tabs>
          <w:tab w:pos="498" w:val="left" w:leader="none"/>
        </w:tabs>
        <w:spacing w:line="240" w:lineRule="exact" w:before="0" w:after="0"/>
        <w:ind w:left="498" w:right="0" w:hanging="299"/>
        <w:jc w:val="both"/>
        <w:rPr>
          <w:rFonts w:ascii="Times New Roman" w:hAnsi="Times New Roman"/>
          <w:sz w:val="21"/>
        </w:rPr>
      </w:pPr>
      <w:r>
        <w:rPr>
          <w:rFonts w:ascii="Times New Roman" w:hAnsi="Times New Roman"/>
          <w:color w:val="231F20"/>
          <w:spacing w:val="-6"/>
          <w:sz w:val="21"/>
        </w:rPr>
        <w:t>The</w:t>
      </w:r>
      <w:r>
        <w:rPr>
          <w:rFonts w:ascii="Times New Roman" w:hAnsi="Times New Roman"/>
          <w:color w:val="231F20"/>
          <w:spacing w:val="-5"/>
          <w:sz w:val="21"/>
        </w:rPr>
        <w:t> </w:t>
      </w:r>
      <w:r>
        <w:rPr>
          <w:rFonts w:ascii="Times New Roman" w:hAnsi="Times New Roman"/>
          <w:color w:val="231F20"/>
          <w:spacing w:val="-6"/>
          <w:sz w:val="21"/>
        </w:rPr>
        <w:t>frequency</w:t>
      </w:r>
      <w:r>
        <w:rPr>
          <w:rFonts w:ascii="Times New Roman" w:hAnsi="Times New Roman"/>
          <w:color w:val="231F20"/>
          <w:spacing w:val="-5"/>
          <w:sz w:val="21"/>
        </w:rPr>
        <w:t> </w:t>
      </w:r>
      <w:r>
        <w:rPr>
          <w:rFonts w:ascii="Times New Roman" w:hAnsi="Times New Roman"/>
          <w:color w:val="231F20"/>
          <w:spacing w:val="-6"/>
          <w:sz w:val="21"/>
        </w:rPr>
        <w:t>with</w:t>
      </w:r>
      <w:r>
        <w:rPr>
          <w:rFonts w:ascii="Times New Roman" w:hAnsi="Times New Roman"/>
          <w:color w:val="231F20"/>
          <w:spacing w:val="-4"/>
          <w:sz w:val="21"/>
        </w:rPr>
        <w:t> </w:t>
      </w:r>
      <w:r>
        <w:rPr>
          <w:rFonts w:ascii="Times New Roman" w:hAnsi="Times New Roman"/>
          <w:color w:val="231F20"/>
          <w:spacing w:val="-6"/>
          <w:sz w:val="21"/>
        </w:rPr>
        <w:t>which</w:t>
      </w:r>
      <w:r>
        <w:rPr>
          <w:rFonts w:ascii="Times New Roman" w:hAnsi="Times New Roman"/>
          <w:color w:val="231F20"/>
          <w:spacing w:val="-5"/>
          <w:sz w:val="21"/>
        </w:rPr>
        <w:t> </w:t>
      </w:r>
      <w:r>
        <w:rPr>
          <w:rFonts w:ascii="Times New Roman" w:hAnsi="Times New Roman"/>
          <w:color w:val="231F20"/>
          <w:spacing w:val="-6"/>
          <w:sz w:val="21"/>
        </w:rPr>
        <w:t>shipments</w:t>
      </w:r>
      <w:r>
        <w:rPr>
          <w:rFonts w:ascii="Times New Roman" w:hAnsi="Times New Roman"/>
          <w:color w:val="231F20"/>
          <w:spacing w:val="-5"/>
          <w:sz w:val="21"/>
        </w:rPr>
        <w:t> </w:t>
      </w:r>
      <w:r>
        <w:rPr>
          <w:rFonts w:ascii="Times New Roman" w:hAnsi="Times New Roman"/>
          <w:color w:val="231F20"/>
          <w:spacing w:val="-6"/>
          <w:sz w:val="21"/>
        </w:rPr>
        <w:t>reach</w:t>
      </w:r>
    </w:p>
    <w:p>
      <w:pPr>
        <w:pStyle w:val="BodyText"/>
        <w:spacing w:line="268" w:lineRule="auto" w:before="29"/>
        <w:ind w:left="499" w:right="2813"/>
        <w:jc w:val="both"/>
      </w:pPr>
      <w:r>
        <w:rPr>
          <w:color w:val="231F20"/>
        </w:rPr>
        <w:t>consignees</w:t>
      </w:r>
      <w:r>
        <w:rPr>
          <w:color w:val="231F20"/>
          <w:spacing w:val="-11"/>
        </w:rPr>
        <w:t> </w:t>
      </w:r>
      <w:r>
        <w:rPr>
          <w:color w:val="231F20"/>
        </w:rPr>
        <w:t>within</w:t>
      </w:r>
      <w:r>
        <w:rPr>
          <w:color w:val="231F20"/>
          <w:spacing w:val="-11"/>
        </w:rPr>
        <w:t> </w:t>
      </w:r>
      <w:r>
        <w:rPr>
          <w:color w:val="231F20"/>
        </w:rPr>
        <w:t>scheduled</w:t>
      </w:r>
      <w:r>
        <w:rPr>
          <w:color w:val="231F20"/>
          <w:spacing w:val="-11"/>
        </w:rPr>
        <w:t> </w:t>
      </w:r>
      <w:r>
        <w:rPr>
          <w:color w:val="231F20"/>
        </w:rPr>
        <w:t>or</w:t>
      </w:r>
      <w:r>
        <w:rPr>
          <w:color w:val="231F20"/>
          <w:spacing w:val="-11"/>
        </w:rPr>
        <w:t> </w:t>
      </w:r>
      <w:r>
        <w:rPr>
          <w:color w:val="231F20"/>
        </w:rPr>
        <w:t>expected </w:t>
      </w:r>
      <w:r>
        <w:rPr>
          <w:color w:val="231F20"/>
          <w:spacing w:val="-8"/>
        </w:rPr>
        <w:t>delivery</w:t>
      </w:r>
      <w:r>
        <w:rPr>
          <w:color w:val="231F20"/>
          <w:spacing w:val="-1"/>
        </w:rPr>
        <w:t> </w:t>
      </w:r>
      <w:r>
        <w:rPr>
          <w:color w:val="231F20"/>
          <w:spacing w:val="-8"/>
        </w:rPr>
        <w:t>times,</w:t>
      </w:r>
      <w:r>
        <w:rPr>
          <w:color w:val="231F20"/>
          <w:spacing w:val="-1"/>
        </w:rPr>
        <w:t> </w:t>
      </w:r>
      <w:r>
        <w:rPr>
          <w:color w:val="231F20"/>
          <w:spacing w:val="-8"/>
        </w:rPr>
        <w:t>rated</w:t>
      </w:r>
      <w:r>
        <w:rPr>
          <w:color w:val="231F20"/>
          <w:spacing w:val="-1"/>
        </w:rPr>
        <w:t> </w:t>
      </w:r>
      <w:r>
        <w:rPr>
          <w:color w:val="231F20"/>
          <w:spacing w:val="-8"/>
        </w:rPr>
        <w:t>from</w:t>
      </w:r>
      <w:r>
        <w:rPr>
          <w:color w:val="231F20"/>
          <w:spacing w:val="-1"/>
        </w:rPr>
        <w:t> </w:t>
      </w:r>
      <w:r>
        <w:rPr>
          <w:color w:val="231F20"/>
          <w:spacing w:val="-8"/>
        </w:rPr>
        <w:t>hardly</w:t>
      </w:r>
      <w:r>
        <w:rPr>
          <w:color w:val="231F20"/>
          <w:spacing w:val="-1"/>
        </w:rPr>
        <w:t> </w:t>
      </w:r>
      <w:r>
        <w:rPr>
          <w:color w:val="231F20"/>
          <w:spacing w:val="-8"/>
        </w:rPr>
        <w:t>ever</w:t>
      </w:r>
      <w:r>
        <w:rPr>
          <w:color w:val="231F20"/>
          <w:spacing w:val="-1"/>
        </w:rPr>
        <w:t> </w:t>
      </w:r>
      <w:r>
        <w:rPr>
          <w:color w:val="231F20"/>
          <w:spacing w:val="-8"/>
        </w:rPr>
        <w:t>(1)</w:t>
      </w:r>
      <w:r>
        <w:rPr>
          <w:color w:val="231F20"/>
          <w:spacing w:val="-1"/>
        </w:rPr>
        <w:t> </w:t>
      </w:r>
      <w:r>
        <w:rPr>
          <w:color w:val="231F20"/>
          <w:spacing w:val="-8"/>
        </w:rPr>
        <w:t>to </w:t>
      </w:r>
      <w:r>
        <w:rPr>
          <w:color w:val="231F20"/>
          <w:spacing w:val="-2"/>
        </w:rPr>
        <w:t>nearly</w:t>
      </w:r>
      <w:r>
        <w:rPr>
          <w:color w:val="231F20"/>
          <w:spacing w:val="-13"/>
        </w:rPr>
        <w:t> </w:t>
      </w:r>
      <w:r>
        <w:rPr>
          <w:color w:val="231F20"/>
          <w:spacing w:val="-2"/>
        </w:rPr>
        <w:t>always</w:t>
      </w:r>
      <w:r>
        <w:rPr>
          <w:color w:val="231F20"/>
          <w:spacing w:val="-13"/>
        </w:rPr>
        <w:t> </w:t>
      </w:r>
      <w:r>
        <w:rPr>
          <w:color w:val="231F20"/>
          <w:spacing w:val="-2"/>
        </w:rPr>
        <w:t>(5)</w:t>
      </w:r>
      <w:r>
        <w:rPr>
          <w:color w:val="231F20"/>
          <w:spacing w:val="-13"/>
        </w:rPr>
        <w:t> </w:t>
      </w:r>
      <w:r>
        <w:rPr>
          <w:color w:val="231F20"/>
          <w:spacing w:val="-2"/>
        </w:rPr>
        <w:t>in</w:t>
      </w:r>
      <w:r>
        <w:rPr>
          <w:color w:val="231F20"/>
          <w:spacing w:val="-13"/>
        </w:rPr>
        <w:t> </w:t>
      </w:r>
      <w:r>
        <w:rPr>
          <w:color w:val="231F20"/>
          <w:spacing w:val="-2"/>
        </w:rPr>
        <w:t>survey</w:t>
      </w:r>
      <w:r>
        <w:rPr>
          <w:color w:val="231F20"/>
          <w:spacing w:val="-13"/>
        </w:rPr>
        <w:t> </w:t>
      </w:r>
      <w:r>
        <w:rPr>
          <w:color w:val="231F20"/>
          <w:spacing w:val="-2"/>
        </w:rPr>
        <w:t>question</w:t>
      </w:r>
      <w:r>
        <w:rPr>
          <w:color w:val="231F20"/>
          <w:spacing w:val="-13"/>
        </w:rPr>
        <w:t> </w:t>
      </w:r>
      <w:r>
        <w:rPr>
          <w:color w:val="231F20"/>
          <w:spacing w:val="-2"/>
        </w:rPr>
        <w:t>9.</w:t>
      </w:r>
    </w:p>
    <w:p>
      <w:pPr>
        <w:pStyle w:val="BodyText"/>
        <w:spacing w:line="268" w:lineRule="auto"/>
        <w:ind w:left="199" w:right="2816" w:firstLine="300"/>
        <w:jc w:val="right"/>
      </w:pPr>
      <w:r>
        <w:rPr>
          <w:color w:val="231F20"/>
          <w:spacing w:val="-2"/>
        </w:rPr>
        <w:t>The</w:t>
      </w:r>
      <w:r>
        <w:rPr>
          <w:color w:val="231F20"/>
          <w:spacing w:val="-8"/>
        </w:rPr>
        <w:t> </w:t>
      </w:r>
      <w:r>
        <w:rPr>
          <w:color w:val="231F20"/>
          <w:spacing w:val="-2"/>
        </w:rPr>
        <w:t>overall</w:t>
      </w:r>
      <w:r>
        <w:rPr>
          <w:color w:val="231F20"/>
          <w:spacing w:val="-8"/>
        </w:rPr>
        <w:t> </w:t>
      </w:r>
      <w:r>
        <w:rPr>
          <w:color w:val="231F20"/>
          <w:spacing w:val="-2"/>
        </w:rPr>
        <w:t>LPI</w:t>
      </w:r>
      <w:r>
        <w:rPr>
          <w:color w:val="231F20"/>
          <w:spacing w:val="-8"/>
        </w:rPr>
        <w:t> </w:t>
      </w:r>
      <w:r>
        <w:rPr>
          <w:color w:val="231F20"/>
          <w:spacing w:val="-2"/>
        </w:rPr>
        <w:t>score</w:t>
      </w:r>
      <w:r>
        <w:rPr>
          <w:color w:val="231F20"/>
          <w:spacing w:val="-8"/>
        </w:rPr>
        <w:t> </w:t>
      </w:r>
      <w:r>
        <w:rPr>
          <w:color w:val="231F20"/>
          <w:spacing w:val="-2"/>
        </w:rPr>
        <w:t>is</w:t>
      </w:r>
      <w:r>
        <w:rPr>
          <w:color w:val="231F20"/>
          <w:spacing w:val="-8"/>
        </w:rPr>
        <w:t> </w:t>
      </w:r>
      <w:r>
        <w:rPr>
          <w:color w:val="231F20"/>
          <w:spacing w:val="-2"/>
        </w:rPr>
        <w:t>constructed</w:t>
      </w:r>
      <w:r>
        <w:rPr>
          <w:color w:val="231F20"/>
          <w:spacing w:val="-8"/>
        </w:rPr>
        <w:t> </w:t>
      </w:r>
      <w:r>
        <w:rPr>
          <w:color w:val="231F20"/>
          <w:spacing w:val="-2"/>
        </w:rPr>
        <w:t>from </w:t>
      </w:r>
      <w:r>
        <w:rPr>
          <w:color w:val="231F20"/>
          <w:spacing w:val="-4"/>
        </w:rPr>
        <w:t>these</w:t>
      </w:r>
      <w:r>
        <w:rPr>
          <w:color w:val="231F20"/>
          <w:spacing w:val="-10"/>
        </w:rPr>
        <w:t> </w:t>
      </w:r>
      <w:r>
        <w:rPr>
          <w:color w:val="231F20"/>
          <w:spacing w:val="-4"/>
        </w:rPr>
        <w:t>six</w:t>
      </w:r>
      <w:r>
        <w:rPr>
          <w:color w:val="231F20"/>
          <w:spacing w:val="-9"/>
        </w:rPr>
        <w:t> </w:t>
      </w:r>
      <w:r>
        <w:rPr>
          <w:color w:val="231F20"/>
          <w:spacing w:val="-4"/>
        </w:rPr>
        <w:t>indicators</w:t>
      </w:r>
      <w:r>
        <w:rPr>
          <w:color w:val="231F20"/>
          <w:spacing w:val="-9"/>
        </w:rPr>
        <w:t> </w:t>
      </w:r>
      <w:r>
        <w:rPr>
          <w:color w:val="231F20"/>
          <w:spacing w:val="-4"/>
        </w:rPr>
        <w:t>using</w:t>
      </w:r>
      <w:r>
        <w:rPr>
          <w:color w:val="231F20"/>
          <w:spacing w:val="-9"/>
        </w:rPr>
        <w:t> </w:t>
      </w:r>
      <w:r>
        <w:rPr>
          <w:color w:val="231F20"/>
          <w:spacing w:val="-4"/>
        </w:rPr>
        <w:t>principal</w:t>
      </w:r>
      <w:r>
        <w:rPr>
          <w:color w:val="231F20"/>
          <w:spacing w:val="-9"/>
        </w:rPr>
        <w:t> </w:t>
      </w:r>
      <w:r>
        <w:rPr>
          <w:color w:val="231F20"/>
          <w:spacing w:val="-4"/>
        </w:rPr>
        <w:t>component </w:t>
      </w:r>
      <w:r>
        <w:rPr>
          <w:color w:val="231F20"/>
          <w:w w:val="90"/>
        </w:rPr>
        <w:t>analysis, a standard statistical technique used to </w:t>
      </w:r>
      <w:r>
        <w:rPr>
          <w:color w:val="231F20"/>
        </w:rPr>
        <w:t>reduce</w:t>
      </w:r>
      <w:r>
        <w:rPr>
          <w:color w:val="231F20"/>
          <w:spacing w:val="-12"/>
        </w:rPr>
        <w:t> </w:t>
      </w:r>
      <w:r>
        <w:rPr>
          <w:color w:val="231F20"/>
        </w:rPr>
        <w:t>the</w:t>
      </w:r>
      <w:r>
        <w:rPr>
          <w:color w:val="231F20"/>
          <w:spacing w:val="-12"/>
        </w:rPr>
        <w:t> </w:t>
      </w:r>
      <w:r>
        <w:rPr>
          <w:color w:val="231F20"/>
        </w:rPr>
        <w:t>dimensionality</w:t>
      </w:r>
      <w:r>
        <w:rPr>
          <w:color w:val="231F20"/>
          <w:spacing w:val="-12"/>
        </w:rPr>
        <w:t> </w:t>
      </w:r>
      <w:r>
        <w:rPr>
          <w:color w:val="231F20"/>
        </w:rPr>
        <w:t>of</w:t>
      </w:r>
      <w:r>
        <w:rPr>
          <w:color w:val="231F20"/>
          <w:spacing w:val="-12"/>
        </w:rPr>
        <w:t> </w:t>
      </w:r>
      <w:r>
        <w:rPr>
          <w:color w:val="231F20"/>
        </w:rPr>
        <w:t>a</w:t>
      </w:r>
      <w:r>
        <w:rPr>
          <w:color w:val="231F20"/>
          <w:spacing w:val="-12"/>
        </w:rPr>
        <w:t> </w:t>
      </w:r>
      <w:r>
        <w:rPr>
          <w:color w:val="231F20"/>
        </w:rPr>
        <w:t>dataset.</w:t>
      </w:r>
      <w:r>
        <w:rPr>
          <w:color w:val="231F20"/>
          <w:spacing w:val="-12"/>
        </w:rPr>
        <w:t> </w:t>
      </w:r>
      <w:r>
        <w:rPr>
          <w:color w:val="231F20"/>
        </w:rPr>
        <w:t>In</w:t>
      </w:r>
      <w:r>
        <w:rPr>
          <w:color w:val="231F20"/>
          <w:spacing w:val="-12"/>
        </w:rPr>
        <w:t> </w:t>
      </w:r>
      <w:r>
        <w:rPr>
          <w:color w:val="231F20"/>
        </w:rPr>
        <w:t>the </w:t>
      </w:r>
      <w:r>
        <w:rPr>
          <w:color w:val="231F20"/>
          <w:spacing w:val="-6"/>
        </w:rPr>
        <w:t>LPI,</w:t>
      </w:r>
      <w:r>
        <w:rPr>
          <w:color w:val="231F20"/>
          <w:spacing w:val="-20"/>
        </w:rPr>
        <w:t> </w:t>
      </w:r>
      <w:r>
        <w:rPr>
          <w:color w:val="231F20"/>
          <w:spacing w:val="-6"/>
        </w:rPr>
        <w:t>the</w:t>
      </w:r>
      <w:r>
        <w:rPr>
          <w:color w:val="231F20"/>
          <w:spacing w:val="-18"/>
        </w:rPr>
        <w:t> </w:t>
      </w:r>
      <w:r>
        <w:rPr>
          <w:color w:val="231F20"/>
          <w:spacing w:val="-6"/>
        </w:rPr>
        <w:t>inputs</w:t>
      </w:r>
      <w:r>
        <w:rPr>
          <w:color w:val="231F20"/>
          <w:spacing w:val="-18"/>
        </w:rPr>
        <w:t> </w:t>
      </w:r>
      <w:r>
        <w:rPr>
          <w:color w:val="231F20"/>
          <w:spacing w:val="-6"/>
        </w:rPr>
        <w:t>for</w:t>
      </w:r>
      <w:r>
        <w:rPr>
          <w:color w:val="231F20"/>
          <w:spacing w:val="-18"/>
        </w:rPr>
        <w:t> </w:t>
      </w:r>
      <w:r>
        <w:rPr>
          <w:color w:val="231F20"/>
          <w:spacing w:val="-6"/>
        </w:rPr>
        <w:t>principal</w:t>
      </w:r>
      <w:r>
        <w:rPr>
          <w:color w:val="231F20"/>
          <w:spacing w:val="-18"/>
        </w:rPr>
        <w:t> </w:t>
      </w:r>
      <w:r>
        <w:rPr>
          <w:color w:val="231F20"/>
          <w:spacing w:val="-6"/>
        </w:rPr>
        <w:t>component</w:t>
      </w:r>
      <w:r>
        <w:rPr>
          <w:color w:val="231F20"/>
          <w:spacing w:val="-18"/>
        </w:rPr>
        <w:t> </w:t>
      </w:r>
      <w:r>
        <w:rPr>
          <w:color w:val="231F20"/>
          <w:spacing w:val="-6"/>
        </w:rPr>
        <w:t>analysis </w:t>
      </w:r>
      <w:r>
        <w:rPr>
          <w:color w:val="231F20"/>
          <w:spacing w:val="-4"/>
        </w:rPr>
        <w:t>are</w:t>
      </w:r>
      <w:r>
        <w:rPr>
          <w:color w:val="231F20"/>
          <w:spacing w:val="-5"/>
        </w:rPr>
        <w:t> </w:t>
      </w:r>
      <w:r>
        <w:rPr>
          <w:color w:val="231F20"/>
          <w:spacing w:val="-4"/>
        </w:rPr>
        <w:t>country</w:t>
      </w:r>
      <w:r>
        <w:rPr>
          <w:color w:val="231F20"/>
          <w:spacing w:val="-5"/>
        </w:rPr>
        <w:t> </w:t>
      </w:r>
      <w:r>
        <w:rPr>
          <w:color w:val="231F20"/>
          <w:spacing w:val="-4"/>
        </w:rPr>
        <w:t>scores</w:t>
      </w:r>
      <w:r>
        <w:rPr>
          <w:color w:val="231F20"/>
          <w:spacing w:val="-5"/>
        </w:rPr>
        <w:t> </w:t>
      </w:r>
      <w:r>
        <w:rPr>
          <w:color w:val="231F20"/>
          <w:spacing w:val="-4"/>
        </w:rPr>
        <w:t>on</w:t>
      </w:r>
      <w:r>
        <w:rPr>
          <w:color w:val="231F20"/>
          <w:spacing w:val="-5"/>
        </w:rPr>
        <w:t> </w:t>
      </w:r>
      <w:r>
        <w:rPr>
          <w:color w:val="231F20"/>
          <w:spacing w:val="-4"/>
        </w:rPr>
        <w:t>questions</w:t>
      </w:r>
      <w:r>
        <w:rPr>
          <w:color w:val="231F20"/>
          <w:spacing w:val="-5"/>
        </w:rPr>
        <w:t> </w:t>
      </w:r>
      <w:r>
        <w:rPr>
          <w:color w:val="231F20"/>
          <w:spacing w:val="-4"/>
        </w:rPr>
        <w:t>4–9,</w:t>
      </w:r>
      <w:r>
        <w:rPr>
          <w:color w:val="231F20"/>
          <w:spacing w:val="-5"/>
        </w:rPr>
        <w:t> </w:t>
      </w:r>
      <w:r>
        <w:rPr>
          <w:color w:val="231F20"/>
          <w:spacing w:val="-4"/>
        </w:rPr>
        <w:t>averaged </w:t>
      </w:r>
      <w:r>
        <w:rPr>
          <w:color w:val="231F20"/>
          <w:w w:val="90"/>
        </w:rPr>
        <w:t>across all respondents providing data on a given overseas market. Scores are normalized by sub- </w:t>
      </w:r>
      <w:r>
        <w:rPr>
          <w:color w:val="231F20"/>
        </w:rPr>
        <w:t>tracting</w:t>
      </w:r>
      <w:r>
        <w:rPr>
          <w:color w:val="231F20"/>
          <w:spacing w:val="-14"/>
        </w:rPr>
        <w:t> </w:t>
      </w:r>
      <w:r>
        <w:rPr>
          <w:color w:val="231F20"/>
        </w:rPr>
        <w:t>the</w:t>
      </w:r>
      <w:r>
        <w:rPr>
          <w:color w:val="231F20"/>
          <w:spacing w:val="-13"/>
        </w:rPr>
        <w:t> </w:t>
      </w:r>
      <w:r>
        <w:rPr>
          <w:color w:val="231F20"/>
        </w:rPr>
        <w:t>sample</w:t>
      </w:r>
      <w:r>
        <w:rPr>
          <w:color w:val="231F20"/>
          <w:spacing w:val="-13"/>
        </w:rPr>
        <w:t> </w:t>
      </w:r>
      <w:r>
        <w:rPr>
          <w:color w:val="231F20"/>
        </w:rPr>
        <w:t>mean</w:t>
      </w:r>
      <w:r>
        <w:rPr>
          <w:color w:val="231F20"/>
          <w:spacing w:val="-13"/>
        </w:rPr>
        <w:t> </w:t>
      </w:r>
      <w:r>
        <w:rPr>
          <w:color w:val="231F20"/>
        </w:rPr>
        <w:t>and</w:t>
      </w:r>
      <w:r>
        <w:rPr>
          <w:color w:val="231F20"/>
          <w:spacing w:val="-13"/>
        </w:rPr>
        <w:t> </w:t>
      </w:r>
      <w:r>
        <w:rPr>
          <w:color w:val="231F20"/>
        </w:rPr>
        <w:t>dividing</w:t>
      </w:r>
      <w:r>
        <w:rPr>
          <w:color w:val="231F20"/>
          <w:spacing w:val="-13"/>
        </w:rPr>
        <w:t> </w:t>
      </w:r>
      <w:r>
        <w:rPr>
          <w:color w:val="231F20"/>
        </w:rPr>
        <w:t>by</w:t>
      </w:r>
      <w:r>
        <w:rPr>
          <w:color w:val="231F20"/>
          <w:spacing w:val="-13"/>
        </w:rPr>
        <w:t> </w:t>
      </w:r>
      <w:r>
        <w:rPr>
          <w:color w:val="231F20"/>
        </w:rPr>
        <w:t>the </w:t>
      </w:r>
      <w:r>
        <w:rPr>
          <w:color w:val="231F20"/>
          <w:spacing w:val="-4"/>
        </w:rPr>
        <w:t>standard</w:t>
      </w:r>
      <w:r>
        <w:rPr>
          <w:color w:val="231F20"/>
          <w:spacing w:val="-9"/>
        </w:rPr>
        <w:t> </w:t>
      </w:r>
      <w:r>
        <w:rPr>
          <w:color w:val="231F20"/>
          <w:spacing w:val="-4"/>
        </w:rPr>
        <w:t>deviation</w:t>
      </w:r>
      <w:r>
        <w:rPr>
          <w:color w:val="231F20"/>
          <w:spacing w:val="-9"/>
        </w:rPr>
        <w:t> </w:t>
      </w:r>
      <w:r>
        <w:rPr>
          <w:color w:val="231F20"/>
          <w:spacing w:val="-4"/>
        </w:rPr>
        <w:t>before</w:t>
      </w:r>
      <w:r>
        <w:rPr>
          <w:color w:val="231F20"/>
          <w:spacing w:val="-9"/>
        </w:rPr>
        <w:t> </w:t>
      </w:r>
      <w:r>
        <w:rPr>
          <w:color w:val="231F20"/>
          <w:spacing w:val="-4"/>
        </w:rPr>
        <w:t>conducting</w:t>
      </w:r>
      <w:r>
        <w:rPr>
          <w:color w:val="231F20"/>
          <w:spacing w:val="-9"/>
        </w:rPr>
        <w:t> </w:t>
      </w:r>
      <w:r>
        <w:rPr>
          <w:color w:val="231F20"/>
          <w:spacing w:val="-4"/>
        </w:rPr>
        <w:t>the</w:t>
      </w:r>
      <w:r>
        <w:rPr>
          <w:color w:val="231F20"/>
          <w:spacing w:val="-9"/>
        </w:rPr>
        <w:t> </w:t>
      </w:r>
      <w:r>
        <w:rPr>
          <w:color w:val="231F20"/>
          <w:spacing w:val="-4"/>
        </w:rPr>
        <w:t>prin- cipal</w:t>
      </w:r>
      <w:r>
        <w:rPr>
          <w:color w:val="231F20"/>
          <w:spacing w:val="-10"/>
        </w:rPr>
        <w:t> </w:t>
      </w:r>
      <w:r>
        <w:rPr>
          <w:color w:val="231F20"/>
          <w:spacing w:val="-4"/>
        </w:rPr>
        <w:t>component</w:t>
      </w:r>
      <w:r>
        <w:rPr>
          <w:color w:val="231F20"/>
          <w:spacing w:val="-9"/>
        </w:rPr>
        <w:t> </w:t>
      </w:r>
      <w:r>
        <w:rPr>
          <w:color w:val="231F20"/>
          <w:spacing w:val="-4"/>
        </w:rPr>
        <w:t>analysis.</w:t>
      </w:r>
      <w:r>
        <w:rPr>
          <w:color w:val="231F20"/>
          <w:spacing w:val="-9"/>
        </w:rPr>
        <w:t> </w:t>
      </w:r>
      <w:r>
        <w:rPr>
          <w:color w:val="231F20"/>
          <w:spacing w:val="-4"/>
        </w:rPr>
        <w:t>The</w:t>
      </w:r>
      <w:r>
        <w:rPr>
          <w:color w:val="231F20"/>
          <w:spacing w:val="-9"/>
        </w:rPr>
        <w:t> </w:t>
      </w:r>
      <w:r>
        <w:rPr>
          <w:color w:val="231F20"/>
          <w:spacing w:val="-4"/>
        </w:rPr>
        <w:t>output</w:t>
      </w:r>
      <w:r>
        <w:rPr>
          <w:color w:val="231F20"/>
          <w:spacing w:val="-9"/>
        </w:rPr>
        <w:t> </w:t>
      </w:r>
      <w:r>
        <w:rPr>
          <w:color w:val="231F20"/>
          <w:spacing w:val="-4"/>
        </w:rPr>
        <w:t>from</w:t>
      </w:r>
      <w:r>
        <w:rPr>
          <w:color w:val="231F20"/>
          <w:spacing w:val="-9"/>
        </w:rPr>
        <w:t> </w:t>
      </w:r>
      <w:r>
        <w:rPr>
          <w:color w:val="231F20"/>
          <w:spacing w:val="-4"/>
        </w:rPr>
        <w:t>the analysis</w:t>
      </w:r>
      <w:r>
        <w:rPr>
          <w:color w:val="231F20"/>
          <w:spacing w:val="-10"/>
        </w:rPr>
        <w:t> </w:t>
      </w:r>
      <w:r>
        <w:rPr>
          <w:color w:val="231F20"/>
          <w:spacing w:val="-4"/>
        </w:rPr>
        <w:t>is</w:t>
      </w:r>
      <w:r>
        <w:rPr>
          <w:color w:val="231F20"/>
          <w:spacing w:val="-9"/>
        </w:rPr>
        <w:t> </w:t>
      </w:r>
      <w:r>
        <w:rPr>
          <w:color w:val="231F20"/>
          <w:spacing w:val="-4"/>
        </w:rPr>
        <w:t>a</w:t>
      </w:r>
      <w:r>
        <w:rPr>
          <w:color w:val="231F20"/>
          <w:spacing w:val="-9"/>
        </w:rPr>
        <w:t> </w:t>
      </w:r>
      <w:r>
        <w:rPr>
          <w:color w:val="231F20"/>
          <w:spacing w:val="-4"/>
        </w:rPr>
        <w:t>single</w:t>
      </w:r>
      <w:r>
        <w:rPr>
          <w:color w:val="231F20"/>
          <w:spacing w:val="-9"/>
        </w:rPr>
        <w:t> </w:t>
      </w:r>
      <w:r>
        <w:rPr>
          <w:color w:val="231F20"/>
          <w:spacing w:val="-4"/>
        </w:rPr>
        <w:t>indicator—the</w:t>
      </w:r>
      <w:r>
        <w:rPr>
          <w:color w:val="231F20"/>
          <w:spacing w:val="-9"/>
        </w:rPr>
        <w:t> </w:t>
      </w:r>
      <w:r>
        <w:rPr>
          <w:color w:val="231F20"/>
          <w:spacing w:val="-4"/>
        </w:rPr>
        <w:t>LPI</w:t>
      </w:r>
      <w:r>
        <w:rPr>
          <w:color w:val="231F20"/>
          <w:spacing w:val="-9"/>
        </w:rPr>
        <w:t> </w:t>
      </w:r>
      <w:r>
        <w:rPr>
          <w:color w:val="231F20"/>
          <w:spacing w:val="-4"/>
        </w:rPr>
        <w:t>score— </w:t>
      </w:r>
      <w:r>
        <w:rPr>
          <w:color w:val="231F20"/>
          <w:w w:val="90"/>
        </w:rPr>
        <w:t>which</w:t>
      </w:r>
      <w:r>
        <w:rPr>
          <w:color w:val="231F20"/>
          <w:spacing w:val="-3"/>
          <w:w w:val="90"/>
        </w:rPr>
        <w:t> </w:t>
      </w:r>
      <w:r>
        <w:rPr>
          <w:color w:val="231F20"/>
          <w:w w:val="90"/>
        </w:rPr>
        <w:t>is</w:t>
      </w:r>
      <w:r>
        <w:rPr>
          <w:color w:val="231F20"/>
          <w:spacing w:val="-3"/>
          <w:w w:val="90"/>
        </w:rPr>
        <w:t> </w:t>
      </w:r>
      <w:r>
        <w:rPr>
          <w:color w:val="231F20"/>
          <w:w w:val="90"/>
        </w:rPr>
        <w:t>a</w:t>
      </w:r>
      <w:r>
        <w:rPr>
          <w:color w:val="231F20"/>
          <w:spacing w:val="-3"/>
          <w:w w:val="90"/>
        </w:rPr>
        <w:t> </w:t>
      </w:r>
      <w:r>
        <w:rPr>
          <w:color w:val="231F20"/>
          <w:w w:val="90"/>
        </w:rPr>
        <w:t>weighted</w:t>
      </w:r>
      <w:r>
        <w:rPr>
          <w:color w:val="231F20"/>
          <w:spacing w:val="-3"/>
          <w:w w:val="90"/>
        </w:rPr>
        <w:t> </w:t>
      </w:r>
      <w:r>
        <w:rPr>
          <w:color w:val="231F20"/>
          <w:w w:val="90"/>
        </w:rPr>
        <w:t>average</w:t>
      </w:r>
      <w:r>
        <w:rPr>
          <w:color w:val="231F20"/>
          <w:spacing w:val="-3"/>
          <w:w w:val="90"/>
        </w:rPr>
        <w:t> </w:t>
      </w:r>
      <w:r>
        <w:rPr>
          <w:color w:val="231F20"/>
          <w:w w:val="90"/>
        </w:rPr>
        <w:t>of</w:t>
      </w:r>
      <w:r>
        <w:rPr>
          <w:color w:val="231F20"/>
          <w:spacing w:val="-3"/>
          <w:w w:val="90"/>
        </w:rPr>
        <w:t> </w:t>
      </w:r>
      <w:r>
        <w:rPr>
          <w:color w:val="231F20"/>
          <w:w w:val="90"/>
        </w:rPr>
        <w:t>those</w:t>
      </w:r>
      <w:r>
        <w:rPr>
          <w:color w:val="231F20"/>
          <w:spacing w:val="-3"/>
          <w:w w:val="90"/>
        </w:rPr>
        <w:t> </w:t>
      </w:r>
      <w:r>
        <w:rPr>
          <w:color w:val="231F20"/>
          <w:w w:val="90"/>
        </w:rPr>
        <w:t>scores.</w:t>
      </w:r>
      <w:r>
        <w:rPr>
          <w:color w:val="231F20"/>
          <w:spacing w:val="-3"/>
          <w:w w:val="90"/>
        </w:rPr>
        <w:t> </w:t>
      </w:r>
      <w:r>
        <w:rPr>
          <w:color w:val="231F20"/>
          <w:w w:val="90"/>
        </w:rPr>
        <w:t>The </w:t>
      </w:r>
      <w:r>
        <w:rPr>
          <w:color w:val="231F20"/>
          <w:spacing w:val="-6"/>
        </w:rPr>
        <w:t>weights</w:t>
      </w:r>
      <w:r>
        <w:rPr>
          <w:color w:val="231F20"/>
          <w:spacing w:val="-8"/>
        </w:rPr>
        <w:t> </w:t>
      </w:r>
      <w:r>
        <w:rPr>
          <w:color w:val="231F20"/>
          <w:spacing w:val="-6"/>
        </w:rPr>
        <w:t>are</w:t>
      </w:r>
      <w:r>
        <w:rPr>
          <w:color w:val="231F20"/>
          <w:spacing w:val="-8"/>
        </w:rPr>
        <w:t> </w:t>
      </w:r>
      <w:r>
        <w:rPr>
          <w:color w:val="231F20"/>
          <w:spacing w:val="-6"/>
        </w:rPr>
        <w:t>chosen</w:t>
      </w:r>
      <w:r>
        <w:rPr>
          <w:color w:val="231F20"/>
          <w:spacing w:val="-8"/>
        </w:rPr>
        <w:t> </w:t>
      </w:r>
      <w:r>
        <w:rPr>
          <w:color w:val="231F20"/>
          <w:spacing w:val="-6"/>
        </w:rPr>
        <w:t>to</w:t>
      </w:r>
      <w:r>
        <w:rPr>
          <w:color w:val="231F20"/>
          <w:spacing w:val="-8"/>
        </w:rPr>
        <w:t> </w:t>
      </w:r>
      <w:r>
        <w:rPr>
          <w:color w:val="231F20"/>
          <w:spacing w:val="-6"/>
        </w:rPr>
        <w:t>maximize</w:t>
      </w:r>
      <w:r>
        <w:rPr>
          <w:color w:val="231F20"/>
          <w:spacing w:val="-8"/>
        </w:rPr>
        <w:t> </w:t>
      </w:r>
      <w:r>
        <w:rPr>
          <w:color w:val="231F20"/>
          <w:spacing w:val="-6"/>
        </w:rPr>
        <w:t>the</w:t>
      </w:r>
      <w:r>
        <w:rPr>
          <w:color w:val="231F20"/>
          <w:spacing w:val="-8"/>
        </w:rPr>
        <w:t> </w:t>
      </w:r>
      <w:r>
        <w:rPr>
          <w:color w:val="231F20"/>
          <w:spacing w:val="-6"/>
        </w:rPr>
        <w:t>percentage </w:t>
      </w:r>
      <w:r>
        <w:rPr>
          <w:color w:val="231F20"/>
          <w:spacing w:val="-4"/>
        </w:rPr>
        <w:t>of</w:t>
      </w:r>
      <w:r>
        <w:rPr>
          <w:color w:val="231F20"/>
          <w:spacing w:val="-8"/>
        </w:rPr>
        <w:t> </w:t>
      </w:r>
      <w:r>
        <w:rPr>
          <w:color w:val="231F20"/>
          <w:spacing w:val="-4"/>
        </w:rPr>
        <w:t>variation</w:t>
      </w:r>
      <w:r>
        <w:rPr>
          <w:color w:val="231F20"/>
          <w:spacing w:val="-8"/>
        </w:rPr>
        <w:t> </w:t>
      </w:r>
      <w:r>
        <w:rPr>
          <w:color w:val="231F20"/>
          <w:spacing w:val="-4"/>
        </w:rPr>
        <w:t>in</w:t>
      </w:r>
      <w:r>
        <w:rPr>
          <w:color w:val="231F20"/>
          <w:spacing w:val="-8"/>
        </w:rPr>
        <w:t> </w:t>
      </w:r>
      <w:r>
        <w:rPr>
          <w:color w:val="231F20"/>
          <w:spacing w:val="-4"/>
        </w:rPr>
        <w:t>the</w:t>
      </w:r>
      <w:r>
        <w:rPr>
          <w:color w:val="231F20"/>
          <w:spacing w:val="-8"/>
        </w:rPr>
        <w:t> </w:t>
      </w:r>
      <w:r>
        <w:rPr>
          <w:color w:val="231F20"/>
          <w:spacing w:val="-4"/>
        </w:rPr>
        <w:t>LPI’s</w:t>
      </w:r>
      <w:r>
        <w:rPr>
          <w:color w:val="231F20"/>
          <w:spacing w:val="-8"/>
        </w:rPr>
        <w:t> </w:t>
      </w:r>
      <w:r>
        <w:rPr>
          <w:color w:val="231F20"/>
          <w:spacing w:val="-4"/>
        </w:rPr>
        <w:t>original</w:t>
      </w:r>
      <w:r>
        <w:rPr>
          <w:color w:val="231F20"/>
          <w:spacing w:val="-8"/>
        </w:rPr>
        <w:t> </w:t>
      </w:r>
      <w:r>
        <w:rPr>
          <w:color w:val="231F20"/>
          <w:spacing w:val="-4"/>
        </w:rPr>
        <w:t>six</w:t>
      </w:r>
      <w:r>
        <w:rPr>
          <w:color w:val="231F20"/>
          <w:spacing w:val="-8"/>
        </w:rPr>
        <w:t> </w:t>
      </w:r>
      <w:r>
        <w:rPr>
          <w:color w:val="231F20"/>
          <w:spacing w:val="-4"/>
        </w:rPr>
        <w:t>indicators that</w:t>
      </w:r>
      <w:r>
        <w:rPr>
          <w:color w:val="231F20"/>
          <w:spacing w:val="-15"/>
        </w:rPr>
        <w:t> </w:t>
      </w:r>
      <w:r>
        <w:rPr>
          <w:color w:val="231F20"/>
          <w:spacing w:val="-4"/>
        </w:rPr>
        <w:t>is</w:t>
      </w:r>
      <w:r>
        <w:rPr>
          <w:color w:val="231F20"/>
          <w:spacing w:val="-15"/>
        </w:rPr>
        <w:t> </w:t>
      </w:r>
      <w:r>
        <w:rPr>
          <w:color w:val="231F20"/>
          <w:spacing w:val="-4"/>
        </w:rPr>
        <w:t>accounted</w:t>
      </w:r>
      <w:r>
        <w:rPr>
          <w:color w:val="231F20"/>
          <w:spacing w:val="-15"/>
        </w:rPr>
        <w:t> </w:t>
      </w:r>
      <w:r>
        <w:rPr>
          <w:color w:val="231F20"/>
          <w:spacing w:val="-4"/>
        </w:rPr>
        <w:t>for</w:t>
      </w:r>
      <w:r>
        <w:rPr>
          <w:color w:val="231F20"/>
          <w:spacing w:val="-16"/>
        </w:rPr>
        <w:t> </w:t>
      </w:r>
      <w:r>
        <w:rPr>
          <w:color w:val="231F20"/>
          <w:spacing w:val="-4"/>
        </w:rPr>
        <w:t>by</w:t>
      </w:r>
      <w:r>
        <w:rPr>
          <w:color w:val="231F20"/>
          <w:spacing w:val="-15"/>
        </w:rPr>
        <w:t> </w:t>
      </w:r>
      <w:r>
        <w:rPr>
          <w:color w:val="231F20"/>
          <w:spacing w:val="-4"/>
        </w:rPr>
        <w:t>the</w:t>
      </w:r>
      <w:r>
        <w:rPr>
          <w:color w:val="231F20"/>
          <w:spacing w:val="-15"/>
        </w:rPr>
        <w:t> </w:t>
      </w:r>
      <w:r>
        <w:rPr>
          <w:color w:val="231F20"/>
          <w:spacing w:val="-4"/>
        </w:rPr>
        <w:t>summary</w:t>
      </w:r>
      <w:r>
        <w:rPr>
          <w:color w:val="231F20"/>
          <w:spacing w:val="-15"/>
        </w:rPr>
        <w:t> </w:t>
      </w:r>
      <w:r>
        <w:rPr>
          <w:color w:val="231F20"/>
          <w:spacing w:val="-4"/>
        </w:rPr>
        <w:t>indicator. </w:t>
      </w:r>
      <w:r>
        <w:rPr>
          <w:color w:val="231F20"/>
        </w:rPr>
        <w:t>The first (principal) eigenvalue of the cor- relation matrix of the six core indicators is </w:t>
      </w:r>
      <w:r>
        <w:rPr>
          <w:color w:val="231F20"/>
          <w:spacing w:val="-4"/>
        </w:rPr>
        <w:t>greater</w:t>
      </w:r>
      <w:r>
        <w:rPr>
          <w:color w:val="231F20"/>
          <w:spacing w:val="-17"/>
        </w:rPr>
        <w:t> </w:t>
      </w:r>
      <w:r>
        <w:rPr>
          <w:color w:val="231F20"/>
          <w:spacing w:val="-4"/>
        </w:rPr>
        <w:t>than</w:t>
      </w:r>
      <w:r>
        <w:rPr>
          <w:color w:val="231F20"/>
          <w:spacing w:val="-17"/>
        </w:rPr>
        <w:t> </w:t>
      </w:r>
      <w:r>
        <w:rPr>
          <w:color w:val="231F20"/>
          <w:spacing w:val="-4"/>
        </w:rPr>
        <w:t>1—and</w:t>
      </w:r>
      <w:r>
        <w:rPr>
          <w:color w:val="231F20"/>
          <w:spacing w:val="-17"/>
        </w:rPr>
        <w:t> </w:t>
      </w:r>
      <w:r>
        <w:rPr>
          <w:color w:val="231F20"/>
          <w:spacing w:val="-4"/>
        </w:rPr>
        <w:t>much</w:t>
      </w:r>
      <w:r>
        <w:rPr>
          <w:color w:val="231F20"/>
          <w:spacing w:val="-17"/>
        </w:rPr>
        <w:t> </w:t>
      </w:r>
      <w:r>
        <w:rPr>
          <w:color w:val="231F20"/>
          <w:spacing w:val="-4"/>
        </w:rPr>
        <w:t>larger</w:t>
      </w:r>
      <w:r>
        <w:rPr>
          <w:color w:val="231F20"/>
          <w:spacing w:val="-17"/>
        </w:rPr>
        <w:t> </w:t>
      </w:r>
      <w:r>
        <w:rPr>
          <w:color w:val="231F20"/>
          <w:spacing w:val="-4"/>
        </w:rPr>
        <w:t>than</w:t>
      </w:r>
      <w:r>
        <w:rPr>
          <w:color w:val="231F20"/>
          <w:spacing w:val="-17"/>
        </w:rPr>
        <w:t> </w:t>
      </w:r>
      <w:r>
        <w:rPr>
          <w:color w:val="231F20"/>
          <w:spacing w:val="-4"/>
        </w:rPr>
        <w:t>any</w:t>
      </w:r>
      <w:r>
        <w:rPr>
          <w:color w:val="231F20"/>
          <w:spacing w:val="-17"/>
        </w:rPr>
        <w:t> </w:t>
      </w:r>
      <w:r>
        <w:rPr>
          <w:color w:val="231F20"/>
          <w:spacing w:val="-4"/>
        </w:rPr>
        <w:t>other </w:t>
      </w:r>
      <w:r>
        <w:rPr>
          <w:color w:val="231F20"/>
          <w:w w:val="90"/>
        </w:rPr>
        <w:t>eigenvalue</w:t>
      </w:r>
      <w:r>
        <w:rPr>
          <w:color w:val="231F20"/>
          <w:spacing w:val="-6"/>
          <w:w w:val="90"/>
        </w:rPr>
        <w:t> </w:t>
      </w:r>
      <w:r>
        <w:rPr>
          <w:color w:val="231F20"/>
          <w:w w:val="90"/>
        </w:rPr>
        <w:t>(see</w:t>
      </w:r>
      <w:r>
        <w:rPr>
          <w:color w:val="231F20"/>
          <w:spacing w:val="-6"/>
          <w:w w:val="90"/>
        </w:rPr>
        <w:t> </w:t>
      </w:r>
      <w:r>
        <w:rPr>
          <w:color w:val="231F20"/>
          <w:w w:val="90"/>
        </w:rPr>
        <w:t>the</w:t>
      </w:r>
      <w:r>
        <w:rPr>
          <w:color w:val="231F20"/>
          <w:spacing w:val="-6"/>
          <w:w w:val="90"/>
        </w:rPr>
        <w:t> </w:t>
      </w:r>
      <w:r>
        <w:rPr>
          <w:color w:val="231F20"/>
          <w:w w:val="90"/>
        </w:rPr>
        <w:t>first</w:t>
      </w:r>
      <w:r>
        <w:rPr>
          <w:color w:val="231F20"/>
          <w:spacing w:val="-6"/>
          <w:w w:val="90"/>
        </w:rPr>
        <w:t> </w:t>
      </w:r>
      <w:r>
        <w:rPr>
          <w:color w:val="231F20"/>
          <w:w w:val="90"/>
        </w:rPr>
        <w:t>line</w:t>
      </w:r>
      <w:r>
        <w:rPr>
          <w:color w:val="231F20"/>
          <w:spacing w:val="-6"/>
          <w:w w:val="90"/>
        </w:rPr>
        <w:t> </w:t>
      </w:r>
      <w:r>
        <w:rPr>
          <w:color w:val="231F20"/>
          <w:w w:val="90"/>
        </w:rPr>
        <w:t>of</w:t>
      </w:r>
      <w:r>
        <w:rPr>
          <w:color w:val="231F20"/>
          <w:spacing w:val="-6"/>
          <w:w w:val="90"/>
        </w:rPr>
        <w:t> </w:t>
      </w:r>
      <w:r>
        <w:rPr>
          <w:color w:val="231F20"/>
          <w:w w:val="90"/>
        </w:rPr>
        <w:t>table</w:t>
      </w:r>
      <w:r>
        <w:rPr>
          <w:color w:val="231F20"/>
          <w:spacing w:val="-6"/>
          <w:w w:val="90"/>
        </w:rPr>
        <w:t> </w:t>
      </w:r>
      <w:r>
        <w:rPr>
          <w:color w:val="231F20"/>
          <w:w w:val="90"/>
        </w:rPr>
        <w:t>A5.2).</w:t>
      </w:r>
      <w:r>
        <w:rPr>
          <w:color w:val="231F20"/>
          <w:spacing w:val="-6"/>
          <w:w w:val="90"/>
        </w:rPr>
        <w:t> </w:t>
      </w:r>
      <w:r>
        <w:rPr>
          <w:color w:val="231F20"/>
          <w:w w:val="90"/>
        </w:rPr>
        <w:t>Stan- </w:t>
      </w:r>
      <w:r>
        <w:rPr>
          <w:color w:val="231F20"/>
          <w:spacing w:val="-2"/>
        </w:rPr>
        <w:t>dard</w:t>
      </w:r>
      <w:r>
        <w:rPr>
          <w:color w:val="231F20"/>
          <w:spacing w:val="-7"/>
        </w:rPr>
        <w:t> </w:t>
      </w:r>
      <w:r>
        <w:rPr>
          <w:color w:val="231F20"/>
          <w:spacing w:val="-2"/>
        </w:rPr>
        <w:t>statistical</w:t>
      </w:r>
      <w:r>
        <w:rPr>
          <w:color w:val="231F20"/>
          <w:spacing w:val="-7"/>
        </w:rPr>
        <w:t> </w:t>
      </w:r>
      <w:r>
        <w:rPr>
          <w:color w:val="231F20"/>
          <w:spacing w:val="-2"/>
        </w:rPr>
        <w:t>tests,</w:t>
      </w:r>
      <w:r>
        <w:rPr>
          <w:color w:val="231F20"/>
          <w:spacing w:val="-7"/>
        </w:rPr>
        <w:t> </w:t>
      </w:r>
      <w:r>
        <w:rPr>
          <w:color w:val="231F20"/>
          <w:spacing w:val="-2"/>
        </w:rPr>
        <w:t>such</w:t>
      </w:r>
      <w:r>
        <w:rPr>
          <w:color w:val="231F20"/>
          <w:spacing w:val="-7"/>
        </w:rPr>
        <w:t> </w:t>
      </w:r>
      <w:r>
        <w:rPr>
          <w:color w:val="231F20"/>
          <w:spacing w:val="-2"/>
        </w:rPr>
        <w:t>as</w:t>
      </w:r>
      <w:r>
        <w:rPr>
          <w:color w:val="231F20"/>
          <w:spacing w:val="-7"/>
        </w:rPr>
        <w:t> </w:t>
      </w:r>
      <w:r>
        <w:rPr>
          <w:color w:val="231F20"/>
          <w:spacing w:val="-2"/>
        </w:rPr>
        <w:t>the</w:t>
      </w:r>
      <w:r>
        <w:rPr>
          <w:color w:val="231F20"/>
          <w:spacing w:val="-7"/>
        </w:rPr>
        <w:t> </w:t>
      </w:r>
      <w:r>
        <w:rPr>
          <w:color w:val="231F20"/>
          <w:spacing w:val="-2"/>
        </w:rPr>
        <w:t>Kaiser</w:t>
      </w:r>
      <w:r>
        <w:rPr>
          <w:color w:val="231F20"/>
          <w:spacing w:val="-7"/>
        </w:rPr>
        <w:t> </w:t>
      </w:r>
      <w:r>
        <w:rPr>
          <w:color w:val="231F20"/>
          <w:spacing w:val="-2"/>
        </w:rPr>
        <w:t>Crite- </w:t>
      </w:r>
      <w:r>
        <w:rPr>
          <w:color w:val="231F20"/>
          <w:spacing w:val="-4"/>
        </w:rPr>
        <w:t>rion</w:t>
      </w:r>
      <w:r>
        <w:rPr>
          <w:color w:val="231F20"/>
          <w:spacing w:val="-10"/>
        </w:rPr>
        <w:t> </w:t>
      </w:r>
      <w:r>
        <w:rPr>
          <w:color w:val="231F20"/>
          <w:spacing w:val="-4"/>
        </w:rPr>
        <w:t>and</w:t>
      </w:r>
      <w:r>
        <w:rPr>
          <w:color w:val="231F20"/>
          <w:spacing w:val="-9"/>
        </w:rPr>
        <w:t> </w:t>
      </w:r>
      <w:r>
        <w:rPr>
          <w:color w:val="231F20"/>
          <w:spacing w:val="-4"/>
        </w:rPr>
        <w:t>the</w:t>
      </w:r>
      <w:r>
        <w:rPr>
          <w:color w:val="231F20"/>
          <w:spacing w:val="-9"/>
        </w:rPr>
        <w:t> </w:t>
      </w:r>
      <w:r>
        <w:rPr>
          <w:color w:val="231F20"/>
          <w:spacing w:val="-4"/>
        </w:rPr>
        <w:t>eigenvalue</w:t>
      </w:r>
      <w:r>
        <w:rPr>
          <w:color w:val="231F20"/>
          <w:spacing w:val="-9"/>
        </w:rPr>
        <w:t> </w:t>
      </w:r>
      <w:r>
        <w:rPr>
          <w:color w:val="231F20"/>
          <w:spacing w:val="-4"/>
        </w:rPr>
        <w:t>scree</w:t>
      </w:r>
      <w:r>
        <w:rPr>
          <w:color w:val="231F20"/>
          <w:spacing w:val="-9"/>
        </w:rPr>
        <w:t> </w:t>
      </w:r>
      <w:r>
        <w:rPr>
          <w:color w:val="231F20"/>
          <w:spacing w:val="-4"/>
        </w:rPr>
        <w:t>plot,</w:t>
      </w:r>
      <w:r>
        <w:rPr>
          <w:color w:val="231F20"/>
          <w:spacing w:val="-9"/>
        </w:rPr>
        <w:t> </w:t>
      </w:r>
      <w:r>
        <w:rPr>
          <w:color w:val="231F20"/>
          <w:spacing w:val="-4"/>
        </w:rPr>
        <w:t>suggest</w:t>
      </w:r>
      <w:r>
        <w:rPr>
          <w:color w:val="231F20"/>
          <w:spacing w:val="-9"/>
        </w:rPr>
        <w:t> </w:t>
      </w:r>
      <w:r>
        <w:rPr>
          <w:color w:val="231F20"/>
          <w:spacing w:val="-4"/>
        </w:rPr>
        <w:t>that </w:t>
      </w:r>
      <w:r>
        <w:rPr>
          <w:color w:val="231F20"/>
        </w:rPr>
        <w:t>a single principal component be retained to </w:t>
      </w:r>
      <w:r>
        <w:rPr>
          <w:color w:val="231F20"/>
          <w:spacing w:val="-4"/>
        </w:rPr>
        <w:t>summarize</w:t>
      </w:r>
      <w:r>
        <w:rPr>
          <w:color w:val="231F20"/>
          <w:spacing w:val="-6"/>
        </w:rPr>
        <w:t> </w:t>
      </w:r>
      <w:r>
        <w:rPr>
          <w:color w:val="231F20"/>
          <w:spacing w:val="-4"/>
        </w:rPr>
        <w:t>the</w:t>
      </w:r>
      <w:r>
        <w:rPr>
          <w:color w:val="231F20"/>
          <w:spacing w:val="-6"/>
        </w:rPr>
        <w:t> </w:t>
      </w:r>
      <w:r>
        <w:rPr>
          <w:color w:val="231F20"/>
          <w:spacing w:val="-4"/>
        </w:rPr>
        <w:t>underlying</w:t>
      </w:r>
      <w:r>
        <w:rPr>
          <w:color w:val="231F20"/>
          <w:spacing w:val="-6"/>
        </w:rPr>
        <w:t> </w:t>
      </w:r>
      <w:r>
        <w:rPr>
          <w:color w:val="231F20"/>
          <w:spacing w:val="-4"/>
        </w:rPr>
        <w:t>data.</w:t>
      </w:r>
      <w:r>
        <w:rPr>
          <w:color w:val="231F20"/>
          <w:spacing w:val="-6"/>
        </w:rPr>
        <w:t> </w:t>
      </w:r>
      <w:r>
        <w:rPr>
          <w:color w:val="231F20"/>
          <w:spacing w:val="-4"/>
        </w:rPr>
        <w:t>This</w:t>
      </w:r>
      <w:r>
        <w:rPr>
          <w:color w:val="231F20"/>
          <w:spacing w:val="-6"/>
        </w:rPr>
        <w:t> </w:t>
      </w:r>
      <w:r>
        <w:rPr>
          <w:color w:val="231F20"/>
          <w:spacing w:val="-4"/>
        </w:rPr>
        <w:t>principal </w:t>
      </w:r>
      <w:r>
        <w:rPr>
          <w:color w:val="231F20"/>
          <w:spacing w:val="-2"/>
        </w:rPr>
        <w:t>component</w:t>
      </w:r>
      <w:r>
        <w:rPr>
          <w:color w:val="231F20"/>
          <w:spacing w:val="-12"/>
        </w:rPr>
        <w:t> </w:t>
      </w:r>
      <w:r>
        <w:rPr>
          <w:color w:val="231F20"/>
          <w:spacing w:val="-2"/>
        </w:rPr>
        <w:t>is</w:t>
      </w:r>
      <w:r>
        <w:rPr>
          <w:color w:val="231F20"/>
          <w:spacing w:val="-11"/>
        </w:rPr>
        <w:t> </w:t>
      </w:r>
      <w:r>
        <w:rPr>
          <w:color w:val="231F20"/>
          <w:spacing w:val="-2"/>
        </w:rPr>
        <w:t>the</w:t>
      </w:r>
      <w:r>
        <w:rPr>
          <w:color w:val="231F20"/>
          <w:spacing w:val="-11"/>
        </w:rPr>
        <w:t> </w:t>
      </w:r>
      <w:r>
        <w:rPr>
          <w:color w:val="231F20"/>
          <w:spacing w:val="-2"/>
        </w:rPr>
        <w:t>international</w:t>
      </w:r>
      <w:r>
        <w:rPr>
          <w:color w:val="231F20"/>
          <w:spacing w:val="-11"/>
        </w:rPr>
        <w:t> </w:t>
      </w:r>
      <w:r>
        <w:rPr>
          <w:color w:val="231F20"/>
          <w:spacing w:val="-2"/>
        </w:rPr>
        <w:t>LPI</w:t>
      </w:r>
      <w:r>
        <w:rPr>
          <w:color w:val="231F20"/>
          <w:spacing w:val="-11"/>
        </w:rPr>
        <w:t> </w:t>
      </w:r>
      <w:r>
        <w:rPr>
          <w:color w:val="231F20"/>
          <w:spacing w:val="-2"/>
        </w:rPr>
        <w:t>score.</w:t>
      </w:r>
      <w:r>
        <w:rPr>
          <w:color w:val="231F20"/>
          <w:spacing w:val="-11"/>
        </w:rPr>
        <w:t> </w:t>
      </w:r>
      <w:r>
        <w:rPr>
          <w:color w:val="231F20"/>
          <w:spacing w:val="-2"/>
        </w:rPr>
        <w:t>The </w:t>
      </w:r>
      <w:r>
        <w:rPr>
          <w:color w:val="231F20"/>
          <w:spacing w:val="-6"/>
        </w:rPr>
        <w:t>international</w:t>
      </w:r>
      <w:r>
        <w:rPr>
          <w:color w:val="231F20"/>
          <w:spacing w:val="-11"/>
        </w:rPr>
        <w:t> </w:t>
      </w:r>
      <w:r>
        <w:rPr>
          <w:color w:val="231F20"/>
          <w:spacing w:val="-6"/>
        </w:rPr>
        <w:t>LPI</w:t>
      </w:r>
      <w:r>
        <w:rPr>
          <w:color w:val="231F20"/>
          <w:spacing w:val="-11"/>
        </w:rPr>
        <w:t> </w:t>
      </w:r>
      <w:r>
        <w:rPr>
          <w:color w:val="231F20"/>
          <w:spacing w:val="-6"/>
        </w:rPr>
        <w:t>accounts</w:t>
      </w:r>
      <w:r>
        <w:rPr>
          <w:color w:val="231F20"/>
          <w:spacing w:val="-10"/>
        </w:rPr>
        <w:t> </w:t>
      </w:r>
      <w:r>
        <w:rPr>
          <w:color w:val="231F20"/>
          <w:spacing w:val="-6"/>
        </w:rPr>
        <w:t>for</w:t>
      </w:r>
      <w:r>
        <w:rPr>
          <w:color w:val="231F20"/>
          <w:spacing w:val="-11"/>
        </w:rPr>
        <w:t> </w:t>
      </w:r>
      <w:r>
        <w:rPr>
          <w:color w:val="231F20"/>
          <w:spacing w:val="-6"/>
        </w:rPr>
        <w:t>91</w:t>
      </w:r>
      <w:r>
        <w:rPr>
          <w:color w:val="231F20"/>
          <w:spacing w:val="-10"/>
        </w:rPr>
        <w:t> </w:t>
      </w:r>
      <w:r>
        <w:rPr>
          <w:color w:val="231F20"/>
          <w:spacing w:val="-6"/>
        </w:rPr>
        <w:t>percent</w:t>
      </w:r>
      <w:r>
        <w:rPr>
          <w:color w:val="231F20"/>
          <w:spacing w:val="-11"/>
        </w:rPr>
        <w:t> </w:t>
      </w:r>
      <w:r>
        <w:rPr>
          <w:color w:val="231F20"/>
          <w:spacing w:val="-6"/>
        </w:rPr>
        <w:t>of</w:t>
      </w:r>
      <w:r>
        <w:rPr>
          <w:color w:val="231F20"/>
          <w:spacing w:val="-10"/>
        </w:rPr>
        <w:t> </w:t>
      </w:r>
      <w:r>
        <w:rPr>
          <w:color w:val="231F20"/>
          <w:spacing w:val="-6"/>
        </w:rPr>
        <w:t>the</w:t>
      </w:r>
    </w:p>
    <w:p>
      <w:pPr>
        <w:pStyle w:val="BodyText"/>
        <w:spacing w:line="230" w:lineRule="exact"/>
        <w:ind w:left="199"/>
      </w:pPr>
      <w:r>
        <w:rPr>
          <w:color w:val="231F20"/>
          <w:w w:val="90"/>
        </w:rPr>
        <w:t>variation</w:t>
      </w:r>
      <w:r>
        <w:rPr>
          <w:color w:val="231F20"/>
          <w:spacing w:val="4"/>
        </w:rPr>
        <w:t> </w:t>
      </w:r>
      <w:r>
        <w:rPr>
          <w:color w:val="231F20"/>
          <w:w w:val="90"/>
        </w:rPr>
        <w:t>in</w:t>
      </w:r>
      <w:r>
        <w:rPr>
          <w:color w:val="231F20"/>
          <w:spacing w:val="5"/>
        </w:rPr>
        <w:t> </w:t>
      </w:r>
      <w:r>
        <w:rPr>
          <w:color w:val="231F20"/>
          <w:w w:val="90"/>
        </w:rPr>
        <w:t>the</w:t>
      </w:r>
      <w:r>
        <w:rPr>
          <w:color w:val="231F20"/>
          <w:spacing w:val="4"/>
        </w:rPr>
        <w:t> </w:t>
      </w:r>
      <w:r>
        <w:rPr>
          <w:color w:val="231F20"/>
          <w:w w:val="90"/>
        </w:rPr>
        <w:t>six</w:t>
      </w:r>
      <w:r>
        <w:rPr>
          <w:color w:val="231F20"/>
          <w:spacing w:val="5"/>
        </w:rPr>
        <w:t> </w:t>
      </w:r>
      <w:r>
        <w:rPr>
          <w:color w:val="231F20"/>
          <w:spacing w:val="-2"/>
          <w:w w:val="90"/>
        </w:rPr>
        <w:t>components.</w:t>
      </w:r>
    </w:p>
    <w:p>
      <w:pPr>
        <w:pStyle w:val="BodyText"/>
        <w:rPr>
          <w:sz w:val="20"/>
        </w:rPr>
      </w:pPr>
    </w:p>
    <w:p>
      <w:pPr>
        <w:pStyle w:val="BodyText"/>
        <w:rPr>
          <w:sz w:val="20"/>
        </w:rPr>
      </w:pPr>
    </w:p>
    <w:p>
      <w:pPr>
        <w:pStyle w:val="BodyText"/>
        <w:rPr>
          <w:sz w:val="20"/>
        </w:rPr>
      </w:pPr>
    </w:p>
    <w:p>
      <w:pPr>
        <w:pStyle w:val="BodyText"/>
        <w:spacing w:before="65"/>
        <w:rPr>
          <w:sz w:val="20"/>
        </w:rPr>
      </w:pPr>
    </w:p>
    <w:tbl>
      <w:tblPr>
        <w:tblW w:w="0" w:type="auto"/>
        <w:jc w:val="left"/>
        <w:tblInd w:w="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5"/>
        <w:gridCol w:w="1384"/>
        <w:gridCol w:w="1306"/>
        <w:gridCol w:w="1223"/>
        <w:gridCol w:w="1280"/>
      </w:tblGrid>
      <w:tr>
        <w:trPr>
          <w:trHeight w:val="209" w:hRule="atLeast"/>
        </w:trPr>
        <w:tc>
          <w:tcPr>
            <w:tcW w:w="1165" w:type="dxa"/>
            <w:tcBorders>
              <w:bottom w:val="single" w:sz="4" w:space="0" w:color="008FDD"/>
            </w:tcBorders>
          </w:tcPr>
          <w:p>
            <w:pPr>
              <w:pStyle w:val="TableParagraph"/>
              <w:spacing w:before="3"/>
              <w:ind w:left="80"/>
              <w:jc w:val="left"/>
              <w:rPr>
                <w:b/>
                <w:sz w:val="14"/>
              </w:rPr>
            </w:pPr>
            <w:r>
              <w:rPr>
                <w:b/>
                <w:color w:val="231F20"/>
                <w:spacing w:val="-2"/>
                <w:w w:val="90"/>
                <w:sz w:val="14"/>
              </w:rPr>
              <w:t>Component</w:t>
            </w:r>
          </w:p>
        </w:tc>
        <w:tc>
          <w:tcPr>
            <w:tcW w:w="1384" w:type="dxa"/>
            <w:tcBorders>
              <w:bottom w:val="single" w:sz="4" w:space="0" w:color="008FDD"/>
            </w:tcBorders>
          </w:tcPr>
          <w:p>
            <w:pPr>
              <w:pStyle w:val="TableParagraph"/>
              <w:spacing w:before="3"/>
              <w:ind w:left="200" w:right="99"/>
              <w:rPr>
                <w:b/>
                <w:sz w:val="14"/>
              </w:rPr>
            </w:pPr>
            <w:r>
              <w:rPr>
                <w:b/>
                <w:color w:val="231F20"/>
                <w:spacing w:val="-2"/>
                <w:w w:val="90"/>
                <w:sz w:val="14"/>
              </w:rPr>
              <w:t>Eigenvalue</w:t>
            </w:r>
          </w:p>
        </w:tc>
        <w:tc>
          <w:tcPr>
            <w:tcW w:w="1306" w:type="dxa"/>
            <w:tcBorders>
              <w:bottom w:val="single" w:sz="4" w:space="0" w:color="008FDD"/>
            </w:tcBorders>
          </w:tcPr>
          <w:p>
            <w:pPr>
              <w:pStyle w:val="TableParagraph"/>
              <w:spacing w:before="3"/>
              <w:ind w:left="330"/>
              <w:jc w:val="left"/>
              <w:rPr>
                <w:b/>
                <w:sz w:val="14"/>
              </w:rPr>
            </w:pPr>
            <w:r>
              <w:rPr>
                <w:b/>
                <w:color w:val="231F20"/>
                <w:spacing w:val="-2"/>
                <w:w w:val="95"/>
                <w:sz w:val="14"/>
              </w:rPr>
              <w:t>Difference</w:t>
            </w:r>
          </w:p>
        </w:tc>
        <w:tc>
          <w:tcPr>
            <w:tcW w:w="1223" w:type="dxa"/>
            <w:tcBorders>
              <w:bottom w:val="single" w:sz="4" w:space="0" w:color="008FDD"/>
            </w:tcBorders>
          </w:tcPr>
          <w:p>
            <w:pPr>
              <w:pStyle w:val="TableParagraph"/>
              <w:spacing w:before="3"/>
              <w:ind w:left="6" w:right="32"/>
              <w:rPr>
                <w:b/>
                <w:sz w:val="14"/>
              </w:rPr>
            </w:pPr>
            <w:r>
              <w:rPr>
                <w:b/>
                <w:color w:val="231F20"/>
                <w:spacing w:val="-2"/>
                <w:w w:val="90"/>
                <w:sz w:val="14"/>
              </w:rPr>
              <w:t>Proportion</w:t>
            </w:r>
          </w:p>
        </w:tc>
        <w:tc>
          <w:tcPr>
            <w:tcW w:w="1280" w:type="dxa"/>
            <w:tcBorders>
              <w:bottom w:val="single" w:sz="4" w:space="0" w:color="008FDD"/>
            </w:tcBorders>
          </w:tcPr>
          <w:p>
            <w:pPr>
              <w:pStyle w:val="TableParagraph"/>
              <w:spacing w:before="3"/>
              <w:ind w:left="41" w:right="29"/>
              <w:rPr>
                <w:b/>
                <w:sz w:val="14"/>
              </w:rPr>
            </w:pPr>
            <w:r>
              <w:rPr>
                <w:b/>
                <w:color w:val="231F20"/>
                <w:spacing w:val="-2"/>
                <w:w w:val="95"/>
                <w:sz w:val="14"/>
              </w:rPr>
              <w:t>Cumulative</w:t>
            </w:r>
          </w:p>
        </w:tc>
      </w:tr>
      <w:tr>
        <w:trPr>
          <w:trHeight w:val="258" w:hRule="atLeast"/>
        </w:trPr>
        <w:tc>
          <w:tcPr>
            <w:tcW w:w="1165" w:type="dxa"/>
            <w:tcBorders>
              <w:top w:val="single" w:sz="4" w:space="0" w:color="008FDD"/>
            </w:tcBorders>
          </w:tcPr>
          <w:p>
            <w:pPr>
              <w:pStyle w:val="TableParagraph"/>
              <w:spacing w:before="47"/>
              <w:ind w:left="80"/>
              <w:jc w:val="left"/>
              <w:rPr>
                <w:sz w:val="14"/>
              </w:rPr>
            </w:pPr>
            <w:r>
              <w:rPr>
                <w:color w:val="231F20"/>
                <w:spacing w:val="-10"/>
                <w:w w:val="95"/>
                <w:sz w:val="14"/>
              </w:rPr>
              <w:t>1</w:t>
            </w:r>
          </w:p>
        </w:tc>
        <w:tc>
          <w:tcPr>
            <w:tcW w:w="1384" w:type="dxa"/>
            <w:tcBorders>
              <w:top w:val="single" w:sz="4" w:space="0" w:color="008FDD"/>
            </w:tcBorders>
          </w:tcPr>
          <w:p>
            <w:pPr>
              <w:pStyle w:val="TableParagraph"/>
              <w:spacing w:before="47"/>
              <w:ind w:left="125" w:right="153"/>
              <w:rPr>
                <w:sz w:val="14"/>
              </w:rPr>
            </w:pPr>
            <w:r>
              <w:rPr>
                <w:color w:val="231F20"/>
                <w:spacing w:val="-2"/>
                <w:w w:val="95"/>
                <w:sz w:val="14"/>
              </w:rPr>
              <w:t>5.47139</w:t>
            </w:r>
          </w:p>
        </w:tc>
        <w:tc>
          <w:tcPr>
            <w:tcW w:w="1306" w:type="dxa"/>
            <w:tcBorders>
              <w:top w:val="single" w:sz="4" w:space="0" w:color="008FDD"/>
            </w:tcBorders>
          </w:tcPr>
          <w:p>
            <w:pPr>
              <w:pStyle w:val="TableParagraph"/>
              <w:spacing w:before="47"/>
              <w:ind w:left="346"/>
              <w:jc w:val="left"/>
              <w:rPr>
                <w:sz w:val="14"/>
              </w:rPr>
            </w:pPr>
            <w:r>
              <w:rPr>
                <w:color w:val="231F20"/>
                <w:spacing w:val="-2"/>
                <w:w w:val="95"/>
                <w:sz w:val="14"/>
              </w:rPr>
              <w:t>5.27856</w:t>
            </w:r>
          </w:p>
        </w:tc>
        <w:tc>
          <w:tcPr>
            <w:tcW w:w="1223" w:type="dxa"/>
            <w:tcBorders>
              <w:top w:val="single" w:sz="4" w:space="0" w:color="008FDD"/>
            </w:tcBorders>
          </w:tcPr>
          <w:p>
            <w:pPr>
              <w:pStyle w:val="TableParagraph"/>
              <w:spacing w:before="47"/>
              <w:ind w:right="32"/>
              <w:rPr>
                <w:sz w:val="14"/>
              </w:rPr>
            </w:pPr>
            <w:r>
              <w:rPr>
                <w:color w:val="231F20"/>
                <w:spacing w:val="-2"/>
                <w:w w:val="95"/>
                <w:sz w:val="14"/>
              </w:rPr>
              <w:t>0.9119</w:t>
            </w:r>
          </w:p>
        </w:tc>
        <w:tc>
          <w:tcPr>
            <w:tcW w:w="1280" w:type="dxa"/>
            <w:tcBorders>
              <w:top w:val="single" w:sz="4" w:space="0" w:color="008FDD"/>
            </w:tcBorders>
          </w:tcPr>
          <w:p>
            <w:pPr>
              <w:pStyle w:val="TableParagraph"/>
              <w:spacing w:before="47"/>
              <w:ind w:left="41" w:right="35"/>
              <w:rPr>
                <w:sz w:val="14"/>
              </w:rPr>
            </w:pPr>
            <w:r>
              <w:rPr>
                <w:color w:val="231F20"/>
                <w:spacing w:val="-2"/>
                <w:w w:val="95"/>
                <w:sz w:val="14"/>
              </w:rPr>
              <w:t>0.9119</w:t>
            </w:r>
          </w:p>
        </w:tc>
      </w:tr>
      <w:tr>
        <w:trPr>
          <w:trHeight w:val="259" w:hRule="atLeast"/>
        </w:trPr>
        <w:tc>
          <w:tcPr>
            <w:tcW w:w="1165" w:type="dxa"/>
            <w:shd w:val="clear" w:color="auto" w:fill="D4E3F5"/>
          </w:tcPr>
          <w:p>
            <w:pPr>
              <w:pStyle w:val="TableParagraph"/>
              <w:ind w:left="80"/>
              <w:jc w:val="left"/>
              <w:rPr>
                <w:sz w:val="14"/>
              </w:rPr>
            </w:pPr>
            <w:r>
              <w:rPr>
                <w:color w:val="231F20"/>
                <w:spacing w:val="-10"/>
                <w:w w:val="95"/>
                <w:sz w:val="14"/>
              </w:rPr>
              <w:t>2</w:t>
            </w:r>
          </w:p>
        </w:tc>
        <w:tc>
          <w:tcPr>
            <w:tcW w:w="1384" w:type="dxa"/>
            <w:shd w:val="clear" w:color="auto" w:fill="D4E3F5"/>
          </w:tcPr>
          <w:p>
            <w:pPr>
              <w:pStyle w:val="TableParagraph"/>
              <w:ind w:left="138" w:right="99"/>
              <w:rPr>
                <w:sz w:val="14"/>
              </w:rPr>
            </w:pPr>
            <w:r>
              <w:rPr>
                <w:color w:val="231F20"/>
                <w:spacing w:val="-2"/>
                <w:w w:val="95"/>
                <w:sz w:val="14"/>
              </w:rPr>
              <w:t>0.192832</w:t>
            </w:r>
          </w:p>
        </w:tc>
        <w:tc>
          <w:tcPr>
            <w:tcW w:w="1306" w:type="dxa"/>
            <w:shd w:val="clear" w:color="auto" w:fill="D4E3F5"/>
          </w:tcPr>
          <w:p>
            <w:pPr>
              <w:pStyle w:val="TableParagraph"/>
              <w:ind w:left="346"/>
              <w:jc w:val="left"/>
              <w:rPr>
                <w:sz w:val="14"/>
              </w:rPr>
            </w:pPr>
            <w:r>
              <w:rPr>
                <w:color w:val="231F20"/>
                <w:spacing w:val="-2"/>
                <w:w w:val="95"/>
                <w:sz w:val="14"/>
              </w:rPr>
              <w:t>0.034632</w:t>
            </w:r>
          </w:p>
        </w:tc>
        <w:tc>
          <w:tcPr>
            <w:tcW w:w="1223" w:type="dxa"/>
            <w:shd w:val="clear" w:color="auto" w:fill="D4E3F5"/>
          </w:tcPr>
          <w:p>
            <w:pPr>
              <w:pStyle w:val="TableParagraph"/>
              <w:ind w:left="17" w:right="32"/>
              <w:rPr>
                <w:sz w:val="14"/>
              </w:rPr>
            </w:pPr>
            <w:r>
              <w:rPr>
                <w:color w:val="231F20"/>
                <w:spacing w:val="-2"/>
                <w:w w:val="95"/>
                <w:sz w:val="14"/>
              </w:rPr>
              <w:t>0.0321</w:t>
            </w:r>
          </w:p>
        </w:tc>
        <w:tc>
          <w:tcPr>
            <w:tcW w:w="1280" w:type="dxa"/>
            <w:shd w:val="clear" w:color="auto" w:fill="D4E3F5"/>
          </w:tcPr>
          <w:p>
            <w:pPr>
              <w:pStyle w:val="TableParagraph"/>
              <w:ind w:left="41" w:right="10"/>
              <w:rPr>
                <w:sz w:val="14"/>
              </w:rPr>
            </w:pPr>
            <w:r>
              <w:rPr>
                <w:color w:val="231F20"/>
                <w:spacing w:val="-2"/>
                <w:w w:val="95"/>
                <w:sz w:val="14"/>
              </w:rPr>
              <w:t>0.9440</w:t>
            </w:r>
          </w:p>
        </w:tc>
      </w:tr>
      <w:tr>
        <w:trPr>
          <w:trHeight w:val="259" w:hRule="atLeast"/>
        </w:trPr>
        <w:tc>
          <w:tcPr>
            <w:tcW w:w="1165" w:type="dxa"/>
          </w:tcPr>
          <w:p>
            <w:pPr>
              <w:pStyle w:val="TableParagraph"/>
              <w:ind w:left="80"/>
              <w:jc w:val="left"/>
              <w:rPr>
                <w:sz w:val="14"/>
              </w:rPr>
            </w:pPr>
            <w:r>
              <w:rPr>
                <w:color w:val="231F20"/>
                <w:spacing w:val="-10"/>
                <w:w w:val="95"/>
                <w:sz w:val="14"/>
              </w:rPr>
              <w:t>3</w:t>
            </w:r>
          </w:p>
        </w:tc>
        <w:tc>
          <w:tcPr>
            <w:tcW w:w="1384" w:type="dxa"/>
          </w:tcPr>
          <w:p>
            <w:pPr>
              <w:pStyle w:val="TableParagraph"/>
              <w:ind w:left="125" w:right="224"/>
              <w:rPr>
                <w:sz w:val="14"/>
              </w:rPr>
            </w:pPr>
            <w:r>
              <w:rPr>
                <w:color w:val="231F20"/>
                <w:spacing w:val="-2"/>
                <w:w w:val="95"/>
                <w:sz w:val="14"/>
              </w:rPr>
              <w:t>0.1582</w:t>
            </w:r>
          </w:p>
        </w:tc>
        <w:tc>
          <w:tcPr>
            <w:tcW w:w="1306" w:type="dxa"/>
          </w:tcPr>
          <w:p>
            <w:pPr>
              <w:pStyle w:val="TableParagraph"/>
              <w:ind w:left="346"/>
              <w:jc w:val="left"/>
              <w:rPr>
                <w:sz w:val="14"/>
              </w:rPr>
            </w:pPr>
            <w:r>
              <w:rPr>
                <w:color w:val="231F20"/>
                <w:spacing w:val="-2"/>
                <w:w w:val="95"/>
                <w:sz w:val="14"/>
              </w:rPr>
              <w:t>0.0797762</w:t>
            </w:r>
          </w:p>
        </w:tc>
        <w:tc>
          <w:tcPr>
            <w:tcW w:w="1223" w:type="dxa"/>
          </w:tcPr>
          <w:p>
            <w:pPr>
              <w:pStyle w:val="TableParagraph"/>
              <w:ind w:left="21" w:right="32"/>
              <w:rPr>
                <w:sz w:val="14"/>
              </w:rPr>
            </w:pPr>
            <w:r>
              <w:rPr>
                <w:color w:val="231F20"/>
                <w:spacing w:val="-2"/>
                <w:w w:val="95"/>
                <w:sz w:val="14"/>
              </w:rPr>
              <w:t>0.0264</w:t>
            </w:r>
          </w:p>
        </w:tc>
        <w:tc>
          <w:tcPr>
            <w:tcW w:w="1280" w:type="dxa"/>
          </w:tcPr>
          <w:p>
            <w:pPr>
              <w:pStyle w:val="TableParagraph"/>
              <w:ind w:left="41" w:right="18"/>
              <w:rPr>
                <w:sz w:val="14"/>
              </w:rPr>
            </w:pPr>
            <w:r>
              <w:rPr>
                <w:color w:val="231F20"/>
                <w:spacing w:val="-2"/>
                <w:w w:val="95"/>
                <w:sz w:val="14"/>
              </w:rPr>
              <w:t>0.9704</w:t>
            </w:r>
          </w:p>
        </w:tc>
      </w:tr>
      <w:tr>
        <w:trPr>
          <w:trHeight w:val="259" w:hRule="atLeast"/>
        </w:trPr>
        <w:tc>
          <w:tcPr>
            <w:tcW w:w="1165" w:type="dxa"/>
            <w:shd w:val="clear" w:color="auto" w:fill="D4E3F5"/>
          </w:tcPr>
          <w:p>
            <w:pPr>
              <w:pStyle w:val="TableParagraph"/>
              <w:ind w:left="80"/>
              <w:jc w:val="left"/>
              <w:rPr>
                <w:sz w:val="14"/>
              </w:rPr>
            </w:pPr>
            <w:r>
              <w:rPr>
                <w:color w:val="231F20"/>
                <w:spacing w:val="-10"/>
                <w:w w:val="95"/>
                <w:sz w:val="14"/>
              </w:rPr>
              <w:t>4</w:t>
            </w:r>
          </w:p>
        </w:tc>
        <w:tc>
          <w:tcPr>
            <w:tcW w:w="1384" w:type="dxa"/>
            <w:shd w:val="clear" w:color="auto" w:fill="D4E3F5"/>
          </w:tcPr>
          <w:p>
            <w:pPr>
              <w:pStyle w:val="TableParagraph"/>
              <w:ind w:left="223" w:right="99"/>
              <w:rPr>
                <w:sz w:val="14"/>
              </w:rPr>
            </w:pPr>
            <w:r>
              <w:rPr>
                <w:color w:val="231F20"/>
                <w:spacing w:val="-2"/>
                <w:w w:val="95"/>
                <w:sz w:val="14"/>
              </w:rPr>
              <w:t>0.0784234</w:t>
            </w:r>
          </w:p>
        </w:tc>
        <w:tc>
          <w:tcPr>
            <w:tcW w:w="1306" w:type="dxa"/>
            <w:shd w:val="clear" w:color="auto" w:fill="D4E3F5"/>
          </w:tcPr>
          <w:p>
            <w:pPr>
              <w:pStyle w:val="TableParagraph"/>
              <w:ind w:left="346"/>
              <w:jc w:val="left"/>
              <w:rPr>
                <w:sz w:val="14"/>
              </w:rPr>
            </w:pPr>
            <w:r>
              <w:rPr>
                <w:color w:val="231F20"/>
                <w:spacing w:val="-2"/>
                <w:w w:val="95"/>
                <w:sz w:val="14"/>
              </w:rPr>
              <w:t>0.0263933</w:t>
            </w:r>
          </w:p>
        </w:tc>
        <w:tc>
          <w:tcPr>
            <w:tcW w:w="1223" w:type="dxa"/>
            <w:shd w:val="clear" w:color="auto" w:fill="D4E3F5"/>
          </w:tcPr>
          <w:p>
            <w:pPr>
              <w:pStyle w:val="TableParagraph"/>
              <w:ind w:left="8" w:right="32"/>
              <w:rPr>
                <w:sz w:val="14"/>
              </w:rPr>
            </w:pPr>
            <w:r>
              <w:rPr>
                <w:color w:val="231F20"/>
                <w:spacing w:val="-2"/>
                <w:w w:val="95"/>
                <w:sz w:val="14"/>
              </w:rPr>
              <w:t>0.0131</w:t>
            </w:r>
          </w:p>
        </w:tc>
        <w:tc>
          <w:tcPr>
            <w:tcW w:w="1280" w:type="dxa"/>
            <w:shd w:val="clear" w:color="auto" w:fill="D4E3F5"/>
          </w:tcPr>
          <w:p>
            <w:pPr>
              <w:pStyle w:val="TableParagraph"/>
              <w:ind w:left="41" w:right="12"/>
              <w:rPr>
                <w:sz w:val="14"/>
              </w:rPr>
            </w:pPr>
            <w:r>
              <w:rPr>
                <w:color w:val="231F20"/>
                <w:spacing w:val="-2"/>
                <w:w w:val="95"/>
                <w:sz w:val="14"/>
              </w:rPr>
              <w:t>0.9835</w:t>
            </w:r>
          </w:p>
        </w:tc>
      </w:tr>
      <w:tr>
        <w:trPr>
          <w:trHeight w:val="259" w:hRule="atLeast"/>
        </w:trPr>
        <w:tc>
          <w:tcPr>
            <w:tcW w:w="1165" w:type="dxa"/>
          </w:tcPr>
          <w:p>
            <w:pPr>
              <w:pStyle w:val="TableParagraph"/>
              <w:ind w:left="80"/>
              <w:jc w:val="left"/>
              <w:rPr>
                <w:sz w:val="14"/>
              </w:rPr>
            </w:pPr>
            <w:r>
              <w:rPr>
                <w:color w:val="231F20"/>
                <w:spacing w:val="-10"/>
                <w:w w:val="95"/>
                <w:sz w:val="14"/>
              </w:rPr>
              <w:t>5</w:t>
            </w:r>
          </w:p>
        </w:tc>
        <w:tc>
          <w:tcPr>
            <w:tcW w:w="1384" w:type="dxa"/>
          </w:tcPr>
          <w:p>
            <w:pPr>
              <w:pStyle w:val="TableParagraph"/>
              <w:ind w:left="224" w:right="99"/>
              <w:rPr>
                <w:sz w:val="14"/>
              </w:rPr>
            </w:pPr>
            <w:r>
              <w:rPr>
                <w:color w:val="231F20"/>
                <w:spacing w:val="-2"/>
                <w:w w:val="95"/>
                <w:sz w:val="14"/>
              </w:rPr>
              <w:t>0.0520301</w:t>
            </w:r>
          </w:p>
        </w:tc>
        <w:tc>
          <w:tcPr>
            <w:tcW w:w="1306" w:type="dxa"/>
          </w:tcPr>
          <w:p>
            <w:pPr>
              <w:pStyle w:val="TableParagraph"/>
              <w:ind w:left="346"/>
              <w:jc w:val="left"/>
              <w:rPr>
                <w:sz w:val="14"/>
              </w:rPr>
            </w:pPr>
            <w:r>
              <w:rPr>
                <w:color w:val="231F20"/>
                <w:spacing w:val="-2"/>
                <w:w w:val="95"/>
                <w:sz w:val="14"/>
              </w:rPr>
              <w:t>0.00490627</w:t>
            </w:r>
          </w:p>
        </w:tc>
        <w:tc>
          <w:tcPr>
            <w:tcW w:w="1223" w:type="dxa"/>
          </w:tcPr>
          <w:p>
            <w:pPr>
              <w:pStyle w:val="TableParagraph"/>
              <w:ind w:left="19" w:right="32"/>
              <w:rPr>
                <w:sz w:val="14"/>
              </w:rPr>
            </w:pPr>
            <w:r>
              <w:rPr>
                <w:color w:val="231F20"/>
                <w:spacing w:val="-2"/>
                <w:w w:val="95"/>
                <w:sz w:val="14"/>
              </w:rPr>
              <w:t>0.0087</w:t>
            </w:r>
          </w:p>
        </w:tc>
        <w:tc>
          <w:tcPr>
            <w:tcW w:w="1280" w:type="dxa"/>
          </w:tcPr>
          <w:p>
            <w:pPr>
              <w:pStyle w:val="TableParagraph"/>
              <w:ind w:left="41" w:right="15"/>
              <w:rPr>
                <w:sz w:val="14"/>
              </w:rPr>
            </w:pPr>
            <w:r>
              <w:rPr>
                <w:color w:val="231F20"/>
                <w:spacing w:val="-2"/>
                <w:w w:val="95"/>
                <w:sz w:val="14"/>
              </w:rPr>
              <w:t>0.9921</w:t>
            </w:r>
          </w:p>
        </w:tc>
      </w:tr>
      <w:tr>
        <w:trPr>
          <w:trHeight w:val="254" w:hRule="atLeast"/>
        </w:trPr>
        <w:tc>
          <w:tcPr>
            <w:tcW w:w="1165" w:type="dxa"/>
            <w:tcBorders>
              <w:bottom w:val="single" w:sz="4" w:space="0" w:color="008FDD"/>
            </w:tcBorders>
            <w:shd w:val="clear" w:color="auto" w:fill="D4E3F5"/>
          </w:tcPr>
          <w:p>
            <w:pPr>
              <w:pStyle w:val="TableParagraph"/>
              <w:ind w:left="80"/>
              <w:jc w:val="left"/>
              <w:rPr>
                <w:sz w:val="14"/>
              </w:rPr>
            </w:pPr>
            <w:r>
              <w:rPr>
                <w:color w:val="231F20"/>
                <w:spacing w:val="-10"/>
                <w:w w:val="95"/>
                <w:sz w:val="14"/>
              </w:rPr>
              <w:t>6</w:t>
            </w:r>
          </w:p>
        </w:tc>
        <w:tc>
          <w:tcPr>
            <w:tcW w:w="1384" w:type="dxa"/>
            <w:tcBorders>
              <w:bottom w:val="single" w:sz="4" w:space="0" w:color="008FDD"/>
            </w:tcBorders>
            <w:shd w:val="clear" w:color="auto" w:fill="D4E3F5"/>
          </w:tcPr>
          <w:p>
            <w:pPr>
              <w:pStyle w:val="TableParagraph"/>
              <w:ind w:left="212" w:right="99"/>
              <w:rPr>
                <w:sz w:val="14"/>
              </w:rPr>
            </w:pPr>
            <w:r>
              <w:rPr>
                <w:color w:val="231F20"/>
                <w:spacing w:val="-2"/>
                <w:w w:val="95"/>
                <w:sz w:val="14"/>
              </w:rPr>
              <w:t>0.0471239</w:t>
            </w:r>
          </w:p>
        </w:tc>
        <w:tc>
          <w:tcPr>
            <w:tcW w:w="1306" w:type="dxa"/>
            <w:tcBorders>
              <w:bottom w:val="single" w:sz="4" w:space="0" w:color="008FDD"/>
            </w:tcBorders>
            <w:shd w:val="clear" w:color="auto" w:fill="D4E3F5"/>
          </w:tcPr>
          <w:p>
            <w:pPr>
              <w:pStyle w:val="TableParagraph"/>
              <w:ind w:right="40"/>
              <w:rPr>
                <w:sz w:val="14"/>
              </w:rPr>
            </w:pPr>
            <w:r>
              <w:rPr>
                <w:color w:val="231F20"/>
                <w:spacing w:val="-5"/>
                <w:w w:val="90"/>
                <w:sz w:val="14"/>
              </w:rPr>
              <w:t>na</w:t>
            </w:r>
          </w:p>
        </w:tc>
        <w:tc>
          <w:tcPr>
            <w:tcW w:w="1223" w:type="dxa"/>
            <w:tcBorders>
              <w:bottom w:val="single" w:sz="4" w:space="0" w:color="008FDD"/>
            </w:tcBorders>
            <w:shd w:val="clear" w:color="auto" w:fill="D4E3F5"/>
          </w:tcPr>
          <w:p>
            <w:pPr>
              <w:pStyle w:val="TableParagraph"/>
              <w:ind w:left="17" w:right="32"/>
              <w:rPr>
                <w:sz w:val="14"/>
              </w:rPr>
            </w:pPr>
            <w:r>
              <w:rPr>
                <w:color w:val="231F20"/>
                <w:spacing w:val="-2"/>
                <w:w w:val="95"/>
                <w:sz w:val="14"/>
              </w:rPr>
              <w:t>0.0079</w:t>
            </w:r>
          </w:p>
        </w:tc>
        <w:tc>
          <w:tcPr>
            <w:tcW w:w="1280" w:type="dxa"/>
            <w:tcBorders>
              <w:bottom w:val="single" w:sz="4" w:space="0" w:color="008FDD"/>
            </w:tcBorders>
            <w:shd w:val="clear" w:color="auto" w:fill="D4E3F5"/>
          </w:tcPr>
          <w:p>
            <w:pPr>
              <w:pStyle w:val="TableParagraph"/>
              <w:ind w:left="41"/>
              <w:rPr>
                <w:sz w:val="14"/>
              </w:rPr>
            </w:pPr>
            <w:r>
              <w:rPr>
                <w:color w:val="231F20"/>
                <w:spacing w:val="-2"/>
                <w:w w:val="95"/>
                <w:sz w:val="14"/>
              </w:rPr>
              <w:t>1.0000</w:t>
            </w:r>
          </w:p>
        </w:tc>
      </w:tr>
    </w:tbl>
    <w:p>
      <w:pPr>
        <w:spacing w:after="0"/>
        <w:rPr>
          <w:sz w:val="14"/>
        </w:rPr>
        <w:sectPr>
          <w:type w:val="continuous"/>
          <w:pgSz w:w="12240" w:h="15840"/>
          <w:pgMar w:header="370" w:footer="0" w:top="1140" w:bottom="280" w:left="0" w:right="540"/>
          <w:cols w:num="2" w:equalWidth="0">
            <w:col w:w="4921" w:space="40"/>
            <w:col w:w="6739"/>
          </w:cols>
        </w:sectPr>
      </w:pPr>
    </w:p>
    <w:p>
      <w:pPr>
        <w:pStyle w:val="BodyText"/>
      </w:pPr>
    </w:p>
    <w:p>
      <w:pPr>
        <w:pStyle w:val="BodyText"/>
      </w:pPr>
    </w:p>
    <w:p>
      <w:pPr>
        <w:pStyle w:val="BodyText"/>
        <w:spacing w:before="99"/>
      </w:pPr>
    </w:p>
    <w:p>
      <w:pPr>
        <w:pStyle w:val="BodyText"/>
        <w:spacing w:line="268" w:lineRule="auto"/>
        <w:ind w:left="7320" w:right="659"/>
        <w:jc w:val="both"/>
      </w:pPr>
      <w:r>
        <w:rPr/>
        <mc:AlternateContent>
          <mc:Choice Requires="wps">
            <w:drawing>
              <wp:anchor distT="0" distB="0" distL="0" distR="0" allowOverlap="1" layoutInCell="1" locked="0" behindDoc="0" simplePos="0" relativeHeight="15784448">
                <wp:simplePos x="0" y="0"/>
                <wp:positionH relativeFrom="page">
                  <wp:posOffset>419100</wp:posOffset>
                </wp:positionH>
                <wp:positionV relativeFrom="paragraph">
                  <wp:posOffset>-46633</wp:posOffset>
                </wp:positionV>
                <wp:extent cx="4114800" cy="1852295"/>
                <wp:effectExtent l="0" t="0" r="0" b="0"/>
                <wp:wrapNone/>
                <wp:docPr id="1932" name="Group 1932"/>
                <wp:cNvGraphicFramePr>
                  <a:graphicFrameLocks/>
                </wp:cNvGraphicFramePr>
                <a:graphic>
                  <a:graphicData uri="http://schemas.microsoft.com/office/word/2010/wordprocessingGroup">
                    <wpg:wgp>
                      <wpg:cNvPr id="1932" name="Group 1932"/>
                      <wpg:cNvGrpSpPr/>
                      <wpg:grpSpPr>
                        <a:xfrm>
                          <a:off x="0" y="0"/>
                          <a:ext cx="4114800" cy="1852295"/>
                          <a:chExt cx="4114800" cy="1852295"/>
                        </a:xfrm>
                      </wpg:grpSpPr>
                      <wps:wsp>
                        <wps:cNvPr id="1933" name="Graphic 1933"/>
                        <wps:cNvSpPr/>
                        <wps:spPr>
                          <a:xfrm>
                            <a:off x="63500" y="19050"/>
                            <a:ext cx="4032250" cy="226060"/>
                          </a:xfrm>
                          <a:custGeom>
                            <a:avLst/>
                            <a:gdLst/>
                            <a:ahLst/>
                            <a:cxnLst/>
                            <a:rect l="l" t="t" r="r" b="b"/>
                            <a:pathLst>
                              <a:path w="4032250" h="226060">
                                <a:moveTo>
                                  <a:pt x="3937000" y="0"/>
                                </a:moveTo>
                                <a:lnTo>
                                  <a:pt x="50800" y="0"/>
                                </a:lnTo>
                                <a:lnTo>
                                  <a:pt x="13762" y="7496"/>
                                </a:lnTo>
                                <a:lnTo>
                                  <a:pt x="0" y="16782"/>
                                </a:lnTo>
                                <a:lnTo>
                                  <a:pt x="0" y="225907"/>
                                </a:lnTo>
                                <a:lnTo>
                                  <a:pt x="4032250" y="225907"/>
                                </a:lnTo>
                                <a:lnTo>
                                  <a:pt x="4032250" y="95250"/>
                                </a:lnTo>
                                <a:lnTo>
                                  <a:pt x="4024753" y="58207"/>
                                </a:lnTo>
                                <a:lnTo>
                                  <a:pt x="4004322" y="27927"/>
                                </a:lnTo>
                                <a:lnTo>
                                  <a:pt x="3974042" y="7496"/>
                                </a:lnTo>
                                <a:lnTo>
                                  <a:pt x="3937000" y="0"/>
                                </a:lnTo>
                                <a:close/>
                              </a:path>
                            </a:pathLst>
                          </a:custGeom>
                          <a:solidFill>
                            <a:srgbClr val="808285"/>
                          </a:solidFill>
                        </wps:spPr>
                        <wps:bodyPr wrap="square" lIns="0" tIns="0" rIns="0" bIns="0" rtlCol="0">
                          <a:prstTxWarp prst="textNoShape">
                            <a:avLst/>
                          </a:prstTxWarp>
                          <a:noAutofit/>
                        </wps:bodyPr>
                      </wps:wsp>
                      <wps:wsp>
                        <wps:cNvPr id="1934" name="Graphic 1934"/>
                        <wps:cNvSpPr/>
                        <wps:spPr>
                          <a:xfrm>
                            <a:off x="546100" y="29057"/>
                            <a:ext cx="1270" cy="225425"/>
                          </a:xfrm>
                          <a:custGeom>
                            <a:avLst/>
                            <a:gdLst/>
                            <a:ahLst/>
                            <a:cxnLst/>
                            <a:rect l="l" t="t" r="r" b="b"/>
                            <a:pathLst>
                              <a:path w="0" h="225425">
                                <a:moveTo>
                                  <a:pt x="0" y="224942"/>
                                </a:moveTo>
                                <a:lnTo>
                                  <a:pt x="0" y="0"/>
                                </a:lnTo>
                              </a:path>
                            </a:pathLst>
                          </a:custGeom>
                          <a:ln w="25400">
                            <a:solidFill>
                              <a:srgbClr val="FFFFFF"/>
                            </a:solidFill>
                            <a:prstDash val="solid"/>
                          </a:ln>
                        </wps:spPr>
                        <wps:bodyPr wrap="square" lIns="0" tIns="0" rIns="0" bIns="0" rtlCol="0">
                          <a:prstTxWarp prst="textNoShape">
                            <a:avLst/>
                          </a:prstTxWarp>
                          <a:noAutofit/>
                        </wps:bodyPr>
                      </wps:wsp>
                      <wps:wsp>
                        <wps:cNvPr id="1935" name="Graphic 1935"/>
                        <wps:cNvSpPr/>
                        <wps:spPr>
                          <a:xfrm>
                            <a:off x="38100" y="38100"/>
                            <a:ext cx="495300" cy="206375"/>
                          </a:xfrm>
                          <a:custGeom>
                            <a:avLst/>
                            <a:gdLst/>
                            <a:ahLst/>
                            <a:cxnLst/>
                            <a:rect l="l" t="t" r="r" b="b"/>
                            <a:pathLst>
                              <a:path w="495300" h="206375">
                                <a:moveTo>
                                  <a:pt x="0" y="206375"/>
                                </a:moveTo>
                                <a:lnTo>
                                  <a:pt x="495300" y="206375"/>
                                </a:lnTo>
                                <a:lnTo>
                                  <a:pt x="495300" y="0"/>
                                </a:lnTo>
                                <a:lnTo>
                                  <a:pt x="0" y="0"/>
                                </a:lnTo>
                                <a:lnTo>
                                  <a:pt x="0" y="206375"/>
                                </a:lnTo>
                                <a:close/>
                              </a:path>
                            </a:pathLst>
                          </a:custGeom>
                          <a:solidFill>
                            <a:srgbClr val="008FDD"/>
                          </a:solidFill>
                        </wps:spPr>
                        <wps:bodyPr wrap="square" lIns="0" tIns="0" rIns="0" bIns="0" rtlCol="0">
                          <a:prstTxWarp prst="textNoShape">
                            <a:avLst/>
                          </a:prstTxWarp>
                          <a:noAutofit/>
                        </wps:bodyPr>
                      </wps:wsp>
                      <wps:wsp>
                        <wps:cNvPr id="1936" name="Graphic 1936"/>
                        <wps:cNvSpPr/>
                        <wps:spPr>
                          <a:xfrm>
                            <a:off x="19050" y="19050"/>
                            <a:ext cx="4076700" cy="1814195"/>
                          </a:xfrm>
                          <a:custGeom>
                            <a:avLst/>
                            <a:gdLst/>
                            <a:ahLst/>
                            <a:cxnLst/>
                            <a:rect l="l" t="t" r="r" b="b"/>
                            <a:pathLst>
                              <a:path w="4076700" h="1814195">
                                <a:moveTo>
                                  <a:pt x="95250" y="0"/>
                                </a:moveTo>
                                <a:lnTo>
                                  <a:pt x="58212" y="7497"/>
                                </a:lnTo>
                                <a:lnTo>
                                  <a:pt x="27932" y="27932"/>
                                </a:lnTo>
                                <a:lnTo>
                                  <a:pt x="7497" y="58212"/>
                                </a:lnTo>
                                <a:lnTo>
                                  <a:pt x="0" y="95250"/>
                                </a:lnTo>
                                <a:lnTo>
                                  <a:pt x="0" y="1794967"/>
                                </a:lnTo>
                                <a:lnTo>
                                  <a:pt x="0" y="1814017"/>
                                </a:lnTo>
                                <a:lnTo>
                                  <a:pt x="19050" y="1814017"/>
                                </a:lnTo>
                                <a:lnTo>
                                  <a:pt x="4057650" y="1814017"/>
                                </a:lnTo>
                                <a:lnTo>
                                  <a:pt x="4076700" y="1814017"/>
                                </a:lnTo>
                                <a:lnTo>
                                  <a:pt x="4076700" y="1794967"/>
                                </a:lnTo>
                                <a:lnTo>
                                  <a:pt x="4076700" y="95250"/>
                                </a:lnTo>
                                <a:lnTo>
                                  <a:pt x="4069202" y="58212"/>
                                </a:lnTo>
                                <a:lnTo>
                                  <a:pt x="4048767" y="27932"/>
                                </a:lnTo>
                                <a:lnTo>
                                  <a:pt x="4018487" y="7497"/>
                                </a:lnTo>
                                <a:lnTo>
                                  <a:pt x="3981450" y="0"/>
                                </a:lnTo>
                                <a:lnTo>
                                  <a:pt x="95250" y="0"/>
                                </a:lnTo>
                                <a:close/>
                              </a:path>
                            </a:pathLst>
                          </a:custGeom>
                          <a:ln w="38100">
                            <a:solidFill>
                              <a:srgbClr val="FFFFFF"/>
                            </a:solidFill>
                            <a:prstDash val="solid"/>
                          </a:ln>
                        </wps:spPr>
                        <wps:bodyPr wrap="square" lIns="0" tIns="0" rIns="0" bIns="0" rtlCol="0">
                          <a:prstTxWarp prst="textNoShape">
                            <a:avLst/>
                          </a:prstTxWarp>
                          <a:noAutofit/>
                        </wps:bodyPr>
                      </wps:wsp>
                      <wps:wsp>
                        <wps:cNvPr id="1937" name="Textbox 1937"/>
                        <wps:cNvSpPr txBox="1"/>
                        <wps:spPr>
                          <a:xfrm>
                            <a:off x="622253" y="81178"/>
                            <a:ext cx="2983865" cy="120650"/>
                          </a:xfrm>
                          <a:prstGeom prst="rect">
                            <a:avLst/>
                          </a:prstGeom>
                        </wps:spPr>
                        <wps:txbx>
                          <w:txbxContent>
                            <w:p>
                              <w:pPr>
                                <w:spacing w:before="2"/>
                                <w:ind w:left="0" w:right="0" w:firstLine="0"/>
                                <w:jc w:val="left"/>
                                <w:rPr>
                                  <w:rFonts w:ascii="Arial"/>
                                  <w:b/>
                                  <w:sz w:val="16"/>
                                </w:rPr>
                              </w:pPr>
                              <w:r>
                                <w:rPr>
                                  <w:rFonts w:ascii="Arial"/>
                                  <w:b/>
                                  <w:color w:val="FFFFFF"/>
                                  <w:w w:val="105"/>
                                  <w:sz w:val="16"/>
                                </w:rPr>
                                <w:t>Component</w:t>
                              </w:r>
                              <w:r>
                                <w:rPr>
                                  <w:rFonts w:ascii="Arial"/>
                                  <w:b/>
                                  <w:color w:val="FFFFFF"/>
                                  <w:spacing w:val="16"/>
                                  <w:w w:val="105"/>
                                  <w:sz w:val="16"/>
                                </w:rPr>
                                <w:t> </w:t>
                              </w:r>
                              <w:r>
                                <w:rPr>
                                  <w:rFonts w:ascii="Arial"/>
                                  <w:b/>
                                  <w:color w:val="FFFFFF"/>
                                  <w:w w:val="105"/>
                                  <w:sz w:val="16"/>
                                </w:rPr>
                                <w:t>loadings</w:t>
                              </w:r>
                              <w:r>
                                <w:rPr>
                                  <w:rFonts w:ascii="Arial"/>
                                  <w:b/>
                                  <w:color w:val="FFFFFF"/>
                                  <w:spacing w:val="16"/>
                                  <w:w w:val="105"/>
                                  <w:sz w:val="16"/>
                                </w:rPr>
                                <w:t> </w:t>
                              </w:r>
                              <w:r>
                                <w:rPr>
                                  <w:rFonts w:ascii="Arial"/>
                                  <w:b/>
                                  <w:color w:val="FFFFFF"/>
                                  <w:w w:val="105"/>
                                  <w:sz w:val="16"/>
                                </w:rPr>
                                <w:t>for</w:t>
                              </w:r>
                              <w:r>
                                <w:rPr>
                                  <w:rFonts w:ascii="Arial"/>
                                  <w:b/>
                                  <w:color w:val="FFFFFF"/>
                                  <w:spacing w:val="16"/>
                                  <w:w w:val="105"/>
                                  <w:sz w:val="16"/>
                                </w:rPr>
                                <w:t> </w:t>
                              </w:r>
                              <w:r>
                                <w:rPr>
                                  <w:rFonts w:ascii="Arial"/>
                                  <w:b/>
                                  <w:color w:val="FFFFFF"/>
                                  <w:w w:val="105"/>
                                  <w:sz w:val="16"/>
                                </w:rPr>
                                <w:t>the</w:t>
                              </w:r>
                              <w:r>
                                <w:rPr>
                                  <w:rFonts w:ascii="Arial"/>
                                  <w:b/>
                                  <w:color w:val="FFFFFF"/>
                                  <w:spacing w:val="17"/>
                                  <w:w w:val="105"/>
                                  <w:sz w:val="16"/>
                                </w:rPr>
                                <w:t> </w:t>
                              </w:r>
                              <w:r>
                                <w:rPr>
                                  <w:rFonts w:ascii="Arial"/>
                                  <w:b/>
                                  <w:color w:val="FFFFFF"/>
                                  <w:w w:val="105"/>
                                  <w:sz w:val="16"/>
                                </w:rPr>
                                <w:t>2023</w:t>
                              </w:r>
                              <w:r>
                                <w:rPr>
                                  <w:rFonts w:ascii="Arial"/>
                                  <w:b/>
                                  <w:color w:val="FFFFFF"/>
                                  <w:spacing w:val="16"/>
                                  <w:w w:val="105"/>
                                  <w:sz w:val="16"/>
                                </w:rPr>
                                <w:t> </w:t>
                              </w:r>
                              <w:r>
                                <w:rPr>
                                  <w:rFonts w:ascii="Arial"/>
                                  <w:b/>
                                  <w:color w:val="FFFFFF"/>
                                  <w:w w:val="105"/>
                                  <w:sz w:val="16"/>
                                </w:rPr>
                                <w:t>international</w:t>
                              </w:r>
                              <w:r>
                                <w:rPr>
                                  <w:rFonts w:ascii="Arial"/>
                                  <w:b/>
                                  <w:color w:val="FFFFFF"/>
                                  <w:spacing w:val="16"/>
                                  <w:w w:val="105"/>
                                  <w:sz w:val="16"/>
                                </w:rPr>
                                <w:t> </w:t>
                              </w:r>
                              <w:r>
                                <w:rPr>
                                  <w:rFonts w:ascii="Arial"/>
                                  <w:b/>
                                  <w:color w:val="FFFFFF"/>
                                  <w:w w:val="105"/>
                                  <w:sz w:val="16"/>
                                </w:rPr>
                                <w:t>LPI</w:t>
                              </w:r>
                              <w:r>
                                <w:rPr>
                                  <w:rFonts w:ascii="Arial"/>
                                  <w:b/>
                                  <w:color w:val="FFFFFF"/>
                                  <w:spacing w:val="16"/>
                                  <w:w w:val="105"/>
                                  <w:sz w:val="16"/>
                                </w:rPr>
                                <w:t> </w:t>
                              </w:r>
                              <w:r>
                                <w:rPr>
                                  <w:rFonts w:ascii="Arial"/>
                                  <w:b/>
                                  <w:color w:val="FFFFFF"/>
                                  <w:spacing w:val="-2"/>
                                  <w:w w:val="105"/>
                                  <w:sz w:val="16"/>
                                </w:rPr>
                                <w:t>score</w:t>
                              </w:r>
                            </w:p>
                          </w:txbxContent>
                        </wps:txbx>
                        <wps:bodyPr wrap="square" lIns="0" tIns="0" rIns="0" bIns="0" rtlCol="0">
                          <a:noAutofit/>
                        </wps:bodyPr>
                      </wps:wsp>
                      <wps:wsp>
                        <wps:cNvPr id="1938" name="Textbox 1938"/>
                        <wps:cNvSpPr txBox="1"/>
                        <wps:spPr>
                          <a:xfrm>
                            <a:off x="63500" y="1616372"/>
                            <a:ext cx="732155" cy="193040"/>
                          </a:xfrm>
                          <a:prstGeom prst="rect">
                            <a:avLst/>
                          </a:prstGeom>
                        </wps:spPr>
                        <wps:txbx>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3"/>
                                  <w:sz w:val="12"/>
                                </w:rPr>
                                <w:t> </w:t>
                              </w:r>
                              <w:r>
                                <w:rPr>
                                  <w:rFonts w:ascii="Arial"/>
                                  <w:color w:val="231F20"/>
                                  <w:w w:val="80"/>
                                  <w:sz w:val="12"/>
                                </w:rPr>
                                <w:t>2023</w:t>
                              </w:r>
                              <w:r>
                                <w:rPr>
                                  <w:rFonts w:ascii="Arial"/>
                                  <w:color w:val="231F20"/>
                                  <w:spacing w:val="-2"/>
                                  <w:sz w:val="12"/>
                                </w:rPr>
                                <w:t> </w:t>
                              </w:r>
                              <w:r>
                                <w:rPr>
                                  <w:rFonts w:ascii="Arial"/>
                                  <w:color w:val="231F20"/>
                                  <w:w w:val="80"/>
                                  <w:sz w:val="12"/>
                                </w:rPr>
                                <w:t>LPI</w:t>
                              </w:r>
                              <w:r>
                                <w:rPr>
                                  <w:rFonts w:ascii="Arial"/>
                                  <w:color w:val="231F20"/>
                                  <w:spacing w:val="-2"/>
                                  <w:sz w:val="12"/>
                                </w:rPr>
                                <w:t> </w:t>
                              </w:r>
                              <w:r>
                                <w:rPr>
                                  <w:rFonts w:ascii="Arial"/>
                                  <w:color w:val="231F20"/>
                                  <w:spacing w:val="-2"/>
                                  <w:w w:val="80"/>
                                  <w:sz w:val="12"/>
                                </w:rPr>
                                <w:t>team.</w:t>
                              </w:r>
                            </w:p>
                            <w:p>
                              <w:pPr>
                                <w:spacing w:before="22"/>
                                <w:ind w:left="0" w:right="0" w:firstLine="0"/>
                                <w:jc w:val="left"/>
                                <w:rPr>
                                  <w:rFonts w:ascii="Arial"/>
                                  <w:sz w:val="12"/>
                                </w:rPr>
                              </w:pPr>
                              <w:r>
                                <w:rPr>
                                  <w:rFonts w:ascii="Arial"/>
                                  <w:i/>
                                  <w:color w:val="231F20"/>
                                  <w:w w:val="80"/>
                                  <w:sz w:val="12"/>
                                </w:rPr>
                                <w:t>Note:</w:t>
                              </w:r>
                              <w:r>
                                <w:rPr>
                                  <w:rFonts w:ascii="Arial"/>
                                  <w:i/>
                                  <w:color w:val="231F20"/>
                                  <w:spacing w:val="-1"/>
                                  <w:w w:val="80"/>
                                  <w:sz w:val="12"/>
                                </w:rPr>
                                <w:t> </w:t>
                              </w:r>
                              <w:r>
                                <w:rPr>
                                  <w:rFonts w:ascii="Arial"/>
                                  <w:color w:val="231F20"/>
                                  <w:w w:val="80"/>
                                  <w:sz w:val="12"/>
                                </w:rPr>
                                <w:t>na</w:t>
                              </w:r>
                              <w:r>
                                <w:rPr>
                                  <w:rFonts w:ascii="Arial"/>
                                  <w:color w:val="231F20"/>
                                  <w:spacing w:val="-7"/>
                                  <w:sz w:val="12"/>
                                </w:rPr>
                                <w:t> </w:t>
                              </w:r>
                              <w:r>
                                <w:rPr>
                                  <w:rFonts w:ascii="Arial"/>
                                  <w:color w:val="231F20"/>
                                  <w:w w:val="80"/>
                                  <w:sz w:val="12"/>
                                </w:rPr>
                                <w:t>is</w:t>
                              </w:r>
                              <w:r>
                                <w:rPr>
                                  <w:rFonts w:ascii="Arial"/>
                                  <w:color w:val="231F20"/>
                                  <w:spacing w:val="-6"/>
                                  <w:sz w:val="12"/>
                                </w:rPr>
                                <w:t> </w:t>
                              </w:r>
                              <w:r>
                                <w:rPr>
                                  <w:rFonts w:ascii="Arial"/>
                                  <w:color w:val="231F20"/>
                                  <w:w w:val="80"/>
                                  <w:sz w:val="12"/>
                                </w:rPr>
                                <w:t>not</w:t>
                              </w:r>
                              <w:r>
                                <w:rPr>
                                  <w:rFonts w:ascii="Arial"/>
                                  <w:color w:val="231F20"/>
                                  <w:spacing w:val="-1"/>
                                  <w:w w:val="80"/>
                                  <w:sz w:val="12"/>
                                </w:rPr>
                                <w:t> </w:t>
                              </w:r>
                              <w:r>
                                <w:rPr>
                                  <w:rFonts w:ascii="Arial"/>
                                  <w:color w:val="231F20"/>
                                  <w:spacing w:val="-2"/>
                                  <w:w w:val="80"/>
                                  <w:sz w:val="12"/>
                                </w:rPr>
                                <w:t>applicable.</w:t>
                              </w:r>
                            </w:p>
                          </w:txbxContent>
                        </wps:txbx>
                        <wps:bodyPr wrap="square" lIns="0" tIns="0" rIns="0" bIns="0" rtlCol="0">
                          <a:noAutofit/>
                        </wps:bodyPr>
                      </wps:wsp>
                      <wps:wsp>
                        <wps:cNvPr id="1939" name="Textbox 1939"/>
                        <wps:cNvSpPr txBox="1"/>
                        <wps:spPr>
                          <a:xfrm>
                            <a:off x="38100" y="38100"/>
                            <a:ext cx="495300" cy="206375"/>
                          </a:xfrm>
                          <a:prstGeom prst="rect">
                            <a:avLst/>
                          </a:prstGeom>
                        </wps:spPr>
                        <wps:txbx>
                          <w:txbxContent>
                            <w:p>
                              <w:pPr>
                                <w:spacing w:before="70"/>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5.3</w:t>
                              </w:r>
                            </w:p>
                          </w:txbxContent>
                        </wps:txbx>
                        <wps:bodyPr wrap="square" lIns="0" tIns="0" rIns="0" bIns="0" rtlCol="0">
                          <a:noAutofit/>
                        </wps:bodyPr>
                      </wps:wsp>
                    </wpg:wgp>
                  </a:graphicData>
                </a:graphic>
              </wp:anchor>
            </w:drawing>
          </mc:Choice>
          <mc:Fallback>
            <w:pict>
              <v:group style="position:absolute;margin-left:33pt;margin-top:-3.671924pt;width:324pt;height:145.85pt;mso-position-horizontal-relative:page;mso-position-vertical-relative:paragraph;z-index:15784448" id="docshapegroup1658" coordorigin="660,-73" coordsize="6480,2917">
                <v:shape style="position:absolute;left:760;top:-44;width:6350;height:356" id="docshape1659" coordorigin="760,-43" coordsize="6350,356" path="m6960,-43l840,-43,782,-32,760,-17,760,312,7110,312,7110,107,7098,48,7066,1,7018,-32,6960,-43xe" filled="true" fillcolor="#808285" stroked="false">
                  <v:path arrowok="t"/>
                  <v:fill type="solid"/>
                </v:shape>
                <v:line style="position:absolute" from="1520,327" to="1520,-28" stroked="true" strokeweight="2pt" strokecolor="#ffffff">
                  <v:stroke dashstyle="solid"/>
                </v:line>
                <v:rect style="position:absolute;left:720;top:-14;width:780;height:325" id="docshape1660" filled="true" fillcolor="#008fdd" stroked="false">
                  <v:fill type="solid"/>
                </v:rect>
                <v:shape style="position:absolute;left:690;top:-44;width:6420;height:2857" id="docshape1661" coordorigin="690,-43" coordsize="6420,2857" path="m840,-43l782,-32,734,1,702,48,690,107,690,2783,690,2813,720,2813,7080,2813,7110,2813,7110,2783,7110,107,7098,48,7066,1,7018,-32,6960,-43,840,-43xe" filled="false" stroked="true" strokeweight="3pt" strokecolor="#ffffff">
                  <v:path arrowok="t"/>
                  <v:stroke dashstyle="solid"/>
                </v:shape>
                <v:shape style="position:absolute;left:1639;top:54;width:4699;height:190" type="#_x0000_t202" id="docshape1662" filled="false" stroked="false">
                  <v:textbox inset="0,0,0,0">
                    <w:txbxContent>
                      <w:p>
                        <w:pPr>
                          <w:spacing w:before="2"/>
                          <w:ind w:left="0" w:right="0" w:firstLine="0"/>
                          <w:jc w:val="left"/>
                          <w:rPr>
                            <w:rFonts w:ascii="Arial"/>
                            <w:b/>
                            <w:sz w:val="16"/>
                          </w:rPr>
                        </w:pPr>
                        <w:r>
                          <w:rPr>
                            <w:rFonts w:ascii="Arial"/>
                            <w:b/>
                            <w:color w:val="FFFFFF"/>
                            <w:w w:val="105"/>
                            <w:sz w:val="16"/>
                          </w:rPr>
                          <w:t>Component</w:t>
                        </w:r>
                        <w:r>
                          <w:rPr>
                            <w:rFonts w:ascii="Arial"/>
                            <w:b/>
                            <w:color w:val="FFFFFF"/>
                            <w:spacing w:val="16"/>
                            <w:w w:val="105"/>
                            <w:sz w:val="16"/>
                          </w:rPr>
                          <w:t> </w:t>
                        </w:r>
                        <w:r>
                          <w:rPr>
                            <w:rFonts w:ascii="Arial"/>
                            <w:b/>
                            <w:color w:val="FFFFFF"/>
                            <w:w w:val="105"/>
                            <w:sz w:val="16"/>
                          </w:rPr>
                          <w:t>loadings</w:t>
                        </w:r>
                        <w:r>
                          <w:rPr>
                            <w:rFonts w:ascii="Arial"/>
                            <w:b/>
                            <w:color w:val="FFFFFF"/>
                            <w:spacing w:val="16"/>
                            <w:w w:val="105"/>
                            <w:sz w:val="16"/>
                          </w:rPr>
                          <w:t> </w:t>
                        </w:r>
                        <w:r>
                          <w:rPr>
                            <w:rFonts w:ascii="Arial"/>
                            <w:b/>
                            <w:color w:val="FFFFFF"/>
                            <w:w w:val="105"/>
                            <w:sz w:val="16"/>
                          </w:rPr>
                          <w:t>for</w:t>
                        </w:r>
                        <w:r>
                          <w:rPr>
                            <w:rFonts w:ascii="Arial"/>
                            <w:b/>
                            <w:color w:val="FFFFFF"/>
                            <w:spacing w:val="16"/>
                            <w:w w:val="105"/>
                            <w:sz w:val="16"/>
                          </w:rPr>
                          <w:t> </w:t>
                        </w:r>
                        <w:r>
                          <w:rPr>
                            <w:rFonts w:ascii="Arial"/>
                            <w:b/>
                            <w:color w:val="FFFFFF"/>
                            <w:w w:val="105"/>
                            <w:sz w:val="16"/>
                          </w:rPr>
                          <w:t>the</w:t>
                        </w:r>
                        <w:r>
                          <w:rPr>
                            <w:rFonts w:ascii="Arial"/>
                            <w:b/>
                            <w:color w:val="FFFFFF"/>
                            <w:spacing w:val="17"/>
                            <w:w w:val="105"/>
                            <w:sz w:val="16"/>
                          </w:rPr>
                          <w:t> </w:t>
                        </w:r>
                        <w:r>
                          <w:rPr>
                            <w:rFonts w:ascii="Arial"/>
                            <w:b/>
                            <w:color w:val="FFFFFF"/>
                            <w:w w:val="105"/>
                            <w:sz w:val="16"/>
                          </w:rPr>
                          <w:t>2023</w:t>
                        </w:r>
                        <w:r>
                          <w:rPr>
                            <w:rFonts w:ascii="Arial"/>
                            <w:b/>
                            <w:color w:val="FFFFFF"/>
                            <w:spacing w:val="16"/>
                            <w:w w:val="105"/>
                            <w:sz w:val="16"/>
                          </w:rPr>
                          <w:t> </w:t>
                        </w:r>
                        <w:r>
                          <w:rPr>
                            <w:rFonts w:ascii="Arial"/>
                            <w:b/>
                            <w:color w:val="FFFFFF"/>
                            <w:w w:val="105"/>
                            <w:sz w:val="16"/>
                          </w:rPr>
                          <w:t>international</w:t>
                        </w:r>
                        <w:r>
                          <w:rPr>
                            <w:rFonts w:ascii="Arial"/>
                            <w:b/>
                            <w:color w:val="FFFFFF"/>
                            <w:spacing w:val="16"/>
                            <w:w w:val="105"/>
                            <w:sz w:val="16"/>
                          </w:rPr>
                          <w:t> </w:t>
                        </w:r>
                        <w:r>
                          <w:rPr>
                            <w:rFonts w:ascii="Arial"/>
                            <w:b/>
                            <w:color w:val="FFFFFF"/>
                            <w:w w:val="105"/>
                            <w:sz w:val="16"/>
                          </w:rPr>
                          <w:t>LPI</w:t>
                        </w:r>
                        <w:r>
                          <w:rPr>
                            <w:rFonts w:ascii="Arial"/>
                            <w:b/>
                            <w:color w:val="FFFFFF"/>
                            <w:spacing w:val="16"/>
                            <w:w w:val="105"/>
                            <w:sz w:val="16"/>
                          </w:rPr>
                          <w:t> </w:t>
                        </w:r>
                        <w:r>
                          <w:rPr>
                            <w:rFonts w:ascii="Arial"/>
                            <w:b/>
                            <w:color w:val="FFFFFF"/>
                            <w:spacing w:val="-2"/>
                            <w:w w:val="105"/>
                            <w:sz w:val="16"/>
                          </w:rPr>
                          <w:t>score</w:t>
                        </w:r>
                      </w:p>
                    </w:txbxContent>
                  </v:textbox>
                  <w10:wrap type="none"/>
                </v:shape>
                <v:shape style="position:absolute;left:760;top:2472;width:1153;height:304" type="#_x0000_t202" id="docshape1663" filled="false" stroked="false">
                  <v:textbox inset="0,0,0,0">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3"/>
                            <w:sz w:val="12"/>
                          </w:rPr>
                          <w:t> </w:t>
                        </w:r>
                        <w:r>
                          <w:rPr>
                            <w:rFonts w:ascii="Arial"/>
                            <w:color w:val="231F20"/>
                            <w:w w:val="80"/>
                            <w:sz w:val="12"/>
                          </w:rPr>
                          <w:t>2023</w:t>
                        </w:r>
                        <w:r>
                          <w:rPr>
                            <w:rFonts w:ascii="Arial"/>
                            <w:color w:val="231F20"/>
                            <w:spacing w:val="-2"/>
                            <w:sz w:val="12"/>
                          </w:rPr>
                          <w:t> </w:t>
                        </w:r>
                        <w:r>
                          <w:rPr>
                            <w:rFonts w:ascii="Arial"/>
                            <w:color w:val="231F20"/>
                            <w:w w:val="80"/>
                            <w:sz w:val="12"/>
                          </w:rPr>
                          <w:t>LPI</w:t>
                        </w:r>
                        <w:r>
                          <w:rPr>
                            <w:rFonts w:ascii="Arial"/>
                            <w:color w:val="231F20"/>
                            <w:spacing w:val="-2"/>
                            <w:sz w:val="12"/>
                          </w:rPr>
                          <w:t> </w:t>
                        </w:r>
                        <w:r>
                          <w:rPr>
                            <w:rFonts w:ascii="Arial"/>
                            <w:color w:val="231F20"/>
                            <w:spacing w:val="-2"/>
                            <w:w w:val="80"/>
                            <w:sz w:val="12"/>
                          </w:rPr>
                          <w:t>team.</w:t>
                        </w:r>
                      </w:p>
                      <w:p>
                        <w:pPr>
                          <w:spacing w:before="22"/>
                          <w:ind w:left="0" w:right="0" w:firstLine="0"/>
                          <w:jc w:val="left"/>
                          <w:rPr>
                            <w:rFonts w:ascii="Arial"/>
                            <w:sz w:val="12"/>
                          </w:rPr>
                        </w:pPr>
                        <w:r>
                          <w:rPr>
                            <w:rFonts w:ascii="Arial"/>
                            <w:i/>
                            <w:color w:val="231F20"/>
                            <w:w w:val="80"/>
                            <w:sz w:val="12"/>
                          </w:rPr>
                          <w:t>Note:</w:t>
                        </w:r>
                        <w:r>
                          <w:rPr>
                            <w:rFonts w:ascii="Arial"/>
                            <w:i/>
                            <w:color w:val="231F20"/>
                            <w:spacing w:val="-1"/>
                            <w:w w:val="80"/>
                            <w:sz w:val="12"/>
                          </w:rPr>
                          <w:t> </w:t>
                        </w:r>
                        <w:r>
                          <w:rPr>
                            <w:rFonts w:ascii="Arial"/>
                            <w:color w:val="231F20"/>
                            <w:w w:val="80"/>
                            <w:sz w:val="12"/>
                          </w:rPr>
                          <w:t>na</w:t>
                        </w:r>
                        <w:r>
                          <w:rPr>
                            <w:rFonts w:ascii="Arial"/>
                            <w:color w:val="231F20"/>
                            <w:spacing w:val="-7"/>
                            <w:sz w:val="12"/>
                          </w:rPr>
                          <w:t> </w:t>
                        </w:r>
                        <w:r>
                          <w:rPr>
                            <w:rFonts w:ascii="Arial"/>
                            <w:color w:val="231F20"/>
                            <w:w w:val="80"/>
                            <w:sz w:val="12"/>
                          </w:rPr>
                          <w:t>is</w:t>
                        </w:r>
                        <w:r>
                          <w:rPr>
                            <w:rFonts w:ascii="Arial"/>
                            <w:color w:val="231F20"/>
                            <w:spacing w:val="-6"/>
                            <w:sz w:val="12"/>
                          </w:rPr>
                          <w:t> </w:t>
                        </w:r>
                        <w:r>
                          <w:rPr>
                            <w:rFonts w:ascii="Arial"/>
                            <w:color w:val="231F20"/>
                            <w:w w:val="80"/>
                            <w:sz w:val="12"/>
                          </w:rPr>
                          <w:t>not</w:t>
                        </w:r>
                        <w:r>
                          <w:rPr>
                            <w:rFonts w:ascii="Arial"/>
                            <w:color w:val="231F20"/>
                            <w:spacing w:val="-1"/>
                            <w:w w:val="80"/>
                            <w:sz w:val="12"/>
                          </w:rPr>
                          <w:t> </w:t>
                        </w:r>
                        <w:r>
                          <w:rPr>
                            <w:rFonts w:ascii="Arial"/>
                            <w:color w:val="231F20"/>
                            <w:spacing w:val="-2"/>
                            <w:w w:val="80"/>
                            <w:sz w:val="12"/>
                          </w:rPr>
                          <w:t>applicable.</w:t>
                        </w:r>
                      </w:p>
                    </w:txbxContent>
                  </v:textbox>
                  <w10:wrap type="none"/>
                </v:shape>
                <v:shape style="position:absolute;left:720;top:-14;width:780;height:325" type="#_x0000_t202" id="docshape1664" filled="false" stroked="false">
                  <v:textbox inset="0,0,0,0">
                    <w:txbxContent>
                      <w:p>
                        <w:pPr>
                          <w:spacing w:before="70"/>
                          <w:ind w:left="80" w:right="0" w:firstLine="0"/>
                          <w:jc w:val="left"/>
                          <w:rPr>
                            <w:rFonts w:ascii="Arial"/>
                            <w:b/>
                            <w:sz w:val="16"/>
                          </w:rPr>
                        </w:pPr>
                        <w:r>
                          <w:rPr>
                            <w:rFonts w:ascii="Arial"/>
                            <w:color w:val="FFFFFF"/>
                            <w:spacing w:val="-2"/>
                            <w:w w:val="80"/>
                            <w:sz w:val="16"/>
                          </w:rPr>
                          <w:t>Table</w:t>
                        </w:r>
                        <w:r>
                          <w:rPr>
                            <w:rFonts w:ascii="Arial"/>
                            <w:color w:val="FFFFFF"/>
                            <w:spacing w:val="-4"/>
                            <w:sz w:val="16"/>
                          </w:rPr>
                          <w:t> </w:t>
                        </w:r>
                        <w:r>
                          <w:rPr>
                            <w:rFonts w:ascii="Arial"/>
                            <w:color w:val="FFFFFF"/>
                            <w:spacing w:val="-4"/>
                            <w:w w:val="90"/>
                            <w:sz w:val="16"/>
                          </w:rPr>
                          <w:t>A</w:t>
                        </w:r>
                        <w:r>
                          <w:rPr>
                            <w:rFonts w:ascii="Arial"/>
                            <w:b/>
                            <w:color w:val="FFFFFF"/>
                            <w:spacing w:val="-4"/>
                            <w:w w:val="90"/>
                            <w:sz w:val="16"/>
                          </w:rPr>
                          <w:t>5.3</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4960">
                <wp:simplePos x="0" y="0"/>
                <wp:positionH relativeFrom="page">
                  <wp:posOffset>444500</wp:posOffset>
                </wp:positionH>
                <wp:positionV relativeFrom="paragraph">
                  <wp:posOffset>322884</wp:posOffset>
                </wp:positionV>
                <wp:extent cx="4089400" cy="1128395"/>
                <wp:effectExtent l="0" t="0" r="0" b="0"/>
                <wp:wrapNone/>
                <wp:docPr id="1940" name="Textbox 1940"/>
                <wp:cNvGraphicFramePr>
                  <a:graphicFrameLocks/>
                </wp:cNvGraphicFramePr>
                <a:graphic>
                  <a:graphicData uri="http://schemas.microsoft.com/office/word/2010/wordprocessingShape">
                    <wps:wsp>
                      <wps:cNvPr id="1940" name="Textbox 1940"/>
                      <wps:cNvSpPr txBox="1"/>
                      <wps:spPr>
                        <a:xfrm>
                          <a:off x="0" y="0"/>
                          <a:ext cx="4089400" cy="11283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59"/>
                              <w:gridCol w:w="3161"/>
                            </w:tblGrid>
                            <w:tr>
                              <w:trPr>
                                <w:trHeight w:val="209" w:hRule="atLeast"/>
                              </w:trPr>
                              <w:tc>
                                <w:tcPr>
                                  <w:tcW w:w="3159" w:type="dxa"/>
                                  <w:tcBorders>
                                    <w:bottom w:val="single" w:sz="4" w:space="0" w:color="008FDD"/>
                                  </w:tcBorders>
                                </w:tcPr>
                                <w:p>
                                  <w:pPr>
                                    <w:pStyle w:val="TableParagraph"/>
                                    <w:spacing w:before="3"/>
                                    <w:ind w:left="80"/>
                                    <w:jc w:val="left"/>
                                    <w:rPr>
                                      <w:b/>
                                      <w:sz w:val="14"/>
                                    </w:rPr>
                                  </w:pPr>
                                  <w:r>
                                    <w:rPr>
                                      <w:b/>
                                      <w:color w:val="231F20"/>
                                      <w:spacing w:val="-2"/>
                                      <w:w w:val="90"/>
                                      <w:sz w:val="14"/>
                                    </w:rPr>
                                    <w:t>Component</w:t>
                                  </w:r>
                                </w:p>
                              </w:tc>
                              <w:tc>
                                <w:tcPr>
                                  <w:tcW w:w="3161" w:type="dxa"/>
                                  <w:tcBorders>
                                    <w:bottom w:val="single" w:sz="4" w:space="0" w:color="008FDD"/>
                                  </w:tcBorders>
                                </w:tcPr>
                                <w:p>
                                  <w:pPr>
                                    <w:pStyle w:val="TableParagraph"/>
                                    <w:spacing w:before="3"/>
                                    <w:ind w:left="2" w:right="1"/>
                                    <w:rPr>
                                      <w:b/>
                                      <w:sz w:val="14"/>
                                    </w:rPr>
                                  </w:pPr>
                                  <w:r>
                                    <w:rPr>
                                      <w:b/>
                                      <w:color w:val="231F20"/>
                                      <w:spacing w:val="-2"/>
                                      <w:w w:val="95"/>
                                      <w:sz w:val="14"/>
                                    </w:rPr>
                                    <w:t>Weight</w:t>
                                  </w:r>
                                </w:p>
                              </w:tc>
                            </w:tr>
                            <w:tr>
                              <w:trPr>
                                <w:trHeight w:val="258" w:hRule="atLeast"/>
                              </w:trPr>
                              <w:tc>
                                <w:tcPr>
                                  <w:tcW w:w="3159" w:type="dxa"/>
                                  <w:tcBorders>
                                    <w:top w:val="single" w:sz="4" w:space="0" w:color="008FDD"/>
                                  </w:tcBorders>
                                </w:tcPr>
                                <w:p>
                                  <w:pPr>
                                    <w:pStyle w:val="TableParagraph"/>
                                    <w:spacing w:before="47"/>
                                    <w:ind w:left="80"/>
                                    <w:jc w:val="left"/>
                                    <w:rPr>
                                      <w:sz w:val="14"/>
                                    </w:rPr>
                                  </w:pPr>
                                  <w:r>
                                    <w:rPr>
                                      <w:color w:val="231F20"/>
                                      <w:spacing w:val="-2"/>
                                      <w:w w:val="90"/>
                                      <w:sz w:val="14"/>
                                    </w:rPr>
                                    <w:t>Customs</w:t>
                                  </w:r>
                                </w:p>
                              </w:tc>
                              <w:tc>
                                <w:tcPr>
                                  <w:tcW w:w="3161" w:type="dxa"/>
                                  <w:tcBorders>
                                    <w:top w:val="single" w:sz="4" w:space="0" w:color="008FDD"/>
                                  </w:tcBorders>
                                </w:tcPr>
                                <w:p>
                                  <w:pPr>
                                    <w:pStyle w:val="TableParagraph"/>
                                    <w:spacing w:before="47"/>
                                    <w:ind w:left="2" w:right="2"/>
                                    <w:rPr>
                                      <w:sz w:val="14"/>
                                    </w:rPr>
                                  </w:pPr>
                                  <w:r>
                                    <w:rPr>
                                      <w:color w:val="231F20"/>
                                      <w:spacing w:val="-2"/>
                                      <w:w w:val="95"/>
                                      <w:sz w:val="14"/>
                                    </w:rPr>
                                    <w:t>0.4105</w:t>
                                  </w:r>
                                </w:p>
                              </w:tc>
                            </w:tr>
                            <w:tr>
                              <w:trPr>
                                <w:trHeight w:val="259" w:hRule="atLeast"/>
                              </w:trPr>
                              <w:tc>
                                <w:tcPr>
                                  <w:tcW w:w="3159" w:type="dxa"/>
                                  <w:shd w:val="clear" w:color="auto" w:fill="D4E3F5"/>
                                </w:tcPr>
                                <w:p>
                                  <w:pPr>
                                    <w:pStyle w:val="TableParagraph"/>
                                    <w:ind w:left="80"/>
                                    <w:jc w:val="left"/>
                                    <w:rPr>
                                      <w:sz w:val="14"/>
                                    </w:rPr>
                                  </w:pPr>
                                  <w:r>
                                    <w:rPr>
                                      <w:color w:val="231F20"/>
                                      <w:spacing w:val="-2"/>
                                      <w:w w:val="90"/>
                                      <w:sz w:val="14"/>
                                    </w:rPr>
                                    <w:t>Infrastructure</w:t>
                                  </w:r>
                                </w:p>
                              </w:tc>
                              <w:tc>
                                <w:tcPr>
                                  <w:tcW w:w="3161" w:type="dxa"/>
                                  <w:shd w:val="clear" w:color="auto" w:fill="D4E3F5"/>
                                </w:tcPr>
                                <w:p>
                                  <w:pPr>
                                    <w:pStyle w:val="TableParagraph"/>
                                    <w:ind w:left="2" w:right="2"/>
                                    <w:rPr>
                                      <w:sz w:val="14"/>
                                    </w:rPr>
                                  </w:pPr>
                                  <w:r>
                                    <w:rPr>
                                      <w:color w:val="231F20"/>
                                      <w:spacing w:val="-2"/>
                                      <w:w w:val="95"/>
                                      <w:sz w:val="14"/>
                                    </w:rPr>
                                    <w:t>0.4133</w:t>
                                  </w:r>
                                </w:p>
                              </w:tc>
                            </w:tr>
                            <w:tr>
                              <w:trPr>
                                <w:trHeight w:val="259" w:hRule="atLeast"/>
                              </w:trPr>
                              <w:tc>
                                <w:tcPr>
                                  <w:tcW w:w="3159" w:type="dxa"/>
                                </w:tcPr>
                                <w:p>
                                  <w:pPr>
                                    <w:pStyle w:val="TableParagraph"/>
                                    <w:ind w:left="80"/>
                                    <w:jc w:val="left"/>
                                    <w:rPr>
                                      <w:sz w:val="14"/>
                                    </w:rPr>
                                  </w:pPr>
                                  <w:r>
                                    <w:rPr>
                                      <w:color w:val="231F20"/>
                                      <w:spacing w:val="2"/>
                                      <w:w w:val="75"/>
                                      <w:sz w:val="14"/>
                                    </w:rPr>
                                    <w:t>International</w:t>
                                  </w:r>
                                  <w:r>
                                    <w:rPr>
                                      <w:color w:val="231F20"/>
                                      <w:spacing w:val="9"/>
                                      <w:sz w:val="14"/>
                                    </w:rPr>
                                    <w:t> </w:t>
                                  </w:r>
                                  <w:r>
                                    <w:rPr>
                                      <w:color w:val="231F20"/>
                                      <w:spacing w:val="-2"/>
                                      <w:w w:val="90"/>
                                      <w:sz w:val="14"/>
                                    </w:rPr>
                                    <w:t>shipments</w:t>
                                  </w:r>
                                </w:p>
                              </w:tc>
                              <w:tc>
                                <w:tcPr>
                                  <w:tcW w:w="3161" w:type="dxa"/>
                                </w:tcPr>
                                <w:p>
                                  <w:pPr>
                                    <w:pStyle w:val="TableParagraph"/>
                                    <w:ind w:left="2"/>
                                    <w:rPr>
                                      <w:sz w:val="14"/>
                                    </w:rPr>
                                  </w:pPr>
                                  <w:r>
                                    <w:rPr>
                                      <w:color w:val="231F20"/>
                                      <w:spacing w:val="-2"/>
                                      <w:w w:val="95"/>
                                      <w:sz w:val="14"/>
                                    </w:rPr>
                                    <w:t>0.3931</w:t>
                                  </w:r>
                                </w:p>
                              </w:tc>
                            </w:tr>
                            <w:tr>
                              <w:trPr>
                                <w:trHeight w:val="259" w:hRule="atLeast"/>
                              </w:trPr>
                              <w:tc>
                                <w:tcPr>
                                  <w:tcW w:w="3159" w:type="dxa"/>
                                  <w:shd w:val="clear" w:color="auto" w:fill="D4E3F5"/>
                                </w:tcPr>
                                <w:p>
                                  <w:pPr>
                                    <w:pStyle w:val="TableParagraph"/>
                                    <w:ind w:left="80"/>
                                    <w:jc w:val="left"/>
                                    <w:rPr>
                                      <w:sz w:val="14"/>
                                    </w:rPr>
                                  </w:pPr>
                                  <w:r>
                                    <w:rPr>
                                      <w:color w:val="231F20"/>
                                      <w:w w:val="75"/>
                                      <w:sz w:val="14"/>
                                    </w:rPr>
                                    <w:t>Logistics</w:t>
                                  </w:r>
                                  <w:r>
                                    <w:rPr>
                                      <w:color w:val="231F20"/>
                                      <w:spacing w:val="17"/>
                                      <w:sz w:val="14"/>
                                    </w:rPr>
                                    <w:t> </w:t>
                                  </w:r>
                                  <w:r>
                                    <w:rPr>
                                      <w:color w:val="231F20"/>
                                      <w:w w:val="75"/>
                                      <w:sz w:val="14"/>
                                    </w:rPr>
                                    <w:t>quality</w:t>
                                  </w:r>
                                  <w:r>
                                    <w:rPr>
                                      <w:color w:val="231F20"/>
                                      <w:spacing w:val="17"/>
                                      <w:sz w:val="14"/>
                                    </w:rPr>
                                    <w:t> </w:t>
                                  </w:r>
                                  <w:r>
                                    <w:rPr>
                                      <w:color w:val="231F20"/>
                                      <w:w w:val="75"/>
                                      <w:sz w:val="14"/>
                                    </w:rPr>
                                    <w:t>and</w:t>
                                  </w:r>
                                  <w:r>
                                    <w:rPr>
                                      <w:color w:val="231F20"/>
                                      <w:spacing w:val="17"/>
                                      <w:sz w:val="14"/>
                                    </w:rPr>
                                    <w:t> </w:t>
                                  </w:r>
                                  <w:r>
                                    <w:rPr>
                                      <w:color w:val="231F20"/>
                                      <w:spacing w:val="-2"/>
                                      <w:w w:val="75"/>
                                      <w:sz w:val="14"/>
                                    </w:rPr>
                                    <w:t>competence</w:t>
                                  </w:r>
                                </w:p>
                              </w:tc>
                              <w:tc>
                                <w:tcPr>
                                  <w:tcW w:w="3161" w:type="dxa"/>
                                  <w:shd w:val="clear" w:color="auto" w:fill="D4E3F5"/>
                                </w:tcPr>
                                <w:p>
                                  <w:pPr>
                                    <w:pStyle w:val="TableParagraph"/>
                                    <w:ind w:left="2" w:right="1"/>
                                    <w:rPr>
                                      <w:sz w:val="14"/>
                                    </w:rPr>
                                  </w:pPr>
                                  <w:r>
                                    <w:rPr>
                                      <w:color w:val="231F20"/>
                                      <w:spacing w:val="-2"/>
                                      <w:w w:val="95"/>
                                      <w:sz w:val="14"/>
                                    </w:rPr>
                                    <w:t>0.4168</w:t>
                                  </w:r>
                                </w:p>
                              </w:tc>
                            </w:tr>
                            <w:tr>
                              <w:trPr>
                                <w:trHeight w:val="259" w:hRule="atLeast"/>
                              </w:trPr>
                              <w:tc>
                                <w:tcPr>
                                  <w:tcW w:w="3159" w:type="dxa"/>
                                </w:tcPr>
                                <w:p>
                                  <w:pPr>
                                    <w:pStyle w:val="TableParagraph"/>
                                    <w:ind w:left="80"/>
                                    <w:jc w:val="left"/>
                                    <w:rPr>
                                      <w:sz w:val="14"/>
                                    </w:rPr>
                                  </w:pPr>
                                  <w:r>
                                    <w:rPr>
                                      <w:color w:val="231F20"/>
                                      <w:w w:val="75"/>
                                      <w:sz w:val="14"/>
                                    </w:rPr>
                                    <w:t>Tracking</w:t>
                                  </w:r>
                                  <w:r>
                                    <w:rPr>
                                      <w:color w:val="231F20"/>
                                      <w:spacing w:val="8"/>
                                      <w:sz w:val="14"/>
                                    </w:rPr>
                                    <w:t> </w:t>
                                  </w:r>
                                  <w:r>
                                    <w:rPr>
                                      <w:color w:val="231F20"/>
                                      <w:w w:val="75"/>
                                      <w:sz w:val="14"/>
                                    </w:rPr>
                                    <w:t>and</w:t>
                                  </w:r>
                                  <w:r>
                                    <w:rPr>
                                      <w:color w:val="231F20"/>
                                      <w:spacing w:val="9"/>
                                      <w:sz w:val="14"/>
                                    </w:rPr>
                                    <w:t> </w:t>
                                  </w:r>
                                  <w:r>
                                    <w:rPr>
                                      <w:color w:val="231F20"/>
                                      <w:spacing w:val="-2"/>
                                      <w:w w:val="75"/>
                                      <w:sz w:val="14"/>
                                    </w:rPr>
                                    <w:t>tracing</w:t>
                                  </w:r>
                                </w:p>
                              </w:tc>
                              <w:tc>
                                <w:tcPr>
                                  <w:tcW w:w="3161" w:type="dxa"/>
                                </w:tcPr>
                                <w:p>
                                  <w:pPr>
                                    <w:pStyle w:val="TableParagraph"/>
                                    <w:ind w:left="2" w:right="2"/>
                                    <w:rPr>
                                      <w:sz w:val="14"/>
                                    </w:rPr>
                                  </w:pPr>
                                  <w:r>
                                    <w:rPr>
                                      <w:color w:val="231F20"/>
                                      <w:spacing w:val="-2"/>
                                      <w:w w:val="95"/>
                                      <w:sz w:val="14"/>
                                    </w:rPr>
                                    <w:t>0.4133</w:t>
                                  </w:r>
                                </w:p>
                              </w:tc>
                            </w:tr>
                            <w:tr>
                              <w:trPr>
                                <w:trHeight w:val="254" w:hRule="atLeast"/>
                              </w:trPr>
                              <w:tc>
                                <w:tcPr>
                                  <w:tcW w:w="3159" w:type="dxa"/>
                                  <w:tcBorders>
                                    <w:bottom w:val="single" w:sz="4" w:space="0" w:color="008FDD"/>
                                  </w:tcBorders>
                                  <w:shd w:val="clear" w:color="auto" w:fill="D4E3F5"/>
                                </w:tcPr>
                                <w:p>
                                  <w:pPr>
                                    <w:pStyle w:val="TableParagraph"/>
                                    <w:ind w:left="80"/>
                                    <w:jc w:val="left"/>
                                    <w:rPr>
                                      <w:sz w:val="14"/>
                                    </w:rPr>
                                  </w:pPr>
                                  <w:r>
                                    <w:rPr>
                                      <w:color w:val="231F20"/>
                                      <w:spacing w:val="-2"/>
                                      <w:w w:val="90"/>
                                      <w:sz w:val="14"/>
                                    </w:rPr>
                                    <w:t>Timeliness</w:t>
                                  </w:r>
                                </w:p>
                              </w:tc>
                              <w:tc>
                                <w:tcPr>
                                  <w:tcW w:w="3161" w:type="dxa"/>
                                  <w:tcBorders>
                                    <w:bottom w:val="single" w:sz="4" w:space="0" w:color="008FDD"/>
                                  </w:tcBorders>
                                  <w:shd w:val="clear" w:color="auto" w:fill="D4E3F5"/>
                                </w:tcPr>
                                <w:p>
                                  <w:pPr>
                                    <w:pStyle w:val="TableParagraph"/>
                                    <w:ind w:left="2" w:right="2"/>
                                    <w:rPr>
                                      <w:sz w:val="14"/>
                                    </w:rPr>
                                  </w:pPr>
                                  <w:r>
                                    <w:rPr>
                                      <w:color w:val="231F20"/>
                                      <w:spacing w:val="-2"/>
                                      <w:w w:val="95"/>
                                      <w:sz w:val="14"/>
                                    </w:rPr>
                                    <w:t>0.4021</w:t>
                                  </w:r>
                                </w:p>
                              </w:tc>
                            </w:tr>
                          </w:tbl>
                          <w:p>
                            <w:pPr>
                              <w:pStyle w:val="BodyText"/>
                            </w:pPr>
                          </w:p>
                        </w:txbxContent>
                      </wps:txbx>
                      <wps:bodyPr wrap="square" lIns="0" tIns="0" rIns="0" bIns="0" rtlCol="0">
                        <a:noAutofit/>
                      </wps:bodyPr>
                    </wps:wsp>
                  </a:graphicData>
                </a:graphic>
              </wp:anchor>
            </w:drawing>
          </mc:Choice>
          <mc:Fallback>
            <w:pict>
              <v:shape style="position:absolute;margin-left:35pt;margin-top:25.423977pt;width:322pt;height:88.85pt;mso-position-horizontal-relative:page;mso-position-vertical-relative:paragraph;z-index:15784960" type="#_x0000_t202" id="docshape166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59"/>
                        <w:gridCol w:w="3161"/>
                      </w:tblGrid>
                      <w:tr>
                        <w:trPr>
                          <w:trHeight w:val="209" w:hRule="atLeast"/>
                        </w:trPr>
                        <w:tc>
                          <w:tcPr>
                            <w:tcW w:w="3159" w:type="dxa"/>
                            <w:tcBorders>
                              <w:bottom w:val="single" w:sz="4" w:space="0" w:color="008FDD"/>
                            </w:tcBorders>
                          </w:tcPr>
                          <w:p>
                            <w:pPr>
                              <w:pStyle w:val="TableParagraph"/>
                              <w:spacing w:before="3"/>
                              <w:ind w:left="80"/>
                              <w:jc w:val="left"/>
                              <w:rPr>
                                <w:b/>
                                <w:sz w:val="14"/>
                              </w:rPr>
                            </w:pPr>
                            <w:r>
                              <w:rPr>
                                <w:b/>
                                <w:color w:val="231F20"/>
                                <w:spacing w:val="-2"/>
                                <w:w w:val="90"/>
                                <w:sz w:val="14"/>
                              </w:rPr>
                              <w:t>Component</w:t>
                            </w:r>
                          </w:p>
                        </w:tc>
                        <w:tc>
                          <w:tcPr>
                            <w:tcW w:w="3161" w:type="dxa"/>
                            <w:tcBorders>
                              <w:bottom w:val="single" w:sz="4" w:space="0" w:color="008FDD"/>
                            </w:tcBorders>
                          </w:tcPr>
                          <w:p>
                            <w:pPr>
                              <w:pStyle w:val="TableParagraph"/>
                              <w:spacing w:before="3"/>
                              <w:ind w:left="2" w:right="1"/>
                              <w:rPr>
                                <w:b/>
                                <w:sz w:val="14"/>
                              </w:rPr>
                            </w:pPr>
                            <w:r>
                              <w:rPr>
                                <w:b/>
                                <w:color w:val="231F20"/>
                                <w:spacing w:val="-2"/>
                                <w:w w:val="95"/>
                                <w:sz w:val="14"/>
                              </w:rPr>
                              <w:t>Weight</w:t>
                            </w:r>
                          </w:p>
                        </w:tc>
                      </w:tr>
                      <w:tr>
                        <w:trPr>
                          <w:trHeight w:val="258" w:hRule="atLeast"/>
                        </w:trPr>
                        <w:tc>
                          <w:tcPr>
                            <w:tcW w:w="3159" w:type="dxa"/>
                            <w:tcBorders>
                              <w:top w:val="single" w:sz="4" w:space="0" w:color="008FDD"/>
                            </w:tcBorders>
                          </w:tcPr>
                          <w:p>
                            <w:pPr>
                              <w:pStyle w:val="TableParagraph"/>
                              <w:spacing w:before="47"/>
                              <w:ind w:left="80"/>
                              <w:jc w:val="left"/>
                              <w:rPr>
                                <w:sz w:val="14"/>
                              </w:rPr>
                            </w:pPr>
                            <w:r>
                              <w:rPr>
                                <w:color w:val="231F20"/>
                                <w:spacing w:val="-2"/>
                                <w:w w:val="90"/>
                                <w:sz w:val="14"/>
                              </w:rPr>
                              <w:t>Customs</w:t>
                            </w:r>
                          </w:p>
                        </w:tc>
                        <w:tc>
                          <w:tcPr>
                            <w:tcW w:w="3161" w:type="dxa"/>
                            <w:tcBorders>
                              <w:top w:val="single" w:sz="4" w:space="0" w:color="008FDD"/>
                            </w:tcBorders>
                          </w:tcPr>
                          <w:p>
                            <w:pPr>
                              <w:pStyle w:val="TableParagraph"/>
                              <w:spacing w:before="47"/>
                              <w:ind w:left="2" w:right="2"/>
                              <w:rPr>
                                <w:sz w:val="14"/>
                              </w:rPr>
                            </w:pPr>
                            <w:r>
                              <w:rPr>
                                <w:color w:val="231F20"/>
                                <w:spacing w:val="-2"/>
                                <w:w w:val="95"/>
                                <w:sz w:val="14"/>
                              </w:rPr>
                              <w:t>0.4105</w:t>
                            </w:r>
                          </w:p>
                        </w:tc>
                      </w:tr>
                      <w:tr>
                        <w:trPr>
                          <w:trHeight w:val="259" w:hRule="atLeast"/>
                        </w:trPr>
                        <w:tc>
                          <w:tcPr>
                            <w:tcW w:w="3159" w:type="dxa"/>
                            <w:shd w:val="clear" w:color="auto" w:fill="D4E3F5"/>
                          </w:tcPr>
                          <w:p>
                            <w:pPr>
                              <w:pStyle w:val="TableParagraph"/>
                              <w:ind w:left="80"/>
                              <w:jc w:val="left"/>
                              <w:rPr>
                                <w:sz w:val="14"/>
                              </w:rPr>
                            </w:pPr>
                            <w:r>
                              <w:rPr>
                                <w:color w:val="231F20"/>
                                <w:spacing w:val="-2"/>
                                <w:w w:val="90"/>
                                <w:sz w:val="14"/>
                              </w:rPr>
                              <w:t>Infrastructure</w:t>
                            </w:r>
                          </w:p>
                        </w:tc>
                        <w:tc>
                          <w:tcPr>
                            <w:tcW w:w="3161" w:type="dxa"/>
                            <w:shd w:val="clear" w:color="auto" w:fill="D4E3F5"/>
                          </w:tcPr>
                          <w:p>
                            <w:pPr>
                              <w:pStyle w:val="TableParagraph"/>
                              <w:ind w:left="2" w:right="2"/>
                              <w:rPr>
                                <w:sz w:val="14"/>
                              </w:rPr>
                            </w:pPr>
                            <w:r>
                              <w:rPr>
                                <w:color w:val="231F20"/>
                                <w:spacing w:val="-2"/>
                                <w:w w:val="95"/>
                                <w:sz w:val="14"/>
                              </w:rPr>
                              <w:t>0.4133</w:t>
                            </w:r>
                          </w:p>
                        </w:tc>
                      </w:tr>
                      <w:tr>
                        <w:trPr>
                          <w:trHeight w:val="259" w:hRule="atLeast"/>
                        </w:trPr>
                        <w:tc>
                          <w:tcPr>
                            <w:tcW w:w="3159" w:type="dxa"/>
                          </w:tcPr>
                          <w:p>
                            <w:pPr>
                              <w:pStyle w:val="TableParagraph"/>
                              <w:ind w:left="80"/>
                              <w:jc w:val="left"/>
                              <w:rPr>
                                <w:sz w:val="14"/>
                              </w:rPr>
                            </w:pPr>
                            <w:r>
                              <w:rPr>
                                <w:color w:val="231F20"/>
                                <w:spacing w:val="2"/>
                                <w:w w:val="75"/>
                                <w:sz w:val="14"/>
                              </w:rPr>
                              <w:t>International</w:t>
                            </w:r>
                            <w:r>
                              <w:rPr>
                                <w:color w:val="231F20"/>
                                <w:spacing w:val="9"/>
                                <w:sz w:val="14"/>
                              </w:rPr>
                              <w:t> </w:t>
                            </w:r>
                            <w:r>
                              <w:rPr>
                                <w:color w:val="231F20"/>
                                <w:spacing w:val="-2"/>
                                <w:w w:val="90"/>
                                <w:sz w:val="14"/>
                              </w:rPr>
                              <w:t>shipments</w:t>
                            </w:r>
                          </w:p>
                        </w:tc>
                        <w:tc>
                          <w:tcPr>
                            <w:tcW w:w="3161" w:type="dxa"/>
                          </w:tcPr>
                          <w:p>
                            <w:pPr>
                              <w:pStyle w:val="TableParagraph"/>
                              <w:ind w:left="2"/>
                              <w:rPr>
                                <w:sz w:val="14"/>
                              </w:rPr>
                            </w:pPr>
                            <w:r>
                              <w:rPr>
                                <w:color w:val="231F20"/>
                                <w:spacing w:val="-2"/>
                                <w:w w:val="95"/>
                                <w:sz w:val="14"/>
                              </w:rPr>
                              <w:t>0.3931</w:t>
                            </w:r>
                          </w:p>
                        </w:tc>
                      </w:tr>
                      <w:tr>
                        <w:trPr>
                          <w:trHeight w:val="259" w:hRule="atLeast"/>
                        </w:trPr>
                        <w:tc>
                          <w:tcPr>
                            <w:tcW w:w="3159" w:type="dxa"/>
                            <w:shd w:val="clear" w:color="auto" w:fill="D4E3F5"/>
                          </w:tcPr>
                          <w:p>
                            <w:pPr>
                              <w:pStyle w:val="TableParagraph"/>
                              <w:ind w:left="80"/>
                              <w:jc w:val="left"/>
                              <w:rPr>
                                <w:sz w:val="14"/>
                              </w:rPr>
                            </w:pPr>
                            <w:r>
                              <w:rPr>
                                <w:color w:val="231F20"/>
                                <w:w w:val="75"/>
                                <w:sz w:val="14"/>
                              </w:rPr>
                              <w:t>Logistics</w:t>
                            </w:r>
                            <w:r>
                              <w:rPr>
                                <w:color w:val="231F20"/>
                                <w:spacing w:val="17"/>
                                <w:sz w:val="14"/>
                              </w:rPr>
                              <w:t> </w:t>
                            </w:r>
                            <w:r>
                              <w:rPr>
                                <w:color w:val="231F20"/>
                                <w:w w:val="75"/>
                                <w:sz w:val="14"/>
                              </w:rPr>
                              <w:t>quality</w:t>
                            </w:r>
                            <w:r>
                              <w:rPr>
                                <w:color w:val="231F20"/>
                                <w:spacing w:val="17"/>
                                <w:sz w:val="14"/>
                              </w:rPr>
                              <w:t> </w:t>
                            </w:r>
                            <w:r>
                              <w:rPr>
                                <w:color w:val="231F20"/>
                                <w:w w:val="75"/>
                                <w:sz w:val="14"/>
                              </w:rPr>
                              <w:t>and</w:t>
                            </w:r>
                            <w:r>
                              <w:rPr>
                                <w:color w:val="231F20"/>
                                <w:spacing w:val="17"/>
                                <w:sz w:val="14"/>
                              </w:rPr>
                              <w:t> </w:t>
                            </w:r>
                            <w:r>
                              <w:rPr>
                                <w:color w:val="231F20"/>
                                <w:spacing w:val="-2"/>
                                <w:w w:val="75"/>
                                <w:sz w:val="14"/>
                              </w:rPr>
                              <w:t>competence</w:t>
                            </w:r>
                          </w:p>
                        </w:tc>
                        <w:tc>
                          <w:tcPr>
                            <w:tcW w:w="3161" w:type="dxa"/>
                            <w:shd w:val="clear" w:color="auto" w:fill="D4E3F5"/>
                          </w:tcPr>
                          <w:p>
                            <w:pPr>
                              <w:pStyle w:val="TableParagraph"/>
                              <w:ind w:left="2" w:right="1"/>
                              <w:rPr>
                                <w:sz w:val="14"/>
                              </w:rPr>
                            </w:pPr>
                            <w:r>
                              <w:rPr>
                                <w:color w:val="231F20"/>
                                <w:spacing w:val="-2"/>
                                <w:w w:val="95"/>
                                <w:sz w:val="14"/>
                              </w:rPr>
                              <w:t>0.4168</w:t>
                            </w:r>
                          </w:p>
                        </w:tc>
                      </w:tr>
                      <w:tr>
                        <w:trPr>
                          <w:trHeight w:val="259" w:hRule="atLeast"/>
                        </w:trPr>
                        <w:tc>
                          <w:tcPr>
                            <w:tcW w:w="3159" w:type="dxa"/>
                          </w:tcPr>
                          <w:p>
                            <w:pPr>
                              <w:pStyle w:val="TableParagraph"/>
                              <w:ind w:left="80"/>
                              <w:jc w:val="left"/>
                              <w:rPr>
                                <w:sz w:val="14"/>
                              </w:rPr>
                            </w:pPr>
                            <w:r>
                              <w:rPr>
                                <w:color w:val="231F20"/>
                                <w:w w:val="75"/>
                                <w:sz w:val="14"/>
                              </w:rPr>
                              <w:t>Tracking</w:t>
                            </w:r>
                            <w:r>
                              <w:rPr>
                                <w:color w:val="231F20"/>
                                <w:spacing w:val="8"/>
                                <w:sz w:val="14"/>
                              </w:rPr>
                              <w:t> </w:t>
                            </w:r>
                            <w:r>
                              <w:rPr>
                                <w:color w:val="231F20"/>
                                <w:w w:val="75"/>
                                <w:sz w:val="14"/>
                              </w:rPr>
                              <w:t>and</w:t>
                            </w:r>
                            <w:r>
                              <w:rPr>
                                <w:color w:val="231F20"/>
                                <w:spacing w:val="9"/>
                                <w:sz w:val="14"/>
                              </w:rPr>
                              <w:t> </w:t>
                            </w:r>
                            <w:r>
                              <w:rPr>
                                <w:color w:val="231F20"/>
                                <w:spacing w:val="-2"/>
                                <w:w w:val="75"/>
                                <w:sz w:val="14"/>
                              </w:rPr>
                              <w:t>tracing</w:t>
                            </w:r>
                          </w:p>
                        </w:tc>
                        <w:tc>
                          <w:tcPr>
                            <w:tcW w:w="3161" w:type="dxa"/>
                          </w:tcPr>
                          <w:p>
                            <w:pPr>
                              <w:pStyle w:val="TableParagraph"/>
                              <w:ind w:left="2" w:right="2"/>
                              <w:rPr>
                                <w:sz w:val="14"/>
                              </w:rPr>
                            </w:pPr>
                            <w:r>
                              <w:rPr>
                                <w:color w:val="231F20"/>
                                <w:spacing w:val="-2"/>
                                <w:w w:val="95"/>
                                <w:sz w:val="14"/>
                              </w:rPr>
                              <w:t>0.4133</w:t>
                            </w:r>
                          </w:p>
                        </w:tc>
                      </w:tr>
                      <w:tr>
                        <w:trPr>
                          <w:trHeight w:val="254" w:hRule="atLeast"/>
                        </w:trPr>
                        <w:tc>
                          <w:tcPr>
                            <w:tcW w:w="3159" w:type="dxa"/>
                            <w:tcBorders>
                              <w:bottom w:val="single" w:sz="4" w:space="0" w:color="008FDD"/>
                            </w:tcBorders>
                            <w:shd w:val="clear" w:color="auto" w:fill="D4E3F5"/>
                          </w:tcPr>
                          <w:p>
                            <w:pPr>
                              <w:pStyle w:val="TableParagraph"/>
                              <w:ind w:left="80"/>
                              <w:jc w:val="left"/>
                              <w:rPr>
                                <w:sz w:val="14"/>
                              </w:rPr>
                            </w:pPr>
                            <w:r>
                              <w:rPr>
                                <w:color w:val="231F20"/>
                                <w:spacing w:val="-2"/>
                                <w:w w:val="90"/>
                                <w:sz w:val="14"/>
                              </w:rPr>
                              <w:t>Timeliness</w:t>
                            </w:r>
                          </w:p>
                        </w:tc>
                        <w:tc>
                          <w:tcPr>
                            <w:tcW w:w="3161" w:type="dxa"/>
                            <w:tcBorders>
                              <w:bottom w:val="single" w:sz="4" w:space="0" w:color="008FDD"/>
                            </w:tcBorders>
                            <w:shd w:val="clear" w:color="auto" w:fill="D4E3F5"/>
                          </w:tcPr>
                          <w:p>
                            <w:pPr>
                              <w:pStyle w:val="TableParagraph"/>
                              <w:ind w:left="2" w:right="2"/>
                              <w:rPr>
                                <w:sz w:val="14"/>
                              </w:rPr>
                            </w:pPr>
                            <w:r>
                              <w:rPr>
                                <w:color w:val="231F20"/>
                                <w:spacing w:val="-2"/>
                                <w:w w:val="95"/>
                                <w:sz w:val="14"/>
                              </w:rPr>
                              <w:t>0.4021</w:t>
                            </w:r>
                          </w:p>
                        </w:tc>
                      </w:tr>
                    </w:tbl>
                    <w:p>
                      <w:pPr>
                        <w:pStyle w:val="BodyText"/>
                      </w:pPr>
                    </w:p>
                  </w:txbxContent>
                </v:textbox>
                <w10:wrap type="none"/>
              </v:shape>
            </w:pict>
          </mc:Fallback>
        </mc:AlternateContent>
      </w:r>
      <w:r>
        <w:rPr>
          <w:color w:val="231F20"/>
        </w:rPr>
        <w:t>country’s</w:t>
      </w:r>
      <w:r>
        <w:rPr>
          <w:color w:val="231F20"/>
          <w:spacing w:val="-1"/>
        </w:rPr>
        <w:t> </w:t>
      </w:r>
      <w:r>
        <w:rPr>
          <w:color w:val="231F20"/>
        </w:rPr>
        <w:t>2023</w:t>
      </w:r>
      <w:r>
        <w:rPr>
          <w:color w:val="231F20"/>
          <w:spacing w:val="-1"/>
        </w:rPr>
        <w:t> </w:t>
      </w:r>
      <w:r>
        <w:rPr>
          <w:color w:val="231F20"/>
        </w:rPr>
        <w:t>LPI</w:t>
      </w:r>
      <w:r>
        <w:rPr>
          <w:color w:val="231F20"/>
          <w:spacing w:val="-1"/>
        </w:rPr>
        <w:t> </w:t>
      </w:r>
      <w:r>
        <w:rPr>
          <w:color w:val="231F20"/>
        </w:rPr>
        <w:t>score</w:t>
      </w:r>
      <w:r>
        <w:rPr>
          <w:color w:val="231F20"/>
          <w:spacing w:val="-1"/>
        </w:rPr>
        <w:t> </w:t>
      </w:r>
      <w:r>
        <w:rPr>
          <w:color w:val="231F20"/>
        </w:rPr>
        <w:t>exceeds</w:t>
      </w:r>
      <w:r>
        <w:rPr>
          <w:color w:val="231F20"/>
          <w:spacing w:val="-1"/>
        </w:rPr>
        <w:t> </w:t>
      </w:r>
      <w:r>
        <w:rPr>
          <w:color w:val="231F20"/>
        </w:rPr>
        <w:t>the</w:t>
      </w:r>
      <w:r>
        <w:rPr>
          <w:color w:val="231F20"/>
          <w:spacing w:val="-1"/>
        </w:rPr>
        <w:t> </w:t>
      </w:r>
      <w:r>
        <w:rPr>
          <w:color w:val="231F20"/>
        </w:rPr>
        <w:t>upper bound</w:t>
      </w:r>
      <w:r>
        <w:rPr>
          <w:color w:val="231F20"/>
          <w:spacing w:val="-1"/>
        </w:rPr>
        <w:t> </w:t>
      </w:r>
      <w:r>
        <w:rPr>
          <w:color w:val="231F20"/>
        </w:rPr>
        <w:t>of</w:t>
      </w:r>
      <w:r>
        <w:rPr>
          <w:color w:val="231F20"/>
          <w:spacing w:val="-1"/>
        </w:rPr>
        <w:t> </w:t>
      </w:r>
      <w:r>
        <w:rPr>
          <w:color w:val="231F20"/>
        </w:rPr>
        <w:t>its</w:t>
      </w:r>
      <w:r>
        <w:rPr>
          <w:color w:val="231F20"/>
          <w:spacing w:val="-1"/>
        </w:rPr>
        <w:t> </w:t>
      </w:r>
      <w:r>
        <w:rPr>
          <w:color w:val="231F20"/>
        </w:rPr>
        <w:t>2018</w:t>
      </w:r>
      <w:r>
        <w:rPr>
          <w:color w:val="231F20"/>
          <w:spacing w:val="-1"/>
        </w:rPr>
        <w:t> </w:t>
      </w:r>
      <w:r>
        <w:rPr>
          <w:color w:val="231F20"/>
        </w:rPr>
        <w:t>score.</w:t>
      </w:r>
    </w:p>
    <w:p>
      <w:pPr>
        <w:pStyle w:val="BodyText"/>
        <w:spacing w:line="268" w:lineRule="auto"/>
        <w:ind w:left="7320" w:right="657" w:firstLine="300"/>
        <w:jc w:val="both"/>
      </w:pPr>
      <w:r>
        <w:rPr>
          <w:color w:val="231F20"/>
        </w:rPr>
        <w:t>To calculate the confidence interval, the </w:t>
      </w:r>
      <w:r>
        <w:rPr>
          <w:color w:val="231F20"/>
          <w:spacing w:val="-2"/>
        </w:rPr>
        <w:t>standard</w:t>
      </w:r>
      <w:r>
        <w:rPr>
          <w:color w:val="231F20"/>
          <w:spacing w:val="-12"/>
        </w:rPr>
        <w:t> </w:t>
      </w:r>
      <w:r>
        <w:rPr>
          <w:color w:val="231F20"/>
          <w:spacing w:val="-2"/>
        </w:rPr>
        <w:t>error</w:t>
      </w:r>
      <w:r>
        <w:rPr>
          <w:color w:val="231F20"/>
          <w:spacing w:val="-11"/>
        </w:rPr>
        <w:t> </w:t>
      </w:r>
      <w:r>
        <w:rPr>
          <w:color w:val="231F20"/>
          <w:spacing w:val="-2"/>
        </w:rPr>
        <w:t>of</w:t>
      </w:r>
      <w:r>
        <w:rPr>
          <w:color w:val="231F20"/>
          <w:spacing w:val="-11"/>
        </w:rPr>
        <w:t> </w:t>
      </w:r>
      <w:r>
        <w:rPr>
          <w:color w:val="231F20"/>
          <w:spacing w:val="-2"/>
        </w:rPr>
        <w:t>LPI</w:t>
      </w:r>
      <w:r>
        <w:rPr>
          <w:color w:val="231F20"/>
          <w:spacing w:val="-11"/>
        </w:rPr>
        <w:t> </w:t>
      </w:r>
      <w:r>
        <w:rPr>
          <w:color w:val="231F20"/>
          <w:spacing w:val="-2"/>
        </w:rPr>
        <w:t>scores</w:t>
      </w:r>
      <w:r>
        <w:rPr>
          <w:color w:val="231F20"/>
          <w:spacing w:val="-11"/>
        </w:rPr>
        <w:t> </w:t>
      </w:r>
      <w:r>
        <w:rPr>
          <w:color w:val="231F20"/>
          <w:spacing w:val="-2"/>
        </w:rPr>
        <w:t>across</w:t>
      </w:r>
      <w:r>
        <w:rPr>
          <w:color w:val="231F20"/>
          <w:spacing w:val="-11"/>
        </w:rPr>
        <w:t> </w:t>
      </w:r>
      <w:r>
        <w:rPr>
          <w:color w:val="231F20"/>
          <w:spacing w:val="-2"/>
        </w:rPr>
        <w:t>all</w:t>
      </w:r>
      <w:r>
        <w:rPr>
          <w:color w:val="231F20"/>
          <w:spacing w:val="-11"/>
        </w:rPr>
        <w:t> </w:t>
      </w:r>
      <w:r>
        <w:rPr>
          <w:color w:val="231F20"/>
          <w:spacing w:val="-2"/>
        </w:rPr>
        <w:t>respon- </w:t>
      </w:r>
      <w:r>
        <w:rPr>
          <w:color w:val="231F20"/>
          <w:spacing w:val="-6"/>
        </w:rPr>
        <w:t>dents is estimated for a country. The upper and </w:t>
      </w:r>
      <w:r>
        <w:rPr>
          <w:color w:val="231F20"/>
          <w:w w:val="90"/>
        </w:rPr>
        <w:t>lower</w:t>
      </w:r>
      <w:r>
        <w:rPr>
          <w:color w:val="231F20"/>
          <w:spacing w:val="-1"/>
          <w:w w:val="90"/>
        </w:rPr>
        <w:t> </w:t>
      </w:r>
      <w:r>
        <w:rPr>
          <w:color w:val="231F20"/>
          <w:w w:val="90"/>
        </w:rPr>
        <w:t>bounds</w:t>
      </w:r>
      <w:r>
        <w:rPr>
          <w:color w:val="231F20"/>
          <w:spacing w:val="-1"/>
          <w:w w:val="90"/>
        </w:rPr>
        <w:t> </w:t>
      </w:r>
      <w:r>
        <w:rPr>
          <w:color w:val="231F20"/>
          <w:w w:val="90"/>
        </w:rPr>
        <w:t>of</w:t>
      </w:r>
      <w:r>
        <w:rPr>
          <w:color w:val="231F20"/>
          <w:spacing w:val="-5"/>
        </w:rPr>
        <w:t> </w:t>
      </w:r>
      <w:r>
        <w:rPr>
          <w:color w:val="231F20"/>
          <w:w w:val="90"/>
        </w:rPr>
        <w:t>the</w:t>
      </w:r>
      <w:r>
        <w:rPr>
          <w:color w:val="231F20"/>
          <w:spacing w:val="-1"/>
          <w:w w:val="90"/>
        </w:rPr>
        <w:t> </w:t>
      </w:r>
      <w:r>
        <w:rPr>
          <w:color w:val="231F20"/>
          <w:w w:val="90"/>
        </w:rPr>
        <w:t>confidence</w:t>
      </w:r>
      <w:r>
        <w:rPr>
          <w:color w:val="231F20"/>
          <w:spacing w:val="-1"/>
          <w:w w:val="90"/>
        </w:rPr>
        <w:t> </w:t>
      </w:r>
      <w:r>
        <w:rPr>
          <w:color w:val="231F20"/>
          <w:w w:val="90"/>
        </w:rPr>
        <w:t>interval</w:t>
      </w:r>
      <w:r>
        <w:rPr>
          <w:color w:val="231F20"/>
          <w:spacing w:val="-5"/>
        </w:rPr>
        <w:t> </w:t>
      </w:r>
      <w:r>
        <w:rPr>
          <w:color w:val="231F20"/>
          <w:w w:val="90"/>
        </w:rPr>
        <w:t>are</w:t>
      </w:r>
      <w:r>
        <w:rPr>
          <w:color w:val="231F20"/>
          <w:spacing w:val="-1"/>
          <w:w w:val="90"/>
        </w:rPr>
        <w:t> </w:t>
      </w:r>
      <w:r>
        <w:rPr>
          <w:color w:val="231F20"/>
          <w:spacing w:val="-4"/>
          <w:w w:val="90"/>
        </w:rPr>
        <w:t>then</w:t>
      </w:r>
    </w:p>
    <w:p>
      <w:pPr>
        <w:spacing w:line="179" w:lineRule="exact" w:before="51"/>
        <w:ind w:left="9056" w:right="0" w:firstLine="0"/>
        <w:jc w:val="both"/>
        <w:rPr>
          <w:i/>
          <w:sz w:val="21"/>
        </w:rPr>
      </w:pPr>
      <w:r>
        <w:rPr>
          <w:i/>
          <w:color w:val="231F20"/>
          <w:spacing w:val="-2"/>
          <w:position w:val="7"/>
          <w:sz w:val="21"/>
        </w:rPr>
        <w:t>t</w:t>
      </w:r>
      <w:r>
        <w:rPr>
          <w:color w:val="231F20"/>
          <w:spacing w:val="-2"/>
          <w:sz w:val="12"/>
        </w:rPr>
        <w:t>(0.1,</w:t>
      </w:r>
      <w:r>
        <w:rPr>
          <w:color w:val="231F20"/>
          <w:spacing w:val="-1"/>
          <w:sz w:val="12"/>
        </w:rPr>
        <w:t> </w:t>
      </w:r>
      <w:r>
        <w:rPr>
          <w:i/>
          <w:color w:val="231F20"/>
          <w:spacing w:val="-2"/>
          <w:sz w:val="12"/>
        </w:rPr>
        <w:t>N</w:t>
      </w:r>
      <w:r>
        <w:rPr>
          <w:color w:val="231F20"/>
          <w:spacing w:val="-2"/>
          <w:sz w:val="12"/>
        </w:rPr>
        <w:t>–1)</w:t>
      </w:r>
      <w:r>
        <w:rPr>
          <w:i/>
          <w:color w:val="231F20"/>
          <w:spacing w:val="-2"/>
          <w:position w:val="7"/>
          <w:sz w:val="21"/>
        </w:rPr>
        <w:t>S</w:t>
      </w:r>
    </w:p>
    <w:p>
      <w:pPr>
        <w:tabs>
          <w:tab w:pos="1422" w:val="left" w:leader="none"/>
        </w:tabs>
        <w:spacing w:line="239" w:lineRule="exact" w:before="0"/>
        <w:ind w:left="0" w:right="1828" w:firstLine="0"/>
        <w:jc w:val="right"/>
        <w:rPr>
          <w:sz w:val="12"/>
        </w:rPr>
      </w:pPr>
      <w:r>
        <w:rPr/>
        <mc:AlternateContent>
          <mc:Choice Requires="wps">
            <w:drawing>
              <wp:anchor distT="0" distB="0" distL="0" distR="0" allowOverlap="1" layoutInCell="1" locked="0" behindDoc="1" simplePos="0" relativeHeight="466784768">
                <wp:simplePos x="0" y="0"/>
                <wp:positionH relativeFrom="page">
                  <wp:posOffset>5712726</wp:posOffset>
                </wp:positionH>
                <wp:positionV relativeFrom="paragraph">
                  <wp:posOffset>91098</wp:posOffset>
                </wp:positionV>
                <wp:extent cx="499109" cy="187325"/>
                <wp:effectExtent l="0" t="0" r="0" b="0"/>
                <wp:wrapNone/>
                <wp:docPr id="1941" name="Group 1941"/>
                <wp:cNvGraphicFramePr>
                  <a:graphicFrameLocks/>
                </wp:cNvGraphicFramePr>
                <a:graphic>
                  <a:graphicData uri="http://schemas.microsoft.com/office/word/2010/wordprocessingGroup">
                    <wpg:wgp>
                      <wpg:cNvPr id="1941" name="Group 1941"/>
                      <wpg:cNvGrpSpPr/>
                      <wpg:grpSpPr>
                        <a:xfrm>
                          <a:off x="0" y="0"/>
                          <a:ext cx="499109" cy="187325"/>
                          <a:chExt cx="499109" cy="187325"/>
                        </a:xfrm>
                      </wpg:grpSpPr>
                      <wps:wsp>
                        <wps:cNvPr id="1942" name="Graphic 1942"/>
                        <wps:cNvSpPr/>
                        <wps:spPr>
                          <a:xfrm>
                            <a:off x="0" y="0"/>
                            <a:ext cx="499109" cy="9525"/>
                          </a:xfrm>
                          <a:custGeom>
                            <a:avLst/>
                            <a:gdLst/>
                            <a:ahLst/>
                            <a:cxnLst/>
                            <a:rect l="l" t="t" r="r" b="b"/>
                            <a:pathLst>
                              <a:path w="499109" h="9525">
                                <a:moveTo>
                                  <a:pt x="499110" y="0"/>
                                </a:moveTo>
                                <a:lnTo>
                                  <a:pt x="0" y="0"/>
                                </a:lnTo>
                                <a:lnTo>
                                  <a:pt x="0" y="9144"/>
                                </a:lnTo>
                                <a:lnTo>
                                  <a:pt x="499110" y="9144"/>
                                </a:lnTo>
                                <a:lnTo>
                                  <a:pt x="499110" y="0"/>
                                </a:lnTo>
                                <a:close/>
                              </a:path>
                            </a:pathLst>
                          </a:custGeom>
                          <a:solidFill>
                            <a:srgbClr val="231F20"/>
                          </a:solidFill>
                        </wps:spPr>
                        <wps:bodyPr wrap="square" lIns="0" tIns="0" rIns="0" bIns="0" rtlCol="0">
                          <a:prstTxWarp prst="textNoShape">
                            <a:avLst/>
                          </a:prstTxWarp>
                          <a:noAutofit/>
                        </wps:bodyPr>
                      </wps:wsp>
                      <pic:pic>
                        <pic:nvPicPr>
                          <pic:cNvPr id="1943" name="Image 1943"/>
                          <pic:cNvPicPr/>
                        </pic:nvPicPr>
                        <pic:blipFill>
                          <a:blip r:embed="rId152" cstate="print"/>
                          <a:stretch>
                            <a:fillRect/>
                          </a:stretch>
                        </pic:blipFill>
                        <pic:spPr>
                          <a:xfrm>
                            <a:off x="163399" y="37338"/>
                            <a:ext cx="172326" cy="115443"/>
                          </a:xfrm>
                          <a:prstGeom prst="rect">
                            <a:avLst/>
                          </a:prstGeom>
                        </pic:spPr>
                      </pic:pic>
                      <wps:wsp>
                        <wps:cNvPr id="1944" name="Textbox 1944"/>
                        <wps:cNvSpPr txBox="1"/>
                        <wps:spPr>
                          <a:xfrm>
                            <a:off x="0" y="0"/>
                            <a:ext cx="499109" cy="187325"/>
                          </a:xfrm>
                          <a:prstGeom prst="rect">
                            <a:avLst/>
                          </a:prstGeom>
                        </wps:spPr>
                        <wps:txbx>
                          <w:txbxContent>
                            <w:p>
                              <w:pPr>
                                <w:spacing w:before="40"/>
                                <w:ind w:left="56" w:right="0" w:firstLine="0"/>
                                <w:jc w:val="center"/>
                                <w:rPr>
                                  <w:i/>
                                  <w:sz w:val="21"/>
                                </w:rPr>
                              </w:pPr>
                              <w:r>
                                <w:rPr>
                                  <w:i/>
                                  <w:color w:val="231F20"/>
                                  <w:spacing w:val="-10"/>
                                  <w:w w:val="115"/>
                                  <w:sz w:val="21"/>
                                </w:rPr>
                                <w:t>N</w:t>
                              </w:r>
                            </w:p>
                          </w:txbxContent>
                        </wps:txbx>
                        <wps:bodyPr wrap="square" lIns="0" tIns="0" rIns="0" bIns="0" rtlCol="0">
                          <a:noAutofit/>
                        </wps:bodyPr>
                      </wps:wsp>
                    </wpg:wgp>
                  </a:graphicData>
                </a:graphic>
              </wp:anchor>
            </w:drawing>
          </mc:Choice>
          <mc:Fallback>
            <w:pict>
              <v:group style="position:absolute;margin-left:449.821014pt;margin-top:7.173125pt;width:39.3pt;height:14.75pt;mso-position-horizontal-relative:page;mso-position-vertical-relative:paragraph;z-index:-36531712" id="docshapegroup1666" coordorigin="8996,143" coordsize="786,295">
                <v:rect style="position:absolute;left:8996;top:143;width:786;height:15" id="docshape1667" filled="true" fillcolor="#231f20" stroked="false">
                  <v:fill type="solid"/>
                </v:rect>
                <v:shape style="position:absolute;left:9253;top:202;width:272;height:182" type="#_x0000_t75" id="docshape1668" stroked="false">
                  <v:imagedata r:id="rId152" o:title=""/>
                </v:shape>
                <v:shape style="position:absolute;left:8996;top:143;width:786;height:295" type="#_x0000_t202" id="docshape1669" filled="false" stroked="false">
                  <v:textbox inset="0,0,0,0">
                    <w:txbxContent>
                      <w:p>
                        <w:pPr>
                          <w:spacing w:before="40"/>
                          <w:ind w:left="56" w:right="0" w:firstLine="0"/>
                          <w:jc w:val="center"/>
                          <w:rPr>
                            <w:i/>
                            <w:sz w:val="21"/>
                          </w:rPr>
                        </w:pPr>
                        <w:r>
                          <w:rPr>
                            <w:i/>
                            <w:color w:val="231F20"/>
                            <w:spacing w:val="-10"/>
                            <w:w w:val="115"/>
                            <w:sz w:val="21"/>
                          </w:rPr>
                          <w:t>N</w:t>
                        </w:r>
                      </w:p>
                    </w:txbxContent>
                  </v:textbox>
                  <w10:wrap type="none"/>
                </v:shape>
                <w10:wrap type="none"/>
              </v:group>
            </w:pict>
          </mc:Fallback>
        </mc:AlternateContent>
      </w:r>
      <w:r>
        <w:rPr>
          <w:i/>
          <w:color w:val="231F20"/>
          <w:sz w:val="21"/>
        </w:rPr>
        <w:t>LPI</w:t>
      </w:r>
      <w:r>
        <w:rPr>
          <w:i/>
          <w:color w:val="231F20"/>
          <w:spacing w:val="-11"/>
          <w:sz w:val="21"/>
        </w:rPr>
        <w:t> </w:t>
      </w:r>
      <w:r>
        <w:rPr>
          <w:color w:val="231F20"/>
          <w:spacing w:val="-10"/>
          <w:sz w:val="21"/>
        </w:rPr>
        <w:t>±</w:t>
      </w:r>
      <w:r>
        <w:rPr>
          <w:color w:val="231F20"/>
          <w:sz w:val="21"/>
        </w:rPr>
        <w:tab/>
      </w:r>
      <w:r>
        <w:rPr>
          <w:color w:val="231F20"/>
          <w:spacing w:val="-10"/>
          <w:position w:val="1"/>
          <w:sz w:val="12"/>
        </w:rPr>
        <w:t>,</w:t>
      </w:r>
    </w:p>
    <w:p>
      <w:pPr>
        <w:pStyle w:val="BodyText"/>
        <w:spacing w:before="3"/>
        <w:rPr>
          <w:sz w:val="20"/>
        </w:rPr>
      </w:pPr>
    </w:p>
    <w:p>
      <w:pPr>
        <w:spacing w:after="0"/>
        <w:rPr>
          <w:sz w:val="20"/>
        </w:rPr>
        <w:sectPr>
          <w:footerReference w:type="even" r:id="rId150"/>
          <w:footerReference w:type="default" r:id="rId151"/>
          <w:pgSz w:w="12240" w:h="15840"/>
          <w:pgMar w:header="0" w:footer="548" w:top="560" w:bottom="740" w:left="0" w:right="540"/>
          <w:pgNumType w:start="64"/>
        </w:sectPr>
      </w:pPr>
    </w:p>
    <w:p>
      <w:pPr>
        <w:pStyle w:val="BodyText"/>
      </w:pPr>
    </w:p>
    <w:p>
      <w:pPr>
        <w:pStyle w:val="BodyText"/>
        <w:spacing w:before="163"/>
      </w:pPr>
    </w:p>
    <w:p>
      <w:pPr>
        <w:pStyle w:val="BodyText"/>
        <w:spacing w:line="268" w:lineRule="auto"/>
        <w:ind w:left="3360" w:firstLine="300"/>
        <w:jc w:val="both"/>
      </w:pPr>
      <w:r>
        <w:rPr>
          <w:color w:val="231F20"/>
        </w:rPr>
        <w:t>To</w:t>
      </w:r>
      <w:r>
        <w:rPr>
          <w:color w:val="231F20"/>
          <w:spacing w:val="-3"/>
        </w:rPr>
        <w:t> </w:t>
      </w:r>
      <w:r>
        <w:rPr>
          <w:color w:val="231F20"/>
        </w:rPr>
        <w:t>construct</w:t>
      </w:r>
      <w:r>
        <w:rPr>
          <w:color w:val="231F20"/>
          <w:spacing w:val="-3"/>
        </w:rPr>
        <w:t> </w:t>
      </w:r>
      <w:r>
        <w:rPr>
          <w:color w:val="231F20"/>
        </w:rPr>
        <w:t>the</w:t>
      </w:r>
      <w:r>
        <w:rPr>
          <w:color w:val="231F20"/>
          <w:spacing w:val="-3"/>
        </w:rPr>
        <w:t> </w:t>
      </w:r>
      <w:r>
        <w:rPr>
          <w:color w:val="231F20"/>
        </w:rPr>
        <w:t>international</w:t>
      </w:r>
      <w:r>
        <w:rPr>
          <w:color w:val="231F20"/>
          <w:spacing w:val="-3"/>
        </w:rPr>
        <w:t> </w:t>
      </w:r>
      <w:r>
        <w:rPr>
          <w:color w:val="231F20"/>
        </w:rPr>
        <w:t>LPI</w:t>
      </w:r>
      <w:r>
        <w:rPr>
          <w:color w:val="231F20"/>
          <w:spacing w:val="-3"/>
        </w:rPr>
        <w:t> </w:t>
      </w:r>
      <w:r>
        <w:rPr>
          <w:color w:val="231F20"/>
        </w:rPr>
        <w:t>score, normalized</w:t>
      </w:r>
      <w:r>
        <w:rPr>
          <w:color w:val="231F20"/>
          <w:spacing w:val="-14"/>
        </w:rPr>
        <w:t> </w:t>
      </w:r>
      <w:r>
        <w:rPr>
          <w:color w:val="231F20"/>
        </w:rPr>
        <w:t>scores</w:t>
      </w:r>
      <w:r>
        <w:rPr>
          <w:color w:val="231F20"/>
          <w:spacing w:val="-13"/>
        </w:rPr>
        <w:t> </w:t>
      </w:r>
      <w:r>
        <w:rPr>
          <w:color w:val="231F20"/>
        </w:rPr>
        <w:t>for</w:t>
      </w:r>
      <w:r>
        <w:rPr>
          <w:color w:val="231F20"/>
          <w:spacing w:val="-13"/>
        </w:rPr>
        <w:t> </w:t>
      </w:r>
      <w:r>
        <w:rPr>
          <w:color w:val="231F20"/>
        </w:rPr>
        <w:t>each</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six</w:t>
      </w:r>
      <w:r>
        <w:rPr>
          <w:color w:val="231F20"/>
          <w:spacing w:val="-13"/>
        </w:rPr>
        <w:t> </w:t>
      </w:r>
      <w:r>
        <w:rPr>
          <w:color w:val="231F20"/>
        </w:rPr>
        <w:t>original indicators</w:t>
      </w:r>
      <w:r>
        <w:rPr>
          <w:color w:val="231F20"/>
          <w:spacing w:val="-12"/>
        </w:rPr>
        <w:t> </w:t>
      </w:r>
      <w:r>
        <w:rPr>
          <w:color w:val="231F20"/>
        </w:rPr>
        <w:t>are</w:t>
      </w:r>
      <w:r>
        <w:rPr>
          <w:color w:val="231F20"/>
          <w:spacing w:val="-12"/>
        </w:rPr>
        <w:t> </w:t>
      </w:r>
      <w:r>
        <w:rPr>
          <w:color w:val="231F20"/>
        </w:rPr>
        <w:t>multiplied</w:t>
      </w:r>
      <w:r>
        <w:rPr>
          <w:color w:val="231F20"/>
          <w:spacing w:val="-12"/>
        </w:rPr>
        <w:t> </w:t>
      </w:r>
      <w:r>
        <w:rPr>
          <w:color w:val="231F20"/>
        </w:rPr>
        <w:t>by</w:t>
      </w:r>
      <w:r>
        <w:rPr>
          <w:color w:val="231F20"/>
          <w:spacing w:val="-12"/>
        </w:rPr>
        <w:t> </w:t>
      </w:r>
      <w:r>
        <w:rPr>
          <w:color w:val="231F20"/>
        </w:rPr>
        <w:t>their</w:t>
      </w:r>
      <w:r>
        <w:rPr>
          <w:color w:val="231F20"/>
          <w:spacing w:val="-12"/>
        </w:rPr>
        <w:t> </w:t>
      </w:r>
      <w:r>
        <w:rPr>
          <w:color w:val="231F20"/>
        </w:rPr>
        <w:t>component loadings</w:t>
      </w:r>
      <w:r>
        <w:rPr>
          <w:color w:val="231F20"/>
          <w:spacing w:val="-11"/>
        </w:rPr>
        <w:t> </w:t>
      </w:r>
      <w:r>
        <w:rPr>
          <w:color w:val="231F20"/>
        </w:rPr>
        <w:t>(table</w:t>
      </w:r>
      <w:r>
        <w:rPr>
          <w:color w:val="231F20"/>
          <w:spacing w:val="-11"/>
        </w:rPr>
        <w:t> </w:t>
      </w:r>
      <w:r>
        <w:rPr>
          <w:color w:val="231F20"/>
        </w:rPr>
        <w:t>A5.3)</w:t>
      </w:r>
      <w:r>
        <w:rPr>
          <w:color w:val="231F20"/>
          <w:spacing w:val="-11"/>
        </w:rPr>
        <w:t> </w:t>
      </w:r>
      <w:r>
        <w:rPr>
          <w:color w:val="231F20"/>
        </w:rPr>
        <w:t>and</w:t>
      </w:r>
      <w:r>
        <w:rPr>
          <w:color w:val="231F20"/>
          <w:spacing w:val="-11"/>
        </w:rPr>
        <w:t> </w:t>
      </w:r>
      <w:r>
        <w:rPr>
          <w:color w:val="231F20"/>
        </w:rPr>
        <w:t>then</w:t>
      </w:r>
      <w:r>
        <w:rPr>
          <w:color w:val="231F20"/>
          <w:spacing w:val="-11"/>
        </w:rPr>
        <w:t> </w:t>
      </w:r>
      <w:r>
        <w:rPr>
          <w:color w:val="231F20"/>
        </w:rPr>
        <w:t>summed.</w:t>
      </w:r>
      <w:r>
        <w:rPr>
          <w:color w:val="231F20"/>
          <w:spacing w:val="-11"/>
        </w:rPr>
        <w:t> </w:t>
      </w:r>
      <w:r>
        <w:rPr>
          <w:color w:val="231F20"/>
        </w:rPr>
        <w:t>The </w:t>
      </w:r>
      <w:r>
        <w:rPr>
          <w:color w:val="231F20"/>
          <w:spacing w:val="-6"/>
        </w:rPr>
        <w:t>component</w:t>
      </w:r>
      <w:r>
        <w:rPr>
          <w:color w:val="231F20"/>
          <w:spacing w:val="-8"/>
        </w:rPr>
        <w:t> </w:t>
      </w:r>
      <w:r>
        <w:rPr>
          <w:color w:val="231F20"/>
          <w:spacing w:val="-6"/>
        </w:rPr>
        <w:t>loadings</w:t>
      </w:r>
      <w:r>
        <w:rPr>
          <w:color w:val="231F20"/>
          <w:spacing w:val="-7"/>
        </w:rPr>
        <w:t> </w:t>
      </w:r>
      <w:r>
        <w:rPr>
          <w:color w:val="231F20"/>
          <w:spacing w:val="-6"/>
        </w:rPr>
        <w:t>represent</w:t>
      </w:r>
      <w:r>
        <w:rPr>
          <w:color w:val="231F20"/>
          <w:spacing w:val="-7"/>
        </w:rPr>
        <w:t> </w:t>
      </w:r>
      <w:r>
        <w:rPr>
          <w:color w:val="231F20"/>
          <w:spacing w:val="-6"/>
        </w:rPr>
        <w:t>the</w:t>
      </w:r>
      <w:r>
        <w:rPr>
          <w:color w:val="231F20"/>
          <w:spacing w:val="-7"/>
        </w:rPr>
        <w:t> </w:t>
      </w:r>
      <w:r>
        <w:rPr>
          <w:color w:val="231F20"/>
          <w:spacing w:val="-6"/>
        </w:rPr>
        <w:t>weight</w:t>
      </w:r>
      <w:r>
        <w:rPr>
          <w:color w:val="231F20"/>
          <w:spacing w:val="-7"/>
        </w:rPr>
        <w:t> </w:t>
      </w:r>
      <w:r>
        <w:rPr>
          <w:color w:val="231F20"/>
          <w:spacing w:val="-6"/>
        </w:rPr>
        <w:t>given </w:t>
      </w:r>
      <w:r>
        <w:rPr>
          <w:color w:val="231F20"/>
        </w:rPr>
        <w:t>to</w:t>
      </w:r>
      <w:r>
        <w:rPr>
          <w:color w:val="231F20"/>
          <w:spacing w:val="-7"/>
        </w:rPr>
        <w:t> </w:t>
      </w:r>
      <w:r>
        <w:rPr>
          <w:color w:val="231F20"/>
        </w:rPr>
        <w:t>each</w:t>
      </w:r>
      <w:r>
        <w:rPr>
          <w:color w:val="231F20"/>
          <w:spacing w:val="-7"/>
        </w:rPr>
        <w:t> </w:t>
      </w:r>
      <w:r>
        <w:rPr>
          <w:color w:val="231F20"/>
        </w:rPr>
        <w:t>original</w:t>
      </w:r>
      <w:r>
        <w:rPr>
          <w:color w:val="231F20"/>
          <w:spacing w:val="-7"/>
        </w:rPr>
        <w:t> </w:t>
      </w:r>
      <w:r>
        <w:rPr>
          <w:color w:val="231F20"/>
        </w:rPr>
        <w:t>indicator</w:t>
      </w:r>
      <w:r>
        <w:rPr>
          <w:color w:val="231F20"/>
          <w:spacing w:val="-7"/>
        </w:rPr>
        <w:t> </w:t>
      </w:r>
      <w:r>
        <w:rPr>
          <w:color w:val="231F20"/>
        </w:rPr>
        <w:t>in</w:t>
      </w:r>
      <w:r>
        <w:rPr>
          <w:color w:val="231F20"/>
          <w:spacing w:val="-7"/>
        </w:rPr>
        <w:t> </w:t>
      </w:r>
      <w:r>
        <w:rPr>
          <w:color w:val="231F20"/>
        </w:rPr>
        <w:t>constructing</w:t>
      </w:r>
      <w:r>
        <w:rPr>
          <w:color w:val="231F20"/>
          <w:spacing w:val="-7"/>
        </w:rPr>
        <w:t> </w:t>
      </w:r>
      <w:r>
        <w:rPr>
          <w:color w:val="231F20"/>
        </w:rPr>
        <w:t>the </w:t>
      </w:r>
      <w:r>
        <w:rPr>
          <w:color w:val="231F20"/>
          <w:spacing w:val="-4"/>
        </w:rPr>
        <w:t>international</w:t>
      </w:r>
      <w:r>
        <w:rPr>
          <w:color w:val="231F20"/>
          <w:spacing w:val="-6"/>
        </w:rPr>
        <w:t> </w:t>
      </w:r>
      <w:r>
        <w:rPr>
          <w:color w:val="231F20"/>
          <w:spacing w:val="-4"/>
        </w:rPr>
        <w:t>LPI</w:t>
      </w:r>
      <w:r>
        <w:rPr>
          <w:color w:val="231F20"/>
          <w:spacing w:val="-6"/>
        </w:rPr>
        <w:t> </w:t>
      </w:r>
      <w:r>
        <w:rPr>
          <w:color w:val="231F20"/>
          <w:spacing w:val="-4"/>
        </w:rPr>
        <w:t>score.</w:t>
      </w:r>
      <w:r>
        <w:rPr>
          <w:color w:val="231F20"/>
          <w:spacing w:val="-6"/>
        </w:rPr>
        <w:t> </w:t>
      </w:r>
      <w:r>
        <w:rPr>
          <w:color w:val="231F20"/>
          <w:spacing w:val="-4"/>
        </w:rPr>
        <w:t>Since</w:t>
      </w:r>
      <w:r>
        <w:rPr>
          <w:color w:val="231F20"/>
          <w:spacing w:val="-6"/>
        </w:rPr>
        <w:t> </w:t>
      </w:r>
      <w:r>
        <w:rPr>
          <w:color w:val="231F20"/>
          <w:spacing w:val="-4"/>
        </w:rPr>
        <w:t>the</w:t>
      </w:r>
      <w:r>
        <w:rPr>
          <w:color w:val="231F20"/>
          <w:spacing w:val="-6"/>
        </w:rPr>
        <w:t> </w:t>
      </w:r>
      <w:r>
        <w:rPr>
          <w:color w:val="231F20"/>
          <w:spacing w:val="-4"/>
        </w:rPr>
        <w:t>loadings</w:t>
      </w:r>
      <w:r>
        <w:rPr>
          <w:color w:val="231F20"/>
          <w:spacing w:val="-6"/>
        </w:rPr>
        <w:t> </w:t>
      </w:r>
      <w:r>
        <w:rPr>
          <w:color w:val="231F20"/>
          <w:spacing w:val="-4"/>
        </w:rPr>
        <w:t>are </w:t>
      </w:r>
      <w:r>
        <w:rPr>
          <w:color w:val="231F20"/>
          <w:spacing w:val="-6"/>
        </w:rPr>
        <w:t>similar for all six, the international LPI score is </w:t>
      </w:r>
      <w:r>
        <w:rPr>
          <w:color w:val="231F20"/>
          <w:spacing w:val="-4"/>
        </w:rPr>
        <w:t>close</w:t>
      </w:r>
      <w:r>
        <w:rPr>
          <w:color w:val="231F20"/>
          <w:spacing w:val="-9"/>
        </w:rPr>
        <w:t> </w:t>
      </w:r>
      <w:r>
        <w:rPr>
          <w:color w:val="231F20"/>
          <w:spacing w:val="-4"/>
        </w:rPr>
        <w:t>to</w:t>
      </w:r>
      <w:r>
        <w:rPr>
          <w:color w:val="231F20"/>
          <w:spacing w:val="-9"/>
        </w:rPr>
        <w:t> </w:t>
      </w:r>
      <w:r>
        <w:rPr>
          <w:color w:val="231F20"/>
          <w:spacing w:val="-4"/>
        </w:rPr>
        <w:t>a</w:t>
      </w:r>
      <w:r>
        <w:rPr>
          <w:color w:val="231F20"/>
          <w:spacing w:val="-9"/>
        </w:rPr>
        <w:t> </w:t>
      </w:r>
      <w:r>
        <w:rPr>
          <w:color w:val="231F20"/>
          <w:spacing w:val="-4"/>
        </w:rPr>
        <w:t>simple</w:t>
      </w:r>
      <w:r>
        <w:rPr>
          <w:color w:val="231F20"/>
          <w:spacing w:val="-9"/>
        </w:rPr>
        <w:t> </w:t>
      </w:r>
      <w:r>
        <w:rPr>
          <w:color w:val="231F20"/>
          <w:spacing w:val="-4"/>
        </w:rPr>
        <w:t>average</w:t>
      </w:r>
      <w:r>
        <w:rPr>
          <w:color w:val="231F20"/>
          <w:spacing w:val="-9"/>
        </w:rPr>
        <w:t> </w:t>
      </w:r>
      <w:r>
        <w:rPr>
          <w:color w:val="231F20"/>
          <w:spacing w:val="-4"/>
        </w:rPr>
        <w:t>of</w:t>
      </w:r>
      <w:r>
        <w:rPr>
          <w:color w:val="231F20"/>
          <w:spacing w:val="-9"/>
        </w:rPr>
        <w:t> </w:t>
      </w:r>
      <w:r>
        <w:rPr>
          <w:color w:val="231F20"/>
          <w:spacing w:val="-4"/>
        </w:rPr>
        <w:t>the</w:t>
      </w:r>
      <w:r>
        <w:rPr>
          <w:color w:val="231F20"/>
          <w:spacing w:val="-9"/>
        </w:rPr>
        <w:t> </w:t>
      </w:r>
      <w:r>
        <w:rPr>
          <w:color w:val="231F20"/>
          <w:spacing w:val="-4"/>
        </w:rPr>
        <w:t>indicators.</w:t>
      </w:r>
      <w:r>
        <w:rPr>
          <w:color w:val="231F20"/>
          <w:spacing w:val="-9"/>
        </w:rPr>
        <w:t> </w:t>
      </w:r>
      <w:r>
        <w:rPr>
          <w:color w:val="231F20"/>
          <w:spacing w:val="-4"/>
        </w:rPr>
        <w:t>Al- </w:t>
      </w:r>
      <w:r>
        <w:rPr>
          <w:color w:val="231F20"/>
          <w:spacing w:val="-2"/>
        </w:rPr>
        <w:t>though</w:t>
      </w:r>
      <w:r>
        <w:rPr>
          <w:color w:val="231F20"/>
          <w:spacing w:val="-5"/>
        </w:rPr>
        <w:t> </w:t>
      </w:r>
      <w:r>
        <w:rPr>
          <w:color w:val="231F20"/>
          <w:spacing w:val="-2"/>
        </w:rPr>
        <w:t>principal</w:t>
      </w:r>
      <w:r>
        <w:rPr>
          <w:color w:val="231F20"/>
          <w:spacing w:val="-5"/>
        </w:rPr>
        <w:t> </w:t>
      </w:r>
      <w:r>
        <w:rPr>
          <w:color w:val="231F20"/>
          <w:spacing w:val="-2"/>
        </w:rPr>
        <w:t>component</w:t>
      </w:r>
      <w:r>
        <w:rPr>
          <w:color w:val="231F20"/>
          <w:spacing w:val="-5"/>
        </w:rPr>
        <w:t> </w:t>
      </w:r>
      <w:r>
        <w:rPr>
          <w:color w:val="231F20"/>
          <w:spacing w:val="-2"/>
        </w:rPr>
        <w:t>analysis</w:t>
      </w:r>
      <w:r>
        <w:rPr>
          <w:color w:val="231F20"/>
          <w:spacing w:val="-5"/>
        </w:rPr>
        <w:t> </w:t>
      </w:r>
      <w:r>
        <w:rPr>
          <w:color w:val="231F20"/>
          <w:spacing w:val="-2"/>
        </w:rPr>
        <w:t>is</w:t>
      </w:r>
      <w:r>
        <w:rPr>
          <w:color w:val="231F20"/>
          <w:spacing w:val="-5"/>
        </w:rPr>
        <w:t> </w:t>
      </w:r>
      <w:r>
        <w:rPr>
          <w:color w:val="231F20"/>
          <w:spacing w:val="-2"/>
        </w:rPr>
        <w:t>rerun </w:t>
      </w:r>
      <w:r>
        <w:rPr>
          <w:color w:val="231F20"/>
          <w:spacing w:val="-6"/>
        </w:rPr>
        <w:t>for each version of the LPI, the weights remain </w:t>
      </w:r>
      <w:r>
        <w:rPr>
          <w:color w:val="231F20"/>
          <w:w w:val="90"/>
        </w:rPr>
        <w:t>steady</w:t>
      </w:r>
      <w:r>
        <w:rPr>
          <w:color w:val="231F20"/>
          <w:spacing w:val="-3"/>
          <w:w w:val="90"/>
        </w:rPr>
        <w:t> </w:t>
      </w:r>
      <w:r>
        <w:rPr>
          <w:color w:val="231F20"/>
          <w:w w:val="90"/>
        </w:rPr>
        <w:t>from</w:t>
      </w:r>
      <w:r>
        <w:rPr>
          <w:color w:val="231F20"/>
          <w:spacing w:val="-3"/>
          <w:w w:val="90"/>
        </w:rPr>
        <w:t> </w:t>
      </w:r>
      <w:r>
        <w:rPr>
          <w:color w:val="231F20"/>
          <w:w w:val="90"/>
        </w:rPr>
        <w:t>year</w:t>
      </w:r>
      <w:r>
        <w:rPr>
          <w:color w:val="231F20"/>
          <w:spacing w:val="-3"/>
          <w:w w:val="90"/>
        </w:rPr>
        <w:t> </w:t>
      </w:r>
      <w:r>
        <w:rPr>
          <w:color w:val="231F20"/>
          <w:w w:val="90"/>
        </w:rPr>
        <w:t>to</w:t>
      </w:r>
      <w:r>
        <w:rPr>
          <w:color w:val="231F20"/>
          <w:spacing w:val="-3"/>
          <w:w w:val="90"/>
        </w:rPr>
        <w:t> </w:t>
      </w:r>
      <w:r>
        <w:rPr>
          <w:color w:val="231F20"/>
          <w:w w:val="90"/>
        </w:rPr>
        <w:t>year.</w:t>
      </w:r>
      <w:r>
        <w:rPr>
          <w:color w:val="231F20"/>
          <w:spacing w:val="-3"/>
          <w:w w:val="90"/>
        </w:rPr>
        <w:t> </w:t>
      </w:r>
      <w:r>
        <w:rPr>
          <w:color w:val="231F20"/>
          <w:w w:val="90"/>
        </w:rPr>
        <w:t>There</w:t>
      </w:r>
      <w:r>
        <w:rPr>
          <w:color w:val="231F20"/>
          <w:spacing w:val="-3"/>
          <w:w w:val="90"/>
        </w:rPr>
        <w:t> </w:t>
      </w:r>
      <w:r>
        <w:rPr>
          <w:color w:val="231F20"/>
          <w:w w:val="90"/>
        </w:rPr>
        <w:t>is</w:t>
      </w:r>
      <w:r>
        <w:rPr>
          <w:color w:val="231F20"/>
          <w:spacing w:val="-3"/>
          <w:w w:val="90"/>
        </w:rPr>
        <w:t> </w:t>
      </w:r>
      <w:r>
        <w:rPr>
          <w:color w:val="231F20"/>
          <w:w w:val="90"/>
        </w:rPr>
        <w:t>thus</w:t>
      </w:r>
      <w:r>
        <w:rPr>
          <w:color w:val="231F20"/>
          <w:spacing w:val="-3"/>
          <w:w w:val="90"/>
        </w:rPr>
        <w:t> </w:t>
      </w:r>
      <w:r>
        <w:rPr>
          <w:color w:val="231F20"/>
          <w:w w:val="90"/>
        </w:rPr>
        <w:t>a</w:t>
      </w:r>
      <w:r>
        <w:rPr>
          <w:color w:val="231F20"/>
          <w:spacing w:val="-3"/>
          <w:w w:val="90"/>
        </w:rPr>
        <w:t> </w:t>
      </w:r>
      <w:r>
        <w:rPr>
          <w:color w:val="231F20"/>
          <w:w w:val="90"/>
        </w:rPr>
        <w:t>high</w:t>
      </w:r>
      <w:r>
        <w:rPr>
          <w:color w:val="231F20"/>
          <w:spacing w:val="-3"/>
          <w:w w:val="90"/>
        </w:rPr>
        <w:t> </w:t>
      </w:r>
      <w:r>
        <w:rPr>
          <w:color w:val="231F20"/>
          <w:w w:val="90"/>
        </w:rPr>
        <w:t>de- </w:t>
      </w:r>
      <w:r>
        <w:rPr>
          <w:color w:val="231F20"/>
          <w:spacing w:val="-2"/>
        </w:rPr>
        <w:t>gree</w:t>
      </w:r>
      <w:r>
        <w:rPr>
          <w:color w:val="231F20"/>
          <w:spacing w:val="-9"/>
        </w:rPr>
        <w:t> </w:t>
      </w:r>
      <w:r>
        <w:rPr>
          <w:color w:val="231F20"/>
          <w:spacing w:val="-2"/>
        </w:rPr>
        <w:t>of</w:t>
      </w:r>
      <w:r>
        <w:rPr>
          <w:color w:val="231F20"/>
          <w:spacing w:val="-9"/>
        </w:rPr>
        <w:t> </w:t>
      </w:r>
      <w:r>
        <w:rPr>
          <w:color w:val="231F20"/>
          <w:spacing w:val="-2"/>
        </w:rPr>
        <w:t>comparability</w:t>
      </w:r>
      <w:r>
        <w:rPr>
          <w:color w:val="231F20"/>
          <w:spacing w:val="-9"/>
        </w:rPr>
        <w:t> </w:t>
      </w:r>
      <w:r>
        <w:rPr>
          <w:color w:val="231F20"/>
          <w:spacing w:val="-2"/>
        </w:rPr>
        <w:t>across</w:t>
      </w:r>
      <w:r>
        <w:rPr>
          <w:color w:val="231F20"/>
          <w:spacing w:val="-9"/>
        </w:rPr>
        <w:t> </w:t>
      </w:r>
      <w:r>
        <w:rPr>
          <w:color w:val="231F20"/>
          <w:spacing w:val="-2"/>
        </w:rPr>
        <w:t>LPI</w:t>
      </w:r>
      <w:r>
        <w:rPr>
          <w:color w:val="231F20"/>
          <w:spacing w:val="-9"/>
        </w:rPr>
        <w:t> </w:t>
      </w:r>
      <w:r>
        <w:rPr>
          <w:color w:val="231F20"/>
          <w:spacing w:val="-2"/>
        </w:rPr>
        <w:t>editions.</w:t>
      </w:r>
    </w:p>
    <w:p>
      <w:pPr>
        <w:pStyle w:val="BodyText"/>
        <w:spacing w:before="31"/>
      </w:pPr>
    </w:p>
    <w:p>
      <w:pPr>
        <w:spacing w:before="0"/>
        <w:ind w:left="3360" w:right="0" w:firstLine="0"/>
        <w:jc w:val="both"/>
        <w:rPr>
          <w:rFonts w:ascii="Arial"/>
          <w:b/>
          <w:sz w:val="20"/>
        </w:rPr>
      </w:pPr>
      <w:r>
        <w:rPr>
          <w:rFonts w:ascii="Arial"/>
          <w:b/>
          <w:color w:val="231F20"/>
          <w:spacing w:val="-2"/>
          <w:w w:val="105"/>
          <w:sz w:val="20"/>
        </w:rPr>
        <w:t>Constructing</w:t>
      </w:r>
      <w:r>
        <w:rPr>
          <w:rFonts w:ascii="Arial"/>
          <w:b/>
          <w:color w:val="231F20"/>
          <w:spacing w:val="-3"/>
          <w:w w:val="105"/>
          <w:sz w:val="20"/>
        </w:rPr>
        <w:t> </w:t>
      </w:r>
      <w:r>
        <w:rPr>
          <w:rFonts w:ascii="Arial"/>
          <w:b/>
          <w:color w:val="231F20"/>
          <w:spacing w:val="-2"/>
          <w:w w:val="105"/>
          <w:sz w:val="20"/>
        </w:rPr>
        <w:t>the</w:t>
      </w:r>
      <w:r>
        <w:rPr>
          <w:rFonts w:ascii="Arial"/>
          <w:b/>
          <w:color w:val="231F20"/>
          <w:spacing w:val="-3"/>
          <w:w w:val="105"/>
          <w:sz w:val="20"/>
        </w:rPr>
        <w:t> </w:t>
      </w:r>
      <w:r>
        <w:rPr>
          <w:rFonts w:ascii="Arial"/>
          <w:b/>
          <w:color w:val="231F20"/>
          <w:spacing w:val="-2"/>
          <w:w w:val="105"/>
          <w:sz w:val="20"/>
        </w:rPr>
        <w:t>confidence intervals</w:t>
      </w:r>
    </w:p>
    <w:p>
      <w:pPr>
        <w:pStyle w:val="BodyText"/>
        <w:spacing w:before="71"/>
        <w:rPr>
          <w:rFonts w:ascii="Arial"/>
          <w:b/>
          <w:sz w:val="20"/>
        </w:rPr>
      </w:pPr>
    </w:p>
    <w:p>
      <w:pPr>
        <w:pStyle w:val="BodyText"/>
        <w:spacing w:line="268" w:lineRule="auto"/>
        <w:ind w:left="3360" w:right="1"/>
        <w:jc w:val="both"/>
      </w:pPr>
      <w:r>
        <w:rPr>
          <w:color w:val="231F20"/>
          <w:w w:val="90"/>
        </w:rPr>
        <w:t>To account for the sampling error created by the LPI’s</w:t>
      </w:r>
      <w:r>
        <w:rPr>
          <w:color w:val="231F20"/>
          <w:spacing w:val="-1"/>
          <w:w w:val="90"/>
        </w:rPr>
        <w:t> </w:t>
      </w:r>
      <w:r>
        <w:rPr>
          <w:color w:val="231F20"/>
          <w:w w:val="90"/>
        </w:rPr>
        <w:t>survey-based</w:t>
      </w:r>
      <w:r>
        <w:rPr>
          <w:color w:val="231F20"/>
          <w:spacing w:val="-1"/>
          <w:w w:val="90"/>
        </w:rPr>
        <w:t> </w:t>
      </w:r>
      <w:r>
        <w:rPr>
          <w:color w:val="231F20"/>
          <w:w w:val="90"/>
        </w:rPr>
        <w:t>methodology,</w:t>
      </w:r>
      <w:r>
        <w:rPr>
          <w:color w:val="231F20"/>
          <w:spacing w:val="-1"/>
          <w:w w:val="90"/>
        </w:rPr>
        <w:t> </w:t>
      </w:r>
      <w:r>
        <w:rPr>
          <w:color w:val="231F20"/>
          <w:w w:val="90"/>
        </w:rPr>
        <w:t>LPI</w:t>
      </w:r>
      <w:r>
        <w:rPr>
          <w:color w:val="231F20"/>
          <w:spacing w:val="-1"/>
          <w:w w:val="90"/>
        </w:rPr>
        <w:t> </w:t>
      </w:r>
      <w:r>
        <w:rPr>
          <w:color w:val="231F20"/>
          <w:w w:val="90"/>
        </w:rPr>
        <w:t>scores</w:t>
      </w:r>
      <w:r>
        <w:rPr>
          <w:color w:val="231F20"/>
          <w:spacing w:val="-1"/>
          <w:w w:val="90"/>
        </w:rPr>
        <w:t> </w:t>
      </w:r>
      <w:r>
        <w:rPr>
          <w:color w:val="231F20"/>
          <w:w w:val="90"/>
        </w:rPr>
        <w:t>are </w:t>
      </w:r>
      <w:r>
        <w:rPr>
          <w:color w:val="231F20"/>
          <w:spacing w:val="-2"/>
        </w:rPr>
        <w:t>presented</w:t>
      </w:r>
      <w:r>
        <w:rPr>
          <w:color w:val="231F20"/>
          <w:spacing w:val="-12"/>
        </w:rPr>
        <w:t> </w:t>
      </w:r>
      <w:r>
        <w:rPr>
          <w:color w:val="231F20"/>
          <w:spacing w:val="-2"/>
        </w:rPr>
        <w:t>with</w:t>
      </w:r>
      <w:r>
        <w:rPr>
          <w:color w:val="231F20"/>
          <w:spacing w:val="-11"/>
        </w:rPr>
        <w:t> </w:t>
      </w:r>
      <w:r>
        <w:rPr>
          <w:color w:val="231F20"/>
          <w:spacing w:val="-2"/>
        </w:rPr>
        <w:t>approximate</w:t>
      </w:r>
      <w:r>
        <w:rPr>
          <w:color w:val="231F20"/>
          <w:spacing w:val="-11"/>
        </w:rPr>
        <w:t> </w:t>
      </w:r>
      <w:r>
        <w:rPr>
          <w:color w:val="231F20"/>
          <w:spacing w:val="-2"/>
        </w:rPr>
        <w:t>80</w:t>
      </w:r>
      <w:r>
        <w:rPr>
          <w:color w:val="231F20"/>
          <w:spacing w:val="-11"/>
        </w:rPr>
        <w:t> </w:t>
      </w:r>
      <w:r>
        <w:rPr>
          <w:color w:val="231F20"/>
          <w:spacing w:val="-2"/>
        </w:rPr>
        <w:t>percent</w:t>
      </w:r>
      <w:r>
        <w:rPr>
          <w:color w:val="231F20"/>
          <w:spacing w:val="-11"/>
        </w:rPr>
        <w:t> </w:t>
      </w:r>
      <w:r>
        <w:rPr>
          <w:color w:val="231F20"/>
          <w:spacing w:val="-2"/>
        </w:rPr>
        <w:t>confi- </w:t>
      </w:r>
      <w:r>
        <w:rPr>
          <w:color w:val="231F20"/>
          <w:w w:val="90"/>
        </w:rPr>
        <w:t>dence intervals. These intervals make it possible </w:t>
      </w:r>
      <w:r>
        <w:rPr>
          <w:color w:val="231F20"/>
          <w:spacing w:val="-4"/>
        </w:rPr>
        <w:t>to</w:t>
      </w:r>
      <w:r>
        <w:rPr>
          <w:color w:val="231F20"/>
          <w:spacing w:val="-10"/>
        </w:rPr>
        <w:t> </w:t>
      </w:r>
      <w:r>
        <w:rPr>
          <w:color w:val="231F20"/>
          <w:spacing w:val="-4"/>
        </w:rPr>
        <w:t>provide</w:t>
      </w:r>
      <w:r>
        <w:rPr>
          <w:color w:val="231F20"/>
          <w:spacing w:val="-9"/>
        </w:rPr>
        <w:t> </w:t>
      </w:r>
      <w:r>
        <w:rPr>
          <w:color w:val="231F20"/>
          <w:spacing w:val="-4"/>
        </w:rPr>
        <w:t>upper</w:t>
      </w:r>
      <w:r>
        <w:rPr>
          <w:color w:val="231F20"/>
          <w:spacing w:val="-9"/>
        </w:rPr>
        <w:t> </w:t>
      </w:r>
      <w:r>
        <w:rPr>
          <w:color w:val="231F20"/>
          <w:spacing w:val="-4"/>
        </w:rPr>
        <w:t>and</w:t>
      </w:r>
      <w:r>
        <w:rPr>
          <w:color w:val="231F20"/>
          <w:spacing w:val="-9"/>
        </w:rPr>
        <w:t> </w:t>
      </w:r>
      <w:r>
        <w:rPr>
          <w:color w:val="231F20"/>
          <w:spacing w:val="-4"/>
        </w:rPr>
        <w:t>lower</w:t>
      </w:r>
      <w:r>
        <w:rPr>
          <w:color w:val="231F20"/>
          <w:spacing w:val="-9"/>
        </w:rPr>
        <w:t> </w:t>
      </w:r>
      <w:r>
        <w:rPr>
          <w:color w:val="231F20"/>
          <w:spacing w:val="-4"/>
        </w:rPr>
        <w:t>bounds</w:t>
      </w:r>
      <w:r>
        <w:rPr>
          <w:color w:val="231F20"/>
          <w:spacing w:val="-9"/>
        </w:rPr>
        <w:t> </w:t>
      </w:r>
      <w:r>
        <w:rPr>
          <w:color w:val="231F20"/>
          <w:spacing w:val="-4"/>
        </w:rPr>
        <w:t>for</w:t>
      </w:r>
      <w:r>
        <w:rPr>
          <w:color w:val="231F20"/>
          <w:spacing w:val="-9"/>
        </w:rPr>
        <w:t> </w:t>
      </w:r>
      <w:r>
        <w:rPr>
          <w:color w:val="231F20"/>
          <w:spacing w:val="-4"/>
        </w:rPr>
        <w:t>a</w:t>
      </w:r>
      <w:r>
        <w:rPr>
          <w:color w:val="231F20"/>
          <w:spacing w:val="-9"/>
        </w:rPr>
        <w:t> </w:t>
      </w:r>
      <w:r>
        <w:rPr>
          <w:color w:val="231F20"/>
          <w:spacing w:val="-4"/>
        </w:rPr>
        <w:t>coun- </w:t>
      </w:r>
      <w:r>
        <w:rPr>
          <w:color w:val="231F20"/>
          <w:spacing w:val="-6"/>
        </w:rPr>
        <w:t>try’s LPI score. To determine whether a differ- </w:t>
      </w:r>
      <w:r>
        <w:rPr>
          <w:color w:val="231F20"/>
          <w:w w:val="90"/>
        </w:rPr>
        <w:t>ence between two scores is statistically signifi- </w:t>
      </w:r>
      <w:r>
        <w:rPr>
          <w:color w:val="231F20"/>
        </w:rPr>
        <w:t>cant,</w:t>
      </w:r>
      <w:r>
        <w:rPr>
          <w:color w:val="231F20"/>
          <w:spacing w:val="-11"/>
        </w:rPr>
        <w:t> </w:t>
      </w:r>
      <w:r>
        <w:rPr>
          <w:color w:val="231F20"/>
        </w:rPr>
        <w:t>confidence</w:t>
      </w:r>
      <w:r>
        <w:rPr>
          <w:color w:val="231F20"/>
          <w:spacing w:val="-11"/>
        </w:rPr>
        <w:t> </w:t>
      </w:r>
      <w:r>
        <w:rPr>
          <w:color w:val="231F20"/>
        </w:rPr>
        <w:t>intervals</w:t>
      </w:r>
      <w:r>
        <w:rPr>
          <w:color w:val="231F20"/>
          <w:spacing w:val="-11"/>
        </w:rPr>
        <w:t> </w:t>
      </w:r>
      <w:r>
        <w:rPr>
          <w:color w:val="231F20"/>
        </w:rPr>
        <w:t>must</w:t>
      </w:r>
      <w:r>
        <w:rPr>
          <w:color w:val="231F20"/>
          <w:spacing w:val="-11"/>
        </w:rPr>
        <w:t> </w:t>
      </w:r>
      <w:r>
        <w:rPr>
          <w:color w:val="231F20"/>
        </w:rPr>
        <w:t>be</w:t>
      </w:r>
      <w:r>
        <w:rPr>
          <w:color w:val="231F20"/>
          <w:spacing w:val="-11"/>
        </w:rPr>
        <w:t> </w:t>
      </w:r>
      <w:r>
        <w:rPr>
          <w:color w:val="231F20"/>
        </w:rPr>
        <w:t>examined </w:t>
      </w:r>
      <w:r>
        <w:rPr>
          <w:color w:val="231F20"/>
          <w:w w:val="90"/>
        </w:rPr>
        <w:t>carefully. For example, a statistically significant improvement in a country’s performance should </w:t>
      </w:r>
      <w:r>
        <w:rPr>
          <w:color w:val="231F20"/>
          <w:spacing w:val="-6"/>
        </w:rPr>
        <w:t>not</w:t>
      </w:r>
      <w:r>
        <w:rPr>
          <w:color w:val="231F20"/>
          <w:spacing w:val="-9"/>
        </w:rPr>
        <w:t> </w:t>
      </w:r>
      <w:r>
        <w:rPr>
          <w:color w:val="231F20"/>
          <w:spacing w:val="-6"/>
        </w:rPr>
        <w:t>be</w:t>
      </w:r>
      <w:r>
        <w:rPr>
          <w:color w:val="231F20"/>
          <w:spacing w:val="-8"/>
        </w:rPr>
        <w:t> </w:t>
      </w:r>
      <w:r>
        <w:rPr>
          <w:color w:val="231F20"/>
          <w:spacing w:val="-6"/>
        </w:rPr>
        <w:t>concluded</w:t>
      </w:r>
      <w:r>
        <w:rPr>
          <w:color w:val="231F20"/>
          <w:spacing w:val="-9"/>
        </w:rPr>
        <w:t> </w:t>
      </w:r>
      <w:r>
        <w:rPr>
          <w:color w:val="231F20"/>
          <w:spacing w:val="-6"/>
        </w:rPr>
        <w:t>unless</w:t>
      </w:r>
      <w:r>
        <w:rPr>
          <w:color w:val="231F20"/>
          <w:spacing w:val="-8"/>
        </w:rPr>
        <w:t> </w:t>
      </w:r>
      <w:r>
        <w:rPr>
          <w:color w:val="231F20"/>
          <w:spacing w:val="-6"/>
        </w:rPr>
        <w:t>the</w:t>
      </w:r>
      <w:r>
        <w:rPr>
          <w:color w:val="231F20"/>
          <w:spacing w:val="-8"/>
        </w:rPr>
        <w:t> </w:t>
      </w:r>
      <w:r>
        <w:rPr>
          <w:color w:val="231F20"/>
          <w:spacing w:val="-6"/>
        </w:rPr>
        <w:t>lower</w:t>
      </w:r>
      <w:r>
        <w:rPr>
          <w:color w:val="231F20"/>
          <w:spacing w:val="-9"/>
        </w:rPr>
        <w:t> </w:t>
      </w:r>
      <w:r>
        <w:rPr>
          <w:color w:val="231F20"/>
          <w:spacing w:val="-6"/>
        </w:rPr>
        <w:t>bound</w:t>
      </w:r>
      <w:r>
        <w:rPr>
          <w:color w:val="231F20"/>
          <w:spacing w:val="-8"/>
        </w:rPr>
        <w:t> </w:t>
      </w:r>
      <w:r>
        <w:rPr>
          <w:color w:val="231F20"/>
          <w:spacing w:val="-6"/>
        </w:rPr>
        <w:t>of</w:t>
      </w:r>
      <w:r>
        <w:rPr>
          <w:color w:val="231F20"/>
          <w:spacing w:val="-8"/>
        </w:rPr>
        <w:t> </w:t>
      </w:r>
      <w:r>
        <w:rPr>
          <w:color w:val="231F20"/>
          <w:spacing w:val="-6"/>
        </w:rPr>
        <w:t>the</w:t>
      </w:r>
    </w:p>
    <w:p>
      <w:pPr>
        <w:pStyle w:val="Heading2"/>
        <w:spacing w:line="256" w:lineRule="auto" w:before="96"/>
        <w:ind w:right="657"/>
      </w:pPr>
      <w:r>
        <w:rPr/>
        <w:br w:type="column"/>
      </w:r>
      <w:r>
        <w:rPr>
          <w:color w:val="231F20"/>
          <w:sz w:val="21"/>
        </w:rPr>
        <w:t>where</w:t>
      </w:r>
      <w:r>
        <w:rPr>
          <w:color w:val="231F20"/>
          <w:spacing w:val="-14"/>
          <w:sz w:val="21"/>
        </w:rPr>
        <w:t> </w:t>
      </w:r>
      <w:r>
        <w:rPr>
          <w:i/>
          <w:color w:val="231F20"/>
          <w:sz w:val="21"/>
        </w:rPr>
        <w:t>LPI</w:t>
      </w:r>
      <w:r>
        <w:rPr>
          <w:i/>
          <w:color w:val="231F20"/>
          <w:spacing w:val="-12"/>
          <w:sz w:val="21"/>
        </w:rPr>
        <w:t> </w:t>
      </w:r>
      <w:r>
        <w:rPr>
          <w:color w:val="231F20"/>
        </w:rPr>
        <w:t>is</w:t>
      </w:r>
      <w:r>
        <w:rPr>
          <w:color w:val="231F20"/>
          <w:spacing w:val="-14"/>
        </w:rPr>
        <w:t> </w:t>
      </w:r>
      <w:r>
        <w:rPr>
          <w:color w:val="231F20"/>
        </w:rPr>
        <w:t>a</w:t>
      </w:r>
      <w:r>
        <w:rPr>
          <w:color w:val="231F20"/>
          <w:spacing w:val="-14"/>
        </w:rPr>
        <w:t> </w:t>
      </w:r>
      <w:r>
        <w:rPr>
          <w:color w:val="231F20"/>
        </w:rPr>
        <w:t>country’s</w:t>
      </w:r>
      <w:r>
        <w:rPr>
          <w:color w:val="231F20"/>
          <w:spacing w:val="-13"/>
        </w:rPr>
        <w:t> </w:t>
      </w:r>
      <w:r>
        <w:rPr>
          <w:color w:val="231F20"/>
        </w:rPr>
        <w:t>LPI</w:t>
      </w:r>
      <w:r>
        <w:rPr>
          <w:color w:val="231F20"/>
          <w:spacing w:val="-14"/>
        </w:rPr>
        <w:t> </w:t>
      </w:r>
      <w:r>
        <w:rPr>
          <w:color w:val="231F20"/>
        </w:rPr>
        <w:t>score,</w:t>
      </w:r>
      <w:r>
        <w:rPr>
          <w:color w:val="231F20"/>
          <w:spacing w:val="-14"/>
        </w:rPr>
        <w:t> </w:t>
      </w:r>
      <w:r>
        <w:rPr>
          <w:i/>
          <w:color w:val="231F20"/>
        </w:rPr>
        <w:t>N</w:t>
      </w:r>
      <w:r>
        <w:rPr>
          <w:i/>
          <w:color w:val="231F20"/>
          <w:spacing w:val="-14"/>
        </w:rPr>
        <w:t> </w:t>
      </w:r>
      <w:r>
        <w:rPr>
          <w:color w:val="231F20"/>
        </w:rPr>
        <w:t>is</w:t>
      </w:r>
      <w:r>
        <w:rPr>
          <w:color w:val="231F20"/>
          <w:spacing w:val="-13"/>
        </w:rPr>
        <w:t> </w:t>
      </w:r>
      <w:r>
        <w:rPr>
          <w:color w:val="231F20"/>
        </w:rPr>
        <w:t>the </w:t>
      </w:r>
      <w:r>
        <w:rPr>
          <w:color w:val="231F20"/>
          <w:spacing w:val="-4"/>
        </w:rPr>
        <w:t>number</w:t>
      </w:r>
      <w:r>
        <w:rPr>
          <w:color w:val="231F20"/>
          <w:spacing w:val="-10"/>
        </w:rPr>
        <w:t> </w:t>
      </w:r>
      <w:r>
        <w:rPr>
          <w:color w:val="231F20"/>
          <w:spacing w:val="-4"/>
        </w:rPr>
        <w:t>of</w:t>
      </w:r>
      <w:r>
        <w:rPr>
          <w:color w:val="231F20"/>
          <w:spacing w:val="-10"/>
        </w:rPr>
        <w:t> </w:t>
      </w:r>
      <w:r>
        <w:rPr>
          <w:color w:val="231F20"/>
          <w:spacing w:val="-4"/>
        </w:rPr>
        <w:t>survey</w:t>
      </w:r>
      <w:r>
        <w:rPr>
          <w:color w:val="231F20"/>
          <w:spacing w:val="-10"/>
        </w:rPr>
        <w:t> </w:t>
      </w:r>
      <w:r>
        <w:rPr>
          <w:color w:val="231F20"/>
          <w:spacing w:val="-4"/>
        </w:rPr>
        <w:t>respondents</w:t>
      </w:r>
      <w:r>
        <w:rPr>
          <w:color w:val="231F20"/>
          <w:spacing w:val="-9"/>
        </w:rPr>
        <w:t> </w:t>
      </w:r>
      <w:r>
        <w:rPr>
          <w:color w:val="231F20"/>
          <w:spacing w:val="-4"/>
        </w:rPr>
        <w:t>for</w:t>
      </w:r>
      <w:r>
        <w:rPr>
          <w:color w:val="231F20"/>
          <w:spacing w:val="-10"/>
        </w:rPr>
        <w:t> </w:t>
      </w:r>
      <w:r>
        <w:rPr>
          <w:color w:val="231F20"/>
          <w:spacing w:val="-4"/>
        </w:rPr>
        <w:t>that</w:t>
      </w:r>
      <w:r>
        <w:rPr>
          <w:color w:val="231F20"/>
          <w:spacing w:val="-10"/>
        </w:rPr>
        <w:t> </w:t>
      </w:r>
      <w:r>
        <w:rPr>
          <w:color w:val="231F20"/>
          <w:spacing w:val="-4"/>
        </w:rPr>
        <w:t>coun- </w:t>
      </w:r>
      <w:r>
        <w:rPr>
          <w:color w:val="231F20"/>
          <w:spacing w:val="-2"/>
        </w:rPr>
        <w:t>try,</w:t>
      </w:r>
      <w:r>
        <w:rPr>
          <w:color w:val="231F20"/>
          <w:spacing w:val="-11"/>
        </w:rPr>
        <w:t> </w:t>
      </w:r>
      <w:r>
        <w:rPr>
          <w:i/>
          <w:color w:val="231F20"/>
          <w:spacing w:val="-2"/>
        </w:rPr>
        <w:t>s</w:t>
      </w:r>
      <w:r>
        <w:rPr>
          <w:i/>
          <w:color w:val="231F20"/>
          <w:spacing w:val="-11"/>
        </w:rPr>
        <w:t> </w:t>
      </w:r>
      <w:r>
        <w:rPr>
          <w:color w:val="231F20"/>
          <w:spacing w:val="-2"/>
        </w:rPr>
        <w:t>is</w:t>
      </w:r>
      <w:r>
        <w:rPr>
          <w:color w:val="231F20"/>
          <w:spacing w:val="-11"/>
        </w:rPr>
        <w:t> </w:t>
      </w:r>
      <w:r>
        <w:rPr>
          <w:color w:val="231F20"/>
          <w:spacing w:val="-2"/>
        </w:rPr>
        <w:t>the</w:t>
      </w:r>
      <w:r>
        <w:rPr>
          <w:color w:val="231F20"/>
          <w:spacing w:val="-11"/>
        </w:rPr>
        <w:t> </w:t>
      </w:r>
      <w:r>
        <w:rPr>
          <w:color w:val="231F20"/>
          <w:spacing w:val="-2"/>
        </w:rPr>
        <w:t>estimated</w:t>
      </w:r>
      <w:r>
        <w:rPr>
          <w:color w:val="231F20"/>
          <w:spacing w:val="-11"/>
        </w:rPr>
        <w:t> </w:t>
      </w:r>
      <w:r>
        <w:rPr>
          <w:color w:val="231F20"/>
          <w:spacing w:val="-2"/>
        </w:rPr>
        <w:t>standard</w:t>
      </w:r>
      <w:r>
        <w:rPr>
          <w:color w:val="231F20"/>
          <w:spacing w:val="-11"/>
        </w:rPr>
        <w:t> </w:t>
      </w:r>
      <w:r>
        <w:rPr>
          <w:color w:val="231F20"/>
          <w:spacing w:val="-2"/>
        </w:rPr>
        <w:t>error</w:t>
      </w:r>
      <w:r>
        <w:rPr>
          <w:color w:val="231F20"/>
          <w:spacing w:val="-11"/>
        </w:rPr>
        <w:t> </w:t>
      </w:r>
      <w:r>
        <w:rPr>
          <w:color w:val="231F20"/>
          <w:spacing w:val="-2"/>
        </w:rPr>
        <w:t>of</w:t>
      </w:r>
      <w:r>
        <w:rPr>
          <w:color w:val="231F20"/>
          <w:spacing w:val="-11"/>
        </w:rPr>
        <w:t> </w:t>
      </w:r>
      <w:r>
        <w:rPr>
          <w:color w:val="231F20"/>
          <w:spacing w:val="-2"/>
        </w:rPr>
        <w:t>each </w:t>
      </w:r>
      <w:r>
        <w:rPr>
          <w:color w:val="231F20"/>
          <w:spacing w:val="-4"/>
        </w:rPr>
        <w:t>country’s</w:t>
      </w:r>
      <w:r>
        <w:rPr>
          <w:color w:val="231F20"/>
          <w:spacing w:val="-7"/>
        </w:rPr>
        <w:t> </w:t>
      </w:r>
      <w:r>
        <w:rPr>
          <w:color w:val="231F20"/>
          <w:spacing w:val="-4"/>
        </w:rPr>
        <w:t>LPI</w:t>
      </w:r>
      <w:r>
        <w:rPr>
          <w:color w:val="231F20"/>
          <w:spacing w:val="-7"/>
        </w:rPr>
        <w:t> </w:t>
      </w:r>
      <w:r>
        <w:rPr>
          <w:color w:val="231F20"/>
          <w:spacing w:val="-4"/>
        </w:rPr>
        <w:t>score,</w:t>
      </w:r>
      <w:r>
        <w:rPr>
          <w:color w:val="231F20"/>
          <w:spacing w:val="-7"/>
        </w:rPr>
        <w:t> </w:t>
      </w:r>
      <w:r>
        <w:rPr>
          <w:color w:val="231F20"/>
          <w:spacing w:val="-4"/>
        </w:rPr>
        <w:t>and</w:t>
      </w:r>
      <w:r>
        <w:rPr>
          <w:color w:val="231F20"/>
          <w:spacing w:val="-7"/>
        </w:rPr>
        <w:t> </w:t>
      </w:r>
      <w:r>
        <w:rPr>
          <w:i/>
          <w:color w:val="231F20"/>
          <w:spacing w:val="-4"/>
        </w:rPr>
        <w:t>t</w:t>
      </w:r>
      <w:r>
        <w:rPr>
          <w:i/>
          <w:color w:val="231F20"/>
          <w:spacing w:val="-7"/>
        </w:rPr>
        <w:t> </w:t>
      </w:r>
      <w:r>
        <w:rPr>
          <w:color w:val="231F20"/>
          <w:spacing w:val="-4"/>
        </w:rPr>
        <w:t>is</w:t>
      </w:r>
      <w:r>
        <w:rPr>
          <w:color w:val="231F20"/>
          <w:spacing w:val="-7"/>
        </w:rPr>
        <w:t> </w:t>
      </w:r>
      <w:r>
        <w:rPr>
          <w:color w:val="231F20"/>
          <w:spacing w:val="-4"/>
        </w:rPr>
        <w:t>Student’s</w:t>
      </w:r>
      <w:r>
        <w:rPr>
          <w:color w:val="231F20"/>
          <w:spacing w:val="-7"/>
        </w:rPr>
        <w:t> </w:t>
      </w:r>
      <w:r>
        <w:rPr>
          <w:i/>
          <w:color w:val="231F20"/>
          <w:spacing w:val="-4"/>
        </w:rPr>
        <w:t>t</w:t>
      </w:r>
      <w:r>
        <w:rPr>
          <w:color w:val="231F20"/>
          <w:spacing w:val="-4"/>
        </w:rPr>
        <w:t>-dis- tribution.</w:t>
      </w:r>
      <w:r>
        <w:rPr>
          <w:color w:val="231F20"/>
          <w:spacing w:val="-10"/>
        </w:rPr>
        <w:t> </w:t>
      </w:r>
      <w:r>
        <w:rPr>
          <w:color w:val="231F20"/>
          <w:spacing w:val="-4"/>
        </w:rPr>
        <w:t>As</w:t>
      </w:r>
      <w:r>
        <w:rPr>
          <w:color w:val="231F20"/>
          <w:spacing w:val="-10"/>
        </w:rPr>
        <w:t> </w:t>
      </w:r>
      <w:r>
        <w:rPr>
          <w:color w:val="231F20"/>
          <w:spacing w:val="-4"/>
        </w:rPr>
        <w:t>a</w:t>
      </w:r>
      <w:r>
        <w:rPr>
          <w:color w:val="231F20"/>
          <w:spacing w:val="-10"/>
        </w:rPr>
        <w:t> </w:t>
      </w:r>
      <w:r>
        <w:rPr>
          <w:color w:val="231F20"/>
          <w:spacing w:val="-4"/>
        </w:rPr>
        <w:t>result</w:t>
      </w:r>
      <w:r>
        <w:rPr>
          <w:color w:val="231F20"/>
          <w:spacing w:val="-9"/>
        </w:rPr>
        <w:t> </w:t>
      </w:r>
      <w:r>
        <w:rPr>
          <w:color w:val="231F20"/>
          <w:spacing w:val="-4"/>
        </w:rPr>
        <w:t>of</w:t>
      </w:r>
      <w:r>
        <w:rPr>
          <w:color w:val="231F20"/>
          <w:spacing w:val="-10"/>
        </w:rPr>
        <w:t> </w:t>
      </w:r>
      <w:r>
        <w:rPr>
          <w:color w:val="231F20"/>
          <w:spacing w:val="-4"/>
        </w:rPr>
        <w:t>this</w:t>
      </w:r>
      <w:r>
        <w:rPr>
          <w:color w:val="231F20"/>
          <w:spacing w:val="-10"/>
        </w:rPr>
        <w:t> </w:t>
      </w:r>
      <w:r>
        <w:rPr>
          <w:color w:val="231F20"/>
          <w:spacing w:val="-4"/>
        </w:rPr>
        <w:t>approach,</w:t>
      </w:r>
      <w:r>
        <w:rPr>
          <w:color w:val="231F20"/>
          <w:spacing w:val="-10"/>
        </w:rPr>
        <w:t> </w:t>
      </w:r>
      <w:r>
        <w:rPr>
          <w:color w:val="231F20"/>
          <w:spacing w:val="-4"/>
        </w:rPr>
        <w:t>confi- </w:t>
      </w:r>
      <w:r>
        <w:rPr>
          <w:color w:val="231F20"/>
          <w:w w:val="90"/>
        </w:rPr>
        <w:t>dence</w:t>
      </w:r>
      <w:r>
        <w:rPr>
          <w:color w:val="231F20"/>
          <w:spacing w:val="-1"/>
          <w:w w:val="90"/>
        </w:rPr>
        <w:t> </w:t>
      </w:r>
      <w:r>
        <w:rPr>
          <w:color w:val="231F20"/>
          <w:w w:val="90"/>
        </w:rPr>
        <w:t>intervals</w:t>
      </w:r>
      <w:r>
        <w:rPr>
          <w:color w:val="231F20"/>
          <w:spacing w:val="-1"/>
          <w:w w:val="90"/>
        </w:rPr>
        <w:t> </w:t>
      </w:r>
      <w:r>
        <w:rPr>
          <w:color w:val="231F20"/>
          <w:w w:val="90"/>
        </w:rPr>
        <w:t>and</w:t>
      </w:r>
      <w:r>
        <w:rPr>
          <w:color w:val="231F20"/>
          <w:spacing w:val="-1"/>
          <w:w w:val="90"/>
        </w:rPr>
        <w:t> </w:t>
      </w:r>
      <w:r>
        <w:rPr>
          <w:color w:val="231F20"/>
          <w:w w:val="90"/>
        </w:rPr>
        <w:t>low-high</w:t>
      </w:r>
      <w:r>
        <w:rPr>
          <w:color w:val="231F20"/>
          <w:spacing w:val="-1"/>
          <w:w w:val="90"/>
        </w:rPr>
        <w:t> </w:t>
      </w:r>
      <w:r>
        <w:rPr>
          <w:color w:val="231F20"/>
          <w:w w:val="90"/>
        </w:rPr>
        <w:t>ranges</w:t>
      </w:r>
      <w:r>
        <w:rPr>
          <w:color w:val="231F20"/>
          <w:spacing w:val="-1"/>
          <w:w w:val="90"/>
        </w:rPr>
        <w:t> </w:t>
      </w:r>
      <w:r>
        <w:rPr>
          <w:color w:val="231F20"/>
          <w:w w:val="90"/>
        </w:rPr>
        <w:t>for</w:t>
      </w:r>
      <w:r>
        <w:rPr>
          <w:color w:val="231F20"/>
          <w:spacing w:val="-1"/>
          <w:w w:val="90"/>
        </w:rPr>
        <w:t> </w:t>
      </w:r>
      <w:r>
        <w:rPr>
          <w:color w:val="231F20"/>
          <w:w w:val="90"/>
        </w:rPr>
        <w:t>scores </w:t>
      </w:r>
      <w:r>
        <w:rPr>
          <w:color w:val="231F20"/>
          <w:spacing w:val="-6"/>
        </w:rPr>
        <w:t>are</w:t>
      </w:r>
      <w:r>
        <w:rPr>
          <w:color w:val="231F20"/>
          <w:spacing w:val="-8"/>
        </w:rPr>
        <w:t> </w:t>
      </w:r>
      <w:r>
        <w:rPr>
          <w:color w:val="231F20"/>
          <w:spacing w:val="-6"/>
        </w:rPr>
        <w:t>larger</w:t>
      </w:r>
      <w:r>
        <w:rPr>
          <w:color w:val="231F20"/>
          <w:spacing w:val="-8"/>
        </w:rPr>
        <w:t> </w:t>
      </w:r>
      <w:r>
        <w:rPr>
          <w:color w:val="231F20"/>
          <w:spacing w:val="-6"/>
        </w:rPr>
        <w:t>for</w:t>
      </w:r>
      <w:r>
        <w:rPr>
          <w:color w:val="231F20"/>
          <w:spacing w:val="-8"/>
        </w:rPr>
        <w:t> </w:t>
      </w:r>
      <w:r>
        <w:rPr>
          <w:color w:val="231F20"/>
          <w:spacing w:val="-6"/>
        </w:rPr>
        <w:t>small</w:t>
      </w:r>
      <w:r>
        <w:rPr>
          <w:color w:val="231F20"/>
          <w:spacing w:val="-7"/>
        </w:rPr>
        <w:t> </w:t>
      </w:r>
      <w:r>
        <w:rPr>
          <w:color w:val="231F20"/>
          <w:spacing w:val="-6"/>
        </w:rPr>
        <w:t>markets</w:t>
      </w:r>
      <w:r>
        <w:rPr>
          <w:color w:val="231F20"/>
          <w:spacing w:val="-8"/>
        </w:rPr>
        <w:t> </w:t>
      </w:r>
      <w:r>
        <w:rPr>
          <w:color w:val="231F20"/>
          <w:spacing w:val="-6"/>
        </w:rPr>
        <w:t>with</w:t>
      </w:r>
      <w:r>
        <w:rPr>
          <w:color w:val="231F20"/>
          <w:spacing w:val="-8"/>
        </w:rPr>
        <w:t> </w:t>
      </w:r>
      <w:r>
        <w:rPr>
          <w:color w:val="231F20"/>
          <w:spacing w:val="-6"/>
        </w:rPr>
        <w:t>few</w:t>
      </w:r>
      <w:r>
        <w:rPr>
          <w:color w:val="231F20"/>
          <w:spacing w:val="-8"/>
        </w:rPr>
        <w:t> </w:t>
      </w:r>
      <w:r>
        <w:rPr>
          <w:color w:val="231F20"/>
          <w:spacing w:val="-6"/>
        </w:rPr>
        <w:t>respon- </w:t>
      </w:r>
      <w:r>
        <w:rPr>
          <w:color w:val="231F20"/>
          <w:spacing w:val="-2"/>
        </w:rPr>
        <w:t>dents,</w:t>
      </w:r>
      <w:r>
        <w:rPr>
          <w:color w:val="231F20"/>
          <w:spacing w:val="-11"/>
        </w:rPr>
        <w:t> </w:t>
      </w:r>
      <w:r>
        <w:rPr>
          <w:color w:val="231F20"/>
          <w:spacing w:val="-2"/>
        </w:rPr>
        <w:t>since</w:t>
      </w:r>
      <w:r>
        <w:rPr>
          <w:color w:val="231F20"/>
          <w:spacing w:val="-11"/>
        </w:rPr>
        <w:t> </w:t>
      </w:r>
      <w:r>
        <w:rPr>
          <w:color w:val="231F20"/>
          <w:spacing w:val="-2"/>
        </w:rPr>
        <w:t>these</w:t>
      </w:r>
      <w:r>
        <w:rPr>
          <w:color w:val="231F20"/>
          <w:spacing w:val="-11"/>
        </w:rPr>
        <w:t> </w:t>
      </w:r>
      <w:r>
        <w:rPr>
          <w:color w:val="231F20"/>
          <w:spacing w:val="-2"/>
        </w:rPr>
        <w:t>estimates</w:t>
      </w:r>
      <w:r>
        <w:rPr>
          <w:color w:val="231F20"/>
          <w:spacing w:val="-11"/>
        </w:rPr>
        <w:t> </w:t>
      </w:r>
      <w:r>
        <w:rPr>
          <w:color w:val="231F20"/>
          <w:spacing w:val="-2"/>
        </w:rPr>
        <w:t>are</w:t>
      </w:r>
      <w:r>
        <w:rPr>
          <w:color w:val="231F20"/>
          <w:spacing w:val="-11"/>
        </w:rPr>
        <w:t> </w:t>
      </w:r>
      <w:r>
        <w:rPr>
          <w:color w:val="231F20"/>
          <w:spacing w:val="-2"/>
        </w:rPr>
        <w:t>less</w:t>
      </w:r>
      <w:r>
        <w:rPr>
          <w:color w:val="231F20"/>
          <w:spacing w:val="-11"/>
        </w:rPr>
        <w:t> </w:t>
      </w:r>
      <w:r>
        <w:rPr>
          <w:color w:val="231F20"/>
          <w:spacing w:val="-2"/>
        </w:rPr>
        <w:t>certain. The</w:t>
      </w:r>
      <w:r>
        <w:rPr>
          <w:color w:val="231F20"/>
          <w:spacing w:val="-10"/>
        </w:rPr>
        <w:t> </w:t>
      </w:r>
      <w:r>
        <w:rPr>
          <w:color w:val="231F20"/>
          <w:spacing w:val="-2"/>
        </w:rPr>
        <w:t>average</w:t>
      </w:r>
      <w:r>
        <w:rPr>
          <w:color w:val="231F20"/>
          <w:spacing w:val="-10"/>
        </w:rPr>
        <w:t> </w:t>
      </w:r>
      <w:r>
        <w:rPr>
          <w:color w:val="231F20"/>
          <w:spacing w:val="-2"/>
        </w:rPr>
        <w:t>confidence</w:t>
      </w:r>
      <w:r>
        <w:rPr>
          <w:color w:val="231F20"/>
          <w:spacing w:val="-10"/>
        </w:rPr>
        <w:t> </w:t>
      </w:r>
      <w:r>
        <w:rPr>
          <w:color w:val="231F20"/>
          <w:spacing w:val="-2"/>
        </w:rPr>
        <w:t>interval</w:t>
      </w:r>
      <w:r>
        <w:rPr>
          <w:color w:val="231F20"/>
          <w:spacing w:val="-10"/>
        </w:rPr>
        <w:t> </w:t>
      </w:r>
      <w:r>
        <w:rPr>
          <w:color w:val="231F20"/>
          <w:spacing w:val="-2"/>
        </w:rPr>
        <w:t>on</w:t>
      </w:r>
      <w:r>
        <w:rPr>
          <w:color w:val="231F20"/>
          <w:spacing w:val="-10"/>
        </w:rPr>
        <w:t> </w:t>
      </w:r>
      <w:r>
        <w:rPr>
          <w:color w:val="231F20"/>
          <w:spacing w:val="-2"/>
        </w:rPr>
        <w:t>the</w:t>
      </w:r>
      <w:r>
        <w:rPr>
          <w:color w:val="231F20"/>
          <w:spacing w:val="-10"/>
        </w:rPr>
        <w:t> </w:t>
      </w:r>
      <w:r>
        <w:rPr>
          <w:color w:val="231F20"/>
          <w:spacing w:val="-2"/>
        </w:rPr>
        <w:t>1–5 </w:t>
      </w:r>
      <w:r>
        <w:rPr>
          <w:color w:val="231F20"/>
          <w:w w:val="90"/>
        </w:rPr>
        <w:t>scale is 0.25, or about 8 percent of the average </w:t>
      </w:r>
      <w:r>
        <w:rPr>
          <w:color w:val="231F20"/>
          <w:spacing w:val="-4"/>
        </w:rPr>
        <w:t>country’s</w:t>
      </w:r>
      <w:r>
        <w:rPr>
          <w:color w:val="231F20"/>
          <w:spacing w:val="-10"/>
        </w:rPr>
        <w:t> </w:t>
      </w:r>
      <w:r>
        <w:rPr>
          <w:color w:val="231F20"/>
          <w:spacing w:val="-4"/>
        </w:rPr>
        <w:t>LPI</w:t>
      </w:r>
      <w:r>
        <w:rPr>
          <w:color w:val="231F20"/>
          <w:spacing w:val="-10"/>
        </w:rPr>
        <w:t> </w:t>
      </w:r>
      <w:r>
        <w:rPr>
          <w:color w:val="231F20"/>
          <w:spacing w:val="-4"/>
        </w:rPr>
        <w:t>score.</w:t>
      </w:r>
      <w:r>
        <w:rPr>
          <w:color w:val="231F20"/>
          <w:spacing w:val="-10"/>
        </w:rPr>
        <w:t> </w:t>
      </w:r>
      <w:r>
        <w:rPr>
          <w:color w:val="231F20"/>
          <w:spacing w:val="-4"/>
        </w:rPr>
        <w:t>Hence,</w:t>
      </w:r>
      <w:r>
        <w:rPr>
          <w:color w:val="231F20"/>
          <w:spacing w:val="-9"/>
        </w:rPr>
        <w:t> </w:t>
      </w:r>
      <w:r>
        <w:rPr>
          <w:color w:val="231F20"/>
          <w:spacing w:val="-4"/>
        </w:rPr>
        <w:t>caution</w:t>
      </w:r>
      <w:r>
        <w:rPr>
          <w:color w:val="231F20"/>
          <w:spacing w:val="-10"/>
        </w:rPr>
        <w:t> </w:t>
      </w:r>
      <w:r>
        <w:rPr>
          <w:color w:val="231F20"/>
          <w:spacing w:val="-4"/>
        </w:rPr>
        <w:t>must</w:t>
      </w:r>
      <w:r>
        <w:rPr>
          <w:color w:val="231F20"/>
          <w:spacing w:val="-10"/>
        </w:rPr>
        <w:t> </w:t>
      </w:r>
      <w:r>
        <w:rPr>
          <w:color w:val="231F20"/>
          <w:spacing w:val="-4"/>
        </w:rPr>
        <w:t>be taken</w:t>
      </w:r>
      <w:r>
        <w:rPr>
          <w:color w:val="231F20"/>
          <w:spacing w:val="-9"/>
        </w:rPr>
        <w:t> </w:t>
      </w:r>
      <w:r>
        <w:rPr>
          <w:color w:val="231F20"/>
          <w:spacing w:val="-4"/>
        </w:rPr>
        <w:t>when</w:t>
      </w:r>
      <w:r>
        <w:rPr>
          <w:color w:val="231F20"/>
          <w:spacing w:val="-9"/>
        </w:rPr>
        <w:t> </w:t>
      </w:r>
      <w:r>
        <w:rPr>
          <w:color w:val="231F20"/>
          <w:spacing w:val="-4"/>
        </w:rPr>
        <w:t>interpreting</w:t>
      </w:r>
      <w:r>
        <w:rPr>
          <w:color w:val="231F20"/>
          <w:spacing w:val="-9"/>
        </w:rPr>
        <w:t> </w:t>
      </w:r>
      <w:r>
        <w:rPr>
          <w:color w:val="231F20"/>
          <w:spacing w:val="-4"/>
        </w:rPr>
        <w:t>small</w:t>
      </w:r>
      <w:r>
        <w:rPr>
          <w:color w:val="231F20"/>
          <w:spacing w:val="-9"/>
        </w:rPr>
        <w:t> </w:t>
      </w:r>
      <w:r>
        <w:rPr>
          <w:color w:val="231F20"/>
          <w:spacing w:val="-4"/>
        </w:rPr>
        <w:t>differences</w:t>
      </w:r>
      <w:r>
        <w:rPr>
          <w:color w:val="231F20"/>
          <w:spacing w:val="-9"/>
        </w:rPr>
        <w:t> </w:t>
      </w:r>
      <w:r>
        <w:rPr>
          <w:color w:val="231F20"/>
          <w:spacing w:val="-4"/>
        </w:rPr>
        <w:t>in </w:t>
      </w:r>
      <w:r>
        <w:rPr>
          <w:color w:val="231F20"/>
        </w:rPr>
        <w:t>LPI</w:t>
      </w:r>
      <w:r>
        <w:rPr>
          <w:color w:val="231F20"/>
          <w:spacing w:val="-14"/>
        </w:rPr>
        <w:t> </w:t>
      </w:r>
      <w:r>
        <w:rPr>
          <w:color w:val="231F20"/>
        </w:rPr>
        <w:t>scores.</w:t>
      </w:r>
    </w:p>
    <w:p>
      <w:pPr>
        <w:pStyle w:val="BodyText"/>
        <w:spacing w:line="268" w:lineRule="auto" w:before="1"/>
        <w:ind w:left="197" w:right="657" w:firstLine="300"/>
        <w:jc w:val="both"/>
      </w:pPr>
      <w:r>
        <w:rPr>
          <w:color w:val="231F20"/>
          <w:spacing w:val="-2"/>
        </w:rPr>
        <w:t>LPI</w:t>
      </w:r>
      <w:r>
        <w:rPr>
          <w:color w:val="231F20"/>
          <w:spacing w:val="-10"/>
        </w:rPr>
        <w:t> </w:t>
      </w:r>
      <w:r>
        <w:rPr>
          <w:color w:val="231F20"/>
          <w:spacing w:val="-2"/>
        </w:rPr>
        <w:t>scores</w:t>
      </w:r>
      <w:r>
        <w:rPr>
          <w:color w:val="231F20"/>
          <w:spacing w:val="-10"/>
        </w:rPr>
        <w:t> </w:t>
      </w:r>
      <w:r>
        <w:rPr>
          <w:color w:val="231F20"/>
          <w:spacing w:val="-2"/>
        </w:rPr>
        <w:t>have</w:t>
      </w:r>
      <w:r>
        <w:rPr>
          <w:color w:val="231F20"/>
          <w:spacing w:val="-10"/>
        </w:rPr>
        <w:t> </w:t>
      </w:r>
      <w:r>
        <w:rPr>
          <w:color w:val="231F20"/>
          <w:spacing w:val="-2"/>
        </w:rPr>
        <w:t>two</w:t>
      </w:r>
      <w:r>
        <w:rPr>
          <w:color w:val="231F20"/>
          <w:spacing w:val="-10"/>
        </w:rPr>
        <w:t> </w:t>
      </w:r>
      <w:r>
        <w:rPr>
          <w:color w:val="231F20"/>
          <w:spacing w:val="-2"/>
        </w:rPr>
        <w:t>limitations.</w:t>
      </w:r>
      <w:r>
        <w:rPr>
          <w:color w:val="231F20"/>
          <w:spacing w:val="-10"/>
        </w:rPr>
        <w:t> </w:t>
      </w:r>
      <w:r>
        <w:rPr>
          <w:color w:val="231F20"/>
          <w:spacing w:val="-2"/>
        </w:rPr>
        <w:t>First,</w:t>
      </w:r>
      <w:r>
        <w:rPr>
          <w:color w:val="231F20"/>
          <w:spacing w:val="-10"/>
        </w:rPr>
        <w:t> </w:t>
      </w:r>
      <w:r>
        <w:rPr>
          <w:color w:val="231F20"/>
          <w:spacing w:val="-2"/>
        </w:rPr>
        <w:t>the experience</w:t>
      </w:r>
      <w:r>
        <w:rPr>
          <w:color w:val="231F20"/>
          <w:spacing w:val="-12"/>
        </w:rPr>
        <w:t> </w:t>
      </w:r>
      <w:r>
        <w:rPr>
          <w:color w:val="231F20"/>
          <w:spacing w:val="-2"/>
        </w:rPr>
        <w:t>of</w:t>
      </w:r>
      <w:r>
        <w:rPr>
          <w:color w:val="231F20"/>
          <w:spacing w:val="-11"/>
        </w:rPr>
        <w:t> </w:t>
      </w:r>
      <w:r>
        <w:rPr>
          <w:color w:val="231F20"/>
          <w:spacing w:val="-2"/>
        </w:rPr>
        <w:t>international</w:t>
      </w:r>
      <w:r>
        <w:rPr>
          <w:color w:val="231F20"/>
          <w:spacing w:val="-11"/>
        </w:rPr>
        <w:t> </w:t>
      </w:r>
      <w:r>
        <w:rPr>
          <w:color w:val="231F20"/>
          <w:spacing w:val="-2"/>
        </w:rPr>
        <w:t>freight</w:t>
      </w:r>
      <w:r>
        <w:rPr>
          <w:color w:val="231F20"/>
          <w:spacing w:val="-11"/>
        </w:rPr>
        <w:t> </w:t>
      </w:r>
      <w:r>
        <w:rPr>
          <w:color w:val="231F20"/>
          <w:spacing w:val="-2"/>
        </w:rPr>
        <w:t>forwarders </w:t>
      </w:r>
      <w:r>
        <w:rPr>
          <w:color w:val="231F20"/>
          <w:spacing w:val="-4"/>
        </w:rPr>
        <w:t>might</w:t>
      </w:r>
      <w:r>
        <w:rPr>
          <w:color w:val="231F20"/>
          <w:spacing w:val="-5"/>
        </w:rPr>
        <w:t> </w:t>
      </w:r>
      <w:r>
        <w:rPr>
          <w:color w:val="231F20"/>
          <w:spacing w:val="-4"/>
        </w:rPr>
        <w:t>not</w:t>
      </w:r>
      <w:r>
        <w:rPr>
          <w:color w:val="231F20"/>
          <w:spacing w:val="-5"/>
        </w:rPr>
        <w:t> </w:t>
      </w:r>
      <w:r>
        <w:rPr>
          <w:color w:val="231F20"/>
          <w:spacing w:val="-4"/>
        </w:rPr>
        <w:t>represent</w:t>
      </w:r>
      <w:r>
        <w:rPr>
          <w:color w:val="231F20"/>
          <w:spacing w:val="-5"/>
        </w:rPr>
        <w:t> </w:t>
      </w:r>
      <w:r>
        <w:rPr>
          <w:color w:val="231F20"/>
          <w:spacing w:val="-4"/>
        </w:rPr>
        <w:t>the</w:t>
      </w:r>
      <w:r>
        <w:rPr>
          <w:color w:val="231F20"/>
          <w:spacing w:val="-5"/>
        </w:rPr>
        <w:t> </w:t>
      </w:r>
      <w:r>
        <w:rPr>
          <w:color w:val="231F20"/>
          <w:spacing w:val="-4"/>
        </w:rPr>
        <w:t>broader</w:t>
      </w:r>
      <w:r>
        <w:rPr>
          <w:color w:val="231F20"/>
          <w:spacing w:val="-5"/>
        </w:rPr>
        <w:t> </w:t>
      </w:r>
      <w:r>
        <w:rPr>
          <w:color w:val="231F20"/>
          <w:spacing w:val="-4"/>
        </w:rPr>
        <w:t>logistics</w:t>
      </w:r>
      <w:r>
        <w:rPr>
          <w:color w:val="231F20"/>
          <w:spacing w:val="-5"/>
        </w:rPr>
        <w:t> </w:t>
      </w:r>
      <w:r>
        <w:rPr>
          <w:color w:val="231F20"/>
          <w:spacing w:val="-4"/>
        </w:rPr>
        <w:t>envi- </w:t>
      </w:r>
      <w:r>
        <w:rPr>
          <w:color w:val="231F20"/>
        </w:rPr>
        <w:t>ronment</w:t>
      </w:r>
      <w:r>
        <w:rPr>
          <w:color w:val="231F20"/>
          <w:spacing w:val="-14"/>
        </w:rPr>
        <w:t> </w:t>
      </w:r>
      <w:r>
        <w:rPr>
          <w:color w:val="231F20"/>
        </w:rPr>
        <w:t>in</w:t>
      </w:r>
      <w:r>
        <w:rPr>
          <w:color w:val="231F20"/>
          <w:spacing w:val="-13"/>
        </w:rPr>
        <w:t> </w:t>
      </w:r>
      <w:r>
        <w:rPr>
          <w:color w:val="231F20"/>
        </w:rPr>
        <w:t>poor</w:t>
      </w:r>
      <w:r>
        <w:rPr>
          <w:color w:val="231F20"/>
          <w:spacing w:val="-13"/>
        </w:rPr>
        <w:t> </w:t>
      </w:r>
      <w:r>
        <w:rPr>
          <w:color w:val="231F20"/>
        </w:rPr>
        <w:t>countries,</w:t>
      </w:r>
      <w:r>
        <w:rPr>
          <w:color w:val="231F20"/>
          <w:spacing w:val="-13"/>
        </w:rPr>
        <w:t> </w:t>
      </w:r>
      <w:r>
        <w:rPr>
          <w:color w:val="231F20"/>
        </w:rPr>
        <w:t>which</w:t>
      </w:r>
      <w:r>
        <w:rPr>
          <w:color w:val="231F20"/>
          <w:spacing w:val="-13"/>
        </w:rPr>
        <w:t> </w:t>
      </w:r>
      <w:r>
        <w:rPr>
          <w:color w:val="231F20"/>
        </w:rPr>
        <w:t>often</w:t>
      </w:r>
      <w:r>
        <w:rPr>
          <w:color w:val="231F20"/>
          <w:spacing w:val="-13"/>
        </w:rPr>
        <w:t> </w:t>
      </w:r>
      <w:r>
        <w:rPr>
          <w:color w:val="231F20"/>
        </w:rPr>
        <w:t>relies </w:t>
      </w:r>
      <w:r>
        <w:rPr>
          <w:color w:val="231F20"/>
          <w:spacing w:val="-4"/>
        </w:rPr>
        <w:t>on</w:t>
      </w:r>
      <w:r>
        <w:rPr>
          <w:color w:val="231F20"/>
          <w:spacing w:val="-9"/>
        </w:rPr>
        <w:t> </w:t>
      </w:r>
      <w:r>
        <w:rPr>
          <w:color w:val="231F20"/>
          <w:spacing w:val="-4"/>
        </w:rPr>
        <w:t>traditional</w:t>
      </w:r>
      <w:r>
        <w:rPr>
          <w:color w:val="231F20"/>
          <w:spacing w:val="-9"/>
        </w:rPr>
        <w:t> </w:t>
      </w:r>
      <w:r>
        <w:rPr>
          <w:color w:val="231F20"/>
          <w:spacing w:val="-4"/>
        </w:rPr>
        <w:t>operators.</w:t>
      </w:r>
      <w:r>
        <w:rPr>
          <w:color w:val="231F20"/>
          <w:spacing w:val="-9"/>
        </w:rPr>
        <w:t> </w:t>
      </w:r>
      <w:r>
        <w:rPr>
          <w:color w:val="231F20"/>
          <w:spacing w:val="-4"/>
        </w:rPr>
        <w:t>And</w:t>
      </w:r>
      <w:r>
        <w:rPr>
          <w:color w:val="231F20"/>
          <w:spacing w:val="-9"/>
        </w:rPr>
        <w:t> </w:t>
      </w:r>
      <w:r>
        <w:rPr>
          <w:color w:val="231F20"/>
          <w:spacing w:val="-4"/>
        </w:rPr>
        <w:t>international</w:t>
      </w:r>
      <w:r>
        <w:rPr>
          <w:color w:val="231F20"/>
          <w:spacing w:val="-9"/>
        </w:rPr>
        <w:t> </w:t>
      </w:r>
      <w:r>
        <w:rPr>
          <w:color w:val="231F20"/>
          <w:spacing w:val="-4"/>
        </w:rPr>
        <w:t>and traditional</w:t>
      </w:r>
      <w:r>
        <w:rPr>
          <w:color w:val="231F20"/>
          <w:spacing w:val="-10"/>
        </w:rPr>
        <w:t> </w:t>
      </w:r>
      <w:r>
        <w:rPr>
          <w:color w:val="231F20"/>
          <w:spacing w:val="-4"/>
        </w:rPr>
        <w:t>operators</w:t>
      </w:r>
      <w:r>
        <w:rPr>
          <w:color w:val="231F20"/>
          <w:spacing w:val="-9"/>
        </w:rPr>
        <w:t> </w:t>
      </w:r>
      <w:r>
        <w:rPr>
          <w:color w:val="231F20"/>
          <w:spacing w:val="-4"/>
        </w:rPr>
        <w:t>might</w:t>
      </w:r>
      <w:r>
        <w:rPr>
          <w:color w:val="231F20"/>
          <w:spacing w:val="-9"/>
        </w:rPr>
        <w:t> </w:t>
      </w:r>
      <w:r>
        <w:rPr>
          <w:color w:val="231F20"/>
          <w:spacing w:val="-4"/>
        </w:rPr>
        <w:t>differ</w:t>
      </w:r>
      <w:r>
        <w:rPr>
          <w:color w:val="231F20"/>
          <w:spacing w:val="-9"/>
        </w:rPr>
        <w:t> </w:t>
      </w:r>
      <w:r>
        <w:rPr>
          <w:color w:val="231F20"/>
          <w:spacing w:val="-4"/>
        </w:rPr>
        <w:t>in</w:t>
      </w:r>
      <w:r>
        <w:rPr>
          <w:color w:val="231F20"/>
          <w:spacing w:val="-9"/>
        </w:rPr>
        <w:t> </w:t>
      </w:r>
      <w:r>
        <w:rPr>
          <w:color w:val="231F20"/>
          <w:spacing w:val="-4"/>
        </w:rPr>
        <w:t>their</w:t>
      </w:r>
      <w:r>
        <w:rPr>
          <w:color w:val="231F20"/>
          <w:spacing w:val="-9"/>
        </w:rPr>
        <w:t> </w:t>
      </w:r>
      <w:r>
        <w:rPr>
          <w:color w:val="231F20"/>
          <w:spacing w:val="-4"/>
        </w:rPr>
        <w:t>inter- </w:t>
      </w:r>
      <w:r>
        <w:rPr>
          <w:color w:val="231F20"/>
          <w:w w:val="90"/>
        </w:rPr>
        <w:t>actions with government agencies—and in their service levels. Second, for landlocked countries and small island states, the LPI might reflect ac- cess</w:t>
      </w:r>
      <w:r>
        <w:rPr>
          <w:color w:val="231F20"/>
          <w:spacing w:val="-2"/>
          <w:w w:val="90"/>
        </w:rPr>
        <w:t> </w:t>
      </w:r>
      <w:r>
        <w:rPr>
          <w:color w:val="231F20"/>
          <w:w w:val="90"/>
        </w:rPr>
        <w:t>problems</w:t>
      </w:r>
      <w:r>
        <w:rPr>
          <w:color w:val="231F20"/>
          <w:spacing w:val="-2"/>
          <w:w w:val="90"/>
        </w:rPr>
        <w:t> </w:t>
      </w:r>
      <w:r>
        <w:rPr>
          <w:color w:val="231F20"/>
          <w:w w:val="90"/>
        </w:rPr>
        <w:t>outside</w:t>
      </w:r>
      <w:r>
        <w:rPr>
          <w:color w:val="231F20"/>
          <w:spacing w:val="-2"/>
          <w:w w:val="90"/>
        </w:rPr>
        <w:t> </w:t>
      </w:r>
      <w:r>
        <w:rPr>
          <w:color w:val="231F20"/>
          <w:w w:val="90"/>
        </w:rPr>
        <w:t>the</w:t>
      </w:r>
      <w:r>
        <w:rPr>
          <w:color w:val="231F20"/>
          <w:spacing w:val="-2"/>
          <w:w w:val="90"/>
        </w:rPr>
        <w:t> </w:t>
      </w:r>
      <w:r>
        <w:rPr>
          <w:color w:val="231F20"/>
          <w:w w:val="90"/>
        </w:rPr>
        <w:t>country</w:t>
      </w:r>
      <w:r>
        <w:rPr>
          <w:color w:val="231F20"/>
          <w:spacing w:val="-2"/>
          <w:w w:val="90"/>
        </w:rPr>
        <w:t> </w:t>
      </w:r>
      <w:r>
        <w:rPr>
          <w:color w:val="231F20"/>
          <w:w w:val="90"/>
        </w:rPr>
        <w:t>assessed,</w:t>
      </w:r>
      <w:r>
        <w:rPr>
          <w:color w:val="231F20"/>
          <w:spacing w:val="-2"/>
          <w:w w:val="90"/>
        </w:rPr>
        <w:t> </w:t>
      </w:r>
      <w:r>
        <w:rPr>
          <w:color w:val="231F20"/>
          <w:w w:val="90"/>
        </w:rPr>
        <w:t>such </w:t>
      </w:r>
      <w:r>
        <w:rPr>
          <w:color w:val="231F20"/>
          <w:spacing w:val="-4"/>
        </w:rPr>
        <w:t>as</w:t>
      </w:r>
      <w:r>
        <w:rPr>
          <w:color w:val="231F20"/>
          <w:spacing w:val="-8"/>
        </w:rPr>
        <w:t> </w:t>
      </w:r>
      <w:r>
        <w:rPr>
          <w:color w:val="231F20"/>
          <w:spacing w:val="-4"/>
        </w:rPr>
        <w:t>transit</w:t>
      </w:r>
      <w:r>
        <w:rPr>
          <w:color w:val="231F20"/>
          <w:spacing w:val="-8"/>
        </w:rPr>
        <w:t> </w:t>
      </w:r>
      <w:r>
        <w:rPr>
          <w:color w:val="231F20"/>
          <w:spacing w:val="-4"/>
        </w:rPr>
        <w:t>difficulties.</w:t>
      </w:r>
      <w:r>
        <w:rPr>
          <w:color w:val="231F20"/>
          <w:spacing w:val="-8"/>
        </w:rPr>
        <w:t> </w:t>
      </w:r>
      <w:r>
        <w:rPr>
          <w:color w:val="231F20"/>
          <w:spacing w:val="-4"/>
        </w:rPr>
        <w:t>The</w:t>
      </w:r>
      <w:r>
        <w:rPr>
          <w:color w:val="231F20"/>
          <w:spacing w:val="-8"/>
        </w:rPr>
        <w:t> </w:t>
      </w:r>
      <w:r>
        <w:rPr>
          <w:color w:val="231F20"/>
          <w:spacing w:val="-4"/>
        </w:rPr>
        <w:t>low</w:t>
      </w:r>
      <w:r>
        <w:rPr>
          <w:color w:val="231F20"/>
          <w:spacing w:val="-8"/>
        </w:rPr>
        <w:t> </w:t>
      </w:r>
      <w:r>
        <w:rPr>
          <w:color w:val="231F20"/>
          <w:spacing w:val="-4"/>
        </w:rPr>
        <w:t>rating</w:t>
      </w:r>
      <w:r>
        <w:rPr>
          <w:color w:val="231F20"/>
          <w:spacing w:val="-8"/>
        </w:rPr>
        <w:t> </w:t>
      </w:r>
      <w:r>
        <w:rPr>
          <w:color w:val="231F20"/>
          <w:spacing w:val="-4"/>
        </w:rPr>
        <w:t>of</w:t>
      </w:r>
      <w:r>
        <w:rPr>
          <w:color w:val="231F20"/>
          <w:spacing w:val="-8"/>
        </w:rPr>
        <w:t> </w:t>
      </w:r>
      <w:r>
        <w:rPr>
          <w:color w:val="231F20"/>
          <w:spacing w:val="-4"/>
        </w:rPr>
        <w:t>a</w:t>
      </w:r>
      <w:r>
        <w:rPr>
          <w:color w:val="231F20"/>
          <w:spacing w:val="-8"/>
        </w:rPr>
        <w:t> </w:t>
      </w:r>
      <w:r>
        <w:rPr>
          <w:color w:val="231F20"/>
          <w:spacing w:val="-4"/>
        </w:rPr>
        <w:t>land- locked</w:t>
      </w:r>
      <w:r>
        <w:rPr>
          <w:color w:val="231F20"/>
          <w:spacing w:val="-10"/>
        </w:rPr>
        <w:t> </w:t>
      </w:r>
      <w:r>
        <w:rPr>
          <w:color w:val="231F20"/>
          <w:spacing w:val="-4"/>
        </w:rPr>
        <w:t>country</w:t>
      </w:r>
      <w:r>
        <w:rPr>
          <w:color w:val="231F20"/>
          <w:spacing w:val="-9"/>
        </w:rPr>
        <w:t> </w:t>
      </w:r>
      <w:r>
        <w:rPr>
          <w:color w:val="231F20"/>
          <w:spacing w:val="-4"/>
        </w:rPr>
        <w:t>might</w:t>
      </w:r>
      <w:r>
        <w:rPr>
          <w:color w:val="231F20"/>
          <w:spacing w:val="-9"/>
        </w:rPr>
        <w:t> </w:t>
      </w:r>
      <w:r>
        <w:rPr>
          <w:color w:val="231F20"/>
          <w:spacing w:val="-4"/>
        </w:rPr>
        <w:t>not</w:t>
      </w:r>
      <w:r>
        <w:rPr>
          <w:color w:val="231F20"/>
          <w:spacing w:val="-9"/>
        </w:rPr>
        <w:t> </w:t>
      </w:r>
      <w:r>
        <w:rPr>
          <w:color w:val="231F20"/>
          <w:spacing w:val="-4"/>
        </w:rPr>
        <w:t>adequately</w:t>
      </w:r>
      <w:r>
        <w:rPr>
          <w:color w:val="231F20"/>
          <w:spacing w:val="-9"/>
        </w:rPr>
        <w:t> </w:t>
      </w:r>
      <w:r>
        <w:rPr>
          <w:color w:val="231F20"/>
          <w:spacing w:val="-4"/>
        </w:rPr>
        <w:t>reflect</w:t>
      </w:r>
      <w:r>
        <w:rPr>
          <w:color w:val="231F20"/>
          <w:spacing w:val="-9"/>
        </w:rPr>
        <w:t> </w:t>
      </w:r>
      <w:r>
        <w:rPr>
          <w:color w:val="231F20"/>
          <w:spacing w:val="-4"/>
        </w:rPr>
        <w:t>its </w:t>
      </w:r>
      <w:r>
        <w:rPr>
          <w:color w:val="231F20"/>
          <w:spacing w:val="-2"/>
        </w:rPr>
        <w:t>trade</w:t>
      </w:r>
      <w:r>
        <w:rPr>
          <w:color w:val="231F20"/>
          <w:spacing w:val="-12"/>
        </w:rPr>
        <w:t> </w:t>
      </w:r>
      <w:r>
        <w:rPr>
          <w:color w:val="231F20"/>
          <w:spacing w:val="-2"/>
        </w:rPr>
        <w:t>facilitation</w:t>
      </w:r>
      <w:r>
        <w:rPr>
          <w:color w:val="231F20"/>
          <w:spacing w:val="-11"/>
        </w:rPr>
        <w:t> </w:t>
      </w:r>
      <w:r>
        <w:rPr>
          <w:color w:val="231F20"/>
          <w:spacing w:val="-2"/>
        </w:rPr>
        <w:t>efforts,</w:t>
      </w:r>
      <w:r>
        <w:rPr>
          <w:color w:val="231F20"/>
          <w:spacing w:val="-11"/>
        </w:rPr>
        <w:t> </w:t>
      </w:r>
      <w:r>
        <w:rPr>
          <w:color w:val="231F20"/>
          <w:spacing w:val="-2"/>
        </w:rPr>
        <w:t>which</w:t>
      </w:r>
      <w:r>
        <w:rPr>
          <w:color w:val="231F20"/>
          <w:spacing w:val="-11"/>
        </w:rPr>
        <w:t> </w:t>
      </w:r>
      <w:r>
        <w:rPr>
          <w:color w:val="231F20"/>
          <w:spacing w:val="-2"/>
        </w:rPr>
        <w:t>depend</w:t>
      </w:r>
      <w:r>
        <w:rPr>
          <w:color w:val="231F20"/>
          <w:spacing w:val="-11"/>
        </w:rPr>
        <w:t> </w:t>
      </w:r>
      <w:r>
        <w:rPr>
          <w:color w:val="231F20"/>
          <w:spacing w:val="-2"/>
        </w:rPr>
        <w:t>on</w:t>
      </w:r>
      <w:r>
        <w:rPr>
          <w:color w:val="231F20"/>
          <w:spacing w:val="-11"/>
        </w:rPr>
        <w:t> </w:t>
      </w:r>
      <w:r>
        <w:rPr>
          <w:color w:val="231F20"/>
          <w:spacing w:val="-2"/>
        </w:rPr>
        <w:t>the </w:t>
      </w:r>
      <w:r>
        <w:rPr>
          <w:color w:val="231F20"/>
          <w:spacing w:val="-4"/>
        </w:rPr>
        <w:t>workings of complex international transit sys- </w:t>
      </w:r>
      <w:r>
        <w:rPr>
          <w:color w:val="231F20"/>
        </w:rPr>
        <w:t>tems.</w:t>
      </w:r>
      <w:r>
        <w:rPr>
          <w:color w:val="231F20"/>
          <w:spacing w:val="-14"/>
        </w:rPr>
        <w:t> </w:t>
      </w:r>
      <w:r>
        <w:rPr>
          <w:color w:val="231F20"/>
        </w:rPr>
        <w:t>Landlocked</w:t>
      </w:r>
      <w:r>
        <w:rPr>
          <w:color w:val="231F20"/>
          <w:spacing w:val="-13"/>
        </w:rPr>
        <w:t> </w:t>
      </w:r>
      <w:r>
        <w:rPr>
          <w:color w:val="231F20"/>
        </w:rPr>
        <w:t>countries</w:t>
      </w:r>
      <w:r>
        <w:rPr>
          <w:color w:val="231F20"/>
          <w:spacing w:val="-13"/>
        </w:rPr>
        <w:t> </w:t>
      </w:r>
      <w:r>
        <w:rPr>
          <w:color w:val="231F20"/>
        </w:rPr>
        <w:t>cannot</w:t>
      </w:r>
      <w:r>
        <w:rPr>
          <w:color w:val="231F20"/>
          <w:spacing w:val="-13"/>
        </w:rPr>
        <w:t> </w:t>
      </w:r>
      <w:r>
        <w:rPr>
          <w:color w:val="231F20"/>
        </w:rPr>
        <w:t>eliminate </w:t>
      </w:r>
      <w:r>
        <w:rPr>
          <w:color w:val="231F20"/>
          <w:spacing w:val="-2"/>
        </w:rPr>
        <w:t>transit</w:t>
      </w:r>
      <w:r>
        <w:rPr>
          <w:color w:val="231F20"/>
          <w:spacing w:val="-9"/>
        </w:rPr>
        <w:t> </w:t>
      </w:r>
      <w:r>
        <w:rPr>
          <w:color w:val="231F20"/>
          <w:spacing w:val="-2"/>
        </w:rPr>
        <w:t>inefficiencies</w:t>
      </w:r>
      <w:r>
        <w:rPr>
          <w:color w:val="231F20"/>
          <w:spacing w:val="-9"/>
        </w:rPr>
        <w:t> </w:t>
      </w:r>
      <w:r>
        <w:rPr>
          <w:color w:val="231F20"/>
          <w:spacing w:val="-2"/>
        </w:rPr>
        <w:t>with</w:t>
      </w:r>
      <w:r>
        <w:rPr>
          <w:color w:val="231F20"/>
          <w:spacing w:val="-9"/>
        </w:rPr>
        <w:t> </w:t>
      </w:r>
      <w:r>
        <w:rPr>
          <w:color w:val="231F20"/>
          <w:spacing w:val="-2"/>
        </w:rPr>
        <w:t>domestic</w:t>
      </w:r>
      <w:r>
        <w:rPr>
          <w:color w:val="231F20"/>
          <w:spacing w:val="-9"/>
        </w:rPr>
        <w:t> </w:t>
      </w:r>
      <w:r>
        <w:rPr>
          <w:color w:val="231F20"/>
          <w:spacing w:val="-2"/>
        </w:rPr>
        <w:t>reforms.</w:t>
      </w:r>
    </w:p>
    <w:p>
      <w:pPr>
        <w:spacing w:after="0" w:line="268" w:lineRule="auto"/>
        <w:jc w:val="both"/>
        <w:sectPr>
          <w:type w:val="continuous"/>
          <w:pgSz w:w="12240" w:h="15840"/>
          <w:pgMar w:header="0" w:footer="548" w:top="1140" w:bottom="280" w:left="0" w:right="540"/>
          <w:cols w:num="2" w:equalWidth="0">
            <w:col w:w="7083" w:space="40"/>
            <w:col w:w="4577"/>
          </w:cols>
        </w:sectPr>
      </w:pPr>
    </w:p>
    <w:p>
      <w:pPr>
        <w:pStyle w:val="Heading1"/>
        <w:spacing w:line="230" w:lineRule="auto" w:before="110"/>
        <w:ind w:right="772"/>
      </w:pPr>
      <w:r>
        <w:rPr/>
        <mc:AlternateContent>
          <mc:Choice Requires="wps">
            <w:drawing>
              <wp:anchor distT="0" distB="0" distL="0" distR="0" allowOverlap="1" layoutInCell="1" locked="0" behindDoc="0" simplePos="0" relativeHeight="15787008">
                <wp:simplePos x="0" y="0"/>
                <wp:positionH relativeFrom="page">
                  <wp:posOffset>1542031</wp:posOffset>
                </wp:positionH>
                <wp:positionV relativeFrom="paragraph">
                  <wp:posOffset>800913</wp:posOffset>
                </wp:positionV>
                <wp:extent cx="159385" cy="628015"/>
                <wp:effectExtent l="0" t="0" r="0" b="0"/>
                <wp:wrapNone/>
                <wp:docPr id="1945" name="Textbox 1945"/>
                <wp:cNvGraphicFramePr>
                  <a:graphicFrameLocks/>
                </wp:cNvGraphicFramePr>
                <a:graphic>
                  <a:graphicData uri="http://schemas.microsoft.com/office/word/2010/wordprocessingShape">
                    <wps:wsp>
                      <wps:cNvPr id="1945" name="Textbox 1945"/>
                      <wps:cNvSpPr txBox="1"/>
                      <wps:spPr>
                        <a:xfrm>
                          <a:off x="0" y="0"/>
                          <a:ext cx="159385" cy="628015"/>
                        </a:xfrm>
                        <a:prstGeom prst="rect">
                          <a:avLst/>
                        </a:prstGeom>
                      </wps:spPr>
                      <wps:txbx>
                        <w:txbxContent>
                          <w:p>
                            <w:pPr>
                              <w:spacing w:before="28"/>
                              <w:ind w:left="20" w:right="0" w:firstLine="0"/>
                              <w:jc w:val="left"/>
                              <w:rPr>
                                <w:rFonts w:ascii="Arial"/>
                                <w:b/>
                                <w:sz w:val="17"/>
                              </w:rPr>
                            </w:pPr>
                            <w:r>
                              <w:rPr>
                                <w:rFonts w:ascii="Arial"/>
                                <w:b/>
                                <w:color w:val="231F20"/>
                                <w:spacing w:val="-2"/>
                                <w:w w:val="110"/>
                                <w:sz w:val="17"/>
                              </w:rPr>
                              <w:t>APPENDIX</w:t>
                            </w:r>
                          </w:p>
                        </w:txbxContent>
                      </wps:txbx>
                      <wps:bodyPr wrap="square" lIns="0" tIns="0" rIns="0" bIns="0" rtlCol="0" vert="vert270">
                        <a:noAutofit/>
                      </wps:bodyPr>
                    </wps:wsp>
                  </a:graphicData>
                </a:graphic>
              </wp:anchor>
            </w:drawing>
          </mc:Choice>
          <mc:Fallback>
            <w:pict>
              <v:shape style="position:absolute;margin-left:121.4198pt;margin-top:63.064049pt;width:12.55pt;height:49.45pt;mso-position-horizontal-relative:page;mso-position-vertical-relative:paragraph;z-index:15787008" type="#_x0000_t202" id="docshape1670" filled="false" stroked="false">
                <v:textbox inset="0,0,0,0" style="layout-flow:vertical;mso-layout-flow-alt:bottom-to-top">
                  <w:txbxContent>
                    <w:p>
                      <w:pPr>
                        <w:spacing w:before="28"/>
                        <w:ind w:left="20" w:right="0" w:firstLine="0"/>
                        <w:jc w:val="left"/>
                        <w:rPr>
                          <w:rFonts w:ascii="Arial"/>
                          <w:b/>
                          <w:sz w:val="17"/>
                        </w:rPr>
                      </w:pPr>
                      <w:r>
                        <w:rPr>
                          <w:rFonts w:ascii="Arial"/>
                          <w:b/>
                          <w:color w:val="231F20"/>
                          <w:spacing w:val="-2"/>
                          <w:w w:val="110"/>
                          <w:sz w:val="17"/>
                        </w:rPr>
                        <w:t>APPENDIX</w:t>
                      </w:r>
                    </w:p>
                  </w:txbxContent>
                </v:textbox>
                <w10:wrap type="none"/>
              </v:shape>
            </w:pict>
          </mc:Fallback>
        </mc:AlternateContent>
      </w:r>
      <w:r>
        <w:rPr/>
        <mc:AlternateContent>
          <mc:Choice Requires="wps">
            <w:drawing>
              <wp:anchor distT="0" distB="0" distL="0" distR="0" allowOverlap="1" layoutInCell="1" locked="0" behindDoc="0" simplePos="0" relativeHeight="15787520">
                <wp:simplePos x="0" y="0"/>
                <wp:positionH relativeFrom="page">
                  <wp:posOffset>1737370</wp:posOffset>
                </wp:positionH>
                <wp:positionV relativeFrom="paragraph">
                  <wp:posOffset>664718</wp:posOffset>
                </wp:positionV>
                <wp:extent cx="548640" cy="942340"/>
                <wp:effectExtent l="0" t="0" r="0" b="0"/>
                <wp:wrapNone/>
                <wp:docPr id="1946" name="Textbox 1946"/>
                <wp:cNvGraphicFramePr>
                  <a:graphicFrameLocks/>
                </wp:cNvGraphicFramePr>
                <a:graphic>
                  <a:graphicData uri="http://schemas.microsoft.com/office/word/2010/wordprocessingShape">
                    <wps:wsp>
                      <wps:cNvPr id="1946" name="Textbox 1946"/>
                      <wps:cNvSpPr txBox="1"/>
                      <wps:spPr>
                        <a:xfrm>
                          <a:off x="0" y="0"/>
                          <a:ext cx="548640" cy="942340"/>
                        </a:xfrm>
                        <a:prstGeom prst="rect">
                          <a:avLst/>
                        </a:prstGeom>
                      </wps:spPr>
                      <wps:txbx>
                        <w:txbxContent>
                          <w:p>
                            <w:pPr>
                              <w:spacing w:before="57"/>
                              <w:ind w:left="0" w:right="0" w:firstLine="0"/>
                              <w:jc w:val="left"/>
                              <w:rPr>
                                <w:rFonts w:ascii="Arial"/>
                                <w:b/>
                                <w:sz w:val="120"/>
                              </w:rPr>
                            </w:pPr>
                            <w:r>
                              <w:rPr>
                                <w:rFonts w:ascii="Arial"/>
                                <w:b/>
                                <w:color w:val="008FDD"/>
                                <w:spacing w:val="-10"/>
                                <w:w w:val="125"/>
                                <w:sz w:val="120"/>
                              </w:rPr>
                              <w:t>6</w:t>
                            </w:r>
                          </w:p>
                        </w:txbxContent>
                      </wps:txbx>
                      <wps:bodyPr wrap="square" lIns="0" tIns="0" rIns="0" bIns="0" rtlCol="0">
                        <a:noAutofit/>
                      </wps:bodyPr>
                    </wps:wsp>
                  </a:graphicData>
                </a:graphic>
              </wp:anchor>
            </w:drawing>
          </mc:Choice>
          <mc:Fallback>
            <w:pict>
              <v:shape style="position:absolute;margin-left:136.800797pt;margin-top:52.34pt;width:43.2pt;height:74.2pt;mso-position-horizontal-relative:page;mso-position-vertical-relative:paragraph;z-index:15787520" type="#_x0000_t202" id="docshape1671" filled="false" stroked="false">
                <v:textbox inset="0,0,0,0">
                  <w:txbxContent>
                    <w:p>
                      <w:pPr>
                        <w:spacing w:before="57"/>
                        <w:ind w:left="0" w:right="0" w:firstLine="0"/>
                        <w:jc w:val="left"/>
                        <w:rPr>
                          <w:rFonts w:ascii="Arial"/>
                          <w:b/>
                          <w:sz w:val="120"/>
                        </w:rPr>
                      </w:pPr>
                      <w:r>
                        <w:rPr>
                          <w:rFonts w:ascii="Arial"/>
                          <w:b/>
                          <w:color w:val="008FDD"/>
                          <w:spacing w:val="-10"/>
                          <w:w w:val="125"/>
                          <w:sz w:val="120"/>
                        </w:rPr>
                        <w:t>6</w:t>
                      </w:r>
                    </w:p>
                  </w:txbxContent>
                </v:textbox>
                <w10:wrap type="none"/>
              </v:shape>
            </w:pict>
          </mc:Fallback>
        </mc:AlternateContent>
      </w:r>
      <w:bookmarkStart w:name="_bookmark50" w:id="54"/>
      <w:bookmarkEnd w:id="54"/>
      <w:r>
        <w:rPr>
          <w:b w:val="0"/>
        </w:rPr>
      </w:r>
      <w:r>
        <w:rPr>
          <w:color w:val="231F20"/>
          <w:w w:val="105"/>
        </w:rPr>
        <w:t>Results from the LPI survey question on demand for environmentally sustainable shipping</w:t>
      </w:r>
      <w:r>
        <w:rPr>
          <w:color w:val="231F20"/>
          <w:spacing w:val="-24"/>
          <w:w w:val="105"/>
        </w:rPr>
        <w:t> </w:t>
      </w:r>
      <w:r>
        <w:rPr>
          <w:color w:val="231F20"/>
          <w:w w:val="105"/>
        </w:rPr>
        <w:t>options</w:t>
      </w:r>
      <w:r>
        <w:rPr>
          <w:color w:val="231F20"/>
          <w:spacing w:val="-24"/>
          <w:w w:val="105"/>
        </w:rPr>
        <w:t> </w:t>
      </w:r>
      <w:r>
        <w:rPr>
          <w:color w:val="231F20"/>
          <w:w w:val="105"/>
        </w:rPr>
        <w:t>and</w:t>
      </w:r>
      <w:r>
        <w:rPr>
          <w:color w:val="231F20"/>
          <w:spacing w:val="-23"/>
          <w:w w:val="105"/>
        </w:rPr>
        <w:t> </w:t>
      </w:r>
      <w:r>
        <w:rPr>
          <w:color w:val="231F20"/>
          <w:w w:val="105"/>
        </w:rPr>
        <w:t>on</w:t>
      </w:r>
      <w:r>
        <w:rPr>
          <w:color w:val="231F20"/>
          <w:spacing w:val="-24"/>
          <w:w w:val="105"/>
        </w:rPr>
        <w:t> </w:t>
      </w:r>
      <w:r>
        <w:rPr>
          <w:color w:val="231F20"/>
          <w:w w:val="105"/>
        </w:rPr>
        <w:t>changes</w:t>
      </w:r>
      <w:r>
        <w:rPr>
          <w:color w:val="231F20"/>
          <w:spacing w:val="-24"/>
          <w:w w:val="105"/>
        </w:rPr>
        <w:t> </w:t>
      </w:r>
      <w:r>
        <w:rPr>
          <w:color w:val="231F20"/>
          <w:w w:val="105"/>
        </w:rPr>
        <w:t>in global supply chains since 2019</w:t>
      </w:r>
    </w:p>
    <w:p>
      <w:pPr>
        <w:pStyle w:val="BodyText"/>
        <w:spacing w:before="8"/>
        <w:rPr>
          <w:rFonts w:ascii="Arial"/>
          <w:b/>
          <w:sz w:val="13"/>
        </w:rPr>
      </w:pPr>
      <w:r>
        <w:rPr/>
        <mc:AlternateContent>
          <mc:Choice Requires="wps">
            <w:drawing>
              <wp:anchor distT="0" distB="0" distL="0" distR="0" allowOverlap="1" layoutInCell="1" locked="0" behindDoc="1" simplePos="0" relativeHeight="487644672">
                <wp:simplePos x="0" y="0"/>
                <wp:positionH relativeFrom="page">
                  <wp:posOffset>762000</wp:posOffset>
                </wp:positionH>
                <wp:positionV relativeFrom="paragraph">
                  <wp:posOffset>115689</wp:posOffset>
                </wp:positionV>
                <wp:extent cx="1524000" cy="171450"/>
                <wp:effectExtent l="0" t="0" r="0" b="0"/>
                <wp:wrapTopAndBottom/>
                <wp:docPr id="1947" name="Graphic 1947"/>
                <wp:cNvGraphicFramePr>
                  <a:graphicFrameLocks/>
                </wp:cNvGraphicFramePr>
                <a:graphic>
                  <a:graphicData uri="http://schemas.microsoft.com/office/word/2010/wordprocessingShape">
                    <wps:wsp>
                      <wps:cNvPr id="1947" name="Graphic 1947"/>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9.109375pt;width:120pt;height:13.5pt;mso-position-horizontal-relative:page;mso-position-vertical-relative:paragraph;z-index:-15671808;mso-wrap-distance-left:0;mso-wrap-distance-right:0" id="docshape1672"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645184">
                <wp:simplePos x="0" y="0"/>
                <wp:positionH relativeFrom="page">
                  <wp:posOffset>2438400</wp:posOffset>
                </wp:positionH>
                <wp:positionV relativeFrom="paragraph">
                  <wp:posOffset>115689</wp:posOffset>
                </wp:positionV>
                <wp:extent cx="4876800" cy="171450"/>
                <wp:effectExtent l="0" t="0" r="0" b="0"/>
                <wp:wrapTopAndBottom/>
                <wp:docPr id="1948" name="Graphic 1948"/>
                <wp:cNvGraphicFramePr>
                  <a:graphicFrameLocks/>
                </wp:cNvGraphicFramePr>
                <a:graphic>
                  <a:graphicData uri="http://schemas.microsoft.com/office/word/2010/wordprocessingShape">
                    <wps:wsp>
                      <wps:cNvPr id="1948" name="Graphic 1948"/>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9.109375pt;width:384pt;height:13.5pt;mso-position-horizontal-relative:page;mso-position-vertical-relative:paragraph;z-index:-15671296;mso-wrap-distance-left:0;mso-wrap-distance-right:0" id="docshape1673" filled="true" fillcolor="#c9dcf3" stroked="false">
                <v:fill type="solid"/>
                <w10:wrap type="topAndBottom"/>
              </v:rect>
            </w:pict>
          </mc:Fallback>
        </mc:AlternateContent>
      </w:r>
    </w:p>
    <w:p>
      <w:pPr>
        <w:pStyle w:val="BodyText"/>
        <w:rPr>
          <w:rFonts w:ascii="Arial"/>
          <w:b/>
          <w:sz w:val="20"/>
        </w:rPr>
      </w:pPr>
    </w:p>
    <w:p>
      <w:pPr>
        <w:pStyle w:val="BodyText"/>
        <w:spacing w:before="136"/>
        <w:rPr>
          <w:rFonts w:ascii="Arial"/>
          <w:b/>
          <w:sz w:val="20"/>
        </w:rPr>
      </w:pPr>
      <w:r>
        <w:rPr/>
        <mc:AlternateContent>
          <mc:Choice Requires="wps">
            <w:drawing>
              <wp:anchor distT="0" distB="0" distL="0" distR="0" allowOverlap="1" layoutInCell="1" locked="0" behindDoc="1" simplePos="0" relativeHeight="487645696">
                <wp:simplePos x="0" y="0"/>
                <wp:positionH relativeFrom="page">
                  <wp:posOffset>762000</wp:posOffset>
                </wp:positionH>
                <wp:positionV relativeFrom="paragraph">
                  <wp:posOffset>260362</wp:posOffset>
                </wp:positionV>
                <wp:extent cx="6553200" cy="4037329"/>
                <wp:effectExtent l="0" t="0" r="0" b="0"/>
                <wp:wrapTopAndBottom/>
                <wp:docPr id="1949" name="Group 1949"/>
                <wp:cNvGraphicFramePr>
                  <a:graphicFrameLocks/>
                </wp:cNvGraphicFramePr>
                <a:graphic>
                  <a:graphicData uri="http://schemas.microsoft.com/office/word/2010/wordprocessingGroup">
                    <wpg:wgp>
                      <wpg:cNvPr id="1949" name="Group 1949"/>
                      <wpg:cNvGrpSpPr/>
                      <wpg:grpSpPr>
                        <a:xfrm>
                          <a:off x="0" y="0"/>
                          <a:ext cx="6553200" cy="4037329"/>
                          <a:chExt cx="6553200" cy="4037329"/>
                        </a:xfrm>
                      </wpg:grpSpPr>
                      <wps:wsp>
                        <wps:cNvPr id="1950" name="Graphic 1950"/>
                        <wps:cNvSpPr/>
                        <wps:spPr>
                          <a:xfrm>
                            <a:off x="201" y="385093"/>
                            <a:ext cx="6553200" cy="3651885"/>
                          </a:xfrm>
                          <a:custGeom>
                            <a:avLst/>
                            <a:gdLst/>
                            <a:ahLst/>
                            <a:cxnLst/>
                            <a:rect l="l" t="t" r="r" b="b"/>
                            <a:pathLst>
                              <a:path w="6553200" h="3651885">
                                <a:moveTo>
                                  <a:pt x="6552996" y="0"/>
                                </a:moveTo>
                                <a:lnTo>
                                  <a:pt x="0" y="0"/>
                                </a:lnTo>
                                <a:lnTo>
                                  <a:pt x="0" y="3576954"/>
                                </a:lnTo>
                                <a:lnTo>
                                  <a:pt x="6086" y="3605709"/>
                                </a:lnTo>
                                <a:lnTo>
                                  <a:pt x="6159" y="3606053"/>
                                </a:lnTo>
                                <a:lnTo>
                                  <a:pt x="22693" y="3629813"/>
                                </a:lnTo>
                                <a:lnTo>
                                  <a:pt x="46682" y="3645833"/>
                                </a:lnTo>
                                <a:lnTo>
                                  <a:pt x="75209" y="3651707"/>
                                </a:lnTo>
                                <a:lnTo>
                                  <a:pt x="6474117" y="3651707"/>
                                </a:lnTo>
                                <a:lnTo>
                                  <a:pt x="6503217" y="3646452"/>
                                </a:lnTo>
                                <a:lnTo>
                                  <a:pt x="6505063" y="3645357"/>
                                </a:lnTo>
                                <a:lnTo>
                                  <a:pt x="75209" y="3645357"/>
                                </a:lnTo>
                                <a:lnTo>
                                  <a:pt x="48703" y="3639884"/>
                                </a:lnTo>
                                <a:lnTo>
                                  <a:pt x="26782" y="3625062"/>
                                </a:lnTo>
                                <a:lnTo>
                                  <a:pt x="11860" y="3603287"/>
                                </a:lnTo>
                                <a:lnTo>
                                  <a:pt x="6350" y="3576954"/>
                                </a:lnTo>
                                <a:lnTo>
                                  <a:pt x="6350" y="6350"/>
                                </a:lnTo>
                                <a:lnTo>
                                  <a:pt x="6552996" y="6350"/>
                                </a:lnTo>
                                <a:lnTo>
                                  <a:pt x="6552996" y="0"/>
                                </a:lnTo>
                                <a:close/>
                              </a:path>
                              <a:path w="6553200" h="3651885">
                                <a:moveTo>
                                  <a:pt x="6552996" y="6350"/>
                                </a:moveTo>
                                <a:lnTo>
                                  <a:pt x="6546646" y="6350"/>
                                </a:lnTo>
                                <a:lnTo>
                                  <a:pt x="6546646" y="3576954"/>
                                </a:lnTo>
                                <a:lnTo>
                                  <a:pt x="6540327" y="3605709"/>
                                </a:lnTo>
                                <a:lnTo>
                                  <a:pt x="6523750" y="3627215"/>
                                </a:lnTo>
                                <a:lnTo>
                                  <a:pt x="6500489" y="3640691"/>
                                </a:lnTo>
                                <a:lnTo>
                                  <a:pt x="6474117" y="3645357"/>
                                </a:lnTo>
                                <a:lnTo>
                                  <a:pt x="6505063" y="3645357"/>
                                </a:lnTo>
                                <a:lnTo>
                                  <a:pt x="6528468" y="3631466"/>
                                </a:lnTo>
                                <a:lnTo>
                                  <a:pt x="6546263" y="3607912"/>
                                </a:lnTo>
                                <a:lnTo>
                                  <a:pt x="6552996" y="3576954"/>
                                </a:lnTo>
                                <a:lnTo>
                                  <a:pt x="6552996" y="6350"/>
                                </a:lnTo>
                                <a:close/>
                              </a:path>
                            </a:pathLst>
                          </a:custGeom>
                          <a:solidFill>
                            <a:srgbClr val="90BAE8"/>
                          </a:solidFill>
                        </wps:spPr>
                        <wps:bodyPr wrap="square" lIns="0" tIns="0" rIns="0" bIns="0" rtlCol="0">
                          <a:prstTxWarp prst="textNoShape">
                            <a:avLst/>
                          </a:prstTxWarp>
                          <a:noAutofit/>
                        </wps:bodyPr>
                      </wps:wsp>
                      <wps:wsp>
                        <wps:cNvPr id="1951" name="Graphic 1951"/>
                        <wps:cNvSpPr/>
                        <wps:spPr>
                          <a:xfrm>
                            <a:off x="0" y="0"/>
                            <a:ext cx="563245" cy="358775"/>
                          </a:xfrm>
                          <a:custGeom>
                            <a:avLst/>
                            <a:gdLst/>
                            <a:ahLst/>
                            <a:cxnLst/>
                            <a:rect l="l" t="t" r="r" b="b"/>
                            <a:pathLst>
                              <a:path w="563245" h="358775">
                                <a:moveTo>
                                  <a:pt x="562978" y="0"/>
                                </a:moveTo>
                                <a:lnTo>
                                  <a:pt x="76200" y="0"/>
                                </a:lnTo>
                                <a:lnTo>
                                  <a:pt x="47213" y="3058"/>
                                </a:lnTo>
                                <a:lnTo>
                                  <a:pt x="22917" y="14506"/>
                                </a:lnTo>
                                <a:lnTo>
                                  <a:pt x="6212" y="37751"/>
                                </a:lnTo>
                                <a:lnTo>
                                  <a:pt x="0" y="76200"/>
                                </a:lnTo>
                                <a:lnTo>
                                  <a:pt x="0" y="358775"/>
                                </a:lnTo>
                                <a:lnTo>
                                  <a:pt x="562978" y="358775"/>
                                </a:lnTo>
                                <a:lnTo>
                                  <a:pt x="562978" y="0"/>
                                </a:lnTo>
                                <a:close/>
                              </a:path>
                            </a:pathLst>
                          </a:custGeom>
                          <a:solidFill>
                            <a:srgbClr val="008FDD"/>
                          </a:solidFill>
                        </wps:spPr>
                        <wps:bodyPr wrap="square" lIns="0" tIns="0" rIns="0" bIns="0" rtlCol="0">
                          <a:prstTxWarp prst="textNoShape">
                            <a:avLst/>
                          </a:prstTxWarp>
                          <a:noAutofit/>
                        </wps:bodyPr>
                      </wps:wsp>
                      <wps:wsp>
                        <wps:cNvPr id="1952" name="Graphic 1952"/>
                        <wps:cNvSpPr/>
                        <wps:spPr>
                          <a:xfrm>
                            <a:off x="562983" y="0"/>
                            <a:ext cx="5989955" cy="358775"/>
                          </a:xfrm>
                          <a:custGeom>
                            <a:avLst/>
                            <a:gdLst/>
                            <a:ahLst/>
                            <a:cxnLst/>
                            <a:rect l="l" t="t" r="r" b="b"/>
                            <a:pathLst>
                              <a:path w="5989955" h="358775">
                                <a:moveTo>
                                  <a:pt x="5913323" y="0"/>
                                </a:moveTo>
                                <a:lnTo>
                                  <a:pt x="0" y="0"/>
                                </a:lnTo>
                                <a:lnTo>
                                  <a:pt x="0" y="358775"/>
                                </a:lnTo>
                                <a:lnTo>
                                  <a:pt x="5989523" y="358775"/>
                                </a:lnTo>
                                <a:lnTo>
                                  <a:pt x="5989523" y="76200"/>
                                </a:lnTo>
                                <a:lnTo>
                                  <a:pt x="5984017" y="50979"/>
                                </a:lnTo>
                                <a:lnTo>
                                  <a:pt x="5968492" y="26265"/>
                                </a:lnTo>
                                <a:lnTo>
                                  <a:pt x="5944431" y="7468"/>
                                </a:lnTo>
                                <a:lnTo>
                                  <a:pt x="5913323" y="0"/>
                                </a:lnTo>
                                <a:close/>
                              </a:path>
                            </a:pathLst>
                          </a:custGeom>
                          <a:solidFill>
                            <a:srgbClr val="808285"/>
                          </a:solidFill>
                        </wps:spPr>
                        <wps:bodyPr wrap="square" lIns="0" tIns="0" rIns="0" bIns="0" rtlCol="0">
                          <a:prstTxWarp prst="textNoShape">
                            <a:avLst/>
                          </a:prstTxWarp>
                          <a:noAutofit/>
                        </wps:bodyPr>
                      </wps:wsp>
                      <wps:wsp>
                        <wps:cNvPr id="1953" name="Graphic 1953"/>
                        <wps:cNvSpPr/>
                        <wps:spPr>
                          <a:xfrm>
                            <a:off x="562979" y="0"/>
                            <a:ext cx="1270" cy="367665"/>
                          </a:xfrm>
                          <a:custGeom>
                            <a:avLst/>
                            <a:gdLst/>
                            <a:ahLst/>
                            <a:cxnLst/>
                            <a:rect l="l" t="t" r="r" b="b"/>
                            <a:pathLst>
                              <a:path w="0" h="367665">
                                <a:moveTo>
                                  <a:pt x="0" y="0"/>
                                </a:moveTo>
                                <a:lnTo>
                                  <a:pt x="0" y="367487"/>
                                </a:lnTo>
                              </a:path>
                            </a:pathLst>
                          </a:custGeom>
                          <a:ln w="25400">
                            <a:solidFill>
                              <a:srgbClr val="FFFFFF"/>
                            </a:solidFill>
                            <a:prstDash val="solid"/>
                          </a:ln>
                        </wps:spPr>
                        <wps:bodyPr wrap="square" lIns="0" tIns="0" rIns="0" bIns="0" rtlCol="0">
                          <a:prstTxWarp prst="textNoShape">
                            <a:avLst/>
                          </a:prstTxWarp>
                          <a:noAutofit/>
                        </wps:bodyPr>
                      </wps:wsp>
                      <pic:pic>
                        <pic:nvPicPr>
                          <pic:cNvPr id="1954" name="Image 1954"/>
                          <pic:cNvPicPr/>
                        </pic:nvPicPr>
                        <pic:blipFill>
                          <a:blip r:embed="rId154" cstate="print"/>
                          <a:stretch>
                            <a:fillRect/>
                          </a:stretch>
                        </pic:blipFill>
                        <pic:spPr>
                          <a:xfrm>
                            <a:off x="264755" y="3577120"/>
                            <a:ext cx="283363" cy="121546"/>
                          </a:xfrm>
                          <a:prstGeom prst="rect">
                            <a:avLst/>
                          </a:prstGeom>
                        </pic:spPr>
                      </pic:pic>
                      <wps:wsp>
                        <wps:cNvPr id="1955" name="Graphic 1955"/>
                        <wps:cNvSpPr/>
                        <wps:spPr>
                          <a:xfrm>
                            <a:off x="2467025" y="3355657"/>
                            <a:ext cx="2590165" cy="63500"/>
                          </a:xfrm>
                          <a:custGeom>
                            <a:avLst/>
                            <a:gdLst/>
                            <a:ahLst/>
                            <a:cxnLst/>
                            <a:rect l="l" t="t" r="r" b="b"/>
                            <a:pathLst>
                              <a:path w="2590165" h="63500">
                                <a:moveTo>
                                  <a:pt x="23863" y="1778"/>
                                </a:moveTo>
                                <a:lnTo>
                                  <a:pt x="18503" y="1778"/>
                                </a:lnTo>
                                <a:lnTo>
                                  <a:pt x="18503" y="21767"/>
                                </a:lnTo>
                                <a:lnTo>
                                  <a:pt x="5359" y="21767"/>
                                </a:lnTo>
                                <a:lnTo>
                                  <a:pt x="5359" y="1778"/>
                                </a:lnTo>
                                <a:lnTo>
                                  <a:pt x="0" y="1778"/>
                                </a:lnTo>
                                <a:lnTo>
                                  <a:pt x="0" y="48412"/>
                                </a:lnTo>
                                <a:lnTo>
                                  <a:pt x="5359" y="48412"/>
                                </a:lnTo>
                                <a:lnTo>
                                  <a:pt x="5359" y="26619"/>
                                </a:lnTo>
                                <a:lnTo>
                                  <a:pt x="18503" y="26619"/>
                                </a:lnTo>
                                <a:lnTo>
                                  <a:pt x="18503" y="48412"/>
                                </a:lnTo>
                                <a:lnTo>
                                  <a:pt x="23863" y="48412"/>
                                </a:lnTo>
                                <a:lnTo>
                                  <a:pt x="23863" y="1778"/>
                                </a:lnTo>
                                <a:close/>
                              </a:path>
                              <a:path w="2590165" h="63500">
                                <a:moveTo>
                                  <a:pt x="49987" y="48412"/>
                                </a:moveTo>
                                <a:lnTo>
                                  <a:pt x="49644" y="46266"/>
                                </a:lnTo>
                                <a:lnTo>
                                  <a:pt x="49644" y="31115"/>
                                </a:lnTo>
                                <a:lnTo>
                                  <a:pt x="49644" y="18808"/>
                                </a:lnTo>
                                <a:lnTo>
                                  <a:pt x="49504" y="18605"/>
                                </a:lnTo>
                                <a:lnTo>
                                  <a:pt x="46723" y="14389"/>
                                </a:lnTo>
                                <a:lnTo>
                                  <a:pt x="44348" y="14389"/>
                                </a:lnTo>
                                <a:lnTo>
                                  <a:pt x="44348" y="31115"/>
                                </a:lnTo>
                                <a:lnTo>
                                  <a:pt x="44348" y="39154"/>
                                </a:lnTo>
                                <a:lnTo>
                                  <a:pt x="44208" y="39776"/>
                                </a:lnTo>
                                <a:lnTo>
                                  <a:pt x="43586" y="43078"/>
                                </a:lnTo>
                                <a:lnTo>
                                  <a:pt x="41478" y="44894"/>
                                </a:lnTo>
                                <a:lnTo>
                                  <a:pt x="37426" y="44894"/>
                                </a:lnTo>
                                <a:lnTo>
                                  <a:pt x="35090" y="43230"/>
                                </a:lnTo>
                                <a:lnTo>
                                  <a:pt x="35090" y="31610"/>
                                </a:lnTo>
                                <a:lnTo>
                                  <a:pt x="41567" y="31115"/>
                                </a:lnTo>
                                <a:lnTo>
                                  <a:pt x="44348" y="31115"/>
                                </a:lnTo>
                                <a:lnTo>
                                  <a:pt x="44348" y="14389"/>
                                </a:lnTo>
                                <a:lnTo>
                                  <a:pt x="36626" y="14389"/>
                                </a:lnTo>
                                <a:lnTo>
                                  <a:pt x="33502" y="15544"/>
                                </a:lnTo>
                                <a:lnTo>
                                  <a:pt x="32105" y="16586"/>
                                </a:lnTo>
                                <a:lnTo>
                                  <a:pt x="33286" y="20320"/>
                                </a:lnTo>
                                <a:lnTo>
                                  <a:pt x="34886" y="19291"/>
                                </a:lnTo>
                                <a:lnTo>
                                  <a:pt x="36766" y="18605"/>
                                </a:lnTo>
                                <a:lnTo>
                                  <a:pt x="43091" y="18605"/>
                                </a:lnTo>
                                <a:lnTo>
                                  <a:pt x="44208" y="21717"/>
                                </a:lnTo>
                                <a:lnTo>
                                  <a:pt x="44208" y="27317"/>
                                </a:lnTo>
                                <a:lnTo>
                                  <a:pt x="36626" y="27317"/>
                                </a:lnTo>
                                <a:lnTo>
                                  <a:pt x="29883" y="31115"/>
                                </a:lnTo>
                                <a:lnTo>
                                  <a:pt x="29883" y="45161"/>
                                </a:lnTo>
                                <a:lnTo>
                                  <a:pt x="33362" y="48971"/>
                                </a:lnTo>
                                <a:lnTo>
                                  <a:pt x="40728" y="48971"/>
                                </a:lnTo>
                                <a:lnTo>
                                  <a:pt x="43091" y="47447"/>
                                </a:lnTo>
                                <a:lnTo>
                                  <a:pt x="44564" y="44894"/>
                                </a:lnTo>
                                <a:lnTo>
                                  <a:pt x="44767" y="44894"/>
                                </a:lnTo>
                                <a:lnTo>
                                  <a:pt x="44792" y="45161"/>
                                </a:lnTo>
                                <a:lnTo>
                                  <a:pt x="44907" y="46266"/>
                                </a:lnTo>
                                <a:lnTo>
                                  <a:pt x="45021" y="47447"/>
                                </a:lnTo>
                                <a:lnTo>
                                  <a:pt x="45123" y="48412"/>
                                </a:lnTo>
                                <a:lnTo>
                                  <a:pt x="49987" y="48412"/>
                                </a:lnTo>
                                <a:close/>
                              </a:path>
                              <a:path w="2590165" h="63500">
                                <a:moveTo>
                                  <a:pt x="70243" y="14439"/>
                                </a:moveTo>
                                <a:lnTo>
                                  <a:pt x="69545" y="14376"/>
                                </a:lnTo>
                                <a:lnTo>
                                  <a:pt x="66001" y="14376"/>
                                </a:lnTo>
                                <a:lnTo>
                                  <a:pt x="63157" y="17005"/>
                                </a:lnTo>
                                <a:lnTo>
                                  <a:pt x="62039" y="20180"/>
                                </a:lnTo>
                                <a:lnTo>
                                  <a:pt x="61899" y="20180"/>
                                </a:lnTo>
                                <a:lnTo>
                                  <a:pt x="61620" y="14922"/>
                                </a:lnTo>
                                <a:lnTo>
                                  <a:pt x="56819" y="14922"/>
                                </a:lnTo>
                                <a:lnTo>
                                  <a:pt x="56883" y="17424"/>
                                </a:lnTo>
                                <a:lnTo>
                                  <a:pt x="57099" y="20739"/>
                                </a:lnTo>
                                <a:lnTo>
                                  <a:pt x="57099" y="23571"/>
                                </a:lnTo>
                                <a:lnTo>
                                  <a:pt x="57099" y="48412"/>
                                </a:lnTo>
                                <a:lnTo>
                                  <a:pt x="62445" y="48412"/>
                                </a:lnTo>
                                <a:lnTo>
                                  <a:pt x="62445" y="28765"/>
                                </a:lnTo>
                                <a:lnTo>
                                  <a:pt x="62522" y="27724"/>
                                </a:lnTo>
                                <a:lnTo>
                                  <a:pt x="63220" y="22948"/>
                                </a:lnTo>
                                <a:lnTo>
                                  <a:pt x="65722" y="19837"/>
                                </a:lnTo>
                                <a:lnTo>
                                  <a:pt x="69900" y="19837"/>
                                </a:lnTo>
                                <a:lnTo>
                                  <a:pt x="70243" y="19913"/>
                                </a:lnTo>
                                <a:lnTo>
                                  <a:pt x="70243" y="14439"/>
                                </a:lnTo>
                                <a:close/>
                              </a:path>
                              <a:path w="2590165" h="63500">
                                <a:moveTo>
                                  <a:pt x="93980" y="48412"/>
                                </a:moveTo>
                                <a:lnTo>
                                  <a:pt x="93916" y="46469"/>
                                </a:lnTo>
                                <a:lnTo>
                                  <a:pt x="93814" y="44538"/>
                                </a:lnTo>
                                <a:lnTo>
                                  <a:pt x="93789" y="44196"/>
                                </a:lnTo>
                                <a:lnTo>
                                  <a:pt x="93700" y="18935"/>
                                </a:lnTo>
                                <a:lnTo>
                                  <a:pt x="93700" y="18389"/>
                                </a:lnTo>
                                <a:lnTo>
                                  <a:pt x="93700" y="533"/>
                                </a:lnTo>
                                <a:lnTo>
                                  <a:pt x="88417" y="533"/>
                                </a:lnTo>
                                <a:lnTo>
                                  <a:pt x="88417" y="18389"/>
                                </a:lnTo>
                                <a:lnTo>
                                  <a:pt x="88353" y="38163"/>
                                </a:lnTo>
                                <a:lnTo>
                                  <a:pt x="87020" y="43637"/>
                                </a:lnTo>
                                <a:lnTo>
                                  <a:pt x="84721" y="44538"/>
                                </a:lnTo>
                                <a:lnTo>
                                  <a:pt x="79159" y="44538"/>
                                </a:lnTo>
                                <a:lnTo>
                                  <a:pt x="77355" y="38862"/>
                                </a:lnTo>
                                <a:lnTo>
                                  <a:pt x="77355" y="25095"/>
                                </a:lnTo>
                                <a:lnTo>
                                  <a:pt x="78892" y="18935"/>
                                </a:lnTo>
                                <a:lnTo>
                                  <a:pt x="85915" y="18935"/>
                                </a:lnTo>
                                <a:lnTo>
                                  <a:pt x="87998" y="21983"/>
                                </a:lnTo>
                                <a:lnTo>
                                  <a:pt x="88328" y="25095"/>
                                </a:lnTo>
                                <a:lnTo>
                                  <a:pt x="88353" y="38163"/>
                                </a:lnTo>
                                <a:lnTo>
                                  <a:pt x="88353" y="18389"/>
                                </a:lnTo>
                                <a:lnTo>
                                  <a:pt x="86956" y="15544"/>
                                </a:lnTo>
                                <a:lnTo>
                                  <a:pt x="84594" y="14376"/>
                                </a:lnTo>
                                <a:lnTo>
                                  <a:pt x="76936" y="14376"/>
                                </a:lnTo>
                                <a:lnTo>
                                  <a:pt x="71996" y="19913"/>
                                </a:lnTo>
                                <a:lnTo>
                                  <a:pt x="71996" y="42799"/>
                                </a:lnTo>
                                <a:lnTo>
                                  <a:pt x="76098" y="48971"/>
                                </a:lnTo>
                                <a:lnTo>
                                  <a:pt x="85356" y="48971"/>
                                </a:lnTo>
                                <a:lnTo>
                                  <a:pt x="87718" y="46609"/>
                                </a:lnTo>
                                <a:lnTo>
                                  <a:pt x="88684" y="44538"/>
                                </a:lnTo>
                                <a:lnTo>
                                  <a:pt x="88836" y="44196"/>
                                </a:lnTo>
                                <a:lnTo>
                                  <a:pt x="89039" y="44196"/>
                                </a:lnTo>
                                <a:lnTo>
                                  <a:pt x="89395" y="48412"/>
                                </a:lnTo>
                                <a:lnTo>
                                  <a:pt x="93980" y="48412"/>
                                </a:lnTo>
                                <a:close/>
                              </a:path>
                              <a:path w="2590165" h="63500">
                                <a:moveTo>
                                  <a:pt x="106616" y="533"/>
                                </a:moveTo>
                                <a:lnTo>
                                  <a:pt x="101257" y="533"/>
                                </a:lnTo>
                                <a:lnTo>
                                  <a:pt x="101257" y="48412"/>
                                </a:lnTo>
                                <a:lnTo>
                                  <a:pt x="106616" y="48412"/>
                                </a:lnTo>
                                <a:lnTo>
                                  <a:pt x="106616" y="533"/>
                                </a:lnTo>
                                <a:close/>
                              </a:path>
                              <a:path w="2590165" h="63500">
                                <a:moveTo>
                                  <a:pt x="134023" y="14922"/>
                                </a:moveTo>
                                <a:lnTo>
                                  <a:pt x="128739" y="14922"/>
                                </a:lnTo>
                                <a:lnTo>
                                  <a:pt x="123317" y="41084"/>
                                </a:lnTo>
                                <a:lnTo>
                                  <a:pt x="123177" y="41084"/>
                                </a:lnTo>
                                <a:lnTo>
                                  <a:pt x="122758" y="39001"/>
                                </a:lnTo>
                                <a:lnTo>
                                  <a:pt x="122415" y="36791"/>
                                </a:lnTo>
                                <a:lnTo>
                                  <a:pt x="117335" y="14922"/>
                                </a:lnTo>
                                <a:lnTo>
                                  <a:pt x="111696" y="14922"/>
                                </a:lnTo>
                                <a:lnTo>
                                  <a:pt x="120319" y="46266"/>
                                </a:lnTo>
                                <a:lnTo>
                                  <a:pt x="120256" y="47929"/>
                                </a:lnTo>
                                <a:lnTo>
                                  <a:pt x="112179" y="58585"/>
                                </a:lnTo>
                                <a:lnTo>
                                  <a:pt x="114134" y="63144"/>
                                </a:lnTo>
                                <a:lnTo>
                                  <a:pt x="115316" y="62598"/>
                                </a:lnTo>
                                <a:lnTo>
                                  <a:pt x="117817" y="60998"/>
                                </a:lnTo>
                                <a:lnTo>
                                  <a:pt x="124155" y="52971"/>
                                </a:lnTo>
                                <a:lnTo>
                                  <a:pt x="126441" y="44881"/>
                                </a:lnTo>
                                <a:lnTo>
                                  <a:pt x="134023" y="14922"/>
                                </a:lnTo>
                                <a:close/>
                              </a:path>
                              <a:path w="2590165" h="63500">
                                <a:moveTo>
                                  <a:pt x="168706" y="43776"/>
                                </a:moveTo>
                                <a:lnTo>
                                  <a:pt x="155346" y="43776"/>
                                </a:lnTo>
                                <a:lnTo>
                                  <a:pt x="155346" y="26276"/>
                                </a:lnTo>
                                <a:lnTo>
                                  <a:pt x="167106" y="26276"/>
                                </a:lnTo>
                                <a:lnTo>
                                  <a:pt x="167106" y="21780"/>
                                </a:lnTo>
                                <a:lnTo>
                                  <a:pt x="155346" y="21780"/>
                                </a:lnTo>
                                <a:lnTo>
                                  <a:pt x="155346" y="6426"/>
                                </a:lnTo>
                                <a:lnTo>
                                  <a:pt x="167868" y="6426"/>
                                </a:lnTo>
                                <a:lnTo>
                                  <a:pt x="167868" y="1778"/>
                                </a:lnTo>
                                <a:lnTo>
                                  <a:pt x="149987" y="1778"/>
                                </a:lnTo>
                                <a:lnTo>
                                  <a:pt x="149987" y="48412"/>
                                </a:lnTo>
                                <a:lnTo>
                                  <a:pt x="168706" y="48412"/>
                                </a:lnTo>
                                <a:lnTo>
                                  <a:pt x="168706" y="43776"/>
                                </a:lnTo>
                                <a:close/>
                              </a:path>
                              <a:path w="2590165" h="63500">
                                <a:moveTo>
                                  <a:pt x="192722" y="14922"/>
                                </a:moveTo>
                                <a:lnTo>
                                  <a:pt x="187439" y="14922"/>
                                </a:lnTo>
                                <a:lnTo>
                                  <a:pt x="183261" y="33731"/>
                                </a:lnTo>
                                <a:lnTo>
                                  <a:pt x="182219" y="39141"/>
                                </a:lnTo>
                                <a:lnTo>
                                  <a:pt x="181876" y="41910"/>
                                </a:lnTo>
                                <a:lnTo>
                                  <a:pt x="181660" y="41910"/>
                                </a:lnTo>
                                <a:lnTo>
                                  <a:pt x="181254" y="39001"/>
                                </a:lnTo>
                                <a:lnTo>
                                  <a:pt x="180695" y="36029"/>
                                </a:lnTo>
                                <a:lnTo>
                                  <a:pt x="175958" y="14922"/>
                                </a:lnTo>
                                <a:lnTo>
                                  <a:pt x="170395" y="14922"/>
                                </a:lnTo>
                                <a:lnTo>
                                  <a:pt x="179158" y="48412"/>
                                </a:lnTo>
                                <a:lnTo>
                                  <a:pt x="183959" y="48412"/>
                                </a:lnTo>
                                <a:lnTo>
                                  <a:pt x="192722" y="14922"/>
                                </a:lnTo>
                                <a:close/>
                              </a:path>
                              <a:path w="2590165" h="63500">
                                <a:moveTo>
                                  <a:pt x="215988" y="21577"/>
                                </a:moveTo>
                                <a:lnTo>
                                  <a:pt x="214833" y="18516"/>
                                </a:lnTo>
                                <a:lnTo>
                                  <a:pt x="213283" y="14376"/>
                                </a:lnTo>
                                <a:lnTo>
                                  <a:pt x="210985" y="14376"/>
                                </a:lnTo>
                                <a:lnTo>
                                  <a:pt x="210985" y="21577"/>
                                </a:lnTo>
                                <a:lnTo>
                                  <a:pt x="210934" y="23647"/>
                                </a:lnTo>
                                <a:lnTo>
                                  <a:pt x="210845" y="28206"/>
                                </a:lnTo>
                                <a:lnTo>
                                  <a:pt x="200342" y="28206"/>
                                </a:lnTo>
                                <a:lnTo>
                                  <a:pt x="200545" y="23647"/>
                                </a:lnTo>
                                <a:lnTo>
                                  <a:pt x="202361" y="18516"/>
                                </a:lnTo>
                                <a:lnTo>
                                  <a:pt x="208407" y="18516"/>
                                </a:lnTo>
                                <a:lnTo>
                                  <a:pt x="210680" y="21145"/>
                                </a:lnTo>
                                <a:lnTo>
                                  <a:pt x="210985" y="21577"/>
                                </a:lnTo>
                                <a:lnTo>
                                  <a:pt x="210985" y="14376"/>
                                </a:lnTo>
                                <a:lnTo>
                                  <a:pt x="199644" y="14376"/>
                                </a:lnTo>
                                <a:lnTo>
                                  <a:pt x="195046" y="21145"/>
                                </a:lnTo>
                                <a:lnTo>
                                  <a:pt x="195135" y="42392"/>
                                </a:lnTo>
                                <a:lnTo>
                                  <a:pt x="199224" y="48818"/>
                                </a:lnTo>
                                <a:lnTo>
                                  <a:pt x="209943" y="48818"/>
                                </a:lnTo>
                                <a:lnTo>
                                  <a:pt x="212788" y="48272"/>
                                </a:lnTo>
                                <a:lnTo>
                                  <a:pt x="214668" y="47231"/>
                                </a:lnTo>
                                <a:lnTo>
                                  <a:pt x="214109" y="44602"/>
                                </a:lnTo>
                                <a:lnTo>
                                  <a:pt x="213829" y="43281"/>
                                </a:lnTo>
                                <a:lnTo>
                                  <a:pt x="212509" y="44056"/>
                                </a:lnTo>
                                <a:lnTo>
                                  <a:pt x="210566" y="44602"/>
                                </a:lnTo>
                                <a:lnTo>
                                  <a:pt x="204381" y="44602"/>
                                </a:lnTo>
                                <a:lnTo>
                                  <a:pt x="200342" y="42392"/>
                                </a:lnTo>
                                <a:lnTo>
                                  <a:pt x="200266" y="32156"/>
                                </a:lnTo>
                                <a:lnTo>
                                  <a:pt x="215925" y="32156"/>
                                </a:lnTo>
                                <a:lnTo>
                                  <a:pt x="215950" y="28206"/>
                                </a:lnTo>
                                <a:lnTo>
                                  <a:pt x="215988" y="21577"/>
                                </a:lnTo>
                                <a:close/>
                              </a:path>
                              <a:path w="2590165" h="63500">
                                <a:moveTo>
                                  <a:pt x="234861" y="14439"/>
                                </a:moveTo>
                                <a:lnTo>
                                  <a:pt x="234162" y="14376"/>
                                </a:lnTo>
                                <a:lnTo>
                                  <a:pt x="230619" y="14376"/>
                                </a:lnTo>
                                <a:lnTo>
                                  <a:pt x="227774" y="17005"/>
                                </a:lnTo>
                                <a:lnTo>
                                  <a:pt x="226656" y="20180"/>
                                </a:lnTo>
                                <a:lnTo>
                                  <a:pt x="226517" y="20180"/>
                                </a:lnTo>
                                <a:lnTo>
                                  <a:pt x="226237" y="14922"/>
                                </a:lnTo>
                                <a:lnTo>
                                  <a:pt x="221437" y="14922"/>
                                </a:lnTo>
                                <a:lnTo>
                                  <a:pt x="221500" y="17424"/>
                                </a:lnTo>
                                <a:lnTo>
                                  <a:pt x="221716" y="20739"/>
                                </a:lnTo>
                                <a:lnTo>
                                  <a:pt x="221716" y="23571"/>
                                </a:lnTo>
                                <a:lnTo>
                                  <a:pt x="221716" y="48412"/>
                                </a:lnTo>
                                <a:lnTo>
                                  <a:pt x="227063" y="48412"/>
                                </a:lnTo>
                                <a:lnTo>
                                  <a:pt x="227063" y="28765"/>
                                </a:lnTo>
                                <a:lnTo>
                                  <a:pt x="227139" y="27724"/>
                                </a:lnTo>
                                <a:lnTo>
                                  <a:pt x="227838" y="22948"/>
                                </a:lnTo>
                                <a:lnTo>
                                  <a:pt x="230339" y="19837"/>
                                </a:lnTo>
                                <a:lnTo>
                                  <a:pt x="234518" y="19837"/>
                                </a:lnTo>
                                <a:lnTo>
                                  <a:pt x="234861" y="19913"/>
                                </a:lnTo>
                                <a:lnTo>
                                  <a:pt x="234861" y="14439"/>
                                </a:lnTo>
                                <a:close/>
                              </a:path>
                              <a:path w="2590165" h="63500">
                                <a:moveTo>
                                  <a:pt x="262102" y="546"/>
                                </a:moveTo>
                                <a:lnTo>
                                  <a:pt x="257924" y="546"/>
                                </a:lnTo>
                                <a:lnTo>
                                  <a:pt x="255219" y="5207"/>
                                </a:lnTo>
                                <a:lnTo>
                                  <a:pt x="252793" y="11442"/>
                                </a:lnTo>
                                <a:lnTo>
                                  <a:pt x="251015" y="19253"/>
                                </a:lnTo>
                                <a:lnTo>
                                  <a:pt x="250278" y="28638"/>
                                </a:lnTo>
                                <a:lnTo>
                                  <a:pt x="250964" y="37998"/>
                                </a:lnTo>
                                <a:lnTo>
                                  <a:pt x="252742" y="45783"/>
                                </a:lnTo>
                                <a:lnTo>
                                  <a:pt x="255193" y="52019"/>
                                </a:lnTo>
                                <a:lnTo>
                                  <a:pt x="257924" y="56718"/>
                                </a:lnTo>
                                <a:lnTo>
                                  <a:pt x="262102" y="56718"/>
                                </a:lnTo>
                                <a:lnTo>
                                  <a:pt x="259295" y="51422"/>
                                </a:lnTo>
                                <a:lnTo>
                                  <a:pt x="256997" y="44996"/>
                                </a:lnTo>
                                <a:lnTo>
                                  <a:pt x="255435" y="37414"/>
                                </a:lnTo>
                                <a:lnTo>
                                  <a:pt x="254863" y="28702"/>
                                </a:lnTo>
                                <a:lnTo>
                                  <a:pt x="255435" y="19862"/>
                                </a:lnTo>
                                <a:lnTo>
                                  <a:pt x="256997" y="12230"/>
                                </a:lnTo>
                                <a:lnTo>
                                  <a:pt x="259295" y="5791"/>
                                </a:lnTo>
                                <a:lnTo>
                                  <a:pt x="262102" y="546"/>
                                </a:lnTo>
                                <a:close/>
                              </a:path>
                              <a:path w="2590165" h="63500">
                                <a:moveTo>
                                  <a:pt x="282232" y="3441"/>
                                </a:moveTo>
                                <a:lnTo>
                                  <a:pt x="277774" y="3441"/>
                                </a:lnTo>
                                <a:lnTo>
                                  <a:pt x="268236" y="8978"/>
                                </a:lnTo>
                                <a:lnTo>
                                  <a:pt x="269278" y="13131"/>
                                </a:lnTo>
                                <a:lnTo>
                                  <a:pt x="276796" y="8839"/>
                                </a:lnTo>
                                <a:lnTo>
                                  <a:pt x="276936" y="8839"/>
                                </a:lnTo>
                                <a:lnTo>
                                  <a:pt x="276936" y="48412"/>
                                </a:lnTo>
                                <a:lnTo>
                                  <a:pt x="282232" y="48412"/>
                                </a:lnTo>
                                <a:lnTo>
                                  <a:pt x="282232" y="3441"/>
                                </a:lnTo>
                                <a:close/>
                              </a:path>
                              <a:path w="2590165" h="63500">
                                <a:moveTo>
                                  <a:pt x="304228" y="28549"/>
                                </a:moveTo>
                                <a:lnTo>
                                  <a:pt x="303542" y="19126"/>
                                </a:lnTo>
                                <a:lnTo>
                                  <a:pt x="301764" y="11328"/>
                                </a:lnTo>
                                <a:lnTo>
                                  <a:pt x="299300" y="5156"/>
                                </a:lnTo>
                                <a:lnTo>
                                  <a:pt x="296570" y="533"/>
                                </a:lnTo>
                                <a:lnTo>
                                  <a:pt x="292392" y="533"/>
                                </a:lnTo>
                                <a:lnTo>
                                  <a:pt x="295198" y="5791"/>
                                </a:lnTo>
                                <a:lnTo>
                                  <a:pt x="297497" y="12217"/>
                                </a:lnTo>
                                <a:lnTo>
                                  <a:pt x="299059" y="19799"/>
                                </a:lnTo>
                                <a:lnTo>
                                  <a:pt x="299631" y="28549"/>
                                </a:lnTo>
                                <a:lnTo>
                                  <a:pt x="299059" y="37338"/>
                                </a:lnTo>
                                <a:lnTo>
                                  <a:pt x="297497" y="44970"/>
                                </a:lnTo>
                                <a:lnTo>
                                  <a:pt x="295198" y="51435"/>
                                </a:lnTo>
                                <a:lnTo>
                                  <a:pt x="292392" y="56705"/>
                                </a:lnTo>
                                <a:lnTo>
                                  <a:pt x="296570" y="56705"/>
                                </a:lnTo>
                                <a:lnTo>
                                  <a:pt x="299275" y="51993"/>
                                </a:lnTo>
                                <a:lnTo>
                                  <a:pt x="301701" y="45770"/>
                                </a:lnTo>
                                <a:lnTo>
                                  <a:pt x="303479" y="37985"/>
                                </a:lnTo>
                                <a:lnTo>
                                  <a:pt x="304228" y="28549"/>
                                </a:lnTo>
                                <a:close/>
                              </a:path>
                              <a:path w="2590165" h="63500">
                                <a:moveTo>
                                  <a:pt x="662241" y="48412"/>
                                </a:moveTo>
                                <a:lnTo>
                                  <a:pt x="661631" y="47015"/>
                                </a:lnTo>
                                <a:lnTo>
                                  <a:pt x="660628" y="43014"/>
                                </a:lnTo>
                                <a:lnTo>
                                  <a:pt x="659625" y="36855"/>
                                </a:lnTo>
                                <a:lnTo>
                                  <a:pt x="658545" y="30492"/>
                                </a:lnTo>
                                <a:lnTo>
                                  <a:pt x="657212" y="28067"/>
                                </a:lnTo>
                                <a:lnTo>
                                  <a:pt x="656729" y="27178"/>
                                </a:lnTo>
                                <a:lnTo>
                                  <a:pt x="653262" y="26136"/>
                                </a:lnTo>
                                <a:lnTo>
                                  <a:pt x="653262" y="25996"/>
                                </a:lnTo>
                                <a:lnTo>
                                  <a:pt x="657682" y="23990"/>
                                </a:lnTo>
                                <a:lnTo>
                                  <a:pt x="657987" y="23850"/>
                                </a:lnTo>
                                <a:lnTo>
                                  <a:pt x="660768" y="19977"/>
                                </a:lnTo>
                                <a:lnTo>
                                  <a:pt x="660768" y="10363"/>
                                </a:lnTo>
                                <a:lnTo>
                                  <a:pt x="659803" y="7251"/>
                                </a:lnTo>
                                <a:lnTo>
                                  <a:pt x="658520" y="5930"/>
                                </a:lnTo>
                                <a:lnTo>
                                  <a:pt x="657504" y="4889"/>
                                </a:lnTo>
                                <a:lnTo>
                                  <a:pt x="655345" y="2832"/>
                                </a:lnTo>
                                <a:lnTo>
                                  <a:pt x="655345" y="9258"/>
                                </a:lnTo>
                                <a:lnTo>
                                  <a:pt x="655345" y="20256"/>
                                </a:lnTo>
                                <a:lnTo>
                                  <a:pt x="651941" y="23990"/>
                                </a:lnTo>
                                <a:lnTo>
                                  <a:pt x="644563" y="23990"/>
                                </a:lnTo>
                                <a:lnTo>
                                  <a:pt x="644563" y="6146"/>
                                </a:lnTo>
                                <a:lnTo>
                                  <a:pt x="645261" y="5930"/>
                                </a:lnTo>
                                <a:lnTo>
                                  <a:pt x="653122" y="5930"/>
                                </a:lnTo>
                                <a:lnTo>
                                  <a:pt x="655345" y="9258"/>
                                </a:lnTo>
                                <a:lnTo>
                                  <a:pt x="655345" y="2832"/>
                                </a:lnTo>
                                <a:lnTo>
                                  <a:pt x="655066" y="2552"/>
                                </a:lnTo>
                                <a:lnTo>
                                  <a:pt x="651586" y="1574"/>
                                </a:lnTo>
                                <a:lnTo>
                                  <a:pt x="644283" y="1574"/>
                                </a:lnTo>
                                <a:lnTo>
                                  <a:pt x="641502" y="1854"/>
                                </a:lnTo>
                                <a:lnTo>
                                  <a:pt x="638924" y="2552"/>
                                </a:lnTo>
                                <a:lnTo>
                                  <a:pt x="639203" y="2552"/>
                                </a:lnTo>
                                <a:lnTo>
                                  <a:pt x="639203" y="48412"/>
                                </a:lnTo>
                                <a:lnTo>
                                  <a:pt x="644563" y="48412"/>
                                </a:lnTo>
                                <a:lnTo>
                                  <a:pt x="644563" y="28067"/>
                                </a:lnTo>
                                <a:lnTo>
                                  <a:pt x="651243" y="28067"/>
                                </a:lnTo>
                                <a:lnTo>
                                  <a:pt x="653262" y="30492"/>
                                </a:lnTo>
                                <a:lnTo>
                                  <a:pt x="654253" y="36576"/>
                                </a:lnTo>
                                <a:lnTo>
                                  <a:pt x="655205" y="42595"/>
                                </a:lnTo>
                                <a:lnTo>
                                  <a:pt x="656107" y="47015"/>
                                </a:lnTo>
                                <a:lnTo>
                                  <a:pt x="656805" y="48412"/>
                                </a:lnTo>
                                <a:lnTo>
                                  <a:pt x="662241" y="48412"/>
                                </a:lnTo>
                                <a:close/>
                              </a:path>
                              <a:path w="2590165" h="63500">
                                <a:moveTo>
                                  <a:pt x="685914" y="48412"/>
                                </a:moveTo>
                                <a:lnTo>
                                  <a:pt x="685571" y="46266"/>
                                </a:lnTo>
                                <a:lnTo>
                                  <a:pt x="685571" y="31115"/>
                                </a:lnTo>
                                <a:lnTo>
                                  <a:pt x="685571" y="18808"/>
                                </a:lnTo>
                                <a:lnTo>
                                  <a:pt x="685431" y="18605"/>
                                </a:lnTo>
                                <a:lnTo>
                                  <a:pt x="682650" y="14389"/>
                                </a:lnTo>
                                <a:lnTo>
                                  <a:pt x="680275" y="14389"/>
                                </a:lnTo>
                                <a:lnTo>
                                  <a:pt x="680275" y="31115"/>
                                </a:lnTo>
                                <a:lnTo>
                                  <a:pt x="680275" y="39154"/>
                                </a:lnTo>
                                <a:lnTo>
                                  <a:pt x="680135" y="39776"/>
                                </a:lnTo>
                                <a:lnTo>
                                  <a:pt x="679513" y="43078"/>
                                </a:lnTo>
                                <a:lnTo>
                                  <a:pt x="677405" y="44894"/>
                                </a:lnTo>
                                <a:lnTo>
                                  <a:pt x="673354" y="44894"/>
                                </a:lnTo>
                                <a:lnTo>
                                  <a:pt x="671017" y="43230"/>
                                </a:lnTo>
                                <a:lnTo>
                                  <a:pt x="671017" y="31610"/>
                                </a:lnTo>
                                <a:lnTo>
                                  <a:pt x="677494" y="31115"/>
                                </a:lnTo>
                                <a:lnTo>
                                  <a:pt x="680275" y="31115"/>
                                </a:lnTo>
                                <a:lnTo>
                                  <a:pt x="680275" y="14389"/>
                                </a:lnTo>
                                <a:lnTo>
                                  <a:pt x="672553" y="14389"/>
                                </a:lnTo>
                                <a:lnTo>
                                  <a:pt x="669429" y="15544"/>
                                </a:lnTo>
                                <a:lnTo>
                                  <a:pt x="668032" y="16586"/>
                                </a:lnTo>
                                <a:lnTo>
                                  <a:pt x="669213" y="20320"/>
                                </a:lnTo>
                                <a:lnTo>
                                  <a:pt x="670814" y="19291"/>
                                </a:lnTo>
                                <a:lnTo>
                                  <a:pt x="672693" y="18605"/>
                                </a:lnTo>
                                <a:lnTo>
                                  <a:pt x="679018" y="18605"/>
                                </a:lnTo>
                                <a:lnTo>
                                  <a:pt x="680135" y="21717"/>
                                </a:lnTo>
                                <a:lnTo>
                                  <a:pt x="680135" y="27317"/>
                                </a:lnTo>
                                <a:lnTo>
                                  <a:pt x="672553" y="27317"/>
                                </a:lnTo>
                                <a:lnTo>
                                  <a:pt x="665810" y="31115"/>
                                </a:lnTo>
                                <a:lnTo>
                                  <a:pt x="665810" y="45161"/>
                                </a:lnTo>
                                <a:lnTo>
                                  <a:pt x="669290" y="48971"/>
                                </a:lnTo>
                                <a:lnTo>
                                  <a:pt x="676656" y="48971"/>
                                </a:lnTo>
                                <a:lnTo>
                                  <a:pt x="679018" y="47447"/>
                                </a:lnTo>
                                <a:lnTo>
                                  <a:pt x="680491" y="44894"/>
                                </a:lnTo>
                                <a:lnTo>
                                  <a:pt x="680694" y="44894"/>
                                </a:lnTo>
                                <a:lnTo>
                                  <a:pt x="680720" y="45161"/>
                                </a:lnTo>
                                <a:lnTo>
                                  <a:pt x="680834" y="46266"/>
                                </a:lnTo>
                                <a:lnTo>
                                  <a:pt x="680948" y="47447"/>
                                </a:lnTo>
                                <a:lnTo>
                                  <a:pt x="681050" y="48412"/>
                                </a:lnTo>
                                <a:lnTo>
                                  <a:pt x="685914" y="48412"/>
                                </a:lnTo>
                                <a:close/>
                              </a:path>
                              <a:path w="2590165" h="63500">
                                <a:moveTo>
                                  <a:pt x="706183" y="14439"/>
                                </a:moveTo>
                                <a:lnTo>
                                  <a:pt x="705485" y="14376"/>
                                </a:lnTo>
                                <a:lnTo>
                                  <a:pt x="701941" y="14376"/>
                                </a:lnTo>
                                <a:lnTo>
                                  <a:pt x="699096" y="17005"/>
                                </a:lnTo>
                                <a:lnTo>
                                  <a:pt x="697979" y="20180"/>
                                </a:lnTo>
                                <a:lnTo>
                                  <a:pt x="697839" y="20180"/>
                                </a:lnTo>
                                <a:lnTo>
                                  <a:pt x="697560" y="14922"/>
                                </a:lnTo>
                                <a:lnTo>
                                  <a:pt x="692759" y="14922"/>
                                </a:lnTo>
                                <a:lnTo>
                                  <a:pt x="692823" y="17424"/>
                                </a:lnTo>
                                <a:lnTo>
                                  <a:pt x="693039" y="20739"/>
                                </a:lnTo>
                                <a:lnTo>
                                  <a:pt x="693039" y="23571"/>
                                </a:lnTo>
                                <a:lnTo>
                                  <a:pt x="693039" y="48412"/>
                                </a:lnTo>
                                <a:lnTo>
                                  <a:pt x="698385" y="48412"/>
                                </a:lnTo>
                                <a:lnTo>
                                  <a:pt x="698385" y="28765"/>
                                </a:lnTo>
                                <a:lnTo>
                                  <a:pt x="698461" y="27724"/>
                                </a:lnTo>
                                <a:lnTo>
                                  <a:pt x="699160" y="22948"/>
                                </a:lnTo>
                                <a:lnTo>
                                  <a:pt x="701662" y="19837"/>
                                </a:lnTo>
                                <a:lnTo>
                                  <a:pt x="705840" y="19837"/>
                                </a:lnTo>
                                <a:lnTo>
                                  <a:pt x="706183" y="19913"/>
                                </a:lnTo>
                                <a:lnTo>
                                  <a:pt x="706183" y="14439"/>
                                </a:lnTo>
                                <a:close/>
                              </a:path>
                              <a:path w="2590165" h="63500">
                                <a:moveTo>
                                  <a:pt x="728878" y="21577"/>
                                </a:moveTo>
                                <a:lnTo>
                                  <a:pt x="727722" y="18516"/>
                                </a:lnTo>
                                <a:lnTo>
                                  <a:pt x="726173" y="14376"/>
                                </a:lnTo>
                                <a:lnTo>
                                  <a:pt x="723874" y="14376"/>
                                </a:lnTo>
                                <a:lnTo>
                                  <a:pt x="723874" y="21577"/>
                                </a:lnTo>
                                <a:lnTo>
                                  <a:pt x="723823" y="23647"/>
                                </a:lnTo>
                                <a:lnTo>
                                  <a:pt x="723734" y="28206"/>
                                </a:lnTo>
                                <a:lnTo>
                                  <a:pt x="713232" y="28206"/>
                                </a:lnTo>
                                <a:lnTo>
                                  <a:pt x="713435" y="23647"/>
                                </a:lnTo>
                                <a:lnTo>
                                  <a:pt x="715251" y="18516"/>
                                </a:lnTo>
                                <a:lnTo>
                                  <a:pt x="721296" y="18516"/>
                                </a:lnTo>
                                <a:lnTo>
                                  <a:pt x="723569" y="21145"/>
                                </a:lnTo>
                                <a:lnTo>
                                  <a:pt x="723874" y="21577"/>
                                </a:lnTo>
                                <a:lnTo>
                                  <a:pt x="723874" y="14376"/>
                                </a:lnTo>
                                <a:lnTo>
                                  <a:pt x="712533" y="14376"/>
                                </a:lnTo>
                                <a:lnTo>
                                  <a:pt x="707936" y="21145"/>
                                </a:lnTo>
                                <a:lnTo>
                                  <a:pt x="708025" y="42392"/>
                                </a:lnTo>
                                <a:lnTo>
                                  <a:pt x="712114" y="48818"/>
                                </a:lnTo>
                                <a:lnTo>
                                  <a:pt x="722833" y="48818"/>
                                </a:lnTo>
                                <a:lnTo>
                                  <a:pt x="725678" y="48272"/>
                                </a:lnTo>
                                <a:lnTo>
                                  <a:pt x="727557" y="47231"/>
                                </a:lnTo>
                                <a:lnTo>
                                  <a:pt x="726998" y="44602"/>
                                </a:lnTo>
                                <a:lnTo>
                                  <a:pt x="726719" y="43281"/>
                                </a:lnTo>
                                <a:lnTo>
                                  <a:pt x="725398" y="44056"/>
                                </a:lnTo>
                                <a:lnTo>
                                  <a:pt x="723455" y="44602"/>
                                </a:lnTo>
                                <a:lnTo>
                                  <a:pt x="717270" y="44602"/>
                                </a:lnTo>
                                <a:lnTo>
                                  <a:pt x="713232" y="42392"/>
                                </a:lnTo>
                                <a:lnTo>
                                  <a:pt x="713155" y="32156"/>
                                </a:lnTo>
                                <a:lnTo>
                                  <a:pt x="728814" y="32156"/>
                                </a:lnTo>
                                <a:lnTo>
                                  <a:pt x="728840" y="28206"/>
                                </a:lnTo>
                                <a:lnTo>
                                  <a:pt x="728878" y="21577"/>
                                </a:lnTo>
                                <a:close/>
                              </a:path>
                              <a:path w="2590165" h="63500">
                                <a:moveTo>
                                  <a:pt x="740041" y="533"/>
                                </a:moveTo>
                                <a:lnTo>
                                  <a:pt x="734682" y="533"/>
                                </a:lnTo>
                                <a:lnTo>
                                  <a:pt x="734682" y="48412"/>
                                </a:lnTo>
                                <a:lnTo>
                                  <a:pt x="740041" y="48412"/>
                                </a:lnTo>
                                <a:lnTo>
                                  <a:pt x="740041" y="533"/>
                                </a:lnTo>
                                <a:close/>
                              </a:path>
                              <a:path w="2590165" h="63500">
                                <a:moveTo>
                                  <a:pt x="767448" y="14922"/>
                                </a:moveTo>
                                <a:lnTo>
                                  <a:pt x="762165" y="14922"/>
                                </a:lnTo>
                                <a:lnTo>
                                  <a:pt x="756742" y="41084"/>
                                </a:lnTo>
                                <a:lnTo>
                                  <a:pt x="756602" y="41084"/>
                                </a:lnTo>
                                <a:lnTo>
                                  <a:pt x="756183" y="39001"/>
                                </a:lnTo>
                                <a:lnTo>
                                  <a:pt x="755840" y="36791"/>
                                </a:lnTo>
                                <a:lnTo>
                                  <a:pt x="750760" y="14922"/>
                                </a:lnTo>
                                <a:lnTo>
                                  <a:pt x="745121" y="14922"/>
                                </a:lnTo>
                                <a:lnTo>
                                  <a:pt x="753745" y="46266"/>
                                </a:lnTo>
                                <a:lnTo>
                                  <a:pt x="753681" y="47929"/>
                                </a:lnTo>
                                <a:lnTo>
                                  <a:pt x="745604" y="58585"/>
                                </a:lnTo>
                                <a:lnTo>
                                  <a:pt x="747560" y="63144"/>
                                </a:lnTo>
                                <a:lnTo>
                                  <a:pt x="748741" y="62598"/>
                                </a:lnTo>
                                <a:lnTo>
                                  <a:pt x="751243" y="60998"/>
                                </a:lnTo>
                                <a:lnTo>
                                  <a:pt x="757580" y="52971"/>
                                </a:lnTo>
                                <a:lnTo>
                                  <a:pt x="759866" y="44881"/>
                                </a:lnTo>
                                <a:lnTo>
                                  <a:pt x="767448" y="14922"/>
                                </a:lnTo>
                                <a:close/>
                              </a:path>
                              <a:path w="2590165" h="63500">
                                <a:moveTo>
                                  <a:pt x="795108" y="546"/>
                                </a:moveTo>
                                <a:lnTo>
                                  <a:pt x="790930" y="546"/>
                                </a:lnTo>
                                <a:lnTo>
                                  <a:pt x="788225" y="5207"/>
                                </a:lnTo>
                                <a:lnTo>
                                  <a:pt x="785799" y="11442"/>
                                </a:lnTo>
                                <a:lnTo>
                                  <a:pt x="784021" y="19253"/>
                                </a:lnTo>
                                <a:lnTo>
                                  <a:pt x="783285" y="28638"/>
                                </a:lnTo>
                                <a:lnTo>
                                  <a:pt x="783971" y="37998"/>
                                </a:lnTo>
                                <a:lnTo>
                                  <a:pt x="785749" y="45783"/>
                                </a:lnTo>
                                <a:lnTo>
                                  <a:pt x="788212" y="52019"/>
                                </a:lnTo>
                                <a:lnTo>
                                  <a:pt x="790930" y="56718"/>
                                </a:lnTo>
                                <a:lnTo>
                                  <a:pt x="795108" y="56718"/>
                                </a:lnTo>
                                <a:lnTo>
                                  <a:pt x="792302" y="51422"/>
                                </a:lnTo>
                                <a:lnTo>
                                  <a:pt x="790003" y="44996"/>
                                </a:lnTo>
                                <a:lnTo>
                                  <a:pt x="788441" y="37414"/>
                                </a:lnTo>
                                <a:lnTo>
                                  <a:pt x="787869" y="28702"/>
                                </a:lnTo>
                                <a:lnTo>
                                  <a:pt x="788441" y="19862"/>
                                </a:lnTo>
                                <a:lnTo>
                                  <a:pt x="790003" y="12230"/>
                                </a:lnTo>
                                <a:lnTo>
                                  <a:pt x="792302" y="5791"/>
                                </a:lnTo>
                                <a:lnTo>
                                  <a:pt x="795108" y="546"/>
                                </a:lnTo>
                                <a:close/>
                              </a:path>
                              <a:path w="2590165" h="63500">
                                <a:moveTo>
                                  <a:pt x="820851" y="43713"/>
                                </a:moveTo>
                                <a:lnTo>
                                  <a:pt x="805764" y="43713"/>
                                </a:lnTo>
                                <a:lnTo>
                                  <a:pt x="805764" y="43573"/>
                                </a:lnTo>
                                <a:lnTo>
                                  <a:pt x="808824" y="39420"/>
                                </a:lnTo>
                                <a:lnTo>
                                  <a:pt x="812914" y="33616"/>
                                </a:lnTo>
                                <a:lnTo>
                                  <a:pt x="816483" y="27622"/>
                                </a:lnTo>
                                <a:lnTo>
                                  <a:pt x="819010" y="21475"/>
                                </a:lnTo>
                                <a:lnTo>
                                  <a:pt x="819962" y="15201"/>
                                </a:lnTo>
                                <a:lnTo>
                                  <a:pt x="819962" y="8432"/>
                                </a:lnTo>
                                <a:lnTo>
                                  <a:pt x="816686" y="2895"/>
                                </a:lnTo>
                                <a:lnTo>
                                  <a:pt x="805065" y="2895"/>
                                </a:lnTo>
                                <a:lnTo>
                                  <a:pt x="801941" y="4622"/>
                                </a:lnTo>
                                <a:lnTo>
                                  <a:pt x="800341" y="5930"/>
                                </a:lnTo>
                                <a:lnTo>
                                  <a:pt x="801662" y="9956"/>
                                </a:lnTo>
                                <a:lnTo>
                                  <a:pt x="802843" y="9182"/>
                                </a:lnTo>
                                <a:lnTo>
                                  <a:pt x="804926" y="7454"/>
                                </a:lnTo>
                                <a:lnTo>
                                  <a:pt x="812444" y="7454"/>
                                </a:lnTo>
                                <a:lnTo>
                                  <a:pt x="814666" y="10502"/>
                                </a:lnTo>
                                <a:lnTo>
                                  <a:pt x="814666" y="15481"/>
                                </a:lnTo>
                                <a:lnTo>
                                  <a:pt x="799084" y="44958"/>
                                </a:lnTo>
                                <a:lnTo>
                                  <a:pt x="799084" y="48412"/>
                                </a:lnTo>
                                <a:lnTo>
                                  <a:pt x="820851" y="48412"/>
                                </a:lnTo>
                                <a:lnTo>
                                  <a:pt x="820851" y="43713"/>
                                </a:lnTo>
                                <a:close/>
                              </a:path>
                              <a:path w="2590165" h="63500">
                                <a:moveTo>
                                  <a:pt x="837247" y="28549"/>
                                </a:moveTo>
                                <a:lnTo>
                                  <a:pt x="836549" y="19126"/>
                                </a:lnTo>
                                <a:lnTo>
                                  <a:pt x="834771" y="11328"/>
                                </a:lnTo>
                                <a:lnTo>
                                  <a:pt x="832307" y="5156"/>
                                </a:lnTo>
                                <a:lnTo>
                                  <a:pt x="829589" y="533"/>
                                </a:lnTo>
                                <a:lnTo>
                                  <a:pt x="825411" y="533"/>
                                </a:lnTo>
                                <a:lnTo>
                                  <a:pt x="828205" y="5791"/>
                                </a:lnTo>
                                <a:lnTo>
                                  <a:pt x="830516" y="12217"/>
                                </a:lnTo>
                                <a:lnTo>
                                  <a:pt x="832065" y="19799"/>
                                </a:lnTo>
                                <a:lnTo>
                                  <a:pt x="832650" y="28549"/>
                                </a:lnTo>
                                <a:lnTo>
                                  <a:pt x="832065" y="37338"/>
                                </a:lnTo>
                                <a:lnTo>
                                  <a:pt x="830516" y="44970"/>
                                </a:lnTo>
                                <a:lnTo>
                                  <a:pt x="828205" y="51435"/>
                                </a:lnTo>
                                <a:lnTo>
                                  <a:pt x="825411" y="56705"/>
                                </a:lnTo>
                                <a:lnTo>
                                  <a:pt x="829589" y="56705"/>
                                </a:lnTo>
                                <a:lnTo>
                                  <a:pt x="832281" y="51993"/>
                                </a:lnTo>
                                <a:lnTo>
                                  <a:pt x="834707" y="45770"/>
                                </a:lnTo>
                                <a:lnTo>
                                  <a:pt x="836485" y="37985"/>
                                </a:lnTo>
                                <a:lnTo>
                                  <a:pt x="837247" y="28549"/>
                                </a:lnTo>
                                <a:close/>
                              </a:path>
                              <a:path w="2590165" h="63500">
                                <a:moveTo>
                                  <a:pt x="1189151" y="30568"/>
                                </a:moveTo>
                                <a:lnTo>
                                  <a:pt x="1186662" y="26276"/>
                                </a:lnTo>
                                <a:lnTo>
                                  <a:pt x="1181023" y="22339"/>
                                </a:lnTo>
                                <a:lnTo>
                                  <a:pt x="1174127" y="17348"/>
                                </a:lnTo>
                                <a:lnTo>
                                  <a:pt x="1174127" y="9537"/>
                                </a:lnTo>
                                <a:lnTo>
                                  <a:pt x="1176286" y="6070"/>
                                </a:lnTo>
                                <a:lnTo>
                                  <a:pt x="1183309" y="6070"/>
                                </a:lnTo>
                                <a:lnTo>
                                  <a:pt x="1185265" y="6845"/>
                                </a:lnTo>
                                <a:lnTo>
                                  <a:pt x="1186446" y="7658"/>
                                </a:lnTo>
                                <a:lnTo>
                                  <a:pt x="1187767" y="3098"/>
                                </a:lnTo>
                                <a:lnTo>
                                  <a:pt x="1186662" y="2273"/>
                                </a:lnTo>
                                <a:lnTo>
                                  <a:pt x="1184084" y="1371"/>
                                </a:lnTo>
                                <a:lnTo>
                                  <a:pt x="1173721" y="1371"/>
                                </a:lnTo>
                                <a:lnTo>
                                  <a:pt x="1168768" y="6553"/>
                                </a:lnTo>
                                <a:lnTo>
                                  <a:pt x="1168768" y="19646"/>
                                </a:lnTo>
                                <a:lnTo>
                                  <a:pt x="1173924" y="24003"/>
                                </a:lnTo>
                                <a:lnTo>
                                  <a:pt x="1177607" y="26555"/>
                                </a:lnTo>
                                <a:lnTo>
                                  <a:pt x="1181303" y="29311"/>
                                </a:lnTo>
                                <a:lnTo>
                                  <a:pt x="1183805" y="31953"/>
                                </a:lnTo>
                                <a:lnTo>
                                  <a:pt x="1183805" y="40944"/>
                                </a:lnTo>
                                <a:lnTo>
                                  <a:pt x="1180884" y="44119"/>
                                </a:lnTo>
                                <a:lnTo>
                                  <a:pt x="1173645" y="44119"/>
                                </a:lnTo>
                                <a:lnTo>
                                  <a:pt x="1170863" y="43294"/>
                                </a:lnTo>
                                <a:lnTo>
                                  <a:pt x="1169263" y="42265"/>
                                </a:lnTo>
                                <a:lnTo>
                                  <a:pt x="1168082" y="46824"/>
                                </a:lnTo>
                                <a:lnTo>
                                  <a:pt x="1169403" y="47802"/>
                                </a:lnTo>
                                <a:lnTo>
                                  <a:pt x="1172806" y="48831"/>
                                </a:lnTo>
                                <a:lnTo>
                                  <a:pt x="1183449" y="48831"/>
                                </a:lnTo>
                                <a:lnTo>
                                  <a:pt x="1189151" y="43776"/>
                                </a:lnTo>
                                <a:lnTo>
                                  <a:pt x="1189151" y="30568"/>
                                </a:lnTo>
                                <a:close/>
                              </a:path>
                              <a:path w="2590165" h="63500">
                                <a:moveTo>
                                  <a:pt x="1216177" y="19977"/>
                                </a:moveTo>
                                <a:lnTo>
                                  <a:pt x="1215034" y="18669"/>
                                </a:lnTo>
                                <a:lnTo>
                                  <a:pt x="1211313" y="14389"/>
                                </a:lnTo>
                                <a:lnTo>
                                  <a:pt x="1210754" y="14389"/>
                                </a:lnTo>
                                <a:lnTo>
                                  <a:pt x="1210754" y="26555"/>
                                </a:lnTo>
                                <a:lnTo>
                                  <a:pt x="1210716" y="37211"/>
                                </a:lnTo>
                                <a:lnTo>
                                  <a:pt x="1209992" y="43510"/>
                                </a:lnTo>
                                <a:lnTo>
                                  <a:pt x="1209865" y="44615"/>
                                </a:lnTo>
                                <a:lnTo>
                                  <a:pt x="1209852" y="44742"/>
                                </a:lnTo>
                                <a:lnTo>
                                  <a:pt x="1200391" y="44742"/>
                                </a:lnTo>
                                <a:lnTo>
                                  <a:pt x="1199413" y="37211"/>
                                </a:lnTo>
                                <a:lnTo>
                                  <a:pt x="1199413" y="26555"/>
                                </a:lnTo>
                                <a:lnTo>
                                  <a:pt x="1200162" y="19977"/>
                                </a:lnTo>
                                <a:lnTo>
                                  <a:pt x="1200213" y="19494"/>
                                </a:lnTo>
                                <a:lnTo>
                                  <a:pt x="1200315" y="18669"/>
                                </a:lnTo>
                                <a:lnTo>
                                  <a:pt x="1209852" y="18669"/>
                                </a:lnTo>
                                <a:lnTo>
                                  <a:pt x="1210754" y="26555"/>
                                </a:lnTo>
                                <a:lnTo>
                                  <a:pt x="1210754" y="14389"/>
                                </a:lnTo>
                                <a:lnTo>
                                  <a:pt x="1199553" y="14389"/>
                                </a:lnTo>
                                <a:lnTo>
                                  <a:pt x="1194054" y="19494"/>
                                </a:lnTo>
                                <a:lnTo>
                                  <a:pt x="1194054" y="43510"/>
                                </a:lnTo>
                                <a:lnTo>
                                  <a:pt x="1198930" y="48971"/>
                                </a:lnTo>
                                <a:lnTo>
                                  <a:pt x="1210132" y="48971"/>
                                </a:lnTo>
                                <a:lnTo>
                                  <a:pt x="1215999" y="44742"/>
                                </a:lnTo>
                                <a:lnTo>
                                  <a:pt x="1216177" y="44615"/>
                                </a:lnTo>
                                <a:lnTo>
                                  <a:pt x="1216177" y="19977"/>
                                </a:lnTo>
                                <a:close/>
                              </a:path>
                              <a:path w="2590165" h="63500">
                                <a:moveTo>
                                  <a:pt x="1257808" y="17691"/>
                                </a:moveTo>
                                <a:lnTo>
                                  <a:pt x="1254252" y="14376"/>
                                </a:lnTo>
                                <a:lnTo>
                                  <a:pt x="1247990" y="14376"/>
                                </a:lnTo>
                                <a:lnTo>
                                  <a:pt x="1246390" y="14795"/>
                                </a:lnTo>
                                <a:lnTo>
                                  <a:pt x="1243825" y="16510"/>
                                </a:lnTo>
                                <a:lnTo>
                                  <a:pt x="1242631" y="17830"/>
                                </a:lnTo>
                                <a:lnTo>
                                  <a:pt x="1241729" y="19494"/>
                                </a:lnTo>
                                <a:lnTo>
                                  <a:pt x="1241590" y="19494"/>
                                </a:lnTo>
                                <a:lnTo>
                                  <a:pt x="1240345" y="15900"/>
                                </a:lnTo>
                                <a:lnTo>
                                  <a:pt x="1237703" y="14376"/>
                                </a:lnTo>
                                <a:lnTo>
                                  <a:pt x="1231023" y="14376"/>
                                </a:lnTo>
                                <a:lnTo>
                                  <a:pt x="1228445" y="16383"/>
                                </a:lnTo>
                                <a:lnTo>
                                  <a:pt x="1226985" y="19075"/>
                                </a:lnTo>
                                <a:lnTo>
                                  <a:pt x="1226845" y="19075"/>
                                </a:lnTo>
                                <a:lnTo>
                                  <a:pt x="1226566" y="14922"/>
                                </a:lnTo>
                                <a:lnTo>
                                  <a:pt x="1221905" y="14922"/>
                                </a:lnTo>
                                <a:lnTo>
                                  <a:pt x="1221968" y="17627"/>
                                </a:lnTo>
                                <a:lnTo>
                                  <a:pt x="1222184" y="19634"/>
                                </a:lnTo>
                                <a:lnTo>
                                  <a:pt x="1222184" y="23571"/>
                                </a:lnTo>
                                <a:lnTo>
                                  <a:pt x="1222184" y="48412"/>
                                </a:lnTo>
                                <a:lnTo>
                                  <a:pt x="1227467" y="48412"/>
                                </a:lnTo>
                                <a:lnTo>
                                  <a:pt x="1227467" y="26136"/>
                                </a:lnTo>
                                <a:lnTo>
                                  <a:pt x="1227543" y="25171"/>
                                </a:lnTo>
                                <a:lnTo>
                                  <a:pt x="1228305" y="20739"/>
                                </a:lnTo>
                                <a:lnTo>
                                  <a:pt x="1230528" y="18872"/>
                                </a:lnTo>
                                <a:lnTo>
                                  <a:pt x="1236649" y="18872"/>
                                </a:lnTo>
                                <a:lnTo>
                                  <a:pt x="1237348" y="22758"/>
                                </a:lnTo>
                                <a:lnTo>
                                  <a:pt x="1237348" y="48412"/>
                                </a:lnTo>
                                <a:lnTo>
                                  <a:pt x="1242631" y="48412"/>
                                </a:lnTo>
                                <a:lnTo>
                                  <a:pt x="1242631" y="25793"/>
                                </a:lnTo>
                                <a:lnTo>
                                  <a:pt x="1242707" y="24752"/>
                                </a:lnTo>
                                <a:lnTo>
                                  <a:pt x="1242847" y="23850"/>
                                </a:lnTo>
                                <a:lnTo>
                                  <a:pt x="1243609" y="20739"/>
                                </a:lnTo>
                                <a:lnTo>
                                  <a:pt x="1245552" y="18872"/>
                                </a:lnTo>
                                <a:lnTo>
                                  <a:pt x="1251889" y="18872"/>
                                </a:lnTo>
                                <a:lnTo>
                                  <a:pt x="1252512" y="23088"/>
                                </a:lnTo>
                                <a:lnTo>
                                  <a:pt x="1252512" y="48412"/>
                                </a:lnTo>
                                <a:lnTo>
                                  <a:pt x="1257808" y="48412"/>
                                </a:lnTo>
                                <a:lnTo>
                                  <a:pt x="1257808" y="17691"/>
                                </a:lnTo>
                                <a:close/>
                              </a:path>
                              <a:path w="2590165" h="63500">
                                <a:moveTo>
                                  <a:pt x="1284833" y="21577"/>
                                </a:moveTo>
                                <a:lnTo>
                                  <a:pt x="1283690" y="18516"/>
                                </a:lnTo>
                                <a:lnTo>
                                  <a:pt x="1282128" y="14376"/>
                                </a:lnTo>
                                <a:lnTo>
                                  <a:pt x="1279829" y="14376"/>
                                </a:lnTo>
                                <a:lnTo>
                                  <a:pt x="1279829" y="21577"/>
                                </a:lnTo>
                                <a:lnTo>
                                  <a:pt x="1279791" y="23647"/>
                                </a:lnTo>
                                <a:lnTo>
                                  <a:pt x="1279690" y="28206"/>
                                </a:lnTo>
                                <a:lnTo>
                                  <a:pt x="1269187" y="28206"/>
                                </a:lnTo>
                                <a:lnTo>
                                  <a:pt x="1269390" y="23647"/>
                                </a:lnTo>
                                <a:lnTo>
                                  <a:pt x="1271206" y="18516"/>
                                </a:lnTo>
                                <a:lnTo>
                                  <a:pt x="1277251" y="18516"/>
                                </a:lnTo>
                                <a:lnTo>
                                  <a:pt x="1279525" y="21145"/>
                                </a:lnTo>
                                <a:lnTo>
                                  <a:pt x="1279829" y="21577"/>
                                </a:lnTo>
                                <a:lnTo>
                                  <a:pt x="1279829" y="14376"/>
                                </a:lnTo>
                                <a:lnTo>
                                  <a:pt x="1268488" y="14376"/>
                                </a:lnTo>
                                <a:lnTo>
                                  <a:pt x="1263891" y="21145"/>
                                </a:lnTo>
                                <a:lnTo>
                                  <a:pt x="1263980" y="42392"/>
                                </a:lnTo>
                                <a:lnTo>
                                  <a:pt x="1268069" y="48818"/>
                                </a:lnTo>
                                <a:lnTo>
                                  <a:pt x="1278788" y="48818"/>
                                </a:lnTo>
                                <a:lnTo>
                                  <a:pt x="1281633" y="48272"/>
                                </a:lnTo>
                                <a:lnTo>
                                  <a:pt x="1283512" y="47231"/>
                                </a:lnTo>
                                <a:lnTo>
                                  <a:pt x="1282954" y="44602"/>
                                </a:lnTo>
                                <a:lnTo>
                                  <a:pt x="1282674" y="43281"/>
                                </a:lnTo>
                                <a:lnTo>
                                  <a:pt x="1281353" y="44056"/>
                                </a:lnTo>
                                <a:lnTo>
                                  <a:pt x="1279410" y="44602"/>
                                </a:lnTo>
                                <a:lnTo>
                                  <a:pt x="1273225" y="44602"/>
                                </a:lnTo>
                                <a:lnTo>
                                  <a:pt x="1269187" y="42392"/>
                                </a:lnTo>
                                <a:lnTo>
                                  <a:pt x="1269111" y="32156"/>
                                </a:lnTo>
                                <a:lnTo>
                                  <a:pt x="1284770" y="32156"/>
                                </a:lnTo>
                                <a:lnTo>
                                  <a:pt x="1284795" y="28206"/>
                                </a:lnTo>
                                <a:lnTo>
                                  <a:pt x="1284833" y="21577"/>
                                </a:lnTo>
                                <a:close/>
                              </a:path>
                              <a:path w="2590165" h="63500">
                                <a:moveTo>
                                  <a:pt x="1303655" y="14922"/>
                                </a:moveTo>
                                <a:lnTo>
                                  <a:pt x="1297178" y="14922"/>
                                </a:lnTo>
                                <a:lnTo>
                                  <a:pt x="1297178" y="6070"/>
                                </a:lnTo>
                                <a:lnTo>
                                  <a:pt x="1291831" y="7594"/>
                                </a:lnTo>
                                <a:lnTo>
                                  <a:pt x="1291831" y="14922"/>
                                </a:lnTo>
                                <a:lnTo>
                                  <a:pt x="1287716" y="14922"/>
                                </a:lnTo>
                                <a:lnTo>
                                  <a:pt x="1287716" y="19011"/>
                                </a:lnTo>
                                <a:lnTo>
                                  <a:pt x="1291831" y="19011"/>
                                </a:lnTo>
                                <a:lnTo>
                                  <a:pt x="1291831" y="43014"/>
                                </a:lnTo>
                                <a:lnTo>
                                  <a:pt x="1292517" y="45300"/>
                                </a:lnTo>
                                <a:lnTo>
                                  <a:pt x="1295158" y="48272"/>
                                </a:lnTo>
                                <a:lnTo>
                                  <a:pt x="1297038" y="48818"/>
                                </a:lnTo>
                                <a:lnTo>
                                  <a:pt x="1300873" y="48818"/>
                                </a:lnTo>
                                <a:lnTo>
                                  <a:pt x="1302118" y="48628"/>
                                </a:lnTo>
                                <a:lnTo>
                                  <a:pt x="1303096" y="48272"/>
                                </a:lnTo>
                                <a:lnTo>
                                  <a:pt x="1302880" y="44196"/>
                                </a:lnTo>
                                <a:lnTo>
                                  <a:pt x="1302258" y="44335"/>
                                </a:lnTo>
                                <a:lnTo>
                                  <a:pt x="1301559" y="44399"/>
                                </a:lnTo>
                                <a:lnTo>
                                  <a:pt x="1298778" y="44399"/>
                                </a:lnTo>
                                <a:lnTo>
                                  <a:pt x="1297178" y="43230"/>
                                </a:lnTo>
                                <a:lnTo>
                                  <a:pt x="1297178" y="19011"/>
                                </a:lnTo>
                                <a:lnTo>
                                  <a:pt x="1303655" y="19011"/>
                                </a:lnTo>
                                <a:lnTo>
                                  <a:pt x="1303655" y="14922"/>
                                </a:lnTo>
                                <a:close/>
                              </a:path>
                              <a:path w="2590165" h="63500">
                                <a:moveTo>
                                  <a:pt x="1313764" y="14922"/>
                                </a:moveTo>
                                <a:lnTo>
                                  <a:pt x="1308404" y="14922"/>
                                </a:lnTo>
                                <a:lnTo>
                                  <a:pt x="1308404" y="48412"/>
                                </a:lnTo>
                                <a:lnTo>
                                  <a:pt x="1313764" y="48412"/>
                                </a:lnTo>
                                <a:lnTo>
                                  <a:pt x="1313764" y="14922"/>
                                </a:lnTo>
                                <a:close/>
                              </a:path>
                              <a:path w="2590165" h="63500">
                                <a:moveTo>
                                  <a:pt x="1314246" y="8356"/>
                                </a:moveTo>
                                <a:lnTo>
                                  <a:pt x="1314183" y="4203"/>
                                </a:lnTo>
                                <a:lnTo>
                                  <a:pt x="1312926" y="2819"/>
                                </a:lnTo>
                                <a:lnTo>
                                  <a:pt x="1309230" y="2819"/>
                                </a:lnTo>
                                <a:lnTo>
                                  <a:pt x="1307846" y="4203"/>
                                </a:lnTo>
                                <a:lnTo>
                                  <a:pt x="1307846" y="8356"/>
                                </a:lnTo>
                                <a:lnTo>
                                  <a:pt x="1309166" y="9740"/>
                                </a:lnTo>
                                <a:lnTo>
                                  <a:pt x="1312926" y="9740"/>
                                </a:lnTo>
                                <a:lnTo>
                                  <a:pt x="1314246" y="8356"/>
                                </a:lnTo>
                                <a:close/>
                              </a:path>
                              <a:path w="2590165" h="63500">
                                <a:moveTo>
                                  <a:pt x="1356829" y="17691"/>
                                </a:moveTo>
                                <a:lnTo>
                                  <a:pt x="1353273" y="14376"/>
                                </a:lnTo>
                                <a:lnTo>
                                  <a:pt x="1347012" y="14376"/>
                                </a:lnTo>
                                <a:lnTo>
                                  <a:pt x="1345412" y="14795"/>
                                </a:lnTo>
                                <a:lnTo>
                                  <a:pt x="1342847" y="16510"/>
                                </a:lnTo>
                                <a:lnTo>
                                  <a:pt x="1341653" y="17830"/>
                                </a:lnTo>
                                <a:lnTo>
                                  <a:pt x="1340751" y="19494"/>
                                </a:lnTo>
                                <a:lnTo>
                                  <a:pt x="1340612" y="19494"/>
                                </a:lnTo>
                                <a:lnTo>
                                  <a:pt x="1339367" y="15900"/>
                                </a:lnTo>
                                <a:lnTo>
                                  <a:pt x="1336725" y="14376"/>
                                </a:lnTo>
                                <a:lnTo>
                                  <a:pt x="1330045" y="14376"/>
                                </a:lnTo>
                                <a:lnTo>
                                  <a:pt x="1327467" y="16383"/>
                                </a:lnTo>
                                <a:lnTo>
                                  <a:pt x="1326007" y="19075"/>
                                </a:lnTo>
                                <a:lnTo>
                                  <a:pt x="1325867" y="19075"/>
                                </a:lnTo>
                                <a:lnTo>
                                  <a:pt x="1325587" y="14922"/>
                                </a:lnTo>
                                <a:lnTo>
                                  <a:pt x="1320927" y="14922"/>
                                </a:lnTo>
                                <a:lnTo>
                                  <a:pt x="1320990" y="17627"/>
                                </a:lnTo>
                                <a:lnTo>
                                  <a:pt x="1321206" y="19634"/>
                                </a:lnTo>
                                <a:lnTo>
                                  <a:pt x="1321206" y="23571"/>
                                </a:lnTo>
                                <a:lnTo>
                                  <a:pt x="1321206" y="48412"/>
                                </a:lnTo>
                                <a:lnTo>
                                  <a:pt x="1326489" y="48412"/>
                                </a:lnTo>
                                <a:lnTo>
                                  <a:pt x="1326489" y="26136"/>
                                </a:lnTo>
                                <a:lnTo>
                                  <a:pt x="1326565" y="25171"/>
                                </a:lnTo>
                                <a:lnTo>
                                  <a:pt x="1327327" y="20739"/>
                                </a:lnTo>
                                <a:lnTo>
                                  <a:pt x="1329550" y="18872"/>
                                </a:lnTo>
                                <a:lnTo>
                                  <a:pt x="1335671" y="18872"/>
                                </a:lnTo>
                                <a:lnTo>
                                  <a:pt x="1336370" y="22758"/>
                                </a:lnTo>
                                <a:lnTo>
                                  <a:pt x="1336370" y="48412"/>
                                </a:lnTo>
                                <a:lnTo>
                                  <a:pt x="1341653" y="48412"/>
                                </a:lnTo>
                                <a:lnTo>
                                  <a:pt x="1341653" y="25793"/>
                                </a:lnTo>
                                <a:lnTo>
                                  <a:pt x="1341729" y="24752"/>
                                </a:lnTo>
                                <a:lnTo>
                                  <a:pt x="1341869" y="23850"/>
                                </a:lnTo>
                                <a:lnTo>
                                  <a:pt x="1342631" y="20739"/>
                                </a:lnTo>
                                <a:lnTo>
                                  <a:pt x="1344574" y="18872"/>
                                </a:lnTo>
                                <a:lnTo>
                                  <a:pt x="1350911" y="18872"/>
                                </a:lnTo>
                                <a:lnTo>
                                  <a:pt x="1351534" y="23088"/>
                                </a:lnTo>
                                <a:lnTo>
                                  <a:pt x="1351534" y="48412"/>
                                </a:lnTo>
                                <a:lnTo>
                                  <a:pt x="1356829" y="48412"/>
                                </a:lnTo>
                                <a:lnTo>
                                  <a:pt x="1356829" y="17691"/>
                                </a:lnTo>
                                <a:close/>
                              </a:path>
                              <a:path w="2590165" h="63500">
                                <a:moveTo>
                                  <a:pt x="1383855" y="21577"/>
                                </a:moveTo>
                                <a:lnTo>
                                  <a:pt x="1382712" y="18516"/>
                                </a:lnTo>
                                <a:lnTo>
                                  <a:pt x="1381150" y="14376"/>
                                </a:lnTo>
                                <a:lnTo>
                                  <a:pt x="1378851" y="14376"/>
                                </a:lnTo>
                                <a:lnTo>
                                  <a:pt x="1378851" y="21577"/>
                                </a:lnTo>
                                <a:lnTo>
                                  <a:pt x="1378813" y="23647"/>
                                </a:lnTo>
                                <a:lnTo>
                                  <a:pt x="1378712" y="28206"/>
                                </a:lnTo>
                                <a:lnTo>
                                  <a:pt x="1368209" y="28206"/>
                                </a:lnTo>
                                <a:lnTo>
                                  <a:pt x="1368412" y="23647"/>
                                </a:lnTo>
                                <a:lnTo>
                                  <a:pt x="1370228" y="18516"/>
                                </a:lnTo>
                                <a:lnTo>
                                  <a:pt x="1376273" y="18516"/>
                                </a:lnTo>
                                <a:lnTo>
                                  <a:pt x="1378546" y="21145"/>
                                </a:lnTo>
                                <a:lnTo>
                                  <a:pt x="1378851" y="21577"/>
                                </a:lnTo>
                                <a:lnTo>
                                  <a:pt x="1378851" y="14376"/>
                                </a:lnTo>
                                <a:lnTo>
                                  <a:pt x="1367510" y="14376"/>
                                </a:lnTo>
                                <a:lnTo>
                                  <a:pt x="1362913" y="21145"/>
                                </a:lnTo>
                                <a:lnTo>
                                  <a:pt x="1363002" y="42392"/>
                                </a:lnTo>
                                <a:lnTo>
                                  <a:pt x="1367091" y="48818"/>
                                </a:lnTo>
                                <a:lnTo>
                                  <a:pt x="1377810" y="48818"/>
                                </a:lnTo>
                                <a:lnTo>
                                  <a:pt x="1380655" y="48272"/>
                                </a:lnTo>
                                <a:lnTo>
                                  <a:pt x="1382534" y="47231"/>
                                </a:lnTo>
                                <a:lnTo>
                                  <a:pt x="1381975" y="44602"/>
                                </a:lnTo>
                                <a:lnTo>
                                  <a:pt x="1381696" y="43281"/>
                                </a:lnTo>
                                <a:lnTo>
                                  <a:pt x="1380375" y="44056"/>
                                </a:lnTo>
                                <a:lnTo>
                                  <a:pt x="1378432" y="44602"/>
                                </a:lnTo>
                                <a:lnTo>
                                  <a:pt x="1372247" y="44602"/>
                                </a:lnTo>
                                <a:lnTo>
                                  <a:pt x="1368209" y="42392"/>
                                </a:lnTo>
                                <a:lnTo>
                                  <a:pt x="1368132" y="32156"/>
                                </a:lnTo>
                                <a:lnTo>
                                  <a:pt x="1383792" y="32156"/>
                                </a:lnTo>
                                <a:lnTo>
                                  <a:pt x="1383817" y="28206"/>
                                </a:lnTo>
                                <a:lnTo>
                                  <a:pt x="1383855" y="21577"/>
                                </a:lnTo>
                                <a:close/>
                              </a:path>
                              <a:path w="2590165" h="63500">
                                <a:moveTo>
                                  <a:pt x="1404200" y="34226"/>
                                </a:moveTo>
                                <a:lnTo>
                                  <a:pt x="1401140" y="31191"/>
                                </a:lnTo>
                                <a:lnTo>
                                  <a:pt x="1397241" y="28702"/>
                                </a:lnTo>
                                <a:lnTo>
                                  <a:pt x="1393901" y="26416"/>
                                </a:lnTo>
                                <a:lnTo>
                                  <a:pt x="1393075" y="25171"/>
                                </a:lnTo>
                                <a:lnTo>
                                  <a:pt x="1393075" y="20751"/>
                                </a:lnTo>
                                <a:lnTo>
                                  <a:pt x="1394536" y="18669"/>
                                </a:lnTo>
                                <a:lnTo>
                                  <a:pt x="1399197" y="18669"/>
                                </a:lnTo>
                                <a:lnTo>
                                  <a:pt x="1400657" y="19304"/>
                                </a:lnTo>
                                <a:lnTo>
                                  <a:pt x="1401902" y="20129"/>
                                </a:lnTo>
                                <a:lnTo>
                                  <a:pt x="1403362" y="16116"/>
                                </a:lnTo>
                                <a:lnTo>
                                  <a:pt x="1401978" y="15278"/>
                                </a:lnTo>
                                <a:lnTo>
                                  <a:pt x="1399959" y="14389"/>
                                </a:lnTo>
                                <a:lnTo>
                                  <a:pt x="1392097" y="14389"/>
                                </a:lnTo>
                                <a:lnTo>
                                  <a:pt x="1388059" y="18262"/>
                                </a:lnTo>
                                <a:lnTo>
                                  <a:pt x="1388059" y="27520"/>
                                </a:lnTo>
                                <a:lnTo>
                                  <a:pt x="1390421" y="30365"/>
                                </a:lnTo>
                                <a:lnTo>
                                  <a:pt x="1394815" y="33197"/>
                                </a:lnTo>
                                <a:lnTo>
                                  <a:pt x="1398219" y="35483"/>
                                </a:lnTo>
                                <a:lnTo>
                                  <a:pt x="1399120" y="37211"/>
                                </a:lnTo>
                                <a:lnTo>
                                  <a:pt x="1399120" y="42748"/>
                                </a:lnTo>
                                <a:lnTo>
                                  <a:pt x="1397241" y="44615"/>
                                </a:lnTo>
                                <a:lnTo>
                                  <a:pt x="1392021" y="44615"/>
                                </a:lnTo>
                                <a:lnTo>
                                  <a:pt x="1389938" y="43649"/>
                                </a:lnTo>
                                <a:lnTo>
                                  <a:pt x="1388757" y="42887"/>
                                </a:lnTo>
                                <a:lnTo>
                                  <a:pt x="1387436" y="46888"/>
                                </a:lnTo>
                                <a:lnTo>
                                  <a:pt x="1388897" y="48069"/>
                                </a:lnTo>
                                <a:lnTo>
                                  <a:pt x="1391615" y="48831"/>
                                </a:lnTo>
                                <a:lnTo>
                                  <a:pt x="1399603" y="48831"/>
                                </a:lnTo>
                                <a:lnTo>
                                  <a:pt x="1404200" y="45580"/>
                                </a:lnTo>
                                <a:lnTo>
                                  <a:pt x="1404200" y="34226"/>
                                </a:lnTo>
                                <a:close/>
                              </a:path>
                              <a:path w="2590165" h="63500">
                                <a:moveTo>
                                  <a:pt x="1432826" y="546"/>
                                </a:moveTo>
                                <a:lnTo>
                                  <a:pt x="1428648" y="546"/>
                                </a:lnTo>
                                <a:lnTo>
                                  <a:pt x="1425943" y="5207"/>
                                </a:lnTo>
                                <a:lnTo>
                                  <a:pt x="1423517" y="11442"/>
                                </a:lnTo>
                                <a:lnTo>
                                  <a:pt x="1421739" y="19253"/>
                                </a:lnTo>
                                <a:lnTo>
                                  <a:pt x="1420990" y="28638"/>
                                </a:lnTo>
                                <a:lnTo>
                                  <a:pt x="1421676" y="37998"/>
                                </a:lnTo>
                                <a:lnTo>
                                  <a:pt x="1423466" y="45783"/>
                                </a:lnTo>
                                <a:lnTo>
                                  <a:pt x="1425930" y="52019"/>
                                </a:lnTo>
                                <a:lnTo>
                                  <a:pt x="1428648" y="56718"/>
                                </a:lnTo>
                                <a:lnTo>
                                  <a:pt x="1432826" y="56718"/>
                                </a:lnTo>
                                <a:lnTo>
                                  <a:pt x="1430020" y="51422"/>
                                </a:lnTo>
                                <a:lnTo>
                                  <a:pt x="1427721" y="44996"/>
                                </a:lnTo>
                                <a:lnTo>
                                  <a:pt x="1426171" y="37414"/>
                                </a:lnTo>
                                <a:lnTo>
                                  <a:pt x="1425600" y="28702"/>
                                </a:lnTo>
                                <a:lnTo>
                                  <a:pt x="1426171" y="19862"/>
                                </a:lnTo>
                                <a:lnTo>
                                  <a:pt x="1427721" y="12230"/>
                                </a:lnTo>
                                <a:lnTo>
                                  <a:pt x="1430020" y="5791"/>
                                </a:lnTo>
                                <a:lnTo>
                                  <a:pt x="1432826" y="546"/>
                                </a:lnTo>
                                <a:close/>
                              </a:path>
                              <a:path w="2590165" h="63500">
                                <a:moveTo>
                                  <a:pt x="1457401" y="28638"/>
                                </a:moveTo>
                                <a:lnTo>
                                  <a:pt x="1453502" y="25031"/>
                                </a:lnTo>
                                <a:lnTo>
                                  <a:pt x="1449463" y="23914"/>
                                </a:lnTo>
                                <a:lnTo>
                                  <a:pt x="1449463" y="23787"/>
                                </a:lnTo>
                                <a:lnTo>
                                  <a:pt x="1453845" y="21717"/>
                                </a:lnTo>
                                <a:lnTo>
                                  <a:pt x="1456220" y="17767"/>
                                </a:lnTo>
                                <a:lnTo>
                                  <a:pt x="1456220" y="7467"/>
                                </a:lnTo>
                                <a:lnTo>
                                  <a:pt x="1452600" y="2895"/>
                                </a:lnTo>
                                <a:lnTo>
                                  <a:pt x="1442783" y="2895"/>
                                </a:lnTo>
                                <a:lnTo>
                                  <a:pt x="1439722" y="4140"/>
                                </a:lnTo>
                                <a:lnTo>
                                  <a:pt x="1438046" y="5448"/>
                                </a:lnTo>
                                <a:lnTo>
                                  <a:pt x="1439240" y="9474"/>
                                </a:lnTo>
                                <a:lnTo>
                                  <a:pt x="1440700" y="8432"/>
                                </a:lnTo>
                                <a:lnTo>
                                  <a:pt x="1442656" y="7327"/>
                                </a:lnTo>
                                <a:lnTo>
                                  <a:pt x="1448422" y="7327"/>
                                </a:lnTo>
                                <a:lnTo>
                                  <a:pt x="1450860" y="9740"/>
                                </a:lnTo>
                                <a:lnTo>
                                  <a:pt x="1450860" y="19773"/>
                                </a:lnTo>
                                <a:lnTo>
                                  <a:pt x="1445907" y="22199"/>
                                </a:lnTo>
                                <a:lnTo>
                                  <a:pt x="1441665" y="22263"/>
                                </a:lnTo>
                                <a:lnTo>
                                  <a:pt x="1441665" y="26276"/>
                                </a:lnTo>
                                <a:lnTo>
                                  <a:pt x="1448358" y="26276"/>
                                </a:lnTo>
                                <a:lnTo>
                                  <a:pt x="1452041" y="29667"/>
                                </a:lnTo>
                                <a:lnTo>
                                  <a:pt x="1452041" y="41148"/>
                                </a:lnTo>
                                <a:lnTo>
                                  <a:pt x="1448917" y="44538"/>
                                </a:lnTo>
                                <a:lnTo>
                                  <a:pt x="1441538" y="44538"/>
                                </a:lnTo>
                                <a:lnTo>
                                  <a:pt x="1439100" y="43497"/>
                                </a:lnTo>
                                <a:lnTo>
                                  <a:pt x="1437703" y="42672"/>
                                </a:lnTo>
                                <a:lnTo>
                                  <a:pt x="1436522" y="46888"/>
                                </a:lnTo>
                                <a:lnTo>
                                  <a:pt x="1438338" y="48145"/>
                                </a:lnTo>
                                <a:lnTo>
                                  <a:pt x="1441538" y="48971"/>
                                </a:lnTo>
                                <a:lnTo>
                                  <a:pt x="1452664" y="48971"/>
                                </a:lnTo>
                                <a:lnTo>
                                  <a:pt x="1457401" y="43014"/>
                                </a:lnTo>
                                <a:lnTo>
                                  <a:pt x="1457401" y="28638"/>
                                </a:lnTo>
                                <a:close/>
                              </a:path>
                              <a:path w="2590165" h="63500">
                                <a:moveTo>
                                  <a:pt x="1474952" y="28549"/>
                                </a:moveTo>
                                <a:lnTo>
                                  <a:pt x="1474266" y="19126"/>
                                </a:lnTo>
                                <a:lnTo>
                                  <a:pt x="1472476" y="11328"/>
                                </a:lnTo>
                                <a:lnTo>
                                  <a:pt x="1470012" y="5156"/>
                                </a:lnTo>
                                <a:lnTo>
                                  <a:pt x="1467294" y="533"/>
                                </a:lnTo>
                                <a:lnTo>
                                  <a:pt x="1463116" y="533"/>
                                </a:lnTo>
                                <a:lnTo>
                                  <a:pt x="1465922" y="5791"/>
                                </a:lnTo>
                                <a:lnTo>
                                  <a:pt x="1468221" y="12217"/>
                                </a:lnTo>
                                <a:lnTo>
                                  <a:pt x="1469783" y="19799"/>
                                </a:lnTo>
                                <a:lnTo>
                                  <a:pt x="1470355" y="28549"/>
                                </a:lnTo>
                                <a:lnTo>
                                  <a:pt x="1469783" y="37338"/>
                                </a:lnTo>
                                <a:lnTo>
                                  <a:pt x="1468221" y="44970"/>
                                </a:lnTo>
                                <a:lnTo>
                                  <a:pt x="1465922" y="51435"/>
                                </a:lnTo>
                                <a:lnTo>
                                  <a:pt x="1463116" y="56705"/>
                                </a:lnTo>
                                <a:lnTo>
                                  <a:pt x="1467294" y="56705"/>
                                </a:lnTo>
                                <a:lnTo>
                                  <a:pt x="1469999" y="51993"/>
                                </a:lnTo>
                                <a:lnTo>
                                  <a:pt x="1472425" y="45770"/>
                                </a:lnTo>
                                <a:lnTo>
                                  <a:pt x="1474203" y="37985"/>
                                </a:lnTo>
                                <a:lnTo>
                                  <a:pt x="1474952" y="28549"/>
                                </a:lnTo>
                                <a:close/>
                              </a:path>
                              <a:path w="2590165" h="63500">
                                <a:moveTo>
                                  <a:pt x="1834527" y="24765"/>
                                </a:moveTo>
                                <a:lnTo>
                                  <a:pt x="1833778" y="16256"/>
                                </a:lnTo>
                                <a:lnTo>
                                  <a:pt x="1833651" y="14820"/>
                                </a:lnTo>
                                <a:lnTo>
                                  <a:pt x="1831136" y="7429"/>
                                </a:lnTo>
                                <a:lnTo>
                                  <a:pt x="1829828" y="5943"/>
                                </a:lnTo>
                                <a:lnTo>
                                  <a:pt x="1828761" y="4724"/>
                                </a:lnTo>
                                <a:lnTo>
                                  <a:pt x="1828761" y="14820"/>
                                </a:lnTo>
                                <a:lnTo>
                                  <a:pt x="1828698" y="35941"/>
                                </a:lnTo>
                                <a:lnTo>
                                  <a:pt x="1827377" y="44272"/>
                                </a:lnTo>
                                <a:lnTo>
                                  <a:pt x="1815401" y="44272"/>
                                </a:lnTo>
                                <a:lnTo>
                                  <a:pt x="1813521" y="34734"/>
                                </a:lnTo>
                                <a:lnTo>
                                  <a:pt x="1813521" y="15633"/>
                                </a:lnTo>
                                <a:lnTo>
                                  <a:pt x="1815401" y="5943"/>
                                </a:lnTo>
                                <a:lnTo>
                                  <a:pt x="1827377" y="5943"/>
                                </a:lnTo>
                                <a:lnTo>
                                  <a:pt x="1828761" y="14820"/>
                                </a:lnTo>
                                <a:lnTo>
                                  <a:pt x="1828761" y="4724"/>
                                </a:lnTo>
                                <a:lnTo>
                                  <a:pt x="1827110" y="2832"/>
                                </a:lnTo>
                                <a:lnTo>
                                  <a:pt x="1821726" y="1244"/>
                                </a:lnTo>
                                <a:lnTo>
                                  <a:pt x="1816087" y="2832"/>
                                </a:lnTo>
                                <a:lnTo>
                                  <a:pt x="1807984" y="25107"/>
                                </a:lnTo>
                                <a:lnTo>
                                  <a:pt x="1808797" y="34099"/>
                                </a:lnTo>
                                <a:lnTo>
                                  <a:pt x="1808911" y="35407"/>
                                </a:lnTo>
                                <a:lnTo>
                                  <a:pt x="1811553" y="42900"/>
                                </a:lnTo>
                                <a:lnTo>
                                  <a:pt x="1815655" y="47447"/>
                                </a:lnTo>
                                <a:lnTo>
                                  <a:pt x="1820964" y="48983"/>
                                </a:lnTo>
                                <a:lnTo>
                                  <a:pt x="1826260" y="47663"/>
                                </a:lnTo>
                                <a:lnTo>
                                  <a:pt x="1829727" y="44272"/>
                                </a:lnTo>
                                <a:lnTo>
                                  <a:pt x="1830565" y="43446"/>
                                </a:lnTo>
                                <a:lnTo>
                                  <a:pt x="1833473" y="35941"/>
                                </a:lnTo>
                                <a:lnTo>
                                  <a:pt x="1834502" y="25107"/>
                                </a:lnTo>
                                <a:lnTo>
                                  <a:pt x="1834527" y="24765"/>
                                </a:lnTo>
                                <a:close/>
                              </a:path>
                              <a:path w="2590165" h="63500">
                                <a:moveTo>
                                  <a:pt x="1856219" y="825"/>
                                </a:moveTo>
                                <a:lnTo>
                                  <a:pt x="1855241" y="342"/>
                                </a:lnTo>
                                <a:lnTo>
                                  <a:pt x="1853844" y="0"/>
                                </a:lnTo>
                                <a:lnTo>
                                  <a:pt x="1849958" y="0"/>
                                </a:lnTo>
                                <a:lnTo>
                                  <a:pt x="1847240" y="685"/>
                                </a:lnTo>
                                <a:lnTo>
                                  <a:pt x="1842858" y="5600"/>
                                </a:lnTo>
                                <a:lnTo>
                                  <a:pt x="1842300" y="9334"/>
                                </a:lnTo>
                                <a:lnTo>
                                  <a:pt x="1842300" y="14935"/>
                                </a:lnTo>
                                <a:lnTo>
                                  <a:pt x="1838045" y="14935"/>
                                </a:lnTo>
                                <a:lnTo>
                                  <a:pt x="1838045" y="19024"/>
                                </a:lnTo>
                                <a:lnTo>
                                  <a:pt x="1842300" y="19024"/>
                                </a:lnTo>
                                <a:lnTo>
                                  <a:pt x="1842300" y="48425"/>
                                </a:lnTo>
                                <a:lnTo>
                                  <a:pt x="1847659" y="48425"/>
                                </a:lnTo>
                                <a:lnTo>
                                  <a:pt x="1847659" y="19024"/>
                                </a:lnTo>
                                <a:lnTo>
                                  <a:pt x="1853768" y="19024"/>
                                </a:lnTo>
                                <a:lnTo>
                                  <a:pt x="1853768" y="14935"/>
                                </a:lnTo>
                                <a:lnTo>
                                  <a:pt x="1847659" y="14935"/>
                                </a:lnTo>
                                <a:lnTo>
                                  <a:pt x="1847659" y="8496"/>
                                </a:lnTo>
                                <a:lnTo>
                                  <a:pt x="1848548" y="4419"/>
                                </a:lnTo>
                                <a:lnTo>
                                  <a:pt x="1853768" y="4419"/>
                                </a:lnTo>
                                <a:lnTo>
                                  <a:pt x="1855304" y="4978"/>
                                </a:lnTo>
                                <a:lnTo>
                                  <a:pt x="1856219" y="825"/>
                                </a:lnTo>
                                <a:close/>
                              </a:path>
                              <a:path w="2590165" h="63500">
                                <a:moveTo>
                                  <a:pt x="1870417" y="14935"/>
                                </a:moveTo>
                                <a:lnTo>
                                  <a:pt x="1863940" y="14935"/>
                                </a:lnTo>
                                <a:lnTo>
                                  <a:pt x="1863940" y="6083"/>
                                </a:lnTo>
                                <a:lnTo>
                                  <a:pt x="1858581" y="7607"/>
                                </a:lnTo>
                                <a:lnTo>
                                  <a:pt x="1858581" y="14935"/>
                                </a:lnTo>
                                <a:lnTo>
                                  <a:pt x="1854479" y="14935"/>
                                </a:lnTo>
                                <a:lnTo>
                                  <a:pt x="1854479" y="19024"/>
                                </a:lnTo>
                                <a:lnTo>
                                  <a:pt x="1858581" y="19024"/>
                                </a:lnTo>
                                <a:lnTo>
                                  <a:pt x="1858581" y="43027"/>
                                </a:lnTo>
                                <a:lnTo>
                                  <a:pt x="1859280" y="45313"/>
                                </a:lnTo>
                                <a:lnTo>
                                  <a:pt x="1861934" y="48285"/>
                                </a:lnTo>
                                <a:lnTo>
                                  <a:pt x="1863801" y="48831"/>
                                </a:lnTo>
                                <a:lnTo>
                                  <a:pt x="1867623" y="48831"/>
                                </a:lnTo>
                                <a:lnTo>
                                  <a:pt x="1868881" y="48641"/>
                                </a:lnTo>
                                <a:lnTo>
                                  <a:pt x="1869859" y="48285"/>
                                </a:lnTo>
                                <a:lnTo>
                                  <a:pt x="1869643" y="44208"/>
                                </a:lnTo>
                                <a:lnTo>
                                  <a:pt x="1868335" y="44411"/>
                                </a:lnTo>
                                <a:lnTo>
                                  <a:pt x="1865541" y="44411"/>
                                </a:lnTo>
                                <a:lnTo>
                                  <a:pt x="1863940" y="43243"/>
                                </a:lnTo>
                                <a:lnTo>
                                  <a:pt x="1863940" y="19024"/>
                                </a:lnTo>
                                <a:lnTo>
                                  <a:pt x="1870417" y="19024"/>
                                </a:lnTo>
                                <a:lnTo>
                                  <a:pt x="1870417" y="14935"/>
                                </a:lnTo>
                                <a:close/>
                              </a:path>
                              <a:path w="2590165" h="63500">
                                <a:moveTo>
                                  <a:pt x="1894090" y="21590"/>
                                </a:moveTo>
                                <a:lnTo>
                                  <a:pt x="1892935" y="18529"/>
                                </a:lnTo>
                                <a:lnTo>
                                  <a:pt x="1891372" y="14389"/>
                                </a:lnTo>
                                <a:lnTo>
                                  <a:pt x="1889086" y="14389"/>
                                </a:lnTo>
                                <a:lnTo>
                                  <a:pt x="1889086" y="21590"/>
                                </a:lnTo>
                                <a:lnTo>
                                  <a:pt x="1889036" y="23660"/>
                                </a:lnTo>
                                <a:lnTo>
                                  <a:pt x="1888934" y="28219"/>
                                </a:lnTo>
                                <a:lnTo>
                                  <a:pt x="1878431" y="28219"/>
                                </a:lnTo>
                                <a:lnTo>
                                  <a:pt x="1878634" y="23660"/>
                                </a:lnTo>
                                <a:lnTo>
                                  <a:pt x="1880450" y="18529"/>
                                </a:lnTo>
                                <a:lnTo>
                                  <a:pt x="1886508" y="18529"/>
                                </a:lnTo>
                                <a:lnTo>
                                  <a:pt x="1888782" y="21158"/>
                                </a:lnTo>
                                <a:lnTo>
                                  <a:pt x="1889086" y="21590"/>
                                </a:lnTo>
                                <a:lnTo>
                                  <a:pt x="1889086" y="14389"/>
                                </a:lnTo>
                                <a:lnTo>
                                  <a:pt x="1877733" y="14389"/>
                                </a:lnTo>
                                <a:lnTo>
                                  <a:pt x="1873148" y="21158"/>
                                </a:lnTo>
                                <a:lnTo>
                                  <a:pt x="1873237" y="42405"/>
                                </a:lnTo>
                                <a:lnTo>
                                  <a:pt x="1877326" y="48831"/>
                                </a:lnTo>
                                <a:lnTo>
                                  <a:pt x="1888045" y="48831"/>
                                </a:lnTo>
                                <a:lnTo>
                                  <a:pt x="1890890" y="48285"/>
                                </a:lnTo>
                                <a:lnTo>
                                  <a:pt x="1892769" y="47244"/>
                                </a:lnTo>
                                <a:lnTo>
                                  <a:pt x="1892211" y="44615"/>
                                </a:lnTo>
                                <a:lnTo>
                                  <a:pt x="1891931" y="43294"/>
                                </a:lnTo>
                                <a:lnTo>
                                  <a:pt x="1890610" y="44069"/>
                                </a:lnTo>
                                <a:lnTo>
                                  <a:pt x="1888667" y="44615"/>
                                </a:lnTo>
                                <a:lnTo>
                                  <a:pt x="1882470" y="44615"/>
                                </a:lnTo>
                                <a:lnTo>
                                  <a:pt x="1878431" y="42405"/>
                                </a:lnTo>
                                <a:lnTo>
                                  <a:pt x="1878368" y="32169"/>
                                </a:lnTo>
                                <a:lnTo>
                                  <a:pt x="1894014" y="32169"/>
                                </a:lnTo>
                                <a:lnTo>
                                  <a:pt x="1894039" y="28219"/>
                                </a:lnTo>
                                <a:lnTo>
                                  <a:pt x="1894090" y="21590"/>
                                </a:lnTo>
                                <a:close/>
                              </a:path>
                              <a:path w="2590165" h="63500">
                                <a:moveTo>
                                  <a:pt x="1920544" y="17843"/>
                                </a:moveTo>
                                <a:lnTo>
                                  <a:pt x="1917065" y="14389"/>
                                </a:lnTo>
                                <a:lnTo>
                                  <a:pt x="1908860" y="14389"/>
                                </a:lnTo>
                                <a:lnTo>
                                  <a:pt x="1906143" y="16256"/>
                                </a:lnTo>
                                <a:lnTo>
                                  <a:pt x="1904682" y="18961"/>
                                </a:lnTo>
                                <a:lnTo>
                                  <a:pt x="1904542" y="18961"/>
                                </a:lnTo>
                                <a:lnTo>
                                  <a:pt x="1904263" y="14935"/>
                                </a:lnTo>
                                <a:lnTo>
                                  <a:pt x="1899602" y="14935"/>
                                </a:lnTo>
                                <a:lnTo>
                                  <a:pt x="1899666" y="17640"/>
                                </a:lnTo>
                                <a:lnTo>
                                  <a:pt x="1899881" y="19634"/>
                                </a:lnTo>
                                <a:lnTo>
                                  <a:pt x="1899881" y="23583"/>
                                </a:lnTo>
                                <a:lnTo>
                                  <a:pt x="1899881" y="48425"/>
                                </a:lnTo>
                                <a:lnTo>
                                  <a:pt x="1905241" y="48425"/>
                                </a:lnTo>
                                <a:lnTo>
                                  <a:pt x="1905241" y="27330"/>
                                </a:lnTo>
                                <a:lnTo>
                                  <a:pt x="1905304" y="25184"/>
                                </a:lnTo>
                                <a:lnTo>
                                  <a:pt x="1906143" y="20751"/>
                                </a:lnTo>
                                <a:lnTo>
                                  <a:pt x="1908302" y="18884"/>
                                </a:lnTo>
                                <a:lnTo>
                                  <a:pt x="1914423" y="18884"/>
                                </a:lnTo>
                                <a:lnTo>
                                  <a:pt x="1915185" y="22898"/>
                                </a:lnTo>
                                <a:lnTo>
                                  <a:pt x="1915185" y="48425"/>
                                </a:lnTo>
                                <a:lnTo>
                                  <a:pt x="1920544" y="48425"/>
                                </a:lnTo>
                                <a:lnTo>
                                  <a:pt x="1920544" y="17843"/>
                                </a:lnTo>
                                <a:close/>
                              </a:path>
                              <a:path w="2590165" h="63500">
                                <a:moveTo>
                                  <a:pt x="1951113" y="558"/>
                                </a:moveTo>
                                <a:lnTo>
                                  <a:pt x="1946935" y="558"/>
                                </a:lnTo>
                                <a:lnTo>
                                  <a:pt x="1944243" y="5219"/>
                                </a:lnTo>
                                <a:lnTo>
                                  <a:pt x="1941817" y="11455"/>
                                </a:lnTo>
                                <a:lnTo>
                                  <a:pt x="1940039" y="19265"/>
                                </a:lnTo>
                                <a:lnTo>
                                  <a:pt x="1939277" y="28651"/>
                                </a:lnTo>
                                <a:lnTo>
                                  <a:pt x="1939963" y="38011"/>
                                </a:lnTo>
                                <a:lnTo>
                                  <a:pt x="1941753" y="45796"/>
                                </a:lnTo>
                                <a:lnTo>
                                  <a:pt x="1944217" y="52031"/>
                                </a:lnTo>
                                <a:lnTo>
                                  <a:pt x="1946935" y="56730"/>
                                </a:lnTo>
                                <a:lnTo>
                                  <a:pt x="1951113" y="56730"/>
                                </a:lnTo>
                                <a:lnTo>
                                  <a:pt x="1948319" y="51435"/>
                                </a:lnTo>
                                <a:lnTo>
                                  <a:pt x="1946021" y="45008"/>
                                </a:lnTo>
                                <a:lnTo>
                                  <a:pt x="1944458" y="37426"/>
                                </a:lnTo>
                                <a:lnTo>
                                  <a:pt x="1943887" y="28714"/>
                                </a:lnTo>
                                <a:lnTo>
                                  <a:pt x="1944458" y="19875"/>
                                </a:lnTo>
                                <a:lnTo>
                                  <a:pt x="1946021" y="12242"/>
                                </a:lnTo>
                                <a:lnTo>
                                  <a:pt x="1948319" y="5803"/>
                                </a:lnTo>
                                <a:lnTo>
                                  <a:pt x="1951113" y="558"/>
                                </a:lnTo>
                                <a:close/>
                              </a:path>
                              <a:path w="2590165" h="63500">
                                <a:moveTo>
                                  <a:pt x="1978964" y="31686"/>
                                </a:moveTo>
                                <a:lnTo>
                                  <a:pt x="1974024" y="31686"/>
                                </a:lnTo>
                                <a:lnTo>
                                  <a:pt x="1974024" y="10109"/>
                                </a:lnTo>
                                <a:lnTo>
                                  <a:pt x="1974024" y="3454"/>
                                </a:lnTo>
                                <a:lnTo>
                                  <a:pt x="1969566" y="3454"/>
                                </a:lnTo>
                                <a:lnTo>
                                  <a:pt x="1969566" y="10109"/>
                                </a:lnTo>
                                <a:lnTo>
                                  <a:pt x="1969160" y="15849"/>
                                </a:lnTo>
                                <a:lnTo>
                                  <a:pt x="1969160" y="31686"/>
                                </a:lnTo>
                                <a:lnTo>
                                  <a:pt x="1959203" y="31686"/>
                                </a:lnTo>
                                <a:lnTo>
                                  <a:pt x="1959203" y="31546"/>
                                </a:lnTo>
                                <a:lnTo>
                                  <a:pt x="1965464" y="18618"/>
                                </a:lnTo>
                                <a:lnTo>
                                  <a:pt x="1966785" y="15849"/>
                                </a:lnTo>
                                <a:lnTo>
                                  <a:pt x="1967763" y="13703"/>
                                </a:lnTo>
                                <a:lnTo>
                                  <a:pt x="1969300" y="10109"/>
                                </a:lnTo>
                                <a:lnTo>
                                  <a:pt x="1969566" y="10109"/>
                                </a:lnTo>
                                <a:lnTo>
                                  <a:pt x="1969566" y="3454"/>
                                </a:lnTo>
                                <a:lnTo>
                                  <a:pt x="1968817" y="3454"/>
                                </a:lnTo>
                                <a:lnTo>
                                  <a:pt x="1954123" y="32448"/>
                                </a:lnTo>
                                <a:lnTo>
                                  <a:pt x="1954123" y="36055"/>
                                </a:lnTo>
                                <a:lnTo>
                                  <a:pt x="1969160" y="36055"/>
                                </a:lnTo>
                                <a:lnTo>
                                  <a:pt x="1969160" y="48425"/>
                                </a:lnTo>
                                <a:lnTo>
                                  <a:pt x="1974024" y="48425"/>
                                </a:lnTo>
                                <a:lnTo>
                                  <a:pt x="1974024" y="36055"/>
                                </a:lnTo>
                                <a:lnTo>
                                  <a:pt x="1978964" y="36055"/>
                                </a:lnTo>
                                <a:lnTo>
                                  <a:pt x="1978964" y="31686"/>
                                </a:lnTo>
                                <a:close/>
                              </a:path>
                              <a:path w="2590165" h="63500">
                                <a:moveTo>
                                  <a:pt x="1993252" y="28562"/>
                                </a:moveTo>
                                <a:lnTo>
                                  <a:pt x="1992566" y="19138"/>
                                </a:lnTo>
                                <a:lnTo>
                                  <a:pt x="1990775" y="11341"/>
                                </a:lnTo>
                                <a:lnTo>
                                  <a:pt x="1988312" y="5168"/>
                                </a:lnTo>
                                <a:lnTo>
                                  <a:pt x="1985594" y="546"/>
                                </a:lnTo>
                                <a:lnTo>
                                  <a:pt x="1981415" y="546"/>
                                </a:lnTo>
                                <a:lnTo>
                                  <a:pt x="1984222" y="5803"/>
                                </a:lnTo>
                                <a:lnTo>
                                  <a:pt x="1986521" y="12230"/>
                                </a:lnTo>
                                <a:lnTo>
                                  <a:pt x="1988083" y="19812"/>
                                </a:lnTo>
                                <a:lnTo>
                                  <a:pt x="1988654" y="28562"/>
                                </a:lnTo>
                                <a:lnTo>
                                  <a:pt x="1988083" y="37350"/>
                                </a:lnTo>
                                <a:lnTo>
                                  <a:pt x="1986521" y="44983"/>
                                </a:lnTo>
                                <a:lnTo>
                                  <a:pt x="1984222" y="51447"/>
                                </a:lnTo>
                                <a:lnTo>
                                  <a:pt x="1981415" y="56718"/>
                                </a:lnTo>
                                <a:lnTo>
                                  <a:pt x="1985594" y="56718"/>
                                </a:lnTo>
                                <a:lnTo>
                                  <a:pt x="1988286" y="52006"/>
                                </a:lnTo>
                                <a:lnTo>
                                  <a:pt x="1990725" y="45783"/>
                                </a:lnTo>
                                <a:lnTo>
                                  <a:pt x="1992503" y="37998"/>
                                </a:lnTo>
                                <a:lnTo>
                                  <a:pt x="1993252" y="28562"/>
                                </a:lnTo>
                                <a:close/>
                              </a:path>
                              <a:path w="2590165" h="63500">
                                <a:moveTo>
                                  <a:pt x="2254237" y="1778"/>
                                </a:moveTo>
                                <a:lnTo>
                                  <a:pt x="2249436" y="1778"/>
                                </a:lnTo>
                                <a:lnTo>
                                  <a:pt x="2249436" y="26543"/>
                                </a:lnTo>
                                <a:lnTo>
                                  <a:pt x="2249640" y="32575"/>
                                </a:lnTo>
                                <a:lnTo>
                                  <a:pt x="2250059" y="39903"/>
                                </a:lnTo>
                                <a:lnTo>
                                  <a:pt x="2249919" y="39903"/>
                                </a:lnTo>
                                <a:lnTo>
                                  <a:pt x="2248319" y="34861"/>
                                </a:lnTo>
                                <a:lnTo>
                                  <a:pt x="2235301" y="1778"/>
                                </a:lnTo>
                                <a:lnTo>
                                  <a:pt x="2230234" y="1778"/>
                                </a:lnTo>
                                <a:lnTo>
                                  <a:pt x="2230234" y="48412"/>
                                </a:lnTo>
                                <a:lnTo>
                                  <a:pt x="2235098" y="48412"/>
                                </a:lnTo>
                                <a:lnTo>
                                  <a:pt x="2235098" y="22326"/>
                                </a:lnTo>
                                <a:lnTo>
                                  <a:pt x="2234958" y="16383"/>
                                </a:lnTo>
                                <a:lnTo>
                                  <a:pt x="2234539" y="10147"/>
                                </a:lnTo>
                                <a:lnTo>
                                  <a:pt x="2234692" y="10147"/>
                                </a:lnTo>
                                <a:lnTo>
                                  <a:pt x="2236343" y="15963"/>
                                </a:lnTo>
                                <a:lnTo>
                                  <a:pt x="2238375" y="21285"/>
                                </a:lnTo>
                                <a:lnTo>
                                  <a:pt x="2249144" y="48412"/>
                                </a:lnTo>
                                <a:lnTo>
                                  <a:pt x="2254237" y="48412"/>
                                </a:lnTo>
                                <a:lnTo>
                                  <a:pt x="2254237" y="1778"/>
                                </a:lnTo>
                                <a:close/>
                              </a:path>
                              <a:path w="2590165" h="63500">
                                <a:moveTo>
                                  <a:pt x="2281390" y="21577"/>
                                </a:moveTo>
                                <a:lnTo>
                                  <a:pt x="2280234" y="18516"/>
                                </a:lnTo>
                                <a:lnTo>
                                  <a:pt x="2278672" y="14376"/>
                                </a:lnTo>
                                <a:lnTo>
                                  <a:pt x="2276386" y="14376"/>
                                </a:lnTo>
                                <a:lnTo>
                                  <a:pt x="2276386" y="21577"/>
                                </a:lnTo>
                                <a:lnTo>
                                  <a:pt x="2276335" y="23647"/>
                                </a:lnTo>
                                <a:lnTo>
                                  <a:pt x="2276233" y="28206"/>
                                </a:lnTo>
                                <a:lnTo>
                                  <a:pt x="2265730" y="28206"/>
                                </a:lnTo>
                                <a:lnTo>
                                  <a:pt x="2265934" y="23647"/>
                                </a:lnTo>
                                <a:lnTo>
                                  <a:pt x="2267750" y="18516"/>
                                </a:lnTo>
                                <a:lnTo>
                                  <a:pt x="2273808" y="18516"/>
                                </a:lnTo>
                                <a:lnTo>
                                  <a:pt x="2276081" y="21145"/>
                                </a:lnTo>
                                <a:lnTo>
                                  <a:pt x="2276386" y="21577"/>
                                </a:lnTo>
                                <a:lnTo>
                                  <a:pt x="2276386" y="14376"/>
                                </a:lnTo>
                                <a:lnTo>
                                  <a:pt x="2265032" y="14376"/>
                                </a:lnTo>
                                <a:lnTo>
                                  <a:pt x="2260447" y="21145"/>
                                </a:lnTo>
                                <a:lnTo>
                                  <a:pt x="2260536" y="42392"/>
                                </a:lnTo>
                                <a:lnTo>
                                  <a:pt x="2264626" y="48818"/>
                                </a:lnTo>
                                <a:lnTo>
                                  <a:pt x="2275344" y="48818"/>
                                </a:lnTo>
                                <a:lnTo>
                                  <a:pt x="2278189" y="48272"/>
                                </a:lnTo>
                                <a:lnTo>
                                  <a:pt x="2280069" y="47231"/>
                                </a:lnTo>
                                <a:lnTo>
                                  <a:pt x="2279510" y="44602"/>
                                </a:lnTo>
                                <a:lnTo>
                                  <a:pt x="2279231" y="43281"/>
                                </a:lnTo>
                                <a:lnTo>
                                  <a:pt x="2277910" y="44056"/>
                                </a:lnTo>
                                <a:lnTo>
                                  <a:pt x="2275967" y="44602"/>
                                </a:lnTo>
                                <a:lnTo>
                                  <a:pt x="2269769" y="44602"/>
                                </a:lnTo>
                                <a:lnTo>
                                  <a:pt x="2265730" y="42392"/>
                                </a:lnTo>
                                <a:lnTo>
                                  <a:pt x="2265667" y="32156"/>
                                </a:lnTo>
                                <a:lnTo>
                                  <a:pt x="2281313" y="32156"/>
                                </a:lnTo>
                                <a:lnTo>
                                  <a:pt x="2281339" y="28206"/>
                                </a:lnTo>
                                <a:lnTo>
                                  <a:pt x="2281390" y="21577"/>
                                </a:lnTo>
                                <a:close/>
                              </a:path>
                              <a:path w="2590165" h="63500">
                                <a:moveTo>
                                  <a:pt x="2305354" y="48412"/>
                                </a:moveTo>
                                <a:lnTo>
                                  <a:pt x="2305012" y="46266"/>
                                </a:lnTo>
                                <a:lnTo>
                                  <a:pt x="2305012" y="31115"/>
                                </a:lnTo>
                                <a:lnTo>
                                  <a:pt x="2305012" y="18808"/>
                                </a:lnTo>
                                <a:lnTo>
                                  <a:pt x="2304872" y="18605"/>
                                </a:lnTo>
                                <a:lnTo>
                                  <a:pt x="2302091" y="14389"/>
                                </a:lnTo>
                                <a:lnTo>
                                  <a:pt x="2299728" y="14389"/>
                                </a:lnTo>
                                <a:lnTo>
                                  <a:pt x="2299728" y="31115"/>
                                </a:lnTo>
                                <a:lnTo>
                                  <a:pt x="2299728" y="39154"/>
                                </a:lnTo>
                                <a:lnTo>
                                  <a:pt x="2299576" y="39776"/>
                                </a:lnTo>
                                <a:lnTo>
                                  <a:pt x="2298954" y="43078"/>
                                </a:lnTo>
                                <a:lnTo>
                                  <a:pt x="2296845" y="44894"/>
                                </a:lnTo>
                                <a:lnTo>
                                  <a:pt x="2292794" y="44894"/>
                                </a:lnTo>
                                <a:lnTo>
                                  <a:pt x="2290470" y="43230"/>
                                </a:lnTo>
                                <a:lnTo>
                                  <a:pt x="2290470" y="31610"/>
                                </a:lnTo>
                                <a:lnTo>
                                  <a:pt x="2296934" y="31115"/>
                                </a:lnTo>
                                <a:lnTo>
                                  <a:pt x="2299728" y="31115"/>
                                </a:lnTo>
                                <a:lnTo>
                                  <a:pt x="2299728" y="14389"/>
                                </a:lnTo>
                                <a:lnTo>
                                  <a:pt x="2292007" y="14389"/>
                                </a:lnTo>
                                <a:lnTo>
                                  <a:pt x="2288883" y="15544"/>
                                </a:lnTo>
                                <a:lnTo>
                                  <a:pt x="2287473" y="16586"/>
                                </a:lnTo>
                                <a:lnTo>
                                  <a:pt x="2288667" y="20320"/>
                                </a:lnTo>
                                <a:lnTo>
                                  <a:pt x="2290267" y="19291"/>
                                </a:lnTo>
                                <a:lnTo>
                                  <a:pt x="2292134" y="18605"/>
                                </a:lnTo>
                                <a:lnTo>
                                  <a:pt x="2298471" y="18605"/>
                                </a:lnTo>
                                <a:lnTo>
                                  <a:pt x="2299576" y="21717"/>
                                </a:lnTo>
                                <a:lnTo>
                                  <a:pt x="2299576" y="27317"/>
                                </a:lnTo>
                                <a:lnTo>
                                  <a:pt x="2292007" y="27317"/>
                                </a:lnTo>
                                <a:lnTo>
                                  <a:pt x="2285250" y="31115"/>
                                </a:lnTo>
                                <a:lnTo>
                                  <a:pt x="2285250" y="45161"/>
                                </a:lnTo>
                                <a:lnTo>
                                  <a:pt x="2288730" y="48971"/>
                                </a:lnTo>
                                <a:lnTo>
                                  <a:pt x="2296109" y="48971"/>
                                </a:lnTo>
                                <a:lnTo>
                                  <a:pt x="2298471" y="47447"/>
                                </a:lnTo>
                                <a:lnTo>
                                  <a:pt x="2299932" y="44894"/>
                                </a:lnTo>
                                <a:lnTo>
                                  <a:pt x="2300135" y="44894"/>
                                </a:lnTo>
                                <a:lnTo>
                                  <a:pt x="2300160" y="45161"/>
                                </a:lnTo>
                                <a:lnTo>
                                  <a:pt x="2300262" y="46266"/>
                                </a:lnTo>
                                <a:lnTo>
                                  <a:pt x="2300389" y="47447"/>
                                </a:lnTo>
                                <a:lnTo>
                                  <a:pt x="2300490" y="48412"/>
                                </a:lnTo>
                                <a:lnTo>
                                  <a:pt x="2305354" y="48412"/>
                                </a:lnTo>
                                <a:close/>
                              </a:path>
                              <a:path w="2590165" h="63500">
                                <a:moveTo>
                                  <a:pt x="2325598" y="14439"/>
                                </a:moveTo>
                                <a:lnTo>
                                  <a:pt x="2324900" y="14376"/>
                                </a:lnTo>
                                <a:lnTo>
                                  <a:pt x="2321356" y="14376"/>
                                </a:lnTo>
                                <a:lnTo>
                                  <a:pt x="2318512" y="17005"/>
                                </a:lnTo>
                                <a:lnTo>
                                  <a:pt x="2317407" y="20180"/>
                                </a:lnTo>
                                <a:lnTo>
                                  <a:pt x="2317254" y="20180"/>
                                </a:lnTo>
                                <a:lnTo>
                                  <a:pt x="2316975" y="14922"/>
                                </a:lnTo>
                                <a:lnTo>
                                  <a:pt x="2312187" y="14922"/>
                                </a:lnTo>
                                <a:lnTo>
                                  <a:pt x="2312238" y="17424"/>
                                </a:lnTo>
                                <a:lnTo>
                                  <a:pt x="2312454" y="20739"/>
                                </a:lnTo>
                                <a:lnTo>
                                  <a:pt x="2312454" y="23571"/>
                                </a:lnTo>
                                <a:lnTo>
                                  <a:pt x="2312454" y="48412"/>
                                </a:lnTo>
                                <a:lnTo>
                                  <a:pt x="2317813" y="48412"/>
                                </a:lnTo>
                                <a:lnTo>
                                  <a:pt x="2317813" y="28765"/>
                                </a:lnTo>
                                <a:lnTo>
                                  <a:pt x="2317889" y="27724"/>
                                </a:lnTo>
                                <a:lnTo>
                                  <a:pt x="2318575" y="22948"/>
                                </a:lnTo>
                                <a:lnTo>
                                  <a:pt x="2321090" y="19837"/>
                                </a:lnTo>
                                <a:lnTo>
                                  <a:pt x="2325255" y="19837"/>
                                </a:lnTo>
                                <a:lnTo>
                                  <a:pt x="2325598" y="19913"/>
                                </a:lnTo>
                                <a:lnTo>
                                  <a:pt x="2325598" y="14439"/>
                                </a:lnTo>
                                <a:close/>
                              </a:path>
                              <a:path w="2590165" h="63500">
                                <a:moveTo>
                                  <a:pt x="2335174" y="533"/>
                                </a:moveTo>
                                <a:lnTo>
                                  <a:pt x="2329815" y="533"/>
                                </a:lnTo>
                                <a:lnTo>
                                  <a:pt x="2329815" y="48412"/>
                                </a:lnTo>
                                <a:lnTo>
                                  <a:pt x="2335174" y="48412"/>
                                </a:lnTo>
                                <a:lnTo>
                                  <a:pt x="2335174" y="533"/>
                                </a:lnTo>
                                <a:close/>
                              </a:path>
                              <a:path w="2590165" h="63500">
                                <a:moveTo>
                                  <a:pt x="2362581" y="14922"/>
                                </a:moveTo>
                                <a:lnTo>
                                  <a:pt x="2357285" y="14922"/>
                                </a:lnTo>
                                <a:lnTo>
                                  <a:pt x="2351875" y="41084"/>
                                </a:lnTo>
                                <a:lnTo>
                                  <a:pt x="2351722" y="41084"/>
                                </a:lnTo>
                                <a:lnTo>
                                  <a:pt x="2350960" y="36791"/>
                                </a:lnTo>
                                <a:lnTo>
                                  <a:pt x="2345880" y="14922"/>
                                </a:lnTo>
                                <a:lnTo>
                                  <a:pt x="2340254" y="14922"/>
                                </a:lnTo>
                                <a:lnTo>
                                  <a:pt x="2348865" y="46266"/>
                                </a:lnTo>
                                <a:lnTo>
                                  <a:pt x="2348801" y="47929"/>
                                </a:lnTo>
                                <a:lnTo>
                                  <a:pt x="2340737" y="58585"/>
                                </a:lnTo>
                                <a:lnTo>
                                  <a:pt x="2342680" y="63144"/>
                                </a:lnTo>
                                <a:lnTo>
                                  <a:pt x="2357082" y="36436"/>
                                </a:lnTo>
                                <a:lnTo>
                                  <a:pt x="2362581" y="14922"/>
                                </a:lnTo>
                                <a:close/>
                              </a:path>
                              <a:path w="2590165" h="63500">
                                <a:moveTo>
                                  <a:pt x="2396286" y="48412"/>
                                </a:moveTo>
                                <a:lnTo>
                                  <a:pt x="2395944" y="46266"/>
                                </a:lnTo>
                                <a:lnTo>
                                  <a:pt x="2395944" y="31115"/>
                                </a:lnTo>
                                <a:lnTo>
                                  <a:pt x="2395944" y="18808"/>
                                </a:lnTo>
                                <a:lnTo>
                                  <a:pt x="2395804" y="18605"/>
                                </a:lnTo>
                                <a:lnTo>
                                  <a:pt x="2393023" y="14389"/>
                                </a:lnTo>
                                <a:lnTo>
                                  <a:pt x="2390660" y="14389"/>
                                </a:lnTo>
                                <a:lnTo>
                                  <a:pt x="2390660" y="31115"/>
                                </a:lnTo>
                                <a:lnTo>
                                  <a:pt x="2390660" y="39154"/>
                                </a:lnTo>
                                <a:lnTo>
                                  <a:pt x="2390508" y="39776"/>
                                </a:lnTo>
                                <a:lnTo>
                                  <a:pt x="2389886" y="43078"/>
                                </a:lnTo>
                                <a:lnTo>
                                  <a:pt x="2387777" y="44894"/>
                                </a:lnTo>
                                <a:lnTo>
                                  <a:pt x="2383726" y="44894"/>
                                </a:lnTo>
                                <a:lnTo>
                                  <a:pt x="2381402" y="43230"/>
                                </a:lnTo>
                                <a:lnTo>
                                  <a:pt x="2381402" y="31610"/>
                                </a:lnTo>
                                <a:lnTo>
                                  <a:pt x="2387866" y="31115"/>
                                </a:lnTo>
                                <a:lnTo>
                                  <a:pt x="2390660" y="31115"/>
                                </a:lnTo>
                                <a:lnTo>
                                  <a:pt x="2390660" y="14389"/>
                                </a:lnTo>
                                <a:lnTo>
                                  <a:pt x="2382939" y="14389"/>
                                </a:lnTo>
                                <a:lnTo>
                                  <a:pt x="2379815" y="15544"/>
                                </a:lnTo>
                                <a:lnTo>
                                  <a:pt x="2378405" y="16586"/>
                                </a:lnTo>
                                <a:lnTo>
                                  <a:pt x="2379599" y="20320"/>
                                </a:lnTo>
                                <a:lnTo>
                                  <a:pt x="2381199" y="19291"/>
                                </a:lnTo>
                                <a:lnTo>
                                  <a:pt x="2383066" y="18605"/>
                                </a:lnTo>
                                <a:lnTo>
                                  <a:pt x="2389403" y="18605"/>
                                </a:lnTo>
                                <a:lnTo>
                                  <a:pt x="2390508" y="21717"/>
                                </a:lnTo>
                                <a:lnTo>
                                  <a:pt x="2390508" y="27317"/>
                                </a:lnTo>
                                <a:lnTo>
                                  <a:pt x="2382939" y="27317"/>
                                </a:lnTo>
                                <a:lnTo>
                                  <a:pt x="2376182" y="31115"/>
                                </a:lnTo>
                                <a:lnTo>
                                  <a:pt x="2376182" y="45161"/>
                                </a:lnTo>
                                <a:lnTo>
                                  <a:pt x="2379662" y="48971"/>
                                </a:lnTo>
                                <a:lnTo>
                                  <a:pt x="2387041" y="48971"/>
                                </a:lnTo>
                                <a:lnTo>
                                  <a:pt x="2389403" y="47447"/>
                                </a:lnTo>
                                <a:lnTo>
                                  <a:pt x="2390864" y="44894"/>
                                </a:lnTo>
                                <a:lnTo>
                                  <a:pt x="2391067" y="44894"/>
                                </a:lnTo>
                                <a:lnTo>
                                  <a:pt x="2391092" y="45161"/>
                                </a:lnTo>
                                <a:lnTo>
                                  <a:pt x="2391206" y="46266"/>
                                </a:lnTo>
                                <a:lnTo>
                                  <a:pt x="2391321" y="47447"/>
                                </a:lnTo>
                                <a:lnTo>
                                  <a:pt x="2391422" y="48412"/>
                                </a:lnTo>
                                <a:lnTo>
                                  <a:pt x="2396286" y="48412"/>
                                </a:lnTo>
                                <a:close/>
                              </a:path>
                              <a:path w="2590165" h="63500">
                                <a:moveTo>
                                  <a:pt x="2408847" y="533"/>
                                </a:moveTo>
                                <a:lnTo>
                                  <a:pt x="2403487" y="533"/>
                                </a:lnTo>
                                <a:lnTo>
                                  <a:pt x="2403487" y="48412"/>
                                </a:lnTo>
                                <a:lnTo>
                                  <a:pt x="2408847" y="48412"/>
                                </a:lnTo>
                                <a:lnTo>
                                  <a:pt x="2408847" y="533"/>
                                </a:lnTo>
                                <a:close/>
                              </a:path>
                              <a:path w="2590165" h="63500">
                                <a:moveTo>
                                  <a:pt x="2451417" y="14922"/>
                                </a:moveTo>
                                <a:lnTo>
                                  <a:pt x="2446058" y="14922"/>
                                </a:lnTo>
                                <a:lnTo>
                                  <a:pt x="2441460" y="38455"/>
                                </a:lnTo>
                                <a:lnTo>
                                  <a:pt x="2441054" y="41973"/>
                                </a:lnTo>
                                <a:lnTo>
                                  <a:pt x="2440775" y="41973"/>
                                </a:lnTo>
                                <a:lnTo>
                                  <a:pt x="2440216" y="38239"/>
                                </a:lnTo>
                                <a:lnTo>
                                  <a:pt x="2434933" y="14922"/>
                                </a:lnTo>
                                <a:lnTo>
                                  <a:pt x="2430830" y="14922"/>
                                </a:lnTo>
                                <a:lnTo>
                                  <a:pt x="2426157" y="34645"/>
                                </a:lnTo>
                                <a:lnTo>
                                  <a:pt x="2425331" y="38506"/>
                                </a:lnTo>
                                <a:lnTo>
                                  <a:pt x="2424849" y="41973"/>
                                </a:lnTo>
                                <a:lnTo>
                                  <a:pt x="2424557" y="41973"/>
                                </a:lnTo>
                                <a:lnTo>
                                  <a:pt x="2424138" y="38506"/>
                                </a:lnTo>
                                <a:lnTo>
                                  <a:pt x="2423388" y="34912"/>
                                </a:lnTo>
                                <a:lnTo>
                                  <a:pt x="2422753" y="31318"/>
                                </a:lnTo>
                                <a:lnTo>
                                  <a:pt x="2419489" y="14922"/>
                                </a:lnTo>
                                <a:lnTo>
                                  <a:pt x="2413927" y="14922"/>
                                </a:lnTo>
                                <a:lnTo>
                                  <a:pt x="2422131" y="48412"/>
                                </a:lnTo>
                                <a:lnTo>
                                  <a:pt x="2426639" y="48412"/>
                                </a:lnTo>
                                <a:lnTo>
                                  <a:pt x="2430691" y="32359"/>
                                </a:lnTo>
                                <a:lnTo>
                                  <a:pt x="2431440" y="29171"/>
                                </a:lnTo>
                                <a:lnTo>
                                  <a:pt x="2432075" y="26060"/>
                                </a:lnTo>
                                <a:lnTo>
                                  <a:pt x="2432634" y="22110"/>
                                </a:lnTo>
                                <a:lnTo>
                                  <a:pt x="2432774" y="22110"/>
                                </a:lnTo>
                                <a:lnTo>
                                  <a:pt x="2433815" y="28905"/>
                                </a:lnTo>
                                <a:lnTo>
                                  <a:pt x="2434653" y="32143"/>
                                </a:lnTo>
                                <a:lnTo>
                                  <a:pt x="2438552" y="48412"/>
                                </a:lnTo>
                                <a:lnTo>
                                  <a:pt x="2442934" y="48412"/>
                                </a:lnTo>
                                <a:lnTo>
                                  <a:pt x="2451417" y="14922"/>
                                </a:lnTo>
                                <a:close/>
                              </a:path>
                              <a:path w="2590165" h="63500">
                                <a:moveTo>
                                  <a:pt x="2473718" y="48412"/>
                                </a:moveTo>
                                <a:lnTo>
                                  <a:pt x="2473375" y="46266"/>
                                </a:lnTo>
                                <a:lnTo>
                                  <a:pt x="2473375" y="31115"/>
                                </a:lnTo>
                                <a:lnTo>
                                  <a:pt x="2473375" y="18808"/>
                                </a:lnTo>
                                <a:lnTo>
                                  <a:pt x="2473248" y="18605"/>
                                </a:lnTo>
                                <a:lnTo>
                                  <a:pt x="2470454" y="14389"/>
                                </a:lnTo>
                                <a:lnTo>
                                  <a:pt x="2468092" y="14389"/>
                                </a:lnTo>
                                <a:lnTo>
                                  <a:pt x="2468092" y="31115"/>
                                </a:lnTo>
                                <a:lnTo>
                                  <a:pt x="2468092" y="39154"/>
                                </a:lnTo>
                                <a:lnTo>
                                  <a:pt x="2467940" y="39776"/>
                                </a:lnTo>
                                <a:lnTo>
                                  <a:pt x="2467318" y="43078"/>
                                </a:lnTo>
                                <a:lnTo>
                                  <a:pt x="2465209" y="44894"/>
                                </a:lnTo>
                                <a:lnTo>
                                  <a:pt x="2461171" y="44894"/>
                                </a:lnTo>
                                <a:lnTo>
                                  <a:pt x="2458834" y="43230"/>
                                </a:lnTo>
                                <a:lnTo>
                                  <a:pt x="2458834" y="31610"/>
                                </a:lnTo>
                                <a:lnTo>
                                  <a:pt x="2465298" y="31115"/>
                                </a:lnTo>
                                <a:lnTo>
                                  <a:pt x="2468092" y="31115"/>
                                </a:lnTo>
                                <a:lnTo>
                                  <a:pt x="2468092" y="14389"/>
                                </a:lnTo>
                                <a:lnTo>
                                  <a:pt x="2460371" y="14389"/>
                                </a:lnTo>
                                <a:lnTo>
                                  <a:pt x="2457246" y="15544"/>
                                </a:lnTo>
                                <a:lnTo>
                                  <a:pt x="2455837" y="16586"/>
                                </a:lnTo>
                                <a:lnTo>
                                  <a:pt x="2457031" y="20320"/>
                                </a:lnTo>
                                <a:lnTo>
                                  <a:pt x="2458631" y="19291"/>
                                </a:lnTo>
                                <a:lnTo>
                                  <a:pt x="2460498" y="18605"/>
                                </a:lnTo>
                                <a:lnTo>
                                  <a:pt x="2466835" y="18605"/>
                                </a:lnTo>
                                <a:lnTo>
                                  <a:pt x="2467940" y="21717"/>
                                </a:lnTo>
                                <a:lnTo>
                                  <a:pt x="2467940" y="27317"/>
                                </a:lnTo>
                                <a:lnTo>
                                  <a:pt x="2460371" y="27317"/>
                                </a:lnTo>
                                <a:lnTo>
                                  <a:pt x="2453614" y="31115"/>
                                </a:lnTo>
                                <a:lnTo>
                                  <a:pt x="2453614" y="45161"/>
                                </a:lnTo>
                                <a:lnTo>
                                  <a:pt x="2457094" y="48971"/>
                                </a:lnTo>
                                <a:lnTo>
                                  <a:pt x="2464473" y="48971"/>
                                </a:lnTo>
                                <a:lnTo>
                                  <a:pt x="2466835" y="47447"/>
                                </a:lnTo>
                                <a:lnTo>
                                  <a:pt x="2468295" y="44894"/>
                                </a:lnTo>
                                <a:lnTo>
                                  <a:pt x="2468499" y="44894"/>
                                </a:lnTo>
                                <a:lnTo>
                                  <a:pt x="2468524" y="45161"/>
                                </a:lnTo>
                                <a:lnTo>
                                  <a:pt x="2468638" y="46266"/>
                                </a:lnTo>
                                <a:lnTo>
                                  <a:pt x="2468765" y="47447"/>
                                </a:lnTo>
                                <a:lnTo>
                                  <a:pt x="2468854" y="48412"/>
                                </a:lnTo>
                                <a:lnTo>
                                  <a:pt x="2473718" y="48412"/>
                                </a:lnTo>
                                <a:close/>
                              </a:path>
                              <a:path w="2590165" h="63500">
                                <a:moveTo>
                                  <a:pt x="2499703" y="14922"/>
                                </a:moveTo>
                                <a:lnTo>
                                  <a:pt x="2494407" y="14922"/>
                                </a:lnTo>
                                <a:lnTo>
                                  <a:pt x="2488996" y="41084"/>
                                </a:lnTo>
                                <a:lnTo>
                                  <a:pt x="2488844" y="41084"/>
                                </a:lnTo>
                                <a:lnTo>
                                  <a:pt x="2488082" y="36791"/>
                                </a:lnTo>
                                <a:lnTo>
                                  <a:pt x="2483002" y="14922"/>
                                </a:lnTo>
                                <a:lnTo>
                                  <a:pt x="2477376" y="14922"/>
                                </a:lnTo>
                                <a:lnTo>
                                  <a:pt x="2485987" y="46266"/>
                                </a:lnTo>
                                <a:lnTo>
                                  <a:pt x="2485923" y="47929"/>
                                </a:lnTo>
                                <a:lnTo>
                                  <a:pt x="2477859" y="58585"/>
                                </a:lnTo>
                                <a:lnTo>
                                  <a:pt x="2479802" y="63144"/>
                                </a:lnTo>
                                <a:lnTo>
                                  <a:pt x="2494203" y="36436"/>
                                </a:lnTo>
                                <a:lnTo>
                                  <a:pt x="2499703" y="14922"/>
                                </a:lnTo>
                                <a:close/>
                              </a:path>
                              <a:path w="2590165" h="63500">
                                <a:moveTo>
                                  <a:pt x="2518854" y="34226"/>
                                </a:moveTo>
                                <a:lnTo>
                                  <a:pt x="2515793" y="31191"/>
                                </a:lnTo>
                                <a:lnTo>
                                  <a:pt x="2511895" y="28702"/>
                                </a:lnTo>
                                <a:lnTo>
                                  <a:pt x="2508554" y="26416"/>
                                </a:lnTo>
                                <a:lnTo>
                                  <a:pt x="2507729" y="25171"/>
                                </a:lnTo>
                                <a:lnTo>
                                  <a:pt x="2507729" y="20751"/>
                                </a:lnTo>
                                <a:lnTo>
                                  <a:pt x="2509189" y="18669"/>
                                </a:lnTo>
                                <a:lnTo>
                                  <a:pt x="2513838" y="18669"/>
                                </a:lnTo>
                                <a:lnTo>
                                  <a:pt x="2515311" y="19304"/>
                                </a:lnTo>
                                <a:lnTo>
                                  <a:pt x="2516555" y="20129"/>
                                </a:lnTo>
                                <a:lnTo>
                                  <a:pt x="2518016" y="16116"/>
                                </a:lnTo>
                                <a:lnTo>
                                  <a:pt x="2516632" y="15278"/>
                                </a:lnTo>
                                <a:lnTo>
                                  <a:pt x="2514612" y="14389"/>
                                </a:lnTo>
                                <a:lnTo>
                                  <a:pt x="2506751" y="14389"/>
                                </a:lnTo>
                                <a:lnTo>
                                  <a:pt x="2502712" y="18262"/>
                                </a:lnTo>
                                <a:lnTo>
                                  <a:pt x="2502712" y="27520"/>
                                </a:lnTo>
                                <a:lnTo>
                                  <a:pt x="2505087" y="30365"/>
                                </a:lnTo>
                                <a:lnTo>
                                  <a:pt x="2509469" y="33197"/>
                                </a:lnTo>
                                <a:lnTo>
                                  <a:pt x="2512872" y="35483"/>
                                </a:lnTo>
                                <a:lnTo>
                                  <a:pt x="2513774" y="37211"/>
                                </a:lnTo>
                                <a:lnTo>
                                  <a:pt x="2513774" y="42748"/>
                                </a:lnTo>
                                <a:lnTo>
                                  <a:pt x="2511895" y="44615"/>
                                </a:lnTo>
                                <a:lnTo>
                                  <a:pt x="2506688" y="44615"/>
                                </a:lnTo>
                                <a:lnTo>
                                  <a:pt x="2504592" y="43649"/>
                                </a:lnTo>
                                <a:lnTo>
                                  <a:pt x="2503411" y="42887"/>
                                </a:lnTo>
                                <a:lnTo>
                                  <a:pt x="2502090" y="46888"/>
                                </a:lnTo>
                                <a:lnTo>
                                  <a:pt x="2503551" y="48069"/>
                                </a:lnTo>
                                <a:lnTo>
                                  <a:pt x="2506268" y="48831"/>
                                </a:lnTo>
                                <a:lnTo>
                                  <a:pt x="2514257" y="48831"/>
                                </a:lnTo>
                                <a:lnTo>
                                  <a:pt x="2518854" y="45580"/>
                                </a:lnTo>
                                <a:lnTo>
                                  <a:pt x="2518854" y="34226"/>
                                </a:lnTo>
                                <a:close/>
                              </a:path>
                              <a:path w="2590165" h="63500">
                                <a:moveTo>
                                  <a:pt x="2547467" y="546"/>
                                </a:moveTo>
                                <a:lnTo>
                                  <a:pt x="2543289" y="546"/>
                                </a:lnTo>
                                <a:lnTo>
                                  <a:pt x="2540597" y="5207"/>
                                </a:lnTo>
                                <a:lnTo>
                                  <a:pt x="2538171" y="11442"/>
                                </a:lnTo>
                                <a:lnTo>
                                  <a:pt x="2536393" y="19253"/>
                                </a:lnTo>
                                <a:lnTo>
                                  <a:pt x="2535631" y="28638"/>
                                </a:lnTo>
                                <a:lnTo>
                                  <a:pt x="2536329" y="37998"/>
                                </a:lnTo>
                                <a:lnTo>
                                  <a:pt x="2538107" y="45783"/>
                                </a:lnTo>
                                <a:lnTo>
                                  <a:pt x="2540571" y="52019"/>
                                </a:lnTo>
                                <a:lnTo>
                                  <a:pt x="2543289" y="56718"/>
                                </a:lnTo>
                                <a:lnTo>
                                  <a:pt x="2547467" y="56718"/>
                                </a:lnTo>
                                <a:lnTo>
                                  <a:pt x="2544673" y="51422"/>
                                </a:lnTo>
                                <a:lnTo>
                                  <a:pt x="2542375" y="44996"/>
                                </a:lnTo>
                                <a:lnTo>
                                  <a:pt x="2540812" y="37414"/>
                                </a:lnTo>
                                <a:lnTo>
                                  <a:pt x="2540241" y="28702"/>
                                </a:lnTo>
                                <a:lnTo>
                                  <a:pt x="2540812" y="19862"/>
                                </a:lnTo>
                                <a:lnTo>
                                  <a:pt x="2542375" y="12230"/>
                                </a:lnTo>
                                <a:lnTo>
                                  <a:pt x="2544673" y="5791"/>
                                </a:lnTo>
                                <a:lnTo>
                                  <a:pt x="2547467" y="546"/>
                                </a:lnTo>
                                <a:close/>
                              </a:path>
                              <a:path w="2590165" h="63500">
                                <a:moveTo>
                                  <a:pt x="2572397" y="3441"/>
                                </a:moveTo>
                                <a:lnTo>
                                  <a:pt x="2556192" y="3441"/>
                                </a:lnTo>
                                <a:lnTo>
                                  <a:pt x="2553335" y="24269"/>
                                </a:lnTo>
                                <a:lnTo>
                                  <a:pt x="2555202" y="24053"/>
                                </a:lnTo>
                                <a:lnTo>
                                  <a:pt x="2562720" y="24053"/>
                                </a:lnTo>
                                <a:lnTo>
                                  <a:pt x="2567114" y="27025"/>
                                </a:lnTo>
                                <a:lnTo>
                                  <a:pt x="2567114" y="41008"/>
                                </a:lnTo>
                                <a:lnTo>
                                  <a:pt x="2563139" y="44538"/>
                                </a:lnTo>
                                <a:lnTo>
                                  <a:pt x="2556052" y="44538"/>
                                </a:lnTo>
                                <a:lnTo>
                                  <a:pt x="2553614" y="43573"/>
                                </a:lnTo>
                                <a:lnTo>
                                  <a:pt x="2552217" y="42748"/>
                                </a:lnTo>
                                <a:lnTo>
                                  <a:pt x="2551036" y="47028"/>
                                </a:lnTo>
                                <a:lnTo>
                                  <a:pt x="2552852" y="48196"/>
                                </a:lnTo>
                                <a:lnTo>
                                  <a:pt x="2555976" y="48971"/>
                                </a:lnTo>
                                <a:lnTo>
                                  <a:pt x="2566771" y="48971"/>
                                </a:lnTo>
                                <a:lnTo>
                                  <a:pt x="2572397" y="42532"/>
                                </a:lnTo>
                                <a:lnTo>
                                  <a:pt x="2572397" y="29044"/>
                                </a:lnTo>
                                <a:lnTo>
                                  <a:pt x="2571013" y="25717"/>
                                </a:lnTo>
                                <a:lnTo>
                                  <a:pt x="2566212" y="21018"/>
                                </a:lnTo>
                                <a:lnTo>
                                  <a:pt x="2562453" y="19977"/>
                                </a:lnTo>
                                <a:lnTo>
                                  <a:pt x="2558910" y="19977"/>
                                </a:lnTo>
                                <a:lnTo>
                                  <a:pt x="2558351" y="20116"/>
                                </a:lnTo>
                                <a:lnTo>
                                  <a:pt x="2560218" y="8153"/>
                                </a:lnTo>
                                <a:lnTo>
                                  <a:pt x="2572397" y="8153"/>
                                </a:lnTo>
                                <a:lnTo>
                                  <a:pt x="2572397" y="3441"/>
                                </a:lnTo>
                                <a:close/>
                              </a:path>
                              <a:path w="2590165" h="63500">
                                <a:moveTo>
                                  <a:pt x="2589619" y="28549"/>
                                </a:moveTo>
                                <a:lnTo>
                                  <a:pt x="2588933" y="19126"/>
                                </a:lnTo>
                                <a:lnTo>
                                  <a:pt x="2587142" y="11328"/>
                                </a:lnTo>
                                <a:lnTo>
                                  <a:pt x="2584678" y="5156"/>
                                </a:lnTo>
                                <a:lnTo>
                                  <a:pt x="2581960" y="533"/>
                                </a:lnTo>
                                <a:lnTo>
                                  <a:pt x="2577782" y="533"/>
                                </a:lnTo>
                                <a:lnTo>
                                  <a:pt x="2580589" y="5791"/>
                                </a:lnTo>
                                <a:lnTo>
                                  <a:pt x="2582888" y="12217"/>
                                </a:lnTo>
                                <a:lnTo>
                                  <a:pt x="2584450" y="19799"/>
                                </a:lnTo>
                                <a:lnTo>
                                  <a:pt x="2585021" y="28549"/>
                                </a:lnTo>
                                <a:lnTo>
                                  <a:pt x="2584450" y="37338"/>
                                </a:lnTo>
                                <a:lnTo>
                                  <a:pt x="2582888" y="44970"/>
                                </a:lnTo>
                                <a:lnTo>
                                  <a:pt x="2580589" y="51435"/>
                                </a:lnTo>
                                <a:lnTo>
                                  <a:pt x="2577782" y="56705"/>
                                </a:lnTo>
                                <a:lnTo>
                                  <a:pt x="2581960" y="56705"/>
                                </a:lnTo>
                                <a:lnTo>
                                  <a:pt x="2584653" y="51993"/>
                                </a:lnTo>
                                <a:lnTo>
                                  <a:pt x="2587091" y="45770"/>
                                </a:lnTo>
                                <a:lnTo>
                                  <a:pt x="2588869" y="37985"/>
                                </a:lnTo>
                                <a:lnTo>
                                  <a:pt x="2589619" y="28549"/>
                                </a:lnTo>
                                <a:close/>
                              </a:path>
                            </a:pathLst>
                          </a:custGeom>
                          <a:solidFill>
                            <a:srgbClr val="231F20"/>
                          </a:solidFill>
                        </wps:spPr>
                        <wps:bodyPr wrap="square" lIns="0" tIns="0" rIns="0" bIns="0" rtlCol="0">
                          <a:prstTxWarp prst="textNoShape">
                            <a:avLst/>
                          </a:prstTxWarp>
                          <a:noAutofit/>
                        </wps:bodyPr>
                      </wps:wsp>
                      <pic:pic>
                        <pic:nvPicPr>
                          <pic:cNvPr id="1956" name="Image 1956"/>
                          <pic:cNvPicPr/>
                        </pic:nvPicPr>
                        <pic:blipFill>
                          <a:blip r:embed="rId155" cstate="print"/>
                          <a:stretch>
                            <a:fillRect/>
                          </a:stretch>
                        </pic:blipFill>
                        <pic:spPr>
                          <a:xfrm>
                            <a:off x="2619082" y="3212845"/>
                            <a:ext cx="2301265" cy="100787"/>
                          </a:xfrm>
                          <a:prstGeom prst="rect">
                            <a:avLst/>
                          </a:prstGeom>
                        </pic:spPr>
                      </pic:pic>
                      <wps:wsp>
                        <wps:cNvPr id="1957" name="Graphic 1957"/>
                        <wps:cNvSpPr/>
                        <wps:spPr>
                          <a:xfrm>
                            <a:off x="2619081" y="3212843"/>
                            <a:ext cx="2301875" cy="100965"/>
                          </a:xfrm>
                          <a:custGeom>
                            <a:avLst/>
                            <a:gdLst/>
                            <a:ahLst/>
                            <a:cxnLst/>
                            <a:rect l="l" t="t" r="r" b="b"/>
                            <a:pathLst>
                              <a:path w="2301875" h="100965">
                                <a:moveTo>
                                  <a:pt x="2301265" y="100799"/>
                                </a:moveTo>
                                <a:lnTo>
                                  <a:pt x="0" y="100799"/>
                                </a:lnTo>
                                <a:lnTo>
                                  <a:pt x="0" y="0"/>
                                </a:lnTo>
                                <a:lnTo>
                                  <a:pt x="2301265" y="0"/>
                                </a:lnTo>
                                <a:lnTo>
                                  <a:pt x="2301265" y="100799"/>
                                </a:lnTo>
                                <a:close/>
                              </a:path>
                            </a:pathLst>
                          </a:custGeom>
                          <a:ln w="4444">
                            <a:solidFill>
                              <a:srgbClr val="231F20"/>
                            </a:solidFill>
                            <a:prstDash val="solid"/>
                          </a:ln>
                        </wps:spPr>
                        <wps:bodyPr wrap="square" lIns="0" tIns="0" rIns="0" bIns="0" rtlCol="0">
                          <a:prstTxWarp prst="textNoShape">
                            <a:avLst/>
                          </a:prstTxWarp>
                          <a:noAutofit/>
                        </wps:bodyPr>
                      </wps:wsp>
                      <pic:pic>
                        <pic:nvPicPr>
                          <pic:cNvPr id="1958" name="Image 1958"/>
                          <pic:cNvPicPr/>
                        </pic:nvPicPr>
                        <pic:blipFill>
                          <a:blip r:embed="rId156" cstate="print"/>
                          <a:stretch>
                            <a:fillRect/>
                          </a:stretch>
                        </pic:blipFill>
                        <pic:spPr>
                          <a:xfrm>
                            <a:off x="214476" y="520985"/>
                            <a:ext cx="6263259" cy="3149680"/>
                          </a:xfrm>
                          <a:prstGeom prst="rect">
                            <a:avLst/>
                          </a:prstGeom>
                        </pic:spPr>
                      </pic:pic>
                      <wps:wsp>
                        <wps:cNvPr id="1959" name="Graphic 1959"/>
                        <wps:cNvSpPr/>
                        <wps:spPr>
                          <a:xfrm>
                            <a:off x="283870" y="1294967"/>
                            <a:ext cx="6174105" cy="1552575"/>
                          </a:xfrm>
                          <a:custGeom>
                            <a:avLst/>
                            <a:gdLst/>
                            <a:ahLst/>
                            <a:cxnLst/>
                            <a:rect l="l" t="t" r="r" b="b"/>
                            <a:pathLst>
                              <a:path w="6174105" h="1552575">
                                <a:moveTo>
                                  <a:pt x="914" y="1112113"/>
                                </a:moveTo>
                                <a:lnTo>
                                  <a:pt x="0" y="1112113"/>
                                </a:lnTo>
                                <a:lnTo>
                                  <a:pt x="914" y="1113015"/>
                                </a:lnTo>
                                <a:lnTo>
                                  <a:pt x="914" y="1112113"/>
                                </a:lnTo>
                                <a:close/>
                              </a:path>
                              <a:path w="6174105" h="1552575">
                                <a:moveTo>
                                  <a:pt x="222808" y="937044"/>
                                </a:moveTo>
                                <a:lnTo>
                                  <a:pt x="221894" y="934313"/>
                                </a:lnTo>
                                <a:lnTo>
                                  <a:pt x="220980" y="934313"/>
                                </a:lnTo>
                                <a:lnTo>
                                  <a:pt x="220980" y="935228"/>
                                </a:lnTo>
                                <a:lnTo>
                                  <a:pt x="221894" y="935228"/>
                                </a:lnTo>
                                <a:lnTo>
                                  <a:pt x="221894" y="937044"/>
                                </a:lnTo>
                                <a:lnTo>
                                  <a:pt x="220980" y="937044"/>
                                </a:lnTo>
                                <a:lnTo>
                                  <a:pt x="221894" y="937945"/>
                                </a:lnTo>
                                <a:lnTo>
                                  <a:pt x="222808" y="937945"/>
                                </a:lnTo>
                                <a:lnTo>
                                  <a:pt x="222808" y="937044"/>
                                </a:lnTo>
                                <a:close/>
                              </a:path>
                              <a:path w="6174105" h="1552575">
                                <a:moveTo>
                                  <a:pt x="254774" y="986028"/>
                                </a:moveTo>
                                <a:lnTo>
                                  <a:pt x="252945" y="984211"/>
                                </a:lnTo>
                                <a:lnTo>
                                  <a:pt x="252031" y="984211"/>
                                </a:lnTo>
                                <a:lnTo>
                                  <a:pt x="254774" y="986028"/>
                                </a:lnTo>
                                <a:close/>
                              </a:path>
                              <a:path w="6174105" h="1552575">
                                <a:moveTo>
                                  <a:pt x="257505" y="991463"/>
                                </a:moveTo>
                                <a:lnTo>
                                  <a:pt x="254774" y="988745"/>
                                </a:lnTo>
                                <a:lnTo>
                                  <a:pt x="254774" y="986028"/>
                                </a:lnTo>
                                <a:lnTo>
                                  <a:pt x="253860" y="986929"/>
                                </a:lnTo>
                                <a:lnTo>
                                  <a:pt x="252945" y="988745"/>
                                </a:lnTo>
                                <a:lnTo>
                                  <a:pt x="251117" y="986929"/>
                                </a:lnTo>
                                <a:lnTo>
                                  <a:pt x="250202" y="987831"/>
                                </a:lnTo>
                                <a:lnTo>
                                  <a:pt x="252945" y="990561"/>
                                </a:lnTo>
                                <a:lnTo>
                                  <a:pt x="256590" y="992378"/>
                                </a:lnTo>
                                <a:lnTo>
                                  <a:pt x="257505" y="991463"/>
                                </a:lnTo>
                                <a:close/>
                              </a:path>
                              <a:path w="6174105" h="1552575">
                                <a:moveTo>
                                  <a:pt x="300431" y="1141133"/>
                                </a:moveTo>
                                <a:lnTo>
                                  <a:pt x="299516" y="1141133"/>
                                </a:lnTo>
                                <a:lnTo>
                                  <a:pt x="299516" y="1142949"/>
                                </a:lnTo>
                                <a:lnTo>
                                  <a:pt x="300431" y="1142949"/>
                                </a:lnTo>
                                <a:lnTo>
                                  <a:pt x="300431" y="1141133"/>
                                </a:lnTo>
                                <a:close/>
                              </a:path>
                              <a:path w="6174105" h="1552575">
                                <a:moveTo>
                                  <a:pt x="420039" y="1460436"/>
                                </a:moveTo>
                                <a:lnTo>
                                  <a:pt x="419125" y="1459534"/>
                                </a:lnTo>
                                <a:lnTo>
                                  <a:pt x="418223" y="1459534"/>
                                </a:lnTo>
                                <a:lnTo>
                                  <a:pt x="418223" y="1460436"/>
                                </a:lnTo>
                                <a:lnTo>
                                  <a:pt x="419125" y="1461338"/>
                                </a:lnTo>
                                <a:lnTo>
                                  <a:pt x="420039" y="1460436"/>
                                </a:lnTo>
                                <a:close/>
                              </a:path>
                              <a:path w="6174105" h="1552575">
                                <a:moveTo>
                                  <a:pt x="422783" y="1466786"/>
                                </a:moveTo>
                                <a:lnTo>
                                  <a:pt x="420954" y="1464068"/>
                                </a:lnTo>
                                <a:lnTo>
                                  <a:pt x="420039" y="1463154"/>
                                </a:lnTo>
                                <a:lnTo>
                                  <a:pt x="420039" y="1464068"/>
                                </a:lnTo>
                                <a:lnTo>
                                  <a:pt x="420954" y="1466786"/>
                                </a:lnTo>
                                <a:lnTo>
                                  <a:pt x="422783" y="1466786"/>
                                </a:lnTo>
                                <a:close/>
                              </a:path>
                              <a:path w="6174105" h="1552575">
                                <a:moveTo>
                                  <a:pt x="454748" y="1480388"/>
                                </a:moveTo>
                                <a:lnTo>
                                  <a:pt x="452005" y="1480388"/>
                                </a:lnTo>
                                <a:lnTo>
                                  <a:pt x="452005" y="1481302"/>
                                </a:lnTo>
                                <a:lnTo>
                                  <a:pt x="452920" y="1481302"/>
                                </a:lnTo>
                                <a:lnTo>
                                  <a:pt x="452920" y="1482204"/>
                                </a:lnTo>
                                <a:lnTo>
                                  <a:pt x="454748" y="1482204"/>
                                </a:lnTo>
                                <a:lnTo>
                                  <a:pt x="454748" y="1480388"/>
                                </a:lnTo>
                                <a:close/>
                              </a:path>
                              <a:path w="6174105" h="1552575">
                                <a:moveTo>
                                  <a:pt x="467525" y="1487652"/>
                                </a:moveTo>
                                <a:lnTo>
                                  <a:pt x="466610" y="1485836"/>
                                </a:lnTo>
                                <a:lnTo>
                                  <a:pt x="463880" y="1484934"/>
                                </a:lnTo>
                                <a:lnTo>
                                  <a:pt x="462965" y="1482204"/>
                                </a:lnTo>
                                <a:lnTo>
                                  <a:pt x="462051" y="1480388"/>
                                </a:lnTo>
                                <a:lnTo>
                                  <a:pt x="459308" y="1480388"/>
                                </a:lnTo>
                                <a:lnTo>
                                  <a:pt x="457479" y="1481302"/>
                                </a:lnTo>
                                <a:lnTo>
                                  <a:pt x="457479" y="1482204"/>
                                </a:lnTo>
                                <a:lnTo>
                                  <a:pt x="458393" y="1483118"/>
                                </a:lnTo>
                                <a:lnTo>
                                  <a:pt x="460222" y="1486738"/>
                                </a:lnTo>
                                <a:lnTo>
                                  <a:pt x="462051" y="1486738"/>
                                </a:lnTo>
                                <a:lnTo>
                                  <a:pt x="463880" y="1485836"/>
                                </a:lnTo>
                                <a:lnTo>
                                  <a:pt x="465696" y="1488554"/>
                                </a:lnTo>
                                <a:lnTo>
                                  <a:pt x="466610" y="1488554"/>
                                </a:lnTo>
                                <a:lnTo>
                                  <a:pt x="467525" y="1489468"/>
                                </a:lnTo>
                                <a:lnTo>
                                  <a:pt x="467525" y="1487652"/>
                                </a:lnTo>
                                <a:close/>
                              </a:path>
                              <a:path w="6174105" h="1552575">
                                <a:moveTo>
                                  <a:pt x="518668" y="1445018"/>
                                </a:moveTo>
                                <a:lnTo>
                                  <a:pt x="517753" y="1443202"/>
                                </a:lnTo>
                                <a:lnTo>
                                  <a:pt x="516851" y="1442300"/>
                                </a:lnTo>
                                <a:lnTo>
                                  <a:pt x="516839" y="1443202"/>
                                </a:lnTo>
                                <a:lnTo>
                                  <a:pt x="518668" y="1445018"/>
                                </a:lnTo>
                                <a:close/>
                              </a:path>
                              <a:path w="6174105" h="1552575">
                                <a:moveTo>
                                  <a:pt x="520496" y="1446834"/>
                                </a:moveTo>
                                <a:lnTo>
                                  <a:pt x="518668" y="1445018"/>
                                </a:lnTo>
                                <a:lnTo>
                                  <a:pt x="518668" y="1445920"/>
                                </a:lnTo>
                                <a:lnTo>
                                  <a:pt x="519582" y="1447736"/>
                                </a:lnTo>
                                <a:lnTo>
                                  <a:pt x="520496" y="1447736"/>
                                </a:lnTo>
                                <a:lnTo>
                                  <a:pt x="520496" y="1446834"/>
                                </a:lnTo>
                                <a:close/>
                              </a:path>
                              <a:path w="6174105" h="1552575">
                                <a:moveTo>
                                  <a:pt x="524154" y="1435049"/>
                                </a:moveTo>
                                <a:lnTo>
                                  <a:pt x="522312" y="1432318"/>
                                </a:lnTo>
                                <a:lnTo>
                                  <a:pt x="522312" y="1433220"/>
                                </a:lnTo>
                                <a:lnTo>
                                  <a:pt x="524154" y="1435049"/>
                                </a:lnTo>
                                <a:close/>
                              </a:path>
                              <a:path w="6174105" h="1552575">
                                <a:moveTo>
                                  <a:pt x="555193" y="1453184"/>
                                </a:moveTo>
                                <a:lnTo>
                                  <a:pt x="553364" y="1451368"/>
                                </a:lnTo>
                                <a:lnTo>
                                  <a:pt x="552450" y="1451368"/>
                                </a:lnTo>
                                <a:lnTo>
                                  <a:pt x="554278" y="1453184"/>
                                </a:lnTo>
                                <a:lnTo>
                                  <a:pt x="555193" y="1453184"/>
                                </a:lnTo>
                                <a:close/>
                              </a:path>
                              <a:path w="6174105" h="1552575">
                                <a:moveTo>
                                  <a:pt x="558838" y="1453184"/>
                                </a:moveTo>
                                <a:lnTo>
                                  <a:pt x="557022" y="1452270"/>
                                </a:lnTo>
                                <a:lnTo>
                                  <a:pt x="555193" y="1452270"/>
                                </a:lnTo>
                                <a:lnTo>
                                  <a:pt x="557022" y="1453184"/>
                                </a:lnTo>
                                <a:lnTo>
                                  <a:pt x="558838" y="1453184"/>
                                </a:lnTo>
                                <a:close/>
                              </a:path>
                              <a:path w="6174105" h="1552575">
                                <a:moveTo>
                                  <a:pt x="578015" y="1257249"/>
                                </a:moveTo>
                                <a:lnTo>
                                  <a:pt x="577100" y="1256334"/>
                                </a:lnTo>
                                <a:lnTo>
                                  <a:pt x="574370" y="1255433"/>
                                </a:lnTo>
                                <a:lnTo>
                                  <a:pt x="574370" y="1257249"/>
                                </a:lnTo>
                                <a:lnTo>
                                  <a:pt x="575284" y="1259065"/>
                                </a:lnTo>
                                <a:lnTo>
                                  <a:pt x="577100" y="1259065"/>
                                </a:lnTo>
                                <a:lnTo>
                                  <a:pt x="578015" y="1258150"/>
                                </a:lnTo>
                                <a:lnTo>
                                  <a:pt x="578015" y="1257249"/>
                                </a:lnTo>
                                <a:close/>
                              </a:path>
                              <a:path w="6174105" h="1552575">
                                <a:moveTo>
                                  <a:pt x="579843" y="1269949"/>
                                </a:moveTo>
                                <a:lnTo>
                                  <a:pt x="578929" y="1269034"/>
                                </a:lnTo>
                                <a:lnTo>
                                  <a:pt x="578015" y="1269949"/>
                                </a:lnTo>
                                <a:lnTo>
                                  <a:pt x="578015" y="1270850"/>
                                </a:lnTo>
                                <a:lnTo>
                                  <a:pt x="578929" y="1271765"/>
                                </a:lnTo>
                                <a:lnTo>
                                  <a:pt x="579843" y="1269949"/>
                                </a:lnTo>
                                <a:close/>
                              </a:path>
                              <a:path w="6174105" h="1552575">
                                <a:moveTo>
                                  <a:pt x="587146" y="1257249"/>
                                </a:moveTo>
                                <a:lnTo>
                                  <a:pt x="585330" y="1257249"/>
                                </a:lnTo>
                                <a:lnTo>
                                  <a:pt x="585330" y="1259065"/>
                                </a:lnTo>
                                <a:lnTo>
                                  <a:pt x="586232" y="1259065"/>
                                </a:lnTo>
                                <a:lnTo>
                                  <a:pt x="587146" y="1258150"/>
                                </a:lnTo>
                                <a:lnTo>
                                  <a:pt x="587146" y="1257249"/>
                                </a:lnTo>
                                <a:close/>
                              </a:path>
                              <a:path w="6174105" h="1552575">
                                <a:moveTo>
                                  <a:pt x="599020" y="1283550"/>
                                </a:moveTo>
                                <a:lnTo>
                                  <a:pt x="597192" y="1283550"/>
                                </a:lnTo>
                                <a:lnTo>
                                  <a:pt x="598106" y="1285367"/>
                                </a:lnTo>
                                <a:lnTo>
                                  <a:pt x="599020" y="1283550"/>
                                </a:lnTo>
                                <a:close/>
                              </a:path>
                              <a:path w="6174105" h="1552575">
                                <a:moveTo>
                                  <a:pt x="602678" y="1279017"/>
                                </a:moveTo>
                                <a:lnTo>
                                  <a:pt x="601764" y="1279017"/>
                                </a:lnTo>
                                <a:lnTo>
                                  <a:pt x="599020" y="1278115"/>
                                </a:lnTo>
                                <a:lnTo>
                                  <a:pt x="596277" y="1279918"/>
                                </a:lnTo>
                                <a:lnTo>
                                  <a:pt x="598106" y="1281734"/>
                                </a:lnTo>
                                <a:lnTo>
                                  <a:pt x="599020" y="1280833"/>
                                </a:lnTo>
                                <a:lnTo>
                                  <a:pt x="601764" y="1279918"/>
                                </a:lnTo>
                                <a:lnTo>
                                  <a:pt x="602678" y="1279017"/>
                                </a:lnTo>
                                <a:close/>
                              </a:path>
                              <a:path w="6174105" h="1552575">
                                <a:moveTo>
                                  <a:pt x="609066" y="1296250"/>
                                </a:moveTo>
                                <a:lnTo>
                                  <a:pt x="608152" y="1296250"/>
                                </a:lnTo>
                                <a:lnTo>
                                  <a:pt x="607237" y="1295349"/>
                                </a:lnTo>
                                <a:lnTo>
                                  <a:pt x="608152" y="1298067"/>
                                </a:lnTo>
                                <a:lnTo>
                                  <a:pt x="609066" y="1297165"/>
                                </a:lnTo>
                                <a:lnTo>
                                  <a:pt x="609066" y="1296250"/>
                                </a:lnTo>
                                <a:close/>
                              </a:path>
                              <a:path w="6174105" h="1552575">
                                <a:moveTo>
                                  <a:pt x="610895" y="1477670"/>
                                </a:moveTo>
                                <a:lnTo>
                                  <a:pt x="609981" y="1478584"/>
                                </a:lnTo>
                                <a:lnTo>
                                  <a:pt x="609981" y="1479486"/>
                                </a:lnTo>
                                <a:lnTo>
                                  <a:pt x="610895" y="1480388"/>
                                </a:lnTo>
                                <a:lnTo>
                                  <a:pt x="610895" y="1477670"/>
                                </a:lnTo>
                                <a:close/>
                              </a:path>
                              <a:path w="6174105" h="1552575">
                                <a:moveTo>
                                  <a:pt x="611809" y="1481302"/>
                                </a:moveTo>
                                <a:lnTo>
                                  <a:pt x="610895" y="1480388"/>
                                </a:lnTo>
                                <a:lnTo>
                                  <a:pt x="610895" y="1481302"/>
                                </a:lnTo>
                                <a:lnTo>
                                  <a:pt x="611809" y="1481302"/>
                                </a:lnTo>
                                <a:close/>
                              </a:path>
                              <a:path w="6174105" h="1552575">
                                <a:moveTo>
                                  <a:pt x="612724" y="1475854"/>
                                </a:moveTo>
                                <a:lnTo>
                                  <a:pt x="611809" y="1475854"/>
                                </a:lnTo>
                                <a:lnTo>
                                  <a:pt x="610895" y="1476768"/>
                                </a:lnTo>
                                <a:lnTo>
                                  <a:pt x="610895" y="1477670"/>
                                </a:lnTo>
                                <a:lnTo>
                                  <a:pt x="612724" y="1475854"/>
                                </a:lnTo>
                                <a:close/>
                              </a:path>
                              <a:path w="6174105" h="1552575">
                                <a:moveTo>
                                  <a:pt x="612749" y="1488592"/>
                                </a:moveTo>
                                <a:lnTo>
                                  <a:pt x="611809" y="1486738"/>
                                </a:lnTo>
                                <a:lnTo>
                                  <a:pt x="610895" y="1485836"/>
                                </a:lnTo>
                                <a:lnTo>
                                  <a:pt x="609981" y="1485836"/>
                                </a:lnTo>
                                <a:lnTo>
                                  <a:pt x="612749" y="1488592"/>
                                </a:lnTo>
                                <a:close/>
                              </a:path>
                              <a:path w="6174105" h="1552575">
                                <a:moveTo>
                                  <a:pt x="617283" y="1493088"/>
                                </a:moveTo>
                                <a:lnTo>
                                  <a:pt x="614540" y="1492186"/>
                                </a:lnTo>
                                <a:lnTo>
                                  <a:pt x="615454" y="1493088"/>
                                </a:lnTo>
                                <a:lnTo>
                                  <a:pt x="617283" y="1494002"/>
                                </a:lnTo>
                                <a:lnTo>
                                  <a:pt x="617283" y="1493088"/>
                                </a:lnTo>
                                <a:close/>
                              </a:path>
                              <a:path w="6174105" h="1552575">
                                <a:moveTo>
                                  <a:pt x="672071" y="1550238"/>
                                </a:moveTo>
                                <a:lnTo>
                                  <a:pt x="671156" y="1549336"/>
                                </a:lnTo>
                                <a:lnTo>
                                  <a:pt x="671156" y="1550238"/>
                                </a:lnTo>
                                <a:lnTo>
                                  <a:pt x="672071" y="1550238"/>
                                </a:lnTo>
                                <a:close/>
                              </a:path>
                              <a:path w="6174105" h="1552575">
                                <a:moveTo>
                                  <a:pt x="672985" y="1552054"/>
                                </a:moveTo>
                                <a:lnTo>
                                  <a:pt x="672071" y="1550238"/>
                                </a:lnTo>
                                <a:lnTo>
                                  <a:pt x="672071" y="1551152"/>
                                </a:lnTo>
                                <a:lnTo>
                                  <a:pt x="672985" y="1552054"/>
                                </a:lnTo>
                                <a:close/>
                              </a:path>
                              <a:path w="6174105" h="1552575">
                                <a:moveTo>
                                  <a:pt x="680288" y="1488554"/>
                                </a:moveTo>
                                <a:lnTo>
                                  <a:pt x="679373" y="1486738"/>
                                </a:lnTo>
                                <a:lnTo>
                                  <a:pt x="678459" y="1486738"/>
                                </a:lnTo>
                                <a:lnTo>
                                  <a:pt x="680288" y="1489468"/>
                                </a:lnTo>
                                <a:lnTo>
                                  <a:pt x="680288" y="1488554"/>
                                </a:lnTo>
                                <a:close/>
                              </a:path>
                              <a:path w="6174105" h="1552575">
                                <a:moveTo>
                                  <a:pt x="691248" y="1492186"/>
                                </a:moveTo>
                                <a:lnTo>
                                  <a:pt x="690333" y="1491284"/>
                                </a:lnTo>
                                <a:lnTo>
                                  <a:pt x="689419" y="1491284"/>
                                </a:lnTo>
                                <a:lnTo>
                                  <a:pt x="690333" y="1492186"/>
                                </a:lnTo>
                                <a:lnTo>
                                  <a:pt x="691248" y="1492186"/>
                                </a:lnTo>
                                <a:close/>
                              </a:path>
                              <a:path w="6174105" h="1552575">
                                <a:moveTo>
                                  <a:pt x="693077" y="1492186"/>
                                </a:moveTo>
                                <a:lnTo>
                                  <a:pt x="691248" y="1492186"/>
                                </a:lnTo>
                                <a:lnTo>
                                  <a:pt x="692162" y="1493088"/>
                                </a:lnTo>
                                <a:lnTo>
                                  <a:pt x="693077" y="1493088"/>
                                </a:lnTo>
                                <a:lnTo>
                                  <a:pt x="693077" y="1492186"/>
                                </a:lnTo>
                                <a:close/>
                              </a:path>
                              <a:path w="6174105" h="1552575">
                                <a:moveTo>
                                  <a:pt x="1960524" y="634987"/>
                                </a:moveTo>
                                <a:lnTo>
                                  <a:pt x="1958695" y="634987"/>
                                </a:lnTo>
                                <a:lnTo>
                                  <a:pt x="1958695" y="635889"/>
                                </a:lnTo>
                                <a:lnTo>
                                  <a:pt x="1960524" y="635889"/>
                                </a:lnTo>
                                <a:lnTo>
                                  <a:pt x="1960524" y="634987"/>
                                </a:lnTo>
                                <a:close/>
                              </a:path>
                              <a:path w="6174105" h="1552575">
                                <a:moveTo>
                                  <a:pt x="1963267" y="639521"/>
                                </a:moveTo>
                                <a:lnTo>
                                  <a:pt x="1962353" y="639521"/>
                                </a:lnTo>
                                <a:lnTo>
                                  <a:pt x="1963267" y="640422"/>
                                </a:lnTo>
                                <a:lnTo>
                                  <a:pt x="1963267" y="639521"/>
                                </a:lnTo>
                                <a:close/>
                              </a:path>
                              <a:path w="6174105" h="1552575">
                                <a:moveTo>
                                  <a:pt x="2205253" y="6350"/>
                                </a:moveTo>
                                <a:lnTo>
                                  <a:pt x="2204339" y="7251"/>
                                </a:lnTo>
                                <a:lnTo>
                                  <a:pt x="2203424" y="7251"/>
                                </a:lnTo>
                                <a:lnTo>
                                  <a:pt x="2204339" y="8166"/>
                                </a:lnTo>
                                <a:lnTo>
                                  <a:pt x="2205253" y="8166"/>
                                </a:lnTo>
                                <a:lnTo>
                                  <a:pt x="2205253" y="6350"/>
                                </a:lnTo>
                                <a:close/>
                              </a:path>
                              <a:path w="6174105" h="1552575">
                                <a:moveTo>
                                  <a:pt x="2205253" y="901"/>
                                </a:moveTo>
                                <a:lnTo>
                                  <a:pt x="2204339" y="0"/>
                                </a:lnTo>
                                <a:lnTo>
                                  <a:pt x="2203424" y="0"/>
                                </a:lnTo>
                                <a:lnTo>
                                  <a:pt x="2203424" y="4533"/>
                                </a:lnTo>
                                <a:lnTo>
                                  <a:pt x="2201595" y="6350"/>
                                </a:lnTo>
                                <a:lnTo>
                                  <a:pt x="2202510" y="7251"/>
                                </a:lnTo>
                                <a:lnTo>
                                  <a:pt x="2204339" y="5448"/>
                                </a:lnTo>
                                <a:lnTo>
                                  <a:pt x="2204339" y="3632"/>
                                </a:lnTo>
                                <a:lnTo>
                                  <a:pt x="2205253" y="1816"/>
                                </a:lnTo>
                                <a:lnTo>
                                  <a:pt x="2205253" y="901"/>
                                </a:lnTo>
                                <a:close/>
                              </a:path>
                              <a:path w="6174105" h="1552575">
                                <a:moveTo>
                                  <a:pt x="6141809" y="953363"/>
                                </a:moveTo>
                                <a:lnTo>
                                  <a:pt x="6140894" y="953363"/>
                                </a:lnTo>
                                <a:lnTo>
                                  <a:pt x="6139980" y="954278"/>
                                </a:lnTo>
                                <a:lnTo>
                                  <a:pt x="6139980" y="955179"/>
                                </a:lnTo>
                                <a:lnTo>
                                  <a:pt x="6141809" y="954278"/>
                                </a:lnTo>
                                <a:lnTo>
                                  <a:pt x="6141809" y="953363"/>
                                </a:lnTo>
                                <a:close/>
                              </a:path>
                              <a:path w="6174105" h="1552575">
                                <a:moveTo>
                                  <a:pt x="6143637" y="951547"/>
                                </a:moveTo>
                                <a:lnTo>
                                  <a:pt x="6141809" y="952461"/>
                                </a:lnTo>
                                <a:lnTo>
                                  <a:pt x="6142723" y="952461"/>
                                </a:lnTo>
                                <a:lnTo>
                                  <a:pt x="6143637" y="951547"/>
                                </a:lnTo>
                                <a:close/>
                              </a:path>
                              <a:path w="6174105" h="1552575">
                                <a:moveTo>
                                  <a:pt x="6146381" y="989647"/>
                                </a:moveTo>
                                <a:lnTo>
                                  <a:pt x="6145466" y="990561"/>
                                </a:lnTo>
                                <a:lnTo>
                                  <a:pt x="6146381" y="990561"/>
                                </a:lnTo>
                                <a:lnTo>
                                  <a:pt x="6146381" y="989647"/>
                                </a:lnTo>
                                <a:close/>
                              </a:path>
                              <a:path w="6174105" h="1552575">
                                <a:moveTo>
                                  <a:pt x="6146381" y="986929"/>
                                </a:moveTo>
                                <a:lnTo>
                                  <a:pt x="6145466" y="985113"/>
                                </a:lnTo>
                                <a:lnTo>
                                  <a:pt x="6144552" y="984211"/>
                                </a:lnTo>
                                <a:lnTo>
                                  <a:pt x="6146381" y="987831"/>
                                </a:lnTo>
                                <a:lnTo>
                                  <a:pt x="6146381" y="986929"/>
                                </a:lnTo>
                                <a:close/>
                              </a:path>
                              <a:path w="6174105" h="1552575">
                                <a:moveTo>
                                  <a:pt x="6147295" y="1009611"/>
                                </a:moveTo>
                                <a:lnTo>
                                  <a:pt x="6146381" y="1008697"/>
                                </a:lnTo>
                                <a:lnTo>
                                  <a:pt x="6146381" y="1010513"/>
                                </a:lnTo>
                                <a:lnTo>
                                  <a:pt x="6147295" y="1009611"/>
                                </a:lnTo>
                                <a:close/>
                              </a:path>
                              <a:path w="6174105" h="1552575">
                                <a:moveTo>
                                  <a:pt x="6148197" y="1010513"/>
                                </a:moveTo>
                                <a:lnTo>
                                  <a:pt x="6147295" y="1009611"/>
                                </a:lnTo>
                                <a:lnTo>
                                  <a:pt x="6147295" y="1012329"/>
                                </a:lnTo>
                                <a:lnTo>
                                  <a:pt x="6148197" y="1011428"/>
                                </a:lnTo>
                                <a:lnTo>
                                  <a:pt x="6148197" y="1010513"/>
                                </a:lnTo>
                                <a:close/>
                              </a:path>
                              <a:path w="6174105" h="1552575">
                                <a:moveTo>
                                  <a:pt x="6149111" y="999629"/>
                                </a:moveTo>
                                <a:lnTo>
                                  <a:pt x="6146381" y="999629"/>
                                </a:lnTo>
                                <a:lnTo>
                                  <a:pt x="6146381" y="1000531"/>
                                </a:lnTo>
                                <a:lnTo>
                                  <a:pt x="6149111" y="1000531"/>
                                </a:lnTo>
                                <a:lnTo>
                                  <a:pt x="6149111" y="999629"/>
                                </a:lnTo>
                                <a:close/>
                              </a:path>
                              <a:path w="6174105" h="1552575">
                                <a:moveTo>
                                  <a:pt x="6171946" y="1053147"/>
                                </a:moveTo>
                                <a:lnTo>
                                  <a:pt x="6171031" y="1053147"/>
                                </a:lnTo>
                                <a:lnTo>
                                  <a:pt x="6171946" y="1054061"/>
                                </a:lnTo>
                                <a:lnTo>
                                  <a:pt x="6171946" y="1053147"/>
                                </a:lnTo>
                                <a:close/>
                              </a:path>
                              <a:path w="6174105" h="1552575">
                                <a:moveTo>
                                  <a:pt x="6173775" y="1058595"/>
                                </a:moveTo>
                                <a:lnTo>
                                  <a:pt x="6172860" y="1056779"/>
                                </a:lnTo>
                                <a:lnTo>
                                  <a:pt x="6172860" y="1059497"/>
                                </a:lnTo>
                                <a:lnTo>
                                  <a:pt x="6173775" y="1058595"/>
                                </a:lnTo>
                                <a:close/>
                              </a:path>
                            </a:pathLst>
                          </a:custGeom>
                          <a:solidFill>
                            <a:srgbClr val="E1E2E3"/>
                          </a:solidFill>
                        </wps:spPr>
                        <wps:bodyPr wrap="square" lIns="0" tIns="0" rIns="0" bIns="0" rtlCol="0">
                          <a:prstTxWarp prst="textNoShape">
                            <a:avLst/>
                          </a:prstTxWarp>
                          <a:noAutofit/>
                        </wps:bodyPr>
                      </wps:wsp>
                      <pic:pic>
                        <pic:nvPicPr>
                          <pic:cNvPr id="1960" name="Image 1960"/>
                          <pic:cNvPicPr/>
                        </pic:nvPicPr>
                        <pic:blipFill>
                          <a:blip r:embed="rId157" cstate="print"/>
                          <a:stretch>
                            <a:fillRect/>
                          </a:stretch>
                        </pic:blipFill>
                        <pic:spPr>
                          <a:xfrm>
                            <a:off x="6107910" y="2828876"/>
                            <a:ext cx="115976" cy="101600"/>
                          </a:xfrm>
                          <a:prstGeom prst="rect">
                            <a:avLst/>
                          </a:prstGeom>
                        </pic:spPr>
                      </pic:pic>
                      <wps:wsp>
                        <wps:cNvPr id="1961" name="Graphic 1961"/>
                        <wps:cNvSpPr/>
                        <wps:spPr>
                          <a:xfrm>
                            <a:off x="2264473" y="1985276"/>
                            <a:ext cx="2131695" cy="1449705"/>
                          </a:xfrm>
                          <a:custGeom>
                            <a:avLst/>
                            <a:gdLst/>
                            <a:ahLst/>
                            <a:cxnLst/>
                            <a:rect l="l" t="t" r="r" b="b"/>
                            <a:pathLst>
                              <a:path w="2131695" h="1449705">
                                <a:moveTo>
                                  <a:pt x="4572" y="5448"/>
                                </a:moveTo>
                                <a:lnTo>
                                  <a:pt x="3657" y="2717"/>
                                </a:lnTo>
                                <a:lnTo>
                                  <a:pt x="3657" y="914"/>
                                </a:lnTo>
                                <a:lnTo>
                                  <a:pt x="914" y="0"/>
                                </a:lnTo>
                                <a:lnTo>
                                  <a:pt x="914" y="914"/>
                                </a:lnTo>
                                <a:lnTo>
                                  <a:pt x="0" y="2717"/>
                                </a:lnTo>
                                <a:lnTo>
                                  <a:pt x="914" y="5448"/>
                                </a:lnTo>
                                <a:lnTo>
                                  <a:pt x="1828" y="9067"/>
                                </a:lnTo>
                                <a:lnTo>
                                  <a:pt x="3657" y="8166"/>
                                </a:lnTo>
                                <a:lnTo>
                                  <a:pt x="4572" y="5448"/>
                                </a:lnTo>
                                <a:close/>
                              </a:path>
                              <a:path w="2131695" h="1449705">
                                <a:moveTo>
                                  <a:pt x="1871954" y="1364284"/>
                                </a:moveTo>
                                <a:lnTo>
                                  <a:pt x="1870125" y="1365186"/>
                                </a:lnTo>
                                <a:lnTo>
                                  <a:pt x="1870125" y="1366100"/>
                                </a:lnTo>
                                <a:lnTo>
                                  <a:pt x="1871040" y="1367002"/>
                                </a:lnTo>
                                <a:lnTo>
                                  <a:pt x="1871954" y="1366100"/>
                                </a:lnTo>
                                <a:lnTo>
                                  <a:pt x="1871954" y="1364284"/>
                                </a:lnTo>
                                <a:close/>
                              </a:path>
                              <a:path w="2131695" h="1449705">
                                <a:moveTo>
                                  <a:pt x="2116683" y="1431404"/>
                                </a:moveTo>
                                <a:lnTo>
                                  <a:pt x="2113940" y="1431404"/>
                                </a:lnTo>
                                <a:lnTo>
                                  <a:pt x="2113026" y="1432318"/>
                                </a:lnTo>
                                <a:lnTo>
                                  <a:pt x="2113026" y="1435036"/>
                                </a:lnTo>
                                <a:lnTo>
                                  <a:pt x="2114854" y="1435036"/>
                                </a:lnTo>
                                <a:lnTo>
                                  <a:pt x="2116683" y="1433220"/>
                                </a:lnTo>
                                <a:lnTo>
                                  <a:pt x="2116683" y="1431404"/>
                                </a:lnTo>
                                <a:close/>
                              </a:path>
                              <a:path w="2131695" h="1449705">
                                <a:moveTo>
                                  <a:pt x="2131288" y="1436852"/>
                                </a:moveTo>
                                <a:lnTo>
                                  <a:pt x="2130374" y="1435938"/>
                                </a:lnTo>
                                <a:lnTo>
                                  <a:pt x="2128545" y="1435938"/>
                                </a:lnTo>
                                <a:lnTo>
                                  <a:pt x="2126729" y="1437754"/>
                                </a:lnTo>
                                <a:lnTo>
                                  <a:pt x="2123071" y="1437754"/>
                                </a:lnTo>
                                <a:lnTo>
                                  <a:pt x="2121243" y="1439570"/>
                                </a:lnTo>
                                <a:lnTo>
                                  <a:pt x="2115769" y="1439570"/>
                                </a:lnTo>
                                <a:lnTo>
                                  <a:pt x="2114854" y="1437754"/>
                                </a:lnTo>
                                <a:lnTo>
                                  <a:pt x="2115769" y="1436852"/>
                                </a:lnTo>
                                <a:lnTo>
                                  <a:pt x="2118512" y="1436852"/>
                                </a:lnTo>
                                <a:lnTo>
                                  <a:pt x="2118512" y="1435938"/>
                                </a:lnTo>
                                <a:lnTo>
                                  <a:pt x="2119414" y="1433220"/>
                                </a:lnTo>
                                <a:lnTo>
                                  <a:pt x="2118512" y="1433220"/>
                                </a:lnTo>
                                <a:lnTo>
                                  <a:pt x="2113940" y="1435938"/>
                                </a:lnTo>
                                <a:lnTo>
                                  <a:pt x="2113026" y="1436852"/>
                                </a:lnTo>
                                <a:lnTo>
                                  <a:pt x="2112111" y="1435938"/>
                                </a:lnTo>
                                <a:lnTo>
                                  <a:pt x="2110282" y="1435938"/>
                                </a:lnTo>
                                <a:lnTo>
                                  <a:pt x="2110282" y="1434134"/>
                                </a:lnTo>
                                <a:lnTo>
                                  <a:pt x="2113940" y="1430502"/>
                                </a:lnTo>
                                <a:lnTo>
                                  <a:pt x="2113940" y="1425968"/>
                                </a:lnTo>
                                <a:lnTo>
                                  <a:pt x="2113026" y="1425968"/>
                                </a:lnTo>
                                <a:lnTo>
                                  <a:pt x="2112111" y="1426870"/>
                                </a:lnTo>
                                <a:lnTo>
                                  <a:pt x="2111197" y="1428686"/>
                                </a:lnTo>
                                <a:lnTo>
                                  <a:pt x="2109381" y="1430502"/>
                                </a:lnTo>
                                <a:lnTo>
                                  <a:pt x="2108466" y="1432318"/>
                                </a:lnTo>
                                <a:lnTo>
                                  <a:pt x="2107552" y="1433220"/>
                                </a:lnTo>
                                <a:lnTo>
                                  <a:pt x="2106638" y="1435036"/>
                                </a:lnTo>
                                <a:lnTo>
                                  <a:pt x="2106638" y="1436852"/>
                                </a:lnTo>
                                <a:lnTo>
                                  <a:pt x="2107552" y="1436852"/>
                                </a:lnTo>
                                <a:lnTo>
                                  <a:pt x="2105723" y="1437754"/>
                                </a:lnTo>
                                <a:lnTo>
                                  <a:pt x="2105723" y="1439570"/>
                                </a:lnTo>
                                <a:lnTo>
                                  <a:pt x="2104809" y="1441386"/>
                                </a:lnTo>
                                <a:lnTo>
                                  <a:pt x="2104809" y="1443202"/>
                                </a:lnTo>
                                <a:lnTo>
                                  <a:pt x="2103894" y="1444104"/>
                                </a:lnTo>
                                <a:lnTo>
                                  <a:pt x="2102980" y="1445920"/>
                                </a:lnTo>
                                <a:lnTo>
                                  <a:pt x="2101151" y="1447736"/>
                                </a:lnTo>
                                <a:lnTo>
                                  <a:pt x="2101151" y="1448638"/>
                                </a:lnTo>
                                <a:lnTo>
                                  <a:pt x="2103894" y="1448638"/>
                                </a:lnTo>
                                <a:lnTo>
                                  <a:pt x="2105723" y="1447736"/>
                                </a:lnTo>
                                <a:lnTo>
                                  <a:pt x="2108466" y="1445018"/>
                                </a:lnTo>
                                <a:lnTo>
                                  <a:pt x="2109381" y="1445920"/>
                                </a:lnTo>
                                <a:lnTo>
                                  <a:pt x="2110282" y="1445920"/>
                                </a:lnTo>
                                <a:lnTo>
                                  <a:pt x="2112111" y="1447736"/>
                                </a:lnTo>
                                <a:lnTo>
                                  <a:pt x="2113940" y="1448638"/>
                                </a:lnTo>
                                <a:lnTo>
                                  <a:pt x="2114854" y="1448638"/>
                                </a:lnTo>
                                <a:lnTo>
                                  <a:pt x="2115769" y="1447736"/>
                                </a:lnTo>
                                <a:lnTo>
                                  <a:pt x="2116683" y="1447736"/>
                                </a:lnTo>
                                <a:lnTo>
                                  <a:pt x="2116683" y="1448638"/>
                                </a:lnTo>
                                <a:lnTo>
                                  <a:pt x="2117598" y="1449552"/>
                                </a:lnTo>
                                <a:lnTo>
                                  <a:pt x="2122157" y="1449552"/>
                                </a:lnTo>
                                <a:lnTo>
                                  <a:pt x="2123986" y="1447736"/>
                                </a:lnTo>
                                <a:lnTo>
                                  <a:pt x="2123986" y="1445920"/>
                                </a:lnTo>
                                <a:lnTo>
                                  <a:pt x="2121243" y="1445920"/>
                                </a:lnTo>
                                <a:lnTo>
                                  <a:pt x="2121243" y="1447736"/>
                                </a:lnTo>
                                <a:lnTo>
                                  <a:pt x="2119414" y="1446834"/>
                                </a:lnTo>
                                <a:lnTo>
                                  <a:pt x="2117598" y="1445018"/>
                                </a:lnTo>
                                <a:lnTo>
                                  <a:pt x="2117598" y="1444104"/>
                                </a:lnTo>
                                <a:lnTo>
                                  <a:pt x="2118512" y="1444104"/>
                                </a:lnTo>
                                <a:lnTo>
                                  <a:pt x="2119414" y="1443202"/>
                                </a:lnTo>
                                <a:lnTo>
                                  <a:pt x="2120328" y="1443202"/>
                                </a:lnTo>
                                <a:lnTo>
                                  <a:pt x="2120328" y="1442288"/>
                                </a:lnTo>
                                <a:lnTo>
                                  <a:pt x="2124900" y="1442288"/>
                                </a:lnTo>
                                <a:lnTo>
                                  <a:pt x="2124900" y="1443202"/>
                                </a:lnTo>
                                <a:lnTo>
                                  <a:pt x="2125815" y="1444104"/>
                                </a:lnTo>
                                <a:lnTo>
                                  <a:pt x="2127643" y="1444104"/>
                                </a:lnTo>
                                <a:lnTo>
                                  <a:pt x="2127643" y="1442288"/>
                                </a:lnTo>
                                <a:lnTo>
                                  <a:pt x="2129459" y="1442288"/>
                                </a:lnTo>
                                <a:lnTo>
                                  <a:pt x="2130374" y="1440484"/>
                                </a:lnTo>
                                <a:lnTo>
                                  <a:pt x="2131288" y="1439570"/>
                                </a:lnTo>
                                <a:lnTo>
                                  <a:pt x="2131288" y="1436852"/>
                                </a:lnTo>
                                <a:close/>
                              </a:path>
                            </a:pathLst>
                          </a:custGeom>
                          <a:solidFill>
                            <a:srgbClr val="E1E2E3"/>
                          </a:solidFill>
                        </wps:spPr>
                        <wps:bodyPr wrap="square" lIns="0" tIns="0" rIns="0" bIns="0" rtlCol="0">
                          <a:prstTxWarp prst="textNoShape">
                            <a:avLst/>
                          </a:prstTxWarp>
                          <a:noAutofit/>
                        </wps:bodyPr>
                      </wps:wsp>
                      <pic:pic>
                        <pic:nvPicPr>
                          <pic:cNvPr id="1962" name="Image 1962"/>
                          <pic:cNvPicPr/>
                        </pic:nvPicPr>
                        <pic:blipFill>
                          <a:blip r:embed="rId158" cstate="print"/>
                          <a:stretch>
                            <a:fillRect/>
                          </a:stretch>
                        </pic:blipFill>
                        <pic:spPr>
                          <a:xfrm>
                            <a:off x="2613308" y="519739"/>
                            <a:ext cx="646507" cy="506730"/>
                          </a:xfrm>
                          <a:prstGeom prst="rect">
                            <a:avLst/>
                          </a:prstGeom>
                        </pic:spPr>
                      </pic:pic>
                      <wps:wsp>
                        <wps:cNvPr id="1963" name="Graphic 1963"/>
                        <wps:cNvSpPr/>
                        <wps:spPr>
                          <a:xfrm>
                            <a:off x="2242578" y="1930844"/>
                            <a:ext cx="3881120" cy="1583055"/>
                          </a:xfrm>
                          <a:custGeom>
                            <a:avLst/>
                            <a:gdLst/>
                            <a:ahLst/>
                            <a:cxnLst/>
                            <a:rect l="l" t="t" r="r" b="b"/>
                            <a:pathLst>
                              <a:path w="3881120" h="1583055">
                                <a:moveTo>
                                  <a:pt x="1828" y="0"/>
                                </a:moveTo>
                                <a:lnTo>
                                  <a:pt x="0" y="0"/>
                                </a:lnTo>
                                <a:lnTo>
                                  <a:pt x="0" y="914"/>
                                </a:lnTo>
                                <a:lnTo>
                                  <a:pt x="1828" y="914"/>
                                </a:lnTo>
                                <a:lnTo>
                                  <a:pt x="1828" y="0"/>
                                </a:lnTo>
                                <a:close/>
                              </a:path>
                              <a:path w="3881120" h="1583055">
                                <a:moveTo>
                                  <a:pt x="53860" y="109766"/>
                                </a:moveTo>
                                <a:lnTo>
                                  <a:pt x="52946" y="108864"/>
                                </a:lnTo>
                                <a:lnTo>
                                  <a:pt x="51117" y="106133"/>
                                </a:lnTo>
                                <a:lnTo>
                                  <a:pt x="50203" y="106133"/>
                                </a:lnTo>
                                <a:lnTo>
                                  <a:pt x="50203" y="110680"/>
                                </a:lnTo>
                                <a:lnTo>
                                  <a:pt x="52031" y="111582"/>
                                </a:lnTo>
                                <a:lnTo>
                                  <a:pt x="53860" y="109766"/>
                                </a:lnTo>
                                <a:close/>
                              </a:path>
                              <a:path w="3881120" h="1583055">
                                <a:moveTo>
                                  <a:pt x="664756" y="29946"/>
                                </a:moveTo>
                                <a:lnTo>
                                  <a:pt x="663841" y="28130"/>
                                </a:lnTo>
                                <a:lnTo>
                                  <a:pt x="662012" y="27216"/>
                                </a:lnTo>
                                <a:lnTo>
                                  <a:pt x="658368" y="29946"/>
                                </a:lnTo>
                                <a:lnTo>
                                  <a:pt x="658368" y="32664"/>
                                </a:lnTo>
                                <a:lnTo>
                                  <a:pt x="659269" y="33566"/>
                                </a:lnTo>
                                <a:lnTo>
                                  <a:pt x="661098" y="32664"/>
                                </a:lnTo>
                                <a:lnTo>
                                  <a:pt x="663841" y="30848"/>
                                </a:lnTo>
                                <a:lnTo>
                                  <a:pt x="664756" y="29946"/>
                                </a:lnTo>
                                <a:close/>
                              </a:path>
                              <a:path w="3881120" h="1583055">
                                <a:moveTo>
                                  <a:pt x="665670" y="34480"/>
                                </a:moveTo>
                                <a:lnTo>
                                  <a:pt x="664756" y="33566"/>
                                </a:lnTo>
                                <a:lnTo>
                                  <a:pt x="663841" y="33566"/>
                                </a:lnTo>
                                <a:lnTo>
                                  <a:pt x="662012" y="35382"/>
                                </a:lnTo>
                                <a:lnTo>
                                  <a:pt x="663841" y="36296"/>
                                </a:lnTo>
                                <a:lnTo>
                                  <a:pt x="664756" y="36296"/>
                                </a:lnTo>
                                <a:lnTo>
                                  <a:pt x="665670" y="35382"/>
                                </a:lnTo>
                                <a:lnTo>
                                  <a:pt x="665670" y="34480"/>
                                </a:lnTo>
                                <a:close/>
                              </a:path>
                              <a:path w="3881120" h="1583055">
                                <a:moveTo>
                                  <a:pt x="674801" y="76200"/>
                                </a:moveTo>
                                <a:lnTo>
                                  <a:pt x="673887" y="74396"/>
                                </a:lnTo>
                                <a:lnTo>
                                  <a:pt x="672973" y="74396"/>
                                </a:lnTo>
                                <a:lnTo>
                                  <a:pt x="671144" y="75298"/>
                                </a:lnTo>
                                <a:lnTo>
                                  <a:pt x="671144" y="78016"/>
                                </a:lnTo>
                                <a:lnTo>
                                  <a:pt x="672058" y="78930"/>
                                </a:lnTo>
                                <a:lnTo>
                                  <a:pt x="672973" y="78930"/>
                                </a:lnTo>
                                <a:lnTo>
                                  <a:pt x="673887" y="78016"/>
                                </a:lnTo>
                                <a:lnTo>
                                  <a:pt x="674801" y="76200"/>
                                </a:lnTo>
                                <a:close/>
                              </a:path>
                              <a:path w="3881120" h="1583055">
                                <a:moveTo>
                                  <a:pt x="680275" y="40830"/>
                                </a:moveTo>
                                <a:lnTo>
                                  <a:pt x="679361" y="39916"/>
                                </a:lnTo>
                                <a:lnTo>
                                  <a:pt x="676630" y="39014"/>
                                </a:lnTo>
                                <a:lnTo>
                                  <a:pt x="674801" y="39014"/>
                                </a:lnTo>
                                <a:lnTo>
                                  <a:pt x="673887" y="39916"/>
                                </a:lnTo>
                                <a:lnTo>
                                  <a:pt x="675716" y="42646"/>
                                </a:lnTo>
                                <a:lnTo>
                                  <a:pt x="676630" y="40830"/>
                                </a:lnTo>
                                <a:lnTo>
                                  <a:pt x="676630" y="39916"/>
                                </a:lnTo>
                                <a:lnTo>
                                  <a:pt x="679361" y="40830"/>
                                </a:lnTo>
                                <a:lnTo>
                                  <a:pt x="680275" y="40830"/>
                                </a:lnTo>
                                <a:close/>
                              </a:path>
                              <a:path w="3881120" h="1583055">
                                <a:moveTo>
                                  <a:pt x="689406" y="75298"/>
                                </a:moveTo>
                                <a:lnTo>
                                  <a:pt x="688492" y="72580"/>
                                </a:lnTo>
                                <a:lnTo>
                                  <a:pt x="687578" y="71666"/>
                                </a:lnTo>
                                <a:lnTo>
                                  <a:pt x="685761" y="68948"/>
                                </a:lnTo>
                                <a:lnTo>
                                  <a:pt x="684847" y="68046"/>
                                </a:lnTo>
                                <a:lnTo>
                                  <a:pt x="683933" y="68046"/>
                                </a:lnTo>
                                <a:lnTo>
                                  <a:pt x="683933" y="73482"/>
                                </a:lnTo>
                                <a:lnTo>
                                  <a:pt x="684847" y="76200"/>
                                </a:lnTo>
                                <a:lnTo>
                                  <a:pt x="685761" y="77114"/>
                                </a:lnTo>
                                <a:lnTo>
                                  <a:pt x="688492" y="77114"/>
                                </a:lnTo>
                                <a:lnTo>
                                  <a:pt x="689406" y="75298"/>
                                </a:lnTo>
                                <a:close/>
                              </a:path>
                              <a:path w="3881120" h="1583055">
                                <a:moveTo>
                                  <a:pt x="695794" y="68948"/>
                                </a:moveTo>
                                <a:lnTo>
                                  <a:pt x="694893" y="68046"/>
                                </a:lnTo>
                                <a:lnTo>
                                  <a:pt x="693978" y="68046"/>
                                </a:lnTo>
                                <a:lnTo>
                                  <a:pt x="693064" y="69850"/>
                                </a:lnTo>
                                <a:lnTo>
                                  <a:pt x="693064" y="71666"/>
                                </a:lnTo>
                                <a:lnTo>
                                  <a:pt x="693978" y="72580"/>
                                </a:lnTo>
                                <a:lnTo>
                                  <a:pt x="695794" y="71666"/>
                                </a:lnTo>
                                <a:lnTo>
                                  <a:pt x="695794" y="68948"/>
                                </a:lnTo>
                                <a:close/>
                              </a:path>
                              <a:path w="3881120" h="1583055">
                                <a:moveTo>
                                  <a:pt x="700366" y="36296"/>
                                </a:moveTo>
                                <a:lnTo>
                                  <a:pt x="699452" y="36296"/>
                                </a:lnTo>
                                <a:lnTo>
                                  <a:pt x="699452" y="39014"/>
                                </a:lnTo>
                                <a:lnTo>
                                  <a:pt x="700366" y="39014"/>
                                </a:lnTo>
                                <a:lnTo>
                                  <a:pt x="700366" y="36296"/>
                                </a:lnTo>
                                <a:close/>
                              </a:path>
                              <a:path w="3881120" h="1583055">
                                <a:moveTo>
                                  <a:pt x="704024" y="49898"/>
                                </a:moveTo>
                                <a:lnTo>
                                  <a:pt x="703110" y="48996"/>
                                </a:lnTo>
                                <a:lnTo>
                                  <a:pt x="701281" y="48996"/>
                                </a:lnTo>
                                <a:lnTo>
                                  <a:pt x="699452" y="48082"/>
                                </a:lnTo>
                                <a:lnTo>
                                  <a:pt x="699452" y="52616"/>
                                </a:lnTo>
                                <a:lnTo>
                                  <a:pt x="700366" y="53530"/>
                                </a:lnTo>
                                <a:lnTo>
                                  <a:pt x="701281" y="53530"/>
                                </a:lnTo>
                                <a:lnTo>
                                  <a:pt x="703110" y="52616"/>
                                </a:lnTo>
                                <a:lnTo>
                                  <a:pt x="704024" y="50812"/>
                                </a:lnTo>
                                <a:lnTo>
                                  <a:pt x="704024" y="49898"/>
                                </a:lnTo>
                                <a:close/>
                              </a:path>
                              <a:path w="3881120" h="1583055">
                                <a:moveTo>
                                  <a:pt x="2164143" y="1581988"/>
                                </a:moveTo>
                                <a:lnTo>
                                  <a:pt x="2162314" y="1581086"/>
                                </a:lnTo>
                                <a:lnTo>
                                  <a:pt x="2161400" y="1579270"/>
                                </a:lnTo>
                                <a:lnTo>
                                  <a:pt x="2158657" y="1578356"/>
                                </a:lnTo>
                                <a:lnTo>
                                  <a:pt x="2156828" y="1578356"/>
                                </a:lnTo>
                                <a:lnTo>
                                  <a:pt x="2156828" y="1579270"/>
                                </a:lnTo>
                                <a:lnTo>
                                  <a:pt x="2157742" y="1579270"/>
                                </a:lnTo>
                                <a:lnTo>
                                  <a:pt x="2157742" y="1582889"/>
                                </a:lnTo>
                                <a:lnTo>
                                  <a:pt x="2159571" y="1582889"/>
                                </a:lnTo>
                                <a:lnTo>
                                  <a:pt x="2161400" y="1581988"/>
                                </a:lnTo>
                                <a:lnTo>
                                  <a:pt x="2164143" y="1581988"/>
                                </a:lnTo>
                                <a:close/>
                              </a:path>
                              <a:path w="3881120" h="1583055">
                                <a:moveTo>
                                  <a:pt x="2973184" y="644956"/>
                                </a:moveTo>
                                <a:lnTo>
                                  <a:pt x="2971355" y="644956"/>
                                </a:lnTo>
                                <a:lnTo>
                                  <a:pt x="2970441" y="646760"/>
                                </a:lnTo>
                                <a:lnTo>
                                  <a:pt x="2972270" y="646760"/>
                                </a:lnTo>
                                <a:lnTo>
                                  <a:pt x="2972270" y="647674"/>
                                </a:lnTo>
                                <a:lnTo>
                                  <a:pt x="2973184" y="645858"/>
                                </a:lnTo>
                                <a:lnTo>
                                  <a:pt x="2973184" y="644956"/>
                                </a:lnTo>
                                <a:close/>
                              </a:path>
                              <a:path w="3881120" h="1583055">
                                <a:moveTo>
                                  <a:pt x="3150336" y="282117"/>
                                </a:moveTo>
                                <a:lnTo>
                                  <a:pt x="3149422" y="282117"/>
                                </a:lnTo>
                                <a:lnTo>
                                  <a:pt x="3146679" y="283933"/>
                                </a:lnTo>
                                <a:lnTo>
                                  <a:pt x="3144863" y="285737"/>
                                </a:lnTo>
                                <a:lnTo>
                                  <a:pt x="3143948" y="287553"/>
                                </a:lnTo>
                                <a:lnTo>
                                  <a:pt x="3140291" y="291185"/>
                                </a:lnTo>
                                <a:lnTo>
                                  <a:pt x="3137547" y="292087"/>
                                </a:lnTo>
                                <a:lnTo>
                                  <a:pt x="3133902" y="292087"/>
                                </a:lnTo>
                                <a:lnTo>
                                  <a:pt x="3133902" y="293001"/>
                                </a:lnTo>
                                <a:lnTo>
                                  <a:pt x="3135731" y="293903"/>
                                </a:lnTo>
                                <a:lnTo>
                                  <a:pt x="3136633" y="294817"/>
                                </a:lnTo>
                                <a:lnTo>
                                  <a:pt x="3137547" y="296633"/>
                                </a:lnTo>
                                <a:lnTo>
                                  <a:pt x="3137547" y="298437"/>
                                </a:lnTo>
                                <a:lnTo>
                                  <a:pt x="3138462" y="299351"/>
                                </a:lnTo>
                                <a:lnTo>
                                  <a:pt x="3138462" y="300253"/>
                                </a:lnTo>
                                <a:lnTo>
                                  <a:pt x="3140291" y="300253"/>
                                </a:lnTo>
                                <a:lnTo>
                                  <a:pt x="3141205" y="301167"/>
                                </a:lnTo>
                                <a:lnTo>
                                  <a:pt x="3142119" y="303885"/>
                                </a:lnTo>
                                <a:lnTo>
                                  <a:pt x="3143948" y="305701"/>
                                </a:lnTo>
                                <a:lnTo>
                                  <a:pt x="3144863" y="305701"/>
                                </a:lnTo>
                                <a:lnTo>
                                  <a:pt x="3147593" y="300253"/>
                                </a:lnTo>
                                <a:lnTo>
                                  <a:pt x="3146679" y="299351"/>
                                </a:lnTo>
                                <a:lnTo>
                                  <a:pt x="3147593" y="297535"/>
                                </a:lnTo>
                                <a:lnTo>
                                  <a:pt x="3147593" y="296633"/>
                                </a:lnTo>
                                <a:lnTo>
                                  <a:pt x="3146679" y="295719"/>
                                </a:lnTo>
                                <a:lnTo>
                                  <a:pt x="3146679" y="293001"/>
                                </a:lnTo>
                                <a:lnTo>
                                  <a:pt x="3145777" y="290283"/>
                                </a:lnTo>
                                <a:lnTo>
                                  <a:pt x="3145777" y="289369"/>
                                </a:lnTo>
                                <a:lnTo>
                                  <a:pt x="3147593" y="287553"/>
                                </a:lnTo>
                                <a:lnTo>
                                  <a:pt x="3148507" y="285737"/>
                                </a:lnTo>
                                <a:lnTo>
                                  <a:pt x="3150336" y="284835"/>
                                </a:lnTo>
                                <a:lnTo>
                                  <a:pt x="3150336" y="282117"/>
                                </a:lnTo>
                                <a:close/>
                              </a:path>
                              <a:path w="3881120" h="1583055">
                                <a:moveTo>
                                  <a:pt x="3156724" y="297535"/>
                                </a:moveTo>
                                <a:lnTo>
                                  <a:pt x="3155810" y="295719"/>
                                </a:lnTo>
                                <a:lnTo>
                                  <a:pt x="3154896" y="291185"/>
                                </a:lnTo>
                                <a:lnTo>
                                  <a:pt x="3153079" y="285737"/>
                                </a:lnTo>
                                <a:lnTo>
                                  <a:pt x="3152165" y="284835"/>
                                </a:lnTo>
                                <a:lnTo>
                                  <a:pt x="3150336" y="284835"/>
                                </a:lnTo>
                                <a:lnTo>
                                  <a:pt x="3150336" y="290283"/>
                                </a:lnTo>
                                <a:lnTo>
                                  <a:pt x="3151251" y="292087"/>
                                </a:lnTo>
                                <a:lnTo>
                                  <a:pt x="3152165" y="296633"/>
                                </a:lnTo>
                                <a:lnTo>
                                  <a:pt x="3153994" y="297535"/>
                                </a:lnTo>
                                <a:lnTo>
                                  <a:pt x="3154896" y="298437"/>
                                </a:lnTo>
                                <a:lnTo>
                                  <a:pt x="3155810" y="297535"/>
                                </a:lnTo>
                                <a:lnTo>
                                  <a:pt x="3156724" y="297535"/>
                                </a:lnTo>
                                <a:close/>
                              </a:path>
                              <a:path w="3881120" h="1583055">
                                <a:moveTo>
                                  <a:pt x="3880853" y="1162900"/>
                                </a:moveTo>
                                <a:lnTo>
                                  <a:pt x="3879939" y="1161999"/>
                                </a:lnTo>
                                <a:lnTo>
                                  <a:pt x="3879939" y="1162900"/>
                                </a:lnTo>
                                <a:lnTo>
                                  <a:pt x="3879024" y="1162900"/>
                                </a:lnTo>
                                <a:lnTo>
                                  <a:pt x="3879024" y="1163815"/>
                                </a:lnTo>
                                <a:lnTo>
                                  <a:pt x="3880853" y="1163815"/>
                                </a:lnTo>
                                <a:lnTo>
                                  <a:pt x="3880853" y="1162900"/>
                                </a:lnTo>
                                <a:close/>
                              </a:path>
                            </a:pathLst>
                          </a:custGeom>
                          <a:solidFill>
                            <a:srgbClr val="E1E2E3"/>
                          </a:solidFill>
                        </wps:spPr>
                        <wps:bodyPr wrap="square" lIns="0" tIns="0" rIns="0" bIns="0" rtlCol="0">
                          <a:prstTxWarp prst="textNoShape">
                            <a:avLst/>
                          </a:prstTxWarp>
                          <a:noAutofit/>
                        </wps:bodyPr>
                      </wps:wsp>
                      <wps:wsp>
                        <wps:cNvPr id="1964" name="Graphic 1964"/>
                        <wps:cNvSpPr/>
                        <wps:spPr>
                          <a:xfrm>
                            <a:off x="1509318" y="1183398"/>
                            <a:ext cx="29845" cy="17780"/>
                          </a:xfrm>
                          <a:custGeom>
                            <a:avLst/>
                            <a:gdLst/>
                            <a:ahLst/>
                            <a:cxnLst/>
                            <a:rect l="l" t="t" r="r" b="b"/>
                            <a:pathLst>
                              <a:path w="29845" h="17780">
                                <a:moveTo>
                                  <a:pt x="0" y="9067"/>
                                </a:moveTo>
                                <a:lnTo>
                                  <a:pt x="914" y="10883"/>
                                </a:lnTo>
                                <a:lnTo>
                                  <a:pt x="2743" y="11785"/>
                                </a:lnTo>
                                <a:lnTo>
                                  <a:pt x="4559" y="12699"/>
                                </a:lnTo>
                                <a:lnTo>
                                  <a:pt x="6388" y="14516"/>
                                </a:lnTo>
                                <a:lnTo>
                                  <a:pt x="8216" y="15417"/>
                                </a:lnTo>
                                <a:lnTo>
                                  <a:pt x="10960" y="17233"/>
                                </a:lnTo>
                                <a:lnTo>
                                  <a:pt x="11874" y="17233"/>
                                </a:lnTo>
                                <a:lnTo>
                                  <a:pt x="14604" y="16319"/>
                                </a:lnTo>
                                <a:lnTo>
                                  <a:pt x="18262" y="15417"/>
                                </a:lnTo>
                                <a:lnTo>
                                  <a:pt x="20091" y="13601"/>
                                </a:lnTo>
                                <a:lnTo>
                                  <a:pt x="21005" y="12699"/>
                                </a:lnTo>
                                <a:lnTo>
                                  <a:pt x="21920" y="9969"/>
                                </a:lnTo>
                                <a:lnTo>
                                  <a:pt x="22834" y="8166"/>
                                </a:lnTo>
                                <a:lnTo>
                                  <a:pt x="23736" y="7251"/>
                                </a:lnTo>
                                <a:lnTo>
                                  <a:pt x="28308" y="5435"/>
                                </a:lnTo>
                                <a:lnTo>
                                  <a:pt x="29222" y="4533"/>
                                </a:lnTo>
                                <a:lnTo>
                                  <a:pt x="28308" y="1816"/>
                                </a:lnTo>
                                <a:lnTo>
                                  <a:pt x="27393" y="0"/>
                                </a:lnTo>
                              </a:path>
                            </a:pathLst>
                          </a:custGeom>
                          <a:ln w="4445">
                            <a:solidFill>
                              <a:srgbClr val="FFFFFF"/>
                            </a:solidFill>
                            <a:prstDash val="solid"/>
                          </a:ln>
                        </wps:spPr>
                        <wps:bodyPr wrap="square" lIns="0" tIns="0" rIns="0" bIns="0" rtlCol="0">
                          <a:prstTxWarp prst="textNoShape">
                            <a:avLst/>
                          </a:prstTxWarp>
                          <a:noAutofit/>
                        </wps:bodyPr>
                      </wps:wsp>
                      <wps:wsp>
                        <wps:cNvPr id="1965" name="Graphic 1965"/>
                        <wps:cNvSpPr/>
                        <wps:spPr>
                          <a:xfrm>
                            <a:off x="3227862" y="1138947"/>
                            <a:ext cx="27940" cy="22225"/>
                          </a:xfrm>
                          <a:custGeom>
                            <a:avLst/>
                            <a:gdLst/>
                            <a:ahLst/>
                            <a:cxnLst/>
                            <a:rect l="l" t="t" r="r" b="b"/>
                            <a:pathLst>
                              <a:path w="27940" h="22225">
                                <a:moveTo>
                                  <a:pt x="13690" y="0"/>
                                </a:moveTo>
                                <a:lnTo>
                                  <a:pt x="11861" y="901"/>
                                </a:lnTo>
                                <a:lnTo>
                                  <a:pt x="10947" y="1816"/>
                                </a:lnTo>
                                <a:lnTo>
                                  <a:pt x="10032" y="3632"/>
                                </a:lnTo>
                                <a:lnTo>
                                  <a:pt x="10032" y="4533"/>
                                </a:lnTo>
                                <a:lnTo>
                                  <a:pt x="9131" y="5448"/>
                                </a:lnTo>
                                <a:lnTo>
                                  <a:pt x="9131" y="6350"/>
                                </a:lnTo>
                                <a:lnTo>
                                  <a:pt x="8216" y="7251"/>
                                </a:lnTo>
                                <a:lnTo>
                                  <a:pt x="6388" y="7251"/>
                                </a:lnTo>
                                <a:lnTo>
                                  <a:pt x="6388" y="8166"/>
                                </a:lnTo>
                                <a:lnTo>
                                  <a:pt x="5473" y="7251"/>
                                </a:lnTo>
                                <a:lnTo>
                                  <a:pt x="3644" y="8166"/>
                                </a:lnTo>
                                <a:lnTo>
                                  <a:pt x="3644" y="9067"/>
                                </a:lnTo>
                                <a:lnTo>
                                  <a:pt x="4559" y="9067"/>
                                </a:lnTo>
                                <a:lnTo>
                                  <a:pt x="5473" y="9982"/>
                                </a:lnTo>
                                <a:lnTo>
                                  <a:pt x="5473" y="10883"/>
                                </a:lnTo>
                                <a:lnTo>
                                  <a:pt x="1816" y="11785"/>
                                </a:lnTo>
                                <a:lnTo>
                                  <a:pt x="0" y="12700"/>
                                </a:lnTo>
                                <a:lnTo>
                                  <a:pt x="0" y="13601"/>
                                </a:lnTo>
                                <a:lnTo>
                                  <a:pt x="0" y="14516"/>
                                </a:lnTo>
                                <a:lnTo>
                                  <a:pt x="2730" y="17233"/>
                                </a:lnTo>
                                <a:lnTo>
                                  <a:pt x="3644" y="17233"/>
                                </a:lnTo>
                                <a:lnTo>
                                  <a:pt x="3644" y="19050"/>
                                </a:lnTo>
                                <a:lnTo>
                                  <a:pt x="6388" y="19050"/>
                                </a:lnTo>
                                <a:lnTo>
                                  <a:pt x="7302" y="19951"/>
                                </a:lnTo>
                                <a:lnTo>
                                  <a:pt x="8216" y="19951"/>
                                </a:lnTo>
                                <a:lnTo>
                                  <a:pt x="10032" y="19951"/>
                                </a:lnTo>
                                <a:lnTo>
                                  <a:pt x="10947" y="20866"/>
                                </a:lnTo>
                                <a:lnTo>
                                  <a:pt x="11861" y="19951"/>
                                </a:lnTo>
                                <a:lnTo>
                                  <a:pt x="13690" y="19050"/>
                                </a:lnTo>
                                <a:lnTo>
                                  <a:pt x="13690" y="18135"/>
                                </a:lnTo>
                                <a:lnTo>
                                  <a:pt x="13690" y="17233"/>
                                </a:lnTo>
                                <a:lnTo>
                                  <a:pt x="14604" y="15417"/>
                                </a:lnTo>
                                <a:lnTo>
                                  <a:pt x="15519" y="14516"/>
                                </a:lnTo>
                                <a:lnTo>
                                  <a:pt x="16433" y="14516"/>
                                </a:lnTo>
                                <a:lnTo>
                                  <a:pt x="17348" y="15417"/>
                                </a:lnTo>
                                <a:lnTo>
                                  <a:pt x="18262" y="16332"/>
                                </a:lnTo>
                                <a:lnTo>
                                  <a:pt x="18262" y="17233"/>
                                </a:lnTo>
                                <a:lnTo>
                                  <a:pt x="19164" y="19050"/>
                                </a:lnTo>
                                <a:lnTo>
                                  <a:pt x="20993" y="19050"/>
                                </a:lnTo>
                                <a:lnTo>
                                  <a:pt x="20993" y="19951"/>
                                </a:lnTo>
                                <a:lnTo>
                                  <a:pt x="20993" y="21767"/>
                                </a:lnTo>
                                <a:lnTo>
                                  <a:pt x="22821" y="21767"/>
                                </a:lnTo>
                                <a:lnTo>
                                  <a:pt x="23736" y="21767"/>
                                </a:lnTo>
                                <a:lnTo>
                                  <a:pt x="24650" y="21767"/>
                                </a:lnTo>
                                <a:lnTo>
                                  <a:pt x="25565" y="21767"/>
                                </a:lnTo>
                                <a:lnTo>
                                  <a:pt x="27393" y="21767"/>
                                </a:lnTo>
                              </a:path>
                            </a:pathLst>
                          </a:custGeom>
                          <a:ln w="4445">
                            <a:solidFill>
                              <a:srgbClr val="FFFFFF"/>
                            </a:solidFill>
                            <a:prstDash val="solid"/>
                          </a:ln>
                        </wps:spPr>
                        <wps:bodyPr wrap="square" lIns="0" tIns="0" rIns="0" bIns="0" rtlCol="0">
                          <a:prstTxWarp prst="textNoShape">
                            <a:avLst/>
                          </a:prstTxWarp>
                          <a:noAutofit/>
                        </wps:bodyPr>
                      </wps:wsp>
                      <wps:wsp>
                        <wps:cNvPr id="1966" name="Graphic 1966"/>
                        <wps:cNvSpPr/>
                        <wps:spPr>
                          <a:xfrm>
                            <a:off x="5192028" y="2298217"/>
                            <a:ext cx="9525" cy="5715"/>
                          </a:xfrm>
                          <a:custGeom>
                            <a:avLst/>
                            <a:gdLst/>
                            <a:ahLst/>
                            <a:cxnLst/>
                            <a:rect l="l" t="t" r="r" b="b"/>
                            <a:pathLst>
                              <a:path w="9525" h="5715">
                                <a:moveTo>
                                  <a:pt x="9131" y="3632"/>
                                </a:moveTo>
                                <a:lnTo>
                                  <a:pt x="8216" y="2730"/>
                                </a:lnTo>
                                <a:lnTo>
                                  <a:pt x="8216" y="914"/>
                                </a:lnTo>
                                <a:lnTo>
                                  <a:pt x="5473" y="0"/>
                                </a:lnTo>
                                <a:lnTo>
                                  <a:pt x="4571" y="0"/>
                                </a:lnTo>
                                <a:lnTo>
                                  <a:pt x="1828" y="0"/>
                                </a:lnTo>
                                <a:lnTo>
                                  <a:pt x="914" y="2730"/>
                                </a:lnTo>
                                <a:lnTo>
                                  <a:pt x="0" y="4533"/>
                                </a:lnTo>
                                <a:lnTo>
                                  <a:pt x="0" y="5448"/>
                                </a:lnTo>
                              </a:path>
                            </a:pathLst>
                          </a:custGeom>
                          <a:ln w="4445">
                            <a:solidFill>
                              <a:srgbClr val="FFFFFF"/>
                            </a:solidFill>
                            <a:prstDash val="solid"/>
                          </a:ln>
                        </wps:spPr>
                        <wps:bodyPr wrap="square" lIns="0" tIns="0" rIns="0" bIns="0" rtlCol="0">
                          <a:prstTxWarp prst="textNoShape">
                            <a:avLst/>
                          </a:prstTxWarp>
                          <a:noAutofit/>
                        </wps:bodyPr>
                      </wps:wsp>
                      <wps:wsp>
                        <wps:cNvPr id="1967" name="Graphic 1967"/>
                        <wps:cNvSpPr/>
                        <wps:spPr>
                          <a:xfrm>
                            <a:off x="5125368" y="2176669"/>
                            <a:ext cx="36195" cy="24765"/>
                          </a:xfrm>
                          <a:custGeom>
                            <a:avLst/>
                            <a:gdLst/>
                            <a:ahLst/>
                            <a:cxnLst/>
                            <a:rect l="l" t="t" r="r" b="b"/>
                            <a:pathLst>
                              <a:path w="36195" h="24765">
                                <a:moveTo>
                                  <a:pt x="0" y="6350"/>
                                </a:moveTo>
                                <a:lnTo>
                                  <a:pt x="0" y="5448"/>
                                </a:lnTo>
                                <a:lnTo>
                                  <a:pt x="914" y="1816"/>
                                </a:lnTo>
                                <a:lnTo>
                                  <a:pt x="914" y="901"/>
                                </a:lnTo>
                                <a:lnTo>
                                  <a:pt x="1828" y="0"/>
                                </a:lnTo>
                                <a:lnTo>
                                  <a:pt x="1828" y="901"/>
                                </a:lnTo>
                                <a:lnTo>
                                  <a:pt x="3657" y="3632"/>
                                </a:lnTo>
                                <a:lnTo>
                                  <a:pt x="8216" y="5448"/>
                                </a:lnTo>
                                <a:lnTo>
                                  <a:pt x="9131" y="5448"/>
                                </a:lnTo>
                                <a:lnTo>
                                  <a:pt x="10960" y="5448"/>
                                </a:lnTo>
                                <a:lnTo>
                                  <a:pt x="11874" y="6350"/>
                                </a:lnTo>
                                <a:lnTo>
                                  <a:pt x="12788" y="8166"/>
                                </a:lnTo>
                                <a:lnTo>
                                  <a:pt x="13703" y="10883"/>
                                </a:lnTo>
                                <a:lnTo>
                                  <a:pt x="15519" y="9982"/>
                                </a:lnTo>
                                <a:lnTo>
                                  <a:pt x="16433" y="10883"/>
                                </a:lnTo>
                                <a:lnTo>
                                  <a:pt x="17348" y="10883"/>
                                </a:lnTo>
                                <a:lnTo>
                                  <a:pt x="17348" y="12700"/>
                                </a:lnTo>
                                <a:lnTo>
                                  <a:pt x="18262" y="15417"/>
                                </a:lnTo>
                                <a:lnTo>
                                  <a:pt x="18262" y="17233"/>
                                </a:lnTo>
                                <a:lnTo>
                                  <a:pt x="16433" y="19951"/>
                                </a:lnTo>
                                <a:lnTo>
                                  <a:pt x="16433" y="21767"/>
                                </a:lnTo>
                                <a:lnTo>
                                  <a:pt x="17348" y="22682"/>
                                </a:lnTo>
                                <a:lnTo>
                                  <a:pt x="18262" y="23583"/>
                                </a:lnTo>
                                <a:lnTo>
                                  <a:pt x="19177" y="24485"/>
                                </a:lnTo>
                                <a:lnTo>
                                  <a:pt x="20091" y="23583"/>
                                </a:lnTo>
                                <a:lnTo>
                                  <a:pt x="21005" y="22682"/>
                                </a:lnTo>
                                <a:lnTo>
                                  <a:pt x="21005" y="20866"/>
                                </a:lnTo>
                                <a:lnTo>
                                  <a:pt x="23736" y="19951"/>
                                </a:lnTo>
                                <a:lnTo>
                                  <a:pt x="26479" y="18148"/>
                                </a:lnTo>
                                <a:lnTo>
                                  <a:pt x="27393" y="19050"/>
                                </a:lnTo>
                                <a:lnTo>
                                  <a:pt x="28308" y="20866"/>
                                </a:lnTo>
                                <a:lnTo>
                                  <a:pt x="29222" y="20866"/>
                                </a:lnTo>
                                <a:lnTo>
                                  <a:pt x="29222" y="21767"/>
                                </a:lnTo>
                                <a:lnTo>
                                  <a:pt x="31051" y="20866"/>
                                </a:lnTo>
                                <a:lnTo>
                                  <a:pt x="31965" y="19951"/>
                                </a:lnTo>
                                <a:lnTo>
                                  <a:pt x="32867" y="18148"/>
                                </a:lnTo>
                                <a:lnTo>
                                  <a:pt x="32867" y="16332"/>
                                </a:lnTo>
                                <a:lnTo>
                                  <a:pt x="34696" y="13601"/>
                                </a:lnTo>
                                <a:lnTo>
                                  <a:pt x="34696" y="11798"/>
                                </a:lnTo>
                                <a:lnTo>
                                  <a:pt x="35610" y="9982"/>
                                </a:lnTo>
                              </a:path>
                            </a:pathLst>
                          </a:custGeom>
                          <a:ln w="4445">
                            <a:solidFill>
                              <a:srgbClr val="FFFFFF"/>
                            </a:solidFill>
                            <a:prstDash val="solid"/>
                          </a:ln>
                        </wps:spPr>
                        <wps:bodyPr wrap="square" lIns="0" tIns="0" rIns="0" bIns="0" rtlCol="0">
                          <a:prstTxWarp prst="textNoShape">
                            <a:avLst/>
                          </a:prstTxWarp>
                          <a:noAutofit/>
                        </wps:bodyPr>
                      </wps:wsp>
                      <wps:wsp>
                        <wps:cNvPr id="1968" name="Graphic 1968"/>
                        <wps:cNvSpPr/>
                        <wps:spPr>
                          <a:xfrm>
                            <a:off x="2089167" y="1890933"/>
                            <a:ext cx="8255" cy="37465"/>
                          </a:xfrm>
                          <a:custGeom>
                            <a:avLst/>
                            <a:gdLst/>
                            <a:ahLst/>
                            <a:cxnLst/>
                            <a:rect l="l" t="t" r="r" b="b"/>
                            <a:pathLst>
                              <a:path w="8255" h="37465">
                                <a:moveTo>
                                  <a:pt x="7302" y="0"/>
                                </a:moveTo>
                                <a:lnTo>
                                  <a:pt x="8216" y="901"/>
                                </a:lnTo>
                                <a:lnTo>
                                  <a:pt x="8216" y="5448"/>
                                </a:lnTo>
                                <a:lnTo>
                                  <a:pt x="8216" y="6350"/>
                                </a:lnTo>
                                <a:lnTo>
                                  <a:pt x="7302" y="9067"/>
                                </a:lnTo>
                                <a:lnTo>
                                  <a:pt x="7302" y="9982"/>
                                </a:lnTo>
                                <a:lnTo>
                                  <a:pt x="8216" y="11798"/>
                                </a:lnTo>
                                <a:lnTo>
                                  <a:pt x="8216" y="12700"/>
                                </a:lnTo>
                                <a:lnTo>
                                  <a:pt x="6388" y="14516"/>
                                </a:lnTo>
                                <a:lnTo>
                                  <a:pt x="4559" y="16332"/>
                                </a:lnTo>
                                <a:lnTo>
                                  <a:pt x="4559" y="18135"/>
                                </a:lnTo>
                                <a:lnTo>
                                  <a:pt x="5473" y="19050"/>
                                </a:lnTo>
                                <a:lnTo>
                                  <a:pt x="5473" y="19951"/>
                                </a:lnTo>
                                <a:lnTo>
                                  <a:pt x="5473" y="21767"/>
                                </a:lnTo>
                                <a:lnTo>
                                  <a:pt x="3644" y="23583"/>
                                </a:lnTo>
                                <a:lnTo>
                                  <a:pt x="2743" y="24485"/>
                                </a:lnTo>
                                <a:lnTo>
                                  <a:pt x="914" y="24485"/>
                                </a:lnTo>
                                <a:lnTo>
                                  <a:pt x="0" y="24485"/>
                                </a:lnTo>
                                <a:lnTo>
                                  <a:pt x="914" y="27216"/>
                                </a:lnTo>
                                <a:lnTo>
                                  <a:pt x="1828" y="29032"/>
                                </a:lnTo>
                                <a:lnTo>
                                  <a:pt x="3644" y="30835"/>
                                </a:lnTo>
                                <a:lnTo>
                                  <a:pt x="3644" y="32651"/>
                                </a:lnTo>
                                <a:lnTo>
                                  <a:pt x="2743" y="33566"/>
                                </a:lnTo>
                                <a:lnTo>
                                  <a:pt x="2743" y="37185"/>
                                </a:lnTo>
                              </a:path>
                            </a:pathLst>
                          </a:custGeom>
                          <a:ln w="4445">
                            <a:solidFill>
                              <a:srgbClr val="FFFFFF"/>
                            </a:solidFill>
                            <a:prstDash val="solid"/>
                          </a:ln>
                        </wps:spPr>
                        <wps:bodyPr wrap="square" lIns="0" tIns="0" rIns="0" bIns="0" rtlCol="0">
                          <a:prstTxWarp prst="textNoShape">
                            <a:avLst/>
                          </a:prstTxWarp>
                          <a:noAutofit/>
                        </wps:bodyPr>
                      </wps:wsp>
                      <wps:wsp>
                        <wps:cNvPr id="1969" name="Graphic 1969"/>
                        <wps:cNvSpPr/>
                        <wps:spPr>
                          <a:xfrm>
                            <a:off x="5542674" y="2553112"/>
                            <a:ext cx="8255" cy="6350"/>
                          </a:xfrm>
                          <a:custGeom>
                            <a:avLst/>
                            <a:gdLst/>
                            <a:ahLst/>
                            <a:cxnLst/>
                            <a:rect l="l" t="t" r="r" b="b"/>
                            <a:pathLst>
                              <a:path w="8255" h="6350">
                                <a:moveTo>
                                  <a:pt x="0" y="3632"/>
                                </a:moveTo>
                                <a:lnTo>
                                  <a:pt x="914" y="4533"/>
                                </a:lnTo>
                                <a:lnTo>
                                  <a:pt x="914" y="5448"/>
                                </a:lnTo>
                                <a:lnTo>
                                  <a:pt x="1828" y="5448"/>
                                </a:lnTo>
                                <a:lnTo>
                                  <a:pt x="4572" y="6350"/>
                                </a:lnTo>
                                <a:lnTo>
                                  <a:pt x="5473" y="5448"/>
                                </a:lnTo>
                                <a:lnTo>
                                  <a:pt x="6388" y="4533"/>
                                </a:lnTo>
                                <a:lnTo>
                                  <a:pt x="7302" y="3632"/>
                                </a:lnTo>
                                <a:lnTo>
                                  <a:pt x="7302" y="1816"/>
                                </a:lnTo>
                                <a:lnTo>
                                  <a:pt x="8216" y="0"/>
                                </a:lnTo>
                              </a:path>
                            </a:pathLst>
                          </a:custGeom>
                          <a:ln w="4444">
                            <a:solidFill>
                              <a:srgbClr val="FFFFFF"/>
                            </a:solidFill>
                            <a:prstDash val="solid"/>
                          </a:ln>
                        </wps:spPr>
                        <wps:bodyPr wrap="square" lIns="0" tIns="0" rIns="0" bIns="0" rtlCol="0">
                          <a:prstTxWarp prst="textNoShape">
                            <a:avLst/>
                          </a:prstTxWarp>
                          <a:noAutofit/>
                        </wps:bodyPr>
                      </wps:wsp>
                      <wps:wsp>
                        <wps:cNvPr id="1970" name="Graphic 1970"/>
                        <wps:cNvSpPr/>
                        <wps:spPr>
                          <a:xfrm>
                            <a:off x="5559111" y="2547674"/>
                            <a:ext cx="5080" cy="13970"/>
                          </a:xfrm>
                          <a:custGeom>
                            <a:avLst/>
                            <a:gdLst/>
                            <a:ahLst/>
                            <a:cxnLst/>
                            <a:rect l="l" t="t" r="r" b="b"/>
                            <a:pathLst>
                              <a:path w="5080" h="13970">
                                <a:moveTo>
                                  <a:pt x="914" y="0"/>
                                </a:moveTo>
                                <a:lnTo>
                                  <a:pt x="0" y="1816"/>
                                </a:lnTo>
                                <a:lnTo>
                                  <a:pt x="914" y="2717"/>
                                </a:lnTo>
                                <a:lnTo>
                                  <a:pt x="3657" y="1816"/>
                                </a:lnTo>
                                <a:lnTo>
                                  <a:pt x="4572" y="2717"/>
                                </a:lnTo>
                                <a:lnTo>
                                  <a:pt x="4572" y="4533"/>
                                </a:lnTo>
                                <a:lnTo>
                                  <a:pt x="2743" y="6350"/>
                                </a:lnTo>
                                <a:lnTo>
                                  <a:pt x="914" y="6350"/>
                                </a:lnTo>
                                <a:lnTo>
                                  <a:pt x="0" y="7251"/>
                                </a:lnTo>
                                <a:lnTo>
                                  <a:pt x="914" y="8166"/>
                                </a:lnTo>
                                <a:lnTo>
                                  <a:pt x="914" y="9067"/>
                                </a:lnTo>
                                <a:lnTo>
                                  <a:pt x="1828" y="10883"/>
                                </a:lnTo>
                                <a:lnTo>
                                  <a:pt x="1828" y="13601"/>
                                </a:lnTo>
                              </a:path>
                            </a:pathLst>
                          </a:custGeom>
                          <a:ln w="4445">
                            <a:solidFill>
                              <a:srgbClr val="FFFFFF"/>
                            </a:solidFill>
                            <a:prstDash val="solid"/>
                          </a:ln>
                        </wps:spPr>
                        <wps:bodyPr wrap="square" lIns="0" tIns="0" rIns="0" bIns="0" rtlCol="0">
                          <a:prstTxWarp prst="textNoShape">
                            <a:avLst/>
                          </a:prstTxWarp>
                          <a:noAutofit/>
                        </wps:bodyPr>
                      </wps:wsp>
                      <pic:pic>
                        <pic:nvPicPr>
                          <pic:cNvPr id="1971" name="Image 1971"/>
                          <pic:cNvPicPr/>
                        </pic:nvPicPr>
                        <pic:blipFill>
                          <a:blip r:embed="rId159" cstate="print"/>
                          <a:stretch>
                            <a:fillRect/>
                          </a:stretch>
                        </pic:blipFill>
                        <pic:spPr>
                          <a:xfrm>
                            <a:off x="5295728" y="2213452"/>
                            <a:ext cx="151460" cy="100601"/>
                          </a:xfrm>
                          <a:prstGeom prst="rect">
                            <a:avLst/>
                          </a:prstGeom>
                        </pic:spPr>
                      </pic:pic>
                      <pic:pic>
                        <pic:nvPicPr>
                          <pic:cNvPr id="1972" name="Image 1972"/>
                          <pic:cNvPicPr/>
                        </pic:nvPicPr>
                        <pic:blipFill>
                          <a:blip r:embed="rId160" cstate="print"/>
                          <a:stretch>
                            <a:fillRect/>
                          </a:stretch>
                        </pic:blipFill>
                        <pic:spPr>
                          <a:xfrm>
                            <a:off x="3046651" y="808360"/>
                            <a:ext cx="2334794" cy="2192360"/>
                          </a:xfrm>
                          <a:prstGeom prst="rect">
                            <a:avLst/>
                          </a:prstGeom>
                        </pic:spPr>
                      </pic:pic>
                      <wps:wsp>
                        <wps:cNvPr id="1973" name="Graphic 1973"/>
                        <wps:cNvSpPr/>
                        <wps:spPr>
                          <a:xfrm>
                            <a:off x="5376482" y="2215681"/>
                            <a:ext cx="16510" cy="20955"/>
                          </a:xfrm>
                          <a:custGeom>
                            <a:avLst/>
                            <a:gdLst/>
                            <a:ahLst/>
                            <a:cxnLst/>
                            <a:rect l="l" t="t" r="r" b="b"/>
                            <a:pathLst>
                              <a:path w="16510" h="20955">
                                <a:moveTo>
                                  <a:pt x="0" y="7251"/>
                                </a:moveTo>
                                <a:lnTo>
                                  <a:pt x="0" y="8153"/>
                                </a:lnTo>
                                <a:lnTo>
                                  <a:pt x="1828" y="9067"/>
                                </a:lnTo>
                                <a:lnTo>
                                  <a:pt x="2743" y="9969"/>
                                </a:lnTo>
                                <a:lnTo>
                                  <a:pt x="3657" y="11785"/>
                                </a:lnTo>
                                <a:lnTo>
                                  <a:pt x="3657" y="13601"/>
                                </a:lnTo>
                                <a:lnTo>
                                  <a:pt x="4559" y="14503"/>
                                </a:lnTo>
                                <a:lnTo>
                                  <a:pt x="4559" y="15417"/>
                                </a:lnTo>
                                <a:lnTo>
                                  <a:pt x="6388" y="15417"/>
                                </a:lnTo>
                                <a:lnTo>
                                  <a:pt x="7302" y="16319"/>
                                </a:lnTo>
                                <a:lnTo>
                                  <a:pt x="8216" y="19050"/>
                                </a:lnTo>
                                <a:lnTo>
                                  <a:pt x="9131" y="19951"/>
                                </a:lnTo>
                                <a:lnTo>
                                  <a:pt x="10045" y="20853"/>
                                </a:lnTo>
                                <a:lnTo>
                                  <a:pt x="10960" y="20853"/>
                                </a:lnTo>
                                <a:lnTo>
                                  <a:pt x="11874" y="19050"/>
                                </a:lnTo>
                                <a:lnTo>
                                  <a:pt x="12788" y="17233"/>
                                </a:lnTo>
                                <a:lnTo>
                                  <a:pt x="13703" y="15417"/>
                                </a:lnTo>
                                <a:lnTo>
                                  <a:pt x="12788" y="14503"/>
                                </a:lnTo>
                                <a:lnTo>
                                  <a:pt x="13703" y="12700"/>
                                </a:lnTo>
                                <a:lnTo>
                                  <a:pt x="13703" y="11785"/>
                                </a:lnTo>
                                <a:lnTo>
                                  <a:pt x="12788" y="10883"/>
                                </a:lnTo>
                                <a:lnTo>
                                  <a:pt x="12788" y="8153"/>
                                </a:lnTo>
                                <a:lnTo>
                                  <a:pt x="11874" y="5435"/>
                                </a:lnTo>
                                <a:lnTo>
                                  <a:pt x="11874" y="4533"/>
                                </a:lnTo>
                                <a:lnTo>
                                  <a:pt x="12788" y="3619"/>
                                </a:lnTo>
                                <a:lnTo>
                                  <a:pt x="13703" y="2717"/>
                                </a:lnTo>
                                <a:lnTo>
                                  <a:pt x="14604" y="901"/>
                                </a:lnTo>
                                <a:lnTo>
                                  <a:pt x="16433" y="0"/>
                                </a:lnTo>
                              </a:path>
                            </a:pathLst>
                          </a:custGeom>
                          <a:ln w="4445">
                            <a:solidFill>
                              <a:srgbClr val="FFFFFF"/>
                            </a:solidFill>
                            <a:prstDash val="solid"/>
                          </a:ln>
                        </wps:spPr>
                        <wps:bodyPr wrap="square" lIns="0" tIns="0" rIns="0" bIns="0" rtlCol="0">
                          <a:prstTxWarp prst="textNoShape">
                            <a:avLst/>
                          </a:prstTxWarp>
                          <a:noAutofit/>
                        </wps:bodyPr>
                      </wps:wsp>
                      <wps:wsp>
                        <wps:cNvPr id="1974" name="Graphic 1974"/>
                        <wps:cNvSpPr/>
                        <wps:spPr>
                          <a:xfrm>
                            <a:off x="1959495" y="2136758"/>
                            <a:ext cx="13970" cy="33020"/>
                          </a:xfrm>
                          <a:custGeom>
                            <a:avLst/>
                            <a:gdLst/>
                            <a:ahLst/>
                            <a:cxnLst/>
                            <a:rect l="l" t="t" r="r" b="b"/>
                            <a:pathLst>
                              <a:path w="13970" h="33020">
                                <a:moveTo>
                                  <a:pt x="11874" y="0"/>
                                </a:moveTo>
                                <a:lnTo>
                                  <a:pt x="10960" y="901"/>
                                </a:lnTo>
                                <a:lnTo>
                                  <a:pt x="10045" y="2717"/>
                                </a:lnTo>
                                <a:lnTo>
                                  <a:pt x="9131" y="3632"/>
                                </a:lnTo>
                                <a:lnTo>
                                  <a:pt x="10960" y="5448"/>
                                </a:lnTo>
                                <a:lnTo>
                                  <a:pt x="10960" y="7251"/>
                                </a:lnTo>
                                <a:lnTo>
                                  <a:pt x="11874" y="9067"/>
                                </a:lnTo>
                                <a:lnTo>
                                  <a:pt x="12788" y="10883"/>
                                </a:lnTo>
                                <a:lnTo>
                                  <a:pt x="13703" y="14516"/>
                                </a:lnTo>
                                <a:lnTo>
                                  <a:pt x="13703" y="15417"/>
                                </a:lnTo>
                                <a:lnTo>
                                  <a:pt x="13703" y="16332"/>
                                </a:lnTo>
                                <a:lnTo>
                                  <a:pt x="11874" y="17233"/>
                                </a:lnTo>
                                <a:lnTo>
                                  <a:pt x="10960" y="19050"/>
                                </a:lnTo>
                                <a:lnTo>
                                  <a:pt x="10045" y="20866"/>
                                </a:lnTo>
                                <a:lnTo>
                                  <a:pt x="10960" y="21767"/>
                                </a:lnTo>
                                <a:lnTo>
                                  <a:pt x="7302" y="24485"/>
                                </a:lnTo>
                                <a:lnTo>
                                  <a:pt x="6400" y="25400"/>
                                </a:lnTo>
                                <a:lnTo>
                                  <a:pt x="5486" y="24485"/>
                                </a:lnTo>
                                <a:lnTo>
                                  <a:pt x="5486" y="23583"/>
                                </a:lnTo>
                                <a:lnTo>
                                  <a:pt x="4572" y="21767"/>
                                </a:lnTo>
                                <a:lnTo>
                                  <a:pt x="3657" y="21767"/>
                                </a:lnTo>
                                <a:lnTo>
                                  <a:pt x="2743" y="22682"/>
                                </a:lnTo>
                                <a:lnTo>
                                  <a:pt x="3657" y="25400"/>
                                </a:lnTo>
                                <a:lnTo>
                                  <a:pt x="2743" y="26301"/>
                                </a:lnTo>
                                <a:lnTo>
                                  <a:pt x="1828" y="27216"/>
                                </a:lnTo>
                                <a:lnTo>
                                  <a:pt x="0" y="32651"/>
                                </a:lnTo>
                              </a:path>
                            </a:pathLst>
                          </a:custGeom>
                          <a:ln w="4445">
                            <a:solidFill>
                              <a:srgbClr val="FFFFFF"/>
                            </a:solidFill>
                            <a:prstDash val="solid"/>
                          </a:ln>
                        </wps:spPr>
                        <wps:bodyPr wrap="square" lIns="0" tIns="0" rIns="0" bIns="0" rtlCol="0">
                          <a:prstTxWarp prst="textNoShape">
                            <a:avLst/>
                          </a:prstTxWarp>
                          <a:noAutofit/>
                        </wps:bodyPr>
                      </wps:wsp>
                      <pic:pic>
                        <pic:nvPicPr>
                          <pic:cNvPr id="1975" name="Image 1975"/>
                          <pic:cNvPicPr/>
                        </pic:nvPicPr>
                        <pic:blipFill>
                          <a:blip r:embed="rId161" cstate="print"/>
                          <a:stretch>
                            <a:fillRect/>
                          </a:stretch>
                        </pic:blipFill>
                        <pic:spPr>
                          <a:xfrm>
                            <a:off x="1709296" y="1908670"/>
                            <a:ext cx="756480" cy="1643569"/>
                          </a:xfrm>
                          <a:prstGeom prst="rect">
                            <a:avLst/>
                          </a:prstGeom>
                        </pic:spPr>
                      </pic:pic>
                      <wps:wsp>
                        <wps:cNvPr id="1976" name="Graphic 1976"/>
                        <wps:cNvSpPr/>
                        <wps:spPr>
                          <a:xfrm>
                            <a:off x="5843104" y="2397095"/>
                            <a:ext cx="14604" cy="162560"/>
                          </a:xfrm>
                          <a:custGeom>
                            <a:avLst/>
                            <a:gdLst/>
                            <a:ahLst/>
                            <a:cxnLst/>
                            <a:rect l="l" t="t" r="r" b="b"/>
                            <a:pathLst>
                              <a:path w="14604" h="162560">
                                <a:moveTo>
                                  <a:pt x="14604" y="0"/>
                                </a:moveTo>
                                <a:lnTo>
                                  <a:pt x="14604" y="4533"/>
                                </a:lnTo>
                                <a:lnTo>
                                  <a:pt x="14604" y="9982"/>
                                </a:lnTo>
                                <a:lnTo>
                                  <a:pt x="14604" y="15417"/>
                                </a:lnTo>
                                <a:lnTo>
                                  <a:pt x="13690" y="19951"/>
                                </a:lnTo>
                                <a:lnTo>
                                  <a:pt x="13690" y="25400"/>
                                </a:lnTo>
                                <a:lnTo>
                                  <a:pt x="13690" y="29933"/>
                                </a:lnTo>
                                <a:lnTo>
                                  <a:pt x="12776" y="35382"/>
                                </a:lnTo>
                                <a:lnTo>
                                  <a:pt x="12776" y="40817"/>
                                </a:lnTo>
                                <a:lnTo>
                                  <a:pt x="12776" y="45351"/>
                                </a:lnTo>
                                <a:lnTo>
                                  <a:pt x="11861" y="50800"/>
                                </a:lnTo>
                                <a:lnTo>
                                  <a:pt x="11861" y="55333"/>
                                </a:lnTo>
                                <a:lnTo>
                                  <a:pt x="10947" y="60769"/>
                                </a:lnTo>
                                <a:lnTo>
                                  <a:pt x="10947" y="65316"/>
                                </a:lnTo>
                                <a:lnTo>
                                  <a:pt x="10045" y="70751"/>
                                </a:lnTo>
                                <a:lnTo>
                                  <a:pt x="10045" y="76200"/>
                                </a:lnTo>
                                <a:lnTo>
                                  <a:pt x="9131" y="80733"/>
                                </a:lnTo>
                                <a:lnTo>
                                  <a:pt x="9131" y="86169"/>
                                </a:lnTo>
                                <a:lnTo>
                                  <a:pt x="8216" y="90716"/>
                                </a:lnTo>
                                <a:lnTo>
                                  <a:pt x="8216" y="93433"/>
                                </a:lnTo>
                                <a:lnTo>
                                  <a:pt x="7302" y="96151"/>
                                </a:lnTo>
                                <a:lnTo>
                                  <a:pt x="5473" y="99783"/>
                                </a:lnTo>
                                <a:lnTo>
                                  <a:pt x="5473" y="103403"/>
                                </a:lnTo>
                                <a:lnTo>
                                  <a:pt x="6388" y="105219"/>
                                </a:lnTo>
                                <a:lnTo>
                                  <a:pt x="7302" y="107035"/>
                                </a:lnTo>
                                <a:lnTo>
                                  <a:pt x="6388" y="111569"/>
                                </a:lnTo>
                                <a:lnTo>
                                  <a:pt x="5473" y="116103"/>
                                </a:lnTo>
                                <a:lnTo>
                                  <a:pt x="5473" y="121551"/>
                                </a:lnTo>
                                <a:lnTo>
                                  <a:pt x="4559" y="126085"/>
                                </a:lnTo>
                                <a:lnTo>
                                  <a:pt x="3644" y="131533"/>
                                </a:lnTo>
                                <a:lnTo>
                                  <a:pt x="3644" y="136969"/>
                                </a:lnTo>
                                <a:lnTo>
                                  <a:pt x="2730" y="141503"/>
                                </a:lnTo>
                                <a:lnTo>
                                  <a:pt x="1816" y="146951"/>
                                </a:lnTo>
                                <a:lnTo>
                                  <a:pt x="1816" y="151485"/>
                                </a:lnTo>
                                <a:lnTo>
                                  <a:pt x="914" y="156933"/>
                                </a:lnTo>
                                <a:lnTo>
                                  <a:pt x="0" y="162369"/>
                                </a:lnTo>
                              </a:path>
                            </a:pathLst>
                          </a:custGeom>
                          <a:ln w="4445">
                            <a:solidFill>
                              <a:srgbClr val="FFFFFF"/>
                            </a:solidFill>
                            <a:prstDash val="solid"/>
                          </a:ln>
                        </wps:spPr>
                        <wps:bodyPr wrap="square" lIns="0" tIns="0" rIns="0" bIns="0" rtlCol="0">
                          <a:prstTxWarp prst="textNoShape">
                            <a:avLst/>
                          </a:prstTxWarp>
                          <a:noAutofit/>
                        </wps:bodyPr>
                      </wps:wsp>
                      <pic:pic>
                        <pic:nvPicPr>
                          <pic:cNvPr id="1977" name="Image 1977"/>
                          <pic:cNvPicPr/>
                        </pic:nvPicPr>
                        <pic:blipFill>
                          <a:blip r:embed="rId162" cstate="print"/>
                          <a:stretch>
                            <a:fillRect/>
                          </a:stretch>
                        </pic:blipFill>
                        <pic:spPr>
                          <a:xfrm>
                            <a:off x="1532667" y="723999"/>
                            <a:ext cx="236385" cy="325553"/>
                          </a:xfrm>
                          <a:prstGeom prst="rect">
                            <a:avLst/>
                          </a:prstGeom>
                        </pic:spPr>
                      </pic:pic>
                      <wps:wsp>
                        <wps:cNvPr id="1978" name="Graphic 1978"/>
                        <wps:cNvSpPr/>
                        <wps:spPr>
                          <a:xfrm>
                            <a:off x="1536712" y="1183394"/>
                            <a:ext cx="9525" cy="1270"/>
                          </a:xfrm>
                          <a:custGeom>
                            <a:avLst/>
                            <a:gdLst/>
                            <a:ahLst/>
                            <a:cxnLst/>
                            <a:rect l="l" t="t" r="r" b="b"/>
                            <a:pathLst>
                              <a:path w="9525" h="1270">
                                <a:moveTo>
                                  <a:pt x="0" y="0"/>
                                </a:moveTo>
                                <a:lnTo>
                                  <a:pt x="1828" y="0"/>
                                </a:lnTo>
                                <a:lnTo>
                                  <a:pt x="3657" y="901"/>
                                </a:lnTo>
                                <a:lnTo>
                                  <a:pt x="5473" y="901"/>
                                </a:lnTo>
                                <a:lnTo>
                                  <a:pt x="7302" y="901"/>
                                </a:lnTo>
                                <a:lnTo>
                                  <a:pt x="9131" y="901"/>
                                </a:lnTo>
                              </a:path>
                            </a:pathLst>
                          </a:custGeom>
                          <a:ln w="4445">
                            <a:solidFill>
                              <a:srgbClr val="FFFFFF"/>
                            </a:solidFill>
                            <a:prstDash val="solid"/>
                          </a:ln>
                        </wps:spPr>
                        <wps:bodyPr wrap="square" lIns="0" tIns="0" rIns="0" bIns="0" rtlCol="0">
                          <a:prstTxWarp prst="textNoShape">
                            <a:avLst/>
                          </a:prstTxWarp>
                          <a:noAutofit/>
                        </wps:bodyPr>
                      </wps:wsp>
                      <wps:wsp>
                        <wps:cNvPr id="1979" name="Graphic 1979"/>
                        <wps:cNvSpPr/>
                        <wps:spPr>
                          <a:xfrm>
                            <a:off x="1416178" y="1563469"/>
                            <a:ext cx="276225" cy="174625"/>
                          </a:xfrm>
                          <a:custGeom>
                            <a:avLst/>
                            <a:gdLst/>
                            <a:ahLst/>
                            <a:cxnLst/>
                            <a:rect l="l" t="t" r="r" b="b"/>
                            <a:pathLst>
                              <a:path w="276225" h="174625">
                                <a:moveTo>
                                  <a:pt x="0" y="1816"/>
                                </a:moveTo>
                                <a:lnTo>
                                  <a:pt x="4559" y="1816"/>
                                </a:lnTo>
                                <a:lnTo>
                                  <a:pt x="9131" y="1816"/>
                                </a:lnTo>
                                <a:lnTo>
                                  <a:pt x="13703" y="1816"/>
                                </a:lnTo>
                                <a:lnTo>
                                  <a:pt x="19177" y="914"/>
                                </a:lnTo>
                                <a:lnTo>
                                  <a:pt x="23736" y="914"/>
                                </a:lnTo>
                                <a:lnTo>
                                  <a:pt x="28308" y="914"/>
                                </a:lnTo>
                                <a:lnTo>
                                  <a:pt x="33782" y="914"/>
                                </a:lnTo>
                                <a:lnTo>
                                  <a:pt x="38354" y="914"/>
                                </a:lnTo>
                                <a:lnTo>
                                  <a:pt x="40182" y="0"/>
                                </a:lnTo>
                                <a:lnTo>
                                  <a:pt x="37439" y="3632"/>
                                </a:lnTo>
                                <a:lnTo>
                                  <a:pt x="36525" y="5448"/>
                                </a:lnTo>
                                <a:lnTo>
                                  <a:pt x="42913" y="9067"/>
                                </a:lnTo>
                                <a:lnTo>
                                  <a:pt x="48399" y="12699"/>
                                </a:lnTo>
                                <a:lnTo>
                                  <a:pt x="54787" y="17233"/>
                                </a:lnTo>
                                <a:lnTo>
                                  <a:pt x="61175" y="20866"/>
                                </a:lnTo>
                                <a:lnTo>
                                  <a:pt x="67576" y="24498"/>
                                </a:lnTo>
                                <a:lnTo>
                                  <a:pt x="73964" y="29032"/>
                                </a:lnTo>
                                <a:lnTo>
                                  <a:pt x="80352" y="32651"/>
                                </a:lnTo>
                                <a:lnTo>
                                  <a:pt x="86753" y="36283"/>
                                </a:lnTo>
                                <a:lnTo>
                                  <a:pt x="92227" y="37198"/>
                                </a:lnTo>
                                <a:lnTo>
                                  <a:pt x="97701" y="37198"/>
                                </a:lnTo>
                                <a:lnTo>
                                  <a:pt x="104101" y="37198"/>
                                </a:lnTo>
                                <a:lnTo>
                                  <a:pt x="109575" y="38099"/>
                                </a:lnTo>
                                <a:lnTo>
                                  <a:pt x="115062" y="38099"/>
                                </a:lnTo>
                                <a:lnTo>
                                  <a:pt x="118706" y="38099"/>
                                </a:lnTo>
                                <a:lnTo>
                                  <a:pt x="121450" y="39001"/>
                                </a:lnTo>
                                <a:lnTo>
                                  <a:pt x="126923" y="39001"/>
                                </a:lnTo>
                                <a:lnTo>
                                  <a:pt x="132410" y="39001"/>
                                </a:lnTo>
                                <a:lnTo>
                                  <a:pt x="133324" y="37198"/>
                                </a:lnTo>
                                <a:lnTo>
                                  <a:pt x="134226" y="34467"/>
                                </a:lnTo>
                                <a:lnTo>
                                  <a:pt x="136055" y="31749"/>
                                </a:lnTo>
                                <a:lnTo>
                                  <a:pt x="136969" y="29032"/>
                                </a:lnTo>
                                <a:lnTo>
                                  <a:pt x="140627" y="29032"/>
                                </a:lnTo>
                                <a:lnTo>
                                  <a:pt x="143357" y="29933"/>
                                </a:lnTo>
                                <a:lnTo>
                                  <a:pt x="147015" y="29933"/>
                                </a:lnTo>
                                <a:lnTo>
                                  <a:pt x="150672" y="29933"/>
                                </a:lnTo>
                                <a:lnTo>
                                  <a:pt x="154317" y="29933"/>
                                </a:lnTo>
                                <a:lnTo>
                                  <a:pt x="157975" y="30848"/>
                                </a:lnTo>
                                <a:lnTo>
                                  <a:pt x="161632" y="30848"/>
                                </a:lnTo>
                                <a:lnTo>
                                  <a:pt x="165277" y="30848"/>
                                </a:lnTo>
                                <a:lnTo>
                                  <a:pt x="166192" y="33566"/>
                                </a:lnTo>
                                <a:lnTo>
                                  <a:pt x="166192" y="36283"/>
                                </a:lnTo>
                                <a:lnTo>
                                  <a:pt x="167106" y="39001"/>
                                </a:lnTo>
                                <a:lnTo>
                                  <a:pt x="168935" y="39916"/>
                                </a:lnTo>
                                <a:lnTo>
                                  <a:pt x="170764" y="43548"/>
                                </a:lnTo>
                                <a:lnTo>
                                  <a:pt x="173494" y="49898"/>
                                </a:lnTo>
                                <a:lnTo>
                                  <a:pt x="176237" y="54432"/>
                                </a:lnTo>
                                <a:lnTo>
                                  <a:pt x="178066" y="56248"/>
                                </a:lnTo>
                                <a:lnTo>
                                  <a:pt x="179895" y="58051"/>
                                </a:lnTo>
                                <a:lnTo>
                                  <a:pt x="179895" y="59867"/>
                                </a:lnTo>
                                <a:lnTo>
                                  <a:pt x="180797" y="62585"/>
                                </a:lnTo>
                                <a:lnTo>
                                  <a:pt x="180797" y="69849"/>
                                </a:lnTo>
                                <a:lnTo>
                                  <a:pt x="178981" y="73482"/>
                                </a:lnTo>
                                <a:lnTo>
                                  <a:pt x="178981" y="77101"/>
                                </a:lnTo>
                                <a:lnTo>
                                  <a:pt x="179895" y="80733"/>
                                </a:lnTo>
                                <a:lnTo>
                                  <a:pt x="180797" y="83451"/>
                                </a:lnTo>
                                <a:lnTo>
                                  <a:pt x="181711" y="84366"/>
                                </a:lnTo>
                                <a:lnTo>
                                  <a:pt x="182626" y="85267"/>
                                </a:lnTo>
                                <a:lnTo>
                                  <a:pt x="184454" y="87985"/>
                                </a:lnTo>
                                <a:lnTo>
                                  <a:pt x="185369" y="89801"/>
                                </a:lnTo>
                                <a:lnTo>
                                  <a:pt x="187198" y="90716"/>
                                </a:lnTo>
                                <a:lnTo>
                                  <a:pt x="189928" y="92532"/>
                                </a:lnTo>
                                <a:lnTo>
                                  <a:pt x="192671" y="95249"/>
                                </a:lnTo>
                                <a:lnTo>
                                  <a:pt x="195414" y="97066"/>
                                </a:lnTo>
                                <a:lnTo>
                                  <a:pt x="196329" y="97967"/>
                                </a:lnTo>
                                <a:lnTo>
                                  <a:pt x="198158" y="97066"/>
                                </a:lnTo>
                                <a:lnTo>
                                  <a:pt x="199974" y="94335"/>
                                </a:lnTo>
                                <a:lnTo>
                                  <a:pt x="201803" y="93433"/>
                                </a:lnTo>
                                <a:lnTo>
                                  <a:pt x="202717" y="92532"/>
                                </a:lnTo>
                                <a:lnTo>
                                  <a:pt x="203631" y="91617"/>
                                </a:lnTo>
                                <a:lnTo>
                                  <a:pt x="203631" y="90716"/>
                                </a:lnTo>
                                <a:lnTo>
                                  <a:pt x="205460" y="87985"/>
                                </a:lnTo>
                                <a:lnTo>
                                  <a:pt x="209105" y="83451"/>
                                </a:lnTo>
                                <a:lnTo>
                                  <a:pt x="211848" y="80733"/>
                                </a:lnTo>
                                <a:lnTo>
                                  <a:pt x="213677" y="80733"/>
                                </a:lnTo>
                                <a:lnTo>
                                  <a:pt x="215506" y="79832"/>
                                </a:lnTo>
                                <a:lnTo>
                                  <a:pt x="217322" y="78917"/>
                                </a:lnTo>
                                <a:lnTo>
                                  <a:pt x="218236" y="78016"/>
                                </a:lnTo>
                                <a:lnTo>
                                  <a:pt x="219151" y="79832"/>
                                </a:lnTo>
                                <a:lnTo>
                                  <a:pt x="221894" y="80733"/>
                                </a:lnTo>
                                <a:lnTo>
                                  <a:pt x="225552" y="80733"/>
                                </a:lnTo>
                                <a:lnTo>
                                  <a:pt x="228282" y="80733"/>
                                </a:lnTo>
                                <a:lnTo>
                                  <a:pt x="229196" y="80733"/>
                                </a:lnTo>
                                <a:lnTo>
                                  <a:pt x="230111" y="81635"/>
                                </a:lnTo>
                                <a:lnTo>
                                  <a:pt x="231025" y="81635"/>
                                </a:lnTo>
                                <a:lnTo>
                                  <a:pt x="231940" y="82549"/>
                                </a:lnTo>
                                <a:lnTo>
                                  <a:pt x="231940" y="84366"/>
                                </a:lnTo>
                                <a:lnTo>
                                  <a:pt x="235585" y="88899"/>
                                </a:lnTo>
                                <a:lnTo>
                                  <a:pt x="235585" y="90716"/>
                                </a:lnTo>
                                <a:lnTo>
                                  <a:pt x="236499" y="92532"/>
                                </a:lnTo>
                                <a:lnTo>
                                  <a:pt x="238328" y="95249"/>
                                </a:lnTo>
                                <a:lnTo>
                                  <a:pt x="238328" y="97967"/>
                                </a:lnTo>
                                <a:lnTo>
                                  <a:pt x="238328" y="100685"/>
                                </a:lnTo>
                                <a:lnTo>
                                  <a:pt x="238328" y="104317"/>
                                </a:lnTo>
                                <a:lnTo>
                                  <a:pt x="240157" y="108851"/>
                                </a:lnTo>
                                <a:lnTo>
                                  <a:pt x="240157" y="111569"/>
                                </a:lnTo>
                                <a:lnTo>
                                  <a:pt x="239242" y="111569"/>
                                </a:lnTo>
                                <a:lnTo>
                                  <a:pt x="239242" y="113385"/>
                                </a:lnTo>
                                <a:lnTo>
                                  <a:pt x="239242" y="115201"/>
                                </a:lnTo>
                                <a:lnTo>
                                  <a:pt x="240157" y="117017"/>
                                </a:lnTo>
                                <a:lnTo>
                                  <a:pt x="241071" y="118833"/>
                                </a:lnTo>
                                <a:lnTo>
                                  <a:pt x="241985" y="122466"/>
                                </a:lnTo>
                                <a:lnTo>
                                  <a:pt x="242900" y="126085"/>
                                </a:lnTo>
                                <a:lnTo>
                                  <a:pt x="243814" y="129717"/>
                                </a:lnTo>
                                <a:lnTo>
                                  <a:pt x="246545" y="131533"/>
                                </a:lnTo>
                                <a:lnTo>
                                  <a:pt x="247459" y="134251"/>
                                </a:lnTo>
                                <a:lnTo>
                                  <a:pt x="246545" y="136067"/>
                                </a:lnTo>
                                <a:lnTo>
                                  <a:pt x="246545" y="136969"/>
                                </a:lnTo>
                                <a:lnTo>
                                  <a:pt x="245630" y="138785"/>
                                </a:lnTo>
                                <a:lnTo>
                                  <a:pt x="245630" y="139699"/>
                                </a:lnTo>
                                <a:lnTo>
                                  <a:pt x="245630" y="141503"/>
                                </a:lnTo>
                                <a:lnTo>
                                  <a:pt x="245630" y="142417"/>
                                </a:lnTo>
                                <a:lnTo>
                                  <a:pt x="244729" y="144233"/>
                                </a:lnTo>
                                <a:lnTo>
                                  <a:pt x="244729" y="145135"/>
                                </a:lnTo>
                                <a:lnTo>
                                  <a:pt x="244729" y="146049"/>
                                </a:lnTo>
                                <a:lnTo>
                                  <a:pt x="245630" y="148767"/>
                                </a:lnTo>
                                <a:lnTo>
                                  <a:pt x="246545" y="152399"/>
                                </a:lnTo>
                                <a:lnTo>
                                  <a:pt x="245630" y="156933"/>
                                </a:lnTo>
                                <a:lnTo>
                                  <a:pt x="246545" y="159651"/>
                                </a:lnTo>
                                <a:lnTo>
                                  <a:pt x="247459" y="160553"/>
                                </a:lnTo>
                                <a:lnTo>
                                  <a:pt x="250202" y="161467"/>
                                </a:lnTo>
                                <a:lnTo>
                                  <a:pt x="251117" y="162369"/>
                                </a:lnTo>
                                <a:lnTo>
                                  <a:pt x="252031" y="163283"/>
                                </a:lnTo>
                                <a:lnTo>
                                  <a:pt x="253860" y="164185"/>
                                </a:lnTo>
                                <a:lnTo>
                                  <a:pt x="255676" y="165099"/>
                                </a:lnTo>
                                <a:lnTo>
                                  <a:pt x="256590" y="166001"/>
                                </a:lnTo>
                                <a:lnTo>
                                  <a:pt x="258419" y="167817"/>
                                </a:lnTo>
                                <a:lnTo>
                                  <a:pt x="261162" y="168719"/>
                                </a:lnTo>
                                <a:lnTo>
                                  <a:pt x="265722" y="169633"/>
                                </a:lnTo>
                                <a:lnTo>
                                  <a:pt x="269379" y="171449"/>
                                </a:lnTo>
                                <a:lnTo>
                                  <a:pt x="271208" y="173253"/>
                                </a:lnTo>
                                <a:lnTo>
                                  <a:pt x="272122" y="174167"/>
                                </a:lnTo>
                                <a:lnTo>
                                  <a:pt x="272122" y="173253"/>
                                </a:lnTo>
                                <a:lnTo>
                                  <a:pt x="273024" y="173253"/>
                                </a:lnTo>
                                <a:lnTo>
                                  <a:pt x="273939" y="172351"/>
                                </a:lnTo>
                                <a:lnTo>
                                  <a:pt x="275767" y="172351"/>
                                </a:lnTo>
                              </a:path>
                            </a:pathLst>
                          </a:custGeom>
                          <a:ln w="4444">
                            <a:solidFill>
                              <a:srgbClr val="FFFFFF"/>
                            </a:solidFill>
                            <a:prstDash val="solid"/>
                          </a:ln>
                        </wps:spPr>
                        <wps:bodyPr wrap="square" lIns="0" tIns="0" rIns="0" bIns="0" rtlCol="0">
                          <a:prstTxWarp prst="textNoShape">
                            <a:avLst/>
                          </a:prstTxWarp>
                          <a:noAutofit/>
                        </wps:bodyPr>
                      </wps:wsp>
                      <wps:wsp>
                        <wps:cNvPr id="1980" name="Graphic 1980"/>
                        <wps:cNvSpPr/>
                        <wps:spPr>
                          <a:xfrm>
                            <a:off x="1545844" y="1184302"/>
                            <a:ext cx="770890" cy="210820"/>
                          </a:xfrm>
                          <a:custGeom>
                            <a:avLst/>
                            <a:gdLst/>
                            <a:ahLst/>
                            <a:cxnLst/>
                            <a:rect l="l" t="t" r="r" b="b"/>
                            <a:pathLst>
                              <a:path w="770890" h="210820">
                                <a:moveTo>
                                  <a:pt x="0" y="0"/>
                                </a:moveTo>
                                <a:lnTo>
                                  <a:pt x="5473" y="901"/>
                                </a:lnTo>
                                <a:lnTo>
                                  <a:pt x="11874" y="1816"/>
                                </a:lnTo>
                                <a:lnTo>
                                  <a:pt x="17348" y="1816"/>
                                </a:lnTo>
                                <a:lnTo>
                                  <a:pt x="23736" y="2717"/>
                                </a:lnTo>
                                <a:lnTo>
                                  <a:pt x="29222" y="3632"/>
                                </a:lnTo>
                                <a:lnTo>
                                  <a:pt x="35610" y="4533"/>
                                </a:lnTo>
                                <a:lnTo>
                                  <a:pt x="41097" y="4533"/>
                                </a:lnTo>
                                <a:lnTo>
                                  <a:pt x="47485" y="5448"/>
                                </a:lnTo>
                                <a:lnTo>
                                  <a:pt x="52959" y="6350"/>
                                </a:lnTo>
                                <a:lnTo>
                                  <a:pt x="58445" y="6350"/>
                                </a:lnTo>
                                <a:lnTo>
                                  <a:pt x="64833" y="7251"/>
                                </a:lnTo>
                                <a:lnTo>
                                  <a:pt x="70307" y="8166"/>
                                </a:lnTo>
                                <a:lnTo>
                                  <a:pt x="76708" y="8166"/>
                                </a:lnTo>
                                <a:lnTo>
                                  <a:pt x="78536" y="9067"/>
                                </a:lnTo>
                                <a:lnTo>
                                  <a:pt x="83096" y="9067"/>
                                </a:lnTo>
                                <a:lnTo>
                                  <a:pt x="88569" y="9982"/>
                                </a:lnTo>
                                <a:lnTo>
                                  <a:pt x="92227" y="9982"/>
                                </a:lnTo>
                                <a:lnTo>
                                  <a:pt x="94970" y="9982"/>
                                </a:lnTo>
                                <a:lnTo>
                                  <a:pt x="100444" y="10883"/>
                                </a:lnTo>
                                <a:lnTo>
                                  <a:pt x="106832" y="11785"/>
                                </a:lnTo>
                                <a:lnTo>
                                  <a:pt x="112318" y="11785"/>
                                </a:lnTo>
                                <a:lnTo>
                                  <a:pt x="118706" y="12700"/>
                                </a:lnTo>
                                <a:lnTo>
                                  <a:pt x="119621" y="12700"/>
                                </a:lnTo>
                                <a:lnTo>
                                  <a:pt x="124193" y="13601"/>
                                </a:lnTo>
                                <a:lnTo>
                                  <a:pt x="130581" y="13601"/>
                                </a:lnTo>
                                <a:lnTo>
                                  <a:pt x="136055" y="14516"/>
                                </a:lnTo>
                                <a:lnTo>
                                  <a:pt x="142455" y="15417"/>
                                </a:lnTo>
                                <a:lnTo>
                                  <a:pt x="147929" y="15417"/>
                                </a:lnTo>
                                <a:lnTo>
                                  <a:pt x="154317" y="16332"/>
                                </a:lnTo>
                                <a:lnTo>
                                  <a:pt x="160718" y="17233"/>
                                </a:lnTo>
                                <a:lnTo>
                                  <a:pt x="166192" y="17233"/>
                                </a:lnTo>
                                <a:lnTo>
                                  <a:pt x="172580" y="18135"/>
                                </a:lnTo>
                                <a:lnTo>
                                  <a:pt x="177152" y="18135"/>
                                </a:lnTo>
                                <a:lnTo>
                                  <a:pt x="178066" y="18135"/>
                                </a:lnTo>
                                <a:lnTo>
                                  <a:pt x="184454" y="19050"/>
                                </a:lnTo>
                                <a:lnTo>
                                  <a:pt x="189928" y="19951"/>
                                </a:lnTo>
                                <a:lnTo>
                                  <a:pt x="196329" y="19951"/>
                                </a:lnTo>
                                <a:lnTo>
                                  <a:pt x="202717" y="20866"/>
                                </a:lnTo>
                                <a:lnTo>
                                  <a:pt x="208191" y="21767"/>
                                </a:lnTo>
                                <a:lnTo>
                                  <a:pt x="214591" y="21767"/>
                                </a:lnTo>
                                <a:lnTo>
                                  <a:pt x="220065" y="22682"/>
                                </a:lnTo>
                                <a:lnTo>
                                  <a:pt x="226453" y="22682"/>
                                </a:lnTo>
                                <a:lnTo>
                                  <a:pt x="232854" y="23583"/>
                                </a:lnTo>
                                <a:lnTo>
                                  <a:pt x="238328" y="24485"/>
                                </a:lnTo>
                                <a:lnTo>
                                  <a:pt x="244716" y="24485"/>
                                </a:lnTo>
                                <a:lnTo>
                                  <a:pt x="250202" y="25400"/>
                                </a:lnTo>
                                <a:lnTo>
                                  <a:pt x="256590" y="25400"/>
                                </a:lnTo>
                                <a:lnTo>
                                  <a:pt x="261162" y="26301"/>
                                </a:lnTo>
                                <a:lnTo>
                                  <a:pt x="262991" y="26301"/>
                                </a:lnTo>
                                <a:lnTo>
                                  <a:pt x="268465" y="26301"/>
                                </a:lnTo>
                                <a:lnTo>
                                  <a:pt x="274853" y="27216"/>
                                </a:lnTo>
                                <a:lnTo>
                                  <a:pt x="281254" y="28117"/>
                                </a:lnTo>
                                <a:lnTo>
                                  <a:pt x="286727" y="28117"/>
                                </a:lnTo>
                                <a:lnTo>
                                  <a:pt x="293116" y="29032"/>
                                </a:lnTo>
                                <a:lnTo>
                                  <a:pt x="299516" y="29032"/>
                                </a:lnTo>
                                <a:lnTo>
                                  <a:pt x="304990" y="29933"/>
                                </a:lnTo>
                                <a:lnTo>
                                  <a:pt x="311378" y="29933"/>
                                </a:lnTo>
                                <a:lnTo>
                                  <a:pt x="317779" y="30835"/>
                                </a:lnTo>
                                <a:lnTo>
                                  <a:pt x="323253" y="31750"/>
                                </a:lnTo>
                                <a:lnTo>
                                  <a:pt x="329641" y="31750"/>
                                </a:lnTo>
                                <a:lnTo>
                                  <a:pt x="336042" y="32651"/>
                                </a:lnTo>
                                <a:lnTo>
                                  <a:pt x="341515" y="32651"/>
                                </a:lnTo>
                                <a:lnTo>
                                  <a:pt x="347903" y="33566"/>
                                </a:lnTo>
                                <a:lnTo>
                                  <a:pt x="354304" y="33566"/>
                                </a:lnTo>
                                <a:lnTo>
                                  <a:pt x="359778" y="34467"/>
                                </a:lnTo>
                                <a:lnTo>
                                  <a:pt x="366166" y="34467"/>
                                </a:lnTo>
                                <a:lnTo>
                                  <a:pt x="372567" y="35382"/>
                                </a:lnTo>
                                <a:lnTo>
                                  <a:pt x="378040" y="35382"/>
                                </a:lnTo>
                                <a:lnTo>
                                  <a:pt x="384429" y="36283"/>
                                </a:lnTo>
                                <a:lnTo>
                                  <a:pt x="388086" y="36283"/>
                                </a:lnTo>
                                <a:lnTo>
                                  <a:pt x="390829" y="31750"/>
                                </a:lnTo>
                                <a:lnTo>
                                  <a:pt x="392645" y="28117"/>
                                </a:lnTo>
                                <a:lnTo>
                                  <a:pt x="395389" y="29032"/>
                                </a:lnTo>
                                <a:lnTo>
                                  <a:pt x="396303" y="29933"/>
                                </a:lnTo>
                                <a:lnTo>
                                  <a:pt x="395389" y="30835"/>
                                </a:lnTo>
                                <a:lnTo>
                                  <a:pt x="393560" y="34467"/>
                                </a:lnTo>
                                <a:lnTo>
                                  <a:pt x="393560" y="36283"/>
                                </a:lnTo>
                                <a:lnTo>
                                  <a:pt x="392645" y="39916"/>
                                </a:lnTo>
                                <a:lnTo>
                                  <a:pt x="392645" y="40817"/>
                                </a:lnTo>
                                <a:lnTo>
                                  <a:pt x="392645" y="41732"/>
                                </a:lnTo>
                                <a:lnTo>
                                  <a:pt x="392645" y="42633"/>
                                </a:lnTo>
                                <a:lnTo>
                                  <a:pt x="395389" y="43535"/>
                                </a:lnTo>
                                <a:lnTo>
                                  <a:pt x="399961" y="45351"/>
                                </a:lnTo>
                                <a:lnTo>
                                  <a:pt x="401777" y="46266"/>
                                </a:lnTo>
                                <a:lnTo>
                                  <a:pt x="401777" y="48082"/>
                                </a:lnTo>
                                <a:lnTo>
                                  <a:pt x="403606" y="48082"/>
                                </a:lnTo>
                                <a:lnTo>
                                  <a:pt x="405434" y="48082"/>
                                </a:lnTo>
                                <a:lnTo>
                                  <a:pt x="407263" y="48082"/>
                                </a:lnTo>
                                <a:lnTo>
                                  <a:pt x="409092" y="46266"/>
                                </a:lnTo>
                                <a:lnTo>
                                  <a:pt x="410908" y="46266"/>
                                </a:lnTo>
                                <a:lnTo>
                                  <a:pt x="412737" y="47167"/>
                                </a:lnTo>
                                <a:lnTo>
                                  <a:pt x="413651" y="47167"/>
                                </a:lnTo>
                                <a:lnTo>
                                  <a:pt x="414566" y="47167"/>
                                </a:lnTo>
                                <a:lnTo>
                                  <a:pt x="416394" y="48082"/>
                                </a:lnTo>
                                <a:lnTo>
                                  <a:pt x="417309" y="48983"/>
                                </a:lnTo>
                                <a:lnTo>
                                  <a:pt x="419138" y="50800"/>
                                </a:lnTo>
                                <a:lnTo>
                                  <a:pt x="420052" y="51701"/>
                                </a:lnTo>
                                <a:lnTo>
                                  <a:pt x="419138" y="53517"/>
                                </a:lnTo>
                                <a:lnTo>
                                  <a:pt x="419138" y="55333"/>
                                </a:lnTo>
                                <a:lnTo>
                                  <a:pt x="420052" y="55333"/>
                                </a:lnTo>
                                <a:lnTo>
                                  <a:pt x="420954" y="54419"/>
                                </a:lnTo>
                                <a:lnTo>
                                  <a:pt x="423697" y="54419"/>
                                </a:lnTo>
                                <a:lnTo>
                                  <a:pt x="425526" y="55333"/>
                                </a:lnTo>
                                <a:lnTo>
                                  <a:pt x="426440" y="57150"/>
                                </a:lnTo>
                                <a:lnTo>
                                  <a:pt x="428269" y="59867"/>
                                </a:lnTo>
                                <a:lnTo>
                                  <a:pt x="430085" y="60769"/>
                                </a:lnTo>
                                <a:lnTo>
                                  <a:pt x="431914" y="60769"/>
                                </a:lnTo>
                                <a:lnTo>
                                  <a:pt x="434657" y="59867"/>
                                </a:lnTo>
                                <a:lnTo>
                                  <a:pt x="438315" y="58051"/>
                                </a:lnTo>
                                <a:lnTo>
                                  <a:pt x="440131" y="58051"/>
                                </a:lnTo>
                                <a:lnTo>
                                  <a:pt x="441045" y="58966"/>
                                </a:lnTo>
                                <a:lnTo>
                                  <a:pt x="441045" y="59867"/>
                                </a:lnTo>
                                <a:lnTo>
                                  <a:pt x="441045" y="60769"/>
                                </a:lnTo>
                                <a:lnTo>
                                  <a:pt x="443788" y="60769"/>
                                </a:lnTo>
                                <a:lnTo>
                                  <a:pt x="447446" y="61683"/>
                                </a:lnTo>
                                <a:lnTo>
                                  <a:pt x="451091" y="60769"/>
                                </a:lnTo>
                                <a:lnTo>
                                  <a:pt x="451091" y="61683"/>
                                </a:lnTo>
                                <a:lnTo>
                                  <a:pt x="451091" y="63500"/>
                                </a:lnTo>
                                <a:lnTo>
                                  <a:pt x="452920" y="64401"/>
                                </a:lnTo>
                                <a:lnTo>
                                  <a:pt x="454748" y="63500"/>
                                </a:lnTo>
                                <a:lnTo>
                                  <a:pt x="457479" y="64401"/>
                                </a:lnTo>
                                <a:lnTo>
                                  <a:pt x="458393" y="64401"/>
                                </a:lnTo>
                                <a:lnTo>
                                  <a:pt x="459308" y="64401"/>
                                </a:lnTo>
                                <a:lnTo>
                                  <a:pt x="462051" y="64401"/>
                                </a:lnTo>
                                <a:lnTo>
                                  <a:pt x="463880" y="63500"/>
                                </a:lnTo>
                                <a:lnTo>
                                  <a:pt x="465709" y="62585"/>
                                </a:lnTo>
                                <a:lnTo>
                                  <a:pt x="468439" y="61683"/>
                                </a:lnTo>
                                <a:lnTo>
                                  <a:pt x="473925" y="59867"/>
                                </a:lnTo>
                                <a:lnTo>
                                  <a:pt x="478485" y="58966"/>
                                </a:lnTo>
                                <a:lnTo>
                                  <a:pt x="480314" y="60769"/>
                                </a:lnTo>
                                <a:lnTo>
                                  <a:pt x="482142" y="62585"/>
                                </a:lnTo>
                                <a:lnTo>
                                  <a:pt x="483057" y="63500"/>
                                </a:lnTo>
                                <a:lnTo>
                                  <a:pt x="484873" y="64401"/>
                                </a:lnTo>
                                <a:lnTo>
                                  <a:pt x="487616" y="67119"/>
                                </a:lnTo>
                                <a:lnTo>
                                  <a:pt x="490359" y="69850"/>
                                </a:lnTo>
                                <a:lnTo>
                                  <a:pt x="493102" y="72567"/>
                                </a:lnTo>
                                <a:lnTo>
                                  <a:pt x="495833" y="75285"/>
                                </a:lnTo>
                                <a:lnTo>
                                  <a:pt x="497662" y="77101"/>
                                </a:lnTo>
                                <a:lnTo>
                                  <a:pt x="498576" y="77101"/>
                                </a:lnTo>
                                <a:lnTo>
                                  <a:pt x="500405" y="79819"/>
                                </a:lnTo>
                                <a:lnTo>
                                  <a:pt x="502234" y="81635"/>
                                </a:lnTo>
                                <a:lnTo>
                                  <a:pt x="504050" y="83451"/>
                                </a:lnTo>
                                <a:lnTo>
                                  <a:pt x="506793" y="85267"/>
                                </a:lnTo>
                                <a:lnTo>
                                  <a:pt x="508622" y="87083"/>
                                </a:lnTo>
                                <a:lnTo>
                                  <a:pt x="510451" y="88900"/>
                                </a:lnTo>
                                <a:lnTo>
                                  <a:pt x="512279" y="90716"/>
                                </a:lnTo>
                                <a:lnTo>
                                  <a:pt x="515010" y="93433"/>
                                </a:lnTo>
                                <a:lnTo>
                                  <a:pt x="514095" y="96151"/>
                                </a:lnTo>
                                <a:lnTo>
                                  <a:pt x="513181" y="98869"/>
                                </a:lnTo>
                                <a:lnTo>
                                  <a:pt x="514095" y="101600"/>
                                </a:lnTo>
                                <a:lnTo>
                                  <a:pt x="515010" y="103403"/>
                                </a:lnTo>
                                <a:lnTo>
                                  <a:pt x="515924" y="103403"/>
                                </a:lnTo>
                                <a:lnTo>
                                  <a:pt x="516839" y="102501"/>
                                </a:lnTo>
                                <a:lnTo>
                                  <a:pt x="517753" y="101600"/>
                                </a:lnTo>
                                <a:lnTo>
                                  <a:pt x="518668" y="101600"/>
                                </a:lnTo>
                                <a:lnTo>
                                  <a:pt x="521411" y="101600"/>
                                </a:lnTo>
                                <a:lnTo>
                                  <a:pt x="522312" y="101600"/>
                                </a:lnTo>
                                <a:lnTo>
                                  <a:pt x="521411" y="102501"/>
                                </a:lnTo>
                                <a:lnTo>
                                  <a:pt x="521411" y="103403"/>
                                </a:lnTo>
                                <a:lnTo>
                                  <a:pt x="520496" y="103403"/>
                                </a:lnTo>
                                <a:lnTo>
                                  <a:pt x="520496" y="105219"/>
                                </a:lnTo>
                                <a:lnTo>
                                  <a:pt x="519582" y="107035"/>
                                </a:lnTo>
                                <a:lnTo>
                                  <a:pt x="519582" y="108851"/>
                                </a:lnTo>
                                <a:lnTo>
                                  <a:pt x="519582" y="110667"/>
                                </a:lnTo>
                                <a:lnTo>
                                  <a:pt x="519582" y="111569"/>
                                </a:lnTo>
                                <a:lnTo>
                                  <a:pt x="520496" y="112483"/>
                                </a:lnTo>
                                <a:lnTo>
                                  <a:pt x="523227" y="111569"/>
                                </a:lnTo>
                                <a:lnTo>
                                  <a:pt x="525056" y="111569"/>
                                </a:lnTo>
                                <a:lnTo>
                                  <a:pt x="525970" y="111569"/>
                                </a:lnTo>
                                <a:lnTo>
                                  <a:pt x="525970" y="112483"/>
                                </a:lnTo>
                                <a:lnTo>
                                  <a:pt x="526884" y="113385"/>
                                </a:lnTo>
                                <a:lnTo>
                                  <a:pt x="526884" y="114300"/>
                                </a:lnTo>
                                <a:lnTo>
                                  <a:pt x="523227" y="117919"/>
                                </a:lnTo>
                                <a:lnTo>
                                  <a:pt x="525056" y="120650"/>
                                </a:lnTo>
                                <a:lnTo>
                                  <a:pt x="527799" y="122453"/>
                                </a:lnTo>
                                <a:lnTo>
                                  <a:pt x="530542" y="125183"/>
                                </a:lnTo>
                                <a:lnTo>
                                  <a:pt x="532358" y="127000"/>
                                </a:lnTo>
                                <a:lnTo>
                                  <a:pt x="534187" y="129717"/>
                                </a:lnTo>
                                <a:lnTo>
                                  <a:pt x="533273" y="132435"/>
                                </a:lnTo>
                                <a:lnTo>
                                  <a:pt x="532358" y="135153"/>
                                </a:lnTo>
                                <a:lnTo>
                                  <a:pt x="531444" y="138785"/>
                                </a:lnTo>
                                <a:lnTo>
                                  <a:pt x="530542" y="143319"/>
                                </a:lnTo>
                                <a:lnTo>
                                  <a:pt x="529628" y="146951"/>
                                </a:lnTo>
                                <a:lnTo>
                                  <a:pt x="528713" y="150583"/>
                                </a:lnTo>
                                <a:lnTo>
                                  <a:pt x="527799" y="155117"/>
                                </a:lnTo>
                                <a:lnTo>
                                  <a:pt x="526884" y="158737"/>
                                </a:lnTo>
                                <a:lnTo>
                                  <a:pt x="525056" y="163283"/>
                                </a:lnTo>
                                <a:lnTo>
                                  <a:pt x="524141" y="168719"/>
                                </a:lnTo>
                                <a:lnTo>
                                  <a:pt x="522312" y="171437"/>
                                </a:lnTo>
                                <a:lnTo>
                                  <a:pt x="518668" y="175971"/>
                                </a:lnTo>
                                <a:lnTo>
                                  <a:pt x="515010" y="179603"/>
                                </a:lnTo>
                                <a:lnTo>
                                  <a:pt x="515010" y="181419"/>
                                </a:lnTo>
                                <a:lnTo>
                                  <a:pt x="511365" y="186867"/>
                                </a:lnTo>
                                <a:lnTo>
                                  <a:pt x="509536" y="189585"/>
                                </a:lnTo>
                                <a:lnTo>
                                  <a:pt x="506793" y="190487"/>
                                </a:lnTo>
                                <a:lnTo>
                                  <a:pt x="504964" y="192303"/>
                                </a:lnTo>
                                <a:lnTo>
                                  <a:pt x="502234" y="194119"/>
                                </a:lnTo>
                                <a:lnTo>
                                  <a:pt x="499491" y="195935"/>
                                </a:lnTo>
                                <a:lnTo>
                                  <a:pt x="498576" y="195935"/>
                                </a:lnTo>
                                <a:lnTo>
                                  <a:pt x="497662" y="197751"/>
                                </a:lnTo>
                                <a:lnTo>
                                  <a:pt x="495833" y="199567"/>
                                </a:lnTo>
                                <a:lnTo>
                                  <a:pt x="494919" y="203187"/>
                                </a:lnTo>
                                <a:lnTo>
                                  <a:pt x="494919" y="204101"/>
                                </a:lnTo>
                                <a:lnTo>
                                  <a:pt x="494919" y="206819"/>
                                </a:lnTo>
                                <a:lnTo>
                                  <a:pt x="496747" y="208635"/>
                                </a:lnTo>
                                <a:lnTo>
                                  <a:pt x="498576" y="210451"/>
                                </a:lnTo>
                                <a:lnTo>
                                  <a:pt x="503148" y="210451"/>
                                </a:lnTo>
                                <a:lnTo>
                                  <a:pt x="506793" y="208635"/>
                                </a:lnTo>
                                <a:lnTo>
                                  <a:pt x="511365" y="205917"/>
                                </a:lnTo>
                                <a:lnTo>
                                  <a:pt x="515924" y="204101"/>
                                </a:lnTo>
                                <a:lnTo>
                                  <a:pt x="520496" y="202285"/>
                                </a:lnTo>
                                <a:lnTo>
                                  <a:pt x="525056" y="199567"/>
                                </a:lnTo>
                                <a:lnTo>
                                  <a:pt x="529628" y="199567"/>
                                </a:lnTo>
                                <a:lnTo>
                                  <a:pt x="535101" y="198653"/>
                                </a:lnTo>
                                <a:lnTo>
                                  <a:pt x="537845" y="197751"/>
                                </a:lnTo>
                                <a:lnTo>
                                  <a:pt x="542404" y="196837"/>
                                </a:lnTo>
                                <a:lnTo>
                                  <a:pt x="546061" y="195935"/>
                                </a:lnTo>
                                <a:lnTo>
                                  <a:pt x="551535" y="194119"/>
                                </a:lnTo>
                                <a:lnTo>
                                  <a:pt x="557022" y="191401"/>
                                </a:lnTo>
                                <a:lnTo>
                                  <a:pt x="562495" y="189585"/>
                                </a:lnTo>
                                <a:lnTo>
                                  <a:pt x="564324" y="188671"/>
                                </a:lnTo>
                                <a:lnTo>
                                  <a:pt x="567067" y="187769"/>
                                </a:lnTo>
                                <a:lnTo>
                                  <a:pt x="567067" y="185953"/>
                                </a:lnTo>
                                <a:lnTo>
                                  <a:pt x="567969" y="185953"/>
                                </a:lnTo>
                                <a:lnTo>
                                  <a:pt x="567067" y="185051"/>
                                </a:lnTo>
                                <a:lnTo>
                                  <a:pt x="567067" y="184137"/>
                                </a:lnTo>
                                <a:lnTo>
                                  <a:pt x="567067" y="183235"/>
                                </a:lnTo>
                                <a:lnTo>
                                  <a:pt x="567067" y="182321"/>
                                </a:lnTo>
                                <a:lnTo>
                                  <a:pt x="568883" y="177787"/>
                                </a:lnTo>
                                <a:lnTo>
                                  <a:pt x="568883" y="176885"/>
                                </a:lnTo>
                                <a:lnTo>
                                  <a:pt x="567969" y="174167"/>
                                </a:lnTo>
                                <a:lnTo>
                                  <a:pt x="571627" y="172351"/>
                                </a:lnTo>
                                <a:lnTo>
                                  <a:pt x="574370" y="171437"/>
                                </a:lnTo>
                                <a:lnTo>
                                  <a:pt x="576199" y="170535"/>
                                </a:lnTo>
                                <a:lnTo>
                                  <a:pt x="580758" y="170535"/>
                                </a:lnTo>
                                <a:lnTo>
                                  <a:pt x="584415" y="171437"/>
                                </a:lnTo>
                                <a:lnTo>
                                  <a:pt x="589889" y="171437"/>
                                </a:lnTo>
                                <a:lnTo>
                                  <a:pt x="593547" y="171437"/>
                                </a:lnTo>
                                <a:lnTo>
                                  <a:pt x="599020" y="172351"/>
                                </a:lnTo>
                                <a:lnTo>
                                  <a:pt x="601764" y="172351"/>
                                </a:lnTo>
                                <a:lnTo>
                                  <a:pt x="605409" y="172351"/>
                                </a:lnTo>
                                <a:lnTo>
                                  <a:pt x="609066" y="168719"/>
                                </a:lnTo>
                                <a:lnTo>
                                  <a:pt x="611809" y="166001"/>
                                </a:lnTo>
                                <a:lnTo>
                                  <a:pt x="614540" y="163283"/>
                                </a:lnTo>
                                <a:lnTo>
                                  <a:pt x="619112" y="159651"/>
                                </a:lnTo>
                                <a:lnTo>
                                  <a:pt x="620941" y="159651"/>
                                </a:lnTo>
                                <a:lnTo>
                                  <a:pt x="621855" y="157835"/>
                                </a:lnTo>
                                <a:lnTo>
                                  <a:pt x="623671" y="156933"/>
                                </a:lnTo>
                                <a:lnTo>
                                  <a:pt x="626414" y="156019"/>
                                </a:lnTo>
                                <a:lnTo>
                                  <a:pt x="628243" y="154203"/>
                                </a:lnTo>
                                <a:lnTo>
                                  <a:pt x="636460" y="147853"/>
                                </a:lnTo>
                                <a:lnTo>
                                  <a:pt x="641032" y="146037"/>
                                </a:lnTo>
                                <a:lnTo>
                                  <a:pt x="644677" y="144233"/>
                                </a:lnTo>
                                <a:lnTo>
                                  <a:pt x="647420" y="143319"/>
                                </a:lnTo>
                                <a:lnTo>
                                  <a:pt x="648335" y="144233"/>
                                </a:lnTo>
                                <a:lnTo>
                                  <a:pt x="649249" y="143319"/>
                                </a:lnTo>
                                <a:lnTo>
                                  <a:pt x="650163" y="144233"/>
                                </a:lnTo>
                                <a:lnTo>
                                  <a:pt x="653808" y="144233"/>
                                </a:lnTo>
                                <a:lnTo>
                                  <a:pt x="660196" y="144233"/>
                                </a:lnTo>
                                <a:lnTo>
                                  <a:pt x="666597" y="144233"/>
                                </a:lnTo>
                                <a:lnTo>
                                  <a:pt x="670242" y="145135"/>
                                </a:lnTo>
                                <a:lnTo>
                                  <a:pt x="672071" y="145135"/>
                                </a:lnTo>
                                <a:lnTo>
                                  <a:pt x="678472" y="145135"/>
                                </a:lnTo>
                                <a:lnTo>
                                  <a:pt x="684860" y="145135"/>
                                </a:lnTo>
                                <a:lnTo>
                                  <a:pt x="691248" y="146037"/>
                                </a:lnTo>
                                <a:lnTo>
                                  <a:pt x="697636" y="146037"/>
                                </a:lnTo>
                                <a:lnTo>
                                  <a:pt x="700379" y="142417"/>
                                </a:lnTo>
                                <a:lnTo>
                                  <a:pt x="703122" y="140601"/>
                                </a:lnTo>
                                <a:lnTo>
                                  <a:pt x="704951" y="140601"/>
                                </a:lnTo>
                                <a:lnTo>
                                  <a:pt x="705866" y="140601"/>
                                </a:lnTo>
                                <a:lnTo>
                                  <a:pt x="706767" y="140601"/>
                                </a:lnTo>
                                <a:lnTo>
                                  <a:pt x="706767" y="139687"/>
                                </a:lnTo>
                                <a:lnTo>
                                  <a:pt x="708596" y="139687"/>
                                </a:lnTo>
                                <a:lnTo>
                                  <a:pt x="708596" y="140601"/>
                                </a:lnTo>
                                <a:lnTo>
                                  <a:pt x="709510" y="141503"/>
                                </a:lnTo>
                                <a:lnTo>
                                  <a:pt x="709510" y="140601"/>
                                </a:lnTo>
                                <a:lnTo>
                                  <a:pt x="710425" y="139687"/>
                                </a:lnTo>
                                <a:lnTo>
                                  <a:pt x="711339" y="138785"/>
                                </a:lnTo>
                                <a:lnTo>
                                  <a:pt x="712254" y="137883"/>
                                </a:lnTo>
                                <a:lnTo>
                                  <a:pt x="713168" y="137883"/>
                                </a:lnTo>
                                <a:lnTo>
                                  <a:pt x="714082" y="137883"/>
                                </a:lnTo>
                                <a:lnTo>
                                  <a:pt x="714082" y="136969"/>
                                </a:lnTo>
                                <a:lnTo>
                                  <a:pt x="714082" y="136067"/>
                                </a:lnTo>
                                <a:lnTo>
                                  <a:pt x="714082" y="135153"/>
                                </a:lnTo>
                                <a:lnTo>
                                  <a:pt x="716813" y="133337"/>
                                </a:lnTo>
                                <a:lnTo>
                                  <a:pt x="719556" y="131533"/>
                                </a:lnTo>
                                <a:lnTo>
                                  <a:pt x="720471" y="130619"/>
                                </a:lnTo>
                                <a:lnTo>
                                  <a:pt x="721385" y="129717"/>
                                </a:lnTo>
                                <a:lnTo>
                                  <a:pt x="722299" y="127901"/>
                                </a:lnTo>
                                <a:lnTo>
                                  <a:pt x="723214" y="127901"/>
                                </a:lnTo>
                                <a:lnTo>
                                  <a:pt x="724128" y="127000"/>
                                </a:lnTo>
                                <a:lnTo>
                                  <a:pt x="724128" y="126085"/>
                                </a:lnTo>
                                <a:lnTo>
                                  <a:pt x="724128" y="124269"/>
                                </a:lnTo>
                                <a:lnTo>
                                  <a:pt x="725944" y="122453"/>
                                </a:lnTo>
                                <a:lnTo>
                                  <a:pt x="726859" y="119735"/>
                                </a:lnTo>
                                <a:lnTo>
                                  <a:pt x="728687" y="117919"/>
                                </a:lnTo>
                                <a:lnTo>
                                  <a:pt x="731431" y="116103"/>
                                </a:lnTo>
                                <a:lnTo>
                                  <a:pt x="732345" y="113385"/>
                                </a:lnTo>
                                <a:lnTo>
                                  <a:pt x="734161" y="109753"/>
                                </a:lnTo>
                                <a:lnTo>
                                  <a:pt x="737819" y="107035"/>
                                </a:lnTo>
                                <a:lnTo>
                                  <a:pt x="740562" y="104317"/>
                                </a:lnTo>
                                <a:lnTo>
                                  <a:pt x="743292" y="102501"/>
                                </a:lnTo>
                                <a:lnTo>
                                  <a:pt x="746950" y="98869"/>
                                </a:lnTo>
                                <a:lnTo>
                                  <a:pt x="749693" y="96151"/>
                                </a:lnTo>
                                <a:lnTo>
                                  <a:pt x="750608" y="95250"/>
                                </a:lnTo>
                                <a:lnTo>
                                  <a:pt x="751522" y="94335"/>
                                </a:lnTo>
                                <a:lnTo>
                                  <a:pt x="753338" y="94335"/>
                                </a:lnTo>
                                <a:lnTo>
                                  <a:pt x="754253" y="95250"/>
                                </a:lnTo>
                                <a:lnTo>
                                  <a:pt x="753338" y="97053"/>
                                </a:lnTo>
                                <a:lnTo>
                                  <a:pt x="753338" y="97967"/>
                                </a:lnTo>
                                <a:lnTo>
                                  <a:pt x="753338" y="98869"/>
                                </a:lnTo>
                                <a:lnTo>
                                  <a:pt x="754253" y="99783"/>
                                </a:lnTo>
                                <a:lnTo>
                                  <a:pt x="755167" y="99783"/>
                                </a:lnTo>
                                <a:lnTo>
                                  <a:pt x="756081" y="99783"/>
                                </a:lnTo>
                                <a:lnTo>
                                  <a:pt x="758825" y="98869"/>
                                </a:lnTo>
                                <a:lnTo>
                                  <a:pt x="761568" y="98869"/>
                                </a:lnTo>
                                <a:lnTo>
                                  <a:pt x="763384" y="97967"/>
                                </a:lnTo>
                                <a:lnTo>
                                  <a:pt x="764298" y="97053"/>
                                </a:lnTo>
                                <a:lnTo>
                                  <a:pt x="765213" y="97053"/>
                                </a:lnTo>
                                <a:lnTo>
                                  <a:pt x="766127" y="97053"/>
                                </a:lnTo>
                                <a:lnTo>
                                  <a:pt x="767956" y="98869"/>
                                </a:lnTo>
                                <a:lnTo>
                                  <a:pt x="768870" y="101600"/>
                                </a:lnTo>
                                <a:lnTo>
                                  <a:pt x="770699" y="103403"/>
                                </a:lnTo>
                                <a:lnTo>
                                  <a:pt x="768870" y="107035"/>
                                </a:lnTo>
                                <a:lnTo>
                                  <a:pt x="767956" y="109753"/>
                                </a:lnTo>
                                <a:lnTo>
                                  <a:pt x="767041" y="113385"/>
                                </a:lnTo>
                                <a:lnTo>
                                  <a:pt x="766127" y="116103"/>
                                </a:lnTo>
                                <a:lnTo>
                                  <a:pt x="764298" y="119735"/>
                                </a:lnTo>
                                <a:lnTo>
                                  <a:pt x="763384" y="122453"/>
                                </a:lnTo>
                                <a:lnTo>
                                  <a:pt x="762469" y="126085"/>
                                </a:lnTo>
                                <a:lnTo>
                                  <a:pt x="761568" y="127901"/>
                                </a:lnTo>
                                <a:lnTo>
                                  <a:pt x="761568" y="128803"/>
                                </a:lnTo>
                                <a:lnTo>
                                  <a:pt x="761568" y="129717"/>
                                </a:lnTo>
                                <a:lnTo>
                                  <a:pt x="760653" y="130619"/>
                                </a:lnTo>
                                <a:lnTo>
                                  <a:pt x="760653" y="131533"/>
                                </a:lnTo>
                                <a:lnTo>
                                  <a:pt x="759739" y="132435"/>
                                </a:lnTo>
                                <a:lnTo>
                                  <a:pt x="759739" y="133337"/>
                                </a:lnTo>
                                <a:lnTo>
                                  <a:pt x="759739" y="134251"/>
                                </a:lnTo>
                                <a:lnTo>
                                  <a:pt x="760653" y="134251"/>
                                </a:lnTo>
                                <a:lnTo>
                                  <a:pt x="761568" y="135153"/>
                                </a:lnTo>
                                <a:lnTo>
                                  <a:pt x="761568" y="136067"/>
                                </a:lnTo>
                                <a:lnTo>
                                  <a:pt x="762469" y="136067"/>
                                </a:lnTo>
                                <a:lnTo>
                                  <a:pt x="763384" y="136067"/>
                                </a:lnTo>
                                <a:lnTo>
                                  <a:pt x="764298" y="136067"/>
                                </a:lnTo>
                                <a:lnTo>
                                  <a:pt x="764298" y="136969"/>
                                </a:lnTo>
                                <a:lnTo>
                                  <a:pt x="764298" y="137883"/>
                                </a:lnTo>
                                <a:lnTo>
                                  <a:pt x="763384" y="137883"/>
                                </a:lnTo>
                                <a:lnTo>
                                  <a:pt x="762469" y="138785"/>
                                </a:lnTo>
                                <a:lnTo>
                                  <a:pt x="762469" y="139687"/>
                                </a:lnTo>
                                <a:lnTo>
                                  <a:pt x="762469" y="140601"/>
                                </a:lnTo>
                                <a:lnTo>
                                  <a:pt x="762469" y="141503"/>
                                </a:lnTo>
                                <a:lnTo>
                                  <a:pt x="762469" y="142417"/>
                                </a:lnTo>
                                <a:lnTo>
                                  <a:pt x="761568" y="142417"/>
                                </a:lnTo>
                                <a:lnTo>
                                  <a:pt x="761568" y="143319"/>
                                </a:lnTo>
                                <a:lnTo>
                                  <a:pt x="761568" y="144233"/>
                                </a:lnTo>
                                <a:lnTo>
                                  <a:pt x="761568" y="145135"/>
                                </a:lnTo>
                                <a:lnTo>
                                  <a:pt x="762469" y="146037"/>
                                </a:lnTo>
                                <a:lnTo>
                                  <a:pt x="763384" y="146037"/>
                                </a:lnTo>
                                <a:lnTo>
                                  <a:pt x="763384" y="145135"/>
                                </a:lnTo>
                                <a:lnTo>
                                  <a:pt x="764298" y="145135"/>
                                </a:lnTo>
                                <a:lnTo>
                                  <a:pt x="765213" y="146037"/>
                                </a:lnTo>
                                <a:lnTo>
                                  <a:pt x="766127" y="146037"/>
                                </a:lnTo>
                              </a:path>
                            </a:pathLst>
                          </a:custGeom>
                          <a:ln w="4444">
                            <a:solidFill>
                              <a:srgbClr val="FFFFFF"/>
                            </a:solidFill>
                            <a:prstDash val="solid"/>
                          </a:ln>
                        </wps:spPr>
                        <wps:bodyPr wrap="square" lIns="0" tIns="0" rIns="0" bIns="0" rtlCol="0">
                          <a:prstTxWarp prst="textNoShape">
                            <a:avLst/>
                          </a:prstTxWarp>
                          <a:noAutofit/>
                        </wps:bodyPr>
                      </wps:wsp>
                      <wps:wsp>
                        <wps:cNvPr id="1981" name="Textbox 1981"/>
                        <wps:cNvSpPr txBox="1"/>
                        <wps:spPr>
                          <a:xfrm>
                            <a:off x="76380" y="66848"/>
                            <a:ext cx="6295390" cy="248920"/>
                          </a:xfrm>
                          <a:prstGeom prst="rect">
                            <a:avLst/>
                          </a:prstGeom>
                        </wps:spPr>
                        <wps:txbx>
                          <w:txbxContent>
                            <w:p>
                              <w:pPr>
                                <w:tabs>
                                  <w:tab w:pos="839" w:val="left" w:leader="none"/>
                                </w:tabs>
                                <w:spacing w:line="261" w:lineRule="auto" w:before="0"/>
                                <w:ind w:left="840" w:right="18" w:hanging="840"/>
                                <w:jc w:val="left"/>
                                <w:rPr>
                                  <w:rFonts w:ascii="Arial" w:hAnsi="Arial"/>
                                  <w:b/>
                                  <w:sz w:val="16"/>
                                </w:rPr>
                              </w:pPr>
                              <w:r>
                                <w:rPr>
                                  <w:rFonts w:ascii="Arial" w:hAnsi="Arial"/>
                                  <w:color w:val="FFFFFF"/>
                                  <w:w w:val="105"/>
                                  <w:sz w:val="16"/>
                                </w:rPr>
                                <w:t>Map </w:t>
                              </w:r>
                              <w:r>
                                <w:rPr>
                                  <w:rFonts w:ascii="Arial" w:hAnsi="Arial"/>
                                  <w:b/>
                                  <w:color w:val="FFFFFF"/>
                                  <w:w w:val="105"/>
                                  <w:sz w:val="16"/>
                                </w:rPr>
                                <w:t>A6.1</w:t>
                              </w:r>
                              <w:r>
                                <w:rPr>
                                  <w:rFonts w:ascii="Arial" w:hAnsi="Arial"/>
                                  <w:b/>
                                  <w:color w:val="FFFFFF"/>
                                  <w:sz w:val="16"/>
                                </w:rPr>
                                <w:tab/>
                              </w:r>
                              <w:r>
                                <w:rPr>
                                  <w:rFonts w:ascii="Arial" w:hAnsi="Arial"/>
                                  <w:b/>
                                  <w:color w:val="FFFFFF"/>
                                  <w:w w:val="105"/>
                                  <w:sz w:val="16"/>
                                </w:rPr>
                                <w:t>How</w:t>
                              </w:r>
                              <w:r>
                                <w:rPr>
                                  <w:rFonts w:ascii="Arial" w:hAnsi="Arial"/>
                                  <w:b/>
                                  <w:color w:val="FFFFFF"/>
                                  <w:spacing w:val="-1"/>
                                  <w:w w:val="105"/>
                                  <w:sz w:val="16"/>
                                </w:rPr>
                                <w:t> </w:t>
                              </w:r>
                              <w:r>
                                <w:rPr>
                                  <w:rFonts w:ascii="Arial" w:hAnsi="Arial"/>
                                  <w:b/>
                                  <w:color w:val="FFFFFF"/>
                                  <w:w w:val="105"/>
                                  <w:sz w:val="16"/>
                                </w:rPr>
                                <w:t>often</w:t>
                              </w:r>
                              <w:r>
                                <w:rPr>
                                  <w:rFonts w:ascii="Arial" w:hAnsi="Arial"/>
                                  <w:b/>
                                  <w:color w:val="FFFFFF"/>
                                  <w:spacing w:val="-1"/>
                                  <w:w w:val="105"/>
                                  <w:sz w:val="16"/>
                                </w:rPr>
                                <w:t> </w:t>
                              </w:r>
                              <w:r>
                                <w:rPr>
                                  <w:rFonts w:ascii="Arial" w:hAnsi="Arial"/>
                                  <w:b/>
                                  <w:color w:val="FFFFFF"/>
                                  <w:w w:val="105"/>
                                  <w:sz w:val="16"/>
                                </w:rPr>
                                <w:t>do</w:t>
                              </w:r>
                              <w:r>
                                <w:rPr>
                                  <w:rFonts w:ascii="Arial" w:hAnsi="Arial"/>
                                  <w:b/>
                                  <w:color w:val="FFFFFF"/>
                                  <w:spacing w:val="-1"/>
                                  <w:w w:val="105"/>
                                  <w:sz w:val="16"/>
                                </w:rPr>
                                <w:t> </w:t>
                              </w:r>
                              <w:r>
                                <w:rPr>
                                  <w:rFonts w:ascii="Arial" w:hAnsi="Arial"/>
                                  <w:b/>
                                  <w:color w:val="FFFFFF"/>
                                  <w:w w:val="105"/>
                                  <w:sz w:val="16"/>
                                </w:rPr>
                                <w:t>shippers</w:t>
                              </w:r>
                              <w:r>
                                <w:rPr>
                                  <w:rFonts w:ascii="Arial" w:hAnsi="Arial"/>
                                  <w:b/>
                                  <w:color w:val="FFFFFF"/>
                                  <w:spacing w:val="-1"/>
                                  <w:w w:val="105"/>
                                  <w:sz w:val="16"/>
                                </w:rPr>
                                <w:t> </w:t>
                              </w:r>
                              <w:r>
                                <w:rPr>
                                  <w:rFonts w:ascii="Arial" w:hAnsi="Arial"/>
                                  <w:b/>
                                  <w:color w:val="FFFFFF"/>
                                  <w:w w:val="105"/>
                                  <w:sz w:val="16"/>
                                </w:rPr>
                                <w:t>ask</w:t>
                              </w:r>
                              <w:r>
                                <w:rPr>
                                  <w:rFonts w:ascii="Arial" w:hAnsi="Arial"/>
                                  <w:b/>
                                  <w:color w:val="FFFFFF"/>
                                  <w:spacing w:val="-1"/>
                                  <w:w w:val="105"/>
                                  <w:sz w:val="16"/>
                                </w:rPr>
                                <w:t> </w:t>
                              </w:r>
                              <w:r>
                                <w:rPr>
                                  <w:rFonts w:ascii="Arial" w:hAnsi="Arial"/>
                                  <w:b/>
                                  <w:color w:val="FFFFFF"/>
                                  <w:w w:val="105"/>
                                  <w:sz w:val="16"/>
                                </w:rPr>
                                <w:t>for</w:t>
                              </w:r>
                              <w:r>
                                <w:rPr>
                                  <w:rFonts w:ascii="Arial" w:hAnsi="Arial"/>
                                  <w:b/>
                                  <w:color w:val="FFFFFF"/>
                                  <w:spacing w:val="-1"/>
                                  <w:w w:val="105"/>
                                  <w:sz w:val="16"/>
                                </w:rPr>
                                <w:t> </w:t>
                              </w:r>
                              <w:r>
                                <w:rPr>
                                  <w:rFonts w:ascii="Arial" w:hAnsi="Arial"/>
                                  <w:b/>
                                  <w:color w:val="FFFFFF"/>
                                  <w:w w:val="105"/>
                                  <w:sz w:val="16"/>
                                </w:rPr>
                                <w:t>environmentally</w:t>
                              </w:r>
                              <w:r>
                                <w:rPr>
                                  <w:rFonts w:ascii="Arial" w:hAnsi="Arial"/>
                                  <w:b/>
                                  <w:color w:val="FFFFFF"/>
                                  <w:spacing w:val="-1"/>
                                  <w:w w:val="105"/>
                                  <w:sz w:val="16"/>
                                </w:rPr>
                                <w:t> </w:t>
                              </w:r>
                              <w:r>
                                <w:rPr>
                                  <w:rFonts w:ascii="Arial" w:hAnsi="Arial"/>
                                  <w:b/>
                                  <w:color w:val="FFFFFF"/>
                                  <w:w w:val="105"/>
                                  <w:sz w:val="16"/>
                                </w:rPr>
                                <w:t>friendly</w:t>
                              </w:r>
                              <w:r>
                                <w:rPr>
                                  <w:rFonts w:ascii="Arial" w:hAnsi="Arial"/>
                                  <w:b/>
                                  <w:color w:val="FFFFFF"/>
                                  <w:spacing w:val="-1"/>
                                  <w:w w:val="105"/>
                                  <w:sz w:val="16"/>
                                </w:rPr>
                                <w:t> </w:t>
                              </w:r>
                              <w:r>
                                <w:rPr>
                                  <w:rFonts w:ascii="Arial" w:hAnsi="Arial"/>
                                  <w:b/>
                                  <w:color w:val="FFFFFF"/>
                                  <w:w w:val="105"/>
                                  <w:sz w:val="16"/>
                                </w:rPr>
                                <w:t>options</w:t>
                              </w:r>
                              <w:r>
                                <w:rPr>
                                  <w:rFonts w:ascii="Arial" w:hAnsi="Arial"/>
                                  <w:b/>
                                  <w:color w:val="FFFFFF"/>
                                  <w:spacing w:val="-1"/>
                                  <w:w w:val="105"/>
                                  <w:sz w:val="16"/>
                                </w:rPr>
                                <w:t> </w:t>
                              </w:r>
                              <w:r>
                                <w:rPr>
                                  <w:rFonts w:ascii="Arial" w:hAnsi="Arial"/>
                                  <w:b/>
                                  <w:color w:val="FFFFFF"/>
                                  <w:w w:val="105"/>
                                  <w:sz w:val="16"/>
                                </w:rPr>
                                <w:t>(e.g.,</w:t>
                              </w:r>
                              <w:r>
                                <w:rPr>
                                  <w:rFonts w:ascii="Arial" w:hAnsi="Arial"/>
                                  <w:b/>
                                  <w:color w:val="FFFFFF"/>
                                  <w:spacing w:val="-1"/>
                                  <w:w w:val="105"/>
                                  <w:sz w:val="16"/>
                                </w:rPr>
                                <w:t> </w:t>
                              </w:r>
                              <w:r>
                                <w:rPr>
                                  <w:rFonts w:ascii="Arial" w:hAnsi="Arial"/>
                                  <w:b/>
                                  <w:color w:val="FFFFFF"/>
                                  <w:w w:val="105"/>
                                  <w:sz w:val="16"/>
                                </w:rPr>
                                <w:t>in</w:t>
                              </w:r>
                              <w:r>
                                <w:rPr>
                                  <w:rFonts w:ascii="Arial" w:hAnsi="Arial"/>
                                  <w:b/>
                                  <w:color w:val="FFFFFF"/>
                                  <w:spacing w:val="-1"/>
                                  <w:w w:val="105"/>
                                  <w:sz w:val="16"/>
                                </w:rPr>
                                <w:t> </w:t>
                              </w:r>
                              <w:r>
                                <w:rPr>
                                  <w:rFonts w:ascii="Arial" w:hAnsi="Arial"/>
                                  <w:b/>
                                  <w:color w:val="FFFFFF"/>
                                  <w:w w:val="105"/>
                                  <w:sz w:val="16"/>
                                </w:rPr>
                                <w:t>view</w:t>
                              </w:r>
                              <w:r>
                                <w:rPr>
                                  <w:rFonts w:ascii="Arial" w:hAnsi="Arial"/>
                                  <w:b/>
                                  <w:color w:val="FFFFFF"/>
                                  <w:spacing w:val="-1"/>
                                  <w:w w:val="105"/>
                                  <w:sz w:val="16"/>
                                </w:rPr>
                                <w:t> </w:t>
                              </w:r>
                              <w:r>
                                <w:rPr>
                                  <w:rFonts w:ascii="Arial" w:hAnsi="Arial"/>
                                  <w:b/>
                                  <w:color w:val="FFFFFF"/>
                                  <w:w w:val="105"/>
                                  <w:sz w:val="16"/>
                                </w:rPr>
                                <w:t>of</w:t>
                              </w:r>
                              <w:r>
                                <w:rPr>
                                  <w:rFonts w:ascii="Arial" w:hAnsi="Arial"/>
                                  <w:b/>
                                  <w:color w:val="FFFFFF"/>
                                  <w:spacing w:val="-1"/>
                                  <w:w w:val="105"/>
                                  <w:sz w:val="16"/>
                                </w:rPr>
                                <w:t> </w:t>
                              </w:r>
                              <w:r>
                                <w:rPr>
                                  <w:rFonts w:ascii="Arial" w:hAnsi="Arial"/>
                                  <w:b/>
                                  <w:color w:val="FFFFFF"/>
                                  <w:w w:val="105"/>
                                  <w:sz w:val="16"/>
                                </w:rPr>
                                <w:t>emission</w:t>
                              </w:r>
                              <w:r>
                                <w:rPr>
                                  <w:rFonts w:ascii="Arial" w:hAnsi="Arial"/>
                                  <w:b/>
                                  <w:color w:val="FFFFFF"/>
                                  <w:spacing w:val="-1"/>
                                  <w:w w:val="105"/>
                                  <w:sz w:val="16"/>
                                </w:rPr>
                                <w:t> </w:t>
                              </w:r>
                              <w:r>
                                <w:rPr>
                                  <w:rFonts w:ascii="Arial" w:hAnsi="Arial"/>
                                  <w:b/>
                                  <w:color w:val="FFFFFF"/>
                                  <w:w w:val="105"/>
                                  <w:sz w:val="16"/>
                                </w:rPr>
                                <w:t>levels,</w:t>
                              </w:r>
                              <w:r>
                                <w:rPr>
                                  <w:rFonts w:ascii="Arial" w:hAnsi="Arial"/>
                                  <w:b/>
                                  <w:color w:val="FFFFFF"/>
                                  <w:spacing w:val="-1"/>
                                  <w:w w:val="105"/>
                                  <w:sz w:val="16"/>
                                </w:rPr>
                                <w:t> </w:t>
                              </w:r>
                              <w:r>
                                <w:rPr>
                                  <w:rFonts w:ascii="Arial" w:hAnsi="Arial"/>
                                  <w:b/>
                                  <w:color w:val="FFFFFF"/>
                                  <w:w w:val="105"/>
                                  <w:sz w:val="16"/>
                                </w:rPr>
                                <w:t>choice</w:t>
                              </w:r>
                              <w:r>
                                <w:rPr>
                                  <w:rFonts w:ascii="Arial" w:hAnsi="Arial"/>
                                  <w:b/>
                                  <w:color w:val="FFFFFF"/>
                                  <w:spacing w:val="-1"/>
                                  <w:w w:val="105"/>
                                  <w:sz w:val="16"/>
                                </w:rPr>
                                <w:t> </w:t>
                              </w:r>
                              <w:r>
                                <w:rPr>
                                  <w:rFonts w:ascii="Arial" w:hAnsi="Arial"/>
                                  <w:b/>
                                  <w:color w:val="FFFFFF"/>
                                  <w:w w:val="105"/>
                                  <w:sz w:val="16"/>
                                </w:rPr>
                                <w:t>of</w:t>
                              </w:r>
                              <w:r>
                                <w:rPr>
                                  <w:rFonts w:ascii="Arial" w:hAnsi="Arial"/>
                                  <w:b/>
                                  <w:color w:val="FFFFFF"/>
                                  <w:spacing w:val="-1"/>
                                  <w:w w:val="105"/>
                                  <w:sz w:val="16"/>
                                </w:rPr>
                                <w:t> </w:t>
                              </w:r>
                              <w:r>
                                <w:rPr>
                                  <w:rFonts w:ascii="Arial" w:hAnsi="Arial"/>
                                  <w:b/>
                                  <w:color w:val="FFFFFF"/>
                                  <w:w w:val="105"/>
                                  <w:sz w:val="16"/>
                                </w:rPr>
                                <w:t>routes, vehicles, schedules, etc.) when shipping to…?</w:t>
                              </w:r>
                            </w:p>
                          </w:txbxContent>
                        </wps:txbx>
                        <wps:bodyPr wrap="square" lIns="0" tIns="0" rIns="0" bIns="0" rtlCol="0">
                          <a:noAutofit/>
                        </wps:bodyPr>
                      </wps:wsp>
                      <wps:wsp>
                        <wps:cNvPr id="1982" name="Textbox 1982"/>
                        <wps:cNvSpPr txBox="1"/>
                        <wps:spPr>
                          <a:xfrm>
                            <a:off x="76386" y="3820866"/>
                            <a:ext cx="648335" cy="91440"/>
                          </a:xfrm>
                          <a:prstGeom prst="rect">
                            <a:avLst/>
                          </a:prstGeom>
                        </wps:spPr>
                        <wps:txbx>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2"/>
                                  <w:sz w:val="12"/>
                                </w:rPr>
                                <w:t> </w:t>
                              </w:r>
                              <w:r>
                                <w:rPr>
                                  <w:rFonts w:ascii="Arial"/>
                                  <w:color w:val="231F20"/>
                                  <w:w w:val="75"/>
                                  <w:sz w:val="12"/>
                                </w:rPr>
                                <w:t>2023</w:t>
                              </w:r>
                              <w:r>
                                <w:rPr>
                                  <w:rFonts w:ascii="Arial"/>
                                  <w:color w:val="231F20"/>
                                  <w:spacing w:val="2"/>
                                  <w:sz w:val="12"/>
                                </w:rPr>
                                <w:t> </w:t>
                              </w:r>
                              <w:r>
                                <w:rPr>
                                  <w:rFonts w:ascii="Arial"/>
                                  <w:color w:val="231F20"/>
                                  <w:w w:val="75"/>
                                  <w:sz w:val="12"/>
                                </w:rPr>
                                <w:t>LPI</w:t>
                              </w:r>
                              <w:r>
                                <w:rPr>
                                  <w:rFonts w:ascii="Arial"/>
                                  <w:color w:val="231F20"/>
                                  <w:spacing w:val="3"/>
                                  <w:sz w:val="12"/>
                                </w:rPr>
                                <w:t> </w:t>
                              </w:r>
                              <w:r>
                                <w:rPr>
                                  <w:rFonts w:ascii="Arial"/>
                                  <w:color w:val="231F20"/>
                                  <w:spacing w:val="-2"/>
                                  <w:w w:val="75"/>
                                  <w:sz w:val="12"/>
                                </w:rPr>
                                <w:t>team.</w:t>
                              </w:r>
                            </w:p>
                          </w:txbxContent>
                        </wps:txbx>
                        <wps:bodyPr wrap="square" lIns="0" tIns="0" rIns="0" bIns="0" rtlCol="0">
                          <a:noAutofit/>
                        </wps:bodyPr>
                      </wps:wsp>
                    </wpg:wgp>
                  </a:graphicData>
                </a:graphic>
              </wp:anchor>
            </w:drawing>
          </mc:Choice>
          <mc:Fallback>
            <w:pict>
              <v:group style="position:absolute;margin-left:60pt;margin-top:20.500977pt;width:516pt;height:317.9pt;mso-position-horizontal-relative:page;mso-position-vertical-relative:paragraph;z-index:-15670784;mso-wrap-distance-left:0;mso-wrap-distance-right:0" id="docshapegroup1674" coordorigin="1200,410" coordsize="10320,6358">
                <v:shape style="position:absolute;left:1200;top:1016;width:10320;height:5751" id="docshape1675" coordorigin="1200,1016" coordsize="10320,5751" path="m11520,1016l1200,1016,1200,6649,1210,6695,1210,6695,1236,6733,1274,6758,1319,6767,11396,6767,11442,6759,11445,6757,1319,6757,1277,6749,1242,6725,1219,6691,1210,6649,1210,1026,11520,1026,11520,1016xm11520,1026l11510,1026,11510,6649,11500,6695,11474,6729,11437,6750,11396,6757,11445,6757,11481,6735,11509,6698,11520,6649,11520,1026xe" filled="true" fillcolor="#90bae8" stroked="false">
                  <v:path arrowok="t"/>
                  <v:fill type="solid"/>
                </v:shape>
                <v:shape style="position:absolute;left:1200;top:410;width:887;height:565" id="docshape1676" coordorigin="1200,410" coordsize="887,565" path="m2087,410l1320,410,1274,415,1236,433,1210,469,1200,530,1200,975,2087,975,2087,410xe" filled="true" fillcolor="#008fdd" stroked="false">
                  <v:path arrowok="t"/>
                  <v:fill type="solid"/>
                </v:shape>
                <v:shape style="position:absolute;left:2086;top:410;width:9433;height:565" id="docshape1677" coordorigin="2087,410" coordsize="9433,565" path="m11399,410l2087,410,2087,975,11519,975,11519,530,11510,490,11486,451,11448,422,11399,410xe" filled="true" fillcolor="#808285" stroked="false">
                  <v:path arrowok="t"/>
                  <v:fill type="solid"/>
                </v:shape>
                <v:line style="position:absolute" from="2087,410" to="2087,989" stroked="true" strokeweight="2pt" strokecolor="#ffffff">
                  <v:stroke dashstyle="solid"/>
                </v:line>
                <v:shape style="position:absolute;left:1616;top:6043;width:447;height:192" type="#_x0000_t75" id="docshape1678" stroked="false">
                  <v:imagedata r:id="rId154" o:title=""/>
                </v:shape>
                <v:shape style="position:absolute;left:5085;top:5694;width:4079;height:100" id="docshape1679" coordorigin="5085,5695" coordsize="4079,100" path="m5123,5697l5114,5697,5114,5729,5094,5729,5094,5697,5085,5697,5085,5771,5094,5771,5094,5736,5114,5736,5114,5771,5123,5771,5123,5697xm5164,5771l5163,5767,5163,5744,5163,5724,5163,5724,5159,5717,5155,5717,5155,5744,5155,5756,5155,5757,5154,5762,5150,5765,5144,5765,5140,5763,5140,5744,5151,5744,5155,5744,5155,5717,5143,5717,5138,5719,5136,5721,5138,5727,5140,5725,5143,5724,5153,5724,5155,5729,5155,5738,5143,5738,5132,5744,5132,5766,5138,5772,5149,5772,5153,5769,5155,5765,5156,5765,5156,5766,5156,5767,5156,5769,5156,5771,5164,5771xm5196,5717l5195,5717,5189,5717,5185,5721,5183,5726,5183,5726,5182,5718,5175,5718,5175,5722,5175,5727,5175,5732,5175,5771,5183,5771,5183,5740,5184,5738,5185,5731,5189,5726,5195,5726,5196,5726,5196,5717xm5233,5771l5233,5768,5233,5765,5233,5764,5233,5724,5233,5723,5233,5695,5224,5695,5224,5723,5224,5723,5224,5755,5222,5763,5219,5765,5210,5765,5207,5756,5207,5734,5209,5724,5220,5724,5224,5729,5224,5734,5224,5755,5224,5723,5224,5723,5222,5719,5218,5717,5206,5717,5198,5726,5198,5762,5205,5772,5220,5772,5223,5768,5225,5765,5225,5764,5225,5764,5226,5771,5233,5771xm5253,5695l5245,5695,5245,5771,5253,5771,5253,5695xm5296,5718l5288,5718,5279,5759,5279,5759,5278,5756,5278,5752,5270,5718,5261,5718,5275,5767,5274,5770,5273,5774,5271,5777,5267,5783,5264,5785,5262,5787,5265,5794,5267,5793,5271,5791,5281,5778,5284,5765,5296,5718xm5351,5763l5330,5763,5330,5736,5348,5736,5348,5729,5330,5729,5330,5705,5349,5705,5349,5697,5321,5697,5321,5771,5351,5771,5351,5763xm5389,5718l5380,5718,5374,5748,5372,5756,5372,5761,5371,5761,5371,5756,5370,5751,5362,5718,5353,5718,5367,5771,5375,5771,5389,5718xm5425,5728l5423,5724,5421,5717,5417,5717,5417,5728,5417,5732,5417,5739,5401,5739,5401,5732,5404,5724,5413,5724,5417,5728,5417,5728,5417,5717,5399,5717,5392,5728,5392,5761,5399,5771,5416,5771,5420,5771,5423,5769,5422,5765,5422,5763,5420,5764,5417,5765,5407,5765,5401,5761,5400,5745,5425,5745,5425,5739,5425,5728xm5455,5717l5454,5717,5448,5717,5444,5721,5442,5726,5442,5726,5441,5718,5434,5718,5434,5722,5434,5727,5434,5732,5434,5771,5443,5771,5443,5740,5443,5738,5444,5731,5448,5726,5454,5726,5455,5726,5455,5717xm5498,5695l5491,5695,5487,5703,5483,5713,5480,5725,5479,5740,5480,5754,5483,5767,5487,5776,5491,5784,5498,5784,5493,5775,5490,5765,5487,5753,5486,5740,5487,5726,5490,5714,5493,5704,5498,5695xm5530,5700l5523,5700,5508,5709,5509,5715,5521,5708,5521,5708,5521,5771,5530,5771,5530,5700xm5564,5739l5563,5725,5560,5712,5556,5703,5552,5695,5546,5695,5550,5704,5554,5714,5556,5726,5557,5739,5556,5753,5554,5765,5550,5776,5546,5784,5552,5784,5556,5776,5560,5767,5563,5754,5564,5739xm6128,5771l6127,5769,6125,5762,6124,5753,6122,5743,6120,5739,6119,5737,6114,5736,6114,5735,6121,5732,6121,5732,6126,5726,6126,5711,6124,5706,6122,5704,6121,5702,6117,5699,6117,5709,6117,5726,6112,5732,6100,5732,6100,5704,6101,5704,6114,5704,6117,5709,6117,5699,6117,5699,6111,5697,6100,5697,6095,5697,6091,5699,6092,5699,6092,5771,6100,5771,6100,5739,6111,5739,6114,5743,6115,5752,6117,5762,6118,5769,6119,5771,6128,5771xm6165,5771l6165,5767,6165,5744,6165,5724,6165,5724,6160,5717,6156,5717,6156,5744,6156,5756,6156,5757,6155,5762,6152,5765,6145,5765,6142,5763,6142,5744,6152,5744,6156,5744,6156,5717,6144,5717,6139,5719,6137,5721,6139,5727,6141,5725,6144,5724,6154,5724,6156,5729,6156,5738,6144,5738,6134,5744,6134,5766,6139,5772,6151,5772,6154,5769,6157,5765,6157,5765,6157,5766,6157,5767,6157,5769,6158,5771,6165,5771xm6197,5717l6196,5717,6191,5717,6186,5721,6184,5726,6184,5726,6184,5718,6176,5718,6176,5722,6176,5727,6176,5732,6176,5771,6185,5771,6185,5740,6185,5738,6186,5731,6190,5726,6197,5726,6197,5726,6197,5717xm6233,5728l6231,5724,6229,5717,6225,5717,6225,5728,6225,5732,6225,5739,6208,5739,6209,5732,6211,5724,6221,5724,6225,5728,6225,5728,6225,5717,6207,5717,6200,5728,6200,5761,6207,5771,6223,5771,6228,5771,6231,5769,6230,5765,6230,5763,6227,5764,6224,5765,6215,5765,6208,5761,6208,5745,6233,5745,6233,5739,6233,5728xm6251,5695l6242,5695,6242,5771,6251,5771,6251,5695xm6294,5718l6285,5718,6277,5759,6277,5759,6276,5756,6275,5752,6267,5718,6259,5718,6272,5767,6272,5770,6271,5774,6269,5777,6264,5783,6262,5785,6259,5787,6262,5794,6264,5793,6268,5791,6278,5778,6282,5765,6294,5718xm6337,5695l6331,5695,6326,5703,6323,5713,6320,5725,6319,5740,6320,5754,6322,5767,6326,5776,6331,5784,6337,5784,6333,5775,6329,5765,6327,5753,6326,5740,6327,5726,6329,5714,6333,5704,6337,5695xm6378,5763l6354,5763,6354,5763,6359,5757,6365,5747,6371,5738,6375,5728,6376,5718,6376,5708,6371,5699,6353,5699,6348,5702,6345,5704,6348,5710,6349,5709,6353,5706,6365,5706,6368,5711,6368,5719,6366,5729,6362,5739,6356,5748,6350,5757,6343,5765,6343,5771,6378,5771,6378,5763xm6404,5739l6402,5725,6400,5712,6396,5703,6392,5695,6385,5695,6389,5704,6393,5714,6395,5726,6396,5739,6395,5753,6393,5765,6389,5776,6385,5784,6392,5784,6396,5776,6400,5767,6402,5754,6404,5739xm6958,5743l6954,5736,6945,5730,6934,5722,6934,5710,6938,5704,6949,5704,6952,5705,6954,5707,6956,5699,6954,5698,6950,5697,6933,5697,6926,5705,6926,5725,6934,5732,6940,5736,6945,5741,6949,5745,6949,5759,6945,5764,6933,5764,6929,5763,6926,5761,6925,5768,6927,5770,6932,5771,6949,5771,6958,5763,6958,5743xm7000,5726l6999,5724,6993,5717,6992,5717,6992,5736,6992,5753,6991,5763,6990,5765,6990,5765,6975,5765,6974,5753,6974,5736,6975,5726,6975,5725,6975,5724,6990,5724,6992,5736,6992,5717,6974,5717,6965,5725,6965,5763,6973,5772,6991,5772,7000,5765,7000,5765,7000,5726xm7066,5722l7060,5717,7050,5717,7048,5718,7044,5721,7042,5723,7041,5725,7040,5725,7038,5720,7034,5717,7024,5717,7020,5720,7017,5725,7017,5725,7017,5718,7009,5718,7009,5722,7010,5725,7010,5732,7010,5771,7018,5771,7018,5736,7018,5734,7019,5727,7023,5724,7033,5724,7034,5730,7034,5771,7042,5771,7042,5735,7042,5733,7042,5732,7044,5727,7047,5724,7057,5724,7058,5731,7058,5771,7066,5771,7066,5722xm7108,5728l7107,5724,7104,5717,7101,5717,7101,5728,7101,5732,7100,5739,7084,5739,7084,5732,7087,5724,7097,5724,7100,5728,7101,5728,7101,5717,7083,5717,7075,5728,7076,5761,7082,5771,7099,5771,7103,5771,7106,5769,7105,5765,7105,5763,7103,5764,7100,5765,7090,5765,7084,5761,7084,5745,7108,5745,7108,5739,7108,5728xm7138,5718l7128,5718,7128,5704,7119,5706,7119,5718,7113,5718,7113,5724,7119,5724,7119,5762,7121,5766,7125,5771,7128,5771,7134,5771,7136,5771,7137,5771,7137,5764,7136,5764,7135,5764,7130,5764,7128,5763,7128,5724,7138,5724,7138,5718xm7154,5718l7146,5718,7146,5771,7154,5771,7154,5718xm7155,5708l7155,5701,7153,5699,7147,5699,7145,5701,7145,5708,7147,5710,7153,5710,7155,5708xm7222,5722l7216,5717,7206,5717,7204,5718,7200,5721,7198,5723,7197,5725,7196,5725,7194,5720,7190,5717,7180,5717,7176,5720,7173,5725,7173,5725,7173,5718,7165,5718,7165,5722,7166,5725,7166,5732,7166,5771,7174,5771,7174,5736,7174,5734,7175,5727,7179,5724,7189,5724,7190,5730,7190,5771,7198,5771,7198,5735,7198,5733,7198,5732,7199,5727,7203,5724,7213,5724,7213,5731,7213,5771,7222,5771,7222,5722xm7264,5728l7263,5724,7260,5717,7257,5717,7257,5728,7256,5732,7256,5739,7240,5739,7240,5732,7243,5724,7252,5724,7256,5728,7257,5728,7257,5717,7239,5717,7231,5728,7232,5761,7238,5771,7255,5771,7259,5771,7262,5769,7261,5765,7261,5763,7259,5764,7256,5765,7246,5765,7240,5761,7240,5745,7264,5745,7264,5739,7264,5728xm7296,5748l7292,5744,7285,5740,7280,5736,7279,5734,7279,5727,7281,5724,7289,5724,7291,5725,7293,5726,7295,5720,7293,5719,7290,5717,7277,5717,7271,5723,7271,5738,7275,5742,7282,5747,7287,5750,7288,5753,7288,5762,7285,5765,7277,5765,7274,5763,7272,5762,7270,5768,7272,5770,7277,5771,7289,5771,7296,5766,7296,5748xm7342,5695l7335,5695,7331,5703,7327,5713,7324,5725,7323,5740,7324,5754,7327,5767,7331,5776,7335,5784,7342,5784,7337,5775,7333,5765,7331,5753,7330,5740,7331,5726,7333,5714,7337,5704,7342,5695xm7380,5740l7374,5734,7368,5732,7368,5732,7375,5729,7378,5722,7378,5706,7373,5699,7357,5699,7352,5701,7350,5703,7352,5709,7354,5708,7357,5706,7366,5706,7370,5710,7370,5726,7362,5729,7355,5730,7355,5736,7366,5736,7372,5741,7372,5759,7367,5765,7355,5765,7351,5763,7349,5762,7347,5768,7350,5770,7355,5772,7373,5772,7380,5762,7380,5740xm7408,5739l7407,5725,7404,5712,7400,5703,7396,5695,7389,5695,7394,5704,7397,5714,7400,5726,7401,5739,7400,5753,7397,5765,7394,5776,7389,5784,7396,5784,7400,5776,7404,5767,7407,5754,7408,5739xm7974,5734l7973,5720,7973,5718,7969,5706,7967,5704,7965,5702,7965,5718,7965,5751,7963,5764,7944,5764,7941,5749,7941,5719,7944,5704,7963,5704,7965,5718,7965,5702,7962,5699,7954,5696,7945,5699,7940,5704,7938,5706,7934,5718,7932,5734,7932,5734,7934,5748,7934,5750,7938,5762,7944,5769,7953,5772,7961,5770,7967,5764,7968,5763,7972,5751,7974,5734,7974,5734xm8008,5696l8007,5695,8005,5695,7998,5695,7994,5696,7987,5703,7986,5709,7986,5718,7980,5718,7980,5724,7986,5724,7986,5771,7995,5771,7995,5724,8004,5724,8004,5718,7995,5718,7995,5708,7996,5701,8004,5701,8007,5702,8008,5696xm8031,5718l8020,5718,8020,5704,8012,5706,8012,5718,8006,5718,8006,5724,8012,5724,8012,5762,8013,5766,8017,5771,8020,5771,8026,5771,8028,5771,8030,5771,8029,5764,8027,5764,8023,5764,8020,5763,8020,5724,8031,5724,8031,5718xm8068,5729l8066,5724,8064,5717,8060,5717,8060,5729,8060,5732,8060,5739,8043,5739,8044,5732,8046,5724,8056,5724,8060,5728,8060,5729,8060,5717,8042,5717,8035,5728,8035,5761,8042,5771,8058,5771,8063,5771,8066,5769,8065,5765,8065,5763,8062,5764,8059,5765,8050,5765,8043,5761,8043,5745,8068,5745,8068,5739,8068,5729xm8110,5723l8104,5717,8091,5717,8087,5720,8085,5724,8084,5724,8084,5718,8077,5718,8077,5722,8077,5725,8077,5732,8077,5771,8085,5771,8085,5738,8086,5734,8087,5727,8090,5724,8100,5724,8101,5731,8101,5771,8110,5771,8110,5723xm8158,5695l8151,5695,8147,5703,8143,5713,8140,5725,8139,5740,8140,5754,8143,5767,8147,5776,8151,5784,8158,5784,8153,5776,8150,5765,8147,5753,8146,5740,8147,5726,8150,5714,8153,5704,8158,5695xm8202,5744l8194,5744,8194,5710,8194,5700,8187,5700,8187,5710,8186,5719,8186,5744,8170,5744,8170,5744,8180,5724,8182,5719,8184,5716,8186,5710,8187,5710,8187,5700,8186,5700,8162,5746,8162,5751,8186,5751,8186,5771,8194,5771,8194,5751,8202,5751,8202,5744xm8224,5739l8223,5725,8220,5712,8216,5703,8212,5695,8205,5695,8210,5704,8213,5714,8216,5726,8217,5739,8216,5753,8213,5765,8210,5776,8205,5784,8212,5784,8216,5776,8220,5767,8223,5754,8224,5739xm8635,5697l8628,5697,8628,5736,8628,5746,8628,5757,8628,5757,8626,5749,8605,5697,8597,5697,8597,5771,8605,5771,8605,5730,8605,5720,8604,5710,8604,5710,8607,5720,8610,5728,8627,5771,8635,5771,8635,5697xm8678,5728l8676,5724,8674,5717,8670,5717,8670,5728,8670,5732,8670,5739,8653,5739,8653,5732,8656,5724,8666,5724,8669,5728,8670,5728,8670,5717,8652,5717,8645,5728,8645,5761,8651,5771,8668,5771,8673,5771,8676,5769,8675,5765,8674,5763,8672,5764,8669,5765,8660,5765,8653,5761,8653,5745,8678,5745,8678,5739,8678,5728xm8716,5771l8715,5767,8715,5744,8715,5724,8715,5724,8710,5717,8707,5717,8707,5744,8707,5756,8706,5757,8705,5762,8702,5765,8696,5765,8692,5763,8692,5744,8702,5744,8707,5744,8707,5717,8695,5717,8690,5719,8687,5721,8689,5727,8692,5725,8695,5724,8705,5724,8706,5729,8706,5738,8695,5738,8684,5744,8684,5766,8689,5772,8701,5772,8705,5769,8707,5765,8707,5765,8707,5766,8708,5767,8708,5769,8708,5771,8716,5771xm8747,5717l8746,5717,8741,5717,8736,5721,8735,5726,8734,5726,8734,5718,8726,5718,8726,5722,8727,5727,8727,5732,8727,5771,8735,5771,8735,5740,8735,5738,8736,5731,8740,5726,8747,5726,8747,5726,8747,5717xm8763,5695l8754,5695,8754,5771,8763,5771,8763,5695xm8806,5718l8797,5718,8789,5759,8789,5759,8787,5752,8779,5718,8771,5718,8784,5767,8784,5770,8783,5774,8781,5777,8776,5783,8774,5785,8771,5787,8774,5794,8776,5793,8780,5791,8790,5778,8794,5765,8797,5752,8806,5718xm8859,5771l8858,5767,8858,5744,8858,5724,8858,5724,8854,5717,8850,5717,8850,5744,8850,5756,8850,5757,8849,5762,8845,5765,8839,5765,8835,5763,8835,5744,8846,5744,8850,5744,8850,5717,8838,5717,8833,5719,8831,5721,8832,5727,8835,5725,8838,5724,8848,5724,8850,5729,8850,5738,8838,5738,8827,5744,8827,5766,8833,5772,8844,5772,8848,5769,8850,5765,8851,5765,8851,5766,8851,5767,8851,5769,8851,5771,8859,5771xm8879,5695l8870,5695,8870,5771,8879,5771,8879,5695xm8946,5718l8937,5718,8930,5755,8929,5761,8929,5761,8928,5755,8920,5718,8913,5718,8906,5749,8905,5755,8904,5761,8903,5761,8903,5755,8901,5749,8900,5744,8895,5718,8887,5718,8899,5771,8907,5771,8913,5745,8914,5740,8915,5736,8916,5729,8916,5729,8918,5740,8919,5745,8925,5771,8932,5771,8946,5718xm8981,5771l8980,5767,8980,5744,8980,5724,8980,5724,8976,5717,8972,5717,8972,5744,8972,5756,8972,5757,8971,5762,8967,5765,8961,5765,8957,5763,8957,5744,8967,5744,8972,5744,8972,5717,8960,5717,8955,5719,8953,5721,8954,5727,8957,5725,8960,5724,8970,5724,8972,5729,8972,5738,8960,5738,8949,5744,8949,5766,8955,5772,8966,5772,8970,5769,8972,5765,8972,5765,8973,5766,8973,5767,8973,5769,8973,5771,8981,5771xm9022,5718l9013,5718,9005,5759,9005,5759,9003,5752,8995,5718,8986,5718,9000,5767,9000,5770,8999,5774,8997,5777,8992,5783,8990,5785,8987,5787,8990,5794,8992,5793,8996,5791,9006,5778,9010,5765,9013,5752,9022,5718xm9052,5748l9047,5744,9041,5740,9036,5736,9034,5734,9034,5727,9037,5724,9044,5724,9046,5725,9048,5726,9050,5720,9048,5719,9045,5717,9033,5717,9026,5723,9026,5738,9030,5742,9037,5747,9042,5750,9044,5753,9044,5762,9041,5765,9033,5765,9029,5763,9027,5762,9025,5768,9028,5770,9032,5771,9045,5771,9052,5766,9052,5748xm9097,5695l9090,5695,9086,5703,9082,5713,9079,5725,9078,5740,9079,5754,9082,5767,9086,5776,9090,5784,9097,5784,9092,5775,9089,5765,9086,5753,9085,5740,9086,5726,9089,5714,9092,5704,9097,5695xm9136,5700l9111,5700,9106,5733,9109,5732,9121,5732,9128,5737,9128,5759,9122,5765,9110,5765,9107,5763,9104,5762,9102,5769,9105,5770,9110,5772,9127,5772,9136,5761,9136,5740,9134,5735,9126,5728,9120,5726,9115,5726,9114,5726,9117,5707,9136,5707,9136,5700xm9163,5739l9162,5725,9159,5712,9155,5703,9151,5695,9145,5695,9149,5704,9153,5714,9155,5726,9156,5739,9155,5753,9153,5765,9149,5776,9145,5784,9151,5784,9155,5776,9159,5767,9162,5754,9163,5739xe" filled="true" fillcolor="#231f20" stroked="false">
                  <v:path arrowok="t"/>
                  <v:fill type="solid"/>
                </v:shape>
                <v:shape style="position:absolute;left:5324;top:5469;width:3625;height:159" type="#_x0000_t75" id="docshape1680" stroked="false">
                  <v:imagedata r:id="rId155" o:title=""/>
                </v:shape>
                <v:rect style="position:absolute;left:5324;top:5469;width:3625;height:159" id="docshape1681" filled="false" stroked="true" strokeweight=".35pt" strokecolor="#231f20">
                  <v:stroke dashstyle="solid"/>
                </v:rect>
                <v:shape style="position:absolute;left:1537;top:1230;width:9864;height:4961" type="#_x0000_t75" id="docshape1682" stroked="false">
                  <v:imagedata r:id="rId156" o:title=""/>
                </v:shape>
                <v:shape style="position:absolute;left:1647;top:2449;width:9723;height:2445" id="docshape1683" coordorigin="1647,2449" coordsize="9723,2445" path="m1648,4201l1647,4201,1648,4202,1648,4201xm1998,3925l1996,3921,1995,3921,1995,3922,1996,3922,1996,3925,1995,3925,1996,3926,1998,3926,1998,3925xm2048,4002l2045,3999,2044,3999,2048,4002xm2053,4011l2048,4006,2048,4002,2047,4004,2045,4006,2043,4004,2041,4005,2045,4009,2051,4012,2053,4011xm2120,4246l2119,4246,2119,4249,2120,4249,2120,4246xm2309,4749l2307,4748,2306,4748,2306,4749,2307,4751,2309,4749xm2313,4759l2310,4755,2309,4754,2309,4755,2310,4759,2313,4759xm2363,4781l2359,4781,2359,4782,2360,4782,2360,4784,2363,4784,2363,4781xm2383,4792l2382,4789,2378,4788,2376,4784,2375,4781,2370,4781,2367,4782,2367,4784,2369,4785,2372,4791,2375,4791,2378,4789,2380,4794,2382,4794,2383,4795,2383,4792xm2464,4725l2462,4722,2461,4721,2461,4722,2464,4725xm2467,4728l2464,4725,2464,4726,2465,4729,2467,4729,2467,4728xm2472,4709l2470,4705,2470,4706,2472,4709xm2521,4738l2518,4735,2517,4735,2520,4738,2521,4738xm2527,4738l2524,4736,2521,4736,2524,4738,2527,4738xm2557,4429l2556,4428,2552,4426,2552,4429,2553,4432,2556,4432,2557,4431,2557,4429xm2560,4449l2559,4448,2557,4449,2557,4451,2559,4452,2560,4449xm2572,4429l2569,4429,2569,4432,2570,4432,2572,4431,2572,4429xm2590,4471l2588,4471,2589,4474,2590,4471xm2596,4464l2595,4464,2590,4462,2586,4465,2589,4468,2590,4466,2595,4465,2596,4464xm2606,4491l2605,4491,2603,4489,2605,4494,2606,4492,2606,4491xm2609,4776l2608,4778,2608,4779,2609,4781,2609,4776xm2611,4782l2609,4781,2609,4782,2611,4782xm2612,4774l2611,4774,2609,4775,2609,4776,2612,4774xm2612,4794l2611,4791,2609,4789,2608,4789,2612,4794xm2619,4801l2615,4799,2616,4801,2619,4802,2619,4801xm2705,4891l2704,4889,2704,4891,2705,4891xm2707,4894l2705,4891,2705,4892,2707,4894xm2718,4794l2717,4791,2715,4791,2718,4795,2718,4794xm2736,4799l2734,4798,2733,4798,2734,4799,2736,4799xm2739,4799l2736,4799,2737,4801,2739,4801,2739,4799xm4734,3449l4732,3449,4732,3451,4734,3451,4734,3449xm4739,3456l4737,3456,4739,3458,4739,3456xm5120,2459l5118,2461,5117,2461,5118,2462,5120,2462,5120,2459xm5120,2451l5118,2449,5117,2449,5117,2456,5114,2459,5116,2461,5118,2458,5118,2455,5120,2452,5120,2451xm11319,3951l11318,3951,11316,3952,11316,3954,11319,3952,11319,3951xm11322,3948l11319,3949,11321,3949,11322,3948xm11326,4008l11325,4009,11326,4009,11326,4008xm11326,4004l11325,4001,11324,3999,11326,4005,11326,4004xm11328,4039l11326,4038,11326,4041,11328,4039xm11329,4041l11328,4039,11328,4044,11329,4042,11329,4041xm11331,4024l11326,4024,11326,4025,11331,4025,11331,4024xm11367,4108l11365,4108,11367,4109,11367,4108xm11370,4116l11368,4114,11368,4118,11370,4116xe" filled="true" fillcolor="#e1e2e3" stroked="false">
                  <v:path arrowok="t"/>
                  <v:fill type="solid"/>
                </v:shape>
                <v:shape style="position:absolute;left:10818;top:4864;width:183;height:160" type="#_x0000_t75" id="docshape1684" stroked="false">
                  <v:imagedata r:id="rId157" o:title=""/>
                </v:shape>
                <v:shape style="position:absolute;left:4766;top:3536;width:3357;height:2283" id="docshape1685" coordorigin="4766,3536" coordsize="3357,2283" path="m4773,3545l4772,3541,4772,3538,4768,3536,4768,3538,4766,3541,4768,3545,4769,3551,4772,3549,4773,3545xm7714,5685l7711,5686,7711,5688,7713,5689,7714,5688,7714,5685xm8099,5791l8095,5791,8094,5792,8094,5796,8097,5796,8099,5793,8099,5791xm8122,5799l8121,5798,8118,5798,8115,5801,8110,5801,8107,5803,8098,5803,8097,5801,8098,5799,8102,5799,8102,5798,8104,5793,8102,5793,8095,5798,8094,5799,8092,5798,8089,5798,8089,5795,8095,5789,8095,5782,8094,5782,8092,5783,8091,5786,8088,5789,8087,5792,8085,5793,8084,5796,8084,5799,8085,5799,8082,5801,8082,5803,8081,5806,8081,5809,8079,5811,8078,5813,8075,5816,8075,5818,8079,5818,8082,5816,8087,5812,8088,5813,8089,5813,8092,5816,8095,5818,8097,5818,8098,5816,8099,5816,8099,5818,8101,5819,8108,5819,8111,5816,8111,5813,8107,5813,8107,5816,8104,5815,8101,5812,8101,5811,8102,5811,8104,5809,8105,5809,8105,5808,8112,5808,8112,5809,8114,5811,8117,5811,8117,5808,8120,5808,8121,5805,8122,5803,8122,5799xe" filled="true" fillcolor="#e1e2e3" stroked="false">
                  <v:path arrowok="t"/>
                  <v:fill type="solid"/>
                </v:shape>
                <v:shape style="position:absolute;left:5315;top:1228;width:1019;height:798" type="#_x0000_t75" id="docshape1686" stroked="false">
                  <v:imagedata r:id="rId158" o:title=""/>
                </v:shape>
                <v:shape style="position:absolute;left:4731;top:3450;width:6112;height:2493" id="docshape1687" coordorigin="4732,3451" coordsize="6112,2493" path="m4735,3451l4732,3451,4732,3452,4735,3452,4735,3451xm4816,3624l4815,3622,4812,3618,4811,3618,4811,3625,4814,3626,4816,3624xm5778,3498l5777,3495,5774,3494,5768,3498,5768,3502,5770,3504,5773,3502,5777,3499,5778,3498xm5780,3505l5778,3504,5777,3504,5774,3506,5777,3508,5778,3508,5780,3506,5780,3505xm5794,3571l5793,3568,5791,3568,5789,3569,5789,3574,5790,3575,5791,3575,5793,3574,5794,3571xm5803,3515l5801,3514,5797,3512,5794,3512,5793,3514,5796,3518,5797,3515,5797,3514,5801,3515,5803,3515xm5817,3569l5816,3565,5814,3564,5812,3559,5810,3558,5809,3558,5809,3566,5810,3571,5812,3572,5816,3572,5817,3569xm5827,3559l5826,3558,5825,3558,5823,3561,5823,3564,5825,3565,5827,3564,5827,3559xm5835,3508l5833,3508,5833,3512,5835,3512,5835,3508xm5840,3529l5839,3528,5836,3528,5833,3526,5833,3534,5835,3535,5836,3535,5839,3534,5840,3531,5840,3529xm8140,5942l8137,5941,8135,5938,8131,5936,8128,5936,8128,5938,8130,5938,8130,5943,8133,5943,8135,5942,8140,5942xm9414,4466l9411,4466,9409,4469,9412,4469,9412,4471,9414,4468,9414,4466xm9693,3895l9691,3895,9687,3898,9684,3901,9683,3904,9677,3909,9673,3911,9667,3911,9667,3912,9670,3914,9671,3915,9673,3918,9673,3921,9674,3922,9674,3924,9677,3924,9678,3925,9680,3929,9683,3932,9684,3932,9688,3924,9687,3922,9688,3919,9688,3918,9687,3916,9687,3912,9686,3908,9686,3906,9688,3904,9690,3901,9693,3899,9693,3895xm9703,3919l9701,3916,9700,3909,9697,3901,9696,3899,9693,3899,9693,3908,9694,3911,9696,3918,9699,3919,9700,3921,9701,3919,9703,3919xm10843,5282l10842,5281,10842,5282,10840,5282,10840,5283,10843,5283,10843,5282xe" filled="true" fillcolor="#e1e2e3" stroked="false">
                  <v:path arrowok="t"/>
                  <v:fill type="solid"/>
                </v:shape>
                <v:shape style="position:absolute;left:3576;top:2273;width:47;height:28" id="docshape1688" coordorigin="3577,2274" coordsize="47,28" path="m3577,2288l3578,2291,3581,2292,3584,2294,3587,2296,3590,2298,3594,2301,3596,2301,3600,2299,3606,2298,3609,2295,3610,2294,3611,2289,3613,2286,3614,2285,3621,2282,3623,2281,3621,2276,3620,2274e" filled="false" stroked="true" strokeweight=".35pt" strokecolor="#ffffff">
                  <v:path arrowok="t"/>
                  <v:stroke dashstyle="solid"/>
                </v:shape>
                <v:shape style="position:absolute;left:6283;top:2203;width:44;height:35" id="docshape1689" coordorigin="6283,2204" coordsize="44,35" path="m6305,2204l6302,2205,6300,2206,6299,2209,6299,2211,6298,2212,6298,2214,6296,2215,6293,2215,6293,2216,6292,2215,6289,2216,6289,2218,6290,2218,6292,2219,6292,2221,6286,2222,6283,2224,6283,2225,6283,2226,6288,2231,6289,2231,6289,2234,6293,2234,6295,2235,6296,2235,6299,2235,6300,2236,6302,2235,6305,2234,6305,2232,6305,2231,6306,2228,6308,2226,6309,2226,6311,2228,6312,2229,6312,2231,6313,2234,6316,2234,6316,2235,6316,2238,6319,2238,6321,2238,6322,2238,6324,2238,6326,2238e" filled="false" stroked="true" strokeweight=".35pt" strokecolor="#ffffff">
                  <v:path arrowok="t"/>
                  <v:stroke dashstyle="solid"/>
                </v:shape>
                <v:shape style="position:absolute;left:9376;top:4029;width:15;height:9" id="docshape1690" coordorigin="9376,4029" coordsize="15,9" path="m9391,4035l9389,4034,9389,4031,9385,4029,9384,4029,9379,4029,9378,4034,9376,4036,9376,4038e" filled="false" stroked="true" strokeweight=".35pt" strokecolor="#ffffff">
                  <v:path arrowok="t"/>
                  <v:stroke dashstyle="solid"/>
                </v:shape>
                <v:shape style="position:absolute;left:9271;top:3837;width:57;height:39" id="docshape1691" coordorigin="9271,3838" coordsize="57,39" path="m9271,3848l9271,3846,9273,3841,9273,3839,9274,3838,9274,3839,9277,3844,9284,3846,9286,3846,9289,3846,9290,3848,9292,3851,9293,3855,9296,3854,9297,3855,9299,3855,9299,3858,9300,3862,9300,3865,9297,3869,9297,3872,9299,3874,9300,3875,9302,3876,9303,3875,9305,3874,9305,3871,9309,3869,9313,3866,9315,3868,9316,3871,9317,3871,9317,3872,9320,3871,9322,3869,9323,3866,9323,3864,9326,3859,9326,3856,9328,3854e" filled="false" stroked="true" strokeweight=".35pt" strokecolor="#ffffff">
                  <v:path arrowok="t"/>
                  <v:stroke dashstyle="solid"/>
                </v:shape>
                <v:shape style="position:absolute;left:4490;top:3387;width:13;height:59" id="docshape1692" coordorigin="4490,3388" coordsize="13,59" path="m4502,3388l4503,3389,4503,3396,4503,3398,4502,3402,4502,3404,4503,3406,4503,3408,4500,3411,4497,3414,4497,3416,4499,3418,4499,3419,4499,3422,4496,3425,4494,3426,4491,3426,4490,3426,4491,3431,4493,3434,4496,3436,4496,3439,4494,3441,4494,3446e" filled="false" stroked="true" strokeweight=".35pt" strokecolor="#ffffff">
                  <v:path arrowok="t"/>
                  <v:stroke dashstyle="solid"/>
                </v:shape>
                <v:shape style="position:absolute;left:9928;top:4430;width:13;height:10" id="docshape1693" coordorigin="9929,4431" coordsize="13,10" path="m9929,4436l9930,4438,9930,4439,9932,4439,9936,4441,9937,4439,9939,4438,9940,4436,9940,4434,9942,4431e" filled="false" stroked="true" strokeweight=".35pt" strokecolor="#ffffff">
                  <v:path arrowok="t"/>
                  <v:stroke dashstyle="solid"/>
                </v:shape>
                <v:shape style="position:absolute;left:9954;top:4422;width:8;height:22" id="docshape1694" coordorigin="9955,4422" coordsize="8,22" path="m9956,4422l9955,4425,9956,4426,9960,4425,9962,4426,9962,4429,9959,4432,9956,4432,9955,4434,9956,4435,9956,4436,9957,4439,9957,4444e" filled="false" stroked="true" strokeweight=".35pt" strokecolor="#ffffff">
                  <v:path arrowok="t"/>
                  <v:stroke dashstyle="solid"/>
                </v:shape>
                <v:shape style="position:absolute;left:9539;top:3895;width:239;height:159" type="#_x0000_t75" id="docshape1695" stroked="false">
                  <v:imagedata r:id="rId159" o:title=""/>
                </v:shape>
                <v:shape style="position:absolute;left:5997;top:1683;width:3677;height:3453" type="#_x0000_t75" id="docshape1696" stroked="false">
                  <v:imagedata r:id="rId160" o:title=""/>
                </v:shape>
                <v:shape style="position:absolute;left:9666;top:3899;width:26;height:33" id="docshape1697" coordorigin="9667,3899" coordsize="26,33" path="m9667,3911l9667,3912,9670,3914,9671,3915,9673,3918,9673,3921,9674,3922,9674,3924,9677,3924,9678,3925,9680,3929,9681,3931,9683,3932,9684,3932,9686,3929,9687,3926,9688,3924,9687,3922,9688,3919,9688,3918,9687,3916,9687,3912,9686,3908,9686,3906,9687,3905,9688,3904,9690,3901,9693,3899e" filled="false" stroked="true" strokeweight=".35pt" strokecolor="#ffffff">
                  <v:path arrowok="t"/>
                  <v:stroke dashstyle="solid"/>
                </v:shape>
                <v:shape style="position:absolute;left:4285;top:3775;width:22;height:52" id="docshape1698" coordorigin="4286,3775" coordsize="22,52" path="m4305,3775l4303,3776,4302,3779,4300,3781,4303,3784,4303,3786,4305,3789,4306,3792,4307,3798,4307,3799,4307,3801,4305,3802,4303,3805,4302,3808,4303,3809,4297,3814,4296,3815,4294,3814,4294,3812,4293,3809,4292,3809,4290,3811,4292,3815,4290,3816,4289,3818,4286,3826e" filled="false" stroked="true" strokeweight=".35pt" strokecolor="#ffffff">
                  <v:path arrowok="t"/>
                  <v:stroke dashstyle="solid"/>
                </v:shape>
                <v:shape style="position:absolute;left:3891;top:3415;width:1192;height:2589" type="#_x0000_t75" id="docshape1699" stroked="false">
                  <v:imagedata r:id="rId161" o:title=""/>
                </v:shape>
                <v:shape style="position:absolute;left:10401;top:4184;width:23;height:256" id="docshape1700" coordorigin="10402,4185" coordsize="23,256" path="m10425,4185l10425,4192,10425,4201,10425,4209,10423,4216,10423,4225,10423,4232,10422,4241,10422,4249,10422,4256,10420,4265,10420,4272,10419,4281,10419,4288,10418,4296,10418,4305,10416,4312,10416,4321,10415,4328,10415,4332,10413,4336,10410,4342,10410,4348,10412,4351,10413,4354,10412,4361,10410,4368,10410,4376,10409,4384,10407,4392,10407,4401,10406,4408,10405,4416,10405,4424,10403,4432,10402,4441e" filled="false" stroked="true" strokeweight=".35pt" strokecolor="#ffffff">
                  <v:path arrowok="t"/>
                  <v:stroke dashstyle="solid"/>
                </v:shape>
                <v:shape style="position:absolute;left:3613;top:1550;width:373;height:513" type="#_x0000_t75" id="docshape1701" stroked="false">
                  <v:imagedata r:id="rId162" o:title=""/>
                </v:shape>
                <v:shape style="position:absolute;left:3620;top:2273;width:15;height:2" id="docshape1702" coordorigin="3620,2274" coordsize="15,2" path="m3620,2274l3623,2274,3626,2275,3629,2275,3632,2275,3634,2275e" filled="false" stroked="true" strokeweight=".35pt" strokecolor="#ffffff">
                  <v:path arrowok="t"/>
                  <v:stroke dashstyle="solid"/>
                </v:shape>
                <v:shape style="position:absolute;left:3430;top:2872;width:435;height:275" id="docshape1703" coordorigin="3430,2872" coordsize="435,275" path="m3430,2875l3437,2875,3445,2875,3452,2875,3460,2874,3468,2874,3475,2874,3483,2874,3491,2874,3493,2872,3489,2878,3488,2881,3498,2886,3506,2892,3516,2899,3527,2905,3537,2911,3547,2918,3557,2924,3567,2929,3575,2931,3584,2931,3594,2931,3603,2932,3611,2932,3617,2932,3621,2934,3630,2934,3639,2934,3640,2931,3642,2926,3644,2922,3646,2918,3652,2918,3656,2919,3662,2919,3667,2919,3673,2919,3679,2921,3685,2921,3690,2921,3692,2925,3692,2929,3693,2934,3696,2935,3699,2941,3703,2951,3708,2958,3711,2961,3714,2964,3714,2966,3715,2971,3715,2982,3712,2988,3712,2994,3714,2999,3715,3004,3716,3005,3718,3006,3721,3011,3722,3014,3725,3015,3729,3018,3734,3022,3738,3025,3739,3026,3742,3025,3745,3021,3748,3019,3749,3018,3751,3016,3751,3015,3754,3011,3760,3004,3764,2999,3767,2999,3770,2998,3772,2996,3774,2995,3775,2998,3780,2999,3785,2999,3790,2999,3791,2999,3793,3001,3794,3001,3795,3002,3795,3005,3801,3012,3801,3015,3803,3018,3806,3022,3806,3026,3806,3031,3806,3036,3808,3044,3808,3048,3807,3048,3807,3051,3807,3054,3808,3056,3810,3059,3811,3065,3813,3071,3814,3076,3818,3079,3820,3084,3818,3086,3818,3088,3817,3091,3817,3092,3817,3095,3817,3096,3816,3099,3816,3101,3816,3102,3817,3106,3818,3112,3817,3119,3818,3124,3820,3125,3824,3126,3826,3128,3827,3129,3830,3131,3833,3132,3834,3134,3837,3136,3841,3138,3849,3139,3854,3142,3857,3145,3859,3146,3859,3145,3860,3145,3862,3144,3864,3144e" filled="false" stroked="true" strokeweight=".35pt" strokecolor="#ffffff">
                  <v:path arrowok="t"/>
                  <v:stroke dashstyle="solid"/>
                </v:shape>
                <v:shape style="position:absolute;left:3634;top:2275;width:1214;height:332" id="docshape1704" coordorigin="3634,2275" coordsize="1214,332" path="m3634,2275l3643,2276,3653,2278,3662,2278,3672,2279,3680,2281,3690,2282,3699,2282,3709,2284,3718,2285,3726,2285,3737,2286,3745,2288,3755,2288,3758,2289,3765,2289,3774,2291,3780,2291,3784,2291,3793,2292,3803,2294,3811,2294,3821,2295,3823,2295,3830,2296,3840,2296,3849,2298,3859,2299,3867,2299,3877,2301,3888,2302,3896,2302,3906,2304,3913,2304,3915,2304,3925,2305,3934,2306,3944,2306,3954,2308,3962,2309,3972,2309,3981,2311,3991,2311,4001,2312,4010,2314,4020,2314,4028,2315,4038,2315,4046,2316,4049,2316,4057,2316,4067,2318,4077,2319,4086,2319,4096,2321,4106,2321,4115,2322,4125,2322,4135,2324,4143,2325,4154,2325,4164,2326,4172,2326,4182,2328,4192,2328,4201,2329,4211,2329,4221,2331,4230,2331,4240,2332,4246,2332,4250,2325,4253,2319,4257,2321,4259,2322,4257,2324,4254,2329,4254,2332,4253,2338,4253,2339,4253,2341,4253,2342,4257,2344,4264,2346,4267,2348,4267,2351,4270,2351,4273,2351,4276,2351,4279,2348,4282,2348,4284,2349,4286,2349,4287,2349,4290,2351,4292,2352,4294,2355,4296,2356,4294,2359,4294,2362,4296,2362,4297,2361,4302,2361,4305,2362,4306,2365,4309,2369,4312,2371,4315,2371,4319,2369,4325,2366,4328,2366,4329,2368,4329,2369,4329,2371,4333,2371,4339,2372,4345,2371,4345,2372,4345,2375,4348,2376,4351,2375,4355,2376,4356,2376,4358,2376,4362,2376,4365,2375,4368,2374,4372,2372,4381,2369,4388,2368,4391,2371,4394,2374,4395,2375,4398,2376,4402,2381,4407,2385,4411,2389,4415,2394,4418,2396,4420,2396,4422,2401,4425,2404,4428,2406,4433,2409,4435,2412,4438,2415,4441,2418,4445,2422,4444,2426,4443,2431,4444,2435,4445,2438,4447,2438,4448,2436,4450,2435,4451,2435,4456,2435,4457,2435,4456,2436,4456,2438,4454,2438,4454,2441,4453,2444,4453,2446,4453,2449,4453,2451,4454,2452,4458,2451,4461,2451,4463,2451,4463,2452,4464,2454,4464,2455,4458,2461,4461,2465,4466,2468,4470,2472,4473,2475,4476,2479,4474,2484,4473,2488,4471,2494,4470,2501,4468,2506,4467,2512,4466,2519,4464,2525,4461,2532,4460,2541,4457,2545,4451,2552,4445,2558,4445,2561,4440,2569,4437,2574,4433,2575,4430,2578,4425,2581,4421,2584,4420,2584,4418,2586,4415,2589,4414,2595,4414,2596,4414,2601,4417,2604,4420,2606,4427,2606,4433,2604,4440,2599,4447,2596,4454,2594,4461,2589,4468,2589,4477,2588,4481,2586,4489,2585,4494,2584,4503,2581,4512,2576,4520,2574,4523,2572,4527,2571,4527,2568,4529,2568,4527,2566,4527,2565,4527,2564,4527,2562,4530,2555,4530,2554,4529,2549,4535,2546,4539,2545,4542,2544,4549,2544,4555,2545,4563,2545,4569,2545,4578,2546,4582,2546,4588,2546,4594,2541,4598,2536,4602,2532,4609,2526,4612,2526,4614,2524,4617,2522,4621,2521,4624,2518,4637,2508,4644,2505,4650,2502,4654,2501,4655,2502,4657,2501,4658,2502,4664,2502,4674,2502,4684,2502,4690,2504,4693,2504,4703,2504,4713,2504,4723,2505,4733,2505,4737,2499,4742,2496,4745,2496,4746,2496,4747,2496,4747,2495,4750,2495,4750,2496,4752,2498,4752,2496,4753,2495,4755,2494,4756,2492,4758,2492,4759,2492,4759,2491,4759,2489,4759,2488,4763,2485,4768,2482,4769,2481,4770,2479,4772,2476,4773,2476,4775,2475,4775,2474,4775,2471,4778,2468,4779,2464,4782,2461,4786,2458,4788,2454,4791,2448,4796,2444,4801,2439,4805,2436,4811,2431,4815,2426,4816,2425,4818,2424,4821,2424,4822,2425,4821,2428,4821,2429,4821,2431,4822,2432,4824,2432,4825,2432,4829,2431,4834,2431,4837,2429,4838,2428,4839,2428,4841,2428,4844,2431,4845,2435,4848,2438,4845,2444,4844,2448,4842,2454,4841,2458,4838,2464,4837,2468,4835,2474,4834,2476,4834,2478,4834,2479,4832,2481,4832,2482,4831,2484,4831,2485,4831,2486,4832,2486,4834,2488,4834,2489,4835,2489,4837,2489,4838,2489,4838,2491,4838,2492,4837,2492,4835,2494,4835,2495,4835,2496,4835,2498,4835,2499,4834,2499,4834,2501,4834,2502,4834,2504,4835,2505,4837,2505,4837,2504,4838,2504,4839,2505,4841,2505e" filled="false" stroked="true" strokeweight=".35pt" strokecolor="#ffffff">
                  <v:path arrowok="t"/>
                  <v:stroke dashstyle="solid"/>
                </v:shape>
                <v:shape style="position:absolute;left:1320;top:515;width:9914;height:392" type="#_x0000_t202" id="docshape1705" filled="false" stroked="false">
                  <v:textbox inset="0,0,0,0">
                    <w:txbxContent>
                      <w:p>
                        <w:pPr>
                          <w:tabs>
                            <w:tab w:pos="839" w:val="left" w:leader="none"/>
                          </w:tabs>
                          <w:spacing w:line="261" w:lineRule="auto" w:before="0"/>
                          <w:ind w:left="840" w:right="18" w:hanging="840"/>
                          <w:jc w:val="left"/>
                          <w:rPr>
                            <w:rFonts w:ascii="Arial" w:hAnsi="Arial"/>
                            <w:b/>
                            <w:sz w:val="16"/>
                          </w:rPr>
                        </w:pPr>
                        <w:r>
                          <w:rPr>
                            <w:rFonts w:ascii="Arial" w:hAnsi="Arial"/>
                            <w:color w:val="FFFFFF"/>
                            <w:w w:val="105"/>
                            <w:sz w:val="16"/>
                          </w:rPr>
                          <w:t>Map </w:t>
                        </w:r>
                        <w:r>
                          <w:rPr>
                            <w:rFonts w:ascii="Arial" w:hAnsi="Arial"/>
                            <w:b/>
                            <w:color w:val="FFFFFF"/>
                            <w:w w:val="105"/>
                            <w:sz w:val="16"/>
                          </w:rPr>
                          <w:t>A6.1</w:t>
                        </w:r>
                        <w:r>
                          <w:rPr>
                            <w:rFonts w:ascii="Arial" w:hAnsi="Arial"/>
                            <w:b/>
                            <w:color w:val="FFFFFF"/>
                            <w:sz w:val="16"/>
                          </w:rPr>
                          <w:tab/>
                        </w:r>
                        <w:r>
                          <w:rPr>
                            <w:rFonts w:ascii="Arial" w:hAnsi="Arial"/>
                            <w:b/>
                            <w:color w:val="FFFFFF"/>
                            <w:w w:val="105"/>
                            <w:sz w:val="16"/>
                          </w:rPr>
                          <w:t>How</w:t>
                        </w:r>
                        <w:r>
                          <w:rPr>
                            <w:rFonts w:ascii="Arial" w:hAnsi="Arial"/>
                            <w:b/>
                            <w:color w:val="FFFFFF"/>
                            <w:spacing w:val="-1"/>
                            <w:w w:val="105"/>
                            <w:sz w:val="16"/>
                          </w:rPr>
                          <w:t> </w:t>
                        </w:r>
                        <w:r>
                          <w:rPr>
                            <w:rFonts w:ascii="Arial" w:hAnsi="Arial"/>
                            <w:b/>
                            <w:color w:val="FFFFFF"/>
                            <w:w w:val="105"/>
                            <w:sz w:val="16"/>
                          </w:rPr>
                          <w:t>often</w:t>
                        </w:r>
                        <w:r>
                          <w:rPr>
                            <w:rFonts w:ascii="Arial" w:hAnsi="Arial"/>
                            <w:b/>
                            <w:color w:val="FFFFFF"/>
                            <w:spacing w:val="-1"/>
                            <w:w w:val="105"/>
                            <w:sz w:val="16"/>
                          </w:rPr>
                          <w:t> </w:t>
                        </w:r>
                        <w:r>
                          <w:rPr>
                            <w:rFonts w:ascii="Arial" w:hAnsi="Arial"/>
                            <w:b/>
                            <w:color w:val="FFFFFF"/>
                            <w:w w:val="105"/>
                            <w:sz w:val="16"/>
                          </w:rPr>
                          <w:t>do</w:t>
                        </w:r>
                        <w:r>
                          <w:rPr>
                            <w:rFonts w:ascii="Arial" w:hAnsi="Arial"/>
                            <w:b/>
                            <w:color w:val="FFFFFF"/>
                            <w:spacing w:val="-1"/>
                            <w:w w:val="105"/>
                            <w:sz w:val="16"/>
                          </w:rPr>
                          <w:t> </w:t>
                        </w:r>
                        <w:r>
                          <w:rPr>
                            <w:rFonts w:ascii="Arial" w:hAnsi="Arial"/>
                            <w:b/>
                            <w:color w:val="FFFFFF"/>
                            <w:w w:val="105"/>
                            <w:sz w:val="16"/>
                          </w:rPr>
                          <w:t>shippers</w:t>
                        </w:r>
                        <w:r>
                          <w:rPr>
                            <w:rFonts w:ascii="Arial" w:hAnsi="Arial"/>
                            <w:b/>
                            <w:color w:val="FFFFFF"/>
                            <w:spacing w:val="-1"/>
                            <w:w w:val="105"/>
                            <w:sz w:val="16"/>
                          </w:rPr>
                          <w:t> </w:t>
                        </w:r>
                        <w:r>
                          <w:rPr>
                            <w:rFonts w:ascii="Arial" w:hAnsi="Arial"/>
                            <w:b/>
                            <w:color w:val="FFFFFF"/>
                            <w:w w:val="105"/>
                            <w:sz w:val="16"/>
                          </w:rPr>
                          <w:t>ask</w:t>
                        </w:r>
                        <w:r>
                          <w:rPr>
                            <w:rFonts w:ascii="Arial" w:hAnsi="Arial"/>
                            <w:b/>
                            <w:color w:val="FFFFFF"/>
                            <w:spacing w:val="-1"/>
                            <w:w w:val="105"/>
                            <w:sz w:val="16"/>
                          </w:rPr>
                          <w:t> </w:t>
                        </w:r>
                        <w:r>
                          <w:rPr>
                            <w:rFonts w:ascii="Arial" w:hAnsi="Arial"/>
                            <w:b/>
                            <w:color w:val="FFFFFF"/>
                            <w:w w:val="105"/>
                            <w:sz w:val="16"/>
                          </w:rPr>
                          <w:t>for</w:t>
                        </w:r>
                        <w:r>
                          <w:rPr>
                            <w:rFonts w:ascii="Arial" w:hAnsi="Arial"/>
                            <w:b/>
                            <w:color w:val="FFFFFF"/>
                            <w:spacing w:val="-1"/>
                            <w:w w:val="105"/>
                            <w:sz w:val="16"/>
                          </w:rPr>
                          <w:t> </w:t>
                        </w:r>
                        <w:r>
                          <w:rPr>
                            <w:rFonts w:ascii="Arial" w:hAnsi="Arial"/>
                            <w:b/>
                            <w:color w:val="FFFFFF"/>
                            <w:w w:val="105"/>
                            <w:sz w:val="16"/>
                          </w:rPr>
                          <w:t>environmentally</w:t>
                        </w:r>
                        <w:r>
                          <w:rPr>
                            <w:rFonts w:ascii="Arial" w:hAnsi="Arial"/>
                            <w:b/>
                            <w:color w:val="FFFFFF"/>
                            <w:spacing w:val="-1"/>
                            <w:w w:val="105"/>
                            <w:sz w:val="16"/>
                          </w:rPr>
                          <w:t> </w:t>
                        </w:r>
                        <w:r>
                          <w:rPr>
                            <w:rFonts w:ascii="Arial" w:hAnsi="Arial"/>
                            <w:b/>
                            <w:color w:val="FFFFFF"/>
                            <w:w w:val="105"/>
                            <w:sz w:val="16"/>
                          </w:rPr>
                          <w:t>friendly</w:t>
                        </w:r>
                        <w:r>
                          <w:rPr>
                            <w:rFonts w:ascii="Arial" w:hAnsi="Arial"/>
                            <w:b/>
                            <w:color w:val="FFFFFF"/>
                            <w:spacing w:val="-1"/>
                            <w:w w:val="105"/>
                            <w:sz w:val="16"/>
                          </w:rPr>
                          <w:t> </w:t>
                        </w:r>
                        <w:r>
                          <w:rPr>
                            <w:rFonts w:ascii="Arial" w:hAnsi="Arial"/>
                            <w:b/>
                            <w:color w:val="FFFFFF"/>
                            <w:w w:val="105"/>
                            <w:sz w:val="16"/>
                          </w:rPr>
                          <w:t>options</w:t>
                        </w:r>
                        <w:r>
                          <w:rPr>
                            <w:rFonts w:ascii="Arial" w:hAnsi="Arial"/>
                            <w:b/>
                            <w:color w:val="FFFFFF"/>
                            <w:spacing w:val="-1"/>
                            <w:w w:val="105"/>
                            <w:sz w:val="16"/>
                          </w:rPr>
                          <w:t> </w:t>
                        </w:r>
                        <w:r>
                          <w:rPr>
                            <w:rFonts w:ascii="Arial" w:hAnsi="Arial"/>
                            <w:b/>
                            <w:color w:val="FFFFFF"/>
                            <w:w w:val="105"/>
                            <w:sz w:val="16"/>
                          </w:rPr>
                          <w:t>(e.g.,</w:t>
                        </w:r>
                        <w:r>
                          <w:rPr>
                            <w:rFonts w:ascii="Arial" w:hAnsi="Arial"/>
                            <w:b/>
                            <w:color w:val="FFFFFF"/>
                            <w:spacing w:val="-1"/>
                            <w:w w:val="105"/>
                            <w:sz w:val="16"/>
                          </w:rPr>
                          <w:t> </w:t>
                        </w:r>
                        <w:r>
                          <w:rPr>
                            <w:rFonts w:ascii="Arial" w:hAnsi="Arial"/>
                            <w:b/>
                            <w:color w:val="FFFFFF"/>
                            <w:w w:val="105"/>
                            <w:sz w:val="16"/>
                          </w:rPr>
                          <w:t>in</w:t>
                        </w:r>
                        <w:r>
                          <w:rPr>
                            <w:rFonts w:ascii="Arial" w:hAnsi="Arial"/>
                            <w:b/>
                            <w:color w:val="FFFFFF"/>
                            <w:spacing w:val="-1"/>
                            <w:w w:val="105"/>
                            <w:sz w:val="16"/>
                          </w:rPr>
                          <w:t> </w:t>
                        </w:r>
                        <w:r>
                          <w:rPr>
                            <w:rFonts w:ascii="Arial" w:hAnsi="Arial"/>
                            <w:b/>
                            <w:color w:val="FFFFFF"/>
                            <w:w w:val="105"/>
                            <w:sz w:val="16"/>
                          </w:rPr>
                          <w:t>view</w:t>
                        </w:r>
                        <w:r>
                          <w:rPr>
                            <w:rFonts w:ascii="Arial" w:hAnsi="Arial"/>
                            <w:b/>
                            <w:color w:val="FFFFFF"/>
                            <w:spacing w:val="-1"/>
                            <w:w w:val="105"/>
                            <w:sz w:val="16"/>
                          </w:rPr>
                          <w:t> </w:t>
                        </w:r>
                        <w:r>
                          <w:rPr>
                            <w:rFonts w:ascii="Arial" w:hAnsi="Arial"/>
                            <w:b/>
                            <w:color w:val="FFFFFF"/>
                            <w:w w:val="105"/>
                            <w:sz w:val="16"/>
                          </w:rPr>
                          <w:t>of</w:t>
                        </w:r>
                        <w:r>
                          <w:rPr>
                            <w:rFonts w:ascii="Arial" w:hAnsi="Arial"/>
                            <w:b/>
                            <w:color w:val="FFFFFF"/>
                            <w:spacing w:val="-1"/>
                            <w:w w:val="105"/>
                            <w:sz w:val="16"/>
                          </w:rPr>
                          <w:t> </w:t>
                        </w:r>
                        <w:r>
                          <w:rPr>
                            <w:rFonts w:ascii="Arial" w:hAnsi="Arial"/>
                            <w:b/>
                            <w:color w:val="FFFFFF"/>
                            <w:w w:val="105"/>
                            <w:sz w:val="16"/>
                          </w:rPr>
                          <w:t>emission</w:t>
                        </w:r>
                        <w:r>
                          <w:rPr>
                            <w:rFonts w:ascii="Arial" w:hAnsi="Arial"/>
                            <w:b/>
                            <w:color w:val="FFFFFF"/>
                            <w:spacing w:val="-1"/>
                            <w:w w:val="105"/>
                            <w:sz w:val="16"/>
                          </w:rPr>
                          <w:t> </w:t>
                        </w:r>
                        <w:r>
                          <w:rPr>
                            <w:rFonts w:ascii="Arial" w:hAnsi="Arial"/>
                            <w:b/>
                            <w:color w:val="FFFFFF"/>
                            <w:w w:val="105"/>
                            <w:sz w:val="16"/>
                          </w:rPr>
                          <w:t>levels,</w:t>
                        </w:r>
                        <w:r>
                          <w:rPr>
                            <w:rFonts w:ascii="Arial" w:hAnsi="Arial"/>
                            <w:b/>
                            <w:color w:val="FFFFFF"/>
                            <w:spacing w:val="-1"/>
                            <w:w w:val="105"/>
                            <w:sz w:val="16"/>
                          </w:rPr>
                          <w:t> </w:t>
                        </w:r>
                        <w:r>
                          <w:rPr>
                            <w:rFonts w:ascii="Arial" w:hAnsi="Arial"/>
                            <w:b/>
                            <w:color w:val="FFFFFF"/>
                            <w:w w:val="105"/>
                            <w:sz w:val="16"/>
                          </w:rPr>
                          <w:t>choice</w:t>
                        </w:r>
                        <w:r>
                          <w:rPr>
                            <w:rFonts w:ascii="Arial" w:hAnsi="Arial"/>
                            <w:b/>
                            <w:color w:val="FFFFFF"/>
                            <w:spacing w:val="-1"/>
                            <w:w w:val="105"/>
                            <w:sz w:val="16"/>
                          </w:rPr>
                          <w:t> </w:t>
                        </w:r>
                        <w:r>
                          <w:rPr>
                            <w:rFonts w:ascii="Arial" w:hAnsi="Arial"/>
                            <w:b/>
                            <w:color w:val="FFFFFF"/>
                            <w:w w:val="105"/>
                            <w:sz w:val="16"/>
                          </w:rPr>
                          <w:t>of</w:t>
                        </w:r>
                        <w:r>
                          <w:rPr>
                            <w:rFonts w:ascii="Arial" w:hAnsi="Arial"/>
                            <w:b/>
                            <w:color w:val="FFFFFF"/>
                            <w:spacing w:val="-1"/>
                            <w:w w:val="105"/>
                            <w:sz w:val="16"/>
                          </w:rPr>
                          <w:t> </w:t>
                        </w:r>
                        <w:r>
                          <w:rPr>
                            <w:rFonts w:ascii="Arial" w:hAnsi="Arial"/>
                            <w:b/>
                            <w:color w:val="FFFFFF"/>
                            <w:w w:val="105"/>
                            <w:sz w:val="16"/>
                          </w:rPr>
                          <w:t>routes, vehicles, schedules, etc.) when shipping to…?</w:t>
                        </w:r>
                      </w:p>
                    </w:txbxContent>
                  </v:textbox>
                  <w10:wrap type="none"/>
                </v:shape>
                <v:shape style="position:absolute;left:1320;top:6427;width:1021;height:144" type="#_x0000_t202" id="docshape1706" filled="false" stroked="false">
                  <v:textbox inset="0,0,0,0">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2"/>
                            <w:sz w:val="12"/>
                          </w:rPr>
                          <w:t> </w:t>
                        </w:r>
                        <w:r>
                          <w:rPr>
                            <w:rFonts w:ascii="Arial"/>
                            <w:color w:val="231F20"/>
                            <w:w w:val="75"/>
                            <w:sz w:val="12"/>
                          </w:rPr>
                          <w:t>2023</w:t>
                        </w:r>
                        <w:r>
                          <w:rPr>
                            <w:rFonts w:ascii="Arial"/>
                            <w:color w:val="231F20"/>
                            <w:spacing w:val="2"/>
                            <w:sz w:val="12"/>
                          </w:rPr>
                          <w:t> </w:t>
                        </w:r>
                        <w:r>
                          <w:rPr>
                            <w:rFonts w:ascii="Arial"/>
                            <w:color w:val="231F20"/>
                            <w:w w:val="75"/>
                            <w:sz w:val="12"/>
                          </w:rPr>
                          <w:t>LPI</w:t>
                        </w:r>
                        <w:r>
                          <w:rPr>
                            <w:rFonts w:ascii="Arial"/>
                            <w:color w:val="231F20"/>
                            <w:spacing w:val="3"/>
                            <w:sz w:val="12"/>
                          </w:rPr>
                          <w:t> </w:t>
                        </w:r>
                        <w:r>
                          <w:rPr>
                            <w:rFonts w:ascii="Arial"/>
                            <w:color w:val="231F20"/>
                            <w:spacing w:val="-2"/>
                            <w:w w:val="75"/>
                            <w:sz w:val="12"/>
                          </w:rPr>
                          <w:t>team.</w:t>
                        </w:r>
                      </w:p>
                    </w:txbxContent>
                  </v:textbox>
                  <w10:wrap type="none"/>
                </v:shape>
                <w10:wrap type="topAndBottom"/>
              </v:group>
            </w:pict>
          </mc:Fallback>
        </mc:AlternateContent>
      </w:r>
    </w:p>
    <w:p>
      <w:pPr>
        <w:spacing w:after="0"/>
        <w:rPr>
          <w:rFonts w:ascii="Arial"/>
          <w:sz w:val="20"/>
        </w:rPr>
        <w:sectPr>
          <w:headerReference w:type="default" r:id="rId153"/>
          <w:pgSz w:w="12240" w:h="15840"/>
          <w:pgMar w:header="0" w:footer="0" w:top="440" w:bottom="740" w:left="0" w:right="540"/>
        </w:sectPr>
      </w:pPr>
    </w:p>
    <w:p>
      <w:pPr>
        <w:pStyle w:val="BodyText"/>
        <w:rPr>
          <w:rFonts w:ascii="Arial"/>
          <w:b/>
          <w:sz w:val="20"/>
        </w:rPr>
      </w:pPr>
    </w:p>
    <w:p>
      <w:pPr>
        <w:pStyle w:val="BodyText"/>
        <w:rPr>
          <w:rFonts w:ascii="Arial"/>
          <w:b/>
          <w:sz w:val="20"/>
        </w:rPr>
      </w:pPr>
    </w:p>
    <w:p>
      <w:pPr>
        <w:pStyle w:val="BodyText"/>
        <w:spacing w:before="140"/>
        <w:rPr>
          <w:rFonts w:ascii="Arial"/>
          <w:b/>
          <w:sz w:val="20"/>
        </w:rPr>
      </w:pPr>
    </w:p>
    <w:p>
      <w:pPr>
        <w:pStyle w:val="BodyText"/>
        <w:ind w:left="720"/>
        <w:rPr>
          <w:rFonts w:ascii="Arial"/>
          <w:sz w:val="20"/>
        </w:rPr>
      </w:pPr>
      <w:r>
        <w:rPr>
          <w:rFonts w:ascii="Arial"/>
          <w:sz w:val="20"/>
        </w:rPr>
        <mc:AlternateContent>
          <mc:Choice Requires="wps">
            <w:drawing>
              <wp:inline distT="0" distB="0" distL="0" distR="0">
                <wp:extent cx="6553200" cy="3910329"/>
                <wp:effectExtent l="0" t="9525" r="0" b="4445"/>
                <wp:docPr id="1987" name="Group 1987"/>
                <wp:cNvGraphicFramePr>
                  <a:graphicFrameLocks/>
                </wp:cNvGraphicFramePr>
                <a:graphic>
                  <a:graphicData uri="http://schemas.microsoft.com/office/word/2010/wordprocessingGroup">
                    <wpg:wgp>
                      <wpg:cNvPr id="1987" name="Group 1987"/>
                      <wpg:cNvGrpSpPr/>
                      <wpg:grpSpPr>
                        <a:xfrm>
                          <a:off x="0" y="0"/>
                          <a:ext cx="6553200" cy="3910329"/>
                          <a:chExt cx="6553200" cy="3910329"/>
                        </a:xfrm>
                      </wpg:grpSpPr>
                      <wps:wsp>
                        <wps:cNvPr id="1988" name="Graphic 1988"/>
                        <wps:cNvSpPr/>
                        <wps:spPr>
                          <a:xfrm>
                            <a:off x="201" y="258093"/>
                            <a:ext cx="6553200" cy="3651885"/>
                          </a:xfrm>
                          <a:custGeom>
                            <a:avLst/>
                            <a:gdLst/>
                            <a:ahLst/>
                            <a:cxnLst/>
                            <a:rect l="l" t="t" r="r" b="b"/>
                            <a:pathLst>
                              <a:path w="6553200" h="3651885">
                                <a:moveTo>
                                  <a:pt x="6552996" y="0"/>
                                </a:moveTo>
                                <a:lnTo>
                                  <a:pt x="0" y="0"/>
                                </a:lnTo>
                                <a:lnTo>
                                  <a:pt x="0" y="3576954"/>
                                </a:lnTo>
                                <a:lnTo>
                                  <a:pt x="6086" y="3605709"/>
                                </a:lnTo>
                                <a:lnTo>
                                  <a:pt x="6159" y="3606053"/>
                                </a:lnTo>
                                <a:lnTo>
                                  <a:pt x="22693" y="3629813"/>
                                </a:lnTo>
                                <a:lnTo>
                                  <a:pt x="46682" y="3645833"/>
                                </a:lnTo>
                                <a:lnTo>
                                  <a:pt x="75209" y="3651707"/>
                                </a:lnTo>
                                <a:lnTo>
                                  <a:pt x="6474117" y="3651707"/>
                                </a:lnTo>
                                <a:lnTo>
                                  <a:pt x="6503217" y="3646452"/>
                                </a:lnTo>
                                <a:lnTo>
                                  <a:pt x="6505063" y="3645357"/>
                                </a:lnTo>
                                <a:lnTo>
                                  <a:pt x="75209" y="3645357"/>
                                </a:lnTo>
                                <a:lnTo>
                                  <a:pt x="48703" y="3639884"/>
                                </a:lnTo>
                                <a:lnTo>
                                  <a:pt x="26782" y="3625062"/>
                                </a:lnTo>
                                <a:lnTo>
                                  <a:pt x="11860" y="3603287"/>
                                </a:lnTo>
                                <a:lnTo>
                                  <a:pt x="6350" y="3576954"/>
                                </a:lnTo>
                                <a:lnTo>
                                  <a:pt x="6350" y="6350"/>
                                </a:lnTo>
                                <a:lnTo>
                                  <a:pt x="6552996" y="6350"/>
                                </a:lnTo>
                                <a:lnTo>
                                  <a:pt x="6552996" y="0"/>
                                </a:lnTo>
                                <a:close/>
                              </a:path>
                              <a:path w="6553200" h="3651885">
                                <a:moveTo>
                                  <a:pt x="6552996" y="6350"/>
                                </a:moveTo>
                                <a:lnTo>
                                  <a:pt x="6546646" y="6350"/>
                                </a:lnTo>
                                <a:lnTo>
                                  <a:pt x="6546646" y="3576954"/>
                                </a:lnTo>
                                <a:lnTo>
                                  <a:pt x="6540327" y="3605709"/>
                                </a:lnTo>
                                <a:lnTo>
                                  <a:pt x="6523750" y="3627215"/>
                                </a:lnTo>
                                <a:lnTo>
                                  <a:pt x="6500489" y="3640691"/>
                                </a:lnTo>
                                <a:lnTo>
                                  <a:pt x="6474117" y="3645357"/>
                                </a:lnTo>
                                <a:lnTo>
                                  <a:pt x="6505063" y="3645357"/>
                                </a:lnTo>
                                <a:lnTo>
                                  <a:pt x="6528468" y="3631466"/>
                                </a:lnTo>
                                <a:lnTo>
                                  <a:pt x="6546263" y="3607912"/>
                                </a:lnTo>
                                <a:lnTo>
                                  <a:pt x="6552996" y="3576954"/>
                                </a:lnTo>
                                <a:lnTo>
                                  <a:pt x="6552996" y="6350"/>
                                </a:lnTo>
                                <a:close/>
                              </a:path>
                            </a:pathLst>
                          </a:custGeom>
                          <a:solidFill>
                            <a:srgbClr val="90BAE8"/>
                          </a:solidFill>
                        </wps:spPr>
                        <wps:bodyPr wrap="square" lIns="0" tIns="0" rIns="0" bIns="0" rtlCol="0">
                          <a:prstTxWarp prst="textNoShape">
                            <a:avLst/>
                          </a:prstTxWarp>
                          <a:noAutofit/>
                        </wps:bodyPr>
                      </wps:wsp>
                      <wps:wsp>
                        <wps:cNvPr id="1989" name="Graphic 1989"/>
                        <wps:cNvSpPr/>
                        <wps:spPr>
                          <a:xfrm>
                            <a:off x="0" y="0"/>
                            <a:ext cx="563245" cy="231775"/>
                          </a:xfrm>
                          <a:custGeom>
                            <a:avLst/>
                            <a:gdLst/>
                            <a:ahLst/>
                            <a:cxnLst/>
                            <a:rect l="l" t="t" r="r" b="b"/>
                            <a:pathLst>
                              <a:path w="563245" h="231775">
                                <a:moveTo>
                                  <a:pt x="562978" y="0"/>
                                </a:moveTo>
                                <a:lnTo>
                                  <a:pt x="76200" y="0"/>
                                </a:lnTo>
                                <a:lnTo>
                                  <a:pt x="47213" y="3058"/>
                                </a:lnTo>
                                <a:lnTo>
                                  <a:pt x="22917" y="14506"/>
                                </a:lnTo>
                                <a:lnTo>
                                  <a:pt x="6212" y="37751"/>
                                </a:lnTo>
                                <a:lnTo>
                                  <a:pt x="0" y="76200"/>
                                </a:lnTo>
                                <a:lnTo>
                                  <a:pt x="0" y="231775"/>
                                </a:lnTo>
                                <a:lnTo>
                                  <a:pt x="562978" y="231775"/>
                                </a:lnTo>
                                <a:lnTo>
                                  <a:pt x="562978" y="0"/>
                                </a:lnTo>
                                <a:close/>
                              </a:path>
                            </a:pathLst>
                          </a:custGeom>
                          <a:solidFill>
                            <a:srgbClr val="008FDD"/>
                          </a:solidFill>
                        </wps:spPr>
                        <wps:bodyPr wrap="square" lIns="0" tIns="0" rIns="0" bIns="0" rtlCol="0">
                          <a:prstTxWarp prst="textNoShape">
                            <a:avLst/>
                          </a:prstTxWarp>
                          <a:noAutofit/>
                        </wps:bodyPr>
                      </wps:wsp>
                      <wps:wsp>
                        <wps:cNvPr id="1990" name="Graphic 1990"/>
                        <wps:cNvSpPr/>
                        <wps:spPr>
                          <a:xfrm>
                            <a:off x="562983" y="0"/>
                            <a:ext cx="5989955" cy="231775"/>
                          </a:xfrm>
                          <a:custGeom>
                            <a:avLst/>
                            <a:gdLst/>
                            <a:ahLst/>
                            <a:cxnLst/>
                            <a:rect l="l" t="t" r="r" b="b"/>
                            <a:pathLst>
                              <a:path w="5989955" h="231775">
                                <a:moveTo>
                                  <a:pt x="5913323" y="0"/>
                                </a:moveTo>
                                <a:lnTo>
                                  <a:pt x="0" y="0"/>
                                </a:lnTo>
                                <a:lnTo>
                                  <a:pt x="0" y="231775"/>
                                </a:lnTo>
                                <a:lnTo>
                                  <a:pt x="5989523" y="231775"/>
                                </a:lnTo>
                                <a:lnTo>
                                  <a:pt x="5989523" y="76200"/>
                                </a:lnTo>
                                <a:lnTo>
                                  <a:pt x="5984017" y="50979"/>
                                </a:lnTo>
                                <a:lnTo>
                                  <a:pt x="5968492" y="26265"/>
                                </a:lnTo>
                                <a:lnTo>
                                  <a:pt x="5944431" y="7468"/>
                                </a:lnTo>
                                <a:lnTo>
                                  <a:pt x="5913323" y="0"/>
                                </a:lnTo>
                                <a:close/>
                              </a:path>
                            </a:pathLst>
                          </a:custGeom>
                          <a:solidFill>
                            <a:srgbClr val="808285"/>
                          </a:solidFill>
                        </wps:spPr>
                        <wps:bodyPr wrap="square" lIns="0" tIns="0" rIns="0" bIns="0" rtlCol="0">
                          <a:prstTxWarp prst="textNoShape">
                            <a:avLst/>
                          </a:prstTxWarp>
                          <a:noAutofit/>
                        </wps:bodyPr>
                      </wps:wsp>
                      <wps:wsp>
                        <wps:cNvPr id="1991" name="Graphic 1991"/>
                        <wps:cNvSpPr/>
                        <wps:spPr>
                          <a:xfrm>
                            <a:off x="562979"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pic:pic>
                        <pic:nvPicPr>
                          <pic:cNvPr id="1992" name="Image 1992"/>
                          <pic:cNvPicPr/>
                        </pic:nvPicPr>
                        <pic:blipFill>
                          <a:blip r:embed="rId166" cstate="print"/>
                          <a:stretch>
                            <a:fillRect/>
                          </a:stretch>
                        </pic:blipFill>
                        <pic:spPr>
                          <a:xfrm>
                            <a:off x="273968" y="3442043"/>
                            <a:ext cx="284666" cy="121638"/>
                          </a:xfrm>
                          <a:prstGeom prst="rect">
                            <a:avLst/>
                          </a:prstGeom>
                        </pic:spPr>
                      </pic:pic>
                      <pic:pic>
                        <pic:nvPicPr>
                          <pic:cNvPr id="1993" name="Image 1993"/>
                          <pic:cNvPicPr/>
                        </pic:nvPicPr>
                        <pic:blipFill>
                          <a:blip r:embed="rId167" cstate="print"/>
                          <a:stretch>
                            <a:fillRect/>
                          </a:stretch>
                        </pic:blipFill>
                        <pic:spPr>
                          <a:xfrm>
                            <a:off x="2447499" y="3237297"/>
                            <a:ext cx="508692" cy="56375"/>
                          </a:xfrm>
                          <a:prstGeom prst="rect">
                            <a:avLst/>
                          </a:prstGeom>
                        </pic:spPr>
                      </pic:pic>
                      <wps:wsp>
                        <wps:cNvPr id="1994" name="Graphic 1994"/>
                        <wps:cNvSpPr/>
                        <wps:spPr>
                          <a:xfrm>
                            <a:off x="2966262" y="3237293"/>
                            <a:ext cx="1140460" cy="56515"/>
                          </a:xfrm>
                          <a:custGeom>
                            <a:avLst/>
                            <a:gdLst/>
                            <a:ahLst/>
                            <a:cxnLst/>
                            <a:rect l="l" t="t" r="r" b="b"/>
                            <a:pathLst>
                              <a:path w="1140460" h="56515">
                                <a:moveTo>
                                  <a:pt x="11760" y="28117"/>
                                </a:moveTo>
                                <a:lnTo>
                                  <a:pt x="11074" y="18656"/>
                                </a:lnTo>
                                <a:lnTo>
                                  <a:pt x="9309" y="10845"/>
                                </a:lnTo>
                                <a:lnTo>
                                  <a:pt x="6858" y="4635"/>
                                </a:lnTo>
                                <a:lnTo>
                                  <a:pt x="4140" y="0"/>
                                </a:lnTo>
                                <a:lnTo>
                                  <a:pt x="0" y="0"/>
                                </a:lnTo>
                                <a:lnTo>
                                  <a:pt x="2781" y="5283"/>
                                </a:lnTo>
                                <a:lnTo>
                                  <a:pt x="5067" y="11722"/>
                                </a:lnTo>
                                <a:lnTo>
                                  <a:pt x="6616" y="19342"/>
                                </a:lnTo>
                                <a:lnTo>
                                  <a:pt x="7188" y="28117"/>
                                </a:lnTo>
                                <a:lnTo>
                                  <a:pt x="6616" y="36931"/>
                                </a:lnTo>
                                <a:lnTo>
                                  <a:pt x="5067" y="44589"/>
                                </a:lnTo>
                                <a:lnTo>
                                  <a:pt x="2781" y="51092"/>
                                </a:lnTo>
                                <a:lnTo>
                                  <a:pt x="0" y="56375"/>
                                </a:lnTo>
                                <a:lnTo>
                                  <a:pt x="4140" y="56375"/>
                                </a:lnTo>
                                <a:lnTo>
                                  <a:pt x="6832" y="51650"/>
                                </a:lnTo>
                                <a:lnTo>
                                  <a:pt x="9245" y="45402"/>
                                </a:lnTo>
                                <a:lnTo>
                                  <a:pt x="11010" y="37592"/>
                                </a:lnTo>
                                <a:lnTo>
                                  <a:pt x="11760" y="28117"/>
                                </a:lnTo>
                                <a:close/>
                              </a:path>
                              <a:path w="1140460" h="56515">
                                <a:moveTo>
                                  <a:pt x="531926" y="28117"/>
                                </a:moveTo>
                                <a:lnTo>
                                  <a:pt x="531241" y="18656"/>
                                </a:lnTo>
                                <a:lnTo>
                                  <a:pt x="529475" y="10845"/>
                                </a:lnTo>
                                <a:lnTo>
                                  <a:pt x="527024" y="4635"/>
                                </a:lnTo>
                                <a:lnTo>
                                  <a:pt x="524306" y="0"/>
                                </a:lnTo>
                                <a:lnTo>
                                  <a:pt x="520166" y="0"/>
                                </a:lnTo>
                                <a:lnTo>
                                  <a:pt x="522960" y="5283"/>
                                </a:lnTo>
                                <a:lnTo>
                                  <a:pt x="525246" y="11722"/>
                                </a:lnTo>
                                <a:lnTo>
                                  <a:pt x="526783" y="19342"/>
                                </a:lnTo>
                                <a:lnTo>
                                  <a:pt x="527354" y="28117"/>
                                </a:lnTo>
                                <a:lnTo>
                                  <a:pt x="526783" y="36931"/>
                                </a:lnTo>
                                <a:lnTo>
                                  <a:pt x="525246" y="44589"/>
                                </a:lnTo>
                                <a:lnTo>
                                  <a:pt x="522960" y="51092"/>
                                </a:lnTo>
                                <a:lnTo>
                                  <a:pt x="520166" y="56375"/>
                                </a:lnTo>
                                <a:lnTo>
                                  <a:pt x="524306" y="56375"/>
                                </a:lnTo>
                                <a:lnTo>
                                  <a:pt x="526999" y="51650"/>
                                </a:lnTo>
                                <a:lnTo>
                                  <a:pt x="529424" y="45402"/>
                                </a:lnTo>
                                <a:lnTo>
                                  <a:pt x="531190" y="37592"/>
                                </a:lnTo>
                                <a:lnTo>
                                  <a:pt x="531926" y="28117"/>
                                </a:lnTo>
                                <a:close/>
                              </a:path>
                              <a:path w="1140460" h="56515">
                                <a:moveTo>
                                  <a:pt x="1140142" y="28117"/>
                                </a:moveTo>
                                <a:lnTo>
                                  <a:pt x="1139456" y="18656"/>
                                </a:lnTo>
                                <a:lnTo>
                                  <a:pt x="1137691" y="10845"/>
                                </a:lnTo>
                                <a:lnTo>
                                  <a:pt x="1135240" y="4635"/>
                                </a:lnTo>
                                <a:lnTo>
                                  <a:pt x="1132535" y="0"/>
                                </a:lnTo>
                                <a:lnTo>
                                  <a:pt x="1128382" y="0"/>
                                </a:lnTo>
                                <a:lnTo>
                                  <a:pt x="1131176" y="5283"/>
                                </a:lnTo>
                                <a:lnTo>
                                  <a:pt x="1133462" y="11722"/>
                                </a:lnTo>
                                <a:lnTo>
                                  <a:pt x="1134999" y="19342"/>
                                </a:lnTo>
                                <a:lnTo>
                                  <a:pt x="1135570" y="28117"/>
                                </a:lnTo>
                                <a:lnTo>
                                  <a:pt x="1134999" y="36931"/>
                                </a:lnTo>
                                <a:lnTo>
                                  <a:pt x="1133462" y="44589"/>
                                </a:lnTo>
                                <a:lnTo>
                                  <a:pt x="1131176" y="51092"/>
                                </a:lnTo>
                                <a:lnTo>
                                  <a:pt x="1128382" y="56375"/>
                                </a:lnTo>
                                <a:lnTo>
                                  <a:pt x="1132535" y="56375"/>
                                </a:lnTo>
                                <a:lnTo>
                                  <a:pt x="1135227" y="51650"/>
                                </a:lnTo>
                                <a:lnTo>
                                  <a:pt x="1137640" y="45402"/>
                                </a:lnTo>
                                <a:lnTo>
                                  <a:pt x="1139405" y="37592"/>
                                </a:lnTo>
                                <a:lnTo>
                                  <a:pt x="1140142" y="28117"/>
                                </a:lnTo>
                                <a:close/>
                              </a:path>
                            </a:pathLst>
                          </a:custGeom>
                          <a:solidFill>
                            <a:srgbClr val="231F20"/>
                          </a:solidFill>
                        </wps:spPr>
                        <wps:bodyPr wrap="square" lIns="0" tIns="0" rIns="0" bIns="0" rtlCol="0">
                          <a:prstTxWarp prst="textNoShape">
                            <a:avLst/>
                          </a:prstTxWarp>
                          <a:noAutofit/>
                        </wps:bodyPr>
                      </wps:wsp>
                      <pic:pic>
                        <pic:nvPicPr>
                          <pic:cNvPr id="1995" name="Image 1995"/>
                          <pic:cNvPicPr/>
                        </pic:nvPicPr>
                        <pic:blipFill>
                          <a:blip r:embed="rId168" cstate="print"/>
                          <a:stretch>
                            <a:fillRect/>
                          </a:stretch>
                        </pic:blipFill>
                        <pic:spPr>
                          <a:xfrm>
                            <a:off x="4195658" y="3237293"/>
                            <a:ext cx="439223" cy="61374"/>
                          </a:xfrm>
                          <a:prstGeom prst="rect">
                            <a:avLst/>
                          </a:prstGeom>
                        </pic:spPr>
                      </pic:pic>
                      <pic:pic>
                        <pic:nvPicPr>
                          <pic:cNvPr id="1996" name="Image 1996"/>
                          <pic:cNvPicPr/>
                        </pic:nvPicPr>
                        <pic:blipFill>
                          <a:blip r:embed="rId169" cstate="print"/>
                          <a:stretch>
                            <a:fillRect/>
                          </a:stretch>
                        </pic:blipFill>
                        <pic:spPr>
                          <a:xfrm>
                            <a:off x="3061520" y="3237297"/>
                            <a:ext cx="1027476" cy="210945"/>
                          </a:xfrm>
                          <a:prstGeom prst="rect">
                            <a:avLst/>
                          </a:prstGeom>
                        </pic:spPr>
                      </pic:pic>
                      <wps:wsp>
                        <wps:cNvPr id="1997" name="Graphic 1997"/>
                        <wps:cNvSpPr/>
                        <wps:spPr>
                          <a:xfrm>
                            <a:off x="4757356" y="3237293"/>
                            <a:ext cx="281305" cy="61594"/>
                          </a:xfrm>
                          <a:custGeom>
                            <a:avLst/>
                            <a:gdLst/>
                            <a:ahLst/>
                            <a:cxnLst/>
                            <a:rect l="l" t="t" r="r" b="b"/>
                            <a:pathLst>
                              <a:path w="281305" h="61594">
                                <a:moveTo>
                                  <a:pt x="23863" y="1257"/>
                                </a:moveTo>
                                <a:lnTo>
                                  <a:pt x="19088" y="1257"/>
                                </a:lnTo>
                                <a:lnTo>
                                  <a:pt x="19088" y="26111"/>
                                </a:lnTo>
                                <a:lnTo>
                                  <a:pt x="19291" y="32156"/>
                                </a:lnTo>
                                <a:lnTo>
                                  <a:pt x="19710" y="39509"/>
                                </a:lnTo>
                                <a:lnTo>
                                  <a:pt x="19570" y="39509"/>
                                </a:lnTo>
                                <a:lnTo>
                                  <a:pt x="17983" y="34429"/>
                                </a:lnTo>
                                <a:lnTo>
                                  <a:pt x="5054" y="1257"/>
                                </a:lnTo>
                                <a:lnTo>
                                  <a:pt x="0" y="1257"/>
                                </a:lnTo>
                                <a:lnTo>
                                  <a:pt x="0" y="48044"/>
                                </a:lnTo>
                                <a:lnTo>
                                  <a:pt x="4838" y="48044"/>
                                </a:lnTo>
                                <a:lnTo>
                                  <a:pt x="4838" y="21869"/>
                                </a:lnTo>
                                <a:lnTo>
                                  <a:pt x="4711" y="15900"/>
                                </a:lnTo>
                                <a:lnTo>
                                  <a:pt x="4292" y="9652"/>
                                </a:lnTo>
                                <a:lnTo>
                                  <a:pt x="4419" y="9652"/>
                                </a:lnTo>
                                <a:lnTo>
                                  <a:pt x="6083" y="15481"/>
                                </a:lnTo>
                                <a:lnTo>
                                  <a:pt x="8089" y="20840"/>
                                </a:lnTo>
                                <a:lnTo>
                                  <a:pt x="18808" y="48044"/>
                                </a:lnTo>
                                <a:lnTo>
                                  <a:pt x="23863" y="48044"/>
                                </a:lnTo>
                                <a:lnTo>
                                  <a:pt x="23863" y="1257"/>
                                </a:lnTo>
                                <a:close/>
                              </a:path>
                              <a:path w="281305" h="61594">
                                <a:moveTo>
                                  <a:pt x="51981" y="19507"/>
                                </a:moveTo>
                                <a:lnTo>
                                  <a:pt x="50850" y="18199"/>
                                </a:lnTo>
                                <a:lnTo>
                                  <a:pt x="47142" y="13881"/>
                                </a:lnTo>
                                <a:lnTo>
                                  <a:pt x="46596" y="13881"/>
                                </a:lnTo>
                                <a:lnTo>
                                  <a:pt x="46596" y="26111"/>
                                </a:lnTo>
                                <a:lnTo>
                                  <a:pt x="46558" y="36791"/>
                                </a:lnTo>
                                <a:lnTo>
                                  <a:pt x="45707" y="44234"/>
                                </a:lnTo>
                                <a:lnTo>
                                  <a:pt x="45694" y="44361"/>
                                </a:lnTo>
                                <a:lnTo>
                                  <a:pt x="36283" y="44361"/>
                                </a:lnTo>
                                <a:lnTo>
                                  <a:pt x="35318" y="36791"/>
                                </a:lnTo>
                                <a:lnTo>
                                  <a:pt x="35318" y="26111"/>
                                </a:lnTo>
                                <a:lnTo>
                                  <a:pt x="36068" y="19507"/>
                                </a:lnTo>
                                <a:lnTo>
                                  <a:pt x="36131" y="19024"/>
                                </a:lnTo>
                                <a:lnTo>
                                  <a:pt x="36220" y="18199"/>
                                </a:lnTo>
                                <a:lnTo>
                                  <a:pt x="45694" y="18199"/>
                                </a:lnTo>
                                <a:lnTo>
                                  <a:pt x="46596" y="26111"/>
                                </a:lnTo>
                                <a:lnTo>
                                  <a:pt x="46596" y="13881"/>
                                </a:lnTo>
                                <a:lnTo>
                                  <a:pt x="35458" y="13881"/>
                                </a:lnTo>
                                <a:lnTo>
                                  <a:pt x="29997" y="19024"/>
                                </a:lnTo>
                                <a:lnTo>
                                  <a:pt x="29997" y="43116"/>
                                </a:lnTo>
                                <a:lnTo>
                                  <a:pt x="34836" y="48602"/>
                                </a:lnTo>
                                <a:lnTo>
                                  <a:pt x="45961" y="48602"/>
                                </a:lnTo>
                                <a:lnTo>
                                  <a:pt x="51803" y="44361"/>
                                </a:lnTo>
                                <a:lnTo>
                                  <a:pt x="51981" y="44234"/>
                                </a:lnTo>
                                <a:lnTo>
                                  <a:pt x="51981" y="19507"/>
                                </a:lnTo>
                                <a:close/>
                              </a:path>
                              <a:path w="281305" h="61594">
                                <a:moveTo>
                                  <a:pt x="74104" y="14452"/>
                                </a:moveTo>
                                <a:lnTo>
                                  <a:pt x="68770" y="14452"/>
                                </a:lnTo>
                                <a:lnTo>
                                  <a:pt x="68770" y="48044"/>
                                </a:lnTo>
                                <a:lnTo>
                                  <a:pt x="74104" y="48044"/>
                                </a:lnTo>
                                <a:lnTo>
                                  <a:pt x="74104" y="14452"/>
                                </a:lnTo>
                                <a:close/>
                              </a:path>
                              <a:path w="281305" h="61594">
                                <a:moveTo>
                                  <a:pt x="74587" y="7848"/>
                                </a:moveTo>
                                <a:lnTo>
                                  <a:pt x="74523" y="3683"/>
                                </a:lnTo>
                                <a:lnTo>
                                  <a:pt x="73266" y="2298"/>
                                </a:lnTo>
                                <a:lnTo>
                                  <a:pt x="69608" y="2298"/>
                                </a:lnTo>
                                <a:lnTo>
                                  <a:pt x="68224" y="3683"/>
                                </a:lnTo>
                                <a:lnTo>
                                  <a:pt x="68224" y="7848"/>
                                </a:lnTo>
                                <a:lnTo>
                                  <a:pt x="69532" y="9245"/>
                                </a:lnTo>
                                <a:lnTo>
                                  <a:pt x="73266" y="9245"/>
                                </a:lnTo>
                                <a:lnTo>
                                  <a:pt x="74587" y="7848"/>
                                </a:lnTo>
                                <a:close/>
                              </a:path>
                              <a:path w="281305" h="61594">
                                <a:moveTo>
                                  <a:pt x="116890" y="17233"/>
                                </a:moveTo>
                                <a:lnTo>
                                  <a:pt x="113372" y="13893"/>
                                </a:lnTo>
                                <a:lnTo>
                                  <a:pt x="107137" y="13893"/>
                                </a:lnTo>
                                <a:lnTo>
                                  <a:pt x="105549" y="14312"/>
                                </a:lnTo>
                                <a:lnTo>
                                  <a:pt x="102997" y="16052"/>
                                </a:lnTo>
                                <a:lnTo>
                                  <a:pt x="101815" y="17373"/>
                                </a:lnTo>
                                <a:lnTo>
                                  <a:pt x="100926" y="19037"/>
                                </a:lnTo>
                                <a:lnTo>
                                  <a:pt x="100774" y="19037"/>
                                </a:lnTo>
                                <a:lnTo>
                                  <a:pt x="99529" y="15417"/>
                                </a:lnTo>
                                <a:lnTo>
                                  <a:pt x="96913" y="13893"/>
                                </a:lnTo>
                                <a:lnTo>
                                  <a:pt x="90271" y="13893"/>
                                </a:lnTo>
                                <a:lnTo>
                                  <a:pt x="87706" y="15900"/>
                                </a:lnTo>
                                <a:lnTo>
                                  <a:pt x="86258" y="18618"/>
                                </a:lnTo>
                                <a:lnTo>
                                  <a:pt x="86118" y="18618"/>
                                </a:lnTo>
                                <a:lnTo>
                                  <a:pt x="85839" y="14452"/>
                                </a:lnTo>
                                <a:lnTo>
                                  <a:pt x="81216" y="14452"/>
                                </a:lnTo>
                                <a:lnTo>
                                  <a:pt x="81280" y="17170"/>
                                </a:lnTo>
                                <a:lnTo>
                                  <a:pt x="81483" y="19177"/>
                                </a:lnTo>
                                <a:lnTo>
                                  <a:pt x="81483" y="23126"/>
                                </a:lnTo>
                                <a:lnTo>
                                  <a:pt x="81483" y="48056"/>
                                </a:lnTo>
                                <a:lnTo>
                                  <a:pt x="86741" y="48056"/>
                                </a:lnTo>
                                <a:lnTo>
                                  <a:pt x="86741" y="25704"/>
                                </a:lnTo>
                                <a:lnTo>
                                  <a:pt x="86817" y="24726"/>
                                </a:lnTo>
                                <a:lnTo>
                                  <a:pt x="87566" y="20281"/>
                                </a:lnTo>
                                <a:lnTo>
                                  <a:pt x="89789" y="18415"/>
                                </a:lnTo>
                                <a:lnTo>
                                  <a:pt x="95872" y="18415"/>
                                </a:lnTo>
                                <a:lnTo>
                                  <a:pt x="96558" y="22288"/>
                                </a:lnTo>
                                <a:lnTo>
                                  <a:pt x="96558" y="48056"/>
                                </a:lnTo>
                                <a:lnTo>
                                  <a:pt x="101815" y="48056"/>
                                </a:lnTo>
                                <a:lnTo>
                                  <a:pt x="101815" y="25349"/>
                                </a:lnTo>
                                <a:lnTo>
                                  <a:pt x="102019" y="23406"/>
                                </a:lnTo>
                                <a:lnTo>
                                  <a:pt x="102781" y="20281"/>
                                </a:lnTo>
                                <a:lnTo>
                                  <a:pt x="104724" y="18415"/>
                                </a:lnTo>
                                <a:lnTo>
                                  <a:pt x="111023" y="18415"/>
                                </a:lnTo>
                                <a:lnTo>
                                  <a:pt x="111633" y="22644"/>
                                </a:lnTo>
                                <a:lnTo>
                                  <a:pt x="111633" y="48056"/>
                                </a:lnTo>
                                <a:lnTo>
                                  <a:pt x="116890" y="48056"/>
                                </a:lnTo>
                                <a:lnTo>
                                  <a:pt x="116890" y="17233"/>
                                </a:lnTo>
                                <a:close/>
                              </a:path>
                              <a:path w="281305" h="61594">
                                <a:moveTo>
                                  <a:pt x="145910" y="20142"/>
                                </a:moveTo>
                                <a:lnTo>
                                  <a:pt x="144881" y="18478"/>
                                </a:lnTo>
                                <a:lnTo>
                                  <a:pt x="142036" y="13893"/>
                                </a:lnTo>
                                <a:lnTo>
                                  <a:pt x="140512" y="13893"/>
                                </a:lnTo>
                                <a:lnTo>
                                  <a:pt x="140512" y="24307"/>
                                </a:lnTo>
                                <a:lnTo>
                                  <a:pt x="140423" y="38468"/>
                                </a:lnTo>
                                <a:lnTo>
                                  <a:pt x="139344" y="43256"/>
                                </a:lnTo>
                                <a:lnTo>
                                  <a:pt x="139268" y="43599"/>
                                </a:lnTo>
                                <a:lnTo>
                                  <a:pt x="139141" y="44157"/>
                                </a:lnTo>
                                <a:lnTo>
                                  <a:pt x="133261" y="44157"/>
                                </a:lnTo>
                                <a:lnTo>
                                  <a:pt x="130835" y="43256"/>
                                </a:lnTo>
                                <a:lnTo>
                                  <a:pt x="129806" y="38468"/>
                                </a:lnTo>
                                <a:lnTo>
                                  <a:pt x="129768" y="24307"/>
                                </a:lnTo>
                                <a:lnTo>
                                  <a:pt x="130086" y="21526"/>
                                </a:lnTo>
                                <a:lnTo>
                                  <a:pt x="132029" y="18745"/>
                                </a:lnTo>
                                <a:lnTo>
                                  <a:pt x="132219" y="18478"/>
                                </a:lnTo>
                                <a:lnTo>
                                  <a:pt x="138861" y="18478"/>
                                </a:lnTo>
                                <a:lnTo>
                                  <a:pt x="140512" y="24307"/>
                                </a:lnTo>
                                <a:lnTo>
                                  <a:pt x="140512" y="13893"/>
                                </a:lnTo>
                                <a:lnTo>
                                  <a:pt x="133604" y="13893"/>
                                </a:lnTo>
                                <a:lnTo>
                                  <a:pt x="130975" y="15151"/>
                                </a:lnTo>
                                <a:lnTo>
                                  <a:pt x="129044" y="18745"/>
                                </a:lnTo>
                                <a:lnTo>
                                  <a:pt x="128917" y="16814"/>
                                </a:lnTo>
                                <a:lnTo>
                                  <a:pt x="128816" y="15151"/>
                                </a:lnTo>
                                <a:lnTo>
                                  <a:pt x="128765" y="14452"/>
                                </a:lnTo>
                                <a:lnTo>
                                  <a:pt x="123990" y="14452"/>
                                </a:lnTo>
                                <a:lnTo>
                                  <a:pt x="124066" y="16814"/>
                                </a:lnTo>
                                <a:lnTo>
                                  <a:pt x="124180" y="18478"/>
                                </a:lnTo>
                                <a:lnTo>
                                  <a:pt x="124269" y="61379"/>
                                </a:lnTo>
                                <a:lnTo>
                                  <a:pt x="129590" y="61379"/>
                                </a:lnTo>
                                <a:lnTo>
                                  <a:pt x="129590" y="44716"/>
                                </a:lnTo>
                                <a:lnTo>
                                  <a:pt x="129730" y="44716"/>
                                </a:lnTo>
                                <a:lnTo>
                                  <a:pt x="130632" y="46583"/>
                                </a:lnTo>
                                <a:lnTo>
                                  <a:pt x="132422" y="48602"/>
                                </a:lnTo>
                                <a:lnTo>
                                  <a:pt x="140792" y="48602"/>
                                </a:lnTo>
                                <a:lnTo>
                                  <a:pt x="144767" y="44716"/>
                                </a:lnTo>
                                <a:lnTo>
                                  <a:pt x="145338" y="44157"/>
                                </a:lnTo>
                                <a:lnTo>
                                  <a:pt x="145910" y="43599"/>
                                </a:lnTo>
                                <a:lnTo>
                                  <a:pt x="145910" y="20142"/>
                                </a:lnTo>
                                <a:close/>
                              </a:path>
                              <a:path w="281305" h="61594">
                                <a:moveTo>
                                  <a:pt x="169964" y="48056"/>
                                </a:moveTo>
                                <a:lnTo>
                                  <a:pt x="169621" y="45897"/>
                                </a:lnTo>
                                <a:lnTo>
                                  <a:pt x="169621" y="42837"/>
                                </a:lnTo>
                                <a:lnTo>
                                  <a:pt x="163449" y="42837"/>
                                </a:lnTo>
                                <a:lnTo>
                                  <a:pt x="161505" y="44513"/>
                                </a:lnTo>
                                <a:lnTo>
                                  <a:pt x="157480" y="44513"/>
                                </a:lnTo>
                                <a:lnTo>
                                  <a:pt x="155168" y="42837"/>
                                </a:lnTo>
                                <a:lnTo>
                                  <a:pt x="155168" y="31178"/>
                                </a:lnTo>
                                <a:lnTo>
                                  <a:pt x="161594" y="30695"/>
                                </a:lnTo>
                                <a:lnTo>
                                  <a:pt x="164363" y="30695"/>
                                </a:lnTo>
                                <a:lnTo>
                                  <a:pt x="164363" y="38747"/>
                                </a:lnTo>
                                <a:lnTo>
                                  <a:pt x="164223" y="39382"/>
                                </a:lnTo>
                                <a:lnTo>
                                  <a:pt x="163601" y="42710"/>
                                </a:lnTo>
                                <a:lnTo>
                                  <a:pt x="169621" y="42710"/>
                                </a:lnTo>
                                <a:lnTo>
                                  <a:pt x="169621" y="30695"/>
                                </a:lnTo>
                                <a:lnTo>
                                  <a:pt x="169621" y="18338"/>
                                </a:lnTo>
                                <a:lnTo>
                                  <a:pt x="169481" y="18135"/>
                                </a:lnTo>
                                <a:lnTo>
                                  <a:pt x="166712" y="13893"/>
                                </a:lnTo>
                                <a:lnTo>
                                  <a:pt x="156692" y="13893"/>
                                </a:lnTo>
                                <a:lnTo>
                                  <a:pt x="153568" y="15074"/>
                                </a:lnTo>
                                <a:lnTo>
                                  <a:pt x="152196" y="16116"/>
                                </a:lnTo>
                                <a:lnTo>
                                  <a:pt x="153365" y="19862"/>
                                </a:lnTo>
                                <a:lnTo>
                                  <a:pt x="154965" y="18834"/>
                                </a:lnTo>
                                <a:lnTo>
                                  <a:pt x="156819" y="18135"/>
                                </a:lnTo>
                                <a:lnTo>
                                  <a:pt x="163118" y="18135"/>
                                </a:lnTo>
                                <a:lnTo>
                                  <a:pt x="164223" y="21259"/>
                                </a:lnTo>
                                <a:lnTo>
                                  <a:pt x="164223" y="26885"/>
                                </a:lnTo>
                                <a:lnTo>
                                  <a:pt x="156692" y="26885"/>
                                </a:lnTo>
                                <a:lnTo>
                                  <a:pt x="149974" y="30695"/>
                                </a:lnTo>
                                <a:lnTo>
                                  <a:pt x="149974" y="44792"/>
                                </a:lnTo>
                                <a:lnTo>
                                  <a:pt x="153441" y="48602"/>
                                </a:lnTo>
                                <a:lnTo>
                                  <a:pt x="160769" y="48602"/>
                                </a:lnTo>
                                <a:lnTo>
                                  <a:pt x="163118" y="47078"/>
                                </a:lnTo>
                                <a:lnTo>
                                  <a:pt x="164579" y="44513"/>
                                </a:lnTo>
                                <a:lnTo>
                                  <a:pt x="164782" y="44513"/>
                                </a:lnTo>
                                <a:lnTo>
                                  <a:pt x="164807" y="44792"/>
                                </a:lnTo>
                                <a:lnTo>
                                  <a:pt x="164909" y="45897"/>
                                </a:lnTo>
                                <a:lnTo>
                                  <a:pt x="165023" y="47078"/>
                                </a:lnTo>
                                <a:lnTo>
                                  <a:pt x="165125" y="48056"/>
                                </a:lnTo>
                                <a:lnTo>
                                  <a:pt x="169964" y="48056"/>
                                </a:lnTo>
                                <a:close/>
                              </a:path>
                              <a:path w="281305" h="61594">
                                <a:moveTo>
                                  <a:pt x="193535" y="15011"/>
                                </a:moveTo>
                                <a:lnTo>
                                  <a:pt x="192570" y="14452"/>
                                </a:lnTo>
                                <a:lnTo>
                                  <a:pt x="190627" y="13970"/>
                                </a:lnTo>
                                <a:lnTo>
                                  <a:pt x="180467" y="13970"/>
                                </a:lnTo>
                                <a:lnTo>
                                  <a:pt x="175628" y="21805"/>
                                </a:lnTo>
                                <a:lnTo>
                                  <a:pt x="175628" y="42557"/>
                                </a:lnTo>
                                <a:lnTo>
                                  <a:pt x="180530" y="48463"/>
                                </a:lnTo>
                                <a:lnTo>
                                  <a:pt x="190207" y="48463"/>
                                </a:lnTo>
                                <a:lnTo>
                                  <a:pt x="192214" y="47917"/>
                                </a:lnTo>
                                <a:lnTo>
                                  <a:pt x="193395" y="47218"/>
                                </a:lnTo>
                                <a:lnTo>
                                  <a:pt x="192697" y="43129"/>
                                </a:lnTo>
                                <a:lnTo>
                                  <a:pt x="191452" y="43675"/>
                                </a:lnTo>
                                <a:lnTo>
                                  <a:pt x="190284" y="44018"/>
                                </a:lnTo>
                                <a:lnTo>
                                  <a:pt x="183921" y="44018"/>
                                </a:lnTo>
                                <a:lnTo>
                                  <a:pt x="180949" y="39306"/>
                                </a:lnTo>
                                <a:lnTo>
                                  <a:pt x="180949" y="24866"/>
                                </a:lnTo>
                                <a:lnTo>
                                  <a:pt x="183362" y="18478"/>
                                </a:lnTo>
                                <a:lnTo>
                                  <a:pt x="190411" y="18478"/>
                                </a:lnTo>
                                <a:lnTo>
                                  <a:pt x="191808" y="19037"/>
                                </a:lnTo>
                                <a:lnTo>
                                  <a:pt x="192493" y="19380"/>
                                </a:lnTo>
                                <a:lnTo>
                                  <a:pt x="193535" y="15011"/>
                                </a:lnTo>
                                <a:close/>
                              </a:path>
                              <a:path w="281305" h="61594">
                                <a:moveTo>
                                  <a:pt x="211899" y="14452"/>
                                </a:moveTo>
                                <a:lnTo>
                                  <a:pt x="205473" y="14452"/>
                                </a:lnTo>
                                <a:lnTo>
                                  <a:pt x="205473" y="5562"/>
                                </a:lnTo>
                                <a:lnTo>
                                  <a:pt x="200152" y="7086"/>
                                </a:lnTo>
                                <a:lnTo>
                                  <a:pt x="200152" y="14452"/>
                                </a:lnTo>
                                <a:lnTo>
                                  <a:pt x="196075" y="14452"/>
                                </a:lnTo>
                                <a:lnTo>
                                  <a:pt x="196075" y="18542"/>
                                </a:lnTo>
                                <a:lnTo>
                                  <a:pt x="200152" y="18542"/>
                                </a:lnTo>
                                <a:lnTo>
                                  <a:pt x="200152" y="42633"/>
                                </a:lnTo>
                                <a:lnTo>
                                  <a:pt x="200850" y="44919"/>
                                </a:lnTo>
                                <a:lnTo>
                                  <a:pt x="203466" y="47904"/>
                                </a:lnTo>
                                <a:lnTo>
                                  <a:pt x="205333" y="48463"/>
                                </a:lnTo>
                                <a:lnTo>
                                  <a:pt x="209143" y="48463"/>
                                </a:lnTo>
                                <a:lnTo>
                                  <a:pt x="210388" y="48260"/>
                                </a:lnTo>
                                <a:lnTo>
                                  <a:pt x="211353" y="47904"/>
                                </a:lnTo>
                                <a:lnTo>
                                  <a:pt x="211150" y="43815"/>
                                </a:lnTo>
                                <a:lnTo>
                                  <a:pt x="210527" y="43954"/>
                                </a:lnTo>
                                <a:lnTo>
                                  <a:pt x="209829" y="44018"/>
                                </a:lnTo>
                                <a:lnTo>
                                  <a:pt x="207060" y="44018"/>
                                </a:lnTo>
                                <a:lnTo>
                                  <a:pt x="205473" y="42837"/>
                                </a:lnTo>
                                <a:lnTo>
                                  <a:pt x="205473" y="18542"/>
                                </a:lnTo>
                                <a:lnTo>
                                  <a:pt x="211899" y="18542"/>
                                </a:lnTo>
                                <a:lnTo>
                                  <a:pt x="211899" y="14452"/>
                                </a:lnTo>
                                <a:close/>
                              </a:path>
                              <a:path w="281305" h="61594">
                                <a:moveTo>
                                  <a:pt x="239483" y="12"/>
                                </a:moveTo>
                                <a:lnTo>
                                  <a:pt x="235343" y="12"/>
                                </a:lnTo>
                                <a:lnTo>
                                  <a:pt x="232651" y="4699"/>
                                </a:lnTo>
                                <a:lnTo>
                                  <a:pt x="230238" y="10947"/>
                                </a:lnTo>
                                <a:lnTo>
                                  <a:pt x="228473" y="18783"/>
                                </a:lnTo>
                                <a:lnTo>
                                  <a:pt x="227723" y="28194"/>
                                </a:lnTo>
                                <a:lnTo>
                                  <a:pt x="228409" y="37592"/>
                                </a:lnTo>
                                <a:lnTo>
                                  <a:pt x="230187" y="45415"/>
                                </a:lnTo>
                                <a:lnTo>
                                  <a:pt x="232638" y="51663"/>
                                </a:lnTo>
                                <a:lnTo>
                                  <a:pt x="235343" y="56388"/>
                                </a:lnTo>
                                <a:lnTo>
                                  <a:pt x="239483" y="56388"/>
                                </a:lnTo>
                                <a:lnTo>
                                  <a:pt x="236689" y="51066"/>
                                </a:lnTo>
                                <a:lnTo>
                                  <a:pt x="234403" y="44615"/>
                                </a:lnTo>
                                <a:lnTo>
                                  <a:pt x="232867" y="37007"/>
                                </a:lnTo>
                                <a:lnTo>
                                  <a:pt x="232295" y="28270"/>
                                </a:lnTo>
                                <a:lnTo>
                                  <a:pt x="232867" y="19405"/>
                                </a:lnTo>
                                <a:lnTo>
                                  <a:pt x="234403" y="11747"/>
                                </a:lnTo>
                                <a:lnTo>
                                  <a:pt x="236689" y="5283"/>
                                </a:lnTo>
                                <a:lnTo>
                                  <a:pt x="239483" y="12"/>
                                </a:lnTo>
                                <a:close/>
                              </a:path>
                              <a:path w="281305" h="61594">
                                <a:moveTo>
                                  <a:pt x="264236" y="2921"/>
                                </a:moveTo>
                                <a:lnTo>
                                  <a:pt x="248119" y="2921"/>
                                </a:lnTo>
                                <a:lnTo>
                                  <a:pt x="245287" y="23825"/>
                                </a:lnTo>
                                <a:lnTo>
                                  <a:pt x="247154" y="23609"/>
                                </a:lnTo>
                                <a:lnTo>
                                  <a:pt x="254622" y="23609"/>
                                </a:lnTo>
                                <a:lnTo>
                                  <a:pt x="258978" y="26593"/>
                                </a:lnTo>
                                <a:lnTo>
                                  <a:pt x="258978" y="40627"/>
                                </a:lnTo>
                                <a:lnTo>
                                  <a:pt x="255041" y="44157"/>
                                </a:lnTo>
                                <a:lnTo>
                                  <a:pt x="247992" y="44157"/>
                                </a:lnTo>
                                <a:lnTo>
                                  <a:pt x="245567" y="43192"/>
                                </a:lnTo>
                                <a:lnTo>
                                  <a:pt x="244182" y="42354"/>
                                </a:lnTo>
                                <a:lnTo>
                                  <a:pt x="243001" y="46659"/>
                                </a:lnTo>
                                <a:lnTo>
                                  <a:pt x="244805" y="47828"/>
                                </a:lnTo>
                                <a:lnTo>
                                  <a:pt x="247916" y="48602"/>
                                </a:lnTo>
                                <a:lnTo>
                                  <a:pt x="258635" y="48602"/>
                                </a:lnTo>
                                <a:lnTo>
                                  <a:pt x="264236" y="42138"/>
                                </a:lnTo>
                                <a:lnTo>
                                  <a:pt x="264236" y="28613"/>
                                </a:lnTo>
                                <a:lnTo>
                                  <a:pt x="262851" y="25285"/>
                                </a:lnTo>
                                <a:lnTo>
                                  <a:pt x="258089" y="20561"/>
                                </a:lnTo>
                                <a:lnTo>
                                  <a:pt x="254355" y="19507"/>
                                </a:lnTo>
                                <a:lnTo>
                                  <a:pt x="250825" y="19507"/>
                                </a:lnTo>
                                <a:lnTo>
                                  <a:pt x="250278" y="19659"/>
                                </a:lnTo>
                                <a:lnTo>
                                  <a:pt x="252133" y="7645"/>
                                </a:lnTo>
                                <a:lnTo>
                                  <a:pt x="264236" y="7645"/>
                                </a:lnTo>
                                <a:lnTo>
                                  <a:pt x="264236" y="2921"/>
                                </a:lnTo>
                                <a:close/>
                              </a:path>
                              <a:path w="281305" h="61594">
                                <a:moveTo>
                                  <a:pt x="281305" y="28117"/>
                                </a:moveTo>
                                <a:lnTo>
                                  <a:pt x="280631" y="18656"/>
                                </a:lnTo>
                                <a:lnTo>
                                  <a:pt x="278853" y="10845"/>
                                </a:lnTo>
                                <a:lnTo>
                                  <a:pt x="276402" y="4635"/>
                                </a:lnTo>
                                <a:lnTo>
                                  <a:pt x="273697" y="0"/>
                                </a:lnTo>
                                <a:lnTo>
                                  <a:pt x="269544" y="0"/>
                                </a:lnTo>
                                <a:lnTo>
                                  <a:pt x="272338" y="5283"/>
                                </a:lnTo>
                                <a:lnTo>
                                  <a:pt x="274624" y="11722"/>
                                </a:lnTo>
                                <a:lnTo>
                                  <a:pt x="276174" y="19342"/>
                                </a:lnTo>
                                <a:lnTo>
                                  <a:pt x="276733" y="28117"/>
                                </a:lnTo>
                                <a:lnTo>
                                  <a:pt x="276174" y="36931"/>
                                </a:lnTo>
                                <a:lnTo>
                                  <a:pt x="274624" y="44589"/>
                                </a:lnTo>
                                <a:lnTo>
                                  <a:pt x="272338" y="51092"/>
                                </a:lnTo>
                                <a:lnTo>
                                  <a:pt x="269544" y="56375"/>
                                </a:lnTo>
                                <a:lnTo>
                                  <a:pt x="273697" y="56375"/>
                                </a:lnTo>
                                <a:lnTo>
                                  <a:pt x="276390" y="51650"/>
                                </a:lnTo>
                                <a:lnTo>
                                  <a:pt x="278803" y="45402"/>
                                </a:lnTo>
                                <a:lnTo>
                                  <a:pt x="280568" y="37592"/>
                                </a:lnTo>
                                <a:lnTo>
                                  <a:pt x="281305" y="28117"/>
                                </a:lnTo>
                                <a:close/>
                              </a:path>
                            </a:pathLst>
                          </a:custGeom>
                          <a:solidFill>
                            <a:srgbClr val="231F20"/>
                          </a:solidFill>
                        </wps:spPr>
                        <wps:bodyPr wrap="square" lIns="0" tIns="0" rIns="0" bIns="0" rtlCol="0">
                          <a:prstTxWarp prst="textNoShape">
                            <a:avLst/>
                          </a:prstTxWarp>
                          <a:noAutofit/>
                        </wps:bodyPr>
                      </wps:wsp>
                      <wps:wsp>
                        <wps:cNvPr id="1998" name="Graphic 1998"/>
                        <wps:cNvSpPr/>
                        <wps:spPr>
                          <a:xfrm>
                            <a:off x="2613275" y="3093548"/>
                            <a:ext cx="1270" cy="130810"/>
                          </a:xfrm>
                          <a:custGeom>
                            <a:avLst/>
                            <a:gdLst/>
                            <a:ahLst/>
                            <a:cxnLst/>
                            <a:rect l="l" t="t" r="r" b="b"/>
                            <a:pathLst>
                              <a:path w="0" h="130810">
                                <a:moveTo>
                                  <a:pt x="0" y="0"/>
                                </a:moveTo>
                                <a:lnTo>
                                  <a:pt x="0" y="130340"/>
                                </a:lnTo>
                              </a:path>
                            </a:pathLst>
                          </a:custGeom>
                          <a:ln w="4445">
                            <a:solidFill>
                              <a:srgbClr val="231F20"/>
                            </a:solidFill>
                            <a:prstDash val="solid"/>
                          </a:ln>
                        </wps:spPr>
                        <wps:bodyPr wrap="square" lIns="0" tIns="0" rIns="0" bIns="0" rtlCol="0">
                          <a:prstTxWarp prst="textNoShape">
                            <a:avLst/>
                          </a:prstTxWarp>
                          <a:noAutofit/>
                        </wps:bodyPr>
                      </wps:wsp>
                      <wps:wsp>
                        <wps:cNvPr id="1999" name="Graphic 1999"/>
                        <wps:cNvSpPr/>
                        <wps:spPr>
                          <a:xfrm>
                            <a:off x="3197397" y="3194648"/>
                            <a:ext cx="1270" cy="29845"/>
                          </a:xfrm>
                          <a:custGeom>
                            <a:avLst/>
                            <a:gdLst/>
                            <a:ahLst/>
                            <a:cxnLst/>
                            <a:rect l="l" t="t" r="r" b="b"/>
                            <a:pathLst>
                              <a:path w="0" h="29845">
                                <a:moveTo>
                                  <a:pt x="0" y="0"/>
                                </a:moveTo>
                                <a:lnTo>
                                  <a:pt x="0" y="29235"/>
                                </a:lnTo>
                              </a:path>
                            </a:pathLst>
                          </a:custGeom>
                          <a:ln w="4445">
                            <a:solidFill>
                              <a:srgbClr val="231F20"/>
                            </a:solidFill>
                            <a:prstDash val="solid"/>
                          </a:ln>
                        </wps:spPr>
                        <wps:bodyPr wrap="square" lIns="0" tIns="0" rIns="0" bIns="0" rtlCol="0">
                          <a:prstTxWarp prst="textNoShape">
                            <a:avLst/>
                          </a:prstTxWarp>
                          <a:noAutofit/>
                        </wps:bodyPr>
                      </wps:wsp>
                      <wps:wsp>
                        <wps:cNvPr id="2000" name="Graphic 2000"/>
                        <wps:cNvSpPr/>
                        <wps:spPr>
                          <a:xfrm>
                            <a:off x="3779945" y="3194648"/>
                            <a:ext cx="1270" cy="29845"/>
                          </a:xfrm>
                          <a:custGeom>
                            <a:avLst/>
                            <a:gdLst/>
                            <a:ahLst/>
                            <a:cxnLst/>
                            <a:rect l="l" t="t" r="r" b="b"/>
                            <a:pathLst>
                              <a:path w="0" h="29845">
                                <a:moveTo>
                                  <a:pt x="0" y="0"/>
                                </a:moveTo>
                                <a:lnTo>
                                  <a:pt x="0" y="29235"/>
                                </a:lnTo>
                              </a:path>
                            </a:pathLst>
                          </a:custGeom>
                          <a:ln w="4445">
                            <a:solidFill>
                              <a:srgbClr val="231F20"/>
                            </a:solidFill>
                            <a:prstDash val="solid"/>
                          </a:ln>
                        </wps:spPr>
                        <wps:bodyPr wrap="square" lIns="0" tIns="0" rIns="0" bIns="0" rtlCol="0">
                          <a:prstTxWarp prst="textNoShape">
                            <a:avLst/>
                          </a:prstTxWarp>
                          <a:noAutofit/>
                        </wps:bodyPr>
                      </wps:wsp>
                      <wps:wsp>
                        <wps:cNvPr id="2001" name="Graphic 2001"/>
                        <wps:cNvSpPr/>
                        <wps:spPr>
                          <a:xfrm>
                            <a:off x="4347532" y="3194648"/>
                            <a:ext cx="1270" cy="29845"/>
                          </a:xfrm>
                          <a:custGeom>
                            <a:avLst/>
                            <a:gdLst/>
                            <a:ahLst/>
                            <a:cxnLst/>
                            <a:rect l="l" t="t" r="r" b="b"/>
                            <a:pathLst>
                              <a:path w="0" h="29845">
                                <a:moveTo>
                                  <a:pt x="0" y="0"/>
                                </a:moveTo>
                                <a:lnTo>
                                  <a:pt x="0" y="29235"/>
                                </a:lnTo>
                              </a:path>
                            </a:pathLst>
                          </a:custGeom>
                          <a:ln w="4445">
                            <a:solidFill>
                              <a:srgbClr val="231F20"/>
                            </a:solidFill>
                            <a:prstDash val="solid"/>
                          </a:ln>
                        </wps:spPr>
                        <wps:bodyPr wrap="square" lIns="0" tIns="0" rIns="0" bIns="0" rtlCol="0">
                          <a:prstTxWarp prst="textNoShape">
                            <a:avLst/>
                          </a:prstTxWarp>
                          <a:noAutofit/>
                        </wps:bodyPr>
                      </wps:wsp>
                      <wps:wsp>
                        <wps:cNvPr id="2002" name="Graphic 2002"/>
                        <wps:cNvSpPr/>
                        <wps:spPr>
                          <a:xfrm>
                            <a:off x="4902978" y="3194648"/>
                            <a:ext cx="1270" cy="29845"/>
                          </a:xfrm>
                          <a:custGeom>
                            <a:avLst/>
                            <a:gdLst/>
                            <a:ahLst/>
                            <a:cxnLst/>
                            <a:rect l="l" t="t" r="r" b="b"/>
                            <a:pathLst>
                              <a:path w="0" h="29845">
                                <a:moveTo>
                                  <a:pt x="0" y="0"/>
                                </a:moveTo>
                                <a:lnTo>
                                  <a:pt x="0" y="29235"/>
                                </a:lnTo>
                              </a:path>
                            </a:pathLst>
                          </a:custGeom>
                          <a:ln w="4445">
                            <a:solidFill>
                              <a:srgbClr val="231F20"/>
                            </a:solidFill>
                            <a:prstDash val="solid"/>
                          </a:ln>
                        </wps:spPr>
                        <wps:bodyPr wrap="square" lIns="0" tIns="0" rIns="0" bIns="0" rtlCol="0">
                          <a:prstTxWarp prst="textNoShape">
                            <a:avLst/>
                          </a:prstTxWarp>
                          <a:noAutofit/>
                        </wps:bodyPr>
                      </wps:wsp>
                      <wps:wsp>
                        <wps:cNvPr id="2003" name="Graphic 2003"/>
                        <wps:cNvSpPr/>
                        <wps:spPr>
                          <a:xfrm>
                            <a:off x="5124437" y="3093542"/>
                            <a:ext cx="100965" cy="101600"/>
                          </a:xfrm>
                          <a:custGeom>
                            <a:avLst/>
                            <a:gdLst/>
                            <a:ahLst/>
                            <a:cxnLst/>
                            <a:rect l="l" t="t" r="r" b="b"/>
                            <a:pathLst>
                              <a:path w="100965" h="101600">
                                <a:moveTo>
                                  <a:pt x="100711" y="0"/>
                                </a:moveTo>
                                <a:lnTo>
                                  <a:pt x="0" y="0"/>
                                </a:lnTo>
                                <a:lnTo>
                                  <a:pt x="0" y="101104"/>
                                </a:lnTo>
                                <a:lnTo>
                                  <a:pt x="100711" y="101104"/>
                                </a:lnTo>
                                <a:lnTo>
                                  <a:pt x="100711" y="0"/>
                                </a:lnTo>
                                <a:close/>
                              </a:path>
                            </a:pathLst>
                          </a:custGeom>
                          <a:solidFill>
                            <a:srgbClr val="E7E8E8"/>
                          </a:solidFill>
                        </wps:spPr>
                        <wps:bodyPr wrap="square" lIns="0" tIns="0" rIns="0" bIns="0" rtlCol="0">
                          <a:prstTxWarp prst="textNoShape">
                            <a:avLst/>
                          </a:prstTxWarp>
                          <a:noAutofit/>
                        </wps:bodyPr>
                      </wps:wsp>
                      <wps:wsp>
                        <wps:cNvPr id="2004" name="Graphic 2004"/>
                        <wps:cNvSpPr/>
                        <wps:spPr>
                          <a:xfrm>
                            <a:off x="5124436" y="3093539"/>
                            <a:ext cx="100965" cy="101600"/>
                          </a:xfrm>
                          <a:custGeom>
                            <a:avLst/>
                            <a:gdLst/>
                            <a:ahLst/>
                            <a:cxnLst/>
                            <a:rect l="l" t="t" r="r" b="b"/>
                            <a:pathLst>
                              <a:path w="100965" h="101600">
                                <a:moveTo>
                                  <a:pt x="100711" y="101104"/>
                                </a:moveTo>
                                <a:lnTo>
                                  <a:pt x="0" y="101104"/>
                                </a:lnTo>
                                <a:lnTo>
                                  <a:pt x="0" y="0"/>
                                </a:lnTo>
                                <a:lnTo>
                                  <a:pt x="100711" y="0"/>
                                </a:lnTo>
                                <a:lnTo>
                                  <a:pt x="100711" y="101104"/>
                                </a:lnTo>
                                <a:close/>
                              </a:path>
                            </a:pathLst>
                          </a:custGeom>
                          <a:ln w="4445">
                            <a:solidFill>
                              <a:srgbClr val="231F20"/>
                            </a:solidFill>
                            <a:prstDash val="solid"/>
                          </a:ln>
                        </wps:spPr>
                        <wps:bodyPr wrap="square" lIns="0" tIns="0" rIns="0" bIns="0" rtlCol="0">
                          <a:prstTxWarp prst="textNoShape">
                            <a:avLst/>
                          </a:prstTxWarp>
                          <a:noAutofit/>
                        </wps:bodyPr>
                      </wps:wsp>
                      <wps:wsp>
                        <wps:cNvPr id="2005" name="Graphic 2005"/>
                        <wps:cNvSpPr/>
                        <wps:spPr>
                          <a:xfrm>
                            <a:off x="5136464" y="3238004"/>
                            <a:ext cx="76200" cy="50165"/>
                          </a:xfrm>
                          <a:custGeom>
                            <a:avLst/>
                            <a:gdLst/>
                            <a:ahLst/>
                            <a:cxnLst/>
                            <a:rect l="l" t="t" r="r" b="b"/>
                            <a:pathLst>
                              <a:path w="76200" h="50165">
                                <a:moveTo>
                                  <a:pt x="23863" y="546"/>
                                </a:moveTo>
                                <a:lnTo>
                                  <a:pt x="19088" y="546"/>
                                </a:lnTo>
                                <a:lnTo>
                                  <a:pt x="19088" y="25400"/>
                                </a:lnTo>
                                <a:lnTo>
                                  <a:pt x="19291" y="31445"/>
                                </a:lnTo>
                                <a:lnTo>
                                  <a:pt x="19710" y="38798"/>
                                </a:lnTo>
                                <a:lnTo>
                                  <a:pt x="19570" y="38798"/>
                                </a:lnTo>
                                <a:lnTo>
                                  <a:pt x="17983" y="33718"/>
                                </a:lnTo>
                                <a:lnTo>
                                  <a:pt x="5054" y="546"/>
                                </a:lnTo>
                                <a:lnTo>
                                  <a:pt x="0" y="546"/>
                                </a:lnTo>
                                <a:lnTo>
                                  <a:pt x="0" y="47332"/>
                                </a:lnTo>
                                <a:lnTo>
                                  <a:pt x="4838" y="47332"/>
                                </a:lnTo>
                                <a:lnTo>
                                  <a:pt x="4838" y="21158"/>
                                </a:lnTo>
                                <a:lnTo>
                                  <a:pt x="4711" y="15189"/>
                                </a:lnTo>
                                <a:lnTo>
                                  <a:pt x="4292" y="8940"/>
                                </a:lnTo>
                                <a:lnTo>
                                  <a:pt x="4419" y="8940"/>
                                </a:lnTo>
                                <a:lnTo>
                                  <a:pt x="6083" y="14770"/>
                                </a:lnTo>
                                <a:lnTo>
                                  <a:pt x="8089" y="20129"/>
                                </a:lnTo>
                                <a:lnTo>
                                  <a:pt x="18808" y="47332"/>
                                </a:lnTo>
                                <a:lnTo>
                                  <a:pt x="23863" y="47332"/>
                                </a:lnTo>
                                <a:lnTo>
                                  <a:pt x="23863" y="546"/>
                                </a:lnTo>
                                <a:close/>
                              </a:path>
                              <a:path w="76200" h="50165">
                                <a:moveTo>
                                  <a:pt x="47421" y="0"/>
                                </a:moveTo>
                                <a:lnTo>
                                  <a:pt x="43408" y="0"/>
                                </a:lnTo>
                                <a:lnTo>
                                  <a:pt x="28536" y="50114"/>
                                </a:lnTo>
                                <a:lnTo>
                                  <a:pt x="32486" y="50114"/>
                                </a:lnTo>
                                <a:lnTo>
                                  <a:pt x="47421" y="0"/>
                                </a:lnTo>
                                <a:close/>
                              </a:path>
                              <a:path w="76200" h="50165">
                                <a:moveTo>
                                  <a:pt x="75844" y="47345"/>
                                </a:moveTo>
                                <a:lnTo>
                                  <a:pt x="72732" y="33312"/>
                                </a:lnTo>
                                <a:lnTo>
                                  <a:pt x="71780" y="29019"/>
                                </a:lnTo>
                                <a:lnTo>
                                  <a:pt x="66776" y="6451"/>
                                </a:lnTo>
                                <a:lnTo>
                                  <a:pt x="66776" y="29019"/>
                                </a:lnTo>
                                <a:lnTo>
                                  <a:pt x="57924" y="29019"/>
                                </a:lnTo>
                                <a:lnTo>
                                  <a:pt x="60972" y="14020"/>
                                </a:lnTo>
                                <a:lnTo>
                                  <a:pt x="61658" y="9994"/>
                                </a:lnTo>
                                <a:lnTo>
                                  <a:pt x="62217" y="6451"/>
                                </a:lnTo>
                                <a:lnTo>
                                  <a:pt x="62484" y="6451"/>
                                </a:lnTo>
                                <a:lnTo>
                                  <a:pt x="63665" y="13817"/>
                                </a:lnTo>
                                <a:lnTo>
                                  <a:pt x="66776" y="29019"/>
                                </a:lnTo>
                                <a:lnTo>
                                  <a:pt x="66776" y="6451"/>
                                </a:lnTo>
                                <a:lnTo>
                                  <a:pt x="65468" y="546"/>
                                </a:lnTo>
                                <a:lnTo>
                                  <a:pt x="59588" y="546"/>
                                </a:lnTo>
                                <a:lnTo>
                                  <a:pt x="48933" y="47345"/>
                                </a:lnTo>
                                <a:lnTo>
                                  <a:pt x="54063" y="47345"/>
                                </a:lnTo>
                                <a:lnTo>
                                  <a:pt x="57162" y="33312"/>
                                </a:lnTo>
                                <a:lnTo>
                                  <a:pt x="67475" y="33312"/>
                                </a:lnTo>
                                <a:lnTo>
                                  <a:pt x="70586" y="47345"/>
                                </a:lnTo>
                                <a:lnTo>
                                  <a:pt x="75844" y="47345"/>
                                </a:lnTo>
                                <a:close/>
                              </a:path>
                            </a:pathLst>
                          </a:custGeom>
                          <a:solidFill>
                            <a:srgbClr val="231F20"/>
                          </a:solidFill>
                        </wps:spPr>
                        <wps:bodyPr wrap="square" lIns="0" tIns="0" rIns="0" bIns="0" rtlCol="0">
                          <a:prstTxWarp prst="textNoShape">
                            <a:avLst/>
                          </a:prstTxWarp>
                          <a:noAutofit/>
                        </wps:bodyPr>
                      </wps:wsp>
                      <pic:pic>
                        <pic:nvPicPr>
                          <pic:cNvPr id="2006" name="Image 2006"/>
                          <pic:cNvPicPr/>
                        </pic:nvPicPr>
                        <pic:blipFill>
                          <a:blip r:embed="rId170" cstate="print"/>
                          <a:stretch>
                            <a:fillRect/>
                          </a:stretch>
                        </pic:blipFill>
                        <pic:spPr>
                          <a:xfrm>
                            <a:off x="2613278" y="3093541"/>
                            <a:ext cx="2289721" cy="101092"/>
                          </a:xfrm>
                          <a:prstGeom prst="rect">
                            <a:avLst/>
                          </a:prstGeom>
                        </pic:spPr>
                      </pic:pic>
                      <wps:wsp>
                        <wps:cNvPr id="2007" name="Graphic 2007"/>
                        <wps:cNvSpPr/>
                        <wps:spPr>
                          <a:xfrm>
                            <a:off x="2613265" y="3093539"/>
                            <a:ext cx="2289810" cy="101600"/>
                          </a:xfrm>
                          <a:custGeom>
                            <a:avLst/>
                            <a:gdLst/>
                            <a:ahLst/>
                            <a:cxnLst/>
                            <a:rect l="l" t="t" r="r" b="b"/>
                            <a:pathLst>
                              <a:path w="2289810" h="101600">
                                <a:moveTo>
                                  <a:pt x="2289708" y="101104"/>
                                </a:moveTo>
                                <a:lnTo>
                                  <a:pt x="0" y="101104"/>
                                </a:lnTo>
                                <a:lnTo>
                                  <a:pt x="0" y="0"/>
                                </a:lnTo>
                                <a:lnTo>
                                  <a:pt x="2289708" y="0"/>
                                </a:lnTo>
                                <a:lnTo>
                                  <a:pt x="2289708" y="101104"/>
                                </a:lnTo>
                                <a:close/>
                              </a:path>
                            </a:pathLst>
                          </a:custGeom>
                          <a:ln w="4445">
                            <a:solidFill>
                              <a:srgbClr val="231F20"/>
                            </a:solidFill>
                            <a:prstDash val="solid"/>
                          </a:ln>
                        </wps:spPr>
                        <wps:bodyPr wrap="square" lIns="0" tIns="0" rIns="0" bIns="0" rtlCol="0">
                          <a:prstTxWarp prst="textNoShape">
                            <a:avLst/>
                          </a:prstTxWarp>
                          <a:noAutofit/>
                        </wps:bodyPr>
                      </wps:wsp>
                      <pic:pic>
                        <pic:nvPicPr>
                          <pic:cNvPr id="2008" name="Image 2008"/>
                          <pic:cNvPicPr/>
                        </pic:nvPicPr>
                        <pic:blipFill>
                          <a:blip r:embed="rId171" cstate="print"/>
                          <a:stretch>
                            <a:fillRect/>
                          </a:stretch>
                        </pic:blipFill>
                        <pic:spPr>
                          <a:xfrm>
                            <a:off x="243812" y="391331"/>
                            <a:ext cx="6202121" cy="3153091"/>
                          </a:xfrm>
                          <a:prstGeom prst="rect">
                            <a:avLst/>
                          </a:prstGeom>
                        </pic:spPr>
                      </pic:pic>
                      <wps:wsp>
                        <wps:cNvPr id="2009" name="Graphic 2009"/>
                        <wps:cNvSpPr/>
                        <wps:spPr>
                          <a:xfrm>
                            <a:off x="531215" y="1166659"/>
                            <a:ext cx="5894705" cy="1552575"/>
                          </a:xfrm>
                          <a:custGeom>
                            <a:avLst/>
                            <a:gdLst/>
                            <a:ahLst/>
                            <a:cxnLst/>
                            <a:rect l="l" t="t" r="r" b="b"/>
                            <a:pathLst>
                              <a:path w="5894705" h="1552575">
                                <a:moveTo>
                                  <a:pt x="660" y="935939"/>
                                </a:moveTo>
                                <a:lnTo>
                                  <a:pt x="0" y="935939"/>
                                </a:lnTo>
                                <a:lnTo>
                                  <a:pt x="0" y="937272"/>
                                </a:lnTo>
                                <a:lnTo>
                                  <a:pt x="660" y="935939"/>
                                </a:lnTo>
                                <a:close/>
                              </a:path>
                              <a:path w="5894705" h="1552575">
                                <a:moveTo>
                                  <a:pt x="1981" y="937272"/>
                                </a:moveTo>
                                <a:lnTo>
                                  <a:pt x="1752" y="936599"/>
                                </a:lnTo>
                                <a:lnTo>
                                  <a:pt x="1320" y="936599"/>
                                </a:lnTo>
                                <a:lnTo>
                                  <a:pt x="1320" y="937933"/>
                                </a:lnTo>
                                <a:lnTo>
                                  <a:pt x="1981" y="937933"/>
                                </a:lnTo>
                                <a:lnTo>
                                  <a:pt x="1981" y="937272"/>
                                </a:lnTo>
                                <a:close/>
                              </a:path>
                              <a:path w="5894705" h="1552575">
                                <a:moveTo>
                                  <a:pt x="36410" y="992441"/>
                                </a:moveTo>
                                <a:lnTo>
                                  <a:pt x="34302" y="989787"/>
                                </a:lnTo>
                                <a:lnTo>
                                  <a:pt x="33769" y="989114"/>
                                </a:lnTo>
                                <a:lnTo>
                                  <a:pt x="33769" y="986459"/>
                                </a:lnTo>
                                <a:lnTo>
                                  <a:pt x="31788" y="985126"/>
                                </a:lnTo>
                                <a:lnTo>
                                  <a:pt x="31127" y="985126"/>
                                </a:lnTo>
                                <a:lnTo>
                                  <a:pt x="33108" y="987120"/>
                                </a:lnTo>
                                <a:lnTo>
                                  <a:pt x="32448" y="987793"/>
                                </a:lnTo>
                                <a:lnTo>
                                  <a:pt x="31788" y="989787"/>
                                </a:lnTo>
                                <a:lnTo>
                                  <a:pt x="30467" y="988453"/>
                                </a:lnTo>
                                <a:lnTo>
                                  <a:pt x="30467" y="987793"/>
                                </a:lnTo>
                                <a:lnTo>
                                  <a:pt x="29133" y="988453"/>
                                </a:lnTo>
                                <a:lnTo>
                                  <a:pt x="31788" y="991120"/>
                                </a:lnTo>
                                <a:lnTo>
                                  <a:pt x="35090" y="992441"/>
                                </a:lnTo>
                                <a:lnTo>
                                  <a:pt x="36410" y="992441"/>
                                </a:lnTo>
                                <a:close/>
                              </a:path>
                              <a:path w="5894705" h="1552575">
                                <a:moveTo>
                                  <a:pt x="196672" y="1461084"/>
                                </a:moveTo>
                                <a:lnTo>
                                  <a:pt x="195338" y="1461084"/>
                                </a:lnTo>
                                <a:lnTo>
                                  <a:pt x="196672" y="1462417"/>
                                </a:lnTo>
                                <a:lnTo>
                                  <a:pt x="196672" y="1461084"/>
                                </a:lnTo>
                                <a:close/>
                              </a:path>
                              <a:path w="5894705" h="1552575">
                                <a:moveTo>
                                  <a:pt x="199974" y="1467065"/>
                                </a:moveTo>
                                <a:lnTo>
                                  <a:pt x="198653" y="1465072"/>
                                </a:lnTo>
                                <a:lnTo>
                                  <a:pt x="197332" y="1464398"/>
                                </a:lnTo>
                                <a:lnTo>
                                  <a:pt x="197332" y="1465072"/>
                                </a:lnTo>
                                <a:lnTo>
                                  <a:pt x="197993" y="1467065"/>
                                </a:lnTo>
                                <a:lnTo>
                                  <a:pt x="198653" y="1467726"/>
                                </a:lnTo>
                                <a:lnTo>
                                  <a:pt x="199313" y="1467726"/>
                                </a:lnTo>
                                <a:lnTo>
                                  <a:pt x="199974" y="1467065"/>
                                </a:lnTo>
                                <a:close/>
                              </a:path>
                              <a:path w="5894705" h="1552575">
                                <a:moveTo>
                                  <a:pt x="244348" y="1488998"/>
                                </a:moveTo>
                                <a:lnTo>
                                  <a:pt x="243687" y="1487004"/>
                                </a:lnTo>
                                <a:lnTo>
                                  <a:pt x="240372" y="1485671"/>
                                </a:lnTo>
                                <a:lnTo>
                                  <a:pt x="239699" y="1483017"/>
                                </a:lnTo>
                                <a:lnTo>
                                  <a:pt x="238379" y="1481696"/>
                                </a:lnTo>
                                <a:lnTo>
                                  <a:pt x="235737" y="1481023"/>
                                </a:lnTo>
                                <a:lnTo>
                                  <a:pt x="234416" y="1482356"/>
                                </a:lnTo>
                                <a:lnTo>
                                  <a:pt x="234416" y="1483017"/>
                                </a:lnTo>
                                <a:lnTo>
                                  <a:pt x="236397" y="1487004"/>
                                </a:lnTo>
                                <a:lnTo>
                                  <a:pt x="238379" y="1487665"/>
                                </a:lnTo>
                                <a:lnTo>
                                  <a:pt x="240372" y="1487004"/>
                                </a:lnTo>
                                <a:lnTo>
                                  <a:pt x="243027" y="1489671"/>
                                </a:lnTo>
                                <a:lnTo>
                                  <a:pt x="244348" y="1490332"/>
                                </a:lnTo>
                                <a:lnTo>
                                  <a:pt x="244348" y="1488998"/>
                                </a:lnTo>
                                <a:close/>
                              </a:path>
                              <a:path w="5894705" h="1552575">
                                <a:moveTo>
                                  <a:pt x="296659" y="1447787"/>
                                </a:moveTo>
                                <a:lnTo>
                                  <a:pt x="294678" y="1445793"/>
                                </a:lnTo>
                                <a:lnTo>
                                  <a:pt x="294017" y="1443799"/>
                                </a:lnTo>
                                <a:lnTo>
                                  <a:pt x="292684" y="1441805"/>
                                </a:lnTo>
                                <a:lnTo>
                                  <a:pt x="292684" y="1443139"/>
                                </a:lnTo>
                                <a:lnTo>
                                  <a:pt x="293344" y="1443799"/>
                                </a:lnTo>
                                <a:lnTo>
                                  <a:pt x="294678" y="1446453"/>
                                </a:lnTo>
                                <a:lnTo>
                                  <a:pt x="295338" y="1447114"/>
                                </a:lnTo>
                                <a:lnTo>
                                  <a:pt x="295998" y="1448460"/>
                                </a:lnTo>
                                <a:lnTo>
                                  <a:pt x="296659" y="1448460"/>
                                </a:lnTo>
                                <a:lnTo>
                                  <a:pt x="296659" y="1447787"/>
                                </a:lnTo>
                                <a:close/>
                              </a:path>
                              <a:path w="5894705" h="1552575">
                                <a:moveTo>
                                  <a:pt x="300621" y="1435823"/>
                                </a:moveTo>
                                <a:lnTo>
                                  <a:pt x="297980" y="1433156"/>
                                </a:lnTo>
                                <a:lnTo>
                                  <a:pt x="298640" y="1434490"/>
                                </a:lnTo>
                                <a:lnTo>
                                  <a:pt x="299961" y="1435823"/>
                                </a:lnTo>
                                <a:lnTo>
                                  <a:pt x="300621" y="1437144"/>
                                </a:lnTo>
                                <a:lnTo>
                                  <a:pt x="300621" y="1435823"/>
                                </a:lnTo>
                                <a:close/>
                              </a:path>
                              <a:path w="5894705" h="1552575">
                                <a:moveTo>
                                  <a:pt x="330428" y="1453769"/>
                                </a:moveTo>
                                <a:lnTo>
                                  <a:pt x="329107" y="1452435"/>
                                </a:lnTo>
                                <a:lnTo>
                                  <a:pt x="328447" y="1452435"/>
                                </a:lnTo>
                                <a:lnTo>
                                  <a:pt x="330428" y="1453769"/>
                                </a:lnTo>
                                <a:close/>
                              </a:path>
                              <a:path w="5894705" h="1552575">
                                <a:moveTo>
                                  <a:pt x="334403" y="1454429"/>
                                </a:moveTo>
                                <a:lnTo>
                                  <a:pt x="333082" y="1453108"/>
                                </a:lnTo>
                                <a:lnTo>
                                  <a:pt x="331749" y="1453108"/>
                                </a:lnTo>
                                <a:lnTo>
                                  <a:pt x="331089" y="1453769"/>
                                </a:lnTo>
                                <a:lnTo>
                                  <a:pt x="333082" y="1453769"/>
                                </a:lnTo>
                                <a:lnTo>
                                  <a:pt x="334403" y="1454429"/>
                                </a:lnTo>
                                <a:close/>
                              </a:path>
                              <a:path w="5894705" h="1552575">
                                <a:moveTo>
                                  <a:pt x="353606" y="1258341"/>
                                </a:moveTo>
                                <a:lnTo>
                                  <a:pt x="352945" y="1257681"/>
                                </a:lnTo>
                                <a:lnTo>
                                  <a:pt x="352945" y="1257007"/>
                                </a:lnTo>
                                <a:lnTo>
                                  <a:pt x="349631" y="1256334"/>
                                </a:lnTo>
                                <a:lnTo>
                                  <a:pt x="349631" y="1258341"/>
                                </a:lnTo>
                                <a:lnTo>
                                  <a:pt x="350291" y="1260335"/>
                                </a:lnTo>
                                <a:lnTo>
                                  <a:pt x="351612" y="1260335"/>
                                </a:lnTo>
                                <a:lnTo>
                                  <a:pt x="352945" y="1259674"/>
                                </a:lnTo>
                                <a:lnTo>
                                  <a:pt x="353606" y="1258341"/>
                                </a:lnTo>
                                <a:close/>
                              </a:path>
                              <a:path w="5894705" h="1552575">
                                <a:moveTo>
                                  <a:pt x="354926" y="1271638"/>
                                </a:moveTo>
                                <a:lnTo>
                                  <a:pt x="353606" y="1271638"/>
                                </a:lnTo>
                                <a:lnTo>
                                  <a:pt x="353936" y="1272298"/>
                                </a:lnTo>
                                <a:lnTo>
                                  <a:pt x="354926" y="1272298"/>
                                </a:lnTo>
                                <a:lnTo>
                                  <a:pt x="354926" y="1271638"/>
                                </a:lnTo>
                                <a:close/>
                              </a:path>
                              <a:path w="5894705" h="1552575">
                                <a:moveTo>
                                  <a:pt x="354926" y="1270304"/>
                                </a:moveTo>
                                <a:lnTo>
                                  <a:pt x="353936" y="1270304"/>
                                </a:lnTo>
                                <a:lnTo>
                                  <a:pt x="353606" y="1270965"/>
                                </a:lnTo>
                                <a:lnTo>
                                  <a:pt x="354926" y="1270965"/>
                                </a:lnTo>
                                <a:lnTo>
                                  <a:pt x="354926" y="1270304"/>
                                </a:lnTo>
                                <a:close/>
                              </a:path>
                              <a:path w="5894705" h="1552575">
                                <a:moveTo>
                                  <a:pt x="374142" y="1284262"/>
                                </a:moveTo>
                                <a:lnTo>
                                  <a:pt x="372808" y="1284262"/>
                                </a:lnTo>
                                <a:lnTo>
                                  <a:pt x="373481" y="1286256"/>
                                </a:lnTo>
                                <a:lnTo>
                                  <a:pt x="374142" y="1284262"/>
                                </a:lnTo>
                                <a:close/>
                              </a:path>
                              <a:path w="5894705" h="1552575">
                                <a:moveTo>
                                  <a:pt x="377444" y="1279613"/>
                                </a:moveTo>
                                <a:lnTo>
                                  <a:pt x="376783" y="1279613"/>
                                </a:lnTo>
                                <a:lnTo>
                                  <a:pt x="374142" y="1278280"/>
                                </a:lnTo>
                                <a:lnTo>
                                  <a:pt x="372148" y="1280274"/>
                                </a:lnTo>
                                <a:lnTo>
                                  <a:pt x="372808" y="1281607"/>
                                </a:lnTo>
                                <a:lnTo>
                                  <a:pt x="373481" y="1282268"/>
                                </a:lnTo>
                                <a:lnTo>
                                  <a:pt x="374802" y="1281607"/>
                                </a:lnTo>
                                <a:lnTo>
                                  <a:pt x="376783" y="1280934"/>
                                </a:lnTo>
                                <a:lnTo>
                                  <a:pt x="377444" y="1279613"/>
                                </a:lnTo>
                                <a:close/>
                              </a:path>
                              <a:path w="5894705" h="1552575">
                                <a:moveTo>
                                  <a:pt x="384073" y="1296885"/>
                                </a:moveTo>
                                <a:lnTo>
                                  <a:pt x="382917" y="1296885"/>
                                </a:lnTo>
                                <a:lnTo>
                                  <a:pt x="383247" y="1298219"/>
                                </a:lnTo>
                                <a:lnTo>
                                  <a:pt x="384073" y="1298219"/>
                                </a:lnTo>
                                <a:lnTo>
                                  <a:pt x="384073" y="1296885"/>
                                </a:lnTo>
                                <a:close/>
                              </a:path>
                              <a:path w="5894705" h="1552575">
                                <a:moveTo>
                                  <a:pt x="386715" y="1481696"/>
                                </a:moveTo>
                                <a:lnTo>
                                  <a:pt x="386054" y="1481023"/>
                                </a:lnTo>
                                <a:lnTo>
                                  <a:pt x="386054" y="1479702"/>
                                </a:lnTo>
                                <a:lnTo>
                                  <a:pt x="385394" y="1481023"/>
                                </a:lnTo>
                                <a:lnTo>
                                  <a:pt x="386054" y="1481696"/>
                                </a:lnTo>
                                <a:lnTo>
                                  <a:pt x="386715" y="1481696"/>
                                </a:lnTo>
                                <a:close/>
                              </a:path>
                              <a:path w="5894705" h="1552575">
                                <a:moveTo>
                                  <a:pt x="388035" y="1476362"/>
                                </a:moveTo>
                                <a:lnTo>
                                  <a:pt x="387375" y="1477035"/>
                                </a:lnTo>
                                <a:lnTo>
                                  <a:pt x="386054" y="1477695"/>
                                </a:lnTo>
                                <a:lnTo>
                                  <a:pt x="386054" y="1479029"/>
                                </a:lnTo>
                                <a:lnTo>
                                  <a:pt x="388035" y="1477035"/>
                                </a:lnTo>
                                <a:lnTo>
                                  <a:pt x="388035" y="1476362"/>
                                </a:lnTo>
                                <a:close/>
                              </a:path>
                              <a:path w="5894705" h="1552575">
                                <a:moveTo>
                                  <a:pt x="388696" y="1489671"/>
                                </a:moveTo>
                                <a:lnTo>
                                  <a:pt x="385394" y="1486344"/>
                                </a:lnTo>
                                <a:lnTo>
                                  <a:pt x="385394" y="1487004"/>
                                </a:lnTo>
                                <a:lnTo>
                                  <a:pt x="388696" y="1490332"/>
                                </a:lnTo>
                                <a:lnTo>
                                  <a:pt x="388696" y="1489671"/>
                                </a:lnTo>
                                <a:close/>
                              </a:path>
                              <a:path w="5894705" h="1552575">
                                <a:moveTo>
                                  <a:pt x="392010" y="1494320"/>
                                </a:moveTo>
                                <a:lnTo>
                                  <a:pt x="390029" y="1492986"/>
                                </a:lnTo>
                                <a:lnTo>
                                  <a:pt x="390690" y="1493659"/>
                                </a:lnTo>
                                <a:lnTo>
                                  <a:pt x="392010" y="1494320"/>
                                </a:lnTo>
                                <a:close/>
                              </a:path>
                              <a:path w="5894705" h="1552575">
                                <a:moveTo>
                                  <a:pt x="447306" y="1552155"/>
                                </a:moveTo>
                                <a:lnTo>
                                  <a:pt x="446976" y="1551482"/>
                                </a:lnTo>
                                <a:lnTo>
                                  <a:pt x="446646" y="1551482"/>
                                </a:lnTo>
                                <a:lnTo>
                                  <a:pt x="446976" y="1552155"/>
                                </a:lnTo>
                                <a:lnTo>
                                  <a:pt x="447306" y="1552155"/>
                                </a:lnTo>
                                <a:close/>
                              </a:path>
                              <a:path w="5894705" h="1552575">
                                <a:moveTo>
                                  <a:pt x="454926" y="1489671"/>
                                </a:moveTo>
                                <a:lnTo>
                                  <a:pt x="452945" y="1487665"/>
                                </a:lnTo>
                                <a:lnTo>
                                  <a:pt x="454431" y="1489671"/>
                                </a:lnTo>
                                <a:lnTo>
                                  <a:pt x="454926" y="1489671"/>
                                </a:lnTo>
                                <a:close/>
                              </a:path>
                              <a:path w="5894705" h="1552575">
                                <a:moveTo>
                                  <a:pt x="466178" y="1492986"/>
                                </a:moveTo>
                                <a:lnTo>
                                  <a:pt x="465518" y="1492326"/>
                                </a:lnTo>
                                <a:lnTo>
                                  <a:pt x="464197" y="1492326"/>
                                </a:lnTo>
                                <a:lnTo>
                                  <a:pt x="464858" y="1492986"/>
                                </a:lnTo>
                                <a:lnTo>
                                  <a:pt x="466178" y="1492986"/>
                                </a:lnTo>
                                <a:close/>
                              </a:path>
                              <a:path w="5894705" h="1552575">
                                <a:moveTo>
                                  <a:pt x="467499" y="1493659"/>
                                </a:moveTo>
                                <a:lnTo>
                                  <a:pt x="466178" y="1492986"/>
                                </a:lnTo>
                                <a:lnTo>
                                  <a:pt x="466839" y="1493659"/>
                                </a:lnTo>
                                <a:lnTo>
                                  <a:pt x="467499" y="1493659"/>
                                </a:lnTo>
                                <a:close/>
                              </a:path>
                              <a:path w="5894705" h="1552575">
                                <a:moveTo>
                                  <a:pt x="468160" y="1493659"/>
                                </a:moveTo>
                                <a:lnTo>
                                  <a:pt x="467499" y="1493659"/>
                                </a:lnTo>
                                <a:lnTo>
                                  <a:pt x="467499" y="1494320"/>
                                </a:lnTo>
                                <a:lnTo>
                                  <a:pt x="468160" y="1493659"/>
                                </a:lnTo>
                                <a:close/>
                              </a:path>
                              <a:path w="5894705" h="1552575">
                                <a:moveTo>
                                  <a:pt x="1723034" y="635482"/>
                                </a:moveTo>
                                <a:lnTo>
                                  <a:pt x="1722361" y="635482"/>
                                </a:lnTo>
                                <a:lnTo>
                                  <a:pt x="1721700" y="634822"/>
                                </a:lnTo>
                                <a:lnTo>
                                  <a:pt x="1721040" y="635482"/>
                                </a:lnTo>
                                <a:lnTo>
                                  <a:pt x="1720367" y="636143"/>
                                </a:lnTo>
                                <a:lnTo>
                                  <a:pt x="1722361" y="636143"/>
                                </a:lnTo>
                                <a:lnTo>
                                  <a:pt x="1723034" y="635482"/>
                                </a:lnTo>
                                <a:close/>
                              </a:path>
                              <a:path w="5894705" h="1552575">
                                <a:moveTo>
                                  <a:pt x="1725688" y="639470"/>
                                </a:moveTo>
                                <a:lnTo>
                                  <a:pt x="1725015" y="639470"/>
                                </a:lnTo>
                                <a:lnTo>
                                  <a:pt x="1724342" y="639470"/>
                                </a:lnTo>
                                <a:lnTo>
                                  <a:pt x="1724342" y="640143"/>
                                </a:lnTo>
                                <a:lnTo>
                                  <a:pt x="1725015" y="640143"/>
                                </a:lnTo>
                                <a:lnTo>
                                  <a:pt x="1725015" y="640803"/>
                                </a:lnTo>
                                <a:lnTo>
                                  <a:pt x="1725688" y="640143"/>
                                </a:lnTo>
                                <a:lnTo>
                                  <a:pt x="1725688" y="639470"/>
                                </a:lnTo>
                                <a:close/>
                              </a:path>
                              <a:path w="5894705" h="1552575">
                                <a:moveTo>
                                  <a:pt x="1964067" y="5308"/>
                                </a:moveTo>
                                <a:lnTo>
                                  <a:pt x="1963394" y="4648"/>
                                </a:lnTo>
                                <a:lnTo>
                                  <a:pt x="1963394" y="3987"/>
                                </a:lnTo>
                                <a:lnTo>
                                  <a:pt x="1962073" y="5969"/>
                                </a:lnTo>
                                <a:lnTo>
                                  <a:pt x="1961413" y="5969"/>
                                </a:lnTo>
                                <a:lnTo>
                                  <a:pt x="1962073" y="6642"/>
                                </a:lnTo>
                                <a:lnTo>
                                  <a:pt x="1963394" y="5969"/>
                                </a:lnTo>
                                <a:lnTo>
                                  <a:pt x="1964067" y="5308"/>
                                </a:lnTo>
                                <a:close/>
                              </a:path>
                              <a:path w="5894705" h="1552575">
                                <a:moveTo>
                                  <a:pt x="1964728" y="660"/>
                                </a:moveTo>
                                <a:lnTo>
                                  <a:pt x="1964067" y="0"/>
                                </a:lnTo>
                                <a:lnTo>
                                  <a:pt x="1963394" y="660"/>
                                </a:lnTo>
                                <a:lnTo>
                                  <a:pt x="1963394" y="3314"/>
                                </a:lnTo>
                                <a:lnTo>
                                  <a:pt x="1964728" y="1308"/>
                                </a:lnTo>
                                <a:lnTo>
                                  <a:pt x="1964728" y="660"/>
                                </a:lnTo>
                                <a:close/>
                              </a:path>
                              <a:path w="5894705" h="1552575">
                                <a:moveTo>
                                  <a:pt x="1965388" y="6642"/>
                                </a:moveTo>
                                <a:lnTo>
                                  <a:pt x="1964067" y="6642"/>
                                </a:lnTo>
                                <a:lnTo>
                                  <a:pt x="1963394" y="7315"/>
                                </a:lnTo>
                                <a:lnTo>
                                  <a:pt x="1964728" y="7975"/>
                                </a:lnTo>
                                <a:lnTo>
                                  <a:pt x="1965388" y="7315"/>
                                </a:lnTo>
                                <a:lnTo>
                                  <a:pt x="1965388" y="6642"/>
                                </a:lnTo>
                                <a:close/>
                              </a:path>
                              <a:path w="5894705" h="1552575">
                                <a:moveTo>
                                  <a:pt x="5863742" y="953884"/>
                                </a:moveTo>
                                <a:lnTo>
                                  <a:pt x="5862421" y="953884"/>
                                </a:lnTo>
                                <a:lnTo>
                                  <a:pt x="5861761" y="955217"/>
                                </a:lnTo>
                                <a:lnTo>
                                  <a:pt x="5861101" y="955217"/>
                                </a:lnTo>
                                <a:lnTo>
                                  <a:pt x="5861761" y="955878"/>
                                </a:lnTo>
                                <a:lnTo>
                                  <a:pt x="5863742" y="953884"/>
                                </a:lnTo>
                                <a:close/>
                              </a:path>
                              <a:path w="5894705" h="1552575">
                                <a:moveTo>
                                  <a:pt x="5867717" y="987120"/>
                                </a:moveTo>
                                <a:lnTo>
                                  <a:pt x="5867057" y="985799"/>
                                </a:lnTo>
                                <a:lnTo>
                                  <a:pt x="5866054" y="985799"/>
                                </a:lnTo>
                                <a:lnTo>
                                  <a:pt x="5866384" y="986459"/>
                                </a:lnTo>
                                <a:lnTo>
                                  <a:pt x="5867044" y="987120"/>
                                </a:lnTo>
                                <a:lnTo>
                                  <a:pt x="5867717" y="987120"/>
                                </a:lnTo>
                                <a:close/>
                              </a:path>
                              <a:path w="5894705" h="1552575">
                                <a:moveTo>
                                  <a:pt x="5869038" y="1011720"/>
                                </a:moveTo>
                                <a:lnTo>
                                  <a:pt x="5868378" y="1013053"/>
                                </a:lnTo>
                                <a:lnTo>
                                  <a:pt x="5867057" y="1014387"/>
                                </a:lnTo>
                                <a:lnTo>
                                  <a:pt x="5868149" y="1014387"/>
                                </a:lnTo>
                                <a:lnTo>
                                  <a:pt x="5869038" y="1013053"/>
                                </a:lnTo>
                                <a:lnTo>
                                  <a:pt x="5869038" y="1011720"/>
                                </a:lnTo>
                                <a:close/>
                              </a:path>
                              <a:path w="5894705" h="1552575">
                                <a:moveTo>
                                  <a:pt x="5869038" y="1011059"/>
                                </a:moveTo>
                                <a:lnTo>
                                  <a:pt x="5868695" y="1010386"/>
                                </a:lnTo>
                                <a:lnTo>
                                  <a:pt x="5868378" y="1010386"/>
                                </a:lnTo>
                                <a:lnTo>
                                  <a:pt x="5869038" y="1011720"/>
                                </a:lnTo>
                                <a:lnTo>
                                  <a:pt x="5869038" y="1011059"/>
                                </a:lnTo>
                                <a:close/>
                              </a:path>
                              <a:path w="5894705" h="1552575">
                                <a:moveTo>
                                  <a:pt x="5870372" y="999756"/>
                                </a:moveTo>
                                <a:lnTo>
                                  <a:pt x="5868378" y="1000417"/>
                                </a:lnTo>
                                <a:lnTo>
                                  <a:pt x="5867717" y="1001090"/>
                                </a:lnTo>
                                <a:lnTo>
                                  <a:pt x="5868378" y="1001090"/>
                                </a:lnTo>
                                <a:lnTo>
                                  <a:pt x="5869698" y="1000417"/>
                                </a:lnTo>
                                <a:lnTo>
                                  <a:pt x="5870372" y="1000417"/>
                                </a:lnTo>
                                <a:lnTo>
                                  <a:pt x="5870372" y="999756"/>
                                </a:lnTo>
                                <a:close/>
                              </a:path>
                              <a:path w="5894705" h="1552575">
                                <a:moveTo>
                                  <a:pt x="5893549" y="1054925"/>
                                </a:moveTo>
                                <a:lnTo>
                                  <a:pt x="5892876" y="1053604"/>
                                </a:lnTo>
                                <a:lnTo>
                                  <a:pt x="5892216" y="1053604"/>
                                </a:lnTo>
                                <a:lnTo>
                                  <a:pt x="5892876" y="1054925"/>
                                </a:lnTo>
                                <a:lnTo>
                                  <a:pt x="5893549" y="1054925"/>
                                </a:lnTo>
                                <a:close/>
                              </a:path>
                              <a:path w="5894705" h="1552575">
                                <a:moveTo>
                                  <a:pt x="5894209" y="1055598"/>
                                </a:moveTo>
                                <a:lnTo>
                                  <a:pt x="5893549" y="1055598"/>
                                </a:lnTo>
                                <a:lnTo>
                                  <a:pt x="5894209" y="1058913"/>
                                </a:lnTo>
                                <a:lnTo>
                                  <a:pt x="5894209" y="1055598"/>
                                </a:lnTo>
                                <a:close/>
                              </a:path>
                            </a:pathLst>
                          </a:custGeom>
                          <a:solidFill>
                            <a:srgbClr val="E6E7E8"/>
                          </a:solidFill>
                        </wps:spPr>
                        <wps:bodyPr wrap="square" lIns="0" tIns="0" rIns="0" bIns="0" rtlCol="0">
                          <a:prstTxWarp prst="textNoShape">
                            <a:avLst/>
                          </a:prstTxWarp>
                          <a:noAutofit/>
                        </wps:bodyPr>
                      </wps:wsp>
                      <pic:pic>
                        <pic:nvPicPr>
                          <pic:cNvPr id="2010" name="Image 2010"/>
                          <pic:cNvPicPr/>
                        </pic:nvPicPr>
                        <pic:blipFill>
                          <a:blip r:embed="rId172" cstate="print"/>
                          <a:stretch>
                            <a:fillRect/>
                          </a:stretch>
                        </pic:blipFill>
                        <pic:spPr>
                          <a:xfrm>
                            <a:off x="6079751" y="2700860"/>
                            <a:ext cx="115214" cy="101053"/>
                          </a:xfrm>
                          <a:prstGeom prst="rect">
                            <a:avLst/>
                          </a:prstGeom>
                        </pic:spPr>
                      </pic:pic>
                      <wps:wsp>
                        <wps:cNvPr id="2011" name="Graphic 2011"/>
                        <wps:cNvSpPr/>
                        <wps:spPr>
                          <a:xfrm>
                            <a:off x="2274112" y="1857311"/>
                            <a:ext cx="2110740" cy="1451610"/>
                          </a:xfrm>
                          <a:custGeom>
                            <a:avLst/>
                            <a:gdLst/>
                            <a:ahLst/>
                            <a:cxnLst/>
                            <a:rect l="l" t="t" r="r" b="b"/>
                            <a:pathLst>
                              <a:path w="2110740" h="1451610">
                                <a:moveTo>
                                  <a:pt x="3962" y="5981"/>
                                </a:moveTo>
                                <a:lnTo>
                                  <a:pt x="3314" y="2667"/>
                                </a:lnTo>
                                <a:lnTo>
                                  <a:pt x="3314" y="1333"/>
                                </a:lnTo>
                                <a:lnTo>
                                  <a:pt x="647" y="0"/>
                                </a:lnTo>
                                <a:lnTo>
                                  <a:pt x="647" y="660"/>
                                </a:lnTo>
                                <a:lnTo>
                                  <a:pt x="0" y="2667"/>
                                </a:lnTo>
                                <a:lnTo>
                                  <a:pt x="647" y="5321"/>
                                </a:lnTo>
                                <a:lnTo>
                                  <a:pt x="1320" y="9309"/>
                                </a:lnTo>
                                <a:lnTo>
                                  <a:pt x="2654" y="8636"/>
                                </a:lnTo>
                                <a:lnTo>
                                  <a:pt x="3962" y="5981"/>
                                </a:lnTo>
                                <a:close/>
                              </a:path>
                              <a:path w="2110740" h="1451610">
                                <a:moveTo>
                                  <a:pt x="1853476" y="1365377"/>
                                </a:moveTo>
                                <a:lnTo>
                                  <a:pt x="1852155" y="1365377"/>
                                </a:lnTo>
                                <a:lnTo>
                                  <a:pt x="1851494" y="1366037"/>
                                </a:lnTo>
                                <a:lnTo>
                                  <a:pt x="1851494" y="1367370"/>
                                </a:lnTo>
                                <a:lnTo>
                                  <a:pt x="1853476" y="1367370"/>
                                </a:lnTo>
                                <a:lnTo>
                                  <a:pt x="1853476" y="1365377"/>
                                </a:lnTo>
                                <a:close/>
                              </a:path>
                              <a:path w="2110740" h="1451610">
                                <a:moveTo>
                                  <a:pt x="2095830" y="1432521"/>
                                </a:moveTo>
                                <a:lnTo>
                                  <a:pt x="2092528" y="1432521"/>
                                </a:lnTo>
                                <a:lnTo>
                                  <a:pt x="2092528" y="1433182"/>
                                </a:lnTo>
                                <a:lnTo>
                                  <a:pt x="2091867" y="1433842"/>
                                </a:lnTo>
                                <a:lnTo>
                                  <a:pt x="2092528" y="1434503"/>
                                </a:lnTo>
                                <a:lnTo>
                                  <a:pt x="2091867" y="1435836"/>
                                </a:lnTo>
                                <a:lnTo>
                                  <a:pt x="2091867" y="1436497"/>
                                </a:lnTo>
                                <a:lnTo>
                                  <a:pt x="2093188" y="1435836"/>
                                </a:lnTo>
                                <a:lnTo>
                                  <a:pt x="2093849" y="1435836"/>
                                </a:lnTo>
                                <a:lnTo>
                                  <a:pt x="2095830" y="1433842"/>
                                </a:lnTo>
                                <a:lnTo>
                                  <a:pt x="2095830" y="1432521"/>
                                </a:lnTo>
                                <a:close/>
                              </a:path>
                              <a:path w="2110740" h="1451610">
                                <a:moveTo>
                                  <a:pt x="2110409" y="1437830"/>
                                </a:moveTo>
                                <a:lnTo>
                                  <a:pt x="2109089" y="1437170"/>
                                </a:lnTo>
                                <a:lnTo>
                                  <a:pt x="2107095" y="1437170"/>
                                </a:lnTo>
                                <a:lnTo>
                                  <a:pt x="2105761" y="1438490"/>
                                </a:lnTo>
                                <a:lnTo>
                                  <a:pt x="2103780" y="1438490"/>
                                </a:lnTo>
                                <a:lnTo>
                                  <a:pt x="2099818" y="1440484"/>
                                </a:lnTo>
                                <a:lnTo>
                                  <a:pt x="2098484" y="1440484"/>
                                </a:lnTo>
                                <a:lnTo>
                                  <a:pt x="2096490" y="1441157"/>
                                </a:lnTo>
                                <a:lnTo>
                                  <a:pt x="2095830" y="1441157"/>
                                </a:lnTo>
                                <a:lnTo>
                                  <a:pt x="2093849" y="1439151"/>
                                </a:lnTo>
                                <a:lnTo>
                                  <a:pt x="2094509" y="1437830"/>
                                </a:lnTo>
                                <a:lnTo>
                                  <a:pt x="2097824" y="1437830"/>
                                </a:lnTo>
                                <a:lnTo>
                                  <a:pt x="2097506" y="1437170"/>
                                </a:lnTo>
                                <a:lnTo>
                                  <a:pt x="2097163" y="1436497"/>
                                </a:lnTo>
                                <a:lnTo>
                                  <a:pt x="2098484" y="1434503"/>
                                </a:lnTo>
                                <a:lnTo>
                                  <a:pt x="2097163" y="1434503"/>
                                </a:lnTo>
                                <a:lnTo>
                                  <a:pt x="2093188" y="1437170"/>
                                </a:lnTo>
                                <a:lnTo>
                                  <a:pt x="2091207" y="1437170"/>
                                </a:lnTo>
                                <a:lnTo>
                                  <a:pt x="2089213" y="1436497"/>
                                </a:lnTo>
                                <a:lnTo>
                                  <a:pt x="2089886" y="1435176"/>
                                </a:lnTo>
                                <a:lnTo>
                                  <a:pt x="2091207" y="1433182"/>
                                </a:lnTo>
                                <a:lnTo>
                                  <a:pt x="2092528" y="1431848"/>
                                </a:lnTo>
                                <a:lnTo>
                                  <a:pt x="2093188" y="1429854"/>
                                </a:lnTo>
                                <a:lnTo>
                                  <a:pt x="2092528" y="1429181"/>
                                </a:lnTo>
                                <a:lnTo>
                                  <a:pt x="2093188" y="1428521"/>
                                </a:lnTo>
                                <a:lnTo>
                                  <a:pt x="2093188" y="1427187"/>
                                </a:lnTo>
                                <a:lnTo>
                                  <a:pt x="2092528" y="1427187"/>
                                </a:lnTo>
                                <a:lnTo>
                                  <a:pt x="2091207" y="1427861"/>
                                </a:lnTo>
                                <a:lnTo>
                                  <a:pt x="2089886" y="1429854"/>
                                </a:lnTo>
                                <a:lnTo>
                                  <a:pt x="2087880" y="1431188"/>
                                </a:lnTo>
                                <a:lnTo>
                                  <a:pt x="2087880" y="1433182"/>
                                </a:lnTo>
                                <a:lnTo>
                                  <a:pt x="2085238" y="1435836"/>
                                </a:lnTo>
                                <a:lnTo>
                                  <a:pt x="2085238" y="1437170"/>
                                </a:lnTo>
                                <a:lnTo>
                                  <a:pt x="2086559" y="1438490"/>
                                </a:lnTo>
                                <a:lnTo>
                                  <a:pt x="2085238" y="1438490"/>
                                </a:lnTo>
                                <a:lnTo>
                                  <a:pt x="2084578" y="1439824"/>
                                </a:lnTo>
                                <a:lnTo>
                                  <a:pt x="2084578" y="1440484"/>
                                </a:lnTo>
                                <a:lnTo>
                                  <a:pt x="2083917" y="1442491"/>
                                </a:lnTo>
                                <a:lnTo>
                                  <a:pt x="2083917" y="1444485"/>
                                </a:lnTo>
                                <a:lnTo>
                                  <a:pt x="2082596" y="1445145"/>
                                </a:lnTo>
                                <a:lnTo>
                                  <a:pt x="2081276" y="1447800"/>
                                </a:lnTo>
                                <a:lnTo>
                                  <a:pt x="2080615" y="1448460"/>
                                </a:lnTo>
                                <a:lnTo>
                                  <a:pt x="2080615" y="1449793"/>
                                </a:lnTo>
                                <a:lnTo>
                                  <a:pt x="2083257" y="1449793"/>
                                </a:lnTo>
                                <a:lnTo>
                                  <a:pt x="2085238" y="1449133"/>
                                </a:lnTo>
                                <a:lnTo>
                                  <a:pt x="2087219" y="1446466"/>
                                </a:lnTo>
                                <a:lnTo>
                                  <a:pt x="2088553" y="1446466"/>
                                </a:lnTo>
                                <a:lnTo>
                                  <a:pt x="2089886" y="1447139"/>
                                </a:lnTo>
                                <a:lnTo>
                                  <a:pt x="2091207" y="1448460"/>
                                </a:lnTo>
                                <a:lnTo>
                                  <a:pt x="2092528" y="1449133"/>
                                </a:lnTo>
                                <a:lnTo>
                                  <a:pt x="2093849" y="1449133"/>
                                </a:lnTo>
                                <a:lnTo>
                                  <a:pt x="2095169" y="1448460"/>
                                </a:lnTo>
                                <a:lnTo>
                                  <a:pt x="2095830" y="1448460"/>
                                </a:lnTo>
                                <a:lnTo>
                                  <a:pt x="2095830" y="1449133"/>
                                </a:lnTo>
                                <a:lnTo>
                                  <a:pt x="2096490" y="1450454"/>
                                </a:lnTo>
                                <a:lnTo>
                                  <a:pt x="2099157" y="1451127"/>
                                </a:lnTo>
                                <a:lnTo>
                                  <a:pt x="2099818" y="1451127"/>
                                </a:lnTo>
                                <a:lnTo>
                                  <a:pt x="2102459" y="1448460"/>
                                </a:lnTo>
                                <a:lnTo>
                                  <a:pt x="2103120" y="1448460"/>
                                </a:lnTo>
                                <a:lnTo>
                                  <a:pt x="2103120" y="1447139"/>
                                </a:lnTo>
                                <a:lnTo>
                                  <a:pt x="2101799" y="1446466"/>
                                </a:lnTo>
                                <a:lnTo>
                                  <a:pt x="2100478" y="1447139"/>
                                </a:lnTo>
                                <a:lnTo>
                                  <a:pt x="2099818" y="1448460"/>
                                </a:lnTo>
                                <a:lnTo>
                                  <a:pt x="2097163" y="1447139"/>
                                </a:lnTo>
                                <a:lnTo>
                                  <a:pt x="2096833" y="1446466"/>
                                </a:lnTo>
                                <a:lnTo>
                                  <a:pt x="2096490" y="1445806"/>
                                </a:lnTo>
                                <a:lnTo>
                                  <a:pt x="2096490" y="1444485"/>
                                </a:lnTo>
                                <a:lnTo>
                                  <a:pt x="2097824" y="1445145"/>
                                </a:lnTo>
                                <a:lnTo>
                                  <a:pt x="2098484" y="1444485"/>
                                </a:lnTo>
                                <a:lnTo>
                                  <a:pt x="2099818" y="1443151"/>
                                </a:lnTo>
                                <a:lnTo>
                                  <a:pt x="2103120" y="1443151"/>
                                </a:lnTo>
                                <a:lnTo>
                                  <a:pt x="2104440" y="1443812"/>
                                </a:lnTo>
                                <a:lnTo>
                                  <a:pt x="2104440" y="1445145"/>
                                </a:lnTo>
                                <a:lnTo>
                                  <a:pt x="2105761" y="1445145"/>
                                </a:lnTo>
                                <a:lnTo>
                                  <a:pt x="2106434" y="1444485"/>
                                </a:lnTo>
                                <a:lnTo>
                                  <a:pt x="2106434" y="1443812"/>
                                </a:lnTo>
                                <a:lnTo>
                                  <a:pt x="2108428" y="1443151"/>
                                </a:lnTo>
                                <a:lnTo>
                                  <a:pt x="2109749" y="1441818"/>
                                </a:lnTo>
                                <a:lnTo>
                                  <a:pt x="2110079" y="1441157"/>
                                </a:lnTo>
                                <a:lnTo>
                                  <a:pt x="2110409" y="1440484"/>
                                </a:lnTo>
                                <a:lnTo>
                                  <a:pt x="2110409" y="1437830"/>
                                </a:lnTo>
                                <a:close/>
                              </a:path>
                            </a:pathLst>
                          </a:custGeom>
                          <a:solidFill>
                            <a:srgbClr val="E6E7E8"/>
                          </a:solidFill>
                        </wps:spPr>
                        <wps:bodyPr wrap="square" lIns="0" tIns="0" rIns="0" bIns="0" rtlCol="0">
                          <a:prstTxWarp prst="textNoShape">
                            <a:avLst/>
                          </a:prstTxWarp>
                          <a:noAutofit/>
                        </wps:bodyPr>
                      </wps:wsp>
                      <pic:pic>
                        <pic:nvPicPr>
                          <pic:cNvPr id="2012" name="Image 2012"/>
                          <pic:cNvPicPr/>
                        </pic:nvPicPr>
                        <pic:blipFill>
                          <a:blip r:embed="rId173" cstate="print"/>
                          <a:stretch>
                            <a:fillRect/>
                          </a:stretch>
                        </pic:blipFill>
                        <pic:spPr>
                          <a:xfrm>
                            <a:off x="2619123" y="390705"/>
                            <a:ext cx="640335" cy="506729"/>
                          </a:xfrm>
                          <a:prstGeom prst="rect">
                            <a:avLst/>
                          </a:prstGeom>
                        </pic:spPr>
                      </pic:pic>
                      <wps:wsp>
                        <wps:cNvPr id="2013" name="Graphic 2013"/>
                        <wps:cNvSpPr/>
                        <wps:spPr>
                          <a:xfrm>
                            <a:off x="2251595" y="1802802"/>
                            <a:ext cx="3126740" cy="1584325"/>
                          </a:xfrm>
                          <a:custGeom>
                            <a:avLst/>
                            <a:gdLst/>
                            <a:ahLst/>
                            <a:cxnLst/>
                            <a:rect l="l" t="t" r="r" b="b"/>
                            <a:pathLst>
                              <a:path w="3126740" h="1584325">
                                <a:moveTo>
                                  <a:pt x="1993" y="0"/>
                                </a:moveTo>
                                <a:lnTo>
                                  <a:pt x="0" y="0"/>
                                </a:lnTo>
                                <a:lnTo>
                                  <a:pt x="673" y="673"/>
                                </a:lnTo>
                                <a:lnTo>
                                  <a:pt x="1993" y="1333"/>
                                </a:lnTo>
                                <a:lnTo>
                                  <a:pt x="1993" y="0"/>
                                </a:lnTo>
                                <a:close/>
                              </a:path>
                              <a:path w="3126740" h="1584325">
                                <a:moveTo>
                                  <a:pt x="53619" y="109689"/>
                                </a:moveTo>
                                <a:lnTo>
                                  <a:pt x="52971" y="109016"/>
                                </a:lnTo>
                                <a:lnTo>
                                  <a:pt x="50977" y="106362"/>
                                </a:lnTo>
                                <a:lnTo>
                                  <a:pt x="50317" y="106362"/>
                                </a:lnTo>
                                <a:lnTo>
                                  <a:pt x="49657" y="109689"/>
                                </a:lnTo>
                                <a:lnTo>
                                  <a:pt x="50317" y="111023"/>
                                </a:lnTo>
                                <a:lnTo>
                                  <a:pt x="51638" y="111683"/>
                                </a:lnTo>
                                <a:lnTo>
                                  <a:pt x="52311" y="111683"/>
                                </a:lnTo>
                                <a:lnTo>
                                  <a:pt x="53619" y="109689"/>
                                </a:lnTo>
                                <a:close/>
                              </a:path>
                              <a:path w="3126740" h="1584325">
                                <a:moveTo>
                                  <a:pt x="658215" y="29921"/>
                                </a:moveTo>
                                <a:lnTo>
                                  <a:pt x="657555" y="27927"/>
                                </a:lnTo>
                                <a:lnTo>
                                  <a:pt x="656234" y="27266"/>
                                </a:lnTo>
                                <a:lnTo>
                                  <a:pt x="652259" y="29921"/>
                                </a:lnTo>
                                <a:lnTo>
                                  <a:pt x="652259" y="31254"/>
                                </a:lnTo>
                                <a:lnTo>
                                  <a:pt x="652919" y="33248"/>
                                </a:lnTo>
                                <a:lnTo>
                                  <a:pt x="653580" y="33248"/>
                                </a:lnTo>
                                <a:lnTo>
                                  <a:pt x="654913" y="32575"/>
                                </a:lnTo>
                                <a:lnTo>
                                  <a:pt x="657555" y="30581"/>
                                </a:lnTo>
                                <a:lnTo>
                                  <a:pt x="658215" y="29921"/>
                                </a:lnTo>
                                <a:close/>
                              </a:path>
                              <a:path w="3126740" h="1584325">
                                <a:moveTo>
                                  <a:pt x="659549" y="35242"/>
                                </a:moveTo>
                                <a:lnTo>
                                  <a:pt x="658876" y="33248"/>
                                </a:lnTo>
                                <a:lnTo>
                                  <a:pt x="658215" y="33248"/>
                                </a:lnTo>
                                <a:lnTo>
                                  <a:pt x="656234" y="35242"/>
                                </a:lnTo>
                                <a:lnTo>
                                  <a:pt x="657555" y="35915"/>
                                </a:lnTo>
                                <a:lnTo>
                                  <a:pt x="659549" y="35915"/>
                                </a:lnTo>
                                <a:lnTo>
                                  <a:pt x="659549" y="35242"/>
                                </a:lnTo>
                                <a:close/>
                              </a:path>
                              <a:path w="3126740" h="1584325">
                                <a:moveTo>
                                  <a:pt x="668807" y="76454"/>
                                </a:moveTo>
                                <a:lnTo>
                                  <a:pt x="668147" y="75133"/>
                                </a:lnTo>
                                <a:lnTo>
                                  <a:pt x="666826" y="74460"/>
                                </a:lnTo>
                                <a:lnTo>
                                  <a:pt x="664845" y="75793"/>
                                </a:lnTo>
                                <a:lnTo>
                                  <a:pt x="664845" y="77787"/>
                                </a:lnTo>
                                <a:lnTo>
                                  <a:pt x="666165" y="79121"/>
                                </a:lnTo>
                                <a:lnTo>
                                  <a:pt x="666826" y="79121"/>
                                </a:lnTo>
                                <a:lnTo>
                                  <a:pt x="668147" y="78447"/>
                                </a:lnTo>
                                <a:lnTo>
                                  <a:pt x="668807" y="76454"/>
                                </a:lnTo>
                                <a:close/>
                              </a:path>
                              <a:path w="3126740" h="1584325">
                                <a:moveTo>
                                  <a:pt x="674776" y="41224"/>
                                </a:moveTo>
                                <a:lnTo>
                                  <a:pt x="674116" y="40563"/>
                                </a:lnTo>
                                <a:lnTo>
                                  <a:pt x="673455" y="39890"/>
                                </a:lnTo>
                                <a:lnTo>
                                  <a:pt x="670140" y="39230"/>
                                </a:lnTo>
                                <a:lnTo>
                                  <a:pt x="668807" y="38569"/>
                                </a:lnTo>
                                <a:lnTo>
                                  <a:pt x="668147" y="39230"/>
                                </a:lnTo>
                                <a:lnTo>
                                  <a:pt x="668147" y="39890"/>
                                </a:lnTo>
                                <a:lnTo>
                                  <a:pt x="669480" y="42545"/>
                                </a:lnTo>
                                <a:lnTo>
                                  <a:pt x="670140" y="41224"/>
                                </a:lnTo>
                                <a:lnTo>
                                  <a:pt x="670801" y="40563"/>
                                </a:lnTo>
                                <a:lnTo>
                                  <a:pt x="673455" y="41224"/>
                                </a:lnTo>
                                <a:lnTo>
                                  <a:pt x="674776" y="41224"/>
                                </a:lnTo>
                                <a:close/>
                              </a:path>
                              <a:path w="3126740" h="1584325">
                                <a:moveTo>
                                  <a:pt x="683387" y="75133"/>
                                </a:moveTo>
                                <a:lnTo>
                                  <a:pt x="682066" y="72466"/>
                                </a:lnTo>
                                <a:lnTo>
                                  <a:pt x="681393" y="71805"/>
                                </a:lnTo>
                                <a:lnTo>
                                  <a:pt x="679399" y="69138"/>
                                </a:lnTo>
                                <a:lnTo>
                                  <a:pt x="678738" y="68478"/>
                                </a:lnTo>
                                <a:lnTo>
                                  <a:pt x="678078" y="68478"/>
                                </a:lnTo>
                                <a:lnTo>
                                  <a:pt x="678078" y="69811"/>
                                </a:lnTo>
                                <a:lnTo>
                                  <a:pt x="677418" y="71805"/>
                                </a:lnTo>
                                <a:lnTo>
                                  <a:pt x="677418" y="73787"/>
                                </a:lnTo>
                                <a:lnTo>
                                  <a:pt x="678738" y="76454"/>
                                </a:lnTo>
                                <a:lnTo>
                                  <a:pt x="680072" y="77127"/>
                                </a:lnTo>
                                <a:lnTo>
                                  <a:pt x="682066" y="77127"/>
                                </a:lnTo>
                                <a:lnTo>
                                  <a:pt x="683387" y="75133"/>
                                </a:lnTo>
                                <a:close/>
                              </a:path>
                              <a:path w="3126740" h="1584325">
                                <a:moveTo>
                                  <a:pt x="689343" y="69811"/>
                                </a:moveTo>
                                <a:lnTo>
                                  <a:pt x="688670" y="68478"/>
                                </a:lnTo>
                                <a:lnTo>
                                  <a:pt x="688009" y="68478"/>
                                </a:lnTo>
                                <a:lnTo>
                                  <a:pt x="686689" y="69811"/>
                                </a:lnTo>
                                <a:lnTo>
                                  <a:pt x="687349" y="69811"/>
                                </a:lnTo>
                                <a:lnTo>
                                  <a:pt x="686689" y="71805"/>
                                </a:lnTo>
                                <a:lnTo>
                                  <a:pt x="687349" y="72466"/>
                                </a:lnTo>
                                <a:lnTo>
                                  <a:pt x="688009" y="72466"/>
                                </a:lnTo>
                                <a:lnTo>
                                  <a:pt x="689343" y="71805"/>
                                </a:lnTo>
                                <a:lnTo>
                                  <a:pt x="689343" y="69811"/>
                                </a:lnTo>
                                <a:close/>
                              </a:path>
                              <a:path w="3126740" h="1584325">
                                <a:moveTo>
                                  <a:pt x="694639" y="39230"/>
                                </a:moveTo>
                                <a:lnTo>
                                  <a:pt x="693978" y="37896"/>
                                </a:lnTo>
                                <a:lnTo>
                                  <a:pt x="693978" y="35915"/>
                                </a:lnTo>
                                <a:lnTo>
                                  <a:pt x="692658" y="35915"/>
                                </a:lnTo>
                                <a:lnTo>
                                  <a:pt x="692658" y="38569"/>
                                </a:lnTo>
                                <a:lnTo>
                                  <a:pt x="693318" y="38569"/>
                                </a:lnTo>
                                <a:lnTo>
                                  <a:pt x="693978" y="40563"/>
                                </a:lnTo>
                                <a:lnTo>
                                  <a:pt x="694639" y="39230"/>
                                </a:lnTo>
                                <a:close/>
                              </a:path>
                              <a:path w="3126740" h="1584325">
                                <a:moveTo>
                                  <a:pt x="697280" y="49860"/>
                                </a:moveTo>
                                <a:lnTo>
                                  <a:pt x="696950" y="49199"/>
                                </a:lnTo>
                                <a:lnTo>
                                  <a:pt x="696620" y="48539"/>
                                </a:lnTo>
                                <a:lnTo>
                                  <a:pt x="695299" y="48539"/>
                                </a:lnTo>
                                <a:lnTo>
                                  <a:pt x="694639" y="49199"/>
                                </a:lnTo>
                                <a:lnTo>
                                  <a:pt x="693318" y="48539"/>
                                </a:lnTo>
                                <a:lnTo>
                                  <a:pt x="693318" y="50533"/>
                                </a:lnTo>
                                <a:lnTo>
                                  <a:pt x="692658" y="52527"/>
                                </a:lnTo>
                                <a:lnTo>
                                  <a:pt x="693978" y="53848"/>
                                </a:lnTo>
                                <a:lnTo>
                                  <a:pt x="695299" y="53848"/>
                                </a:lnTo>
                                <a:lnTo>
                                  <a:pt x="697280" y="52527"/>
                                </a:lnTo>
                                <a:lnTo>
                                  <a:pt x="697280" y="49860"/>
                                </a:lnTo>
                                <a:close/>
                              </a:path>
                              <a:path w="3126740" h="1584325">
                                <a:moveTo>
                                  <a:pt x="2142871" y="1582750"/>
                                </a:moveTo>
                                <a:lnTo>
                                  <a:pt x="2141550" y="1582089"/>
                                </a:lnTo>
                                <a:lnTo>
                                  <a:pt x="2140216" y="1580756"/>
                                </a:lnTo>
                                <a:lnTo>
                                  <a:pt x="2137562" y="1580083"/>
                                </a:lnTo>
                                <a:lnTo>
                                  <a:pt x="2136902" y="1579435"/>
                                </a:lnTo>
                                <a:lnTo>
                                  <a:pt x="2136241" y="1579435"/>
                                </a:lnTo>
                                <a:lnTo>
                                  <a:pt x="2136241" y="1580083"/>
                                </a:lnTo>
                                <a:lnTo>
                                  <a:pt x="2136902" y="1580756"/>
                                </a:lnTo>
                                <a:lnTo>
                                  <a:pt x="2136902" y="1584071"/>
                                </a:lnTo>
                                <a:lnTo>
                                  <a:pt x="2138883" y="1584071"/>
                                </a:lnTo>
                                <a:lnTo>
                                  <a:pt x="2140877" y="1583410"/>
                                </a:lnTo>
                                <a:lnTo>
                                  <a:pt x="2142210" y="1583410"/>
                                </a:lnTo>
                                <a:lnTo>
                                  <a:pt x="2142871" y="1582750"/>
                                </a:lnTo>
                                <a:close/>
                              </a:path>
                              <a:path w="3126740" h="1584325">
                                <a:moveTo>
                                  <a:pt x="2944774" y="645464"/>
                                </a:moveTo>
                                <a:lnTo>
                                  <a:pt x="2944126" y="645464"/>
                                </a:lnTo>
                                <a:lnTo>
                                  <a:pt x="2942806" y="645464"/>
                                </a:lnTo>
                                <a:lnTo>
                                  <a:pt x="2942120" y="646798"/>
                                </a:lnTo>
                                <a:lnTo>
                                  <a:pt x="2943453" y="647458"/>
                                </a:lnTo>
                                <a:lnTo>
                                  <a:pt x="2944126" y="648131"/>
                                </a:lnTo>
                                <a:lnTo>
                                  <a:pt x="2944774" y="646798"/>
                                </a:lnTo>
                                <a:lnTo>
                                  <a:pt x="2944774" y="645464"/>
                                </a:lnTo>
                                <a:close/>
                              </a:path>
                              <a:path w="3126740" h="1584325">
                                <a:moveTo>
                                  <a:pt x="3120263" y="282524"/>
                                </a:moveTo>
                                <a:lnTo>
                                  <a:pt x="3119602" y="282524"/>
                                </a:lnTo>
                                <a:lnTo>
                                  <a:pt x="3116961" y="284518"/>
                                </a:lnTo>
                                <a:lnTo>
                                  <a:pt x="3114967" y="285838"/>
                                </a:lnTo>
                                <a:lnTo>
                                  <a:pt x="3113633" y="287832"/>
                                </a:lnTo>
                                <a:lnTo>
                                  <a:pt x="3111652" y="289826"/>
                                </a:lnTo>
                                <a:lnTo>
                                  <a:pt x="3107690" y="292493"/>
                                </a:lnTo>
                                <a:lnTo>
                                  <a:pt x="3103702" y="292493"/>
                                </a:lnTo>
                                <a:lnTo>
                                  <a:pt x="3106356" y="295148"/>
                                </a:lnTo>
                                <a:lnTo>
                                  <a:pt x="3107017" y="297141"/>
                                </a:lnTo>
                                <a:lnTo>
                                  <a:pt x="3107690" y="298475"/>
                                </a:lnTo>
                                <a:lnTo>
                                  <a:pt x="3107690" y="299796"/>
                                </a:lnTo>
                                <a:lnTo>
                                  <a:pt x="3108350" y="300469"/>
                                </a:lnTo>
                                <a:lnTo>
                                  <a:pt x="3110331" y="300469"/>
                                </a:lnTo>
                                <a:lnTo>
                                  <a:pt x="3110992" y="301802"/>
                                </a:lnTo>
                                <a:lnTo>
                                  <a:pt x="3112312" y="303796"/>
                                </a:lnTo>
                                <a:lnTo>
                                  <a:pt x="3112973" y="305790"/>
                                </a:lnTo>
                                <a:lnTo>
                                  <a:pt x="3114967" y="305790"/>
                                </a:lnTo>
                                <a:lnTo>
                                  <a:pt x="3115627" y="304457"/>
                                </a:lnTo>
                                <a:lnTo>
                                  <a:pt x="3116961" y="302463"/>
                                </a:lnTo>
                                <a:lnTo>
                                  <a:pt x="3116961" y="299796"/>
                                </a:lnTo>
                                <a:lnTo>
                                  <a:pt x="3117621" y="298475"/>
                                </a:lnTo>
                                <a:lnTo>
                                  <a:pt x="3117621" y="297141"/>
                                </a:lnTo>
                                <a:lnTo>
                                  <a:pt x="3116300" y="295808"/>
                                </a:lnTo>
                                <a:lnTo>
                                  <a:pt x="3116300" y="293827"/>
                                </a:lnTo>
                                <a:lnTo>
                                  <a:pt x="3115627" y="291160"/>
                                </a:lnTo>
                                <a:lnTo>
                                  <a:pt x="3115627" y="289826"/>
                                </a:lnTo>
                                <a:lnTo>
                                  <a:pt x="3116300" y="288493"/>
                                </a:lnTo>
                                <a:lnTo>
                                  <a:pt x="3117621" y="287832"/>
                                </a:lnTo>
                                <a:lnTo>
                                  <a:pt x="3120263" y="285178"/>
                                </a:lnTo>
                                <a:lnTo>
                                  <a:pt x="3120263" y="282524"/>
                                </a:lnTo>
                                <a:close/>
                              </a:path>
                              <a:path w="3126740" h="1584325">
                                <a:moveTo>
                                  <a:pt x="3126232" y="297802"/>
                                </a:moveTo>
                                <a:lnTo>
                                  <a:pt x="3124898" y="295808"/>
                                </a:lnTo>
                                <a:lnTo>
                                  <a:pt x="3124898" y="291833"/>
                                </a:lnTo>
                                <a:lnTo>
                                  <a:pt x="3123565" y="288493"/>
                                </a:lnTo>
                                <a:lnTo>
                                  <a:pt x="3122904" y="285838"/>
                                </a:lnTo>
                                <a:lnTo>
                                  <a:pt x="3122244" y="285178"/>
                                </a:lnTo>
                                <a:lnTo>
                                  <a:pt x="3120263" y="285178"/>
                                </a:lnTo>
                                <a:lnTo>
                                  <a:pt x="3120263" y="290499"/>
                                </a:lnTo>
                                <a:lnTo>
                                  <a:pt x="3120923" y="292493"/>
                                </a:lnTo>
                                <a:lnTo>
                                  <a:pt x="3122244" y="297141"/>
                                </a:lnTo>
                                <a:lnTo>
                                  <a:pt x="3124898" y="298475"/>
                                </a:lnTo>
                                <a:lnTo>
                                  <a:pt x="3125559" y="298475"/>
                                </a:lnTo>
                                <a:lnTo>
                                  <a:pt x="3126232" y="297802"/>
                                </a:lnTo>
                                <a:close/>
                              </a:path>
                            </a:pathLst>
                          </a:custGeom>
                          <a:solidFill>
                            <a:srgbClr val="E6E7E8"/>
                          </a:solidFill>
                        </wps:spPr>
                        <wps:bodyPr wrap="square" lIns="0" tIns="0" rIns="0" bIns="0" rtlCol="0">
                          <a:prstTxWarp prst="textNoShape">
                            <a:avLst/>
                          </a:prstTxWarp>
                          <a:noAutofit/>
                        </wps:bodyPr>
                      </wps:wsp>
                      <wps:wsp>
                        <wps:cNvPr id="2014" name="Graphic 2014"/>
                        <wps:cNvSpPr/>
                        <wps:spPr>
                          <a:xfrm>
                            <a:off x="1525830" y="1054966"/>
                            <a:ext cx="28575" cy="17780"/>
                          </a:xfrm>
                          <a:custGeom>
                            <a:avLst/>
                            <a:gdLst/>
                            <a:ahLst/>
                            <a:cxnLst/>
                            <a:rect l="l" t="t" r="r" b="b"/>
                            <a:pathLst>
                              <a:path w="28575" h="17780">
                                <a:moveTo>
                                  <a:pt x="0" y="9309"/>
                                </a:moveTo>
                                <a:lnTo>
                                  <a:pt x="8610" y="15290"/>
                                </a:lnTo>
                                <a:lnTo>
                                  <a:pt x="10591" y="16624"/>
                                </a:lnTo>
                                <a:lnTo>
                                  <a:pt x="11912" y="17284"/>
                                </a:lnTo>
                                <a:lnTo>
                                  <a:pt x="14566" y="16624"/>
                                </a:lnTo>
                                <a:lnTo>
                                  <a:pt x="18542" y="15290"/>
                                </a:lnTo>
                                <a:lnTo>
                                  <a:pt x="20523" y="13296"/>
                                </a:lnTo>
                                <a:lnTo>
                                  <a:pt x="21183" y="11963"/>
                                </a:lnTo>
                                <a:lnTo>
                                  <a:pt x="21856" y="9969"/>
                                </a:lnTo>
                                <a:lnTo>
                                  <a:pt x="21856" y="9309"/>
                                </a:lnTo>
                                <a:lnTo>
                                  <a:pt x="23177" y="7975"/>
                                </a:lnTo>
                                <a:lnTo>
                                  <a:pt x="23837" y="7315"/>
                                </a:lnTo>
                                <a:lnTo>
                                  <a:pt x="27813" y="5994"/>
                                </a:lnTo>
                                <a:lnTo>
                                  <a:pt x="28473" y="5321"/>
                                </a:lnTo>
                                <a:lnTo>
                                  <a:pt x="28473" y="4660"/>
                                </a:lnTo>
                                <a:lnTo>
                                  <a:pt x="27813" y="1993"/>
                                </a:lnTo>
                                <a:lnTo>
                                  <a:pt x="27813" y="0"/>
                                </a:lnTo>
                              </a:path>
                            </a:pathLst>
                          </a:custGeom>
                          <a:ln w="4445">
                            <a:solidFill>
                              <a:srgbClr val="FFFFFF"/>
                            </a:solidFill>
                            <a:prstDash val="solid"/>
                          </a:ln>
                        </wps:spPr>
                        <wps:bodyPr wrap="square" lIns="0" tIns="0" rIns="0" bIns="0" rtlCol="0">
                          <a:prstTxWarp prst="textNoShape">
                            <a:avLst/>
                          </a:prstTxWarp>
                          <a:noAutofit/>
                        </wps:bodyPr>
                      </wps:wsp>
                      <wps:wsp>
                        <wps:cNvPr id="2015" name="Graphic 2015"/>
                        <wps:cNvSpPr/>
                        <wps:spPr>
                          <a:xfrm>
                            <a:off x="3227674" y="1010432"/>
                            <a:ext cx="27305" cy="22225"/>
                          </a:xfrm>
                          <a:custGeom>
                            <a:avLst/>
                            <a:gdLst/>
                            <a:ahLst/>
                            <a:cxnLst/>
                            <a:rect l="l" t="t" r="r" b="b"/>
                            <a:pathLst>
                              <a:path w="27305" h="22225">
                                <a:moveTo>
                                  <a:pt x="13906" y="0"/>
                                </a:moveTo>
                                <a:lnTo>
                                  <a:pt x="11264" y="1333"/>
                                </a:lnTo>
                                <a:lnTo>
                                  <a:pt x="10604" y="3987"/>
                                </a:lnTo>
                                <a:lnTo>
                                  <a:pt x="9931" y="4648"/>
                                </a:lnTo>
                                <a:lnTo>
                                  <a:pt x="9271" y="5321"/>
                                </a:lnTo>
                                <a:lnTo>
                                  <a:pt x="8610" y="6654"/>
                                </a:lnTo>
                                <a:lnTo>
                                  <a:pt x="7937" y="7315"/>
                                </a:lnTo>
                                <a:lnTo>
                                  <a:pt x="6616" y="7315"/>
                                </a:lnTo>
                                <a:lnTo>
                                  <a:pt x="5956" y="7975"/>
                                </a:lnTo>
                                <a:lnTo>
                                  <a:pt x="5295" y="7975"/>
                                </a:lnTo>
                                <a:lnTo>
                                  <a:pt x="3975" y="7975"/>
                                </a:lnTo>
                                <a:lnTo>
                                  <a:pt x="3314" y="7975"/>
                                </a:lnTo>
                                <a:lnTo>
                                  <a:pt x="3314" y="8648"/>
                                </a:lnTo>
                                <a:lnTo>
                                  <a:pt x="3975" y="8648"/>
                                </a:lnTo>
                                <a:lnTo>
                                  <a:pt x="4635" y="9309"/>
                                </a:lnTo>
                                <a:lnTo>
                                  <a:pt x="5956" y="9969"/>
                                </a:lnTo>
                                <a:lnTo>
                                  <a:pt x="5956" y="10629"/>
                                </a:lnTo>
                                <a:lnTo>
                                  <a:pt x="5295" y="10629"/>
                                </a:lnTo>
                                <a:lnTo>
                                  <a:pt x="1333" y="11963"/>
                                </a:lnTo>
                                <a:lnTo>
                                  <a:pt x="660" y="12623"/>
                                </a:lnTo>
                                <a:lnTo>
                                  <a:pt x="0" y="13296"/>
                                </a:lnTo>
                                <a:lnTo>
                                  <a:pt x="0" y="14617"/>
                                </a:lnTo>
                                <a:lnTo>
                                  <a:pt x="3314" y="16624"/>
                                </a:lnTo>
                                <a:lnTo>
                                  <a:pt x="3314" y="17284"/>
                                </a:lnTo>
                                <a:lnTo>
                                  <a:pt x="3975" y="18618"/>
                                </a:lnTo>
                                <a:lnTo>
                                  <a:pt x="6616" y="19278"/>
                                </a:lnTo>
                                <a:lnTo>
                                  <a:pt x="7277" y="19938"/>
                                </a:lnTo>
                                <a:lnTo>
                                  <a:pt x="7937" y="20612"/>
                                </a:lnTo>
                                <a:lnTo>
                                  <a:pt x="9931" y="20612"/>
                                </a:lnTo>
                                <a:lnTo>
                                  <a:pt x="10604" y="20612"/>
                                </a:lnTo>
                                <a:lnTo>
                                  <a:pt x="11264" y="20612"/>
                                </a:lnTo>
                                <a:lnTo>
                                  <a:pt x="11264" y="19938"/>
                                </a:lnTo>
                                <a:lnTo>
                                  <a:pt x="13246" y="18618"/>
                                </a:lnTo>
                                <a:lnTo>
                                  <a:pt x="13906" y="17945"/>
                                </a:lnTo>
                                <a:lnTo>
                                  <a:pt x="13246" y="17284"/>
                                </a:lnTo>
                                <a:lnTo>
                                  <a:pt x="13246" y="16624"/>
                                </a:lnTo>
                                <a:lnTo>
                                  <a:pt x="13906" y="15963"/>
                                </a:lnTo>
                                <a:lnTo>
                                  <a:pt x="15227" y="14617"/>
                                </a:lnTo>
                                <a:lnTo>
                                  <a:pt x="15887" y="14617"/>
                                </a:lnTo>
                                <a:lnTo>
                                  <a:pt x="17208" y="15290"/>
                                </a:lnTo>
                                <a:lnTo>
                                  <a:pt x="17881" y="15963"/>
                                </a:lnTo>
                                <a:lnTo>
                                  <a:pt x="17881" y="17284"/>
                                </a:lnTo>
                                <a:lnTo>
                                  <a:pt x="18542" y="18618"/>
                                </a:lnTo>
                                <a:lnTo>
                                  <a:pt x="19202" y="19278"/>
                                </a:lnTo>
                                <a:lnTo>
                                  <a:pt x="20535" y="19278"/>
                                </a:lnTo>
                                <a:lnTo>
                                  <a:pt x="21196" y="19938"/>
                                </a:lnTo>
                                <a:lnTo>
                                  <a:pt x="20535" y="21272"/>
                                </a:lnTo>
                                <a:lnTo>
                                  <a:pt x="20535" y="21932"/>
                                </a:lnTo>
                                <a:lnTo>
                                  <a:pt x="22517" y="21932"/>
                                </a:lnTo>
                                <a:lnTo>
                                  <a:pt x="23837" y="21932"/>
                                </a:lnTo>
                                <a:lnTo>
                                  <a:pt x="24498" y="21932"/>
                                </a:lnTo>
                                <a:lnTo>
                                  <a:pt x="25158" y="21932"/>
                                </a:lnTo>
                                <a:lnTo>
                                  <a:pt x="25819" y="21272"/>
                                </a:lnTo>
                                <a:lnTo>
                                  <a:pt x="27152" y="21272"/>
                                </a:lnTo>
                              </a:path>
                            </a:pathLst>
                          </a:custGeom>
                          <a:ln w="4445">
                            <a:solidFill>
                              <a:srgbClr val="FFFFFF"/>
                            </a:solidFill>
                            <a:prstDash val="solid"/>
                          </a:ln>
                        </wps:spPr>
                        <wps:bodyPr wrap="square" lIns="0" tIns="0" rIns="0" bIns="0" rtlCol="0">
                          <a:prstTxWarp prst="textNoShape">
                            <a:avLst/>
                          </a:prstTxWarp>
                          <a:noAutofit/>
                        </wps:bodyPr>
                      </wps:wsp>
                      <wps:wsp>
                        <wps:cNvPr id="2016" name="Graphic 2016"/>
                        <wps:cNvSpPr/>
                        <wps:spPr>
                          <a:xfrm>
                            <a:off x="5173201" y="2170402"/>
                            <a:ext cx="8255" cy="6350"/>
                          </a:xfrm>
                          <a:custGeom>
                            <a:avLst/>
                            <a:gdLst/>
                            <a:ahLst/>
                            <a:cxnLst/>
                            <a:rect l="l" t="t" r="r" b="b"/>
                            <a:pathLst>
                              <a:path w="8255" h="6350">
                                <a:moveTo>
                                  <a:pt x="7950" y="3987"/>
                                </a:moveTo>
                                <a:lnTo>
                                  <a:pt x="7950" y="2654"/>
                                </a:lnTo>
                                <a:lnTo>
                                  <a:pt x="7950" y="1333"/>
                                </a:lnTo>
                                <a:lnTo>
                                  <a:pt x="5308" y="673"/>
                                </a:lnTo>
                                <a:lnTo>
                                  <a:pt x="3975" y="0"/>
                                </a:lnTo>
                                <a:lnTo>
                                  <a:pt x="1981" y="673"/>
                                </a:lnTo>
                                <a:lnTo>
                                  <a:pt x="660" y="2654"/>
                                </a:lnTo>
                                <a:lnTo>
                                  <a:pt x="0" y="4648"/>
                                </a:lnTo>
                                <a:lnTo>
                                  <a:pt x="0" y="5321"/>
                                </a:lnTo>
                                <a:lnTo>
                                  <a:pt x="0" y="5981"/>
                                </a:lnTo>
                              </a:path>
                            </a:pathLst>
                          </a:custGeom>
                          <a:ln w="4445">
                            <a:solidFill>
                              <a:srgbClr val="FFFFFF"/>
                            </a:solidFill>
                            <a:prstDash val="solid"/>
                          </a:ln>
                        </wps:spPr>
                        <wps:bodyPr wrap="square" lIns="0" tIns="0" rIns="0" bIns="0" rtlCol="0">
                          <a:prstTxWarp prst="textNoShape">
                            <a:avLst/>
                          </a:prstTxWarp>
                          <a:noAutofit/>
                        </wps:bodyPr>
                      </wps:wsp>
                      <wps:wsp>
                        <wps:cNvPr id="2017" name="Graphic 2017"/>
                        <wps:cNvSpPr/>
                        <wps:spPr>
                          <a:xfrm>
                            <a:off x="5106984" y="2049416"/>
                            <a:ext cx="35560" cy="24130"/>
                          </a:xfrm>
                          <a:custGeom>
                            <a:avLst/>
                            <a:gdLst/>
                            <a:ahLst/>
                            <a:cxnLst/>
                            <a:rect l="l" t="t" r="r" b="b"/>
                            <a:pathLst>
                              <a:path w="35560" h="24130">
                                <a:moveTo>
                                  <a:pt x="0" y="5321"/>
                                </a:moveTo>
                                <a:lnTo>
                                  <a:pt x="0" y="4660"/>
                                </a:lnTo>
                                <a:lnTo>
                                  <a:pt x="0" y="673"/>
                                </a:lnTo>
                                <a:lnTo>
                                  <a:pt x="660" y="0"/>
                                </a:lnTo>
                                <a:lnTo>
                                  <a:pt x="1320" y="0"/>
                                </a:lnTo>
                                <a:lnTo>
                                  <a:pt x="1981" y="0"/>
                                </a:lnTo>
                                <a:lnTo>
                                  <a:pt x="3302" y="3327"/>
                                </a:lnTo>
                                <a:lnTo>
                                  <a:pt x="7289" y="4660"/>
                                </a:lnTo>
                                <a:lnTo>
                                  <a:pt x="8610" y="5321"/>
                                </a:lnTo>
                                <a:lnTo>
                                  <a:pt x="9931" y="4660"/>
                                </a:lnTo>
                                <a:lnTo>
                                  <a:pt x="11252" y="5321"/>
                                </a:lnTo>
                                <a:lnTo>
                                  <a:pt x="11912" y="5981"/>
                                </a:lnTo>
                                <a:lnTo>
                                  <a:pt x="11912" y="7975"/>
                                </a:lnTo>
                                <a:lnTo>
                                  <a:pt x="13246" y="9969"/>
                                </a:lnTo>
                                <a:lnTo>
                                  <a:pt x="15240" y="9969"/>
                                </a:lnTo>
                                <a:lnTo>
                                  <a:pt x="15900" y="9969"/>
                                </a:lnTo>
                                <a:lnTo>
                                  <a:pt x="16560" y="9969"/>
                                </a:lnTo>
                                <a:lnTo>
                                  <a:pt x="17221" y="11976"/>
                                </a:lnTo>
                                <a:lnTo>
                                  <a:pt x="17221" y="14630"/>
                                </a:lnTo>
                                <a:lnTo>
                                  <a:pt x="17221" y="16624"/>
                                </a:lnTo>
                                <a:lnTo>
                                  <a:pt x="15900" y="19278"/>
                                </a:lnTo>
                                <a:lnTo>
                                  <a:pt x="15900" y="21285"/>
                                </a:lnTo>
                                <a:lnTo>
                                  <a:pt x="16560" y="21945"/>
                                </a:lnTo>
                                <a:lnTo>
                                  <a:pt x="17881" y="23266"/>
                                </a:lnTo>
                                <a:lnTo>
                                  <a:pt x="18542" y="23939"/>
                                </a:lnTo>
                                <a:lnTo>
                                  <a:pt x="19202" y="23939"/>
                                </a:lnTo>
                                <a:lnTo>
                                  <a:pt x="19862" y="23266"/>
                                </a:lnTo>
                                <a:lnTo>
                                  <a:pt x="20523" y="21945"/>
                                </a:lnTo>
                                <a:lnTo>
                                  <a:pt x="20523" y="20612"/>
                                </a:lnTo>
                                <a:lnTo>
                                  <a:pt x="23177" y="19278"/>
                                </a:lnTo>
                                <a:lnTo>
                                  <a:pt x="25831" y="17945"/>
                                </a:lnTo>
                                <a:lnTo>
                                  <a:pt x="26492" y="17945"/>
                                </a:lnTo>
                                <a:lnTo>
                                  <a:pt x="26492" y="18618"/>
                                </a:lnTo>
                                <a:lnTo>
                                  <a:pt x="27813" y="19938"/>
                                </a:lnTo>
                                <a:lnTo>
                                  <a:pt x="28473" y="20612"/>
                                </a:lnTo>
                                <a:lnTo>
                                  <a:pt x="29133" y="20612"/>
                                </a:lnTo>
                                <a:lnTo>
                                  <a:pt x="30454" y="20612"/>
                                </a:lnTo>
                                <a:lnTo>
                                  <a:pt x="31788" y="19278"/>
                                </a:lnTo>
                                <a:lnTo>
                                  <a:pt x="32448" y="17284"/>
                                </a:lnTo>
                                <a:lnTo>
                                  <a:pt x="32448" y="15951"/>
                                </a:lnTo>
                                <a:lnTo>
                                  <a:pt x="34442" y="13296"/>
                                </a:lnTo>
                                <a:lnTo>
                                  <a:pt x="34442" y="11302"/>
                                </a:lnTo>
                                <a:lnTo>
                                  <a:pt x="35102" y="9969"/>
                                </a:lnTo>
                              </a:path>
                            </a:pathLst>
                          </a:custGeom>
                          <a:ln w="4445">
                            <a:solidFill>
                              <a:srgbClr val="FFFFFF"/>
                            </a:solidFill>
                            <a:prstDash val="solid"/>
                          </a:ln>
                        </wps:spPr>
                        <wps:bodyPr wrap="square" lIns="0" tIns="0" rIns="0" bIns="0" rtlCol="0">
                          <a:prstTxWarp prst="textNoShape">
                            <a:avLst/>
                          </a:prstTxWarp>
                          <a:noAutofit/>
                        </wps:bodyPr>
                      </wps:wsp>
                      <wps:wsp>
                        <wps:cNvPr id="2018" name="Graphic 2018"/>
                        <wps:cNvSpPr/>
                        <wps:spPr>
                          <a:xfrm>
                            <a:off x="2100610" y="1762917"/>
                            <a:ext cx="8255" cy="37465"/>
                          </a:xfrm>
                          <a:custGeom>
                            <a:avLst/>
                            <a:gdLst/>
                            <a:ahLst/>
                            <a:cxnLst/>
                            <a:rect l="l" t="t" r="r" b="b"/>
                            <a:pathLst>
                              <a:path w="8255" h="37465">
                                <a:moveTo>
                                  <a:pt x="7289" y="0"/>
                                </a:moveTo>
                                <a:lnTo>
                                  <a:pt x="7289" y="660"/>
                                </a:lnTo>
                                <a:lnTo>
                                  <a:pt x="7289" y="5321"/>
                                </a:lnTo>
                                <a:lnTo>
                                  <a:pt x="7289" y="6654"/>
                                </a:lnTo>
                                <a:lnTo>
                                  <a:pt x="6629" y="8648"/>
                                </a:lnTo>
                                <a:lnTo>
                                  <a:pt x="6629" y="9309"/>
                                </a:lnTo>
                                <a:lnTo>
                                  <a:pt x="7950" y="11963"/>
                                </a:lnTo>
                                <a:lnTo>
                                  <a:pt x="7950" y="12623"/>
                                </a:lnTo>
                                <a:lnTo>
                                  <a:pt x="7289" y="13296"/>
                                </a:lnTo>
                                <a:lnTo>
                                  <a:pt x="5969" y="15290"/>
                                </a:lnTo>
                                <a:lnTo>
                                  <a:pt x="4648" y="15963"/>
                                </a:lnTo>
                                <a:lnTo>
                                  <a:pt x="4648" y="17945"/>
                                </a:lnTo>
                                <a:lnTo>
                                  <a:pt x="5308" y="19278"/>
                                </a:lnTo>
                                <a:lnTo>
                                  <a:pt x="5308" y="20612"/>
                                </a:lnTo>
                                <a:lnTo>
                                  <a:pt x="4648" y="21932"/>
                                </a:lnTo>
                                <a:lnTo>
                                  <a:pt x="2654" y="23926"/>
                                </a:lnTo>
                                <a:lnTo>
                                  <a:pt x="1993" y="24587"/>
                                </a:lnTo>
                                <a:lnTo>
                                  <a:pt x="0" y="24587"/>
                                </a:lnTo>
                                <a:lnTo>
                                  <a:pt x="660" y="26593"/>
                                </a:lnTo>
                                <a:lnTo>
                                  <a:pt x="1320" y="29248"/>
                                </a:lnTo>
                                <a:lnTo>
                                  <a:pt x="3314" y="30581"/>
                                </a:lnTo>
                                <a:lnTo>
                                  <a:pt x="3314" y="32575"/>
                                </a:lnTo>
                                <a:lnTo>
                                  <a:pt x="2654" y="33896"/>
                                </a:lnTo>
                                <a:lnTo>
                                  <a:pt x="1993" y="37223"/>
                                </a:lnTo>
                              </a:path>
                            </a:pathLst>
                          </a:custGeom>
                          <a:ln w="4445">
                            <a:solidFill>
                              <a:srgbClr val="FFFFFF"/>
                            </a:solidFill>
                            <a:prstDash val="solid"/>
                          </a:ln>
                        </wps:spPr>
                        <wps:bodyPr wrap="square" lIns="0" tIns="0" rIns="0" bIns="0" rtlCol="0">
                          <a:prstTxWarp prst="textNoShape">
                            <a:avLst/>
                          </a:prstTxWarp>
                          <a:noAutofit/>
                        </wps:bodyPr>
                      </wps:wsp>
                      <wps:wsp>
                        <wps:cNvPr id="2019" name="Graphic 2019"/>
                        <wps:cNvSpPr/>
                        <wps:spPr>
                          <a:xfrm>
                            <a:off x="5520194" y="2425663"/>
                            <a:ext cx="8255" cy="6350"/>
                          </a:xfrm>
                          <a:custGeom>
                            <a:avLst/>
                            <a:gdLst/>
                            <a:ahLst/>
                            <a:cxnLst/>
                            <a:rect l="l" t="t" r="r" b="b"/>
                            <a:pathLst>
                              <a:path w="8255" h="6350">
                                <a:moveTo>
                                  <a:pt x="0" y="3987"/>
                                </a:moveTo>
                                <a:lnTo>
                                  <a:pt x="0" y="4648"/>
                                </a:lnTo>
                                <a:lnTo>
                                  <a:pt x="660" y="5321"/>
                                </a:lnTo>
                                <a:lnTo>
                                  <a:pt x="1320" y="5981"/>
                                </a:lnTo>
                                <a:lnTo>
                                  <a:pt x="1320" y="5321"/>
                                </a:lnTo>
                                <a:lnTo>
                                  <a:pt x="3962" y="5981"/>
                                </a:lnTo>
                                <a:lnTo>
                                  <a:pt x="4635" y="5321"/>
                                </a:lnTo>
                                <a:lnTo>
                                  <a:pt x="5969" y="3987"/>
                                </a:lnTo>
                                <a:lnTo>
                                  <a:pt x="6629" y="3327"/>
                                </a:lnTo>
                                <a:lnTo>
                                  <a:pt x="7289" y="1333"/>
                                </a:lnTo>
                                <a:lnTo>
                                  <a:pt x="7950" y="0"/>
                                </a:lnTo>
                              </a:path>
                            </a:pathLst>
                          </a:custGeom>
                          <a:ln w="4445">
                            <a:solidFill>
                              <a:srgbClr val="FFFFFF"/>
                            </a:solidFill>
                            <a:prstDash val="solid"/>
                          </a:ln>
                        </wps:spPr>
                        <wps:bodyPr wrap="square" lIns="0" tIns="0" rIns="0" bIns="0" rtlCol="0">
                          <a:prstTxWarp prst="textNoShape">
                            <a:avLst/>
                          </a:prstTxWarp>
                          <a:noAutofit/>
                        </wps:bodyPr>
                      </wps:wsp>
                      <wps:wsp>
                        <wps:cNvPr id="2020" name="Graphic 2020"/>
                        <wps:cNvSpPr/>
                        <wps:spPr>
                          <a:xfrm>
                            <a:off x="5536750" y="2420344"/>
                            <a:ext cx="4445" cy="13335"/>
                          </a:xfrm>
                          <a:custGeom>
                            <a:avLst/>
                            <a:gdLst/>
                            <a:ahLst/>
                            <a:cxnLst/>
                            <a:rect l="l" t="t" r="r" b="b"/>
                            <a:pathLst>
                              <a:path w="4445" h="13335">
                                <a:moveTo>
                                  <a:pt x="0" y="0"/>
                                </a:moveTo>
                                <a:lnTo>
                                  <a:pt x="0" y="1993"/>
                                </a:lnTo>
                                <a:lnTo>
                                  <a:pt x="0" y="2654"/>
                                </a:lnTo>
                                <a:lnTo>
                                  <a:pt x="660" y="2654"/>
                                </a:lnTo>
                                <a:lnTo>
                                  <a:pt x="3302" y="1333"/>
                                </a:lnTo>
                                <a:lnTo>
                                  <a:pt x="3962" y="1993"/>
                                </a:lnTo>
                                <a:lnTo>
                                  <a:pt x="3962" y="3987"/>
                                </a:lnTo>
                                <a:lnTo>
                                  <a:pt x="2641" y="5981"/>
                                </a:lnTo>
                                <a:lnTo>
                                  <a:pt x="660" y="5981"/>
                                </a:lnTo>
                                <a:lnTo>
                                  <a:pt x="0" y="6654"/>
                                </a:lnTo>
                                <a:lnTo>
                                  <a:pt x="0" y="7315"/>
                                </a:lnTo>
                                <a:lnTo>
                                  <a:pt x="0" y="7975"/>
                                </a:lnTo>
                                <a:lnTo>
                                  <a:pt x="660" y="9309"/>
                                </a:lnTo>
                                <a:lnTo>
                                  <a:pt x="660" y="10629"/>
                                </a:lnTo>
                                <a:lnTo>
                                  <a:pt x="1320" y="13296"/>
                                </a:lnTo>
                              </a:path>
                            </a:pathLst>
                          </a:custGeom>
                          <a:ln w="4445">
                            <a:solidFill>
                              <a:srgbClr val="FFFFFF"/>
                            </a:solidFill>
                            <a:prstDash val="solid"/>
                          </a:ln>
                        </wps:spPr>
                        <wps:bodyPr wrap="square" lIns="0" tIns="0" rIns="0" bIns="0" rtlCol="0">
                          <a:prstTxWarp prst="textNoShape">
                            <a:avLst/>
                          </a:prstTxWarp>
                          <a:noAutofit/>
                        </wps:bodyPr>
                      </wps:wsp>
                      <pic:pic>
                        <pic:nvPicPr>
                          <pic:cNvPr id="2021" name="Image 2021"/>
                          <pic:cNvPicPr/>
                        </pic:nvPicPr>
                        <pic:blipFill>
                          <a:blip r:embed="rId174" cstate="print"/>
                          <a:stretch>
                            <a:fillRect/>
                          </a:stretch>
                        </pic:blipFill>
                        <pic:spPr>
                          <a:xfrm>
                            <a:off x="5275612" y="2085751"/>
                            <a:ext cx="149453" cy="100167"/>
                          </a:xfrm>
                          <a:prstGeom prst="rect">
                            <a:avLst/>
                          </a:prstGeom>
                        </pic:spPr>
                      </pic:pic>
                      <pic:pic>
                        <pic:nvPicPr>
                          <pic:cNvPr id="2022" name="Image 2022"/>
                          <pic:cNvPicPr/>
                        </pic:nvPicPr>
                        <pic:blipFill>
                          <a:blip r:embed="rId175" cstate="print"/>
                          <a:stretch>
                            <a:fillRect/>
                          </a:stretch>
                        </pic:blipFill>
                        <pic:spPr>
                          <a:xfrm>
                            <a:off x="3047981" y="679832"/>
                            <a:ext cx="2312197" cy="2194090"/>
                          </a:xfrm>
                          <a:prstGeom prst="rect">
                            <a:avLst/>
                          </a:prstGeom>
                        </pic:spPr>
                      </pic:pic>
                      <wps:wsp>
                        <wps:cNvPr id="2023" name="Graphic 2023"/>
                        <wps:cNvSpPr/>
                        <wps:spPr>
                          <a:xfrm>
                            <a:off x="5355309" y="2087971"/>
                            <a:ext cx="17145" cy="20955"/>
                          </a:xfrm>
                          <a:custGeom>
                            <a:avLst/>
                            <a:gdLst/>
                            <a:ahLst/>
                            <a:cxnLst/>
                            <a:rect l="l" t="t" r="r" b="b"/>
                            <a:pathLst>
                              <a:path w="17145" h="20955">
                                <a:moveTo>
                                  <a:pt x="0" y="7315"/>
                                </a:moveTo>
                                <a:lnTo>
                                  <a:pt x="660" y="7975"/>
                                </a:lnTo>
                                <a:lnTo>
                                  <a:pt x="1981" y="9309"/>
                                </a:lnTo>
                                <a:lnTo>
                                  <a:pt x="2641" y="9969"/>
                                </a:lnTo>
                                <a:lnTo>
                                  <a:pt x="3302" y="11963"/>
                                </a:lnTo>
                                <a:lnTo>
                                  <a:pt x="3975" y="13296"/>
                                </a:lnTo>
                                <a:lnTo>
                                  <a:pt x="3975" y="14630"/>
                                </a:lnTo>
                                <a:lnTo>
                                  <a:pt x="4635" y="15290"/>
                                </a:lnTo>
                                <a:lnTo>
                                  <a:pt x="6629" y="15290"/>
                                </a:lnTo>
                                <a:lnTo>
                                  <a:pt x="7289" y="16624"/>
                                </a:lnTo>
                                <a:lnTo>
                                  <a:pt x="8610" y="18618"/>
                                </a:lnTo>
                                <a:lnTo>
                                  <a:pt x="9271" y="20612"/>
                                </a:lnTo>
                                <a:lnTo>
                                  <a:pt x="9931" y="20612"/>
                                </a:lnTo>
                                <a:lnTo>
                                  <a:pt x="11252" y="20612"/>
                                </a:lnTo>
                                <a:lnTo>
                                  <a:pt x="11912" y="19278"/>
                                </a:lnTo>
                                <a:lnTo>
                                  <a:pt x="13246" y="17284"/>
                                </a:lnTo>
                                <a:lnTo>
                                  <a:pt x="13246" y="15290"/>
                                </a:lnTo>
                                <a:lnTo>
                                  <a:pt x="13246" y="14630"/>
                                </a:lnTo>
                                <a:lnTo>
                                  <a:pt x="13906" y="13296"/>
                                </a:lnTo>
                                <a:lnTo>
                                  <a:pt x="13906" y="11963"/>
                                </a:lnTo>
                                <a:lnTo>
                                  <a:pt x="13246" y="11303"/>
                                </a:lnTo>
                                <a:lnTo>
                                  <a:pt x="12573" y="10629"/>
                                </a:lnTo>
                                <a:lnTo>
                                  <a:pt x="12573" y="8648"/>
                                </a:lnTo>
                                <a:lnTo>
                                  <a:pt x="11912" y="5981"/>
                                </a:lnTo>
                                <a:lnTo>
                                  <a:pt x="11912" y="4660"/>
                                </a:lnTo>
                                <a:lnTo>
                                  <a:pt x="12573" y="3327"/>
                                </a:lnTo>
                                <a:lnTo>
                                  <a:pt x="13906" y="2667"/>
                                </a:lnTo>
                                <a:lnTo>
                                  <a:pt x="15240" y="1333"/>
                                </a:lnTo>
                                <a:lnTo>
                                  <a:pt x="16560" y="0"/>
                                </a:lnTo>
                              </a:path>
                            </a:pathLst>
                          </a:custGeom>
                          <a:ln w="4445">
                            <a:solidFill>
                              <a:srgbClr val="FFFFFF"/>
                            </a:solidFill>
                            <a:prstDash val="solid"/>
                          </a:ln>
                        </wps:spPr>
                        <wps:bodyPr wrap="square" lIns="0" tIns="0" rIns="0" bIns="0" rtlCol="0">
                          <a:prstTxWarp prst="textNoShape">
                            <a:avLst/>
                          </a:prstTxWarp>
                          <a:noAutofit/>
                        </wps:bodyPr>
                      </wps:wsp>
                      <wps:wsp>
                        <wps:cNvPr id="2024" name="Graphic 2024"/>
                        <wps:cNvSpPr/>
                        <wps:spPr>
                          <a:xfrm>
                            <a:off x="1972156" y="2008870"/>
                            <a:ext cx="13335" cy="33020"/>
                          </a:xfrm>
                          <a:custGeom>
                            <a:avLst/>
                            <a:gdLst/>
                            <a:ahLst/>
                            <a:cxnLst/>
                            <a:rect l="l" t="t" r="r" b="b"/>
                            <a:pathLst>
                              <a:path w="13335" h="33020">
                                <a:moveTo>
                                  <a:pt x="11252" y="0"/>
                                </a:moveTo>
                                <a:lnTo>
                                  <a:pt x="10591" y="660"/>
                                </a:lnTo>
                                <a:lnTo>
                                  <a:pt x="9931" y="2654"/>
                                </a:lnTo>
                                <a:lnTo>
                                  <a:pt x="9270" y="3987"/>
                                </a:lnTo>
                                <a:lnTo>
                                  <a:pt x="9931" y="5321"/>
                                </a:lnTo>
                                <a:lnTo>
                                  <a:pt x="10591" y="7315"/>
                                </a:lnTo>
                                <a:lnTo>
                                  <a:pt x="11252" y="9309"/>
                                </a:lnTo>
                                <a:lnTo>
                                  <a:pt x="11912" y="10629"/>
                                </a:lnTo>
                                <a:lnTo>
                                  <a:pt x="13233" y="14617"/>
                                </a:lnTo>
                                <a:lnTo>
                                  <a:pt x="13233" y="15963"/>
                                </a:lnTo>
                                <a:lnTo>
                                  <a:pt x="12572" y="16624"/>
                                </a:lnTo>
                                <a:lnTo>
                                  <a:pt x="11912" y="17284"/>
                                </a:lnTo>
                                <a:lnTo>
                                  <a:pt x="10591" y="18618"/>
                                </a:lnTo>
                                <a:lnTo>
                                  <a:pt x="9931" y="20612"/>
                                </a:lnTo>
                                <a:lnTo>
                                  <a:pt x="9931" y="21932"/>
                                </a:lnTo>
                                <a:lnTo>
                                  <a:pt x="6616" y="24587"/>
                                </a:lnTo>
                                <a:lnTo>
                                  <a:pt x="5956" y="25260"/>
                                </a:lnTo>
                                <a:lnTo>
                                  <a:pt x="5283" y="24587"/>
                                </a:lnTo>
                                <a:lnTo>
                                  <a:pt x="4622" y="23266"/>
                                </a:lnTo>
                                <a:lnTo>
                                  <a:pt x="3962" y="21932"/>
                                </a:lnTo>
                                <a:lnTo>
                                  <a:pt x="3301" y="21272"/>
                                </a:lnTo>
                                <a:lnTo>
                                  <a:pt x="2641" y="21932"/>
                                </a:lnTo>
                                <a:lnTo>
                                  <a:pt x="2641" y="22593"/>
                                </a:lnTo>
                                <a:lnTo>
                                  <a:pt x="2641" y="25260"/>
                                </a:lnTo>
                                <a:lnTo>
                                  <a:pt x="2641" y="26593"/>
                                </a:lnTo>
                                <a:lnTo>
                                  <a:pt x="1320" y="27927"/>
                                </a:lnTo>
                                <a:lnTo>
                                  <a:pt x="0" y="32575"/>
                                </a:lnTo>
                              </a:path>
                            </a:pathLst>
                          </a:custGeom>
                          <a:ln w="4445">
                            <a:solidFill>
                              <a:srgbClr val="FFFFFF"/>
                            </a:solidFill>
                            <a:prstDash val="solid"/>
                          </a:ln>
                        </wps:spPr>
                        <wps:bodyPr wrap="square" lIns="0" tIns="0" rIns="0" bIns="0" rtlCol="0">
                          <a:prstTxWarp prst="textNoShape">
                            <a:avLst/>
                          </a:prstTxWarp>
                          <a:noAutofit/>
                        </wps:bodyPr>
                      </wps:wsp>
                      <pic:pic>
                        <pic:nvPicPr>
                          <pic:cNvPr id="2025" name="Image 2025"/>
                          <pic:cNvPicPr/>
                        </pic:nvPicPr>
                        <pic:blipFill>
                          <a:blip r:embed="rId176" cstate="print"/>
                          <a:stretch>
                            <a:fillRect/>
                          </a:stretch>
                        </pic:blipFill>
                        <pic:spPr>
                          <a:xfrm>
                            <a:off x="1724488" y="1780630"/>
                            <a:ext cx="748518" cy="1645030"/>
                          </a:xfrm>
                          <a:prstGeom prst="rect">
                            <a:avLst/>
                          </a:prstGeom>
                        </pic:spPr>
                      </pic:pic>
                      <wps:wsp>
                        <wps:cNvPr id="2026" name="Graphic 2026"/>
                        <wps:cNvSpPr/>
                        <wps:spPr>
                          <a:xfrm>
                            <a:off x="5817523" y="2269448"/>
                            <a:ext cx="14604" cy="162560"/>
                          </a:xfrm>
                          <a:custGeom>
                            <a:avLst/>
                            <a:gdLst/>
                            <a:ahLst/>
                            <a:cxnLst/>
                            <a:rect l="l" t="t" r="r" b="b"/>
                            <a:pathLst>
                              <a:path w="14604" h="162560">
                                <a:moveTo>
                                  <a:pt x="14566" y="0"/>
                                </a:moveTo>
                                <a:lnTo>
                                  <a:pt x="14566" y="4648"/>
                                </a:lnTo>
                                <a:lnTo>
                                  <a:pt x="14566" y="9969"/>
                                </a:lnTo>
                                <a:lnTo>
                                  <a:pt x="13906" y="15290"/>
                                </a:lnTo>
                                <a:lnTo>
                                  <a:pt x="13906" y="19938"/>
                                </a:lnTo>
                                <a:lnTo>
                                  <a:pt x="13246" y="25260"/>
                                </a:lnTo>
                                <a:lnTo>
                                  <a:pt x="13246" y="29908"/>
                                </a:lnTo>
                                <a:lnTo>
                                  <a:pt x="12585" y="35229"/>
                                </a:lnTo>
                                <a:lnTo>
                                  <a:pt x="12585" y="40551"/>
                                </a:lnTo>
                                <a:lnTo>
                                  <a:pt x="11925" y="45212"/>
                                </a:lnTo>
                                <a:lnTo>
                                  <a:pt x="11925" y="50520"/>
                                </a:lnTo>
                                <a:lnTo>
                                  <a:pt x="11264" y="55841"/>
                                </a:lnTo>
                                <a:lnTo>
                                  <a:pt x="11264" y="60490"/>
                                </a:lnTo>
                                <a:lnTo>
                                  <a:pt x="10604" y="65811"/>
                                </a:lnTo>
                                <a:lnTo>
                                  <a:pt x="10604" y="71120"/>
                                </a:lnTo>
                                <a:lnTo>
                                  <a:pt x="9931" y="75780"/>
                                </a:lnTo>
                                <a:lnTo>
                                  <a:pt x="9270" y="81102"/>
                                </a:lnTo>
                                <a:lnTo>
                                  <a:pt x="8597" y="85750"/>
                                </a:lnTo>
                                <a:lnTo>
                                  <a:pt x="8597" y="91071"/>
                                </a:lnTo>
                                <a:lnTo>
                                  <a:pt x="7937" y="93065"/>
                                </a:lnTo>
                                <a:lnTo>
                                  <a:pt x="7277" y="95732"/>
                                </a:lnTo>
                                <a:lnTo>
                                  <a:pt x="5956" y="99707"/>
                                </a:lnTo>
                                <a:lnTo>
                                  <a:pt x="5295" y="103035"/>
                                </a:lnTo>
                                <a:lnTo>
                                  <a:pt x="5956" y="105702"/>
                                </a:lnTo>
                                <a:lnTo>
                                  <a:pt x="6616" y="107022"/>
                                </a:lnTo>
                                <a:lnTo>
                                  <a:pt x="6616" y="111671"/>
                                </a:lnTo>
                                <a:lnTo>
                                  <a:pt x="5956" y="116332"/>
                                </a:lnTo>
                                <a:lnTo>
                                  <a:pt x="5295" y="121640"/>
                                </a:lnTo>
                                <a:lnTo>
                                  <a:pt x="4635" y="126301"/>
                                </a:lnTo>
                                <a:lnTo>
                                  <a:pt x="3975" y="131622"/>
                                </a:lnTo>
                                <a:lnTo>
                                  <a:pt x="3314" y="136944"/>
                                </a:lnTo>
                                <a:lnTo>
                                  <a:pt x="2654" y="141592"/>
                                </a:lnTo>
                                <a:lnTo>
                                  <a:pt x="1993" y="146913"/>
                                </a:lnTo>
                                <a:lnTo>
                                  <a:pt x="1320" y="152222"/>
                                </a:lnTo>
                                <a:lnTo>
                                  <a:pt x="660" y="156883"/>
                                </a:lnTo>
                                <a:lnTo>
                                  <a:pt x="0" y="162191"/>
                                </a:lnTo>
                              </a:path>
                            </a:pathLst>
                          </a:custGeom>
                          <a:ln w="4445">
                            <a:solidFill>
                              <a:srgbClr val="FFFFFF"/>
                            </a:solidFill>
                            <a:prstDash val="solid"/>
                          </a:ln>
                        </wps:spPr>
                        <wps:bodyPr wrap="square" lIns="0" tIns="0" rIns="0" bIns="0" rtlCol="0">
                          <a:prstTxWarp prst="textNoShape">
                            <a:avLst/>
                          </a:prstTxWarp>
                          <a:noAutofit/>
                        </wps:bodyPr>
                      </wps:wsp>
                      <pic:pic>
                        <pic:nvPicPr>
                          <pic:cNvPr id="2027" name="Image 2027"/>
                          <pic:cNvPicPr/>
                        </pic:nvPicPr>
                        <pic:blipFill>
                          <a:blip r:embed="rId177" cstate="print"/>
                          <a:stretch>
                            <a:fillRect/>
                          </a:stretch>
                        </pic:blipFill>
                        <pic:spPr>
                          <a:xfrm>
                            <a:off x="1549425" y="594735"/>
                            <a:ext cx="233565" cy="326184"/>
                          </a:xfrm>
                          <a:prstGeom prst="rect">
                            <a:avLst/>
                          </a:prstGeom>
                        </pic:spPr>
                      </pic:pic>
                      <wps:wsp>
                        <wps:cNvPr id="2028" name="Graphic 2028"/>
                        <wps:cNvSpPr/>
                        <wps:spPr>
                          <a:xfrm>
                            <a:off x="1553643" y="1054969"/>
                            <a:ext cx="8890" cy="1905"/>
                          </a:xfrm>
                          <a:custGeom>
                            <a:avLst/>
                            <a:gdLst/>
                            <a:ahLst/>
                            <a:cxnLst/>
                            <a:rect l="l" t="t" r="r" b="b"/>
                            <a:pathLst>
                              <a:path w="8890" h="1905">
                                <a:moveTo>
                                  <a:pt x="0" y="0"/>
                                </a:moveTo>
                                <a:lnTo>
                                  <a:pt x="1320" y="660"/>
                                </a:lnTo>
                                <a:lnTo>
                                  <a:pt x="2641" y="660"/>
                                </a:lnTo>
                                <a:lnTo>
                                  <a:pt x="3302" y="660"/>
                                </a:lnTo>
                                <a:lnTo>
                                  <a:pt x="4635" y="660"/>
                                </a:lnTo>
                                <a:lnTo>
                                  <a:pt x="6629" y="1333"/>
                                </a:lnTo>
                                <a:lnTo>
                                  <a:pt x="8610" y="1333"/>
                                </a:lnTo>
                              </a:path>
                            </a:pathLst>
                          </a:custGeom>
                          <a:ln w="4445">
                            <a:solidFill>
                              <a:srgbClr val="FFFFFF"/>
                            </a:solidFill>
                            <a:prstDash val="solid"/>
                          </a:ln>
                        </wps:spPr>
                        <wps:bodyPr wrap="square" lIns="0" tIns="0" rIns="0" bIns="0" rtlCol="0">
                          <a:prstTxWarp prst="textNoShape">
                            <a:avLst/>
                          </a:prstTxWarp>
                          <a:noAutofit/>
                        </wps:bodyPr>
                      </wps:wsp>
                      <wps:wsp>
                        <wps:cNvPr id="2029" name="Graphic 2029"/>
                        <wps:cNvSpPr/>
                        <wps:spPr>
                          <a:xfrm>
                            <a:off x="1433122" y="1435861"/>
                            <a:ext cx="274320" cy="173990"/>
                          </a:xfrm>
                          <a:custGeom>
                            <a:avLst/>
                            <a:gdLst/>
                            <a:ahLst/>
                            <a:cxnLst/>
                            <a:rect l="l" t="t" r="r" b="b"/>
                            <a:pathLst>
                              <a:path w="274320" h="173990">
                                <a:moveTo>
                                  <a:pt x="0" y="1333"/>
                                </a:moveTo>
                                <a:lnTo>
                                  <a:pt x="5295" y="1333"/>
                                </a:lnTo>
                                <a:lnTo>
                                  <a:pt x="9931" y="673"/>
                                </a:lnTo>
                                <a:lnTo>
                                  <a:pt x="14566" y="673"/>
                                </a:lnTo>
                                <a:lnTo>
                                  <a:pt x="19202" y="673"/>
                                </a:lnTo>
                                <a:lnTo>
                                  <a:pt x="23837" y="673"/>
                                </a:lnTo>
                                <a:lnTo>
                                  <a:pt x="29133" y="0"/>
                                </a:lnTo>
                                <a:lnTo>
                                  <a:pt x="33769" y="0"/>
                                </a:lnTo>
                                <a:lnTo>
                                  <a:pt x="38404" y="0"/>
                                </a:lnTo>
                                <a:lnTo>
                                  <a:pt x="40398" y="0"/>
                                </a:lnTo>
                                <a:lnTo>
                                  <a:pt x="37744" y="3327"/>
                                </a:lnTo>
                                <a:lnTo>
                                  <a:pt x="36423" y="4648"/>
                                </a:lnTo>
                                <a:lnTo>
                                  <a:pt x="42379" y="8648"/>
                                </a:lnTo>
                                <a:lnTo>
                                  <a:pt x="49009" y="12636"/>
                                </a:lnTo>
                                <a:lnTo>
                                  <a:pt x="54965" y="16624"/>
                                </a:lnTo>
                                <a:lnTo>
                                  <a:pt x="61582" y="19951"/>
                                </a:lnTo>
                                <a:lnTo>
                                  <a:pt x="67551" y="23926"/>
                                </a:lnTo>
                                <a:lnTo>
                                  <a:pt x="73494" y="27927"/>
                                </a:lnTo>
                                <a:lnTo>
                                  <a:pt x="80124" y="31915"/>
                                </a:lnTo>
                                <a:lnTo>
                                  <a:pt x="86093" y="35890"/>
                                </a:lnTo>
                                <a:lnTo>
                                  <a:pt x="92036" y="36563"/>
                                </a:lnTo>
                                <a:lnTo>
                                  <a:pt x="98005" y="36563"/>
                                </a:lnTo>
                                <a:lnTo>
                                  <a:pt x="103301" y="37236"/>
                                </a:lnTo>
                                <a:lnTo>
                                  <a:pt x="109258" y="37236"/>
                                </a:lnTo>
                                <a:lnTo>
                                  <a:pt x="115227" y="37896"/>
                                </a:lnTo>
                                <a:lnTo>
                                  <a:pt x="118529" y="37896"/>
                                </a:lnTo>
                                <a:lnTo>
                                  <a:pt x="120523" y="37896"/>
                                </a:lnTo>
                                <a:lnTo>
                                  <a:pt x="126479" y="38557"/>
                                </a:lnTo>
                                <a:lnTo>
                                  <a:pt x="131775" y="38557"/>
                                </a:lnTo>
                                <a:lnTo>
                                  <a:pt x="133096" y="35890"/>
                                </a:lnTo>
                                <a:lnTo>
                                  <a:pt x="133756" y="33909"/>
                                </a:lnTo>
                                <a:lnTo>
                                  <a:pt x="135089" y="31242"/>
                                </a:lnTo>
                                <a:lnTo>
                                  <a:pt x="135750" y="28587"/>
                                </a:lnTo>
                                <a:lnTo>
                                  <a:pt x="139725" y="28587"/>
                                </a:lnTo>
                                <a:lnTo>
                                  <a:pt x="143027" y="29260"/>
                                </a:lnTo>
                                <a:lnTo>
                                  <a:pt x="146354" y="29260"/>
                                </a:lnTo>
                                <a:lnTo>
                                  <a:pt x="150317" y="29260"/>
                                </a:lnTo>
                                <a:lnTo>
                                  <a:pt x="153631" y="29921"/>
                                </a:lnTo>
                                <a:lnTo>
                                  <a:pt x="156946" y="29921"/>
                                </a:lnTo>
                                <a:lnTo>
                                  <a:pt x="160909" y="29921"/>
                                </a:lnTo>
                                <a:lnTo>
                                  <a:pt x="164223" y="30581"/>
                                </a:lnTo>
                                <a:lnTo>
                                  <a:pt x="164896" y="32575"/>
                                </a:lnTo>
                                <a:lnTo>
                                  <a:pt x="165557" y="35890"/>
                                </a:lnTo>
                                <a:lnTo>
                                  <a:pt x="166217" y="37896"/>
                                </a:lnTo>
                                <a:lnTo>
                                  <a:pt x="168198" y="39230"/>
                                </a:lnTo>
                                <a:lnTo>
                                  <a:pt x="170180" y="43205"/>
                                </a:lnTo>
                                <a:lnTo>
                                  <a:pt x="172834" y="49199"/>
                                </a:lnTo>
                                <a:lnTo>
                                  <a:pt x="174828" y="53848"/>
                                </a:lnTo>
                                <a:lnTo>
                                  <a:pt x="177469" y="55841"/>
                                </a:lnTo>
                                <a:lnTo>
                                  <a:pt x="178790" y="57835"/>
                                </a:lnTo>
                                <a:lnTo>
                                  <a:pt x="179451" y="59169"/>
                                </a:lnTo>
                                <a:lnTo>
                                  <a:pt x="179451" y="62484"/>
                                </a:lnTo>
                                <a:lnTo>
                                  <a:pt x="179451" y="69799"/>
                                </a:lnTo>
                                <a:lnTo>
                                  <a:pt x="178130" y="73126"/>
                                </a:lnTo>
                                <a:lnTo>
                                  <a:pt x="178130" y="75780"/>
                                </a:lnTo>
                                <a:lnTo>
                                  <a:pt x="178790" y="80441"/>
                                </a:lnTo>
                                <a:lnTo>
                                  <a:pt x="179451" y="82435"/>
                                </a:lnTo>
                                <a:lnTo>
                                  <a:pt x="180784" y="83756"/>
                                </a:lnTo>
                                <a:lnTo>
                                  <a:pt x="182105" y="85090"/>
                                </a:lnTo>
                                <a:lnTo>
                                  <a:pt x="182765" y="87083"/>
                                </a:lnTo>
                                <a:lnTo>
                                  <a:pt x="184086" y="89077"/>
                                </a:lnTo>
                                <a:lnTo>
                                  <a:pt x="186080" y="89750"/>
                                </a:lnTo>
                                <a:lnTo>
                                  <a:pt x="188722" y="91732"/>
                                </a:lnTo>
                                <a:lnTo>
                                  <a:pt x="192036" y="95059"/>
                                </a:lnTo>
                                <a:lnTo>
                                  <a:pt x="194017" y="97066"/>
                                </a:lnTo>
                                <a:lnTo>
                                  <a:pt x="195351" y="97066"/>
                                </a:lnTo>
                                <a:lnTo>
                                  <a:pt x="196672" y="96380"/>
                                </a:lnTo>
                                <a:lnTo>
                                  <a:pt x="198666" y="94399"/>
                                </a:lnTo>
                                <a:lnTo>
                                  <a:pt x="199986" y="93065"/>
                                </a:lnTo>
                                <a:lnTo>
                                  <a:pt x="201307" y="92405"/>
                                </a:lnTo>
                                <a:lnTo>
                                  <a:pt x="201968" y="91071"/>
                                </a:lnTo>
                                <a:lnTo>
                                  <a:pt x="202628" y="89750"/>
                                </a:lnTo>
                                <a:lnTo>
                                  <a:pt x="203949" y="87083"/>
                                </a:lnTo>
                                <a:lnTo>
                                  <a:pt x="207264" y="82435"/>
                                </a:lnTo>
                                <a:lnTo>
                                  <a:pt x="209918" y="80441"/>
                                </a:lnTo>
                                <a:lnTo>
                                  <a:pt x="212559" y="79768"/>
                                </a:lnTo>
                                <a:lnTo>
                                  <a:pt x="214541" y="79108"/>
                                </a:lnTo>
                                <a:lnTo>
                                  <a:pt x="215214" y="77787"/>
                                </a:lnTo>
                                <a:lnTo>
                                  <a:pt x="216535" y="77787"/>
                                </a:lnTo>
                                <a:lnTo>
                                  <a:pt x="217868" y="79108"/>
                                </a:lnTo>
                                <a:lnTo>
                                  <a:pt x="220510" y="79768"/>
                                </a:lnTo>
                                <a:lnTo>
                                  <a:pt x="224485" y="80441"/>
                                </a:lnTo>
                                <a:lnTo>
                                  <a:pt x="226479" y="80441"/>
                                </a:lnTo>
                                <a:lnTo>
                                  <a:pt x="227799" y="79768"/>
                                </a:lnTo>
                                <a:lnTo>
                                  <a:pt x="227799" y="80441"/>
                                </a:lnTo>
                                <a:lnTo>
                                  <a:pt x="228460" y="81102"/>
                                </a:lnTo>
                                <a:lnTo>
                                  <a:pt x="229781" y="81102"/>
                                </a:lnTo>
                                <a:lnTo>
                                  <a:pt x="230441" y="81762"/>
                                </a:lnTo>
                                <a:lnTo>
                                  <a:pt x="230441" y="84416"/>
                                </a:lnTo>
                                <a:lnTo>
                                  <a:pt x="233756" y="88417"/>
                                </a:lnTo>
                                <a:lnTo>
                                  <a:pt x="233756" y="89750"/>
                                </a:lnTo>
                                <a:lnTo>
                                  <a:pt x="234416" y="91732"/>
                                </a:lnTo>
                                <a:lnTo>
                                  <a:pt x="236410" y="95059"/>
                                </a:lnTo>
                                <a:lnTo>
                                  <a:pt x="237070" y="97726"/>
                                </a:lnTo>
                                <a:lnTo>
                                  <a:pt x="236410" y="99720"/>
                                </a:lnTo>
                                <a:lnTo>
                                  <a:pt x="237070" y="103695"/>
                                </a:lnTo>
                                <a:lnTo>
                                  <a:pt x="237731" y="108356"/>
                                </a:lnTo>
                                <a:lnTo>
                                  <a:pt x="238391" y="111010"/>
                                </a:lnTo>
                                <a:lnTo>
                                  <a:pt x="237731" y="111010"/>
                                </a:lnTo>
                                <a:lnTo>
                                  <a:pt x="237731" y="112344"/>
                                </a:lnTo>
                                <a:lnTo>
                                  <a:pt x="237731" y="114998"/>
                                </a:lnTo>
                                <a:lnTo>
                                  <a:pt x="238391" y="117005"/>
                                </a:lnTo>
                                <a:lnTo>
                                  <a:pt x="239712" y="118325"/>
                                </a:lnTo>
                                <a:lnTo>
                                  <a:pt x="240372" y="121653"/>
                                </a:lnTo>
                                <a:lnTo>
                                  <a:pt x="241033" y="125641"/>
                                </a:lnTo>
                                <a:lnTo>
                                  <a:pt x="242366" y="128968"/>
                                </a:lnTo>
                                <a:lnTo>
                                  <a:pt x="244347" y="130962"/>
                                </a:lnTo>
                                <a:lnTo>
                                  <a:pt x="245021" y="133616"/>
                                </a:lnTo>
                                <a:lnTo>
                                  <a:pt x="245021" y="134937"/>
                                </a:lnTo>
                                <a:lnTo>
                                  <a:pt x="244347" y="136944"/>
                                </a:lnTo>
                                <a:lnTo>
                                  <a:pt x="243687" y="138277"/>
                                </a:lnTo>
                                <a:lnTo>
                                  <a:pt x="243687" y="139598"/>
                                </a:lnTo>
                                <a:lnTo>
                                  <a:pt x="243687" y="140271"/>
                                </a:lnTo>
                                <a:lnTo>
                                  <a:pt x="243687" y="142252"/>
                                </a:lnTo>
                                <a:lnTo>
                                  <a:pt x="243027" y="144246"/>
                                </a:lnTo>
                                <a:lnTo>
                                  <a:pt x="243027" y="144919"/>
                                </a:lnTo>
                                <a:lnTo>
                                  <a:pt x="244347" y="148907"/>
                                </a:lnTo>
                                <a:lnTo>
                                  <a:pt x="244347" y="151561"/>
                                </a:lnTo>
                                <a:lnTo>
                                  <a:pt x="244347" y="156210"/>
                                </a:lnTo>
                                <a:lnTo>
                                  <a:pt x="244347" y="158877"/>
                                </a:lnTo>
                                <a:lnTo>
                                  <a:pt x="245681" y="160210"/>
                                </a:lnTo>
                                <a:lnTo>
                                  <a:pt x="248323" y="160210"/>
                                </a:lnTo>
                                <a:lnTo>
                                  <a:pt x="249643" y="161531"/>
                                </a:lnTo>
                                <a:lnTo>
                                  <a:pt x="250304" y="162864"/>
                                </a:lnTo>
                                <a:lnTo>
                                  <a:pt x="251637" y="164198"/>
                                </a:lnTo>
                                <a:lnTo>
                                  <a:pt x="253619" y="164198"/>
                                </a:lnTo>
                                <a:lnTo>
                                  <a:pt x="254952" y="165519"/>
                                </a:lnTo>
                                <a:lnTo>
                                  <a:pt x="256273" y="166852"/>
                                </a:lnTo>
                                <a:lnTo>
                                  <a:pt x="258914" y="168186"/>
                                </a:lnTo>
                                <a:lnTo>
                                  <a:pt x="263550" y="168846"/>
                                </a:lnTo>
                                <a:lnTo>
                                  <a:pt x="266865" y="170840"/>
                                </a:lnTo>
                                <a:lnTo>
                                  <a:pt x="268846" y="172834"/>
                                </a:lnTo>
                                <a:lnTo>
                                  <a:pt x="269519" y="173494"/>
                                </a:lnTo>
                                <a:lnTo>
                                  <a:pt x="270179" y="173494"/>
                                </a:lnTo>
                                <a:lnTo>
                                  <a:pt x="270179" y="172834"/>
                                </a:lnTo>
                                <a:lnTo>
                                  <a:pt x="270840" y="172173"/>
                                </a:lnTo>
                                <a:lnTo>
                                  <a:pt x="271500" y="171500"/>
                                </a:lnTo>
                                <a:lnTo>
                                  <a:pt x="274142" y="171500"/>
                                </a:lnTo>
                              </a:path>
                            </a:pathLst>
                          </a:custGeom>
                          <a:ln w="4445">
                            <a:solidFill>
                              <a:srgbClr val="FFFFFF"/>
                            </a:solidFill>
                            <a:prstDash val="solid"/>
                          </a:ln>
                        </wps:spPr>
                        <wps:bodyPr wrap="square" lIns="0" tIns="0" rIns="0" bIns="0" rtlCol="0">
                          <a:prstTxWarp prst="textNoShape">
                            <a:avLst/>
                          </a:prstTxWarp>
                          <a:noAutofit/>
                        </wps:bodyPr>
                      </wps:wsp>
                      <wps:wsp>
                        <wps:cNvPr id="2030" name="Graphic 2030"/>
                        <wps:cNvSpPr/>
                        <wps:spPr>
                          <a:xfrm>
                            <a:off x="1562251" y="1056299"/>
                            <a:ext cx="763270" cy="210185"/>
                          </a:xfrm>
                          <a:custGeom>
                            <a:avLst/>
                            <a:gdLst/>
                            <a:ahLst/>
                            <a:cxnLst/>
                            <a:rect l="l" t="t" r="r" b="b"/>
                            <a:pathLst>
                              <a:path w="763270" h="210185">
                                <a:moveTo>
                                  <a:pt x="0" y="0"/>
                                </a:moveTo>
                                <a:lnTo>
                                  <a:pt x="5295" y="660"/>
                                </a:lnTo>
                                <a:lnTo>
                                  <a:pt x="11252" y="1333"/>
                                </a:lnTo>
                                <a:lnTo>
                                  <a:pt x="17221" y="1993"/>
                                </a:lnTo>
                                <a:lnTo>
                                  <a:pt x="23177" y="2654"/>
                                </a:lnTo>
                                <a:lnTo>
                                  <a:pt x="29133" y="3314"/>
                                </a:lnTo>
                                <a:lnTo>
                                  <a:pt x="34429" y="3987"/>
                                </a:lnTo>
                                <a:lnTo>
                                  <a:pt x="40398" y="4648"/>
                                </a:lnTo>
                                <a:lnTo>
                                  <a:pt x="46355" y="4648"/>
                                </a:lnTo>
                                <a:lnTo>
                                  <a:pt x="52311" y="5321"/>
                                </a:lnTo>
                                <a:lnTo>
                                  <a:pt x="58280" y="5981"/>
                                </a:lnTo>
                                <a:lnTo>
                                  <a:pt x="64223" y="6654"/>
                                </a:lnTo>
                                <a:lnTo>
                                  <a:pt x="70192" y="7315"/>
                                </a:lnTo>
                                <a:lnTo>
                                  <a:pt x="76161" y="7975"/>
                                </a:lnTo>
                                <a:lnTo>
                                  <a:pt x="77482" y="7975"/>
                                </a:lnTo>
                                <a:lnTo>
                                  <a:pt x="81445" y="8648"/>
                                </a:lnTo>
                                <a:lnTo>
                                  <a:pt x="87414" y="9309"/>
                                </a:lnTo>
                                <a:lnTo>
                                  <a:pt x="90716" y="9309"/>
                                </a:lnTo>
                                <a:lnTo>
                                  <a:pt x="93370" y="9969"/>
                                </a:lnTo>
                                <a:lnTo>
                                  <a:pt x="99326" y="10629"/>
                                </a:lnTo>
                                <a:lnTo>
                                  <a:pt x="105295" y="11303"/>
                                </a:lnTo>
                                <a:lnTo>
                                  <a:pt x="111252" y="11963"/>
                                </a:lnTo>
                                <a:lnTo>
                                  <a:pt x="117208" y="11963"/>
                                </a:lnTo>
                                <a:lnTo>
                                  <a:pt x="118529" y="12623"/>
                                </a:lnTo>
                                <a:lnTo>
                                  <a:pt x="123164" y="12623"/>
                                </a:lnTo>
                                <a:lnTo>
                                  <a:pt x="129133" y="13296"/>
                                </a:lnTo>
                                <a:lnTo>
                                  <a:pt x="135089" y="13957"/>
                                </a:lnTo>
                                <a:lnTo>
                                  <a:pt x="141046" y="14617"/>
                                </a:lnTo>
                                <a:lnTo>
                                  <a:pt x="147015" y="15290"/>
                                </a:lnTo>
                                <a:lnTo>
                                  <a:pt x="152958" y="15963"/>
                                </a:lnTo>
                                <a:lnTo>
                                  <a:pt x="158927" y="16624"/>
                                </a:lnTo>
                                <a:lnTo>
                                  <a:pt x="164223" y="16624"/>
                                </a:lnTo>
                                <a:lnTo>
                                  <a:pt x="170180" y="17284"/>
                                </a:lnTo>
                                <a:lnTo>
                                  <a:pt x="174828" y="17945"/>
                                </a:lnTo>
                                <a:lnTo>
                                  <a:pt x="176149" y="17945"/>
                                </a:lnTo>
                                <a:lnTo>
                                  <a:pt x="182105" y="18618"/>
                                </a:lnTo>
                                <a:lnTo>
                                  <a:pt x="188061" y="19278"/>
                                </a:lnTo>
                                <a:lnTo>
                                  <a:pt x="194017" y="19938"/>
                                </a:lnTo>
                                <a:lnTo>
                                  <a:pt x="199986" y="20612"/>
                                </a:lnTo>
                                <a:lnTo>
                                  <a:pt x="205943" y="20612"/>
                                </a:lnTo>
                                <a:lnTo>
                                  <a:pt x="211899" y="21272"/>
                                </a:lnTo>
                                <a:lnTo>
                                  <a:pt x="217868" y="21932"/>
                                </a:lnTo>
                                <a:lnTo>
                                  <a:pt x="223812" y="22593"/>
                                </a:lnTo>
                                <a:lnTo>
                                  <a:pt x="230441" y="23266"/>
                                </a:lnTo>
                                <a:lnTo>
                                  <a:pt x="236410" y="23266"/>
                                </a:lnTo>
                                <a:lnTo>
                                  <a:pt x="242366" y="23926"/>
                                </a:lnTo>
                                <a:lnTo>
                                  <a:pt x="248323" y="24587"/>
                                </a:lnTo>
                                <a:lnTo>
                                  <a:pt x="254279" y="25260"/>
                                </a:lnTo>
                                <a:lnTo>
                                  <a:pt x="258254" y="25933"/>
                                </a:lnTo>
                                <a:lnTo>
                                  <a:pt x="260248" y="25933"/>
                                </a:lnTo>
                                <a:lnTo>
                                  <a:pt x="266204" y="25933"/>
                                </a:lnTo>
                                <a:lnTo>
                                  <a:pt x="272161" y="26593"/>
                                </a:lnTo>
                                <a:lnTo>
                                  <a:pt x="278130" y="27254"/>
                                </a:lnTo>
                                <a:lnTo>
                                  <a:pt x="284073" y="27927"/>
                                </a:lnTo>
                                <a:lnTo>
                                  <a:pt x="290042" y="28587"/>
                                </a:lnTo>
                                <a:lnTo>
                                  <a:pt x="295998" y="28587"/>
                                </a:lnTo>
                                <a:lnTo>
                                  <a:pt x="301955" y="29248"/>
                                </a:lnTo>
                                <a:lnTo>
                                  <a:pt x="307924" y="29908"/>
                                </a:lnTo>
                                <a:lnTo>
                                  <a:pt x="313880" y="30581"/>
                                </a:lnTo>
                                <a:lnTo>
                                  <a:pt x="320497" y="30581"/>
                                </a:lnTo>
                                <a:lnTo>
                                  <a:pt x="326466" y="31242"/>
                                </a:lnTo>
                                <a:lnTo>
                                  <a:pt x="332422" y="31902"/>
                                </a:lnTo>
                                <a:lnTo>
                                  <a:pt x="338378" y="32575"/>
                                </a:lnTo>
                                <a:lnTo>
                                  <a:pt x="344335" y="32575"/>
                                </a:lnTo>
                                <a:lnTo>
                                  <a:pt x="350304" y="33235"/>
                                </a:lnTo>
                                <a:lnTo>
                                  <a:pt x="356260" y="33896"/>
                                </a:lnTo>
                                <a:lnTo>
                                  <a:pt x="362216" y="34556"/>
                                </a:lnTo>
                                <a:lnTo>
                                  <a:pt x="368846" y="34556"/>
                                </a:lnTo>
                                <a:lnTo>
                                  <a:pt x="374802" y="35229"/>
                                </a:lnTo>
                                <a:lnTo>
                                  <a:pt x="380758" y="35902"/>
                                </a:lnTo>
                                <a:lnTo>
                                  <a:pt x="384073" y="35902"/>
                                </a:lnTo>
                                <a:lnTo>
                                  <a:pt x="386727" y="31242"/>
                                </a:lnTo>
                                <a:lnTo>
                                  <a:pt x="388708" y="27927"/>
                                </a:lnTo>
                                <a:lnTo>
                                  <a:pt x="391350" y="28587"/>
                                </a:lnTo>
                                <a:lnTo>
                                  <a:pt x="392023" y="29248"/>
                                </a:lnTo>
                                <a:lnTo>
                                  <a:pt x="391350" y="30581"/>
                                </a:lnTo>
                                <a:lnTo>
                                  <a:pt x="390029" y="33896"/>
                                </a:lnTo>
                                <a:lnTo>
                                  <a:pt x="389369" y="35902"/>
                                </a:lnTo>
                                <a:lnTo>
                                  <a:pt x="388708" y="39217"/>
                                </a:lnTo>
                                <a:lnTo>
                                  <a:pt x="388048" y="40551"/>
                                </a:lnTo>
                                <a:lnTo>
                                  <a:pt x="388048" y="41211"/>
                                </a:lnTo>
                                <a:lnTo>
                                  <a:pt x="388708" y="41871"/>
                                </a:lnTo>
                                <a:lnTo>
                                  <a:pt x="391350" y="43205"/>
                                </a:lnTo>
                                <a:lnTo>
                                  <a:pt x="395998" y="44538"/>
                                </a:lnTo>
                                <a:lnTo>
                                  <a:pt x="397979" y="45872"/>
                                </a:lnTo>
                                <a:lnTo>
                                  <a:pt x="397979" y="47193"/>
                                </a:lnTo>
                                <a:lnTo>
                                  <a:pt x="399300" y="47866"/>
                                </a:lnTo>
                                <a:lnTo>
                                  <a:pt x="401294" y="47866"/>
                                </a:lnTo>
                                <a:lnTo>
                                  <a:pt x="403275" y="47193"/>
                                </a:lnTo>
                                <a:lnTo>
                                  <a:pt x="405269" y="46532"/>
                                </a:lnTo>
                                <a:lnTo>
                                  <a:pt x="406590" y="45872"/>
                                </a:lnTo>
                                <a:lnTo>
                                  <a:pt x="408571" y="46532"/>
                                </a:lnTo>
                                <a:lnTo>
                                  <a:pt x="409892" y="46532"/>
                                </a:lnTo>
                                <a:lnTo>
                                  <a:pt x="410565" y="46532"/>
                                </a:lnTo>
                                <a:lnTo>
                                  <a:pt x="411886" y="47866"/>
                                </a:lnTo>
                                <a:lnTo>
                                  <a:pt x="413207" y="48526"/>
                                </a:lnTo>
                                <a:lnTo>
                                  <a:pt x="414540" y="50520"/>
                                </a:lnTo>
                                <a:lnTo>
                                  <a:pt x="415201" y="51181"/>
                                </a:lnTo>
                                <a:lnTo>
                                  <a:pt x="415201" y="52514"/>
                                </a:lnTo>
                                <a:lnTo>
                                  <a:pt x="415201" y="54508"/>
                                </a:lnTo>
                                <a:lnTo>
                                  <a:pt x="415861" y="54508"/>
                                </a:lnTo>
                                <a:lnTo>
                                  <a:pt x="417182" y="53835"/>
                                </a:lnTo>
                                <a:lnTo>
                                  <a:pt x="419176" y="53835"/>
                                </a:lnTo>
                                <a:lnTo>
                                  <a:pt x="421157" y="54508"/>
                                </a:lnTo>
                                <a:lnTo>
                                  <a:pt x="421817" y="57175"/>
                                </a:lnTo>
                                <a:lnTo>
                                  <a:pt x="423798" y="59156"/>
                                </a:lnTo>
                                <a:lnTo>
                                  <a:pt x="425132" y="60490"/>
                                </a:lnTo>
                                <a:lnTo>
                                  <a:pt x="427113" y="60490"/>
                                </a:lnTo>
                                <a:lnTo>
                                  <a:pt x="430428" y="59829"/>
                                </a:lnTo>
                                <a:lnTo>
                                  <a:pt x="433730" y="57835"/>
                                </a:lnTo>
                                <a:lnTo>
                                  <a:pt x="435724" y="57835"/>
                                </a:lnTo>
                                <a:lnTo>
                                  <a:pt x="436384" y="57835"/>
                                </a:lnTo>
                                <a:lnTo>
                                  <a:pt x="436384" y="59829"/>
                                </a:lnTo>
                                <a:lnTo>
                                  <a:pt x="437045" y="60490"/>
                                </a:lnTo>
                                <a:lnTo>
                                  <a:pt x="439039" y="60490"/>
                                </a:lnTo>
                                <a:lnTo>
                                  <a:pt x="443001" y="61150"/>
                                </a:lnTo>
                                <a:lnTo>
                                  <a:pt x="446328" y="60490"/>
                                </a:lnTo>
                                <a:lnTo>
                                  <a:pt x="446989" y="61823"/>
                                </a:lnTo>
                                <a:lnTo>
                                  <a:pt x="446989" y="63144"/>
                                </a:lnTo>
                                <a:lnTo>
                                  <a:pt x="447649" y="63817"/>
                                </a:lnTo>
                                <a:lnTo>
                                  <a:pt x="450291" y="63144"/>
                                </a:lnTo>
                                <a:lnTo>
                                  <a:pt x="452932" y="63817"/>
                                </a:lnTo>
                                <a:lnTo>
                                  <a:pt x="453605" y="63817"/>
                                </a:lnTo>
                                <a:lnTo>
                                  <a:pt x="454266" y="63817"/>
                                </a:lnTo>
                                <a:lnTo>
                                  <a:pt x="457581" y="63817"/>
                                </a:lnTo>
                                <a:lnTo>
                                  <a:pt x="458901" y="63144"/>
                                </a:lnTo>
                                <a:lnTo>
                                  <a:pt x="460883" y="62484"/>
                                </a:lnTo>
                                <a:lnTo>
                                  <a:pt x="464210" y="61150"/>
                                </a:lnTo>
                                <a:lnTo>
                                  <a:pt x="469493" y="59156"/>
                                </a:lnTo>
                                <a:lnTo>
                                  <a:pt x="473468" y="58496"/>
                                </a:lnTo>
                                <a:lnTo>
                                  <a:pt x="475462" y="60490"/>
                                </a:lnTo>
                                <a:lnTo>
                                  <a:pt x="477443" y="61823"/>
                                </a:lnTo>
                                <a:lnTo>
                                  <a:pt x="478104" y="62484"/>
                                </a:lnTo>
                                <a:lnTo>
                                  <a:pt x="480085" y="64477"/>
                                </a:lnTo>
                                <a:lnTo>
                                  <a:pt x="482079" y="66471"/>
                                </a:lnTo>
                                <a:lnTo>
                                  <a:pt x="485394" y="69799"/>
                                </a:lnTo>
                                <a:lnTo>
                                  <a:pt x="488035" y="72453"/>
                                </a:lnTo>
                                <a:lnTo>
                                  <a:pt x="490689" y="74447"/>
                                </a:lnTo>
                                <a:lnTo>
                                  <a:pt x="492671" y="76454"/>
                                </a:lnTo>
                                <a:lnTo>
                                  <a:pt x="493331" y="77114"/>
                                </a:lnTo>
                                <a:lnTo>
                                  <a:pt x="495325" y="79108"/>
                                </a:lnTo>
                                <a:lnTo>
                                  <a:pt x="497306" y="81102"/>
                                </a:lnTo>
                                <a:lnTo>
                                  <a:pt x="499300" y="83083"/>
                                </a:lnTo>
                                <a:lnTo>
                                  <a:pt x="501281" y="85090"/>
                                </a:lnTo>
                                <a:lnTo>
                                  <a:pt x="503262" y="87083"/>
                                </a:lnTo>
                                <a:lnTo>
                                  <a:pt x="505256" y="89077"/>
                                </a:lnTo>
                                <a:lnTo>
                                  <a:pt x="507238" y="91071"/>
                                </a:lnTo>
                                <a:lnTo>
                                  <a:pt x="509231" y="92392"/>
                                </a:lnTo>
                                <a:lnTo>
                                  <a:pt x="509231" y="95732"/>
                                </a:lnTo>
                                <a:lnTo>
                                  <a:pt x="508571" y="98386"/>
                                </a:lnTo>
                                <a:lnTo>
                                  <a:pt x="509231" y="101041"/>
                                </a:lnTo>
                                <a:lnTo>
                                  <a:pt x="509892" y="103035"/>
                                </a:lnTo>
                                <a:lnTo>
                                  <a:pt x="510552" y="102362"/>
                                </a:lnTo>
                                <a:lnTo>
                                  <a:pt x="511873" y="101701"/>
                                </a:lnTo>
                                <a:lnTo>
                                  <a:pt x="512533" y="101701"/>
                                </a:lnTo>
                                <a:lnTo>
                                  <a:pt x="513854" y="101701"/>
                                </a:lnTo>
                                <a:lnTo>
                                  <a:pt x="515848" y="101041"/>
                                </a:lnTo>
                                <a:lnTo>
                                  <a:pt x="516521" y="101041"/>
                                </a:lnTo>
                                <a:lnTo>
                                  <a:pt x="517182" y="101701"/>
                                </a:lnTo>
                                <a:lnTo>
                                  <a:pt x="516521" y="102362"/>
                                </a:lnTo>
                                <a:lnTo>
                                  <a:pt x="515848" y="103695"/>
                                </a:lnTo>
                                <a:lnTo>
                                  <a:pt x="515188" y="105029"/>
                                </a:lnTo>
                                <a:lnTo>
                                  <a:pt x="514527" y="107022"/>
                                </a:lnTo>
                                <a:lnTo>
                                  <a:pt x="514527" y="108356"/>
                                </a:lnTo>
                                <a:lnTo>
                                  <a:pt x="514527" y="110350"/>
                                </a:lnTo>
                                <a:lnTo>
                                  <a:pt x="514527" y="111671"/>
                                </a:lnTo>
                                <a:lnTo>
                                  <a:pt x="515848" y="111671"/>
                                </a:lnTo>
                                <a:lnTo>
                                  <a:pt x="517842" y="111010"/>
                                </a:lnTo>
                                <a:lnTo>
                                  <a:pt x="519823" y="111010"/>
                                </a:lnTo>
                                <a:lnTo>
                                  <a:pt x="520484" y="111010"/>
                                </a:lnTo>
                                <a:lnTo>
                                  <a:pt x="521144" y="112344"/>
                                </a:lnTo>
                                <a:lnTo>
                                  <a:pt x="521144" y="113004"/>
                                </a:lnTo>
                                <a:lnTo>
                                  <a:pt x="521144" y="113664"/>
                                </a:lnTo>
                                <a:lnTo>
                                  <a:pt x="517842" y="117665"/>
                                </a:lnTo>
                                <a:lnTo>
                                  <a:pt x="519823" y="119659"/>
                                </a:lnTo>
                                <a:lnTo>
                                  <a:pt x="522465" y="122313"/>
                                </a:lnTo>
                                <a:lnTo>
                                  <a:pt x="525119" y="124968"/>
                                </a:lnTo>
                                <a:lnTo>
                                  <a:pt x="526453" y="126974"/>
                                </a:lnTo>
                                <a:lnTo>
                                  <a:pt x="529094" y="128955"/>
                                </a:lnTo>
                                <a:lnTo>
                                  <a:pt x="527773" y="132283"/>
                                </a:lnTo>
                                <a:lnTo>
                                  <a:pt x="527113" y="134937"/>
                                </a:lnTo>
                                <a:lnTo>
                                  <a:pt x="526453" y="138938"/>
                                </a:lnTo>
                                <a:lnTo>
                                  <a:pt x="525119" y="142252"/>
                                </a:lnTo>
                                <a:lnTo>
                                  <a:pt x="524459" y="146253"/>
                                </a:lnTo>
                                <a:lnTo>
                                  <a:pt x="523125" y="150228"/>
                                </a:lnTo>
                                <a:lnTo>
                                  <a:pt x="522465" y="154876"/>
                                </a:lnTo>
                                <a:lnTo>
                                  <a:pt x="521144" y="158877"/>
                                </a:lnTo>
                                <a:lnTo>
                                  <a:pt x="519823" y="162864"/>
                                </a:lnTo>
                                <a:lnTo>
                                  <a:pt x="518502" y="168846"/>
                                </a:lnTo>
                                <a:lnTo>
                                  <a:pt x="517182" y="170840"/>
                                </a:lnTo>
                                <a:lnTo>
                                  <a:pt x="513194" y="175501"/>
                                </a:lnTo>
                                <a:lnTo>
                                  <a:pt x="510552" y="179476"/>
                                </a:lnTo>
                                <a:lnTo>
                                  <a:pt x="509892" y="180809"/>
                                </a:lnTo>
                                <a:lnTo>
                                  <a:pt x="505917" y="186791"/>
                                </a:lnTo>
                                <a:lnTo>
                                  <a:pt x="503923" y="189445"/>
                                </a:lnTo>
                                <a:lnTo>
                                  <a:pt x="501942" y="190779"/>
                                </a:lnTo>
                                <a:lnTo>
                                  <a:pt x="499960" y="192112"/>
                                </a:lnTo>
                                <a:lnTo>
                                  <a:pt x="497306" y="194094"/>
                                </a:lnTo>
                                <a:lnTo>
                                  <a:pt x="494665" y="195427"/>
                                </a:lnTo>
                                <a:lnTo>
                                  <a:pt x="493331" y="196100"/>
                                </a:lnTo>
                                <a:lnTo>
                                  <a:pt x="492671" y="196761"/>
                                </a:lnTo>
                                <a:lnTo>
                                  <a:pt x="490689" y="199428"/>
                                </a:lnTo>
                                <a:lnTo>
                                  <a:pt x="489356" y="202742"/>
                                </a:lnTo>
                                <a:lnTo>
                                  <a:pt x="489356" y="203403"/>
                                </a:lnTo>
                                <a:lnTo>
                                  <a:pt x="490029" y="206070"/>
                                </a:lnTo>
                                <a:lnTo>
                                  <a:pt x="492010" y="208064"/>
                                </a:lnTo>
                                <a:lnTo>
                                  <a:pt x="493991" y="210058"/>
                                </a:lnTo>
                                <a:lnTo>
                                  <a:pt x="497967" y="210058"/>
                                </a:lnTo>
                                <a:lnTo>
                                  <a:pt x="501942" y="208064"/>
                                </a:lnTo>
                                <a:lnTo>
                                  <a:pt x="506577" y="206070"/>
                                </a:lnTo>
                                <a:lnTo>
                                  <a:pt x="510552" y="204076"/>
                                </a:lnTo>
                                <a:lnTo>
                                  <a:pt x="515848" y="201409"/>
                                </a:lnTo>
                                <a:lnTo>
                                  <a:pt x="519823" y="199428"/>
                                </a:lnTo>
                                <a:lnTo>
                                  <a:pt x="523786" y="198755"/>
                                </a:lnTo>
                                <a:lnTo>
                                  <a:pt x="529755" y="198094"/>
                                </a:lnTo>
                                <a:lnTo>
                                  <a:pt x="532396" y="197434"/>
                                </a:lnTo>
                                <a:lnTo>
                                  <a:pt x="537044" y="196761"/>
                                </a:lnTo>
                                <a:lnTo>
                                  <a:pt x="541007" y="195427"/>
                                </a:lnTo>
                                <a:lnTo>
                                  <a:pt x="545655" y="193433"/>
                                </a:lnTo>
                                <a:lnTo>
                                  <a:pt x="551611" y="191439"/>
                                </a:lnTo>
                                <a:lnTo>
                                  <a:pt x="562203" y="185470"/>
                                </a:lnTo>
                                <a:lnTo>
                                  <a:pt x="561543" y="184797"/>
                                </a:lnTo>
                                <a:lnTo>
                                  <a:pt x="561543" y="184124"/>
                                </a:lnTo>
                                <a:lnTo>
                                  <a:pt x="560882" y="184124"/>
                                </a:lnTo>
                                <a:lnTo>
                                  <a:pt x="560882" y="183464"/>
                                </a:lnTo>
                                <a:lnTo>
                                  <a:pt x="561543" y="182803"/>
                                </a:lnTo>
                                <a:lnTo>
                                  <a:pt x="561543" y="182130"/>
                                </a:lnTo>
                                <a:lnTo>
                                  <a:pt x="561543" y="181470"/>
                                </a:lnTo>
                                <a:lnTo>
                                  <a:pt x="562864" y="177482"/>
                                </a:lnTo>
                                <a:lnTo>
                                  <a:pt x="562864" y="176822"/>
                                </a:lnTo>
                                <a:lnTo>
                                  <a:pt x="562864" y="173494"/>
                                </a:lnTo>
                                <a:lnTo>
                                  <a:pt x="565518" y="172161"/>
                                </a:lnTo>
                                <a:lnTo>
                                  <a:pt x="568820" y="171500"/>
                                </a:lnTo>
                                <a:lnTo>
                                  <a:pt x="570814" y="170180"/>
                                </a:lnTo>
                                <a:lnTo>
                                  <a:pt x="574789" y="170840"/>
                                </a:lnTo>
                                <a:lnTo>
                                  <a:pt x="578764" y="170840"/>
                                </a:lnTo>
                                <a:lnTo>
                                  <a:pt x="583387" y="170840"/>
                                </a:lnTo>
                                <a:lnTo>
                                  <a:pt x="588035" y="171500"/>
                                </a:lnTo>
                                <a:lnTo>
                                  <a:pt x="592658" y="171500"/>
                                </a:lnTo>
                                <a:lnTo>
                                  <a:pt x="595985" y="171500"/>
                                </a:lnTo>
                                <a:lnTo>
                                  <a:pt x="599948" y="172161"/>
                                </a:lnTo>
                                <a:lnTo>
                                  <a:pt x="602589" y="168846"/>
                                </a:lnTo>
                                <a:lnTo>
                                  <a:pt x="605917" y="165519"/>
                                </a:lnTo>
                                <a:lnTo>
                                  <a:pt x="608558" y="162864"/>
                                </a:lnTo>
                                <a:lnTo>
                                  <a:pt x="613194" y="159537"/>
                                </a:lnTo>
                                <a:lnTo>
                                  <a:pt x="614527" y="158877"/>
                                </a:lnTo>
                                <a:lnTo>
                                  <a:pt x="615188" y="157543"/>
                                </a:lnTo>
                                <a:lnTo>
                                  <a:pt x="617829" y="156222"/>
                                </a:lnTo>
                                <a:lnTo>
                                  <a:pt x="620471" y="155549"/>
                                </a:lnTo>
                                <a:lnTo>
                                  <a:pt x="621804" y="154216"/>
                                </a:lnTo>
                                <a:lnTo>
                                  <a:pt x="622465" y="153555"/>
                                </a:lnTo>
                                <a:lnTo>
                                  <a:pt x="630415" y="148234"/>
                                </a:lnTo>
                                <a:lnTo>
                                  <a:pt x="635050" y="145580"/>
                                </a:lnTo>
                                <a:lnTo>
                                  <a:pt x="638352" y="143586"/>
                                </a:lnTo>
                                <a:lnTo>
                                  <a:pt x="646963" y="143586"/>
                                </a:lnTo>
                                <a:lnTo>
                                  <a:pt x="653580" y="144246"/>
                                </a:lnTo>
                                <a:lnTo>
                                  <a:pt x="659549" y="144246"/>
                                </a:lnTo>
                                <a:lnTo>
                                  <a:pt x="663511" y="144246"/>
                                </a:lnTo>
                                <a:lnTo>
                                  <a:pt x="665505" y="144907"/>
                                </a:lnTo>
                                <a:lnTo>
                                  <a:pt x="672122" y="144907"/>
                                </a:lnTo>
                                <a:lnTo>
                                  <a:pt x="678091" y="144907"/>
                                </a:lnTo>
                                <a:lnTo>
                                  <a:pt x="684720" y="145580"/>
                                </a:lnTo>
                                <a:lnTo>
                                  <a:pt x="690664" y="145580"/>
                                </a:lnTo>
                                <a:lnTo>
                                  <a:pt x="693991" y="141592"/>
                                </a:lnTo>
                                <a:lnTo>
                                  <a:pt x="695972" y="139598"/>
                                </a:lnTo>
                                <a:lnTo>
                                  <a:pt x="697293" y="140258"/>
                                </a:lnTo>
                                <a:lnTo>
                                  <a:pt x="698614" y="140258"/>
                                </a:lnTo>
                                <a:lnTo>
                                  <a:pt x="699274" y="139598"/>
                                </a:lnTo>
                                <a:lnTo>
                                  <a:pt x="699935" y="139598"/>
                                </a:lnTo>
                                <a:lnTo>
                                  <a:pt x="701268" y="138938"/>
                                </a:lnTo>
                                <a:lnTo>
                                  <a:pt x="701929" y="138938"/>
                                </a:lnTo>
                                <a:lnTo>
                                  <a:pt x="701929" y="140258"/>
                                </a:lnTo>
                                <a:lnTo>
                                  <a:pt x="701929" y="140919"/>
                                </a:lnTo>
                                <a:lnTo>
                                  <a:pt x="702589" y="140258"/>
                                </a:lnTo>
                                <a:lnTo>
                                  <a:pt x="703249" y="139598"/>
                                </a:lnTo>
                                <a:lnTo>
                                  <a:pt x="703922" y="138264"/>
                                </a:lnTo>
                                <a:lnTo>
                                  <a:pt x="704583" y="137604"/>
                                </a:lnTo>
                                <a:lnTo>
                                  <a:pt x="705243" y="137604"/>
                                </a:lnTo>
                                <a:lnTo>
                                  <a:pt x="705904" y="137604"/>
                                </a:lnTo>
                                <a:lnTo>
                                  <a:pt x="706564" y="136944"/>
                                </a:lnTo>
                                <a:lnTo>
                                  <a:pt x="706564" y="135610"/>
                                </a:lnTo>
                                <a:lnTo>
                                  <a:pt x="707224" y="134277"/>
                                </a:lnTo>
                                <a:lnTo>
                                  <a:pt x="709879" y="132283"/>
                                </a:lnTo>
                                <a:lnTo>
                                  <a:pt x="711860" y="131622"/>
                                </a:lnTo>
                                <a:lnTo>
                                  <a:pt x="713181" y="130949"/>
                                </a:lnTo>
                                <a:lnTo>
                                  <a:pt x="713854" y="128955"/>
                                </a:lnTo>
                                <a:lnTo>
                                  <a:pt x="715175" y="127635"/>
                                </a:lnTo>
                                <a:lnTo>
                                  <a:pt x="716495" y="126974"/>
                                </a:lnTo>
                                <a:lnTo>
                                  <a:pt x="716495" y="126301"/>
                                </a:lnTo>
                                <a:lnTo>
                                  <a:pt x="716495" y="125641"/>
                                </a:lnTo>
                                <a:lnTo>
                                  <a:pt x="717156" y="123634"/>
                                </a:lnTo>
                                <a:lnTo>
                                  <a:pt x="718477" y="121640"/>
                                </a:lnTo>
                                <a:lnTo>
                                  <a:pt x="719810" y="119659"/>
                                </a:lnTo>
                                <a:lnTo>
                                  <a:pt x="721791" y="117665"/>
                                </a:lnTo>
                                <a:lnTo>
                                  <a:pt x="723773" y="115671"/>
                                </a:lnTo>
                                <a:lnTo>
                                  <a:pt x="725766" y="113004"/>
                                </a:lnTo>
                                <a:lnTo>
                                  <a:pt x="727087" y="109677"/>
                                </a:lnTo>
                                <a:lnTo>
                                  <a:pt x="730402" y="107022"/>
                                </a:lnTo>
                                <a:lnTo>
                                  <a:pt x="733704" y="103695"/>
                                </a:lnTo>
                                <a:lnTo>
                                  <a:pt x="735698" y="101701"/>
                                </a:lnTo>
                                <a:lnTo>
                                  <a:pt x="739013" y="98386"/>
                                </a:lnTo>
                                <a:lnTo>
                                  <a:pt x="741654" y="96393"/>
                                </a:lnTo>
                                <a:lnTo>
                                  <a:pt x="742975" y="95059"/>
                                </a:lnTo>
                                <a:lnTo>
                                  <a:pt x="744308" y="93726"/>
                                </a:lnTo>
                                <a:lnTo>
                                  <a:pt x="745629" y="94386"/>
                                </a:lnTo>
                                <a:lnTo>
                                  <a:pt x="746963" y="94386"/>
                                </a:lnTo>
                                <a:lnTo>
                                  <a:pt x="746302" y="96393"/>
                                </a:lnTo>
                                <a:lnTo>
                                  <a:pt x="745629" y="97713"/>
                                </a:lnTo>
                                <a:lnTo>
                                  <a:pt x="745629" y="98386"/>
                                </a:lnTo>
                                <a:lnTo>
                                  <a:pt x="746302" y="99047"/>
                                </a:lnTo>
                                <a:lnTo>
                                  <a:pt x="746963" y="99707"/>
                                </a:lnTo>
                                <a:lnTo>
                                  <a:pt x="747623" y="99707"/>
                                </a:lnTo>
                                <a:lnTo>
                                  <a:pt x="748284" y="99707"/>
                                </a:lnTo>
                                <a:lnTo>
                                  <a:pt x="751586" y="99047"/>
                                </a:lnTo>
                                <a:lnTo>
                                  <a:pt x="754240" y="98386"/>
                                </a:lnTo>
                                <a:lnTo>
                                  <a:pt x="756234" y="97713"/>
                                </a:lnTo>
                                <a:lnTo>
                                  <a:pt x="756894" y="97053"/>
                                </a:lnTo>
                                <a:lnTo>
                                  <a:pt x="757555" y="97053"/>
                                </a:lnTo>
                                <a:lnTo>
                                  <a:pt x="758215" y="97053"/>
                                </a:lnTo>
                                <a:lnTo>
                                  <a:pt x="760196" y="99047"/>
                                </a:lnTo>
                                <a:lnTo>
                                  <a:pt x="761517" y="101041"/>
                                </a:lnTo>
                                <a:lnTo>
                                  <a:pt x="762850" y="103035"/>
                                </a:lnTo>
                                <a:lnTo>
                                  <a:pt x="761517" y="106362"/>
                                </a:lnTo>
                                <a:lnTo>
                                  <a:pt x="760196" y="109677"/>
                                </a:lnTo>
                                <a:lnTo>
                                  <a:pt x="758875" y="113664"/>
                                </a:lnTo>
                                <a:lnTo>
                                  <a:pt x="758215" y="115671"/>
                                </a:lnTo>
                                <a:lnTo>
                                  <a:pt x="756894" y="119659"/>
                                </a:lnTo>
                                <a:lnTo>
                                  <a:pt x="756234" y="122313"/>
                                </a:lnTo>
                                <a:lnTo>
                                  <a:pt x="754913" y="126301"/>
                                </a:lnTo>
                                <a:lnTo>
                                  <a:pt x="754240" y="127635"/>
                                </a:lnTo>
                                <a:lnTo>
                                  <a:pt x="754240" y="128295"/>
                                </a:lnTo>
                                <a:lnTo>
                                  <a:pt x="753579" y="128955"/>
                                </a:lnTo>
                                <a:lnTo>
                                  <a:pt x="753579" y="129628"/>
                                </a:lnTo>
                                <a:lnTo>
                                  <a:pt x="753579" y="130289"/>
                                </a:lnTo>
                                <a:lnTo>
                                  <a:pt x="753579" y="130949"/>
                                </a:lnTo>
                                <a:lnTo>
                                  <a:pt x="752906" y="131622"/>
                                </a:lnTo>
                                <a:lnTo>
                                  <a:pt x="752246" y="131622"/>
                                </a:lnTo>
                                <a:lnTo>
                                  <a:pt x="752246" y="132943"/>
                                </a:lnTo>
                                <a:lnTo>
                                  <a:pt x="752246" y="133604"/>
                                </a:lnTo>
                                <a:lnTo>
                                  <a:pt x="752906" y="133604"/>
                                </a:lnTo>
                                <a:lnTo>
                                  <a:pt x="753579" y="134277"/>
                                </a:lnTo>
                                <a:lnTo>
                                  <a:pt x="753579" y="134937"/>
                                </a:lnTo>
                                <a:lnTo>
                                  <a:pt x="754240" y="135610"/>
                                </a:lnTo>
                                <a:lnTo>
                                  <a:pt x="755573" y="135610"/>
                                </a:lnTo>
                                <a:lnTo>
                                  <a:pt x="756234" y="135610"/>
                                </a:lnTo>
                                <a:lnTo>
                                  <a:pt x="756894" y="135610"/>
                                </a:lnTo>
                                <a:lnTo>
                                  <a:pt x="756894" y="136944"/>
                                </a:lnTo>
                                <a:lnTo>
                                  <a:pt x="756234" y="137604"/>
                                </a:lnTo>
                                <a:lnTo>
                                  <a:pt x="755573" y="137604"/>
                                </a:lnTo>
                                <a:lnTo>
                                  <a:pt x="754913" y="138264"/>
                                </a:lnTo>
                                <a:lnTo>
                                  <a:pt x="754913" y="138938"/>
                                </a:lnTo>
                                <a:lnTo>
                                  <a:pt x="754913" y="139598"/>
                                </a:lnTo>
                                <a:lnTo>
                                  <a:pt x="754913" y="140919"/>
                                </a:lnTo>
                                <a:lnTo>
                                  <a:pt x="754913" y="141592"/>
                                </a:lnTo>
                                <a:lnTo>
                                  <a:pt x="754240" y="142252"/>
                                </a:lnTo>
                                <a:lnTo>
                                  <a:pt x="753579" y="142913"/>
                                </a:lnTo>
                                <a:lnTo>
                                  <a:pt x="753579" y="143586"/>
                                </a:lnTo>
                                <a:lnTo>
                                  <a:pt x="754240" y="144246"/>
                                </a:lnTo>
                                <a:lnTo>
                                  <a:pt x="754240" y="145580"/>
                                </a:lnTo>
                                <a:lnTo>
                                  <a:pt x="754913" y="145580"/>
                                </a:lnTo>
                                <a:lnTo>
                                  <a:pt x="755573" y="145580"/>
                                </a:lnTo>
                                <a:lnTo>
                                  <a:pt x="756234" y="144907"/>
                                </a:lnTo>
                                <a:lnTo>
                                  <a:pt x="756894" y="144907"/>
                                </a:lnTo>
                                <a:lnTo>
                                  <a:pt x="757555" y="145580"/>
                                </a:lnTo>
                                <a:lnTo>
                                  <a:pt x="758215" y="145580"/>
                                </a:lnTo>
                              </a:path>
                            </a:pathLst>
                          </a:custGeom>
                          <a:ln w="4445">
                            <a:solidFill>
                              <a:srgbClr val="FFFFFF"/>
                            </a:solidFill>
                            <a:prstDash val="solid"/>
                          </a:ln>
                        </wps:spPr>
                        <wps:bodyPr wrap="square" lIns="0" tIns="0" rIns="0" bIns="0" rtlCol="0">
                          <a:prstTxWarp prst="textNoShape">
                            <a:avLst/>
                          </a:prstTxWarp>
                          <a:noAutofit/>
                        </wps:bodyPr>
                      </wps:wsp>
                      <wps:wsp>
                        <wps:cNvPr id="2031" name="Textbox 2031"/>
                        <wps:cNvSpPr txBox="1"/>
                        <wps:spPr>
                          <a:xfrm>
                            <a:off x="76380" y="66848"/>
                            <a:ext cx="6000750" cy="121920"/>
                          </a:xfrm>
                          <a:prstGeom prst="rect">
                            <a:avLst/>
                          </a:prstGeom>
                        </wps:spPr>
                        <wps:txbx>
                          <w:txbxContent>
                            <w:p>
                              <w:pPr>
                                <w:tabs>
                                  <w:tab w:pos="839" w:val="left" w:leader="none"/>
                                </w:tabs>
                                <w:spacing w:before="3"/>
                                <w:ind w:left="0" w:right="0" w:firstLine="0"/>
                                <w:jc w:val="left"/>
                                <w:rPr>
                                  <w:rFonts w:ascii="Arial" w:hAnsi="Arial"/>
                                  <w:b/>
                                  <w:sz w:val="16"/>
                                </w:rPr>
                              </w:pPr>
                              <w:r>
                                <w:rPr>
                                  <w:rFonts w:ascii="Arial" w:hAnsi="Arial"/>
                                  <w:color w:val="FFFFFF"/>
                                  <w:w w:val="85"/>
                                  <w:sz w:val="16"/>
                                </w:rPr>
                                <w:t>Map</w:t>
                              </w:r>
                              <w:r>
                                <w:rPr>
                                  <w:rFonts w:ascii="Arial" w:hAnsi="Arial"/>
                                  <w:color w:val="FFFFFF"/>
                                  <w:spacing w:val="-5"/>
                                  <w:w w:val="105"/>
                                  <w:sz w:val="16"/>
                                </w:rPr>
                                <w:t> </w:t>
                              </w:r>
                              <w:r>
                                <w:rPr>
                                  <w:rFonts w:ascii="Arial" w:hAnsi="Arial"/>
                                  <w:b/>
                                  <w:color w:val="FFFFFF"/>
                                  <w:spacing w:val="-4"/>
                                  <w:w w:val="105"/>
                                  <w:sz w:val="16"/>
                                </w:rPr>
                                <w:t>A6.2</w:t>
                              </w:r>
                              <w:r>
                                <w:rPr>
                                  <w:rFonts w:ascii="Arial" w:hAnsi="Arial"/>
                                  <w:b/>
                                  <w:color w:val="FFFFFF"/>
                                  <w:sz w:val="16"/>
                                </w:rPr>
                                <w:tab/>
                              </w:r>
                              <w:r>
                                <w:rPr>
                                  <w:rFonts w:ascii="Arial" w:hAnsi="Arial"/>
                                  <w:b/>
                                  <w:color w:val="FFFFFF"/>
                                  <w:w w:val="105"/>
                                  <w:sz w:val="16"/>
                                </w:rPr>
                                <w:t>Based</w:t>
                              </w:r>
                              <w:r>
                                <w:rPr>
                                  <w:rFonts w:ascii="Arial" w:hAnsi="Arial"/>
                                  <w:b/>
                                  <w:color w:val="FFFFFF"/>
                                  <w:spacing w:val="1"/>
                                  <w:w w:val="105"/>
                                  <w:sz w:val="16"/>
                                </w:rPr>
                                <w:t> </w:t>
                              </w:r>
                              <w:r>
                                <w:rPr>
                                  <w:rFonts w:ascii="Arial" w:hAnsi="Arial"/>
                                  <w:b/>
                                  <w:color w:val="FFFFFF"/>
                                  <w:w w:val="105"/>
                                  <w:sz w:val="16"/>
                                </w:rPr>
                                <w:t>on</w:t>
                              </w:r>
                              <w:r>
                                <w:rPr>
                                  <w:rFonts w:ascii="Arial" w:hAnsi="Arial"/>
                                  <w:b/>
                                  <w:color w:val="FFFFFF"/>
                                  <w:spacing w:val="1"/>
                                  <w:w w:val="105"/>
                                  <w:sz w:val="16"/>
                                </w:rPr>
                                <w:t> </w:t>
                              </w:r>
                              <w:r>
                                <w:rPr>
                                  <w:rFonts w:ascii="Arial" w:hAnsi="Arial"/>
                                  <w:b/>
                                  <w:color w:val="FFFFFF"/>
                                  <w:w w:val="105"/>
                                  <w:sz w:val="16"/>
                                </w:rPr>
                                <w:t>your</w:t>
                              </w:r>
                              <w:r>
                                <w:rPr>
                                  <w:rFonts w:ascii="Arial" w:hAnsi="Arial"/>
                                  <w:b/>
                                  <w:color w:val="FFFFFF"/>
                                  <w:spacing w:val="1"/>
                                  <w:w w:val="105"/>
                                  <w:sz w:val="16"/>
                                </w:rPr>
                                <w:t> </w:t>
                              </w:r>
                              <w:r>
                                <w:rPr>
                                  <w:rFonts w:ascii="Arial" w:hAnsi="Arial"/>
                                  <w:b/>
                                  <w:color w:val="FFFFFF"/>
                                  <w:w w:val="105"/>
                                  <w:sz w:val="16"/>
                                </w:rPr>
                                <w:t>experience,</w:t>
                              </w:r>
                              <w:r>
                                <w:rPr>
                                  <w:rFonts w:ascii="Arial" w:hAnsi="Arial"/>
                                  <w:b/>
                                  <w:color w:val="FFFFFF"/>
                                  <w:spacing w:val="2"/>
                                  <w:w w:val="105"/>
                                  <w:sz w:val="16"/>
                                </w:rPr>
                                <w:t> </w:t>
                              </w:r>
                              <w:r>
                                <w:rPr>
                                  <w:rFonts w:ascii="Arial" w:hAnsi="Arial"/>
                                  <w:b/>
                                  <w:color w:val="FFFFFF"/>
                                  <w:w w:val="105"/>
                                  <w:sz w:val="16"/>
                                </w:rPr>
                                <w:t>how</w:t>
                              </w:r>
                              <w:r>
                                <w:rPr>
                                  <w:rFonts w:ascii="Arial" w:hAnsi="Arial"/>
                                  <w:b/>
                                  <w:color w:val="FFFFFF"/>
                                  <w:spacing w:val="1"/>
                                  <w:w w:val="105"/>
                                  <w:sz w:val="16"/>
                                </w:rPr>
                                <w:t> </w:t>
                              </w:r>
                              <w:r>
                                <w:rPr>
                                  <w:rFonts w:ascii="Arial" w:hAnsi="Arial"/>
                                  <w:b/>
                                  <w:color w:val="FFFFFF"/>
                                  <w:w w:val="105"/>
                                  <w:sz w:val="16"/>
                                </w:rPr>
                                <w:t>have</w:t>
                              </w:r>
                              <w:r>
                                <w:rPr>
                                  <w:rFonts w:ascii="Arial" w:hAnsi="Arial"/>
                                  <w:b/>
                                  <w:color w:val="FFFFFF"/>
                                  <w:spacing w:val="1"/>
                                  <w:w w:val="105"/>
                                  <w:sz w:val="16"/>
                                </w:rPr>
                                <w:t> </w:t>
                              </w:r>
                              <w:r>
                                <w:rPr>
                                  <w:rFonts w:ascii="Arial" w:hAnsi="Arial"/>
                                  <w:b/>
                                  <w:color w:val="FFFFFF"/>
                                  <w:w w:val="105"/>
                                  <w:sz w:val="16"/>
                                </w:rPr>
                                <w:t>supply</w:t>
                              </w:r>
                              <w:r>
                                <w:rPr>
                                  <w:rFonts w:ascii="Arial" w:hAnsi="Arial"/>
                                  <w:b/>
                                  <w:color w:val="FFFFFF"/>
                                  <w:spacing w:val="2"/>
                                  <w:w w:val="105"/>
                                  <w:sz w:val="16"/>
                                </w:rPr>
                                <w:t> </w:t>
                              </w:r>
                              <w:r>
                                <w:rPr>
                                  <w:rFonts w:ascii="Arial" w:hAnsi="Arial"/>
                                  <w:b/>
                                  <w:color w:val="FFFFFF"/>
                                  <w:w w:val="105"/>
                                  <w:sz w:val="16"/>
                                </w:rPr>
                                <w:t>chains</w:t>
                              </w:r>
                              <w:r>
                                <w:rPr>
                                  <w:rFonts w:ascii="Arial" w:hAnsi="Arial"/>
                                  <w:b/>
                                  <w:color w:val="FFFFFF"/>
                                  <w:spacing w:val="1"/>
                                  <w:w w:val="105"/>
                                  <w:sz w:val="16"/>
                                </w:rPr>
                                <w:t> </w:t>
                              </w:r>
                              <w:r>
                                <w:rPr>
                                  <w:rFonts w:ascii="Arial" w:hAnsi="Arial"/>
                                  <w:b/>
                                  <w:color w:val="FFFFFF"/>
                                  <w:w w:val="105"/>
                                  <w:sz w:val="16"/>
                                </w:rPr>
                                <w:t>been</w:t>
                              </w:r>
                              <w:r>
                                <w:rPr>
                                  <w:rFonts w:ascii="Arial" w:hAnsi="Arial"/>
                                  <w:b/>
                                  <w:color w:val="FFFFFF"/>
                                  <w:spacing w:val="1"/>
                                  <w:w w:val="105"/>
                                  <w:sz w:val="16"/>
                                </w:rPr>
                                <w:t> </w:t>
                              </w:r>
                              <w:r>
                                <w:rPr>
                                  <w:rFonts w:ascii="Arial" w:hAnsi="Arial"/>
                                  <w:b/>
                                  <w:color w:val="FFFFFF"/>
                                  <w:w w:val="105"/>
                                  <w:sz w:val="16"/>
                                </w:rPr>
                                <w:t>affected</w:t>
                              </w:r>
                              <w:r>
                                <w:rPr>
                                  <w:rFonts w:ascii="Arial" w:hAnsi="Arial"/>
                                  <w:b/>
                                  <w:color w:val="FFFFFF"/>
                                  <w:spacing w:val="2"/>
                                  <w:w w:val="105"/>
                                  <w:sz w:val="16"/>
                                </w:rPr>
                                <w:t> </w:t>
                              </w:r>
                              <w:r>
                                <w:rPr>
                                  <w:rFonts w:ascii="Arial" w:hAnsi="Arial"/>
                                  <w:b/>
                                  <w:color w:val="FFFFFF"/>
                                  <w:w w:val="105"/>
                                  <w:sz w:val="16"/>
                                </w:rPr>
                                <w:t>since</w:t>
                              </w:r>
                              <w:r>
                                <w:rPr>
                                  <w:rFonts w:ascii="Arial" w:hAnsi="Arial"/>
                                  <w:b/>
                                  <w:color w:val="FFFFFF"/>
                                  <w:spacing w:val="1"/>
                                  <w:w w:val="105"/>
                                  <w:sz w:val="16"/>
                                </w:rPr>
                                <w:t> </w:t>
                              </w:r>
                              <w:r>
                                <w:rPr>
                                  <w:rFonts w:ascii="Arial" w:hAnsi="Arial"/>
                                  <w:b/>
                                  <w:color w:val="FFFFFF"/>
                                  <w:w w:val="105"/>
                                  <w:sz w:val="16"/>
                                </w:rPr>
                                <w:t>the</w:t>
                              </w:r>
                              <w:r>
                                <w:rPr>
                                  <w:rFonts w:ascii="Arial" w:hAnsi="Arial"/>
                                  <w:b/>
                                  <w:color w:val="FFFFFF"/>
                                  <w:spacing w:val="1"/>
                                  <w:w w:val="105"/>
                                  <w:sz w:val="16"/>
                                </w:rPr>
                                <w:t> </w:t>
                              </w:r>
                              <w:r>
                                <w:rPr>
                                  <w:rFonts w:ascii="Arial" w:hAnsi="Arial"/>
                                  <w:b/>
                                  <w:color w:val="FFFFFF"/>
                                  <w:w w:val="105"/>
                                  <w:sz w:val="16"/>
                                </w:rPr>
                                <w:t>year</w:t>
                              </w:r>
                              <w:r>
                                <w:rPr>
                                  <w:rFonts w:ascii="Arial" w:hAnsi="Arial"/>
                                  <w:b/>
                                  <w:color w:val="FFFFFF"/>
                                  <w:spacing w:val="2"/>
                                  <w:w w:val="105"/>
                                  <w:sz w:val="16"/>
                                </w:rPr>
                                <w:t> </w:t>
                              </w:r>
                              <w:r>
                                <w:rPr>
                                  <w:rFonts w:ascii="Arial" w:hAnsi="Arial"/>
                                  <w:b/>
                                  <w:color w:val="FFFFFF"/>
                                  <w:w w:val="105"/>
                                  <w:sz w:val="16"/>
                                </w:rPr>
                                <w:t>2019</w:t>
                              </w:r>
                              <w:r>
                                <w:rPr>
                                  <w:rFonts w:ascii="Arial" w:hAnsi="Arial"/>
                                  <w:b/>
                                  <w:color w:val="FFFFFF"/>
                                  <w:spacing w:val="1"/>
                                  <w:w w:val="105"/>
                                  <w:sz w:val="16"/>
                                </w:rPr>
                                <w:t> </w:t>
                              </w:r>
                              <w:r>
                                <w:rPr>
                                  <w:rFonts w:ascii="Arial" w:hAnsi="Arial"/>
                                  <w:b/>
                                  <w:color w:val="FFFFFF"/>
                                  <w:w w:val="105"/>
                                  <w:sz w:val="16"/>
                                </w:rPr>
                                <w:t>when</w:t>
                              </w:r>
                              <w:r>
                                <w:rPr>
                                  <w:rFonts w:ascii="Arial" w:hAnsi="Arial"/>
                                  <w:b/>
                                  <w:color w:val="FFFFFF"/>
                                  <w:spacing w:val="1"/>
                                  <w:w w:val="105"/>
                                  <w:sz w:val="16"/>
                                </w:rPr>
                                <w:t> </w:t>
                              </w:r>
                              <w:r>
                                <w:rPr>
                                  <w:rFonts w:ascii="Arial" w:hAnsi="Arial"/>
                                  <w:b/>
                                  <w:color w:val="FFFFFF"/>
                                  <w:w w:val="105"/>
                                  <w:sz w:val="16"/>
                                </w:rPr>
                                <w:t>shipping</w:t>
                              </w:r>
                              <w:r>
                                <w:rPr>
                                  <w:rFonts w:ascii="Arial" w:hAnsi="Arial"/>
                                  <w:b/>
                                  <w:color w:val="FFFFFF"/>
                                  <w:spacing w:val="2"/>
                                  <w:w w:val="105"/>
                                  <w:sz w:val="16"/>
                                </w:rPr>
                                <w:t> </w:t>
                              </w:r>
                              <w:r>
                                <w:rPr>
                                  <w:rFonts w:ascii="Arial" w:hAnsi="Arial"/>
                                  <w:b/>
                                  <w:color w:val="FFFFFF"/>
                                  <w:spacing w:val="-4"/>
                                  <w:w w:val="105"/>
                                  <w:sz w:val="16"/>
                                </w:rPr>
                                <w:t>to…?</w:t>
                              </w:r>
                            </w:p>
                          </w:txbxContent>
                        </wps:txbx>
                        <wps:bodyPr wrap="square" lIns="0" tIns="0" rIns="0" bIns="0" rtlCol="0">
                          <a:noAutofit/>
                        </wps:bodyPr>
                      </wps:wsp>
                      <wps:wsp>
                        <wps:cNvPr id="2032" name="Textbox 2032"/>
                        <wps:cNvSpPr txBox="1"/>
                        <wps:spPr>
                          <a:xfrm>
                            <a:off x="76386" y="3693866"/>
                            <a:ext cx="648335" cy="91440"/>
                          </a:xfrm>
                          <a:prstGeom prst="rect">
                            <a:avLst/>
                          </a:prstGeom>
                        </wps:spPr>
                        <wps:txbx>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2"/>
                                  <w:sz w:val="12"/>
                                </w:rPr>
                                <w:t> </w:t>
                              </w:r>
                              <w:r>
                                <w:rPr>
                                  <w:rFonts w:ascii="Arial"/>
                                  <w:color w:val="231F20"/>
                                  <w:w w:val="75"/>
                                  <w:sz w:val="12"/>
                                </w:rPr>
                                <w:t>2023</w:t>
                              </w:r>
                              <w:r>
                                <w:rPr>
                                  <w:rFonts w:ascii="Arial"/>
                                  <w:color w:val="231F20"/>
                                  <w:spacing w:val="2"/>
                                  <w:sz w:val="12"/>
                                </w:rPr>
                                <w:t> </w:t>
                              </w:r>
                              <w:r>
                                <w:rPr>
                                  <w:rFonts w:ascii="Arial"/>
                                  <w:color w:val="231F20"/>
                                  <w:w w:val="75"/>
                                  <w:sz w:val="12"/>
                                </w:rPr>
                                <w:t>LPI</w:t>
                              </w:r>
                              <w:r>
                                <w:rPr>
                                  <w:rFonts w:ascii="Arial"/>
                                  <w:color w:val="231F20"/>
                                  <w:spacing w:val="3"/>
                                  <w:sz w:val="12"/>
                                </w:rPr>
                                <w:t> </w:t>
                              </w:r>
                              <w:r>
                                <w:rPr>
                                  <w:rFonts w:ascii="Arial"/>
                                  <w:color w:val="231F20"/>
                                  <w:spacing w:val="-2"/>
                                  <w:w w:val="75"/>
                                  <w:sz w:val="12"/>
                                </w:rPr>
                                <w:t>team.</w:t>
                              </w:r>
                            </w:p>
                          </w:txbxContent>
                        </wps:txbx>
                        <wps:bodyPr wrap="square" lIns="0" tIns="0" rIns="0" bIns="0" rtlCol="0">
                          <a:noAutofit/>
                        </wps:bodyPr>
                      </wps:wsp>
                    </wpg:wgp>
                  </a:graphicData>
                </a:graphic>
              </wp:inline>
            </w:drawing>
          </mc:Choice>
          <mc:Fallback>
            <w:pict>
              <v:group style="width:516pt;height:307.9pt;mso-position-horizontal-relative:char;mso-position-vertical-relative:line" id="docshapegroup1711" coordorigin="0,0" coordsize="10320,6158">
                <v:shape style="position:absolute;left:0;top:406;width:10320;height:5751" id="docshape1712" coordorigin="0,406" coordsize="10320,5751" path="m10320,406l0,406,0,6039,10,6085,10,6085,36,6123,74,6148,119,6157,10196,6157,10242,6149,10245,6147,119,6147,77,6139,42,6115,19,6081,10,6039,10,416,10320,416,10320,406xm10320,416l10310,416,10310,6039,10300,6085,10274,6119,10237,6140,10196,6147,10245,6147,10281,6125,10309,6088,10320,6039,10320,416xe" filled="true" fillcolor="#90bae8" stroked="false">
                  <v:path arrowok="t"/>
                  <v:fill type="solid"/>
                </v:shape>
                <v:shape style="position:absolute;left:0;top:0;width:887;height:365" id="docshape1713" coordorigin="0,0" coordsize="887,365" path="m887,0l120,0,74,5,36,23,10,59,0,120,0,365,887,365,887,0xe" filled="true" fillcolor="#008fdd" stroked="false">
                  <v:path arrowok="t"/>
                  <v:fill type="solid"/>
                </v:shape>
                <v:shape style="position:absolute;left:886;top:0;width:9433;height:365" id="docshape1714" coordorigin="887,0" coordsize="9433,365" path="m10199,0l887,0,887,365,10319,365,10319,120,10310,80,10286,41,10248,12,10199,0xe" filled="true" fillcolor="#808285" stroked="false">
                  <v:path arrowok="t"/>
                  <v:fill type="solid"/>
                </v:shape>
                <v:line style="position:absolute" from="887,0" to="887,379" stroked="true" strokeweight="2pt" strokecolor="#ffffff">
                  <v:stroke dashstyle="solid"/>
                </v:line>
                <v:shape style="position:absolute;left:431;top:5420;width:449;height:192" type="#_x0000_t75" id="docshape1715" stroked="false">
                  <v:imagedata r:id="rId166" o:title=""/>
                </v:shape>
                <v:shape style="position:absolute;left:3854;top:5098;width:802;height:89" type="#_x0000_t75" id="docshape1716" stroked="false">
                  <v:imagedata r:id="rId167" o:title=""/>
                </v:shape>
                <v:shape style="position:absolute;left:4671;top:5098;width:1796;height:89" id="docshape1717" coordorigin="4671,5098" coordsize="1796,89" path="m4690,5142l4689,5127,4686,5115,4682,5105,4678,5098,4671,5098,4676,5106,4679,5117,4682,5129,4683,5142,4682,5156,4679,5168,4676,5179,4671,5187,4678,5187,4682,5179,4686,5170,4689,5157,4690,5142xm5509,5142l5508,5127,5505,5115,5501,5105,5497,5098,5490,5098,5495,5106,5498,5117,5501,5129,5502,5142,5501,5156,5498,5168,5495,5179,5490,5187,5497,5187,5501,5179,5505,5170,5508,5157,5509,5142xm6467,5142l6466,5127,6463,5115,6459,5105,6455,5098,6448,5098,6453,5106,6456,5117,6459,5129,6460,5142,6459,5156,6456,5168,6453,5179,6448,5187,6455,5187,6459,5179,6463,5170,6466,5157,6467,5142xe" filled="true" fillcolor="#231f20" stroked="false">
                  <v:path arrowok="t"/>
                  <v:fill type="solid"/>
                </v:shape>
                <v:shape style="position:absolute;left:6607;top:5098;width:692;height:97" type="#_x0000_t75" id="docshape1718" stroked="false">
                  <v:imagedata r:id="rId168" o:title=""/>
                </v:shape>
                <v:shape style="position:absolute;left:4821;top:5098;width:1619;height:333" type="#_x0000_t75" id="docshape1719" stroked="false">
                  <v:imagedata r:id="rId169" o:title=""/>
                </v:shape>
                <v:shape style="position:absolute;left:7491;top:5098;width:443;height:97" id="docshape1720" coordorigin="7492,5098" coordsize="443,97" path="m7529,5100l7522,5100,7522,5139,7522,5149,7523,5160,7523,5160,7520,5152,7500,5100,7492,5100,7492,5174,7500,5174,7500,5133,7499,5123,7499,5113,7499,5113,7501,5122,7505,5131,7522,5174,7529,5174,7529,5100xm7574,5129l7572,5127,7566,5120,7565,5120,7565,5139,7565,5156,7564,5168,7564,5168,7549,5168,7548,5156,7548,5139,7549,5129,7549,5128,7549,5127,7564,5127,7565,5139,7565,5120,7548,5120,7539,5128,7539,5166,7547,5175,7564,5175,7573,5168,7574,5168,7574,5129xm7609,5121l7600,5121,7600,5174,7609,5174,7609,5121xm7609,5110l7609,5104,7607,5102,7602,5102,7599,5104,7599,5110,7601,5113,7607,5113,7609,5110xm7676,5125l7670,5120,7661,5120,7658,5121,7654,5123,7652,5125,7651,5128,7651,5128,7649,5122,7645,5120,7634,5120,7630,5123,7628,5127,7628,5127,7627,5121,7620,5121,7620,5125,7620,5128,7620,5135,7620,5174,7629,5174,7629,5139,7629,5137,7630,5130,7633,5127,7643,5127,7644,5133,7644,5174,7652,5174,7652,5138,7653,5135,7654,5130,7657,5127,7667,5127,7668,5134,7668,5174,7676,5174,7676,5125xm7722,5130l7720,5127,7716,5120,7713,5120,7713,5136,7713,5159,7711,5166,7711,5167,7711,5168,7702,5168,7698,5166,7696,5159,7696,5136,7697,5132,7700,5128,7700,5127,7711,5127,7713,5136,7713,5120,7702,5120,7698,5122,7695,5128,7695,5125,7695,5122,7695,5121,7687,5121,7687,5125,7687,5127,7688,5195,7696,5195,7696,5169,7696,5169,7698,5171,7700,5175,7714,5175,7720,5169,7721,5168,7722,5167,7722,5130xm7760,5174l7759,5170,7759,5166,7749,5166,7746,5168,7740,5168,7736,5166,7736,5147,7746,5146,7751,5146,7751,5159,7751,5160,7750,5165,7759,5165,7759,5146,7759,5127,7759,5127,7754,5120,7739,5120,7734,5122,7732,5123,7733,5129,7736,5128,7739,5127,7749,5127,7751,5132,7751,5140,7739,5140,7728,5146,7728,5169,7734,5175,7745,5175,7749,5172,7751,5168,7751,5168,7751,5169,7752,5170,7752,5172,7752,5174,7760,5174xm7797,5122l7795,5121,7792,5120,7776,5120,7768,5132,7768,5165,7776,5174,7791,5174,7795,5174,7796,5172,7795,5166,7793,5167,7792,5167,7782,5167,7777,5160,7777,5137,7781,5127,7792,5127,7794,5128,7795,5129,7797,5122xm7826,5121l7815,5121,7815,5107,7807,5109,7807,5121,7801,5121,7801,5127,7807,5127,7807,5165,7808,5169,7812,5174,7815,5174,7821,5174,7823,5174,7825,5174,7824,5167,7823,5167,7822,5167,7818,5167,7815,5166,7815,5127,7826,5127,7826,5121xm7869,5098l7863,5098,7858,5105,7854,5115,7852,5128,7851,5142,7852,5157,7854,5170,7858,5179,7863,5187,7869,5187,7865,5179,7861,5168,7859,5156,7858,5143,7859,5129,7861,5117,7865,5106,7869,5098xm7908,5103l7883,5103,7878,5136,7881,5135,7893,5135,7900,5140,7900,5162,7894,5168,7882,5168,7879,5166,7876,5165,7875,5172,7877,5173,7882,5175,7899,5175,7908,5164,7908,5143,7906,5138,7898,5130,7892,5129,7887,5129,7886,5129,7889,5110,7908,5110,7908,5103xm7935,5142l7934,5127,7931,5115,7927,5105,7923,5098,7916,5098,7921,5106,7924,5117,7927,5129,7928,5142,7927,5156,7924,5168,7921,5179,7916,5187,7923,5187,7927,5179,7931,5170,7934,5157,7935,5142xe" filled="true" fillcolor="#231f20" stroked="false">
                  <v:path arrowok="t"/>
                  <v:fill type="solid"/>
                </v:shape>
                <v:line style="position:absolute" from="4115,4872" to="4115,5077" stroked="true" strokeweight=".35pt" strokecolor="#231f20">
                  <v:stroke dashstyle="solid"/>
                </v:line>
                <v:line style="position:absolute" from="5035,5031" to="5035,5077" stroked="true" strokeweight=".35pt" strokecolor="#231f20">
                  <v:stroke dashstyle="solid"/>
                </v:line>
                <v:line style="position:absolute" from="5953,5031" to="5953,5077" stroked="true" strokeweight=".35pt" strokecolor="#231f20">
                  <v:stroke dashstyle="solid"/>
                </v:line>
                <v:line style="position:absolute" from="6847,5031" to="6847,5077" stroked="true" strokeweight=".35pt" strokecolor="#231f20">
                  <v:stroke dashstyle="solid"/>
                </v:line>
                <v:line style="position:absolute" from="7721,5031" to="7721,5077" stroked="true" strokeweight=".35pt" strokecolor="#231f20">
                  <v:stroke dashstyle="solid"/>
                </v:line>
                <v:rect style="position:absolute;left:8069;top:4871;width:159;height:160" id="docshape1721" filled="true" fillcolor="#e7e8e8" stroked="false">
                  <v:fill type="solid"/>
                </v:rect>
                <v:rect style="position:absolute;left:8069;top:4871;width:159;height:160" id="docshape1722" filled="false" stroked="true" strokeweight=".35pt" strokecolor="#231f20">
                  <v:stroke dashstyle="solid"/>
                </v:rect>
                <v:shape style="position:absolute;left:8088;top:5099;width:120;height:79" id="docshape1723" coordorigin="8089,5099" coordsize="120,79" path="m8127,5100l8119,5100,8119,5139,8119,5149,8120,5160,8120,5160,8117,5152,8097,5100,8089,5100,8089,5174,8097,5174,8097,5133,8096,5123,8096,5113,8096,5113,8099,5122,8102,5131,8119,5174,8127,5174,8127,5100xm8164,5099l8157,5099,8134,5178,8140,5178,8164,5099xm8208,5174l8203,5152,8202,5145,8194,5109,8194,5145,8180,5145,8185,5121,8186,5115,8187,5109,8187,5109,8189,5121,8194,5145,8194,5109,8192,5100,8183,5100,8166,5174,8174,5174,8179,5152,8195,5152,8200,5174,8208,5174xe" filled="true" fillcolor="#231f20" stroked="false">
                  <v:path arrowok="t"/>
                  <v:fill type="solid"/>
                </v:shape>
                <v:shape style="position:absolute;left:4115;top:4871;width:3606;height:160" type="#_x0000_t75" id="docshape1724" stroked="false">
                  <v:imagedata r:id="rId170" o:title=""/>
                </v:shape>
                <v:rect style="position:absolute;left:4115;top:4871;width:3606;height:160" id="docshape1725" filled="false" stroked="true" strokeweight=".35pt" strokecolor="#231f20">
                  <v:stroke dashstyle="solid"/>
                </v:rect>
                <v:shape style="position:absolute;left:383;top:616;width:9768;height:4966" type="#_x0000_t75" id="docshape1726" stroked="false">
                  <v:imagedata r:id="rId171" o:title=""/>
                </v:shape>
                <v:shape style="position:absolute;left:836;top:1837;width:9283;height:2445" id="docshape1727" coordorigin="837,1837" coordsize="9283,2445" path="m838,3311l837,3311,837,3313,838,3311xm840,3313l839,3312,839,3312,839,3314,840,3314,840,3313xm894,3400l891,3396,890,3395,890,3391,887,3389,886,3389,889,3392,888,3393,887,3396,885,3394,885,3393,882,3394,887,3398,892,3400,894,3400xm1146,4138l1144,4138,1146,4140,1146,4138xm1151,4148l1149,4144,1147,4143,1147,4144,1148,4148,1149,4149,1150,4149,1151,4148xm1221,4182l1220,4179,1215,4177,1214,4173,1212,4171,1208,4170,1206,4172,1206,4173,1209,4179,1212,4180,1215,4179,1219,4183,1221,4184,1221,4182xm1304,4117l1301,4114,1300,4111,1297,4108,1297,4110,1299,4111,1301,4115,1302,4116,1303,4118,1304,4118,1304,4117xm1310,4098l1306,4094,1307,4096,1309,4098,1310,4100,1310,4098xm1357,4127l1355,4125,1354,4125,1357,4127xm1363,4128l1361,4126,1359,4126,1358,4127,1361,4127,1363,4128xm1393,3819l1392,3818,1392,3817,1387,3816,1387,3819,1388,3822,1390,3822,1392,3821,1393,3819xm1396,3840l1393,3840,1394,3841,1396,3841,1396,3840xm1396,3838l1394,3838,1393,3839,1396,3839,1396,3838xm1426,3860l1424,3860,1425,3863,1426,3860xm1431,3852l1430,3852,1426,3850,1423,3853,1424,3856,1425,3857,1427,3856,1430,3854,1431,3852xm1441,3880l1440,3880,1440,3882,1441,3882,1441,3880xm1446,4171l1445,4170,1445,4167,1443,4170,1445,4171,1446,4171xm1448,4162l1447,4163,1445,4164,1445,4166,1448,4163,1448,4162xm1449,4183l1443,4178,1443,4179,1449,4184,1449,4183xm1454,4191l1451,4188,1452,4189,1454,4191xm1541,4282l1540,4281,1540,4281,1540,4282,1541,4282xm1553,4183l1550,4180,1552,4183,1553,4183xm1571,4188l1570,4187,1568,4187,1569,4188,1571,4188xm1573,4189l1571,4188,1572,4189,1573,4189xm1574,4189l1573,4189,1573,4191,1574,4189xm3550,2838l3549,2838,3548,2837,3547,2838,3546,2839,3549,2839,3550,2838xm3554,2844l3553,2844,3552,2844,3552,2845,3553,2845,3553,2846,3554,2845,3554,2844xm3930,1846l3929,1845,3929,1844,3926,1847,3925,1847,3926,1848,3929,1847,3930,1846xm3931,1838l3930,1837,3929,1838,3929,1842,3931,1839,3931,1838xm3932,1848l3930,1848,3929,1849,3931,1850,3932,1849,3932,1848xm10071,3339l10069,3339,10068,3342,10067,3342,10068,3343,10071,3339xm10077,3392l10076,3390,10074,3390,10075,3391,10076,3392,10077,3392xm10079,3431l10078,3433,10076,3435,10078,3435,10079,3433,10079,3431xm10079,3429l10079,3428,10078,3428,10079,3431,10079,3429xm10081,3412l10078,3413,10077,3414,10078,3414,10080,3413,10081,3413,10081,3412xm10118,3499l10117,3496,10116,3496,10117,3499,10118,3499xm10119,3500l10118,3500,10119,3505,10119,3500xe" filled="true" fillcolor="#e6e7e8" stroked="false">
                  <v:path arrowok="t"/>
                  <v:fill type="solid"/>
                </v:shape>
                <v:shape style="position:absolute;left:9574;top:4253;width:182;height:160" type="#_x0000_t75" id="docshape1728" stroked="false">
                  <v:imagedata r:id="rId172" o:title=""/>
                </v:shape>
                <v:shape style="position:absolute;left:3581;top:2924;width:3324;height:2286" id="docshape1729" coordorigin="3581,2925" coordsize="3324,2286" path="m3588,2934l3587,2929,3587,2927,3582,2925,3582,2926,3581,2929,3582,2933,3583,2940,3585,2938,3588,2934xm6500,5075l6498,5075,6497,5076,6497,5078,6500,5078,6500,5075xm6882,5181l6877,5181,6877,5182,6876,5183,6877,5184,6876,5186,6876,5187,6878,5186,6879,5186,6882,5183,6882,5181xm6905,5189l6903,5188,6900,5188,6897,5190,6894,5190,6888,5193,6886,5193,6883,5194,6882,5194,6879,5191,6880,5189,6885,5189,6884,5188,6884,5187,6886,5184,6884,5184,6878,5188,6875,5188,6871,5187,6872,5185,6875,5182,6877,5180,6878,5177,6877,5176,6878,5175,6878,5172,6877,5172,6875,5173,6872,5177,6869,5179,6869,5182,6865,5186,6865,5188,6867,5190,6865,5190,6864,5192,6864,5193,6863,5197,6863,5200,6861,5201,6859,5205,6858,5206,6858,5208,6862,5208,6865,5207,6868,5203,6870,5203,6872,5204,6875,5206,6877,5207,6879,5207,6881,5206,6882,5206,6882,5207,6883,5209,6887,5210,6888,5210,6892,5206,6893,5206,6893,5204,6891,5203,6889,5204,6888,5206,6884,5204,6883,5203,6883,5202,6883,5200,6885,5201,6886,5200,6888,5198,6893,5198,6895,5199,6895,5201,6897,5201,6899,5200,6899,5199,6902,5198,6904,5195,6904,5194,6905,5193,6905,5189xe" filled="true" fillcolor="#e6e7e8" stroked="false">
                  <v:path arrowok="t"/>
                  <v:fill type="solid"/>
                </v:shape>
                <v:shape style="position:absolute;left:4124;top:615;width:1009;height:798" type="#_x0000_t75" id="docshape1730" stroked="false">
                  <v:imagedata r:id="rId173" o:title=""/>
                </v:shape>
                <v:shape style="position:absolute;left:3545;top:2839;width:4924;height:2495" id="docshape1731" coordorigin="3546,2839" coordsize="4924,2495" path="m3549,2839l3546,2839,3547,2840,3549,2841,3549,2839xm3630,3012l3629,3011,3626,3007,3625,3007,3624,3012,3625,3014,3627,3015,3628,3015,3630,3012xm4582,2886l4581,2883,4579,2882,4573,2886,4573,2888,4574,2891,4575,2891,4577,2890,4581,2887,4582,2886xm4584,2895l4583,2891,4582,2891,4579,2895,4581,2896,4584,2896,4584,2895xm4599,2959l4598,2957,4596,2956,4593,2958,4593,2962,4595,2964,4596,2964,4598,2963,4599,2959xm4608,2904l4607,2903,4606,2902,4601,2901,4599,2900,4598,2901,4598,2902,4600,2906,4601,2904,4602,2903,4606,2904,4608,2904xm4622,2957l4620,2953,4619,2952,4616,2948,4615,2947,4614,2947,4614,2949,4613,2952,4613,2955,4615,2959,4617,2961,4620,2961,4622,2957xm4631,2949l4630,2947,4629,2947,4627,2949,4628,2949,4627,2952,4628,2953,4629,2953,4631,2952,4631,2949xm4640,2901l4639,2899,4639,2896,4637,2896,4637,2900,4638,2900,4639,2903,4640,2901xm4644,2918l4643,2917,4643,2915,4641,2915,4640,2917,4638,2915,4638,2919,4637,2922,4639,2924,4641,2924,4644,2922,4644,2918xm6920,5332l6918,5331,6916,5328,6912,5327,6911,5326,6910,5326,6910,5327,6911,5328,6911,5334,6914,5334,6917,5333,6919,5333,6920,5332xm8183,3856l8182,3856,8180,3856,8179,3858,8181,3859,8182,3860,8183,3858,8183,3856xm8460,3284l8459,3284,8454,3287,8451,3289,8449,3292,8446,3295,8440,3300,8434,3300,8438,3304,8439,3307,8440,3309,8440,3311,8441,3312,8444,3312,8445,3314,8447,3317,8448,3321,8451,3321,8452,3319,8454,3315,8454,3311,8455,3309,8455,3307,8453,3305,8453,3302,8452,3298,8452,3295,8453,3293,8455,3292,8460,3288,8460,3284xm8469,3308l8467,3305,8467,3299,8465,3293,8464,3289,8463,3288,8460,3288,8460,3297,8461,3300,8463,3307,8467,3309,8468,3309,8469,3308xe" filled="true" fillcolor="#e6e7e8" stroked="false">
                  <v:path arrowok="t"/>
                  <v:fill type="solid"/>
                </v:shape>
                <v:shape style="position:absolute;left:2402;top:1661;width:45;height:28" id="docshape1732" coordorigin="2403,1661" coordsize="45,28" path="m2403,1676l2416,1685,2420,1688,2422,1689,2426,1688,2432,1685,2435,1682,2436,1680,2437,1677,2437,1676,2439,1674,2440,1673,2447,1671,2448,1670,2448,1669,2447,1665,2447,1661e" filled="false" stroked="true" strokeweight=".35pt" strokecolor="#ffffff">
                  <v:path arrowok="t"/>
                  <v:stroke dashstyle="solid"/>
                </v:shape>
                <v:shape style="position:absolute;left:5082;top:1591;width:43;height:35" id="docshape1733" coordorigin="5083,1591" coordsize="43,35" path="m5105,1591l5101,1593,5100,1598,5099,1599,5098,1600,5097,1602,5095,1603,5093,1603,5092,1604,5091,1604,5089,1604,5088,1604,5088,1605,5089,1605,5090,1606,5092,1607,5092,1608,5091,1608,5085,1610,5084,1611,5083,1612,5083,1614,5088,1617,5088,1618,5089,1621,5093,1622,5094,1623,5095,1624,5099,1624,5100,1624,5101,1624,5101,1623,5104,1621,5105,1619,5104,1618,5104,1617,5105,1616,5107,1614,5108,1614,5110,1615,5111,1616,5111,1618,5112,1621,5113,1622,5115,1622,5116,1623,5115,1625,5115,1626,5118,1626,5120,1626,5122,1626,5123,1626,5124,1625,5126,1625e" filled="false" stroked="true" strokeweight=".35pt" strokecolor="#ffffff">
                  <v:path arrowok="t"/>
                  <v:stroke dashstyle="solid"/>
                </v:shape>
                <v:shape style="position:absolute;left:8146;top:3417;width:13;height:10" id="docshape1734" coordorigin="8147,3418" coordsize="13,10" path="m8159,3424l8159,3422,8159,3420,8155,3419,8153,3418,8150,3419,8148,3422,8147,3425,8147,3426,8147,3427e" filled="false" stroked="true" strokeweight=".35pt" strokecolor="#ffffff">
                  <v:path arrowok="t"/>
                  <v:stroke dashstyle="solid"/>
                </v:shape>
                <v:shape style="position:absolute;left:8042;top:3227;width:56;height:38" id="docshape1735" coordorigin="8042,3227" coordsize="56,38" path="m8042,3236l8042,3235,8042,3228,8044,3227,8045,3227,8046,3227,8048,3233,8054,3235,8056,3236,8058,3235,8060,3236,8061,3237,8061,3240,8063,3243,8066,3243,8068,3243,8069,3243,8070,3246,8070,3250,8070,3254,8068,3258,8068,3261,8069,3262,8071,3264,8072,3265,8073,3265,8074,3264,8075,3262,8075,3260,8079,3258,8083,3256,8084,3256,8084,3257,8086,3259,8087,3260,8088,3260,8090,3260,8093,3258,8094,3255,8094,3253,8097,3248,8097,3245,8098,3243e" filled="false" stroked="true" strokeweight=".35pt" strokecolor="#ffffff">
                  <v:path arrowok="t"/>
                  <v:stroke dashstyle="solid"/>
                </v:shape>
                <v:shape style="position:absolute;left:3308;top:2776;width:13;height:59" id="docshape1736" coordorigin="3308,2776" coordsize="13,59" path="m3320,2776l3320,2777,3320,2785,3320,2787,3318,2790,3318,2791,3321,2795,3321,2796,3320,2797,3317,2800,3315,2801,3315,2805,3316,2807,3316,2809,3315,2811,3312,2814,3311,2815,3308,2815,3309,2818,3310,2822,3313,2824,3313,2828,3312,2830,3311,2835e" filled="false" stroked="true" strokeweight=".35pt" strokecolor="#ffffff">
                  <v:path arrowok="t"/>
                  <v:stroke dashstyle="solid"/>
                </v:shape>
                <v:shape style="position:absolute;left:8693;top:3819;width:13;height:10" id="docshape1737" coordorigin="8693,3820" coordsize="13,10" path="m8693,3826l8693,3827,8694,3828,8695,3829,8695,3828,8699,3829,8701,3828,8703,3826,8704,3825,8705,3822,8706,3820e" filled="false" stroked="true" strokeweight=".35pt" strokecolor="#ffffff">
                  <v:path arrowok="t"/>
                  <v:stroke dashstyle="solid"/>
                </v:shape>
                <v:shape style="position:absolute;left:8719;top:3811;width:7;height:21" id="docshape1738" coordorigin="8719,3812" coordsize="7,21" path="m8719,3812l8719,3815,8719,3816,8720,3816,8724,3814,8726,3815,8726,3818,8723,3821,8720,3821,8719,3822,8719,3823,8719,3824,8720,3826,8720,3828,8721,3833e" filled="false" stroked="true" strokeweight=".35pt" strokecolor="#ffffff">
                  <v:path arrowok="t"/>
                  <v:stroke dashstyle="solid"/>
                </v:shape>
                <v:shape style="position:absolute;left:8308;top:3284;width:236;height:158" type="#_x0000_t75" id="docshape1739" stroked="false">
                  <v:imagedata r:id="rId174" o:title=""/>
                </v:shape>
                <v:shape style="position:absolute;left:4799;top:1070;width:3642;height:3456" type="#_x0000_t75" id="docshape1740" stroked="false">
                  <v:imagedata r:id="rId175" o:title=""/>
                </v:shape>
                <v:shape style="position:absolute;left:8433;top:3288;width:27;height:33" id="docshape1741" coordorigin="8434,3288" coordsize="27,33" path="m8434,3300l8435,3301,8437,3303,8438,3304,8439,3307,8440,3309,8440,3311,8441,3312,8444,3312,8445,3314,8447,3317,8448,3321,8449,3321,8451,3321,8452,3319,8454,3315,8454,3312,8454,3311,8455,3309,8455,3307,8454,3306,8453,3305,8453,3302,8452,3298,8452,3295,8453,3293,8455,3292,8458,3290,8460,3288e" filled="false" stroked="true" strokeweight=".35pt" strokecolor="#ffffff">
                  <v:path arrowok="t"/>
                  <v:stroke dashstyle="solid"/>
                </v:shape>
                <v:shape style="position:absolute;left:3105;top:3163;width:21;height:52" id="docshape1742" coordorigin="3106,3164" coordsize="21,52" path="m3123,3164l3122,3165,3121,3168,3120,3170,3121,3172,3122,3175,3123,3178,3125,3180,3127,3187,3127,3189,3126,3190,3125,3191,3122,3193,3121,3196,3121,3198,3116,3202,3115,3203,3114,3202,3113,3200,3112,3198,3111,3197,3110,3198,3110,3199,3110,3203,3110,3205,3108,3208,3106,3215e" filled="false" stroked="true" strokeweight=".35pt" strokecolor="#ffffff">
                  <v:path arrowok="t"/>
                  <v:stroke dashstyle="solid"/>
                </v:shape>
                <v:shape style="position:absolute;left:2715;top:2804;width:1179;height:2591" type="#_x0000_t75" id="docshape1743" stroked="false">
                  <v:imagedata r:id="rId176" o:title=""/>
                </v:shape>
                <v:shape style="position:absolute;left:9161;top:3573;width:23;height:256" id="docshape1744" coordorigin="9161,3574" coordsize="23,256" path="m9184,3574l9184,3581,9184,3590,9183,3598,9183,3605,9182,3614,9182,3621,9181,3629,9181,3638,9180,3645,9180,3653,9179,3662,9179,3669,9178,3678,9178,3686,9177,3693,9176,3702,9175,3709,9175,3717,9174,3720,9173,3725,9171,3731,9170,3736,9171,3740,9172,3742,9172,3750,9171,3757,9170,3765,9169,3773,9168,3781,9167,3790,9166,3797,9165,3805,9164,3814,9162,3821,9161,3829e" filled="false" stroked="true" strokeweight=".35pt" strokecolor="#ffffff">
                  <v:path arrowok="t"/>
                  <v:stroke dashstyle="solid"/>
                </v:shape>
                <v:shape style="position:absolute;left:2440;top:936;width:368;height:514" type="#_x0000_t75" id="docshape1745" stroked="false">
                  <v:imagedata r:id="rId177" o:title=""/>
                </v:shape>
                <v:shape style="position:absolute;left:2446;top:1661;width:14;height:3" id="docshape1746" coordorigin="2447,1661" coordsize="14,3" path="m2447,1661l2449,1662,2451,1662,2452,1662,2454,1662,2457,1663,2460,1663e" filled="false" stroked="true" strokeweight=".35pt" strokecolor="#ffffff">
                  <v:path arrowok="t"/>
                  <v:stroke dashstyle="solid"/>
                </v:shape>
                <v:shape style="position:absolute;left:2256;top:2261;width:432;height:274" id="docshape1747" coordorigin="2257,2261" coordsize="432,274" path="m2257,2263l2265,2263,2273,2262,2280,2262,2287,2262,2294,2262,2303,2261,2310,2261,2317,2261,2321,2261,2316,2266,2314,2269,2324,2275,2334,2281,2343,2287,2354,2293,2363,2299,2373,2305,2383,2311,2392,2318,2402,2319,2411,2319,2420,2320,2429,2320,2438,2321,2444,2321,2447,2321,2456,2322,2464,2322,2466,2318,2468,2315,2470,2310,2471,2306,2477,2306,2482,2307,2487,2307,2494,2307,2499,2308,2504,2308,2510,2308,2516,2309,2517,2312,2518,2318,2519,2321,2522,2323,2525,2329,2529,2339,2532,2346,2536,2349,2538,2352,2539,2354,2539,2360,2539,2371,2537,2376,2537,2381,2538,2388,2539,2391,2542,2393,2544,2395,2545,2398,2547,2401,2550,2403,2554,2406,2559,2411,2562,2414,2565,2414,2567,2413,2570,2410,2572,2408,2574,2407,2575,2405,2576,2403,2578,2398,2583,2391,2587,2388,2592,2387,2595,2386,2596,2384,2598,2384,2600,2386,2604,2387,2610,2388,2614,2388,2616,2387,2616,2388,2617,2389,2619,2389,2620,2390,2620,2394,2625,2400,2625,2403,2626,2406,2629,2411,2630,2415,2629,2418,2630,2424,2631,2432,2632,2436,2631,2436,2631,2438,2631,2442,2632,2445,2634,2448,2635,2453,2636,2459,2639,2464,2642,2467,2643,2472,2643,2474,2642,2477,2641,2479,2641,2481,2641,2482,2641,2485,2640,2488,2640,2489,2642,2496,2642,2500,2642,2507,2642,2511,2644,2513,2648,2513,2650,2516,2651,2518,2653,2520,2656,2520,2658,2522,2660,2524,2665,2526,2672,2527,2677,2530,2680,2533,2681,2534,2682,2534,2682,2533,2683,2532,2684,2531,2689,2531e" filled="false" stroked="true" strokeweight=".35pt" strokecolor="#ffffff">
                  <v:path arrowok="t"/>
                  <v:stroke dashstyle="solid"/>
                </v:shape>
                <v:shape style="position:absolute;left:2460;top:1663;width:1202;height:331" id="docshape1748" coordorigin="2460,1663" coordsize="1202,331" path="m2460,1663l2469,1665,2478,1666,2487,1667,2497,1668,2506,1669,2514,1670,2524,1671,2533,1671,2543,1672,2552,1673,2561,1674,2571,1675,2580,1676,2582,1676,2588,1677,2598,1678,2603,1678,2607,1679,2617,1680,2626,1681,2635,1682,2645,1682,2647,1683,2654,1683,2664,1684,2673,1685,2682,1686,2692,1688,2701,1689,2711,1690,2719,1690,2728,1691,2736,1692,2738,1692,2747,1693,2756,1694,2766,1695,2775,1696,2785,1696,2794,1697,2803,1698,2813,1699,2823,1700,2833,1700,2842,1701,2851,1702,2861,1703,2867,1704,2870,1704,2879,1704,2889,1705,2898,1706,2908,1707,2917,1708,2926,1708,2936,1710,2945,1711,2955,1712,2965,1712,2974,1713,2984,1714,2993,1715,3002,1715,3012,1716,3021,1717,3031,1718,3041,1718,3050,1719,3060,1720,3065,1720,3069,1713,3072,1707,3077,1708,3078,1710,3077,1712,3074,1717,3073,1720,3072,1725,3071,1727,3071,1728,3072,1729,3077,1732,3084,1734,3087,1736,3087,1738,3089,1739,3092,1739,3095,1738,3098,1737,3101,1736,3104,1737,3106,1737,3107,1737,3109,1739,3111,1740,3113,1743,3114,1744,3114,1746,3114,1749,3115,1749,3117,1748,3120,1748,3123,1749,3125,1754,3128,1757,3130,1759,3133,1759,3138,1758,3143,1755,3146,1755,3147,1755,3147,1758,3148,1759,3152,1759,3158,1760,3163,1759,3164,1761,3164,1763,3165,1764,3169,1763,3174,1764,3175,1764,3176,1764,3181,1764,3183,1763,3186,1762,3191,1760,3200,1757,3206,1756,3209,1759,3212,1761,3213,1762,3216,1765,3219,1768,3225,1773,3229,1778,3233,1781,3236,1784,3237,1785,3240,1788,3243,1791,3247,1794,3250,1797,3253,1801,3256,1804,3259,1807,3262,1809,3262,1814,3261,1818,3262,1823,3263,1826,3264,1825,3266,1824,3267,1824,3269,1824,3273,1823,3274,1823,3275,1824,3274,1825,3273,1827,3272,1829,3271,1832,3271,1834,3271,1837,3271,1839,3273,1839,3276,1838,3279,1838,3280,1838,3281,1840,3281,1841,3281,1842,3276,1849,3279,1852,3283,1856,3287,1860,3289,1863,3293,1867,3291,1872,3290,1876,3289,1882,3287,1887,3286,1894,3284,1900,3283,1907,3281,1914,3279,1920,3277,1929,3275,1933,3268,1940,3264,1946,3263,1948,3257,1958,3254,1962,3251,1964,3248,1966,3243,1969,3239,1971,3237,1972,3236,1973,3233,1978,3231,1983,3231,1984,3232,1988,3235,1991,3238,1994,3244,1994,3251,1991,3258,1988,3264,1985,3273,1981,3279,1978,3285,1976,3294,1975,3299,1974,3306,1973,3312,1971,3320,1968,3329,1965,3346,1956,3345,1954,3345,1953,3344,1953,3344,1952,3345,1951,3345,1950,3345,1949,3347,1943,3347,1942,3347,1937,3351,1935,3356,1934,3359,1931,3365,1933,3372,1933,3379,1933,3386,1934,3394,1934,3399,1934,3405,1935,3409,1929,3414,1924,3419,1920,3426,1915,3428,1914,3429,1912,3433,1909,3437,1908,3439,1906,3440,1905,3453,1897,3460,1893,3466,1890,3479,1890,3489,1891,3499,1891,3505,1891,3508,1892,3519,1892,3528,1892,3539,1893,3548,1893,3553,1886,3556,1883,3558,1884,3560,1884,3561,1883,3562,1883,3565,1882,3566,1882,3566,1884,3566,1885,3567,1884,3568,1883,3569,1881,3570,1880,3571,1880,3572,1880,3573,1879,3573,1877,3574,1875,3578,1872,3581,1871,3583,1870,3584,1867,3586,1864,3589,1863,3589,1862,3589,1861,3590,1858,3592,1855,3594,1852,3597,1849,3600,1846,3603,1841,3605,1836,3610,1832,3616,1827,3619,1824,3624,1818,3628,1815,3630,1813,3632,1811,3634,1812,3637,1812,3636,1815,3634,1817,3634,1818,3636,1819,3637,1820,3638,1820,3639,1820,3644,1819,3648,1818,3651,1817,3652,1816,3653,1816,3654,1816,3657,1819,3659,1823,3662,1826,3659,1831,3657,1836,3655,1842,3654,1846,3652,1852,3651,1856,3649,1862,3648,1864,3648,1866,3647,1867,3647,1868,3647,1869,3647,1870,3646,1871,3645,1871,3645,1873,3645,1874,3646,1874,3647,1875,3647,1876,3648,1877,3650,1877,3651,1877,3652,1877,3652,1879,3651,1880,3650,1880,3649,1881,3649,1882,3649,1883,3649,1885,3649,1886,3648,1887,3647,1889,3647,1890,3648,1891,3648,1893,3649,1893,3650,1893,3651,1892,3652,1892,3653,1893,3654,1893e" filled="false" stroked="true" strokeweight=".35pt" strokecolor="#ffffff">
                  <v:path arrowok="t"/>
                  <v:stroke dashstyle="solid"/>
                </v:shape>
                <v:shape style="position:absolute;left:120;top:105;width:9450;height:192" type="#_x0000_t202" id="docshape1749" filled="false" stroked="false">
                  <v:textbox inset="0,0,0,0">
                    <w:txbxContent>
                      <w:p>
                        <w:pPr>
                          <w:tabs>
                            <w:tab w:pos="839" w:val="left" w:leader="none"/>
                          </w:tabs>
                          <w:spacing w:before="3"/>
                          <w:ind w:left="0" w:right="0" w:firstLine="0"/>
                          <w:jc w:val="left"/>
                          <w:rPr>
                            <w:rFonts w:ascii="Arial" w:hAnsi="Arial"/>
                            <w:b/>
                            <w:sz w:val="16"/>
                          </w:rPr>
                        </w:pPr>
                        <w:r>
                          <w:rPr>
                            <w:rFonts w:ascii="Arial" w:hAnsi="Arial"/>
                            <w:color w:val="FFFFFF"/>
                            <w:w w:val="85"/>
                            <w:sz w:val="16"/>
                          </w:rPr>
                          <w:t>Map</w:t>
                        </w:r>
                        <w:r>
                          <w:rPr>
                            <w:rFonts w:ascii="Arial" w:hAnsi="Arial"/>
                            <w:color w:val="FFFFFF"/>
                            <w:spacing w:val="-5"/>
                            <w:w w:val="105"/>
                            <w:sz w:val="16"/>
                          </w:rPr>
                          <w:t> </w:t>
                        </w:r>
                        <w:r>
                          <w:rPr>
                            <w:rFonts w:ascii="Arial" w:hAnsi="Arial"/>
                            <w:b/>
                            <w:color w:val="FFFFFF"/>
                            <w:spacing w:val="-4"/>
                            <w:w w:val="105"/>
                            <w:sz w:val="16"/>
                          </w:rPr>
                          <w:t>A6.2</w:t>
                        </w:r>
                        <w:r>
                          <w:rPr>
                            <w:rFonts w:ascii="Arial" w:hAnsi="Arial"/>
                            <w:b/>
                            <w:color w:val="FFFFFF"/>
                            <w:sz w:val="16"/>
                          </w:rPr>
                          <w:tab/>
                        </w:r>
                        <w:r>
                          <w:rPr>
                            <w:rFonts w:ascii="Arial" w:hAnsi="Arial"/>
                            <w:b/>
                            <w:color w:val="FFFFFF"/>
                            <w:w w:val="105"/>
                            <w:sz w:val="16"/>
                          </w:rPr>
                          <w:t>Based</w:t>
                        </w:r>
                        <w:r>
                          <w:rPr>
                            <w:rFonts w:ascii="Arial" w:hAnsi="Arial"/>
                            <w:b/>
                            <w:color w:val="FFFFFF"/>
                            <w:spacing w:val="1"/>
                            <w:w w:val="105"/>
                            <w:sz w:val="16"/>
                          </w:rPr>
                          <w:t> </w:t>
                        </w:r>
                        <w:r>
                          <w:rPr>
                            <w:rFonts w:ascii="Arial" w:hAnsi="Arial"/>
                            <w:b/>
                            <w:color w:val="FFFFFF"/>
                            <w:w w:val="105"/>
                            <w:sz w:val="16"/>
                          </w:rPr>
                          <w:t>on</w:t>
                        </w:r>
                        <w:r>
                          <w:rPr>
                            <w:rFonts w:ascii="Arial" w:hAnsi="Arial"/>
                            <w:b/>
                            <w:color w:val="FFFFFF"/>
                            <w:spacing w:val="1"/>
                            <w:w w:val="105"/>
                            <w:sz w:val="16"/>
                          </w:rPr>
                          <w:t> </w:t>
                        </w:r>
                        <w:r>
                          <w:rPr>
                            <w:rFonts w:ascii="Arial" w:hAnsi="Arial"/>
                            <w:b/>
                            <w:color w:val="FFFFFF"/>
                            <w:w w:val="105"/>
                            <w:sz w:val="16"/>
                          </w:rPr>
                          <w:t>your</w:t>
                        </w:r>
                        <w:r>
                          <w:rPr>
                            <w:rFonts w:ascii="Arial" w:hAnsi="Arial"/>
                            <w:b/>
                            <w:color w:val="FFFFFF"/>
                            <w:spacing w:val="1"/>
                            <w:w w:val="105"/>
                            <w:sz w:val="16"/>
                          </w:rPr>
                          <w:t> </w:t>
                        </w:r>
                        <w:r>
                          <w:rPr>
                            <w:rFonts w:ascii="Arial" w:hAnsi="Arial"/>
                            <w:b/>
                            <w:color w:val="FFFFFF"/>
                            <w:w w:val="105"/>
                            <w:sz w:val="16"/>
                          </w:rPr>
                          <w:t>experience,</w:t>
                        </w:r>
                        <w:r>
                          <w:rPr>
                            <w:rFonts w:ascii="Arial" w:hAnsi="Arial"/>
                            <w:b/>
                            <w:color w:val="FFFFFF"/>
                            <w:spacing w:val="2"/>
                            <w:w w:val="105"/>
                            <w:sz w:val="16"/>
                          </w:rPr>
                          <w:t> </w:t>
                        </w:r>
                        <w:r>
                          <w:rPr>
                            <w:rFonts w:ascii="Arial" w:hAnsi="Arial"/>
                            <w:b/>
                            <w:color w:val="FFFFFF"/>
                            <w:w w:val="105"/>
                            <w:sz w:val="16"/>
                          </w:rPr>
                          <w:t>how</w:t>
                        </w:r>
                        <w:r>
                          <w:rPr>
                            <w:rFonts w:ascii="Arial" w:hAnsi="Arial"/>
                            <w:b/>
                            <w:color w:val="FFFFFF"/>
                            <w:spacing w:val="1"/>
                            <w:w w:val="105"/>
                            <w:sz w:val="16"/>
                          </w:rPr>
                          <w:t> </w:t>
                        </w:r>
                        <w:r>
                          <w:rPr>
                            <w:rFonts w:ascii="Arial" w:hAnsi="Arial"/>
                            <w:b/>
                            <w:color w:val="FFFFFF"/>
                            <w:w w:val="105"/>
                            <w:sz w:val="16"/>
                          </w:rPr>
                          <w:t>have</w:t>
                        </w:r>
                        <w:r>
                          <w:rPr>
                            <w:rFonts w:ascii="Arial" w:hAnsi="Arial"/>
                            <w:b/>
                            <w:color w:val="FFFFFF"/>
                            <w:spacing w:val="1"/>
                            <w:w w:val="105"/>
                            <w:sz w:val="16"/>
                          </w:rPr>
                          <w:t> </w:t>
                        </w:r>
                        <w:r>
                          <w:rPr>
                            <w:rFonts w:ascii="Arial" w:hAnsi="Arial"/>
                            <w:b/>
                            <w:color w:val="FFFFFF"/>
                            <w:w w:val="105"/>
                            <w:sz w:val="16"/>
                          </w:rPr>
                          <w:t>supply</w:t>
                        </w:r>
                        <w:r>
                          <w:rPr>
                            <w:rFonts w:ascii="Arial" w:hAnsi="Arial"/>
                            <w:b/>
                            <w:color w:val="FFFFFF"/>
                            <w:spacing w:val="2"/>
                            <w:w w:val="105"/>
                            <w:sz w:val="16"/>
                          </w:rPr>
                          <w:t> </w:t>
                        </w:r>
                        <w:r>
                          <w:rPr>
                            <w:rFonts w:ascii="Arial" w:hAnsi="Arial"/>
                            <w:b/>
                            <w:color w:val="FFFFFF"/>
                            <w:w w:val="105"/>
                            <w:sz w:val="16"/>
                          </w:rPr>
                          <w:t>chains</w:t>
                        </w:r>
                        <w:r>
                          <w:rPr>
                            <w:rFonts w:ascii="Arial" w:hAnsi="Arial"/>
                            <w:b/>
                            <w:color w:val="FFFFFF"/>
                            <w:spacing w:val="1"/>
                            <w:w w:val="105"/>
                            <w:sz w:val="16"/>
                          </w:rPr>
                          <w:t> </w:t>
                        </w:r>
                        <w:r>
                          <w:rPr>
                            <w:rFonts w:ascii="Arial" w:hAnsi="Arial"/>
                            <w:b/>
                            <w:color w:val="FFFFFF"/>
                            <w:w w:val="105"/>
                            <w:sz w:val="16"/>
                          </w:rPr>
                          <w:t>been</w:t>
                        </w:r>
                        <w:r>
                          <w:rPr>
                            <w:rFonts w:ascii="Arial" w:hAnsi="Arial"/>
                            <w:b/>
                            <w:color w:val="FFFFFF"/>
                            <w:spacing w:val="1"/>
                            <w:w w:val="105"/>
                            <w:sz w:val="16"/>
                          </w:rPr>
                          <w:t> </w:t>
                        </w:r>
                        <w:r>
                          <w:rPr>
                            <w:rFonts w:ascii="Arial" w:hAnsi="Arial"/>
                            <w:b/>
                            <w:color w:val="FFFFFF"/>
                            <w:w w:val="105"/>
                            <w:sz w:val="16"/>
                          </w:rPr>
                          <w:t>affected</w:t>
                        </w:r>
                        <w:r>
                          <w:rPr>
                            <w:rFonts w:ascii="Arial" w:hAnsi="Arial"/>
                            <w:b/>
                            <w:color w:val="FFFFFF"/>
                            <w:spacing w:val="2"/>
                            <w:w w:val="105"/>
                            <w:sz w:val="16"/>
                          </w:rPr>
                          <w:t> </w:t>
                        </w:r>
                        <w:r>
                          <w:rPr>
                            <w:rFonts w:ascii="Arial" w:hAnsi="Arial"/>
                            <w:b/>
                            <w:color w:val="FFFFFF"/>
                            <w:w w:val="105"/>
                            <w:sz w:val="16"/>
                          </w:rPr>
                          <w:t>since</w:t>
                        </w:r>
                        <w:r>
                          <w:rPr>
                            <w:rFonts w:ascii="Arial" w:hAnsi="Arial"/>
                            <w:b/>
                            <w:color w:val="FFFFFF"/>
                            <w:spacing w:val="1"/>
                            <w:w w:val="105"/>
                            <w:sz w:val="16"/>
                          </w:rPr>
                          <w:t> </w:t>
                        </w:r>
                        <w:r>
                          <w:rPr>
                            <w:rFonts w:ascii="Arial" w:hAnsi="Arial"/>
                            <w:b/>
                            <w:color w:val="FFFFFF"/>
                            <w:w w:val="105"/>
                            <w:sz w:val="16"/>
                          </w:rPr>
                          <w:t>the</w:t>
                        </w:r>
                        <w:r>
                          <w:rPr>
                            <w:rFonts w:ascii="Arial" w:hAnsi="Arial"/>
                            <w:b/>
                            <w:color w:val="FFFFFF"/>
                            <w:spacing w:val="1"/>
                            <w:w w:val="105"/>
                            <w:sz w:val="16"/>
                          </w:rPr>
                          <w:t> </w:t>
                        </w:r>
                        <w:r>
                          <w:rPr>
                            <w:rFonts w:ascii="Arial" w:hAnsi="Arial"/>
                            <w:b/>
                            <w:color w:val="FFFFFF"/>
                            <w:w w:val="105"/>
                            <w:sz w:val="16"/>
                          </w:rPr>
                          <w:t>year</w:t>
                        </w:r>
                        <w:r>
                          <w:rPr>
                            <w:rFonts w:ascii="Arial" w:hAnsi="Arial"/>
                            <w:b/>
                            <w:color w:val="FFFFFF"/>
                            <w:spacing w:val="2"/>
                            <w:w w:val="105"/>
                            <w:sz w:val="16"/>
                          </w:rPr>
                          <w:t> </w:t>
                        </w:r>
                        <w:r>
                          <w:rPr>
                            <w:rFonts w:ascii="Arial" w:hAnsi="Arial"/>
                            <w:b/>
                            <w:color w:val="FFFFFF"/>
                            <w:w w:val="105"/>
                            <w:sz w:val="16"/>
                          </w:rPr>
                          <w:t>2019</w:t>
                        </w:r>
                        <w:r>
                          <w:rPr>
                            <w:rFonts w:ascii="Arial" w:hAnsi="Arial"/>
                            <w:b/>
                            <w:color w:val="FFFFFF"/>
                            <w:spacing w:val="1"/>
                            <w:w w:val="105"/>
                            <w:sz w:val="16"/>
                          </w:rPr>
                          <w:t> </w:t>
                        </w:r>
                        <w:r>
                          <w:rPr>
                            <w:rFonts w:ascii="Arial" w:hAnsi="Arial"/>
                            <w:b/>
                            <w:color w:val="FFFFFF"/>
                            <w:w w:val="105"/>
                            <w:sz w:val="16"/>
                          </w:rPr>
                          <w:t>when</w:t>
                        </w:r>
                        <w:r>
                          <w:rPr>
                            <w:rFonts w:ascii="Arial" w:hAnsi="Arial"/>
                            <w:b/>
                            <w:color w:val="FFFFFF"/>
                            <w:spacing w:val="1"/>
                            <w:w w:val="105"/>
                            <w:sz w:val="16"/>
                          </w:rPr>
                          <w:t> </w:t>
                        </w:r>
                        <w:r>
                          <w:rPr>
                            <w:rFonts w:ascii="Arial" w:hAnsi="Arial"/>
                            <w:b/>
                            <w:color w:val="FFFFFF"/>
                            <w:w w:val="105"/>
                            <w:sz w:val="16"/>
                          </w:rPr>
                          <w:t>shipping</w:t>
                        </w:r>
                        <w:r>
                          <w:rPr>
                            <w:rFonts w:ascii="Arial" w:hAnsi="Arial"/>
                            <w:b/>
                            <w:color w:val="FFFFFF"/>
                            <w:spacing w:val="2"/>
                            <w:w w:val="105"/>
                            <w:sz w:val="16"/>
                          </w:rPr>
                          <w:t> </w:t>
                        </w:r>
                        <w:r>
                          <w:rPr>
                            <w:rFonts w:ascii="Arial" w:hAnsi="Arial"/>
                            <w:b/>
                            <w:color w:val="FFFFFF"/>
                            <w:spacing w:val="-4"/>
                            <w:w w:val="105"/>
                            <w:sz w:val="16"/>
                          </w:rPr>
                          <w:t>to…?</w:t>
                        </w:r>
                      </w:p>
                    </w:txbxContent>
                  </v:textbox>
                  <w10:wrap type="none"/>
                </v:shape>
                <v:shape style="position:absolute;left:120;top:5817;width:1021;height:144" type="#_x0000_t202" id="docshape1750" filled="false" stroked="false">
                  <v:textbox inset="0,0,0,0">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2"/>
                            <w:sz w:val="12"/>
                          </w:rPr>
                          <w:t> </w:t>
                        </w:r>
                        <w:r>
                          <w:rPr>
                            <w:rFonts w:ascii="Arial"/>
                            <w:color w:val="231F20"/>
                            <w:w w:val="75"/>
                            <w:sz w:val="12"/>
                          </w:rPr>
                          <w:t>2023</w:t>
                        </w:r>
                        <w:r>
                          <w:rPr>
                            <w:rFonts w:ascii="Arial"/>
                            <w:color w:val="231F20"/>
                            <w:spacing w:val="2"/>
                            <w:sz w:val="12"/>
                          </w:rPr>
                          <w:t> </w:t>
                        </w:r>
                        <w:r>
                          <w:rPr>
                            <w:rFonts w:ascii="Arial"/>
                            <w:color w:val="231F20"/>
                            <w:w w:val="75"/>
                            <w:sz w:val="12"/>
                          </w:rPr>
                          <w:t>LPI</w:t>
                        </w:r>
                        <w:r>
                          <w:rPr>
                            <w:rFonts w:ascii="Arial"/>
                            <w:color w:val="231F20"/>
                            <w:spacing w:val="3"/>
                            <w:sz w:val="12"/>
                          </w:rPr>
                          <w:t> </w:t>
                        </w:r>
                        <w:r>
                          <w:rPr>
                            <w:rFonts w:ascii="Arial"/>
                            <w:color w:val="231F20"/>
                            <w:spacing w:val="-2"/>
                            <w:w w:val="75"/>
                            <w:sz w:val="12"/>
                          </w:rPr>
                          <w:t>team.</w:t>
                        </w:r>
                      </w:p>
                    </w:txbxContent>
                  </v:textbox>
                  <w10:wrap type="none"/>
                </v:shape>
              </v:group>
            </w:pict>
          </mc:Fallback>
        </mc:AlternateContent>
      </w:r>
      <w:r>
        <w:rPr>
          <w:rFonts w:ascii="Arial"/>
          <w:sz w:val="20"/>
        </w:rPr>
      </w:r>
    </w:p>
    <w:p>
      <w:pPr>
        <w:spacing w:after="0"/>
        <w:rPr>
          <w:rFonts w:ascii="Arial"/>
          <w:sz w:val="20"/>
        </w:rPr>
        <w:sectPr>
          <w:headerReference w:type="even" r:id="rId163"/>
          <w:footerReference w:type="even" r:id="rId164"/>
          <w:footerReference w:type="default" r:id="rId165"/>
          <w:pgSz w:w="12240" w:h="15840"/>
          <w:pgMar w:header="370" w:footer="548" w:top="560" w:bottom="740" w:left="0" w:right="540"/>
          <w:pgNumType w:start="66"/>
        </w:sectPr>
      </w:pPr>
    </w:p>
    <w:p>
      <w:pPr>
        <w:spacing w:before="144"/>
        <w:ind w:left="711" w:right="503" w:firstLine="0"/>
        <w:jc w:val="center"/>
        <w:rPr>
          <w:rFonts w:ascii="Arial"/>
          <w:b/>
          <w:sz w:val="40"/>
        </w:rPr>
      </w:pPr>
      <w:r>
        <w:rPr/>
        <mc:AlternateContent>
          <mc:Choice Requires="wps">
            <w:drawing>
              <wp:anchor distT="0" distB="0" distL="0" distR="0" allowOverlap="1" layoutInCell="1" locked="0" behindDoc="1" simplePos="0" relativeHeight="487647744">
                <wp:simplePos x="0" y="0"/>
                <wp:positionH relativeFrom="page">
                  <wp:posOffset>762000</wp:posOffset>
                </wp:positionH>
                <wp:positionV relativeFrom="paragraph">
                  <wp:posOffset>977900</wp:posOffset>
                </wp:positionV>
                <wp:extent cx="1524000" cy="171450"/>
                <wp:effectExtent l="0" t="0" r="0" b="0"/>
                <wp:wrapTopAndBottom/>
                <wp:docPr id="2033" name="Graphic 2033"/>
                <wp:cNvGraphicFramePr>
                  <a:graphicFrameLocks/>
                </wp:cNvGraphicFramePr>
                <a:graphic>
                  <a:graphicData uri="http://schemas.microsoft.com/office/word/2010/wordprocessingShape">
                    <wps:wsp>
                      <wps:cNvPr id="2033" name="Graphic 2033"/>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77pt;width:120pt;height:13.5pt;mso-position-horizontal-relative:page;mso-position-vertical-relative:paragraph;z-index:-15668736;mso-wrap-distance-left:0;mso-wrap-distance-right:0" id="docshape1751"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648256">
                <wp:simplePos x="0" y="0"/>
                <wp:positionH relativeFrom="page">
                  <wp:posOffset>2438400</wp:posOffset>
                </wp:positionH>
                <wp:positionV relativeFrom="paragraph">
                  <wp:posOffset>977900</wp:posOffset>
                </wp:positionV>
                <wp:extent cx="4876800" cy="171450"/>
                <wp:effectExtent l="0" t="0" r="0" b="0"/>
                <wp:wrapTopAndBottom/>
                <wp:docPr id="2034" name="Graphic 2034"/>
                <wp:cNvGraphicFramePr>
                  <a:graphicFrameLocks/>
                </wp:cNvGraphicFramePr>
                <a:graphic>
                  <a:graphicData uri="http://schemas.microsoft.com/office/word/2010/wordprocessingShape">
                    <wps:wsp>
                      <wps:cNvPr id="2034" name="Graphic 2034"/>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77pt;width:384pt;height:13.5pt;mso-position-horizontal-relative:page;mso-position-vertical-relative:paragraph;z-index:-15668224;mso-wrap-distance-left:0;mso-wrap-distance-right:0" id="docshape1752" filled="true" fillcolor="#c9dcf3" stroked="false">
                <v:fill type="solid"/>
                <w10:wrap type="topAndBottom"/>
              </v:rect>
            </w:pict>
          </mc:Fallback>
        </mc:AlternateContent>
      </w:r>
      <w:r>
        <w:rPr/>
        <mc:AlternateContent>
          <mc:Choice Requires="wps">
            <w:drawing>
              <wp:anchor distT="0" distB="0" distL="0" distR="0" allowOverlap="1" layoutInCell="1" locked="0" behindDoc="0" simplePos="0" relativeHeight="15790080">
                <wp:simplePos x="0" y="0"/>
                <wp:positionH relativeFrom="page">
                  <wp:posOffset>1542031</wp:posOffset>
                </wp:positionH>
                <wp:positionV relativeFrom="paragraph">
                  <wp:posOffset>191313</wp:posOffset>
                </wp:positionV>
                <wp:extent cx="159385" cy="628015"/>
                <wp:effectExtent l="0" t="0" r="0" b="0"/>
                <wp:wrapNone/>
                <wp:docPr id="2035" name="Textbox 2035"/>
                <wp:cNvGraphicFramePr>
                  <a:graphicFrameLocks/>
                </wp:cNvGraphicFramePr>
                <a:graphic>
                  <a:graphicData uri="http://schemas.microsoft.com/office/word/2010/wordprocessingShape">
                    <wps:wsp>
                      <wps:cNvPr id="2035" name="Textbox 2035"/>
                      <wps:cNvSpPr txBox="1"/>
                      <wps:spPr>
                        <a:xfrm>
                          <a:off x="0" y="0"/>
                          <a:ext cx="159385" cy="628015"/>
                        </a:xfrm>
                        <a:prstGeom prst="rect">
                          <a:avLst/>
                        </a:prstGeom>
                      </wps:spPr>
                      <wps:txbx>
                        <w:txbxContent>
                          <w:p>
                            <w:pPr>
                              <w:spacing w:before="28"/>
                              <w:ind w:left="20" w:right="0" w:firstLine="0"/>
                              <w:jc w:val="left"/>
                              <w:rPr>
                                <w:rFonts w:ascii="Arial"/>
                                <w:b/>
                                <w:sz w:val="17"/>
                              </w:rPr>
                            </w:pPr>
                            <w:r>
                              <w:rPr>
                                <w:rFonts w:ascii="Arial"/>
                                <w:b/>
                                <w:color w:val="231F20"/>
                                <w:spacing w:val="-2"/>
                                <w:w w:val="110"/>
                                <w:sz w:val="17"/>
                              </w:rPr>
                              <w:t>APPENDIX</w:t>
                            </w:r>
                          </w:p>
                        </w:txbxContent>
                      </wps:txbx>
                      <wps:bodyPr wrap="square" lIns="0" tIns="0" rIns="0" bIns="0" rtlCol="0" vert="vert270">
                        <a:noAutofit/>
                      </wps:bodyPr>
                    </wps:wsp>
                  </a:graphicData>
                </a:graphic>
              </wp:anchor>
            </w:drawing>
          </mc:Choice>
          <mc:Fallback>
            <w:pict>
              <v:shape style="position:absolute;margin-left:121.4198pt;margin-top:15.064048pt;width:12.55pt;height:49.45pt;mso-position-horizontal-relative:page;mso-position-vertical-relative:paragraph;z-index:15790080" type="#_x0000_t202" id="docshape1753" filled="false" stroked="false">
                <v:textbox inset="0,0,0,0" style="layout-flow:vertical;mso-layout-flow-alt:bottom-to-top">
                  <w:txbxContent>
                    <w:p>
                      <w:pPr>
                        <w:spacing w:before="28"/>
                        <w:ind w:left="20" w:right="0" w:firstLine="0"/>
                        <w:jc w:val="left"/>
                        <w:rPr>
                          <w:rFonts w:ascii="Arial"/>
                          <w:b/>
                          <w:sz w:val="17"/>
                        </w:rPr>
                      </w:pPr>
                      <w:r>
                        <w:rPr>
                          <w:rFonts w:ascii="Arial"/>
                          <w:b/>
                          <w:color w:val="231F20"/>
                          <w:spacing w:val="-2"/>
                          <w:w w:val="110"/>
                          <w:sz w:val="17"/>
                        </w:rPr>
                        <w:t>APPENDIX</w:t>
                      </w:r>
                    </w:p>
                  </w:txbxContent>
                </v:textbox>
                <w10:wrap type="none"/>
              </v:shape>
            </w:pict>
          </mc:Fallback>
        </mc:AlternateContent>
      </w:r>
      <w:bookmarkStart w:name="_bookmark51" w:id="55"/>
      <w:bookmarkEnd w:id="55"/>
      <w:r>
        <w:rPr/>
      </w:r>
      <w:r>
        <w:rPr>
          <w:rFonts w:ascii="Arial"/>
          <w:b/>
          <w:color w:val="008FDD"/>
          <w:w w:val="110"/>
          <w:sz w:val="120"/>
        </w:rPr>
        <w:t>7</w:t>
      </w:r>
      <w:r>
        <w:rPr>
          <w:rFonts w:ascii="Arial"/>
          <w:b/>
          <w:color w:val="008FDD"/>
          <w:spacing w:val="-128"/>
          <w:w w:val="110"/>
          <w:sz w:val="120"/>
        </w:rPr>
        <w:t> </w:t>
      </w:r>
      <w:r>
        <w:rPr>
          <w:rFonts w:ascii="Arial"/>
          <w:b/>
          <w:color w:val="231F20"/>
          <w:w w:val="110"/>
          <w:sz w:val="40"/>
        </w:rPr>
        <w:t>Respondent</w:t>
      </w:r>
      <w:r>
        <w:rPr>
          <w:rFonts w:ascii="Arial"/>
          <w:b/>
          <w:color w:val="231F20"/>
          <w:spacing w:val="-23"/>
          <w:w w:val="110"/>
          <w:sz w:val="40"/>
        </w:rPr>
        <w:t> </w:t>
      </w:r>
      <w:r>
        <w:rPr>
          <w:rFonts w:ascii="Arial"/>
          <w:b/>
          <w:color w:val="231F20"/>
          <w:spacing w:val="-2"/>
          <w:w w:val="110"/>
          <w:sz w:val="40"/>
        </w:rPr>
        <w:t>demographics</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17"/>
        <w:rPr>
          <w:rFonts w:ascii="Arial"/>
          <w:b/>
          <w:sz w:val="20"/>
        </w:rPr>
      </w:pPr>
    </w:p>
    <w:p>
      <w:pPr>
        <w:spacing w:after="0"/>
        <w:rPr>
          <w:rFonts w:ascii="Arial"/>
          <w:sz w:val="20"/>
        </w:rPr>
        <w:sectPr>
          <w:headerReference w:type="default" r:id="rId178"/>
          <w:pgSz w:w="12240" w:h="15840"/>
          <w:pgMar w:header="0" w:footer="0" w:top="320" w:bottom="740" w:left="0" w:right="540"/>
        </w:sectPr>
      </w:pPr>
    </w:p>
    <w:p>
      <w:pPr>
        <w:pStyle w:val="BodyText"/>
        <w:spacing w:line="268" w:lineRule="auto" w:before="97"/>
        <w:ind w:left="3840"/>
        <w:jc w:val="right"/>
      </w:pPr>
      <w:r>
        <w:rPr>
          <w:color w:val="231F20"/>
          <w:spacing w:val="-8"/>
        </w:rPr>
        <w:t>Operators</w:t>
      </w:r>
      <w:r>
        <w:rPr>
          <w:color w:val="231F20"/>
          <w:spacing w:val="-15"/>
        </w:rPr>
        <w:t> </w:t>
      </w:r>
      <w:r>
        <w:rPr>
          <w:color w:val="231F20"/>
          <w:spacing w:val="-8"/>
        </w:rPr>
        <w:t>on</w:t>
      </w:r>
      <w:r>
        <w:rPr>
          <w:color w:val="231F20"/>
          <w:spacing w:val="-15"/>
        </w:rPr>
        <w:t> </w:t>
      </w:r>
      <w:r>
        <w:rPr>
          <w:color w:val="231F20"/>
          <w:spacing w:val="-8"/>
        </w:rPr>
        <w:t>the</w:t>
      </w:r>
      <w:r>
        <w:rPr>
          <w:color w:val="231F20"/>
          <w:spacing w:val="-15"/>
        </w:rPr>
        <w:t> </w:t>
      </w:r>
      <w:r>
        <w:rPr>
          <w:color w:val="231F20"/>
          <w:spacing w:val="-8"/>
        </w:rPr>
        <w:t>ground</w:t>
      </w:r>
      <w:r>
        <w:rPr>
          <w:color w:val="231F20"/>
          <w:spacing w:val="-15"/>
        </w:rPr>
        <w:t> </w:t>
      </w:r>
      <w:r>
        <w:rPr>
          <w:color w:val="231F20"/>
          <w:spacing w:val="-8"/>
        </w:rPr>
        <w:t>are</w:t>
      </w:r>
      <w:r>
        <w:rPr>
          <w:color w:val="231F20"/>
          <w:spacing w:val="-15"/>
        </w:rPr>
        <w:t> </w:t>
      </w:r>
      <w:r>
        <w:rPr>
          <w:color w:val="231F20"/>
          <w:spacing w:val="-8"/>
        </w:rPr>
        <w:t>best</w:t>
      </w:r>
      <w:r>
        <w:rPr>
          <w:color w:val="231F20"/>
          <w:spacing w:val="-15"/>
        </w:rPr>
        <w:t> </w:t>
      </w:r>
      <w:r>
        <w:rPr>
          <w:color w:val="231F20"/>
          <w:spacing w:val="-8"/>
        </w:rPr>
        <w:t>placed</w:t>
      </w:r>
      <w:r>
        <w:rPr>
          <w:color w:val="231F20"/>
          <w:spacing w:val="-15"/>
        </w:rPr>
        <w:t> </w:t>
      </w:r>
      <w:r>
        <w:rPr>
          <w:color w:val="231F20"/>
          <w:spacing w:val="-8"/>
        </w:rPr>
        <w:t>to</w:t>
      </w:r>
      <w:r>
        <w:rPr>
          <w:color w:val="231F20"/>
          <w:spacing w:val="-15"/>
        </w:rPr>
        <w:t> </w:t>
      </w:r>
      <w:r>
        <w:rPr>
          <w:color w:val="231F20"/>
          <w:spacing w:val="-8"/>
        </w:rPr>
        <w:t>assess </w:t>
      </w:r>
      <w:r>
        <w:rPr>
          <w:color w:val="231F20"/>
          <w:spacing w:val="-4"/>
        </w:rPr>
        <w:t>the vital aspects of logistics performance. The </w:t>
      </w:r>
      <w:r>
        <w:rPr>
          <w:color w:val="231F20"/>
          <w:spacing w:val="-2"/>
        </w:rPr>
        <w:t>Logistics Performance Index (LPI) thus uses a</w:t>
      </w:r>
      <w:r>
        <w:rPr>
          <w:color w:val="231F20"/>
          <w:spacing w:val="-7"/>
        </w:rPr>
        <w:t> </w:t>
      </w:r>
      <w:r>
        <w:rPr>
          <w:color w:val="231F20"/>
          <w:spacing w:val="-2"/>
        </w:rPr>
        <w:t>structured</w:t>
      </w:r>
      <w:r>
        <w:rPr>
          <w:color w:val="231F20"/>
          <w:spacing w:val="-7"/>
        </w:rPr>
        <w:t> </w:t>
      </w:r>
      <w:r>
        <w:rPr>
          <w:color w:val="231F20"/>
          <w:spacing w:val="-2"/>
        </w:rPr>
        <w:t>online</w:t>
      </w:r>
      <w:r>
        <w:rPr>
          <w:color w:val="231F20"/>
          <w:spacing w:val="-7"/>
        </w:rPr>
        <w:t> </w:t>
      </w:r>
      <w:r>
        <w:rPr>
          <w:color w:val="231F20"/>
          <w:spacing w:val="-2"/>
        </w:rPr>
        <w:t>survey</w:t>
      </w:r>
      <w:r>
        <w:rPr>
          <w:color w:val="231F20"/>
          <w:spacing w:val="-7"/>
        </w:rPr>
        <w:t> </w:t>
      </w:r>
      <w:r>
        <w:rPr>
          <w:color w:val="231F20"/>
          <w:spacing w:val="-2"/>
        </w:rPr>
        <w:t>of</w:t>
      </w:r>
      <w:r>
        <w:rPr>
          <w:color w:val="231F20"/>
          <w:spacing w:val="-7"/>
        </w:rPr>
        <w:t> </w:t>
      </w:r>
      <w:r>
        <w:rPr>
          <w:color w:val="231F20"/>
          <w:spacing w:val="-2"/>
        </w:rPr>
        <w:t>logistics</w:t>
      </w:r>
      <w:r>
        <w:rPr>
          <w:color w:val="231F20"/>
          <w:spacing w:val="-7"/>
        </w:rPr>
        <w:t> </w:t>
      </w:r>
      <w:r>
        <w:rPr>
          <w:color w:val="231F20"/>
          <w:spacing w:val="-2"/>
        </w:rPr>
        <w:t>profes- sionals,</w:t>
      </w:r>
      <w:r>
        <w:rPr>
          <w:color w:val="231F20"/>
          <w:spacing w:val="-7"/>
        </w:rPr>
        <w:t> </w:t>
      </w:r>
      <w:r>
        <w:rPr>
          <w:color w:val="231F20"/>
          <w:spacing w:val="-2"/>
        </w:rPr>
        <w:t>multinational</w:t>
      </w:r>
      <w:r>
        <w:rPr>
          <w:color w:val="231F20"/>
          <w:spacing w:val="-7"/>
        </w:rPr>
        <w:t> </w:t>
      </w:r>
      <w:r>
        <w:rPr>
          <w:color w:val="231F20"/>
          <w:spacing w:val="-2"/>
        </w:rPr>
        <w:t>freight</w:t>
      </w:r>
      <w:r>
        <w:rPr>
          <w:color w:val="231F20"/>
          <w:spacing w:val="-7"/>
        </w:rPr>
        <w:t> </w:t>
      </w:r>
      <w:r>
        <w:rPr>
          <w:color w:val="231F20"/>
          <w:spacing w:val="-2"/>
        </w:rPr>
        <w:t>forwarders,</w:t>
      </w:r>
      <w:r>
        <w:rPr>
          <w:color w:val="231F20"/>
          <w:spacing w:val="-7"/>
        </w:rPr>
        <w:t> </w:t>
      </w:r>
      <w:r>
        <w:rPr>
          <w:color w:val="231F20"/>
          <w:spacing w:val="-2"/>
        </w:rPr>
        <w:t>and </w:t>
      </w:r>
      <w:r>
        <w:rPr>
          <w:color w:val="231F20"/>
          <w:spacing w:val="-8"/>
        </w:rPr>
        <w:t>the</w:t>
      </w:r>
      <w:r>
        <w:rPr>
          <w:color w:val="231F20"/>
        </w:rPr>
        <w:t> </w:t>
      </w:r>
      <w:r>
        <w:rPr>
          <w:color w:val="231F20"/>
          <w:spacing w:val="-8"/>
        </w:rPr>
        <w:t>main</w:t>
      </w:r>
      <w:r>
        <w:rPr>
          <w:color w:val="231F20"/>
        </w:rPr>
        <w:t> </w:t>
      </w:r>
      <w:r>
        <w:rPr>
          <w:color w:val="231F20"/>
          <w:spacing w:val="-8"/>
        </w:rPr>
        <w:t>global</w:t>
      </w:r>
      <w:r>
        <w:rPr>
          <w:color w:val="231F20"/>
        </w:rPr>
        <w:t> </w:t>
      </w:r>
      <w:r>
        <w:rPr>
          <w:color w:val="231F20"/>
          <w:spacing w:val="-8"/>
        </w:rPr>
        <w:t>express</w:t>
      </w:r>
      <w:r>
        <w:rPr>
          <w:color w:val="231F20"/>
        </w:rPr>
        <w:t> </w:t>
      </w:r>
      <w:r>
        <w:rPr>
          <w:color w:val="231F20"/>
          <w:spacing w:val="-8"/>
        </w:rPr>
        <w:t>operators</w:t>
      </w:r>
      <w:r>
        <w:rPr>
          <w:color w:val="231F20"/>
        </w:rPr>
        <w:t> </w:t>
      </w:r>
      <w:r>
        <w:rPr>
          <w:color w:val="231F20"/>
          <w:spacing w:val="-8"/>
        </w:rPr>
        <w:t>(for</w:t>
      </w:r>
      <w:r>
        <w:rPr>
          <w:color w:val="231F20"/>
        </w:rPr>
        <w:t> </w:t>
      </w:r>
      <w:r>
        <w:rPr>
          <w:color w:val="231F20"/>
          <w:spacing w:val="-8"/>
        </w:rPr>
        <w:t>example, </w:t>
      </w:r>
      <w:r>
        <w:rPr>
          <w:color w:val="231F20"/>
          <w:spacing w:val="-6"/>
        </w:rPr>
        <w:t>DHL,</w:t>
      </w:r>
      <w:r>
        <w:rPr>
          <w:color w:val="231F20"/>
          <w:spacing w:val="-12"/>
        </w:rPr>
        <w:t> </w:t>
      </w:r>
      <w:r>
        <w:rPr>
          <w:color w:val="231F20"/>
          <w:spacing w:val="-6"/>
        </w:rPr>
        <w:t>FedEx,</w:t>
      </w:r>
      <w:r>
        <w:rPr>
          <w:color w:val="231F20"/>
          <w:spacing w:val="-12"/>
        </w:rPr>
        <w:t> </w:t>
      </w:r>
      <w:r>
        <w:rPr>
          <w:color w:val="231F20"/>
          <w:spacing w:val="-6"/>
        </w:rPr>
        <w:t>and</w:t>
      </w:r>
      <w:r>
        <w:rPr>
          <w:color w:val="231F20"/>
          <w:spacing w:val="-12"/>
        </w:rPr>
        <w:t> </w:t>
      </w:r>
      <w:r>
        <w:rPr>
          <w:color w:val="231F20"/>
          <w:spacing w:val="-6"/>
        </w:rPr>
        <w:t>UPS).</w:t>
      </w:r>
      <w:r>
        <w:rPr>
          <w:color w:val="231F20"/>
          <w:spacing w:val="-12"/>
        </w:rPr>
        <w:t> </w:t>
      </w:r>
      <w:r>
        <w:rPr>
          <w:color w:val="231F20"/>
          <w:spacing w:val="-6"/>
        </w:rPr>
        <w:t>The</w:t>
      </w:r>
      <w:r>
        <w:rPr>
          <w:color w:val="231F20"/>
          <w:spacing w:val="-12"/>
        </w:rPr>
        <w:t> </w:t>
      </w:r>
      <w:r>
        <w:rPr>
          <w:color w:val="231F20"/>
          <w:spacing w:val="-6"/>
        </w:rPr>
        <w:t>2023</w:t>
      </w:r>
      <w:r>
        <w:rPr>
          <w:color w:val="231F20"/>
          <w:spacing w:val="-12"/>
        </w:rPr>
        <w:t> </w:t>
      </w:r>
      <w:r>
        <w:rPr>
          <w:color w:val="231F20"/>
          <w:spacing w:val="-6"/>
        </w:rPr>
        <w:t>LPI</w:t>
      </w:r>
      <w:r>
        <w:rPr>
          <w:color w:val="231F20"/>
          <w:spacing w:val="-12"/>
        </w:rPr>
        <w:t> </w:t>
      </w:r>
      <w:r>
        <w:rPr>
          <w:color w:val="231F20"/>
          <w:spacing w:val="-6"/>
        </w:rPr>
        <w:t>data</w:t>
      </w:r>
      <w:r>
        <w:rPr>
          <w:color w:val="231F20"/>
          <w:spacing w:val="-12"/>
        </w:rPr>
        <w:t> </w:t>
      </w:r>
      <w:r>
        <w:rPr>
          <w:color w:val="231F20"/>
          <w:spacing w:val="-6"/>
        </w:rPr>
        <w:t>are </w:t>
      </w:r>
      <w:r>
        <w:rPr>
          <w:color w:val="231F20"/>
          <w:w w:val="90"/>
        </w:rPr>
        <w:t>based</w:t>
      </w:r>
      <w:r>
        <w:rPr>
          <w:color w:val="231F20"/>
          <w:spacing w:val="-13"/>
          <w:w w:val="90"/>
        </w:rPr>
        <w:t> </w:t>
      </w:r>
      <w:r>
        <w:rPr>
          <w:color w:val="231F20"/>
          <w:w w:val="90"/>
        </w:rPr>
        <w:t>on</w:t>
      </w:r>
      <w:r>
        <w:rPr>
          <w:color w:val="231F20"/>
          <w:spacing w:val="-13"/>
          <w:w w:val="90"/>
        </w:rPr>
        <w:t> </w:t>
      </w:r>
      <w:r>
        <w:rPr>
          <w:color w:val="231F20"/>
          <w:w w:val="90"/>
        </w:rPr>
        <w:t>a</w:t>
      </w:r>
      <w:r>
        <w:rPr>
          <w:color w:val="231F20"/>
          <w:spacing w:val="-13"/>
          <w:w w:val="90"/>
        </w:rPr>
        <w:t> </w:t>
      </w:r>
      <w:r>
        <w:rPr>
          <w:color w:val="231F20"/>
          <w:w w:val="90"/>
        </w:rPr>
        <w:t>survey</w:t>
      </w:r>
      <w:r>
        <w:rPr>
          <w:color w:val="231F20"/>
          <w:spacing w:val="-13"/>
          <w:w w:val="90"/>
        </w:rPr>
        <w:t> </w:t>
      </w:r>
      <w:r>
        <w:rPr>
          <w:color w:val="231F20"/>
          <w:w w:val="90"/>
        </w:rPr>
        <w:t>conducted</w:t>
      </w:r>
      <w:r>
        <w:rPr>
          <w:color w:val="231F20"/>
          <w:spacing w:val="-13"/>
          <w:w w:val="90"/>
        </w:rPr>
        <w:t> </w:t>
      </w:r>
      <w:r>
        <w:rPr>
          <w:color w:val="231F20"/>
          <w:w w:val="90"/>
        </w:rPr>
        <w:t>from</w:t>
      </w:r>
      <w:r>
        <w:rPr>
          <w:color w:val="231F20"/>
          <w:spacing w:val="-13"/>
          <w:w w:val="90"/>
        </w:rPr>
        <w:t> </w:t>
      </w:r>
      <w:r>
        <w:rPr>
          <w:color w:val="231F20"/>
          <w:w w:val="90"/>
        </w:rPr>
        <w:t>September</w:t>
      </w:r>
      <w:r>
        <w:rPr>
          <w:color w:val="231F20"/>
          <w:spacing w:val="-13"/>
          <w:w w:val="90"/>
        </w:rPr>
        <w:t> </w:t>
      </w:r>
      <w:r>
        <w:rPr>
          <w:color w:val="231F20"/>
          <w:w w:val="90"/>
        </w:rPr>
        <w:t>6</w:t>
      </w:r>
      <w:r>
        <w:rPr>
          <w:color w:val="231F20"/>
          <w:spacing w:val="-13"/>
          <w:w w:val="90"/>
        </w:rPr>
        <w:t> </w:t>
      </w:r>
      <w:r>
        <w:rPr>
          <w:color w:val="231F20"/>
          <w:w w:val="90"/>
        </w:rPr>
        <w:t>to November</w:t>
      </w:r>
      <w:r>
        <w:rPr>
          <w:color w:val="231F20"/>
          <w:spacing w:val="-17"/>
          <w:w w:val="90"/>
        </w:rPr>
        <w:t> </w:t>
      </w:r>
      <w:r>
        <w:rPr>
          <w:color w:val="231F20"/>
          <w:w w:val="90"/>
        </w:rPr>
        <w:t>5,</w:t>
      </w:r>
      <w:r>
        <w:rPr>
          <w:color w:val="231F20"/>
          <w:spacing w:val="-17"/>
          <w:w w:val="90"/>
        </w:rPr>
        <w:t> </w:t>
      </w:r>
      <w:r>
        <w:rPr>
          <w:color w:val="231F20"/>
          <w:w w:val="90"/>
        </w:rPr>
        <w:t>2022,</w:t>
      </w:r>
      <w:r>
        <w:rPr>
          <w:color w:val="231F20"/>
          <w:spacing w:val="-17"/>
          <w:w w:val="90"/>
        </w:rPr>
        <w:t> </w:t>
      </w:r>
      <w:r>
        <w:rPr>
          <w:color w:val="231F20"/>
          <w:w w:val="90"/>
        </w:rPr>
        <w:t>answered</w:t>
      </w:r>
      <w:r>
        <w:rPr>
          <w:color w:val="231F20"/>
          <w:spacing w:val="-16"/>
          <w:w w:val="90"/>
        </w:rPr>
        <w:t> </w:t>
      </w:r>
      <w:r>
        <w:rPr>
          <w:color w:val="231F20"/>
          <w:w w:val="90"/>
        </w:rPr>
        <w:t>by</w:t>
      </w:r>
      <w:r>
        <w:rPr>
          <w:color w:val="231F20"/>
          <w:spacing w:val="-17"/>
          <w:w w:val="90"/>
        </w:rPr>
        <w:t> </w:t>
      </w:r>
      <w:r>
        <w:rPr>
          <w:color w:val="231F20"/>
          <w:w w:val="90"/>
        </w:rPr>
        <w:t>652</w:t>
      </w:r>
      <w:r>
        <w:rPr>
          <w:color w:val="231F20"/>
          <w:spacing w:val="-17"/>
          <w:w w:val="90"/>
        </w:rPr>
        <w:t> </w:t>
      </w:r>
      <w:r>
        <w:rPr>
          <w:color w:val="231F20"/>
          <w:w w:val="90"/>
        </w:rPr>
        <w:t>respondents. </w:t>
      </w:r>
      <w:r>
        <w:rPr>
          <w:color w:val="231F20"/>
        </w:rPr>
        <w:t>Among the respondents, 4 percent were in </w:t>
      </w:r>
      <w:r>
        <w:rPr>
          <w:color w:val="231F20"/>
          <w:w w:val="90"/>
        </w:rPr>
        <w:t>low-income countries, 39 percent were in lower- </w:t>
      </w:r>
      <w:r>
        <w:rPr>
          <w:color w:val="231F20"/>
        </w:rPr>
        <w:t>middle-income</w:t>
      </w:r>
      <w:r>
        <w:rPr>
          <w:color w:val="231F20"/>
          <w:spacing w:val="-11"/>
        </w:rPr>
        <w:t> </w:t>
      </w:r>
      <w:r>
        <w:rPr>
          <w:color w:val="231F20"/>
        </w:rPr>
        <w:t>countries,</w:t>
      </w:r>
      <w:r>
        <w:rPr>
          <w:color w:val="231F20"/>
          <w:spacing w:val="-11"/>
        </w:rPr>
        <w:t> </w:t>
      </w:r>
      <w:r>
        <w:rPr>
          <w:color w:val="231F20"/>
        </w:rPr>
        <w:t>21</w:t>
      </w:r>
      <w:r>
        <w:rPr>
          <w:color w:val="231F20"/>
          <w:spacing w:val="-10"/>
        </w:rPr>
        <w:t> </w:t>
      </w:r>
      <w:r>
        <w:rPr>
          <w:color w:val="231F20"/>
        </w:rPr>
        <w:t>percent</w:t>
      </w:r>
      <w:r>
        <w:rPr>
          <w:color w:val="231F20"/>
          <w:spacing w:val="-11"/>
        </w:rPr>
        <w:t> </w:t>
      </w:r>
      <w:r>
        <w:rPr>
          <w:color w:val="231F20"/>
        </w:rPr>
        <w:t>were</w:t>
      </w:r>
      <w:r>
        <w:rPr>
          <w:color w:val="231F20"/>
          <w:spacing w:val="-10"/>
        </w:rPr>
        <w:t> </w:t>
      </w:r>
      <w:r>
        <w:rPr>
          <w:color w:val="231F20"/>
        </w:rPr>
        <w:t>in </w:t>
      </w:r>
      <w:r>
        <w:rPr>
          <w:color w:val="231F20"/>
          <w:spacing w:val="-6"/>
        </w:rPr>
        <w:t>upper-middle-income</w:t>
      </w:r>
      <w:r>
        <w:rPr>
          <w:color w:val="231F20"/>
          <w:spacing w:val="-14"/>
        </w:rPr>
        <w:t> </w:t>
      </w:r>
      <w:r>
        <w:rPr>
          <w:color w:val="231F20"/>
          <w:spacing w:val="-6"/>
        </w:rPr>
        <w:t>countries,</w:t>
      </w:r>
      <w:r>
        <w:rPr>
          <w:color w:val="231F20"/>
          <w:spacing w:val="-14"/>
        </w:rPr>
        <w:t> </w:t>
      </w:r>
      <w:r>
        <w:rPr>
          <w:color w:val="231F20"/>
          <w:spacing w:val="-6"/>
        </w:rPr>
        <w:t>and</w:t>
      </w:r>
      <w:r>
        <w:rPr>
          <w:color w:val="231F20"/>
          <w:spacing w:val="-14"/>
        </w:rPr>
        <w:t> </w:t>
      </w:r>
      <w:r>
        <w:rPr>
          <w:color w:val="231F20"/>
          <w:spacing w:val="-6"/>
        </w:rPr>
        <w:t>35</w:t>
      </w:r>
      <w:r>
        <w:rPr>
          <w:color w:val="231F20"/>
          <w:spacing w:val="-14"/>
        </w:rPr>
        <w:t> </w:t>
      </w:r>
      <w:r>
        <w:rPr>
          <w:color w:val="231F20"/>
          <w:spacing w:val="-6"/>
        </w:rPr>
        <w:t>percent </w:t>
      </w:r>
      <w:r>
        <w:rPr>
          <w:color w:val="231F20"/>
          <w:spacing w:val="-2"/>
        </w:rPr>
        <w:t>were</w:t>
      </w:r>
      <w:r>
        <w:rPr>
          <w:color w:val="231F20"/>
          <w:spacing w:val="-3"/>
        </w:rPr>
        <w:t> </w:t>
      </w:r>
      <w:r>
        <w:rPr>
          <w:color w:val="231F20"/>
          <w:spacing w:val="-2"/>
        </w:rPr>
        <w:t>in</w:t>
      </w:r>
      <w:r>
        <w:rPr>
          <w:color w:val="231F20"/>
          <w:spacing w:val="-3"/>
        </w:rPr>
        <w:t> </w:t>
      </w:r>
      <w:r>
        <w:rPr>
          <w:color w:val="231F20"/>
          <w:spacing w:val="-2"/>
        </w:rPr>
        <w:t>high-income</w:t>
      </w:r>
      <w:r>
        <w:rPr>
          <w:color w:val="231F20"/>
          <w:spacing w:val="-3"/>
        </w:rPr>
        <w:t> </w:t>
      </w:r>
      <w:r>
        <w:rPr>
          <w:color w:val="231F20"/>
          <w:spacing w:val="-2"/>
        </w:rPr>
        <w:t>countries</w:t>
      </w:r>
      <w:r>
        <w:rPr>
          <w:color w:val="231F20"/>
          <w:spacing w:val="-3"/>
        </w:rPr>
        <w:t> </w:t>
      </w:r>
      <w:r>
        <w:rPr>
          <w:color w:val="231F20"/>
          <w:spacing w:val="-2"/>
        </w:rPr>
        <w:t>(figure</w:t>
      </w:r>
      <w:r>
        <w:rPr>
          <w:color w:val="231F20"/>
          <w:spacing w:val="-3"/>
        </w:rPr>
        <w:t> </w:t>
      </w:r>
      <w:r>
        <w:rPr>
          <w:color w:val="231F20"/>
          <w:spacing w:val="-2"/>
        </w:rPr>
        <w:t>A7.1). </w:t>
      </w:r>
      <w:r>
        <w:rPr>
          <w:color w:val="231F20"/>
        </w:rPr>
        <w:t>These</w:t>
      </w:r>
      <w:r>
        <w:rPr>
          <w:color w:val="231F20"/>
          <w:spacing w:val="-9"/>
        </w:rPr>
        <w:t> </w:t>
      </w:r>
      <w:r>
        <w:rPr>
          <w:color w:val="231F20"/>
        </w:rPr>
        <w:t>values</w:t>
      </w:r>
      <w:r>
        <w:rPr>
          <w:color w:val="231F20"/>
          <w:spacing w:val="-8"/>
        </w:rPr>
        <w:t> </w:t>
      </w:r>
      <w:r>
        <w:rPr>
          <w:color w:val="231F20"/>
        </w:rPr>
        <w:t>are</w:t>
      </w:r>
      <w:r>
        <w:rPr>
          <w:color w:val="231F20"/>
          <w:spacing w:val="-9"/>
        </w:rPr>
        <w:t> </w:t>
      </w:r>
      <w:r>
        <w:rPr>
          <w:color w:val="231F20"/>
        </w:rPr>
        <w:t>similar</w:t>
      </w:r>
      <w:r>
        <w:rPr>
          <w:color w:val="231F20"/>
          <w:spacing w:val="-8"/>
        </w:rPr>
        <w:t> </w:t>
      </w:r>
      <w:r>
        <w:rPr>
          <w:color w:val="231F20"/>
        </w:rPr>
        <w:t>to</w:t>
      </w:r>
      <w:r>
        <w:rPr>
          <w:color w:val="231F20"/>
          <w:spacing w:val="-9"/>
        </w:rPr>
        <w:t> </w:t>
      </w:r>
      <w:r>
        <w:rPr>
          <w:color w:val="231F20"/>
        </w:rPr>
        <w:t>those</w:t>
      </w:r>
      <w:r>
        <w:rPr>
          <w:color w:val="231F20"/>
          <w:spacing w:val="-8"/>
        </w:rPr>
        <w:t> </w:t>
      </w:r>
      <w:r>
        <w:rPr>
          <w:color w:val="231F20"/>
        </w:rPr>
        <w:t>in</w:t>
      </w:r>
      <w:r>
        <w:rPr>
          <w:color w:val="231F20"/>
          <w:spacing w:val="-9"/>
        </w:rPr>
        <w:t> </w:t>
      </w:r>
      <w:r>
        <w:rPr>
          <w:color w:val="231F20"/>
        </w:rPr>
        <w:t>previous </w:t>
      </w:r>
      <w:r>
        <w:rPr>
          <w:color w:val="231F20"/>
          <w:w w:val="90"/>
        </w:rPr>
        <w:t>LPI</w:t>
      </w:r>
      <w:r>
        <w:rPr>
          <w:color w:val="231F20"/>
          <w:spacing w:val="-1"/>
        </w:rPr>
        <w:t> </w:t>
      </w:r>
      <w:r>
        <w:rPr>
          <w:color w:val="231F20"/>
          <w:w w:val="90"/>
        </w:rPr>
        <w:t>editions,</w:t>
      </w:r>
      <w:r>
        <w:rPr>
          <w:color w:val="231F20"/>
        </w:rPr>
        <w:t> </w:t>
      </w:r>
      <w:r>
        <w:rPr>
          <w:color w:val="231F20"/>
          <w:w w:val="90"/>
        </w:rPr>
        <w:t>except</w:t>
      </w:r>
      <w:r>
        <w:rPr>
          <w:color w:val="231F20"/>
        </w:rPr>
        <w:t> </w:t>
      </w:r>
      <w:r>
        <w:rPr>
          <w:color w:val="231F20"/>
          <w:w w:val="90"/>
        </w:rPr>
        <w:t>there</w:t>
      </w:r>
      <w:r>
        <w:rPr>
          <w:color w:val="231F20"/>
          <w:spacing w:val="-1"/>
        </w:rPr>
        <w:t> </w:t>
      </w:r>
      <w:r>
        <w:rPr>
          <w:color w:val="231F20"/>
          <w:w w:val="90"/>
        </w:rPr>
        <w:t>are</w:t>
      </w:r>
      <w:r>
        <w:rPr>
          <w:color w:val="231F20"/>
        </w:rPr>
        <w:t> </w:t>
      </w:r>
      <w:r>
        <w:rPr>
          <w:color w:val="231F20"/>
          <w:w w:val="90"/>
        </w:rPr>
        <w:t>more</w:t>
      </w:r>
      <w:r>
        <w:rPr>
          <w:color w:val="231F20"/>
        </w:rPr>
        <w:t> </w:t>
      </w:r>
      <w:r>
        <w:rPr>
          <w:color w:val="231F20"/>
          <w:spacing w:val="-2"/>
          <w:w w:val="90"/>
        </w:rPr>
        <w:t>respondents</w:t>
      </w:r>
    </w:p>
    <w:p>
      <w:pPr>
        <w:pStyle w:val="BodyText"/>
        <w:spacing w:line="234" w:lineRule="exact"/>
        <w:ind w:left="3840"/>
      </w:pPr>
      <w:r>
        <w:rPr>
          <w:color w:val="231F20"/>
          <w:w w:val="90"/>
        </w:rPr>
        <w:t>from</w:t>
      </w:r>
      <w:r>
        <w:rPr>
          <w:color w:val="231F20"/>
          <w:spacing w:val="12"/>
        </w:rPr>
        <w:t> </w:t>
      </w:r>
      <w:r>
        <w:rPr>
          <w:color w:val="231F20"/>
          <w:w w:val="90"/>
        </w:rPr>
        <w:t>lower-middle-income</w:t>
      </w:r>
      <w:r>
        <w:rPr>
          <w:color w:val="231F20"/>
          <w:spacing w:val="12"/>
        </w:rPr>
        <w:t> </w:t>
      </w:r>
      <w:r>
        <w:rPr>
          <w:color w:val="231F20"/>
          <w:spacing w:val="-2"/>
          <w:w w:val="90"/>
        </w:rPr>
        <w:t>countries.</w:t>
      </w:r>
    </w:p>
    <w:p>
      <w:pPr>
        <w:pStyle w:val="BodyText"/>
        <w:spacing w:line="268" w:lineRule="auto" w:before="28"/>
        <w:ind w:left="3840" w:right="-4" w:firstLine="300"/>
      </w:pPr>
      <w:r>
        <w:rPr>
          <w:color w:val="231F20"/>
          <w:spacing w:val="-4"/>
        </w:rPr>
        <w:t>About</w:t>
      </w:r>
      <w:r>
        <w:rPr>
          <w:color w:val="231F20"/>
          <w:spacing w:val="-10"/>
        </w:rPr>
        <w:t> </w:t>
      </w:r>
      <w:r>
        <w:rPr>
          <w:color w:val="231F20"/>
          <w:spacing w:val="-4"/>
        </w:rPr>
        <w:t>38</w:t>
      </w:r>
      <w:r>
        <w:rPr>
          <w:color w:val="231F20"/>
          <w:spacing w:val="-9"/>
        </w:rPr>
        <w:t> </w:t>
      </w:r>
      <w:r>
        <w:rPr>
          <w:color w:val="231F20"/>
          <w:spacing w:val="-4"/>
        </w:rPr>
        <w:t>percent</w:t>
      </w:r>
      <w:r>
        <w:rPr>
          <w:color w:val="231F20"/>
          <w:spacing w:val="-9"/>
        </w:rPr>
        <w:t> </w:t>
      </w:r>
      <w:r>
        <w:rPr>
          <w:color w:val="231F20"/>
          <w:spacing w:val="-4"/>
        </w:rPr>
        <w:t>of</w:t>
      </w:r>
      <w:r>
        <w:rPr>
          <w:color w:val="231F20"/>
          <w:spacing w:val="-9"/>
        </w:rPr>
        <w:t> </w:t>
      </w:r>
      <w:r>
        <w:rPr>
          <w:color w:val="231F20"/>
          <w:spacing w:val="-4"/>
        </w:rPr>
        <w:t>respondents</w:t>
      </w:r>
      <w:r>
        <w:rPr>
          <w:color w:val="231F20"/>
          <w:spacing w:val="-9"/>
        </w:rPr>
        <w:t> </w:t>
      </w:r>
      <w:r>
        <w:rPr>
          <w:color w:val="231F20"/>
          <w:spacing w:val="-4"/>
        </w:rPr>
        <w:t>identified </w:t>
      </w:r>
      <w:r>
        <w:rPr>
          <w:color w:val="231F20"/>
          <w:w w:val="90"/>
        </w:rPr>
        <w:t>their</w:t>
      </w:r>
      <w:r>
        <w:rPr>
          <w:color w:val="231F20"/>
          <w:spacing w:val="-1"/>
        </w:rPr>
        <w:t> </w:t>
      </w:r>
      <w:r>
        <w:rPr>
          <w:color w:val="231F20"/>
          <w:w w:val="90"/>
        </w:rPr>
        <w:t>country</w:t>
      </w:r>
      <w:r>
        <w:rPr>
          <w:color w:val="231F20"/>
          <w:spacing w:val="-1"/>
        </w:rPr>
        <w:t> </w:t>
      </w:r>
      <w:r>
        <w:rPr>
          <w:color w:val="231F20"/>
          <w:w w:val="90"/>
        </w:rPr>
        <w:t>of</w:t>
      </w:r>
      <w:r>
        <w:rPr>
          <w:color w:val="231F20"/>
          <w:spacing w:val="-1"/>
        </w:rPr>
        <w:t> </w:t>
      </w:r>
      <w:r>
        <w:rPr>
          <w:color w:val="231F20"/>
          <w:w w:val="90"/>
        </w:rPr>
        <w:t>operations</w:t>
      </w:r>
      <w:r>
        <w:rPr>
          <w:color w:val="231F20"/>
          <w:spacing w:val="-1"/>
        </w:rPr>
        <w:t> </w:t>
      </w:r>
      <w:r>
        <w:rPr>
          <w:color w:val="231F20"/>
          <w:w w:val="90"/>
        </w:rPr>
        <w:t>as</w:t>
      </w:r>
      <w:r>
        <w:rPr>
          <w:color w:val="231F20"/>
          <w:spacing w:val="-1"/>
        </w:rPr>
        <w:t> </w:t>
      </w:r>
      <w:r>
        <w:rPr>
          <w:color w:val="231F20"/>
          <w:w w:val="90"/>
        </w:rPr>
        <w:t>Europe</w:t>
      </w:r>
      <w:r>
        <w:rPr>
          <w:color w:val="231F20"/>
          <w:spacing w:val="-1"/>
        </w:rPr>
        <w:t> </w:t>
      </w:r>
      <w:r>
        <w:rPr>
          <w:color w:val="231F20"/>
          <w:w w:val="90"/>
        </w:rPr>
        <w:t>or</w:t>
      </w:r>
      <w:r>
        <w:rPr>
          <w:color w:val="231F20"/>
          <w:spacing w:val="-1"/>
        </w:rPr>
        <w:t> </w:t>
      </w:r>
      <w:r>
        <w:rPr>
          <w:color w:val="231F20"/>
          <w:spacing w:val="-2"/>
          <w:w w:val="90"/>
        </w:rPr>
        <w:t>Central</w:t>
      </w:r>
    </w:p>
    <w:p>
      <w:pPr>
        <w:pStyle w:val="BodyText"/>
        <w:spacing w:line="268" w:lineRule="auto" w:before="97"/>
        <w:ind w:left="199" w:right="177"/>
        <w:jc w:val="both"/>
      </w:pPr>
      <w:r>
        <w:rPr/>
        <w:br w:type="column"/>
      </w:r>
      <w:r>
        <w:rPr>
          <w:color w:val="231F20"/>
          <w:spacing w:val="-4"/>
        </w:rPr>
        <w:t>Asia,</w:t>
      </w:r>
      <w:r>
        <w:rPr>
          <w:color w:val="231F20"/>
          <w:spacing w:val="-6"/>
        </w:rPr>
        <w:t> </w:t>
      </w:r>
      <w:r>
        <w:rPr>
          <w:color w:val="231F20"/>
          <w:spacing w:val="-4"/>
        </w:rPr>
        <w:t>while</w:t>
      </w:r>
      <w:r>
        <w:rPr>
          <w:color w:val="231F20"/>
          <w:spacing w:val="-6"/>
        </w:rPr>
        <w:t> </w:t>
      </w:r>
      <w:r>
        <w:rPr>
          <w:color w:val="231F20"/>
          <w:spacing w:val="-4"/>
        </w:rPr>
        <w:t>others</w:t>
      </w:r>
      <w:r>
        <w:rPr>
          <w:color w:val="231F20"/>
          <w:spacing w:val="-6"/>
        </w:rPr>
        <w:t> </w:t>
      </w:r>
      <w:r>
        <w:rPr>
          <w:color w:val="231F20"/>
          <w:spacing w:val="-4"/>
        </w:rPr>
        <w:t>were</w:t>
      </w:r>
      <w:r>
        <w:rPr>
          <w:color w:val="231F20"/>
          <w:spacing w:val="-6"/>
        </w:rPr>
        <w:t> </w:t>
      </w:r>
      <w:r>
        <w:rPr>
          <w:color w:val="231F20"/>
          <w:spacing w:val="-4"/>
        </w:rPr>
        <w:t>dispersed</w:t>
      </w:r>
      <w:r>
        <w:rPr>
          <w:color w:val="231F20"/>
          <w:spacing w:val="-6"/>
        </w:rPr>
        <w:t> </w:t>
      </w:r>
      <w:r>
        <w:rPr>
          <w:color w:val="231F20"/>
          <w:spacing w:val="-4"/>
        </w:rPr>
        <w:t>among</w:t>
      </w:r>
      <w:r>
        <w:rPr>
          <w:color w:val="231F20"/>
          <w:spacing w:val="-6"/>
        </w:rPr>
        <w:t> </w:t>
      </w:r>
      <w:r>
        <w:rPr>
          <w:color w:val="231F20"/>
          <w:spacing w:val="-4"/>
        </w:rPr>
        <w:t>East </w:t>
      </w:r>
      <w:r>
        <w:rPr>
          <w:color w:val="231F20"/>
        </w:rPr>
        <w:t>Asia and Pacific (13 percent), South Asia </w:t>
      </w:r>
      <w:r>
        <w:rPr>
          <w:color w:val="231F20"/>
          <w:spacing w:val="-4"/>
        </w:rPr>
        <w:t>(11</w:t>
      </w:r>
      <w:r>
        <w:rPr>
          <w:color w:val="231F20"/>
          <w:spacing w:val="-5"/>
        </w:rPr>
        <w:t> </w:t>
      </w:r>
      <w:r>
        <w:rPr>
          <w:color w:val="231F20"/>
          <w:spacing w:val="-4"/>
        </w:rPr>
        <w:t>percent),</w:t>
      </w:r>
      <w:r>
        <w:rPr>
          <w:color w:val="231F20"/>
          <w:spacing w:val="-5"/>
        </w:rPr>
        <w:t> </w:t>
      </w:r>
      <w:r>
        <w:rPr>
          <w:color w:val="231F20"/>
          <w:spacing w:val="-4"/>
        </w:rPr>
        <w:t>and</w:t>
      </w:r>
      <w:r>
        <w:rPr>
          <w:color w:val="231F20"/>
          <w:spacing w:val="-5"/>
        </w:rPr>
        <w:t> </w:t>
      </w:r>
      <w:r>
        <w:rPr>
          <w:color w:val="231F20"/>
          <w:spacing w:val="-4"/>
        </w:rPr>
        <w:t>Sub-Saharan</w:t>
      </w:r>
      <w:r>
        <w:rPr>
          <w:color w:val="231F20"/>
          <w:spacing w:val="-5"/>
        </w:rPr>
        <w:t> </w:t>
      </w:r>
      <w:r>
        <w:rPr>
          <w:color w:val="231F20"/>
          <w:spacing w:val="-4"/>
        </w:rPr>
        <w:t>Africa</w:t>
      </w:r>
      <w:r>
        <w:rPr>
          <w:color w:val="231F20"/>
          <w:spacing w:val="-5"/>
        </w:rPr>
        <w:t> </w:t>
      </w:r>
      <w:r>
        <w:rPr>
          <w:color w:val="231F20"/>
          <w:spacing w:val="-4"/>
        </w:rPr>
        <w:t>(18</w:t>
      </w:r>
      <w:r>
        <w:rPr>
          <w:color w:val="231F20"/>
          <w:spacing w:val="-5"/>
        </w:rPr>
        <w:t> </w:t>
      </w:r>
      <w:r>
        <w:rPr>
          <w:color w:val="231F20"/>
          <w:spacing w:val="-4"/>
        </w:rPr>
        <w:t>per- </w:t>
      </w:r>
      <w:r>
        <w:rPr>
          <w:color w:val="231F20"/>
        </w:rPr>
        <w:t>cent).</w:t>
      </w:r>
      <w:r>
        <w:rPr>
          <w:color w:val="231F20"/>
          <w:spacing w:val="-14"/>
        </w:rPr>
        <w:t> </w:t>
      </w:r>
      <w:r>
        <w:rPr>
          <w:color w:val="231F20"/>
        </w:rPr>
        <w:t>The</w:t>
      </w:r>
      <w:r>
        <w:rPr>
          <w:color w:val="231F20"/>
          <w:spacing w:val="-13"/>
        </w:rPr>
        <w:t> </w:t>
      </w:r>
      <w:r>
        <w:rPr>
          <w:color w:val="231F20"/>
        </w:rPr>
        <w:t>least</w:t>
      </w:r>
      <w:r>
        <w:rPr>
          <w:color w:val="231F20"/>
          <w:spacing w:val="-13"/>
        </w:rPr>
        <w:t> </w:t>
      </w:r>
      <w:r>
        <w:rPr>
          <w:color w:val="231F20"/>
        </w:rPr>
        <w:t>represented</w:t>
      </w:r>
      <w:r>
        <w:rPr>
          <w:color w:val="231F20"/>
          <w:spacing w:val="-13"/>
        </w:rPr>
        <w:t> </w:t>
      </w:r>
      <w:r>
        <w:rPr>
          <w:color w:val="231F20"/>
        </w:rPr>
        <w:t>regions</w:t>
      </w:r>
      <w:r>
        <w:rPr>
          <w:color w:val="231F20"/>
          <w:spacing w:val="-13"/>
        </w:rPr>
        <w:t> </w:t>
      </w:r>
      <w:r>
        <w:rPr>
          <w:color w:val="231F20"/>
        </w:rPr>
        <w:t>are</w:t>
      </w:r>
      <w:r>
        <w:rPr>
          <w:color w:val="231F20"/>
          <w:spacing w:val="-13"/>
        </w:rPr>
        <w:t> </w:t>
      </w:r>
      <w:r>
        <w:rPr>
          <w:color w:val="231F20"/>
        </w:rPr>
        <w:t>Latin </w:t>
      </w:r>
      <w:r>
        <w:rPr>
          <w:color w:val="231F20"/>
          <w:spacing w:val="-6"/>
        </w:rPr>
        <w:t>America</w:t>
      </w:r>
      <w:r>
        <w:rPr>
          <w:color w:val="231F20"/>
          <w:spacing w:val="-8"/>
        </w:rPr>
        <w:t> </w:t>
      </w:r>
      <w:r>
        <w:rPr>
          <w:color w:val="231F20"/>
          <w:spacing w:val="-6"/>
        </w:rPr>
        <w:t>(9</w:t>
      </w:r>
      <w:r>
        <w:rPr>
          <w:color w:val="231F20"/>
          <w:spacing w:val="-7"/>
        </w:rPr>
        <w:t> </w:t>
      </w:r>
      <w:r>
        <w:rPr>
          <w:color w:val="231F20"/>
          <w:spacing w:val="-6"/>
        </w:rPr>
        <w:t>percent</w:t>
      </w:r>
      <w:r>
        <w:rPr>
          <w:color w:val="231F20"/>
          <w:spacing w:val="-7"/>
        </w:rPr>
        <w:t> </w:t>
      </w:r>
      <w:r>
        <w:rPr>
          <w:color w:val="231F20"/>
          <w:spacing w:val="-6"/>
        </w:rPr>
        <w:t>of</w:t>
      </w:r>
      <w:r>
        <w:rPr>
          <w:color w:val="231F20"/>
          <w:spacing w:val="-7"/>
        </w:rPr>
        <w:t> </w:t>
      </w:r>
      <w:r>
        <w:rPr>
          <w:color w:val="231F20"/>
          <w:spacing w:val="-6"/>
        </w:rPr>
        <w:t>respondents),</w:t>
      </w:r>
      <w:r>
        <w:rPr>
          <w:color w:val="231F20"/>
          <w:spacing w:val="-7"/>
        </w:rPr>
        <w:t> </w:t>
      </w:r>
      <w:r>
        <w:rPr>
          <w:color w:val="231F20"/>
          <w:spacing w:val="-6"/>
        </w:rPr>
        <w:t>the</w:t>
      </w:r>
      <w:r>
        <w:rPr>
          <w:color w:val="231F20"/>
          <w:spacing w:val="-7"/>
        </w:rPr>
        <w:t> </w:t>
      </w:r>
      <w:r>
        <w:rPr>
          <w:color w:val="231F20"/>
          <w:spacing w:val="-6"/>
        </w:rPr>
        <w:t>Middle </w:t>
      </w:r>
      <w:r>
        <w:rPr>
          <w:color w:val="231F20"/>
        </w:rPr>
        <w:t>East</w:t>
      </w:r>
      <w:r>
        <w:rPr>
          <w:color w:val="231F20"/>
          <w:spacing w:val="-13"/>
        </w:rPr>
        <w:t> </w:t>
      </w:r>
      <w:r>
        <w:rPr>
          <w:color w:val="231F20"/>
        </w:rPr>
        <w:t>and</w:t>
      </w:r>
      <w:r>
        <w:rPr>
          <w:color w:val="231F20"/>
          <w:spacing w:val="-13"/>
        </w:rPr>
        <w:t> </w:t>
      </w:r>
      <w:r>
        <w:rPr>
          <w:color w:val="231F20"/>
        </w:rPr>
        <w:t>North</w:t>
      </w:r>
      <w:r>
        <w:rPr>
          <w:color w:val="231F20"/>
          <w:spacing w:val="-13"/>
        </w:rPr>
        <w:t> </w:t>
      </w:r>
      <w:r>
        <w:rPr>
          <w:color w:val="231F20"/>
        </w:rPr>
        <w:t>Africa</w:t>
      </w:r>
      <w:r>
        <w:rPr>
          <w:color w:val="231F20"/>
          <w:spacing w:val="-13"/>
        </w:rPr>
        <w:t> </w:t>
      </w:r>
      <w:r>
        <w:rPr>
          <w:color w:val="231F20"/>
        </w:rPr>
        <w:t>(9</w:t>
      </w:r>
      <w:r>
        <w:rPr>
          <w:color w:val="231F20"/>
          <w:spacing w:val="-13"/>
        </w:rPr>
        <w:t> </w:t>
      </w:r>
      <w:r>
        <w:rPr>
          <w:color w:val="231F20"/>
        </w:rPr>
        <w:t>percent),</w:t>
      </w:r>
      <w:r>
        <w:rPr>
          <w:color w:val="231F20"/>
          <w:spacing w:val="-13"/>
        </w:rPr>
        <w:t> </w:t>
      </w:r>
      <w:r>
        <w:rPr>
          <w:color w:val="231F20"/>
        </w:rPr>
        <w:t>and</w:t>
      </w:r>
      <w:r>
        <w:rPr>
          <w:color w:val="231F20"/>
          <w:spacing w:val="-13"/>
        </w:rPr>
        <w:t> </w:t>
      </w:r>
      <w:r>
        <w:rPr>
          <w:color w:val="231F20"/>
        </w:rPr>
        <w:t>North America (3 percent).</w:t>
      </w:r>
    </w:p>
    <w:p>
      <w:pPr>
        <w:pStyle w:val="BodyText"/>
        <w:spacing w:line="268" w:lineRule="auto"/>
        <w:ind w:left="199" w:right="176" w:firstLine="300"/>
        <w:jc w:val="both"/>
      </w:pPr>
      <w:r>
        <w:rPr>
          <w:color w:val="231F20"/>
        </w:rPr>
        <w:t>Among</w:t>
      </w:r>
      <w:r>
        <w:rPr>
          <w:color w:val="231F20"/>
          <w:spacing w:val="-12"/>
        </w:rPr>
        <w:t> </w:t>
      </w:r>
      <w:r>
        <w:rPr>
          <w:color w:val="231F20"/>
        </w:rPr>
        <w:t>the</w:t>
      </w:r>
      <w:r>
        <w:rPr>
          <w:color w:val="231F20"/>
          <w:spacing w:val="-12"/>
        </w:rPr>
        <w:t> </w:t>
      </w:r>
      <w:r>
        <w:rPr>
          <w:color w:val="231F20"/>
        </w:rPr>
        <w:t>respondents,</w:t>
      </w:r>
      <w:r>
        <w:rPr>
          <w:color w:val="231F20"/>
          <w:spacing w:val="-12"/>
        </w:rPr>
        <w:t> </w:t>
      </w:r>
      <w:r>
        <w:rPr>
          <w:color w:val="231F20"/>
        </w:rPr>
        <w:t>36</w:t>
      </w:r>
      <w:r>
        <w:rPr>
          <w:color w:val="231F20"/>
          <w:spacing w:val="-12"/>
        </w:rPr>
        <w:t> </w:t>
      </w:r>
      <w:r>
        <w:rPr>
          <w:color w:val="231F20"/>
        </w:rPr>
        <w:t>percent</w:t>
      </w:r>
      <w:r>
        <w:rPr>
          <w:color w:val="231F20"/>
          <w:spacing w:val="-12"/>
        </w:rPr>
        <w:t> </w:t>
      </w:r>
      <w:r>
        <w:rPr>
          <w:color w:val="231F20"/>
        </w:rPr>
        <w:t>dealt with multimodal transport, 30 percent dealt </w:t>
      </w:r>
      <w:r>
        <w:rPr>
          <w:color w:val="231F20"/>
          <w:spacing w:val="-2"/>
        </w:rPr>
        <w:t>with</w:t>
      </w:r>
      <w:r>
        <w:rPr>
          <w:color w:val="231F20"/>
          <w:spacing w:val="-12"/>
        </w:rPr>
        <w:t> </w:t>
      </w:r>
      <w:r>
        <w:rPr>
          <w:color w:val="231F20"/>
          <w:spacing w:val="-2"/>
        </w:rPr>
        <w:t>maritime</w:t>
      </w:r>
      <w:r>
        <w:rPr>
          <w:color w:val="231F20"/>
          <w:spacing w:val="-11"/>
        </w:rPr>
        <w:t> </w:t>
      </w:r>
      <w:r>
        <w:rPr>
          <w:color w:val="231F20"/>
          <w:spacing w:val="-2"/>
        </w:rPr>
        <w:t>transport,</w:t>
      </w:r>
      <w:r>
        <w:rPr>
          <w:color w:val="231F20"/>
          <w:spacing w:val="-11"/>
        </w:rPr>
        <w:t> </w:t>
      </w:r>
      <w:r>
        <w:rPr>
          <w:color w:val="231F20"/>
          <w:spacing w:val="-2"/>
        </w:rPr>
        <w:t>17</w:t>
      </w:r>
      <w:r>
        <w:rPr>
          <w:color w:val="231F20"/>
          <w:spacing w:val="-11"/>
        </w:rPr>
        <w:t> </w:t>
      </w:r>
      <w:r>
        <w:rPr>
          <w:color w:val="231F20"/>
          <w:spacing w:val="-2"/>
        </w:rPr>
        <w:t>percent</w:t>
      </w:r>
      <w:r>
        <w:rPr>
          <w:color w:val="231F20"/>
          <w:spacing w:val="-11"/>
        </w:rPr>
        <w:t> </w:t>
      </w:r>
      <w:r>
        <w:rPr>
          <w:color w:val="231F20"/>
          <w:spacing w:val="-2"/>
        </w:rPr>
        <w:t>dealt</w:t>
      </w:r>
      <w:r>
        <w:rPr>
          <w:color w:val="231F20"/>
          <w:spacing w:val="-11"/>
        </w:rPr>
        <w:t> </w:t>
      </w:r>
      <w:r>
        <w:rPr>
          <w:color w:val="231F20"/>
          <w:spacing w:val="-2"/>
        </w:rPr>
        <w:t>with </w:t>
      </w:r>
      <w:r>
        <w:rPr>
          <w:color w:val="231F20"/>
        </w:rPr>
        <w:t>road transport, and 12 percent dealt with air </w:t>
      </w:r>
      <w:r>
        <w:rPr>
          <w:color w:val="231F20"/>
          <w:spacing w:val="-2"/>
        </w:rPr>
        <w:t>transport</w:t>
      </w:r>
      <w:r>
        <w:rPr>
          <w:color w:val="231F20"/>
          <w:spacing w:val="-5"/>
        </w:rPr>
        <w:t> </w:t>
      </w:r>
      <w:r>
        <w:rPr>
          <w:color w:val="231F20"/>
          <w:spacing w:val="-2"/>
        </w:rPr>
        <w:t>(figure</w:t>
      </w:r>
      <w:r>
        <w:rPr>
          <w:color w:val="231F20"/>
          <w:spacing w:val="-5"/>
        </w:rPr>
        <w:t> </w:t>
      </w:r>
      <w:r>
        <w:rPr>
          <w:color w:val="231F20"/>
          <w:spacing w:val="-2"/>
        </w:rPr>
        <w:t>A7.2).</w:t>
      </w:r>
      <w:r>
        <w:rPr>
          <w:color w:val="231F20"/>
          <w:spacing w:val="-5"/>
        </w:rPr>
        <w:t> </w:t>
      </w:r>
      <w:r>
        <w:rPr>
          <w:color w:val="231F20"/>
          <w:spacing w:val="-2"/>
        </w:rPr>
        <w:t>While</w:t>
      </w:r>
      <w:r>
        <w:rPr>
          <w:color w:val="231F20"/>
          <w:spacing w:val="-5"/>
        </w:rPr>
        <w:t> </w:t>
      </w:r>
      <w:r>
        <w:rPr>
          <w:color w:val="231F20"/>
          <w:spacing w:val="-2"/>
        </w:rPr>
        <w:t>these</w:t>
      </w:r>
      <w:r>
        <w:rPr>
          <w:color w:val="231F20"/>
          <w:spacing w:val="-5"/>
        </w:rPr>
        <w:t> </w:t>
      </w:r>
      <w:r>
        <w:rPr>
          <w:color w:val="231F20"/>
          <w:spacing w:val="-2"/>
        </w:rPr>
        <w:t>numbers </w:t>
      </w:r>
      <w:r>
        <w:rPr>
          <w:color w:val="231F20"/>
        </w:rPr>
        <w:t>are similar to those in 2018, the share of re- </w:t>
      </w:r>
      <w:r>
        <w:rPr>
          <w:color w:val="231F20"/>
          <w:spacing w:val="-6"/>
        </w:rPr>
        <w:t>spondents dealing with road transport is higher </w:t>
      </w:r>
      <w:r>
        <w:rPr>
          <w:color w:val="231F20"/>
        </w:rPr>
        <w:t>than</w:t>
      </w:r>
      <w:r>
        <w:rPr>
          <w:color w:val="231F20"/>
          <w:spacing w:val="-14"/>
        </w:rPr>
        <w:t> </w:t>
      </w:r>
      <w:r>
        <w:rPr>
          <w:color w:val="231F20"/>
        </w:rPr>
        <w:t>in</w:t>
      </w:r>
      <w:r>
        <w:rPr>
          <w:color w:val="231F20"/>
          <w:spacing w:val="-13"/>
        </w:rPr>
        <w:t> </w:t>
      </w:r>
      <w:r>
        <w:rPr>
          <w:color w:val="231F20"/>
        </w:rPr>
        <w:t>previous</w:t>
      </w:r>
      <w:r>
        <w:rPr>
          <w:color w:val="231F20"/>
          <w:spacing w:val="-13"/>
        </w:rPr>
        <w:t> </w:t>
      </w:r>
      <w:r>
        <w:rPr>
          <w:color w:val="231F20"/>
        </w:rPr>
        <w:t>years.</w:t>
      </w:r>
      <w:r>
        <w:rPr>
          <w:color w:val="231F20"/>
          <w:spacing w:val="-13"/>
        </w:rPr>
        <w:t> </w:t>
      </w:r>
      <w:r>
        <w:rPr>
          <w:color w:val="231F20"/>
        </w:rPr>
        <w:t>In</w:t>
      </w:r>
      <w:r>
        <w:rPr>
          <w:color w:val="231F20"/>
          <w:spacing w:val="-13"/>
        </w:rPr>
        <w:t> </w:t>
      </w:r>
      <w:r>
        <w:rPr>
          <w:color w:val="231F20"/>
        </w:rPr>
        <w:t>2022,</w:t>
      </w:r>
      <w:r>
        <w:rPr>
          <w:color w:val="231F20"/>
          <w:spacing w:val="-13"/>
        </w:rPr>
        <w:t> </w:t>
      </w:r>
      <w:r>
        <w:rPr>
          <w:color w:val="231F20"/>
        </w:rPr>
        <w:t>57</w:t>
      </w:r>
      <w:r>
        <w:rPr>
          <w:color w:val="231F20"/>
          <w:spacing w:val="-13"/>
        </w:rPr>
        <w:t> </w:t>
      </w:r>
      <w:r>
        <w:rPr>
          <w:color w:val="231F20"/>
        </w:rPr>
        <w:t>percent</w:t>
      </w:r>
      <w:r>
        <w:rPr>
          <w:color w:val="231F20"/>
          <w:spacing w:val="-13"/>
        </w:rPr>
        <w:t> </w:t>
      </w:r>
      <w:r>
        <w:rPr>
          <w:color w:val="231F20"/>
        </w:rPr>
        <w:t>of </w:t>
      </w:r>
      <w:r>
        <w:rPr>
          <w:color w:val="231F20"/>
          <w:spacing w:val="-6"/>
        </w:rPr>
        <w:t>respondents</w:t>
      </w:r>
      <w:r>
        <w:rPr>
          <w:color w:val="231F20"/>
          <w:spacing w:val="-8"/>
        </w:rPr>
        <w:t> </w:t>
      </w:r>
      <w:r>
        <w:rPr>
          <w:color w:val="231F20"/>
          <w:spacing w:val="-6"/>
        </w:rPr>
        <w:t>were</w:t>
      </w:r>
      <w:r>
        <w:rPr>
          <w:color w:val="231F20"/>
          <w:spacing w:val="-7"/>
        </w:rPr>
        <w:t> </w:t>
      </w:r>
      <w:r>
        <w:rPr>
          <w:color w:val="231F20"/>
          <w:spacing w:val="-6"/>
        </w:rPr>
        <w:t>in</w:t>
      </w:r>
      <w:r>
        <w:rPr>
          <w:color w:val="231F20"/>
          <w:spacing w:val="-7"/>
        </w:rPr>
        <w:t> </w:t>
      </w:r>
      <w:r>
        <w:rPr>
          <w:color w:val="231F20"/>
          <w:spacing w:val="-6"/>
        </w:rPr>
        <w:t>freight</w:t>
      </w:r>
      <w:r>
        <w:rPr>
          <w:color w:val="231F20"/>
          <w:spacing w:val="-7"/>
        </w:rPr>
        <w:t> </w:t>
      </w:r>
      <w:r>
        <w:rPr>
          <w:color w:val="231F20"/>
          <w:spacing w:val="-6"/>
        </w:rPr>
        <w:t>forwarding,</w:t>
      </w:r>
      <w:r>
        <w:rPr>
          <w:color w:val="231F20"/>
          <w:spacing w:val="-7"/>
        </w:rPr>
        <w:t> </w:t>
      </w:r>
      <w:r>
        <w:rPr>
          <w:color w:val="231F20"/>
          <w:spacing w:val="-6"/>
        </w:rPr>
        <w:t>12</w:t>
      </w:r>
      <w:r>
        <w:rPr>
          <w:color w:val="231F20"/>
          <w:spacing w:val="-7"/>
        </w:rPr>
        <w:t> </w:t>
      </w:r>
      <w:r>
        <w:rPr>
          <w:color w:val="231F20"/>
          <w:spacing w:val="-6"/>
        </w:rPr>
        <w:t>per- </w:t>
      </w:r>
      <w:r>
        <w:rPr>
          <w:color w:val="231F20"/>
          <w:spacing w:val="-2"/>
        </w:rPr>
        <w:t>cent</w:t>
      </w:r>
      <w:r>
        <w:rPr>
          <w:color w:val="231F20"/>
          <w:spacing w:val="-12"/>
        </w:rPr>
        <w:t> </w:t>
      </w:r>
      <w:r>
        <w:rPr>
          <w:color w:val="231F20"/>
          <w:spacing w:val="-2"/>
        </w:rPr>
        <w:t>worked</w:t>
      </w:r>
      <w:r>
        <w:rPr>
          <w:color w:val="231F20"/>
          <w:spacing w:val="-11"/>
        </w:rPr>
        <w:t> </w:t>
      </w:r>
      <w:r>
        <w:rPr>
          <w:color w:val="231F20"/>
          <w:spacing w:val="-2"/>
        </w:rPr>
        <w:t>with</w:t>
      </w:r>
      <w:r>
        <w:rPr>
          <w:color w:val="231F20"/>
          <w:spacing w:val="-11"/>
        </w:rPr>
        <w:t> </w:t>
      </w:r>
      <w:r>
        <w:rPr>
          <w:color w:val="231F20"/>
          <w:spacing w:val="-2"/>
        </w:rPr>
        <w:t>freight</w:t>
      </w:r>
      <w:r>
        <w:rPr>
          <w:color w:val="231F20"/>
          <w:spacing w:val="-11"/>
        </w:rPr>
        <w:t> </w:t>
      </w:r>
      <w:r>
        <w:rPr>
          <w:color w:val="231F20"/>
          <w:spacing w:val="-2"/>
        </w:rPr>
        <w:t>transport,</w:t>
      </w:r>
      <w:r>
        <w:rPr>
          <w:color w:val="231F20"/>
          <w:spacing w:val="-11"/>
        </w:rPr>
        <w:t> </w:t>
      </w:r>
      <w:r>
        <w:rPr>
          <w:color w:val="231F20"/>
          <w:spacing w:val="-2"/>
        </w:rPr>
        <w:t>11</w:t>
      </w:r>
      <w:r>
        <w:rPr>
          <w:color w:val="231F20"/>
          <w:spacing w:val="-11"/>
        </w:rPr>
        <w:t> </w:t>
      </w:r>
      <w:r>
        <w:rPr>
          <w:color w:val="231F20"/>
          <w:spacing w:val="-2"/>
        </w:rPr>
        <w:t>percent </w:t>
      </w:r>
      <w:r>
        <w:rPr>
          <w:color w:val="231F20"/>
          <w:spacing w:val="-6"/>
        </w:rPr>
        <w:t>worked with customs brokerage, and 8 percent </w:t>
      </w:r>
      <w:r>
        <w:rPr>
          <w:color w:val="231F20"/>
        </w:rPr>
        <w:t>dealt with exports or imports.</w:t>
      </w:r>
    </w:p>
    <w:p>
      <w:pPr>
        <w:spacing w:after="0" w:line="268" w:lineRule="auto"/>
        <w:jc w:val="both"/>
        <w:sectPr>
          <w:type w:val="continuous"/>
          <w:pgSz w:w="12240" w:h="15840"/>
          <w:pgMar w:header="0" w:footer="0" w:top="1140" w:bottom="280" w:left="0" w:right="540"/>
          <w:cols w:num="2" w:equalWidth="0">
            <w:col w:w="7561" w:space="40"/>
            <w:col w:w="4099"/>
          </w:cols>
        </w:sectPr>
      </w:pPr>
    </w:p>
    <w:p>
      <w:pPr>
        <w:pStyle w:val="BodyText"/>
        <w:spacing w:before="37"/>
        <w:rPr>
          <w:sz w:val="20"/>
        </w:rPr>
      </w:pPr>
    </w:p>
    <w:p>
      <w:pPr>
        <w:pStyle w:val="BodyText"/>
        <w:ind w:left="3840"/>
        <w:rPr>
          <w:sz w:val="20"/>
        </w:rPr>
      </w:pPr>
      <w:r>
        <w:rPr>
          <w:sz w:val="20"/>
        </w:rPr>
        <mc:AlternateContent>
          <mc:Choice Requires="wps">
            <w:drawing>
              <wp:inline distT="0" distB="0" distL="0" distR="0">
                <wp:extent cx="4877435" cy="2849880"/>
                <wp:effectExtent l="0" t="9525" r="0" b="7619"/>
                <wp:docPr id="2036" name="Group 2036"/>
                <wp:cNvGraphicFramePr>
                  <a:graphicFrameLocks/>
                </wp:cNvGraphicFramePr>
                <a:graphic>
                  <a:graphicData uri="http://schemas.microsoft.com/office/word/2010/wordprocessingGroup">
                    <wpg:wgp>
                      <wpg:cNvPr id="2036" name="Group 2036"/>
                      <wpg:cNvGrpSpPr/>
                      <wpg:grpSpPr>
                        <a:xfrm>
                          <a:off x="0" y="0"/>
                          <a:ext cx="4877435" cy="2849880"/>
                          <a:chExt cx="4877435" cy="2849880"/>
                        </a:xfrm>
                      </wpg:grpSpPr>
                      <wps:wsp>
                        <wps:cNvPr id="2037" name="Graphic 2037"/>
                        <wps:cNvSpPr/>
                        <wps:spPr>
                          <a:xfrm>
                            <a:off x="198" y="258093"/>
                            <a:ext cx="4876800" cy="2591435"/>
                          </a:xfrm>
                          <a:custGeom>
                            <a:avLst/>
                            <a:gdLst/>
                            <a:ahLst/>
                            <a:cxnLst/>
                            <a:rect l="l" t="t" r="r" b="b"/>
                            <a:pathLst>
                              <a:path w="4876800" h="2591435">
                                <a:moveTo>
                                  <a:pt x="4876800" y="0"/>
                                </a:moveTo>
                                <a:lnTo>
                                  <a:pt x="0" y="0"/>
                                </a:lnTo>
                                <a:lnTo>
                                  <a:pt x="0" y="2516505"/>
                                </a:lnTo>
                                <a:lnTo>
                                  <a:pt x="6159" y="2545603"/>
                                </a:lnTo>
                                <a:lnTo>
                                  <a:pt x="22693" y="2569363"/>
                                </a:lnTo>
                                <a:lnTo>
                                  <a:pt x="46682" y="2585383"/>
                                </a:lnTo>
                                <a:lnTo>
                                  <a:pt x="75209" y="2591257"/>
                                </a:lnTo>
                                <a:lnTo>
                                  <a:pt x="4797920" y="2591257"/>
                                </a:lnTo>
                                <a:lnTo>
                                  <a:pt x="4827020" y="2586002"/>
                                </a:lnTo>
                                <a:lnTo>
                                  <a:pt x="4852271" y="2571016"/>
                                </a:lnTo>
                                <a:lnTo>
                                  <a:pt x="4870066" y="2547462"/>
                                </a:lnTo>
                                <a:lnTo>
                                  <a:pt x="4876800" y="2516505"/>
                                </a:lnTo>
                                <a:lnTo>
                                  <a:pt x="4876800" y="0"/>
                                </a:lnTo>
                                <a:close/>
                              </a:path>
                            </a:pathLst>
                          </a:custGeom>
                          <a:solidFill>
                            <a:srgbClr val="DFEAF7"/>
                          </a:solidFill>
                        </wps:spPr>
                        <wps:bodyPr wrap="square" lIns="0" tIns="0" rIns="0" bIns="0" rtlCol="0">
                          <a:prstTxWarp prst="textNoShape">
                            <a:avLst/>
                          </a:prstTxWarp>
                          <a:noAutofit/>
                        </wps:bodyPr>
                      </wps:wsp>
                      <wps:wsp>
                        <wps:cNvPr id="2038" name="Graphic 2038"/>
                        <wps:cNvSpPr/>
                        <wps:spPr>
                          <a:xfrm>
                            <a:off x="3465163" y="782784"/>
                            <a:ext cx="230504" cy="890269"/>
                          </a:xfrm>
                          <a:custGeom>
                            <a:avLst/>
                            <a:gdLst/>
                            <a:ahLst/>
                            <a:cxnLst/>
                            <a:rect l="l" t="t" r="r" b="b"/>
                            <a:pathLst>
                              <a:path w="230504" h="890269">
                                <a:moveTo>
                                  <a:pt x="230377" y="0"/>
                                </a:moveTo>
                                <a:lnTo>
                                  <a:pt x="183366" y="1187"/>
                                </a:lnTo>
                                <a:lnTo>
                                  <a:pt x="137112" y="4775"/>
                                </a:lnTo>
                                <a:lnTo>
                                  <a:pt x="91327" y="10802"/>
                                </a:lnTo>
                                <a:lnTo>
                                  <a:pt x="45719" y="19307"/>
                                </a:lnTo>
                                <a:lnTo>
                                  <a:pt x="0" y="30327"/>
                                </a:lnTo>
                                <a:lnTo>
                                  <a:pt x="230377" y="890092"/>
                                </a:lnTo>
                                <a:lnTo>
                                  <a:pt x="230377" y="0"/>
                                </a:lnTo>
                                <a:close/>
                              </a:path>
                            </a:pathLst>
                          </a:custGeom>
                          <a:solidFill>
                            <a:srgbClr val="231F20"/>
                          </a:solidFill>
                        </wps:spPr>
                        <wps:bodyPr wrap="square" lIns="0" tIns="0" rIns="0" bIns="0" rtlCol="0">
                          <a:prstTxWarp prst="textNoShape">
                            <a:avLst/>
                          </a:prstTxWarp>
                          <a:noAutofit/>
                        </wps:bodyPr>
                      </wps:wsp>
                      <wps:wsp>
                        <wps:cNvPr id="2039" name="Graphic 2039"/>
                        <wps:cNvSpPr/>
                        <wps:spPr>
                          <a:xfrm>
                            <a:off x="2805498" y="813112"/>
                            <a:ext cx="890269" cy="1679575"/>
                          </a:xfrm>
                          <a:custGeom>
                            <a:avLst/>
                            <a:gdLst/>
                            <a:ahLst/>
                            <a:cxnLst/>
                            <a:rect l="l" t="t" r="r" b="b"/>
                            <a:pathLst>
                              <a:path w="890269" h="1679575">
                                <a:moveTo>
                                  <a:pt x="659664" y="0"/>
                                </a:moveTo>
                                <a:lnTo>
                                  <a:pt x="609270" y="14948"/>
                                </a:lnTo>
                                <a:lnTo>
                                  <a:pt x="560499" y="32333"/>
                                </a:lnTo>
                                <a:lnTo>
                                  <a:pt x="513392" y="52120"/>
                                </a:lnTo>
                                <a:lnTo>
                                  <a:pt x="467989" y="74273"/>
                                </a:lnTo>
                                <a:lnTo>
                                  <a:pt x="424330" y="98759"/>
                                </a:lnTo>
                                <a:lnTo>
                                  <a:pt x="382455" y="125541"/>
                                </a:lnTo>
                                <a:lnTo>
                                  <a:pt x="342405" y="154584"/>
                                </a:lnTo>
                                <a:lnTo>
                                  <a:pt x="304220" y="185854"/>
                                </a:lnTo>
                                <a:lnTo>
                                  <a:pt x="267940" y="219316"/>
                                </a:lnTo>
                                <a:lnTo>
                                  <a:pt x="233606" y="254935"/>
                                </a:lnTo>
                                <a:lnTo>
                                  <a:pt x="201257" y="292675"/>
                                </a:lnTo>
                                <a:lnTo>
                                  <a:pt x="170935" y="332502"/>
                                </a:lnTo>
                                <a:lnTo>
                                  <a:pt x="142679" y="374380"/>
                                </a:lnTo>
                                <a:lnTo>
                                  <a:pt x="116531" y="418275"/>
                                </a:lnTo>
                                <a:lnTo>
                                  <a:pt x="92529" y="464152"/>
                                </a:lnTo>
                                <a:lnTo>
                                  <a:pt x="70714" y="511975"/>
                                </a:lnTo>
                                <a:lnTo>
                                  <a:pt x="52845" y="557445"/>
                                </a:lnTo>
                                <a:lnTo>
                                  <a:pt x="37627" y="603292"/>
                                </a:lnTo>
                                <a:lnTo>
                                  <a:pt x="25026" y="649429"/>
                                </a:lnTo>
                                <a:lnTo>
                                  <a:pt x="15004" y="695765"/>
                                </a:lnTo>
                                <a:lnTo>
                                  <a:pt x="7527" y="742212"/>
                                </a:lnTo>
                                <a:lnTo>
                                  <a:pt x="2557" y="788681"/>
                                </a:lnTo>
                                <a:lnTo>
                                  <a:pt x="60" y="835083"/>
                                </a:lnTo>
                                <a:lnTo>
                                  <a:pt x="0" y="881328"/>
                                </a:lnTo>
                                <a:lnTo>
                                  <a:pt x="2339" y="927328"/>
                                </a:lnTo>
                                <a:lnTo>
                                  <a:pt x="7043" y="972994"/>
                                </a:lnTo>
                                <a:lnTo>
                                  <a:pt x="14075" y="1018237"/>
                                </a:lnTo>
                                <a:lnTo>
                                  <a:pt x="23399" y="1062968"/>
                                </a:lnTo>
                                <a:lnTo>
                                  <a:pt x="34980" y="1107098"/>
                                </a:lnTo>
                                <a:lnTo>
                                  <a:pt x="48782" y="1150537"/>
                                </a:lnTo>
                                <a:lnTo>
                                  <a:pt x="64768" y="1193198"/>
                                </a:lnTo>
                                <a:lnTo>
                                  <a:pt x="82902" y="1234990"/>
                                </a:lnTo>
                                <a:lnTo>
                                  <a:pt x="103149" y="1275825"/>
                                </a:lnTo>
                                <a:lnTo>
                                  <a:pt x="125473" y="1315614"/>
                                </a:lnTo>
                                <a:lnTo>
                                  <a:pt x="149838" y="1354268"/>
                                </a:lnTo>
                                <a:lnTo>
                                  <a:pt x="176207" y="1391698"/>
                                </a:lnTo>
                                <a:lnTo>
                                  <a:pt x="204545" y="1427815"/>
                                </a:lnTo>
                                <a:lnTo>
                                  <a:pt x="234816" y="1462529"/>
                                </a:lnTo>
                                <a:lnTo>
                                  <a:pt x="266984" y="1495753"/>
                                </a:lnTo>
                                <a:lnTo>
                                  <a:pt x="301013" y="1527396"/>
                                </a:lnTo>
                                <a:lnTo>
                                  <a:pt x="336867" y="1557371"/>
                                </a:lnTo>
                                <a:lnTo>
                                  <a:pt x="374510" y="1585587"/>
                                </a:lnTo>
                                <a:lnTo>
                                  <a:pt x="413906" y="1611956"/>
                                </a:lnTo>
                                <a:lnTo>
                                  <a:pt x="455019" y="1636390"/>
                                </a:lnTo>
                                <a:lnTo>
                                  <a:pt x="497813" y="1658798"/>
                                </a:lnTo>
                                <a:lnTo>
                                  <a:pt x="542253" y="1679092"/>
                                </a:lnTo>
                                <a:lnTo>
                                  <a:pt x="890042" y="859764"/>
                                </a:lnTo>
                                <a:lnTo>
                                  <a:pt x="659664" y="0"/>
                                </a:lnTo>
                                <a:close/>
                              </a:path>
                            </a:pathLst>
                          </a:custGeom>
                          <a:solidFill>
                            <a:srgbClr val="939598"/>
                          </a:solidFill>
                        </wps:spPr>
                        <wps:bodyPr wrap="square" lIns="0" tIns="0" rIns="0" bIns="0" rtlCol="0">
                          <a:prstTxWarp prst="textNoShape">
                            <a:avLst/>
                          </a:prstTxWarp>
                          <a:noAutofit/>
                        </wps:bodyPr>
                      </wps:wsp>
                      <wps:wsp>
                        <wps:cNvPr id="2040" name="Graphic 2040"/>
                        <wps:cNvSpPr/>
                        <wps:spPr>
                          <a:xfrm>
                            <a:off x="3347751" y="1672876"/>
                            <a:ext cx="1059180" cy="892810"/>
                          </a:xfrm>
                          <a:custGeom>
                            <a:avLst/>
                            <a:gdLst/>
                            <a:ahLst/>
                            <a:cxnLst/>
                            <a:rect l="l" t="t" r="r" b="b"/>
                            <a:pathLst>
                              <a:path w="1059180" h="892810">
                                <a:moveTo>
                                  <a:pt x="347789" y="0"/>
                                </a:moveTo>
                                <a:lnTo>
                                  <a:pt x="0" y="819327"/>
                                </a:lnTo>
                                <a:lnTo>
                                  <a:pt x="46227" y="837551"/>
                                </a:lnTo>
                                <a:lnTo>
                                  <a:pt x="92759" y="853141"/>
                                </a:lnTo>
                                <a:lnTo>
                                  <a:pt x="139515" y="866121"/>
                                </a:lnTo>
                                <a:lnTo>
                                  <a:pt x="186412" y="876512"/>
                                </a:lnTo>
                                <a:lnTo>
                                  <a:pt x="233367" y="884337"/>
                                </a:lnTo>
                                <a:lnTo>
                                  <a:pt x="280300" y="889617"/>
                                </a:lnTo>
                                <a:lnTo>
                                  <a:pt x="327128" y="892374"/>
                                </a:lnTo>
                                <a:lnTo>
                                  <a:pt x="373769" y="892631"/>
                                </a:lnTo>
                                <a:lnTo>
                                  <a:pt x="420141" y="890409"/>
                                </a:lnTo>
                                <a:lnTo>
                                  <a:pt x="466162" y="885730"/>
                                </a:lnTo>
                                <a:lnTo>
                                  <a:pt x="511751" y="878616"/>
                                </a:lnTo>
                                <a:lnTo>
                                  <a:pt x="556825" y="869089"/>
                                </a:lnTo>
                                <a:lnTo>
                                  <a:pt x="601302" y="857172"/>
                                </a:lnTo>
                                <a:lnTo>
                                  <a:pt x="645101" y="842885"/>
                                </a:lnTo>
                                <a:lnTo>
                                  <a:pt x="688139" y="826252"/>
                                </a:lnTo>
                                <a:lnTo>
                                  <a:pt x="730334" y="807294"/>
                                </a:lnTo>
                                <a:lnTo>
                                  <a:pt x="771604" y="786033"/>
                                </a:lnTo>
                                <a:lnTo>
                                  <a:pt x="811868" y="762490"/>
                                </a:lnTo>
                                <a:lnTo>
                                  <a:pt x="851044" y="736689"/>
                                </a:lnTo>
                                <a:lnTo>
                                  <a:pt x="889049" y="708651"/>
                                </a:lnTo>
                                <a:lnTo>
                                  <a:pt x="925801" y="678397"/>
                                </a:lnTo>
                                <a:lnTo>
                                  <a:pt x="961219" y="645951"/>
                                </a:lnTo>
                                <a:lnTo>
                                  <a:pt x="995220" y="611333"/>
                                </a:lnTo>
                                <a:lnTo>
                                  <a:pt x="1027723" y="574567"/>
                                </a:lnTo>
                                <a:lnTo>
                                  <a:pt x="1058646" y="535673"/>
                                </a:lnTo>
                                <a:lnTo>
                                  <a:pt x="347789" y="0"/>
                                </a:lnTo>
                                <a:close/>
                              </a:path>
                            </a:pathLst>
                          </a:custGeom>
                          <a:solidFill>
                            <a:srgbClr val="76AEE5"/>
                          </a:solidFill>
                        </wps:spPr>
                        <wps:bodyPr wrap="square" lIns="0" tIns="0" rIns="0" bIns="0" rtlCol="0">
                          <a:prstTxWarp prst="textNoShape">
                            <a:avLst/>
                          </a:prstTxWarp>
                          <a:noAutofit/>
                        </wps:bodyPr>
                      </wps:wsp>
                      <wps:wsp>
                        <wps:cNvPr id="2041" name="Graphic 2041"/>
                        <wps:cNvSpPr/>
                        <wps:spPr>
                          <a:xfrm>
                            <a:off x="3695541" y="782784"/>
                            <a:ext cx="890269" cy="1426210"/>
                          </a:xfrm>
                          <a:custGeom>
                            <a:avLst/>
                            <a:gdLst/>
                            <a:ahLst/>
                            <a:cxnLst/>
                            <a:rect l="l" t="t" r="r" b="b"/>
                            <a:pathLst>
                              <a:path w="890269" h="1426210">
                                <a:moveTo>
                                  <a:pt x="0" y="0"/>
                                </a:moveTo>
                                <a:lnTo>
                                  <a:pt x="0" y="890092"/>
                                </a:lnTo>
                                <a:lnTo>
                                  <a:pt x="710857" y="1425765"/>
                                </a:lnTo>
                                <a:lnTo>
                                  <a:pt x="740112" y="1384968"/>
                                </a:lnTo>
                                <a:lnTo>
                                  <a:pt x="766661" y="1343783"/>
                                </a:lnTo>
                                <a:lnTo>
                                  <a:pt x="790533" y="1302116"/>
                                </a:lnTo>
                                <a:lnTo>
                                  <a:pt x="811760" y="1259875"/>
                                </a:lnTo>
                                <a:lnTo>
                                  <a:pt x="830373" y="1216966"/>
                                </a:lnTo>
                                <a:lnTo>
                                  <a:pt x="846404" y="1173297"/>
                                </a:lnTo>
                                <a:lnTo>
                                  <a:pt x="859883" y="1128774"/>
                                </a:lnTo>
                                <a:lnTo>
                                  <a:pt x="870841" y="1083303"/>
                                </a:lnTo>
                                <a:lnTo>
                                  <a:pt x="879310" y="1036793"/>
                                </a:lnTo>
                                <a:lnTo>
                                  <a:pt x="885320" y="989150"/>
                                </a:lnTo>
                                <a:lnTo>
                                  <a:pt x="888904" y="940280"/>
                                </a:lnTo>
                                <a:lnTo>
                                  <a:pt x="890092" y="890092"/>
                                </a:lnTo>
                                <a:lnTo>
                                  <a:pt x="888775" y="841255"/>
                                </a:lnTo>
                                <a:lnTo>
                                  <a:pt x="884869" y="793107"/>
                                </a:lnTo>
                                <a:lnTo>
                                  <a:pt x="878442" y="745715"/>
                                </a:lnTo>
                                <a:lnTo>
                                  <a:pt x="869562" y="699148"/>
                                </a:lnTo>
                                <a:lnTo>
                                  <a:pt x="858296" y="653472"/>
                                </a:lnTo>
                                <a:lnTo>
                                  <a:pt x="844714" y="608756"/>
                                </a:lnTo>
                                <a:lnTo>
                                  <a:pt x="828882" y="565068"/>
                                </a:lnTo>
                                <a:lnTo>
                                  <a:pt x="810868" y="522475"/>
                                </a:lnTo>
                                <a:lnTo>
                                  <a:pt x="790740" y="481045"/>
                                </a:lnTo>
                                <a:lnTo>
                                  <a:pt x="768567" y="440848"/>
                                </a:lnTo>
                                <a:lnTo>
                                  <a:pt x="744415" y="401949"/>
                                </a:lnTo>
                                <a:lnTo>
                                  <a:pt x="718354" y="364417"/>
                                </a:lnTo>
                                <a:lnTo>
                                  <a:pt x="690450" y="328320"/>
                                </a:lnTo>
                                <a:lnTo>
                                  <a:pt x="660772" y="293727"/>
                                </a:lnTo>
                                <a:lnTo>
                                  <a:pt x="629388" y="260704"/>
                                </a:lnTo>
                                <a:lnTo>
                                  <a:pt x="596365" y="229319"/>
                                </a:lnTo>
                                <a:lnTo>
                                  <a:pt x="561771" y="199641"/>
                                </a:lnTo>
                                <a:lnTo>
                                  <a:pt x="525674" y="171737"/>
                                </a:lnTo>
                                <a:lnTo>
                                  <a:pt x="488142" y="145676"/>
                                </a:lnTo>
                                <a:lnTo>
                                  <a:pt x="449244" y="121524"/>
                                </a:lnTo>
                                <a:lnTo>
                                  <a:pt x="409046" y="99351"/>
                                </a:lnTo>
                                <a:lnTo>
                                  <a:pt x="367616" y="79223"/>
                                </a:lnTo>
                                <a:lnTo>
                                  <a:pt x="325024" y="61210"/>
                                </a:lnTo>
                                <a:lnTo>
                                  <a:pt x="281335" y="45378"/>
                                </a:lnTo>
                                <a:lnTo>
                                  <a:pt x="236619" y="31795"/>
                                </a:lnTo>
                                <a:lnTo>
                                  <a:pt x="190944" y="20530"/>
                                </a:lnTo>
                                <a:lnTo>
                                  <a:pt x="144376" y="11649"/>
                                </a:lnTo>
                                <a:lnTo>
                                  <a:pt x="96984" y="5223"/>
                                </a:lnTo>
                                <a:lnTo>
                                  <a:pt x="48836" y="1317"/>
                                </a:lnTo>
                                <a:lnTo>
                                  <a:pt x="0" y="0"/>
                                </a:lnTo>
                                <a:close/>
                              </a:path>
                            </a:pathLst>
                          </a:custGeom>
                          <a:solidFill>
                            <a:srgbClr val="008FDD"/>
                          </a:solidFill>
                        </wps:spPr>
                        <wps:bodyPr wrap="square" lIns="0" tIns="0" rIns="0" bIns="0" rtlCol="0">
                          <a:prstTxWarp prst="textNoShape">
                            <a:avLst/>
                          </a:prstTxWarp>
                          <a:noAutofit/>
                        </wps:bodyPr>
                      </wps:wsp>
                      <wps:wsp>
                        <wps:cNvPr id="2042" name="Graphic 2042"/>
                        <wps:cNvSpPr/>
                        <wps:spPr>
                          <a:xfrm>
                            <a:off x="1195691" y="782784"/>
                            <a:ext cx="170180" cy="890269"/>
                          </a:xfrm>
                          <a:custGeom>
                            <a:avLst/>
                            <a:gdLst/>
                            <a:ahLst/>
                            <a:cxnLst/>
                            <a:rect l="l" t="t" r="r" b="b"/>
                            <a:pathLst>
                              <a:path w="170180" h="890269">
                                <a:moveTo>
                                  <a:pt x="169837" y="0"/>
                                </a:moveTo>
                                <a:lnTo>
                                  <a:pt x="126839" y="998"/>
                                </a:lnTo>
                                <a:lnTo>
                                  <a:pt x="84523" y="4025"/>
                                </a:lnTo>
                                <a:lnTo>
                                  <a:pt x="42405" y="9129"/>
                                </a:lnTo>
                                <a:lnTo>
                                  <a:pt x="0" y="16357"/>
                                </a:lnTo>
                                <a:lnTo>
                                  <a:pt x="169837" y="890092"/>
                                </a:lnTo>
                                <a:lnTo>
                                  <a:pt x="169837" y="0"/>
                                </a:lnTo>
                                <a:close/>
                              </a:path>
                            </a:pathLst>
                          </a:custGeom>
                          <a:solidFill>
                            <a:srgbClr val="BED5F0"/>
                          </a:solidFill>
                        </wps:spPr>
                        <wps:bodyPr wrap="square" lIns="0" tIns="0" rIns="0" bIns="0" rtlCol="0">
                          <a:prstTxWarp prst="textNoShape">
                            <a:avLst/>
                          </a:prstTxWarp>
                          <a:noAutofit/>
                        </wps:bodyPr>
                      </wps:wsp>
                      <wps:wsp>
                        <wps:cNvPr id="2043" name="Graphic 2043"/>
                        <wps:cNvSpPr/>
                        <wps:spPr>
                          <a:xfrm>
                            <a:off x="758493" y="799142"/>
                            <a:ext cx="607060" cy="873760"/>
                          </a:xfrm>
                          <a:custGeom>
                            <a:avLst/>
                            <a:gdLst/>
                            <a:ahLst/>
                            <a:cxnLst/>
                            <a:rect l="l" t="t" r="r" b="b"/>
                            <a:pathLst>
                              <a:path w="607060" h="873760">
                                <a:moveTo>
                                  <a:pt x="437197" y="0"/>
                                </a:moveTo>
                                <a:lnTo>
                                  <a:pt x="386666" y="11128"/>
                                </a:lnTo>
                                <a:lnTo>
                                  <a:pt x="338047" y="24531"/>
                                </a:lnTo>
                                <a:lnTo>
                                  <a:pt x="291192" y="40284"/>
                                </a:lnTo>
                                <a:lnTo>
                                  <a:pt x="245950" y="58464"/>
                                </a:lnTo>
                                <a:lnTo>
                                  <a:pt x="202172" y="79147"/>
                                </a:lnTo>
                                <a:lnTo>
                                  <a:pt x="159709" y="102410"/>
                                </a:lnTo>
                                <a:lnTo>
                                  <a:pt x="118409" y="128327"/>
                                </a:lnTo>
                                <a:lnTo>
                                  <a:pt x="78124" y="156975"/>
                                </a:lnTo>
                                <a:lnTo>
                                  <a:pt x="38704" y="188431"/>
                                </a:lnTo>
                                <a:lnTo>
                                  <a:pt x="0" y="222770"/>
                                </a:lnTo>
                                <a:lnTo>
                                  <a:pt x="607034" y="873734"/>
                                </a:lnTo>
                                <a:lnTo>
                                  <a:pt x="437197" y="0"/>
                                </a:lnTo>
                                <a:close/>
                              </a:path>
                            </a:pathLst>
                          </a:custGeom>
                          <a:solidFill>
                            <a:srgbClr val="939598"/>
                          </a:solidFill>
                        </wps:spPr>
                        <wps:bodyPr wrap="square" lIns="0" tIns="0" rIns="0" bIns="0" rtlCol="0">
                          <a:prstTxWarp prst="textNoShape">
                            <a:avLst/>
                          </a:prstTxWarp>
                          <a:noAutofit/>
                        </wps:bodyPr>
                      </wps:wsp>
                      <wps:wsp>
                        <wps:cNvPr id="2044" name="Graphic 2044"/>
                        <wps:cNvSpPr/>
                        <wps:spPr>
                          <a:xfrm>
                            <a:off x="505763" y="1021913"/>
                            <a:ext cx="859790" cy="651510"/>
                          </a:xfrm>
                          <a:custGeom>
                            <a:avLst/>
                            <a:gdLst/>
                            <a:ahLst/>
                            <a:cxnLst/>
                            <a:rect l="l" t="t" r="r" b="b"/>
                            <a:pathLst>
                              <a:path w="859790" h="651510">
                                <a:moveTo>
                                  <a:pt x="252729" y="0"/>
                                </a:moveTo>
                                <a:lnTo>
                                  <a:pt x="215774" y="36212"/>
                                </a:lnTo>
                                <a:lnTo>
                                  <a:pt x="181646" y="73340"/>
                                </a:lnTo>
                                <a:lnTo>
                                  <a:pt x="150258" y="111528"/>
                                </a:lnTo>
                                <a:lnTo>
                                  <a:pt x="121523" y="150919"/>
                                </a:lnTo>
                                <a:lnTo>
                                  <a:pt x="95356" y="191657"/>
                                </a:lnTo>
                                <a:lnTo>
                                  <a:pt x="71669" y="233886"/>
                                </a:lnTo>
                                <a:lnTo>
                                  <a:pt x="50377" y="277749"/>
                                </a:lnTo>
                                <a:lnTo>
                                  <a:pt x="31392" y="323391"/>
                                </a:lnTo>
                                <a:lnTo>
                                  <a:pt x="14628" y="370955"/>
                                </a:lnTo>
                                <a:lnTo>
                                  <a:pt x="0" y="420585"/>
                                </a:lnTo>
                                <a:lnTo>
                                  <a:pt x="859764" y="650963"/>
                                </a:lnTo>
                                <a:lnTo>
                                  <a:pt x="252729" y="0"/>
                                </a:lnTo>
                                <a:close/>
                              </a:path>
                            </a:pathLst>
                          </a:custGeom>
                          <a:solidFill>
                            <a:srgbClr val="691C32"/>
                          </a:solidFill>
                        </wps:spPr>
                        <wps:bodyPr wrap="square" lIns="0" tIns="0" rIns="0" bIns="0" rtlCol="0">
                          <a:prstTxWarp prst="textNoShape">
                            <a:avLst/>
                          </a:prstTxWarp>
                          <a:noAutofit/>
                        </wps:bodyPr>
                      </wps:wsp>
                      <wps:wsp>
                        <wps:cNvPr id="2045" name="Graphic 2045"/>
                        <wps:cNvSpPr/>
                        <wps:spPr>
                          <a:xfrm>
                            <a:off x="474728" y="1442499"/>
                            <a:ext cx="890905" cy="607060"/>
                          </a:xfrm>
                          <a:custGeom>
                            <a:avLst/>
                            <a:gdLst/>
                            <a:ahLst/>
                            <a:cxnLst/>
                            <a:rect l="l" t="t" r="r" b="b"/>
                            <a:pathLst>
                              <a:path w="890905" h="607060">
                                <a:moveTo>
                                  <a:pt x="31034" y="0"/>
                                </a:moveTo>
                                <a:lnTo>
                                  <a:pt x="18726" y="51623"/>
                                </a:lnTo>
                                <a:lnTo>
                                  <a:pt x="9472" y="103190"/>
                                </a:lnTo>
                                <a:lnTo>
                                  <a:pt x="3269" y="154658"/>
                                </a:lnTo>
                                <a:lnTo>
                                  <a:pt x="113" y="205985"/>
                                </a:lnTo>
                                <a:lnTo>
                                  <a:pt x="0" y="257131"/>
                                </a:lnTo>
                                <a:lnTo>
                                  <a:pt x="2926" y="308052"/>
                                </a:lnTo>
                                <a:lnTo>
                                  <a:pt x="8888" y="358709"/>
                                </a:lnTo>
                                <a:lnTo>
                                  <a:pt x="17883" y="409058"/>
                                </a:lnTo>
                                <a:lnTo>
                                  <a:pt x="29906" y="459059"/>
                                </a:lnTo>
                                <a:lnTo>
                                  <a:pt x="44953" y="508669"/>
                                </a:lnTo>
                                <a:lnTo>
                                  <a:pt x="63022" y="557847"/>
                                </a:lnTo>
                                <a:lnTo>
                                  <a:pt x="84108" y="606552"/>
                                </a:lnTo>
                                <a:lnTo>
                                  <a:pt x="890799" y="230378"/>
                                </a:lnTo>
                                <a:lnTo>
                                  <a:pt x="31034" y="0"/>
                                </a:lnTo>
                                <a:close/>
                              </a:path>
                            </a:pathLst>
                          </a:custGeom>
                          <a:solidFill>
                            <a:srgbClr val="76AEE5"/>
                          </a:solidFill>
                        </wps:spPr>
                        <wps:bodyPr wrap="square" lIns="0" tIns="0" rIns="0" bIns="0" rtlCol="0">
                          <a:prstTxWarp prst="textNoShape">
                            <a:avLst/>
                          </a:prstTxWarp>
                          <a:noAutofit/>
                        </wps:bodyPr>
                      </wps:wsp>
                      <wps:wsp>
                        <wps:cNvPr id="2046" name="Graphic 2046"/>
                        <wps:cNvSpPr/>
                        <wps:spPr>
                          <a:xfrm>
                            <a:off x="558836" y="1672876"/>
                            <a:ext cx="807085" cy="842010"/>
                          </a:xfrm>
                          <a:custGeom>
                            <a:avLst/>
                            <a:gdLst/>
                            <a:ahLst/>
                            <a:cxnLst/>
                            <a:rect l="l" t="t" r="r" b="b"/>
                            <a:pathLst>
                              <a:path w="807085" h="842010">
                                <a:moveTo>
                                  <a:pt x="806691" y="0"/>
                                </a:moveTo>
                                <a:lnTo>
                                  <a:pt x="0" y="376173"/>
                                </a:lnTo>
                                <a:lnTo>
                                  <a:pt x="23869" y="424099"/>
                                </a:lnTo>
                                <a:lnTo>
                                  <a:pt x="49718" y="469741"/>
                                </a:lnTo>
                                <a:lnTo>
                                  <a:pt x="77554" y="513104"/>
                                </a:lnTo>
                                <a:lnTo>
                                  <a:pt x="107383" y="554197"/>
                                </a:lnTo>
                                <a:lnTo>
                                  <a:pt x="139214" y="593024"/>
                                </a:lnTo>
                                <a:lnTo>
                                  <a:pt x="173053" y="629592"/>
                                </a:lnTo>
                                <a:lnTo>
                                  <a:pt x="208907" y="663908"/>
                                </a:lnTo>
                                <a:lnTo>
                                  <a:pt x="246783" y="695978"/>
                                </a:lnTo>
                                <a:lnTo>
                                  <a:pt x="286688" y="725808"/>
                                </a:lnTo>
                                <a:lnTo>
                                  <a:pt x="328630" y="753406"/>
                                </a:lnTo>
                                <a:lnTo>
                                  <a:pt x="372615" y="778776"/>
                                </a:lnTo>
                                <a:lnTo>
                                  <a:pt x="418651" y="801926"/>
                                </a:lnTo>
                                <a:lnTo>
                                  <a:pt x="466744" y="822862"/>
                                </a:lnTo>
                                <a:lnTo>
                                  <a:pt x="516902" y="841590"/>
                                </a:lnTo>
                                <a:lnTo>
                                  <a:pt x="806691" y="0"/>
                                </a:lnTo>
                                <a:close/>
                              </a:path>
                            </a:pathLst>
                          </a:custGeom>
                          <a:solidFill>
                            <a:srgbClr val="A8979A"/>
                          </a:solidFill>
                        </wps:spPr>
                        <wps:bodyPr wrap="square" lIns="0" tIns="0" rIns="0" bIns="0" rtlCol="0">
                          <a:prstTxWarp prst="textNoShape">
                            <a:avLst/>
                          </a:prstTxWarp>
                          <a:noAutofit/>
                        </wps:bodyPr>
                      </wps:wsp>
                      <wps:wsp>
                        <wps:cNvPr id="2047" name="Graphic 2047"/>
                        <wps:cNvSpPr/>
                        <wps:spPr>
                          <a:xfrm>
                            <a:off x="1075739" y="1672876"/>
                            <a:ext cx="919480" cy="892810"/>
                          </a:xfrm>
                          <a:custGeom>
                            <a:avLst/>
                            <a:gdLst/>
                            <a:ahLst/>
                            <a:cxnLst/>
                            <a:rect l="l" t="t" r="r" b="b"/>
                            <a:pathLst>
                              <a:path w="919480" h="892810">
                                <a:moveTo>
                                  <a:pt x="289788" y="0"/>
                                </a:moveTo>
                                <a:lnTo>
                                  <a:pt x="0" y="841590"/>
                                </a:lnTo>
                                <a:lnTo>
                                  <a:pt x="47332" y="856562"/>
                                </a:lnTo>
                                <a:lnTo>
                                  <a:pt x="94731" y="868929"/>
                                </a:lnTo>
                                <a:lnTo>
                                  <a:pt x="142130" y="878705"/>
                                </a:lnTo>
                                <a:lnTo>
                                  <a:pt x="189462" y="885908"/>
                                </a:lnTo>
                                <a:lnTo>
                                  <a:pt x="236661" y="890551"/>
                                </a:lnTo>
                                <a:lnTo>
                                  <a:pt x="283659" y="892650"/>
                                </a:lnTo>
                                <a:lnTo>
                                  <a:pt x="330390" y="892222"/>
                                </a:lnTo>
                                <a:lnTo>
                                  <a:pt x="376788" y="889280"/>
                                </a:lnTo>
                                <a:lnTo>
                                  <a:pt x="422784" y="883841"/>
                                </a:lnTo>
                                <a:lnTo>
                                  <a:pt x="468313" y="875920"/>
                                </a:lnTo>
                                <a:lnTo>
                                  <a:pt x="513308" y="865533"/>
                                </a:lnTo>
                                <a:lnTo>
                                  <a:pt x="557701" y="852694"/>
                                </a:lnTo>
                                <a:lnTo>
                                  <a:pt x="601427" y="837420"/>
                                </a:lnTo>
                                <a:lnTo>
                                  <a:pt x="644418" y="819725"/>
                                </a:lnTo>
                                <a:lnTo>
                                  <a:pt x="686608" y="799625"/>
                                </a:lnTo>
                                <a:lnTo>
                                  <a:pt x="727929" y="777136"/>
                                </a:lnTo>
                                <a:lnTo>
                                  <a:pt x="768315" y="752272"/>
                                </a:lnTo>
                                <a:lnTo>
                                  <a:pt x="807700" y="725050"/>
                                </a:lnTo>
                                <a:lnTo>
                                  <a:pt x="846016" y="695485"/>
                                </a:lnTo>
                                <a:lnTo>
                                  <a:pt x="883196" y="663592"/>
                                </a:lnTo>
                                <a:lnTo>
                                  <a:pt x="919175" y="629386"/>
                                </a:lnTo>
                                <a:lnTo>
                                  <a:pt x="289788" y="0"/>
                                </a:lnTo>
                                <a:close/>
                              </a:path>
                            </a:pathLst>
                          </a:custGeom>
                          <a:solidFill>
                            <a:srgbClr val="231F20"/>
                          </a:solidFill>
                        </wps:spPr>
                        <wps:bodyPr wrap="square" lIns="0" tIns="0" rIns="0" bIns="0" rtlCol="0">
                          <a:prstTxWarp prst="textNoShape">
                            <a:avLst/>
                          </a:prstTxWarp>
                          <a:noAutofit/>
                        </wps:bodyPr>
                      </wps:wsp>
                      <wps:wsp>
                        <wps:cNvPr id="2048" name="Graphic 2048"/>
                        <wps:cNvSpPr/>
                        <wps:spPr>
                          <a:xfrm>
                            <a:off x="0" y="0"/>
                            <a:ext cx="2256155" cy="2302510"/>
                          </a:xfrm>
                          <a:custGeom>
                            <a:avLst/>
                            <a:gdLst/>
                            <a:ahLst/>
                            <a:cxnLst/>
                            <a:rect l="l" t="t" r="r" b="b"/>
                            <a:pathLst>
                              <a:path w="2256155" h="2302510">
                                <a:moveTo>
                                  <a:pt x="562978" y="0"/>
                                </a:moveTo>
                                <a:lnTo>
                                  <a:pt x="76200" y="0"/>
                                </a:lnTo>
                                <a:lnTo>
                                  <a:pt x="47205" y="3060"/>
                                </a:lnTo>
                                <a:lnTo>
                                  <a:pt x="22910" y="14516"/>
                                </a:lnTo>
                                <a:lnTo>
                                  <a:pt x="6210" y="37757"/>
                                </a:lnTo>
                                <a:lnTo>
                                  <a:pt x="0" y="76200"/>
                                </a:lnTo>
                                <a:lnTo>
                                  <a:pt x="0" y="231775"/>
                                </a:lnTo>
                                <a:lnTo>
                                  <a:pt x="562978" y="231775"/>
                                </a:lnTo>
                                <a:lnTo>
                                  <a:pt x="562978" y="0"/>
                                </a:lnTo>
                                <a:close/>
                              </a:path>
                              <a:path w="2256155" h="2302510">
                                <a:moveTo>
                                  <a:pt x="2255609" y="1672882"/>
                                </a:moveTo>
                                <a:lnTo>
                                  <a:pt x="2254300" y="1624050"/>
                                </a:lnTo>
                                <a:lnTo>
                                  <a:pt x="2250389" y="1575904"/>
                                </a:lnTo>
                                <a:lnTo>
                                  <a:pt x="2243963" y="1528508"/>
                                </a:lnTo>
                                <a:lnTo>
                                  <a:pt x="2235085" y="1481937"/>
                                </a:lnTo>
                                <a:lnTo>
                                  <a:pt x="2223820" y="1436268"/>
                                </a:lnTo>
                                <a:lnTo>
                                  <a:pt x="2210231" y="1391551"/>
                                </a:lnTo>
                                <a:lnTo>
                                  <a:pt x="2194407" y="1347863"/>
                                </a:lnTo>
                                <a:lnTo>
                                  <a:pt x="2176386" y="1305267"/>
                                </a:lnTo>
                                <a:lnTo>
                                  <a:pt x="2156256" y="1263840"/>
                                </a:lnTo>
                                <a:lnTo>
                                  <a:pt x="2134095" y="1223645"/>
                                </a:lnTo>
                                <a:lnTo>
                                  <a:pt x="2109940" y="1184744"/>
                                </a:lnTo>
                                <a:lnTo>
                                  <a:pt x="2083879" y="1147203"/>
                                </a:lnTo>
                                <a:lnTo>
                                  <a:pt x="2055977" y="1111110"/>
                                </a:lnTo>
                                <a:lnTo>
                                  <a:pt x="2026297" y="1076515"/>
                                </a:lnTo>
                                <a:lnTo>
                                  <a:pt x="1994916" y="1043495"/>
                                </a:lnTo>
                                <a:lnTo>
                                  <a:pt x="1961883" y="1012113"/>
                                </a:lnTo>
                                <a:lnTo>
                                  <a:pt x="1927288" y="982433"/>
                                </a:lnTo>
                                <a:lnTo>
                                  <a:pt x="1891195" y="954532"/>
                                </a:lnTo>
                                <a:lnTo>
                                  <a:pt x="1853666" y="928471"/>
                                </a:lnTo>
                                <a:lnTo>
                                  <a:pt x="1814766" y="904316"/>
                                </a:lnTo>
                                <a:lnTo>
                                  <a:pt x="1774571" y="882142"/>
                                </a:lnTo>
                                <a:lnTo>
                                  <a:pt x="1733143" y="862012"/>
                                </a:lnTo>
                                <a:lnTo>
                                  <a:pt x="1690547" y="844003"/>
                                </a:lnTo>
                                <a:lnTo>
                                  <a:pt x="1646859" y="828167"/>
                                </a:lnTo>
                                <a:lnTo>
                                  <a:pt x="1602143" y="814590"/>
                                </a:lnTo>
                                <a:lnTo>
                                  <a:pt x="1556461" y="803325"/>
                                </a:lnTo>
                                <a:lnTo>
                                  <a:pt x="1509903" y="794435"/>
                                </a:lnTo>
                                <a:lnTo>
                                  <a:pt x="1462506" y="788009"/>
                                </a:lnTo>
                                <a:lnTo>
                                  <a:pt x="1414360" y="784110"/>
                                </a:lnTo>
                                <a:lnTo>
                                  <a:pt x="1365516" y="782789"/>
                                </a:lnTo>
                                <a:lnTo>
                                  <a:pt x="1365516" y="1672882"/>
                                </a:lnTo>
                                <a:lnTo>
                                  <a:pt x="1994903" y="2302268"/>
                                </a:lnTo>
                                <a:lnTo>
                                  <a:pt x="2031072" y="2264245"/>
                                </a:lnTo>
                                <a:lnTo>
                                  <a:pt x="2064512" y="2225243"/>
                                </a:lnTo>
                                <a:lnTo>
                                  <a:pt x="2095220" y="2185251"/>
                                </a:lnTo>
                                <a:lnTo>
                                  <a:pt x="2123211" y="2144217"/>
                                </a:lnTo>
                                <a:lnTo>
                                  <a:pt x="2148484" y="2102154"/>
                                </a:lnTo>
                                <a:lnTo>
                                  <a:pt x="2171065" y="2059012"/>
                                </a:lnTo>
                                <a:lnTo>
                                  <a:pt x="2190966" y="2014791"/>
                                </a:lnTo>
                                <a:lnTo>
                                  <a:pt x="2208161" y="1969452"/>
                                </a:lnTo>
                                <a:lnTo>
                                  <a:pt x="2222703" y="1922983"/>
                                </a:lnTo>
                                <a:lnTo>
                                  <a:pt x="2234577" y="1875358"/>
                                </a:lnTo>
                                <a:lnTo>
                                  <a:pt x="2243798" y="1826564"/>
                                </a:lnTo>
                                <a:lnTo>
                                  <a:pt x="2250363" y="1776564"/>
                                </a:lnTo>
                                <a:lnTo>
                                  <a:pt x="2254300" y="1725345"/>
                                </a:lnTo>
                                <a:lnTo>
                                  <a:pt x="2255609" y="1672882"/>
                                </a:lnTo>
                                <a:close/>
                              </a:path>
                            </a:pathLst>
                          </a:custGeom>
                          <a:solidFill>
                            <a:srgbClr val="008FDD"/>
                          </a:solidFill>
                        </wps:spPr>
                        <wps:bodyPr wrap="square" lIns="0" tIns="0" rIns="0" bIns="0" rtlCol="0">
                          <a:prstTxWarp prst="textNoShape">
                            <a:avLst/>
                          </a:prstTxWarp>
                          <a:noAutofit/>
                        </wps:bodyPr>
                      </wps:wsp>
                      <wps:wsp>
                        <wps:cNvPr id="2049" name="Graphic 2049"/>
                        <wps:cNvSpPr/>
                        <wps:spPr>
                          <a:xfrm>
                            <a:off x="562978" y="0"/>
                            <a:ext cx="4313555" cy="231775"/>
                          </a:xfrm>
                          <a:custGeom>
                            <a:avLst/>
                            <a:gdLst/>
                            <a:ahLst/>
                            <a:cxnLst/>
                            <a:rect l="l" t="t" r="r" b="b"/>
                            <a:pathLst>
                              <a:path w="4313555" h="231775">
                                <a:moveTo>
                                  <a:pt x="4237126" y="0"/>
                                </a:moveTo>
                                <a:lnTo>
                                  <a:pt x="0" y="0"/>
                                </a:lnTo>
                                <a:lnTo>
                                  <a:pt x="0" y="231775"/>
                                </a:lnTo>
                                <a:lnTo>
                                  <a:pt x="4313326" y="231775"/>
                                </a:lnTo>
                                <a:lnTo>
                                  <a:pt x="4313326" y="76200"/>
                                </a:lnTo>
                                <a:lnTo>
                                  <a:pt x="4307820" y="50979"/>
                                </a:lnTo>
                                <a:lnTo>
                                  <a:pt x="4292295" y="26265"/>
                                </a:lnTo>
                                <a:lnTo>
                                  <a:pt x="4268235" y="7468"/>
                                </a:lnTo>
                                <a:lnTo>
                                  <a:pt x="4237126" y="0"/>
                                </a:lnTo>
                                <a:close/>
                              </a:path>
                            </a:pathLst>
                          </a:custGeom>
                          <a:solidFill>
                            <a:srgbClr val="808285"/>
                          </a:solidFill>
                        </wps:spPr>
                        <wps:bodyPr wrap="square" lIns="0" tIns="0" rIns="0" bIns="0" rtlCol="0">
                          <a:prstTxWarp prst="textNoShape">
                            <a:avLst/>
                          </a:prstTxWarp>
                          <a:noAutofit/>
                        </wps:bodyPr>
                      </wps:wsp>
                      <wps:wsp>
                        <wps:cNvPr id="2050" name="Graphic 2050"/>
                        <wps:cNvSpPr/>
                        <wps:spPr>
                          <a:xfrm>
                            <a:off x="562979"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wps:wsp>
                        <wps:cNvPr id="2051" name="Textbox 2051"/>
                        <wps:cNvSpPr txBox="1"/>
                        <wps:spPr>
                          <a:xfrm>
                            <a:off x="76380" y="66855"/>
                            <a:ext cx="3710304" cy="121920"/>
                          </a:xfrm>
                          <a:prstGeom prst="rect">
                            <a:avLst/>
                          </a:prstGeom>
                        </wps:spPr>
                        <wps:txbx>
                          <w:txbxContent>
                            <w:p>
                              <w:pPr>
                                <w:spacing w:before="3"/>
                                <w:ind w:left="0" w:right="0" w:firstLine="0"/>
                                <w:jc w:val="left"/>
                                <w:rPr>
                                  <w:rFonts w:ascii="Arial"/>
                                  <w:b/>
                                  <w:sz w:val="16"/>
                                </w:rPr>
                              </w:pPr>
                              <w:r>
                                <w:rPr>
                                  <w:rFonts w:ascii="Arial"/>
                                  <w:color w:val="FFFFFF"/>
                                  <w:sz w:val="16"/>
                                </w:rPr>
                                <w:t>Figure</w:t>
                              </w:r>
                              <w:r>
                                <w:rPr>
                                  <w:rFonts w:ascii="Arial"/>
                                  <w:color w:val="FFFFFF"/>
                                  <w:spacing w:val="5"/>
                                  <w:sz w:val="16"/>
                                </w:rPr>
                                <w:t> </w:t>
                              </w:r>
                              <w:r>
                                <w:rPr>
                                  <w:rFonts w:ascii="Arial"/>
                                  <w:b/>
                                  <w:color w:val="FFFFFF"/>
                                  <w:sz w:val="16"/>
                                </w:rPr>
                                <w:t>A7.1</w:t>
                              </w:r>
                              <w:r>
                                <w:rPr>
                                  <w:rFonts w:ascii="Arial"/>
                                  <w:b/>
                                  <w:color w:val="FFFFFF"/>
                                  <w:spacing w:val="74"/>
                                  <w:w w:val="150"/>
                                  <w:sz w:val="16"/>
                                </w:rPr>
                                <w:t> </w:t>
                              </w:r>
                              <w:r>
                                <w:rPr>
                                  <w:rFonts w:ascii="Arial"/>
                                  <w:b/>
                                  <w:color w:val="FFFFFF"/>
                                  <w:sz w:val="16"/>
                                </w:rPr>
                                <w:t>Number</w:t>
                              </w:r>
                              <w:r>
                                <w:rPr>
                                  <w:rFonts w:ascii="Arial"/>
                                  <w:b/>
                                  <w:color w:val="FFFFFF"/>
                                  <w:spacing w:val="5"/>
                                  <w:sz w:val="16"/>
                                </w:rPr>
                                <w:t> </w:t>
                              </w:r>
                              <w:r>
                                <w:rPr>
                                  <w:rFonts w:ascii="Arial"/>
                                  <w:b/>
                                  <w:color w:val="FFFFFF"/>
                                  <w:sz w:val="16"/>
                                </w:rPr>
                                <w:t>of</w:t>
                              </w:r>
                              <w:r>
                                <w:rPr>
                                  <w:rFonts w:ascii="Arial"/>
                                  <w:b/>
                                  <w:color w:val="FFFFFF"/>
                                  <w:spacing w:val="5"/>
                                  <w:sz w:val="16"/>
                                </w:rPr>
                                <w:t> </w:t>
                              </w:r>
                              <w:r>
                                <w:rPr>
                                  <w:rFonts w:ascii="Arial"/>
                                  <w:b/>
                                  <w:color w:val="FFFFFF"/>
                                  <w:sz w:val="16"/>
                                </w:rPr>
                                <w:t>respondents</w:t>
                              </w:r>
                              <w:r>
                                <w:rPr>
                                  <w:rFonts w:ascii="Arial"/>
                                  <w:b/>
                                  <w:color w:val="FFFFFF"/>
                                  <w:spacing w:val="6"/>
                                  <w:sz w:val="16"/>
                                </w:rPr>
                                <w:t> </w:t>
                              </w:r>
                              <w:r>
                                <w:rPr>
                                  <w:rFonts w:ascii="Arial"/>
                                  <w:b/>
                                  <w:color w:val="FFFFFF"/>
                                  <w:sz w:val="16"/>
                                </w:rPr>
                                <w:t>by</w:t>
                              </w:r>
                              <w:r>
                                <w:rPr>
                                  <w:rFonts w:ascii="Arial"/>
                                  <w:b/>
                                  <w:color w:val="FFFFFF"/>
                                  <w:spacing w:val="5"/>
                                  <w:sz w:val="16"/>
                                </w:rPr>
                                <w:t> </w:t>
                              </w:r>
                              <w:r>
                                <w:rPr>
                                  <w:rFonts w:ascii="Arial"/>
                                  <w:b/>
                                  <w:color w:val="FFFFFF"/>
                                  <w:sz w:val="16"/>
                                </w:rPr>
                                <w:t>location</w:t>
                              </w:r>
                              <w:r>
                                <w:rPr>
                                  <w:rFonts w:ascii="Arial"/>
                                  <w:b/>
                                  <w:color w:val="FFFFFF"/>
                                  <w:spacing w:val="5"/>
                                  <w:sz w:val="16"/>
                                </w:rPr>
                                <w:t> </w:t>
                              </w:r>
                              <w:r>
                                <w:rPr>
                                  <w:rFonts w:ascii="Arial"/>
                                  <w:b/>
                                  <w:color w:val="FFFFFF"/>
                                  <w:sz w:val="16"/>
                                </w:rPr>
                                <w:t>and</w:t>
                              </w:r>
                              <w:r>
                                <w:rPr>
                                  <w:rFonts w:ascii="Arial"/>
                                  <w:b/>
                                  <w:color w:val="FFFFFF"/>
                                  <w:spacing w:val="6"/>
                                  <w:sz w:val="16"/>
                                </w:rPr>
                                <w:t> </w:t>
                              </w:r>
                              <w:r>
                                <w:rPr>
                                  <w:rFonts w:ascii="Arial"/>
                                  <w:b/>
                                  <w:color w:val="FFFFFF"/>
                                  <w:sz w:val="16"/>
                                </w:rPr>
                                <w:t>country</w:t>
                              </w:r>
                              <w:r>
                                <w:rPr>
                                  <w:rFonts w:ascii="Arial"/>
                                  <w:b/>
                                  <w:color w:val="FFFFFF"/>
                                  <w:spacing w:val="5"/>
                                  <w:sz w:val="16"/>
                                </w:rPr>
                                <w:t> </w:t>
                              </w:r>
                              <w:r>
                                <w:rPr>
                                  <w:rFonts w:ascii="Arial"/>
                                  <w:b/>
                                  <w:color w:val="FFFFFF"/>
                                  <w:sz w:val="16"/>
                                </w:rPr>
                                <w:t>income</w:t>
                              </w:r>
                              <w:r>
                                <w:rPr>
                                  <w:rFonts w:ascii="Arial"/>
                                  <w:b/>
                                  <w:color w:val="FFFFFF"/>
                                  <w:spacing w:val="6"/>
                                  <w:sz w:val="16"/>
                                </w:rPr>
                                <w:t> </w:t>
                              </w:r>
                              <w:r>
                                <w:rPr>
                                  <w:rFonts w:ascii="Arial"/>
                                  <w:b/>
                                  <w:color w:val="FFFFFF"/>
                                  <w:spacing w:val="-2"/>
                                  <w:sz w:val="16"/>
                                </w:rPr>
                                <w:t>group</w:t>
                              </w:r>
                            </w:p>
                          </w:txbxContent>
                        </wps:txbx>
                        <wps:bodyPr wrap="square" lIns="0" tIns="0" rIns="0" bIns="0" rtlCol="0">
                          <a:noAutofit/>
                        </wps:bodyPr>
                      </wps:wsp>
                      <wps:wsp>
                        <wps:cNvPr id="2052" name="Textbox 2052"/>
                        <wps:cNvSpPr txBox="1"/>
                        <wps:spPr>
                          <a:xfrm>
                            <a:off x="1169007" y="357051"/>
                            <a:ext cx="405765" cy="105410"/>
                          </a:xfrm>
                          <a:prstGeom prst="rect">
                            <a:avLst/>
                          </a:prstGeom>
                        </wps:spPr>
                        <wps:txbx>
                          <w:txbxContent>
                            <w:p>
                              <w:pPr>
                                <w:spacing w:before="3"/>
                                <w:ind w:left="0" w:right="0" w:firstLine="0"/>
                                <w:jc w:val="left"/>
                                <w:rPr>
                                  <w:rFonts w:ascii="Arial"/>
                                  <w:b/>
                                  <w:sz w:val="14"/>
                                </w:rPr>
                              </w:pPr>
                              <w:r>
                                <w:rPr>
                                  <w:rFonts w:ascii="Arial"/>
                                  <w:b/>
                                  <w:color w:val="231F20"/>
                                  <w:w w:val="80"/>
                                  <w:sz w:val="14"/>
                                </w:rPr>
                                <w:t>By</w:t>
                              </w:r>
                              <w:r>
                                <w:rPr>
                                  <w:rFonts w:ascii="Arial"/>
                                  <w:b/>
                                  <w:color w:val="231F20"/>
                                  <w:spacing w:val="-2"/>
                                  <w:w w:val="80"/>
                                  <w:sz w:val="14"/>
                                </w:rPr>
                                <w:t> </w:t>
                              </w:r>
                              <w:r>
                                <w:rPr>
                                  <w:rFonts w:ascii="Arial"/>
                                  <w:b/>
                                  <w:color w:val="231F20"/>
                                  <w:spacing w:val="-2"/>
                                  <w:w w:val="85"/>
                                  <w:sz w:val="14"/>
                                </w:rPr>
                                <w:t>location</w:t>
                              </w:r>
                            </w:p>
                          </w:txbxContent>
                        </wps:txbx>
                        <wps:bodyPr wrap="square" lIns="0" tIns="0" rIns="0" bIns="0" rtlCol="0">
                          <a:noAutofit/>
                        </wps:bodyPr>
                      </wps:wsp>
                      <wps:wsp>
                        <wps:cNvPr id="2053" name="Textbox 2053"/>
                        <wps:cNvSpPr txBox="1"/>
                        <wps:spPr>
                          <a:xfrm>
                            <a:off x="3252289" y="357051"/>
                            <a:ext cx="899160" cy="105410"/>
                          </a:xfrm>
                          <a:prstGeom prst="rect">
                            <a:avLst/>
                          </a:prstGeom>
                        </wps:spPr>
                        <wps:txbx>
                          <w:txbxContent>
                            <w:p>
                              <w:pPr>
                                <w:spacing w:before="3"/>
                                <w:ind w:left="0" w:right="0" w:firstLine="0"/>
                                <w:jc w:val="left"/>
                                <w:rPr>
                                  <w:rFonts w:ascii="Arial"/>
                                  <w:b/>
                                  <w:sz w:val="14"/>
                                </w:rPr>
                              </w:pPr>
                              <w:r>
                                <w:rPr>
                                  <w:rFonts w:ascii="Arial"/>
                                  <w:b/>
                                  <w:color w:val="231F20"/>
                                  <w:w w:val="80"/>
                                  <w:sz w:val="14"/>
                                </w:rPr>
                                <w:t>By</w:t>
                              </w:r>
                              <w:r>
                                <w:rPr>
                                  <w:rFonts w:ascii="Arial"/>
                                  <w:b/>
                                  <w:color w:val="231F20"/>
                                  <w:spacing w:val="-3"/>
                                  <w:sz w:val="14"/>
                                </w:rPr>
                                <w:t> </w:t>
                              </w:r>
                              <w:r>
                                <w:rPr>
                                  <w:rFonts w:ascii="Arial"/>
                                  <w:b/>
                                  <w:color w:val="231F20"/>
                                  <w:w w:val="80"/>
                                  <w:sz w:val="14"/>
                                </w:rPr>
                                <w:t>country</w:t>
                              </w:r>
                              <w:r>
                                <w:rPr>
                                  <w:rFonts w:ascii="Arial"/>
                                  <w:b/>
                                  <w:color w:val="231F20"/>
                                  <w:spacing w:val="-1"/>
                                  <w:sz w:val="14"/>
                                </w:rPr>
                                <w:t> </w:t>
                              </w:r>
                              <w:r>
                                <w:rPr>
                                  <w:rFonts w:ascii="Arial"/>
                                  <w:b/>
                                  <w:color w:val="231F20"/>
                                  <w:w w:val="80"/>
                                  <w:sz w:val="14"/>
                                </w:rPr>
                                <w:t>income</w:t>
                              </w:r>
                              <w:r>
                                <w:rPr>
                                  <w:rFonts w:ascii="Arial"/>
                                  <w:b/>
                                  <w:color w:val="231F20"/>
                                  <w:sz w:val="14"/>
                                </w:rPr>
                                <w:t> </w:t>
                              </w:r>
                              <w:r>
                                <w:rPr>
                                  <w:rFonts w:ascii="Arial"/>
                                  <w:b/>
                                  <w:color w:val="231F20"/>
                                  <w:spacing w:val="-2"/>
                                  <w:w w:val="80"/>
                                  <w:sz w:val="14"/>
                                </w:rPr>
                                <w:t>group</w:t>
                              </w:r>
                            </w:p>
                          </w:txbxContent>
                        </wps:txbx>
                        <wps:bodyPr wrap="square" lIns="0" tIns="0" rIns="0" bIns="0" rtlCol="0">
                          <a:noAutofit/>
                        </wps:bodyPr>
                      </wps:wsp>
                      <wps:wsp>
                        <wps:cNvPr id="2054" name="Textbox 2054"/>
                        <wps:cNvSpPr txBox="1"/>
                        <wps:spPr>
                          <a:xfrm>
                            <a:off x="147546" y="594147"/>
                            <a:ext cx="930910" cy="681355"/>
                          </a:xfrm>
                          <a:prstGeom prst="rect">
                            <a:avLst/>
                          </a:prstGeom>
                        </wps:spPr>
                        <wps:txbx>
                          <w:txbxContent>
                            <w:p>
                              <w:pPr>
                                <w:spacing w:before="2"/>
                                <w:ind w:left="686" w:right="0" w:firstLine="0"/>
                                <w:jc w:val="center"/>
                                <w:rPr>
                                  <w:rFonts w:ascii="Arial"/>
                                  <w:sz w:val="14"/>
                                </w:rPr>
                              </w:pPr>
                              <w:r>
                                <w:rPr>
                                  <w:rFonts w:ascii="Arial"/>
                                  <w:color w:val="231F20"/>
                                  <w:w w:val="85"/>
                                  <w:sz w:val="14"/>
                                </w:rPr>
                                <w:t>Middle</w:t>
                              </w:r>
                              <w:r>
                                <w:rPr>
                                  <w:rFonts w:ascii="Arial"/>
                                  <w:color w:val="231F20"/>
                                  <w:spacing w:val="-4"/>
                                  <w:w w:val="85"/>
                                  <w:sz w:val="14"/>
                                </w:rPr>
                                <w:t> </w:t>
                              </w:r>
                              <w:r>
                                <w:rPr>
                                  <w:rFonts w:ascii="Arial"/>
                                  <w:color w:val="231F20"/>
                                  <w:w w:val="85"/>
                                  <w:sz w:val="14"/>
                                </w:rPr>
                                <w:t>East</w:t>
                              </w:r>
                              <w:r>
                                <w:rPr>
                                  <w:rFonts w:ascii="Arial"/>
                                  <w:color w:val="231F20"/>
                                  <w:spacing w:val="-4"/>
                                  <w:w w:val="85"/>
                                  <w:sz w:val="14"/>
                                </w:rPr>
                                <w:t> </w:t>
                              </w:r>
                              <w:r>
                                <w:rPr>
                                  <w:rFonts w:ascii="Arial"/>
                                  <w:color w:val="231F20"/>
                                  <w:w w:val="85"/>
                                  <w:sz w:val="14"/>
                                </w:rPr>
                                <w:t>&amp;</w:t>
                              </w:r>
                              <w:r>
                                <w:rPr>
                                  <w:rFonts w:ascii="Arial"/>
                                  <w:color w:val="231F20"/>
                                  <w:spacing w:val="40"/>
                                  <w:sz w:val="14"/>
                                </w:rPr>
                                <w:t> </w:t>
                              </w:r>
                              <w:r>
                                <w:rPr>
                                  <w:rFonts w:ascii="Arial"/>
                                  <w:color w:val="231F20"/>
                                  <w:sz w:val="14"/>
                                </w:rPr>
                                <w:t>North</w:t>
                              </w:r>
                              <w:r>
                                <w:rPr>
                                  <w:rFonts w:ascii="Arial"/>
                                  <w:color w:val="231F20"/>
                                  <w:spacing w:val="-12"/>
                                  <w:sz w:val="14"/>
                                </w:rPr>
                                <w:t> </w:t>
                              </w:r>
                              <w:r>
                                <w:rPr>
                                  <w:rFonts w:ascii="Arial"/>
                                  <w:color w:val="231F20"/>
                                  <w:sz w:val="14"/>
                                </w:rPr>
                                <w:t>Africa</w:t>
                              </w:r>
                              <w:r>
                                <w:rPr>
                                  <w:rFonts w:ascii="Arial"/>
                                  <w:color w:val="231F20"/>
                                  <w:spacing w:val="40"/>
                                  <w:sz w:val="14"/>
                                </w:rPr>
                                <w:t> </w:t>
                              </w:r>
                              <w:r>
                                <w:rPr>
                                  <w:rFonts w:ascii="Arial"/>
                                  <w:color w:val="231F20"/>
                                  <w:spacing w:val="-6"/>
                                  <w:sz w:val="14"/>
                                </w:rPr>
                                <w:t>9%</w:t>
                              </w:r>
                            </w:p>
                            <w:p>
                              <w:pPr>
                                <w:spacing w:before="104"/>
                                <w:ind w:left="-1" w:right="727" w:firstLine="0"/>
                                <w:jc w:val="center"/>
                                <w:rPr>
                                  <w:rFonts w:ascii="Arial"/>
                                  <w:sz w:val="14"/>
                                </w:rPr>
                              </w:pPr>
                              <w:r>
                                <w:rPr>
                                  <w:rFonts w:ascii="Arial"/>
                                  <w:color w:val="231F20"/>
                                  <w:w w:val="85"/>
                                  <w:sz w:val="14"/>
                                </w:rPr>
                                <w:t>Latin</w:t>
                              </w:r>
                              <w:r>
                                <w:rPr>
                                  <w:rFonts w:ascii="Arial"/>
                                  <w:color w:val="231F20"/>
                                  <w:spacing w:val="-6"/>
                                  <w:w w:val="85"/>
                                  <w:sz w:val="14"/>
                                </w:rPr>
                                <w:t> </w:t>
                              </w:r>
                              <w:r>
                                <w:rPr>
                                  <w:rFonts w:ascii="Arial"/>
                                  <w:color w:val="231F20"/>
                                  <w:w w:val="85"/>
                                  <w:sz w:val="14"/>
                                </w:rPr>
                                <w:t>America</w:t>
                              </w:r>
                              <w:r>
                                <w:rPr>
                                  <w:rFonts w:ascii="Arial"/>
                                  <w:color w:val="231F20"/>
                                  <w:spacing w:val="40"/>
                                  <w:sz w:val="14"/>
                                </w:rPr>
                                <w:t> </w:t>
                              </w:r>
                              <w:r>
                                <w:rPr>
                                  <w:rFonts w:ascii="Arial"/>
                                  <w:color w:val="231F20"/>
                                  <w:spacing w:val="-6"/>
                                  <w:sz w:val="14"/>
                                </w:rPr>
                                <w:t>&amp;</w:t>
                              </w:r>
                              <w:r>
                                <w:rPr>
                                  <w:rFonts w:ascii="Arial"/>
                                  <w:color w:val="231F20"/>
                                  <w:spacing w:val="-8"/>
                                  <w:sz w:val="14"/>
                                </w:rPr>
                                <w:t> </w:t>
                              </w:r>
                              <w:r>
                                <w:rPr>
                                  <w:rFonts w:ascii="Arial"/>
                                  <w:color w:val="231F20"/>
                                  <w:spacing w:val="-6"/>
                                  <w:sz w:val="14"/>
                                </w:rPr>
                                <w:t>Caribbean</w:t>
                              </w:r>
                              <w:r>
                                <w:rPr>
                                  <w:rFonts w:ascii="Arial"/>
                                  <w:color w:val="231F20"/>
                                  <w:spacing w:val="40"/>
                                  <w:sz w:val="14"/>
                                </w:rPr>
                                <w:t> </w:t>
                              </w:r>
                              <w:r>
                                <w:rPr>
                                  <w:rFonts w:ascii="Arial"/>
                                  <w:color w:val="231F20"/>
                                  <w:spacing w:val="-6"/>
                                  <w:sz w:val="14"/>
                                </w:rPr>
                                <w:t>9%</w:t>
                              </w:r>
                            </w:p>
                          </w:txbxContent>
                        </wps:txbx>
                        <wps:bodyPr wrap="square" lIns="0" tIns="0" rIns="0" bIns="0" rtlCol="0">
                          <a:noAutofit/>
                        </wps:bodyPr>
                      </wps:wsp>
                      <wps:wsp>
                        <wps:cNvPr id="2055" name="Textbox 2055"/>
                        <wps:cNvSpPr txBox="1"/>
                        <wps:spPr>
                          <a:xfrm>
                            <a:off x="1226880" y="559654"/>
                            <a:ext cx="500380" cy="205740"/>
                          </a:xfrm>
                          <a:prstGeom prst="rect">
                            <a:avLst/>
                          </a:prstGeom>
                        </wps:spPr>
                        <wps:txbx>
                          <w:txbxContent>
                            <w:p>
                              <w:pPr>
                                <w:spacing w:before="1"/>
                                <w:ind w:left="0" w:right="13" w:firstLine="0"/>
                                <w:jc w:val="left"/>
                                <w:rPr>
                                  <w:rFonts w:ascii="Arial"/>
                                  <w:sz w:val="14"/>
                                </w:rPr>
                              </w:pPr>
                              <w:r>
                                <w:rPr>
                                  <w:rFonts w:ascii="Arial"/>
                                  <w:color w:val="231F20"/>
                                  <w:w w:val="85"/>
                                  <w:sz w:val="14"/>
                                </w:rPr>
                                <w:t>North</w:t>
                              </w:r>
                              <w:r>
                                <w:rPr>
                                  <w:rFonts w:ascii="Arial"/>
                                  <w:color w:val="231F20"/>
                                  <w:spacing w:val="-6"/>
                                  <w:w w:val="85"/>
                                  <w:sz w:val="14"/>
                                </w:rPr>
                                <w:t> </w:t>
                              </w:r>
                              <w:r>
                                <w:rPr>
                                  <w:rFonts w:ascii="Arial"/>
                                  <w:color w:val="231F20"/>
                                  <w:w w:val="85"/>
                                  <w:sz w:val="14"/>
                                </w:rPr>
                                <w:t>America</w:t>
                              </w:r>
                              <w:r>
                                <w:rPr>
                                  <w:rFonts w:ascii="Arial"/>
                                  <w:color w:val="231F20"/>
                                  <w:spacing w:val="40"/>
                                  <w:sz w:val="14"/>
                                </w:rPr>
                                <w:t> </w:t>
                              </w:r>
                              <w:r>
                                <w:rPr>
                                  <w:rFonts w:ascii="Arial"/>
                                  <w:color w:val="231F20"/>
                                  <w:spacing w:val="-6"/>
                                  <w:w w:val="95"/>
                                  <w:sz w:val="14"/>
                                </w:rPr>
                                <w:t>3%</w:t>
                              </w:r>
                            </w:p>
                          </w:txbxContent>
                        </wps:txbx>
                        <wps:bodyPr wrap="square" lIns="0" tIns="0" rIns="0" bIns="0" rtlCol="0">
                          <a:noAutofit/>
                        </wps:bodyPr>
                      </wps:wsp>
                      <wps:wsp>
                        <wps:cNvPr id="2056" name="Textbox 2056"/>
                        <wps:cNvSpPr txBox="1"/>
                        <wps:spPr>
                          <a:xfrm>
                            <a:off x="3216107" y="577968"/>
                            <a:ext cx="425450" cy="205740"/>
                          </a:xfrm>
                          <a:prstGeom prst="rect">
                            <a:avLst/>
                          </a:prstGeom>
                        </wps:spPr>
                        <wps:txbx>
                          <w:txbxContent>
                            <w:p>
                              <w:pPr>
                                <w:spacing w:line="161" w:lineRule="exact" w:before="2"/>
                                <w:ind w:left="0" w:right="18" w:firstLine="0"/>
                                <w:jc w:val="right"/>
                                <w:rPr>
                                  <w:rFonts w:ascii="Arial"/>
                                  <w:sz w:val="14"/>
                                </w:rPr>
                              </w:pPr>
                              <w:r>
                                <w:rPr>
                                  <w:rFonts w:ascii="Arial"/>
                                  <w:color w:val="231F20"/>
                                  <w:w w:val="85"/>
                                  <w:sz w:val="14"/>
                                </w:rPr>
                                <w:t>Low</w:t>
                              </w:r>
                              <w:r>
                                <w:rPr>
                                  <w:rFonts w:ascii="Arial"/>
                                  <w:color w:val="231F20"/>
                                  <w:spacing w:val="-1"/>
                                  <w:w w:val="90"/>
                                  <w:sz w:val="14"/>
                                </w:rPr>
                                <w:t> </w:t>
                              </w:r>
                              <w:r>
                                <w:rPr>
                                  <w:rFonts w:ascii="Arial"/>
                                  <w:color w:val="231F20"/>
                                  <w:spacing w:val="-4"/>
                                  <w:w w:val="90"/>
                                  <w:sz w:val="14"/>
                                </w:rPr>
                                <w:t>income</w:t>
                              </w:r>
                            </w:p>
                            <w:p>
                              <w:pPr>
                                <w:spacing w:line="161" w:lineRule="exact" w:before="0"/>
                                <w:ind w:left="0" w:right="18" w:firstLine="0"/>
                                <w:jc w:val="right"/>
                                <w:rPr>
                                  <w:rFonts w:ascii="Arial"/>
                                  <w:sz w:val="14"/>
                                </w:rPr>
                              </w:pPr>
                              <w:r>
                                <w:rPr>
                                  <w:rFonts w:ascii="Arial"/>
                                  <w:color w:val="231F20"/>
                                  <w:spacing w:val="-5"/>
                                  <w:sz w:val="14"/>
                                </w:rPr>
                                <w:t>4%</w:t>
                              </w:r>
                            </w:p>
                          </w:txbxContent>
                        </wps:txbx>
                        <wps:bodyPr wrap="square" lIns="0" tIns="0" rIns="0" bIns="0" rtlCol="0">
                          <a:noAutofit/>
                        </wps:bodyPr>
                      </wps:wsp>
                      <wps:wsp>
                        <wps:cNvPr id="2057" name="Textbox 2057"/>
                        <wps:cNvSpPr txBox="1"/>
                        <wps:spPr>
                          <a:xfrm>
                            <a:off x="557641" y="1629655"/>
                            <a:ext cx="373380" cy="205740"/>
                          </a:xfrm>
                          <a:prstGeom prst="rect">
                            <a:avLst/>
                          </a:prstGeom>
                        </wps:spPr>
                        <wps:txbx>
                          <w:txbxContent>
                            <w:p>
                              <w:pPr>
                                <w:spacing w:before="1"/>
                                <w:ind w:left="163" w:right="17" w:hanging="164"/>
                                <w:jc w:val="left"/>
                                <w:rPr>
                                  <w:rFonts w:ascii="Arial"/>
                                  <w:sz w:val="14"/>
                                </w:rPr>
                              </w:pPr>
                              <w:r>
                                <w:rPr>
                                  <w:rFonts w:ascii="Arial"/>
                                  <w:color w:val="231F20"/>
                                  <w:spacing w:val="-2"/>
                                  <w:w w:val="85"/>
                                  <w:sz w:val="14"/>
                                </w:rPr>
                                <w:t>South</w:t>
                              </w:r>
                              <w:r>
                                <w:rPr>
                                  <w:rFonts w:ascii="Arial"/>
                                  <w:color w:val="231F20"/>
                                  <w:spacing w:val="-6"/>
                                  <w:w w:val="85"/>
                                  <w:sz w:val="14"/>
                                </w:rPr>
                                <w:t> </w:t>
                              </w:r>
                              <w:r>
                                <w:rPr>
                                  <w:rFonts w:ascii="Arial"/>
                                  <w:color w:val="231F20"/>
                                  <w:spacing w:val="-2"/>
                                  <w:w w:val="85"/>
                                  <w:sz w:val="14"/>
                                </w:rPr>
                                <w:t>Asia</w:t>
                              </w:r>
                              <w:r>
                                <w:rPr>
                                  <w:rFonts w:ascii="Arial"/>
                                  <w:color w:val="231F20"/>
                                  <w:spacing w:val="40"/>
                                  <w:sz w:val="14"/>
                                </w:rPr>
                                <w:t> </w:t>
                              </w:r>
                              <w:r>
                                <w:rPr>
                                  <w:rFonts w:ascii="Arial"/>
                                  <w:color w:val="231F20"/>
                                  <w:spacing w:val="-4"/>
                                  <w:w w:val="95"/>
                                  <w:sz w:val="14"/>
                                </w:rPr>
                                <w:t>11%</w:t>
                              </w:r>
                            </w:p>
                          </w:txbxContent>
                        </wps:txbx>
                        <wps:bodyPr wrap="square" lIns="0" tIns="0" rIns="0" bIns="0" rtlCol="0">
                          <a:noAutofit/>
                        </wps:bodyPr>
                      </wps:wsp>
                      <wps:wsp>
                        <wps:cNvPr id="2058" name="Textbox 2058"/>
                        <wps:cNvSpPr txBox="1"/>
                        <wps:spPr>
                          <a:xfrm>
                            <a:off x="1616529" y="1370689"/>
                            <a:ext cx="419100" cy="307340"/>
                          </a:xfrm>
                          <a:prstGeom prst="rect">
                            <a:avLst/>
                          </a:prstGeom>
                        </wps:spPr>
                        <wps:txbx>
                          <w:txbxContent>
                            <w:p>
                              <w:pPr>
                                <w:spacing w:before="0"/>
                                <w:ind w:left="0" w:right="18" w:firstLine="0"/>
                                <w:jc w:val="center"/>
                                <w:rPr>
                                  <w:rFonts w:ascii="Arial"/>
                                  <w:sz w:val="14"/>
                                </w:rPr>
                              </w:pPr>
                              <w:r>
                                <w:rPr>
                                  <w:rFonts w:ascii="Arial"/>
                                  <w:color w:val="FFFFFF"/>
                                  <w:sz w:val="14"/>
                                </w:rPr>
                                <w:t>Europe</w:t>
                              </w:r>
                              <w:r>
                                <w:rPr>
                                  <w:rFonts w:ascii="Arial"/>
                                  <w:color w:val="FFFFFF"/>
                                  <w:spacing w:val="-10"/>
                                  <w:sz w:val="14"/>
                                </w:rPr>
                                <w:t> </w:t>
                              </w:r>
                              <w:r>
                                <w:rPr>
                                  <w:rFonts w:ascii="Arial"/>
                                  <w:color w:val="FFFFFF"/>
                                  <w:sz w:val="14"/>
                                </w:rPr>
                                <w:t>&amp;</w:t>
                              </w:r>
                              <w:r>
                                <w:rPr>
                                  <w:rFonts w:ascii="Arial"/>
                                  <w:color w:val="FFFFFF"/>
                                  <w:spacing w:val="40"/>
                                  <w:sz w:val="14"/>
                                </w:rPr>
                                <w:t> </w:t>
                              </w:r>
                              <w:r>
                                <w:rPr>
                                  <w:rFonts w:ascii="Arial"/>
                                  <w:color w:val="FFFFFF"/>
                                  <w:spacing w:val="-2"/>
                                  <w:w w:val="85"/>
                                  <w:sz w:val="14"/>
                                </w:rPr>
                                <w:t>Central</w:t>
                              </w:r>
                              <w:r>
                                <w:rPr>
                                  <w:rFonts w:ascii="Arial"/>
                                  <w:color w:val="FFFFFF"/>
                                  <w:spacing w:val="-6"/>
                                  <w:w w:val="85"/>
                                  <w:sz w:val="14"/>
                                </w:rPr>
                                <w:t> </w:t>
                              </w:r>
                              <w:r>
                                <w:rPr>
                                  <w:rFonts w:ascii="Arial"/>
                                  <w:color w:val="FFFFFF"/>
                                  <w:spacing w:val="-2"/>
                                  <w:w w:val="85"/>
                                  <w:sz w:val="14"/>
                                </w:rPr>
                                <w:t>Asia</w:t>
                              </w:r>
                              <w:r>
                                <w:rPr>
                                  <w:rFonts w:ascii="Arial"/>
                                  <w:color w:val="FFFFFF"/>
                                  <w:spacing w:val="40"/>
                                  <w:sz w:val="14"/>
                                </w:rPr>
                                <w:t> </w:t>
                              </w:r>
                              <w:r>
                                <w:rPr>
                                  <w:rFonts w:ascii="Arial"/>
                                  <w:color w:val="FFFFFF"/>
                                  <w:spacing w:val="-4"/>
                                  <w:sz w:val="14"/>
                                </w:rPr>
                                <w:t>38%</w:t>
                              </w:r>
                            </w:p>
                          </w:txbxContent>
                        </wps:txbx>
                        <wps:bodyPr wrap="square" lIns="0" tIns="0" rIns="0" bIns="0" rtlCol="0">
                          <a:noAutofit/>
                        </wps:bodyPr>
                      </wps:wsp>
                      <wps:wsp>
                        <wps:cNvPr id="2059" name="Textbox 2059"/>
                        <wps:cNvSpPr txBox="1"/>
                        <wps:spPr>
                          <a:xfrm>
                            <a:off x="2988523" y="1529553"/>
                            <a:ext cx="476250" cy="307340"/>
                          </a:xfrm>
                          <a:prstGeom prst="rect">
                            <a:avLst/>
                          </a:prstGeom>
                        </wps:spPr>
                        <wps:txbx>
                          <w:txbxContent>
                            <w:p>
                              <w:pPr>
                                <w:spacing w:before="0"/>
                                <w:ind w:left="167" w:right="0" w:hanging="168"/>
                                <w:jc w:val="left"/>
                                <w:rPr>
                                  <w:rFonts w:ascii="Arial"/>
                                  <w:sz w:val="14"/>
                                </w:rPr>
                              </w:pPr>
                              <w:r>
                                <w:rPr>
                                  <w:rFonts w:ascii="Arial"/>
                                  <w:color w:val="FFFFFF"/>
                                  <w:spacing w:val="-4"/>
                                  <w:w w:val="90"/>
                                  <w:sz w:val="14"/>
                                </w:rPr>
                                <w:t>Lower</w:t>
                              </w:r>
                              <w:r>
                                <w:rPr>
                                  <w:rFonts w:ascii="Arial"/>
                                  <w:color w:val="FFFFFF"/>
                                  <w:spacing w:val="-6"/>
                                  <w:sz w:val="14"/>
                                </w:rPr>
                                <w:t> </w:t>
                              </w:r>
                              <w:r>
                                <w:rPr>
                                  <w:rFonts w:ascii="Arial"/>
                                  <w:color w:val="FFFFFF"/>
                                  <w:spacing w:val="-4"/>
                                  <w:w w:val="90"/>
                                  <w:sz w:val="14"/>
                                </w:rPr>
                                <w:t>middle</w:t>
                              </w:r>
                              <w:r>
                                <w:rPr>
                                  <w:rFonts w:ascii="Arial"/>
                                  <w:color w:val="FFFFFF"/>
                                  <w:spacing w:val="40"/>
                                  <w:sz w:val="14"/>
                                </w:rPr>
                                <w:t> </w:t>
                              </w:r>
                              <w:r>
                                <w:rPr>
                                  <w:rFonts w:ascii="Arial"/>
                                  <w:color w:val="FFFFFF"/>
                                  <w:spacing w:val="-2"/>
                                  <w:sz w:val="14"/>
                                </w:rPr>
                                <w:t>income</w:t>
                              </w:r>
                              <w:r>
                                <w:rPr>
                                  <w:rFonts w:ascii="Arial"/>
                                  <w:color w:val="FFFFFF"/>
                                  <w:spacing w:val="40"/>
                                  <w:sz w:val="14"/>
                                </w:rPr>
                                <w:t> </w:t>
                              </w:r>
                              <w:r>
                                <w:rPr>
                                  <w:rFonts w:ascii="Arial"/>
                                  <w:color w:val="FFFFFF"/>
                                  <w:spacing w:val="-4"/>
                                  <w:sz w:val="14"/>
                                </w:rPr>
                                <w:t>39%</w:t>
                              </w:r>
                            </w:p>
                          </w:txbxContent>
                        </wps:txbx>
                        <wps:bodyPr wrap="square" lIns="0" tIns="0" rIns="0" bIns="0" rtlCol="0">
                          <a:noAutofit/>
                        </wps:bodyPr>
                      </wps:wsp>
                      <wps:wsp>
                        <wps:cNvPr id="2060" name="Textbox 2060"/>
                        <wps:cNvSpPr txBox="1"/>
                        <wps:spPr>
                          <a:xfrm>
                            <a:off x="3936553" y="1393714"/>
                            <a:ext cx="439420" cy="205740"/>
                          </a:xfrm>
                          <a:prstGeom prst="rect">
                            <a:avLst/>
                          </a:prstGeom>
                        </wps:spPr>
                        <wps:txbx>
                          <w:txbxContent>
                            <w:p>
                              <w:pPr>
                                <w:spacing w:before="1"/>
                                <w:ind w:left="215" w:right="15" w:hanging="216"/>
                                <w:jc w:val="left"/>
                                <w:rPr>
                                  <w:rFonts w:ascii="Arial"/>
                                  <w:sz w:val="14"/>
                                </w:rPr>
                              </w:pPr>
                              <w:r>
                                <w:rPr>
                                  <w:rFonts w:ascii="Arial"/>
                                  <w:color w:val="FFFFFF"/>
                                  <w:w w:val="85"/>
                                  <w:sz w:val="14"/>
                                </w:rPr>
                                <w:t>High</w:t>
                              </w:r>
                              <w:r>
                                <w:rPr>
                                  <w:rFonts w:ascii="Arial"/>
                                  <w:color w:val="FFFFFF"/>
                                  <w:spacing w:val="-4"/>
                                  <w:w w:val="85"/>
                                  <w:sz w:val="14"/>
                                </w:rPr>
                                <w:t> </w:t>
                              </w:r>
                              <w:r>
                                <w:rPr>
                                  <w:rFonts w:ascii="Arial"/>
                                  <w:color w:val="FFFFFF"/>
                                  <w:w w:val="85"/>
                                  <w:sz w:val="14"/>
                                </w:rPr>
                                <w:t>income</w:t>
                              </w:r>
                              <w:r>
                                <w:rPr>
                                  <w:rFonts w:ascii="Arial"/>
                                  <w:color w:val="FFFFFF"/>
                                  <w:spacing w:val="40"/>
                                  <w:sz w:val="14"/>
                                </w:rPr>
                                <w:t> </w:t>
                              </w:r>
                              <w:r>
                                <w:rPr>
                                  <w:rFonts w:ascii="Arial"/>
                                  <w:color w:val="FFFFFF"/>
                                  <w:spacing w:val="-4"/>
                                  <w:w w:val="95"/>
                                  <w:sz w:val="14"/>
                                </w:rPr>
                                <w:t>35%</w:t>
                              </w:r>
                            </w:p>
                          </w:txbxContent>
                        </wps:txbx>
                        <wps:bodyPr wrap="square" lIns="0" tIns="0" rIns="0" bIns="0" rtlCol="0">
                          <a:noAutofit/>
                        </wps:bodyPr>
                      </wps:wsp>
                      <wps:wsp>
                        <wps:cNvPr id="2061" name="Textbox 2061"/>
                        <wps:cNvSpPr txBox="1"/>
                        <wps:spPr>
                          <a:xfrm>
                            <a:off x="759800" y="2026593"/>
                            <a:ext cx="979169" cy="207645"/>
                          </a:xfrm>
                          <a:prstGeom prst="rect">
                            <a:avLst/>
                          </a:prstGeom>
                        </wps:spPr>
                        <wps:txbx>
                          <w:txbxContent>
                            <w:p>
                              <w:pPr>
                                <w:spacing w:before="2"/>
                                <w:ind w:left="0" w:right="0" w:firstLine="0"/>
                                <w:jc w:val="left"/>
                                <w:rPr>
                                  <w:rFonts w:ascii="Arial"/>
                                  <w:sz w:val="14"/>
                                </w:rPr>
                              </w:pPr>
                              <w:r>
                                <w:rPr>
                                  <w:rFonts w:ascii="Arial"/>
                                  <w:color w:val="FFFFFF"/>
                                  <w:w w:val="80"/>
                                  <w:sz w:val="14"/>
                                </w:rPr>
                                <w:t>East</w:t>
                              </w:r>
                              <w:r>
                                <w:rPr>
                                  <w:rFonts w:ascii="Arial"/>
                                  <w:color w:val="FFFFFF"/>
                                  <w:spacing w:val="-5"/>
                                  <w:sz w:val="14"/>
                                </w:rPr>
                                <w:t> </w:t>
                              </w:r>
                              <w:r>
                                <w:rPr>
                                  <w:rFonts w:ascii="Arial"/>
                                  <w:color w:val="FFFFFF"/>
                                  <w:w w:val="80"/>
                                  <w:sz w:val="14"/>
                                </w:rPr>
                                <w:t>Asia</w:t>
                              </w:r>
                              <w:r>
                                <w:rPr>
                                  <w:rFonts w:ascii="Arial"/>
                                  <w:color w:val="FFFFFF"/>
                                  <w:spacing w:val="1"/>
                                  <w:sz w:val="14"/>
                                </w:rPr>
                                <w:t> </w:t>
                              </w:r>
                              <w:r>
                                <w:rPr>
                                  <w:rFonts w:ascii="Arial"/>
                                  <w:color w:val="FFFFFF"/>
                                  <w:spacing w:val="-10"/>
                                  <w:w w:val="80"/>
                                  <w:sz w:val="14"/>
                                </w:rPr>
                                <w:t>&amp;</w:t>
                              </w:r>
                            </w:p>
                            <w:p>
                              <w:pPr>
                                <w:tabs>
                                  <w:tab w:pos="819" w:val="left" w:leader="none"/>
                                </w:tabs>
                                <w:spacing w:before="2"/>
                                <w:ind w:left="120" w:right="0" w:firstLine="0"/>
                                <w:jc w:val="left"/>
                                <w:rPr>
                                  <w:rFonts w:ascii="Arial"/>
                                  <w:sz w:val="14"/>
                                </w:rPr>
                              </w:pPr>
                              <w:r>
                                <w:rPr>
                                  <w:rFonts w:ascii="Arial"/>
                                  <w:color w:val="FFFFFF"/>
                                  <w:spacing w:val="-2"/>
                                  <w:w w:val="95"/>
                                  <w:sz w:val="14"/>
                                </w:rPr>
                                <w:t>Pacific</w:t>
                              </w:r>
                              <w:r>
                                <w:rPr>
                                  <w:rFonts w:ascii="Arial"/>
                                  <w:color w:val="FFFFFF"/>
                                  <w:sz w:val="14"/>
                                </w:rPr>
                                <w:tab/>
                              </w:r>
                              <w:r>
                                <w:rPr>
                                  <w:rFonts w:ascii="Arial"/>
                                  <w:color w:val="FFFFFF"/>
                                  <w:w w:val="85"/>
                                  <w:sz w:val="14"/>
                                </w:rPr>
                                <w:t>Sub-</w:t>
                              </w:r>
                              <w:r>
                                <w:rPr>
                                  <w:rFonts w:ascii="Arial"/>
                                  <w:color w:val="FFFFFF"/>
                                  <w:spacing w:val="-4"/>
                                  <w:w w:val="90"/>
                                  <w:sz w:val="14"/>
                                </w:rPr>
                                <w:t>Saharan</w:t>
                              </w:r>
                            </w:p>
                          </w:txbxContent>
                        </wps:txbx>
                        <wps:bodyPr wrap="square" lIns="0" tIns="0" rIns="0" bIns="0" rtlCol="0">
                          <a:noAutofit/>
                        </wps:bodyPr>
                      </wps:wsp>
                      <wps:wsp>
                        <wps:cNvPr id="2062" name="Textbox 2062"/>
                        <wps:cNvSpPr txBox="1"/>
                        <wps:spPr>
                          <a:xfrm>
                            <a:off x="874303" y="2229818"/>
                            <a:ext cx="165735" cy="104139"/>
                          </a:xfrm>
                          <a:prstGeom prst="rect">
                            <a:avLst/>
                          </a:prstGeom>
                        </wps:spPr>
                        <wps:txbx>
                          <w:txbxContent>
                            <w:p>
                              <w:pPr>
                                <w:spacing w:before="2"/>
                                <w:ind w:left="0" w:right="0" w:firstLine="0"/>
                                <w:jc w:val="left"/>
                                <w:rPr>
                                  <w:rFonts w:ascii="Arial"/>
                                  <w:sz w:val="14"/>
                                </w:rPr>
                              </w:pPr>
                              <w:r>
                                <w:rPr>
                                  <w:rFonts w:ascii="Arial"/>
                                  <w:color w:val="FFFFFF"/>
                                  <w:spacing w:val="-11"/>
                                  <w:sz w:val="14"/>
                                </w:rPr>
                                <w:t>13%</w:t>
                              </w:r>
                            </w:p>
                          </w:txbxContent>
                        </wps:txbx>
                        <wps:bodyPr wrap="square" lIns="0" tIns="0" rIns="0" bIns="0" rtlCol="0">
                          <a:noAutofit/>
                        </wps:bodyPr>
                      </wps:wsp>
                      <wps:wsp>
                        <wps:cNvPr id="2063" name="Textbox 2063"/>
                        <wps:cNvSpPr txBox="1"/>
                        <wps:spPr>
                          <a:xfrm>
                            <a:off x="1403436" y="2231774"/>
                            <a:ext cx="212090" cy="205740"/>
                          </a:xfrm>
                          <a:prstGeom prst="rect">
                            <a:avLst/>
                          </a:prstGeom>
                        </wps:spPr>
                        <wps:txbx>
                          <w:txbxContent>
                            <w:p>
                              <w:pPr>
                                <w:spacing w:before="1"/>
                                <w:ind w:left="36" w:right="12" w:hanging="37"/>
                                <w:jc w:val="left"/>
                                <w:rPr>
                                  <w:rFonts w:ascii="Arial"/>
                                  <w:sz w:val="14"/>
                                </w:rPr>
                              </w:pPr>
                              <w:r>
                                <w:rPr>
                                  <w:rFonts w:ascii="Arial"/>
                                  <w:color w:val="FFFFFF"/>
                                  <w:spacing w:val="-4"/>
                                  <w:w w:val="90"/>
                                  <w:sz w:val="14"/>
                                </w:rPr>
                                <w:t>Africa</w:t>
                              </w:r>
                              <w:r>
                                <w:rPr>
                                  <w:rFonts w:ascii="Arial"/>
                                  <w:color w:val="FFFFFF"/>
                                  <w:spacing w:val="40"/>
                                  <w:sz w:val="14"/>
                                </w:rPr>
                                <w:t> </w:t>
                              </w:r>
                              <w:r>
                                <w:rPr>
                                  <w:rFonts w:ascii="Arial"/>
                                  <w:color w:val="FFFFFF"/>
                                  <w:spacing w:val="-5"/>
                                  <w:sz w:val="14"/>
                                </w:rPr>
                                <w:t>18%</w:t>
                              </w:r>
                            </w:p>
                          </w:txbxContent>
                        </wps:txbx>
                        <wps:bodyPr wrap="square" lIns="0" tIns="0" rIns="0" bIns="0" rtlCol="0">
                          <a:noAutofit/>
                        </wps:bodyPr>
                      </wps:wsp>
                      <wps:wsp>
                        <wps:cNvPr id="2064" name="Textbox 2064"/>
                        <wps:cNvSpPr txBox="1"/>
                        <wps:spPr>
                          <a:xfrm>
                            <a:off x="3609045" y="2103936"/>
                            <a:ext cx="468630" cy="307340"/>
                          </a:xfrm>
                          <a:prstGeom prst="rect">
                            <a:avLst/>
                          </a:prstGeom>
                        </wps:spPr>
                        <wps:txbx>
                          <w:txbxContent>
                            <w:p>
                              <w:pPr>
                                <w:spacing w:before="0"/>
                                <w:ind w:left="161" w:right="15" w:hanging="162"/>
                                <w:jc w:val="left"/>
                                <w:rPr>
                                  <w:rFonts w:ascii="Arial"/>
                                  <w:sz w:val="14"/>
                                </w:rPr>
                              </w:pPr>
                              <w:r>
                                <w:rPr>
                                  <w:rFonts w:ascii="Arial"/>
                                  <w:color w:val="231F20"/>
                                  <w:w w:val="85"/>
                                  <w:sz w:val="14"/>
                                </w:rPr>
                                <w:t>Upper</w:t>
                              </w:r>
                              <w:r>
                                <w:rPr>
                                  <w:rFonts w:ascii="Arial"/>
                                  <w:color w:val="231F20"/>
                                  <w:spacing w:val="-4"/>
                                  <w:w w:val="85"/>
                                  <w:sz w:val="14"/>
                                </w:rPr>
                                <w:t> </w:t>
                              </w:r>
                              <w:r>
                                <w:rPr>
                                  <w:rFonts w:ascii="Arial"/>
                                  <w:color w:val="231F20"/>
                                  <w:w w:val="85"/>
                                  <w:sz w:val="14"/>
                                </w:rPr>
                                <w:t>middle</w:t>
                              </w:r>
                              <w:r>
                                <w:rPr>
                                  <w:rFonts w:ascii="Arial"/>
                                  <w:color w:val="231F20"/>
                                  <w:spacing w:val="40"/>
                                  <w:sz w:val="14"/>
                                </w:rPr>
                                <w:t> </w:t>
                              </w:r>
                              <w:r>
                                <w:rPr>
                                  <w:rFonts w:ascii="Arial"/>
                                  <w:color w:val="231F20"/>
                                  <w:spacing w:val="-2"/>
                                  <w:sz w:val="14"/>
                                </w:rPr>
                                <w:t>income</w:t>
                              </w:r>
                              <w:r>
                                <w:rPr>
                                  <w:rFonts w:ascii="Arial"/>
                                  <w:color w:val="231F20"/>
                                  <w:spacing w:val="40"/>
                                  <w:sz w:val="14"/>
                                </w:rPr>
                                <w:t> </w:t>
                              </w:r>
                              <w:r>
                                <w:rPr>
                                  <w:rFonts w:ascii="Arial"/>
                                  <w:color w:val="231F20"/>
                                  <w:spacing w:val="-4"/>
                                  <w:sz w:val="14"/>
                                </w:rPr>
                                <w:t>21%</w:t>
                              </w:r>
                            </w:p>
                          </w:txbxContent>
                        </wps:txbx>
                        <wps:bodyPr wrap="square" lIns="0" tIns="0" rIns="0" bIns="0" rtlCol="0">
                          <a:noAutofit/>
                        </wps:bodyPr>
                      </wps:wsp>
                      <wps:wsp>
                        <wps:cNvPr id="2065" name="Textbox 2065"/>
                        <wps:cNvSpPr txBox="1"/>
                        <wps:spPr>
                          <a:xfrm>
                            <a:off x="76386" y="2677871"/>
                            <a:ext cx="656590" cy="91440"/>
                          </a:xfrm>
                          <a:prstGeom prst="rect">
                            <a:avLst/>
                          </a:prstGeom>
                        </wps:spPr>
                        <wps:txbx>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1"/>
                                  <w:w w:val="80"/>
                                  <w:sz w:val="12"/>
                                </w:rPr>
                                <w:t> </w:t>
                              </w:r>
                              <w:r>
                                <w:rPr>
                                  <w:rFonts w:ascii="Arial"/>
                                  <w:color w:val="231F20"/>
                                  <w:w w:val="80"/>
                                  <w:sz w:val="12"/>
                                </w:rPr>
                                <w:t>2023</w:t>
                              </w:r>
                              <w:r>
                                <w:rPr>
                                  <w:rFonts w:ascii="Arial"/>
                                  <w:color w:val="231F20"/>
                                  <w:spacing w:val="-1"/>
                                  <w:w w:val="80"/>
                                  <w:sz w:val="12"/>
                                </w:rPr>
                                <w:t> </w:t>
                              </w:r>
                              <w:r>
                                <w:rPr>
                                  <w:rFonts w:ascii="Arial"/>
                                  <w:color w:val="231F20"/>
                                  <w:w w:val="80"/>
                                  <w:sz w:val="12"/>
                                </w:rPr>
                                <w:t>LPI</w:t>
                              </w:r>
                              <w:r>
                                <w:rPr>
                                  <w:rFonts w:ascii="Arial"/>
                                  <w:color w:val="231F20"/>
                                  <w:spacing w:val="-1"/>
                                  <w:w w:val="80"/>
                                  <w:sz w:val="12"/>
                                </w:rPr>
                                <w:t> </w:t>
                              </w:r>
                              <w:r>
                                <w:rPr>
                                  <w:rFonts w:ascii="Arial"/>
                                  <w:color w:val="231F20"/>
                                  <w:spacing w:val="-2"/>
                                  <w:w w:val="80"/>
                                  <w:sz w:val="12"/>
                                </w:rPr>
                                <w:t>team.</w:t>
                              </w:r>
                            </w:p>
                          </w:txbxContent>
                        </wps:txbx>
                        <wps:bodyPr wrap="square" lIns="0" tIns="0" rIns="0" bIns="0" rtlCol="0">
                          <a:noAutofit/>
                        </wps:bodyPr>
                      </wps:wsp>
                    </wpg:wgp>
                  </a:graphicData>
                </a:graphic>
              </wp:inline>
            </w:drawing>
          </mc:Choice>
          <mc:Fallback>
            <w:pict>
              <v:group style="width:384.05pt;height:224.4pt;mso-position-horizontal-relative:char;mso-position-vertical-relative:line" id="docshapegroup1754" coordorigin="0,0" coordsize="7681,4488">
                <v:shape style="position:absolute;left:0;top:406;width:7680;height:4081" id="docshape1755" coordorigin="0,406" coordsize="7680,4081" path="m7680,406l0,406,0,4369,10,4415,36,4453,74,4478,119,4487,7556,4487,7602,4479,7642,4455,7670,4418,7680,4369,7680,406xe" filled="true" fillcolor="#dfeaf7" stroked="false">
                  <v:path arrowok="t"/>
                  <v:fill type="solid"/>
                </v:shape>
                <v:shape style="position:absolute;left:5456;top:1232;width:363;height:1402" id="docshape1756" coordorigin="5457,1233" coordsize="363,1402" path="m5820,1233l5746,1235,5673,1240,5601,1250,5529,1263,5457,1280,5820,2634,5820,1233xe" filled="true" fillcolor="#231f20" stroked="false">
                  <v:path arrowok="t"/>
                  <v:fill type="solid"/>
                </v:shape>
                <v:shape style="position:absolute;left:4418;top:1280;width:1402;height:2645" id="docshape1757" coordorigin="4418,1280" coordsize="1402,2645" path="m5457,1280l5378,1304,5301,1331,5227,1363,5155,1397,5086,1436,5020,1478,4957,1524,4897,1573,4840,1626,4786,1682,4735,1741,4687,1804,4643,1870,4602,1939,4564,2011,4529,2087,4501,2158,4477,2231,4458,2303,4442,2376,4430,2449,4422,2523,4418,2596,4418,2668,4422,2741,4429,2813,4440,2884,4455,2954,4473,3024,4495,3092,4520,3160,4549,3225,4581,3290,4616,3352,4654,3413,4696,3472,4740,3529,4788,3584,4839,3636,4892,3686,4949,3733,5008,3777,5070,3819,5135,3857,5202,3893,5272,3925,5820,2634,5457,1280xe" filled="true" fillcolor="#939598" stroked="false">
                  <v:path arrowok="t"/>
                  <v:fill type="solid"/>
                </v:shape>
                <v:shape style="position:absolute;left:5272;top:2634;width:1668;height:1406" id="docshape1758" coordorigin="5272,2634" coordsize="1668,1406" path="m5820,2634l5272,3925,5345,3953,5418,3978,5492,3998,5566,4015,5640,4027,5713,4035,5787,4040,5861,4040,5934,4037,6006,4029,6078,4018,6149,4003,6219,3984,6288,3962,6356,3936,6422,3906,6487,3872,6551,3835,6612,3795,6672,3750,6730,3703,6786,3652,6839,3597,6891,3539,6939,3478,5820,2634xe" filled="true" fillcolor="#76aee5" stroked="false">
                  <v:path arrowok="t"/>
                  <v:fill type="solid"/>
                </v:shape>
                <v:shape style="position:absolute;left:5819;top:1232;width:1402;height:2246" id="docshape1759" coordorigin="5820,1233" coordsize="1402,2246" path="m5820,1233l5820,2634,6939,3478,6985,3414,7027,3349,7065,3283,7098,3217,7127,3149,7153,3080,7174,3010,7191,2939,7204,2865,7214,2790,7220,2713,7221,2634,7219,2558,7213,2482,7203,2407,7189,2334,7171,2262,7150,2191,7125,2123,7097,2056,7065,1990,7030,1927,6992,1866,6951,1807,6907,1750,6860,1695,6811,1643,6759,1594,6704,1547,6648,1503,6588,1462,6527,1424,6464,1389,6399,1357,6332,1329,6263,1304,6192,1283,6120,1265,6047,1251,5972,1241,5897,1235,5820,1233xe" filled="true" fillcolor="#008fdd" stroked="false">
                  <v:path arrowok="t"/>
                  <v:fill type="solid"/>
                </v:shape>
                <v:shape style="position:absolute;left:1882;top:1232;width:268;height:1402" id="docshape1760" coordorigin="1883,1233" coordsize="268,1402" path="m2150,1233l2083,1234,2016,1239,1950,1247,1883,1258,2150,2634,2150,1233xe" filled="true" fillcolor="#bed5f0" stroked="false">
                  <v:path arrowok="t"/>
                  <v:fill type="solid"/>
                </v:shape>
                <v:shape style="position:absolute;left:1194;top:1258;width:956;height:1376" id="docshape1761" coordorigin="1194,1258" coordsize="956,1376" path="m1883,1258l1803,1276,1727,1297,1653,1322,1582,1351,1513,1383,1446,1420,1381,1461,1318,1506,1255,1555,1194,1609,2150,2634,1883,1258xe" filled="true" fillcolor="#939598" stroked="false">
                  <v:path arrowok="t"/>
                  <v:fill type="solid"/>
                </v:shape>
                <v:shape style="position:absolute;left:796;top:1609;width:1354;height:1026" id="docshape1762" coordorigin="796,1609" coordsize="1354,1026" path="m1194,1609l1136,1666,1083,1725,1033,1785,988,1847,947,1911,909,1978,876,2047,846,2119,820,2193,796,2272,2150,2634,1194,1609xe" filled="true" fillcolor="#691c32" stroked="false">
                  <v:path arrowok="t"/>
                  <v:fill type="solid"/>
                </v:shape>
                <v:shape style="position:absolute;left:747;top:2271;width:1403;height:956" id="docshape1763" coordorigin="748,2272" coordsize="1403,956" path="m796,2272l777,2353,763,2434,753,2515,748,2596,748,2677,752,2757,762,2837,776,2916,795,2995,818,3073,847,3150,880,3227,2150,2634,796,2272xe" filled="true" fillcolor="#76aee5" stroked="false">
                  <v:path arrowok="t"/>
                  <v:fill type="solid"/>
                </v:shape>
                <v:shape style="position:absolute;left:880;top:2634;width:1271;height:1326" id="docshape1764" coordorigin="880,2634" coordsize="1271,1326" path="m2150,2634l880,3227,918,3302,958,3374,1002,3442,1049,3507,1099,3568,1153,3626,1209,3680,1269,3730,1332,3777,1398,3821,1467,3861,1539,3897,1615,3930,1694,3960,2150,2634xe" filled="true" fillcolor="#a8979a" stroked="false">
                  <v:path arrowok="t"/>
                  <v:fill type="solid"/>
                </v:shape>
                <v:shape style="position:absolute;left:1694;top:2634;width:1448;height:1406" id="docshape1765" coordorigin="1694,2634" coordsize="1448,1406" path="m2150,2634l1694,3960,1769,3983,1843,4003,1918,4018,1992,4030,2067,4037,2141,4040,2214,4040,2287,4035,2360,4026,2432,4014,2502,3997,2572,3977,2641,3953,2709,3925,2775,3894,2840,3858,2904,3819,2966,3776,3026,3730,3085,3679,3142,3626,2150,2634xe" filled="true" fillcolor="#231f20" stroked="false">
                  <v:path arrowok="t"/>
                  <v:fill type="solid"/>
                </v:shape>
                <v:shape style="position:absolute;left:0;top:0;width:3553;height:3626" id="docshape1766" coordorigin="0,0" coordsize="3553,3626" path="m887,0l120,0,74,5,36,23,10,59,0,120,0,365,887,365,887,0xm3552,2634l3550,2558,3544,2482,3534,2407,3520,2334,3502,2262,3481,2191,3456,2123,3427,2056,3396,1990,3361,1927,3323,1866,3282,1807,3238,1750,3191,1695,3142,1643,3090,1594,3035,1547,2978,1503,2919,1462,2858,1424,2795,1389,2729,1357,2662,1329,2593,1304,2523,1283,2451,1265,2378,1251,2303,1241,2227,1235,2150,1233,2150,2634,3142,3626,3199,3566,3251,3504,3300,3441,3344,3377,3383,3310,3419,3243,3450,3173,3477,3101,3500,3028,3519,2953,3534,2876,3544,2798,3550,2717,3552,2634xe" filled="true" fillcolor="#008fdd" stroked="false">
                  <v:path arrowok="t"/>
                  <v:fill type="solid"/>
                </v:shape>
                <v:shape style="position:absolute;left:886;top:0;width:6793;height:365" id="docshape1767" coordorigin="887,0" coordsize="6793,365" path="m7559,0l887,0,887,365,7679,365,7679,120,7671,80,7646,41,7608,12,7559,0xe" filled="true" fillcolor="#808285" stroked="false">
                  <v:path arrowok="t"/>
                  <v:fill type="solid"/>
                </v:shape>
                <v:line style="position:absolute" from="887,0" to="887,379" stroked="true" strokeweight="2pt" strokecolor="#ffffff">
                  <v:stroke dashstyle="solid"/>
                </v:line>
                <v:shape style="position:absolute;left:120;top:105;width:5843;height:192" type="#_x0000_t202" id="docshape1768" filled="false" stroked="false">
                  <v:textbox inset="0,0,0,0">
                    <w:txbxContent>
                      <w:p>
                        <w:pPr>
                          <w:spacing w:before="3"/>
                          <w:ind w:left="0" w:right="0" w:firstLine="0"/>
                          <w:jc w:val="left"/>
                          <w:rPr>
                            <w:rFonts w:ascii="Arial"/>
                            <w:b/>
                            <w:sz w:val="16"/>
                          </w:rPr>
                        </w:pPr>
                        <w:r>
                          <w:rPr>
                            <w:rFonts w:ascii="Arial"/>
                            <w:color w:val="FFFFFF"/>
                            <w:sz w:val="16"/>
                          </w:rPr>
                          <w:t>Figure</w:t>
                        </w:r>
                        <w:r>
                          <w:rPr>
                            <w:rFonts w:ascii="Arial"/>
                            <w:color w:val="FFFFFF"/>
                            <w:spacing w:val="5"/>
                            <w:sz w:val="16"/>
                          </w:rPr>
                          <w:t> </w:t>
                        </w:r>
                        <w:r>
                          <w:rPr>
                            <w:rFonts w:ascii="Arial"/>
                            <w:b/>
                            <w:color w:val="FFFFFF"/>
                            <w:sz w:val="16"/>
                          </w:rPr>
                          <w:t>A7.1</w:t>
                        </w:r>
                        <w:r>
                          <w:rPr>
                            <w:rFonts w:ascii="Arial"/>
                            <w:b/>
                            <w:color w:val="FFFFFF"/>
                            <w:spacing w:val="74"/>
                            <w:w w:val="150"/>
                            <w:sz w:val="16"/>
                          </w:rPr>
                          <w:t> </w:t>
                        </w:r>
                        <w:r>
                          <w:rPr>
                            <w:rFonts w:ascii="Arial"/>
                            <w:b/>
                            <w:color w:val="FFFFFF"/>
                            <w:sz w:val="16"/>
                          </w:rPr>
                          <w:t>Number</w:t>
                        </w:r>
                        <w:r>
                          <w:rPr>
                            <w:rFonts w:ascii="Arial"/>
                            <w:b/>
                            <w:color w:val="FFFFFF"/>
                            <w:spacing w:val="5"/>
                            <w:sz w:val="16"/>
                          </w:rPr>
                          <w:t> </w:t>
                        </w:r>
                        <w:r>
                          <w:rPr>
                            <w:rFonts w:ascii="Arial"/>
                            <w:b/>
                            <w:color w:val="FFFFFF"/>
                            <w:sz w:val="16"/>
                          </w:rPr>
                          <w:t>of</w:t>
                        </w:r>
                        <w:r>
                          <w:rPr>
                            <w:rFonts w:ascii="Arial"/>
                            <w:b/>
                            <w:color w:val="FFFFFF"/>
                            <w:spacing w:val="5"/>
                            <w:sz w:val="16"/>
                          </w:rPr>
                          <w:t> </w:t>
                        </w:r>
                        <w:r>
                          <w:rPr>
                            <w:rFonts w:ascii="Arial"/>
                            <w:b/>
                            <w:color w:val="FFFFFF"/>
                            <w:sz w:val="16"/>
                          </w:rPr>
                          <w:t>respondents</w:t>
                        </w:r>
                        <w:r>
                          <w:rPr>
                            <w:rFonts w:ascii="Arial"/>
                            <w:b/>
                            <w:color w:val="FFFFFF"/>
                            <w:spacing w:val="6"/>
                            <w:sz w:val="16"/>
                          </w:rPr>
                          <w:t> </w:t>
                        </w:r>
                        <w:r>
                          <w:rPr>
                            <w:rFonts w:ascii="Arial"/>
                            <w:b/>
                            <w:color w:val="FFFFFF"/>
                            <w:sz w:val="16"/>
                          </w:rPr>
                          <w:t>by</w:t>
                        </w:r>
                        <w:r>
                          <w:rPr>
                            <w:rFonts w:ascii="Arial"/>
                            <w:b/>
                            <w:color w:val="FFFFFF"/>
                            <w:spacing w:val="5"/>
                            <w:sz w:val="16"/>
                          </w:rPr>
                          <w:t> </w:t>
                        </w:r>
                        <w:r>
                          <w:rPr>
                            <w:rFonts w:ascii="Arial"/>
                            <w:b/>
                            <w:color w:val="FFFFFF"/>
                            <w:sz w:val="16"/>
                          </w:rPr>
                          <w:t>location</w:t>
                        </w:r>
                        <w:r>
                          <w:rPr>
                            <w:rFonts w:ascii="Arial"/>
                            <w:b/>
                            <w:color w:val="FFFFFF"/>
                            <w:spacing w:val="5"/>
                            <w:sz w:val="16"/>
                          </w:rPr>
                          <w:t> </w:t>
                        </w:r>
                        <w:r>
                          <w:rPr>
                            <w:rFonts w:ascii="Arial"/>
                            <w:b/>
                            <w:color w:val="FFFFFF"/>
                            <w:sz w:val="16"/>
                          </w:rPr>
                          <w:t>and</w:t>
                        </w:r>
                        <w:r>
                          <w:rPr>
                            <w:rFonts w:ascii="Arial"/>
                            <w:b/>
                            <w:color w:val="FFFFFF"/>
                            <w:spacing w:val="6"/>
                            <w:sz w:val="16"/>
                          </w:rPr>
                          <w:t> </w:t>
                        </w:r>
                        <w:r>
                          <w:rPr>
                            <w:rFonts w:ascii="Arial"/>
                            <w:b/>
                            <w:color w:val="FFFFFF"/>
                            <w:sz w:val="16"/>
                          </w:rPr>
                          <w:t>country</w:t>
                        </w:r>
                        <w:r>
                          <w:rPr>
                            <w:rFonts w:ascii="Arial"/>
                            <w:b/>
                            <w:color w:val="FFFFFF"/>
                            <w:spacing w:val="5"/>
                            <w:sz w:val="16"/>
                          </w:rPr>
                          <w:t> </w:t>
                        </w:r>
                        <w:r>
                          <w:rPr>
                            <w:rFonts w:ascii="Arial"/>
                            <w:b/>
                            <w:color w:val="FFFFFF"/>
                            <w:sz w:val="16"/>
                          </w:rPr>
                          <w:t>income</w:t>
                        </w:r>
                        <w:r>
                          <w:rPr>
                            <w:rFonts w:ascii="Arial"/>
                            <w:b/>
                            <w:color w:val="FFFFFF"/>
                            <w:spacing w:val="6"/>
                            <w:sz w:val="16"/>
                          </w:rPr>
                          <w:t> </w:t>
                        </w:r>
                        <w:r>
                          <w:rPr>
                            <w:rFonts w:ascii="Arial"/>
                            <w:b/>
                            <w:color w:val="FFFFFF"/>
                            <w:spacing w:val="-2"/>
                            <w:sz w:val="16"/>
                          </w:rPr>
                          <w:t>group</w:t>
                        </w:r>
                      </w:p>
                    </w:txbxContent>
                  </v:textbox>
                  <w10:wrap type="none"/>
                </v:shape>
                <v:shape style="position:absolute;left:1840;top:562;width:639;height:166" type="#_x0000_t202" id="docshape1769" filled="false" stroked="false">
                  <v:textbox inset="0,0,0,0">
                    <w:txbxContent>
                      <w:p>
                        <w:pPr>
                          <w:spacing w:before="3"/>
                          <w:ind w:left="0" w:right="0" w:firstLine="0"/>
                          <w:jc w:val="left"/>
                          <w:rPr>
                            <w:rFonts w:ascii="Arial"/>
                            <w:b/>
                            <w:sz w:val="14"/>
                          </w:rPr>
                        </w:pPr>
                        <w:r>
                          <w:rPr>
                            <w:rFonts w:ascii="Arial"/>
                            <w:b/>
                            <w:color w:val="231F20"/>
                            <w:w w:val="80"/>
                            <w:sz w:val="14"/>
                          </w:rPr>
                          <w:t>By</w:t>
                        </w:r>
                        <w:r>
                          <w:rPr>
                            <w:rFonts w:ascii="Arial"/>
                            <w:b/>
                            <w:color w:val="231F20"/>
                            <w:spacing w:val="-2"/>
                            <w:w w:val="80"/>
                            <w:sz w:val="14"/>
                          </w:rPr>
                          <w:t> </w:t>
                        </w:r>
                        <w:r>
                          <w:rPr>
                            <w:rFonts w:ascii="Arial"/>
                            <w:b/>
                            <w:color w:val="231F20"/>
                            <w:spacing w:val="-2"/>
                            <w:w w:val="85"/>
                            <w:sz w:val="14"/>
                          </w:rPr>
                          <w:t>location</w:t>
                        </w:r>
                      </w:p>
                    </w:txbxContent>
                  </v:textbox>
                  <w10:wrap type="none"/>
                </v:shape>
                <v:shape style="position:absolute;left:5121;top:562;width:1416;height:166" type="#_x0000_t202" id="docshape1770" filled="false" stroked="false">
                  <v:textbox inset="0,0,0,0">
                    <w:txbxContent>
                      <w:p>
                        <w:pPr>
                          <w:spacing w:before="3"/>
                          <w:ind w:left="0" w:right="0" w:firstLine="0"/>
                          <w:jc w:val="left"/>
                          <w:rPr>
                            <w:rFonts w:ascii="Arial"/>
                            <w:b/>
                            <w:sz w:val="14"/>
                          </w:rPr>
                        </w:pPr>
                        <w:r>
                          <w:rPr>
                            <w:rFonts w:ascii="Arial"/>
                            <w:b/>
                            <w:color w:val="231F20"/>
                            <w:w w:val="80"/>
                            <w:sz w:val="14"/>
                          </w:rPr>
                          <w:t>By</w:t>
                        </w:r>
                        <w:r>
                          <w:rPr>
                            <w:rFonts w:ascii="Arial"/>
                            <w:b/>
                            <w:color w:val="231F20"/>
                            <w:spacing w:val="-3"/>
                            <w:sz w:val="14"/>
                          </w:rPr>
                          <w:t> </w:t>
                        </w:r>
                        <w:r>
                          <w:rPr>
                            <w:rFonts w:ascii="Arial"/>
                            <w:b/>
                            <w:color w:val="231F20"/>
                            <w:w w:val="80"/>
                            <w:sz w:val="14"/>
                          </w:rPr>
                          <w:t>country</w:t>
                        </w:r>
                        <w:r>
                          <w:rPr>
                            <w:rFonts w:ascii="Arial"/>
                            <w:b/>
                            <w:color w:val="231F20"/>
                            <w:spacing w:val="-1"/>
                            <w:sz w:val="14"/>
                          </w:rPr>
                          <w:t> </w:t>
                        </w:r>
                        <w:r>
                          <w:rPr>
                            <w:rFonts w:ascii="Arial"/>
                            <w:b/>
                            <w:color w:val="231F20"/>
                            <w:w w:val="80"/>
                            <w:sz w:val="14"/>
                          </w:rPr>
                          <w:t>income</w:t>
                        </w:r>
                        <w:r>
                          <w:rPr>
                            <w:rFonts w:ascii="Arial"/>
                            <w:b/>
                            <w:color w:val="231F20"/>
                            <w:sz w:val="14"/>
                          </w:rPr>
                          <w:t> </w:t>
                        </w:r>
                        <w:r>
                          <w:rPr>
                            <w:rFonts w:ascii="Arial"/>
                            <w:b/>
                            <w:color w:val="231F20"/>
                            <w:spacing w:val="-2"/>
                            <w:w w:val="80"/>
                            <w:sz w:val="14"/>
                          </w:rPr>
                          <w:t>group</w:t>
                        </w:r>
                      </w:p>
                    </w:txbxContent>
                  </v:textbox>
                  <w10:wrap type="none"/>
                </v:shape>
                <v:shape style="position:absolute;left:232;top:935;width:1466;height:1073" type="#_x0000_t202" id="docshape1771" filled="false" stroked="false">
                  <v:textbox inset="0,0,0,0">
                    <w:txbxContent>
                      <w:p>
                        <w:pPr>
                          <w:spacing w:before="2"/>
                          <w:ind w:left="686" w:right="0" w:firstLine="0"/>
                          <w:jc w:val="center"/>
                          <w:rPr>
                            <w:rFonts w:ascii="Arial"/>
                            <w:sz w:val="14"/>
                          </w:rPr>
                        </w:pPr>
                        <w:r>
                          <w:rPr>
                            <w:rFonts w:ascii="Arial"/>
                            <w:color w:val="231F20"/>
                            <w:w w:val="85"/>
                            <w:sz w:val="14"/>
                          </w:rPr>
                          <w:t>Middle</w:t>
                        </w:r>
                        <w:r>
                          <w:rPr>
                            <w:rFonts w:ascii="Arial"/>
                            <w:color w:val="231F20"/>
                            <w:spacing w:val="-4"/>
                            <w:w w:val="85"/>
                            <w:sz w:val="14"/>
                          </w:rPr>
                          <w:t> </w:t>
                        </w:r>
                        <w:r>
                          <w:rPr>
                            <w:rFonts w:ascii="Arial"/>
                            <w:color w:val="231F20"/>
                            <w:w w:val="85"/>
                            <w:sz w:val="14"/>
                          </w:rPr>
                          <w:t>East</w:t>
                        </w:r>
                        <w:r>
                          <w:rPr>
                            <w:rFonts w:ascii="Arial"/>
                            <w:color w:val="231F20"/>
                            <w:spacing w:val="-4"/>
                            <w:w w:val="85"/>
                            <w:sz w:val="14"/>
                          </w:rPr>
                          <w:t> </w:t>
                        </w:r>
                        <w:r>
                          <w:rPr>
                            <w:rFonts w:ascii="Arial"/>
                            <w:color w:val="231F20"/>
                            <w:w w:val="85"/>
                            <w:sz w:val="14"/>
                          </w:rPr>
                          <w:t>&amp;</w:t>
                        </w:r>
                        <w:r>
                          <w:rPr>
                            <w:rFonts w:ascii="Arial"/>
                            <w:color w:val="231F20"/>
                            <w:spacing w:val="40"/>
                            <w:sz w:val="14"/>
                          </w:rPr>
                          <w:t> </w:t>
                        </w:r>
                        <w:r>
                          <w:rPr>
                            <w:rFonts w:ascii="Arial"/>
                            <w:color w:val="231F20"/>
                            <w:sz w:val="14"/>
                          </w:rPr>
                          <w:t>North</w:t>
                        </w:r>
                        <w:r>
                          <w:rPr>
                            <w:rFonts w:ascii="Arial"/>
                            <w:color w:val="231F20"/>
                            <w:spacing w:val="-12"/>
                            <w:sz w:val="14"/>
                          </w:rPr>
                          <w:t> </w:t>
                        </w:r>
                        <w:r>
                          <w:rPr>
                            <w:rFonts w:ascii="Arial"/>
                            <w:color w:val="231F20"/>
                            <w:sz w:val="14"/>
                          </w:rPr>
                          <w:t>Africa</w:t>
                        </w:r>
                        <w:r>
                          <w:rPr>
                            <w:rFonts w:ascii="Arial"/>
                            <w:color w:val="231F20"/>
                            <w:spacing w:val="40"/>
                            <w:sz w:val="14"/>
                          </w:rPr>
                          <w:t> </w:t>
                        </w:r>
                        <w:r>
                          <w:rPr>
                            <w:rFonts w:ascii="Arial"/>
                            <w:color w:val="231F20"/>
                            <w:spacing w:val="-6"/>
                            <w:sz w:val="14"/>
                          </w:rPr>
                          <w:t>9%</w:t>
                        </w:r>
                      </w:p>
                      <w:p>
                        <w:pPr>
                          <w:spacing w:before="104"/>
                          <w:ind w:left="-1" w:right="727" w:firstLine="0"/>
                          <w:jc w:val="center"/>
                          <w:rPr>
                            <w:rFonts w:ascii="Arial"/>
                            <w:sz w:val="14"/>
                          </w:rPr>
                        </w:pPr>
                        <w:r>
                          <w:rPr>
                            <w:rFonts w:ascii="Arial"/>
                            <w:color w:val="231F20"/>
                            <w:w w:val="85"/>
                            <w:sz w:val="14"/>
                          </w:rPr>
                          <w:t>Latin</w:t>
                        </w:r>
                        <w:r>
                          <w:rPr>
                            <w:rFonts w:ascii="Arial"/>
                            <w:color w:val="231F20"/>
                            <w:spacing w:val="-6"/>
                            <w:w w:val="85"/>
                            <w:sz w:val="14"/>
                          </w:rPr>
                          <w:t> </w:t>
                        </w:r>
                        <w:r>
                          <w:rPr>
                            <w:rFonts w:ascii="Arial"/>
                            <w:color w:val="231F20"/>
                            <w:w w:val="85"/>
                            <w:sz w:val="14"/>
                          </w:rPr>
                          <w:t>America</w:t>
                        </w:r>
                        <w:r>
                          <w:rPr>
                            <w:rFonts w:ascii="Arial"/>
                            <w:color w:val="231F20"/>
                            <w:spacing w:val="40"/>
                            <w:sz w:val="14"/>
                          </w:rPr>
                          <w:t> </w:t>
                        </w:r>
                        <w:r>
                          <w:rPr>
                            <w:rFonts w:ascii="Arial"/>
                            <w:color w:val="231F20"/>
                            <w:spacing w:val="-6"/>
                            <w:sz w:val="14"/>
                          </w:rPr>
                          <w:t>&amp;</w:t>
                        </w:r>
                        <w:r>
                          <w:rPr>
                            <w:rFonts w:ascii="Arial"/>
                            <w:color w:val="231F20"/>
                            <w:spacing w:val="-8"/>
                            <w:sz w:val="14"/>
                          </w:rPr>
                          <w:t> </w:t>
                        </w:r>
                        <w:r>
                          <w:rPr>
                            <w:rFonts w:ascii="Arial"/>
                            <w:color w:val="231F20"/>
                            <w:spacing w:val="-6"/>
                            <w:sz w:val="14"/>
                          </w:rPr>
                          <w:t>Caribbean</w:t>
                        </w:r>
                        <w:r>
                          <w:rPr>
                            <w:rFonts w:ascii="Arial"/>
                            <w:color w:val="231F20"/>
                            <w:spacing w:val="40"/>
                            <w:sz w:val="14"/>
                          </w:rPr>
                          <w:t> </w:t>
                        </w:r>
                        <w:r>
                          <w:rPr>
                            <w:rFonts w:ascii="Arial"/>
                            <w:color w:val="231F20"/>
                            <w:spacing w:val="-6"/>
                            <w:sz w:val="14"/>
                          </w:rPr>
                          <w:t>9%</w:t>
                        </w:r>
                      </w:p>
                    </w:txbxContent>
                  </v:textbox>
                  <w10:wrap type="none"/>
                </v:shape>
                <v:shape style="position:absolute;left:1932;top:881;width:788;height:324" type="#_x0000_t202" id="docshape1772" filled="false" stroked="false">
                  <v:textbox inset="0,0,0,0">
                    <w:txbxContent>
                      <w:p>
                        <w:pPr>
                          <w:spacing w:before="1"/>
                          <w:ind w:left="0" w:right="13" w:firstLine="0"/>
                          <w:jc w:val="left"/>
                          <w:rPr>
                            <w:rFonts w:ascii="Arial"/>
                            <w:sz w:val="14"/>
                          </w:rPr>
                        </w:pPr>
                        <w:r>
                          <w:rPr>
                            <w:rFonts w:ascii="Arial"/>
                            <w:color w:val="231F20"/>
                            <w:w w:val="85"/>
                            <w:sz w:val="14"/>
                          </w:rPr>
                          <w:t>North</w:t>
                        </w:r>
                        <w:r>
                          <w:rPr>
                            <w:rFonts w:ascii="Arial"/>
                            <w:color w:val="231F20"/>
                            <w:spacing w:val="-6"/>
                            <w:w w:val="85"/>
                            <w:sz w:val="14"/>
                          </w:rPr>
                          <w:t> </w:t>
                        </w:r>
                        <w:r>
                          <w:rPr>
                            <w:rFonts w:ascii="Arial"/>
                            <w:color w:val="231F20"/>
                            <w:w w:val="85"/>
                            <w:sz w:val="14"/>
                          </w:rPr>
                          <w:t>America</w:t>
                        </w:r>
                        <w:r>
                          <w:rPr>
                            <w:rFonts w:ascii="Arial"/>
                            <w:color w:val="231F20"/>
                            <w:spacing w:val="40"/>
                            <w:sz w:val="14"/>
                          </w:rPr>
                          <w:t> </w:t>
                        </w:r>
                        <w:r>
                          <w:rPr>
                            <w:rFonts w:ascii="Arial"/>
                            <w:color w:val="231F20"/>
                            <w:spacing w:val="-6"/>
                            <w:w w:val="95"/>
                            <w:sz w:val="14"/>
                          </w:rPr>
                          <w:t>3%</w:t>
                        </w:r>
                      </w:p>
                    </w:txbxContent>
                  </v:textbox>
                  <w10:wrap type="none"/>
                </v:shape>
                <v:shape style="position:absolute;left:5064;top:910;width:670;height:324" type="#_x0000_t202" id="docshape1773" filled="false" stroked="false">
                  <v:textbox inset="0,0,0,0">
                    <w:txbxContent>
                      <w:p>
                        <w:pPr>
                          <w:spacing w:line="161" w:lineRule="exact" w:before="2"/>
                          <w:ind w:left="0" w:right="18" w:firstLine="0"/>
                          <w:jc w:val="right"/>
                          <w:rPr>
                            <w:rFonts w:ascii="Arial"/>
                            <w:sz w:val="14"/>
                          </w:rPr>
                        </w:pPr>
                        <w:r>
                          <w:rPr>
                            <w:rFonts w:ascii="Arial"/>
                            <w:color w:val="231F20"/>
                            <w:w w:val="85"/>
                            <w:sz w:val="14"/>
                          </w:rPr>
                          <w:t>Low</w:t>
                        </w:r>
                        <w:r>
                          <w:rPr>
                            <w:rFonts w:ascii="Arial"/>
                            <w:color w:val="231F20"/>
                            <w:spacing w:val="-1"/>
                            <w:w w:val="90"/>
                            <w:sz w:val="14"/>
                          </w:rPr>
                          <w:t> </w:t>
                        </w:r>
                        <w:r>
                          <w:rPr>
                            <w:rFonts w:ascii="Arial"/>
                            <w:color w:val="231F20"/>
                            <w:spacing w:val="-4"/>
                            <w:w w:val="90"/>
                            <w:sz w:val="14"/>
                          </w:rPr>
                          <w:t>income</w:t>
                        </w:r>
                      </w:p>
                      <w:p>
                        <w:pPr>
                          <w:spacing w:line="161" w:lineRule="exact" w:before="0"/>
                          <w:ind w:left="0" w:right="18" w:firstLine="0"/>
                          <w:jc w:val="right"/>
                          <w:rPr>
                            <w:rFonts w:ascii="Arial"/>
                            <w:sz w:val="14"/>
                          </w:rPr>
                        </w:pPr>
                        <w:r>
                          <w:rPr>
                            <w:rFonts w:ascii="Arial"/>
                            <w:color w:val="231F20"/>
                            <w:spacing w:val="-5"/>
                            <w:sz w:val="14"/>
                          </w:rPr>
                          <w:t>4%</w:t>
                        </w:r>
                      </w:p>
                    </w:txbxContent>
                  </v:textbox>
                  <w10:wrap type="none"/>
                </v:shape>
                <v:shape style="position:absolute;left:878;top:2566;width:588;height:324" type="#_x0000_t202" id="docshape1774" filled="false" stroked="false">
                  <v:textbox inset="0,0,0,0">
                    <w:txbxContent>
                      <w:p>
                        <w:pPr>
                          <w:spacing w:before="1"/>
                          <w:ind w:left="163" w:right="17" w:hanging="164"/>
                          <w:jc w:val="left"/>
                          <w:rPr>
                            <w:rFonts w:ascii="Arial"/>
                            <w:sz w:val="14"/>
                          </w:rPr>
                        </w:pPr>
                        <w:r>
                          <w:rPr>
                            <w:rFonts w:ascii="Arial"/>
                            <w:color w:val="231F20"/>
                            <w:spacing w:val="-2"/>
                            <w:w w:val="85"/>
                            <w:sz w:val="14"/>
                          </w:rPr>
                          <w:t>South</w:t>
                        </w:r>
                        <w:r>
                          <w:rPr>
                            <w:rFonts w:ascii="Arial"/>
                            <w:color w:val="231F20"/>
                            <w:spacing w:val="-6"/>
                            <w:w w:val="85"/>
                            <w:sz w:val="14"/>
                          </w:rPr>
                          <w:t> </w:t>
                        </w:r>
                        <w:r>
                          <w:rPr>
                            <w:rFonts w:ascii="Arial"/>
                            <w:color w:val="231F20"/>
                            <w:spacing w:val="-2"/>
                            <w:w w:val="85"/>
                            <w:sz w:val="14"/>
                          </w:rPr>
                          <w:t>Asia</w:t>
                        </w:r>
                        <w:r>
                          <w:rPr>
                            <w:rFonts w:ascii="Arial"/>
                            <w:color w:val="231F20"/>
                            <w:spacing w:val="40"/>
                            <w:sz w:val="14"/>
                          </w:rPr>
                          <w:t> </w:t>
                        </w:r>
                        <w:r>
                          <w:rPr>
                            <w:rFonts w:ascii="Arial"/>
                            <w:color w:val="231F20"/>
                            <w:spacing w:val="-4"/>
                            <w:w w:val="95"/>
                            <w:sz w:val="14"/>
                          </w:rPr>
                          <w:t>11%</w:t>
                        </w:r>
                      </w:p>
                    </w:txbxContent>
                  </v:textbox>
                  <w10:wrap type="none"/>
                </v:shape>
                <v:shape style="position:absolute;left:2545;top:2158;width:660;height:484" type="#_x0000_t202" id="docshape1775" filled="false" stroked="false">
                  <v:textbox inset="0,0,0,0">
                    <w:txbxContent>
                      <w:p>
                        <w:pPr>
                          <w:spacing w:before="0"/>
                          <w:ind w:left="0" w:right="18" w:firstLine="0"/>
                          <w:jc w:val="center"/>
                          <w:rPr>
                            <w:rFonts w:ascii="Arial"/>
                            <w:sz w:val="14"/>
                          </w:rPr>
                        </w:pPr>
                        <w:r>
                          <w:rPr>
                            <w:rFonts w:ascii="Arial"/>
                            <w:color w:val="FFFFFF"/>
                            <w:sz w:val="14"/>
                          </w:rPr>
                          <w:t>Europe</w:t>
                        </w:r>
                        <w:r>
                          <w:rPr>
                            <w:rFonts w:ascii="Arial"/>
                            <w:color w:val="FFFFFF"/>
                            <w:spacing w:val="-10"/>
                            <w:sz w:val="14"/>
                          </w:rPr>
                          <w:t> </w:t>
                        </w:r>
                        <w:r>
                          <w:rPr>
                            <w:rFonts w:ascii="Arial"/>
                            <w:color w:val="FFFFFF"/>
                            <w:sz w:val="14"/>
                          </w:rPr>
                          <w:t>&amp;</w:t>
                        </w:r>
                        <w:r>
                          <w:rPr>
                            <w:rFonts w:ascii="Arial"/>
                            <w:color w:val="FFFFFF"/>
                            <w:spacing w:val="40"/>
                            <w:sz w:val="14"/>
                          </w:rPr>
                          <w:t> </w:t>
                        </w:r>
                        <w:r>
                          <w:rPr>
                            <w:rFonts w:ascii="Arial"/>
                            <w:color w:val="FFFFFF"/>
                            <w:spacing w:val="-2"/>
                            <w:w w:val="85"/>
                            <w:sz w:val="14"/>
                          </w:rPr>
                          <w:t>Central</w:t>
                        </w:r>
                        <w:r>
                          <w:rPr>
                            <w:rFonts w:ascii="Arial"/>
                            <w:color w:val="FFFFFF"/>
                            <w:spacing w:val="-6"/>
                            <w:w w:val="85"/>
                            <w:sz w:val="14"/>
                          </w:rPr>
                          <w:t> </w:t>
                        </w:r>
                        <w:r>
                          <w:rPr>
                            <w:rFonts w:ascii="Arial"/>
                            <w:color w:val="FFFFFF"/>
                            <w:spacing w:val="-2"/>
                            <w:w w:val="85"/>
                            <w:sz w:val="14"/>
                          </w:rPr>
                          <w:t>Asia</w:t>
                        </w:r>
                        <w:r>
                          <w:rPr>
                            <w:rFonts w:ascii="Arial"/>
                            <w:color w:val="FFFFFF"/>
                            <w:spacing w:val="40"/>
                            <w:sz w:val="14"/>
                          </w:rPr>
                          <w:t> </w:t>
                        </w:r>
                        <w:r>
                          <w:rPr>
                            <w:rFonts w:ascii="Arial"/>
                            <w:color w:val="FFFFFF"/>
                            <w:spacing w:val="-4"/>
                            <w:sz w:val="14"/>
                          </w:rPr>
                          <w:t>38%</w:t>
                        </w:r>
                      </w:p>
                    </w:txbxContent>
                  </v:textbox>
                  <w10:wrap type="none"/>
                </v:shape>
                <v:shape style="position:absolute;left:4706;top:2408;width:750;height:484" type="#_x0000_t202" id="docshape1776" filled="false" stroked="false">
                  <v:textbox inset="0,0,0,0">
                    <w:txbxContent>
                      <w:p>
                        <w:pPr>
                          <w:spacing w:before="0"/>
                          <w:ind w:left="167" w:right="0" w:hanging="168"/>
                          <w:jc w:val="left"/>
                          <w:rPr>
                            <w:rFonts w:ascii="Arial"/>
                            <w:sz w:val="14"/>
                          </w:rPr>
                        </w:pPr>
                        <w:r>
                          <w:rPr>
                            <w:rFonts w:ascii="Arial"/>
                            <w:color w:val="FFFFFF"/>
                            <w:spacing w:val="-4"/>
                            <w:w w:val="90"/>
                            <w:sz w:val="14"/>
                          </w:rPr>
                          <w:t>Lower</w:t>
                        </w:r>
                        <w:r>
                          <w:rPr>
                            <w:rFonts w:ascii="Arial"/>
                            <w:color w:val="FFFFFF"/>
                            <w:spacing w:val="-6"/>
                            <w:sz w:val="14"/>
                          </w:rPr>
                          <w:t> </w:t>
                        </w:r>
                        <w:r>
                          <w:rPr>
                            <w:rFonts w:ascii="Arial"/>
                            <w:color w:val="FFFFFF"/>
                            <w:spacing w:val="-4"/>
                            <w:w w:val="90"/>
                            <w:sz w:val="14"/>
                          </w:rPr>
                          <w:t>middle</w:t>
                        </w:r>
                        <w:r>
                          <w:rPr>
                            <w:rFonts w:ascii="Arial"/>
                            <w:color w:val="FFFFFF"/>
                            <w:spacing w:val="40"/>
                            <w:sz w:val="14"/>
                          </w:rPr>
                          <w:t> </w:t>
                        </w:r>
                        <w:r>
                          <w:rPr>
                            <w:rFonts w:ascii="Arial"/>
                            <w:color w:val="FFFFFF"/>
                            <w:spacing w:val="-2"/>
                            <w:sz w:val="14"/>
                          </w:rPr>
                          <w:t>income</w:t>
                        </w:r>
                        <w:r>
                          <w:rPr>
                            <w:rFonts w:ascii="Arial"/>
                            <w:color w:val="FFFFFF"/>
                            <w:spacing w:val="40"/>
                            <w:sz w:val="14"/>
                          </w:rPr>
                          <w:t> </w:t>
                        </w:r>
                        <w:r>
                          <w:rPr>
                            <w:rFonts w:ascii="Arial"/>
                            <w:color w:val="FFFFFF"/>
                            <w:spacing w:val="-4"/>
                            <w:sz w:val="14"/>
                          </w:rPr>
                          <w:t>39%</w:t>
                        </w:r>
                      </w:p>
                    </w:txbxContent>
                  </v:textbox>
                  <w10:wrap type="none"/>
                </v:shape>
                <v:shape style="position:absolute;left:6199;top:2194;width:692;height:324" type="#_x0000_t202" id="docshape1777" filled="false" stroked="false">
                  <v:textbox inset="0,0,0,0">
                    <w:txbxContent>
                      <w:p>
                        <w:pPr>
                          <w:spacing w:before="1"/>
                          <w:ind w:left="215" w:right="15" w:hanging="216"/>
                          <w:jc w:val="left"/>
                          <w:rPr>
                            <w:rFonts w:ascii="Arial"/>
                            <w:sz w:val="14"/>
                          </w:rPr>
                        </w:pPr>
                        <w:r>
                          <w:rPr>
                            <w:rFonts w:ascii="Arial"/>
                            <w:color w:val="FFFFFF"/>
                            <w:w w:val="85"/>
                            <w:sz w:val="14"/>
                          </w:rPr>
                          <w:t>High</w:t>
                        </w:r>
                        <w:r>
                          <w:rPr>
                            <w:rFonts w:ascii="Arial"/>
                            <w:color w:val="FFFFFF"/>
                            <w:spacing w:val="-4"/>
                            <w:w w:val="85"/>
                            <w:sz w:val="14"/>
                          </w:rPr>
                          <w:t> </w:t>
                        </w:r>
                        <w:r>
                          <w:rPr>
                            <w:rFonts w:ascii="Arial"/>
                            <w:color w:val="FFFFFF"/>
                            <w:w w:val="85"/>
                            <w:sz w:val="14"/>
                          </w:rPr>
                          <w:t>income</w:t>
                        </w:r>
                        <w:r>
                          <w:rPr>
                            <w:rFonts w:ascii="Arial"/>
                            <w:color w:val="FFFFFF"/>
                            <w:spacing w:val="40"/>
                            <w:sz w:val="14"/>
                          </w:rPr>
                          <w:t> </w:t>
                        </w:r>
                        <w:r>
                          <w:rPr>
                            <w:rFonts w:ascii="Arial"/>
                            <w:color w:val="FFFFFF"/>
                            <w:spacing w:val="-4"/>
                            <w:w w:val="95"/>
                            <w:sz w:val="14"/>
                          </w:rPr>
                          <w:t>35%</w:t>
                        </w:r>
                      </w:p>
                    </w:txbxContent>
                  </v:textbox>
                  <w10:wrap type="none"/>
                </v:shape>
                <v:shape style="position:absolute;left:1196;top:3191;width:1542;height:327" type="#_x0000_t202" id="docshape1778" filled="false" stroked="false">
                  <v:textbox inset="0,0,0,0">
                    <w:txbxContent>
                      <w:p>
                        <w:pPr>
                          <w:spacing w:before="2"/>
                          <w:ind w:left="0" w:right="0" w:firstLine="0"/>
                          <w:jc w:val="left"/>
                          <w:rPr>
                            <w:rFonts w:ascii="Arial"/>
                            <w:sz w:val="14"/>
                          </w:rPr>
                        </w:pPr>
                        <w:r>
                          <w:rPr>
                            <w:rFonts w:ascii="Arial"/>
                            <w:color w:val="FFFFFF"/>
                            <w:w w:val="80"/>
                            <w:sz w:val="14"/>
                          </w:rPr>
                          <w:t>East</w:t>
                        </w:r>
                        <w:r>
                          <w:rPr>
                            <w:rFonts w:ascii="Arial"/>
                            <w:color w:val="FFFFFF"/>
                            <w:spacing w:val="-5"/>
                            <w:sz w:val="14"/>
                          </w:rPr>
                          <w:t> </w:t>
                        </w:r>
                        <w:r>
                          <w:rPr>
                            <w:rFonts w:ascii="Arial"/>
                            <w:color w:val="FFFFFF"/>
                            <w:w w:val="80"/>
                            <w:sz w:val="14"/>
                          </w:rPr>
                          <w:t>Asia</w:t>
                        </w:r>
                        <w:r>
                          <w:rPr>
                            <w:rFonts w:ascii="Arial"/>
                            <w:color w:val="FFFFFF"/>
                            <w:spacing w:val="1"/>
                            <w:sz w:val="14"/>
                          </w:rPr>
                          <w:t> </w:t>
                        </w:r>
                        <w:r>
                          <w:rPr>
                            <w:rFonts w:ascii="Arial"/>
                            <w:color w:val="FFFFFF"/>
                            <w:spacing w:val="-10"/>
                            <w:w w:val="80"/>
                            <w:sz w:val="14"/>
                          </w:rPr>
                          <w:t>&amp;</w:t>
                        </w:r>
                      </w:p>
                      <w:p>
                        <w:pPr>
                          <w:tabs>
                            <w:tab w:pos="819" w:val="left" w:leader="none"/>
                          </w:tabs>
                          <w:spacing w:before="2"/>
                          <w:ind w:left="120" w:right="0" w:firstLine="0"/>
                          <w:jc w:val="left"/>
                          <w:rPr>
                            <w:rFonts w:ascii="Arial"/>
                            <w:sz w:val="14"/>
                          </w:rPr>
                        </w:pPr>
                        <w:r>
                          <w:rPr>
                            <w:rFonts w:ascii="Arial"/>
                            <w:color w:val="FFFFFF"/>
                            <w:spacing w:val="-2"/>
                            <w:w w:val="95"/>
                            <w:sz w:val="14"/>
                          </w:rPr>
                          <w:t>Pacific</w:t>
                        </w:r>
                        <w:r>
                          <w:rPr>
                            <w:rFonts w:ascii="Arial"/>
                            <w:color w:val="FFFFFF"/>
                            <w:sz w:val="14"/>
                          </w:rPr>
                          <w:tab/>
                        </w:r>
                        <w:r>
                          <w:rPr>
                            <w:rFonts w:ascii="Arial"/>
                            <w:color w:val="FFFFFF"/>
                            <w:w w:val="85"/>
                            <w:sz w:val="14"/>
                          </w:rPr>
                          <w:t>Sub-</w:t>
                        </w:r>
                        <w:r>
                          <w:rPr>
                            <w:rFonts w:ascii="Arial"/>
                            <w:color w:val="FFFFFF"/>
                            <w:spacing w:val="-4"/>
                            <w:w w:val="90"/>
                            <w:sz w:val="14"/>
                          </w:rPr>
                          <w:t>Saharan</w:t>
                        </w:r>
                      </w:p>
                    </w:txbxContent>
                  </v:textbox>
                  <w10:wrap type="none"/>
                </v:shape>
                <v:shape style="position:absolute;left:1376;top:3511;width:261;height:164" type="#_x0000_t202" id="docshape1779" filled="false" stroked="false">
                  <v:textbox inset="0,0,0,0">
                    <w:txbxContent>
                      <w:p>
                        <w:pPr>
                          <w:spacing w:before="2"/>
                          <w:ind w:left="0" w:right="0" w:firstLine="0"/>
                          <w:jc w:val="left"/>
                          <w:rPr>
                            <w:rFonts w:ascii="Arial"/>
                            <w:sz w:val="14"/>
                          </w:rPr>
                        </w:pPr>
                        <w:r>
                          <w:rPr>
                            <w:rFonts w:ascii="Arial"/>
                            <w:color w:val="FFFFFF"/>
                            <w:spacing w:val="-11"/>
                            <w:sz w:val="14"/>
                          </w:rPr>
                          <w:t>13%</w:t>
                        </w:r>
                      </w:p>
                    </w:txbxContent>
                  </v:textbox>
                  <w10:wrap type="none"/>
                </v:shape>
                <v:shape style="position:absolute;left:2210;top:3514;width:334;height:324" type="#_x0000_t202" id="docshape1780" filled="false" stroked="false">
                  <v:textbox inset="0,0,0,0">
                    <w:txbxContent>
                      <w:p>
                        <w:pPr>
                          <w:spacing w:before="1"/>
                          <w:ind w:left="36" w:right="12" w:hanging="37"/>
                          <w:jc w:val="left"/>
                          <w:rPr>
                            <w:rFonts w:ascii="Arial"/>
                            <w:sz w:val="14"/>
                          </w:rPr>
                        </w:pPr>
                        <w:r>
                          <w:rPr>
                            <w:rFonts w:ascii="Arial"/>
                            <w:color w:val="FFFFFF"/>
                            <w:spacing w:val="-4"/>
                            <w:w w:val="90"/>
                            <w:sz w:val="14"/>
                          </w:rPr>
                          <w:t>Africa</w:t>
                        </w:r>
                        <w:r>
                          <w:rPr>
                            <w:rFonts w:ascii="Arial"/>
                            <w:color w:val="FFFFFF"/>
                            <w:spacing w:val="40"/>
                            <w:sz w:val="14"/>
                          </w:rPr>
                          <w:t> </w:t>
                        </w:r>
                        <w:r>
                          <w:rPr>
                            <w:rFonts w:ascii="Arial"/>
                            <w:color w:val="FFFFFF"/>
                            <w:spacing w:val="-5"/>
                            <w:sz w:val="14"/>
                          </w:rPr>
                          <w:t>18%</w:t>
                        </w:r>
                      </w:p>
                    </w:txbxContent>
                  </v:textbox>
                  <w10:wrap type="none"/>
                </v:shape>
                <v:shape style="position:absolute;left:5683;top:3313;width:738;height:484" type="#_x0000_t202" id="docshape1781" filled="false" stroked="false">
                  <v:textbox inset="0,0,0,0">
                    <w:txbxContent>
                      <w:p>
                        <w:pPr>
                          <w:spacing w:before="0"/>
                          <w:ind w:left="161" w:right="15" w:hanging="162"/>
                          <w:jc w:val="left"/>
                          <w:rPr>
                            <w:rFonts w:ascii="Arial"/>
                            <w:sz w:val="14"/>
                          </w:rPr>
                        </w:pPr>
                        <w:r>
                          <w:rPr>
                            <w:rFonts w:ascii="Arial"/>
                            <w:color w:val="231F20"/>
                            <w:w w:val="85"/>
                            <w:sz w:val="14"/>
                          </w:rPr>
                          <w:t>Upper</w:t>
                        </w:r>
                        <w:r>
                          <w:rPr>
                            <w:rFonts w:ascii="Arial"/>
                            <w:color w:val="231F20"/>
                            <w:spacing w:val="-4"/>
                            <w:w w:val="85"/>
                            <w:sz w:val="14"/>
                          </w:rPr>
                          <w:t> </w:t>
                        </w:r>
                        <w:r>
                          <w:rPr>
                            <w:rFonts w:ascii="Arial"/>
                            <w:color w:val="231F20"/>
                            <w:w w:val="85"/>
                            <w:sz w:val="14"/>
                          </w:rPr>
                          <w:t>middle</w:t>
                        </w:r>
                        <w:r>
                          <w:rPr>
                            <w:rFonts w:ascii="Arial"/>
                            <w:color w:val="231F20"/>
                            <w:spacing w:val="40"/>
                            <w:sz w:val="14"/>
                          </w:rPr>
                          <w:t> </w:t>
                        </w:r>
                        <w:r>
                          <w:rPr>
                            <w:rFonts w:ascii="Arial"/>
                            <w:color w:val="231F20"/>
                            <w:spacing w:val="-2"/>
                            <w:sz w:val="14"/>
                          </w:rPr>
                          <w:t>income</w:t>
                        </w:r>
                        <w:r>
                          <w:rPr>
                            <w:rFonts w:ascii="Arial"/>
                            <w:color w:val="231F20"/>
                            <w:spacing w:val="40"/>
                            <w:sz w:val="14"/>
                          </w:rPr>
                          <w:t> </w:t>
                        </w:r>
                        <w:r>
                          <w:rPr>
                            <w:rFonts w:ascii="Arial"/>
                            <w:color w:val="231F20"/>
                            <w:spacing w:val="-4"/>
                            <w:sz w:val="14"/>
                          </w:rPr>
                          <w:t>21%</w:t>
                        </w:r>
                      </w:p>
                    </w:txbxContent>
                  </v:textbox>
                  <w10:wrap type="none"/>
                </v:shape>
                <v:shape style="position:absolute;left:120;top:4217;width:1034;height:144" type="#_x0000_t202" id="docshape1782" filled="false" stroked="false">
                  <v:textbox inset="0,0,0,0">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1"/>
                            <w:w w:val="80"/>
                            <w:sz w:val="12"/>
                          </w:rPr>
                          <w:t> </w:t>
                        </w:r>
                        <w:r>
                          <w:rPr>
                            <w:rFonts w:ascii="Arial"/>
                            <w:color w:val="231F20"/>
                            <w:w w:val="80"/>
                            <w:sz w:val="12"/>
                          </w:rPr>
                          <w:t>2023</w:t>
                        </w:r>
                        <w:r>
                          <w:rPr>
                            <w:rFonts w:ascii="Arial"/>
                            <w:color w:val="231F20"/>
                            <w:spacing w:val="-1"/>
                            <w:w w:val="80"/>
                            <w:sz w:val="12"/>
                          </w:rPr>
                          <w:t> </w:t>
                        </w:r>
                        <w:r>
                          <w:rPr>
                            <w:rFonts w:ascii="Arial"/>
                            <w:color w:val="231F20"/>
                            <w:w w:val="80"/>
                            <w:sz w:val="12"/>
                          </w:rPr>
                          <w:t>LPI</w:t>
                        </w:r>
                        <w:r>
                          <w:rPr>
                            <w:rFonts w:ascii="Arial"/>
                            <w:color w:val="231F20"/>
                            <w:spacing w:val="-1"/>
                            <w:w w:val="80"/>
                            <w:sz w:val="12"/>
                          </w:rPr>
                          <w:t> </w:t>
                        </w:r>
                        <w:r>
                          <w:rPr>
                            <w:rFonts w:ascii="Arial"/>
                            <w:color w:val="231F20"/>
                            <w:spacing w:val="-2"/>
                            <w:w w:val="80"/>
                            <w:sz w:val="12"/>
                          </w:rPr>
                          <w:t>team.</w:t>
                        </w:r>
                      </w:p>
                    </w:txbxContent>
                  </v:textbox>
                  <w10:wrap type="none"/>
                </v:shape>
              </v:group>
            </w:pict>
          </mc:Fallback>
        </mc:AlternateContent>
      </w:r>
      <w:r>
        <w:rPr>
          <w:sz w:val="20"/>
        </w:rPr>
      </w:r>
    </w:p>
    <w:p>
      <w:pPr>
        <w:spacing w:after="0"/>
        <w:rPr>
          <w:sz w:val="20"/>
        </w:rPr>
        <w:sectPr>
          <w:type w:val="continuous"/>
          <w:pgSz w:w="12240" w:h="15840"/>
          <w:pgMar w:header="0" w:footer="0" w:top="1140" w:bottom="280" w:left="0" w:right="540"/>
        </w:sectPr>
      </w:pPr>
    </w:p>
    <w:p>
      <w:pPr>
        <w:pStyle w:val="BodyText"/>
        <w:rPr>
          <w:sz w:val="20"/>
        </w:rPr>
      </w:pPr>
    </w:p>
    <w:p>
      <w:pPr>
        <w:pStyle w:val="BodyText"/>
        <w:rPr>
          <w:sz w:val="20"/>
        </w:rPr>
      </w:pPr>
    </w:p>
    <w:p>
      <w:pPr>
        <w:pStyle w:val="BodyText"/>
        <w:spacing w:before="140"/>
        <w:rPr>
          <w:sz w:val="20"/>
        </w:rPr>
      </w:pPr>
    </w:p>
    <w:p>
      <w:pPr>
        <w:pStyle w:val="BodyText"/>
        <w:ind w:left="3360"/>
        <w:rPr>
          <w:sz w:val="20"/>
        </w:rPr>
      </w:pPr>
      <w:r>
        <w:rPr>
          <w:sz w:val="20"/>
        </w:rPr>
        <mc:AlternateContent>
          <mc:Choice Requires="wps">
            <w:drawing>
              <wp:inline distT="0" distB="0" distL="0" distR="0">
                <wp:extent cx="4877435" cy="2849880"/>
                <wp:effectExtent l="0" t="9525" r="0" b="7619"/>
                <wp:docPr id="2070" name="Group 2070"/>
                <wp:cNvGraphicFramePr>
                  <a:graphicFrameLocks/>
                </wp:cNvGraphicFramePr>
                <a:graphic>
                  <a:graphicData uri="http://schemas.microsoft.com/office/word/2010/wordprocessingGroup">
                    <wpg:wgp>
                      <wpg:cNvPr id="2070" name="Group 2070"/>
                      <wpg:cNvGrpSpPr/>
                      <wpg:grpSpPr>
                        <a:xfrm>
                          <a:off x="0" y="0"/>
                          <a:ext cx="4877435" cy="2849880"/>
                          <a:chExt cx="4877435" cy="2849880"/>
                        </a:xfrm>
                      </wpg:grpSpPr>
                      <wps:wsp>
                        <wps:cNvPr id="2071" name="Graphic 2071"/>
                        <wps:cNvSpPr/>
                        <wps:spPr>
                          <a:xfrm>
                            <a:off x="198" y="258093"/>
                            <a:ext cx="4876800" cy="2591435"/>
                          </a:xfrm>
                          <a:custGeom>
                            <a:avLst/>
                            <a:gdLst/>
                            <a:ahLst/>
                            <a:cxnLst/>
                            <a:rect l="l" t="t" r="r" b="b"/>
                            <a:pathLst>
                              <a:path w="4876800" h="2591435">
                                <a:moveTo>
                                  <a:pt x="4876800" y="0"/>
                                </a:moveTo>
                                <a:lnTo>
                                  <a:pt x="0" y="0"/>
                                </a:lnTo>
                                <a:lnTo>
                                  <a:pt x="0" y="2516505"/>
                                </a:lnTo>
                                <a:lnTo>
                                  <a:pt x="6159" y="2545603"/>
                                </a:lnTo>
                                <a:lnTo>
                                  <a:pt x="22693" y="2569363"/>
                                </a:lnTo>
                                <a:lnTo>
                                  <a:pt x="46682" y="2585383"/>
                                </a:lnTo>
                                <a:lnTo>
                                  <a:pt x="75209" y="2591257"/>
                                </a:lnTo>
                                <a:lnTo>
                                  <a:pt x="4797920" y="2591257"/>
                                </a:lnTo>
                                <a:lnTo>
                                  <a:pt x="4827020" y="2586002"/>
                                </a:lnTo>
                                <a:lnTo>
                                  <a:pt x="4852271" y="2571016"/>
                                </a:lnTo>
                                <a:lnTo>
                                  <a:pt x="4870066" y="2547462"/>
                                </a:lnTo>
                                <a:lnTo>
                                  <a:pt x="4876800" y="2516505"/>
                                </a:lnTo>
                                <a:lnTo>
                                  <a:pt x="4876800" y="0"/>
                                </a:lnTo>
                                <a:close/>
                              </a:path>
                            </a:pathLst>
                          </a:custGeom>
                          <a:solidFill>
                            <a:srgbClr val="DFEAF7"/>
                          </a:solidFill>
                        </wps:spPr>
                        <wps:bodyPr wrap="square" lIns="0" tIns="0" rIns="0" bIns="0" rtlCol="0">
                          <a:prstTxWarp prst="textNoShape">
                            <a:avLst/>
                          </a:prstTxWarp>
                          <a:noAutofit/>
                        </wps:bodyPr>
                      </wps:wsp>
                      <wps:wsp>
                        <wps:cNvPr id="2072" name="Graphic 2072"/>
                        <wps:cNvSpPr/>
                        <wps:spPr>
                          <a:xfrm>
                            <a:off x="0" y="0"/>
                            <a:ext cx="563245" cy="231775"/>
                          </a:xfrm>
                          <a:custGeom>
                            <a:avLst/>
                            <a:gdLst/>
                            <a:ahLst/>
                            <a:cxnLst/>
                            <a:rect l="l" t="t" r="r" b="b"/>
                            <a:pathLst>
                              <a:path w="563245" h="231775">
                                <a:moveTo>
                                  <a:pt x="562978" y="0"/>
                                </a:moveTo>
                                <a:lnTo>
                                  <a:pt x="76200" y="0"/>
                                </a:lnTo>
                                <a:lnTo>
                                  <a:pt x="47213" y="3058"/>
                                </a:lnTo>
                                <a:lnTo>
                                  <a:pt x="22917" y="14506"/>
                                </a:lnTo>
                                <a:lnTo>
                                  <a:pt x="6212" y="37751"/>
                                </a:lnTo>
                                <a:lnTo>
                                  <a:pt x="0" y="76200"/>
                                </a:lnTo>
                                <a:lnTo>
                                  <a:pt x="0" y="231775"/>
                                </a:lnTo>
                                <a:lnTo>
                                  <a:pt x="562978" y="231775"/>
                                </a:lnTo>
                                <a:lnTo>
                                  <a:pt x="562978" y="0"/>
                                </a:lnTo>
                                <a:close/>
                              </a:path>
                            </a:pathLst>
                          </a:custGeom>
                          <a:solidFill>
                            <a:srgbClr val="008FDD"/>
                          </a:solidFill>
                        </wps:spPr>
                        <wps:bodyPr wrap="square" lIns="0" tIns="0" rIns="0" bIns="0" rtlCol="0">
                          <a:prstTxWarp prst="textNoShape">
                            <a:avLst/>
                          </a:prstTxWarp>
                          <a:noAutofit/>
                        </wps:bodyPr>
                      </wps:wsp>
                      <wps:wsp>
                        <wps:cNvPr id="2073" name="Graphic 2073"/>
                        <wps:cNvSpPr/>
                        <wps:spPr>
                          <a:xfrm>
                            <a:off x="562978" y="0"/>
                            <a:ext cx="4313555" cy="231775"/>
                          </a:xfrm>
                          <a:custGeom>
                            <a:avLst/>
                            <a:gdLst/>
                            <a:ahLst/>
                            <a:cxnLst/>
                            <a:rect l="l" t="t" r="r" b="b"/>
                            <a:pathLst>
                              <a:path w="4313555" h="231775">
                                <a:moveTo>
                                  <a:pt x="4237126" y="0"/>
                                </a:moveTo>
                                <a:lnTo>
                                  <a:pt x="0" y="0"/>
                                </a:lnTo>
                                <a:lnTo>
                                  <a:pt x="0" y="231775"/>
                                </a:lnTo>
                                <a:lnTo>
                                  <a:pt x="4313326" y="231775"/>
                                </a:lnTo>
                                <a:lnTo>
                                  <a:pt x="4313326" y="76200"/>
                                </a:lnTo>
                                <a:lnTo>
                                  <a:pt x="4307820" y="50979"/>
                                </a:lnTo>
                                <a:lnTo>
                                  <a:pt x="4292295" y="26265"/>
                                </a:lnTo>
                                <a:lnTo>
                                  <a:pt x="4268235" y="7468"/>
                                </a:lnTo>
                                <a:lnTo>
                                  <a:pt x="4237126" y="0"/>
                                </a:lnTo>
                                <a:close/>
                              </a:path>
                            </a:pathLst>
                          </a:custGeom>
                          <a:solidFill>
                            <a:srgbClr val="808285"/>
                          </a:solidFill>
                        </wps:spPr>
                        <wps:bodyPr wrap="square" lIns="0" tIns="0" rIns="0" bIns="0" rtlCol="0">
                          <a:prstTxWarp prst="textNoShape">
                            <a:avLst/>
                          </a:prstTxWarp>
                          <a:noAutofit/>
                        </wps:bodyPr>
                      </wps:wsp>
                      <wps:wsp>
                        <wps:cNvPr id="2074" name="Graphic 2074"/>
                        <wps:cNvSpPr/>
                        <wps:spPr>
                          <a:xfrm>
                            <a:off x="562979" y="0"/>
                            <a:ext cx="1270" cy="240665"/>
                          </a:xfrm>
                          <a:custGeom>
                            <a:avLst/>
                            <a:gdLst/>
                            <a:ahLst/>
                            <a:cxnLst/>
                            <a:rect l="l" t="t" r="r" b="b"/>
                            <a:pathLst>
                              <a:path w="0" h="240665">
                                <a:moveTo>
                                  <a:pt x="0" y="0"/>
                                </a:moveTo>
                                <a:lnTo>
                                  <a:pt x="0" y="240487"/>
                                </a:lnTo>
                              </a:path>
                            </a:pathLst>
                          </a:custGeom>
                          <a:ln w="25400">
                            <a:solidFill>
                              <a:srgbClr val="FFFFFF"/>
                            </a:solidFill>
                            <a:prstDash val="solid"/>
                          </a:ln>
                        </wps:spPr>
                        <wps:bodyPr wrap="square" lIns="0" tIns="0" rIns="0" bIns="0" rtlCol="0">
                          <a:prstTxWarp prst="textNoShape">
                            <a:avLst/>
                          </a:prstTxWarp>
                          <a:noAutofit/>
                        </wps:bodyPr>
                      </wps:wsp>
                      <wps:wsp>
                        <wps:cNvPr id="2075" name="Graphic 2075"/>
                        <wps:cNvSpPr/>
                        <wps:spPr>
                          <a:xfrm>
                            <a:off x="3264020" y="782784"/>
                            <a:ext cx="431800" cy="890269"/>
                          </a:xfrm>
                          <a:custGeom>
                            <a:avLst/>
                            <a:gdLst/>
                            <a:ahLst/>
                            <a:cxnLst/>
                            <a:rect l="l" t="t" r="r" b="b"/>
                            <a:pathLst>
                              <a:path w="431800" h="890269">
                                <a:moveTo>
                                  <a:pt x="431520" y="0"/>
                                </a:moveTo>
                                <a:lnTo>
                                  <a:pt x="380629" y="1371"/>
                                </a:lnTo>
                                <a:lnTo>
                                  <a:pt x="330517" y="5489"/>
                                </a:lnTo>
                                <a:lnTo>
                                  <a:pt x="281166" y="12357"/>
                                </a:lnTo>
                                <a:lnTo>
                                  <a:pt x="232557" y="21981"/>
                                </a:lnTo>
                                <a:lnTo>
                                  <a:pt x="184672" y="34366"/>
                                </a:lnTo>
                                <a:lnTo>
                                  <a:pt x="137493" y="49516"/>
                                </a:lnTo>
                                <a:lnTo>
                                  <a:pt x="90999" y="67437"/>
                                </a:lnTo>
                                <a:lnTo>
                                  <a:pt x="45175" y="88132"/>
                                </a:lnTo>
                                <a:lnTo>
                                  <a:pt x="0" y="111607"/>
                                </a:lnTo>
                                <a:lnTo>
                                  <a:pt x="431520" y="890092"/>
                                </a:lnTo>
                                <a:lnTo>
                                  <a:pt x="431520" y="0"/>
                                </a:lnTo>
                                <a:close/>
                              </a:path>
                            </a:pathLst>
                          </a:custGeom>
                          <a:solidFill>
                            <a:srgbClr val="691C32"/>
                          </a:solidFill>
                        </wps:spPr>
                        <wps:bodyPr wrap="square" lIns="0" tIns="0" rIns="0" bIns="0" rtlCol="0">
                          <a:prstTxWarp prst="textNoShape">
                            <a:avLst/>
                          </a:prstTxWarp>
                          <a:noAutofit/>
                        </wps:bodyPr>
                      </wps:wsp>
                      <wps:wsp>
                        <wps:cNvPr id="2076" name="Graphic 2076"/>
                        <wps:cNvSpPr/>
                        <wps:spPr>
                          <a:xfrm>
                            <a:off x="2870269" y="894392"/>
                            <a:ext cx="825500" cy="778510"/>
                          </a:xfrm>
                          <a:custGeom>
                            <a:avLst/>
                            <a:gdLst/>
                            <a:ahLst/>
                            <a:cxnLst/>
                            <a:rect l="l" t="t" r="r" b="b"/>
                            <a:pathLst>
                              <a:path w="825500" h="778510">
                                <a:moveTo>
                                  <a:pt x="393750" y="0"/>
                                </a:moveTo>
                                <a:lnTo>
                                  <a:pt x="348591" y="26582"/>
                                </a:lnTo>
                                <a:lnTo>
                                  <a:pt x="305753" y="54990"/>
                                </a:lnTo>
                                <a:lnTo>
                                  <a:pt x="265211" y="85247"/>
                                </a:lnTo>
                                <a:lnTo>
                                  <a:pt x="226945" y="117380"/>
                                </a:lnTo>
                                <a:lnTo>
                                  <a:pt x="190931" y="151414"/>
                                </a:lnTo>
                                <a:lnTo>
                                  <a:pt x="157146" y="187375"/>
                                </a:lnTo>
                                <a:lnTo>
                                  <a:pt x="125569" y="225289"/>
                                </a:lnTo>
                                <a:lnTo>
                                  <a:pt x="96176" y="265181"/>
                                </a:lnTo>
                                <a:lnTo>
                                  <a:pt x="68945" y="307077"/>
                                </a:lnTo>
                                <a:lnTo>
                                  <a:pt x="43854" y="351003"/>
                                </a:lnTo>
                                <a:lnTo>
                                  <a:pt x="20880" y="396984"/>
                                </a:lnTo>
                                <a:lnTo>
                                  <a:pt x="0" y="445046"/>
                                </a:lnTo>
                                <a:lnTo>
                                  <a:pt x="825271" y="778484"/>
                                </a:lnTo>
                                <a:lnTo>
                                  <a:pt x="393750" y="0"/>
                                </a:lnTo>
                                <a:close/>
                              </a:path>
                            </a:pathLst>
                          </a:custGeom>
                          <a:solidFill>
                            <a:srgbClr val="939598"/>
                          </a:solidFill>
                        </wps:spPr>
                        <wps:bodyPr wrap="square" lIns="0" tIns="0" rIns="0" bIns="0" rtlCol="0">
                          <a:prstTxWarp prst="textNoShape">
                            <a:avLst/>
                          </a:prstTxWarp>
                          <a:noAutofit/>
                        </wps:bodyPr>
                      </wps:wsp>
                      <wps:wsp>
                        <wps:cNvPr id="2077" name="Graphic 2077"/>
                        <wps:cNvSpPr/>
                        <wps:spPr>
                          <a:xfrm>
                            <a:off x="2802554" y="1339438"/>
                            <a:ext cx="893444" cy="638175"/>
                          </a:xfrm>
                          <a:custGeom>
                            <a:avLst/>
                            <a:gdLst/>
                            <a:ahLst/>
                            <a:cxnLst/>
                            <a:rect l="l" t="t" r="r" b="b"/>
                            <a:pathLst>
                              <a:path w="893444" h="638175">
                                <a:moveTo>
                                  <a:pt x="67715" y="0"/>
                                </a:moveTo>
                                <a:lnTo>
                                  <a:pt x="49214" y="49307"/>
                                </a:lnTo>
                                <a:lnTo>
                                  <a:pt x="33657" y="98392"/>
                                </a:lnTo>
                                <a:lnTo>
                                  <a:pt x="21043" y="147303"/>
                                </a:lnTo>
                                <a:lnTo>
                                  <a:pt x="11371" y="196091"/>
                                </a:lnTo>
                                <a:lnTo>
                                  <a:pt x="4640" y="244806"/>
                                </a:lnTo>
                                <a:lnTo>
                                  <a:pt x="850" y="293497"/>
                                </a:lnTo>
                                <a:lnTo>
                                  <a:pt x="0" y="342214"/>
                                </a:lnTo>
                                <a:lnTo>
                                  <a:pt x="2087" y="391008"/>
                                </a:lnTo>
                                <a:lnTo>
                                  <a:pt x="7113" y="439928"/>
                                </a:lnTo>
                                <a:lnTo>
                                  <a:pt x="15076" y="489024"/>
                                </a:lnTo>
                                <a:lnTo>
                                  <a:pt x="25975" y="538346"/>
                                </a:lnTo>
                                <a:lnTo>
                                  <a:pt x="39809" y="587945"/>
                                </a:lnTo>
                                <a:lnTo>
                                  <a:pt x="56577" y="637870"/>
                                </a:lnTo>
                                <a:lnTo>
                                  <a:pt x="892987" y="333438"/>
                                </a:lnTo>
                                <a:lnTo>
                                  <a:pt x="67715" y="0"/>
                                </a:lnTo>
                                <a:close/>
                              </a:path>
                            </a:pathLst>
                          </a:custGeom>
                          <a:solidFill>
                            <a:srgbClr val="76AEE5"/>
                          </a:solidFill>
                        </wps:spPr>
                        <wps:bodyPr wrap="square" lIns="0" tIns="0" rIns="0" bIns="0" rtlCol="0">
                          <a:prstTxWarp prst="textNoShape">
                            <a:avLst/>
                          </a:prstTxWarp>
                          <a:noAutofit/>
                        </wps:bodyPr>
                      </wps:wsp>
                      <wps:wsp>
                        <wps:cNvPr id="2078" name="Graphic 2078"/>
                        <wps:cNvSpPr/>
                        <wps:spPr>
                          <a:xfrm>
                            <a:off x="2859131" y="1672876"/>
                            <a:ext cx="836930" cy="831215"/>
                          </a:xfrm>
                          <a:custGeom>
                            <a:avLst/>
                            <a:gdLst/>
                            <a:ahLst/>
                            <a:cxnLst/>
                            <a:rect l="l" t="t" r="r" b="b"/>
                            <a:pathLst>
                              <a:path w="836930" h="831215">
                                <a:moveTo>
                                  <a:pt x="836409" y="0"/>
                                </a:moveTo>
                                <a:lnTo>
                                  <a:pt x="0" y="304431"/>
                                </a:lnTo>
                                <a:lnTo>
                                  <a:pt x="19538" y="354120"/>
                                </a:lnTo>
                                <a:lnTo>
                                  <a:pt x="41229" y="401741"/>
                                </a:lnTo>
                                <a:lnTo>
                                  <a:pt x="65070" y="447291"/>
                                </a:lnTo>
                                <a:lnTo>
                                  <a:pt x="91056" y="490766"/>
                                </a:lnTo>
                                <a:lnTo>
                                  <a:pt x="119183" y="532162"/>
                                </a:lnTo>
                                <a:lnTo>
                                  <a:pt x="149449" y="571476"/>
                                </a:lnTo>
                                <a:lnTo>
                                  <a:pt x="181849" y="608703"/>
                                </a:lnTo>
                                <a:lnTo>
                                  <a:pt x="216380" y="643841"/>
                                </a:lnTo>
                                <a:lnTo>
                                  <a:pt x="253037" y="676885"/>
                                </a:lnTo>
                                <a:lnTo>
                                  <a:pt x="291817" y="707831"/>
                                </a:lnTo>
                                <a:lnTo>
                                  <a:pt x="332717" y="736677"/>
                                </a:lnTo>
                                <a:lnTo>
                                  <a:pt x="375733" y="763417"/>
                                </a:lnTo>
                                <a:lnTo>
                                  <a:pt x="420860" y="788049"/>
                                </a:lnTo>
                                <a:lnTo>
                                  <a:pt x="468096" y="810569"/>
                                </a:lnTo>
                                <a:lnTo>
                                  <a:pt x="517436" y="830973"/>
                                </a:lnTo>
                                <a:lnTo>
                                  <a:pt x="836409" y="0"/>
                                </a:lnTo>
                                <a:close/>
                              </a:path>
                            </a:pathLst>
                          </a:custGeom>
                          <a:solidFill>
                            <a:srgbClr val="231F20"/>
                          </a:solidFill>
                        </wps:spPr>
                        <wps:bodyPr wrap="square" lIns="0" tIns="0" rIns="0" bIns="0" rtlCol="0">
                          <a:prstTxWarp prst="textNoShape">
                            <a:avLst/>
                          </a:prstTxWarp>
                          <a:noAutofit/>
                        </wps:bodyPr>
                      </wps:wsp>
                      <wps:wsp>
                        <wps:cNvPr id="2079" name="Graphic 2079"/>
                        <wps:cNvSpPr/>
                        <wps:spPr>
                          <a:xfrm>
                            <a:off x="3376567" y="782784"/>
                            <a:ext cx="1209675" cy="1780539"/>
                          </a:xfrm>
                          <a:custGeom>
                            <a:avLst/>
                            <a:gdLst/>
                            <a:ahLst/>
                            <a:cxnLst/>
                            <a:rect l="l" t="t" r="r" b="b"/>
                            <a:pathLst>
                              <a:path w="1209675" h="1780539">
                                <a:moveTo>
                                  <a:pt x="318973" y="0"/>
                                </a:moveTo>
                                <a:lnTo>
                                  <a:pt x="318973" y="890092"/>
                                </a:lnTo>
                                <a:lnTo>
                                  <a:pt x="0" y="1721065"/>
                                </a:lnTo>
                                <a:lnTo>
                                  <a:pt x="53052" y="1739816"/>
                                </a:lnTo>
                                <a:lnTo>
                                  <a:pt x="104958" y="1754788"/>
                                </a:lnTo>
                                <a:lnTo>
                                  <a:pt x="156610" y="1766146"/>
                                </a:lnTo>
                                <a:lnTo>
                                  <a:pt x="208900" y="1774055"/>
                                </a:lnTo>
                                <a:lnTo>
                                  <a:pt x="262724" y="1778679"/>
                                </a:lnTo>
                                <a:lnTo>
                                  <a:pt x="318973" y="1780184"/>
                                </a:lnTo>
                                <a:lnTo>
                                  <a:pt x="367809" y="1778867"/>
                                </a:lnTo>
                                <a:lnTo>
                                  <a:pt x="415957" y="1774961"/>
                                </a:lnTo>
                                <a:lnTo>
                                  <a:pt x="463349" y="1768534"/>
                                </a:lnTo>
                                <a:lnTo>
                                  <a:pt x="509917" y="1759654"/>
                                </a:lnTo>
                                <a:lnTo>
                                  <a:pt x="555593" y="1748389"/>
                                </a:lnTo>
                                <a:lnTo>
                                  <a:pt x="600309" y="1734806"/>
                                </a:lnTo>
                                <a:lnTo>
                                  <a:pt x="643997" y="1718974"/>
                                </a:lnTo>
                                <a:lnTo>
                                  <a:pt x="686590" y="1700960"/>
                                </a:lnTo>
                                <a:lnTo>
                                  <a:pt x="728019" y="1680832"/>
                                </a:lnTo>
                                <a:lnTo>
                                  <a:pt x="768217" y="1658659"/>
                                </a:lnTo>
                                <a:lnTo>
                                  <a:pt x="807116" y="1634508"/>
                                </a:lnTo>
                                <a:lnTo>
                                  <a:pt x="844647" y="1608446"/>
                                </a:lnTo>
                                <a:lnTo>
                                  <a:pt x="880744" y="1580542"/>
                                </a:lnTo>
                                <a:lnTo>
                                  <a:pt x="915338" y="1550864"/>
                                </a:lnTo>
                                <a:lnTo>
                                  <a:pt x="948361" y="1519480"/>
                                </a:lnTo>
                                <a:lnTo>
                                  <a:pt x="979745" y="1486457"/>
                                </a:lnTo>
                                <a:lnTo>
                                  <a:pt x="1009423" y="1451863"/>
                                </a:lnTo>
                                <a:lnTo>
                                  <a:pt x="1037327" y="1415766"/>
                                </a:lnTo>
                                <a:lnTo>
                                  <a:pt x="1063389" y="1378235"/>
                                </a:lnTo>
                                <a:lnTo>
                                  <a:pt x="1087540" y="1339336"/>
                                </a:lnTo>
                                <a:lnTo>
                                  <a:pt x="1109713" y="1299138"/>
                                </a:lnTo>
                                <a:lnTo>
                                  <a:pt x="1129841" y="1257709"/>
                                </a:lnTo>
                                <a:lnTo>
                                  <a:pt x="1147855" y="1215116"/>
                                </a:lnTo>
                                <a:lnTo>
                                  <a:pt x="1163687" y="1171428"/>
                                </a:lnTo>
                                <a:lnTo>
                                  <a:pt x="1177270" y="1126712"/>
                                </a:lnTo>
                                <a:lnTo>
                                  <a:pt x="1188535" y="1081036"/>
                                </a:lnTo>
                                <a:lnTo>
                                  <a:pt x="1197415" y="1034468"/>
                                </a:lnTo>
                                <a:lnTo>
                                  <a:pt x="1203842" y="987076"/>
                                </a:lnTo>
                                <a:lnTo>
                                  <a:pt x="1207748" y="938928"/>
                                </a:lnTo>
                                <a:lnTo>
                                  <a:pt x="1209065" y="890092"/>
                                </a:lnTo>
                                <a:lnTo>
                                  <a:pt x="1207748" y="841255"/>
                                </a:lnTo>
                                <a:lnTo>
                                  <a:pt x="1203842" y="793107"/>
                                </a:lnTo>
                                <a:lnTo>
                                  <a:pt x="1197415" y="745715"/>
                                </a:lnTo>
                                <a:lnTo>
                                  <a:pt x="1188535" y="699148"/>
                                </a:lnTo>
                                <a:lnTo>
                                  <a:pt x="1177270" y="653472"/>
                                </a:lnTo>
                                <a:lnTo>
                                  <a:pt x="1163687" y="608756"/>
                                </a:lnTo>
                                <a:lnTo>
                                  <a:pt x="1147855" y="565068"/>
                                </a:lnTo>
                                <a:lnTo>
                                  <a:pt x="1129841" y="522475"/>
                                </a:lnTo>
                                <a:lnTo>
                                  <a:pt x="1109713" y="481045"/>
                                </a:lnTo>
                                <a:lnTo>
                                  <a:pt x="1087540" y="440848"/>
                                </a:lnTo>
                                <a:lnTo>
                                  <a:pt x="1063389" y="401949"/>
                                </a:lnTo>
                                <a:lnTo>
                                  <a:pt x="1037327" y="364417"/>
                                </a:lnTo>
                                <a:lnTo>
                                  <a:pt x="1009423" y="328320"/>
                                </a:lnTo>
                                <a:lnTo>
                                  <a:pt x="979745" y="293727"/>
                                </a:lnTo>
                                <a:lnTo>
                                  <a:pt x="948361" y="260704"/>
                                </a:lnTo>
                                <a:lnTo>
                                  <a:pt x="915338" y="229319"/>
                                </a:lnTo>
                                <a:lnTo>
                                  <a:pt x="880744" y="199641"/>
                                </a:lnTo>
                                <a:lnTo>
                                  <a:pt x="844647" y="171737"/>
                                </a:lnTo>
                                <a:lnTo>
                                  <a:pt x="807116" y="145676"/>
                                </a:lnTo>
                                <a:lnTo>
                                  <a:pt x="768217" y="121524"/>
                                </a:lnTo>
                                <a:lnTo>
                                  <a:pt x="728019" y="99351"/>
                                </a:lnTo>
                                <a:lnTo>
                                  <a:pt x="686590" y="79223"/>
                                </a:lnTo>
                                <a:lnTo>
                                  <a:pt x="643997" y="61210"/>
                                </a:lnTo>
                                <a:lnTo>
                                  <a:pt x="600309" y="45378"/>
                                </a:lnTo>
                                <a:lnTo>
                                  <a:pt x="555593" y="31795"/>
                                </a:lnTo>
                                <a:lnTo>
                                  <a:pt x="509917" y="20530"/>
                                </a:lnTo>
                                <a:lnTo>
                                  <a:pt x="463349" y="11649"/>
                                </a:lnTo>
                                <a:lnTo>
                                  <a:pt x="415957" y="5223"/>
                                </a:lnTo>
                                <a:lnTo>
                                  <a:pt x="367809" y="1317"/>
                                </a:lnTo>
                                <a:lnTo>
                                  <a:pt x="318973" y="0"/>
                                </a:lnTo>
                                <a:close/>
                              </a:path>
                            </a:pathLst>
                          </a:custGeom>
                          <a:solidFill>
                            <a:srgbClr val="008FDD"/>
                          </a:solidFill>
                        </wps:spPr>
                        <wps:bodyPr wrap="square" lIns="0" tIns="0" rIns="0" bIns="0" rtlCol="0">
                          <a:prstTxWarp prst="textNoShape">
                            <a:avLst/>
                          </a:prstTxWarp>
                          <a:noAutofit/>
                        </wps:bodyPr>
                      </wps:wsp>
                      <wps:wsp>
                        <wps:cNvPr id="2080" name="Graphic 2080"/>
                        <wps:cNvSpPr/>
                        <wps:spPr>
                          <a:xfrm>
                            <a:off x="1057553" y="782784"/>
                            <a:ext cx="124460" cy="890269"/>
                          </a:xfrm>
                          <a:custGeom>
                            <a:avLst/>
                            <a:gdLst/>
                            <a:ahLst/>
                            <a:cxnLst/>
                            <a:rect l="l" t="t" r="r" b="b"/>
                            <a:pathLst>
                              <a:path w="124460" h="890269">
                                <a:moveTo>
                                  <a:pt x="123875" y="0"/>
                                </a:moveTo>
                                <a:lnTo>
                                  <a:pt x="93543" y="594"/>
                                </a:lnTo>
                                <a:lnTo>
                                  <a:pt x="61795" y="2306"/>
                                </a:lnTo>
                                <a:lnTo>
                                  <a:pt x="30117" y="5030"/>
                                </a:lnTo>
                                <a:lnTo>
                                  <a:pt x="0" y="8661"/>
                                </a:lnTo>
                                <a:lnTo>
                                  <a:pt x="123875" y="890092"/>
                                </a:lnTo>
                                <a:lnTo>
                                  <a:pt x="123875" y="0"/>
                                </a:lnTo>
                                <a:close/>
                              </a:path>
                            </a:pathLst>
                          </a:custGeom>
                          <a:solidFill>
                            <a:srgbClr val="939598"/>
                          </a:solidFill>
                        </wps:spPr>
                        <wps:bodyPr wrap="square" lIns="0" tIns="0" rIns="0" bIns="0" rtlCol="0">
                          <a:prstTxWarp prst="textNoShape">
                            <a:avLst/>
                          </a:prstTxWarp>
                          <a:noAutofit/>
                        </wps:bodyPr>
                      </wps:wsp>
                      <wps:wsp>
                        <wps:cNvPr id="2081" name="Graphic 2081"/>
                        <wps:cNvSpPr/>
                        <wps:spPr>
                          <a:xfrm>
                            <a:off x="847990" y="791446"/>
                            <a:ext cx="334010" cy="882015"/>
                          </a:xfrm>
                          <a:custGeom>
                            <a:avLst/>
                            <a:gdLst/>
                            <a:ahLst/>
                            <a:cxnLst/>
                            <a:rect l="l" t="t" r="r" b="b"/>
                            <a:pathLst>
                              <a:path w="334010" h="882015">
                                <a:moveTo>
                                  <a:pt x="209562" y="0"/>
                                </a:moveTo>
                                <a:lnTo>
                                  <a:pt x="154499" y="9242"/>
                                </a:lnTo>
                                <a:lnTo>
                                  <a:pt x="102947" y="21221"/>
                                </a:lnTo>
                                <a:lnTo>
                                  <a:pt x="52312" y="36629"/>
                                </a:lnTo>
                                <a:lnTo>
                                  <a:pt x="0" y="56159"/>
                                </a:lnTo>
                                <a:lnTo>
                                  <a:pt x="333438" y="881430"/>
                                </a:lnTo>
                                <a:lnTo>
                                  <a:pt x="209562" y="0"/>
                                </a:lnTo>
                                <a:close/>
                              </a:path>
                            </a:pathLst>
                          </a:custGeom>
                          <a:solidFill>
                            <a:srgbClr val="691C32"/>
                          </a:solidFill>
                        </wps:spPr>
                        <wps:bodyPr wrap="square" lIns="0" tIns="0" rIns="0" bIns="0" rtlCol="0">
                          <a:prstTxWarp prst="textNoShape">
                            <a:avLst/>
                          </a:prstTxWarp>
                          <a:noAutofit/>
                        </wps:bodyPr>
                      </wps:wsp>
                      <wps:wsp>
                        <wps:cNvPr id="2082" name="Graphic 2082"/>
                        <wps:cNvSpPr/>
                        <wps:spPr>
                          <a:xfrm>
                            <a:off x="374737" y="847605"/>
                            <a:ext cx="807085" cy="825500"/>
                          </a:xfrm>
                          <a:custGeom>
                            <a:avLst/>
                            <a:gdLst/>
                            <a:ahLst/>
                            <a:cxnLst/>
                            <a:rect l="l" t="t" r="r" b="b"/>
                            <a:pathLst>
                              <a:path w="807085" h="825500">
                                <a:moveTo>
                                  <a:pt x="473252" y="0"/>
                                </a:moveTo>
                                <a:lnTo>
                                  <a:pt x="424329" y="21294"/>
                                </a:lnTo>
                                <a:lnTo>
                                  <a:pt x="377482" y="44806"/>
                                </a:lnTo>
                                <a:lnTo>
                                  <a:pt x="332715" y="70533"/>
                                </a:lnTo>
                                <a:lnTo>
                                  <a:pt x="290030" y="98474"/>
                                </a:lnTo>
                                <a:lnTo>
                                  <a:pt x="249430" y="128625"/>
                                </a:lnTo>
                                <a:lnTo>
                                  <a:pt x="210917" y="160984"/>
                                </a:lnTo>
                                <a:lnTo>
                                  <a:pt x="174494" y="195547"/>
                                </a:lnTo>
                                <a:lnTo>
                                  <a:pt x="140164" y="232314"/>
                                </a:lnTo>
                                <a:lnTo>
                                  <a:pt x="107930" y="271281"/>
                                </a:lnTo>
                                <a:lnTo>
                                  <a:pt x="77793" y="312445"/>
                                </a:lnTo>
                                <a:lnTo>
                                  <a:pt x="49758" y="355804"/>
                                </a:lnTo>
                                <a:lnTo>
                                  <a:pt x="23826" y="401356"/>
                                </a:lnTo>
                                <a:lnTo>
                                  <a:pt x="0" y="449097"/>
                                </a:lnTo>
                                <a:lnTo>
                                  <a:pt x="806691" y="825271"/>
                                </a:lnTo>
                                <a:lnTo>
                                  <a:pt x="473252" y="0"/>
                                </a:lnTo>
                                <a:close/>
                              </a:path>
                            </a:pathLst>
                          </a:custGeom>
                          <a:solidFill>
                            <a:srgbClr val="76AEE5"/>
                          </a:solidFill>
                        </wps:spPr>
                        <wps:bodyPr wrap="square" lIns="0" tIns="0" rIns="0" bIns="0" rtlCol="0">
                          <a:prstTxWarp prst="textNoShape">
                            <a:avLst/>
                          </a:prstTxWarp>
                          <a:noAutofit/>
                        </wps:bodyPr>
                      </wps:wsp>
                      <wps:wsp>
                        <wps:cNvPr id="2083" name="Graphic 2083"/>
                        <wps:cNvSpPr/>
                        <wps:spPr>
                          <a:xfrm>
                            <a:off x="286781" y="1296703"/>
                            <a:ext cx="894715" cy="887094"/>
                          </a:xfrm>
                          <a:custGeom>
                            <a:avLst/>
                            <a:gdLst/>
                            <a:ahLst/>
                            <a:cxnLst/>
                            <a:rect l="l" t="t" r="r" b="b"/>
                            <a:pathLst>
                              <a:path w="894715" h="887094">
                                <a:moveTo>
                                  <a:pt x="87955" y="0"/>
                                </a:moveTo>
                                <a:lnTo>
                                  <a:pt x="67268" y="47468"/>
                                </a:lnTo>
                                <a:lnTo>
                                  <a:pt x="49360" y="95149"/>
                                </a:lnTo>
                                <a:lnTo>
                                  <a:pt x="34226" y="142990"/>
                                </a:lnTo>
                                <a:lnTo>
                                  <a:pt x="21860" y="190938"/>
                                </a:lnTo>
                                <a:lnTo>
                                  <a:pt x="12260" y="238939"/>
                                </a:lnTo>
                                <a:lnTo>
                                  <a:pt x="5419" y="286939"/>
                                </a:lnTo>
                                <a:lnTo>
                                  <a:pt x="1334" y="334887"/>
                                </a:lnTo>
                                <a:lnTo>
                                  <a:pt x="0" y="382727"/>
                                </a:lnTo>
                                <a:lnTo>
                                  <a:pt x="1411" y="430408"/>
                                </a:lnTo>
                                <a:lnTo>
                                  <a:pt x="5564" y="477876"/>
                                </a:lnTo>
                                <a:lnTo>
                                  <a:pt x="12453" y="525078"/>
                                </a:lnTo>
                                <a:lnTo>
                                  <a:pt x="22074" y="571960"/>
                                </a:lnTo>
                                <a:lnTo>
                                  <a:pt x="34423" y="618469"/>
                                </a:lnTo>
                                <a:lnTo>
                                  <a:pt x="49494" y="664552"/>
                                </a:lnTo>
                                <a:lnTo>
                                  <a:pt x="67283" y="710156"/>
                                </a:lnTo>
                                <a:lnTo>
                                  <a:pt x="87786" y="755227"/>
                                </a:lnTo>
                                <a:lnTo>
                                  <a:pt x="110997" y="799713"/>
                                </a:lnTo>
                                <a:lnTo>
                                  <a:pt x="136913" y="843559"/>
                                </a:lnTo>
                                <a:lnTo>
                                  <a:pt x="165527" y="886714"/>
                                </a:lnTo>
                                <a:lnTo>
                                  <a:pt x="894647" y="376174"/>
                                </a:lnTo>
                                <a:lnTo>
                                  <a:pt x="87955" y="0"/>
                                </a:lnTo>
                                <a:close/>
                              </a:path>
                            </a:pathLst>
                          </a:custGeom>
                          <a:solidFill>
                            <a:srgbClr val="A8979A"/>
                          </a:solidFill>
                        </wps:spPr>
                        <wps:bodyPr wrap="square" lIns="0" tIns="0" rIns="0" bIns="0" rtlCol="0">
                          <a:prstTxWarp prst="textNoShape">
                            <a:avLst/>
                          </a:prstTxWarp>
                          <a:noAutofit/>
                        </wps:bodyPr>
                      </wps:wsp>
                      <wps:wsp>
                        <wps:cNvPr id="2084" name="Graphic 2084"/>
                        <wps:cNvSpPr/>
                        <wps:spPr>
                          <a:xfrm>
                            <a:off x="452309" y="1672876"/>
                            <a:ext cx="1430655" cy="890269"/>
                          </a:xfrm>
                          <a:custGeom>
                            <a:avLst/>
                            <a:gdLst/>
                            <a:ahLst/>
                            <a:cxnLst/>
                            <a:rect l="l" t="t" r="r" b="b"/>
                            <a:pathLst>
                              <a:path w="1430655" h="890269">
                                <a:moveTo>
                                  <a:pt x="729119" y="0"/>
                                </a:moveTo>
                                <a:lnTo>
                                  <a:pt x="0" y="510540"/>
                                </a:lnTo>
                                <a:lnTo>
                                  <a:pt x="32202" y="553992"/>
                                </a:lnTo>
                                <a:lnTo>
                                  <a:pt x="65684" y="594034"/>
                                </a:lnTo>
                                <a:lnTo>
                                  <a:pt x="101178" y="631434"/>
                                </a:lnTo>
                                <a:lnTo>
                                  <a:pt x="139415" y="666964"/>
                                </a:lnTo>
                                <a:lnTo>
                                  <a:pt x="181127" y="701395"/>
                                </a:lnTo>
                                <a:lnTo>
                                  <a:pt x="220422" y="730425"/>
                                </a:lnTo>
                                <a:lnTo>
                                  <a:pt x="260768" y="756990"/>
                                </a:lnTo>
                                <a:lnTo>
                                  <a:pt x="302071" y="781104"/>
                                </a:lnTo>
                                <a:lnTo>
                                  <a:pt x="344234" y="802777"/>
                                </a:lnTo>
                                <a:lnTo>
                                  <a:pt x="387163" y="822021"/>
                                </a:lnTo>
                                <a:lnTo>
                                  <a:pt x="430762" y="838848"/>
                                </a:lnTo>
                                <a:lnTo>
                                  <a:pt x="474936" y="853270"/>
                                </a:lnTo>
                                <a:lnTo>
                                  <a:pt x="519590" y="865298"/>
                                </a:lnTo>
                                <a:lnTo>
                                  <a:pt x="564628" y="874944"/>
                                </a:lnTo>
                                <a:lnTo>
                                  <a:pt x="609956" y="882220"/>
                                </a:lnTo>
                                <a:lnTo>
                                  <a:pt x="655477" y="887137"/>
                                </a:lnTo>
                                <a:lnTo>
                                  <a:pt x="701097" y="889708"/>
                                </a:lnTo>
                                <a:lnTo>
                                  <a:pt x="746720" y="889943"/>
                                </a:lnTo>
                                <a:lnTo>
                                  <a:pt x="792252" y="887854"/>
                                </a:lnTo>
                                <a:lnTo>
                                  <a:pt x="837596" y="883454"/>
                                </a:lnTo>
                                <a:lnTo>
                                  <a:pt x="882658" y="876754"/>
                                </a:lnTo>
                                <a:lnTo>
                                  <a:pt x="927342" y="867766"/>
                                </a:lnTo>
                                <a:lnTo>
                                  <a:pt x="971553" y="856500"/>
                                </a:lnTo>
                                <a:lnTo>
                                  <a:pt x="1015196" y="842970"/>
                                </a:lnTo>
                                <a:lnTo>
                                  <a:pt x="1058176" y="827186"/>
                                </a:lnTo>
                                <a:lnTo>
                                  <a:pt x="1100396" y="809161"/>
                                </a:lnTo>
                                <a:lnTo>
                                  <a:pt x="1141763" y="788906"/>
                                </a:lnTo>
                                <a:lnTo>
                                  <a:pt x="1182180" y="766433"/>
                                </a:lnTo>
                                <a:lnTo>
                                  <a:pt x="1221552" y="741753"/>
                                </a:lnTo>
                                <a:lnTo>
                                  <a:pt x="1259785" y="714878"/>
                                </a:lnTo>
                                <a:lnTo>
                                  <a:pt x="1296782" y="685820"/>
                                </a:lnTo>
                                <a:lnTo>
                                  <a:pt x="1332449" y="654591"/>
                                </a:lnTo>
                                <a:lnTo>
                                  <a:pt x="1366691" y="621202"/>
                                </a:lnTo>
                                <a:lnTo>
                                  <a:pt x="1399411" y="585665"/>
                                </a:lnTo>
                                <a:lnTo>
                                  <a:pt x="1430515" y="547992"/>
                                </a:lnTo>
                                <a:lnTo>
                                  <a:pt x="729119" y="0"/>
                                </a:lnTo>
                                <a:close/>
                              </a:path>
                            </a:pathLst>
                          </a:custGeom>
                          <a:solidFill>
                            <a:srgbClr val="231F20"/>
                          </a:solidFill>
                        </wps:spPr>
                        <wps:bodyPr wrap="square" lIns="0" tIns="0" rIns="0" bIns="0" rtlCol="0">
                          <a:prstTxWarp prst="textNoShape">
                            <a:avLst/>
                          </a:prstTxWarp>
                          <a:noAutofit/>
                        </wps:bodyPr>
                      </wps:wsp>
                      <wps:wsp>
                        <wps:cNvPr id="2085" name="Graphic 2085"/>
                        <wps:cNvSpPr/>
                        <wps:spPr>
                          <a:xfrm>
                            <a:off x="1181428" y="782784"/>
                            <a:ext cx="890269" cy="1438275"/>
                          </a:xfrm>
                          <a:custGeom>
                            <a:avLst/>
                            <a:gdLst/>
                            <a:ahLst/>
                            <a:cxnLst/>
                            <a:rect l="l" t="t" r="r" b="b"/>
                            <a:pathLst>
                              <a:path w="890269" h="1438275">
                                <a:moveTo>
                                  <a:pt x="0" y="0"/>
                                </a:moveTo>
                                <a:lnTo>
                                  <a:pt x="0" y="890092"/>
                                </a:lnTo>
                                <a:lnTo>
                                  <a:pt x="701395" y="1438084"/>
                                </a:lnTo>
                                <a:lnTo>
                                  <a:pt x="732128" y="1396708"/>
                                </a:lnTo>
                                <a:lnTo>
                                  <a:pt x="760034" y="1354838"/>
                                </a:lnTo>
                                <a:lnTo>
                                  <a:pt x="785143" y="1312387"/>
                                </a:lnTo>
                                <a:lnTo>
                                  <a:pt x="807483" y="1269271"/>
                                </a:lnTo>
                                <a:lnTo>
                                  <a:pt x="827085" y="1225404"/>
                                </a:lnTo>
                                <a:lnTo>
                                  <a:pt x="843978" y="1180699"/>
                                </a:lnTo>
                                <a:lnTo>
                                  <a:pt x="858191" y="1135072"/>
                                </a:lnTo>
                                <a:lnTo>
                                  <a:pt x="869754" y="1088436"/>
                                </a:lnTo>
                                <a:lnTo>
                                  <a:pt x="878696" y="1040706"/>
                                </a:lnTo>
                                <a:lnTo>
                                  <a:pt x="885047" y="991795"/>
                                </a:lnTo>
                                <a:lnTo>
                                  <a:pt x="888835" y="941619"/>
                                </a:lnTo>
                                <a:lnTo>
                                  <a:pt x="890092" y="890092"/>
                                </a:lnTo>
                                <a:lnTo>
                                  <a:pt x="888775" y="841255"/>
                                </a:lnTo>
                                <a:lnTo>
                                  <a:pt x="884869" y="793107"/>
                                </a:lnTo>
                                <a:lnTo>
                                  <a:pt x="878442" y="745715"/>
                                </a:lnTo>
                                <a:lnTo>
                                  <a:pt x="869562" y="699148"/>
                                </a:lnTo>
                                <a:lnTo>
                                  <a:pt x="858296" y="653472"/>
                                </a:lnTo>
                                <a:lnTo>
                                  <a:pt x="844714" y="608756"/>
                                </a:lnTo>
                                <a:lnTo>
                                  <a:pt x="828882" y="565068"/>
                                </a:lnTo>
                                <a:lnTo>
                                  <a:pt x="810868" y="522475"/>
                                </a:lnTo>
                                <a:lnTo>
                                  <a:pt x="790740" y="481045"/>
                                </a:lnTo>
                                <a:lnTo>
                                  <a:pt x="768567" y="440848"/>
                                </a:lnTo>
                                <a:lnTo>
                                  <a:pt x="744415" y="401949"/>
                                </a:lnTo>
                                <a:lnTo>
                                  <a:pt x="718354" y="364417"/>
                                </a:lnTo>
                                <a:lnTo>
                                  <a:pt x="690450" y="328320"/>
                                </a:lnTo>
                                <a:lnTo>
                                  <a:pt x="660772" y="293727"/>
                                </a:lnTo>
                                <a:lnTo>
                                  <a:pt x="629388" y="260704"/>
                                </a:lnTo>
                                <a:lnTo>
                                  <a:pt x="596365" y="229319"/>
                                </a:lnTo>
                                <a:lnTo>
                                  <a:pt x="561771" y="199641"/>
                                </a:lnTo>
                                <a:lnTo>
                                  <a:pt x="525674" y="171737"/>
                                </a:lnTo>
                                <a:lnTo>
                                  <a:pt x="488142" y="145676"/>
                                </a:lnTo>
                                <a:lnTo>
                                  <a:pt x="449244" y="121524"/>
                                </a:lnTo>
                                <a:lnTo>
                                  <a:pt x="409046" y="99351"/>
                                </a:lnTo>
                                <a:lnTo>
                                  <a:pt x="367616" y="79223"/>
                                </a:lnTo>
                                <a:lnTo>
                                  <a:pt x="325024" y="61210"/>
                                </a:lnTo>
                                <a:lnTo>
                                  <a:pt x="281335" y="45378"/>
                                </a:lnTo>
                                <a:lnTo>
                                  <a:pt x="236619" y="31795"/>
                                </a:lnTo>
                                <a:lnTo>
                                  <a:pt x="190944" y="20530"/>
                                </a:lnTo>
                                <a:lnTo>
                                  <a:pt x="144376" y="11649"/>
                                </a:lnTo>
                                <a:lnTo>
                                  <a:pt x="96984" y="5223"/>
                                </a:lnTo>
                                <a:lnTo>
                                  <a:pt x="48836" y="1317"/>
                                </a:lnTo>
                                <a:lnTo>
                                  <a:pt x="0" y="0"/>
                                </a:lnTo>
                                <a:close/>
                              </a:path>
                            </a:pathLst>
                          </a:custGeom>
                          <a:solidFill>
                            <a:srgbClr val="008FDD"/>
                          </a:solidFill>
                        </wps:spPr>
                        <wps:bodyPr wrap="square" lIns="0" tIns="0" rIns="0" bIns="0" rtlCol="0">
                          <a:prstTxWarp prst="textNoShape">
                            <a:avLst/>
                          </a:prstTxWarp>
                          <a:noAutofit/>
                        </wps:bodyPr>
                      </wps:wsp>
                      <wps:wsp>
                        <wps:cNvPr id="2086" name="Textbox 2086"/>
                        <wps:cNvSpPr txBox="1"/>
                        <wps:spPr>
                          <a:xfrm>
                            <a:off x="76380" y="66855"/>
                            <a:ext cx="3583940" cy="121920"/>
                          </a:xfrm>
                          <a:prstGeom prst="rect">
                            <a:avLst/>
                          </a:prstGeom>
                        </wps:spPr>
                        <wps:txbx>
                          <w:txbxContent>
                            <w:p>
                              <w:pPr>
                                <w:spacing w:before="3"/>
                                <w:ind w:left="0" w:right="0" w:firstLine="0"/>
                                <w:jc w:val="left"/>
                                <w:rPr>
                                  <w:rFonts w:ascii="Arial"/>
                                  <w:b/>
                                  <w:sz w:val="16"/>
                                </w:rPr>
                              </w:pPr>
                              <w:r>
                                <w:rPr>
                                  <w:rFonts w:ascii="Arial"/>
                                  <w:color w:val="FFFFFF"/>
                                  <w:sz w:val="16"/>
                                </w:rPr>
                                <w:t>Figure</w:t>
                              </w:r>
                              <w:r>
                                <w:rPr>
                                  <w:rFonts w:ascii="Arial"/>
                                  <w:color w:val="FFFFFF"/>
                                  <w:spacing w:val="5"/>
                                  <w:sz w:val="16"/>
                                </w:rPr>
                                <w:t> </w:t>
                              </w:r>
                              <w:r>
                                <w:rPr>
                                  <w:rFonts w:ascii="Arial"/>
                                  <w:b/>
                                  <w:color w:val="FFFFFF"/>
                                  <w:sz w:val="16"/>
                                </w:rPr>
                                <w:t>A7.2</w:t>
                              </w:r>
                              <w:r>
                                <w:rPr>
                                  <w:rFonts w:ascii="Arial"/>
                                  <w:b/>
                                  <w:color w:val="FFFFFF"/>
                                  <w:spacing w:val="75"/>
                                  <w:w w:val="150"/>
                                  <w:sz w:val="16"/>
                                </w:rPr>
                                <w:t> </w:t>
                              </w:r>
                              <w:r>
                                <w:rPr>
                                  <w:rFonts w:ascii="Arial"/>
                                  <w:b/>
                                  <w:color w:val="FFFFFF"/>
                                  <w:sz w:val="16"/>
                                </w:rPr>
                                <w:t>Respondents</w:t>
                              </w:r>
                              <w:r>
                                <w:rPr>
                                  <w:rFonts w:ascii="Arial"/>
                                  <w:b/>
                                  <w:color w:val="FFFFFF"/>
                                  <w:spacing w:val="5"/>
                                  <w:sz w:val="16"/>
                                </w:rPr>
                                <w:t> </w:t>
                              </w:r>
                              <w:r>
                                <w:rPr>
                                  <w:rFonts w:ascii="Arial"/>
                                  <w:b/>
                                  <w:color w:val="FFFFFF"/>
                                  <w:sz w:val="16"/>
                                </w:rPr>
                                <w:t>by</w:t>
                              </w:r>
                              <w:r>
                                <w:rPr>
                                  <w:rFonts w:ascii="Arial"/>
                                  <w:b/>
                                  <w:color w:val="FFFFFF"/>
                                  <w:spacing w:val="6"/>
                                  <w:sz w:val="16"/>
                                </w:rPr>
                                <w:t> </w:t>
                              </w:r>
                              <w:r>
                                <w:rPr>
                                  <w:rFonts w:ascii="Arial"/>
                                  <w:b/>
                                  <w:color w:val="FFFFFF"/>
                                  <w:sz w:val="16"/>
                                </w:rPr>
                                <w:t>transport</w:t>
                              </w:r>
                              <w:r>
                                <w:rPr>
                                  <w:rFonts w:ascii="Arial"/>
                                  <w:b/>
                                  <w:color w:val="FFFFFF"/>
                                  <w:spacing w:val="5"/>
                                  <w:sz w:val="16"/>
                                </w:rPr>
                                <w:t> </w:t>
                              </w:r>
                              <w:r>
                                <w:rPr>
                                  <w:rFonts w:ascii="Arial"/>
                                  <w:b/>
                                  <w:color w:val="FFFFFF"/>
                                  <w:sz w:val="16"/>
                                </w:rPr>
                                <w:t>mode</w:t>
                              </w:r>
                              <w:r>
                                <w:rPr>
                                  <w:rFonts w:ascii="Arial"/>
                                  <w:b/>
                                  <w:color w:val="FFFFFF"/>
                                  <w:spacing w:val="6"/>
                                  <w:sz w:val="16"/>
                                </w:rPr>
                                <w:t> </w:t>
                              </w:r>
                              <w:r>
                                <w:rPr>
                                  <w:rFonts w:ascii="Arial"/>
                                  <w:b/>
                                  <w:color w:val="FFFFFF"/>
                                  <w:sz w:val="16"/>
                                </w:rPr>
                                <w:t>and</w:t>
                              </w:r>
                              <w:r>
                                <w:rPr>
                                  <w:rFonts w:ascii="Arial"/>
                                  <w:b/>
                                  <w:color w:val="FFFFFF"/>
                                  <w:spacing w:val="6"/>
                                  <w:sz w:val="16"/>
                                </w:rPr>
                                <w:t> </w:t>
                              </w:r>
                              <w:r>
                                <w:rPr>
                                  <w:rFonts w:ascii="Arial"/>
                                  <w:b/>
                                  <w:color w:val="FFFFFF"/>
                                  <w:sz w:val="16"/>
                                </w:rPr>
                                <w:t>economic</w:t>
                              </w:r>
                              <w:r>
                                <w:rPr>
                                  <w:rFonts w:ascii="Arial"/>
                                  <w:b/>
                                  <w:color w:val="FFFFFF"/>
                                  <w:spacing w:val="5"/>
                                  <w:sz w:val="16"/>
                                </w:rPr>
                                <w:t> </w:t>
                              </w:r>
                              <w:r>
                                <w:rPr>
                                  <w:rFonts w:ascii="Arial"/>
                                  <w:b/>
                                  <w:color w:val="FFFFFF"/>
                                  <w:sz w:val="16"/>
                                </w:rPr>
                                <w:t>activity</w:t>
                              </w:r>
                              <w:r>
                                <w:rPr>
                                  <w:rFonts w:ascii="Arial"/>
                                  <w:b/>
                                  <w:color w:val="FFFFFF"/>
                                  <w:spacing w:val="6"/>
                                  <w:sz w:val="16"/>
                                </w:rPr>
                                <w:t> </w:t>
                              </w:r>
                              <w:r>
                                <w:rPr>
                                  <w:rFonts w:ascii="Arial"/>
                                  <w:b/>
                                  <w:color w:val="FFFFFF"/>
                                  <w:spacing w:val="-4"/>
                                  <w:sz w:val="16"/>
                                </w:rPr>
                                <w:t>type</w:t>
                              </w:r>
                            </w:p>
                          </w:txbxContent>
                        </wps:txbx>
                        <wps:bodyPr wrap="square" lIns="0" tIns="0" rIns="0" bIns="0" rtlCol="0">
                          <a:noAutofit/>
                        </wps:bodyPr>
                      </wps:wsp>
                      <wps:wsp>
                        <wps:cNvPr id="2087" name="Textbox 2087"/>
                        <wps:cNvSpPr txBox="1"/>
                        <wps:spPr>
                          <a:xfrm>
                            <a:off x="854993" y="356983"/>
                            <a:ext cx="666115" cy="105410"/>
                          </a:xfrm>
                          <a:prstGeom prst="rect">
                            <a:avLst/>
                          </a:prstGeom>
                        </wps:spPr>
                        <wps:txbx>
                          <w:txbxContent>
                            <w:p>
                              <w:pPr>
                                <w:spacing w:before="3"/>
                                <w:ind w:left="0" w:right="0" w:firstLine="0"/>
                                <w:jc w:val="left"/>
                                <w:rPr>
                                  <w:rFonts w:ascii="Arial"/>
                                  <w:b/>
                                  <w:sz w:val="14"/>
                                </w:rPr>
                              </w:pPr>
                              <w:r>
                                <w:rPr>
                                  <w:rFonts w:ascii="Arial"/>
                                  <w:b/>
                                  <w:color w:val="231F20"/>
                                  <w:w w:val="80"/>
                                  <w:sz w:val="14"/>
                                </w:rPr>
                                <w:t>By</w:t>
                              </w:r>
                              <w:r>
                                <w:rPr>
                                  <w:rFonts w:ascii="Arial"/>
                                  <w:b/>
                                  <w:color w:val="231F20"/>
                                  <w:spacing w:val="1"/>
                                  <w:sz w:val="14"/>
                                </w:rPr>
                                <w:t> </w:t>
                              </w:r>
                              <w:r>
                                <w:rPr>
                                  <w:rFonts w:ascii="Arial"/>
                                  <w:b/>
                                  <w:color w:val="231F20"/>
                                  <w:w w:val="80"/>
                                  <w:sz w:val="14"/>
                                </w:rPr>
                                <w:t>transport</w:t>
                              </w:r>
                              <w:r>
                                <w:rPr>
                                  <w:rFonts w:ascii="Arial"/>
                                  <w:b/>
                                  <w:color w:val="231F20"/>
                                  <w:spacing w:val="1"/>
                                  <w:sz w:val="14"/>
                                </w:rPr>
                                <w:t> </w:t>
                              </w:r>
                              <w:r>
                                <w:rPr>
                                  <w:rFonts w:ascii="Arial"/>
                                  <w:b/>
                                  <w:color w:val="231F20"/>
                                  <w:spacing w:val="-4"/>
                                  <w:w w:val="80"/>
                                  <w:sz w:val="14"/>
                                </w:rPr>
                                <w:t>mode</w:t>
                              </w:r>
                            </w:p>
                          </w:txbxContent>
                        </wps:txbx>
                        <wps:bodyPr wrap="square" lIns="0" tIns="0" rIns="0" bIns="0" rtlCol="0">
                          <a:noAutofit/>
                        </wps:bodyPr>
                      </wps:wsp>
                      <wps:wsp>
                        <wps:cNvPr id="2088" name="Textbox 2088"/>
                        <wps:cNvSpPr txBox="1"/>
                        <wps:spPr>
                          <a:xfrm>
                            <a:off x="3243291" y="356983"/>
                            <a:ext cx="917575" cy="105410"/>
                          </a:xfrm>
                          <a:prstGeom prst="rect">
                            <a:avLst/>
                          </a:prstGeom>
                        </wps:spPr>
                        <wps:txbx>
                          <w:txbxContent>
                            <w:p>
                              <w:pPr>
                                <w:spacing w:before="3"/>
                                <w:ind w:left="0" w:right="0" w:firstLine="0"/>
                                <w:jc w:val="left"/>
                                <w:rPr>
                                  <w:rFonts w:ascii="Arial"/>
                                  <w:b/>
                                  <w:sz w:val="14"/>
                                </w:rPr>
                              </w:pPr>
                              <w:r>
                                <w:rPr>
                                  <w:rFonts w:ascii="Arial"/>
                                  <w:b/>
                                  <w:color w:val="231F20"/>
                                  <w:w w:val="80"/>
                                  <w:sz w:val="14"/>
                                </w:rPr>
                                <w:t>By</w:t>
                              </w:r>
                              <w:r>
                                <w:rPr>
                                  <w:rFonts w:ascii="Arial"/>
                                  <w:b/>
                                  <w:color w:val="231F20"/>
                                  <w:spacing w:val="3"/>
                                  <w:sz w:val="14"/>
                                </w:rPr>
                                <w:t> </w:t>
                              </w:r>
                              <w:r>
                                <w:rPr>
                                  <w:rFonts w:ascii="Arial"/>
                                  <w:b/>
                                  <w:color w:val="231F20"/>
                                  <w:w w:val="80"/>
                                  <w:sz w:val="14"/>
                                </w:rPr>
                                <w:t>economic</w:t>
                              </w:r>
                              <w:r>
                                <w:rPr>
                                  <w:rFonts w:ascii="Arial"/>
                                  <w:b/>
                                  <w:color w:val="231F20"/>
                                  <w:spacing w:val="4"/>
                                  <w:sz w:val="14"/>
                                </w:rPr>
                                <w:t> </w:t>
                              </w:r>
                              <w:r>
                                <w:rPr>
                                  <w:rFonts w:ascii="Arial"/>
                                  <w:b/>
                                  <w:color w:val="231F20"/>
                                  <w:w w:val="80"/>
                                  <w:sz w:val="14"/>
                                </w:rPr>
                                <w:t>activity</w:t>
                              </w:r>
                              <w:r>
                                <w:rPr>
                                  <w:rFonts w:ascii="Arial"/>
                                  <w:b/>
                                  <w:color w:val="231F20"/>
                                  <w:spacing w:val="3"/>
                                  <w:sz w:val="14"/>
                                </w:rPr>
                                <w:t> </w:t>
                              </w:r>
                              <w:r>
                                <w:rPr>
                                  <w:rFonts w:ascii="Arial"/>
                                  <w:b/>
                                  <w:color w:val="231F20"/>
                                  <w:spacing w:val="-4"/>
                                  <w:w w:val="80"/>
                                  <w:sz w:val="14"/>
                                </w:rPr>
                                <w:t>type</w:t>
                              </w:r>
                            </w:p>
                          </w:txbxContent>
                        </wps:txbx>
                        <wps:bodyPr wrap="square" lIns="0" tIns="0" rIns="0" bIns="0" rtlCol="0">
                          <a:noAutofit/>
                        </wps:bodyPr>
                      </wps:wsp>
                      <wps:wsp>
                        <wps:cNvPr id="2089" name="Textbox 2089"/>
                        <wps:cNvSpPr txBox="1"/>
                        <wps:spPr>
                          <a:xfrm>
                            <a:off x="1084799" y="563053"/>
                            <a:ext cx="572135" cy="205740"/>
                          </a:xfrm>
                          <a:prstGeom prst="rect">
                            <a:avLst/>
                          </a:prstGeom>
                        </wps:spPr>
                        <wps:txbx>
                          <w:txbxContent>
                            <w:p>
                              <w:pPr>
                                <w:spacing w:before="1"/>
                                <w:ind w:left="0" w:right="12" w:firstLine="0"/>
                                <w:jc w:val="left"/>
                                <w:rPr>
                                  <w:rFonts w:ascii="Arial"/>
                                  <w:sz w:val="14"/>
                                </w:rPr>
                              </w:pPr>
                              <w:r>
                                <w:rPr>
                                  <w:rFonts w:ascii="Arial"/>
                                  <w:color w:val="231F20"/>
                                  <w:w w:val="85"/>
                                  <w:sz w:val="14"/>
                                </w:rPr>
                                <w:t>Express</w:t>
                              </w:r>
                              <w:r>
                                <w:rPr>
                                  <w:rFonts w:ascii="Arial"/>
                                  <w:color w:val="231F20"/>
                                  <w:spacing w:val="-4"/>
                                  <w:w w:val="85"/>
                                  <w:sz w:val="14"/>
                                </w:rPr>
                                <w:t> </w:t>
                              </w:r>
                              <w:r>
                                <w:rPr>
                                  <w:rFonts w:ascii="Arial"/>
                                  <w:color w:val="231F20"/>
                                  <w:w w:val="85"/>
                                  <w:sz w:val="14"/>
                                </w:rPr>
                                <w:t>delivery</w:t>
                              </w:r>
                              <w:r>
                                <w:rPr>
                                  <w:rFonts w:ascii="Arial"/>
                                  <w:color w:val="231F20"/>
                                  <w:spacing w:val="40"/>
                                  <w:sz w:val="14"/>
                                </w:rPr>
                                <w:t> </w:t>
                              </w:r>
                              <w:r>
                                <w:rPr>
                                  <w:rFonts w:ascii="Arial"/>
                                  <w:color w:val="231F20"/>
                                  <w:spacing w:val="-6"/>
                                  <w:w w:val="95"/>
                                  <w:sz w:val="14"/>
                                </w:rPr>
                                <w:t>2%</w:t>
                              </w:r>
                            </w:p>
                          </w:txbxContent>
                        </wps:txbx>
                        <wps:bodyPr wrap="square" lIns="0" tIns="0" rIns="0" bIns="0" rtlCol="0">
                          <a:noAutofit/>
                        </wps:bodyPr>
                      </wps:wsp>
                      <wps:wsp>
                        <wps:cNvPr id="2090" name="Textbox 2090"/>
                        <wps:cNvSpPr txBox="1"/>
                        <wps:spPr>
                          <a:xfrm>
                            <a:off x="2758964" y="586078"/>
                            <a:ext cx="801370" cy="205740"/>
                          </a:xfrm>
                          <a:prstGeom prst="rect">
                            <a:avLst/>
                          </a:prstGeom>
                        </wps:spPr>
                        <wps:txbx>
                          <w:txbxContent>
                            <w:p>
                              <w:pPr>
                                <w:spacing w:line="161" w:lineRule="exact" w:before="2"/>
                                <w:ind w:left="0" w:right="18" w:firstLine="0"/>
                                <w:jc w:val="right"/>
                                <w:rPr>
                                  <w:rFonts w:ascii="Arial"/>
                                  <w:sz w:val="14"/>
                                </w:rPr>
                              </w:pPr>
                              <w:r>
                                <w:rPr>
                                  <w:rFonts w:ascii="Arial"/>
                                  <w:color w:val="231F20"/>
                                  <w:w w:val="85"/>
                                  <w:sz w:val="14"/>
                                </w:rPr>
                                <w:t>Export/import</w:t>
                              </w:r>
                              <w:r>
                                <w:rPr>
                                  <w:rFonts w:ascii="Arial"/>
                                  <w:color w:val="231F20"/>
                                  <w:spacing w:val="16"/>
                                  <w:sz w:val="14"/>
                                </w:rPr>
                                <w:t> </w:t>
                              </w:r>
                              <w:r>
                                <w:rPr>
                                  <w:rFonts w:ascii="Arial"/>
                                  <w:color w:val="231F20"/>
                                  <w:spacing w:val="-5"/>
                                  <w:w w:val="90"/>
                                  <w:sz w:val="14"/>
                                </w:rPr>
                                <w:t>(shipper)</w:t>
                              </w:r>
                            </w:p>
                            <w:p>
                              <w:pPr>
                                <w:spacing w:line="161" w:lineRule="exact" w:before="0"/>
                                <w:ind w:left="0" w:right="18" w:firstLine="0"/>
                                <w:jc w:val="right"/>
                                <w:rPr>
                                  <w:rFonts w:ascii="Arial"/>
                                  <w:sz w:val="14"/>
                                </w:rPr>
                              </w:pPr>
                              <w:r>
                                <w:rPr>
                                  <w:rFonts w:ascii="Arial"/>
                                  <w:color w:val="231F20"/>
                                  <w:spacing w:val="-5"/>
                                  <w:sz w:val="14"/>
                                </w:rPr>
                                <w:t>8%</w:t>
                              </w:r>
                            </w:p>
                          </w:txbxContent>
                        </wps:txbx>
                        <wps:bodyPr wrap="square" lIns="0" tIns="0" rIns="0" bIns="0" rtlCol="0">
                          <a:noAutofit/>
                        </wps:bodyPr>
                      </wps:wsp>
                      <wps:wsp>
                        <wps:cNvPr id="2091" name="Textbox 2091"/>
                        <wps:cNvSpPr txBox="1"/>
                        <wps:spPr>
                          <a:xfrm>
                            <a:off x="923446" y="832864"/>
                            <a:ext cx="141605" cy="205740"/>
                          </a:xfrm>
                          <a:prstGeom prst="rect">
                            <a:avLst/>
                          </a:prstGeom>
                        </wps:spPr>
                        <wps:txbx>
                          <w:txbxContent>
                            <w:p>
                              <w:pPr>
                                <w:spacing w:before="1"/>
                                <w:ind w:left="14" w:right="10" w:hanging="15"/>
                                <w:jc w:val="left"/>
                                <w:rPr>
                                  <w:rFonts w:ascii="Arial"/>
                                  <w:sz w:val="14"/>
                                </w:rPr>
                              </w:pPr>
                              <w:r>
                                <w:rPr>
                                  <w:rFonts w:ascii="Arial"/>
                                  <w:color w:val="FFFFFF"/>
                                  <w:spacing w:val="-6"/>
                                  <w:w w:val="90"/>
                                  <w:sz w:val="14"/>
                                </w:rPr>
                                <w:t>Rail</w:t>
                              </w:r>
                              <w:r>
                                <w:rPr>
                                  <w:rFonts w:ascii="Arial"/>
                                  <w:color w:val="FFFFFF"/>
                                  <w:spacing w:val="40"/>
                                  <w:sz w:val="14"/>
                                </w:rPr>
                                <w:t> </w:t>
                              </w:r>
                              <w:r>
                                <w:rPr>
                                  <w:rFonts w:ascii="Arial"/>
                                  <w:color w:val="FFFFFF"/>
                                  <w:spacing w:val="-12"/>
                                  <w:sz w:val="14"/>
                                </w:rPr>
                                <w:t>4%</w:t>
                              </w:r>
                            </w:p>
                          </w:txbxContent>
                        </wps:txbx>
                        <wps:bodyPr wrap="square" lIns="0" tIns="0" rIns="0" bIns="0" rtlCol="0">
                          <a:noAutofit/>
                        </wps:bodyPr>
                      </wps:wsp>
                      <wps:wsp>
                        <wps:cNvPr id="2092" name="Textbox 2092"/>
                        <wps:cNvSpPr txBox="1"/>
                        <wps:spPr>
                          <a:xfrm>
                            <a:off x="578692" y="1046224"/>
                            <a:ext cx="323850" cy="307340"/>
                          </a:xfrm>
                          <a:prstGeom prst="rect">
                            <a:avLst/>
                          </a:prstGeom>
                        </wps:spPr>
                        <wps:txbx>
                          <w:txbxContent>
                            <w:p>
                              <w:pPr>
                                <w:spacing w:before="0"/>
                                <w:ind w:left="-1" w:right="18" w:firstLine="0"/>
                                <w:jc w:val="center"/>
                                <w:rPr>
                                  <w:rFonts w:ascii="Arial"/>
                                  <w:sz w:val="14"/>
                                </w:rPr>
                              </w:pPr>
                              <w:r>
                                <w:rPr>
                                  <w:rFonts w:ascii="Arial"/>
                                  <w:color w:val="231F20"/>
                                  <w:spacing w:val="-4"/>
                                  <w:sz w:val="14"/>
                                </w:rPr>
                                <w:t>Air</w:t>
                              </w:r>
                              <w:r>
                                <w:rPr>
                                  <w:rFonts w:ascii="Arial"/>
                                  <w:color w:val="231F20"/>
                                  <w:spacing w:val="40"/>
                                  <w:sz w:val="14"/>
                                </w:rPr>
                                <w:t> </w:t>
                              </w:r>
                              <w:r>
                                <w:rPr>
                                  <w:rFonts w:ascii="Arial"/>
                                  <w:color w:val="231F20"/>
                                  <w:spacing w:val="-2"/>
                                  <w:w w:val="90"/>
                                  <w:sz w:val="14"/>
                                </w:rPr>
                                <w:t>transport</w:t>
                              </w:r>
                              <w:r>
                                <w:rPr>
                                  <w:rFonts w:ascii="Arial"/>
                                  <w:color w:val="231F20"/>
                                  <w:spacing w:val="40"/>
                                  <w:sz w:val="14"/>
                                </w:rPr>
                                <w:t> </w:t>
                              </w:r>
                              <w:r>
                                <w:rPr>
                                  <w:rFonts w:ascii="Arial"/>
                                  <w:color w:val="231F20"/>
                                  <w:spacing w:val="-4"/>
                                  <w:sz w:val="14"/>
                                </w:rPr>
                                <w:t>12%</w:t>
                              </w:r>
                            </w:p>
                          </w:txbxContent>
                        </wps:txbx>
                        <wps:bodyPr wrap="square" lIns="0" tIns="0" rIns="0" bIns="0" rtlCol="0">
                          <a:noAutofit/>
                        </wps:bodyPr>
                      </wps:wsp>
                      <wps:wsp>
                        <wps:cNvPr id="2093" name="Textbox 2093"/>
                        <wps:cNvSpPr txBox="1"/>
                        <wps:spPr>
                          <a:xfrm>
                            <a:off x="3040333" y="1086585"/>
                            <a:ext cx="359410" cy="307340"/>
                          </a:xfrm>
                          <a:prstGeom prst="rect">
                            <a:avLst/>
                          </a:prstGeom>
                        </wps:spPr>
                        <wps:txbx>
                          <w:txbxContent>
                            <w:p>
                              <w:pPr>
                                <w:spacing w:before="0"/>
                                <w:ind w:left="0" w:right="18" w:firstLine="0"/>
                                <w:jc w:val="center"/>
                                <w:rPr>
                                  <w:rFonts w:ascii="Arial"/>
                                  <w:sz w:val="14"/>
                                </w:rPr>
                              </w:pPr>
                              <w:r>
                                <w:rPr>
                                  <w:rFonts w:ascii="Arial"/>
                                  <w:color w:val="FFFFFF"/>
                                  <w:spacing w:val="-4"/>
                                  <w:sz w:val="14"/>
                                </w:rPr>
                                <w:t>Customs</w:t>
                              </w:r>
                              <w:r>
                                <w:rPr>
                                  <w:rFonts w:ascii="Arial"/>
                                  <w:color w:val="FFFFFF"/>
                                  <w:spacing w:val="40"/>
                                  <w:sz w:val="14"/>
                                </w:rPr>
                                <w:t> </w:t>
                              </w:r>
                              <w:r>
                                <w:rPr>
                                  <w:rFonts w:ascii="Arial"/>
                                  <w:color w:val="FFFFFF"/>
                                  <w:spacing w:val="-2"/>
                                  <w:w w:val="85"/>
                                  <w:sz w:val="14"/>
                                </w:rPr>
                                <w:t>brokerage</w:t>
                              </w:r>
                              <w:r>
                                <w:rPr>
                                  <w:rFonts w:ascii="Arial"/>
                                  <w:color w:val="FFFFFF"/>
                                  <w:spacing w:val="40"/>
                                  <w:sz w:val="14"/>
                                </w:rPr>
                                <w:t> </w:t>
                              </w:r>
                              <w:r>
                                <w:rPr>
                                  <w:rFonts w:ascii="Arial"/>
                                  <w:color w:val="FFFFFF"/>
                                  <w:spacing w:val="-4"/>
                                  <w:sz w:val="14"/>
                                </w:rPr>
                                <w:t>11%</w:t>
                              </w:r>
                            </w:p>
                          </w:txbxContent>
                        </wps:txbx>
                        <wps:bodyPr wrap="square" lIns="0" tIns="0" rIns="0" bIns="0" rtlCol="0">
                          <a:noAutofit/>
                        </wps:bodyPr>
                      </wps:wsp>
                      <wps:wsp>
                        <wps:cNvPr id="2094" name="Textbox 2094"/>
                        <wps:cNvSpPr txBox="1"/>
                        <wps:spPr>
                          <a:xfrm>
                            <a:off x="1438799" y="1393645"/>
                            <a:ext cx="394970" cy="205740"/>
                          </a:xfrm>
                          <a:prstGeom prst="rect">
                            <a:avLst/>
                          </a:prstGeom>
                        </wps:spPr>
                        <wps:txbx>
                          <w:txbxContent>
                            <w:p>
                              <w:pPr>
                                <w:spacing w:before="1"/>
                                <w:ind w:left="180" w:right="13" w:hanging="181"/>
                                <w:jc w:val="left"/>
                                <w:rPr>
                                  <w:rFonts w:ascii="Arial"/>
                                  <w:sz w:val="14"/>
                                </w:rPr>
                              </w:pPr>
                              <w:r>
                                <w:rPr>
                                  <w:rFonts w:ascii="Arial"/>
                                  <w:color w:val="FFFFFF"/>
                                  <w:spacing w:val="-2"/>
                                  <w:w w:val="90"/>
                                  <w:sz w:val="14"/>
                                </w:rPr>
                                <w:t>Multimodal</w:t>
                              </w:r>
                              <w:r>
                                <w:rPr>
                                  <w:rFonts w:ascii="Arial"/>
                                  <w:color w:val="FFFFFF"/>
                                  <w:spacing w:val="40"/>
                                  <w:sz w:val="14"/>
                                </w:rPr>
                                <w:t> </w:t>
                              </w:r>
                              <w:r>
                                <w:rPr>
                                  <w:rFonts w:ascii="Arial"/>
                                  <w:color w:val="FFFFFF"/>
                                  <w:spacing w:val="-4"/>
                                  <w:sz w:val="14"/>
                                </w:rPr>
                                <w:t>36%</w:t>
                              </w:r>
                            </w:p>
                          </w:txbxContent>
                        </wps:txbx>
                        <wps:bodyPr wrap="square" lIns="0" tIns="0" rIns="0" bIns="0" rtlCol="0">
                          <a:noAutofit/>
                        </wps:bodyPr>
                      </wps:wsp>
                      <wps:wsp>
                        <wps:cNvPr id="2095" name="Textbox 2095"/>
                        <wps:cNvSpPr txBox="1"/>
                        <wps:spPr>
                          <a:xfrm>
                            <a:off x="480813" y="1638743"/>
                            <a:ext cx="186055" cy="205740"/>
                          </a:xfrm>
                          <a:prstGeom prst="rect">
                            <a:avLst/>
                          </a:prstGeom>
                        </wps:spPr>
                        <wps:txbx>
                          <w:txbxContent>
                            <w:p>
                              <w:pPr>
                                <w:spacing w:before="1"/>
                                <w:ind w:left="15" w:right="12" w:hanging="16"/>
                                <w:jc w:val="left"/>
                                <w:rPr>
                                  <w:rFonts w:ascii="Arial"/>
                                  <w:sz w:val="14"/>
                                </w:rPr>
                              </w:pPr>
                              <w:r>
                                <w:rPr>
                                  <w:rFonts w:ascii="Arial"/>
                                  <w:color w:val="FFFFFF"/>
                                  <w:spacing w:val="-6"/>
                                  <w:w w:val="85"/>
                                  <w:sz w:val="14"/>
                                </w:rPr>
                                <w:t>Road</w:t>
                              </w:r>
                              <w:r>
                                <w:rPr>
                                  <w:rFonts w:ascii="Arial"/>
                                  <w:color w:val="FFFFFF"/>
                                  <w:spacing w:val="40"/>
                                  <w:sz w:val="14"/>
                                </w:rPr>
                                <w:t> </w:t>
                              </w:r>
                              <w:r>
                                <w:rPr>
                                  <w:rFonts w:ascii="Arial"/>
                                  <w:color w:val="FFFFFF"/>
                                  <w:spacing w:val="-7"/>
                                  <w:w w:val="95"/>
                                  <w:sz w:val="14"/>
                                </w:rPr>
                                <w:t>17%</w:t>
                              </w:r>
                            </w:p>
                          </w:txbxContent>
                        </wps:txbx>
                        <wps:bodyPr wrap="square" lIns="0" tIns="0" rIns="0" bIns="0" rtlCol="0">
                          <a:noAutofit/>
                        </wps:bodyPr>
                      </wps:wsp>
                      <wps:wsp>
                        <wps:cNvPr id="2096" name="Textbox 2096"/>
                        <wps:cNvSpPr txBox="1"/>
                        <wps:spPr>
                          <a:xfrm>
                            <a:off x="2897115" y="1518017"/>
                            <a:ext cx="323850" cy="307340"/>
                          </a:xfrm>
                          <a:prstGeom prst="rect">
                            <a:avLst/>
                          </a:prstGeom>
                        </wps:spPr>
                        <wps:txbx>
                          <w:txbxContent>
                            <w:p>
                              <w:pPr>
                                <w:spacing w:before="0"/>
                                <w:ind w:left="-1" w:right="18" w:firstLine="0"/>
                                <w:jc w:val="center"/>
                                <w:rPr>
                                  <w:rFonts w:ascii="Arial"/>
                                  <w:sz w:val="14"/>
                                </w:rPr>
                              </w:pPr>
                              <w:r>
                                <w:rPr>
                                  <w:rFonts w:ascii="Arial"/>
                                  <w:color w:val="231F20"/>
                                  <w:spacing w:val="-2"/>
                                  <w:sz w:val="14"/>
                                </w:rPr>
                                <w:t>Freight</w:t>
                              </w:r>
                              <w:r>
                                <w:rPr>
                                  <w:rFonts w:ascii="Arial"/>
                                  <w:color w:val="231F20"/>
                                  <w:spacing w:val="40"/>
                                  <w:sz w:val="14"/>
                                </w:rPr>
                                <w:t> </w:t>
                              </w:r>
                              <w:r>
                                <w:rPr>
                                  <w:rFonts w:ascii="Arial"/>
                                  <w:color w:val="231F20"/>
                                  <w:spacing w:val="-2"/>
                                  <w:w w:val="90"/>
                                  <w:sz w:val="14"/>
                                </w:rPr>
                                <w:t>transport</w:t>
                              </w:r>
                              <w:r>
                                <w:rPr>
                                  <w:rFonts w:ascii="Arial"/>
                                  <w:color w:val="231F20"/>
                                  <w:spacing w:val="40"/>
                                  <w:sz w:val="14"/>
                                </w:rPr>
                                <w:t> </w:t>
                              </w:r>
                              <w:r>
                                <w:rPr>
                                  <w:rFonts w:ascii="Arial"/>
                                  <w:color w:val="231F20"/>
                                  <w:spacing w:val="-4"/>
                                  <w:sz w:val="14"/>
                                </w:rPr>
                                <w:t>12%</w:t>
                              </w:r>
                            </w:p>
                          </w:txbxContent>
                        </wps:txbx>
                        <wps:bodyPr wrap="square" lIns="0" tIns="0" rIns="0" bIns="0" rtlCol="0">
                          <a:noAutofit/>
                        </wps:bodyPr>
                      </wps:wsp>
                      <wps:wsp>
                        <wps:cNvPr id="2097" name="Textbox 2097"/>
                        <wps:cNvSpPr txBox="1"/>
                        <wps:spPr>
                          <a:xfrm>
                            <a:off x="3935645" y="1531707"/>
                            <a:ext cx="383540" cy="307340"/>
                          </a:xfrm>
                          <a:prstGeom prst="rect">
                            <a:avLst/>
                          </a:prstGeom>
                        </wps:spPr>
                        <wps:txbx>
                          <w:txbxContent>
                            <w:p>
                              <w:pPr>
                                <w:spacing w:before="0"/>
                                <w:ind w:left="0" w:right="18" w:hanging="1"/>
                                <w:jc w:val="center"/>
                                <w:rPr>
                                  <w:rFonts w:ascii="Arial"/>
                                  <w:sz w:val="14"/>
                                </w:rPr>
                              </w:pPr>
                              <w:r>
                                <w:rPr>
                                  <w:rFonts w:ascii="Arial"/>
                                  <w:color w:val="FFFFFF"/>
                                  <w:spacing w:val="-2"/>
                                  <w:sz w:val="14"/>
                                </w:rPr>
                                <w:t>Freight</w:t>
                              </w:r>
                              <w:r>
                                <w:rPr>
                                  <w:rFonts w:ascii="Arial"/>
                                  <w:color w:val="FFFFFF"/>
                                  <w:spacing w:val="40"/>
                                  <w:sz w:val="14"/>
                                </w:rPr>
                                <w:t> </w:t>
                              </w:r>
                              <w:r>
                                <w:rPr>
                                  <w:rFonts w:ascii="Arial"/>
                                  <w:color w:val="FFFFFF"/>
                                  <w:spacing w:val="-2"/>
                                  <w:w w:val="90"/>
                                  <w:sz w:val="14"/>
                                </w:rPr>
                                <w:t>forwarding</w:t>
                              </w:r>
                              <w:r>
                                <w:rPr>
                                  <w:rFonts w:ascii="Arial"/>
                                  <w:color w:val="FFFFFF"/>
                                  <w:spacing w:val="40"/>
                                  <w:sz w:val="14"/>
                                </w:rPr>
                                <w:t> </w:t>
                              </w:r>
                              <w:r>
                                <w:rPr>
                                  <w:rFonts w:ascii="Arial"/>
                                  <w:color w:val="FFFFFF"/>
                                  <w:spacing w:val="-4"/>
                                  <w:sz w:val="14"/>
                                </w:rPr>
                                <w:t>57%</w:t>
                              </w:r>
                            </w:p>
                          </w:txbxContent>
                        </wps:txbx>
                        <wps:bodyPr wrap="square" lIns="0" tIns="0" rIns="0" bIns="0" rtlCol="0">
                          <a:noAutofit/>
                        </wps:bodyPr>
                      </wps:wsp>
                      <wps:wsp>
                        <wps:cNvPr id="2098" name="Textbox 2098"/>
                        <wps:cNvSpPr txBox="1"/>
                        <wps:spPr>
                          <a:xfrm>
                            <a:off x="1022925" y="2112758"/>
                            <a:ext cx="317500" cy="205740"/>
                          </a:xfrm>
                          <a:prstGeom prst="rect">
                            <a:avLst/>
                          </a:prstGeom>
                        </wps:spPr>
                        <wps:txbx>
                          <w:txbxContent>
                            <w:p>
                              <w:pPr>
                                <w:spacing w:before="1"/>
                                <w:ind w:left="119" w:right="13" w:hanging="120"/>
                                <w:jc w:val="left"/>
                                <w:rPr>
                                  <w:rFonts w:ascii="Arial"/>
                                  <w:sz w:val="14"/>
                                </w:rPr>
                              </w:pPr>
                              <w:r>
                                <w:rPr>
                                  <w:rFonts w:ascii="Arial"/>
                                  <w:color w:val="FFFFFF"/>
                                  <w:spacing w:val="-2"/>
                                  <w:w w:val="90"/>
                                  <w:sz w:val="14"/>
                                </w:rPr>
                                <w:t>Maritime</w:t>
                              </w:r>
                              <w:r>
                                <w:rPr>
                                  <w:rFonts w:ascii="Arial"/>
                                  <w:color w:val="FFFFFF"/>
                                  <w:spacing w:val="40"/>
                                  <w:sz w:val="14"/>
                                </w:rPr>
                                <w:t> </w:t>
                              </w:r>
                              <w:r>
                                <w:rPr>
                                  <w:rFonts w:ascii="Arial"/>
                                  <w:color w:val="FFFFFF"/>
                                  <w:spacing w:val="-4"/>
                                  <w:sz w:val="14"/>
                                </w:rPr>
                                <w:t>30%</w:t>
                              </w:r>
                            </w:p>
                          </w:txbxContent>
                        </wps:txbx>
                        <wps:bodyPr wrap="square" lIns="0" tIns="0" rIns="0" bIns="0" rtlCol="0">
                          <a:noAutofit/>
                        </wps:bodyPr>
                      </wps:wsp>
                      <wps:wsp>
                        <wps:cNvPr id="2099" name="Textbox 2099"/>
                        <wps:cNvSpPr txBox="1"/>
                        <wps:spPr>
                          <a:xfrm>
                            <a:off x="3160792" y="2024302"/>
                            <a:ext cx="199390" cy="205740"/>
                          </a:xfrm>
                          <a:prstGeom prst="rect">
                            <a:avLst/>
                          </a:prstGeom>
                        </wps:spPr>
                        <wps:txbx>
                          <w:txbxContent>
                            <w:p>
                              <w:pPr>
                                <w:spacing w:before="1"/>
                                <w:ind w:left="26" w:right="11" w:hanging="27"/>
                                <w:jc w:val="left"/>
                                <w:rPr>
                                  <w:rFonts w:ascii="Arial"/>
                                  <w:sz w:val="14"/>
                                </w:rPr>
                              </w:pPr>
                              <w:r>
                                <w:rPr>
                                  <w:rFonts w:ascii="Arial"/>
                                  <w:color w:val="FFFFFF"/>
                                  <w:spacing w:val="-4"/>
                                  <w:w w:val="85"/>
                                  <w:sz w:val="14"/>
                                </w:rPr>
                                <w:t>Other</w:t>
                              </w:r>
                              <w:r>
                                <w:rPr>
                                  <w:rFonts w:ascii="Arial"/>
                                  <w:color w:val="FFFFFF"/>
                                  <w:spacing w:val="40"/>
                                  <w:sz w:val="14"/>
                                </w:rPr>
                                <w:t> </w:t>
                              </w:r>
                              <w:r>
                                <w:rPr>
                                  <w:rFonts w:ascii="Arial"/>
                                  <w:color w:val="FFFFFF"/>
                                  <w:spacing w:val="-8"/>
                                  <w:sz w:val="14"/>
                                </w:rPr>
                                <w:t>14%</w:t>
                              </w:r>
                            </w:p>
                          </w:txbxContent>
                        </wps:txbx>
                        <wps:bodyPr wrap="square" lIns="0" tIns="0" rIns="0" bIns="0" rtlCol="0">
                          <a:noAutofit/>
                        </wps:bodyPr>
                      </wps:wsp>
                      <wps:wsp>
                        <wps:cNvPr id="2100" name="Textbox 2100"/>
                        <wps:cNvSpPr txBox="1"/>
                        <wps:spPr>
                          <a:xfrm>
                            <a:off x="76386" y="2677871"/>
                            <a:ext cx="656590" cy="91440"/>
                          </a:xfrm>
                          <a:prstGeom prst="rect">
                            <a:avLst/>
                          </a:prstGeom>
                        </wps:spPr>
                        <wps:txbx>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1"/>
                                  <w:w w:val="80"/>
                                  <w:sz w:val="12"/>
                                </w:rPr>
                                <w:t> </w:t>
                              </w:r>
                              <w:r>
                                <w:rPr>
                                  <w:rFonts w:ascii="Arial"/>
                                  <w:color w:val="231F20"/>
                                  <w:w w:val="80"/>
                                  <w:sz w:val="12"/>
                                </w:rPr>
                                <w:t>2023</w:t>
                              </w:r>
                              <w:r>
                                <w:rPr>
                                  <w:rFonts w:ascii="Arial"/>
                                  <w:color w:val="231F20"/>
                                  <w:spacing w:val="-1"/>
                                  <w:w w:val="80"/>
                                  <w:sz w:val="12"/>
                                </w:rPr>
                                <w:t> </w:t>
                              </w:r>
                              <w:r>
                                <w:rPr>
                                  <w:rFonts w:ascii="Arial"/>
                                  <w:color w:val="231F20"/>
                                  <w:w w:val="80"/>
                                  <w:sz w:val="12"/>
                                </w:rPr>
                                <w:t>LPI</w:t>
                              </w:r>
                              <w:r>
                                <w:rPr>
                                  <w:rFonts w:ascii="Arial"/>
                                  <w:color w:val="231F20"/>
                                  <w:spacing w:val="-1"/>
                                  <w:w w:val="80"/>
                                  <w:sz w:val="12"/>
                                </w:rPr>
                                <w:t> </w:t>
                              </w:r>
                              <w:r>
                                <w:rPr>
                                  <w:rFonts w:ascii="Arial"/>
                                  <w:color w:val="231F20"/>
                                  <w:spacing w:val="-2"/>
                                  <w:w w:val="80"/>
                                  <w:sz w:val="12"/>
                                </w:rPr>
                                <w:t>team.</w:t>
                              </w:r>
                            </w:p>
                          </w:txbxContent>
                        </wps:txbx>
                        <wps:bodyPr wrap="square" lIns="0" tIns="0" rIns="0" bIns="0" rtlCol="0">
                          <a:noAutofit/>
                        </wps:bodyPr>
                      </wps:wsp>
                    </wpg:wgp>
                  </a:graphicData>
                </a:graphic>
              </wp:inline>
            </w:drawing>
          </mc:Choice>
          <mc:Fallback>
            <w:pict>
              <v:group style="width:384.05pt;height:224.4pt;mso-position-horizontal-relative:char;mso-position-vertical-relative:line" id="docshapegroup1787" coordorigin="0,0" coordsize="7681,4488">
                <v:shape style="position:absolute;left:0;top:406;width:7680;height:4081" id="docshape1788" coordorigin="0,406" coordsize="7680,4081" path="m7680,406l0,406,0,4369,10,4415,36,4453,74,4478,119,4487,7556,4487,7602,4479,7642,4455,7670,4418,7680,4369,7680,406xe" filled="true" fillcolor="#dfeaf7" stroked="false">
                  <v:path arrowok="t"/>
                  <v:fill type="solid"/>
                </v:shape>
                <v:shape style="position:absolute;left:0;top:0;width:887;height:365" id="docshape1789" coordorigin="0,0" coordsize="887,365" path="m887,0l120,0,74,5,36,23,10,59,0,120,0,365,887,365,887,0xe" filled="true" fillcolor="#008fdd" stroked="false">
                  <v:path arrowok="t"/>
                  <v:fill type="solid"/>
                </v:shape>
                <v:shape style="position:absolute;left:886;top:0;width:6793;height:365" id="docshape1790" coordorigin="887,0" coordsize="6793,365" path="m7559,0l887,0,887,365,7679,365,7679,120,7671,80,7646,41,7608,12,7559,0xe" filled="true" fillcolor="#808285" stroked="false">
                  <v:path arrowok="t"/>
                  <v:fill type="solid"/>
                </v:shape>
                <v:line style="position:absolute" from="887,0" to="887,379" stroked="true" strokeweight="2pt" strokecolor="#ffffff">
                  <v:stroke dashstyle="solid"/>
                </v:line>
                <v:shape style="position:absolute;left:5140;top:1232;width:680;height:1402" id="docshape1791" coordorigin="5140,1233" coordsize="680,1402" path="m5820,1233l5740,1235,5661,1241,5583,1252,5506,1267,5431,1287,5357,1311,5283,1339,5211,1372,5140,1408,5820,2634,5820,1233xe" filled="true" fillcolor="#691c32" stroked="false">
                  <v:path arrowok="t"/>
                  <v:fill type="solid"/>
                </v:shape>
                <v:shape style="position:absolute;left:4520;top:1408;width:1300;height:1226" id="docshape1792" coordorigin="4520,1408" coordsize="1300,1226" path="m5140,1408l5069,1450,5002,1495,4938,1543,4878,1593,4821,1647,4768,1704,4718,1763,4672,1826,4629,1892,4589,1961,4553,2034,4520,2109,5820,2634,5140,1408xe" filled="true" fillcolor="#939598" stroked="false">
                  <v:path arrowok="t"/>
                  <v:fill type="solid"/>
                </v:shape>
                <v:shape style="position:absolute;left:4413;top:2109;width:1407;height:1005" id="docshape1793" coordorigin="4413,2109" coordsize="1407,1005" path="m4520,2109l4491,2187,4466,2264,4447,2341,4431,2418,4421,2495,4415,2572,4413,2648,4417,2725,4425,2802,4437,2879,4454,2957,4476,3035,4503,3114,5820,2634,4520,2109xe" filled="true" fillcolor="#76aee5" stroked="false">
                  <v:path arrowok="t"/>
                  <v:fill type="solid"/>
                </v:shape>
                <v:shape style="position:absolute;left:4502;top:2634;width:1318;height:1309" id="docshape1794" coordorigin="4503,2634" coordsize="1318,1309" path="m5820,2634l4503,3114,4533,3192,4567,3267,4605,3339,4646,3407,4690,3473,4738,3534,4789,3593,4843,3648,4901,3700,4962,3749,5027,3795,5094,3837,5165,3875,5240,3911,5317,3943,5820,2634xe" filled="true" fillcolor="#231f20" stroked="false">
                  <v:path arrowok="t"/>
                  <v:fill type="solid"/>
                </v:shape>
                <v:shape style="position:absolute;left:5317;top:1232;width:1905;height:2804" id="docshape1795" coordorigin="5317,1233" coordsize="1905,2804" path="m5820,1233l5820,2634,5317,3943,5401,3973,5483,3996,5564,4014,5646,4027,5731,4034,5820,4036,5897,4034,5972,4028,6047,4018,6120,4004,6192,3986,6263,3965,6332,3940,6399,3911,6464,3880,6527,3845,6588,3807,6648,3766,6704,3722,6759,3675,6811,3626,6860,3574,6907,3519,6951,3462,6992,3403,7030,3342,7065,3279,7097,3213,7125,3146,7150,3078,7171,3007,7189,2935,7203,2862,7213,2787,7219,2711,7221,2634,7219,2558,7213,2482,7203,2407,7189,2334,7171,2262,7150,2191,7125,2123,7097,2056,7065,1990,7030,1927,6992,1866,6951,1807,6907,1750,6860,1695,6811,1643,6759,1594,6704,1547,6648,1503,6588,1462,6527,1424,6464,1389,6399,1357,6332,1329,6263,1304,6192,1283,6120,1265,6047,1251,5972,1241,5897,1235,5820,1233xe" filled="true" fillcolor="#008fdd" stroked="false">
                  <v:path arrowok="t"/>
                  <v:fill type="solid"/>
                </v:shape>
                <v:shape style="position:absolute;left:1665;top:1232;width:196;height:1402" id="docshape1796" coordorigin="1665,1233" coordsize="196,1402" path="m1861,1233l1813,1234,1763,1236,1713,1241,1665,1246,1861,2634,1861,1233xe" filled="true" fillcolor="#939598" stroked="false">
                  <v:path arrowok="t"/>
                  <v:fill type="solid"/>
                </v:shape>
                <v:shape style="position:absolute;left:1335;top:1246;width:526;height:1389" id="docshape1797" coordorigin="1335,1246" coordsize="526,1389" path="m1665,1246l1579,1261,1498,1280,1418,1304,1335,1335,1861,2634,1665,1246xe" filled="true" fillcolor="#691c32" stroked="false">
                  <v:path arrowok="t"/>
                  <v:fill type="solid"/>
                </v:shape>
                <v:shape style="position:absolute;left:590;top:1334;width:1271;height:1300" id="docshape1798" coordorigin="590,1335" coordsize="1271,1300" path="m1335,1335l1258,1368,1185,1405,1114,1446,1047,1490,983,1537,922,1588,865,1643,811,1701,760,1762,713,1827,668,1895,628,1967,590,2042,1861,2634,1335,1335xe" filled="true" fillcolor="#76aee5" stroked="false">
                  <v:path arrowok="t"/>
                  <v:fill type="solid"/>
                </v:shape>
                <v:shape style="position:absolute;left:451;top:2042;width:1409;height:1397" id="docshape1799" coordorigin="452,2042" coordsize="1409,1397" path="m590,2042l558,2117,529,2192,506,2267,486,2343,471,2418,460,2494,454,2569,452,2645,454,2720,460,2795,471,2869,486,2943,506,3016,530,3089,558,3160,590,3231,626,3301,667,3370,712,3438,1861,2634,590,2042xe" filled="true" fillcolor="#a8979a" stroked="false">
                  <v:path arrowok="t"/>
                  <v:fill type="solid"/>
                </v:shape>
                <v:shape style="position:absolute;left:712;top:2634;width:2253;height:1402" id="docshape1800" coordorigin="712,2634" coordsize="2253,1402" path="m1861,2634l712,3438,763,3507,816,3570,872,3629,932,3685,998,3739,1059,3785,1123,3827,1188,3865,1254,3899,1322,3929,1391,3955,1460,3978,1531,3997,1601,4012,1673,4024,1745,4032,1816,4036,1888,4036,1960,4033,2031,4026,2102,4015,2173,4001,2242,3983,2311,3962,2379,3937,2445,3909,2510,3877,2574,3841,2636,3803,2696,3760,2754,3714,2811,3665,2865,3613,2916,3557,2965,3497,1861,2634xe" filled="true" fillcolor="#231f20" stroked="false">
                  <v:path arrowok="t"/>
                  <v:fill type="solid"/>
                </v:shape>
                <v:shape style="position:absolute;left:1860;top:1232;width:1402;height:2265" id="docshape1801" coordorigin="1861,1233" coordsize="1402,2265" path="m1861,1233l1861,2634,2965,3497,3013,3432,3057,3366,3097,3299,3132,3232,3163,3163,3190,3092,3212,3020,3230,2947,3244,2872,3254,2795,3260,2716,3262,2634,3260,2558,3254,2482,3244,2407,3230,2334,3212,2262,3191,2191,3166,2123,3137,2056,3106,1990,3071,1927,3033,1866,2992,1807,2948,1750,2901,1695,2852,1643,2800,1594,2745,1547,2688,1503,2629,1462,2568,1424,2505,1389,2439,1357,2372,1329,2304,1304,2233,1283,2161,1265,2088,1251,2013,1241,1937,1235,1861,1233xe" filled="true" fillcolor="#008fdd" stroked="false">
                  <v:path arrowok="t"/>
                  <v:fill type="solid"/>
                </v:shape>
                <v:shape style="position:absolute;left:120;top:105;width:5644;height:192" type="#_x0000_t202" id="docshape1802" filled="false" stroked="false">
                  <v:textbox inset="0,0,0,0">
                    <w:txbxContent>
                      <w:p>
                        <w:pPr>
                          <w:spacing w:before="3"/>
                          <w:ind w:left="0" w:right="0" w:firstLine="0"/>
                          <w:jc w:val="left"/>
                          <w:rPr>
                            <w:rFonts w:ascii="Arial"/>
                            <w:b/>
                            <w:sz w:val="16"/>
                          </w:rPr>
                        </w:pPr>
                        <w:r>
                          <w:rPr>
                            <w:rFonts w:ascii="Arial"/>
                            <w:color w:val="FFFFFF"/>
                            <w:sz w:val="16"/>
                          </w:rPr>
                          <w:t>Figure</w:t>
                        </w:r>
                        <w:r>
                          <w:rPr>
                            <w:rFonts w:ascii="Arial"/>
                            <w:color w:val="FFFFFF"/>
                            <w:spacing w:val="5"/>
                            <w:sz w:val="16"/>
                          </w:rPr>
                          <w:t> </w:t>
                        </w:r>
                        <w:r>
                          <w:rPr>
                            <w:rFonts w:ascii="Arial"/>
                            <w:b/>
                            <w:color w:val="FFFFFF"/>
                            <w:sz w:val="16"/>
                          </w:rPr>
                          <w:t>A7.2</w:t>
                        </w:r>
                        <w:r>
                          <w:rPr>
                            <w:rFonts w:ascii="Arial"/>
                            <w:b/>
                            <w:color w:val="FFFFFF"/>
                            <w:spacing w:val="75"/>
                            <w:w w:val="150"/>
                            <w:sz w:val="16"/>
                          </w:rPr>
                          <w:t> </w:t>
                        </w:r>
                        <w:r>
                          <w:rPr>
                            <w:rFonts w:ascii="Arial"/>
                            <w:b/>
                            <w:color w:val="FFFFFF"/>
                            <w:sz w:val="16"/>
                          </w:rPr>
                          <w:t>Respondents</w:t>
                        </w:r>
                        <w:r>
                          <w:rPr>
                            <w:rFonts w:ascii="Arial"/>
                            <w:b/>
                            <w:color w:val="FFFFFF"/>
                            <w:spacing w:val="5"/>
                            <w:sz w:val="16"/>
                          </w:rPr>
                          <w:t> </w:t>
                        </w:r>
                        <w:r>
                          <w:rPr>
                            <w:rFonts w:ascii="Arial"/>
                            <w:b/>
                            <w:color w:val="FFFFFF"/>
                            <w:sz w:val="16"/>
                          </w:rPr>
                          <w:t>by</w:t>
                        </w:r>
                        <w:r>
                          <w:rPr>
                            <w:rFonts w:ascii="Arial"/>
                            <w:b/>
                            <w:color w:val="FFFFFF"/>
                            <w:spacing w:val="6"/>
                            <w:sz w:val="16"/>
                          </w:rPr>
                          <w:t> </w:t>
                        </w:r>
                        <w:r>
                          <w:rPr>
                            <w:rFonts w:ascii="Arial"/>
                            <w:b/>
                            <w:color w:val="FFFFFF"/>
                            <w:sz w:val="16"/>
                          </w:rPr>
                          <w:t>transport</w:t>
                        </w:r>
                        <w:r>
                          <w:rPr>
                            <w:rFonts w:ascii="Arial"/>
                            <w:b/>
                            <w:color w:val="FFFFFF"/>
                            <w:spacing w:val="5"/>
                            <w:sz w:val="16"/>
                          </w:rPr>
                          <w:t> </w:t>
                        </w:r>
                        <w:r>
                          <w:rPr>
                            <w:rFonts w:ascii="Arial"/>
                            <w:b/>
                            <w:color w:val="FFFFFF"/>
                            <w:sz w:val="16"/>
                          </w:rPr>
                          <w:t>mode</w:t>
                        </w:r>
                        <w:r>
                          <w:rPr>
                            <w:rFonts w:ascii="Arial"/>
                            <w:b/>
                            <w:color w:val="FFFFFF"/>
                            <w:spacing w:val="6"/>
                            <w:sz w:val="16"/>
                          </w:rPr>
                          <w:t> </w:t>
                        </w:r>
                        <w:r>
                          <w:rPr>
                            <w:rFonts w:ascii="Arial"/>
                            <w:b/>
                            <w:color w:val="FFFFFF"/>
                            <w:sz w:val="16"/>
                          </w:rPr>
                          <w:t>and</w:t>
                        </w:r>
                        <w:r>
                          <w:rPr>
                            <w:rFonts w:ascii="Arial"/>
                            <w:b/>
                            <w:color w:val="FFFFFF"/>
                            <w:spacing w:val="6"/>
                            <w:sz w:val="16"/>
                          </w:rPr>
                          <w:t> </w:t>
                        </w:r>
                        <w:r>
                          <w:rPr>
                            <w:rFonts w:ascii="Arial"/>
                            <w:b/>
                            <w:color w:val="FFFFFF"/>
                            <w:sz w:val="16"/>
                          </w:rPr>
                          <w:t>economic</w:t>
                        </w:r>
                        <w:r>
                          <w:rPr>
                            <w:rFonts w:ascii="Arial"/>
                            <w:b/>
                            <w:color w:val="FFFFFF"/>
                            <w:spacing w:val="5"/>
                            <w:sz w:val="16"/>
                          </w:rPr>
                          <w:t> </w:t>
                        </w:r>
                        <w:r>
                          <w:rPr>
                            <w:rFonts w:ascii="Arial"/>
                            <w:b/>
                            <w:color w:val="FFFFFF"/>
                            <w:sz w:val="16"/>
                          </w:rPr>
                          <w:t>activity</w:t>
                        </w:r>
                        <w:r>
                          <w:rPr>
                            <w:rFonts w:ascii="Arial"/>
                            <w:b/>
                            <w:color w:val="FFFFFF"/>
                            <w:spacing w:val="6"/>
                            <w:sz w:val="16"/>
                          </w:rPr>
                          <w:t> </w:t>
                        </w:r>
                        <w:r>
                          <w:rPr>
                            <w:rFonts w:ascii="Arial"/>
                            <w:b/>
                            <w:color w:val="FFFFFF"/>
                            <w:spacing w:val="-4"/>
                            <w:sz w:val="16"/>
                          </w:rPr>
                          <w:t>type</w:t>
                        </w:r>
                      </w:p>
                    </w:txbxContent>
                  </v:textbox>
                  <w10:wrap type="none"/>
                </v:shape>
                <v:shape style="position:absolute;left:1346;top:562;width:1049;height:166" type="#_x0000_t202" id="docshape1803" filled="false" stroked="false">
                  <v:textbox inset="0,0,0,0">
                    <w:txbxContent>
                      <w:p>
                        <w:pPr>
                          <w:spacing w:before="3"/>
                          <w:ind w:left="0" w:right="0" w:firstLine="0"/>
                          <w:jc w:val="left"/>
                          <w:rPr>
                            <w:rFonts w:ascii="Arial"/>
                            <w:b/>
                            <w:sz w:val="14"/>
                          </w:rPr>
                        </w:pPr>
                        <w:r>
                          <w:rPr>
                            <w:rFonts w:ascii="Arial"/>
                            <w:b/>
                            <w:color w:val="231F20"/>
                            <w:w w:val="80"/>
                            <w:sz w:val="14"/>
                          </w:rPr>
                          <w:t>By</w:t>
                        </w:r>
                        <w:r>
                          <w:rPr>
                            <w:rFonts w:ascii="Arial"/>
                            <w:b/>
                            <w:color w:val="231F20"/>
                            <w:spacing w:val="1"/>
                            <w:sz w:val="14"/>
                          </w:rPr>
                          <w:t> </w:t>
                        </w:r>
                        <w:r>
                          <w:rPr>
                            <w:rFonts w:ascii="Arial"/>
                            <w:b/>
                            <w:color w:val="231F20"/>
                            <w:w w:val="80"/>
                            <w:sz w:val="14"/>
                          </w:rPr>
                          <w:t>transport</w:t>
                        </w:r>
                        <w:r>
                          <w:rPr>
                            <w:rFonts w:ascii="Arial"/>
                            <w:b/>
                            <w:color w:val="231F20"/>
                            <w:spacing w:val="1"/>
                            <w:sz w:val="14"/>
                          </w:rPr>
                          <w:t> </w:t>
                        </w:r>
                        <w:r>
                          <w:rPr>
                            <w:rFonts w:ascii="Arial"/>
                            <w:b/>
                            <w:color w:val="231F20"/>
                            <w:spacing w:val="-4"/>
                            <w:w w:val="80"/>
                            <w:sz w:val="14"/>
                          </w:rPr>
                          <w:t>mode</w:t>
                        </w:r>
                      </w:p>
                    </w:txbxContent>
                  </v:textbox>
                  <w10:wrap type="none"/>
                </v:shape>
                <v:shape style="position:absolute;left:5107;top:562;width:1445;height:166" type="#_x0000_t202" id="docshape1804" filled="false" stroked="false">
                  <v:textbox inset="0,0,0,0">
                    <w:txbxContent>
                      <w:p>
                        <w:pPr>
                          <w:spacing w:before="3"/>
                          <w:ind w:left="0" w:right="0" w:firstLine="0"/>
                          <w:jc w:val="left"/>
                          <w:rPr>
                            <w:rFonts w:ascii="Arial"/>
                            <w:b/>
                            <w:sz w:val="14"/>
                          </w:rPr>
                        </w:pPr>
                        <w:r>
                          <w:rPr>
                            <w:rFonts w:ascii="Arial"/>
                            <w:b/>
                            <w:color w:val="231F20"/>
                            <w:w w:val="80"/>
                            <w:sz w:val="14"/>
                          </w:rPr>
                          <w:t>By</w:t>
                        </w:r>
                        <w:r>
                          <w:rPr>
                            <w:rFonts w:ascii="Arial"/>
                            <w:b/>
                            <w:color w:val="231F20"/>
                            <w:spacing w:val="3"/>
                            <w:sz w:val="14"/>
                          </w:rPr>
                          <w:t> </w:t>
                        </w:r>
                        <w:r>
                          <w:rPr>
                            <w:rFonts w:ascii="Arial"/>
                            <w:b/>
                            <w:color w:val="231F20"/>
                            <w:w w:val="80"/>
                            <w:sz w:val="14"/>
                          </w:rPr>
                          <w:t>economic</w:t>
                        </w:r>
                        <w:r>
                          <w:rPr>
                            <w:rFonts w:ascii="Arial"/>
                            <w:b/>
                            <w:color w:val="231F20"/>
                            <w:spacing w:val="4"/>
                            <w:sz w:val="14"/>
                          </w:rPr>
                          <w:t> </w:t>
                        </w:r>
                        <w:r>
                          <w:rPr>
                            <w:rFonts w:ascii="Arial"/>
                            <w:b/>
                            <w:color w:val="231F20"/>
                            <w:w w:val="80"/>
                            <w:sz w:val="14"/>
                          </w:rPr>
                          <w:t>activity</w:t>
                        </w:r>
                        <w:r>
                          <w:rPr>
                            <w:rFonts w:ascii="Arial"/>
                            <w:b/>
                            <w:color w:val="231F20"/>
                            <w:spacing w:val="3"/>
                            <w:sz w:val="14"/>
                          </w:rPr>
                          <w:t> </w:t>
                        </w:r>
                        <w:r>
                          <w:rPr>
                            <w:rFonts w:ascii="Arial"/>
                            <w:b/>
                            <w:color w:val="231F20"/>
                            <w:spacing w:val="-4"/>
                            <w:w w:val="80"/>
                            <w:sz w:val="14"/>
                          </w:rPr>
                          <w:t>type</w:t>
                        </w:r>
                      </w:p>
                    </w:txbxContent>
                  </v:textbox>
                  <w10:wrap type="none"/>
                </v:shape>
                <v:shape style="position:absolute;left:1708;top:886;width:901;height:324" type="#_x0000_t202" id="docshape1805" filled="false" stroked="false">
                  <v:textbox inset="0,0,0,0">
                    <w:txbxContent>
                      <w:p>
                        <w:pPr>
                          <w:spacing w:before="1"/>
                          <w:ind w:left="0" w:right="12" w:firstLine="0"/>
                          <w:jc w:val="left"/>
                          <w:rPr>
                            <w:rFonts w:ascii="Arial"/>
                            <w:sz w:val="14"/>
                          </w:rPr>
                        </w:pPr>
                        <w:r>
                          <w:rPr>
                            <w:rFonts w:ascii="Arial"/>
                            <w:color w:val="231F20"/>
                            <w:w w:val="85"/>
                            <w:sz w:val="14"/>
                          </w:rPr>
                          <w:t>Express</w:t>
                        </w:r>
                        <w:r>
                          <w:rPr>
                            <w:rFonts w:ascii="Arial"/>
                            <w:color w:val="231F20"/>
                            <w:spacing w:val="-4"/>
                            <w:w w:val="85"/>
                            <w:sz w:val="14"/>
                          </w:rPr>
                          <w:t> </w:t>
                        </w:r>
                        <w:r>
                          <w:rPr>
                            <w:rFonts w:ascii="Arial"/>
                            <w:color w:val="231F20"/>
                            <w:w w:val="85"/>
                            <w:sz w:val="14"/>
                          </w:rPr>
                          <w:t>delivery</w:t>
                        </w:r>
                        <w:r>
                          <w:rPr>
                            <w:rFonts w:ascii="Arial"/>
                            <w:color w:val="231F20"/>
                            <w:spacing w:val="40"/>
                            <w:sz w:val="14"/>
                          </w:rPr>
                          <w:t> </w:t>
                        </w:r>
                        <w:r>
                          <w:rPr>
                            <w:rFonts w:ascii="Arial"/>
                            <w:color w:val="231F20"/>
                            <w:spacing w:val="-6"/>
                            <w:w w:val="95"/>
                            <w:sz w:val="14"/>
                          </w:rPr>
                          <w:t>2%</w:t>
                        </w:r>
                      </w:p>
                    </w:txbxContent>
                  </v:textbox>
                  <w10:wrap type="none"/>
                </v:shape>
                <v:shape style="position:absolute;left:4344;top:922;width:1262;height:324" type="#_x0000_t202" id="docshape1806" filled="false" stroked="false">
                  <v:textbox inset="0,0,0,0">
                    <w:txbxContent>
                      <w:p>
                        <w:pPr>
                          <w:spacing w:line="161" w:lineRule="exact" w:before="2"/>
                          <w:ind w:left="0" w:right="18" w:firstLine="0"/>
                          <w:jc w:val="right"/>
                          <w:rPr>
                            <w:rFonts w:ascii="Arial"/>
                            <w:sz w:val="14"/>
                          </w:rPr>
                        </w:pPr>
                        <w:r>
                          <w:rPr>
                            <w:rFonts w:ascii="Arial"/>
                            <w:color w:val="231F20"/>
                            <w:w w:val="85"/>
                            <w:sz w:val="14"/>
                          </w:rPr>
                          <w:t>Export/import</w:t>
                        </w:r>
                        <w:r>
                          <w:rPr>
                            <w:rFonts w:ascii="Arial"/>
                            <w:color w:val="231F20"/>
                            <w:spacing w:val="16"/>
                            <w:sz w:val="14"/>
                          </w:rPr>
                          <w:t> </w:t>
                        </w:r>
                        <w:r>
                          <w:rPr>
                            <w:rFonts w:ascii="Arial"/>
                            <w:color w:val="231F20"/>
                            <w:spacing w:val="-5"/>
                            <w:w w:val="90"/>
                            <w:sz w:val="14"/>
                          </w:rPr>
                          <w:t>(shipper)</w:t>
                        </w:r>
                      </w:p>
                      <w:p>
                        <w:pPr>
                          <w:spacing w:line="161" w:lineRule="exact" w:before="0"/>
                          <w:ind w:left="0" w:right="18" w:firstLine="0"/>
                          <w:jc w:val="right"/>
                          <w:rPr>
                            <w:rFonts w:ascii="Arial"/>
                            <w:sz w:val="14"/>
                          </w:rPr>
                        </w:pPr>
                        <w:r>
                          <w:rPr>
                            <w:rFonts w:ascii="Arial"/>
                            <w:color w:val="231F20"/>
                            <w:spacing w:val="-5"/>
                            <w:sz w:val="14"/>
                          </w:rPr>
                          <w:t>8%</w:t>
                        </w:r>
                      </w:p>
                    </w:txbxContent>
                  </v:textbox>
                  <w10:wrap type="none"/>
                </v:shape>
                <v:shape style="position:absolute;left:1454;top:1311;width:223;height:324" type="#_x0000_t202" id="docshape1807" filled="false" stroked="false">
                  <v:textbox inset="0,0,0,0">
                    <w:txbxContent>
                      <w:p>
                        <w:pPr>
                          <w:spacing w:before="1"/>
                          <w:ind w:left="14" w:right="10" w:hanging="15"/>
                          <w:jc w:val="left"/>
                          <w:rPr>
                            <w:rFonts w:ascii="Arial"/>
                            <w:sz w:val="14"/>
                          </w:rPr>
                        </w:pPr>
                        <w:r>
                          <w:rPr>
                            <w:rFonts w:ascii="Arial"/>
                            <w:color w:val="FFFFFF"/>
                            <w:spacing w:val="-6"/>
                            <w:w w:val="90"/>
                            <w:sz w:val="14"/>
                          </w:rPr>
                          <w:t>Rail</w:t>
                        </w:r>
                        <w:r>
                          <w:rPr>
                            <w:rFonts w:ascii="Arial"/>
                            <w:color w:val="FFFFFF"/>
                            <w:spacing w:val="40"/>
                            <w:sz w:val="14"/>
                          </w:rPr>
                          <w:t> </w:t>
                        </w:r>
                        <w:r>
                          <w:rPr>
                            <w:rFonts w:ascii="Arial"/>
                            <w:color w:val="FFFFFF"/>
                            <w:spacing w:val="-12"/>
                            <w:sz w:val="14"/>
                          </w:rPr>
                          <w:t>4%</w:t>
                        </w:r>
                      </w:p>
                    </w:txbxContent>
                  </v:textbox>
                  <w10:wrap type="none"/>
                </v:shape>
                <v:shape style="position:absolute;left:911;top:1647;width:510;height:484" type="#_x0000_t202" id="docshape1808" filled="false" stroked="false">
                  <v:textbox inset="0,0,0,0">
                    <w:txbxContent>
                      <w:p>
                        <w:pPr>
                          <w:spacing w:before="0"/>
                          <w:ind w:left="-1" w:right="18" w:firstLine="0"/>
                          <w:jc w:val="center"/>
                          <w:rPr>
                            <w:rFonts w:ascii="Arial"/>
                            <w:sz w:val="14"/>
                          </w:rPr>
                        </w:pPr>
                        <w:r>
                          <w:rPr>
                            <w:rFonts w:ascii="Arial"/>
                            <w:color w:val="231F20"/>
                            <w:spacing w:val="-4"/>
                            <w:sz w:val="14"/>
                          </w:rPr>
                          <w:t>Air</w:t>
                        </w:r>
                        <w:r>
                          <w:rPr>
                            <w:rFonts w:ascii="Arial"/>
                            <w:color w:val="231F20"/>
                            <w:spacing w:val="40"/>
                            <w:sz w:val="14"/>
                          </w:rPr>
                          <w:t> </w:t>
                        </w:r>
                        <w:r>
                          <w:rPr>
                            <w:rFonts w:ascii="Arial"/>
                            <w:color w:val="231F20"/>
                            <w:spacing w:val="-2"/>
                            <w:w w:val="90"/>
                            <w:sz w:val="14"/>
                          </w:rPr>
                          <w:t>transport</w:t>
                        </w:r>
                        <w:r>
                          <w:rPr>
                            <w:rFonts w:ascii="Arial"/>
                            <w:color w:val="231F20"/>
                            <w:spacing w:val="40"/>
                            <w:sz w:val="14"/>
                          </w:rPr>
                          <w:t> </w:t>
                        </w:r>
                        <w:r>
                          <w:rPr>
                            <w:rFonts w:ascii="Arial"/>
                            <w:color w:val="231F20"/>
                            <w:spacing w:val="-4"/>
                            <w:sz w:val="14"/>
                          </w:rPr>
                          <w:t>12%</w:t>
                        </w:r>
                      </w:p>
                    </w:txbxContent>
                  </v:textbox>
                  <w10:wrap type="none"/>
                </v:shape>
                <v:shape style="position:absolute;left:4787;top:1711;width:566;height:484" type="#_x0000_t202" id="docshape1809" filled="false" stroked="false">
                  <v:textbox inset="0,0,0,0">
                    <w:txbxContent>
                      <w:p>
                        <w:pPr>
                          <w:spacing w:before="0"/>
                          <w:ind w:left="0" w:right="18" w:firstLine="0"/>
                          <w:jc w:val="center"/>
                          <w:rPr>
                            <w:rFonts w:ascii="Arial"/>
                            <w:sz w:val="14"/>
                          </w:rPr>
                        </w:pPr>
                        <w:r>
                          <w:rPr>
                            <w:rFonts w:ascii="Arial"/>
                            <w:color w:val="FFFFFF"/>
                            <w:spacing w:val="-4"/>
                            <w:sz w:val="14"/>
                          </w:rPr>
                          <w:t>Customs</w:t>
                        </w:r>
                        <w:r>
                          <w:rPr>
                            <w:rFonts w:ascii="Arial"/>
                            <w:color w:val="FFFFFF"/>
                            <w:spacing w:val="40"/>
                            <w:sz w:val="14"/>
                          </w:rPr>
                          <w:t> </w:t>
                        </w:r>
                        <w:r>
                          <w:rPr>
                            <w:rFonts w:ascii="Arial"/>
                            <w:color w:val="FFFFFF"/>
                            <w:spacing w:val="-2"/>
                            <w:w w:val="85"/>
                            <w:sz w:val="14"/>
                          </w:rPr>
                          <w:t>brokerage</w:t>
                        </w:r>
                        <w:r>
                          <w:rPr>
                            <w:rFonts w:ascii="Arial"/>
                            <w:color w:val="FFFFFF"/>
                            <w:spacing w:val="40"/>
                            <w:sz w:val="14"/>
                          </w:rPr>
                          <w:t> </w:t>
                        </w:r>
                        <w:r>
                          <w:rPr>
                            <w:rFonts w:ascii="Arial"/>
                            <w:color w:val="FFFFFF"/>
                            <w:spacing w:val="-4"/>
                            <w:sz w:val="14"/>
                          </w:rPr>
                          <w:t>11%</w:t>
                        </w:r>
                      </w:p>
                    </w:txbxContent>
                  </v:textbox>
                  <w10:wrap type="none"/>
                </v:shape>
                <v:shape style="position:absolute;left:2265;top:2194;width:622;height:324" type="#_x0000_t202" id="docshape1810" filled="false" stroked="false">
                  <v:textbox inset="0,0,0,0">
                    <w:txbxContent>
                      <w:p>
                        <w:pPr>
                          <w:spacing w:before="1"/>
                          <w:ind w:left="180" w:right="13" w:hanging="181"/>
                          <w:jc w:val="left"/>
                          <w:rPr>
                            <w:rFonts w:ascii="Arial"/>
                            <w:sz w:val="14"/>
                          </w:rPr>
                        </w:pPr>
                        <w:r>
                          <w:rPr>
                            <w:rFonts w:ascii="Arial"/>
                            <w:color w:val="FFFFFF"/>
                            <w:spacing w:val="-2"/>
                            <w:w w:val="90"/>
                            <w:sz w:val="14"/>
                          </w:rPr>
                          <w:t>Multimodal</w:t>
                        </w:r>
                        <w:r>
                          <w:rPr>
                            <w:rFonts w:ascii="Arial"/>
                            <w:color w:val="FFFFFF"/>
                            <w:spacing w:val="40"/>
                            <w:sz w:val="14"/>
                          </w:rPr>
                          <w:t> </w:t>
                        </w:r>
                        <w:r>
                          <w:rPr>
                            <w:rFonts w:ascii="Arial"/>
                            <w:color w:val="FFFFFF"/>
                            <w:spacing w:val="-4"/>
                            <w:sz w:val="14"/>
                          </w:rPr>
                          <w:t>36%</w:t>
                        </w:r>
                      </w:p>
                    </w:txbxContent>
                  </v:textbox>
                  <w10:wrap type="none"/>
                </v:shape>
                <v:shape style="position:absolute;left:757;top:2580;width:293;height:324" type="#_x0000_t202" id="docshape1811" filled="false" stroked="false">
                  <v:textbox inset="0,0,0,0">
                    <w:txbxContent>
                      <w:p>
                        <w:pPr>
                          <w:spacing w:before="1"/>
                          <w:ind w:left="15" w:right="12" w:hanging="16"/>
                          <w:jc w:val="left"/>
                          <w:rPr>
                            <w:rFonts w:ascii="Arial"/>
                            <w:sz w:val="14"/>
                          </w:rPr>
                        </w:pPr>
                        <w:r>
                          <w:rPr>
                            <w:rFonts w:ascii="Arial"/>
                            <w:color w:val="FFFFFF"/>
                            <w:spacing w:val="-6"/>
                            <w:w w:val="85"/>
                            <w:sz w:val="14"/>
                          </w:rPr>
                          <w:t>Road</w:t>
                        </w:r>
                        <w:r>
                          <w:rPr>
                            <w:rFonts w:ascii="Arial"/>
                            <w:color w:val="FFFFFF"/>
                            <w:spacing w:val="40"/>
                            <w:sz w:val="14"/>
                          </w:rPr>
                          <w:t> </w:t>
                        </w:r>
                        <w:r>
                          <w:rPr>
                            <w:rFonts w:ascii="Arial"/>
                            <w:color w:val="FFFFFF"/>
                            <w:spacing w:val="-7"/>
                            <w:w w:val="95"/>
                            <w:sz w:val="14"/>
                          </w:rPr>
                          <w:t>17%</w:t>
                        </w:r>
                      </w:p>
                    </w:txbxContent>
                  </v:textbox>
                  <w10:wrap type="none"/>
                </v:shape>
                <v:shape style="position:absolute;left:4562;top:2390;width:510;height:484" type="#_x0000_t202" id="docshape1812" filled="false" stroked="false">
                  <v:textbox inset="0,0,0,0">
                    <w:txbxContent>
                      <w:p>
                        <w:pPr>
                          <w:spacing w:before="0"/>
                          <w:ind w:left="-1" w:right="18" w:firstLine="0"/>
                          <w:jc w:val="center"/>
                          <w:rPr>
                            <w:rFonts w:ascii="Arial"/>
                            <w:sz w:val="14"/>
                          </w:rPr>
                        </w:pPr>
                        <w:r>
                          <w:rPr>
                            <w:rFonts w:ascii="Arial"/>
                            <w:color w:val="231F20"/>
                            <w:spacing w:val="-2"/>
                            <w:sz w:val="14"/>
                          </w:rPr>
                          <w:t>Freight</w:t>
                        </w:r>
                        <w:r>
                          <w:rPr>
                            <w:rFonts w:ascii="Arial"/>
                            <w:color w:val="231F20"/>
                            <w:spacing w:val="40"/>
                            <w:sz w:val="14"/>
                          </w:rPr>
                          <w:t> </w:t>
                        </w:r>
                        <w:r>
                          <w:rPr>
                            <w:rFonts w:ascii="Arial"/>
                            <w:color w:val="231F20"/>
                            <w:spacing w:val="-2"/>
                            <w:w w:val="90"/>
                            <w:sz w:val="14"/>
                          </w:rPr>
                          <w:t>transport</w:t>
                        </w:r>
                        <w:r>
                          <w:rPr>
                            <w:rFonts w:ascii="Arial"/>
                            <w:color w:val="231F20"/>
                            <w:spacing w:val="40"/>
                            <w:sz w:val="14"/>
                          </w:rPr>
                          <w:t> </w:t>
                        </w:r>
                        <w:r>
                          <w:rPr>
                            <w:rFonts w:ascii="Arial"/>
                            <w:color w:val="231F20"/>
                            <w:spacing w:val="-4"/>
                            <w:sz w:val="14"/>
                          </w:rPr>
                          <w:t>12%</w:t>
                        </w:r>
                      </w:p>
                    </w:txbxContent>
                  </v:textbox>
                  <w10:wrap type="none"/>
                </v:shape>
                <v:shape style="position:absolute;left:6197;top:2412;width:604;height:484" type="#_x0000_t202" id="docshape1813" filled="false" stroked="false">
                  <v:textbox inset="0,0,0,0">
                    <w:txbxContent>
                      <w:p>
                        <w:pPr>
                          <w:spacing w:before="0"/>
                          <w:ind w:left="0" w:right="18" w:hanging="1"/>
                          <w:jc w:val="center"/>
                          <w:rPr>
                            <w:rFonts w:ascii="Arial"/>
                            <w:sz w:val="14"/>
                          </w:rPr>
                        </w:pPr>
                        <w:r>
                          <w:rPr>
                            <w:rFonts w:ascii="Arial"/>
                            <w:color w:val="FFFFFF"/>
                            <w:spacing w:val="-2"/>
                            <w:sz w:val="14"/>
                          </w:rPr>
                          <w:t>Freight</w:t>
                        </w:r>
                        <w:r>
                          <w:rPr>
                            <w:rFonts w:ascii="Arial"/>
                            <w:color w:val="FFFFFF"/>
                            <w:spacing w:val="40"/>
                            <w:sz w:val="14"/>
                          </w:rPr>
                          <w:t> </w:t>
                        </w:r>
                        <w:r>
                          <w:rPr>
                            <w:rFonts w:ascii="Arial"/>
                            <w:color w:val="FFFFFF"/>
                            <w:spacing w:val="-2"/>
                            <w:w w:val="90"/>
                            <w:sz w:val="14"/>
                          </w:rPr>
                          <w:t>forwarding</w:t>
                        </w:r>
                        <w:r>
                          <w:rPr>
                            <w:rFonts w:ascii="Arial"/>
                            <w:color w:val="FFFFFF"/>
                            <w:spacing w:val="40"/>
                            <w:sz w:val="14"/>
                          </w:rPr>
                          <w:t> </w:t>
                        </w:r>
                        <w:r>
                          <w:rPr>
                            <w:rFonts w:ascii="Arial"/>
                            <w:color w:val="FFFFFF"/>
                            <w:spacing w:val="-4"/>
                            <w:sz w:val="14"/>
                          </w:rPr>
                          <w:t>57%</w:t>
                        </w:r>
                      </w:p>
                    </w:txbxContent>
                  </v:textbox>
                  <w10:wrap type="none"/>
                </v:shape>
                <v:shape style="position:absolute;left:1610;top:3327;width:500;height:324" type="#_x0000_t202" id="docshape1814" filled="false" stroked="false">
                  <v:textbox inset="0,0,0,0">
                    <w:txbxContent>
                      <w:p>
                        <w:pPr>
                          <w:spacing w:before="1"/>
                          <w:ind w:left="119" w:right="13" w:hanging="120"/>
                          <w:jc w:val="left"/>
                          <w:rPr>
                            <w:rFonts w:ascii="Arial"/>
                            <w:sz w:val="14"/>
                          </w:rPr>
                        </w:pPr>
                        <w:r>
                          <w:rPr>
                            <w:rFonts w:ascii="Arial"/>
                            <w:color w:val="FFFFFF"/>
                            <w:spacing w:val="-2"/>
                            <w:w w:val="90"/>
                            <w:sz w:val="14"/>
                          </w:rPr>
                          <w:t>Maritime</w:t>
                        </w:r>
                        <w:r>
                          <w:rPr>
                            <w:rFonts w:ascii="Arial"/>
                            <w:color w:val="FFFFFF"/>
                            <w:spacing w:val="40"/>
                            <w:sz w:val="14"/>
                          </w:rPr>
                          <w:t> </w:t>
                        </w:r>
                        <w:r>
                          <w:rPr>
                            <w:rFonts w:ascii="Arial"/>
                            <w:color w:val="FFFFFF"/>
                            <w:spacing w:val="-4"/>
                            <w:sz w:val="14"/>
                          </w:rPr>
                          <w:t>30%</w:t>
                        </w:r>
                      </w:p>
                    </w:txbxContent>
                  </v:textbox>
                  <w10:wrap type="none"/>
                </v:shape>
                <v:shape style="position:absolute;left:4977;top:3187;width:314;height:324" type="#_x0000_t202" id="docshape1815" filled="false" stroked="false">
                  <v:textbox inset="0,0,0,0">
                    <w:txbxContent>
                      <w:p>
                        <w:pPr>
                          <w:spacing w:before="1"/>
                          <w:ind w:left="26" w:right="11" w:hanging="27"/>
                          <w:jc w:val="left"/>
                          <w:rPr>
                            <w:rFonts w:ascii="Arial"/>
                            <w:sz w:val="14"/>
                          </w:rPr>
                        </w:pPr>
                        <w:r>
                          <w:rPr>
                            <w:rFonts w:ascii="Arial"/>
                            <w:color w:val="FFFFFF"/>
                            <w:spacing w:val="-4"/>
                            <w:w w:val="85"/>
                            <w:sz w:val="14"/>
                          </w:rPr>
                          <w:t>Other</w:t>
                        </w:r>
                        <w:r>
                          <w:rPr>
                            <w:rFonts w:ascii="Arial"/>
                            <w:color w:val="FFFFFF"/>
                            <w:spacing w:val="40"/>
                            <w:sz w:val="14"/>
                          </w:rPr>
                          <w:t> </w:t>
                        </w:r>
                        <w:r>
                          <w:rPr>
                            <w:rFonts w:ascii="Arial"/>
                            <w:color w:val="FFFFFF"/>
                            <w:spacing w:val="-8"/>
                            <w:sz w:val="14"/>
                          </w:rPr>
                          <w:t>14%</w:t>
                        </w:r>
                      </w:p>
                    </w:txbxContent>
                  </v:textbox>
                  <w10:wrap type="none"/>
                </v:shape>
                <v:shape style="position:absolute;left:120;top:4217;width:1034;height:144" type="#_x0000_t202" id="docshape1816" filled="false" stroked="false">
                  <v:textbox inset="0,0,0,0">
                    <w:txbxContent>
                      <w:p>
                        <w:pPr>
                          <w:spacing w:line="137" w:lineRule="exact" w:before="0"/>
                          <w:ind w:left="0" w:right="0" w:firstLine="0"/>
                          <w:jc w:val="left"/>
                          <w:rPr>
                            <w:rFonts w:ascii="Arial"/>
                            <w:sz w:val="12"/>
                          </w:rPr>
                        </w:pPr>
                        <w:r>
                          <w:rPr>
                            <w:rFonts w:ascii="Arial"/>
                            <w:i/>
                            <w:color w:val="231F20"/>
                            <w:w w:val="80"/>
                            <w:sz w:val="12"/>
                          </w:rPr>
                          <w:t>Source:</w:t>
                        </w:r>
                        <w:r>
                          <w:rPr>
                            <w:rFonts w:ascii="Arial"/>
                            <w:i/>
                            <w:color w:val="231F20"/>
                            <w:spacing w:val="-1"/>
                            <w:w w:val="80"/>
                            <w:sz w:val="12"/>
                          </w:rPr>
                          <w:t> </w:t>
                        </w:r>
                        <w:r>
                          <w:rPr>
                            <w:rFonts w:ascii="Arial"/>
                            <w:color w:val="231F20"/>
                            <w:w w:val="80"/>
                            <w:sz w:val="12"/>
                          </w:rPr>
                          <w:t>2023</w:t>
                        </w:r>
                        <w:r>
                          <w:rPr>
                            <w:rFonts w:ascii="Arial"/>
                            <w:color w:val="231F20"/>
                            <w:spacing w:val="-1"/>
                            <w:w w:val="80"/>
                            <w:sz w:val="12"/>
                          </w:rPr>
                          <w:t> </w:t>
                        </w:r>
                        <w:r>
                          <w:rPr>
                            <w:rFonts w:ascii="Arial"/>
                            <w:color w:val="231F20"/>
                            <w:w w:val="80"/>
                            <w:sz w:val="12"/>
                          </w:rPr>
                          <w:t>LPI</w:t>
                        </w:r>
                        <w:r>
                          <w:rPr>
                            <w:rFonts w:ascii="Arial"/>
                            <w:color w:val="231F20"/>
                            <w:spacing w:val="-1"/>
                            <w:w w:val="80"/>
                            <w:sz w:val="12"/>
                          </w:rPr>
                          <w:t> </w:t>
                        </w:r>
                        <w:r>
                          <w:rPr>
                            <w:rFonts w:ascii="Arial"/>
                            <w:color w:val="231F20"/>
                            <w:spacing w:val="-2"/>
                            <w:w w:val="80"/>
                            <w:sz w:val="12"/>
                          </w:rPr>
                          <w:t>team.</w:t>
                        </w:r>
                      </w:p>
                    </w:txbxContent>
                  </v:textbox>
                  <w10:wrap type="none"/>
                </v:shape>
              </v:group>
            </w:pict>
          </mc:Fallback>
        </mc:AlternateContent>
      </w:r>
      <w:r>
        <w:rPr>
          <w:sz w:val="20"/>
        </w:rPr>
      </w:r>
    </w:p>
    <w:p>
      <w:pPr>
        <w:spacing w:after="0"/>
        <w:rPr>
          <w:sz w:val="20"/>
        </w:rPr>
        <w:sectPr>
          <w:headerReference w:type="even" r:id="rId179"/>
          <w:footerReference w:type="even" r:id="rId180"/>
          <w:footerReference w:type="default" r:id="rId181"/>
          <w:pgSz w:w="12240" w:h="15840"/>
          <w:pgMar w:header="370" w:footer="548" w:top="560" w:bottom="740" w:left="0" w:right="540"/>
          <w:pgNumType w:start="68"/>
        </w:sectPr>
      </w:pPr>
    </w:p>
    <w:p>
      <w:pPr>
        <w:pStyle w:val="BodyText"/>
        <w:spacing w:before="9"/>
        <w:rPr>
          <w:sz w:val="40"/>
        </w:rPr>
      </w:pPr>
    </w:p>
    <w:p>
      <w:pPr>
        <w:pStyle w:val="Heading1"/>
        <w:spacing w:line="230" w:lineRule="auto"/>
        <w:ind w:right="1363"/>
      </w:pPr>
      <w:r>
        <w:rPr/>
        <mc:AlternateContent>
          <mc:Choice Requires="wps">
            <w:drawing>
              <wp:anchor distT="0" distB="0" distL="0" distR="0" allowOverlap="1" layoutInCell="1" locked="0" behindDoc="0" simplePos="0" relativeHeight="15792640">
                <wp:simplePos x="0" y="0"/>
                <wp:positionH relativeFrom="page">
                  <wp:posOffset>1542031</wp:posOffset>
                </wp:positionH>
                <wp:positionV relativeFrom="paragraph">
                  <wp:posOffset>-106476</wp:posOffset>
                </wp:positionV>
                <wp:extent cx="159385" cy="628015"/>
                <wp:effectExtent l="0" t="0" r="0" b="0"/>
                <wp:wrapNone/>
                <wp:docPr id="2101" name="Textbox 2101"/>
                <wp:cNvGraphicFramePr>
                  <a:graphicFrameLocks/>
                </wp:cNvGraphicFramePr>
                <a:graphic>
                  <a:graphicData uri="http://schemas.microsoft.com/office/word/2010/wordprocessingShape">
                    <wps:wsp>
                      <wps:cNvPr id="2101" name="Textbox 2101"/>
                      <wps:cNvSpPr txBox="1"/>
                      <wps:spPr>
                        <a:xfrm>
                          <a:off x="0" y="0"/>
                          <a:ext cx="159385" cy="628015"/>
                        </a:xfrm>
                        <a:prstGeom prst="rect">
                          <a:avLst/>
                        </a:prstGeom>
                      </wps:spPr>
                      <wps:txbx>
                        <w:txbxContent>
                          <w:p>
                            <w:pPr>
                              <w:spacing w:before="28"/>
                              <w:ind w:left="20" w:right="0" w:firstLine="0"/>
                              <w:jc w:val="left"/>
                              <w:rPr>
                                <w:rFonts w:ascii="Arial"/>
                                <w:b/>
                                <w:sz w:val="17"/>
                              </w:rPr>
                            </w:pPr>
                            <w:r>
                              <w:rPr>
                                <w:rFonts w:ascii="Arial"/>
                                <w:b/>
                                <w:color w:val="231F20"/>
                                <w:spacing w:val="-2"/>
                                <w:w w:val="110"/>
                                <w:sz w:val="17"/>
                              </w:rPr>
                              <w:t>APPENDIX</w:t>
                            </w:r>
                          </w:p>
                        </w:txbxContent>
                      </wps:txbx>
                      <wps:bodyPr wrap="square" lIns="0" tIns="0" rIns="0" bIns="0" rtlCol="0" vert="vert270">
                        <a:noAutofit/>
                      </wps:bodyPr>
                    </wps:wsp>
                  </a:graphicData>
                </a:graphic>
              </wp:anchor>
            </w:drawing>
          </mc:Choice>
          <mc:Fallback>
            <w:pict>
              <v:shape style="position:absolute;margin-left:121.4198pt;margin-top:-8.383999pt;width:12.55pt;height:49.45pt;mso-position-horizontal-relative:page;mso-position-vertical-relative:paragraph;z-index:15792640" type="#_x0000_t202" id="docshape1817" filled="false" stroked="false">
                <v:textbox inset="0,0,0,0" style="layout-flow:vertical;mso-layout-flow-alt:bottom-to-top">
                  <w:txbxContent>
                    <w:p>
                      <w:pPr>
                        <w:spacing w:before="28"/>
                        <w:ind w:left="20" w:right="0" w:firstLine="0"/>
                        <w:jc w:val="left"/>
                        <w:rPr>
                          <w:rFonts w:ascii="Arial"/>
                          <w:b/>
                          <w:sz w:val="17"/>
                        </w:rPr>
                      </w:pPr>
                      <w:r>
                        <w:rPr>
                          <w:rFonts w:ascii="Arial"/>
                          <w:b/>
                          <w:color w:val="231F20"/>
                          <w:spacing w:val="-2"/>
                          <w:w w:val="110"/>
                          <w:sz w:val="17"/>
                        </w:rPr>
                        <w:t>APPENDIX</w:t>
                      </w:r>
                    </w:p>
                  </w:txbxContent>
                </v:textbox>
                <w10:wrap type="none"/>
              </v:shape>
            </w:pict>
          </mc:Fallback>
        </mc:AlternateContent>
      </w:r>
      <w:r>
        <w:rPr/>
        <mc:AlternateContent>
          <mc:Choice Requires="wps">
            <w:drawing>
              <wp:anchor distT="0" distB="0" distL="0" distR="0" allowOverlap="1" layoutInCell="1" locked="0" behindDoc="0" simplePos="0" relativeHeight="15793152">
                <wp:simplePos x="0" y="0"/>
                <wp:positionH relativeFrom="page">
                  <wp:posOffset>1737370</wp:posOffset>
                </wp:positionH>
                <wp:positionV relativeFrom="paragraph">
                  <wp:posOffset>-242672</wp:posOffset>
                </wp:positionV>
                <wp:extent cx="548640" cy="942340"/>
                <wp:effectExtent l="0" t="0" r="0" b="0"/>
                <wp:wrapNone/>
                <wp:docPr id="2102" name="Textbox 2102"/>
                <wp:cNvGraphicFramePr>
                  <a:graphicFrameLocks/>
                </wp:cNvGraphicFramePr>
                <a:graphic>
                  <a:graphicData uri="http://schemas.microsoft.com/office/word/2010/wordprocessingShape">
                    <wps:wsp>
                      <wps:cNvPr id="2102" name="Textbox 2102"/>
                      <wps:cNvSpPr txBox="1"/>
                      <wps:spPr>
                        <a:xfrm>
                          <a:off x="0" y="0"/>
                          <a:ext cx="548640" cy="942340"/>
                        </a:xfrm>
                        <a:prstGeom prst="rect">
                          <a:avLst/>
                        </a:prstGeom>
                      </wps:spPr>
                      <wps:txbx>
                        <w:txbxContent>
                          <w:p>
                            <w:pPr>
                              <w:spacing w:before="57"/>
                              <w:ind w:left="0" w:right="0" w:firstLine="0"/>
                              <w:jc w:val="left"/>
                              <w:rPr>
                                <w:rFonts w:ascii="Arial"/>
                                <w:b/>
                                <w:sz w:val="120"/>
                              </w:rPr>
                            </w:pPr>
                            <w:r>
                              <w:rPr>
                                <w:rFonts w:ascii="Arial"/>
                                <w:b/>
                                <w:color w:val="008FDD"/>
                                <w:spacing w:val="-10"/>
                                <w:w w:val="125"/>
                                <w:sz w:val="120"/>
                              </w:rPr>
                              <w:t>8</w:t>
                            </w:r>
                          </w:p>
                        </w:txbxContent>
                      </wps:txbx>
                      <wps:bodyPr wrap="square" lIns="0" tIns="0" rIns="0" bIns="0" rtlCol="0">
                        <a:noAutofit/>
                      </wps:bodyPr>
                    </wps:wsp>
                  </a:graphicData>
                </a:graphic>
              </wp:anchor>
            </w:drawing>
          </mc:Choice>
          <mc:Fallback>
            <w:pict>
              <v:shape style="position:absolute;margin-left:136.800797pt;margin-top:-19.108047pt;width:43.2pt;height:74.2pt;mso-position-horizontal-relative:page;mso-position-vertical-relative:paragraph;z-index:15793152" type="#_x0000_t202" id="docshape1818" filled="false" stroked="false">
                <v:textbox inset="0,0,0,0">
                  <w:txbxContent>
                    <w:p>
                      <w:pPr>
                        <w:spacing w:before="57"/>
                        <w:ind w:left="0" w:right="0" w:firstLine="0"/>
                        <w:jc w:val="left"/>
                        <w:rPr>
                          <w:rFonts w:ascii="Arial"/>
                          <w:b/>
                          <w:sz w:val="120"/>
                        </w:rPr>
                      </w:pPr>
                      <w:r>
                        <w:rPr>
                          <w:rFonts w:ascii="Arial"/>
                          <w:b/>
                          <w:color w:val="008FDD"/>
                          <w:spacing w:val="-10"/>
                          <w:w w:val="125"/>
                          <w:sz w:val="120"/>
                        </w:rPr>
                        <w:t>8</w:t>
                      </w:r>
                    </w:p>
                  </w:txbxContent>
                </v:textbox>
                <w10:wrap type="none"/>
              </v:shape>
            </w:pict>
          </mc:Fallback>
        </mc:AlternateContent>
      </w:r>
      <w:bookmarkStart w:name="_bookmark52" w:id="56"/>
      <w:bookmarkEnd w:id="56"/>
      <w:r>
        <w:rPr>
          <w:b w:val="0"/>
        </w:rPr>
      </w:r>
      <w:r>
        <w:rPr>
          <w:color w:val="231F20"/>
          <w:w w:val="105"/>
        </w:rPr>
        <w:t>LPI results in research and policymaking literature</w:t>
      </w:r>
    </w:p>
    <w:p>
      <w:pPr>
        <w:pStyle w:val="BodyText"/>
        <w:spacing w:before="1"/>
        <w:rPr>
          <w:rFonts w:ascii="Arial"/>
          <w:b/>
          <w:sz w:val="14"/>
        </w:rPr>
      </w:pPr>
      <w:r>
        <w:rPr/>
        <mc:AlternateContent>
          <mc:Choice Requires="wps">
            <w:drawing>
              <wp:anchor distT="0" distB="0" distL="0" distR="0" allowOverlap="1" layoutInCell="1" locked="0" behindDoc="1" simplePos="0" relativeHeight="487650304">
                <wp:simplePos x="0" y="0"/>
                <wp:positionH relativeFrom="page">
                  <wp:posOffset>762000</wp:posOffset>
                </wp:positionH>
                <wp:positionV relativeFrom="paragraph">
                  <wp:posOffset>118690</wp:posOffset>
                </wp:positionV>
                <wp:extent cx="1524000" cy="171450"/>
                <wp:effectExtent l="0" t="0" r="0" b="0"/>
                <wp:wrapTopAndBottom/>
                <wp:docPr id="2103" name="Graphic 2103"/>
                <wp:cNvGraphicFramePr>
                  <a:graphicFrameLocks/>
                </wp:cNvGraphicFramePr>
                <a:graphic>
                  <a:graphicData uri="http://schemas.microsoft.com/office/word/2010/wordprocessingShape">
                    <wps:wsp>
                      <wps:cNvPr id="2103" name="Graphic 2103"/>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9.345703pt;width:120pt;height:13.5pt;mso-position-horizontal-relative:page;mso-position-vertical-relative:paragraph;z-index:-15666176;mso-wrap-distance-left:0;mso-wrap-distance-right:0" id="docshape1819"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650816">
                <wp:simplePos x="0" y="0"/>
                <wp:positionH relativeFrom="page">
                  <wp:posOffset>2438400</wp:posOffset>
                </wp:positionH>
                <wp:positionV relativeFrom="paragraph">
                  <wp:posOffset>118690</wp:posOffset>
                </wp:positionV>
                <wp:extent cx="4876800" cy="171450"/>
                <wp:effectExtent l="0" t="0" r="0" b="0"/>
                <wp:wrapTopAndBottom/>
                <wp:docPr id="2104" name="Graphic 2104"/>
                <wp:cNvGraphicFramePr>
                  <a:graphicFrameLocks/>
                </wp:cNvGraphicFramePr>
                <a:graphic>
                  <a:graphicData uri="http://schemas.microsoft.com/office/word/2010/wordprocessingShape">
                    <wps:wsp>
                      <wps:cNvPr id="2104" name="Graphic 2104"/>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9.345703pt;width:384pt;height:13.5pt;mso-position-horizontal-relative:page;mso-position-vertical-relative:paragraph;z-index:-15665664;mso-wrap-distance-left:0;mso-wrap-distance-right:0" id="docshape1820" filled="true" fillcolor="#c9dcf3" stroked="false">
                <v:fill type="solid"/>
                <w10:wrap type="topAndBottom"/>
              </v:rect>
            </w:pict>
          </mc:Fallback>
        </mc:AlternateConten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17"/>
        <w:rPr>
          <w:rFonts w:ascii="Arial"/>
          <w:b/>
          <w:sz w:val="20"/>
        </w:rPr>
      </w:pPr>
    </w:p>
    <w:p>
      <w:pPr>
        <w:spacing w:after="0"/>
        <w:rPr>
          <w:rFonts w:ascii="Arial"/>
          <w:sz w:val="20"/>
        </w:rPr>
        <w:sectPr>
          <w:headerReference w:type="default" r:id="rId182"/>
          <w:pgSz w:w="12240" w:h="15840"/>
          <w:pgMar w:header="0" w:footer="0" w:top="320" w:bottom="740" w:left="0" w:right="540"/>
        </w:sectPr>
      </w:pPr>
    </w:p>
    <w:p>
      <w:pPr>
        <w:pStyle w:val="BodyText"/>
        <w:spacing w:line="268" w:lineRule="auto" w:before="97"/>
        <w:ind w:left="3840"/>
        <w:jc w:val="both"/>
      </w:pPr>
      <w:r>
        <w:rPr>
          <w:color w:val="231F20"/>
          <w:spacing w:val="-2"/>
        </w:rPr>
        <w:t>Since</w:t>
      </w:r>
      <w:r>
        <w:rPr>
          <w:color w:val="231F20"/>
          <w:spacing w:val="-12"/>
        </w:rPr>
        <w:t> </w:t>
      </w:r>
      <w:r>
        <w:rPr>
          <w:color w:val="231F20"/>
          <w:spacing w:val="-2"/>
        </w:rPr>
        <w:t>its</w:t>
      </w:r>
      <w:r>
        <w:rPr>
          <w:color w:val="231F20"/>
          <w:spacing w:val="-11"/>
        </w:rPr>
        <w:t> </w:t>
      </w:r>
      <w:r>
        <w:rPr>
          <w:color w:val="231F20"/>
          <w:spacing w:val="-2"/>
        </w:rPr>
        <w:t>launch</w:t>
      </w:r>
      <w:r>
        <w:rPr>
          <w:color w:val="231F20"/>
          <w:spacing w:val="-11"/>
        </w:rPr>
        <w:t> </w:t>
      </w:r>
      <w:r>
        <w:rPr>
          <w:color w:val="231F20"/>
          <w:spacing w:val="-2"/>
        </w:rPr>
        <w:t>in</w:t>
      </w:r>
      <w:r>
        <w:rPr>
          <w:color w:val="231F20"/>
          <w:spacing w:val="-11"/>
        </w:rPr>
        <w:t> </w:t>
      </w:r>
      <w:r>
        <w:rPr>
          <w:color w:val="231F20"/>
          <w:spacing w:val="-2"/>
        </w:rPr>
        <w:t>2007,</w:t>
      </w:r>
      <w:r>
        <w:rPr>
          <w:color w:val="231F20"/>
          <w:spacing w:val="-11"/>
        </w:rPr>
        <w:t> </w:t>
      </w:r>
      <w:r>
        <w:rPr>
          <w:color w:val="231F20"/>
          <w:spacing w:val="-2"/>
        </w:rPr>
        <w:t>the</w:t>
      </w:r>
      <w:r>
        <w:rPr>
          <w:color w:val="231F20"/>
          <w:spacing w:val="-11"/>
        </w:rPr>
        <w:t> </w:t>
      </w:r>
      <w:r>
        <w:rPr>
          <w:color w:val="231F20"/>
          <w:spacing w:val="-2"/>
        </w:rPr>
        <w:t>Logistics</w:t>
      </w:r>
      <w:r>
        <w:rPr>
          <w:color w:val="231F20"/>
          <w:spacing w:val="-11"/>
        </w:rPr>
        <w:t> </w:t>
      </w:r>
      <w:r>
        <w:rPr>
          <w:color w:val="231F20"/>
          <w:spacing w:val="-2"/>
        </w:rPr>
        <w:t>Perfor- </w:t>
      </w:r>
      <w:r>
        <w:rPr>
          <w:color w:val="231F20"/>
        </w:rPr>
        <w:t>mance</w:t>
      </w:r>
      <w:r>
        <w:rPr>
          <w:color w:val="231F20"/>
          <w:spacing w:val="-10"/>
        </w:rPr>
        <w:t> </w:t>
      </w:r>
      <w:r>
        <w:rPr>
          <w:color w:val="231F20"/>
        </w:rPr>
        <w:t>Index</w:t>
      </w:r>
      <w:r>
        <w:rPr>
          <w:color w:val="231F20"/>
          <w:spacing w:val="-10"/>
        </w:rPr>
        <w:t> </w:t>
      </w:r>
      <w:r>
        <w:rPr>
          <w:color w:val="231F20"/>
        </w:rPr>
        <w:t>(LPI)</w:t>
      </w:r>
      <w:r>
        <w:rPr>
          <w:color w:val="231F20"/>
          <w:spacing w:val="-10"/>
        </w:rPr>
        <w:t> </w:t>
      </w:r>
      <w:r>
        <w:rPr>
          <w:color w:val="231F20"/>
        </w:rPr>
        <w:t>has</w:t>
      </w:r>
      <w:r>
        <w:rPr>
          <w:color w:val="231F20"/>
          <w:spacing w:val="-10"/>
        </w:rPr>
        <w:t> </w:t>
      </w:r>
      <w:r>
        <w:rPr>
          <w:color w:val="231F20"/>
        </w:rPr>
        <w:t>established</w:t>
      </w:r>
      <w:r>
        <w:rPr>
          <w:color w:val="231F20"/>
          <w:spacing w:val="-10"/>
        </w:rPr>
        <w:t> </w:t>
      </w:r>
      <w:r>
        <w:rPr>
          <w:color w:val="231F20"/>
        </w:rPr>
        <w:t>itself</w:t>
      </w:r>
      <w:r>
        <w:rPr>
          <w:color w:val="231F20"/>
          <w:spacing w:val="-10"/>
        </w:rPr>
        <w:t> </w:t>
      </w:r>
      <w:r>
        <w:rPr>
          <w:color w:val="231F20"/>
        </w:rPr>
        <w:t>as</w:t>
      </w:r>
      <w:r>
        <w:rPr>
          <w:color w:val="231F20"/>
          <w:spacing w:val="-10"/>
        </w:rPr>
        <w:t> </w:t>
      </w:r>
      <w:r>
        <w:rPr>
          <w:color w:val="231F20"/>
        </w:rPr>
        <w:t>a </w:t>
      </w:r>
      <w:r>
        <w:rPr>
          <w:color w:val="231F20"/>
          <w:spacing w:val="-4"/>
        </w:rPr>
        <w:t>global</w:t>
      </w:r>
      <w:r>
        <w:rPr>
          <w:color w:val="231F20"/>
          <w:spacing w:val="-10"/>
        </w:rPr>
        <w:t> </w:t>
      </w:r>
      <w:r>
        <w:rPr>
          <w:color w:val="231F20"/>
          <w:spacing w:val="-4"/>
        </w:rPr>
        <w:t>trade</w:t>
      </w:r>
      <w:r>
        <w:rPr>
          <w:color w:val="231F20"/>
          <w:spacing w:val="-9"/>
        </w:rPr>
        <w:t> </w:t>
      </w:r>
      <w:r>
        <w:rPr>
          <w:color w:val="231F20"/>
          <w:spacing w:val="-4"/>
        </w:rPr>
        <w:t>and</w:t>
      </w:r>
      <w:r>
        <w:rPr>
          <w:color w:val="231F20"/>
          <w:spacing w:val="-9"/>
        </w:rPr>
        <w:t> </w:t>
      </w:r>
      <w:r>
        <w:rPr>
          <w:color w:val="231F20"/>
          <w:spacing w:val="-4"/>
        </w:rPr>
        <w:t>transport</w:t>
      </w:r>
      <w:r>
        <w:rPr>
          <w:color w:val="231F20"/>
          <w:spacing w:val="-9"/>
        </w:rPr>
        <w:t> </w:t>
      </w:r>
      <w:r>
        <w:rPr>
          <w:color w:val="231F20"/>
          <w:spacing w:val="-4"/>
        </w:rPr>
        <w:t>facilitation</w:t>
      </w:r>
      <w:r>
        <w:rPr>
          <w:color w:val="231F20"/>
          <w:spacing w:val="-9"/>
        </w:rPr>
        <w:t> </w:t>
      </w:r>
      <w:r>
        <w:rPr>
          <w:color w:val="231F20"/>
          <w:spacing w:val="-4"/>
        </w:rPr>
        <w:t>indicator </w:t>
      </w:r>
      <w:r>
        <w:rPr>
          <w:color w:val="231F20"/>
          <w:w w:val="90"/>
        </w:rPr>
        <w:t>for policymakers, academics, logistics practitio- </w:t>
      </w:r>
      <w:r>
        <w:rPr>
          <w:color w:val="231F20"/>
          <w:spacing w:val="-4"/>
        </w:rPr>
        <w:t>ners,</w:t>
      </w:r>
      <w:r>
        <w:rPr>
          <w:color w:val="231F20"/>
          <w:spacing w:val="-10"/>
        </w:rPr>
        <w:t> </w:t>
      </w:r>
      <w:r>
        <w:rPr>
          <w:color w:val="231F20"/>
          <w:spacing w:val="-4"/>
        </w:rPr>
        <w:t>consultants,</w:t>
      </w:r>
      <w:r>
        <w:rPr>
          <w:color w:val="231F20"/>
          <w:spacing w:val="-9"/>
        </w:rPr>
        <w:t> </w:t>
      </w:r>
      <w:r>
        <w:rPr>
          <w:color w:val="231F20"/>
          <w:spacing w:val="-4"/>
        </w:rPr>
        <w:t>and</w:t>
      </w:r>
      <w:r>
        <w:rPr>
          <w:color w:val="231F20"/>
          <w:spacing w:val="-9"/>
        </w:rPr>
        <w:t> </w:t>
      </w:r>
      <w:r>
        <w:rPr>
          <w:color w:val="231F20"/>
          <w:spacing w:val="-4"/>
        </w:rPr>
        <w:t>traders.</w:t>
      </w:r>
      <w:r>
        <w:rPr>
          <w:color w:val="231F20"/>
          <w:spacing w:val="-9"/>
        </w:rPr>
        <w:t> </w:t>
      </w:r>
      <w:r>
        <w:rPr>
          <w:color w:val="231F20"/>
          <w:spacing w:val="-4"/>
        </w:rPr>
        <w:t>It</w:t>
      </w:r>
      <w:r>
        <w:rPr>
          <w:color w:val="231F20"/>
          <w:spacing w:val="-9"/>
        </w:rPr>
        <w:t> </w:t>
      </w:r>
      <w:r>
        <w:rPr>
          <w:color w:val="231F20"/>
          <w:spacing w:val="-4"/>
        </w:rPr>
        <w:t>is</w:t>
      </w:r>
      <w:r>
        <w:rPr>
          <w:color w:val="231F20"/>
          <w:spacing w:val="-9"/>
        </w:rPr>
        <w:t> </w:t>
      </w:r>
      <w:r>
        <w:rPr>
          <w:color w:val="231F20"/>
          <w:spacing w:val="-4"/>
        </w:rPr>
        <w:t>also</w:t>
      </w:r>
      <w:r>
        <w:rPr>
          <w:color w:val="231F20"/>
          <w:spacing w:val="-9"/>
        </w:rPr>
        <w:t> </w:t>
      </w:r>
      <w:r>
        <w:rPr>
          <w:color w:val="231F20"/>
          <w:spacing w:val="-4"/>
        </w:rPr>
        <w:t>used</w:t>
      </w:r>
      <w:r>
        <w:rPr>
          <w:color w:val="231F20"/>
          <w:spacing w:val="-9"/>
        </w:rPr>
        <w:t> </w:t>
      </w:r>
      <w:r>
        <w:rPr>
          <w:color w:val="231F20"/>
          <w:spacing w:val="-4"/>
        </w:rPr>
        <w:t>by </w:t>
      </w:r>
      <w:r>
        <w:rPr>
          <w:color w:val="231F20"/>
          <w:w w:val="90"/>
        </w:rPr>
        <w:t>several advocacy groups, such as logistics sector </w:t>
      </w:r>
      <w:r>
        <w:rPr>
          <w:color w:val="231F20"/>
          <w:spacing w:val="-8"/>
        </w:rPr>
        <w:t>industry</w:t>
      </w:r>
      <w:r>
        <w:rPr>
          <w:color w:val="231F20"/>
        </w:rPr>
        <w:t> </w:t>
      </w:r>
      <w:r>
        <w:rPr>
          <w:color w:val="231F20"/>
          <w:spacing w:val="-8"/>
        </w:rPr>
        <w:t>associations.</w:t>
      </w:r>
      <w:r>
        <w:rPr>
          <w:color w:val="231F20"/>
        </w:rPr>
        <w:t> </w:t>
      </w:r>
      <w:r>
        <w:rPr>
          <w:color w:val="231F20"/>
          <w:spacing w:val="-8"/>
        </w:rPr>
        <w:t>More</w:t>
      </w:r>
      <w:r>
        <w:rPr>
          <w:color w:val="231F20"/>
        </w:rPr>
        <w:t> </w:t>
      </w:r>
      <w:r>
        <w:rPr>
          <w:color w:val="231F20"/>
          <w:spacing w:val="-8"/>
        </w:rPr>
        <w:t>than</w:t>
      </w:r>
      <w:r>
        <w:rPr>
          <w:color w:val="231F20"/>
        </w:rPr>
        <w:t> </w:t>
      </w:r>
      <w:r>
        <w:rPr>
          <w:color w:val="231F20"/>
          <w:spacing w:val="-8"/>
        </w:rPr>
        <w:t>1,000</w:t>
      </w:r>
      <w:r>
        <w:rPr>
          <w:color w:val="231F20"/>
        </w:rPr>
        <w:t> </w:t>
      </w:r>
      <w:r>
        <w:rPr>
          <w:color w:val="231F20"/>
          <w:spacing w:val="-8"/>
        </w:rPr>
        <w:t>research </w:t>
      </w:r>
      <w:r>
        <w:rPr>
          <w:color w:val="231F20"/>
          <w:w w:val="90"/>
        </w:rPr>
        <w:t>publications have used LPI data since 2007 (fig- ure</w:t>
      </w:r>
      <w:r>
        <w:rPr>
          <w:color w:val="231F20"/>
          <w:spacing w:val="-7"/>
          <w:w w:val="90"/>
        </w:rPr>
        <w:t> </w:t>
      </w:r>
      <w:r>
        <w:rPr>
          <w:color w:val="231F20"/>
          <w:w w:val="90"/>
        </w:rPr>
        <w:t>A8.1).</w:t>
      </w:r>
      <w:r>
        <w:rPr>
          <w:color w:val="231F20"/>
          <w:spacing w:val="-7"/>
          <w:w w:val="90"/>
        </w:rPr>
        <w:t> </w:t>
      </w:r>
      <w:r>
        <w:rPr>
          <w:color w:val="231F20"/>
          <w:w w:val="90"/>
        </w:rPr>
        <w:t>In</w:t>
      </w:r>
      <w:r>
        <w:rPr>
          <w:color w:val="231F20"/>
          <w:spacing w:val="-7"/>
          <w:w w:val="90"/>
        </w:rPr>
        <w:t> </w:t>
      </w:r>
      <w:r>
        <w:rPr>
          <w:color w:val="231F20"/>
          <w:w w:val="90"/>
        </w:rPr>
        <w:t>addition,</w:t>
      </w:r>
      <w:r>
        <w:rPr>
          <w:color w:val="231F20"/>
          <w:spacing w:val="-7"/>
          <w:w w:val="90"/>
        </w:rPr>
        <w:t> </w:t>
      </w:r>
      <w:r>
        <w:rPr>
          <w:color w:val="231F20"/>
          <w:w w:val="90"/>
        </w:rPr>
        <w:t>hundreds</w:t>
      </w:r>
      <w:r>
        <w:rPr>
          <w:color w:val="231F20"/>
          <w:spacing w:val="-7"/>
          <w:w w:val="90"/>
        </w:rPr>
        <w:t> </w:t>
      </w:r>
      <w:r>
        <w:rPr>
          <w:color w:val="231F20"/>
          <w:w w:val="90"/>
        </w:rPr>
        <w:t>of</w:t>
      </w:r>
      <w:r>
        <w:rPr>
          <w:color w:val="231F20"/>
          <w:spacing w:val="-7"/>
          <w:w w:val="90"/>
        </w:rPr>
        <w:t> </w:t>
      </w:r>
      <w:r>
        <w:rPr>
          <w:color w:val="231F20"/>
          <w:w w:val="90"/>
        </w:rPr>
        <w:t>policymaking </w:t>
      </w:r>
      <w:r>
        <w:rPr>
          <w:color w:val="231F20"/>
          <w:spacing w:val="-2"/>
        </w:rPr>
        <w:t>reports</w:t>
      </w:r>
      <w:r>
        <w:rPr>
          <w:color w:val="231F20"/>
          <w:spacing w:val="-12"/>
        </w:rPr>
        <w:t> </w:t>
      </w:r>
      <w:r>
        <w:rPr>
          <w:color w:val="231F20"/>
          <w:spacing w:val="-2"/>
        </w:rPr>
        <w:t>have</w:t>
      </w:r>
      <w:r>
        <w:rPr>
          <w:color w:val="231F20"/>
          <w:spacing w:val="-11"/>
        </w:rPr>
        <w:t> </w:t>
      </w:r>
      <w:r>
        <w:rPr>
          <w:color w:val="231F20"/>
          <w:spacing w:val="-2"/>
        </w:rPr>
        <w:t>relied</w:t>
      </w:r>
      <w:r>
        <w:rPr>
          <w:color w:val="231F20"/>
          <w:spacing w:val="-11"/>
        </w:rPr>
        <w:t> </w:t>
      </w:r>
      <w:r>
        <w:rPr>
          <w:color w:val="231F20"/>
          <w:spacing w:val="-2"/>
        </w:rPr>
        <w:t>on</w:t>
      </w:r>
      <w:r>
        <w:rPr>
          <w:color w:val="231F20"/>
          <w:spacing w:val="-11"/>
        </w:rPr>
        <w:t> </w:t>
      </w:r>
      <w:r>
        <w:rPr>
          <w:color w:val="231F20"/>
          <w:spacing w:val="-2"/>
        </w:rPr>
        <w:t>LPI</w:t>
      </w:r>
      <w:r>
        <w:rPr>
          <w:color w:val="231F20"/>
          <w:spacing w:val="-11"/>
        </w:rPr>
        <w:t> </w:t>
      </w:r>
      <w:r>
        <w:rPr>
          <w:color w:val="231F20"/>
          <w:spacing w:val="-2"/>
        </w:rPr>
        <w:t>data.</w:t>
      </w:r>
      <w:r>
        <w:rPr>
          <w:color w:val="231F20"/>
          <w:spacing w:val="-11"/>
        </w:rPr>
        <w:t> </w:t>
      </w:r>
      <w:r>
        <w:rPr>
          <w:color w:val="231F20"/>
          <w:spacing w:val="-2"/>
        </w:rPr>
        <w:t>This</w:t>
      </w:r>
      <w:r>
        <w:rPr>
          <w:color w:val="231F20"/>
          <w:spacing w:val="-11"/>
        </w:rPr>
        <w:t> </w:t>
      </w:r>
      <w:r>
        <w:rPr>
          <w:color w:val="231F20"/>
          <w:spacing w:val="-2"/>
        </w:rPr>
        <w:t>excludes </w:t>
      </w:r>
      <w:r>
        <w:rPr>
          <w:color w:val="231F20"/>
          <w:spacing w:val="-4"/>
        </w:rPr>
        <w:t>numerous textbooks, consultancy reports, and teaching</w:t>
      </w:r>
      <w:r>
        <w:rPr>
          <w:color w:val="231F20"/>
          <w:spacing w:val="-15"/>
        </w:rPr>
        <w:t> </w:t>
      </w:r>
      <w:r>
        <w:rPr>
          <w:color w:val="231F20"/>
          <w:spacing w:val="-4"/>
        </w:rPr>
        <w:t>materials</w:t>
      </w:r>
      <w:r>
        <w:rPr>
          <w:color w:val="231F20"/>
          <w:spacing w:val="-15"/>
        </w:rPr>
        <w:t> </w:t>
      </w:r>
      <w:r>
        <w:rPr>
          <w:color w:val="231F20"/>
          <w:spacing w:val="-4"/>
        </w:rPr>
        <w:t>and</w:t>
      </w:r>
      <w:r>
        <w:rPr>
          <w:color w:val="231F20"/>
          <w:spacing w:val="-15"/>
        </w:rPr>
        <w:t> </w:t>
      </w:r>
      <w:r>
        <w:rPr>
          <w:color w:val="231F20"/>
          <w:spacing w:val="-4"/>
        </w:rPr>
        <w:t>theses</w:t>
      </w:r>
      <w:r>
        <w:rPr>
          <w:color w:val="231F20"/>
          <w:spacing w:val="-15"/>
        </w:rPr>
        <w:t> </w:t>
      </w:r>
      <w:r>
        <w:rPr>
          <w:color w:val="231F20"/>
          <w:spacing w:val="-4"/>
        </w:rPr>
        <w:t>at</w:t>
      </w:r>
      <w:r>
        <w:rPr>
          <w:color w:val="231F20"/>
          <w:spacing w:val="-15"/>
        </w:rPr>
        <w:t> </w:t>
      </w:r>
      <w:r>
        <w:rPr>
          <w:color w:val="231F20"/>
          <w:spacing w:val="-4"/>
        </w:rPr>
        <w:t>various</w:t>
      </w:r>
      <w:r>
        <w:rPr>
          <w:color w:val="231F20"/>
          <w:spacing w:val="-15"/>
        </w:rPr>
        <w:t> </w:t>
      </w:r>
      <w:r>
        <w:rPr>
          <w:color w:val="231F20"/>
          <w:spacing w:val="-4"/>
        </w:rPr>
        <w:t>levels.</w:t>
      </w:r>
    </w:p>
    <w:p>
      <w:pPr>
        <w:pStyle w:val="BodyText"/>
        <w:spacing w:line="268" w:lineRule="auto"/>
        <w:ind w:left="3840" w:firstLine="300"/>
        <w:jc w:val="both"/>
      </w:pPr>
      <w:r>
        <w:rPr>
          <w:color w:val="231F20"/>
        </w:rPr>
        <w:t>The LPI has also been used as a </w:t>
      </w:r>
      <w:r>
        <w:rPr>
          <w:color w:val="231F20"/>
        </w:rPr>
        <w:t>compo- </w:t>
      </w:r>
      <w:r>
        <w:rPr>
          <w:color w:val="231F20"/>
          <w:spacing w:val="-2"/>
        </w:rPr>
        <w:t>nent</w:t>
      </w:r>
      <w:r>
        <w:rPr>
          <w:color w:val="231F20"/>
          <w:spacing w:val="-8"/>
        </w:rPr>
        <w:t> </w:t>
      </w:r>
      <w:r>
        <w:rPr>
          <w:color w:val="231F20"/>
          <w:spacing w:val="-2"/>
        </w:rPr>
        <w:t>in</w:t>
      </w:r>
      <w:r>
        <w:rPr>
          <w:color w:val="231F20"/>
          <w:spacing w:val="-8"/>
        </w:rPr>
        <w:t> </w:t>
      </w:r>
      <w:r>
        <w:rPr>
          <w:color w:val="231F20"/>
          <w:spacing w:val="-2"/>
        </w:rPr>
        <w:t>various</w:t>
      </w:r>
      <w:r>
        <w:rPr>
          <w:color w:val="231F20"/>
          <w:spacing w:val="-8"/>
        </w:rPr>
        <w:t> </w:t>
      </w:r>
      <w:r>
        <w:rPr>
          <w:color w:val="231F20"/>
          <w:spacing w:val="-2"/>
        </w:rPr>
        <w:t>transport</w:t>
      </w:r>
      <w:r>
        <w:rPr>
          <w:color w:val="231F20"/>
          <w:spacing w:val="-8"/>
        </w:rPr>
        <w:t> </w:t>
      </w:r>
      <w:r>
        <w:rPr>
          <w:color w:val="231F20"/>
          <w:spacing w:val="-2"/>
        </w:rPr>
        <w:t>and</w:t>
      </w:r>
      <w:r>
        <w:rPr>
          <w:color w:val="231F20"/>
          <w:spacing w:val="-8"/>
        </w:rPr>
        <w:t> </w:t>
      </w:r>
      <w:r>
        <w:rPr>
          <w:color w:val="231F20"/>
          <w:spacing w:val="-2"/>
        </w:rPr>
        <w:t>trade</w:t>
      </w:r>
      <w:r>
        <w:rPr>
          <w:color w:val="231F20"/>
          <w:spacing w:val="-8"/>
        </w:rPr>
        <w:t> </w:t>
      </w:r>
      <w:r>
        <w:rPr>
          <w:color w:val="231F20"/>
          <w:spacing w:val="-2"/>
        </w:rPr>
        <w:t>indicators, </w:t>
      </w:r>
      <w:r>
        <w:rPr>
          <w:color w:val="231F20"/>
          <w:spacing w:val="-8"/>
        </w:rPr>
        <w:t>such</w:t>
      </w:r>
      <w:r>
        <w:rPr>
          <w:color w:val="231F20"/>
          <w:spacing w:val="-3"/>
        </w:rPr>
        <w:t> </w:t>
      </w:r>
      <w:r>
        <w:rPr>
          <w:color w:val="231F20"/>
          <w:spacing w:val="-8"/>
        </w:rPr>
        <w:t>as</w:t>
      </w:r>
      <w:r>
        <w:rPr>
          <w:color w:val="231F20"/>
          <w:spacing w:val="-3"/>
        </w:rPr>
        <w:t> </w:t>
      </w:r>
      <w:r>
        <w:rPr>
          <w:color w:val="231F20"/>
          <w:spacing w:val="-8"/>
        </w:rPr>
        <w:t>the</w:t>
      </w:r>
      <w:r>
        <w:rPr>
          <w:color w:val="231F20"/>
          <w:spacing w:val="-3"/>
        </w:rPr>
        <w:t> </w:t>
      </w:r>
      <w:r>
        <w:rPr>
          <w:color w:val="231F20"/>
          <w:spacing w:val="-8"/>
        </w:rPr>
        <w:t>World</w:t>
      </w:r>
      <w:r>
        <w:rPr>
          <w:color w:val="231F20"/>
          <w:spacing w:val="-3"/>
        </w:rPr>
        <w:t> </w:t>
      </w:r>
      <w:r>
        <w:rPr>
          <w:color w:val="231F20"/>
          <w:spacing w:val="-8"/>
        </w:rPr>
        <w:t>Economic</w:t>
      </w:r>
      <w:r>
        <w:rPr>
          <w:color w:val="231F20"/>
          <w:spacing w:val="-3"/>
        </w:rPr>
        <w:t> </w:t>
      </w:r>
      <w:r>
        <w:rPr>
          <w:color w:val="231F20"/>
          <w:spacing w:val="-8"/>
        </w:rPr>
        <w:t>Forum’s</w:t>
      </w:r>
      <w:r>
        <w:rPr>
          <w:color w:val="231F20"/>
          <w:spacing w:val="-3"/>
        </w:rPr>
        <w:t> </w:t>
      </w:r>
      <w:r>
        <w:rPr>
          <w:color w:val="231F20"/>
          <w:spacing w:val="-8"/>
        </w:rPr>
        <w:t>Enabling </w:t>
      </w:r>
      <w:r>
        <w:rPr>
          <w:color w:val="231F20"/>
        </w:rPr>
        <w:t>Trade</w:t>
      </w:r>
      <w:r>
        <w:rPr>
          <w:color w:val="231F20"/>
          <w:spacing w:val="-9"/>
        </w:rPr>
        <w:t> </w:t>
      </w:r>
      <w:r>
        <w:rPr>
          <w:color w:val="231F20"/>
        </w:rPr>
        <w:t>Index,</w:t>
      </w:r>
      <w:r>
        <w:rPr>
          <w:color w:val="231F20"/>
          <w:spacing w:val="-9"/>
        </w:rPr>
        <w:t> </w:t>
      </w:r>
      <w:r>
        <w:rPr>
          <w:color w:val="231F20"/>
        </w:rPr>
        <w:t>first</w:t>
      </w:r>
      <w:r>
        <w:rPr>
          <w:color w:val="231F20"/>
          <w:spacing w:val="-9"/>
        </w:rPr>
        <w:t> </w:t>
      </w:r>
      <w:r>
        <w:rPr>
          <w:color w:val="231F20"/>
        </w:rPr>
        <w:t>published</w:t>
      </w:r>
      <w:r>
        <w:rPr>
          <w:color w:val="231F20"/>
          <w:spacing w:val="-9"/>
        </w:rPr>
        <w:t> </w:t>
      </w:r>
      <w:r>
        <w:rPr>
          <w:color w:val="231F20"/>
        </w:rPr>
        <w:t>in</w:t>
      </w:r>
      <w:r>
        <w:rPr>
          <w:color w:val="231F20"/>
          <w:spacing w:val="-9"/>
        </w:rPr>
        <w:t> </w:t>
      </w:r>
      <w:r>
        <w:rPr>
          <w:color w:val="231F20"/>
        </w:rPr>
        <w:t>2008,</w:t>
      </w:r>
      <w:r>
        <w:rPr>
          <w:color w:val="231F20"/>
          <w:spacing w:val="-9"/>
        </w:rPr>
        <w:t> </w:t>
      </w:r>
      <w:r>
        <w:rPr>
          <w:color w:val="231F20"/>
        </w:rPr>
        <w:t>and</w:t>
      </w:r>
      <w:r>
        <w:rPr>
          <w:color w:val="231F20"/>
          <w:spacing w:val="-9"/>
        </w:rPr>
        <w:t> </w:t>
      </w:r>
      <w:r>
        <w:rPr>
          <w:color w:val="231F20"/>
        </w:rPr>
        <w:t>the EU</w:t>
      </w:r>
      <w:r>
        <w:rPr>
          <w:color w:val="231F20"/>
          <w:spacing w:val="-14"/>
        </w:rPr>
        <w:t> </w:t>
      </w:r>
      <w:r>
        <w:rPr>
          <w:color w:val="231F20"/>
        </w:rPr>
        <w:t>Transport</w:t>
      </w:r>
      <w:r>
        <w:rPr>
          <w:color w:val="231F20"/>
          <w:spacing w:val="-13"/>
        </w:rPr>
        <w:t> </w:t>
      </w:r>
      <w:r>
        <w:rPr>
          <w:color w:val="231F20"/>
        </w:rPr>
        <w:t>Scoreboard,</w:t>
      </w:r>
      <w:r>
        <w:rPr>
          <w:color w:val="231F20"/>
          <w:spacing w:val="-13"/>
        </w:rPr>
        <w:t> </w:t>
      </w:r>
      <w:r>
        <w:rPr>
          <w:color w:val="231F20"/>
        </w:rPr>
        <w:t>launched</w:t>
      </w:r>
      <w:r>
        <w:rPr>
          <w:color w:val="231F20"/>
          <w:spacing w:val="-13"/>
        </w:rPr>
        <w:t> </w:t>
      </w:r>
      <w:r>
        <w:rPr>
          <w:color w:val="231F20"/>
        </w:rPr>
        <w:t>in</w:t>
      </w:r>
      <w:r>
        <w:rPr>
          <w:color w:val="231F20"/>
          <w:spacing w:val="-13"/>
        </w:rPr>
        <w:t> </w:t>
      </w:r>
      <w:r>
        <w:rPr>
          <w:color w:val="231F20"/>
        </w:rPr>
        <w:t>2014. </w:t>
      </w:r>
      <w:r>
        <w:rPr>
          <w:color w:val="231F20"/>
          <w:spacing w:val="-4"/>
        </w:rPr>
        <w:t>Practically all multilateral agencies, including the</w:t>
      </w:r>
      <w:r>
        <w:rPr>
          <w:color w:val="231F20"/>
          <w:spacing w:val="-8"/>
        </w:rPr>
        <w:t> </w:t>
      </w:r>
      <w:r>
        <w:rPr>
          <w:color w:val="231F20"/>
          <w:spacing w:val="-4"/>
        </w:rPr>
        <w:t>African</w:t>
      </w:r>
      <w:r>
        <w:rPr>
          <w:color w:val="231F20"/>
          <w:spacing w:val="-8"/>
        </w:rPr>
        <w:t> </w:t>
      </w:r>
      <w:r>
        <w:rPr>
          <w:color w:val="231F20"/>
          <w:spacing w:val="-4"/>
        </w:rPr>
        <w:t>Development,</w:t>
      </w:r>
      <w:r>
        <w:rPr>
          <w:color w:val="231F20"/>
          <w:spacing w:val="-8"/>
        </w:rPr>
        <w:t> </w:t>
      </w:r>
      <w:r>
        <w:rPr>
          <w:color w:val="231F20"/>
          <w:spacing w:val="-4"/>
        </w:rPr>
        <w:t>the</w:t>
      </w:r>
      <w:r>
        <w:rPr>
          <w:color w:val="231F20"/>
          <w:spacing w:val="-8"/>
        </w:rPr>
        <w:t> </w:t>
      </w:r>
      <w:r>
        <w:rPr>
          <w:color w:val="231F20"/>
          <w:spacing w:val="-4"/>
        </w:rPr>
        <w:t>Asian</w:t>
      </w:r>
      <w:r>
        <w:rPr>
          <w:color w:val="231F20"/>
          <w:spacing w:val="-8"/>
        </w:rPr>
        <w:t> </w:t>
      </w:r>
      <w:r>
        <w:rPr>
          <w:color w:val="231F20"/>
          <w:spacing w:val="-4"/>
        </w:rPr>
        <w:t>Develop- </w:t>
      </w:r>
      <w:r>
        <w:rPr>
          <w:color w:val="231F20"/>
          <w:spacing w:val="-2"/>
        </w:rPr>
        <w:t>ment</w:t>
      </w:r>
      <w:r>
        <w:rPr>
          <w:color w:val="231F20"/>
          <w:spacing w:val="-12"/>
        </w:rPr>
        <w:t> </w:t>
      </w:r>
      <w:r>
        <w:rPr>
          <w:color w:val="231F20"/>
          <w:spacing w:val="-2"/>
        </w:rPr>
        <w:t>Bank,</w:t>
      </w:r>
      <w:r>
        <w:rPr>
          <w:color w:val="231F20"/>
          <w:spacing w:val="-11"/>
        </w:rPr>
        <w:t> </w:t>
      </w:r>
      <w:r>
        <w:rPr>
          <w:color w:val="231F20"/>
          <w:spacing w:val="-2"/>
        </w:rPr>
        <w:t>and</w:t>
      </w:r>
      <w:r>
        <w:rPr>
          <w:color w:val="231F20"/>
          <w:spacing w:val="-11"/>
        </w:rPr>
        <w:t> </w:t>
      </w:r>
      <w:r>
        <w:rPr>
          <w:color w:val="231F20"/>
          <w:spacing w:val="-2"/>
        </w:rPr>
        <w:t>the</w:t>
      </w:r>
      <w:r>
        <w:rPr>
          <w:color w:val="231F20"/>
          <w:spacing w:val="-11"/>
        </w:rPr>
        <w:t> </w:t>
      </w:r>
      <w:r>
        <w:rPr>
          <w:color w:val="231F20"/>
          <w:spacing w:val="-2"/>
        </w:rPr>
        <w:t>Inter-American</w:t>
      </w:r>
      <w:r>
        <w:rPr>
          <w:color w:val="231F20"/>
          <w:spacing w:val="-11"/>
        </w:rPr>
        <w:t> </w:t>
      </w:r>
      <w:r>
        <w:rPr>
          <w:color w:val="231F20"/>
          <w:spacing w:val="-2"/>
        </w:rPr>
        <w:t>Develop- </w:t>
      </w:r>
      <w:r>
        <w:rPr>
          <w:color w:val="231F20"/>
          <w:spacing w:val="-6"/>
        </w:rPr>
        <w:t>ment Bank, as well as the United Nations Con- ference</w:t>
      </w:r>
      <w:r>
        <w:rPr>
          <w:color w:val="231F20"/>
          <w:spacing w:val="-7"/>
        </w:rPr>
        <w:t> </w:t>
      </w:r>
      <w:r>
        <w:rPr>
          <w:color w:val="231F20"/>
          <w:spacing w:val="-6"/>
        </w:rPr>
        <w:t>on</w:t>
      </w:r>
      <w:r>
        <w:rPr>
          <w:color w:val="231F20"/>
          <w:spacing w:val="-7"/>
        </w:rPr>
        <w:t> </w:t>
      </w:r>
      <w:r>
        <w:rPr>
          <w:color w:val="231F20"/>
          <w:spacing w:val="-6"/>
        </w:rPr>
        <w:t>Trade</w:t>
      </w:r>
      <w:r>
        <w:rPr>
          <w:color w:val="231F20"/>
          <w:spacing w:val="-7"/>
        </w:rPr>
        <w:t> </w:t>
      </w:r>
      <w:r>
        <w:rPr>
          <w:color w:val="231F20"/>
          <w:spacing w:val="-6"/>
        </w:rPr>
        <w:t>and</w:t>
      </w:r>
      <w:r>
        <w:rPr>
          <w:color w:val="231F20"/>
          <w:spacing w:val="-7"/>
        </w:rPr>
        <w:t> </w:t>
      </w:r>
      <w:r>
        <w:rPr>
          <w:color w:val="231F20"/>
          <w:spacing w:val="-6"/>
        </w:rPr>
        <w:t>Development,</w:t>
      </w:r>
      <w:r>
        <w:rPr>
          <w:color w:val="231F20"/>
          <w:spacing w:val="-7"/>
        </w:rPr>
        <w:t> </w:t>
      </w:r>
      <w:r>
        <w:rPr>
          <w:color w:val="231F20"/>
          <w:spacing w:val="-6"/>
        </w:rPr>
        <w:t>the</w:t>
      </w:r>
      <w:r>
        <w:rPr>
          <w:color w:val="231F20"/>
          <w:spacing w:val="-7"/>
        </w:rPr>
        <w:t> </w:t>
      </w:r>
      <w:r>
        <w:rPr>
          <w:color w:val="231F20"/>
          <w:spacing w:val="-6"/>
        </w:rPr>
        <w:t>United </w:t>
      </w:r>
      <w:r>
        <w:rPr>
          <w:color w:val="231F20"/>
        </w:rPr>
        <w:t>Nations Economic Commission for Europe, and</w:t>
      </w:r>
      <w:r>
        <w:rPr>
          <w:color w:val="231F20"/>
          <w:spacing w:val="-14"/>
        </w:rPr>
        <w:t> </w:t>
      </w:r>
      <w:r>
        <w:rPr>
          <w:color w:val="231F20"/>
        </w:rPr>
        <w:t>the</w:t>
      </w:r>
      <w:r>
        <w:rPr>
          <w:color w:val="231F20"/>
          <w:spacing w:val="-13"/>
        </w:rPr>
        <w:t> </w:t>
      </w:r>
      <w:r>
        <w:rPr>
          <w:color w:val="231F20"/>
        </w:rPr>
        <w:t>United</w:t>
      </w:r>
      <w:r>
        <w:rPr>
          <w:color w:val="231F20"/>
          <w:spacing w:val="-13"/>
        </w:rPr>
        <w:t> </w:t>
      </w:r>
      <w:r>
        <w:rPr>
          <w:color w:val="231F20"/>
        </w:rPr>
        <w:t>Nations</w:t>
      </w:r>
      <w:r>
        <w:rPr>
          <w:color w:val="231F20"/>
          <w:spacing w:val="-13"/>
        </w:rPr>
        <w:t> </w:t>
      </w:r>
      <w:r>
        <w:rPr>
          <w:color w:val="231F20"/>
        </w:rPr>
        <w:t>Economic</w:t>
      </w:r>
      <w:r>
        <w:rPr>
          <w:color w:val="231F20"/>
          <w:spacing w:val="-13"/>
        </w:rPr>
        <w:t> </w:t>
      </w:r>
      <w:r>
        <w:rPr>
          <w:color w:val="231F20"/>
        </w:rPr>
        <w:t>and</w:t>
      </w:r>
      <w:r>
        <w:rPr>
          <w:color w:val="231F20"/>
          <w:spacing w:val="-13"/>
        </w:rPr>
        <w:t> </w:t>
      </w:r>
      <w:r>
        <w:rPr>
          <w:color w:val="231F20"/>
        </w:rPr>
        <w:t>Social </w:t>
      </w:r>
      <w:r>
        <w:rPr>
          <w:color w:val="231F20"/>
          <w:spacing w:val="-4"/>
        </w:rPr>
        <w:t>Commission</w:t>
      </w:r>
      <w:r>
        <w:rPr>
          <w:color w:val="231F20"/>
          <w:spacing w:val="-10"/>
        </w:rPr>
        <w:t> </w:t>
      </w:r>
      <w:r>
        <w:rPr>
          <w:color w:val="231F20"/>
          <w:spacing w:val="-4"/>
        </w:rPr>
        <w:t>for</w:t>
      </w:r>
      <w:r>
        <w:rPr>
          <w:color w:val="231F20"/>
          <w:spacing w:val="-9"/>
        </w:rPr>
        <w:t> </w:t>
      </w:r>
      <w:r>
        <w:rPr>
          <w:color w:val="231F20"/>
          <w:spacing w:val="-4"/>
        </w:rPr>
        <w:t>Asia</w:t>
      </w:r>
      <w:r>
        <w:rPr>
          <w:color w:val="231F20"/>
          <w:spacing w:val="-9"/>
        </w:rPr>
        <w:t> </w:t>
      </w:r>
      <w:r>
        <w:rPr>
          <w:color w:val="231F20"/>
          <w:spacing w:val="-4"/>
        </w:rPr>
        <w:t>and</w:t>
      </w:r>
      <w:r>
        <w:rPr>
          <w:color w:val="231F20"/>
          <w:spacing w:val="-9"/>
        </w:rPr>
        <w:t> </w:t>
      </w:r>
      <w:r>
        <w:rPr>
          <w:color w:val="231F20"/>
          <w:spacing w:val="-4"/>
        </w:rPr>
        <w:t>the</w:t>
      </w:r>
      <w:r>
        <w:rPr>
          <w:color w:val="231F20"/>
          <w:spacing w:val="-9"/>
        </w:rPr>
        <w:t> </w:t>
      </w:r>
      <w:r>
        <w:rPr>
          <w:color w:val="231F20"/>
          <w:spacing w:val="-4"/>
        </w:rPr>
        <w:t>Pacific,</w:t>
      </w:r>
      <w:r>
        <w:rPr>
          <w:color w:val="231F20"/>
          <w:spacing w:val="-9"/>
        </w:rPr>
        <w:t> </w:t>
      </w:r>
      <w:r>
        <w:rPr>
          <w:color w:val="231F20"/>
          <w:spacing w:val="-4"/>
        </w:rPr>
        <w:t>have</w:t>
      </w:r>
      <w:r>
        <w:rPr>
          <w:color w:val="231F20"/>
          <w:spacing w:val="-9"/>
        </w:rPr>
        <w:t> </w:t>
      </w:r>
      <w:r>
        <w:rPr>
          <w:color w:val="231F20"/>
          <w:spacing w:val="-4"/>
        </w:rPr>
        <w:t>ad- </w:t>
      </w:r>
      <w:r>
        <w:rPr>
          <w:color w:val="231F20"/>
        </w:rPr>
        <w:t>opted the LPI as a standard element in their trade-</w:t>
      </w:r>
      <w:r>
        <w:rPr>
          <w:color w:val="231F20"/>
          <w:spacing w:val="-8"/>
        </w:rPr>
        <w:t> </w:t>
      </w:r>
      <w:r>
        <w:rPr>
          <w:color w:val="231F20"/>
        </w:rPr>
        <w:t>and</w:t>
      </w:r>
      <w:r>
        <w:rPr>
          <w:color w:val="231F20"/>
          <w:spacing w:val="-8"/>
        </w:rPr>
        <w:t> </w:t>
      </w:r>
      <w:r>
        <w:rPr>
          <w:color w:val="231F20"/>
        </w:rPr>
        <w:t>transport-related</w:t>
      </w:r>
      <w:r>
        <w:rPr>
          <w:color w:val="231F20"/>
          <w:spacing w:val="-8"/>
        </w:rPr>
        <w:t> </w:t>
      </w:r>
      <w:r>
        <w:rPr>
          <w:color w:val="231F20"/>
        </w:rPr>
        <w:t>publications.</w:t>
      </w:r>
    </w:p>
    <w:p>
      <w:pPr>
        <w:pStyle w:val="BodyText"/>
        <w:spacing w:line="268" w:lineRule="auto"/>
        <w:ind w:left="3840" w:firstLine="300"/>
        <w:jc w:val="both"/>
      </w:pPr>
      <w:r>
        <w:rPr>
          <w:color w:val="231F20"/>
          <w:w w:val="90"/>
        </w:rPr>
        <w:t>LPI indicators are typically cited in research or policy literature that falls roughly evenly into </w:t>
      </w:r>
      <w:r>
        <w:rPr>
          <w:color w:val="231F20"/>
        </w:rPr>
        <w:t>two</w:t>
      </w:r>
      <w:r>
        <w:rPr>
          <w:color w:val="231F20"/>
          <w:spacing w:val="-13"/>
        </w:rPr>
        <w:t> </w:t>
      </w:r>
      <w:r>
        <w:rPr>
          <w:color w:val="231F20"/>
        </w:rPr>
        <w:t>categories:</w:t>
      </w:r>
      <w:r>
        <w:rPr>
          <w:color w:val="231F20"/>
          <w:spacing w:val="-13"/>
        </w:rPr>
        <w:t> </w:t>
      </w:r>
      <w:r>
        <w:rPr>
          <w:color w:val="231F20"/>
        </w:rPr>
        <w:t>trade</w:t>
      </w:r>
      <w:r>
        <w:rPr>
          <w:color w:val="231F20"/>
          <w:spacing w:val="-13"/>
        </w:rPr>
        <w:t> </w:t>
      </w:r>
      <w:r>
        <w:rPr>
          <w:color w:val="231F20"/>
        </w:rPr>
        <w:t>economics</w:t>
      </w:r>
      <w:r>
        <w:rPr>
          <w:color w:val="231F20"/>
          <w:spacing w:val="-13"/>
        </w:rPr>
        <w:t> </w:t>
      </w:r>
      <w:r>
        <w:rPr>
          <w:color w:val="231F20"/>
        </w:rPr>
        <w:t>or</w:t>
      </w:r>
      <w:r>
        <w:rPr>
          <w:color w:val="231F20"/>
          <w:spacing w:val="-13"/>
        </w:rPr>
        <w:t> </w:t>
      </w:r>
      <w:r>
        <w:rPr>
          <w:color w:val="231F20"/>
        </w:rPr>
        <w:t>trade</w:t>
      </w:r>
      <w:r>
        <w:rPr>
          <w:color w:val="231F20"/>
          <w:spacing w:val="-13"/>
        </w:rPr>
        <w:t> </w:t>
      </w:r>
      <w:r>
        <w:rPr>
          <w:color w:val="231F20"/>
        </w:rPr>
        <w:t>and transport facilitation and supply chain man- </w:t>
      </w:r>
      <w:r>
        <w:rPr>
          <w:color w:val="231F20"/>
          <w:spacing w:val="-2"/>
        </w:rPr>
        <w:t>agement,</w:t>
      </w:r>
      <w:r>
        <w:rPr>
          <w:color w:val="231F20"/>
          <w:spacing w:val="-12"/>
        </w:rPr>
        <w:t> </w:t>
      </w:r>
      <w:r>
        <w:rPr>
          <w:color w:val="231F20"/>
          <w:spacing w:val="-2"/>
        </w:rPr>
        <w:t>transport,</w:t>
      </w:r>
      <w:r>
        <w:rPr>
          <w:color w:val="231F20"/>
          <w:spacing w:val="-11"/>
        </w:rPr>
        <w:t> </w:t>
      </w:r>
      <w:r>
        <w:rPr>
          <w:color w:val="231F20"/>
          <w:spacing w:val="-2"/>
        </w:rPr>
        <w:t>and</w:t>
      </w:r>
      <w:r>
        <w:rPr>
          <w:color w:val="231F20"/>
          <w:spacing w:val="-11"/>
        </w:rPr>
        <w:t> </w:t>
      </w:r>
      <w:r>
        <w:rPr>
          <w:color w:val="231F20"/>
          <w:spacing w:val="-2"/>
        </w:rPr>
        <w:t>logistics</w:t>
      </w:r>
      <w:r>
        <w:rPr>
          <w:color w:val="231F20"/>
          <w:spacing w:val="-11"/>
        </w:rPr>
        <w:t> </w:t>
      </w:r>
      <w:r>
        <w:rPr>
          <w:color w:val="231F20"/>
          <w:spacing w:val="-2"/>
        </w:rPr>
        <w:t>competitive- </w:t>
      </w:r>
      <w:r>
        <w:rPr>
          <w:color w:val="231F20"/>
        </w:rPr>
        <w:t>ness</w:t>
      </w:r>
      <w:r>
        <w:rPr>
          <w:color w:val="231F20"/>
          <w:spacing w:val="-14"/>
        </w:rPr>
        <w:t> </w:t>
      </w:r>
      <w:r>
        <w:rPr>
          <w:color w:val="231F20"/>
        </w:rPr>
        <w:t>issues.</w:t>
      </w:r>
    </w:p>
    <w:p>
      <w:pPr>
        <w:pStyle w:val="BodyText"/>
        <w:spacing w:line="268" w:lineRule="auto"/>
        <w:ind w:left="3840" w:firstLine="300"/>
        <w:jc w:val="both"/>
      </w:pPr>
      <w:r>
        <w:rPr>
          <w:color w:val="231F20"/>
          <w:spacing w:val="-4"/>
        </w:rPr>
        <w:t>The</w:t>
      </w:r>
      <w:r>
        <w:rPr>
          <w:color w:val="231F20"/>
          <w:spacing w:val="-10"/>
        </w:rPr>
        <w:t> </w:t>
      </w:r>
      <w:r>
        <w:rPr>
          <w:color w:val="231F20"/>
          <w:spacing w:val="-4"/>
        </w:rPr>
        <w:t>division</w:t>
      </w:r>
      <w:r>
        <w:rPr>
          <w:color w:val="231F20"/>
          <w:spacing w:val="-9"/>
        </w:rPr>
        <w:t> </w:t>
      </w:r>
      <w:r>
        <w:rPr>
          <w:color w:val="231F20"/>
          <w:spacing w:val="-4"/>
        </w:rPr>
        <w:t>between</w:t>
      </w:r>
      <w:r>
        <w:rPr>
          <w:color w:val="231F20"/>
          <w:spacing w:val="-9"/>
        </w:rPr>
        <w:t> </w:t>
      </w:r>
      <w:r>
        <w:rPr>
          <w:color w:val="231F20"/>
          <w:spacing w:val="-4"/>
        </w:rPr>
        <w:t>the</w:t>
      </w:r>
      <w:r>
        <w:rPr>
          <w:color w:val="231F20"/>
          <w:spacing w:val="-9"/>
        </w:rPr>
        <w:t> </w:t>
      </w:r>
      <w:r>
        <w:rPr>
          <w:color w:val="231F20"/>
          <w:spacing w:val="-4"/>
        </w:rPr>
        <w:t>two</w:t>
      </w:r>
      <w:r>
        <w:rPr>
          <w:color w:val="231F20"/>
          <w:spacing w:val="-9"/>
        </w:rPr>
        <w:t> </w:t>
      </w:r>
      <w:r>
        <w:rPr>
          <w:color w:val="231F20"/>
          <w:spacing w:val="-4"/>
        </w:rPr>
        <w:t>categories</w:t>
      </w:r>
      <w:r>
        <w:rPr>
          <w:color w:val="231F20"/>
          <w:spacing w:val="-9"/>
        </w:rPr>
        <w:t> </w:t>
      </w:r>
      <w:r>
        <w:rPr>
          <w:color w:val="231F20"/>
          <w:spacing w:val="-4"/>
        </w:rPr>
        <w:t>is </w:t>
      </w:r>
      <w:r>
        <w:rPr>
          <w:color w:val="231F20"/>
        </w:rPr>
        <w:t>not</w:t>
      </w:r>
      <w:r>
        <w:rPr>
          <w:color w:val="231F20"/>
          <w:spacing w:val="-14"/>
        </w:rPr>
        <w:t> </w:t>
      </w:r>
      <w:r>
        <w:rPr>
          <w:color w:val="231F20"/>
        </w:rPr>
        <w:t>clear</w:t>
      </w:r>
      <w:r>
        <w:rPr>
          <w:color w:val="231F20"/>
          <w:spacing w:val="-13"/>
        </w:rPr>
        <w:t> </w:t>
      </w:r>
      <w:r>
        <w:rPr>
          <w:color w:val="231F20"/>
        </w:rPr>
        <w:t>cut.</w:t>
      </w:r>
      <w:r>
        <w:rPr>
          <w:color w:val="231F20"/>
          <w:spacing w:val="-13"/>
        </w:rPr>
        <w:t> </w:t>
      </w:r>
      <w:r>
        <w:rPr>
          <w:color w:val="231F20"/>
        </w:rPr>
        <w:t>However,</w:t>
      </w:r>
      <w:r>
        <w:rPr>
          <w:color w:val="231F20"/>
          <w:spacing w:val="-13"/>
        </w:rPr>
        <w:t> </w:t>
      </w:r>
      <w:r>
        <w:rPr>
          <w:color w:val="231F20"/>
        </w:rPr>
        <w:t>they</w:t>
      </w:r>
      <w:r>
        <w:rPr>
          <w:color w:val="231F20"/>
          <w:spacing w:val="-13"/>
        </w:rPr>
        <w:t> </w:t>
      </w:r>
      <w:r>
        <w:rPr>
          <w:color w:val="231F20"/>
        </w:rPr>
        <w:t>indicate</w:t>
      </w:r>
      <w:r>
        <w:rPr>
          <w:color w:val="231F20"/>
          <w:spacing w:val="-13"/>
        </w:rPr>
        <w:t> </w:t>
      </w:r>
      <w:r>
        <w:rPr>
          <w:color w:val="231F20"/>
        </w:rPr>
        <w:t>that</w:t>
      </w:r>
      <w:r>
        <w:rPr>
          <w:color w:val="231F20"/>
          <w:spacing w:val="-13"/>
        </w:rPr>
        <w:t> </w:t>
      </w:r>
      <w:r>
        <w:rPr>
          <w:color w:val="231F20"/>
        </w:rPr>
        <w:t>the LPI</w:t>
      </w:r>
      <w:r>
        <w:rPr>
          <w:color w:val="231F20"/>
          <w:spacing w:val="-7"/>
        </w:rPr>
        <w:t> </w:t>
      </w:r>
      <w:r>
        <w:rPr>
          <w:color w:val="231F20"/>
        </w:rPr>
        <w:t>is</w:t>
      </w:r>
      <w:r>
        <w:rPr>
          <w:color w:val="231F20"/>
          <w:spacing w:val="-7"/>
        </w:rPr>
        <w:t> </w:t>
      </w:r>
      <w:r>
        <w:rPr>
          <w:color w:val="231F20"/>
        </w:rPr>
        <w:t>widely</w:t>
      </w:r>
      <w:r>
        <w:rPr>
          <w:color w:val="231F20"/>
          <w:spacing w:val="-7"/>
        </w:rPr>
        <w:t> </w:t>
      </w:r>
      <w:r>
        <w:rPr>
          <w:color w:val="231F20"/>
        </w:rPr>
        <w:t>used</w:t>
      </w:r>
      <w:r>
        <w:rPr>
          <w:color w:val="231F20"/>
          <w:spacing w:val="-7"/>
        </w:rPr>
        <w:t> </w:t>
      </w:r>
      <w:r>
        <w:rPr>
          <w:color w:val="231F20"/>
        </w:rPr>
        <w:t>for</w:t>
      </w:r>
      <w:r>
        <w:rPr>
          <w:color w:val="231F20"/>
          <w:spacing w:val="-7"/>
        </w:rPr>
        <w:t> </w:t>
      </w:r>
      <w:r>
        <w:rPr>
          <w:color w:val="231F20"/>
        </w:rPr>
        <w:t>both</w:t>
      </w:r>
      <w:r>
        <w:rPr>
          <w:color w:val="231F20"/>
          <w:spacing w:val="-7"/>
        </w:rPr>
        <w:t> </w:t>
      </w:r>
      <w:r>
        <w:rPr>
          <w:color w:val="231F20"/>
        </w:rPr>
        <w:t>trade</w:t>
      </w:r>
      <w:r>
        <w:rPr>
          <w:color w:val="231F20"/>
          <w:spacing w:val="-7"/>
        </w:rPr>
        <w:t> </w:t>
      </w:r>
      <w:r>
        <w:rPr>
          <w:color w:val="231F20"/>
        </w:rPr>
        <w:t>facilitation </w:t>
      </w:r>
      <w:r>
        <w:rPr>
          <w:color w:val="231F20"/>
          <w:spacing w:val="-4"/>
        </w:rPr>
        <w:t>and</w:t>
      </w:r>
      <w:r>
        <w:rPr>
          <w:color w:val="231F20"/>
          <w:spacing w:val="-10"/>
        </w:rPr>
        <w:t> </w:t>
      </w:r>
      <w:r>
        <w:rPr>
          <w:color w:val="231F20"/>
          <w:spacing w:val="-4"/>
        </w:rPr>
        <w:t>policymaking,</w:t>
      </w:r>
      <w:r>
        <w:rPr>
          <w:color w:val="231F20"/>
          <w:spacing w:val="-9"/>
        </w:rPr>
        <w:t> </w:t>
      </w:r>
      <w:r>
        <w:rPr>
          <w:color w:val="231F20"/>
          <w:spacing w:val="-4"/>
        </w:rPr>
        <w:t>typically</w:t>
      </w:r>
      <w:r>
        <w:rPr>
          <w:color w:val="231F20"/>
          <w:spacing w:val="-9"/>
        </w:rPr>
        <w:t> </w:t>
      </w:r>
      <w:r>
        <w:rPr>
          <w:color w:val="231F20"/>
          <w:spacing w:val="-4"/>
        </w:rPr>
        <w:t>at</w:t>
      </w:r>
      <w:r>
        <w:rPr>
          <w:color w:val="231F20"/>
          <w:spacing w:val="-9"/>
        </w:rPr>
        <w:t> </w:t>
      </w:r>
      <w:r>
        <w:rPr>
          <w:color w:val="231F20"/>
          <w:spacing w:val="-4"/>
        </w:rPr>
        <w:t>the</w:t>
      </w:r>
      <w:r>
        <w:rPr>
          <w:color w:val="231F20"/>
          <w:spacing w:val="-9"/>
        </w:rPr>
        <w:t> </w:t>
      </w:r>
      <w:r>
        <w:rPr>
          <w:color w:val="231F20"/>
          <w:spacing w:val="-4"/>
        </w:rPr>
        <w:t>macro</w:t>
      </w:r>
      <w:r>
        <w:rPr>
          <w:color w:val="231F20"/>
          <w:spacing w:val="-9"/>
        </w:rPr>
        <w:t> </w:t>
      </w:r>
      <w:r>
        <w:rPr>
          <w:color w:val="231F20"/>
          <w:spacing w:val="-4"/>
        </w:rPr>
        <w:t>level (the</w:t>
      </w:r>
      <w:r>
        <w:rPr>
          <w:color w:val="231F20"/>
          <w:spacing w:val="-7"/>
        </w:rPr>
        <w:t> </w:t>
      </w:r>
      <w:r>
        <w:rPr>
          <w:color w:val="231F20"/>
          <w:spacing w:val="-4"/>
        </w:rPr>
        <w:t>first</w:t>
      </w:r>
      <w:r>
        <w:rPr>
          <w:color w:val="231F20"/>
          <w:spacing w:val="-7"/>
        </w:rPr>
        <w:t> </w:t>
      </w:r>
      <w:r>
        <w:rPr>
          <w:color w:val="231F20"/>
          <w:spacing w:val="-4"/>
        </w:rPr>
        <w:t>category),</w:t>
      </w:r>
      <w:r>
        <w:rPr>
          <w:color w:val="231F20"/>
          <w:spacing w:val="-7"/>
        </w:rPr>
        <w:t> </w:t>
      </w:r>
      <w:r>
        <w:rPr>
          <w:color w:val="231F20"/>
          <w:spacing w:val="-4"/>
        </w:rPr>
        <w:t>and</w:t>
      </w:r>
      <w:r>
        <w:rPr>
          <w:color w:val="231F20"/>
          <w:spacing w:val="-7"/>
        </w:rPr>
        <w:t> </w:t>
      </w:r>
      <w:r>
        <w:rPr>
          <w:color w:val="231F20"/>
          <w:spacing w:val="-4"/>
        </w:rPr>
        <w:t>for</w:t>
      </w:r>
      <w:r>
        <w:rPr>
          <w:color w:val="231F20"/>
          <w:spacing w:val="-7"/>
        </w:rPr>
        <w:t> </w:t>
      </w:r>
      <w:r>
        <w:rPr>
          <w:color w:val="231F20"/>
          <w:spacing w:val="-4"/>
        </w:rPr>
        <w:t>more</w:t>
      </w:r>
      <w:r>
        <w:rPr>
          <w:color w:val="231F20"/>
          <w:spacing w:val="-7"/>
        </w:rPr>
        <w:t> </w:t>
      </w:r>
      <w:r>
        <w:rPr>
          <w:color w:val="231F20"/>
          <w:spacing w:val="-4"/>
        </w:rPr>
        <w:t>business-ori- </w:t>
      </w:r>
      <w:r>
        <w:rPr>
          <w:color w:val="231F20"/>
        </w:rPr>
        <w:t>ented</w:t>
      </w:r>
      <w:r>
        <w:rPr>
          <w:color w:val="231F20"/>
          <w:spacing w:val="-1"/>
        </w:rPr>
        <w:t> </w:t>
      </w:r>
      <w:r>
        <w:rPr>
          <w:color w:val="231F20"/>
        </w:rPr>
        <w:t>purposes,</w:t>
      </w:r>
      <w:r>
        <w:rPr>
          <w:color w:val="231F20"/>
          <w:spacing w:val="-1"/>
        </w:rPr>
        <w:t> </w:t>
      </w:r>
      <w:r>
        <w:rPr>
          <w:color w:val="231F20"/>
        </w:rPr>
        <w:t>often</w:t>
      </w:r>
      <w:r>
        <w:rPr>
          <w:color w:val="231F20"/>
          <w:spacing w:val="-1"/>
        </w:rPr>
        <w:t> </w:t>
      </w:r>
      <w:r>
        <w:rPr>
          <w:color w:val="231F20"/>
        </w:rPr>
        <w:t>at</w:t>
      </w:r>
      <w:r>
        <w:rPr>
          <w:color w:val="231F20"/>
          <w:spacing w:val="-1"/>
        </w:rPr>
        <w:t> </w:t>
      </w:r>
      <w:r>
        <w:rPr>
          <w:color w:val="231F20"/>
        </w:rPr>
        <w:t>the</w:t>
      </w:r>
      <w:r>
        <w:rPr>
          <w:color w:val="231F20"/>
          <w:spacing w:val="-1"/>
        </w:rPr>
        <w:t> </w:t>
      </w:r>
      <w:r>
        <w:rPr>
          <w:color w:val="231F20"/>
        </w:rPr>
        <w:t>micro</w:t>
      </w:r>
      <w:r>
        <w:rPr>
          <w:color w:val="231F20"/>
          <w:spacing w:val="-1"/>
        </w:rPr>
        <w:t> </w:t>
      </w:r>
      <w:r>
        <w:rPr>
          <w:color w:val="231F20"/>
        </w:rPr>
        <w:t>or</w:t>
      </w:r>
      <w:r>
        <w:rPr>
          <w:color w:val="231F20"/>
          <w:spacing w:val="-1"/>
        </w:rPr>
        <w:t> </w:t>
      </w:r>
      <w:r>
        <w:rPr>
          <w:color w:val="231F20"/>
        </w:rPr>
        <w:t>supply </w:t>
      </w:r>
      <w:r>
        <w:rPr>
          <w:color w:val="231F20"/>
          <w:spacing w:val="-2"/>
        </w:rPr>
        <w:t>chain</w:t>
      </w:r>
      <w:r>
        <w:rPr>
          <w:color w:val="231F20"/>
          <w:spacing w:val="-9"/>
        </w:rPr>
        <w:t> </w:t>
      </w:r>
      <w:r>
        <w:rPr>
          <w:color w:val="231F20"/>
          <w:spacing w:val="-2"/>
        </w:rPr>
        <w:t>level</w:t>
      </w:r>
      <w:r>
        <w:rPr>
          <w:color w:val="231F20"/>
          <w:spacing w:val="-9"/>
        </w:rPr>
        <w:t> </w:t>
      </w:r>
      <w:r>
        <w:rPr>
          <w:color w:val="231F20"/>
          <w:spacing w:val="-2"/>
        </w:rPr>
        <w:t>(the</w:t>
      </w:r>
      <w:r>
        <w:rPr>
          <w:color w:val="231F20"/>
          <w:spacing w:val="-9"/>
        </w:rPr>
        <w:t> </w:t>
      </w:r>
      <w:r>
        <w:rPr>
          <w:color w:val="231F20"/>
          <w:spacing w:val="-2"/>
        </w:rPr>
        <w:t>second</w:t>
      </w:r>
      <w:r>
        <w:rPr>
          <w:color w:val="231F20"/>
          <w:spacing w:val="-9"/>
        </w:rPr>
        <w:t> </w:t>
      </w:r>
      <w:r>
        <w:rPr>
          <w:color w:val="231F20"/>
          <w:spacing w:val="-2"/>
        </w:rPr>
        <w:t>category).</w:t>
      </w:r>
    </w:p>
    <w:p>
      <w:pPr>
        <w:spacing w:line="240" w:lineRule="auto" w:before="10" w:after="24"/>
        <w:rPr>
          <w:sz w:val="6"/>
        </w:rPr>
      </w:pPr>
      <w:r>
        <w:rPr/>
        <w:br w:type="column"/>
      </w:r>
      <w:r>
        <w:rPr>
          <w:sz w:val="6"/>
        </w:rPr>
      </w:r>
    </w:p>
    <w:p>
      <w:pPr>
        <w:pStyle w:val="BodyText"/>
        <w:ind w:left="186"/>
        <w:rPr>
          <w:sz w:val="20"/>
        </w:rPr>
      </w:pPr>
      <w:r>
        <w:rPr>
          <w:sz w:val="20"/>
        </w:rPr>
        <mc:AlternateContent>
          <mc:Choice Requires="wps">
            <w:drawing>
              <wp:inline distT="0" distB="0" distL="0" distR="0">
                <wp:extent cx="2362835" cy="2946400"/>
                <wp:effectExtent l="0" t="9525" r="0" b="6350"/>
                <wp:docPr id="2105" name="Group 2105"/>
                <wp:cNvGraphicFramePr>
                  <a:graphicFrameLocks/>
                </wp:cNvGraphicFramePr>
                <a:graphic>
                  <a:graphicData uri="http://schemas.microsoft.com/office/word/2010/wordprocessingGroup">
                    <wpg:wgp>
                      <wpg:cNvPr id="2105" name="Group 2105"/>
                      <wpg:cNvGrpSpPr/>
                      <wpg:grpSpPr>
                        <a:xfrm>
                          <a:off x="0" y="0"/>
                          <a:ext cx="2362835" cy="2946400"/>
                          <a:chExt cx="2362835" cy="2946400"/>
                        </a:xfrm>
                      </wpg:grpSpPr>
                      <wps:wsp>
                        <wps:cNvPr id="2106" name="Graphic 2106"/>
                        <wps:cNvSpPr/>
                        <wps:spPr>
                          <a:xfrm>
                            <a:off x="198" y="386736"/>
                            <a:ext cx="2362200" cy="2559685"/>
                          </a:xfrm>
                          <a:custGeom>
                            <a:avLst/>
                            <a:gdLst/>
                            <a:ahLst/>
                            <a:cxnLst/>
                            <a:rect l="l" t="t" r="r" b="b"/>
                            <a:pathLst>
                              <a:path w="2362200" h="2559685">
                                <a:moveTo>
                                  <a:pt x="2362200" y="0"/>
                                </a:moveTo>
                                <a:lnTo>
                                  <a:pt x="0" y="0"/>
                                </a:lnTo>
                                <a:lnTo>
                                  <a:pt x="0" y="2484755"/>
                                </a:lnTo>
                                <a:lnTo>
                                  <a:pt x="6159" y="2513853"/>
                                </a:lnTo>
                                <a:lnTo>
                                  <a:pt x="22693" y="2537613"/>
                                </a:lnTo>
                                <a:lnTo>
                                  <a:pt x="46682" y="2553633"/>
                                </a:lnTo>
                                <a:lnTo>
                                  <a:pt x="75209" y="2559507"/>
                                </a:lnTo>
                                <a:lnTo>
                                  <a:pt x="2283320" y="2559507"/>
                                </a:lnTo>
                                <a:lnTo>
                                  <a:pt x="2312420" y="2554252"/>
                                </a:lnTo>
                                <a:lnTo>
                                  <a:pt x="2337671" y="2539266"/>
                                </a:lnTo>
                                <a:lnTo>
                                  <a:pt x="2355466" y="2515712"/>
                                </a:lnTo>
                                <a:lnTo>
                                  <a:pt x="2362200" y="2484755"/>
                                </a:lnTo>
                                <a:lnTo>
                                  <a:pt x="2362200" y="0"/>
                                </a:lnTo>
                                <a:close/>
                              </a:path>
                            </a:pathLst>
                          </a:custGeom>
                          <a:solidFill>
                            <a:srgbClr val="DFEAF7"/>
                          </a:solidFill>
                        </wps:spPr>
                        <wps:bodyPr wrap="square" lIns="0" tIns="0" rIns="0" bIns="0" rtlCol="0">
                          <a:prstTxWarp prst="textNoShape">
                            <a:avLst/>
                          </a:prstTxWarp>
                          <a:noAutofit/>
                        </wps:bodyPr>
                      </wps:wsp>
                      <wps:wsp>
                        <wps:cNvPr id="2107" name="Graphic 2107"/>
                        <wps:cNvSpPr/>
                        <wps:spPr>
                          <a:xfrm>
                            <a:off x="273142" y="2496960"/>
                            <a:ext cx="2013585" cy="1270"/>
                          </a:xfrm>
                          <a:custGeom>
                            <a:avLst/>
                            <a:gdLst/>
                            <a:ahLst/>
                            <a:cxnLst/>
                            <a:rect l="l" t="t" r="r" b="b"/>
                            <a:pathLst>
                              <a:path w="2013585" h="0">
                                <a:moveTo>
                                  <a:pt x="0" y="0"/>
                                </a:moveTo>
                                <a:lnTo>
                                  <a:pt x="2013051" y="0"/>
                                </a:lnTo>
                              </a:path>
                              <a:path w="2013585" h="0">
                                <a:moveTo>
                                  <a:pt x="0" y="0"/>
                                </a:moveTo>
                                <a:lnTo>
                                  <a:pt x="2013051" y="0"/>
                                </a:lnTo>
                              </a:path>
                            </a:pathLst>
                          </a:custGeom>
                          <a:ln w="6350">
                            <a:solidFill>
                              <a:srgbClr val="FFFFFF"/>
                            </a:solidFill>
                            <a:prstDash val="solid"/>
                          </a:ln>
                        </wps:spPr>
                        <wps:bodyPr wrap="square" lIns="0" tIns="0" rIns="0" bIns="0" rtlCol="0">
                          <a:prstTxWarp prst="textNoShape">
                            <a:avLst/>
                          </a:prstTxWarp>
                          <a:noAutofit/>
                        </wps:bodyPr>
                      </wps:wsp>
                      <wps:wsp>
                        <wps:cNvPr id="2108" name="Graphic 2108"/>
                        <wps:cNvSpPr/>
                        <wps:spPr>
                          <a:xfrm>
                            <a:off x="273142" y="2132824"/>
                            <a:ext cx="2013585" cy="1270"/>
                          </a:xfrm>
                          <a:custGeom>
                            <a:avLst/>
                            <a:gdLst/>
                            <a:ahLst/>
                            <a:cxnLst/>
                            <a:rect l="l" t="t" r="r" b="b"/>
                            <a:pathLst>
                              <a:path w="2013585" h="0">
                                <a:moveTo>
                                  <a:pt x="0" y="0"/>
                                </a:moveTo>
                                <a:lnTo>
                                  <a:pt x="2013051" y="0"/>
                                </a:lnTo>
                              </a:path>
                            </a:pathLst>
                          </a:custGeom>
                          <a:ln w="6350">
                            <a:solidFill>
                              <a:srgbClr val="FFFFFF"/>
                            </a:solidFill>
                            <a:prstDash val="solid"/>
                          </a:ln>
                        </wps:spPr>
                        <wps:bodyPr wrap="square" lIns="0" tIns="0" rIns="0" bIns="0" rtlCol="0">
                          <a:prstTxWarp prst="textNoShape">
                            <a:avLst/>
                          </a:prstTxWarp>
                          <a:noAutofit/>
                        </wps:bodyPr>
                      </wps:wsp>
                      <wps:wsp>
                        <wps:cNvPr id="2109" name="Graphic 2109"/>
                        <wps:cNvSpPr/>
                        <wps:spPr>
                          <a:xfrm>
                            <a:off x="273142" y="1768687"/>
                            <a:ext cx="2013585" cy="1270"/>
                          </a:xfrm>
                          <a:custGeom>
                            <a:avLst/>
                            <a:gdLst/>
                            <a:ahLst/>
                            <a:cxnLst/>
                            <a:rect l="l" t="t" r="r" b="b"/>
                            <a:pathLst>
                              <a:path w="2013585" h="0">
                                <a:moveTo>
                                  <a:pt x="0" y="0"/>
                                </a:moveTo>
                                <a:lnTo>
                                  <a:pt x="2013051" y="0"/>
                                </a:lnTo>
                              </a:path>
                            </a:pathLst>
                          </a:custGeom>
                          <a:ln w="6350">
                            <a:solidFill>
                              <a:srgbClr val="FFFFFF"/>
                            </a:solidFill>
                            <a:prstDash val="solid"/>
                          </a:ln>
                        </wps:spPr>
                        <wps:bodyPr wrap="square" lIns="0" tIns="0" rIns="0" bIns="0" rtlCol="0">
                          <a:prstTxWarp prst="textNoShape">
                            <a:avLst/>
                          </a:prstTxWarp>
                          <a:noAutofit/>
                        </wps:bodyPr>
                      </wps:wsp>
                      <wps:wsp>
                        <wps:cNvPr id="2110" name="Graphic 2110"/>
                        <wps:cNvSpPr/>
                        <wps:spPr>
                          <a:xfrm>
                            <a:off x="273142" y="1404550"/>
                            <a:ext cx="2013585" cy="1270"/>
                          </a:xfrm>
                          <a:custGeom>
                            <a:avLst/>
                            <a:gdLst/>
                            <a:ahLst/>
                            <a:cxnLst/>
                            <a:rect l="l" t="t" r="r" b="b"/>
                            <a:pathLst>
                              <a:path w="2013585" h="0">
                                <a:moveTo>
                                  <a:pt x="0" y="0"/>
                                </a:moveTo>
                                <a:lnTo>
                                  <a:pt x="2013051" y="0"/>
                                </a:lnTo>
                              </a:path>
                            </a:pathLst>
                          </a:custGeom>
                          <a:ln w="6350">
                            <a:solidFill>
                              <a:srgbClr val="FFFFFF"/>
                            </a:solidFill>
                            <a:prstDash val="solid"/>
                          </a:ln>
                        </wps:spPr>
                        <wps:bodyPr wrap="square" lIns="0" tIns="0" rIns="0" bIns="0" rtlCol="0">
                          <a:prstTxWarp prst="textNoShape">
                            <a:avLst/>
                          </a:prstTxWarp>
                          <a:noAutofit/>
                        </wps:bodyPr>
                      </wps:wsp>
                      <wps:wsp>
                        <wps:cNvPr id="2111" name="Graphic 2111"/>
                        <wps:cNvSpPr/>
                        <wps:spPr>
                          <a:xfrm>
                            <a:off x="273142" y="1040413"/>
                            <a:ext cx="2013585" cy="1270"/>
                          </a:xfrm>
                          <a:custGeom>
                            <a:avLst/>
                            <a:gdLst/>
                            <a:ahLst/>
                            <a:cxnLst/>
                            <a:rect l="l" t="t" r="r" b="b"/>
                            <a:pathLst>
                              <a:path w="2013585" h="0">
                                <a:moveTo>
                                  <a:pt x="0" y="0"/>
                                </a:moveTo>
                                <a:lnTo>
                                  <a:pt x="2013051" y="0"/>
                                </a:lnTo>
                              </a:path>
                            </a:pathLst>
                          </a:custGeom>
                          <a:ln w="6350">
                            <a:solidFill>
                              <a:srgbClr val="FFFFFF"/>
                            </a:solidFill>
                            <a:prstDash val="solid"/>
                          </a:ln>
                        </wps:spPr>
                        <wps:bodyPr wrap="square" lIns="0" tIns="0" rIns="0" bIns="0" rtlCol="0">
                          <a:prstTxWarp prst="textNoShape">
                            <a:avLst/>
                          </a:prstTxWarp>
                          <a:noAutofit/>
                        </wps:bodyPr>
                      </wps:wsp>
                      <wps:wsp>
                        <wps:cNvPr id="2112" name="Graphic 2112"/>
                        <wps:cNvSpPr/>
                        <wps:spPr>
                          <a:xfrm>
                            <a:off x="273142" y="676276"/>
                            <a:ext cx="2013585" cy="1270"/>
                          </a:xfrm>
                          <a:custGeom>
                            <a:avLst/>
                            <a:gdLst/>
                            <a:ahLst/>
                            <a:cxnLst/>
                            <a:rect l="l" t="t" r="r" b="b"/>
                            <a:pathLst>
                              <a:path w="2013585" h="0">
                                <a:moveTo>
                                  <a:pt x="0" y="0"/>
                                </a:moveTo>
                                <a:lnTo>
                                  <a:pt x="2013051" y="0"/>
                                </a:lnTo>
                              </a:path>
                            </a:pathLst>
                          </a:custGeom>
                          <a:ln w="6350">
                            <a:solidFill>
                              <a:srgbClr val="FFFFFF"/>
                            </a:solidFill>
                            <a:prstDash val="solid"/>
                          </a:ln>
                        </wps:spPr>
                        <wps:bodyPr wrap="square" lIns="0" tIns="0" rIns="0" bIns="0" rtlCol="0">
                          <a:prstTxWarp prst="textNoShape">
                            <a:avLst/>
                          </a:prstTxWarp>
                          <a:noAutofit/>
                        </wps:bodyPr>
                      </wps:wsp>
                      <wps:wsp>
                        <wps:cNvPr id="2113" name="Graphic 2113"/>
                        <wps:cNvSpPr/>
                        <wps:spPr>
                          <a:xfrm>
                            <a:off x="336054" y="632575"/>
                            <a:ext cx="1887855" cy="1864995"/>
                          </a:xfrm>
                          <a:custGeom>
                            <a:avLst/>
                            <a:gdLst/>
                            <a:ahLst/>
                            <a:cxnLst/>
                            <a:rect l="l" t="t" r="r" b="b"/>
                            <a:pathLst>
                              <a:path w="1887855" h="1864995">
                                <a:moveTo>
                                  <a:pt x="1887232" y="0"/>
                                </a:moveTo>
                                <a:lnTo>
                                  <a:pt x="1761413" y="207568"/>
                                </a:lnTo>
                                <a:lnTo>
                                  <a:pt x="1635607" y="442429"/>
                                </a:lnTo>
                                <a:lnTo>
                                  <a:pt x="1509788" y="659091"/>
                                </a:lnTo>
                                <a:lnTo>
                                  <a:pt x="1383969" y="839342"/>
                                </a:lnTo>
                                <a:lnTo>
                                  <a:pt x="1258150" y="930376"/>
                                </a:lnTo>
                                <a:lnTo>
                                  <a:pt x="1132344" y="1048715"/>
                                </a:lnTo>
                                <a:lnTo>
                                  <a:pt x="1006525" y="1163421"/>
                                </a:lnTo>
                                <a:lnTo>
                                  <a:pt x="880706" y="1298155"/>
                                </a:lnTo>
                                <a:lnTo>
                                  <a:pt x="629081" y="1560334"/>
                                </a:lnTo>
                                <a:lnTo>
                                  <a:pt x="503262" y="1633156"/>
                                </a:lnTo>
                                <a:lnTo>
                                  <a:pt x="377444" y="1684134"/>
                                </a:lnTo>
                                <a:lnTo>
                                  <a:pt x="251625" y="1753323"/>
                                </a:lnTo>
                                <a:lnTo>
                                  <a:pt x="125818" y="1818868"/>
                                </a:lnTo>
                                <a:lnTo>
                                  <a:pt x="0" y="1860740"/>
                                </a:lnTo>
                                <a:lnTo>
                                  <a:pt x="0" y="1864385"/>
                                </a:lnTo>
                                <a:lnTo>
                                  <a:pt x="1887232" y="1864385"/>
                                </a:lnTo>
                                <a:lnTo>
                                  <a:pt x="1887232" y="0"/>
                                </a:lnTo>
                                <a:close/>
                              </a:path>
                            </a:pathLst>
                          </a:custGeom>
                          <a:solidFill>
                            <a:srgbClr val="008FDD"/>
                          </a:solidFill>
                        </wps:spPr>
                        <wps:bodyPr wrap="square" lIns="0" tIns="0" rIns="0" bIns="0" rtlCol="0">
                          <a:prstTxWarp prst="textNoShape">
                            <a:avLst/>
                          </a:prstTxWarp>
                          <a:noAutofit/>
                        </wps:bodyPr>
                      </wps:wsp>
                      <wps:wsp>
                        <wps:cNvPr id="2114" name="Graphic 2114"/>
                        <wps:cNvSpPr/>
                        <wps:spPr>
                          <a:xfrm>
                            <a:off x="273142" y="2496960"/>
                            <a:ext cx="2013585" cy="1270"/>
                          </a:xfrm>
                          <a:custGeom>
                            <a:avLst/>
                            <a:gdLst/>
                            <a:ahLst/>
                            <a:cxnLst/>
                            <a:rect l="l" t="t" r="r" b="b"/>
                            <a:pathLst>
                              <a:path w="2013585" h="0">
                                <a:moveTo>
                                  <a:pt x="0" y="0"/>
                                </a:moveTo>
                                <a:lnTo>
                                  <a:pt x="2013051" y="0"/>
                                </a:lnTo>
                              </a:path>
                            </a:pathLst>
                          </a:custGeom>
                          <a:ln w="6350">
                            <a:solidFill>
                              <a:srgbClr val="FFFFFF"/>
                            </a:solidFill>
                            <a:prstDash val="solid"/>
                          </a:ln>
                        </wps:spPr>
                        <wps:bodyPr wrap="square" lIns="0" tIns="0" rIns="0" bIns="0" rtlCol="0">
                          <a:prstTxWarp prst="textNoShape">
                            <a:avLst/>
                          </a:prstTxWarp>
                          <a:noAutofit/>
                        </wps:bodyPr>
                      </wps:wsp>
                      <wps:wsp>
                        <wps:cNvPr id="2115" name="Graphic 2115"/>
                        <wps:cNvSpPr/>
                        <wps:spPr>
                          <a:xfrm>
                            <a:off x="0" y="1643"/>
                            <a:ext cx="563245" cy="358775"/>
                          </a:xfrm>
                          <a:custGeom>
                            <a:avLst/>
                            <a:gdLst/>
                            <a:ahLst/>
                            <a:cxnLst/>
                            <a:rect l="l" t="t" r="r" b="b"/>
                            <a:pathLst>
                              <a:path w="563245" h="358775">
                                <a:moveTo>
                                  <a:pt x="562978" y="0"/>
                                </a:moveTo>
                                <a:lnTo>
                                  <a:pt x="76200" y="0"/>
                                </a:lnTo>
                                <a:lnTo>
                                  <a:pt x="47213" y="3058"/>
                                </a:lnTo>
                                <a:lnTo>
                                  <a:pt x="22917" y="14506"/>
                                </a:lnTo>
                                <a:lnTo>
                                  <a:pt x="6212" y="37751"/>
                                </a:lnTo>
                                <a:lnTo>
                                  <a:pt x="0" y="76200"/>
                                </a:lnTo>
                                <a:lnTo>
                                  <a:pt x="0" y="358775"/>
                                </a:lnTo>
                                <a:lnTo>
                                  <a:pt x="562978" y="358775"/>
                                </a:lnTo>
                                <a:lnTo>
                                  <a:pt x="562978" y="0"/>
                                </a:lnTo>
                                <a:close/>
                              </a:path>
                            </a:pathLst>
                          </a:custGeom>
                          <a:solidFill>
                            <a:srgbClr val="008FDD"/>
                          </a:solidFill>
                        </wps:spPr>
                        <wps:bodyPr wrap="square" lIns="0" tIns="0" rIns="0" bIns="0" rtlCol="0">
                          <a:prstTxWarp prst="textNoShape">
                            <a:avLst/>
                          </a:prstTxWarp>
                          <a:noAutofit/>
                        </wps:bodyPr>
                      </wps:wsp>
                      <wps:wsp>
                        <wps:cNvPr id="2116" name="Graphic 2116"/>
                        <wps:cNvSpPr/>
                        <wps:spPr>
                          <a:xfrm>
                            <a:off x="562978" y="1643"/>
                            <a:ext cx="1798955" cy="358775"/>
                          </a:xfrm>
                          <a:custGeom>
                            <a:avLst/>
                            <a:gdLst/>
                            <a:ahLst/>
                            <a:cxnLst/>
                            <a:rect l="l" t="t" r="r" b="b"/>
                            <a:pathLst>
                              <a:path w="1798955" h="358775">
                                <a:moveTo>
                                  <a:pt x="1722526" y="0"/>
                                </a:moveTo>
                                <a:lnTo>
                                  <a:pt x="0" y="0"/>
                                </a:lnTo>
                                <a:lnTo>
                                  <a:pt x="0" y="358775"/>
                                </a:lnTo>
                                <a:lnTo>
                                  <a:pt x="1798726" y="358775"/>
                                </a:lnTo>
                                <a:lnTo>
                                  <a:pt x="1798726" y="76200"/>
                                </a:lnTo>
                                <a:lnTo>
                                  <a:pt x="1793220" y="50979"/>
                                </a:lnTo>
                                <a:lnTo>
                                  <a:pt x="1777695" y="26265"/>
                                </a:lnTo>
                                <a:lnTo>
                                  <a:pt x="1753635" y="7468"/>
                                </a:lnTo>
                                <a:lnTo>
                                  <a:pt x="1722526" y="0"/>
                                </a:lnTo>
                                <a:close/>
                              </a:path>
                            </a:pathLst>
                          </a:custGeom>
                          <a:solidFill>
                            <a:srgbClr val="808285"/>
                          </a:solidFill>
                        </wps:spPr>
                        <wps:bodyPr wrap="square" lIns="0" tIns="0" rIns="0" bIns="0" rtlCol="0">
                          <a:prstTxWarp prst="textNoShape">
                            <a:avLst/>
                          </a:prstTxWarp>
                          <a:noAutofit/>
                        </wps:bodyPr>
                      </wps:wsp>
                      <wps:wsp>
                        <wps:cNvPr id="2117" name="Graphic 2117"/>
                        <wps:cNvSpPr/>
                        <wps:spPr>
                          <a:xfrm>
                            <a:off x="562979" y="0"/>
                            <a:ext cx="1270" cy="360680"/>
                          </a:xfrm>
                          <a:custGeom>
                            <a:avLst/>
                            <a:gdLst/>
                            <a:ahLst/>
                            <a:cxnLst/>
                            <a:rect l="l" t="t" r="r" b="b"/>
                            <a:pathLst>
                              <a:path w="0" h="360680">
                                <a:moveTo>
                                  <a:pt x="0" y="0"/>
                                </a:moveTo>
                                <a:lnTo>
                                  <a:pt x="0" y="360413"/>
                                </a:lnTo>
                              </a:path>
                            </a:pathLst>
                          </a:custGeom>
                          <a:ln w="25400">
                            <a:solidFill>
                              <a:srgbClr val="FFFFFF"/>
                            </a:solidFill>
                            <a:prstDash val="solid"/>
                          </a:ln>
                        </wps:spPr>
                        <wps:bodyPr wrap="square" lIns="0" tIns="0" rIns="0" bIns="0" rtlCol="0">
                          <a:prstTxWarp prst="textNoShape">
                            <a:avLst/>
                          </a:prstTxWarp>
                          <a:noAutofit/>
                        </wps:bodyPr>
                      </wps:wsp>
                      <wps:wsp>
                        <wps:cNvPr id="2118" name="Textbox 2118"/>
                        <wps:cNvSpPr txBox="1"/>
                        <wps:spPr>
                          <a:xfrm>
                            <a:off x="49668" y="43098"/>
                            <a:ext cx="1929130" cy="680720"/>
                          </a:xfrm>
                          <a:prstGeom prst="rect">
                            <a:avLst/>
                          </a:prstGeom>
                        </wps:spPr>
                        <wps:txbx>
                          <w:txbxContent>
                            <w:p>
                              <w:pPr>
                                <w:spacing w:line="261" w:lineRule="auto" w:before="3"/>
                                <w:ind w:left="882" w:right="0" w:hanging="840"/>
                                <w:jc w:val="left"/>
                                <w:rPr>
                                  <w:rFonts w:ascii="Arial" w:hAnsi="Arial"/>
                                  <w:b/>
                                  <w:sz w:val="16"/>
                                </w:rPr>
                              </w:pPr>
                              <w:r>
                                <w:rPr>
                                  <w:rFonts w:ascii="Arial" w:hAnsi="Arial"/>
                                  <w:color w:val="FFFFFF"/>
                                  <w:sz w:val="16"/>
                                </w:rPr>
                                <w:t>Figure</w:t>
                              </w:r>
                              <w:r>
                                <w:rPr>
                                  <w:rFonts w:ascii="Arial" w:hAnsi="Arial"/>
                                  <w:color w:val="FFFFFF"/>
                                  <w:spacing w:val="-8"/>
                                  <w:sz w:val="16"/>
                                </w:rPr>
                                <w:t> </w:t>
                              </w:r>
                              <w:r>
                                <w:rPr>
                                  <w:rFonts w:ascii="Arial" w:hAnsi="Arial"/>
                                  <w:b/>
                                  <w:color w:val="FFFFFF"/>
                                  <w:sz w:val="16"/>
                                </w:rPr>
                                <w:t>A8.1</w:t>
                              </w:r>
                              <w:r>
                                <w:rPr>
                                  <w:rFonts w:ascii="Arial" w:hAnsi="Arial"/>
                                  <w:b/>
                                  <w:color w:val="FFFFFF"/>
                                  <w:spacing w:val="59"/>
                                  <w:sz w:val="16"/>
                                </w:rPr>
                                <w:t> </w:t>
                              </w:r>
                              <w:r>
                                <w:rPr>
                                  <w:rFonts w:ascii="Arial" w:hAnsi="Arial"/>
                                  <w:b/>
                                  <w:color w:val="FFFFFF"/>
                                  <w:sz w:val="16"/>
                                </w:rPr>
                                <w:t>Use</w:t>
                              </w:r>
                              <w:r>
                                <w:rPr>
                                  <w:rFonts w:ascii="Arial" w:hAnsi="Arial"/>
                                  <w:b/>
                                  <w:color w:val="FFFFFF"/>
                                  <w:spacing w:val="-10"/>
                                  <w:sz w:val="16"/>
                                </w:rPr>
                                <w:t> </w:t>
                              </w:r>
                              <w:r>
                                <w:rPr>
                                  <w:rFonts w:ascii="Arial" w:hAnsi="Arial"/>
                                  <w:b/>
                                  <w:color w:val="FFFFFF"/>
                                  <w:sz w:val="16"/>
                                </w:rPr>
                                <w:t>of</w:t>
                              </w:r>
                              <w:r>
                                <w:rPr>
                                  <w:rFonts w:ascii="Arial" w:hAnsi="Arial"/>
                                  <w:b/>
                                  <w:color w:val="FFFFFF"/>
                                  <w:spacing w:val="-10"/>
                                  <w:sz w:val="16"/>
                                </w:rPr>
                                <w:t> </w:t>
                              </w:r>
                              <w:r>
                                <w:rPr>
                                  <w:rFonts w:ascii="Arial" w:hAnsi="Arial"/>
                                  <w:b/>
                                  <w:color w:val="FFFFFF"/>
                                  <w:sz w:val="16"/>
                                </w:rPr>
                                <w:t>LPI</w:t>
                              </w:r>
                              <w:r>
                                <w:rPr>
                                  <w:rFonts w:ascii="Arial" w:hAnsi="Arial"/>
                                  <w:b/>
                                  <w:color w:val="FFFFFF"/>
                                  <w:spacing w:val="-10"/>
                                  <w:sz w:val="16"/>
                                </w:rPr>
                                <w:t> </w:t>
                              </w:r>
                              <w:r>
                                <w:rPr>
                                  <w:rFonts w:ascii="Arial" w:hAnsi="Arial"/>
                                  <w:b/>
                                  <w:color w:val="FFFFFF"/>
                                  <w:sz w:val="16"/>
                                </w:rPr>
                                <w:t>data</w:t>
                              </w:r>
                              <w:r>
                                <w:rPr>
                                  <w:rFonts w:ascii="Arial" w:hAnsi="Arial"/>
                                  <w:b/>
                                  <w:color w:val="FFFFFF"/>
                                  <w:spacing w:val="-10"/>
                                  <w:sz w:val="16"/>
                                </w:rPr>
                                <w:t> </w:t>
                              </w:r>
                              <w:r>
                                <w:rPr>
                                  <w:rFonts w:ascii="Arial" w:hAnsi="Arial"/>
                                  <w:b/>
                                  <w:color w:val="FFFFFF"/>
                                  <w:sz w:val="16"/>
                                </w:rPr>
                                <w:t>in</w:t>
                              </w:r>
                              <w:r>
                                <w:rPr>
                                  <w:rFonts w:ascii="Arial" w:hAnsi="Arial"/>
                                  <w:b/>
                                  <w:color w:val="FFFFFF"/>
                                  <w:spacing w:val="-10"/>
                                  <w:sz w:val="16"/>
                                </w:rPr>
                                <w:t> </w:t>
                              </w:r>
                              <w:r>
                                <w:rPr>
                                  <w:rFonts w:ascii="Arial" w:hAnsi="Arial"/>
                                  <w:b/>
                                  <w:color w:val="FFFFFF"/>
                                  <w:sz w:val="16"/>
                                </w:rPr>
                                <w:t>research literature, 2007–22</w:t>
                              </w:r>
                            </w:p>
                            <w:p>
                              <w:pPr>
                                <w:spacing w:line="240" w:lineRule="auto" w:before="63"/>
                                <w:rPr>
                                  <w:rFonts w:ascii="Arial"/>
                                  <w:b/>
                                  <w:sz w:val="16"/>
                                </w:rPr>
                              </w:pPr>
                            </w:p>
                            <w:p>
                              <w:pPr>
                                <w:spacing w:line="210" w:lineRule="atLeast" w:before="0"/>
                                <w:ind w:left="0" w:right="1112" w:firstLine="42"/>
                                <w:jc w:val="left"/>
                                <w:rPr>
                                  <w:rFonts w:ascii="Arial"/>
                                  <w:sz w:val="14"/>
                                </w:rPr>
                              </w:pPr>
                              <w:r>
                                <w:rPr>
                                  <w:rFonts w:ascii="Arial"/>
                                  <w:color w:val="231F20"/>
                                  <w:w w:val="80"/>
                                  <w:sz w:val="14"/>
                                </w:rPr>
                                <w:t>Number</w:t>
                              </w:r>
                              <w:r>
                                <w:rPr>
                                  <w:rFonts w:ascii="Arial"/>
                                  <w:color w:val="231F20"/>
                                  <w:spacing w:val="-2"/>
                                  <w:w w:val="80"/>
                                  <w:sz w:val="14"/>
                                </w:rPr>
                                <w:t> </w:t>
                              </w:r>
                              <w:r>
                                <w:rPr>
                                  <w:rFonts w:ascii="Arial"/>
                                  <w:color w:val="231F20"/>
                                  <w:w w:val="80"/>
                                  <w:sz w:val="14"/>
                                </w:rPr>
                                <w:t>of</w:t>
                              </w:r>
                              <w:r>
                                <w:rPr>
                                  <w:rFonts w:ascii="Arial"/>
                                  <w:color w:val="231F20"/>
                                  <w:spacing w:val="-2"/>
                                  <w:w w:val="80"/>
                                  <w:sz w:val="14"/>
                                </w:rPr>
                                <w:t> </w:t>
                              </w:r>
                              <w:r>
                                <w:rPr>
                                  <w:rFonts w:ascii="Arial"/>
                                  <w:color w:val="231F20"/>
                                  <w:w w:val="80"/>
                                  <w:sz w:val="14"/>
                                </w:rPr>
                                <w:t>journal</w:t>
                              </w:r>
                              <w:r>
                                <w:rPr>
                                  <w:rFonts w:ascii="Arial"/>
                                  <w:color w:val="231F20"/>
                                  <w:spacing w:val="-2"/>
                                  <w:w w:val="80"/>
                                  <w:sz w:val="14"/>
                                </w:rPr>
                                <w:t> </w:t>
                              </w:r>
                              <w:r>
                                <w:rPr>
                                  <w:rFonts w:ascii="Arial"/>
                                  <w:color w:val="231F20"/>
                                  <w:w w:val="80"/>
                                  <w:sz w:val="14"/>
                                </w:rPr>
                                <w:t>articles</w:t>
                              </w:r>
                              <w:r>
                                <w:rPr>
                                  <w:rFonts w:ascii="Arial"/>
                                  <w:color w:val="231F20"/>
                                  <w:spacing w:val="-2"/>
                                  <w:w w:val="80"/>
                                  <w:sz w:val="14"/>
                                </w:rPr>
                                <w:t> </w:t>
                              </w:r>
                              <w:r>
                                <w:rPr>
                                  <w:rFonts w:ascii="Arial"/>
                                  <w:color w:val="231F20"/>
                                  <w:w w:val="80"/>
                                  <w:sz w:val="14"/>
                                </w:rPr>
                                <w:t>and</w:t>
                              </w:r>
                              <w:r>
                                <w:rPr>
                                  <w:rFonts w:ascii="Arial"/>
                                  <w:color w:val="231F20"/>
                                  <w:spacing w:val="-2"/>
                                  <w:w w:val="80"/>
                                  <w:sz w:val="14"/>
                                </w:rPr>
                                <w:t> </w:t>
                              </w:r>
                              <w:r>
                                <w:rPr>
                                  <w:rFonts w:ascii="Arial"/>
                                  <w:color w:val="231F20"/>
                                  <w:w w:val="80"/>
                                  <w:sz w:val="14"/>
                                </w:rPr>
                                <w:t>reports</w:t>
                              </w:r>
                              <w:r>
                                <w:rPr>
                                  <w:rFonts w:ascii="Arial"/>
                                  <w:color w:val="231F20"/>
                                  <w:spacing w:val="40"/>
                                  <w:sz w:val="14"/>
                                </w:rPr>
                                <w:t> </w:t>
                              </w:r>
                              <w:r>
                                <w:rPr>
                                  <w:rFonts w:ascii="Arial"/>
                                  <w:color w:val="231F20"/>
                                  <w:spacing w:val="-2"/>
                                  <w:w w:val="90"/>
                                  <w:sz w:val="14"/>
                                </w:rPr>
                                <w:t>1,000</w:t>
                              </w:r>
                            </w:p>
                          </w:txbxContent>
                        </wps:txbx>
                        <wps:bodyPr wrap="square" lIns="0" tIns="0" rIns="0" bIns="0" rtlCol="0">
                          <a:noAutofit/>
                        </wps:bodyPr>
                      </wps:wsp>
                      <wps:wsp>
                        <wps:cNvPr id="2119" name="Textbox 2119"/>
                        <wps:cNvSpPr txBox="1"/>
                        <wps:spPr>
                          <a:xfrm>
                            <a:off x="113676" y="987248"/>
                            <a:ext cx="14097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800</w:t>
                              </w:r>
                            </w:p>
                          </w:txbxContent>
                        </wps:txbx>
                        <wps:bodyPr wrap="square" lIns="0" tIns="0" rIns="0" bIns="0" rtlCol="0">
                          <a:noAutofit/>
                        </wps:bodyPr>
                      </wps:wsp>
                      <wps:wsp>
                        <wps:cNvPr id="2120" name="Textbox 2120"/>
                        <wps:cNvSpPr txBox="1"/>
                        <wps:spPr>
                          <a:xfrm>
                            <a:off x="113676" y="1351382"/>
                            <a:ext cx="14097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600</w:t>
                              </w:r>
                            </w:p>
                          </w:txbxContent>
                        </wps:txbx>
                        <wps:bodyPr wrap="square" lIns="0" tIns="0" rIns="0" bIns="0" rtlCol="0">
                          <a:noAutofit/>
                        </wps:bodyPr>
                      </wps:wsp>
                      <wps:wsp>
                        <wps:cNvPr id="2121" name="Textbox 2121"/>
                        <wps:cNvSpPr txBox="1"/>
                        <wps:spPr>
                          <a:xfrm>
                            <a:off x="113676" y="1715517"/>
                            <a:ext cx="14097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400</w:t>
                              </w:r>
                            </w:p>
                          </w:txbxContent>
                        </wps:txbx>
                        <wps:bodyPr wrap="square" lIns="0" tIns="0" rIns="0" bIns="0" rtlCol="0">
                          <a:noAutofit/>
                        </wps:bodyPr>
                      </wps:wsp>
                      <wps:wsp>
                        <wps:cNvPr id="2122" name="Textbox 2122"/>
                        <wps:cNvSpPr txBox="1"/>
                        <wps:spPr>
                          <a:xfrm>
                            <a:off x="113676" y="2079651"/>
                            <a:ext cx="14097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9"/>
                                  <w:sz w:val="14"/>
                                </w:rPr>
                                <w:t>200</w:t>
                              </w:r>
                            </w:p>
                          </w:txbxContent>
                        </wps:txbx>
                        <wps:bodyPr wrap="square" lIns="0" tIns="0" rIns="0" bIns="0" rtlCol="0">
                          <a:noAutofit/>
                        </wps:bodyPr>
                      </wps:wsp>
                      <wps:wsp>
                        <wps:cNvPr id="2123" name="Textbox 2123"/>
                        <wps:cNvSpPr txBox="1"/>
                        <wps:spPr>
                          <a:xfrm>
                            <a:off x="199020" y="2443786"/>
                            <a:ext cx="55880"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0</w:t>
                              </w:r>
                            </w:p>
                          </w:txbxContent>
                        </wps:txbx>
                        <wps:bodyPr wrap="square" lIns="0" tIns="0" rIns="0" bIns="0" rtlCol="0">
                          <a:noAutofit/>
                        </wps:bodyPr>
                      </wps:wsp>
                      <wps:wsp>
                        <wps:cNvPr id="2124" name="Textbox 2124"/>
                        <wps:cNvSpPr txBox="1"/>
                        <wps:spPr>
                          <a:xfrm>
                            <a:off x="250708" y="2552263"/>
                            <a:ext cx="561340" cy="100965"/>
                          </a:xfrm>
                          <a:prstGeom prst="rect">
                            <a:avLst/>
                          </a:prstGeom>
                        </wps:spPr>
                        <wps:txbx>
                          <w:txbxContent>
                            <w:p>
                              <w:pPr>
                                <w:tabs>
                                  <w:tab w:pos="594" w:val="left" w:leader="none"/>
                                </w:tabs>
                                <w:spacing w:line="158" w:lineRule="exact" w:before="0"/>
                                <w:ind w:left="0" w:right="0" w:firstLine="0"/>
                                <w:jc w:val="left"/>
                                <w:rPr>
                                  <w:rFonts w:ascii="Arial"/>
                                  <w:sz w:val="14"/>
                                </w:rPr>
                              </w:pPr>
                              <w:r>
                                <w:rPr>
                                  <w:rFonts w:ascii="Arial"/>
                                  <w:color w:val="231F20"/>
                                  <w:spacing w:val="-4"/>
                                  <w:sz w:val="14"/>
                                </w:rPr>
                                <w:t>2007</w:t>
                              </w:r>
                              <w:r>
                                <w:rPr>
                                  <w:rFonts w:ascii="Arial"/>
                                  <w:color w:val="231F20"/>
                                  <w:sz w:val="14"/>
                                </w:rPr>
                                <w:tab/>
                              </w:r>
                              <w:r>
                                <w:rPr>
                                  <w:rFonts w:ascii="Arial"/>
                                  <w:color w:val="231F20"/>
                                  <w:spacing w:val="-9"/>
                                  <w:sz w:val="14"/>
                                </w:rPr>
                                <w:t>2010</w:t>
                              </w:r>
                            </w:p>
                          </w:txbxContent>
                        </wps:txbx>
                        <wps:bodyPr wrap="square" lIns="0" tIns="0" rIns="0" bIns="0" rtlCol="0">
                          <a:noAutofit/>
                        </wps:bodyPr>
                      </wps:wsp>
                      <wps:wsp>
                        <wps:cNvPr id="2125" name="Textbox 2125"/>
                        <wps:cNvSpPr txBox="1"/>
                        <wps:spPr>
                          <a:xfrm>
                            <a:off x="1257233" y="2552263"/>
                            <a:ext cx="183515" cy="100965"/>
                          </a:xfrm>
                          <a:prstGeom prst="rect">
                            <a:avLst/>
                          </a:prstGeom>
                        </wps:spPr>
                        <wps:txbx>
                          <w:txbxContent>
                            <w:p>
                              <w:pPr>
                                <w:spacing w:line="158" w:lineRule="exact" w:before="0"/>
                                <w:ind w:left="0" w:right="0" w:firstLine="0"/>
                                <w:jc w:val="left"/>
                                <w:rPr>
                                  <w:rFonts w:ascii="Arial"/>
                                  <w:sz w:val="14"/>
                                </w:rPr>
                              </w:pPr>
                              <w:r>
                                <w:rPr>
                                  <w:rFonts w:ascii="Arial"/>
                                  <w:color w:val="231F20"/>
                                  <w:spacing w:val="-10"/>
                                  <w:sz w:val="14"/>
                                </w:rPr>
                                <w:t>2015</w:t>
                              </w:r>
                            </w:p>
                          </w:txbxContent>
                        </wps:txbx>
                        <wps:bodyPr wrap="square" lIns="0" tIns="0" rIns="0" bIns="0" rtlCol="0">
                          <a:noAutofit/>
                        </wps:bodyPr>
                      </wps:wsp>
                      <wps:wsp>
                        <wps:cNvPr id="2126" name="Textbox 2126"/>
                        <wps:cNvSpPr txBox="1"/>
                        <wps:spPr>
                          <a:xfrm>
                            <a:off x="1886290" y="2552263"/>
                            <a:ext cx="435609" cy="100965"/>
                          </a:xfrm>
                          <a:prstGeom prst="rect">
                            <a:avLst/>
                          </a:prstGeom>
                        </wps:spPr>
                        <wps:txbx>
                          <w:txbxContent>
                            <w:p>
                              <w:pPr>
                                <w:spacing w:line="158" w:lineRule="exact" w:before="0"/>
                                <w:ind w:left="0" w:right="0" w:firstLine="0"/>
                                <w:jc w:val="left"/>
                                <w:rPr>
                                  <w:rFonts w:ascii="Arial"/>
                                  <w:sz w:val="14"/>
                                </w:rPr>
                              </w:pPr>
                              <w:r>
                                <w:rPr>
                                  <w:rFonts w:ascii="Arial"/>
                                  <w:color w:val="231F20"/>
                                  <w:sz w:val="14"/>
                                </w:rPr>
                                <w:t>2020</w:t>
                              </w:r>
                              <w:r>
                                <w:rPr>
                                  <w:rFonts w:ascii="Arial"/>
                                  <w:color w:val="231F20"/>
                                  <w:spacing w:val="42"/>
                                  <w:sz w:val="14"/>
                                </w:rPr>
                                <w:t> </w:t>
                              </w:r>
                              <w:r>
                                <w:rPr>
                                  <w:rFonts w:ascii="Arial"/>
                                  <w:color w:val="231F20"/>
                                  <w:spacing w:val="-9"/>
                                  <w:sz w:val="14"/>
                                </w:rPr>
                                <w:t>2022</w:t>
                              </w:r>
                            </w:p>
                          </w:txbxContent>
                        </wps:txbx>
                        <wps:bodyPr wrap="square" lIns="0" tIns="0" rIns="0" bIns="0" rtlCol="0">
                          <a:noAutofit/>
                        </wps:bodyPr>
                      </wps:wsp>
                      <wps:wsp>
                        <wps:cNvPr id="2127" name="Textbox 2127"/>
                        <wps:cNvSpPr txBox="1"/>
                        <wps:spPr>
                          <a:xfrm>
                            <a:off x="76386" y="2762064"/>
                            <a:ext cx="655955" cy="91440"/>
                          </a:xfrm>
                          <a:prstGeom prst="rect">
                            <a:avLst/>
                          </a:prstGeom>
                        </wps:spPr>
                        <wps:txbx>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Google</w:t>
                              </w:r>
                              <w:r>
                                <w:rPr>
                                  <w:rFonts w:ascii="Arial"/>
                                  <w:color w:val="231F20"/>
                                  <w:spacing w:val="1"/>
                                  <w:sz w:val="12"/>
                                </w:rPr>
                                <w:t> </w:t>
                              </w:r>
                              <w:r>
                                <w:rPr>
                                  <w:rFonts w:ascii="Arial"/>
                                  <w:color w:val="231F20"/>
                                  <w:spacing w:val="-2"/>
                                  <w:w w:val="75"/>
                                  <w:sz w:val="12"/>
                                </w:rPr>
                                <w:t>Scholar.</w:t>
                              </w:r>
                            </w:p>
                          </w:txbxContent>
                        </wps:txbx>
                        <wps:bodyPr wrap="square" lIns="0" tIns="0" rIns="0" bIns="0" rtlCol="0">
                          <a:noAutofit/>
                        </wps:bodyPr>
                      </wps:wsp>
                    </wpg:wgp>
                  </a:graphicData>
                </a:graphic>
              </wp:inline>
            </w:drawing>
          </mc:Choice>
          <mc:Fallback>
            <w:pict>
              <v:group style="width:186.05pt;height:232pt;mso-position-horizontal-relative:char;mso-position-vertical-relative:line" id="docshapegroup1821" coordorigin="0,0" coordsize="3721,4640">
                <v:shape style="position:absolute;left:0;top:609;width:3720;height:4031" id="docshape1822" coordorigin="0,609" coordsize="3720,4031" path="m3720,609l0,609,0,4522,10,4568,36,4605,74,4631,119,4640,3596,4640,3642,4631,3682,4608,3710,4571,3720,4522,3720,609xe" filled="true" fillcolor="#dfeaf7" stroked="false">
                  <v:path arrowok="t"/>
                  <v:fill type="solid"/>
                </v:shape>
                <v:shape style="position:absolute;left:430;top:3932;width:3171;height:2" id="docshape1823" coordorigin="430,3932" coordsize="3171,0" path="m430,3932l3600,3932m430,3932l3600,3932e" filled="false" stroked="true" strokeweight=".5pt" strokecolor="#ffffff">
                  <v:path arrowok="t"/>
                  <v:stroke dashstyle="solid"/>
                </v:shape>
                <v:line style="position:absolute" from="430,3359" to="3600,3359" stroked="true" strokeweight=".5pt" strokecolor="#ffffff">
                  <v:stroke dashstyle="solid"/>
                </v:line>
                <v:line style="position:absolute" from="430,2785" to="3600,2785" stroked="true" strokeweight=".5pt" strokecolor="#ffffff">
                  <v:stroke dashstyle="solid"/>
                </v:line>
                <v:line style="position:absolute" from="430,2212" to="3600,2212" stroked="true" strokeweight=".5pt" strokecolor="#ffffff">
                  <v:stroke dashstyle="solid"/>
                </v:line>
                <v:line style="position:absolute" from="430,1638" to="3600,1638" stroked="true" strokeweight=".5pt" strokecolor="#ffffff">
                  <v:stroke dashstyle="solid"/>
                </v:line>
                <v:line style="position:absolute" from="430,1065" to="3600,1065" stroked="true" strokeweight=".5pt" strokecolor="#ffffff">
                  <v:stroke dashstyle="solid"/>
                </v:line>
                <v:shape style="position:absolute;left:529;top:996;width:2973;height:2937" id="docshape1824" coordorigin="529,996" coordsize="2973,2937" path="m3501,996l3303,1323,3105,1693,2907,2034,2709,2318,2511,2461,2312,2648,2114,2828,1916,3041,1520,3453,1322,3568,1124,3648,925,3757,727,3861,529,3926,529,3932,3501,3932,3501,996xe" filled="true" fillcolor="#008fdd" stroked="false">
                  <v:path arrowok="t"/>
                  <v:fill type="solid"/>
                </v:shape>
                <v:line style="position:absolute" from="430,3932" to="3600,3932" stroked="true" strokeweight=".5pt" strokecolor="#ffffff">
                  <v:stroke dashstyle="solid"/>
                </v:line>
                <v:shape style="position:absolute;left:0;top:2;width:887;height:565" id="docshape1825" coordorigin="0,3" coordsize="887,565" path="m887,3l120,3,74,7,36,25,10,62,0,123,0,568,887,568,887,3xe" filled="true" fillcolor="#008fdd" stroked="false">
                  <v:path arrowok="t"/>
                  <v:fill type="solid"/>
                </v:shape>
                <v:shape style="position:absolute;left:886;top:2;width:2833;height:565" id="docshape1826" coordorigin="887,3" coordsize="2833,565" path="m3599,3l887,3,887,568,3719,568,3719,123,3711,83,3686,44,3648,14,3599,3xe" filled="true" fillcolor="#808285" stroked="false">
                  <v:path arrowok="t"/>
                  <v:fill type="solid"/>
                </v:shape>
                <v:line style="position:absolute" from="887,0" to="887,568" stroked="true" strokeweight="2pt" strokecolor="#ffffff">
                  <v:stroke dashstyle="solid"/>
                </v:line>
                <v:shape style="position:absolute;left:78;top:67;width:3038;height:1072" type="#_x0000_t202" id="docshape1827" filled="false" stroked="false">
                  <v:textbox inset="0,0,0,0">
                    <w:txbxContent>
                      <w:p>
                        <w:pPr>
                          <w:spacing w:line="261" w:lineRule="auto" w:before="3"/>
                          <w:ind w:left="882" w:right="0" w:hanging="840"/>
                          <w:jc w:val="left"/>
                          <w:rPr>
                            <w:rFonts w:ascii="Arial" w:hAnsi="Arial"/>
                            <w:b/>
                            <w:sz w:val="16"/>
                          </w:rPr>
                        </w:pPr>
                        <w:r>
                          <w:rPr>
                            <w:rFonts w:ascii="Arial" w:hAnsi="Arial"/>
                            <w:color w:val="FFFFFF"/>
                            <w:sz w:val="16"/>
                          </w:rPr>
                          <w:t>Figure</w:t>
                        </w:r>
                        <w:r>
                          <w:rPr>
                            <w:rFonts w:ascii="Arial" w:hAnsi="Arial"/>
                            <w:color w:val="FFFFFF"/>
                            <w:spacing w:val="-8"/>
                            <w:sz w:val="16"/>
                          </w:rPr>
                          <w:t> </w:t>
                        </w:r>
                        <w:r>
                          <w:rPr>
                            <w:rFonts w:ascii="Arial" w:hAnsi="Arial"/>
                            <w:b/>
                            <w:color w:val="FFFFFF"/>
                            <w:sz w:val="16"/>
                          </w:rPr>
                          <w:t>A8.1</w:t>
                        </w:r>
                        <w:r>
                          <w:rPr>
                            <w:rFonts w:ascii="Arial" w:hAnsi="Arial"/>
                            <w:b/>
                            <w:color w:val="FFFFFF"/>
                            <w:spacing w:val="59"/>
                            <w:sz w:val="16"/>
                          </w:rPr>
                          <w:t> </w:t>
                        </w:r>
                        <w:r>
                          <w:rPr>
                            <w:rFonts w:ascii="Arial" w:hAnsi="Arial"/>
                            <w:b/>
                            <w:color w:val="FFFFFF"/>
                            <w:sz w:val="16"/>
                          </w:rPr>
                          <w:t>Use</w:t>
                        </w:r>
                        <w:r>
                          <w:rPr>
                            <w:rFonts w:ascii="Arial" w:hAnsi="Arial"/>
                            <w:b/>
                            <w:color w:val="FFFFFF"/>
                            <w:spacing w:val="-10"/>
                            <w:sz w:val="16"/>
                          </w:rPr>
                          <w:t> </w:t>
                        </w:r>
                        <w:r>
                          <w:rPr>
                            <w:rFonts w:ascii="Arial" w:hAnsi="Arial"/>
                            <w:b/>
                            <w:color w:val="FFFFFF"/>
                            <w:sz w:val="16"/>
                          </w:rPr>
                          <w:t>of</w:t>
                        </w:r>
                        <w:r>
                          <w:rPr>
                            <w:rFonts w:ascii="Arial" w:hAnsi="Arial"/>
                            <w:b/>
                            <w:color w:val="FFFFFF"/>
                            <w:spacing w:val="-10"/>
                            <w:sz w:val="16"/>
                          </w:rPr>
                          <w:t> </w:t>
                        </w:r>
                        <w:r>
                          <w:rPr>
                            <w:rFonts w:ascii="Arial" w:hAnsi="Arial"/>
                            <w:b/>
                            <w:color w:val="FFFFFF"/>
                            <w:sz w:val="16"/>
                          </w:rPr>
                          <w:t>LPI</w:t>
                        </w:r>
                        <w:r>
                          <w:rPr>
                            <w:rFonts w:ascii="Arial" w:hAnsi="Arial"/>
                            <w:b/>
                            <w:color w:val="FFFFFF"/>
                            <w:spacing w:val="-10"/>
                            <w:sz w:val="16"/>
                          </w:rPr>
                          <w:t> </w:t>
                        </w:r>
                        <w:r>
                          <w:rPr>
                            <w:rFonts w:ascii="Arial" w:hAnsi="Arial"/>
                            <w:b/>
                            <w:color w:val="FFFFFF"/>
                            <w:sz w:val="16"/>
                          </w:rPr>
                          <w:t>data</w:t>
                        </w:r>
                        <w:r>
                          <w:rPr>
                            <w:rFonts w:ascii="Arial" w:hAnsi="Arial"/>
                            <w:b/>
                            <w:color w:val="FFFFFF"/>
                            <w:spacing w:val="-10"/>
                            <w:sz w:val="16"/>
                          </w:rPr>
                          <w:t> </w:t>
                        </w:r>
                        <w:r>
                          <w:rPr>
                            <w:rFonts w:ascii="Arial" w:hAnsi="Arial"/>
                            <w:b/>
                            <w:color w:val="FFFFFF"/>
                            <w:sz w:val="16"/>
                          </w:rPr>
                          <w:t>in</w:t>
                        </w:r>
                        <w:r>
                          <w:rPr>
                            <w:rFonts w:ascii="Arial" w:hAnsi="Arial"/>
                            <w:b/>
                            <w:color w:val="FFFFFF"/>
                            <w:spacing w:val="-10"/>
                            <w:sz w:val="16"/>
                          </w:rPr>
                          <w:t> </w:t>
                        </w:r>
                        <w:r>
                          <w:rPr>
                            <w:rFonts w:ascii="Arial" w:hAnsi="Arial"/>
                            <w:b/>
                            <w:color w:val="FFFFFF"/>
                            <w:sz w:val="16"/>
                          </w:rPr>
                          <w:t>research literature, 2007–22</w:t>
                        </w:r>
                      </w:p>
                      <w:p>
                        <w:pPr>
                          <w:spacing w:line="240" w:lineRule="auto" w:before="63"/>
                          <w:rPr>
                            <w:rFonts w:ascii="Arial"/>
                            <w:b/>
                            <w:sz w:val="16"/>
                          </w:rPr>
                        </w:pPr>
                      </w:p>
                      <w:p>
                        <w:pPr>
                          <w:spacing w:line="210" w:lineRule="atLeast" w:before="0"/>
                          <w:ind w:left="0" w:right="1112" w:firstLine="42"/>
                          <w:jc w:val="left"/>
                          <w:rPr>
                            <w:rFonts w:ascii="Arial"/>
                            <w:sz w:val="14"/>
                          </w:rPr>
                        </w:pPr>
                        <w:r>
                          <w:rPr>
                            <w:rFonts w:ascii="Arial"/>
                            <w:color w:val="231F20"/>
                            <w:w w:val="80"/>
                            <w:sz w:val="14"/>
                          </w:rPr>
                          <w:t>Number</w:t>
                        </w:r>
                        <w:r>
                          <w:rPr>
                            <w:rFonts w:ascii="Arial"/>
                            <w:color w:val="231F20"/>
                            <w:spacing w:val="-2"/>
                            <w:w w:val="80"/>
                            <w:sz w:val="14"/>
                          </w:rPr>
                          <w:t> </w:t>
                        </w:r>
                        <w:r>
                          <w:rPr>
                            <w:rFonts w:ascii="Arial"/>
                            <w:color w:val="231F20"/>
                            <w:w w:val="80"/>
                            <w:sz w:val="14"/>
                          </w:rPr>
                          <w:t>of</w:t>
                        </w:r>
                        <w:r>
                          <w:rPr>
                            <w:rFonts w:ascii="Arial"/>
                            <w:color w:val="231F20"/>
                            <w:spacing w:val="-2"/>
                            <w:w w:val="80"/>
                            <w:sz w:val="14"/>
                          </w:rPr>
                          <w:t> </w:t>
                        </w:r>
                        <w:r>
                          <w:rPr>
                            <w:rFonts w:ascii="Arial"/>
                            <w:color w:val="231F20"/>
                            <w:w w:val="80"/>
                            <w:sz w:val="14"/>
                          </w:rPr>
                          <w:t>journal</w:t>
                        </w:r>
                        <w:r>
                          <w:rPr>
                            <w:rFonts w:ascii="Arial"/>
                            <w:color w:val="231F20"/>
                            <w:spacing w:val="-2"/>
                            <w:w w:val="80"/>
                            <w:sz w:val="14"/>
                          </w:rPr>
                          <w:t> </w:t>
                        </w:r>
                        <w:r>
                          <w:rPr>
                            <w:rFonts w:ascii="Arial"/>
                            <w:color w:val="231F20"/>
                            <w:w w:val="80"/>
                            <w:sz w:val="14"/>
                          </w:rPr>
                          <w:t>articles</w:t>
                        </w:r>
                        <w:r>
                          <w:rPr>
                            <w:rFonts w:ascii="Arial"/>
                            <w:color w:val="231F20"/>
                            <w:spacing w:val="-2"/>
                            <w:w w:val="80"/>
                            <w:sz w:val="14"/>
                          </w:rPr>
                          <w:t> </w:t>
                        </w:r>
                        <w:r>
                          <w:rPr>
                            <w:rFonts w:ascii="Arial"/>
                            <w:color w:val="231F20"/>
                            <w:w w:val="80"/>
                            <w:sz w:val="14"/>
                          </w:rPr>
                          <w:t>and</w:t>
                        </w:r>
                        <w:r>
                          <w:rPr>
                            <w:rFonts w:ascii="Arial"/>
                            <w:color w:val="231F20"/>
                            <w:spacing w:val="-2"/>
                            <w:w w:val="80"/>
                            <w:sz w:val="14"/>
                          </w:rPr>
                          <w:t> </w:t>
                        </w:r>
                        <w:r>
                          <w:rPr>
                            <w:rFonts w:ascii="Arial"/>
                            <w:color w:val="231F20"/>
                            <w:w w:val="80"/>
                            <w:sz w:val="14"/>
                          </w:rPr>
                          <w:t>reports</w:t>
                        </w:r>
                        <w:r>
                          <w:rPr>
                            <w:rFonts w:ascii="Arial"/>
                            <w:color w:val="231F20"/>
                            <w:spacing w:val="40"/>
                            <w:sz w:val="14"/>
                          </w:rPr>
                          <w:t> </w:t>
                        </w:r>
                        <w:r>
                          <w:rPr>
                            <w:rFonts w:ascii="Arial"/>
                            <w:color w:val="231F20"/>
                            <w:spacing w:val="-2"/>
                            <w:w w:val="90"/>
                            <w:sz w:val="14"/>
                          </w:rPr>
                          <w:t>1,000</w:t>
                        </w:r>
                      </w:p>
                    </w:txbxContent>
                  </v:textbox>
                  <w10:wrap type="none"/>
                </v:shape>
                <v:shape style="position:absolute;left:179;top:1554;width:222;height:159" type="#_x0000_t202" id="docshape1828" filled="false" stroked="false">
                  <v:textbox inset="0,0,0,0">
                    <w:txbxContent>
                      <w:p>
                        <w:pPr>
                          <w:spacing w:line="158" w:lineRule="exact" w:before="0"/>
                          <w:ind w:left="0" w:right="0" w:firstLine="0"/>
                          <w:jc w:val="left"/>
                          <w:rPr>
                            <w:rFonts w:ascii="Arial"/>
                            <w:sz w:val="14"/>
                          </w:rPr>
                        </w:pPr>
                        <w:r>
                          <w:rPr>
                            <w:rFonts w:ascii="Arial"/>
                            <w:color w:val="231F20"/>
                            <w:spacing w:val="-9"/>
                            <w:sz w:val="14"/>
                          </w:rPr>
                          <w:t>800</w:t>
                        </w:r>
                      </w:p>
                    </w:txbxContent>
                  </v:textbox>
                  <w10:wrap type="none"/>
                </v:shape>
                <v:shape style="position:absolute;left:179;top:2128;width:222;height:159" type="#_x0000_t202" id="docshape1829" filled="false" stroked="false">
                  <v:textbox inset="0,0,0,0">
                    <w:txbxContent>
                      <w:p>
                        <w:pPr>
                          <w:spacing w:line="158" w:lineRule="exact" w:before="0"/>
                          <w:ind w:left="0" w:right="0" w:firstLine="0"/>
                          <w:jc w:val="left"/>
                          <w:rPr>
                            <w:rFonts w:ascii="Arial"/>
                            <w:sz w:val="14"/>
                          </w:rPr>
                        </w:pPr>
                        <w:r>
                          <w:rPr>
                            <w:rFonts w:ascii="Arial"/>
                            <w:color w:val="231F20"/>
                            <w:spacing w:val="-9"/>
                            <w:sz w:val="14"/>
                          </w:rPr>
                          <w:t>600</w:t>
                        </w:r>
                      </w:p>
                    </w:txbxContent>
                  </v:textbox>
                  <w10:wrap type="none"/>
                </v:shape>
                <v:shape style="position:absolute;left:179;top:2701;width:222;height:159" type="#_x0000_t202" id="docshape1830" filled="false" stroked="false">
                  <v:textbox inset="0,0,0,0">
                    <w:txbxContent>
                      <w:p>
                        <w:pPr>
                          <w:spacing w:line="158" w:lineRule="exact" w:before="0"/>
                          <w:ind w:left="0" w:right="0" w:firstLine="0"/>
                          <w:jc w:val="left"/>
                          <w:rPr>
                            <w:rFonts w:ascii="Arial"/>
                            <w:sz w:val="14"/>
                          </w:rPr>
                        </w:pPr>
                        <w:r>
                          <w:rPr>
                            <w:rFonts w:ascii="Arial"/>
                            <w:color w:val="231F20"/>
                            <w:spacing w:val="-9"/>
                            <w:sz w:val="14"/>
                          </w:rPr>
                          <w:t>400</w:t>
                        </w:r>
                      </w:p>
                    </w:txbxContent>
                  </v:textbox>
                  <w10:wrap type="none"/>
                </v:shape>
                <v:shape style="position:absolute;left:179;top:3275;width:222;height:159" type="#_x0000_t202" id="docshape1831" filled="false" stroked="false">
                  <v:textbox inset="0,0,0,0">
                    <w:txbxContent>
                      <w:p>
                        <w:pPr>
                          <w:spacing w:line="158" w:lineRule="exact" w:before="0"/>
                          <w:ind w:left="0" w:right="0" w:firstLine="0"/>
                          <w:jc w:val="left"/>
                          <w:rPr>
                            <w:rFonts w:ascii="Arial"/>
                            <w:sz w:val="14"/>
                          </w:rPr>
                        </w:pPr>
                        <w:r>
                          <w:rPr>
                            <w:rFonts w:ascii="Arial"/>
                            <w:color w:val="231F20"/>
                            <w:spacing w:val="-9"/>
                            <w:sz w:val="14"/>
                          </w:rPr>
                          <w:t>200</w:t>
                        </w:r>
                      </w:p>
                    </w:txbxContent>
                  </v:textbox>
                  <w10:wrap type="none"/>
                </v:shape>
                <v:shape style="position:absolute;left:313;top:3848;width:88;height:159" type="#_x0000_t202" id="docshape1832" filled="false" stroked="false">
                  <v:textbox inset="0,0,0,0">
                    <w:txbxContent>
                      <w:p>
                        <w:pPr>
                          <w:spacing w:line="158" w:lineRule="exact" w:before="0"/>
                          <w:ind w:left="0" w:right="0" w:firstLine="0"/>
                          <w:jc w:val="left"/>
                          <w:rPr>
                            <w:rFonts w:ascii="Arial"/>
                            <w:sz w:val="14"/>
                          </w:rPr>
                        </w:pPr>
                        <w:r>
                          <w:rPr>
                            <w:rFonts w:ascii="Arial"/>
                            <w:color w:val="231F20"/>
                            <w:spacing w:val="-10"/>
                            <w:sz w:val="14"/>
                          </w:rPr>
                          <w:t>0</w:t>
                        </w:r>
                      </w:p>
                    </w:txbxContent>
                  </v:textbox>
                  <w10:wrap type="none"/>
                </v:shape>
                <v:shape style="position:absolute;left:394;top:4019;width:884;height:159" type="#_x0000_t202" id="docshape1833" filled="false" stroked="false">
                  <v:textbox inset="0,0,0,0">
                    <w:txbxContent>
                      <w:p>
                        <w:pPr>
                          <w:tabs>
                            <w:tab w:pos="594" w:val="left" w:leader="none"/>
                          </w:tabs>
                          <w:spacing w:line="158" w:lineRule="exact" w:before="0"/>
                          <w:ind w:left="0" w:right="0" w:firstLine="0"/>
                          <w:jc w:val="left"/>
                          <w:rPr>
                            <w:rFonts w:ascii="Arial"/>
                            <w:sz w:val="14"/>
                          </w:rPr>
                        </w:pPr>
                        <w:r>
                          <w:rPr>
                            <w:rFonts w:ascii="Arial"/>
                            <w:color w:val="231F20"/>
                            <w:spacing w:val="-4"/>
                            <w:sz w:val="14"/>
                          </w:rPr>
                          <w:t>2007</w:t>
                        </w:r>
                        <w:r>
                          <w:rPr>
                            <w:rFonts w:ascii="Arial"/>
                            <w:color w:val="231F20"/>
                            <w:sz w:val="14"/>
                          </w:rPr>
                          <w:tab/>
                        </w:r>
                        <w:r>
                          <w:rPr>
                            <w:rFonts w:ascii="Arial"/>
                            <w:color w:val="231F20"/>
                            <w:spacing w:val="-9"/>
                            <w:sz w:val="14"/>
                          </w:rPr>
                          <w:t>2010</w:t>
                        </w:r>
                      </w:p>
                    </w:txbxContent>
                  </v:textbox>
                  <w10:wrap type="none"/>
                </v:shape>
                <v:shape style="position:absolute;left:1979;top:4019;width:289;height:159" type="#_x0000_t202" id="docshape1834" filled="false" stroked="false">
                  <v:textbox inset="0,0,0,0">
                    <w:txbxContent>
                      <w:p>
                        <w:pPr>
                          <w:spacing w:line="158" w:lineRule="exact" w:before="0"/>
                          <w:ind w:left="0" w:right="0" w:firstLine="0"/>
                          <w:jc w:val="left"/>
                          <w:rPr>
                            <w:rFonts w:ascii="Arial"/>
                            <w:sz w:val="14"/>
                          </w:rPr>
                        </w:pPr>
                        <w:r>
                          <w:rPr>
                            <w:rFonts w:ascii="Arial"/>
                            <w:color w:val="231F20"/>
                            <w:spacing w:val="-10"/>
                            <w:sz w:val="14"/>
                          </w:rPr>
                          <w:t>2015</w:t>
                        </w:r>
                      </w:p>
                    </w:txbxContent>
                  </v:textbox>
                  <w10:wrap type="none"/>
                </v:shape>
                <v:shape style="position:absolute;left:2970;top:4019;width:686;height:159" type="#_x0000_t202" id="docshape1835" filled="false" stroked="false">
                  <v:textbox inset="0,0,0,0">
                    <w:txbxContent>
                      <w:p>
                        <w:pPr>
                          <w:spacing w:line="158" w:lineRule="exact" w:before="0"/>
                          <w:ind w:left="0" w:right="0" w:firstLine="0"/>
                          <w:jc w:val="left"/>
                          <w:rPr>
                            <w:rFonts w:ascii="Arial"/>
                            <w:sz w:val="14"/>
                          </w:rPr>
                        </w:pPr>
                        <w:r>
                          <w:rPr>
                            <w:rFonts w:ascii="Arial"/>
                            <w:color w:val="231F20"/>
                            <w:sz w:val="14"/>
                          </w:rPr>
                          <w:t>2020</w:t>
                        </w:r>
                        <w:r>
                          <w:rPr>
                            <w:rFonts w:ascii="Arial"/>
                            <w:color w:val="231F20"/>
                            <w:spacing w:val="42"/>
                            <w:sz w:val="14"/>
                          </w:rPr>
                          <w:t> </w:t>
                        </w:r>
                        <w:r>
                          <w:rPr>
                            <w:rFonts w:ascii="Arial"/>
                            <w:color w:val="231F20"/>
                            <w:spacing w:val="-9"/>
                            <w:sz w:val="14"/>
                          </w:rPr>
                          <w:t>2022</w:t>
                        </w:r>
                      </w:p>
                    </w:txbxContent>
                  </v:textbox>
                  <w10:wrap type="none"/>
                </v:shape>
                <v:shape style="position:absolute;left:120;top:4349;width:1033;height:144" type="#_x0000_t202" id="docshape1836" filled="false" stroked="false">
                  <v:textbox inset="0,0,0,0">
                    <w:txbxContent>
                      <w:p>
                        <w:pPr>
                          <w:spacing w:line="137" w:lineRule="exact" w:before="0"/>
                          <w:ind w:left="0" w:right="0" w:firstLine="0"/>
                          <w:jc w:val="left"/>
                          <w:rPr>
                            <w:rFonts w:ascii="Arial"/>
                            <w:sz w:val="12"/>
                          </w:rPr>
                        </w:pPr>
                        <w:r>
                          <w:rPr>
                            <w:rFonts w:ascii="Arial"/>
                            <w:i/>
                            <w:color w:val="231F20"/>
                            <w:w w:val="75"/>
                            <w:sz w:val="12"/>
                          </w:rPr>
                          <w:t>Source:</w:t>
                        </w:r>
                        <w:r>
                          <w:rPr>
                            <w:rFonts w:ascii="Arial"/>
                            <w:i/>
                            <w:color w:val="231F20"/>
                            <w:spacing w:val="1"/>
                            <w:sz w:val="12"/>
                          </w:rPr>
                          <w:t> </w:t>
                        </w:r>
                        <w:r>
                          <w:rPr>
                            <w:rFonts w:ascii="Arial"/>
                            <w:color w:val="231F20"/>
                            <w:w w:val="75"/>
                            <w:sz w:val="12"/>
                          </w:rPr>
                          <w:t>Google</w:t>
                        </w:r>
                        <w:r>
                          <w:rPr>
                            <w:rFonts w:ascii="Arial"/>
                            <w:color w:val="231F20"/>
                            <w:spacing w:val="1"/>
                            <w:sz w:val="12"/>
                          </w:rPr>
                          <w:t> </w:t>
                        </w:r>
                        <w:r>
                          <w:rPr>
                            <w:rFonts w:ascii="Arial"/>
                            <w:color w:val="231F20"/>
                            <w:spacing w:val="-2"/>
                            <w:w w:val="75"/>
                            <w:sz w:val="12"/>
                          </w:rPr>
                          <w:t>Scholar.</w:t>
                        </w:r>
                      </w:p>
                    </w:txbxContent>
                  </v:textbox>
                  <w10:wrap type="none"/>
                </v:shape>
              </v:group>
            </w:pict>
          </mc:Fallback>
        </mc:AlternateContent>
      </w:r>
      <w:r>
        <w:rPr>
          <w:sz w:val="20"/>
        </w:rPr>
      </w:r>
    </w:p>
    <w:p>
      <w:pPr>
        <w:pStyle w:val="BodyText"/>
        <w:spacing w:before="202"/>
      </w:pPr>
    </w:p>
    <w:p>
      <w:pPr>
        <w:pStyle w:val="BodyText"/>
        <w:spacing w:line="268" w:lineRule="auto"/>
        <w:ind w:left="199" w:right="176" w:firstLine="300"/>
        <w:jc w:val="both"/>
      </w:pPr>
      <w:r>
        <w:rPr>
          <w:color w:val="231F20"/>
        </w:rPr>
        <w:t>In</w:t>
      </w:r>
      <w:r>
        <w:rPr>
          <w:color w:val="231F20"/>
          <w:spacing w:val="-9"/>
        </w:rPr>
        <w:t> </w:t>
      </w:r>
      <w:r>
        <w:rPr>
          <w:color w:val="231F20"/>
        </w:rPr>
        <w:t>about</w:t>
      </w:r>
      <w:r>
        <w:rPr>
          <w:color w:val="231F20"/>
          <w:spacing w:val="-9"/>
        </w:rPr>
        <w:t> </w:t>
      </w:r>
      <w:r>
        <w:rPr>
          <w:color w:val="231F20"/>
        </w:rPr>
        <w:t>20</w:t>
      </w:r>
      <w:r>
        <w:rPr>
          <w:color w:val="231F20"/>
          <w:spacing w:val="-9"/>
        </w:rPr>
        <w:t> </w:t>
      </w:r>
      <w:r>
        <w:rPr>
          <w:color w:val="231F20"/>
        </w:rPr>
        <w:t>percent</w:t>
      </w:r>
      <w:r>
        <w:rPr>
          <w:color w:val="231F20"/>
          <w:spacing w:val="-9"/>
        </w:rPr>
        <w:t> </w:t>
      </w:r>
      <w:r>
        <w:rPr>
          <w:color w:val="231F20"/>
        </w:rPr>
        <w:t>of</w:t>
      </w:r>
      <w:r>
        <w:rPr>
          <w:color w:val="231F20"/>
          <w:spacing w:val="-9"/>
        </w:rPr>
        <w:t> </w:t>
      </w:r>
      <w:r>
        <w:rPr>
          <w:color w:val="231F20"/>
        </w:rPr>
        <w:t>citations,</w:t>
      </w:r>
      <w:r>
        <w:rPr>
          <w:color w:val="231F20"/>
          <w:spacing w:val="-9"/>
        </w:rPr>
        <w:t> </w:t>
      </w:r>
      <w:r>
        <w:rPr>
          <w:color w:val="231F20"/>
        </w:rPr>
        <w:t>LPI</w:t>
      </w:r>
      <w:r>
        <w:rPr>
          <w:color w:val="231F20"/>
          <w:spacing w:val="-9"/>
        </w:rPr>
        <w:t> </w:t>
      </w:r>
      <w:r>
        <w:rPr>
          <w:color w:val="231F20"/>
        </w:rPr>
        <w:t>data </w:t>
      </w:r>
      <w:r>
        <w:rPr>
          <w:color w:val="231F20"/>
          <w:spacing w:val="-2"/>
        </w:rPr>
        <w:t>are</w:t>
      </w:r>
      <w:r>
        <w:rPr>
          <w:color w:val="231F20"/>
          <w:spacing w:val="-10"/>
        </w:rPr>
        <w:t> </w:t>
      </w:r>
      <w:r>
        <w:rPr>
          <w:color w:val="231F20"/>
          <w:spacing w:val="-2"/>
        </w:rPr>
        <w:t>the</w:t>
      </w:r>
      <w:r>
        <w:rPr>
          <w:color w:val="231F20"/>
          <w:spacing w:val="-10"/>
        </w:rPr>
        <w:t> </w:t>
      </w:r>
      <w:r>
        <w:rPr>
          <w:color w:val="231F20"/>
          <w:spacing w:val="-2"/>
        </w:rPr>
        <w:t>main</w:t>
      </w:r>
      <w:r>
        <w:rPr>
          <w:color w:val="231F20"/>
          <w:spacing w:val="-10"/>
        </w:rPr>
        <w:t> </w:t>
      </w:r>
      <w:r>
        <w:rPr>
          <w:color w:val="231F20"/>
          <w:spacing w:val="-2"/>
        </w:rPr>
        <w:t>empirical</w:t>
      </w:r>
      <w:r>
        <w:rPr>
          <w:color w:val="231F20"/>
          <w:spacing w:val="-10"/>
        </w:rPr>
        <w:t> </w:t>
      </w:r>
      <w:r>
        <w:rPr>
          <w:color w:val="231F20"/>
          <w:spacing w:val="-2"/>
        </w:rPr>
        <w:t>evidence,</w:t>
      </w:r>
      <w:r>
        <w:rPr>
          <w:color w:val="231F20"/>
          <w:spacing w:val="-10"/>
        </w:rPr>
        <w:t> </w:t>
      </w:r>
      <w:r>
        <w:rPr>
          <w:color w:val="231F20"/>
          <w:spacing w:val="-2"/>
        </w:rPr>
        <w:t>and</w:t>
      </w:r>
      <w:r>
        <w:rPr>
          <w:color w:val="231F20"/>
          <w:spacing w:val="-10"/>
        </w:rPr>
        <w:t> </w:t>
      </w:r>
      <w:r>
        <w:rPr>
          <w:color w:val="231F20"/>
          <w:spacing w:val="-2"/>
        </w:rPr>
        <w:t>in</w:t>
      </w:r>
      <w:r>
        <w:rPr>
          <w:color w:val="231F20"/>
          <w:spacing w:val="-10"/>
        </w:rPr>
        <w:t> </w:t>
      </w:r>
      <w:r>
        <w:rPr>
          <w:color w:val="231F20"/>
          <w:spacing w:val="-2"/>
        </w:rPr>
        <w:t>about 30</w:t>
      </w:r>
      <w:r>
        <w:rPr>
          <w:color w:val="231F20"/>
          <w:spacing w:val="-12"/>
        </w:rPr>
        <w:t> </w:t>
      </w:r>
      <w:r>
        <w:rPr>
          <w:color w:val="231F20"/>
          <w:spacing w:val="-2"/>
        </w:rPr>
        <w:t>percent,</w:t>
      </w:r>
      <w:r>
        <w:rPr>
          <w:color w:val="231F20"/>
          <w:spacing w:val="-11"/>
        </w:rPr>
        <w:t> </w:t>
      </w:r>
      <w:r>
        <w:rPr>
          <w:color w:val="231F20"/>
          <w:spacing w:val="-2"/>
        </w:rPr>
        <w:t>LPI</w:t>
      </w:r>
      <w:r>
        <w:rPr>
          <w:color w:val="231F20"/>
          <w:spacing w:val="-11"/>
        </w:rPr>
        <w:t> </w:t>
      </w:r>
      <w:r>
        <w:rPr>
          <w:color w:val="231F20"/>
          <w:spacing w:val="-2"/>
        </w:rPr>
        <w:t>data</w:t>
      </w:r>
      <w:r>
        <w:rPr>
          <w:color w:val="231F20"/>
          <w:spacing w:val="-11"/>
        </w:rPr>
        <w:t> </w:t>
      </w:r>
      <w:r>
        <w:rPr>
          <w:color w:val="231F20"/>
          <w:spacing w:val="-2"/>
        </w:rPr>
        <w:t>are</w:t>
      </w:r>
      <w:r>
        <w:rPr>
          <w:color w:val="231F20"/>
          <w:spacing w:val="-11"/>
        </w:rPr>
        <w:t> </w:t>
      </w:r>
      <w:r>
        <w:rPr>
          <w:color w:val="231F20"/>
          <w:spacing w:val="-2"/>
        </w:rPr>
        <w:t>used</w:t>
      </w:r>
      <w:r>
        <w:rPr>
          <w:color w:val="231F20"/>
          <w:spacing w:val="-11"/>
        </w:rPr>
        <w:t> </w:t>
      </w:r>
      <w:r>
        <w:rPr>
          <w:color w:val="231F20"/>
          <w:spacing w:val="-2"/>
        </w:rPr>
        <w:t>as</w:t>
      </w:r>
      <w:r>
        <w:rPr>
          <w:color w:val="231F20"/>
          <w:spacing w:val="-11"/>
        </w:rPr>
        <w:t> </w:t>
      </w:r>
      <w:r>
        <w:rPr>
          <w:color w:val="231F20"/>
          <w:spacing w:val="-2"/>
        </w:rPr>
        <w:t>a</w:t>
      </w:r>
      <w:r>
        <w:rPr>
          <w:color w:val="231F20"/>
          <w:spacing w:val="-11"/>
        </w:rPr>
        <w:t> </w:t>
      </w:r>
      <w:r>
        <w:rPr>
          <w:color w:val="231F20"/>
          <w:spacing w:val="-2"/>
        </w:rPr>
        <w:t>major</w:t>
      </w:r>
      <w:r>
        <w:rPr>
          <w:color w:val="231F20"/>
          <w:spacing w:val="-12"/>
        </w:rPr>
        <w:t> </w:t>
      </w:r>
      <w:r>
        <w:rPr>
          <w:color w:val="231F20"/>
          <w:spacing w:val="-2"/>
        </w:rPr>
        <w:t>refer- </w:t>
      </w:r>
      <w:r>
        <w:rPr>
          <w:color w:val="231F20"/>
          <w:spacing w:val="-4"/>
        </w:rPr>
        <w:t>ence.</w:t>
      </w:r>
      <w:r>
        <w:rPr>
          <w:color w:val="231F20"/>
          <w:spacing w:val="-10"/>
        </w:rPr>
        <w:t> </w:t>
      </w:r>
      <w:r>
        <w:rPr>
          <w:color w:val="231F20"/>
          <w:spacing w:val="-4"/>
        </w:rPr>
        <w:t>In</w:t>
      </w:r>
      <w:r>
        <w:rPr>
          <w:color w:val="231F20"/>
          <w:spacing w:val="-9"/>
        </w:rPr>
        <w:t> </w:t>
      </w:r>
      <w:r>
        <w:rPr>
          <w:color w:val="231F20"/>
          <w:spacing w:val="-4"/>
        </w:rPr>
        <w:t>the</w:t>
      </w:r>
      <w:r>
        <w:rPr>
          <w:color w:val="231F20"/>
          <w:spacing w:val="-9"/>
        </w:rPr>
        <w:t> </w:t>
      </w:r>
      <w:r>
        <w:rPr>
          <w:color w:val="231F20"/>
          <w:spacing w:val="-4"/>
        </w:rPr>
        <w:t>remaining</w:t>
      </w:r>
      <w:r>
        <w:rPr>
          <w:color w:val="231F20"/>
          <w:spacing w:val="-9"/>
        </w:rPr>
        <w:t> </w:t>
      </w:r>
      <w:r>
        <w:rPr>
          <w:color w:val="231F20"/>
          <w:spacing w:val="-4"/>
        </w:rPr>
        <w:t>50</w:t>
      </w:r>
      <w:r>
        <w:rPr>
          <w:color w:val="231F20"/>
          <w:spacing w:val="-9"/>
        </w:rPr>
        <w:t> </w:t>
      </w:r>
      <w:r>
        <w:rPr>
          <w:color w:val="231F20"/>
          <w:spacing w:val="-4"/>
        </w:rPr>
        <w:t>percent,</w:t>
      </w:r>
      <w:r>
        <w:rPr>
          <w:color w:val="231F20"/>
          <w:spacing w:val="-9"/>
        </w:rPr>
        <w:t> </w:t>
      </w:r>
      <w:r>
        <w:rPr>
          <w:color w:val="231F20"/>
          <w:spacing w:val="-4"/>
        </w:rPr>
        <w:t>LPI</w:t>
      </w:r>
      <w:r>
        <w:rPr>
          <w:color w:val="231F20"/>
          <w:spacing w:val="-9"/>
        </w:rPr>
        <w:t> </w:t>
      </w:r>
      <w:r>
        <w:rPr>
          <w:color w:val="231F20"/>
          <w:spacing w:val="-4"/>
        </w:rPr>
        <w:t>data</w:t>
      </w:r>
      <w:r>
        <w:rPr>
          <w:color w:val="231F20"/>
          <w:spacing w:val="-9"/>
        </w:rPr>
        <w:t> </w:t>
      </w:r>
      <w:r>
        <w:rPr>
          <w:color w:val="231F20"/>
          <w:spacing w:val="-4"/>
        </w:rPr>
        <w:t>are </w:t>
      </w:r>
      <w:r>
        <w:rPr>
          <w:color w:val="231F20"/>
          <w:spacing w:val="-6"/>
        </w:rPr>
        <w:t>used</w:t>
      </w:r>
      <w:r>
        <w:rPr>
          <w:color w:val="231F20"/>
          <w:spacing w:val="-8"/>
        </w:rPr>
        <w:t> </w:t>
      </w:r>
      <w:r>
        <w:rPr>
          <w:color w:val="231F20"/>
          <w:spacing w:val="-6"/>
        </w:rPr>
        <w:t>as</w:t>
      </w:r>
      <w:r>
        <w:rPr>
          <w:color w:val="231F20"/>
          <w:spacing w:val="-7"/>
        </w:rPr>
        <w:t> </w:t>
      </w:r>
      <w:r>
        <w:rPr>
          <w:color w:val="231F20"/>
          <w:spacing w:val="-6"/>
        </w:rPr>
        <w:t>a</w:t>
      </w:r>
      <w:r>
        <w:rPr>
          <w:color w:val="231F20"/>
          <w:spacing w:val="-7"/>
        </w:rPr>
        <w:t> </w:t>
      </w:r>
      <w:r>
        <w:rPr>
          <w:color w:val="231F20"/>
          <w:spacing w:val="-6"/>
        </w:rPr>
        <w:t>minor</w:t>
      </w:r>
      <w:r>
        <w:rPr>
          <w:color w:val="231F20"/>
          <w:spacing w:val="-7"/>
        </w:rPr>
        <w:t> </w:t>
      </w:r>
      <w:r>
        <w:rPr>
          <w:color w:val="231F20"/>
          <w:spacing w:val="-6"/>
        </w:rPr>
        <w:t>reference.</w:t>
      </w:r>
      <w:r>
        <w:rPr>
          <w:color w:val="231F20"/>
          <w:spacing w:val="-7"/>
        </w:rPr>
        <w:t> </w:t>
      </w:r>
      <w:r>
        <w:rPr>
          <w:color w:val="231F20"/>
          <w:spacing w:val="-6"/>
        </w:rPr>
        <w:t>A</w:t>
      </w:r>
      <w:r>
        <w:rPr>
          <w:color w:val="231F20"/>
          <w:spacing w:val="-7"/>
        </w:rPr>
        <w:t> </w:t>
      </w:r>
      <w:r>
        <w:rPr>
          <w:color w:val="231F20"/>
          <w:spacing w:val="-6"/>
        </w:rPr>
        <w:t>nonexhaustive</w:t>
      </w:r>
      <w:r>
        <w:rPr>
          <w:color w:val="231F20"/>
          <w:spacing w:val="-7"/>
        </w:rPr>
        <w:t> </w:t>
      </w:r>
      <w:r>
        <w:rPr>
          <w:color w:val="231F20"/>
          <w:spacing w:val="-6"/>
        </w:rPr>
        <w:t>list </w:t>
      </w:r>
      <w:r>
        <w:rPr>
          <w:color w:val="231F20"/>
          <w:w w:val="90"/>
        </w:rPr>
        <w:t>of</w:t>
      </w:r>
      <w:r>
        <w:rPr>
          <w:color w:val="231F20"/>
          <w:spacing w:val="-3"/>
          <w:w w:val="90"/>
        </w:rPr>
        <w:t> </w:t>
      </w:r>
      <w:r>
        <w:rPr>
          <w:color w:val="231F20"/>
          <w:w w:val="90"/>
        </w:rPr>
        <w:t>literature</w:t>
      </w:r>
      <w:r>
        <w:rPr>
          <w:color w:val="231F20"/>
          <w:spacing w:val="-3"/>
          <w:w w:val="90"/>
        </w:rPr>
        <w:t> </w:t>
      </w:r>
      <w:r>
        <w:rPr>
          <w:color w:val="231F20"/>
          <w:w w:val="90"/>
        </w:rPr>
        <w:t>using</w:t>
      </w:r>
      <w:r>
        <w:rPr>
          <w:color w:val="231F20"/>
          <w:spacing w:val="-3"/>
          <w:w w:val="90"/>
        </w:rPr>
        <w:t> </w:t>
      </w:r>
      <w:r>
        <w:rPr>
          <w:color w:val="231F20"/>
          <w:w w:val="90"/>
        </w:rPr>
        <w:t>the</w:t>
      </w:r>
      <w:r>
        <w:rPr>
          <w:color w:val="231F20"/>
          <w:spacing w:val="-3"/>
          <w:w w:val="90"/>
        </w:rPr>
        <w:t> </w:t>
      </w:r>
      <w:r>
        <w:rPr>
          <w:color w:val="231F20"/>
          <w:w w:val="90"/>
        </w:rPr>
        <w:t>LPI</w:t>
      </w:r>
      <w:r>
        <w:rPr>
          <w:color w:val="231F20"/>
          <w:spacing w:val="-3"/>
          <w:w w:val="90"/>
        </w:rPr>
        <w:t> </w:t>
      </w:r>
      <w:r>
        <w:rPr>
          <w:color w:val="231F20"/>
          <w:w w:val="90"/>
        </w:rPr>
        <w:t>since</w:t>
      </w:r>
      <w:r>
        <w:rPr>
          <w:color w:val="231F20"/>
          <w:spacing w:val="-3"/>
          <w:w w:val="90"/>
        </w:rPr>
        <w:t> </w:t>
      </w:r>
      <w:r>
        <w:rPr>
          <w:color w:val="231F20"/>
          <w:w w:val="90"/>
        </w:rPr>
        <w:t>2018,</w:t>
      </w:r>
      <w:r>
        <w:rPr>
          <w:color w:val="231F20"/>
          <w:spacing w:val="-3"/>
          <w:w w:val="90"/>
        </w:rPr>
        <w:t> </w:t>
      </w:r>
      <w:r>
        <w:rPr>
          <w:color w:val="231F20"/>
          <w:w w:val="90"/>
        </w:rPr>
        <w:t>based</w:t>
      </w:r>
      <w:r>
        <w:rPr>
          <w:color w:val="231F20"/>
          <w:spacing w:val="-3"/>
          <w:w w:val="90"/>
        </w:rPr>
        <w:t> </w:t>
      </w:r>
      <w:r>
        <w:rPr>
          <w:color w:val="231F20"/>
          <w:w w:val="90"/>
        </w:rPr>
        <w:t>on</w:t>
      </w:r>
      <w:r>
        <w:rPr>
          <w:color w:val="231F20"/>
          <w:spacing w:val="-3"/>
          <w:w w:val="90"/>
        </w:rPr>
        <w:t> </w:t>
      </w:r>
      <w:r>
        <w:rPr>
          <w:color w:val="231F20"/>
          <w:w w:val="90"/>
        </w:rPr>
        <w:t>a </w:t>
      </w:r>
      <w:r>
        <w:rPr>
          <w:color w:val="231F20"/>
          <w:spacing w:val="-6"/>
        </w:rPr>
        <w:t>literature search in ResearchGate in November </w:t>
      </w:r>
      <w:r>
        <w:rPr>
          <w:color w:val="231F20"/>
        </w:rPr>
        <w:t>2022, is below.</w:t>
      </w:r>
    </w:p>
    <w:p>
      <w:pPr>
        <w:pStyle w:val="BodyText"/>
        <w:spacing w:before="33"/>
      </w:pPr>
    </w:p>
    <w:p>
      <w:pPr>
        <w:spacing w:line="280" w:lineRule="auto" w:before="0"/>
        <w:ind w:left="199" w:right="190" w:firstLine="0"/>
        <w:jc w:val="both"/>
        <w:rPr>
          <w:rFonts w:ascii="Arial"/>
          <w:b/>
          <w:sz w:val="20"/>
        </w:rPr>
      </w:pPr>
      <w:r>
        <w:rPr>
          <w:rFonts w:ascii="Arial"/>
          <w:b/>
          <w:color w:val="231F20"/>
          <w:w w:val="105"/>
          <w:sz w:val="20"/>
        </w:rPr>
        <w:t>Selected research articles using the LPI since 2018</w:t>
      </w:r>
    </w:p>
    <w:p>
      <w:pPr>
        <w:pStyle w:val="BodyText"/>
        <w:spacing w:before="34"/>
        <w:rPr>
          <w:rFonts w:ascii="Arial"/>
          <w:b/>
          <w:sz w:val="20"/>
        </w:rPr>
      </w:pPr>
    </w:p>
    <w:p>
      <w:pPr>
        <w:pStyle w:val="BodyText"/>
        <w:spacing w:line="268" w:lineRule="auto"/>
        <w:ind w:left="199" w:right="179"/>
        <w:jc w:val="both"/>
      </w:pPr>
      <w:r>
        <w:rPr>
          <w:color w:val="231F20"/>
          <w:spacing w:val="-4"/>
        </w:rPr>
        <w:t>The</w:t>
      </w:r>
      <w:r>
        <w:rPr>
          <w:color w:val="231F20"/>
          <w:spacing w:val="-7"/>
        </w:rPr>
        <w:t> </w:t>
      </w:r>
      <w:r>
        <w:rPr>
          <w:color w:val="231F20"/>
          <w:spacing w:val="-4"/>
        </w:rPr>
        <w:t>following</w:t>
      </w:r>
      <w:r>
        <w:rPr>
          <w:color w:val="231F20"/>
          <w:spacing w:val="-7"/>
        </w:rPr>
        <w:t> </w:t>
      </w:r>
      <w:r>
        <w:rPr>
          <w:color w:val="231F20"/>
          <w:spacing w:val="-4"/>
        </w:rPr>
        <w:t>is</w:t>
      </w:r>
      <w:r>
        <w:rPr>
          <w:color w:val="231F20"/>
          <w:spacing w:val="-7"/>
        </w:rPr>
        <w:t> </w:t>
      </w:r>
      <w:r>
        <w:rPr>
          <w:color w:val="231F20"/>
          <w:spacing w:val="-4"/>
        </w:rPr>
        <w:t>a</w:t>
      </w:r>
      <w:r>
        <w:rPr>
          <w:color w:val="231F20"/>
          <w:spacing w:val="-7"/>
        </w:rPr>
        <w:t> </w:t>
      </w:r>
      <w:r>
        <w:rPr>
          <w:color w:val="231F20"/>
          <w:spacing w:val="-4"/>
        </w:rPr>
        <w:t>nonexhaustive</w:t>
      </w:r>
      <w:r>
        <w:rPr>
          <w:color w:val="231F20"/>
          <w:spacing w:val="-7"/>
        </w:rPr>
        <w:t> </w:t>
      </w:r>
      <w:r>
        <w:rPr>
          <w:color w:val="231F20"/>
          <w:spacing w:val="-4"/>
        </w:rPr>
        <w:t>list</w:t>
      </w:r>
      <w:r>
        <w:rPr>
          <w:color w:val="231F20"/>
          <w:spacing w:val="-7"/>
        </w:rPr>
        <w:t> </w:t>
      </w:r>
      <w:r>
        <w:rPr>
          <w:color w:val="231F20"/>
          <w:spacing w:val="-4"/>
        </w:rPr>
        <w:t>of</w:t>
      </w:r>
      <w:r>
        <w:rPr>
          <w:color w:val="231F20"/>
          <w:spacing w:val="-7"/>
        </w:rPr>
        <w:t> </w:t>
      </w:r>
      <w:r>
        <w:rPr>
          <w:color w:val="231F20"/>
          <w:spacing w:val="-4"/>
        </w:rPr>
        <w:t>litera- </w:t>
      </w:r>
      <w:r>
        <w:rPr>
          <w:color w:val="231F20"/>
          <w:spacing w:val="-6"/>
        </w:rPr>
        <w:t>ture</w:t>
      </w:r>
      <w:r>
        <w:rPr>
          <w:color w:val="231F20"/>
          <w:spacing w:val="-8"/>
        </w:rPr>
        <w:t> </w:t>
      </w:r>
      <w:r>
        <w:rPr>
          <w:color w:val="231F20"/>
          <w:spacing w:val="-6"/>
        </w:rPr>
        <w:t>using</w:t>
      </w:r>
      <w:r>
        <w:rPr>
          <w:color w:val="231F20"/>
          <w:spacing w:val="-7"/>
        </w:rPr>
        <w:t> </w:t>
      </w:r>
      <w:r>
        <w:rPr>
          <w:color w:val="231F20"/>
          <w:spacing w:val="-6"/>
        </w:rPr>
        <w:t>the</w:t>
      </w:r>
      <w:r>
        <w:rPr>
          <w:color w:val="231F20"/>
          <w:spacing w:val="-7"/>
        </w:rPr>
        <w:t> </w:t>
      </w:r>
      <w:r>
        <w:rPr>
          <w:color w:val="231F20"/>
          <w:spacing w:val="-6"/>
        </w:rPr>
        <w:t>LPI</w:t>
      </w:r>
      <w:r>
        <w:rPr>
          <w:color w:val="231F20"/>
          <w:spacing w:val="-7"/>
        </w:rPr>
        <w:t> </w:t>
      </w:r>
      <w:r>
        <w:rPr>
          <w:color w:val="231F20"/>
          <w:spacing w:val="-6"/>
        </w:rPr>
        <w:t>since</w:t>
      </w:r>
      <w:r>
        <w:rPr>
          <w:color w:val="231F20"/>
          <w:spacing w:val="-7"/>
        </w:rPr>
        <w:t> </w:t>
      </w:r>
      <w:r>
        <w:rPr>
          <w:color w:val="231F20"/>
          <w:spacing w:val="-6"/>
        </w:rPr>
        <w:t>2018,</w:t>
      </w:r>
      <w:r>
        <w:rPr>
          <w:color w:val="231F20"/>
          <w:spacing w:val="-7"/>
        </w:rPr>
        <w:t> </w:t>
      </w:r>
      <w:r>
        <w:rPr>
          <w:color w:val="231F20"/>
          <w:spacing w:val="-6"/>
        </w:rPr>
        <w:t>based</w:t>
      </w:r>
      <w:r>
        <w:rPr>
          <w:color w:val="231F20"/>
          <w:spacing w:val="-7"/>
        </w:rPr>
        <w:t> </w:t>
      </w:r>
      <w:r>
        <w:rPr>
          <w:color w:val="231F20"/>
          <w:spacing w:val="-6"/>
        </w:rPr>
        <w:t>on</w:t>
      </w:r>
      <w:r>
        <w:rPr>
          <w:color w:val="231F20"/>
          <w:spacing w:val="-7"/>
        </w:rPr>
        <w:t> </w:t>
      </w:r>
      <w:r>
        <w:rPr>
          <w:color w:val="231F20"/>
          <w:spacing w:val="-6"/>
        </w:rPr>
        <w:t>a</w:t>
      </w:r>
      <w:r>
        <w:rPr>
          <w:color w:val="231F20"/>
          <w:spacing w:val="-8"/>
        </w:rPr>
        <w:t> </w:t>
      </w:r>
      <w:r>
        <w:rPr>
          <w:color w:val="231F20"/>
          <w:spacing w:val="-6"/>
        </w:rPr>
        <w:t>litera- </w:t>
      </w:r>
      <w:r>
        <w:rPr>
          <w:color w:val="231F20"/>
          <w:w w:val="90"/>
        </w:rPr>
        <w:t>ture</w:t>
      </w:r>
      <w:r>
        <w:rPr>
          <w:color w:val="231F20"/>
          <w:spacing w:val="-1"/>
        </w:rPr>
        <w:t> </w:t>
      </w:r>
      <w:r>
        <w:rPr>
          <w:color w:val="231F20"/>
          <w:w w:val="90"/>
        </w:rPr>
        <w:t>search</w:t>
      </w:r>
      <w:r>
        <w:rPr>
          <w:color w:val="231F20"/>
        </w:rPr>
        <w:t> </w:t>
      </w:r>
      <w:r>
        <w:rPr>
          <w:color w:val="231F20"/>
          <w:w w:val="90"/>
        </w:rPr>
        <w:t>in</w:t>
      </w:r>
      <w:r>
        <w:rPr>
          <w:color w:val="231F20"/>
        </w:rPr>
        <w:t> </w:t>
      </w:r>
      <w:r>
        <w:rPr>
          <w:color w:val="231F20"/>
          <w:w w:val="90"/>
        </w:rPr>
        <w:t>ResearchGate</w:t>
      </w:r>
      <w:r>
        <w:rPr>
          <w:color w:val="231F20"/>
          <w:spacing w:val="-1"/>
        </w:rPr>
        <w:t> </w:t>
      </w:r>
      <w:r>
        <w:rPr>
          <w:color w:val="231F20"/>
          <w:w w:val="90"/>
        </w:rPr>
        <w:t>in</w:t>
      </w:r>
      <w:r>
        <w:rPr>
          <w:color w:val="231F20"/>
        </w:rPr>
        <w:t> </w:t>
      </w:r>
      <w:r>
        <w:rPr>
          <w:color w:val="231F20"/>
          <w:w w:val="90"/>
        </w:rPr>
        <w:t>November</w:t>
      </w:r>
      <w:r>
        <w:rPr>
          <w:color w:val="231F20"/>
        </w:rPr>
        <w:t> </w:t>
      </w:r>
      <w:r>
        <w:rPr>
          <w:color w:val="231F20"/>
          <w:spacing w:val="-2"/>
          <w:w w:val="90"/>
        </w:rPr>
        <w:t>2022.</w:t>
      </w:r>
    </w:p>
    <w:p>
      <w:pPr>
        <w:pStyle w:val="BodyText"/>
        <w:spacing w:before="22"/>
      </w:pPr>
    </w:p>
    <w:p>
      <w:pPr>
        <w:spacing w:line="297" w:lineRule="auto" w:before="0"/>
        <w:ind w:left="439" w:right="22" w:hanging="240"/>
        <w:jc w:val="left"/>
        <w:rPr>
          <w:rFonts w:ascii="Arial" w:hAnsi="Arial"/>
          <w:sz w:val="14"/>
        </w:rPr>
      </w:pPr>
      <w:r>
        <w:rPr>
          <w:rFonts w:ascii="Arial" w:hAnsi="Arial"/>
          <w:color w:val="231F20"/>
          <w:w w:val="80"/>
          <w:sz w:val="14"/>
        </w:rPr>
        <w:t>Abdalla, S. S. A., and K. Nakagawa. 2022. “Entrepreneurial </w:t>
      </w:r>
      <w:r>
        <w:rPr>
          <w:rFonts w:ascii="Arial" w:hAnsi="Arial"/>
          <w:color w:val="231F20"/>
          <w:w w:val="80"/>
          <w:sz w:val="14"/>
        </w:rPr>
        <w:t>Leadership,</w:t>
      </w:r>
      <w:r>
        <w:rPr>
          <w:rFonts w:ascii="Arial" w:hAnsi="Arial"/>
          <w:color w:val="231F20"/>
          <w:spacing w:val="40"/>
          <w:sz w:val="14"/>
        </w:rPr>
        <w:t> </w:t>
      </w:r>
      <w:r>
        <w:rPr>
          <w:rFonts w:ascii="Arial" w:hAnsi="Arial"/>
          <w:color w:val="231F20"/>
          <w:w w:val="80"/>
          <w:sz w:val="14"/>
        </w:rPr>
        <w:t>Supply Chain Innovation, and Adaptability: A Cross-national</w:t>
      </w:r>
      <w:r>
        <w:rPr>
          <w:rFonts w:ascii="Arial" w:hAnsi="Arial"/>
          <w:color w:val="231F20"/>
          <w:spacing w:val="40"/>
          <w:sz w:val="14"/>
        </w:rPr>
        <w:t> </w:t>
      </w:r>
      <w:r>
        <w:rPr>
          <w:rFonts w:ascii="Arial" w:hAnsi="Arial"/>
          <w:color w:val="231F20"/>
          <w:w w:val="80"/>
          <w:sz w:val="14"/>
        </w:rPr>
        <w:t>Investigation.” </w:t>
      </w:r>
      <w:r>
        <w:rPr>
          <w:rFonts w:ascii="Arial" w:hAnsi="Arial"/>
          <w:i/>
          <w:color w:val="231F20"/>
          <w:w w:val="80"/>
          <w:sz w:val="14"/>
        </w:rPr>
        <w:t>Operations Research Forum </w:t>
      </w:r>
      <w:r>
        <w:rPr>
          <w:rFonts w:ascii="Arial" w:hAnsi="Arial"/>
          <w:color w:val="231F20"/>
          <w:w w:val="80"/>
          <w:sz w:val="14"/>
        </w:rPr>
        <w:t>3 (1): 23.</w:t>
      </w:r>
    </w:p>
    <w:p>
      <w:pPr>
        <w:spacing w:line="297" w:lineRule="auto" w:before="1"/>
        <w:ind w:left="439" w:right="134" w:hanging="240"/>
        <w:jc w:val="left"/>
        <w:rPr>
          <w:rFonts w:ascii="Arial" w:hAnsi="Arial"/>
          <w:sz w:val="14"/>
        </w:rPr>
      </w:pPr>
      <w:r>
        <w:rPr>
          <w:rFonts w:ascii="Arial" w:hAnsi="Arial"/>
          <w:color w:val="231F20"/>
          <w:w w:val="85"/>
          <w:sz w:val="14"/>
        </w:rPr>
        <w:t>Abdulahi,</w:t>
      </w:r>
      <w:r>
        <w:rPr>
          <w:rFonts w:ascii="Arial" w:hAnsi="Arial"/>
          <w:color w:val="231F20"/>
          <w:spacing w:val="-4"/>
          <w:w w:val="85"/>
          <w:sz w:val="14"/>
        </w:rPr>
        <w:t> </w:t>
      </w:r>
      <w:r>
        <w:rPr>
          <w:rFonts w:ascii="Arial" w:hAnsi="Arial"/>
          <w:color w:val="231F20"/>
          <w:w w:val="85"/>
          <w:sz w:val="14"/>
        </w:rPr>
        <w:t>E.,</w:t>
      </w:r>
      <w:r>
        <w:rPr>
          <w:rFonts w:ascii="Arial" w:hAnsi="Arial"/>
          <w:color w:val="231F20"/>
          <w:spacing w:val="-4"/>
          <w:w w:val="85"/>
          <w:sz w:val="14"/>
        </w:rPr>
        <w:t> </w:t>
      </w:r>
      <w:r>
        <w:rPr>
          <w:rFonts w:ascii="Arial" w:hAnsi="Arial"/>
          <w:color w:val="231F20"/>
          <w:w w:val="85"/>
          <w:sz w:val="14"/>
        </w:rPr>
        <w:t>and L. Fan. 2020.</w:t>
      </w:r>
      <w:r>
        <w:rPr>
          <w:rFonts w:ascii="Arial" w:hAnsi="Arial"/>
          <w:color w:val="231F20"/>
          <w:spacing w:val="-4"/>
          <w:w w:val="85"/>
          <w:sz w:val="14"/>
        </w:rPr>
        <w:t> </w:t>
      </w:r>
      <w:r>
        <w:rPr>
          <w:rFonts w:ascii="Arial" w:hAnsi="Arial"/>
          <w:color w:val="231F20"/>
          <w:w w:val="85"/>
          <w:sz w:val="14"/>
        </w:rPr>
        <w:t>“Literature Review of Multimodal</w:t>
      </w:r>
      <w:r>
        <w:rPr>
          <w:rFonts w:ascii="Arial" w:hAnsi="Arial"/>
          <w:color w:val="231F20"/>
          <w:spacing w:val="40"/>
          <w:sz w:val="14"/>
        </w:rPr>
        <w:t> </w:t>
      </w:r>
      <w:r>
        <w:rPr>
          <w:rFonts w:ascii="Arial" w:hAnsi="Arial"/>
          <w:color w:val="231F20"/>
          <w:spacing w:val="-2"/>
          <w:w w:val="80"/>
          <w:sz w:val="14"/>
        </w:rPr>
        <w:t>Transportation</w:t>
      </w:r>
      <w:r>
        <w:rPr>
          <w:rFonts w:ascii="Arial" w:hAnsi="Arial"/>
          <w:color w:val="231F20"/>
          <w:sz w:val="14"/>
        </w:rPr>
        <w:t> </w:t>
      </w:r>
      <w:r>
        <w:rPr>
          <w:rFonts w:ascii="Arial" w:hAnsi="Arial"/>
          <w:color w:val="231F20"/>
          <w:spacing w:val="-2"/>
          <w:w w:val="80"/>
          <w:sz w:val="14"/>
        </w:rPr>
        <w:t>Risk</w:t>
      </w:r>
      <w:r>
        <w:rPr>
          <w:rFonts w:ascii="Arial" w:hAnsi="Arial"/>
          <w:color w:val="231F20"/>
          <w:sz w:val="14"/>
        </w:rPr>
        <w:t> </w:t>
      </w:r>
      <w:r>
        <w:rPr>
          <w:rFonts w:ascii="Arial" w:hAnsi="Arial"/>
          <w:color w:val="231F20"/>
          <w:spacing w:val="-2"/>
          <w:w w:val="80"/>
          <w:sz w:val="14"/>
        </w:rPr>
        <w:t>Management</w:t>
      </w:r>
      <w:r>
        <w:rPr>
          <w:rFonts w:ascii="Arial" w:hAnsi="Arial"/>
          <w:color w:val="231F20"/>
          <w:sz w:val="14"/>
        </w:rPr>
        <w:t> </w:t>
      </w:r>
      <w:r>
        <w:rPr>
          <w:rFonts w:ascii="Arial" w:hAnsi="Arial"/>
          <w:color w:val="231F20"/>
          <w:spacing w:val="-2"/>
          <w:w w:val="80"/>
          <w:sz w:val="14"/>
        </w:rPr>
        <w:t>System. Epitome.” </w:t>
      </w:r>
      <w:r>
        <w:rPr>
          <w:rFonts w:ascii="Arial" w:hAnsi="Arial"/>
          <w:i/>
          <w:color w:val="231F20"/>
          <w:spacing w:val="-2"/>
          <w:w w:val="80"/>
          <w:sz w:val="14"/>
        </w:rPr>
        <w:t>International</w:t>
      </w:r>
      <w:r>
        <w:rPr>
          <w:rFonts w:ascii="Arial" w:hAnsi="Arial"/>
          <w:i/>
          <w:color w:val="231F20"/>
          <w:spacing w:val="40"/>
          <w:sz w:val="14"/>
        </w:rPr>
        <w:t> </w:t>
      </w:r>
      <w:r>
        <w:rPr>
          <w:rFonts w:ascii="Arial" w:hAnsi="Arial"/>
          <w:i/>
          <w:color w:val="231F20"/>
          <w:w w:val="85"/>
          <w:sz w:val="14"/>
        </w:rPr>
        <w:t>Journal</w:t>
      </w:r>
      <w:r>
        <w:rPr>
          <w:rFonts w:ascii="Arial" w:hAnsi="Arial"/>
          <w:i/>
          <w:color w:val="231F20"/>
          <w:spacing w:val="-2"/>
          <w:w w:val="85"/>
          <w:sz w:val="14"/>
        </w:rPr>
        <w:t> </w:t>
      </w:r>
      <w:r>
        <w:rPr>
          <w:rFonts w:ascii="Arial" w:hAnsi="Arial"/>
          <w:i/>
          <w:color w:val="231F20"/>
          <w:w w:val="85"/>
          <w:sz w:val="14"/>
        </w:rPr>
        <w:t>of</w:t>
      </w:r>
      <w:r>
        <w:rPr>
          <w:rFonts w:ascii="Arial" w:hAnsi="Arial"/>
          <w:i/>
          <w:color w:val="231F20"/>
          <w:spacing w:val="-1"/>
          <w:w w:val="85"/>
          <w:sz w:val="14"/>
        </w:rPr>
        <w:t> </w:t>
      </w:r>
      <w:r>
        <w:rPr>
          <w:rFonts w:ascii="Arial" w:hAnsi="Arial"/>
          <w:i/>
          <w:color w:val="231F20"/>
          <w:w w:val="85"/>
          <w:sz w:val="14"/>
        </w:rPr>
        <w:t>Multidisciplinary</w:t>
      </w:r>
      <w:r>
        <w:rPr>
          <w:rFonts w:ascii="Arial" w:hAnsi="Arial"/>
          <w:i/>
          <w:color w:val="231F20"/>
          <w:spacing w:val="-1"/>
          <w:w w:val="85"/>
          <w:sz w:val="14"/>
        </w:rPr>
        <w:t> </w:t>
      </w:r>
      <w:r>
        <w:rPr>
          <w:rFonts w:ascii="Arial" w:hAnsi="Arial"/>
          <w:i/>
          <w:color w:val="231F20"/>
          <w:w w:val="85"/>
          <w:sz w:val="14"/>
        </w:rPr>
        <w:t>Research</w:t>
      </w:r>
      <w:r>
        <w:rPr>
          <w:rFonts w:ascii="Arial" w:hAnsi="Arial"/>
          <w:i/>
          <w:color w:val="231F20"/>
          <w:spacing w:val="-1"/>
          <w:w w:val="85"/>
          <w:sz w:val="14"/>
        </w:rPr>
        <w:t> </w:t>
      </w:r>
      <w:r>
        <w:rPr>
          <w:rFonts w:ascii="Arial" w:hAnsi="Arial"/>
          <w:color w:val="231F20"/>
          <w:w w:val="85"/>
          <w:sz w:val="14"/>
        </w:rPr>
        <w:t>4</w:t>
      </w:r>
      <w:r>
        <w:rPr>
          <w:rFonts w:ascii="Arial" w:hAnsi="Arial"/>
          <w:color w:val="231F20"/>
          <w:spacing w:val="-1"/>
          <w:w w:val="85"/>
          <w:sz w:val="14"/>
        </w:rPr>
        <w:t> </w:t>
      </w:r>
      <w:r>
        <w:rPr>
          <w:rFonts w:ascii="Arial" w:hAnsi="Arial"/>
          <w:color w:val="231F20"/>
          <w:w w:val="85"/>
          <w:sz w:val="14"/>
        </w:rPr>
        <w:t>(11):</w:t>
      </w:r>
      <w:r>
        <w:rPr>
          <w:rFonts w:ascii="Arial" w:hAnsi="Arial"/>
          <w:color w:val="231F20"/>
          <w:spacing w:val="-6"/>
          <w:w w:val="85"/>
          <w:sz w:val="14"/>
        </w:rPr>
        <w:t> </w:t>
      </w:r>
      <w:r>
        <w:rPr>
          <w:rFonts w:ascii="Arial" w:hAnsi="Arial"/>
          <w:color w:val="231F20"/>
          <w:w w:val="85"/>
          <w:sz w:val="14"/>
        </w:rPr>
        <w:t>119–127.</w:t>
      </w:r>
    </w:p>
    <w:p>
      <w:pPr>
        <w:spacing w:after="0" w:line="297" w:lineRule="auto"/>
        <w:jc w:val="left"/>
        <w:rPr>
          <w:rFonts w:ascii="Arial" w:hAnsi="Arial"/>
          <w:sz w:val="14"/>
        </w:rPr>
        <w:sectPr>
          <w:type w:val="continuous"/>
          <w:pgSz w:w="12240" w:h="15840"/>
          <w:pgMar w:header="0" w:footer="0" w:top="1140" w:bottom="280" w:left="0" w:right="540"/>
          <w:cols w:num="2" w:equalWidth="0">
            <w:col w:w="7561" w:space="40"/>
            <w:col w:w="4099"/>
          </w:cols>
        </w:sectPr>
      </w:pPr>
    </w:p>
    <w:p>
      <w:pPr>
        <w:pStyle w:val="BodyText"/>
        <w:rPr>
          <w:rFonts w:ascii="Arial"/>
          <w:sz w:val="20"/>
        </w:rPr>
      </w:pPr>
    </w:p>
    <w:p>
      <w:pPr>
        <w:pStyle w:val="BodyText"/>
        <w:rPr>
          <w:rFonts w:ascii="Arial"/>
          <w:sz w:val="20"/>
        </w:rPr>
      </w:pPr>
    </w:p>
    <w:p>
      <w:pPr>
        <w:pStyle w:val="BodyText"/>
        <w:spacing w:before="96"/>
        <w:rPr>
          <w:rFonts w:ascii="Arial"/>
          <w:sz w:val="20"/>
        </w:rPr>
      </w:pPr>
    </w:p>
    <w:p>
      <w:pPr>
        <w:spacing w:after="0"/>
        <w:rPr>
          <w:rFonts w:ascii="Arial"/>
          <w:sz w:val="20"/>
        </w:rPr>
        <w:sectPr>
          <w:headerReference w:type="even" r:id="rId183"/>
          <w:footerReference w:type="even" r:id="rId184"/>
          <w:footerReference w:type="default" r:id="rId185"/>
          <w:pgSz w:w="12240" w:h="15840"/>
          <w:pgMar w:header="370" w:footer="548" w:top="560" w:bottom="740" w:left="0" w:right="540"/>
          <w:pgNumType w:start="70"/>
        </w:sectPr>
      </w:pPr>
    </w:p>
    <w:p>
      <w:pPr>
        <w:spacing w:line="297" w:lineRule="auto" w:before="102"/>
        <w:ind w:left="3600" w:right="0" w:hanging="240"/>
        <w:jc w:val="left"/>
        <w:rPr>
          <w:rFonts w:ascii="Arial" w:hAnsi="Arial"/>
          <w:sz w:val="14"/>
        </w:rPr>
      </w:pPr>
      <w:r>
        <w:rPr>
          <w:rFonts w:ascii="Arial" w:hAnsi="Arial"/>
          <w:color w:val="231F20"/>
          <w:w w:val="85"/>
          <w:sz w:val="14"/>
        </w:rPr>
        <w:t>Acar,</w:t>
      </w:r>
      <w:r>
        <w:rPr>
          <w:rFonts w:ascii="Arial" w:hAnsi="Arial"/>
          <w:color w:val="231F20"/>
          <w:spacing w:val="-6"/>
          <w:w w:val="85"/>
          <w:sz w:val="14"/>
        </w:rPr>
        <w:t> </w:t>
      </w:r>
      <w:r>
        <w:rPr>
          <w:rFonts w:ascii="Arial" w:hAnsi="Arial"/>
          <w:color w:val="231F20"/>
          <w:w w:val="85"/>
          <w:sz w:val="14"/>
        </w:rPr>
        <w:t>M.</w:t>
      </w:r>
      <w:r>
        <w:rPr>
          <w:rFonts w:ascii="Arial" w:hAnsi="Arial"/>
          <w:color w:val="231F20"/>
          <w:spacing w:val="-4"/>
          <w:w w:val="85"/>
          <w:sz w:val="14"/>
        </w:rPr>
        <w:t> </w:t>
      </w:r>
      <w:r>
        <w:rPr>
          <w:rFonts w:ascii="Arial" w:hAnsi="Arial"/>
          <w:color w:val="231F20"/>
          <w:w w:val="85"/>
          <w:sz w:val="14"/>
        </w:rPr>
        <w:t>F.,</w:t>
      </w:r>
      <w:r>
        <w:rPr>
          <w:rFonts w:ascii="Arial" w:hAnsi="Arial"/>
          <w:color w:val="231F20"/>
          <w:spacing w:val="-5"/>
          <w:w w:val="85"/>
          <w:sz w:val="14"/>
        </w:rPr>
        <w:t> </w:t>
      </w:r>
      <w:r>
        <w:rPr>
          <w:rFonts w:ascii="Arial" w:hAnsi="Arial"/>
          <w:color w:val="231F20"/>
          <w:w w:val="85"/>
          <w:sz w:val="14"/>
        </w:rPr>
        <w:t>and</w:t>
      </w:r>
      <w:r>
        <w:rPr>
          <w:rFonts w:ascii="Arial" w:hAnsi="Arial"/>
          <w:color w:val="231F20"/>
          <w:spacing w:val="-5"/>
          <w:w w:val="85"/>
          <w:sz w:val="14"/>
        </w:rPr>
        <w:t> </w:t>
      </w:r>
      <w:r>
        <w:rPr>
          <w:rFonts w:ascii="Arial" w:hAnsi="Arial"/>
          <w:color w:val="231F20"/>
          <w:w w:val="85"/>
          <w:sz w:val="14"/>
        </w:rPr>
        <w:t>A.</w:t>
      </w:r>
      <w:r>
        <w:rPr>
          <w:rFonts w:ascii="Arial" w:hAnsi="Arial"/>
          <w:color w:val="231F20"/>
          <w:spacing w:val="-4"/>
          <w:w w:val="85"/>
          <w:sz w:val="14"/>
        </w:rPr>
        <w:t> </w:t>
      </w:r>
      <w:r>
        <w:rPr>
          <w:rFonts w:ascii="Arial" w:hAnsi="Arial"/>
          <w:color w:val="231F20"/>
          <w:w w:val="85"/>
          <w:sz w:val="14"/>
        </w:rPr>
        <w:t>Özer</w:t>
      </w:r>
      <w:r>
        <w:rPr>
          <w:rFonts w:ascii="Arial" w:hAnsi="Arial"/>
          <w:color w:val="231F20"/>
          <w:spacing w:val="-5"/>
          <w:w w:val="85"/>
          <w:sz w:val="14"/>
        </w:rPr>
        <w:t> </w:t>
      </w:r>
      <w:r>
        <w:rPr>
          <w:rFonts w:ascii="Arial" w:hAnsi="Arial"/>
          <w:color w:val="231F20"/>
          <w:w w:val="85"/>
          <w:sz w:val="14"/>
        </w:rPr>
        <w:t>Torgalöz.</w:t>
      </w:r>
      <w:r>
        <w:rPr>
          <w:rFonts w:ascii="Arial" w:hAnsi="Arial"/>
          <w:color w:val="231F20"/>
          <w:spacing w:val="-4"/>
          <w:w w:val="85"/>
          <w:sz w:val="14"/>
        </w:rPr>
        <w:t> </w:t>
      </w:r>
      <w:r>
        <w:rPr>
          <w:rFonts w:ascii="Arial" w:hAnsi="Arial"/>
          <w:color w:val="231F20"/>
          <w:w w:val="85"/>
          <w:sz w:val="14"/>
        </w:rPr>
        <w:t>2022.</w:t>
      </w:r>
      <w:r>
        <w:rPr>
          <w:rFonts w:ascii="Arial" w:hAnsi="Arial"/>
          <w:color w:val="231F20"/>
          <w:spacing w:val="-5"/>
          <w:w w:val="85"/>
          <w:sz w:val="14"/>
        </w:rPr>
        <w:t> </w:t>
      </w:r>
      <w:r>
        <w:rPr>
          <w:rFonts w:ascii="Arial" w:hAnsi="Arial"/>
          <w:color w:val="231F20"/>
          <w:w w:val="85"/>
          <w:sz w:val="14"/>
        </w:rPr>
        <w:t>“Measuring</w:t>
      </w:r>
      <w:r>
        <w:rPr>
          <w:rFonts w:ascii="Arial" w:hAnsi="Arial"/>
          <w:color w:val="231F20"/>
          <w:spacing w:val="-4"/>
          <w:w w:val="85"/>
          <w:sz w:val="14"/>
        </w:rPr>
        <w:t> </w:t>
      </w:r>
      <w:r>
        <w:rPr>
          <w:rFonts w:ascii="Arial" w:hAnsi="Arial"/>
          <w:color w:val="231F20"/>
          <w:w w:val="85"/>
          <w:sz w:val="14"/>
        </w:rPr>
        <w:t>Foreign</w:t>
      </w:r>
      <w:r>
        <w:rPr>
          <w:rFonts w:ascii="Arial" w:hAnsi="Arial"/>
          <w:color w:val="231F20"/>
          <w:spacing w:val="-5"/>
          <w:w w:val="85"/>
          <w:sz w:val="14"/>
        </w:rPr>
        <w:t> </w:t>
      </w:r>
      <w:r>
        <w:rPr>
          <w:rFonts w:ascii="Arial" w:hAnsi="Arial"/>
          <w:color w:val="231F20"/>
          <w:w w:val="85"/>
          <w:sz w:val="14"/>
        </w:rPr>
        <w:t>Trade-</w:t>
      </w:r>
      <w:r>
        <w:rPr>
          <w:rFonts w:ascii="Arial" w:hAnsi="Arial"/>
          <w:color w:val="231F20"/>
          <w:spacing w:val="40"/>
          <w:sz w:val="14"/>
        </w:rPr>
        <w:t> </w:t>
      </w:r>
      <w:r>
        <w:rPr>
          <w:rFonts w:ascii="Arial" w:hAnsi="Arial"/>
          <w:color w:val="231F20"/>
          <w:w w:val="75"/>
          <w:sz w:val="14"/>
        </w:rPr>
        <w:t>Logistics</w:t>
      </w:r>
      <w:r>
        <w:rPr>
          <w:rFonts w:ascii="Arial" w:hAnsi="Arial"/>
          <w:color w:val="231F20"/>
          <w:sz w:val="14"/>
        </w:rPr>
        <w:t> </w:t>
      </w:r>
      <w:r>
        <w:rPr>
          <w:rFonts w:ascii="Arial" w:hAnsi="Arial"/>
          <w:color w:val="231F20"/>
          <w:w w:val="75"/>
          <w:sz w:val="14"/>
        </w:rPr>
        <w:t>Efficiency: A</w:t>
      </w:r>
      <w:r>
        <w:rPr>
          <w:rFonts w:ascii="Arial" w:hAnsi="Arial"/>
          <w:color w:val="231F20"/>
          <w:sz w:val="14"/>
        </w:rPr>
        <w:t> </w:t>
      </w:r>
      <w:r>
        <w:rPr>
          <w:rFonts w:ascii="Arial" w:hAnsi="Arial"/>
          <w:color w:val="231F20"/>
          <w:w w:val="75"/>
          <w:sz w:val="14"/>
        </w:rPr>
        <w:t>DEA Approach</w:t>
      </w:r>
      <w:r>
        <w:rPr>
          <w:rFonts w:ascii="Arial" w:hAnsi="Arial"/>
          <w:color w:val="231F20"/>
          <w:sz w:val="14"/>
        </w:rPr>
        <w:t> </w:t>
      </w:r>
      <w:r>
        <w:rPr>
          <w:rFonts w:ascii="Arial" w:hAnsi="Arial"/>
          <w:color w:val="231F20"/>
          <w:w w:val="75"/>
          <w:sz w:val="14"/>
        </w:rPr>
        <w:t>and</w:t>
      </w:r>
      <w:r>
        <w:rPr>
          <w:rFonts w:ascii="Arial" w:hAnsi="Arial"/>
          <w:color w:val="231F20"/>
          <w:sz w:val="14"/>
        </w:rPr>
        <w:t> </w:t>
      </w:r>
      <w:r>
        <w:rPr>
          <w:rFonts w:ascii="Arial" w:hAnsi="Arial"/>
          <w:color w:val="231F20"/>
          <w:w w:val="75"/>
          <w:sz w:val="14"/>
        </w:rPr>
        <w:t>the</w:t>
      </w:r>
      <w:r>
        <w:rPr>
          <w:rFonts w:ascii="Arial" w:hAnsi="Arial"/>
          <w:color w:val="231F20"/>
          <w:sz w:val="14"/>
        </w:rPr>
        <w:t> </w:t>
      </w:r>
      <w:r>
        <w:rPr>
          <w:rFonts w:ascii="Arial" w:hAnsi="Arial"/>
          <w:color w:val="231F20"/>
          <w:w w:val="75"/>
          <w:sz w:val="14"/>
        </w:rPr>
        <w:t>Malmquist</w:t>
      </w:r>
      <w:r>
        <w:rPr>
          <w:rFonts w:ascii="Arial" w:hAnsi="Arial"/>
          <w:color w:val="231F20"/>
          <w:sz w:val="14"/>
        </w:rPr>
        <w:t> </w:t>
      </w:r>
      <w:r>
        <w:rPr>
          <w:rFonts w:ascii="Arial" w:hAnsi="Arial"/>
          <w:color w:val="231F20"/>
          <w:w w:val="75"/>
          <w:sz w:val="14"/>
        </w:rPr>
        <w:t>Index.” </w:t>
      </w:r>
      <w:r>
        <w:rPr>
          <w:rFonts w:ascii="Arial" w:hAnsi="Arial"/>
          <w:i/>
          <w:color w:val="231F20"/>
          <w:w w:val="75"/>
          <w:sz w:val="14"/>
        </w:rPr>
        <w:t>New</w:t>
      </w:r>
      <w:r>
        <w:rPr>
          <w:rFonts w:ascii="Arial" w:hAnsi="Arial"/>
          <w:i/>
          <w:color w:val="231F20"/>
          <w:spacing w:val="40"/>
          <w:sz w:val="14"/>
        </w:rPr>
        <w:t> </w:t>
      </w:r>
      <w:r>
        <w:rPr>
          <w:rFonts w:ascii="Arial" w:hAnsi="Arial"/>
          <w:i/>
          <w:color w:val="231F20"/>
          <w:w w:val="80"/>
          <w:sz w:val="14"/>
        </w:rPr>
        <w:t>Perspectives in Operations Research and Management Science</w:t>
      </w:r>
      <w:r>
        <w:rPr>
          <w:rFonts w:ascii="Arial" w:hAnsi="Arial"/>
          <w:i/>
          <w:color w:val="231F20"/>
          <w:spacing w:val="40"/>
          <w:sz w:val="14"/>
        </w:rPr>
        <w:t> </w:t>
      </w:r>
      <w:r>
        <w:rPr>
          <w:rFonts w:ascii="Arial" w:hAnsi="Arial"/>
          <w:color w:val="231F20"/>
          <w:spacing w:val="-2"/>
          <w:w w:val="90"/>
          <w:sz w:val="14"/>
        </w:rPr>
        <w:t>69–88.</w:t>
      </w:r>
    </w:p>
    <w:p>
      <w:pPr>
        <w:spacing w:line="297" w:lineRule="auto" w:before="2"/>
        <w:ind w:left="3600" w:right="0" w:hanging="240"/>
        <w:jc w:val="left"/>
        <w:rPr>
          <w:rFonts w:ascii="Arial" w:hAnsi="Arial"/>
          <w:sz w:val="14"/>
        </w:rPr>
      </w:pPr>
      <w:r>
        <w:rPr>
          <w:rFonts w:ascii="Arial" w:hAnsi="Arial"/>
          <w:color w:val="231F20"/>
          <w:w w:val="85"/>
          <w:sz w:val="14"/>
        </w:rPr>
        <w:t>Akbari,</w:t>
      </w:r>
      <w:r>
        <w:rPr>
          <w:rFonts w:ascii="Arial" w:hAnsi="Arial"/>
          <w:color w:val="231F20"/>
          <w:spacing w:val="-6"/>
          <w:w w:val="85"/>
          <w:sz w:val="14"/>
        </w:rPr>
        <w:t> </w:t>
      </w:r>
      <w:r>
        <w:rPr>
          <w:rFonts w:ascii="Arial" w:hAnsi="Arial"/>
          <w:color w:val="231F20"/>
          <w:w w:val="85"/>
          <w:sz w:val="14"/>
        </w:rPr>
        <w:t>M.,</w:t>
      </w:r>
      <w:r>
        <w:rPr>
          <w:rFonts w:ascii="Arial" w:hAnsi="Arial"/>
          <w:color w:val="231F20"/>
          <w:spacing w:val="-5"/>
          <w:w w:val="85"/>
          <w:sz w:val="14"/>
        </w:rPr>
        <w:t> </w:t>
      </w:r>
      <w:r>
        <w:rPr>
          <w:rFonts w:ascii="Arial" w:hAnsi="Arial"/>
          <w:color w:val="231F20"/>
          <w:w w:val="85"/>
          <w:sz w:val="14"/>
        </w:rPr>
        <w:t>H.</w:t>
      </w:r>
      <w:r>
        <w:rPr>
          <w:rFonts w:ascii="Arial" w:hAnsi="Arial"/>
          <w:color w:val="231F20"/>
          <w:spacing w:val="-3"/>
          <w:w w:val="85"/>
          <w:sz w:val="14"/>
        </w:rPr>
        <w:t> </w:t>
      </w:r>
      <w:r>
        <w:rPr>
          <w:rFonts w:ascii="Arial" w:hAnsi="Arial"/>
          <w:color w:val="231F20"/>
          <w:w w:val="85"/>
          <w:sz w:val="14"/>
        </w:rPr>
        <w:t>M.</w:t>
      </w:r>
      <w:r>
        <w:rPr>
          <w:rFonts w:ascii="Arial" w:hAnsi="Arial"/>
          <w:color w:val="231F20"/>
          <w:spacing w:val="-1"/>
          <w:w w:val="85"/>
          <w:sz w:val="14"/>
        </w:rPr>
        <w:t> </w:t>
      </w:r>
      <w:r>
        <w:rPr>
          <w:rFonts w:ascii="Arial" w:hAnsi="Arial"/>
          <w:color w:val="231F20"/>
          <w:w w:val="85"/>
          <w:sz w:val="14"/>
        </w:rPr>
        <w:t>Nguyen,</w:t>
      </w:r>
      <w:r>
        <w:rPr>
          <w:rFonts w:ascii="Arial" w:hAnsi="Arial"/>
          <w:color w:val="231F20"/>
          <w:spacing w:val="-6"/>
          <w:w w:val="85"/>
          <w:sz w:val="14"/>
        </w:rPr>
        <w:t> </w:t>
      </w:r>
      <w:r>
        <w:rPr>
          <w:rFonts w:ascii="Arial" w:hAnsi="Arial"/>
          <w:color w:val="231F20"/>
          <w:w w:val="85"/>
          <w:sz w:val="14"/>
        </w:rPr>
        <w:t>R. McClelland,</w:t>
      </w:r>
      <w:r>
        <w:rPr>
          <w:rFonts w:ascii="Arial" w:hAnsi="Arial"/>
          <w:color w:val="231F20"/>
          <w:spacing w:val="-6"/>
          <w:w w:val="85"/>
          <w:sz w:val="14"/>
        </w:rPr>
        <w:t> </w:t>
      </w:r>
      <w:r>
        <w:rPr>
          <w:rFonts w:ascii="Arial" w:hAnsi="Arial"/>
          <w:color w:val="231F20"/>
          <w:w w:val="85"/>
          <w:sz w:val="14"/>
        </w:rPr>
        <w:t>and</w:t>
      </w:r>
      <w:r>
        <w:rPr>
          <w:rFonts w:ascii="Arial" w:hAnsi="Arial"/>
          <w:color w:val="231F20"/>
          <w:spacing w:val="-1"/>
          <w:w w:val="85"/>
          <w:sz w:val="14"/>
        </w:rPr>
        <w:t> </w:t>
      </w:r>
      <w:r>
        <w:rPr>
          <w:rFonts w:ascii="Arial" w:hAnsi="Arial"/>
          <w:color w:val="231F20"/>
          <w:w w:val="85"/>
          <w:sz w:val="14"/>
        </w:rPr>
        <w:t>K.</w:t>
      </w:r>
      <w:r>
        <w:rPr>
          <w:rFonts w:ascii="Arial" w:hAnsi="Arial"/>
          <w:color w:val="231F20"/>
          <w:spacing w:val="-1"/>
          <w:w w:val="85"/>
          <w:sz w:val="14"/>
        </w:rPr>
        <w:t> </w:t>
      </w:r>
      <w:r>
        <w:rPr>
          <w:rFonts w:ascii="Arial" w:hAnsi="Arial"/>
          <w:color w:val="231F20"/>
          <w:w w:val="85"/>
          <w:sz w:val="14"/>
        </w:rPr>
        <w:t>van</w:t>
      </w:r>
      <w:r>
        <w:rPr>
          <w:rFonts w:ascii="Arial" w:hAnsi="Arial"/>
          <w:color w:val="231F20"/>
          <w:spacing w:val="-1"/>
          <w:w w:val="85"/>
          <w:sz w:val="14"/>
        </w:rPr>
        <w:t> </w:t>
      </w:r>
      <w:r>
        <w:rPr>
          <w:rFonts w:ascii="Arial" w:hAnsi="Arial"/>
          <w:color w:val="231F20"/>
          <w:w w:val="85"/>
          <w:sz w:val="14"/>
        </w:rPr>
        <w:t>Houdt.</w:t>
      </w:r>
      <w:r>
        <w:rPr>
          <w:rFonts w:ascii="Arial" w:hAnsi="Arial"/>
          <w:color w:val="231F20"/>
          <w:spacing w:val="-1"/>
          <w:w w:val="85"/>
          <w:sz w:val="14"/>
        </w:rPr>
        <w:t> </w:t>
      </w:r>
      <w:r>
        <w:rPr>
          <w:rFonts w:ascii="Arial" w:hAnsi="Arial"/>
          <w:color w:val="231F20"/>
          <w:w w:val="85"/>
          <w:sz w:val="14"/>
        </w:rPr>
        <w:t>2022.</w:t>
      </w:r>
      <w:r>
        <w:rPr>
          <w:rFonts w:ascii="Arial" w:hAnsi="Arial"/>
          <w:color w:val="231F20"/>
          <w:spacing w:val="40"/>
          <w:sz w:val="14"/>
        </w:rPr>
        <w:t> </w:t>
      </w:r>
      <w:r>
        <w:rPr>
          <w:rFonts w:ascii="Arial" w:hAnsi="Arial"/>
          <w:color w:val="231F20"/>
          <w:spacing w:val="-2"/>
          <w:w w:val="80"/>
          <w:sz w:val="14"/>
        </w:rPr>
        <w:t>“Design, Implementation</w:t>
      </w:r>
      <w:r>
        <w:rPr>
          <w:rFonts w:ascii="Arial" w:hAnsi="Arial"/>
          <w:color w:val="231F20"/>
          <w:sz w:val="14"/>
        </w:rPr>
        <w:t> </w:t>
      </w:r>
      <w:r>
        <w:rPr>
          <w:rFonts w:ascii="Arial" w:hAnsi="Arial"/>
          <w:color w:val="231F20"/>
          <w:spacing w:val="-2"/>
          <w:w w:val="80"/>
          <w:sz w:val="14"/>
        </w:rPr>
        <w:t>and Academic</w:t>
      </w:r>
      <w:r>
        <w:rPr>
          <w:rFonts w:ascii="Arial" w:hAnsi="Arial"/>
          <w:color w:val="231F20"/>
          <w:sz w:val="14"/>
        </w:rPr>
        <w:t> </w:t>
      </w:r>
      <w:r>
        <w:rPr>
          <w:rFonts w:ascii="Arial" w:hAnsi="Arial"/>
          <w:color w:val="231F20"/>
          <w:spacing w:val="-2"/>
          <w:w w:val="80"/>
          <w:sz w:val="14"/>
        </w:rPr>
        <w:t>Perspectives</w:t>
      </w:r>
      <w:r>
        <w:rPr>
          <w:rFonts w:ascii="Arial" w:hAnsi="Arial"/>
          <w:color w:val="231F20"/>
          <w:sz w:val="14"/>
        </w:rPr>
        <w:t> </w:t>
      </w:r>
      <w:r>
        <w:rPr>
          <w:rFonts w:ascii="Arial" w:hAnsi="Arial"/>
          <w:color w:val="231F20"/>
          <w:spacing w:val="-2"/>
          <w:w w:val="80"/>
          <w:sz w:val="14"/>
        </w:rPr>
        <w:t>on </w:t>
      </w:r>
      <w:r>
        <w:rPr>
          <w:rFonts w:ascii="Arial" w:hAnsi="Arial"/>
          <w:color w:val="231F20"/>
          <w:spacing w:val="-2"/>
          <w:w w:val="80"/>
          <w:sz w:val="14"/>
        </w:rPr>
        <w:t>Authentic</w:t>
      </w:r>
      <w:r>
        <w:rPr>
          <w:rFonts w:ascii="Arial" w:hAnsi="Arial"/>
          <w:color w:val="231F20"/>
          <w:spacing w:val="40"/>
          <w:sz w:val="14"/>
        </w:rPr>
        <w:t> </w:t>
      </w:r>
      <w:r>
        <w:rPr>
          <w:rFonts w:ascii="Arial" w:hAnsi="Arial"/>
          <w:color w:val="231F20"/>
          <w:w w:val="80"/>
          <w:sz w:val="14"/>
        </w:rPr>
        <w:t>Assessment for Applied Business Higher Education in a Top</w:t>
      </w:r>
      <w:r>
        <w:rPr>
          <w:rFonts w:ascii="Arial" w:hAnsi="Arial"/>
          <w:color w:val="231F20"/>
          <w:spacing w:val="40"/>
          <w:sz w:val="14"/>
        </w:rPr>
        <w:t> </w:t>
      </w:r>
      <w:r>
        <w:rPr>
          <w:rFonts w:ascii="Arial" w:hAnsi="Arial"/>
          <w:color w:val="231F20"/>
          <w:w w:val="80"/>
          <w:sz w:val="14"/>
        </w:rPr>
        <w:t>Performing</w:t>
      </w:r>
      <w:r>
        <w:rPr>
          <w:rFonts w:ascii="Arial" w:hAnsi="Arial"/>
          <w:color w:val="231F20"/>
          <w:spacing w:val="-3"/>
          <w:w w:val="80"/>
          <w:sz w:val="14"/>
        </w:rPr>
        <w:t> </w:t>
      </w:r>
      <w:r>
        <w:rPr>
          <w:rFonts w:ascii="Arial" w:hAnsi="Arial"/>
          <w:color w:val="231F20"/>
          <w:w w:val="80"/>
          <w:sz w:val="14"/>
        </w:rPr>
        <w:t>Asian Economy.”</w:t>
      </w:r>
      <w:r>
        <w:rPr>
          <w:rFonts w:ascii="Arial" w:hAnsi="Arial"/>
          <w:color w:val="231F20"/>
          <w:spacing w:val="-3"/>
          <w:w w:val="80"/>
          <w:sz w:val="14"/>
        </w:rPr>
        <w:t> </w:t>
      </w:r>
      <w:r>
        <w:rPr>
          <w:rFonts w:ascii="Arial" w:hAnsi="Arial"/>
          <w:i/>
          <w:color w:val="231F20"/>
          <w:w w:val="80"/>
          <w:sz w:val="14"/>
        </w:rPr>
        <w:t>Education +</w:t>
      </w:r>
      <w:r>
        <w:rPr>
          <w:rFonts w:ascii="Arial" w:hAnsi="Arial"/>
          <w:i/>
          <w:color w:val="231F20"/>
          <w:spacing w:val="-3"/>
          <w:w w:val="80"/>
          <w:sz w:val="14"/>
        </w:rPr>
        <w:t> </w:t>
      </w:r>
      <w:r>
        <w:rPr>
          <w:rFonts w:ascii="Arial" w:hAnsi="Arial"/>
          <w:i/>
          <w:color w:val="231F20"/>
          <w:w w:val="80"/>
          <w:sz w:val="14"/>
        </w:rPr>
        <w:t>Training </w:t>
      </w:r>
      <w:r>
        <w:rPr>
          <w:rFonts w:ascii="Arial" w:hAnsi="Arial"/>
          <w:color w:val="231F20"/>
          <w:w w:val="80"/>
          <w:sz w:val="14"/>
        </w:rPr>
        <w:t>64 (1):</w:t>
      </w:r>
      <w:r>
        <w:rPr>
          <w:rFonts w:ascii="Arial" w:hAnsi="Arial"/>
          <w:color w:val="231F20"/>
          <w:spacing w:val="-3"/>
          <w:w w:val="80"/>
          <w:sz w:val="14"/>
        </w:rPr>
        <w:t> </w:t>
      </w:r>
      <w:r>
        <w:rPr>
          <w:rFonts w:ascii="Arial" w:hAnsi="Arial"/>
          <w:color w:val="231F20"/>
          <w:w w:val="80"/>
          <w:sz w:val="14"/>
        </w:rPr>
        <w:t>69–88.</w:t>
      </w:r>
    </w:p>
    <w:p>
      <w:pPr>
        <w:spacing w:line="297" w:lineRule="auto" w:before="1"/>
        <w:ind w:left="3600" w:right="0" w:hanging="240"/>
        <w:jc w:val="left"/>
        <w:rPr>
          <w:rFonts w:ascii="Arial" w:hAnsi="Arial"/>
          <w:sz w:val="14"/>
        </w:rPr>
      </w:pPr>
      <w:r>
        <w:rPr>
          <w:rFonts w:ascii="Arial" w:hAnsi="Arial"/>
          <w:color w:val="231F20"/>
          <w:w w:val="80"/>
          <w:sz w:val="14"/>
        </w:rPr>
        <w:t>Akdamar, E. 2022. “The Effect of Human Development on the Logistics</w:t>
      </w:r>
      <w:r>
        <w:rPr>
          <w:rFonts w:ascii="Arial" w:hAnsi="Arial"/>
          <w:color w:val="231F20"/>
          <w:spacing w:val="40"/>
          <w:sz w:val="14"/>
        </w:rPr>
        <w:t> </w:t>
      </w:r>
      <w:r>
        <w:rPr>
          <w:rFonts w:ascii="Arial" w:hAnsi="Arial"/>
          <w:color w:val="231F20"/>
          <w:w w:val="75"/>
          <w:sz w:val="14"/>
        </w:rPr>
        <w:t>Efficiency</w:t>
      </w:r>
      <w:r>
        <w:rPr>
          <w:rFonts w:ascii="Arial" w:hAnsi="Arial"/>
          <w:color w:val="231F20"/>
          <w:sz w:val="14"/>
        </w:rPr>
        <w:t> </w:t>
      </w:r>
      <w:r>
        <w:rPr>
          <w:rFonts w:ascii="Arial" w:hAnsi="Arial"/>
          <w:color w:val="231F20"/>
          <w:w w:val="75"/>
          <w:sz w:val="14"/>
        </w:rPr>
        <w:t>of</w:t>
      </w:r>
      <w:r>
        <w:rPr>
          <w:rFonts w:ascii="Arial" w:hAnsi="Arial"/>
          <w:color w:val="231F20"/>
          <w:sz w:val="14"/>
        </w:rPr>
        <w:t> </w:t>
      </w:r>
      <w:r>
        <w:rPr>
          <w:rFonts w:ascii="Arial" w:hAnsi="Arial"/>
          <w:color w:val="231F20"/>
          <w:w w:val="75"/>
          <w:sz w:val="14"/>
        </w:rPr>
        <w:t>the</w:t>
      </w:r>
      <w:r>
        <w:rPr>
          <w:rFonts w:ascii="Arial" w:hAnsi="Arial"/>
          <w:color w:val="231F20"/>
          <w:sz w:val="14"/>
        </w:rPr>
        <w:t> </w:t>
      </w:r>
      <w:r>
        <w:rPr>
          <w:rFonts w:ascii="Arial" w:hAnsi="Arial"/>
          <w:color w:val="231F20"/>
          <w:w w:val="75"/>
          <w:sz w:val="14"/>
        </w:rPr>
        <w:t>Countries.” </w:t>
      </w:r>
      <w:r>
        <w:rPr>
          <w:rFonts w:ascii="Arial" w:hAnsi="Arial"/>
          <w:i/>
          <w:color w:val="231F20"/>
          <w:w w:val="75"/>
          <w:sz w:val="14"/>
        </w:rPr>
        <w:t>Mehmet Akif</w:t>
      </w:r>
      <w:r>
        <w:rPr>
          <w:rFonts w:ascii="Arial" w:hAnsi="Arial"/>
          <w:i/>
          <w:color w:val="231F20"/>
          <w:sz w:val="14"/>
        </w:rPr>
        <w:t> </w:t>
      </w:r>
      <w:r>
        <w:rPr>
          <w:rFonts w:ascii="Arial" w:hAnsi="Arial"/>
          <w:i/>
          <w:color w:val="231F20"/>
          <w:w w:val="75"/>
          <w:sz w:val="14"/>
        </w:rPr>
        <w:t>Ersoy</w:t>
      </w:r>
      <w:r>
        <w:rPr>
          <w:rFonts w:ascii="Arial" w:hAnsi="Arial"/>
          <w:i/>
          <w:color w:val="231F20"/>
          <w:sz w:val="14"/>
        </w:rPr>
        <w:t> </w:t>
      </w:r>
      <w:r>
        <w:rPr>
          <w:rFonts w:ascii="Arial" w:hAnsi="Arial"/>
          <w:i/>
          <w:color w:val="231F20"/>
          <w:w w:val="75"/>
          <w:sz w:val="14"/>
        </w:rPr>
        <w:t>Üniversitesi</w:t>
      </w:r>
      <w:r>
        <w:rPr>
          <w:rFonts w:ascii="Arial" w:hAnsi="Arial"/>
          <w:i/>
          <w:color w:val="231F20"/>
          <w:sz w:val="14"/>
        </w:rPr>
        <w:t> </w:t>
      </w:r>
      <w:r>
        <w:rPr>
          <w:rFonts w:ascii="Arial" w:hAnsi="Arial"/>
          <w:i/>
          <w:color w:val="231F20"/>
          <w:w w:val="75"/>
          <w:sz w:val="14"/>
        </w:rPr>
        <w:t>Iktisadi</w:t>
      </w:r>
      <w:r>
        <w:rPr>
          <w:rFonts w:ascii="Arial" w:hAnsi="Arial"/>
          <w:i/>
          <w:color w:val="231F20"/>
          <w:sz w:val="14"/>
        </w:rPr>
        <w:t> </w:t>
      </w:r>
      <w:r>
        <w:rPr>
          <w:rFonts w:ascii="Arial" w:hAnsi="Arial"/>
          <w:i/>
          <w:color w:val="231F20"/>
          <w:w w:val="75"/>
          <w:sz w:val="14"/>
        </w:rPr>
        <w:t>ve</w:t>
      </w:r>
      <w:r>
        <w:rPr>
          <w:rFonts w:ascii="Arial" w:hAnsi="Arial"/>
          <w:i/>
          <w:color w:val="231F20"/>
          <w:spacing w:val="40"/>
          <w:sz w:val="14"/>
        </w:rPr>
        <w:t> </w:t>
      </w:r>
      <w:r>
        <w:rPr>
          <w:rFonts w:ascii="Arial" w:hAnsi="Arial"/>
          <w:i/>
          <w:color w:val="231F20"/>
          <w:w w:val="85"/>
          <w:sz w:val="14"/>
        </w:rPr>
        <w:t>Idari Bilimler Fakültesi Dergisi </w:t>
      </w:r>
      <w:r>
        <w:rPr>
          <w:rFonts w:ascii="Arial" w:hAnsi="Arial"/>
          <w:color w:val="231F20"/>
          <w:w w:val="85"/>
          <w:sz w:val="14"/>
        </w:rPr>
        <w:t>9 (2):</w:t>
      </w:r>
      <w:r>
        <w:rPr>
          <w:rFonts w:ascii="Arial" w:hAnsi="Arial"/>
          <w:color w:val="231F20"/>
          <w:spacing w:val="-4"/>
          <w:w w:val="85"/>
          <w:sz w:val="14"/>
        </w:rPr>
        <w:t> </w:t>
      </w:r>
      <w:r>
        <w:rPr>
          <w:rFonts w:ascii="Arial" w:hAnsi="Arial"/>
          <w:color w:val="231F20"/>
          <w:w w:val="85"/>
          <w:sz w:val="14"/>
        </w:rPr>
        <w:t>871–896.</w:t>
      </w:r>
    </w:p>
    <w:p>
      <w:pPr>
        <w:spacing w:before="2"/>
        <w:ind w:left="3360" w:right="0" w:firstLine="0"/>
        <w:jc w:val="left"/>
        <w:rPr>
          <w:rFonts w:ascii="Arial" w:hAnsi="Arial"/>
          <w:sz w:val="14"/>
        </w:rPr>
      </w:pPr>
      <w:r>
        <w:rPr>
          <w:rFonts w:ascii="Arial" w:hAnsi="Arial"/>
          <w:color w:val="231F20"/>
          <w:w w:val="80"/>
          <w:sz w:val="14"/>
        </w:rPr>
        <w:t>Alim,</w:t>
      </w:r>
      <w:r>
        <w:rPr>
          <w:rFonts w:ascii="Arial" w:hAnsi="Arial"/>
          <w:color w:val="231F20"/>
          <w:spacing w:val="-6"/>
          <w:sz w:val="14"/>
        </w:rPr>
        <w:t> </w:t>
      </w:r>
      <w:r>
        <w:rPr>
          <w:rFonts w:ascii="Arial" w:hAnsi="Arial"/>
          <w:color w:val="231F20"/>
          <w:w w:val="80"/>
          <w:sz w:val="14"/>
        </w:rPr>
        <w:t>M.,</w:t>
      </w:r>
      <w:r>
        <w:rPr>
          <w:rFonts w:ascii="Arial" w:hAnsi="Arial"/>
          <w:color w:val="231F20"/>
          <w:spacing w:val="-5"/>
          <w:sz w:val="14"/>
        </w:rPr>
        <w:t> </w:t>
      </w:r>
      <w:r>
        <w:rPr>
          <w:rFonts w:ascii="Arial" w:hAnsi="Arial"/>
          <w:color w:val="231F20"/>
          <w:w w:val="80"/>
          <w:sz w:val="14"/>
        </w:rPr>
        <w:t>and</w:t>
      </w:r>
      <w:r>
        <w:rPr>
          <w:rFonts w:ascii="Arial" w:hAnsi="Arial"/>
          <w:color w:val="231F20"/>
          <w:spacing w:val="1"/>
          <w:sz w:val="14"/>
        </w:rPr>
        <w:t> </w:t>
      </w:r>
      <w:r>
        <w:rPr>
          <w:rFonts w:ascii="Arial" w:hAnsi="Arial"/>
          <w:color w:val="231F20"/>
          <w:w w:val="80"/>
          <w:sz w:val="14"/>
        </w:rPr>
        <w:t>S.</w:t>
      </w:r>
      <w:r>
        <w:rPr>
          <w:rFonts w:ascii="Arial" w:hAnsi="Arial"/>
          <w:color w:val="231F20"/>
          <w:sz w:val="14"/>
        </w:rPr>
        <w:t> </w:t>
      </w:r>
      <w:r>
        <w:rPr>
          <w:rFonts w:ascii="Arial" w:hAnsi="Arial"/>
          <w:color w:val="231F20"/>
          <w:w w:val="80"/>
          <w:sz w:val="14"/>
        </w:rPr>
        <w:t>E.</w:t>
      </w:r>
      <w:r>
        <w:rPr>
          <w:rFonts w:ascii="Arial" w:hAnsi="Arial"/>
          <w:color w:val="231F20"/>
          <w:spacing w:val="1"/>
          <w:sz w:val="14"/>
        </w:rPr>
        <w:t> </w:t>
      </w:r>
      <w:r>
        <w:rPr>
          <w:rFonts w:ascii="Arial" w:hAnsi="Arial"/>
          <w:color w:val="231F20"/>
          <w:w w:val="80"/>
          <w:sz w:val="14"/>
        </w:rPr>
        <w:t>Kesen.</w:t>
      </w:r>
      <w:r>
        <w:rPr>
          <w:rFonts w:ascii="Arial" w:hAnsi="Arial"/>
          <w:color w:val="231F20"/>
          <w:spacing w:val="1"/>
          <w:sz w:val="14"/>
        </w:rPr>
        <w:t> </w:t>
      </w:r>
      <w:r>
        <w:rPr>
          <w:rFonts w:ascii="Arial" w:hAnsi="Arial"/>
          <w:color w:val="231F20"/>
          <w:w w:val="80"/>
          <w:sz w:val="14"/>
        </w:rPr>
        <w:t>2020.</w:t>
      </w:r>
      <w:r>
        <w:rPr>
          <w:rFonts w:ascii="Arial" w:hAnsi="Arial"/>
          <w:color w:val="231F20"/>
          <w:spacing w:val="-6"/>
          <w:sz w:val="14"/>
        </w:rPr>
        <w:t> </w:t>
      </w:r>
      <w:r>
        <w:rPr>
          <w:rFonts w:ascii="Arial" w:hAnsi="Arial"/>
          <w:color w:val="231F20"/>
          <w:w w:val="80"/>
          <w:sz w:val="14"/>
        </w:rPr>
        <w:t>“Smart</w:t>
      </w:r>
      <w:r>
        <w:rPr>
          <w:rFonts w:ascii="Arial" w:hAnsi="Arial"/>
          <w:color w:val="231F20"/>
          <w:spacing w:val="-5"/>
          <w:sz w:val="14"/>
        </w:rPr>
        <w:t> </w:t>
      </w:r>
      <w:r>
        <w:rPr>
          <w:rFonts w:ascii="Arial" w:hAnsi="Arial"/>
          <w:color w:val="231F20"/>
          <w:w w:val="80"/>
          <w:sz w:val="14"/>
        </w:rPr>
        <w:t>Warehouses</w:t>
      </w:r>
      <w:r>
        <w:rPr>
          <w:rFonts w:ascii="Arial" w:hAnsi="Arial"/>
          <w:color w:val="231F20"/>
          <w:spacing w:val="1"/>
          <w:sz w:val="14"/>
        </w:rPr>
        <w:t> </w:t>
      </w:r>
      <w:r>
        <w:rPr>
          <w:rFonts w:ascii="Arial" w:hAnsi="Arial"/>
          <w:color w:val="231F20"/>
          <w:w w:val="80"/>
          <w:sz w:val="14"/>
        </w:rPr>
        <w:t>in</w:t>
      </w:r>
      <w:r>
        <w:rPr>
          <w:rFonts w:ascii="Arial" w:hAnsi="Arial"/>
          <w:color w:val="231F20"/>
          <w:sz w:val="14"/>
        </w:rPr>
        <w:t> </w:t>
      </w:r>
      <w:r>
        <w:rPr>
          <w:rFonts w:ascii="Arial" w:hAnsi="Arial"/>
          <w:color w:val="231F20"/>
          <w:w w:val="80"/>
          <w:sz w:val="14"/>
        </w:rPr>
        <w:t>Logistics</w:t>
      </w:r>
      <w:r>
        <w:rPr>
          <w:rFonts w:ascii="Arial" w:hAnsi="Arial"/>
          <w:color w:val="231F20"/>
          <w:spacing w:val="1"/>
          <w:sz w:val="14"/>
        </w:rPr>
        <w:t> </w:t>
      </w:r>
      <w:r>
        <w:rPr>
          <w:rFonts w:ascii="Arial" w:hAnsi="Arial"/>
          <w:color w:val="231F20"/>
          <w:w w:val="80"/>
          <w:sz w:val="14"/>
        </w:rPr>
        <w:t>4.0.”</w:t>
      </w:r>
      <w:r>
        <w:rPr>
          <w:rFonts w:ascii="Arial" w:hAnsi="Arial"/>
          <w:color w:val="231F20"/>
          <w:spacing w:val="-5"/>
          <w:sz w:val="14"/>
        </w:rPr>
        <w:t> </w:t>
      </w:r>
      <w:r>
        <w:rPr>
          <w:rFonts w:ascii="Arial" w:hAnsi="Arial"/>
          <w:color w:val="231F20"/>
          <w:spacing w:val="-5"/>
          <w:w w:val="80"/>
          <w:sz w:val="14"/>
        </w:rPr>
        <w:t>In</w:t>
      </w:r>
    </w:p>
    <w:p>
      <w:pPr>
        <w:spacing w:before="39"/>
        <w:ind w:left="3600" w:right="0" w:firstLine="0"/>
        <w:jc w:val="left"/>
        <w:rPr>
          <w:rFonts w:ascii="Arial" w:hAnsi="Arial"/>
          <w:sz w:val="14"/>
        </w:rPr>
      </w:pPr>
      <w:r>
        <w:rPr>
          <w:rFonts w:ascii="Arial" w:hAnsi="Arial"/>
          <w:i/>
          <w:color w:val="231F20"/>
          <w:w w:val="80"/>
          <w:sz w:val="14"/>
        </w:rPr>
        <w:t>Logistics</w:t>
      </w:r>
      <w:r>
        <w:rPr>
          <w:rFonts w:ascii="Arial" w:hAnsi="Arial"/>
          <w:i/>
          <w:color w:val="231F20"/>
          <w:spacing w:val="-3"/>
          <w:sz w:val="14"/>
        </w:rPr>
        <w:t> </w:t>
      </w:r>
      <w:r>
        <w:rPr>
          <w:rFonts w:ascii="Arial" w:hAnsi="Arial"/>
          <w:i/>
          <w:color w:val="231F20"/>
          <w:w w:val="80"/>
          <w:sz w:val="14"/>
        </w:rPr>
        <w:t>4.0,</w:t>
      </w:r>
      <w:r>
        <w:rPr>
          <w:rFonts w:ascii="Arial" w:hAnsi="Arial"/>
          <w:i/>
          <w:color w:val="231F20"/>
          <w:spacing w:val="-3"/>
          <w:sz w:val="14"/>
        </w:rPr>
        <w:t> </w:t>
      </w:r>
      <w:r>
        <w:rPr>
          <w:rFonts w:ascii="Arial" w:hAnsi="Arial"/>
          <w:color w:val="231F20"/>
          <w:w w:val="80"/>
          <w:sz w:val="14"/>
        </w:rPr>
        <w:t>186–201.</w:t>
      </w:r>
      <w:r>
        <w:rPr>
          <w:rFonts w:ascii="Arial" w:hAnsi="Arial"/>
          <w:color w:val="231F20"/>
          <w:spacing w:val="-8"/>
          <w:sz w:val="14"/>
        </w:rPr>
        <w:t> </w:t>
      </w:r>
      <w:r>
        <w:rPr>
          <w:rFonts w:ascii="Arial" w:hAnsi="Arial"/>
          <w:color w:val="231F20"/>
          <w:w w:val="80"/>
          <w:sz w:val="14"/>
        </w:rPr>
        <w:t>CRC</w:t>
      </w:r>
      <w:r>
        <w:rPr>
          <w:rFonts w:ascii="Arial" w:hAnsi="Arial"/>
          <w:color w:val="231F20"/>
          <w:spacing w:val="-2"/>
          <w:sz w:val="14"/>
        </w:rPr>
        <w:t> </w:t>
      </w:r>
      <w:r>
        <w:rPr>
          <w:rFonts w:ascii="Arial" w:hAnsi="Arial"/>
          <w:color w:val="231F20"/>
          <w:spacing w:val="-2"/>
          <w:w w:val="80"/>
          <w:sz w:val="14"/>
        </w:rPr>
        <w:t>Press.</w:t>
      </w:r>
    </w:p>
    <w:p>
      <w:pPr>
        <w:spacing w:line="297" w:lineRule="auto" w:before="39"/>
        <w:ind w:left="3600" w:right="78" w:hanging="240"/>
        <w:jc w:val="left"/>
        <w:rPr>
          <w:rFonts w:ascii="Arial" w:hAnsi="Arial"/>
          <w:sz w:val="14"/>
        </w:rPr>
      </w:pPr>
      <w:r>
        <w:rPr>
          <w:rFonts w:ascii="Arial" w:hAnsi="Arial"/>
          <w:color w:val="231F20"/>
          <w:w w:val="80"/>
          <w:sz w:val="14"/>
        </w:rPr>
        <w:t>Almalki, M., and M. Alkahtani. 2022. “Allocation of Regional </w:t>
      </w:r>
      <w:r>
        <w:rPr>
          <w:rFonts w:ascii="Arial" w:hAnsi="Arial"/>
          <w:color w:val="231F20"/>
          <w:w w:val="80"/>
          <w:sz w:val="14"/>
        </w:rPr>
        <w:t>Logistics</w:t>
      </w:r>
      <w:r>
        <w:rPr>
          <w:rFonts w:ascii="Arial" w:hAnsi="Arial"/>
          <w:color w:val="231F20"/>
          <w:spacing w:val="40"/>
          <w:sz w:val="14"/>
        </w:rPr>
        <w:t> </w:t>
      </w:r>
      <w:r>
        <w:rPr>
          <w:rFonts w:ascii="Arial" w:hAnsi="Arial"/>
          <w:color w:val="231F20"/>
          <w:w w:val="80"/>
          <w:sz w:val="14"/>
        </w:rPr>
        <w:t>Hubs</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4"/>
          <w:w w:val="80"/>
          <w:sz w:val="14"/>
        </w:rPr>
        <w:t> </w:t>
      </w:r>
      <w:r>
        <w:rPr>
          <w:rFonts w:ascii="Arial" w:hAnsi="Arial"/>
          <w:color w:val="231F20"/>
          <w:w w:val="80"/>
          <w:sz w:val="14"/>
        </w:rPr>
        <w:t>Assessing</w:t>
      </w:r>
      <w:r>
        <w:rPr>
          <w:rFonts w:ascii="Arial" w:hAnsi="Arial"/>
          <w:color w:val="231F20"/>
          <w:spacing w:val="-3"/>
          <w:w w:val="80"/>
          <w:sz w:val="14"/>
        </w:rPr>
        <w:t> </w:t>
      </w:r>
      <w:r>
        <w:rPr>
          <w:rFonts w:ascii="Arial" w:hAnsi="Arial"/>
          <w:color w:val="231F20"/>
          <w:w w:val="80"/>
          <w:sz w:val="14"/>
        </w:rPr>
        <w:t>Their</w:t>
      </w:r>
      <w:r>
        <w:rPr>
          <w:rFonts w:ascii="Arial" w:hAnsi="Arial"/>
          <w:color w:val="231F20"/>
          <w:spacing w:val="-2"/>
          <w:w w:val="80"/>
          <w:sz w:val="14"/>
        </w:rPr>
        <w:t> </w:t>
      </w:r>
      <w:r>
        <w:rPr>
          <w:rFonts w:ascii="Arial" w:hAnsi="Arial"/>
          <w:color w:val="231F20"/>
          <w:w w:val="80"/>
          <w:sz w:val="14"/>
        </w:rPr>
        <w:t>Contribution</w:t>
      </w:r>
      <w:r>
        <w:rPr>
          <w:rFonts w:ascii="Arial" w:hAnsi="Arial"/>
          <w:color w:val="231F20"/>
          <w:spacing w:val="-2"/>
          <w:w w:val="80"/>
          <w:sz w:val="14"/>
        </w:rPr>
        <w:t> </w:t>
      </w:r>
      <w:r>
        <w:rPr>
          <w:rFonts w:ascii="Arial" w:hAnsi="Arial"/>
          <w:color w:val="231F20"/>
          <w:w w:val="80"/>
          <w:sz w:val="14"/>
        </w:rPr>
        <w:t>to</w:t>
      </w:r>
      <w:r>
        <w:rPr>
          <w:rFonts w:ascii="Arial" w:hAnsi="Arial"/>
          <w:color w:val="231F20"/>
          <w:spacing w:val="-2"/>
          <w:w w:val="80"/>
          <w:sz w:val="14"/>
        </w:rPr>
        <w:t> </w:t>
      </w:r>
      <w:r>
        <w:rPr>
          <w:rFonts w:ascii="Arial" w:hAnsi="Arial"/>
          <w:color w:val="231F20"/>
          <w:w w:val="80"/>
          <w:sz w:val="14"/>
        </w:rPr>
        <w:t>Saudi</w:t>
      </w:r>
      <w:r>
        <w:rPr>
          <w:rFonts w:ascii="Arial" w:hAnsi="Arial"/>
          <w:color w:val="231F20"/>
          <w:spacing w:val="-3"/>
          <w:w w:val="80"/>
          <w:sz w:val="14"/>
        </w:rPr>
        <w:t> </w:t>
      </w:r>
      <w:r>
        <w:rPr>
          <w:rFonts w:ascii="Arial" w:hAnsi="Arial"/>
          <w:color w:val="231F20"/>
          <w:w w:val="80"/>
          <w:sz w:val="14"/>
        </w:rPr>
        <w:t>Arabia’s</w:t>
      </w:r>
      <w:r>
        <w:rPr>
          <w:rFonts w:ascii="Arial" w:hAnsi="Arial"/>
          <w:color w:val="231F20"/>
          <w:spacing w:val="-2"/>
          <w:w w:val="80"/>
          <w:sz w:val="14"/>
        </w:rPr>
        <w:t> </w:t>
      </w:r>
      <w:r>
        <w:rPr>
          <w:rFonts w:ascii="Arial" w:hAnsi="Arial"/>
          <w:color w:val="231F20"/>
          <w:w w:val="80"/>
          <w:sz w:val="14"/>
        </w:rPr>
        <w:t>Logistics</w:t>
      </w:r>
      <w:r>
        <w:rPr>
          <w:rFonts w:ascii="Arial" w:hAnsi="Arial"/>
          <w:color w:val="231F20"/>
          <w:spacing w:val="40"/>
          <w:sz w:val="14"/>
        </w:rPr>
        <w:t> </w:t>
      </w:r>
      <w:r>
        <w:rPr>
          <w:rFonts w:ascii="Arial" w:hAnsi="Arial"/>
          <w:color w:val="231F20"/>
          <w:w w:val="85"/>
          <w:sz w:val="14"/>
        </w:rPr>
        <w:t>Performance</w:t>
      </w:r>
      <w:r>
        <w:rPr>
          <w:rFonts w:ascii="Arial" w:hAnsi="Arial"/>
          <w:color w:val="231F20"/>
          <w:spacing w:val="-4"/>
          <w:w w:val="85"/>
          <w:sz w:val="14"/>
        </w:rPr>
        <w:t> </w:t>
      </w:r>
      <w:r>
        <w:rPr>
          <w:rFonts w:ascii="Arial" w:hAnsi="Arial"/>
          <w:color w:val="231F20"/>
          <w:w w:val="85"/>
          <w:sz w:val="14"/>
        </w:rPr>
        <w:t>Index</w:t>
      </w:r>
      <w:r>
        <w:rPr>
          <w:rFonts w:ascii="Arial" w:hAnsi="Arial"/>
          <w:color w:val="231F20"/>
          <w:spacing w:val="-4"/>
          <w:w w:val="85"/>
          <w:sz w:val="14"/>
        </w:rPr>
        <w:t> </w:t>
      </w:r>
      <w:r>
        <w:rPr>
          <w:rFonts w:ascii="Arial" w:hAnsi="Arial"/>
          <w:color w:val="231F20"/>
          <w:w w:val="85"/>
          <w:sz w:val="14"/>
        </w:rPr>
        <w:t>Ranking.”</w:t>
      </w:r>
      <w:r>
        <w:rPr>
          <w:rFonts w:ascii="Arial" w:hAnsi="Arial"/>
          <w:color w:val="231F20"/>
          <w:spacing w:val="-5"/>
          <w:w w:val="85"/>
          <w:sz w:val="14"/>
        </w:rPr>
        <w:t> </w:t>
      </w:r>
      <w:r>
        <w:rPr>
          <w:rFonts w:ascii="Arial" w:hAnsi="Arial"/>
          <w:i/>
          <w:color w:val="231F20"/>
          <w:w w:val="85"/>
          <w:sz w:val="14"/>
        </w:rPr>
        <w:t>Sustainability</w:t>
      </w:r>
      <w:r>
        <w:rPr>
          <w:rFonts w:ascii="Arial" w:hAnsi="Arial"/>
          <w:i/>
          <w:color w:val="231F20"/>
          <w:spacing w:val="-4"/>
          <w:w w:val="85"/>
          <w:sz w:val="14"/>
        </w:rPr>
        <w:t> </w:t>
      </w:r>
      <w:r>
        <w:rPr>
          <w:rFonts w:ascii="Arial" w:hAnsi="Arial"/>
          <w:color w:val="231F20"/>
          <w:w w:val="85"/>
          <w:sz w:val="14"/>
        </w:rPr>
        <w:t>14</w:t>
      </w:r>
      <w:r>
        <w:rPr>
          <w:rFonts w:ascii="Arial" w:hAnsi="Arial"/>
          <w:color w:val="231F20"/>
          <w:spacing w:val="-4"/>
          <w:w w:val="85"/>
          <w:sz w:val="14"/>
        </w:rPr>
        <w:t> </w:t>
      </w:r>
      <w:r>
        <w:rPr>
          <w:rFonts w:ascii="Arial" w:hAnsi="Arial"/>
          <w:color w:val="231F20"/>
          <w:w w:val="85"/>
          <w:sz w:val="14"/>
        </w:rPr>
        <w:t>(12):</w:t>
      </w:r>
      <w:r>
        <w:rPr>
          <w:rFonts w:ascii="Arial" w:hAnsi="Arial"/>
          <w:color w:val="231F20"/>
          <w:spacing w:val="-5"/>
          <w:w w:val="85"/>
          <w:sz w:val="14"/>
        </w:rPr>
        <w:t> </w:t>
      </w:r>
      <w:r>
        <w:rPr>
          <w:rFonts w:ascii="Arial" w:hAnsi="Arial"/>
          <w:color w:val="231F20"/>
          <w:w w:val="85"/>
          <w:sz w:val="14"/>
        </w:rPr>
        <w:t>7474.</w:t>
      </w:r>
    </w:p>
    <w:p>
      <w:pPr>
        <w:spacing w:line="297" w:lineRule="auto" w:before="1"/>
        <w:ind w:left="3600" w:right="0" w:hanging="240"/>
        <w:jc w:val="left"/>
        <w:rPr>
          <w:rFonts w:ascii="Arial" w:hAnsi="Arial"/>
          <w:sz w:val="14"/>
        </w:rPr>
      </w:pPr>
      <w:r>
        <w:rPr>
          <w:rFonts w:ascii="Arial" w:hAnsi="Arial"/>
          <w:color w:val="231F20"/>
          <w:w w:val="85"/>
          <w:sz w:val="14"/>
        </w:rPr>
        <w:t>Alnıpak,</w:t>
      </w:r>
      <w:r>
        <w:rPr>
          <w:rFonts w:ascii="Arial" w:hAnsi="Arial"/>
          <w:color w:val="231F20"/>
          <w:spacing w:val="-3"/>
          <w:w w:val="85"/>
          <w:sz w:val="14"/>
        </w:rPr>
        <w:t> </w:t>
      </w:r>
      <w:r>
        <w:rPr>
          <w:rFonts w:ascii="Arial" w:hAnsi="Arial"/>
          <w:color w:val="231F20"/>
          <w:w w:val="85"/>
          <w:sz w:val="14"/>
        </w:rPr>
        <w:t>S.,</w:t>
      </w:r>
      <w:r>
        <w:rPr>
          <w:rFonts w:ascii="Arial" w:hAnsi="Arial"/>
          <w:color w:val="231F20"/>
          <w:spacing w:val="-3"/>
          <w:w w:val="85"/>
          <w:sz w:val="14"/>
        </w:rPr>
        <w:t> </w:t>
      </w:r>
      <w:r>
        <w:rPr>
          <w:rFonts w:ascii="Arial" w:hAnsi="Arial"/>
          <w:color w:val="231F20"/>
          <w:w w:val="85"/>
          <w:sz w:val="14"/>
        </w:rPr>
        <w:t>E. Isikli,</w:t>
      </w:r>
      <w:r>
        <w:rPr>
          <w:rFonts w:ascii="Arial" w:hAnsi="Arial"/>
          <w:color w:val="231F20"/>
          <w:spacing w:val="-3"/>
          <w:w w:val="85"/>
          <w:sz w:val="14"/>
        </w:rPr>
        <w:t> </w:t>
      </w:r>
      <w:r>
        <w:rPr>
          <w:rFonts w:ascii="Arial" w:hAnsi="Arial"/>
          <w:color w:val="231F20"/>
          <w:w w:val="85"/>
          <w:sz w:val="14"/>
        </w:rPr>
        <w:t>and S.</w:t>
      </w:r>
      <w:r>
        <w:rPr>
          <w:rFonts w:ascii="Arial" w:hAnsi="Arial"/>
          <w:color w:val="231F20"/>
          <w:spacing w:val="-3"/>
          <w:w w:val="85"/>
          <w:sz w:val="14"/>
        </w:rPr>
        <w:t> </w:t>
      </w:r>
      <w:r>
        <w:rPr>
          <w:rFonts w:ascii="Arial" w:hAnsi="Arial"/>
          <w:color w:val="231F20"/>
          <w:w w:val="85"/>
          <w:sz w:val="14"/>
        </w:rPr>
        <w:t>Apak. 2021.</w:t>
      </w:r>
      <w:r>
        <w:rPr>
          <w:rFonts w:ascii="Arial" w:hAnsi="Arial"/>
          <w:color w:val="231F20"/>
          <w:spacing w:val="-3"/>
          <w:w w:val="85"/>
          <w:sz w:val="14"/>
        </w:rPr>
        <w:t> </w:t>
      </w:r>
      <w:r>
        <w:rPr>
          <w:rFonts w:ascii="Arial" w:hAnsi="Arial"/>
          <w:color w:val="231F20"/>
          <w:w w:val="85"/>
          <w:sz w:val="14"/>
        </w:rPr>
        <w:t>“The Propellants of</w:t>
      </w:r>
      <w:r>
        <w:rPr>
          <w:rFonts w:ascii="Arial" w:hAnsi="Arial"/>
          <w:color w:val="231F20"/>
          <w:spacing w:val="-3"/>
          <w:w w:val="85"/>
          <w:sz w:val="14"/>
        </w:rPr>
        <w:t> </w:t>
      </w:r>
      <w:r>
        <w:rPr>
          <w:rFonts w:ascii="Arial" w:hAnsi="Arial"/>
          <w:color w:val="231F20"/>
          <w:w w:val="85"/>
          <w:sz w:val="14"/>
        </w:rPr>
        <w:t>The</w:t>
      </w:r>
      <w:r>
        <w:rPr>
          <w:rFonts w:ascii="Arial" w:hAnsi="Arial"/>
          <w:color w:val="231F20"/>
          <w:spacing w:val="40"/>
          <w:sz w:val="14"/>
        </w:rPr>
        <w:t> </w:t>
      </w:r>
      <w:r>
        <w:rPr>
          <w:rFonts w:ascii="Arial" w:hAnsi="Arial"/>
          <w:color w:val="231F20"/>
          <w:w w:val="75"/>
          <w:sz w:val="14"/>
        </w:rPr>
        <w:t>Logistics</w:t>
      </w:r>
      <w:r>
        <w:rPr>
          <w:rFonts w:ascii="Arial" w:hAnsi="Arial"/>
          <w:color w:val="231F20"/>
          <w:sz w:val="14"/>
        </w:rPr>
        <w:t> </w:t>
      </w:r>
      <w:r>
        <w:rPr>
          <w:rFonts w:ascii="Arial" w:hAnsi="Arial"/>
          <w:color w:val="231F20"/>
          <w:w w:val="75"/>
          <w:sz w:val="14"/>
        </w:rPr>
        <w:t>Performance</w:t>
      </w:r>
      <w:r>
        <w:rPr>
          <w:rFonts w:ascii="Arial" w:hAnsi="Arial"/>
          <w:color w:val="231F20"/>
          <w:sz w:val="14"/>
        </w:rPr>
        <w:t> </w:t>
      </w:r>
      <w:r>
        <w:rPr>
          <w:rFonts w:ascii="Arial" w:hAnsi="Arial"/>
          <w:color w:val="231F20"/>
          <w:w w:val="75"/>
          <w:sz w:val="14"/>
        </w:rPr>
        <w:t>Index: An</w:t>
      </w:r>
      <w:r>
        <w:rPr>
          <w:rFonts w:ascii="Arial" w:hAnsi="Arial"/>
          <w:color w:val="231F20"/>
          <w:sz w:val="14"/>
        </w:rPr>
        <w:t> </w:t>
      </w:r>
      <w:r>
        <w:rPr>
          <w:rFonts w:ascii="Arial" w:hAnsi="Arial"/>
          <w:color w:val="231F20"/>
          <w:w w:val="75"/>
          <w:sz w:val="14"/>
        </w:rPr>
        <w:t>Empirical</w:t>
      </w:r>
      <w:r>
        <w:rPr>
          <w:rFonts w:ascii="Arial" w:hAnsi="Arial"/>
          <w:color w:val="231F20"/>
          <w:sz w:val="14"/>
        </w:rPr>
        <w:t> </w:t>
      </w:r>
      <w:r>
        <w:rPr>
          <w:rFonts w:ascii="Arial" w:hAnsi="Arial"/>
          <w:color w:val="231F20"/>
          <w:w w:val="75"/>
          <w:sz w:val="14"/>
        </w:rPr>
        <w:t>Panel</w:t>
      </w:r>
      <w:r>
        <w:rPr>
          <w:rFonts w:ascii="Arial" w:hAnsi="Arial"/>
          <w:color w:val="231F20"/>
          <w:sz w:val="14"/>
        </w:rPr>
        <w:t> </w:t>
      </w:r>
      <w:r>
        <w:rPr>
          <w:rFonts w:ascii="Arial" w:hAnsi="Arial"/>
          <w:color w:val="231F20"/>
          <w:w w:val="75"/>
          <w:sz w:val="14"/>
        </w:rPr>
        <w:t>Investigation</w:t>
      </w:r>
      <w:r>
        <w:rPr>
          <w:rFonts w:ascii="Arial" w:hAnsi="Arial"/>
          <w:color w:val="231F20"/>
          <w:sz w:val="14"/>
        </w:rPr>
        <w:t> </w:t>
      </w:r>
      <w:r>
        <w:rPr>
          <w:rFonts w:ascii="Arial" w:hAnsi="Arial"/>
          <w:color w:val="231F20"/>
          <w:w w:val="75"/>
          <w:sz w:val="14"/>
        </w:rPr>
        <w:t>of </w:t>
      </w:r>
      <w:r>
        <w:rPr>
          <w:rFonts w:ascii="Arial" w:hAnsi="Arial"/>
          <w:color w:val="231F20"/>
          <w:w w:val="75"/>
          <w:sz w:val="14"/>
        </w:rPr>
        <w:t>The</w:t>
      </w:r>
      <w:r>
        <w:rPr>
          <w:rFonts w:ascii="Arial" w:hAnsi="Arial"/>
          <w:color w:val="231F20"/>
          <w:spacing w:val="40"/>
          <w:sz w:val="14"/>
        </w:rPr>
        <w:t> </w:t>
      </w:r>
      <w:r>
        <w:rPr>
          <w:rFonts w:ascii="Arial" w:hAnsi="Arial"/>
          <w:color w:val="231F20"/>
          <w:w w:val="80"/>
          <w:sz w:val="14"/>
        </w:rPr>
        <w:t>European Region.”</w:t>
      </w:r>
      <w:r>
        <w:rPr>
          <w:rFonts w:ascii="Arial" w:hAnsi="Arial"/>
          <w:color w:val="231F20"/>
          <w:spacing w:val="-2"/>
          <w:w w:val="80"/>
          <w:sz w:val="14"/>
        </w:rPr>
        <w:t> </w:t>
      </w:r>
      <w:r>
        <w:rPr>
          <w:rFonts w:ascii="Arial" w:hAnsi="Arial"/>
          <w:i/>
          <w:color w:val="231F20"/>
          <w:w w:val="80"/>
          <w:sz w:val="14"/>
        </w:rPr>
        <w:t>International Journal of Logistics Research and</w:t>
      </w:r>
      <w:r>
        <w:rPr>
          <w:rFonts w:ascii="Arial" w:hAnsi="Arial"/>
          <w:i/>
          <w:color w:val="231F20"/>
          <w:spacing w:val="40"/>
          <w:sz w:val="14"/>
        </w:rPr>
        <w:t> </w:t>
      </w:r>
      <w:r>
        <w:rPr>
          <w:rFonts w:ascii="Arial" w:hAnsi="Arial"/>
          <w:i/>
          <w:color w:val="231F20"/>
          <w:w w:val="90"/>
          <w:sz w:val="14"/>
        </w:rPr>
        <w:t>Applications</w:t>
      </w:r>
      <w:r>
        <w:rPr>
          <w:rFonts w:ascii="Arial" w:hAnsi="Arial"/>
          <w:color w:val="231F20"/>
          <w:w w:val="90"/>
          <w:sz w:val="14"/>
        </w:rPr>
        <w:t>,</w:t>
      </w:r>
      <w:r>
        <w:rPr>
          <w:rFonts w:ascii="Arial" w:hAnsi="Arial"/>
          <w:color w:val="231F20"/>
          <w:spacing w:val="-8"/>
          <w:w w:val="90"/>
          <w:sz w:val="14"/>
        </w:rPr>
        <w:t> </w:t>
      </w:r>
      <w:r>
        <w:rPr>
          <w:rFonts w:ascii="Arial" w:hAnsi="Arial"/>
          <w:color w:val="231F20"/>
          <w:w w:val="90"/>
          <w:sz w:val="14"/>
        </w:rPr>
        <w:t>1–23.</w:t>
      </w:r>
    </w:p>
    <w:p>
      <w:pPr>
        <w:spacing w:line="297" w:lineRule="auto" w:before="1"/>
        <w:ind w:left="3600" w:right="0" w:hanging="240"/>
        <w:jc w:val="left"/>
        <w:rPr>
          <w:rFonts w:ascii="Arial"/>
          <w:sz w:val="14"/>
        </w:rPr>
      </w:pPr>
      <w:r>
        <w:rPr>
          <w:rFonts w:ascii="Arial"/>
          <w:color w:val="231F20"/>
          <w:w w:val="85"/>
          <w:sz w:val="14"/>
        </w:rPr>
        <w:t>Ambashi, M., S. Buban, H. Phoumin, and R. Shrestha. 2020.</w:t>
      </w:r>
      <w:r>
        <w:rPr>
          <w:rFonts w:ascii="Arial"/>
          <w:color w:val="231F20"/>
          <w:spacing w:val="40"/>
          <w:sz w:val="14"/>
        </w:rPr>
        <w:t> </w:t>
      </w:r>
      <w:r>
        <w:rPr>
          <w:rFonts w:ascii="Arial"/>
          <w:i/>
          <w:color w:val="231F20"/>
          <w:w w:val="80"/>
          <w:sz w:val="14"/>
        </w:rPr>
        <w:t>Subregional Development Strategy in ASEAN after COVID-19:</w:t>
      </w:r>
      <w:r>
        <w:rPr>
          <w:rFonts w:ascii="Arial"/>
          <w:i/>
          <w:color w:val="231F20"/>
          <w:spacing w:val="40"/>
          <w:sz w:val="14"/>
        </w:rPr>
        <w:t> </w:t>
      </w:r>
      <w:r>
        <w:rPr>
          <w:rFonts w:ascii="Arial"/>
          <w:i/>
          <w:color w:val="231F20"/>
          <w:w w:val="75"/>
          <w:sz w:val="14"/>
        </w:rPr>
        <w:t>Inclusiveness</w:t>
      </w:r>
      <w:r>
        <w:rPr>
          <w:rFonts w:ascii="Arial"/>
          <w:i/>
          <w:color w:val="231F20"/>
          <w:sz w:val="14"/>
        </w:rPr>
        <w:t> </w:t>
      </w:r>
      <w:r>
        <w:rPr>
          <w:rFonts w:ascii="Arial"/>
          <w:i/>
          <w:color w:val="231F20"/>
          <w:w w:val="75"/>
          <w:sz w:val="14"/>
        </w:rPr>
        <w:t>and</w:t>
      </w:r>
      <w:r>
        <w:rPr>
          <w:rFonts w:ascii="Arial"/>
          <w:i/>
          <w:color w:val="231F20"/>
          <w:sz w:val="14"/>
        </w:rPr>
        <w:t> </w:t>
      </w:r>
      <w:r>
        <w:rPr>
          <w:rFonts w:ascii="Arial"/>
          <w:i/>
          <w:color w:val="231F20"/>
          <w:w w:val="75"/>
          <w:sz w:val="14"/>
        </w:rPr>
        <w:t>Sustainability</w:t>
      </w:r>
      <w:r>
        <w:rPr>
          <w:rFonts w:ascii="Arial"/>
          <w:i/>
          <w:color w:val="231F20"/>
          <w:sz w:val="14"/>
        </w:rPr>
        <w:t> </w:t>
      </w:r>
      <w:r>
        <w:rPr>
          <w:rFonts w:ascii="Arial"/>
          <w:i/>
          <w:color w:val="231F20"/>
          <w:w w:val="75"/>
          <w:sz w:val="14"/>
        </w:rPr>
        <w:t>in</w:t>
      </w:r>
      <w:r>
        <w:rPr>
          <w:rFonts w:ascii="Arial"/>
          <w:i/>
          <w:color w:val="231F20"/>
          <w:sz w:val="14"/>
        </w:rPr>
        <w:t> </w:t>
      </w:r>
      <w:r>
        <w:rPr>
          <w:rFonts w:ascii="Arial"/>
          <w:i/>
          <w:color w:val="231F20"/>
          <w:w w:val="75"/>
          <w:sz w:val="14"/>
        </w:rPr>
        <w:t>the</w:t>
      </w:r>
      <w:r>
        <w:rPr>
          <w:rFonts w:ascii="Arial"/>
          <w:i/>
          <w:color w:val="231F20"/>
          <w:sz w:val="14"/>
        </w:rPr>
        <w:t> </w:t>
      </w:r>
      <w:r>
        <w:rPr>
          <w:rFonts w:ascii="Arial"/>
          <w:i/>
          <w:color w:val="231F20"/>
          <w:w w:val="75"/>
          <w:sz w:val="14"/>
        </w:rPr>
        <w:t>Mekong</w:t>
      </w:r>
      <w:r>
        <w:rPr>
          <w:rFonts w:ascii="Arial"/>
          <w:i/>
          <w:color w:val="231F20"/>
          <w:sz w:val="14"/>
        </w:rPr>
        <w:t> </w:t>
      </w:r>
      <w:r>
        <w:rPr>
          <w:rFonts w:ascii="Arial"/>
          <w:i/>
          <w:color w:val="231F20"/>
          <w:w w:val="75"/>
          <w:sz w:val="14"/>
        </w:rPr>
        <w:t>Subregion</w:t>
      </w:r>
      <w:r>
        <w:rPr>
          <w:rFonts w:ascii="Arial"/>
          <w:color w:val="231F20"/>
          <w:w w:val="75"/>
          <w:sz w:val="14"/>
        </w:rPr>
        <w:t>. </w:t>
      </w:r>
      <w:r>
        <w:rPr>
          <w:rFonts w:ascii="Arial"/>
          <w:color w:val="231F20"/>
          <w:w w:val="75"/>
          <w:sz w:val="14"/>
        </w:rPr>
        <w:t>Economic</w:t>
      </w:r>
      <w:r>
        <w:rPr>
          <w:rFonts w:ascii="Arial"/>
          <w:color w:val="231F20"/>
          <w:spacing w:val="40"/>
          <w:sz w:val="14"/>
        </w:rPr>
        <w:t> </w:t>
      </w:r>
      <w:r>
        <w:rPr>
          <w:rFonts w:ascii="Arial"/>
          <w:color w:val="231F20"/>
          <w:w w:val="80"/>
          <w:sz w:val="14"/>
        </w:rPr>
        <w:t>Research Institute for ASEAN and East Asia.</w:t>
      </w:r>
    </w:p>
    <w:p>
      <w:pPr>
        <w:spacing w:line="297" w:lineRule="auto" w:before="2"/>
        <w:ind w:left="3600" w:right="78" w:hanging="240"/>
        <w:jc w:val="left"/>
        <w:rPr>
          <w:rFonts w:ascii="Arial" w:hAnsi="Arial"/>
          <w:sz w:val="14"/>
        </w:rPr>
      </w:pPr>
      <w:r>
        <w:rPr>
          <w:rFonts w:ascii="Arial" w:hAnsi="Arial"/>
          <w:color w:val="231F20"/>
          <w:w w:val="85"/>
          <w:sz w:val="14"/>
        </w:rPr>
        <w:t>An,</w:t>
      </w:r>
      <w:r>
        <w:rPr>
          <w:rFonts w:ascii="Arial" w:hAnsi="Arial"/>
          <w:color w:val="231F20"/>
          <w:spacing w:val="-6"/>
          <w:w w:val="85"/>
          <w:sz w:val="14"/>
        </w:rPr>
        <w:t> </w:t>
      </w:r>
      <w:r>
        <w:rPr>
          <w:rFonts w:ascii="Arial" w:hAnsi="Arial"/>
          <w:color w:val="231F20"/>
          <w:w w:val="85"/>
          <w:sz w:val="14"/>
        </w:rPr>
        <w:t>H.,</w:t>
      </w:r>
      <w:r>
        <w:rPr>
          <w:rFonts w:ascii="Arial" w:hAnsi="Arial"/>
          <w:color w:val="231F20"/>
          <w:spacing w:val="-10"/>
          <w:w w:val="85"/>
          <w:sz w:val="14"/>
        </w:rPr>
        <w:t> </w:t>
      </w:r>
      <w:r>
        <w:rPr>
          <w:rFonts w:ascii="Arial" w:hAnsi="Arial"/>
          <w:color w:val="231F20"/>
          <w:w w:val="85"/>
          <w:sz w:val="14"/>
        </w:rPr>
        <w:t>A.</w:t>
      </w:r>
      <w:r>
        <w:rPr>
          <w:rFonts w:ascii="Arial" w:hAnsi="Arial"/>
          <w:color w:val="231F20"/>
          <w:spacing w:val="-4"/>
          <w:w w:val="85"/>
          <w:sz w:val="14"/>
        </w:rPr>
        <w:t> </w:t>
      </w:r>
      <w:r>
        <w:rPr>
          <w:rFonts w:ascii="Arial" w:hAnsi="Arial"/>
          <w:color w:val="231F20"/>
          <w:w w:val="85"/>
          <w:sz w:val="14"/>
        </w:rPr>
        <w:t>Razzaq,</w:t>
      </w:r>
      <w:r>
        <w:rPr>
          <w:rFonts w:ascii="Arial" w:hAnsi="Arial"/>
          <w:color w:val="231F20"/>
          <w:spacing w:val="-10"/>
          <w:w w:val="85"/>
          <w:sz w:val="14"/>
        </w:rPr>
        <w:t> </w:t>
      </w:r>
      <w:r>
        <w:rPr>
          <w:rFonts w:ascii="Arial" w:hAnsi="Arial"/>
          <w:color w:val="231F20"/>
          <w:w w:val="85"/>
          <w:sz w:val="14"/>
        </w:rPr>
        <w:t>A.</w:t>
      </w:r>
      <w:r>
        <w:rPr>
          <w:rFonts w:ascii="Arial" w:hAnsi="Arial"/>
          <w:color w:val="231F20"/>
          <w:spacing w:val="-4"/>
          <w:w w:val="85"/>
          <w:sz w:val="14"/>
        </w:rPr>
        <w:t> </w:t>
      </w:r>
      <w:r>
        <w:rPr>
          <w:rFonts w:ascii="Arial" w:hAnsi="Arial"/>
          <w:color w:val="231F20"/>
          <w:w w:val="85"/>
          <w:sz w:val="14"/>
        </w:rPr>
        <w:t>Nawaz,</w:t>
      </w:r>
      <w:r>
        <w:rPr>
          <w:rFonts w:ascii="Arial" w:hAnsi="Arial"/>
          <w:color w:val="231F20"/>
          <w:spacing w:val="-5"/>
          <w:w w:val="85"/>
          <w:sz w:val="14"/>
        </w:rPr>
        <w:t> </w:t>
      </w:r>
      <w:r>
        <w:rPr>
          <w:rFonts w:ascii="Arial" w:hAnsi="Arial"/>
          <w:color w:val="231F20"/>
          <w:w w:val="85"/>
          <w:sz w:val="14"/>
        </w:rPr>
        <w:t>S.</w:t>
      </w:r>
      <w:r>
        <w:rPr>
          <w:rFonts w:ascii="Arial" w:hAnsi="Arial"/>
          <w:color w:val="231F20"/>
          <w:spacing w:val="-4"/>
          <w:w w:val="85"/>
          <w:sz w:val="14"/>
        </w:rPr>
        <w:t> </w:t>
      </w:r>
      <w:r>
        <w:rPr>
          <w:rFonts w:ascii="Arial" w:hAnsi="Arial"/>
          <w:color w:val="231F20"/>
          <w:w w:val="85"/>
          <w:sz w:val="14"/>
        </w:rPr>
        <w:t>M.</w:t>
      </w:r>
      <w:r>
        <w:rPr>
          <w:rFonts w:ascii="Arial" w:hAnsi="Arial"/>
          <w:color w:val="231F20"/>
          <w:spacing w:val="-4"/>
          <w:w w:val="85"/>
          <w:sz w:val="14"/>
        </w:rPr>
        <w:t> </w:t>
      </w:r>
      <w:r>
        <w:rPr>
          <w:rFonts w:ascii="Arial" w:hAnsi="Arial"/>
          <w:color w:val="231F20"/>
          <w:w w:val="85"/>
          <w:sz w:val="14"/>
        </w:rPr>
        <w:t>Noman,</w:t>
      </w:r>
      <w:r>
        <w:rPr>
          <w:rFonts w:ascii="Arial" w:hAnsi="Arial"/>
          <w:color w:val="231F20"/>
          <w:spacing w:val="-5"/>
          <w:w w:val="85"/>
          <w:sz w:val="14"/>
        </w:rPr>
        <w:t> </w:t>
      </w:r>
      <w:r>
        <w:rPr>
          <w:rFonts w:ascii="Arial" w:hAnsi="Arial"/>
          <w:color w:val="231F20"/>
          <w:w w:val="85"/>
          <w:sz w:val="14"/>
        </w:rPr>
        <w:t>and</w:t>
      </w:r>
      <w:r>
        <w:rPr>
          <w:rFonts w:ascii="Arial" w:hAnsi="Arial"/>
          <w:color w:val="231F20"/>
          <w:spacing w:val="-4"/>
          <w:w w:val="85"/>
          <w:sz w:val="14"/>
        </w:rPr>
        <w:t> </w:t>
      </w:r>
      <w:r>
        <w:rPr>
          <w:rFonts w:ascii="Arial" w:hAnsi="Arial"/>
          <w:color w:val="231F20"/>
          <w:w w:val="85"/>
          <w:sz w:val="14"/>
        </w:rPr>
        <w:t>S.</w:t>
      </w:r>
      <w:r>
        <w:rPr>
          <w:rFonts w:ascii="Arial" w:hAnsi="Arial"/>
          <w:color w:val="231F20"/>
          <w:spacing w:val="-5"/>
          <w:w w:val="85"/>
          <w:sz w:val="14"/>
        </w:rPr>
        <w:t> </w:t>
      </w:r>
      <w:r>
        <w:rPr>
          <w:rFonts w:ascii="Arial" w:hAnsi="Arial"/>
          <w:color w:val="231F20"/>
          <w:w w:val="85"/>
          <w:sz w:val="14"/>
        </w:rPr>
        <w:t>A.</w:t>
      </w:r>
      <w:r>
        <w:rPr>
          <w:rFonts w:ascii="Arial" w:hAnsi="Arial"/>
          <w:color w:val="231F20"/>
          <w:spacing w:val="-4"/>
          <w:w w:val="85"/>
          <w:sz w:val="14"/>
        </w:rPr>
        <w:t> </w:t>
      </w:r>
      <w:r>
        <w:rPr>
          <w:rFonts w:ascii="Arial" w:hAnsi="Arial"/>
          <w:color w:val="231F20"/>
          <w:w w:val="85"/>
          <w:sz w:val="14"/>
        </w:rPr>
        <w:t>R.</w:t>
      </w:r>
      <w:r>
        <w:rPr>
          <w:rFonts w:ascii="Arial" w:hAnsi="Arial"/>
          <w:color w:val="231F20"/>
          <w:spacing w:val="-4"/>
          <w:w w:val="85"/>
          <w:sz w:val="14"/>
        </w:rPr>
        <w:t> </w:t>
      </w:r>
      <w:r>
        <w:rPr>
          <w:rFonts w:ascii="Arial" w:hAnsi="Arial"/>
          <w:color w:val="231F20"/>
          <w:w w:val="85"/>
          <w:sz w:val="14"/>
        </w:rPr>
        <w:t>Khan.</w:t>
      </w:r>
      <w:r>
        <w:rPr>
          <w:rFonts w:ascii="Arial" w:hAnsi="Arial"/>
          <w:color w:val="231F20"/>
          <w:spacing w:val="-4"/>
          <w:w w:val="85"/>
          <w:sz w:val="14"/>
        </w:rPr>
        <w:t> </w:t>
      </w:r>
      <w:r>
        <w:rPr>
          <w:rFonts w:ascii="Arial" w:hAnsi="Arial"/>
          <w:color w:val="231F20"/>
          <w:w w:val="85"/>
          <w:sz w:val="14"/>
        </w:rPr>
        <w:t>2021.</w:t>
      </w:r>
      <w:r>
        <w:rPr>
          <w:rFonts w:ascii="Arial" w:hAnsi="Arial"/>
          <w:color w:val="231F20"/>
          <w:spacing w:val="40"/>
          <w:sz w:val="14"/>
        </w:rPr>
        <w:t> </w:t>
      </w:r>
      <w:r>
        <w:rPr>
          <w:rFonts w:ascii="Arial" w:hAnsi="Arial"/>
          <w:color w:val="231F20"/>
          <w:w w:val="80"/>
          <w:sz w:val="14"/>
        </w:rPr>
        <w:t>“Nexus</w:t>
      </w:r>
      <w:r>
        <w:rPr>
          <w:rFonts w:ascii="Arial" w:hAnsi="Arial"/>
          <w:color w:val="231F20"/>
          <w:spacing w:val="-2"/>
          <w:w w:val="80"/>
          <w:sz w:val="14"/>
        </w:rPr>
        <w:t> </w:t>
      </w:r>
      <w:r>
        <w:rPr>
          <w:rFonts w:ascii="Arial" w:hAnsi="Arial"/>
          <w:color w:val="231F20"/>
          <w:w w:val="80"/>
          <w:sz w:val="14"/>
        </w:rPr>
        <w:t>Between Green Logistic Operations and</w:t>
      </w:r>
      <w:r>
        <w:rPr>
          <w:rFonts w:ascii="Arial" w:hAnsi="Arial"/>
          <w:color w:val="231F20"/>
          <w:spacing w:val="-4"/>
          <w:w w:val="80"/>
          <w:sz w:val="14"/>
        </w:rPr>
        <w:t> </w:t>
      </w:r>
      <w:r>
        <w:rPr>
          <w:rFonts w:ascii="Arial" w:hAnsi="Arial"/>
          <w:color w:val="231F20"/>
          <w:w w:val="80"/>
          <w:sz w:val="14"/>
        </w:rPr>
        <w:t>Triple Bottom Line:</w:t>
      </w:r>
      <w:r>
        <w:rPr>
          <w:rFonts w:ascii="Arial" w:hAnsi="Arial"/>
          <w:color w:val="231F20"/>
          <w:spacing w:val="40"/>
          <w:sz w:val="14"/>
        </w:rPr>
        <w:t> </w:t>
      </w:r>
      <w:r>
        <w:rPr>
          <w:rFonts w:ascii="Arial" w:hAnsi="Arial"/>
          <w:color w:val="231F20"/>
          <w:w w:val="80"/>
          <w:sz w:val="14"/>
        </w:rPr>
        <w:t>Evidence from Infrastructure-Led Chinese Outward foreign Direct</w:t>
      </w:r>
      <w:r>
        <w:rPr>
          <w:rFonts w:ascii="Arial" w:hAnsi="Arial"/>
          <w:color w:val="231F20"/>
          <w:spacing w:val="40"/>
          <w:sz w:val="14"/>
        </w:rPr>
        <w:t> </w:t>
      </w:r>
      <w:r>
        <w:rPr>
          <w:rFonts w:ascii="Arial" w:hAnsi="Arial"/>
          <w:color w:val="231F20"/>
          <w:w w:val="75"/>
          <w:sz w:val="14"/>
        </w:rPr>
        <w:t>Investment</w:t>
      </w:r>
      <w:r>
        <w:rPr>
          <w:rFonts w:ascii="Arial" w:hAnsi="Arial"/>
          <w:color w:val="231F20"/>
          <w:sz w:val="14"/>
        </w:rPr>
        <w:t> </w:t>
      </w:r>
      <w:r>
        <w:rPr>
          <w:rFonts w:ascii="Arial" w:hAnsi="Arial"/>
          <w:color w:val="231F20"/>
          <w:w w:val="75"/>
          <w:sz w:val="14"/>
        </w:rPr>
        <w:t>in</w:t>
      </w:r>
      <w:r>
        <w:rPr>
          <w:rFonts w:ascii="Arial" w:hAnsi="Arial"/>
          <w:color w:val="231F20"/>
          <w:sz w:val="14"/>
        </w:rPr>
        <w:t> </w:t>
      </w:r>
      <w:r>
        <w:rPr>
          <w:rFonts w:ascii="Arial" w:hAnsi="Arial"/>
          <w:color w:val="231F20"/>
          <w:w w:val="75"/>
          <w:sz w:val="14"/>
        </w:rPr>
        <w:t>Belt</w:t>
      </w:r>
      <w:r>
        <w:rPr>
          <w:rFonts w:ascii="Arial" w:hAnsi="Arial"/>
          <w:color w:val="231F20"/>
          <w:sz w:val="14"/>
        </w:rPr>
        <w:t> </w:t>
      </w:r>
      <w:r>
        <w:rPr>
          <w:rFonts w:ascii="Arial" w:hAnsi="Arial"/>
          <w:color w:val="231F20"/>
          <w:w w:val="75"/>
          <w:sz w:val="14"/>
        </w:rPr>
        <w:t>and</w:t>
      </w:r>
      <w:r>
        <w:rPr>
          <w:rFonts w:ascii="Arial" w:hAnsi="Arial"/>
          <w:color w:val="231F20"/>
          <w:sz w:val="14"/>
        </w:rPr>
        <w:t> </w:t>
      </w:r>
      <w:r>
        <w:rPr>
          <w:rFonts w:ascii="Arial" w:hAnsi="Arial"/>
          <w:color w:val="231F20"/>
          <w:w w:val="75"/>
          <w:sz w:val="14"/>
        </w:rPr>
        <w:t>Road</w:t>
      </w:r>
      <w:r>
        <w:rPr>
          <w:rFonts w:ascii="Arial" w:hAnsi="Arial"/>
          <w:color w:val="231F20"/>
          <w:sz w:val="14"/>
        </w:rPr>
        <w:t> </w:t>
      </w:r>
      <w:r>
        <w:rPr>
          <w:rFonts w:ascii="Arial" w:hAnsi="Arial"/>
          <w:color w:val="231F20"/>
          <w:w w:val="75"/>
          <w:sz w:val="14"/>
        </w:rPr>
        <w:t>Host</w:t>
      </w:r>
      <w:r>
        <w:rPr>
          <w:rFonts w:ascii="Arial" w:hAnsi="Arial"/>
          <w:color w:val="231F20"/>
          <w:sz w:val="14"/>
        </w:rPr>
        <w:t> </w:t>
      </w:r>
      <w:r>
        <w:rPr>
          <w:rFonts w:ascii="Arial" w:hAnsi="Arial"/>
          <w:color w:val="231F20"/>
          <w:w w:val="75"/>
          <w:sz w:val="14"/>
        </w:rPr>
        <w:t>Countries.” </w:t>
      </w:r>
      <w:r>
        <w:rPr>
          <w:rFonts w:ascii="Arial" w:hAnsi="Arial"/>
          <w:i/>
          <w:color w:val="231F20"/>
          <w:w w:val="75"/>
          <w:sz w:val="14"/>
        </w:rPr>
        <w:t>Environmental</w:t>
      </w:r>
      <w:r>
        <w:rPr>
          <w:rFonts w:ascii="Arial" w:hAnsi="Arial"/>
          <w:i/>
          <w:color w:val="231F20"/>
          <w:sz w:val="14"/>
        </w:rPr>
        <w:t> </w:t>
      </w:r>
      <w:r>
        <w:rPr>
          <w:rFonts w:ascii="Arial" w:hAnsi="Arial"/>
          <w:i/>
          <w:color w:val="231F20"/>
          <w:w w:val="75"/>
          <w:sz w:val="14"/>
        </w:rPr>
        <w:t>Science</w:t>
      </w:r>
      <w:r>
        <w:rPr>
          <w:rFonts w:ascii="Arial" w:hAnsi="Arial"/>
          <w:i/>
          <w:color w:val="231F20"/>
          <w:spacing w:val="40"/>
          <w:sz w:val="14"/>
        </w:rPr>
        <w:t> </w:t>
      </w:r>
      <w:r>
        <w:rPr>
          <w:rFonts w:ascii="Arial" w:hAnsi="Arial"/>
          <w:i/>
          <w:color w:val="231F20"/>
          <w:w w:val="85"/>
          <w:sz w:val="14"/>
        </w:rPr>
        <w:t>and Pollution Research </w:t>
      </w:r>
      <w:r>
        <w:rPr>
          <w:rFonts w:ascii="Arial" w:hAnsi="Arial"/>
          <w:color w:val="231F20"/>
          <w:w w:val="85"/>
          <w:sz w:val="14"/>
        </w:rPr>
        <w:t>28 (37):</w:t>
      </w:r>
      <w:r>
        <w:rPr>
          <w:rFonts w:ascii="Arial" w:hAnsi="Arial"/>
          <w:color w:val="231F20"/>
          <w:spacing w:val="-1"/>
          <w:w w:val="85"/>
          <w:sz w:val="14"/>
        </w:rPr>
        <w:t> </w:t>
      </w:r>
      <w:r>
        <w:rPr>
          <w:rFonts w:ascii="Arial" w:hAnsi="Arial"/>
          <w:color w:val="231F20"/>
          <w:w w:val="85"/>
          <w:sz w:val="14"/>
        </w:rPr>
        <w:t>51022–51045.</w:t>
      </w:r>
    </w:p>
    <w:p>
      <w:pPr>
        <w:spacing w:before="2"/>
        <w:ind w:left="3360" w:right="0" w:firstLine="0"/>
        <w:jc w:val="left"/>
        <w:rPr>
          <w:rFonts w:ascii="Arial"/>
          <w:sz w:val="14"/>
        </w:rPr>
      </w:pPr>
      <w:r>
        <w:rPr>
          <w:rFonts w:ascii="Arial"/>
          <w:color w:val="231F20"/>
          <w:w w:val="80"/>
          <w:sz w:val="14"/>
        </w:rPr>
        <w:t>Ariansyah,</w:t>
      </w:r>
      <w:r>
        <w:rPr>
          <w:rFonts w:ascii="Arial"/>
          <w:color w:val="231F20"/>
          <w:spacing w:val="-4"/>
          <w:sz w:val="14"/>
        </w:rPr>
        <w:t> </w:t>
      </w:r>
      <w:r>
        <w:rPr>
          <w:rFonts w:ascii="Arial"/>
          <w:color w:val="231F20"/>
          <w:w w:val="80"/>
          <w:sz w:val="14"/>
        </w:rPr>
        <w:t>K.,</w:t>
      </w:r>
      <w:r>
        <w:rPr>
          <w:rFonts w:ascii="Arial"/>
          <w:color w:val="231F20"/>
          <w:spacing w:val="-4"/>
          <w:sz w:val="14"/>
        </w:rPr>
        <w:t> </w:t>
      </w:r>
      <w:r>
        <w:rPr>
          <w:rFonts w:ascii="Arial"/>
          <w:color w:val="231F20"/>
          <w:w w:val="80"/>
          <w:sz w:val="14"/>
        </w:rPr>
        <w:t>E.</w:t>
      </w:r>
      <w:r>
        <w:rPr>
          <w:rFonts w:ascii="Arial"/>
          <w:color w:val="231F20"/>
          <w:spacing w:val="3"/>
          <w:sz w:val="14"/>
        </w:rPr>
        <w:t> </w:t>
      </w:r>
      <w:r>
        <w:rPr>
          <w:rFonts w:ascii="Arial"/>
          <w:color w:val="231F20"/>
          <w:w w:val="80"/>
          <w:sz w:val="14"/>
        </w:rPr>
        <w:t>R.</w:t>
      </w:r>
      <w:r>
        <w:rPr>
          <w:rFonts w:ascii="Arial"/>
          <w:color w:val="231F20"/>
          <w:spacing w:val="3"/>
          <w:sz w:val="14"/>
        </w:rPr>
        <w:t> </w:t>
      </w:r>
      <w:r>
        <w:rPr>
          <w:rFonts w:ascii="Arial"/>
          <w:color w:val="231F20"/>
          <w:w w:val="80"/>
          <w:sz w:val="14"/>
        </w:rPr>
        <w:t>E.</w:t>
      </w:r>
      <w:r>
        <w:rPr>
          <w:rFonts w:ascii="Arial"/>
          <w:color w:val="231F20"/>
          <w:spacing w:val="3"/>
          <w:sz w:val="14"/>
        </w:rPr>
        <w:t> </w:t>
      </w:r>
      <w:r>
        <w:rPr>
          <w:rFonts w:ascii="Arial"/>
          <w:color w:val="231F20"/>
          <w:w w:val="80"/>
          <w:sz w:val="14"/>
        </w:rPr>
        <w:t>Sirait,</w:t>
      </w:r>
      <w:r>
        <w:rPr>
          <w:rFonts w:ascii="Arial"/>
          <w:color w:val="231F20"/>
          <w:spacing w:val="-4"/>
          <w:sz w:val="14"/>
        </w:rPr>
        <w:t> </w:t>
      </w:r>
      <w:r>
        <w:rPr>
          <w:rFonts w:ascii="Arial"/>
          <w:color w:val="231F20"/>
          <w:w w:val="80"/>
          <w:sz w:val="14"/>
        </w:rPr>
        <w:t>B.</w:t>
      </w:r>
      <w:r>
        <w:rPr>
          <w:rFonts w:ascii="Arial"/>
          <w:color w:val="231F20"/>
          <w:spacing w:val="-3"/>
          <w:sz w:val="14"/>
        </w:rPr>
        <w:t> </w:t>
      </w:r>
      <w:r>
        <w:rPr>
          <w:rFonts w:ascii="Arial"/>
          <w:color w:val="231F20"/>
          <w:w w:val="80"/>
          <w:sz w:val="14"/>
        </w:rPr>
        <w:t>A.</w:t>
      </w:r>
      <w:r>
        <w:rPr>
          <w:rFonts w:ascii="Arial"/>
          <w:color w:val="231F20"/>
          <w:spacing w:val="3"/>
          <w:sz w:val="14"/>
        </w:rPr>
        <w:t> </w:t>
      </w:r>
      <w:r>
        <w:rPr>
          <w:rFonts w:ascii="Arial"/>
          <w:color w:val="231F20"/>
          <w:w w:val="80"/>
          <w:sz w:val="14"/>
        </w:rPr>
        <w:t>Nugroho,</w:t>
      </w:r>
      <w:r>
        <w:rPr>
          <w:rFonts w:ascii="Arial"/>
          <w:color w:val="231F20"/>
          <w:spacing w:val="-4"/>
          <w:sz w:val="14"/>
        </w:rPr>
        <w:t> </w:t>
      </w:r>
      <w:r>
        <w:rPr>
          <w:rFonts w:ascii="Arial"/>
          <w:color w:val="231F20"/>
          <w:w w:val="80"/>
          <w:sz w:val="14"/>
        </w:rPr>
        <w:t>and</w:t>
      </w:r>
      <w:r>
        <w:rPr>
          <w:rFonts w:ascii="Arial"/>
          <w:color w:val="231F20"/>
          <w:spacing w:val="3"/>
          <w:sz w:val="14"/>
        </w:rPr>
        <w:t> </w:t>
      </w:r>
      <w:r>
        <w:rPr>
          <w:rFonts w:ascii="Arial"/>
          <w:color w:val="231F20"/>
          <w:w w:val="80"/>
          <w:sz w:val="14"/>
        </w:rPr>
        <w:t>M.</w:t>
      </w:r>
      <w:r>
        <w:rPr>
          <w:rFonts w:ascii="Arial"/>
          <w:color w:val="231F20"/>
          <w:spacing w:val="3"/>
          <w:sz w:val="14"/>
        </w:rPr>
        <w:t> </w:t>
      </w:r>
      <w:r>
        <w:rPr>
          <w:rFonts w:ascii="Arial"/>
          <w:color w:val="231F20"/>
          <w:spacing w:val="-2"/>
          <w:w w:val="80"/>
          <w:sz w:val="14"/>
        </w:rPr>
        <w:t>Suryanegara.</w:t>
      </w:r>
    </w:p>
    <w:p>
      <w:pPr>
        <w:spacing w:line="297" w:lineRule="auto" w:before="39"/>
        <w:ind w:left="3600" w:right="0" w:firstLine="0"/>
        <w:jc w:val="left"/>
        <w:rPr>
          <w:rFonts w:ascii="Arial" w:hAnsi="Arial"/>
          <w:sz w:val="14"/>
        </w:rPr>
      </w:pPr>
      <w:r>
        <w:rPr>
          <w:rFonts w:ascii="Arial" w:hAnsi="Arial"/>
          <w:color w:val="231F20"/>
          <w:w w:val="80"/>
          <w:sz w:val="14"/>
        </w:rPr>
        <w:t>2021.</w:t>
      </w:r>
      <w:r>
        <w:rPr>
          <w:rFonts w:ascii="Arial" w:hAnsi="Arial"/>
          <w:color w:val="231F20"/>
          <w:spacing w:val="-4"/>
          <w:w w:val="80"/>
          <w:sz w:val="14"/>
        </w:rPr>
        <w:t> </w:t>
      </w:r>
      <w:r>
        <w:rPr>
          <w:rFonts w:ascii="Arial" w:hAnsi="Arial"/>
          <w:color w:val="231F20"/>
          <w:w w:val="80"/>
          <w:sz w:val="14"/>
        </w:rPr>
        <w:t>“Drivers</w:t>
      </w:r>
      <w:r>
        <w:rPr>
          <w:rFonts w:ascii="Arial" w:hAnsi="Arial"/>
          <w:color w:val="231F20"/>
          <w:spacing w:val="-2"/>
          <w:w w:val="8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2"/>
          <w:w w:val="80"/>
          <w:sz w:val="14"/>
        </w:rPr>
        <w:t> </w:t>
      </w:r>
      <w:r>
        <w:rPr>
          <w:rFonts w:ascii="Arial" w:hAnsi="Arial"/>
          <w:color w:val="231F20"/>
          <w:w w:val="80"/>
          <w:sz w:val="14"/>
        </w:rPr>
        <w:t>Barriers</w:t>
      </w:r>
      <w:r>
        <w:rPr>
          <w:rFonts w:ascii="Arial" w:hAnsi="Arial"/>
          <w:color w:val="231F20"/>
          <w:spacing w:val="-1"/>
          <w:w w:val="80"/>
          <w:sz w:val="14"/>
        </w:rPr>
        <w:t> </w:t>
      </w:r>
      <w:r>
        <w:rPr>
          <w:rFonts w:ascii="Arial" w:hAnsi="Arial"/>
          <w:color w:val="231F20"/>
          <w:w w:val="80"/>
          <w:sz w:val="14"/>
        </w:rPr>
        <w:t>to</w:t>
      </w:r>
      <w:r>
        <w:rPr>
          <w:rFonts w:ascii="Arial" w:hAnsi="Arial"/>
          <w:color w:val="231F20"/>
          <w:spacing w:val="-2"/>
          <w:w w:val="80"/>
          <w:sz w:val="14"/>
        </w:rPr>
        <w:t> </w:t>
      </w:r>
      <w:r>
        <w:rPr>
          <w:rFonts w:ascii="Arial" w:hAnsi="Arial"/>
          <w:color w:val="231F20"/>
          <w:w w:val="80"/>
          <w:sz w:val="14"/>
        </w:rPr>
        <w:t>E-Commerce</w:t>
      </w:r>
      <w:r>
        <w:rPr>
          <w:rFonts w:ascii="Arial" w:hAnsi="Arial"/>
          <w:color w:val="231F20"/>
          <w:spacing w:val="-4"/>
          <w:w w:val="80"/>
          <w:sz w:val="14"/>
        </w:rPr>
        <w:t> </w:t>
      </w:r>
      <w:r>
        <w:rPr>
          <w:rFonts w:ascii="Arial" w:hAnsi="Arial"/>
          <w:color w:val="231F20"/>
          <w:w w:val="80"/>
          <w:sz w:val="14"/>
        </w:rPr>
        <w:t>Adoption</w:t>
      </w:r>
      <w:r>
        <w:rPr>
          <w:rFonts w:ascii="Arial" w:hAnsi="Arial"/>
          <w:color w:val="231F20"/>
          <w:spacing w:val="-2"/>
          <w:w w:val="80"/>
          <w:sz w:val="14"/>
        </w:rPr>
        <w:t> </w:t>
      </w:r>
      <w:r>
        <w:rPr>
          <w:rFonts w:ascii="Arial" w:hAnsi="Arial"/>
          <w:color w:val="231F20"/>
          <w:w w:val="80"/>
          <w:sz w:val="14"/>
        </w:rPr>
        <w:t>in</w:t>
      </w:r>
      <w:r>
        <w:rPr>
          <w:rFonts w:ascii="Arial" w:hAnsi="Arial"/>
          <w:color w:val="231F20"/>
          <w:spacing w:val="-2"/>
          <w:w w:val="80"/>
          <w:sz w:val="14"/>
        </w:rPr>
        <w:t> </w:t>
      </w:r>
      <w:r>
        <w:rPr>
          <w:rFonts w:ascii="Arial" w:hAnsi="Arial"/>
          <w:color w:val="231F20"/>
          <w:w w:val="80"/>
          <w:sz w:val="14"/>
        </w:rPr>
        <w:t>Indonesia:</w:t>
      </w:r>
      <w:r>
        <w:rPr>
          <w:rFonts w:ascii="Arial" w:hAnsi="Arial"/>
          <w:color w:val="231F20"/>
          <w:spacing w:val="40"/>
          <w:sz w:val="14"/>
        </w:rPr>
        <w:t> </w:t>
      </w:r>
      <w:r>
        <w:rPr>
          <w:rFonts w:ascii="Arial" w:hAnsi="Arial"/>
          <w:color w:val="231F20"/>
          <w:w w:val="80"/>
          <w:sz w:val="14"/>
        </w:rPr>
        <w:t>Individuals’ Perspectives and the Implications.”</w:t>
      </w:r>
      <w:r>
        <w:rPr>
          <w:rFonts w:ascii="Arial" w:hAnsi="Arial"/>
          <w:color w:val="231F20"/>
          <w:spacing w:val="-4"/>
          <w:w w:val="80"/>
          <w:sz w:val="14"/>
        </w:rPr>
        <w:t> </w:t>
      </w:r>
      <w:r>
        <w:rPr>
          <w:rFonts w:ascii="Arial" w:hAnsi="Arial"/>
          <w:i/>
          <w:color w:val="231F20"/>
          <w:w w:val="80"/>
          <w:sz w:val="14"/>
        </w:rPr>
        <w:t>Telecommunications</w:t>
      </w:r>
      <w:r>
        <w:rPr>
          <w:rFonts w:ascii="Arial" w:hAnsi="Arial"/>
          <w:i/>
          <w:color w:val="231F20"/>
          <w:spacing w:val="40"/>
          <w:sz w:val="14"/>
        </w:rPr>
        <w:t> </w:t>
      </w:r>
      <w:r>
        <w:rPr>
          <w:rFonts w:ascii="Arial" w:hAnsi="Arial"/>
          <w:i/>
          <w:color w:val="231F20"/>
          <w:w w:val="90"/>
          <w:sz w:val="14"/>
        </w:rPr>
        <w:t>Policy </w:t>
      </w:r>
      <w:r>
        <w:rPr>
          <w:rFonts w:ascii="Arial" w:hAnsi="Arial"/>
          <w:color w:val="231F20"/>
          <w:w w:val="90"/>
          <w:sz w:val="14"/>
        </w:rPr>
        <w:t>45 (8):</w:t>
      </w:r>
      <w:r>
        <w:rPr>
          <w:rFonts w:ascii="Arial" w:hAnsi="Arial"/>
          <w:color w:val="231F20"/>
          <w:spacing w:val="-1"/>
          <w:w w:val="90"/>
          <w:sz w:val="14"/>
        </w:rPr>
        <w:t> </w:t>
      </w:r>
      <w:r>
        <w:rPr>
          <w:rFonts w:ascii="Arial" w:hAnsi="Arial"/>
          <w:color w:val="231F20"/>
          <w:w w:val="90"/>
          <w:sz w:val="14"/>
        </w:rPr>
        <w:t>102219.</w:t>
      </w:r>
    </w:p>
    <w:p>
      <w:pPr>
        <w:spacing w:before="1"/>
        <w:ind w:left="3360" w:right="0" w:firstLine="0"/>
        <w:jc w:val="left"/>
        <w:rPr>
          <w:rFonts w:ascii="Arial" w:hAnsi="Arial"/>
          <w:sz w:val="14"/>
        </w:rPr>
      </w:pPr>
      <w:r>
        <w:rPr>
          <w:rFonts w:ascii="Arial" w:hAnsi="Arial"/>
          <w:color w:val="231F20"/>
          <w:w w:val="75"/>
          <w:sz w:val="14"/>
        </w:rPr>
        <w:t>Atalan,</w:t>
      </w:r>
      <w:r>
        <w:rPr>
          <w:rFonts w:ascii="Arial" w:hAnsi="Arial"/>
          <w:color w:val="231F20"/>
          <w:spacing w:val="-10"/>
          <w:sz w:val="14"/>
        </w:rPr>
        <w:t> </w:t>
      </w:r>
      <w:r>
        <w:rPr>
          <w:rFonts w:ascii="Arial" w:hAnsi="Arial"/>
          <w:color w:val="231F20"/>
          <w:w w:val="75"/>
          <w:sz w:val="14"/>
        </w:rPr>
        <w:t>A.</w:t>
      </w:r>
      <w:r>
        <w:rPr>
          <w:rFonts w:ascii="Arial" w:hAnsi="Arial"/>
          <w:color w:val="231F20"/>
          <w:spacing w:val="7"/>
          <w:sz w:val="14"/>
        </w:rPr>
        <w:t> </w:t>
      </w:r>
      <w:r>
        <w:rPr>
          <w:rFonts w:ascii="Arial" w:hAnsi="Arial"/>
          <w:color w:val="231F20"/>
          <w:w w:val="75"/>
          <w:sz w:val="14"/>
        </w:rPr>
        <w:t>2020.</w:t>
      </w:r>
      <w:r>
        <w:rPr>
          <w:rFonts w:ascii="Arial" w:hAnsi="Arial"/>
          <w:color w:val="231F20"/>
          <w:sz w:val="14"/>
        </w:rPr>
        <w:t> </w:t>
      </w:r>
      <w:r>
        <w:rPr>
          <w:rFonts w:ascii="Arial" w:hAnsi="Arial"/>
          <w:color w:val="231F20"/>
          <w:w w:val="75"/>
          <w:sz w:val="14"/>
        </w:rPr>
        <w:t>“Logistics</w:t>
      </w:r>
      <w:r>
        <w:rPr>
          <w:rFonts w:ascii="Arial" w:hAnsi="Arial"/>
          <w:color w:val="231F20"/>
          <w:spacing w:val="6"/>
          <w:sz w:val="14"/>
        </w:rPr>
        <w:t> </w:t>
      </w:r>
      <w:r>
        <w:rPr>
          <w:rFonts w:ascii="Arial" w:hAnsi="Arial"/>
          <w:color w:val="231F20"/>
          <w:w w:val="75"/>
          <w:sz w:val="14"/>
        </w:rPr>
        <w:t>Performance</w:t>
      </w:r>
      <w:r>
        <w:rPr>
          <w:rFonts w:ascii="Arial" w:hAnsi="Arial"/>
          <w:color w:val="231F20"/>
          <w:spacing w:val="7"/>
          <w:sz w:val="14"/>
        </w:rPr>
        <w:t> </w:t>
      </w:r>
      <w:r>
        <w:rPr>
          <w:rFonts w:ascii="Arial" w:hAnsi="Arial"/>
          <w:color w:val="231F20"/>
          <w:w w:val="75"/>
          <w:sz w:val="14"/>
        </w:rPr>
        <w:t>Index</w:t>
      </w:r>
      <w:r>
        <w:rPr>
          <w:rFonts w:ascii="Arial" w:hAnsi="Arial"/>
          <w:color w:val="231F20"/>
          <w:spacing w:val="6"/>
          <w:sz w:val="14"/>
        </w:rPr>
        <w:t> </w:t>
      </w:r>
      <w:r>
        <w:rPr>
          <w:rFonts w:ascii="Arial" w:hAnsi="Arial"/>
          <w:color w:val="231F20"/>
          <w:w w:val="75"/>
          <w:sz w:val="14"/>
        </w:rPr>
        <w:t>of</w:t>
      </w:r>
      <w:r>
        <w:rPr>
          <w:rFonts w:ascii="Arial" w:hAnsi="Arial"/>
          <w:color w:val="231F20"/>
          <w:spacing w:val="7"/>
          <w:sz w:val="14"/>
        </w:rPr>
        <w:t> </w:t>
      </w:r>
      <w:r>
        <w:rPr>
          <w:rFonts w:ascii="Arial" w:hAnsi="Arial"/>
          <w:color w:val="231F20"/>
          <w:w w:val="75"/>
          <w:sz w:val="14"/>
        </w:rPr>
        <w:t>OECD</w:t>
      </w:r>
      <w:r>
        <w:rPr>
          <w:rFonts w:ascii="Arial" w:hAnsi="Arial"/>
          <w:color w:val="231F20"/>
          <w:spacing w:val="7"/>
          <w:sz w:val="14"/>
        </w:rPr>
        <w:t> </w:t>
      </w:r>
      <w:r>
        <w:rPr>
          <w:rFonts w:ascii="Arial" w:hAnsi="Arial"/>
          <w:color w:val="231F20"/>
          <w:spacing w:val="-2"/>
          <w:w w:val="75"/>
          <w:sz w:val="14"/>
        </w:rPr>
        <w:t>Members.”</w:t>
      </w:r>
    </w:p>
    <w:p>
      <w:pPr>
        <w:spacing w:before="39"/>
        <w:ind w:left="3600" w:right="0" w:firstLine="0"/>
        <w:jc w:val="left"/>
        <w:rPr>
          <w:rFonts w:ascii="Arial" w:hAnsi="Arial"/>
          <w:sz w:val="14"/>
        </w:rPr>
      </w:pPr>
      <w:r>
        <w:rPr>
          <w:rFonts w:ascii="Arial" w:hAnsi="Arial"/>
          <w:i/>
          <w:color w:val="231F20"/>
          <w:w w:val="75"/>
          <w:sz w:val="14"/>
        </w:rPr>
        <w:t>Akademik</w:t>
      </w:r>
      <w:r>
        <w:rPr>
          <w:rFonts w:ascii="Arial" w:hAnsi="Arial"/>
          <w:i/>
          <w:color w:val="231F20"/>
          <w:spacing w:val="-9"/>
          <w:sz w:val="14"/>
        </w:rPr>
        <w:t> </w:t>
      </w:r>
      <w:r>
        <w:rPr>
          <w:rFonts w:ascii="Arial" w:hAnsi="Arial"/>
          <w:i/>
          <w:color w:val="231F20"/>
          <w:w w:val="75"/>
          <w:sz w:val="14"/>
        </w:rPr>
        <w:t>Arastırmalar</w:t>
      </w:r>
      <w:r>
        <w:rPr>
          <w:rFonts w:ascii="Arial" w:hAnsi="Arial"/>
          <w:i/>
          <w:color w:val="231F20"/>
          <w:spacing w:val="-1"/>
          <w:sz w:val="14"/>
        </w:rPr>
        <w:t> </w:t>
      </w:r>
      <w:r>
        <w:rPr>
          <w:rFonts w:ascii="Arial" w:hAnsi="Arial"/>
          <w:i/>
          <w:color w:val="231F20"/>
          <w:w w:val="75"/>
          <w:sz w:val="14"/>
        </w:rPr>
        <w:t>ve</w:t>
      </w:r>
      <w:r>
        <w:rPr>
          <w:rFonts w:ascii="Arial" w:hAnsi="Arial"/>
          <w:i/>
          <w:color w:val="231F20"/>
          <w:spacing w:val="-1"/>
          <w:sz w:val="14"/>
        </w:rPr>
        <w:t> </w:t>
      </w:r>
      <w:r>
        <w:rPr>
          <w:rFonts w:ascii="Arial" w:hAnsi="Arial"/>
          <w:i/>
          <w:color w:val="231F20"/>
          <w:w w:val="75"/>
          <w:sz w:val="14"/>
        </w:rPr>
        <w:t>Çalısmalar</w:t>
      </w:r>
      <w:r>
        <w:rPr>
          <w:rFonts w:ascii="Arial" w:hAnsi="Arial"/>
          <w:i/>
          <w:color w:val="231F20"/>
          <w:spacing w:val="-1"/>
          <w:sz w:val="14"/>
        </w:rPr>
        <w:t> </w:t>
      </w:r>
      <w:r>
        <w:rPr>
          <w:rFonts w:ascii="Arial" w:hAnsi="Arial"/>
          <w:i/>
          <w:color w:val="231F20"/>
          <w:w w:val="75"/>
          <w:sz w:val="14"/>
        </w:rPr>
        <w:t>Dergisi</w:t>
      </w:r>
      <w:r>
        <w:rPr>
          <w:rFonts w:ascii="Arial" w:hAnsi="Arial"/>
          <w:i/>
          <w:color w:val="231F20"/>
          <w:spacing w:val="-1"/>
          <w:sz w:val="14"/>
        </w:rPr>
        <w:t> </w:t>
      </w:r>
      <w:r>
        <w:rPr>
          <w:rFonts w:ascii="Arial" w:hAnsi="Arial"/>
          <w:i/>
          <w:color w:val="231F20"/>
          <w:w w:val="75"/>
          <w:sz w:val="14"/>
        </w:rPr>
        <w:t>(AKAD)</w:t>
      </w:r>
      <w:r>
        <w:rPr>
          <w:rFonts w:ascii="Arial" w:hAnsi="Arial"/>
          <w:i/>
          <w:color w:val="231F20"/>
          <w:spacing w:val="-3"/>
          <w:sz w:val="14"/>
        </w:rPr>
        <w:t> </w:t>
      </w:r>
      <w:r>
        <w:rPr>
          <w:rFonts w:ascii="Arial" w:hAnsi="Arial"/>
          <w:color w:val="231F20"/>
          <w:w w:val="75"/>
          <w:sz w:val="14"/>
        </w:rPr>
        <w:t>12</w:t>
      </w:r>
      <w:r>
        <w:rPr>
          <w:rFonts w:ascii="Arial" w:hAnsi="Arial"/>
          <w:color w:val="231F20"/>
          <w:spacing w:val="-1"/>
          <w:sz w:val="14"/>
        </w:rPr>
        <w:t> </w:t>
      </w:r>
      <w:r>
        <w:rPr>
          <w:rFonts w:ascii="Arial" w:hAnsi="Arial"/>
          <w:color w:val="231F20"/>
          <w:w w:val="75"/>
          <w:sz w:val="14"/>
        </w:rPr>
        <w:t>(23):</w:t>
      </w:r>
      <w:r>
        <w:rPr>
          <w:rFonts w:ascii="Arial" w:hAnsi="Arial"/>
          <w:color w:val="231F20"/>
          <w:spacing w:val="-8"/>
          <w:sz w:val="14"/>
        </w:rPr>
        <w:t> </w:t>
      </w:r>
      <w:r>
        <w:rPr>
          <w:rFonts w:ascii="Arial" w:hAnsi="Arial"/>
          <w:color w:val="231F20"/>
          <w:spacing w:val="-2"/>
          <w:w w:val="75"/>
          <w:sz w:val="14"/>
        </w:rPr>
        <w:t>608–619.</w:t>
      </w:r>
    </w:p>
    <w:p>
      <w:pPr>
        <w:spacing w:line="297" w:lineRule="auto" w:before="39"/>
        <w:ind w:left="3600" w:right="88" w:hanging="240"/>
        <w:jc w:val="left"/>
        <w:rPr>
          <w:rFonts w:ascii="Arial" w:hAnsi="Arial"/>
          <w:sz w:val="14"/>
        </w:rPr>
      </w:pPr>
      <w:r>
        <w:rPr>
          <w:rFonts w:ascii="Arial" w:hAnsi="Arial"/>
          <w:color w:val="231F20"/>
          <w:w w:val="80"/>
          <w:sz w:val="14"/>
        </w:rPr>
        <w:t>Atayah, O. F., M. M. Dhiaf, K. Najaf, and G. F. Frederico. 2022. “Impact</w:t>
      </w:r>
      <w:r>
        <w:rPr>
          <w:rFonts w:ascii="Arial" w:hAnsi="Arial"/>
          <w:color w:val="231F20"/>
          <w:spacing w:val="4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COVID-19</w:t>
      </w:r>
      <w:r>
        <w:rPr>
          <w:rFonts w:ascii="Arial" w:hAnsi="Arial"/>
          <w:color w:val="231F20"/>
          <w:spacing w:val="-2"/>
          <w:w w:val="80"/>
          <w:sz w:val="14"/>
        </w:rPr>
        <w:t> </w:t>
      </w:r>
      <w:r>
        <w:rPr>
          <w:rFonts w:ascii="Arial" w:hAnsi="Arial"/>
          <w:color w:val="231F20"/>
          <w:w w:val="80"/>
          <w:sz w:val="14"/>
        </w:rPr>
        <w:t>on</w:t>
      </w:r>
      <w:r>
        <w:rPr>
          <w:rFonts w:ascii="Arial" w:hAnsi="Arial"/>
          <w:color w:val="231F20"/>
          <w:spacing w:val="-2"/>
          <w:w w:val="80"/>
          <w:sz w:val="14"/>
        </w:rPr>
        <w:t> </w:t>
      </w:r>
      <w:r>
        <w:rPr>
          <w:rFonts w:ascii="Arial" w:hAnsi="Arial"/>
          <w:color w:val="231F20"/>
          <w:w w:val="80"/>
          <w:sz w:val="14"/>
        </w:rPr>
        <w:t>Financial</w:t>
      </w:r>
      <w:r>
        <w:rPr>
          <w:rFonts w:ascii="Arial" w:hAnsi="Arial"/>
          <w:color w:val="231F20"/>
          <w:spacing w:val="-2"/>
          <w:w w:val="80"/>
          <w:sz w:val="14"/>
        </w:rPr>
        <w:t> </w:t>
      </w:r>
      <w:r>
        <w:rPr>
          <w:rFonts w:ascii="Arial" w:hAnsi="Arial"/>
          <w:color w:val="231F20"/>
          <w:w w:val="80"/>
          <w:sz w:val="14"/>
        </w:rPr>
        <w:t>Performance</w:t>
      </w:r>
      <w:r>
        <w:rPr>
          <w:rFonts w:ascii="Arial" w:hAnsi="Arial"/>
          <w:color w:val="231F20"/>
          <w:spacing w:val="-2"/>
          <w:w w:val="8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Logistics</w:t>
      </w:r>
      <w:r>
        <w:rPr>
          <w:rFonts w:ascii="Arial" w:hAnsi="Arial"/>
          <w:color w:val="231F20"/>
          <w:spacing w:val="-1"/>
          <w:w w:val="80"/>
          <w:sz w:val="14"/>
        </w:rPr>
        <w:t> </w:t>
      </w:r>
      <w:r>
        <w:rPr>
          <w:rFonts w:ascii="Arial" w:hAnsi="Arial"/>
          <w:color w:val="231F20"/>
          <w:w w:val="80"/>
          <w:sz w:val="14"/>
        </w:rPr>
        <w:t>Firms:</w:t>
      </w:r>
      <w:r>
        <w:rPr>
          <w:rFonts w:ascii="Arial" w:hAnsi="Arial"/>
          <w:color w:val="231F20"/>
          <w:spacing w:val="-4"/>
          <w:w w:val="80"/>
          <w:sz w:val="14"/>
        </w:rPr>
        <w:t> </w:t>
      </w:r>
      <w:r>
        <w:rPr>
          <w:rFonts w:ascii="Arial" w:hAnsi="Arial"/>
          <w:color w:val="231F20"/>
          <w:w w:val="80"/>
          <w:sz w:val="14"/>
        </w:rPr>
        <w:t>Evidence</w:t>
      </w:r>
      <w:r>
        <w:rPr>
          <w:rFonts w:ascii="Arial" w:hAnsi="Arial"/>
          <w:color w:val="231F20"/>
          <w:spacing w:val="40"/>
          <w:sz w:val="14"/>
        </w:rPr>
        <w:t> </w:t>
      </w:r>
      <w:r>
        <w:rPr>
          <w:rFonts w:ascii="Arial" w:hAnsi="Arial"/>
          <w:color w:val="231F20"/>
          <w:w w:val="80"/>
          <w:sz w:val="14"/>
        </w:rPr>
        <w:t>from G-20 Countries.” </w:t>
      </w:r>
      <w:r>
        <w:rPr>
          <w:rFonts w:ascii="Arial" w:hAnsi="Arial"/>
          <w:i/>
          <w:color w:val="231F20"/>
          <w:w w:val="80"/>
          <w:sz w:val="14"/>
        </w:rPr>
        <w:t>Journal of Global Operations and Strategic</w:t>
      </w:r>
      <w:r>
        <w:rPr>
          <w:rFonts w:ascii="Arial" w:hAnsi="Arial"/>
          <w:i/>
          <w:color w:val="231F20"/>
          <w:spacing w:val="40"/>
          <w:sz w:val="14"/>
        </w:rPr>
        <w:t> </w:t>
      </w:r>
      <w:r>
        <w:rPr>
          <w:rFonts w:ascii="Arial" w:hAnsi="Arial"/>
          <w:i/>
          <w:color w:val="231F20"/>
          <w:w w:val="90"/>
          <w:sz w:val="14"/>
        </w:rPr>
        <w:t>Sourcing </w:t>
      </w:r>
      <w:r>
        <w:rPr>
          <w:rFonts w:ascii="Arial" w:hAnsi="Arial"/>
          <w:color w:val="231F20"/>
          <w:w w:val="90"/>
          <w:sz w:val="14"/>
        </w:rPr>
        <w:t>15 (2):</w:t>
      </w:r>
      <w:r>
        <w:rPr>
          <w:rFonts w:ascii="Arial" w:hAnsi="Arial"/>
          <w:color w:val="231F20"/>
          <w:spacing w:val="-5"/>
          <w:w w:val="90"/>
          <w:sz w:val="14"/>
        </w:rPr>
        <w:t> </w:t>
      </w:r>
      <w:r>
        <w:rPr>
          <w:rFonts w:ascii="Arial" w:hAnsi="Arial"/>
          <w:color w:val="231F20"/>
          <w:w w:val="90"/>
          <w:sz w:val="14"/>
        </w:rPr>
        <w:t>172–196.</w:t>
      </w:r>
    </w:p>
    <w:p>
      <w:pPr>
        <w:spacing w:line="297" w:lineRule="auto" w:before="1"/>
        <w:ind w:left="3600" w:right="0" w:hanging="240"/>
        <w:jc w:val="left"/>
        <w:rPr>
          <w:rFonts w:ascii="Arial" w:hAnsi="Arial"/>
          <w:sz w:val="14"/>
        </w:rPr>
      </w:pPr>
      <w:r>
        <w:rPr>
          <w:rFonts w:ascii="Arial" w:hAnsi="Arial"/>
          <w:color w:val="231F20"/>
          <w:spacing w:val="-2"/>
          <w:w w:val="85"/>
          <w:sz w:val="14"/>
        </w:rPr>
        <w:t>Awaworyi</w:t>
      </w:r>
      <w:r>
        <w:rPr>
          <w:rFonts w:ascii="Arial" w:hAnsi="Arial"/>
          <w:color w:val="231F20"/>
          <w:spacing w:val="-1"/>
          <w:sz w:val="14"/>
        </w:rPr>
        <w:t> </w:t>
      </w:r>
      <w:r>
        <w:rPr>
          <w:rFonts w:ascii="Arial" w:hAnsi="Arial"/>
          <w:color w:val="231F20"/>
          <w:spacing w:val="-2"/>
          <w:w w:val="85"/>
          <w:sz w:val="14"/>
        </w:rPr>
        <w:t>Churchill, S., K. T.</w:t>
      </w:r>
      <w:r>
        <w:rPr>
          <w:rFonts w:ascii="Arial" w:hAnsi="Arial"/>
          <w:color w:val="231F20"/>
          <w:spacing w:val="-1"/>
          <w:sz w:val="14"/>
        </w:rPr>
        <w:t> </w:t>
      </w:r>
      <w:r>
        <w:rPr>
          <w:rFonts w:ascii="Arial" w:hAnsi="Arial"/>
          <w:color w:val="231F20"/>
          <w:spacing w:val="-2"/>
          <w:w w:val="85"/>
          <w:sz w:val="14"/>
        </w:rPr>
        <w:t>Baako, K.</w:t>
      </w:r>
      <w:r>
        <w:rPr>
          <w:rFonts w:ascii="Arial" w:hAnsi="Arial"/>
          <w:color w:val="231F20"/>
          <w:spacing w:val="-1"/>
          <w:sz w:val="14"/>
        </w:rPr>
        <w:t> </w:t>
      </w:r>
      <w:r>
        <w:rPr>
          <w:rFonts w:ascii="Arial" w:hAnsi="Arial"/>
          <w:color w:val="231F20"/>
          <w:spacing w:val="-2"/>
          <w:w w:val="85"/>
          <w:sz w:val="14"/>
        </w:rPr>
        <w:t>Mintah, and</w:t>
      </w:r>
      <w:r>
        <w:rPr>
          <w:rFonts w:ascii="Arial" w:hAnsi="Arial"/>
          <w:color w:val="231F20"/>
          <w:spacing w:val="-1"/>
          <w:sz w:val="14"/>
        </w:rPr>
        <w:t> </w:t>
      </w:r>
      <w:r>
        <w:rPr>
          <w:rFonts w:ascii="Arial" w:hAnsi="Arial"/>
          <w:color w:val="231F20"/>
          <w:spacing w:val="-2"/>
          <w:w w:val="85"/>
          <w:sz w:val="14"/>
        </w:rPr>
        <w:t>Q.</w:t>
      </w:r>
      <w:r>
        <w:rPr>
          <w:rFonts w:ascii="Arial" w:hAnsi="Arial"/>
          <w:color w:val="231F20"/>
          <w:spacing w:val="-1"/>
          <w:sz w:val="14"/>
        </w:rPr>
        <w:t> </w:t>
      </w:r>
      <w:r>
        <w:rPr>
          <w:rFonts w:ascii="Arial" w:hAnsi="Arial"/>
          <w:color w:val="231F20"/>
          <w:spacing w:val="-2"/>
          <w:w w:val="85"/>
          <w:sz w:val="14"/>
        </w:rPr>
        <w:t>Zhang.</w:t>
      </w:r>
      <w:r>
        <w:rPr>
          <w:rFonts w:ascii="Arial" w:hAnsi="Arial"/>
          <w:color w:val="231F20"/>
          <w:spacing w:val="-1"/>
          <w:sz w:val="14"/>
        </w:rPr>
        <w:t> </w:t>
      </w:r>
      <w:r>
        <w:rPr>
          <w:rFonts w:ascii="Arial" w:hAnsi="Arial"/>
          <w:color w:val="231F20"/>
          <w:spacing w:val="-2"/>
          <w:w w:val="85"/>
          <w:sz w:val="14"/>
        </w:rPr>
        <w:t>2021.</w:t>
      </w:r>
      <w:r>
        <w:rPr>
          <w:rFonts w:ascii="Arial" w:hAnsi="Arial"/>
          <w:color w:val="231F20"/>
          <w:spacing w:val="40"/>
          <w:sz w:val="14"/>
        </w:rPr>
        <w:t> </w:t>
      </w:r>
      <w:r>
        <w:rPr>
          <w:rFonts w:ascii="Arial" w:hAnsi="Arial"/>
          <w:color w:val="231F20"/>
          <w:w w:val="80"/>
          <w:sz w:val="14"/>
        </w:rPr>
        <w:t>“Transport Infrastructure and House Prices in the Long Run.”</w:t>
      </w:r>
      <w:r>
        <w:rPr>
          <w:rFonts w:ascii="Arial" w:hAnsi="Arial"/>
          <w:color w:val="231F20"/>
          <w:spacing w:val="40"/>
          <w:sz w:val="14"/>
        </w:rPr>
        <w:t> </w:t>
      </w:r>
      <w:r>
        <w:rPr>
          <w:rFonts w:ascii="Arial" w:hAnsi="Arial"/>
          <w:i/>
          <w:color w:val="231F20"/>
          <w:w w:val="90"/>
          <w:sz w:val="14"/>
        </w:rPr>
        <w:t>Transport</w:t>
      </w:r>
      <w:r>
        <w:rPr>
          <w:rFonts w:ascii="Arial" w:hAnsi="Arial"/>
          <w:i/>
          <w:color w:val="231F20"/>
          <w:spacing w:val="-6"/>
          <w:w w:val="90"/>
          <w:sz w:val="14"/>
        </w:rPr>
        <w:t> </w:t>
      </w:r>
      <w:r>
        <w:rPr>
          <w:rFonts w:ascii="Arial" w:hAnsi="Arial"/>
          <w:i/>
          <w:color w:val="231F20"/>
          <w:w w:val="90"/>
          <w:sz w:val="14"/>
        </w:rPr>
        <w:t>Policy</w:t>
      </w:r>
      <w:r>
        <w:rPr>
          <w:rFonts w:ascii="Arial" w:hAnsi="Arial"/>
          <w:i/>
          <w:color w:val="231F20"/>
          <w:spacing w:val="-6"/>
          <w:w w:val="90"/>
          <w:sz w:val="14"/>
        </w:rPr>
        <w:t> </w:t>
      </w:r>
      <w:r>
        <w:rPr>
          <w:rFonts w:ascii="Arial" w:hAnsi="Arial"/>
          <w:color w:val="231F20"/>
          <w:w w:val="90"/>
          <w:sz w:val="14"/>
        </w:rPr>
        <w:t>112:</w:t>
      </w:r>
      <w:r>
        <w:rPr>
          <w:rFonts w:ascii="Arial" w:hAnsi="Arial"/>
          <w:color w:val="231F20"/>
          <w:spacing w:val="-7"/>
          <w:w w:val="90"/>
          <w:sz w:val="14"/>
        </w:rPr>
        <w:t> </w:t>
      </w:r>
      <w:r>
        <w:rPr>
          <w:rFonts w:ascii="Arial" w:hAnsi="Arial"/>
          <w:color w:val="231F20"/>
          <w:w w:val="90"/>
          <w:sz w:val="14"/>
        </w:rPr>
        <w:t>1–12.</w:t>
      </w:r>
    </w:p>
    <w:p>
      <w:pPr>
        <w:spacing w:line="297" w:lineRule="auto" w:before="1"/>
        <w:ind w:left="3600" w:right="0" w:hanging="240"/>
        <w:jc w:val="left"/>
        <w:rPr>
          <w:rFonts w:ascii="Arial"/>
          <w:sz w:val="14"/>
        </w:rPr>
      </w:pPr>
      <w:r>
        <w:rPr>
          <w:rFonts w:ascii="Arial"/>
          <w:color w:val="231F20"/>
          <w:w w:val="80"/>
          <w:sz w:val="14"/>
        </w:rPr>
        <w:t>Azhari,</w:t>
      </w:r>
      <w:r>
        <w:rPr>
          <w:rFonts w:ascii="Arial"/>
          <w:color w:val="231F20"/>
          <w:spacing w:val="-3"/>
          <w:w w:val="80"/>
          <w:sz w:val="14"/>
        </w:rPr>
        <w:t> </w:t>
      </w:r>
      <w:r>
        <w:rPr>
          <w:rFonts w:ascii="Arial"/>
          <w:color w:val="231F20"/>
          <w:w w:val="80"/>
          <w:sz w:val="14"/>
        </w:rPr>
        <w:t>B.,</w:t>
      </w:r>
      <w:r>
        <w:rPr>
          <w:rFonts w:ascii="Arial"/>
          <w:color w:val="231F20"/>
          <w:spacing w:val="-3"/>
          <w:w w:val="80"/>
          <w:sz w:val="14"/>
        </w:rPr>
        <w:t> </w:t>
      </w:r>
      <w:r>
        <w:rPr>
          <w:rFonts w:ascii="Arial"/>
          <w:color w:val="231F20"/>
          <w:w w:val="80"/>
          <w:sz w:val="14"/>
        </w:rPr>
        <w:t>and</w:t>
      </w:r>
      <w:r>
        <w:rPr>
          <w:rFonts w:ascii="Arial"/>
          <w:color w:val="231F20"/>
          <w:spacing w:val="-3"/>
          <w:w w:val="80"/>
          <w:sz w:val="14"/>
        </w:rPr>
        <w:t> </w:t>
      </w:r>
      <w:r>
        <w:rPr>
          <w:rFonts w:ascii="Arial"/>
          <w:color w:val="231F20"/>
          <w:w w:val="80"/>
          <w:sz w:val="14"/>
        </w:rPr>
        <w:t>T.</w:t>
      </w:r>
      <w:r>
        <w:rPr>
          <w:rFonts w:ascii="Arial"/>
          <w:color w:val="231F20"/>
          <w:spacing w:val="-3"/>
          <w:w w:val="80"/>
          <w:sz w:val="14"/>
        </w:rPr>
        <w:t> </w:t>
      </w:r>
      <w:r>
        <w:rPr>
          <w:rFonts w:ascii="Arial"/>
          <w:color w:val="231F20"/>
          <w:w w:val="80"/>
          <w:sz w:val="14"/>
        </w:rPr>
        <w:t>Taufik. 2021. </w:t>
      </w:r>
      <w:r>
        <w:rPr>
          <w:rFonts w:ascii="Arial"/>
          <w:i/>
          <w:color w:val="231F20"/>
          <w:w w:val="80"/>
          <w:sz w:val="14"/>
        </w:rPr>
        <w:t>Strategy Formulation of Smart Logistics</w:t>
      </w:r>
      <w:r>
        <w:rPr>
          <w:rFonts w:ascii="Arial"/>
          <w:i/>
          <w:color w:val="231F20"/>
          <w:spacing w:val="40"/>
          <w:sz w:val="14"/>
        </w:rPr>
        <w:t> </w:t>
      </w:r>
      <w:r>
        <w:rPr>
          <w:rFonts w:ascii="Arial"/>
          <w:i/>
          <w:color w:val="231F20"/>
          <w:w w:val="75"/>
          <w:sz w:val="14"/>
        </w:rPr>
        <w:t>Development</w:t>
      </w:r>
      <w:r>
        <w:rPr>
          <w:rFonts w:ascii="Arial"/>
          <w:i/>
          <w:color w:val="231F20"/>
          <w:sz w:val="14"/>
        </w:rPr>
        <w:t> </w:t>
      </w:r>
      <w:r>
        <w:rPr>
          <w:rFonts w:ascii="Arial"/>
          <w:i/>
          <w:color w:val="231F20"/>
          <w:w w:val="75"/>
          <w:sz w:val="14"/>
        </w:rPr>
        <w:t>in</w:t>
      </w:r>
      <w:r>
        <w:rPr>
          <w:rFonts w:ascii="Arial"/>
          <w:i/>
          <w:color w:val="231F20"/>
          <w:sz w:val="14"/>
        </w:rPr>
        <w:t> </w:t>
      </w:r>
      <w:r>
        <w:rPr>
          <w:rFonts w:ascii="Arial"/>
          <w:i/>
          <w:color w:val="231F20"/>
          <w:w w:val="75"/>
          <w:sz w:val="14"/>
        </w:rPr>
        <w:t>a</w:t>
      </w:r>
      <w:r>
        <w:rPr>
          <w:rFonts w:ascii="Arial"/>
          <w:i/>
          <w:color w:val="231F20"/>
          <w:sz w:val="14"/>
        </w:rPr>
        <w:t> </w:t>
      </w:r>
      <w:r>
        <w:rPr>
          <w:rFonts w:ascii="Arial"/>
          <w:i/>
          <w:color w:val="231F20"/>
          <w:w w:val="75"/>
          <w:sz w:val="14"/>
        </w:rPr>
        <w:t>National</w:t>
      </w:r>
      <w:r>
        <w:rPr>
          <w:rFonts w:ascii="Arial"/>
          <w:i/>
          <w:color w:val="231F20"/>
          <w:sz w:val="14"/>
        </w:rPr>
        <w:t> </w:t>
      </w:r>
      <w:r>
        <w:rPr>
          <w:rFonts w:ascii="Arial"/>
          <w:i/>
          <w:color w:val="231F20"/>
          <w:w w:val="75"/>
          <w:sz w:val="14"/>
        </w:rPr>
        <w:t>Logistics</w:t>
      </w:r>
      <w:r>
        <w:rPr>
          <w:rFonts w:ascii="Arial"/>
          <w:i/>
          <w:color w:val="231F20"/>
          <w:sz w:val="14"/>
        </w:rPr>
        <w:t> </w:t>
      </w:r>
      <w:r>
        <w:rPr>
          <w:rFonts w:ascii="Arial"/>
          <w:i/>
          <w:color w:val="231F20"/>
          <w:w w:val="75"/>
          <w:sz w:val="14"/>
        </w:rPr>
        <w:t>Company. </w:t>
      </w:r>
      <w:r>
        <w:rPr>
          <w:rFonts w:ascii="Arial"/>
          <w:color w:val="231F20"/>
          <w:w w:val="75"/>
          <w:sz w:val="14"/>
        </w:rPr>
        <w:t>The</w:t>
      </w:r>
      <w:r>
        <w:rPr>
          <w:rFonts w:ascii="Arial"/>
          <w:color w:val="231F20"/>
          <w:sz w:val="14"/>
        </w:rPr>
        <w:t> </w:t>
      </w:r>
      <w:r>
        <w:rPr>
          <w:rFonts w:ascii="Arial"/>
          <w:color w:val="231F20"/>
          <w:w w:val="75"/>
          <w:sz w:val="14"/>
        </w:rPr>
        <w:t>3rd</w:t>
      </w:r>
      <w:r>
        <w:rPr>
          <w:rFonts w:ascii="Arial"/>
          <w:color w:val="231F20"/>
          <w:sz w:val="14"/>
        </w:rPr>
        <w:t> </w:t>
      </w:r>
      <w:r>
        <w:rPr>
          <w:rFonts w:ascii="Arial"/>
          <w:color w:val="231F20"/>
          <w:w w:val="75"/>
          <w:sz w:val="14"/>
        </w:rPr>
        <w:t>International</w:t>
      </w:r>
      <w:r>
        <w:rPr>
          <w:rFonts w:ascii="Arial"/>
          <w:color w:val="231F20"/>
          <w:spacing w:val="40"/>
          <w:sz w:val="14"/>
        </w:rPr>
        <w:t> </w:t>
      </w:r>
      <w:r>
        <w:rPr>
          <w:rFonts w:ascii="Arial"/>
          <w:color w:val="231F20"/>
          <w:spacing w:val="-2"/>
          <w:w w:val="80"/>
          <w:sz w:val="14"/>
        </w:rPr>
        <w:t>Conference</w:t>
      </w:r>
      <w:r>
        <w:rPr>
          <w:rFonts w:ascii="Arial"/>
          <w:color w:val="231F20"/>
          <w:sz w:val="14"/>
        </w:rPr>
        <w:t> </w:t>
      </w:r>
      <w:r>
        <w:rPr>
          <w:rFonts w:ascii="Arial"/>
          <w:color w:val="231F20"/>
          <w:spacing w:val="-2"/>
          <w:w w:val="80"/>
          <w:sz w:val="14"/>
        </w:rPr>
        <w:t>on</w:t>
      </w:r>
      <w:r>
        <w:rPr>
          <w:rFonts w:ascii="Arial"/>
          <w:color w:val="231F20"/>
          <w:sz w:val="14"/>
        </w:rPr>
        <w:t> </w:t>
      </w:r>
      <w:r>
        <w:rPr>
          <w:rFonts w:ascii="Arial"/>
          <w:color w:val="231F20"/>
          <w:spacing w:val="-2"/>
          <w:w w:val="80"/>
          <w:sz w:val="14"/>
        </w:rPr>
        <w:t>Management</w:t>
      </w:r>
      <w:r>
        <w:rPr>
          <w:rFonts w:ascii="Arial"/>
          <w:color w:val="231F20"/>
          <w:sz w:val="14"/>
        </w:rPr>
        <w:t> </w:t>
      </w:r>
      <w:r>
        <w:rPr>
          <w:rFonts w:ascii="Arial"/>
          <w:color w:val="231F20"/>
          <w:spacing w:val="-2"/>
          <w:w w:val="80"/>
          <w:sz w:val="14"/>
        </w:rPr>
        <w:t>of Technology, Innovation, and</w:t>
      </w:r>
      <w:r>
        <w:rPr>
          <w:rFonts w:ascii="Arial"/>
          <w:color w:val="231F20"/>
          <w:sz w:val="14"/>
        </w:rPr>
        <w:t> </w:t>
      </w:r>
      <w:r>
        <w:rPr>
          <w:rFonts w:ascii="Arial"/>
          <w:color w:val="231F20"/>
          <w:spacing w:val="-2"/>
          <w:w w:val="80"/>
          <w:sz w:val="14"/>
        </w:rPr>
        <w:t>Project</w:t>
      </w:r>
      <w:r>
        <w:rPr>
          <w:rFonts w:ascii="Arial"/>
          <w:color w:val="231F20"/>
          <w:spacing w:val="40"/>
          <w:sz w:val="14"/>
        </w:rPr>
        <w:t> </w:t>
      </w:r>
      <w:r>
        <w:rPr>
          <w:rFonts w:ascii="Arial"/>
          <w:color w:val="231F20"/>
          <w:w w:val="90"/>
          <w:sz w:val="14"/>
        </w:rPr>
        <w:t>(MOTIP</w:t>
      </w:r>
      <w:r>
        <w:rPr>
          <w:rFonts w:ascii="Arial"/>
          <w:color w:val="231F20"/>
          <w:spacing w:val="-6"/>
          <w:w w:val="90"/>
          <w:sz w:val="14"/>
        </w:rPr>
        <w:t> </w:t>
      </w:r>
      <w:r>
        <w:rPr>
          <w:rFonts w:ascii="Arial"/>
          <w:color w:val="231F20"/>
          <w:w w:val="90"/>
          <w:sz w:val="14"/>
        </w:rPr>
        <w:t>03).</w:t>
      </w:r>
    </w:p>
    <w:p>
      <w:pPr>
        <w:spacing w:before="2"/>
        <w:ind w:left="3360" w:right="0" w:firstLine="0"/>
        <w:jc w:val="left"/>
        <w:rPr>
          <w:rFonts w:ascii="Arial"/>
          <w:sz w:val="14"/>
        </w:rPr>
      </w:pPr>
      <w:r>
        <w:rPr>
          <w:rFonts w:ascii="Arial"/>
          <w:color w:val="231F20"/>
          <w:w w:val="80"/>
          <w:sz w:val="14"/>
        </w:rPr>
        <w:t>Banomyong,</w:t>
      </w:r>
      <w:r>
        <w:rPr>
          <w:rFonts w:ascii="Arial"/>
          <w:color w:val="231F20"/>
          <w:spacing w:val="-6"/>
          <w:sz w:val="14"/>
        </w:rPr>
        <w:t> </w:t>
      </w:r>
      <w:r>
        <w:rPr>
          <w:rFonts w:ascii="Arial"/>
          <w:color w:val="231F20"/>
          <w:w w:val="80"/>
          <w:sz w:val="14"/>
        </w:rPr>
        <w:t>R.,</w:t>
      </w:r>
      <w:r>
        <w:rPr>
          <w:rFonts w:ascii="Arial"/>
          <w:color w:val="231F20"/>
          <w:spacing w:val="-6"/>
          <w:sz w:val="14"/>
        </w:rPr>
        <w:t> </w:t>
      </w:r>
      <w:r>
        <w:rPr>
          <w:rFonts w:ascii="Arial"/>
          <w:color w:val="231F20"/>
          <w:w w:val="80"/>
          <w:sz w:val="14"/>
        </w:rPr>
        <w:t>D.</w:t>
      </w:r>
      <w:r>
        <w:rPr>
          <w:rFonts w:ascii="Arial"/>
          <w:color w:val="231F20"/>
          <w:spacing w:val="1"/>
          <w:sz w:val="14"/>
        </w:rPr>
        <w:t> </w:t>
      </w:r>
      <w:r>
        <w:rPr>
          <w:rFonts w:ascii="Arial"/>
          <w:color w:val="231F20"/>
          <w:w w:val="80"/>
          <w:sz w:val="14"/>
        </w:rPr>
        <w:t>B.</w:t>
      </w:r>
      <w:r>
        <w:rPr>
          <w:rFonts w:ascii="Arial"/>
          <w:color w:val="231F20"/>
          <w:sz w:val="14"/>
        </w:rPr>
        <w:t> </w:t>
      </w:r>
      <w:r>
        <w:rPr>
          <w:rFonts w:ascii="Arial"/>
          <w:color w:val="231F20"/>
          <w:w w:val="80"/>
          <w:sz w:val="14"/>
        </w:rPr>
        <w:t>Grant,</w:t>
      </w:r>
      <w:r>
        <w:rPr>
          <w:rFonts w:ascii="Arial"/>
          <w:color w:val="231F20"/>
          <w:spacing w:val="-5"/>
          <w:sz w:val="14"/>
        </w:rPr>
        <w:t> </w:t>
      </w:r>
      <w:r>
        <w:rPr>
          <w:rFonts w:ascii="Arial"/>
          <w:color w:val="231F20"/>
          <w:w w:val="80"/>
          <w:sz w:val="14"/>
        </w:rPr>
        <w:t>P.</w:t>
      </w:r>
      <w:r>
        <w:rPr>
          <w:rFonts w:ascii="Arial"/>
          <w:color w:val="231F20"/>
          <w:spacing w:val="-6"/>
          <w:sz w:val="14"/>
        </w:rPr>
        <w:t> </w:t>
      </w:r>
      <w:r>
        <w:rPr>
          <w:rFonts w:ascii="Arial"/>
          <w:color w:val="231F20"/>
          <w:w w:val="80"/>
          <w:sz w:val="14"/>
        </w:rPr>
        <w:t>Varadejsatitwong,</w:t>
      </w:r>
      <w:r>
        <w:rPr>
          <w:rFonts w:ascii="Arial"/>
          <w:color w:val="231F20"/>
          <w:spacing w:val="-6"/>
          <w:sz w:val="14"/>
        </w:rPr>
        <w:t> </w:t>
      </w:r>
      <w:r>
        <w:rPr>
          <w:rFonts w:ascii="Arial"/>
          <w:color w:val="231F20"/>
          <w:w w:val="80"/>
          <w:sz w:val="14"/>
        </w:rPr>
        <w:t>and</w:t>
      </w:r>
      <w:r>
        <w:rPr>
          <w:rFonts w:ascii="Arial"/>
          <w:color w:val="231F20"/>
          <w:spacing w:val="1"/>
          <w:sz w:val="14"/>
        </w:rPr>
        <w:t> </w:t>
      </w:r>
      <w:r>
        <w:rPr>
          <w:rFonts w:ascii="Arial"/>
          <w:color w:val="231F20"/>
          <w:w w:val="80"/>
          <w:sz w:val="14"/>
        </w:rPr>
        <w:t>P.</w:t>
      </w:r>
      <w:r>
        <w:rPr>
          <w:rFonts w:ascii="Arial"/>
          <w:color w:val="231F20"/>
          <w:sz w:val="14"/>
        </w:rPr>
        <w:t> </w:t>
      </w:r>
      <w:r>
        <w:rPr>
          <w:rFonts w:ascii="Arial"/>
          <w:color w:val="231F20"/>
          <w:spacing w:val="-2"/>
          <w:w w:val="80"/>
          <w:sz w:val="14"/>
        </w:rPr>
        <w:t>Julagasigorn.</w:t>
      </w:r>
    </w:p>
    <w:p>
      <w:pPr>
        <w:spacing w:line="297" w:lineRule="auto" w:before="39"/>
        <w:ind w:left="3600" w:right="78" w:firstLine="0"/>
        <w:jc w:val="left"/>
        <w:rPr>
          <w:rFonts w:ascii="Arial" w:hAnsi="Arial"/>
          <w:sz w:val="14"/>
        </w:rPr>
      </w:pPr>
      <w:r>
        <w:rPr>
          <w:rFonts w:ascii="Arial" w:hAnsi="Arial"/>
          <w:color w:val="231F20"/>
          <w:spacing w:val="-2"/>
          <w:w w:val="80"/>
          <w:sz w:val="14"/>
        </w:rPr>
        <w:t>2022. “Developing</w:t>
      </w:r>
      <w:r>
        <w:rPr>
          <w:rFonts w:ascii="Arial" w:hAnsi="Arial"/>
          <w:color w:val="231F20"/>
          <w:sz w:val="14"/>
        </w:rPr>
        <w:t> </w:t>
      </w:r>
      <w:r>
        <w:rPr>
          <w:rFonts w:ascii="Arial" w:hAnsi="Arial"/>
          <w:color w:val="231F20"/>
          <w:spacing w:val="-2"/>
          <w:w w:val="80"/>
          <w:sz w:val="14"/>
        </w:rPr>
        <w:t>and Validating</w:t>
      </w:r>
      <w:r>
        <w:rPr>
          <w:rFonts w:ascii="Arial" w:hAnsi="Arial"/>
          <w:color w:val="231F20"/>
          <w:sz w:val="14"/>
        </w:rPr>
        <w:t> </w:t>
      </w:r>
      <w:r>
        <w:rPr>
          <w:rFonts w:ascii="Arial" w:hAnsi="Arial"/>
          <w:color w:val="231F20"/>
          <w:spacing w:val="-2"/>
          <w:w w:val="80"/>
          <w:sz w:val="14"/>
        </w:rPr>
        <w:t>a</w:t>
      </w:r>
      <w:r>
        <w:rPr>
          <w:rFonts w:ascii="Arial" w:hAnsi="Arial"/>
          <w:color w:val="231F20"/>
          <w:sz w:val="14"/>
        </w:rPr>
        <w:t> </w:t>
      </w:r>
      <w:r>
        <w:rPr>
          <w:rFonts w:ascii="Arial" w:hAnsi="Arial"/>
          <w:color w:val="231F20"/>
          <w:spacing w:val="-2"/>
          <w:w w:val="80"/>
          <w:sz w:val="14"/>
        </w:rPr>
        <w:t>National</w:t>
      </w:r>
      <w:r>
        <w:rPr>
          <w:rFonts w:ascii="Arial" w:hAnsi="Arial"/>
          <w:color w:val="231F20"/>
          <w:sz w:val="14"/>
        </w:rPr>
        <w:t> </w:t>
      </w:r>
      <w:r>
        <w:rPr>
          <w:rFonts w:ascii="Arial" w:hAnsi="Arial"/>
          <w:color w:val="231F20"/>
          <w:spacing w:val="-2"/>
          <w:w w:val="80"/>
          <w:sz w:val="14"/>
        </w:rPr>
        <w:t>Logistics</w:t>
      </w:r>
      <w:r>
        <w:rPr>
          <w:rFonts w:ascii="Arial" w:hAnsi="Arial"/>
          <w:color w:val="231F20"/>
          <w:sz w:val="14"/>
        </w:rPr>
        <w:t> </w:t>
      </w:r>
      <w:r>
        <w:rPr>
          <w:rFonts w:ascii="Arial" w:hAnsi="Arial"/>
          <w:color w:val="231F20"/>
          <w:spacing w:val="-2"/>
          <w:w w:val="80"/>
          <w:sz w:val="14"/>
        </w:rPr>
        <w:t>Cost</w:t>
      </w:r>
      <w:r>
        <w:rPr>
          <w:rFonts w:ascii="Arial" w:hAnsi="Arial"/>
          <w:color w:val="231F20"/>
          <w:sz w:val="14"/>
        </w:rPr>
        <w:t> </w:t>
      </w:r>
      <w:r>
        <w:rPr>
          <w:rFonts w:ascii="Arial" w:hAnsi="Arial"/>
          <w:color w:val="231F20"/>
          <w:spacing w:val="-2"/>
          <w:w w:val="80"/>
          <w:sz w:val="14"/>
        </w:rPr>
        <w:t>in</w:t>
      </w:r>
      <w:r>
        <w:rPr>
          <w:rFonts w:ascii="Arial" w:hAnsi="Arial"/>
          <w:color w:val="231F20"/>
          <w:spacing w:val="40"/>
          <w:sz w:val="14"/>
        </w:rPr>
        <w:t> </w:t>
      </w:r>
      <w:r>
        <w:rPr>
          <w:rFonts w:ascii="Arial" w:hAnsi="Arial"/>
          <w:color w:val="231F20"/>
          <w:w w:val="85"/>
          <w:sz w:val="14"/>
        </w:rPr>
        <w:t>Thailand.” </w:t>
      </w:r>
      <w:r>
        <w:rPr>
          <w:rFonts w:ascii="Arial" w:hAnsi="Arial"/>
          <w:i/>
          <w:color w:val="231F20"/>
          <w:w w:val="85"/>
          <w:sz w:val="14"/>
        </w:rPr>
        <w:t>Transport Policy </w:t>
      </w:r>
      <w:r>
        <w:rPr>
          <w:rFonts w:ascii="Arial" w:hAnsi="Arial"/>
          <w:color w:val="231F20"/>
          <w:w w:val="85"/>
          <w:sz w:val="14"/>
        </w:rPr>
        <w:t>124: 5–19.</w:t>
      </w:r>
    </w:p>
    <w:p>
      <w:pPr>
        <w:spacing w:line="297" w:lineRule="auto" w:before="1"/>
        <w:ind w:left="3600" w:right="0" w:hanging="240"/>
        <w:jc w:val="left"/>
        <w:rPr>
          <w:rFonts w:ascii="Arial" w:hAnsi="Arial"/>
          <w:sz w:val="14"/>
        </w:rPr>
      </w:pPr>
      <w:r>
        <w:rPr>
          <w:rFonts w:ascii="Arial" w:hAnsi="Arial"/>
          <w:color w:val="231F20"/>
          <w:w w:val="80"/>
          <w:sz w:val="14"/>
        </w:rPr>
        <w:t>Bardal,</w:t>
      </w:r>
      <w:r>
        <w:rPr>
          <w:rFonts w:ascii="Arial" w:hAnsi="Arial"/>
          <w:color w:val="231F20"/>
          <w:spacing w:val="-6"/>
          <w:w w:val="80"/>
          <w:sz w:val="14"/>
        </w:rPr>
        <w:t> </w:t>
      </w:r>
      <w:r>
        <w:rPr>
          <w:rFonts w:ascii="Arial" w:hAnsi="Arial"/>
          <w:color w:val="231F20"/>
          <w:w w:val="80"/>
          <w:sz w:val="14"/>
        </w:rPr>
        <w:t>A., and M. Sigitova. 2020. “Logistics Centres in The Region:</w:t>
      </w:r>
      <w:r>
        <w:rPr>
          <w:rFonts w:ascii="Arial" w:hAnsi="Arial"/>
          <w:color w:val="231F20"/>
          <w:spacing w:val="-6"/>
          <w:w w:val="80"/>
          <w:sz w:val="14"/>
        </w:rPr>
        <w:t> </w:t>
      </w:r>
      <w:r>
        <w:rPr>
          <w:rFonts w:ascii="Arial" w:hAnsi="Arial"/>
          <w:color w:val="231F20"/>
          <w:w w:val="80"/>
          <w:sz w:val="14"/>
        </w:rPr>
        <w:t>The</w:t>
      </w:r>
      <w:r>
        <w:rPr>
          <w:rFonts w:ascii="Arial" w:hAnsi="Arial"/>
          <w:color w:val="231F20"/>
          <w:spacing w:val="40"/>
          <w:sz w:val="14"/>
        </w:rPr>
        <w:t> </w:t>
      </w:r>
      <w:r>
        <w:rPr>
          <w:rFonts w:ascii="Arial" w:hAnsi="Arial"/>
          <w:color w:val="231F20"/>
          <w:w w:val="80"/>
          <w:sz w:val="14"/>
        </w:rPr>
        <w:t>Russian Far East.” </w:t>
      </w:r>
      <w:r>
        <w:rPr>
          <w:rFonts w:ascii="Arial" w:hAnsi="Arial"/>
          <w:i/>
          <w:color w:val="231F20"/>
          <w:w w:val="80"/>
          <w:sz w:val="14"/>
        </w:rPr>
        <w:t>IOP Conference Series: Materials Science and</w:t>
      </w:r>
      <w:r>
        <w:rPr>
          <w:rFonts w:ascii="Arial" w:hAnsi="Arial"/>
          <w:i/>
          <w:color w:val="231F20"/>
          <w:spacing w:val="40"/>
          <w:sz w:val="14"/>
        </w:rPr>
        <w:t> </w:t>
      </w:r>
      <w:r>
        <w:rPr>
          <w:rFonts w:ascii="Arial" w:hAnsi="Arial"/>
          <w:i/>
          <w:color w:val="231F20"/>
          <w:w w:val="90"/>
          <w:sz w:val="14"/>
        </w:rPr>
        <w:t>Engineering</w:t>
      </w:r>
      <w:r>
        <w:rPr>
          <w:rFonts w:ascii="Arial" w:hAnsi="Arial"/>
          <w:i/>
          <w:color w:val="231F20"/>
          <w:spacing w:val="-6"/>
          <w:w w:val="90"/>
          <w:sz w:val="14"/>
        </w:rPr>
        <w:t> </w:t>
      </w:r>
      <w:r>
        <w:rPr>
          <w:rFonts w:ascii="Arial" w:hAnsi="Arial"/>
          <w:color w:val="231F20"/>
          <w:w w:val="90"/>
          <w:sz w:val="14"/>
        </w:rPr>
        <w:t>918</w:t>
      </w:r>
      <w:r>
        <w:rPr>
          <w:rFonts w:ascii="Arial" w:hAnsi="Arial"/>
          <w:color w:val="231F20"/>
          <w:spacing w:val="-6"/>
          <w:w w:val="90"/>
          <w:sz w:val="14"/>
        </w:rPr>
        <w:t> </w:t>
      </w:r>
      <w:r>
        <w:rPr>
          <w:rFonts w:ascii="Arial" w:hAnsi="Arial"/>
          <w:color w:val="231F20"/>
          <w:w w:val="90"/>
          <w:sz w:val="14"/>
        </w:rPr>
        <w:t>(1):</w:t>
      </w:r>
      <w:r>
        <w:rPr>
          <w:rFonts w:ascii="Arial" w:hAnsi="Arial"/>
          <w:color w:val="231F20"/>
          <w:spacing w:val="-7"/>
          <w:w w:val="90"/>
          <w:sz w:val="14"/>
        </w:rPr>
        <w:t> </w:t>
      </w:r>
      <w:r>
        <w:rPr>
          <w:rFonts w:ascii="Arial" w:hAnsi="Arial"/>
          <w:color w:val="231F20"/>
          <w:w w:val="90"/>
          <w:sz w:val="14"/>
        </w:rPr>
        <w:t>012035.</w:t>
      </w:r>
    </w:p>
    <w:p>
      <w:pPr>
        <w:spacing w:line="297" w:lineRule="auto" w:before="1"/>
        <w:ind w:left="3600" w:right="0" w:hanging="240"/>
        <w:jc w:val="left"/>
        <w:rPr>
          <w:rFonts w:ascii="Arial" w:hAnsi="Arial"/>
          <w:sz w:val="14"/>
        </w:rPr>
      </w:pPr>
      <w:r>
        <w:rPr>
          <w:rFonts w:ascii="Arial" w:hAnsi="Arial"/>
          <w:color w:val="231F20"/>
          <w:w w:val="80"/>
          <w:sz w:val="14"/>
        </w:rPr>
        <w:t>Beysenbaev,</w:t>
      </w:r>
      <w:r>
        <w:rPr>
          <w:rFonts w:ascii="Arial" w:hAnsi="Arial"/>
          <w:color w:val="231F20"/>
          <w:spacing w:val="-4"/>
          <w:w w:val="80"/>
          <w:sz w:val="14"/>
        </w:rPr>
        <w:t> </w:t>
      </w:r>
      <w:r>
        <w:rPr>
          <w:rFonts w:ascii="Arial" w:hAnsi="Arial"/>
          <w:color w:val="231F20"/>
          <w:w w:val="80"/>
          <w:sz w:val="14"/>
        </w:rPr>
        <w:t>R.,</w:t>
      </w:r>
      <w:r>
        <w:rPr>
          <w:rFonts w:ascii="Arial" w:hAnsi="Arial"/>
          <w:color w:val="231F20"/>
          <w:spacing w:val="-3"/>
          <w:w w:val="80"/>
          <w:sz w:val="14"/>
        </w:rPr>
        <w:t> </w:t>
      </w:r>
      <w:r>
        <w:rPr>
          <w:rFonts w:ascii="Arial" w:hAnsi="Arial"/>
          <w:color w:val="231F20"/>
          <w:w w:val="80"/>
          <w:sz w:val="14"/>
        </w:rPr>
        <w:t>and</w:t>
      </w:r>
      <w:r>
        <w:rPr>
          <w:rFonts w:ascii="Arial" w:hAnsi="Arial"/>
          <w:color w:val="231F20"/>
          <w:spacing w:val="-3"/>
          <w:w w:val="80"/>
          <w:sz w:val="14"/>
        </w:rPr>
        <w:t> </w:t>
      </w:r>
      <w:r>
        <w:rPr>
          <w:rFonts w:ascii="Arial" w:hAnsi="Arial"/>
          <w:color w:val="231F20"/>
          <w:w w:val="80"/>
          <w:sz w:val="14"/>
        </w:rPr>
        <w:t>Y.</w:t>
      </w:r>
      <w:r>
        <w:rPr>
          <w:rFonts w:ascii="Arial" w:hAnsi="Arial"/>
          <w:color w:val="231F20"/>
          <w:spacing w:val="-2"/>
          <w:w w:val="80"/>
          <w:sz w:val="14"/>
        </w:rPr>
        <w:t> </w:t>
      </w:r>
      <w:r>
        <w:rPr>
          <w:rFonts w:ascii="Arial" w:hAnsi="Arial"/>
          <w:color w:val="231F20"/>
          <w:w w:val="80"/>
          <w:sz w:val="14"/>
        </w:rPr>
        <w:t>Dus.</w:t>
      </w:r>
      <w:r>
        <w:rPr>
          <w:rFonts w:ascii="Arial" w:hAnsi="Arial"/>
          <w:color w:val="231F20"/>
          <w:spacing w:val="-2"/>
          <w:w w:val="80"/>
          <w:sz w:val="14"/>
        </w:rPr>
        <w:t> </w:t>
      </w:r>
      <w:r>
        <w:rPr>
          <w:rFonts w:ascii="Arial" w:hAnsi="Arial"/>
          <w:color w:val="231F20"/>
          <w:w w:val="80"/>
          <w:sz w:val="14"/>
        </w:rPr>
        <w:t>2020.</w:t>
      </w:r>
      <w:r>
        <w:rPr>
          <w:rFonts w:ascii="Arial" w:hAnsi="Arial"/>
          <w:color w:val="231F20"/>
          <w:spacing w:val="-3"/>
          <w:w w:val="80"/>
          <w:sz w:val="14"/>
        </w:rPr>
        <w:t> </w:t>
      </w:r>
      <w:r>
        <w:rPr>
          <w:rFonts w:ascii="Arial" w:hAnsi="Arial"/>
          <w:color w:val="231F20"/>
          <w:w w:val="80"/>
          <w:sz w:val="14"/>
        </w:rPr>
        <w:t>“Russia’s</w:t>
      </w:r>
      <w:r>
        <w:rPr>
          <w:rFonts w:ascii="Arial" w:hAnsi="Arial"/>
          <w:color w:val="231F20"/>
          <w:spacing w:val="-7"/>
          <w:sz w:val="14"/>
        </w:rPr>
        <w:t> </w:t>
      </w:r>
      <w:r>
        <w:rPr>
          <w:rFonts w:ascii="Arial" w:hAnsi="Arial"/>
          <w:color w:val="231F20"/>
          <w:w w:val="80"/>
          <w:sz w:val="14"/>
        </w:rPr>
        <w:t>National Logistics </w:t>
      </w:r>
      <w:r>
        <w:rPr>
          <w:rFonts w:ascii="Arial" w:hAnsi="Arial"/>
          <w:color w:val="231F20"/>
          <w:w w:val="80"/>
          <w:sz w:val="14"/>
        </w:rPr>
        <w:t>System:</w:t>
      </w:r>
      <w:r>
        <w:rPr>
          <w:rFonts w:ascii="Arial" w:hAnsi="Arial"/>
          <w:color w:val="231F20"/>
          <w:spacing w:val="40"/>
          <w:sz w:val="14"/>
        </w:rPr>
        <w:t> </w:t>
      </w:r>
      <w:r>
        <w:rPr>
          <w:rFonts w:ascii="Arial" w:hAnsi="Arial"/>
          <w:color w:val="231F20"/>
          <w:w w:val="85"/>
          <w:sz w:val="14"/>
        </w:rPr>
        <w:t>Main</w:t>
      </w:r>
      <w:r>
        <w:rPr>
          <w:rFonts w:ascii="Arial" w:hAnsi="Arial"/>
          <w:color w:val="231F20"/>
          <w:spacing w:val="-4"/>
          <w:w w:val="85"/>
          <w:sz w:val="14"/>
        </w:rPr>
        <w:t> </w:t>
      </w:r>
      <w:r>
        <w:rPr>
          <w:rFonts w:ascii="Arial" w:hAnsi="Arial"/>
          <w:color w:val="231F20"/>
          <w:w w:val="85"/>
          <w:sz w:val="14"/>
        </w:rPr>
        <w:t>Directions</w:t>
      </w:r>
      <w:r>
        <w:rPr>
          <w:rFonts w:ascii="Arial" w:hAnsi="Arial"/>
          <w:color w:val="231F20"/>
          <w:spacing w:val="-4"/>
          <w:w w:val="85"/>
          <w:sz w:val="14"/>
        </w:rPr>
        <w:t> </w:t>
      </w:r>
      <w:r>
        <w:rPr>
          <w:rFonts w:ascii="Arial" w:hAnsi="Arial"/>
          <w:color w:val="231F20"/>
          <w:w w:val="85"/>
          <w:sz w:val="14"/>
        </w:rPr>
        <w:t>of</w:t>
      </w:r>
      <w:r>
        <w:rPr>
          <w:rFonts w:ascii="Arial" w:hAnsi="Arial"/>
          <w:color w:val="231F20"/>
          <w:spacing w:val="-4"/>
          <w:w w:val="85"/>
          <w:sz w:val="14"/>
        </w:rPr>
        <w:t> </w:t>
      </w:r>
      <w:r>
        <w:rPr>
          <w:rFonts w:ascii="Arial" w:hAnsi="Arial"/>
          <w:color w:val="231F20"/>
          <w:w w:val="85"/>
          <w:sz w:val="14"/>
        </w:rPr>
        <w:t>Development.”</w:t>
      </w:r>
      <w:r>
        <w:rPr>
          <w:rFonts w:ascii="Arial" w:hAnsi="Arial"/>
          <w:color w:val="231F20"/>
          <w:spacing w:val="-5"/>
          <w:w w:val="85"/>
          <w:sz w:val="14"/>
        </w:rPr>
        <w:t> </w:t>
      </w:r>
      <w:r>
        <w:rPr>
          <w:rFonts w:ascii="Arial" w:hAnsi="Arial"/>
          <w:i/>
          <w:color w:val="231F20"/>
          <w:w w:val="85"/>
          <w:sz w:val="14"/>
        </w:rPr>
        <w:t>Logforum</w:t>
      </w:r>
      <w:r>
        <w:rPr>
          <w:rFonts w:ascii="Arial" w:hAnsi="Arial"/>
          <w:i/>
          <w:color w:val="231F20"/>
          <w:spacing w:val="-2"/>
          <w:w w:val="85"/>
          <w:sz w:val="14"/>
        </w:rPr>
        <w:t> </w:t>
      </w:r>
      <w:r>
        <w:rPr>
          <w:rFonts w:ascii="Arial" w:hAnsi="Arial"/>
          <w:color w:val="231F20"/>
          <w:w w:val="85"/>
          <w:sz w:val="14"/>
        </w:rPr>
        <w:t>16</w:t>
      </w:r>
      <w:r>
        <w:rPr>
          <w:rFonts w:ascii="Arial" w:hAnsi="Arial"/>
          <w:color w:val="231F20"/>
          <w:spacing w:val="-3"/>
          <w:w w:val="85"/>
          <w:sz w:val="14"/>
        </w:rPr>
        <w:t> </w:t>
      </w:r>
      <w:r>
        <w:rPr>
          <w:rFonts w:ascii="Arial" w:hAnsi="Arial"/>
          <w:color w:val="231F20"/>
          <w:w w:val="85"/>
          <w:sz w:val="14"/>
        </w:rPr>
        <w:t>(2):</w:t>
      </w:r>
      <w:r>
        <w:rPr>
          <w:rFonts w:ascii="Arial" w:hAnsi="Arial"/>
          <w:color w:val="231F20"/>
          <w:spacing w:val="-6"/>
          <w:w w:val="85"/>
          <w:sz w:val="14"/>
        </w:rPr>
        <w:t> </w:t>
      </w:r>
      <w:r>
        <w:rPr>
          <w:rFonts w:ascii="Arial" w:hAnsi="Arial"/>
          <w:color w:val="231F20"/>
          <w:w w:val="85"/>
          <w:sz w:val="14"/>
        </w:rPr>
        <w:t>209–218.</w:t>
      </w:r>
    </w:p>
    <w:p>
      <w:pPr>
        <w:spacing w:line="297" w:lineRule="auto" w:before="1"/>
        <w:ind w:left="3600" w:right="0" w:hanging="240"/>
        <w:jc w:val="left"/>
        <w:rPr>
          <w:rFonts w:ascii="Arial" w:hAnsi="Arial"/>
          <w:sz w:val="14"/>
        </w:rPr>
      </w:pPr>
      <w:r>
        <w:rPr>
          <w:rFonts w:ascii="Arial" w:hAnsi="Arial"/>
          <w:color w:val="231F20"/>
          <w:w w:val="80"/>
          <w:sz w:val="14"/>
        </w:rPr>
        <w:t>Beysenbaev,</w:t>
      </w:r>
      <w:r>
        <w:rPr>
          <w:rFonts w:ascii="Arial" w:hAnsi="Arial"/>
          <w:color w:val="231F20"/>
          <w:spacing w:val="-4"/>
          <w:w w:val="80"/>
          <w:sz w:val="14"/>
        </w:rPr>
        <w:t> </w:t>
      </w:r>
      <w:r>
        <w:rPr>
          <w:rFonts w:ascii="Arial" w:hAnsi="Arial"/>
          <w:color w:val="231F20"/>
          <w:w w:val="80"/>
          <w:sz w:val="14"/>
        </w:rPr>
        <w:t>R.,</w:t>
      </w:r>
      <w:r>
        <w:rPr>
          <w:rFonts w:ascii="Arial" w:hAnsi="Arial"/>
          <w:color w:val="231F20"/>
          <w:spacing w:val="-3"/>
          <w:w w:val="80"/>
          <w:sz w:val="14"/>
        </w:rPr>
        <w:t> </w:t>
      </w:r>
      <w:r>
        <w:rPr>
          <w:rFonts w:ascii="Arial" w:hAnsi="Arial"/>
          <w:color w:val="231F20"/>
          <w:w w:val="80"/>
          <w:sz w:val="14"/>
        </w:rPr>
        <w:t>and</w:t>
      </w:r>
      <w:r>
        <w:rPr>
          <w:rFonts w:ascii="Arial" w:hAnsi="Arial"/>
          <w:color w:val="231F20"/>
          <w:spacing w:val="-3"/>
          <w:w w:val="80"/>
          <w:sz w:val="14"/>
        </w:rPr>
        <w:t> </w:t>
      </w:r>
      <w:r>
        <w:rPr>
          <w:rFonts w:ascii="Arial" w:hAnsi="Arial"/>
          <w:color w:val="231F20"/>
          <w:w w:val="80"/>
          <w:sz w:val="14"/>
        </w:rPr>
        <w:t>Y. Dus. 2020.</w:t>
      </w:r>
      <w:r>
        <w:rPr>
          <w:rFonts w:ascii="Arial" w:hAnsi="Arial"/>
          <w:color w:val="231F20"/>
          <w:spacing w:val="-4"/>
          <w:w w:val="80"/>
          <w:sz w:val="14"/>
        </w:rPr>
        <w:t> </w:t>
      </w:r>
      <w:r>
        <w:rPr>
          <w:rFonts w:ascii="Arial" w:hAnsi="Arial"/>
          <w:color w:val="231F20"/>
          <w:w w:val="80"/>
          <w:sz w:val="14"/>
        </w:rPr>
        <w:t>“Proposals</w:t>
      </w:r>
      <w:r>
        <w:rPr>
          <w:rFonts w:ascii="Arial" w:hAnsi="Arial"/>
          <w:color w:val="231F20"/>
          <w:spacing w:val="-6"/>
          <w:sz w:val="14"/>
        </w:rPr>
        <w:t> </w:t>
      </w:r>
      <w:r>
        <w:rPr>
          <w:rFonts w:ascii="Arial" w:hAnsi="Arial"/>
          <w:color w:val="231F20"/>
          <w:w w:val="80"/>
          <w:sz w:val="14"/>
        </w:rPr>
        <w:t>for Improving the Logistics</w:t>
      </w:r>
      <w:r>
        <w:rPr>
          <w:rFonts w:ascii="Arial" w:hAnsi="Arial"/>
          <w:color w:val="231F20"/>
          <w:spacing w:val="40"/>
          <w:sz w:val="14"/>
        </w:rPr>
        <w:t> </w:t>
      </w:r>
      <w:r>
        <w:rPr>
          <w:rFonts w:ascii="Arial" w:hAnsi="Arial"/>
          <w:color w:val="231F20"/>
          <w:w w:val="80"/>
          <w:sz w:val="14"/>
        </w:rPr>
        <w:t>Performance Index.”</w:t>
      </w:r>
      <w:r>
        <w:rPr>
          <w:rFonts w:ascii="Arial" w:hAnsi="Arial"/>
          <w:color w:val="231F20"/>
          <w:spacing w:val="-1"/>
          <w:w w:val="80"/>
          <w:sz w:val="14"/>
        </w:rPr>
        <w:t> </w:t>
      </w:r>
      <w:r>
        <w:rPr>
          <w:rFonts w:ascii="Arial" w:hAnsi="Arial"/>
          <w:i/>
          <w:color w:val="231F20"/>
          <w:w w:val="80"/>
          <w:sz w:val="14"/>
        </w:rPr>
        <w:t>The</w:t>
      </w:r>
      <w:r>
        <w:rPr>
          <w:rFonts w:ascii="Arial" w:hAnsi="Arial"/>
          <w:i/>
          <w:color w:val="231F20"/>
          <w:spacing w:val="-1"/>
          <w:w w:val="80"/>
          <w:sz w:val="14"/>
        </w:rPr>
        <w:t> </w:t>
      </w:r>
      <w:r>
        <w:rPr>
          <w:rFonts w:ascii="Arial" w:hAnsi="Arial"/>
          <w:i/>
          <w:color w:val="231F20"/>
          <w:w w:val="80"/>
          <w:sz w:val="14"/>
        </w:rPr>
        <w:t>Asian Journal of Shipping and Logistics </w:t>
      </w:r>
      <w:r>
        <w:rPr>
          <w:rFonts w:ascii="Arial" w:hAnsi="Arial"/>
          <w:color w:val="231F20"/>
          <w:w w:val="80"/>
          <w:sz w:val="14"/>
        </w:rPr>
        <w:t>36</w:t>
      </w:r>
    </w:p>
    <w:p>
      <w:pPr>
        <w:spacing w:before="0"/>
        <w:ind w:left="3600" w:right="0" w:firstLine="0"/>
        <w:jc w:val="left"/>
        <w:rPr>
          <w:rFonts w:ascii="Arial" w:hAnsi="Arial"/>
          <w:sz w:val="14"/>
        </w:rPr>
      </w:pPr>
      <w:r>
        <w:rPr>
          <w:rFonts w:ascii="Arial" w:hAnsi="Arial"/>
          <w:color w:val="231F20"/>
          <w:w w:val="75"/>
          <w:sz w:val="14"/>
        </w:rPr>
        <w:t>(1):</w:t>
      </w:r>
      <w:r>
        <w:rPr>
          <w:rFonts w:ascii="Arial" w:hAnsi="Arial"/>
          <w:color w:val="231F20"/>
          <w:spacing w:val="-5"/>
          <w:w w:val="95"/>
          <w:sz w:val="14"/>
        </w:rPr>
        <w:t> </w:t>
      </w:r>
      <w:r>
        <w:rPr>
          <w:rFonts w:ascii="Arial" w:hAnsi="Arial"/>
          <w:color w:val="231F20"/>
          <w:spacing w:val="-2"/>
          <w:w w:val="95"/>
          <w:sz w:val="14"/>
        </w:rPr>
        <w:t>34–42.</w:t>
      </w:r>
    </w:p>
    <w:p>
      <w:pPr>
        <w:spacing w:line="297" w:lineRule="auto" w:before="39"/>
        <w:ind w:left="3600" w:right="0" w:hanging="240"/>
        <w:jc w:val="left"/>
        <w:rPr>
          <w:rFonts w:ascii="Arial" w:hAnsi="Arial"/>
          <w:sz w:val="14"/>
        </w:rPr>
      </w:pPr>
      <w:r>
        <w:rPr>
          <w:rFonts w:ascii="Arial" w:hAnsi="Arial"/>
          <w:color w:val="231F20"/>
          <w:w w:val="80"/>
          <w:sz w:val="14"/>
        </w:rPr>
        <w:t>Bilgin, C. 2022. “The Concept of Logistics Performance in International</w:t>
      </w:r>
      <w:r>
        <w:rPr>
          <w:rFonts w:ascii="Arial" w:hAnsi="Arial"/>
          <w:color w:val="231F20"/>
          <w:spacing w:val="40"/>
          <w:sz w:val="14"/>
        </w:rPr>
        <w:t> </w:t>
      </w:r>
      <w:r>
        <w:rPr>
          <w:rFonts w:ascii="Arial" w:hAnsi="Arial"/>
          <w:color w:val="231F20"/>
          <w:w w:val="75"/>
          <w:sz w:val="14"/>
        </w:rPr>
        <w:t>Trade</w:t>
      </w:r>
      <w:r>
        <w:rPr>
          <w:rFonts w:ascii="Arial" w:hAnsi="Arial"/>
          <w:color w:val="231F20"/>
          <w:sz w:val="14"/>
        </w:rPr>
        <w:t> </w:t>
      </w:r>
      <w:r>
        <w:rPr>
          <w:rFonts w:ascii="Arial" w:hAnsi="Arial"/>
          <w:color w:val="231F20"/>
          <w:w w:val="75"/>
          <w:sz w:val="14"/>
        </w:rPr>
        <w:t>Framework.” </w:t>
      </w:r>
      <w:r>
        <w:rPr>
          <w:rFonts w:ascii="Arial" w:hAnsi="Arial"/>
          <w:i/>
          <w:color w:val="231F20"/>
          <w:w w:val="75"/>
          <w:sz w:val="14"/>
        </w:rPr>
        <w:t>Research Anthology</w:t>
      </w:r>
      <w:r>
        <w:rPr>
          <w:rFonts w:ascii="Arial" w:hAnsi="Arial"/>
          <w:i/>
          <w:color w:val="231F20"/>
          <w:sz w:val="14"/>
        </w:rPr>
        <w:t> </w:t>
      </w:r>
      <w:r>
        <w:rPr>
          <w:rFonts w:ascii="Arial" w:hAnsi="Arial"/>
          <w:i/>
          <w:color w:val="231F20"/>
          <w:w w:val="75"/>
          <w:sz w:val="14"/>
        </w:rPr>
        <w:t>on</w:t>
      </w:r>
      <w:r>
        <w:rPr>
          <w:rFonts w:ascii="Arial" w:hAnsi="Arial"/>
          <w:i/>
          <w:color w:val="231F20"/>
          <w:sz w:val="14"/>
        </w:rPr>
        <w:t> </w:t>
      </w:r>
      <w:r>
        <w:rPr>
          <w:rFonts w:ascii="Arial" w:hAnsi="Arial"/>
          <w:i/>
          <w:color w:val="231F20"/>
          <w:w w:val="75"/>
          <w:sz w:val="14"/>
        </w:rPr>
        <w:t>Macroeconomics</w:t>
      </w:r>
      <w:r>
        <w:rPr>
          <w:rFonts w:ascii="Arial" w:hAnsi="Arial"/>
          <w:i/>
          <w:color w:val="231F20"/>
          <w:sz w:val="14"/>
        </w:rPr>
        <w:t> </w:t>
      </w:r>
      <w:r>
        <w:rPr>
          <w:rFonts w:ascii="Arial" w:hAnsi="Arial"/>
          <w:i/>
          <w:color w:val="231F20"/>
          <w:w w:val="75"/>
          <w:sz w:val="14"/>
        </w:rPr>
        <w:t>and</w:t>
      </w:r>
      <w:r>
        <w:rPr>
          <w:rFonts w:ascii="Arial" w:hAnsi="Arial"/>
          <w:i/>
          <w:color w:val="231F20"/>
          <w:sz w:val="14"/>
        </w:rPr>
        <w:t> </w:t>
      </w:r>
      <w:r>
        <w:rPr>
          <w:rFonts w:ascii="Arial" w:hAnsi="Arial"/>
          <w:i/>
          <w:color w:val="231F20"/>
          <w:w w:val="75"/>
          <w:sz w:val="14"/>
        </w:rPr>
        <w:t>the</w:t>
      </w:r>
      <w:r>
        <w:rPr>
          <w:rFonts w:ascii="Arial" w:hAnsi="Arial"/>
          <w:i/>
          <w:color w:val="231F20"/>
          <w:spacing w:val="40"/>
          <w:sz w:val="14"/>
        </w:rPr>
        <w:t> </w:t>
      </w:r>
      <w:r>
        <w:rPr>
          <w:rFonts w:ascii="Arial" w:hAnsi="Arial"/>
          <w:i/>
          <w:color w:val="231F20"/>
          <w:w w:val="80"/>
          <w:sz w:val="14"/>
        </w:rPr>
        <w:t>Achievement of Global Stability</w:t>
      </w:r>
      <w:r>
        <w:rPr>
          <w:rFonts w:ascii="Arial" w:hAnsi="Arial"/>
          <w:color w:val="231F20"/>
          <w:w w:val="80"/>
          <w:sz w:val="14"/>
        </w:rPr>
        <w:t>, 345–369. IGI Global.</w:t>
      </w:r>
    </w:p>
    <w:p>
      <w:pPr>
        <w:spacing w:line="297" w:lineRule="auto" w:before="2"/>
        <w:ind w:left="3600" w:right="134" w:hanging="240"/>
        <w:jc w:val="left"/>
        <w:rPr>
          <w:rFonts w:ascii="Arial" w:hAnsi="Arial"/>
          <w:sz w:val="14"/>
        </w:rPr>
      </w:pPr>
      <w:r>
        <w:rPr>
          <w:rFonts w:ascii="Arial" w:hAnsi="Arial"/>
          <w:color w:val="231F20"/>
          <w:spacing w:val="-2"/>
          <w:w w:val="85"/>
          <w:sz w:val="14"/>
        </w:rPr>
        <w:t>Bilgin,</w:t>
      </w:r>
      <w:r>
        <w:rPr>
          <w:rFonts w:ascii="Arial" w:hAnsi="Arial"/>
          <w:color w:val="231F20"/>
          <w:spacing w:val="-8"/>
          <w:w w:val="85"/>
          <w:sz w:val="14"/>
        </w:rPr>
        <w:t> </w:t>
      </w:r>
      <w:r>
        <w:rPr>
          <w:rFonts w:ascii="Arial" w:hAnsi="Arial"/>
          <w:color w:val="231F20"/>
          <w:spacing w:val="-2"/>
          <w:w w:val="85"/>
          <w:sz w:val="14"/>
        </w:rPr>
        <w:t>T., and</w:t>
      </w:r>
      <w:r>
        <w:rPr>
          <w:rFonts w:ascii="Arial" w:hAnsi="Arial"/>
          <w:color w:val="231F20"/>
          <w:spacing w:val="-2"/>
          <w:sz w:val="14"/>
        </w:rPr>
        <w:t> </w:t>
      </w:r>
      <w:r>
        <w:rPr>
          <w:rFonts w:ascii="Arial" w:hAnsi="Arial"/>
          <w:color w:val="231F20"/>
          <w:spacing w:val="-2"/>
          <w:w w:val="85"/>
          <w:sz w:val="14"/>
        </w:rPr>
        <w:t>K.S.</w:t>
      </w:r>
      <w:r>
        <w:rPr>
          <w:rFonts w:ascii="Arial" w:hAnsi="Arial"/>
          <w:color w:val="231F20"/>
          <w:spacing w:val="-2"/>
          <w:sz w:val="14"/>
        </w:rPr>
        <w:t> </w:t>
      </w:r>
      <w:r>
        <w:rPr>
          <w:rFonts w:ascii="Arial" w:hAnsi="Arial"/>
          <w:color w:val="231F20"/>
          <w:spacing w:val="-2"/>
          <w:w w:val="85"/>
          <w:sz w:val="14"/>
        </w:rPr>
        <w:t>Sunaoglu.</w:t>
      </w:r>
      <w:r>
        <w:rPr>
          <w:rFonts w:ascii="Arial" w:hAnsi="Arial"/>
          <w:color w:val="231F20"/>
          <w:spacing w:val="-2"/>
          <w:sz w:val="14"/>
        </w:rPr>
        <w:t> </w:t>
      </w:r>
      <w:r>
        <w:rPr>
          <w:rFonts w:ascii="Arial" w:hAnsi="Arial"/>
          <w:color w:val="231F20"/>
          <w:spacing w:val="-2"/>
          <w:w w:val="85"/>
          <w:sz w:val="14"/>
        </w:rPr>
        <w:t>2022. “A</w:t>
      </w:r>
      <w:r>
        <w:rPr>
          <w:rFonts w:ascii="Arial" w:hAnsi="Arial"/>
          <w:color w:val="231F20"/>
          <w:spacing w:val="-2"/>
          <w:sz w:val="14"/>
        </w:rPr>
        <w:t> </w:t>
      </w:r>
      <w:r>
        <w:rPr>
          <w:rFonts w:ascii="Arial" w:hAnsi="Arial"/>
          <w:color w:val="231F20"/>
          <w:spacing w:val="-2"/>
          <w:w w:val="85"/>
          <w:sz w:val="14"/>
        </w:rPr>
        <w:t>Literature</w:t>
      </w:r>
      <w:r>
        <w:rPr>
          <w:rFonts w:ascii="Arial" w:hAnsi="Arial"/>
          <w:color w:val="231F20"/>
          <w:spacing w:val="-2"/>
          <w:sz w:val="14"/>
        </w:rPr>
        <w:t> </w:t>
      </w:r>
      <w:r>
        <w:rPr>
          <w:rFonts w:ascii="Arial" w:hAnsi="Arial"/>
          <w:color w:val="231F20"/>
          <w:spacing w:val="-2"/>
          <w:w w:val="85"/>
          <w:sz w:val="14"/>
        </w:rPr>
        <w:t>Review</w:t>
      </w:r>
      <w:r>
        <w:rPr>
          <w:rFonts w:ascii="Arial" w:hAnsi="Arial"/>
          <w:color w:val="231F20"/>
          <w:spacing w:val="-2"/>
          <w:sz w:val="14"/>
        </w:rPr>
        <w:t> </w:t>
      </w:r>
      <w:r>
        <w:rPr>
          <w:rFonts w:ascii="Arial" w:hAnsi="Arial"/>
          <w:color w:val="231F20"/>
          <w:spacing w:val="-2"/>
          <w:w w:val="85"/>
          <w:sz w:val="14"/>
        </w:rPr>
        <w:t>on</w:t>
      </w:r>
      <w:r>
        <w:rPr>
          <w:rFonts w:ascii="Arial" w:hAnsi="Arial"/>
          <w:color w:val="231F20"/>
          <w:spacing w:val="-2"/>
          <w:sz w:val="14"/>
        </w:rPr>
        <w:t> </w:t>
      </w:r>
      <w:r>
        <w:rPr>
          <w:rFonts w:ascii="Arial" w:hAnsi="Arial"/>
          <w:color w:val="231F20"/>
          <w:spacing w:val="-2"/>
          <w:w w:val="85"/>
          <w:sz w:val="14"/>
        </w:rPr>
        <w:t>Logistics</w:t>
      </w:r>
      <w:r>
        <w:rPr>
          <w:rFonts w:ascii="Arial" w:hAnsi="Arial"/>
          <w:color w:val="231F20"/>
          <w:spacing w:val="40"/>
          <w:sz w:val="14"/>
        </w:rPr>
        <w:t> </w:t>
      </w:r>
      <w:r>
        <w:rPr>
          <w:rFonts w:ascii="Arial" w:hAnsi="Arial"/>
          <w:color w:val="231F20"/>
          <w:w w:val="75"/>
          <w:sz w:val="14"/>
        </w:rPr>
        <w:t>Performance</w:t>
      </w:r>
      <w:r>
        <w:rPr>
          <w:rFonts w:ascii="Arial" w:hAnsi="Arial"/>
          <w:color w:val="231F20"/>
          <w:sz w:val="14"/>
        </w:rPr>
        <w:t> </w:t>
      </w:r>
      <w:r>
        <w:rPr>
          <w:rFonts w:ascii="Arial" w:hAnsi="Arial"/>
          <w:color w:val="231F20"/>
          <w:w w:val="75"/>
          <w:sz w:val="14"/>
        </w:rPr>
        <w:t>and</w:t>
      </w:r>
      <w:r>
        <w:rPr>
          <w:rFonts w:ascii="Arial" w:hAnsi="Arial"/>
          <w:color w:val="231F20"/>
          <w:sz w:val="14"/>
        </w:rPr>
        <w:t> </w:t>
      </w:r>
      <w:r>
        <w:rPr>
          <w:rFonts w:ascii="Arial" w:hAnsi="Arial"/>
          <w:color w:val="231F20"/>
          <w:w w:val="75"/>
          <w:sz w:val="14"/>
        </w:rPr>
        <w:t>International Trade.” </w:t>
      </w:r>
      <w:r>
        <w:rPr>
          <w:rFonts w:ascii="Arial" w:hAnsi="Arial"/>
          <w:i/>
          <w:color w:val="231F20"/>
          <w:w w:val="75"/>
          <w:sz w:val="14"/>
        </w:rPr>
        <w:t>Pamukkale</w:t>
      </w:r>
      <w:r>
        <w:rPr>
          <w:rFonts w:ascii="Arial" w:hAnsi="Arial"/>
          <w:i/>
          <w:color w:val="231F20"/>
          <w:sz w:val="14"/>
        </w:rPr>
        <w:t> </w:t>
      </w:r>
      <w:r>
        <w:rPr>
          <w:rFonts w:ascii="Arial" w:hAnsi="Arial"/>
          <w:i/>
          <w:color w:val="231F20"/>
          <w:w w:val="75"/>
          <w:sz w:val="14"/>
        </w:rPr>
        <w:t>University</w:t>
      </w:r>
      <w:r>
        <w:rPr>
          <w:rFonts w:ascii="Arial" w:hAnsi="Arial"/>
          <w:i/>
          <w:color w:val="231F20"/>
          <w:sz w:val="14"/>
        </w:rPr>
        <w:t> </w:t>
      </w:r>
      <w:r>
        <w:rPr>
          <w:rFonts w:ascii="Arial" w:hAnsi="Arial"/>
          <w:i/>
          <w:color w:val="231F20"/>
          <w:w w:val="75"/>
          <w:sz w:val="14"/>
        </w:rPr>
        <w:t>Journal</w:t>
      </w:r>
      <w:r>
        <w:rPr>
          <w:rFonts w:ascii="Arial" w:hAnsi="Arial"/>
          <w:i/>
          <w:color w:val="231F20"/>
          <w:spacing w:val="40"/>
          <w:sz w:val="14"/>
        </w:rPr>
        <w:t> </w:t>
      </w:r>
      <w:r>
        <w:rPr>
          <w:rFonts w:ascii="Arial" w:hAnsi="Arial"/>
          <w:i/>
          <w:color w:val="231F20"/>
          <w:w w:val="85"/>
          <w:sz w:val="14"/>
        </w:rPr>
        <w:t>of Social Sciences Institute</w:t>
      </w:r>
      <w:r>
        <w:rPr>
          <w:rFonts w:ascii="Arial" w:hAnsi="Arial"/>
          <w:color w:val="231F20"/>
          <w:w w:val="85"/>
          <w:sz w:val="14"/>
        </w:rPr>
        <w:t>, 325–344.</w:t>
      </w:r>
    </w:p>
    <w:p>
      <w:pPr>
        <w:spacing w:line="297" w:lineRule="auto" w:before="1"/>
        <w:ind w:left="3600" w:right="0" w:hanging="240"/>
        <w:jc w:val="left"/>
        <w:rPr>
          <w:rFonts w:ascii="Arial" w:hAnsi="Arial"/>
          <w:sz w:val="14"/>
        </w:rPr>
      </w:pPr>
      <w:r>
        <w:rPr>
          <w:rFonts w:ascii="Arial" w:hAnsi="Arial"/>
          <w:color w:val="231F20"/>
          <w:w w:val="85"/>
          <w:sz w:val="14"/>
        </w:rPr>
        <w:t>Bouazza,</w:t>
      </w:r>
      <w:r>
        <w:rPr>
          <w:rFonts w:ascii="Arial" w:hAnsi="Arial"/>
          <w:color w:val="231F20"/>
          <w:spacing w:val="-6"/>
          <w:w w:val="85"/>
          <w:sz w:val="14"/>
        </w:rPr>
        <w:t> </w:t>
      </w:r>
      <w:r>
        <w:rPr>
          <w:rFonts w:ascii="Arial" w:hAnsi="Arial"/>
          <w:color w:val="231F20"/>
          <w:w w:val="85"/>
          <w:sz w:val="14"/>
        </w:rPr>
        <w:t>S.,</w:t>
      </w:r>
      <w:r>
        <w:rPr>
          <w:rFonts w:ascii="Arial" w:hAnsi="Arial"/>
          <w:color w:val="231F20"/>
          <w:spacing w:val="-6"/>
          <w:w w:val="85"/>
          <w:sz w:val="14"/>
        </w:rPr>
        <w:t> </w:t>
      </w:r>
      <w:r>
        <w:rPr>
          <w:rFonts w:ascii="Arial" w:hAnsi="Arial"/>
          <w:color w:val="231F20"/>
          <w:w w:val="85"/>
          <w:sz w:val="14"/>
        </w:rPr>
        <w:t>Z.</w:t>
      </w:r>
      <w:r>
        <w:rPr>
          <w:rFonts w:ascii="Arial" w:hAnsi="Arial"/>
          <w:color w:val="231F20"/>
          <w:spacing w:val="-1"/>
          <w:w w:val="85"/>
          <w:sz w:val="14"/>
        </w:rPr>
        <w:t> </w:t>
      </w:r>
      <w:r>
        <w:rPr>
          <w:rFonts w:ascii="Arial" w:hAnsi="Arial"/>
          <w:color w:val="231F20"/>
          <w:w w:val="85"/>
          <w:sz w:val="14"/>
        </w:rPr>
        <w:t>Benmamoun,</w:t>
      </w:r>
      <w:r>
        <w:rPr>
          <w:rFonts w:ascii="Arial" w:hAnsi="Arial"/>
          <w:color w:val="231F20"/>
          <w:spacing w:val="-6"/>
          <w:w w:val="85"/>
          <w:sz w:val="14"/>
        </w:rPr>
        <w:t> </w:t>
      </w:r>
      <w:r>
        <w:rPr>
          <w:rFonts w:ascii="Arial" w:hAnsi="Arial"/>
          <w:color w:val="231F20"/>
          <w:w w:val="85"/>
          <w:sz w:val="14"/>
        </w:rPr>
        <w:t>and</w:t>
      </w:r>
      <w:r>
        <w:rPr>
          <w:rFonts w:ascii="Arial" w:hAnsi="Arial"/>
          <w:color w:val="231F20"/>
          <w:spacing w:val="-1"/>
          <w:w w:val="85"/>
          <w:sz w:val="14"/>
        </w:rPr>
        <w:t> </w:t>
      </w:r>
      <w:r>
        <w:rPr>
          <w:rFonts w:ascii="Arial" w:hAnsi="Arial"/>
          <w:color w:val="231F20"/>
          <w:w w:val="85"/>
          <w:sz w:val="14"/>
        </w:rPr>
        <w:t>H.</w:t>
      </w:r>
      <w:r>
        <w:rPr>
          <w:rFonts w:ascii="Arial" w:hAnsi="Arial"/>
          <w:color w:val="231F20"/>
          <w:spacing w:val="-1"/>
          <w:w w:val="85"/>
          <w:sz w:val="14"/>
        </w:rPr>
        <w:t> </w:t>
      </w:r>
      <w:r>
        <w:rPr>
          <w:rFonts w:ascii="Arial" w:hAnsi="Arial"/>
          <w:color w:val="231F20"/>
          <w:w w:val="85"/>
          <w:sz w:val="14"/>
        </w:rPr>
        <w:t>Hachimi.</w:t>
      </w:r>
      <w:r>
        <w:rPr>
          <w:rFonts w:ascii="Arial" w:hAnsi="Arial"/>
          <w:color w:val="231F20"/>
          <w:spacing w:val="-1"/>
          <w:w w:val="85"/>
          <w:sz w:val="14"/>
        </w:rPr>
        <w:t> </w:t>
      </w:r>
      <w:r>
        <w:rPr>
          <w:rFonts w:ascii="Arial" w:hAnsi="Arial"/>
          <w:color w:val="231F20"/>
          <w:w w:val="85"/>
          <w:sz w:val="14"/>
        </w:rPr>
        <w:t>2019.</w:t>
      </w:r>
      <w:r>
        <w:rPr>
          <w:rFonts w:ascii="Arial" w:hAnsi="Arial"/>
          <w:color w:val="231F20"/>
          <w:spacing w:val="-6"/>
          <w:w w:val="85"/>
          <w:sz w:val="14"/>
        </w:rPr>
        <w:t> </w:t>
      </w:r>
      <w:r>
        <w:rPr>
          <w:rFonts w:ascii="Arial" w:hAnsi="Arial"/>
          <w:color w:val="231F20"/>
          <w:w w:val="85"/>
          <w:sz w:val="14"/>
        </w:rPr>
        <w:t>“Optimization</w:t>
      </w:r>
      <w:r>
        <w:rPr>
          <w:rFonts w:ascii="Arial" w:hAnsi="Arial"/>
          <w:color w:val="231F20"/>
          <w:spacing w:val="-1"/>
          <w:w w:val="85"/>
          <w:sz w:val="14"/>
        </w:rPr>
        <w:t> </w:t>
      </w:r>
      <w:r>
        <w:rPr>
          <w:rFonts w:ascii="Arial" w:hAnsi="Arial"/>
          <w:color w:val="231F20"/>
          <w:w w:val="85"/>
          <w:sz w:val="14"/>
        </w:rPr>
        <w:t>of</w:t>
      </w:r>
      <w:r>
        <w:rPr>
          <w:rFonts w:ascii="Arial" w:hAnsi="Arial"/>
          <w:color w:val="231F20"/>
          <w:spacing w:val="40"/>
          <w:sz w:val="14"/>
        </w:rPr>
        <w:t> </w:t>
      </w:r>
      <w:r>
        <w:rPr>
          <w:rFonts w:ascii="Arial" w:hAnsi="Arial"/>
          <w:color w:val="231F20"/>
          <w:spacing w:val="-2"/>
          <w:w w:val="80"/>
          <w:sz w:val="14"/>
        </w:rPr>
        <w:t>Logistics</w:t>
      </w:r>
      <w:r>
        <w:rPr>
          <w:rFonts w:ascii="Arial" w:hAnsi="Arial"/>
          <w:color w:val="231F20"/>
          <w:sz w:val="14"/>
        </w:rPr>
        <w:t> </w:t>
      </w:r>
      <w:r>
        <w:rPr>
          <w:rFonts w:ascii="Arial" w:hAnsi="Arial"/>
          <w:color w:val="231F20"/>
          <w:spacing w:val="-2"/>
          <w:w w:val="80"/>
          <w:sz w:val="14"/>
        </w:rPr>
        <w:t>to</w:t>
      </w:r>
      <w:r>
        <w:rPr>
          <w:rFonts w:ascii="Arial" w:hAnsi="Arial"/>
          <w:color w:val="231F20"/>
          <w:sz w:val="14"/>
        </w:rPr>
        <w:t> </w:t>
      </w:r>
      <w:r>
        <w:rPr>
          <w:rFonts w:ascii="Arial" w:hAnsi="Arial"/>
          <w:color w:val="231F20"/>
          <w:spacing w:val="-2"/>
          <w:w w:val="80"/>
          <w:sz w:val="14"/>
        </w:rPr>
        <w:t>Support</w:t>
      </w:r>
      <w:r>
        <w:rPr>
          <w:rFonts w:ascii="Arial" w:hAnsi="Arial"/>
          <w:color w:val="231F20"/>
          <w:sz w:val="14"/>
        </w:rPr>
        <w:t> </w:t>
      </w:r>
      <w:r>
        <w:rPr>
          <w:rFonts w:ascii="Arial" w:hAnsi="Arial"/>
          <w:color w:val="231F20"/>
          <w:spacing w:val="-2"/>
          <w:w w:val="80"/>
          <w:sz w:val="14"/>
        </w:rPr>
        <w:t>the African’s</w:t>
      </w:r>
      <w:r>
        <w:rPr>
          <w:rFonts w:ascii="Arial" w:hAnsi="Arial"/>
          <w:color w:val="231F20"/>
          <w:sz w:val="14"/>
        </w:rPr>
        <w:t> </w:t>
      </w:r>
      <w:r>
        <w:rPr>
          <w:rFonts w:ascii="Arial" w:hAnsi="Arial"/>
          <w:color w:val="231F20"/>
          <w:spacing w:val="-2"/>
          <w:w w:val="80"/>
          <w:sz w:val="14"/>
        </w:rPr>
        <w:t>Development.” </w:t>
      </w:r>
      <w:r>
        <w:rPr>
          <w:rFonts w:ascii="Arial" w:hAnsi="Arial"/>
          <w:i/>
          <w:color w:val="231F20"/>
          <w:spacing w:val="-2"/>
          <w:w w:val="80"/>
          <w:sz w:val="14"/>
        </w:rPr>
        <w:t>2019</w:t>
      </w:r>
      <w:r>
        <w:rPr>
          <w:rFonts w:ascii="Arial" w:hAnsi="Arial"/>
          <w:i/>
          <w:color w:val="231F20"/>
          <w:sz w:val="14"/>
        </w:rPr>
        <w:t> </w:t>
      </w:r>
      <w:r>
        <w:rPr>
          <w:rFonts w:ascii="Arial" w:hAnsi="Arial"/>
          <w:i/>
          <w:color w:val="231F20"/>
          <w:spacing w:val="-2"/>
          <w:w w:val="80"/>
          <w:sz w:val="14"/>
        </w:rPr>
        <w:t>5th</w:t>
      </w:r>
      <w:r>
        <w:rPr>
          <w:rFonts w:ascii="Arial" w:hAnsi="Arial"/>
          <w:i/>
          <w:color w:val="231F20"/>
          <w:sz w:val="14"/>
        </w:rPr>
        <w:t> </w:t>
      </w:r>
      <w:r>
        <w:rPr>
          <w:rFonts w:ascii="Arial" w:hAnsi="Arial"/>
          <w:i/>
          <w:color w:val="231F20"/>
          <w:spacing w:val="-2"/>
          <w:w w:val="80"/>
          <w:sz w:val="14"/>
        </w:rPr>
        <w:t>International</w:t>
      </w:r>
      <w:r>
        <w:rPr>
          <w:rFonts w:ascii="Arial" w:hAnsi="Arial"/>
          <w:i/>
          <w:color w:val="231F20"/>
          <w:spacing w:val="40"/>
          <w:sz w:val="14"/>
        </w:rPr>
        <w:t> </w:t>
      </w:r>
      <w:r>
        <w:rPr>
          <w:rFonts w:ascii="Arial" w:hAnsi="Arial"/>
          <w:i/>
          <w:color w:val="231F20"/>
          <w:w w:val="80"/>
          <w:sz w:val="14"/>
        </w:rPr>
        <w:t>Conference on Optimization and</w:t>
      </w:r>
      <w:r>
        <w:rPr>
          <w:rFonts w:ascii="Arial" w:hAnsi="Arial"/>
          <w:i/>
          <w:color w:val="231F20"/>
          <w:spacing w:val="-1"/>
          <w:w w:val="80"/>
          <w:sz w:val="14"/>
        </w:rPr>
        <w:t> </w:t>
      </w:r>
      <w:r>
        <w:rPr>
          <w:rFonts w:ascii="Arial" w:hAnsi="Arial"/>
          <w:i/>
          <w:color w:val="231F20"/>
          <w:w w:val="80"/>
          <w:sz w:val="14"/>
        </w:rPr>
        <w:t>Applications (ICOA)</w:t>
      </w:r>
      <w:r>
        <w:rPr>
          <w:rFonts w:ascii="Arial" w:hAnsi="Arial"/>
          <w:color w:val="231F20"/>
          <w:w w:val="80"/>
          <w:sz w:val="14"/>
        </w:rPr>
        <w:t>,</w:t>
      </w:r>
      <w:r>
        <w:rPr>
          <w:rFonts w:ascii="Arial" w:hAnsi="Arial"/>
          <w:color w:val="231F20"/>
          <w:spacing w:val="-1"/>
          <w:w w:val="80"/>
          <w:sz w:val="14"/>
        </w:rPr>
        <w:t> </w:t>
      </w:r>
      <w:r>
        <w:rPr>
          <w:rFonts w:ascii="Arial" w:hAnsi="Arial"/>
          <w:color w:val="231F20"/>
          <w:w w:val="80"/>
          <w:sz w:val="14"/>
        </w:rPr>
        <w:t>1–5.</w:t>
      </w:r>
    </w:p>
    <w:p>
      <w:pPr>
        <w:spacing w:line="297" w:lineRule="auto" w:before="102"/>
        <w:ind w:left="435" w:right="962" w:hanging="240"/>
        <w:jc w:val="both"/>
        <w:rPr>
          <w:rFonts w:ascii="Arial" w:hAnsi="Arial"/>
          <w:sz w:val="14"/>
        </w:rPr>
      </w:pPr>
      <w:r>
        <w:rPr/>
        <w:br w:type="column"/>
      </w:r>
      <w:r>
        <w:rPr>
          <w:rFonts w:ascii="Arial" w:hAnsi="Arial"/>
          <w:color w:val="231F20"/>
          <w:w w:val="80"/>
          <w:sz w:val="14"/>
        </w:rPr>
        <w:t>Castro Alegría, R., and</w:t>
      </w:r>
      <w:r>
        <w:rPr>
          <w:rFonts w:ascii="Arial" w:hAnsi="Arial"/>
          <w:color w:val="231F20"/>
          <w:sz w:val="14"/>
        </w:rPr>
        <w:t> </w:t>
      </w:r>
      <w:r>
        <w:rPr>
          <w:rFonts w:ascii="Arial" w:hAnsi="Arial"/>
          <w:color w:val="231F20"/>
          <w:w w:val="80"/>
          <w:sz w:val="14"/>
        </w:rPr>
        <w:t>E.</w:t>
      </w:r>
      <w:r>
        <w:rPr>
          <w:rFonts w:ascii="Arial" w:hAnsi="Arial"/>
          <w:color w:val="231F20"/>
          <w:sz w:val="14"/>
        </w:rPr>
        <w:t> </w:t>
      </w:r>
      <w:r>
        <w:rPr>
          <w:rFonts w:ascii="Arial" w:hAnsi="Arial"/>
          <w:color w:val="231F20"/>
          <w:w w:val="80"/>
          <w:sz w:val="14"/>
        </w:rPr>
        <w:t>Pastrana.</w:t>
      </w:r>
      <w:r>
        <w:rPr>
          <w:rFonts w:ascii="Arial" w:hAnsi="Arial"/>
          <w:color w:val="231F20"/>
          <w:sz w:val="14"/>
        </w:rPr>
        <w:t> </w:t>
      </w:r>
      <w:r>
        <w:rPr>
          <w:rFonts w:ascii="Arial" w:hAnsi="Arial"/>
          <w:color w:val="231F20"/>
          <w:w w:val="80"/>
          <w:sz w:val="14"/>
        </w:rPr>
        <w:t>2019. “With A</w:t>
      </w:r>
      <w:r>
        <w:rPr>
          <w:rFonts w:ascii="Arial" w:hAnsi="Arial"/>
          <w:color w:val="231F20"/>
          <w:sz w:val="14"/>
        </w:rPr>
        <w:t> </w:t>
      </w:r>
      <w:r>
        <w:rPr>
          <w:rFonts w:ascii="Arial" w:hAnsi="Arial"/>
          <w:color w:val="231F20"/>
          <w:w w:val="80"/>
          <w:sz w:val="14"/>
        </w:rPr>
        <w:t>Little</w:t>
      </w:r>
      <w:r>
        <w:rPr>
          <w:rFonts w:ascii="Arial" w:hAnsi="Arial"/>
          <w:color w:val="231F20"/>
          <w:sz w:val="14"/>
        </w:rPr>
        <w:t> </w:t>
      </w:r>
      <w:r>
        <w:rPr>
          <w:rFonts w:ascii="Arial" w:hAnsi="Arial"/>
          <w:color w:val="231F20"/>
          <w:w w:val="80"/>
          <w:sz w:val="14"/>
        </w:rPr>
        <w:t>Help</w:t>
      </w:r>
      <w:r>
        <w:rPr>
          <w:rFonts w:ascii="Arial" w:hAnsi="Arial"/>
          <w:color w:val="231F20"/>
          <w:sz w:val="14"/>
        </w:rPr>
        <w:t> </w:t>
      </w:r>
      <w:r>
        <w:rPr>
          <w:rFonts w:ascii="Arial" w:hAnsi="Arial"/>
          <w:color w:val="231F20"/>
          <w:w w:val="80"/>
          <w:sz w:val="14"/>
        </w:rPr>
        <w:t>From</w:t>
      </w:r>
      <w:r>
        <w:rPr>
          <w:rFonts w:ascii="Arial" w:hAnsi="Arial"/>
          <w:color w:val="231F20"/>
          <w:spacing w:val="40"/>
          <w:sz w:val="14"/>
        </w:rPr>
        <w:t> </w:t>
      </w:r>
      <w:r>
        <w:rPr>
          <w:rFonts w:ascii="Arial" w:hAnsi="Arial"/>
          <w:color w:val="231F20"/>
          <w:w w:val="75"/>
          <w:sz w:val="14"/>
        </w:rPr>
        <w:t>My</w:t>
      </w:r>
      <w:r>
        <w:rPr>
          <w:rFonts w:ascii="Arial" w:hAnsi="Arial"/>
          <w:color w:val="231F20"/>
          <w:spacing w:val="-1"/>
          <w:sz w:val="14"/>
        </w:rPr>
        <w:t> </w:t>
      </w:r>
      <w:r>
        <w:rPr>
          <w:rFonts w:ascii="Arial" w:hAnsi="Arial"/>
          <w:color w:val="231F20"/>
          <w:w w:val="75"/>
          <w:sz w:val="14"/>
        </w:rPr>
        <w:t>Friends:</w:t>
      </w:r>
      <w:r>
        <w:rPr>
          <w:rFonts w:ascii="Arial" w:hAnsi="Arial"/>
          <w:color w:val="231F20"/>
          <w:spacing w:val="-6"/>
          <w:sz w:val="14"/>
        </w:rPr>
        <w:t> </w:t>
      </w:r>
      <w:r>
        <w:rPr>
          <w:rFonts w:ascii="Arial" w:hAnsi="Arial"/>
          <w:color w:val="231F20"/>
          <w:w w:val="75"/>
          <w:sz w:val="14"/>
        </w:rPr>
        <w:t>Retos</w:t>
      </w:r>
      <w:r>
        <w:rPr>
          <w:rFonts w:ascii="Arial" w:hAnsi="Arial"/>
          <w:color w:val="231F20"/>
          <w:sz w:val="14"/>
        </w:rPr>
        <w:t> </w:t>
      </w:r>
      <w:r>
        <w:rPr>
          <w:rFonts w:ascii="Arial" w:hAnsi="Arial"/>
          <w:color w:val="231F20"/>
          <w:w w:val="75"/>
          <w:sz w:val="14"/>
        </w:rPr>
        <w:t>y</w:t>
      </w:r>
      <w:r>
        <w:rPr>
          <w:rFonts w:ascii="Arial" w:hAnsi="Arial"/>
          <w:color w:val="231F20"/>
          <w:sz w:val="14"/>
        </w:rPr>
        <w:t> </w:t>
      </w:r>
      <w:r>
        <w:rPr>
          <w:rFonts w:ascii="Arial" w:hAnsi="Arial"/>
          <w:color w:val="231F20"/>
          <w:w w:val="75"/>
          <w:sz w:val="14"/>
        </w:rPr>
        <w:t>Perspectivas</w:t>
      </w:r>
      <w:r>
        <w:rPr>
          <w:rFonts w:ascii="Arial" w:hAnsi="Arial"/>
          <w:color w:val="231F20"/>
          <w:sz w:val="14"/>
        </w:rPr>
        <w:t> </w:t>
      </w:r>
      <w:r>
        <w:rPr>
          <w:rFonts w:ascii="Arial" w:hAnsi="Arial"/>
          <w:color w:val="231F20"/>
          <w:w w:val="75"/>
          <w:sz w:val="14"/>
        </w:rPr>
        <w:t>De</w:t>
      </w:r>
      <w:r>
        <w:rPr>
          <w:rFonts w:ascii="Arial" w:hAnsi="Arial"/>
          <w:color w:val="231F20"/>
          <w:sz w:val="14"/>
        </w:rPr>
        <w:t> </w:t>
      </w:r>
      <w:r>
        <w:rPr>
          <w:rFonts w:ascii="Arial" w:hAnsi="Arial"/>
          <w:color w:val="231F20"/>
          <w:w w:val="75"/>
          <w:sz w:val="14"/>
        </w:rPr>
        <w:t>Colombia</w:t>
      </w:r>
      <w:r>
        <w:rPr>
          <w:rFonts w:ascii="Arial" w:hAnsi="Arial"/>
          <w:color w:val="231F20"/>
          <w:sz w:val="14"/>
        </w:rPr>
        <w:t> </w:t>
      </w:r>
      <w:r>
        <w:rPr>
          <w:rFonts w:ascii="Arial" w:hAnsi="Arial"/>
          <w:color w:val="231F20"/>
          <w:w w:val="75"/>
          <w:sz w:val="14"/>
        </w:rPr>
        <w:t>En</w:t>
      </w:r>
      <w:r>
        <w:rPr>
          <w:rFonts w:ascii="Arial" w:hAnsi="Arial"/>
          <w:color w:val="231F20"/>
          <w:spacing w:val="-1"/>
          <w:sz w:val="14"/>
        </w:rPr>
        <w:t> </w:t>
      </w:r>
      <w:r>
        <w:rPr>
          <w:rFonts w:ascii="Arial" w:hAnsi="Arial"/>
          <w:color w:val="231F20"/>
          <w:w w:val="75"/>
          <w:sz w:val="14"/>
        </w:rPr>
        <w:t>La</w:t>
      </w:r>
      <w:r>
        <w:rPr>
          <w:rFonts w:ascii="Arial" w:hAnsi="Arial"/>
          <w:color w:val="231F20"/>
          <w:spacing w:val="-6"/>
          <w:sz w:val="14"/>
        </w:rPr>
        <w:t> </w:t>
      </w:r>
      <w:r>
        <w:rPr>
          <w:rFonts w:ascii="Arial" w:hAnsi="Arial"/>
          <w:color w:val="231F20"/>
          <w:w w:val="75"/>
          <w:sz w:val="14"/>
        </w:rPr>
        <w:t>Alianza</w:t>
      </w:r>
      <w:r>
        <w:rPr>
          <w:rFonts w:ascii="Arial" w:hAnsi="Arial"/>
          <w:color w:val="231F20"/>
          <w:sz w:val="14"/>
        </w:rPr>
        <w:t> </w:t>
      </w:r>
      <w:r>
        <w:rPr>
          <w:rFonts w:ascii="Arial" w:hAnsi="Arial"/>
          <w:color w:val="231F20"/>
          <w:spacing w:val="-5"/>
          <w:w w:val="75"/>
          <w:sz w:val="14"/>
        </w:rPr>
        <w:t>Del</w:t>
      </w:r>
    </w:p>
    <w:p>
      <w:pPr>
        <w:spacing w:line="297" w:lineRule="auto" w:before="1"/>
        <w:ind w:left="435" w:right="768" w:firstLine="0"/>
        <w:jc w:val="both"/>
        <w:rPr>
          <w:rFonts w:ascii="Arial" w:hAnsi="Arial"/>
          <w:sz w:val="14"/>
        </w:rPr>
      </w:pPr>
      <w:r>
        <w:rPr>
          <w:rFonts w:ascii="Arial" w:hAnsi="Arial"/>
          <w:color w:val="231F20"/>
          <w:w w:val="75"/>
          <w:sz w:val="14"/>
        </w:rPr>
        <w:t>Pacífico.” </w:t>
      </w:r>
      <w:r>
        <w:rPr>
          <w:rFonts w:ascii="Arial" w:hAnsi="Arial"/>
          <w:i/>
          <w:color w:val="231F20"/>
          <w:w w:val="75"/>
          <w:sz w:val="14"/>
        </w:rPr>
        <w:t>Colombia</w:t>
      </w:r>
      <w:r>
        <w:rPr>
          <w:rFonts w:ascii="Arial" w:hAnsi="Arial"/>
          <w:i/>
          <w:color w:val="231F20"/>
          <w:sz w:val="14"/>
        </w:rPr>
        <w:t> </w:t>
      </w:r>
      <w:r>
        <w:rPr>
          <w:rFonts w:ascii="Arial" w:hAnsi="Arial"/>
          <w:i/>
          <w:color w:val="231F20"/>
          <w:w w:val="75"/>
          <w:sz w:val="14"/>
        </w:rPr>
        <w:t>En</w:t>
      </w:r>
      <w:r>
        <w:rPr>
          <w:rFonts w:ascii="Arial" w:hAnsi="Arial"/>
          <w:i/>
          <w:color w:val="231F20"/>
          <w:sz w:val="14"/>
        </w:rPr>
        <w:t> </w:t>
      </w:r>
      <w:r>
        <w:rPr>
          <w:rFonts w:ascii="Arial" w:hAnsi="Arial"/>
          <w:i/>
          <w:color w:val="231F20"/>
          <w:w w:val="75"/>
          <w:sz w:val="14"/>
        </w:rPr>
        <w:t>Su</w:t>
      </w:r>
      <w:r>
        <w:rPr>
          <w:rFonts w:ascii="Arial" w:hAnsi="Arial"/>
          <w:i/>
          <w:color w:val="231F20"/>
          <w:sz w:val="14"/>
        </w:rPr>
        <w:t> </w:t>
      </w:r>
      <w:r>
        <w:rPr>
          <w:rFonts w:ascii="Arial" w:hAnsi="Arial"/>
          <w:i/>
          <w:color w:val="231F20"/>
          <w:w w:val="75"/>
          <w:sz w:val="14"/>
        </w:rPr>
        <w:t>Ruta, Recorriendo</w:t>
      </w:r>
      <w:r>
        <w:rPr>
          <w:rFonts w:ascii="Arial" w:hAnsi="Arial"/>
          <w:i/>
          <w:color w:val="231F20"/>
          <w:sz w:val="14"/>
        </w:rPr>
        <w:t> </w:t>
      </w:r>
      <w:r>
        <w:rPr>
          <w:rFonts w:ascii="Arial" w:hAnsi="Arial"/>
          <w:i/>
          <w:color w:val="231F20"/>
          <w:w w:val="75"/>
          <w:sz w:val="14"/>
        </w:rPr>
        <w:t>El</w:t>
      </w:r>
      <w:r>
        <w:rPr>
          <w:rFonts w:ascii="Arial" w:hAnsi="Arial"/>
          <w:i/>
          <w:color w:val="231F20"/>
          <w:sz w:val="14"/>
        </w:rPr>
        <w:t> </w:t>
      </w:r>
      <w:r>
        <w:rPr>
          <w:rFonts w:ascii="Arial" w:hAnsi="Arial"/>
          <w:i/>
          <w:color w:val="231F20"/>
          <w:w w:val="75"/>
          <w:sz w:val="14"/>
        </w:rPr>
        <w:t>Camino</w:t>
      </w:r>
      <w:r>
        <w:rPr>
          <w:rFonts w:ascii="Arial" w:hAnsi="Arial"/>
          <w:i/>
          <w:color w:val="231F20"/>
          <w:sz w:val="14"/>
        </w:rPr>
        <w:t> </w:t>
      </w:r>
      <w:r>
        <w:rPr>
          <w:rFonts w:ascii="Arial" w:hAnsi="Arial"/>
          <w:i/>
          <w:color w:val="231F20"/>
          <w:w w:val="75"/>
          <w:sz w:val="14"/>
        </w:rPr>
        <w:t>Hacia</w:t>
      </w:r>
      <w:r>
        <w:rPr>
          <w:rFonts w:ascii="Arial" w:hAnsi="Arial"/>
          <w:i/>
          <w:color w:val="231F20"/>
          <w:sz w:val="14"/>
        </w:rPr>
        <w:t> </w:t>
      </w:r>
      <w:r>
        <w:rPr>
          <w:rFonts w:ascii="Arial" w:hAnsi="Arial"/>
          <w:i/>
          <w:color w:val="231F20"/>
          <w:w w:val="75"/>
          <w:sz w:val="14"/>
        </w:rPr>
        <w:t>2050</w:t>
      </w:r>
      <w:r>
        <w:rPr>
          <w:rFonts w:ascii="Arial" w:hAnsi="Arial"/>
          <w:color w:val="231F20"/>
          <w:w w:val="75"/>
          <w:sz w:val="14"/>
        </w:rPr>
        <w:t>,</w:t>
      </w:r>
      <w:r>
        <w:rPr>
          <w:rFonts w:ascii="Arial" w:hAnsi="Arial"/>
          <w:color w:val="231F20"/>
          <w:spacing w:val="40"/>
          <w:sz w:val="14"/>
        </w:rPr>
        <w:t> </w:t>
      </w:r>
      <w:r>
        <w:rPr>
          <w:rFonts w:ascii="Arial" w:hAnsi="Arial"/>
          <w:color w:val="231F20"/>
          <w:w w:val="85"/>
          <w:sz w:val="14"/>
        </w:rPr>
        <w:t>245–276.</w:t>
      </w:r>
      <w:r>
        <w:rPr>
          <w:rFonts w:ascii="Arial" w:hAnsi="Arial"/>
          <w:color w:val="231F20"/>
          <w:spacing w:val="-6"/>
          <w:w w:val="85"/>
          <w:sz w:val="14"/>
        </w:rPr>
        <w:t> </w:t>
      </w:r>
      <w:r>
        <w:rPr>
          <w:rFonts w:ascii="Arial" w:hAnsi="Arial"/>
          <w:color w:val="231F20"/>
          <w:w w:val="85"/>
          <w:sz w:val="14"/>
        </w:rPr>
        <w:t>Fundación</w:t>
      </w:r>
      <w:r>
        <w:rPr>
          <w:rFonts w:ascii="Arial" w:hAnsi="Arial"/>
          <w:color w:val="231F20"/>
          <w:spacing w:val="-4"/>
          <w:w w:val="85"/>
          <w:sz w:val="14"/>
        </w:rPr>
        <w:t> </w:t>
      </w:r>
      <w:r>
        <w:rPr>
          <w:rFonts w:ascii="Arial" w:hAnsi="Arial"/>
          <w:color w:val="231F20"/>
          <w:w w:val="85"/>
          <w:sz w:val="14"/>
        </w:rPr>
        <w:t>Konrad</w:t>
      </w:r>
      <w:r>
        <w:rPr>
          <w:rFonts w:ascii="Arial" w:hAnsi="Arial"/>
          <w:color w:val="231F20"/>
          <w:spacing w:val="-5"/>
          <w:w w:val="85"/>
          <w:sz w:val="14"/>
        </w:rPr>
        <w:t> </w:t>
      </w:r>
      <w:r>
        <w:rPr>
          <w:rFonts w:ascii="Arial" w:hAnsi="Arial"/>
          <w:color w:val="231F20"/>
          <w:w w:val="85"/>
          <w:sz w:val="14"/>
        </w:rPr>
        <w:t>Adenauer</w:t>
      </w:r>
      <w:r>
        <w:rPr>
          <w:rFonts w:ascii="Arial" w:hAnsi="Arial"/>
          <w:color w:val="231F20"/>
          <w:spacing w:val="-4"/>
          <w:w w:val="85"/>
          <w:sz w:val="14"/>
        </w:rPr>
        <w:t> </w:t>
      </w:r>
      <w:r>
        <w:rPr>
          <w:rFonts w:ascii="Arial" w:hAnsi="Arial"/>
          <w:color w:val="231F20"/>
          <w:w w:val="85"/>
          <w:sz w:val="14"/>
        </w:rPr>
        <w:t>Colombia.</w:t>
      </w:r>
    </w:p>
    <w:p>
      <w:pPr>
        <w:spacing w:before="1"/>
        <w:ind w:left="195" w:right="0" w:firstLine="0"/>
        <w:jc w:val="both"/>
        <w:rPr>
          <w:rFonts w:ascii="Arial" w:hAnsi="Arial"/>
          <w:sz w:val="14"/>
        </w:rPr>
      </w:pPr>
      <w:r>
        <w:rPr>
          <w:rFonts w:ascii="Arial" w:hAnsi="Arial"/>
          <w:color w:val="231F20"/>
          <w:w w:val="80"/>
          <w:sz w:val="14"/>
        </w:rPr>
        <w:t>Çelebi,</w:t>
      </w:r>
      <w:r>
        <w:rPr>
          <w:rFonts w:ascii="Arial" w:hAnsi="Arial"/>
          <w:color w:val="231F20"/>
          <w:spacing w:val="-4"/>
          <w:w w:val="80"/>
          <w:sz w:val="14"/>
        </w:rPr>
        <w:t> </w:t>
      </w:r>
      <w:r>
        <w:rPr>
          <w:rFonts w:ascii="Arial" w:hAnsi="Arial"/>
          <w:color w:val="231F20"/>
          <w:w w:val="80"/>
          <w:sz w:val="14"/>
        </w:rPr>
        <w:t>D.</w:t>
      </w:r>
      <w:r>
        <w:rPr>
          <w:rFonts w:ascii="Arial" w:hAnsi="Arial"/>
          <w:color w:val="231F20"/>
          <w:spacing w:val="-2"/>
          <w:w w:val="80"/>
          <w:sz w:val="14"/>
        </w:rPr>
        <w:t> </w:t>
      </w:r>
      <w:r>
        <w:rPr>
          <w:rFonts w:ascii="Arial" w:hAnsi="Arial"/>
          <w:color w:val="231F20"/>
          <w:w w:val="80"/>
          <w:sz w:val="14"/>
        </w:rPr>
        <w:t>2019.</w:t>
      </w:r>
      <w:r>
        <w:rPr>
          <w:rFonts w:ascii="Arial" w:hAnsi="Arial"/>
          <w:color w:val="231F20"/>
          <w:spacing w:val="-3"/>
          <w:w w:val="80"/>
          <w:sz w:val="14"/>
        </w:rPr>
        <w:t> </w:t>
      </w:r>
      <w:r>
        <w:rPr>
          <w:rFonts w:ascii="Arial" w:hAnsi="Arial"/>
          <w:color w:val="231F20"/>
          <w:w w:val="80"/>
          <w:sz w:val="14"/>
        </w:rPr>
        <w:t>“The</w:t>
      </w:r>
      <w:r>
        <w:rPr>
          <w:rFonts w:ascii="Arial" w:hAnsi="Arial"/>
          <w:color w:val="231F20"/>
          <w:spacing w:val="-2"/>
          <w:w w:val="80"/>
          <w:sz w:val="14"/>
        </w:rPr>
        <w:t> </w:t>
      </w:r>
      <w:r>
        <w:rPr>
          <w:rFonts w:ascii="Arial" w:hAnsi="Arial"/>
          <w:color w:val="231F20"/>
          <w:w w:val="80"/>
          <w:sz w:val="14"/>
        </w:rPr>
        <w:t>Role of Logistics</w:t>
      </w:r>
      <w:r>
        <w:rPr>
          <w:rFonts w:ascii="Arial" w:hAnsi="Arial"/>
          <w:color w:val="231F20"/>
          <w:spacing w:val="-1"/>
          <w:w w:val="80"/>
          <w:sz w:val="14"/>
        </w:rPr>
        <w:t> </w:t>
      </w:r>
      <w:r>
        <w:rPr>
          <w:rFonts w:ascii="Arial" w:hAnsi="Arial"/>
          <w:color w:val="231F20"/>
          <w:w w:val="80"/>
          <w:sz w:val="14"/>
        </w:rPr>
        <w:t>Performance</w:t>
      </w:r>
      <w:r>
        <w:rPr>
          <w:rFonts w:ascii="Arial" w:hAnsi="Arial"/>
          <w:color w:val="231F20"/>
          <w:spacing w:val="-7"/>
          <w:sz w:val="14"/>
        </w:rPr>
        <w:t> </w:t>
      </w:r>
      <w:r>
        <w:rPr>
          <w:rFonts w:ascii="Arial" w:hAnsi="Arial"/>
          <w:color w:val="231F20"/>
          <w:w w:val="80"/>
          <w:sz w:val="14"/>
        </w:rPr>
        <w:t>in</w:t>
      </w:r>
      <w:r>
        <w:rPr>
          <w:rFonts w:ascii="Arial" w:hAnsi="Arial"/>
          <w:color w:val="231F20"/>
          <w:spacing w:val="-8"/>
          <w:sz w:val="14"/>
        </w:rPr>
        <w:t> </w:t>
      </w:r>
      <w:r>
        <w:rPr>
          <w:rFonts w:ascii="Arial" w:hAnsi="Arial"/>
          <w:color w:val="231F20"/>
          <w:w w:val="80"/>
          <w:sz w:val="14"/>
        </w:rPr>
        <w:t>Promoting</w:t>
      </w:r>
      <w:r>
        <w:rPr>
          <w:rFonts w:ascii="Arial" w:hAnsi="Arial"/>
          <w:color w:val="231F20"/>
          <w:spacing w:val="-3"/>
          <w:w w:val="80"/>
          <w:sz w:val="14"/>
        </w:rPr>
        <w:t> </w:t>
      </w:r>
      <w:r>
        <w:rPr>
          <w:rFonts w:ascii="Arial" w:hAnsi="Arial"/>
          <w:color w:val="231F20"/>
          <w:spacing w:val="-2"/>
          <w:w w:val="80"/>
          <w:sz w:val="14"/>
        </w:rPr>
        <w:t>Trade.”</w:t>
      </w:r>
    </w:p>
    <w:p>
      <w:pPr>
        <w:spacing w:before="39"/>
        <w:ind w:left="435" w:right="0" w:firstLine="0"/>
        <w:jc w:val="both"/>
        <w:rPr>
          <w:rFonts w:ascii="Arial" w:hAnsi="Arial"/>
          <w:sz w:val="14"/>
        </w:rPr>
      </w:pPr>
      <w:r>
        <w:rPr>
          <w:rFonts w:ascii="Arial" w:hAnsi="Arial"/>
          <w:i/>
          <w:color w:val="231F20"/>
          <w:w w:val="80"/>
          <w:sz w:val="14"/>
        </w:rPr>
        <w:t>Maritime</w:t>
      </w:r>
      <w:r>
        <w:rPr>
          <w:rFonts w:ascii="Arial" w:hAnsi="Arial"/>
          <w:i/>
          <w:color w:val="231F20"/>
          <w:spacing w:val="-2"/>
          <w:w w:val="80"/>
          <w:sz w:val="14"/>
        </w:rPr>
        <w:t> </w:t>
      </w:r>
      <w:r>
        <w:rPr>
          <w:rFonts w:ascii="Arial" w:hAnsi="Arial"/>
          <w:i/>
          <w:color w:val="231F20"/>
          <w:w w:val="80"/>
          <w:sz w:val="14"/>
        </w:rPr>
        <w:t>Economics</w:t>
      </w:r>
      <w:r>
        <w:rPr>
          <w:rFonts w:ascii="Arial" w:hAnsi="Arial"/>
          <w:i/>
          <w:color w:val="231F20"/>
          <w:spacing w:val="-8"/>
          <w:sz w:val="14"/>
        </w:rPr>
        <w:t> </w:t>
      </w:r>
      <w:r>
        <w:rPr>
          <w:rFonts w:ascii="Arial" w:hAnsi="Arial"/>
          <w:i/>
          <w:color w:val="231F20"/>
          <w:w w:val="80"/>
          <w:sz w:val="14"/>
        </w:rPr>
        <w:t>&amp;</w:t>
      </w:r>
      <w:r>
        <w:rPr>
          <w:rFonts w:ascii="Arial" w:hAnsi="Arial"/>
          <w:i/>
          <w:color w:val="231F20"/>
          <w:spacing w:val="-8"/>
          <w:sz w:val="14"/>
        </w:rPr>
        <w:t> </w:t>
      </w:r>
      <w:r>
        <w:rPr>
          <w:rFonts w:ascii="Arial" w:hAnsi="Arial"/>
          <w:i/>
          <w:color w:val="231F20"/>
          <w:w w:val="80"/>
          <w:sz w:val="14"/>
        </w:rPr>
        <w:t>Logistics</w:t>
      </w:r>
      <w:r>
        <w:rPr>
          <w:rFonts w:ascii="Arial" w:hAnsi="Arial"/>
          <w:i/>
          <w:color w:val="231F20"/>
          <w:spacing w:val="-8"/>
          <w:sz w:val="14"/>
        </w:rPr>
        <w:t> </w:t>
      </w:r>
      <w:r>
        <w:rPr>
          <w:rFonts w:ascii="Arial" w:hAnsi="Arial"/>
          <w:color w:val="231F20"/>
          <w:w w:val="80"/>
          <w:sz w:val="14"/>
        </w:rPr>
        <w:t>21:</w:t>
      </w:r>
      <w:r>
        <w:rPr>
          <w:rFonts w:ascii="Arial" w:hAnsi="Arial"/>
          <w:color w:val="231F20"/>
          <w:spacing w:val="-3"/>
          <w:w w:val="80"/>
          <w:sz w:val="14"/>
        </w:rPr>
        <w:t> </w:t>
      </w:r>
      <w:r>
        <w:rPr>
          <w:rFonts w:ascii="Arial" w:hAnsi="Arial"/>
          <w:color w:val="231F20"/>
          <w:spacing w:val="-2"/>
          <w:w w:val="80"/>
          <w:sz w:val="14"/>
        </w:rPr>
        <w:t>307–323.</w:t>
      </w:r>
    </w:p>
    <w:p>
      <w:pPr>
        <w:spacing w:line="297" w:lineRule="auto" w:before="39"/>
        <w:ind w:left="435" w:right="789" w:hanging="240"/>
        <w:jc w:val="both"/>
        <w:rPr>
          <w:rFonts w:ascii="Arial" w:hAnsi="Arial"/>
          <w:sz w:val="14"/>
        </w:rPr>
      </w:pPr>
      <w:r>
        <w:rPr>
          <w:rFonts w:ascii="Arial" w:hAnsi="Arial"/>
          <w:color w:val="231F20"/>
          <w:w w:val="80"/>
          <w:sz w:val="14"/>
        </w:rPr>
        <w:t>Chasomeris, M., and</w:t>
      </w:r>
      <w:r>
        <w:rPr>
          <w:rFonts w:ascii="Arial" w:hAnsi="Arial"/>
          <w:color w:val="231F20"/>
          <w:sz w:val="14"/>
        </w:rPr>
        <w:t> </w:t>
      </w:r>
      <w:r>
        <w:rPr>
          <w:rFonts w:ascii="Arial" w:hAnsi="Arial"/>
          <w:color w:val="231F20"/>
          <w:w w:val="80"/>
          <w:sz w:val="14"/>
        </w:rPr>
        <w:t>S.</w:t>
      </w:r>
      <w:r>
        <w:rPr>
          <w:rFonts w:ascii="Arial" w:hAnsi="Arial"/>
          <w:color w:val="231F20"/>
          <w:sz w:val="14"/>
        </w:rPr>
        <w:t> </w:t>
      </w:r>
      <w:r>
        <w:rPr>
          <w:rFonts w:ascii="Arial" w:hAnsi="Arial"/>
          <w:color w:val="231F20"/>
          <w:w w:val="80"/>
          <w:sz w:val="14"/>
        </w:rPr>
        <w:t>Gumede.</w:t>
      </w:r>
      <w:r>
        <w:rPr>
          <w:rFonts w:ascii="Arial" w:hAnsi="Arial"/>
          <w:color w:val="231F20"/>
          <w:sz w:val="14"/>
        </w:rPr>
        <w:t> </w:t>
      </w:r>
      <w:r>
        <w:rPr>
          <w:rFonts w:ascii="Arial" w:hAnsi="Arial"/>
          <w:color w:val="231F20"/>
          <w:w w:val="80"/>
          <w:sz w:val="14"/>
        </w:rPr>
        <w:t>2022. “Regulation, Governance, and</w:t>
      </w:r>
      <w:r>
        <w:rPr>
          <w:rFonts w:ascii="Arial" w:hAnsi="Arial"/>
          <w:color w:val="231F20"/>
          <w:spacing w:val="40"/>
          <w:sz w:val="14"/>
        </w:rPr>
        <w:t> </w:t>
      </w:r>
      <w:r>
        <w:rPr>
          <w:rFonts w:ascii="Arial" w:hAnsi="Arial"/>
          <w:color w:val="231F20"/>
          <w:spacing w:val="-2"/>
          <w:w w:val="80"/>
          <w:sz w:val="14"/>
        </w:rPr>
        <w:t>Infrastructure</w:t>
      </w:r>
      <w:r>
        <w:rPr>
          <w:rFonts w:ascii="Arial" w:hAnsi="Arial"/>
          <w:color w:val="231F20"/>
          <w:sz w:val="14"/>
        </w:rPr>
        <w:t> </w:t>
      </w:r>
      <w:r>
        <w:rPr>
          <w:rFonts w:ascii="Arial" w:hAnsi="Arial"/>
          <w:color w:val="231F20"/>
          <w:spacing w:val="-2"/>
          <w:w w:val="80"/>
          <w:sz w:val="14"/>
        </w:rPr>
        <w:t>Pricing</w:t>
      </w:r>
      <w:r>
        <w:rPr>
          <w:rFonts w:ascii="Arial" w:hAnsi="Arial"/>
          <w:color w:val="231F20"/>
          <w:sz w:val="14"/>
        </w:rPr>
        <w:t> </w:t>
      </w:r>
      <w:r>
        <w:rPr>
          <w:rFonts w:ascii="Arial" w:hAnsi="Arial"/>
          <w:color w:val="231F20"/>
          <w:spacing w:val="-2"/>
          <w:w w:val="80"/>
          <w:sz w:val="14"/>
        </w:rPr>
        <w:t>in</w:t>
      </w:r>
      <w:r>
        <w:rPr>
          <w:rFonts w:ascii="Arial" w:hAnsi="Arial"/>
          <w:color w:val="231F20"/>
          <w:sz w:val="14"/>
        </w:rPr>
        <w:t> </w:t>
      </w:r>
      <w:r>
        <w:rPr>
          <w:rFonts w:ascii="Arial" w:hAnsi="Arial"/>
          <w:color w:val="231F20"/>
          <w:spacing w:val="-2"/>
          <w:w w:val="80"/>
          <w:sz w:val="14"/>
        </w:rPr>
        <w:t>South</w:t>
      </w:r>
      <w:r>
        <w:rPr>
          <w:rFonts w:ascii="Arial" w:hAnsi="Arial"/>
          <w:color w:val="231F20"/>
          <w:spacing w:val="-6"/>
          <w:sz w:val="14"/>
        </w:rPr>
        <w:t> </w:t>
      </w:r>
      <w:r>
        <w:rPr>
          <w:rFonts w:ascii="Arial" w:hAnsi="Arial"/>
          <w:color w:val="231F20"/>
          <w:spacing w:val="-2"/>
          <w:w w:val="80"/>
          <w:sz w:val="14"/>
        </w:rPr>
        <w:t>Africa’s</w:t>
      </w:r>
      <w:r>
        <w:rPr>
          <w:rFonts w:ascii="Arial" w:hAnsi="Arial"/>
          <w:color w:val="231F20"/>
          <w:sz w:val="14"/>
        </w:rPr>
        <w:t> </w:t>
      </w:r>
      <w:r>
        <w:rPr>
          <w:rFonts w:ascii="Arial" w:hAnsi="Arial"/>
          <w:color w:val="231F20"/>
          <w:spacing w:val="-2"/>
          <w:w w:val="80"/>
          <w:sz w:val="14"/>
        </w:rPr>
        <w:t>Ports</w:t>
      </w:r>
      <w:r>
        <w:rPr>
          <w:rFonts w:ascii="Arial" w:hAnsi="Arial"/>
          <w:color w:val="231F20"/>
          <w:sz w:val="14"/>
        </w:rPr>
        <w:t> </w:t>
      </w:r>
      <w:r>
        <w:rPr>
          <w:rFonts w:ascii="Arial" w:hAnsi="Arial"/>
          <w:color w:val="231F20"/>
          <w:spacing w:val="-2"/>
          <w:w w:val="80"/>
          <w:sz w:val="14"/>
        </w:rPr>
        <w:t>Sector.”</w:t>
      </w:r>
      <w:r>
        <w:rPr>
          <w:rFonts w:ascii="Arial" w:hAnsi="Arial"/>
          <w:color w:val="231F20"/>
          <w:sz w:val="14"/>
        </w:rPr>
        <w:t> </w:t>
      </w:r>
      <w:r>
        <w:rPr>
          <w:rFonts w:ascii="Arial" w:hAnsi="Arial"/>
          <w:i/>
          <w:color w:val="231F20"/>
          <w:spacing w:val="-2"/>
          <w:w w:val="80"/>
          <w:sz w:val="14"/>
        </w:rPr>
        <w:t>Regulation</w:t>
      </w:r>
      <w:r>
        <w:rPr>
          <w:rFonts w:ascii="Arial" w:hAnsi="Arial"/>
          <w:i/>
          <w:color w:val="231F20"/>
          <w:sz w:val="14"/>
        </w:rPr>
        <w:t> </w:t>
      </w:r>
      <w:r>
        <w:rPr>
          <w:rFonts w:ascii="Arial" w:hAnsi="Arial"/>
          <w:i/>
          <w:color w:val="231F20"/>
          <w:spacing w:val="-2"/>
          <w:w w:val="80"/>
          <w:sz w:val="14"/>
        </w:rPr>
        <w:t>and</w:t>
      </w:r>
      <w:r>
        <w:rPr>
          <w:rFonts w:ascii="Arial" w:hAnsi="Arial"/>
          <w:i/>
          <w:color w:val="231F20"/>
          <w:spacing w:val="40"/>
          <w:sz w:val="14"/>
        </w:rPr>
        <w:t> </w:t>
      </w:r>
      <w:r>
        <w:rPr>
          <w:rFonts w:ascii="Arial" w:hAnsi="Arial"/>
          <w:i/>
          <w:color w:val="231F20"/>
          <w:w w:val="85"/>
          <w:sz w:val="14"/>
        </w:rPr>
        <w:t>Finance in the Port Industry, </w:t>
      </w:r>
      <w:r>
        <w:rPr>
          <w:rFonts w:ascii="Arial" w:hAnsi="Arial"/>
          <w:color w:val="231F20"/>
          <w:w w:val="85"/>
          <w:sz w:val="14"/>
        </w:rPr>
        <w:t>53–67.</w:t>
      </w:r>
    </w:p>
    <w:p>
      <w:pPr>
        <w:spacing w:line="297" w:lineRule="auto" w:before="1"/>
        <w:ind w:left="435" w:right="704" w:hanging="240"/>
        <w:jc w:val="both"/>
        <w:rPr>
          <w:rFonts w:ascii="Arial" w:hAnsi="Arial"/>
          <w:sz w:val="14"/>
        </w:rPr>
      </w:pPr>
      <w:r>
        <w:rPr>
          <w:rFonts w:ascii="Arial" w:hAnsi="Arial"/>
          <w:color w:val="231F20"/>
          <w:w w:val="80"/>
          <w:sz w:val="14"/>
        </w:rPr>
        <w:t>Cho, J., E.</w:t>
      </w:r>
      <w:r>
        <w:rPr>
          <w:rFonts w:ascii="Arial" w:hAnsi="Arial"/>
          <w:color w:val="231F20"/>
          <w:sz w:val="14"/>
        </w:rPr>
        <w:t> </w:t>
      </w:r>
      <w:r>
        <w:rPr>
          <w:rFonts w:ascii="Arial" w:hAnsi="Arial"/>
          <w:color w:val="231F20"/>
          <w:w w:val="80"/>
          <w:sz w:val="14"/>
        </w:rPr>
        <w:t>K.</w:t>
      </w:r>
      <w:r>
        <w:rPr>
          <w:rFonts w:ascii="Arial" w:hAnsi="Arial"/>
          <w:color w:val="231F20"/>
          <w:sz w:val="14"/>
        </w:rPr>
        <w:t> </w:t>
      </w:r>
      <w:r>
        <w:rPr>
          <w:rFonts w:ascii="Arial" w:hAnsi="Arial"/>
          <w:color w:val="231F20"/>
          <w:w w:val="80"/>
          <w:sz w:val="14"/>
        </w:rPr>
        <w:t>Hong, J. Yoo, and</w:t>
      </w:r>
      <w:r>
        <w:rPr>
          <w:rFonts w:ascii="Arial" w:hAnsi="Arial"/>
          <w:color w:val="231F20"/>
          <w:sz w:val="14"/>
        </w:rPr>
        <w:t> </w:t>
      </w:r>
      <w:r>
        <w:rPr>
          <w:rFonts w:ascii="Arial" w:hAnsi="Arial"/>
          <w:color w:val="231F20"/>
          <w:w w:val="80"/>
          <w:sz w:val="14"/>
        </w:rPr>
        <w:t>I.</w:t>
      </w:r>
      <w:r>
        <w:rPr>
          <w:rFonts w:ascii="Arial" w:hAnsi="Arial"/>
          <w:color w:val="231F20"/>
          <w:sz w:val="14"/>
        </w:rPr>
        <w:t> </w:t>
      </w:r>
      <w:r>
        <w:rPr>
          <w:rFonts w:ascii="Arial" w:hAnsi="Arial"/>
          <w:color w:val="231F20"/>
          <w:w w:val="80"/>
          <w:sz w:val="14"/>
        </w:rPr>
        <w:t>Cheong.</w:t>
      </w:r>
      <w:r>
        <w:rPr>
          <w:rFonts w:ascii="Arial" w:hAnsi="Arial"/>
          <w:color w:val="231F20"/>
          <w:sz w:val="14"/>
        </w:rPr>
        <w:t> </w:t>
      </w:r>
      <w:r>
        <w:rPr>
          <w:rFonts w:ascii="Arial" w:hAnsi="Arial"/>
          <w:color w:val="231F20"/>
          <w:w w:val="80"/>
          <w:sz w:val="14"/>
        </w:rPr>
        <w:t>2020. “The</w:t>
      </w:r>
      <w:r>
        <w:rPr>
          <w:rFonts w:ascii="Arial" w:hAnsi="Arial"/>
          <w:color w:val="231F20"/>
          <w:sz w:val="14"/>
        </w:rPr>
        <w:t> </w:t>
      </w:r>
      <w:r>
        <w:rPr>
          <w:rFonts w:ascii="Arial" w:hAnsi="Arial"/>
          <w:color w:val="231F20"/>
          <w:w w:val="80"/>
          <w:sz w:val="14"/>
        </w:rPr>
        <w:t>Impact</w:t>
      </w:r>
      <w:r>
        <w:rPr>
          <w:rFonts w:ascii="Arial" w:hAnsi="Arial"/>
          <w:color w:val="231F20"/>
          <w:sz w:val="14"/>
        </w:rPr>
        <w:t> </w:t>
      </w:r>
      <w:r>
        <w:rPr>
          <w:rFonts w:ascii="Arial" w:hAnsi="Arial"/>
          <w:color w:val="231F20"/>
          <w:w w:val="80"/>
          <w:sz w:val="14"/>
        </w:rPr>
        <w:t>of</w:t>
      </w:r>
      <w:r>
        <w:rPr>
          <w:rFonts w:ascii="Arial" w:hAnsi="Arial"/>
          <w:color w:val="231F20"/>
          <w:sz w:val="14"/>
        </w:rPr>
        <w:t> </w:t>
      </w:r>
      <w:r>
        <w:rPr>
          <w:rFonts w:ascii="Arial" w:hAnsi="Arial"/>
          <w:color w:val="231F20"/>
          <w:w w:val="80"/>
          <w:sz w:val="14"/>
        </w:rPr>
        <w:t>Global</w:t>
      </w:r>
      <w:r>
        <w:rPr>
          <w:rFonts w:ascii="Arial" w:hAnsi="Arial"/>
          <w:color w:val="231F20"/>
          <w:spacing w:val="40"/>
          <w:sz w:val="14"/>
        </w:rPr>
        <w:t> </w:t>
      </w:r>
      <w:r>
        <w:rPr>
          <w:rFonts w:ascii="Arial" w:hAnsi="Arial"/>
          <w:color w:val="231F20"/>
          <w:w w:val="75"/>
          <w:sz w:val="14"/>
        </w:rPr>
        <w:t>Protectionism</w:t>
      </w:r>
      <w:r>
        <w:rPr>
          <w:rFonts w:ascii="Arial" w:hAnsi="Arial"/>
          <w:color w:val="231F20"/>
          <w:spacing w:val="12"/>
          <w:sz w:val="14"/>
        </w:rPr>
        <w:t> </w:t>
      </w:r>
      <w:r>
        <w:rPr>
          <w:rFonts w:ascii="Arial" w:hAnsi="Arial"/>
          <w:color w:val="231F20"/>
          <w:w w:val="75"/>
          <w:sz w:val="14"/>
        </w:rPr>
        <w:t>on</w:t>
      </w:r>
      <w:r>
        <w:rPr>
          <w:rFonts w:ascii="Arial" w:hAnsi="Arial"/>
          <w:color w:val="231F20"/>
          <w:spacing w:val="12"/>
          <w:sz w:val="14"/>
        </w:rPr>
        <w:t> </w:t>
      </w:r>
      <w:r>
        <w:rPr>
          <w:rFonts w:ascii="Arial" w:hAnsi="Arial"/>
          <w:color w:val="231F20"/>
          <w:w w:val="75"/>
          <w:sz w:val="14"/>
        </w:rPr>
        <w:t>Port</w:t>
      </w:r>
      <w:r>
        <w:rPr>
          <w:rFonts w:ascii="Arial" w:hAnsi="Arial"/>
          <w:color w:val="231F20"/>
          <w:spacing w:val="13"/>
          <w:sz w:val="14"/>
        </w:rPr>
        <w:t> </w:t>
      </w:r>
      <w:r>
        <w:rPr>
          <w:rFonts w:ascii="Arial" w:hAnsi="Arial"/>
          <w:color w:val="231F20"/>
          <w:w w:val="75"/>
          <w:sz w:val="14"/>
        </w:rPr>
        <w:t>Logistics</w:t>
      </w:r>
      <w:r>
        <w:rPr>
          <w:rFonts w:ascii="Arial" w:hAnsi="Arial"/>
          <w:color w:val="231F20"/>
          <w:spacing w:val="12"/>
          <w:sz w:val="14"/>
        </w:rPr>
        <w:t> </w:t>
      </w:r>
      <w:r>
        <w:rPr>
          <w:rFonts w:ascii="Arial" w:hAnsi="Arial"/>
          <w:color w:val="231F20"/>
          <w:w w:val="75"/>
          <w:sz w:val="14"/>
        </w:rPr>
        <w:t>Demand.”</w:t>
      </w:r>
      <w:r>
        <w:rPr>
          <w:rFonts w:ascii="Arial" w:hAnsi="Arial"/>
          <w:color w:val="231F20"/>
          <w:spacing w:val="5"/>
          <w:sz w:val="14"/>
        </w:rPr>
        <w:t> </w:t>
      </w:r>
      <w:r>
        <w:rPr>
          <w:rFonts w:ascii="Arial" w:hAnsi="Arial"/>
          <w:i/>
          <w:color w:val="231F20"/>
          <w:w w:val="75"/>
          <w:sz w:val="14"/>
        </w:rPr>
        <w:t>Sustainability</w:t>
      </w:r>
      <w:r>
        <w:rPr>
          <w:rFonts w:ascii="Arial" w:hAnsi="Arial"/>
          <w:i/>
          <w:color w:val="231F20"/>
          <w:spacing w:val="13"/>
          <w:sz w:val="14"/>
        </w:rPr>
        <w:t> </w:t>
      </w:r>
      <w:r>
        <w:rPr>
          <w:rFonts w:ascii="Arial" w:hAnsi="Arial"/>
          <w:color w:val="231F20"/>
          <w:w w:val="75"/>
          <w:sz w:val="14"/>
        </w:rPr>
        <w:t>12</w:t>
      </w:r>
      <w:r>
        <w:rPr>
          <w:rFonts w:ascii="Arial" w:hAnsi="Arial"/>
          <w:color w:val="231F20"/>
          <w:spacing w:val="12"/>
          <w:sz w:val="14"/>
        </w:rPr>
        <w:t> </w:t>
      </w:r>
      <w:r>
        <w:rPr>
          <w:rFonts w:ascii="Arial" w:hAnsi="Arial"/>
          <w:color w:val="231F20"/>
          <w:w w:val="75"/>
          <w:sz w:val="14"/>
        </w:rPr>
        <w:t>(4):</w:t>
      </w:r>
      <w:r>
        <w:rPr>
          <w:rFonts w:ascii="Arial" w:hAnsi="Arial"/>
          <w:color w:val="231F20"/>
          <w:spacing w:val="5"/>
          <w:sz w:val="14"/>
        </w:rPr>
        <w:t> </w:t>
      </w:r>
      <w:r>
        <w:rPr>
          <w:rFonts w:ascii="Arial" w:hAnsi="Arial"/>
          <w:color w:val="231F20"/>
          <w:spacing w:val="-2"/>
          <w:w w:val="75"/>
          <w:sz w:val="14"/>
        </w:rPr>
        <w:t>1444.</w:t>
      </w:r>
    </w:p>
    <w:p>
      <w:pPr>
        <w:spacing w:line="297" w:lineRule="auto" w:before="1"/>
        <w:ind w:left="435" w:right="695" w:hanging="240"/>
        <w:jc w:val="left"/>
        <w:rPr>
          <w:rFonts w:ascii="Arial" w:hAnsi="Arial"/>
          <w:sz w:val="14"/>
        </w:rPr>
      </w:pPr>
      <w:r>
        <w:rPr>
          <w:rFonts w:ascii="Arial" w:hAnsi="Arial"/>
          <w:color w:val="231F20"/>
          <w:w w:val="80"/>
          <w:sz w:val="14"/>
        </w:rPr>
        <w:t>Coffie,</w:t>
      </w:r>
      <w:r>
        <w:rPr>
          <w:rFonts w:ascii="Arial" w:hAnsi="Arial"/>
          <w:color w:val="231F20"/>
          <w:spacing w:val="-1"/>
          <w:w w:val="80"/>
          <w:sz w:val="14"/>
        </w:rPr>
        <w:t> </w:t>
      </w:r>
      <w:r>
        <w:rPr>
          <w:rFonts w:ascii="Arial" w:hAnsi="Arial"/>
          <w:color w:val="231F20"/>
          <w:w w:val="80"/>
          <w:sz w:val="14"/>
        </w:rPr>
        <w:t>I. S.,</w:t>
      </w:r>
      <w:r>
        <w:rPr>
          <w:rFonts w:ascii="Arial" w:hAnsi="Arial"/>
          <w:color w:val="231F20"/>
          <w:spacing w:val="-1"/>
          <w:w w:val="80"/>
          <w:sz w:val="14"/>
        </w:rPr>
        <w:t> </w:t>
      </w:r>
      <w:r>
        <w:rPr>
          <w:rFonts w:ascii="Arial" w:hAnsi="Arial"/>
          <w:color w:val="231F20"/>
          <w:w w:val="80"/>
          <w:sz w:val="14"/>
        </w:rPr>
        <w:t>and R. E. Hinson. 2022.</w:t>
      </w:r>
      <w:r>
        <w:rPr>
          <w:rFonts w:ascii="Arial" w:hAnsi="Arial"/>
          <w:color w:val="231F20"/>
          <w:spacing w:val="-1"/>
          <w:w w:val="80"/>
          <w:sz w:val="14"/>
        </w:rPr>
        <w:t> </w:t>
      </w:r>
      <w:r>
        <w:rPr>
          <w:rFonts w:ascii="Arial" w:hAnsi="Arial"/>
          <w:color w:val="231F20"/>
          <w:w w:val="80"/>
          <w:sz w:val="14"/>
        </w:rPr>
        <w:t>“Market Orientation in the Public</w:t>
      </w:r>
      <w:r>
        <w:rPr>
          <w:rFonts w:ascii="Arial" w:hAnsi="Arial"/>
          <w:color w:val="231F20"/>
          <w:spacing w:val="40"/>
          <w:sz w:val="14"/>
        </w:rPr>
        <w:t> </w:t>
      </w:r>
      <w:r>
        <w:rPr>
          <w:rFonts w:ascii="Arial" w:hAnsi="Arial"/>
          <w:color w:val="231F20"/>
          <w:w w:val="80"/>
          <w:sz w:val="14"/>
        </w:rPr>
        <w:t>Sector:</w:t>
      </w:r>
      <w:r>
        <w:rPr>
          <w:rFonts w:ascii="Arial" w:hAnsi="Arial"/>
          <w:color w:val="231F20"/>
          <w:spacing w:val="-9"/>
          <w:w w:val="80"/>
          <w:sz w:val="14"/>
        </w:rPr>
        <w:t> </w:t>
      </w:r>
      <w:r>
        <w:rPr>
          <w:rFonts w:ascii="Arial" w:hAnsi="Arial"/>
          <w:color w:val="231F20"/>
          <w:w w:val="80"/>
          <w:sz w:val="14"/>
        </w:rPr>
        <w:t>The</w:t>
      </w:r>
      <w:r>
        <w:rPr>
          <w:rFonts w:ascii="Arial" w:hAnsi="Arial"/>
          <w:color w:val="231F20"/>
          <w:spacing w:val="-2"/>
          <w:w w:val="80"/>
          <w:sz w:val="14"/>
        </w:rPr>
        <w:t> </w:t>
      </w:r>
      <w:r>
        <w:rPr>
          <w:rFonts w:ascii="Arial" w:hAnsi="Arial"/>
          <w:color w:val="231F20"/>
          <w:w w:val="80"/>
          <w:sz w:val="14"/>
        </w:rPr>
        <w:t>Perspective</w:t>
      </w:r>
      <w:r>
        <w:rPr>
          <w:rFonts w:ascii="Arial" w:hAnsi="Arial"/>
          <w:color w:val="231F20"/>
          <w:spacing w:val="-2"/>
          <w:w w:val="80"/>
          <w:sz w:val="14"/>
        </w:rPr>
        <w:t> </w:t>
      </w:r>
      <w:r>
        <w:rPr>
          <w:rFonts w:ascii="Arial" w:hAnsi="Arial"/>
          <w:color w:val="231F20"/>
          <w:w w:val="80"/>
          <w:sz w:val="14"/>
        </w:rPr>
        <w:t>from</w:t>
      </w:r>
      <w:r>
        <w:rPr>
          <w:rFonts w:ascii="Arial" w:hAnsi="Arial"/>
          <w:color w:val="231F20"/>
          <w:spacing w:val="-2"/>
          <w:w w:val="80"/>
          <w:sz w:val="14"/>
        </w:rPr>
        <w:t> </w:t>
      </w:r>
      <w:r>
        <w:rPr>
          <w:rFonts w:ascii="Arial" w:hAnsi="Arial"/>
          <w:color w:val="231F20"/>
          <w:w w:val="80"/>
          <w:sz w:val="14"/>
        </w:rPr>
        <w:t>an</w:t>
      </w:r>
      <w:r>
        <w:rPr>
          <w:rFonts w:ascii="Arial" w:hAnsi="Arial"/>
          <w:color w:val="231F20"/>
          <w:spacing w:val="-1"/>
          <w:w w:val="80"/>
          <w:sz w:val="14"/>
        </w:rPr>
        <w:t> </w:t>
      </w:r>
      <w:r>
        <w:rPr>
          <w:rFonts w:ascii="Arial" w:hAnsi="Arial"/>
          <w:color w:val="231F20"/>
          <w:w w:val="80"/>
          <w:sz w:val="14"/>
        </w:rPr>
        <w:t>Emerging</w:t>
      </w:r>
      <w:r>
        <w:rPr>
          <w:rFonts w:ascii="Arial" w:hAnsi="Arial"/>
          <w:color w:val="231F20"/>
          <w:spacing w:val="-2"/>
          <w:w w:val="80"/>
          <w:sz w:val="14"/>
        </w:rPr>
        <w:t> </w:t>
      </w:r>
      <w:r>
        <w:rPr>
          <w:rFonts w:ascii="Arial" w:hAnsi="Arial"/>
          <w:color w:val="231F20"/>
          <w:w w:val="80"/>
          <w:sz w:val="14"/>
        </w:rPr>
        <w:t>Economy.”</w:t>
      </w:r>
      <w:r>
        <w:rPr>
          <w:rFonts w:ascii="Arial" w:hAnsi="Arial"/>
          <w:color w:val="231F20"/>
          <w:spacing w:val="-4"/>
          <w:w w:val="80"/>
          <w:sz w:val="14"/>
        </w:rPr>
        <w:t> </w:t>
      </w:r>
      <w:r>
        <w:rPr>
          <w:rFonts w:ascii="Arial" w:hAnsi="Arial"/>
          <w:i/>
          <w:color w:val="231F20"/>
          <w:w w:val="80"/>
          <w:sz w:val="14"/>
        </w:rPr>
        <w:t>New</w:t>
      </w:r>
      <w:r>
        <w:rPr>
          <w:rFonts w:ascii="Arial" w:hAnsi="Arial"/>
          <w:i/>
          <w:color w:val="231F20"/>
          <w:spacing w:val="-2"/>
          <w:w w:val="80"/>
          <w:sz w:val="14"/>
        </w:rPr>
        <w:t> </w:t>
      </w:r>
      <w:r>
        <w:rPr>
          <w:rFonts w:ascii="Arial" w:hAnsi="Arial"/>
          <w:i/>
          <w:color w:val="231F20"/>
          <w:w w:val="80"/>
          <w:sz w:val="14"/>
        </w:rPr>
        <w:t>Public</w:t>
      </w:r>
      <w:r>
        <w:rPr>
          <w:rFonts w:ascii="Arial" w:hAnsi="Arial"/>
          <w:i/>
          <w:color w:val="231F20"/>
          <w:spacing w:val="40"/>
          <w:sz w:val="14"/>
        </w:rPr>
        <w:t> </w:t>
      </w:r>
      <w:r>
        <w:rPr>
          <w:rFonts w:ascii="Arial" w:hAnsi="Arial"/>
          <w:i/>
          <w:color w:val="231F20"/>
          <w:w w:val="90"/>
          <w:sz w:val="14"/>
        </w:rPr>
        <w:t>Management</w:t>
      </w:r>
      <w:r>
        <w:rPr>
          <w:rFonts w:ascii="Arial" w:hAnsi="Arial"/>
          <w:i/>
          <w:color w:val="231F20"/>
          <w:spacing w:val="-6"/>
          <w:w w:val="90"/>
          <w:sz w:val="14"/>
        </w:rPr>
        <w:t> </w:t>
      </w:r>
      <w:r>
        <w:rPr>
          <w:rFonts w:ascii="Arial" w:hAnsi="Arial"/>
          <w:i/>
          <w:color w:val="231F20"/>
          <w:w w:val="90"/>
          <w:sz w:val="14"/>
        </w:rPr>
        <w:t>in</w:t>
      </w:r>
      <w:r>
        <w:rPr>
          <w:rFonts w:ascii="Arial" w:hAnsi="Arial"/>
          <w:i/>
          <w:color w:val="231F20"/>
          <w:spacing w:val="-7"/>
          <w:w w:val="90"/>
          <w:sz w:val="14"/>
        </w:rPr>
        <w:t> </w:t>
      </w:r>
      <w:r>
        <w:rPr>
          <w:rFonts w:ascii="Arial" w:hAnsi="Arial"/>
          <w:i/>
          <w:color w:val="231F20"/>
          <w:w w:val="90"/>
          <w:sz w:val="14"/>
        </w:rPr>
        <w:t>Africa</w:t>
      </w:r>
      <w:r>
        <w:rPr>
          <w:rFonts w:ascii="Arial" w:hAnsi="Arial"/>
          <w:color w:val="231F20"/>
          <w:w w:val="90"/>
          <w:sz w:val="14"/>
        </w:rPr>
        <w:t>,</w:t>
      </w:r>
      <w:r>
        <w:rPr>
          <w:rFonts w:ascii="Arial" w:hAnsi="Arial"/>
          <w:color w:val="231F20"/>
          <w:spacing w:val="-8"/>
          <w:w w:val="90"/>
          <w:sz w:val="14"/>
        </w:rPr>
        <w:t> </w:t>
      </w:r>
      <w:r>
        <w:rPr>
          <w:rFonts w:ascii="Arial" w:hAnsi="Arial"/>
          <w:color w:val="231F20"/>
          <w:w w:val="90"/>
          <w:sz w:val="14"/>
        </w:rPr>
        <w:t>17–45.</w:t>
      </w:r>
    </w:p>
    <w:p>
      <w:pPr>
        <w:spacing w:line="297" w:lineRule="auto" w:before="1"/>
        <w:ind w:left="435" w:right="661" w:hanging="240"/>
        <w:jc w:val="left"/>
        <w:rPr>
          <w:rFonts w:ascii="Arial" w:hAnsi="Arial"/>
          <w:sz w:val="14"/>
        </w:rPr>
      </w:pPr>
      <w:r>
        <w:rPr>
          <w:rFonts w:ascii="Arial" w:hAnsi="Arial"/>
          <w:color w:val="231F20"/>
          <w:w w:val="85"/>
          <w:sz w:val="14"/>
        </w:rPr>
        <w:t>Coskun,</w:t>
      </w:r>
      <w:r>
        <w:rPr>
          <w:rFonts w:ascii="Arial" w:hAnsi="Arial"/>
          <w:color w:val="231F20"/>
          <w:spacing w:val="-5"/>
          <w:w w:val="85"/>
          <w:sz w:val="14"/>
        </w:rPr>
        <w:t> </w:t>
      </w:r>
      <w:r>
        <w:rPr>
          <w:rFonts w:ascii="Arial" w:hAnsi="Arial"/>
          <w:color w:val="231F20"/>
          <w:w w:val="85"/>
          <w:sz w:val="14"/>
        </w:rPr>
        <w:t>H.,</w:t>
      </w:r>
      <w:r>
        <w:rPr>
          <w:rFonts w:ascii="Arial" w:hAnsi="Arial"/>
          <w:color w:val="231F20"/>
          <w:spacing w:val="-5"/>
          <w:w w:val="85"/>
          <w:sz w:val="14"/>
        </w:rPr>
        <w:t> </w:t>
      </w:r>
      <w:r>
        <w:rPr>
          <w:rFonts w:ascii="Arial" w:hAnsi="Arial"/>
          <w:color w:val="231F20"/>
          <w:w w:val="85"/>
          <w:sz w:val="14"/>
        </w:rPr>
        <w:t>and M. Civelek. 2020.</w:t>
      </w:r>
      <w:r>
        <w:rPr>
          <w:rFonts w:ascii="Arial" w:hAnsi="Arial"/>
          <w:color w:val="231F20"/>
          <w:spacing w:val="-5"/>
          <w:w w:val="85"/>
          <w:sz w:val="14"/>
        </w:rPr>
        <w:t> </w:t>
      </w:r>
      <w:r>
        <w:rPr>
          <w:rFonts w:ascii="Arial" w:hAnsi="Arial"/>
          <w:color w:val="231F20"/>
          <w:w w:val="85"/>
          <w:sz w:val="14"/>
        </w:rPr>
        <w:t>“Effects of</w:t>
      </w:r>
      <w:r>
        <w:rPr>
          <w:rFonts w:ascii="Arial" w:hAnsi="Arial"/>
          <w:color w:val="231F20"/>
          <w:spacing w:val="-5"/>
          <w:w w:val="85"/>
          <w:sz w:val="14"/>
        </w:rPr>
        <w:t> </w:t>
      </w:r>
      <w:r>
        <w:rPr>
          <w:rFonts w:ascii="Arial" w:hAnsi="Arial"/>
          <w:color w:val="231F20"/>
          <w:w w:val="85"/>
          <w:sz w:val="14"/>
        </w:rPr>
        <w:t>The Sub-Dimensions of</w:t>
      </w:r>
      <w:r>
        <w:rPr>
          <w:rFonts w:ascii="Arial" w:hAnsi="Arial"/>
          <w:color w:val="231F20"/>
          <w:spacing w:val="40"/>
          <w:sz w:val="14"/>
        </w:rPr>
        <w:t> </w:t>
      </w:r>
      <w:r>
        <w:rPr>
          <w:rFonts w:ascii="Arial" w:hAnsi="Arial"/>
          <w:color w:val="231F20"/>
          <w:w w:val="75"/>
          <w:sz w:val="14"/>
        </w:rPr>
        <w:t>Logistics</w:t>
      </w:r>
      <w:r>
        <w:rPr>
          <w:rFonts w:ascii="Arial" w:hAnsi="Arial"/>
          <w:color w:val="231F20"/>
          <w:sz w:val="14"/>
        </w:rPr>
        <w:t> </w:t>
      </w:r>
      <w:r>
        <w:rPr>
          <w:rFonts w:ascii="Arial" w:hAnsi="Arial"/>
          <w:color w:val="231F20"/>
          <w:w w:val="75"/>
          <w:sz w:val="14"/>
        </w:rPr>
        <w:t>Performance</w:t>
      </w:r>
      <w:r>
        <w:rPr>
          <w:rFonts w:ascii="Arial" w:hAnsi="Arial"/>
          <w:color w:val="231F20"/>
          <w:sz w:val="14"/>
        </w:rPr>
        <w:t> </w:t>
      </w:r>
      <w:r>
        <w:rPr>
          <w:rFonts w:ascii="Arial" w:hAnsi="Arial"/>
          <w:color w:val="231F20"/>
          <w:w w:val="75"/>
          <w:sz w:val="14"/>
        </w:rPr>
        <w:t>Index</w:t>
      </w:r>
      <w:r>
        <w:rPr>
          <w:rFonts w:ascii="Arial" w:hAnsi="Arial"/>
          <w:color w:val="231F20"/>
          <w:sz w:val="14"/>
        </w:rPr>
        <w:t> </w:t>
      </w:r>
      <w:r>
        <w:rPr>
          <w:rFonts w:ascii="Arial" w:hAnsi="Arial"/>
          <w:color w:val="231F20"/>
          <w:w w:val="75"/>
          <w:sz w:val="14"/>
        </w:rPr>
        <w:t>on</w:t>
      </w:r>
      <w:r>
        <w:rPr>
          <w:rFonts w:ascii="Arial" w:hAnsi="Arial"/>
          <w:color w:val="231F20"/>
          <w:sz w:val="14"/>
        </w:rPr>
        <w:t> </w:t>
      </w:r>
      <w:r>
        <w:rPr>
          <w:rFonts w:ascii="Arial" w:hAnsi="Arial"/>
          <w:color w:val="231F20"/>
          <w:w w:val="75"/>
          <w:sz w:val="14"/>
        </w:rPr>
        <w:t>foreign Trade</w:t>
      </w:r>
      <w:r>
        <w:rPr>
          <w:rFonts w:ascii="Arial" w:hAnsi="Arial"/>
          <w:color w:val="231F20"/>
          <w:sz w:val="14"/>
        </w:rPr>
        <w:t> </w:t>
      </w:r>
      <w:r>
        <w:rPr>
          <w:rFonts w:ascii="Arial" w:hAnsi="Arial"/>
          <w:color w:val="231F20"/>
          <w:w w:val="75"/>
          <w:sz w:val="14"/>
        </w:rPr>
        <w:t>Coverage</w:t>
      </w:r>
      <w:r>
        <w:rPr>
          <w:rFonts w:ascii="Arial" w:hAnsi="Arial"/>
          <w:color w:val="231F20"/>
          <w:sz w:val="14"/>
        </w:rPr>
        <w:t> </w:t>
      </w:r>
      <w:r>
        <w:rPr>
          <w:rFonts w:ascii="Arial" w:hAnsi="Arial"/>
          <w:color w:val="231F20"/>
          <w:w w:val="75"/>
          <w:sz w:val="14"/>
        </w:rPr>
        <w:t>Ratio.” </w:t>
      </w:r>
      <w:r>
        <w:rPr>
          <w:rFonts w:ascii="Arial" w:hAnsi="Arial"/>
          <w:i/>
          <w:color w:val="231F20"/>
          <w:w w:val="75"/>
          <w:sz w:val="14"/>
        </w:rPr>
        <w:t>Journal</w:t>
      </w:r>
      <w:r>
        <w:rPr>
          <w:rFonts w:ascii="Arial" w:hAnsi="Arial"/>
          <w:i/>
          <w:color w:val="231F20"/>
          <w:spacing w:val="40"/>
          <w:sz w:val="14"/>
        </w:rPr>
        <w:t> </w:t>
      </w:r>
      <w:r>
        <w:rPr>
          <w:rFonts w:ascii="Arial" w:hAnsi="Arial"/>
          <w:i/>
          <w:color w:val="231F20"/>
          <w:w w:val="85"/>
          <w:sz w:val="14"/>
        </w:rPr>
        <w:t>of</w:t>
      </w:r>
      <w:r>
        <w:rPr>
          <w:rFonts w:ascii="Arial" w:hAnsi="Arial"/>
          <w:i/>
          <w:color w:val="231F20"/>
          <w:spacing w:val="-4"/>
          <w:w w:val="85"/>
          <w:sz w:val="14"/>
        </w:rPr>
        <w:t> </w:t>
      </w:r>
      <w:r>
        <w:rPr>
          <w:rFonts w:ascii="Arial" w:hAnsi="Arial"/>
          <w:i/>
          <w:color w:val="231F20"/>
          <w:w w:val="85"/>
          <w:sz w:val="14"/>
        </w:rPr>
        <w:t>International</w:t>
      </w:r>
      <w:r>
        <w:rPr>
          <w:rFonts w:ascii="Arial" w:hAnsi="Arial"/>
          <w:i/>
          <w:color w:val="231F20"/>
          <w:spacing w:val="-6"/>
          <w:w w:val="85"/>
          <w:sz w:val="14"/>
        </w:rPr>
        <w:t> </w:t>
      </w:r>
      <w:r>
        <w:rPr>
          <w:rFonts w:ascii="Arial" w:hAnsi="Arial"/>
          <w:i/>
          <w:color w:val="231F20"/>
          <w:w w:val="85"/>
          <w:sz w:val="14"/>
        </w:rPr>
        <w:t>Trade,</w:t>
      </w:r>
      <w:r>
        <w:rPr>
          <w:rFonts w:ascii="Arial" w:hAnsi="Arial"/>
          <w:i/>
          <w:color w:val="231F20"/>
          <w:spacing w:val="-5"/>
          <w:w w:val="85"/>
          <w:sz w:val="14"/>
        </w:rPr>
        <w:t> </w:t>
      </w:r>
      <w:r>
        <w:rPr>
          <w:rFonts w:ascii="Arial" w:hAnsi="Arial"/>
          <w:i/>
          <w:color w:val="231F20"/>
          <w:w w:val="85"/>
          <w:sz w:val="14"/>
        </w:rPr>
        <w:t>Logistics</w:t>
      </w:r>
      <w:r>
        <w:rPr>
          <w:rFonts w:ascii="Arial" w:hAnsi="Arial"/>
          <w:i/>
          <w:color w:val="231F20"/>
          <w:spacing w:val="-4"/>
          <w:w w:val="85"/>
          <w:sz w:val="14"/>
        </w:rPr>
        <w:t> </w:t>
      </w:r>
      <w:r>
        <w:rPr>
          <w:rFonts w:ascii="Arial" w:hAnsi="Arial"/>
          <w:i/>
          <w:color w:val="231F20"/>
          <w:w w:val="85"/>
          <w:sz w:val="14"/>
        </w:rPr>
        <w:t>and</w:t>
      </w:r>
      <w:r>
        <w:rPr>
          <w:rFonts w:ascii="Arial" w:hAnsi="Arial"/>
          <w:i/>
          <w:color w:val="231F20"/>
          <w:spacing w:val="-3"/>
          <w:w w:val="85"/>
          <w:sz w:val="14"/>
        </w:rPr>
        <w:t> </w:t>
      </w:r>
      <w:r>
        <w:rPr>
          <w:rFonts w:ascii="Arial" w:hAnsi="Arial"/>
          <w:i/>
          <w:color w:val="231F20"/>
          <w:w w:val="85"/>
          <w:sz w:val="14"/>
        </w:rPr>
        <w:t>Law</w:t>
      </w:r>
      <w:r>
        <w:rPr>
          <w:rFonts w:ascii="Arial" w:hAnsi="Arial"/>
          <w:i/>
          <w:color w:val="231F20"/>
          <w:spacing w:val="-4"/>
          <w:w w:val="85"/>
          <w:sz w:val="14"/>
        </w:rPr>
        <w:t> </w:t>
      </w:r>
      <w:r>
        <w:rPr>
          <w:rFonts w:ascii="Arial" w:hAnsi="Arial"/>
          <w:color w:val="231F20"/>
          <w:w w:val="85"/>
          <w:sz w:val="14"/>
        </w:rPr>
        <w:t>6</w:t>
      </w:r>
      <w:r>
        <w:rPr>
          <w:rFonts w:ascii="Arial" w:hAnsi="Arial"/>
          <w:color w:val="231F20"/>
          <w:spacing w:val="-4"/>
          <w:w w:val="85"/>
          <w:sz w:val="14"/>
        </w:rPr>
        <w:t> </w:t>
      </w:r>
      <w:r>
        <w:rPr>
          <w:rFonts w:ascii="Arial" w:hAnsi="Arial"/>
          <w:color w:val="231F20"/>
          <w:w w:val="85"/>
          <w:sz w:val="14"/>
        </w:rPr>
        <w:t>(2):</w:t>
      </w:r>
      <w:r>
        <w:rPr>
          <w:rFonts w:ascii="Arial" w:hAnsi="Arial"/>
          <w:color w:val="231F20"/>
          <w:spacing w:val="-5"/>
          <w:w w:val="85"/>
          <w:sz w:val="14"/>
        </w:rPr>
        <w:t> </w:t>
      </w:r>
      <w:r>
        <w:rPr>
          <w:rFonts w:ascii="Arial" w:hAnsi="Arial"/>
          <w:color w:val="231F20"/>
          <w:w w:val="85"/>
          <w:sz w:val="14"/>
        </w:rPr>
        <w:t>144–152.</w:t>
      </w:r>
    </w:p>
    <w:p>
      <w:pPr>
        <w:spacing w:line="297" w:lineRule="auto" w:before="1"/>
        <w:ind w:left="435" w:right="695" w:hanging="240"/>
        <w:jc w:val="left"/>
        <w:rPr>
          <w:rFonts w:ascii="Arial" w:hAnsi="Arial"/>
          <w:sz w:val="14"/>
        </w:rPr>
      </w:pPr>
      <w:r>
        <w:rPr>
          <w:rFonts w:ascii="Arial" w:hAnsi="Arial"/>
          <w:color w:val="231F20"/>
          <w:w w:val="80"/>
          <w:sz w:val="14"/>
        </w:rPr>
        <w:t>Erdebilli, B., and S. G. Aslan Özsahin. 2022. “Uncertainty Management</w:t>
      </w:r>
      <w:r>
        <w:rPr>
          <w:rFonts w:ascii="Arial" w:hAnsi="Arial"/>
          <w:color w:val="231F20"/>
          <w:spacing w:val="40"/>
          <w:sz w:val="14"/>
        </w:rPr>
        <w:t> </w:t>
      </w:r>
      <w:r>
        <w:rPr>
          <w:rFonts w:ascii="Arial" w:hAnsi="Arial"/>
          <w:color w:val="231F20"/>
          <w:w w:val="75"/>
          <w:sz w:val="14"/>
        </w:rPr>
        <w:t>with An Autonomous Approach</w:t>
      </w:r>
      <w:r>
        <w:rPr>
          <w:rFonts w:ascii="Arial" w:hAnsi="Arial"/>
          <w:color w:val="231F20"/>
          <w:sz w:val="14"/>
        </w:rPr>
        <w:t> </w:t>
      </w:r>
      <w:r>
        <w:rPr>
          <w:rFonts w:ascii="Arial" w:hAnsi="Arial"/>
          <w:color w:val="231F20"/>
          <w:w w:val="75"/>
          <w:sz w:val="14"/>
        </w:rPr>
        <w:t>to</w:t>
      </w:r>
      <w:r>
        <w:rPr>
          <w:rFonts w:ascii="Arial" w:hAnsi="Arial"/>
          <w:color w:val="231F20"/>
          <w:sz w:val="14"/>
        </w:rPr>
        <w:t> </w:t>
      </w:r>
      <w:r>
        <w:rPr>
          <w:rFonts w:ascii="Arial" w:hAnsi="Arial"/>
          <w:color w:val="231F20"/>
          <w:w w:val="75"/>
          <w:sz w:val="14"/>
        </w:rPr>
        <w:t>Fuzzy</w:t>
      </w:r>
      <w:r>
        <w:rPr>
          <w:rFonts w:ascii="Arial" w:hAnsi="Arial"/>
          <w:color w:val="231F20"/>
          <w:sz w:val="14"/>
        </w:rPr>
        <w:t> </w:t>
      </w:r>
      <w:r>
        <w:rPr>
          <w:rFonts w:ascii="Arial" w:hAnsi="Arial"/>
          <w:color w:val="231F20"/>
          <w:w w:val="75"/>
          <w:sz w:val="14"/>
        </w:rPr>
        <w:t>Set-Covering</w:t>
      </w:r>
      <w:r>
        <w:rPr>
          <w:rFonts w:ascii="Arial" w:hAnsi="Arial"/>
          <w:color w:val="231F20"/>
          <w:sz w:val="14"/>
        </w:rPr>
        <w:t> </w:t>
      </w:r>
      <w:r>
        <w:rPr>
          <w:rFonts w:ascii="Arial" w:hAnsi="Arial"/>
          <w:color w:val="231F20"/>
          <w:w w:val="75"/>
          <w:sz w:val="14"/>
        </w:rPr>
        <w:t>Facility</w:t>
      </w:r>
      <w:r>
        <w:rPr>
          <w:rFonts w:ascii="Arial" w:hAnsi="Arial"/>
          <w:color w:val="231F20"/>
          <w:sz w:val="14"/>
        </w:rPr>
        <w:t> </w:t>
      </w:r>
      <w:r>
        <w:rPr>
          <w:rFonts w:ascii="Arial" w:hAnsi="Arial"/>
          <w:color w:val="231F20"/>
          <w:w w:val="75"/>
          <w:sz w:val="14"/>
        </w:rPr>
        <w:t>Location</w:t>
      </w:r>
      <w:r>
        <w:rPr>
          <w:rFonts w:ascii="Arial" w:hAnsi="Arial"/>
          <w:color w:val="231F20"/>
          <w:spacing w:val="40"/>
          <w:sz w:val="14"/>
        </w:rPr>
        <w:t> </w:t>
      </w:r>
      <w:r>
        <w:rPr>
          <w:rFonts w:ascii="Arial" w:hAnsi="Arial"/>
          <w:color w:val="231F20"/>
          <w:w w:val="80"/>
          <w:sz w:val="14"/>
        </w:rPr>
        <w:t>Models.” </w:t>
      </w:r>
      <w:r>
        <w:rPr>
          <w:rFonts w:ascii="Arial" w:hAnsi="Arial"/>
          <w:i/>
          <w:color w:val="231F20"/>
          <w:w w:val="80"/>
          <w:sz w:val="14"/>
        </w:rPr>
        <w:t>Journal of Intelligent &amp; Fuzzy Systems </w:t>
      </w:r>
      <w:r>
        <w:rPr>
          <w:rFonts w:ascii="Arial" w:hAnsi="Arial"/>
          <w:color w:val="231F20"/>
          <w:w w:val="80"/>
          <w:sz w:val="14"/>
        </w:rPr>
        <w:t>43 (6): 8233–8246.</w:t>
      </w:r>
    </w:p>
    <w:p>
      <w:pPr>
        <w:spacing w:line="297" w:lineRule="auto" w:before="1"/>
        <w:ind w:left="435" w:right="782" w:hanging="240"/>
        <w:jc w:val="left"/>
        <w:rPr>
          <w:rFonts w:ascii="Arial" w:hAnsi="Arial"/>
          <w:sz w:val="14"/>
        </w:rPr>
      </w:pPr>
      <w:r>
        <w:rPr>
          <w:rFonts w:ascii="Arial" w:hAnsi="Arial"/>
          <w:color w:val="231F20"/>
          <w:spacing w:val="-2"/>
          <w:w w:val="85"/>
          <w:sz w:val="14"/>
        </w:rPr>
        <w:t>Erdinç, Z., and</w:t>
      </w:r>
      <w:r>
        <w:rPr>
          <w:rFonts w:ascii="Arial" w:hAnsi="Arial"/>
          <w:color w:val="231F20"/>
          <w:spacing w:val="-2"/>
          <w:sz w:val="14"/>
        </w:rPr>
        <w:t> </w:t>
      </w:r>
      <w:r>
        <w:rPr>
          <w:rFonts w:ascii="Arial" w:hAnsi="Arial"/>
          <w:color w:val="231F20"/>
          <w:spacing w:val="-2"/>
          <w:w w:val="85"/>
          <w:sz w:val="14"/>
        </w:rPr>
        <w:t>G. Aydınbas.</w:t>
      </w:r>
      <w:r>
        <w:rPr>
          <w:rFonts w:ascii="Arial" w:hAnsi="Arial"/>
          <w:color w:val="231F20"/>
          <w:spacing w:val="-2"/>
          <w:sz w:val="14"/>
        </w:rPr>
        <w:t> </w:t>
      </w:r>
      <w:r>
        <w:rPr>
          <w:rFonts w:ascii="Arial" w:hAnsi="Arial"/>
          <w:color w:val="231F20"/>
          <w:spacing w:val="-2"/>
          <w:w w:val="85"/>
          <w:sz w:val="14"/>
        </w:rPr>
        <w:t>2021. “An</w:t>
      </w:r>
      <w:r>
        <w:rPr>
          <w:rFonts w:ascii="Arial" w:hAnsi="Arial"/>
          <w:color w:val="231F20"/>
          <w:spacing w:val="-2"/>
          <w:sz w:val="14"/>
        </w:rPr>
        <w:t> </w:t>
      </w:r>
      <w:r>
        <w:rPr>
          <w:rFonts w:ascii="Arial" w:hAnsi="Arial"/>
          <w:color w:val="231F20"/>
          <w:spacing w:val="-2"/>
          <w:w w:val="85"/>
          <w:sz w:val="14"/>
        </w:rPr>
        <w:t>Evaluation</w:t>
      </w:r>
      <w:r>
        <w:rPr>
          <w:rFonts w:ascii="Arial" w:hAnsi="Arial"/>
          <w:color w:val="231F20"/>
          <w:spacing w:val="-2"/>
          <w:sz w:val="14"/>
        </w:rPr>
        <w:t> </w:t>
      </w:r>
      <w:r>
        <w:rPr>
          <w:rFonts w:ascii="Arial" w:hAnsi="Arial"/>
          <w:color w:val="231F20"/>
          <w:spacing w:val="-2"/>
          <w:w w:val="85"/>
          <w:sz w:val="14"/>
        </w:rPr>
        <w:t>on</w:t>
      </w:r>
      <w:r>
        <w:rPr>
          <w:rFonts w:ascii="Arial" w:hAnsi="Arial"/>
          <w:color w:val="231F20"/>
          <w:spacing w:val="-2"/>
          <w:sz w:val="14"/>
        </w:rPr>
        <w:t> </w:t>
      </w:r>
      <w:r>
        <w:rPr>
          <w:rFonts w:ascii="Arial" w:hAnsi="Arial"/>
          <w:color w:val="231F20"/>
          <w:spacing w:val="-2"/>
          <w:w w:val="85"/>
          <w:sz w:val="14"/>
        </w:rPr>
        <w:t>foreign Trade</w:t>
      </w:r>
      <w:r>
        <w:rPr>
          <w:rFonts w:ascii="Arial" w:hAnsi="Arial"/>
          <w:color w:val="231F20"/>
          <w:spacing w:val="40"/>
          <w:sz w:val="14"/>
        </w:rPr>
        <w:t> </w:t>
      </w:r>
      <w:r>
        <w:rPr>
          <w:rFonts w:ascii="Arial" w:hAnsi="Arial"/>
          <w:color w:val="231F20"/>
          <w:spacing w:val="-2"/>
          <w:w w:val="80"/>
          <w:sz w:val="14"/>
        </w:rPr>
        <w:t>and</w:t>
      </w:r>
      <w:r>
        <w:rPr>
          <w:rFonts w:ascii="Arial" w:hAnsi="Arial"/>
          <w:color w:val="231F20"/>
          <w:sz w:val="14"/>
        </w:rPr>
        <w:t> </w:t>
      </w:r>
      <w:r>
        <w:rPr>
          <w:rFonts w:ascii="Arial" w:hAnsi="Arial"/>
          <w:color w:val="231F20"/>
          <w:spacing w:val="-2"/>
          <w:w w:val="80"/>
          <w:sz w:val="14"/>
        </w:rPr>
        <w:t>Intelligent</w:t>
      </w:r>
      <w:r>
        <w:rPr>
          <w:rFonts w:ascii="Arial" w:hAnsi="Arial"/>
          <w:color w:val="231F20"/>
          <w:sz w:val="14"/>
        </w:rPr>
        <w:t> </w:t>
      </w:r>
      <w:r>
        <w:rPr>
          <w:rFonts w:ascii="Arial" w:hAnsi="Arial"/>
          <w:color w:val="231F20"/>
          <w:spacing w:val="-2"/>
          <w:w w:val="80"/>
          <w:sz w:val="14"/>
        </w:rPr>
        <w:t>Logistics</w:t>
      </w:r>
      <w:r>
        <w:rPr>
          <w:rFonts w:ascii="Arial" w:hAnsi="Arial"/>
          <w:color w:val="231F20"/>
          <w:sz w:val="14"/>
        </w:rPr>
        <w:t> </w:t>
      </w:r>
      <w:r>
        <w:rPr>
          <w:rFonts w:ascii="Arial" w:hAnsi="Arial"/>
          <w:color w:val="231F20"/>
          <w:spacing w:val="-2"/>
          <w:w w:val="80"/>
          <w:sz w:val="14"/>
        </w:rPr>
        <w:t>Relation.” </w:t>
      </w:r>
      <w:r>
        <w:rPr>
          <w:rFonts w:ascii="Arial" w:hAnsi="Arial"/>
          <w:i/>
          <w:color w:val="231F20"/>
          <w:spacing w:val="-2"/>
          <w:w w:val="80"/>
          <w:sz w:val="14"/>
        </w:rPr>
        <w:t>International</w:t>
      </w:r>
      <w:r>
        <w:rPr>
          <w:rFonts w:ascii="Arial" w:hAnsi="Arial"/>
          <w:i/>
          <w:color w:val="231F20"/>
          <w:sz w:val="14"/>
        </w:rPr>
        <w:t> </w:t>
      </w:r>
      <w:r>
        <w:rPr>
          <w:rFonts w:ascii="Arial" w:hAnsi="Arial"/>
          <w:i/>
          <w:color w:val="231F20"/>
          <w:spacing w:val="-2"/>
          <w:w w:val="80"/>
          <w:sz w:val="14"/>
        </w:rPr>
        <w:t>Journal</w:t>
      </w:r>
      <w:r>
        <w:rPr>
          <w:rFonts w:ascii="Arial" w:hAnsi="Arial"/>
          <w:i/>
          <w:color w:val="231F20"/>
          <w:sz w:val="14"/>
        </w:rPr>
        <w:t> </w:t>
      </w:r>
      <w:r>
        <w:rPr>
          <w:rFonts w:ascii="Arial" w:hAnsi="Arial"/>
          <w:i/>
          <w:color w:val="231F20"/>
          <w:spacing w:val="-2"/>
          <w:w w:val="80"/>
          <w:sz w:val="14"/>
        </w:rPr>
        <w:t>of</w:t>
      </w:r>
      <w:r>
        <w:rPr>
          <w:rFonts w:ascii="Arial" w:hAnsi="Arial"/>
          <w:i/>
          <w:color w:val="231F20"/>
          <w:sz w:val="14"/>
        </w:rPr>
        <w:t> </w:t>
      </w:r>
      <w:r>
        <w:rPr>
          <w:rFonts w:ascii="Arial" w:hAnsi="Arial"/>
          <w:i/>
          <w:color w:val="231F20"/>
          <w:spacing w:val="-2"/>
          <w:w w:val="80"/>
          <w:sz w:val="14"/>
        </w:rPr>
        <w:t>Current</w:t>
      </w:r>
      <w:r>
        <w:rPr>
          <w:rFonts w:ascii="Arial" w:hAnsi="Arial"/>
          <w:i/>
          <w:color w:val="231F20"/>
          <w:spacing w:val="40"/>
          <w:sz w:val="14"/>
        </w:rPr>
        <w:t> </w:t>
      </w:r>
      <w:r>
        <w:rPr>
          <w:rFonts w:ascii="Arial" w:hAnsi="Arial"/>
          <w:i/>
          <w:color w:val="231F20"/>
          <w:w w:val="90"/>
          <w:sz w:val="14"/>
        </w:rPr>
        <w:t>Research</w:t>
      </w:r>
      <w:r>
        <w:rPr>
          <w:rFonts w:ascii="Arial" w:hAnsi="Arial"/>
          <w:i/>
          <w:color w:val="231F20"/>
          <w:spacing w:val="-6"/>
          <w:w w:val="90"/>
          <w:sz w:val="14"/>
        </w:rPr>
        <w:t> </w:t>
      </w:r>
      <w:r>
        <w:rPr>
          <w:rFonts w:ascii="Arial" w:hAnsi="Arial"/>
          <w:color w:val="231F20"/>
          <w:w w:val="90"/>
          <w:sz w:val="14"/>
        </w:rPr>
        <w:t>11</w:t>
      </w:r>
      <w:r>
        <w:rPr>
          <w:rFonts w:ascii="Arial" w:hAnsi="Arial"/>
          <w:color w:val="231F20"/>
          <w:spacing w:val="-6"/>
          <w:w w:val="90"/>
          <w:sz w:val="14"/>
        </w:rPr>
        <w:t> </w:t>
      </w:r>
      <w:r>
        <w:rPr>
          <w:rFonts w:ascii="Arial" w:hAnsi="Arial"/>
          <w:color w:val="231F20"/>
          <w:w w:val="90"/>
          <w:sz w:val="14"/>
        </w:rPr>
        <w:t>(1):</w:t>
      </w:r>
      <w:r>
        <w:rPr>
          <w:rFonts w:ascii="Arial" w:hAnsi="Arial"/>
          <w:color w:val="231F20"/>
          <w:spacing w:val="-7"/>
          <w:w w:val="90"/>
          <w:sz w:val="14"/>
        </w:rPr>
        <w:t> </w:t>
      </w:r>
      <w:r>
        <w:rPr>
          <w:rFonts w:ascii="Arial" w:hAnsi="Arial"/>
          <w:color w:val="231F20"/>
          <w:w w:val="90"/>
          <w:sz w:val="14"/>
        </w:rPr>
        <w:t>159–182.</w:t>
      </w:r>
    </w:p>
    <w:p>
      <w:pPr>
        <w:spacing w:line="297" w:lineRule="auto" w:before="1"/>
        <w:ind w:left="435" w:right="661" w:hanging="240"/>
        <w:jc w:val="left"/>
        <w:rPr>
          <w:rFonts w:ascii="Arial" w:hAnsi="Arial"/>
          <w:sz w:val="14"/>
        </w:rPr>
      </w:pPr>
      <w:r>
        <w:rPr>
          <w:rFonts w:ascii="Arial" w:hAnsi="Arial"/>
          <w:color w:val="231F20"/>
          <w:spacing w:val="-2"/>
          <w:w w:val="85"/>
          <w:sz w:val="14"/>
        </w:rPr>
        <w:t>Fahim,</w:t>
      </w:r>
      <w:r>
        <w:rPr>
          <w:rFonts w:ascii="Arial" w:hAnsi="Arial"/>
          <w:color w:val="231F20"/>
          <w:spacing w:val="-5"/>
          <w:w w:val="85"/>
          <w:sz w:val="14"/>
        </w:rPr>
        <w:t> </w:t>
      </w:r>
      <w:r>
        <w:rPr>
          <w:rFonts w:ascii="Arial" w:hAnsi="Arial"/>
          <w:color w:val="231F20"/>
          <w:spacing w:val="-2"/>
          <w:w w:val="85"/>
          <w:sz w:val="14"/>
        </w:rPr>
        <w:t>P.</w:t>
      </w:r>
      <w:r>
        <w:rPr>
          <w:rFonts w:ascii="Arial" w:hAnsi="Arial"/>
          <w:color w:val="231F20"/>
          <w:spacing w:val="-6"/>
          <w:sz w:val="14"/>
        </w:rPr>
        <w:t> </w:t>
      </w:r>
      <w:r>
        <w:rPr>
          <w:rFonts w:ascii="Arial" w:hAnsi="Arial"/>
          <w:color w:val="231F20"/>
          <w:spacing w:val="-2"/>
          <w:w w:val="85"/>
          <w:sz w:val="14"/>
        </w:rPr>
        <w:t>B.</w:t>
      </w:r>
      <w:r>
        <w:rPr>
          <w:rFonts w:ascii="Arial" w:hAnsi="Arial"/>
          <w:color w:val="231F20"/>
          <w:spacing w:val="-6"/>
          <w:sz w:val="14"/>
        </w:rPr>
        <w:t> </w:t>
      </w:r>
      <w:r>
        <w:rPr>
          <w:rFonts w:ascii="Arial" w:hAnsi="Arial"/>
          <w:color w:val="231F20"/>
          <w:spacing w:val="-2"/>
          <w:w w:val="85"/>
          <w:sz w:val="14"/>
        </w:rPr>
        <w:t>M.,</w:t>
      </w:r>
      <w:r>
        <w:rPr>
          <w:rFonts w:ascii="Arial" w:hAnsi="Arial"/>
          <w:color w:val="231F20"/>
          <w:spacing w:val="-5"/>
          <w:w w:val="85"/>
          <w:sz w:val="14"/>
        </w:rPr>
        <w:t> </w:t>
      </w:r>
      <w:r>
        <w:rPr>
          <w:rFonts w:ascii="Arial" w:hAnsi="Arial"/>
          <w:color w:val="231F20"/>
          <w:spacing w:val="-2"/>
          <w:w w:val="85"/>
          <w:sz w:val="14"/>
        </w:rPr>
        <w:t>J.</w:t>
      </w:r>
      <w:r>
        <w:rPr>
          <w:rFonts w:ascii="Arial" w:hAnsi="Arial"/>
          <w:color w:val="231F20"/>
          <w:spacing w:val="-6"/>
          <w:sz w:val="14"/>
        </w:rPr>
        <w:t> </w:t>
      </w:r>
      <w:r>
        <w:rPr>
          <w:rFonts w:ascii="Arial" w:hAnsi="Arial"/>
          <w:color w:val="231F20"/>
          <w:spacing w:val="-2"/>
          <w:w w:val="85"/>
          <w:sz w:val="14"/>
        </w:rPr>
        <w:t>Rezaei,</w:t>
      </w:r>
      <w:r>
        <w:rPr>
          <w:rFonts w:ascii="Arial" w:hAnsi="Arial"/>
          <w:color w:val="231F20"/>
          <w:spacing w:val="-5"/>
          <w:w w:val="85"/>
          <w:sz w:val="14"/>
        </w:rPr>
        <w:t> </w:t>
      </w:r>
      <w:r>
        <w:rPr>
          <w:rFonts w:ascii="Arial" w:hAnsi="Arial"/>
          <w:color w:val="231F20"/>
          <w:spacing w:val="-2"/>
          <w:w w:val="85"/>
          <w:sz w:val="14"/>
        </w:rPr>
        <w:t>B.</w:t>
      </w:r>
      <w:r>
        <w:rPr>
          <w:rFonts w:ascii="Arial" w:hAnsi="Arial"/>
          <w:color w:val="231F20"/>
          <w:spacing w:val="-6"/>
          <w:sz w:val="14"/>
        </w:rPr>
        <w:t> </w:t>
      </w:r>
      <w:r>
        <w:rPr>
          <w:rFonts w:ascii="Arial" w:hAnsi="Arial"/>
          <w:color w:val="231F20"/>
          <w:spacing w:val="-2"/>
          <w:w w:val="85"/>
          <w:sz w:val="14"/>
        </w:rPr>
        <w:t>Montreuil,</w:t>
      </w:r>
      <w:r>
        <w:rPr>
          <w:rFonts w:ascii="Arial" w:hAnsi="Arial"/>
          <w:color w:val="231F20"/>
          <w:spacing w:val="-5"/>
          <w:w w:val="85"/>
          <w:sz w:val="14"/>
        </w:rPr>
        <w:t> </w:t>
      </w:r>
      <w:r>
        <w:rPr>
          <w:rFonts w:ascii="Arial" w:hAnsi="Arial"/>
          <w:color w:val="231F20"/>
          <w:spacing w:val="-2"/>
          <w:w w:val="85"/>
          <w:sz w:val="14"/>
        </w:rPr>
        <w:t>and</w:t>
      </w:r>
      <w:r>
        <w:rPr>
          <w:rFonts w:ascii="Arial" w:hAnsi="Arial"/>
          <w:color w:val="231F20"/>
          <w:spacing w:val="-6"/>
          <w:sz w:val="14"/>
        </w:rPr>
        <w:t> </w:t>
      </w:r>
      <w:r>
        <w:rPr>
          <w:rFonts w:ascii="Arial" w:hAnsi="Arial"/>
          <w:color w:val="231F20"/>
          <w:spacing w:val="-2"/>
          <w:w w:val="85"/>
          <w:sz w:val="14"/>
        </w:rPr>
        <w:t>L.</w:t>
      </w:r>
      <w:r>
        <w:rPr>
          <w:rFonts w:ascii="Arial" w:hAnsi="Arial"/>
          <w:color w:val="231F20"/>
          <w:spacing w:val="-5"/>
          <w:w w:val="85"/>
          <w:sz w:val="14"/>
        </w:rPr>
        <w:t> </w:t>
      </w:r>
      <w:r>
        <w:rPr>
          <w:rFonts w:ascii="Arial" w:hAnsi="Arial"/>
          <w:color w:val="231F20"/>
          <w:spacing w:val="-2"/>
          <w:w w:val="85"/>
          <w:sz w:val="14"/>
        </w:rPr>
        <w:t>Tavasszy.</w:t>
      </w:r>
      <w:r>
        <w:rPr>
          <w:rFonts w:ascii="Arial" w:hAnsi="Arial"/>
          <w:color w:val="231F20"/>
          <w:spacing w:val="-6"/>
          <w:sz w:val="14"/>
        </w:rPr>
        <w:t> </w:t>
      </w:r>
      <w:r>
        <w:rPr>
          <w:rFonts w:ascii="Arial" w:hAnsi="Arial"/>
          <w:color w:val="231F20"/>
          <w:spacing w:val="-2"/>
          <w:w w:val="85"/>
          <w:sz w:val="14"/>
        </w:rPr>
        <w:t>2022.</w:t>
      </w:r>
      <w:r>
        <w:rPr>
          <w:rFonts w:ascii="Arial" w:hAnsi="Arial"/>
          <w:color w:val="231F20"/>
          <w:spacing w:val="-5"/>
          <w:w w:val="85"/>
          <w:sz w:val="14"/>
        </w:rPr>
        <w:t> </w:t>
      </w:r>
      <w:r>
        <w:rPr>
          <w:rFonts w:ascii="Arial" w:hAnsi="Arial"/>
          <w:color w:val="231F20"/>
          <w:spacing w:val="-2"/>
          <w:w w:val="85"/>
          <w:sz w:val="14"/>
        </w:rPr>
        <w:t>“Port</w:t>
      </w:r>
      <w:r>
        <w:rPr>
          <w:rFonts w:ascii="Arial" w:hAnsi="Arial"/>
          <w:color w:val="231F20"/>
          <w:spacing w:val="40"/>
          <w:sz w:val="14"/>
        </w:rPr>
        <w:t> </w:t>
      </w:r>
      <w:r>
        <w:rPr>
          <w:rFonts w:ascii="Arial" w:hAnsi="Arial"/>
          <w:color w:val="231F20"/>
          <w:w w:val="80"/>
          <w:sz w:val="14"/>
        </w:rPr>
        <w:t>Performance Evaluation and Selection in The Physical Internet.”</w:t>
      </w:r>
      <w:r>
        <w:rPr>
          <w:rFonts w:ascii="Arial" w:hAnsi="Arial"/>
          <w:color w:val="231F20"/>
          <w:spacing w:val="40"/>
          <w:sz w:val="14"/>
        </w:rPr>
        <w:t> </w:t>
      </w:r>
      <w:r>
        <w:rPr>
          <w:rFonts w:ascii="Arial" w:hAnsi="Arial"/>
          <w:i/>
          <w:color w:val="231F20"/>
          <w:w w:val="90"/>
          <w:sz w:val="14"/>
        </w:rPr>
        <w:t>Transport</w:t>
      </w:r>
      <w:r>
        <w:rPr>
          <w:rFonts w:ascii="Arial" w:hAnsi="Arial"/>
          <w:i/>
          <w:color w:val="231F20"/>
          <w:spacing w:val="-6"/>
          <w:w w:val="90"/>
          <w:sz w:val="14"/>
        </w:rPr>
        <w:t> </w:t>
      </w:r>
      <w:r>
        <w:rPr>
          <w:rFonts w:ascii="Arial" w:hAnsi="Arial"/>
          <w:i/>
          <w:color w:val="231F20"/>
          <w:w w:val="90"/>
          <w:sz w:val="14"/>
        </w:rPr>
        <w:t>Policy</w:t>
      </w:r>
      <w:r>
        <w:rPr>
          <w:rFonts w:ascii="Arial" w:hAnsi="Arial"/>
          <w:i/>
          <w:color w:val="231F20"/>
          <w:spacing w:val="-6"/>
          <w:w w:val="90"/>
          <w:sz w:val="14"/>
        </w:rPr>
        <w:t> </w:t>
      </w:r>
      <w:r>
        <w:rPr>
          <w:rFonts w:ascii="Arial" w:hAnsi="Arial"/>
          <w:color w:val="231F20"/>
          <w:w w:val="90"/>
          <w:sz w:val="14"/>
        </w:rPr>
        <w:t>124:</w:t>
      </w:r>
      <w:r>
        <w:rPr>
          <w:rFonts w:ascii="Arial" w:hAnsi="Arial"/>
          <w:color w:val="231F20"/>
          <w:spacing w:val="-7"/>
          <w:w w:val="90"/>
          <w:sz w:val="14"/>
        </w:rPr>
        <w:t> </w:t>
      </w:r>
      <w:r>
        <w:rPr>
          <w:rFonts w:ascii="Arial" w:hAnsi="Arial"/>
          <w:color w:val="231F20"/>
          <w:w w:val="90"/>
          <w:sz w:val="14"/>
        </w:rPr>
        <w:t>83–94.</w:t>
      </w:r>
    </w:p>
    <w:p>
      <w:pPr>
        <w:spacing w:line="297" w:lineRule="auto" w:before="2"/>
        <w:ind w:left="435" w:right="695" w:hanging="240"/>
        <w:jc w:val="left"/>
        <w:rPr>
          <w:rFonts w:ascii="Arial" w:hAnsi="Arial"/>
          <w:sz w:val="14"/>
        </w:rPr>
      </w:pPr>
      <w:r>
        <w:rPr>
          <w:rFonts w:ascii="Arial" w:hAnsi="Arial"/>
          <w:color w:val="231F20"/>
          <w:w w:val="85"/>
          <w:sz w:val="14"/>
        </w:rPr>
        <w:t>Ghasemi,</w:t>
      </w:r>
      <w:r>
        <w:rPr>
          <w:rFonts w:ascii="Arial" w:hAnsi="Arial"/>
          <w:color w:val="231F20"/>
          <w:spacing w:val="-2"/>
          <w:w w:val="85"/>
          <w:sz w:val="14"/>
        </w:rPr>
        <w:t> </w:t>
      </w:r>
      <w:r>
        <w:rPr>
          <w:rFonts w:ascii="Arial" w:hAnsi="Arial"/>
          <w:color w:val="231F20"/>
          <w:w w:val="85"/>
          <w:sz w:val="14"/>
        </w:rPr>
        <w:t>A., E. Miandoabchi, and S. Soroushnia. 2021. “The</w:t>
      </w:r>
      <w:r>
        <w:rPr>
          <w:rFonts w:ascii="Arial" w:hAnsi="Arial"/>
          <w:color w:val="231F20"/>
          <w:spacing w:val="40"/>
          <w:sz w:val="14"/>
        </w:rPr>
        <w:t> </w:t>
      </w:r>
      <w:r>
        <w:rPr>
          <w:rFonts w:ascii="Arial" w:hAnsi="Arial"/>
          <w:color w:val="231F20"/>
          <w:w w:val="80"/>
          <w:sz w:val="14"/>
        </w:rPr>
        <w:t>Attractiveness of Seaport-Based Transport Corridors:</w:t>
      </w:r>
      <w:r>
        <w:rPr>
          <w:rFonts w:ascii="Arial" w:hAnsi="Arial"/>
          <w:color w:val="231F20"/>
          <w:spacing w:val="-4"/>
          <w:w w:val="80"/>
          <w:sz w:val="14"/>
        </w:rPr>
        <w:t> </w:t>
      </w:r>
      <w:r>
        <w:rPr>
          <w:rFonts w:ascii="Arial" w:hAnsi="Arial"/>
          <w:color w:val="231F20"/>
          <w:w w:val="80"/>
          <w:sz w:val="14"/>
        </w:rPr>
        <w:t>An Integrated</w:t>
      </w:r>
      <w:r>
        <w:rPr>
          <w:rFonts w:ascii="Arial" w:hAnsi="Arial"/>
          <w:color w:val="231F20"/>
          <w:spacing w:val="40"/>
          <w:sz w:val="14"/>
        </w:rPr>
        <w:t> </w:t>
      </w:r>
      <w:r>
        <w:rPr>
          <w:rFonts w:ascii="Arial" w:hAnsi="Arial"/>
          <w:color w:val="231F20"/>
          <w:spacing w:val="-2"/>
          <w:w w:val="80"/>
          <w:sz w:val="14"/>
        </w:rPr>
        <w:t>Approach</w:t>
      </w:r>
      <w:r>
        <w:rPr>
          <w:rFonts w:ascii="Arial" w:hAnsi="Arial"/>
          <w:color w:val="231F20"/>
          <w:spacing w:val="-2"/>
          <w:sz w:val="14"/>
        </w:rPr>
        <w:t> </w:t>
      </w:r>
      <w:r>
        <w:rPr>
          <w:rFonts w:ascii="Arial" w:hAnsi="Arial"/>
          <w:color w:val="231F20"/>
          <w:spacing w:val="-2"/>
          <w:w w:val="80"/>
          <w:sz w:val="14"/>
        </w:rPr>
        <w:t>Based</w:t>
      </w:r>
      <w:r>
        <w:rPr>
          <w:rFonts w:ascii="Arial" w:hAnsi="Arial"/>
          <w:color w:val="231F20"/>
          <w:spacing w:val="-2"/>
          <w:sz w:val="14"/>
        </w:rPr>
        <w:t> </w:t>
      </w:r>
      <w:r>
        <w:rPr>
          <w:rFonts w:ascii="Arial" w:hAnsi="Arial"/>
          <w:color w:val="231F20"/>
          <w:spacing w:val="-2"/>
          <w:w w:val="80"/>
          <w:sz w:val="14"/>
        </w:rPr>
        <w:t>on</w:t>
      </w:r>
      <w:r>
        <w:rPr>
          <w:rFonts w:ascii="Arial" w:hAnsi="Arial"/>
          <w:color w:val="231F20"/>
          <w:spacing w:val="-2"/>
          <w:sz w:val="14"/>
        </w:rPr>
        <w:t> </w:t>
      </w:r>
      <w:r>
        <w:rPr>
          <w:rFonts w:ascii="Arial" w:hAnsi="Arial"/>
          <w:color w:val="231F20"/>
          <w:spacing w:val="-2"/>
          <w:w w:val="80"/>
          <w:sz w:val="14"/>
        </w:rPr>
        <w:t>Scenario</w:t>
      </w:r>
      <w:r>
        <w:rPr>
          <w:rFonts w:ascii="Arial" w:hAnsi="Arial"/>
          <w:color w:val="231F20"/>
          <w:spacing w:val="-2"/>
          <w:sz w:val="14"/>
        </w:rPr>
        <w:t> </w:t>
      </w:r>
      <w:r>
        <w:rPr>
          <w:rFonts w:ascii="Arial" w:hAnsi="Arial"/>
          <w:color w:val="231F20"/>
          <w:spacing w:val="-2"/>
          <w:w w:val="80"/>
          <w:sz w:val="14"/>
        </w:rPr>
        <w:t>Planning</w:t>
      </w:r>
      <w:r>
        <w:rPr>
          <w:rFonts w:ascii="Arial" w:hAnsi="Arial"/>
          <w:color w:val="231F20"/>
          <w:spacing w:val="-2"/>
          <w:sz w:val="14"/>
        </w:rPr>
        <w:t> </w:t>
      </w:r>
      <w:r>
        <w:rPr>
          <w:rFonts w:ascii="Arial" w:hAnsi="Arial"/>
          <w:color w:val="231F20"/>
          <w:spacing w:val="-2"/>
          <w:w w:val="80"/>
          <w:sz w:val="14"/>
        </w:rPr>
        <w:t>and</w:t>
      </w:r>
      <w:r>
        <w:rPr>
          <w:rFonts w:ascii="Arial" w:hAnsi="Arial"/>
          <w:color w:val="231F20"/>
          <w:spacing w:val="-2"/>
          <w:sz w:val="14"/>
        </w:rPr>
        <w:t> </w:t>
      </w:r>
      <w:r>
        <w:rPr>
          <w:rFonts w:ascii="Arial" w:hAnsi="Arial"/>
          <w:color w:val="231F20"/>
          <w:spacing w:val="-2"/>
          <w:w w:val="80"/>
          <w:sz w:val="14"/>
        </w:rPr>
        <w:t>Gravity</w:t>
      </w:r>
      <w:r>
        <w:rPr>
          <w:rFonts w:ascii="Arial" w:hAnsi="Arial"/>
          <w:color w:val="231F20"/>
          <w:spacing w:val="-2"/>
          <w:sz w:val="14"/>
        </w:rPr>
        <w:t> </w:t>
      </w:r>
      <w:r>
        <w:rPr>
          <w:rFonts w:ascii="Arial" w:hAnsi="Arial"/>
          <w:color w:val="231F20"/>
          <w:spacing w:val="-2"/>
          <w:w w:val="80"/>
          <w:sz w:val="14"/>
        </w:rPr>
        <w:t>Models.” </w:t>
      </w:r>
      <w:r>
        <w:rPr>
          <w:rFonts w:ascii="Arial" w:hAnsi="Arial"/>
          <w:i/>
          <w:color w:val="231F20"/>
          <w:spacing w:val="-2"/>
          <w:w w:val="80"/>
          <w:sz w:val="14"/>
        </w:rPr>
        <w:t>Maritime</w:t>
      </w:r>
      <w:r>
        <w:rPr>
          <w:rFonts w:ascii="Arial" w:hAnsi="Arial"/>
          <w:i/>
          <w:color w:val="231F20"/>
          <w:spacing w:val="40"/>
          <w:sz w:val="14"/>
        </w:rPr>
        <w:t> </w:t>
      </w:r>
      <w:r>
        <w:rPr>
          <w:rFonts w:ascii="Arial" w:hAnsi="Arial"/>
          <w:i/>
          <w:color w:val="231F20"/>
          <w:w w:val="85"/>
          <w:sz w:val="14"/>
        </w:rPr>
        <w:t>Economics &amp; Logistics </w:t>
      </w:r>
      <w:r>
        <w:rPr>
          <w:rFonts w:ascii="Arial" w:hAnsi="Arial"/>
          <w:color w:val="231F20"/>
          <w:w w:val="85"/>
          <w:sz w:val="14"/>
        </w:rPr>
        <w:t>23 (3): 522–547.</w:t>
      </w:r>
    </w:p>
    <w:p>
      <w:pPr>
        <w:spacing w:line="297" w:lineRule="auto" w:before="1"/>
        <w:ind w:left="435" w:right="809" w:hanging="240"/>
        <w:jc w:val="left"/>
        <w:rPr>
          <w:rFonts w:ascii="Arial" w:hAnsi="Arial"/>
          <w:sz w:val="14"/>
        </w:rPr>
      </w:pPr>
      <w:r>
        <w:rPr>
          <w:rFonts w:ascii="Arial" w:hAnsi="Arial"/>
          <w:color w:val="231F20"/>
          <w:w w:val="85"/>
          <w:sz w:val="14"/>
        </w:rPr>
        <w:t>Goel,</w:t>
      </w:r>
      <w:r>
        <w:rPr>
          <w:rFonts w:ascii="Arial" w:hAnsi="Arial"/>
          <w:color w:val="231F20"/>
          <w:spacing w:val="-5"/>
          <w:w w:val="85"/>
          <w:sz w:val="14"/>
        </w:rPr>
        <w:t> </w:t>
      </w:r>
      <w:r>
        <w:rPr>
          <w:rFonts w:ascii="Arial" w:hAnsi="Arial"/>
          <w:color w:val="231F20"/>
          <w:w w:val="85"/>
          <w:sz w:val="14"/>
        </w:rPr>
        <w:t>R. K.,</w:t>
      </w:r>
      <w:r>
        <w:rPr>
          <w:rFonts w:ascii="Arial" w:hAnsi="Arial"/>
          <w:color w:val="231F20"/>
          <w:spacing w:val="-5"/>
          <w:w w:val="85"/>
          <w:sz w:val="14"/>
        </w:rPr>
        <w:t> </w:t>
      </w:r>
      <w:r>
        <w:rPr>
          <w:rFonts w:ascii="Arial" w:hAnsi="Arial"/>
          <w:color w:val="231F20"/>
          <w:w w:val="85"/>
          <w:sz w:val="14"/>
        </w:rPr>
        <w:t>U. Mazhar,</w:t>
      </w:r>
      <w:r>
        <w:rPr>
          <w:rFonts w:ascii="Arial" w:hAnsi="Arial"/>
          <w:color w:val="231F20"/>
          <w:spacing w:val="-5"/>
          <w:w w:val="85"/>
          <w:sz w:val="14"/>
        </w:rPr>
        <w:t> </w:t>
      </w:r>
      <w:r>
        <w:rPr>
          <w:rFonts w:ascii="Arial" w:hAnsi="Arial"/>
          <w:color w:val="231F20"/>
          <w:w w:val="85"/>
          <w:sz w:val="14"/>
        </w:rPr>
        <w:t>and J.</w:t>
      </w:r>
      <w:r>
        <w:rPr>
          <w:rFonts w:ascii="Arial" w:hAnsi="Arial"/>
          <w:color w:val="231F20"/>
          <w:spacing w:val="-5"/>
          <w:w w:val="85"/>
          <w:sz w:val="14"/>
        </w:rPr>
        <w:t> </w:t>
      </w:r>
      <w:r>
        <w:rPr>
          <w:rFonts w:ascii="Arial" w:hAnsi="Arial"/>
          <w:color w:val="231F20"/>
          <w:w w:val="85"/>
          <w:sz w:val="14"/>
        </w:rPr>
        <w:t>W. Saunoris. 2021.</w:t>
      </w:r>
      <w:r>
        <w:rPr>
          <w:rFonts w:ascii="Arial" w:hAnsi="Arial"/>
          <w:color w:val="231F20"/>
          <w:spacing w:val="-5"/>
          <w:w w:val="85"/>
          <w:sz w:val="14"/>
        </w:rPr>
        <w:t> </w:t>
      </w:r>
      <w:r>
        <w:rPr>
          <w:rFonts w:ascii="Arial" w:hAnsi="Arial"/>
          <w:color w:val="231F20"/>
          <w:w w:val="85"/>
          <w:sz w:val="14"/>
        </w:rPr>
        <w:t>“Identifying</w:t>
      </w:r>
      <w:r>
        <w:rPr>
          <w:rFonts w:ascii="Arial" w:hAnsi="Arial"/>
          <w:color w:val="231F20"/>
          <w:spacing w:val="-5"/>
          <w:w w:val="85"/>
          <w:sz w:val="14"/>
        </w:rPr>
        <w:t> </w:t>
      </w:r>
      <w:r>
        <w:rPr>
          <w:rFonts w:ascii="Arial" w:hAnsi="Arial"/>
          <w:color w:val="231F20"/>
          <w:w w:val="85"/>
          <w:sz w:val="14"/>
        </w:rPr>
        <w:t>The</w:t>
      </w:r>
      <w:r>
        <w:rPr>
          <w:rFonts w:ascii="Arial" w:hAnsi="Arial"/>
          <w:color w:val="231F20"/>
          <w:spacing w:val="40"/>
          <w:sz w:val="14"/>
        </w:rPr>
        <w:t> </w:t>
      </w:r>
      <w:r>
        <w:rPr>
          <w:rFonts w:ascii="Arial" w:hAnsi="Arial"/>
          <w:color w:val="231F20"/>
          <w:w w:val="80"/>
          <w:sz w:val="14"/>
        </w:rPr>
        <w:t>Corrupt Cog in The Wheel: Dimensions of Supply Chain Logistics</w:t>
      </w:r>
      <w:r>
        <w:rPr>
          <w:rFonts w:ascii="Arial" w:hAnsi="Arial"/>
          <w:color w:val="231F20"/>
          <w:spacing w:val="40"/>
          <w:sz w:val="14"/>
        </w:rPr>
        <w:t> </w:t>
      </w:r>
      <w:r>
        <w:rPr>
          <w:rFonts w:ascii="Arial" w:hAnsi="Arial"/>
          <w:color w:val="231F20"/>
          <w:spacing w:val="-2"/>
          <w:w w:val="80"/>
          <w:sz w:val="14"/>
        </w:rPr>
        <w:t>and</w:t>
      </w:r>
      <w:r>
        <w:rPr>
          <w:rFonts w:ascii="Arial" w:hAnsi="Arial"/>
          <w:color w:val="231F20"/>
          <w:sz w:val="14"/>
        </w:rPr>
        <w:t> </w:t>
      </w:r>
      <w:r>
        <w:rPr>
          <w:rFonts w:ascii="Arial" w:hAnsi="Arial"/>
          <w:color w:val="231F20"/>
          <w:spacing w:val="-2"/>
          <w:w w:val="80"/>
          <w:sz w:val="14"/>
        </w:rPr>
        <w:t>Cross-Country</w:t>
      </w:r>
      <w:r>
        <w:rPr>
          <w:rFonts w:ascii="Arial" w:hAnsi="Arial"/>
          <w:color w:val="231F20"/>
          <w:sz w:val="14"/>
        </w:rPr>
        <w:t> </w:t>
      </w:r>
      <w:r>
        <w:rPr>
          <w:rFonts w:ascii="Arial" w:hAnsi="Arial"/>
          <w:color w:val="231F20"/>
          <w:spacing w:val="-2"/>
          <w:w w:val="80"/>
          <w:sz w:val="14"/>
        </w:rPr>
        <w:t>Corruption.” </w:t>
      </w:r>
      <w:r>
        <w:rPr>
          <w:rFonts w:ascii="Arial" w:hAnsi="Arial"/>
          <w:i/>
          <w:color w:val="231F20"/>
          <w:spacing w:val="-2"/>
          <w:w w:val="80"/>
          <w:sz w:val="14"/>
        </w:rPr>
        <w:t>Australian</w:t>
      </w:r>
      <w:r>
        <w:rPr>
          <w:rFonts w:ascii="Arial" w:hAnsi="Arial"/>
          <w:i/>
          <w:color w:val="231F20"/>
          <w:sz w:val="14"/>
        </w:rPr>
        <w:t> </w:t>
      </w:r>
      <w:r>
        <w:rPr>
          <w:rFonts w:ascii="Arial" w:hAnsi="Arial"/>
          <w:i/>
          <w:color w:val="231F20"/>
          <w:spacing w:val="-2"/>
          <w:w w:val="80"/>
          <w:sz w:val="14"/>
        </w:rPr>
        <w:t>Economic</w:t>
      </w:r>
      <w:r>
        <w:rPr>
          <w:rFonts w:ascii="Arial" w:hAnsi="Arial"/>
          <w:i/>
          <w:color w:val="231F20"/>
          <w:sz w:val="14"/>
        </w:rPr>
        <w:t> </w:t>
      </w:r>
      <w:r>
        <w:rPr>
          <w:rFonts w:ascii="Arial" w:hAnsi="Arial"/>
          <w:i/>
          <w:color w:val="231F20"/>
          <w:spacing w:val="-2"/>
          <w:w w:val="80"/>
          <w:sz w:val="14"/>
        </w:rPr>
        <w:t>Papers</w:t>
      </w:r>
      <w:r>
        <w:rPr>
          <w:rFonts w:ascii="Arial" w:hAnsi="Arial"/>
          <w:i/>
          <w:color w:val="231F20"/>
          <w:sz w:val="14"/>
        </w:rPr>
        <w:t> </w:t>
      </w:r>
      <w:r>
        <w:rPr>
          <w:rFonts w:ascii="Arial" w:hAnsi="Arial"/>
          <w:color w:val="231F20"/>
          <w:spacing w:val="-2"/>
          <w:w w:val="80"/>
          <w:sz w:val="14"/>
        </w:rPr>
        <w:t>60</w:t>
      </w:r>
      <w:r>
        <w:rPr>
          <w:rFonts w:ascii="Arial" w:hAnsi="Arial"/>
          <w:color w:val="231F20"/>
          <w:sz w:val="14"/>
        </w:rPr>
        <w:t> </w:t>
      </w:r>
      <w:r>
        <w:rPr>
          <w:rFonts w:ascii="Arial" w:hAnsi="Arial"/>
          <w:color w:val="231F20"/>
          <w:spacing w:val="-2"/>
          <w:w w:val="80"/>
          <w:sz w:val="14"/>
        </w:rPr>
        <w:t>(4):</w:t>
      </w:r>
      <w:r>
        <w:rPr>
          <w:rFonts w:ascii="Arial" w:hAnsi="Arial"/>
          <w:color w:val="231F20"/>
          <w:spacing w:val="40"/>
          <w:sz w:val="14"/>
        </w:rPr>
        <w:t> </w:t>
      </w:r>
      <w:r>
        <w:rPr>
          <w:rFonts w:ascii="Arial" w:hAnsi="Arial"/>
          <w:color w:val="231F20"/>
          <w:spacing w:val="-2"/>
          <w:w w:val="90"/>
          <w:sz w:val="14"/>
        </w:rPr>
        <w:t>693–709.</w:t>
      </w:r>
    </w:p>
    <w:p>
      <w:pPr>
        <w:spacing w:line="297" w:lineRule="auto" w:before="2"/>
        <w:ind w:left="435" w:right="661" w:hanging="240"/>
        <w:jc w:val="left"/>
        <w:rPr>
          <w:rFonts w:ascii="Arial" w:hAnsi="Arial"/>
          <w:sz w:val="14"/>
        </w:rPr>
      </w:pPr>
      <w:r>
        <w:rPr>
          <w:rFonts w:ascii="Arial" w:hAnsi="Arial"/>
          <w:color w:val="231F20"/>
          <w:w w:val="85"/>
          <w:sz w:val="14"/>
        </w:rPr>
        <w:t>Goel,</w:t>
      </w:r>
      <w:r>
        <w:rPr>
          <w:rFonts w:ascii="Arial" w:hAnsi="Arial"/>
          <w:color w:val="231F20"/>
          <w:spacing w:val="-6"/>
          <w:w w:val="85"/>
          <w:sz w:val="14"/>
        </w:rPr>
        <w:t> </w:t>
      </w:r>
      <w:r>
        <w:rPr>
          <w:rFonts w:ascii="Arial" w:hAnsi="Arial"/>
          <w:color w:val="231F20"/>
          <w:w w:val="85"/>
          <w:sz w:val="14"/>
        </w:rPr>
        <w:t>R.,</w:t>
      </w:r>
      <w:r>
        <w:rPr>
          <w:rFonts w:ascii="Arial" w:hAnsi="Arial"/>
          <w:color w:val="231F20"/>
          <w:spacing w:val="-5"/>
          <w:w w:val="85"/>
          <w:sz w:val="14"/>
        </w:rPr>
        <w:t> </w:t>
      </w:r>
      <w:r>
        <w:rPr>
          <w:rFonts w:ascii="Arial" w:hAnsi="Arial"/>
          <w:color w:val="231F20"/>
          <w:w w:val="85"/>
          <w:sz w:val="14"/>
        </w:rPr>
        <w:t>J.</w:t>
      </w:r>
      <w:r>
        <w:rPr>
          <w:rFonts w:ascii="Arial" w:hAnsi="Arial"/>
          <w:color w:val="231F20"/>
          <w:spacing w:val="-4"/>
          <w:w w:val="85"/>
          <w:sz w:val="14"/>
        </w:rPr>
        <w:t> </w:t>
      </w:r>
      <w:r>
        <w:rPr>
          <w:rFonts w:ascii="Arial" w:hAnsi="Arial"/>
          <w:color w:val="231F20"/>
          <w:w w:val="85"/>
          <w:sz w:val="14"/>
        </w:rPr>
        <w:t>Saunoris,</w:t>
      </w:r>
      <w:r>
        <w:rPr>
          <w:rFonts w:ascii="Arial" w:hAnsi="Arial"/>
          <w:color w:val="231F20"/>
          <w:spacing w:val="-5"/>
          <w:w w:val="85"/>
          <w:sz w:val="14"/>
        </w:rPr>
        <w:t> </w:t>
      </w:r>
      <w:r>
        <w:rPr>
          <w:rFonts w:ascii="Arial" w:hAnsi="Arial"/>
          <w:color w:val="231F20"/>
          <w:w w:val="85"/>
          <w:sz w:val="14"/>
        </w:rPr>
        <w:t>and</w:t>
      </w:r>
      <w:r>
        <w:rPr>
          <w:rFonts w:ascii="Arial" w:hAnsi="Arial"/>
          <w:color w:val="231F20"/>
          <w:spacing w:val="-4"/>
          <w:w w:val="85"/>
          <w:sz w:val="14"/>
        </w:rPr>
        <w:t> </w:t>
      </w:r>
      <w:r>
        <w:rPr>
          <w:rFonts w:ascii="Arial" w:hAnsi="Arial"/>
          <w:color w:val="231F20"/>
          <w:w w:val="85"/>
          <w:sz w:val="14"/>
        </w:rPr>
        <w:t>S.</w:t>
      </w:r>
      <w:r>
        <w:rPr>
          <w:rFonts w:ascii="Arial" w:hAnsi="Arial"/>
          <w:color w:val="231F20"/>
          <w:spacing w:val="-4"/>
          <w:w w:val="85"/>
          <w:sz w:val="14"/>
        </w:rPr>
        <w:t> </w:t>
      </w:r>
      <w:r>
        <w:rPr>
          <w:rFonts w:ascii="Arial" w:hAnsi="Arial"/>
          <w:color w:val="231F20"/>
          <w:w w:val="85"/>
          <w:sz w:val="14"/>
        </w:rPr>
        <w:t>Goel.</w:t>
      </w:r>
      <w:r>
        <w:rPr>
          <w:rFonts w:ascii="Arial" w:hAnsi="Arial"/>
          <w:color w:val="231F20"/>
          <w:spacing w:val="-4"/>
          <w:w w:val="85"/>
          <w:sz w:val="14"/>
        </w:rPr>
        <w:t> </w:t>
      </w:r>
      <w:r>
        <w:rPr>
          <w:rFonts w:ascii="Arial" w:hAnsi="Arial"/>
          <w:color w:val="231F20"/>
          <w:w w:val="85"/>
          <w:sz w:val="14"/>
        </w:rPr>
        <w:t>2020.</w:t>
      </w:r>
      <w:r>
        <w:rPr>
          <w:rFonts w:ascii="Arial" w:hAnsi="Arial"/>
          <w:color w:val="231F20"/>
          <w:spacing w:val="-5"/>
          <w:w w:val="85"/>
          <w:sz w:val="14"/>
        </w:rPr>
        <w:t> </w:t>
      </w:r>
      <w:r>
        <w:rPr>
          <w:rFonts w:ascii="Arial" w:hAnsi="Arial"/>
          <w:color w:val="231F20"/>
          <w:w w:val="85"/>
          <w:sz w:val="14"/>
        </w:rPr>
        <w:t>“Supply</w:t>
      </w:r>
      <w:r>
        <w:rPr>
          <w:rFonts w:ascii="Arial" w:hAnsi="Arial"/>
          <w:color w:val="231F20"/>
          <w:spacing w:val="-4"/>
          <w:w w:val="85"/>
          <w:sz w:val="14"/>
        </w:rPr>
        <w:t> </w:t>
      </w:r>
      <w:r>
        <w:rPr>
          <w:rFonts w:ascii="Arial" w:hAnsi="Arial"/>
          <w:color w:val="231F20"/>
          <w:w w:val="85"/>
          <w:sz w:val="14"/>
        </w:rPr>
        <w:t>Chain</w:t>
      </w:r>
      <w:r>
        <w:rPr>
          <w:rFonts w:ascii="Arial" w:hAnsi="Arial"/>
          <w:color w:val="231F20"/>
          <w:spacing w:val="-3"/>
          <w:w w:val="85"/>
          <w:sz w:val="14"/>
        </w:rPr>
        <w:t> </w:t>
      </w:r>
      <w:r>
        <w:rPr>
          <w:rFonts w:ascii="Arial" w:hAnsi="Arial"/>
          <w:color w:val="231F20"/>
          <w:w w:val="85"/>
          <w:sz w:val="14"/>
        </w:rPr>
        <w:t>Reliability</w:t>
      </w:r>
      <w:r>
        <w:rPr>
          <w:rFonts w:ascii="Arial" w:hAnsi="Arial"/>
          <w:color w:val="231F20"/>
          <w:spacing w:val="-4"/>
          <w:w w:val="85"/>
          <w:sz w:val="14"/>
        </w:rPr>
        <w:t> </w:t>
      </w:r>
      <w:r>
        <w:rPr>
          <w:rFonts w:ascii="Arial" w:hAnsi="Arial"/>
          <w:color w:val="231F20"/>
          <w:w w:val="85"/>
          <w:sz w:val="14"/>
        </w:rPr>
        <w:t>and</w:t>
      </w:r>
      <w:r>
        <w:rPr>
          <w:rFonts w:ascii="Arial" w:hAnsi="Arial"/>
          <w:color w:val="231F20"/>
          <w:spacing w:val="40"/>
          <w:sz w:val="14"/>
        </w:rPr>
        <w:t> </w:t>
      </w:r>
      <w:r>
        <w:rPr>
          <w:rFonts w:ascii="Arial" w:hAnsi="Arial"/>
          <w:color w:val="231F20"/>
          <w:spacing w:val="-2"/>
          <w:w w:val="80"/>
          <w:sz w:val="14"/>
        </w:rPr>
        <w:t>International</w:t>
      </w:r>
      <w:r>
        <w:rPr>
          <w:rFonts w:ascii="Arial" w:hAnsi="Arial"/>
          <w:color w:val="231F20"/>
          <w:sz w:val="14"/>
        </w:rPr>
        <w:t> </w:t>
      </w:r>
      <w:r>
        <w:rPr>
          <w:rFonts w:ascii="Arial" w:hAnsi="Arial"/>
          <w:color w:val="231F20"/>
          <w:spacing w:val="-2"/>
          <w:w w:val="80"/>
          <w:sz w:val="14"/>
        </w:rPr>
        <w:t>Economic</w:t>
      </w:r>
      <w:r>
        <w:rPr>
          <w:rFonts w:ascii="Arial" w:hAnsi="Arial"/>
          <w:color w:val="231F20"/>
          <w:sz w:val="14"/>
        </w:rPr>
        <w:t> </w:t>
      </w:r>
      <w:r>
        <w:rPr>
          <w:rFonts w:ascii="Arial" w:hAnsi="Arial"/>
          <w:color w:val="231F20"/>
          <w:spacing w:val="-2"/>
          <w:w w:val="80"/>
          <w:sz w:val="14"/>
        </w:rPr>
        <w:t>Growth: Impacts</w:t>
      </w:r>
      <w:r>
        <w:rPr>
          <w:rFonts w:ascii="Arial" w:hAnsi="Arial"/>
          <w:color w:val="231F20"/>
          <w:sz w:val="14"/>
        </w:rPr>
        <w:t> </w:t>
      </w:r>
      <w:r>
        <w:rPr>
          <w:rFonts w:ascii="Arial" w:hAnsi="Arial"/>
          <w:color w:val="231F20"/>
          <w:spacing w:val="-2"/>
          <w:w w:val="80"/>
          <w:sz w:val="14"/>
        </w:rPr>
        <w:t>of</w:t>
      </w:r>
      <w:r>
        <w:rPr>
          <w:rFonts w:ascii="Arial" w:hAnsi="Arial"/>
          <w:color w:val="231F20"/>
          <w:sz w:val="14"/>
        </w:rPr>
        <w:t> </w:t>
      </w:r>
      <w:r>
        <w:rPr>
          <w:rFonts w:ascii="Arial" w:hAnsi="Arial"/>
          <w:color w:val="231F20"/>
          <w:spacing w:val="-2"/>
          <w:w w:val="80"/>
          <w:sz w:val="14"/>
        </w:rPr>
        <w:t>Disruptions</w:t>
      </w:r>
      <w:r>
        <w:rPr>
          <w:rFonts w:ascii="Arial" w:hAnsi="Arial"/>
          <w:color w:val="231F20"/>
          <w:sz w:val="14"/>
        </w:rPr>
        <w:t> </w:t>
      </w:r>
      <w:r>
        <w:rPr>
          <w:rFonts w:ascii="Arial" w:hAnsi="Arial"/>
          <w:color w:val="231F20"/>
          <w:spacing w:val="-2"/>
          <w:w w:val="80"/>
          <w:sz w:val="14"/>
        </w:rPr>
        <w:t>like</w:t>
      </w:r>
      <w:r>
        <w:rPr>
          <w:rFonts w:ascii="Arial" w:hAnsi="Arial"/>
          <w:color w:val="231F20"/>
          <w:sz w:val="14"/>
        </w:rPr>
        <w:t> </w:t>
      </w:r>
      <w:r>
        <w:rPr>
          <w:rFonts w:ascii="Arial" w:hAnsi="Arial"/>
          <w:color w:val="231F20"/>
          <w:spacing w:val="-2"/>
          <w:w w:val="80"/>
          <w:sz w:val="14"/>
        </w:rPr>
        <w:t>COVID-</w:t>
      </w:r>
      <w:r>
        <w:rPr>
          <w:rFonts w:ascii="Arial" w:hAnsi="Arial"/>
          <w:color w:val="231F20"/>
          <w:spacing w:val="-2"/>
          <w:w w:val="80"/>
          <w:sz w:val="14"/>
        </w:rPr>
        <w:t>19.”</w:t>
      </w:r>
      <w:r>
        <w:rPr>
          <w:rFonts w:ascii="Arial" w:hAnsi="Arial"/>
          <w:color w:val="231F20"/>
          <w:spacing w:val="40"/>
          <w:sz w:val="14"/>
        </w:rPr>
        <w:t> </w:t>
      </w:r>
      <w:r>
        <w:rPr>
          <w:rFonts w:ascii="Arial" w:hAnsi="Arial"/>
          <w:color w:val="231F20"/>
          <w:w w:val="80"/>
          <w:sz w:val="14"/>
        </w:rPr>
        <w:t>CESifo Working Paper 8294, Center for Economic Studies, Munich,</w:t>
      </w:r>
      <w:r>
        <w:rPr>
          <w:rFonts w:ascii="Arial" w:hAnsi="Arial"/>
          <w:color w:val="231F20"/>
          <w:spacing w:val="40"/>
          <w:sz w:val="14"/>
        </w:rPr>
        <w:t> </w:t>
      </w:r>
      <w:r>
        <w:rPr>
          <w:rFonts w:ascii="Arial" w:hAnsi="Arial"/>
          <w:color w:val="231F20"/>
          <w:spacing w:val="-2"/>
          <w:w w:val="90"/>
          <w:sz w:val="14"/>
        </w:rPr>
        <w:t>Germany.</w:t>
      </w:r>
    </w:p>
    <w:p>
      <w:pPr>
        <w:spacing w:line="297" w:lineRule="auto" w:before="1"/>
        <w:ind w:left="435" w:right="1121" w:hanging="240"/>
        <w:jc w:val="both"/>
        <w:rPr>
          <w:rFonts w:ascii="Arial" w:hAnsi="Arial"/>
          <w:sz w:val="14"/>
        </w:rPr>
      </w:pPr>
      <w:r>
        <w:rPr>
          <w:rFonts w:ascii="Arial" w:hAnsi="Arial"/>
          <w:color w:val="231F20"/>
          <w:w w:val="80"/>
          <w:sz w:val="14"/>
        </w:rPr>
        <w:t>Goel,</w:t>
      </w:r>
      <w:r>
        <w:rPr>
          <w:rFonts w:ascii="Arial" w:hAnsi="Arial"/>
          <w:color w:val="231F20"/>
          <w:spacing w:val="-2"/>
          <w:w w:val="80"/>
          <w:sz w:val="14"/>
        </w:rPr>
        <w:t> </w:t>
      </w:r>
      <w:r>
        <w:rPr>
          <w:rFonts w:ascii="Arial" w:hAnsi="Arial"/>
          <w:color w:val="231F20"/>
          <w:w w:val="80"/>
          <w:sz w:val="14"/>
        </w:rPr>
        <w:t>R.</w:t>
      </w:r>
      <w:r>
        <w:rPr>
          <w:rFonts w:ascii="Arial" w:hAnsi="Arial"/>
          <w:color w:val="231F20"/>
          <w:spacing w:val="-5"/>
          <w:sz w:val="14"/>
        </w:rPr>
        <w:t> </w:t>
      </w:r>
      <w:r>
        <w:rPr>
          <w:rFonts w:ascii="Arial" w:hAnsi="Arial"/>
          <w:color w:val="231F20"/>
          <w:w w:val="80"/>
          <w:sz w:val="14"/>
        </w:rPr>
        <w:t>K.,</w:t>
      </w:r>
      <w:r>
        <w:rPr>
          <w:rFonts w:ascii="Arial" w:hAnsi="Arial"/>
          <w:color w:val="231F20"/>
          <w:spacing w:val="-2"/>
          <w:w w:val="80"/>
          <w:sz w:val="14"/>
        </w:rPr>
        <w:t> </w:t>
      </w:r>
      <w:r>
        <w:rPr>
          <w:rFonts w:ascii="Arial" w:hAnsi="Arial"/>
          <w:color w:val="231F20"/>
          <w:w w:val="80"/>
          <w:sz w:val="14"/>
        </w:rPr>
        <w:t>J.</w:t>
      </w:r>
      <w:r>
        <w:rPr>
          <w:rFonts w:ascii="Arial" w:hAnsi="Arial"/>
          <w:color w:val="231F20"/>
          <w:spacing w:val="-2"/>
          <w:w w:val="80"/>
          <w:sz w:val="14"/>
        </w:rPr>
        <w:t> </w:t>
      </w:r>
      <w:r>
        <w:rPr>
          <w:rFonts w:ascii="Arial" w:hAnsi="Arial"/>
          <w:color w:val="231F20"/>
          <w:w w:val="80"/>
          <w:sz w:val="14"/>
        </w:rPr>
        <w:t>W.</w:t>
      </w:r>
      <w:r>
        <w:rPr>
          <w:rFonts w:ascii="Arial" w:hAnsi="Arial"/>
          <w:color w:val="231F20"/>
          <w:spacing w:val="-5"/>
          <w:sz w:val="14"/>
        </w:rPr>
        <w:t> </w:t>
      </w:r>
      <w:r>
        <w:rPr>
          <w:rFonts w:ascii="Arial" w:hAnsi="Arial"/>
          <w:color w:val="231F20"/>
          <w:w w:val="80"/>
          <w:sz w:val="14"/>
        </w:rPr>
        <w:t>Saunoris,</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5"/>
          <w:sz w:val="14"/>
        </w:rPr>
        <w:t> </w:t>
      </w:r>
      <w:r>
        <w:rPr>
          <w:rFonts w:ascii="Arial" w:hAnsi="Arial"/>
          <w:color w:val="231F20"/>
          <w:w w:val="80"/>
          <w:sz w:val="14"/>
        </w:rPr>
        <w:t>S.</w:t>
      </w:r>
      <w:r>
        <w:rPr>
          <w:rFonts w:ascii="Arial" w:hAnsi="Arial"/>
          <w:color w:val="231F20"/>
          <w:spacing w:val="-5"/>
          <w:sz w:val="14"/>
        </w:rPr>
        <w:t> </w:t>
      </w:r>
      <w:r>
        <w:rPr>
          <w:rFonts w:ascii="Arial" w:hAnsi="Arial"/>
          <w:color w:val="231F20"/>
          <w:w w:val="80"/>
          <w:sz w:val="14"/>
        </w:rPr>
        <w:t>S.</w:t>
      </w:r>
      <w:r>
        <w:rPr>
          <w:rFonts w:ascii="Arial" w:hAnsi="Arial"/>
          <w:color w:val="231F20"/>
          <w:spacing w:val="-5"/>
          <w:sz w:val="14"/>
        </w:rPr>
        <w:t> </w:t>
      </w:r>
      <w:r>
        <w:rPr>
          <w:rFonts w:ascii="Arial" w:hAnsi="Arial"/>
          <w:color w:val="231F20"/>
          <w:w w:val="80"/>
          <w:sz w:val="14"/>
        </w:rPr>
        <w:t>Goel.</w:t>
      </w:r>
      <w:r>
        <w:rPr>
          <w:rFonts w:ascii="Arial" w:hAnsi="Arial"/>
          <w:color w:val="231F20"/>
          <w:spacing w:val="-5"/>
          <w:sz w:val="14"/>
        </w:rPr>
        <w:t> </w:t>
      </w:r>
      <w:r>
        <w:rPr>
          <w:rFonts w:ascii="Arial" w:hAnsi="Arial"/>
          <w:color w:val="231F20"/>
          <w:w w:val="80"/>
          <w:sz w:val="14"/>
        </w:rPr>
        <w:t>2021.</w:t>
      </w:r>
      <w:r>
        <w:rPr>
          <w:rFonts w:ascii="Arial" w:hAnsi="Arial"/>
          <w:color w:val="231F20"/>
          <w:spacing w:val="-2"/>
          <w:w w:val="80"/>
          <w:sz w:val="14"/>
        </w:rPr>
        <w:t> </w:t>
      </w:r>
      <w:r>
        <w:rPr>
          <w:rFonts w:ascii="Arial" w:hAnsi="Arial"/>
          <w:color w:val="231F20"/>
          <w:w w:val="80"/>
          <w:sz w:val="14"/>
        </w:rPr>
        <w:t>“Supply</w:t>
      </w:r>
      <w:r>
        <w:rPr>
          <w:rFonts w:ascii="Arial" w:hAnsi="Arial"/>
          <w:color w:val="231F20"/>
          <w:spacing w:val="-5"/>
          <w:sz w:val="14"/>
        </w:rPr>
        <w:t> </w:t>
      </w:r>
      <w:r>
        <w:rPr>
          <w:rFonts w:ascii="Arial" w:hAnsi="Arial"/>
          <w:color w:val="231F20"/>
          <w:w w:val="80"/>
          <w:sz w:val="14"/>
        </w:rPr>
        <w:t>Chain</w:t>
      </w:r>
      <w:r>
        <w:rPr>
          <w:rFonts w:ascii="Arial" w:hAnsi="Arial"/>
          <w:color w:val="231F20"/>
          <w:spacing w:val="40"/>
          <w:sz w:val="14"/>
        </w:rPr>
        <w:t> </w:t>
      </w:r>
      <w:r>
        <w:rPr>
          <w:rFonts w:ascii="Arial" w:hAnsi="Arial"/>
          <w:color w:val="231F20"/>
          <w:w w:val="75"/>
          <w:sz w:val="14"/>
        </w:rPr>
        <w:t>Performance</w:t>
      </w:r>
      <w:r>
        <w:rPr>
          <w:rFonts w:ascii="Arial" w:hAnsi="Arial"/>
          <w:color w:val="231F20"/>
          <w:sz w:val="14"/>
        </w:rPr>
        <w:t> </w:t>
      </w:r>
      <w:r>
        <w:rPr>
          <w:rFonts w:ascii="Arial" w:hAnsi="Arial"/>
          <w:color w:val="231F20"/>
          <w:w w:val="75"/>
          <w:sz w:val="14"/>
        </w:rPr>
        <w:t>and</w:t>
      </w:r>
      <w:r>
        <w:rPr>
          <w:rFonts w:ascii="Arial" w:hAnsi="Arial"/>
          <w:color w:val="231F20"/>
          <w:sz w:val="14"/>
        </w:rPr>
        <w:t> </w:t>
      </w:r>
      <w:r>
        <w:rPr>
          <w:rFonts w:ascii="Arial" w:hAnsi="Arial"/>
          <w:color w:val="231F20"/>
          <w:w w:val="75"/>
          <w:sz w:val="14"/>
        </w:rPr>
        <w:t>Economic</w:t>
      </w:r>
      <w:r>
        <w:rPr>
          <w:rFonts w:ascii="Arial" w:hAnsi="Arial"/>
          <w:color w:val="231F20"/>
          <w:sz w:val="14"/>
        </w:rPr>
        <w:t> </w:t>
      </w:r>
      <w:r>
        <w:rPr>
          <w:rFonts w:ascii="Arial" w:hAnsi="Arial"/>
          <w:color w:val="231F20"/>
          <w:w w:val="75"/>
          <w:sz w:val="14"/>
        </w:rPr>
        <w:t>Growth: The</w:t>
      </w:r>
      <w:r>
        <w:rPr>
          <w:rFonts w:ascii="Arial" w:hAnsi="Arial"/>
          <w:color w:val="231F20"/>
          <w:sz w:val="14"/>
        </w:rPr>
        <w:t> </w:t>
      </w:r>
      <w:r>
        <w:rPr>
          <w:rFonts w:ascii="Arial" w:hAnsi="Arial"/>
          <w:color w:val="231F20"/>
          <w:w w:val="75"/>
          <w:sz w:val="14"/>
        </w:rPr>
        <w:t>Impact</w:t>
      </w:r>
      <w:r>
        <w:rPr>
          <w:rFonts w:ascii="Arial" w:hAnsi="Arial"/>
          <w:color w:val="231F20"/>
          <w:sz w:val="14"/>
        </w:rPr>
        <w:t> </w:t>
      </w:r>
      <w:r>
        <w:rPr>
          <w:rFonts w:ascii="Arial" w:hAnsi="Arial"/>
          <w:color w:val="231F20"/>
          <w:w w:val="75"/>
          <w:sz w:val="14"/>
        </w:rPr>
        <w:t>of</w:t>
      </w:r>
      <w:r>
        <w:rPr>
          <w:rFonts w:ascii="Arial" w:hAnsi="Arial"/>
          <w:color w:val="231F20"/>
          <w:sz w:val="14"/>
        </w:rPr>
        <w:t> </w:t>
      </w:r>
      <w:r>
        <w:rPr>
          <w:rFonts w:ascii="Arial" w:hAnsi="Arial"/>
          <w:color w:val="231F20"/>
          <w:w w:val="75"/>
          <w:sz w:val="14"/>
        </w:rPr>
        <w:t>COVID-</w:t>
      </w:r>
      <w:r>
        <w:rPr>
          <w:rFonts w:ascii="Arial" w:hAnsi="Arial"/>
          <w:color w:val="231F20"/>
          <w:w w:val="75"/>
          <w:sz w:val="14"/>
        </w:rPr>
        <w:t>19</w:t>
      </w:r>
      <w:r>
        <w:rPr>
          <w:rFonts w:ascii="Arial" w:hAnsi="Arial"/>
          <w:color w:val="231F20"/>
          <w:spacing w:val="40"/>
          <w:sz w:val="14"/>
        </w:rPr>
        <w:t> </w:t>
      </w:r>
      <w:r>
        <w:rPr>
          <w:rFonts w:ascii="Arial" w:hAnsi="Arial"/>
          <w:color w:val="231F20"/>
          <w:w w:val="85"/>
          <w:sz w:val="14"/>
        </w:rPr>
        <w:t>Disruptions.”</w:t>
      </w:r>
      <w:r>
        <w:rPr>
          <w:rFonts w:ascii="Arial" w:hAnsi="Arial"/>
          <w:color w:val="231F20"/>
          <w:spacing w:val="-6"/>
          <w:w w:val="85"/>
          <w:sz w:val="14"/>
        </w:rPr>
        <w:t> </w:t>
      </w:r>
      <w:r>
        <w:rPr>
          <w:rFonts w:ascii="Arial" w:hAnsi="Arial"/>
          <w:i/>
          <w:color w:val="231F20"/>
          <w:w w:val="85"/>
          <w:sz w:val="14"/>
        </w:rPr>
        <w:t>Journal</w:t>
      </w:r>
      <w:r>
        <w:rPr>
          <w:rFonts w:ascii="Arial" w:hAnsi="Arial"/>
          <w:i/>
          <w:color w:val="231F20"/>
          <w:spacing w:val="-2"/>
          <w:w w:val="85"/>
          <w:sz w:val="14"/>
        </w:rPr>
        <w:t> </w:t>
      </w:r>
      <w:r>
        <w:rPr>
          <w:rFonts w:ascii="Arial" w:hAnsi="Arial"/>
          <w:i/>
          <w:color w:val="231F20"/>
          <w:w w:val="85"/>
          <w:sz w:val="14"/>
        </w:rPr>
        <w:t>of</w:t>
      </w:r>
      <w:r>
        <w:rPr>
          <w:rFonts w:ascii="Arial" w:hAnsi="Arial"/>
          <w:i/>
          <w:color w:val="231F20"/>
          <w:spacing w:val="-2"/>
          <w:w w:val="85"/>
          <w:sz w:val="14"/>
        </w:rPr>
        <w:t> </w:t>
      </w:r>
      <w:r>
        <w:rPr>
          <w:rFonts w:ascii="Arial" w:hAnsi="Arial"/>
          <w:i/>
          <w:color w:val="231F20"/>
          <w:w w:val="85"/>
          <w:sz w:val="14"/>
        </w:rPr>
        <w:t>Policy</w:t>
      </w:r>
      <w:r>
        <w:rPr>
          <w:rFonts w:ascii="Arial" w:hAnsi="Arial"/>
          <w:i/>
          <w:color w:val="231F20"/>
          <w:spacing w:val="-2"/>
          <w:w w:val="85"/>
          <w:sz w:val="14"/>
        </w:rPr>
        <w:t> </w:t>
      </w:r>
      <w:r>
        <w:rPr>
          <w:rFonts w:ascii="Arial" w:hAnsi="Arial"/>
          <w:i/>
          <w:color w:val="231F20"/>
          <w:w w:val="85"/>
          <w:sz w:val="14"/>
        </w:rPr>
        <w:t>Modeling</w:t>
      </w:r>
      <w:r>
        <w:rPr>
          <w:rFonts w:ascii="Arial" w:hAnsi="Arial"/>
          <w:i/>
          <w:color w:val="231F20"/>
          <w:spacing w:val="-2"/>
          <w:w w:val="85"/>
          <w:sz w:val="14"/>
        </w:rPr>
        <w:t> </w:t>
      </w:r>
      <w:r>
        <w:rPr>
          <w:rFonts w:ascii="Arial" w:hAnsi="Arial"/>
          <w:color w:val="231F20"/>
          <w:w w:val="85"/>
          <w:sz w:val="14"/>
        </w:rPr>
        <w:t>43</w:t>
      </w:r>
      <w:r>
        <w:rPr>
          <w:rFonts w:ascii="Arial" w:hAnsi="Arial"/>
          <w:color w:val="231F20"/>
          <w:spacing w:val="-2"/>
          <w:w w:val="85"/>
          <w:sz w:val="14"/>
        </w:rPr>
        <w:t> </w:t>
      </w:r>
      <w:r>
        <w:rPr>
          <w:rFonts w:ascii="Arial" w:hAnsi="Arial"/>
          <w:color w:val="231F20"/>
          <w:w w:val="85"/>
          <w:sz w:val="14"/>
        </w:rPr>
        <w:t>(2):</w:t>
      </w:r>
      <w:r>
        <w:rPr>
          <w:rFonts w:ascii="Arial" w:hAnsi="Arial"/>
          <w:color w:val="231F20"/>
          <w:spacing w:val="-6"/>
          <w:w w:val="85"/>
          <w:sz w:val="14"/>
        </w:rPr>
        <w:t> </w:t>
      </w:r>
      <w:r>
        <w:rPr>
          <w:rFonts w:ascii="Arial" w:hAnsi="Arial"/>
          <w:color w:val="231F20"/>
          <w:w w:val="85"/>
          <w:sz w:val="14"/>
        </w:rPr>
        <w:t>298–316.</w:t>
      </w:r>
    </w:p>
    <w:p>
      <w:pPr>
        <w:spacing w:line="297" w:lineRule="auto" w:before="1"/>
        <w:ind w:left="435" w:right="695" w:hanging="240"/>
        <w:jc w:val="left"/>
        <w:rPr>
          <w:rFonts w:ascii="Arial" w:hAnsi="Arial"/>
          <w:sz w:val="14"/>
        </w:rPr>
      </w:pPr>
      <w:r>
        <w:rPr>
          <w:rFonts w:ascii="Arial" w:hAnsi="Arial"/>
          <w:color w:val="231F20"/>
          <w:spacing w:val="-2"/>
          <w:w w:val="85"/>
          <w:sz w:val="14"/>
        </w:rPr>
        <w:t>Haasis, H.-D., and</w:t>
      </w:r>
      <w:r>
        <w:rPr>
          <w:rFonts w:ascii="Arial" w:hAnsi="Arial"/>
          <w:color w:val="231F20"/>
          <w:sz w:val="14"/>
        </w:rPr>
        <w:t> </w:t>
      </w:r>
      <w:r>
        <w:rPr>
          <w:rFonts w:ascii="Arial" w:hAnsi="Arial"/>
          <w:color w:val="231F20"/>
          <w:spacing w:val="-2"/>
          <w:w w:val="85"/>
          <w:sz w:val="14"/>
        </w:rPr>
        <w:t>Hapsatou.</w:t>
      </w:r>
      <w:r>
        <w:rPr>
          <w:rFonts w:ascii="Arial" w:hAnsi="Arial"/>
          <w:color w:val="231F20"/>
          <w:sz w:val="14"/>
        </w:rPr>
        <w:t> </w:t>
      </w:r>
      <w:r>
        <w:rPr>
          <w:rFonts w:ascii="Arial" w:hAnsi="Arial"/>
          <w:color w:val="231F20"/>
          <w:spacing w:val="-2"/>
          <w:w w:val="85"/>
          <w:sz w:val="14"/>
        </w:rPr>
        <w:t>2022. “Digital Transformation</w:t>
      </w:r>
      <w:r>
        <w:rPr>
          <w:rFonts w:ascii="Arial" w:hAnsi="Arial"/>
          <w:color w:val="231F20"/>
          <w:sz w:val="14"/>
        </w:rPr>
        <w:t> </w:t>
      </w:r>
      <w:r>
        <w:rPr>
          <w:rFonts w:ascii="Arial" w:hAnsi="Arial"/>
          <w:color w:val="231F20"/>
          <w:spacing w:val="-2"/>
          <w:w w:val="85"/>
          <w:sz w:val="14"/>
        </w:rPr>
        <w:t>of</w:t>
      </w:r>
      <w:r>
        <w:rPr>
          <w:rFonts w:ascii="Arial" w:hAnsi="Arial"/>
          <w:color w:val="231F20"/>
          <w:sz w:val="14"/>
        </w:rPr>
        <w:t> </w:t>
      </w:r>
      <w:r>
        <w:rPr>
          <w:rFonts w:ascii="Arial" w:hAnsi="Arial"/>
          <w:color w:val="231F20"/>
          <w:spacing w:val="-2"/>
          <w:w w:val="85"/>
          <w:sz w:val="14"/>
        </w:rPr>
        <w:t>Maritime</w:t>
      </w:r>
      <w:r>
        <w:rPr>
          <w:rFonts w:ascii="Arial" w:hAnsi="Arial"/>
          <w:color w:val="231F20"/>
          <w:spacing w:val="40"/>
          <w:sz w:val="14"/>
        </w:rPr>
        <w:t> </w:t>
      </w:r>
      <w:r>
        <w:rPr>
          <w:rFonts w:ascii="Arial" w:hAnsi="Arial"/>
          <w:color w:val="231F20"/>
          <w:w w:val="80"/>
          <w:sz w:val="14"/>
        </w:rPr>
        <w:t>Supply Chains Focusing on Ocean Shipping, Port Management, and</w:t>
      </w:r>
      <w:r>
        <w:rPr>
          <w:rFonts w:ascii="Arial" w:hAnsi="Arial"/>
          <w:color w:val="231F20"/>
          <w:spacing w:val="40"/>
          <w:sz w:val="14"/>
        </w:rPr>
        <w:t> </w:t>
      </w:r>
      <w:r>
        <w:rPr>
          <w:rFonts w:ascii="Arial" w:hAnsi="Arial"/>
          <w:color w:val="231F20"/>
          <w:w w:val="75"/>
          <w:sz w:val="14"/>
        </w:rPr>
        <w:t>Hinterland</w:t>
      </w:r>
      <w:r>
        <w:rPr>
          <w:rFonts w:ascii="Arial" w:hAnsi="Arial"/>
          <w:color w:val="231F20"/>
          <w:spacing w:val="19"/>
          <w:sz w:val="14"/>
        </w:rPr>
        <w:t> </w:t>
      </w:r>
      <w:r>
        <w:rPr>
          <w:rFonts w:ascii="Arial" w:hAnsi="Arial"/>
          <w:color w:val="231F20"/>
          <w:w w:val="75"/>
          <w:sz w:val="14"/>
        </w:rPr>
        <w:t>Connection.”</w:t>
      </w:r>
      <w:r>
        <w:rPr>
          <w:rFonts w:ascii="Arial" w:hAnsi="Arial"/>
          <w:color w:val="231F20"/>
          <w:spacing w:val="10"/>
          <w:sz w:val="14"/>
        </w:rPr>
        <w:t> </w:t>
      </w:r>
      <w:r>
        <w:rPr>
          <w:rFonts w:ascii="Arial" w:hAnsi="Arial"/>
          <w:i/>
          <w:color w:val="231F20"/>
          <w:w w:val="75"/>
          <w:sz w:val="14"/>
        </w:rPr>
        <w:t>Diginomics</w:t>
      </w:r>
      <w:r>
        <w:rPr>
          <w:rFonts w:ascii="Arial" w:hAnsi="Arial"/>
          <w:i/>
          <w:color w:val="231F20"/>
          <w:spacing w:val="19"/>
          <w:sz w:val="14"/>
        </w:rPr>
        <w:t> </w:t>
      </w:r>
      <w:r>
        <w:rPr>
          <w:rFonts w:ascii="Arial" w:hAnsi="Arial"/>
          <w:i/>
          <w:color w:val="231F20"/>
          <w:w w:val="75"/>
          <w:sz w:val="14"/>
        </w:rPr>
        <w:t>Research</w:t>
      </w:r>
      <w:r>
        <w:rPr>
          <w:rFonts w:ascii="Arial" w:hAnsi="Arial"/>
          <w:i/>
          <w:color w:val="231F20"/>
          <w:spacing w:val="19"/>
          <w:sz w:val="14"/>
        </w:rPr>
        <w:t> </w:t>
      </w:r>
      <w:r>
        <w:rPr>
          <w:rFonts w:ascii="Arial" w:hAnsi="Arial"/>
          <w:i/>
          <w:color w:val="231F20"/>
          <w:w w:val="75"/>
          <w:sz w:val="14"/>
        </w:rPr>
        <w:t>Perspectives</w:t>
      </w:r>
      <w:r>
        <w:rPr>
          <w:rFonts w:ascii="Arial" w:hAnsi="Arial"/>
          <w:color w:val="231F20"/>
          <w:w w:val="75"/>
          <w:sz w:val="14"/>
        </w:rPr>
        <w:t>,</w:t>
      </w:r>
      <w:r>
        <w:rPr>
          <w:rFonts w:ascii="Arial" w:hAnsi="Arial"/>
          <w:color w:val="231F20"/>
          <w:spacing w:val="10"/>
          <w:sz w:val="14"/>
        </w:rPr>
        <w:t> </w:t>
      </w:r>
      <w:r>
        <w:rPr>
          <w:rFonts w:ascii="Arial" w:hAnsi="Arial"/>
          <w:color w:val="231F20"/>
          <w:spacing w:val="-2"/>
          <w:w w:val="75"/>
          <w:sz w:val="14"/>
        </w:rPr>
        <w:t>173–184.</w:t>
      </w:r>
    </w:p>
    <w:p>
      <w:pPr>
        <w:spacing w:line="297" w:lineRule="auto" w:before="1"/>
        <w:ind w:left="435" w:right="677" w:hanging="240"/>
        <w:jc w:val="left"/>
        <w:rPr>
          <w:rFonts w:ascii="Arial" w:hAnsi="Arial"/>
          <w:sz w:val="14"/>
        </w:rPr>
      </w:pPr>
      <w:r>
        <w:rPr>
          <w:rFonts w:ascii="Arial" w:hAnsi="Arial"/>
          <w:color w:val="231F20"/>
          <w:w w:val="80"/>
          <w:sz w:val="14"/>
        </w:rPr>
        <w:t>Hofstra, N., M. Vodegel, D.</w:t>
      </w:r>
      <w:r>
        <w:rPr>
          <w:rFonts w:ascii="Arial" w:hAnsi="Arial"/>
          <w:color w:val="231F20"/>
          <w:sz w:val="14"/>
        </w:rPr>
        <w:t> </w:t>
      </w:r>
      <w:r>
        <w:rPr>
          <w:rFonts w:ascii="Arial" w:hAnsi="Arial"/>
          <w:color w:val="231F20"/>
          <w:w w:val="80"/>
          <w:sz w:val="14"/>
        </w:rPr>
        <w:t>Moeke, M. Tooren, P.</w:t>
      </w:r>
      <w:r>
        <w:rPr>
          <w:rFonts w:ascii="Arial" w:hAnsi="Arial"/>
          <w:color w:val="231F20"/>
          <w:sz w:val="14"/>
        </w:rPr>
        <w:t> </w:t>
      </w:r>
      <w:r>
        <w:rPr>
          <w:rFonts w:ascii="Arial" w:hAnsi="Arial"/>
          <w:color w:val="231F20"/>
          <w:w w:val="80"/>
          <w:sz w:val="14"/>
        </w:rPr>
        <w:t>Preenen, K.</w:t>
      </w:r>
      <w:r>
        <w:rPr>
          <w:rFonts w:ascii="Arial" w:hAnsi="Arial"/>
          <w:color w:val="231F20"/>
          <w:sz w:val="14"/>
        </w:rPr>
        <w:t> </w:t>
      </w:r>
      <w:r>
        <w:rPr>
          <w:rFonts w:ascii="Arial" w:hAnsi="Arial"/>
          <w:color w:val="231F20"/>
          <w:w w:val="80"/>
          <w:sz w:val="14"/>
        </w:rPr>
        <w:t>Mennens,</w:t>
      </w:r>
      <w:r>
        <w:rPr>
          <w:rFonts w:ascii="Arial" w:hAnsi="Arial"/>
          <w:color w:val="231F20"/>
          <w:spacing w:val="40"/>
          <w:sz w:val="14"/>
        </w:rPr>
        <w:t> </w:t>
      </w:r>
      <w:r>
        <w:rPr>
          <w:rFonts w:ascii="Arial" w:hAnsi="Arial"/>
          <w:color w:val="231F20"/>
          <w:w w:val="85"/>
          <w:sz w:val="14"/>
        </w:rPr>
        <w:t>and</w:t>
      </w:r>
      <w:r>
        <w:rPr>
          <w:rFonts w:ascii="Arial" w:hAnsi="Arial"/>
          <w:color w:val="231F20"/>
          <w:spacing w:val="-6"/>
          <w:w w:val="85"/>
          <w:sz w:val="14"/>
        </w:rPr>
        <w:t> </w:t>
      </w:r>
      <w:r>
        <w:rPr>
          <w:rFonts w:ascii="Arial" w:hAnsi="Arial"/>
          <w:color w:val="231F20"/>
          <w:w w:val="85"/>
          <w:sz w:val="14"/>
        </w:rPr>
        <w:t>T.</w:t>
      </w:r>
      <w:r>
        <w:rPr>
          <w:rFonts w:ascii="Arial" w:hAnsi="Arial"/>
          <w:color w:val="231F20"/>
          <w:spacing w:val="-4"/>
          <w:w w:val="85"/>
          <w:sz w:val="14"/>
        </w:rPr>
        <w:t> </w:t>
      </w:r>
      <w:r>
        <w:rPr>
          <w:rFonts w:ascii="Arial" w:hAnsi="Arial"/>
          <w:color w:val="231F20"/>
          <w:w w:val="85"/>
          <w:sz w:val="14"/>
        </w:rPr>
        <w:t>Schipper.</w:t>
      </w:r>
      <w:r>
        <w:rPr>
          <w:rFonts w:ascii="Arial" w:hAnsi="Arial"/>
          <w:color w:val="231F20"/>
          <w:spacing w:val="-3"/>
          <w:w w:val="85"/>
          <w:sz w:val="14"/>
        </w:rPr>
        <w:t> </w:t>
      </w:r>
      <w:r>
        <w:rPr>
          <w:rFonts w:ascii="Arial" w:hAnsi="Arial"/>
          <w:color w:val="231F20"/>
          <w:w w:val="85"/>
          <w:sz w:val="14"/>
        </w:rPr>
        <w:t>2021.</w:t>
      </w:r>
      <w:r>
        <w:rPr>
          <w:rFonts w:ascii="Arial" w:hAnsi="Arial"/>
          <w:color w:val="231F20"/>
          <w:spacing w:val="-6"/>
          <w:w w:val="85"/>
          <w:sz w:val="14"/>
        </w:rPr>
        <w:t> </w:t>
      </w:r>
      <w:r>
        <w:rPr>
          <w:rFonts w:ascii="Arial" w:hAnsi="Arial"/>
          <w:color w:val="231F20"/>
          <w:w w:val="85"/>
          <w:sz w:val="14"/>
        </w:rPr>
        <w:t>“Learning</w:t>
      </w:r>
      <w:r>
        <w:rPr>
          <w:rFonts w:ascii="Arial" w:hAnsi="Arial"/>
          <w:color w:val="231F20"/>
          <w:spacing w:val="-3"/>
          <w:w w:val="85"/>
          <w:sz w:val="14"/>
        </w:rPr>
        <w:t> </w:t>
      </w:r>
      <w:r>
        <w:rPr>
          <w:rFonts w:ascii="Arial" w:hAnsi="Arial"/>
          <w:color w:val="231F20"/>
          <w:w w:val="85"/>
          <w:sz w:val="14"/>
        </w:rPr>
        <w:t>Communities</w:t>
      </w:r>
      <w:r>
        <w:rPr>
          <w:rFonts w:ascii="Arial" w:hAnsi="Arial"/>
          <w:color w:val="231F20"/>
          <w:spacing w:val="-4"/>
          <w:w w:val="85"/>
          <w:sz w:val="14"/>
        </w:rPr>
        <w:t> </w:t>
      </w:r>
      <w:r>
        <w:rPr>
          <w:rFonts w:ascii="Arial" w:hAnsi="Arial"/>
          <w:color w:val="231F20"/>
          <w:w w:val="85"/>
          <w:sz w:val="14"/>
        </w:rPr>
        <w:t>in</w:t>
      </w:r>
      <w:r>
        <w:rPr>
          <w:rFonts w:ascii="Arial" w:hAnsi="Arial"/>
          <w:color w:val="231F20"/>
          <w:spacing w:val="-4"/>
          <w:w w:val="85"/>
          <w:sz w:val="14"/>
        </w:rPr>
        <w:t> </w:t>
      </w:r>
      <w:r>
        <w:rPr>
          <w:rFonts w:ascii="Arial" w:hAnsi="Arial"/>
          <w:color w:val="231F20"/>
          <w:w w:val="85"/>
          <w:sz w:val="14"/>
        </w:rPr>
        <w:t>de</w:t>
      </w:r>
      <w:r>
        <w:rPr>
          <w:rFonts w:ascii="Arial" w:hAnsi="Arial"/>
          <w:color w:val="231F20"/>
          <w:spacing w:val="-4"/>
          <w:w w:val="85"/>
          <w:sz w:val="14"/>
        </w:rPr>
        <w:t> </w:t>
      </w:r>
      <w:r>
        <w:rPr>
          <w:rFonts w:ascii="Arial" w:hAnsi="Arial"/>
          <w:color w:val="231F20"/>
          <w:w w:val="85"/>
          <w:sz w:val="14"/>
        </w:rPr>
        <w:t>Logistiek:</w:t>
      </w:r>
      <w:r>
        <w:rPr>
          <w:rFonts w:ascii="Arial" w:hAnsi="Arial"/>
          <w:color w:val="231F20"/>
          <w:spacing w:val="-5"/>
          <w:w w:val="85"/>
          <w:sz w:val="14"/>
        </w:rPr>
        <w:t> </w:t>
      </w:r>
      <w:r>
        <w:rPr>
          <w:rFonts w:ascii="Arial" w:hAnsi="Arial"/>
          <w:color w:val="231F20"/>
          <w:w w:val="85"/>
          <w:sz w:val="14"/>
        </w:rPr>
        <w:t>De</w:t>
      </w:r>
      <w:r>
        <w:rPr>
          <w:rFonts w:ascii="Arial" w:hAnsi="Arial"/>
          <w:color w:val="231F20"/>
          <w:spacing w:val="40"/>
          <w:sz w:val="14"/>
        </w:rPr>
        <w:t> </w:t>
      </w:r>
      <w:r>
        <w:rPr>
          <w:rFonts w:ascii="Arial" w:hAnsi="Arial"/>
          <w:color w:val="231F20"/>
          <w:spacing w:val="-2"/>
          <w:w w:val="85"/>
          <w:sz w:val="14"/>
        </w:rPr>
        <w:t>TIP-ontwikkelmethode.” Logistiek</w:t>
      </w:r>
      <w:r>
        <w:rPr>
          <w:rFonts w:ascii="Arial" w:hAnsi="Arial"/>
          <w:color w:val="231F20"/>
          <w:sz w:val="14"/>
        </w:rPr>
        <w:t> </w:t>
      </w:r>
      <w:r>
        <w:rPr>
          <w:rFonts w:ascii="Arial" w:hAnsi="Arial"/>
          <w:color w:val="231F20"/>
          <w:spacing w:val="-2"/>
          <w:w w:val="85"/>
          <w:sz w:val="14"/>
        </w:rPr>
        <w:t>Special</w:t>
      </w:r>
      <w:r>
        <w:rPr>
          <w:rFonts w:ascii="Arial" w:hAnsi="Arial"/>
          <w:color w:val="231F20"/>
          <w:sz w:val="14"/>
        </w:rPr>
        <w:t> </w:t>
      </w:r>
      <w:r>
        <w:rPr>
          <w:rFonts w:ascii="Arial" w:hAnsi="Arial"/>
          <w:color w:val="231F20"/>
          <w:spacing w:val="-2"/>
          <w:w w:val="85"/>
          <w:sz w:val="14"/>
        </w:rPr>
        <w:t>Edition.</w:t>
      </w:r>
    </w:p>
    <w:p>
      <w:pPr>
        <w:spacing w:line="297" w:lineRule="auto" w:before="1"/>
        <w:ind w:left="435" w:right="941" w:hanging="240"/>
        <w:jc w:val="both"/>
        <w:rPr>
          <w:rFonts w:ascii="Arial" w:hAnsi="Arial"/>
          <w:sz w:val="14"/>
        </w:rPr>
      </w:pPr>
      <w:r>
        <w:rPr>
          <w:rFonts w:ascii="Arial" w:hAnsi="Arial"/>
          <w:color w:val="231F20"/>
          <w:w w:val="80"/>
          <w:sz w:val="14"/>
        </w:rPr>
        <w:t>Holl,</w:t>
      </w:r>
      <w:r>
        <w:rPr>
          <w:rFonts w:ascii="Arial" w:hAnsi="Arial"/>
          <w:color w:val="231F20"/>
          <w:spacing w:val="-2"/>
          <w:w w:val="80"/>
          <w:sz w:val="14"/>
        </w:rPr>
        <w:t> </w:t>
      </w:r>
      <w:r>
        <w:rPr>
          <w:rFonts w:ascii="Arial" w:hAnsi="Arial"/>
          <w:color w:val="231F20"/>
          <w:w w:val="80"/>
          <w:sz w:val="14"/>
        </w:rPr>
        <w:t>A.,</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3"/>
          <w:sz w:val="14"/>
        </w:rPr>
        <w:t> </w:t>
      </w:r>
      <w:r>
        <w:rPr>
          <w:rFonts w:ascii="Arial" w:hAnsi="Arial"/>
          <w:color w:val="231F20"/>
          <w:w w:val="80"/>
          <w:sz w:val="14"/>
        </w:rPr>
        <w:t>I.</w:t>
      </w:r>
      <w:r>
        <w:rPr>
          <w:rFonts w:ascii="Arial" w:hAnsi="Arial"/>
          <w:color w:val="231F20"/>
          <w:spacing w:val="-2"/>
          <w:sz w:val="14"/>
        </w:rPr>
        <w:t> </w:t>
      </w:r>
      <w:r>
        <w:rPr>
          <w:rFonts w:ascii="Arial" w:hAnsi="Arial"/>
          <w:color w:val="231F20"/>
          <w:w w:val="80"/>
          <w:sz w:val="14"/>
        </w:rPr>
        <w:t>Mariotti.</w:t>
      </w:r>
      <w:r>
        <w:rPr>
          <w:rFonts w:ascii="Arial" w:hAnsi="Arial"/>
          <w:color w:val="231F20"/>
          <w:spacing w:val="-2"/>
          <w:sz w:val="14"/>
        </w:rPr>
        <w:t> </w:t>
      </w:r>
      <w:r>
        <w:rPr>
          <w:rFonts w:ascii="Arial" w:hAnsi="Arial"/>
          <w:color w:val="231F20"/>
          <w:w w:val="80"/>
          <w:sz w:val="14"/>
        </w:rPr>
        <w:t>2022. “An</w:t>
      </w:r>
      <w:r>
        <w:rPr>
          <w:rFonts w:ascii="Arial" w:hAnsi="Arial"/>
          <w:color w:val="231F20"/>
          <w:spacing w:val="-2"/>
          <w:sz w:val="14"/>
        </w:rPr>
        <w:t> </w:t>
      </w:r>
      <w:r>
        <w:rPr>
          <w:rFonts w:ascii="Arial" w:hAnsi="Arial"/>
          <w:color w:val="231F20"/>
          <w:w w:val="80"/>
          <w:sz w:val="14"/>
        </w:rPr>
        <w:t>Empirical</w:t>
      </w:r>
      <w:r>
        <w:rPr>
          <w:rFonts w:ascii="Arial" w:hAnsi="Arial"/>
          <w:color w:val="231F20"/>
          <w:spacing w:val="-2"/>
          <w:sz w:val="14"/>
        </w:rPr>
        <w:t> </w:t>
      </w:r>
      <w:r>
        <w:rPr>
          <w:rFonts w:ascii="Arial" w:hAnsi="Arial"/>
          <w:color w:val="231F20"/>
          <w:w w:val="80"/>
          <w:sz w:val="14"/>
        </w:rPr>
        <w:t>Study</w:t>
      </w:r>
      <w:r>
        <w:rPr>
          <w:rFonts w:ascii="Arial" w:hAnsi="Arial"/>
          <w:color w:val="231F20"/>
          <w:spacing w:val="-2"/>
          <w:sz w:val="14"/>
        </w:rPr>
        <w:t> </w:t>
      </w:r>
      <w:r>
        <w:rPr>
          <w:rFonts w:ascii="Arial" w:hAnsi="Arial"/>
          <w:color w:val="231F20"/>
          <w:w w:val="80"/>
          <w:sz w:val="14"/>
        </w:rPr>
        <w:t>of</w:t>
      </w:r>
      <w:r>
        <w:rPr>
          <w:rFonts w:ascii="Arial" w:hAnsi="Arial"/>
          <w:color w:val="231F20"/>
          <w:spacing w:val="-2"/>
          <w:sz w:val="14"/>
        </w:rPr>
        <w:t> </w:t>
      </w:r>
      <w:r>
        <w:rPr>
          <w:rFonts w:ascii="Arial" w:hAnsi="Arial"/>
          <w:color w:val="231F20"/>
          <w:w w:val="80"/>
          <w:sz w:val="14"/>
        </w:rPr>
        <w:t>Drivers</w:t>
      </w:r>
      <w:r>
        <w:rPr>
          <w:rFonts w:ascii="Arial" w:hAnsi="Arial"/>
          <w:color w:val="231F20"/>
          <w:spacing w:val="-2"/>
          <w:sz w:val="14"/>
        </w:rPr>
        <w:t> </w:t>
      </w:r>
      <w:r>
        <w:rPr>
          <w:rFonts w:ascii="Arial" w:hAnsi="Arial"/>
          <w:color w:val="231F20"/>
          <w:w w:val="80"/>
          <w:sz w:val="14"/>
        </w:rPr>
        <w:t>for The</w:t>
      </w:r>
      <w:r>
        <w:rPr>
          <w:rFonts w:ascii="Arial" w:hAnsi="Arial"/>
          <w:color w:val="231F20"/>
          <w:spacing w:val="40"/>
          <w:sz w:val="14"/>
        </w:rPr>
        <w:t> </w:t>
      </w:r>
      <w:r>
        <w:rPr>
          <w:rFonts w:ascii="Arial" w:hAnsi="Arial"/>
          <w:color w:val="231F20"/>
          <w:w w:val="80"/>
          <w:sz w:val="14"/>
        </w:rPr>
        <w:t>Adoption</w:t>
      </w:r>
      <w:r>
        <w:rPr>
          <w:rFonts w:ascii="Arial" w:hAnsi="Arial"/>
          <w:color w:val="231F20"/>
          <w:spacing w:val="-2"/>
          <w:w w:val="8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Logistics</w:t>
      </w:r>
      <w:r>
        <w:rPr>
          <w:rFonts w:ascii="Arial" w:hAnsi="Arial"/>
          <w:color w:val="231F20"/>
          <w:spacing w:val="-2"/>
          <w:w w:val="80"/>
          <w:sz w:val="14"/>
        </w:rPr>
        <w:t> </w:t>
      </w:r>
      <w:r>
        <w:rPr>
          <w:rFonts w:ascii="Arial" w:hAnsi="Arial"/>
          <w:color w:val="231F20"/>
          <w:w w:val="80"/>
          <w:sz w:val="14"/>
        </w:rPr>
        <w:t>Innovation.”</w:t>
      </w:r>
      <w:r>
        <w:rPr>
          <w:rFonts w:ascii="Arial" w:hAnsi="Arial"/>
          <w:color w:val="231F20"/>
          <w:spacing w:val="-2"/>
          <w:w w:val="80"/>
          <w:sz w:val="14"/>
        </w:rPr>
        <w:t> </w:t>
      </w:r>
      <w:r>
        <w:rPr>
          <w:rFonts w:ascii="Arial" w:hAnsi="Arial"/>
          <w:i/>
          <w:color w:val="231F20"/>
          <w:w w:val="80"/>
          <w:sz w:val="14"/>
        </w:rPr>
        <w:t>Industry</w:t>
      </w:r>
      <w:r>
        <w:rPr>
          <w:rFonts w:ascii="Arial" w:hAnsi="Arial"/>
          <w:i/>
          <w:color w:val="231F20"/>
          <w:spacing w:val="-2"/>
          <w:w w:val="80"/>
          <w:sz w:val="14"/>
        </w:rPr>
        <w:t> </w:t>
      </w:r>
      <w:r>
        <w:rPr>
          <w:rFonts w:ascii="Arial" w:hAnsi="Arial"/>
          <w:i/>
          <w:color w:val="231F20"/>
          <w:w w:val="80"/>
          <w:sz w:val="14"/>
        </w:rPr>
        <w:t>and</w:t>
      </w:r>
      <w:r>
        <w:rPr>
          <w:rFonts w:ascii="Arial" w:hAnsi="Arial"/>
          <w:i/>
          <w:color w:val="231F20"/>
          <w:spacing w:val="-2"/>
          <w:w w:val="80"/>
          <w:sz w:val="14"/>
        </w:rPr>
        <w:t> </w:t>
      </w:r>
      <w:r>
        <w:rPr>
          <w:rFonts w:ascii="Arial" w:hAnsi="Arial"/>
          <w:i/>
          <w:color w:val="231F20"/>
          <w:w w:val="80"/>
          <w:sz w:val="14"/>
        </w:rPr>
        <w:t>Innovation</w:t>
      </w:r>
      <w:r>
        <w:rPr>
          <w:rFonts w:ascii="Arial" w:hAnsi="Arial"/>
          <w:i/>
          <w:color w:val="231F20"/>
          <w:spacing w:val="-2"/>
          <w:w w:val="80"/>
          <w:sz w:val="14"/>
        </w:rPr>
        <w:t> </w:t>
      </w:r>
      <w:r>
        <w:rPr>
          <w:rFonts w:ascii="Arial" w:hAnsi="Arial"/>
          <w:color w:val="231F20"/>
          <w:w w:val="80"/>
          <w:sz w:val="14"/>
        </w:rPr>
        <w:t>29</w:t>
      </w:r>
      <w:r>
        <w:rPr>
          <w:rFonts w:ascii="Arial" w:hAnsi="Arial"/>
          <w:color w:val="231F20"/>
          <w:spacing w:val="-2"/>
          <w:w w:val="80"/>
          <w:sz w:val="14"/>
        </w:rPr>
        <w:t> </w:t>
      </w:r>
      <w:r>
        <w:rPr>
          <w:rFonts w:ascii="Arial" w:hAnsi="Arial"/>
          <w:color w:val="231F20"/>
          <w:w w:val="80"/>
          <w:sz w:val="14"/>
        </w:rPr>
        <w:t>(6):</w:t>
      </w:r>
      <w:r>
        <w:rPr>
          <w:rFonts w:ascii="Arial" w:hAnsi="Arial"/>
          <w:color w:val="231F20"/>
          <w:spacing w:val="40"/>
          <w:sz w:val="14"/>
        </w:rPr>
        <w:t> </w:t>
      </w:r>
      <w:r>
        <w:rPr>
          <w:rFonts w:ascii="Arial" w:hAnsi="Arial"/>
          <w:color w:val="231F20"/>
          <w:spacing w:val="-2"/>
          <w:w w:val="90"/>
          <w:sz w:val="14"/>
        </w:rPr>
        <w:t>760–791.</w:t>
      </w:r>
    </w:p>
    <w:p>
      <w:pPr>
        <w:spacing w:line="297" w:lineRule="auto" w:before="2"/>
        <w:ind w:left="435" w:right="695" w:hanging="240"/>
        <w:jc w:val="left"/>
        <w:rPr>
          <w:rFonts w:ascii="Arial"/>
          <w:sz w:val="14"/>
        </w:rPr>
      </w:pPr>
      <w:r>
        <w:rPr>
          <w:rFonts w:ascii="Arial"/>
          <w:color w:val="231F20"/>
          <w:w w:val="80"/>
          <w:sz w:val="14"/>
        </w:rPr>
        <w:t>Humphreys,</w:t>
      </w:r>
      <w:r>
        <w:rPr>
          <w:rFonts w:ascii="Arial"/>
          <w:color w:val="231F20"/>
          <w:spacing w:val="-2"/>
          <w:w w:val="80"/>
          <w:sz w:val="14"/>
        </w:rPr>
        <w:t> </w:t>
      </w:r>
      <w:r>
        <w:rPr>
          <w:rFonts w:ascii="Arial"/>
          <w:color w:val="231F20"/>
          <w:w w:val="80"/>
          <w:sz w:val="14"/>
        </w:rPr>
        <w:t>M.,</w:t>
      </w:r>
      <w:r>
        <w:rPr>
          <w:rFonts w:ascii="Arial"/>
          <w:color w:val="231F20"/>
          <w:spacing w:val="-2"/>
          <w:w w:val="80"/>
          <w:sz w:val="14"/>
        </w:rPr>
        <w:t> </w:t>
      </w:r>
      <w:r>
        <w:rPr>
          <w:rFonts w:ascii="Arial"/>
          <w:color w:val="231F20"/>
          <w:w w:val="80"/>
          <w:sz w:val="14"/>
        </w:rPr>
        <w:t>and G.</w:t>
      </w:r>
      <w:r>
        <w:rPr>
          <w:rFonts w:ascii="Arial"/>
          <w:color w:val="231F20"/>
          <w:spacing w:val="-2"/>
          <w:w w:val="80"/>
          <w:sz w:val="14"/>
        </w:rPr>
        <w:t> </w:t>
      </w:r>
      <w:r>
        <w:rPr>
          <w:rFonts w:ascii="Arial"/>
          <w:color w:val="231F20"/>
          <w:w w:val="80"/>
          <w:sz w:val="14"/>
        </w:rPr>
        <w:t>Ashley. 2022. </w:t>
      </w:r>
      <w:r>
        <w:rPr>
          <w:rFonts w:ascii="Arial"/>
          <w:i/>
          <w:color w:val="231F20"/>
          <w:w w:val="80"/>
          <w:sz w:val="14"/>
        </w:rPr>
        <w:t>The Container Port Performance</w:t>
      </w:r>
      <w:r>
        <w:rPr>
          <w:rFonts w:ascii="Arial"/>
          <w:i/>
          <w:color w:val="231F20"/>
          <w:spacing w:val="40"/>
          <w:sz w:val="14"/>
        </w:rPr>
        <w:t> </w:t>
      </w:r>
      <w:r>
        <w:rPr>
          <w:rFonts w:ascii="Arial"/>
          <w:i/>
          <w:color w:val="231F20"/>
          <w:w w:val="85"/>
          <w:sz w:val="14"/>
        </w:rPr>
        <w:t>Index</w:t>
      </w:r>
      <w:r>
        <w:rPr>
          <w:rFonts w:ascii="Arial"/>
          <w:i/>
          <w:color w:val="231F20"/>
          <w:spacing w:val="-4"/>
          <w:w w:val="85"/>
          <w:sz w:val="14"/>
        </w:rPr>
        <w:t> </w:t>
      </w:r>
      <w:r>
        <w:rPr>
          <w:rFonts w:ascii="Arial"/>
          <w:i/>
          <w:color w:val="231F20"/>
          <w:w w:val="85"/>
          <w:sz w:val="14"/>
        </w:rPr>
        <w:t>2021</w:t>
      </w:r>
      <w:r>
        <w:rPr>
          <w:rFonts w:ascii="Arial"/>
          <w:color w:val="231F20"/>
          <w:w w:val="85"/>
          <w:sz w:val="14"/>
        </w:rPr>
        <w:t>.</w:t>
      </w:r>
      <w:r>
        <w:rPr>
          <w:rFonts w:ascii="Arial"/>
          <w:color w:val="231F20"/>
          <w:spacing w:val="-11"/>
          <w:w w:val="85"/>
          <w:sz w:val="14"/>
        </w:rPr>
        <w:t> </w:t>
      </w:r>
      <w:r>
        <w:rPr>
          <w:rFonts w:ascii="Arial"/>
          <w:color w:val="231F20"/>
          <w:w w:val="85"/>
          <w:sz w:val="14"/>
        </w:rPr>
        <w:t>Washington,</w:t>
      </w:r>
      <w:r>
        <w:rPr>
          <w:rFonts w:ascii="Arial"/>
          <w:color w:val="231F20"/>
          <w:spacing w:val="-5"/>
          <w:w w:val="85"/>
          <w:sz w:val="14"/>
        </w:rPr>
        <w:t> </w:t>
      </w:r>
      <w:r>
        <w:rPr>
          <w:rFonts w:ascii="Arial"/>
          <w:color w:val="231F20"/>
          <w:w w:val="85"/>
          <w:sz w:val="14"/>
        </w:rPr>
        <w:t>DC:</w:t>
      </w:r>
      <w:r>
        <w:rPr>
          <w:rFonts w:ascii="Arial"/>
          <w:color w:val="231F20"/>
          <w:spacing w:val="-10"/>
          <w:w w:val="85"/>
          <w:sz w:val="14"/>
        </w:rPr>
        <w:t> </w:t>
      </w:r>
      <w:r>
        <w:rPr>
          <w:rFonts w:ascii="Arial"/>
          <w:color w:val="231F20"/>
          <w:w w:val="85"/>
          <w:sz w:val="14"/>
        </w:rPr>
        <w:t>World</w:t>
      </w:r>
      <w:r>
        <w:rPr>
          <w:rFonts w:ascii="Arial"/>
          <w:color w:val="231F20"/>
          <w:spacing w:val="-4"/>
          <w:w w:val="85"/>
          <w:sz w:val="14"/>
        </w:rPr>
        <w:t> </w:t>
      </w:r>
      <w:r>
        <w:rPr>
          <w:rFonts w:ascii="Arial"/>
          <w:color w:val="231F20"/>
          <w:w w:val="85"/>
          <w:sz w:val="14"/>
        </w:rPr>
        <w:t>Bank.</w:t>
      </w:r>
    </w:p>
    <w:p>
      <w:pPr>
        <w:spacing w:line="297" w:lineRule="auto" w:before="0"/>
        <w:ind w:left="435" w:right="661" w:hanging="240"/>
        <w:jc w:val="left"/>
        <w:rPr>
          <w:rFonts w:ascii="Arial" w:hAnsi="Arial"/>
          <w:sz w:val="14"/>
        </w:rPr>
      </w:pPr>
      <w:r>
        <w:rPr>
          <w:rFonts w:ascii="Arial" w:hAnsi="Arial"/>
          <w:color w:val="231F20"/>
          <w:w w:val="80"/>
          <w:sz w:val="14"/>
        </w:rPr>
        <w:t>Ittmann,</w:t>
      </w:r>
      <w:r>
        <w:rPr>
          <w:rFonts w:ascii="Arial" w:hAnsi="Arial"/>
          <w:color w:val="231F20"/>
          <w:spacing w:val="-1"/>
          <w:w w:val="80"/>
          <w:sz w:val="14"/>
        </w:rPr>
        <w:t> </w:t>
      </w:r>
      <w:r>
        <w:rPr>
          <w:rFonts w:ascii="Arial" w:hAnsi="Arial"/>
          <w:color w:val="231F20"/>
          <w:w w:val="80"/>
          <w:sz w:val="14"/>
        </w:rPr>
        <w:t>H.</w:t>
      </w:r>
      <w:r>
        <w:rPr>
          <w:rFonts w:ascii="Arial" w:hAnsi="Arial"/>
          <w:color w:val="231F20"/>
          <w:spacing w:val="-1"/>
          <w:w w:val="80"/>
          <w:sz w:val="14"/>
        </w:rPr>
        <w:t> </w:t>
      </w:r>
      <w:r>
        <w:rPr>
          <w:rFonts w:ascii="Arial" w:hAnsi="Arial"/>
          <w:color w:val="231F20"/>
          <w:w w:val="80"/>
          <w:sz w:val="14"/>
        </w:rPr>
        <w:t>W. 2018.</w:t>
      </w:r>
      <w:r>
        <w:rPr>
          <w:rFonts w:ascii="Arial" w:hAnsi="Arial"/>
          <w:color w:val="231F20"/>
          <w:spacing w:val="-1"/>
          <w:w w:val="80"/>
          <w:sz w:val="14"/>
        </w:rPr>
        <w:t> </w:t>
      </w:r>
      <w:r>
        <w:rPr>
          <w:rFonts w:ascii="Arial" w:hAnsi="Arial"/>
          <w:color w:val="231F20"/>
          <w:w w:val="80"/>
          <w:sz w:val="14"/>
        </w:rPr>
        <w:t>“Logistics Performance in South</w:t>
      </w:r>
      <w:r>
        <w:rPr>
          <w:rFonts w:ascii="Arial" w:hAnsi="Arial"/>
          <w:color w:val="231F20"/>
          <w:spacing w:val="-1"/>
          <w:w w:val="80"/>
          <w:sz w:val="14"/>
        </w:rPr>
        <w:t> </w:t>
      </w:r>
      <w:r>
        <w:rPr>
          <w:rFonts w:ascii="Arial" w:hAnsi="Arial"/>
          <w:color w:val="231F20"/>
          <w:w w:val="80"/>
          <w:sz w:val="14"/>
        </w:rPr>
        <w:t>Africa.”</w:t>
      </w:r>
      <w:r>
        <w:rPr>
          <w:rFonts w:ascii="Arial" w:hAnsi="Arial"/>
          <w:color w:val="231F20"/>
          <w:spacing w:val="-1"/>
          <w:w w:val="80"/>
          <w:sz w:val="14"/>
        </w:rPr>
        <w:t> </w:t>
      </w:r>
      <w:r>
        <w:rPr>
          <w:rFonts w:ascii="Arial" w:hAnsi="Arial"/>
          <w:i/>
          <w:color w:val="231F20"/>
          <w:w w:val="80"/>
          <w:sz w:val="14"/>
        </w:rPr>
        <w:t>Journal </w:t>
      </w:r>
      <w:r>
        <w:rPr>
          <w:rFonts w:ascii="Arial" w:hAnsi="Arial"/>
          <w:i/>
          <w:color w:val="231F20"/>
          <w:w w:val="80"/>
          <w:sz w:val="14"/>
        </w:rPr>
        <w:t>of</w:t>
      </w:r>
      <w:r>
        <w:rPr>
          <w:rFonts w:ascii="Arial" w:hAnsi="Arial"/>
          <w:i/>
          <w:color w:val="231F20"/>
          <w:spacing w:val="40"/>
          <w:sz w:val="14"/>
        </w:rPr>
        <w:t> </w:t>
      </w:r>
      <w:r>
        <w:rPr>
          <w:rFonts w:ascii="Arial" w:hAnsi="Arial"/>
          <w:i/>
          <w:color w:val="231F20"/>
          <w:w w:val="85"/>
          <w:sz w:val="14"/>
        </w:rPr>
        <w:t>Transport</w:t>
      </w:r>
      <w:r>
        <w:rPr>
          <w:rFonts w:ascii="Arial" w:hAnsi="Arial"/>
          <w:i/>
          <w:color w:val="231F20"/>
          <w:spacing w:val="-4"/>
          <w:w w:val="85"/>
          <w:sz w:val="14"/>
        </w:rPr>
        <w:t> </w:t>
      </w:r>
      <w:r>
        <w:rPr>
          <w:rFonts w:ascii="Arial" w:hAnsi="Arial"/>
          <w:i/>
          <w:color w:val="231F20"/>
          <w:w w:val="85"/>
          <w:sz w:val="14"/>
        </w:rPr>
        <w:t>and</w:t>
      </w:r>
      <w:r>
        <w:rPr>
          <w:rFonts w:ascii="Arial" w:hAnsi="Arial"/>
          <w:i/>
          <w:color w:val="231F20"/>
          <w:spacing w:val="-4"/>
          <w:w w:val="85"/>
          <w:sz w:val="14"/>
        </w:rPr>
        <w:t> </w:t>
      </w:r>
      <w:r>
        <w:rPr>
          <w:rFonts w:ascii="Arial" w:hAnsi="Arial"/>
          <w:i/>
          <w:color w:val="231F20"/>
          <w:w w:val="85"/>
          <w:sz w:val="14"/>
        </w:rPr>
        <w:t>Supply</w:t>
      </w:r>
      <w:r>
        <w:rPr>
          <w:rFonts w:ascii="Arial" w:hAnsi="Arial"/>
          <w:i/>
          <w:color w:val="231F20"/>
          <w:spacing w:val="-4"/>
          <w:w w:val="85"/>
          <w:sz w:val="14"/>
        </w:rPr>
        <w:t> </w:t>
      </w:r>
      <w:r>
        <w:rPr>
          <w:rFonts w:ascii="Arial" w:hAnsi="Arial"/>
          <w:i/>
          <w:color w:val="231F20"/>
          <w:w w:val="85"/>
          <w:sz w:val="14"/>
        </w:rPr>
        <w:t>Chain</w:t>
      </w:r>
      <w:r>
        <w:rPr>
          <w:rFonts w:ascii="Arial" w:hAnsi="Arial"/>
          <w:i/>
          <w:color w:val="231F20"/>
          <w:spacing w:val="-4"/>
          <w:w w:val="85"/>
          <w:sz w:val="14"/>
        </w:rPr>
        <w:t> </w:t>
      </w:r>
      <w:r>
        <w:rPr>
          <w:rFonts w:ascii="Arial" w:hAnsi="Arial"/>
          <w:i/>
          <w:color w:val="231F20"/>
          <w:w w:val="85"/>
          <w:sz w:val="14"/>
        </w:rPr>
        <w:t>Management</w:t>
      </w:r>
      <w:r>
        <w:rPr>
          <w:rFonts w:ascii="Arial" w:hAnsi="Arial"/>
          <w:color w:val="231F20"/>
          <w:w w:val="85"/>
          <w:sz w:val="14"/>
        </w:rPr>
        <w:t>,</w:t>
      </w:r>
      <w:r>
        <w:rPr>
          <w:rFonts w:ascii="Arial" w:hAnsi="Arial"/>
          <w:color w:val="231F20"/>
          <w:spacing w:val="-5"/>
          <w:w w:val="85"/>
          <w:sz w:val="14"/>
        </w:rPr>
        <w:t> </w:t>
      </w:r>
      <w:r>
        <w:rPr>
          <w:rFonts w:ascii="Arial" w:hAnsi="Arial"/>
          <w:color w:val="231F20"/>
          <w:w w:val="85"/>
          <w:sz w:val="14"/>
        </w:rPr>
        <w:t>12.</w:t>
      </w:r>
    </w:p>
    <w:p>
      <w:pPr>
        <w:spacing w:before="1"/>
        <w:ind w:left="195" w:right="0" w:firstLine="0"/>
        <w:jc w:val="left"/>
        <w:rPr>
          <w:rFonts w:ascii="Arial"/>
          <w:sz w:val="14"/>
        </w:rPr>
      </w:pPr>
      <w:r>
        <w:rPr>
          <w:rFonts w:ascii="Arial"/>
          <w:color w:val="231F20"/>
          <w:w w:val="80"/>
          <w:sz w:val="14"/>
        </w:rPr>
        <w:t>Jahanshahee</w:t>
      </w:r>
      <w:r>
        <w:rPr>
          <w:rFonts w:ascii="Arial"/>
          <w:color w:val="231F20"/>
          <w:spacing w:val="10"/>
          <w:sz w:val="14"/>
        </w:rPr>
        <w:t> </w:t>
      </w:r>
      <w:r>
        <w:rPr>
          <w:rFonts w:ascii="Arial"/>
          <w:color w:val="231F20"/>
          <w:w w:val="80"/>
          <w:sz w:val="14"/>
        </w:rPr>
        <w:t>Nezhad,</w:t>
      </w:r>
      <w:r>
        <w:rPr>
          <w:rFonts w:ascii="Arial"/>
          <w:color w:val="231F20"/>
          <w:spacing w:val="2"/>
          <w:sz w:val="14"/>
        </w:rPr>
        <w:t> </w:t>
      </w:r>
      <w:r>
        <w:rPr>
          <w:rFonts w:ascii="Arial"/>
          <w:color w:val="231F20"/>
          <w:w w:val="80"/>
          <w:sz w:val="14"/>
        </w:rPr>
        <w:t>F.,</w:t>
      </w:r>
      <w:r>
        <w:rPr>
          <w:rFonts w:ascii="Arial"/>
          <w:color w:val="231F20"/>
          <w:spacing w:val="3"/>
          <w:sz w:val="14"/>
        </w:rPr>
        <w:t> </w:t>
      </w:r>
      <w:r>
        <w:rPr>
          <w:rFonts w:ascii="Arial"/>
          <w:color w:val="231F20"/>
          <w:w w:val="80"/>
          <w:sz w:val="14"/>
        </w:rPr>
        <w:t>M.</w:t>
      </w:r>
      <w:r>
        <w:rPr>
          <w:rFonts w:ascii="Arial"/>
          <w:color w:val="231F20"/>
          <w:spacing w:val="3"/>
          <w:sz w:val="14"/>
        </w:rPr>
        <w:t> </w:t>
      </w:r>
      <w:r>
        <w:rPr>
          <w:rFonts w:ascii="Arial"/>
          <w:color w:val="231F20"/>
          <w:w w:val="80"/>
          <w:sz w:val="14"/>
        </w:rPr>
        <w:t>Taghizadeh-Yazdi,</w:t>
      </w:r>
      <w:r>
        <w:rPr>
          <w:rFonts w:ascii="Arial"/>
          <w:color w:val="231F20"/>
          <w:spacing w:val="2"/>
          <w:sz w:val="14"/>
        </w:rPr>
        <w:t> </w:t>
      </w:r>
      <w:r>
        <w:rPr>
          <w:rFonts w:ascii="Arial"/>
          <w:color w:val="231F20"/>
          <w:w w:val="80"/>
          <w:sz w:val="14"/>
        </w:rPr>
        <w:t>J.</w:t>
      </w:r>
      <w:r>
        <w:rPr>
          <w:rFonts w:ascii="Arial"/>
          <w:color w:val="231F20"/>
          <w:spacing w:val="11"/>
          <w:sz w:val="14"/>
        </w:rPr>
        <w:t> </w:t>
      </w:r>
      <w:r>
        <w:rPr>
          <w:rFonts w:ascii="Arial"/>
          <w:color w:val="231F20"/>
          <w:w w:val="80"/>
          <w:sz w:val="14"/>
        </w:rPr>
        <w:t>Heidary</w:t>
      </w:r>
      <w:r>
        <w:rPr>
          <w:rFonts w:ascii="Arial"/>
          <w:color w:val="231F20"/>
          <w:spacing w:val="10"/>
          <w:sz w:val="14"/>
        </w:rPr>
        <w:t> </w:t>
      </w:r>
      <w:r>
        <w:rPr>
          <w:rFonts w:ascii="Arial"/>
          <w:color w:val="231F20"/>
          <w:spacing w:val="-2"/>
          <w:w w:val="80"/>
          <w:sz w:val="14"/>
        </w:rPr>
        <w:t>Dahooie,</w:t>
      </w:r>
    </w:p>
    <w:p>
      <w:pPr>
        <w:spacing w:line="297" w:lineRule="auto" w:before="39"/>
        <w:ind w:left="435" w:right="809" w:firstLine="0"/>
        <w:jc w:val="left"/>
        <w:rPr>
          <w:rFonts w:ascii="Arial" w:hAnsi="Arial"/>
          <w:sz w:val="14"/>
        </w:rPr>
      </w:pPr>
      <w:r>
        <w:rPr>
          <w:rFonts w:ascii="Arial" w:hAnsi="Arial"/>
          <w:color w:val="231F20"/>
          <w:w w:val="80"/>
          <w:sz w:val="14"/>
        </w:rPr>
        <w:t>A. Zamani Babgohari, and S. M. Sajadi. 2022. “Designing a </w:t>
      </w:r>
      <w:r>
        <w:rPr>
          <w:rFonts w:ascii="Arial" w:hAnsi="Arial"/>
          <w:color w:val="231F20"/>
          <w:w w:val="80"/>
          <w:sz w:val="14"/>
        </w:rPr>
        <w:t>New</w:t>
      </w:r>
      <w:r>
        <w:rPr>
          <w:rFonts w:ascii="Arial" w:hAnsi="Arial"/>
          <w:color w:val="231F20"/>
          <w:spacing w:val="40"/>
          <w:sz w:val="14"/>
        </w:rPr>
        <w:t> </w:t>
      </w:r>
      <w:r>
        <w:rPr>
          <w:rFonts w:ascii="Arial" w:hAnsi="Arial"/>
          <w:color w:val="231F20"/>
          <w:w w:val="80"/>
          <w:sz w:val="14"/>
        </w:rPr>
        <w:t>Mathematical Model for Optimising a Multi-Product RFID-Based</w:t>
      </w:r>
      <w:r>
        <w:rPr>
          <w:rFonts w:ascii="Arial" w:hAnsi="Arial"/>
          <w:color w:val="231F20"/>
          <w:spacing w:val="40"/>
          <w:sz w:val="14"/>
        </w:rPr>
        <w:t> </w:t>
      </w:r>
      <w:r>
        <w:rPr>
          <w:rFonts w:ascii="Arial" w:hAnsi="Arial"/>
          <w:color w:val="231F20"/>
          <w:w w:val="80"/>
          <w:sz w:val="14"/>
        </w:rPr>
        <w:t>Closed-Loop Food Supply Chain with a Green Entrepreneurial</w:t>
      </w:r>
      <w:r>
        <w:rPr>
          <w:rFonts w:ascii="Arial" w:hAnsi="Arial"/>
          <w:color w:val="231F20"/>
          <w:spacing w:val="40"/>
          <w:sz w:val="14"/>
        </w:rPr>
        <w:t> </w:t>
      </w:r>
      <w:r>
        <w:rPr>
          <w:rFonts w:ascii="Arial" w:hAnsi="Arial"/>
          <w:color w:val="231F20"/>
          <w:w w:val="85"/>
          <w:sz w:val="14"/>
        </w:rPr>
        <w:t>Orientation.”</w:t>
      </w:r>
      <w:r>
        <w:rPr>
          <w:rFonts w:ascii="Arial" w:hAnsi="Arial"/>
          <w:color w:val="231F20"/>
          <w:spacing w:val="-4"/>
          <w:w w:val="85"/>
          <w:sz w:val="14"/>
        </w:rPr>
        <w:t> </w:t>
      </w:r>
      <w:r>
        <w:rPr>
          <w:rFonts w:ascii="Arial" w:hAnsi="Arial"/>
          <w:i/>
          <w:color w:val="231F20"/>
          <w:w w:val="85"/>
          <w:sz w:val="14"/>
        </w:rPr>
        <w:t>British Food Journal </w:t>
      </w:r>
      <w:r>
        <w:rPr>
          <w:rFonts w:ascii="Arial" w:hAnsi="Arial"/>
          <w:color w:val="231F20"/>
          <w:w w:val="85"/>
          <w:sz w:val="14"/>
        </w:rPr>
        <w:t>124 (7):</w:t>
      </w:r>
      <w:r>
        <w:rPr>
          <w:rFonts w:ascii="Arial" w:hAnsi="Arial"/>
          <w:color w:val="231F20"/>
          <w:spacing w:val="-4"/>
          <w:w w:val="85"/>
          <w:sz w:val="14"/>
        </w:rPr>
        <w:t> </w:t>
      </w:r>
      <w:r>
        <w:rPr>
          <w:rFonts w:ascii="Arial" w:hAnsi="Arial"/>
          <w:color w:val="231F20"/>
          <w:w w:val="85"/>
          <w:sz w:val="14"/>
        </w:rPr>
        <w:t>2114–2148.</w:t>
      </w:r>
    </w:p>
    <w:p>
      <w:pPr>
        <w:spacing w:line="297" w:lineRule="auto" w:before="2"/>
        <w:ind w:left="435" w:right="695" w:hanging="240"/>
        <w:jc w:val="left"/>
        <w:rPr>
          <w:rFonts w:ascii="Arial" w:hAnsi="Arial"/>
          <w:sz w:val="14"/>
        </w:rPr>
      </w:pPr>
      <w:r>
        <w:rPr>
          <w:rFonts w:ascii="Arial" w:hAnsi="Arial"/>
          <w:color w:val="231F20"/>
          <w:w w:val="85"/>
          <w:sz w:val="14"/>
        </w:rPr>
        <w:t>Jayathilaka, R., C. Jayawardhana, N. Embogama, S. Jayasooriya, N.</w:t>
      </w:r>
      <w:r>
        <w:rPr>
          <w:rFonts w:ascii="Arial" w:hAnsi="Arial"/>
          <w:color w:val="231F20"/>
          <w:spacing w:val="40"/>
          <w:sz w:val="14"/>
        </w:rPr>
        <w:t> </w:t>
      </w:r>
      <w:r>
        <w:rPr>
          <w:rFonts w:ascii="Arial" w:hAnsi="Arial"/>
          <w:color w:val="231F20"/>
          <w:w w:val="80"/>
          <w:sz w:val="14"/>
        </w:rPr>
        <w:t>Karunarathna,</w:t>
      </w:r>
      <w:r>
        <w:rPr>
          <w:rFonts w:ascii="Arial" w:hAnsi="Arial"/>
          <w:color w:val="231F20"/>
          <w:spacing w:val="-2"/>
          <w:w w:val="80"/>
          <w:sz w:val="14"/>
        </w:rPr>
        <w:t> </w:t>
      </w:r>
      <w:r>
        <w:rPr>
          <w:rFonts w:ascii="Arial" w:hAnsi="Arial"/>
          <w:color w:val="231F20"/>
          <w:w w:val="80"/>
          <w:sz w:val="14"/>
        </w:rPr>
        <w:t>T. Gamage, and N. Kuruppu. 2022. “Gross </w:t>
      </w:r>
      <w:r>
        <w:rPr>
          <w:rFonts w:ascii="Arial" w:hAnsi="Arial"/>
          <w:color w:val="231F20"/>
          <w:w w:val="80"/>
          <w:sz w:val="14"/>
        </w:rPr>
        <w:t>Domestic</w:t>
      </w:r>
      <w:r>
        <w:rPr>
          <w:rFonts w:ascii="Arial" w:hAnsi="Arial"/>
          <w:color w:val="231F20"/>
          <w:spacing w:val="40"/>
          <w:sz w:val="14"/>
        </w:rPr>
        <w:t> </w:t>
      </w:r>
      <w:r>
        <w:rPr>
          <w:rFonts w:ascii="Arial" w:hAnsi="Arial"/>
          <w:color w:val="231F20"/>
          <w:w w:val="80"/>
          <w:sz w:val="14"/>
        </w:rPr>
        <w:t>Product and Logistics Performance Index Drive the World Trade:</w:t>
      </w:r>
      <w:r>
        <w:rPr>
          <w:rFonts w:ascii="Arial" w:hAnsi="Arial"/>
          <w:color w:val="231F20"/>
          <w:spacing w:val="-5"/>
          <w:w w:val="80"/>
          <w:sz w:val="14"/>
        </w:rPr>
        <w:t> </w:t>
      </w:r>
      <w:r>
        <w:rPr>
          <w:rFonts w:ascii="Arial" w:hAnsi="Arial"/>
          <w:color w:val="231F20"/>
          <w:w w:val="80"/>
          <w:sz w:val="14"/>
        </w:rPr>
        <w:t>A</w:t>
      </w:r>
      <w:r>
        <w:rPr>
          <w:rFonts w:ascii="Arial" w:hAnsi="Arial"/>
          <w:color w:val="231F20"/>
          <w:spacing w:val="40"/>
          <w:sz w:val="14"/>
        </w:rPr>
        <w:t> </w:t>
      </w:r>
      <w:r>
        <w:rPr>
          <w:rFonts w:ascii="Arial" w:hAnsi="Arial"/>
          <w:color w:val="231F20"/>
          <w:w w:val="80"/>
          <w:sz w:val="14"/>
        </w:rPr>
        <w:t>Study Based on All Continents.” </w:t>
      </w:r>
      <w:r>
        <w:rPr>
          <w:rFonts w:ascii="Arial" w:hAnsi="Arial"/>
          <w:i/>
          <w:color w:val="231F20"/>
          <w:w w:val="80"/>
          <w:sz w:val="14"/>
        </w:rPr>
        <w:t>PLOS ONE </w:t>
      </w:r>
      <w:r>
        <w:rPr>
          <w:rFonts w:ascii="Arial" w:hAnsi="Arial"/>
          <w:color w:val="231F20"/>
          <w:w w:val="80"/>
          <w:sz w:val="14"/>
        </w:rPr>
        <w:t>17 (3): e0264474.</w:t>
      </w:r>
    </w:p>
    <w:p>
      <w:pPr>
        <w:spacing w:line="297" w:lineRule="auto" w:before="1"/>
        <w:ind w:left="435" w:right="762" w:hanging="240"/>
        <w:jc w:val="left"/>
        <w:rPr>
          <w:rFonts w:ascii="Arial" w:hAnsi="Arial"/>
          <w:sz w:val="14"/>
        </w:rPr>
      </w:pPr>
      <w:r>
        <w:rPr>
          <w:rFonts w:ascii="Arial" w:hAnsi="Arial"/>
          <w:color w:val="231F20"/>
          <w:w w:val="85"/>
          <w:sz w:val="14"/>
        </w:rPr>
        <w:t>Jeevan,</w:t>
      </w:r>
      <w:r>
        <w:rPr>
          <w:rFonts w:ascii="Arial" w:hAnsi="Arial"/>
          <w:color w:val="231F20"/>
          <w:spacing w:val="-2"/>
          <w:w w:val="85"/>
          <w:sz w:val="14"/>
        </w:rPr>
        <w:t> </w:t>
      </w:r>
      <w:r>
        <w:rPr>
          <w:rFonts w:ascii="Arial" w:hAnsi="Arial"/>
          <w:color w:val="231F20"/>
          <w:w w:val="85"/>
          <w:sz w:val="14"/>
        </w:rPr>
        <w:t>J.,</w:t>
      </w:r>
      <w:r>
        <w:rPr>
          <w:rFonts w:ascii="Arial" w:hAnsi="Arial"/>
          <w:color w:val="231F20"/>
          <w:spacing w:val="-8"/>
          <w:w w:val="85"/>
          <w:sz w:val="14"/>
        </w:rPr>
        <w:t> </w:t>
      </w:r>
      <w:r>
        <w:rPr>
          <w:rFonts w:ascii="Arial" w:hAnsi="Arial"/>
          <w:color w:val="231F20"/>
          <w:w w:val="85"/>
          <w:sz w:val="14"/>
        </w:rPr>
        <w:t>T. Notteboom,</w:t>
      </w:r>
      <w:r>
        <w:rPr>
          <w:rFonts w:ascii="Arial" w:hAnsi="Arial"/>
          <w:color w:val="231F20"/>
          <w:spacing w:val="-2"/>
          <w:w w:val="85"/>
          <w:sz w:val="14"/>
        </w:rPr>
        <w:t> </w:t>
      </w:r>
      <w:r>
        <w:rPr>
          <w:rFonts w:ascii="Arial" w:hAnsi="Arial"/>
          <w:color w:val="231F20"/>
          <w:w w:val="85"/>
          <w:sz w:val="14"/>
        </w:rPr>
        <w:t>N. Rozar,</w:t>
      </w:r>
      <w:r>
        <w:rPr>
          <w:rFonts w:ascii="Arial" w:hAnsi="Arial"/>
          <w:color w:val="231F20"/>
          <w:spacing w:val="-2"/>
          <w:w w:val="85"/>
          <w:sz w:val="14"/>
        </w:rPr>
        <w:t> </w:t>
      </w:r>
      <w:r>
        <w:rPr>
          <w:rFonts w:ascii="Arial" w:hAnsi="Arial"/>
          <w:color w:val="231F20"/>
          <w:w w:val="85"/>
          <w:sz w:val="14"/>
        </w:rPr>
        <w:t>N. H. Mohd Salleh,</w:t>
      </w:r>
      <w:r>
        <w:rPr>
          <w:rFonts w:ascii="Arial" w:hAnsi="Arial"/>
          <w:color w:val="231F20"/>
          <w:spacing w:val="-2"/>
          <w:w w:val="85"/>
          <w:sz w:val="14"/>
        </w:rPr>
        <w:t> </w:t>
      </w:r>
      <w:r>
        <w:rPr>
          <w:rFonts w:ascii="Arial" w:hAnsi="Arial"/>
          <w:color w:val="231F20"/>
          <w:w w:val="85"/>
          <w:sz w:val="14"/>
        </w:rPr>
        <w:t>M. N. S.</w:t>
      </w:r>
      <w:r>
        <w:rPr>
          <w:rFonts w:ascii="Arial" w:hAnsi="Arial"/>
          <w:color w:val="231F20"/>
          <w:spacing w:val="40"/>
          <w:sz w:val="14"/>
        </w:rPr>
        <w:t> </w:t>
      </w:r>
      <w:r>
        <w:rPr>
          <w:rFonts w:ascii="Arial" w:hAnsi="Arial"/>
          <w:color w:val="231F20"/>
          <w:w w:val="85"/>
          <w:sz w:val="14"/>
        </w:rPr>
        <w:t>Menhat,</w:t>
      </w:r>
      <w:r>
        <w:rPr>
          <w:rFonts w:ascii="Arial" w:hAnsi="Arial"/>
          <w:color w:val="231F20"/>
          <w:spacing w:val="-6"/>
          <w:w w:val="85"/>
          <w:sz w:val="14"/>
        </w:rPr>
        <w:t> </w:t>
      </w:r>
      <w:r>
        <w:rPr>
          <w:rFonts w:ascii="Arial" w:hAnsi="Arial"/>
          <w:color w:val="231F20"/>
          <w:w w:val="85"/>
          <w:sz w:val="14"/>
        </w:rPr>
        <w:t>A. H. Ngah, R. Md Hanafiah, and I. M. Mohd Zaideen.</w:t>
      </w:r>
      <w:r>
        <w:rPr>
          <w:rFonts w:ascii="Arial" w:hAnsi="Arial"/>
          <w:color w:val="231F20"/>
          <w:spacing w:val="40"/>
          <w:sz w:val="14"/>
        </w:rPr>
        <w:t> </w:t>
      </w:r>
      <w:r>
        <w:rPr>
          <w:rFonts w:ascii="Arial" w:hAnsi="Arial"/>
          <w:color w:val="231F20"/>
          <w:w w:val="80"/>
          <w:sz w:val="14"/>
        </w:rPr>
        <w:t>2022.</w:t>
      </w:r>
      <w:r>
        <w:rPr>
          <w:rFonts w:ascii="Arial" w:hAnsi="Arial"/>
          <w:color w:val="231F20"/>
          <w:spacing w:val="-4"/>
          <w:w w:val="80"/>
          <w:sz w:val="14"/>
        </w:rPr>
        <w:t> </w:t>
      </w:r>
      <w:r>
        <w:rPr>
          <w:rFonts w:ascii="Arial" w:hAnsi="Arial"/>
          <w:color w:val="231F20"/>
          <w:w w:val="80"/>
          <w:sz w:val="14"/>
        </w:rPr>
        <w:t>“Integration</w:t>
      </w:r>
      <w:r>
        <w:rPr>
          <w:rFonts w:ascii="Arial" w:hAnsi="Arial"/>
          <w:color w:val="231F20"/>
          <w:spacing w:val="-2"/>
          <w:w w:val="8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Rail</w:t>
      </w:r>
      <w:r>
        <w:rPr>
          <w:rFonts w:ascii="Arial" w:hAnsi="Arial"/>
          <w:color w:val="231F20"/>
          <w:spacing w:val="-2"/>
          <w:w w:val="80"/>
          <w:sz w:val="14"/>
        </w:rPr>
        <w:t> </w:t>
      </w:r>
      <w:r>
        <w:rPr>
          <w:rFonts w:ascii="Arial" w:hAnsi="Arial"/>
          <w:color w:val="231F20"/>
          <w:w w:val="80"/>
          <w:sz w:val="14"/>
        </w:rPr>
        <w:t>Freight</w:t>
      </w:r>
      <w:r>
        <w:rPr>
          <w:rFonts w:ascii="Arial" w:hAnsi="Arial"/>
          <w:color w:val="231F20"/>
          <w:spacing w:val="-1"/>
          <w:w w:val="80"/>
          <w:sz w:val="14"/>
        </w:rPr>
        <w:t> </w:t>
      </w:r>
      <w:r>
        <w:rPr>
          <w:rFonts w:ascii="Arial" w:hAnsi="Arial"/>
          <w:color w:val="231F20"/>
          <w:w w:val="80"/>
          <w:sz w:val="14"/>
        </w:rPr>
        <w:t>with</w:t>
      </w:r>
      <w:r>
        <w:rPr>
          <w:rFonts w:ascii="Arial" w:hAnsi="Arial"/>
          <w:color w:val="231F20"/>
          <w:spacing w:val="-2"/>
          <w:w w:val="80"/>
          <w:sz w:val="14"/>
        </w:rPr>
        <w:t> </w:t>
      </w:r>
      <w:r>
        <w:rPr>
          <w:rFonts w:ascii="Arial" w:hAnsi="Arial"/>
          <w:color w:val="231F20"/>
          <w:w w:val="80"/>
          <w:sz w:val="14"/>
        </w:rPr>
        <w:t>Dry</w:t>
      </w:r>
      <w:r>
        <w:rPr>
          <w:rFonts w:ascii="Arial" w:hAnsi="Arial"/>
          <w:color w:val="231F20"/>
          <w:spacing w:val="-2"/>
          <w:w w:val="80"/>
          <w:sz w:val="14"/>
        </w:rPr>
        <w:t> </w:t>
      </w:r>
      <w:r>
        <w:rPr>
          <w:rFonts w:ascii="Arial" w:hAnsi="Arial"/>
          <w:color w:val="231F20"/>
          <w:w w:val="80"/>
          <w:sz w:val="14"/>
        </w:rPr>
        <w:t>Ports:</w:t>
      </w:r>
      <w:r>
        <w:rPr>
          <w:rFonts w:ascii="Arial" w:hAnsi="Arial"/>
          <w:color w:val="231F20"/>
          <w:spacing w:val="-9"/>
          <w:w w:val="80"/>
          <w:sz w:val="14"/>
        </w:rPr>
        <w:t> </w:t>
      </w:r>
      <w:r>
        <w:rPr>
          <w:rFonts w:ascii="Arial" w:hAnsi="Arial"/>
          <w:color w:val="231F20"/>
          <w:w w:val="80"/>
          <w:sz w:val="14"/>
        </w:rPr>
        <w:t>A</w:t>
      </w:r>
      <w:r>
        <w:rPr>
          <w:rFonts w:ascii="Arial" w:hAnsi="Arial"/>
          <w:color w:val="231F20"/>
          <w:spacing w:val="-2"/>
          <w:w w:val="80"/>
          <w:sz w:val="14"/>
        </w:rPr>
        <w:t> </w:t>
      </w:r>
      <w:r>
        <w:rPr>
          <w:rFonts w:ascii="Arial" w:hAnsi="Arial"/>
          <w:color w:val="231F20"/>
          <w:w w:val="80"/>
          <w:sz w:val="14"/>
        </w:rPr>
        <w:t>Route</w:t>
      </w:r>
      <w:r>
        <w:rPr>
          <w:rFonts w:ascii="Arial" w:hAnsi="Arial"/>
          <w:color w:val="231F20"/>
          <w:spacing w:val="-1"/>
          <w:w w:val="80"/>
          <w:sz w:val="14"/>
        </w:rPr>
        <w:t> </w:t>
      </w:r>
      <w:r>
        <w:rPr>
          <w:rFonts w:ascii="Arial" w:hAnsi="Arial"/>
          <w:color w:val="231F20"/>
          <w:w w:val="80"/>
          <w:sz w:val="14"/>
        </w:rPr>
        <w:t>for</w:t>
      </w:r>
      <w:r>
        <w:rPr>
          <w:rFonts w:ascii="Arial" w:hAnsi="Arial"/>
          <w:color w:val="231F20"/>
          <w:spacing w:val="-2"/>
          <w:w w:val="80"/>
          <w:sz w:val="14"/>
        </w:rPr>
        <w:t> </w:t>
      </w:r>
      <w:r>
        <w:rPr>
          <w:rFonts w:ascii="Arial" w:hAnsi="Arial"/>
          <w:color w:val="231F20"/>
          <w:w w:val="80"/>
          <w:sz w:val="14"/>
        </w:rPr>
        <w:t>Seaport</w:t>
      </w:r>
    </w:p>
    <w:p>
      <w:pPr>
        <w:spacing w:after="0" w:line="297" w:lineRule="auto"/>
        <w:jc w:val="left"/>
        <w:rPr>
          <w:rFonts w:ascii="Arial" w:hAnsi="Arial"/>
          <w:sz w:val="14"/>
        </w:rPr>
        <w:sectPr>
          <w:type w:val="continuous"/>
          <w:pgSz w:w="12240" w:h="15840"/>
          <w:pgMar w:header="370" w:footer="548" w:top="1140" w:bottom="280" w:left="0" w:right="540"/>
          <w:cols w:num="2" w:equalWidth="0">
            <w:col w:w="7085" w:space="40"/>
            <w:col w:w="4575"/>
          </w:cols>
        </w:sectPr>
      </w:pPr>
    </w:p>
    <w:p>
      <w:pPr>
        <w:spacing w:before="87"/>
        <w:ind w:left="7744" w:right="0" w:firstLine="0"/>
        <w:jc w:val="left"/>
        <w:rPr>
          <w:rFonts w:ascii="Arial"/>
          <w:sz w:val="12"/>
        </w:rPr>
      </w:pPr>
      <w:r>
        <w:rPr>
          <w:rFonts w:ascii="Arial"/>
          <w:color w:val="008FDD"/>
          <w:w w:val="105"/>
          <w:sz w:val="12"/>
        </w:rPr>
        <w:t>Appendix</w:t>
      </w:r>
      <w:r>
        <w:rPr>
          <w:rFonts w:ascii="Arial"/>
          <w:color w:val="008FDD"/>
          <w:spacing w:val="15"/>
          <w:w w:val="105"/>
          <w:sz w:val="12"/>
        </w:rPr>
        <w:t> </w:t>
      </w:r>
      <w:r>
        <w:rPr>
          <w:rFonts w:ascii="Arial"/>
          <w:color w:val="008FDD"/>
          <w:w w:val="105"/>
          <w:sz w:val="12"/>
        </w:rPr>
        <w:t>8</w:t>
      </w:r>
      <w:r>
        <w:rPr>
          <w:rFonts w:ascii="Arial"/>
          <w:color w:val="008FDD"/>
          <w:spacing w:val="38"/>
          <w:w w:val="105"/>
          <w:sz w:val="12"/>
        </w:rPr>
        <w:t>  </w:t>
      </w:r>
      <w:r>
        <w:rPr>
          <w:rFonts w:ascii="Arial"/>
          <w:color w:val="008FDD"/>
          <w:w w:val="105"/>
          <w:sz w:val="12"/>
        </w:rPr>
        <w:t>LPI</w:t>
      </w:r>
      <w:r>
        <w:rPr>
          <w:rFonts w:ascii="Arial"/>
          <w:color w:val="008FDD"/>
          <w:spacing w:val="16"/>
          <w:w w:val="105"/>
          <w:sz w:val="12"/>
        </w:rPr>
        <w:t> </w:t>
      </w:r>
      <w:r>
        <w:rPr>
          <w:rFonts w:ascii="Arial"/>
          <w:color w:val="008FDD"/>
          <w:w w:val="105"/>
          <w:sz w:val="12"/>
        </w:rPr>
        <w:t>results</w:t>
      </w:r>
      <w:r>
        <w:rPr>
          <w:rFonts w:ascii="Arial"/>
          <w:color w:val="008FDD"/>
          <w:spacing w:val="16"/>
          <w:w w:val="105"/>
          <w:sz w:val="12"/>
        </w:rPr>
        <w:t> </w:t>
      </w:r>
      <w:r>
        <w:rPr>
          <w:rFonts w:ascii="Arial"/>
          <w:color w:val="008FDD"/>
          <w:w w:val="105"/>
          <w:sz w:val="12"/>
        </w:rPr>
        <w:t>in</w:t>
      </w:r>
      <w:r>
        <w:rPr>
          <w:rFonts w:ascii="Arial"/>
          <w:color w:val="008FDD"/>
          <w:spacing w:val="16"/>
          <w:w w:val="105"/>
          <w:sz w:val="12"/>
        </w:rPr>
        <w:t> </w:t>
      </w:r>
      <w:r>
        <w:rPr>
          <w:rFonts w:ascii="Arial"/>
          <w:color w:val="008FDD"/>
          <w:w w:val="105"/>
          <w:sz w:val="12"/>
        </w:rPr>
        <w:t>research</w:t>
      </w:r>
      <w:r>
        <w:rPr>
          <w:rFonts w:ascii="Arial"/>
          <w:color w:val="008FDD"/>
          <w:spacing w:val="16"/>
          <w:w w:val="105"/>
          <w:sz w:val="12"/>
        </w:rPr>
        <w:t> </w:t>
      </w:r>
      <w:r>
        <w:rPr>
          <w:rFonts w:ascii="Arial"/>
          <w:color w:val="008FDD"/>
          <w:w w:val="105"/>
          <w:sz w:val="12"/>
        </w:rPr>
        <w:t>and</w:t>
      </w:r>
      <w:r>
        <w:rPr>
          <w:rFonts w:ascii="Arial"/>
          <w:color w:val="008FDD"/>
          <w:spacing w:val="15"/>
          <w:w w:val="105"/>
          <w:sz w:val="12"/>
        </w:rPr>
        <w:t> </w:t>
      </w:r>
      <w:r>
        <w:rPr>
          <w:rFonts w:ascii="Arial"/>
          <w:color w:val="008FDD"/>
          <w:w w:val="105"/>
          <w:sz w:val="12"/>
        </w:rPr>
        <w:t>policymaking</w:t>
      </w:r>
      <w:r>
        <w:rPr>
          <w:rFonts w:ascii="Arial"/>
          <w:color w:val="008FDD"/>
          <w:spacing w:val="16"/>
          <w:w w:val="105"/>
          <w:sz w:val="12"/>
        </w:rPr>
        <w:t> </w:t>
      </w:r>
      <w:r>
        <w:rPr>
          <w:rFonts w:ascii="Arial"/>
          <w:color w:val="008FDD"/>
          <w:spacing w:val="-2"/>
          <w:w w:val="105"/>
          <w:sz w:val="12"/>
        </w:rPr>
        <w:t>literature</w:t>
      </w:r>
    </w:p>
    <w:p>
      <w:pPr>
        <w:pStyle w:val="BodyText"/>
        <w:rPr>
          <w:rFonts w:ascii="Arial"/>
          <w:sz w:val="20"/>
        </w:rPr>
      </w:pPr>
    </w:p>
    <w:p>
      <w:pPr>
        <w:pStyle w:val="BodyText"/>
        <w:rPr>
          <w:rFonts w:ascii="Arial"/>
          <w:sz w:val="20"/>
        </w:rPr>
      </w:pPr>
    </w:p>
    <w:p>
      <w:pPr>
        <w:pStyle w:val="BodyText"/>
        <w:spacing w:before="101"/>
        <w:rPr>
          <w:rFonts w:ascii="Arial"/>
          <w:sz w:val="20"/>
        </w:rPr>
      </w:pPr>
    </w:p>
    <w:p>
      <w:pPr>
        <w:spacing w:after="0"/>
        <w:rPr>
          <w:rFonts w:ascii="Arial"/>
          <w:sz w:val="20"/>
        </w:rPr>
        <w:sectPr>
          <w:headerReference w:type="default" r:id="rId186"/>
          <w:pgSz w:w="12240" w:h="15840"/>
          <w:pgMar w:header="0" w:footer="0" w:top="340" w:bottom="740" w:left="0" w:right="540"/>
        </w:sectPr>
      </w:pPr>
    </w:p>
    <w:p>
      <w:pPr>
        <w:spacing w:line="297" w:lineRule="auto" w:before="102"/>
        <w:ind w:left="1440" w:right="1" w:firstLine="0"/>
        <w:jc w:val="left"/>
        <w:rPr>
          <w:rFonts w:ascii="Arial" w:hAnsi="Arial"/>
          <w:sz w:val="14"/>
        </w:rPr>
      </w:pPr>
      <w:r>
        <w:rPr>
          <w:rFonts w:ascii="Arial" w:hAnsi="Arial"/>
          <w:color w:val="231F20"/>
          <w:spacing w:val="-2"/>
          <w:w w:val="80"/>
          <w:sz w:val="14"/>
        </w:rPr>
        <w:t>Regionalisation.” </w:t>
      </w:r>
      <w:r>
        <w:rPr>
          <w:rFonts w:ascii="Arial" w:hAnsi="Arial"/>
          <w:i/>
          <w:color w:val="231F20"/>
          <w:spacing w:val="-2"/>
          <w:w w:val="80"/>
          <w:sz w:val="14"/>
        </w:rPr>
        <w:t>Research</w:t>
      </w:r>
      <w:r>
        <w:rPr>
          <w:rFonts w:ascii="Arial" w:hAnsi="Arial"/>
          <w:i/>
          <w:color w:val="231F20"/>
          <w:sz w:val="14"/>
        </w:rPr>
        <w:t> </w:t>
      </w:r>
      <w:r>
        <w:rPr>
          <w:rFonts w:ascii="Arial" w:hAnsi="Arial"/>
          <w:i/>
          <w:color w:val="231F20"/>
          <w:spacing w:val="-2"/>
          <w:w w:val="80"/>
          <w:sz w:val="14"/>
        </w:rPr>
        <w:t>in Transportation</w:t>
      </w:r>
      <w:r>
        <w:rPr>
          <w:rFonts w:ascii="Arial" w:hAnsi="Arial"/>
          <w:i/>
          <w:color w:val="231F20"/>
          <w:sz w:val="14"/>
        </w:rPr>
        <w:t> </w:t>
      </w:r>
      <w:r>
        <w:rPr>
          <w:rFonts w:ascii="Arial" w:hAnsi="Arial"/>
          <w:i/>
          <w:color w:val="231F20"/>
          <w:spacing w:val="-2"/>
          <w:w w:val="80"/>
          <w:sz w:val="14"/>
        </w:rPr>
        <w:t>Business</w:t>
      </w:r>
      <w:r>
        <w:rPr>
          <w:rFonts w:ascii="Arial" w:hAnsi="Arial"/>
          <w:i/>
          <w:color w:val="231F20"/>
          <w:sz w:val="14"/>
        </w:rPr>
        <w:t> </w:t>
      </w:r>
      <w:r>
        <w:rPr>
          <w:rFonts w:ascii="Arial" w:hAnsi="Arial"/>
          <w:i/>
          <w:color w:val="231F20"/>
          <w:spacing w:val="-2"/>
          <w:w w:val="80"/>
          <w:sz w:val="14"/>
        </w:rPr>
        <w:t>&amp;</w:t>
      </w:r>
      <w:r>
        <w:rPr>
          <w:rFonts w:ascii="Arial" w:hAnsi="Arial"/>
          <w:i/>
          <w:color w:val="231F20"/>
          <w:sz w:val="14"/>
        </w:rPr>
        <w:t> </w:t>
      </w:r>
      <w:r>
        <w:rPr>
          <w:rFonts w:ascii="Arial" w:hAnsi="Arial"/>
          <w:i/>
          <w:color w:val="231F20"/>
          <w:spacing w:val="-2"/>
          <w:w w:val="80"/>
          <w:sz w:val="14"/>
        </w:rPr>
        <w:t>Management</w:t>
      </w:r>
      <w:r>
        <w:rPr>
          <w:rFonts w:ascii="Arial" w:hAnsi="Arial"/>
          <w:color w:val="231F20"/>
          <w:spacing w:val="-2"/>
          <w:w w:val="80"/>
          <w:sz w:val="14"/>
        </w:rPr>
        <w:t>,</w:t>
      </w:r>
      <w:r>
        <w:rPr>
          <w:rFonts w:ascii="Arial" w:hAnsi="Arial"/>
          <w:color w:val="231F20"/>
          <w:spacing w:val="40"/>
          <w:sz w:val="14"/>
        </w:rPr>
        <w:t> </w:t>
      </w:r>
      <w:r>
        <w:rPr>
          <w:rFonts w:ascii="Arial" w:hAnsi="Arial"/>
          <w:color w:val="231F20"/>
          <w:spacing w:val="-2"/>
          <w:w w:val="90"/>
          <w:sz w:val="14"/>
        </w:rPr>
        <w:t>100910.</w:t>
      </w:r>
    </w:p>
    <w:p>
      <w:pPr>
        <w:spacing w:line="297" w:lineRule="auto" w:before="1"/>
        <w:ind w:left="1440" w:right="0" w:hanging="240"/>
        <w:jc w:val="left"/>
        <w:rPr>
          <w:rFonts w:ascii="Arial" w:hAnsi="Arial"/>
          <w:sz w:val="14"/>
        </w:rPr>
      </w:pPr>
      <w:r>
        <w:rPr>
          <w:rFonts w:ascii="Arial" w:hAnsi="Arial"/>
          <w:color w:val="231F20"/>
          <w:spacing w:val="-2"/>
          <w:w w:val="85"/>
          <w:sz w:val="14"/>
        </w:rPr>
        <w:t>Karaduman,</w:t>
      </w:r>
      <w:r>
        <w:rPr>
          <w:rFonts w:ascii="Arial" w:hAnsi="Arial"/>
          <w:color w:val="231F20"/>
          <w:spacing w:val="-7"/>
          <w:w w:val="85"/>
          <w:sz w:val="14"/>
        </w:rPr>
        <w:t> </w:t>
      </w:r>
      <w:r>
        <w:rPr>
          <w:rFonts w:ascii="Arial" w:hAnsi="Arial"/>
          <w:color w:val="231F20"/>
          <w:spacing w:val="-2"/>
          <w:w w:val="85"/>
          <w:sz w:val="14"/>
        </w:rPr>
        <w:t>H.</w:t>
      </w:r>
      <w:r>
        <w:rPr>
          <w:rFonts w:ascii="Arial" w:hAnsi="Arial"/>
          <w:color w:val="231F20"/>
          <w:spacing w:val="-7"/>
          <w:w w:val="85"/>
          <w:sz w:val="14"/>
        </w:rPr>
        <w:t> </w:t>
      </w:r>
      <w:r>
        <w:rPr>
          <w:rFonts w:ascii="Arial" w:hAnsi="Arial"/>
          <w:color w:val="231F20"/>
          <w:spacing w:val="-2"/>
          <w:w w:val="85"/>
          <w:sz w:val="14"/>
        </w:rPr>
        <w:t>A.,</w:t>
      </w:r>
      <w:r>
        <w:rPr>
          <w:rFonts w:ascii="Arial" w:hAnsi="Arial"/>
          <w:color w:val="231F20"/>
          <w:spacing w:val="-13"/>
          <w:w w:val="85"/>
          <w:sz w:val="14"/>
        </w:rPr>
        <w:t> </w:t>
      </w:r>
      <w:r>
        <w:rPr>
          <w:rFonts w:ascii="Arial" w:hAnsi="Arial"/>
          <w:color w:val="231F20"/>
          <w:spacing w:val="-2"/>
          <w:w w:val="85"/>
          <w:sz w:val="14"/>
        </w:rPr>
        <w:t>A. Karaman-Akgül,</w:t>
      </w:r>
      <w:r>
        <w:rPr>
          <w:rFonts w:ascii="Arial" w:hAnsi="Arial"/>
          <w:color w:val="231F20"/>
          <w:spacing w:val="-7"/>
          <w:w w:val="85"/>
          <w:sz w:val="14"/>
        </w:rPr>
        <w:t> </w:t>
      </w:r>
      <w:r>
        <w:rPr>
          <w:rFonts w:ascii="Arial" w:hAnsi="Arial"/>
          <w:color w:val="231F20"/>
          <w:spacing w:val="-2"/>
          <w:w w:val="85"/>
          <w:sz w:val="14"/>
        </w:rPr>
        <w:t>M. Çaglar,</w:t>
      </w:r>
      <w:r>
        <w:rPr>
          <w:rFonts w:ascii="Arial" w:hAnsi="Arial"/>
          <w:color w:val="231F20"/>
          <w:spacing w:val="-7"/>
          <w:w w:val="85"/>
          <w:sz w:val="14"/>
        </w:rPr>
        <w:t> </w:t>
      </w:r>
      <w:r>
        <w:rPr>
          <w:rFonts w:ascii="Arial" w:hAnsi="Arial"/>
          <w:color w:val="231F20"/>
          <w:spacing w:val="-2"/>
          <w:w w:val="85"/>
          <w:sz w:val="14"/>
        </w:rPr>
        <w:t>and H. E.</w:t>
      </w:r>
      <w:r>
        <w:rPr>
          <w:rFonts w:ascii="Arial" w:hAnsi="Arial"/>
          <w:color w:val="231F20"/>
          <w:spacing w:val="-7"/>
          <w:w w:val="85"/>
          <w:sz w:val="14"/>
        </w:rPr>
        <w:t> </w:t>
      </w:r>
      <w:r>
        <w:rPr>
          <w:rFonts w:ascii="Arial" w:hAnsi="Arial"/>
          <w:color w:val="231F20"/>
          <w:spacing w:val="-2"/>
          <w:w w:val="85"/>
          <w:sz w:val="14"/>
        </w:rPr>
        <w:t>Akbas. 2020.</w:t>
      </w:r>
      <w:r>
        <w:rPr>
          <w:rFonts w:ascii="Arial" w:hAnsi="Arial"/>
          <w:color w:val="231F20"/>
          <w:spacing w:val="40"/>
          <w:sz w:val="14"/>
        </w:rPr>
        <w:t> </w:t>
      </w:r>
      <w:r>
        <w:rPr>
          <w:rFonts w:ascii="Arial" w:hAnsi="Arial"/>
          <w:color w:val="231F20"/>
          <w:w w:val="75"/>
          <w:sz w:val="14"/>
        </w:rPr>
        <w:t>“The</w:t>
      </w:r>
      <w:r>
        <w:rPr>
          <w:rFonts w:ascii="Arial" w:hAnsi="Arial"/>
          <w:color w:val="231F20"/>
          <w:spacing w:val="-1"/>
          <w:w w:val="75"/>
          <w:sz w:val="14"/>
        </w:rPr>
        <w:t> </w:t>
      </w:r>
      <w:r>
        <w:rPr>
          <w:rFonts w:ascii="Arial" w:hAnsi="Arial"/>
          <w:color w:val="231F20"/>
          <w:w w:val="75"/>
          <w:sz w:val="14"/>
        </w:rPr>
        <w:t>Relationship</w:t>
      </w:r>
      <w:r>
        <w:rPr>
          <w:rFonts w:ascii="Arial" w:hAnsi="Arial"/>
          <w:color w:val="231F20"/>
          <w:spacing w:val="-10"/>
          <w:sz w:val="14"/>
        </w:rPr>
        <w:t> </w:t>
      </w:r>
      <w:r>
        <w:rPr>
          <w:rFonts w:ascii="Arial" w:hAnsi="Arial"/>
          <w:color w:val="231F20"/>
          <w:w w:val="75"/>
          <w:sz w:val="14"/>
        </w:rPr>
        <w:t>Between</w:t>
      </w:r>
      <w:r>
        <w:rPr>
          <w:rFonts w:ascii="Arial" w:hAnsi="Arial"/>
          <w:color w:val="231F20"/>
          <w:spacing w:val="-10"/>
          <w:sz w:val="14"/>
        </w:rPr>
        <w:t> </w:t>
      </w:r>
      <w:r>
        <w:rPr>
          <w:rFonts w:ascii="Arial" w:hAnsi="Arial"/>
          <w:color w:val="231F20"/>
          <w:w w:val="75"/>
          <w:sz w:val="14"/>
        </w:rPr>
        <w:t>Logistics</w:t>
      </w:r>
      <w:r>
        <w:rPr>
          <w:rFonts w:ascii="Arial" w:hAnsi="Arial"/>
          <w:color w:val="231F20"/>
          <w:spacing w:val="-10"/>
          <w:sz w:val="14"/>
        </w:rPr>
        <w:t> </w:t>
      </w:r>
      <w:r>
        <w:rPr>
          <w:rFonts w:ascii="Arial" w:hAnsi="Arial"/>
          <w:color w:val="231F20"/>
          <w:w w:val="75"/>
          <w:sz w:val="14"/>
        </w:rPr>
        <w:t>Performance</w:t>
      </w:r>
      <w:r>
        <w:rPr>
          <w:rFonts w:ascii="Arial" w:hAnsi="Arial"/>
          <w:color w:val="231F20"/>
          <w:spacing w:val="-10"/>
          <w:sz w:val="14"/>
        </w:rPr>
        <w:t> </w:t>
      </w:r>
      <w:r>
        <w:rPr>
          <w:rFonts w:ascii="Arial" w:hAnsi="Arial"/>
          <w:color w:val="231F20"/>
          <w:w w:val="75"/>
          <w:sz w:val="14"/>
        </w:rPr>
        <w:t>and</w:t>
      </w:r>
      <w:r>
        <w:rPr>
          <w:rFonts w:ascii="Arial" w:hAnsi="Arial"/>
          <w:color w:val="231F20"/>
          <w:spacing w:val="-10"/>
          <w:sz w:val="14"/>
        </w:rPr>
        <w:t> </w:t>
      </w:r>
      <w:r>
        <w:rPr>
          <w:rFonts w:ascii="Arial" w:hAnsi="Arial"/>
          <w:color w:val="231F20"/>
          <w:w w:val="75"/>
          <w:sz w:val="14"/>
        </w:rPr>
        <w:t>Carbon</w:t>
      </w:r>
      <w:r>
        <w:rPr>
          <w:rFonts w:ascii="Arial" w:hAnsi="Arial"/>
          <w:color w:val="231F20"/>
          <w:spacing w:val="-10"/>
          <w:sz w:val="14"/>
        </w:rPr>
        <w:t> </w:t>
      </w:r>
      <w:r>
        <w:rPr>
          <w:rFonts w:ascii="Arial" w:hAnsi="Arial"/>
          <w:color w:val="231F20"/>
          <w:w w:val="75"/>
          <w:sz w:val="14"/>
        </w:rPr>
        <w:t>Emissions:</w:t>
      </w:r>
      <w:r>
        <w:rPr>
          <w:rFonts w:ascii="Arial" w:hAnsi="Arial"/>
          <w:color w:val="231F20"/>
          <w:spacing w:val="40"/>
          <w:sz w:val="14"/>
        </w:rPr>
        <w:t> </w:t>
      </w:r>
      <w:r>
        <w:rPr>
          <w:rFonts w:ascii="Arial" w:hAnsi="Arial"/>
          <w:color w:val="231F20"/>
          <w:spacing w:val="-2"/>
          <w:w w:val="80"/>
          <w:sz w:val="14"/>
        </w:rPr>
        <w:t>An Empirical Investigation on Balkan Countries.”</w:t>
      </w:r>
      <w:r>
        <w:rPr>
          <w:rFonts w:ascii="Arial" w:hAnsi="Arial"/>
          <w:color w:val="231F20"/>
          <w:spacing w:val="-5"/>
          <w:w w:val="80"/>
          <w:sz w:val="14"/>
        </w:rPr>
        <w:t> </w:t>
      </w:r>
      <w:r>
        <w:rPr>
          <w:rFonts w:ascii="Arial" w:hAnsi="Arial"/>
          <w:i/>
          <w:color w:val="231F20"/>
          <w:spacing w:val="-2"/>
          <w:w w:val="80"/>
          <w:sz w:val="14"/>
        </w:rPr>
        <w:t>International Journal of</w:t>
      </w:r>
      <w:r>
        <w:rPr>
          <w:rFonts w:ascii="Arial" w:hAnsi="Arial"/>
          <w:i/>
          <w:color w:val="231F20"/>
          <w:spacing w:val="40"/>
          <w:sz w:val="14"/>
        </w:rPr>
        <w:t> </w:t>
      </w:r>
      <w:r>
        <w:rPr>
          <w:rFonts w:ascii="Arial" w:hAnsi="Arial"/>
          <w:i/>
          <w:color w:val="231F20"/>
          <w:w w:val="80"/>
          <w:sz w:val="14"/>
        </w:rPr>
        <w:t>Climate</w:t>
      </w:r>
      <w:r>
        <w:rPr>
          <w:rFonts w:ascii="Arial" w:hAnsi="Arial"/>
          <w:i/>
          <w:color w:val="231F20"/>
          <w:spacing w:val="-3"/>
          <w:w w:val="80"/>
          <w:sz w:val="14"/>
        </w:rPr>
        <w:t> </w:t>
      </w:r>
      <w:r>
        <w:rPr>
          <w:rFonts w:ascii="Arial" w:hAnsi="Arial"/>
          <w:i/>
          <w:color w:val="231F20"/>
          <w:w w:val="80"/>
          <w:sz w:val="14"/>
        </w:rPr>
        <w:t>Change</w:t>
      </w:r>
      <w:r>
        <w:rPr>
          <w:rFonts w:ascii="Arial" w:hAnsi="Arial"/>
          <w:i/>
          <w:color w:val="231F20"/>
          <w:spacing w:val="-2"/>
          <w:w w:val="80"/>
          <w:sz w:val="14"/>
        </w:rPr>
        <w:t> </w:t>
      </w:r>
      <w:r>
        <w:rPr>
          <w:rFonts w:ascii="Arial" w:hAnsi="Arial"/>
          <w:i/>
          <w:color w:val="231F20"/>
          <w:w w:val="80"/>
          <w:sz w:val="14"/>
        </w:rPr>
        <w:t>Strategies</w:t>
      </w:r>
      <w:r>
        <w:rPr>
          <w:rFonts w:ascii="Arial" w:hAnsi="Arial"/>
          <w:i/>
          <w:color w:val="231F20"/>
          <w:spacing w:val="-2"/>
          <w:w w:val="80"/>
          <w:sz w:val="14"/>
        </w:rPr>
        <w:t> </w:t>
      </w:r>
      <w:r>
        <w:rPr>
          <w:rFonts w:ascii="Arial" w:hAnsi="Arial"/>
          <w:i/>
          <w:color w:val="231F20"/>
          <w:w w:val="80"/>
          <w:sz w:val="14"/>
        </w:rPr>
        <w:t>and</w:t>
      </w:r>
      <w:r>
        <w:rPr>
          <w:rFonts w:ascii="Arial" w:hAnsi="Arial"/>
          <w:i/>
          <w:color w:val="231F20"/>
          <w:spacing w:val="-2"/>
          <w:w w:val="80"/>
          <w:sz w:val="14"/>
        </w:rPr>
        <w:t> </w:t>
      </w:r>
      <w:r>
        <w:rPr>
          <w:rFonts w:ascii="Arial" w:hAnsi="Arial"/>
          <w:i/>
          <w:color w:val="231F20"/>
          <w:w w:val="80"/>
          <w:sz w:val="14"/>
        </w:rPr>
        <w:t>Management</w:t>
      </w:r>
      <w:r>
        <w:rPr>
          <w:rFonts w:ascii="Arial" w:hAnsi="Arial"/>
          <w:i/>
          <w:color w:val="231F20"/>
          <w:spacing w:val="-2"/>
          <w:w w:val="80"/>
          <w:sz w:val="14"/>
        </w:rPr>
        <w:t> </w:t>
      </w:r>
      <w:r>
        <w:rPr>
          <w:rFonts w:ascii="Arial" w:hAnsi="Arial"/>
          <w:color w:val="231F20"/>
          <w:w w:val="80"/>
          <w:sz w:val="14"/>
        </w:rPr>
        <w:t>12</w:t>
      </w:r>
      <w:r>
        <w:rPr>
          <w:rFonts w:ascii="Arial" w:hAnsi="Arial"/>
          <w:color w:val="231F20"/>
          <w:spacing w:val="-3"/>
          <w:w w:val="80"/>
          <w:sz w:val="14"/>
        </w:rPr>
        <w:t> </w:t>
      </w:r>
      <w:r>
        <w:rPr>
          <w:rFonts w:ascii="Arial" w:hAnsi="Arial"/>
          <w:color w:val="231F20"/>
          <w:w w:val="80"/>
          <w:sz w:val="14"/>
        </w:rPr>
        <w:t>(4):</w:t>
      </w:r>
      <w:r>
        <w:rPr>
          <w:rFonts w:ascii="Arial" w:hAnsi="Arial"/>
          <w:color w:val="231F20"/>
          <w:spacing w:val="-7"/>
          <w:w w:val="80"/>
          <w:sz w:val="14"/>
        </w:rPr>
        <w:t> </w:t>
      </w:r>
      <w:r>
        <w:rPr>
          <w:rFonts w:ascii="Arial" w:hAnsi="Arial"/>
          <w:color w:val="231F20"/>
          <w:w w:val="80"/>
          <w:sz w:val="14"/>
        </w:rPr>
        <w:t>449–461.</w:t>
      </w:r>
    </w:p>
    <w:p>
      <w:pPr>
        <w:spacing w:line="297" w:lineRule="auto" w:before="2"/>
        <w:ind w:left="1440" w:right="1" w:hanging="240"/>
        <w:jc w:val="left"/>
        <w:rPr>
          <w:rFonts w:ascii="Arial" w:hAnsi="Arial"/>
          <w:sz w:val="14"/>
        </w:rPr>
      </w:pPr>
      <w:r>
        <w:rPr>
          <w:rFonts w:ascii="Arial" w:hAnsi="Arial"/>
          <w:color w:val="231F20"/>
          <w:w w:val="85"/>
          <w:sz w:val="14"/>
        </w:rPr>
        <w:t>Karaman,</w:t>
      </w:r>
      <w:r>
        <w:rPr>
          <w:rFonts w:ascii="Arial" w:hAnsi="Arial"/>
          <w:color w:val="231F20"/>
          <w:spacing w:val="-8"/>
          <w:w w:val="85"/>
          <w:sz w:val="14"/>
        </w:rPr>
        <w:t> </w:t>
      </w:r>
      <w:r>
        <w:rPr>
          <w:rFonts w:ascii="Arial" w:hAnsi="Arial"/>
          <w:color w:val="231F20"/>
          <w:w w:val="85"/>
          <w:sz w:val="14"/>
        </w:rPr>
        <w:t>A. S.,</w:t>
      </w:r>
      <w:r>
        <w:rPr>
          <w:rFonts w:ascii="Arial" w:hAnsi="Arial"/>
          <w:color w:val="231F20"/>
          <w:spacing w:val="-3"/>
          <w:w w:val="85"/>
          <w:sz w:val="14"/>
        </w:rPr>
        <w:t> </w:t>
      </w:r>
      <w:r>
        <w:rPr>
          <w:rFonts w:ascii="Arial" w:hAnsi="Arial"/>
          <w:color w:val="231F20"/>
          <w:w w:val="85"/>
          <w:sz w:val="14"/>
        </w:rPr>
        <w:t>M. Kilic,</w:t>
      </w:r>
      <w:r>
        <w:rPr>
          <w:rFonts w:ascii="Arial" w:hAnsi="Arial"/>
          <w:color w:val="231F20"/>
          <w:spacing w:val="-3"/>
          <w:w w:val="85"/>
          <w:sz w:val="14"/>
        </w:rPr>
        <w:t> </w:t>
      </w:r>
      <w:r>
        <w:rPr>
          <w:rFonts w:ascii="Arial" w:hAnsi="Arial"/>
          <w:color w:val="231F20"/>
          <w:w w:val="85"/>
          <w:sz w:val="14"/>
        </w:rPr>
        <w:t>and</w:t>
      </w:r>
      <w:r>
        <w:rPr>
          <w:rFonts w:ascii="Arial" w:hAnsi="Arial"/>
          <w:color w:val="231F20"/>
          <w:spacing w:val="-3"/>
          <w:w w:val="85"/>
          <w:sz w:val="14"/>
        </w:rPr>
        <w:t> </w:t>
      </w:r>
      <w:r>
        <w:rPr>
          <w:rFonts w:ascii="Arial" w:hAnsi="Arial"/>
          <w:color w:val="231F20"/>
          <w:w w:val="85"/>
          <w:sz w:val="14"/>
        </w:rPr>
        <w:t>A. Uyar. 2020.</w:t>
      </w:r>
      <w:r>
        <w:rPr>
          <w:rFonts w:ascii="Arial" w:hAnsi="Arial"/>
          <w:color w:val="231F20"/>
          <w:spacing w:val="-3"/>
          <w:w w:val="85"/>
          <w:sz w:val="14"/>
        </w:rPr>
        <w:t> </w:t>
      </w:r>
      <w:r>
        <w:rPr>
          <w:rFonts w:ascii="Arial" w:hAnsi="Arial"/>
          <w:color w:val="231F20"/>
          <w:w w:val="85"/>
          <w:sz w:val="14"/>
        </w:rPr>
        <w:t>“Green Logistics</w:t>
      </w:r>
      <w:r>
        <w:rPr>
          <w:rFonts w:ascii="Arial" w:hAnsi="Arial"/>
          <w:color w:val="231F20"/>
          <w:spacing w:val="40"/>
          <w:sz w:val="14"/>
        </w:rPr>
        <w:t> </w:t>
      </w:r>
      <w:r>
        <w:rPr>
          <w:rFonts w:ascii="Arial" w:hAnsi="Arial"/>
          <w:color w:val="231F20"/>
          <w:w w:val="75"/>
          <w:sz w:val="14"/>
        </w:rPr>
        <w:t>Performance</w:t>
      </w:r>
      <w:r>
        <w:rPr>
          <w:rFonts w:ascii="Arial" w:hAnsi="Arial"/>
          <w:color w:val="231F20"/>
          <w:sz w:val="14"/>
        </w:rPr>
        <w:t> </w:t>
      </w:r>
      <w:r>
        <w:rPr>
          <w:rFonts w:ascii="Arial" w:hAnsi="Arial"/>
          <w:color w:val="231F20"/>
          <w:w w:val="75"/>
          <w:sz w:val="14"/>
        </w:rPr>
        <w:t>and</w:t>
      </w:r>
      <w:r>
        <w:rPr>
          <w:rFonts w:ascii="Arial" w:hAnsi="Arial"/>
          <w:color w:val="231F20"/>
          <w:sz w:val="14"/>
        </w:rPr>
        <w:t> </w:t>
      </w:r>
      <w:r>
        <w:rPr>
          <w:rFonts w:ascii="Arial" w:hAnsi="Arial"/>
          <w:color w:val="231F20"/>
          <w:w w:val="75"/>
          <w:sz w:val="14"/>
        </w:rPr>
        <w:t>Sustainability</w:t>
      </w:r>
      <w:r>
        <w:rPr>
          <w:rFonts w:ascii="Arial" w:hAnsi="Arial"/>
          <w:color w:val="231F20"/>
          <w:sz w:val="14"/>
        </w:rPr>
        <w:t> </w:t>
      </w:r>
      <w:r>
        <w:rPr>
          <w:rFonts w:ascii="Arial" w:hAnsi="Arial"/>
          <w:color w:val="231F20"/>
          <w:w w:val="75"/>
          <w:sz w:val="14"/>
        </w:rPr>
        <w:t>Reporting</w:t>
      </w:r>
      <w:r>
        <w:rPr>
          <w:rFonts w:ascii="Arial" w:hAnsi="Arial"/>
          <w:color w:val="231F20"/>
          <w:sz w:val="14"/>
        </w:rPr>
        <w:t> </w:t>
      </w:r>
      <w:r>
        <w:rPr>
          <w:rFonts w:ascii="Arial" w:hAnsi="Arial"/>
          <w:color w:val="231F20"/>
          <w:w w:val="75"/>
          <w:sz w:val="14"/>
        </w:rPr>
        <w:t>Practices</w:t>
      </w:r>
      <w:r>
        <w:rPr>
          <w:rFonts w:ascii="Arial" w:hAnsi="Arial"/>
          <w:color w:val="231F20"/>
          <w:sz w:val="14"/>
        </w:rPr>
        <w:t> </w:t>
      </w:r>
      <w:r>
        <w:rPr>
          <w:rFonts w:ascii="Arial" w:hAnsi="Arial"/>
          <w:color w:val="231F20"/>
          <w:w w:val="75"/>
          <w:sz w:val="14"/>
        </w:rPr>
        <w:t>of The</w:t>
      </w:r>
      <w:r>
        <w:rPr>
          <w:rFonts w:ascii="Arial" w:hAnsi="Arial"/>
          <w:color w:val="231F20"/>
          <w:sz w:val="14"/>
        </w:rPr>
        <w:t> </w:t>
      </w:r>
      <w:r>
        <w:rPr>
          <w:rFonts w:ascii="Arial" w:hAnsi="Arial"/>
          <w:color w:val="231F20"/>
          <w:w w:val="75"/>
          <w:sz w:val="14"/>
        </w:rPr>
        <w:t>Logistics</w:t>
      </w:r>
      <w:r>
        <w:rPr>
          <w:rFonts w:ascii="Arial" w:hAnsi="Arial"/>
          <w:color w:val="231F20"/>
          <w:spacing w:val="40"/>
          <w:sz w:val="14"/>
        </w:rPr>
        <w:t> </w:t>
      </w:r>
      <w:r>
        <w:rPr>
          <w:rFonts w:ascii="Arial" w:hAnsi="Arial"/>
          <w:color w:val="231F20"/>
          <w:w w:val="75"/>
          <w:sz w:val="14"/>
        </w:rPr>
        <w:t>Sector: The</w:t>
      </w:r>
      <w:r>
        <w:rPr>
          <w:rFonts w:ascii="Arial" w:hAnsi="Arial"/>
          <w:color w:val="231F20"/>
          <w:sz w:val="14"/>
        </w:rPr>
        <w:t> </w:t>
      </w:r>
      <w:r>
        <w:rPr>
          <w:rFonts w:ascii="Arial" w:hAnsi="Arial"/>
          <w:color w:val="231F20"/>
          <w:w w:val="75"/>
          <w:sz w:val="14"/>
        </w:rPr>
        <w:t>Moderating</w:t>
      </w:r>
      <w:r>
        <w:rPr>
          <w:rFonts w:ascii="Arial" w:hAnsi="Arial"/>
          <w:color w:val="231F20"/>
          <w:sz w:val="14"/>
        </w:rPr>
        <w:t> </w:t>
      </w:r>
      <w:r>
        <w:rPr>
          <w:rFonts w:ascii="Arial" w:hAnsi="Arial"/>
          <w:color w:val="231F20"/>
          <w:w w:val="75"/>
          <w:sz w:val="14"/>
        </w:rPr>
        <w:t>Effect</w:t>
      </w:r>
      <w:r>
        <w:rPr>
          <w:rFonts w:ascii="Arial" w:hAnsi="Arial"/>
          <w:color w:val="231F20"/>
          <w:sz w:val="14"/>
        </w:rPr>
        <w:t> </w:t>
      </w:r>
      <w:r>
        <w:rPr>
          <w:rFonts w:ascii="Arial" w:hAnsi="Arial"/>
          <w:color w:val="231F20"/>
          <w:w w:val="75"/>
          <w:sz w:val="14"/>
        </w:rPr>
        <w:t>of</w:t>
      </w:r>
      <w:r>
        <w:rPr>
          <w:rFonts w:ascii="Arial" w:hAnsi="Arial"/>
          <w:color w:val="231F20"/>
          <w:sz w:val="14"/>
        </w:rPr>
        <w:t> </w:t>
      </w:r>
      <w:r>
        <w:rPr>
          <w:rFonts w:ascii="Arial" w:hAnsi="Arial"/>
          <w:color w:val="231F20"/>
          <w:w w:val="75"/>
          <w:sz w:val="14"/>
        </w:rPr>
        <w:t>Corporate</w:t>
      </w:r>
      <w:r>
        <w:rPr>
          <w:rFonts w:ascii="Arial" w:hAnsi="Arial"/>
          <w:color w:val="231F20"/>
          <w:sz w:val="14"/>
        </w:rPr>
        <w:t> </w:t>
      </w:r>
      <w:r>
        <w:rPr>
          <w:rFonts w:ascii="Arial" w:hAnsi="Arial"/>
          <w:color w:val="231F20"/>
          <w:w w:val="75"/>
          <w:sz w:val="14"/>
        </w:rPr>
        <w:t>Governance.” </w:t>
      </w:r>
      <w:r>
        <w:rPr>
          <w:rFonts w:ascii="Arial" w:hAnsi="Arial"/>
          <w:i/>
          <w:color w:val="231F20"/>
          <w:w w:val="75"/>
          <w:sz w:val="14"/>
        </w:rPr>
        <w:t>Journal</w:t>
      </w:r>
      <w:r>
        <w:rPr>
          <w:rFonts w:ascii="Arial" w:hAnsi="Arial"/>
          <w:i/>
          <w:color w:val="231F20"/>
          <w:sz w:val="14"/>
        </w:rPr>
        <w:t> </w:t>
      </w:r>
      <w:r>
        <w:rPr>
          <w:rFonts w:ascii="Arial" w:hAnsi="Arial"/>
          <w:i/>
          <w:color w:val="231F20"/>
          <w:w w:val="75"/>
          <w:sz w:val="14"/>
        </w:rPr>
        <w:t>of</w:t>
      </w:r>
      <w:r>
        <w:rPr>
          <w:rFonts w:ascii="Arial" w:hAnsi="Arial"/>
          <w:i/>
          <w:color w:val="231F20"/>
          <w:spacing w:val="40"/>
          <w:sz w:val="14"/>
        </w:rPr>
        <w:t> </w:t>
      </w:r>
      <w:r>
        <w:rPr>
          <w:rFonts w:ascii="Arial" w:hAnsi="Arial"/>
          <w:i/>
          <w:color w:val="231F20"/>
          <w:spacing w:val="-2"/>
          <w:w w:val="90"/>
          <w:sz w:val="14"/>
        </w:rPr>
        <w:t>Cleaner Production </w:t>
      </w:r>
      <w:r>
        <w:rPr>
          <w:rFonts w:ascii="Arial" w:hAnsi="Arial"/>
          <w:color w:val="231F20"/>
          <w:spacing w:val="-2"/>
          <w:w w:val="90"/>
          <w:sz w:val="14"/>
        </w:rPr>
        <w:t>258:</w:t>
      </w:r>
      <w:r>
        <w:rPr>
          <w:rFonts w:ascii="Arial" w:hAnsi="Arial"/>
          <w:color w:val="231F20"/>
          <w:spacing w:val="-4"/>
          <w:w w:val="90"/>
          <w:sz w:val="14"/>
        </w:rPr>
        <w:t> </w:t>
      </w:r>
      <w:r>
        <w:rPr>
          <w:rFonts w:ascii="Arial" w:hAnsi="Arial"/>
          <w:color w:val="231F20"/>
          <w:spacing w:val="-2"/>
          <w:w w:val="90"/>
          <w:sz w:val="14"/>
        </w:rPr>
        <w:t>120718.</w:t>
      </w:r>
    </w:p>
    <w:p>
      <w:pPr>
        <w:spacing w:line="297" w:lineRule="auto" w:before="1"/>
        <w:ind w:left="1440" w:right="28" w:hanging="240"/>
        <w:jc w:val="left"/>
        <w:rPr>
          <w:rFonts w:ascii="Arial" w:hAnsi="Arial"/>
          <w:sz w:val="14"/>
        </w:rPr>
      </w:pPr>
      <w:r>
        <w:rPr>
          <w:rFonts w:ascii="Arial" w:hAnsi="Arial"/>
          <w:color w:val="231F20"/>
          <w:w w:val="80"/>
          <w:sz w:val="14"/>
        </w:rPr>
        <w:t>Kesavan,</w:t>
      </w:r>
      <w:r>
        <w:rPr>
          <w:rFonts w:ascii="Arial" w:hAnsi="Arial"/>
          <w:color w:val="231F20"/>
          <w:spacing w:val="-4"/>
          <w:w w:val="80"/>
          <w:sz w:val="14"/>
        </w:rPr>
        <w:t> </w:t>
      </w:r>
      <w:r>
        <w:rPr>
          <w:rFonts w:ascii="Arial" w:hAnsi="Arial"/>
          <w:color w:val="231F20"/>
          <w:w w:val="80"/>
          <w:sz w:val="14"/>
        </w:rPr>
        <w:t>D.</w:t>
      </w:r>
      <w:r>
        <w:rPr>
          <w:rFonts w:ascii="Arial" w:hAnsi="Arial"/>
          <w:color w:val="231F20"/>
          <w:spacing w:val="-8"/>
          <w:sz w:val="14"/>
        </w:rPr>
        <w:t> </w:t>
      </w:r>
      <w:r>
        <w:rPr>
          <w:rFonts w:ascii="Arial" w:hAnsi="Arial"/>
          <w:color w:val="231F20"/>
          <w:w w:val="80"/>
          <w:sz w:val="14"/>
        </w:rPr>
        <w:t>P.,</w:t>
      </w:r>
      <w:r>
        <w:rPr>
          <w:rFonts w:ascii="Arial" w:hAnsi="Arial"/>
          <w:color w:val="231F20"/>
          <w:spacing w:val="-3"/>
          <w:w w:val="80"/>
          <w:sz w:val="14"/>
        </w:rPr>
        <w:t> </w:t>
      </w:r>
      <w:r>
        <w:rPr>
          <w:rFonts w:ascii="Arial" w:hAnsi="Arial"/>
          <w:color w:val="231F20"/>
          <w:w w:val="80"/>
          <w:sz w:val="14"/>
        </w:rPr>
        <w:t>and</w:t>
      </w:r>
      <w:r>
        <w:rPr>
          <w:rFonts w:ascii="Arial" w:hAnsi="Arial"/>
          <w:color w:val="231F20"/>
          <w:spacing w:val="-4"/>
          <w:w w:val="80"/>
          <w:sz w:val="14"/>
        </w:rPr>
        <w:t> </w:t>
      </w:r>
      <w:r>
        <w:rPr>
          <w:rFonts w:ascii="Arial" w:hAnsi="Arial"/>
          <w:color w:val="231F20"/>
          <w:w w:val="80"/>
          <w:sz w:val="14"/>
        </w:rPr>
        <w:t>A.</w:t>
      </w:r>
      <w:r>
        <w:rPr>
          <w:rFonts w:ascii="Arial" w:hAnsi="Arial"/>
          <w:color w:val="231F20"/>
          <w:spacing w:val="-6"/>
          <w:sz w:val="14"/>
        </w:rPr>
        <w:t> </w:t>
      </w:r>
      <w:r>
        <w:rPr>
          <w:rFonts w:ascii="Arial" w:hAnsi="Arial"/>
          <w:color w:val="231F20"/>
          <w:w w:val="80"/>
          <w:sz w:val="14"/>
        </w:rPr>
        <w:t>M. Deif. 2021.</w:t>
      </w:r>
      <w:r>
        <w:rPr>
          <w:rFonts w:ascii="Arial" w:hAnsi="Arial"/>
          <w:color w:val="231F20"/>
          <w:spacing w:val="-4"/>
          <w:w w:val="80"/>
          <w:sz w:val="14"/>
        </w:rPr>
        <w:t> </w:t>
      </w:r>
      <w:r>
        <w:rPr>
          <w:rFonts w:ascii="Arial" w:hAnsi="Arial"/>
          <w:color w:val="231F20"/>
          <w:w w:val="80"/>
          <w:sz w:val="14"/>
        </w:rPr>
        <w:t>“Exploring</w:t>
      </w:r>
      <w:r>
        <w:rPr>
          <w:rFonts w:ascii="Arial" w:hAnsi="Arial"/>
          <w:color w:val="231F20"/>
          <w:spacing w:val="-6"/>
          <w:sz w:val="14"/>
        </w:rPr>
        <w:t> </w:t>
      </w:r>
      <w:r>
        <w:rPr>
          <w:rFonts w:ascii="Arial" w:hAnsi="Arial"/>
          <w:color w:val="231F20"/>
          <w:w w:val="80"/>
          <w:sz w:val="14"/>
        </w:rPr>
        <w:t>National Culture Impact</w:t>
      </w:r>
      <w:r>
        <w:rPr>
          <w:rFonts w:ascii="Arial" w:hAnsi="Arial"/>
          <w:color w:val="231F20"/>
          <w:spacing w:val="40"/>
          <w:sz w:val="14"/>
        </w:rPr>
        <w:t> </w:t>
      </w:r>
      <w:r>
        <w:rPr>
          <w:rFonts w:ascii="Arial" w:hAnsi="Arial"/>
          <w:color w:val="231F20"/>
          <w:spacing w:val="-2"/>
          <w:w w:val="85"/>
          <w:sz w:val="14"/>
        </w:rPr>
        <w:t>on</w:t>
      </w:r>
      <w:r>
        <w:rPr>
          <w:rFonts w:ascii="Arial" w:hAnsi="Arial"/>
          <w:color w:val="231F20"/>
          <w:sz w:val="14"/>
        </w:rPr>
        <w:t> </w:t>
      </w:r>
      <w:r>
        <w:rPr>
          <w:rFonts w:ascii="Arial" w:hAnsi="Arial"/>
          <w:color w:val="231F20"/>
          <w:spacing w:val="-2"/>
          <w:w w:val="85"/>
          <w:sz w:val="14"/>
        </w:rPr>
        <w:t>Logistics</w:t>
      </w:r>
      <w:r>
        <w:rPr>
          <w:rFonts w:ascii="Arial" w:hAnsi="Arial"/>
          <w:color w:val="231F20"/>
          <w:sz w:val="14"/>
        </w:rPr>
        <w:t> </w:t>
      </w:r>
      <w:r>
        <w:rPr>
          <w:rFonts w:ascii="Arial" w:hAnsi="Arial"/>
          <w:color w:val="231F20"/>
          <w:spacing w:val="-2"/>
          <w:w w:val="85"/>
          <w:sz w:val="14"/>
        </w:rPr>
        <w:t>Performance.” </w:t>
      </w:r>
      <w:r>
        <w:rPr>
          <w:rFonts w:ascii="Arial" w:hAnsi="Arial"/>
          <w:i/>
          <w:color w:val="231F20"/>
          <w:spacing w:val="-2"/>
          <w:w w:val="85"/>
          <w:sz w:val="14"/>
        </w:rPr>
        <w:t>Transportation</w:t>
      </w:r>
      <w:r>
        <w:rPr>
          <w:rFonts w:ascii="Arial" w:hAnsi="Arial"/>
          <w:i/>
          <w:color w:val="231F20"/>
          <w:sz w:val="14"/>
        </w:rPr>
        <w:t> </w:t>
      </w:r>
      <w:r>
        <w:rPr>
          <w:rFonts w:ascii="Arial" w:hAnsi="Arial"/>
          <w:i/>
          <w:color w:val="231F20"/>
          <w:spacing w:val="-2"/>
          <w:w w:val="85"/>
          <w:sz w:val="14"/>
        </w:rPr>
        <w:t>Journal</w:t>
      </w:r>
      <w:r>
        <w:rPr>
          <w:rFonts w:ascii="Arial" w:hAnsi="Arial"/>
          <w:i/>
          <w:color w:val="231F20"/>
          <w:sz w:val="14"/>
        </w:rPr>
        <w:t> </w:t>
      </w:r>
      <w:r>
        <w:rPr>
          <w:rFonts w:ascii="Arial" w:hAnsi="Arial"/>
          <w:color w:val="231F20"/>
          <w:spacing w:val="-2"/>
          <w:w w:val="85"/>
          <w:sz w:val="14"/>
        </w:rPr>
        <w:t>60</w:t>
      </w:r>
      <w:r>
        <w:rPr>
          <w:rFonts w:ascii="Arial" w:hAnsi="Arial"/>
          <w:color w:val="231F20"/>
          <w:sz w:val="14"/>
        </w:rPr>
        <w:t> </w:t>
      </w:r>
      <w:r>
        <w:rPr>
          <w:rFonts w:ascii="Arial" w:hAnsi="Arial"/>
          <w:color w:val="231F20"/>
          <w:spacing w:val="-2"/>
          <w:w w:val="85"/>
          <w:sz w:val="14"/>
        </w:rPr>
        <w:t>(1): 20–42.</w:t>
      </w:r>
    </w:p>
    <w:p>
      <w:pPr>
        <w:spacing w:line="297" w:lineRule="auto" w:before="1"/>
        <w:ind w:left="1440" w:right="52" w:hanging="240"/>
        <w:jc w:val="both"/>
        <w:rPr>
          <w:rFonts w:ascii="Arial" w:hAnsi="Arial"/>
          <w:sz w:val="14"/>
        </w:rPr>
      </w:pPr>
      <w:r>
        <w:rPr>
          <w:rFonts w:ascii="Arial" w:hAnsi="Arial"/>
          <w:color w:val="231F20"/>
          <w:w w:val="80"/>
          <w:sz w:val="14"/>
        </w:rPr>
        <w:t>Kesen,</w:t>
      </w:r>
      <w:r>
        <w:rPr>
          <w:rFonts w:ascii="Arial" w:hAnsi="Arial"/>
          <w:color w:val="231F20"/>
          <w:spacing w:val="-2"/>
          <w:w w:val="80"/>
          <w:sz w:val="14"/>
        </w:rPr>
        <w:t> </w:t>
      </w:r>
      <w:r>
        <w:rPr>
          <w:rFonts w:ascii="Arial" w:hAnsi="Arial"/>
          <w:color w:val="231F20"/>
          <w:w w:val="80"/>
          <w:sz w:val="14"/>
        </w:rPr>
        <w:t>S.</w:t>
      </w:r>
      <w:r>
        <w:rPr>
          <w:rFonts w:ascii="Arial" w:hAnsi="Arial"/>
          <w:color w:val="231F20"/>
          <w:spacing w:val="-2"/>
          <w:w w:val="80"/>
          <w:sz w:val="14"/>
        </w:rPr>
        <w:t> </w:t>
      </w:r>
      <w:r>
        <w:rPr>
          <w:rFonts w:ascii="Arial" w:hAnsi="Arial"/>
          <w:color w:val="231F20"/>
          <w:w w:val="80"/>
          <w:sz w:val="14"/>
        </w:rPr>
        <w:t>E.,</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2"/>
          <w:w w:val="80"/>
          <w:sz w:val="14"/>
        </w:rPr>
        <w:t> </w:t>
      </w:r>
      <w:r>
        <w:rPr>
          <w:rFonts w:ascii="Arial" w:hAnsi="Arial"/>
          <w:color w:val="231F20"/>
          <w:w w:val="80"/>
          <w:sz w:val="14"/>
        </w:rPr>
        <w:t>E.</w:t>
      </w:r>
      <w:r>
        <w:rPr>
          <w:rFonts w:ascii="Arial" w:hAnsi="Arial"/>
          <w:color w:val="231F20"/>
          <w:spacing w:val="-2"/>
          <w:w w:val="80"/>
          <w:sz w:val="14"/>
        </w:rPr>
        <w:t> </w:t>
      </w:r>
      <w:r>
        <w:rPr>
          <w:rFonts w:ascii="Arial" w:hAnsi="Arial"/>
          <w:color w:val="231F20"/>
          <w:w w:val="80"/>
          <w:sz w:val="14"/>
        </w:rPr>
        <w:t>Yagmur.</w:t>
      </w:r>
      <w:r>
        <w:rPr>
          <w:rFonts w:ascii="Arial" w:hAnsi="Arial"/>
          <w:color w:val="231F20"/>
          <w:spacing w:val="-2"/>
          <w:w w:val="80"/>
          <w:sz w:val="14"/>
        </w:rPr>
        <w:t> </w:t>
      </w:r>
      <w:r>
        <w:rPr>
          <w:rFonts w:ascii="Arial" w:hAnsi="Arial"/>
          <w:color w:val="231F20"/>
          <w:w w:val="80"/>
          <w:sz w:val="14"/>
        </w:rPr>
        <w:t>2021.</w:t>
      </w:r>
      <w:r>
        <w:rPr>
          <w:rFonts w:ascii="Arial" w:hAnsi="Arial"/>
          <w:color w:val="231F20"/>
          <w:spacing w:val="-2"/>
          <w:w w:val="80"/>
          <w:sz w:val="14"/>
        </w:rPr>
        <w:t> </w:t>
      </w:r>
      <w:r>
        <w:rPr>
          <w:rFonts w:ascii="Arial" w:hAnsi="Arial"/>
          <w:color w:val="231F20"/>
          <w:w w:val="80"/>
          <w:sz w:val="14"/>
        </w:rPr>
        <w:t>“An</w:t>
      </w:r>
      <w:r>
        <w:rPr>
          <w:rFonts w:ascii="Arial" w:hAnsi="Arial"/>
          <w:color w:val="231F20"/>
          <w:spacing w:val="-2"/>
          <w:w w:val="80"/>
          <w:sz w:val="14"/>
        </w:rPr>
        <w:t> </w:t>
      </w:r>
      <w:r>
        <w:rPr>
          <w:rFonts w:ascii="Arial" w:hAnsi="Arial"/>
          <w:color w:val="231F20"/>
          <w:w w:val="80"/>
          <w:sz w:val="14"/>
        </w:rPr>
        <w:t>Application</w:t>
      </w:r>
      <w:r>
        <w:rPr>
          <w:rFonts w:ascii="Arial" w:hAnsi="Arial"/>
          <w:color w:val="231F20"/>
          <w:spacing w:val="-2"/>
          <w:w w:val="8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Warehouse</w:t>
      </w:r>
      <w:r>
        <w:rPr>
          <w:rFonts w:ascii="Arial" w:hAnsi="Arial"/>
          <w:color w:val="231F20"/>
          <w:spacing w:val="-2"/>
          <w:w w:val="80"/>
          <w:sz w:val="14"/>
        </w:rPr>
        <w:t> </w:t>
      </w:r>
      <w:r>
        <w:rPr>
          <w:rFonts w:ascii="Arial" w:hAnsi="Arial"/>
          <w:color w:val="231F20"/>
          <w:w w:val="80"/>
          <w:sz w:val="14"/>
        </w:rPr>
        <w:t>Layout</w:t>
      </w:r>
      <w:r>
        <w:rPr>
          <w:rFonts w:ascii="Arial" w:hAnsi="Arial"/>
          <w:color w:val="231F20"/>
          <w:spacing w:val="40"/>
          <w:sz w:val="14"/>
        </w:rPr>
        <w:t> </w:t>
      </w:r>
      <w:r>
        <w:rPr>
          <w:rFonts w:ascii="Arial" w:hAnsi="Arial"/>
          <w:color w:val="231F20"/>
          <w:spacing w:val="-2"/>
          <w:w w:val="80"/>
          <w:sz w:val="14"/>
        </w:rPr>
        <w:t>and</w:t>
      </w:r>
      <w:r>
        <w:rPr>
          <w:rFonts w:ascii="Arial" w:hAnsi="Arial"/>
          <w:color w:val="231F20"/>
          <w:sz w:val="14"/>
        </w:rPr>
        <w:t> </w:t>
      </w:r>
      <w:r>
        <w:rPr>
          <w:rFonts w:ascii="Arial" w:hAnsi="Arial"/>
          <w:color w:val="231F20"/>
          <w:spacing w:val="-2"/>
          <w:w w:val="80"/>
          <w:sz w:val="14"/>
        </w:rPr>
        <w:t>Order</w:t>
      </w:r>
      <w:r>
        <w:rPr>
          <w:rFonts w:ascii="Arial" w:hAnsi="Arial"/>
          <w:color w:val="231F20"/>
          <w:sz w:val="14"/>
        </w:rPr>
        <w:t> </w:t>
      </w:r>
      <w:r>
        <w:rPr>
          <w:rFonts w:ascii="Arial" w:hAnsi="Arial"/>
          <w:color w:val="231F20"/>
          <w:spacing w:val="-2"/>
          <w:w w:val="80"/>
          <w:sz w:val="14"/>
        </w:rPr>
        <w:t>Picking</w:t>
      </w:r>
      <w:r>
        <w:rPr>
          <w:rFonts w:ascii="Arial" w:hAnsi="Arial"/>
          <w:color w:val="231F20"/>
          <w:sz w:val="14"/>
        </w:rPr>
        <w:t> </w:t>
      </w:r>
      <w:r>
        <w:rPr>
          <w:rFonts w:ascii="Arial" w:hAnsi="Arial"/>
          <w:color w:val="231F20"/>
          <w:spacing w:val="-2"/>
          <w:w w:val="80"/>
          <w:sz w:val="14"/>
        </w:rPr>
        <w:t>in</w:t>
      </w:r>
      <w:r>
        <w:rPr>
          <w:rFonts w:ascii="Arial" w:hAnsi="Arial"/>
          <w:color w:val="231F20"/>
          <w:sz w:val="14"/>
        </w:rPr>
        <w:t> </w:t>
      </w:r>
      <w:r>
        <w:rPr>
          <w:rFonts w:ascii="Arial" w:hAnsi="Arial"/>
          <w:color w:val="231F20"/>
          <w:spacing w:val="-2"/>
          <w:w w:val="80"/>
          <w:sz w:val="14"/>
        </w:rPr>
        <w:t>a</w:t>
      </w:r>
      <w:r>
        <w:rPr>
          <w:rFonts w:ascii="Arial" w:hAnsi="Arial"/>
          <w:color w:val="231F20"/>
          <w:sz w:val="14"/>
        </w:rPr>
        <w:t> </w:t>
      </w:r>
      <w:r>
        <w:rPr>
          <w:rFonts w:ascii="Arial" w:hAnsi="Arial"/>
          <w:color w:val="231F20"/>
          <w:spacing w:val="-2"/>
          <w:w w:val="80"/>
          <w:sz w:val="14"/>
        </w:rPr>
        <w:t>Distribution</w:t>
      </w:r>
      <w:r>
        <w:rPr>
          <w:rFonts w:ascii="Arial" w:hAnsi="Arial"/>
          <w:color w:val="231F20"/>
          <w:sz w:val="14"/>
        </w:rPr>
        <w:t> </w:t>
      </w:r>
      <w:r>
        <w:rPr>
          <w:rFonts w:ascii="Arial" w:hAnsi="Arial"/>
          <w:color w:val="231F20"/>
          <w:spacing w:val="-2"/>
          <w:w w:val="80"/>
          <w:sz w:val="14"/>
        </w:rPr>
        <w:t>Center.”</w:t>
      </w:r>
      <w:r>
        <w:rPr>
          <w:rFonts w:ascii="Arial" w:hAnsi="Arial"/>
          <w:color w:val="231F20"/>
          <w:spacing w:val="-6"/>
          <w:sz w:val="14"/>
        </w:rPr>
        <w:t> </w:t>
      </w:r>
      <w:r>
        <w:rPr>
          <w:rFonts w:ascii="Arial" w:hAnsi="Arial"/>
          <w:color w:val="231F20"/>
          <w:spacing w:val="-2"/>
          <w:w w:val="80"/>
          <w:sz w:val="14"/>
        </w:rPr>
        <w:t>In</w:t>
      </w:r>
      <w:r>
        <w:rPr>
          <w:rFonts w:ascii="Arial" w:hAnsi="Arial"/>
          <w:color w:val="231F20"/>
          <w:sz w:val="14"/>
        </w:rPr>
        <w:t> </w:t>
      </w:r>
      <w:r>
        <w:rPr>
          <w:rFonts w:ascii="Arial" w:hAnsi="Arial"/>
          <w:i/>
          <w:color w:val="231F20"/>
          <w:spacing w:val="-2"/>
          <w:w w:val="80"/>
          <w:sz w:val="14"/>
        </w:rPr>
        <w:t>Sustainable</w:t>
      </w:r>
      <w:r>
        <w:rPr>
          <w:rFonts w:ascii="Arial" w:hAnsi="Arial"/>
          <w:i/>
          <w:color w:val="231F20"/>
          <w:sz w:val="14"/>
        </w:rPr>
        <w:t> </w:t>
      </w:r>
      <w:r>
        <w:rPr>
          <w:rFonts w:ascii="Arial" w:hAnsi="Arial"/>
          <w:i/>
          <w:color w:val="231F20"/>
          <w:spacing w:val="-2"/>
          <w:w w:val="80"/>
          <w:sz w:val="14"/>
        </w:rPr>
        <w:t>Production</w:t>
      </w:r>
      <w:r>
        <w:rPr>
          <w:rFonts w:ascii="Arial" w:hAnsi="Arial"/>
          <w:i/>
          <w:color w:val="231F20"/>
          <w:spacing w:val="40"/>
          <w:sz w:val="14"/>
        </w:rPr>
        <w:t> </w:t>
      </w:r>
      <w:r>
        <w:rPr>
          <w:rFonts w:ascii="Arial" w:hAnsi="Arial"/>
          <w:i/>
          <w:color w:val="231F20"/>
          <w:w w:val="85"/>
          <w:sz w:val="14"/>
        </w:rPr>
        <w:t>and Logistics</w:t>
      </w:r>
      <w:r>
        <w:rPr>
          <w:rFonts w:ascii="Arial" w:hAnsi="Arial"/>
          <w:color w:val="231F20"/>
          <w:w w:val="85"/>
          <w:sz w:val="14"/>
        </w:rPr>
        <w:t>,</w:t>
      </w:r>
      <w:r>
        <w:rPr>
          <w:rFonts w:ascii="Arial" w:hAnsi="Arial"/>
          <w:color w:val="231F20"/>
          <w:spacing w:val="-2"/>
          <w:w w:val="85"/>
          <w:sz w:val="14"/>
        </w:rPr>
        <w:t> </w:t>
      </w:r>
      <w:r>
        <w:rPr>
          <w:rFonts w:ascii="Arial" w:hAnsi="Arial"/>
          <w:color w:val="231F20"/>
          <w:w w:val="85"/>
          <w:sz w:val="14"/>
        </w:rPr>
        <w:t>267–279.</w:t>
      </w:r>
      <w:r>
        <w:rPr>
          <w:rFonts w:ascii="Arial" w:hAnsi="Arial"/>
          <w:color w:val="231F20"/>
          <w:spacing w:val="-2"/>
          <w:w w:val="85"/>
          <w:sz w:val="14"/>
        </w:rPr>
        <w:t> </w:t>
      </w:r>
      <w:r>
        <w:rPr>
          <w:rFonts w:ascii="Arial" w:hAnsi="Arial"/>
          <w:color w:val="231F20"/>
          <w:w w:val="85"/>
          <w:sz w:val="14"/>
        </w:rPr>
        <w:t>CRC Press.</w:t>
      </w:r>
    </w:p>
    <w:p>
      <w:pPr>
        <w:spacing w:line="297" w:lineRule="auto" w:before="1"/>
        <w:ind w:left="1440" w:right="1" w:hanging="240"/>
        <w:jc w:val="left"/>
        <w:rPr>
          <w:rFonts w:ascii="Arial" w:hAnsi="Arial"/>
          <w:sz w:val="14"/>
        </w:rPr>
      </w:pPr>
      <w:r>
        <w:rPr>
          <w:rFonts w:ascii="Arial" w:hAnsi="Arial"/>
          <w:color w:val="231F20"/>
          <w:w w:val="80"/>
          <w:sz w:val="14"/>
        </w:rPr>
        <w:t>King Boison, D., and A. Antwi-Boampong. 2020. “Blockchain Ready </w:t>
      </w:r>
      <w:r>
        <w:rPr>
          <w:rFonts w:ascii="Arial" w:hAnsi="Arial"/>
          <w:color w:val="231F20"/>
          <w:w w:val="80"/>
          <w:sz w:val="14"/>
        </w:rPr>
        <w:t>Port</w:t>
      </w:r>
      <w:r>
        <w:rPr>
          <w:rFonts w:ascii="Arial" w:hAnsi="Arial"/>
          <w:color w:val="231F20"/>
          <w:spacing w:val="40"/>
          <w:sz w:val="14"/>
        </w:rPr>
        <w:t> </w:t>
      </w:r>
      <w:r>
        <w:rPr>
          <w:rFonts w:ascii="Arial" w:hAnsi="Arial"/>
          <w:color w:val="231F20"/>
          <w:w w:val="80"/>
          <w:sz w:val="14"/>
        </w:rPr>
        <w:t>Supply Chain Using Distributed Ledger.”</w:t>
      </w:r>
      <w:r>
        <w:rPr>
          <w:rFonts w:ascii="Arial" w:hAnsi="Arial"/>
          <w:color w:val="231F20"/>
          <w:spacing w:val="-2"/>
          <w:w w:val="80"/>
          <w:sz w:val="14"/>
        </w:rPr>
        <w:t> </w:t>
      </w:r>
      <w:r>
        <w:rPr>
          <w:rFonts w:ascii="Arial" w:hAnsi="Arial"/>
          <w:i/>
          <w:color w:val="231F20"/>
          <w:w w:val="80"/>
          <w:sz w:val="14"/>
        </w:rPr>
        <w:t>Nordic and Baltic Journal of</w:t>
      </w:r>
      <w:r>
        <w:rPr>
          <w:rFonts w:ascii="Arial" w:hAnsi="Arial"/>
          <w:i/>
          <w:color w:val="231F20"/>
          <w:spacing w:val="40"/>
          <w:sz w:val="14"/>
        </w:rPr>
        <w:t> </w:t>
      </w:r>
      <w:r>
        <w:rPr>
          <w:rFonts w:ascii="Arial" w:hAnsi="Arial"/>
          <w:i/>
          <w:color w:val="231F20"/>
          <w:w w:val="80"/>
          <w:sz w:val="14"/>
        </w:rPr>
        <w:t>Information and Communications Technologies</w:t>
      </w:r>
      <w:r>
        <w:rPr>
          <w:rFonts w:ascii="Arial" w:hAnsi="Arial"/>
          <w:color w:val="231F20"/>
          <w:w w:val="80"/>
          <w:sz w:val="14"/>
        </w:rPr>
        <w:t>.</w:t>
      </w:r>
    </w:p>
    <w:p>
      <w:pPr>
        <w:spacing w:line="297" w:lineRule="auto" w:before="1"/>
        <w:ind w:left="1440" w:right="1" w:hanging="240"/>
        <w:jc w:val="left"/>
        <w:rPr>
          <w:rFonts w:ascii="Arial" w:hAnsi="Arial"/>
          <w:sz w:val="14"/>
        </w:rPr>
      </w:pPr>
      <w:r>
        <w:rPr>
          <w:rFonts w:ascii="Arial" w:hAnsi="Arial"/>
          <w:color w:val="231F20"/>
          <w:spacing w:val="-2"/>
          <w:w w:val="80"/>
          <w:sz w:val="14"/>
        </w:rPr>
        <w:t>Koc, G.</w:t>
      </w:r>
      <w:r>
        <w:rPr>
          <w:rFonts w:ascii="Arial" w:hAnsi="Arial"/>
          <w:color w:val="231F20"/>
          <w:sz w:val="14"/>
        </w:rPr>
        <w:t> </w:t>
      </w:r>
      <w:r>
        <w:rPr>
          <w:rFonts w:ascii="Arial" w:hAnsi="Arial"/>
          <w:color w:val="231F20"/>
          <w:spacing w:val="-2"/>
          <w:w w:val="80"/>
          <w:sz w:val="14"/>
        </w:rPr>
        <w:t>2021. “Analyzing</w:t>
      </w:r>
      <w:r>
        <w:rPr>
          <w:rFonts w:ascii="Arial" w:hAnsi="Arial"/>
          <w:color w:val="231F20"/>
          <w:sz w:val="14"/>
        </w:rPr>
        <w:t> </w:t>
      </w:r>
      <w:r>
        <w:rPr>
          <w:rFonts w:ascii="Arial" w:hAnsi="Arial"/>
          <w:color w:val="231F20"/>
          <w:spacing w:val="-2"/>
          <w:w w:val="80"/>
          <w:sz w:val="14"/>
        </w:rPr>
        <w:t>the</w:t>
      </w:r>
      <w:r>
        <w:rPr>
          <w:rFonts w:ascii="Arial" w:hAnsi="Arial"/>
          <w:color w:val="231F20"/>
          <w:sz w:val="14"/>
        </w:rPr>
        <w:t> </w:t>
      </w:r>
      <w:r>
        <w:rPr>
          <w:rFonts w:ascii="Arial" w:hAnsi="Arial"/>
          <w:color w:val="231F20"/>
          <w:spacing w:val="-2"/>
          <w:w w:val="80"/>
          <w:sz w:val="14"/>
        </w:rPr>
        <w:t>Social</w:t>
      </w:r>
      <w:r>
        <w:rPr>
          <w:rFonts w:ascii="Arial" w:hAnsi="Arial"/>
          <w:color w:val="231F20"/>
          <w:sz w:val="14"/>
        </w:rPr>
        <w:t> </w:t>
      </w:r>
      <w:r>
        <w:rPr>
          <w:rFonts w:ascii="Arial" w:hAnsi="Arial"/>
          <w:color w:val="231F20"/>
          <w:spacing w:val="-2"/>
          <w:w w:val="80"/>
          <w:sz w:val="14"/>
        </w:rPr>
        <w:t>Factors Affecting Aviation</w:t>
      </w:r>
      <w:r>
        <w:rPr>
          <w:rFonts w:ascii="Arial" w:hAnsi="Arial"/>
          <w:color w:val="231F20"/>
          <w:sz w:val="14"/>
        </w:rPr>
        <w:t> </w:t>
      </w:r>
      <w:r>
        <w:rPr>
          <w:rFonts w:ascii="Arial" w:hAnsi="Arial"/>
          <w:color w:val="231F20"/>
          <w:spacing w:val="-2"/>
          <w:w w:val="80"/>
          <w:sz w:val="14"/>
        </w:rPr>
        <w:t>Development</w:t>
      </w:r>
      <w:r>
        <w:rPr>
          <w:rFonts w:ascii="Arial" w:hAnsi="Arial"/>
          <w:color w:val="231F20"/>
          <w:spacing w:val="40"/>
          <w:sz w:val="14"/>
        </w:rPr>
        <w:t> </w:t>
      </w:r>
      <w:r>
        <w:rPr>
          <w:rFonts w:ascii="Arial" w:hAnsi="Arial"/>
          <w:color w:val="231F20"/>
          <w:w w:val="80"/>
          <w:sz w:val="14"/>
        </w:rPr>
        <w:t>in Countries by Creating a Mixed Curvilinear Regression Model.”</w:t>
      </w:r>
      <w:r>
        <w:rPr>
          <w:rFonts w:ascii="Arial" w:hAnsi="Arial"/>
          <w:color w:val="231F20"/>
          <w:spacing w:val="40"/>
          <w:sz w:val="14"/>
        </w:rPr>
        <w:t> </w:t>
      </w:r>
      <w:r>
        <w:rPr>
          <w:rFonts w:ascii="Arial" w:hAnsi="Arial"/>
          <w:i/>
          <w:color w:val="231F20"/>
          <w:spacing w:val="-2"/>
          <w:w w:val="90"/>
          <w:sz w:val="14"/>
        </w:rPr>
        <w:t>Pressacademia </w:t>
      </w:r>
      <w:r>
        <w:rPr>
          <w:rFonts w:ascii="Arial" w:hAnsi="Arial"/>
          <w:color w:val="231F20"/>
          <w:spacing w:val="-2"/>
          <w:w w:val="90"/>
          <w:sz w:val="14"/>
        </w:rPr>
        <w:t>10 (1):</w:t>
      </w:r>
      <w:r>
        <w:rPr>
          <w:rFonts w:ascii="Arial" w:hAnsi="Arial"/>
          <w:color w:val="231F20"/>
          <w:spacing w:val="-4"/>
          <w:w w:val="90"/>
          <w:sz w:val="14"/>
        </w:rPr>
        <w:t> </w:t>
      </w:r>
      <w:r>
        <w:rPr>
          <w:rFonts w:ascii="Arial" w:hAnsi="Arial"/>
          <w:color w:val="231F20"/>
          <w:spacing w:val="-2"/>
          <w:w w:val="90"/>
          <w:sz w:val="14"/>
        </w:rPr>
        <w:t>24–35.</w:t>
      </w:r>
    </w:p>
    <w:p>
      <w:pPr>
        <w:spacing w:line="297" w:lineRule="auto" w:before="1"/>
        <w:ind w:left="1440" w:right="67" w:hanging="240"/>
        <w:jc w:val="both"/>
        <w:rPr>
          <w:rFonts w:ascii="Arial" w:hAnsi="Arial"/>
          <w:sz w:val="14"/>
        </w:rPr>
      </w:pPr>
      <w:r>
        <w:rPr>
          <w:rFonts w:ascii="Arial" w:hAnsi="Arial"/>
          <w:color w:val="231F20"/>
          <w:w w:val="80"/>
          <w:sz w:val="14"/>
        </w:rPr>
        <w:t>Kodzi</w:t>
      </w:r>
      <w:r>
        <w:rPr>
          <w:rFonts w:ascii="Arial" w:hAnsi="Arial"/>
          <w:color w:val="231F20"/>
          <w:spacing w:val="-2"/>
          <w:w w:val="80"/>
          <w:sz w:val="14"/>
        </w:rPr>
        <w:t> </w:t>
      </w:r>
      <w:r>
        <w:rPr>
          <w:rFonts w:ascii="Arial" w:hAnsi="Arial"/>
          <w:color w:val="231F20"/>
          <w:w w:val="80"/>
          <w:sz w:val="14"/>
        </w:rPr>
        <w:t>Jr.,</w:t>
      </w:r>
      <w:r>
        <w:rPr>
          <w:rFonts w:ascii="Arial" w:hAnsi="Arial"/>
          <w:color w:val="231F20"/>
          <w:spacing w:val="-2"/>
          <w:w w:val="80"/>
          <w:sz w:val="14"/>
        </w:rPr>
        <w:t> </w:t>
      </w:r>
      <w:r>
        <w:rPr>
          <w:rFonts w:ascii="Arial" w:hAnsi="Arial"/>
          <w:color w:val="231F20"/>
          <w:w w:val="80"/>
          <w:sz w:val="14"/>
        </w:rPr>
        <w:t>E.</w:t>
      </w:r>
      <w:r>
        <w:rPr>
          <w:rFonts w:ascii="Arial" w:hAnsi="Arial"/>
          <w:color w:val="231F20"/>
          <w:spacing w:val="-2"/>
          <w:w w:val="80"/>
          <w:sz w:val="14"/>
        </w:rPr>
        <w:t> </w:t>
      </w:r>
      <w:r>
        <w:rPr>
          <w:rFonts w:ascii="Arial" w:hAnsi="Arial"/>
          <w:color w:val="231F20"/>
          <w:w w:val="80"/>
          <w:sz w:val="14"/>
        </w:rPr>
        <w:t>T.</w:t>
      </w:r>
      <w:r>
        <w:rPr>
          <w:rFonts w:ascii="Arial" w:hAnsi="Arial"/>
          <w:color w:val="231F20"/>
          <w:spacing w:val="-2"/>
          <w:w w:val="80"/>
          <w:sz w:val="14"/>
        </w:rPr>
        <w:t> </w:t>
      </w:r>
      <w:r>
        <w:rPr>
          <w:rFonts w:ascii="Arial" w:hAnsi="Arial"/>
          <w:color w:val="231F20"/>
          <w:w w:val="80"/>
          <w:sz w:val="14"/>
        </w:rPr>
        <w:t>2021.</w:t>
      </w:r>
      <w:r>
        <w:rPr>
          <w:rFonts w:ascii="Arial" w:hAnsi="Arial"/>
          <w:color w:val="231F20"/>
          <w:spacing w:val="-2"/>
          <w:w w:val="80"/>
          <w:sz w:val="14"/>
        </w:rPr>
        <w:t> </w:t>
      </w:r>
      <w:r>
        <w:rPr>
          <w:rFonts w:ascii="Arial" w:hAnsi="Arial"/>
          <w:color w:val="231F20"/>
          <w:w w:val="80"/>
          <w:sz w:val="14"/>
        </w:rPr>
        <w:t>“Inclusive</w:t>
      </w:r>
      <w:r>
        <w:rPr>
          <w:rFonts w:ascii="Arial" w:hAnsi="Arial"/>
          <w:color w:val="231F20"/>
          <w:spacing w:val="-2"/>
          <w:w w:val="80"/>
          <w:sz w:val="14"/>
        </w:rPr>
        <w:t> </w:t>
      </w:r>
      <w:r>
        <w:rPr>
          <w:rFonts w:ascii="Arial" w:hAnsi="Arial"/>
          <w:color w:val="231F20"/>
          <w:w w:val="80"/>
          <w:sz w:val="14"/>
        </w:rPr>
        <w:t>Growth</w:t>
      </w:r>
      <w:r>
        <w:rPr>
          <w:rFonts w:ascii="Arial" w:hAnsi="Arial"/>
          <w:color w:val="231F20"/>
          <w:spacing w:val="-1"/>
          <w:w w:val="80"/>
          <w:sz w:val="14"/>
        </w:rPr>
        <w:t> </w:t>
      </w:r>
      <w:r>
        <w:rPr>
          <w:rFonts w:ascii="Arial" w:hAnsi="Arial"/>
          <w:color w:val="231F20"/>
          <w:w w:val="80"/>
          <w:sz w:val="14"/>
        </w:rPr>
        <w:t>in</w:t>
      </w:r>
      <w:r>
        <w:rPr>
          <w:rFonts w:ascii="Arial" w:hAnsi="Arial"/>
          <w:color w:val="231F20"/>
          <w:spacing w:val="-2"/>
          <w:w w:val="80"/>
          <w:sz w:val="14"/>
        </w:rPr>
        <w:t> </w:t>
      </w:r>
      <w:r>
        <w:rPr>
          <w:rFonts w:ascii="Arial" w:hAnsi="Arial"/>
          <w:color w:val="231F20"/>
          <w:w w:val="80"/>
          <w:sz w:val="14"/>
        </w:rPr>
        <w:t>Africa:</w:t>
      </w:r>
      <w:r>
        <w:rPr>
          <w:rFonts w:ascii="Arial" w:hAnsi="Arial"/>
          <w:color w:val="231F20"/>
          <w:spacing w:val="-2"/>
          <w:w w:val="80"/>
          <w:sz w:val="14"/>
        </w:rPr>
        <w:t> </w:t>
      </w:r>
      <w:r>
        <w:rPr>
          <w:rFonts w:ascii="Arial" w:hAnsi="Arial"/>
          <w:color w:val="231F20"/>
          <w:w w:val="80"/>
          <w:sz w:val="14"/>
        </w:rPr>
        <w:t>Are</w:t>
      </w:r>
      <w:r>
        <w:rPr>
          <w:rFonts w:ascii="Arial" w:hAnsi="Arial"/>
          <w:color w:val="231F20"/>
          <w:spacing w:val="-6"/>
          <w:sz w:val="14"/>
        </w:rPr>
        <w:t> </w:t>
      </w:r>
      <w:r>
        <w:rPr>
          <w:rFonts w:ascii="Arial" w:hAnsi="Arial"/>
          <w:color w:val="231F20"/>
          <w:w w:val="80"/>
          <w:sz w:val="14"/>
        </w:rPr>
        <w:t>Chinese</w:t>
      </w:r>
      <w:r>
        <w:rPr>
          <w:rFonts w:ascii="Arial" w:hAnsi="Arial"/>
          <w:color w:val="231F20"/>
          <w:spacing w:val="-7"/>
          <w:sz w:val="14"/>
        </w:rPr>
        <w:t> </w:t>
      </w:r>
      <w:r>
        <w:rPr>
          <w:rFonts w:ascii="Arial" w:hAnsi="Arial"/>
          <w:color w:val="231F20"/>
          <w:w w:val="80"/>
          <w:sz w:val="14"/>
        </w:rPr>
        <w:t>investment</w:t>
      </w:r>
      <w:r>
        <w:rPr>
          <w:rFonts w:ascii="Arial" w:hAnsi="Arial"/>
          <w:color w:val="231F20"/>
          <w:spacing w:val="40"/>
          <w:sz w:val="14"/>
        </w:rPr>
        <w:t> </w:t>
      </w:r>
      <w:r>
        <w:rPr>
          <w:rFonts w:ascii="Arial" w:hAnsi="Arial"/>
          <w:color w:val="231F20"/>
          <w:spacing w:val="-2"/>
          <w:w w:val="80"/>
          <w:sz w:val="14"/>
        </w:rPr>
        <w:t>and</w:t>
      </w:r>
      <w:r>
        <w:rPr>
          <w:rFonts w:ascii="Arial" w:hAnsi="Arial"/>
          <w:color w:val="231F20"/>
          <w:sz w:val="14"/>
        </w:rPr>
        <w:t> </w:t>
      </w:r>
      <w:r>
        <w:rPr>
          <w:rFonts w:ascii="Arial" w:hAnsi="Arial"/>
          <w:color w:val="231F20"/>
          <w:spacing w:val="-2"/>
          <w:w w:val="80"/>
          <w:sz w:val="14"/>
        </w:rPr>
        <w:t>Local</w:t>
      </w:r>
      <w:r>
        <w:rPr>
          <w:rFonts w:ascii="Arial" w:hAnsi="Arial"/>
          <w:color w:val="231F20"/>
          <w:sz w:val="14"/>
        </w:rPr>
        <w:t> </w:t>
      </w:r>
      <w:r>
        <w:rPr>
          <w:rFonts w:ascii="Arial" w:hAnsi="Arial"/>
          <w:color w:val="231F20"/>
          <w:spacing w:val="-2"/>
          <w:w w:val="80"/>
          <w:sz w:val="14"/>
        </w:rPr>
        <w:t>Industry</w:t>
      </w:r>
      <w:r>
        <w:rPr>
          <w:rFonts w:ascii="Arial" w:hAnsi="Arial"/>
          <w:color w:val="231F20"/>
          <w:sz w:val="14"/>
        </w:rPr>
        <w:t> </w:t>
      </w:r>
      <w:r>
        <w:rPr>
          <w:rFonts w:ascii="Arial" w:hAnsi="Arial"/>
          <w:color w:val="231F20"/>
          <w:spacing w:val="-2"/>
          <w:w w:val="80"/>
          <w:sz w:val="14"/>
        </w:rPr>
        <w:t>Participation</w:t>
      </w:r>
      <w:r>
        <w:rPr>
          <w:rFonts w:ascii="Arial" w:hAnsi="Arial"/>
          <w:color w:val="231F20"/>
          <w:sz w:val="14"/>
        </w:rPr>
        <w:t> </w:t>
      </w:r>
      <w:r>
        <w:rPr>
          <w:rFonts w:ascii="Arial" w:hAnsi="Arial"/>
          <w:color w:val="231F20"/>
          <w:spacing w:val="-2"/>
          <w:w w:val="80"/>
          <w:sz w:val="14"/>
        </w:rPr>
        <w:t>Compatible?”</w:t>
      </w:r>
      <w:r>
        <w:rPr>
          <w:rFonts w:ascii="Arial" w:hAnsi="Arial"/>
          <w:color w:val="231F20"/>
          <w:spacing w:val="-4"/>
          <w:sz w:val="14"/>
        </w:rPr>
        <w:t> </w:t>
      </w:r>
      <w:r>
        <w:rPr>
          <w:rFonts w:ascii="Arial" w:hAnsi="Arial"/>
          <w:i/>
          <w:color w:val="231F20"/>
          <w:spacing w:val="-2"/>
          <w:w w:val="80"/>
          <w:sz w:val="14"/>
        </w:rPr>
        <w:t>International</w:t>
      </w:r>
      <w:r>
        <w:rPr>
          <w:rFonts w:ascii="Arial" w:hAnsi="Arial"/>
          <w:i/>
          <w:color w:val="231F20"/>
          <w:sz w:val="14"/>
        </w:rPr>
        <w:t> </w:t>
      </w:r>
      <w:r>
        <w:rPr>
          <w:rFonts w:ascii="Arial" w:hAnsi="Arial"/>
          <w:i/>
          <w:color w:val="231F20"/>
          <w:spacing w:val="-2"/>
          <w:w w:val="80"/>
          <w:sz w:val="14"/>
        </w:rPr>
        <w:t>Journal</w:t>
      </w:r>
      <w:r>
        <w:rPr>
          <w:rFonts w:ascii="Arial" w:hAnsi="Arial"/>
          <w:i/>
          <w:color w:val="231F20"/>
          <w:sz w:val="14"/>
        </w:rPr>
        <w:t> </w:t>
      </w:r>
      <w:r>
        <w:rPr>
          <w:rFonts w:ascii="Arial" w:hAnsi="Arial"/>
          <w:i/>
          <w:color w:val="231F20"/>
          <w:spacing w:val="-2"/>
          <w:w w:val="80"/>
          <w:sz w:val="14"/>
        </w:rPr>
        <w:t>of</w:t>
      </w:r>
      <w:r>
        <w:rPr>
          <w:rFonts w:ascii="Arial" w:hAnsi="Arial"/>
          <w:i/>
          <w:color w:val="231F20"/>
          <w:spacing w:val="40"/>
          <w:sz w:val="14"/>
        </w:rPr>
        <w:t> </w:t>
      </w:r>
      <w:r>
        <w:rPr>
          <w:rFonts w:ascii="Arial" w:hAnsi="Arial"/>
          <w:i/>
          <w:color w:val="231F20"/>
          <w:w w:val="90"/>
          <w:sz w:val="14"/>
        </w:rPr>
        <w:t>Emerging</w:t>
      </w:r>
      <w:r>
        <w:rPr>
          <w:rFonts w:ascii="Arial" w:hAnsi="Arial"/>
          <w:i/>
          <w:color w:val="231F20"/>
          <w:spacing w:val="-6"/>
          <w:w w:val="90"/>
          <w:sz w:val="14"/>
        </w:rPr>
        <w:t> </w:t>
      </w:r>
      <w:r>
        <w:rPr>
          <w:rFonts w:ascii="Arial" w:hAnsi="Arial"/>
          <w:i/>
          <w:color w:val="231F20"/>
          <w:w w:val="90"/>
          <w:sz w:val="14"/>
        </w:rPr>
        <w:t>Markets</w:t>
      </w:r>
      <w:r>
        <w:rPr>
          <w:rFonts w:ascii="Arial" w:hAnsi="Arial"/>
          <w:color w:val="231F20"/>
          <w:w w:val="90"/>
          <w:sz w:val="14"/>
        </w:rPr>
        <w:t>.</w:t>
      </w:r>
    </w:p>
    <w:p>
      <w:pPr>
        <w:spacing w:line="162" w:lineRule="exact" w:before="0"/>
        <w:ind w:left="1200" w:right="0" w:firstLine="0"/>
        <w:jc w:val="both"/>
        <w:rPr>
          <w:rFonts w:ascii="Arial" w:hAnsi="Arial"/>
          <w:sz w:val="14"/>
        </w:rPr>
      </w:pPr>
      <w:r>
        <w:rPr>
          <w:rFonts w:ascii="Arial" w:hAnsi="Arial"/>
          <w:color w:val="231F20"/>
          <w:w w:val="80"/>
          <w:sz w:val="14"/>
        </w:rPr>
        <w:t>Korkmaz,</w:t>
      </w:r>
      <w:r>
        <w:rPr>
          <w:rFonts w:ascii="Arial" w:hAnsi="Arial"/>
          <w:color w:val="231F20"/>
          <w:spacing w:val="-1"/>
          <w:w w:val="80"/>
          <w:sz w:val="14"/>
        </w:rPr>
        <w:t> </w:t>
      </w:r>
      <w:r>
        <w:rPr>
          <w:rFonts w:ascii="Arial" w:hAnsi="Arial"/>
          <w:color w:val="231F20"/>
          <w:w w:val="80"/>
          <w:sz w:val="14"/>
        </w:rPr>
        <w:t>I</w:t>
      </w:r>
      <w:r>
        <w:rPr>
          <w:rFonts w:ascii="Arial" w:hAnsi="Arial"/>
          <w:color w:val="231F20"/>
          <w:w w:val="80"/>
          <w:position w:val="3"/>
          <w:sz w:val="14"/>
        </w:rPr>
        <w:t>˙</w:t>
      </w:r>
      <w:r>
        <w:rPr>
          <w:rFonts w:ascii="Arial" w:hAnsi="Arial"/>
          <w:color w:val="231F20"/>
          <w:w w:val="80"/>
          <w:sz w:val="14"/>
        </w:rPr>
        <w:t>.</w:t>
      </w:r>
      <w:r>
        <w:rPr>
          <w:rFonts w:ascii="Arial" w:hAnsi="Arial"/>
          <w:color w:val="231F20"/>
          <w:spacing w:val="-2"/>
          <w:sz w:val="14"/>
        </w:rPr>
        <w:t> </w:t>
      </w:r>
      <w:r>
        <w:rPr>
          <w:rFonts w:ascii="Arial" w:hAnsi="Arial"/>
          <w:color w:val="231F20"/>
          <w:w w:val="80"/>
          <w:sz w:val="14"/>
        </w:rPr>
        <w:t>H.,</w:t>
      </w:r>
      <w:r>
        <w:rPr>
          <w:rFonts w:ascii="Arial" w:hAnsi="Arial"/>
          <w:color w:val="231F20"/>
          <w:spacing w:val="-8"/>
          <w:sz w:val="14"/>
        </w:rPr>
        <w:t> </w:t>
      </w:r>
      <w:r>
        <w:rPr>
          <w:rFonts w:ascii="Arial" w:hAnsi="Arial"/>
          <w:color w:val="231F20"/>
          <w:w w:val="80"/>
          <w:sz w:val="14"/>
        </w:rPr>
        <w:t>E.</w:t>
      </w:r>
      <w:r>
        <w:rPr>
          <w:rFonts w:ascii="Arial" w:hAnsi="Arial"/>
          <w:color w:val="231F20"/>
          <w:spacing w:val="-8"/>
          <w:sz w:val="14"/>
        </w:rPr>
        <w:t> </w:t>
      </w:r>
      <w:r>
        <w:rPr>
          <w:rFonts w:ascii="Arial" w:hAnsi="Arial"/>
          <w:color w:val="231F20"/>
          <w:w w:val="80"/>
          <w:sz w:val="14"/>
        </w:rPr>
        <w:t>Alsu,</w:t>
      </w:r>
      <w:r>
        <w:rPr>
          <w:rFonts w:ascii="Arial" w:hAnsi="Arial"/>
          <w:color w:val="231F20"/>
          <w:spacing w:val="-8"/>
          <w:sz w:val="14"/>
        </w:rPr>
        <w:t> </w:t>
      </w:r>
      <w:r>
        <w:rPr>
          <w:rFonts w:ascii="Arial" w:hAnsi="Arial"/>
          <w:color w:val="231F20"/>
          <w:w w:val="80"/>
          <w:sz w:val="14"/>
        </w:rPr>
        <w:t>E.</w:t>
      </w:r>
      <w:r>
        <w:rPr>
          <w:rFonts w:ascii="Arial" w:hAnsi="Arial"/>
          <w:color w:val="231F20"/>
          <w:spacing w:val="-2"/>
          <w:sz w:val="14"/>
        </w:rPr>
        <w:t> </w:t>
      </w:r>
      <w:r>
        <w:rPr>
          <w:rFonts w:ascii="Arial" w:hAnsi="Arial"/>
          <w:color w:val="231F20"/>
          <w:w w:val="80"/>
          <w:sz w:val="14"/>
        </w:rPr>
        <w:t>Özceylan,</w:t>
      </w:r>
      <w:r>
        <w:rPr>
          <w:rFonts w:ascii="Arial" w:hAnsi="Arial"/>
          <w:color w:val="231F20"/>
          <w:spacing w:val="-8"/>
          <w:sz w:val="14"/>
        </w:rPr>
        <w:t> </w:t>
      </w:r>
      <w:r>
        <w:rPr>
          <w:rFonts w:ascii="Arial" w:hAnsi="Arial"/>
          <w:color w:val="231F20"/>
          <w:w w:val="80"/>
          <w:sz w:val="14"/>
        </w:rPr>
        <w:t>and</w:t>
      </w:r>
      <w:r>
        <w:rPr>
          <w:rFonts w:ascii="Arial" w:hAnsi="Arial"/>
          <w:color w:val="231F20"/>
          <w:spacing w:val="-2"/>
          <w:sz w:val="14"/>
        </w:rPr>
        <w:t> </w:t>
      </w:r>
      <w:r>
        <w:rPr>
          <w:rFonts w:ascii="Arial" w:hAnsi="Arial"/>
          <w:color w:val="231F20"/>
          <w:w w:val="80"/>
          <w:sz w:val="14"/>
        </w:rPr>
        <w:t>G.-W.</w:t>
      </w:r>
      <w:r>
        <w:rPr>
          <w:rFonts w:ascii="Arial" w:hAnsi="Arial"/>
          <w:color w:val="231F20"/>
          <w:spacing w:val="-1"/>
          <w:w w:val="80"/>
          <w:sz w:val="14"/>
        </w:rPr>
        <w:t> </w:t>
      </w:r>
      <w:r>
        <w:rPr>
          <w:rFonts w:ascii="Arial" w:hAnsi="Arial"/>
          <w:color w:val="231F20"/>
          <w:w w:val="80"/>
          <w:sz w:val="14"/>
        </w:rPr>
        <w:t>Weber.</w:t>
      </w:r>
      <w:r>
        <w:rPr>
          <w:rFonts w:ascii="Arial" w:hAnsi="Arial"/>
          <w:color w:val="231F20"/>
          <w:spacing w:val="-2"/>
          <w:sz w:val="14"/>
        </w:rPr>
        <w:t> </w:t>
      </w:r>
      <w:r>
        <w:rPr>
          <w:rFonts w:ascii="Arial" w:hAnsi="Arial"/>
          <w:color w:val="231F20"/>
          <w:w w:val="80"/>
          <w:sz w:val="14"/>
        </w:rPr>
        <w:t>2020.</w:t>
      </w:r>
      <w:r>
        <w:rPr>
          <w:rFonts w:ascii="Arial" w:hAnsi="Arial"/>
          <w:color w:val="231F20"/>
          <w:spacing w:val="-8"/>
          <w:sz w:val="14"/>
        </w:rPr>
        <w:t> </w:t>
      </w:r>
      <w:r>
        <w:rPr>
          <w:rFonts w:ascii="Arial" w:hAnsi="Arial"/>
          <w:color w:val="231F20"/>
          <w:spacing w:val="-4"/>
          <w:w w:val="80"/>
          <w:sz w:val="14"/>
        </w:rPr>
        <w:t>“Job</w:t>
      </w:r>
    </w:p>
    <w:p>
      <w:pPr>
        <w:spacing w:line="297" w:lineRule="auto" w:before="39"/>
        <w:ind w:left="1440" w:right="1" w:firstLine="0"/>
        <w:jc w:val="left"/>
        <w:rPr>
          <w:rFonts w:ascii="Arial" w:hAnsi="Arial"/>
          <w:sz w:val="14"/>
        </w:rPr>
      </w:pPr>
      <w:r>
        <w:rPr>
          <w:rFonts w:ascii="Arial" w:hAnsi="Arial"/>
          <w:color w:val="231F20"/>
          <w:w w:val="75"/>
          <w:sz w:val="14"/>
        </w:rPr>
        <w:t>Analysis</w:t>
      </w:r>
      <w:r>
        <w:rPr>
          <w:rFonts w:ascii="Arial" w:hAnsi="Arial"/>
          <w:color w:val="231F20"/>
          <w:sz w:val="14"/>
        </w:rPr>
        <w:t> </w:t>
      </w:r>
      <w:r>
        <w:rPr>
          <w:rFonts w:ascii="Arial" w:hAnsi="Arial"/>
          <w:color w:val="231F20"/>
          <w:w w:val="75"/>
          <w:sz w:val="14"/>
        </w:rPr>
        <w:t>and Time</w:t>
      </w:r>
      <w:r>
        <w:rPr>
          <w:rFonts w:ascii="Arial" w:hAnsi="Arial"/>
          <w:color w:val="231F20"/>
          <w:sz w:val="14"/>
        </w:rPr>
        <w:t> </w:t>
      </w:r>
      <w:r>
        <w:rPr>
          <w:rFonts w:ascii="Arial" w:hAnsi="Arial"/>
          <w:color w:val="231F20"/>
          <w:w w:val="75"/>
          <w:sz w:val="14"/>
        </w:rPr>
        <w:t>Study</w:t>
      </w:r>
      <w:r>
        <w:rPr>
          <w:rFonts w:ascii="Arial" w:hAnsi="Arial"/>
          <w:color w:val="231F20"/>
          <w:sz w:val="14"/>
        </w:rPr>
        <w:t> </w:t>
      </w:r>
      <w:r>
        <w:rPr>
          <w:rFonts w:ascii="Arial" w:hAnsi="Arial"/>
          <w:color w:val="231F20"/>
          <w:w w:val="75"/>
          <w:sz w:val="14"/>
        </w:rPr>
        <w:t>in</w:t>
      </w:r>
      <w:r>
        <w:rPr>
          <w:rFonts w:ascii="Arial" w:hAnsi="Arial"/>
          <w:color w:val="231F20"/>
          <w:sz w:val="14"/>
        </w:rPr>
        <w:t> </w:t>
      </w:r>
      <w:r>
        <w:rPr>
          <w:rFonts w:ascii="Arial" w:hAnsi="Arial"/>
          <w:color w:val="231F20"/>
          <w:w w:val="75"/>
          <w:sz w:val="14"/>
        </w:rPr>
        <w:t>Logistic Activities: A</w:t>
      </w:r>
      <w:r>
        <w:rPr>
          <w:rFonts w:ascii="Arial" w:hAnsi="Arial"/>
          <w:color w:val="231F20"/>
          <w:sz w:val="14"/>
        </w:rPr>
        <w:t> </w:t>
      </w:r>
      <w:r>
        <w:rPr>
          <w:rFonts w:ascii="Arial" w:hAnsi="Arial"/>
          <w:color w:val="231F20"/>
          <w:w w:val="75"/>
          <w:sz w:val="14"/>
        </w:rPr>
        <w:t>Case</w:t>
      </w:r>
      <w:r>
        <w:rPr>
          <w:rFonts w:ascii="Arial" w:hAnsi="Arial"/>
          <w:color w:val="231F20"/>
          <w:sz w:val="14"/>
        </w:rPr>
        <w:t> </w:t>
      </w:r>
      <w:r>
        <w:rPr>
          <w:rFonts w:ascii="Arial" w:hAnsi="Arial"/>
          <w:color w:val="231F20"/>
          <w:w w:val="75"/>
          <w:sz w:val="14"/>
        </w:rPr>
        <w:t>Study</w:t>
      </w:r>
      <w:r>
        <w:rPr>
          <w:rFonts w:ascii="Arial" w:hAnsi="Arial"/>
          <w:color w:val="231F20"/>
          <w:sz w:val="14"/>
        </w:rPr>
        <w:t> </w:t>
      </w:r>
      <w:r>
        <w:rPr>
          <w:rFonts w:ascii="Arial" w:hAnsi="Arial"/>
          <w:color w:val="231F20"/>
          <w:w w:val="75"/>
          <w:sz w:val="14"/>
        </w:rPr>
        <w:t>in</w:t>
      </w:r>
      <w:r>
        <w:rPr>
          <w:rFonts w:ascii="Arial" w:hAnsi="Arial"/>
          <w:color w:val="231F20"/>
          <w:sz w:val="14"/>
        </w:rPr>
        <w:t> </w:t>
      </w:r>
      <w:r>
        <w:rPr>
          <w:rFonts w:ascii="Arial" w:hAnsi="Arial"/>
          <w:color w:val="231F20"/>
          <w:w w:val="75"/>
          <w:sz w:val="14"/>
        </w:rPr>
        <w:t>Packing</w:t>
      </w:r>
      <w:r>
        <w:rPr>
          <w:rFonts w:ascii="Arial" w:hAnsi="Arial"/>
          <w:color w:val="231F20"/>
          <w:spacing w:val="40"/>
          <w:sz w:val="14"/>
        </w:rPr>
        <w:t> </w:t>
      </w:r>
      <w:r>
        <w:rPr>
          <w:rFonts w:ascii="Arial" w:hAnsi="Arial"/>
          <w:color w:val="231F20"/>
          <w:w w:val="80"/>
          <w:sz w:val="14"/>
        </w:rPr>
        <w:t>and Loading Processes.” </w:t>
      </w:r>
      <w:r>
        <w:rPr>
          <w:rFonts w:ascii="Arial" w:hAnsi="Arial"/>
          <w:i/>
          <w:color w:val="231F20"/>
          <w:w w:val="80"/>
          <w:sz w:val="14"/>
        </w:rPr>
        <w:t>Central European Journal of Operations</w:t>
      </w:r>
      <w:r>
        <w:rPr>
          <w:rFonts w:ascii="Arial" w:hAnsi="Arial"/>
          <w:i/>
          <w:color w:val="231F20"/>
          <w:spacing w:val="40"/>
          <w:sz w:val="14"/>
        </w:rPr>
        <w:t> </w:t>
      </w:r>
      <w:r>
        <w:rPr>
          <w:rFonts w:ascii="Arial" w:hAnsi="Arial"/>
          <w:i/>
          <w:color w:val="231F20"/>
          <w:w w:val="90"/>
          <w:sz w:val="14"/>
        </w:rPr>
        <w:t>Research</w:t>
      </w:r>
      <w:r>
        <w:rPr>
          <w:rFonts w:ascii="Arial" w:hAnsi="Arial"/>
          <w:i/>
          <w:color w:val="231F20"/>
          <w:spacing w:val="-6"/>
          <w:w w:val="90"/>
          <w:sz w:val="14"/>
        </w:rPr>
        <w:t> </w:t>
      </w:r>
      <w:r>
        <w:rPr>
          <w:rFonts w:ascii="Arial" w:hAnsi="Arial"/>
          <w:color w:val="231F20"/>
          <w:w w:val="90"/>
          <w:sz w:val="14"/>
        </w:rPr>
        <w:t>28</w:t>
      </w:r>
      <w:r>
        <w:rPr>
          <w:rFonts w:ascii="Arial" w:hAnsi="Arial"/>
          <w:color w:val="231F20"/>
          <w:spacing w:val="-6"/>
          <w:w w:val="90"/>
          <w:sz w:val="14"/>
        </w:rPr>
        <w:t> </w:t>
      </w:r>
      <w:r>
        <w:rPr>
          <w:rFonts w:ascii="Arial" w:hAnsi="Arial"/>
          <w:color w:val="231F20"/>
          <w:w w:val="90"/>
          <w:sz w:val="14"/>
        </w:rPr>
        <w:t>(2):</w:t>
      </w:r>
      <w:r>
        <w:rPr>
          <w:rFonts w:ascii="Arial" w:hAnsi="Arial"/>
          <w:color w:val="231F20"/>
          <w:spacing w:val="-7"/>
          <w:w w:val="90"/>
          <w:sz w:val="14"/>
        </w:rPr>
        <w:t> </w:t>
      </w:r>
      <w:r>
        <w:rPr>
          <w:rFonts w:ascii="Arial" w:hAnsi="Arial"/>
          <w:color w:val="231F20"/>
          <w:w w:val="90"/>
          <w:sz w:val="14"/>
        </w:rPr>
        <w:t>733–760.</w:t>
      </w:r>
    </w:p>
    <w:p>
      <w:pPr>
        <w:spacing w:line="297" w:lineRule="auto" w:before="2"/>
        <w:ind w:left="1440" w:right="50" w:hanging="240"/>
        <w:jc w:val="left"/>
        <w:rPr>
          <w:rFonts w:ascii="Arial" w:hAnsi="Arial"/>
          <w:sz w:val="14"/>
        </w:rPr>
      </w:pPr>
      <w:r>
        <w:rPr>
          <w:rFonts w:ascii="Arial" w:hAnsi="Arial"/>
          <w:color w:val="231F20"/>
          <w:w w:val="80"/>
          <w:sz w:val="14"/>
        </w:rPr>
        <w:t>Kumari, M., and N. Bharti. 2020. “Does Bureaucracy Affect the </w:t>
      </w:r>
      <w:r>
        <w:rPr>
          <w:rFonts w:ascii="Arial" w:hAnsi="Arial"/>
          <w:color w:val="231F20"/>
          <w:w w:val="80"/>
          <w:sz w:val="14"/>
        </w:rPr>
        <w:t>Outcome</w:t>
      </w:r>
      <w:r>
        <w:rPr>
          <w:rFonts w:ascii="Arial" w:hAnsi="Arial"/>
          <w:color w:val="231F20"/>
          <w:spacing w:val="40"/>
          <w:sz w:val="14"/>
        </w:rPr>
        <w:t> </w:t>
      </w:r>
      <w:r>
        <w:rPr>
          <w:rFonts w:ascii="Arial" w:hAnsi="Arial"/>
          <w:color w:val="231F20"/>
          <w:w w:val="80"/>
          <w:sz w:val="14"/>
        </w:rPr>
        <w:t>of Logistics Performance? Empirical Evidence from South Asia.”</w:t>
      </w:r>
      <w:r>
        <w:rPr>
          <w:rFonts w:ascii="Arial" w:hAnsi="Arial"/>
          <w:color w:val="231F20"/>
          <w:spacing w:val="40"/>
          <w:sz w:val="14"/>
        </w:rPr>
        <w:t> </w:t>
      </w:r>
      <w:r>
        <w:rPr>
          <w:rFonts w:ascii="Arial" w:hAnsi="Arial"/>
          <w:i/>
          <w:color w:val="231F20"/>
          <w:w w:val="85"/>
          <w:sz w:val="14"/>
        </w:rPr>
        <w:t>American Journal of Business </w:t>
      </w:r>
      <w:r>
        <w:rPr>
          <w:rFonts w:ascii="Arial" w:hAnsi="Arial"/>
          <w:color w:val="231F20"/>
          <w:w w:val="85"/>
          <w:sz w:val="14"/>
        </w:rPr>
        <w:t>36 (1):</w:t>
      </w:r>
      <w:r>
        <w:rPr>
          <w:rFonts w:ascii="Arial" w:hAnsi="Arial"/>
          <w:color w:val="231F20"/>
          <w:spacing w:val="-4"/>
          <w:w w:val="85"/>
          <w:sz w:val="14"/>
        </w:rPr>
        <w:t> </w:t>
      </w:r>
      <w:r>
        <w:rPr>
          <w:rFonts w:ascii="Arial" w:hAnsi="Arial"/>
          <w:color w:val="231F20"/>
          <w:w w:val="85"/>
          <w:sz w:val="14"/>
        </w:rPr>
        <w:t>84–102.</w:t>
      </w:r>
    </w:p>
    <w:p>
      <w:pPr>
        <w:spacing w:line="297" w:lineRule="auto" w:before="1"/>
        <w:ind w:left="1440" w:right="0" w:hanging="240"/>
        <w:jc w:val="left"/>
        <w:rPr>
          <w:rFonts w:ascii="Arial" w:hAnsi="Arial"/>
          <w:sz w:val="14"/>
        </w:rPr>
      </w:pPr>
      <w:r>
        <w:rPr>
          <w:rFonts w:ascii="Arial" w:hAnsi="Arial"/>
          <w:color w:val="231F20"/>
          <w:w w:val="80"/>
          <w:sz w:val="14"/>
        </w:rPr>
        <w:t>Lam,</w:t>
      </w:r>
      <w:r>
        <w:rPr>
          <w:rFonts w:ascii="Arial" w:hAnsi="Arial"/>
          <w:color w:val="231F20"/>
          <w:spacing w:val="-1"/>
          <w:w w:val="80"/>
          <w:sz w:val="14"/>
        </w:rPr>
        <w:t> </w:t>
      </w:r>
      <w:r>
        <w:rPr>
          <w:rFonts w:ascii="Arial" w:hAnsi="Arial"/>
          <w:color w:val="231F20"/>
          <w:w w:val="80"/>
          <w:sz w:val="14"/>
        </w:rPr>
        <w:t>N.,</w:t>
      </w:r>
      <w:r>
        <w:rPr>
          <w:rFonts w:ascii="Arial" w:hAnsi="Arial"/>
          <w:color w:val="231F20"/>
          <w:spacing w:val="-1"/>
          <w:w w:val="80"/>
          <w:sz w:val="14"/>
        </w:rPr>
        <w:t> </w:t>
      </w:r>
      <w:r>
        <w:rPr>
          <w:rFonts w:ascii="Arial" w:hAnsi="Arial"/>
          <w:color w:val="231F20"/>
          <w:w w:val="80"/>
          <w:sz w:val="14"/>
        </w:rPr>
        <w:t>N. Duc,</w:t>
      </w:r>
      <w:r>
        <w:rPr>
          <w:rFonts w:ascii="Arial" w:hAnsi="Arial"/>
          <w:color w:val="231F20"/>
          <w:spacing w:val="-1"/>
          <w:w w:val="80"/>
          <w:sz w:val="14"/>
        </w:rPr>
        <w:t> </w:t>
      </w:r>
      <w:r>
        <w:rPr>
          <w:rFonts w:ascii="Arial" w:hAnsi="Arial"/>
          <w:color w:val="231F20"/>
          <w:w w:val="80"/>
          <w:sz w:val="14"/>
        </w:rPr>
        <w:t>Q. Ha,</w:t>
      </w:r>
      <w:r>
        <w:rPr>
          <w:rFonts w:ascii="Arial" w:hAnsi="Arial"/>
          <w:color w:val="231F20"/>
          <w:spacing w:val="-1"/>
          <w:w w:val="80"/>
          <w:sz w:val="14"/>
        </w:rPr>
        <w:t> </w:t>
      </w:r>
      <w:r>
        <w:rPr>
          <w:rFonts w:ascii="Arial" w:hAnsi="Arial"/>
          <w:color w:val="231F20"/>
          <w:w w:val="80"/>
          <w:sz w:val="14"/>
        </w:rPr>
        <w:t>and R. Banomyong. 2021.</w:t>
      </w:r>
      <w:r>
        <w:rPr>
          <w:rFonts w:ascii="Arial" w:hAnsi="Arial"/>
          <w:color w:val="231F20"/>
          <w:spacing w:val="-1"/>
          <w:w w:val="80"/>
          <w:sz w:val="14"/>
        </w:rPr>
        <w:t> </w:t>
      </w:r>
      <w:r>
        <w:rPr>
          <w:rFonts w:ascii="Arial" w:hAnsi="Arial"/>
          <w:color w:val="231F20"/>
          <w:w w:val="80"/>
          <w:sz w:val="14"/>
        </w:rPr>
        <w:t>“Defining</w:t>
      </w:r>
      <w:r>
        <w:rPr>
          <w:rFonts w:ascii="Arial" w:hAnsi="Arial"/>
          <w:color w:val="231F20"/>
          <w:spacing w:val="-1"/>
          <w:w w:val="80"/>
          <w:sz w:val="14"/>
        </w:rPr>
        <w:t> </w:t>
      </w:r>
      <w:r>
        <w:rPr>
          <w:rFonts w:ascii="Arial" w:hAnsi="Arial"/>
          <w:color w:val="231F20"/>
          <w:w w:val="80"/>
          <w:sz w:val="14"/>
        </w:rPr>
        <w:t>The Role of</w:t>
      </w:r>
      <w:r>
        <w:rPr>
          <w:rFonts w:ascii="Arial" w:hAnsi="Arial"/>
          <w:color w:val="231F20"/>
          <w:spacing w:val="40"/>
          <w:sz w:val="14"/>
        </w:rPr>
        <w:t> </w:t>
      </w:r>
      <w:r>
        <w:rPr>
          <w:rFonts w:ascii="Arial" w:hAnsi="Arial"/>
          <w:color w:val="231F20"/>
          <w:w w:val="80"/>
          <w:sz w:val="14"/>
        </w:rPr>
        <w:t>Dry</w:t>
      </w:r>
      <w:r>
        <w:rPr>
          <w:rFonts w:ascii="Arial" w:hAnsi="Arial"/>
          <w:color w:val="231F20"/>
          <w:spacing w:val="-2"/>
          <w:w w:val="80"/>
          <w:sz w:val="14"/>
        </w:rPr>
        <w:t> </w:t>
      </w:r>
      <w:r>
        <w:rPr>
          <w:rFonts w:ascii="Arial" w:hAnsi="Arial"/>
          <w:color w:val="231F20"/>
          <w:w w:val="80"/>
          <w:sz w:val="14"/>
        </w:rPr>
        <w:t>Ports</w:t>
      </w:r>
      <w:r>
        <w:rPr>
          <w:rFonts w:ascii="Arial" w:hAnsi="Arial"/>
          <w:color w:val="231F20"/>
          <w:spacing w:val="-2"/>
          <w:w w:val="80"/>
          <w:sz w:val="14"/>
        </w:rPr>
        <w:t> </w:t>
      </w:r>
      <w:r>
        <w:rPr>
          <w:rFonts w:ascii="Arial" w:hAnsi="Arial"/>
          <w:color w:val="231F20"/>
          <w:w w:val="80"/>
          <w:sz w:val="14"/>
        </w:rPr>
        <w:t>in</w:t>
      </w:r>
      <w:r>
        <w:rPr>
          <w:rFonts w:ascii="Arial" w:hAnsi="Arial"/>
          <w:color w:val="231F20"/>
          <w:spacing w:val="-2"/>
          <w:w w:val="80"/>
          <w:sz w:val="14"/>
        </w:rPr>
        <w:t> </w:t>
      </w:r>
      <w:r>
        <w:rPr>
          <w:rFonts w:ascii="Arial" w:hAnsi="Arial"/>
          <w:color w:val="231F20"/>
          <w:w w:val="80"/>
          <w:sz w:val="14"/>
        </w:rPr>
        <w:t>Saving</w:t>
      </w:r>
      <w:r>
        <w:rPr>
          <w:rFonts w:ascii="Arial" w:hAnsi="Arial"/>
          <w:color w:val="231F20"/>
          <w:spacing w:val="-2"/>
          <w:w w:val="80"/>
          <w:sz w:val="14"/>
        </w:rPr>
        <w:t> </w:t>
      </w:r>
      <w:r>
        <w:rPr>
          <w:rFonts w:ascii="Arial" w:hAnsi="Arial"/>
          <w:color w:val="231F20"/>
          <w:w w:val="80"/>
          <w:sz w:val="14"/>
        </w:rPr>
        <w:t>Logistics</w:t>
      </w:r>
      <w:r>
        <w:rPr>
          <w:rFonts w:ascii="Arial" w:hAnsi="Arial"/>
          <w:color w:val="231F20"/>
          <w:spacing w:val="-2"/>
          <w:w w:val="80"/>
          <w:sz w:val="14"/>
        </w:rPr>
        <w:t> </w:t>
      </w:r>
      <w:r>
        <w:rPr>
          <w:rFonts w:ascii="Arial" w:hAnsi="Arial"/>
          <w:color w:val="231F20"/>
          <w:w w:val="80"/>
          <w:sz w:val="14"/>
        </w:rPr>
        <w:t>Cost</w:t>
      </w:r>
      <w:r>
        <w:rPr>
          <w:rFonts w:ascii="Arial" w:hAnsi="Arial"/>
          <w:color w:val="231F20"/>
          <w:spacing w:val="-2"/>
          <w:w w:val="80"/>
          <w:sz w:val="14"/>
        </w:rPr>
        <w:t> </w:t>
      </w:r>
      <w:r>
        <w:rPr>
          <w:rFonts w:ascii="Arial" w:hAnsi="Arial"/>
          <w:color w:val="231F20"/>
          <w:w w:val="80"/>
          <w:sz w:val="14"/>
        </w:rPr>
        <w:t>within</w:t>
      </w:r>
      <w:r>
        <w:rPr>
          <w:rFonts w:ascii="Arial" w:hAnsi="Arial"/>
          <w:color w:val="231F20"/>
          <w:spacing w:val="-3"/>
          <w:w w:val="80"/>
          <w:sz w:val="14"/>
        </w:rPr>
        <w:t> </w:t>
      </w:r>
      <w:r>
        <w:rPr>
          <w:rFonts w:ascii="Arial" w:hAnsi="Arial"/>
          <w:color w:val="231F20"/>
          <w:w w:val="80"/>
          <w:sz w:val="14"/>
        </w:rPr>
        <w:t>Vietnamese</w:t>
      </w:r>
      <w:r>
        <w:rPr>
          <w:rFonts w:ascii="Arial" w:hAnsi="Arial"/>
          <w:color w:val="231F20"/>
          <w:spacing w:val="-2"/>
          <w:w w:val="80"/>
          <w:sz w:val="14"/>
        </w:rPr>
        <w:t> </w:t>
      </w:r>
      <w:r>
        <w:rPr>
          <w:rFonts w:ascii="Arial" w:hAnsi="Arial"/>
          <w:color w:val="231F20"/>
          <w:w w:val="80"/>
          <w:sz w:val="14"/>
        </w:rPr>
        <w:t>Port-Hinterland</w:t>
      </w:r>
      <w:r>
        <w:rPr>
          <w:rFonts w:ascii="Arial" w:hAnsi="Arial"/>
          <w:color w:val="231F20"/>
          <w:spacing w:val="40"/>
          <w:sz w:val="14"/>
        </w:rPr>
        <w:t> </w:t>
      </w:r>
      <w:r>
        <w:rPr>
          <w:rFonts w:ascii="Arial" w:hAnsi="Arial"/>
          <w:color w:val="231F20"/>
          <w:w w:val="80"/>
          <w:sz w:val="14"/>
        </w:rPr>
        <w:t>System (in Vietnamese Language).” </w:t>
      </w:r>
      <w:r>
        <w:rPr>
          <w:rFonts w:ascii="Arial" w:hAnsi="Arial"/>
          <w:i/>
          <w:color w:val="231F20"/>
          <w:w w:val="80"/>
          <w:sz w:val="14"/>
        </w:rPr>
        <w:t>Journal of Economic Studies </w:t>
      </w:r>
      <w:r>
        <w:rPr>
          <w:rFonts w:ascii="Arial" w:hAnsi="Arial"/>
          <w:color w:val="231F20"/>
          <w:w w:val="80"/>
          <w:sz w:val="14"/>
        </w:rPr>
        <w:t>5</w:t>
      </w:r>
      <w:r>
        <w:rPr>
          <w:rFonts w:ascii="Arial" w:hAnsi="Arial"/>
          <w:color w:val="231F20"/>
          <w:spacing w:val="40"/>
          <w:sz w:val="14"/>
        </w:rPr>
        <w:t> </w:t>
      </w:r>
      <w:r>
        <w:rPr>
          <w:rFonts w:ascii="Arial" w:hAnsi="Arial"/>
          <w:color w:val="231F20"/>
          <w:w w:val="90"/>
          <w:sz w:val="14"/>
        </w:rPr>
        <w:t>(516):</w:t>
      </w:r>
      <w:r>
        <w:rPr>
          <w:rFonts w:ascii="Arial" w:hAnsi="Arial"/>
          <w:color w:val="231F20"/>
          <w:spacing w:val="-8"/>
          <w:w w:val="90"/>
          <w:sz w:val="14"/>
        </w:rPr>
        <w:t> </w:t>
      </w:r>
      <w:r>
        <w:rPr>
          <w:rFonts w:ascii="Arial" w:hAnsi="Arial"/>
          <w:color w:val="231F20"/>
          <w:w w:val="90"/>
          <w:sz w:val="14"/>
        </w:rPr>
        <w:t>68–76.</w:t>
      </w:r>
    </w:p>
    <w:p>
      <w:pPr>
        <w:spacing w:line="297" w:lineRule="auto" w:before="1"/>
        <w:ind w:left="1440" w:right="193" w:hanging="240"/>
        <w:jc w:val="both"/>
        <w:rPr>
          <w:rFonts w:ascii="Arial" w:hAnsi="Arial"/>
          <w:sz w:val="14"/>
        </w:rPr>
      </w:pPr>
      <w:r>
        <w:rPr>
          <w:rFonts w:ascii="Arial" w:hAnsi="Arial"/>
          <w:color w:val="231F20"/>
          <w:w w:val="80"/>
          <w:sz w:val="14"/>
        </w:rPr>
        <w:t>Larson,</w:t>
      </w:r>
      <w:r>
        <w:rPr>
          <w:rFonts w:ascii="Arial" w:hAnsi="Arial"/>
          <w:color w:val="231F20"/>
          <w:spacing w:val="-2"/>
          <w:w w:val="80"/>
          <w:sz w:val="14"/>
        </w:rPr>
        <w:t> </w:t>
      </w:r>
      <w:r>
        <w:rPr>
          <w:rFonts w:ascii="Arial" w:hAnsi="Arial"/>
          <w:color w:val="231F20"/>
          <w:w w:val="80"/>
          <w:sz w:val="14"/>
        </w:rPr>
        <w:t>P.</w:t>
      </w:r>
      <w:r>
        <w:rPr>
          <w:rFonts w:ascii="Arial" w:hAnsi="Arial"/>
          <w:color w:val="231F20"/>
          <w:spacing w:val="-2"/>
          <w:w w:val="80"/>
          <w:sz w:val="14"/>
        </w:rPr>
        <w:t> </w:t>
      </w:r>
      <w:r>
        <w:rPr>
          <w:rFonts w:ascii="Arial" w:hAnsi="Arial"/>
          <w:color w:val="231F20"/>
          <w:w w:val="80"/>
          <w:sz w:val="14"/>
        </w:rPr>
        <w:t>D.</w:t>
      </w:r>
      <w:r>
        <w:rPr>
          <w:rFonts w:ascii="Arial" w:hAnsi="Arial"/>
          <w:color w:val="231F20"/>
          <w:spacing w:val="-2"/>
          <w:w w:val="80"/>
          <w:sz w:val="14"/>
        </w:rPr>
        <w:t> </w:t>
      </w:r>
      <w:r>
        <w:rPr>
          <w:rFonts w:ascii="Arial" w:hAnsi="Arial"/>
          <w:color w:val="231F20"/>
          <w:w w:val="80"/>
          <w:sz w:val="14"/>
        </w:rPr>
        <w:t>2021.</w:t>
      </w:r>
      <w:r>
        <w:rPr>
          <w:rFonts w:ascii="Arial" w:hAnsi="Arial"/>
          <w:color w:val="231F20"/>
          <w:spacing w:val="-2"/>
          <w:w w:val="80"/>
          <w:sz w:val="14"/>
        </w:rPr>
        <w:t> </w:t>
      </w:r>
      <w:r>
        <w:rPr>
          <w:rFonts w:ascii="Arial" w:hAnsi="Arial"/>
          <w:color w:val="231F20"/>
          <w:w w:val="80"/>
          <w:sz w:val="14"/>
        </w:rPr>
        <w:t>“Relationships</w:t>
      </w:r>
      <w:r>
        <w:rPr>
          <w:rFonts w:ascii="Arial" w:hAnsi="Arial"/>
          <w:color w:val="231F20"/>
          <w:spacing w:val="-2"/>
          <w:w w:val="80"/>
          <w:sz w:val="14"/>
        </w:rPr>
        <w:t> </w:t>
      </w:r>
      <w:r>
        <w:rPr>
          <w:rFonts w:ascii="Arial" w:hAnsi="Arial"/>
          <w:color w:val="231F20"/>
          <w:w w:val="80"/>
          <w:sz w:val="14"/>
        </w:rPr>
        <w:t>Between</w:t>
      </w:r>
      <w:r>
        <w:rPr>
          <w:rFonts w:ascii="Arial" w:hAnsi="Arial"/>
          <w:color w:val="231F20"/>
          <w:spacing w:val="-2"/>
          <w:w w:val="80"/>
          <w:sz w:val="14"/>
        </w:rPr>
        <w:t> </w:t>
      </w:r>
      <w:r>
        <w:rPr>
          <w:rFonts w:ascii="Arial" w:hAnsi="Arial"/>
          <w:color w:val="231F20"/>
          <w:w w:val="80"/>
          <w:sz w:val="14"/>
        </w:rPr>
        <w:t>Logistics</w:t>
      </w:r>
      <w:r>
        <w:rPr>
          <w:rFonts w:ascii="Arial" w:hAnsi="Arial"/>
          <w:color w:val="231F20"/>
          <w:spacing w:val="-2"/>
          <w:w w:val="80"/>
          <w:sz w:val="14"/>
        </w:rPr>
        <w:t> </w:t>
      </w:r>
      <w:r>
        <w:rPr>
          <w:rFonts w:ascii="Arial" w:hAnsi="Arial"/>
          <w:color w:val="231F20"/>
          <w:w w:val="80"/>
          <w:sz w:val="14"/>
        </w:rPr>
        <w:t>Performance</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40"/>
          <w:sz w:val="14"/>
        </w:rPr>
        <w:t> </w:t>
      </w:r>
      <w:r>
        <w:rPr>
          <w:rFonts w:ascii="Arial" w:hAnsi="Arial"/>
          <w:color w:val="231F20"/>
          <w:w w:val="75"/>
          <w:sz w:val="14"/>
        </w:rPr>
        <w:t>Aspects</w:t>
      </w:r>
      <w:r>
        <w:rPr>
          <w:rFonts w:ascii="Arial" w:hAnsi="Arial"/>
          <w:color w:val="231F20"/>
          <w:sz w:val="14"/>
        </w:rPr>
        <w:t> </w:t>
      </w:r>
      <w:r>
        <w:rPr>
          <w:rFonts w:ascii="Arial" w:hAnsi="Arial"/>
          <w:color w:val="231F20"/>
          <w:w w:val="75"/>
          <w:sz w:val="14"/>
        </w:rPr>
        <w:t>of</w:t>
      </w:r>
      <w:r>
        <w:rPr>
          <w:rFonts w:ascii="Arial" w:hAnsi="Arial"/>
          <w:color w:val="231F20"/>
          <w:sz w:val="14"/>
        </w:rPr>
        <w:t> </w:t>
      </w:r>
      <w:r>
        <w:rPr>
          <w:rFonts w:ascii="Arial" w:hAnsi="Arial"/>
          <w:color w:val="231F20"/>
          <w:w w:val="75"/>
          <w:sz w:val="14"/>
        </w:rPr>
        <w:t>Sustainability: A</w:t>
      </w:r>
      <w:r>
        <w:rPr>
          <w:rFonts w:ascii="Arial" w:hAnsi="Arial"/>
          <w:color w:val="231F20"/>
          <w:sz w:val="14"/>
        </w:rPr>
        <w:t> </w:t>
      </w:r>
      <w:r>
        <w:rPr>
          <w:rFonts w:ascii="Arial" w:hAnsi="Arial"/>
          <w:color w:val="231F20"/>
          <w:w w:val="75"/>
          <w:sz w:val="14"/>
        </w:rPr>
        <w:t>Cross-Country Analysis.” </w:t>
      </w:r>
      <w:r>
        <w:rPr>
          <w:rFonts w:ascii="Arial" w:hAnsi="Arial"/>
          <w:i/>
          <w:color w:val="231F20"/>
          <w:w w:val="75"/>
          <w:sz w:val="14"/>
        </w:rPr>
        <w:t>Sustainability</w:t>
      </w:r>
      <w:r>
        <w:rPr>
          <w:rFonts w:ascii="Arial" w:hAnsi="Arial"/>
          <w:i/>
          <w:color w:val="231F20"/>
          <w:spacing w:val="40"/>
          <w:sz w:val="14"/>
        </w:rPr>
        <w:t> </w:t>
      </w:r>
      <w:r>
        <w:rPr>
          <w:rFonts w:ascii="Arial" w:hAnsi="Arial"/>
          <w:color w:val="231F20"/>
          <w:w w:val="90"/>
          <w:sz w:val="14"/>
        </w:rPr>
        <w:t>13 (2): 623.</w:t>
      </w:r>
    </w:p>
    <w:p>
      <w:pPr>
        <w:spacing w:line="297" w:lineRule="auto" w:before="1"/>
        <w:ind w:left="1440" w:right="411" w:hanging="240"/>
        <w:jc w:val="both"/>
        <w:rPr>
          <w:rFonts w:ascii="Arial" w:hAnsi="Arial"/>
          <w:sz w:val="14"/>
        </w:rPr>
      </w:pPr>
      <w:r>
        <w:rPr>
          <w:rFonts w:ascii="Arial" w:hAnsi="Arial"/>
          <w:color w:val="231F20"/>
          <w:w w:val="80"/>
          <w:sz w:val="14"/>
        </w:rPr>
        <w:t>Lee,</w:t>
      </w:r>
      <w:r>
        <w:rPr>
          <w:rFonts w:ascii="Arial" w:hAnsi="Arial"/>
          <w:color w:val="231F20"/>
          <w:spacing w:val="-2"/>
          <w:w w:val="80"/>
          <w:sz w:val="14"/>
        </w:rPr>
        <w:t> </w:t>
      </w:r>
      <w:r>
        <w:rPr>
          <w:rFonts w:ascii="Arial" w:hAnsi="Arial"/>
          <w:color w:val="231F20"/>
          <w:w w:val="80"/>
          <w:sz w:val="14"/>
        </w:rPr>
        <w:t>H.,</w:t>
      </w:r>
      <w:r>
        <w:rPr>
          <w:rFonts w:ascii="Arial" w:hAnsi="Arial"/>
          <w:color w:val="231F20"/>
          <w:spacing w:val="-2"/>
          <w:w w:val="80"/>
          <w:sz w:val="14"/>
        </w:rPr>
        <w:t> </w:t>
      </w:r>
      <w:r>
        <w:rPr>
          <w:rFonts w:ascii="Arial" w:hAnsi="Arial"/>
          <w:color w:val="231F20"/>
          <w:w w:val="80"/>
          <w:sz w:val="14"/>
        </w:rPr>
        <w:t>C.</w:t>
      </w:r>
      <w:r>
        <w:rPr>
          <w:rFonts w:ascii="Arial" w:hAnsi="Arial"/>
          <w:color w:val="231F20"/>
          <w:spacing w:val="-2"/>
          <w:w w:val="80"/>
          <w:sz w:val="14"/>
        </w:rPr>
        <w:t> </w:t>
      </w:r>
      <w:r>
        <w:rPr>
          <w:rFonts w:ascii="Arial" w:hAnsi="Arial"/>
          <w:color w:val="231F20"/>
          <w:w w:val="80"/>
          <w:sz w:val="14"/>
        </w:rPr>
        <w:t>Tang,</w:t>
      </w:r>
      <w:r>
        <w:rPr>
          <w:rFonts w:ascii="Arial" w:hAnsi="Arial"/>
          <w:color w:val="231F20"/>
          <w:spacing w:val="-2"/>
          <w:w w:val="80"/>
          <w:sz w:val="14"/>
        </w:rPr>
        <w:t> </w:t>
      </w:r>
      <w:r>
        <w:rPr>
          <w:rFonts w:ascii="Arial" w:hAnsi="Arial"/>
          <w:color w:val="231F20"/>
          <w:w w:val="80"/>
          <w:sz w:val="14"/>
        </w:rPr>
        <w:t>S.</w:t>
      </w:r>
      <w:r>
        <w:rPr>
          <w:rFonts w:ascii="Arial" w:hAnsi="Arial"/>
          <w:color w:val="231F20"/>
          <w:spacing w:val="-2"/>
          <w:w w:val="80"/>
          <w:sz w:val="14"/>
        </w:rPr>
        <w:t> </w:t>
      </w:r>
      <w:r>
        <w:rPr>
          <w:rFonts w:ascii="Arial" w:hAnsi="Arial"/>
          <w:color w:val="231F20"/>
          <w:w w:val="80"/>
          <w:sz w:val="14"/>
        </w:rPr>
        <w:t>A.</w:t>
      </w:r>
      <w:r>
        <w:rPr>
          <w:rFonts w:ascii="Arial" w:hAnsi="Arial"/>
          <w:color w:val="231F20"/>
          <w:spacing w:val="-2"/>
          <w:w w:val="80"/>
          <w:sz w:val="14"/>
        </w:rPr>
        <w:t> </w:t>
      </w:r>
      <w:r>
        <w:rPr>
          <w:rFonts w:ascii="Arial" w:hAnsi="Arial"/>
          <w:color w:val="231F20"/>
          <w:w w:val="80"/>
          <w:sz w:val="14"/>
        </w:rPr>
        <w:t>Yang,</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2"/>
          <w:w w:val="80"/>
          <w:sz w:val="14"/>
        </w:rPr>
        <w:t> </w:t>
      </w:r>
      <w:r>
        <w:rPr>
          <w:rFonts w:ascii="Arial" w:hAnsi="Arial"/>
          <w:color w:val="231F20"/>
          <w:w w:val="80"/>
          <w:sz w:val="14"/>
        </w:rPr>
        <w:t>Y.</w:t>
      </w:r>
      <w:r>
        <w:rPr>
          <w:rFonts w:ascii="Arial" w:hAnsi="Arial"/>
          <w:color w:val="231F20"/>
          <w:spacing w:val="-2"/>
          <w:w w:val="80"/>
          <w:sz w:val="14"/>
        </w:rPr>
        <w:t> </w:t>
      </w:r>
      <w:r>
        <w:rPr>
          <w:rFonts w:ascii="Arial" w:hAnsi="Arial"/>
          <w:color w:val="231F20"/>
          <w:w w:val="80"/>
          <w:sz w:val="14"/>
        </w:rPr>
        <w:t>Zhang.</w:t>
      </w:r>
      <w:r>
        <w:rPr>
          <w:rFonts w:ascii="Arial" w:hAnsi="Arial"/>
          <w:color w:val="231F20"/>
          <w:spacing w:val="-2"/>
          <w:w w:val="80"/>
          <w:sz w:val="14"/>
        </w:rPr>
        <w:t> </w:t>
      </w:r>
      <w:r>
        <w:rPr>
          <w:rFonts w:ascii="Arial" w:hAnsi="Arial"/>
          <w:color w:val="231F20"/>
          <w:w w:val="80"/>
          <w:sz w:val="14"/>
        </w:rPr>
        <w:t>2022.</w:t>
      </w:r>
      <w:r>
        <w:rPr>
          <w:rFonts w:ascii="Arial" w:hAnsi="Arial"/>
          <w:color w:val="231F20"/>
          <w:spacing w:val="-2"/>
          <w:w w:val="80"/>
          <w:sz w:val="14"/>
        </w:rPr>
        <w:t> </w:t>
      </w:r>
      <w:r>
        <w:rPr>
          <w:rFonts w:ascii="Arial" w:hAnsi="Arial"/>
          <w:color w:val="231F20"/>
          <w:w w:val="80"/>
          <w:sz w:val="14"/>
        </w:rPr>
        <w:t>“Dynamic</w:t>
      </w:r>
      <w:r>
        <w:rPr>
          <w:rFonts w:ascii="Arial" w:hAnsi="Arial"/>
          <w:color w:val="231F20"/>
          <w:spacing w:val="-2"/>
          <w:w w:val="80"/>
          <w:sz w:val="14"/>
        </w:rPr>
        <w:t> </w:t>
      </w:r>
      <w:r>
        <w:rPr>
          <w:rFonts w:ascii="Arial" w:hAnsi="Arial"/>
          <w:color w:val="231F20"/>
          <w:w w:val="80"/>
          <w:sz w:val="14"/>
        </w:rPr>
        <w:t>Trade</w:t>
      </w:r>
      <w:r>
        <w:rPr>
          <w:rFonts w:ascii="Arial" w:hAnsi="Arial"/>
          <w:color w:val="231F20"/>
          <w:spacing w:val="40"/>
          <w:sz w:val="14"/>
        </w:rPr>
        <w:t> </w:t>
      </w:r>
      <w:r>
        <w:rPr>
          <w:rFonts w:ascii="Arial" w:hAnsi="Arial"/>
          <w:color w:val="231F20"/>
          <w:spacing w:val="-2"/>
          <w:w w:val="80"/>
          <w:sz w:val="14"/>
        </w:rPr>
        <w:t>Finance</w:t>
      </w:r>
      <w:r>
        <w:rPr>
          <w:rFonts w:ascii="Arial" w:hAnsi="Arial"/>
          <w:color w:val="231F20"/>
          <w:spacing w:val="-3"/>
          <w:sz w:val="14"/>
        </w:rPr>
        <w:t> </w:t>
      </w:r>
      <w:r>
        <w:rPr>
          <w:rFonts w:ascii="Arial" w:hAnsi="Arial"/>
          <w:color w:val="231F20"/>
          <w:spacing w:val="-2"/>
          <w:w w:val="80"/>
          <w:sz w:val="14"/>
        </w:rPr>
        <w:t>in</w:t>
      </w:r>
      <w:r>
        <w:rPr>
          <w:rFonts w:ascii="Arial" w:hAnsi="Arial"/>
          <w:color w:val="231F20"/>
          <w:spacing w:val="-3"/>
          <w:sz w:val="14"/>
        </w:rPr>
        <w:t> </w:t>
      </w:r>
      <w:r>
        <w:rPr>
          <w:rFonts w:ascii="Arial" w:hAnsi="Arial"/>
          <w:color w:val="231F20"/>
          <w:spacing w:val="-2"/>
          <w:w w:val="80"/>
          <w:sz w:val="14"/>
        </w:rPr>
        <w:t>the</w:t>
      </w:r>
      <w:r>
        <w:rPr>
          <w:rFonts w:ascii="Arial" w:hAnsi="Arial"/>
          <w:color w:val="231F20"/>
          <w:spacing w:val="-3"/>
          <w:sz w:val="14"/>
        </w:rPr>
        <w:t> </w:t>
      </w:r>
      <w:r>
        <w:rPr>
          <w:rFonts w:ascii="Arial" w:hAnsi="Arial"/>
          <w:color w:val="231F20"/>
          <w:spacing w:val="-2"/>
          <w:w w:val="80"/>
          <w:sz w:val="14"/>
        </w:rPr>
        <w:t>Presence</w:t>
      </w:r>
      <w:r>
        <w:rPr>
          <w:rFonts w:ascii="Arial" w:hAnsi="Arial"/>
          <w:color w:val="231F20"/>
          <w:spacing w:val="-3"/>
          <w:sz w:val="14"/>
        </w:rPr>
        <w:t> </w:t>
      </w:r>
      <w:r>
        <w:rPr>
          <w:rFonts w:ascii="Arial" w:hAnsi="Arial"/>
          <w:color w:val="231F20"/>
          <w:spacing w:val="-2"/>
          <w:w w:val="80"/>
          <w:sz w:val="14"/>
        </w:rPr>
        <w:t>of</w:t>
      </w:r>
      <w:r>
        <w:rPr>
          <w:rFonts w:ascii="Arial" w:hAnsi="Arial"/>
          <w:color w:val="231F20"/>
          <w:spacing w:val="-3"/>
          <w:sz w:val="14"/>
        </w:rPr>
        <w:t> </w:t>
      </w:r>
      <w:r>
        <w:rPr>
          <w:rFonts w:ascii="Arial" w:hAnsi="Arial"/>
          <w:color w:val="231F20"/>
          <w:spacing w:val="-2"/>
          <w:w w:val="80"/>
          <w:sz w:val="14"/>
        </w:rPr>
        <w:t>Information</w:t>
      </w:r>
      <w:r>
        <w:rPr>
          <w:rFonts w:ascii="Arial" w:hAnsi="Arial"/>
          <w:color w:val="231F20"/>
          <w:spacing w:val="-3"/>
          <w:sz w:val="14"/>
        </w:rPr>
        <w:t> </w:t>
      </w:r>
      <w:r>
        <w:rPr>
          <w:rFonts w:ascii="Arial" w:hAnsi="Arial"/>
          <w:color w:val="231F20"/>
          <w:spacing w:val="-2"/>
          <w:w w:val="80"/>
          <w:sz w:val="14"/>
        </w:rPr>
        <w:t>Frictions</w:t>
      </w:r>
      <w:r>
        <w:rPr>
          <w:rFonts w:ascii="Arial" w:hAnsi="Arial"/>
          <w:color w:val="231F20"/>
          <w:spacing w:val="-3"/>
          <w:sz w:val="14"/>
        </w:rPr>
        <w:t> </w:t>
      </w:r>
      <w:r>
        <w:rPr>
          <w:rFonts w:ascii="Arial" w:hAnsi="Arial"/>
          <w:color w:val="231F20"/>
          <w:spacing w:val="-2"/>
          <w:w w:val="80"/>
          <w:sz w:val="14"/>
        </w:rPr>
        <w:t>and</w:t>
      </w:r>
      <w:r>
        <w:rPr>
          <w:rFonts w:ascii="Arial" w:hAnsi="Arial"/>
          <w:color w:val="231F20"/>
          <w:spacing w:val="-3"/>
          <w:sz w:val="14"/>
        </w:rPr>
        <w:t> </w:t>
      </w:r>
      <w:r>
        <w:rPr>
          <w:rFonts w:ascii="Arial" w:hAnsi="Arial"/>
          <w:color w:val="231F20"/>
          <w:spacing w:val="-2"/>
          <w:w w:val="80"/>
          <w:sz w:val="14"/>
        </w:rPr>
        <w:t>FinTech.”</w:t>
      </w:r>
      <w:r>
        <w:rPr>
          <w:rFonts w:ascii="Arial" w:hAnsi="Arial"/>
          <w:color w:val="231F20"/>
          <w:spacing w:val="40"/>
          <w:sz w:val="14"/>
        </w:rPr>
        <w:t> </w:t>
      </w:r>
      <w:r>
        <w:rPr>
          <w:rFonts w:ascii="Arial" w:hAnsi="Arial"/>
          <w:i/>
          <w:color w:val="231F20"/>
          <w:w w:val="85"/>
          <w:sz w:val="14"/>
        </w:rPr>
        <w:t>Manufacturing</w:t>
      </w:r>
      <w:r>
        <w:rPr>
          <w:rFonts w:ascii="Arial" w:hAnsi="Arial"/>
          <w:i/>
          <w:color w:val="231F20"/>
          <w:spacing w:val="-4"/>
          <w:w w:val="85"/>
          <w:sz w:val="14"/>
        </w:rPr>
        <w:t> </w:t>
      </w:r>
      <w:r>
        <w:rPr>
          <w:rFonts w:ascii="Arial" w:hAnsi="Arial"/>
          <w:i/>
          <w:color w:val="231F20"/>
          <w:w w:val="85"/>
          <w:sz w:val="14"/>
        </w:rPr>
        <w:t>&amp;</w:t>
      </w:r>
      <w:r>
        <w:rPr>
          <w:rFonts w:ascii="Arial" w:hAnsi="Arial"/>
          <w:i/>
          <w:color w:val="231F20"/>
          <w:spacing w:val="-4"/>
          <w:w w:val="85"/>
          <w:sz w:val="14"/>
        </w:rPr>
        <w:t> </w:t>
      </w:r>
      <w:r>
        <w:rPr>
          <w:rFonts w:ascii="Arial" w:hAnsi="Arial"/>
          <w:i/>
          <w:color w:val="231F20"/>
          <w:w w:val="85"/>
          <w:sz w:val="14"/>
        </w:rPr>
        <w:t>Service</w:t>
      </w:r>
      <w:r>
        <w:rPr>
          <w:rFonts w:ascii="Arial" w:hAnsi="Arial"/>
          <w:i/>
          <w:color w:val="231F20"/>
          <w:spacing w:val="-4"/>
          <w:w w:val="85"/>
          <w:sz w:val="14"/>
        </w:rPr>
        <w:t> </w:t>
      </w:r>
      <w:r>
        <w:rPr>
          <w:rFonts w:ascii="Arial" w:hAnsi="Arial"/>
          <w:i/>
          <w:color w:val="231F20"/>
          <w:w w:val="85"/>
          <w:sz w:val="14"/>
        </w:rPr>
        <w:t>Operations</w:t>
      </w:r>
      <w:r>
        <w:rPr>
          <w:rFonts w:ascii="Arial" w:hAnsi="Arial"/>
          <w:i/>
          <w:color w:val="231F20"/>
          <w:spacing w:val="-4"/>
          <w:w w:val="85"/>
          <w:sz w:val="14"/>
        </w:rPr>
        <w:t> </w:t>
      </w:r>
      <w:r>
        <w:rPr>
          <w:rFonts w:ascii="Arial" w:hAnsi="Arial"/>
          <w:i/>
          <w:color w:val="231F20"/>
          <w:w w:val="85"/>
          <w:sz w:val="14"/>
        </w:rPr>
        <w:t>Management</w:t>
      </w:r>
      <w:r>
        <w:rPr>
          <w:rFonts w:ascii="Arial" w:hAnsi="Arial"/>
          <w:color w:val="231F20"/>
          <w:w w:val="85"/>
          <w:sz w:val="14"/>
        </w:rPr>
        <w:t>,</w:t>
      </w:r>
      <w:r>
        <w:rPr>
          <w:rFonts w:ascii="Arial" w:hAnsi="Arial"/>
          <w:color w:val="231F20"/>
          <w:spacing w:val="-5"/>
          <w:w w:val="85"/>
          <w:sz w:val="14"/>
        </w:rPr>
        <w:t> </w:t>
      </w:r>
      <w:r>
        <w:rPr>
          <w:rFonts w:ascii="Arial" w:hAnsi="Arial"/>
          <w:color w:val="231F20"/>
          <w:w w:val="85"/>
          <w:sz w:val="14"/>
        </w:rPr>
        <w:t>1–18.</w:t>
      </w:r>
    </w:p>
    <w:p>
      <w:pPr>
        <w:spacing w:line="297" w:lineRule="auto" w:before="1"/>
        <w:ind w:left="1440" w:right="0" w:hanging="240"/>
        <w:jc w:val="left"/>
        <w:rPr>
          <w:rFonts w:ascii="Arial" w:hAnsi="Arial"/>
          <w:sz w:val="14"/>
        </w:rPr>
      </w:pPr>
      <w:r>
        <w:rPr>
          <w:rFonts w:ascii="Arial" w:hAnsi="Arial"/>
          <w:color w:val="231F20"/>
          <w:w w:val="80"/>
          <w:sz w:val="14"/>
        </w:rPr>
        <w:t>Leksyutina,</w:t>
      </w:r>
      <w:r>
        <w:rPr>
          <w:rFonts w:ascii="Arial" w:hAnsi="Arial"/>
          <w:color w:val="231F20"/>
          <w:spacing w:val="-2"/>
          <w:w w:val="80"/>
          <w:sz w:val="14"/>
        </w:rPr>
        <w:t> </w:t>
      </w:r>
      <w:r>
        <w:rPr>
          <w:rFonts w:ascii="Arial" w:hAnsi="Arial"/>
          <w:color w:val="231F20"/>
          <w:w w:val="80"/>
          <w:sz w:val="14"/>
        </w:rPr>
        <w:t>Y., and M. Lagutina. 2022. “Maritime Logistics Systems </w:t>
      </w:r>
      <w:r>
        <w:rPr>
          <w:rFonts w:ascii="Arial" w:hAnsi="Arial"/>
          <w:color w:val="231F20"/>
          <w:w w:val="80"/>
          <w:sz w:val="14"/>
        </w:rPr>
        <w:t>of</w:t>
      </w:r>
      <w:r>
        <w:rPr>
          <w:rFonts w:ascii="Arial" w:hAnsi="Arial"/>
          <w:color w:val="231F20"/>
          <w:spacing w:val="40"/>
          <w:sz w:val="14"/>
        </w:rPr>
        <w:t> </w:t>
      </w:r>
      <w:r>
        <w:rPr>
          <w:rFonts w:ascii="Arial" w:hAnsi="Arial"/>
          <w:color w:val="231F20"/>
          <w:w w:val="85"/>
          <w:sz w:val="14"/>
        </w:rPr>
        <w:t>Europe</w:t>
      </w:r>
      <w:r>
        <w:rPr>
          <w:rFonts w:ascii="Arial" w:hAnsi="Arial"/>
          <w:color w:val="231F20"/>
          <w:spacing w:val="-1"/>
          <w:w w:val="85"/>
          <w:sz w:val="14"/>
        </w:rPr>
        <w:t> </w:t>
      </w:r>
      <w:r>
        <w:rPr>
          <w:rFonts w:ascii="Arial" w:hAnsi="Arial"/>
          <w:color w:val="231F20"/>
          <w:w w:val="85"/>
          <w:sz w:val="14"/>
        </w:rPr>
        <w:t>and</w:t>
      </w:r>
      <w:r>
        <w:rPr>
          <w:rFonts w:ascii="Arial" w:hAnsi="Arial"/>
          <w:color w:val="231F20"/>
          <w:spacing w:val="-1"/>
          <w:w w:val="85"/>
          <w:sz w:val="14"/>
        </w:rPr>
        <w:t> </w:t>
      </w:r>
      <w:r>
        <w:rPr>
          <w:rFonts w:ascii="Arial" w:hAnsi="Arial"/>
          <w:color w:val="231F20"/>
          <w:w w:val="85"/>
          <w:sz w:val="14"/>
        </w:rPr>
        <w:t>Asia.”</w:t>
      </w:r>
      <w:r>
        <w:rPr>
          <w:rFonts w:ascii="Arial" w:hAnsi="Arial"/>
          <w:color w:val="231F20"/>
          <w:spacing w:val="-6"/>
          <w:w w:val="85"/>
          <w:sz w:val="14"/>
        </w:rPr>
        <w:t> </w:t>
      </w:r>
      <w:r>
        <w:rPr>
          <w:rFonts w:ascii="Arial" w:hAnsi="Arial"/>
          <w:i/>
          <w:color w:val="231F20"/>
          <w:w w:val="85"/>
          <w:sz w:val="14"/>
        </w:rPr>
        <w:t>Arctic Maritime</w:t>
      </w:r>
      <w:r>
        <w:rPr>
          <w:rFonts w:ascii="Arial" w:hAnsi="Arial"/>
          <w:i/>
          <w:color w:val="231F20"/>
          <w:spacing w:val="-1"/>
          <w:w w:val="85"/>
          <w:sz w:val="14"/>
        </w:rPr>
        <w:t> </w:t>
      </w:r>
      <w:r>
        <w:rPr>
          <w:rFonts w:ascii="Arial" w:hAnsi="Arial"/>
          <w:i/>
          <w:color w:val="231F20"/>
          <w:w w:val="85"/>
          <w:sz w:val="14"/>
        </w:rPr>
        <w:t>Logistics</w:t>
      </w:r>
      <w:r>
        <w:rPr>
          <w:rFonts w:ascii="Arial" w:hAnsi="Arial"/>
          <w:color w:val="231F20"/>
          <w:w w:val="85"/>
          <w:sz w:val="14"/>
        </w:rPr>
        <w:t>,</w:t>
      </w:r>
      <w:r>
        <w:rPr>
          <w:rFonts w:ascii="Arial" w:hAnsi="Arial"/>
          <w:color w:val="231F20"/>
          <w:spacing w:val="-6"/>
          <w:w w:val="85"/>
          <w:sz w:val="14"/>
        </w:rPr>
        <w:t> </w:t>
      </w:r>
      <w:r>
        <w:rPr>
          <w:rFonts w:ascii="Arial" w:hAnsi="Arial"/>
          <w:color w:val="231F20"/>
          <w:w w:val="85"/>
          <w:sz w:val="14"/>
        </w:rPr>
        <w:t>215–226.</w:t>
      </w:r>
    </w:p>
    <w:p>
      <w:pPr>
        <w:spacing w:line="297" w:lineRule="auto" w:before="1"/>
        <w:ind w:left="1440" w:right="308" w:hanging="240"/>
        <w:jc w:val="left"/>
        <w:rPr>
          <w:rFonts w:ascii="Arial" w:hAnsi="Arial"/>
          <w:sz w:val="14"/>
        </w:rPr>
      </w:pPr>
      <w:r>
        <w:rPr>
          <w:rFonts w:ascii="Arial" w:hAnsi="Arial"/>
          <w:color w:val="231F20"/>
          <w:spacing w:val="-2"/>
          <w:w w:val="85"/>
          <w:sz w:val="14"/>
        </w:rPr>
        <w:t>Lähdeaho,</w:t>
      </w:r>
      <w:r>
        <w:rPr>
          <w:rFonts w:ascii="Arial" w:hAnsi="Arial"/>
          <w:color w:val="231F20"/>
          <w:spacing w:val="-3"/>
          <w:w w:val="85"/>
          <w:sz w:val="14"/>
        </w:rPr>
        <w:t> </w:t>
      </w:r>
      <w:r>
        <w:rPr>
          <w:rFonts w:ascii="Arial" w:hAnsi="Arial"/>
          <w:color w:val="231F20"/>
          <w:spacing w:val="-2"/>
          <w:w w:val="85"/>
          <w:sz w:val="14"/>
        </w:rPr>
        <w:t>O.,</w:t>
      </w:r>
      <w:r>
        <w:rPr>
          <w:rFonts w:ascii="Arial" w:hAnsi="Arial"/>
          <w:color w:val="231F20"/>
          <w:spacing w:val="-3"/>
          <w:w w:val="85"/>
          <w:sz w:val="14"/>
        </w:rPr>
        <w:t> </w:t>
      </w:r>
      <w:r>
        <w:rPr>
          <w:rFonts w:ascii="Arial" w:hAnsi="Arial"/>
          <w:color w:val="231F20"/>
          <w:spacing w:val="-2"/>
          <w:w w:val="85"/>
          <w:sz w:val="14"/>
        </w:rPr>
        <w:t>J.</w:t>
      </w:r>
      <w:r>
        <w:rPr>
          <w:rFonts w:ascii="Arial" w:hAnsi="Arial"/>
          <w:color w:val="231F20"/>
          <w:spacing w:val="-3"/>
          <w:w w:val="85"/>
          <w:sz w:val="14"/>
        </w:rPr>
        <w:t> </w:t>
      </w:r>
      <w:r>
        <w:rPr>
          <w:rFonts w:ascii="Arial" w:hAnsi="Arial"/>
          <w:color w:val="231F20"/>
          <w:spacing w:val="-2"/>
          <w:w w:val="85"/>
          <w:sz w:val="14"/>
        </w:rPr>
        <w:t>Vilko,</w:t>
      </w:r>
      <w:r>
        <w:rPr>
          <w:rFonts w:ascii="Arial" w:hAnsi="Arial"/>
          <w:color w:val="231F20"/>
          <w:spacing w:val="-3"/>
          <w:w w:val="85"/>
          <w:sz w:val="14"/>
        </w:rPr>
        <w:t> </w:t>
      </w:r>
      <w:r>
        <w:rPr>
          <w:rFonts w:ascii="Arial" w:hAnsi="Arial"/>
          <w:color w:val="231F20"/>
          <w:spacing w:val="-2"/>
          <w:w w:val="85"/>
          <w:sz w:val="14"/>
        </w:rPr>
        <w:t>and</w:t>
      </w:r>
      <w:r>
        <w:rPr>
          <w:rFonts w:ascii="Arial" w:hAnsi="Arial"/>
          <w:color w:val="231F20"/>
          <w:spacing w:val="-4"/>
          <w:sz w:val="14"/>
        </w:rPr>
        <w:t> </w:t>
      </w:r>
      <w:r>
        <w:rPr>
          <w:rFonts w:ascii="Arial" w:hAnsi="Arial"/>
          <w:color w:val="231F20"/>
          <w:spacing w:val="-2"/>
          <w:w w:val="85"/>
          <w:sz w:val="14"/>
        </w:rPr>
        <w:t>O.-P.</w:t>
      </w:r>
      <w:r>
        <w:rPr>
          <w:rFonts w:ascii="Arial" w:hAnsi="Arial"/>
          <w:color w:val="231F20"/>
          <w:spacing w:val="-4"/>
          <w:sz w:val="14"/>
        </w:rPr>
        <w:t> </w:t>
      </w:r>
      <w:r>
        <w:rPr>
          <w:rFonts w:ascii="Arial" w:hAnsi="Arial"/>
          <w:color w:val="231F20"/>
          <w:spacing w:val="-2"/>
          <w:w w:val="85"/>
          <w:sz w:val="14"/>
        </w:rPr>
        <w:t>Hilmola.</w:t>
      </w:r>
      <w:r>
        <w:rPr>
          <w:rFonts w:ascii="Arial" w:hAnsi="Arial"/>
          <w:color w:val="231F20"/>
          <w:spacing w:val="-4"/>
          <w:sz w:val="14"/>
        </w:rPr>
        <w:t> </w:t>
      </w:r>
      <w:r>
        <w:rPr>
          <w:rFonts w:ascii="Arial" w:hAnsi="Arial"/>
          <w:color w:val="231F20"/>
          <w:spacing w:val="-2"/>
          <w:w w:val="85"/>
          <w:sz w:val="14"/>
        </w:rPr>
        <w:t>2022.</w:t>
      </w:r>
      <w:r>
        <w:rPr>
          <w:rFonts w:ascii="Arial" w:hAnsi="Arial"/>
          <w:color w:val="231F20"/>
          <w:spacing w:val="-3"/>
          <w:w w:val="85"/>
          <w:sz w:val="14"/>
        </w:rPr>
        <w:t> </w:t>
      </w:r>
      <w:r>
        <w:rPr>
          <w:rFonts w:ascii="Arial" w:hAnsi="Arial"/>
          <w:color w:val="231F20"/>
          <w:spacing w:val="-2"/>
          <w:w w:val="85"/>
          <w:sz w:val="14"/>
        </w:rPr>
        <w:t>“A</w:t>
      </w:r>
      <w:r>
        <w:rPr>
          <w:rFonts w:ascii="Arial" w:hAnsi="Arial"/>
          <w:color w:val="231F20"/>
          <w:spacing w:val="-4"/>
          <w:sz w:val="14"/>
        </w:rPr>
        <w:t> </w:t>
      </w:r>
      <w:r>
        <w:rPr>
          <w:rFonts w:ascii="Arial" w:hAnsi="Arial"/>
          <w:color w:val="231F20"/>
          <w:spacing w:val="-2"/>
          <w:w w:val="85"/>
          <w:sz w:val="14"/>
        </w:rPr>
        <w:t>Multi-Faceted</w:t>
      </w:r>
      <w:r>
        <w:rPr>
          <w:rFonts w:ascii="Arial" w:hAnsi="Arial"/>
          <w:color w:val="231F20"/>
          <w:spacing w:val="40"/>
          <w:sz w:val="14"/>
        </w:rPr>
        <w:t> </w:t>
      </w:r>
      <w:r>
        <w:rPr>
          <w:rFonts w:ascii="Arial" w:hAnsi="Arial"/>
          <w:color w:val="231F20"/>
          <w:w w:val="80"/>
          <w:sz w:val="14"/>
        </w:rPr>
        <w:t>Investigation</w:t>
      </w:r>
      <w:r>
        <w:rPr>
          <w:rFonts w:ascii="Arial" w:hAnsi="Arial"/>
          <w:color w:val="231F20"/>
          <w:spacing w:val="-2"/>
          <w:w w:val="8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the</w:t>
      </w:r>
      <w:r>
        <w:rPr>
          <w:rFonts w:ascii="Arial" w:hAnsi="Arial"/>
          <w:color w:val="231F20"/>
          <w:spacing w:val="-4"/>
          <w:w w:val="80"/>
          <w:sz w:val="14"/>
        </w:rPr>
        <w:t> </w:t>
      </w:r>
      <w:r>
        <w:rPr>
          <w:rFonts w:ascii="Arial" w:hAnsi="Arial"/>
          <w:color w:val="231F20"/>
          <w:w w:val="80"/>
          <w:sz w:val="14"/>
        </w:rPr>
        <w:t>Value</w:t>
      </w:r>
      <w:r>
        <w:rPr>
          <w:rFonts w:ascii="Arial" w:hAnsi="Arial"/>
          <w:color w:val="231F20"/>
          <w:spacing w:val="-2"/>
          <w:w w:val="80"/>
          <w:sz w:val="14"/>
        </w:rPr>
        <w:t> </w:t>
      </w:r>
      <w:r>
        <w:rPr>
          <w:rFonts w:ascii="Arial" w:hAnsi="Arial"/>
          <w:color w:val="231F20"/>
          <w:w w:val="80"/>
          <w:sz w:val="14"/>
        </w:rPr>
        <w:t>of</w:t>
      </w:r>
      <w:r>
        <w:rPr>
          <w:rFonts w:ascii="Arial" w:hAnsi="Arial"/>
          <w:color w:val="231F20"/>
          <w:spacing w:val="-1"/>
          <w:w w:val="80"/>
          <w:sz w:val="14"/>
        </w:rPr>
        <w:t> </w:t>
      </w:r>
      <w:r>
        <w:rPr>
          <w:rFonts w:ascii="Arial" w:hAnsi="Arial"/>
          <w:color w:val="231F20"/>
          <w:w w:val="80"/>
          <w:sz w:val="14"/>
        </w:rPr>
        <w:t>Sustainability</w:t>
      </w:r>
      <w:r>
        <w:rPr>
          <w:rFonts w:ascii="Arial" w:hAnsi="Arial"/>
          <w:color w:val="231F20"/>
          <w:spacing w:val="-2"/>
          <w:w w:val="80"/>
          <w:sz w:val="14"/>
        </w:rPr>
        <w:t> </w:t>
      </w:r>
      <w:r>
        <w:rPr>
          <w:rFonts w:ascii="Arial" w:hAnsi="Arial"/>
          <w:color w:val="231F20"/>
          <w:w w:val="80"/>
          <w:sz w:val="14"/>
        </w:rPr>
        <w:t>in</w:t>
      </w:r>
      <w:r>
        <w:rPr>
          <w:rFonts w:ascii="Arial" w:hAnsi="Arial"/>
          <w:color w:val="231F20"/>
          <w:spacing w:val="-2"/>
          <w:w w:val="80"/>
          <w:sz w:val="14"/>
        </w:rPr>
        <w:t> </w:t>
      </w:r>
      <w:r>
        <w:rPr>
          <w:rFonts w:ascii="Arial" w:hAnsi="Arial"/>
          <w:color w:val="231F20"/>
          <w:w w:val="80"/>
          <w:sz w:val="14"/>
        </w:rPr>
        <w:t>Logistics</w:t>
      </w:r>
      <w:r>
        <w:rPr>
          <w:rFonts w:ascii="Arial" w:hAnsi="Arial"/>
          <w:color w:val="231F20"/>
          <w:spacing w:val="-2"/>
          <w:w w:val="80"/>
          <w:sz w:val="14"/>
        </w:rPr>
        <w:t> </w:t>
      </w:r>
      <w:r>
        <w:rPr>
          <w:rFonts w:ascii="Arial" w:hAnsi="Arial"/>
          <w:color w:val="231F20"/>
          <w:w w:val="80"/>
          <w:sz w:val="14"/>
        </w:rPr>
        <w:t>Services</w:t>
      </w:r>
      <w:r>
        <w:rPr>
          <w:rFonts w:ascii="Arial" w:hAnsi="Arial"/>
          <w:color w:val="231F20"/>
          <w:spacing w:val="40"/>
          <w:sz w:val="14"/>
        </w:rPr>
        <w:t> </w:t>
      </w:r>
      <w:r>
        <w:rPr>
          <w:rFonts w:ascii="Arial" w:hAnsi="Arial"/>
          <w:color w:val="231F20"/>
          <w:spacing w:val="-2"/>
          <w:w w:val="80"/>
          <w:sz w:val="14"/>
        </w:rPr>
        <w:t>and</w:t>
      </w:r>
      <w:r>
        <w:rPr>
          <w:rFonts w:ascii="Arial" w:hAnsi="Arial"/>
          <w:color w:val="231F20"/>
          <w:spacing w:val="-2"/>
          <w:sz w:val="14"/>
        </w:rPr>
        <w:t> </w:t>
      </w:r>
      <w:r>
        <w:rPr>
          <w:rFonts w:ascii="Arial" w:hAnsi="Arial"/>
          <w:color w:val="231F20"/>
          <w:spacing w:val="-2"/>
          <w:w w:val="80"/>
          <w:sz w:val="14"/>
        </w:rPr>
        <w:t>the</w:t>
      </w:r>
      <w:r>
        <w:rPr>
          <w:rFonts w:ascii="Arial" w:hAnsi="Arial"/>
          <w:color w:val="231F20"/>
          <w:spacing w:val="-2"/>
          <w:sz w:val="14"/>
        </w:rPr>
        <w:t> </w:t>
      </w:r>
      <w:r>
        <w:rPr>
          <w:rFonts w:ascii="Arial" w:hAnsi="Arial"/>
          <w:color w:val="231F20"/>
          <w:spacing w:val="-2"/>
          <w:w w:val="80"/>
          <w:sz w:val="14"/>
        </w:rPr>
        <w:t>Impact</w:t>
      </w:r>
      <w:r>
        <w:rPr>
          <w:rFonts w:ascii="Arial" w:hAnsi="Arial"/>
          <w:color w:val="231F20"/>
          <w:spacing w:val="-2"/>
          <w:sz w:val="14"/>
        </w:rPr>
        <w:t> </w:t>
      </w:r>
      <w:r>
        <w:rPr>
          <w:rFonts w:ascii="Arial" w:hAnsi="Arial"/>
          <w:color w:val="231F20"/>
          <w:spacing w:val="-2"/>
          <w:w w:val="80"/>
          <w:sz w:val="14"/>
        </w:rPr>
        <w:t>of</w:t>
      </w:r>
      <w:r>
        <w:rPr>
          <w:rFonts w:ascii="Arial" w:hAnsi="Arial"/>
          <w:color w:val="231F20"/>
          <w:spacing w:val="-2"/>
          <w:sz w:val="14"/>
        </w:rPr>
        <w:t> </w:t>
      </w:r>
      <w:r>
        <w:rPr>
          <w:rFonts w:ascii="Arial" w:hAnsi="Arial"/>
          <w:color w:val="231F20"/>
          <w:spacing w:val="-2"/>
          <w:w w:val="80"/>
          <w:sz w:val="14"/>
        </w:rPr>
        <w:t>COVID-19.” </w:t>
      </w:r>
      <w:r>
        <w:rPr>
          <w:rFonts w:ascii="Arial" w:hAnsi="Arial"/>
          <w:i/>
          <w:color w:val="231F20"/>
          <w:spacing w:val="-2"/>
          <w:w w:val="80"/>
          <w:sz w:val="14"/>
        </w:rPr>
        <w:t>Challenges</w:t>
      </w:r>
      <w:r>
        <w:rPr>
          <w:rFonts w:ascii="Arial" w:hAnsi="Arial"/>
          <w:i/>
          <w:color w:val="231F20"/>
          <w:spacing w:val="-2"/>
          <w:sz w:val="14"/>
        </w:rPr>
        <w:t> </w:t>
      </w:r>
      <w:r>
        <w:rPr>
          <w:rFonts w:ascii="Arial" w:hAnsi="Arial"/>
          <w:i/>
          <w:color w:val="231F20"/>
          <w:spacing w:val="-2"/>
          <w:w w:val="80"/>
          <w:sz w:val="14"/>
        </w:rPr>
        <w:t>and</w:t>
      </w:r>
      <w:r>
        <w:rPr>
          <w:rFonts w:ascii="Arial" w:hAnsi="Arial"/>
          <w:i/>
          <w:color w:val="231F20"/>
          <w:spacing w:val="-2"/>
          <w:sz w:val="14"/>
        </w:rPr>
        <w:t> </w:t>
      </w:r>
      <w:r>
        <w:rPr>
          <w:rFonts w:ascii="Arial" w:hAnsi="Arial"/>
          <w:i/>
          <w:color w:val="231F20"/>
          <w:spacing w:val="-2"/>
          <w:w w:val="80"/>
          <w:sz w:val="14"/>
        </w:rPr>
        <w:t>Opportunities</w:t>
      </w:r>
      <w:r>
        <w:rPr>
          <w:rFonts w:ascii="Arial" w:hAnsi="Arial"/>
          <w:i/>
          <w:color w:val="231F20"/>
          <w:spacing w:val="-2"/>
          <w:sz w:val="14"/>
        </w:rPr>
        <w:t> </w:t>
      </w:r>
      <w:r>
        <w:rPr>
          <w:rFonts w:ascii="Arial" w:hAnsi="Arial"/>
          <w:i/>
          <w:color w:val="231F20"/>
          <w:spacing w:val="-2"/>
          <w:w w:val="80"/>
          <w:sz w:val="14"/>
        </w:rPr>
        <w:t>for</w:t>
      </w:r>
      <w:r>
        <w:rPr>
          <w:rFonts w:ascii="Arial" w:hAnsi="Arial"/>
          <w:i/>
          <w:color w:val="231F20"/>
          <w:spacing w:val="40"/>
          <w:sz w:val="14"/>
        </w:rPr>
        <w:t> </w:t>
      </w:r>
      <w:r>
        <w:rPr>
          <w:rFonts w:ascii="Arial" w:hAnsi="Arial"/>
          <w:i/>
          <w:color w:val="231F20"/>
          <w:w w:val="80"/>
          <w:sz w:val="14"/>
        </w:rPr>
        <w:t>Transportation Services in the Post-COVID-19 Era, </w:t>
      </w:r>
      <w:r>
        <w:rPr>
          <w:rFonts w:ascii="Arial" w:hAnsi="Arial"/>
          <w:color w:val="231F20"/>
          <w:w w:val="80"/>
          <w:sz w:val="14"/>
        </w:rPr>
        <w:t>21–48.</w:t>
      </w:r>
    </w:p>
    <w:p>
      <w:pPr>
        <w:spacing w:line="297" w:lineRule="auto" w:before="2"/>
        <w:ind w:left="1440" w:right="0" w:hanging="240"/>
        <w:jc w:val="left"/>
        <w:rPr>
          <w:rFonts w:ascii="Arial" w:hAnsi="Arial"/>
          <w:sz w:val="14"/>
        </w:rPr>
      </w:pPr>
      <w:r>
        <w:rPr>
          <w:rFonts w:ascii="Arial" w:hAnsi="Arial"/>
          <w:color w:val="231F20"/>
          <w:w w:val="80"/>
          <w:sz w:val="14"/>
        </w:rPr>
        <w:t>Mena, C.,</w:t>
      </w:r>
      <w:r>
        <w:rPr>
          <w:rFonts w:ascii="Arial" w:hAnsi="Arial"/>
          <w:color w:val="231F20"/>
          <w:spacing w:val="-5"/>
          <w:w w:val="80"/>
          <w:sz w:val="14"/>
        </w:rPr>
        <w:t> </w:t>
      </w:r>
      <w:r>
        <w:rPr>
          <w:rFonts w:ascii="Arial" w:hAnsi="Arial"/>
          <w:color w:val="231F20"/>
          <w:w w:val="80"/>
          <w:sz w:val="14"/>
        </w:rPr>
        <w:t>A. Karatzas, and C. Hansen. 2022. “International </w:t>
      </w:r>
      <w:r>
        <w:rPr>
          <w:rFonts w:ascii="Arial" w:hAnsi="Arial"/>
          <w:color w:val="231F20"/>
          <w:w w:val="80"/>
          <w:sz w:val="14"/>
        </w:rPr>
        <w:t>Trade</w:t>
      </w:r>
      <w:r>
        <w:rPr>
          <w:rFonts w:ascii="Arial" w:hAnsi="Arial"/>
          <w:color w:val="231F20"/>
          <w:spacing w:val="40"/>
          <w:sz w:val="14"/>
        </w:rPr>
        <w:t> </w:t>
      </w:r>
      <w:r>
        <w:rPr>
          <w:rFonts w:ascii="Arial" w:hAnsi="Arial"/>
          <w:color w:val="231F20"/>
          <w:w w:val="80"/>
          <w:sz w:val="14"/>
        </w:rPr>
        <w:t>Resilience and the Covid-19 Pandemic.”</w:t>
      </w:r>
      <w:r>
        <w:rPr>
          <w:rFonts w:ascii="Arial" w:hAnsi="Arial"/>
          <w:color w:val="231F20"/>
          <w:spacing w:val="-1"/>
          <w:w w:val="80"/>
          <w:sz w:val="14"/>
        </w:rPr>
        <w:t> </w:t>
      </w:r>
      <w:r>
        <w:rPr>
          <w:rFonts w:ascii="Arial" w:hAnsi="Arial"/>
          <w:i/>
          <w:color w:val="231F20"/>
          <w:w w:val="80"/>
          <w:sz w:val="14"/>
        </w:rPr>
        <w:t>Journal of Business</w:t>
      </w:r>
      <w:r>
        <w:rPr>
          <w:rFonts w:ascii="Arial" w:hAnsi="Arial"/>
          <w:i/>
          <w:color w:val="231F20"/>
          <w:spacing w:val="40"/>
          <w:sz w:val="14"/>
        </w:rPr>
        <w:t> </w:t>
      </w:r>
      <w:r>
        <w:rPr>
          <w:rFonts w:ascii="Arial" w:hAnsi="Arial"/>
          <w:i/>
          <w:color w:val="231F20"/>
          <w:w w:val="90"/>
          <w:sz w:val="14"/>
        </w:rPr>
        <w:t>Research </w:t>
      </w:r>
      <w:r>
        <w:rPr>
          <w:rFonts w:ascii="Arial" w:hAnsi="Arial"/>
          <w:color w:val="231F20"/>
          <w:w w:val="90"/>
          <w:sz w:val="14"/>
        </w:rPr>
        <w:t>138: 77–91.</w:t>
      </w:r>
    </w:p>
    <w:p>
      <w:pPr>
        <w:spacing w:line="297" w:lineRule="auto" w:before="1"/>
        <w:ind w:left="1440" w:right="0" w:hanging="240"/>
        <w:jc w:val="left"/>
        <w:rPr>
          <w:rFonts w:ascii="Arial" w:hAnsi="Arial"/>
          <w:sz w:val="14"/>
        </w:rPr>
      </w:pPr>
      <w:r>
        <w:rPr>
          <w:rFonts w:ascii="Arial" w:hAnsi="Arial"/>
          <w:color w:val="231F20"/>
          <w:w w:val="85"/>
          <w:sz w:val="14"/>
        </w:rPr>
        <w:t>Mendez,</w:t>
      </w:r>
      <w:r>
        <w:rPr>
          <w:rFonts w:ascii="Arial" w:hAnsi="Arial"/>
          <w:color w:val="231F20"/>
          <w:spacing w:val="-10"/>
          <w:w w:val="85"/>
          <w:sz w:val="14"/>
        </w:rPr>
        <w:t> </w:t>
      </w:r>
      <w:r>
        <w:rPr>
          <w:rFonts w:ascii="Arial" w:hAnsi="Arial"/>
          <w:color w:val="231F20"/>
          <w:w w:val="85"/>
          <w:sz w:val="14"/>
        </w:rPr>
        <w:t>A.,</w:t>
      </w:r>
      <w:r>
        <w:rPr>
          <w:rFonts w:ascii="Arial" w:hAnsi="Arial"/>
          <w:color w:val="231F20"/>
          <w:spacing w:val="-5"/>
          <w:w w:val="85"/>
          <w:sz w:val="14"/>
        </w:rPr>
        <w:t> </w:t>
      </w:r>
      <w:r>
        <w:rPr>
          <w:rFonts w:ascii="Arial" w:hAnsi="Arial"/>
          <w:color w:val="231F20"/>
          <w:w w:val="85"/>
          <w:sz w:val="14"/>
        </w:rPr>
        <w:t>and M.</w:t>
      </w:r>
      <w:r>
        <w:rPr>
          <w:rFonts w:ascii="Arial" w:hAnsi="Arial"/>
          <w:color w:val="231F20"/>
          <w:spacing w:val="-5"/>
          <w:w w:val="85"/>
          <w:sz w:val="14"/>
        </w:rPr>
        <w:t> </w:t>
      </w:r>
      <w:r>
        <w:rPr>
          <w:rFonts w:ascii="Arial" w:hAnsi="Arial"/>
          <w:color w:val="231F20"/>
          <w:w w:val="85"/>
          <w:sz w:val="14"/>
        </w:rPr>
        <w:t>Turzi. 2020.</w:t>
      </w:r>
      <w:r>
        <w:rPr>
          <w:rFonts w:ascii="Arial" w:hAnsi="Arial"/>
          <w:color w:val="231F20"/>
          <w:spacing w:val="-5"/>
          <w:w w:val="85"/>
          <w:sz w:val="14"/>
        </w:rPr>
        <w:t> </w:t>
      </w:r>
      <w:r>
        <w:rPr>
          <w:rFonts w:ascii="Arial" w:hAnsi="Arial"/>
          <w:color w:val="231F20"/>
          <w:w w:val="85"/>
          <w:sz w:val="14"/>
        </w:rPr>
        <w:t>“LAC and International Political</w:t>
      </w:r>
      <w:r>
        <w:rPr>
          <w:rFonts w:ascii="Arial" w:hAnsi="Arial"/>
          <w:color w:val="231F20"/>
          <w:spacing w:val="40"/>
          <w:sz w:val="14"/>
        </w:rPr>
        <w:t> </w:t>
      </w:r>
      <w:r>
        <w:rPr>
          <w:rFonts w:ascii="Arial" w:hAnsi="Arial"/>
          <w:color w:val="231F20"/>
          <w:w w:val="75"/>
          <w:sz w:val="14"/>
        </w:rPr>
        <w:t>Economy.” </w:t>
      </w:r>
      <w:r>
        <w:rPr>
          <w:rFonts w:ascii="Arial" w:hAnsi="Arial"/>
          <w:i/>
          <w:color w:val="231F20"/>
          <w:w w:val="75"/>
          <w:sz w:val="14"/>
        </w:rPr>
        <w:t>The</w:t>
      </w:r>
      <w:r>
        <w:rPr>
          <w:rFonts w:ascii="Arial" w:hAnsi="Arial"/>
          <w:i/>
          <w:color w:val="231F20"/>
          <w:sz w:val="14"/>
        </w:rPr>
        <w:t> </w:t>
      </w:r>
      <w:r>
        <w:rPr>
          <w:rFonts w:ascii="Arial" w:hAnsi="Arial"/>
          <w:i/>
          <w:color w:val="231F20"/>
          <w:w w:val="75"/>
          <w:sz w:val="14"/>
        </w:rPr>
        <w:t>Political</w:t>
      </w:r>
      <w:r>
        <w:rPr>
          <w:rFonts w:ascii="Arial" w:hAnsi="Arial"/>
          <w:i/>
          <w:color w:val="231F20"/>
          <w:sz w:val="14"/>
        </w:rPr>
        <w:t> </w:t>
      </w:r>
      <w:r>
        <w:rPr>
          <w:rFonts w:ascii="Arial" w:hAnsi="Arial"/>
          <w:i/>
          <w:color w:val="231F20"/>
          <w:w w:val="75"/>
          <w:sz w:val="14"/>
        </w:rPr>
        <w:t>Economy</w:t>
      </w:r>
      <w:r>
        <w:rPr>
          <w:rFonts w:ascii="Arial" w:hAnsi="Arial"/>
          <w:i/>
          <w:color w:val="231F20"/>
          <w:sz w:val="14"/>
        </w:rPr>
        <w:t> </w:t>
      </w:r>
      <w:r>
        <w:rPr>
          <w:rFonts w:ascii="Arial" w:hAnsi="Arial"/>
          <w:i/>
          <w:color w:val="231F20"/>
          <w:w w:val="75"/>
          <w:sz w:val="14"/>
        </w:rPr>
        <w:t>of</w:t>
      </w:r>
      <w:r>
        <w:rPr>
          <w:rFonts w:ascii="Arial" w:hAnsi="Arial"/>
          <w:i/>
          <w:color w:val="231F20"/>
          <w:sz w:val="14"/>
        </w:rPr>
        <w:t> </w:t>
      </w:r>
      <w:r>
        <w:rPr>
          <w:rFonts w:ascii="Arial" w:hAnsi="Arial"/>
          <w:i/>
          <w:color w:val="231F20"/>
          <w:w w:val="75"/>
          <w:sz w:val="14"/>
        </w:rPr>
        <w:t>China–Latin America</w:t>
      </w:r>
      <w:r>
        <w:rPr>
          <w:rFonts w:ascii="Arial" w:hAnsi="Arial"/>
          <w:i/>
          <w:color w:val="231F20"/>
          <w:sz w:val="14"/>
        </w:rPr>
        <w:t> </w:t>
      </w:r>
      <w:r>
        <w:rPr>
          <w:rFonts w:ascii="Arial" w:hAnsi="Arial"/>
          <w:i/>
          <w:color w:val="231F20"/>
          <w:w w:val="75"/>
          <w:sz w:val="14"/>
        </w:rPr>
        <w:t>Relations</w:t>
      </w:r>
      <w:r>
        <w:rPr>
          <w:rFonts w:ascii="Arial" w:hAnsi="Arial"/>
          <w:color w:val="231F20"/>
          <w:w w:val="75"/>
          <w:sz w:val="14"/>
        </w:rPr>
        <w:t>,</w:t>
      </w:r>
      <w:r>
        <w:rPr>
          <w:rFonts w:ascii="Arial" w:hAnsi="Arial"/>
          <w:color w:val="231F20"/>
          <w:spacing w:val="40"/>
          <w:sz w:val="14"/>
        </w:rPr>
        <w:t> </w:t>
      </w:r>
      <w:r>
        <w:rPr>
          <w:rFonts w:ascii="Arial" w:hAnsi="Arial"/>
          <w:color w:val="231F20"/>
          <w:w w:val="85"/>
          <w:sz w:val="14"/>
        </w:rPr>
        <w:t>69–90.</w:t>
      </w:r>
      <w:r>
        <w:rPr>
          <w:rFonts w:ascii="Arial" w:hAnsi="Arial"/>
          <w:color w:val="231F20"/>
          <w:spacing w:val="-2"/>
          <w:w w:val="85"/>
          <w:sz w:val="14"/>
        </w:rPr>
        <w:t> </w:t>
      </w:r>
      <w:r>
        <w:rPr>
          <w:rFonts w:ascii="Arial" w:hAnsi="Arial"/>
          <w:color w:val="231F20"/>
          <w:w w:val="85"/>
          <w:sz w:val="14"/>
        </w:rPr>
        <w:t>Springer International Publishing.</w:t>
      </w:r>
    </w:p>
    <w:p>
      <w:pPr>
        <w:spacing w:line="297" w:lineRule="auto" w:before="1"/>
        <w:ind w:left="1440" w:right="308" w:hanging="240"/>
        <w:jc w:val="left"/>
        <w:rPr>
          <w:rFonts w:ascii="Arial" w:hAnsi="Arial"/>
          <w:sz w:val="14"/>
        </w:rPr>
      </w:pPr>
      <w:r>
        <w:rPr>
          <w:rFonts w:ascii="Arial" w:hAnsi="Arial"/>
          <w:color w:val="231F20"/>
          <w:w w:val="85"/>
          <w:sz w:val="14"/>
        </w:rPr>
        <w:t>Moldabekova,</w:t>
      </w:r>
      <w:r>
        <w:rPr>
          <w:rFonts w:ascii="Arial" w:hAnsi="Arial"/>
          <w:color w:val="231F20"/>
          <w:spacing w:val="-9"/>
          <w:w w:val="85"/>
          <w:sz w:val="14"/>
        </w:rPr>
        <w:t> </w:t>
      </w:r>
      <w:r>
        <w:rPr>
          <w:rFonts w:ascii="Arial" w:hAnsi="Arial"/>
          <w:color w:val="231F20"/>
          <w:w w:val="85"/>
          <w:sz w:val="14"/>
        </w:rPr>
        <w:t>A.,</w:t>
      </w:r>
      <w:r>
        <w:rPr>
          <w:rFonts w:ascii="Arial" w:hAnsi="Arial"/>
          <w:color w:val="231F20"/>
          <w:spacing w:val="-3"/>
          <w:w w:val="85"/>
          <w:sz w:val="14"/>
        </w:rPr>
        <w:t> </w:t>
      </w:r>
      <w:r>
        <w:rPr>
          <w:rFonts w:ascii="Arial" w:hAnsi="Arial"/>
          <w:color w:val="231F20"/>
          <w:w w:val="85"/>
          <w:sz w:val="14"/>
        </w:rPr>
        <w:t>R. Philipp,</w:t>
      </w:r>
      <w:r>
        <w:rPr>
          <w:rFonts w:ascii="Arial" w:hAnsi="Arial"/>
          <w:color w:val="231F20"/>
          <w:spacing w:val="-3"/>
          <w:w w:val="85"/>
          <w:sz w:val="14"/>
        </w:rPr>
        <w:t> </w:t>
      </w:r>
      <w:r>
        <w:rPr>
          <w:rFonts w:ascii="Arial" w:hAnsi="Arial"/>
          <w:color w:val="231F20"/>
          <w:w w:val="85"/>
          <w:sz w:val="14"/>
        </w:rPr>
        <w:t>H.-E. Reimers,</w:t>
      </w:r>
      <w:r>
        <w:rPr>
          <w:rFonts w:ascii="Arial" w:hAnsi="Arial"/>
          <w:color w:val="231F20"/>
          <w:spacing w:val="-3"/>
          <w:w w:val="85"/>
          <w:sz w:val="14"/>
        </w:rPr>
        <w:t> </w:t>
      </w:r>
      <w:r>
        <w:rPr>
          <w:rFonts w:ascii="Arial" w:hAnsi="Arial"/>
          <w:color w:val="231F20"/>
          <w:w w:val="85"/>
          <w:sz w:val="14"/>
        </w:rPr>
        <w:t>and B.</w:t>
      </w:r>
      <w:r>
        <w:rPr>
          <w:rFonts w:ascii="Arial" w:hAnsi="Arial"/>
          <w:color w:val="231F20"/>
          <w:spacing w:val="-3"/>
          <w:w w:val="85"/>
          <w:sz w:val="14"/>
        </w:rPr>
        <w:t> </w:t>
      </w:r>
      <w:r>
        <w:rPr>
          <w:rFonts w:ascii="Arial" w:hAnsi="Arial"/>
          <w:color w:val="231F20"/>
          <w:w w:val="85"/>
          <w:sz w:val="14"/>
        </w:rPr>
        <w:t>Alikozhayev.</w:t>
      </w:r>
      <w:r>
        <w:rPr>
          <w:rFonts w:ascii="Arial" w:hAnsi="Arial"/>
          <w:color w:val="231F20"/>
          <w:spacing w:val="40"/>
          <w:sz w:val="14"/>
        </w:rPr>
        <w:t> </w:t>
      </w:r>
      <w:r>
        <w:rPr>
          <w:rFonts w:ascii="Arial" w:hAnsi="Arial"/>
          <w:color w:val="231F20"/>
          <w:spacing w:val="-2"/>
          <w:w w:val="80"/>
          <w:sz w:val="14"/>
        </w:rPr>
        <w:t>2021. “Digital Technologies</w:t>
      </w:r>
      <w:r>
        <w:rPr>
          <w:rFonts w:ascii="Arial" w:hAnsi="Arial"/>
          <w:color w:val="231F20"/>
          <w:sz w:val="14"/>
        </w:rPr>
        <w:t> </w:t>
      </w:r>
      <w:r>
        <w:rPr>
          <w:rFonts w:ascii="Arial" w:hAnsi="Arial"/>
          <w:color w:val="231F20"/>
          <w:spacing w:val="-2"/>
          <w:w w:val="80"/>
          <w:sz w:val="14"/>
        </w:rPr>
        <w:t>for</w:t>
      </w:r>
      <w:r>
        <w:rPr>
          <w:rFonts w:ascii="Arial" w:hAnsi="Arial"/>
          <w:color w:val="231F20"/>
          <w:sz w:val="14"/>
        </w:rPr>
        <w:t> </w:t>
      </w:r>
      <w:r>
        <w:rPr>
          <w:rFonts w:ascii="Arial" w:hAnsi="Arial"/>
          <w:color w:val="231F20"/>
          <w:spacing w:val="-2"/>
          <w:w w:val="80"/>
          <w:sz w:val="14"/>
        </w:rPr>
        <w:t>Improving</w:t>
      </w:r>
      <w:r>
        <w:rPr>
          <w:rFonts w:ascii="Arial" w:hAnsi="Arial"/>
          <w:color w:val="231F20"/>
          <w:sz w:val="14"/>
        </w:rPr>
        <w:t> </w:t>
      </w:r>
      <w:r>
        <w:rPr>
          <w:rFonts w:ascii="Arial" w:hAnsi="Arial"/>
          <w:color w:val="231F20"/>
          <w:spacing w:val="-2"/>
          <w:w w:val="80"/>
          <w:sz w:val="14"/>
        </w:rPr>
        <w:t>Logistics</w:t>
      </w:r>
      <w:r>
        <w:rPr>
          <w:rFonts w:ascii="Arial" w:hAnsi="Arial"/>
          <w:color w:val="231F20"/>
          <w:sz w:val="14"/>
        </w:rPr>
        <w:t> </w:t>
      </w:r>
      <w:r>
        <w:rPr>
          <w:rFonts w:ascii="Arial" w:hAnsi="Arial"/>
          <w:color w:val="231F20"/>
          <w:spacing w:val="-2"/>
          <w:w w:val="80"/>
          <w:sz w:val="14"/>
        </w:rPr>
        <w:t>Performance</w:t>
      </w:r>
      <w:r>
        <w:rPr>
          <w:rFonts w:ascii="Arial" w:hAnsi="Arial"/>
          <w:color w:val="231F20"/>
          <w:spacing w:val="4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Countries.”</w:t>
      </w:r>
      <w:r>
        <w:rPr>
          <w:rFonts w:ascii="Arial" w:hAnsi="Arial"/>
          <w:color w:val="231F20"/>
          <w:spacing w:val="-4"/>
          <w:w w:val="80"/>
          <w:sz w:val="14"/>
        </w:rPr>
        <w:t> </w:t>
      </w:r>
      <w:r>
        <w:rPr>
          <w:rFonts w:ascii="Arial" w:hAnsi="Arial"/>
          <w:i/>
          <w:color w:val="231F20"/>
          <w:w w:val="80"/>
          <w:sz w:val="14"/>
        </w:rPr>
        <w:t>Transport</w:t>
      </w:r>
      <w:r>
        <w:rPr>
          <w:rFonts w:ascii="Arial" w:hAnsi="Arial"/>
          <w:i/>
          <w:color w:val="231F20"/>
          <w:spacing w:val="-2"/>
          <w:w w:val="80"/>
          <w:sz w:val="14"/>
        </w:rPr>
        <w:t> </w:t>
      </w:r>
      <w:r>
        <w:rPr>
          <w:rFonts w:ascii="Arial" w:hAnsi="Arial"/>
          <w:i/>
          <w:color w:val="231F20"/>
          <w:w w:val="80"/>
          <w:sz w:val="14"/>
        </w:rPr>
        <w:t>and</w:t>
      </w:r>
      <w:r>
        <w:rPr>
          <w:rFonts w:ascii="Arial" w:hAnsi="Arial"/>
          <w:i/>
          <w:color w:val="231F20"/>
          <w:spacing w:val="-3"/>
          <w:w w:val="80"/>
          <w:sz w:val="14"/>
        </w:rPr>
        <w:t> </w:t>
      </w:r>
      <w:r>
        <w:rPr>
          <w:rFonts w:ascii="Arial" w:hAnsi="Arial"/>
          <w:i/>
          <w:color w:val="231F20"/>
          <w:w w:val="80"/>
          <w:sz w:val="14"/>
        </w:rPr>
        <w:t>Telecommunication</w:t>
      </w:r>
      <w:r>
        <w:rPr>
          <w:rFonts w:ascii="Arial" w:hAnsi="Arial"/>
          <w:i/>
          <w:color w:val="231F20"/>
          <w:spacing w:val="-2"/>
          <w:w w:val="80"/>
          <w:sz w:val="14"/>
        </w:rPr>
        <w:t> </w:t>
      </w:r>
      <w:r>
        <w:rPr>
          <w:rFonts w:ascii="Arial" w:hAnsi="Arial"/>
          <w:i/>
          <w:color w:val="231F20"/>
          <w:w w:val="80"/>
          <w:sz w:val="14"/>
        </w:rPr>
        <w:t>Journal</w:t>
      </w:r>
      <w:r>
        <w:rPr>
          <w:rFonts w:ascii="Arial" w:hAnsi="Arial"/>
          <w:i/>
          <w:color w:val="231F20"/>
          <w:spacing w:val="-2"/>
          <w:w w:val="80"/>
          <w:sz w:val="14"/>
        </w:rPr>
        <w:t> </w:t>
      </w:r>
      <w:r>
        <w:rPr>
          <w:rFonts w:ascii="Arial" w:hAnsi="Arial"/>
          <w:color w:val="231F20"/>
          <w:w w:val="80"/>
          <w:sz w:val="14"/>
        </w:rPr>
        <w:t>22</w:t>
      </w:r>
      <w:r>
        <w:rPr>
          <w:rFonts w:ascii="Arial" w:hAnsi="Arial"/>
          <w:color w:val="231F20"/>
          <w:spacing w:val="-2"/>
          <w:w w:val="80"/>
          <w:sz w:val="14"/>
        </w:rPr>
        <w:t> </w:t>
      </w:r>
      <w:r>
        <w:rPr>
          <w:rFonts w:ascii="Arial" w:hAnsi="Arial"/>
          <w:color w:val="231F20"/>
          <w:w w:val="80"/>
          <w:sz w:val="14"/>
        </w:rPr>
        <w:t>(2):</w:t>
      </w:r>
      <w:r>
        <w:rPr>
          <w:rFonts w:ascii="Arial" w:hAnsi="Arial"/>
          <w:color w:val="231F20"/>
          <w:spacing w:val="40"/>
          <w:sz w:val="14"/>
        </w:rPr>
        <w:t> </w:t>
      </w:r>
      <w:r>
        <w:rPr>
          <w:rFonts w:ascii="Arial" w:hAnsi="Arial"/>
          <w:color w:val="231F20"/>
          <w:spacing w:val="-2"/>
          <w:w w:val="90"/>
          <w:sz w:val="14"/>
        </w:rPr>
        <w:t>207–216.</w:t>
      </w:r>
    </w:p>
    <w:p>
      <w:pPr>
        <w:spacing w:line="297" w:lineRule="auto" w:before="1"/>
        <w:ind w:left="1440" w:right="1" w:hanging="240"/>
        <w:jc w:val="left"/>
        <w:rPr>
          <w:rFonts w:ascii="Arial" w:hAnsi="Arial"/>
          <w:sz w:val="14"/>
        </w:rPr>
      </w:pPr>
      <w:r>
        <w:rPr>
          <w:rFonts w:ascii="Arial" w:hAnsi="Arial"/>
          <w:color w:val="231F20"/>
          <w:w w:val="85"/>
          <w:sz w:val="14"/>
        </w:rPr>
        <w:t>Moros,</w:t>
      </w:r>
      <w:r>
        <w:rPr>
          <w:rFonts w:ascii="Arial" w:hAnsi="Arial"/>
          <w:color w:val="231F20"/>
          <w:spacing w:val="-11"/>
          <w:w w:val="85"/>
          <w:sz w:val="14"/>
        </w:rPr>
        <w:t> </w:t>
      </w:r>
      <w:r>
        <w:rPr>
          <w:rFonts w:ascii="Arial" w:hAnsi="Arial"/>
          <w:color w:val="231F20"/>
          <w:w w:val="85"/>
          <w:sz w:val="14"/>
        </w:rPr>
        <w:t>A.,</w:t>
      </w:r>
      <w:r>
        <w:rPr>
          <w:rFonts w:ascii="Arial" w:hAnsi="Arial"/>
          <w:color w:val="231F20"/>
          <w:spacing w:val="-5"/>
          <w:w w:val="85"/>
          <w:sz w:val="14"/>
        </w:rPr>
        <w:t> </w:t>
      </w:r>
      <w:r>
        <w:rPr>
          <w:rFonts w:ascii="Arial" w:hAnsi="Arial"/>
          <w:color w:val="231F20"/>
          <w:w w:val="85"/>
          <w:sz w:val="14"/>
        </w:rPr>
        <w:t>R.</w:t>
      </w:r>
      <w:r>
        <w:rPr>
          <w:rFonts w:ascii="Arial" w:hAnsi="Arial"/>
          <w:color w:val="231F20"/>
          <w:spacing w:val="-5"/>
          <w:w w:val="85"/>
          <w:sz w:val="14"/>
        </w:rPr>
        <w:t> </w:t>
      </w:r>
      <w:r>
        <w:rPr>
          <w:rFonts w:ascii="Arial" w:hAnsi="Arial"/>
          <w:color w:val="231F20"/>
          <w:w w:val="85"/>
          <w:sz w:val="14"/>
        </w:rPr>
        <w:t>Amaya-Mier,</w:t>
      </w:r>
      <w:r>
        <w:rPr>
          <w:rFonts w:ascii="Arial" w:hAnsi="Arial"/>
          <w:color w:val="231F20"/>
          <w:spacing w:val="-5"/>
          <w:w w:val="85"/>
          <w:sz w:val="14"/>
        </w:rPr>
        <w:t> </w:t>
      </w:r>
      <w:r>
        <w:rPr>
          <w:rFonts w:ascii="Arial" w:hAnsi="Arial"/>
          <w:color w:val="231F20"/>
          <w:w w:val="85"/>
          <w:sz w:val="14"/>
        </w:rPr>
        <w:t>G.</w:t>
      </w:r>
      <w:r>
        <w:rPr>
          <w:rFonts w:ascii="Arial" w:hAnsi="Arial"/>
          <w:color w:val="231F20"/>
          <w:spacing w:val="-4"/>
          <w:w w:val="85"/>
          <w:sz w:val="14"/>
        </w:rPr>
        <w:t> </w:t>
      </w:r>
      <w:r>
        <w:rPr>
          <w:rFonts w:ascii="Arial" w:hAnsi="Arial"/>
          <w:color w:val="231F20"/>
          <w:w w:val="85"/>
          <w:sz w:val="14"/>
        </w:rPr>
        <w:t>García</w:t>
      </w:r>
      <w:r>
        <w:rPr>
          <w:rFonts w:ascii="Arial" w:hAnsi="Arial"/>
          <w:color w:val="231F20"/>
          <w:spacing w:val="-4"/>
          <w:w w:val="85"/>
          <w:sz w:val="14"/>
        </w:rPr>
        <w:t> </w:t>
      </w:r>
      <w:r>
        <w:rPr>
          <w:rFonts w:ascii="Arial" w:hAnsi="Arial"/>
          <w:color w:val="231F20"/>
          <w:w w:val="85"/>
          <w:sz w:val="14"/>
        </w:rPr>
        <w:t>Llinás,</w:t>
      </w:r>
      <w:r>
        <w:rPr>
          <w:rFonts w:ascii="Arial" w:hAnsi="Arial"/>
          <w:color w:val="231F20"/>
          <w:spacing w:val="-5"/>
          <w:w w:val="85"/>
          <w:sz w:val="14"/>
        </w:rPr>
        <w:t> </w:t>
      </w:r>
      <w:r>
        <w:rPr>
          <w:rFonts w:ascii="Arial" w:hAnsi="Arial"/>
          <w:color w:val="231F20"/>
          <w:w w:val="85"/>
          <w:sz w:val="14"/>
        </w:rPr>
        <w:t>and</w:t>
      </w:r>
      <w:r>
        <w:rPr>
          <w:rFonts w:ascii="Arial" w:hAnsi="Arial"/>
          <w:color w:val="231F20"/>
          <w:spacing w:val="-4"/>
          <w:w w:val="85"/>
          <w:sz w:val="14"/>
        </w:rPr>
        <w:t> </w:t>
      </w:r>
      <w:r>
        <w:rPr>
          <w:rFonts w:ascii="Arial" w:hAnsi="Arial"/>
          <w:color w:val="231F20"/>
          <w:w w:val="85"/>
          <w:sz w:val="14"/>
        </w:rPr>
        <w:t>S.</w:t>
      </w:r>
      <w:r>
        <w:rPr>
          <w:rFonts w:ascii="Arial" w:hAnsi="Arial"/>
          <w:color w:val="231F20"/>
          <w:spacing w:val="-5"/>
          <w:w w:val="85"/>
          <w:sz w:val="14"/>
        </w:rPr>
        <w:t> </w:t>
      </w:r>
      <w:r>
        <w:rPr>
          <w:rFonts w:ascii="Arial" w:hAnsi="Arial"/>
          <w:color w:val="231F20"/>
          <w:w w:val="85"/>
          <w:sz w:val="14"/>
        </w:rPr>
        <w:t>Voss.</w:t>
      </w:r>
      <w:r>
        <w:rPr>
          <w:rFonts w:ascii="Arial" w:hAnsi="Arial"/>
          <w:color w:val="231F20"/>
          <w:spacing w:val="-4"/>
          <w:w w:val="85"/>
          <w:sz w:val="14"/>
        </w:rPr>
        <w:t> </w:t>
      </w:r>
      <w:r>
        <w:rPr>
          <w:rFonts w:ascii="Arial" w:hAnsi="Arial"/>
          <w:color w:val="231F20"/>
          <w:w w:val="85"/>
          <w:sz w:val="14"/>
        </w:rPr>
        <w:t>2019.</w:t>
      </w:r>
      <w:r>
        <w:rPr>
          <w:rFonts w:ascii="Arial" w:hAnsi="Arial"/>
          <w:color w:val="231F20"/>
          <w:spacing w:val="-5"/>
          <w:w w:val="85"/>
          <w:sz w:val="14"/>
        </w:rPr>
        <w:t> </w:t>
      </w:r>
      <w:r>
        <w:rPr>
          <w:rFonts w:ascii="Arial" w:hAnsi="Arial"/>
          <w:color w:val="231F20"/>
          <w:w w:val="85"/>
          <w:sz w:val="14"/>
        </w:rPr>
        <w:t>“Port</w:t>
      </w:r>
      <w:r>
        <w:rPr>
          <w:rFonts w:ascii="Arial" w:hAnsi="Arial"/>
          <w:color w:val="231F20"/>
          <w:spacing w:val="40"/>
          <w:sz w:val="14"/>
        </w:rPr>
        <w:t> </w:t>
      </w:r>
      <w:r>
        <w:rPr>
          <w:rFonts w:ascii="Arial" w:hAnsi="Arial"/>
          <w:color w:val="231F20"/>
          <w:w w:val="80"/>
          <w:sz w:val="14"/>
        </w:rPr>
        <w:t>Community System Adoption: Game Theoretic Framework for an</w:t>
      </w:r>
      <w:r>
        <w:rPr>
          <w:rFonts w:ascii="Arial" w:hAnsi="Arial"/>
          <w:color w:val="231F20"/>
          <w:spacing w:val="40"/>
          <w:sz w:val="14"/>
        </w:rPr>
        <w:t> </w:t>
      </w:r>
      <w:r>
        <w:rPr>
          <w:rFonts w:ascii="Arial" w:hAnsi="Arial"/>
          <w:color w:val="231F20"/>
          <w:spacing w:val="-2"/>
          <w:w w:val="80"/>
          <w:sz w:val="14"/>
        </w:rPr>
        <w:t>Emerging</w:t>
      </w:r>
      <w:r>
        <w:rPr>
          <w:rFonts w:ascii="Arial" w:hAnsi="Arial"/>
          <w:color w:val="231F20"/>
          <w:sz w:val="14"/>
        </w:rPr>
        <w:t> </w:t>
      </w:r>
      <w:r>
        <w:rPr>
          <w:rFonts w:ascii="Arial" w:hAnsi="Arial"/>
          <w:color w:val="231F20"/>
          <w:spacing w:val="-2"/>
          <w:w w:val="80"/>
          <w:sz w:val="14"/>
        </w:rPr>
        <w:t>Economy</w:t>
      </w:r>
      <w:r>
        <w:rPr>
          <w:rFonts w:ascii="Arial" w:hAnsi="Arial"/>
          <w:color w:val="231F20"/>
          <w:sz w:val="14"/>
        </w:rPr>
        <w:t> </w:t>
      </w:r>
      <w:r>
        <w:rPr>
          <w:rFonts w:ascii="Arial" w:hAnsi="Arial"/>
          <w:color w:val="231F20"/>
          <w:spacing w:val="-2"/>
          <w:w w:val="80"/>
          <w:sz w:val="14"/>
        </w:rPr>
        <w:t>Case</w:t>
      </w:r>
      <w:r>
        <w:rPr>
          <w:rFonts w:ascii="Arial" w:hAnsi="Arial"/>
          <w:color w:val="231F20"/>
          <w:sz w:val="14"/>
        </w:rPr>
        <w:t> </w:t>
      </w:r>
      <w:r>
        <w:rPr>
          <w:rFonts w:ascii="Arial" w:hAnsi="Arial"/>
          <w:color w:val="231F20"/>
          <w:spacing w:val="-2"/>
          <w:w w:val="80"/>
          <w:sz w:val="14"/>
        </w:rPr>
        <w:t>Study.” </w:t>
      </w:r>
      <w:hyperlink r:id="rId187">
        <w:r>
          <w:rPr>
            <w:rFonts w:ascii="Arial" w:hAnsi="Arial"/>
            <w:i/>
            <w:color w:val="231F20"/>
            <w:spacing w:val="-2"/>
            <w:w w:val="80"/>
            <w:sz w:val="14"/>
          </w:rPr>
          <w:t>Computational</w:t>
        </w:r>
        <w:r>
          <w:rPr>
            <w:rFonts w:ascii="Arial" w:hAnsi="Arial"/>
            <w:i/>
            <w:color w:val="231F20"/>
            <w:sz w:val="14"/>
          </w:rPr>
          <w:t> </w:t>
        </w:r>
        <w:r>
          <w:rPr>
            <w:rFonts w:ascii="Arial" w:hAnsi="Arial"/>
            <w:i/>
            <w:color w:val="231F20"/>
            <w:spacing w:val="-2"/>
            <w:w w:val="80"/>
            <w:sz w:val="14"/>
          </w:rPr>
          <w:t>Logistics</w:t>
        </w:r>
      </w:hyperlink>
      <w:r>
        <w:rPr>
          <w:rFonts w:ascii="Arial" w:hAnsi="Arial"/>
          <w:color w:val="231F20"/>
          <w:spacing w:val="-2"/>
          <w:w w:val="80"/>
          <w:sz w:val="14"/>
        </w:rPr>
        <w:t>, </w:t>
      </w:r>
      <w:r>
        <w:rPr>
          <w:rFonts w:ascii="Arial" w:hAnsi="Arial"/>
          <w:color w:val="231F20"/>
          <w:spacing w:val="-2"/>
          <w:w w:val="80"/>
          <w:sz w:val="14"/>
        </w:rPr>
        <w:t>136–153.</w:t>
      </w:r>
    </w:p>
    <w:p>
      <w:pPr>
        <w:spacing w:line="297" w:lineRule="auto" w:before="2"/>
        <w:ind w:left="1440" w:right="1" w:hanging="240"/>
        <w:jc w:val="left"/>
        <w:rPr>
          <w:rFonts w:ascii="Arial" w:hAnsi="Arial"/>
          <w:sz w:val="14"/>
        </w:rPr>
      </w:pPr>
      <w:r>
        <w:rPr>
          <w:rFonts w:ascii="Arial" w:hAnsi="Arial"/>
          <w:color w:val="231F20"/>
          <w:w w:val="80"/>
          <w:sz w:val="14"/>
        </w:rPr>
        <w:t>Munim,</w:t>
      </w:r>
      <w:r>
        <w:rPr>
          <w:rFonts w:ascii="Arial" w:hAnsi="Arial"/>
          <w:color w:val="231F20"/>
          <w:spacing w:val="-2"/>
          <w:w w:val="80"/>
          <w:sz w:val="14"/>
        </w:rPr>
        <w:t> </w:t>
      </w:r>
      <w:r>
        <w:rPr>
          <w:rFonts w:ascii="Arial" w:hAnsi="Arial"/>
          <w:color w:val="231F20"/>
          <w:w w:val="80"/>
          <w:sz w:val="14"/>
        </w:rPr>
        <w:t>Z. H.,</w:t>
      </w:r>
      <w:r>
        <w:rPr>
          <w:rFonts w:ascii="Arial" w:hAnsi="Arial"/>
          <w:color w:val="231F20"/>
          <w:spacing w:val="-2"/>
          <w:w w:val="80"/>
          <w:sz w:val="14"/>
        </w:rPr>
        <w:t> </w:t>
      </w:r>
      <w:r>
        <w:rPr>
          <w:rFonts w:ascii="Arial" w:hAnsi="Arial"/>
          <w:color w:val="231F20"/>
          <w:w w:val="80"/>
          <w:sz w:val="14"/>
        </w:rPr>
        <w:t>O. Duru,</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2"/>
          <w:w w:val="80"/>
          <w:sz w:val="14"/>
        </w:rPr>
        <w:t> </w:t>
      </w:r>
      <w:r>
        <w:rPr>
          <w:rFonts w:ascii="Arial" w:hAnsi="Arial"/>
          <w:color w:val="231F20"/>
          <w:w w:val="80"/>
          <w:sz w:val="14"/>
        </w:rPr>
        <w:t>A. K.</w:t>
      </w:r>
      <w:r>
        <w:rPr>
          <w:rFonts w:ascii="Arial" w:hAnsi="Arial"/>
          <w:color w:val="231F20"/>
          <w:spacing w:val="-2"/>
          <w:w w:val="80"/>
          <w:sz w:val="14"/>
        </w:rPr>
        <w:t> </w:t>
      </w:r>
      <w:r>
        <w:rPr>
          <w:rFonts w:ascii="Arial" w:hAnsi="Arial"/>
          <w:color w:val="231F20"/>
          <w:w w:val="80"/>
          <w:sz w:val="14"/>
        </w:rPr>
        <w:t>Y. Ng. 2022.</w:t>
      </w:r>
      <w:r>
        <w:rPr>
          <w:rFonts w:ascii="Arial" w:hAnsi="Arial"/>
          <w:color w:val="231F20"/>
          <w:spacing w:val="-2"/>
          <w:w w:val="80"/>
          <w:sz w:val="14"/>
        </w:rPr>
        <w:t> </w:t>
      </w:r>
      <w:r>
        <w:rPr>
          <w:rFonts w:ascii="Arial" w:hAnsi="Arial"/>
          <w:color w:val="231F20"/>
          <w:w w:val="80"/>
          <w:sz w:val="14"/>
        </w:rPr>
        <w:t>“Transshipment Port’s</w:t>
      </w:r>
      <w:r>
        <w:rPr>
          <w:rFonts w:ascii="Arial" w:hAnsi="Arial"/>
          <w:color w:val="231F20"/>
          <w:spacing w:val="40"/>
          <w:sz w:val="14"/>
        </w:rPr>
        <w:t> </w:t>
      </w:r>
      <w:r>
        <w:rPr>
          <w:rFonts w:ascii="Arial" w:hAnsi="Arial"/>
          <w:color w:val="231F20"/>
          <w:w w:val="80"/>
          <w:sz w:val="14"/>
        </w:rPr>
        <w:t>Competitiveness Forecasting Using Analytic Network Process</w:t>
      </w:r>
      <w:r>
        <w:rPr>
          <w:rFonts w:ascii="Arial" w:hAnsi="Arial"/>
          <w:color w:val="231F20"/>
          <w:spacing w:val="40"/>
          <w:sz w:val="14"/>
        </w:rPr>
        <w:t> </w:t>
      </w:r>
      <w:r>
        <w:rPr>
          <w:rFonts w:ascii="Arial" w:hAnsi="Arial"/>
          <w:color w:val="231F20"/>
          <w:w w:val="85"/>
          <w:sz w:val="14"/>
        </w:rPr>
        <w:t>Modelling.” </w:t>
      </w:r>
      <w:r>
        <w:rPr>
          <w:rFonts w:ascii="Arial" w:hAnsi="Arial"/>
          <w:i/>
          <w:color w:val="231F20"/>
          <w:w w:val="85"/>
          <w:sz w:val="14"/>
        </w:rPr>
        <w:t>Transport Policy </w:t>
      </w:r>
      <w:r>
        <w:rPr>
          <w:rFonts w:ascii="Arial" w:hAnsi="Arial"/>
          <w:color w:val="231F20"/>
          <w:w w:val="85"/>
          <w:sz w:val="14"/>
        </w:rPr>
        <w:t>124: 70–82.</w:t>
      </w:r>
    </w:p>
    <w:p>
      <w:pPr>
        <w:spacing w:line="297" w:lineRule="auto" w:before="1"/>
        <w:ind w:left="1440" w:right="176" w:hanging="240"/>
        <w:jc w:val="left"/>
        <w:rPr>
          <w:rFonts w:ascii="Arial" w:hAnsi="Arial"/>
          <w:sz w:val="14"/>
        </w:rPr>
      </w:pPr>
      <w:r>
        <w:rPr>
          <w:rFonts w:ascii="Arial" w:hAnsi="Arial"/>
          <w:color w:val="231F20"/>
          <w:w w:val="80"/>
          <w:sz w:val="14"/>
        </w:rPr>
        <w:t>Nakiboglu,</w:t>
      </w:r>
      <w:r>
        <w:rPr>
          <w:rFonts w:ascii="Arial" w:hAnsi="Arial"/>
          <w:color w:val="231F20"/>
          <w:spacing w:val="-6"/>
          <w:w w:val="80"/>
          <w:sz w:val="14"/>
        </w:rPr>
        <w:t> </w:t>
      </w:r>
      <w:r>
        <w:rPr>
          <w:rFonts w:ascii="Arial" w:hAnsi="Arial"/>
          <w:color w:val="231F20"/>
          <w:w w:val="80"/>
          <w:sz w:val="14"/>
        </w:rPr>
        <w:t>A., and S. Isik. 2021. “Ömer Lüfti Barkan in Turkish History</w:t>
      </w:r>
      <w:r>
        <w:rPr>
          <w:rFonts w:ascii="Arial" w:hAnsi="Arial"/>
          <w:color w:val="231F20"/>
          <w:spacing w:val="40"/>
          <w:sz w:val="14"/>
        </w:rPr>
        <w:t> </w:t>
      </w:r>
      <w:r>
        <w:rPr>
          <w:rFonts w:ascii="Arial" w:hAnsi="Arial"/>
          <w:color w:val="231F20"/>
          <w:w w:val="80"/>
          <w:sz w:val="14"/>
        </w:rPr>
        <w:t>of Economics:</w:t>
      </w:r>
      <w:r>
        <w:rPr>
          <w:rFonts w:ascii="Arial" w:hAnsi="Arial"/>
          <w:color w:val="231F20"/>
          <w:spacing w:val="-3"/>
          <w:w w:val="80"/>
          <w:sz w:val="14"/>
        </w:rPr>
        <w:t> </w:t>
      </w:r>
      <w:r>
        <w:rPr>
          <w:rFonts w:ascii="Arial" w:hAnsi="Arial"/>
          <w:color w:val="231F20"/>
          <w:w w:val="80"/>
          <w:sz w:val="14"/>
        </w:rPr>
        <w:t>His Philosophy and Methodology.”</w:t>
      </w:r>
      <w:r>
        <w:rPr>
          <w:rFonts w:ascii="Arial" w:hAnsi="Arial"/>
          <w:color w:val="231F20"/>
          <w:spacing w:val="-3"/>
          <w:w w:val="80"/>
          <w:sz w:val="14"/>
        </w:rPr>
        <w:t> </w:t>
      </w:r>
      <w:r>
        <w:rPr>
          <w:rFonts w:ascii="Arial" w:hAnsi="Arial"/>
          <w:i/>
          <w:color w:val="231F20"/>
          <w:w w:val="80"/>
          <w:sz w:val="14"/>
        </w:rPr>
        <w:t>Perspectives on</w:t>
      </w:r>
      <w:r>
        <w:rPr>
          <w:rFonts w:ascii="Arial" w:hAnsi="Arial"/>
          <w:i/>
          <w:color w:val="231F20"/>
          <w:spacing w:val="40"/>
          <w:sz w:val="14"/>
        </w:rPr>
        <w:t> </w:t>
      </w:r>
      <w:r>
        <w:rPr>
          <w:rFonts w:ascii="Arial" w:hAnsi="Arial"/>
          <w:i/>
          <w:color w:val="231F20"/>
          <w:w w:val="90"/>
          <w:sz w:val="14"/>
        </w:rPr>
        <w:t>Modern</w:t>
      </w:r>
      <w:r>
        <w:rPr>
          <w:rFonts w:ascii="Arial" w:hAnsi="Arial"/>
          <w:i/>
          <w:color w:val="231F20"/>
          <w:spacing w:val="-6"/>
          <w:w w:val="90"/>
          <w:sz w:val="14"/>
        </w:rPr>
        <w:t> </w:t>
      </w:r>
      <w:r>
        <w:rPr>
          <w:rFonts w:ascii="Arial" w:hAnsi="Arial"/>
          <w:i/>
          <w:color w:val="231F20"/>
          <w:w w:val="90"/>
          <w:sz w:val="14"/>
        </w:rPr>
        <w:t>Economy,</w:t>
      </w:r>
      <w:r>
        <w:rPr>
          <w:rFonts w:ascii="Arial" w:hAnsi="Arial"/>
          <w:i/>
          <w:color w:val="231F20"/>
          <w:spacing w:val="-6"/>
          <w:w w:val="90"/>
          <w:sz w:val="14"/>
        </w:rPr>
        <w:t> </w:t>
      </w:r>
      <w:r>
        <w:rPr>
          <w:rFonts w:ascii="Arial" w:hAnsi="Arial"/>
          <w:color w:val="231F20"/>
          <w:w w:val="90"/>
          <w:sz w:val="14"/>
        </w:rPr>
        <w:t>559–574.</w:t>
      </w:r>
    </w:p>
    <w:p>
      <w:pPr>
        <w:spacing w:line="297" w:lineRule="auto" w:before="102"/>
        <w:ind w:left="437" w:right="2823" w:hanging="240"/>
        <w:jc w:val="left"/>
        <w:rPr>
          <w:rFonts w:ascii="Arial" w:hAnsi="Arial"/>
          <w:sz w:val="14"/>
        </w:rPr>
      </w:pPr>
      <w:r>
        <w:rPr/>
        <w:br w:type="column"/>
      </w:r>
      <w:r>
        <w:rPr>
          <w:rFonts w:ascii="Arial" w:hAnsi="Arial"/>
          <w:color w:val="231F20"/>
          <w:w w:val="85"/>
          <w:sz w:val="14"/>
        </w:rPr>
        <w:t>Nedopil,</w:t>
      </w:r>
      <w:r>
        <w:rPr>
          <w:rFonts w:ascii="Arial" w:hAnsi="Arial"/>
          <w:color w:val="231F20"/>
          <w:spacing w:val="-4"/>
          <w:w w:val="85"/>
          <w:sz w:val="14"/>
        </w:rPr>
        <w:t> </w:t>
      </w:r>
      <w:r>
        <w:rPr>
          <w:rFonts w:ascii="Arial" w:hAnsi="Arial"/>
          <w:color w:val="231F20"/>
          <w:w w:val="85"/>
          <w:sz w:val="14"/>
        </w:rPr>
        <w:t>C.,</w:t>
      </w:r>
      <w:r>
        <w:rPr>
          <w:rFonts w:ascii="Arial" w:hAnsi="Arial"/>
          <w:color w:val="231F20"/>
          <w:spacing w:val="-10"/>
          <w:w w:val="85"/>
          <w:sz w:val="14"/>
        </w:rPr>
        <w:t> </w:t>
      </w:r>
      <w:r>
        <w:rPr>
          <w:rFonts w:ascii="Arial" w:hAnsi="Arial"/>
          <w:color w:val="231F20"/>
          <w:w w:val="85"/>
          <w:sz w:val="14"/>
        </w:rPr>
        <w:t>V. Krechetova,</w:t>
      </w:r>
      <w:r>
        <w:rPr>
          <w:rFonts w:ascii="Arial" w:hAnsi="Arial"/>
          <w:color w:val="231F20"/>
          <w:spacing w:val="-4"/>
          <w:w w:val="85"/>
          <w:sz w:val="14"/>
        </w:rPr>
        <w:t> </w:t>
      </w:r>
      <w:r>
        <w:rPr>
          <w:rFonts w:ascii="Arial" w:hAnsi="Arial"/>
          <w:color w:val="231F20"/>
          <w:w w:val="85"/>
          <w:sz w:val="14"/>
        </w:rPr>
        <w:t>and</w:t>
      </w:r>
      <w:r>
        <w:rPr>
          <w:rFonts w:ascii="Arial" w:hAnsi="Arial"/>
          <w:color w:val="231F20"/>
          <w:spacing w:val="-4"/>
          <w:w w:val="85"/>
          <w:sz w:val="14"/>
        </w:rPr>
        <w:t> </w:t>
      </w:r>
      <w:r>
        <w:rPr>
          <w:rFonts w:ascii="Arial" w:hAnsi="Arial"/>
          <w:color w:val="231F20"/>
          <w:w w:val="85"/>
          <w:sz w:val="14"/>
        </w:rPr>
        <w:t>V. Kryuchkov. 2022. </w:t>
      </w:r>
      <w:r>
        <w:rPr>
          <w:rFonts w:ascii="Arial" w:hAnsi="Arial"/>
          <w:i/>
          <w:color w:val="231F20"/>
          <w:w w:val="85"/>
          <w:sz w:val="14"/>
        </w:rPr>
        <w:t>Strengthening</w:t>
      </w:r>
      <w:r>
        <w:rPr>
          <w:rFonts w:ascii="Arial" w:hAnsi="Arial"/>
          <w:i/>
          <w:color w:val="231F20"/>
          <w:spacing w:val="40"/>
          <w:sz w:val="14"/>
        </w:rPr>
        <w:t> </w:t>
      </w:r>
      <w:r>
        <w:rPr>
          <w:rFonts w:ascii="Arial" w:hAnsi="Arial"/>
          <w:i/>
          <w:color w:val="231F20"/>
          <w:w w:val="75"/>
          <w:sz w:val="14"/>
        </w:rPr>
        <w:t>Capacity</w:t>
      </w:r>
      <w:r>
        <w:rPr>
          <w:rFonts w:ascii="Arial" w:hAnsi="Arial"/>
          <w:i/>
          <w:color w:val="231F20"/>
          <w:sz w:val="14"/>
        </w:rPr>
        <w:t> </w:t>
      </w:r>
      <w:r>
        <w:rPr>
          <w:rFonts w:ascii="Arial" w:hAnsi="Arial"/>
          <w:i/>
          <w:color w:val="231F20"/>
          <w:w w:val="75"/>
          <w:sz w:val="14"/>
        </w:rPr>
        <w:t>for</w:t>
      </w:r>
      <w:r>
        <w:rPr>
          <w:rFonts w:ascii="Arial" w:hAnsi="Arial"/>
          <w:i/>
          <w:color w:val="231F20"/>
          <w:sz w:val="14"/>
        </w:rPr>
        <w:t> </w:t>
      </w:r>
      <w:r>
        <w:rPr>
          <w:rFonts w:ascii="Arial" w:hAnsi="Arial"/>
          <w:i/>
          <w:color w:val="231F20"/>
          <w:w w:val="75"/>
          <w:sz w:val="14"/>
        </w:rPr>
        <w:t>Operationalizing</w:t>
      </w:r>
      <w:r>
        <w:rPr>
          <w:rFonts w:ascii="Arial" w:hAnsi="Arial"/>
          <w:i/>
          <w:color w:val="231F20"/>
          <w:sz w:val="14"/>
        </w:rPr>
        <w:t> </w:t>
      </w:r>
      <w:r>
        <w:rPr>
          <w:rFonts w:ascii="Arial" w:hAnsi="Arial"/>
          <w:i/>
          <w:color w:val="231F20"/>
          <w:w w:val="75"/>
          <w:sz w:val="14"/>
        </w:rPr>
        <w:t>Sustainable Transport</w:t>
      </w:r>
      <w:r>
        <w:rPr>
          <w:rFonts w:ascii="Arial" w:hAnsi="Arial"/>
          <w:i/>
          <w:color w:val="231F20"/>
          <w:sz w:val="14"/>
        </w:rPr>
        <w:t> </w:t>
      </w:r>
      <w:r>
        <w:rPr>
          <w:rFonts w:ascii="Arial" w:hAnsi="Arial"/>
          <w:i/>
          <w:color w:val="231F20"/>
          <w:w w:val="75"/>
          <w:sz w:val="14"/>
        </w:rPr>
        <w:t>Connectivity</w:t>
      </w:r>
      <w:r>
        <w:rPr>
          <w:rFonts w:ascii="Arial" w:hAnsi="Arial"/>
          <w:i/>
          <w:color w:val="231F20"/>
          <w:sz w:val="14"/>
        </w:rPr>
        <w:t> </w:t>
      </w:r>
      <w:r>
        <w:rPr>
          <w:rFonts w:ascii="Arial" w:hAnsi="Arial"/>
          <w:i/>
          <w:color w:val="231F20"/>
          <w:w w:val="75"/>
          <w:sz w:val="14"/>
        </w:rPr>
        <w:t>along</w:t>
      </w:r>
      <w:r>
        <w:rPr>
          <w:rFonts w:ascii="Arial" w:hAnsi="Arial"/>
          <w:i/>
          <w:color w:val="231F20"/>
          <w:spacing w:val="40"/>
          <w:sz w:val="14"/>
        </w:rPr>
        <w:t> </w:t>
      </w:r>
      <w:r>
        <w:rPr>
          <w:rFonts w:ascii="Arial" w:hAnsi="Arial"/>
          <w:i/>
          <w:color w:val="231F20"/>
          <w:w w:val="80"/>
          <w:sz w:val="14"/>
        </w:rPr>
        <w:t>the</w:t>
      </w:r>
      <w:r>
        <w:rPr>
          <w:rFonts w:ascii="Arial" w:hAnsi="Arial"/>
          <w:i/>
          <w:color w:val="231F20"/>
          <w:spacing w:val="-2"/>
          <w:w w:val="80"/>
          <w:sz w:val="14"/>
        </w:rPr>
        <w:t> </w:t>
      </w:r>
      <w:r>
        <w:rPr>
          <w:rFonts w:ascii="Arial" w:hAnsi="Arial"/>
          <w:i/>
          <w:color w:val="231F20"/>
          <w:w w:val="80"/>
          <w:sz w:val="14"/>
        </w:rPr>
        <w:t>China–Central</w:t>
      </w:r>
      <w:r>
        <w:rPr>
          <w:rFonts w:ascii="Arial" w:hAnsi="Arial"/>
          <w:i/>
          <w:color w:val="231F20"/>
          <w:spacing w:val="-4"/>
          <w:w w:val="80"/>
          <w:sz w:val="14"/>
        </w:rPr>
        <w:t> </w:t>
      </w:r>
      <w:r>
        <w:rPr>
          <w:rFonts w:ascii="Arial" w:hAnsi="Arial"/>
          <w:i/>
          <w:color w:val="231F20"/>
          <w:w w:val="80"/>
          <w:sz w:val="14"/>
        </w:rPr>
        <w:t>Asia–West</w:t>
      </w:r>
      <w:r>
        <w:rPr>
          <w:rFonts w:ascii="Arial" w:hAnsi="Arial"/>
          <w:i/>
          <w:color w:val="231F20"/>
          <w:spacing w:val="-3"/>
          <w:w w:val="80"/>
          <w:sz w:val="14"/>
        </w:rPr>
        <w:t> </w:t>
      </w:r>
      <w:r>
        <w:rPr>
          <w:rFonts w:ascii="Arial" w:hAnsi="Arial"/>
          <w:i/>
          <w:color w:val="231F20"/>
          <w:w w:val="80"/>
          <w:sz w:val="14"/>
        </w:rPr>
        <w:t>Asia</w:t>
      </w:r>
      <w:r>
        <w:rPr>
          <w:rFonts w:ascii="Arial" w:hAnsi="Arial"/>
          <w:i/>
          <w:color w:val="231F20"/>
          <w:spacing w:val="-2"/>
          <w:w w:val="80"/>
          <w:sz w:val="14"/>
        </w:rPr>
        <w:t> </w:t>
      </w:r>
      <w:r>
        <w:rPr>
          <w:rFonts w:ascii="Arial" w:hAnsi="Arial"/>
          <w:i/>
          <w:color w:val="231F20"/>
          <w:w w:val="80"/>
          <w:sz w:val="14"/>
        </w:rPr>
        <w:t>Economic</w:t>
      </w:r>
      <w:r>
        <w:rPr>
          <w:rFonts w:ascii="Arial" w:hAnsi="Arial"/>
          <w:i/>
          <w:color w:val="231F20"/>
          <w:spacing w:val="-1"/>
          <w:w w:val="80"/>
          <w:sz w:val="14"/>
        </w:rPr>
        <w:t> </w:t>
      </w:r>
      <w:r>
        <w:rPr>
          <w:rFonts w:ascii="Arial" w:hAnsi="Arial"/>
          <w:i/>
          <w:color w:val="231F20"/>
          <w:w w:val="80"/>
          <w:sz w:val="14"/>
        </w:rPr>
        <w:t>Corridor to</w:t>
      </w:r>
      <w:r>
        <w:rPr>
          <w:rFonts w:ascii="Arial" w:hAnsi="Arial"/>
          <w:i/>
          <w:color w:val="231F20"/>
          <w:spacing w:val="-4"/>
          <w:w w:val="80"/>
          <w:sz w:val="14"/>
        </w:rPr>
        <w:t> </w:t>
      </w:r>
      <w:r>
        <w:rPr>
          <w:rFonts w:ascii="Arial" w:hAnsi="Arial"/>
          <w:i/>
          <w:color w:val="231F20"/>
          <w:w w:val="80"/>
          <w:sz w:val="14"/>
        </w:rPr>
        <w:t>Achieve</w:t>
      </w:r>
      <w:r>
        <w:rPr>
          <w:rFonts w:ascii="Arial" w:hAnsi="Arial"/>
          <w:i/>
          <w:color w:val="231F20"/>
          <w:spacing w:val="-8"/>
          <w:sz w:val="14"/>
        </w:rPr>
        <w:t> </w:t>
      </w:r>
      <w:r>
        <w:rPr>
          <w:rFonts w:ascii="Arial" w:hAnsi="Arial"/>
          <w:i/>
          <w:color w:val="231F20"/>
          <w:w w:val="80"/>
          <w:sz w:val="14"/>
        </w:rPr>
        <w:t>the</w:t>
      </w:r>
      <w:r>
        <w:rPr>
          <w:rFonts w:ascii="Arial" w:hAnsi="Arial"/>
          <w:i/>
          <w:color w:val="231F20"/>
          <w:spacing w:val="40"/>
          <w:sz w:val="14"/>
        </w:rPr>
        <w:t> </w:t>
      </w:r>
      <w:r>
        <w:rPr>
          <w:rFonts w:ascii="Arial" w:hAnsi="Arial"/>
          <w:i/>
          <w:color w:val="231F20"/>
          <w:w w:val="80"/>
          <w:sz w:val="14"/>
        </w:rPr>
        <w:t>2030 Agenda: Study</w:t>
      </w:r>
      <w:r>
        <w:rPr>
          <w:rFonts w:ascii="Arial" w:hAnsi="Arial"/>
          <w:i/>
          <w:color w:val="231F20"/>
          <w:sz w:val="14"/>
        </w:rPr>
        <w:t> </w:t>
      </w:r>
      <w:r>
        <w:rPr>
          <w:rFonts w:ascii="Arial" w:hAnsi="Arial"/>
          <w:i/>
          <w:color w:val="231F20"/>
          <w:w w:val="80"/>
          <w:sz w:val="14"/>
        </w:rPr>
        <w:t>Report</w:t>
      </w:r>
      <w:r>
        <w:rPr>
          <w:rFonts w:ascii="Arial" w:hAnsi="Arial"/>
          <w:color w:val="231F20"/>
          <w:w w:val="80"/>
          <w:sz w:val="14"/>
        </w:rPr>
        <w:t>. New York: United</w:t>
      </w:r>
      <w:r>
        <w:rPr>
          <w:rFonts w:ascii="Arial" w:hAnsi="Arial"/>
          <w:color w:val="231F20"/>
          <w:sz w:val="14"/>
        </w:rPr>
        <w:t> </w:t>
      </w:r>
      <w:r>
        <w:rPr>
          <w:rFonts w:ascii="Arial" w:hAnsi="Arial"/>
          <w:color w:val="231F20"/>
          <w:w w:val="80"/>
          <w:sz w:val="14"/>
        </w:rPr>
        <w:t>Nations.</w:t>
      </w:r>
    </w:p>
    <w:p>
      <w:pPr>
        <w:spacing w:line="297" w:lineRule="auto" w:before="2"/>
        <w:ind w:left="437" w:right="3158" w:hanging="240"/>
        <w:jc w:val="left"/>
        <w:rPr>
          <w:rFonts w:ascii="Arial"/>
          <w:sz w:val="14"/>
        </w:rPr>
      </w:pPr>
      <w:r>
        <w:rPr>
          <w:rFonts w:ascii="Arial"/>
          <w:color w:val="231F20"/>
          <w:w w:val="80"/>
          <w:sz w:val="14"/>
        </w:rPr>
        <w:t>Odero,</w:t>
      </w:r>
      <w:r>
        <w:rPr>
          <w:rFonts w:ascii="Arial"/>
          <w:color w:val="231F20"/>
          <w:spacing w:val="-4"/>
          <w:w w:val="80"/>
          <w:sz w:val="14"/>
        </w:rPr>
        <w:t> </w:t>
      </w:r>
      <w:r>
        <w:rPr>
          <w:rFonts w:ascii="Arial"/>
          <w:color w:val="231F20"/>
          <w:w w:val="80"/>
          <w:sz w:val="14"/>
        </w:rPr>
        <w:t>K.</w:t>
      </w:r>
      <w:r>
        <w:rPr>
          <w:rFonts w:ascii="Arial"/>
          <w:color w:val="231F20"/>
          <w:spacing w:val="-2"/>
          <w:w w:val="80"/>
          <w:sz w:val="14"/>
        </w:rPr>
        <w:t> </w:t>
      </w:r>
      <w:r>
        <w:rPr>
          <w:rFonts w:ascii="Arial"/>
          <w:color w:val="231F20"/>
          <w:w w:val="80"/>
          <w:sz w:val="14"/>
        </w:rPr>
        <w:t>2019. </w:t>
      </w:r>
      <w:r>
        <w:rPr>
          <w:rFonts w:ascii="Arial"/>
          <w:i/>
          <w:color w:val="231F20"/>
          <w:w w:val="80"/>
          <w:sz w:val="14"/>
        </w:rPr>
        <w:t>Namibia State of Logistics 2018 Report</w:t>
      </w:r>
      <w:r>
        <w:rPr>
          <w:rFonts w:ascii="Arial"/>
          <w:color w:val="231F20"/>
          <w:w w:val="80"/>
          <w:sz w:val="14"/>
        </w:rPr>
        <w:t>.</w:t>
      </w:r>
      <w:r>
        <w:rPr>
          <w:rFonts w:ascii="Arial"/>
          <w:color w:val="231F20"/>
          <w:spacing w:val="-9"/>
          <w:w w:val="80"/>
          <w:sz w:val="14"/>
        </w:rPr>
        <w:t> </w:t>
      </w:r>
      <w:r>
        <w:rPr>
          <w:rFonts w:ascii="Arial"/>
          <w:color w:val="231F20"/>
          <w:w w:val="80"/>
          <w:sz w:val="14"/>
        </w:rPr>
        <w:t>Windhoek:</w:t>
      </w:r>
      <w:r>
        <w:rPr>
          <w:rFonts w:ascii="Arial"/>
          <w:color w:val="231F20"/>
          <w:spacing w:val="40"/>
          <w:sz w:val="14"/>
        </w:rPr>
        <w:t> </w:t>
      </w:r>
      <w:r>
        <w:rPr>
          <w:rFonts w:ascii="Arial"/>
          <w:color w:val="231F20"/>
          <w:w w:val="85"/>
          <w:sz w:val="14"/>
        </w:rPr>
        <w:t>Namibian-German</w:t>
      </w:r>
      <w:r>
        <w:rPr>
          <w:rFonts w:ascii="Arial"/>
          <w:color w:val="231F20"/>
          <w:spacing w:val="-4"/>
          <w:w w:val="85"/>
          <w:sz w:val="14"/>
        </w:rPr>
        <w:t> </w:t>
      </w:r>
      <w:r>
        <w:rPr>
          <w:rFonts w:ascii="Arial"/>
          <w:color w:val="231F20"/>
          <w:w w:val="85"/>
          <w:sz w:val="14"/>
        </w:rPr>
        <w:t>Centre</w:t>
      </w:r>
      <w:r>
        <w:rPr>
          <w:rFonts w:ascii="Arial"/>
          <w:color w:val="231F20"/>
          <w:spacing w:val="-4"/>
          <w:w w:val="85"/>
          <w:sz w:val="14"/>
        </w:rPr>
        <w:t> </w:t>
      </w:r>
      <w:r>
        <w:rPr>
          <w:rFonts w:ascii="Arial"/>
          <w:color w:val="231F20"/>
          <w:w w:val="85"/>
          <w:sz w:val="14"/>
        </w:rPr>
        <w:t>for</w:t>
      </w:r>
      <w:r>
        <w:rPr>
          <w:rFonts w:ascii="Arial"/>
          <w:color w:val="231F20"/>
          <w:spacing w:val="-4"/>
          <w:w w:val="85"/>
          <w:sz w:val="14"/>
        </w:rPr>
        <w:t> </w:t>
      </w:r>
      <w:r>
        <w:rPr>
          <w:rFonts w:ascii="Arial"/>
          <w:color w:val="231F20"/>
          <w:w w:val="85"/>
          <w:sz w:val="14"/>
        </w:rPr>
        <w:t>Logistics.</w:t>
      </w:r>
    </w:p>
    <w:p>
      <w:pPr>
        <w:spacing w:line="297" w:lineRule="auto" w:before="1"/>
        <w:ind w:left="437" w:right="2823" w:hanging="240"/>
        <w:jc w:val="left"/>
        <w:rPr>
          <w:rFonts w:ascii="Arial" w:hAnsi="Arial"/>
          <w:sz w:val="14"/>
        </w:rPr>
      </w:pPr>
      <w:r>
        <w:rPr>
          <w:rFonts w:ascii="Arial" w:hAnsi="Arial"/>
          <w:color w:val="231F20"/>
          <w:w w:val="80"/>
          <w:sz w:val="14"/>
        </w:rPr>
        <w:t>Ojadi,</w:t>
      </w:r>
      <w:r>
        <w:rPr>
          <w:rFonts w:ascii="Arial" w:hAnsi="Arial"/>
          <w:color w:val="231F20"/>
          <w:spacing w:val="-3"/>
          <w:w w:val="80"/>
          <w:sz w:val="14"/>
        </w:rPr>
        <w:t> </w:t>
      </w:r>
      <w:r>
        <w:rPr>
          <w:rFonts w:ascii="Arial" w:hAnsi="Arial"/>
          <w:color w:val="231F20"/>
          <w:w w:val="80"/>
          <w:sz w:val="14"/>
        </w:rPr>
        <w:t>F.,</w:t>
      </w:r>
      <w:r>
        <w:rPr>
          <w:rFonts w:ascii="Arial" w:hAnsi="Arial"/>
          <w:color w:val="231F20"/>
          <w:spacing w:val="-3"/>
          <w:w w:val="80"/>
          <w:sz w:val="14"/>
        </w:rPr>
        <w:t> </w:t>
      </w:r>
      <w:r>
        <w:rPr>
          <w:rFonts w:ascii="Arial" w:hAnsi="Arial"/>
          <w:color w:val="231F20"/>
          <w:w w:val="80"/>
          <w:sz w:val="14"/>
        </w:rPr>
        <w:t>and M. Ogah. 2022.</w:t>
      </w:r>
      <w:r>
        <w:rPr>
          <w:rFonts w:ascii="Arial" w:hAnsi="Arial"/>
          <w:color w:val="231F20"/>
          <w:spacing w:val="-3"/>
          <w:w w:val="80"/>
          <w:sz w:val="14"/>
        </w:rPr>
        <w:t> </w:t>
      </w:r>
      <w:r>
        <w:rPr>
          <w:rFonts w:ascii="Arial" w:hAnsi="Arial"/>
          <w:color w:val="231F20"/>
          <w:w w:val="80"/>
          <w:sz w:val="14"/>
        </w:rPr>
        <w:t>“Logistics in the New Public Management</w:t>
      </w:r>
      <w:r>
        <w:rPr>
          <w:rFonts w:ascii="Arial" w:hAnsi="Arial"/>
          <w:color w:val="231F20"/>
          <w:spacing w:val="40"/>
          <w:sz w:val="14"/>
        </w:rPr>
        <w:t> </w:t>
      </w:r>
      <w:r>
        <w:rPr>
          <w:rFonts w:ascii="Arial" w:hAnsi="Arial"/>
          <w:color w:val="231F20"/>
          <w:w w:val="75"/>
          <w:sz w:val="14"/>
        </w:rPr>
        <w:t>Framework</w:t>
      </w:r>
      <w:r>
        <w:rPr>
          <w:rFonts w:ascii="Arial" w:hAnsi="Arial"/>
          <w:color w:val="231F20"/>
          <w:spacing w:val="11"/>
          <w:sz w:val="14"/>
        </w:rPr>
        <w:t> </w:t>
      </w:r>
      <w:r>
        <w:rPr>
          <w:rFonts w:ascii="Arial" w:hAnsi="Arial"/>
          <w:color w:val="231F20"/>
          <w:w w:val="75"/>
          <w:sz w:val="14"/>
        </w:rPr>
        <w:t>in</w:t>
      </w:r>
      <w:r>
        <w:rPr>
          <w:rFonts w:ascii="Arial" w:hAnsi="Arial"/>
          <w:color w:val="231F20"/>
          <w:spacing w:val="4"/>
          <w:sz w:val="14"/>
        </w:rPr>
        <w:t> </w:t>
      </w:r>
      <w:r>
        <w:rPr>
          <w:rFonts w:ascii="Arial" w:hAnsi="Arial"/>
          <w:color w:val="231F20"/>
          <w:w w:val="75"/>
          <w:sz w:val="14"/>
        </w:rPr>
        <w:t>Africa.”</w:t>
      </w:r>
      <w:r>
        <w:rPr>
          <w:rFonts w:ascii="Arial" w:hAnsi="Arial"/>
          <w:color w:val="231F20"/>
          <w:spacing w:val="4"/>
          <w:sz w:val="14"/>
        </w:rPr>
        <w:t> </w:t>
      </w:r>
      <w:r>
        <w:rPr>
          <w:rFonts w:ascii="Arial" w:hAnsi="Arial"/>
          <w:i/>
          <w:color w:val="231F20"/>
          <w:w w:val="75"/>
          <w:sz w:val="14"/>
        </w:rPr>
        <w:t>New</w:t>
      </w:r>
      <w:r>
        <w:rPr>
          <w:rFonts w:ascii="Arial" w:hAnsi="Arial"/>
          <w:i/>
          <w:color w:val="231F20"/>
          <w:spacing w:val="11"/>
          <w:sz w:val="14"/>
        </w:rPr>
        <w:t> </w:t>
      </w:r>
      <w:r>
        <w:rPr>
          <w:rFonts w:ascii="Arial" w:hAnsi="Arial"/>
          <w:i/>
          <w:color w:val="231F20"/>
          <w:w w:val="75"/>
          <w:sz w:val="14"/>
        </w:rPr>
        <w:t>Public</w:t>
      </w:r>
      <w:r>
        <w:rPr>
          <w:rFonts w:ascii="Arial" w:hAnsi="Arial"/>
          <w:i/>
          <w:color w:val="231F20"/>
          <w:spacing w:val="12"/>
          <w:sz w:val="14"/>
        </w:rPr>
        <w:t> </w:t>
      </w:r>
      <w:r>
        <w:rPr>
          <w:rFonts w:ascii="Arial" w:hAnsi="Arial"/>
          <w:i/>
          <w:color w:val="231F20"/>
          <w:w w:val="75"/>
          <w:sz w:val="14"/>
        </w:rPr>
        <w:t>Management</w:t>
      </w:r>
      <w:r>
        <w:rPr>
          <w:rFonts w:ascii="Arial" w:hAnsi="Arial"/>
          <w:i/>
          <w:color w:val="231F20"/>
          <w:spacing w:val="12"/>
          <w:sz w:val="14"/>
        </w:rPr>
        <w:t> </w:t>
      </w:r>
      <w:r>
        <w:rPr>
          <w:rFonts w:ascii="Arial" w:hAnsi="Arial"/>
          <w:i/>
          <w:color w:val="231F20"/>
          <w:w w:val="75"/>
          <w:sz w:val="14"/>
        </w:rPr>
        <w:t>in</w:t>
      </w:r>
      <w:r>
        <w:rPr>
          <w:rFonts w:ascii="Arial" w:hAnsi="Arial"/>
          <w:i/>
          <w:color w:val="231F20"/>
          <w:spacing w:val="3"/>
          <w:sz w:val="14"/>
        </w:rPr>
        <w:t> </w:t>
      </w:r>
      <w:r>
        <w:rPr>
          <w:rFonts w:ascii="Arial" w:hAnsi="Arial"/>
          <w:i/>
          <w:color w:val="231F20"/>
          <w:w w:val="75"/>
          <w:sz w:val="14"/>
        </w:rPr>
        <w:t>Africa,</w:t>
      </w:r>
      <w:r>
        <w:rPr>
          <w:rFonts w:ascii="Arial" w:hAnsi="Arial"/>
          <w:i/>
          <w:color w:val="231F20"/>
          <w:spacing w:val="12"/>
          <w:sz w:val="14"/>
        </w:rPr>
        <w:t> </w:t>
      </w:r>
      <w:r>
        <w:rPr>
          <w:rFonts w:ascii="Arial" w:hAnsi="Arial"/>
          <w:color w:val="231F20"/>
          <w:spacing w:val="-2"/>
          <w:w w:val="75"/>
          <w:sz w:val="14"/>
        </w:rPr>
        <w:t>133–156.</w:t>
      </w:r>
    </w:p>
    <w:p>
      <w:pPr>
        <w:spacing w:line="297" w:lineRule="auto" w:before="0"/>
        <w:ind w:left="437" w:right="2804" w:hanging="240"/>
        <w:jc w:val="left"/>
        <w:rPr>
          <w:rFonts w:ascii="Arial" w:hAnsi="Arial"/>
          <w:sz w:val="14"/>
        </w:rPr>
      </w:pPr>
      <w:r>
        <w:rPr>
          <w:rFonts w:ascii="Arial" w:hAnsi="Arial"/>
          <w:color w:val="231F20"/>
          <w:spacing w:val="-2"/>
          <w:w w:val="85"/>
          <w:sz w:val="14"/>
        </w:rPr>
        <w:t>Oliveira-Dias, D., J.</w:t>
      </w:r>
      <w:r>
        <w:rPr>
          <w:rFonts w:ascii="Arial" w:hAnsi="Arial"/>
          <w:color w:val="231F20"/>
          <w:spacing w:val="-2"/>
          <w:sz w:val="14"/>
        </w:rPr>
        <w:t> </w:t>
      </w:r>
      <w:r>
        <w:rPr>
          <w:rFonts w:ascii="Arial" w:hAnsi="Arial"/>
          <w:color w:val="231F20"/>
          <w:spacing w:val="-2"/>
          <w:w w:val="85"/>
          <w:sz w:val="14"/>
        </w:rPr>
        <w:t>M.</w:t>
      </w:r>
      <w:r>
        <w:rPr>
          <w:rFonts w:ascii="Arial" w:hAnsi="Arial"/>
          <w:color w:val="231F20"/>
          <w:spacing w:val="-2"/>
          <w:sz w:val="14"/>
        </w:rPr>
        <w:t> </w:t>
      </w:r>
      <w:r>
        <w:rPr>
          <w:rFonts w:ascii="Arial" w:hAnsi="Arial"/>
          <w:color w:val="231F20"/>
          <w:spacing w:val="-2"/>
          <w:w w:val="85"/>
          <w:sz w:val="14"/>
        </w:rPr>
        <w:t>Kneipp, R.</w:t>
      </w:r>
      <w:r>
        <w:rPr>
          <w:rFonts w:ascii="Arial" w:hAnsi="Arial"/>
          <w:color w:val="231F20"/>
          <w:spacing w:val="-2"/>
          <w:sz w:val="14"/>
        </w:rPr>
        <w:t> </w:t>
      </w:r>
      <w:r>
        <w:rPr>
          <w:rFonts w:ascii="Arial" w:hAnsi="Arial"/>
          <w:color w:val="231F20"/>
          <w:spacing w:val="-2"/>
          <w:w w:val="85"/>
          <w:sz w:val="14"/>
        </w:rPr>
        <w:t>S.</w:t>
      </w:r>
      <w:r>
        <w:rPr>
          <w:rFonts w:ascii="Arial" w:hAnsi="Arial"/>
          <w:color w:val="231F20"/>
          <w:spacing w:val="-2"/>
          <w:sz w:val="14"/>
        </w:rPr>
        <w:t> </w:t>
      </w:r>
      <w:r>
        <w:rPr>
          <w:rFonts w:ascii="Arial" w:hAnsi="Arial"/>
          <w:color w:val="231F20"/>
          <w:spacing w:val="-2"/>
          <w:w w:val="85"/>
          <w:sz w:val="14"/>
        </w:rPr>
        <w:t>Bichueti, and</w:t>
      </w:r>
      <w:r>
        <w:rPr>
          <w:rFonts w:ascii="Arial" w:hAnsi="Arial"/>
          <w:color w:val="231F20"/>
          <w:spacing w:val="-2"/>
          <w:sz w:val="14"/>
        </w:rPr>
        <w:t> </w:t>
      </w:r>
      <w:r>
        <w:rPr>
          <w:rFonts w:ascii="Arial" w:hAnsi="Arial"/>
          <w:color w:val="231F20"/>
          <w:spacing w:val="-2"/>
          <w:w w:val="85"/>
          <w:sz w:val="14"/>
        </w:rPr>
        <w:t>C.</w:t>
      </w:r>
      <w:r>
        <w:rPr>
          <w:rFonts w:ascii="Arial" w:hAnsi="Arial"/>
          <w:color w:val="231F20"/>
          <w:spacing w:val="-2"/>
          <w:sz w:val="14"/>
        </w:rPr>
        <w:t> </w:t>
      </w:r>
      <w:r>
        <w:rPr>
          <w:rFonts w:ascii="Arial" w:hAnsi="Arial"/>
          <w:color w:val="231F20"/>
          <w:spacing w:val="-2"/>
          <w:w w:val="85"/>
          <w:sz w:val="14"/>
        </w:rPr>
        <w:t>M.</w:t>
      </w:r>
      <w:r>
        <w:rPr>
          <w:rFonts w:ascii="Arial" w:hAnsi="Arial"/>
          <w:color w:val="231F20"/>
          <w:spacing w:val="-2"/>
          <w:sz w:val="14"/>
        </w:rPr>
        <w:t> </w:t>
      </w:r>
      <w:r>
        <w:rPr>
          <w:rFonts w:ascii="Arial" w:hAnsi="Arial"/>
          <w:color w:val="231F20"/>
          <w:spacing w:val="-2"/>
          <w:w w:val="85"/>
          <w:sz w:val="14"/>
        </w:rPr>
        <w:t>Gomes.</w:t>
      </w:r>
      <w:r>
        <w:rPr>
          <w:rFonts w:ascii="Arial" w:hAnsi="Arial"/>
          <w:color w:val="231F20"/>
          <w:spacing w:val="-2"/>
          <w:sz w:val="14"/>
        </w:rPr>
        <w:t> </w:t>
      </w:r>
      <w:r>
        <w:rPr>
          <w:rFonts w:ascii="Arial" w:hAnsi="Arial"/>
          <w:color w:val="231F20"/>
          <w:spacing w:val="-2"/>
          <w:w w:val="85"/>
          <w:sz w:val="14"/>
        </w:rPr>
        <w:t>2022.</w:t>
      </w:r>
      <w:r>
        <w:rPr>
          <w:rFonts w:ascii="Arial" w:hAnsi="Arial"/>
          <w:color w:val="231F20"/>
          <w:spacing w:val="40"/>
          <w:sz w:val="14"/>
        </w:rPr>
        <w:t> </w:t>
      </w:r>
      <w:r>
        <w:rPr>
          <w:rFonts w:ascii="Arial" w:hAnsi="Arial"/>
          <w:color w:val="231F20"/>
          <w:w w:val="80"/>
          <w:sz w:val="14"/>
        </w:rPr>
        <w:t>“Fostering Business Model innovation for Sustainability: A Dynamic</w:t>
      </w:r>
      <w:r>
        <w:rPr>
          <w:rFonts w:ascii="Arial" w:hAnsi="Arial"/>
          <w:color w:val="231F20"/>
          <w:spacing w:val="40"/>
          <w:sz w:val="14"/>
        </w:rPr>
        <w:t> </w:t>
      </w:r>
      <w:r>
        <w:rPr>
          <w:rFonts w:ascii="Arial" w:hAnsi="Arial"/>
          <w:color w:val="231F20"/>
          <w:w w:val="80"/>
          <w:sz w:val="14"/>
        </w:rPr>
        <w:t>Capabilities Perspective.” </w:t>
      </w:r>
      <w:r>
        <w:rPr>
          <w:rFonts w:ascii="Arial" w:hAnsi="Arial"/>
          <w:i/>
          <w:color w:val="231F20"/>
          <w:w w:val="80"/>
          <w:sz w:val="14"/>
        </w:rPr>
        <w:t>Management Decision </w:t>
      </w:r>
      <w:r>
        <w:rPr>
          <w:rFonts w:ascii="Arial" w:hAnsi="Arial"/>
          <w:color w:val="231F20"/>
          <w:w w:val="80"/>
          <w:sz w:val="14"/>
        </w:rPr>
        <w:t>60 (13): 105–129.</w:t>
      </w:r>
    </w:p>
    <w:p>
      <w:pPr>
        <w:spacing w:before="2"/>
        <w:ind w:left="197" w:right="0" w:firstLine="0"/>
        <w:jc w:val="left"/>
        <w:rPr>
          <w:rFonts w:ascii="Arial"/>
          <w:sz w:val="14"/>
        </w:rPr>
      </w:pPr>
      <w:r>
        <w:rPr>
          <w:rFonts w:ascii="Arial"/>
          <w:color w:val="231F20"/>
          <w:w w:val="80"/>
          <w:sz w:val="14"/>
        </w:rPr>
        <w:t>Olyanga,</w:t>
      </w:r>
      <w:r>
        <w:rPr>
          <w:rFonts w:ascii="Arial"/>
          <w:color w:val="231F20"/>
          <w:spacing w:val="-8"/>
          <w:sz w:val="14"/>
        </w:rPr>
        <w:t> </w:t>
      </w:r>
      <w:r>
        <w:rPr>
          <w:rFonts w:ascii="Arial"/>
          <w:color w:val="231F20"/>
          <w:w w:val="80"/>
          <w:sz w:val="14"/>
        </w:rPr>
        <w:t>A.,</w:t>
      </w:r>
      <w:r>
        <w:rPr>
          <w:rFonts w:ascii="Arial"/>
          <w:color w:val="231F20"/>
          <w:sz w:val="14"/>
        </w:rPr>
        <w:t> </w:t>
      </w:r>
      <w:r>
        <w:rPr>
          <w:rFonts w:ascii="Arial"/>
          <w:color w:val="231F20"/>
          <w:w w:val="80"/>
          <w:sz w:val="14"/>
        </w:rPr>
        <w:t>I.</w:t>
      </w:r>
      <w:r>
        <w:rPr>
          <w:rFonts w:ascii="Arial"/>
          <w:color w:val="231F20"/>
          <w:spacing w:val="6"/>
          <w:sz w:val="14"/>
        </w:rPr>
        <w:t> </w:t>
      </w:r>
      <w:r>
        <w:rPr>
          <w:rFonts w:ascii="Arial"/>
          <w:color w:val="231F20"/>
          <w:w w:val="80"/>
          <w:sz w:val="14"/>
        </w:rPr>
        <w:t>Shinyekwa,</w:t>
      </w:r>
      <w:r>
        <w:rPr>
          <w:rFonts w:ascii="Arial"/>
          <w:color w:val="231F20"/>
          <w:sz w:val="14"/>
        </w:rPr>
        <w:t> </w:t>
      </w:r>
      <w:r>
        <w:rPr>
          <w:rFonts w:ascii="Arial"/>
          <w:color w:val="231F20"/>
          <w:w w:val="80"/>
          <w:sz w:val="14"/>
        </w:rPr>
        <w:t>M.</w:t>
      </w:r>
      <w:r>
        <w:rPr>
          <w:rFonts w:ascii="Arial"/>
          <w:color w:val="231F20"/>
          <w:spacing w:val="6"/>
          <w:sz w:val="14"/>
        </w:rPr>
        <w:t> </w:t>
      </w:r>
      <w:r>
        <w:rPr>
          <w:rFonts w:ascii="Arial"/>
          <w:color w:val="231F20"/>
          <w:w w:val="80"/>
          <w:sz w:val="14"/>
        </w:rPr>
        <w:t>Ngoma,</w:t>
      </w:r>
      <w:r>
        <w:rPr>
          <w:rFonts w:ascii="Arial"/>
          <w:color w:val="231F20"/>
          <w:sz w:val="14"/>
        </w:rPr>
        <w:t> </w:t>
      </w:r>
      <w:r>
        <w:rPr>
          <w:rFonts w:ascii="Arial"/>
          <w:color w:val="231F20"/>
          <w:w w:val="80"/>
          <w:sz w:val="14"/>
        </w:rPr>
        <w:t>I.</w:t>
      </w:r>
      <w:r>
        <w:rPr>
          <w:rFonts w:ascii="Arial"/>
          <w:color w:val="231F20"/>
          <w:spacing w:val="6"/>
          <w:sz w:val="14"/>
        </w:rPr>
        <w:t> </w:t>
      </w:r>
      <w:r>
        <w:rPr>
          <w:rFonts w:ascii="Arial"/>
          <w:color w:val="231F20"/>
          <w:w w:val="80"/>
          <w:sz w:val="14"/>
        </w:rPr>
        <w:t>Nkote,</w:t>
      </w:r>
      <w:r>
        <w:rPr>
          <w:rFonts w:ascii="Arial"/>
          <w:color w:val="231F20"/>
          <w:spacing w:val="-7"/>
          <w:sz w:val="14"/>
        </w:rPr>
        <w:t> </w:t>
      </w:r>
      <w:r>
        <w:rPr>
          <w:rFonts w:ascii="Arial"/>
          <w:color w:val="231F20"/>
          <w:w w:val="80"/>
          <w:sz w:val="14"/>
        </w:rPr>
        <w:t>T.</w:t>
      </w:r>
      <w:r>
        <w:rPr>
          <w:rFonts w:ascii="Arial"/>
          <w:color w:val="231F20"/>
          <w:spacing w:val="6"/>
          <w:sz w:val="14"/>
        </w:rPr>
        <w:t> </w:t>
      </w:r>
      <w:r>
        <w:rPr>
          <w:rFonts w:ascii="Arial"/>
          <w:color w:val="231F20"/>
          <w:w w:val="80"/>
          <w:sz w:val="14"/>
        </w:rPr>
        <w:t>Esemu,</w:t>
      </w:r>
      <w:r>
        <w:rPr>
          <w:rFonts w:ascii="Arial"/>
          <w:color w:val="231F20"/>
          <w:sz w:val="14"/>
        </w:rPr>
        <w:t> </w:t>
      </w:r>
      <w:r>
        <w:rPr>
          <w:rFonts w:ascii="Arial"/>
          <w:color w:val="231F20"/>
          <w:spacing w:val="-5"/>
          <w:w w:val="80"/>
          <w:sz w:val="14"/>
        </w:rPr>
        <w:t>and</w:t>
      </w:r>
    </w:p>
    <w:p>
      <w:pPr>
        <w:spacing w:line="297" w:lineRule="auto" w:before="39"/>
        <w:ind w:left="437" w:right="3054" w:firstLine="0"/>
        <w:jc w:val="left"/>
        <w:rPr>
          <w:rFonts w:ascii="Arial" w:hAnsi="Arial"/>
          <w:sz w:val="14"/>
        </w:rPr>
      </w:pPr>
      <w:r>
        <w:rPr>
          <w:rFonts w:ascii="Arial" w:hAnsi="Arial"/>
          <w:color w:val="231F20"/>
          <w:w w:val="80"/>
          <w:sz w:val="14"/>
        </w:rPr>
        <w:t>M. Kamya. 2022a. “Export Logistics Infrastructure and Export</w:t>
      </w:r>
      <w:r>
        <w:rPr>
          <w:rFonts w:ascii="Arial" w:hAnsi="Arial"/>
          <w:color w:val="231F20"/>
          <w:spacing w:val="40"/>
          <w:sz w:val="14"/>
        </w:rPr>
        <w:t> </w:t>
      </w:r>
      <w:r>
        <w:rPr>
          <w:rFonts w:ascii="Arial" w:hAnsi="Arial"/>
          <w:color w:val="231F20"/>
          <w:spacing w:val="-2"/>
          <w:w w:val="80"/>
          <w:sz w:val="14"/>
        </w:rPr>
        <w:t>Competitiveness</w:t>
      </w:r>
      <w:r>
        <w:rPr>
          <w:rFonts w:ascii="Arial" w:hAnsi="Arial"/>
          <w:color w:val="231F20"/>
          <w:spacing w:val="-2"/>
          <w:sz w:val="14"/>
        </w:rPr>
        <w:t> </w:t>
      </w:r>
      <w:r>
        <w:rPr>
          <w:rFonts w:ascii="Arial" w:hAnsi="Arial"/>
          <w:color w:val="231F20"/>
          <w:spacing w:val="-2"/>
          <w:w w:val="80"/>
          <w:sz w:val="14"/>
        </w:rPr>
        <w:t>in</w:t>
      </w:r>
      <w:r>
        <w:rPr>
          <w:rFonts w:ascii="Arial" w:hAnsi="Arial"/>
          <w:color w:val="231F20"/>
          <w:spacing w:val="-2"/>
          <w:sz w:val="14"/>
        </w:rPr>
        <w:t> </w:t>
      </w:r>
      <w:r>
        <w:rPr>
          <w:rFonts w:ascii="Arial" w:hAnsi="Arial"/>
          <w:color w:val="231F20"/>
          <w:spacing w:val="-2"/>
          <w:w w:val="80"/>
          <w:sz w:val="14"/>
        </w:rPr>
        <w:t>the</w:t>
      </w:r>
      <w:r>
        <w:rPr>
          <w:rFonts w:ascii="Arial" w:hAnsi="Arial"/>
          <w:color w:val="231F20"/>
          <w:spacing w:val="-2"/>
          <w:sz w:val="14"/>
        </w:rPr>
        <w:t> </w:t>
      </w:r>
      <w:r>
        <w:rPr>
          <w:rFonts w:ascii="Arial" w:hAnsi="Arial"/>
          <w:color w:val="231F20"/>
          <w:spacing w:val="-2"/>
          <w:w w:val="80"/>
          <w:sz w:val="14"/>
        </w:rPr>
        <w:t>East African</w:t>
      </w:r>
      <w:r>
        <w:rPr>
          <w:rFonts w:ascii="Arial" w:hAnsi="Arial"/>
          <w:color w:val="231F20"/>
          <w:spacing w:val="-2"/>
          <w:sz w:val="14"/>
        </w:rPr>
        <w:t> </w:t>
      </w:r>
      <w:r>
        <w:rPr>
          <w:rFonts w:ascii="Arial" w:hAnsi="Arial"/>
          <w:color w:val="231F20"/>
          <w:spacing w:val="-2"/>
          <w:w w:val="80"/>
          <w:sz w:val="14"/>
        </w:rPr>
        <w:t>Community.” </w:t>
      </w:r>
      <w:r>
        <w:rPr>
          <w:rFonts w:ascii="Arial" w:hAnsi="Arial"/>
          <w:i/>
          <w:color w:val="231F20"/>
          <w:spacing w:val="-2"/>
          <w:w w:val="80"/>
          <w:sz w:val="14"/>
        </w:rPr>
        <w:t>Modern</w:t>
      </w:r>
      <w:r>
        <w:rPr>
          <w:rFonts w:ascii="Arial" w:hAnsi="Arial"/>
          <w:i/>
          <w:color w:val="231F20"/>
          <w:spacing w:val="-2"/>
          <w:sz w:val="14"/>
        </w:rPr>
        <w:t> </w:t>
      </w:r>
      <w:r>
        <w:rPr>
          <w:rFonts w:ascii="Arial" w:hAnsi="Arial"/>
          <w:i/>
          <w:color w:val="231F20"/>
          <w:spacing w:val="-2"/>
          <w:w w:val="80"/>
          <w:sz w:val="14"/>
        </w:rPr>
        <w:t>Suppl</w:t>
      </w:r>
      <w:r>
        <w:rPr>
          <w:rFonts w:ascii="Arial" w:hAnsi="Arial"/>
          <w:i/>
          <w:color w:val="231F20"/>
          <w:spacing w:val="-2"/>
          <w:w w:val="80"/>
          <w:sz w:val="14"/>
        </w:rPr>
        <w:t>y</w:t>
      </w:r>
      <w:r>
        <w:rPr>
          <w:rFonts w:ascii="Arial" w:hAnsi="Arial"/>
          <w:i/>
          <w:color w:val="231F20"/>
          <w:spacing w:val="40"/>
          <w:sz w:val="14"/>
        </w:rPr>
        <w:t> </w:t>
      </w:r>
      <w:r>
        <w:rPr>
          <w:rFonts w:ascii="Arial" w:hAnsi="Arial"/>
          <w:i/>
          <w:color w:val="231F20"/>
          <w:w w:val="85"/>
          <w:sz w:val="14"/>
        </w:rPr>
        <w:t>Chain</w:t>
      </w:r>
      <w:r>
        <w:rPr>
          <w:rFonts w:ascii="Arial" w:hAnsi="Arial"/>
          <w:i/>
          <w:color w:val="231F20"/>
          <w:spacing w:val="-4"/>
          <w:w w:val="85"/>
          <w:sz w:val="14"/>
        </w:rPr>
        <w:t> </w:t>
      </w:r>
      <w:r>
        <w:rPr>
          <w:rFonts w:ascii="Arial" w:hAnsi="Arial"/>
          <w:i/>
          <w:color w:val="231F20"/>
          <w:w w:val="85"/>
          <w:sz w:val="14"/>
        </w:rPr>
        <w:t>Research</w:t>
      </w:r>
      <w:r>
        <w:rPr>
          <w:rFonts w:ascii="Arial" w:hAnsi="Arial"/>
          <w:i/>
          <w:color w:val="231F20"/>
          <w:spacing w:val="-4"/>
          <w:w w:val="85"/>
          <w:sz w:val="14"/>
        </w:rPr>
        <w:t> </w:t>
      </w:r>
      <w:r>
        <w:rPr>
          <w:rFonts w:ascii="Arial" w:hAnsi="Arial"/>
          <w:i/>
          <w:color w:val="231F20"/>
          <w:w w:val="85"/>
          <w:sz w:val="14"/>
        </w:rPr>
        <w:t>and</w:t>
      </w:r>
      <w:r>
        <w:rPr>
          <w:rFonts w:ascii="Arial" w:hAnsi="Arial"/>
          <w:i/>
          <w:color w:val="231F20"/>
          <w:spacing w:val="-5"/>
          <w:w w:val="85"/>
          <w:sz w:val="14"/>
        </w:rPr>
        <w:t> </w:t>
      </w:r>
      <w:r>
        <w:rPr>
          <w:rFonts w:ascii="Arial" w:hAnsi="Arial"/>
          <w:i/>
          <w:color w:val="231F20"/>
          <w:w w:val="85"/>
          <w:sz w:val="14"/>
        </w:rPr>
        <w:t>Applications</w:t>
      </w:r>
      <w:r>
        <w:rPr>
          <w:rFonts w:ascii="Arial" w:hAnsi="Arial"/>
          <w:i/>
          <w:color w:val="231F20"/>
          <w:spacing w:val="-4"/>
          <w:w w:val="85"/>
          <w:sz w:val="14"/>
        </w:rPr>
        <w:t> </w:t>
      </w:r>
      <w:r>
        <w:rPr>
          <w:rFonts w:ascii="Arial" w:hAnsi="Arial"/>
          <w:color w:val="231F20"/>
          <w:w w:val="85"/>
          <w:sz w:val="14"/>
        </w:rPr>
        <w:t>4</w:t>
      </w:r>
      <w:r>
        <w:rPr>
          <w:rFonts w:ascii="Arial" w:hAnsi="Arial"/>
          <w:color w:val="231F20"/>
          <w:spacing w:val="-4"/>
          <w:w w:val="85"/>
          <w:sz w:val="14"/>
        </w:rPr>
        <w:t> </w:t>
      </w:r>
      <w:r>
        <w:rPr>
          <w:rFonts w:ascii="Arial" w:hAnsi="Arial"/>
          <w:color w:val="231F20"/>
          <w:w w:val="85"/>
          <w:sz w:val="14"/>
        </w:rPr>
        <w:t>(1):</w:t>
      </w:r>
      <w:r>
        <w:rPr>
          <w:rFonts w:ascii="Arial" w:hAnsi="Arial"/>
          <w:color w:val="231F20"/>
          <w:spacing w:val="-5"/>
          <w:w w:val="85"/>
          <w:sz w:val="14"/>
        </w:rPr>
        <w:t> </w:t>
      </w:r>
      <w:r>
        <w:rPr>
          <w:rFonts w:ascii="Arial" w:hAnsi="Arial"/>
          <w:color w:val="231F20"/>
          <w:w w:val="85"/>
          <w:sz w:val="14"/>
        </w:rPr>
        <w:t>39–61.</w:t>
      </w:r>
    </w:p>
    <w:p>
      <w:pPr>
        <w:spacing w:line="297" w:lineRule="auto" w:before="1"/>
        <w:ind w:left="437" w:right="3054" w:hanging="240"/>
        <w:jc w:val="left"/>
        <w:rPr>
          <w:rFonts w:ascii="Arial" w:hAnsi="Arial"/>
          <w:sz w:val="14"/>
        </w:rPr>
      </w:pPr>
      <w:r>
        <w:rPr>
          <w:rFonts w:ascii="Arial" w:hAnsi="Arial"/>
          <w:color w:val="231F20"/>
          <w:w w:val="85"/>
          <w:sz w:val="14"/>
        </w:rPr>
        <w:t>Olyanga,</w:t>
      </w:r>
      <w:r>
        <w:rPr>
          <w:rFonts w:ascii="Arial" w:hAnsi="Arial"/>
          <w:color w:val="231F20"/>
          <w:spacing w:val="-9"/>
          <w:w w:val="85"/>
          <w:sz w:val="14"/>
        </w:rPr>
        <w:t> </w:t>
      </w:r>
      <w:r>
        <w:rPr>
          <w:rFonts w:ascii="Arial" w:hAnsi="Arial"/>
          <w:color w:val="231F20"/>
          <w:w w:val="85"/>
          <w:sz w:val="14"/>
        </w:rPr>
        <w:t>A.,</w:t>
      </w:r>
      <w:r>
        <w:rPr>
          <w:rFonts w:ascii="Arial" w:hAnsi="Arial"/>
          <w:color w:val="231F20"/>
          <w:spacing w:val="-3"/>
          <w:w w:val="85"/>
          <w:sz w:val="14"/>
        </w:rPr>
        <w:t> </w:t>
      </w:r>
      <w:r>
        <w:rPr>
          <w:rFonts w:ascii="Arial" w:hAnsi="Arial"/>
          <w:color w:val="231F20"/>
          <w:w w:val="85"/>
          <w:sz w:val="14"/>
        </w:rPr>
        <w:t>I. Shinyekwa,</w:t>
      </w:r>
      <w:r>
        <w:rPr>
          <w:rFonts w:ascii="Arial" w:hAnsi="Arial"/>
          <w:color w:val="231F20"/>
          <w:spacing w:val="-3"/>
          <w:w w:val="85"/>
          <w:sz w:val="14"/>
        </w:rPr>
        <w:t> </w:t>
      </w:r>
      <w:r>
        <w:rPr>
          <w:rFonts w:ascii="Arial" w:hAnsi="Arial"/>
          <w:color w:val="231F20"/>
          <w:w w:val="85"/>
          <w:sz w:val="14"/>
        </w:rPr>
        <w:t>M. Ngoma,</w:t>
      </w:r>
      <w:r>
        <w:rPr>
          <w:rFonts w:ascii="Arial" w:hAnsi="Arial"/>
          <w:color w:val="231F20"/>
          <w:spacing w:val="-3"/>
          <w:w w:val="85"/>
          <w:sz w:val="14"/>
        </w:rPr>
        <w:t> </w:t>
      </w:r>
      <w:r>
        <w:rPr>
          <w:rFonts w:ascii="Arial" w:hAnsi="Arial"/>
          <w:color w:val="231F20"/>
          <w:w w:val="85"/>
          <w:sz w:val="14"/>
        </w:rPr>
        <w:t>I. Nkote,</w:t>
      </w:r>
      <w:r>
        <w:rPr>
          <w:rFonts w:ascii="Arial" w:hAnsi="Arial"/>
          <w:color w:val="231F20"/>
          <w:spacing w:val="-9"/>
          <w:w w:val="85"/>
          <w:sz w:val="14"/>
        </w:rPr>
        <w:t> </w:t>
      </w:r>
      <w:r>
        <w:rPr>
          <w:rFonts w:ascii="Arial" w:hAnsi="Arial"/>
          <w:color w:val="231F20"/>
          <w:w w:val="85"/>
          <w:sz w:val="14"/>
        </w:rPr>
        <w:t>T. Esemu,</w:t>
      </w:r>
      <w:r>
        <w:rPr>
          <w:rFonts w:ascii="Arial" w:hAnsi="Arial"/>
          <w:color w:val="231F20"/>
          <w:spacing w:val="-3"/>
          <w:w w:val="85"/>
          <w:sz w:val="14"/>
        </w:rPr>
        <w:t> </w:t>
      </w:r>
      <w:r>
        <w:rPr>
          <w:rFonts w:ascii="Arial" w:hAnsi="Arial"/>
          <w:color w:val="231F20"/>
          <w:w w:val="85"/>
          <w:sz w:val="14"/>
        </w:rPr>
        <w:t>and M.</w:t>
      </w:r>
      <w:r>
        <w:rPr>
          <w:rFonts w:ascii="Arial" w:hAnsi="Arial"/>
          <w:color w:val="231F20"/>
          <w:spacing w:val="40"/>
          <w:sz w:val="14"/>
        </w:rPr>
        <w:t> </w:t>
      </w:r>
      <w:r>
        <w:rPr>
          <w:rFonts w:ascii="Arial" w:hAnsi="Arial"/>
          <w:color w:val="231F20"/>
          <w:w w:val="80"/>
          <w:sz w:val="14"/>
        </w:rPr>
        <w:t>Kamya. 2022b. “Innovativeness and Export Competitiveness in</w:t>
      </w:r>
      <w:r>
        <w:rPr>
          <w:rFonts w:ascii="Arial" w:hAnsi="Arial"/>
          <w:color w:val="231F20"/>
          <w:spacing w:val="40"/>
          <w:sz w:val="14"/>
        </w:rPr>
        <w:t> </w:t>
      </w:r>
      <w:r>
        <w:rPr>
          <w:rFonts w:ascii="Arial" w:hAnsi="Arial"/>
          <w:color w:val="231F20"/>
          <w:w w:val="75"/>
          <w:sz w:val="14"/>
        </w:rPr>
        <w:t>the</w:t>
      </w:r>
      <w:r>
        <w:rPr>
          <w:rFonts w:ascii="Arial" w:hAnsi="Arial"/>
          <w:color w:val="231F20"/>
          <w:sz w:val="14"/>
        </w:rPr>
        <w:t> </w:t>
      </w:r>
      <w:r>
        <w:rPr>
          <w:rFonts w:ascii="Arial" w:hAnsi="Arial"/>
          <w:color w:val="231F20"/>
          <w:w w:val="75"/>
          <w:sz w:val="14"/>
        </w:rPr>
        <w:t>East African</w:t>
      </w:r>
      <w:r>
        <w:rPr>
          <w:rFonts w:ascii="Arial" w:hAnsi="Arial"/>
          <w:color w:val="231F20"/>
          <w:sz w:val="14"/>
        </w:rPr>
        <w:t> </w:t>
      </w:r>
      <w:r>
        <w:rPr>
          <w:rFonts w:ascii="Arial" w:hAnsi="Arial"/>
          <w:color w:val="231F20"/>
          <w:w w:val="75"/>
          <w:sz w:val="14"/>
        </w:rPr>
        <w:t>Community.” </w:t>
      </w:r>
      <w:r>
        <w:rPr>
          <w:rFonts w:ascii="Arial" w:hAnsi="Arial"/>
          <w:i/>
          <w:color w:val="231F20"/>
          <w:w w:val="75"/>
          <w:sz w:val="14"/>
        </w:rPr>
        <w:t>Modern</w:t>
      </w:r>
      <w:r>
        <w:rPr>
          <w:rFonts w:ascii="Arial" w:hAnsi="Arial"/>
          <w:i/>
          <w:color w:val="231F20"/>
          <w:sz w:val="14"/>
        </w:rPr>
        <w:t> </w:t>
      </w:r>
      <w:r>
        <w:rPr>
          <w:rFonts w:ascii="Arial" w:hAnsi="Arial"/>
          <w:i/>
          <w:color w:val="231F20"/>
          <w:w w:val="75"/>
          <w:sz w:val="14"/>
        </w:rPr>
        <w:t>Supply</w:t>
      </w:r>
      <w:r>
        <w:rPr>
          <w:rFonts w:ascii="Arial" w:hAnsi="Arial"/>
          <w:i/>
          <w:color w:val="231F20"/>
          <w:sz w:val="14"/>
        </w:rPr>
        <w:t> </w:t>
      </w:r>
      <w:r>
        <w:rPr>
          <w:rFonts w:ascii="Arial" w:hAnsi="Arial"/>
          <w:i/>
          <w:color w:val="231F20"/>
          <w:w w:val="75"/>
          <w:sz w:val="14"/>
        </w:rPr>
        <w:t>Chain</w:t>
      </w:r>
      <w:r>
        <w:rPr>
          <w:rFonts w:ascii="Arial" w:hAnsi="Arial"/>
          <w:i/>
          <w:color w:val="231F20"/>
          <w:sz w:val="14"/>
        </w:rPr>
        <w:t> </w:t>
      </w:r>
      <w:r>
        <w:rPr>
          <w:rFonts w:ascii="Arial" w:hAnsi="Arial"/>
          <w:i/>
          <w:color w:val="231F20"/>
          <w:w w:val="75"/>
          <w:sz w:val="14"/>
        </w:rPr>
        <w:t>Research</w:t>
      </w:r>
      <w:r>
        <w:rPr>
          <w:rFonts w:ascii="Arial" w:hAnsi="Arial"/>
          <w:i/>
          <w:color w:val="231F20"/>
          <w:sz w:val="14"/>
        </w:rPr>
        <w:t> </w:t>
      </w:r>
      <w:r>
        <w:rPr>
          <w:rFonts w:ascii="Arial" w:hAnsi="Arial"/>
          <w:i/>
          <w:color w:val="231F20"/>
          <w:w w:val="75"/>
          <w:sz w:val="14"/>
        </w:rPr>
        <w:t>and</w:t>
      </w:r>
      <w:r>
        <w:rPr>
          <w:rFonts w:ascii="Arial" w:hAnsi="Arial"/>
          <w:i/>
          <w:color w:val="231F20"/>
          <w:spacing w:val="40"/>
          <w:sz w:val="14"/>
        </w:rPr>
        <w:t> </w:t>
      </w:r>
      <w:r>
        <w:rPr>
          <w:rFonts w:ascii="Arial" w:hAnsi="Arial"/>
          <w:i/>
          <w:color w:val="231F20"/>
          <w:w w:val="90"/>
          <w:sz w:val="14"/>
        </w:rPr>
        <w:t>Applications </w:t>
      </w:r>
      <w:r>
        <w:rPr>
          <w:rFonts w:ascii="Arial" w:hAnsi="Arial"/>
          <w:color w:val="231F20"/>
          <w:w w:val="90"/>
          <w:sz w:val="14"/>
        </w:rPr>
        <w:t>4 (1).</w:t>
      </w:r>
    </w:p>
    <w:p>
      <w:pPr>
        <w:spacing w:line="297" w:lineRule="auto" w:before="1"/>
        <w:ind w:left="437" w:right="3158" w:hanging="240"/>
        <w:jc w:val="left"/>
        <w:rPr>
          <w:rFonts w:ascii="Arial" w:hAnsi="Arial"/>
          <w:sz w:val="14"/>
        </w:rPr>
      </w:pPr>
      <w:r>
        <w:rPr>
          <w:rFonts w:ascii="Arial" w:hAnsi="Arial"/>
          <w:color w:val="231F20"/>
          <w:w w:val="85"/>
          <w:sz w:val="14"/>
        </w:rPr>
        <w:t>Otuzlu Sanrı,</w:t>
      </w:r>
      <w:r>
        <w:rPr>
          <w:rFonts w:ascii="Arial" w:hAnsi="Arial"/>
          <w:color w:val="231F20"/>
          <w:spacing w:val="-4"/>
          <w:w w:val="85"/>
          <w:sz w:val="14"/>
        </w:rPr>
        <w:t> </w:t>
      </w:r>
      <w:r>
        <w:rPr>
          <w:rFonts w:ascii="Arial" w:hAnsi="Arial"/>
          <w:color w:val="231F20"/>
          <w:w w:val="85"/>
          <w:sz w:val="14"/>
        </w:rPr>
        <w:t>Ö.,</w:t>
      </w:r>
      <w:r>
        <w:rPr>
          <w:rFonts w:ascii="Arial" w:hAnsi="Arial"/>
          <w:color w:val="231F20"/>
          <w:spacing w:val="-4"/>
          <w:w w:val="85"/>
          <w:sz w:val="14"/>
        </w:rPr>
        <w:t> </w:t>
      </w:r>
      <w:r>
        <w:rPr>
          <w:rFonts w:ascii="Arial" w:hAnsi="Arial"/>
          <w:color w:val="231F20"/>
          <w:w w:val="85"/>
          <w:sz w:val="14"/>
        </w:rPr>
        <w:t>and</w:t>
      </w:r>
      <w:r>
        <w:rPr>
          <w:rFonts w:ascii="Arial" w:hAnsi="Arial"/>
          <w:color w:val="231F20"/>
          <w:spacing w:val="-4"/>
          <w:w w:val="85"/>
          <w:sz w:val="14"/>
        </w:rPr>
        <w:t> </w:t>
      </w:r>
      <w:r>
        <w:rPr>
          <w:rFonts w:ascii="Arial" w:hAnsi="Arial"/>
          <w:color w:val="231F20"/>
          <w:w w:val="85"/>
          <w:sz w:val="14"/>
        </w:rPr>
        <w:t>A. Piskin. 2019. </w:t>
      </w:r>
      <w:r>
        <w:rPr>
          <w:rFonts w:ascii="Arial" w:hAnsi="Arial"/>
          <w:i/>
          <w:color w:val="231F20"/>
          <w:w w:val="85"/>
          <w:sz w:val="14"/>
        </w:rPr>
        <w:t>The Impact of Logistics</w:t>
      </w:r>
      <w:r>
        <w:rPr>
          <w:rFonts w:ascii="Arial" w:hAnsi="Arial"/>
          <w:i/>
          <w:color w:val="231F20"/>
          <w:spacing w:val="40"/>
          <w:sz w:val="14"/>
        </w:rPr>
        <w:t> </w:t>
      </w:r>
      <w:r>
        <w:rPr>
          <w:rFonts w:ascii="Arial" w:hAnsi="Arial"/>
          <w:i/>
          <w:color w:val="231F20"/>
          <w:w w:val="75"/>
          <w:sz w:val="14"/>
        </w:rPr>
        <w:t>Performance</w:t>
      </w:r>
      <w:r>
        <w:rPr>
          <w:rFonts w:ascii="Arial" w:hAnsi="Arial"/>
          <w:i/>
          <w:color w:val="231F20"/>
          <w:sz w:val="14"/>
        </w:rPr>
        <w:t> </w:t>
      </w:r>
      <w:r>
        <w:rPr>
          <w:rFonts w:ascii="Arial" w:hAnsi="Arial"/>
          <w:i/>
          <w:color w:val="231F20"/>
          <w:w w:val="75"/>
          <w:sz w:val="14"/>
        </w:rPr>
        <w:t>on</w:t>
      </w:r>
      <w:r>
        <w:rPr>
          <w:rFonts w:ascii="Arial" w:hAnsi="Arial"/>
          <w:i/>
          <w:color w:val="231F20"/>
          <w:sz w:val="14"/>
        </w:rPr>
        <w:t> </w:t>
      </w:r>
      <w:r>
        <w:rPr>
          <w:rFonts w:ascii="Arial" w:hAnsi="Arial"/>
          <w:i/>
          <w:color w:val="231F20"/>
          <w:w w:val="75"/>
          <w:sz w:val="14"/>
        </w:rPr>
        <w:t>Growth: Evidence</w:t>
      </w:r>
      <w:r>
        <w:rPr>
          <w:rFonts w:ascii="Arial" w:hAnsi="Arial"/>
          <w:i/>
          <w:color w:val="231F20"/>
          <w:sz w:val="14"/>
        </w:rPr>
        <w:t> </w:t>
      </w:r>
      <w:r>
        <w:rPr>
          <w:rFonts w:ascii="Arial" w:hAnsi="Arial"/>
          <w:i/>
          <w:color w:val="231F20"/>
          <w:w w:val="75"/>
          <w:sz w:val="14"/>
        </w:rPr>
        <w:t>from</w:t>
      </w:r>
      <w:r>
        <w:rPr>
          <w:rFonts w:ascii="Arial" w:hAnsi="Arial"/>
          <w:i/>
          <w:color w:val="231F20"/>
          <w:sz w:val="14"/>
        </w:rPr>
        <w:t> </w:t>
      </w:r>
      <w:r>
        <w:rPr>
          <w:rFonts w:ascii="Arial" w:hAnsi="Arial"/>
          <w:i/>
          <w:color w:val="231F20"/>
          <w:w w:val="75"/>
          <w:sz w:val="14"/>
        </w:rPr>
        <w:t>OECD</w:t>
      </w:r>
      <w:r>
        <w:rPr>
          <w:rFonts w:ascii="Arial" w:hAnsi="Arial"/>
          <w:i/>
          <w:color w:val="231F20"/>
          <w:sz w:val="14"/>
        </w:rPr>
        <w:t> </w:t>
      </w:r>
      <w:r>
        <w:rPr>
          <w:rFonts w:ascii="Arial" w:hAnsi="Arial"/>
          <w:i/>
          <w:color w:val="231F20"/>
          <w:w w:val="75"/>
          <w:sz w:val="14"/>
        </w:rPr>
        <w:t>Countries. </w:t>
      </w:r>
      <w:r>
        <w:rPr>
          <w:rFonts w:ascii="Arial" w:hAnsi="Arial"/>
          <w:color w:val="231F20"/>
          <w:w w:val="75"/>
          <w:sz w:val="14"/>
        </w:rPr>
        <w:t>17th</w:t>
      </w:r>
      <w:r>
        <w:rPr>
          <w:rFonts w:ascii="Arial" w:hAnsi="Arial"/>
          <w:color w:val="231F20"/>
          <w:spacing w:val="40"/>
          <w:sz w:val="14"/>
        </w:rPr>
        <w:t> </w:t>
      </w:r>
      <w:r>
        <w:rPr>
          <w:rFonts w:ascii="Arial" w:hAnsi="Arial"/>
          <w:color w:val="231F20"/>
          <w:w w:val="80"/>
          <w:sz w:val="14"/>
        </w:rPr>
        <w:t>International Logistics and Supply Chain Congress,</w:t>
      </w:r>
      <w:r>
        <w:rPr>
          <w:rFonts w:ascii="Arial" w:hAnsi="Arial"/>
          <w:color w:val="231F20"/>
          <w:spacing w:val="-1"/>
          <w:w w:val="80"/>
          <w:sz w:val="14"/>
        </w:rPr>
        <w:t> </w:t>
      </w:r>
      <w:r>
        <w:rPr>
          <w:rFonts w:ascii="Arial" w:hAnsi="Arial"/>
          <w:color w:val="231F20"/>
          <w:w w:val="80"/>
          <w:sz w:val="14"/>
        </w:rPr>
        <w:t>Istanbul.</w:t>
      </w:r>
    </w:p>
    <w:p>
      <w:pPr>
        <w:spacing w:line="297" w:lineRule="auto" w:before="1"/>
        <w:ind w:left="437" w:right="2804" w:hanging="240"/>
        <w:jc w:val="left"/>
        <w:rPr>
          <w:rFonts w:ascii="Arial" w:hAnsi="Arial"/>
          <w:sz w:val="14"/>
        </w:rPr>
      </w:pPr>
      <w:r>
        <w:rPr>
          <w:rFonts w:ascii="Arial" w:hAnsi="Arial"/>
          <w:color w:val="231F20"/>
          <w:w w:val="80"/>
          <w:sz w:val="14"/>
        </w:rPr>
        <w:t>Pavlic Skender,</w:t>
      </w:r>
      <w:r>
        <w:rPr>
          <w:rFonts w:ascii="Arial" w:hAnsi="Arial"/>
          <w:color w:val="231F20"/>
          <w:spacing w:val="-3"/>
          <w:w w:val="80"/>
          <w:sz w:val="14"/>
        </w:rPr>
        <w:t> </w:t>
      </w:r>
      <w:r>
        <w:rPr>
          <w:rFonts w:ascii="Arial" w:hAnsi="Arial"/>
          <w:color w:val="231F20"/>
          <w:w w:val="80"/>
          <w:sz w:val="14"/>
        </w:rPr>
        <w:t>H.,</w:t>
      </w:r>
      <w:r>
        <w:rPr>
          <w:rFonts w:ascii="Arial" w:hAnsi="Arial"/>
          <w:color w:val="231F20"/>
          <w:spacing w:val="-3"/>
          <w:w w:val="80"/>
          <w:sz w:val="14"/>
        </w:rPr>
        <w:t> </w:t>
      </w:r>
      <w:r>
        <w:rPr>
          <w:rFonts w:ascii="Arial" w:hAnsi="Arial"/>
          <w:color w:val="231F20"/>
          <w:w w:val="80"/>
          <w:sz w:val="14"/>
        </w:rPr>
        <w:t>P. Zaninovic´,</w:t>
      </w:r>
      <w:r>
        <w:rPr>
          <w:rFonts w:ascii="Arial" w:hAnsi="Arial"/>
          <w:color w:val="231F20"/>
          <w:spacing w:val="-3"/>
          <w:w w:val="80"/>
          <w:sz w:val="14"/>
        </w:rPr>
        <w:t> </w:t>
      </w:r>
      <w:r>
        <w:rPr>
          <w:rFonts w:ascii="Arial" w:hAnsi="Arial"/>
          <w:color w:val="231F20"/>
          <w:w w:val="80"/>
          <w:sz w:val="14"/>
        </w:rPr>
        <w:t>and</w:t>
      </w:r>
      <w:r>
        <w:rPr>
          <w:rFonts w:ascii="Arial" w:hAnsi="Arial"/>
          <w:color w:val="231F20"/>
          <w:spacing w:val="-3"/>
          <w:w w:val="80"/>
          <w:sz w:val="14"/>
        </w:rPr>
        <w:t> </w:t>
      </w:r>
      <w:r>
        <w:rPr>
          <w:rFonts w:ascii="Arial" w:hAnsi="Arial"/>
          <w:color w:val="231F20"/>
          <w:w w:val="80"/>
          <w:sz w:val="14"/>
        </w:rPr>
        <w:t>A. Štefanic´. 2020.</w:t>
      </w:r>
      <w:r>
        <w:rPr>
          <w:rFonts w:ascii="Arial" w:hAnsi="Arial"/>
          <w:color w:val="231F20"/>
          <w:spacing w:val="-3"/>
          <w:w w:val="80"/>
          <w:sz w:val="14"/>
        </w:rPr>
        <w:t> </w:t>
      </w:r>
      <w:r>
        <w:rPr>
          <w:rFonts w:ascii="Arial" w:hAnsi="Arial"/>
          <w:color w:val="231F20"/>
          <w:w w:val="80"/>
          <w:sz w:val="14"/>
        </w:rPr>
        <w:t>“The Logistics</w:t>
      </w:r>
      <w:r>
        <w:rPr>
          <w:rFonts w:ascii="Arial" w:hAnsi="Arial"/>
          <w:color w:val="231F20"/>
          <w:spacing w:val="40"/>
          <w:sz w:val="14"/>
        </w:rPr>
        <w:t> </w:t>
      </w:r>
      <w:r>
        <w:rPr>
          <w:rFonts w:ascii="Arial" w:hAnsi="Arial"/>
          <w:color w:val="231F20"/>
          <w:w w:val="80"/>
          <w:sz w:val="14"/>
        </w:rPr>
        <w:t>Performance Analysis in European Union: EU-15 vs. EU-13.”</w:t>
      </w:r>
      <w:r>
        <w:rPr>
          <w:rFonts w:ascii="Arial" w:hAnsi="Arial"/>
          <w:color w:val="231F20"/>
          <w:spacing w:val="40"/>
          <w:sz w:val="14"/>
        </w:rPr>
        <w:t> </w:t>
      </w:r>
      <w:r>
        <w:rPr>
          <w:rFonts w:ascii="Arial" w:hAnsi="Arial"/>
          <w:i/>
          <w:color w:val="231F20"/>
          <w:w w:val="85"/>
          <w:sz w:val="14"/>
        </w:rPr>
        <w:t>Ekonomika</w:t>
      </w:r>
      <w:r>
        <w:rPr>
          <w:rFonts w:ascii="Arial" w:hAnsi="Arial"/>
          <w:i/>
          <w:color w:val="231F20"/>
          <w:spacing w:val="-4"/>
          <w:w w:val="85"/>
          <w:sz w:val="14"/>
        </w:rPr>
        <w:t> </w:t>
      </w:r>
      <w:r>
        <w:rPr>
          <w:rFonts w:ascii="Arial" w:hAnsi="Arial"/>
          <w:i/>
          <w:color w:val="231F20"/>
          <w:w w:val="85"/>
          <w:sz w:val="14"/>
        </w:rPr>
        <w:t>I</w:t>
      </w:r>
      <w:r>
        <w:rPr>
          <w:rFonts w:ascii="Arial" w:hAnsi="Arial"/>
          <w:i/>
          <w:color w:val="231F20"/>
          <w:spacing w:val="-4"/>
          <w:w w:val="85"/>
          <w:sz w:val="14"/>
        </w:rPr>
        <w:t> </w:t>
      </w:r>
      <w:r>
        <w:rPr>
          <w:rFonts w:ascii="Arial" w:hAnsi="Arial"/>
          <w:i/>
          <w:color w:val="231F20"/>
          <w:w w:val="85"/>
          <w:sz w:val="14"/>
        </w:rPr>
        <w:t>Organizacja</w:t>
      </w:r>
      <w:r>
        <w:rPr>
          <w:rFonts w:ascii="Arial" w:hAnsi="Arial"/>
          <w:i/>
          <w:color w:val="231F20"/>
          <w:spacing w:val="-4"/>
          <w:w w:val="85"/>
          <w:sz w:val="14"/>
        </w:rPr>
        <w:t> </w:t>
      </w:r>
      <w:r>
        <w:rPr>
          <w:rFonts w:ascii="Arial" w:hAnsi="Arial"/>
          <w:i/>
          <w:color w:val="231F20"/>
          <w:w w:val="85"/>
          <w:sz w:val="14"/>
        </w:rPr>
        <w:t>Logistyki</w:t>
      </w:r>
      <w:r>
        <w:rPr>
          <w:rFonts w:ascii="Arial" w:hAnsi="Arial"/>
          <w:i/>
          <w:color w:val="231F20"/>
          <w:spacing w:val="-4"/>
          <w:w w:val="85"/>
          <w:sz w:val="14"/>
        </w:rPr>
        <w:t> </w:t>
      </w:r>
      <w:r>
        <w:rPr>
          <w:rFonts w:ascii="Arial" w:hAnsi="Arial"/>
          <w:color w:val="231F20"/>
          <w:w w:val="85"/>
          <w:sz w:val="14"/>
        </w:rPr>
        <w:t>5</w:t>
      </w:r>
      <w:r>
        <w:rPr>
          <w:rFonts w:ascii="Arial" w:hAnsi="Arial"/>
          <w:color w:val="231F20"/>
          <w:spacing w:val="-4"/>
          <w:w w:val="85"/>
          <w:sz w:val="14"/>
        </w:rPr>
        <w:t> </w:t>
      </w:r>
      <w:r>
        <w:rPr>
          <w:rFonts w:ascii="Arial" w:hAnsi="Arial"/>
          <w:color w:val="231F20"/>
          <w:w w:val="85"/>
          <w:sz w:val="14"/>
        </w:rPr>
        <w:t>(3):</w:t>
      </w:r>
      <w:r>
        <w:rPr>
          <w:rFonts w:ascii="Arial" w:hAnsi="Arial"/>
          <w:color w:val="231F20"/>
          <w:spacing w:val="-5"/>
          <w:w w:val="85"/>
          <w:sz w:val="14"/>
        </w:rPr>
        <w:t> </w:t>
      </w:r>
      <w:r>
        <w:rPr>
          <w:rFonts w:ascii="Arial" w:hAnsi="Arial"/>
          <w:color w:val="231F20"/>
          <w:w w:val="85"/>
          <w:sz w:val="14"/>
        </w:rPr>
        <w:t>5–16.</w:t>
      </w:r>
    </w:p>
    <w:p>
      <w:pPr>
        <w:spacing w:line="297" w:lineRule="auto" w:before="2"/>
        <w:ind w:left="437" w:right="2804" w:hanging="240"/>
        <w:jc w:val="left"/>
        <w:rPr>
          <w:rFonts w:ascii="Arial" w:hAnsi="Arial"/>
          <w:sz w:val="14"/>
        </w:rPr>
      </w:pPr>
      <w:r>
        <w:rPr>
          <w:rFonts w:ascii="Arial" w:hAnsi="Arial"/>
          <w:color w:val="231F20"/>
          <w:w w:val="85"/>
          <w:sz w:val="14"/>
        </w:rPr>
        <w:t>Phuong</w:t>
      </w:r>
      <w:r>
        <w:rPr>
          <w:rFonts w:ascii="Arial" w:hAnsi="Arial"/>
          <w:color w:val="231F20"/>
          <w:spacing w:val="-5"/>
          <w:w w:val="85"/>
          <w:sz w:val="14"/>
        </w:rPr>
        <w:t> </w:t>
      </w:r>
      <w:r>
        <w:rPr>
          <w:rFonts w:ascii="Arial" w:hAnsi="Arial"/>
          <w:color w:val="231F20"/>
          <w:w w:val="85"/>
          <w:sz w:val="14"/>
        </w:rPr>
        <w:t>Vu,</w:t>
      </w:r>
      <w:r>
        <w:rPr>
          <w:rFonts w:ascii="Arial" w:hAnsi="Arial"/>
          <w:color w:val="231F20"/>
          <w:spacing w:val="-10"/>
          <w:w w:val="85"/>
          <w:sz w:val="14"/>
        </w:rPr>
        <w:t> </w:t>
      </w:r>
      <w:r>
        <w:rPr>
          <w:rFonts w:ascii="Arial" w:hAnsi="Arial"/>
          <w:color w:val="231F20"/>
          <w:w w:val="85"/>
          <w:sz w:val="14"/>
        </w:rPr>
        <w:t>T.,</w:t>
      </w:r>
      <w:r>
        <w:rPr>
          <w:rFonts w:ascii="Arial" w:hAnsi="Arial"/>
          <w:color w:val="231F20"/>
          <w:spacing w:val="-5"/>
          <w:w w:val="85"/>
          <w:sz w:val="14"/>
        </w:rPr>
        <w:t> </w:t>
      </w:r>
      <w:r>
        <w:rPr>
          <w:rFonts w:ascii="Arial" w:hAnsi="Arial"/>
          <w:color w:val="231F20"/>
          <w:w w:val="85"/>
          <w:sz w:val="14"/>
        </w:rPr>
        <w:t>D. B. Grant,</w:t>
      </w:r>
      <w:r>
        <w:rPr>
          <w:rFonts w:ascii="Arial" w:hAnsi="Arial"/>
          <w:color w:val="231F20"/>
          <w:spacing w:val="-5"/>
          <w:w w:val="85"/>
          <w:sz w:val="14"/>
        </w:rPr>
        <w:t> </w:t>
      </w:r>
      <w:r>
        <w:rPr>
          <w:rFonts w:ascii="Arial" w:hAnsi="Arial"/>
          <w:color w:val="231F20"/>
          <w:w w:val="85"/>
          <w:sz w:val="14"/>
        </w:rPr>
        <w:t>and D.</w:t>
      </w:r>
      <w:r>
        <w:rPr>
          <w:rFonts w:ascii="Arial" w:hAnsi="Arial"/>
          <w:color w:val="231F20"/>
          <w:spacing w:val="-5"/>
          <w:w w:val="85"/>
          <w:sz w:val="14"/>
        </w:rPr>
        <w:t> </w:t>
      </w:r>
      <w:r>
        <w:rPr>
          <w:rFonts w:ascii="Arial" w:hAnsi="Arial"/>
          <w:color w:val="231F20"/>
          <w:w w:val="85"/>
          <w:sz w:val="14"/>
        </w:rPr>
        <w:t>A. Menachof. 2020.</w:t>
      </w:r>
      <w:r>
        <w:rPr>
          <w:rFonts w:ascii="Arial" w:hAnsi="Arial"/>
          <w:color w:val="231F20"/>
          <w:spacing w:val="-5"/>
          <w:w w:val="85"/>
          <w:sz w:val="14"/>
        </w:rPr>
        <w:t> </w:t>
      </w:r>
      <w:r>
        <w:rPr>
          <w:rFonts w:ascii="Arial" w:hAnsi="Arial"/>
          <w:color w:val="231F20"/>
          <w:w w:val="85"/>
          <w:sz w:val="14"/>
        </w:rPr>
        <w:t>“Exploring</w:t>
      </w:r>
      <w:r>
        <w:rPr>
          <w:rFonts w:ascii="Arial" w:hAnsi="Arial"/>
          <w:color w:val="231F20"/>
          <w:spacing w:val="40"/>
          <w:sz w:val="14"/>
        </w:rPr>
        <w:t> </w:t>
      </w:r>
      <w:r>
        <w:rPr>
          <w:rFonts w:ascii="Arial" w:hAnsi="Arial"/>
          <w:color w:val="231F20"/>
          <w:w w:val="75"/>
          <w:sz w:val="14"/>
        </w:rPr>
        <w:t>Logistics</w:t>
      </w:r>
      <w:r>
        <w:rPr>
          <w:rFonts w:ascii="Arial" w:hAnsi="Arial"/>
          <w:color w:val="231F20"/>
          <w:sz w:val="14"/>
        </w:rPr>
        <w:t> </w:t>
      </w:r>
      <w:r>
        <w:rPr>
          <w:rFonts w:ascii="Arial" w:hAnsi="Arial"/>
          <w:color w:val="231F20"/>
          <w:w w:val="75"/>
          <w:sz w:val="14"/>
        </w:rPr>
        <w:t>Service</w:t>
      </w:r>
      <w:r>
        <w:rPr>
          <w:rFonts w:ascii="Arial" w:hAnsi="Arial"/>
          <w:color w:val="231F20"/>
          <w:sz w:val="14"/>
        </w:rPr>
        <w:t> </w:t>
      </w:r>
      <w:r>
        <w:rPr>
          <w:rFonts w:ascii="Arial" w:hAnsi="Arial"/>
          <w:color w:val="231F20"/>
          <w:w w:val="75"/>
          <w:sz w:val="14"/>
        </w:rPr>
        <w:t>Quality</w:t>
      </w:r>
      <w:r>
        <w:rPr>
          <w:rFonts w:ascii="Arial" w:hAnsi="Arial"/>
          <w:color w:val="231F20"/>
          <w:sz w:val="14"/>
        </w:rPr>
        <w:t> </w:t>
      </w:r>
      <w:r>
        <w:rPr>
          <w:rFonts w:ascii="Arial" w:hAnsi="Arial"/>
          <w:color w:val="231F20"/>
          <w:w w:val="75"/>
          <w:sz w:val="14"/>
        </w:rPr>
        <w:t>in</w:t>
      </w:r>
      <w:r>
        <w:rPr>
          <w:rFonts w:ascii="Arial" w:hAnsi="Arial"/>
          <w:color w:val="231F20"/>
          <w:sz w:val="14"/>
        </w:rPr>
        <w:t> </w:t>
      </w:r>
      <w:r>
        <w:rPr>
          <w:rFonts w:ascii="Arial" w:hAnsi="Arial"/>
          <w:color w:val="231F20"/>
          <w:w w:val="75"/>
          <w:sz w:val="14"/>
        </w:rPr>
        <w:t>Hai</w:t>
      </w:r>
      <w:r>
        <w:rPr>
          <w:rFonts w:ascii="Arial" w:hAnsi="Arial"/>
          <w:color w:val="231F20"/>
          <w:sz w:val="14"/>
        </w:rPr>
        <w:t> </w:t>
      </w:r>
      <w:r>
        <w:rPr>
          <w:rFonts w:ascii="Arial" w:hAnsi="Arial"/>
          <w:color w:val="231F20"/>
          <w:w w:val="75"/>
          <w:sz w:val="14"/>
        </w:rPr>
        <w:t>Phong, Vietnam.” </w:t>
      </w:r>
      <w:r>
        <w:rPr>
          <w:rFonts w:ascii="Arial" w:hAnsi="Arial"/>
          <w:i/>
          <w:color w:val="231F20"/>
          <w:w w:val="75"/>
          <w:sz w:val="14"/>
        </w:rPr>
        <w:t>The Asian</w:t>
      </w:r>
      <w:r>
        <w:rPr>
          <w:rFonts w:ascii="Arial" w:hAnsi="Arial"/>
          <w:i/>
          <w:color w:val="231F20"/>
          <w:sz w:val="14"/>
        </w:rPr>
        <w:t> </w:t>
      </w:r>
      <w:r>
        <w:rPr>
          <w:rFonts w:ascii="Arial" w:hAnsi="Arial"/>
          <w:i/>
          <w:color w:val="231F20"/>
          <w:w w:val="75"/>
          <w:sz w:val="14"/>
        </w:rPr>
        <w:t>Journal</w:t>
      </w:r>
      <w:r>
        <w:rPr>
          <w:rFonts w:ascii="Arial" w:hAnsi="Arial"/>
          <w:i/>
          <w:color w:val="231F20"/>
          <w:sz w:val="14"/>
        </w:rPr>
        <w:t> </w:t>
      </w:r>
      <w:r>
        <w:rPr>
          <w:rFonts w:ascii="Arial" w:hAnsi="Arial"/>
          <w:i/>
          <w:color w:val="231F20"/>
          <w:w w:val="75"/>
          <w:sz w:val="14"/>
        </w:rPr>
        <w:t>of</w:t>
      </w:r>
      <w:r>
        <w:rPr>
          <w:rFonts w:ascii="Arial" w:hAnsi="Arial"/>
          <w:i/>
          <w:color w:val="231F20"/>
          <w:spacing w:val="40"/>
          <w:sz w:val="14"/>
        </w:rPr>
        <w:t> </w:t>
      </w:r>
      <w:r>
        <w:rPr>
          <w:rFonts w:ascii="Arial" w:hAnsi="Arial"/>
          <w:i/>
          <w:color w:val="231F20"/>
          <w:w w:val="85"/>
          <w:sz w:val="14"/>
        </w:rPr>
        <w:t>Shipping and Logistics </w:t>
      </w:r>
      <w:r>
        <w:rPr>
          <w:rFonts w:ascii="Arial" w:hAnsi="Arial"/>
          <w:color w:val="231F20"/>
          <w:w w:val="85"/>
          <w:sz w:val="14"/>
        </w:rPr>
        <w:t>36 (2): 54–64.</w:t>
      </w:r>
    </w:p>
    <w:p>
      <w:pPr>
        <w:spacing w:line="297" w:lineRule="auto" w:before="1"/>
        <w:ind w:left="437" w:right="2804" w:hanging="240"/>
        <w:jc w:val="left"/>
        <w:rPr>
          <w:rFonts w:ascii="Arial" w:hAnsi="Arial"/>
          <w:sz w:val="14"/>
        </w:rPr>
      </w:pPr>
      <w:r>
        <w:rPr>
          <w:rFonts w:ascii="Arial" w:hAnsi="Arial"/>
          <w:color w:val="231F20"/>
          <w:w w:val="85"/>
          <w:sz w:val="14"/>
        </w:rPr>
        <w:t>Prakash,</w:t>
      </w:r>
      <w:r>
        <w:rPr>
          <w:rFonts w:ascii="Arial" w:hAnsi="Arial"/>
          <w:color w:val="231F20"/>
          <w:spacing w:val="-5"/>
          <w:w w:val="85"/>
          <w:sz w:val="14"/>
        </w:rPr>
        <w:t> </w:t>
      </w:r>
      <w:r>
        <w:rPr>
          <w:rFonts w:ascii="Arial" w:hAnsi="Arial"/>
          <w:color w:val="231F20"/>
          <w:w w:val="85"/>
          <w:sz w:val="14"/>
        </w:rPr>
        <w:t>K.,</w:t>
      </w:r>
      <w:r>
        <w:rPr>
          <w:rFonts w:ascii="Arial" w:hAnsi="Arial"/>
          <w:color w:val="231F20"/>
          <w:spacing w:val="-5"/>
          <w:w w:val="85"/>
          <w:sz w:val="14"/>
        </w:rPr>
        <w:t> </w:t>
      </w:r>
      <w:r>
        <w:rPr>
          <w:rFonts w:ascii="Arial" w:hAnsi="Arial"/>
          <w:color w:val="231F20"/>
          <w:w w:val="85"/>
          <w:sz w:val="14"/>
        </w:rPr>
        <w:t>and M. S. Nagi. 2021.</w:t>
      </w:r>
      <w:r>
        <w:rPr>
          <w:rFonts w:ascii="Arial" w:hAnsi="Arial"/>
          <w:color w:val="231F20"/>
          <w:spacing w:val="-5"/>
          <w:w w:val="85"/>
          <w:sz w:val="14"/>
        </w:rPr>
        <w:t> </w:t>
      </w:r>
      <w:r>
        <w:rPr>
          <w:rFonts w:ascii="Arial" w:hAnsi="Arial"/>
          <w:color w:val="231F20"/>
          <w:w w:val="85"/>
          <w:sz w:val="14"/>
        </w:rPr>
        <w:t>“Client Satisfaction</w:t>
      </w:r>
      <w:r>
        <w:rPr>
          <w:rFonts w:ascii="Arial" w:hAnsi="Arial"/>
          <w:color w:val="231F20"/>
          <w:spacing w:val="-5"/>
          <w:w w:val="85"/>
          <w:sz w:val="14"/>
        </w:rPr>
        <w:t> </w:t>
      </w:r>
      <w:r>
        <w:rPr>
          <w:rFonts w:ascii="Arial" w:hAnsi="Arial"/>
          <w:color w:val="231F20"/>
          <w:w w:val="85"/>
          <w:sz w:val="14"/>
        </w:rPr>
        <w:t>Towards</w:t>
      </w:r>
      <w:r>
        <w:rPr>
          <w:rFonts w:ascii="Arial" w:hAnsi="Arial"/>
          <w:color w:val="231F20"/>
          <w:spacing w:val="40"/>
          <w:sz w:val="14"/>
        </w:rPr>
        <w:t> </w:t>
      </w:r>
      <w:r>
        <w:rPr>
          <w:rFonts w:ascii="Arial" w:hAnsi="Arial"/>
          <w:color w:val="231F20"/>
          <w:w w:val="75"/>
          <w:sz w:val="14"/>
        </w:rPr>
        <w:t>Transportation</w:t>
      </w:r>
      <w:r>
        <w:rPr>
          <w:rFonts w:ascii="Arial" w:hAnsi="Arial"/>
          <w:color w:val="231F20"/>
          <w:sz w:val="14"/>
        </w:rPr>
        <w:t> </w:t>
      </w:r>
      <w:r>
        <w:rPr>
          <w:rFonts w:ascii="Arial" w:hAnsi="Arial"/>
          <w:color w:val="231F20"/>
          <w:w w:val="75"/>
          <w:sz w:val="14"/>
        </w:rPr>
        <w:t>and</w:t>
      </w:r>
      <w:r>
        <w:rPr>
          <w:rFonts w:ascii="Arial" w:hAnsi="Arial"/>
          <w:color w:val="231F20"/>
          <w:sz w:val="14"/>
        </w:rPr>
        <w:t> </w:t>
      </w:r>
      <w:r>
        <w:rPr>
          <w:rFonts w:ascii="Arial" w:hAnsi="Arial"/>
          <w:color w:val="231F20"/>
          <w:w w:val="75"/>
          <w:sz w:val="14"/>
        </w:rPr>
        <w:t>Logistics</w:t>
      </w:r>
      <w:r>
        <w:rPr>
          <w:rFonts w:ascii="Arial" w:hAnsi="Arial"/>
          <w:color w:val="231F20"/>
          <w:sz w:val="14"/>
        </w:rPr>
        <w:t> </w:t>
      </w:r>
      <w:r>
        <w:rPr>
          <w:rFonts w:ascii="Arial" w:hAnsi="Arial"/>
          <w:color w:val="231F20"/>
          <w:w w:val="75"/>
          <w:sz w:val="14"/>
        </w:rPr>
        <w:t>Services</w:t>
      </w:r>
      <w:r>
        <w:rPr>
          <w:rFonts w:ascii="Arial" w:hAnsi="Arial"/>
          <w:color w:val="231F20"/>
          <w:sz w:val="14"/>
        </w:rPr>
        <w:t> </w:t>
      </w:r>
      <w:r>
        <w:rPr>
          <w:rFonts w:ascii="Arial" w:hAnsi="Arial"/>
          <w:color w:val="231F20"/>
          <w:w w:val="75"/>
          <w:sz w:val="14"/>
        </w:rPr>
        <w:t>Providers, Tamil</w:t>
      </w:r>
      <w:r>
        <w:rPr>
          <w:rFonts w:ascii="Arial" w:hAnsi="Arial"/>
          <w:color w:val="231F20"/>
          <w:sz w:val="14"/>
        </w:rPr>
        <w:t> </w:t>
      </w:r>
      <w:r>
        <w:rPr>
          <w:rFonts w:ascii="Arial" w:hAnsi="Arial"/>
          <w:color w:val="231F20"/>
          <w:w w:val="75"/>
          <w:sz w:val="14"/>
        </w:rPr>
        <w:t>Nadu.” </w:t>
      </w:r>
      <w:r>
        <w:rPr>
          <w:rFonts w:ascii="Arial" w:hAnsi="Arial"/>
          <w:i/>
          <w:color w:val="231F20"/>
          <w:w w:val="75"/>
          <w:sz w:val="14"/>
        </w:rPr>
        <w:t>Global</w:t>
      </w:r>
      <w:r>
        <w:rPr>
          <w:rFonts w:ascii="Arial" w:hAnsi="Arial"/>
          <w:i/>
          <w:color w:val="231F20"/>
          <w:spacing w:val="40"/>
          <w:sz w:val="14"/>
        </w:rPr>
        <w:t> </w:t>
      </w:r>
      <w:r>
        <w:rPr>
          <w:rFonts w:ascii="Arial" w:hAnsi="Arial"/>
          <w:i/>
          <w:color w:val="231F20"/>
          <w:w w:val="85"/>
          <w:sz w:val="14"/>
        </w:rPr>
        <w:t>Journal for Research</w:t>
      </w:r>
      <w:r>
        <w:rPr>
          <w:rFonts w:ascii="Arial" w:hAnsi="Arial"/>
          <w:i/>
          <w:color w:val="231F20"/>
          <w:spacing w:val="-3"/>
          <w:w w:val="85"/>
          <w:sz w:val="14"/>
        </w:rPr>
        <w:t> </w:t>
      </w:r>
      <w:r>
        <w:rPr>
          <w:rFonts w:ascii="Arial" w:hAnsi="Arial"/>
          <w:i/>
          <w:color w:val="231F20"/>
          <w:w w:val="85"/>
          <w:sz w:val="14"/>
        </w:rPr>
        <w:t>Analysis</w:t>
      </w:r>
      <w:r>
        <w:rPr>
          <w:rFonts w:ascii="Arial" w:hAnsi="Arial"/>
          <w:color w:val="231F20"/>
          <w:w w:val="85"/>
          <w:sz w:val="14"/>
        </w:rPr>
        <w:t>,</w:t>
      </w:r>
      <w:r>
        <w:rPr>
          <w:rFonts w:ascii="Arial" w:hAnsi="Arial"/>
          <w:color w:val="231F20"/>
          <w:spacing w:val="-3"/>
          <w:w w:val="85"/>
          <w:sz w:val="14"/>
        </w:rPr>
        <w:t> </w:t>
      </w:r>
      <w:r>
        <w:rPr>
          <w:rFonts w:ascii="Arial" w:hAnsi="Arial"/>
          <w:color w:val="231F20"/>
          <w:w w:val="85"/>
          <w:sz w:val="14"/>
        </w:rPr>
        <w:t>55–57.</w:t>
      </w:r>
    </w:p>
    <w:p>
      <w:pPr>
        <w:spacing w:line="297" w:lineRule="auto" w:before="1"/>
        <w:ind w:left="437" w:right="2804" w:hanging="240"/>
        <w:jc w:val="left"/>
        <w:rPr>
          <w:rFonts w:ascii="Arial" w:hAnsi="Arial"/>
          <w:sz w:val="14"/>
        </w:rPr>
      </w:pPr>
      <w:r>
        <w:rPr>
          <w:rFonts w:ascii="Arial" w:hAnsi="Arial"/>
          <w:color w:val="231F20"/>
          <w:w w:val="80"/>
          <w:sz w:val="14"/>
        </w:rPr>
        <w:t>Preko,</w:t>
      </w:r>
      <w:r>
        <w:rPr>
          <w:rFonts w:ascii="Arial" w:hAnsi="Arial"/>
          <w:color w:val="231F20"/>
          <w:spacing w:val="-9"/>
          <w:w w:val="80"/>
          <w:sz w:val="14"/>
        </w:rPr>
        <w:t> </w:t>
      </w:r>
      <w:r>
        <w:rPr>
          <w:rFonts w:ascii="Arial" w:hAnsi="Arial"/>
          <w:color w:val="231F20"/>
          <w:w w:val="80"/>
          <w:sz w:val="14"/>
        </w:rPr>
        <w:t>A.</w:t>
      </w:r>
      <w:r>
        <w:rPr>
          <w:rFonts w:ascii="Arial" w:hAnsi="Arial"/>
          <w:color w:val="231F20"/>
          <w:spacing w:val="-2"/>
          <w:w w:val="80"/>
          <w:sz w:val="14"/>
        </w:rPr>
        <w:t> </w:t>
      </w:r>
      <w:r>
        <w:rPr>
          <w:rFonts w:ascii="Arial" w:hAnsi="Arial"/>
          <w:color w:val="231F20"/>
          <w:w w:val="80"/>
          <w:sz w:val="14"/>
        </w:rPr>
        <w:t>K.</w:t>
      </w:r>
      <w:r>
        <w:rPr>
          <w:rFonts w:ascii="Arial" w:hAnsi="Arial"/>
          <w:color w:val="231F20"/>
          <w:spacing w:val="-2"/>
          <w:w w:val="80"/>
          <w:sz w:val="14"/>
        </w:rPr>
        <w:t> </w:t>
      </w:r>
      <w:r>
        <w:rPr>
          <w:rFonts w:ascii="Arial" w:hAnsi="Arial"/>
          <w:color w:val="231F20"/>
          <w:w w:val="80"/>
          <w:sz w:val="14"/>
        </w:rPr>
        <w:t>2022.</w:t>
      </w:r>
      <w:r>
        <w:rPr>
          <w:rFonts w:ascii="Arial" w:hAnsi="Arial"/>
          <w:color w:val="231F20"/>
          <w:spacing w:val="-3"/>
          <w:w w:val="80"/>
          <w:sz w:val="14"/>
        </w:rPr>
        <w:t> </w:t>
      </w:r>
      <w:r>
        <w:rPr>
          <w:rFonts w:ascii="Arial" w:hAnsi="Arial"/>
          <w:color w:val="231F20"/>
          <w:w w:val="80"/>
          <w:sz w:val="14"/>
        </w:rPr>
        <w:t>“Leadership and</w:t>
      </w:r>
      <w:r>
        <w:rPr>
          <w:rFonts w:ascii="Arial" w:hAnsi="Arial"/>
          <w:color w:val="231F20"/>
          <w:spacing w:val="-1"/>
          <w:w w:val="80"/>
          <w:sz w:val="14"/>
        </w:rPr>
        <w:t> </w:t>
      </w:r>
      <w:r>
        <w:rPr>
          <w:rFonts w:ascii="Arial" w:hAnsi="Arial"/>
          <w:color w:val="231F20"/>
          <w:w w:val="80"/>
          <w:sz w:val="14"/>
        </w:rPr>
        <w:t>Human</w:t>
      </w:r>
      <w:r>
        <w:rPr>
          <w:rFonts w:ascii="Arial" w:hAnsi="Arial"/>
          <w:color w:val="231F20"/>
          <w:spacing w:val="-1"/>
          <w:w w:val="80"/>
          <w:sz w:val="14"/>
        </w:rPr>
        <w:t> </w:t>
      </w:r>
      <w:r>
        <w:rPr>
          <w:rFonts w:ascii="Arial" w:hAnsi="Arial"/>
          <w:color w:val="231F20"/>
          <w:w w:val="80"/>
          <w:sz w:val="14"/>
        </w:rPr>
        <w:t>Capital</w:t>
      </w:r>
      <w:r>
        <w:rPr>
          <w:rFonts w:ascii="Arial" w:hAnsi="Arial"/>
          <w:color w:val="231F20"/>
          <w:spacing w:val="-1"/>
          <w:w w:val="80"/>
          <w:sz w:val="14"/>
        </w:rPr>
        <w:t> </w:t>
      </w:r>
      <w:r>
        <w:rPr>
          <w:rFonts w:ascii="Arial" w:hAnsi="Arial"/>
          <w:color w:val="231F20"/>
          <w:w w:val="80"/>
          <w:sz w:val="14"/>
        </w:rPr>
        <w:t>Management</w:t>
      </w:r>
      <w:r>
        <w:rPr>
          <w:rFonts w:ascii="Arial" w:hAnsi="Arial"/>
          <w:color w:val="231F20"/>
          <w:spacing w:val="-1"/>
          <w:w w:val="80"/>
          <w:sz w:val="14"/>
        </w:rPr>
        <w:t> </w:t>
      </w:r>
      <w:r>
        <w:rPr>
          <w:rFonts w:ascii="Arial" w:hAnsi="Arial"/>
          <w:color w:val="231F20"/>
          <w:w w:val="80"/>
          <w:sz w:val="14"/>
        </w:rPr>
        <w:t>in</w:t>
      </w:r>
      <w:r>
        <w:rPr>
          <w:rFonts w:ascii="Arial" w:hAnsi="Arial"/>
          <w:color w:val="231F20"/>
          <w:spacing w:val="-1"/>
          <w:w w:val="80"/>
          <w:sz w:val="14"/>
        </w:rPr>
        <w:t> </w:t>
      </w:r>
      <w:r>
        <w:rPr>
          <w:rFonts w:ascii="Arial" w:hAnsi="Arial"/>
          <w:color w:val="231F20"/>
          <w:w w:val="80"/>
          <w:sz w:val="14"/>
        </w:rPr>
        <w:t>New</w:t>
      </w:r>
      <w:r>
        <w:rPr>
          <w:rFonts w:ascii="Arial" w:hAnsi="Arial"/>
          <w:color w:val="231F20"/>
          <w:spacing w:val="40"/>
          <w:sz w:val="14"/>
        </w:rPr>
        <w:t> </w:t>
      </w:r>
      <w:r>
        <w:rPr>
          <w:rFonts w:ascii="Arial" w:hAnsi="Arial"/>
          <w:color w:val="231F20"/>
          <w:w w:val="75"/>
          <w:sz w:val="14"/>
        </w:rPr>
        <w:t>Public</w:t>
      </w:r>
      <w:r>
        <w:rPr>
          <w:rFonts w:ascii="Arial" w:hAnsi="Arial"/>
          <w:color w:val="231F20"/>
          <w:spacing w:val="15"/>
          <w:sz w:val="14"/>
        </w:rPr>
        <w:t> </w:t>
      </w:r>
      <w:r>
        <w:rPr>
          <w:rFonts w:ascii="Arial" w:hAnsi="Arial"/>
          <w:color w:val="231F20"/>
          <w:w w:val="75"/>
          <w:sz w:val="14"/>
        </w:rPr>
        <w:t>Management.”</w:t>
      </w:r>
      <w:r>
        <w:rPr>
          <w:rFonts w:ascii="Arial" w:hAnsi="Arial"/>
          <w:color w:val="231F20"/>
          <w:spacing w:val="7"/>
          <w:sz w:val="14"/>
        </w:rPr>
        <w:t> </w:t>
      </w:r>
      <w:r>
        <w:rPr>
          <w:rFonts w:ascii="Arial" w:hAnsi="Arial"/>
          <w:i/>
          <w:color w:val="231F20"/>
          <w:w w:val="75"/>
          <w:sz w:val="14"/>
        </w:rPr>
        <w:t>New</w:t>
      </w:r>
      <w:r>
        <w:rPr>
          <w:rFonts w:ascii="Arial" w:hAnsi="Arial"/>
          <w:i/>
          <w:color w:val="231F20"/>
          <w:spacing w:val="15"/>
          <w:sz w:val="14"/>
        </w:rPr>
        <w:t> </w:t>
      </w:r>
      <w:r>
        <w:rPr>
          <w:rFonts w:ascii="Arial" w:hAnsi="Arial"/>
          <w:i/>
          <w:color w:val="231F20"/>
          <w:w w:val="75"/>
          <w:sz w:val="14"/>
        </w:rPr>
        <w:t>Public</w:t>
      </w:r>
      <w:r>
        <w:rPr>
          <w:rFonts w:ascii="Arial" w:hAnsi="Arial"/>
          <w:i/>
          <w:color w:val="231F20"/>
          <w:spacing w:val="15"/>
          <w:sz w:val="14"/>
        </w:rPr>
        <w:t> </w:t>
      </w:r>
      <w:r>
        <w:rPr>
          <w:rFonts w:ascii="Arial" w:hAnsi="Arial"/>
          <w:i/>
          <w:color w:val="231F20"/>
          <w:w w:val="75"/>
          <w:sz w:val="14"/>
        </w:rPr>
        <w:t>Management</w:t>
      </w:r>
      <w:r>
        <w:rPr>
          <w:rFonts w:ascii="Arial" w:hAnsi="Arial"/>
          <w:i/>
          <w:color w:val="231F20"/>
          <w:spacing w:val="16"/>
          <w:sz w:val="14"/>
        </w:rPr>
        <w:t> </w:t>
      </w:r>
      <w:r>
        <w:rPr>
          <w:rFonts w:ascii="Arial" w:hAnsi="Arial"/>
          <w:i/>
          <w:color w:val="231F20"/>
          <w:w w:val="75"/>
          <w:sz w:val="14"/>
        </w:rPr>
        <w:t>in</w:t>
      </w:r>
      <w:r>
        <w:rPr>
          <w:rFonts w:ascii="Arial" w:hAnsi="Arial"/>
          <w:i/>
          <w:color w:val="231F20"/>
          <w:spacing w:val="7"/>
          <w:sz w:val="14"/>
        </w:rPr>
        <w:t> </w:t>
      </w:r>
      <w:r>
        <w:rPr>
          <w:rFonts w:ascii="Arial" w:hAnsi="Arial"/>
          <w:i/>
          <w:color w:val="231F20"/>
          <w:w w:val="75"/>
          <w:sz w:val="14"/>
        </w:rPr>
        <w:t>Africa</w:t>
      </w:r>
      <w:r>
        <w:rPr>
          <w:rFonts w:ascii="Arial" w:hAnsi="Arial"/>
          <w:color w:val="231F20"/>
          <w:w w:val="75"/>
          <w:sz w:val="14"/>
        </w:rPr>
        <w:t>,</w:t>
      </w:r>
      <w:r>
        <w:rPr>
          <w:rFonts w:ascii="Arial" w:hAnsi="Arial"/>
          <w:color w:val="231F20"/>
          <w:spacing w:val="7"/>
          <w:sz w:val="14"/>
        </w:rPr>
        <w:t> </w:t>
      </w:r>
      <w:r>
        <w:rPr>
          <w:rFonts w:ascii="Arial" w:hAnsi="Arial"/>
          <w:color w:val="231F20"/>
          <w:spacing w:val="-2"/>
          <w:w w:val="75"/>
          <w:sz w:val="14"/>
        </w:rPr>
        <w:t>105–131.</w:t>
      </w:r>
    </w:p>
    <w:p>
      <w:pPr>
        <w:spacing w:line="297" w:lineRule="auto" w:before="1"/>
        <w:ind w:left="437" w:right="2804" w:hanging="240"/>
        <w:jc w:val="left"/>
        <w:rPr>
          <w:rFonts w:ascii="Arial" w:hAnsi="Arial"/>
          <w:sz w:val="14"/>
        </w:rPr>
      </w:pPr>
      <w:r>
        <w:rPr>
          <w:rFonts w:ascii="Arial" w:hAnsi="Arial"/>
          <w:color w:val="231F20"/>
          <w:w w:val="85"/>
          <w:sz w:val="14"/>
        </w:rPr>
        <w:t>Qureshi,</w:t>
      </w:r>
      <w:r>
        <w:rPr>
          <w:rFonts w:ascii="Arial" w:hAnsi="Arial"/>
          <w:color w:val="231F20"/>
          <w:spacing w:val="-11"/>
          <w:w w:val="85"/>
          <w:sz w:val="14"/>
        </w:rPr>
        <w:t> </w:t>
      </w:r>
      <w:r>
        <w:rPr>
          <w:rFonts w:ascii="Arial" w:hAnsi="Arial"/>
          <w:color w:val="231F20"/>
          <w:w w:val="85"/>
          <w:sz w:val="14"/>
        </w:rPr>
        <w:t>A.</w:t>
      </w:r>
      <w:r>
        <w:rPr>
          <w:rFonts w:ascii="Arial" w:hAnsi="Arial"/>
          <w:color w:val="231F20"/>
          <w:spacing w:val="-5"/>
          <w:w w:val="85"/>
          <w:sz w:val="14"/>
        </w:rPr>
        <w:t> </w:t>
      </w:r>
      <w:r>
        <w:rPr>
          <w:rFonts w:ascii="Arial" w:hAnsi="Arial"/>
          <w:color w:val="231F20"/>
          <w:w w:val="85"/>
          <w:sz w:val="14"/>
        </w:rPr>
        <w:t>A.</w:t>
      </w:r>
      <w:r>
        <w:rPr>
          <w:rFonts w:ascii="Arial" w:hAnsi="Arial"/>
          <w:color w:val="231F20"/>
          <w:spacing w:val="-4"/>
          <w:w w:val="85"/>
          <w:sz w:val="14"/>
        </w:rPr>
        <w:t> </w:t>
      </w:r>
      <w:r>
        <w:rPr>
          <w:rFonts w:ascii="Arial" w:hAnsi="Arial"/>
          <w:color w:val="231F20"/>
          <w:w w:val="85"/>
          <w:sz w:val="14"/>
        </w:rPr>
        <w:t>2021.</w:t>
      </w:r>
      <w:r>
        <w:rPr>
          <w:rFonts w:ascii="Arial" w:hAnsi="Arial"/>
          <w:color w:val="231F20"/>
          <w:spacing w:val="-5"/>
          <w:w w:val="85"/>
          <w:sz w:val="14"/>
        </w:rPr>
        <w:t> </w:t>
      </w:r>
      <w:r>
        <w:rPr>
          <w:rFonts w:ascii="Arial" w:hAnsi="Arial"/>
          <w:color w:val="231F20"/>
          <w:w w:val="85"/>
          <w:sz w:val="14"/>
        </w:rPr>
        <w:t>“Logistics</w:t>
      </w:r>
      <w:r>
        <w:rPr>
          <w:rFonts w:ascii="Arial" w:hAnsi="Arial"/>
          <w:color w:val="231F20"/>
          <w:spacing w:val="-4"/>
          <w:w w:val="85"/>
          <w:sz w:val="14"/>
        </w:rPr>
        <w:t> </w:t>
      </w:r>
      <w:r>
        <w:rPr>
          <w:rFonts w:ascii="Arial" w:hAnsi="Arial"/>
          <w:color w:val="231F20"/>
          <w:w w:val="85"/>
          <w:sz w:val="14"/>
        </w:rPr>
        <w:t>Infrastructure</w:t>
      </w:r>
      <w:r>
        <w:rPr>
          <w:rFonts w:ascii="Arial" w:hAnsi="Arial"/>
          <w:color w:val="231F20"/>
          <w:spacing w:val="-4"/>
          <w:w w:val="85"/>
          <w:sz w:val="14"/>
        </w:rPr>
        <w:t> </w:t>
      </w:r>
      <w:r>
        <w:rPr>
          <w:rFonts w:ascii="Arial" w:hAnsi="Arial"/>
          <w:color w:val="231F20"/>
          <w:w w:val="85"/>
          <w:sz w:val="14"/>
        </w:rPr>
        <w:t>of</w:t>
      </w:r>
      <w:r>
        <w:rPr>
          <w:rFonts w:ascii="Arial" w:hAnsi="Arial"/>
          <w:color w:val="231F20"/>
          <w:spacing w:val="-5"/>
          <w:w w:val="85"/>
          <w:sz w:val="14"/>
        </w:rPr>
        <w:t> </w:t>
      </w:r>
      <w:r>
        <w:rPr>
          <w:rFonts w:ascii="Arial" w:hAnsi="Arial"/>
          <w:color w:val="231F20"/>
          <w:w w:val="85"/>
          <w:sz w:val="14"/>
        </w:rPr>
        <w:t>Automobile</w:t>
      </w:r>
      <w:r>
        <w:rPr>
          <w:rFonts w:ascii="Arial" w:hAnsi="Arial"/>
          <w:color w:val="231F20"/>
          <w:spacing w:val="-4"/>
          <w:w w:val="85"/>
          <w:sz w:val="14"/>
        </w:rPr>
        <w:t> </w:t>
      </w:r>
      <w:r>
        <w:rPr>
          <w:rFonts w:ascii="Arial" w:hAnsi="Arial"/>
          <w:color w:val="231F20"/>
          <w:w w:val="85"/>
          <w:sz w:val="14"/>
        </w:rPr>
        <w:t>Industry</w:t>
      </w:r>
      <w:r>
        <w:rPr>
          <w:rFonts w:ascii="Arial" w:hAnsi="Arial"/>
          <w:color w:val="231F20"/>
          <w:spacing w:val="40"/>
          <w:sz w:val="14"/>
        </w:rPr>
        <w:t> </w:t>
      </w:r>
      <w:r>
        <w:rPr>
          <w:rFonts w:ascii="Arial" w:hAnsi="Arial"/>
          <w:color w:val="231F20"/>
          <w:w w:val="75"/>
          <w:sz w:val="14"/>
        </w:rPr>
        <w:t>Between</w:t>
      </w:r>
      <w:r>
        <w:rPr>
          <w:rFonts w:ascii="Arial" w:hAnsi="Arial"/>
          <w:color w:val="231F20"/>
          <w:sz w:val="14"/>
        </w:rPr>
        <w:t> </w:t>
      </w:r>
      <w:r>
        <w:rPr>
          <w:rFonts w:ascii="Arial" w:hAnsi="Arial"/>
          <w:color w:val="231F20"/>
          <w:w w:val="75"/>
          <w:sz w:val="14"/>
        </w:rPr>
        <w:t>Germany</w:t>
      </w:r>
      <w:r>
        <w:rPr>
          <w:rFonts w:ascii="Arial" w:hAnsi="Arial"/>
          <w:color w:val="231F20"/>
          <w:sz w:val="14"/>
        </w:rPr>
        <w:t> </w:t>
      </w:r>
      <w:r>
        <w:rPr>
          <w:rFonts w:ascii="Arial" w:hAnsi="Arial"/>
          <w:color w:val="231F20"/>
          <w:w w:val="75"/>
          <w:sz w:val="14"/>
        </w:rPr>
        <w:t>and</w:t>
      </w:r>
      <w:r>
        <w:rPr>
          <w:rFonts w:ascii="Arial" w:hAnsi="Arial"/>
          <w:color w:val="231F20"/>
          <w:sz w:val="14"/>
        </w:rPr>
        <w:t> </w:t>
      </w:r>
      <w:r>
        <w:rPr>
          <w:rFonts w:ascii="Arial" w:hAnsi="Arial"/>
          <w:color w:val="231F20"/>
          <w:w w:val="75"/>
          <w:sz w:val="14"/>
        </w:rPr>
        <w:t>Poland.”</w:t>
      </w:r>
      <w:r>
        <w:rPr>
          <w:rFonts w:ascii="Arial" w:hAnsi="Arial"/>
          <w:color w:val="231F20"/>
          <w:sz w:val="14"/>
        </w:rPr>
        <w:t> </w:t>
      </w:r>
      <w:r>
        <w:rPr>
          <w:rFonts w:ascii="Arial" w:hAnsi="Arial"/>
          <w:i/>
          <w:color w:val="231F20"/>
          <w:w w:val="75"/>
          <w:sz w:val="14"/>
        </w:rPr>
        <w:t>Intelligent Transport</w:t>
      </w:r>
      <w:r>
        <w:rPr>
          <w:rFonts w:ascii="Arial" w:hAnsi="Arial"/>
          <w:i/>
          <w:color w:val="231F20"/>
          <w:sz w:val="14"/>
        </w:rPr>
        <w:t> </w:t>
      </w:r>
      <w:r>
        <w:rPr>
          <w:rFonts w:ascii="Arial" w:hAnsi="Arial"/>
          <w:i/>
          <w:color w:val="231F20"/>
          <w:w w:val="75"/>
          <w:sz w:val="14"/>
        </w:rPr>
        <w:t>Systems, </w:t>
      </w:r>
      <w:r>
        <w:rPr>
          <w:rFonts w:ascii="Arial" w:hAnsi="Arial"/>
          <w:i/>
          <w:color w:val="231F20"/>
          <w:w w:val="75"/>
          <w:sz w:val="14"/>
        </w:rPr>
        <w:t>From</w:t>
      </w:r>
      <w:r>
        <w:rPr>
          <w:rFonts w:ascii="Arial" w:hAnsi="Arial"/>
          <w:i/>
          <w:color w:val="231F20"/>
          <w:spacing w:val="40"/>
          <w:sz w:val="14"/>
        </w:rPr>
        <w:t> </w:t>
      </w:r>
      <w:r>
        <w:rPr>
          <w:rFonts w:ascii="Arial" w:hAnsi="Arial"/>
          <w:i/>
          <w:color w:val="231F20"/>
          <w:spacing w:val="-2"/>
          <w:w w:val="85"/>
          <w:sz w:val="14"/>
        </w:rPr>
        <w:t>Research</w:t>
      </w:r>
      <w:r>
        <w:rPr>
          <w:rFonts w:ascii="Arial" w:hAnsi="Arial"/>
          <w:i/>
          <w:color w:val="231F20"/>
          <w:spacing w:val="-1"/>
          <w:sz w:val="14"/>
        </w:rPr>
        <w:t> </w:t>
      </w:r>
      <w:r>
        <w:rPr>
          <w:rFonts w:ascii="Arial" w:hAnsi="Arial"/>
          <w:i/>
          <w:color w:val="231F20"/>
          <w:spacing w:val="-2"/>
          <w:w w:val="85"/>
          <w:sz w:val="14"/>
        </w:rPr>
        <w:t>and</w:t>
      </w:r>
      <w:r>
        <w:rPr>
          <w:rFonts w:ascii="Arial" w:hAnsi="Arial"/>
          <w:i/>
          <w:color w:val="231F20"/>
          <w:spacing w:val="-1"/>
          <w:sz w:val="14"/>
        </w:rPr>
        <w:t> </w:t>
      </w:r>
      <w:r>
        <w:rPr>
          <w:rFonts w:ascii="Arial" w:hAnsi="Arial"/>
          <w:i/>
          <w:color w:val="231F20"/>
          <w:spacing w:val="-2"/>
          <w:w w:val="85"/>
          <w:sz w:val="14"/>
        </w:rPr>
        <w:t>Development</w:t>
      </w:r>
      <w:r>
        <w:rPr>
          <w:rFonts w:ascii="Arial" w:hAnsi="Arial"/>
          <w:i/>
          <w:color w:val="231F20"/>
          <w:spacing w:val="-1"/>
          <w:sz w:val="14"/>
        </w:rPr>
        <w:t> </w:t>
      </w:r>
      <w:r>
        <w:rPr>
          <w:rFonts w:ascii="Arial" w:hAnsi="Arial"/>
          <w:i/>
          <w:color w:val="231F20"/>
          <w:spacing w:val="-2"/>
          <w:w w:val="85"/>
          <w:sz w:val="14"/>
        </w:rPr>
        <w:t>to</w:t>
      </w:r>
      <w:r>
        <w:rPr>
          <w:rFonts w:ascii="Arial" w:hAnsi="Arial"/>
          <w:i/>
          <w:color w:val="231F20"/>
          <w:spacing w:val="-1"/>
          <w:sz w:val="14"/>
        </w:rPr>
        <w:t> </w:t>
      </w:r>
      <w:r>
        <w:rPr>
          <w:rFonts w:ascii="Arial" w:hAnsi="Arial"/>
          <w:i/>
          <w:color w:val="231F20"/>
          <w:spacing w:val="-2"/>
          <w:w w:val="85"/>
          <w:sz w:val="14"/>
        </w:rPr>
        <w:t>the</w:t>
      </w:r>
      <w:r>
        <w:rPr>
          <w:rFonts w:ascii="Arial" w:hAnsi="Arial"/>
          <w:i/>
          <w:color w:val="231F20"/>
          <w:spacing w:val="-1"/>
          <w:sz w:val="14"/>
        </w:rPr>
        <w:t> </w:t>
      </w:r>
      <w:r>
        <w:rPr>
          <w:rFonts w:ascii="Arial" w:hAnsi="Arial"/>
          <w:i/>
          <w:color w:val="231F20"/>
          <w:spacing w:val="-2"/>
          <w:w w:val="85"/>
          <w:sz w:val="14"/>
        </w:rPr>
        <w:t>Market</w:t>
      </w:r>
      <w:r>
        <w:rPr>
          <w:rFonts w:ascii="Arial" w:hAnsi="Arial"/>
          <w:i/>
          <w:color w:val="231F20"/>
          <w:spacing w:val="-1"/>
          <w:sz w:val="14"/>
        </w:rPr>
        <w:t> </w:t>
      </w:r>
      <w:r>
        <w:rPr>
          <w:rFonts w:ascii="Arial" w:hAnsi="Arial"/>
          <w:i/>
          <w:color w:val="231F20"/>
          <w:spacing w:val="-2"/>
          <w:w w:val="85"/>
          <w:sz w:val="14"/>
        </w:rPr>
        <w:t>Uptake</w:t>
      </w:r>
      <w:r>
        <w:rPr>
          <w:rFonts w:ascii="Arial" w:hAnsi="Arial"/>
          <w:color w:val="231F20"/>
          <w:spacing w:val="-2"/>
          <w:w w:val="85"/>
          <w:sz w:val="14"/>
        </w:rPr>
        <w:t>, 194–207.</w:t>
      </w:r>
    </w:p>
    <w:p>
      <w:pPr>
        <w:spacing w:line="297" w:lineRule="auto" w:before="1"/>
        <w:ind w:left="437" w:right="3001" w:hanging="240"/>
        <w:jc w:val="both"/>
        <w:rPr>
          <w:rFonts w:ascii="Arial" w:hAnsi="Arial"/>
          <w:sz w:val="14"/>
        </w:rPr>
      </w:pPr>
      <w:r>
        <w:rPr>
          <w:rFonts w:ascii="Arial" w:hAnsi="Arial"/>
          <w:color w:val="231F20"/>
          <w:w w:val="80"/>
          <w:sz w:val="14"/>
        </w:rPr>
        <w:t>Rahaman,</w:t>
      </w:r>
      <w:r>
        <w:rPr>
          <w:rFonts w:ascii="Arial" w:hAnsi="Arial"/>
          <w:color w:val="231F20"/>
          <w:spacing w:val="-2"/>
          <w:w w:val="80"/>
          <w:sz w:val="14"/>
        </w:rPr>
        <w:t> </w:t>
      </w:r>
      <w:r>
        <w:rPr>
          <w:rFonts w:ascii="Arial" w:hAnsi="Arial"/>
          <w:color w:val="231F20"/>
          <w:w w:val="80"/>
          <w:sz w:val="14"/>
        </w:rPr>
        <w:t>H.</w:t>
      </w:r>
      <w:r>
        <w:rPr>
          <w:rFonts w:ascii="Arial" w:hAnsi="Arial"/>
          <w:color w:val="231F20"/>
          <w:spacing w:val="-2"/>
          <w:w w:val="80"/>
          <w:sz w:val="14"/>
        </w:rPr>
        <w:t> </w:t>
      </w:r>
      <w:r>
        <w:rPr>
          <w:rFonts w:ascii="Arial" w:hAnsi="Arial"/>
          <w:color w:val="231F20"/>
          <w:w w:val="80"/>
          <w:sz w:val="14"/>
        </w:rPr>
        <w:t>2021.</w:t>
      </w:r>
      <w:r>
        <w:rPr>
          <w:rFonts w:ascii="Arial" w:hAnsi="Arial"/>
          <w:color w:val="231F20"/>
          <w:spacing w:val="-2"/>
          <w:w w:val="80"/>
          <w:sz w:val="14"/>
        </w:rPr>
        <w:t> </w:t>
      </w:r>
      <w:r>
        <w:rPr>
          <w:rFonts w:ascii="Arial" w:hAnsi="Arial"/>
          <w:color w:val="231F20"/>
          <w:w w:val="80"/>
          <w:sz w:val="14"/>
        </w:rPr>
        <w:t>“Overview</w:t>
      </w:r>
      <w:r>
        <w:rPr>
          <w:rFonts w:ascii="Arial" w:hAnsi="Arial"/>
          <w:color w:val="231F20"/>
          <w:spacing w:val="-2"/>
          <w:w w:val="8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the</w:t>
      </w:r>
      <w:r>
        <w:rPr>
          <w:rFonts w:ascii="Arial" w:hAnsi="Arial"/>
          <w:color w:val="231F20"/>
          <w:spacing w:val="-7"/>
          <w:sz w:val="14"/>
        </w:rPr>
        <w:t> </w:t>
      </w:r>
      <w:r>
        <w:rPr>
          <w:rFonts w:ascii="Arial" w:hAnsi="Arial"/>
          <w:color w:val="231F20"/>
          <w:w w:val="80"/>
          <w:sz w:val="14"/>
        </w:rPr>
        <w:t>Study</w:t>
      </w:r>
      <w:r>
        <w:rPr>
          <w:rFonts w:ascii="Arial" w:hAnsi="Arial"/>
          <w:color w:val="231F20"/>
          <w:spacing w:val="-2"/>
          <w:w w:val="80"/>
          <w:sz w:val="14"/>
        </w:rPr>
        <w:t> </w:t>
      </w:r>
      <w:r>
        <w:rPr>
          <w:rFonts w:ascii="Arial" w:hAnsi="Arial"/>
          <w:color w:val="231F20"/>
          <w:w w:val="80"/>
          <w:sz w:val="14"/>
        </w:rPr>
        <w:t>Area.”</w:t>
      </w:r>
      <w:r>
        <w:rPr>
          <w:rFonts w:ascii="Arial" w:hAnsi="Arial"/>
          <w:color w:val="231F20"/>
          <w:spacing w:val="-2"/>
          <w:w w:val="80"/>
          <w:sz w:val="14"/>
        </w:rPr>
        <w:t> </w:t>
      </w:r>
      <w:r>
        <w:rPr>
          <w:rFonts w:ascii="Arial" w:hAnsi="Arial"/>
          <w:i/>
          <w:color w:val="231F20"/>
          <w:w w:val="80"/>
          <w:sz w:val="14"/>
        </w:rPr>
        <w:t>Diversified</w:t>
      </w:r>
      <w:r>
        <w:rPr>
          <w:rFonts w:ascii="Arial" w:hAnsi="Arial"/>
          <w:i/>
          <w:color w:val="231F20"/>
          <w:spacing w:val="-7"/>
          <w:sz w:val="14"/>
        </w:rPr>
        <w:t> </w:t>
      </w:r>
      <w:r>
        <w:rPr>
          <w:rFonts w:ascii="Arial" w:hAnsi="Arial"/>
          <w:i/>
          <w:color w:val="231F20"/>
          <w:w w:val="80"/>
          <w:sz w:val="14"/>
        </w:rPr>
        <w:t>Cropping</w:t>
      </w:r>
      <w:r>
        <w:rPr>
          <w:rFonts w:ascii="Arial" w:hAnsi="Arial"/>
          <w:i/>
          <w:color w:val="231F20"/>
          <w:spacing w:val="40"/>
          <w:sz w:val="14"/>
        </w:rPr>
        <w:t> </w:t>
      </w:r>
      <w:r>
        <w:rPr>
          <w:rFonts w:ascii="Arial" w:hAnsi="Arial"/>
          <w:i/>
          <w:color w:val="231F20"/>
          <w:spacing w:val="-2"/>
          <w:w w:val="80"/>
          <w:sz w:val="14"/>
        </w:rPr>
        <w:t>Pattern</w:t>
      </w:r>
      <w:r>
        <w:rPr>
          <w:rFonts w:ascii="Arial" w:hAnsi="Arial"/>
          <w:i/>
          <w:color w:val="231F20"/>
          <w:sz w:val="14"/>
        </w:rPr>
        <w:t> </w:t>
      </w:r>
      <w:r>
        <w:rPr>
          <w:rFonts w:ascii="Arial" w:hAnsi="Arial"/>
          <w:i/>
          <w:color w:val="231F20"/>
          <w:spacing w:val="-2"/>
          <w:w w:val="80"/>
          <w:sz w:val="14"/>
        </w:rPr>
        <w:t>and</w:t>
      </w:r>
      <w:r>
        <w:rPr>
          <w:rFonts w:ascii="Arial" w:hAnsi="Arial"/>
          <w:i/>
          <w:color w:val="231F20"/>
          <w:sz w:val="14"/>
        </w:rPr>
        <w:t> </w:t>
      </w:r>
      <w:r>
        <w:rPr>
          <w:rFonts w:ascii="Arial" w:hAnsi="Arial"/>
          <w:i/>
          <w:color w:val="231F20"/>
          <w:spacing w:val="-2"/>
          <w:w w:val="80"/>
          <w:sz w:val="14"/>
        </w:rPr>
        <w:t>Agricultural</w:t>
      </w:r>
      <w:r>
        <w:rPr>
          <w:rFonts w:ascii="Arial" w:hAnsi="Arial"/>
          <w:i/>
          <w:color w:val="231F20"/>
          <w:sz w:val="14"/>
        </w:rPr>
        <w:t> </w:t>
      </w:r>
      <w:r>
        <w:rPr>
          <w:rFonts w:ascii="Arial" w:hAnsi="Arial"/>
          <w:i/>
          <w:color w:val="231F20"/>
          <w:spacing w:val="-2"/>
          <w:w w:val="80"/>
          <w:sz w:val="14"/>
        </w:rPr>
        <w:t>Development</w:t>
      </w:r>
      <w:r>
        <w:rPr>
          <w:rFonts w:ascii="Arial" w:hAnsi="Arial"/>
          <w:color w:val="231F20"/>
          <w:spacing w:val="-2"/>
          <w:w w:val="80"/>
          <w:sz w:val="14"/>
        </w:rPr>
        <w:t>,</w:t>
      </w:r>
      <w:r>
        <w:rPr>
          <w:rFonts w:ascii="Arial" w:hAnsi="Arial"/>
          <w:color w:val="231F20"/>
          <w:sz w:val="14"/>
        </w:rPr>
        <w:t> </w:t>
      </w:r>
      <w:r>
        <w:rPr>
          <w:rFonts w:ascii="Arial" w:hAnsi="Arial"/>
          <w:color w:val="231F20"/>
          <w:spacing w:val="-2"/>
          <w:w w:val="80"/>
          <w:sz w:val="14"/>
        </w:rPr>
        <w:t>1–33.</w:t>
      </w:r>
      <w:r>
        <w:rPr>
          <w:rFonts w:ascii="Arial" w:hAnsi="Arial"/>
          <w:color w:val="231F20"/>
          <w:sz w:val="14"/>
        </w:rPr>
        <w:t> </w:t>
      </w:r>
      <w:r>
        <w:rPr>
          <w:rFonts w:ascii="Arial" w:hAnsi="Arial"/>
          <w:color w:val="231F20"/>
          <w:spacing w:val="-2"/>
          <w:w w:val="80"/>
          <w:sz w:val="14"/>
        </w:rPr>
        <w:t>Springer</w:t>
      </w:r>
      <w:r>
        <w:rPr>
          <w:rFonts w:ascii="Arial" w:hAnsi="Arial"/>
          <w:color w:val="231F20"/>
          <w:sz w:val="14"/>
        </w:rPr>
        <w:t> </w:t>
      </w:r>
      <w:r>
        <w:rPr>
          <w:rFonts w:ascii="Arial" w:hAnsi="Arial"/>
          <w:color w:val="231F20"/>
          <w:spacing w:val="-2"/>
          <w:w w:val="80"/>
          <w:sz w:val="14"/>
        </w:rPr>
        <w:t>International</w:t>
      </w:r>
      <w:r>
        <w:rPr>
          <w:rFonts w:ascii="Arial" w:hAnsi="Arial"/>
          <w:color w:val="231F20"/>
          <w:spacing w:val="40"/>
          <w:sz w:val="14"/>
        </w:rPr>
        <w:t> </w:t>
      </w:r>
      <w:r>
        <w:rPr>
          <w:rFonts w:ascii="Arial" w:hAnsi="Arial"/>
          <w:color w:val="231F20"/>
          <w:spacing w:val="-2"/>
          <w:w w:val="90"/>
          <w:sz w:val="14"/>
        </w:rPr>
        <w:t>Publishing.</w:t>
      </w:r>
    </w:p>
    <w:p>
      <w:pPr>
        <w:spacing w:line="297" w:lineRule="auto" w:before="1"/>
        <w:ind w:left="437" w:right="3158" w:hanging="240"/>
        <w:jc w:val="left"/>
        <w:rPr>
          <w:rFonts w:ascii="Arial"/>
          <w:sz w:val="14"/>
        </w:rPr>
      </w:pPr>
      <w:r>
        <w:rPr>
          <w:rFonts w:ascii="Arial"/>
          <w:color w:val="231F20"/>
          <w:w w:val="80"/>
          <w:sz w:val="14"/>
        </w:rPr>
        <w:t>Rahaman,</w:t>
      </w:r>
      <w:r>
        <w:rPr>
          <w:rFonts w:ascii="Arial"/>
          <w:color w:val="231F20"/>
          <w:spacing w:val="-4"/>
          <w:w w:val="80"/>
          <w:sz w:val="14"/>
        </w:rPr>
        <w:t> </w:t>
      </w:r>
      <w:r>
        <w:rPr>
          <w:rFonts w:ascii="Arial"/>
          <w:color w:val="231F20"/>
          <w:w w:val="80"/>
          <w:sz w:val="14"/>
        </w:rPr>
        <w:t>H.</w:t>
      </w:r>
      <w:r>
        <w:rPr>
          <w:rFonts w:ascii="Arial"/>
          <w:color w:val="231F20"/>
          <w:spacing w:val="-2"/>
          <w:w w:val="80"/>
          <w:sz w:val="14"/>
        </w:rPr>
        <w:t> </w:t>
      </w:r>
      <w:r>
        <w:rPr>
          <w:rFonts w:ascii="Arial"/>
          <w:color w:val="231F20"/>
          <w:w w:val="80"/>
          <w:sz w:val="14"/>
        </w:rPr>
        <w:t>2021.</w:t>
      </w:r>
      <w:r>
        <w:rPr>
          <w:rFonts w:ascii="Arial"/>
          <w:color w:val="231F20"/>
          <w:spacing w:val="-1"/>
          <w:w w:val="80"/>
          <w:sz w:val="14"/>
        </w:rPr>
        <w:t> </w:t>
      </w:r>
      <w:r>
        <w:rPr>
          <w:rFonts w:ascii="Arial"/>
          <w:i/>
          <w:color w:val="231F20"/>
          <w:w w:val="80"/>
          <w:sz w:val="14"/>
        </w:rPr>
        <w:t>Diversified Cropping</w:t>
      </w:r>
      <w:r>
        <w:rPr>
          <w:rFonts w:ascii="Arial"/>
          <w:i/>
          <w:color w:val="231F20"/>
          <w:spacing w:val="-1"/>
          <w:w w:val="80"/>
          <w:sz w:val="14"/>
        </w:rPr>
        <w:t> </w:t>
      </w:r>
      <w:r>
        <w:rPr>
          <w:rFonts w:ascii="Arial"/>
          <w:i/>
          <w:color w:val="231F20"/>
          <w:w w:val="80"/>
          <w:sz w:val="14"/>
        </w:rPr>
        <w:t>Pattern</w:t>
      </w:r>
      <w:r>
        <w:rPr>
          <w:rFonts w:ascii="Arial"/>
          <w:i/>
          <w:color w:val="231F20"/>
          <w:spacing w:val="-1"/>
          <w:w w:val="80"/>
          <w:sz w:val="14"/>
        </w:rPr>
        <w:t> </w:t>
      </w:r>
      <w:r>
        <w:rPr>
          <w:rFonts w:ascii="Arial"/>
          <w:i/>
          <w:color w:val="231F20"/>
          <w:w w:val="80"/>
          <w:sz w:val="14"/>
        </w:rPr>
        <w:t>and</w:t>
      </w:r>
      <w:r>
        <w:rPr>
          <w:rFonts w:ascii="Arial"/>
          <w:i/>
          <w:color w:val="231F20"/>
          <w:spacing w:val="-4"/>
          <w:w w:val="80"/>
          <w:sz w:val="14"/>
        </w:rPr>
        <w:t> </w:t>
      </w:r>
      <w:r>
        <w:rPr>
          <w:rFonts w:ascii="Arial"/>
          <w:i/>
          <w:color w:val="231F20"/>
          <w:w w:val="80"/>
          <w:sz w:val="14"/>
        </w:rPr>
        <w:t>Agricultural</w:t>
      </w:r>
      <w:r>
        <w:rPr>
          <w:rFonts w:ascii="Arial"/>
          <w:i/>
          <w:color w:val="231F20"/>
          <w:spacing w:val="40"/>
          <w:sz w:val="14"/>
        </w:rPr>
        <w:t> </w:t>
      </w:r>
      <w:r>
        <w:rPr>
          <w:rFonts w:ascii="Arial"/>
          <w:i/>
          <w:color w:val="231F20"/>
          <w:w w:val="80"/>
          <w:sz w:val="14"/>
        </w:rPr>
        <w:t>Development</w:t>
      </w:r>
      <w:r>
        <w:rPr>
          <w:rFonts w:ascii="Arial"/>
          <w:color w:val="231F20"/>
          <w:w w:val="80"/>
          <w:sz w:val="14"/>
        </w:rPr>
        <w:t>. Springer International Publishing.</w:t>
      </w:r>
    </w:p>
    <w:p>
      <w:pPr>
        <w:spacing w:line="297" w:lineRule="auto" w:before="1"/>
        <w:ind w:left="437" w:right="2804" w:hanging="240"/>
        <w:jc w:val="left"/>
        <w:rPr>
          <w:rFonts w:ascii="Arial" w:hAnsi="Arial"/>
          <w:sz w:val="14"/>
        </w:rPr>
      </w:pPr>
      <w:r>
        <w:rPr>
          <w:rFonts w:ascii="Arial" w:hAnsi="Arial"/>
          <w:color w:val="231F20"/>
          <w:w w:val="85"/>
          <w:sz w:val="14"/>
        </w:rPr>
        <w:t>Raimbekov,</w:t>
      </w:r>
      <w:r>
        <w:rPr>
          <w:rFonts w:ascii="Arial" w:hAnsi="Arial"/>
          <w:color w:val="231F20"/>
          <w:spacing w:val="-1"/>
          <w:w w:val="85"/>
          <w:sz w:val="14"/>
        </w:rPr>
        <w:t> </w:t>
      </w:r>
      <w:r>
        <w:rPr>
          <w:rFonts w:ascii="Arial" w:hAnsi="Arial"/>
          <w:color w:val="231F20"/>
          <w:w w:val="85"/>
          <w:sz w:val="14"/>
        </w:rPr>
        <w:t>Z.,</w:t>
      </w:r>
      <w:r>
        <w:rPr>
          <w:rFonts w:ascii="Arial" w:hAnsi="Arial"/>
          <w:color w:val="231F20"/>
          <w:spacing w:val="-7"/>
          <w:w w:val="85"/>
          <w:sz w:val="14"/>
        </w:rPr>
        <w:t> </w:t>
      </w:r>
      <w:r>
        <w:rPr>
          <w:rFonts w:ascii="Arial" w:hAnsi="Arial"/>
          <w:color w:val="231F20"/>
          <w:w w:val="85"/>
          <w:sz w:val="14"/>
        </w:rPr>
        <w:t>A. Sładkowski,</w:t>
      </w:r>
      <w:r>
        <w:rPr>
          <w:rFonts w:ascii="Arial" w:hAnsi="Arial"/>
          <w:color w:val="231F20"/>
          <w:spacing w:val="-1"/>
          <w:w w:val="85"/>
          <w:sz w:val="14"/>
        </w:rPr>
        <w:t> </w:t>
      </w:r>
      <w:r>
        <w:rPr>
          <w:rFonts w:ascii="Arial" w:hAnsi="Arial"/>
          <w:color w:val="231F20"/>
          <w:w w:val="85"/>
          <w:sz w:val="14"/>
        </w:rPr>
        <w:t>B. Syzdykbayeva,</w:t>
      </w:r>
      <w:r>
        <w:rPr>
          <w:rFonts w:ascii="Arial" w:hAnsi="Arial"/>
          <w:color w:val="231F20"/>
          <w:spacing w:val="-7"/>
          <w:w w:val="85"/>
          <w:sz w:val="14"/>
        </w:rPr>
        <w:t> </w:t>
      </w:r>
      <w:r>
        <w:rPr>
          <w:rFonts w:ascii="Arial" w:hAnsi="Arial"/>
          <w:color w:val="231F20"/>
          <w:w w:val="85"/>
          <w:sz w:val="14"/>
        </w:rPr>
        <w:t>T.</w:t>
      </w:r>
      <w:r>
        <w:rPr>
          <w:rFonts w:ascii="Arial" w:hAnsi="Arial"/>
          <w:color w:val="231F20"/>
          <w:spacing w:val="-1"/>
          <w:w w:val="85"/>
          <w:sz w:val="14"/>
        </w:rPr>
        <w:t> </w:t>
      </w:r>
      <w:r>
        <w:rPr>
          <w:rFonts w:ascii="Arial" w:hAnsi="Arial"/>
          <w:color w:val="231F20"/>
          <w:w w:val="85"/>
          <w:sz w:val="14"/>
        </w:rPr>
        <w:t>Azatbek,</w:t>
      </w:r>
      <w:r>
        <w:rPr>
          <w:rFonts w:ascii="Arial" w:hAnsi="Arial"/>
          <w:color w:val="231F20"/>
          <w:spacing w:val="-1"/>
          <w:w w:val="85"/>
          <w:sz w:val="14"/>
        </w:rPr>
        <w:t> </w:t>
      </w:r>
      <w:r>
        <w:rPr>
          <w:rFonts w:ascii="Arial" w:hAnsi="Arial"/>
          <w:color w:val="231F20"/>
          <w:w w:val="85"/>
          <w:sz w:val="14"/>
        </w:rPr>
        <w:t>and K.</w:t>
      </w:r>
      <w:r>
        <w:rPr>
          <w:rFonts w:ascii="Arial" w:hAnsi="Arial"/>
          <w:color w:val="231F20"/>
          <w:spacing w:val="40"/>
          <w:sz w:val="14"/>
        </w:rPr>
        <w:t> </w:t>
      </w:r>
      <w:r>
        <w:rPr>
          <w:rFonts w:ascii="Arial" w:hAnsi="Arial"/>
          <w:color w:val="231F20"/>
          <w:w w:val="85"/>
          <w:sz w:val="14"/>
        </w:rPr>
        <w:t>Sharipbekova.</w:t>
      </w:r>
      <w:r>
        <w:rPr>
          <w:rFonts w:ascii="Arial" w:hAnsi="Arial"/>
          <w:color w:val="231F20"/>
          <w:spacing w:val="-4"/>
          <w:w w:val="85"/>
          <w:sz w:val="14"/>
        </w:rPr>
        <w:t> </w:t>
      </w:r>
      <w:r>
        <w:rPr>
          <w:rFonts w:ascii="Arial" w:hAnsi="Arial"/>
          <w:color w:val="231F20"/>
          <w:w w:val="85"/>
          <w:sz w:val="14"/>
        </w:rPr>
        <w:t>2022.</w:t>
      </w:r>
      <w:r>
        <w:rPr>
          <w:rFonts w:ascii="Arial" w:hAnsi="Arial"/>
          <w:color w:val="231F20"/>
          <w:spacing w:val="-6"/>
          <w:w w:val="85"/>
          <w:sz w:val="14"/>
        </w:rPr>
        <w:t> </w:t>
      </w:r>
      <w:r>
        <w:rPr>
          <w:rFonts w:ascii="Arial" w:hAnsi="Arial"/>
          <w:color w:val="231F20"/>
          <w:w w:val="85"/>
          <w:sz w:val="14"/>
        </w:rPr>
        <w:t>“Improving</w:t>
      </w:r>
      <w:r>
        <w:rPr>
          <w:rFonts w:ascii="Arial" w:hAnsi="Arial"/>
          <w:color w:val="231F20"/>
          <w:spacing w:val="-3"/>
          <w:w w:val="85"/>
          <w:sz w:val="14"/>
        </w:rPr>
        <w:t> </w:t>
      </w:r>
      <w:r>
        <w:rPr>
          <w:rFonts w:ascii="Arial" w:hAnsi="Arial"/>
          <w:color w:val="231F20"/>
          <w:w w:val="85"/>
          <w:sz w:val="14"/>
        </w:rPr>
        <w:t>the</w:t>
      </w:r>
      <w:r>
        <w:rPr>
          <w:rFonts w:ascii="Arial" w:hAnsi="Arial"/>
          <w:color w:val="231F20"/>
          <w:spacing w:val="-4"/>
          <w:w w:val="85"/>
          <w:sz w:val="14"/>
        </w:rPr>
        <w:t> </w:t>
      </w:r>
      <w:r>
        <w:rPr>
          <w:rFonts w:ascii="Arial" w:hAnsi="Arial"/>
          <w:color w:val="231F20"/>
          <w:w w:val="85"/>
          <w:sz w:val="14"/>
        </w:rPr>
        <w:t>Efficiency</w:t>
      </w:r>
      <w:r>
        <w:rPr>
          <w:rFonts w:ascii="Arial" w:hAnsi="Arial"/>
          <w:color w:val="231F20"/>
          <w:spacing w:val="-4"/>
          <w:w w:val="85"/>
          <w:sz w:val="14"/>
        </w:rPr>
        <w:t> </w:t>
      </w:r>
      <w:r>
        <w:rPr>
          <w:rFonts w:ascii="Arial" w:hAnsi="Arial"/>
          <w:color w:val="231F20"/>
          <w:w w:val="85"/>
          <w:sz w:val="14"/>
        </w:rPr>
        <w:t>of</w:t>
      </w:r>
      <w:r>
        <w:rPr>
          <w:rFonts w:ascii="Arial" w:hAnsi="Arial"/>
          <w:color w:val="231F20"/>
          <w:spacing w:val="-5"/>
          <w:w w:val="85"/>
          <w:sz w:val="14"/>
        </w:rPr>
        <w:t> </w:t>
      </w:r>
      <w:r>
        <w:rPr>
          <w:rFonts w:ascii="Arial" w:hAnsi="Arial"/>
          <w:color w:val="231F20"/>
          <w:w w:val="85"/>
          <w:sz w:val="14"/>
        </w:rPr>
        <w:t>Transportation</w:t>
      </w:r>
      <w:r>
        <w:rPr>
          <w:rFonts w:ascii="Arial" w:hAnsi="Arial"/>
          <w:color w:val="231F20"/>
          <w:spacing w:val="40"/>
          <w:sz w:val="14"/>
        </w:rPr>
        <w:t> </w:t>
      </w:r>
      <w:r>
        <w:rPr>
          <w:rFonts w:ascii="Arial" w:hAnsi="Arial"/>
          <w:color w:val="231F20"/>
          <w:spacing w:val="-2"/>
          <w:w w:val="80"/>
          <w:sz w:val="14"/>
        </w:rPr>
        <w:t>and</w:t>
      </w:r>
      <w:r>
        <w:rPr>
          <w:rFonts w:ascii="Arial" w:hAnsi="Arial"/>
          <w:color w:val="231F20"/>
          <w:spacing w:val="-2"/>
          <w:sz w:val="14"/>
        </w:rPr>
        <w:t> </w:t>
      </w:r>
      <w:r>
        <w:rPr>
          <w:rFonts w:ascii="Arial" w:hAnsi="Arial"/>
          <w:color w:val="231F20"/>
          <w:spacing w:val="-2"/>
          <w:w w:val="80"/>
          <w:sz w:val="14"/>
        </w:rPr>
        <w:t>Distribution</w:t>
      </w:r>
      <w:r>
        <w:rPr>
          <w:rFonts w:ascii="Arial" w:hAnsi="Arial"/>
          <w:color w:val="231F20"/>
          <w:spacing w:val="-2"/>
          <w:sz w:val="14"/>
        </w:rPr>
        <w:t> </w:t>
      </w:r>
      <w:r>
        <w:rPr>
          <w:rFonts w:ascii="Arial" w:hAnsi="Arial"/>
          <w:color w:val="231F20"/>
          <w:spacing w:val="-2"/>
          <w:w w:val="80"/>
          <w:sz w:val="14"/>
        </w:rPr>
        <w:t>of</w:t>
      </w:r>
      <w:r>
        <w:rPr>
          <w:rFonts w:ascii="Arial" w:hAnsi="Arial"/>
          <w:color w:val="231F20"/>
          <w:spacing w:val="-2"/>
          <w:sz w:val="14"/>
        </w:rPr>
        <w:t> </w:t>
      </w:r>
      <w:r>
        <w:rPr>
          <w:rFonts w:ascii="Arial" w:hAnsi="Arial"/>
          <w:color w:val="231F20"/>
          <w:spacing w:val="-2"/>
          <w:w w:val="80"/>
          <w:sz w:val="14"/>
        </w:rPr>
        <w:t>Goods</w:t>
      </w:r>
      <w:r>
        <w:rPr>
          <w:rFonts w:ascii="Arial" w:hAnsi="Arial"/>
          <w:color w:val="231F20"/>
          <w:spacing w:val="-2"/>
          <w:sz w:val="14"/>
        </w:rPr>
        <w:t> </w:t>
      </w:r>
      <w:r>
        <w:rPr>
          <w:rFonts w:ascii="Arial" w:hAnsi="Arial"/>
          <w:color w:val="231F20"/>
          <w:spacing w:val="-2"/>
          <w:w w:val="80"/>
          <w:sz w:val="14"/>
        </w:rPr>
        <w:t>in</w:t>
      </w:r>
      <w:r>
        <w:rPr>
          <w:rFonts w:ascii="Arial" w:hAnsi="Arial"/>
          <w:color w:val="231F20"/>
          <w:spacing w:val="-2"/>
          <w:sz w:val="14"/>
        </w:rPr>
        <w:t> </w:t>
      </w:r>
      <w:r>
        <w:rPr>
          <w:rFonts w:ascii="Arial" w:hAnsi="Arial"/>
          <w:color w:val="231F20"/>
          <w:spacing w:val="-2"/>
          <w:w w:val="80"/>
          <w:sz w:val="14"/>
        </w:rPr>
        <w:t>Modern</w:t>
      </w:r>
      <w:r>
        <w:rPr>
          <w:rFonts w:ascii="Arial" w:hAnsi="Arial"/>
          <w:color w:val="231F20"/>
          <w:spacing w:val="-2"/>
          <w:sz w:val="14"/>
        </w:rPr>
        <w:t> </w:t>
      </w:r>
      <w:r>
        <w:rPr>
          <w:rFonts w:ascii="Arial" w:hAnsi="Arial"/>
          <w:color w:val="231F20"/>
          <w:spacing w:val="-2"/>
          <w:w w:val="80"/>
          <w:sz w:val="14"/>
        </w:rPr>
        <w:t>Conditions.” </w:t>
      </w:r>
      <w:r>
        <w:rPr>
          <w:rFonts w:ascii="Arial" w:hAnsi="Arial"/>
          <w:i/>
          <w:color w:val="231F20"/>
          <w:spacing w:val="-2"/>
          <w:w w:val="80"/>
          <w:sz w:val="14"/>
        </w:rPr>
        <w:t>Modern Trends</w:t>
      </w:r>
      <w:r>
        <w:rPr>
          <w:rFonts w:ascii="Arial" w:hAnsi="Arial"/>
          <w:i/>
          <w:color w:val="231F20"/>
          <w:spacing w:val="-2"/>
          <w:sz w:val="14"/>
        </w:rPr>
        <w:t> </w:t>
      </w:r>
      <w:r>
        <w:rPr>
          <w:rFonts w:ascii="Arial" w:hAnsi="Arial"/>
          <w:i/>
          <w:color w:val="231F20"/>
          <w:spacing w:val="-2"/>
          <w:w w:val="80"/>
          <w:sz w:val="14"/>
        </w:rPr>
        <w:t>and</w:t>
      </w:r>
      <w:r>
        <w:rPr>
          <w:rFonts w:ascii="Arial" w:hAnsi="Arial"/>
          <w:i/>
          <w:color w:val="231F20"/>
          <w:spacing w:val="40"/>
          <w:sz w:val="14"/>
        </w:rPr>
        <w:t> </w:t>
      </w:r>
      <w:r>
        <w:rPr>
          <w:rFonts w:ascii="Arial" w:hAnsi="Arial"/>
          <w:i/>
          <w:color w:val="231F20"/>
          <w:w w:val="85"/>
          <w:sz w:val="14"/>
        </w:rPr>
        <w:t>Research</w:t>
      </w:r>
      <w:r>
        <w:rPr>
          <w:rFonts w:ascii="Arial" w:hAnsi="Arial"/>
          <w:i/>
          <w:color w:val="231F20"/>
          <w:spacing w:val="-4"/>
          <w:w w:val="85"/>
          <w:sz w:val="14"/>
        </w:rPr>
        <w:t> </w:t>
      </w:r>
      <w:r>
        <w:rPr>
          <w:rFonts w:ascii="Arial" w:hAnsi="Arial"/>
          <w:i/>
          <w:color w:val="231F20"/>
          <w:w w:val="85"/>
          <w:sz w:val="14"/>
        </w:rPr>
        <w:t>in</w:t>
      </w:r>
      <w:r>
        <w:rPr>
          <w:rFonts w:ascii="Arial" w:hAnsi="Arial"/>
          <w:i/>
          <w:color w:val="231F20"/>
          <w:spacing w:val="-4"/>
          <w:w w:val="85"/>
          <w:sz w:val="14"/>
        </w:rPr>
        <w:t> </w:t>
      </w:r>
      <w:r>
        <w:rPr>
          <w:rFonts w:ascii="Arial" w:hAnsi="Arial"/>
          <w:i/>
          <w:color w:val="231F20"/>
          <w:w w:val="85"/>
          <w:sz w:val="14"/>
        </w:rPr>
        <w:t>Intermodal</w:t>
      </w:r>
      <w:r>
        <w:rPr>
          <w:rFonts w:ascii="Arial" w:hAnsi="Arial"/>
          <w:i/>
          <w:color w:val="231F20"/>
          <w:spacing w:val="-5"/>
          <w:w w:val="85"/>
          <w:sz w:val="14"/>
        </w:rPr>
        <w:t> </w:t>
      </w:r>
      <w:r>
        <w:rPr>
          <w:rFonts w:ascii="Arial" w:hAnsi="Arial"/>
          <w:i/>
          <w:color w:val="231F20"/>
          <w:w w:val="85"/>
          <w:sz w:val="14"/>
        </w:rPr>
        <w:t>Transportation,</w:t>
      </w:r>
      <w:r>
        <w:rPr>
          <w:rFonts w:ascii="Arial" w:hAnsi="Arial"/>
          <w:i/>
          <w:color w:val="231F20"/>
          <w:spacing w:val="-4"/>
          <w:w w:val="85"/>
          <w:sz w:val="14"/>
        </w:rPr>
        <w:t> </w:t>
      </w:r>
      <w:r>
        <w:rPr>
          <w:rFonts w:ascii="Arial" w:hAnsi="Arial"/>
          <w:color w:val="231F20"/>
          <w:w w:val="85"/>
          <w:sz w:val="14"/>
        </w:rPr>
        <w:t>197–276.</w:t>
      </w:r>
    </w:p>
    <w:p>
      <w:pPr>
        <w:spacing w:line="297" w:lineRule="auto" w:before="1"/>
        <w:ind w:left="437" w:right="2804" w:hanging="240"/>
        <w:jc w:val="left"/>
        <w:rPr>
          <w:rFonts w:ascii="Arial" w:hAnsi="Arial"/>
          <w:sz w:val="14"/>
        </w:rPr>
      </w:pPr>
      <w:r>
        <w:rPr>
          <w:rFonts w:ascii="Arial" w:hAnsi="Arial"/>
          <w:color w:val="231F20"/>
          <w:w w:val="80"/>
          <w:sz w:val="14"/>
        </w:rPr>
        <w:t>Rajkarnikar,</w:t>
      </w:r>
      <w:r>
        <w:rPr>
          <w:rFonts w:ascii="Arial" w:hAnsi="Arial"/>
          <w:color w:val="231F20"/>
          <w:spacing w:val="-4"/>
          <w:w w:val="80"/>
          <w:sz w:val="14"/>
        </w:rPr>
        <w:t> </w:t>
      </w:r>
      <w:r>
        <w:rPr>
          <w:rFonts w:ascii="Arial" w:hAnsi="Arial"/>
          <w:color w:val="231F20"/>
          <w:w w:val="80"/>
          <w:sz w:val="14"/>
        </w:rPr>
        <w:t>P.</w:t>
      </w:r>
      <w:r>
        <w:rPr>
          <w:rFonts w:ascii="Arial" w:hAnsi="Arial"/>
          <w:color w:val="231F20"/>
          <w:spacing w:val="-2"/>
          <w:w w:val="80"/>
          <w:sz w:val="14"/>
        </w:rPr>
        <w:t> </w:t>
      </w:r>
      <w:r>
        <w:rPr>
          <w:rFonts w:ascii="Arial" w:hAnsi="Arial"/>
          <w:color w:val="231F20"/>
          <w:w w:val="80"/>
          <w:sz w:val="14"/>
        </w:rPr>
        <w:t>2022.</w:t>
      </w:r>
      <w:r>
        <w:rPr>
          <w:rFonts w:ascii="Arial" w:hAnsi="Arial"/>
          <w:color w:val="231F20"/>
          <w:spacing w:val="-3"/>
          <w:w w:val="80"/>
          <w:sz w:val="14"/>
        </w:rPr>
        <w:t> </w:t>
      </w:r>
      <w:r>
        <w:rPr>
          <w:rFonts w:ascii="Arial" w:hAnsi="Arial"/>
          <w:color w:val="231F20"/>
          <w:w w:val="80"/>
          <w:sz w:val="14"/>
        </w:rPr>
        <w:t>“Adequacy</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1"/>
          <w:w w:val="80"/>
          <w:sz w:val="14"/>
        </w:rPr>
        <w:t> </w:t>
      </w:r>
      <w:r>
        <w:rPr>
          <w:rFonts w:ascii="Arial" w:hAnsi="Arial"/>
          <w:color w:val="231F20"/>
          <w:w w:val="80"/>
          <w:sz w:val="14"/>
        </w:rPr>
        <w:t>Effectiveness</w:t>
      </w:r>
      <w:r>
        <w:rPr>
          <w:rFonts w:ascii="Arial" w:hAnsi="Arial"/>
          <w:color w:val="231F20"/>
          <w:spacing w:val="-1"/>
          <w:w w:val="80"/>
          <w:sz w:val="14"/>
        </w:rPr>
        <w:t> </w:t>
      </w:r>
      <w:r>
        <w:rPr>
          <w:rFonts w:ascii="Arial" w:hAnsi="Arial"/>
          <w:color w:val="231F20"/>
          <w:w w:val="80"/>
          <w:sz w:val="14"/>
        </w:rPr>
        <w:t>of</w:t>
      </w:r>
      <w:r>
        <w:rPr>
          <w:rFonts w:ascii="Arial" w:hAnsi="Arial"/>
          <w:color w:val="231F20"/>
          <w:spacing w:val="-1"/>
          <w:w w:val="80"/>
          <w:sz w:val="14"/>
        </w:rPr>
        <w:t> </w:t>
      </w:r>
      <w:r>
        <w:rPr>
          <w:rFonts w:ascii="Arial" w:hAnsi="Arial"/>
          <w:color w:val="231F20"/>
          <w:w w:val="80"/>
          <w:sz w:val="14"/>
        </w:rPr>
        <w:t>Logistics</w:t>
      </w:r>
      <w:r>
        <w:rPr>
          <w:rFonts w:ascii="Arial" w:hAnsi="Arial"/>
          <w:color w:val="231F20"/>
          <w:spacing w:val="-1"/>
          <w:w w:val="80"/>
          <w:sz w:val="14"/>
        </w:rPr>
        <w:t> </w:t>
      </w:r>
      <w:r>
        <w:rPr>
          <w:rFonts w:ascii="Arial" w:hAnsi="Arial"/>
          <w:color w:val="231F20"/>
          <w:w w:val="80"/>
          <w:sz w:val="14"/>
        </w:rPr>
        <w:t>Services</w:t>
      </w:r>
      <w:r>
        <w:rPr>
          <w:rFonts w:ascii="Arial" w:hAnsi="Arial"/>
          <w:color w:val="231F20"/>
          <w:spacing w:val="-1"/>
          <w:w w:val="80"/>
          <w:sz w:val="14"/>
        </w:rPr>
        <w:t> </w:t>
      </w:r>
      <w:r>
        <w:rPr>
          <w:rFonts w:ascii="Arial" w:hAnsi="Arial"/>
          <w:color w:val="231F20"/>
          <w:w w:val="80"/>
          <w:sz w:val="14"/>
        </w:rPr>
        <w:t>in</w:t>
      </w:r>
      <w:r>
        <w:rPr>
          <w:rFonts w:ascii="Arial" w:hAnsi="Arial"/>
          <w:color w:val="231F20"/>
          <w:spacing w:val="40"/>
          <w:sz w:val="14"/>
        </w:rPr>
        <w:t> </w:t>
      </w:r>
      <w:r>
        <w:rPr>
          <w:rFonts w:ascii="Arial" w:hAnsi="Arial"/>
          <w:color w:val="231F20"/>
          <w:w w:val="75"/>
          <w:sz w:val="14"/>
        </w:rPr>
        <w:t>Nepal:</w:t>
      </w:r>
      <w:r>
        <w:rPr>
          <w:rFonts w:ascii="Arial" w:hAnsi="Arial"/>
          <w:color w:val="231F20"/>
          <w:spacing w:val="1"/>
          <w:sz w:val="14"/>
        </w:rPr>
        <w:t> </w:t>
      </w:r>
      <w:r>
        <w:rPr>
          <w:rFonts w:ascii="Arial" w:hAnsi="Arial"/>
          <w:color w:val="231F20"/>
          <w:w w:val="75"/>
          <w:sz w:val="14"/>
        </w:rPr>
        <w:t>Implication</w:t>
      </w:r>
      <w:r>
        <w:rPr>
          <w:rFonts w:ascii="Arial" w:hAnsi="Arial"/>
          <w:color w:val="231F20"/>
          <w:spacing w:val="8"/>
          <w:sz w:val="14"/>
        </w:rPr>
        <w:t> </w:t>
      </w:r>
      <w:r>
        <w:rPr>
          <w:rFonts w:ascii="Arial" w:hAnsi="Arial"/>
          <w:color w:val="231F20"/>
          <w:w w:val="75"/>
          <w:sz w:val="14"/>
        </w:rPr>
        <w:t>for</w:t>
      </w:r>
      <w:r>
        <w:rPr>
          <w:rFonts w:ascii="Arial" w:hAnsi="Arial"/>
          <w:color w:val="231F20"/>
          <w:spacing w:val="8"/>
          <w:sz w:val="14"/>
        </w:rPr>
        <w:t> </w:t>
      </w:r>
      <w:r>
        <w:rPr>
          <w:rFonts w:ascii="Arial" w:hAnsi="Arial"/>
          <w:color w:val="231F20"/>
          <w:w w:val="75"/>
          <w:sz w:val="14"/>
        </w:rPr>
        <w:t>Export</w:t>
      </w:r>
      <w:r>
        <w:rPr>
          <w:rFonts w:ascii="Arial" w:hAnsi="Arial"/>
          <w:color w:val="231F20"/>
          <w:spacing w:val="9"/>
          <w:sz w:val="14"/>
        </w:rPr>
        <w:t> </w:t>
      </w:r>
      <w:r>
        <w:rPr>
          <w:rFonts w:ascii="Arial" w:hAnsi="Arial"/>
          <w:color w:val="231F20"/>
          <w:w w:val="75"/>
          <w:sz w:val="14"/>
        </w:rPr>
        <w:t>Performance</w:t>
      </w:r>
      <w:r>
        <w:rPr>
          <w:rFonts w:ascii="Arial" w:hAnsi="Arial"/>
          <w:i/>
          <w:color w:val="231F20"/>
          <w:w w:val="75"/>
          <w:sz w:val="14"/>
        </w:rPr>
        <w:t>.</w:t>
      </w:r>
      <w:r>
        <w:rPr>
          <w:rFonts w:ascii="Arial" w:hAnsi="Arial"/>
          <w:color w:val="231F20"/>
          <w:w w:val="75"/>
          <w:sz w:val="14"/>
        </w:rPr>
        <w:t>”</w:t>
      </w:r>
      <w:r>
        <w:rPr>
          <w:rFonts w:ascii="Arial" w:hAnsi="Arial"/>
          <w:color w:val="231F20"/>
          <w:spacing w:val="-6"/>
          <w:sz w:val="14"/>
        </w:rPr>
        <w:t> </w:t>
      </w:r>
      <w:r>
        <w:rPr>
          <w:rFonts w:ascii="Arial" w:hAnsi="Arial"/>
          <w:color w:val="231F20"/>
          <w:w w:val="75"/>
          <w:sz w:val="14"/>
        </w:rPr>
        <w:t>ARTNet</w:t>
      </w:r>
      <w:r>
        <w:rPr>
          <w:rFonts w:ascii="Arial" w:hAnsi="Arial"/>
          <w:color w:val="231F20"/>
          <w:spacing w:val="1"/>
          <w:sz w:val="14"/>
        </w:rPr>
        <w:t> </w:t>
      </w:r>
      <w:r>
        <w:rPr>
          <w:rFonts w:ascii="Arial" w:hAnsi="Arial"/>
          <w:color w:val="231F20"/>
          <w:w w:val="75"/>
          <w:sz w:val="14"/>
        </w:rPr>
        <w:t>Working</w:t>
      </w:r>
      <w:r>
        <w:rPr>
          <w:rFonts w:ascii="Arial" w:hAnsi="Arial"/>
          <w:color w:val="231F20"/>
          <w:spacing w:val="8"/>
          <w:sz w:val="14"/>
        </w:rPr>
        <w:t> </w:t>
      </w:r>
      <w:r>
        <w:rPr>
          <w:rFonts w:ascii="Arial" w:hAnsi="Arial"/>
          <w:color w:val="231F20"/>
          <w:w w:val="75"/>
          <w:sz w:val="14"/>
        </w:rPr>
        <w:t>Paper</w:t>
      </w:r>
      <w:r>
        <w:rPr>
          <w:rFonts w:ascii="Arial" w:hAnsi="Arial"/>
          <w:color w:val="231F20"/>
          <w:spacing w:val="8"/>
          <w:sz w:val="14"/>
        </w:rPr>
        <w:t> </w:t>
      </w:r>
      <w:r>
        <w:rPr>
          <w:rFonts w:ascii="Arial" w:hAnsi="Arial"/>
          <w:color w:val="231F20"/>
          <w:spacing w:val="-5"/>
          <w:w w:val="75"/>
          <w:sz w:val="14"/>
        </w:rPr>
        <w:t>79.</w:t>
      </w:r>
    </w:p>
    <w:p>
      <w:pPr>
        <w:spacing w:line="297" w:lineRule="auto" w:before="1"/>
        <w:ind w:left="437" w:right="2804" w:hanging="240"/>
        <w:jc w:val="left"/>
        <w:rPr>
          <w:rFonts w:ascii="Arial" w:hAnsi="Arial"/>
          <w:sz w:val="14"/>
        </w:rPr>
      </w:pPr>
      <w:r>
        <w:rPr>
          <w:rFonts w:ascii="Arial" w:hAnsi="Arial"/>
          <w:color w:val="231F20"/>
          <w:w w:val="85"/>
          <w:sz w:val="14"/>
        </w:rPr>
        <w:t>Reis,</w:t>
      </w:r>
      <w:r>
        <w:rPr>
          <w:rFonts w:ascii="Arial" w:hAnsi="Arial"/>
          <w:color w:val="231F20"/>
          <w:spacing w:val="-6"/>
          <w:w w:val="85"/>
          <w:sz w:val="14"/>
        </w:rPr>
        <w:t> </w:t>
      </w:r>
      <w:r>
        <w:rPr>
          <w:rFonts w:ascii="Arial" w:hAnsi="Arial"/>
          <w:color w:val="231F20"/>
          <w:w w:val="85"/>
          <w:sz w:val="14"/>
        </w:rPr>
        <w:t>J.</w:t>
      </w:r>
      <w:r>
        <w:rPr>
          <w:rFonts w:ascii="Arial" w:hAnsi="Arial"/>
          <w:color w:val="231F20"/>
          <w:spacing w:val="-4"/>
          <w:w w:val="85"/>
          <w:sz w:val="14"/>
        </w:rPr>
        <w:t> </w:t>
      </w:r>
      <w:r>
        <w:rPr>
          <w:rFonts w:ascii="Arial" w:hAnsi="Arial"/>
          <w:color w:val="231F20"/>
          <w:w w:val="85"/>
          <w:sz w:val="14"/>
        </w:rPr>
        <w:t>G.</w:t>
      </w:r>
      <w:r>
        <w:rPr>
          <w:rFonts w:ascii="Arial" w:hAnsi="Arial"/>
          <w:color w:val="231F20"/>
          <w:spacing w:val="-1"/>
          <w:w w:val="85"/>
          <w:sz w:val="14"/>
        </w:rPr>
        <w:t> </w:t>
      </w:r>
      <w:r>
        <w:rPr>
          <w:rFonts w:ascii="Arial" w:hAnsi="Arial"/>
          <w:color w:val="231F20"/>
          <w:w w:val="85"/>
          <w:sz w:val="14"/>
        </w:rPr>
        <w:t>M.,</w:t>
      </w:r>
      <w:r>
        <w:rPr>
          <w:rFonts w:ascii="Arial" w:hAnsi="Arial"/>
          <w:color w:val="231F20"/>
          <w:spacing w:val="-6"/>
          <w:w w:val="85"/>
          <w:sz w:val="14"/>
        </w:rPr>
        <w:t> </w:t>
      </w:r>
      <w:r>
        <w:rPr>
          <w:rFonts w:ascii="Arial" w:hAnsi="Arial"/>
          <w:color w:val="231F20"/>
          <w:w w:val="85"/>
          <w:sz w:val="14"/>
        </w:rPr>
        <w:t>and</w:t>
      </w:r>
      <w:r>
        <w:rPr>
          <w:rFonts w:ascii="Arial" w:hAnsi="Arial"/>
          <w:color w:val="231F20"/>
          <w:spacing w:val="-1"/>
          <w:w w:val="85"/>
          <w:sz w:val="14"/>
        </w:rPr>
        <w:t> </w:t>
      </w:r>
      <w:r>
        <w:rPr>
          <w:rFonts w:ascii="Arial" w:hAnsi="Arial"/>
          <w:color w:val="231F20"/>
          <w:w w:val="85"/>
          <w:sz w:val="14"/>
        </w:rPr>
        <w:t>S.</w:t>
      </w:r>
      <w:r>
        <w:rPr>
          <w:rFonts w:ascii="Arial" w:hAnsi="Arial"/>
          <w:color w:val="231F20"/>
          <w:spacing w:val="-6"/>
          <w:w w:val="85"/>
          <w:sz w:val="14"/>
        </w:rPr>
        <w:t> </w:t>
      </w:r>
      <w:r>
        <w:rPr>
          <w:rFonts w:ascii="Arial" w:hAnsi="Arial"/>
          <w:color w:val="231F20"/>
          <w:w w:val="85"/>
          <w:sz w:val="14"/>
        </w:rPr>
        <w:t>T.</w:t>
      </w:r>
      <w:r>
        <w:rPr>
          <w:rFonts w:ascii="Arial" w:hAnsi="Arial"/>
          <w:color w:val="231F20"/>
          <w:spacing w:val="-1"/>
          <w:w w:val="85"/>
          <w:sz w:val="14"/>
        </w:rPr>
        <w:t> </w:t>
      </w:r>
      <w:r>
        <w:rPr>
          <w:rFonts w:ascii="Arial" w:hAnsi="Arial"/>
          <w:color w:val="231F20"/>
          <w:w w:val="85"/>
          <w:sz w:val="14"/>
        </w:rPr>
        <w:t>Machado.</w:t>
      </w:r>
      <w:r>
        <w:rPr>
          <w:rFonts w:ascii="Arial" w:hAnsi="Arial"/>
          <w:color w:val="231F20"/>
          <w:spacing w:val="-1"/>
          <w:w w:val="85"/>
          <w:sz w:val="14"/>
        </w:rPr>
        <w:t> </w:t>
      </w:r>
      <w:r>
        <w:rPr>
          <w:rFonts w:ascii="Arial" w:hAnsi="Arial"/>
          <w:color w:val="231F20"/>
          <w:w w:val="85"/>
          <w:sz w:val="14"/>
        </w:rPr>
        <w:t>2022.</w:t>
      </w:r>
      <w:r>
        <w:rPr>
          <w:rFonts w:ascii="Arial" w:hAnsi="Arial"/>
          <w:color w:val="231F20"/>
          <w:spacing w:val="-6"/>
          <w:w w:val="85"/>
          <w:sz w:val="14"/>
        </w:rPr>
        <w:t> </w:t>
      </w:r>
      <w:r>
        <w:rPr>
          <w:rFonts w:ascii="Arial" w:hAnsi="Arial"/>
          <w:color w:val="231F20"/>
          <w:w w:val="85"/>
          <w:sz w:val="14"/>
        </w:rPr>
        <w:t>“The</w:t>
      </w:r>
      <w:r>
        <w:rPr>
          <w:rFonts w:ascii="Arial" w:hAnsi="Arial"/>
          <w:color w:val="231F20"/>
          <w:spacing w:val="-1"/>
          <w:w w:val="85"/>
          <w:sz w:val="14"/>
        </w:rPr>
        <w:t> </w:t>
      </w:r>
      <w:r>
        <w:rPr>
          <w:rFonts w:ascii="Arial" w:hAnsi="Arial"/>
          <w:color w:val="231F20"/>
          <w:w w:val="85"/>
          <w:sz w:val="14"/>
        </w:rPr>
        <w:t>Role</w:t>
      </w:r>
      <w:r>
        <w:rPr>
          <w:rFonts w:ascii="Arial" w:hAnsi="Arial"/>
          <w:color w:val="231F20"/>
          <w:spacing w:val="-1"/>
          <w:w w:val="85"/>
          <w:sz w:val="14"/>
        </w:rPr>
        <w:t> </w:t>
      </w:r>
      <w:r>
        <w:rPr>
          <w:rFonts w:ascii="Arial" w:hAnsi="Arial"/>
          <w:color w:val="231F20"/>
          <w:w w:val="85"/>
          <w:sz w:val="14"/>
        </w:rPr>
        <w:t>of</w:t>
      </w:r>
      <w:r>
        <w:rPr>
          <w:rFonts w:ascii="Arial" w:hAnsi="Arial"/>
          <w:color w:val="231F20"/>
          <w:spacing w:val="-2"/>
          <w:w w:val="85"/>
          <w:sz w:val="14"/>
        </w:rPr>
        <w:t> </w:t>
      </w:r>
      <w:r>
        <w:rPr>
          <w:rFonts w:ascii="Arial" w:hAnsi="Arial"/>
          <w:color w:val="231F20"/>
          <w:w w:val="85"/>
          <w:sz w:val="14"/>
        </w:rPr>
        <w:t>Logistics</w:t>
      </w:r>
      <w:r>
        <w:rPr>
          <w:rFonts w:ascii="Arial" w:hAnsi="Arial"/>
          <w:color w:val="231F20"/>
          <w:spacing w:val="40"/>
          <w:sz w:val="14"/>
        </w:rPr>
        <w:t> </w:t>
      </w:r>
      <w:r>
        <w:rPr>
          <w:rFonts w:ascii="Arial" w:hAnsi="Arial"/>
          <w:color w:val="231F20"/>
          <w:w w:val="75"/>
          <w:sz w:val="14"/>
        </w:rPr>
        <w:t>Management</w:t>
      </w:r>
      <w:r>
        <w:rPr>
          <w:rFonts w:ascii="Arial" w:hAnsi="Arial"/>
          <w:color w:val="231F20"/>
          <w:sz w:val="14"/>
        </w:rPr>
        <w:t> </w:t>
      </w:r>
      <w:r>
        <w:rPr>
          <w:rFonts w:ascii="Arial" w:hAnsi="Arial"/>
          <w:color w:val="231F20"/>
          <w:w w:val="75"/>
          <w:sz w:val="14"/>
        </w:rPr>
        <w:t>in</w:t>
      </w:r>
      <w:r>
        <w:rPr>
          <w:rFonts w:ascii="Arial" w:hAnsi="Arial"/>
          <w:color w:val="231F20"/>
          <w:sz w:val="14"/>
        </w:rPr>
        <w:t> </w:t>
      </w:r>
      <w:r>
        <w:rPr>
          <w:rFonts w:ascii="Arial" w:hAnsi="Arial"/>
          <w:color w:val="231F20"/>
          <w:w w:val="75"/>
          <w:sz w:val="14"/>
        </w:rPr>
        <w:t>Food Supply</w:t>
      </w:r>
      <w:r>
        <w:rPr>
          <w:rFonts w:ascii="Arial" w:hAnsi="Arial"/>
          <w:color w:val="231F20"/>
          <w:sz w:val="14"/>
        </w:rPr>
        <w:t> </w:t>
      </w:r>
      <w:r>
        <w:rPr>
          <w:rFonts w:ascii="Arial" w:hAnsi="Arial"/>
          <w:color w:val="231F20"/>
          <w:w w:val="75"/>
          <w:sz w:val="14"/>
        </w:rPr>
        <w:t>Chains.”</w:t>
      </w:r>
      <w:r>
        <w:rPr>
          <w:rFonts w:ascii="Arial" w:hAnsi="Arial"/>
          <w:color w:val="231F20"/>
          <w:sz w:val="14"/>
        </w:rPr>
        <w:t> </w:t>
      </w:r>
      <w:r>
        <w:rPr>
          <w:rFonts w:ascii="Arial" w:hAnsi="Arial"/>
          <w:i/>
          <w:color w:val="231F20"/>
          <w:w w:val="75"/>
          <w:sz w:val="14"/>
        </w:rPr>
        <w:t>New Perspectives in </w:t>
      </w:r>
      <w:r>
        <w:rPr>
          <w:rFonts w:ascii="Arial" w:hAnsi="Arial"/>
          <w:i/>
          <w:color w:val="231F20"/>
          <w:w w:val="75"/>
          <w:sz w:val="14"/>
        </w:rPr>
        <w:t>Operations</w:t>
      </w:r>
      <w:r>
        <w:rPr>
          <w:rFonts w:ascii="Arial" w:hAnsi="Arial"/>
          <w:i/>
          <w:color w:val="231F20"/>
          <w:spacing w:val="40"/>
          <w:sz w:val="14"/>
        </w:rPr>
        <w:t> </w:t>
      </w:r>
      <w:r>
        <w:rPr>
          <w:rFonts w:ascii="Arial" w:hAnsi="Arial"/>
          <w:i/>
          <w:color w:val="231F20"/>
          <w:w w:val="80"/>
          <w:sz w:val="14"/>
        </w:rPr>
        <w:t>Research and Management Science, Essays in Honor of Fusun</w:t>
      </w:r>
      <w:r>
        <w:rPr>
          <w:rFonts w:ascii="Arial" w:hAnsi="Arial"/>
          <w:i/>
          <w:color w:val="231F20"/>
          <w:spacing w:val="40"/>
          <w:sz w:val="14"/>
        </w:rPr>
        <w:t> </w:t>
      </w:r>
      <w:r>
        <w:rPr>
          <w:rFonts w:ascii="Arial" w:hAnsi="Arial"/>
          <w:i/>
          <w:color w:val="231F20"/>
          <w:w w:val="90"/>
          <w:sz w:val="14"/>
        </w:rPr>
        <w:t>Ulengin.</w:t>
      </w:r>
      <w:r>
        <w:rPr>
          <w:rFonts w:ascii="Arial" w:hAnsi="Arial"/>
          <w:i/>
          <w:color w:val="231F20"/>
          <w:spacing w:val="-6"/>
          <w:w w:val="90"/>
          <w:sz w:val="14"/>
        </w:rPr>
        <w:t> </w:t>
      </w:r>
      <w:r>
        <w:rPr>
          <w:rFonts w:ascii="Arial" w:hAnsi="Arial"/>
          <w:color w:val="231F20"/>
          <w:w w:val="90"/>
          <w:sz w:val="14"/>
        </w:rPr>
        <w:t>551–582.</w:t>
      </w:r>
    </w:p>
    <w:p>
      <w:pPr>
        <w:spacing w:before="1"/>
        <w:ind w:left="197" w:right="0" w:firstLine="0"/>
        <w:jc w:val="left"/>
        <w:rPr>
          <w:rFonts w:ascii="Arial" w:hAnsi="Arial"/>
          <w:sz w:val="14"/>
        </w:rPr>
      </w:pPr>
      <w:r>
        <w:rPr>
          <w:rFonts w:ascii="Arial" w:hAnsi="Arial"/>
          <w:color w:val="231F20"/>
          <w:w w:val="80"/>
          <w:sz w:val="14"/>
        </w:rPr>
        <w:t>Reis,</w:t>
      </w:r>
      <w:r>
        <w:rPr>
          <w:rFonts w:ascii="Arial" w:hAnsi="Arial"/>
          <w:color w:val="231F20"/>
          <w:spacing w:val="-6"/>
          <w:sz w:val="14"/>
        </w:rPr>
        <w:t> </w:t>
      </w:r>
      <w:r>
        <w:rPr>
          <w:rFonts w:ascii="Arial" w:hAnsi="Arial"/>
          <w:color w:val="231F20"/>
          <w:w w:val="80"/>
          <w:sz w:val="14"/>
        </w:rPr>
        <w:t>J.,</w:t>
      </w:r>
      <w:r>
        <w:rPr>
          <w:rFonts w:ascii="Arial" w:hAnsi="Arial"/>
          <w:color w:val="231F20"/>
          <w:spacing w:val="-5"/>
          <w:sz w:val="14"/>
        </w:rPr>
        <w:t> </w:t>
      </w:r>
      <w:r>
        <w:rPr>
          <w:rFonts w:ascii="Arial" w:hAnsi="Arial"/>
          <w:color w:val="231F20"/>
          <w:w w:val="80"/>
          <w:sz w:val="14"/>
        </w:rPr>
        <w:t>P.</w:t>
      </w:r>
      <w:r>
        <w:rPr>
          <w:rFonts w:ascii="Arial" w:hAnsi="Arial"/>
          <w:color w:val="231F20"/>
          <w:spacing w:val="1"/>
          <w:sz w:val="14"/>
        </w:rPr>
        <w:t> </w:t>
      </w:r>
      <w:r>
        <w:rPr>
          <w:rFonts w:ascii="Arial" w:hAnsi="Arial"/>
          <w:color w:val="231F20"/>
          <w:w w:val="80"/>
          <w:sz w:val="14"/>
        </w:rPr>
        <w:t>Sanches,</w:t>
      </w:r>
      <w:r>
        <w:rPr>
          <w:rFonts w:ascii="Arial" w:hAnsi="Arial"/>
          <w:color w:val="231F20"/>
          <w:spacing w:val="-5"/>
          <w:sz w:val="14"/>
        </w:rPr>
        <w:t> </w:t>
      </w:r>
      <w:r>
        <w:rPr>
          <w:rFonts w:ascii="Arial" w:hAnsi="Arial"/>
          <w:color w:val="231F20"/>
          <w:w w:val="80"/>
          <w:sz w:val="14"/>
        </w:rPr>
        <w:t>J.</w:t>
      </w:r>
      <w:r>
        <w:rPr>
          <w:rFonts w:ascii="Arial" w:hAnsi="Arial"/>
          <w:color w:val="231F20"/>
          <w:spacing w:val="1"/>
          <w:sz w:val="14"/>
        </w:rPr>
        <w:t> </w:t>
      </w:r>
      <w:r>
        <w:rPr>
          <w:rFonts w:ascii="Arial" w:hAnsi="Arial"/>
          <w:color w:val="231F20"/>
          <w:w w:val="80"/>
          <w:sz w:val="14"/>
        </w:rPr>
        <w:t>Cabral,</w:t>
      </w:r>
      <w:r>
        <w:rPr>
          <w:rFonts w:ascii="Arial" w:hAnsi="Arial"/>
          <w:color w:val="231F20"/>
          <w:spacing w:val="-5"/>
          <w:sz w:val="14"/>
        </w:rPr>
        <w:t> </w:t>
      </w:r>
      <w:r>
        <w:rPr>
          <w:rFonts w:ascii="Arial" w:hAnsi="Arial"/>
          <w:color w:val="231F20"/>
          <w:w w:val="80"/>
          <w:sz w:val="14"/>
        </w:rPr>
        <w:t>and</w:t>
      </w:r>
      <w:r>
        <w:rPr>
          <w:rFonts w:ascii="Arial" w:hAnsi="Arial"/>
          <w:color w:val="231F20"/>
          <w:sz w:val="14"/>
        </w:rPr>
        <w:t> </w:t>
      </w:r>
      <w:r>
        <w:rPr>
          <w:rFonts w:ascii="Arial" w:hAnsi="Arial"/>
          <w:color w:val="231F20"/>
          <w:w w:val="80"/>
          <w:sz w:val="14"/>
        </w:rPr>
        <w:t>C.</w:t>
      </w:r>
      <w:r>
        <w:rPr>
          <w:rFonts w:ascii="Arial" w:hAnsi="Arial"/>
          <w:color w:val="231F20"/>
          <w:spacing w:val="1"/>
          <w:sz w:val="14"/>
        </w:rPr>
        <w:t> </w:t>
      </w:r>
      <w:r>
        <w:rPr>
          <w:rFonts w:ascii="Arial" w:hAnsi="Arial"/>
          <w:color w:val="231F20"/>
          <w:w w:val="80"/>
          <w:sz w:val="14"/>
        </w:rPr>
        <w:t>Rodrigo.</w:t>
      </w:r>
      <w:r>
        <w:rPr>
          <w:rFonts w:ascii="Arial" w:hAnsi="Arial"/>
          <w:color w:val="231F20"/>
          <w:spacing w:val="1"/>
          <w:sz w:val="14"/>
        </w:rPr>
        <w:t> </w:t>
      </w:r>
      <w:r>
        <w:rPr>
          <w:rFonts w:ascii="Arial" w:hAnsi="Arial"/>
          <w:color w:val="231F20"/>
          <w:w w:val="80"/>
          <w:sz w:val="14"/>
        </w:rPr>
        <w:t>2020.</w:t>
      </w:r>
      <w:r>
        <w:rPr>
          <w:rFonts w:ascii="Arial" w:hAnsi="Arial"/>
          <w:color w:val="231F20"/>
          <w:spacing w:val="-5"/>
          <w:sz w:val="14"/>
        </w:rPr>
        <w:t> </w:t>
      </w:r>
      <w:r>
        <w:rPr>
          <w:rFonts w:ascii="Arial" w:hAnsi="Arial"/>
          <w:color w:val="231F20"/>
          <w:w w:val="80"/>
          <w:sz w:val="14"/>
        </w:rPr>
        <w:t>“The</w:t>
      </w:r>
      <w:r>
        <w:rPr>
          <w:rFonts w:ascii="Arial" w:hAnsi="Arial"/>
          <w:color w:val="231F20"/>
          <w:spacing w:val="1"/>
          <w:sz w:val="14"/>
        </w:rPr>
        <w:t> </w:t>
      </w:r>
      <w:r>
        <w:rPr>
          <w:rFonts w:ascii="Arial" w:hAnsi="Arial"/>
          <w:color w:val="231F20"/>
          <w:spacing w:val="-2"/>
          <w:w w:val="80"/>
          <w:sz w:val="14"/>
        </w:rPr>
        <w:t>Impact</w:t>
      </w:r>
    </w:p>
    <w:p>
      <w:pPr>
        <w:spacing w:line="297" w:lineRule="auto" w:before="39"/>
        <w:ind w:left="437" w:right="2845" w:firstLine="0"/>
        <w:jc w:val="left"/>
        <w:rPr>
          <w:rFonts w:ascii="Arial" w:hAnsi="Arial"/>
          <w:sz w:val="14"/>
        </w:rPr>
      </w:pP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Logistics</w:t>
      </w:r>
      <w:r>
        <w:rPr>
          <w:rFonts w:ascii="Arial" w:hAnsi="Arial"/>
          <w:color w:val="231F20"/>
          <w:spacing w:val="-2"/>
          <w:w w:val="80"/>
          <w:sz w:val="14"/>
        </w:rPr>
        <w:t> </w:t>
      </w:r>
      <w:r>
        <w:rPr>
          <w:rFonts w:ascii="Arial" w:hAnsi="Arial"/>
          <w:color w:val="231F20"/>
          <w:w w:val="80"/>
          <w:sz w:val="14"/>
        </w:rPr>
        <w:t>Performance</w:t>
      </w:r>
      <w:r>
        <w:rPr>
          <w:rFonts w:ascii="Arial" w:hAnsi="Arial"/>
          <w:color w:val="231F20"/>
          <w:spacing w:val="-2"/>
          <w:w w:val="80"/>
          <w:sz w:val="14"/>
        </w:rPr>
        <w:t> </w:t>
      </w:r>
      <w:r>
        <w:rPr>
          <w:rFonts w:ascii="Arial" w:hAnsi="Arial"/>
          <w:color w:val="231F20"/>
          <w:w w:val="80"/>
          <w:sz w:val="14"/>
        </w:rPr>
        <w:t>on</w:t>
      </w:r>
      <w:r>
        <w:rPr>
          <w:rFonts w:ascii="Arial" w:hAnsi="Arial"/>
          <w:color w:val="231F20"/>
          <w:spacing w:val="-4"/>
          <w:w w:val="80"/>
          <w:sz w:val="14"/>
        </w:rPr>
        <w:t> </w:t>
      </w:r>
      <w:r>
        <w:rPr>
          <w:rFonts w:ascii="Arial" w:hAnsi="Arial"/>
          <w:color w:val="231F20"/>
          <w:w w:val="80"/>
          <w:sz w:val="14"/>
        </w:rPr>
        <w:t>Argentina,</w:t>
      </w:r>
      <w:r>
        <w:rPr>
          <w:rFonts w:ascii="Arial" w:hAnsi="Arial"/>
          <w:color w:val="231F20"/>
          <w:spacing w:val="-3"/>
          <w:w w:val="80"/>
          <w:sz w:val="14"/>
        </w:rPr>
        <w:t> </w:t>
      </w:r>
      <w:r>
        <w:rPr>
          <w:rFonts w:ascii="Arial" w:hAnsi="Arial"/>
          <w:color w:val="231F20"/>
          <w:w w:val="80"/>
          <w:sz w:val="14"/>
        </w:rPr>
        <w:t>Brazil,</w:t>
      </w:r>
      <w:r>
        <w:rPr>
          <w:rFonts w:ascii="Arial" w:hAnsi="Arial"/>
          <w:color w:val="231F20"/>
          <w:spacing w:val="-3"/>
          <w:w w:val="80"/>
          <w:sz w:val="14"/>
        </w:rPr>
        <w:t> </w:t>
      </w:r>
      <w:r>
        <w:rPr>
          <w:rFonts w:ascii="Arial" w:hAnsi="Arial"/>
          <w:color w:val="231F20"/>
          <w:w w:val="80"/>
          <w:sz w:val="14"/>
        </w:rPr>
        <w:t>and</w:t>
      </w:r>
      <w:r>
        <w:rPr>
          <w:rFonts w:ascii="Arial" w:hAnsi="Arial"/>
          <w:color w:val="231F20"/>
          <w:spacing w:val="-2"/>
          <w:w w:val="80"/>
          <w:sz w:val="14"/>
        </w:rPr>
        <w:t> </w:t>
      </w:r>
      <w:r>
        <w:rPr>
          <w:rFonts w:ascii="Arial" w:hAnsi="Arial"/>
          <w:color w:val="231F20"/>
          <w:w w:val="80"/>
          <w:sz w:val="14"/>
        </w:rPr>
        <w:t>the</w:t>
      </w:r>
      <w:r>
        <w:rPr>
          <w:rFonts w:ascii="Arial" w:hAnsi="Arial"/>
          <w:color w:val="231F20"/>
          <w:spacing w:val="-2"/>
          <w:w w:val="80"/>
          <w:sz w:val="14"/>
        </w:rPr>
        <w:t> </w:t>
      </w:r>
      <w:r>
        <w:rPr>
          <w:rFonts w:ascii="Arial" w:hAnsi="Arial"/>
          <w:color w:val="231F20"/>
          <w:w w:val="80"/>
          <w:sz w:val="14"/>
        </w:rPr>
        <w:t>US</w:t>
      </w:r>
      <w:r>
        <w:rPr>
          <w:rFonts w:ascii="Arial" w:hAnsi="Arial"/>
          <w:color w:val="231F20"/>
          <w:spacing w:val="-2"/>
          <w:w w:val="80"/>
          <w:sz w:val="14"/>
        </w:rPr>
        <w:t> </w:t>
      </w:r>
      <w:r>
        <w:rPr>
          <w:rFonts w:ascii="Arial" w:hAnsi="Arial"/>
          <w:color w:val="231F20"/>
          <w:w w:val="80"/>
          <w:sz w:val="14"/>
        </w:rPr>
        <w:t>Soybean</w:t>
      </w:r>
      <w:r>
        <w:rPr>
          <w:rFonts w:ascii="Arial" w:hAnsi="Arial"/>
          <w:color w:val="231F20"/>
          <w:spacing w:val="40"/>
          <w:sz w:val="14"/>
        </w:rPr>
        <w:t> </w:t>
      </w:r>
      <w:r>
        <w:rPr>
          <w:rFonts w:ascii="Arial" w:hAnsi="Arial"/>
          <w:color w:val="231F20"/>
          <w:w w:val="80"/>
          <w:sz w:val="14"/>
        </w:rPr>
        <w:t>Exports</w:t>
      </w:r>
      <w:r>
        <w:rPr>
          <w:rFonts w:ascii="Arial" w:hAnsi="Arial"/>
          <w:color w:val="231F20"/>
          <w:spacing w:val="-2"/>
          <w:w w:val="80"/>
          <w:sz w:val="14"/>
        </w:rPr>
        <w:t> </w:t>
      </w:r>
      <w:r>
        <w:rPr>
          <w:rFonts w:ascii="Arial" w:hAnsi="Arial"/>
          <w:color w:val="231F20"/>
          <w:w w:val="80"/>
          <w:sz w:val="14"/>
        </w:rPr>
        <w:t>from</w:t>
      </w:r>
      <w:r>
        <w:rPr>
          <w:rFonts w:ascii="Arial" w:hAnsi="Arial"/>
          <w:color w:val="231F20"/>
          <w:spacing w:val="-2"/>
          <w:w w:val="80"/>
          <w:sz w:val="14"/>
        </w:rPr>
        <w:t> </w:t>
      </w:r>
      <w:r>
        <w:rPr>
          <w:rFonts w:ascii="Arial" w:hAnsi="Arial"/>
          <w:color w:val="231F20"/>
          <w:w w:val="80"/>
          <w:sz w:val="14"/>
        </w:rPr>
        <w:t>2012</w:t>
      </w:r>
      <w:r>
        <w:rPr>
          <w:rFonts w:ascii="Arial" w:hAnsi="Arial"/>
          <w:color w:val="231F20"/>
          <w:spacing w:val="-2"/>
          <w:w w:val="80"/>
          <w:sz w:val="14"/>
        </w:rPr>
        <w:t> </w:t>
      </w:r>
      <w:r>
        <w:rPr>
          <w:rFonts w:ascii="Arial" w:hAnsi="Arial"/>
          <w:color w:val="231F20"/>
          <w:w w:val="80"/>
          <w:sz w:val="14"/>
        </w:rPr>
        <w:t>to</w:t>
      </w:r>
      <w:r>
        <w:rPr>
          <w:rFonts w:ascii="Arial" w:hAnsi="Arial"/>
          <w:color w:val="231F20"/>
          <w:spacing w:val="-2"/>
          <w:w w:val="80"/>
          <w:sz w:val="14"/>
        </w:rPr>
        <w:t> </w:t>
      </w:r>
      <w:r>
        <w:rPr>
          <w:rFonts w:ascii="Arial" w:hAnsi="Arial"/>
          <w:color w:val="231F20"/>
          <w:w w:val="80"/>
          <w:sz w:val="14"/>
        </w:rPr>
        <w:t>2018:</w:t>
      </w:r>
      <w:r>
        <w:rPr>
          <w:rFonts w:ascii="Arial" w:hAnsi="Arial"/>
          <w:color w:val="231F20"/>
          <w:spacing w:val="-8"/>
          <w:w w:val="80"/>
          <w:sz w:val="14"/>
        </w:rPr>
        <w:t> </w:t>
      </w:r>
      <w:r>
        <w:rPr>
          <w:rFonts w:ascii="Arial" w:hAnsi="Arial"/>
          <w:color w:val="231F20"/>
          <w:w w:val="80"/>
          <w:sz w:val="14"/>
        </w:rPr>
        <w:t>A</w:t>
      </w:r>
      <w:r>
        <w:rPr>
          <w:rFonts w:ascii="Arial" w:hAnsi="Arial"/>
          <w:color w:val="231F20"/>
          <w:spacing w:val="-1"/>
          <w:w w:val="80"/>
          <w:sz w:val="14"/>
        </w:rPr>
        <w:t> </w:t>
      </w:r>
      <w:r>
        <w:rPr>
          <w:rFonts w:ascii="Arial" w:hAnsi="Arial"/>
          <w:color w:val="231F20"/>
          <w:w w:val="80"/>
          <w:sz w:val="14"/>
        </w:rPr>
        <w:t>Gravity</w:t>
      </w:r>
      <w:r>
        <w:rPr>
          <w:rFonts w:ascii="Arial" w:hAnsi="Arial"/>
          <w:color w:val="231F20"/>
          <w:spacing w:val="-1"/>
          <w:w w:val="80"/>
          <w:sz w:val="14"/>
        </w:rPr>
        <w:t> </w:t>
      </w:r>
      <w:r>
        <w:rPr>
          <w:rFonts w:ascii="Arial" w:hAnsi="Arial"/>
          <w:color w:val="231F20"/>
          <w:w w:val="80"/>
          <w:sz w:val="14"/>
        </w:rPr>
        <w:t>Model</w:t>
      </w:r>
      <w:r>
        <w:rPr>
          <w:rFonts w:ascii="Arial" w:hAnsi="Arial"/>
          <w:color w:val="231F20"/>
          <w:spacing w:val="-3"/>
          <w:w w:val="80"/>
          <w:sz w:val="14"/>
        </w:rPr>
        <w:t> </w:t>
      </w:r>
      <w:r>
        <w:rPr>
          <w:rFonts w:ascii="Arial" w:hAnsi="Arial"/>
          <w:color w:val="231F20"/>
          <w:w w:val="80"/>
          <w:sz w:val="14"/>
        </w:rPr>
        <w:t>Approach.”</w:t>
      </w:r>
      <w:r>
        <w:rPr>
          <w:rFonts w:ascii="Arial" w:hAnsi="Arial"/>
          <w:color w:val="231F20"/>
          <w:spacing w:val="-4"/>
          <w:w w:val="80"/>
          <w:sz w:val="14"/>
        </w:rPr>
        <w:t> </w:t>
      </w:r>
      <w:r>
        <w:rPr>
          <w:rFonts w:ascii="Arial" w:hAnsi="Arial"/>
          <w:i/>
          <w:color w:val="231F20"/>
          <w:w w:val="80"/>
          <w:sz w:val="14"/>
        </w:rPr>
        <w:t>Agriculture</w:t>
      </w:r>
      <w:r>
        <w:rPr>
          <w:rFonts w:ascii="Arial" w:hAnsi="Arial"/>
          <w:i/>
          <w:color w:val="231F20"/>
          <w:spacing w:val="40"/>
          <w:sz w:val="14"/>
        </w:rPr>
        <w:t> </w:t>
      </w:r>
      <w:r>
        <w:rPr>
          <w:rFonts w:ascii="Arial" w:hAnsi="Arial"/>
          <w:color w:val="231F20"/>
          <w:w w:val="90"/>
          <w:sz w:val="14"/>
        </w:rPr>
        <w:t>10:</w:t>
      </w:r>
      <w:r>
        <w:rPr>
          <w:rFonts w:ascii="Arial" w:hAnsi="Arial"/>
          <w:color w:val="231F20"/>
          <w:spacing w:val="-8"/>
          <w:w w:val="90"/>
          <w:sz w:val="14"/>
        </w:rPr>
        <w:t> </w:t>
      </w:r>
      <w:r>
        <w:rPr>
          <w:rFonts w:ascii="Arial" w:hAnsi="Arial"/>
          <w:color w:val="231F20"/>
          <w:w w:val="90"/>
          <w:sz w:val="14"/>
        </w:rPr>
        <w:t>338.</w:t>
      </w:r>
    </w:p>
    <w:p>
      <w:pPr>
        <w:spacing w:line="297" w:lineRule="auto" w:before="1"/>
        <w:ind w:left="437" w:right="2912" w:hanging="240"/>
        <w:jc w:val="left"/>
        <w:rPr>
          <w:rFonts w:ascii="Arial" w:hAnsi="Arial"/>
          <w:sz w:val="14"/>
        </w:rPr>
      </w:pPr>
      <w:r>
        <w:rPr>
          <w:rFonts w:ascii="Arial" w:hAnsi="Arial"/>
          <w:color w:val="231F20"/>
          <w:w w:val="80"/>
          <w:sz w:val="14"/>
        </w:rPr>
        <w:t>Rinaldi, D. T., M.</w:t>
      </w:r>
      <w:r>
        <w:rPr>
          <w:rFonts w:ascii="Arial" w:hAnsi="Arial"/>
          <w:color w:val="231F20"/>
          <w:sz w:val="14"/>
        </w:rPr>
        <w:t> </w:t>
      </w:r>
      <w:r>
        <w:rPr>
          <w:rFonts w:ascii="Arial" w:hAnsi="Arial"/>
          <w:color w:val="231F20"/>
          <w:w w:val="80"/>
          <w:sz w:val="14"/>
        </w:rPr>
        <w:t>Rahmatunnisa, and A.</w:t>
      </w:r>
      <w:r>
        <w:rPr>
          <w:rFonts w:ascii="Arial" w:hAnsi="Arial"/>
          <w:color w:val="231F20"/>
          <w:sz w:val="14"/>
        </w:rPr>
        <w:t> </w:t>
      </w:r>
      <w:r>
        <w:rPr>
          <w:rFonts w:ascii="Arial" w:hAnsi="Arial"/>
          <w:color w:val="231F20"/>
          <w:w w:val="80"/>
          <w:sz w:val="14"/>
        </w:rPr>
        <w:t>Chan.</w:t>
      </w:r>
      <w:r>
        <w:rPr>
          <w:rFonts w:ascii="Arial" w:hAnsi="Arial"/>
          <w:color w:val="231F20"/>
          <w:sz w:val="14"/>
        </w:rPr>
        <w:t> </w:t>
      </w:r>
      <w:r>
        <w:rPr>
          <w:rFonts w:ascii="Arial" w:hAnsi="Arial"/>
          <w:color w:val="231F20"/>
          <w:w w:val="80"/>
          <w:sz w:val="14"/>
        </w:rPr>
        <w:t>2022. “The</w:t>
      </w:r>
      <w:r>
        <w:rPr>
          <w:rFonts w:ascii="Arial" w:hAnsi="Arial"/>
          <w:color w:val="231F20"/>
          <w:sz w:val="14"/>
        </w:rPr>
        <w:t> </w:t>
      </w:r>
      <w:r>
        <w:rPr>
          <w:rFonts w:ascii="Arial" w:hAnsi="Arial"/>
          <w:color w:val="231F20"/>
          <w:w w:val="80"/>
          <w:sz w:val="14"/>
        </w:rPr>
        <w:t>SWOT AHP</w:t>
      </w:r>
      <w:r>
        <w:rPr>
          <w:rFonts w:ascii="Arial" w:hAnsi="Arial"/>
          <w:color w:val="231F20"/>
          <w:spacing w:val="40"/>
          <w:sz w:val="14"/>
        </w:rPr>
        <w:t> </w:t>
      </w:r>
      <w:r>
        <w:rPr>
          <w:rFonts w:ascii="Arial" w:hAnsi="Arial"/>
          <w:color w:val="231F20"/>
          <w:w w:val="75"/>
          <w:sz w:val="14"/>
        </w:rPr>
        <w:t>Analysis</w:t>
      </w:r>
      <w:r>
        <w:rPr>
          <w:rFonts w:ascii="Arial" w:hAnsi="Arial"/>
          <w:color w:val="231F20"/>
          <w:sz w:val="14"/>
        </w:rPr>
        <w:t> </w:t>
      </w:r>
      <w:r>
        <w:rPr>
          <w:rFonts w:ascii="Arial" w:hAnsi="Arial"/>
          <w:color w:val="231F20"/>
          <w:w w:val="75"/>
          <w:sz w:val="14"/>
        </w:rPr>
        <w:t>of</w:t>
      </w:r>
      <w:r>
        <w:rPr>
          <w:rFonts w:ascii="Arial" w:hAnsi="Arial"/>
          <w:color w:val="231F20"/>
          <w:sz w:val="14"/>
        </w:rPr>
        <w:t> </w:t>
      </w:r>
      <w:r>
        <w:rPr>
          <w:rFonts w:ascii="Arial" w:hAnsi="Arial"/>
          <w:color w:val="231F20"/>
          <w:w w:val="75"/>
          <w:sz w:val="14"/>
        </w:rPr>
        <w:t>Mitra Utama</w:t>
      </w:r>
      <w:r>
        <w:rPr>
          <w:rFonts w:ascii="Arial" w:hAnsi="Arial"/>
          <w:color w:val="231F20"/>
          <w:sz w:val="14"/>
        </w:rPr>
        <w:t> </w:t>
      </w:r>
      <w:r>
        <w:rPr>
          <w:rFonts w:ascii="Arial" w:hAnsi="Arial"/>
          <w:color w:val="231F20"/>
          <w:w w:val="75"/>
          <w:sz w:val="14"/>
        </w:rPr>
        <w:t>Kepabeanan</w:t>
      </w:r>
      <w:r>
        <w:rPr>
          <w:rFonts w:ascii="Arial" w:hAnsi="Arial"/>
          <w:color w:val="231F20"/>
          <w:sz w:val="14"/>
        </w:rPr>
        <w:t> </w:t>
      </w:r>
      <w:r>
        <w:rPr>
          <w:rFonts w:ascii="Arial" w:hAnsi="Arial"/>
          <w:color w:val="231F20"/>
          <w:w w:val="75"/>
          <w:sz w:val="14"/>
        </w:rPr>
        <w:t>Policy in Directorate General of</w:t>
      </w:r>
      <w:r>
        <w:rPr>
          <w:rFonts w:ascii="Arial" w:hAnsi="Arial"/>
          <w:color w:val="231F20"/>
          <w:spacing w:val="40"/>
          <w:sz w:val="14"/>
        </w:rPr>
        <w:t> </w:t>
      </w:r>
      <w:r>
        <w:rPr>
          <w:rFonts w:ascii="Arial" w:hAnsi="Arial"/>
          <w:color w:val="231F20"/>
          <w:w w:val="75"/>
          <w:sz w:val="14"/>
        </w:rPr>
        <w:t>Customs</w:t>
      </w:r>
      <w:r>
        <w:rPr>
          <w:rFonts w:ascii="Arial" w:hAnsi="Arial"/>
          <w:color w:val="231F20"/>
          <w:sz w:val="14"/>
        </w:rPr>
        <w:t> </w:t>
      </w:r>
      <w:r>
        <w:rPr>
          <w:rFonts w:ascii="Arial" w:hAnsi="Arial"/>
          <w:color w:val="231F20"/>
          <w:w w:val="75"/>
          <w:sz w:val="14"/>
        </w:rPr>
        <w:t>and</w:t>
      </w:r>
      <w:r>
        <w:rPr>
          <w:rFonts w:ascii="Arial" w:hAnsi="Arial"/>
          <w:color w:val="231F20"/>
          <w:sz w:val="14"/>
        </w:rPr>
        <w:t> </w:t>
      </w:r>
      <w:r>
        <w:rPr>
          <w:rFonts w:ascii="Arial" w:hAnsi="Arial"/>
          <w:color w:val="231F20"/>
          <w:w w:val="75"/>
          <w:sz w:val="14"/>
        </w:rPr>
        <w:t>Excise.” </w:t>
      </w:r>
      <w:r>
        <w:rPr>
          <w:rFonts w:ascii="Arial" w:hAnsi="Arial"/>
          <w:i/>
          <w:color w:val="231F20"/>
          <w:w w:val="75"/>
          <w:sz w:val="14"/>
        </w:rPr>
        <w:t>Publica: Jurnal</w:t>
      </w:r>
      <w:r>
        <w:rPr>
          <w:rFonts w:ascii="Arial" w:hAnsi="Arial"/>
          <w:i/>
          <w:color w:val="231F20"/>
          <w:sz w:val="14"/>
        </w:rPr>
        <w:t> </w:t>
      </w:r>
      <w:r>
        <w:rPr>
          <w:rFonts w:ascii="Arial" w:hAnsi="Arial"/>
          <w:i/>
          <w:color w:val="231F20"/>
          <w:w w:val="75"/>
          <w:sz w:val="14"/>
        </w:rPr>
        <w:t>Pemikiran Administrasi</w:t>
      </w:r>
      <w:r>
        <w:rPr>
          <w:rFonts w:ascii="Arial" w:hAnsi="Arial"/>
          <w:i/>
          <w:color w:val="231F20"/>
          <w:sz w:val="14"/>
        </w:rPr>
        <w:t> </w:t>
      </w:r>
      <w:r>
        <w:rPr>
          <w:rFonts w:ascii="Arial" w:hAnsi="Arial"/>
          <w:i/>
          <w:color w:val="231F20"/>
          <w:w w:val="75"/>
          <w:sz w:val="14"/>
        </w:rPr>
        <w:t>Negara</w:t>
      </w:r>
      <w:r>
        <w:rPr>
          <w:rFonts w:ascii="Arial" w:hAnsi="Arial"/>
          <w:i/>
          <w:color w:val="231F20"/>
          <w:spacing w:val="40"/>
          <w:sz w:val="14"/>
        </w:rPr>
        <w:t> </w:t>
      </w:r>
      <w:r>
        <w:rPr>
          <w:rFonts w:ascii="Arial" w:hAnsi="Arial"/>
          <w:color w:val="231F20"/>
          <w:w w:val="90"/>
          <w:sz w:val="14"/>
        </w:rPr>
        <w:t>14 (1): 20–36.</w:t>
      </w:r>
    </w:p>
    <w:p>
      <w:pPr>
        <w:spacing w:before="2"/>
        <w:ind w:left="197" w:right="0" w:firstLine="0"/>
        <w:jc w:val="left"/>
        <w:rPr>
          <w:rFonts w:ascii="Arial"/>
          <w:sz w:val="14"/>
        </w:rPr>
      </w:pPr>
      <w:r>
        <w:rPr>
          <w:rFonts w:ascii="Arial"/>
          <w:color w:val="231F20"/>
          <w:w w:val="80"/>
          <w:sz w:val="14"/>
        </w:rPr>
        <w:t>Roethlein,</w:t>
      </w:r>
      <w:r>
        <w:rPr>
          <w:rFonts w:ascii="Arial"/>
          <w:color w:val="231F20"/>
          <w:spacing w:val="-4"/>
          <w:sz w:val="14"/>
        </w:rPr>
        <w:t> </w:t>
      </w:r>
      <w:r>
        <w:rPr>
          <w:rFonts w:ascii="Arial"/>
          <w:color w:val="231F20"/>
          <w:w w:val="80"/>
          <w:sz w:val="14"/>
        </w:rPr>
        <w:t>C.</w:t>
      </w:r>
      <w:r>
        <w:rPr>
          <w:rFonts w:ascii="Arial"/>
          <w:color w:val="231F20"/>
          <w:spacing w:val="2"/>
          <w:sz w:val="14"/>
        </w:rPr>
        <w:t> </w:t>
      </w:r>
      <w:r>
        <w:rPr>
          <w:rFonts w:ascii="Arial"/>
          <w:color w:val="231F20"/>
          <w:w w:val="80"/>
          <w:sz w:val="14"/>
        </w:rPr>
        <w:t>J.,</w:t>
      </w:r>
      <w:r>
        <w:rPr>
          <w:rFonts w:ascii="Arial"/>
          <w:color w:val="231F20"/>
          <w:spacing w:val="-2"/>
          <w:w w:val="80"/>
          <w:sz w:val="14"/>
        </w:rPr>
        <w:t> </w:t>
      </w:r>
      <w:r>
        <w:rPr>
          <w:rFonts w:ascii="Arial"/>
          <w:color w:val="231F20"/>
          <w:w w:val="80"/>
          <w:sz w:val="14"/>
        </w:rPr>
        <w:t>T.</w:t>
      </w:r>
      <w:r>
        <w:rPr>
          <w:rFonts w:ascii="Arial"/>
          <w:color w:val="231F20"/>
          <w:spacing w:val="2"/>
          <w:sz w:val="14"/>
        </w:rPr>
        <w:t> </w:t>
      </w:r>
      <w:r>
        <w:rPr>
          <w:rFonts w:ascii="Arial"/>
          <w:color w:val="231F20"/>
          <w:w w:val="80"/>
          <w:sz w:val="14"/>
        </w:rPr>
        <w:t>M.</w:t>
      </w:r>
      <w:r>
        <w:rPr>
          <w:rFonts w:ascii="Arial"/>
          <w:color w:val="231F20"/>
          <w:spacing w:val="2"/>
          <w:sz w:val="14"/>
        </w:rPr>
        <w:t> </w:t>
      </w:r>
      <w:r>
        <w:rPr>
          <w:rFonts w:ascii="Arial"/>
          <w:color w:val="231F20"/>
          <w:w w:val="80"/>
          <w:sz w:val="14"/>
        </w:rPr>
        <w:t>McCarthy</w:t>
      </w:r>
      <w:r>
        <w:rPr>
          <w:rFonts w:ascii="Arial"/>
          <w:color w:val="231F20"/>
          <w:spacing w:val="3"/>
          <w:sz w:val="14"/>
        </w:rPr>
        <w:t> </w:t>
      </w:r>
      <w:r>
        <w:rPr>
          <w:rFonts w:ascii="Arial"/>
          <w:color w:val="231F20"/>
          <w:w w:val="80"/>
          <w:sz w:val="14"/>
        </w:rPr>
        <w:t>Byrne,</w:t>
      </w:r>
      <w:r>
        <w:rPr>
          <w:rFonts w:ascii="Arial"/>
          <w:color w:val="231F20"/>
          <w:spacing w:val="-4"/>
          <w:sz w:val="14"/>
        </w:rPr>
        <w:t> </w:t>
      </w:r>
      <w:r>
        <w:rPr>
          <w:rFonts w:ascii="Arial"/>
          <w:color w:val="231F20"/>
          <w:w w:val="80"/>
          <w:sz w:val="14"/>
        </w:rPr>
        <w:t>J.</w:t>
      </w:r>
      <w:r>
        <w:rPr>
          <w:rFonts w:ascii="Arial"/>
          <w:color w:val="231F20"/>
          <w:spacing w:val="2"/>
          <w:sz w:val="14"/>
        </w:rPr>
        <w:t> </w:t>
      </w:r>
      <w:r>
        <w:rPr>
          <w:rFonts w:ascii="Arial"/>
          <w:color w:val="231F20"/>
          <w:w w:val="80"/>
          <w:sz w:val="14"/>
        </w:rPr>
        <w:t>K.</w:t>
      </w:r>
      <w:r>
        <w:rPr>
          <w:rFonts w:ascii="Arial"/>
          <w:color w:val="231F20"/>
          <w:spacing w:val="-4"/>
          <w:sz w:val="14"/>
        </w:rPr>
        <w:t> </w:t>
      </w:r>
      <w:r>
        <w:rPr>
          <w:rFonts w:ascii="Arial"/>
          <w:color w:val="231F20"/>
          <w:w w:val="80"/>
          <w:sz w:val="14"/>
        </w:rPr>
        <w:t>Visich,</w:t>
      </w:r>
      <w:r>
        <w:rPr>
          <w:rFonts w:ascii="Arial"/>
          <w:color w:val="231F20"/>
          <w:spacing w:val="-4"/>
          <w:sz w:val="14"/>
        </w:rPr>
        <w:t> </w:t>
      </w:r>
      <w:r>
        <w:rPr>
          <w:rFonts w:ascii="Arial"/>
          <w:color w:val="231F20"/>
          <w:w w:val="80"/>
          <w:sz w:val="14"/>
        </w:rPr>
        <w:t>S.</w:t>
      </w:r>
      <w:r>
        <w:rPr>
          <w:rFonts w:ascii="Arial"/>
          <w:color w:val="231F20"/>
          <w:spacing w:val="3"/>
          <w:sz w:val="14"/>
        </w:rPr>
        <w:t> </w:t>
      </w:r>
      <w:r>
        <w:rPr>
          <w:rFonts w:ascii="Arial"/>
          <w:color w:val="231F20"/>
          <w:w w:val="80"/>
          <w:sz w:val="14"/>
        </w:rPr>
        <w:t>Li,</w:t>
      </w:r>
      <w:r>
        <w:rPr>
          <w:rFonts w:ascii="Arial"/>
          <w:color w:val="231F20"/>
          <w:spacing w:val="-4"/>
          <w:sz w:val="14"/>
        </w:rPr>
        <w:t> </w:t>
      </w:r>
      <w:r>
        <w:rPr>
          <w:rFonts w:ascii="Arial"/>
          <w:color w:val="231F20"/>
          <w:w w:val="80"/>
          <w:sz w:val="14"/>
        </w:rPr>
        <w:t>and</w:t>
      </w:r>
      <w:r>
        <w:rPr>
          <w:rFonts w:ascii="Arial"/>
          <w:color w:val="231F20"/>
          <w:spacing w:val="2"/>
          <w:sz w:val="14"/>
        </w:rPr>
        <w:t> </w:t>
      </w:r>
      <w:r>
        <w:rPr>
          <w:rFonts w:ascii="Arial"/>
          <w:color w:val="231F20"/>
          <w:spacing w:val="-5"/>
          <w:w w:val="80"/>
          <w:sz w:val="14"/>
        </w:rPr>
        <w:t>M.</w:t>
      </w:r>
    </w:p>
    <w:p>
      <w:pPr>
        <w:spacing w:line="297" w:lineRule="auto" w:before="39"/>
        <w:ind w:left="437" w:right="2804" w:firstLine="0"/>
        <w:jc w:val="left"/>
        <w:rPr>
          <w:rFonts w:ascii="Arial" w:hAnsi="Arial"/>
          <w:sz w:val="14"/>
        </w:rPr>
      </w:pPr>
      <w:r>
        <w:rPr>
          <w:rFonts w:ascii="Arial" w:hAnsi="Arial"/>
          <w:color w:val="231F20"/>
          <w:spacing w:val="-2"/>
          <w:w w:val="85"/>
          <w:sz w:val="14"/>
        </w:rPr>
        <w:t>J.</w:t>
      </w:r>
      <w:r>
        <w:rPr>
          <w:rFonts w:ascii="Arial" w:hAnsi="Arial"/>
          <w:color w:val="231F20"/>
          <w:spacing w:val="-1"/>
          <w:sz w:val="14"/>
        </w:rPr>
        <w:t> </w:t>
      </w:r>
      <w:r>
        <w:rPr>
          <w:rFonts w:ascii="Arial" w:hAnsi="Arial"/>
          <w:color w:val="231F20"/>
          <w:spacing w:val="-2"/>
          <w:w w:val="85"/>
          <w:sz w:val="14"/>
        </w:rPr>
        <w:t>Gravier.</w:t>
      </w:r>
      <w:r>
        <w:rPr>
          <w:rFonts w:ascii="Arial" w:hAnsi="Arial"/>
          <w:color w:val="231F20"/>
          <w:spacing w:val="-1"/>
          <w:sz w:val="14"/>
        </w:rPr>
        <w:t> </w:t>
      </w:r>
      <w:r>
        <w:rPr>
          <w:rFonts w:ascii="Arial" w:hAnsi="Arial"/>
          <w:color w:val="231F20"/>
          <w:spacing w:val="-2"/>
          <w:w w:val="85"/>
          <w:sz w:val="14"/>
        </w:rPr>
        <w:t>2021. “Developing A</w:t>
      </w:r>
      <w:r>
        <w:rPr>
          <w:rFonts w:ascii="Arial" w:hAnsi="Arial"/>
          <w:color w:val="231F20"/>
          <w:spacing w:val="-1"/>
          <w:sz w:val="14"/>
        </w:rPr>
        <w:t> </w:t>
      </w:r>
      <w:r>
        <w:rPr>
          <w:rFonts w:ascii="Arial" w:hAnsi="Arial"/>
          <w:color w:val="231F20"/>
          <w:spacing w:val="-2"/>
          <w:w w:val="85"/>
          <w:sz w:val="14"/>
        </w:rPr>
        <w:t>Distinctive</w:t>
      </w:r>
      <w:r>
        <w:rPr>
          <w:rFonts w:ascii="Arial" w:hAnsi="Arial"/>
          <w:color w:val="231F20"/>
          <w:spacing w:val="-1"/>
          <w:sz w:val="14"/>
        </w:rPr>
        <w:t> </w:t>
      </w:r>
      <w:r>
        <w:rPr>
          <w:rFonts w:ascii="Arial" w:hAnsi="Arial"/>
          <w:color w:val="231F20"/>
          <w:spacing w:val="-2"/>
          <w:w w:val="85"/>
          <w:sz w:val="14"/>
        </w:rPr>
        <w:t>Consulting</w:t>
      </w:r>
      <w:r>
        <w:rPr>
          <w:rFonts w:ascii="Arial" w:hAnsi="Arial"/>
          <w:color w:val="231F20"/>
          <w:spacing w:val="-1"/>
          <w:sz w:val="14"/>
        </w:rPr>
        <w:t> </w:t>
      </w:r>
      <w:r>
        <w:rPr>
          <w:rFonts w:ascii="Arial" w:hAnsi="Arial"/>
          <w:color w:val="231F20"/>
          <w:spacing w:val="-2"/>
          <w:w w:val="85"/>
          <w:sz w:val="14"/>
        </w:rPr>
        <w:t>Capstone</w:t>
      </w:r>
      <w:r>
        <w:rPr>
          <w:rFonts w:ascii="Arial" w:hAnsi="Arial"/>
          <w:color w:val="231F20"/>
          <w:spacing w:val="40"/>
          <w:sz w:val="14"/>
        </w:rPr>
        <w:t> </w:t>
      </w:r>
      <w:r>
        <w:rPr>
          <w:rFonts w:ascii="Arial" w:hAnsi="Arial"/>
          <w:color w:val="231F20"/>
          <w:w w:val="75"/>
          <w:sz w:val="14"/>
        </w:rPr>
        <w:t>Course</w:t>
      </w:r>
      <w:r>
        <w:rPr>
          <w:rFonts w:ascii="Arial" w:hAnsi="Arial"/>
          <w:color w:val="231F20"/>
          <w:sz w:val="14"/>
        </w:rPr>
        <w:t> </w:t>
      </w:r>
      <w:r>
        <w:rPr>
          <w:rFonts w:ascii="Arial" w:hAnsi="Arial"/>
          <w:color w:val="231F20"/>
          <w:w w:val="75"/>
          <w:sz w:val="14"/>
        </w:rPr>
        <w:t>in A</w:t>
      </w:r>
      <w:r>
        <w:rPr>
          <w:rFonts w:ascii="Arial" w:hAnsi="Arial"/>
          <w:color w:val="231F20"/>
          <w:sz w:val="14"/>
        </w:rPr>
        <w:t> </w:t>
      </w:r>
      <w:r>
        <w:rPr>
          <w:rFonts w:ascii="Arial" w:hAnsi="Arial"/>
          <w:color w:val="231F20"/>
          <w:w w:val="75"/>
          <w:sz w:val="14"/>
        </w:rPr>
        <w:t>Supply</w:t>
      </w:r>
      <w:r>
        <w:rPr>
          <w:rFonts w:ascii="Arial" w:hAnsi="Arial"/>
          <w:color w:val="231F20"/>
          <w:sz w:val="14"/>
        </w:rPr>
        <w:t> </w:t>
      </w:r>
      <w:r>
        <w:rPr>
          <w:rFonts w:ascii="Arial" w:hAnsi="Arial"/>
          <w:color w:val="231F20"/>
          <w:w w:val="75"/>
          <w:sz w:val="14"/>
        </w:rPr>
        <w:t>Chain</w:t>
      </w:r>
      <w:r>
        <w:rPr>
          <w:rFonts w:ascii="Arial" w:hAnsi="Arial"/>
          <w:color w:val="231F20"/>
          <w:sz w:val="14"/>
        </w:rPr>
        <w:t> </w:t>
      </w:r>
      <w:r>
        <w:rPr>
          <w:rFonts w:ascii="Arial" w:hAnsi="Arial"/>
          <w:color w:val="231F20"/>
          <w:w w:val="75"/>
          <w:sz w:val="14"/>
        </w:rPr>
        <w:t>Curriculum.” </w:t>
      </w:r>
      <w:r>
        <w:rPr>
          <w:rFonts w:ascii="Arial" w:hAnsi="Arial"/>
          <w:i/>
          <w:color w:val="231F20"/>
          <w:w w:val="75"/>
          <w:sz w:val="14"/>
        </w:rPr>
        <w:t>Decision</w:t>
      </w:r>
      <w:r>
        <w:rPr>
          <w:rFonts w:ascii="Arial" w:hAnsi="Arial"/>
          <w:i/>
          <w:color w:val="231F20"/>
          <w:sz w:val="14"/>
        </w:rPr>
        <w:t> </w:t>
      </w:r>
      <w:r>
        <w:rPr>
          <w:rFonts w:ascii="Arial" w:hAnsi="Arial"/>
          <w:i/>
          <w:color w:val="231F20"/>
          <w:w w:val="75"/>
          <w:sz w:val="14"/>
        </w:rPr>
        <w:t>Sciences</w:t>
      </w:r>
      <w:r>
        <w:rPr>
          <w:rFonts w:ascii="Arial" w:hAnsi="Arial"/>
          <w:i/>
          <w:color w:val="231F20"/>
          <w:sz w:val="14"/>
        </w:rPr>
        <w:t> </w:t>
      </w:r>
      <w:r>
        <w:rPr>
          <w:rFonts w:ascii="Arial" w:hAnsi="Arial"/>
          <w:i/>
          <w:color w:val="231F20"/>
          <w:w w:val="75"/>
          <w:sz w:val="14"/>
        </w:rPr>
        <w:t>Journal</w:t>
      </w:r>
      <w:r>
        <w:rPr>
          <w:rFonts w:ascii="Arial" w:hAnsi="Arial"/>
          <w:i/>
          <w:color w:val="231F20"/>
          <w:sz w:val="14"/>
        </w:rPr>
        <w:t> </w:t>
      </w:r>
      <w:r>
        <w:rPr>
          <w:rFonts w:ascii="Arial" w:hAnsi="Arial"/>
          <w:i/>
          <w:color w:val="231F20"/>
          <w:w w:val="75"/>
          <w:sz w:val="14"/>
        </w:rPr>
        <w:t>of</w:t>
      </w:r>
      <w:r>
        <w:rPr>
          <w:rFonts w:ascii="Arial" w:hAnsi="Arial"/>
          <w:i/>
          <w:color w:val="231F20"/>
          <w:spacing w:val="40"/>
          <w:sz w:val="14"/>
        </w:rPr>
        <w:t> </w:t>
      </w:r>
      <w:r>
        <w:rPr>
          <w:rFonts w:ascii="Arial" w:hAnsi="Arial"/>
          <w:i/>
          <w:color w:val="231F20"/>
          <w:w w:val="85"/>
          <w:sz w:val="14"/>
        </w:rPr>
        <w:t>innovative Education</w:t>
      </w:r>
      <w:r>
        <w:rPr>
          <w:rFonts w:ascii="Arial" w:hAnsi="Arial"/>
          <w:color w:val="231F20"/>
          <w:w w:val="85"/>
          <w:sz w:val="14"/>
        </w:rPr>
        <w:t>, 19(2), 117–128.</w:t>
      </w:r>
    </w:p>
    <w:p>
      <w:pPr>
        <w:spacing w:line="297" w:lineRule="auto" w:before="1"/>
        <w:ind w:left="437" w:right="2828" w:hanging="240"/>
        <w:jc w:val="left"/>
        <w:rPr>
          <w:rFonts w:ascii="Arial" w:hAnsi="Arial"/>
          <w:sz w:val="14"/>
        </w:rPr>
      </w:pPr>
      <w:r>
        <w:rPr>
          <w:rFonts w:ascii="Arial" w:hAnsi="Arial"/>
          <w:color w:val="231F20"/>
          <w:w w:val="85"/>
          <w:sz w:val="14"/>
        </w:rPr>
        <w:t>Rojanaleekul, V., S. Pungchompoo, and N. Sirivongpaisal. 2022.</w:t>
      </w:r>
      <w:r>
        <w:rPr>
          <w:rFonts w:ascii="Arial" w:hAnsi="Arial"/>
          <w:color w:val="231F20"/>
          <w:spacing w:val="40"/>
          <w:sz w:val="14"/>
        </w:rPr>
        <w:t> </w:t>
      </w:r>
      <w:r>
        <w:rPr>
          <w:rFonts w:ascii="Arial" w:hAnsi="Arial"/>
          <w:color w:val="231F20"/>
          <w:spacing w:val="-2"/>
          <w:w w:val="80"/>
          <w:sz w:val="14"/>
        </w:rPr>
        <w:t>“Trade</w:t>
      </w:r>
      <w:r>
        <w:rPr>
          <w:rFonts w:ascii="Arial" w:hAnsi="Arial"/>
          <w:color w:val="231F20"/>
          <w:spacing w:val="-3"/>
          <w:w w:val="80"/>
          <w:sz w:val="14"/>
        </w:rPr>
        <w:t> </w:t>
      </w:r>
      <w:r>
        <w:rPr>
          <w:rFonts w:ascii="Arial" w:hAnsi="Arial"/>
          <w:color w:val="231F20"/>
          <w:spacing w:val="-2"/>
          <w:w w:val="80"/>
          <w:sz w:val="14"/>
        </w:rPr>
        <w:t>Values</w:t>
      </w:r>
      <w:r>
        <w:rPr>
          <w:rFonts w:ascii="Arial" w:hAnsi="Arial"/>
          <w:color w:val="231F20"/>
          <w:spacing w:val="-5"/>
          <w:sz w:val="14"/>
        </w:rPr>
        <w:t> </w:t>
      </w:r>
      <w:r>
        <w:rPr>
          <w:rFonts w:ascii="Arial" w:hAnsi="Arial"/>
          <w:color w:val="231F20"/>
          <w:spacing w:val="-2"/>
          <w:w w:val="80"/>
          <w:sz w:val="14"/>
        </w:rPr>
        <w:t>Predictive</w:t>
      </w:r>
      <w:r>
        <w:rPr>
          <w:rFonts w:ascii="Arial" w:hAnsi="Arial"/>
          <w:color w:val="231F20"/>
          <w:spacing w:val="-5"/>
          <w:sz w:val="14"/>
        </w:rPr>
        <w:t> </w:t>
      </w:r>
      <w:r>
        <w:rPr>
          <w:rFonts w:ascii="Arial" w:hAnsi="Arial"/>
          <w:color w:val="231F20"/>
          <w:spacing w:val="-2"/>
          <w:w w:val="80"/>
          <w:sz w:val="14"/>
        </w:rPr>
        <w:t>Model</w:t>
      </w:r>
      <w:r>
        <w:rPr>
          <w:rFonts w:ascii="Arial" w:hAnsi="Arial"/>
          <w:color w:val="231F20"/>
          <w:spacing w:val="-5"/>
          <w:sz w:val="14"/>
        </w:rPr>
        <w:t> </w:t>
      </w:r>
      <w:r>
        <w:rPr>
          <w:rFonts w:ascii="Arial" w:hAnsi="Arial"/>
          <w:color w:val="231F20"/>
          <w:spacing w:val="-2"/>
          <w:w w:val="80"/>
          <w:sz w:val="14"/>
        </w:rPr>
        <w:t>of</w:t>
      </w:r>
      <w:r>
        <w:rPr>
          <w:rFonts w:ascii="Arial" w:hAnsi="Arial"/>
          <w:color w:val="231F20"/>
          <w:spacing w:val="-5"/>
          <w:sz w:val="14"/>
        </w:rPr>
        <w:t> </w:t>
      </w:r>
      <w:r>
        <w:rPr>
          <w:rFonts w:ascii="Arial" w:hAnsi="Arial"/>
          <w:color w:val="231F20"/>
          <w:spacing w:val="-2"/>
          <w:w w:val="80"/>
          <w:sz w:val="14"/>
        </w:rPr>
        <w:t>Southeast</w:t>
      </w:r>
      <w:r>
        <w:rPr>
          <w:rFonts w:ascii="Arial" w:hAnsi="Arial"/>
          <w:color w:val="231F20"/>
          <w:spacing w:val="-3"/>
          <w:w w:val="80"/>
          <w:sz w:val="14"/>
        </w:rPr>
        <w:t> </w:t>
      </w:r>
      <w:r>
        <w:rPr>
          <w:rFonts w:ascii="Arial" w:hAnsi="Arial"/>
          <w:color w:val="231F20"/>
          <w:spacing w:val="-2"/>
          <w:w w:val="80"/>
          <w:sz w:val="14"/>
        </w:rPr>
        <w:t>Asia</w:t>
      </w:r>
      <w:r>
        <w:rPr>
          <w:rFonts w:ascii="Arial" w:hAnsi="Arial"/>
          <w:color w:val="231F20"/>
          <w:spacing w:val="-5"/>
          <w:sz w:val="14"/>
        </w:rPr>
        <w:t> </w:t>
      </w:r>
      <w:r>
        <w:rPr>
          <w:rFonts w:ascii="Arial" w:hAnsi="Arial"/>
          <w:color w:val="231F20"/>
          <w:spacing w:val="-2"/>
          <w:w w:val="80"/>
          <w:sz w:val="14"/>
        </w:rPr>
        <w:t>under</w:t>
      </w:r>
      <w:r>
        <w:rPr>
          <w:rFonts w:ascii="Arial" w:hAnsi="Arial"/>
          <w:color w:val="231F20"/>
          <w:spacing w:val="-5"/>
          <w:sz w:val="14"/>
        </w:rPr>
        <w:t> </w:t>
      </w:r>
      <w:r>
        <w:rPr>
          <w:rFonts w:ascii="Arial" w:hAnsi="Arial"/>
          <w:color w:val="231F20"/>
          <w:spacing w:val="-2"/>
          <w:w w:val="80"/>
          <w:sz w:val="14"/>
        </w:rPr>
        <w:t>the</w:t>
      </w:r>
      <w:r>
        <w:rPr>
          <w:rFonts w:ascii="Arial" w:hAnsi="Arial"/>
          <w:color w:val="231F20"/>
          <w:spacing w:val="-5"/>
          <w:sz w:val="14"/>
        </w:rPr>
        <w:t> </w:t>
      </w:r>
      <w:r>
        <w:rPr>
          <w:rFonts w:ascii="Arial" w:hAnsi="Arial"/>
          <w:color w:val="231F20"/>
          <w:spacing w:val="-2"/>
          <w:w w:val="80"/>
          <w:sz w:val="14"/>
        </w:rPr>
        <w:t>Belt–Road</w:t>
      </w:r>
      <w:r>
        <w:rPr>
          <w:rFonts w:ascii="Arial" w:hAnsi="Arial"/>
          <w:color w:val="231F20"/>
          <w:spacing w:val="40"/>
          <w:sz w:val="14"/>
        </w:rPr>
        <w:t> </w:t>
      </w:r>
      <w:r>
        <w:rPr>
          <w:rFonts w:ascii="Arial" w:hAnsi="Arial"/>
          <w:color w:val="231F20"/>
          <w:spacing w:val="-2"/>
          <w:w w:val="80"/>
          <w:sz w:val="14"/>
        </w:rPr>
        <w:t>Initiative.”</w:t>
      </w:r>
      <w:r>
        <w:rPr>
          <w:rFonts w:ascii="Arial" w:hAnsi="Arial"/>
          <w:color w:val="231F20"/>
          <w:spacing w:val="-3"/>
          <w:w w:val="80"/>
          <w:sz w:val="14"/>
        </w:rPr>
        <w:t> </w:t>
      </w:r>
      <w:r>
        <w:rPr>
          <w:rFonts w:ascii="Arial" w:hAnsi="Arial"/>
          <w:i/>
          <w:color w:val="231F20"/>
          <w:spacing w:val="-2"/>
          <w:w w:val="80"/>
          <w:sz w:val="14"/>
        </w:rPr>
        <w:t>The</w:t>
      </w:r>
      <w:r>
        <w:rPr>
          <w:rFonts w:ascii="Arial" w:hAnsi="Arial"/>
          <w:i/>
          <w:color w:val="231F20"/>
          <w:spacing w:val="-3"/>
          <w:w w:val="80"/>
          <w:sz w:val="14"/>
        </w:rPr>
        <w:t> </w:t>
      </w:r>
      <w:r>
        <w:rPr>
          <w:rFonts w:ascii="Arial" w:hAnsi="Arial"/>
          <w:i/>
          <w:color w:val="231F20"/>
          <w:spacing w:val="-2"/>
          <w:w w:val="80"/>
          <w:sz w:val="14"/>
        </w:rPr>
        <w:t>Asian</w:t>
      </w:r>
      <w:r>
        <w:rPr>
          <w:rFonts w:ascii="Arial" w:hAnsi="Arial"/>
          <w:i/>
          <w:color w:val="231F20"/>
          <w:spacing w:val="-5"/>
          <w:sz w:val="14"/>
        </w:rPr>
        <w:t> </w:t>
      </w:r>
      <w:r>
        <w:rPr>
          <w:rFonts w:ascii="Arial" w:hAnsi="Arial"/>
          <w:i/>
          <w:color w:val="231F20"/>
          <w:spacing w:val="-2"/>
          <w:w w:val="80"/>
          <w:sz w:val="14"/>
        </w:rPr>
        <w:t>Journal</w:t>
      </w:r>
      <w:r>
        <w:rPr>
          <w:rFonts w:ascii="Arial" w:hAnsi="Arial"/>
          <w:i/>
          <w:color w:val="231F20"/>
          <w:spacing w:val="-5"/>
          <w:sz w:val="14"/>
        </w:rPr>
        <w:t> </w:t>
      </w:r>
      <w:r>
        <w:rPr>
          <w:rFonts w:ascii="Arial" w:hAnsi="Arial"/>
          <w:i/>
          <w:color w:val="231F20"/>
          <w:spacing w:val="-2"/>
          <w:w w:val="80"/>
          <w:sz w:val="14"/>
        </w:rPr>
        <w:t>of</w:t>
      </w:r>
      <w:r>
        <w:rPr>
          <w:rFonts w:ascii="Arial" w:hAnsi="Arial"/>
          <w:i/>
          <w:color w:val="231F20"/>
          <w:spacing w:val="-5"/>
          <w:sz w:val="14"/>
        </w:rPr>
        <w:t> </w:t>
      </w:r>
      <w:r>
        <w:rPr>
          <w:rFonts w:ascii="Arial" w:hAnsi="Arial"/>
          <w:i/>
          <w:color w:val="231F20"/>
          <w:spacing w:val="-2"/>
          <w:w w:val="80"/>
          <w:sz w:val="14"/>
        </w:rPr>
        <w:t>Shipping</w:t>
      </w:r>
      <w:r>
        <w:rPr>
          <w:rFonts w:ascii="Arial" w:hAnsi="Arial"/>
          <w:i/>
          <w:color w:val="231F20"/>
          <w:spacing w:val="-5"/>
          <w:sz w:val="14"/>
        </w:rPr>
        <w:t> </w:t>
      </w:r>
      <w:r>
        <w:rPr>
          <w:rFonts w:ascii="Arial" w:hAnsi="Arial"/>
          <w:i/>
          <w:color w:val="231F20"/>
          <w:spacing w:val="-2"/>
          <w:w w:val="80"/>
          <w:sz w:val="14"/>
        </w:rPr>
        <w:t>and</w:t>
      </w:r>
      <w:r>
        <w:rPr>
          <w:rFonts w:ascii="Arial" w:hAnsi="Arial"/>
          <w:i/>
          <w:color w:val="231F20"/>
          <w:spacing w:val="-5"/>
          <w:sz w:val="14"/>
        </w:rPr>
        <w:t> </w:t>
      </w:r>
      <w:r>
        <w:rPr>
          <w:rFonts w:ascii="Arial" w:hAnsi="Arial"/>
          <w:i/>
          <w:color w:val="231F20"/>
          <w:spacing w:val="-2"/>
          <w:w w:val="80"/>
          <w:sz w:val="14"/>
        </w:rPr>
        <w:t>Logistics</w:t>
      </w:r>
      <w:r>
        <w:rPr>
          <w:rFonts w:ascii="Arial" w:hAnsi="Arial"/>
          <w:i/>
          <w:color w:val="231F20"/>
          <w:spacing w:val="-5"/>
          <w:sz w:val="14"/>
        </w:rPr>
        <w:t> </w:t>
      </w:r>
      <w:r>
        <w:rPr>
          <w:rFonts w:ascii="Arial" w:hAnsi="Arial"/>
          <w:color w:val="231F20"/>
          <w:spacing w:val="-2"/>
          <w:w w:val="80"/>
          <w:sz w:val="14"/>
        </w:rPr>
        <w:t>38</w:t>
      </w:r>
      <w:r>
        <w:rPr>
          <w:rFonts w:ascii="Arial" w:hAnsi="Arial"/>
          <w:color w:val="231F20"/>
          <w:spacing w:val="-5"/>
          <w:sz w:val="14"/>
        </w:rPr>
        <w:t> </w:t>
      </w:r>
      <w:r>
        <w:rPr>
          <w:rFonts w:ascii="Arial" w:hAnsi="Arial"/>
          <w:color w:val="231F20"/>
          <w:spacing w:val="-2"/>
          <w:w w:val="80"/>
          <w:sz w:val="14"/>
        </w:rPr>
        <w:t>(3):</w:t>
      </w:r>
      <w:r>
        <w:rPr>
          <w:rFonts w:ascii="Arial" w:hAnsi="Arial"/>
          <w:color w:val="231F20"/>
          <w:spacing w:val="-3"/>
          <w:w w:val="80"/>
          <w:sz w:val="14"/>
        </w:rPr>
        <w:t> </w:t>
      </w:r>
      <w:r>
        <w:rPr>
          <w:rFonts w:ascii="Arial" w:hAnsi="Arial"/>
          <w:color w:val="231F20"/>
          <w:spacing w:val="-2"/>
          <w:w w:val="80"/>
          <w:sz w:val="14"/>
        </w:rPr>
        <w:t>162–172.</w:t>
      </w:r>
    </w:p>
    <w:p>
      <w:pPr>
        <w:spacing w:after="0" w:line="297" w:lineRule="auto"/>
        <w:jc w:val="left"/>
        <w:rPr>
          <w:rFonts w:ascii="Arial" w:hAnsi="Arial"/>
          <w:sz w:val="14"/>
        </w:rPr>
        <w:sectPr>
          <w:type w:val="continuous"/>
          <w:pgSz w:w="12240" w:h="15840"/>
          <w:pgMar w:header="0" w:footer="0" w:top="1140" w:bottom="280" w:left="0" w:right="540"/>
          <w:cols w:num="2" w:equalWidth="0">
            <w:col w:w="4923" w:space="40"/>
            <w:col w:w="6737"/>
          </w:cols>
        </w:sectPr>
      </w:pPr>
    </w:p>
    <w:p>
      <w:pPr>
        <w:pStyle w:val="BodyText"/>
        <w:rPr>
          <w:rFonts w:ascii="Arial"/>
          <w:sz w:val="20"/>
        </w:rPr>
      </w:pPr>
    </w:p>
    <w:p>
      <w:pPr>
        <w:pStyle w:val="BodyText"/>
        <w:rPr>
          <w:rFonts w:ascii="Arial"/>
          <w:sz w:val="20"/>
        </w:rPr>
      </w:pPr>
    </w:p>
    <w:p>
      <w:pPr>
        <w:pStyle w:val="BodyText"/>
        <w:spacing w:before="96"/>
        <w:rPr>
          <w:rFonts w:ascii="Arial"/>
          <w:sz w:val="20"/>
        </w:rPr>
      </w:pPr>
    </w:p>
    <w:p>
      <w:pPr>
        <w:spacing w:after="0"/>
        <w:rPr>
          <w:rFonts w:ascii="Arial"/>
          <w:sz w:val="20"/>
        </w:rPr>
        <w:sectPr>
          <w:headerReference w:type="even" r:id="rId188"/>
          <w:footerReference w:type="even" r:id="rId189"/>
          <w:footerReference w:type="default" r:id="rId190"/>
          <w:pgSz w:w="12240" w:h="15840"/>
          <w:pgMar w:header="370" w:footer="548" w:top="560" w:bottom="740" w:left="0" w:right="540"/>
          <w:pgNumType w:start="72"/>
        </w:sectPr>
      </w:pPr>
    </w:p>
    <w:p>
      <w:pPr>
        <w:spacing w:line="297" w:lineRule="auto" w:before="102"/>
        <w:ind w:left="3600" w:right="5" w:hanging="240"/>
        <w:jc w:val="left"/>
        <w:rPr>
          <w:rFonts w:ascii="Arial" w:hAnsi="Arial"/>
          <w:sz w:val="14"/>
        </w:rPr>
      </w:pPr>
      <w:r>
        <w:rPr>
          <w:rFonts w:ascii="Arial" w:hAnsi="Arial"/>
          <w:color w:val="231F20"/>
          <w:w w:val="80"/>
          <w:sz w:val="14"/>
        </w:rPr>
        <w:t>Rosal,</w:t>
      </w:r>
      <w:r>
        <w:rPr>
          <w:rFonts w:ascii="Arial" w:hAnsi="Arial"/>
          <w:color w:val="231F20"/>
          <w:spacing w:val="-4"/>
          <w:w w:val="80"/>
          <w:sz w:val="14"/>
        </w:rPr>
        <w:t> </w:t>
      </w:r>
      <w:r>
        <w:rPr>
          <w:rFonts w:ascii="Arial" w:hAnsi="Arial"/>
          <w:color w:val="231F20"/>
          <w:w w:val="80"/>
          <w:sz w:val="14"/>
        </w:rPr>
        <w:t>I.</w:t>
      </w:r>
      <w:r>
        <w:rPr>
          <w:rFonts w:ascii="Arial" w:hAnsi="Arial"/>
          <w:color w:val="231F20"/>
          <w:spacing w:val="-2"/>
          <w:w w:val="80"/>
          <w:sz w:val="14"/>
        </w:rPr>
        <w:t> </w:t>
      </w:r>
      <w:r>
        <w:rPr>
          <w:rFonts w:ascii="Arial" w:hAnsi="Arial"/>
          <w:color w:val="231F20"/>
          <w:w w:val="80"/>
          <w:sz w:val="14"/>
        </w:rPr>
        <w:t>2022.</w:t>
      </w:r>
      <w:r>
        <w:rPr>
          <w:rFonts w:ascii="Arial" w:hAnsi="Arial"/>
          <w:color w:val="231F20"/>
          <w:spacing w:val="-3"/>
          <w:w w:val="80"/>
          <w:sz w:val="14"/>
        </w:rPr>
        <w:t> </w:t>
      </w:r>
      <w:r>
        <w:rPr>
          <w:rFonts w:ascii="Arial" w:hAnsi="Arial"/>
          <w:color w:val="231F20"/>
          <w:w w:val="80"/>
          <w:sz w:val="14"/>
        </w:rPr>
        <w:t>“Does</w:t>
      </w:r>
      <w:r>
        <w:rPr>
          <w:rFonts w:ascii="Arial" w:hAnsi="Arial"/>
          <w:color w:val="231F20"/>
          <w:spacing w:val="-2"/>
          <w:w w:val="80"/>
          <w:sz w:val="14"/>
        </w:rPr>
        <w:t> </w:t>
      </w:r>
      <w:r>
        <w:rPr>
          <w:rFonts w:ascii="Arial" w:hAnsi="Arial"/>
          <w:color w:val="231F20"/>
          <w:w w:val="80"/>
          <w:sz w:val="14"/>
        </w:rPr>
        <w:t>Containerisation</w:t>
      </w:r>
      <w:r>
        <w:rPr>
          <w:rFonts w:ascii="Arial" w:hAnsi="Arial"/>
          <w:color w:val="231F20"/>
          <w:spacing w:val="-2"/>
          <w:w w:val="80"/>
          <w:sz w:val="14"/>
        </w:rPr>
        <w:t> </w:t>
      </w:r>
      <w:r>
        <w:rPr>
          <w:rFonts w:ascii="Arial" w:hAnsi="Arial"/>
          <w:color w:val="231F20"/>
          <w:w w:val="80"/>
          <w:sz w:val="14"/>
        </w:rPr>
        <w:t>Reduce</w:t>
      </w:r>
      <w:r>
        <w:rPr>
          <w:rFonts w:ascii="Arial" w:hAnsi="Arial"/>
          <w:color w:val="231F20"/>
          <w:spacing w:val="-2"/>
          <w:w w:val="80"/>
          <w:sz w:val="14"/>
        </w:rPr>
        <w:t> </w:t>
      </w:r>
      <w:r>
        <w:rPr>
          <w:rFonts w:ascii="Arial" w:hAnsi="Arial"/>
          <w:color w:val="231F20"/>
          <w:w w:val="80"/>
          <w:sz w:val="14"/>
        </w:rPr>
        <w:t>the</w:t>
      </w:r>
      <w:r>
        <w:rPr>
          <w:rFonts w:ascii="Arial" w:hAnsi="Arial"/>
          <w:color w:val="231F20"/>
          <w:spacing w:val="-2"/>
          <w:w w:val="80"/>
          <w:sz w:val="14"/>
        </w:rPr>
        <w:t> </w:t>
      </w:r>
      <w:r>
        <w:rPr>
          <w:rFonts w:ascii="Arial" w:hAnsi="Arial"/>
          <w:color w:val="231F20"/>
          <w:w w:val="80"/>
          <w:sz w:val="14"/>
        </w:rPr>
        <w:t>Constraints</w:t>
      </w:r>
      <w:r>
        <w:rPr>
          <w:rFonts w:ascii="Arial" w:hAnsi="Arial"/>
          <w:color w:val="231F20"/>
          <w:spacing w:val="-2"/>
          <w:w w:val="80"/>
          <w:sz w:val="14"/>
        </w:rPr>
        <w:t> </w:t>
      </w:r>
      <w:r>
        <w:rPr>
          <w:rFonts w:ascii="Arial" w:hAnsi="Arial"/>
          <w:color w:val="231F20"/>
          <w:w w:val="80"/>
          <w:sz w:val="14"/>
        </w:rPr>
        <w:t>Imposed</w:t>
      </w:r>
      <w:r>
        <w:rPr>
          <w:rFonts w:ascii="Arial" w:hAnsi="Arial"/>
          <w:color w:val="231F20"/>
          <w:spacing w:val="-2"/>
          <w:w w:val="80"/>
          <w:sz w:val="14"/>
        </w:rPr>
        <w:t> </w:t>
      </w:r>
      <w:r>
        <w:rPr>
          <w:rFonts w:ascii="Arial" w:hAnsi="Arial"/>
          <w:color w:val="231F20"/>
          <w:w w:val="80"/>
          <w:sz w:val="14"/>
        </w:rPr>
        <w:t>by</w:t>
      </w:r>
      <w:r>
        <w:rPr>
          <w:rFonts w:ascii="Arial" w:hAnsi="Arial"/>
          <w:color w:val="231F20"/>
          <w:spacing w:val="40"/>
          <w:sz w:val="14"/>
        </w:rPr>
        <w:t> </w:t>
      </w:r>
      <w:r>
        <w:rPr>
          <w:rFonts w:ascii="Arial" w:hAnsi="Arial"/>
          <w:color w:val="231F20"/>
          <w:w w:val="80"/>
          <w:sz w:val="14"/>
        </w:rPr>
        <w:t>Distance in Seaborne</w:t>
      </w:r>
      <w:r>
        <w:rPr>
          <w:rFonts w:ascii="Arial" w:hAnsi="Arial"/>
          <w:color w:val="231F20"/>
          <w:spacing w:val="-3"/>
          <w:w w:val="80"/>
          <w:sz w:val="14"/>
        </w:rPr>
        <w:t> </w:t>
      </w:r>
      <w:r>
        <w:rPr>
          <w:rFonts w:ascii="Arial" w:hAnsi="Arial"/>
          <w:color w:val="231F20"/>
          <w:w w:val="80"/>
          <w:sz w:val="14"/>
        </w:rPr>
        <w:t>Trade?”</w:t>
      </w:r>
      <w:r>
        <w:rPr>
          <w:rFonts w:ascii="Arial" w:hAnsi="Arial"/>
          <w:color w:val="231F20"/>
          <w:spacing w:val="-3"/>
          <w:w w:val="80"/>
          <w:sz w:val="14"/>
        </w:rPr>
        <w:t> </w:t>
      </w:r>
      <w:r>
        <w:rPr>
          <w:rFonts w:ascii="Arial" w:hAnsi="Arial"/>
          <w:i/>
          <w:color w:val="231F20"/>
          <w:w w:val="80"/>
          <w:sz w:val="14"/>
        </w:rPr>
        <w:t>Maritime Policy &amp; Management</w:t>
      </w:r>
      <w:r>
        <w:rPr>
          <w:rFonts w:ascii="Arial" w:hAnsi="Arial"/>
          <w:color w:val="231F20"/>
          <w:w w:val="80"/>
          <w:sz w:val="14"/>
        </w:rPr>
        <w:t>,</w:t>
      </w:r>
      <w:r>
        <w:rPr>
          <w:rFonts w:ascii="Arial" w:hAnsi="Arial"/>
          <w:color w:val="231F20"/>
          <w:spacing w:val="-3"/>
          <w:w w:val="80"/>
          <w:sz w:val="14"/>
        </w:rPr>
        <w:t> </w:t>
      </w:r>
      <w:r>
        <w:rPr>
          <w:rFonts w:ascii="Arial" w:hAnsi="Arial"/>
          <w:color w:val="231F20"/>
          <w:w w:val="80"/>
          <w:sz w:val="14"/>
        </w:rPr>
        <w:t>1–15.</w:t>
      </w:r>
    </w:p>
    <w:p>
      <w:pPr>
        <w:spacing w:line="297" w:lineRule="auto" w:before="1"/>
        <w:ind w:left="3600" w:right="142" w:hanging="240"/>
        <w:jc w:val="left"/>
        <w:rPr>
          <w:rFonts w:ascii="Arial" w:hAnsi="Arial"/>
          <w:sz w:val="14"/>
        </w:rPr>
      </w:pPr>
      <w:r>
        <w:rPr>
          <w:rFonts w:ascii="Arial" w:hAnsi="Arial"/>
          <w:color w:val="231F20"/>
          <w:spacing w:val="-2"/>
          <w:w w:val="85"/>
          <w:sz w:val="14"/>
        </w:rPr>
        <w:t>Roy,</w:t>
      </w:r>
      <w:r>
        <w:rPr>
          <w:rFonts w:ascii="Arial" w:hAnsi="Arial"/>
          <w:color w:val="231F20"/>
          <w:spacing w:val="-9"/>
          <w:w w:val="85"/>
          <w:sz w:val="14"/>
        </w:rPr>
        <w:t> </w:t>
      </w:r>
      <w:r>
        <w:rPr>
          <w:rFonts w:ascii="Arial" w:hAnsi="Arial"/>
          <w:color w:val="231F20"/>
          <w:spacing w:val="-2"/>
          <w:w w:val="85"/>
          <w:sz w:val="14"/>
        </w:rPr>
        <w:t>V.,</w:t>
      </w:r>
      <w:r>
        <w:rPr>
          <w:rFonts w:ascii="Arial" w:hAnsi="Arial"/>
          <w:color w:val="231F20"/>
          <w:spacing w:val="-4"/>
          <w:w w:val="85"/>
          <w:sz w:val="14"/>
        </w:rPr>
        <w:t> </w:t>
      </w:r>
      <w:r>
        <w:rPr>
          <w:rFonts w:ascii="Arial" w:hAnsi="Arial"/>
          <w:color w:val="231F20"/>
          <w:spacing w:val="-2"/>
          <w:w w:val="85"/>
          <w:sz w:val="14"/>
        </w:rPr>
        <w:t>and</w:t>
      </w:r>
      <w:r>
        <w:rPr>
          <w:rFonts w:ascii="Arial" w:hAnsi="Arial"/>
          <w:color w:val="231F20"/>
          <w:spacing w:val="-4"/>
          <w:w w:val="85"/>
          <w:sz w:val="14"/>
        </w:rPr>
        <w:t> </w:t>
      </w:r>
      <w:r>
        <w:rPr>
          <w:rFonts w:ascii="Arial" w:hAnsi="Arial"/>
          <w:color w:val="231F20"/>
          <w:spacing w:val="-2"/>
          <w:w w:val="85"/>
          <w:sz w:val="14"/>
        </w:rPr>
        <w:t>T.</w:t>
      </w:r>
      <w:r>
        <w:rPr>
          <w:rFonts w:ascii="Arial" w:hAnsi="Arial"/>
          <w:color w:val="231F20"/>
          <w:spacing w:val="-4"/>
          <w:sz w:val="14"/>
        </w:rPr>
        <w:t> </w:t>
      </w:r>
      <w:r>
        <w:rPr>
          <w:rFonts w:ascii="Arial" w:hAnsi="Arial"/>
          <w:color w:val="231F20"/>
          <w:spacing w:val="-2"/>
          <w:w w:val="85"/>
          <w:sz w:val="14"/>
        </w:rPr>
        <w:t>Schoenherr.</w:t>
      </w:r>
      <w:r>
        <w:rPr>
          <w:rFonts w:ascii="Arial" w:hAnsi="Arial"/>
          <w:color w:val="231F20"/>
          <w:spacing w:val="-4"/>
          <w:sz w:val="14"/>
        </w:rPr>
        <w:t> </w:t>
      </w:r>
      <w:r>
        <w:rPr>
          <w:rFonts w:ascii="Arial" w:hAnsi="Arial"/>
          <w:color w:val="231F20"/>
          <w:spacing w:val="-2"/>
          <w:w w:val="85"/>
          <w:sz w:val="14"/>
        </w:rPr>
        <w:t>2022.</w:t>
      </w:r>
      <w:r>
        <w:rPr>
          <w:rFonts w:ascii="Arial" w:hAnsi="Arial"/>
          <w:color w:val="231F20"/>
          <w:spacing w:val="-4"/>
          <w:w w:val="85"/>
          <w:sz w:val="14"/>
        </w:rPr>
        <w:t> </w:t>
      </w:r>
      <w:r>
        <w:rPr>
          <w:rFonts w:ascii="Arial" w:hAnsi="Arial"/>
          <w:color w:val="231F20"/>
          <w:spacing w:val="-2"/>
          <w:w w:val="85"/>
          <w:sz w:val="14"/>
        </w:rPr>
        <w:t>“Implications</w:t>
      </w:r>
      <w:r>
        <w:rPr>
          <w:rFonts w:ascii="Arial" w:hAnsi="Arial"/>
          <w:color w:val="231F20"/>
          <w:spacing w:val="-4"/>
          <w:sz w:val="14"/>
        </w:rPr>
        <w:t> </w:t>
      </w:r>
      <w:r>
        <w:rPr>
          <w:rFonts w:ascii="Arial" w:hAnsi="Arial"/>
          <w:color w:val="231F20"/>
          <w:spacing w:val="-2"/>
          <w:w w:val="85"/>
          <w:sz w:val="14"/>
        </w:rPr>
        <w:t>of</w:t>
      </w:r>
      <w:r>
        <w:rPr>
          <w:rFonts w:ascii="Arial" w:hAnsi="Arial"/>
          <w:color w:val="231F20"/>
          <w:spacing w:val="-4"/>
          <w:sz w:val="14"/>
        </w:rPr>
        <w:t> </w:t>
      </w:r>
      <w:r>
        <w:rPr>
          <w:rFonts w:ascii="Arial" w:hAnsi="Arial"/>
          <w:color w:val="231F20"/>
          <w:spacing w:val="-2"/>
          <w:w w:val="85"/>
          <w:sz w:val="14"/>
        </w:rPr>
        <w:t>Sectoral</w:t>
      </w:r>
      <w:r>
        <w:rPr>
          <w:rFonts w:ascii="Arial" w:hAnsi="Arial"/>
          <w:color w:val="231F20"/>
          <w:spacing w:val="-4"/>
          <w:sz w:val="14"/>
        </w:rPr>
        <w:t> </w:t>
      </w:r>
      <w:r>
        <w:rPr>
          <w:rFonts w:ascii="Arial" w:hAnsi="Arial"/>
          <w:color w:val="231F20"/>
          <w:spacing w:val="-2"/>
          <w:w w:val="85"/>
          <w:sz w:val="14"/>
        </w:rPr>
        <w:t>Logistical</w:t>
      </w:r>
      <w:r>
        <w:rPr>
          <w:rFonts w:ascii="Arial" w:hAnsi="Arial"/>
          <w:color w:val="231F20"/>
          <w:spacing w:val="40"/>
          <w:sz w:val="14"/>
        </w:rPr>
        <w:t> </w:t>
      </w:r>
      <w:r>
        <w:rPr>
          <w:rFonts w:ascii="Arial" w:hAnsi="Arial"/>
          <w:color w:val="231F20"/>
          <w:w w:val="75"/>
          <w:sz w:val="14"/>
        </w:rPr>
        <w:t>Capabilities</w:t>
      </w:r>
      <w:r>
        <w:rPr>
          <w:rFonts w:ascii="Arial" w:hAnsi="Arial"/>
          <w:color w:val="231F20"/>
          <w:sz w:val="14"/>
        </w:rPr>
        <w:t> </w:t>
      </w:r>
      <w:r>
        <w:rPr>
          <w:rFonts w:ascii="Arial" w:hAnsi="Arial"/>
          <w:color w:val="231F20"/>
          <w:w w:val="75"/>
          <w:sz w:val="14"/>
        </w:rPr>
        <w:t>for</w:t>
      </w:r>
      <w:r>
        <w:rPr>
          <w:rFonts w:ascii="Arial" w:hAnsi="Arial"/>
          <w:color w:val="231F20"/>
          <w:sz w:val="14"/>
        </w:rPr>
        <w:t> </w:t>
      </w:r>
      <w:r>
        <w:rPr>
          <w:rFonts w:ascii="Arial" w:hAnsi="Arial"/>
          <w:color w:val="231F20"/>
          <w:w w:val="75"/>
          <w:sz w:val="14"/>
        </w:rPr>
        <w:t>Export</w:t>
      </w:r>
      <w:r>
        <w:rPr>
          <w:rFonts w:ascii="Arial" w:hAnsi="Arial"/>
          <w:color w:val="231F20"/>
          <w:sz w:val="14"/>
        </w:rPr>
        <w:t> </w:t>
      </w:r>
      <w:r>
        <w:rPr>
          <w:rFonts w:ascii="Arial" w:hAnsi="Arial"/>
          <w:color w:val="231F20"/>
          <w:w w:val="75"/>
          <w:sz w:val="14"/>
        </w:rPr>
        <w:t>Competitiveness: A</w:t>
      </w:r>
      <w:r>
        <w:rPr>
          <w:rFonts w:ascii="Arial" w:hAnsi="Arial"/>
          <w:color w:val="231F20"/>
          <w:sz w:val="14"/>
        </w:rPr>
        <w:t> </w:t>
      </w:r>
      <w:r>
        <w:rPr>
          <w:rFonts w:ascii="Arial" w:hAnsi="Arial"/>
          <w:color w:val="231F20"/>
          <w:w w:val="75"/>
          <w:sz w:val="14"/>
        </w:rPr>
        <w:t>Public</w:t>
      </w:r>
      <w:r>
        <w:rPr>
          <w:rFonts w:ascii="Arial" w:hAnsi="Arial"/>
          <w:color w:val="231F20"/>
          <w:sz w:val="14"/>
        </w:rPr>
        <w:t> </w:t>
      </w:r>
      <w:r>
        <w:rPr>
          <w:rFonts w:ascii="Arial" w:hAnsi="Arial"/>
          <w:color w:val="231F20"/>
          <w:w w:val="75"/>
          <w:sz w:val="14"/>
        </w:rPr>
        <w:t>Policy</w:t>
      </w:r>
      <w:r>
        <w:rPr>
          <w:rFonts w:ascii="Arial" w:hAnsi="Arial"/>
          <w:color w:val="231F20"/>
          <w:sz w:val="14"/>
        </w:rPr>
        <w:t> </w:t>
      </w:r>
      <w:r>
        <w:rPr>
          <w:rFonts w:ascii="Arial" w:hAnsi="Arial"/>
          <w:color w:val="231F20"/>
          <w:w w:val="75"/>
          <w:sz w:val="14"/>
        </w:rPr>
        <w:t>Perspective</w:t>
      </w:r>
      <w:r>
        <w:rPr>
          <w:rFonts w:ascii="Arial" w:hAnsi="Arial"/>
          <w:color w:val="231F20"/>
          <w:spacing w:val="40"/>
          <w:sz w:val="14"/>
        </w:rPr>
        <w:t> </w:t>
      </w:r>
      <w:r>
        <w:rPr>
          <w:rFonts w:ascii="Arial" w:hAnsi="Arial"/>
          <w:color w:val="231F20"/>
          <w:w w:val="80"/>
          <w:sz w:val="14"/>
        </w:rPr>
        <w:t>for Interventions in the Logistics Sector.” </w:t>
      </w:r>
      <w:r>
        <w:rPr>
          <w:rFonts w:ascii="Arial" w:hAnsi="Arial"/>
          <w:i/>
          <w:color w:val="231F20"/>
          <w:w w:val="80"/>
          <w:sz w:val="14"/>
        </w:rPr>
        <w:t>IEEE Transactions on</w:t>
      </w:r>
      <w:r>
        <w:rPr>
          <w:rFonts w:ascii="Arial" w:hAnsi="Arial"/>
          <w:i/>
          <w:color w:val="231F20"/>
          <w:spacing w:val="40"/>
          <w:sz w:val="14"/>
        </w:rPr>
        <w:t> </w:t>
      </w:r>
      <w:r>
        <w:rPr>
          <w:rFonts w:ascii="Arial" w:hAnsi="Arial"/>
          <w:i/>
          <w:color w:val="231F20"/>
          <w:w w:val="85"/>
          <w:sz w:val="14"/>
        </w:rPr>
        <w:t>Engineering Management </w:t>
      </w:r>
      <w:r>
        <w:rPr>
          <w:rFonts w:ascii="Arial" w:hAnsi="Arial"/>
          <w:color w:val="231F20"/>
          <w:w w:val="85"/>
          <w:sz w:val="14"/>
        </w:rPr>
        <w:t>69 (6): 2930–2943.</w:t>
      </w:r>
    </w:p>
    <w:p>
      <w:pPr>
        <w:spacing w:line="297" w:lineRule="auto" w:before="2"/>
        <w:ind w:left="3600" w:right="32" w:hanging="240"/>
        <w:jc w:val="left"/>
        <w:rPr>
          <w:rFonts w:ascii="Arial" w:hAnsi="Arial"/>
          <w:sz w:val="14"/>
        </w:rPr>
      </w:pPr>
      <w:r>
        <w:rPr>
          <w:rFonts w:ascii="Arial" w:hAnsi="Arial"/>
          <w:color w:val="231F20"/>
          <w:w w:val="80"/>
          <w:sz w:val="14"/>
        </w:rPr>
        <w:t>Runhua Xiao, I., M. Jaller, D. Phong, and H. Zhu. 2022. “Spatial Analysis</w:t>
      </w:r>
      <w:r>
        <w:rPr>
          <w:rFonts w:ascii="Arial" w:hAnsi="Arial"/>
          <w:color w:val="231F20"/>
          <w:spacing w:val="40"/>
          <w:sz w:val="14"/>
        </w:rPr>
        <w:t> </w:t>
      </w:r>
      <w:r>
        <w:rPr>
          <w:rFonts w:ascii="Arial" w:hAnsi="Arial"/>
          <w:color w:val="231F20"/>
          <w:w w:val="80"/>
          <w:sz w:val="14"/>
        </w:rPr>
        <w:t>of the 2018 Logistics Performance Index Using Multivariate Kernel</w:t>
      </w:r>
      <w:r>
        <w:rPr>
          <w:rFonts w:ascii="Arial" w:hAnsi="Arial"/>
          <w:color w:val="231F20"/>
          <w:spacing w:val="40"/>
          <w:sz w:val="14"/>
        </w:rPr>
        <w:t> </w:t>
      </w:r>
      <w:r>
        <w:rPr>
          <w:rFonts w:ascii="Arial" w:hAnsi="Arial"/>
          <w:color w:val="231F20"/>
          <w:w w:val="80"/>
          <w:sz w:val="14"/>
        </w:rPr>
        <w:t>Function to Improve Geographically Weighted Regression Models.”</w:t>
      </w:r>
      <w:r>
        <w:rPr>
          <w:rFonts w:ascii="Arial" w:hAnsi="Arial"/>
          <w:color w:val="231F20"/>
          <w:spacing w:val="40"/>
          <w:sz w:val="14"/>
        </w:rPr>
        <w:t> </w:t>
      </w:r>
      <w:r>
        <w:rPr>
          <w:rFonts w:ascii="Arial" w:hAnsi="Arial"/>
          <w:i/>
          <w:color w:val="231F20"/>
          <w:w w:val="80"/>
          <w:sz w:val="14"/>
        </w:rPr>
        <w:t>Transportation Research Record: Journal of the Transportation</w:t>
      </w:r>
      <w:r>
        <w:rPr>
          <w:rFonts w:ascii="Arial" w:hAnsi="Arial"/>
          <w:i/>
          <w:color w:val="231F20"/>
          <w:spacing w:val="40"/>
          <w:sz w:val="14"/>
        </w:rPr>
        <w:t> </w:t>
      </w:r>
      <w:r>
        <w:rPr>
          <w:rFonts w:ascii="Arial" w:hAnsi="Arial"/>
          <w:i/>
          <w:color w:val="231F20"/>
          <w:w w:val="85"/>
          <w:sz w:val="14"/>
        </w:rPr>
        <w:t>Research Board </w:t>
      </w:r>
      <w:r>
        <w:rPr>
          <w:rFonts w:ascii="Arial" w:hAnsi="Arial"/>
          <w:color w:val="231F20"/>
          <w:w w:val="85"/>
          <w:sz w:val="14"/>
        </w:rPr>
        <w:t>2676 (2): 44–58.</w:t>
      </w:r>
    </w:p>
    <w:p>
      <w:pPr>
        <w:spacing w:line="297" w:lineRule="auto" w:before="2"/>
        <w:ind w:left="3600" w:right="0" w:hanging="240"/>
        <w:jc w:val="left"/>
        <w:rPr>
          <w:rFonts w:ascii="Arial" w:hAnsi="Arial"/>
          <w:sz w:val="14"/>
        </w:rPr>
      </w:pPr>
      <w:r>
        <w:rPr>
          <w:rFonts w:ascii="Arial" w:hAnsi="Arial"/>
          <w:color w:val="231F20"/>
          <w:w w:val="85"/>
          <w:sz w:val="14"/>
        </w:rPr>
        <w:t>Saini,</w:t>
      </w:r>
      <w:r>
        <w:rPr>
          <w:rFonts w:ascii="Arial" w:hAnsi="Arial"/>
          <w:color w:val="231F20"/>
          <w:spacing w:val="-6"/>
          <w:w w:val="85"/>
          <w:sz w:val="14"/>
        </w:rPr>
        <w:t> </w:t>
      </w:r>
      <w:r>
        <w:rPr>
          <w:rFonts w:ascii="Arial" w:hAnsi="Arial"/>
          <w:color w:val="231F20"/>
          <w:w w:val="85"/>
          <w:sz w:val="14"/>
        </w:rPr>
        <w:t>M.,</w:t>
      </w:r>
      <w:r>
        <w:rPr>
          <w:rFonts w:ascii="Arial" w:hAnsi="Arial"/>
          <w:color w:val="231F20"/>
          <w:spacing w:val="-5"/>
          <w:w w:val="85"/>
          <w:sz w:val="14"/>
        </w:rPr>
        <w:t> </w:t>
      </w:r>
      <w:r>
        <w:rPr>
          <w:rFonts w:ascii="Arial" w:hAnsi="Arial"/>
          <w:color w:val="231F20"/>
          <w:w w:val="85"/>
          <w:sz w:val="14"/>
        </w:rPr>
        <w:t>and</w:t>
      </w:r>
      <w:r>
        <w:rPr>
          <w:rFonts w:ascii="Arial" w:hAnsi="Arial"/>
          <w:color w:val="231F20"/>
          <w:spacing w:val="-4"/>
          <w:w w:val="85"/>
          <w:sz w:val="14"/>
        </w:rPr>
        <w:t> </w:t>
      </w:r>
      <w:r>
        <w:rPr>
          <w:rFonts w:ascii="Arial" w:hAnsi="Arial"/>
          <w:color w:val="231F20"/>
          <w:w w:val="85"/>
          <w:sz w:val="14"/>
        </w:rPr>
        <w:t>D.</w:t>
      </w:r>
      <w:r>
        <w:rPr>
          <w:rFonts w:ascii="Arial" w:hAnsi="Arial"/>
          <w:color w:val="231F20"/>
          <w:spacing w:val="-4"/>
          <w:w w:val="85"/>
          <w:sz w:val="14"/>
        </w:rPr>
        <w:t> </w:t>
      </w:r>
      <w:r>
        <w:rPr>
          <w:rFonts w:ascii="Arial" w:hAnsi="Arial"/>
          <w:color w:val="231F20"/>
          <w:w w:val="85"/>
          <w:sz w:val="14"/>
        </w:rPr>
        <w:t>Hrušecká.</w:t>
      </w:r>
      <w:r>
        <w:rPr>
          <w:rFonts w:ascii="Arial" w:hAnsi="Arial"/>
          <w:color w:val="231F20"/>
          <w:spacing w:val="-3"/>
          <w:w w:val="85"/>
          <w:sz w:val="14"/>
        </w:rPr>
        <w:t> </w:t>
      </w:r>
      <w:r>
        <w:rPr>
          <w:rFonts w:ascii="Arial" w:hAnsi="Arial"/>
          <w:color w:val="231F20"/>
          <w:w w:val="85"/>
          <w:sz w:val="14"/>
        </w:rPr>
        <w:t>2021.</w:t>
      </w:r>
      <w:r>
        <w:rPr>
          <w:rFonts w:ascii="Arial" w:hAnsi="Arial"/>
          <w:color w:val="231F20"/>
          <w:spacing w:val="-6"/>
          <w:w w:val="85"/>
          <w:sz w:val="14"/>
        </w:rPr>
        <w:t> </w:t>
      </w:r>
      <w:r>
        <w:rPr>
          <w:rFonts w:ascii="Arial" w:hAnsi="Arial"/>
          <w:color w:val="231F20"/>
          <w:w w:val="85"/>
          <w:sz w:val="14"/>
        </w:rPr>
        <w:t>“Comparative</w:t>
      </w:r>
      <w:r>
        <w:rPr>
          <w:rFonts w:ascii="Arial" w:hAnsi="Arial"/>
          <w:color w:val="231F20"/>
          <w:spacing w:val="-4"/>
          <w:w w:val="85"/>
          <w:sz w:val="14"/>
        </w:rPr>
        <w:t> </w:t>
      </w:r>
      <w:r>
        <w:rPr>
          <w:rFonts w:ascii="Arial" w:hAnsi="Arial"/>
          <w:color w:val="231F20"/>
          <w:w w:val="85"/>
          <w:sz w:val="14"/>
        </w:rPr>
        <w:t>Impacts</w:t>
      </w:r>
      <w:r>
        <w:rPr>
          <w:rFonts w:ascii="Arial" w:hAnsi="Arial"/>
          <w:color w:val="231F20"/>
          <w:spacing w:val="-3"/>
          <w:w w:val="85"/>
          <w:sz w:val="14"/>
        </w:rPr>
        <w:t> </w:t>
      </w:r>
      <w:r>
        <w:rPr>
          <w:rFonts w:ascii="Arial" w:hAnsi="Arial"/>
          <w:color w:val="231F20"/>
          <w:w w:val="85"/>
          <w:sz w:val="14"/>
        </w:rPr>
        <w:t>of</w:t>
      </w:r>
      <w:r>
        <w:rPr>
          <w:rFonts w:ascii="Arial" w:hAnsi="Arial"/>
          <w:color w:val="231F20"/>
          <w:spacing w:val="-4"/>
          <w:w w:val="85"/>
          <w:sz w:val="14"/>
        </w:rPr>
        <w:t> </w:t>
      </w:r>
      <w:r>
        <w:rPr>
          <w:rFonts w:ascii="Arial" w:hAnsi="Arial"/>
          <w:color w:val="231F20"/>
          <w:w w:val="85"/>
          <w:sz w:val="14"/>
        </w:rPr>
        <w:t>Logistics</w:t>
      </w:r>
      <w:r>
        <w:rPr>
          <w:rFonts w:ascii="Arial" w:hAnsi="Arial"/>
          <w:color w:val="231F20"/>
          <w:spacing w:val="40"/>
          <w:sz w:val="14"/>
        </w:rPr>
        <w:t> </w:t>
      </w:r>
      <w:r>
        <w:rPr>
          <w:rFonts w:ascii="Arial" w:hAnsi="Arial"/>
          <w:color w:val="231F20"/>
          <w:w w:val="80"/>
          <w:sz w:val="14"/>
        </w:rPr>
        <w:t>Performance Index,</w:t>
      </w:r>
      <w:r>
        <w:rPr>
          <w:rFonts w:ascii="Arial" w:hAnsi="Arial"/>
          <w:color w:val="231F20"/>
          <w:spacing w:val="-3"/>
          <w:w w:val="80"/>
          <w:sz w:val="14"/>
        </w:rPr>
        <w:t> </w:t>
      </w:r>
      <w:r>
        <w:rPr>
          <w:rFonts w:ascii="Arial" w:hAnsi="Arial"/>
          <w:color w:val="231F20"/>
          <w:w w:val="80"/>
          <w:sz w:val="14"/>
        </w:rPr>
        <w:t>Ease of Doing Business and Logistics Cost on</w:t>
      </w:r>
      <w:r>
        <w:rPr>
          <w:rFonts w:ascii="Arial" w:hAnsi="Arial"/>
          <w:color w:val="231F20"/>
          <w:spacing w:val="40"/>
          <w:sz w:val="14"/>
        </w:rPr>
        <w:t> </w:t>
      </w:r>
      <w:r>
        <w:rPr>
          <w:rFonts w:ascii="Arial" w:hAnsi="Arial"/>
          <w:color w:val="231F20"/>
          <w:w w:val="75"/>
          <w:sz w:val="14"/>
        </w:rPr>
        <w:t>Economic</w:t>
      </w:r>
      <w:r>
        <w:rPr>
          <w:rFonts w:ascii="Arial" w:hAnsi="Arial"/>
          <w:color w:val="231F20"/>
          <w:sz w:val="14"/>
        </w:rPr>
        <w:t> </w:t>
      </w:r>
      <w:r>
        <w:rPr>
          <w:rFonts w:ascii="Arial" w:hAnsi="Arial"/>
          <w:color w:val="231F20"/>
          <w:w w:val="75"/>
          <w:sz w:val="14"/>
        </w:rPr>
        <w:t>Development: A</w:t>
      </w:r>
      <w:r>
        <w:rPr>
          <w:rFonts w:ascii="Arial" w:hAnsi="Arial"/>
          <w:color w:val="231F20"/>
          <w:sz w:val="14"/>
        </w:rPr>
        <w:t> </w:t>
      </w:r>
      <w:r>
        <w:rPr>
          <w:rFonts w:ascii="Arial" w:hAnsi="Arial"/>
          <w:color w:val="231F20"/>
          <w:w w:val="75"/>
          <w:sz w:val="14"/>
        </w:rPr>
        <w:t>Fuzzy</w:t>
      </w:r>
      <w:r>
        <w:rPr>
          <w:rFonts w:ascii="Arial" w:hAnsi="Arial"/>
          <w:color w:val="231F20"/>
          <w:sz w:val="14"/>
        </w:rPr>
        <w:t> </w:t>
      </w:r>
      <w:r>
        <w:rPr>
          <w:rFonts w:ascii="Arial" w:hAnsi="Arial"/>
          <w:color w:val="231F20"/>
          <w:w w:val="75"/>
          <w:sz w:val="14"/>
        </w:rPr>
        <w:t>QCA Analysis.” </w:t>
      </w:r>
      <w:r>
        <w:rPr>
          <w:rFonts w:ascii="Arial" w:hAnsi="Arial"/>
          <w:i/>
          <w:color w:val="231F20"/>
          <w:w w:val="75"/>
          <w:sz w:val="14"/>
        </w:rPr>
        <w:t>Journal</w:t>
      </w:r>
      <w:r>
        <w:rPr>
          <w:rFonts w:ascii="Arial" w:hAnsi="Arial"/>
          <w:i/>
          <w:color w:val="231F20"/>
          <w:sz w:val="14"/>
        </w:rPr>
        <w:t> </w:t>
      </w:r>
      <w:r>
        <w:rPr>
          <w:rFonts w:ascii="Arial" w:hAnsi="Arial"/>
          <w:i/>
          <w:color w:val="231F20"/>
          <w:w w:val="75"/>
          <w:sz w:val="14"/>
        </w:rPr>
        <w:t>of</w:t>
      </w:r>
      <w:r>
        <w:rPr>
          <w:rFonts w:ascii="Arial" w:hAnsi="Arial"/>
          <w:i/>
          <w:color w:val="231F20"/>
          <w:sz w:val="14"/>
        </w:rPr>
        <w:t> </w:t>
      </w:r>
      <w:r>
        <w:rPr>
          <w:rFonts w:ascii="Arial" w:hAnsi="Arial"/>
          <w:i/>
          <w:color w:val="231F20"/>
          <w:w w:val="75"/>
          <w:sz w:val="14"/>
        </w:rPr>
        <w:t>Business</w:t>
      </w:r>
      <w:r>
        <w:rPr>
          <w:rFonts w:ascii="Arial" w:hAnsi="Arial"/>
          <w:i/>
          <w:color w:val="231F20"/>
          <w:spacing w:val="40"/>
          <w:sz w:val="14"/>
        </w:rPr>
        <w:t> </w:t>
      </w:r>
      <w:r>
        <w:rPr>
          <w:rFonts w:ascii="Arial" w:hAnsi="Arial"/>
          <w:i/>
          <w:color w:val="231F20"/>
          <w:w w:val="85"/>
          <w:sz w:val="14"/>
        </w:rPr>
        <w:t>Economics and Management </w:t>
      </w:r>
      <w:r>
        <w:rPr>
          <w:rFonts w:ascii="Arial" w:hAnsi="Arial"/>
          <w:color w:val="231F20"/>
          <w:w w:val="85"/>
          <w:sz w:val="14"/>
        </w:rPr>
        <w:t>22 (6):</w:t>
      </w:r>
      <w:r>
        <w:rPr>
          <w:rFonts w:ascii="Arial" w:hAnsi="Arial"/>
          <w:color w:val="231F20"/>
          <w:spacing w:val="-3"/>
          <w:w w:val="85"/>
          <w:sz w:val="14"/>
        </w:rPr>
        <w:t> </w:t>
      </w:r>
      <w:r>
        <w:rPr>
          <w:rFonts w:ascii="Arial" w:hAnsi="Arial"/>
          <w:color w:val="231F20"/>
          <w:w w:val="85"/>
          <w:sz w:val="14"/>
        </w:rPr>
        <w:t>1577–1592.</w:t>
      </w:r>
    </w:p>
    <w:p>
      <w:pPr>
        <w:spacing w:line="297" w:lineRule="auto" w:before="1"/>
        <w:ind w:left="3600" w:right="0" w:hanging="240"/>
        <w:jc w:val="left"/>
        <w:rPr>
          <w:rFonts w:ascii="Arial" w:hAnsi="Arial"/>
          <w:sz w:val="14"/>
        </w:rPr>
      </w:pPr>
      <w:r>
        <w:rPr>
          <w:rFonts w:ascii="Arial" w:hAnsi="Arial"/>
          <w:color w:val="231F20"/>
          <w:w w:val="80"/>
          <w:sz w:val="14"/>
        </w:rPr>
        <w:t>Shah,</w:t>
      </w:r>
      <w:r>
        <w:rPr>
          <w:rFonts w:ascii="Arial" w:hAnsi="Arial"/>
          <w:color w:val="231F20"/>
          <w:spacing w:val="-2"/>
          <w:w w:val="80"/>
          <w:sz w:val="14"/>
        </w:rPr>
        <w:t> </w:t>
      </w:r>
      <w:r>
        <w:rPr>
          <w:rFonts w:ascii="Arial" w:hAnsi="Arial"/>
          <w:color w:val="231F20"/>
          <w:w w:val="80"/>
          <w:sz w:val="14"/>
        </w:rPr>
        <w:t>G. N.,</w:t>
      </w:r>
      <w:r>
        <w:rPr>
          <w:rFonts w:ascii="Arial" w:hAnsi="Arial"/>
          <w:color w:val="231F20"/>
          <w:spacing w:val="-2"/>
          <w:w w:val="80"/>
          <w:sz w:val="14"/>
        </w:rPr>
        <w:t> </w:t>
      </w:r>
      <w:r>
        <w:rPr>
          <w:rFonts w:ascii="Arial" w:hAnsi="Arial"/>
          <w:color w:val="231F20"/>
          <w:w w:val="80"/>
          <w:sz w:val="14"/>
        </w:rPr>
        <w:t>and M.</w:t>
      </w:r>
      <w:r>
        <w:rPr>
          <w:rFonts w:ascii="Arial" w:hAnsi="Arial"/>
          <w:color w:val="231F20"/>
          <w:spacing w:val="-2"/>
          <w:w w:val="80"/>
          <w:sz w:val="14"/>
        </w:rPr>
        <w:t> </w:t>
      </w:r>
      <w:r>
        <w:rPr>
          <w:rFonts w:ascii="Arial" w:hAnsi="Arial"/>
          <w:color w:val="231F20"/>
          <w:w w:val="80"/>
          <w:sz w:val="14"/>
        </w:rPr>
        <w:t>Asim. 2019.</w:t>
      </w:r>
      <w:r>
        <w:rPr>
          <w:rFonts w:ascii="Arial" w:hAnsi="Arial"/>
          <w:color w:val="231F20"/>
          <w:spacing w:val="-2"/>
          <w:w w:val="80"/>
          <w:sz w:val="14"/>
        </w:rPr>
        <w:t> </w:t>
      </w:r>
      <w:r>
        <w:rPr>
          <w:rFonts w:ascii="Arial" w:hAnsi="Arial"/>
          <w:color w:val="231F20"/>
          <w:w w:val="80"/>
          <w:sz w:val="14"/>
        </w:rPr>
        <w:t>“Impact of E-Logistics on</w:t>
      </w:r>
      <w:r>
        <w:rPr>
          <w:rFonts w:ascii="Arial" w:hAnsi="Arial"/>
          <w:color w:val="231F20"/>
          <w:spacing w:val="-2"/>
          <w:w w:val="80"/>
          <w:sz w:val="14"/>
        </w:rPr>
        <w:t> </w:t>
      </w:r>
      <w:r>
        <w:rPr>
          <w:rFonts w:ascii="Arial" w:hAnsi="Arial"/>
          <w:color w:val="231F20"/>
          <w:w w:val="80"/>
          <w:sz w:val="14"/>
        </w:rPr>
        <w:t>Warehousing</w:t>
      </w:r>
      <w:r>
        <w:rPr>
          <w:rFonts w:ascii="Arial" w:hAnsi="Arial"/>
          <w:color w:val="231F20"/>
          <w:spacing w:val="40"/>
          <w:sz w:val="14"/>
        </w:rPr>
        <w:t> </w:t>
      </w:r>
      <w:r>
        <w:rPr>
          <w:rFonts w:ascii="Arial" w:hAnsi="Arial"/>
          <w:color w:val="231F20"/>
          <w:w w:val="80"/>
          <w:sz w:val="14"/>
        </w:rPr>
        <w:t>Management Performance at English Biscuit Manufacturing.”</w:t>
      </w:r>
      <w:r>
        <w:rPr>
          <w:rFonts w:ascii="Arial" w:hAnsi="Arial"/>
          <w:color w:val="231F20"/>
          <w:spacing w:val="40"/>
          <w:sz w:val="14"/>
        </w:rPr>
        <w:t> </w:t>
      </w:r>
      <w:r>
        <w:rPr>
          <w:rFonts w:ascii="Arial" w:hAnsi="Arial"/>
          <w:i/>
          <w:color w:val="231F20"/>
          <w:w w:val="85"/>
          <w:sz w:val="14"/>
        </w:rPr>
        <w:t>Business</w:t>
      </w:r>
      <w:r>
        <w:rPr>
          <w:rFonts w:ascii="Arial" w:hAnsi="Arial"/>
          <w:i/>
          <w:color w:val="231F20"/>
          <w:spacing w:val="-4"/>
          <w:w w:val="85"/>
          <w:sz w:val="14"/>
        </w:rPr>
        <w:t> </w:t>
      </w:r>
      <w:r>
        <w:rPr>
          <w:rFonts w:ascii="Arial" w:hAnsi="Arial"/>
          <w:i/>
          <w:color w:val="231F20"/>
          <w:w w:val="85"/>
          <w:sz w:val="14"/>
        </w:rPr>
        <w:t>Management</w:t>
      </w:r>
      <w:r>
        <w:rPr>
          <w:rFonts w:ascii="Arial" w:hAnsi="Arial"/>
          <w:i/>
          <w:color w:val="231F20"/>
          <w:spacing w:val="-4"/>
          <w:w w:val="85"/>
          <w:sz w:val="14"/>
        </w:rPr>
        <w:t> </w:t>
      </w:r>
      <w:r>
        <w:rPr>
          <w:rFonts w:ascii="Arial" w:hAnsi="Arial"/>
          <w:i/>
          <w:color w:val="231F20"/>
          <w:w w:val="85"/>
          <w:sz w:val="14"/>
        </w:rPr>
        <w:t>and</w:t>
      </w:r>
      <w:r>
        <w:rPr>
          <w:rFonts w:ascii="Arial" w:hAnsi="Arial"/>
          <w:i/>
          <w:color w:val="231F20"/>
          <w:spacing w:val="-4"/>
          <w:w w:val="85"/>
          <w:sz w:val="14"/>
        </w:rPr>
        <w:t> </w:t>
      </w:r>
      <w:r>
        <w:rPr>
          <w:rFonts w:ascii="Arial" w:hAnsi="Arial"/>
          <w:i/>
          <w:color w:val="231F20"/>
          <w:w w:val="85"/>
          <w:sz w:val="14"/>
        </w:rPr>
        <w:t>Strategy</w:t>
      </w:r>
      <w:r>
        <w:rPr>
          <w:rFonts w:ascii="Arial" w:hAnsi="Arial"/>
          <w:i/>
          <w:color w:val="231F20"/>
          <w:spacing w:val="-4"/>
          <w:w w:val="85"/>
          <w:sz w:val="14"/>
        </w:rPr>
        <w:t> </w:t>
      </w:r>
      <w:r>
        <w:rPr>
          <w:rFonts w:ascii="Arial" w:hAnsi="Arial"/>
          <w:color w:val="231F20"/>
          <w:w w:val="85"/>
          <w:sz w:val="14"/>
        </w:rPr>
        <w:t>10</w:t>
      </w:r>
      <w:r>
        <w:rPr>
          <w:rFonts w:ascii="Arial" w:hAnsi="Arial"/>
          <w:color w:val="231F20"/>
          <w:spacing w:val="-4"/>
          <w:w w:val="85"/>
          <w:sz w:val="14"/>
        </w:rPr>
        <w:t> </w:t>
      </w:r>
      <w:r>
        <w:rPr>
          <w:rFonts w:ascii="Arial" w:hAnsi="Arial"/>
          <w:color w:val="231F20"/>
          <w:w w:val="85"/>
          <w:sz w:val="14"/>
        </w:rPr>
        <w:t>(2):</w:t>
      </w:r>
      <w:r>
        <w:rPr>
          <w:rFonts w:ascii="Arial" w:hAnsi="Arial"/>
          <w:color w:val="231F20"/>
          <w:spacing w:val="-5"/>
          <w:w w:val="85"/>
          <w:sz w:val="14"/>
        </w:rPr>
        <w:t> </w:t>
      </w:r>
      <w:r>
        <w:rPr>
          <w:rFonts w:ascii="Arial" w:hAnsi="Arial"/>
          <w:color w:val="231F20"/>
          <w:w w:val="85"/>
          <w:sz w:val="14"/>
        </w:rPr>
        <w:t>132.</w:t>
      </w:r>
    </w:p>
    <w:p>
      <w:pPr>
        <w:spacing w:line="297" w:lineRule="auto" w:before="1"/>
        <w:ind w:left="3600" w:right="0" w:hanging="240"/>
        <w:jc w:val="left"/>
        <w:rPr>
          <w:rFonts w:ascii="Arial" w:hAnsi="Arial"/>
          <w:sz w:val="14"/>
        </w:rPr>
      </w:pPr>
      <w:r>
        <w:rPr>
          <w:rFonts w:ascii="Arial" w:hAnsi="Arial"/>
          <w:color w:val="231F20"/>
          <w:w w:val="80"/>
          <w:sz w:val="14"/>
        </w:rPr>
        <w:t>Sandberg,</w:t>
      </w:r>
      <w:r>
        <w:rPr>
          <w:rFonts w:ascii="Arial" w:hAnsi="Arial"/>
          <w:color w:val="231F20"/>
          <w:spacing w:val="-2"/>
          <w:w w:val="80"/>
          <w:sz w:val="14"/>
        </w:rPr>
        <w:t> </w:t>
      </w:r>
      <w:r>
        <w:rPr>
          <w:rFonts w:ascii="Arial" w:hAnsi="Arial"/>
          <w:color w:val="231F20"/>
          <w:w w:val="80"/>
          <w:sz w:val="14"/>
        </w:rPr>
        <w:t>E.,</w:t>
      </w:r>
      <w:r>
        <w:rPr>
          <w:rFonts w:ascii="Arial" w:hAnsi="Arial"/>
          <w:color w:val="231F20"/>
          <w:spacing w:val="-2"/>
          <w:w w:val="80"/>
          <w:sz w:val="14"/>
        </w:rPr>
        <w:t> </w:t>
      </w:r>
      <w:r>
        <w:rPr>
          <w:rFonts w:ascii="Arial" w:hAnsi="Arial"/>
          <w:color w:val="231F20"/>
          <w:w w:val="80"/>
          <w:sz w:val="14"/>
        </w:rPr>
        <w:t>and S. Binder. 2019. </w:t>
      </w:r>
      <w:r>
        <w:rPr>
          <w:rFonts w:ascii="Arial" w:hAnsi="Arial"/>
          <w:i/>
          <w:color w:val="231F20"/>
          <w:w w:val="80"/>
          <w:sz w:val="14"/>
        </w:rPr>
        <w:t>Mohammed</w:t>
      </w:r>
      <w:r>
        <w:rPr>
          <w:rFonts w:ascii="Arial" w:hAnsi="Arial"/>
          <w:i/>
          <w:color w:val="231F20"/>
          <w:spacing w:val="-2"/>
          <w:w w:val="80"/>
          <w:sz w:val="14"/>
        </w:rPr>
        <w:t> </w:t>
      </w:r>
      <w:r>
        <w:rPr>
          <w:rFonts w:ascii="Arial" w:hAnsi="Arial"/>
          <w:i/>
          <w:color w:val="231F20"/>
          <w:w w:val="80"/>
          <w:sz w:val="14"/>
        </w:rPr>
        <w:t>VI’s Strategies </w:t>
      </w:r>
      <w:r>
        <w:rPr>
          <w:rFonts w:ascii="Arial" w:hAnsi="Arial"/>
          <w:i/>
          <w:color w:val="231F20"/>
          <w:w w:val="80"/>
          <w:sz w:val="14"/>
        </w:rPr>
        <w:t>for</w:t>
      </w:r>
      <w:r>
        <w:rPr>
          <w:rFonts w:ascii="Arial" w:hAnsi="Arial"/>
          <w:i/>
          <w:color w:val="231F20"/>
          <w:spacing w:val="40"/>
          <w:sz w:val="14"/>
        </w:rPr>
        <w:t> </w:t>
      </w:r>
      <w:r>
        <w:rPr>
          <w:rFonts w:ascii="Arial" w:hAnsi="Arial"/>
          <w:i/>
          <w:color w:val="231F20"/>
          <w:w w:val="80"/>
          <w:sz w:val="14"/>
        </w:rPr>
        <w:t>Moroccan Economic Development</w:t>
      </w:r>
      <w:r>
        <w:rPr>
          <w:rFonts w:ascii="Arial" w:hAnsi="Arial"/>
          <w:color w:val="231F20"/>
          <w:w w:val="80"/>
          <w:sz w:val="14"/>
        </w:rPr>
        <w:t>. Routledge.</w:t>
      </w:r>
    </w:p>
    <w:p>
      <w:pPr>
        <w:spacing w:line="297" w:lineRule="auto" w:before="1"/>
        <w:ind w:left="3600" w:right="0" w:hanging="240"/>
        <w:jc w:val="left"/>
        <w:rPr>
          <w:rFonts w:ascii="Arial" w:hAnsi="Arial"/>
          <w:sz w:val="14"/>
        </w:rPr>
      </w:pPr>
      <w:r>
        <w:rPr>
          <w:rFonts w:ascii="Arial" w:hAnsi="Arial"/>
          <w:color w:val="231F20"/>
          <w:w w:val="85"/>
          <w:sz w:val="14"/>
        </w:rPr>
        <w:t>Sanri,</w:t>
      </w:r>
      <w:r>
        <w:rPr>
          <w:rFonts w:ascii="Arial" w:hAnsi="Arial"/>
          <w:color w:val="231F20"/>
          <w:spacing w:val="-5"/>
          <w:w w:val="85"/>
          <w:sz w:val="14"/>
        </w:rPr>
        <w:t> </w:t>
      </w:r>
      <w:r>
        <w:rPr>
          <w:rFonts w:ascii="Arial" w:hAnsi="Arial"/>
          <w:color w:val="231F20"/>
          <w:w w:val="85"/>
          <w:sz w:val="14"/>
        </w:rPr>
        <w:t>Ö.,</w:t>
      </w:r>
      <w:r>
        <w:rPr>
          <w:rFonts w:ascii="Arial" w:hAnsi="Arial"/>
          <w:color w:val="231F20"/>
          <w:spacing w:val="-5"/>
          <w:w w:val="85"/>
          <w:sz w:val="14"/>
        </w:rPr>
        <w:t> </w:t>
      </w:r>
      <w:r>
        <w:rPr>
          <w:rFonts w:ascii="Arial" w:hAnsi="Arial"/>
          <w:color w:val="231F20"/>
          <w:w w:val="85"/>
          <w:sz w:val="14"/>
        </w:rPr>
        <w:t>and</w:t>
      </w:r>
      <w:r>
        <w:rPr>
          <w:rFonts w:ascii="Arial" w:hAnsi="Arial"/>
          <w:color w:val="231F20"/>
          <w:spacing w:val="-5"/>
          <w:w w:val="85"/>
          <w:sz w:val="14"/>
        </w:rPr>
        <w:t> </w:t>
      </w:r>
      <w:r>
        <w:rPr>
          <w:rFonts w:ascii="Arial" w:hAnsi="Arial"/>
          <w:color w:val="231F20"/>
          <w:w w:val="85"/>
          <w:sz w:val="14"/>
        </w:rPr>
        <w:t>A. Piskin. 2022.</w:t>
      </w:r>
      <w:r>
        <w:rPr>
          <w:rFonts w:ascii="Arial" w:hAnsi="Arial"/>
          <w:color w:val="231F20"/>
          <w:spacing w:val="-5"/>
          <w:w w:val="85"/>
          <w:sz w:val="14"/>
        </w:rPr>
        <w:t> </w:t>
      </w:r>
      <w:r>
        <w:rPr>
          <w:rFonts w:ascii="Arial" w:hAnsi="Arial"/>
          <w:color w:val="231F20"/>
          <w:w w:val="85"/>
          <w:sz w:val="14"/>
        </w:rPr>
        <w:t>“The Mediator Effect of Logistics</w:t>
      </w:r>
      <w:r>
        <w:rPr>
          <w:rFonts w:ascii="Arial" w:hAnsi="Arial"/>
          <w:color w:val="231F20"/>
          <w:spacing w:val="40"/>
          <w:sz w:val="14"/>
        </w:rPr>
        <w:t> </w:t>
      </w:r>
      <w:r>
        <w:rPr>
          <w:rFonts w:ascii="Arial" w:hAnsi="Arial"/>
          <w:color w:val="231F20"/>
          <w:w w:val="75"/>
          <w:sz w:val="14"/>
        </w:rPr>
        <w:t>Performance</w:t>
      </w:r>
      <w:r>
        <w:rPr>
          <w:rFonts w:ascii="Arial" w:hAnsi="Arial"/>
          <w:color w:val="231F20"/>
          <w:sz w:val="14"/>
        </w:rPr>
        <w:t> </w:t>
      </w:r>
      <w:r>
        <w:rPr>
          <w:rFonts w:ascii="Arial" w:hAnsi="Arial"/>
          <w:color w:val="231F20"/>
          <w:w w:val="75"/>
          <w:sz w:val="14"/>
        </w:rPr>
        <w:t>on</w:t>
      </w:r>
      <w:r>
        <w:rPr>
          <w:rFonts w:ascii="Arial" w:hAnsi="Arial"/>
          <w:color w:val="231F20"/>
          <w:sz w:val="14"/>
        </w:rPr>
        <w:t> </w:t>
      </w:r>
      <w:r>
        <w:rPr>
          <w:rFonts w:ascii="Arial" w:hAnsi="Arial"/>
          <w:color w:val="231F20"/>
          <w:w w:val="75"/>
          <w:sz w:val="14"/>
        </w:rPr>
        <w:t>Economic</w:t>
      </w:r>
      <w:r>
        <w:rPr>
          <w:rFonts w:ascii="Arial" w:hAnsi="Arial"/>
          <w:color w:val="231F20"/>
          <w:sz w:val="14"/>
        </w:rPr>
        <w:t> </w:t>
      </w:r>
      <w:r>
        <w:rPr>
          <w:rFonts w:ascii="Arial" w:hAnsi="Arial"/>
          <w:color w:val="231F20"/>
          <w:w w:val="75"/>
          <w:sz w:val="14"/>
        </w:rPr>
        <w:t>Growth: Evidence</w:t>
      </w:r>
      <w:r>
        <w:rPr>
          <w:rFonts w:ascii="Arial" w:hAnsi="Arial"/>
          <w:color w:val="231F20"/>
          <w:sz w:val="14"/>
        </w:rPr>
        <w:t> </w:t>
      </w:r>
      <w:r>
        <w:rPr>
          <w:rFonts w:ascii="Arial" w:hAnsi="Arial"/>
          <w:color w:val="231F20"/>
          <w:w w:val="75"/>
          <w:sz w:val="14"/>
        </w:rPr>
        <w:t>from</w:t>
      </w:r>
      <w:r>
        <w:rPr>
          <w:rFonts w:ascii="Arial" w:hAnsi="Arial"/>
          <w:color w:val="231F20"/>
          <w:sz w:val="14"/>
        </w:rPr>
        <w:t> </w:t>
      </w:r>
      <w:r>
        <w:rPr>
          <w:rFonts w:ascii="Arial" w:hAnsi="Arial"/>
          <w:color w:val="231F20"/>
          <w:w w:val="75"/>
          <w:sz w:val="14"/>
        </w:rPr>
        <w:t>OECD</w:t>
      </w:r>
      <w:r>
        <w:rPr>
          <w:rFonts w:ascii="Arial" w:hAnsi="Arial"/>
          <w:color w:val="231F20"/>
          <w:sz w:val="14"/>
        </w:rPr>
        <w:t> </w:t>
      </w:r>
      <w:r>
        <w:rPr>
          <w:rFonts w:ascii="Arial" w:hAnsi="Arial"/>
          <w:color w:val="231F20"/>
          <w:w w:val="75"/>
          <w:sz w:val="14"/>
        </w:rPr>
        <w:t>Countries.”</w:t>
      </w:r>
      <w:r>
        <w:rPr>
          <w:rFonts w:ascii="Arial" w:hAnsi="Arial"/>
          <w:color w:val="231F20"/>
          <w:spacing w:val="40"/>
          <w:sz w:val="14"/>
        </w:rPr>
        <w:t> </w:t>
      </w:r>
      <w:r>
        <w:rPr>
          <w:rFonts w:ascii="Arial" w:hAnsi="Arial"/>
          <w:i/>
          <w:color w:val="231F20"/>
          <w:w w:val="85"/>
          <w:sz w:val="14"/>
        </w:rPr>
        <w:t>Third</w:t>
      </w:r>
      <w:r>
        <w:rPr>
          <w:rFonts w:ascii="Arial" w:hAnsi="Arial"/>
          <w:i/>
          <w:color w:val="231F20"/>
          <w:spacing w:val="-4"/>
          <w:w w:val="85"/>
          <w:sz w:val="14"/>
        </w:rPr>
        <w:t> </w:t>
      </w:r>
      <w:r>
        <w:rPr>
          <w:rFonts w:ascii="Arial" w:hAnsi="Arial"/>
          <w:i/>
          <w:color w:val="231F20"/>
          <w:w w:val="85"/>
          <w:sz w:val="14"/>
        </w:rPr>
        <w:t>Sector</w:t>
      </w:r>
      <w:r>
        <w:rPr>
          <w:rFonts w:ascii="Arial" w:hAnsi="Arial"/>
          <w:i/>
          <w:color w:val="231F20"/>
          <w:spacing w:val="-4"/>
          <w:w w:val="85"/>
          <w:sz w:val="14"/>
        </w:rPr>
        <w:t> </w:t>
      </w:r>
      <w:r>
        <w:rPr>
          <w:rFonts w:ascii="Arial" w:hAnsi="Arial"/>
          <w:i/>
          <w:color w:val="231F20"/>
          <w:w w:val="85"/>
          <w:sz w:val="14"/>
        </w:rPr>
        <w:t>Social</w:t>
      </w:r>
      <w:r>
        <w:rPr>
          <w:rFonts w:ascii="Arial" w:hAnsi="Arial"/>
          <w:i/>
          <w:color w:val="231F20"/>
          <w:spacing w:val="-4"/>
          <w:w w:val="85"/>
          <w:sz w:val="14"/>
        </w:rPr>
        <w:t> </w:t>
      </w:r>
      <w:r>
        <w:rPr>
          <w:rFonts w:ascii="Arial" w:hAnsi="Arial"/>
          <w:i/>
          <w:color w:val="231F20"/>
          <w:w w:val="85"/>
          <w:sz w:val="14"/>
        </w:rPr>
        <w:t>Economic</w:t>
      </w:r>
      <w:r>
        <w:rPr>
          <w:rFonts w:ascii="Arial" w:hAnsi="Arial"/>
          <w:i/>
          <w:color w:val="231F20"/>
          <w:spacing w:val="-4"/>
          <w:w w:val="85"/>
          <w:sz w:val="14"/>
        </w:rPr>
        <w:t> </w:t>
      </w:r>
      <w:r>
        <w:rPr>
          <w:rFonts w:ascii="Arial" w:hAnsi="Arial"/>
          <w:i/>
          <w:color w:val="231F20"/>
          <w:w w:val="85"/>
          <w:sz w:val="14"/>
        </w:rPr>
        <w:t>Review</w:t>
      </w:r>
      <w:r>
        <w:rPr>
          <w:rFonts w:ascii="Arial" w:hAnsi="Arial"/>
          <w:i/>
          <w:color w:val="231F20"/>
          <w:spacing w:val="-4"/>
          <w:w w:val="85"/>
          <w:sz w:val="14"/>
        </w:rPr>
        <w:t> </w:t>
      </w:r>
      <w:r>
        <w:rPr>
          <w:rFonts w:ascii="Arial" w:hAnsi="Arial"/>
          <w:color w:val="231F20"/>
          <w:w w:val="85"/>
          <w:sz w:val="14"/>
        </w:rPr>
        <w:t>57</w:t>
      </w:r>
      <w:r>
        <w:rPr>
          <w:rFonts w:ascii="Arial" w:hAnsi="Arial"/>
          <w:color w:val="231F20"/>
          <w:spacing w:val="-4"/>
          <w:w w:val="85"/>
          <w:sz w:val="14"/>
        </w:rPr>
        <w:t> </w:t>
      </w:r>
      <w:r>
        <w:rPr>
          <w:rFonts w:ascii="Arial" w:hAnsi="Arial"/>
          <w:color w:val="231F20"/>
          <w:w w:val="85"/>
          <w:sz w:val="14"/>
        </w:rPr>
        <w:t>(3):</w:t>
      </w:r>
      <w:r>
        <w:rPr>
          <w:rFonts w:ascii="Arial" w:hAnsi="Arial"/>
          <w:color w:val="231F20"/>
          <w:spacing w:val="-5"/>
          <w:w w:val="85"/>
          <w:sz w:val="14"/>
        </w:rPr>
        <w:t> </w:t>
      </w:r>
      <w:r>
        <w:rPr>
          <w:rFonts w:ascii="Arial" w:hAnsi="Arial"/>
          <w:color w:val="231F20"/>
          <w:w w:val="85"/>
          <w:sz w:val="14"/>
        </w:rPr>
        <w:t>1494–1507.</w:t>
      </w:r>
    </w:p>
    <w:p>
      <w:pPr>
        <w:spacing w:line="297" w:lineRule="auto" w:before="1"/>
        <w:ind w:left="3600" w:right="0" w:hanging="240"/>
        <w:jc w:val="left"/>
        <w:rPr>
          <w:rFonts w:ascii="Arial" w:hAnsi="Arial"/>
          <w:sz w:val="14"/>
        </w:rPr>
      </w:pPr>
      <w:r>
        <w:rPr>
          <w:rFonts w:ascii="Arial" w:hAnsi="Arial"/>
          <w:color w:val="231F20"/>
          <w:w w:val="80"/>
          <w:sz w:val="14"/>
        </w:rPr>
        <w:t>Sarabia, M., F.</w:t>
      </w:r>
      <w:r>
        <w:rPr>
          <w:rFonts w:ascii="Arial" w:hAnsi="Arial"/>
          <w:color w:val="231F20"/>
          <w:spacing w:val="-2"/>
          <w:sz w:val="14"/>
        </w:rPr>
        <w:t> </w:t>
      </w:r>
      <w:r>
        <w:rPr>
          <w:rFonts w:ascii="Arial" w:hAnsi="Arial"/>
          <w:color w:val="231F20"/>
          <w:w w:val="80"/>
          <w:sz w:val="14"/>
        </w:rPr>
        <w:t>Crecente, and</w:t>
      </w:r>
      <w:r>
        <w:rPr>
          <w:rFonts w:ascii="Arial" w:hAnsi="Arial"/>
          <w:color w:val="231F20"/>
          <w:spacing w:val="-2"/>
          <w:sz w:val="14"/>
        </w:rPr>
        <w:t> </w:t>
      </w:r>
      <w:r>
        <w:rPr>
          <w:rFonts w:ascii="Arial" w:hAnsi="Arial"/>
          <w:color w:val="231F20"/>
          <w:w w:val="80"/>
          <w:sz w:val="14"/>
        </w:rPr>
        <w:t>M. T.</w:t>
      </w:r>
      <w:r>
        <w:rPr>
          <w:rFonts w:ascii="Arial" w:hAnsi="Arial"/>
          <w:color w:val="231F20"/>
          <w:spacing w:val="-2"/>
          <w:sz w:val="14"/>
        </w:rPr>
        <w:t> </w:t>
      </w:r>
      <w:r>
        <w:rPr>
          <w:rFonts w:ascii="Arial" w:hAnsi="Arial"/>
          <w:color w:val="231F20"/>
          <w:w w:val="80"/>
          <w:sz w:val="14"/>
        </w:rPr>
        <w:t>del Val.</w:t>
      </w:r>
      <w:r>
        <w:rPr>
          <w:rFonts w:ascii="Arial" w:hAnsi="Arial"/>
          <w:color w:val="231F20"/>
          <w:spacing w:val="-2"/>
          <w:sz w:val="14"/>
        </w:rPr>
        <w:t> </w:t>
      </w:r>
      <w:r>
        <w:rPr>
          <w:rFonts w:ascii="Arial" w:hAnsi="Arial"/>
          <w:color w:val="231F20"/>
          <w:w w:val="80"/>
          <w:sz w:val="14"/>
        </w:rPr>
        <w:t>2021. “Health, Longevity,</w:t>
      </w:r>
      <w:r>
        <w:rPr>
          <w:rFonts w:ascii="Arial" w:hAnsi="Arial"/>
          <w:color w:val="231F20"/>
          <w:spacing w:val="40"/>
          <w:sz w:val="14"/>
        </w:rPr>
        <w:t> </w:t>
      </w:r>
      <w:r>
        <w:rPr>
          <w:rFonts w:ascii="Arial" w:hAnsi="Arial"/>
          <w:color w:val="231F20"/>
          <w:w w:val="80"/>
          <w:sz w:val="14"/>
        </w:rPr>
        <w:t>Infrastructure and Competitiveness: The Four Horsemen of</w:t>
      </w:r>
    </w:p>
    <w:p>
      <w:pPr>
        <w:spacing w:before="1"/>
        <w:ind w:left="3600" w:right="0" w:firstLine="0"/>
        <w:jc w:val="left"/>
        <w:rPr>
          <w:rFonts w:ascii="Arial" w:hAnsi="Arial"/>
          <w:sz w:val="14"/>
        </w:rPr>
      </w:pPr>
      <w:r>
        <w:rPr>
          <w:rFonts w:ascii="Arial" w:hAnsi="Arial"/>
          <w:color w:val="231F20"/>
          <w:w w:val="75"/>
          <w:sz w:val="14"/>
        </w:rPr>
        <w:t>COVID-19.”</w:t>
      </w:r>
      <w:r>
        <w:rPr>
          <w:rFonts w:ascii="Arial" w:hAnsi="Arial"/>
          <w:color w:val="231F20"/>
          <w:spacing w:val="5"/>
          <w:sz w:val="14"/>
        </w:rPr>
        <w:t> </w:t>
      </w:r>
      <w:r>
        <w:rPr>
          <w:rFonts w:ascii="Arial" w:hAnsi="Arial"/>
          <w:i/>
          <w:color w:val="231F20"/>
          <w:w w:val="75"/>
          <w:sz w:val="14"/>
        </w:rPr>
        <w:t>Journal</w:t>
      </w:r>
      <w:r>
        <w:rPr>
          <w:rFonts w:ascii="Arial" w:hAnsi="Arial"/>
          <w:i/>
          <w:color w:val="231F20"/>
          <w:spacing w:val="14"/>
          <w:sz w:val="14"/>
        </w:rPr>
        <w:t> </w:t>
      </w:r>
      <w:r>
        <w:rPr>
          <w:rFonts w:ascii="Arial" w:hAnsi="Arial"/>
          <w:i/>
          <w:color w:val="231F20"/>
          <w:w w:val="75"/>
          <w:sz w:val="14"/>
        </w:rPr>
        <w:t>of</w:t>
      </w:r>
      <w:r>
        <w:rPr>
          <w:rFonts w:ascii="Arial" w:hAnsi="Arial"/>
          <w:i/>
          <w:color w:val="231F20"/>
          <w:spacing w:val="13"/>
          <w:sz w:val="14"/>
        </w:rPr>
        <w:t> </w:t>
      </w:r>
      <w:r>
        <w:rPr>
          <w:rFonts w:ascii="Arial" w:hAnsi="Arial"/>
          <w:i/>
          <w:color w:val="231F20"/>
          <w:w w:val="75"/>
          <w:sz w:val="14"/>
        </w:rPr>
        <w:t>Business</w:t>
      </w:r>
      <w:r>
        <w:rPr>
          <w:rFonts w:ascii="Arial" w:hAnsi="Arial"/>
          <w:i/>
          <w:color w:val="231F20"/>
          <w:spacing w:val="14"/>
          <w:sz w:val="14"/>
        </w:rPr>
        <w:t> </w:t>
      </w:r>
      <w:r>
        <w:rPr>
          <w:rFonts w:ascii="Arial" w:hAnsi="Arial"/>
          <w:i/>
          <w:color w:val="231F20"/>
          <w:w w:val="75"/>
          <w:sz w:val="14"/>
        </w:rPr>
        <w:t>Research</w:t>
      </w:r>
      <w:r>
        <w:rPr>
          <w:rFonts w:ascii="Arial" w:hAnsi="Arial"/>
          <w:i/>
          <w:color w:val="231F20"/>
          <w:spacing w:val="13"/>
          <w:sz w:val="14"/>
        </w:rPr>
        <w:t> </w:t>
      </w:r>
      <w:r>
        <w:rPr>
          <w:rFonts w:ascii="Arial" w:hAnsi="Arial"/>
          <w:color w:val="231F20"/>
          <w:w w:val="75"/>
          <w:sz w:val="14"/>
        </w:rPr>
        <w:t>129:</w:t>
      </w:r>
      <w:r>
        <w:rPr>
          <w:rFonts w:ascii="Arial" w:hAnsi="Arial"/>
          <w:color w:val="231F20"/>
          <w:spacing w:val="6"/>
          <w:sz w:val="14"/>
        </w:rPr>
        <w:t> </w:t>
      </w:r>
      <w:r>
        <w:rPr>
          <w:rFonts w:ascii="Arial" w:hAnsi="Arial"/>
          <w:color w:val="231F20"/>
          <w:spacing w:val="-2"/>
          <w:w w:val="75"/>
          <w:sz w:val="14"/>
        </w:rPr>
        <w:t>244–249.</w:t>
      </w:r>
    </w:p>
    <w:p>
      <w:pPr>
        <w:spacing w:line="297" w:lineRule="auto" w:before="39"/>
        <w:ind w:left="3599" w:right="0" w:hanging="240"/>
        <w:jc w:val="left"/>
        <w:rPr>
          <w:rFonts w:ascii="Arial" w:hAnsi="Arial"/>
          <w:sz w:val="14"/>
        </w:rPr>
      </w:pPr>
      <w:r>
        <w:rPr>
          <w:rFonts w:ascii="Arial" w:hAnsi="Arial"/>
          <w:color w:val="231F20"/>
          <w:w w:val="80"/>
          <w:sz w:val="14"/>
        </w:rPr>
        <w:t>Sénquiz-Díaz,</w:t>
      </w:r>
      <w:r>
        <w:rPr>
          <w:rFonts w:ascii="Arial" w:hAnsi="Arial"/>
          <w:color w:val="231F20"/>
          <w:spacing w:val="-4"/>
          <w:w w:val="80"/>
          <w:sz w:val="14"/>
        </w:rPr>
        <w:t> </w:t>
      </w:r>
      <w:r>
        <w:rPr>
          <w:rFonts w:ascii="Arial" w:hAnsi="Arial"/>
          <w:color w:val="231F20"/>
          <w:w w:val="80"/>
          <w:sz w:val="14"/>
        </w:rPr>
        <w:t>C. 2021a.</w:t>
      </w:r>
      <w:r>
        <w:rPr>
          <w:rFonts w:ascii="Arial" w:hAnsi="Arial"/>
          <w:color w:val="231F20"/>
          <w:spacing w:val="-4"/>
          <w:w w:val="80"/>
          <w:sz w:val="14"/>
        </w:rPr>
        <w:t> </w:t>
      </w:r>
      <w:r>
        <w:rPr>
          <w:rFonts w:ascii="Arial" w:hAnsi="Arial"/>
          <w:color w:val="231F20"/>
          <w:w w:val="80"/>
          <w:sz w:val="14"/>
        </w:rPr>
        <w:t>“Transport Infrastructure Quality and </w:t>
      </w:r>
      <w:r>
        <w:rPr>
          <w:rFonts w:ascii="Arial" w:hAnsi="Arial"/>
          <w:color w:val="231F20"/>
          <w:w w:val="80"/>
          <w:sz w:val="14"/>
        </w:rPr>
        <w:t>Logistics</w:t>
      </w:r>
      <w:r>
        <w:rPr>
          <w:rFonts w:ascii="Arial" w:hAnsi="Arial"/>
          <w:color w:val="231F20"/>
          <w:spacing w:val="40"/>
          <w:sz w:val="14"/>
        </w:rPr>
        <w:t> </w:t>
      </w:r>
      <w:r>
        <w:rPr>
          <w:rFonts w:ascii="Arial" w:hAnsi="Arial"/>
          <w:color w:val="231F20"/>
          <w:w w:val="85"/>
          <w:sz w:val="14"/>
        </w:rPr>
        <w:t>Performance</w:t>
      </w:r>
      <w:r>
        <w:rPr>
          <w:rFonts w:ascii="Arial" w:hAnsi="Arial"/>
          <w:color w:val="231F20"/>
          <w:spacing w:val="-4"/>
          <w:w w:val="85"/>
          <w:sz w:val="14"/>
        </w:rPr>
        <w:t> </w:t>
      </w:r>
      <w:r>
        <w:rPr>
          <w:rFonts w:ascii="Arial" w:hAnsi="Arial"/>
          <w:color w:val="231F20"/>
          <w:w w:val="85"/>
          <w:sz w:val="14"/>
        </w:rPr>
        <w:t>in</w:t>
      </w:r>
      <w:r>
        <w:rPr>
          <w:rFonts w:ascii="Arial" w:hAnsi="Arial"/>
          <w:color w:val="231F20"/>
          <w:spacing w:val="-4"/>
          <w:w w:val="85"/>
          <w:sz w:val="14"/>
        </w:rPr>
        <w:t> </w:t>
      </w:r>
      <w:r>
        <w:rPr>
          <w:rFonts w:ascii="Arial" w:hAnsi="Arial"/>
          <w:color w:val="231F20"/>
          <w:w w:val="85"/>
          <w:sz w:val="14"/>
        </w:rPr>
        <w:t>Exports.”</w:t>
      </w:r>
      <w:r>
        <w:rPr>
          <w:rFonts w:ascii="Arial" w:hAnsi="Arial"/>
          <w:color w:val="231F20"/>
          <w:spacing w:val="-5"/>
          <w:w w:val="85"/>
          <w:sz w:val="14"/>
        </w:rPr>
        <w:t> </w:t>
      </w:r>
      <w:r>
        <w:rPr>
          <w:rFonts w:ascii="Arial" w:hAnsi="Arial"/>
          <w:i/>
          <w:color w:val="231F20"/>
          <w:w w:val="85"/>
          <w:sz w:val="14"/>
        </w:rPr>
        <w:t>Economics</w:t>
      </w:r>
      <w:r>
        <w:rPr>
          <w:rFonts w:ascii="Arial" w:hAnsi="Arial"/>
          <w:i/>
          <w:color w:val="231F20"/>
          <w:spacing w:val="-4"/>
          <w:w w:val="85"/>
          <w:sz w:val="14"/>
        </w:rPr>
        <w:t> </w:t>
      </w:r>
      <w:r>
        <w:rPr>
          <w:rFonts w:ascii="Arial" w:hAnsi="Arial"/>
          <w:color w:val="231F20"/>
          <w:w w:val="85"/>
          <w:sz w:val="14"/>
        </w:rPr>
        <w:t>9</w:t>
      </w:r>
      <w:r>
        <w:rPr>
          <w:rFonts w:ascii="Arial" w:hAnsi="Arial"/>
          <w:color w:val="231F20"/>
          <w:spacing w:val="-4"/>
          <w:w w:val="85"/>
          <w:sz w:val="14"/>
        </w:rPr>
        <w:t> </w:t>
      </w:r>
      <w:r>
        <w:rPr>
          <w:rFonts w:ascii="Arial" w:hAnsi="Arial"/>
          <w:color w:val="231F20"/>
          <w:w w:val="85"/>
          <w:sz w:val="14"/>
        </w:rPr>
        <w:t>(1):</w:t>
      </w:r>
      <w:r>
        <w:rPr>
          <w:rFonts w:ascii="Arial" w:hAnsi="Arial"/>
          <w:color w:val="231F20"/>
          <w:spacing w:val="-5"/>
          <w:w w:val="85"/>
          <w:sz w:val="14"/>
        </w:rPr>
        <w:t> </w:t>
      </w:r>
      <w:r>
        <w:rPr>
          <w:rFonts w:ascii="Arial" w:hAnsi="Arial"/>
          <w:color w:val="231F20"/>
          <w:w w:val="85"/>
          <w:sz w:val="14"/>
        </w:rPr>
        <w:t>107–124.</w:t>
      </w:r>
    </w:p>
    <w:p>
      <w:pPr>
        <w:spacing w:line="297" w:lineRule="auto" w:before="1"/>
        <w:ind w:left="3600" w:right="26" w:hanging="240"/>
        <w:jc w:val="both"/>
        <w:rPr>
          <w:rFonts w:ascii="Arial" w:hAnsi="Arial"/>
          <w:sz w:val="14"/>
        </w:rPr>
      </w:pPr>
      <w:r>
        <w:rPr>
          <w:rFonts w:ascii="Arial" w:hAnsi="Arial"/>
          <w:color w:val="231F20"/>
          <w:w w:val="80"/>
          <w:sz w:val="14"/>
        </w:rPr>
        <w:t>Sénquiz-Díaz,</w:t>
      </w:r>
      <w:r>
        <w:rPr>
          <w:rFonts w:ascii="Arial" w:hAnsi="Arial"/>
          <w:color w:val="231F20"/>
          <w:spacing w:val="-2"/>
          <w:w w:val="80"/>
          <w:sz w:val="14"/>
        </w:rPr>
        <w:t> </w:t>
      </w:r>
      <w:r>
        <w:rPr>
          <w:rFonts w:ascii="Arial" w:hAnsi="Arial"/>
          <w:color w:val="231F20"/>
          <w:w w:val="80"/>
          <w:sz w:val="14"/>
        </w:rPr>
        <w:t>C.</w:t>
      </w:r>
      <w:r>
        <w:rPr>
          <w:rFonts w:ascii="Arial" w:hAnsi="Arial"/>
          <w:color w:val="231F20"/>
          <w:spacing w:val="-2"/>
          <w:w w:val="80"/>
          <w:sz w:val="14"/>
        </w:rPr>
        <w:t> </w:t>
      </w:r>
      <w:r>
        <w:rPr>
          <w:rFonts w:ascii="Arial" w:hAnsi="Arial"/>
          <w:color w:val="231F20"/>
          <w:w w:val="80"/>
          <w:sz w:val="14"/>
        </w:rPr>
        <w:t>2021b.</w:t>
      </w:r>
      <w:r>
        <w:rPr>
          <w:rFonts w:ascii="Arial" w:hAnsi="Arial"/>
          <w:color w:val="231F20"/>
          <w:spacing w:val="-2"/>
          <w:w w:val="80"/>
          <w:sz w:val="14"/>
        </w:rPr>
        <w:t> </w:t>
      </w:r>
      <w:r>
        <w:rPr>
          <w:rFonts w:ascii="Arial" w:hAnsi="Arial"/>
          <w:color w:val="231F20"/>
          <w:w w:val="80"/>
          <w:sz w:val="14"/>
        </w:rPr>
        <w:t>“Effect</w:t>
      </w:r>
      <w:r>
        <w:rPr>
          <w:rFonts w:ascii="Arial" w:hAnsi="Arial"/>
          <w:color w:val="231F20"/>
          <w:spacing w:val="-2"/>
          <w:w w:val="80"/>
          <w:sz w:val="14"/>
        </w:rPr>
        <w:t> </w:t>
      </w:r>
      <w:r>
        <w:rPr>
          <w:rFonts w:ascii="Arial" w:hAnsi="Arial"/>
          <w:color w:val="231F20"/>
          <w:w w:val="80"/>
          <w:sz w:val="14"/>
        </w:rPr>
        <w:t>Size</w:t>
      </w:r>
      <w:r>
        <w:rPr>
          <w:rFonts w:ascii="Arial" w:hAnsi="Arial"/>
          <w:color w:val="231F20"/>
          <w:spacing w:val="-2"/>
          <w:w w:val="8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Logistics:</w:t>
      </w:r>
      <w:r>
        <w:rPr>
          <w:rFonts w:ascii="Arial" w:hAnsi="Arial"/>
          <w:color w:val="231F20"/>
          <w:spacing w:val="-2"/>
          <w:w w:val="80"/>
          <w:sz w:val="14"/>
        </w:rPr>
        <w:t> </w:t>
      </w:r>
      <w:r>
        <w:rPr>
          <w:rFonts w:ascii="Arial" w:hAnsi="Arial"/>
          <w:color w:val="231F20"/>
          <w:w w:val="80"/>
          <w:sz w:val="14"/>
        </w:rPr>
        <w:t>Evidence</w:t>
      </w:r>
      <w:r>
        <w:rPr>
          <w:rFonts w:ascii="Arial" w:hAnsi="Arial"/>
          <w:color w:val="231F20"/>
          <w:spacing w:val="-2"/>
          <w:w w:val="80"/>
          <w:sz w:val="14"/>
        </w:rPr>
        <w:t> </w:t>
      </w:r>
      <w:r>
        <w:rPr>
          <w:rFonts w:ascii="Arial" w:hAnsi="Arial"/>
          <w:color w:val="231F20"/>
          <w:w w:val="80"/>
          <w:sz w:val="14"/>
        </w:rPr>
        <w:t>from</w:t>
      </w:r>
      <w:r>
        <w:rPr>
          <w:rFonts w:ascii="Arial" w:hAnsi="Arial"/>
          <w:color w:val="231F20"/>
          <w:spacing w:val="-2"/>
          <w:w w:val="80"/>
          <w:sz w:val="14"/>
        </w:rPr>
        <w:t> </w:t>
      </w:r>
      <w:r>
        <w:rPr>
          <w:rFonts w:ascii="Arial" w:hAnsi="Arial"/>
          <w:color w:val="231F20"/>
          <w:w w:val="80"/>
          <w:sz w:val="14"/>
        </w:rPr>
        <w:t>Selected</w:t>
      </w:r>
      <w:r>
        <w:rPr>
          <w:rFonts w:ascii="Arial" w:hAnsi="Arial"/>
          <w:color w:val="231F20"/>
          <w:spacing w:val="40"/>
          <w:sz w:val="14"/>
        </w:rPr>
        <w:t> </w:t>
      </w:r>
      <w:r>
        <w:rPr>
          <w:rFonts w:ascii="Arial" w:hAnsi="Arial"/>
          <w:color w:val="231F20"/>
          <w:spacing w:val="-2"/>
          <w:w w:val="80"/>
          <w:sz w:val="14"/>
        </w:rPr>
        <w:t>Countries.”</w:t>
      </w:r>
      <w:r>
        <w:rPr>
          <w:rFonts w:ascii="Arial" w:hAnsi="Arial"/>
          <w:color w:val="231F20"/>
          <w:spacing w:val="-5"/>
          <w:sz w:val="14"/>
        </w:rPr>
        <w:t> </w:t>
      </w:r>
      <w:r>
        <w:rPr>
          <w:rFonts w:ascii="Arial" w:hAnsi="Arial"/>
          <w:i/>
          <w:color w:val="231F20"/>
          <w:spacing w:val="-2"/>
          <w:w w:val="80"/>
          <w:sz w:val="14"/>
        </w:rPr>
        <w:t>LOGI:</w:t>
      </w:r>
      <w:r>
        <w:rPr>
          <w:rFonts w:ascii="Arial" w:hAnsi="Arial"/>
          <w:i/>
          <w:color w:val="231F20"/>
          <w:spacing w:val="-5"/>
          <w:sz w:val="14"/>
        </w:rPr>
        <w:t> </w:t>
      </w:r>
      <w:r>
        <w:rPr>
          <w:rFonts w:ascii="Arial" w:hAnsi="Arial"/>
          <w:i/>
          <w:color w:val="231F20"/>
          <w:spacing w:val="-2"/>
          <w:w w:val="80"/>
          <w:sz w:val="14"/>
        </w:rPr>
        <w:t>Scientific</w:t>
      </w:r>
      <w:r>
        <w:rPr>
          <w:rFonts w:ascii="Arial" w:hAnsi="Arial"/>
          <w:i/>
          <w:color w:val="231F20"/>
          <w:sz w:val="14"/>
        </w:rPr>
        <w:t> </w:t>
      </w:r>
      <w:r>
        <w:rPr>
          <w:rFonts w:ascii="Arial" w:hAnsi="Arial"/>
          <w:i/>
          <w:color w:val="231F20"/>
          <w:spacing w:val="-2"/>
          <w:w w:val="80"/>
          <w:sz w:val="14"/>
        </w:rPr>
        <w:t>Journal</w:t>
      </w:r>
      <w:r>
        <w:rPr>
          <w:rFonts w:ascii="Arial" w:hAnsi="Arial"/>
          <w:i/>
          <w:color w:val="231F20"/>
          <w:sz w:val="14"/>
        </w:rPr>
        <w:t> </w:t>
      </w:r>
      <w:r>
        <w:rPr>
          <w:rFonts w:ascii="Arial" w:hAnsi="Arial"/>
          <w:i/>
          <w:color w:val="231F20"/>
          <w:spacing w:val="-2"/>
          <w:w w:val="80"/>
          <w:sz w:val="14"/>
        </w:rPr>
        <w:t>on</w:t>
      </w:r>
      <w:r>
        <w:rPr>
          <w:rFonts w:ascii="Arial" w:hAnsi="Arial"/>
          <w:i/>
          <w:color w:val="231F20"/>
          <w:spacing w:val="-5"/>
          <w:sz w:val="14"/>
        </w:rPr>
        <w:t> </w:t>
      </w:r>
      <w:r>
        <w:rPr>
          <w:rFonts w:ascii="Arial" w:hAnsi="Arial"/>
          <w:i/>
          <w:color w:val="231F20"/>
          <w:spacing w:val="-2"/>
          <w:w w:val="80"/>
          <w:sz w:val="14"/>
        </w:rPr>
        <w:t>Transport</w:t>
      </w:r>
      <w:r>
        <w:rPr>
          <w:rFonts w:ascii="Arial" w:hAnsi="Arial"/>
          <w:i/>
          <w:color w:val="231F20"/>
          <w:sz w:val="14"/>
        </w:rPr>
        <w:t> </w:t>
      </w:r>
      <w:r>
        <w:rPr>
          <w:rFonts w:ascii="Arial" w:hAnsi="Arial"/>
          <w:i/>
          <w:color w:val="231F20"/>
          <w:spacing w:val="-2"/>
          <w:w w:val="80"/>
          <w:sz w:val="14"/>
        </w:rPr>
        <w:t>and</w:t>
      </w:r>
      <w:r>
        <w:rPr>
          <w:rFonts w:ascii="Arial" w:hAnsi="Arial"/>
          <w:i/>
          <w:color w:val="231F20"/>
          <w:sz w:val="14"/>
        </w:rPr>
        <w:t> </w:t>
      </w:r>
      <w:r>
        <w:rPr>
          <w:rFonts w:ascii="Arial" w:hAnsi="Arial"/>
          <w:i/>
          <w:color w:val="231F20"/>
          <w:spacing w:val="-2"/>
          <w:w w:val="80"/>
          <w:sz w:val="14"/>
        </w:rPr>
        <w:t>Logistics</w:t>
      </w:r>
      <w:r>
        <w:rPr>
          <w:rFonts w:ascii="Arial" w:hAnsi="Arial"/>
          <w:i/>
          <w:color w:val="231F20"/>
          <w:sz w:val="14"/>
        </w:rPr>
        <w:t> </w:t>
      </w:r>
      <w:r>
        <w:rPr>
          <w:rFonts w:ascii="Arial" w:hAnsi="Arial"/>
          <w:color w:val="231F20"/>
          <w:spacing w:val="-2"/>
          <w:w w:val="80"/>
          <w:sz w:val="14"/>
        </w:rPr>
        <w:t>12</w:t>
      </w:r>
      <w:r>
        <w:rPr>
          <w:rFonts w:ascii="Arial" w:hAnsi="Arial"/>
          <w:color w:val="231F20"/>
          <w:sz w:val="14"/>
        </w:rPr>
        <w:t> </w:t>
      </w:r>
      <w:r>
        <w:rPr>
          <w:rFonts w:ascii="Arial" w:hAnsi="Arial"/>
          <w:color w:val="231F20"/>
          <w:spacing w:val="-2"/>
          <w:w w:val="80"/>
          <w:sz w:val="14"/>
        </w:rPr>
        <w:t>(1):</w:t>
      </w:r>
      <w:r>
        <w:rPr>
          <w:rFonts w:ascii="Arial" w:hAnsi="Arial"/>
          <w:color w:val="231F20"/>
          <w:spacing w:val="40"/>
          <w:sz w:val="14"/>
        </w:rPr>
        <w:t> </w:t>
      </w:r>
      <w:r>
        <w:rPr>
          <w:rFonts w:ascii="Arial" w:hAnsi="Arial"/>
          <w:color w:val="231F20"/>
          <w:spacing w:val="-2"/>
          <w:w w:val="90"/>
          <w:sz w:val="14"/>
        </w:rPr>
        <w:t>123–134.</w:t>
      </w:r>
    </w:p>
    <w:p>
      <w:pPr>
        <w:spacing w:line="297" w:lineRule="auto" w:before="1"/>
        <w:ind w:left="3599" w:right="0" w:hanging="240"/>
        <w:jc w:val="both"/>
        <w:rPr>
          <w:rFonts w:ascii="Arial" w:hAnsi="Arial"/>
          <w:sz w:val="14"/>
        </w:rPr>
      </w:pPr>
      <w:r>
        <w:rPr>
          <w:rFonts w:ascii="Arial" w:hAnsi="Arial"/>
          <w:color w:val="231F20"/>
          <w:spacing w:val="-2"/>
          <w:w w:val="85"/>
          <w:sz w:val="14"/>
        </w:rPr>
        <w:t>Sénquiz-Díaz,</w:t>
      </w:r>
      <w:r>
        <w:rPr>
          <w:rFonts w:ascii="Arial" w:hAnsi="Arial"/>
          <w:color w:val="231F20"/>
          <w:spacing w:val="-8"/>
          <w:sz w:val="14"/>
        </w:rPr>
        <w:t> </w:t>
      </w:r>
      <w:r>
        <w:rPr>
          <w:rFonts w:ascii="Arial" w:hAnsi="Arial"/>
          <w:color w:val="231F20"/>
          <w:spacing w:val="-2"/>
          <w:w w:val="85"/>
          <w:sz w:val="14"/>
        </w:rPr>
        <w:t>C.</w:t>
      </w:r>
      <w:r>
        <w:rPr>
          <w:rFonts w:ascii="Arial" w:hAnsi="Arial"/>
          <w:color w:val="231F20"/>
          <w:spacing w:val="-8"/>
          <w:sz w:val="14"/>
        </w:rPr>
        <w:t> </w:t>
      </w:r>
      <w:r>
        <w:rPr>
          <w:rFonts w:ascii="Arial" w:hAnsi="Arial"/>
          <w:color w:val="231F20"/>
          <w:spacing w:val="-2"/>
          <w:w w:val="85"/>
          <w:sz w:val="14"/>
        </w:rPr>
        <w:t>2021c.</w:t>
      </w:r>
      <w:r>
        <w:rPr>
          <w:rFonts w:ascii="Arial" w:hAnsi="Arial"/>
          <w:color w:val="231F20"/>
          <w:spacing w:val="-8"/>
          <w:sz w:val="14"/>
        </w:rPr>
        <w:t> </w:t>
      </w:r>
      <w:r>
        <w:rPr>
          <w:rFonts w:ascii="Arial" w:hAnsi="Arial"/>
          <w:color w:val="231F20"/>
          <w:spacing w:val="-2"/>
          <w:w w:val="85"/>
          <w:sz w:val="14"/>
        </w:rPr>
        <w:t>“The</w:t>
      </w:r>
      <w:r>
        <w:rPr>
          <w:rFonts w:ascii="Arial" w:hAnsi="Arial"/>
          <w:color w:val="231F20"/>
          <w:spacing w:val="-7"/>
          <w:sz w:val="14"/>
        </w:rPr>
        <w:t> </w:t>
      </w:r>
      <w:r>
        <w:rPr>
          <w:rFonts w:ascii="Arial" w:hAnsi="Arial"/>
          <w:color w:val="231F20"/>
          <w:spacing w:val="-2"/>
          <w:w w:val="85"/>
          <w:sz w:val="14"/>
        </w:rPr>
        <w:t>Effect</w:t>
      </w:r>
      <w:r>
        <w:rPr>
          <w:rFonts w:ascii="Arial" w:hAnsi="Arial"/>
          <w:color w:val="231F20"/>
          <w:spacing w:val="-8"/>
          <w:sz w:val="14"/>
        </w:rPr>
        <w:t> </w:t>
      </w:r>
      <w:r>
        <w:rPr>
          <w:rFonts w:ascii="Arial" w:hAnsi="Arial"/>
          <w:color w:val="231F20"/>
          <w:spacing w:val="-2"/>
          <w:w w:val="85"/>
          <w:sz w:val="14"/>
        </w:rPr>
        <w:t>of</w:t>
      </w:r>
      <w:r>
        <w:rPr>
          <w:rFonts w:ascii="Arial" w:hAnsi="Arial"/>
          <w:color w:val="231F20"/>
          <w:spacing w:val="-8"/>
          <w:sz w:val="14"/>
        </w:rPr>
        <w:t> </w:t>
      </w:r>
      <w:r>
        <w:rPr>
          <w:rFonts w:ascii="Arial" w:hAnsi="Arial"/>
          <w:color w:val="231F20"/>
          <w:spacing w:val="-2"/>
          <w:w w:val="85"/>
          <w:sz w:val="14"/>
        </w:rPr>
        <w:t>Transport</w:t>
      </w:r>
      <w:r>
        <w:rPr>
          <w:rFonts w:ascii="Arial" w:hAnsi="Arial"/>
          <w:color w:val="231F20"/>
          <w:spacing w:val="-8"/>
          <w:sz w:val="14"/>
        </w:rPr>
        <w:t> </w:t>
      </w:r>
      <w:r>
        <w:rPr>
          <w:rFonts w:ascii="Arial" w:hAnsi="Arial"/>
          <w:color w:val="231F20"/>
          <w:spacing w:val="-2"/>
          <w:w w:val="85"/>
          <w:sz w:val="14"/>
        </w:rPr>
        <w:t>and</w:t>
      </w:r>
      <w:r>
        <w:rPr>
          <w:rFonts w:ascii="Arial" w:hAnsi="Arial"/>
          <w:color w:val="231F20"/>
          <w:spacing w:val="-7"/>
          <w:sz w:val="14"/>
        </w:rPr>
        <w:t> </w:t>
      </w:r>
      <w:r>
        <w:rPr>
          <w:rFonts w:ascii="Arial" w:hAnsi="Arial"/>
          <w:color w:val="231F20"/>
          <w:spacing w:val="-2"/>
          <w:w w:val="85"/>
          <w:sz w:val="14"/>
        </w:rPr>
        <w:t>Logistics</w:t>
      </w:r>
      <w:r>
        <w:rPr>
          <w:rFonts w:ascii="Arial" w:hAnsi="Arial"/>
          <w:color w:val="231F20"/>
          <w:spacing w:val="-8"/>
          <w:sz w:val="14"/>
        </w:rPr>
        <w:t> </w:t>
      </w:r>
      <w:r>
        <w:rPr>
          <w:rFonts w:ascii="Arial" w:hAnsi="Arial"/>
          <w:color w:val="231F20"/>
          <w:spacing w:val="-2"/>
          <w:w w:val="85"/>
          <w:sz w:val="14"/>
        </w:rPr>
        <w:t>on</w:t>
      </w:r>
      <w:r>
        <w:rPr>
          <w:rFonts w:ascii="Arial" w:hAnsi="Arial"/>
          <w:color w:val="231F20"/>
          <w:spacing w:val="-8"/>
          <w:sz w:val="14"/>
        </w:rPr>
        <w:t> </w:t>
      </w:r>
      <w:r>
        <w:rPr>
          <w:rFonts w:ascii="Arial" w:hAnsi="Arial"/>
          <w:color w:val="231F20"/>
          <w:spacing w:val="-2"/>
          <w:w w:val="85"/>
          <w:sz w:val="14"/>
        </w:rPr>
        <w:t>Trade</w:t>
      </w:r>
      <w:r>
        <w:rPr>
          <w:rFonts w:ascii="Arial" w:hAnsi="Arial"/>
          <w:color w:val="231F20"/>
          <w:spacing w:val="40"/>
          <w:sz w:val="14"/>
        </w:rPr>
        <w:t> </w:t>
      </w:r>
      <w:r>
        <w:rPr>
          <w:rFonts w:ascii="Arial" w:hAnsi="Arial"/>
          <w:color w:val="231F20"/>
          <w:w w:val="75"/>
          <w:sz w:val="14"/>
        </w:rPr>
        <w:t>Facilitation</w:t>
      </w:r>
      <w:r>
        <w:rPr>
          <w:rFonts w:ascii="Arial" w:hAnsi="Arial"/>
          <w:color w:val="231F20"/>
          <w:spacing w:val="-2"/>
          <w:sz w:val="14"/>
        </w:rPr>
        <w:t> </w:t>
      </w:r>
      <w:r>
        <w:rPr>
          <w:rFonts w:ascii="Arial" w:hAnsi="Arial"/>
          <w:color w:val="231F20"/>
          <w:w w:val="75"/>
          <w:sz w:val="14"/>
        </w:rPr>
        <w:t>and</w:t>
      </w:r>
      <w:r>
        <w:rPr>
          <w:rFonts w:ascii="Arial" w:hAnsi="Arial"/>
          <w:color w:val="231F20"/>
          <w:spacing w:val="-8"/>
          <w:sz w:val="14"/>
        </w:rPr>
        <w:t> </w:t>
      </w:r>
      <w:r>
        <w:rPr>
          <w:rFonts w:ascii="Arial" w:hAnsi="Arial"/>
          <w:color w:val="231F20"/>
          <w:w w:val="75"/>
          <w:sz w:val="14"/>
        </w:rPr>
        <w:t>Trade:</w:t>
      </w:r>
      <w:r>
        <w:rPr>
          <w:rFonts w:ascii="Arial" w:hAnsi="Arial"/>
          <w:color w:val="231F20"/>
          <w:spacing w:val="-5"/>
          <w:w w:val="75"/>
          <w:sz w:val="14"/>
        </w:rPr>
        <w:t> </w:t>
      </w:r>
      <w:r>
        <w:rPr>
          <w:rFonts w:ascii="Arial" w:hAnsi="Arial"/>
          <w:color w:val="231F20"/>
          <w:w w:val="75"/>
          <w:sz w:val="14"/>
        </w:rPr>
        <w:t>A</w:t>
      </w:r>
      <w:r>
        <w:rPr>
          <w:rFonts w:ascii="Arial" w:hAnsi="Arial"/>
          <w:color w:val="231F20"/>
          <w:spacing w:val="-1"/>
          <w:sz w:val="14"/>
        </w:rPr>
        <w:t> </w:t>
      </w:r>
      <w:r>
        <w:rPr>
          <w:rFonts w:ascii="Arial" w:hAnsi="Arial"/>
          <w:color w:val="231F20"/>
          <w:w w:val="75"/>
          <w:sz w:val="14"/>
        </w:rPr>
        <w:t>PLS-SEM</w:t>
      </w:r>
      <w:r>
        <w:rPr>
          <w:rFonts w:ascii="Arial" w:hAnsi="Arial"/>
          <w:color w:val="231F20"/>
          <w:spacing w:val="-8"/>
          <w:sz w:val="14"/>
        </w:rPr>
        <w:t> </w:t>
      </w:r>
      <w:r>
        <w:rPr>
          <w:rFonts w:ascii="Arial" w:hAnsi="Arial"/>
          <w:color w:val="231F20"/>
          <w:w w:val="75"/>
          <w:sz w:val="14"/>
        </w:rPr>
        <w:t>Approach.”</w:t>
      </w:r>
      <w:r>
        <w:rPr>
          <w:rFonts w:ascii="Arial" w:hAnsi="Arial"/>
          <w:color w:val="231F20"/>
          <w:spacing w:val="-8"/>
          <w:sz w:val="14"/>
        </w:rPr>
        <w:t> </w:t>
      </w:r>
      <w:r>
        <w:rPr>
          <w:rFonts w:ascii="Arial" w:hAnsi="Arial"/>
          <w:i/>
          <w:color w:val="231F20"/>
          <w:w w:val="75"/>
          <w:sz w:val="14"/>
        </w:rPr>
        <w:t>Economics</w:t>
      </w:r>
      <w:r>
        <w:rPr>
          <w:rFonts w:ascii="Arial" w:hAnsi="Arial"/>
          <w:i/>
          <w:color w:val="231F20"/>
          <w:spacing w:val="-1"/>
          <w:sz w:val="14"/>
        </w:rPr>
        <w:t> </w:t>
      </w:r>
      <w:r>
        <w:rPr>
          <w:rFonts w:ascii="Arial" w:hAnsi="Arial"/>
          <w:color w:val="231F20"/>
          <w:w w:val="75"/>
          <w:sz w:val="14"/>
        </w:rPr>
        <w:t>9</w:t>
      </w:r>
      <w:r>
        <w:rPr>
          <w:rFonts w:ascii="Arial" w:hAnsi="Arial"/>
          <w:color w:val="231F20"/>
          <w:spacing w:val="-2"/>
          <w:sz w:val="14"/>
        </w:rPr>
        <w:t> </w:t>
      </w:r>
      <w:r>
        <w:rPr>
          <w:rFonts w:ascii="Arial" w:hAnsi="Arial"/>
          <w:color w:val="231F20"/>
          <w:w w:val="75"/>
          <w:sz w:val="14"/>
        </w:rPr>
        <w:t>(2):</w:t>
      </w:r>
      <w:r>
        <w:rPr>
          <w:rFonts w:ascii="Arial" w:hAnsi="Arial"/>
          <w:color w:val="231F20"/>
          <w:spacing w:val="-8"/>
          <w:sz w:val="14"/>
        </w:rPr>
        <w:t> </w:t>
      </w:r>
      <w:r>
        <w:rPr>
          <w:rFonts w:ascii="Arial" w:hAnsi="Arial"/>
          <w:color w:val="231F20"/>
          <w:spacing w:val="-2"/>
          <w:w w:val="75"/>
          <w:sz w:val="14"/>
        </w:rPr>
        <w:t>11–24.</w:t>
      </w:r>
    </w:p>
    <w:p>
      <w:pPr>
        <w:spacing w:line="297" w:lineRule="auto" w:before="1"/>
        <w:ind w:left="3599" w:right="134" w:hanging="240"/>
        <w:jc w:val="both"/>
        <w:rPr>
          <w:rFonts w:ascii="Arial" w:hAnsi="Arial"/>
          <w:i/>
          <w:sz w:val="14"/>
        </w:rPr>
      </w:pPr>
      <w:r>
        <w:rPr>
          <w:rFonts w:ascii="Arial" w:hAnsi="Arial"/>
          <w:color w:val="231F20"/>
          <w:w w:val="85"/>
          <w:sz w:val="14"/>
        </w:rPr>
        <w:t>Sentürk,</w:t>
      </w:r>
      <w:r>
        <w:rPr>
          <w:rFonts w:ascii="Arial" w:hAnsi="Arial"/>
          <w:color w:val="231F20"/>
          <w:spacing w:val="-4"/>
          <w:w w:val="85"/>
          <w:sz w:val="14"/>
        </w:rPr>
        <w:t> </w:t>
      </w:r>
      <w:r>
        <w:rPr>
          <w:rFonts w:ascii="Arial" w:hAnsi="Arial"/>
          <w:color w:val="231F20"/>
          <w:w w:val="85"/>
          <w:sz w:val="14"/>
        </w:rPr>
        <w:t>B.,</w:t>
      </w:r>
      <w:r>
        <w:rPr>
          <w:rFonts w:ascii="Arial" w:hAnsi="Arial"/>
          <w:color w:val="231F20"/>
          <w:spacing w:val="-4"/>
          <w:w w:val="85"/>
          <w:sz w:val="14"/>
        </w:rPr>
        <w:t> </w:t>
      </w:r>
      <w:r>
        <w:rPr>
          <w:rFonts w:ascii="Arial" w:hAnsi="Arial"/>
          <w:color w:val="231F20"/>
          <w:w w:val="85"/>
          <w:sz w:val="14"/>
        </w:rPr>
        <w:t>Y.</w:t>
      </w:r>
      <w:r>
        <w:rPr>
          <w:rFonts w:ascii="Arial" w:hAnsi="Arial"/>
          <w:color w:val="231F20"/>
          <w:spacing w:val="-4"/>
          <w:w w:val="85"/>
          <w:sz w:val="14"/>
        </w:rPr>
        <w:t> </w:t>
      </w:r>
      <w:r>
        <w:rPr>
          <w:rFonts w:ascii="Arial" w:hAnsi="Arial"/>
          <w:color w:val="231F20"/>
          <w:w w:val="85"/>
          <w:sz w:val="14"/>
        </w:rPr>
        <w:t>Kaymaz,</w:t>
      </w:r>
      <w:r>
        <w:rPr>
          <w:rFonts w:ascii="Arial" w:hAnsi="Arial"/>
          <w:color w:val="231F20"/>
          <w:spacing w:val="-4"/>
          <w:w w:val="85"/>
          <w:sz w:val="14"/>
        </w:rPr>
        <w:t> </w:t>
      </w:r>
      <w:r>
        <w:rPr>
          <w:rFonts w:ascii="Arial" w:hAnsi="Arial"/>
          <w:color w:val="231F20"/>
          <w:w w:val="85"/>
          <w:sz w:val="14"/>
        </w:rPr>
        <w:t>and</w:t>
      </w:r>
      <w:r>
        <w:rPr>
          <w:rFonts w:ascii="Arial" w:hAnsi="Arial"/>
          <w:color w:val="231F20"/>
          <w:spacing w:val="-4"/>
          <w:w w:val="85"/>
          <w:sz w:val="14"/>
        </w:rPr>
        <w:t> </w:t>
      </w:r>
      <w:r>
        <w:rPr>
          <w:rFonts w:ascii="Arial" w:hAnsi="Arial"/>
          <w:color w:val="231F20"/>
          <w:w w:val="85"/>
          <w:sz w:val="14"/>
        </w:rPr>
        <w:t>S.</w:t>
      </w:r>
      <w:r>
        <w:rPr>
          <w:rFonts w:ascii="Arial" w:hAnsi="Arial"/>
          <w:color w:val="231F20"/>
          <w:spacing w:val="-4"/>
          <w:w w:val="85"/>
          <w:sz w:val="14"/>
        </w:rPr>
        <w:t> </w:t>
      </w:r>
      <w:r>
        <w:rPr>
          <w:rFonts w:ascii="Arial" w:hAnsi="Arial"/>
          <w:color w:val="231F20"/>
          <w:w w:val="85"/>
          <w:sz w:val="14"/>
        </w:rPr>
        <w:t>Karadeniz.</w:t>
      </w:r>
      <w:r>
        <w:rPr>
          <w:rFonts w:ascii="Arial" w:hAnsi="Arial"/>
          <w:color w:val="231F20"/>
          <w:spacing w:val="-4"/>
          <w:w w:val="85"/>
          <w:sz w:val="14"/>
        </w:rPr>
        <w:t> </w:t>
      </w:r>
      <w:r>
        <w:rPr>
          <w:rFonts w:ascii="Arial" w:hAnsi="Arial"/>
          <w:color w:val="231F20"/>
          <w:w w:val="85"/>
          <w:sz w:val="14"/>
        </w:rPr>
        <w:t>2021.</w:t>
      </w:r>
      <w:r>
        <w:rPr>
          <w:rFonts w:ascii="Arial" w:hAnsi="Arial"/>
          <w:color w:val="231F20"/>
          <w:spacing w:val="-4"/>
          <w:w w:val="85"/>
          <w:sz w:val="14"/>
        </w:rPr>
        <w:t> </w:t>
      </w:r>
      <w:r>
        <w:rPr>
          <w:rFonts w:ascii="Arial" w:hAnsi="Arial"/>
          <w:color w:val="231F20"/>
          <w:w w:val="85"/>
          <w:sz w:val="14"/>
        </w:rPr>
        <w:t>“A</w:t>
      </w:r>
      <w:r>
        <w:rPr>
          <w:rFonts w:ascii="Arial" w:hAnsi="Arial"/>
          <w:color w:val="231F20"/>
          <w:spacing w:val="-3"/>
          <w:w w:val="85"/>
          <w:sz w:val="14"/>
        </w:rPr>
        <w:t> </w:t>
      </w:r>
      <w:r>
        <w:rPr>
          <w:rFonts w:ascii="Arial" w:hAnsi="Arial"/>
          <w:color w:val="231F20"/>
          <w:w w:val="85"/>
          <w:sz w:val="14"/>
        </w:rPr>
        <w:t>Woman’s</w:t>
      </w:r>
      <w:r>
        <w:rPr>
          <w:rFonts w:ascii="Arial" w:hAnsi="Arial"/>
          <w:color w:val="231F20"/>
          <w:spacing w:val="-4"/>
          <w:w w:val="85"/>
          <w:sz w:val="14"/>
        </w:rPr>
        <w:t> </w:t>
      </w:r>
      <w:r>
        <w:rPr>
          <w:rFonts w:ascii="Arial" w:hAnsi="Arial"/>
          <w:color w:val="231F20"/>
          <w:w w:val="85"/>
          <w:sz w:val="14"/>
        </w:rPr>
        <w:t>Voice</w:t>
      </w:r>
      <w:r>
        <w:rPr>
          <w:rFonts w:ascii="Arial" w:hAnsi="Arial"/>
          <w:color w:val="231F20"/>
          <w:spacing w:val="40"/>
          <w:sz w:val="14"/>
        </w:rPr>
        <w:t> </w:t>
      </w:r>
      <w:r>
        <w:rPr>
          <w:rFonts w:ascii="Arial" w:hAnsi="Arial"/>
          <w:color w:val="231F20"/>
          <w:w w:val="75"/>
          <w:sz w:val="14"/>
        </w:rPr>
        <w:t>on</w:t>
      </w:r>
      <w:r>
        <w:rPr>
          <w:rFonts w:ascii="Arial" w:hAnsi="Arial"/>
          <w:color w:val="231F20"/>
          <w:spacing w:val="7"/>
          <w:sz w:val="14"/>
        </w:rPr>
        <w:t> </w:t>
      </w:r>
      <w:r>
        <w:rPr>
          <w:rFonts w:ascii="Arial" w:hAnsi="Arial"/>
          <w:color w:val="231F20"/>
          <w:w w:val="75"/>
          <w:sz w:val="14"/>
        </w:rPr>
        <w:t>the</w:t>
      </w:r>
      <w:r>
        <w:rPr>
          <w:rFonts w:ascii="Arial" w:hAnsi="Arial"/>
          <w:color w:val="231F20"/>
          <w:spacing w:val="8"/>
          <w:sz w:val="14"/>
        </w:rPr>
        <w:t> </w:t>
      </w:r>
      <w:r>
        <w:rPr>
          <w:rFonts w:ascii="Arial" w:hAnsi="Arial"/>
          <w:color w:val="231F20"/>
          <w:w w:val="75"/>
          <w:sz w:val="14"/>
        </w:rPr>
        <w:t>Phone</w:t>
      </w:r>
      <w:r>
        <w:rPr>
          <w:rFonts w:ascii="Arial" w:hAnsi="Arial"/>
          <w:color w:val="231F20"/>
          <w:spacing w:val="8"/>
          <w:sz w:val="14"/>
        </w:rPr>
        <w:t> </w:t>
      </w:r>
      <w:r>
        <w:rPr>
          <w:rFonts w:ascii="Arial" w:hAnsi="Arial"/>
          <w:color w:val="231F20"/>
          <w:w w:val="75"/>
          <w:sz w:val="14"/>
        </w:rPr>
        <w:t>Matters:</w:t>
      </w:r>
      <w:r>
        <w:rPr>
          <w:rFonts w:ascii="Arial" w:hAnsi="Arial"/>
          <w:color w:val="231F20"/>
          <w:spacing w:val="1"/>
          <w:sz w:val="14"/>
        </w:rPr>
        <w:t> </w:t>
      </w:r>
      <w:r>
        <w:rPr>
          <w:rFonts w:ascii="Arial" w:hAnsi="Arial"/>
          <w:color w:val="231F20"/>
          <w:w w:val="75"/>
          <w:sz w:val="14"/>
        </w:rPr>
        <w:t>Labour</w:t>
      </w:r>
      <w:r>
        <w:rPr>
          <w:rFonts w:ascii="Arial" w:hAnsi="Arial"/>
          <w:color w:val="231F20"/>
          <w:spacing w:val="8"/>
          <w:sz w:val="14"/>
        </w:rPr>
        <w:t> </w:t>
      </w:r>
      <w:r>
        <w:rPr>
          <w:rFonts w:ascii="Arial" w:hAnsi="Arial"/>
          <w:color w:val="231F20"/>
          <w:w w:val="75"/>
          <w:sz w:val="14"/>
        </w:rPr>
        <w:t>and</w:t>
      </w:r>
      <w:r>
        <w:rPr>
          <w:rFonts w:ascii="Arial" w:hAnsi="Arial"/>
          <w:color w:val="231F20"/>
          <w:spacing w:val="8"/>
          <w:sz w:val="14"/>
        </w:rPr>
        <w:t> </w:t>
      </w:r>
      <w:r>
        <w:rPr>
          <w:rFonts w:ascii="Arial" w:hAnsi="Arial"/>
          <w:color w:val="231F20"/>
          <w:w w:val="75"/>
          <w:sz w:val="14"/>
        </w:rPr>
        <w:t>Gender</w:t>
      </w:r>
      <w:r>
        <w:rPr>
          <w:rFonts w:ascii="Arial" w:hAnsi="Arial"/>
          <w:color w:val="231F20"/>
          <w:spacing w:val="8"/>
          <w:sz w:val="14"/>
        </w:rPr>
        <w:t> </w:t>
      </w:r>
      <w:r>
        <w:rPr>
          <w:rFonts w:ascii="Arial" w:hAnsi="Arial"/>
          <w:color w:val="231F20"/>
          <w:w w:val="75"/>
          <w:sz w:val="14"/>
        </w:rPr>
        <w:t>Logistics.”</w:t>
      </w:r>
      <w:r>
        <w:rPr>
          <w:rFonts w:ascii="Arial" w:hAnsi="Arial"/>
          <w:color w:val="231F20"/>
          <w:spacing w:val="8"/>
          <w:sz w:val="14"/>
        </w:rPr>
        <w:t> </w:t>
      </w:r>
      <w:r>
        <w:rPr>
          <w:rFonts w:ascii="Arial" w:hAnsi="Arial"/>
          <w:i/>
          <w:color w:val="231F20"/>
          <w:w w:val="75"/>
          <w:sz w:val="14"/>
        </w:rPr>
        <w:t>Challenges</w:t>
      </w:r>
      <w:r>
        <w:rPr>
          <w:rFonts w:ascii="Arial" w:hAnsi="Arial"/>
          <w:i/>
          <w:color w:val="231F20"/>
          <w:spacing w:val="8"/>
          <w:sz w:val="14"/>
        </w:rPr>
        <w:t> </w:t>
      </w:r>
      <w:r>
        <w:rPr>
          <w:rFonts w:ascii="Arial" w:hAnsi="Arial"/>
          <w:i/>
          <w:color w:val="231F20"/>
          <w:spacing w:val="-5"/>
          <w:w w:val="75"/>
          <w:sz w:val="14"/>
        </w:rPr>
        <w:t>to</w:t>
      </w:r>
    </w:p>
    <w:p>
      <w:pPr>
        <w:spacing w:line="297" w:lineRule="auto" w:before="0"/>
        <w:ind w:left="3600" w:right="60" w:firstLine="0"/>
        <w:jc w:val="both"/>
        <w:rPr>
          <w:rFonts w:ascii="Arial" w:hAnsi="Arial"/>
          <w:sz w:val="14"/>
        </w:rPr>
      </w:pPr>
      <w:r>
        <w:rPr>
          <w:rFonts w:ascii="Arial" w:hAnsi="Arial"/>
          <w:i/>
          <w:color w:val="231F20"/>
          <w:w w:val="75"/>
          <w:sz w:val="14"/>
        </w:rPr>
        <w:t>Integrating</w:t>
      </w:r>
      <w:r>
        <w:rPr>
          <w:rFonts w:ascii="Arial" w:hAnsi="Arial"/>
          <w:i/>
          <w:color w:val="231F20"/>
          <w:sz w:val="14"/>
        </w:rPr>
        <w:t> </w:t>
      </w:r>
      <w:r>
        <w:rPr>
          <w:rFonts w:ascii="Arial" w:hAnsi="Arial"/>
          <w:i/>
          <w:color w:val="231F20"/>
          <w:w w:val="75"/>
          <w:sz w:val="14"/>
        </w:rPr>
        <w:t>Diversity, Equity, and</w:t>
      </w:r>
      <w:r>
        <w:rPr>
          <w:rFonts w:ascii="Arial" w:hAnsi="Arial"/>
          <w:i/>
          <w:color w:val="231F20"/>
          <w:sz w:val="14"/>
        </w:rPr>
        <w:t> </w:t>
      </w:r>
      <w:r>
        <w:rPr>
          <w:rFonts w:ascii="Arial" w:hAnsi="Arial"/>
          <w:i/>
          <w:color w:val="231F20"/>
          <w:w w:val="75"/>
          <w:sz w:val="14"/>
        </w:rPr>
        <w:t>Inclusion</w:t>
      </w:r>
      <w:r>
        <w:rPr>
          <w:rFonts w:ascii="Arial" w:hAnsi="Arial"/>
          <w:i/>
          <w:color w:val="231F20"/>
          <w:sz w:val="14"/>
        </w:rPr>
        <w:t> </w:t>
      </w:r>
      <w:r>
        <w:rPr>
          <w:rFonts w:ascii="Arial" w:hAnsi="Arial"/>
          <w:i/>
          <w:color w:val="231F20"/>
          <w:w w:val="75"/>
          <w:sz w:val="14"/>
        </w:rPr>
        <w:t>Programs</w:t>
      </w:r>
      <w:r>
        <w:rPr>
          <w:rFonts w:ascii="Arial" w:hAnsi="Arial"/>
          <w:i/>
          <w:color w:val="231F20"/>
          <w:sz w:val="14"/>
        </w:rPr>
        <w:t> </w:t>
      </w:r>
      <w:r>
        <w:rPr>
          <w:rFonts w:ascii="Arial" w:hAnsi="Arial"/>
          <w:i/>
          <w:color w:val="231F20"/>
          <w:w w:val="75"/>
          <w:sz w:val="14"/>
        </w:rPr>
        <w:t>in</w:t>
      </w:r>
      <w:r>
        <w:rPr>
          <w:rFonts w:ascii="Arial" w:hAnsi="Arial"/>
          <w:i/>
          <w:color w:val="231F20"/>
          <w:sz w:val="14"/>
        </w:rPr>
        <w:t> </w:t>
      </w:r>
      <w:r>
        <w:rPr>
          <w:rFonts w:ascii="Arial" w:hAnsi="Arial"/>
          <w:i/>
          <w:color w:val="231F20"/>
          <w:w w:val="75"/>
          <w:sz w:val="14"/>
        </w:rPr>
        <w:t>Organizations</w:t>
      </w:r>
      <w:r>
        <w:rPr>
          <w:rFonts w:ascii="Arial" w:hAnsi="Arial"/>
          <w:color w:val="231F20"/>
          <w:w w:val="75"/>
          <w:sz w:val="14"/>
        </w:rPr>
        <w:t>,</w:t>
      </w:r>
      <w:r>
        <w:rPr>
          <w:rFonts w:ascii="Arial" w:hAnsi="Arial"/>
          <w:color w:val="231F20"/>
          <w:spacing w:val="40"/>
          <w:sz w:val="14"/>
        </w:rPr>
        <w:t> </w:t>
      </w:r>
      <w:r>
        <w:rPr>
          <w:rFonts w:ascii="Arial" w:hAnsi="Arial"/>
          <w:color w:val="231F20"/>
          <w:spacing w:val="-2"/>
          <w:w w:val="90"/>
          <w:sz w:val="14"/>
        </w:rPr>
        <w:t>111–127.</w:t>
      </w:r>
    </w:p>
    <w:p>
      <w:pPr>
        <w:spacing w:line="297" w:lineRule="auto" w:before="1"/>
        <w:ind w:left="3600" w:right="74" w:hanging="240"/>
        <w:jc w:val="both"/>
        <w:rPr>
          <w:rFonts w:ascii="Arial" w:hAnsi="Arial"/>
          <w:sz w:val="14"/>
        </w:rPr>
      </w:pPr>
      <w:r>
        <w:rPr>
          <w:rFonts w:ascii="Arial" w:hAnsi="Arial"/>
          <w:color w:val="231F20"/>
          <w:w w:val="80"/>
          <w:sz w:val="14"/>
        </w:rPr>
        <w:t>Shahparvari, S., A.</w:t>
      </w:r>
      <w:r>
        <w:rPr>
          <w:rFonts w:ascii="Arial" w:hAnsi="Arial"/>
          <w:color w:val="231F20"/>
          <w:sz w:val="14"/>
        </w:rPr>
        <w:t> </w:t>
      </w:r>
      <w:r>
        <w:rPr>
          <w:rFonts w:ascii="Arial" w:hAnsi="Arial"/>
          <w:color w:val="231F20"/>
          <w:w w:val="80"/>
          <w:sz w:val="14"/>
        </w:rPr>
        <w:t>Nasirian, A.</w:t>
      </w:r>
      <w:r>
        <w:rPr>
          <w:rFonts w:ascii="Arial" w:hAnsi="Arial"/>
          <w:color w:val="231F20"/>
          <w:sz w:val="14"/>
        </w:rPr>
        <w:t> </w:t>
      </w:r>
      <w:r>
        <w:rPr>
          <w:rFonts w:ascii="Arial" w:hAnsi="Arial"/>
          <w:color w:val="231F20"/>
          <w:w w:val="80"/>
          <w:sz w:val="14"/>
        </w:rPr>
        <w:t>Mohammadi, S.</w:t>
      </w:r>
      <w:r>
        <w:rPr>
          <w:rFonts w:ascii="Arial" w:hAnsi="Arial"/>
          <w:color w:val="231F20"/>
          <w:sz w:val="14"/>
        </w:rPr>
        <w:t> </w:t>
      </w:r>
      <w:r>
        <w:rPr>
          <w:rFonts w:ascii="Arial" w:hAnsi="Arial"/>
          <w:color w:val="231F20"/>
          <w:w w:val="80"/>
          <w:sz w:val="14"/>
        </w:rPr>
        <w:t>Noori, and</w:t>
      </w:r>
      <w:r>
        <w:rPr>
          <w:rFonts w:ascii="Arial" w:hAnsi="Arial"/>
          <w:color w:val="231F20"/>
          <w:sz w:val="14"/>
        </w:rPr>
        <w:t> </w:t>
      </w:r>
      <w:r>
        <w:rPr>
          <w:rFonts w:ascii="Arial" w:hAnsi="Arial"/>
          <w:color w:val="231F20"/>
          <w:w w:val="80"/>
          <w:sz w:val="14"/>
        </w:rPr>
        <w:t>P.</w:t>
      </w:r>
      <w:r>
        <w:rPr>
          <w:rFonts w:ascii="Arial" w:hAnsi="Arial"/>
          <w:color w:val="231F20"/>
          <w:sz w:val="14"/>
        </w:rPr>
        <w:t> </w:t>
      </w:r>
      <w:r>
        <w:rPr>
          <w:rFonts w:ascii="Arial" w:hAnsi="Arial"/>
          <w:color w:val="231F20"/>
          <w:w w:val="80"/>
          <w:sz w:val="14"/>
        </w:rPr>
        <w:t>Chhetri.</w:t>
      </w:r>
      <w:r>
        <w:rPr>
          <w:rFonts w:ascii="Arial" w:hAnsi="Arial"/>
          <w:color w:val="231F20"/>
          <w:spacing w:val="40"/>
          <w:sz w:val="14"/>
        </w:rPr>
        <w:t> </w:t>
      </w:r>
      <w:r>
        <w:rPr>
          <w:rFonts w:ascii="Arial" w:hAnsi="Arial"/>
          <w:color w:val="231F20"/>
          <w:spacing w:val="-2"/>
          <w:w w:val="80"/>
          <w:sz w:val="14"/>
        </w:rPr>
        <w:t>2020.</w:t>
      </w:r>
      <w:r>
        <w:rPr>
          <w:rFonts w:ascii="Arial" w:hAnsi="Arial"/>
          <w:color w:val="231F20"/>
          <w:spacing w:val="-6"/>
          <w:sz w:val="14"/>
        </w:rPr>
        <w:t> </w:t>
      </w:r>
      <w:r>
        <w:rPr>
          <w:rFonts w:ascii="Arial" w:hAnsi="Arial"/>
          <w:color w:val="231F20"/>
          <w:spacing w:val="-2"/>
          <w:w w:val="80"/>
          <w:sz w:val="14"/>
        </w:rPr>
        <w:t>“A</w:t>
      </w:r>
      <w:r>
        <w:rPr>
          <w:rFonts w:ascii="Arial" w:hAnsi="Arial"/>
          <w:color w:val="231F20"/>
          <w:sz w:val="14"/>
        </w:rPr>
        <w:t> </w:t>
      </w:r>
      <w:r>
        <w:rPr>
          <w:rFonts w:ascii="Arial" w:hAnsi="Arial"/>
          <w:color w:val="231F20"/>
          <w:spacing w:val="-2"/>
          <w:w w:val="80"/>
          <w:sz w:val="14"/>
        </w:rPr>
        <w:t>GIS-LP</w:t>
      </w:r>
      <w:r>
        <w:rPr>
          <w:rFonts w:ascii="Arial" w:hAnsi="Arial"/>
          <w:color w:val="231F20"/>
          <w:sz w:val="14"/>
        </w:rPr>
        <w:t> </w:t>
      </w:r>
      <w:r>
        <w:rPr>
          <w:rFonts w:ascii="Arial" w:hAnsi="Arial"/>
          <w:color w:val="231F20"/>
          <w:spacing w:val="-2"/>
          <w:w w:val="80"/>
          <w:sz w:val="14"/>
        </w:rPr>
        <w:t>Integrated</w:t>
      </w:r>
      <w:r>
        <w:rPr>
          <w:rFonts w:ascii="Arial" w:hAnsi="Arial"/>
          <w:color w:val="231F20"/>
          <w:spacing w:val="-6"/>
          <w:sz w:val="14"/>
        </w:rPr>
        <w:t> </w:t>
      </w:r>
      <w:r>
        <w:rPr>
          <w:rFonts w:ascii="Arial" w:hAnsi="Arial"/>
          <w:color w:val="231F20"/>
          <w:spacing w:val="-2"/>
          <w:w w:val="80"/>
          <w:sz w:val="14"/>
        </w:rPr>
        <w:t>Approach</w:t>
      </w:r>
      <w:r>
        <w:rPr>
          <w:rFonts w:ascii="Arial" w:hAnsi="Arial"/>
          <w:color w:val="231F20"/>
          <w:sz w:val="14"/>
        </w:rPr>
        <w:t> </w:t>
      </w:r>
      <w:r>
        <w:rPr>
          <w:rFonts w:ascii="Arial" w:hAnsi="Arial"/>
          <w:color w:val="231F20"/>
          <w:spacing w:val="-2"/>
          <w:w w:val="80"/>
          <w:sz w:val="14"/>
        </w:rPr>
        <w:t>for</w:t>
      </w:r>
      <w:r>
        <w:rPr>
          <w:rFonts w:ascii="Arial" w:hAnsi="Arial"/>
          <w:color w:val="231F20"/>
          <w:spacing w:val="-6"/>
          <w:sz w:val="14"/>
        </w:rPr>
        <w:t> </w:t>
      </w:r>
      <w:r>
        <w:rPr>
          <w:rFonts w:ascii="Arial" w:hAnsi="Arial"/>
          <w:color w:val="231F20"/>
          <w:spacing w:val="-2"/>
          <w:w w:val="80"/>
          <w:sz w:val="14"/>
        </w:rPr>
        <w:t>The</w:t>
      </w:r>
      <w:r>
        <w:rPr>
          <w:rFonts w:ascii="Arial" w:hAnsi="Arial"/>
          <w:color w:val="231F20"/>
          <w:sz w:val="14"/>
        </w:rPr>
        <w:t> </w:t>
      </w:r>
      <w:r>
        <w:rPr>
          <w:rFonts w:ascii="Arial" w:hAnsi="Arial"/>
          <w:color w:val="231F20"/>
          <w:spacing w:val="-2"/>
          <w:w w:val="80"/>
          <w:sz w:val="14"/>
        </w:rPr>
        <w:t>Logistics</w:t>
      </w:r>
      <w:r>
        <w:rPr>
          <w:rFonts w:ascii="Arial" w:hAnsi="Arial"/>
          <w:color w:val="231F20"/>
          <w:sz w:val="14"/>
        </w:rPr>
        <w:t> </w:t>
      </w:r>
      <w:r>
        <w:rPr>
          <w:rFonts w:ascii="Arial" w:hAnsi="Arial"/>
          <w:color w:val="231F20"/>
          <w:spacing w:val="-2"/>
          <w:w w:val="80"/>
          <w:sz w:val="14"/>
        </w:rPr>
        <w:t>Hub</w:t>
      </w:r>
      <w:r>
        <w:rPr>
          <w:rFonts w:ascii="Arial" w:hAnsi="Arial"/>
          <w:color w:val="231F20"/>
          <w:sz w:val="14"/>
        </w:rPr>
        <w:t> </w:t>
      </w:r>
      <w:r>
        <w:rPr>
          <w:rFonts w:ascii="Arial" w:hAnsi="Arial"/>
          <w:color w:val="231F20"/>
          <w:spacing w:val="-2"/>
          <w:w w:val="80"/>
          <w:sz w:val="14"/>
        </w:rPr>
        <w:t>Location</w:t>
      </w:r>
      <w:r>
        <w:rPr>
          <w:rFonts w:ascii="Arial" w:hAnsi="Arial"/>
          <w:color w:val="231F20"/>
          <w:spacing w:val="40"/>
          <w:sz w:val="14"/>
        </w:rPr>
        <w:t> </w:t>
      </w:r>
      <w:r>
        <w:rPr>
          <w:rFonts w:ascii="Arial" w:hAnsi="Arial"/>
          <w:color w:val="231F20"/>
          <w:w w:val="85"/>
          <w:sz w:val="14"/>
        </w:rPr>
        <w:t>Problem.”</w:t>
      </w:r>
      <w:r>
        <w:rPr>
          <w:rFonts w:ascii="Arial" w:hAnsi="Arial"/>
          <w:color w:val="231F20"/>
          <w:spacing w:val="-6"/>
          <w:w w:val="85"/>
          <w:sz w:val="14"/>
        </w:rPr>
        <w:t> </w:t>
      </w:r>
      <w:r>
        <w:rPr>
          <w:rFonts w:ascii="Arial" w:hAnsi="Arial"/>
          <w:i/>
          <w:color w:val="231F20"/>
          <w:w w:val="85"/>
          <w:sz w:val="14"/>
        </w:rPr>
        <w:t>Computers</w:t>
      </w:r>
      <w:r>
        <w:rPr>
          <w:rFonts w:ascii="Arial" w:hAnsi="Arial"/>
          <w:i/>
          <w:color w:val="231F20"/>
          <w:spacing w:val="-4"/>
          <w:w w:val="85"/>
          <w:sz w:val="14"/>
        </w:rPr>
        <w:t> </w:t>
      </w:r>
      <w:r>
        <w:rPr>
          <w:rFonts w:ascii="Arial" w:hAnsi="Arial"/>
          <w:i/>
          <w:color w:val="231F20"/>
          <w:w w:val="85"/>
          <w:sz w:val="14"/>
        </w:rPr>
        <w:t>&amp;</w:t>
      </w:r>
      <w:r>
        <w:rPr>
          <w:rFonts w:ascii="Arial" w:hAnsi="Arial"/>
          <w:i/>
          <w:color w:val="231F20"/>
          <w:spacing w:val="-3"/>
          <w:w w:val="85"/>
          <w:sz w:val="14"/>
        </w:rPr>
        <w:t> </w:t>
      </w:r>
      <w:r>
        <w:rPr>
          <w:rFonts w:ascii="Arial" w:hAnsi="Arial"/>
          <w:i/>
          <w:color w:val="231F20"/>
          <w:w w:val="85"/>
          <w:sz w:val="14"/>
        </w:rPr>
        <w:t>Industrial</w:t>
      </w:r>
      <w:r>
        <w:rPr>
          <w:rFonts w:ascii="Arial" w:hAnsi="Arial"/>
          <w:i/>
          <w:color w:val="231F20"/>
          <w:spacing w:val="-4"/>
          <w:w w:val="85"/>
          <w:sz w:val="14"/>
        </w:rPr>
        <w:t> </w:t>
      </w:r>
      <w:r>
        <w:rPr>
          <w:rFonts w:ascii="Arial" w:hAnsi="Arial"/>
          <w:i/>
          <w:color w:val="231F20"/>
          <w:w w:val="85"/>
          <w:sz w:val="14"/>
        </w:rPr>
        <w:t>Engineering</w:t>
      </w:r>
      <w:r>
        <w:rPr>
          <w:rFonts w:ascii="Arial" w:hAnsi="Arial"/>
          <w:i/>
          <w:color w:val="231F20"/>
          <w:spacing w:val="-4"/>
          <w:w w:val="85"/>
          <w:sz w:val="14"/>
        </w:rPr>
        <w:t> </w:t>
      </w:r>
      <w:r>
        <w:rPr>
          <w:rFonts w:ascii="Arial" w:hAnsi="Arial"/>
          <w:color w:val="231F20"/>
          <w:w w:val="85"/>
          <w:sz w:val="14"/>
        </w:rPr>
        <w:t>146:</w:t>
      </w:r>
      <w:r>
        <w:rPr>
          <w:rFonts w:ascii="Arial" w:hAnsi="Arial"/>
          <w:color w:val="231F20"/>
          <w:spacing w:val="-5"/>
          <w:w w:val="85"/>
          <w:sz w:val="14"/>
        </w:rPr>
        <w:t> </w:t>
      </w:r>
      <w:r>
        <w:rPr>
          <w:rFonts w:ascii="Arial" w:hAnsi="Arial"/>
          <w:color w:val="231F20"/>
          <w:w w:val="85"/>
          <w:sz w:val="14"/>
        </w:rPr>
        <w:t>106488.</w:t>
      </w:r>
    </w:p>
    <w:p>
      <w:pPr>
        <w:spacing w:line="297" w:lineRule="auto" w:before="1"/>
        <w:ind w:left="3599" w:right="0" w:hanging="240"/>
        <w:jc w:val="left"/>
        <w:rPr>
          <w:rFonts w:ascii="Arial" w:hAnsi="Arial"/>
          <w:sz w:val="14"/>
        </w:rPr>
      </w:pPr>
      <w:r>
        <w:rPr>
          <w:rFonts w:ascii="Arial" w:hAnsi="Arial"/>
          <w:color w:val="231F20"/>
          <w:w w:val="85"/>
          <w:sz w:val="14"/>
        </w:rPr>
        <w:t>Siddiqui,</w:t>
      </w:r>
      <w:r>
        <w:rPr>
          <w:rFonts w:ascii="Arial" w:hAnsi="Arial"/>
          <w:color w:val="231F20"/>
          <w:spacing w:val="-6"/>
          <w:w w:val="85"/>
          <w:sz w:val="14"/>
        </w:rPr>
        <w:t> </w:t>
      </w:r>
      <w:r>
        <w:rPr>
          <w:rFonts w:ascii="Arial" w:hAnsi="Arial"/>
          <w:color w:val="231F20"/>
          <w:w w:val="85"/>
          <w:sz w:val="14"/>
        </w:rPr>
        <w:t>D.,</w:t>
      </w:r>
      <w:r>
        <w:rPr>
          <w:rFonts w:ascii="Arial" w:hAnsi="Arial"/>
          <w:color w:val="231F20"/>
          <w:spacing w:val="-5"/>
          <w:w w:val="85"/>
          <w:sz w:val="14"/>
        </w:rPr>
        <w:t> </w:t>
      </w:r>
      <w:r>
        <w:rPr>
          <w:rFonts w:ascii="Arial" w:hAnsi="Arial"/>
          <w:color w:val="231F20"/>
          <w:w w:val="85"/>
          <w:sz w:val="14"/>
        </w:rPr>
        <w:t>and D.</w:t>
      </w:r>
      <w:r>
        <w:rPr>
          <w:rFonts w:ascii="Arial" w:hAnsi="Arial"/>
          <w:color w:val="231F20"/>
          <w:spacing w:val="-1"/>
          <w:w w:val="85"/>
          <w:sz w:val="14"/>
        </w:rPr>
        <w:t> </w:t>
      </w:r>
      <w:r>
        <w:rPr>
          <w:rFonts w:ascii="Arial" w:hAnsi="Arial"/>
          <w:color w:val="231F20"/>
          <w:w w:val="85"/>
          <w:sz w:val="14"/>
        </w:rPr>
        <w:t>Syed.</w:t>
      </w:r>
      <w:r>
        <w:rPr>
          <w:rFonts w:ascii="Arial" w:hAnsi="Arial"/>
          <w:color w:val="231F20"/>
          <w:spacing w:val="-1"/>
          <w:w w:val="85"/>
          <w:sz w:val="14"/>
        </w:rPr>
        <w:t> </w:t>
      </w:r>
      <w:r>
        <w:rPr>
          <w:rFonts w:ascii="Arial" w:hAnsi="Arial"/>
          <w:color w:val="231F20"/>
          <w:w w:val="85"/>
          <w:sz w:val="14"/>
        </w:rPr>
        <w:t>2019.</w:t>
      </w:r>
      <w:r>
        <w:rPr>
          <w:rFonts w:ascii="Arial" w:hAnsi="Arial"/>
          <w:color w:val="231F20"/>
          <w:spacing w:val="-6"/>
          <w:w w:val="85"/>
          <w:sz w:val="14"/>
        </w:rPr>
        <w:t> </w:t>
      </w:r>
      <w:r>
        <w:rPr>
          <w:rFonts w:ascii="Arial" w:hAnsi="Arial"/>
          <w:color w:val="231F20"/>
          <w:w w:val="85"/>
          <w:sz w:val="14"/>
        </w:rPr>
        <w:t>“Impact of</w:t>
      </w:r>
      <w:r>
        <w:rPr>
          <w:rFonts w:ascii="Arial" w:hAnsi="Arial"/>
          <w:color w:val="231F20"/>
          <w:spacing w:val="-1"/>
          <w:w w:val="85"/>
          <w:sz w:val="14"/>
        </w:rPr>
        <w:t> </w:t>
      </w:r>
      <w:r>
        <w:rPr>
          <w:rFonts w:ascii="Arial" w:hAnsi="Arial"/>
          <w:color w:val="231F20"/>
          <w:w w:val="85"/>
          <w:sz w:val="14"/>
        </w:rPr>
        <w:t>Outsourcing</w:t>
      </w:r>
      <w:r>
        <w:rPr>
          <w:rFonts w:ascii="Arial" w:hAnsi="Arial"/>
          <w:color w:val="231F20"/>
          <w:spacing w:val="-1"/>
          <w:w w:val="85"/>
          <w:sz w:val="14"/>
        </w:rPr>
        <w:t> </w:t>
      </w:r>
      <w:r>
        <w:rPr>
          <w:rFonts w:ascii="Arial" w:hAnsi="Arial"/>
          <w:color w:val="231F20"/>
          <w:w w:val="85"/>
          <w:sz w:val="14"/>
        </w:rPr>
        <w:t>and</w:t>
      </w:r>
      <w:r>
        <w:rPr>
          <w:rFonts w:ascii="Arial" w:hAnsi="Arial"/>
          <w:color w:val="231F20"/>
          <w:spacing w:val="-1"/>
          <w:w w:val="85"/>
          <w:sz w:val="14"/>
        </w:rPr>
        <w:t> </w:t>
      </w:r>
      <w:r>
        <w:rPr>
          <w:rFonts w:ascii="Arial" w:hAnsi="Arial"/>
          <w:color w:val="231F20"/>
          <w:w w:val="85"/>
          <w:sz w:val="14"/>
        </w:rPr>
        <w:t>Other</w:t>
      </w:r>
      <w:r>
        <w:rPr>
          <w:rFonts w:ascii="Arial" w:hAnsi="Arial"/>
          <w:color w:val="231F20"/>
          <w:spacing w:val="40"/>
          <w:sz w:val="14"/>
        </w:rPr>
        <w:t> </w:t>
      </w:r>
      <w:r>
        <w:rPr>
          <w:rFonts w:ascii="Arial" w:hAnsi="Arial"/>
          <w:color w:val="231F20"/>
          <w:w w:val="75"/>
          <w:sz w:val="14"/>
        </w:rPr>
        <w:t>Factors</w:t>
      </w:r>
      <w:r>
        <w:rPr>
          <w:rFonts w:ascii="Arial" w:hAnsi="Arial"/>
          <w:color w:val="231F20"/>
          <w:sz w:val="14"/>
        </w:rPr>
        <w:t> </w:t>
      </w:r>
      <w:r>
        <w:rPr>
          <w:rFonts w:ascii="Arial" w:hAnsi="Arial"/>
          <w:color w:val="231F20"/>
          <w:w w:val="75"/>
          <w:sz w:val="14"/>
        </w:rPr>
        <w:t>on</w:t>
      </w:r>
      <w:r>
        <w:rPr>
          <w:rFonts w:ascii="Arial" w:hAnsi="Arial"/>
          <w:color w:val="231F20"/>
          <w:sz w:val="14"/>
        </w:rPr>
        <w:t> </w:t>
      </w:r>
      <w:r>
        <w:rPr>
          <w:rFonts w:ascii="Arial" w:hAnsi="Arial"/>
          <w:color w:val="231F20"/>
          <w:w w:val="75"/>
          <w:sz w:val="14"/>
        </w:rPr>
        <w:t>Logistics</w:t>
      </w:r>
      <w:r>
        <w:rPr>
          <w:rFonts w:ascii="Arial" w:hAnsi="Arial"/>
          <w:color w:val="231F20"/>
          <w:sz w:val="14"/>
        </w:rPr>
        <w:t> </w:t>
      </w:r>
      <w:r>
        <w:rPr>
          <w:rFonts w:ascii="Arial" w:hAnsi="Arial"/>
          <w:color w:val="231F20"/>
          <w:w w:val="75"/>
          <w:sz w:val="14"/>
        </w:rPr>
        <w:t>Performance</w:t>
      </w:r>
      <w:r>
        <w:rPr>
          <w:rFonts w:ascii="Arial" w:hAnsi="Arial"/>
          <w:color w:val="231F20"/>
          <w:sz w:val="14"/>
        </w:rPr>
        <w:t> </w:t>
      </w:r>
      <w:r>
        <w:rPr>
          <w:rFonts w:ascii="Arial" w:hAnsi="Arial"/>
          <w:color w:val="231F20"/>
          <w:w w:val="75"/>
          <w:sz w:val="14"/>
        </w:rPr>
        <w:t>in</w:t>
      </w:r>
      <w:r>
        <w:rPr>
          <w:rFonts w:ascii="Arial" w:hAnsi="Arial"/>
          <w:color w:val="231F20"/>
          <w:sz w:val="14"/>
        </w:rPr>
        <w:t> </w:t>
      </w:r>
      <w:r>
        <w:rPr>
          <w:rFonts w:ascii="Arial" w:hAnsi="Arial"/>
          <w:color w:val="231F20"/>
          <w:w w:val="75"/>
          <w:sz w:val="14"/>
        </w:rPr>
        <w:t>FMCG</w:t>
      </w:r>
      <w:r>
        <w:rPr>
          <w:rFonts w:ascii="Arial" w:hAnsi="Arial"/>
          <w:color w:val="231F20"/>
          <w:sz w:val="14"/>
        </w:rPr>
        <w:t> </w:t>
      </w:r>
      <w:r>
        <w:rPr>
          <w:rFonts w:ascii="Arial" w:hAnsi="Arial"/>
          <w:color w:val="231F20"/>
          <w:w w:val="75"/>
          <w:sz w:val="14"/>
        </w:rPr>
        <w:t>Sector</w:t>
      </w:r>
      <w:r>
        <w:rPr>
          <w:rFonts w:ascii="Arial" w:hAnsi="Arial"/>
          <w:color w:val="231F20"/>
          <w:sz w:val="14"/>
        </w:rPr>
        <w:t> </w:t>
      </w:r>
      <w:r>
        <w:rPr>
          <w:rFonts w:ascii="Arial" w:hAnsi="Arial"/>
          <w:color w:val="231F20"/>
          <w:w w:val="75"/>
          <w:sz w:val="14"/>
        </w:rPr>
        <w:t>of</w:t>
      </w:r>
      <w:r>
        <w:rPr>
          <w:rFonts w:ascii="Arial" w:hAnsi="Arial"/>
          <w:color w:val="231F20"/>
          <w:sz w:val="14"/>
        </w:rPr>
        <w:t> </w:t>
      </w:r>
      <w:r>
        <w:rPr>
          <w:rFonts w:ascii="Arial" w:hAnsi="Arial"/>
          <w:color w:val="231F20"/>
          <w:w w:val="75"/>
          <w:sz w:val="14"/>
        </w:rPr>
        <w:t>Pakistan.” </w:t>
      </w:r>
      <w:r>
        <w:rPr>
          <w:rFonts w:ascii="Arial" w:hAnsi="Arial"/>
          <w:i/>
          <w:color w:val="231F20"/>
          <w:w w:val="75"/>
          <w:sz w:val="14"/>
        </w:rPr>
        <w:t>SSRN</w:t>
      </w:r>
      <w:r>
        <w:rPr>
          <w:rFonts w:ascii="Arial" w:hAnsi="Arial"/>
          <w:i/>
          <w:color w:val="231F20"/>
          <w:spacing w:val="40"/>
          <w:sz w:val="14"/>
        </w:rPr>
        <w:t> </w:t>
      </w:r>
      <w:r>
        <w:rPr>
          <w:rFonts w:ascii="Arial" w:hAnsi="Arial"/>
          <w:i/>
          <w:color w:val="231F20"/>
          <w:w w:val="90"/>
          <w:sz w:val="14"/>
        </w:rPr>
        <w:t>Electronic</w:t>
      </w:r>
      <w:r>
        <w:rPr>
          <w:rFonts w:ascii="Arial" w:hAnsi="Arial"/>
          <w:i/>
          <w:color w:val="231F20"/>
          <w:spacing w:val="-6"/>
          <w:w w:val="90"/>
          <w:sz w:val="14"/>
        </w:rPr>
        <w:t> </w:t>
      </w:r>
      <w:r>
        <w:rPr>
          <w:rFonts w:ascii="Arial" w:hAnsi="Arial"/>
          <w:i/>
          <w:color w:val="231F20"/>
          <w:w w:val="90"/>
          <w:sz w:val="14"/>
        </w:rPr>
        <w:t>Journal</w:t>
      </w:r>
      <w:r>
        <w:rPr>
          <w:rFonts w:ascii="Arial" w:hAnsi="Arial"/>
          <w:color w:val="231F20"/>
          <w:w w:val="90"/>
          <w:sz w:val="14"/>
        </w:rPr>
        <w:t>.</w:t>
      </w:r>
    </w:p>
    <w:p>
      <w:pPr>
        <w:spacing w:line="297" w:lineRule="auto" w:before="1"/>
        <w:ind w:left="3599" w:right="6" w:hanging="240"/>
        <w:jc w:val="both"/>
        <w:rPr>
          <w:rFonts w:ascii="Arial" w:hAnsi="Arial"/>
          <w:sz w:val="14"/>
        </w:rPr>
      </w:pPr>
      <w:r>
        <w:rPr>
          <w:rFonts w:ascii="Arial" w:hAnsi="Arial"/>
          <w:color w:val="231F20"/>
          <w:w w:val="80"/>
          <w:sz w:val="14"/>
        </w:rPr>
        <w:t>Silva,</w:t>
      </w:r>
      <w:r>
        <w:rPr>
          <w:rFonts w:ascii="Arial" w:hAnsi="Arial"/>
          <w:color w:val="231F20"/>
          <w:spacing w:val="-2"/>
          <w:w w:val="80"/>
          <w:sz w:val="14"/>
        </w:rPr>
        <w:t> </w:t>
      </w:r>
      <w:r>
        <w:rPr>
          <w:rFonts w:ascii="Arial" w:hAnsi="Arial"/>
          <w:color w:val="231F20"/>
          <w:w w:val="80"/>
          <w:sz w:val="14"/>
        </w:rPr>
        <w:t>O. C.</w:t>
      </w:r>
      <w:r>
        <w:rPr>
          <w:rFonts w:ascii="Arial" w:hAnsi="Arial"/>
          <w:color w:val="231F20"/>
          <w:spacing w:val="-2"/>
          <w:w w:val="80"/>
          <w:sz w:val="14"/>
        </w:rPr>
        <w:t> </w:t>
      </w:r>
      <w:r>
        <w:rPr>
          <w:rFonts w:ascii="Arial" w:hAnsi="Arial"/>
          <w:color w:val="231F20"/>
          <w:w w:val="80"/>
          <w:sz w:val="14"/>
        </w:rPr>
        <w:t>T.,</w:t>
      </w:r>
      <w:r>
        <w:rPr>
          <w:rFonts w:ascii="Arial" w:hAnsi="Arial"/>
          <w:color w:val="231F20"/>
          <w:spacing w:val="-2"/>
          <w:w w:val="80"/>
          <w:sz w:val="14"/>
        </w:rPr>
        <w:t> </w:t>
      </w:r>
      <w:r>
        <w:rPr>
          <w:rFonts w:ascii="Arial" w:hAnsi="Arial"/>
          <w:color w:val="231F20"/>
          <w:w w:val="80"/>
          <w:sz w:val="14"/>
        </w:rPr>
        <w:t>and J. C. Leite. 2019.</w:t>
      </w:r>
      <w:r>
        <w:rPr>
          <w:rFonts w:ascii="Arial" w:hAnsi="Arial"/>
          <w:color w:val="231F20"/>
          <w:spacing w:val="-2"/>
          <w:w w:val="80"/>
          <w:sz w:val="14"/>
        </w:rPr>
        <w:t> </w:t>
      </w:r>
      <w:r>
        <w:rPr>
          <w:rFonts w:ascii="Arial" w:hAnsi="Arial"/>
          <w:color w:val="231F20"/>
          <w:w w:val="80"/>
          <w:sz w:val="14"/>
        </w:rPr>
        <w:t>“Logistics Platform (LP)</w:t>
      </w:r>
      <w:r>
        <w:rPr>
          <w:rFonts w:ascii="Arial" w:hAnsi="Arial"/>
          <w:color w:val="231F20"/>
          <w:spacing w:val="-2"/>
          <w:w w:val="80"/>
          <w:sz w:val="14"/>
        </w:rPr>
        <w:t> </w:t>
      </w:r>
      <w:r>
        <w:rPr>
          <w:rFonts w:ascii="Arial" w:hAnsi="Arial"/>
          <w:color w:val="231F20"/>
          <w:w w:val="80"/>
          <w:sz w:val="14"/>
        </w:rPr>
        <w:t>Approach in</w:t>
      </w:r>
      <w:r>
        <w:rPr>
          <w:rFonts w:ascii="Arial" w:hAnsi="Arial"/>
          <w:color w:val="231F20"/>
          <w:spacing w:val="40"/>
          <w:sz w:val="14"/>
        </w:rPr>
        <w:t> </w:t>
      </w:r>
      <w:r>
        <w:rPr>
          <w:rFonts w:ascii="Arial" w:hAnsi="Arial"/>
          <w:color w:val="231F20"/>
          <w:w w:val="75"/>
          <w:sz w:val="14"/>
        </w:rPr>
        <w:t>the</w:t>
      </w:r>
      <w:r>
        <w:rPr>
          <w:rFonts w:ascii="Arial" w:hAnsi="Arial"/>
          <w:color w:val="231F20"/>
          <w:sz w:val="14"/>
        </w:rPr>
        <w:t> </w:t>
      </w:r>
      <w:r>
        <w:rPr>
          <w:rFonts w:ascii="Arial" w:hAnsi="Arial"/>
          <w:color w:val="231F20"/>
          <w:w w:val="75"/>
          <w:sz w:val="14"/>
        </w:rPr>
        <w:t>Stakeholders View.” </w:t>
      </w:r>
      <w:r>
        <w:rPr>
          <w:rFonts w:ascii="Arial" w:hAnsi="Arial"/>
          <w:i/>
          <w:color w:val="231F20"/>
          <w:w w:val="75"/>
          <w:sz w:val="14"/>
        </w:rPr>
        <w:t>International</w:t>
      </w:r>
      <w:r>
        <w:rPr>
          <w:rFonts w:ascii="Arial" w:hAnsi="Arial"/>
          <w:i/>
          <w:color w:val="231F20"/>
          <w:sz w:val="14"/>
        </w:rPr>
        <w:t> </w:t>
      </w:r>
      <w:r>
        <w:rPr>
          <w:rFonts w:ascii="Arial" w:hAnsi="Arial"/>
          <w:i/>
          <w:color w:val="231F20"/>
          <w:w w:val="75"/>
          <w:sz w:val="14"/>
        </w:rPr>
        <w:t>Journal</w:t>
      </w:r>
      <w:r>
        <w:rPr>
          <w:rFonts w:ascii="Arial" w:hAnsi="Arial"/>
          <w:i/>
          <w:color w:val="231F20"/>
          <w:sz w:val="14"/>
        </w:rPr>
        <w:t> </w:t>
      </w:r>
      <w:r>
        <w:rPr>
          <w:rFonts w:ascii="Arial" w:hAnsi="Arial"/>
          <w:i/>
          <w:color w:val="231F20"/>
          <w:w w:val="75"/>
          <w:sz w:val="14"/>
        </w:rPr>
        <w:t>of Advanced</w:t>
      </w:r>
      <w:r>
        <w:rPr>
          <w:rFonts w:ascii="Arial" w:hAnsi="Arial"/>
          <w:i/>
          <w:color w:val="231F20"/>
          <w:sz w:val="14"/>
        </w:rPr>
        <w:t> </w:t>
      </w:r>
      <w:r>
        <w:rPr>
          <w:rFonts w:ascii="Arial" w:hAnsi="Arial"/>
          <w:i/>
          <w:color w:val="231F20"/>
          <w:w w:val="75"/>
          <w:sz w:val="14"/>
        </w:rPr>
        <w:t>Engineering</w:t>
      </w:r>
      <w:r>
        <w:rPr>
          <w:rFonts w:ascii="Arial" w:hAnsi="Arial"/>
          <w:i/>
          <w:color w:val="231F20"/>
          <w:spacing w:val="40"/>
          <w:sz w:val="14"/>
        </w:rPr>
        <w:t> </w:t>
      </w:r>
      <w:r>
        <w:rPr>
          <w:rFonts w:ascii="Arial" w:hAnsi="Arial"/>
          <w:i/>
          <w:color w:val="231F20"/>
          <w:w w:val="85"/>
          <w:sz w:val="14"/>
        </w:rPr>
        <w:t>Research and Science </w:t>
      </w:r>
      <w:r>
        <w:rPr>
          <w:rFonts w:ascii="Arial" w:hAnsi="Arial"/>
          <w:color w:val="231F20"/>
          <w:w w:val="85"/>
          <w:sz w:val="14"/>
        </w:rPr>
        <w:t>6 (7):</w:t>
      </w:r>
      <w:r>
        <w:rPr>
          <w:rFonts w:ascii="Arial" w:hAnsi="Arial"/>
          <w:color w:val="231F20"/>
          <w:spacing w:val="-2"/>
          <w:w w:val="85"/>
          <w:sz w:val="14"/>
        </w:rPr>
        <w:t> </w:t>
      </w:r>
      <w:r>
        <w:rPr>
          <w:rFonts w:ascii="Arial" w:hAnsi="Arial"/>
          <w:color w:val="231F20"/>
          <w:w w:val="85"/>
          <w:sz w:val="14"/>
        </w:rPr>
        <w:t>436–453.</w:t>
      </w:r>
    </w:p>
    <w:p>
      <w:pPr>
        <w:spacing w:line="297" w:lineRule="auto" w:before="1"/>
        <w:ind w:left="3599" w:right="0" w:hanging="240"/>
        <w:jc w:val="left"/>
        <w:rPr>
          <w:rFonts w:ascii="Arial" w:hAnsi="Arial"/>
          <w:sz w:val="14"/>
        </w:rPr>
      </w:pPr>
      <w:r>
        <w:rPr>
          <w:rFonts w:ascii="Arial" w:hAnsi="Arial"/>
          <w:color w:val="231F20"/>
          <w:w w:val="80"/>
          <w:sz w:val="14"/>
        </w:rPr>
        <w:t>Sinha,</w:t>
      </w:r>
      <w:r>
        <w:rPr>
          <w:rFonts w:ascii="Arial" w:hAnsi="Arial"/>
          <w:color w:val="231F20"/>
          <w:spacing w:val="-4"/>
          <w:w w:val="80"/>
          <w:sz w:val="14"/>
        </w:rPr>
        <w:t> </w:t>
      </w:r>
      <w:r>
        <w:rPr>
          <w:rFonts w:ascii="Arial" w:hAnsi="Arial"/>
          <w:color w:val="231F20"/>
          <w:w w:val="80"/>
          <w:sz w:val="14"/>
        </w:rPr>
        <w:t>D.</w:t>
      </w:r>
      <w:r>
        <w:rPr>
          <w:rFonts w:ascii="Arial" w:hAnsi="Arial"/>
          <w:color w:val="231F20"/>
          <w:spacing w:val="-2"/>
          <w:w w:val="80"/>
          <w:sz w:val="14"/>
        </w:rPr>
        <w:t> </w:t>
      </w:r>
      <w:r>
        <w:rPr>
          <w:rFonts w:ascii="Arial" w:hAnsi="Arial"/>
          <w:color w:val="231F20"/>
          <w:w w:val="80"/>
          <w:sz w:val="14"/>
        </w:rPr>
        <w:t>2020.</w:t>
      </w:r>
      <w:r>
        <w:rPr>
          <w:rFonts w:ascii="Arial" w:hAnsi="Arial"/>
          <w:color w:val="231F20"/>
          <w:spacing w:val="-3"/>
          <w:w w:val="80"/>
          <w:sz w:val="14"/>
        </w:rPr>
        <w:t> </w:t>
      </w:r>
      <w:r>
        <w:rPr>
          <w:rFonts w:ascii="Arial" w:hAnsi="Arial"/>
          <w:color w:val="231F20"/>
          <w:w w:val="80"/>
          <w:sz w:val="14"/>
        </w:rPr>
        <w:t>“Efficiency</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2"/>
          <w:w w:val="80"/>
          <w:sz w:val="14"/>
        </w:rPr>
        <w:t> </w:t>
      </w:r>
      <w:r>
        <w:rPr>
          <w:rFonts w:ascii="Arial" w:hAnsi="Arial"/>
          <w:color w:val="231F20"/>
          <w:w w:val="80"/>
          <w:sz w:val="14"/>
        </w:rPr>
        <w:t>Performance</w:t>
      </w:r>
      <w:r>
        <w:rPr>
          <w:rFonts w:ascii="Arial" w:hAnsi="Arial"/>
          <w:color w:val="231F20"/>
          <w:spacing w:val="-2"/>
          <w:w w:val="8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Global</w:t>
      </w:r>
      <w:r>
        <w:rPr>
          <w:rFonts w:ascii="Arial" w:hAnsi="Arial"/>
          <w:color w:val="231F20"/>
          <w:spacing w:val="-2"/>
          <w:w w:val="80"/>
          <w:sz w:val="14"/>
        </w:rPr>
        <w:t> </w:t>
      </w:r>
      <w:r>
        <w:rPr>
          <w:rFonts w:ascii="Arial" w:hAnsi="Arial"/>
          <w:color w:val="231F20"/>
          <w:w w:val="80"/>
          <w:sz w:val="14"/>
        </w:rPr>
        <w:t>Supply</w:t>
      </w:r>
      <w:r>
        <w:rPr>
          <w:rFonts w:ascii="Arial" w:hAnsi="Arial"/>
          <w:color w:val="231F20"/>
          <w:spacing w:val="-2"/>
          <w:w w:val="80"/>
          <w:sz w:val="14"/>
        </w:rPr>
        <w:t> </w:t>
      </w:r>
      <w:r>
        <w:rPr>
          <w:rFonts w:ascii="Arial" w:hAnsi="Arial"/>
          <w:color w:val="231F20"/>
          <w:w w:val="80"/>
          <w:sz w:val="14"/>
        </w:rPr>
        <w:t>Chain:</w:t>
      </w:r>
      <w:r>
        <w:rPr>
          <w:rFonts w:ascii="Arial" w:hAnsi="Arial"/>
          <w:color w:val="231F20"/>
          <w:spacing w:val="40"/>
          <w:sz w:val="14"/>
        </w:rPr>
        <w:t> </w:t>
      </w:r>
      <w:r>
        <w:rPr>
          <w:rFonts w:ascii="Arial" w:hAnsi="Arial"/>
          <w:color w:val="231F20"/>
          <w:w w:val="80"/>
          <w:sz w:val="14"/>
        </w:rPr>
        <w:t>Theory and Evidence.” </w:t>
      </w:r>
      <w:r>
        <w:rPr>
          <w:rFonts w:ascii="Arial" w:hAnsi="Arial"/>
          <w:i/>
          <w:color w:val="231F20"/>
          <w:w w:val="80"/>
          <w:sz w:val="14"/>
        </w:rPr>
        <w:t>Foreign Trade Review </w:t>
      </w:r>
      <w:r>
        <w:rPr>
          <w:rFonts w:ascii="Arial" w:hAnsi="Arial"/>
          <w:color w:val="231F20"/>
          <w:w w:val="80"/>
          <w:sz w:val="14"/>
        </w:rPr>
        <w:t>55 (4): 447–449.</w:t>
      </w:r>
    </w:p>
    <w:p>
      <w:pPr>
        <w:spacing w:line="297" w:lineRule="auto" w:before="1"/>
        <w:ind w:left="3599" w:right="142" w:hanging="240"/>
        <w:jc w:val="left"/>
        <w:rPr>
          <w:rFonts w:ascii="Arial" w:hAnsi="Arial"/>
          <w:sz w:val="14"/>
        </w:rPr>
      </w:pPr>
      <w:r>
        <w:rPr>
          <w:rFonts w:ascii="Arial" w:hAnsi="Arial"/>
          <w:color w:val="231F20"/>
          <w:spacing w:val="-2"/>
          <w:w w:val="85"/>
          <w:sz w:val="14"/>
        </w:rPr>
        <w:t>Ssenyonga, M.</w:t>
      </w:r>
      <w:r>
        <w:rPr>
          <w:rFonts w:ascii="Arial" w:hAnsi="Arial"/>
          <w:color w:val="231F20"/>
          <w:sz w:val="14"/>
        </w:rPr>
        <w:t> </w:t>
      </w:r>
      <w:r>
        <w:rPr>
          <w:rFonts w:ascii="Arial" w:hAnsi="Arial"/>
          <w:color w:val="231F20"/>
          <w:spacing w:val="-2"/>
          <w:w w:val="85"/>
          <w:sz w:val="14"/>
        </w:rPr>
        <w:t>2021. “Imperatives</w:t>
      </w:r>
      <w:r>
        <w:rPr>
          <w:rFonts w:ascii="Arial" w:hAnsi="Arial"/>
          <w:color w:val="231F20"/>
          <w:sz w:val="14"/>
        </w:rPr>
        <w:t> </w:t>
      </w:r>
      <w:r>
        <w:rPr>
          <w:rFonts w:ascii="Arial" w:hAnsi="Arial"/>
          <w:color w:val="231F20"/>
          <w:spacing w:val="-2"/>
          <w:w w:val="85"/>
          <w:sz w:val="14"/>
        </w:rPr>
        <w:t>for</w:t>
      </w:r>
      <w:r>
        <w:rPr>
          <w:rFonts w:ascii="Arial" w:hAnsi="Arial"/>
          <w:color w:val="231F20"/>
          <w:sz w:val="14"/>
        </w:rPr>
        <w:t> </w:t>
      </w:r>
      <w:r>
        <w:rPr>
          <w:rFonts w:ascii="Arial" w:hAnsi="Arial"/>
          <w:color w:val="231F20"/>
          <w:spacing w:val="-2"/>
          <w:w w:val="85"/>
          <w:sz w:val="14"/>
        </w:rPr>
        <w:t>Post</w:t>
      </w:r>
      <w:r>
        <w:rPr>
          <w:rFonts w:ascii="Arial" w:hAnsi="Arial"/>
          <w:color w:val="231F20"/>
          <w:sz w:val="14"/>
        </w:rPr>
        <w:t> </w:t>
      </w:r>
      <w:r>
        <w:rPr>
          <w:rFonts w:ascii="Arial" w:hAnsi="Arial"/>
          <w:color w:val="231F20"/>
          <w:spacing w:val="-2"/>
          <w:w w:val="85"/>
          <w:sz w:val="14"/>
        </w:rPr>
        <w:t>COVID-19</w:t>
      </w:r>
      <w:r>
        <w:rPr>
          <w:rFonts w:ascii="Arial" w:hAnsi="Arial"/>
          <w:color w:val="231F20"/>
          <w:sz w:val="14"/>
        </w:rPr>
        <w:t> </w:t>
      </w:r>
      <w:r>
        <w:rPr>
          <w:rFonts w:ascii="Arial" w:hAnsi="Arial"/>
          <w:color w:val="231F20"/>
          <w:spacing w:val="-2"/>
          <w:w w:val="85"/>
          <w:sz w:val="14"/>
        </w:rPr>
        <w:t>Recovery</w:t>
      </w:r>
      <w:r>
        <w:rPr>
          <w:rFonts w:ascii="Arial" w:hAnsi="Arial"/>
          <w:color w:val="231F20"/>
          <w:sz w:val="14"/>
        </w:rPr>
        <w:t> </w:t>
      </w:r>
      <w:r>
        <w:rPr>
          <w:rFonts w:ascii="Arial" w:hAnsi="Arial"/>
          <w:color w:val="231F20"/>
          <w:spacing w:val="-2"/>
          <w:w w:val="85"/>
          <w:sz w:val="14"/>
        </w:rPr>
        <w:t>of</w:t>
      </w:r>
      <w:r>
        <w:rPr>
          <w:rFonts w:ascii="Arial" w:hAnsi="Arial"/>
          <w:color w:val="231F20"/>
          <w:spacing w:val="40"/>
          <w:sz w:val="14"/>
        </w:rPr>
        <w:t> </w:t>
      </w:r>
      <w:r>
        <w:rPr>
          <w:rFonts w:ascii="Arial" w:hAnsi="Arial"/>
          <w:color w:val="231F20"/>
          <w:w w:val="75"/>
          <w:sz w:val="14"/>
        </w:rPr>
        <w:t>Indonesia’s</w:t>
      </w:r>
      <w:r>
        <w:rPr>
          <w:rFonts w:ascii="Arial" w:hAnsi="Arial"/>
          <w:color w:val="231F20"/>
          <w:sz w:val="14"/>
        </w:rPr>
        <w:t> </w:t>
      </w:r>
      <w:r>
        <w:rPr>
          <w:rFonts w:ascii="Arial" w:hAnsi="Arial"/>
          <w:color w:val="231F20"/>
          <w:w w:val="75"/>
          <w:sz w:val="14"/>
        </w:rPr>
        <w:t>Education, Labor, and</w:t>
      </w:r>
      <w:r>
        <w:rPr>
          <w:rFonts w:ascii="Arial" w:hAnsi="Arial"/>
          <w:color w:val="231F20"/>
          <w:sz w:val="14"/>
        </w:rPr>
        <w:t> </w:t>
      </w:r>
      <w:r>
        <w:rPr>
          <w:rFonts w:ascii="Arial" w:hAnsi="Arial"/>
          <w:color w:val="231F20"/>
          <w:w w:val="75"/>
          <w:sz w:val="14"/>
        </w:rPr>
        <w:t>SME</w:t>
      </w:r>
      <w:r>
        <w:rPr>
          <w:rFonts w:ascii="Arial" w:hAnsi="Arial"/>
          <w:color w:val="231F20"/>
          <w:sz w:val="14"/>
        </w:rPr>
        <w:t> </w:t>
      </w:r>
      <w:r>
        <w:rPr>
          <w:rFonts w:ascii="Arial" w:hAnsi="Arial"/>
          <w:color w:val="231F20"/>
          <w:w w:val="75"/>
          <w:sz w:val="14"/>
        </w:rPr>
        <w:t>Sectors.” </w:t>
      </w:r>
      <w:r>
        <w:rPr>
          <w:rFonts w:ascii="Arial" w:hAnsi="Arial"/>
          <w:i/>
          <w:color w:val="231F20"/>
          <w:w w:val="75"/>
          <w:sz w:val="14"/>
        </w:rPr>
        <w:t>Cogent</w:t>
      </w:r>
      <w:r>
        <w:rPr>
          <w:rFonts w:ascii="Arial" w:hAnsi="Arial"/>
          <w:i/>
          <w:color w:val="231F20"/>
          <w:sz w:val="14"/>
        </w:rPr>
        <w:t> </w:t>
      </w:r>
      <w:r>
        <w:rPr>
          <w:rFonts w:ascii="Arial" w:hAnsi="Arial"/>
          <w:i/>
          <w:color w:val="231F20"/>
          <w:w w:val="75"/>
          <w:sz w:val="14"/>
        </w:rPr>
        <w:t>Economics</w:t>
      </w:r>
      <w:r>
        <w:rPr>
          <w:rFonts w:ascii="Arial" w:hAnsi="Arial"/>
          <w:i/>
          <w:color w:val="231F20"/>
          <w:spacing w:val="40"/>
          <w:sz w:val="14"/>
        </w:rPr>
        <w:t> </w:t>
      </w:r>
      <w:r>
        <w:rPr>
          <w:rFonts w:ascii="Arial" w:hAnsi="Arial"/>
          <w:i/>
          <w:color w:val="231F20"/>
          <w:w w:val="90"/>
          <w:sz w:val="14"/>
        </w:rPr>
        <w:t>&amp; Finance </w:t>
      </w:r>
      <w:r>
        <w:rPr>
          <w:rFonts w:ascii="Arial" w:hAnsi="Arial"/>
          <w:color w:val="231F20"/>
          <w:w w:val="90"/>
          <w:sz w:val="14"/>
        </w:rPr>
        <w:t>9 (1).</w:t>
      </w:r>
    </w:p>
    <w:p>
      <w:pPr>
        <w:spacing w:line="297" w:lineRule="auto" w:before="1"/>
        <w:ind w:left="3599" w:right="32" w:hanging="240"/>
        <w:jc w:val="left"/>
        <w:rPr>
          <w:rFonts w:ascii="Arial" w:hAnsi="Arial"/>
          <w:sz w:val="14"/>
        </w:rPr>
      </w:pPr>
      <w:r>
        <w:rPr>
          <w:rFonts w:ascii="Arial" w:hAnsi="Arial"/>
          <w:color w:val="231F20"/>
          <w:w w:val="85"/>
          <w:sz w:val="14"/>
        </w:rPr>
        <w:t>Steele,</w:t>
      </w:r>
      <w:r>
        <w:rPr>
          <w:rFonts w:ascii="Arial" w:hAnsi="Arial"/>
          <w:color w:val="231F20"/>
          <w:spacing w:val="-4"/>
          <w:w w:val="85"/>
          <w:sz w:val="14"/>
        </w:rPr>
        <w:t> </w:t>
      </w:r>
      <w:r>
        <w:rPr>
          <w:rFonts w:ascii="Arial" w:hAnsi="Arial"/>
          <w:color w:val="231F20"/>
          <w:w w:val="85"/>
          <w:sz w:val="14"/>
        </w:rPr>
        <w:t>P.,</w:t>
      </w:r>
      <w:r>
        <w:rPr>
          <w:rFonts w:ascii="Arial" w:hAnsi="Arial"/>
          <w:color w:val="231F20"/>
          <w:spacing w:val="-4"/>
          <w:w w:val="85"/>
          <w:sz w:val="14"/>
        </w:rPr>
        <w:t> </w:t>
      </w:r>
      <w:r>
        <w:rPr>
          <w:rFonts w:ascii="Arial" w:hAnsi="Arial"/>
          <w:color w:val="231F20"/>
          <w:w w:val="85"/>
          <w:sz w:val="14"/>
        </w:rPr>
        <w:t>L. Subramanian,</w:t>
      </w:r>
      <w:r>
        <w:rPr>
          <w:rFonts w:ascii="Arial" w:hAnsi="Arial"/>
          <w:color w:val="231F20"/>
          <w:spacing w:val="-4"/>
          <w:w w:val="85"/>
          <w:sz w:val="14"/>
        </w:rPr>
        <w:t> </w:t>
      </w:r>
      <w:r>
        <w:rPr>
          <w:rFonts w:ascii="Arial" w:hAnsi="Arial"/>
          <w:color w:val="231F20"/>
          <w:w w:val="85"/>
          <w:sz w:val="14"/>
        </w:rPr>
        <w:t>and F.</w:t>
      </w:r>
      <w:r>
        <w:rPr>
          <w:rFonts w:ascii="Arial" w:hAnsi="Arial"/>
          <w:color w:val="231F20"/>
          <w:spacing w:val="-4"/>
          <w:w w:val="85"/>
          <w:sz w:val="14"/>
        </w:rPr>
        <w:t> </w:t>
      </w:r>
      <w:r>
        <w:rPr>
          <w:rFonts w:ascii="Arial" w:hAnsi="Arial"/>
          <w:color w:val="231F20"/>
          <w:w w:val="85"/>
          <w:sz w:val="14"/>
        </w:rPr>
        <w:t>Tolani. 2019.</w:t>
      </w:r>
      <w:r>
        <w:rPr>
          <w:rFonts w:ascii="Arial" w:hAnsi="Arial"/>
          <w:color w:val="231F20"/>
          <w:spacing w:val="-4"/>
          <w:w w:val="85"/>
          <w:sz w:val="14"/>
        </w:rPr>
        <w:t> </w:t>
      </w:r>
      <w:r>
        <w:rPr>
          <w:rFonts w:ascii="Arial" w:hAnsi="Arial"/>
          <w:color w:val="231F20"/>
          <w:w w:val="85"/>
          <w:sz w:val="14"/>
        </w:rPr>
        <w:t>“Interventions to</w:t>
      </w:r>
      <w:r>
        <w:rPr>
          <w:rFonts w:ascii="Arial" w:hAnsi="Arial"/>
          <w:color w:val="231F20"/>
          <w:spacing w:val="40"/>
          <w:sz w:val="14"/>
        </w:rPr>
        <w:t> </w:t>
      </w:r>
      <w:r>
        <w:rPr>
          <w:rFonts w:ascii="Arial" w:hAnsi="Arial"/>
          <w:color w:val="231F20"/>
          <w:w w:val="80"/>
          <w:sz w:val="14"/>
        </w:rPr>
        <w:t>Improve Access to Medicine in Developing Countries: Mapping</w:t>
      </w:r>
      <w:r>
        <w:rPr>
          <w:rFonts w:ascii="Arial" w:hAnsi="Arial"/>
          <w:color w:val="231F20"/>
          <w:spacing w:val="40"/>
          <w:sz w:val="14"/>
        </w:rPr>
        <w:t> </w:t>
      </w:r>
      <w:r>
        <w:rPr>
          <w:rFonts w:ascii="Arial" w:hAnsi="Arial"/>
          <w:color w:val="231F20"/>
          <w:spacing w:val="-2"/>
          <w:w w:val="80"/>
          <w:sz w:val="14"/>
        </w:rPr>
        <w:t>WHO’s</w:t>
      </w:r>
      <w:r>
        <w:rPr>
          <w:rFonts w:ascii="Arial" w:hAnsi="Arial"/>
          <w:color w:val="231F20"/>
          <w:spacing w:val="-2"/>
          <w:sz w:val="14"/>
        </w:rPr>
        <w:t> </w:t>
      </w:r>
      <w:r>
        <w:rPr>
          <w:rFonts w:ascii="Arial" w:hAnsi="Arial"/>
          <w:color w:val="231F20"/>
          <w:spacing w:val="-2"/>
          <w:w w:val="80"/>
          <w:sz w:val="14"/>
        </w:rPr>
        <w:t>Building</w:t>
      </w:r>
      <w:r>
        <w:rPr>
          <w:rFonts w:ascii="Arial" w:hAnsi="Arial"/>
          <w:color w:val="231F20"/>
          <w:spacing w:val="-2"/>
          <w:sz w:val="14"/>
        </w:rPr>
        <w:t> </w:t>
      </w:r>
      <w:r>
        <w:rPr>
          <w:rFonts w:ascii="Arial" w:hAnsi="Arial"/>
          <w:color w:val="231F20"/>
          <w:spacing w:val="-2"/>
          <w:w w:val="80"/>
          <w:sz w:val="14"/>
        </w:rPr>
        <w:t>Blocks</w:t>
      </w:r>
      <w:r>
        <w:rPr>
          <w:rFonts w:ascii="Arial" w:hAnsi="Arial"/>
          <w:color w:val="231F20"/>
          <w:spacing w:val="-2"/>
          <w:sz w:val="14"/>
        </w:rPr>
        <w:t> </w:t>
      </w:r>
      <w:r>
        <w:rPr>
          <w:rFonts w:ascii="Arial" w:hAnsi="Arial"/>
          <w:color w:val="231F20"/>
          <w:spacing w:val="-2"/>
          <w:w w:val="80"/>
          <w:sz w:val="14"/>
        </w:rPr>
        <w:t>and</w:t>
      </w:r>
      <w:r>
        <w:rPr>
          <w:rFonts w:ascii="Arial" w:hAnsi="Arial"/>
          <w:color w:val="231F20"/>
          <w:spacing w:val="-2"/>
          <w:sz w:val="14"/>
        </w:rPr>
        <w:t> </w:t>
      </w:r>
      <w:r>
        <w:rPr>
          <w:rFonts w:ascii="Arial" w:hAnsi="Arial"/>
          <w:color w:val="231F20"/>
          <w:spacing w:val="-2"/>
          <w:w w:val="80"/>
          <w:sz w:val="14"/>
        </w:rPr>
        <w:t>Supply</w:t>
      </w:r>
      <w:r>
        <w:rPr>
          <w:rFonts w:ascii="Arial" w:hAnsi="Arial"/>
          <w:color w:val="231F20"/>
          <w:spacing w:val="-2"/>
          <w:sz w:val="14"/>
        </w:rPr>
        <w:t> </w:t>
      </w:r>
      <w:r>
        <w:rPr>
          <w:rFonts w:ascii="Arial" w:hAnsi="Arial"/>
          <w:color w:val="231F20"/>
          <w:spacing w:val="-2"/>
          <w:w w:val="80"/>
          <w:sz w:val="14"/>
        </w:rPr>
        <w:t>Chain</w:t>
      </w:r>
      <w:r>
        <w:rPr>
          <w:rFonts w:ascii="Arial" w:hAnsi="Arial"/>
          <w:color w:val="231F20"/>
          <w:spacing w:val="-2"/>
          <w:sz w:val="14"/>
        </w:rPr>
        <w:t> </w:t>
      </w:r>
      <w:r>
        <w:rPr>
          <w:rFonts w:ascii="Arial" w:hAnsi="Arial"/>
          <w:color w:val="231F20"/>
          <w:spacing w:val="-2"/>
          <w:w w:val="80"/>
          <w:sz w:val="14"/>
        </w:rPr>
        <w:t>Functions.” </w:t>
      </w:r>
      <w:r>
        <w:rPr>
          <w:rFonts w:ascii="Arial" w:hAnsi="Arial"/>
          <w:i/>
          <w:color w:val="231F20"/>
          <w:spacing w:val="-2"/>
          <w:w w:val="80"/>
          <w:sz w:val="14"/>
        </w:rPr>
        <w:t>Acta</w:t>
      </w:r>
      <w:r>
        <w:rPr>
          <w:rFonts w:ascii="Arial" w:hAnsi="Arial"/>
          <w:i/>
          <w:color w:val="231F20"/>
          <w:spacing w:val="-2"/>
          <w:sz w:val="14"/>
        </w:rPr>
        <w:t> </w:t>
      </w:r>
      <w:r>
        <w:rPr>
          <w:rFonts w:ascii="Arial" w:hAnsi="Arial"/>
          <w:i/>
          <w:color w:val="231F20"/>
          <w:spacing w:val="-2"/>
          <w:w w:val="80"/>
          <w:sz w:val="14"/>
        </w:rPr>
        <w:t>Scientific</w:t>
      </w:r>
      <w:r>
        <w:rPr>
          <w:rFonts w:ascii="Arial" w:hAnsi="Arial"/>
          <w:i/>
          <w:color w:val="231F20"/>
          <w:spacing w:val="40"/>
          <w:sz w:val="14"/>
        </w:rPr>
        <w:t> </w:t>
      </w:r>
      <w:r>
        <w:rPr>
          <w:rFonts w:ascii="Arial" w:hAnsi="Arial"/>
          <w:i/>
          <w:color w:val="231F20"/>
          <w:w w:val="85"/>
          <w:sz w:val="14"/>
        </w:rPr>
        <w:t>Pharmaceutical Sciences </w:t>
      </w:r>
      <w:r>
        <w:rPr>
          <w:rFonts w:ascii="Arial" w:hAnsi="Arial"/>
          <w:color w:val="231F20"/>
          <w:w w:val="85"/>
          <w:sz w:val="14"/>
        </w:rPr>
        <w:t>3 (7):</w:t>
      </w:r>
      <w:r>
        <w:rPr>
          <w:rFonts w:ascii="Arial" w:hAnsi="Arial"/>
          <w:color w:val="231F20"/>
          <w:spacing w:val="-1"/>
          <w:w w:val="85"/>
          <w:sz w:val="14"/>
        </w:rPr>
        <w:t> </w:t>
      </w:r>
      <w:r>
        <w:rPr>
          <w:rFonts w:ascii="Arial" w:hAnsi="Arial"/>
          <w:color w:val="231F20"/>
          <w:w w:val="85"/>
          <w:sz w:val="14"/>
        </w:rPr>
        <w:t>111–120.</w:t>
      </w:r>
    </w:p>
    <w:p>
      <w:pPr>
        <w:spacing w:line="297" w:lineRule="auto" w:before="2"/>
        <w:ind w:left="3599" w:right="252" w:hanging="240"/>
        <w:jc w:val="left"/>
        <w:rPr>
          <w:rFonts w:ascii="Arial" w:hAnsi="Arial"/>
          <w:sz w:val="14"/>
        </w:rPr>
      </w:pPr>
      <w:r>
        <w:rPr>
          <w:rFonts w:ascii="Arial" w:hAnsi="Arial"/>
          <w:color w:val="231F20"/>
          <w:w w:val="80"/>
          <w:sz w:val="14"/>
        </w:rPr>
        <w:t>Stefanova, M. 2022. “Changes in Quality and Risk Management in</w:t>
      </w:r>
      <w:r>
        <w:rPr>
          <w:rFonts w:ascii="Arial" w:hAnsi="Arial"/>
          <w:color w:val="231F20"/>
          <w:spacing w:val="40"/>
          <w:sz w:val="14"/>
        </w:rPr>
        <w:t> </w:t>
      </w:r>
      <w:r>
        <w:rPr>
          <w:rFonts w:ascii="Arial" w:hAnsi="Arial"/>
          <w:color w:val="231F20"/>
          <w:w w:val="80"/>
          <w:sz w:val="14"/>
        </w:rPr>
        <w:t>Logistics.”</w:t>
      </w:r>
      <w:r>
        <w:rPr>
          <w:rFonts w:ascii="Arial" w:hAnsi="Arial"/>
          <w:color w:val="231F20"/>
          <w:spacing w:val="-4"/>
          <w:w w:val="80"/>
          <w:sz w:val="14"/>
        </w:rPr>
        <w:t> </w:t>
      </w:r>
      <w:r>
        <w:rPr>
          <w:rFonts w:ascii="Arial" w:hAnsi="Arial"/>
          <w:i/>
          <w:color w:val="231F20"/>
          <w:w w:val="80"/>
          <w:sz w:val="14"/>
        </w:rPr>
        <w:t>Integrating</w:t>
      </w:r>
      <w:r>
        <w:rPr>
          <w:rFonts w:ascii="Arial" w:hAnsi="Arial"/>
          <w:i/>
          <w:color w:val="231F20"/>
          <w:spacing w:val="-2"/>
          <w:w w:val="80"/>
          <w:sz w:val="14"/>
        </w:rPr>
        <w:t> </w:t>
      </w:r>
      <w:r>
        <w:rPr>
          <w:rFonts w:ascii="Arial" w:hAnsi="Arial"/>
          <w:i/>
          <w:color w:val="231F20"/>
          <w:w w:val="80"/>
          <w:sz w:val="14"/>
        </w:rPr>
        <w:t>Quality</w:t>
      </w:r>
      <w:r>
        <w:rPr>
          <w:rFonts w:ascii="Arial" w:hAnsi="Arial"/>
          <w:i/>
          <w:color w:val="231F20"/>
          <w:spacing w:val="-2"/>
          <w:w w:val="80"/>
          <w:sz w:val="14"/>
        </w:rPr>
        <w:t> </w:t>
      </w:r>
      <w:r>
        <w:rPr>
          <w:rFonts w:ascii="Arial" w:hAnsi="Arial"/>
          <w:i/>
          <w:color w:val="231F20"/>
          <w:w w:val="80"/>
          <w:sz w:val="14"/>
        </w:rPr>
        <w:t>and</w:t>
      </w:r>
      <w:r>
        <w:rPr>
          <w:rFonts w:ascii="Arial" w:hAnsi="Arial"/>
          <w:i/>
          <w:color w:val="231F20"/>
          <w:spacing w:val="-2"/>
          <w:w w:val="80"/>
          <w:sz w:val="14"/>
        </w:rPr>
        <w:t> </w:t>
      </w:r>
      <w:r>
        <w:rPr>
          <w:rFonts w:ascii="Arial" w:hAnsi="Arial"/>
          <w:i/>
          <w:color w:val="231F20"/>
          <w:w w:val="80"/>
          <w:sz w:val="14"/>
        </w:rPr>
        <w:t>Risk</w:t>
      </w:r>
      <w:r>
        <w:rPr>
          <w:rFonts w:ascii="Arial" w:hAnsi="Arial"/>
          <w:i/>
          <w:color w:val="231F20"/>
          <w:spacing w:val="-1"/>
          <w:w w:val="80"/>
          <w:sz w:val="14"/>
        </w:rPr>
        <w:t> </w:t>
      </w:r>
      <w:r>
        <w:rPr>
          <w:rFonts w:ascii="Arial" w:hAnsi="Arial"/>
          <w:i/>
          <w:color w:val="231F20"/>
          <w:w w:val="80"/>
          <w:sz w:val="14"/>
        </w:rPr>
        <w:t>Management</w:t>
      </w:r>
      <w:r>
        <w:rPr>
          <w:rFonts w:ascii="Arial" w:hAnsi="Arial"/>
          <w:i/>
          <w:color w:val="231F20"/>
          <w:spacing w:val="-2"/>
          <w:w w:val="80"/>
          <w:sz w:val="14"/>
        </w:rPr>
        <w:t> </w:t>
      </w:r>
      <w:r>
        <w:rPr>
          <w:rFonts w:ascii="Arial" w:hAnsi="Arial"/>
          <w:i/>
          <w:color w:val="231F20"/>
          <w:w w:val="80"/>
          <w:sz w:val="14"/>
        </w:rPr>
        <w:t>in</w:t>
      </w:r>
      <w:r>
        <w:rPr>
          <w:rFonts w:ascii="Arial" w:hAnsi="Arial"/>
          <w:i/>
          <w:color w:val="231F20"/>
          <w:spacing w:val="-2"/>
          <w:w w:val="80"/>
          <w:sz w:val="14"/>
        </w:rPr>
        <w:t> </w:t>
      </w:r>
      <w:r>
        <w:rPr>
          <w:rFonts w:ascii="Arial" w:hAnsi="Arial"/>
          <w:i/>
          <w:color w:val="231F20"/>
          <w:w w:val="80"/>
          <w:sz w:val="14"/>
        </w:rPr>
        <w:t>Logistics</w:t>
      </w:r>
      <w:r>
        <w:rPr>
          <w:rFonts w:ascii="Arial" w:hAnsi="Arial"/>
          <w:color w:val="231F20"/>
          <w:w w:val="80"/>
          <w:sz w:val="14"/>
        </w:rPr>
        <w:t>.</w:t>
      </w:r>
      <w:r>
        <w:rPr>
          <w:rFonts w:ascii="Arial" w:hAnsi="Arial"/>
          <w:color w:val="231F20"/>
          <w:spacing w:val="40"/>
          <w:sz w:val="14"/>
        </w:rPr>
        <w:t> </w:t>
      </w:r>
      <w:r>
        <w:rPr>
          <w:rFonts w:ascii="Arial" w:hAnsi="Arial"/>
          <w:color w:val="231F20"/>
          <w:spacing w:val="-2"/>
          <w:w w:val="90"/>
          <w:sz w:val="14"/>
        </w:rPr>
        <w:t>IntechOpen.</w:t>
      </w:r>
    </w:p>
    <w:p>
      <w:pPr>
        <w:spacing w:line="297" w:lineRule="auto" w:before="1"/>
        <w:ind w:left="3599" w:right="0" w:hanging="240"/>
        <w:jc w:val="left"/>
        <w:rPr>
          <w:rFonts w:ascii="Arial" w:hAnsi="Arial"/>
          <w:sz w:val="14"/>
        </w:rPr>
      </w:pPr>
      <w:r>
        <w:rPr>
          <w:rFonts w:ascii="Arial" w:hAnsi="Arial"/>
          <w:color w:val="231F20"/>
          <w:w w:val="80"/>
          <w:sz w:val="14"/>
        </w:rPr>
        <w:t>Stojanovic, Đ. M., and J. Ivetic. 2020. “Macrologistic Performance and</w:t>
      </w:r>
      <w:r>
        <w:rPr>
          <w:rFonts w:ascii="Arial" w:hAnsi="Arial"/>
          <w:color w:val="231F20"/>
          <w:spacing w:val="40"/>
          <w:sz w:val="14"/>
        </w:rPr>
        <w:t> </w:t>
      </w:r>
      <w:r>
        <w:rPr>
          <w:rFonts w:ascii="Arial" w:hAnsi="Arial"/>
          <w:color w:val="231F20"/>
          <w:w w:val="80"/>
          <w:sz w:val="14"/>
        </w:rPr>
        <w:t>Logistics Commitments in Sales Contracts in International Supply</w:t>
      </w:r>
      <w:r>
        <w:rPr>
          <w:rFonts w:ascii="Arial" w:hAnsi="Arial"/>
          <w:color w:val="231F20"/>
          <w:spacing w:val="40"/>
          <w:sz w:val="14"/>
        </w:rPr>
        <w:t> </w:t>
      </w:r>
      <w:r>
        <w:rPr>
          <w:rFonts w:ascii="Arial" w:hAnsi="Arial"/>
          <w:color w:val="231F20"/>
          <w:w w:val="80"/>
          <w:sz w:val="14"/>
        </w:rPr>
        <w:t>Chains.”</w:t>
      </w:r>
      <w:r>
        <w:rPr>
          <w:rFonts w:ascii="Arial" w:hAnsi="Arial"/>
          <w:color w:val="231F20"/>
          <w:spacing w:val="-4"/>
          <w:w w:val="80"/>
          <w:sz w:val="14"/>
        </w:rPr>
        <w:t> </w:t>
      </w:r>
      <w:r>
        <w:rPr>
          <w:rFonts w:ascii="Arial" w:hAnsi="Arial"/>
          <w:i/>
          <w:color w:val="231F20"/>
          <w:w w:val="80"/>
          <w:sz w:val="14"/>
        </w:rPr>
        <w:t>The</w:t>
      </w:r>
      <w:r>
        <w:rPr>
          <w:rFonts w:ascii="Arial" w:hAnsi="Arial"/>
          <w:i/>
          <w:color w:val="231F20"/>
          <w:spacing w:val="-2"/>
          <w:w w:val="80"/>
          <w:sz w:val="14"/>
        </w:rPr>
        <w:t> </w:t>
      </w:r>
      <w:r>
        <w:rPr>
          <w:rFonts w:ascii="Arial" w:hAnsi="Arial"/>
          <w:i/>
          <w:color w:val="231F20"/>
          <w:w w:val="80"/>
          <w:sz w:val="14"/>
        </w:rPr>
        <w:t>International</w:t>
      </w:r>
      <w:r>
        <w:rPr>
          <w:rFonts w:ascii="Arial" w:hAnsi="Arial"/>
          <w:i/>
          <w:color w:val="231F20"/>
          <w:spacing w:val="-2"/>
          <w:w w:val="80"/>
          <w:sz w:val="14"/>
        </w:rPr>
        <w:t> </w:t>
      </w:r>
      <w:r>
        <w:rPr>
          <w:rFonts w:ascii="Arial" w:hAnsi="Arial"/>
          <w:i/>
          <w:color w:val="231F20"/>
          <w:w w:val="80"/>
          <w:sz w:val="14"/>
        </w:rPr>
        <w:t>Journal</w:t>
      </w:r>
      <w:r>
        <w:rPr>
          <w:rFonts w:ascii="Arial" w:hAnsi="Arial"/>
          <w:i/>
          <w:color w:val="231F20"/>
          <w:spacing w:val="-2"/>
          <w:w w:val="80"/>
          <w:sz w:val="14"/>
        </w:rPr>
        <w:t> </w:t>
      </w:r>
      <w:r>
        <w:rPr>
          <w:rFonts w:ascii="Arial" w:hAnsi="Arial"/>
          <w:i/>
          <w:color w:val="231F20"/>
          <w:w w:val="80"/>
          <w:sz w:val="14"/>
        </w:rPr>
        <w:t>of</w:t>
      </w:r>
      <w:r>
        <w:rPr>
          <w:rFonts w:ascii="Arial" w:hAnsi="Arial"/>
          <w:i/>
          <w:color w:val="231F20"/>
          <w:spacing w:val="-1"/>
          <w:w w:val="80"/>
          <w:sz w:val="14"/>
        </w:rPr>
        <w:t> </w:t>
      </w:r>
      <w:r>
        <w:rPr>
          <w:rFonts w:ascii="Arial" w:hAnsi="Arial"/>
          <w:i/>
          <w:color w:val="231F20"/>
          <w:w w:val="80"/>
          <w:sz w:val="14"/>
        </w:rPr>
        <w:t>Logistics</w:t>
      </w:r>
      <w:r>
        <w:rPr>
          <w:rFonts w:ascii="Arial" w:hAnsi="Arial"/>
          <w:i/>
          <w:color w:val="231F20"/>
          <w:spacing w:val="-2"/>
          <w:w w:val="80"/>
          <w:sz w:val="14"/>
        </w:rPr>
        <w:t> </w:t>
      </w:r>
      <w:r>
        <w:rPr>
          <w:rFonts w:ascii="Arial" w:hAnsi="Arial"/>
          <w:i/>
          <w:color w:val="231F20"/>
          <w:w w:val="80"/>
          <w:sz w:val="14"/>
        </w:rPr>
        <w:t>Management</w:t>
      </w:r>
      <w:r>
        <w:rPr>
          <w:rFonts w:ascii="Arial" w:hAnsi="Arial"/>
          <w:i/>
          <w:color w:val="231F20"/>
          <w:spacing w:val="-2"/>
          <w:w w:val="80"/>
          <w:sz w:val="14"/>
        </w:rPr>
        <w:t> </w:t>
      </w:r>
      <w:r>
        <w:rPr>
          <w:rFonts w:ascii="Arial" w:hAnsi="Arial"/>
          <w:color w:val="231F20"/>
          <w:w w:val="80"/>
          <w:sz w:val="14"/>
        </w:rPr>
        <w:t>31</w:t>
      </w:r>
      <w:r>
        <w:rPr>
          <w:rFonts w:ascii="Arial" w:hAnsi="Arial"/>
          <w:color w:val="231F20"/>
          <w:spacing w:val="-2"/>
          <w:w w:val="80"/>
          <w:sz w:val="14"/>
        </w:rPr>
        <w:t> </w:t>
      </w:r>
      <w:r>
        <w:rPr>
          <w:rFonts w:ascii="Arial" w:hAnsi="Arial"/>
          <w:color w:val="231F20"/>
          <w:w w:val="80"/>
          <w:sz w:val="14"/>
        </w:rPr>
        <w:t>(1):</w:t>
      </w:r>
      <w:r>
        <w:rPr>
          <w:rFonts w:ascii="Arial" w:hAnsi="Arial"/>
          <w:color w:val="231F20"/>
          <w:spacing w:val="40"/>
          <w:sz w:val="14"/>
        </w:rPr>
        <w:t> </w:t>
      </w:r>
      <w:r>
        <w:rPr>
          <w:rFonts w:ascii="Arial" w:hAnsi="Arial"/>
          <w:color w:val="231F20"/>
          <w:spacing w:val="-2"/>
          <w:w w:val="90"/>
          <w:sz w:val="14"/>
        </w:rPr>
        <w:t>59–76.</w:t>
      </w:r>
    </w:p>
    <w:p>
      <w:pPr>
        <w:spacing w:line="297" w:lineRule="auto" w:before="102"/>
        <w:ind w:left="451" w:right="650" w:hanging="240"/>
        <w:jc w:val="left"/>
        <w:rPr>
          <w:rFonts w:ascii="Arial" w:hAnsi="Arial"/>
          <w:sz w:val="14"/>
        </w:rPr>
      </w:pPr>
      <w:r>
        <w:rPr/>
        <w:br w:type="column"/>
      </w:r>
      <w:r>
        <w:rPr>
          <w:rFonts w:ascii="Arial" w:hAnsi="Arial"/>
          <w:color w:val="231F20"/>
          <w:w w:val="80"/>
          <w:sz w:val="14"/>
        </w:rPr>
        <w:t>Süer,</w:t>
      </w:r>
      <w:r>
        <w:rPr>
          <w:rFonts w:ascii="Arial" w:hAnsi="Arial"/>
          <w:color w:val="231F20"/>
          <w:spacing w:val="-9"/>
          <w:w w:val="80"/>
          <w:sz w:val="14"/>
        </w:rPr>
        <w:t> </w:t>
      </w:r>
      <w:r>
        <w:rPr>
          <w:rFonts w:ascii="Arial" w:hAnsi="Arial"/>
          <w:color w:val="231F20"/>
          <w:w w:val="80"/>
          <w:sz w:val="14"/>
        </w:rPr>
        <w:t>A.</w:t>
      </w:r>
      <w:r>
        <w:rPr>
          <w:rFonts w:ascii="Arial" w:hAnsi="Arial"/>
          <w:color w:val="231F20"/>
          <w:spacing w:val="-2"/>
          <w:w w:val="80"/>
          <w:sz w:val="14"/>
        </w:rPr>
        <w:t> </w:t>
      </w:r>
      <w:r>
        <w:rPr>
          <w:rFonts w:ascii="Arial" w:hAnsi="Arial"/>
          <w:color w:val="231F20"/>
          <w:w w:val="80"/>
          <w:sz w:val="14"/>
        </w:rPr>
        <w:t>E.-I.</w:t>
      </w:r>
      <w:r>
        <w:rPr>
          <w:rFonts w:ascii="Arial" w:hAnsi="Arial"/>
          <w:color w:val="231F20"/>
          <w:spacing w:val="-2"/>
          <w:w w:val="80"/>
          <w:sz w:val="14"/>
        </w:rPr>
        <w:t> </w:t>
      </w:r>
      <w:r>
        <w:rPr>
          <w:rFonts w:ascii="Arial" w:hAnsi="Arial"/>
          <w:color w:val="231F20"/>
          <w:w w:val="80"/>
          <w:sz w:val="14"/>
        </w:rPr>
        <w:t>2019.</w:t>
      </w:r>
      <w:r>
        <w:rPr>
          <w:rFonts w:ascii="Arial" w:hAnsi="Arial"/>
          <w:color w:val="231F20"/>
          <w:spacing w:val="-3"/>
          <w:w w:val="80"/>
          <w:sz w:val="14"/>
        </w:rPr>
        <w:t> </w:t>
      </w:r>
      <w:r>
        <w:rPr>
          <w:rFonts w:ascii="Arial" w:hAnsi="Arial"/>
          <w:color w:val="231F20"/>
          <w:w w:val="80"/>
          <w:sz w:val="14"/>
        </w:rPr>
        <w:t>“The</w:t>
      </w:r>
      <w:r>
        <w:rPr>
          <w:rFonts w:ascii="Arial" w:hAnsi="Arial"/>
          <w:color w:val="231F20"/>
          <w:spacing w:val="-2"/>
          <w:w w:val="80"/>
          <w:sz w:val="14"/>
        </w:rPr>
        <w:t> </w:t>
      </w:r>
      <w:r>
        <w:rPr>
          <w:rFonts w:ascii="Arial" w:hAnsi="Arial"/>
          <w:color w:val="231F20"/>
          <w:w w:val="80"/>
          <w:sz w:val="14"/>
        </w:rPr>
        <w:t>Role</w:t>
      </w:r>
      <w:r>
        <w:rPr>
          <w:rFonts w:ascii="Arial" w:hAnsi="Arial"/>
          <w:color w:val="231F20"/>
          <w:spacing w:val="-2"/>
          <w:w w:val="8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Customs</w:t>
      </w:r>
      <w:r>
        <w:rPr>
          <w:rFonts w:ascii="Arial" w:hAnsi="Arial"/>
          <w:color w:val="231F20"/>
          <w:spacing w:val="-3"/>
          <w:w w:val="80"/>
          <w:sz w:val="14"/>
        </w:rPr>
        <w:t> </w:t>
      </w:r>
      <w:r>
        <w:rPr>
          <w:rFonts w:ascii="Arial" w:hAnsi="Arial"/>
          <w:color w:val="231F20"/>
          <w:w w:val="80"/>
          <w:sz w:val="14"/>
        </w:rPr>
        <w:t>Administrations</w:t>
      </w:r>
      <w:r>
        <w:rPr>
          <w:rFonts w:ascii="Arial" w:hAnsi="Arial"/>
          <w:color w:val="231F20"/>
          <w:spacing w:val="-2"/>
          <w:w w:val="80"/>
          <w:sz w:val="14"/>
        </w:rPr>
        <w:t> </w:t>
      </w:r>
      <w:r>
        <w:rPr>
          <w:rFonts w:ascii="Arial" w:hAnsi="Arial"/>
          <w:color w:val="231F20"/>
          <w:w w:val="80"/>
          <w:sz w:val="14"/>
        </w:rPr>
        <w:t>in</w:t>
      </w:r>
      <w:r>
        <w:rPr>
          <w:rFonts w:ascii="Arial" w:hAnsi="Arial"/>
          <w:color w:val="231F20"/>
          <w:spacing w:val="-2"/>
          <w:w w:val="80"/>
          <w:sz w:val="14"/>
        </w:rPr>
        <w:t> </w:t>
      </w:r>
      <w:r>
        <w:rPr>
          <w:rFonts w:ascii="Arial" w:hAnsi="Arial"/>
          <w:color w:val="231F20"/>
          <w:w w:val="80"/>
          <w:sz w:val="14"/>
        </w:rPr>
        <w:t>International</w:t>
      </w:r>
      <w:r>
        <w:rPr>
          <w:rFonts w:ascii="Arial" w:hAnsi="Arial"/>
          <w:color w:val="231F20"/>
          <w:spacing w:val="40"/>
          <w:sz w:val="14"/>
        </w:rPr>
        <w:t> </w:t>
      </w:r>
      <w:r>
        <w:rPr>
          <w:rFonts w:ascii="Arial" w:hAnsi="Arial"/>
          <w:color w:val="231F20"/>
          <w:w w:val="85"/>
          <w:sz w:val="14"/>
        </w:rPr>
        <w:t>Logistics</w:t>
      </w:r>
      <w:r>
        <w:rPr>
          <w:rFonts w:ascii="Arial" w:hAnsi="Arial"/>
          <w:color w:val="231F20"/>
          <w:spacing w:val="-4"/>
          <w:w w:val="85"/>
          <w:sz w:val="14"/>
        </w:rPr>
        <w:t> </w:t>
      </w:r>
      <w:r>
        <w:rPr>
          <w:rFonts w:ascii="Arial" w:hAnsi="Arial"/>
          <w:color w:val="231F20"/>
          <w:w w:val="85"/>
          <w:sz w:val="14"/>
        </w:rPr>
        <w:t>Functions.”</w:t>
      </w:r>
      <w:r>
        <w:rPr>
          <w:rFonts w:ascii="Arial" w:hAnsi="Arial"/>
          <w:color w:val="231F20"/>
          <w:spacing w:val="-6"/>
          <w:w w:val="85"/>
          <w:sz w:val="14"/>
        </w:rPr>
        <w:t> </w:t>
      </w:r>
      <w:r>
        <w:rPr>
          <w:rFonts w:ascii="Arial" w:hAnsi="Arial"/>
          <w:i/>
          <w:color w:val="231F20"/>
          <w:w w:val="85"/>
          <w:sz w:val="14"/>
        </w:rPr>
        <w:t>Toplum</w:t>
      </w:r>
      <w:r>
        <w:rPr>
          <w:rFonts w:ascii="Arial" w:hAnsi="Arial"/>
          <w:i/>
          <w:color w:val="231F20"/>
          <w:spacing w:val="-3"/>
          <w:w w:val="85"/>
          <w:sz w:val="14"/>
        </w:rPr>
        <w:t> </w:t>
      </w:r>
      <w:r>
        <w:rPr>
          <w:rFonts w:ascii="Arial" w:hAnsi="Arial"/>
          <w:i/>
          <w:color w:val="231F20"/>
          <w:w w:val="85"/>
          <w:sz w:val="14"/>
        </w:rPr>
        <w:t>Bilimleri</w:t>
      </w:r>
      <w:r>
        <w:rPr>
          <w:rFonts w:ascii="Arial" w:hAnsi="Arial"/>
          <w:i/>
          <w:color w:val="231F20"/>
          <w:spacing w:val="-4"/>
          <w:w w:val="85"/>
          <w:sz w:val="14"/>
        </w:rPr>
        <w:t> </w:t>
      </w:r>
      <w:r>
        <w:rPr>
          <w:rFonts w:ascii="Arial" w:hAnsi="Arial"/>
          <w:i/>
          <w:color w:val="231F20"/>
          <w:w w:val="85"/>
          <w:sz w:val="14"/>
        </w:rPr>
        <w:t>Dergisi</w:t>
      </w:r>
      <w:r>
        <w:rPr>
          <w:rFonts w:ascii="Arial" w:hAnsi="Arial"/>
          <w:i/>
          <w:color w:val="231F20"/>
          <w:spacing w:val="-4"/>
          <w:w w:val="85"/>
          <w:sz w:val="14"/>
        </w:rPr>
        <w:t> </w:t>
      </w:r>
      <w:r>
        <w:rPr>
          <w:rFonts w:ascii="Arial" w:hAnsi="Arial"/>
          <w:color w:val="231F20"/>
          <w:w w:val="85"/>
          <w:sz w:val="14"/>
        </w:rPr>
        <w:t>25</w:t>
      </w:r>
      <w:r>
        <w:rPr>
          <w:rFonts w:ascii="Arial" w:hAnsi="Arial"/>
          <w:color w:val="231F20"/>
          <w:spacing w:val="-4"/>
          <w:w w:val="85"/>
          <w:sz w:val="14"/>
        </w:rPr>
        <w:t> </w:t>
      </w:r>
      <w:r>
        <w:rPr>
          <w:rFonts w:ascii="Arial" w:hAnsi="Arial"/>
          <w:color w:val="231F20"/>
          <w:w w:val="85"/>
          <w:sz w:val="14"/>
        </w:rPr>
        <w:t>(25):</w:t>
      </w:r>
      <w:r>
        <w:rPr>
          <w:rFonts w:ascii="Arial" w:hAnsi="Arial"/>
          <w:color w:val="231F20"/>
          <w:spacing w:val="-5"/>
          <w:w w:val="85"/>
          <w:sz w:val="14"/>
        </w:rPr>
        <w:t> </w:t>
      </w:r>
      <w:r>
        <w:rPr>
          <w:rFonts w:ascii="Arial" w:hAnsi="Arial"/>
          <w:color w:val="231F20"/>
          <w:w w:val="85"/>
          <w:sz w:val="14"/>
        </w:rPr>
        <w:t>27–54.</w:t>
      </w:r>
    </w:p>
    <w:p>
      <w:pPr>
        <w:spacing w:line="297" w:lineRule="auto" w:before="1"/>
        <w:ind w:left="451" w:right="650" w:hanging="240"/>
        <w:jc w:val="left"/>
        <w:rPr>
          <w:rFonts w:ascii="Arial" w:hAnsi="Arial"/>
          <w:sz w:val="14"/>
        </w:rPr>
      </w:pPr>
      <w:r>
        <w:rPr>
          <w:rFonts w:ascii="Arial" w:hAnsi="Arial"/>
          <w:color w:val="231F20"/>
          <w:w w:val="80"/>
          <w:sz w:val="14"/>
        </w:rPr>
        <w:t>Suwarto, F., A. Nugroho, R. Susanti, and D. Purwadi. 2020. “Sensitivity</w:t>
      </w:r>
      <w:r>
        <w:rPr>
          <w:rFonts w:ascii="Arial" w:hAnsi="Arial"/>
          <w:color w:val="231F20"/>
          <w:spacing w:val="40"/>
          <w:sz w:val="14"/>
        </w:rPr>
        <w:t> </w:t>
      </w:r>
      <w:r>
        <w:rPr>
          <w:rFonts w:ascii="Arial" w:hAnsi="Arial"/>
          <w:color w:val="231F20"/>
          <w:w w:val="80"/>
          <w:sz w:val="14"/>
        </w:rPr>
        <w:t>Analysis of Road Roughness on Transportation Costs.” </w:t>
      </w:r>
      <w:r>
        <w:rPr>
          <w:rFonts w:ascii="Arial" w:hAnsi="Arial"/>
          <w:i/>
          <w:color w:val="231F20"/>
          <w:w w:val="80"/>
          <w:sz w:val="14"/>
        </w:rPr>
        <w:t>Journal of</w:t>
      </w:r>
      <w:r>
        <w:rPr>
          <w:rFonts w:ascii="Arial" w:hAnsi="Arial"/>
          <w:i/>
          <w:color w:val="231F20"/>
          <w:spacing w:val="40"/>
          <w:sz w:val="14"/>
        </w:rPr>
        <w:t> </w:t>
      </w:r>
      <w:r>
        <w:rPr>
          <w:rFonts w:ascii="Arial" w:hAnsi="Arial"/>
          <w:i/>
          <w:color w:val="231F20"/>
          <w:w w:val="85"/>
          <w:sz w:val="14"/>
        </w:rPr>
        <w:t>Physics:</w:t>
      </w:r>
      <w:r>
        <w:rPr>
          <w:rFonts w:ascii="Arial" w:hAnsi="Arial"/>
          <w:i/>
          <w:color w:val="231F20"/>
          <w:spacing w:val="-6"/>
          <w:w w:val="85"/>
          <w:sz w:val="14"/>
        </w:rPr>
        <w:t> </w:t>
      </w:r>
      <w:r>
        <w:rPr>
          <w:rFonts w:ascii="Arial" w:hAnsi="Arial"/>
          <w:i/>
          <w:color w:val="231F20"/>
          <w:w w:val="85"/>
          <w:sz w:val="14"/>
        </w:rPr>
        <w:t>Conference</w:t>
      </w:r>
      <w:r>
        <w:rPr>
          <w:rFonts w:ascii="Arial" w:hAnsi="Arial"/>
          <w:i/>
          <w:color w:val="231F20"/>
          <w:spacing w:val="-1"/>
          <w:w w:val="85"/>
          <w:sz w:val="14"/>
        </w:rPr>
        <w:t> </w:t>
      </w:r>
      <w:r>
        <w:rPr>
          <w:rFonts w:ascii="Arial" w:hAnsi="Arial"/>
          <w:i/>
          <w:color w:val="231F20"/>
          <w:w w:val="85"/>
          <w:sz w:val="14"/>
        </w:rPr>
        <w:t>Series</w:t>
      </w:r>
      <w:r>
        <w:rPr>
          <w:rFonts w:ascii="Arial" w:hAnsi="Arial"/>
          <w:i/>
          <w:color w:val="231F20"/>
          <w:spacing w:val="-1"/>
          <w:w w:val="85"/>
          <w:sz w:val="14"/>
        </w:rPr>
        <w:t> </w:t>
      </w:r>
      <w:r>
        <w:rPr>
          <w:rFonts w:ascii="Arial" w:hAnsi="Arial"/>
          <w:color w:val="231F20"/>
          <w:w w:val="85"/>
          <w:sz w:val="14"/>
        </w:rPr>
        <w:t>1444</w:t>
      </w:r>
      <w:r>
        <w:rPr>
          <w:rFonts w:ascii="Arial" w:hAnsi="Arial"/>
          <w:color w:val="231F20"/>
          <w:spacing w:val="-1"/>
          <w:w w:val="85"/>
          <w:sz w:val="14"/>
        </w:rPr>
        <w:t> </w:t>
      </w:r>
      <w:r>
        <w:rPr>
          <w:rFonts w:ascii="Arial" w:hAnsi="Arial"/>
          <w:color w:val="231F20"/>
          <w:w w:val="85"/>
          <w:sz w:val="14"/>
        </w:rPr>
        <w:t>(1):</w:t>
      </w:r>
      <w:r>
        <w:rPr>
          <w:rFonts w:ascii="Arial" w:hAnsi="Arial"/>
          <w:color w:val="231F20"/>
          <w:spacing w:val="-6"/>
          <w:w w:val="85"/>
          <w:sz w:val="14"/>
        </w:rPr>
        <w:t> </w:t>
      </w:r>
      <w:r>
        <w:rPr>
          <w:rFonts w:ascii="Arial" w:hAnsi="Arial"/>
          <w:color w:val="231F20"/>
          <w:w w:val="85"/>
          <w:sz w:val="14"/>
        </w:rPr>
        <w:t>012048.</w:t>
      </w:r>
    </w:p>
    <w:p>
      <w:pPr>
        <w:spacing w:line="297" w:lineRule="auto" w:before="1"/>
        <w:ind w:left="451" w:right="657" w:hanging="240"/>
        <w:jc w:val="left"/>
        <w:rPr>
          <w:rFonts w:ascii="Arial" w:hAnsi="Arial"/>
          <w:sz w:val="14"/>
        </w:rPr>
      </w:pPr>
      <w:r>
        <w:rPr>
          <w:rFonts w:ascii="Arial" w:hAnsi="Arial"/>
          <w:color w:val="231F20"/>
          <w:w w:val="85"/>
          <w:sz w:val="14"/>
        </w:rPr>
        <w:t>Tadesse,</w:t>
      </w:r>
      <w:r>
        <w:rPr>
          <w:rFonts w:ascii="Arial" w:hAnsi="Arial"/>
          <w:color w:val="231F20"/>
          <w:spacing w:val="-6"/>
          <w:w w:val="85"/>
          <w:sz w:val="14"/>
        </w:rPr>
        <w:t> </w:t>
      </w:r>
      <w:r>
        <w:rPr>
          <w:rFonts w:ascii="Arial" w:hAnsi="Arial"/>
          <w:color w:val="231F20"/>
          <w:w w:val="85"/>
          <w:sz w:val="14"/>
        </w:rPr>
        <w:t>M.,</w:t>
      </w:r>
      <w:r>
        <w:rPr>
          <w:rFonts w:ascii="Arial" w:hAnsi="Arial"/>
          <w:color w:val="231F20"/>
          <w:spacing w:val="-5"/>
          <w:w w:val="85"/>
          <w:sz w:val="14"/>
        </w:rPr>
        <w:t> </w:t>
      </w:r>
      <w:r>
        <w:rPr>
          <w:rFonts w:ascii="Arial" w:hAnsi="Arial"/>
          <w:color w:val="231F20"/>
          <w:w w:val="85"/>
          <w:sz w:val="14"/>
        </w:rPr>
        <w:t>H.</w:t>
      </w:r>
      <w:r>
        <w:rPr>
          <w:rFonts w:ascii="Arial" w:hAnsi="Arial"/>
          <w:color w:val="231F20"/>
          <w:spacing w:val="-4"/>
          <w:w w:val="85"/>
          <w:sz w:val="14"/>
        </w:rPr>
        <w:t> </w:t>
      </w:r>
      <w:r>
        <w:rPr>
          <w:rFonts w:ascii="Arial" w:hAnsi="Arial"/>
          <w:color w:val="231F20"/>
          <w:w w:val="85"/>
          <w:sz w:val="14"/>
        </w:rPr>
        <w:t>Kine,</w:t>
      </w:r>
      <w:r>
        <w:rPr>
          <w:rFonts w:ascii="Arial" w:hAnsi="Arial"/>
          <w:color w:val="231F20"/>
          <w:spacing w:val="-5"/>
          <w:w w:val="85"/>
          <w:sz w:val="14"/>
        </w:rPr>
        <w:t> </w:t>
      </w:r>
      <w:r>
        <w:rPr>
          <w:rFonts w:ascii="Arial" w:hAnsi="Arial"/>
          <w:color w:val="231F20"/>
          <w:w w:val="85"/>
          <w:sz w:val="14"/>
        </w:rPr>
        <w:t>G.</w:t>
      </w:r>
      <w:r>
        <w:rPr>
          <w:rFonts w:ascii="Arial" w:hAnsi="Arial"/>
          <w:color w:val="231F20"/>
          <w:spacing w:val="-2"/>
          <w:w w:val="85"/>
          <w:sz w:val="14"/>
        </w:rPr>
        <w:t> </w:t>
      </w:r>
      <w:r>
        <w:rPr>
          <w:rFonts w:ascii="Arial" w:hAnsi="Arial"/>
          <w:color w:val="231F20"/>
          <w:w w:val="85"/>
          <w:sz w:val="14"/>
        </w:rPr>
        <w:t>Gebresenbet,</w:t>
      </w:r>
      <w:r>
        <w:rPr>
          <w:rFonts w:ascii="Arial" w:hAnsi="Arial"/>
          <w:color w:val="231F20"/>
          <w:spacing w:val="-6"/>
          <w:w w:val="85"/>
          <w:sz w:val="14"/>
        </w:rPr>
        <w:t> </w:t>
      </w:r>
      <w:r>
        <w:rPr>
          <w:rFonts w:ascii="Arial" w:hAnsi="Arial"/>
          <w:color w:val="231F20"/>
          <w:w w:val="85"/>
          <w:sz w:val="14"/>
        </w:rPr>
        <w:t>L.</w:t>
      </w:r>
      <w:r>
        <w:rPr>
          <w:rFonts w:ascii="Arial" w:hAnsi="Arial"/>
          <w:color w:val="231F20"/>
          <w:spacing w:val="-5"/>
          <w:w w:val="85"/>
          <w:sz w:val="14"/>
        </w:rPr>
        <w:t> </w:t>
      </w:r>
      <w:r>
        <w:rPr>
          <w:rFonts w:ascii="Arial" w:hAnsi="Arial"/>
          <w:color w:val="231F20"/>
          <w:w w:val="85"/>
          <w:sz w:val="14"/>
        </w:rPr>
        <w:t>A.</w:t>
      </w:r>
      <w:r>
        <w:rPr>
          <w:rFonts w:ascii="Arial" w:hAnsi="Arial"/>
          <w:color w:val="231F20"/>
          <w:spacing w:val="-5"/>
          <w:w w:val="85"/>
          <w:sz w:val="14"/>
        </w:rPr>
        <w:t> </w:t>
      </w:r>
      <w:r>
        <w:rPr>
          <w:rFonts w:ascii="Arial" w:hAnsi="Arial"/>
          <w:color w:val="231F20"/>
          <w:w w:val="85"/>
          <w:sz w:val="14"/>
        </w:rPr>
        <w:t>Tavasszy,</w:t>
      </w:r>
      <w:r>
        <w:rPr>
          <w:rFonts w:ascii="Arial" w:hAnsi="Arial"/>
          <w:color w:val="231F20"/>
          <w:spacing w:val="-5"/>
          <w:w w:val="85"/>
          <w:sz w:val="14"/>
        </w:rPr>
        <w:t> </w:t>
      </w:r>
      <w:r>
        <w:rPr>
          <w:rFonts w:ascii="Arial" w:hAnsi="Arial"/>
          <w:color w:val="231F20"/>
          <w:w w:val="85"/>
          <w:sz w:val="14"/>
        </w:rPr>
        <w:t>and</w:t>
      </w:r>
      <w:r>
        <w:rPr>
          <w:rFonts w:ascii="Arial" w:hAnsi="Arial"/>
          <w:color w:val="231F20"/>
          <w:spacing w:val="-1"/>
          <w:w w:val="85"/>
          <w:sz w:val="14"/>
        </w:rPr>
        <w:t> </w:t>
      </w:r>
      <w:r>
        <w:rPr>
          <w:rFonts w:ascii="Arial" w:hAnsi="Arial"/>
          <w:color w:val="231F20"/>
          <w:w w:val="85"/>
          <w:sz w:val="14"/>
        </w:rPr>
        <w:t>D.</w:t>
      </w:r>
      <w:r>
        <w:rPr>
          <w:rFonts w:ascii="Arial" w:hAnsi="Arial"/>
          <w:color w:val="231F20"/>
          <w:spacing w:val="40"/>
          <w:sz w:val="14"/>
        </w:rPr>
        <w:t> </w:t>
      </w:r>
      <w:r>
        <w:rPr>
          <w:rFonts w:ascii="Arial" w:hAnsi="Arial"/>
          <w:color w:val="231F20"/>
          <w:w w:val="85"/>
          <w:sz w:val="14"/>
        </w:rPr>
        <w:t>Ljungberg.</w:t>
      </w:r>
      <w:r>
        <w:rPr>
          <w:rFonts w:ascii="Arial" w:hAnsi="Arial"/>
          <w:color w:val="231F20"/>
          <w:spacing w:val="-4"/>
          <w:w w:val="85"/>
          <w:sz w:val="14"/>
        </w:rPr>
        <w:t> </w:t>
      </w:r>
      <w:r>
        <w:rPr>
          <w:rFonts w:ascii="Arial" w:hAnsi="Arial"/>
          <w:color w:val="231F20"/>
          <w:w w:val="85"/>
          <w:sz w:val="14"/>
        </w:rPr>
        <w:t>2022.</w:t>
      </w:r>
      <w:r>
        <w:rPr>
          <w:rFonts w:ascii="Arial" w:hAnsi="Arial"/>
          <w:color w:val="231F20"/>
          <w:spacing w:val="-6"/>
          <w:w w:val="85"/>
          <w:sz w:val="14"/>
        </w:rPr>
        <w:t> </w:t>
      </w:r>
      <w:r>
        <w:rPr>
          <w:rFonts w:ascii="Arial" w:hAnsi="Arial"/>
          <w:color w:val="231F20"/>
          <w:w w:val="85"/>
          <w:sz w:val="14"/>
        </w:rPr>
        <w:t>“Key</w:t>
      </w:r>
      <w:r>
        <w:rPr>
          <w:rFonts w:ascii="Arial" w:hAnsi="Arial"/>
          <w:color w:val="231F20"/>
          <w:spacing w:val="-2"/>
          <w:w w:val="85"/>
          <w:sz w:val="14"/>
        </w:rPr>
        <w:t> </w:t>
      </w:r>
      <w:r>
        <w:rPr>
          <w:rFonts w:ascii="Arial" w:hAnsi="Arial"/>
          <w:color w:val="231F20"/>
          <w:w w:val="85"/>
          <w:sz w:val="14"/>
        </w:rPr>
        <w:t>Logistics</w:t>
      </w:r>
      <w:r>
        <w:rPr>
          <w:rFonts w:ascii="Arial" w:hAnsi="Arial"/>
          <w:color w:val="231F20"/>
          <w:spacing w:val="-3"/>
          <w:w w:val="85"/>
          <w:sz w:val="14"/>
        </w:rPr>
        <w:t> </w:t>
      </w:r>
      <w:r>
        <w:rPr>
          <w:rFonts w:ascii="Arial" w:hAnsi="Arial"/>
          <w:color w:val="231F20"/>
          <w:w w:val="85"/>
          <w:sz w:val="14"/>
        </w:rPr>
        <w:t>Performance</w:t>
      </w:r>
      <w:r>
        <w:rPr>
          <w:rFonts w:ascii="Arial" w:hAnsi="Arial"/>
          <w:color w:val="231F20"/>
          <w:spacing w:val="-3"/>
          <w:w w:val="85"/>
          <w:sz w:val="14"/>
        </w:rPr>
        <w:t> </w:t>
      </w:r>
      <w:r>
        <w:rPr>
          <w:rFonts w:ascii="Arial" w:hAnsi="Arial"/>
          <w:color w:val="231F20"/>
          <w:w w:val="85"/>
          <w:sz w:val="14"/>
        </w:rPr>
        <w:t>Indicators</w:t>
      </w:r>
      <w:r>
        <w:rPr>
          <w:rFonts w:ascii="Arial" w:hAnsi="Arial"/>
          <w:color w:val="231F20"/>
          <w:spacing w:val="-3"/>
          <w:w w:val="85"/>
          <w:sz w:val="14"/>
        </w:rPr>
        <w:t> </w:t>
      </w:r>
      <w:r>
        <w:rPr>
          <w:rFonts w:ascii="Arial" w:hAnsi="Arial"/>
          <w:color w:val="231F20"/>
          <w:w w:val="85"/>
          <w:sz w:val="14"/>
        </w:rPr>
        <w:t>in</w:t>
      </w:r>
      <w:r>
        <w:rPr>
          <w:rFonts w:ascii="Arial" w:hAnsi="Arial"/>
          <w:color w:val="231F20"/>
          <w:spacing w:val="-3"/>
          <w:w w:val="85"/>
          <w:sz w:val="14"/>
        </w:rPr>
        <w:t> </w:t>
      </w:r>
      <w:r>
        <w:rPr>
          <w:rFonts w:ascii="Arial" w:hAnsi="Arial"/>
          <w:color w:val="231F20"/>
          <w:w w:val="85"/>
          <w:sz w:val="14"/>
        </w:rPr>
        <w:t>Low-</w:t>
      </w:r>
      <w:r>
        <w:rPr>
          <w:rFonts w:ascii="Arial" w:hAnsi="Arial"/>
          <w:color w:val="231F20"/>
          <w:spacing w:val="40"/>
          <w:sz w:val="14"/>
        </w:rPr>
        <w:t> </w:t>
      </w:r>
      <w:r>
        <w:rPr>
          <w:rFonts w:ascii="Arial" w:hAnsi="Arial"/>
          <w:color w:val="231F20"/>
          <w:spacing w:val="-2"/>
          <w:w w:val="80"/>
          <w:sz w:val="14"/>
        </w:rPr>
        <w:t>income</w:t>
      </w:r>
      <w:r>
        <w:rPr>
          <w:rFonts w:ascii="Arial" w:hAnsi="Arial"/>
          <w:color w:val="231F20"/>
          <w:spacing w:val="-3"/>
          <w:sz w:val="14"/>
        </w:rPr>
        <w:t> </w:t>
      </w:r>
      <w:r>
        <w:rPr>
          <w:rFonts w:ascii="Arial" w:hAnsi="Arial"/>
          <w:color w:val="231F20"/>
          <w:spacing w:val="-2"/>
          <w:w w:val="80"/>
          <w:sz w:val="14"/>
        </w:rPr>
        <w:t>Countries:</w:t>
      </w:r>
      <w:r>
        <w:rPr>
          <w:rFonts w:ascii="Arial" w:hAnsi="Arial"/>
          <w:color w:val="231F20"/>
          <w:spacing w:val="-6"/>
          <w:w w:val="80"/>
          <w:sz w:val="14"/>
        </w:rPr>
        <w:t> </w:t>
      </w:r>
      <w:r>
        <w:rPr>
          <w:rFonts w:ascii="Arial" w:hAnsi="Arial"/>
          <w:color w:val="231F20"/>
          <w:spacing w:val="-2"/>
          <w:w w:val="80"/>
          <w:sz w:val="14"/>
        </w:rPr>
        <w:t>The</w:t>
      </w:r>
      <w:r>
        <w:rPr>
          <w:rFonts w:ascii="Arial" w:hAnsi="Arial"/>
          <w:color w:val="231F20"/>
          <w:spacing w:val="-3"/>
          <w:sz w:val="14"/>
        </w:rPr>
        <w:t> </w:t>
      </w:r>
      <w:r>
        <w:rPr>
          <w:rFonts w:ascii="Arial" w:hAnsi="Arial"/>
          <w:color w:val="231F20"/>
          <w:spacing w:val="-2"/>
          <w:w w:val="80"/>
          <w:sz w:val="14"/>
        </w:rPr>
        <w:t>Case</w:t>
      </w:r>
      <w:r>
        <w:rPr>
          <w:rFonts w:ascii="Arial" w:hAnsi="Arial"/>
          <w:color w:val="231F20"/>
          <w:spacing w:val="-3"/>
          <w:sz w:val="14"/>
        </w:rPr>
        <w:t> </w:t>
      </w:r>
      <w:r>
        <w:rPr>
          <w:rFonts w:ascii="Arial" w:hAnsi="Arial"/>
          <w:color w:val="231F20"/>
          <w:spacing w:val="-2"/>
          <w:w w:val="80"/>
          <w:sz w:val="14"/>
        </w:rPr>
        <w:t>of</w:t>
      </w:r>
      <w:r>
        <w:rPr>
          <w:rFonts w:ascii="Arial" w:hAnsi="Arial"/>
          <w:color w:val="231F20"/>
          <w:spacing w:val="-3"/>
          <w:sz w:val="14"/>
        </w:rPr>
        <w:t> </w:t>
      </w:r>
      <w:r>
        <w:rPr>
          <w:rFonts w:ascii="Arial" w:hAnsi="Arial"/>
          <w:color w:val="231F20"/>
          <w:spacing w:val="-2"/>
          <w:w w:val="80"/>
          <w:sz w:val="14"/>
        </w:rPr>
        <w:t>the</w:t>
      </w:r>
      <w:r>
        <w:rPr>
          <w:rFonts w:ascii="Arial" w:hAnsi="Arial"/>
          <w:color w:val="231F20"/>
          <w:spacing w:val="-3"/>
          <w:sz w:val="14"/>
        </w:rPr>
        <w:t> </w:t>
      </w:r>
      <w:r>
        <w:rPr>
          <w:rFonts w:ascii="Arial" w:hAnsi="Arial"/>
          <w:color w:val="231F20"/>
          <w:spacing w:val="-2"/>
          <w:w w:val="80"/>
          <w:sz w:val="14"/>
        </w:rPr>
        <w:t>Import–Export</w:t>
      </w:r>
      <w:r>
        <w:rPr>
          <w:rFonts w:ascii="Arial" w:hAnsi="Arial"/>
          <w:color w:val="231F20"/>
          <w:spacing w:val="-3"/>
          <w:sz w:val="14"/>
        </w:rPr>
        <w:t> </w:t>
      </w:r>
      <w:r>
        <w:rPr>
          <w:rFonts w:ascii="Arial" w:hAnsi="Arial"/>
          <w:color w:val="231F20"/>
          <w:spacing w:val="-2"/>
          <w:w w:val="80"/>
          <w:sz w:val="14"/>
        </w:rPr>
        <w:t>Chain</w:t>
      </w:r>
      <w:r>
        <w:rPr>
          <w:rFonts w:ascii="Arial" w:hAnsi="Arial"/>
          <w:color w:val="231F20"/>
          <w:spacing w:val="-3"/>
          <w:sz w:val="14"/>
        </w:rPr>
        <w:t> </w:t>
      </w:r>
      <w:r>
        <w:rPr>
          <w:rFonts w:ascii="Arial" w:hAnsi="Arial"/>
          <w:color w:val="231F20"/>
          <w:spacing w:val="-2"/>
          <w:w w:val="80"/>
          <w:sz w:val="14"/>
        </w:rPr>
        <w:t>in</w:t>
      </w:r>
      <w:r>
        <w:rPr>
          <w:rFonts w:ascii="Arial" w:hAnsi="Arial"/>
          <w:color w:val="231F20"/>
          <w:spacing w:val="-3"/>
          <w:sz w:val="14"/>
        </w:rPr>
        <w:t> </w:t>
      </w:r>
      <w:r>
        <w:rPr>
          <w:rFonts w:ascii="Arial" w:hAnsi="Arial"/>
          <w:color w:val="231F20"/>
          <w:spacing w:val="-2"/>
          <w:w w:val="80"/>
          <w:sz w:val="14"/>
        </w:rPr>
        <w:t>Ethiopia.”</w:t>
      </w:r>
      <w:r>
        <w:rPr>
          <w:rFonts w:ascii="Arial" w:hAnsi="Arial"/>
          <w:color w:val="231F20"/>
          <w:spacing w:val="40"/>
          <w:sz w:val="14"/>
        </w:rPr>
        <w:t> </w:t>
      </w:r>
      <w:r>
        <w:rPr>
          <w:rFonts w:ascii="Arial" w:hAnsi="Arial"/>
          <w:i/>
          <w:color w:val="231F20"/>
          <w:w w:val="90"/>
          <w:sz w:val="14"/>
        </w:rPr>
        <w:t>Sustainability</w:t>
      </w:r>
      <w:r>
        <w:rPr>
          <w:rFonts w:ascii="Arial" w:hAnsi="Arial"/>
          <w:i/>
          <w:color w:val="231F20"/>
          <w:spacing w:val="-6"/>
          <w:w w:val="90"/>
          <w:sz w:val="14"/>
        </w:rPr>
        <w:t> </w:t>
      </w:r>
      <w:r>
        <w:rPr>
          <w:rFonts w:ascii="Arial" w:hAnsi="Arial"/>
          <w:color w:val="231F20"/>
          <w:w w:val="90"/>
          <w:sz w:val="14"/>
        </w:rPr>
        <w:t>14</w:t>
      </w:r>
      <w:r>
        <w:rPr>
          <w:rFonts w:ascii="Arial" w:hAnsi="Arial"/>
          <w:color w:val="231F20"/>
          <w:spacing w:val="-6"/>
          <w:w w:val="90"/>
          <w:sz w:val="14"/>
        </w:rPr>
        <w:t> </w:t>
      </w:r>
      <w:r>
        <w:rPr>
          <w:rFonts w:ascii="Arial" w:hAnsi="Arial"/>
          <w:color w:val="231F20"/>
          <w:w w:val="90"/>
          <w:sz w:val="14"/>
        </w:rPr>
        <w:t>(19).</w:t>
      </w:r>
    </w:p>
    <w:p>
      <w:pPr>
        <w:spacing w:line="297" w:lineRule="auto" w:before="2"/>
        <w:ind w:left="451" w:right="657" w:hanging="240"/>
        <w:jc w:val="left"/>
        <w:rPr>
          <w:rFonts w:ascii="Arial" w:hAnsi="Arial"/>
          <w:sz w:val="14"/>
        </w:rPr>
      </w:pPr>
      <w:r>
        <w:rPr>
          <w:rFonts w:ascii="Arial" w:hAnsi="Arial"/>
          <w:color w:val="231F20"/>
          <w:w w:val="85"/>
          <w:sz w:val="14"/>
        </w:rPr>
        <w:t>Tsetskhladze, L., N. Makharadze, I. Chkhaidze, N. Jabnidze, and N.</w:t>
      </w:r>
      <w:r>
        <w:rPr>
          <w:rFonts w:ascii="Arial" w:hAnsi="Arial"/>
          <w:color w:val="231F20"/>
          <w:spacing w:val="40"/>
          <w:sz w:val="14"/>
        </w:rPr>
        <w:t> </w:t>
      </w:r>
      <w:r>
        <w:rPr>
          <w:rFonts w:ascii="Arial" w:hAnsi="Arial"/>
          <w:color w:val="231F20"/>
          <w:w w:val="80"/>
          <w:sz w:val="14"/>
        </w:rPr>
        <w:t>Baratashvili. 2021. “Actual Problems for Logistics Management </w:t>
      </w:r>
      <w:r>
        <w:rPr>
          <w:rFonts w:ascii="Arial" w:hAnsi="Arial"/>
          <w:color w:val="231F20"/>
          <w:w w:val="80"/>
          <w:sz w:val="14"/>
        </w:rPr>
        <w:t>and</w:t>
      </w:r>
      <w:r>
        <w:rPr>
          <w:rFonts w:ascii="Arial" w:hAnsi="Arial"/>
          <w:color w:val="231F20"/>
          <w:spacing w:val="40"/>
          <w:sz w:val="14"/>
        </w:rPr>
        <w:t> </w:t>
      </w:r>
      <w:r>
        <w:rPr>
          <w:rFonts w:ascii="Arial" w:hAnsi="Arial"/>
          <w:color w:val="231F20"/>
          <w:w w:val="80"/>
          <w:sz w:val="14"/>
        </w:rPr>
        <w:t>Strategies</w:t>
      </w:r>
      <w:r>
        <w:rPr>
          <w:rFonts w:ascii="Arial" w:hAnsi="Arial"/>
          <w:color w:val="231F20"/>
          <w:spacing w:val="-2"/>
          <w:w w:val="8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Supply</w:t>
      </w:r>
      <w:r>
        <w:rPr>
          <w:rFonts w:ascii="Arial" w:hAnsi="Arial"/>
          <w:color w:val="231F20"/>
          <w:spacing w:val="-2"/>
          <w:w w:val="80"/>
          <w:sz w:val="14"/>
        </w:rPr>
        <w:t> </w:t>
      </w:r>
      <w:r>
        <w:rPr>
          <w:rFonts w:ascii="Arial" w:hAnsi="Arial"/>
          <w:color w:val="231F20"/>
          <w:w w:val="80"/>
          <w:sz w:val="14"/>
        </w:rPr>
        <w:t>Chain</w:t>
      </w:r>
      <w:r>
        <w:rPr>
          <w:rFonts w:ascii="Arial" w:hAnsi="Arial"/>
          <w:color w:val="231F20"/>
          <w:spacing w:val="-2"/>
          <w:w w:val="80"/>
          <w:sz w:val="14"/>
        </w:rPr>
        <w:t> </w:t>
      </w:r>
      <w:r>
        <w:rPr>
          <w:rFonts w:ascii="Arial" w:hAnsi="Arial"/>
          <w:color w:val="231F20"/>
          <w:w w:val="80"/>
          <w:sz w:val="14"/>
        </w:rPr>
        <w:t>in</w:t>
      </w:r>
      <w:r>
        <w:rPr>
          <w:rFonts w:ascii="Arial" w:hAnsi="Arial"/>
          <w:color w:val="231F20"/>
          <w:spacing w:val="-2"/>
          <w:w w:val="80"/>
          <w:sz w:val="14"/>
        </w:rPr>
        <w:t> </w:t>
      </w:r>
      <w:r>
        <w:rPr>
          <w:rFonts w:ascii="Arial" w:hAnsi="Arial"/>
          <w:color w:val="231F20"/>
          <w:w w:val="80"/>
          <w:sz w:val="14"/>
        </w:rPr>
        <w:t>Georgia.”</w:t>
      </w:r>
      <w:r>
        <w:rPr>
          <w:rFonts w:ascii="Arial" w:hAnsi="Arial"/>
          <w:color w:val="231F20"/>
          <w:spacing w:val="-3"/>
          <w:w w:val="80"/>
          <w:sz w:val="14"/>
        </w:rPr>
        <w:t> </w:t>
      </w:r>
      <w:r>
        <w:rPr>
          <w:rFonts w:ascii="Arial" w:hAnsi="Arial"/>
          <w:i/>
          <w:color w:val="231F20"/>
          <w:w w:val="80"/>
          <w:sz w:val="14"/>
        </w:rPr>
        <w:t>MATEC</w:t>
      </w:r>
      <w:r>
        <w:rPr>
          <w:rFonts w:ascii="Arial" w:hAnsi="Arial"/>
          <w:i/>
          <w:color w:val="231F20"/>
          <w:spacing w:val="-4"/>
          <w:w w:val="80"/>
          <w:sz w:val="14"/>
        </w:rPr>
        <w:t> </w:t>
      </w:r>
      <w:r>
        <w:rPr>
          <w:rFonts w:ascii="Arial" w:hAnsi="Arial"/>
          <w:i/>
          <w:color w:val="231F20"/>
          <w:w w:val="80"/>
          <w:sz w:val="14"/>
        </w:rPr>
        <w:t>Web</w:t>
      </w:r>
      <w:r>
        <w:rPr>
          <w:rFonts w:ascii="Arial" w:hAnsi="Arial"/>
          <w:i/>
          <w:color w:val="231F20"/>
          <w:spacing w:val="-2"/>
          <w:w w:val="80"/>
          <w:sz w:val="14"/>
        </w:rPr>
        <w:t> </w:t>
      </w:r>
      <w:r>
        <w:rPr>
          <w:rFonts w:ascii="Arial" w:hAnsi="Arial"/>
          <w:i/>
          <w:color w:val="231F20"/>
          <w:w w:val="80"/>
          <w:sz w:val="14"/>
        </w:rPr>
        <w:t>of</w:t>
      </w:r>
      <w:r>
        <w:rPr>
          <w:rFonts w:ascii="Arial" w:hAnsi="Arial"/>
          <w:i/>
          <w:color w:val="231F20"/>
          <w:spacing w:val="-2"/>
          <w:w w:val="80"/>
          <w:sz w:val="14"/>
        </w:rPr>
        <w:t> </w:t>
      </w:r>
      <w:r>
        <w:rPr>
          <w:rFonts w:ascii="Arial" w:hAnsi="Arial"/>
          <w:i/>
          <w:color w:val="231F20"/>
          <w:w w:val="80"/>
          <w:sz w:val="14"/>
        </w:rPr>
        <w:t>Conferences</w:t>
      </w:r>
      <w:r>
        <w:rPr>
          <w:rFonts w:ascii="Arial" w:hAnsi="Arial"/>
          <w:i/>
          <w:color w:val="231F20"/>
          <w:spacing w:val="40"/>
          <w:sz w:val="14"/>
        </w:rPr>
        <w:t> </w:t>
      </w:r>
      <w:r>
        <w:rPr>
          <w:rFonts w:ascii="Arial" w:hAnsi="Arial"/>
          <w:color w:val="231F20"/>
          <w:w w:val="95"/>
          <w:sz w:val="14"/>
        </w:rPr>
        <w:t>339:</w:t>
      </w:r>
      <w:r>
        <w:rPr>
          <w:rFonts w:ascii="Arial" w:hAnsi="Arial"/>
          <w:color w:val="231F20"/>
          <w:spacing w:val="-10"/>
          <w:w w:val="95"/>
          <w:sz w:val="14"/>
        </w:rPr>
        <w:t> </w:t>
      </w:r>
      <w:r>
        <w:rPr>
          <w:rFonts w:ascii="Arial" w:hAnsi="Arial"/>
          <w:color w:val="231F20"/>
          <w:w w:val="95"/>
          <w:sz w:val="14"/>
        </w:rPr>
        <w:t>01004.</w:t>
      </w:r>
    </w:p>
    <w:p>
      <w:pPr>
        <w:spacing w:line="297" w:lineRule="auto" w:before="1"/>
        <w:ind w:left="451" w:right="657" w:hanging="240"/>
        <w:jc w:val="left"/>
        <w:rPr>
          <w:rFonts w:ascii="Arial" w:hAnsi="Arial"/>
          <w:sz w:val="14"/>
        </w:rPr>
      </w:pPr>
      <w:r>
        <w:rPr>
          <w:rFonts w:ascii="Arial" w:hAnsi="Arial"/>
          <w:color w:val="231F20"/>
          <w:spacing w:val="-2"/>
          <w:w w:val="85"/>
          <w:sz w:val="14"/>
        </w:rPr>
        <w:t>Turhan, M., and A.</w:t>
      </w:r>
      <w:r>
        <w:rPr>
          <w:rFonts w:ascii="Arial" w:hAnsi="Arial"/>
          <w:color w:val="231F20"/>
          <w:sz w:val="14"/>
        </w:rPr>
        <w:t> </w:t>
      </w:r>
      <w:r>
        <w:rPr>
          <w:rFonts w:ascii="Arial" w:hAnsi="Arial"/>
          <w:color w:val="231F20"/>
          <w:spacing w:val="-2"/>
          <w:w w:val="85"/>
          <w:sz w:val="14"/>
        </w:rPr>
        <w:t>Uymaz.</w:t>
      </w:r>
      <w:r>
        <w:rPr>
          <w:rFonts w:ascii="Arial" w:hAnsi="Arial"/>
          <w:color w:val="231F20"/>
          <w:sz w:val="14"/>
        </w:rPr>
        <w:t> </w:t>
      </w:r>
      <w:r>
        <w:rPr>
          <w:rFonts w:ascii="Arial" w:hAnsi="Arial"/>
          <w:color w:val="231F20"/>
          <w:spacing w:val="-2"/>
          <w:w w:val="85"/>
          <w:sz w:val="14"/>
        </w:rPr>
        <w:t>2021. “Ülkelerin</w:t>
      </w:r>
      <w:r>
        <w:rPr>
          <w:rFonts w:ascii="Arial" w:hAnsi="Arial"/>
          <w:color w:val="231F20"/>
          <w:sz w:val="14"/>
        </w:rPr>
        <w:t> </w:t>
      </w:r>
      <w:r>
        <w:rPr>
          <w:rFonts w:ascii="Arial" w:hAnsi="Arial"/>
          <w:color w:val="231F20"/>
          <w:spacing w:val="-2"/>
          <w:w w:val="85"/>
          <w:sz w:val="14"/>
        </w:rPr>
        <w:t>Kamu Alımları</w:t>
      </w:r>
      <w:r>
        <w:rPr>
          <w:rFonts w:ascii="Arial" w:hAnsi="Arial"/>
          <w:color w:val="231F20"/>
          <w:sz w:val="14"/>
        </w:rPr>
        <w:t> </w:t>
      </w:r>
      <w:r>
        <w:rPr>
          <w:rFonts w:ascii="Arial" w:hAnsi="Arial"/>
          <w:color w:val="231F20"/>
          <w:spacing w:val="-2"/>
          <w:w w:val="85"/>
          <w:sz w:val="14"/>
        </w:rPr>
        <w:t>Örgütlenme</w:t>
      </w:r>
      <w:r>
        <w:rPr>
          <w:rFonts w:ascii="Arial" w:hAnsi="Arial"/>
          <w:color w:val="231F20"/>
          <w:spacing w:val="40"/>
          <w:sz w:val="14"/>
        </w:rPr>
        <w:t> </w:t>
      </w:r>
      <w:r>
        <w:rPr>
          <w:rFonts w:ascii="Arial" w:hAnsi="Arial"/>
          <w:color w:val="231F20"/>
          <w:w w:val="75"/>
          <w:sz w:val="14"/>
        </w:rPr>
        <w:t>Yapılarına</w:t>
      </w:r>
      <w:r>
        <w:rPr>
          <w:rFonts w:ascii="Arial" w:hAnsi="Arial"/>
          <w:color w:val="231F20"/>
          <w:sz w:val="14"/>
        </w:rPr>
        <w:t> </w:t>
      </w:r>
      <w:r>
        <w:rPr>
          <w:rFonts w:ascii="Arial" w:hAnsi="Arial"/>
          <w:color w:val="231F20"/>
          <w:w w:val="75"/>
          <w:sz w:val="14"/>
        </w:rPr>
        <w:t>Etki</w:t>
      </w:r>
      <w:r>
        <w:rPr>
          <w:rFonts w:ascii="Arial" w:hAnsi="Arial"/>
          <w:color w:val="231F20"/>
          <w:sz w:val="14"/>
        </w:rPr>
        <w:t> </w:t>
      </w:r>
      <w:r>
        <w:rPr>
          <w:rFonts w:ascii="Arial" w:hAnsi="Arial"/>
          <w:color w:val="231F20"/>
          <w:w w:val="75"/>
          <w:sz w:val="14"/>
        </w:rPr>
        <w:t>Eden</w:t>
      </w:r>
      <w:r>
        <w:rPr>
          <w:rFonts w:ascii="Arial" w:hAnsi="Arial"/>
          <w:color w:val="231F20"/>
          <w:sz w:val="14"/>
        </w:rPr>
        <w:t> </w:t>
      </w:r>
      <w:r>
        <w:rPr>
          <w:rFonts w:ascii="Arial" w:hAnsi="Arial"/>
          <w:color w:val="231F20"/>
          <w:w w:val="75"/>
          <w:sz w:val="14"/>
        </w:rPr>
        <w:t>Faktörler: Avrupa</w:t>
      </w:r>
      <w:r>
        <w:rPr>
          <w:rFonts w:ascii="Arial" w:hAnsi="Arial"/>
          <w:color w:val="231F20"/>
          <w:sz w:val="14"/>
        </w:rPr>
        <w:t> </w:t>
      </w:r>
      <w:r>
        <w:rPr>
          <w:rFonts w:ascii="Arial" w:hAnsi="Arial"/>
          <w:color w:val="231F20"/>
          <w:w w:val="75"/>
          <w:sz w:val="14"/>
        </w:rPr>
        <w:t>Birligi</w:t>
      </w:r>
      <w:r>
        <w:rPr>
          <w:rFonts w:ascii="Arial" w:hAnsi="Arial"/>
          <w:color w:val="231F20"/>
          <w:sz w:val="14"/>
        </w:rPr>
        <w:t> </w:t>
      </w:r>
      <w:r>
        <w:rPr>
          <w:rFonts w:ascii="Arial" w:hAnsi="Arial"/>
          <w:color w:val="231F20"/>
          <w:w w:val="75"/>
          <w:sz w:val="14"/>
        </w:rPr>
        <w:t>Üzerine</w:t>
      </w:r>
      <w:r>
        <w:rPr>
          <w:rFonts w:ascii="Arial" w:hAnsi="Arial"/>
          <w:color w:val="231F20"/>
          <w:sz w:val="14"/>
        </w:rPr>
        <w:t> </w:t>
      </w:r>
      <w:r>
        <w:rPr>
          <w:rFonts w:ascii="Arial" w:hAnsi="Arial"/>
          <w:color w:val="231F20"/>
          <w:w w:val="75"/>
          <w:sz w:val="14"/>
        </w:rPr>
        <w:t>Bir Analiz.” </w:t>
      </w:r>
      <w:r>
        <w:rPr>
          <w:rFonts w:ascii="Arial" w:hAnsi="Arial"/>
          <w:color w:val="231F20"/>
          <w:w w:val="75"/>
          <w:sz w:val="14"/>
        </w:rPr>
        <w:t>1–30.</w:t>
      </w:r>
    </w:p>
    <w:p>
      <w:pPr>
        <w:spacing w:line="297" w:lineRule="auto" w:before="1"/>
        <w:ind w:left="451" w:right="650" w:hanging="240"/>
        <w:jc w:val="left"/>
        <w:rPr>
          <w:rFonts w:ascii="Arial" w:hAnsi="Arial"/>
          <w:sz w:val="14"/>
        </w:rPr>
      </w:pPr>
      <w:r>
        <w:rPr>
          <w:rFonts w:ascii="Arial" w:hAnsi="Arial"/>
          <w:color w:val="231F20"/>
          <w:spacing w:val="-2"/>
          <w:w w:val="85"/>
          <w:sz w:val="14"/>
        </w:rPr>
        <w:t>Unggara, I., E.</w:t>
      </w:r>
      <w:r>
        <w:rPr>
          <w:rFonts w:ascii="Arial" w:hAnsi="Arial"/>
          <w:color w:val="231F20"/>
          <w:sz w:val="14"/>
        </w:rPr>
        <w:t> </w:t>
      </w:r>
      <w:r>
        <w:rPr>
          <w:rFonts w:ascii="Arial" w:hAnsi="Arial"/>
          <w:color w:val="231F20"/>
          <w:spacing w:val="-2"/>
          <w:w w:val="85"/>
          <w:sz w:val="14"/>
        </w:rPr>
        <w:t>Dewandaru, N.</w:t>
      </w:r>
      <w:r>
        <w:rPr>
          <w:rFonts w:ascii="Arial" w:hAnsi="Arial"/>
          <w:color w:val="231F20"/>
          <w:sz w:val="14"/>
        </w:rPr>
        <w:t> </w:t>
      </w:r>
      <w:r>
        <w:rPr>
          <w:rFonts w:ascii="Arial" w:hAnsi="Arial"/>
          <w:color w:val="231F20"/>
          <w:spacing w:val="-2"/>
          <w:w w:val="85"/>
          <w:sz w:val="14"/>
        </w:rPr>
        <w:t>Hayatiningsih, and W. Vellayati.</w:t>
      </w:r>
      <w:r>
        <w:rPr>
          <w:rFonts w:ascii="Arial" w:hAnsi="Arial"/>
          <w:color w:val="231F20"/>
          <w:sz w:val="14"/>
        </w:rPr>
        <w:t> </w:t>
      </w:r>
      <w:r>
        <w:rPr>
          <w:rFonts w:ascii="Arial" w:hAnsi="Arial"/>
          <w:color w:val="231F20"/>
          <w:spacing w:val="-2"/>
          <w:w w:val="85"/>
          <w:sz w:val="14"/>
        </w:rPr>
        <w:t>2021.</w:t>
      </w:r>
      <w:r>
        <w:rPr>
          <w:rFonts w:ascii="Arial" w:hAnsi="Arial"/>
          <w:color w:val="231F20"/>
          <w:spacing w:val="40"/>
          <w:sz w:val="14"/>
        </w:rPr>
        <w:t> </w:t>
      </w:r>
      <w:r>
        <w:rPr>
          <w:rFonts w:ascii="Arial" w:hAnsi="Arial"/>
          <w:color w:val="231F20"/>
          <w:w w:val="80"/>
          <w:sz w:val="14"/>
        </w:rPr>
        <w:t>“The Productivity of Indian E-Commerce: Evidence from a Digital</w:t>
      </w:r>
      <w:r>
        <w:rPr>
          <w:rFonts w:ascii="Arial" w:hAnsi="Arial"/>
          <w:color w:val="231F20"/>
          <w:spacing w:val="40"/>
          <w:sz w:val="14"/>
        </w:rPr>
        <w:t> </w:t>
      </w:r>
      <w:r>
        <w:rPr>
          <w:rFonts w:ascii="Arial" w:hAnsi="Arial"/>
          <w:color w:val="231F20"/>
          <w:spacing w:val="-2"/>
          <w:w w:val="80"/>
          <w:sz w:val="14"/>
        </w:rPr>
        <w:t>Merchant</w:t>
      </w:r>
      <w:r>
        <w:rPr>
          <w:rFonts w:ascii="Arial" w:hAnsi="Arial"/>
          <w:color w:val="231F20"/>
          <w:sz w:val="14"/>
        </w:rPr>
        <w:t> </w:t>
      </w:r>
      <w:r>
        <w:rPr>
          <w:rFonts w:ascii="Arial" w:hAnsi="Arial"/>
          <w:color w:val="231F20"/>
          <w:spacing w:val="-2"/>
          <w:w w:val="80"/>
          <w:sz w:val="14"/>
        </w:rPr>
        <w:t>Survey.” </w:t>
      </w:r>
      <w:r>
        <w:rPr>
          <w:rFonts w:ascii="Arial" w:hAnsi="Arial"/>
          <w:i/>
          <w:color w:val="231F20"/>
          <w:spacing w:val="-2"/>
          <w:w w:val="80"/>
          <w:sz w:val="14"/>
        </w:rPr>
        <w:t>International</w:t>
      </w:r>
      <w:r>
        <w:rPr>
          <w:rFonts w:ascii="Arial" w:hAnsi="Arial"/>
          <w:i/>
          <w:color w:val="231F20"/>
          <w:sz w:val="14"/>
        </w:rPr>
        <w:t> </w:t>
      </w:r>
      <w:r>
        <w:rPr>
          <w:rFonts w:ascii="Arial" w:hAnsi="Arial"/>
          <w:i/>
          <w:color w:val="231F20"/>
          <w:spacing w:val="-2"/>
          <w:w w:val="80"/>
          <w:sz w:val="14"/>
        </w:rPr>
        <w:t>Journal</w:t>
      </w:r>
      <w:r>
        <w:rPr>
          <w:rFonts w:ascii="Arial" w:hAnsi="Arial"/>
          <w:i/>
          <w:color w:val="231F20"/>
          <w:sz w:val="14"/>
        </w:rPr>
        <w:t> </w:t>
      </w:r>
      <w:r>
        <w:rPr>
          <w:rFonts w:ascii="Arial" w:hAnsi="Arial"/>
          <w:i/>
          <w:color w:val="231F20"/>
          <w:spacing w:val="-2"/>
          <w:w w:val="80"/>
          <w:sz w:val="14"/>
        </w:rPr>
        <w:t>of</w:t>
      </w:r>
      <w:r>
        <w:rPr>
          <w:rFonts w:ascii="Arial" w:hAnsi="Arial"/>
          <w:i/>
          <w:color w:val="231F20"/>
          <w:sz w:val="14"/>
        </w:rPr>
        <w:t> </w:t>
      </w:r>
      <w:r>
        <w:rPr>
          <w:rFonts w:ascii="Arial" w:hAnsi="Arial"/>
          <w:i/>
          <w:color w:val="231F20"/>
          <w:spacing w:val="-2"/>
          <w:w w:val="80"/>
          <w:sz w:val="14"/>
        </w:rPr>
        <w:t>Economics</w:t>
      </w:r>
      <w:r>
        <w:rPr>
          <w:rFonts w:ascii="Arial" w:hAnsi="Arial"/>
          <w:i/>
          <w:color w:val="231F20"/>
          <w:sz w:val="14"/>
        </w:rPr>
        <w:t> </w:t>
      </w:r>
      <w:r>
        <w:rPr>
          <w:rFonts w:ascii="Arial" w:hAnsi="Arial"/>
          <w:i/>
          <w:color w:val="231F20"/>
          <w:spacing w:val="-2"/>
          <w:w w:val="80"/>
          <w:sz w:val="14"/>
        </w:rPr>
        <w:t>Business</w:t>
      </w:r>
      <w:r>
        <w:rPr>
          <w:rFonts w:ascii="Arial" w:hAnsi="Arial"/>
          <w:i/>
          <w:color w:val="231F20"/>
          <w:sz w:val="14"/>
        </w:rPr>
        <w:t> </w:t>
      </w:r>
      <w:r>
        <w:rPr>
          <w:rFonts w:ascii="Arial" w:hAnsi="Arial"/>
          <w:i/>
          <w:color w:val="231F20"/>
          <w:spacing w:val="-2"/>
          <w:w w:val="80"/>
          <w:sz w:val="14"/>
        </w:rPr>
        <w:t>and</w:t>
      </w:r>
      <w:r>
        <w:rPr>
          <w:rFonts w:ascii="Arial" w:hAnsi="Arial"/>
          <w:i/>
          <w:color w:val="231F20"/>
          <w:spacing w:val="40"/>
          <w:sz w:val="14"/>
        </w:rPr>
        <w:t> </w:t>
      </w:r>
      <w:r>
        <w:rPr>
          <w:rFonts w:ascii="Arial" w:hAnsi="Arial"/>
          <w:i/>
          <w:color w:val="231F20"/>
          <w:w w:val="85"/>
          <w:sz w:val="14"/>
        </w:rPr>
        <w:t>Accounting</w:t>
      </w:r>
      <w:r>
        <w:rPr>
          <w:rFonts w:ascii="Arial" w:hAnsi="Arial"/>
          <w:i/>
          <w:color w:val="231F20"/>
          <w:spacing w:val="-4"/>
          <w:w w:val="85"/>
          <w:sz w:val="14"/>
        </w:rPr>
        <w:t> </w:t>
      </w:r>
      <w:r>
        <w:rPr>
          <w:rFonts w:ascii="Arial" w:hAnsi="Arial"/>
          <w:i/>
          <w:color w:val="231F20"/>
          <w:w w:val="85"/>
          <w:sz w:val="14"/>
        </w:rPr>
        <w:t>Research</w:t>
      </w:r>
      <w:r>
        <w:rPr>
          <w:rFonts w:ascii="Arial" w:hAnsi="Arial"/>
          <w:i/>
          <w:color w:val="231F20"/>
          <w:spacing w:val="-4"/>
          <w:w w:val="85"/>
          <w:sz w:val="14"/>
        </w:rPr>
        <w:t> </w:t>
      </w:r>
      <w:r>
        <w:rPr>
          <w:rFonts w:ascii="Arial" w:hAnsi="Arial"/>
          <w:i/>
          <w:color w:val="231F20"/>
          <w:w w:val="85"/>
          <w:sz w:val="14"/>
        </w:rPr>
        <w:t>(IJEBAR)</w:t>
      </w:r>
      <w:r>
        <w:rPr>
          <w:rFonts w:ascii="Arial" w:hAnsi="Arial"/>
          <w:i/>
          <w:color w:val="231F20"/>
          <w:spacing w:val="-4"/>
          <w:w w:val="85"/>
          <w:sz w:val="14"/>
        </w:rPr>
        <w:t> </w:t>
      </w:r>
      <w:r>
        <w:rPr>
          <w:rFonts w:ascii="Arial" w:hAnsi="Arial"/>
          <w:color w:val="231F20"/>
          <w:w w:val="85"/>
          <w:sz w:val="14"/>
        </w:rPr>
        <w:t>5:</w:t>
      </w:r>
      <w:r>
        <w:rPr>
          <w:rFonts w:ascii="Arial" w:hAnsi="Arial"/>
          <w:color w:val="231F20"/>
          <w:spacing w:val="-5"/>
          <w:w w:val="85"/>
          <w:sz w:val="14"/>
        </w:rPr>
        <w:t> </w:t>
      </w:r>
      <w:r>
        <w:rPr>
          <w:rFonts w:ascii="Arial" w:hAnsi="Arial"/>
          <w:color w:val="231F20"/>
          <w:w w:val="85"/>
          <w:sz w:val="14"/>
        </w:rPr>
        <w:t>226–234.</w:t>
      </w:r>
    </w:p>
    <w:p>
      <w:pPr>
        <w:spacing w:line="297" w:lineRule="auto" w:before="2"/>
        <w:ind w:left="451" w:right="935" w:hanging="240"/>
        <w:jc w:val="both"/>
        <w:rPr>
          <w:rFonts w:ascii="Arial" w:hAnsi="Arial"/>
          <w:sz w:val="14"/>
        </w:rPr>
      </w:pPr>
      <w:r>
        <w:rPr>
          <w:rFonts w:ascii="Arial" w:hAnsi="Arial"/>
          <w:color w:val="231F20"/>
          <w:w w:val="80"/>
          <w:sz w:val="14"/>
        </w:rPr>
        <w:t>Uyar,</w:t>
      </w:r>
      <w:r>
        <w:rPr>
          <w:rFonts w:ascii="Arial" w:hAnsi="Arial"/>
          <w:color w:val="231F20"/>
          <w:spacing w:val="-2"/>
          <w:w w:val="80"/>
          <w:sz w:val="14"/>
        </w:rPr>
        <w:t> </w:t>
      </w:r>
      <w:r>
        <w:rPr>
          <w:rFonts w:ascii="Arial" w:hAnsi="Arial"/>
          <w:color w:val="231F20"/>
          <w:w w:val="80"/>
          <w:sz w:val="14"/>
        </w:rPr>
        <w:t>A.,</w:t>
      </w:r>
      <w:r>
        <w:rPr>
          <w:rFonts w:ascii="Arial" w:hAnsi="Arial"/>
          <w:color w:val="231F20"/>
          <w:spacing w:val="-2"/>
          <w:w w:val="80"/>
          <w:sz w:val="14"/>
        </w:rPr>
        <w:t> </w:t>
      </w:r>
      <w:r>
        <w:rPr>
          <w:rFonts w:ascii="Arial" w:hAnsi="Arial"/>
          <w:color w:val="231F20"/>
          <w:w w:val="80"/>
          <w:sz w:val="14"/>
        </w:rPr>
        <w:t>V.</w:t>
      </w:r>
      <w:r>
        <w:rPr>
          <w:rFonts w:ascii="Arial" w:hAnsi="Arial"/>
          <w:color w:val="231F20"/>
          <w:spacing w:val="-2"/>
          <w:w w:val="80"/>
          <w:sz w:val="14"/>
        </w:rPr>
        <w:t> </w:t>
      </w:r>
      <w:r>
        <w:rPr>
          <w:rFonts w:ascii="Arial" w:hAnsi="Arial"/>
          <w:color w:val="231F20"/>
          <w:w w:val="80"/>
          <w:sz w:val="14"/>
        </w:rPr>
        <w:t>Fernandes,</w:t>
      </w:r>
      <w:r>
        <w:rPr>
          <w:rFonts w:ascii="Arial" w:hAnsi="Arial"/>
          <w:color w:val="231F20"/>
          <w:spacing w:val="-1"/>
          <w:w w:val="80"/>
          <w:sz w:val="14"/>
        </w:rPr>
        <w:t> </w:t>
      </w:r>
      <w:r>
        <w:rPr>
          <w:rFonts w:ascii="Arial" w:hAnsi="Arial"/>
          <w:color w:val="231F20"/>
          <w:w w:val="80"/>
          <w:sz w:val="14"/>
        </w:rPr>
        <w:t>and</w:t>
      </w:r>
      <w:r>
        <w:rPr>
          <w:rFonts w:ascii="Arial" w:hAnsi="Arial"/>
          <w:color w:val="231F20"/>
          <w:spacing w:val="-3"/>
          <w:sz w:val="14"/>
        </w:rPr>
        <w:t> </w:t>
      </w:r>
      <w:r>
        <w:rPr>
          <w:rFonts w:ascii="Arial" w:hAnsi="Arial"/>
          <w:color w:val="231F20"/>
          <w:w w:val="80"/>
          <w:sz w:val="14"/>
        </w:rPr>
        <w:t>C.</w:t>
      </w:r>
      <w:r>
        <w:rPr>
          <w:rFonts w:ascii="Arial" w:hAnsi="Arial"/>
          <w:color w:val="231F20"/>
          <w:spacing w:val="-3"/>
          <w:sz w:val="14"/>
        </w:rPr>
        <w:t> </w:t>
      </w:r>
      <w:r>
        <w:rPr>
          <w:rFonts w:ascii="Arial" w:hAnsi="Arial"/>
          <w:color w:val="231F20"/>
          <w:w w:val="80"/>
          <w:sz w:val="14"/>
        </w:rPr>
        <w:t>Kuzey.</w:t>
      </w:r>
      <w:r>
        <w:rPr>
          <w:rFonts w:ascii="Arial" w:hAnsi="Arial"/>
          <w:color w:val="231F20"/>
          <w:spacing w:val="-3"/>
          <w:sz w:val="14"/>
        </w:rPr>
        <w:t> </w:t>
      </w:r>
      <w:r>
        <w:rPr>
          <w:rFonts w:ascii="Arial" w:hAnsi="Arial"/>
          <w:color w:val="231F20"/>
          <w:w w:val="80"/>
          <w:sz w:val="14"/>
        </w:rPr>
        <w:t>2021.</w:t>
      </w:r>
      <w:r>
        <w:rPr>
          <w:rFonts w:ascii="Arial" w:hAnsi="Arial"/>
          <w:color w:val="231F20"/>
          <w:spacing w:val="-1"/>
          <w:w w:val="80"/>
          <w:sz w:val="14"/>
        </w:rPr>
        <w:t> </w:t>
      </w:r>
      <w:r>
        <w:rPr>
          <w:rFonts w:ascii="Arial" w:hAnsi="Arial"/>
          <w:color w:val="231F20"/>
          <w:w w:val="80"/>
          <w:sz w:val="14"/>
        </w:rPr>
        <w:t>“The</w:t>
      </w:r>
      <w:r>
        <w:rPr>
          <w:rFonts w:ascii="Arial" w:hAnsi="Arial"/>
          <w:color w:val="231F20"/>
          <w:spacing w:val="-3"/>
          <w:sz w:val="14"/>
        </w:rPr>
        <w:t> </w:t>
      </w:r>
      <w:r>
        <w:rPr>
          <w:rFonts w:ascii="Arial" w:hAnsi="Arial"/>
          <w:color w:val="231F20"/>
          <w:w w:val="80"/>
          <w:sz w:val="14"/>
        </w:rPr>
        <w:t>Mediating</w:t>
      </w:r>
      <w:r>
        <w:rPr>
          <w:rFonts w:ascii="Arial" w:hAnsi="Arial"/>
          <w:color w:val="231F20"/>
          <w:spacing w:val="-3"/>
          <w:sz w:val="14"/>
        </w:rPr>
        <w:t> </w:t>
      </w:r>
      <w:r>
        <w:rPr>
          <w:rFonts w:ascii="Arial" w:hAnsi="Arial"/>
          <w:color w:val="231F20"/>
          <w:w w:val="80"/>
          <w:sz w:val="14"/>
        </w:rPr>
        <w:t>Role</w:t>
      </w:r>
      <w:r>
        <w:rPr>
          <w:rFonts w:ascii="Arial" w:hAnsi="Arial"/>
          <w:color w:val="231F20"/>
          <w:spacing w:val="-3"/>
          <w:sz w:val="14"/>
        </w:rPr>
        <w:t> </w:t>
      </w:r>
      <w:r>
        <w:rPr>
          <w:rFonts w:ascii="Arial" w:hAnsi="Arial"/>
          <w:color w:val="231F20"/>
          <w:w w:val="80"/>
          <w:sz w:val="14"/>
        </w:rPr>
        <w:t>of</w:t>
      </w:r>
      <w:r>
        <w:rPr>
          <w:rFonts w:ascii="Arial" w:hAnsi="Arial"/>
          <w:color w:val="231F20"/>
          <w:spacing w:val="40"/>
          <w:sz w:val="14"/>
        </w:rPr>
        <w:t> </w:t>
      </w:r>
      <w:r>
        <w:rPr>
          <w:rFonts w:ascii="Arial" w:hAnsi="Arial"/>
          <w:color w:val="231F20"/>
          <w:w w:val="75"/>
          <w:sz w:val="14"/>
        </w:rPr>
        <w:t>Corporate</w:t>
      </w:r>
      <w:r>
        <w:rPr>
          <w:rFonts w:ascii="Arial" w:hAnsi="Arial"/>
          <w:color w:val="231F20"/>
          <w:sz w:val="14"/>
        </w:rPr>
        <w:t> </w:t>
      </w:r>
      <w:r>
        <w:rPr>
          <w:rFonts w:ascii="Arial" w:hAnsi="Arial"/>
          <w:color w:val="231F20"/>
          <w:w w:val="75"/>
          <w:sz w:val="14"/>
        </w:rPr>
        <w:t>Governance</w:t>
      </w:r>
      <w:r>
        <w:rPr>
          <w:rFonts w:ascii="Arial" w:hAnsi="Arial"/>
          <w:color w:val="231F20"/>
          <w:sz w:val="14"/>
        </w:rPr>
        <w:t> </w:t>
      </w:r>
      <w:r>
        <w:rPr>
          <w:rFonts w:ascii="Arial" w:hAnsi="Arial"/>
          <w:color w:val="231F20"/>
          <w:w w:val="75"/>
          <w:sz w:val="14"/>
        </w:rPr>
        <w:t>Between Public</w:t>
      </w:r>
      <w:r>
        <w:rPr>
          <w:rFonts w:ascii="Arial" w:hAnsi="Arial"/>
          <w:color w:val="231F20"/>
          <w:sz w:val="14"/>
        </w:rPr>
        <w:t> </w:t>
      </w:r>
      <w:r>
        <w:rPr>
          <w:rFonts w:ascii="Arial" w:hAnsi="Arial"/>
          <w:color w:val="231F20"/>
          <w:w w:val="75"/>
          <w:sz w:val="14"/>
        </w:rPr>
        <w:t>Governance</w:t>
      </w:r>
      <w:r>
        <w:rPr>
          <w:rFonts w:ascii="Arial" w:hAnsi="Arial"/>
          <w:color w:val="231F20"/>
          <w:sz w:val="14"/>
        </w:rPr>
        <w:t> </w:t>
      </w:r>
      <w:r>
        <w:rPr>
          <w:rFonts w:ascii="Arial" w:hAnsi="Arial"/>
          <w:color w:val="231F20"/>
          <w:w w:val="75"/>
          <w:sz w:val="14"/>
        </w:rPr>
        <w:t>and </w:t>
      </w:r>
      <w:r>
        <w:rPr>
          <w:rFonts w:ascii="Arial" w:hAnsi="Arial"/>
          <w:color w:val="231F20"/>
          <w:w w:val="75"/>
          <w:sz w:val="14"/>
        </w:rPr>
        <w:t>Logistics</w:t>
      </w:r>
      <w:r>
        <w:rPr>
          <w:rFonts w:ascii="Arial" w:hAnsi="Arial"/>
          <w:color w:val="231F20"/>
          <w:spacing w:val="40"/>
          <w:sz w:val="14"/>
        </w:rPr>
        <w:t> </w:t>
      </w:r>
      <w:r>
        <w:rPr>
          <w:rFonts w:ascii="Arial" w:hAnsi="Arial"/>
          <w:color w:val="231F20"/>
          <w:w w:val="80"/>
          <w:sz w:val="14"/>
        </w:rPr>
        <w:t>Performance: International Evidence.” </w:t>
      </w:r>
      <w:r>
        <w:rPr>
          <w:rFonts w:ascii="Arial" w:hAnsi="Arial"/>
          <w:i/>
          <w:color w:val="231F20"/>
          <w:w w:val="80"/>
          <w:sz w:val="14"/>
        </w:rPr>
        <w:t>Transport Policy </w:t>
      </w:r>
      <w:r>
        <w:rPr>
          <w:rFonts w:ascii="Arial" w:hAnsi="Arial"/>
          <w:color w:val="231F20"/>
          <w:w w:val="80"/>
          <w:sz w:val="14"/>
        </w:rPr>
        <w:t>109 (1).</w:t>
      </w:r>
    </w:p>
    <w:p>
      <w:pPr>
        <w:spacing w:line="297" w:lineRule="auto" w:before="1"/>
        <w:ind w:left="451" w:right="682" w:hanging="240"/>
        <w:jc w:val="both"/>
        <w:rPr>
          <w:rFonts w:ascii="Arial" w:hAnsi="Arial"/>
          <w:sz w:val="14"/>
        </w:rPr>
      </w:pPr>
      <w:r>
        <w:rPr>
          <w:rFonts w:ascii="Arial" w:hAnsi="Arial"/>
          <w:color w:val="231F20"/>
          <w:w w:val="80"/>
          <w:sz w:val="14"/>
        </w:rPr>
        <w:t>Virga,</w:t>
      </w:r>
      <w:r>
        <w:rPr>
          <w:rFonts w:ascii="Arial" w:hAnsi="Arial"/>
          <w:color w:val="231F20"/>
          <w:spacing w:val="-2"/>
          <w:w w:val="80"/>
          <w:sz w:val="14"/>
        </w:rPr>
        <w:t> </w:t>
      </w:r>
      <w:r>
        <w:rPr>
          <w:rFonts w:ascii="Arial" w:hAnsi="Arial"/>
          <w:color w:val="231F20"/>
          <w:w w:val="80"/>
          <w:sz w:val="14"/>
        </w:rPr>
        <w:t>T.,</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2"/>
          <w:w w:val="80"/>
          <w:sz w:val="14"/>
        </w:rPr>
        <w:t> </w:t>
      </w:r>
      <w:r>
        <w:rPr>
          <w:rFonts w:ascii="Arial" w:hAnsi="Arial"/>
          <w:color w:val="231F20"/>
          <w:w w:val="80"/>
          <w:sz w:val="14"/>
        </w:rPr>
        <w:t>T.</w:t>
      </w:r>
      <w:r>
        <w:rPr>
          <w:rFonts w:ascii="Arial" w:hAnsi="Arial"/>
          <w:color w:val="231F20"/>
          <w:spacing w:val="-8"/>
          <w:sz w:val="14"/>
        </w:rPr>
        <w:t> </w:t>
      </w:r>
      <w:r>
        <w:rPr>
          <w:rFonts w:ascii="Arial" w:hAnsi="Arial"/>
          <w:color w:val="231F20"/>
          <w:w w:val="80"/>
          <w:sz w:val="14"/>
        </w:rPr>
        <w:t>C.</w:t>
      </w:r>
      <w:r>
        <w:rPr>
          <w:rFonts w:ascii="Arial" w:hAnsi="Arial"/>
          <w:color w:val="231F20"/>
          <w:spacing w:val="-3"/>
          <w:sz w:val="14"/>
        </w:rPr>
        <w:t> </w:t>
      </w:r>
      <w:r>
        <w:rPr>
          <w:rFonts w:ascii="Arial" w:hAnsi="Arial"/>
          <w:color w:val="231F20"/>
          <w:w w:val="80"/>
          <w:sz w:val="14"/>
        </w:rPr>
        <w:t>de</w:t>
      </w:r>
      <w:r>
        <w:rPr>
          <w:rFonts w:ascii="Arial" w:hAnsi="Arial"/>
          <w:color w:val="231F20"/>
          <w:spacing w:val="-2"/>
          <w:w w:val="80"/>
          <w:sz w:val="14"/>
        </w:rPr>
        <w:t> </w:t>
      </w:r>
      <w:r>
        <w:rPr>
          <w:rFonts w:ascii="Arial" w:hAnsi="Arial"/>
          <w:color w:val="231F20"/>
          <w:w w:val="80"/>
          <w:sz w:val="14"/>
        </w:rPr>
        <w:t>Azevedo</w:t>
      </w:r>
      <w:r>
        <w:rPr>
          <w:rFonts w:ascii="Arial" w:hAnsi="Arial"/>
          <w:color w:val="231F20"/>
          <w:spacing w:val="-4"/>
          <w:sz w:val="14"/>
        </w:rPr>
        <w:t> </w:t>
      </w:r>
      <w:r>
        <w:rPr>
          <w:rFonts w:ascii="Arial" w:hAnsi="Arial"/>
          <w:color w:val="231F20"/>
          <w:w w:val="80"/>
          <w:sz w:val="14"/>
        </w:rPr>
        <w:t>Marques.</w:t>
      </w:r>
      <w:r>
        <w:rPr>
          <w:rFonts w:ascii="Arial" w:hAnsi="Arial"/>
          <w:color w:val="231F20"/>
          <w:spacing w:val="-4"/>
          <w:sz w:val="14"/>
        </w:rPr>
        <w:t> </w:t>
      </w:r>
      <w:r>
        <w:rPr>
          <w:rFonts w:ascii="Arial" w:hAnsi="Arial"/>
          <w:color w:val="231F20"/>
          <w:w w:val="80"/>
          <w:sz w:val="14"/>
        </w:rPr>
        <w:t>2020.</w:t>
      </w:r>
      <w:r>
        <w:rPr>
          <w:rFonts w:ascii="Arial" w:hAnsi="Arial"/>
          <w:color w:val="231F20"/>
          <w:spacing w:val="-2"/>
          <w:w w:val="80"/>
          <w:sz w:val="14"/>
        </w:rPr>
        <w:t> </w:t>
      </w:r>
      <w:r>
        <w:rPr>
          <w:rFonts w:ascii="Arial" w:hAnsi="Arial"/>
          <w:color w:val="231F20"/>
          <w:w w:val="80"/>
          <w:sz w:val="14"/>
        </w:rPr>
        <w:t>“A</w:t>
      </w:r>
      <w:r>
        <w:rPr>
          <w:rFonts w:ascii="Arial" w:hAnsi="Arial"/>
          <w:color w:val="231F20"/>
          <w:spacing w:val="-4"/>
          <w:sz w:val="14"/>
        </w:rPr>
        <w:t> </w:t>
      </w:r>
      <w:r>
        <w:rPr>
          <w:rFonts w:ascii="Arial" w:hAnsi="Arial"/>
          <w:color w:val="231F20"/>
          <w:w w:val="80"/>
          <w:sz w:val="14"/>
        </w:rPr>
        <w:t>Integração</w:t>
      </w:r>
      <w:r>
        <w:rPr>
          <w:rFonts w:ascii="Arial" w:hAnsi="Arial"/>
          <w:color w:val="231F20"/>
          <w:spacing w:val="-4"/>
          <w:sz w:val="14"/>
        </w:rPr>
        <w:t> </w:t>
      </w:r>
      <w:r>
        <w:rPr>
          <w:rFonts w:ascii="Arial" w:hAnsi="Arial"/>
          <w:color w:val="231F20"/>
          <w:w w:val="80"/>
          <w:sz w:val="14"/>
        </w:rPr>
        <w:t>Física</w:t>
      </w:r>
      <w:r>
        <w:rPr>
          <w:rFonts w:ascii="Arial" w:hAnsi="Arial"/>
          <w:color w:val="231F20"/>
          <w:spacing w:val="-4"/>
          <w:sz w:val="14"/>
        </w:rPr>
        <w:t> </w:t>
      </w:r>
      <w:r>
        <w:rPr>
          <w:rFonts w:ascii="Arial" w:hAnsi="Arial"/>
          <w:color w:val="231F20"/>
          <w:w w:val="80"/>
          <w:sz w:val="14"/>
        </w:rPr>
        <w:t>Sul-</w:t>
      </w:r>
      <w:r>
        <w:rPr>
          <w:rFonts w:ascii="Arial" w:hAnsi="Arial"/>
          <w:color w:val="231F20"/>
          <w:spacing w:val="40"/>
          <w:sz w:val="14"/>
        </w:rPr>
        <w:t> </w:t>
      </w:r>
      <w:r>
        <w:rPr>
          <w:rFonts w:ascii="Arial" w:hAnsi="Arial"/>
          <w:color w:val="231F20"/>
          <w:w w:val="75"/>
          <w:sz w:val="14"/>
        </w:rPr>
        <w:t>Americana</w:t>
      </w:r>
      <w:r>
        <w:rPr>
          <w:rFonts w:ascii="Arial" w:hAnsi="Arial"/>
          <w:color w:val="231F20"/>
          <w:sz w:val="14"/>
        </w:rPr>
        <w:t> </w:t>
      </w:r>
      <w:r>
        <w:rPr>
          <w:rFonts w:ascii="Arial" w:hAnsi="Arial"/>
          <w:color w:val="231F20"/>
          <w:w w:val="75"/>
          <w:sz w:val="14"/>
        </w:rPr>
        <w:t>No</w:t>
      </w:r>
      <w:r>
        <w:rPr>
          <w:rFonts w:ascii="Arial" w:hAnsi="Arial"/>
          <w:color w:val="231F20"/>
          <w:sz w:val="14"/>
        </w:rPr>
        <w:t> </w:t>
      </w:r>
      <w:r>
        <w:rPr>
          <w:rFonts w:ascii="Arial" w:hAnsi="Arial"/>
          <w:color w:val="231F20"/>
          <w:w w:val="75"/>
          <w:sz w:val="14"/>
        </w:rPr>
        <w:t>Período</w:t>
      </w:r>
      <w:r>
        <w:rPr>
          <w:rFonts w:ascii="Arial" w:hAnsi="Arial"/>
          <w:color w:val="231F20"/>
          <w:sz w:val="14"/>
        </w:rPr>
        <w:t> </w:t>
      </w:r>
      <w:r>
        <w:rPr>
          <w:rFonts w:ascii="Arial" w:hAnsi="Arial"/>
          <w:color w:val="231F20"/>
          <w:w w:val="75"/>
          <w:sz w:val="14"/>
        </w:rPr>
        <w:t>Recente</w:t>
      </w:r>
      <w:r>
        <w:rPr>
          <w:rFonts w:ascii="Arial" w:hAnsi="Arial"/>
          <w:color w:val="231F20"/>
          <w:sz w:val="14"/>
        </w:rPr>
        <w:t> </w:t>
      </w:r>
      <w:r>
        <w:rPr>
          <w:rFonts w:ascii="Arial" w:hAnsi="Arial"/>
          <w:color w:val="231F20"/>
          <w:w w:val="75"/>
          <w:sz w:val="14"/>
        </w:rPr>
        <w:t>(2000-2020): Situação, Continuidade,</w:t>
      </w:r>
      <w:r>
        <w:rPr>
          <w:rFonts w:ascii="Arial" w:hAnsi="Arial"/>
          <w:color w:val="231F20"/>
          <w:spacing w:val="40"/>
          <w:sz w:val="14"/>
        </w:rPr>
        <w:t> </w:t>
      </w:r>
      <w:r>
        <w:rPr>
          <w:rFonts w:ascii="Arial" w:hAnsi="Arial"/>
          <w:color w:val="231F20"/>
          <w:w w:val="80"/>
          <w:sz w:val="14"/>
        </w:rPr>
        <w:t>Inflexão E Reversão.” </w:t>
      </w:r>
      <w:r>
        <w:rPr>
          <w:rFonts w:ascii="Arial" w:hAnsi="Arial"/>
          <w:i/>
          <w:color w:val="231F20"/>
          <w:w w:val="80"/>
          <w:sz w:val="14"/>
        </w:rPr>
        <w:t>Revista Tempo Do Mundo </w:t>
      </w:r>
      <w:r>
        <w:rPr>
          <w:rFonts w:ascii="Arial" w:hAnsi="Arial"/>
          <w:color w:val="231F20"/>
          <w:w w:val="80"/>
          <w:sz w:val="14"/>
        </w:rPr>
        <w:t>23: 149–180.</w:t>
      </w:r>
    </w:p>
    <w:p>
      <w:pPr>
        <w:spacing w:line="297" w:lineRule="auto" w:before="1"/>
        <w:ind w:left="451" w:right="657" w:hanging="240"/>
        <w:jc w:val="left"/>
        <w:rPr>
          <w:rFonts w:ascii="Arial" w:hAnsi="Arial"/>
          <w:sz w:val="14"/>
        </w:rPr>
      </w:pPr>
      <w:r>
        <w:rPr>
          <w:rFonts w:ascii="Arial" w:hAnsi="Arial"/>
          <w:color w:val="231F20"/>
          <w:w w:val="80"/>
          <w:sz w:val="14"/>
        </w:rPr>
        <w:t>Yan-Chun,</w:t>
      </w:r>
      <w:r>
        <w:rPr>
          <w:rFonts w:ascii="Arial" w:hAnsi="Arial"/>
          <w:color w:val="231F20"/>
          <w:spacing w:val="-2"/>
          <w:w w:val="80"/>
          <w:sz w:val="14"/>
        </w:rPr>
        <w:t> </w:t>
      </w:r>
      <w:r>
        <w:rPr>
          <w:rFonts w:ascii="Arial" w:hAnsi="Arial"/>
          <w:color w:val="231F20"/>
          <w:w w:val="80"/>
          <w:sz w:val="14"/>
        </w:rPr>
        <w:t>C.,</w:t>
      </w:r>
      <w:r>
        <w:rPr>
          <w:rFonts w:ascii="Arial" w:hAnsi="Arial"/>
          <w:color w:val="231F20"/>
          <w:spacing w:val="-2"/>
          <w:w w:val="80"/>
          <w:sz w:val="14"/>
        </w:rPr>
        <w:t> </w:t>
      </w:r>
      <w:r>
        <w:rPr>
          <w:rFonts w:ascii="Arial" w:hAnsi="Arial"/>
          <w:color w:val="231F20"/>
          <w:w w:val="80"/>
          <w:sz w:val="14"/>
        </w:rPr>
        <w:t>and M. K. Hasan. 2020.</w:t>
      </w:r>
      <w:r>
        <w:rPr>
          <w:rFonts w:ascii="Arial" w:hAnsi="Arial"/>
          <w:color w:val="231F20"/>
          <w:spacing w:val="-2"/>
          <w:w w:val="80"/>
          <w:sz w:val="14"/>
        </w:rPr>
        <w:t> </w:t>
      </w:r>
      <w:r>
        <w:rPr>
          <w:rFonts w:ascii="Arial" w:hAnsi="Arial"/>
          <w:color w:val="231F20"/>
          <w:w w:val="80"/>
          <w:sz w:val="14"/>
        </w:rPr>
        <w:t>“Model to Improve the </w:t>
      </w:r>
      <w:r>
        <w:rPr>
          <w:rFonts w:ascii="Arial" w:hAnsi="Arial"/>
          <w:color w:val="231F20"/>
          <w:w w:val="80"/>
          <w:sz w:val="14"/>
        </w:rPr>
        <w:t>Dimensions</w:t>
      </w:r>
      <w:r>
        <w:rPr>
          <w:rFonts w:ascii="Arial" w:hAnsi="Arial"/>
          <w:color w:val="231F20"/>
          <w:spacing w:val="40"/>
          <w:sz w:val="14"/>
        </w:rPr>
        <w:t> </w:t>
      </w:r>
      <w:r>
        <w:rPr>
          <w:rFonts w:ascii="Arial" w:hAnsi="Arial"/>
          <w:color w:val="231F20"/>
          <w:w w:val="80"/>
          <w:sz w:val="14"/>
        </w:rPr>
        <w:t>of Logistics Performance in Asian Countries.” </w:t>
      </w:r>
      <w:r>
        <w:rPr>
          <w:rFonts w:ascii="Arial" w:hAnsi="Arial"/>
          <w:i/>
          <w:color w:val="231F20"/>
          <w:w w:val="80"/>
          <w:sz w:val="14"/>
        </w:rPr>
        <w:t>North American</w:t>
      </w:r>
      <w:r>
        <w:rPr>
          <w:rFonts w:ascii="Arial" w:hAnsi="Arial"/>
          <w:i/>
          <w:color w:val="231F20"/>
          <w:spacing w:val="40"/>
          <w:sz w:val="14"/>
        </w:rPr>
        <w:t> </w:t>
      </w:r>
      <w:r>
        <w:rPr>
          <w:rFonts w:ascii="Arial" w:hAnsi="Arial"/>
          <w:i/>
          <w:color w:val="231F20"/>
          <w:w w:val="85"/>
          <w:sz w:val="14"/>
        </w:rPr>
        <w:t>Academic Research </w:t>
      </w:r>
      <w:r>
        <w:rPr>
          <w:rFonts w:ascii="Arial" w:hAnsi="Arial"/>
          <w:color w:val="231F20"/>
          <w:w w:val="85"/>
          <w:sz w:val="14"/>
        </w:rPr>
        <w:t>3 (7).</w:t>
      </w:r>
    </w:p>
    <w:p>
      <w:pPr>
        <w:spacing w:line="297" w:lineRule="auto" w:before="1"/>
        <w:ind w:left="451" w:right="731" w:hanging="240"/>
        <w:jc w:val="both"/>
        <w:rPr>
          <w:rFonts w:ascii="Arial" w:hAnsi="Arial"/>
          <w:sz w:val="14"/>
        </w:rPr>
      </w:pPr>
      <w:r>
        <w:rPr>
          <w:rFonts w:ascii="Arial" w:hAnsi="Arial"/>
          <w:color w:val="231F20"/>
          <w:w w:val="80"/>
          <w:sz w:val="14"/>
        </w:rPr>
        <w:t>Yang, L., Q. Dong, Z. Tong, Q.</w:t>
      </w:r>
      <w:r>
        <w:rPr>
          <w:rFonts w:ascii="Arial" w:hAnsi="Arial"/>
          <w:color w:val="231F20"/>
          <w:spacing w:val="30"/>
          <w:sz w:val="14"/>
        </w:rPr>
        <w:t> </w:t>
      </w:r>
      <w:r>
        <w:rPr>
          <w:rFonts w:ascii="Arial" w:hAnsi="Arial"/>
          <w:color w:val="231F20"/>
          <w:w w:val="80"/>
          <w:sz w:val="14"/>
        </w:rPr>
        <w:t>Wang, and J. Wu. 2022. “Logistics Input</w:t>
      </w:r>
      <w:r>
        <w:rPr>
          <w:rFonts w:ascii="Arial" w:hAnsi="Arial"/>
          <w:color w:val="231F20"/>
          <w:spacing w:val="40"/>
          <w:sz w:val="14"/>
        </w:rPr>
        <w:t> </w:t>
      </w:r>
      <w:r>
        <w:rPr>
          <w:rFonts w:ascii="Arial" w:hAnsi="Arial"/>
          <w:color w:val="231F20"/>
          <w:w w:val="75"/>
          <w:sz w:val="14"/>
        </w:rPr>
        <w:t>Intensity, Trade</w:t>
      </w:r>
      <w:r>
        <w:rPr>
          <w:rFonts w:ascii="Arial" w:hAnsi="Arial"/>
          <w:color w:val="231F20"/>
          <w:sz w:val="14"/>
        </w:rPr>
        <w:t> </w:t>
      </w:r>
      <w:r>
        <w:rPr>
          <w:rFonts w:ascii="Arial" w:hAnsi="Arial"/>
          <w:color w:val="231F20"/>
          <w:w w:val="75"/>
          <w:sz w:val="14"/>
        </w:rPr>
        <w:t>Facilitation</w:t>
      </w:r>
      <w:r>
        <w:rPr>
          <w:rFonts w:ascii="Arial" w:hAnsi="Arial"/>
          <w:color w:val="231F20"/>
          <w:sz w:val="14"/>
        </w:rPr>
        <w:t> </w:t>
      </w:r>
      <w:r>
        <w:rPr>
          <w:rFonts w:ascii="Arial" w:hAnsi="Arial"/>
          <w:color w:val="231F20"/>
          <w:w w:val="75"/>
          <w:sz w:val="14"/>
        </w:rPr>
        <w:t>and</w:t>
      </w:r>
      <w:r>
        <w:rPr>
          <w:rFonts w:ascii="Arial" w:hAnsi="Arial"/>
          <w:color w:val="231F20"/>
          <w:sz w:val="14"/>
        </w:rPr>
        <w:t> </w:t>
      </w:r>
      <w:r>
        <w:rPr>
          <w:rFonts w:ascii="Arial" w:hAnsi="Arial"/>
          <w:color w:val="231F20"/>
          <w:w w:val="75"/>
          <w:sz w:val="14"/>
        </w:rPr>
        <w:t>Comparative Advantage.” </w:t>
      </w:r>
      <w:r>
        <w:rPr>
          <w:rFonts w:ascii="Arial" w:hAnsi="Arial"/>
          <w:i/>
          <w:color w:val="231F20"/>
          <w:w w:val="75"/>
          <w:sz w:val="14"/>
        </w:rPr>
        <w:t>The</w:t>
      </w:r>
      <w:r>
        <w:rPr>
          <w:rFonts w:ascii="Arial" w:hAnsi="Arial"/>
          <w:i/>
          <w:color w:val="231F20"/>
          <w:sz w:val="14"/>
        </w:rPr>
        <w:t> </w:t>
      </w:r>
      <w:r>
        <w:rPr>
          <w:rFonts w:ascii="Arial" w:hAnsi="Arial"/>
          <w:i/>
          <w:color w:val="231F20"/>
          <w:w w:val="75"/>
          <w:sz w:val="14"/>
        </w:rPr>
        <w:t>Journal</w:t>
      </w:r>
      <w:r>
        <w:rPr>
          <w:rFonts w:ascii="Arial" w:hAnsi="Arial"/>
          <w:i/>
          <w:color w:val="231F20"/>
          <w:spacing w:val="40"/>
          <w:sz w:val="14"/>
        </w:rPr>
        <w:t> </w:t>
      </w:r>
      <w:r>
        <w:rPr>
          <w:rFonts w:ascii="Arial" w:hAnsi="Arial"/>
          <w:i/>
          <w:color w:val="231F20"/>
          <w:w w:val="80"/>
          <w:sz w:val="14"/>
        </w:rPr>
        <w:t>of International Trade &amp; Economic Development </w:t>
      </w:r>
      <w:r>
        <w:rPr>
          <w:rFonts w:ascii="Arial" w:hAnsi="Arial"/>
          <w:color w:val="231F20"/>
          <w:w w:val="80"/>
          <w:sz w:val="14"/>
        </w:rPr>
        <w:t>31 (5): 725–741.</w:t>
      </w:r>
    </w:p>
    <w:p>
      <w:pPr>
        <w:spacing w:line="297" w:lineRule="auto" w:before="1"/>
        <w:ind w:left="451" w:right="657" w:hanging="240"/>
        <w:jc w:val="left"/>
        <w:rPr>
          <w:rFonts w:ascii="Arial" w:hAnsi="Arial"/>
          <w:sz w:val="14"/>
        </w:rPr>
      </w:pPr>
      <w:r>
        <w:rPr>
          <w:rFonts w:ascii="Arial" w:hAnsi="Arial"/>
          <w:color w:val="231F20"/>
          <w:w w:val="85"/>
          <w:sz w:val="14"/>
        </w:rPr>
        <w:t>Yazgan,</w:t>
      </w:r>
      <w:r>
        <w:rPr>
          <w:rFonts w:ascii="Arial" w:hAnsi="Arial"/>
          <w:color w:val="231F20"/>
          <w:spacing w:val="-6"/>
          <w:w w:val="85"/>
          <w:sz w:val="14"/>
        </w:rPr>
        <w:t> </w:t>
      </w:r>
      <w:r>
        <w:rPr>
          <w:rFonts w:ascii="Arial" w:hAnsi="Arial"/>
          <w:color w:val="231F20"/>
          <w:w w:val="85"/>
          <w:sz w:val="14"/>
        </w:rPr>
        <w:t>H.</w:t>
      </w:r>
      <w:r>
        <w:rPr>
          <w:rFonts w:ascii="Arial" w:hAnsi="Arial"/>
          <w:color w:val="231F20"/>
          <w:spacing w:val="-4"/>
          <w:w w:val="85"/>
          <w:sz w:val="14"/>
        </w:rPr>
        <w:t> </w:t>
      </w:r>
      <w:r>
        <w:rPr>
          <w:rFonts w:ascii="Arial" w:hAnsi="Arial"/>
          <w:color w:val="231F20"/>
          <w:w w:val="85"/>
          <w:sz w:val="14"/>
        </w:rPr>
        <w:t>R.,</w:t>
      </w:r>
      <w:r>
        <w:rPr>
          <w:rFonts w:ascii="Arial" w:hAnsi="Arial"/>
          <w:color w:val="231F20"/>
          <w:spacing w:val="-5"/>
          <w:w w:val="85"/>
          <w:sz w:val="14"/>
        </w:rPr>
        <w:t> </w:t>
      </w:r>
      <w:r>
        <w:rPr>
          <w:rFonts w:ascii="Arial" w:hAnsi="Arial"/>
          <w:color w:val="231F20"/>
          <w:w w:val="85"/>
          <w:sz w:val="14"/>
        </w:rPr>
        <w:t>S.</w:t>
      </w:r>
      <w:r>
        <w:rPr>
          <w:rFonts w:ascii="Arial" w:hAnsi="Arial"/>
          <w:color w:val="231F20"/>
          <w:spacing w:val="-4"/>
          <w:w w:val="85"/>
          <w:sz w:val="14"/>
        </w:rPr>
        <w:t> </w:t>
      </w:r>
      <w:r>
        <w:rPr>
          <w:rFonts w:ascii="Arial" w:hAnsi="Arial"/>
          <w:color w:val="231F20"/>
          <w:w w:val="85"/>
          <w:sz w:val="14"/>
        </w:rPr>
        <w:t>Kir,</w:t>
      </w:r>
      <w:r>
        <w:rPr>
          <w:rFonts w:ascii="Arial" w:hAnsi="Arial"/>
          <w:color w:val="231F20"/>
          <w:spacing w:val="-5"/>
          <w:w w:val="85"/>
          <w:sz w:val="14"/>
        </w:rPr>
        <w:t> </w:t>
      </w:r>
      <w:r>
        <w:rPr>
          <w:rFonts w:ascii="Arial" w:hAnsi="Arial"/>
          <w:color w:val="231F20"/>
          <w:w w:val="85"/>
          <w:sz w:val="14"/>
        </w:rPr>
        <w:t>F.</w:t>
      </w:r>
      <w:r>
        <w:rPr>
          <w:rFonts w:ascii="Arial" w:hAnsi="Arial"/>
          <w:color w:val="231F20"/>
          <w:spacing w:val="-5"/>
          <w:w w:val="85"/>
          <w:sz w:val="14"/>
        </w:rPr>
        <w:t> </w:t>
      </w:r>
      <w:r>
        <w:rPr>
          <w:rFonts w:ascii="Arial" w:hAnsi="Arial"/>
          <w:color w:val="231F20"/>
          <w:w w:val="85"/>
          <w:sz w:val="14"/>
        </w:rPr>
        <w:t>Yener,</w:t>
      </w:r>
      <w:r>
        <w:rPr>
          <w:rFonts w:ascii="Arial" w:hAnsi="Arial"/>
          <w:color w:val="231F20"/>
          <w:spacing w:val="-5"/>
          <w:w w:val="85"/>
          <w:sz w:val="14"/>
        </w:rPr>
        <w:t> </w:t>
      </w:r>
      <w:r>
        <w:rPr>
          <w:rFonts w:ascii="Arial" w:hAnsi="Arial"/>
          <w:color w:val="231F20"/>
          <w:w w:val="85"/>
          <w:sz w:val="14"/>
        </w:rPr>
        <w:t>and</w:t>
      </w:r>
      <w:r>
        <w:rPr>
          <w:rFonts w:ascii="Arial" w:hAnsi="Arial"/>
          <w:color w:val="231F20"/>
          <w:spacing w:val="-4"/>
          <w:w w:val="85"/>
          <w:sz w:val="14"/>
        </w:rPr>
        <w:t> </w:t>
      </w:r>
      <w:r>
        <w:rPr>
          <w:rFonts w:ascii="Arial" w:hAnsi="Arial"/>
          <w:color w:val="231F20"/>
          <w:w w:val="85"/>
          <w:sz w:val="14"/>
        </w:rPr>
        <w:t>S.</w:t>
      </w:r>
      <w:r>
        <w:rPr>
          <w:rFonts w:ascii="Arial" w:hAnsi="Arial"/>
          <w:color w:val="231F20"/>
          <w:spacing w:val="-4"/>
          <w:w w:val="85"/>
          <w:sz w:val="14"/>
        </w:rPr>
        <w:t> </w:t>
      </w:r>
      <w:r>
        <w:rPr>
          <w:rFonts w:ascii="Arial" w:hAnsi="Arial"/>
          <w:color w:val="231F20"/>
          <w:w w:val="85"/>
          <w:sz w:val="14"/>
        </w:rPr>
        <w:t>E.</w:t>
      </w:r>
      <w:r>
        <w:rPr>
          <w:rFonts w:ascii="Arial" w:hAnsi="Arial"/>
          <w:color w:val="231F20"/>
          <w:spacing w:val="-4"/>
          <w:w w:val="85"/>
          <w:sz w:val="14"/>
        </w:rPr>
        <w:t> </w:t>
      </w:r>
      <w:r>
        <w:rPr>
          <w:rFonts w:ascii="Arial" w:hAnsi="Arial"/>
          <w:color w:val="231F20"/>
          <w:w w:val="85"/>
          <w:sz w:val="14"/>
        </w:rPr>
        <w:t>Comert.</w:t>
      </w:r>
      <w:r>
        <w:rPr>
          <w:rFonts w:ascii="Arial" w:hAnsi="Arial"/>
          <w:color w:val="231F20"/>
          <w:spacing w:val="-4"/>
          <w:w w:val="85"/>
          <w:sz w:val="14"/>
        </w:rPr>
        <w:t> </w:t>
      </w:r>
      <w:r>
        <w:rPr>
          <w:rFonts w:ascii="Arial" w:hAnsi="Arial"/>
          <w:color w:val="231F20"/>
          <w:w w:val="85"/>
          <w:sz w:val="14"/>
        </w:rPr>
        <w:t>2020.</w:t>
      </w:r>
      <w:r>
        <w:rPr>
          <w:rFonts w:ascii="Arial" w:hAnsi="Arial"/>
          <w:color w:val="231F20"/>
          <w:spacing w:val="-5"/>
          <w:w w:val="85"/>
          <w:sz w:val="14"/>
        </w:rPr>
        <w:t> </w:t>
      </w:r>
      <w:r>
        <w:rPr>
          <w:rFonts w:ascii="Arial" w:hAnsi="Arial"/>
          <w:color w:val="231F20"/>
          <w:w w:val="85"/>
          <w:sz w:val="14"/>
        </w:rPr>
        <w:t>“A</w:t>
      </w:r>
      <w:r>
        <w:rPr>
          <w:rFonts w:ascii="Arial" w:hAnsi="Arial"/>
          <w:color w:val="231F20"/>
          <w:spacing w:val="-4"/>
          <w:w w:val="85"/>
          <w:sz w:val="14"/>
        </w:rPr>
        <w:t> </w:t>
      </w:r>
      <w:r>
        <w:rPr>
          <w:rFonts w:ascii="Arial" w:hAnsi="Arial"/>
          <w:color w:val="231F20"/>
          <w:w w:val="85"/>
          <w:sz w:val="14"/>
        </w:rPr>
        <w:t>New</w:t>
      </w:r>
      <w:r>
        <w:rPr>
          <w:rFonts w:ascii="Arial" w:hAnsi="Arial"/>
          <w:color w:val="231F20"/>
          <w:spacing w:val="40"/>
          <w:sz w:val="14"/>
        </w:rPr>
        <w:t> </w:t>
      </w:r>
      <w:r>
        <w:rPr>
          <w:rFonts w:ascii="Arial" w:hAnsi="Arial"/>
          <w:color w:val="231F20"/>
          <w:spacing w:val="-2"/>
          <w:w w:val="80"/>
          <w:sz w:val="14"/>
        </w:rPr>
        <w:t>Collecting</w:t>
      </w:r>
      <w:r>
        <w:rPr>
          <w:rFonts w:ascii="Arial" w:hAnsi="Arial"/>
          <w:color w:val="231F20"/>
          <w:spacing w:val="-3"/>
          <w:sz w:val="14"/>
        </w:rPr>
        <w:t> </w:t>
      </w:r>
      <w:r>
        <w:rPr>
          <w:rFonts w:ascii="Arial" w:hAnsi="Arial"/>
          <w:color w:val="231F20"/>
          <w:spacing w:val="-2"/>
          <w:w w:val="80"/>
          <w:sz w:val="14"/>
        </w:rPr>
        <w:t>and</w:t>
      </w:r>
      <w:r>
        <w:rPr>
          <w:rFonts w:ascii="Arial" w:hAnsi="Arial"/>
          <w:color w:val="231F20"/>
          <w:spacing w:val="-3"/>
          <w:sz w:val="14"/>
        </w:rPr>
        <w:t> </w:t>
      </w:r>
      <w:r>
        <w:rPr>
          <w:rFonts w:ascii="Arial" w:hAnsi="Arial"/>
          <w:color w:val="231F20"/>
          <w:spacing w:val="-2"/>
          <w:w w:val="80"/>
          <w:sz w:val="14"/>
        </w:rPr>
        <w:t>Management</w:t>
      </w:r>
      <w:r>
        <w:rPr>
          <w:rFonts w:ascii="Arial" w:hAnsi="Arial"/>
          <w:color w:val="231F20"/>
          <w:spacing w:val="-3"/>
          <w:sz w:val="14"/>
        </w:rPr>
        <w:t> </w:t>
      </w:r>
      <w:r>
        <w:rPr>
          <w:rFonts w:ascii="Arial" w:hAnsi="Arial"/>
          <w:color w:val="231F20"/>
          <w:spacing w:val="-2"/>
          <w:w w:val="80"/>
          <w:sz w:val="14"/>
        </w:rPr>
        <w:t>Proposal</w:t>
      </w:r>
      <w:r>
        <w:rPr>
          <w:rFonts w:ascii="Arial" w:hAnsi="Arial"/>
          <w:color w:val="231F20"/>
          <w:spacing w:val="-3"/>
          <w:sz w:val="14"/>
        </w:rPr>
        <w:t> </w:t>
      </w:r>
      <w:r>
        <w:rPr>
          <w:rFonts w:ascii="Arial" w:hAnsi="Arial"/>
          <w:color w:val="231F20"/>
          <w:spacing w:val="-2"/>
          <w:w w:val="80"/>
          <w:sz w:val="14"/>
        </w:rPr>
        <w:t>Under</w:t>
      </w:r>
      <w:r>
        <w:rPr>
          <w:rFonts w:ascii="Arial" w:hAnsi="Arial"/>
          <w:color w:val="231F20"/>
          <w:spacing w:val="-3"/>
          <w:sz w:val="14"/>
        </w:rPr>
        <w:t> </w:t>
      </w:r>
      <w:r>
        <w:rPr>
          <w:rFonts w:ascii="Arial" w:hAnsi="Arial"/>
          <w:color w:val="231F20"/>
          <w:spacing w:val="-2"/>
          <w:w w:val="80"/>
          <w:sz w:val="14"/>
        </w:rPr>
        <w:t>Logistics</w:t>
      </w:r>
      <w:r>
        <w:rPr>
          <w:rFonts w:ascii="Arial" w:hAnsi="Arial"/>
          <w:color w:val="231F20"/>
          <w:spacing w:val="-3"/>
          <w:sz w:val="14"/>
        </w:rPr>
        <w:t> </w:t>
      </w:r>
      <w:r>
        <w:rPr>
          <w:rFonts w:ascii="Arial" w:hAnsi="Arial"/>
          <w:color w:val="231F20"/>
          <w:spacing w:val="-2"/>
          <w:w w:val="80"/>
          <w:sz w:val="14"/>
        </w:rPr>
        <w:t>4.0</w:t>
      </w:r>
      <w:r>
        <w:rPr>
          <w:rFonts w:ascii="Arial" w:hAnsi="Arial"/>
          <w:color w:val="231F20"/>
          <w:spacing w:val="-3"/>
          <w:sz w:val="14"/>
        </w:rPr>
        <w:t> </w:t>
      </w:r>
      <w:r>
        <w:rPr>
          <w:rFonts w:ascii="Arial" w:hAnsi="Arial"/>
          <w:color w:val="231F20"/>
          <w:spacing w:val="-2"/>
          <w:w w:val="80"/>
          <w:sz w:val="14"/>
        </w:rPr>
        <w:t>and</w:t>
      </w:r>
      <w:r>
        <w:rPr>
          <w:rFonts w:ascii="Arial" w:hAnsi="Arial"/>
          <w:color w:val="231F20"/>
          <w:spacing w:val="-3"/>
          <w:sz w:val="14"/>
        </w:rPr>
        <w:t> </w:t>
      </w:r>
      <w:r>
        <w:rPr>
          <w:rFonts w:ascii="Arial" w:hAnsi="Arial"/>
          <w:color w:val="231F20"/>
          <w:spacing w:val="-2"/>
          <w:w w:val="80"/>
          <w:sz w:val="14"/>
        </w:rPr>
        <w:t>Green</w:t>
      </w:r>
      <w:r>
        <w:rPr>
          <w:rFonts w:ascii="Arial" w:hAnsi="Arial"/>
          <w:color w:val="231F20"/>
          <w:spacing w:val="40"/>
          <w:sz w:val="14"/>
        </w:rPr>
        <w:t> </w:t>
      </w:r>
      <w:r>
        <w:rPr>
          <w:rFonts w:ascii="Arial" w:hAnsi="Arial"/>
          <w:color w:val="231F20"/>
          <w:w w:val="85"/>
          <w:sz w:val="14"/>
        </w:rPr>
        <w:t>Concept.”</w:t>
      </w:r>
      <w:r>
        <w:rPr>
          <w:rFonts w:ascii="Arial" w:hAnsi="Arial"/>
          <w:color w:val="231F20"/>
          <w:spacing w:val="-5"/>
          <w:w w:val="85"/>
          <w:sz w:val="14"/>
        </w:rPr>
        <w:t> </w:t>
      </w:r>
      <w:r>
        <w:rPr>
          <w:rFonts w:ascii="Arial" w:hAnsi="Arial"/>
          <w:i/>
          <w:color w:val="231F20"/>
          <w:w w:val="85"/>
          <w:sz w:val="14"/>
        </w:rPr>
        <w:t>Logistics 4.0</w:t>
      </w:r>
      <w:r>
        <w:rPr>
          <w:rFonts w:ascii="Arial" w:hAnsi="Arial"/>
          <w:color w:val="231F20"/>
          <w:w w:val="85"/>
          <w:sz w:val="14"/>
        </w:rPr>
        <w:t>,</w:t>
      </w:r>
      <w:r>
        <w:rPr>
          <w:rFonts w:ascii="Arial" w:hAnsi="Arial"/>
          <w:color w:val="231F20"/>
          <w:spacing w:val="-5"/>
          <w:w w:val="85"/>
          <w:sz w:val="14"/>
        </w:rPr>
        <w:t> </w:t>
      </w:r>
      <w:r>
        <w:rPr>
          <w:rFonts w:ascii="Arial" w:hAnsi="Arial"/>
          <w:color w:val="231F20"/>
          <w:w w:val="85"/>
          <w:sz w:val="14"/>
        </w:rPr>
        <w:t>320–337.</w:t>
      </w:r>
      <w:r>
        <w:rPr>
          <w:rFonts w:ascii="Arial" w:hAnsi="Arial"/>
          <w:color w:val="231F20"/>
          <w:spacing w:val="-5"/>
          <w:w w:val="85"/>
          <w:sz w:val="14"/>
        </w:rPr>
        <w:t> </w:t>
      </w:r>
      <w:r>
        <w:rPr>
          <w:rFonts w:ascii="Arial" w:hAnsi="Arial"/>
          <w:color w:val="231F20"/>
          <w:w w:val="85"/>
          <w:sz w:val="14"/>
        </w:rPr>
        <w:t>CRC Press.</w:t>
      </w:r>
    </w:p>
    <w:p>
      <w:pPr>
        <w:spacing w:line="297" w:lineRule="auto" w:before="1"/>
        <w:ind w:left="451" w:right="657" w:hanging="240"/>
        <w:jc w:val="left"/>
        <w:rPr>
          <w:rFonts w:ascii="Arial"/>
          <w:i/>
          <w:sz w:val="14"/>
        </w:rPr>
      </w:pPr>
      <w:r>
        <w:rPr>
          <w:rFonts w:ascii="Arial"/>
          <w:color w:val="231F20"/>
          <w:spacing w:val="-2"/>
          <w:w w:val="80"/>
          <w:sz w:val="14"/>
        </w:rPr>
        <w:t>Ye, J.</w:t>
      </w:r>
      <w:r>
        <w:rPr>
          <w:rFonts w:ascii="Arial"/>
          <w:color w:val="231F20"/>
          <w:spacing w:val="-2"/>
          <w:sz w:val="14"/>
        </w:rPr>
        <w:t> </w:t>
      </w:r>
      <w:r>
        <w:rPr>
          <w:rFonts w:ascii="Arial"/>
          <w:color w:val="231F20"/>
          <w:spacing w:val="-2"/>
          <w:w w:val="80"/>
          <w:sz w:val="14"/>
        </w:rPr>
        <w:t>2020.</w:t>
      </w:r>
      <w:r>
        <w:rPr>
          <w:rFonts w:ascii="Arial"/>
          <w:color w:val="231F20"/>
          <w:spacing w:val="-2"/>
          <w:sz w:val="14"/>
        </w:rPr>
        <w:t> </w:t>
      </w:r>
      <w:r>
        <w:rPr>
          <w:rFonts w:ascii="Arial"/>
          <w:i/>
          <w:color w:val="231F20"/>
          <w:spacing w:val="-2"/>
          <w:w w:val="80"/>
          <w:sz w:val="14"/>
        </w:rPr>
        <w:t>Regional</w:t>
      </w:r>
      <w:r>
        <w:rPr>
          <w:rFonts w:ascii="Arial"/>
          <w:i/>
          <w:color w:val="231F20"/>
          <w:spacing w:val="-2"/>
          <w:sz w:val="14"/>
        </w:rPr>
        <w:t> </w:t>
      </w:r>
      <w:r>
        <w:rPr>
          <w:rFonts w:ascii="Arial"/>
          <w:i/>
          <w:color w:val="231F20"/>
          <w:spacing w:val="-2"/>
          <w:w w:val="80"/>
          <w:sz w:val="14"/>
        </w:rPr>
        <w:t>Orientated</w:t>
      </w:r>
      <w:r>
        <w:rPr>
          <w:rFonts w:ascii="Arial"/>
          <w:i/>
          <w:color w:val="231F20"/>
          <w:spacing w:val="-2"/>
          <w:sz w:val="14"/>
        </w:rPr>
        <w:t> </w:t>
      </w:r>
      <w:r>
        <w:rPr>
          <w:rFonts w:ascii="Arial"/>
          <w:i/>
          <w:color w:val="231F20"/>
          <w:spacing w:val="-2"/>
          <w:w w:val="80"/>
          <w:sz w:val="14"/>
        </w:rPr>
        <w:t>Global</w:t>
      </w:r>
      <w:r>
        <w:rPr>
          <w:rFonts w:ascii="Arial"/>
          <w:i/>
          <w:color w:val="231F20"/>
          <w:spacing w:val="-2"/>
          <w:sz w:val="14"/>
        </w:rPr>
        <w:t> </w:t>
      </w:r>
      <w:r>
        <w:rPr>
          <w:rFonts w:ascii="Arial"/>
          <w:i/>
          <w:color w:val="231F20"/>
          <w:spacing w:val="-2"/>
          <w:w w:val="80"/>
          <w:sz w:val="14"/>
        </w:rPr>
        <w:t>Logistics</w:t>
      </w:r>
      <w:r>
        <w:rPr>
          <w:rFonts w:ascii="Arial"/>
          <w:i/>
          <w:color w:val="231F20"/>
          <w:spacing w:val="-2"/>
          <w:sz w:val="14"/>
        </w:rPr>
        <w:t> </w:t>
      </w:r>
      <w:r>
        <w:rPr>
          <w:rFonts w:ascii="Arial"/>
          <w:i/>
          <w:color w:val="231F20"/>
          <w:spacing w:val="-2"/>
          <w:w w:val="80"/>
          <w:sz w:val="14"/>
        </w:rPr>
        <w:t>Network</w:t>
      </w:r>
      <w:r>
        <w:rPr>
          <w:rFonts w:ascii="Arial"/>
          <w:i/>
          <w:color w:val="231F20"/>
          <w:spacing w:val="-2"/>
          <w:sz w:val="14"/>
        </w:rPr>
        <w:t> </w:t>
      </w:r>
      <w:r>
        <w:rPr>
          <w:rFonts w:ascii="Arial"/>
          <w:i/>
          <w:color w:val="231F20"/>
          <w:spacing w:val="-2"/>
          <w:w w:val="80"/>
          <w:sz w:val="14"/>
        </w:rPr>
        <w:t>Redesign</w:t>
      </w:r>
      <w:r>
        <w:rPr>
          <w:rFonts w:ascii="Arial"/>
          <w:i/>
          <w:color w:val="231F20"/>
          <w:spacing w:val="-2"/>
          <w:sz w:val="14"/>
        </w:rPr>
        <w:t> </w:t>
      </w:r>
      <w:r>
        <w:rPr>
          <w:rFonts w:ascii="Arial"/>
          <w:i/>
          <w:color w:val="231F20"/>
          <w:spacing w:val="-2"/>
          <w:w w:val="80"/>
          <w:sz w:val="14"/>
        </w:rPr>
        <w:t>with</w:t>
      </w:r>
      <w:r>
        <w:rPr>
          <w:rFonts w:ascii="Arial"/>
          <w:i/>
          <w:color w:val="231F20"/>
          <w:spacing w:val="40"/>
          <w:sz w:val="14"/>
        </w:rPr>
        <w:t> </w:t>
      </w:r>
      <w:r>
        <w:rPr>
          <w:rFonts w:ascii="Arial"/>
          <w:i/>
          <w:color w:val="231F20"/>
          <w:w w:val="85"/>
          <w:sz w:val="14"/>
        </w:rPr>
        <w:t>Respect</w:t>
      </w:r>
      <w:r>
        <w:rPr>
          <w:rFonts w:ascii="Arial"/>
          <w:i/>
          <w:color w:val="231F20"/>
          <w:spacing w:val="-4"/>
          <w:w w:val="85"/>
          <w:sz w:val="14"/>
        </w:rPr>
        <w:t> </w:t>
      </w:r>
      <w:r>
        <w:rPr>
          <w:rFonts w:ascii="Arial"/>
          <w:i/>
          <w:color w:val="231F20"/>
          <w:w w:val="85"/>
          <w:sz w:val="14"/>
        </w:rPr>
        <w:t>to</w:t>
      </w:r>
      <w:r>
        <w:rPr>
          <w:rFonts w:ascii="Arial"/>
          <w:i/>
          <w:color w:val="231F20"/>
          <w:spacing w:val="-4"/>
          <w:w w:val="85"/>
          <w:sz w:val="14"/>
        </w:rPr>
        <w:t> </w:t>
      </w:r>
      <w:r>
        <w:rPr>
          <w:rFonts w:ascii="Arial"/>
          <w:i/>
          <w:color w:val="231F20"/>
          <w:w w:val="85"/>
          <w:sz w:val="14"/>
        </w:rPr>
        <w:t>the</w:t>
      </w:r>
      <w:r>
        <w:rPr>
          <w:rFonts w:ascii="Arial"/>
          <w:i/>
          <w:color w:val="231F20"/>
          <w:spacing w:val="-4"/>
          <w:w w:val="85"/>
          <w:sz w:val="14"/>
        </w:rPr>
        <w:t> </w:t>
      </w:r>
      <w:r>
        <w:rPr>
          <w:rFonts w:ascii="Arial"/>
          <w:i/>
          <w:color w:val="231F20"/>
          <w:w w:val="85"/>
          <w:sz w:val="14"/>
        </w:rPr>
        <w:t>Belt</w:t>
      </w:r>
      <w:r>
        <w:rPr>
          <w:rFonts w:ascii="Arial"/>
          <w:i/>
          <w:color w:val="231F20"/>
          <w:spacing w:val="-4"/>
          <w:w w:val="85"/>
          <w:sz w:val="14"/>
        </w:rPr>
        <w:t> </w:t>
      </w:r>
      <w:r>
        <w:rPr>
          <w:rFonts w:ascii="Arial"/>
          <w:i/>
          <w:color w:val="231F20"/>
          <w:w w:val="85"/>
          <w:sz w:val="14"/>
        </w:rPr>
        <w:t>and</w:t>
      </w:r>
      <w:r>
        <w:rPr>
          <w:rFonts w:ascii="Arial"/>
          <w:i/>
          <w:color w:val="231F20"/>
          <w:spacing w:val="-4"/>
          <w:w w:val="85"/>
          <w:sz w:val="14"/>
        </w:rPr>
        <w:t> </w:t>
      </w:r>
      <w:r>
        <w:rPr>
          <w:rFonts w:ascii="Arial"/>
          <w:i/>
          <w:color w:val="231F20"/>
          <w:w w:val="85"/>
          <w:sz w:val="14"/>
        </w:rPr>
        <w:t>Road</w:t>
      </w:r>
      <w:r>
        <w:rPr>
          <w:rFonts w:ascii="Arial"/>
          <w:i/>
          <w:color w:val="231F20"/>
          <w:spacing w:val="-4"/>
          <w:w w:val="85"/>
          <w:sz w:val="14"/>
        </w:rPr>
        <w:t> </w:t>
      </w:r>
      <w:r>
        <w:rPr>
          <w:rFonts w:ascii="Arial"/>
          <w:i/>
          <w:color w:val="231F20"/>
          <w:w w:val="85"/>
          <w:sz w:val="14"/>
        </w:rPr>
        <w:t>Initiative.</w:t>
      </w:r>
    </w:p>
    <w:p>
      <w:pPr>
        <w:spacing w:line="297" w:lineRule="auto" w:before="1"/>
        <w:ind w:left="451" w:right="782" w:hanging="240"/>
        <w:jc w:val="left"/>
        <w:rPr>
          <w:rFonts w:ascii="Arial"/>
          <w:sz w:val="14"/>
        </w:rPr>
      </w:pPr>
      <w:r>
        <w:rPr>
          <w:rFonts w:ascii="Arial"/>
          <w:color w:val="231F20"/>
          <w:w w:val="80"/>
          <w:sz w:val="14"/>
        </w:rPr>
        <w:t>Yeni, K., and S. Bastug. 2021. </w:t>
      </w:r>
      <w:r>
        <w:rPr>
          <w:rFonts w:ascii="Arial"/>
          <w:i/>
          <w:color w:val="231F20"/>
          <w:w w:val="80"/>
          <w:sz w:val="14"/>
        </w:rPr>
        <w:t>Sustaining A Resilience of Competitive</w:t>
      </w:r>
      <w:r>
        <w:rPr>
          <w:rFonts w:ascii="Arial"/>
          <w:i/>
          <w:color w:val="231F20"/>
          <w:spacing w:val="40"/>
          <w:sz w:val="14"/>
        </w:rPr>
        <w:t> </w:t>
      </w:r>
      <w:r>
        <w:rPr>
          <w:rFonts w:ascii="Arial"/>
          <w:i/>
          <w:color w:val="231F20"/>
          <w:w w:val="80"/>
          <w:sz w:val="14"/>
        </w:rPr>
        <w:t>Advantage During COVID-19 in Maritime Supply Chains: From</w:t>
      </w:r>
      <w:r>
        <w:rPr>
          <w:rFonts w:ascii="Arial"/>
          <w:i/>
          <w:color w:val="231F20"/>
          <w:spacing w:val="40"/>
          <w:sz w:val="14"/>
        </w:rPr>
        <w:t> </w:t>
      </w:r>
      <w:r>
        <w:rPr>
          <w:rFonts w:ascii="Arial"/>
          <w:i/>
          <w:color w:val="231F20"/>
          <w:w w:val="75"/>
          <w:sz w:val="14"/>
        </w:rPr>
        <w:t>Perspective</w:t>
      </w:r>
      <w:r>
        <w:rPr>
          <w:rFonts w:ascii="Arial"/>
          <w:i/>
          <w:color w:val="231F20"/>
          <w:sz w:val="14"/>
        </w:rPr>
        <w:t> </w:t>
      </w:r>
      <w:r>
        <w:rPr>
          <w:rFonts w:ascii="Arial"/>
          <w:i/>
          <w:color w:val="231F20"/>
          <w:w w:val="75"/>
          <w:sz w:val="14"/>
        </w:rPr>
        <w:t>of</w:t>
      </w:r>
      <w:r>
        <w:rPr>
          <w:rFonts w:ascii="Arial"/>
          <w:i/>
          <w:color w:val="231F20"/>
          <w:sz w:val="14"/>
        </w:rPr>
        <w:t> </w:t>
      </w:r>
      <w:r>
        <w:rPr>
          <w:rFonts w:ascii="Arial"/>
          <w:i/>
          <w:color w:val="231F20"/>
          <w:w w:val="75"/>
          <w:sz w:val="14"/>
        </w:rPr>
        <w:t>Resource-Based Theory</w:t>
      </w:r>
      <w:r>
        <w:rPr>
          <w:rFonts w:ascii="Arial"/>
          <w:color w:val="231F20"/>
          <w:w w:val="75"/>
          <w:sz w:val="14"/>
        </w:rPr>
        <w:t>. 19th</w:t>
      </w:r>
      <w:r>
        <w:rPr>
          <w:rFonts w:ascii="Arial"/>
          <w:color w:val="231F20"/>
          <w:sz w:val="14"/>
        </w:rPr>
        <w:t> </w:t>
      </w:r>
      <w:r>
        <w:rPr>
          <w:rFonts w:ascii="Arial"/>
          <w:color w:val="231F20"/>
          <w:w w:val="75"/>
          <w:sz w:val="14"/>
        </w:rPr>
        <w:t>International</w:t>
      </w:r>
      <w:r>
        <w:rPr>
          <w:rFonts w:ascii="Arial"/>
          <w:color w:val="231F20"/>
          <w:sz w:val="14"/>
        </w:rPr>
        <w:t> </w:t>
      </w:r>
      <w:r>
        <w:rPr>
          <w:rFonts w:ascii="Arial"/>
          <w:color w:val="231F20"/>
          <w:w w:val="75"/>
          <w:sz w:val="14"/>
        </w:rPr>
        <w:t>Logistics</w:t>
      </w:r>
      <w:r>
        <w:rPr>
          <w:rFonts w:ascii="Arial"/>
          <w:color w:val="231F20"/>
          <w:spacing w:val="40"/>
          <w:sz w:val="14"/>
        </w:rPr>
        <w:t> </w:t>
      </w:r>
      <w:r>
        <w:rPr>
          <w:rFonts w:ascii="Arial"/>
          <w:color w:val="231F20"/>
          <w:w w:val="85"/>
          <w:sz w:val="14"/>
        </w:rPr>
        <w:t>and Supply Chain Congress.</w:t>
      </w:r>
    </w:p>
    <w:p>
      <w:pPr>
        <w:spacing w:line="297" w:lineRule="auto" w:before="2"/>
        <w:ind w:left="451" w:right="657" w:hanging="240"/>
        <w:jc w:val="left"/>
        <w:rPr>
          <w:rFonts w:ascii="Arial" w:hAnsi="Arial"/>
          <w:sz w:val="14"/>
        </w:rPr>
      </w:pPr>
      <w:r>
        <w:rPr>
          <w:rFonts w:ascii="Arial" w:hAnsi="Arial"/>
          <w:color w:val="231F20"/>
          <w:w w:val="85"/>
          <w:sz w:val="14"/>
        </w:rPr>
        <w:t>Yeo,</w:t>
      </w:r>
      <w:r>
        <w:rPr>
          <w:rFonts w:ascii="Arial" w:hAnsi="Arial"/>
          <w:color w:val="231F20"/>
          <w:spacing w:val="-11"/>
          <w:w w:val="85"/>
          <w:sz w:val="14"/>
        </w:rPr>
        <w:t> </w:t>
      </w:r>
      <w:r>
        <w:rPr>
          <w:rFonts w:ascii="Arial" w:hAnsi="Arial"/>
          <w:color w:val="231F20"/>
          <w:w w:val="85"/>
          <w:sz w:val="14"/>
        </w:rPr>
        <w:t>A.</w:t>
      </w:r>
      <w:r>
        <w:rPr>
          <w:rFonts w:ascii="Arial" w:hAnsi="Arial"/>
          <w:color w:val="231F20"/>
          <w:spacing w:val="-4"/>
          <w:w w:val="85"/>
          <w:sz w:val="14"/>
        </w:rPr>
        <w:t> </w:t>
      </w:r>
      <w:r>
        <w:rPr>
          <w:rFonts w:ascii="Arial" w:hAnsi="Arial"/>
          <w:color w:val="231F20"/>
          <w:w w:val="85"/>
          <w:sz w:val="14"/>
        </w:rPr>
        <w:t>D.,</w:t>
      </w:r>
      <w:r>
        <w:rPr>
          <w:rFonts w:ascii="Arial" w:hAnsi="Arial"/>
          <w:color w:val="231F20"/>
          <w:spacing w:val="-10"/>
          <w:w w:val="85"/>
          <w:sz w:val="14"/>
        </w:rPr>
        <w:t> </w:t>
      </w:r>
      <w:r>
        <w:rPr>
          <w:rFonts w:ascii="Arial" w:hAnsi="Arial"/>
          <w:color w:val="231F20"/>
          <w:w w:val="85"/>
          <w:sz w:val="14"/>
        </w:rPr>
        <w:t>A.</w:t>
      </w:r>
      <w:r>
        <w:rPr>
          <w:rFonts w:ascii="Arial" w:hAnsi="Arial"/>
          <w:color w:val="231F20"/>
          <w:spacing w:val="-4"/>
          <w:w w:val="85"/>
          <w:sz w:val="14"/>
        </w:rPr>
        <w:t> </w:t>
      </w:r>
      <w:r>
        <w:rPr>
          <w:rFonts w:ascii="Arial" w:hAnsi="Arial"/>
          <w:color w:val="231F20"/>
          <w:w w:val="85"/>
          <w:sz w:val="14"/>
        </w:rPr>
        <w:t>Deng,</w:t>
      </w:r>
      <w:r>
        <w:rPr>
          <w:rFonts w:ascii="Arial" w:hAnsi="Arial"/>
          <w:color w:val="231F20"/>
          <w:spacing w:val="-5"/>
          <w:w w:val="85"/>
          <w:sz w:val="14"/>
        </w:rPr>
        <w:t> </w:t>
      </w:r>
      <w:r>
        <w:rPr>
          <w:rFonts w:ascii="Arial" w:hAnsi="Arial"/>
          <w:color w:val="231F20"/>
          <w:w w:val="85"/>
          <w:sz w:val="14"/>
        </w:rPr>
        <w:t>and</w:t>
      </w:r>
      <w:r>
        <w:rPr>
          <w:rFonts w:ascii="Arial" w:hAnsi="Arial"/>
          <w:color w:val="231F20"/>
          <w:spacing w:val="-5"/>
          <w:w w:val="85"/>
          <w:sz w:val="14"/>
        </w:rPr>
        <w:t> </w:t>
      </w:r>
      <w:r>
        <w:rPr>
          <w:rFonts w:ascii="Arial" w:hAnsi="Arial"/>
          <w:color w:val="231F20"/>
          <w:w w:val="85"/>
          <w:sz w:val="14"/>
        </w:rPr>
        <w:t>T.</w:t>
      </w:r>
      <w:r>
        <w:rPr>
          <w:rFonts w:ascii="Arial" w:hAnsi="Arial"/>
          <w:color w:val="231F20"/>
          <w:spacing w:val="-5"/>
          <w:w w:val="85"/>
          <w:sz w:val="14"/>
        </w:rPr>
        <w:t> </w:t>
      </w:r>
      <w:r>
        <w:rPr>
          <w:rFonts w:ascii="Arial" w:hAnsi="Arial"/>
          <w:color w:val="231F20"/>
          <w:w w:val="85"/>
          <w:sz w:val="14"/>
        </w:rPr>
        <w:t>Y.</w:t>
      </w:r>
      <w:r>
        <w:rPr>
          <w:rFonts w:ascii="Arial" w:hAnsi="Arial"/>
          <w:color w:val="231F20"/>
          <w:spacing w:val="-4"/>
          <w:w w:val="85"/>
          <w:sz w:val="14"/>
        </w:rPr>
        <w:t> </w:t>
      </w:r>
      <w:r>
        <w:rPr>
          <w:rFonts w:ascii="Arial" w:hAnsi="Arial"/>
          <w:color w:val="231F20"/>
          <w:w w:val="85"/>
          <w:sz w:val="14"/>
        </w:rPr>
        <w:t>Nadiedjoa.</w:t>
      </w:r>
      <w:r>
        <w:rPr>
          <w:rFonts w:ascii="Arial" w:hAnsi="Arial"/>
          <w:color w:val="231F20"/>
          <w:spacing w:val="-4"/>
          <w:w w:val="85"/>
          <w:sz w:val="14"/>
        </w:rPr>
        <w:t> </w:t>
      </w:r>
      <w:r>
        <w:rPr>
          <w:rFonts w:ascii="Arial" w:hAnsi="Arial"/>
          <w:color w:val="231F20"/>
          <w:w w:val="85"/>
          <w:sz w:val="14"/>
        </w:rPr>
        <w:t>2020.</w:t>
      </w:r>
      <w:r>
        <w:rPr>
          <w:rFonts w:ascii="Arial" w:hAnsi="Arial"/>
          <w:color w:val="231F20"/>
          <w:spacing w:val="-5"/>
          <w:w w:val="85"/>
          <w:sz w:val="14"/>
        </w:rPr>
        <w:t> </w:t>
      </w:r>
      <w:r>
        <w:rPr>
          <w:rFonts w:ascii="Arial" w:hAnsi="Arial"/>
          <w:color w:val="231F20"/>
          <w:w w:val="85"/>
          <w:sz w:val="14"/>
        </w:rPr>
        <w:t>“The</w:t>
      </w:r>
      <w:r>
        <w:rPr>
          <w:rFonts w:ascii="Arial" w:hAnsi="Arial"/>
          <w:color w:val="231F20"/>
          <w:spacing w:val="-4"/>
          <w:w w:val="85"/>
          <w:sz w:val="14"/>
        </w:rPr>
        <w:t> </w:t>
      </w:r>
      <w:r>
        <w:rPr>
          <w:rFonts w:ascii="Arial" w:hAnsi="Arial"/>
          <w:color w:val="231F20"/>
          <w:w w:val="85"/>
          <w:sz w:val="14"/>
        </w:rPr>
        <w:t>Effect</w:t>
      </w:r>
      <w:r>
        <w:rPr>
          <w:rFonts w:ascii="Arial" w:hAnsi="Arial"/>
          <w:color w:val="231F20"/>
          <w:spacing w:val="-4"/>
          <w:w w:val="85"/>
          <w:sz w:val="14"/>
        </w:rPr>
        <w:t> </w:t>
      </w:r>
      <w:r>
        <w:rPr>
          <w:rFonts w:ascii="Arial" w:hAnsi="Arial"/>
          <w:color w:val="231F20"/>
          <w:w w:val="85"/>
          <w:sz w:val="14"/>
        </w:rPr>
        <w:t>of</w:t>
      </w:r>
      <w:r>
        <w:rPr>
          <w:rFonts w:ascii="Arial" w:hAnsi="Arial"/>
          <w:color w:val="231F20"/>
          <w:spacing w:val="40"/>
          <w:sz w:val="14"/>
        </w:rPr>
        <w:t> </w:t>
      </w:r>
      <w:r>
        <w:rPr>
          <w:rFonts w:ascii="Arial" w:hAnsi="Arial"/>
          <w:color w:val="231F20"/>
          <w:spacing w:val="-2"/>
          <w:w w:val="80"/>
          <w:sz w:val="14"/>
        </w:rPr>
        <w:t>Infrastructure</w:t>
      </w:r>
      <w:r>
        <w:rPr>
          <w:rFonts w:ascii="Arial" w:hAnsi="Arial"/>
          <w:color w:val="231F20"/>
          <w:sz w:val="14"/>
        </w:rPr>
        <w:t> </w:t>
      </w:r>
      <w:r>
        <w:rPr>
          <w:rFonts w:ascii="Arial" w:hAnsi="Arial"/>
          <w:color w:val="231F20"/>
          <w:spacing w:val="-2"/>
          <w:w w:val="80"/>
          <w:sz w:val="14"/>
        </w:rPr>
        <w:t>and</w:t>
      </w:r>
      <w:r>
        <w:rPr>
          <w:rFonts w:ascii="Arial" w:hAnsi="Arial"/>
          <w:color w:val="231F20"/>
          <w:sz w:val="14"/>
        </w:rPr>
        <w:t> </w:t>
      </w:r>
      <w:r>
        <w:rPr>
          <w:rFonts w:ascii="Arial" w:hAnsi="Arial"/>
          <w:color w:val="231F20"/>
          <w:spacing w:val="-2"/>
          <w:w w:val="80"/>
          <w:sz w:val="14"/>
        </w:rPr>
        <w:t>Logistics</w:t>
      </w:r>
      <w:r>
        <w:rPr>
          <w:rFonts w:ascii="Arial" w:hAnsi="Arial"/>
          <w:color w:val="231F20"/>
          <w:sz w:val="14"/>
        </w:rPr>
        <w:t> </w:t>
      </w:r>
      <w:r>
        <w:rPr>
          <w:rFonts w:ascii="Arial" w:hAnsi="Arial"/>
          <w:color w:val="231F20"/>
          <w:spacing w:val="-2"/>
          <w:w w:val="80"/>
          <w:sz w:val="14"/>
        </w:rPr>
        <w:t>Performance</w:t>
      </w:r>
      <w:r>
        <w:rPr>
          <w:rFonts w:ascii="Arial" w:hAnsi="Arial"/>
          <w:color w:val="231F20"/>
          <w:sz w:val="14"/>
        </w:rPr>
        <w:t> </w:t>
      </w:r>
      <w:r>
        <w:rPr>
          <w:rFonts w:ascii="Arial" w:hAnsi="Arial"/>
          <w:color w:val="231F20"/>
          <w:spacing w:val="-2"/>
          <w:w w:val="80"/>
          <w:sz w:val="14"/>
        </w:rPr>
        <w:t>on</w:t>
      </w:r>
      <w:r>
        <w:rPr>
          <w:rFonts w:ascii="Arial" w:hAnsi="Arial"/>
          <w:color w:val="231F20"/>
          <w:sz w:val="14"/>
        </w:rPr>
        <w:t> </w:t>
      </w:r>
      <w:r>
        <w:rPr>
          <w:rFonts w:ascii="Arial" w:hAnsi="Arial"/>
          <w:color w:val="231F20"/>
          <w:spacing w:val="-2"/>
          <w:w w:val="80"/>
          <w:sz w:val="14"/>
        </w:rPr>
        <w:t>Economic</w:t>
      </w:r>
      <w:r>
        <w:rPr>
          <w:rFonts w:ascii="Arial" w:hAnsi="Arial"/>
          <w:color w:val="231F20"/>
          <w:sz w:val="14"/>
        </w:rPr>
        <w:t> </w:t>
      </w:r>
      <w:r>
        <w:rPr>
          <w:rFonts w:ascii="Arial" w:hAnsi="Arial"/>
          <w:color w:val="231F20"/>
          <w:spacing w:val="-2"/>
          <w:w w:val="80"/>
          <w:sz w:val="14"/>
        </w:rPr>
        <w:t>Performance:</w:t>
      </w:r>
      <w:r>
        <w:rPr>
          <w:rFonts w:ascii="Arial" w:hAnsi="Arial"/>
          <w:color w:val="231F20"/>
          <w:spacing w:val="40"/>
          <w:sz w:val="14"/>
        </w:rPr>
        <w:t> </w:t>
      </w:r>
      <w:r>
        <w:rPr>
          <w:rFonts w:ascii="Arial" w:hAnsi="Arial"/>
          <w:color w:val="231F20"/>
          <w:w w:val="75"/>
          <w:sz w:val="14"/>
        </w:rPr>
        <w:t>The</w:t>
      </w:r>
      <w:r>
        <w:rPr>
          <w:rFonts w:ascii="Arial" w:hAnsi="Arial"/>
          <w:color w:val="231F20"/>
          <w:spacing w:val="2"/>
          <w:sz w:val="14"/>
        </w:rPr>
        <w:t> </w:t>
      </w:r>
      <w:r>
        <w:rPr>
          <w:rFonts w:ascii="Arial" w:hAnsi="Arial"/>
          <w:color w:val="231F20"/>
          <w:w w:val="75"/>
          <w:sz w:val="14"/>
        </w:rPr>
        <w:t>Mediation</w:t>
      </w:r>
      <w:r>
        <w:rPr>
          <w:rFonts w:ascii="Arial" w:hAnsi="Arial"/>
          <w:color w:val="231F20"/>
          <w:spacing w:val="2"/>
          <w:sz w:val="14"/>
        </w:rPr>
        <w:t> </w:t>
      </w:r>
      <w:r>
        <w:rPr>
          <w:rFonts w:ascii="Arial" w:hAnsi="Arial"/>
          <w:color w:val="231F20"/>
          <w:w w:val="75"/>
          <w:sz w:val="14"/>
        </w:rPr>
        <w:t>Role</w:t>
      </w:r>
      <w:r>
        <w:rPr>
          <w:rFonts w:ascii="Arial" w:hAnsi="Arial"/>
          <w:color w:val="231F20"/>
          <w:spacing w:val="3"/>
          <w:sz w:val="14"/>
        </w:rPr>
        <w:t> </w:t>
      </w:r>
      <w:r>
        <w:rPr>
          <w:rFonts w:ascii="Arial" w:hAnsi="Arial"/>
          <w:color w:val="231F20"/>
          <w:w w:val="75"/>
          <w:sz w:val="14"/>
        </w:rPr>
        <w:t>of</w:t>
      </w:r>
      <w:r>
        <w:rPr>
          <w:rFonts w:ascii="Arial" w:hAnsi="Arial"/>
          <w:color w:val="231F20"/>
          <w:spacing w:val="2"/>
          <w:sz w:val="14"/>
        </w:rPr>
        <w:t> </w:t>
      </w:r>
      <w:r>
        <w:rPr>
          <w:rFonts w:ascii="Arial" w:hAnsi="Arial"/>
          <w:color w:val="231F20"/>
          <w:w w:val="75"/>
          <w:sz w:val="14"/>
        </w:rPr>
        <w:t>International</w:t>
      </w:r>
      <w:r>
        <w:rPr>
          <w:rFonts w:ascii="Arial" w:hAnsi="Arial"/>
          <w:color w:val="231F20"/>
          <w:spacing w:val="-3"/>
          <w:sz w:val="14"/>
        </w:rPr>
        <w:t> </w:t>
      </w:r>
      <w:r>
        <w:rPr>
          <w:rFonts w:ascii="Arial" w:hAnsi="Arial"/>
          <w:color w:val="231F20"/>
          <w:w w:val="75"/>
          <w:sz w:val="14"/>
        </w:rPr>
        <w:t>Trade.”</w:t>
      </w:r>
      <w:r>
        <w:rPr>
          <w:rFonts w:ascii="Arial" w:hAnsi="Arial"/>
          <w:color w:val="231F20"/>
          <w:spacing w:val="-4"/>
          <w:sz w:val="14"/>
        </w:rPr>
        <w:t> </w:t>
      </w:r>
      <w:r>
        <w:rPr>
          <w:rFonts w:ascii="Arial" w:hAnsi="Arial"/>
          <w:i/>
          <w:color w:val="231F20"/>
          <w:w w:val="75"/>
          <w:sz w:val="14"/>
        </w:rPr>
        <w:t>Foreign</w:t>
      </w:r>
      <w:r>
        <w:rPr>
          <w:rFonts w:ascii="Arial" w:hAnsi="Arial"/>
          <w:i/>
          <w:color w:val="231F20"/>
          <w:spacing w:val="-4"/>
          <w:sz w:val="14"/>
        </w:rPr>
        <w:t> </w:t>
      </w:r>
      <w:r>
        <w:rPr>
          <w:rFonts w:ascii="Arial" w:hAnsi="Arial"/>
          <w:i/>
          <w:color w:val="231F20"/>
          <w:w w:val="75"/>
          <w:sz w:val="14"/>
        </w:rPr>
        <w:t>Trade</w:t>
      </w:r>
      <w:r>
        <w:rPr>
          <w:rFonts w:ascii="Arial" w:hAnsi="Arial"/>
          <w:i/>
          <w:color w:val="231F20"/>
          <w:spacing w:val="3"/>
          <w:sz w:val="14"/>
        </w:rPr>
        <w:t> </w:t>
      </w:r>
      <w:r>
        <w:rPr>
          <w:rFonts w:ascii="Arial" w:hAnsi="Arial"/>
          <w:i/>
          <w:color w:val="231F20"/>
          <w:w w:val="75"/>
          <w:sz w:val="14"/>
        </w:rPr>
        <w:t>Review</w:t>
      </w:r>
      <w:r>
        <w:rPr>
          <w:rFonts w:ascii="Arial" w:hAnsi="Arial"/>
          <w:i/>
          <w:color w:val="231F20"/>
          <w:spacing w:val="2"/>
          <w:sz w:val="14"/>
        </w:rPr>
        <w:t> </w:t>
      </w:r>
      <w:r>
        <w:rPr>
          <w:rFonts w:ascii="Arial" w:hAnsi="Arial"/>
          <w:color w:val="231F20"/>
          <w:spacing w:val="-5"/>
          <w:w w:val="75"/>
          <w:sz w:val="14"/>
        </w:rPr>
        <w:t>55</w:t>
      </w:r>
    </w:p>
    <w:p>
      <w:pPr>
        <w:spacing w:before="1"/>
        <w:ind w:left="451" w:right="0" w:firstLine="0"/>
        <w:jc w:val="left"/>
        <w:rPr>
          <w:rFonts w:ascii="Arial" w:hAnsi="Arial"/>
          <w:sz w:val="14"/>
        </w:rPr>
      </w:pPr>
      <w:r>
        <w:rPr>
          <w:rFonts w:ascii="Arial" w:hAnsi="Arial"/>
          <w:color w:val="231F20"/>
          <w:w w:val="75"/>
          <w:sz w:val="14"/>
        </w:rPr>
        <w:t>(4):</w:t>
      </w:r>
      <w:r>
        <w:rPr>
          <w:rFonts w:ascii="Arial" w:hAnsi="Arial"/>
          <w:color w:val="231F20"/>
          <w:spacing w:val="-3"/>
          <w:w w:val="90"/>
          <w:sz w:val="14"/>
        </w:rPr>
        <w:t> </w:t>
      </w:r>
      <w:r>
        <w:rPr>
          <w:rFonts w:ascii="Arial" w:hAnsi="Arial"/>
          <w:color w:val="231F20"/>
          <w:spacing w:val="-2"/>
          <w:w w:val="90"/>
          <w:sz w:val="14"/>
        </w:rPr>
        <w:t>450–465.</w:t>
      </w:r>
    </w:p>
    <w:p>
      <w:pPr>
        <w:spacing w:line="297" w:lineRule="auto" w:before="39"/>
        <w:ind w:left="451" w:right="900" w:hanging="240"/>
        <w:jc w:val="left"/>
        <w:rPr>
          <w:rFonts w:ascii="Arial" w:hAnsi="Arial"/>
          <w:sz w:val="14"/>
        </w:rPr>
      </w:pPr>
      <w:r>
        <w:rPr>
          <w:rFonts w:ascii="Arial" w:hAnsi="Arial"/>
          <w:color w:val="231F20"/>
          <w:w w:val="80"/>
          <w:sz w:val="14"/>
        </w:rPr>
        <w:t>Yeo,</w:t>
      </w:r>
      <w:r>
        <w:rPr>
          <w:rFonts w:ascii="Arial" w:hAnsi="Arial"/>
          <w:color w:val="231F20"/>
          <w:spacing w:val="-9"/>
          <w:w w:val="80"/>
          <w:sz w:val="14"/>
        </w:rPr>
        <w:t> </w:t>
      </w:r>
      <w:r>
        <w:rPr>
          <w:rFonts w:ascii="Arial" w:hAnsi="Arial"/>
          <w:color w:val="231F20"/>
          <w:w w:val="80"/>
          <w:sz w:val="14"/>
        </w:rPr>
        <w:t>A.</w:t>
      </w:r>
      <w:r>
        <w:rPr>
          <w:rFonts w:ascii="Arial" w:hAnsi="Arial"/>
          <w:color w:val="231F20"/>
          <w:spacing w:val="-1"/>
          <w:w w:val="80"/>
          <w:sz w:val="14"/>
        </w:rPr>
        <w:t> </w:t>
      </w:r>
      <w:r>
        <w:rPr>
          <w:rFonts w:ascii="Arial" w:hAnsi="Arial"/>
          <w:color w:val="231F20"/>
          <w:w w:val="80"/>
          <w:sz w:val="14"/>
        </w:rPr>
        <w:t>D.,</w:t>
      </w:r>
      <w:r>
        <w:rPr>
          <w:rFonts w:ascii="Arial" w:hAnsi="Arial"/>
          <w:color w:val="231F20"/>
          <w:spacing w:val="-3"/>
          <w:w w:val="80"/>
          <w:sz w:val="14"/>
        </w:rPr>
        <w:t> </w:t>
      </w:r>
      <w:r>
        <w:rPr>
          <w:rFonts w:ascii="Arial" w:hAnsi="Arial"/>
          <w:color w:val="231F20"/>
          <w:w w:val="80"/>
          <w:sz w:val="14"/>
        </w:rPr>
        <w:t>and</w:t>
      </w:r>
      <w:r>
        <w:rPr>
          <w:rFonts w:ascii="Arial" w:hAnsi="Arial"/>
          <w:color w:val="231F20"/>
          <w:spacing w:val="-4"/>
          <w:w w:val="80"/>
          <w:sz w:val="14"/>
        </w:rPr>
        <w:t> </w:t>
      </w:r>
      <w:r>
        <w:rPr>
          <w:rFonts w:ascii="Arial" w:hAnsi="Arial"/>
          <w:color w:val="231F20"/>
          <w:w w:val="80"/>
          <w:sz w:val="14"/>
        </w:rPr>
        <w:t>A.</w:t>
      </w:r>
      <w:r>
        <w:rPr>
          <w:rFonts w:ascii="Arial" w:hAnsi="Arial"/>
          <w:color w:val="231F20"/>
          <w:spacing w:val="-6"/>
          <w:sz w:val="14"/>
        </w:rPr>
        <w:t> </w:t>
      </w:r>
      <w:r>
        <w:rPr>
          <w:rFonts w:ascii="Arial" w:hAnsi="Arial"/>
          <w:color w:val="231F20"/>
          <w:w w:val="80"/>
          <w:sz w:val="14"/>
        </w:rPr>
        <w:t>Deng. 2020.</w:t>
      </w:r>
      <w:r>
        <w:rPr>
          <w:rFonts w:ascii="Arial" w:hAnsi="Arial"/>
          <w:color w:val="231F20"/>
          <w:spacing w:val="-4"/>
          <w:w w:val="80"/>
          <w:sz w:val="14"/>
        </w:rPr>
        <w:t> </w:t>
      </w:r>
      <w:r>
        <w:rPr>
          <w:rFonts w:ascii="Arial" w:hAnsi="Arial"/>
          <w:color w:val="231F20"/>
          <w:w w:val="80"/>
          <w:sz w:val="14"/>
        </w:rPr>
        <w:t>“Logistics</w:t>
      </w:r>
      <w:r>
        <w:rPr>
          <w:rFonts w:ascii="Arial" w:hAnsi="Arial"/>
          <w:color w:val="231F20"/>
          <w:spacing w:val="-6"/>
          <w:sz w:val="14"/>
        </w:rPr>
        <w:t> </w:t>
      </w:r>
      <w:r>
        <w:rPr>
          <w:rFonts w:ascii="Arial" w:hAnsi="Arial"/>
          <w:color w:val="231F20"/>
          <w:w w:val="80"/>
          <w:sz w:val="14"/>
        </w:rPr>
        <w:t>Performance as a </w:t>
      </w:r>
      <w:r>
        <w:rPr>
          <w:rFonts w:ascii="Arial" w:hAnsi="Arial"/>
          <w:color w:val="231F20"/>
          <w:w w:val="80"/>
          <w:sz w:val="14"/>
        </w:rPr>
        <w:t>Mediator</w:t>
      </w:r>
      <w:r>
        <w:rPr>
          <w:rFonts w:ascii="Arial" w:hAnsi="Arial"/>
          <w:color w:val="231F20"/>
          <w:spacing w:val="40"/>
          <w:sz w:val="14"/>
        </w:rPr>
        <w:t> </w:t>
      </w:r>
      <w:r>
        <w:rPr>
          <w:rFonts w:ascii="Arial" w:hAnsi="Arial"/>
          <w:color w:val="231F20"/>
          <w:w w:val="80"/>
          <w:sz w:val="14"/>
        </w:rPr>
        <w:t>of the Relationship between</w:t>
      </w:r>
      <w:r>
        <w:rPr>
          <w:rFonts w:ascii="Arial" w:hAnsi="Arial"/>
          <w:color w:val="231F20"/>
          <w:spacing w:val="-1"/>
          <w:w w:val="80"/>
          <w:sz w:val="14"/>
        </w:rPr>
        <w:t> </w:t>
      </w:r>
      <w:r>
        <w:rPr>
          <w:rFonts w:ascii="Arial" w:hAnsi="Arial"/>
          <w:color w:val="231F20"/>
          <w:w w:val="80"/>
          <w:sz w:val="14"/>
        </w:rPr>
        <w:t>Trade Facilitation and International</w:t>
      </w:r>
    </w:p>
    <w:p>
      <w:pPr>
        <w:spacing w:line="297" w:lineRule="auto" w:before="0"/>
        <w:ind w:left="451" w:right="650" w:firstLine="0"/>
        <w:jc w:val="left"/>
        <w:rPr>
          <w:rFonts w:ascii="Arial" w:hAnsi="Arial"/>
          <w:sz w:val="14"/>
        </w:rPr>
      </w:pPr>
      <w:r>
        <w:rPr>
          <w:rFonts w:ascii="Arial" w:hAnsi="Arial"/>
          <w:color w:val="231F20"/>
          <w:spacing w:val="-2"/>
          <w:w w:val="80"/>
          <w:sz w:val="14"/>
        </w:rPr>
        <w:t>Trade:</w:t>
      </w:r>
      <w:r>
        <w:rPr>
          <w:rFonts w:ascii="Arial" w:hAnsi="Arial"/>
          <w:color w:val="231F20"/>
          <w:spacing w:val="-6"/>
          <w:w w:val="80"/>
          <w:sz w:val="14"/>
        </w:rPr>
        <w:t> </w:t>
      </w:r>
      <w:r>
        <w:rPr>
          <w:rFonts w:ascii="Arial" w:hAnsi="Arial"/>
          <w:color w:val="231F20"/>
          <w:spacing w:val="-2"/>
          <w:w w:val="80"/>
          <w:sz w:val="14"/>
        </w:rPr>
        <w:t>A</w:t>
      </w:r>
      <w:r>
        <w:rPr>
          <w:rFonts w:ascii="Arial" w:hAnsi="Arial"/>
          <w:color w:val="231F20"/>
          <w:spacing w:val="-2"/>
          <w:sz w:val="14"/>
        </w:rPr>
        <w:t> </w:t>
      </w:r>
      <w:r>
        <w:rPr>
          <w:rFonts w:ascii="Arial" w:hAnsi="Arial"/>
          <w:color w:val="231F20"/>
          <w:spacing w:val="-2"/>
          <w:w w:val="80"/>
          <w:sz w:val="14"/>
        </w:rPr>
        <w:t>Mediation Analysis.” </w:t>
      </w:r>
      <w:r>
        <w:rPr>
          <w:rFonts w:ascii="Arial" w:hAnsi="Arial"/>
          <w:i/>
          <w:color w:val="231F20"/>
          <w:spacing w:val="-2"/>
          <w:w w:val="80"/>
          <w:sz w:val="14"/>
        </w:rPr>
        <w:t>South African</w:t>
      </w:r>
      <w:r>
        <w:rPr>
          <w:rFonts w:ascii="Arial" w:hAnsi="Arial"/>
          <w:i/>
          <w:color w:val="231F20"/>
          <w:spacing w:val="-2"/>
          <w:sz w:val="14"/>
        </w:rPr>
        <w:t> </w:t>
      </w:r>
      <w:r>
        <w:rPr>
          <w:rFonts w:ascii="Arial" w:hAnsi="Arial"/>
          <w:i/>
          <w:color w:val="231F20"/>
          <w:spacing w:val="-2"/>
          <w:w w:val="80"/>
          <w:sz w:val="14"/>
        </w:rPr>
        <w:t>Journal</w:t>
      </w:r>
      <w:r>
        <w:rPr>
          <w:rFonts w:ascii="Arial" w:hAnsi="Arial"/>
          <w:i/>
          <w:color w:val="231F20"/>
          <w:spacing w:val="-2"/>
          <w:sz w:val="14"/>
        </w:rPr>
        <w:t> </w:t>
      </w:r>
      <w:r>
        <w:rPr>
          <w:rFonts w:ascii="Arial" w:hAnsi="Arial"/>
          <w:i/>
          <w:color w:val="231F20"/>
          <w:spacing w:val="-2"/>
          <w:w w:val="80"/>
          <w:sz w:val="14"/>
        </w:rPr>
        <w:t>of</w:t>
      </w:r>
      <w:r>
        <w:rPr>
          <w:rFonts w:ascii="Arial" w:hAnsi="Arial"/>
          <w:i/>
          <w:color w:val="231F20"/>
          <w:spacing w:val="-2"/>
          <w:sz w:val="14"/>
        </w:rPr>
        <w:t> </w:t>
      </w:r>
      <w:r>
        <w:rPr>
          <w:rFonts w:ascii="Arial" w:hAnsi="Arial"/>
          <w:i/>
          <w:color w:val="231F20"/>
          <w:spacing w:val="-2"/>
          <w:w w:val="80"/>
          <w:sz w:val="14"/>
        </w:rPr>
        <w:t>Economic</w:t>
      </w:r>
      <w:r>
        <w:rPr>
          <w:rFonts w:ascii="Arial" w:hAnsi="Arial"/>
          <w:i/>
          <w:color w:val="231F20"/>
          <w:spacing w:val="-2"/>
          <w:sz w:val="14"/>
        </w:rPr>
        <w:t> </w:t>
      </w:r>
      <w:r>
        <w:rPr>
          <w:rFonts w:ascii="Arial" w:hAnsi="Arial"/>
          <w:i/>
          <w:color w:val="231F20"/>
          <w:spacing w:val="-2"/>
          <w:w w:val="80"/>
          <w:sz w:val="14"/>
        </w:rPr>
        <w:t>and</w:t>
      </w:r>
      <w:r>
        <w:rPr>
          <w:rFonts w:ascii="Arial" w:hAnsi="Arial"/>
          <w:i/>
          <w:color w:val="231F20"/>
          <w:spacing w:val="40"/>
          <w:sz w:val="14"/>
        </w:rPr>
        <w:t> </w:t>
      </w:r>
      <w:r>
        <w:rPr>
          <w:rFonts w:ascii="Arial" w:hAnsi="Arial"/>
          <w:i/>
          <w:color w:val="231F20"/>
          <w:w w:val="85"/>
          <w:sz w:val="14"/>
        </w:rPr>
        <w:t>Management Sciences </w:t>
      </w:r>
      <w:r>
        <w:rPr>
          <w:rFonts w:ascii="Arial" w:hAnsi="Arial"/>
          <w:color w:val="231F20"/>
          <w:w w:val="85"/>
          <w:sz w:val="14"/>
        </w:rPr>
        <w:t>23 (1).</w:t>
      </w:r>
    </w:p>
    <w:p>
      <w:pPr>
        <w:spacing w:line="297" w:lineRule="auto" w:before="1"/>
        <w:ind w:left="451" w:right="870" w:hanging="240"/>
        <w:jc w:val="left"/>
        <w:rPr>
          <w:rFonts w:ascii="Arial" w:hAnsi="Arial"/>
          <w:sz w:val="14"/>
        </w:rPr>
      </w:pPr>
      <w:r>
        <w:rPr>
          <w:rFonts w:ascii="Arial" w:hAnsi="Arial"/>
          <w:color w:val="231F20"/>
          <w:w w:val="85"/>
          <w:sz w:val="14"/>
        </w:rPr>
        <w:t>Yildirim, B. F., and B. Adiguzel Mercangoz. 2020. “Evaluating the</w:t>
      </w:r>
      <w:r>
        <w:rPr>
          <w:rFonts w:ascii="Arial" w:hAnsi="Arial"/>
          <w:color w:val="231F20"/>
          <w:spacing w:val="40"/>
          <w:sz w:val="14"/>
        </w:rPr>
        <w:t> </w:t>
      </w:r>
      <w:r>
        <w:rPr>
          <w:rFonts w:ascii="Arial" w:hAnsi="Arial"/>
          <w:color w:val="231F20"/>
          <w:w w:val="75"/>
          <w:sz w:val="14"/>
        </w:rPr>
        <w:t>Logistics</w:t>
      </w:r>
      <w:r>
        <w:rPr>
          <w:rFonts w:ascii="Arial" w:hAnsi="Arial"/>
          <w:color w:val="231F20"/>
          <w:spacing w:val="-2"/>
          <w:sz w:val="14"/>
        </w:rPr>
        <w:t> </w:t>
      </w:r>
      <w:r>
        <w:rPr>
          <w:rFonts w:ascii="Arial" w:hAnsi="Arial"/>
          <w:color w:val="231F20"/>
          <w:w w:val="75"/>
          <w:sz w:val="14"/>
        </w:rPr>
        <w:t>Performance</w:t>
      </w:r>
      <w:r>
        <w:rPr>
          <w:rFonts w:ascii="Arial" w:hAnsi="Arial"/>
          <w:color w:val="231F20"/>
          <w:spacing w:val="-2"/>
          <w:sz w:val="14"/>
        </w:rPr>
        <w:t> </w:t>
      </w:r>
      <w:r>
        <w:rPr>
          <w:rFonts w:ascii="Arial" w:hAnsi="Arial"/>
          <w:color w:val="231F20"/>
          <w:w w:val="75"/>
          <w:sz w:val="14"/>
        </w:rPr>
        <w:t>of</w:t>
      </w:r>
      <w:r>
        <w:rPr>
          <w:rFonts w:ascii="Arial" w:hAnsi="Arial"/>
          <w:color w:val="231F20"/>
          <w:spacing w:val="-2"/>
          <w:sz w:val="14"/>
        </w:rPr>
        <w:t> </w:t>
      </w:r>
      <w:r>
        <w:rPr>
          <w:rFonts w:ascii="Arial" w:hAnsi="Arial"/>
          <w:color w:val="231F20"/>
          <w:w w:val="75"/>
          <w:sz w:val="14"/>
        </w:rPr>
        <w:t>OECD</w:t>
      </w:r>
      <w:r>
        <w:rPr>
          <w:rFonts w:ascii="Arial" w:hAnsi="Arial"/>
          <w:color w:val="231F20"/>
          <w:spacing w:val="-2"/>
          <w:sz w:val="14"/>
        </w:rPr>
        <w:t> </w:t>
      </w:r>
      <w:r>
        <w:rPr>
          <w:rFonts w:ascii="Arial" w:hAnsi="Arial"/>
          <w:color w:val="231F20"/>
          <w:w w:val="75"/>
          <w:sz w:val="14"/>
        </w:rPr>
        <w:t>Countries</w:t>
      </w:r>
      <w:r>
        <w:rPr>
          <w:rFonts w:ascii="Arial" w:hAnsi="Arial"/>
          <w:color w:val="231F20"/>
          <w:spacing w:val="-2"/>
          <w:sz w:val="14"/>
        </w:rPr>
        <w:t> </w:t>
      </w:r>
      <w:r>
        <w:rPr>
          <w:rFonts w:ascii="Arial" w:hAnsi="Arial"/>
          <w:color w:val="231F20"/>
          <w:w w:val="75"/>
          <w:sz w:val="14"/>
        </w:rPr>
        <w:t>by</w:t>
      </w:r>
      <w:r>
        <w:rPr>
          <w:rFonts w:ascii="Arial" w:hAnsi="Arial"/>
          <w:color w:val="231F20"/>
          <w:spacing w:val="-2"/>
          <w:sz w:val="14"/>
        </w:rPr>
        <w:t> </w:t>
      </w:r>
      <w:r>
        <w:rPr>
          <w:rFonts w:ascii="Arial" w:hAnsi="Arial"/>
          <w:color w:val="231F20"/>
          <w:w w:val="75"/>
          <w:sz w:val="14"/>
        </w:rPr>
        <w:t>Using</w:t>
      </w:r>
      <w:r>
        <w:rPr>
          <w:rFonts w:ascii="Arial" w:hAnsi="Arial"/>
          <w:color w:val="231F20"/>
          <w:spacing w:val="-2"/>
          <w:sz w:val="14"/>
        </w:rPr>
        <w:t> </w:t>
      </w:r>
      <w:r>
        <w:rPr>
          <w:rFonts w:ascii="Arial" w:hAnsi="Arial"/>
          <w:color w:val="231F20"/>
          <w:w w:val="75"/>
          <w:sz w:val="14"/>
        </w:rPr>
        <w:t>Fuzzy AHP</w:t>
      </w:r>
      <w:r>
        <w:rPr>
          <w:rFonts w:ascii="Arial" w:hAnsi="Arial"/>
          <w:color w:val="231F20"/>
          <w:spacing w:val="-2"/>
          <w:sz w:val="14"/>
        </w:rPr>
        <w:t> </w:t>
      </w:r>
      <w:r>
        <w:rPr>
          <w:rFonts w:ascii="Arial" w:hAnsi="Arial"/>
          <w:color w:val="231F20"/>
          <w:w w:val="75"/>
          <w:sz w:val="14"/>
        </w:rPr>
        <w:t>and</w:t>
      </w:r>
      <w:r>
        <w:rPr>
          <w:rFonts w:ascii="Arial" w:hAnsi="Arial"/>
          <w:color w:val="231F20"/>
          <w:spacing w:val="40"/>
          <w:sz w:val="14"/>
        </w:rPr>
        <w:t> </w:t>
      </w:r>
      <w:r>
        <w:rPr>
          <w:rFonts w:ascii="Arial" w:hAnsi="Arial"/>
          <w:color w:val="231F20"/>
          <w:w w:val="80"/>
          <w:sz w:val="14"/>
        </w:rPr>
        <w:t>ARAS-G.” </w:t>
      </w:r>
      <w:r>
        <w:rPr>
          <w:rFonts w:ascii="Arial" w:hAnsi="Arial"/>
          <w:i/>
          <w:color w:val="231F20"/>
          <w:w w:val="80"/>
          <w:sz w:val="14"/>
        </w:rPr>
        <w:t>Eurasian Economic Revie</w:t>
      </w:r>
      <w:r>
        <w:rPr>
          <w:rFonts w:ascii="Arial" w:hAnsi="Arial"/>
          <w:color w:val="231F20"/>
          <w:w w:val="80"/>
          <w:sz w:val="14"/>
        </w:rPr>
        <w:t>w 10 (1): 27–45.</w:t>
      </w:r>
    </w:p>
    <w:p>
      <w:pPr>
        <w:spacing w:line="297" w:lineRule="auto" w:before="1"/>
        <w:ind w:left="451" w:right="657" w:hanging="240"/>
        <w:jc w:val="left"/>
        <w:rPr>
          <w:rFonts w:ascii="Arial" w:hAnsi="Arial"/>
          <w:sz w:val="14"/>
        </w:rPr>
      </w:pPr>
      <w:r>
        <w:rPr>
          <w:rFonts w:ascii="Arial" w:hAnsi="Arial"/>
          <w:color w:val="231F20"/>
          <w:w w:val="80"/>
          <w:sz w:val="14"/>
        </w:rPr>
        <w:t>Yuan,</w:t>
      </w:r>
      <w:r>
        <w:rPr>
          <w:rFonts w:ascii="Arial" w:hAnsi="Arial"/>
          <w:color w:val="231F20"/>
          <w:spacing w:val="-4"/>
          <w:w w:val="80"/>
          <w:sz w:val="14"/>
        </w:rPr>
        <w:t> </w:t>
      </w:r>
      <w:r>
        <w:rPr>
          <w:rFonts w:ascii="Arial" w:hAnsi="Arial"/>
          <w:color w:val="231F20"/>
          <w:w w:val="80"/>
          <w:sz w:val="14"/>
        </w:rPr>
        <w:t>H.,</w:t>
      </w:r>
      <w:r>
        <w:rPr>
          <w:rFonts w:ascii="Arial" w:hAnsi="Arial"/>
          <w:color w:val="231F20"/>
          <w:spacing w:val="-3"/>
          <w:w w:val="80"/>
          <w:sz w:val="14"/>
        </w:rPr>
        <w:t> </w:t>
      </w:r>
      <w:r>
        <w:rPr>
          <w:rFonts w:ascii="Arial" w:hAnsi="Arial"/>
          <w:color w:val="231F20"/>
          <w:w w:val="80"/>
          <w:sz w:val="14"/>
        </w:rPr>
        <w:t>and</w:t>
      </w:r>
      <w:r>
        <w:rPr>
          <w:rFonts w:ascii="Arial" w:hAnsi="Arial"/>
          <w:color w:val="231F20"/>
          <w:spacing w:val="-2"/>
          <w:w w:val="80"/>
          <w:sz w:val="14"/>
        </w:rPr>
        <w:t> </w:t>
      </w:r>
      <w:r>
        <w:rPr>
          <w:rFonts w:ascii="Arial" w:hAnsi="Arial"/>
          <w:color w:val="231F20"/>
          <w:w w:val="80"/>
          <w:sz w:val="14"/>
        </w:rPr>
        <w:t>B.</w:t>
      </w:r>
      <w:r>
        <w:rPr>
          <w:rFonts w:ascii="Arial" w:hAnsi="Arial"/>
          <w:color w:val="231F20"/>
          <w:spacing w:val="-3"/>
          <w:w w:val="80"/>
          <w:sz w:val="14"/>
        </w:rPr>
        <w:t> </w:t>
      </w:r>
      <w:r>
        <w:rPr>
          <w:rFonts w:ascii="Arial" w:hAnsi="Arial"/>
          <w:color w:val="231F20"/>
          <w:w w:val="80"/>
          <w:sz w:val="14"/>
        </w:rPr>
        <w:t>Yang.</w:t>
      </w:r>
      <w:r>
        <w:rPr>
          <w:rFonts w:ascii="Arial" w:hAnsi="Arial"/>
          <w:color w:val="231F20"/>
          <w:spacing w:val="-2"/>
          <w:w w:val="80"/>
          <w:sz w:val="14"/>
        </w:rPr>
        <w:t> </w:t>
      </w:r>
      <w:r>
        <w:rPr>
          <w:rFonts w:ascii="Arial" w:hAnsi="Arial"/>
          <w:color w:val="231F20"/>
          <w:w w:val="80"/>
          <w:sz w:val="14"/>
        </w:rPr>
        <w:t>2022.</w:t>
      </w:r>
      <w:r>
        <w:rPr>
          <w:rFonts w:ascii="Arial" w:hAnsi="Arial"/>
          <w:color w:val="231F20"/>
          <w:spacing w:val="-3"/>
          <w:w w:val="80"/>
          <w:sz w:val="14"/>
        </w:rPr>
        <w:t> </w:t>
      </w:r>
      <w:r>
        <w:rPr>
          <w:rFonts w:ascii="Arial" w:hAnsi="Arial"/>
          <w:color w:val="231F20"/>
          <w:w w:val="80"/>
          <w:sz w:val="14"/>
        </w:rPr>
        <w:t>“System</w:t>
      </w:r>
      <w:r>
        <w:rPr>
          <w:rFonts w:ascii="Arial" w:hAnsi="Arial"/>
          <w:color w:val="231F20"/>
          <w:spacing w:val="-2"/>
          <w:w w:val="80"/>
          <w:sz w:val="14"/>
        </w:rPr>
        <w:t> </w:t>
      </w:r>
      <w:r>
        <w:rPr>
          <w:rFonts w:ascii="Arial" w:hAnsi="Arial"/>
          <w:color w:val="231F20"/>
          <w:w w:val="80"/>
          <w:sz w:val="14"/>
        </w:rPr>
        <w:t>Dynamics</w:t>
      </w:r>
      <w:r>
        <w:rPr>
          <w:rFonts w:ascii="Arial" w:hAnsi="Arial"/>
          <w:color w:val="231F20"/>
          <w:spacing w:val="-3"/>
          <w:w w:val="80"/>
          <w:sz w:val="14"/>
        </w:rPr>
        <w:t> </w:t>
      </w:r>
      <w:r>
        <w:rPr>
          <w:rFonts w:ascii="Arial" w:hAnsi="Arial"/>
          <w:color w:val="231F20"/>
          <w:w w:val="80"/>
          <w:sz w:val="14"/>
        </w:rPr>
        <w:t>Approach</w:t>
      </w:r>
      <w:r>
        <w:rPr>
          <w:rFonts w:ascii="Arial" w:hAnsi="Arial"/>
          <w:color w:val="231F20"/>
          <w:spacing w:val="-2"/>
          <w:w w:val="80"/>
          <w:sz w:val="14"/>
        </w:rPr>
        <w:t> </w:t>
      </w:r>
      <w:r>
        <w:rPr>
          <w:rFonts w:ascii="Arial" w:hAnsi="Arial"/>
          <w:color w:val="231F20"/>
          <w:w w:val="80"/>
          <w:sz w:val="14"/>
        </w:rPr>
        <w:t>for</w:t>
      </w:r>
      <w:r>
        <w:rPr>
          <w:rFonts w:ascii="Arial" w:hAnsi="Arial"/>
          <w:color w:val="231F20"/>
          <w:spacing w:val="-2"/>
          <w:w w:val="80"/>
          <w:sz w:val="14"/>
        </w:rPr>
        <w:t> </w:t>
      </w:r>
      <w:r>
        <w:rPr>
          <w:rFonts w:ascii="Arial" w:hAnsi="Arial"/>
          <w:color w:val="231F20"/>
          <w:w w:val="80"/>
          <w:sz w:val="14"/>
        </w:rPr>
        <w:t>Evaluating</w:t>
      </w:r>
      <w:r>
        <w:rPr>
          <w:rFonts w:ascii="Arial" w:hAnsi="Arial"/>
          <w:color w:val="231F20"/>
          <w:spacing w:val="40"/>
          <w:sz w:val="14"/>
        </w:rPr>
        <w:t> </w:t>
      </w:r>
      <w:r>
        <w:rPr>
          <w:rFonts w:ascii="Arial" w:hAnsi="Arial"/>
          <w:color w:val="231F20"/>
          <w:w w:val="80"/>
          <w:sz w:val="14"/>
        </w:rPr>
        <w:t>the Interconnection Performance of Cross-Border Transport</w:t>
      </w:r>
      <w:r>
        <w:rPr>
          <w:rFonts w:ascii="Arial" w:hAnsi="Arial"/>
          <w:color w:val="231F20"/>
          <w:spacing w:val="40"/>
          <w:sz w:val="14"/>
        </w:rPr>
        <w:t> </w:t>
      </w:r>
      <w:r>
        <w:rPr>
          <w:rFonts w:ascii="Arial" w:hAnsi="Arial"/>
          <w:color w:val="231F20"/>
          <w:spacing w:val="-2"/>
          <w:w w:val="85"/>
          <w:sz w:val="14"/>
        </w:rPr>
        <w:t>Infrastructure.” </w:t>
      </w:r>
      <w:r>
        <w:rPr>
          <w:rFonts w:ascii="Arial" w:hAnsi="Arial"/>
          <w:i/>
          <w:color w:val="231F20"/>
          <w:spacing w:val="-2"/>
          <w:w w:val="85"/>
          <w:sz w:val="14"/>
        </w:rPr>
        <w:t>Journal</w:t>
      </w:r>
      <w:r>
        <w:rPr>
          <w:rFonts w:ascii="Arial" w:hAnsi="Arial"/>
          <w:i/>
          <w:color w:val="231F20"/>
          <w:sz w:val="14"/>
        </w:rPr>
        <w:t> </w:t>
      </w:r>
      <w:r>
        <w:rPr>
          <w:rFonts w:ascii="Arial" w:hAnsi="Arial"/>
          <w:i/>
          <w:color w:val="231F20"/>
          <w:spacing w:val="-2"/>
          <w:w w:val="85"/>
          <w:sz w:val="14"/>
        </w:rPr>
        <w:t>of</w:t>
      </w:r>
      <w:r>
        <w:rPr>
          <w:rFonts w:ascii="Arial" w:hAnsi="Arial"/>
          <w:i/>
          <w:color w:val="231F20"/>
          <w:sz w:val="14"/>
        </w:rPr>
        <w:t> </w:t>
      </w:r>
      <w:r>
        <w:rPr>
          <w:rFonts w:ascii="Arial" w:hAnsi="Arial"/>
          <w:i/>
          <w:color w:val="231F20"/>
          <w:spacing w:val="-2"/>
          <w:w w:val="85"/>
          <w:sz w:val="14"/>
        </w:rPr>
        <w:t>Management</w:t>
      </w:r>
      <w:r>
        <w:rPr>
          <w:rFonts w:ascii="Arial" w:hAnsi="Arial"/>
          <w:i/>
          <w:color w:val="231F20"/>
          <w:sz w:val="14"/>
        </w:rPr>
        <w:t> </w:t>
      </w:r>
      <w:r>
        <w:rPr>
          <w:rFonts w:ascii="Arial" w:hAnsi="Arial"/>
          <w:i/>
          <w:color w:val="231F20"/>
          <w:spacing w:val="-2"/>
          <w:w w:val="85"/>
          <w:sz w:val="14"/>
        </w:rPr>
        <w:t>in</w:t>
      </w:r>
      <w:r>
        <w:rPr>
          <w:rFonts w:ascii="Arial" w:hAnsi="Arial"/>
          <w:i/>
          <w:color w:val="231F20"/>
          <w:sz w:val="14"/>
        </w:rPr>
        <w:t> </w:t>
      </w:r>
      <w:r>
        <w:rPr>
          <w:rFonts w:ascii="Arial" w:hAnsi="Arial"/>
          <w:i/>
          <w:color w:val="231F20"/>
          <w:spacing w:val="-2"/>
          <w:w w:val="85"/>
          <w:sz w:val="14"/>
        </w:rPr>
        <w:t>Engineering</w:t>
      </w:r>
      <w:r>
        <w:rPr>
          <w:rFonts w:ascii="Arial" w:hAnsi="Arial"/>
          <w:i/>
          <w:color w:val="231F20"/>
          <w:sz w:val="14"/>
        </w:rPr>
        <w:t> </w:t>
      </w:r>
      <w:r>
        <w:rPr>
          <w:rFonts w:ascii="Arial" w:hAnsi="Arial"/>
          <w:color w:val="231F20"/>
          <w:spacing w:val="-2"/>
          <w:w w:val="85"/>
          <w:sz w:val="14"/>
        </w:rPr>
        <w:t>38</w:t>
      </w:r>
      <w:r>
        <w:rPr>
          <w:rFonts w:ascii="Arial" w:hAnsi="Arial"/>
          <w:color w:val="231F20"/>
          <w:sz w:val="14"/>
        </w:rPr>
        <w:t> </w:t>
      </w:r>
      <w:r>
        <w:rPr>
          <w:rFonts w:ascii="Arial" w:hAnsi="Arial"/>
          <w:color w:val="231F20"/>
          <w:spacing w:val="-2"/>
          <w:w w:val="85"/>
          <w:sz w:val="14"/>
        </w:rPr>
        <w:t>(3).</w:t>
      </w:r>
    </w:p>
    <w:p>
      <w:pPr>
        <w:spacing w:before="1"/>
        <w:ind w:left="211" w:right="0" w:firstLine="0"/>
        <w:jc w:val="left"/>
        <w:rPr>
          <w:rFonts w:ascii="Arial"/>
          <w:sz w:val="14"/>
        </w:rPr>
      </w:pPr>
      <w:r>
        <w:rPr>
          <w:rFonts w:ascii="Arial"/>
          <w:color w:val="231F20"/>
          <w:w w:val="80"/>
          <w:sz w:val="14"/>
        </w:rPr>
        <w:t>Yusufkhonov,</w:t>
      </w:r>
      <w:r>
        <w:rPr>
          <w:rFonts w:ascii="Arial"/>
          <w:color w:val="231F20"/>
          <w:spacing w:val="-4"/>
          <w:sz w:val="14"/>
        </w:rPr>
        <w:t> </w:t>
      </w:r>
      <w:r>
        <w:rPr>
          <w:rFonts w:ascii="Arial"/>
          <w:color w:val="231F20"/>
          <w:w w:val="80"/>
          <w:sz w:val="14"/>
        </w:rPr>
        <w:t>Z.,</w:t>
      </w:r>
      <w:r>
        <w:rPr>
          <w:rFonts w:ascii="Arial"/>
          <w:color w:val="231F20"/>
          <w:spacing w:val="-4"/>
          <w:sz w:val="14"/>
        </w:rPr>
        <w:t> </w:t>
      </w:r>
      <w:r>
        <w:rPr>
          <w:rFonts w:ascii="Arial"/>
          <w:color w:val="231F20"/>
          <w:w w:val="80"/>
          <w:sz w:val="14"/>
        </w:rPr>
        <w:t>M.</w:t>
      </w:r>
      <w:r>
        <w:rPr>
          <w:rFonts w:ascii="Arial"/>
          <w:color w:val="231F20"/>
          <w:spacing w:val="2"/>
          <w:sz w:val="14"/>
        </w:rPr>
        <w:t> </w:t>
      </w:r>
      <w:r>
        <w:rPr>
          <w:rFonts w:ascii="Arial"/>
          <w:color w:val="231F20"/>
          <w:w w:val="80"/>
          <w:sz w:val="14"/>
        </w:rPr>
        <w:t>Ravshanov,</w:t>
      </w:r>
      <w:r>
        <w:rPr>
          <w:rFonts w:ascii="Arial"/>
          <w:color w:val="231F20"/>
          <w:spacing w:val="-2"/>
          <w:w w:val="80"/>
          <w:sz w:val="14"/>
        </w:rPr>
        <w:t> </w:t>
      </w:r>
      <w:r>
        <w:rPr>
          <w:rFonts w:ascii="Arial"/>
          <w:color w:val="231F20"/>
          <w:w w:val="80"/>
          <w:sz w:val="14"/>
        </w:rPr>
        <w:t>A.</w:t>
      </w:r>
      <w:r>
        <w:rPr>
          <w:rFonts w:ascii="Arial"/>
          <w:color w:val="231F20"/>
          <w:spacing w:val="2"/>
          <w:sz w:val="14"/>
        </w:rPr>
        <w:t> </w:t>
      </w:r>
      <w:r>
        <w:rPr>
          <w:rFonts w:ascii="Arial"/>
          <w:color w:val="231F20"/>
          <w:w w:val="80"/>
          <w:sz w:val="14"/>
        </w:rPr>
        <w:t>Kamolov,</w:t>
      </w:r>
      <w:r>
        <w:rPr>
          <w:rFonts w:ascii="Arial"/>
          <w:color w:val="231F20"/>
          <w:spacing w:val="-4"/>
          <w:sz w:val="14"/>
        </w:rPr>
        <w:t> </w:t>
      </w:r>
      <w:r>
        <w:rPr>
          <w:rFonts w:ascii="Arial"/>
          <w:color w:val="231F20"/>
          <w:w w:val="80"/>
          <w:sz w:val="14"/>
        </w:rPr>
        <w:t>and</w:t>
      </w:r>
      <w:r>
        <w:rPr>
          <w:rFonts w:ascii="Arial"/>
          <w:color w:val="231F20"/>
          <w:spacing w:val="2"/>
          <w:sz w:val="14"/>
        </w:rPr>
        <w:t> </w:t>
      </w:r>
      <w:r>
        <w:rPr>
          <w:rFonts w:ascii="Arial"/>
          <w:color w:val="231F20"/>
          <w:w w:val="80"/>
          <w:sz w:val="14"/>
        </w:rPr>
        <w:t>E.</w:t>
      </w:r>
      <w:r>
        <w:rPr>
          <w:rFonts w:ascii="Arial"/>
          <w:color w:val="231F20"/>
          <w:spacing w:val="3"/>
          <w:sz w:val="14"/>
        </w:rPr>
        <w:t> </w:t>
      </w:r>
      <w:r>
        <w:rPr>
          <w:rFonts w:ascii="Arial"/>
          <w:color w:val="231F20"/>
          <w:spacing w:val="-2"/>
          <w:w w:val="80"/>
          <w:sz w:val="14"/>
        </w:rPr>
        <w:t>Kamalova.</w:t>
      </w:r>
    </w:p>
    <w:p>
      <w:pPr>
        <w:spacing w:line="297" w:lineRule="auto" w:before="39"/>
        <w:ind w:left="451" w:right="650" w:firstLine="0"/>
        <w:jc w:val="left"/>
        <w:rPr>
          <w:rFonts w:ascii="Arial" w:hAnsi="Arial"/>
          <w:sz w:val="14"/>
        </w:rPr>
      </w:pPr>
      <w:r>
        <w:rPr>
          <w:rFonts w:ascii="Arial" w:hAnsi="Arial"/>
          <w:color w:val="231F20"/>
          <w:w w:val="80"/>
          <w:sz w:val="14"/>
        </w:rPr>
        <w:t>2021.</w:t>
      </w:r>
      <w:r>
        <w:rPr>
          <w:rFonts w:ascii="Arial" w:hAnsi="Arial"/>
          <w:color w:val="231F20"/>
          <w:spacing w:val="-4"/>
          <w:w w:val="80"/>
          <w:sz w:val="14"/>
        </w:rPr>
        <w:t> </w:t>
      </w:r>
      <w:r>
        <w:rPr>
          <w:rFonts w:ascii="Arial" w:hAnsi="Arial"/>
          <w:color w:val="231F20"/>
          <w:w w:val="80"/>
          <w:sz w:val="14"/>
        </w:rPr>
        <w:t>“Improving</w:t>
      </w:r>
      <w:r>
        <w:rPr>
          <w:rFonts w:ascii="Arial" w:hAnsi="Arial"/>
          <w:color w:val="231F20"/>
          <w:spacing w:val="-2"/>
          <w:w w:val="80"/>
          <w:sz w:val="14"/>
        </w:rPr>
        <w:t> </w:t>
      </w:r>
      <w:r>
        <w:rPr>
          <w:rFonts w:ascii="Arial" w:hAnsi="Arial"/>
          <w:color w:val="231F20"/>
          <w:w w:val="80"/>
          <w:sz w:val="14"/>
        </w:rPr>
        <w:t>the</w:t>
      </w:r>
      <w:r>
        <w:rPr>
          <w:rFonts w:ascii="Arial" w:hAnsi="Arial"/>
          <w:color w:val="231F20"/>
          <w:spacing w:val="-2"/>
          <w:w w:val="80"/>
          <w:sz w:val="14"/>
        </w:rPr>
        <w:t> </w:t>
      </w:r>
      <w:r>
        <w:rPr>
          <w:rFonts w:ascii="Arial" w:hAnsi="Arial"/>
          <w:color w:val="231F20"/>
          <w:w w:val="80"/>
          <w:sz w:val="14"/>
        </w:rPr>
        <w:t>Position</w:t>
      </w:r>
      <w:r>
        <w:rPr>
          <w:rFonts w:ascii="Arial" w:hAnsi="Arial"/>
          <w:color w:val="231F20"/>
          <w:spacing w:val="-2"/>
          <w:w w:val="80"/>
          <w:sz w:val="14"/>
        </w:rPr>
        <w:t> </w:t>
      </w:r>
      <w:r>
        <w:rPr>
          <w:rFonts w:ascii="Arial" w:hAnsi="Arial"/>
          <w:color w:val="231F20"/>
          <w:w w:val="80"/>
          <w:sz w:val="14"/>
        </w:rPr>
        <w:t>of</w:t>
      </w:r>
      <w:r>
        <w:rPr>
          <w:rFonts w:ascii="Arial" w:hAnsi="Arial"/>
          <w:color w:val="231F20"/>
          <w:spacing w:val="-1"/>
          <w:w w:val="80"/>
          <w:sz w:val="14"/>
        </w:rPr>
        <w:t> </w:t>
      </w:r>
      <w:r>
        <w:rPr>
          <w:rFonts w:ascii="Arial" w:hAnsi="Arial"/>
          <w:color w:val="231F20"/>
          <w:w w:val="80"/>
          <w:sz w:val="14"/>
        </w:rPr>
        <w:t>the</w:t>
      </w:r>
      <w:r>
        <w:rPr>
          <w:rFonts w:ascii="Arial" w:hAnsi="Arial"/>
          <w:color w:val="231F20"/>
          <w:spacing w:val="-2"/>
          <w:w w:val="80"/>
          <w:sz w:val="14"/>
        </w:rPr>
        <w:t> </w:t>
      </w:r>
      <w:r>
        <w:rPr>
          <w:rFonts w:ascii="Arial" w:hAnsi="Arial"/>
          <w:color w:val="231F20"/>
          <w:w w:val="80"/>
          <w:sz w:val="14"/>
        </w:rPr>
        <w:t>Logistics</w:t>
      </w:r>
      <w:r>
        <w:rPr>
          <w:rFonts w:ascii="Arial" w:hAnsi="Arial"/>
          <w:color w:val="231F20"/>
          <w:spacing w:val="-2"/>
          <w:w w:val="80"/>
          <w:sz w:val="14"/>
        </w:rPr>
        <w:t> </w:t>
      </w:r>
      <w:r>
        <w:rPr>
          <w:rFonts w:ascii="Arial" w:hAnsi="Arial"/>
          <w:color w:val="231F20"/>
          <w:w w:val="80"/>
          <w:sz w:val="14"/>
        </w:rPr>
        <w:t>Performance</w:t>
      </w:r>
      <w:r>
        <w:rPr>
          <w:rFonts w:ascii="Arial" w:hAnsi="Arial"/>
          <w:color w:val="231F20"/>
          <w:spacing w:val="-2"/>
          <w:w w:val="80"/>
          <w:sz w:val="14"/>
        </w:rPr>
        <w:t> </w:t>
      </w:r>
      <w:r>
        <w:rPr>
          <w:rFonts w:ascii="Arial" w:hAnsi="Arial"/>
          <w:color w:val="231F20"/>
          <w:w w:val="80"/>
          <w:sz w:val="14"/>
        </w:rPr>
        <w:t>Index</w:t>
      </w:r>
      <w:r>
        <w:rPr>
          <w:rFonts w:ascii="Arial" w:hAnsi="Arial"/>
          <w:color w:val="231F20"/>
          <w:spacing w:val="-2"/>
          <w:w w:val="80"/>
          <w:sz w:val="14"/>
        </w:rPr>
        <w:t> </w:t>
      </w:r>
      <w:r>
        <w:rPr>
          <w:rFonts w:ascii="Arial" w:hAnsi="Arial"/>
          <w:color w:val="231F20"/>
          <w:w w:val="80"/>
          <w:sz w:val="14"/>
        </w:rPr>
        <w:t>of</w:t>
      </w:r>
      <w:r>
        <w:rPr>
          <w:rFonts w:ascii="Arial" w:hAnsi="Arial"/>
          <w:color w:val="231F20"/>
          <w:spacing w:val="40"/>
          <w:sz w:val="14"/>
        </w:rPr>
        <w:t> </w:t>
      </w:r>
      <w:r>
        <w:rPr>
          <w:rFonts w:ascii="Arial" w:hAnsi="Arial"/>
          <w:color w:val="231F20"/>
          <w:w w:val="85"/>
          <w:sz w:val="14"/>
        </w:rPr>
        <w:t>Uzbekistan.”</w:t>
      </w:r>
      <w:r>
        <w:rPr>
          <w:rFonts w:ascii="Arial" w:hAnsi="Arial"/>
          <w:color w:val="231F20"/>
          <w:spacing w:val="-6"/>
          <w:w w:val="85"/>
          <w:sz w:val="14"/>
        </w:rPr>
        <w:t> </w:t>
      </w:r>
      <w:r>
        <w:rPr>
          <w:rFonts w:ascii="Arial" w:hAnsi="Arial"/>
          <w:i/>
          <w:color w:val="231F20"/>
          <w:w w:val="85"/>
          <w:sz w:val="14"/>
        </w:rPr>
        <w:t>E3S</w:t>
      </w:r>
      <w:r>
        <w:rPr>
          <w:rFonts w:ascii="Arial" w:hAnsi="Arial"/>
          <w:i/>
          <w:color w:val="231F20"/>
          <w:spacing w:val="-5"/>
          <w:w w:val="85"/>
          <w:sz w:val="14"/>
        </w:rPr>
        <w:t> </w:t>
      </w:r>
      <w:r>
        <w:rPr>
          <w:rFonts w:ascii="Arial" w:hAnsi="Arial"/>
          <w:i/>
          <w:color w:val="231F20"/>
          <w:w w:val="85"/>
          <w:sz w:val="14"/>
        </w:rPr>
        <w:t>Web</w:t>
      </w:r>
      <w:r>
        <w:rPr>
          <w:rFonts w:ascii="Arial" w:hAnsi="Arial"/>
          <w:i/>
          <w:color w:val="231F20"/>
          <w:spacing w:val="-4"/>
          <w:w w:val="85"/>
          <w:sz w:val="14"/>
        </w:rPr>
        <w:t> </w:t>
      </w:r>
      <w:r>
        <w:rPr>
          <w:rFonts w:ascii="Arial" w:hAnsi="Arial"/>
          <w:i/>
          <w:color w:val="231F20"/>
          <w:w w:val="85"/>
          <w:sz w:val="14"/>
        </w:rPr>
        <w:t>of</w:t>
      </w:r>
      <w:r>
        <w:rPr>
          <w:rFonts w:ascii="Arial" w:hAnsi="Arial"/>
          <w:i/>
          <w:color w:val="231F20"/>
          <w:spacing w:val="-4"/>
          <w:w w:val="85"/>
          <w:sz w:val="14"/>
        </w:rPr>
        <w:t> </w:t>
      </w:r>
      <w:r>
        <w:rPr>
          <w:rFonts w:ascii="Arial" w:hAnsi="Arial"/>
          <w:i/>
          <w:color w:val="231F20"/>
          <w:w w:val="85"/>
          <w:sz w:val="14"/>
        </w:rPr>
        <w:t>Conferences</w:t>
      </w:r>
      <w:r>
        <w:rPr>
          <w:rFonts w:ascii="Arial" w:hAnsi="Arial"/>
          <w:i/>
          <w:color w:val="231F20"/>
          <w:spacing w:val="-3"/>
          <w:w w:val="85"/>
          <w:sz w:val="14"/>
        </w:rPr>
        <w:t> </w:t>
      </w:r>
      <w:r>
        <w:rPr>
          <w:rFonts w:ascii="Arial" w:hAnsi="Arial"/>
          <w:color w:val="231F20"/>
          <w:w w:val="85"/>
          <w:sz w:val="14"/>
        </w:rPr>
        <w:t>264:</w:t>
      </w:r>
      <w:r>
        <w:rPr>
          <w:rFonts w:ascii="Arial" w:hAnsi="Arial"/>
          <w:color w:val="231F20"/>
          <w:spacing w:val="-6"/>
          <w:w w:val="85"/>
          <w:sz w:val="14"/>
        </w:rPr>
        <w:t> </w:t>
      </w:r>
      <w:r>
        <w:rPr>
          <w:rFonts w:ascii="Arial" w:hAnsi="Arial"/>
          <w:color w:val="231F20"/>
          <w:w w:val="85"/>
          <w:sz w:val="14"/>
        </w:rPr>
        <w:t>05028.</w:t>
      </w:r>
    </w:p>
    <w:p>
      <w:pPr>
        <w:spacing w:line="297" w:lineRule="auto" w:before="1"/>
        <w:ind w:left="197" w:right="918" w:firstLine="0"/>
        <w:jc w:val="right"/>
        <w:rPr>
          <w:rFonts w:ascii="Arial" w:hAnsi="Arial"/>
          <w:sz w:val="14"/>
        </w:rPr>
      </w:pPr>
      <w:r>
        <w:rPr>
          <w:rFonts w:ascii="Arial" w:hAnsi="Arial"/>
          <w:color w:val="231F20"/>
          <w:w w:val="80"/>
          <w:sz w:val="14"/>
        </w:rPr>
        <w:t>Zaninovic,</w:t>
      </w:r>
      <w:r>
        <w:rPr>
          <w:rFonts w:ascii="Arial" w:hAnsi="Arial"/>
          <w:color w:val="231F20"/>
          <w:spacing w:val="-2"/>
          <w:w w:val="80"/>
          <w:sz w:val="14"/>
        </w:rPr>
        <w:t> </w:t>
      </w:r>
      <w:r>
        <w:rPr>
          <w:rFonts w:ascii="Arial" w:hAnsi="Arial"/>
          <w:color w:val="231F20"/>
          <w:w w:val="80"/>
          <w:sz w:val="14"/>
        </w:rPr>
        <w:t>P.</w:t>
      </w:r>
      <w:r>
        <w:rPr>
          <w:rFonts w:ascii="Arial" w:hAnsi="Arial"/>
          <w:color w:val="231F20"/>
          <w:spacing w:val="-2"/>
          <w:w w:val="80"/>
          <w:sz w:val="14"/>
        </w:rPr>
        <w:t> </w:t>
      </w:r>
      <w:r>
        <w:rPr>
          <w:rFonts w:ascii="Arial" w:hAnsi="Arial"/>
          <w:color w:val="231F20"/>
          <w:w w:val="80"/>
          <w:sz w:val="14"/>
        </w:rPr>
        <w:t>A.,</w:t>
      </w:r>
      <w:r>
        <w:rPr>
          <w:rFonts w:ascii="Arial" w:hAnsi="Arial"/>
          <w:color w:val="231F20"/>
          <w:spacing w:val="-8"/>
          <w:w w:val="80"/>
          <w:sz w:val="14"/>
        </w:rPr>
        <w:t> </w:t>
      </w:r>
      <w:r>
        <w:rPr>
          <w:rFonts w:ascii="Arial" w:hAnsi="Arial"/>
          <w:color w:val="231F20"/>
          <w:w w:val="80"/>
          <w:sz w:val="14"/>
        </w:rPr>
        <w:t>V. Zaninovic,</w:t>
      </w:r>
      <w:r>
        <w:rPr>
          <w:rFonts w:ascii="Arial" w:hAnsi="Arial"/>
          <w:color w:val="231F20"/>
          <w:spacing w:val="-2"/>
          <w:w w:val="80"/>
          <w:sz w:val="14"/>
        </w:rPr>
        <w:t> </w:t>
      </w:r>
      <w:r>
        <w:rPr>
          <w:rFonts w:ascii="Arial" w:hAnsi="Arial"/>
          <w:color w:val="231F20"/>
          <w:w w:val="80"/>
          <w:sz w:val="14"/>
        </w:rPr>
        <w:t>and H. P. Skender. 2021.</w:t>
      </w:r>
      <w:r>
        <w:rPr>
          <w:rFonts w:ascii="Arial" w:hAnsi="Arial"/>
          <w:color w:val="231F20"/>
          <w:spacing w:val="-2"/>
          <w:w w:val="80"/>
          <w:sz w:val="14"/>
        </w:rPr>
        <w:t> </w:t>
      </w:r>
      <w:r>
        <w:rPr>
          <w:rFonts w:ascii="Arial" w:hAnsi="Arial"/>
          <w:color w:val="231F20"/>
          <w:w w:val="80"/>
          <w:sz w:val="14"/>
        </w:rPr>
        <w:t>“The Effects</w:t>
      </w:r>
      <w:r>
        <w:rPr>
          <w:rFonts w:ascii="Arial" w:hAnsi="Arial"/>
          <w:color w:val="231F20"/>
          <w:spacing w:val="40"/>
          <w:sz w:val="14"/>
        </w:rPr>
        <w:t> </w:t>
      </w:r>
      <w:r>
        <w:rPr>
          <w:rFonts w:ascii="Arial" w:hAnsi="Arial"/>
          <w:color w:val="231F20"/>
          <w:w w:val="80"/>
          <w:sz w:val="14"/>
        </w:rPr>
        <w:t>of Logistics Performance on International Trade: EU15 vs CEMS.”</w:t>
      </w:r>
      <w:r>
        <w:rPr>
          <w:rFonts w:ascii="Arial" w:hAnsi="Arial"/>
          <w:color w:val="231F20"/>
          <w:spacing w:val="40"/>
          <w:sz w:val="14"/>
        </w:rPr>
        <w:t> </w:t>
      </w:r>
      <w:r>
        <w:rPr>
          <w:rFonts w:ascii="Arial" w:hAnsi="Arial"/>
          <w:i/>
          <w:color w:val="231F20"/>
          <w:w w:val="80"/>
          <w:sz w:val="14"/>
        </w:rPr>
        <w:t>Economic Research-Ekonomska Istraživanja </w:t>
      </w:r>
      <w:r>
        <w:rPr>
          <w:rFonts w:ascii="Arial" w:hAnsi="Arial"/>
          <w:color w:val="231F20"/>
          <w:w w:val="80"/>
          <w:sz w:val="14"/>
        </w:rPr>
        <w:t>34 (1): 1566–1582.</w:t>
      </w:r>
      <w:r>
        <w:rPr>
          <w:rFonts w:ascii="Arial" w:hAnsi="Arial"/>
          <w:color w:val="231F20"/>
          <w:spacing w:val="40"/>
          <w:sz w:val="14"/>
        </w:rPr>
        <w:t> </w:t>
      </w:r>
      <w:r>
        <w:rPr>
          <w:rFonts w:ascii="Arial" w:hAnsi="Arial"/>
          <w:color w:val="231F20"/>
          <w:w w:val="80"/>
          <w:sz w:val="14"/>
        </w:rPr>
        <w:t>Zeybek,</w:t>
      </w:r>
      <w:r>
        <w:rPr>
          <w:rFonts w:ascii="Arial" w:hAnsi="Arial"/>
          <w:color w:val="231F20"/>
          <w:spacing w:val="-4"/>
          <w:w w:val="80"/>
          <w:sz w:val="14"/>
        </w:rPr>
        <w:t> </w:t>
      </w:r>
      <w:r>
        <w:rPr>
          <w:rFonts w:ascii="Arial" w:hAnsi="Arial"/>
          <w:color w:val="231F20"/>
          <w:w w:val="80"/>
          <w:sz w:val="14"/>
        </w:rPr>
        <w:t>D.</w:t>
      </w:r>
      <w:r>
        <w:rPr>
          <w:rFonts w:ascii="Arial" w:hAnsi="Arial"/>
          <w:color w:val="231F20"/>
          <w:spacing w:val="-8"/>
          <w:sz w:val="14"/>
        </w:rPr>
        <w:t> </w:t>
      </w:r>
      <w:r>
        <w:rPr>
          <w:rFonts w:ascii="Arial" w:hAnsi="Arial"/>
          <w:color w:val="231F20"/>
          <w:w w:val="80"/>
          <w:sz w:val="14"/>
        </w:rPr>
        <w:t>2019.</w:t>
      </w:r>
      <w:r>
        <w:rPr>
          <w:rFonts w:ascii="Arial" w:hAnsi="Arial"/>
          <w:color w:val="231F20"/>
          <w:spacing w:val="-3"/>
          <w:w w:val="80"/>
          <w:sz w:val="14"/>
        </w:rPr>
        <w:t> </w:t>
      </w:r>
      <w:r>
        <w:rPr>
          <w:rFonts w:ascii="Arial" w:hAnsi="Arial"/>
          <w:color w:val="231F20"/>
          <w:w w:val="80"/>
          <w:sz w:val="14"/>
        </w:rPr>
        <w:t>“Impact</w:t>
      </w:r>
      <w:r>
        <w:rPr>
          <w:rFonts w:ascii="Arial" w:hAnsi="Arial"/>
          <w:color w:val="231F20"/>
          <w:spacing w:val="-7"/>
          <w:sz w:val="14"/>
        </w:rPr>
        <w:t> </w:t>
      </w:r>
      <w:r>
        <w:rPr>
          <w:rFonts w:ascii="Arial" w:hAnsi="Arial"/>
          <w:color w:val="231F20"/>
          <w:w w:val="80"/>
          <w:sz w:val="14"/>
        </w:rPr>
        <w:t>of</w:t>
      </w:r>
      <w:r>
        <w:rPr>
          <w:rFonts w:ascii="Arial" w:hAnsi="Arial"/>
          <w:color w:val="231F20"/>
          <w:spacing w:val="-6"/>
          <w:sz w:val="14"/>
        </w:rPr>
        <w:t> </w:t>
      </w:r>
      <w:r>
        <w:rPr>
          <w:rFonts w:ascii="Arial" w:hAnsi="Arial"/>
          <w:color w:val="231F20"/>
          <w:w w:val="80"/>
          <w:sz w:val="14"/>
        </w:rPr>
        <w:t>Railways</w:t>
      </w:r>
      <w:r>
        <w:rPr>
          <w:rFonts w:ascii="Arial" w:hAnsi="Arial"/>
          <w:color w:val="231F20"/>
          <w:spacing w:val="-7"/>
          <w:sz w:val="14"/>
        </w:rPr>
        <w:t> </w:t>
      </w:r>
      <w:r>
        <w:rPr>
          <w:rFonts w:ascii="Arial" w:hAnsi="Arial"/>
          <w:color w:val="231F20"/>
          <w:w w:val="80"/>
          <w:sz w:val="14"/>
        </w:rPr>
        <w:t>on</w:t>
      </w:r>
      <w:r>
        <w:rPr>
          <w:rFonts w:ascii="Arial" w:hAnsi="Arial"/>
          <w:color w:val="231F20"/>
          <w:spacing w:val="-7"/>
          <w:sz w:val="14"/>
        </w:rPr>
        <w:t> </w:t>
      </w:r>
      <w:r>
        <w:rPr>
          <w:rFonts w:ascii="Arial" w:hAnsi="Arial"/>
          <w:color w:val="231F20"/>
          <w:w w:val="80"/>
          <w:sz w:val="14"/>
        </w:rPr>
        <w:t>the</w:t>
      </w:r>
      <w:r>
        <w:rPr>
          <w:rFonts w:ascii="Arial" w:hAnsi="Arial"/>
          <w:color w:val="231F20"/>
          <w:spacing w:val="-6"/>
          <w:sz w:val="14"/>
        </w:rPr>
        <w:t> </w:t>
      </w:r>
      <w:r>
        <w:rPr>
          <w:rFonts w:ascii="Arial" w:hAnsi="Arial"/>
          <w:color w:val="231F20"/>
          <w:w w:val="80"/>
          <w:sz w:val="14"/>
        </w:rPr>
        <w:t>Logistic</w:t>
      </w:r>
      <w:r>
        <w:rPr>
          <w:rFonts w:ascii="Arial" w:hAnsi="Arial"/>
          <w:color w:val="231F20"/>
          <w:spacing w:val="-7"/>
          <w:sz w:val="14"/>
        </w:rPr>
        <w:t> </w:t>
      </w:r>
      <w:r>
        <w:rPr>
          <w:rFonts w:ascii="Arial" w:hAnsi="Arial"/>
          <w:color w:val="231F20"/>
          <w:w w:val="80"/>
          <w:sz w:val="14"/>
        </w:rPr>
        <w:t>Performance</w:t>
      </w:r>
      <w:r>
        <w:rPr>
          <w:rFonts w:ascii="Arial" w:hAnsi="Arial"/>
          <w:color w:val="231F20"/>
          <w:spacing w:val="-7"/>
          <w:sz w:val="14"/>
        </w:rPr>
        <w:t> </w:t>
      </w:r>
      <w:r>
        <w:rPr>
          <w:rFonts w:ascii="Arial" w:hAnsi="Arial"/>
          <w:color w:val="231F20"/>
          <w:spacing w:val="-5"/>
          <w:w w:val="80"/>
          <w:sz w:val="14"/>
        </w:rPr>
        <w:t>in</w:t>
      </w:r>
    </w:p>
    <w:p>
      <w:pPr>
        <w:spacing w:before="2"/>
        <w:ind w:left="451" w:right="0" w:firstLine="0"/>
        <w:jc w:val="left"/>
        <w:rPr>
          <w:rFonts w:ascii="Arial" w:hAnsi="Arial"/>
          <w:sz w:val="14"/>
        </w:rPr>
      </w:pPr>
      <w:r>
        <w:rPr>
          <w:rFonts w:ascii="Arial" w:hAnsi="Arial"/>
          <w:color w:val="231F20"/>
          <w:w w:val="75"/>
          <w:sz w:val="14"/>
        </w:rPr>
        <w:t>International</w:t>
      </w:r>
      <w:r>
        <w:rPr>
          <w:rFonts w:ascii="Arial" w:hAnsi="Arial"/>
          <w:color w:val="231F20"/>
          <w:spacing w:val="9"/>
          <w:sz w:val="14"/>
        </w:rPr>
        <w:t> </w:t>
      </w:r>
      <w:r>
        <w:rPr>
          <w:rFonts w:ascii="Arial" w:hAnsi="Arial"/>
          <w:color w:val="231F20"/>
          <w:w w:val="75"/>
          <w:sz w:val="14"/>
        </w:rPr>
        <w:t>Trade.”</w:t>
      </w:r>
      <w:r>
        <w:rPr>
          <w:rFonts w:ascii="Arial" w:hAnsi="Arial"/>
          <w:color w:val="231F20"/>
          <w:spacing w:val="10"/>
          <w:sz w:val="14"/>
        </w:rPr>
        <w:t> </w:t>
      </w:r>
      <w:r>
        <w:rPr>
          <w:rFonts w:ascii="Arial" w:hAnsi="Arial"/>
          <w:i/>
          <w:color w:val="231F20"/>
          <w:w w:val="75"/>
          <w:sz w:val="14"/>
        </w:rPr>
        <w:t>Demiryolu</w:t>
      </w:r>
      <w:r>
        <w:rPr>
          <w:rFonts w:ascii="Arial" w:hAnsi="Arial"/>
          <w:i/>
          <w:color w:val="231F20"/>
          <w:spacing w:val="18"/>
          <w:sz w:val="14"/>
        </w:rPr>
        <w:t> </w:t>
      </w:r>
      <w:r>
        <w:rPr>
          <w:rFonts w:ascii="Arial" w:hAnsi="Arial"/>
          <w:i/>
          <w:color w:val="231F20"/>
          <w:w w:val="75"/>
          <w:sz w:val="14"/>
        </w:rPr>
        <w:t>mühendisligi</w:t>
      </w:r>
      <w:r>
        <w:rPr>
          <w:rFonts w:ascii="Arial" w:hAnsi="Arial"/>
          <w:i/>
          <w:color w:val="231F20"/>
          <w:spacing w:val="18"/>
          <w:sz w:val="14"/>
        </w:rPr>
        <w:t> </w:t>
      </w:r>
      <w:r>
        <w:rPr>
          <w:rFonts w:ascii="Arial" w:hAnsi="Arial"/>
          <w:color w:val="231F20"/>
          <w:w w:val="75"/>
          <w:sz w:val="14"/>
        </w:rPr>
        <w:t>2019</w:t>
      </w:r>
      <w:r>
        <w:rPr>
          <w:rFonts w:ascii="Arial" w:hAnsi="Arial"/>
          <w:color w:val="231F20"/>
          <w:spacing w:val="19"/>
          <w:sz w:val="14"/>
        </w:rPr>
        <w:t> </w:t>
      </w:r>
      <w:r>
        <w:rPr>
          <w:rFonts w:ascii="Arial" w:hAnsi="Arial"/>
          <w:color w:val="231F20"/>
          <w:w w:val="75"/>
          <w:sz w:val="14"/>
        </w:rPr>
        <w:t>(9):</w:t>
      </w:r>
      <w:r>
        <w:rPr>
          <w:rFonts w:ascii="Arial" w:hAnsi="Arial"/>
          <w:color w:val="231F20"/>
          <w:spacing w:val="9"/>
          <w:sz w:val="14"/>
        </w:rPr>
        <w:t> </w:t>
      </w:r>
      <w:r>
        <w:rPr>
          <w:rFonts w:ascii="Arial" w:hAnsi="Arial"/>
          <w:color w:val="231F20"/>
          <w:spacing w:val="-2"/>
          <w:w w:val="75"/>
          <w:sz w:val="14"/>
        </w:rPr>
        <w:t>79–90.</w:t>
      </w:r>
    </w:p>
    <w:p>
      <w:pPr>
        <w:spacing w:after="0"/>
        <w:jc w:val="left"/>
        <w:rPr>
          <w:rFonts w:ascii="Arial" w:hAnsi="Arial"/>
          <w:sz w:val="14"/>
        </w:rPr>
        <w:sectPr>
          <w:type w:val="continuous"/>
          <w:pgSz w:w="12240" w:h="15840"/>
          <w:pgMar w:header="370" w:footer="548" w:top="1140" w:bottom="280" w:left="0" w:right="540"/>
          <w:cols w:num="2" w:equalWidth="0">
            <w:col w:w="7069" w:space="40"/>
            <w:col w:w="4591"/>
          </w:cols>
        </w:sectPr>
      </w:pPr>
    </w:p>
    <w:p>
      <w:pPr>
        <w:pStyle w:val="Heading1"/>
        <w:spacing w:before="95"/>
      </w:pPr>
      <w:bookmarkStart w:name="_bookmark53" w:id="57"/>
      <w:bookmarkEnd w:id="57"/>
      <w:r>
        <w:rPr>
          <w:b w:val="0"/>
        </w:rPr>
      </w:r>
      <w:r>
        <w:rPr>
          <w:color w:val="231F20"/>
          <w:spacing w:val="-2"/>
          <w:w w:val="105"/>
        </w:rPr>
        <w:t>References</w:t>
      </w:r>
    </w:p>
    <w:p>
      <w:pPr>
        <w:pStyle w:val="BodyText"/>
        <w:rPr>
          <w:rFonts w:ascii="Arial"/>
          <w:b/>
          <w:sz w:val="14"/>
        </w:rPr>
      </w:pPr>
      <w:r>
        <w:rPr/>
        <mc:AlternateContent>
          <mc:Choice Requires="wps">
            <w:drawing>
              <wp:anchor distT="0" distB="0" distL="0" distR="0" allowOverlap="1" layoutInCell="1" locked="0" behindDoc="1" simplePos="0" relativeHeight="487652864">
                <wp:simplePos x="0" y="0"/>
                <wp:positionH relativeFrom="page">
                  <wp:posOffset>762000</wp:posOffset>
                </wp:positionH>
                <wp:positionV relativeFrom="paragraph">
                  <wp:posOffset>117499</wp:posOffset>
                </wp:positionV>
                <wp:extent cx="1524000" cy="171450"/>
                <wp:effectExtent l="0" t="0" r="0" b="0"/>
                <wp:wrapTopAndBottom/>
                <wp:docPr id="2136" name="Graphic 2136"/>
                <wp:cNvGraphicFramePr>
                  <a:graphicFrameLocks/>
                </wp:cNvGraphicFramePr>
                <a:graphic>
                  <a:graphicData uri="http://schemas.microsoft.com/office/word/2010/wordprocessingShape">
                    <wps:wsp>
                      <wps:cNvPr id="2136" name="Graphic 2136"/>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9.251953pt;width:120pt;height:13.5pt;mso-position-horizontal-relative:page;mso-position-vertical-relative:paragraph;z-index:-15663616;mso-wrap-distance-left:0;mso-wrap-distance-right:0" id="docshape1845" filled="true" fillcolor="#d1d3d4" stroked="false">
                <v:fill type="solid"/>
                <w10:wrap type="topAndBottom"/>
              </v:rect>
            </w:pict>
          </mc:Fallback>
        </mc:AlternateContent>
      </w:r>
      <w:r>
        <w:rPr/>
        <mc:AlternateContent>
          <mc:Choice Requires="wps">
            <w:drawing>
              <wp:anchor distT="0" distB="0" distL="0" distR="0" allowOverlap="1" layoutInCell="1" locked="0" behindDoc="1" simplePos="0" relativeHeight="487653376">
                <wp:simplePos x="0" y="0"/>
                <wp:positionH relativeFrom="page">
                  <wp:posOffset>2438400</wp:posOffset>
                </wp:positionH>
                <wp:positionV relativeFrom="paragraph">
                  <wp:posOffset>117499</wp:posOffset>
                </wp:positionV>
                <wp:extent cx="4876800" cy="171450"/>
                <wp:effectExtent l="0" t="0" r="0" b="0"/>
                <wp:wrapTopAndBottom/>
                <wp:docPr id="2137" name="Graphic 2137"/>
                <wp:cNvGraphicFramePr>
                  <a:graphicFrameLocks/>
                </wp:cNvGraphicFramePr>
                <a:graphic>
                  <a:graphicData uri="http://schemas.microsoft.com/office/word/2010/wordprocessingShape">
                    <wps:wsp>
                      <wps:cNvPr id="2137" name="Graphic 2137"/>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9.251953pt;width:384pt;height:13.5pt;mso-position-horizontal-relative:page;mso-position-vertical-relative:paragraph;z-index:-15663104;mso-wrap-distance-left:0;mso-wrap-distance-right:0" id="docshape1846" filled="true" fillcolor="#c9dcf3" stroked="false">
                <v:fill type="solid"/>
                <w10:wrap type="topAndBottom"/>
              </v:rect>
            </w:pict>
          </mc:Fallback>
        </mc:AlternateConten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06"/>
        <w:rPr>
          <w:rFonts w:ascii="Arial"/>
          <w:b/>
          <w:sz w:val="20"/>
        </w:rPr>
      </w:pPr>
    </w:p>
    <w:p>
      <w:pPr>
        <w:spacing w:after="0"/>
        <w:rPr>
          <w:rFonts w:ascii="Arial"/>
          <w:sz w:val="20"/>
        </w:rPr>
        <w:sectPr>
          <w:headerReference w:type="default" r:id="rId191"/>
          <w:pgSz w:w="12240" w:h="15840"/>
          <w:pgMar w:header="0" w:footer="0" w:top="1120" w:bottom="740" w:left="0" w:right="540"/>
        </w:sectPr>
      </w:pPr>
    </w:p>
    <w:p>
      <w:pPr>
        <w:spacing w:line="297" w:lineRule="auto" w:before="102"/>
        <w:ind w:left="4080" w:right="245" w:hanging="240"/>
        <w:jc w:val="both"/>
        <w:rPr>
          <w:rFonts w:ascii="Arial"/>
          <w:sz w:val="14"/>
        </w:rPr>
      </w:pPr>
      <w:r>
        <w:rPr>
          <w:rFonts w:ascii="Arial"/>
          <w:color w:val="231F20"/>
          <w:w w:val="80"/>
          <w:sz w:val="14"/>
        </w:rPr>
        <w:t>Arvis,</w:t>
      </w:r>
      <w:r>
        <w:rPr>
          <w:rFonts w:ascii="Arial"/>
          <w:color w:val="231F20"/>
          <w:spacing w:val="-2"/>
          <w:w w:val="80"/>
          <w:sz w:val="14"/>
        </w:rPr>
        <w:t> </w:t>
      </w:r>
      <w:r>
        <w:rPr>
          <w:rFonts w:ascii="Arial"/>
          <w:color w:val="231F20"/>
          <w:w w:val="80"/>
          <w:sz w:val="14"/>
        </w:rPr>
        <w:t>J. F.,</w:t>
      </w:r>
      <w:r>
        <w:rPr>
          <w:rFonts w:ascii="Arial"/>
          <w:color w:val="231F20"/>
          <w:spacing w:val="-2"/>
          <w:w w:val="80"/>
          <w:sz w:val="14"/>
        </w:rPr>
        <w:t> </w:t>
      </w:r>
      <w:r>
        <w:rPr>
          <w:rFonts w:ascii="Arial"/>
          <w:color w:val="231F20"/>
          <w:w w:val="80"/>
          <w:sz w:val="14"/>
        </w:rPr>
        <w:t>J. F. Marteau,</w:t>
      </w:r>
      <w:r>
        <w:rPr>
          <w:rFonts w:ascii="Arial"/>
          <w:color w:val="231F20"/>
          <w:spacing w:val="-2"/>
          <w:w w:val="80"/>
          <w:sz w:val="14"/>
        </w:rPr>
        <w:t> </w:t>
      </w:r>
      <w:r>
        <w:rPr>
          <w:rFonts w:ascii="Arial"/>
          <w:color w:val="231F20"/>
          <w:w w:val="80"/>
          <w:sz w:val="14"/>
        </w:rPr>
        <w:t>and G. J. R. F. Raballand. 2010. </w:t>
      </w:r>
      <w:r>
        <w:rPr>
          <w:rFonts w:ascii="Arial"/>
          <w:i/>
          <w:color w:val="231F20"/>
          <w:w w:val="80"/>
          <w:sz w:val="14"/>
        </w:rPr>
        <w:t>The Cost</w:t>
      </w:r>
      <w:r>
        <w:rPr>
          <w:rFonts w:ascii="Arial"/>
          <w:i/>
          <w:color w:val="231F20"/>
          <w:spacing w:val="40"/>
          <w:sz w:val="14"/>
        </w:rPr>
        <w:t> </w:t>
      </w:r>
      <w:r>
        <w:rPr>
          <w:rFonts w:ascii="Arial"/>
          <w:i/>
          <w:color w:val="231F20"/>
          <w:w w:val="75"/>
          <w:sz w:val="14"/>
        </w:rPr>
        <w:t>of</w:t>
      </w:r>
      <w:r>
        <w:rPr>
          <w:rFonts w:ascii="Arial"/>
          <w:i/>
          <w:color w:val="231F20"/>
          <w:sz w:val="14"/>
        </w:rPr>
        <w:t> </w:t>
      </w:r>
      <w:r>
        <w:rPr>
          <w:rFonts w:ascii="Arial"/>
          <w:i/>
          <w:color w:val="231F20"/>
          <w:w w:val="75"/>
          <w:sz w:val="14"/>
        </w:rPr>
        <w:t>Being</w:t>
      </w:r>
      <w:r>
        <w:rPr>
          <w:rFonts w:ascii="Arial"/>
          <w:i/>
          <w:color w:val="231F20"/>
          <w:sz w:val="14"/>
        </w:rPr>
        <w:t> </w:t>
      </w:r>
      <w:r>
        <w:rPr>
          <w:rFonts w:ascii="Arial"/>
          <w:i/>
          <w:color w:val="231F20"/>
          <w:w w:val="75"/>
          <w:sz w:val="14"/>
        </w:rPr>
        <w:t>Landlocked: Logistics</w:t>
      </w:r>
      <w:r>
        <w:rPr>
          <w:rFonts w:ascii="Arial"/>
          <w:i/>
          <w:color w:val="231F20"/>
          <w:sz w:val="14"/>
        </w:rPr>
        <w:t> </w:t>
      </w:r>
      <w:r>
        <w:rPr>
          <w:rFonts w:ascii="Arial"/>
          <w:i/>
          <w:color w:val="231F20"/>
          <w:w w:val="75"/>
          <w:sz w:val="14"/>
        </w:rPr>
        <w:t>Costs</w:t>
      </w:r>
      <w:r>
        <w:rPr>
          <w:rFonts w:ascii="Arial"/>
          <w:i/>
          <w:color w:val="231F20"/>
          <w:sz w:val="14"/>
        </w:rPr>
        <w:t> </w:t>
      </w:r>
      <w:r>
        <w:rPr>
          <w:rFonts w:ascii="Arial"/>
          <w:i/>
          <w:color w:val="231F20"/>
          <w:w w:val="75"/>
          <w:sz w:val="14"/>
        </w:rPr>
        <w:t>and</w:t>
      </w:r>
      <w:r>
        <w:rPr>
          <w:rFonts w:ascii="Arial"/>
          <w:i/>
          <w:color w:val="231F20"/>
          <w:sz w:val="14"/>
        </w:rPr>
        <w:t> </w:t>
      </w:r>
      <w:r>
        <w:rPr>
          <w:rFonts w:ascii="Arial"/>
          <w:i/>
          <w:color w:val="231F20"/>
          <w:w w:val="75"/>
          <w:sz w:val="14"/>
        </w:rPr>
        <w:t>Supply</w:t>
      </w:r>
      <w:r>
        <w:rPr>
          <w:rFonts w:ascii="Arial"/>
          <w:i/>
          <w:color w:val="231F20"/>
          <w:sz w:val="14"/>
        </w:rPr>
        <w:t> </w:t>
      </w:r>
      <w:r>
        <w:rPr>
          <w:rFonts w:ascii="Arial"/>
          <w:i/>
          <w:color w:val="231F20"/>
          <w:w w:val="75"/>
          <w:sz w:val="14"/>
        </w:rPr>
        <w:t>Chain</w:t>
      </w:r>
      <w:r>
        <w:rPr>
          <w:rFonts w:ascii="Arial"/>
          <w:i/>
          <w:color w:val="231F20"/>
          <w:sz w:val="14"/>
        </w:rPr>
        <w:t> </w:t>
      </w:r>
      <w:r>
        <w:rPr>
          <w:rFonts w:ascii="Arial"/>
          <w:i/>
          <w:color w:val="231F20"/>
          <w:w w:val="75"/>
          <w:sz w:val="14"/>
        </w:rPr>
        <w:t>Reliability.</w:t>
      </w:r>
      <w:r>
        <w:rPr>
          <w:rFonts w:ascii="Arial"/>
          <w:i/>
          <w:color w:val="231F20"/>
          <w:spacing w:val="40"/>
          <w:sz w:val="14"/>
        </w:rPr>
        <w:t> </w:t>
      </w:r>
      <w:r>
        <w:rPr>
          <w:rFonts w:ascii="Arial"/>
          <w:color w:val="231F20"/>
          <w:w w:val="85"/>
          <w:sz w:val="14"/>
        </w:rPr>
        <w:t>Washington,</w:t>
      </w:r>
      <w:r>
        <w:rPr>
          <w:rFonts w:ascii="Arial"/>
          <w:color w:val="231F20"/>
          <w:spacing w:val="-5"/>
          <w:w w:val="85"/>
          <w:sz w:val="14"/>
        </w:rPr>
        <w:t> </w:t>
      </w:r>
      <w:r>
        <w:rPr>
          <w:rFonts w:ascii="Arial"/>
          <w:color w:val="231F20"/>
          <w:w w:val="85"/>
          <w:sz w:val="14"/>
        </w:rPr>
        <w:t>DC:</w:t>
      </w:r>
      <w:r>
        <w:rPr>
          <w:rFonts w:ascii="Arial"/>
          <w:color w:val="231F20"/>
          <w:spacing w:val="-10"/>
          <w:w w:val="85"/>
          <w:sz w:val="14"/>
        </w:rPr>
        <w:t> </w:t>
      </w:r>
      <w:r>
        <w:rPr>
          <w:rFonts w:ascii="Arial"/>
          <w:color w:val="231F20"/>
          <w:w w:val="85"/>
          <w:sz w:val="14"/>
        </w:rPr>
        <w:t>World Bank.</w:t>
      </w:r>
    </w:p>
    <w:p>
      <w:pPr>
        <w:spacing w:before="2"/>
        <w:ind w:left="3840" w:right="0" w:firstLine="0"/>
        <w:jc w:val="both"/>
        <w:rPr>
          <w:rFonts w:ascii="Arial"/>
          <w:sz w:val="14"/>
        </w:rPr>
      </w:pPr>
      <w:r>
        <w:rPr>
          <w:rFonts w:ascii="Arial"/>
          <w:color w:val="231F20"/>
          <w:w w:val="80"/>
          <w:sz w:val="14"/>
        </w:rPr>
        <w:t>Arvis,</w:t>
      </w:r>
      <w:r>
        <w:rPr>
          <w:rFonts w:ascii="Arial"/>
          <w:color w:val="231F20"/>
          <w:spacing w:val="-7"/>
          <w:sz w:val="14"/>
        </w:rPr>
        <w:t> </w:t>
      </w:r>
      <w:r>
        <w:rPr>
          <w:rFonts w:ascii="Arial"/>
          <w:color w:val="231F20"/>
          <w:w w:val="80"/>
          <w:sz w:val="14"/>
        </w:rPr>
        <w:t>J.</w:t>
      </w:r>
      <w:r>
        <w:rPr>
          <w:rFonts w:ascii="Arial"/>
          <w:color w:val="231F20"/>
          <w:sz w:val="14"/>
        </w:rPr>
        <w:t> </w:t>
      </w:r>
      <w:r>
        <w:rPr>
          <w:rFonts w:ascii="Arial"/>
          <w:color w:val="231F20"/>
          <w:w w:val="80"/>
          <w:sz w:val="14"/>
        </w:rPr>
        <w:t>F.,</w:t>
      </w:r>
      <w:r>
        <w:rPr>
          <w:rFonts w:ascii="Arial"/>
          <w:color w:val="231F20"/>
          <w:spacing w:val="-6"/>
          <w:sz w:val="14"/>
        </w:rPr>
        <w:t> </w:t>
      </w:r>
      <w:r>
        <w:rPr>
          <w:rFonts w:ascii="Arial"/>
          <w:color w:val="231F20"/>
          <w:w w:val="80"/>
          <w:sz w:val="14"/>
        </w:rPr>
        <w:t>M.</w:t>
      </w:r>
      <w:r>
        <w:rPr>
          <w:rFonts w:ascii="Arial"/>
          <w:color w:val="231F20"/>
          <w:spacing w:val="-6"/>
          <w:sz w:val="14"/>
        </w:rPr>
        <w:t> </w:t>
      </w:r>
      <w:r>
        <w:rPr>
          <w:rFonts w:ascii="Arial"/>
          <w:color w:val="231F20"/>
          <w:w w:val="80"/>
          <w:sz w:val="14"/>
        </w:rPr>
        <w:t>A.</w:t>
      </w:r>
      <w:r>
        <w:rPr>
          <w:rFonts w:ascii="Arial"/>
          <w:color w:val="231F20"/>
          <w:spacing w:val="-1"/>
          <w:sz w:val="14"/>
        </w:rPr>
        <w:t> </w:t>
      </w:r>
      <w:r>
        <w:rPr>
          <w:rFonts w:ascii="Arial"/>
          <w:color w:val="231F20"/>
          <w:w w:val="80"/>
          <w:sz w:val="14"/>
        </w:rPr>
        <w:t>Mustra,</w:t>
      </w:r>
      <w:r>
        <w:rPr>
          <w:rFonts w:ascii="Arial"/>
          <w:color w:val="231F20"/>
          <w:spacing w:val="-6"/>
          <w:sz w:val="14"/>
        </w:rPr>
        <w:t> </w:t>
      </w:r>
      <w:r>
        <w:rPr>
          <w:rFonts w:ascii="Arial"/>
          <w:color w:val="231F20"/>
          <w:w w:val="80"/>
          <w:sz w:val="14"/>
        </w:rPr>
        <w:t>J.</w:t>
      </w:r>
      <w:r>
        <w:rPr>
          <w:rFonts w:ascii="Arial"/>
          <w:color w:val="231F20"/>
          <w:sz w:val="14"/>
        </w:rPr>
        <w:t> </w:t>
      </w:r>
      <w:r>
        <w:rPr>
          <w:rFonts w:ascii="Arial"/>
          <w:color w:val="231F20"/>
          <w:w w:val="80"/>
          <w:sz w:val="14"/>
        </w:rPr>
        <w:t>Panzer,</w:t>
      </w:r>
      <w:r>
        <w:rPr>
          <w:rFonts w:ascii="Arial"/>
          <w:color w:val="231F20"/>
          <w:spacing w:val="-6"/>
          <w:sz w:val="14"/>
        </w:rPr>
        <w:t> </w:t>
      </w:r>
      <w:r>
        <w:rPr>
          <w:rFonts w:ascii="Arial"/>
          <w:color w:val="231F20"/>
          <w:w w:val="80"/>
          <w:sz w:val="14"/>
        </w:rPr>
        <w:t>L.</w:t>
      </w:r>
      <w:r>
        <w:rPr>
          <w:rFonts w:ascii="Arial"/>
          <w:color w:val="231F20"/>
          <w:spacing w:val="-1"/>
          <w:sz w:val="14"/>
        </w:rPr>
        <w:t> </w:t>
      </w:r>
      <w:r>
        <w:rPr>
          <w:rFonts w:ascii="Arial"/>
          <w:color w:val="231F20"/>
          <w:w w:val="80"/>
          <w:sz w:val="14"/>
        </w:rPr>
        <w:t>Ojala,</w:t>
      </w:r>
      <w:r>
        <w:rPr>
          <w:rFonts w:ascii="Arial"/>
          <w:color w:val="231F20"/>
          <w:spacing w:val="-6"/>
          <w:sz w:val="14"/>
        </w:rPr>
        <w:t> </w:t>
      </w:r>
      <w:r>
        <w:rPr>
          <w:rFonts w:ascii="Arial"/>
          <w:color w:val="231F20"/>
          <w:w w:val="80"/>
          <w:sz w:val="14"/>
        </w:rPr>
        <w:t>and</w:t>
      </w:r>
      <w:r>
        <w:rPr>
          <w:rFonts w:ascii="Arial"/>
          <w:color w:val="231F20"/>
          <w:spacing w:val="-6"/>
          <w:sz w:val="14"/>
        </w:rPr>
        <w:t> </w:t>
      </w:r>
      <w:r>
        <w:rPr>
          <w:rFonts w:ascii="Arial"/>
          <w:color w:val="231F20"/>
          <w:w w:val="80"/>
          <w:sz w:val="14"/>
        </w:rPr>
        <w:t>T.</w:t>
      </w:r>
      <w:r>
        <w:rPr>
          <w:rFonts w:ascii="Arial"/>
          <w:color w:val="231F20"/>
          <w:sz w:val="14"/>
        </w:rPr>
        <w:t> </w:t>
      </w:r>
      <w:r>
        <w:rPr>
          <w:rFonts w:ascii="Arial"/>
          <w:color w:val="231F20"/>
          <w:w w:val="80"/>
          <w:sz w:val="14"/>
        </w:rPr>
        <w:t>Naula.</w:t>
      </w:r>
      <w:r>
        <w:rPr>
          <w:rFonts w:ascii="Arial"/>
          <w:color w:val="231F20"/>
          <w:spacing w:val="-1"/>
          <w:sz w:val="14"/>
        </w:rPr>
        <w:t> </w:t>
      </w:r>
      <w:r>
        <w:rPr>
          <w:rFonts w:ascii="Arial"/>
          <w:color w:val="231F20"/>
          <w:spacing w:val="-2"/>
          <w:w w:val="80"/>
          <w:sz w:val="14"/>
        </w:rPr>
        <w:t>2007.</w:t>
      </w:r>
    </w:p>
    <w:p>
      <w:pPr>
        <w:spacing w:line="297" w:lineRule="auto" w:before="39"/>
        <w:ind w:left="4080" w:right="198" w:firstLine="0"/>
        <w:jc w:val="left"/>
        <w:rPr>
          <w:rFonts w:ascii="Arial" w:hAnsi="Arial"/>
          <w:sz w:val="14"/>
        </w:rPr>
      </w:pPr>
      <w:r>
        <w:rPr>
          <w:rFonts w:ascii="Arial" w:hAnsi="Arial"/>
          <w:i/>
          <w:color w:val="231F20"/>
          <w:w w:val="80"/>
          <w:sz w:val="14"/>
        </w:rPr>
        <w:t>Connecting to Compete 2007:</w:t>
      </w:r>
      <w:r>
        <w:rPr>
          <w:rFonts w:ascii="Arial" w:hAnsi="Arial"/>
          <w:i/>
          <w:color w:val="231F20"/>
          <w:spacing w:val="-2"/>
          <w:w w:val="80"/>
          <w:sz w:val="14"/>
        </w:rPr>
        <w:t> </w:t>
      </w:r>
      <w:r>
        <w:rPr>
          <w:rFonts w:ascii="Arial" w:hAnsi="Arial"/>
          <w:i/>
          <w:color w:val="231F20"/>
          <w:w w:val="80"/>
          <w:sz w:val="14"/>
        </w:rPr>
        <w:t>Trade Logistics in The Global</w:t>
      </w:r>
      <w:r>
        <w:rPr>
          <w:rFonts w:ascii="Arial" w:hAnsi="Arial"/>
          <w:i/>
          <w:color w:val="231F20"/>
          <w:spacing w:val="40"/>
          <w:sz w:val="14"/>
        </w:rPr>
        <w:t> </w:t>
      </w:r>
      <w:r>
        <w:rPr>
          <w:rFonts w:ascii="Arial" w:hAnsi="Arial"/>
          <w:i/>
          <w:color w:val="231F20"/>
          <w:spacing w:val="-2"/>
          <w:w w:val="80"/>
          <w:sz w:val="14"/>
        </w:rPr>
        <w:t>Economy—The</w:t>
      </w:r>
      <w:r>
        <w:rPr>
          <w:rFonts w:ascii="Arial" w:hAnsi="Arial"/>
          <w:i/>
          <w:color w:val="231F20"/>
          <w:sz w:val="14"/>
        </w:rPr>
        <w:t> </w:t>
      </w:r>
      <w:r>
        <w:rPr>
          <w:rFonts w:ascii="Arial" w:hAnsi="Arial"/>
          <w:i/>
          <w:color w:val="231F20"/>
          <w:spacing w:val="-2"/>
          <w:w w:val="80"/>
          <w:sz w:val="14"/>
        </w:rPr>
        <w:t>Logistics</w:t>
      </w:r>
      <w:r>
        <w:rPr>
          <w:rFonts w:ascii="Arial" w:hAnsi="Arial"/>
          <w:i/>
          <w:color w:val="231F20"/>
          <w:sz w:val="14"/>
        </w:rPr>
        <w:t> </w:t>
      </w:r>
      <w:r>
        <w:rPr>
          <w:rFonts w:ascii="Arial" w:hAnsi="Arial"/>
          <w:i/>
          <w:color w:val="231F20"/>
          <w:spacing w:val="-2"/>
          <w:w w:val="80"/>
          <w:sz w:val="14"/>
        </w:rPr>
        <w:t>Performance</w:t>
      </w:r>
      <w:r>
        <w:rPr>
          <w:rFonts w:ascii="Arial" w:hAnsi="Arial"/>
          <w:i/>
          <w:color w:val="231F20"/>
          <w:sz w:val="14"/>
        </w:rPr>
        <w:t> </w:t>
      </w:r>
      <w:r>
        <w:rPr>
          <w:rFonts w:ascii="Arial" w:hAnsi="Arial"/>
          <w:i/>
          <w:color w:val="231F20"/>
          <w:spacing w:val="-2"/>
          <w:w w:val="80"/>
          <w:sz w:val="14"/>
        </w:rPr>
        <w:t>Index</w:t>
      </w:r>
      <w:r>
        <w:rPr>
          <w:rFonts w:ascii="Arial" w:hAnsi="Arial"/>
          <w:i/>
          <w:color w:val="231F20"/>
          <w:sz w:val="14"/>
        </w:rPr>
        <w:t> </w:t>
      </w:r>
      <w:r>
        <w:rPr>
          <w:rFonts w:ascii="Arial" w:hAnsi="Arial"/>
          <w:i/>
          <w:color w:val="231F20"/>
          <w:spacing w:val="-2"/>
          <w:w w:val="80"/>
          <w:sz w:val="14"/>
        </w:rPr>
        <w:t>and</w:t>
      </w:r>
      <w:r>
        <w:rPr>
          <w:rFonts w:ascii="Arial" w:hAnsi="Arial"/>
          <w:i/>
          <w:color w:val="231F20"/>
          <w:sz w:val="14"/>
        </w:rPr>
        <w:t> </w:t>
      </w:r>
      <w:r>
        <w:rPr>
          <w:rFonts w:ascii="Arial" w:hAnsi="Arial"/>
          <w:i/>
          <w:color w:val="231F20"/>
          <w:spacing w:val="-2"/>
          <w:w w:val="80"/>
          <w:sz w:val="14"/>
        </w:rPr>
        <w:t>Its</w:t>
      </w:r>
      <w:r>
        <w:rPr>
          <w:rFonts w:ascii="Arial" w:hAnsi="Arial"/>
          <w:i/>
          <w:color w:val="231F20"/>
          <w:sz w:val="14"/>
        </w:rPr>
        <w:t> </w:t>
      </w:r>
      <w:r>
        <w:rPr>
          <w:rFonts w:ascii="Arial" w:hAnsi="Arial"/>
          <w:i/>
          <w:color w:val="231F20"/>
          <w:spacing w:val="-2"/>
          <w:w w:val="80"/>
          <w:sz w:val="14"/>
        </w:rPr>
        <w:t>Indicators.</w:t>
      </w:r>
      <w:r>
        <w:rPr>
          <w:rFonts w:ascii="Arial" w:hAnsi="Arial"/>
          <w:i/>
          <w:color w:val="231F20"/>
          <w:spacing w:val="40"/>
          <w:sz w:val="14"/>
        </w:rPr>
        <w:t> </w:t>
      </w:r>
      <w:r>
        <w:rPr>
          <w:rFonts w:ascii="Arial" w:hAnsi="Arial"/>
          <w:color w:val="231F20"/>
          <w:w w:val="85"/>
          <w:sz w:val="14"/>
        </w:rPr>
        <w:t>Washington,</w:t>
      </w:r>
      <w:r>
        <w:rPr>
          <w:rFonts w:ascii="Arial" w:hAnsi="Arial"/>
          <w:color w:val="231F20"/>
          <w:spacing w:val="-5"/>
          <w:w w:val="85"/>
          <w:sz w:val="14"/>
        </w:rPr>
        <w:t> </w:t>
      </w:r>
      <w:r>
        <w:rPr>
          <w:rFonts w:ascii="Arial" w:hAnsi="Arial"/>
          <w:color w:val="231F20"/>
          <w:w w:val="85"/>
          <w:sz w:val="14"/>
        </w:rPr>
        <w:t>DC:</w:t>
      </w:r>
      <w:r>
        <w:rPr>
          <w:rFonts w:ascii="Arial" w:hAnsi="Arial"/>
          <w:color w:val="231F20"/>
          <w:spacing w:val="-10"/>
          <w:w w:val="85"/>
          <w:sz w:val="14"/>
        </w:rPr>
        <w:t> </w:t>
      </w:r>
      <w:r>
        <w:rPr>
          <w:rFonts w:ascii="Arial" w:hAnsi="Arial"/>
          <w:color w:val="231F20"/>
          <w:w w:val="85"/>
          <w:sz w:val="14"/>
        </w:rPr>
        <w:t>World Bank.</w:t>
      </w:r>
    </w:p>
    <w:p>
      <w:pPr>
        <w:spacing w:line="297" w:lineRule="auto" w:before="1"/>
        <w:ind w:left="4080" w:right="198" w:hanging="240"/>
        <w:jc w:val="left"/>
        <w:rPr>
          <w:rFonts w:ascii="Arial"/>
          <w:sz w:val="14"/>
        </w:rPr>
      </w:pPr>
      <w:r>
        <w:rPr>
          <w:rFonts w:ascii="Arial"/>
          <w:color w:val="231F20"/>
          <w:w w:val="85"/>
          <w:sz w:val="14"/>
        </w:rPr>
        <w:t>Arvis,</w:t>
      </w:r>
      <w:r>
        <w:rPr>
          <w:rFonts w:ascii="Arial"/>
          <w:color w:val="231F20"/>
          <w:spacing w:val="-6"/>
          <w:w w:val="85"/>
          <w:sz w:val="14"/>
        </w:rPr>
        <w:t> </w:t>
      </w:r>
      <w:r>
        <w:rPr>
          <w:rFonts w:ascii="Arial"/>
          <w:color w:val="231F20"/>
          <w:w w:val="85"/>
          <w:sz w:val="14"/>
        </w:rPr>
        <w:t>J.</w:t>
      </w:r>
      <w:r>
        <w:rPr>
          <w:rFonts w:ascii="Arial"/>
          <w:color w:val="231F20"/>
          <w:spacing w:val="-4"/>
          <w:w w:val="85"/>
          <w:sz w:val="14"/>
        </w:rPr>
        <w:t> </w:t>
      </w:r>
      <w:r>
        <w:rPr>
          <w:rFonts w:ascii="Arial"/>
          <w:color w:val="231F20"/>
          <w:w w:val="85"/>
          <w:sz w:val="14"/>
        </w:rPr>
        <w:t>F.,</w:t>
      </w:r>
      <w:r>
        <w:rPr>
          <w:rFonts w:ascii="Arial"/>
          <w:color w:val="231F20"/>
          <w:spacing w:val="-5"/>
          <w:w w:val="85"/>
          <w:sz w:val="14"/>
        </w:rPr>
        <w:t> </w:t>
      </w:r>
      <w:r>
        <w:rPr>
          <w:rFonts w:ascii="Arial"/>
          <w:color w:val="231F20"/>
          <w:w w:val="85"/>
          <w:sz w:val="14"/>
        </w:rPr>
        <w:t>M.</w:t>
      </w:r>
      <w:r>
        <w:rPr>
          <w:rFonts w:ascii="Arial"/>
          <w:color w:val="231F20"/>
          <w:spacing w:val="-5"/>
          <w:w w:val="85"/>
          <w:sz w:val="14"/>
        </w:rPr>
        <w:t> </w:t>
      </w:r>
      <w:r>
        <w:rPr>
          <w:rFonts w:ascii="Arial"/>
          <w:color w:val="231F20"/>
          <w:w w:val="85"/>
          <w:sz w:val="14"/>
        </w:rPr>
        <w:t>A.</w:t>
      </w:r>
      <w:r>
        <w:rPr>
          <w:rFonts w:ascii="Arial"/>
          <w:color w:val="231F20"/>
          <w:spacing w:val="-4"/>
          <w:w w:val="85"/>
          <w:sz w:val="14"/>
        </w:rPr>
        <w:t> </w:t>
      </w:r>
      <w:r>
        <w:rPr>
          <w:rFonts w:ascii="Arial"/>
          <w:color w:val="231F20"/>
          <w:w w:val="85"/>
          <w:sz w:val="14"/>
        </w:rPr>
        <w:t>Mustra,</w:t>
      </w:r>
      <w:r>
        <w:rPr>
          <w:rFonts w:ascii="Arial"/>
          <w:color w:val="231F20"/>
          <w:spacing w:val="-5"/>
          <w:w w:val="85"/>
          <w:sz w:val="14"/>
        </w:rPr>
        <w:t> </w:t>
      </w:r>
      <w:r>
        <w:rPr>
          <w:rFonts w:ascii="Arial"/>
          <w:color w:val="231F20"/>
          <w:w w:val="85"/>
          <w:sz w:val="14"/>
        </w:rPr>
        <w:t>L.</w:t>
      </w:r>
      <w:r>
        <w:rPr>
          <w:rFonts w:ascii="Arial"/>
          <w:color w:val="231F20"/>
          <w:spacing w:val="-4"/>
          <w:w w:val="85"/>
          <w:sz w:val="14"/>
        </w:rPr>
        <w:t> </w:t>
      </w:r>
      <w:r>
        <w:rPr>
          <w:rFonts w:ascii="Arial"/>
          <w:color w:val="231F20"/>
          <w:w w:val="85"/>
          <w:sz w:val="14"/>
        </w:rPr>
        <w:t>Ojala,</w:t>
      </w:r>
      <w:r>
        <w:rPr>
          <w:rFonts w:ascii="Arial"/>
          <w:color w:val="231F20"/>
          <w:spacing w:val="-5"/>
          <w:w w:val="85"/>
          <w:sz w:val="14"/>
        </w:rPr>
        <w:t> </w:t>
      </w:r>
      <w:r>
        <w:rPr>
          <w:rFonts w:ascii="Arial"/>
          <w:color w:val="231F20"/>
          <w:w w:val="85"/>
          <w:sz w:val="14"/>
        </w:rPr>
        <w:t>B.</w:t>
      </w:r>
      <w:r>
        <w:rPr>
          <w:rFonts w:ascii="Arial"/>
          <w:color w:val="231F20"/>
          <w:spacing w:val="-4"/>
          <w:w w:val="85"/>
          <w:sz w:val="14"/>
        </w:rPr>
        <w:t> </w:t>
      </w:r>
      <w:r>
        <w:rPr>
          <w:rFonts w:ascii="Arial"/>
          <w:color w:val="231F20"/>
          <w:w w:val="85"/>
          <w:sz w:val="14"/>
        </w:rPr>
        <w:t>Shepherd,</w:t>
      </w:r>
      <w:r>
        <w:rPr>
          <w:rFonts w:ascii="Arial"/>
          <w:color w:val="231F20"/>
          <w:spacing w:val="-5"/>
          <w:w w:val="85"/>
          <w:sz w:val="14"/>
        </w:rPr>
        <w:t> </w:t>
      </w:r>
      <w:r>
        <w:rPr>
          <w:rFonts w:ascii="Arial"/>
          <w:color w:val="231F20"/>
          <w:w w:val="85"/>
          <w:sz w:val="14"/>
        </w:rPr>
        <w:t>and</w:t>
      </w:r>
      <w:r>
        <w:rPr>
          <w:rFonts w:ascii="Arial"/>
          <w:color w:val="231F20"/>
          <w:spacing w:val="-3"/>
          <w:w w:val="85"/>
          <w:sz w:val="14"/>
        </w:rPr>
        <w:t> </w:t>
      </w:r>
      <w:r>
        <w:rPr>
          <w:rFonts w:ascii="Arial"/>
          <w:color w:val="231F20"/>
          <w:w w:val="85"/>
          <w:sz w:val="14"/>
        </w:rPr>
        <w:t>D.</w:t>
      </w:r>
      <w:r>
        <w:rPr>
          <w:rFonts w:ascii="Arial"/>
          <w:color w:val="231F20"/>
          <w:spacing w:val="-2"/>
          <w:w w:val="85"/>
          <w:sz w:val="14"/>
        </w:rPr>
        <w:t> </w:t>
      </w:r>
      <w:r>
        <w:rPr>
          <w:rFonts w:ascii="Arial"/>
          <w:color w:val="231F20"/>
          <w:w w:val="85"/>
          <w:sz w:val="14"/>
        </w:rPr>
        <w:t>Saslavsky.</w:t>
      </w:r>
      <w:r>
        <w:rPr>
          <w:rFonts w:ascii="Arial"/>
          <w:color w:val="231F20"/>
          <w:spacing w:val="40"/>
          <w:sz w:val="14"/>
        </w:rPr>
        <w:t> </w:t>
      </w:r>
      <w:r>
        <w:rPr>
          <w:rFonts w:ascii="Arial"/>
          <w:color w:val="231F20"/>
          <w:w w:val="80"/>
          <w:sz w:val="14"/>
        </w:rPr>
        <w:t>2010.</w:t>
      </w:r>
      <w:r>
        <w:rPr>
          <w:rFonts w:ascii="Arial"/>
          <w:color w:val="231F20"/>
          <w:spacing w:val="-2"/>
          <w:w w:val="80"/>
          <w:sz w:val="14"/>
        </w:rPr>
        <w:t> </w:t>
      </w:r>
      <w:r>
        <w:rPr>
          <w:rFonts w:ascii="Arial"/>
          <w:i/>
          <w:color w:val="231F20"/>
          <w:w w:val="80"/>
          <w:sz w:val="14"/>
        </w:rPr>
        <w:t>Connecting</w:t>
      </w:r>
      <w:r>
        <w:rPr>
          <w:rFonts w:ascii="Arial"/>
          <w:i/>
          <w:color w:val="231F20"/>
          <w:spacing w:val="-2"/>
          <w:w w:val="80"/>
          <w:sz w:val="14"/>
        </w:rPr>
        <w:t> </w:t>
      </w:r>
      <w:r>
        <w:rPr>
          <w:rFonts w:ascii="Arial"/>
          <w:i/>
          <w:color w:val="231F20"/>
          <w:w w:val="80"/>
          <w:sz w:val="14"/>
        </w:rPr>
        <w:t>to</w:t>
      </w:r>
      <w:r>
        <w:rPr>
          <w:rFonts w:ascii="Arial"/>
          <w:i/>
          <w:color w:val="231F20"/>
          <w:spacing w:val="-2"/>
          <w:w w:val="80"/>
          <w:sz w:val="14"/>
        </w:rPr>
        <w:t> </w:t>
      </w:r>
      <w:r>
        <w:rPr>
          <w:rFonts w:ascii="Arial"/>
          <w:i/>
          <w:color w:val="231F20"/>
          <w:w w:val="80"/>
          <w:sz w:val="14"/>
        </w:rPr>
        <w:t>Compete</w:t>
      </w:r>
      <w:r>
        <w:rPr>
          <w:rFonts w:ascii="Arial"/>
          <w:i/>
          <w:color w:val="231F20"/>
          <w:spacing w:val="-2"/>
          <w:w w:val="80"/>
          <w:sz w:val="14"/>
        </w:rPr>
        <w:t> </w:t>
      </w:r>
      <w:r>
        <w:rPr>
          <w:rFonts w:ascii="Arial"/>
          <w:i/>
          <w:color w:val="231F20"/>
          <w:w w:val="80"/>
          <w:sz w:val="14"/>
        </w:rPr>
        <w:t>2010:</w:t>
      </w:r>
      <w:r>
        <w:rPr>
          <w:rFonts w:ascii="Arial"/>
          <w:i/>
          <w:color w:val="231F20"/>
          <w:spacing w:val="-8"/>
          <w:w w:val="80"/>
          <w:sz w:val="14"/>
        </w:rPr>
        <w:t> </w:t>
      </w:r>
      <w:r>
        <w:rPr>
          <w:rFonts w:ascii="Arial"/>
          <w:i/>
          <w:color w:val="231F20"/>
          <w:w w:val="80"/>
          <w:sz w:val="14"/>
        </w:rPr>
        <w:t>Trade</w:t>
      </w:r>
      <w:r>
        <w:rPr>
          <w:rFonts w:ascii="Arial"/>
          <w:i/>
          <w:color w:val="231F20"/>
          <w:spacing w:val="-2"/>
          <w:w w:val="80"/>
          <w:sz w:val="14"/>
        </w:rPr>
        <w:t> </w:t>
      </w:r>
      <w:r>
        <w:rPr>
          <w:rFonts w:ascii="Arial"/>
          <w:i/>
          <w:color w:val="231F20"/>
          <w:w w:val="80"/>
          <w:sz w:val="14"/>
        </w:rPr>
        <w:t>Logistics</w:t>
      </w:r>
      <w:r>
        <w:rPr>
          <w:rFonts w:ascii="Arial"/>
          <w:i/>
          <w:color w:val="231F20"/>
          <w:spacing w:val="-2"/>
          <w:w w:val="80"/>
          <w:sz w:val="14"/>
        </w:rPr>
        <w:t> </w:t>
      </w:r>
      <w:r>
        <w:rPr>
          <w:rFonts w:ascii="Arial"/>
          <w:i/>
          <w:color w:val="231F20"/>
          <w:w w:val="80"/>
          <w:sz w:val="14"/>
        </w:rPr>
        <w:t>in</w:t>
      </w:r>
      <w:r>
        <w:rPr>
          <w:rFonts w:ascii="Arial"/>
          <w:i/>
          <w:color w:val="231F20"/>
          <w:spacing w:val="-4"/>
          <w:w w:val="80"/>
          <w:sz w:val="14"/>
        </w:rPr>
        <w:t> </w:t>
      </w:r>
      <w:r>
        <w:rPr>
          <w:rFonts w:ascii="Arial"/>
          <w:i/>
          <w:color w:val="231F20"/>
          <w:w w:val="80"/>
          <w:sz w:val="14"/>
        </w:rPr>
        <w:t>The</w:t>
      </w:r>
      <w:r>
        <w:rPr>
          <w:rFonts w:ascii="Arial"/>
          <w:i/>
          <w:color w:val="231F20"/>
          <w:spacing w:val="-2"/>
          <w:w w:val="80"/>
          <w:sz w:val="14"/>
        </w:rPr>
        <w:t> </w:t>
      </w:r>
      <w:r>
        <w:rPr>
          <w:rFonts w:ascii="Arial"/>
          <w:i/>
          <w:color w:val="231F20"/>
          <w:w w:val="80"/>
          <w:sz w:val="14"/>
        </w:rPr>
        <w:t>Global</w:t>
      </w:r>
      <w:r>
        <w:rPr>
          <w:rFonts w:ascii="Arial"/>
          <w:i/>
          <w:color w:val="231F20"/>
          <w:spacing w:val="40"/>
          <w:sz w:val="14"/>
        </w:rPr>
        <w:t> </w:t>
      </w:r>
      <w:r>
        <w:rPr>
          <w:rFonts w:ascii="Arial"/>
          <w:i/>
          <w:color w:val="231F20"/>
          <w:spacing w:val="-2"/>
          <w:w w:val="85"/>
          <w:sz w:val="14"/>
        </w:rPr>
        <w:t>Economy.</w:t>
      </w:r>
      <w:r>
        <w:rPr>
          <w:rFonts w:ascii="Arial"/>
          <w:i/>
          <w:color w:val="231F20"/>
          <w:spacing w:val="-3"/>
          <w:w w:val="85"/>
          <w:sz w:val="14"/>
        </w:rPr>
        <w:t> </w:t>
      </w:r>
      <w:r>
        <w:rPr>
          <w:rFonts w:ascii="Arial"/>
          <w:color w:val="231F20"/>
          <w:spacing w:val="-2"/>
          <w:w w:val="85"/>
          <w:sz w:val="14"/>
        </w:rPr>
        <w:t>Washington,</w:t>
      </w:r>
      <w:r>
        <w:rPr>
          <w:rFonts w:ascii="Arial"/>
          <w:color w:val="231F20"/>
          <w:spacing w:val="-3"/>
          <w:w w:val="85"/>
          <w:sz w:val="14"/>
        </w:rPr>
        <w:t> </w:t>
      </w:r>
      <w:r>
        <w:rPr>
          <w:rFonts w:ascii="Arial"/>
          <w:color w:val="231F20"/>
          <w:spacing w:val="-2"/>
          <w:w w:val="85"/>
          <w:sz w:val="14"/>
        </w:rPr>
        <w:t>DC:</w:t>
      </w:r>
      <w:r>
        <w:rPr>
          <w:rFonts w:ascii="Arial"/>
          <w:color w:val="231F20"/>
          <w:spacing w:val="-9"/>
          <w:w w:val="85"/>
          <w:sz w:val="14"/>
        </w:rPr>
        <w:t> </w:t>
      </w:r>
      <w:r>
        <w:rPr>
          <w:rFonts w:ascii="Arial"/>
          <w:color w:val="231F20"/>
          <w:spacing w:val="-2"/>
          <w:w w:val="85"/>
          <w:sz w:val="14"/>
        </w:rPr>
        <w:t>World</w:t>
      </w:r>
      <w:r>
        <w:rPr>
          <w:rFonts w:ascii="Arial"/>
          <w:color w:val="231F20"/>
          <w:spacing w:val="-3"/>
          <w:sz w:val="14"/>
        </w:rPr>
        <w:t> </w:t>
      </w:r>
      <w:r>
        <w:rPr>
          <w:rFonts w:ascii="Arial"/>
          <w:color w:val="231F20"/>
          <w:spacing w:val="-2"/>
          <w:w w:val="85"/>
          <w:sz w:val="14"/>
        </w:rPr>
        <w:t>Bank.</w:t>
      </w:r>
    </w:p>
    <w:p>
      <w:pPr>
        <w:spacing w:line="297" w:lineRule="auto" w:before="1"/>
        <w:ind w:left="4080" w:right="198" w:hanging="240"/>
        <w:jc w:val="left"/>
        <w:rPr>
          <w:rFonts w:ascii="Arial"/>
          <w:sz w:val="14"/>
        </w:rPr>
      </w:pPr>
      <w:r>
        <w:rPr>
          <w:rFonts w:ascii="Arial"/>
          <w:color w:val="231F20"/>
          <w:spacing w:val="-2"/>
          <w:w w:val="85"/>
          <w:sz w:val="14"/>
        </w:rPr>
        <w:t>Arvis,</w:t>
      </w:r>
      <w:r>
        <w:rPr>
          <w:rFonts w:ascii="Arial"/>
          <w:color w:val="231F20"/>
          <w:spacing w:val="-4"/>
          <w:w w:val="85"/>
          <w:sz w:val="14"/>
        </w:rPr>
        <w:t> </w:t>
      </w:r>
      <w:r>
        <w:rPr>
          <w:rFonts w:ascii="Arial"/>
          <w:color w:val="231F20"/>
          <w:spacing w:val="-2"/>
          <w:w w:val="85"/>
          <w:sz w:val="14"/>
        </w:rPr>
        <w:t>J.</w:t>
      </w:r>
      <w:r>
        <w:rPr>
          <w:rFonts w:ascii="Arial"/>
          <w:color w:val="231F20"/>
          <w:spacing w:val="-4"/>
          <w:sz w:val="14"/>
        </w:rPr>
        <w:t> </w:t>
      </w:r>
      <w:r>
        <w:rPr>
          <w:rFonts w:ascii="Arial"/>
          <w:color w:val="231F20"/>
          <w:spacing w:val="-2"/>
          <w:w w:val="85"/>
          <w:sz w:val="14"/>
        </w:rPr>
        <w:t>F.,</w:t>
      </w:r>
      <w:r>
        <w:rPr>
          <w:rFonts w:ascii="Arial"/>
          <w:color w:val="231F20"/>
          <w:spacing w:val="-4"/>
          <w:w w:val="85"/>
          <w:sz w:val="14"/>
        </w:rPr>
        <w:t> </w:t>
      </w:r>
      <w:r>
        <w:rPr>
          <w:rFonts w:ascii="Arial"/>
          <w:color w:val="231F20"/>
          <w:spacing w:val="-2"/>
          <w:w w:val="85"/>
          <w:sz w:val="14"/>
        </w:rPr>
        <w:t>R.</w:t>
      </w:r>
      <w:r>
        <w:rPr>
          <w:rFonts w:ascii="Arial"/>
          <w:color w:val="231F20"/>
          <w:spacing w:val="-4"/>
          <w:sz w:val="14"/>
        </w:rPr>
        <w:t> </w:t>
      </w:r>
      <w:r>
        <w:rPr>
          <w:rFonts w:ascii="Arial"/>
          <w:color w:val="231F20"/>
          <w:spacing w:val="-2"/>
          <w:w w:val="85"/>
          <w:sz w:val="14"/>
        </w:rPr>
        <w:t>C.</w:t>
      </w:r>
      <w:r>
        <w:rPr>
          <w:rFonts w:ascii="Arial"/>
          <w:color w:val="231F20"/>
          <w:spacing w:val="-4"/>
          <w:sz w:val="14"/>
        </w:rPr>
        <w:t> </w:t>
      </w:r>
      <w:r>
        <w:rPr>
          <w:rFonts w:ascii="Arial"/>
          <w:color w:val="231F20"/>
          <w:spacing w:val="-2"/>
          <w:w w:val="85"/>
          <w:sz w:val="14"/>
        </w:rPr>
        <w:t>Carruthers,</w:t>
      </w:r>
      <w:r>
        <w:rPr>
          <w:rFonts w:ascii="Arial"/>
          <w:color w:val="231F20"/>
          <w:spacing w:val="-4"/>
          <w:w w:val="85"/>
          <w:sz w:val="14"/>
        </w:rPr>
        <w:t> </w:t>
      </w:r>
      <w:r>
        <w:rPr>
          <w:rFonts w:ascii="Arial"/>
          <w:color w:val="231F20"/>
          <w:spacing w:val="-2"/>
          <w:w w:val="85"/>
          <w:sz w:val="14"/>
        </w:rPr>
        <w:t>G.</w:t>
      </w:r>
      <w:r>
        <w:rPr>
          <w:rFonts w:ascii="Arial"/>
          <w:color w:val="231F20"/>
          <w:spacing w:val="-4"/>
          <w:sz w:val="14"/>
        </w:rPr>
        <w:t> </w:t>
      </w:r>
      <w:r>
        <w:rPr>
          <w:rFonts w:ascii="Arial"/>
          <w:color w:val="231F20"/>
          <w:spacing w:val="-2"/>
          <w:w w:val="85"/>
          <w:sz w:val="14"/>
        </w:rPr>
        <w:t>M.</w:t>
      </w:r>
      <w:r>
        <w:rPr>
          <w:rFonts w:ascii="Arial"/>
          <w:color w:val="231F20"/>
          <w:spacing w:val="-4"/>
          <w:sz w:val="14"/>
        </w:rPr>
        <w:t> </w:t>
      </w:r>
      <w:r>
        <w:rPr>
          <w:rFonts w:ascii="Arial"/>
          <w:color w:val="231F20"/>
          <w:spacing w:val="-2"/>
          <w:w w:val="85"/>
          <w:sz w:val="14"/>
        </w:rPr>
        <w:t>Smith,</w:t>
      </w:r>
      <w:r>
        <w:rPr>
          <w:rFonts w:ascii="Arial"/>
          <w:color w:val="231F20"/>
          <w:spacing w:val="-4"/>
          <w:w w:val="85"/>
          <w:sz w:val="14"/>
        </w:rPr>
        <w:t> </w:t>
      </w:r>
      <w:r>
        <w:rPr>
          <w:rFonts w:ascii="Arial"/>
          <w:color w:val="231F20"/>
          <w:spacing w:val="-2"/>
          <w:w w:val="85"/>
          <w:sz w:val="14"/>
        </w:rPr>
        <w:t>and</w:t>
      </w:r>
      <w:r>
        <w:rPr>
          <w:rFonts w:ascii="Arial"/>
          <w:color w:val="231F20"/>
          <w:spacing w:val="-4"/>
          <w:sz w:val="14"/>
        </w:rPr>
        <w:t> </w:t>
      </w:r>
      <w:r>
        <w:rPr>
          <w:rFonts w:ascii="Arial"/>
          <w:color w:val="231F20"/>
          <w:spacing w:val="-2"/>
          <w:w w:val="85"/>
          <w:sz w:val="14"/>
        </w:rPr>
        <w:t>C.</w:t>
      </w:r>
      <w:r>
        <w:rPr>
          <w:rFonts w:ascii="Arial"/>
          <w:color w:val="231F20"/>
          <w:spacing w:val="-4"/>
          <w:w w:val="85"/>
          <w:sz w:val="14"/>
        </w:rPr>
        <w:t> </w:t>
      </w:r>
      <w:r>
        <w:rPr>
          <w:rFonts w:ascii="Arial"/>
          <w:color w:val="231F20"/>
          <w:spacing w:val="-2"/>
          <w:w w:val="85"/>
          <w:sz w:val="14"/>
        </w:rPr>
        <w:t>Willoughby.</w:t>
      </w:r>
      <w:r>
        <w:rPr>
          <w:rFonts w:ascii="Arial"/>
          <w:color w:val="231F20"/>
          <w:spacing w:val="-4"/>
          <w:sz w:val="14"/>
        </w:rPr>
        <w:t> </w:t>
      </w:r>
      <w:r>
        <w:rPr>
          <w:rFonts w:ascii="Arial"/>
          <w:color w:val="231F20"/>
          <w:spacing w:val="-2"/>
          <w:w w:val="85"/>
          <w:sz w:val="14"/>
        </w:rPr>
        <w:t>2011</w:t>
      </w:r>
      <w:r>
        <w:rPr>
          <w:rFonts w:ascii="Arial"/>
          <w:i/>
          <w:color w:val="231F20"/>
          <w:spacing w:val="-2"/>
          <w:w w:val="85"/>
          <w:sz w:val="14"/>
        </w:rPr>
        <w:t>.</w:t>
      </w:r>
      <w:r>
        <w:rPr>
          <w:rFonts w:ascii="Arial"/>
          <w:i/>
          <w:color w:val="231F20"/>
          <w:spacing w:val="40"/>
          <w:sz w:val="14"/>
        </w:rPr>
        <w:t> </w:t>
      </w:r>
      <w:r>
        <w:rPr>
          <w:rFonts w:ascii="Arial"/>
          <w:i/>
          <w:color w:val="231F20"/>
          <w:w w:val="80"/>
          <w:sz w:val="14"/>
        </w:rPr>
        <w:t>Connecting Landlocked Developing Countries to Markets:</w:t>
      </w:r>
      <w:r>
        <w:rPr>
          <w:rFonts w:ascii="Arial"/>
          <w:i/>
          <w:color w:val="231F20"/>
          <w:spacing w:val="-3"/>
          <w:w w:val="80"/>
          <w:sz w:val="14"/>
        </w:rPr>
        <w:t> </w:t>
      </w:r>
      <w:r>
        <w:rPr>
          <w:rFonts w:ascii="Arial"/>
          <w:i/>
          <w:color w:val="231F20"/>
          <w:w w:val="80"/>
          <w:sz w:val="14"/>
        </w:rPr>
        <w:t>Trade</w:t>
      </w:r>
      <w:r>
        <w:rPr>
          <w:rFonts w:ascii="Arial"/>
          <w:i/>
          <w:color w:val="231F20"/>
          <w:spacing w:val="40"/>
          <w:sz w:val="14"/>
        </w:rPr>
        <w:t> </w:t>
      </w:r>
      <w:r>
        <w:rPr>
          <w:rFonts w:ascii="Arial"/>
          <w:i/>
          <w:color w:val="231F20"/>
          <w:w w:val="80"/>
          <w:sz w:val="14"/>
        </w:rPr>
        <w:t>Corridors in the 21st Century. </w:t>
      </w:r>
      <w:r>
        <w:rPr>
          <w:rFonts w:ascii="Arial"/>
          <w:color w:val="231F20"/>
          <w:w w:val="80"/>
          <w:sz w:val="14"/>
        </w:rPr>
        <w:t>Washington, DC:</w:t>
      </w:r>
      <w:r>
        <w:rPr>
          <w:rFonts w:ascii="Arial"/>
          <w:color w:val="231F20"/>
          <w:spacing w:val="-2"/>
          <w:w w:val="80"/>
          <w:sz w:val="14"/>
        </w:rPr>
        <w:t> </w:t>
      </w:r>
      <w:r>
        <w:rPr>
          <w:rFonts w:ascii="Arial"/>
          <w:color w:val="231F20"/>
          <w:w w:val="80"/>
          <w:sz w:val="14"/>
        </w:rPr>
        <w:t>World Bank.</w:t>
      </w:r>
    </w:p>
    <w:p>
      <w:pPr>
        <w:spacing w:line="297" w:lineRule="auto" w:before="1"/>
        <w:ind w:left="4080" w:right="263" w:hanging="240"/>
        <w:jc w:val="left"/>
        <w:rPr>
          <w:rFonts w:ascii="Arial" w:hAnsi="Arial"/>
          <w:sz w:val="14"/>
        </w:rPr>
      </w:pPr>
      <w:r>
        <w:rPr>
          <w:rFonts w:ascii="Arial" w:hAnsi="Arial"/>
          <w:color w:val="231F20"/>
          <w:w w:val="85"/>
          <w:sz w:val="14"/>
        </w:rPr>
        <w:t>Arvis,</w:t>
      </w:r>
      <w:r>
        <w:rPr>
          <w:rFonts w:ascii="Arial" w:hAnsi="Arial"/>
          <w:color w:val="231F20"/>
          <w:spacing w:val="-2"/>
          <w:w w:val="85"/>
          <w:sz w:val="14"/>
        </w:rPr>
        <w:t> </w:t>
      </w:r>
      <w:r>
        <w:rPr>
          <w:rFonts w:ascii="Arial" w:hAnsi="Arial"/>
          <w:color w:val="231F20"/>
          <w:w w:val="85"/>
          <w:sz w:val="14"/>
        </w:rPr>
        <w:t>J. F.,</w:t>
      </w:r>
      <w:r>
        <w:rPr>
          <w:rFonts w:ascii="Arial" w:hAnsi="Arial"/>
          <w:color w:val="231F20"/>
          <w:spacing w:val="-2"/>
          <w:w w:val="85"/>
          <w:sz w:val="14"/>
        </w:rPr>
        <w:t> </w:t>
      </w:r>
      <w:r>
        <w:rPr>
          <w:rFonts w:ascii="Arial" w:hAnsi="Arial"/>
          <w:color w:val="231F20"/>
          <w:w w:val="85"/>
          <w:sz w:val="14"/>
        </w:rPr>
        <w:t>M.</w:t>
      </w:r>
      <w:r>
        <w:rPr>
          <w:rFonts w:ascii="Arial" w:hAnsi="Arial"/>
          <w:color w:val="231F20"/>
          <w:spacing w:val="-2"/>
          <w:w w:val="85"/>
          <w:sz w:val="14"/>
        </w:rPr>
        <w:t> </w:t>
      </w:r>
      <w:r>
        <w:rPr>
          <w:rFonts w:ascii="Arial" w:hAnsi="Arial"/>
          <w:color w:val="231F20"/>
          <w:w w:val="85"/>
          <w:sz w:val="14"/>
        </w:rPr>
        <w:t>A.</w:t>
      </w:r>
      <w:r>
        <w:rPr>
          <w:rFonts w:ascii="Arial" w:hAnsi="Arial"/>
          <w:color w:val="231F20"/>
          <w:spacing w:val="-2"/>
          <w:w w:val="85"/>
          <w:sz w:val="14"/>
        </w:rPr>
        <w:t> </w:t>
      </w:r>
      <w:r>
        <w:rPr>
          <w:rFonts w:ascii="Arial" w:hAnsi="Arial"/>
          <w:color w:val="231F20"/>
          <w:w w:val="85"/>
          <w:sz w:val="14"/>
        </w:rPr>
        <w:t>Antoci,</w:t>
      </w:r>
      <w:r>
        <w:rPr>
          <w:rFonts w:ascii="Arial" w:hAnsi="Arial"/>
          <w:color w:val="231F20"/>
          <w:spacing w:val="-2"/>
          <w:w w:val="85"/>
          <w:sz w:val="14"/>
        </w:rPr>
        <w:t> </w:t>
      </w:r>
      <w:r>
        <w:rPr>
          <w:rFonts w:ascii="Arial" w:hAnsi="Arial"/>
          <w:color w:val="231F20"/>
          <w:w w:val="85"/>
          <w:sz w:val="14"/>
        </w:rPr>
        <w:t>L. M. Ojala,</w:t>
      </w:r>
      <w:r>
        <w:rPr>
          <w:rFonts w:ascii="Arial" w:hAnsi="Arial"/>
          <w:color w:val="231F20"/>
          <w:spacing w:val="-2"/>
          <w:w w:val="85"/>
          <w:sz w:val="14"/>
        </w:rPr>
        <w:t> </w:t>
      </w:r>
      <w:r>
        <w:rPr>
          <w:rFonts w:ascii="Arial" w:hAnsi="Arial"/>
          <w:color w:val="231F20"/>
          <w:w w:val="85"/>
          <w:sz w:val="14"/>
        </w:rPr>
        <w:t>D. M. Saslavsky,</w:t>
      </w:r>
      <w:r>
        <w:rPr>
          <w:rFonts w:ascii="Arial" w:hAnsi="Arial"/>
          <w:color w:val="231F20"/>
          <w:spacing w:val="-2"/>
          <w:w w:val="85"/>
          <w:sz w:val="14"/>
        </w:rPr>
        <w:t> </w:t>
      </w:r>
      <w:r>
        <w:rPr>
          <w:rFonts w:ascii="Arial" w:hAnsi="Arial"/>
          <w:color w:val="231F20"/>
          <w:w w:val="85"/>
          <w:sz w:val="14"/>
        </w:rPr>
        <w:t>and B.</w:t>
      </w:r>
      <w:r>
        <w:rPr>
          <w:rFonts w:ascii="Arial" w:hAnsi="Arial"/>
          <w:color w:val="231F20"/>
          <w:spacing w:val="-2"/>
          <w:w w:val="85"/>
          <w:sz w:val="14"/>
        </w:rPr>
        <w:t> </w:t>
      </w:r>
      <w:r>
        <w:rPr>
          <w:rFonts w:ascii="Arial" w:hAnsi="Arial"/>
          <w:color w:val="231F20"/>
          <w:w w:val="85"/>
          <w:sz w:val="14"/>
        </w:rPr>
        <w:t>A.</w:t>
      </w:r>
      <w:r>
        <w:rPr>
          <w:rFonts w:ascii="Arial" w:hAnsi="Arial"/>
          <w:color w:val="231F20"/>
          <w:spacing w:val="40"/>
          <w:sz w:val="14"/>
        </w:rPr>
        <w:t> </w:t>
      </w:r>
      <w:r>
        <w:rPr>
          <w:rFonts w:ascii="Arial" w:hAnsi="Arial"/>
          <w:color w:val="231F20"/>
          <w:w w:val="80"/>
          <w:sz w:val="14"/>
        </w:rPr>
        <w:t>Shepherd. 2012. </w:t>
      </w:r>
      <w:r>
        <w:rPr>
          <w:rFonts w:ascii="Arial" w:hAnsi="Arial"/>
          <w:i/>
          <w:color w:val="231F20"/>
          <w:w w:val="80"/>
          <w:sz w:val="14"/>
        </w:rPr>
        <w:t>Connecting to Compete 2012:</w:t>
      </w:r>
      <w:r>
        <w:rPr>
          <w:rFonts w:ascii="Arial" w:hAnsi="Arial"/>
          <w:i/>
          <w:color w:val="231F20"/>
          <w:spacing w:val="-5"/>
          <w:w w:val="80"/>
          <w:sz w:val="14"/>
        </w:rPr>
        <w:t> </w:t>
      </w:r>
      <w:r>
        <w:rPr>
          <w:rFonts w:ascii="Arial" w:hAnsi="Arial"/>
          <w:i/>
          <w:color w:val="231F20"/>
          <w:w w:val="80"/>
          <w:sz w:val="14"/>
        </w:rPr>
        <w:t>Trade Logistics</w:t>
      </w:r>
      <w:r>
        <w:rPr>
          <w:rFonts w:ascii="Arial" w:hAnsi="Arial"/>
          <w:i/>
          <w:color w:val="231F20"/>
          <w:spacing w:val="40"/>
          <w:sz w:val="14"/>
        </w:rPr>
        <w:t> </w:t>
      </w:r>
      <w:r>
        <w:rPr>
          <w:rFonts w:ascii="Arial" w:hAnsi="Arial"/>
          <w:i/>
          <w:color w:val="231F20"/>
          <w:spacing w:val="-2"/>
          <w:w w:val="80"/>
          <w:sz w:val="14"/>
        </w:rPr>
        <w:t>in</w:t>
      </w:r>
      <w:r>
        <w:rPr>
          <w:rFonts w:ascii="Arial" w:hAnsi="Arial"/>
          <w:i/>
          <w:color w:val="231F20"/>
          <w:spacing w:val="-3"/>
          <w:sz w:val="14"/>
        </w:rPr>
        <w:t> </w:t>
      </w:r>
      <w:r>
        <w:rPr>
          <w:rFonts w:ascii="Arial" w:hAnsi="Arial"/>
          <w:i/>
          <w:color w:val="231F20"/>
          <w:spacing w:val="-2"/>
          <w:w w:val="80"/>
          <w:sz w:val="14"/>
        </w:rPr>
        <w:t>the</w:t>
      </w:r>
      <w:r>
        <w:rPr>
          <w:rFonts w:ascii="Arial" w:hAnsi="Arial"/>
          <w:i/>
          <w:color w:val="231F20"/>
          <w:spacing w:val="-3"/>
          <w:sz w:val="14"/>
        </w:rPr>
        <w:t> </w:t>
      </w:r>
      <w:r>
        <w:rPr>
          <w:rFonts w:ascii="Arial" w:hAnsi="Arial"/>
          <w:i/>
          <w:color w:val="231F20"/>
          <w:spacing w:val="-2"/>
          <w:w w:val="80"/>
          <w:sz w:val="14"/>
        </w:rPr>
        <w:t>Global</w:t>
      </w:r>
      <w:r>
        <w:rPr>
          <w:rFonts w:ascii="Arial" w:hAnsi="Arial"/>
          <w:i/>
          <w:color w:val="231F20"/>
          <w:spacing w:val="-3"/>
          <w:sz w:val="14"/>
        </w:rPr>
        <w:t> </w:t>
      </w:r>
      <w:r>
        <w:rPr>
          <w:rFonts w:ascii="Arial" w:hAnsi="Arial"/>
          <w:i/>
          <w:color w:val="231F20"/>
          <w:spacing w:val="-2"/>
          <w:w w:val="80"/>
          <w:sz w:val="14"/>
        </w:rPr>
        <w:t>Economy—The</w:t>
      </w:r>
      <w:r>
        <w:rPr>
          <w:rFonts w:ascii="Arial" w:hAnsi="Arial"/>
          <w:i/>
          <w:color w:val="231F20"/>
          <w:spacing w:val="-3"/>
          <w:sz w:val="14"/>
        </w:rPr>
        <w:t> </w:t>
      </w:r>
      <w:r>
        <w:rPr>
          <w:rFonts w:ascii="Arial" w:hAnsi="Arial"/>
          <w:i/>
          <w:color w:val="231F20"/>
          <w:spacing w:val="-2"/>
          <w:w w:val="80"/>
          <w:sz w:val="14"/>
        </w:rPr>
        <w:t>Logistics</w:t>
      </w:r>
      <w:r>
        <w:rPr>
          <w:rFonts w:ascii="Arial" w:hAnsi="Arial"/>
          <w:i/>
          <w:color w:val="231F20"/>
          <w:spacing w:val="-3"/>
          <w:sz w:val="14"/>
        </w:rPr>
        <w:t> </w:t>
      </w:r>
      <w:r>
        <w:rPr>
          <w:rFonts w:ascii="Arial" w:hAnsi="Arial"/>
          <w:i/>
          <w:color w:val="231F20"/>
          <w:spacing w:val="-2"/>
          <w:w w:val="80"/>
          <w:sz w:val="14"/>
        </w:rPr>
        <w:t>Performance</w:t>
      </w:r>
      <w:r>
        <w:rPr>
          <w:rFonts w:ascii="Arial" w:hAnsi="Arial"/>
          <w:i/>
          <w:color w:val="231F20"/>
          <w:spacing w:val="-3"/>
          <w:sz w:val="14"/>
        </w:rPr>
        <w:t> </w:t>
      </w:r>
      <w:r>
        <w:rPr>
          <w:rFonts w:ascii="Arial" w:hAnsi="Arial"/>
          <w:i/>
          <w:color w:val="231F20"/>
          <w:spacing w:val="-2"/>
          <w:w w:val="80"/>
          <w:sz w:val="14"/>
        </w:rPr>
        <w:t>Index</w:t>
      </w:r>
      <w:r>
        <w:rPr>
          <w:rFonts w:ascii="Arial" w:hAnsi="Arial"/>
          <w:i/>
          <w:color w:val="231F20"/>
          <w:spacing w:val="-3"/>
          <w:sz w:val="14"/>
        </w:rPr>
        <w:t> </w:t>
      </w:r>
      <w:r>
        <w:rPr>
          <w:rFonts w:ascii="Arial" w:hAnsi="Arial"/>
          <w:i/>
          <w:color w:val="231F20"/>
          <w:spacing w:val="-2"/>
          <w:w w:val="80"/>
          <w:sz w:val="14"/>
        </w:rPr>
        <w:t>and</w:t>
      </w:r>
      <w:r>
        <w:rPr>
          <w:rFonts w:ascii="Arial" w:hAnsi="Arial"/>
          <w:i/>
          <w:color w:val="231F20"/>
          <w:spacing w:val="-3"/>
          <w:sz w:val="14"/>
        </w:rPr>
        <w:t> </w:t>
      </w:r>
      <w:r>
        <w:rPr>
          <w:rFonts w:ascii="Arial" w:hAnsi="Arial"/>
          <w:i/>
          <w:color w:val="231F20"/>
          <w:spacing w:val="-2"/>
          <w:w w:val="80"/>
          <w:sz w:val="14"/>
        </w:rPr>
        <w:t>Its</w:t>
      </w:r>
      <w:r>
        <w:rPr>
          <w:rFonts w:ascii="Arial" w:hAnsi="Arial"/>
          <w:i/>
          <w:color w:val="231F20"/>
          <w:spacing w:val="40"/>
          <w:sz w:val="14"/>
        </w:rPr>
        <w:t> </w:t>
      </w:r>
      <w:r>
        <w:rPr>
          <w:rFonts w:ascii="Arial" w:hAnsi="Arial"/>
          <w:i/>
          <w:color w:val="231F20"/>
          <w:w w:val="80"/>
          <w:sz w:val="14"/>
        </w:rPr>
        <w:t>Indicators. </w:t>
      </w:r>
      <w:r>
        <w:rPr>
          <w:rFonts w:ascii="Arial" w:hAnsi="Arial"/>
          <w:color w:val="231F20"/>
          <w:w w:val="80"/>
          <w:sz w:val="14"/>
        </w:rPr>
        <w:t>Washington, DC: World</w:t>
      </w:r>
      <w:r>
        <w:rPr>
          <w:rFonts w:ascii="Arial" w:hAnsi="Arial"/>
          <w:color w:val="231F20"/>
          <w:sz w:val="14"/>
        </w:rPr>
        <w:t> </w:t>
      </w:r>
      <w:r>
        <w:rPr>
          <w:rFonts w:ascii="Arial" w:hAnsi="Arial"/>
          <w:color w:val="231F20"/>
          <w:w w:val="80"/>
          <w:sz w:val="14"/>
        </w:rPr>
        <w:t>Bank</w:t>
      </w:r>
      <w:r>
        <w:rPr>
          <w:rFonts w:ascii="Arial" w:hAnsi="Arial"/>
          <w:color w:val="231F20"/>
          <w:sz w:val="14"/>
        </w:rPr>
        <w:t> </w:t>
      </w:r>
      <w:r>
        <w:rPr>
          <w:rFonts w:ascii="Arial" w:hAnsi="Arial"/>
          <w:color w:val="231F20"/>
          <w:w w:val="80"/>
          <w:sz w:val="14"/>
        </w:rPr>
        <w:t>Group.</w:t>
      </w:r>
    </w:p>
    <w:p>
      <w:pPr>
        <w:spacing w:line="297" w:lineRule="auto" w:before="2"/>
        <w:ind w:left="4080" w:right="0" w:hanging="240"/>
        <w:jc w:val="left"/>
        <w:rPr>
          <w:rFonts w:ascii="Arial" w:hAnsi="Arial"/>
          <w:i/>
          <w:sz w:val="14"/>
        </w:rPr>
      </w:pPr>
      <w:r>
        <w:rPr>
          <w:rFonts w:ascii="Arial" w:hAnsi="Arial"/>
          <w:color w:val="231F20"/>
          <w:w w:val="80"/>
          <w:sz w:val="14"/>
        </w:rPr>
        <w:t>Arvis, J. F., D. Saslavsky, L. Ojala, B. Shepherd, C. Busch, and A. Raj.</w:t>
      </w:r>
      <w:r>
        <w:rPr>
          <w:rFonts w:ascii="Arial" w:hAnsi="Arial"/>
          <w:color w:val="231F20"/>
          <w:spacing w:val="40"/>
          <w:sz w:val="14"/>
        </w:rPr>
        <w:t> </w:t>
      </w:r>
      <w:r>
        <w:rPr>
          <w:rFonts w:ascii="Arial" w:hAnsi="Arial"/>
          <w:color w:val="231F20"/>
          <w:w w:val="80"/>
          <w:sz w:val="14"/>
        </w:rPr>
        <w:t>2014. </w:t>
      </w:r>
      <w:r>
        <w:rPr>
          <w:rFonts w:ascii="Arial" w:hAnsi="Arial"/>
          <w:i/>
          <w:color w:val="231F20"/>
          <w:w w:val="80"/>
          <w:sz w:val="14"/>
        </w:rPr>
        <w:t>Connecting to Compete 2014:</w:t>
      </w:r>
      <w:r>
        <w:rPr>
          <w:rFonts w:ascii="Arial" w:hAnsi="Arial"/>
          <w:i/>
          <w:color w:val="231F20"/>
          <w:spacing w:val="-6"/>
          <w:w w:val="80"/>
          <w:sz w:val="14"/>
        </w:rPr>
        <w:t> </w:t>
      </w:r>
      <w:r>
        <w:rPr>
          <w:rFonts w:ascii="Arial" w:hAnsi="Arial"/>
          <w:i/>
          <w:color w:val="231F20"/>
          <w:w w:val="80"/>
          <w:sz w:val="14"/>
        </w:rPr>
        <w:t>Trade Logistics in The Global</w:t>
      </w:r>
      <w:r>
        <w:rPr>
          <w:rFonts w:ascii="Arial" w:hAnsi="Arial"/>
          <w:i/>
          <w:color w:val="231F20"/>
          <w:spacing w:val="40"/>
          <w:sz w:val="14"/>
        </w:rPr>
        <w:t> </w:t>
      </w:r>
      <w:r>
        <w:rPr>
          <w:rFonts w:ascii="Arial" w:hAnsi="Arial"/>
          <w:i/>
          <w:color w:val="231F20"/>
          <w:w w:val="80"/>
          <w:sz w:val="14"/>
        </w:rPr>
        <w:t>Economy—The Logistics Performance Index and Its Indicators.</w:t>
      </w:r>
    </w:p>
    <w:p>
      <w:pPr>
        <w:spacing w:before="1"/>
        <w:ind w:left="4080" w:right="0" w:firstLine="0"/>
        <w:jc w:val="left"/>
        <w:rPr>
          <w:rFonts w:ascii="Arial"/>
          <w:sz w:val="14"/>
        </w:rPr>
      </w:pPr>
      <w:r>
        <w:rPr>
          <w:rFonts w:ascii="Arial"/>
          <w:color w:val="231F20"/>
          <w:w w:val="75"/>
          <w:sz w:val="14"/>
        </w:rPr>
        <w:t>Washington,</w:t>
      </w:r>
      <w:r>
        <w:rPr>
          <w:rFonts w:ascii="Arial"/>
          <w:color w:val="231F20"/>
          <w:spacing w:val="-1"/>
          <w:sz w:val="14"/>
        </w:rPr>
        <w:t> </w:t>
      </w:r>
      <w:r>
        <w:rPr>
          <w:rFonts w:ascii="Arial"/>
          <w:color w:val="231F20"/>
          <w:w w:val="75"/>
          <w:sz w:val="14"/>
        </w:rPr>
        <w:t>DC:</w:t>
      </w:r>
      <w:r>
        <w:rPr>
          <w:rFonts w:ascii="Arial"/>
          <w:color w:val="231F20"/>
          <w:spacing w:val="-7"/>
          <w:sz w:val="14"/>
        </w:rPr>
        <w:t> </w:t>
      </w:r>
      <w:r>
        <w:rPr>
          <w:rFonts w:ascii="Arial"/>
          <w:color w:val="231F20"/>
          <w:w w:val="75"/>
          <w:sz w:val="14"/>
        </w:rPr>
        <w:t>World</w:t>
      </w:r>
      <w:r>
        <w:rPr>
          <w:rFonts w:ascii="Arial"/>
          <w:color w:val="231F20"/>
          <w:spacing w:val="6"/>
          <w:sz w:val="14"/>
        </w:rPr>
        <w:t> </w:t>
      </w:r>
      <w:r>
        <w:rPr>
          <w:rFonts w:ascii="Arial"/>
          <w:color w:val="231F20"/>
          <w:spacing w:val="-2"/>
          <w:w w:val="75"/>
          <w:sz w:val="14"/>
        </w:rPr>
        <w:t>Bank.</w:t>
      </w:r>
    </w:p>
    <w:p>
      <w:pPr>
        <w:spacing w:before="39"/>
        <w:ind w:left="3840" w:right="0" w:firstLine="0"/>
        <w:jc w:val="both"/>
        <w:rPr>
          <w:rFonts w:ascii="Arial"/>
          <w:sz w:val="14"/>
        </w:rPr>
      </w:pPr>
      <w:r>
        <w:rPr>
          <w:rFonts w:ascii="Arial"/>
          <w:color w:val="231F20"/>
          <w:w w:val="80"/>
          <w:sz w:val="14"/>
        </w:rPr>
        <w:t>Arvis,</w:t>
      </w:r>
      <w:r>
        <w:rPr>
          <w:rFonts w:ascii="Arial"/>
          <w:color w:val="231F20"/>
          <w:spacing w:val="-7"/>
          <w:sz w:val="14"/>
        </w:rPr>
        <w:t> </w:t>
      </w:r>
      <w:r>
        <w:rPr>
          <w:rFonts w:ascii="Arial"/>
          <w:color w:val="231F20"/>
          <w:w w:val="80"/>
          <w:sz w:val="14"/>
        </w:rPr>
        <w:t>J.</w:t>
      </w:r>
      <w:r>
        <w:rPr>
          <w:rFonts w:ascii="Arial"/>
          <w:color w:val="231F20"/>
          <w:spacing w:val="-1"/>
          <w:sz w:val="14"/>
        </w:rPr>
        <w:t> </w:t>
      </w:r>
      <w:r>
        <w:rPr>
          <w:rFonts w:ascii="Arial"/>
          <w:color w:val="231F20"/>
          <w:w w:val="80"/>
          <w:sz w:val="14"/>
        </w:rPr>
        <w:t>F.,</w:t>
      </w:r>
      <w:r>
        <w:rPr>
          <w:rFonts w:ascii="Arial"/>
          <w:color w:val="231F20"/>
          <w:spacing w:val="-6"/>
          <w:sz w:val="14"/>
        </w:rPr>
        <w:t> </w:t>
      </w:r>
      <w:r>
        <w:rPr>
          <w:rFonts w:ascii="Arial"/>
          <w:color w:val="231F20"/>
          <w:w w:val="80"/>
          <w:sz w:val="14"/>
        </w:rPr>
        <w:t>D.</w:t>
      </w:r>
      <w:r>
        <w:rPr>
          <w:rFonts w:ascii="Arial"/>
          <w:color w:val="231F20"/>
          <w:spacing w:val="-1"/>
          <w:sz w:val="14"/>
        </w:rPr>
        <w:t> </w:t>
      </w:r>
      <w:r>
        <w:rPr>
          <w:rFonts w:ascii="Arial"/>
          <w:color w:val="231F20"/>
          <w:w w:val="80"/>
          <w:sz w:val="14"/>
        </w:rPr>
        <w:t>Saslavsky,</w:t>
      </w:r>
      <w:r>
        <w:rPr>
          <w:rFonts w:ascii="Arial"/>
          <w:color w:val="231F20"/>
          <w:spacing w:val="-6"/>
          <w:sz w:val="14"/>
        </w:rPr>
        <w:t> </w:t>
      </w:r>
      <w:r>
        <w:rPr>
          <w:rFonts w:ascii="Arial"/>
          <w:color w:val="231F20"/>
          <w:w w:val="80"/>
          <w:sz w:val="14"/>
        </w:rPr>
        <w:t>L.</w:t>
      </w:r>
      <w:r>
        <w:rPr>
          <w:rFonts w:ascii="Arial"/>
          <w:color w:val="231F20"/>
          <w:spacing w:val="-1"/>
          <w:sz w:val="14"/>
        </w:rPr>
        <w:t> </w:t>
      </w:r>
      <w:r>
        <w:rPr>
          <w:rFonts w:ascii="Arial"/>
          <w:color w:val="231F20"/>
          <w:w w:val="80"/>
          <w:sz w:val="14"/>
        </w:rPr>
        <w:t>Ojala,</w:t>
      </w:r>
      <w:r>
        <w:rPr>
          <w:rFonts w:ascii="Arial"/>
          <w:color w:val="231F20"/>
          <w:spacing w:val="-7"/>
          <w:sz w:val="14"/>
        </w:rPr>
        <w:t> </w:t>
      </w:r>
      <w:r>
        <w:rPr>
          <w:rFonts w:ascii="Arial"/>
          <w:color w:val="231F20"/>
          <w:w w:val="80"/>
          <w:sz w:val="14"/>
        </w:rPr>
        <w:t>B.</w:t>
      </w:r>
      <w:r>
        <w:rPr>
          <w:rFonts w:ascii="Arial"/>
          <w:color w:val="231F20"/>
          <w:sz w:val="14"/>
        </w:rPr>
        <w:t> </w:t>
      </w:r>
      <w:r>
        <w:rPr>
          <w:rFonts w:ascii="Arial"/>
          <w:color w:val="231F20"/>
          <w:w w:val="80"/>
          <w:sz w:val="14"/>
        </w:rPr>
        <w:t>Shepherd,</w:t>
      </w:r>
      <w:r>
        <w:rPr>
          <w:rFonts w:ascii="Arial"/>
          <w:color w:val="231F20"/>
          <w:spacing w:val="-7"/>
          <w:sz w:val="14"/>
        </w:rPr>
        <w:t> </w:t>
      </w:r>
      <w:r>
        <w:rPr>
          <w:rFonts w:ascii="Arial"/>
          <w:color w:val="231F20"/>
          <w:w w:val="80"/>
          <w:sz w:val="14"/>
        </w:rPr>
        <w:t>C.</w:t>
      </w:r>
      <w:r>
        <w:rPr>
          <w:rFonts w:ascii="Arial"/>
          <w:color w:val="231F20"/>
          <w:spacing w:val="-1"/>
          <w:sz w:val="14"/>
        </w:rPr>
        <w:t> </w:t>
      </w:r>
      <w:r>
        <w:rPr>
          <w:rFonts w:ascii="Arial"/>
          <w:color w:val="231F20"/>
          <w:w w:val="80"/>
          <w:sz w:val="14"/>
        </w:rPr>
        <w:t>Busch,</w:t>
      </w:r>
      <w:r>
        <w:rPr>
          <w:rFonts w:ascii="Arial"/>
          <w:color w:val="231F20"/>
          <w:spacing w:val="-4"/>
          <w:w w:val="80"/>
          <w:sz w:val="14"/>
        </w:rPr>
        <w:t> </w:t>
      </w:r>
      <w:r>
        <w:rPr>
          <w:rFonts w:ascii="Arial"/>
          <w:color w:val="231F20"/>
          <w:w w:val="80"/>
          <w:sz w:val="14"/>
        </w:rPr>
        <w:t>A.</w:t>
      </w:r>
      <w:r>
        <w:rPr>
          <w:rFonts w:ascii="Arial"/>
          <w:color w:val="231F20"/>
          <w:spacing w:val="-1"/>
          <w:sz w:val="14"/>
        </w:rPr>
        <w:t> </w:t>
      </w:r>
      <w:r>
        <w:rPr>
          <w:rFonts w:ascii="Arial"/>
          <w:color w:val="231F20"/>
          <w:w w:val="80"/>
          <w:sz w:val="14"/>
        </w:rPr>
        <w:t>Raj,</w:t>
      </w:r>
      <w:r>
        <w:rPr>
          <w:rFonts w:ascii="Arial"/>
          <w:color w:val="231F20"/>
          <w:spacing w:val="-6"/>
          <w:sz w:val="14"/>
        </w:rPr>
        <w:t> </w:t>
      </w:r>
      <w:r>
        <w:rPr>
          <w:rFonts w:ascii="Arial"/>
          <w:color w:val="231F20"/>
          <w:spacing w:val="-5"/>
          <w:w w:val="80"/>
          <w:sz w:val="14"/>
        </w:rPr>
        <w:t>and</w:t>
      </w:r>
    </w:p>
    <w:p>
      <w:pPr>
        <w:spacing w:line="297" w:lineRule="auto" w:before="39"/>
        <w:ind w:left="4080" w:right="24" w:firstLine="0"/>
        <w:jc w:val="both"/>
        <w:rPr>
          <w:rFonts w:ascii="Arial" w:hAnsi="Arial"/>
          <w:sz w:val="14"/>
        </w:rPr>
      </w:pPr>
      <w:r>
        <w:rPr>
          <w:rFonts w:ascii="Arial" w:hAnsi="Arial"/>
          <w:color w:val="231F20"/>
          <w:w w:val="80"/>
          <w:sz w:val="14"/>
        </w:rPr>
        <w:t>T.</w:t>
      </w:r>
      <w:r>
        <w:rPr>
          <w:rFonts w:ascii="Arial" w:hAnsi="Arial"/>
          <w:color w:val="231F20"/>
          <w:spacing w:val="-2"/>
          <w:w w:val="80"/>
          <w:sz w:val="14"/>
        </w:rPr>
        <w:t> </w:t>
      </w:r>
      <w:r>
        <w:rPr>
          <w:rFonts w:ascii="Arial" w:hAnsi="Arial"/>
          <w:color w:val="231F20"/>
          <w:w w:val="80"/>
          <w:sz w:val="14"/>
        </w:rPr>
        <w:t>Naula.</w:t>
      </w:r>
      <w:r>
        <w:rPr>
          <w:rFonts w:ascii="Arial" w:hAnsi="Arial"/>
          <w:color w:val="231F20"/>
          <w:spacing w:val="-2"/>
          <w:w w:val="80"/>
          <w:sz w:val="14"/>
        </w:rPr>
        <w:t> </w:t>
      </w:r>
      <w:r>
        <w:rPr>
          <w:rFonts w:ascii="Arial" w:hAnsi="Arial"/>
          <w:color w:val="231F20"/>
          <w:w w:val="80"/>
          <w:sz w:val="14"/>
        </w:rPr>
        <w:t>2016.</w:t>
      </w:r>
      <w:r>
        <w:rPr>
          <w:rFonts w:ascii="Arial" w:hAnsi="Arial"/>
          <w:color w:val="231F20"/>
          <w:spacing w:val="-1"/>
          <w:w w:val="80"/>
          <w:sz w:val="14"/>
        </w:rPr>
        <w:t> </w:t>
      </w:r>
      <w:r>
        <w:rPr>
          <w:rFonts w:ascii="Arial" w:hAnsi="Arial"/>
          <w:i/>
          <w:color w:val="231F20"/>
          <w:w w:val="80"/>
          <w:sz w:val="14"/>
        </w:rPr>
        <w:t>Connecting to Compete 2016:</w:t>
      </w:r>
      <w:r>
        <w:rPr>
          <w:rFonts w:ascii="Arial" w:hAnsi="Arial"/>
          <w:i/>
          <w:color w:val="231F20"/>
          <w:spacing w:val="-2"/>
          <w:w w:val="80"/>
          <w:sz w:val="14"/>
        </w:rPr>
        <w:t> </w:t>
      </w:r>
      <w:r>
        <w:rPr>
          <w:rFonts w:ascii="Arial" w:hAnsi="Arial"/>
          <w:i/>
          <w:color w:val="231F20"/>
          <w:w w:val="80"/>
          <w:sz w:val="14"/>
        </w:rPr>
        <w:t>Trade Logistics in</w:t>
      </w:r>
      <w:r>
        <w:rPr>
          <w:rFonts w:ascii="Arial" w:hAnsi="Arial"/>
          <w:i/>
          <w:color w:val="231F20"/>
          <w:spacing w:val="-2"/>
          <w:w w:val="80"/>
          <w:sz w:val="14"/>
        </w:rPr>
        <w:t> </w:t>
      </w:r>
      <w:r>
        <w:rPr>
          <w:rFonts w:ascii="Arial" w:hAnsi="Arial"/>
          <w:i/>
          <w:color w:val="231F20"/>
          <w:w w:val="80"/>
          <w:sz w:val="14"/>
        </w:rPr>
        <w:t>The</w:t>
      </w:r>
      <w:r>
        <w:rPr>
          <w:rFonts w:ascii="Arial" w:hAnsi="Arial"/>
          <w:i/>
          <w:color w:val="231F20"/>
          <w:spacing w:val="40"/>
          <w:sz w:val="14"/>
        </w:rPr>
        <w:t> </w:t>
      </w:r>
      <w:r>
        <w:rPr>
          <w:rFonts w:ascii="Arial" w:hAnsi="Arial"/>
          <w:i/>
          <w:color w:val="231F20"/>
          <w:spacing w:val="-2"/>
          <w:w w:val="80"/>
          <w:sz w:val="14"/>
        </w:rPr>
        <w:t>Global</w:t>
      </w:r>
      <w:r>
        <w:rPr>
          <w:rFonts w:ascii="Arial" w:hAnsi="Arial"/>
          <w:i/>
          <w:color w:val="231F20"/>
          <w:spacing w:val="-1"/>
          <w:sz w:val="14"/>
        </w:rPr>
        <w:t> </w:t>
      </w:r>
      <w:r>
        <w:rPr>
          <w:rFonts w:ascii="Arial" w:hAnsi="Arial"/>
          <w:i/>
          <w:color w:val="231F20"/>
          <w:spacing w:val="-2"/>
          <w:w w:val="80"/>
          <w:sz w:val="14"/>
        </w:rPr>
        <w:t>Economy—The</w:t>
      </w:r>
      <w:r>
        <w:rPr>
          <w:rFonts w:ascii="Arial" w:hAnsi="Arial"/>
          <w:i/>
          <w:color w:val="231F20"/>
          <w:spacing w:val="-1"/>
          <w:sz w:val="14"/>
        </w:rPr>
        <w:t> </w:t>
      </w:r>
      <w:r>
        <w:rPr>
          <w:rFonts w:ascii="Arial" w:hAnsi="Arial"/>
          <w:i/>
          <w:color w:val="231F20"/>
          <w:spacing w:val="-2"/>
          <w:w w:val="80"/>
          <w:sz w:val="14"/>
        </w:rPr>
        <w:t>Logistics</w:t>
      </w:r>
      <w:r>
        <w:rPr>
          <w:rFonts w:ascii="Arial" w:hAnsi="Arial"/>
          <w:i/>
          <w:color w:val="231F20"/>
          <w:spacing w:val="-1"/>
          <w:sz w:val="14"/>
        </w:rPr>
        <w:t> </w:t>
      </w:r>
      <w:r>
        <w:rPr>
          <w:rFonts w:ascii="Arial" w:hAnsi="Arial"/>
          <w:i/>
          <w:color w:val="231F20"/>
          <w:spacing w:val="-2"/>
          <w:w w:val="80"/>
          <w:sz w:val="14"/>
        </w:rPr>
        <w:t>Performance</w:t>
      </w:r>
      <w:r>
        <w:rPr>
          <w:rFonts w:ascii="Arial" w:hAnsi="Arial"/>
          <w:i/>
          <w:color w:val="231F20"/>
          <w:spacing w:val="-1"/>
          <w:sz w:val="14"/>
        </w:rPr>
        <w:t> </w:t>
      </w:r>
      <w:r>
        <w:rPr>
          <w:rFonts w:ascii="Arial" w:hAnsi="Arial"/>
          <w:i/>
          <w:color w:val="231F20"/>
          <w:spacing w:val="-2"/>
          <w:w w:val="80"/>
          <w:sz w:val="14"/>
        </w:rPr>
        <w:t>Index</w:t>
      </w:r>
      <w:r>
        <w:rPr>
          <w:rFonts w:ascii="Arial" w:hAnsi="Arial"/>
          <w:i/>
          <w:color w:val="231F20"/>
          <w:spacing w:val="-1"/>
          <w:sz w:val="14"/>
        </w:rPr>
        <w:t> </w:t>
      </w:r>
      <w:r>
        <w:rPr>
          <w:rFonts w:ascii="Arial" w:hAnsi="Arial"/>
          <w:i/>
          <w:color w:val="231F20"/>
          <w:spacing w:val="-2"/>
          <w:w w:val="80"/>
          <w:sz w:val="14"/>
        </w:rPr>
        <w:t>and</w:t>
      </w:r>
      <w:r>
        <w:rPr>
          <w:rFonts w:ascii="Arial" w:hAnsi="Arial"/>
          <w:i/>
          <w:color w:val="231F20"/>
          <w:spacing w:val="-1"/>
          <w:sz w:val="14"/>
        </w:rPr>
        <w:t> </w:t>
      </w:r>
      <w:r>
        <w:rPr>
          <w:rFonts w:ascii="Arial" w:hAnsi="Arial"/>
          <w:i/>
          <w:color w:val="231F20"/>
          <w:spacing w:val="-2"/>
          <w:w w:val="80"/>
          <w:sz w:val="14"/>
        </w:rPr>
        <w:t>Its</w:t>
      </w:r>
      <w:r>
        <w:rPr>
          <w:rFonts w:ascii="Arial" w:hAnsi="Arial"/>
          <w:i/>
          <w:color w:val="231F20"/>
          <w:spacing w:val="-2"/>
          <w:sz w:val="14"/>
        </w:rPr>
        <w:t> </w:t>
      </w:r>
      <w:r>
        <w:rPr>
          <w:rFonts w:ascii="Arial" w:hAnsi="Arial"/>
          <w:i/>
          <w:color w:val="231F20"/>
          <w:spacing w:val="-2"/>
          <w:w w:val="80"/>
          <w:sz w:val="14"/>
        </w:rPr>
        <w:t>Indicators</w:t>
      </w:r>
      <w:r>
        <w:rPr>
          <w:rFonts w:ascii="Arial" w:hAnsi="Arial"/>
          <w:i/>
          <w:color w:val="231F20"/>
          <w:spacing w:val="-2"/>
          <w:w w:val="80"/>
          <w:sz w:val="14"/>
        </w:rPr>
        <w:t>.</w:t>
      </w:r>
      <w:r>
        <w:rPr>
          <w:rFonts w:ascii="Arial" w:hAnsi="Arial"/>
          <w:i/>
          <w:color w:val="231F20"/>
          <w:spacing w:val="40"/>
          <w:sz w:val="14"/>
        </w:rPr>
        <w:t> </w:t>
      </w:r>
      <w:r>
        <w:rPr>
          <w:rFonts w:ascii="Arial" w:hAnsi="Arial"/>
          <w:color w:val="231F20"/>
          <w:w w:val="85"/>
          <w:sz w:val="14"/>
        </w:rPr>
        <w:t>Washington,</w:t>
      </w:r>
      <w:r>
        <w:rPr>
          <w:rFonts w:ascii="Arial" w:hAnsi="Arial"/>
          <w:color w:val="231F20"/>
          <w:spacing w:val="-5"/>
          <w:w w:val="85"/>
          <w:sz w:val="14"/>
        </w:rPr>
        <w:t> </w:t>
      </w:r>
      <w:r>
        <w:rPr>
          <w:rFonts w:ascii="Arial" w:hAnsi="Arial"/>
          <w:color w:val="231F20"/>
          <w:w w:val="85"/>
          <w:sz w:val="14"/>
        </w:rPr>
        <w:t>DC:</w:t>
      </w:r>
      <w:r>
        <w:rPr>
          <w:rFonts w:ascii="Arial" w:hAnsi="Arial"/>
          <w:color w:val="231F20"/>
          <w:spacing w:val="-10"/>
          <w:w w:val="85"/>
          <w:sz w:val="14"/>
        </w:rPr>
        <w:t> </w:t>
      </w:r>
      <w:r>
        <w:rPr>
          <w:rFonts w:ascii="Arial" w:hAnsi="Arial"/>
          <w:color w:val="231F20"/>
          <w:w w:val="85"/>
          <w:sz w:val="14"/>
        </w:rPr>
        <w:t>World Bank.</w:t>
      </w:r>
    </w:p>
    <w:p>
      <w:pPr>
        <w:spacing w:line="297" w:lineRule="auto" w:before="1"/>
        <w:ind w:left="4080" w:right="111" w:hanging="240"/>
        <w:jc w:val="left"/>
        <w:rPr>
          <w:rFonts w:ascii="Arial" w:hAnsi="Arial"/>
          <w:sz w:val="14"/>
        </w:rPr>
      </w:pPr>
      <w:r>
        <w:rPr>
          <w:rFonts w:ascii="Arial" w:hAnsi="Arial"/>
          <w:color w:val="231F20"/>
          <w:w w:val="80"/>
          <w:sz w:val="14"/>
        </w:rPr>
        <w:t>Arvis, J.</w:t>
      </w:r>
      <w:r>
        <w:rPr>
          <w:rFonts w:ascii="Arial" w:hAnsi="Arial"/>
          <w:color w:val="231F20"/>
          <w:sz w:val="14"/>
        </w:rPr>
        <w:t> </w:t>
      </w:r>
      <w:r>
        <w:rPr>
          <w:rFonts w:ascii="Arial" w:hAnsi="Arial"/>
          <w:color w:val="231F20"/>
          <w:w w:val="80"/>
          <w:sz w:val="14"/>
        </w:rPr>
        <w:t>F., L.</w:t>
      </w:r>
      <w:r>
        <w:rPr>
          <w:rFonts w:ascii="Arial" w:hAnsi="Arial"/>
          <w:color w:val="231F20"/>
          <w:sz w:val="14"/>
        </w:rPr>
        <w:t> </w:t>
      </w:r>
      <w:r>
        <w:rPr>
          <w:rFonts w:ascii="Arial" w:hAnsi="Arial"/>
          <w:color w:val="231F20"/>
          <w:w w:val="80"/>
          <w:sz w:val="14"/>
        </w:rPr>
        <w:t>Ojala, C. Wiederer, B.</w:t>
      </w:r>
      <w:r>
        <w:rPr>
          <w:rFonts w:ascii="Arial" w:hAnsi="Arial"/>
          <w:color w:val="231F20"/>
          <w:sz w:val="14"/>
        </w:rPr>
        <w:t> </w:t>
      </w:r>
      <w:r>
        <w:rPr>
          <w:rFonts w:ascii="Arial" w:hAnsi="Arial"/>
          <w:color w:val="231F20"/>
          <w:w w:val="80"/>
          <w:sz w:val="14"/>
        </w:rPr>
        <w:t>Shepherd,</w:t>
      </w:r>
      <w:r>
        <w:rPr>
          <w:rFonts w:ascii="Arial" w:hAnsi="Arial"/>
          <w:color w:val="231F20"/>
          <w:spacing w:val="-4"/>
          <w:w w:val="80"/>
          <w:sz w:val="14"/>
        </w:rPr>
        <w:t> </w:t>
      </w:r>
      <w:r>
        <w:rPr>
          <w:rFonts w:ascii="Arial" w:hAnsi="Arial"/>
          <w:color w:val="231F20"/>
          <w:w w:val="80"/>
          <w:sz w:val="14"/>
        </w:rPr>
        <w:t>A.</w:t>
      </w:r>
      <w:r>
        <w:rPr>
          <w:rFonts w:ascii="Arial" w:hAnsi="Arial"/>
          <w:color w:val="231F20"/>
          <w:sz w:val="14"/>
        </w:rPr>
        <w:t> </w:t>
      </w:r>
      <w:r>
        <w:rPr>
          <w:rFonts w:ascii="Arial" w:hAnsi="Arial"/>
          <w:color w:val="231F20"/>
          <w:w w:val="80"/>
          <w:sz w:val="14"/>
        </w:rPr>
        <w:t>Raj, K.</w:t>
      </w:r>
      <w:r>
        <w:rPr>
          <w:rFonts w:ascii="Arial" w:hAnsi="Arial"/>
          <w:color w:val="231F20"/>
          <w:sz w:val="14"/>
        </w:rPr>
        <w:t> </w:t>
      </w:r>
      <w:r>
        <w:rPr>
          <w:rFonts w:ascii="Arial" w:hAnsi="Arial"/>
          <w:color w:val="231F20"/>
          <w:w w:val="80"/>
          <w:sz w:val="14"/>
        </w:rPr>
        <w:t>Dairabayeva,</w:t>
      </w:r>
      <w:r>
        <w:rPr>
          <w:rFonts w:ascii="Arial" w:hAnsi="Arial"/>
          <w:color w:val="231F20"/>
          <w:spacing w:val="40"/>
          <w:sz w:val="14"/>
        </w:rPr>
        <w:t> </w:t>
      </w:r>
      <w:r>
        <w:rPr>
          <w:rFonts w:ascii="Arial" w:hAnsi="Arial"/>
          <w:color w:val="231F20"/>
          <w:w w:val="80"/>
          <w:sz w:val="14"/>
        </w:rPr>
        <w:t>and T. Kiiski. 2018. </w:t>
      </w:r>
      <w:r>
        <w:rPr>
          <w:rFonts w:ascii="Arial" w:hAnsi="Arial"/>
          <w:i/>
          <w:color w:val="231F20"/>
          <w:w w:val="80"/>
          <w:sz w:val="14"/>
        </w:rPr>
        <w:t>Connecting to Compete 2018:</w:t>
      </w:r>
      <w:r>
        <w:rPr>
          <w:rFonts w:ascii="Arial" w:hAnsi="Arial"/>
          <w:i/>
          <w:color w:val="231F20"/>
          <w:spacing w:val="-1"/>
          <w:w w:val="80"/>
          <w:sz w:val="14"/>
        </w:rPr>
        <w:t> </w:t>
      </w:r>
      <w:r>
        <w:rPr>
          <w:rFonts w:ascii="Arial" w:hAnsi="Arial"/>
          <w:i/>
          <w:color w:val="231F20"/>
          <w:w w:val="80"/>
          <w:sz w:val="14"/>
        </w:rPr>
        <w:t>Trade Logistics</w:t>
      </w:r>
      <w:r>
        <w:rPr>
          <w:rFonts w:ascii="Arial" w:hAnsi="Arial"/>
          <w:i/>
          <w:color w:val="231F20"/>
          <w:spacing w:val="80"/>
          <w:sz w:val="14"/>
        </w:rPr>
        <w:t> </w:t>
      </w:r>
      <w:r>
        <w:rPr>
          <w:rFonts w:ascii="Arial" w:hAnsi="Arial"/>
          <w:i/>
          <w:color w:val="231F20"/>
          <w:w w:val="80"/>
          <w:sz w:val="14"/>
        </w:rPr>
        <w:t>in The Global Economy—The Logistics Performance Index and Its</w:t>
      </w:r>
      <w:r>
        <w:rPr>
          <w:rFonts w:ascii="Arial" w:hAnsi="Arial"/>
          <w:i/>
          <w:color w:val="231F20"/>
          <w:spacing w:val="40"/>
          <w:sz w:val="14"/>
        </w:rPr>
        <w:t> </w:t>
      </w:r>
      <w:r>
        <w:rPr>
          <w:rFonts w:ascii="Arial" w:hAnsi="Arial"/>
          <w:i/>
          <w:color w:val="231F20"/>
          <w:spacing w:val="-2"/>
          <w:w w:val="85"/>
          <w:sz w:val="14"/>
        </w:rPr>
        <w:t>Indicators. </w:t>
      </w:r>
      <w:r>
        <w:rPr>
          <w:rFonts w:ascii="Arial" w:hAnsi="Arial"/>
          <w:color w:val="231F20"/>
          <w:spacing w:val="-2"/>
          <w:w w:val="85"/>
          <w:sz w:val="14"/>
        </w:rPr>
        <w:t>Washington, DC:</w:t>
      </w:r>
      <w:r>
        <w:rPr>
          <w:rFonts w:ascii="Arial" w:hAnsi="Arial"/>
          <w:color w:val="231F20"/>
          <w:spacing w:val="-3"/>
          <w:w w:val="85"/>
          <w:sz w:val="14"/>
        </w:rPr>
        <w:t> </w:t>
      </w:r>
      <w:r>
        <w:rPr>
          <w:rFonts w:ascii="Arial" w:hAnsi="Arial"/>
          <w:color w:val="231F20"/>
          <w:spacing w:val="-2"/>
          <w:w w:val="85"/>
          <w:sz w:val="14"/>
        </w:rPr>
        <w:t>World</w:t>
      </w:r>
      <w:r>
        <w:rPr>
          <w:rFonts w:ascii="Arial" w:hAnsi="Arial"/>
          <w:color w:val="231F20"/>
          <w:sz w:val="14"/>
        </w:rPr>
        <w:t> </w:t>
      </w:r>
      <w:r>
        <w:rPr>
          <w:rFonts w:ascii="Arial" w:hAnsi="Arial"/>
          <w:color w:val="231F20"/>
          <w:spacing w:val="-2"/>
          <w:w w:val="85"/>
          <w:sz w:val="14"/>
        </w:rPr>
        <w:t>Bank.</w:t>
      </w:r>
    </w:p>
    <w:p>
      <w:pPr>
        <w:spacing w:line="297" w:lineRule="auto" w:before="1"/>
        <w:ind w:left="4080" w:right="198" w:hanging="240"/>
        <w:jc w:val="left"/>
        <w:rPr>
          <w:rFonts w:ascii="Arial" w:hAnsi="Arial"/>
          <w:sz w:val="14"/>
        </w:rPr>
      </w:pPr>
      <w:r>
        <w:rPr>
          <w:rFonts w:ascii="Arial" w:hAnsi="Arial"/>
          <w:color w:val="231F20"/>
          <w:w w:val="85"/>
          <w:sz w:val="14"/>
        </w:rPr>
        <w:t>Beretzky, E., L. Hausmann,</w:t>
      </w:r>
      <w:r>
        <w:rPr>
          <w:rFonts w:ascii="Arial" w:hAnsi="Arial"/>
          <w:color w:val="231F20"/>
          <w:spacing w:val="-4"/>
          <w:w w:val="85"/>
          <w:sz w:val="14"/>
        </w:rPr>
        <w:t> </w:t>
      </w:r>
      <w:r>
        <w:rPr>
          <w:rFonts w:ascii="Arial" w:hAnsi="Arial"/>
          <w:color w:val="231F20"/>
          <w:w w:val="85"/>
          <w:sz w:val="14"/>
        </w:rPr>
        <w:t>T. Wölfel, and T. Zimmermann. 2022.</w:t>
      </w:r>
      <w:r>
        <w:rPr>
          <w:rFonts w:ascii="Arial" w:hAnsi="Arial"/>
          <w:color w:val="231F20"/>
          <w:spacing w:val="40"/>
          <w:sz w:val="14"/>
        </w:rPr>
        <w:t> </w:t>
      </w:r>
      <w:r>
        <w:rPr>
          <w:rFonts w:ascii="Arial" w:hAnsi="Arial"/>
          <w:color w:val="231F20"/>
          <w:w w:val="75"/>
          <w:sz w:val="14"/>
        </w:rPr>
        <w:t>“Signed, Sealed, and</w:t>
      </w:r>
      <w:r>
        <w:rPr>
          <w:rFonts w:ascii="Arial" w:hAnsi="Arial"/>
          <w:color w:val="231F20"/>
          <w:sz w:val="14"/>
        </w:rPr>
        <w:t> </w:t>
      </w:r>
      <w:r>
        <w:rPr>
          <w:rFonts w:ascii="Arial" w:hAnsi="Arial"/>
          <w:color w:val="231F20"/>
          <w:w w:val="75"/>
          <w:sz w:val="14"/>
        </w:rPr>
        <w:t>Delivered: Unpacking The</w:t>
      </w:r>
      <w:r>
        <w:rPr>
          <w:rFonts w:ascii="Arial" w:hAnsi="Arial"/>
          <w:color w:val="231F20"/>
          <w:sz w:val="14"/>
        </w:rPr>
        <w:t> </w:t>
      </w:r>
      <w:r>
        <w:rPr>
          <w:rFonts w:ascii="Arial" w:hAnsi="Arial"/>
          <w:color w:val="231F20"/>
          <w:w w:val="75"/>
          <w:sz w:val="14"/>
        </w:rPr>
        <w:t>Cross-Border</w:t>
      </w:r>
      <w:r>
        <w:rPr>
          <w:rFonts w:ascii="Arial" w:hAnsi="Arial"/>
          <w:color w:val="231F20"/>
          <w:sz w:val="14"/>
        </w:rPr>
        <w:t> </w:t>
      </w:r>
      <w:r>
        <w:rPr>
          <w:rFonts w:ascii="Arial" w:hAnsi="Arial"/>
          <w:color w:val="231F20"/>
          <w:w w:val="75"/>
          <w:sz w:val="14"/>
        </w:rPr>
        <w:t>Parcel</w:t>
      </w:r>
      <w:r>
        <w:rPr>
          <w:rFonts w:ascii="Arial" w:hAnsi="Arial"/>
          <w:color w:val="231F20"/>
          <w:spacing w:val="40"/>
          <w:sz w:val="14"/>
        </w:rPr>
        <w:t> </w:t>
      </w:r>
      <w:r>
        <w:rPr>
          <w:rFonts w:ascii="Arial" w:hAnsi="Arial"/>
          <w:color w:val="231F20"/>
          <w:w w:val="80"/>
          <w:sz w:val="14"/>
        </w:rPr>
        <w:t>Market’s Promise.” McKinsey &amp; Company. </w:t>
      </w:r>
      <w:hyperlink r:id="rId192">
        <w:r>
          <w:rPr>
            <w:rFonts w:ascii="Arial" w:hAnsi="Arial"/>
            <w:color w:val="231F20"/>
            <w:w w:val="80"/>
            <w:sz w:val="14"/>
          </w:rPr>
          <w:t>https://www.mckinsey</w:t>
        </w:r>
      </w:hyperlink>
    </w:p>
    <w:p>
      <w:pPr>
        <w:spacing w:before="1"/>
        <w:ind w:left="4080" w:right="0" w:firstLine="0"/>
        <w:jc w:val="left"/>
        <w:rPr>
          <w:rFonts w:ascii="Arial"/>
          <w:sz w:val="14"/>
        </w:rPr>
      </w:pPr>
      <w:hyperlink r:id="rId192">
        <w:r>
          <w:rPr>
            <w:rFonts w:ascii="Arial"/>
            <w:color w:val="231F20"/>
            <w:w w:val="80"/>
            <w:sz w:val="14"/>
          </w:rPr>
          <w:t>.com/industries/travel-logistics-and-infrastructure/our-</w:t>
        </w:r>
        <w:r>
          <w:rPr>
            <w:rFonts w:ascii="Arial"/>
            <w:color w:val="231F20"/>
            <w:spacing w:val="-2"/>
            <w:w w:val="80"/>
            <w:sz w:val="14"/>
          </w:rPr>
          <w:t>insights/signed</w:t>
        </w:r>
      </w:hyperlink>
    </w:p>
    <w:p>
      <w:pPr>
        <w:spacing w:before="39"/>
        <w:ind w:left="4080" w:right="0" w:firstLine="0"/>
        <w:jc w:val="left"/>
        <w:rPr>
          <w:rFonts w:ascii="Arial"/>
          <w:sz w:val="14"/>
        </w:rPr>
      </w:pPr>
      <w:hyperlink r:id="rId192">
        <w:r>
          <w:rPr>
            <w:rFonts w:ascii="Arial"/>
            <w:color w:val="231F20"/>
            <w:w w:val="80"/>
            <w:sz w:val="14"/>
          </w:rPr>
          <w:t>-sealed-and-delivered-unpacking-the-cross-border-parcel-</w:t>
        </w:r>
        <w:r>
          <w:rPr>
            <w:rFonts w:ascii="Arial"/>
            <w:color w:val="231F20"/>
            <w:spacing w:val="-2"/>
            <w:w w:val="80"/>
            <w:sz w:val="14"/>
          </w:rPr>
          <w:t>markets</w:t>
        </w:r>
      </w:hyperlink>
    </w:p>
    <w:p>
      <w:pPr>
        <w:spacing w:before="39"/>
        <w:ind w:left="4080" w:right="0" w:firstLine="0"/>
        <w:jc w:val="left"/>
        <w:rPr>
          <w:rFonts w:ascii="Arial"/>
          <w:sz w:val="14"/>
        </w:rPr>
      </w:pPr>
      <w:hyperlink r:id="rId192">
        <w:r>
          <w:rPr>
            <w:rFonts w:ascii="Arial"/>
            <w:color w:val="231F20"/>
            <w:w w:val="80"/>
            <w:sz w:val="14"/>
          </w:rPr>
          <w:t>-</w:t>
        </w:r>
        <w:r>
          <w:rPr>
            <w:rFonts w:ascii="Arial"/>
            <w:color w:val="231F20"/>
            <w:spacing w:val="-2"/>
            <w:w w:val="90"/>
            <w:sz w:val="14"/>
          </w:rPr>
          <w:t>promise</w:t>
        </w:r>
      </w:hyperlink>
      <w:r>
        <w:rPr>
          <w:rFonts w:ascii="Arial"/>
          <w:color w:val="231F20"/>
          <w:spacing w:val="-2"/>
          <w:w w:val="90"/>
          <w:sz w:val="14"/>
        </w:rPr>
        <w:t>.</w:t>
      </w:r>
    </w:p>
    <w:p>
      <w:pPr>
        <w:spacing w:line="297" w:lineRule="auto" w:before="39"/>
        <w:ind w:left="4080" w:right="0" w:hanging="240"/>
        <w:jc w:val="left"/>
        <w:rPr>
          <w:rFonts w:ascii="Arial" w:hAnsi="Arial"/>
          <w:sz w:val="14"/>
        </w:rPr>
      </w:pPr>
      <w:r>
        <w:rPr>
          <w:rFonts w:ascii="Arial" w:hAnsi="Arial"/>
          <w:color w:val="231F20"/>
          <w:w w:val="80"/>
          <w:sz w:val="14"/>
        </w:rPr>
        <w:t>Boffa,</w:t>
      </w:r>
      <w:r>
        <w:rPr>
          <w:rFonts w:ascii="Arial" w:hAnsi="Arial"/>
          <w:color w:val="231F20"/>
          <w:spacing w:val="-4"/>
          <w:w w:val="80"/>
          <w:sz w:val="14"/>
        </w:rPr>
        <w:t> </w:t>
      </w:r>
      <w:r>
        <w:rPr>
          <w:rFonts w:ascii="Arial" w:hAnsi="Arial"/>
          <w:color w:val="231F20"/>
          <w:w w:val="80"/>
          <w:sz w:val="14"/>
        </w:rPr>
        <w:t>M.</w:t>
      </w:r>
      <w:r>
        <w:rPr>
          <w:rFonts w:ascii="Arial" w:hAnsi="Arial"/>
          <w:color w:val="231F20"/>
          <w:spacing w:val="-2"/>
          <w:w w:val="80"/>
          <w:sz w:val="14"/>
        </w:rPr>
        <w:t> </w:t>
      </w:r>
      <w:r>
        <w:rPr>
          <w:rFonts w:ascii="Arial" w:hAnsi="Arial"/>
          <w:color w:val="231F20"/>
          <w:w w:val="80"/>
          <w:sz w:val="14"/>
        </w:rPr>
        <w:t>2015.</w:t>
      </w:r>
      <w:r>
        <w:rPr>
          <w:rFonts w:ascii="Arial" w:hAnsi="Arial"/>
          <w:color w:val="231F20"/>
          <w:spacing w:val="-3"/>
          <w:w w:val="80"/>
          <w:sz w:val="14"/>
        </w:rPr>
        <w:t> </w:t>
      </w:r>
      <w:r>
        <w:rPr>
          <w:rFonts w:ascii="Arial" w:hAnsi="Arial"/>
          <w:color w:val="231F20"/>
          <w:w w:val="80"/>
          <w:sz w:val="14"/>
        </w:rPr>
        <w:t>“E-Commerce</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3"/>
          <w:w w:val="80"/>
          <w:sz w:val="14"/>
        </w:rPr>
        <w:t> </w:t>
      </w:r>
      <w:r>
        <w:rPr>
          <w:rFonts w:ascii="Arial" w:hAnsi="Arial"/>
          <w:color w:val="231F20"/>
          <w:w w:val="80"/>
          <w:sz w:val="14"/>
        </w:rPr>
        <w:t>The</w:t>
      </w:r>
      <w:r>
        <w:rPr>
          <w:rFonts w:ascii="Arial" w:hAnsi="Arial"/>
          <w:color w:val="231F20"/>
          <w:spacing w:val="-2"/>
          <w:w w:val="80"/>
          <w:sz w:val="14"/>
        </w:rPr>
        <w:t> </w:t>
      </w:r>
      <w:r>
        <w:rPr>
          <w:rFonts w:ascii="Arial" w:hAnsi="Arial"/>
          <w:color w:val="231F20"/>
          <w:w w:val="80"/>
          <w:sz w:val="14"/>
        </w:rPr>
        <w:t>Cost</w:t>
      </w:r>
      <w:r>
        <w:rPr>
          <w:rFonts w:ascii="Arial" w:hAnsi="Arial"/>
          <w:color w:val="231F20"/>
          <w:spacing w:val="-2"/>
          <w:w w:val="80"/>
          <w:sz w:val="14"/>
        </w:rPr>
        <w:t> </w:t>
      </w:r>
      <w:r>
        <w:rPr>
          <w:rFonts w:ascii="Arial" w:hAnsi="Arial"/>
          <w:color w:val="231F20"/>
          <w:w w:val="80"/>
          <w:sz w:val="14"/>
        </w:rPr>
        <w:t>of</w:t>
      </w:r>
      <w:r>
        <w:rPr>
          <w:rFonts w:ascii="Arial" w:hAnsi="Arial"/>
          <w:color w:val="231F20"/>
          <w:spacing w:val="-3"/>
          <w:w w:val="80"/>
          <w:sz w:val="14"/>
        </w:rPr>
        <w:t> </w:t>
      </w:r>
      <w:r>
        <w:rPr>
          <w:rFonts w:ascii="Arial" w:hAnsi="Arial"/>
          <w:color w:val="231F20"/>
          <w:w w:val="80"/>
          <w:sz w:val="14"/>
        </w:rPr>
        <w:t>Waiting.”</w:t>
      </w:r>
      <w:r>
        <w:rPr>
          <w:rFonts w:ascii="Arial" w:hAnsi="Arial"/>
          <w:color w:val="231F20"/>
          <w:spacing w:val="-3"/>
          <w:w w:val="80"/>
          <w:sz w:val="14"/>
        </w:rPr>
        <w:t> </w:t>
      </w:r>
      <w:r>
        <w:rPr>
          <w:rFonts w:ascii="Arial" w:hAnsi="Arial"/>
          <w:color w:val="231F20"/>
          <w:w w:val="80"/>
          <w:sz w:val="14"/>
        </w:rPr>
        <w:t>GSEM</w:t>
      </w:r>
      <w:r>
        <w:rPr>
          <w:rFonts w:ascii="Arial" w:hAnsi="Arial"/>
          <w:color w:val="231F20"/>
          <w:spacing w:val="-4"/>
          <w:w w:val="80"/>
          <w:sz w:val="14"/>
        </w:rPr>
        <w:t> </w:t>
      </w:r>
      <w:r>
        <w:rPr>
          <w:rFonts w:ascii="Arial" w:hAnsi="Arial"/>
          <w:color w:val="231F20"/>
          <w:w w:val="80"/>
          <w:sz w:val="14"/>
        </w:rPr>
        <w:t>Working</w:t>
      </w:r>
      <w:r>
        <w:rPr>
          <w:rFonts w:ascii="Arial" w:hAnsi="Arial"/>
          <w:color w:val="231F20"/>
          <w:spacing w:val="40"/>
          <w:sz w:val="14"/>
        </w:rPr>
        <w:t> </w:t>
      </w:r>
      <w:r>
        <w:rPr>
          <w:rFonts w:ascii="Arial" w:hAnsi="Arial"/>
          <w:color w:val="231F20"/>
          <w:spacing w:val="-2"/>
          <w:w w:val="85"/>
          <w:sz w:val="14"/>
        </w:rPr>
        <w:t>Paper</w:t>
      </w:r>
      <w:r>
        <w:rPr>
          <w:rFonts w:ascii="Arial" w:hAnsi="Arial"/>
          <w:color w:val="231F20"/>
          <w:spacing w:val="-1"/>
          <w:sz w:val="14"/>
        </w:rPr>
        <w:t> </w:t>
      </w:r>
      <w:r>
        <w:rPr>
          <w:rFonts w:ascii="Arial" w:hAnsi="Arial"/>
          <w:color w:val="231F20"/>
          <w:spacing w:val="-2"/>
          <w:w w:val="85"/>
          <w:sz w:val="14"/>
        </w:rPr>
        <w:t>Series, University</w:t>
      </w:r>
      <w:r>
        <w:rPr>
          <w:rFonts w:ascii="Arial" w:hAnsi="Arial"/>
          <w:color w:val="231F20"/>
          <w:spacing w:val="-1"/>
          <w:sz w:val="14"/>
        </w:rPr>
        <w:t> </w:t>
      </w:r>
      <w:r>
        <w:rPr>
          <w:rFonts w:ascii="Arial" w:hAnsi="Arial"/>
          <w:color w:val="231F20"/>
          <w:spacing w:val="-2"/>
          <w:w w:val="85"/>
          <w:sz w:val="14"/>
        </w:rPr>
        <w:t>of</w:t>
      </w:r>
      <w:r>
        <w:rPr>
          <w:rFonts w:ascii="Arial" w:hAnsi="Arial"/>
          <w:color w:val="231F20"/>
          <w:spacing w:val="-1"/>
          <w:sz w:val="14"/>
        </w:rPr>
        <w:t> </w:t>
      </w:r>
      <w:r>
        <w:rPr>
          <w:rFonts w:ascii="Arial" w:hAnsi="Arial"/>
          <w:color w:val="231F20"/>
          <w:spacing w:val="-2"/>
          <w:w w:val="85"/>
          <w:sz w:val="14"/>
        </w:rPr>
        <w:t>Geneva.</w:t>
      </w:r>
    </w:p>
    <w:p>
      <w:pPr>
        <w:spacing w:before="1"/>
        <w:ind w:left="3840" w:right="0" w:firstLine="0"/>
        <w:jc w:val="left"/>
        <w:rPr>
          <w:rFonts w:ascii="Arial"/>
          <w:sz w:val="14"/>
        </w:rPr>
      </w:pPr>
      <w:r>
        <w:rPr>
          <w:rFonts w:ascii="Arial"/>
          <w:color w:val="231F20"/>
          <w:w w:val="80"/>
          <w:sz w:val="14"/>
        </w:rPr>
        <w:t>Bouchery,</w:t>
      </w:r>
      <w:r>
        <w:rPr>
          <w:rFonts w:ascii="Arial"/>
          <w:color w:val="231F20"/>
          <w:spacing w:val="-7"/>
          <w:w w:val="80"/>
          <w:sz w:val="14"/>
        </w:rPr>
        <w:t> </w:t>
      </w:r>
      <w:r>
        <w:rPr>
          <w:rFonts w:ascii="Arial"/>
          <w:color w:val="231F20"/>
          <w:w w:val="80"/>
          <w:sz w:val="14"/>
        </w:rPr>
        <w:t>Y.,</w:t>
      </w:r>
      <w:r>
        <w:rPr>
          <w:rFonts w:ascii="Arial"/>
          <w:color w:val="231F20"/>
          <w:spacing w:val="-1"/>
          <w:w w:val="80"/>
          <w:sz w:val="14"/>
        </w:rPr>
        <w:t> </w:t>
      </w:r>
      <w:r>
        <w:rPr>
          <w:rFonts w:ascii="Arial"/>
          <w:color w:val="231F20"/>
          <w:w w:val="80"/>
          <w:sz w:val="14"/>
        </w:rPr>
        <w:t>C.</w:t>
      </w:r>
      <w:r>
        <w:rPr>
          <w:rFonts w:ascii="Arial"/>
          <w:color w:val="231F20"/>
          <w:spacing w:val="-3"/>
          <w:sz w:val="14"/>
        </w:rPr>
        <w:t> </w:t>
      </w:r>
      <w:r>
        <w:rPr>
          <w:rFonts w:ascii="Arial"/>
          <w:color w:val="231F20"/>
          <w:w w:val="80"/>
          <w:sz w:val="14"/>
        </w:rPr>
        <w:t>J.</w:t>
      </w:r>
      <w:r>
        <w:rPr>
          <w:rFonts w:ascii="Arial"/>
          <w:color w:val="231F20"/>
          <w:spacing w:val="-4"/>
          <w:sz w:val="14"/>
        </w:rPr>
        <w:t> </w:t>
      </w:r>
      <w:r>
        <w:rPr>
          <w:rFonts w:ascii="Arial"/>
          <w:color w:val="231F20"/>
          <w:w w:val="80"/>
          <w:sz w:val="14"/>
        </w:rPr>
        <w:t>Corbett, J.</w:t>
      </w:r>
      <w:r>
        <w:rPr>
          <w:rFonts w:ascii="Arial"/>
          <w:color w:val="231F20"/>
          <w:spacing w:val="-4"/>
          <w:sz w:val="14"/>
        </w:rPr>
        <w:t> </w:t>
      </w:r>
      <w:r>
        <w:rPr>
          <w:rFonts w:ascii="Arial"/>
          <w:color w:val="231F20"/>
          <w:w w:val="80"/>
          <w:sz w:val="14"/>
        </w:rPr>
        <w:t>C.</w:t>
      </w:r>
      <w:r>
        <w:rPr>
          <w:rFonts w:ascii="Arial"/>
          <w:color w:val="231F20"/>
          <w:spacing w:val="-3"/>
          <w:sz w:val="14"/>
        </w:rPr>
        <w:t> </w:t>
      </w:r>
      <w:r>
        <w:rPr>
          <w:rFonts w:ascii="Arial"/>
          <w:color w:val="231F20"/>
          <w:w w:val="80"/>
          <w:sz w:val="14"/>
        </w:rPr>
        <w:t>Fransoo,</w:t>
      </w:r>
      <w:r>
        <w:rPr>
          <w:rFonts w:ascii="Arial"/>
          <w:color w:val="231F20"/>
          <w:spacing w:val="-1"/>
          <w:w w:val="80"/>
          <w:sz w:val="14"/>
        </w:rPr>
        <w:t> </w:t>
      </w:r>
      <w:r>
        <w:rPr>
          <w:rFonts w:ascii="Arial"/>
          <w:color w:val="231F20"/>
          <w:w w:val="80"/>
          <w:sz w:val="14"/>
        </w:rPr>
        <w:t>and</w:t>
      </w:r>
      <w:r>
        <w:rPr>
          <w:rFonts w:ascii="Arial"/>
          <w:color w:val="231F20"/>
          <w:spacing w:val="-1"/>
          <w:w w:val="80"/>
          <w:sz w:val="14"/>
        </w:rPr>
        <w:t> </w:t>
      </w:r>
      <w:r>
        <w:rPr>
          <w:rFonts w:ascii="Arial"/>
          <w:color w:val="231F20"/>
          <w:w w:val="80"/>
          <w:sz w:val="14"/>
        </w:rPr>
        <w:t>T.</w:t>
      </w:r>
      <w:r>
        <w:rPr>
          <w:rFonts w:ascii="Arial"/>
          <w:color w:val="231F20"/>
          <w:spacing w:val="-1"/>
          <w:w w:val="80"/>
          <w:sz w:val="14"/>
        </w:rPr>
        <w:t> </w:t>
      </w:r>
      <w:r>
        <w:rPr>
          <w:rFonts w:ascii="Arial"/>
          <w:color w:val="231F20"/>
          <w:w w:val="80"/>
          <w:sz w:val="14"/>
        </w:rPr>
        <w:t>Tan</w:t>
      </w:r>
      <w:r>
        <w:rPr>
          <w:rFonts w:ascii="Arial"/>
          <w:color w:val="231F20"/>
          <w:spacing w:val="-3"/>
          <w:sz w:val="14"/>
        </w:rPr>
        <w:t> </w:t>
      </w:r>
      <w:r>
        <w:rPr>
          <w:rFonts w:ascii="Arial"/>
          <w:color w:val="231F20"/>
          <w:w w:val="80"/>
          <w:sz w:val="14"/>
        </w:rPr>
        <w:t>(eds.).</w:t>
      </w:r>
      <w:r>
        <w:rPr>
          <w:rFonts w:ascii="Arial"/>
          <w:color w:val="231F20"/>
          <w:spacing w:val="-4"/>
          <w:sz w:val="14"/>
        </w:rPr>
        <w:t> </w:t>
      </w:r>
      <w:r>
        <w:rPr>
          <w:rFonts w:ascii="Arial"/>
          <w:color w:val="231F20"/>
          <w:spacing w:val="-2"/>
          <w:w w:val="80"/>
          <w:sz w:val="14"/>
        </w:rPr>
        <w:t>2016.</w:t>
      </w:r>
    </w:p>
    <w:p>
      <w:pPr>
        <w:spacing w:line="297" w:lineRule="auto" w:before="39"/>
        <w:ind w:left="4080" w:right="0" w:firstLine="0"/>
        <w:jc w:val="left"/>
        <w:rPr>
          <w:rFonts w:ascii="Arial"/>
          <w:sz w:val="14"/>
        </w:rPr>
      </w:pPr>
      <w:r>
        <w:rPr>
          <w:rFonts w:ascii="Arial"/>
          <w:i/>
          <w:color w:val="231F20"/>
          <w:w w:val="75"/>
          <w:sz w:val="14"/>
        </w:rPr>
        <w:t>Sustainable</w:t>
      </w:r>
      <w:r>
        <w:rPr>
          <w:rFonts w:ascii="Arial"/>
          <w:i/>
          <w:color w:val="231F20"/>
          <w:sz w:val="14"/>
        </w:rPr>
        <w:t> </w:t>
      </w:r>
      <w:r>
        <w:rPr>
          <w:rFonts w:ascii="Arial"/>
          <w:i/>
          <w:color w:val="231F20"/>
          <w:w w:val="75"/>
          <w:sz w:val="14"/>
        </w:rPr>
        <w:t>Supply</w:t>
      </w:r>
      <w:r>
        <w:rPr>
          <w:rFonts w:ascii="Arial"/>
          <w:i/>
          <w:color w:val="231F20"/>
          <w:sz w:val="14"/>
        </w:rPr>
        <w:t> </w:t>
      </w:r>
      <w:r>
        <w:rPr>
          <w:rFonts w:ascii="Arial"/>
          <w:i/>
          <w:color w:val="231F20"/>
          <w:w w:val="75"/>
          <w:sz w:val="14"/>
        </w:rPr>
        <w:t>Chains: A</w:t>
      </w:r>
      <w:r>
        <w:rPr>
          <w:rFonts w:ascii="Arial"/>
          <w:i/>
          <w:color w:val="231F20"/>
          <w:sz w:val="14"/>
        </w:rPr>
        <w:t> </w:t>
      </w:r>
      <w:r>
        <w:rPr>
          <w:rFonts w:ascii="Arial"/>
          <w:i/>
          <w:color w:val="231F20"/>
          <w:w w:val="75"/>
          <w:sz w:val="14"/>
        </w:rPr>
        <w:t>Research-Based Textbook</w:t>
      </w:r>
      <w:r>
        <w:rPr>
          <w:rFonts w:ascii="Arial"/>
          <w:i/>
          <w:color w:val="231F20"/>
          <w:sz w:val="14"/>
        </w:rPr>
        <w:t> </w:t>
      </w:r>
      <w:r>
        <w:rPr>
          <w:rFonts w:ascii="Arial"/>
          <w:i/>
          <w:color w:val="231F20"/>
          <w:w w:val="75"/>
          <w:sz w:val="14"/>
        </w:rPr>
        <w:t>on</w:t>
      </w:r>
      <w:r>
        <w:rPr>
          <w:rFonts w:ascii="Arial"/>
          <w:i/>
          <w:color w:val="231F20"/>
          <w:sz w:val="14"/>
        </w:rPr>
        <w:t> </w:t>
      </w:r>
      <w:r>
        <w:rPr>
          <w:rFonts w:ascii="Arial"/>
          <w:i/>
          <w:color w:val="231F20"/>
          <w:w w:val="75"/>
          <w:sz w:val="14"/>
        </w:rPr>
        <w:t>Operations</w:t>
      </w:r>
      <w:r>
        <w:rPr>
          <w:rFonts w:ascii="Arial"/>
          <w:i/>
          <w:color w:val="231F20"/>
          <w:spacing w:val="40"/>
          <w:sz w:val="14"/>
        </w:rPr>
        <w:t> </w:t>
      </w:r>
      <w:r>
        <w:rPr>
          <w:rFonts w:ascii="Arial"/>
          <w:i/>
          <w:color w:val="231F20"/>
          <w:w w:val="85"/>
          <w:sz w:val="14"/>
        </w:rPr>
        <w:t>and Strategy</w:t>
      </w:r>
      <w:r>
        <w:rPr>
          <w:rFonts w:ascii="Arial"/>
          <w:color w:val="231F20"/>
          <w:w w:val="85"/>
          <w:sz w:val="14"/>
        </w:rPr>
        <w:t>.</w:t>
      </w:r>
      <w:r>
        <w:rPr>
          <w:rFonts w:ascii="Arial"/>
          <w:color w:val="231F20"/>
          <w:spacing w:val="-10"/>
          <w:w w:val="85"/>
          <w:sz w:val="14"/>
        </w:rPr>
        <w:t> </w:t>
      </w:r>
      <w:r>
        <w:rPr>
          <w:rFonts w:ascii="Arial"/>
          <w:color w:val="231F20"/>
          <w:w w:val="85"/>
          <w:sz w:val="14"/>
        </w:rPr>
        <w:t>Vol.</w:t>
      </w:r>
      <w:r>
        <w:rPr>
          <w:rFonts w:ascii="Arial"/>
          <w:color w:val="231F20"/>
          <w:spacing w:val="-5"/>
          <w:w w:val="85"/>
          <w:sz w:val="14"/>
        </w:rPr>
        <w:t> </w:t>
      </w:r>
      <w:r>
        <w:rPr>
          <w:rFonts w:ascii="Arial"/>
          <w:color w:val="231F20"/>
          <w:w w:val="85"/>
          <w:sz w:val="14"/>
        </w:rPr>
        <w:t>4.</w:t>
      </w:r>
      <w:r>
        <w:rPr>
          <w:rFonts w:ascii="Arial"/>
          <w:color w:val="231F20"/>
          <w:spacing w:val="-5"/>
          <w:w w:val="85"/>
          <w:sz w:val="14"/>
        </w:rPr>
        <w:t> </w:t>
      </w:r>
      <w:r>
        <w:rPr>
          <w:rFonts w:ascii="Arial"/>
          <w:color w:val="231F20"/>
          <w:w w:val="85"/>
          <w:sz w:val="14"/>
        </w:rPr>
        <w:t>Springer.</w:t>
      </w:r>
    </w:p>
    <w:p>
      <w:pPr>
        <w:spacing w:before="1"/>
        <w:ind w:left="0" w:right="349" w:firstLine="0"/>
        <w:jc w:val="right"/>
        <w:rPr>
          <w:rFonts w:ascii="Arial" w:hAnsi="Arial"/>
          <w:sz w:val="14"/>
        </w:rPr>
      </w:pPr>
      <w:r>
        <w:rPr>
          <w:rFonts w:ascii="Arial" w:hAnsi="Arial"/>
          <w:color w:val="231F20"/>
          <w:w w:val="80"/>
          <w:sz w:val="14"/>
        </w:rPr>
        <w:t>Dewulf,</w:t>
      </w:r>
      <w:r>
        <w:rPr>
          <w:rFonts w:ascii="Arial" w:hAnsi="Arial"/>
          <w:color w:val="231F20"/>
          <w:spacing w:val="-5"/>
          <w:w w:val="80"/>
          <w:sz w:val="14"/>
        </w:rPr>
        <w:t> </w:t>
      </w:r>
      <w:r>
        <w:rPr>
          <w:rFonts w:ascii="Arial" w:hAnsi="Arial"/>
          <w:color w:val="231F20"/>
          <w:w w:val="80"/>
          <w:sz w:val="14"/>
        </w:rPr>
        <w:t>W.,</w:t>
      </w:r>
      <w:r>
        <w:rPr>
          <w:rFonts w:ascii="Arial" w:hAnsi="Arial"/>
          <w:color w:val="231F20"/>
          <w:spacing w:val="-6"/>
          <w:sz w:val="14"/>
        </w:rPr>
        <w:t> </w:t>
      </w:r>
      <w:r>
        <w:rPr>
          <w:rFonts w:ascii="Arial" w:hAnsi="Arial"/>
          <w:color w:val="231F20"/>
          <w:w w:val="80"/>
          <w:sz w:val="14"/>
        </w:rPr>
        <w:t>and</w:t>
      </w:r>
      <w:r>
        <w:rPr>
          <w:rFonts w:ascii="Arial" w:hAnsi="Arial"/>
          <w:color w:val="231F20"/>
          <w:spacing w:val="-7"/>
          <w:sz w:val="14"/>
        </w:rPr>
        <w:t> </w:t>
      </w:r>
      <w:r>
        <w:rPr>
          <w:rFonts w:ascii="Arial" w:hAnsi="Arial"/>
          <w:color w:val="231F20"/>
          <w:w w:val="80"/>
          <w:sz w:val="14"/>
        </w:rPr>
        <w:t>V.</w:t>
      </w:r>
      <w:r>
        <w:rPr>
          <w:rFonts w:ascii="Arial" w:hAnsi="Arial"/>
          <w:color w:val="231F20"/>
          <w:spacing w:val="-6"/>
          <w:sz w:val="14"/>
        </w:rPr>
        <w:t> </w:t>
      </w:r>
      <w:r>
        <w:rPr>
          <w:rFonts w:ascii="Arial" w:hAnsi="Arial"/>
          <w:color w:val="231F20"/>
          <w:w w:val="80"/>
          <w:sz w:val="14"/>
        </w:rPr>
        <w:t>Van</w:t>
      </w:r>
      <w:r>
        <w:rPr>
          <w:rFonts w:ascii="Arial" w:hAnsi="Arial"/>
          <w:color w:val="231F20"/>
          <w:spacing w:val="-1"/>
          <w:sz w:val="14"/>
        </w:rPr>
        <w:t> </w:t>
      </w:r>
      <w:r>
        <w:rPr>
          <w:rFonts w:ascii="Arial" w:hAnsi="Arial"/>
          <w:color w:val="231F20"/>
          <w:w w:val="80"/>
          <w:sz w:val="14"/>
        </w:rPr>
        <w:t>Bockstaele.</w:t>
      </w:r>
      <w:r>
        <w:rPr>
          <w:rFonts w:ascii="Arial" w:hAnsi="Arial"/>
          <w:color w:val="231F20"/>
          <w:spacing w:val="-1"/>
          <w:sz w:val="14"/>
        </w:rPr>
        <w:t> </w:t>
      </w:r>
      <w:r>
        <w:rPr>
          <w:rFonts w:ascii="Arial" w:hAnsi="Arial"/>
          <w:color w:val="231F20"/>
          <w:w w:val="80"/>
          <w:sz w:val="14"/>
        </w:rPr>
        <w:t>2022.</w:t>
      </w:r>
      <w:r>
        <w:rPr>
          <w:rFonts w:ascii="Arial" w:hAnsi="Arial"/>
          <w:color w:val="231F20"/>
          <w:spacing w:val="-6"/>
          <w:sz w:val="14"/>
        </w:rPr>
        <w:t> </w:t>
      </w:r>
      <w:r>
        <w:rPr>
          <w:rFonts w:ascii="Arial" w:hAnsi="Arial"/>
          <w:color w:val="231F20"/>
          <w:w w:val="80"/>
          <w:sz w:val="14"/>
        </w:rPr>
        <w:t>“It’s</w:t>
      </w:r>
      <w:r>
        <w:rPr>
          <w:rFonts w:ascii="Arial" w:hAnsi="Arial"/>
          <w:color w:val="231F20"/>
          <w:spacing w:val="-1"/>
          <w:sz w:val="14"/>
        </w:rPr>
        <w:t> </w:t>
      </w:r>
      <w:r>
        <w:rPr>
          <w:rFonts w:ascii="Arial" w:hAnsi="Arial"/>
          <w:color w:val="231F20"/>
          <w:w w:val="80"/>
          <w:sz w:val="14"/>
        </w:rPr>
        <w:t>the</w:t>
      </w:r>
      <w:r>
        <w:rPr>
          <w:rFonts w:ascii="Arial" w:hAnsi="Arial"/>
          <w:color w:val="231F20"/>
          <w:sz w:val="14"/>
        </w:rPr>
        <w:t> </w:t>
      </w:r>
      <w:r>
        <w:rPr>
          <w:rFonts w:ascii="Arial" w:hAnsi="Arial"/>
          <w:color w:val="231F20"/>
          <w:w w:val="80"/>
          <w:sz w:val="14"/>
        </w:rPr>
        <w:t>Supply,</w:t>
      </w:r>
      <w:r>
        <w:rPr>
          <w:rFonts w:ascii="Arial" w:hAnsi="Arial"/>
          <w:color w:val="231F20"/>
          <w:spacing w:val="-7"/>
          <w:sz w:val="14"/>
        </w:rPr>
        <w:t> </w:t>
      </w:r>
      <w:r>
        <w:rPr>
          <w:rFonts w:ascii="Arial" w:hAnsi="Arial"/>
          <w:color w:val="231F20"/>
          <w:spacing w:val="-2"/>
          <w:w w:val="80"/>
          <w:sz w:val="14"/>
        </w:rPr>
        <w:t>Stupid!”</w:t>
      </w:r>
    </w:p>
    <w:p>
      <w:pPr>
        <w:spacing w:before="39"/>
        <w:ind w:left="0" w:right="397" w:firstLine="0"/>
        <w:jc w:val="right"/>
        <w:rPr>
          <w:rFonts w:ascii="Arial"/>
          <w:sz w:val="14"/>
        </w:rPr>
      </w:pPr>
      <w:r>
        <w:rPr>
          <w:rFonts w:ascii="Arial"/>
          <w:i/>
          <w:color w:val="231F20"/>
          <w:w w:val="75"/>
          <w:sz w:val="14"/>
        </w:rPr>
        <w:t>Studium</w:t>
      </w:r>
      <w:r>
        <w:rPr>
          <w:rFonts w:ascii="Arial"/>
          <w:i/>
          <w:color w:val="231F20"/>
          <w:spacing w:val="4"/>
          <w:sz w:val="14"/>
        </w:rPr>
        <w:t> </w:t>
      </w:r>
      <w:r>
        <w:rPr>
          <w:rFonts w:ascii="Arial"/>
          <w:i/>
          <w:color w:val="231F20"/>
          <w:w w:val="75"/>
          <w:sz w:val="14"/>
        </w:rPr>
        <w:t>Ad</w:t>
      </w:r>
      <w:r>
        <w:rPr>
          <w:rFonts w:ascii="Arial"/>
          <w:i/>
          <w:color w:val="231F20"/>
          <w:spacing w:val="12"/>
          <w:sz w:val="14"/>
        </w:rPr>
        <w:t> </w:t>
      </w:r>
      <w:r>
        <w:rPr>
          <w:rFonts w:ascii="Arial"/>
          <w:i/>
          <w:color w:val="231F20"/>
          <w:w w:val="75"/>
          <w:sz w:val="14"/>
        </w:rPr>
        <w:t>Scaldim</w:t>
      </w:r>
      <w:r>
        <w:rPr>
          <w:rFonts w:ascii="Arial"/>
          <w:color w:val="231F20"/>
          <w:w w:val="75"/>
          <w:sz w:val="14"/>
        </w:rPr>
        <w:t>,</w:t>
      </w:r>
      <w:r>
        <w:rPr>
          <w:rFonts w:ascii="Arial"/>
          <w:color w:val="231F20"/>
          <w:spacing w:val="4"/>
          <w:sz w:val="14"/>
        </w:rPr>
        <w:t> </w:t>
      </w:r>
      <w:r>
        <w:rPr>
          <w:rFonts w:ascii="Arial"/>
          <w:color w:val="231F20"/>
          <w:w w:val="75"/>
          <w:sz w:val="14"/>
        </w:rPr>
        <w:t>17</w:t>
      </w:r>
      <w:r>
        <w:rPr>
          <w:rFonts w:ascii="Arial"/>
          <w:color w:val="231F20"/>
          <w:spacing w:val="12"/>
          <w:sz w:val="14"/>
        </w:rPr>
        <w:t> </w:t>
      </w:r>
      <w:r>
        <w:rPr>
          <w:rFonts w:ascii="Arial"/>
          <w:color w:val="231F20"/>
          <w:w w:val="75"/>
          <w:sz w:val="14"/>
        </w:rPr>
        <w:t>October.</w:t>
      </w:r>
      <w:r>
        <w:rPr>
          <w:rFonts w:ascii="Arial"/>
          <w:color w:val="231F20"/>
          <w:spacing w:val="4"/>
          <w:sz w:val="14"/>
        </w:rPr>
        <w:t> </w:t>
      </w:r>
      <w:hyperlink r:id="rId193">
        <w:r>
          <w:rPr>
            <w:rFonts w:ascii="Arial"/>
            <w:color w:val="231F20"/>
            <w:spacing w:val="-2"/>
            <w:w w:val="75"/>
            <w:sz w:val="14"/>
          </w:rPr>
          <w:t>https://studiumadscaldim.be</w:t>
        </w:r>
      </w:hyperlink>
    </w:p>
    <w:p>
      <w:pPr>
        <w:spacing w:before="39"/>
        <w:ind w:left="4080" w:right="0" w:firstLine="0"/>
        <w:jc w:val="left"/>
        <w:rPr>
          <w:rFonts w:ascii="Arial"/>
          <w:sz w:val="14"/>
        </w:rPr>
      </w:pPr>
      <w:hyperlink r:id="rId193">
        <w:r>
          <w:rPr>
            <w:rFonts w:ascii="Arial"/>
            <w:color w:val="231F20"/>
            <w:w w:val="80"/>
            <w:sz w:val="14"/>
          </w:rPr>
          <w:t>/insights/it-s-the-supply-</w:t>
        </w:r>
        <w:r>
          <w:rPr>
            <w:rFonts w:ascii="Arial"/>
            <w:color w:val="231F20"/>
            <w:spacing w:val="-2"/>
            <w:w w:val="80"/>
            <w:sz w:val="14"/>
          </w:rPr>
          <w:t>stupid</w:t>
        </w:r>
      </w:hyperlink>
      <w:r>
        <w:rPr>
          <w:rFonts w:ascii="Arial"/>
          <w:color w:val="231F20"/>
          <w:spacing w:val="-2"/>
          <w:w w:val="80"/>
          <w:sz w:val="14"/>
        </w:rPr>
        <w:t>.</w:t>
      </w:r>
    </w:p>
    <w:p>
      <w:pPr>
        <w:spacing w:line="297" w:lineRule="auto" w:before="39"/>
        <w:ind w:left="4080" w:right="0" w:hanging="240"/>
        <w:jc w:val="left"/>
        <w:rPr>
          <w:rFonts w:ascii="Arial" w:hAnsi="Arial"/>
          <w:sz w:val="14"/>
        </w:rPr>
      </w:pPr>
      <w:r>
        <w:rPr>
          <w:rFonts w:ascii="Arial" w:hAnsi="Arial"/>
          <w:color w:val="231F20"/>
          <w:w w:val="80"/>
          <w:sz w:val="14"/>
        </w:rPr>
        <w:t>Djankov,</w:t>
      </w:r>
      <w:r>
        <w:rPr>
          <w:rFonts w:ascii="Arial" w:hAnsi="Arial"/>
          <w:color w:val="231F20"/>
          <w:spacing w:val="-2"/>
          <w:w w:val="80"/>
          <w:sz w:val="14"/>
        </w:rPr>
        <w:t> </w:t>
      </w:r>
      <w:r>
        <w:rPr>
          <w:rFonts w:ascii="Arial" w:hAnsi="Arial"/>
          <w:color w:val="231F20"/>
          <w:w w:val="80"/>
          <w:sz w:val="14"/>
        </w:rPr>
        <w:t>S.,</w:t>
      </w:r>
      <w:r>
        <w:rPr>
          <w:rFonts w:ascii="Arial" w:hAnsi="Arial"/>
          <w:color w:val="231F20"/>
          <w:spacing w:val="-2"/>
          <w:w w:val="80"/>
          <w:sz w:val="14"/>
        </w:rPr>
        <w:t> </w:t>
      </w:r>
      <w:r>
        <w:rPr>
          <w:rFonts w:ascii="Arial" w:hAnsi="Arial"/>
          <w:color w:val="231F20"/>
          <w:w w:val="80"/>
          <w:sz w:val="14"/>
        </w:rPr>
        <w:t>C. Freund,</w:t>
      </w:r>
      <w:r>
        <w:rPr>
          <w:rFonts w:ascii="Arial" w:hAnsi="Arial"/>
          <w:color w:val="231F20"/>
          <w:spacing w:val="-2"/>
          <w:w w:val="80"/>
          <w:sz w:val="14"/>
        </w:rPr>
        <w:t> </w:t>
      </w:r>
      <w:r>
        <w:rPr>
          <w:rFonts w:ascii="Arial" w:hAnsi="Arial"/>
          <w:color w:val="231F20"/>
          <w:w w:val="80"/>
          <w:sz w:val="14"/>
        </w:rPr>
        <w:t>and C. S. Pham. 2010.</w:t>
      </w:r>
      <w:r>
        <w:rPr>
          <w:rFonts w:ascii="Arial" w:hAnsi="Arial"/>
          <w:color w:val="231F20"/>
          <w:spacing w:val="-2"/>
          <w:w w:val="80"/>
          <w:sz w:val="14"/>
        </w:rPr>
        <w:t> </w:t>
      </w:r>
      <w:r>
        <w:rPr>
          <w:rFonts w:ascii="Arial" w:hAnsi="Arial"/>
          <w:color w:val="231F20"/>
          <w:w w:val="80"/>
          <w:sz w:val="14"/>
        </w:rPr>
        <w:t>“Trading on</w:t>
      </w:r>
      <w:r>
        <w:rPr>
          <w:rFonts w:ascii="Arial" w:hAnsi="Arial"/>
          <w:color w:val="231F20"/>
          <w:spacing w:val="-2"/>
          <w:w w:val="80"/>
          <w:sz w:val="14"/>
        </w:rPr>
        <w:t> </w:t>
      </w:r>
      <w:r>
        <w:rPr>
          <w:rFonts w:ascii="Arial" w:hAnsi="Arial"/>
          <w:color w:val="231F20"/>
          <w:w w:val="80"/>
          <w:sz w:val="14"/>
        </w:rPr>
        <w:t>Time.”</w:t>
      </w:r>
      <w:r>
        <w:rPr>
          <w:rFonts w:ascii="Arial" w:hAnsi="Arial"/>
          <w:color w:val="231F20"/>
          <w:spacing w:val="-2"/>
          <w:w w:val="80"/>
          <w:sz w:val="14"/>
        </w:rPr>
        <w:t> </w:t>
      </w:r>
      <w:r>
        <w:rPr>
          <w:rFonts w:ascii="Arial" w:hAnsi="Arial"/>
          <w:i/>
          <w:color w:val="231F20"/>
          <w:w w:val="80"/>
          <w:sz w:val="14"/>
        </w:rPr>
        <w:t>The</w:t>
      </w:r>
      <w:r>
        <w:rPr>
          <w:rFonts w:ascii="Arial" w:hAnsi="Arial"/>
          <w:i/>
          <w:color w:val="231F20"/>
          <w:spacing w:val="40"/>
          <w:sz w:val="14"/>
        </w:rPr>
        <w:t> </w:t>
      </w:r>
      <w:r>
        <w:rPr>
          <w:rFonts w:ascii="Arial" w:hAnsi="Arial"/>
          <w:i/>
          <w:color w:val="231F20"/>
          <w:w w:val="85"/>
          <w:sz w:val="14"/>
        </w:rPr>
        <w:t>Review</w:t>
      </w:r>
      <w:r>
        <w:rPr>
          <w:rFonts w:ascii="Arial" w:hAnsi="Arial"/>
          <w:i/>
          <w:color w:val="231F20"/>
          <w:spacing w:val="-4"/>
          <w:w w:val="85"/>
          <w:sz w:val="14"/>
        </w:rPr>
        <w:t> </w:t>
      </w:r>
      <w:r>
        <w:rPr>
          <w:rFonts w:ascii="Arial" w:hAnsi="Arial"/>
          <w:i/>
          <w:color w:val="231F20"/>
          <w:w w:val="85"/>
          <w:sz w:val="14"/>
        </w:rPr>
        <w:t>of</w:t>
      </w:r>
      <w:r>
        <w:rPr>
          <w:rFonts w:ascii="Arial" w:hAnsi="Arial"/>
          <w:i/>
          <w:color w:val="231F20"/>
          <w:spacing w:val="-4"/>
          <w:w w:val="85"/>
          <w:sz w:val="14"/>
        </w:rPr>
        <w:t> </w:t>
      </w:r>
      <w:r>
        <w:rPr>
          <w:rFonts w:ascii="Arial" w:hAnsi="Arial"/>
          <w:i/>
          <w:color w:val="231F20"/>
          <w:w w:val="85"/>
          <w:sz w:val="14"/>
        </w:rPr>
        <w:t>Economics</w:t>
      </w:r>
      <w:r>
        <w:rPr>
          <w:rFonts w:ascii="Arial" w:hAnsi="Arial"/>
          <w:i/>
          <w:color w:val="231F20"/>
          <w:spacing w:val="-4"/>
          <w:w w:val="85"/>
          <w:sz w:val="14"/>
        </w:rPr>
        <w:t> </w:t>
      </w:r>
      <w:r>
        <w:rPr>
          <w:rFonts w:ascii="Arial" w:hAnsi="Arial"/>
          <w:i/>
          <w:color w:val="231F20"/>
          <w:w w:val="85"/>
          <w:sz w:val="14"/>
        </w:rPr>
        <w:t>and</w:t>
      </w:r>
      <w:r>
        <w:rPr>
          <w:rFonts w:ascii="Arial" w:hAnsi="Arial"/>
          <w:i/>
          <w:color w:val="231F20"/>
          <w:spacing w:val="-4"/>
          <w:w w:val="85"/>
          <w:sz w:val="14"/>
        </w:rPr>
        <w:t> </w:t>
      </w:r>
      <w:r>
        <w:rPr>
          <w:rFonts w:ascii="Arial" w:hAnsi="Arial"/>
          <w:i/>
          <w:color w:val="231F20"/>
          <w:w w:val="85"/>
          <w:sz w:val="14"/>
        </w:rPr>
        <w:t>Statistics</w:t>
      </w:r>
      <w:r>
        <w:rPr>
          <w:rFonts w:ascii="Arial" w:hAnsi="Arial"/>
          <w:i/>
          <w:color w:val="231F20"/>
          <w:spacing w:val="-4"/>
          <w:w w:val="85"/>
          <w:sz w:val="14"/>
        </w:rPr>
        <w:t> </w:t>
      </w:r>
      <w:r>
        <w:rPr>
          <w:rFonts w:ascii="Arial" w:hAnsi="Arial"/>
          <w:color w:val="231F20"/>
          <w:w w:val="85"/>
          <w:sz w:val="14"/>
        </w:rPr>
        <w:t>92</w:t>
      </w:r>
      <w:r>
        <w:rPr>
          <w:rFonts w:ascii="Arial" w:hAnsi="Arial"/>
          <w:color w:val="231F20"/>
          <w:spacing w:val="-3"/>
          <w:w w:val="85"/>
          <w:sz w:val="14"/>
        </w:rPr>
        <w:t> </w:t>
      </w:r>
      <w:r>
        <w:rPr>
          <w:rFonts w:ascii="Arial" w:hAnsi="Arial"/>
          <w:color w:val="231F20"/>
          <w:w w:val="85"/>
          <w:sz w:val="14"/>
        </w:rPr>
        <w:t>(1):</w:t>
      </w:r>
      <w:r>
        <w:rPr>
          <w:rFonts w:ascii="Arial" w:hAnsi="Arial"/>
          <w:color w:val="231F20"/>
          <w:spacing w:val="-5"/>
          <w:w w:val="85"/>
          <w:sz w:val="14"/>
        </w:rPr>
        <w:t> </w:t>
      </w:r>
      <w:r>
        <w:rPr>
          <w:rFonts w:ascii="Arial" w:hAnsi="Arial"/>
          <w:color w:val="231F20"/>
          <w:w w:val="85"/>
          <w:sz w:val="14"/>
        </w:rPr>
        <w:t>166–173.</w:t>
      </w:r>
    </w:p>
    <w:p>
      <w:pPr>
        <w:spacing w:before="1"/>
        <w:ind w:left="3840" w:right="0" w:firstLine="0"/>
        <w:jc w:val="left"/>
        <w:rPr>
          <w:rFonts w:ascii="Arial"/>
          <w:sz w:val="14"/>
        </w:rPr>
      </w:pPr>
      <w:r>
        <w:rPr>
          <w:rFonts w:ascii="Arial"/>
          <w:color w:val="231F20"/>
          <w:w w:val="80"/>
          <w:sz w:val="14"/>
        </w:rPr>
        <w:t>Fahrni,</w:t>
      </w:r>
      <w:r>
        <w:rPr>
          <w:rFonts w:ascii="Arial"/>
          <w:color w:val="231F20"/>
          <w:spacing w:val="-6"/>
          <w:sz w:val="14"/>
        </w:rPr>
        <w:t> </w:t>
      </w:r>
      <w:r>
        <w:rPr>
          <w:rFonts w:ascii="Arial"/>
          <w:color w:val="231F20"/>
          <w:w w:val="80"/>
          <w:sz w:val="14"/>
        </w:rPr>
        <w:t>M.</w:t>
      </w:r>
      <w:r>
        <w:rPr>
          <w:rFonts w:ascii="Arial"/>
          <w:color w:val="231F20"/>
          <w:spacing w:val="1"/>
          <w:sz w:val="14"/>
        </w:rPr>
        <w:t> </w:t>
      </w:r>
      <w:r>
        <w:rPr>
          <w:rFonts w:ascii="Arial"/>
          <w:color w:val="231F20"/>
          <w:w w:val="80"/>
          <w:sz w:val="14"/>
        </w:rPr>
        <w:t>L.,</w:t>
      </w:r>
      <w:r>
        <w:rPr>
          <w:rFonts w:ascii="Arial"/>
          <w:color w:val="231F20"/>
          <w:spacing w:val="-5"/>
          <w:sz w:val="14"/>
        </w:rPr>
        <w:t> </w:t>
      </w:r>
      <w:r>
        <w:rPr>
          <w:rFonts w:ascii="Arial"/>
          <w:color w:val="231F20"/>
          <w:w w:val="80"/>
          <w:sz w:val="14"/>
        </w:rPr>
        <w:t>I.</w:t>
      </w:r>
      <w:r>
        <w:rPr>
          <w:rFonts w:ascii="Arial"/>
          <w:color w:val="231F20"/>
          <w:spacing w:val="-5"/>
          <w:sz w:val="14"/>
        </w:rPr>
        <w:t> </w:t>
      </w:r>
      <w:r>
        <w:rPr>
          <w:rFonts w:ascii="Arial"/>
          <w:color w:val="231F20"/>
          <w:w w:val="80"/>
          <w:sz w:val="14"/>
        </w:rPr>
        <w:t>A.</w:t>
      </w:r>
      <w:r>
        <w:rPr>
          <w:rFonts w:ascii="Arial"/>
          <w:color w:val="231F20"/>
          <w:spacing w:val="1"/>
          <w:sz w:val="14"/>
        </w:rPr>
        <w:t> </w:t>
      </w:r>
      <w:r>
        <w:rPr>
          <w:rFonts w:ascii="Arial"/>
          <w:color w:val="231F20"/>
          <w:w w:val="80"/>
          <w:sz w:val="14"/>
        </w:rPr>
        <w:t>N.</w:t>
      </w:r>
      <w:r>
        <w:rPr>
          <w:rFonts w:ascii="Arial"/>
          <w:color w:val="231F20"/>
          <w:spacing w:val="1"/>
          <w:sz w:val="14"/>
        </w:rPr>
        <w:t> </w:t>
      </w:r>
      <w:r>
        <w:rPr>
          <w:rFonts w:ascii="Arial"/>
          <w:color w:val="231F20"/>
          <w:w w:val="80"/>
          <w:sz w:val="14"/>
        </w:rPr>
        <w:t>Ismail,</w:t>
      </w:r>
      <w:r>
        <w:rPr>
          <w:rFonts w:ascii="Arial"/>
          <w:color w:val="231F20"/>
          <w:spacing w:val="-5"/>
          <w:sz w:val="14"/>
        </w:rPr>
        <w:t> </w:t>
      </w:r>
      <w:r>
        <w:rPr>
          <w:rFonts w:ascii="Arial"/>
          <w:color w:val="231F20"/>
          <w:w w:val="80"/>
          <w:sz w:val="14"/>
        </w:rPr>
        <w:t>D.</w:t>
      </w:r>
      <w:r>
        <w:rPr>
          <w:rFonts w:ascii="Arial"/>
          <w:color w:val="231F20"/>
          <w:spacing w:val="1"/>
          <w:sz w:val="14"/>
        </w:rPr>
        <w:t> </w:t>
      </w:r>
      <w:r>
        <w:rPr>
          <w:rFonts w:ascii="Arial"/>
          <w:color w:val="231F20"/>
          <w:w w:val="80"/>
          <w:sz w:val="14"/>
        </w:rPr>
        <w:t>M.</w:t>
      </w:r>
      <w:r>
        <w:rPr>
          <w:rFonts w:ascii="Arial"/>
          <w:color w:val="231F20"/>
          <w:spacing w:val="1"/>
          <w:sz w:val="14"/>
        </w:rPr>
        <w:t> </w:t>
      </w:r>
      <w:r>
        <w:rPr>
          <w:rFonts w:ascii="Arial"/>
          <w:color w:val="231F20"/>
          <w:w w:val="80"/>
          <w:sz w:val="14"/>
        </w:rPr>
        <w:t>Refi,</w:t>
      </w:r>
      <w:r>
        <w:rPr>
          <w:rFonts w:ascii="Arial"/>
          <w:color w:val="231F20"/>
          <w:spacing w:val="-4"/>
          <w:w w:val="80"/>
          <w:sz w:val="14"/>
        </w:rPr>
        <w:t> </w:t>
      </w:r>
      <w:r>
        <w:rPr>
          <w:rFonts w:ascii="Arial"/>
          <w:color w:val="231F20"/>
          <w:w w:val="80"/>
          <w:sz w:val="14"/>
        </w:rPr>
        <w:t>A.</w:t>
      </w:r>
      <w:r>
        <w:rPr>
          <w:rFonts w:ascii="Arial"/>
          <w:color w:val="231F20"/>
          <w:spacing w:val="-5"/>
          <w:sz w:val="14"/>
        </w:rPr>
        <w:t> </w:t>
      </w:r>
      <w:r>
        <w:rPr>
          <w:rFonts w:ascii="Arial"/>
          <w:color w:val="231F20"/>
          <w:w w:val="80"/>
          <w:sz w:val="14"/>
        </w:rPr>
        <w:t>Almeman,</w:t>
      </w:r>
      <w:r>
        <w:rPr>
          <w:rFonts w:ascii="Arial"/>
          <w:color w:val="231F20"/>
          <w:spacing w:val="-5"/>
          <w:sz w:val="14"/>
        </w:rPr>
        <w:t> </w:t>
      </w:r>
      <w:r>
        <w:rPr>
          <w:rFonts w:ascii="Arial"/>
          <w:color w:val="231F20"/>
          <w:w w:val="80"/>
          <w:sz w:val="14"/>
        </w:rPr>
        <w:t>N.</w:t>
      </w:r>
      <w:r>
        <w:rPr>
          <w:rFonts w:ascii="Arial"/>
          <w:color w:val="231F20"/>
          <w:spacing w:val="1"/>
          <w:sz w:val="14"/>
        </w:rPr>
        <w:t> </w:t>
      </w:r>
      <w:r>
        <w:rPr>
          <w:rFonts w:ascii="Arial"/>
          <w:color w:val="231F20"/>
          <w:w w:val="80"/>
          <w:sz w:val="14"/>
        </w:rPr>
        <w:t>C.</w:t>
      </w:r>
      <w:r>
        <w:rPr>
          <w:rFonts w:ascii="Arial"/>
          <w:color w:val="231F20"/>
          <w:spacing w:val="-5"/>
          <w:sz w:val="14"/>
        </w:rPr>
        <w:t> </w:t>
      </w:r>
      <w:r>
        <w:rPr>
          <w:rFonts w:ascii="Arial"/>
          <w:color w:val="231F20"/>
          <w:w w:val="80"/>
          <w:sz w:val="14"/>
        </w:rPr>
        <w:t>Yaakob,</w:t>
      </w:r>
      <w:r>
        <w:rPr>
          <w:rFonts w:ascii="Arial"/>
          <w:color w:val="231F20"/>
          <w:spacing w:val="-5"/>
          <w:sz w:val="14"/>
        </w:rPr>
        <w:t> </w:t>
      </w:r>
      <w:r>
        <w:rPr>
          <w:rFonts w:ascii="Arial"/>
          <w:color w:val="231F20"/>
          <w:spacing w:val="-5"/>
          <w:w w:val="80"/>
          <w:sz w:val="14"/>
        </w:rPr>
        <w:t>K.</w:t>
      </w:r>
    </w:p>
    <w:p>
      <w:pPr>
        <w:spacing w:line="297" w:lineRule="auto" w:before="39"/>
        <w:ind w:left="4080" w:right="60" w:firstLine="0"/>
        <w:jc w:val="left"/>
        <w:rPr>
          <w:rFonts w:ascii="Arial" w:hAnsi="Arial"/>
          <w:sz w:val="14"/>
        </w:rPr>
      </w:pPr>
      <w:r>
        <w:rPr>
          <w:rFonts w:ascii="Arial" w:hAnsi="Arial"/>
          <w:color w:val="231F20"/>
          <w:w w:val="85"/>
          <w:sz w:val="14"/>
        </w:rPr>
        <w:t>M. Saman,</w:t>
      </w:r>
      <w:r>
        <w:rPr>
          <w:rFonts w:ascii="Arial" w:hAnsi="Arial"/>
          <w:color w:val="231F20"/>
          <w:spacing w:val="-4"/>
          <w:w w:val="85"/>
          <w:sz w:val="14"/>
        </w:rPr>
        <w:t> </w:t>
      </w:r>
      <w:r>
        <w:rPr>
          <w:rFonts w:ascii="Arial" w:hAnsi="Arial"/>
          <w:color w:val="231F20"/>
          <w:w w:val="85"/>
          <w:sz w:val="14"/>
        </w:rPr>
        <w:t>N. F. Mansor,</w:t>
      </w:r>
      <w:r>
        <w:rPr>
          <w:rFonts w:ascii="Arial" w:hAnsi="Arial"/>
          <w:color w:val="231F20"/>
          <w:spacing w:val="-4"/>
          <w:w w:val="85"/>
          <w:sz w:val="14"/>
        </w:rPr>
        <w:t> </w:t>
      </w:r>
      <w:r>
        <w:rPr>
          <w:rFonts w:ascii="Arial" w:hAnsi="Arial"/>
          <w:color w:val="231F20"/>
          <w:w w:val="85"/>
          <w:sz w:val="14"/>
        </w:rPr>
        <w:t>N. Noordin,</w:t>
      </w:r>
      <w:r>
        <w:rPr>
          <w:rFonts w:ascii="Arial" w:hAnsi="Arial"/>
          <w:color w:val="231F20"/>
          <w:spacing w:val="-4"/>
          <w:w w:val="85"/>
          <w:sz w:val="14"/>
        </w:rPr>
        <w:t> </w:t>
      </w:r>
      <w:r>
        <w:rPr>
          <w:rFonts w:ascii="Arial" w:hAnsi="Arial"/>
          <w:color w:val="231F20"/>
          <w:w w:val="85"/>
          <w:sz w:val="14"/>
        </w:rPr>
        <w:t>and Z. U. D. Babar. 2022.</w:t>
      </w:r>
      <w:r>
        <w:rPr>
          <w:rFonts w:ascii="Arial" w:hAnsi="Arial"/>
          <w:color w:val="231F20"/>
          <w:spacing w:val="40"/>
          <w:sz w:val="14"/>
        </w:rPr>
        <w:t> </w:t>
      </w:r>
      <w:r>
        <w:rPr>
          <w:rFonts w:ascii="Arial" w:hAnsi="Arial"/>
          <w:color w:val="231F20"/>
          <w:w w:val="75"/>
          <w:sz w:val="14"/>
        </w:rPr>
        <w:t>“Management</w:t>
      </w:r>
      <w:r>
        <w:rPr>
          <w:rFonts w:ascii="Arial" w:hAnsi="Arial"/>
          <w:color w:val="231F20"/>
          <w:sz w:val="14"/>
        </w:rPr>
        <w:t> </w:t>
      </w:r>
      <w:r>
        <w:rPr>
          <w:rFonts w:ascii="Arial" w:hAnsi="Arial"/>
          <w:color w:val="231F20"/>
          <w:w w:val="75"/>
          <w:sz w:val="14"/>
        </w:rPr>
        <w:t>of</w:t>
      </w:r>
      <w:r>
        <w:rPr>
          <w:rFonts w:ascii="Arial" w:hAnsi="Arial"/>
          <w:color w:val="231F20"/>
          <w:sz w:val="14"/>
        </w:rPr>
        <w:t> </w:t>
      </w:r>
      <w:r>
        <w:rPr>
          <w:rFonts w:ascii="Arial" w:hAnsi="Arial"/>
          <w:color w:val="231F20"/>
          <w:w w:val="75"/>
          <w:sz w:val="14"/>
        </w:rPr>
        <w:t>COVID-19 Vaccines</w:t>
      </w:r>
      <w:r>
        <w:rPr>
          <w:rFonts w:ascii="Arial" w:hAnsi="Arial"/>
          <w:color w:val="231F20"/>
          <w:sz w:val="14"/>
        </w:rPr>
        <w:t> </w:t>
      </w:r>
      <w:r>
        <w:rPr>
          <w:rFonts w:ascii="Arial" w:hAnsi="Arial"/>
          <w:color w:val="231F20"/>
          <w:w w:val="75"/>
          <w:sz w:val="14"/>
        </w:rPr>
        <w:t>Cold</w:t>
      </w:r>
      <w:r>
        <w:rPr>
          <w:rFonts w:ascii="Arial" w:hAnsi="Arial"/>
          <w:color w:val="231F20"/>
          <w:sz w:val="14"/>
        </w:rPr>
        <w:t> </w:t>
      </w:r>
      <w:r>
        <w:rPr>
          <w:rFonts w:ascii="Arial" w:hAnsi="Arial"/>
          <w:color w:val="231F20"/>
          <w:w w:val="75"/>
          <w:sz w:val="14"/>
        </w:rPr>
        <w:t>Chain</w:t>
      </w:r>
      <w:r>
        <w:rPr>
          <w:rFonts w:ascii="Arial" w:hAnsi="Arial"/>
          <w:color w:val="231F20"/>
          <w:sz w:val="14"/>
        </w:rPr>
        <w:t> </w:t>
      </w:r>
      <w:r>
        <w:rPr>
          <w:rFonts w:ascii="Arial" w:hAnsi="Arial"/>
          <w:color w:val="231F20"/>
          <w:w w:val="75"/>
          <w:sz w:val="14"/>
        </w:rPr>
        <w:t>Logistics: A</w:t>
      </w:r>
      <w:r>
        <w:rPr>
          <w:rFonts w:ascii="Arial" w:hAnsi="Arial"/>
          <w:color w:val="231F20"/>
          <w:sz w:val="14"/>
        </w:rPr>
        <w:t> </w:t>
      </w:r>
      <w:r>
        <w:rPr>
          <w:rFonts w:ascii="Arial" w:hAnsi="Arial"/>
          <w:color w:val="231F20"/>
          <w:w w:val="75"/>
          <w:sz w:val="14"/>
        </w:rPr>
        <w:t>Scoping</w:t>
      </w:r>
      <w:r>
        <w:rPr>
          <w:rFonts w:ascii="Arial" w:hAnsi="Arial"/>
          <w:color w:val="231F20"/>
          <w:spacing w:val="40"/>
          <w:sz w:val="14"/>
        </w:rPr>
        <w:t> </w:t>
      </w:r>
      <w:r>
        <w:rPr>
          <w:rFonts w:ascii="Arial" w:hAnsi="Arial"/>
          <w:color w:val="231F20"/>
          <w:w w:val="80"/>
          <w:sz w:val="14"/>
        </w:rPr>
        <w:t>Review.”</w:t>
      </w:r>
      <w:r>
        <w:rPr>
          <w:rFonts w:ascii="Arial" w:hAnsi="Arial"/>
          <w:color w:val="231F20"/>
          <w:spacing w:val="-4"/>
          <w:w w:val="80"/>
          <w:sz w:val="14"/>
        </w:rPr>
        <w:t> </w:t>
      </w:r>
      <w:r>
        <w:rPr>
          <w:rFonts w:ascii="Arial" w:hAnsi="Arial"/>
          <w:i/>
          <w:color w:val="231F20"/>
          <w:w w:val="80"/>
          <w:sz w:val="14"/>
        </w:rPr>
        <w:t>Journal</w:t>
      </w:r>
      <w:r>
        <w:rPr>
          <w:rFonts w:ascii="Arial" w:hAnsi="Arial"/>
          <w:i/>
          <w:color w:val="231F20"/>
          <w:spacing w:val="-2"/>
          <w:w w:val="80"/>
          <w:sz w:val="14"/>
        </w:rPr>
        <w:t> </w:t>
      </w:r>
      <w:r>
        <w:rPr>
          <w:rFonts w:ascii="Arial" w:hAnsi="Arial"/>
          <w:i/>
          <w:color w:val="231F20"/>
          <w:w w:val="80"/>
          <w:sz w:val="14"/>
        </w:rPr>
        <w:t>of</w:t>
      </w:r>
      <w:r>
        <w:rPr>
          <w:rFonts w:ascii="Arial" w:hAnsi="Arial"/>
          <w:i/>
          <w:color w:val="231F20"/>
          <w:spacing w:val="-2"/>
          <w:w w:val="80"/>
          <w:sz w:val="14"/>
        </w:rPr>
        <w:t> </w:t>
      </w:r>
      <w:r>
        <w:rPr>
          <w:rFonts w:ascii="Arial" w:hAnsi="Arial"/>
          <w:i/>
          <w:color w:val="231F20"/>
          <w:w w:val="80"/>
          <w:sz w:val="14"/>
        </w:rPr>
        <w:t>Pharmaceutical</w:t>
      </w:r>
      <w:r>
        <w:rPr>
          <w:rFonts w:ascii="Arial" w:hAnsi="Arial"/>
          <w:i/>
          <w:color w:val="231F20"/>
          <w:spacing w:val="-2"/>
          <w:w w:val="80"/>
          <w:sz w:val="14"/>
        </w:rPr>
        <w:t> </w:t>
      </w:r>
      <w:r>
        <w:rPr>
          <w:rFonts w:ascii="Arial" w:hAnsi="Arial"/>
          <w:i/>
          <w:color w:val="231F20"/>
          <w:w w:val="80"/>
          <w:sz w:val="14"/>
        </w:rPr>
        <w:t>Policy</w:t>
      </w:r>
      <w:r>
        <w:rPr>
          <w:rFonts w:ascii="Arial" w:hAnsi="Arial"/>
          <w:i/>
          <w:color w:val="231F20"/>
          <w:spacing w:val="-1"/>
          <w:w w:val="80"/>
          <w:sz w:val="14"/>
        </w:rPr>
        <w:t> </w:t>
      </w:r>
      <w:r>
        <w:rPr>
          <w:rFonts w:ascii="Arial" w:hAnsi="Arial"/>
          <w:i/>
          <w:color w:val="231F20"/>
          <w:w w:val="80"/>
          <w:sz w:val="14"/>
        </w:rPr>
        <w:t>and</w:t>
      </w:r>
      <w:r>
        <w:rPr>
          <w:rFonts w:ascii="Arial" w:hAnsi="Arial"/>
          <w:i/>
          <w:color w:val="231F20"/>
          <w:spacing w:val="-2"/>
          <w:w w:val="80"/>
          <w:sz w:val="14"/>
        </w:rPr>
        <w:t> </w:t>
      </w:r>
      <w:r>
        <w:rPr>
          <w:rFonts w:ascii="Arial" w:hAnsi="Arial"/>
          <w:i/>
          <w:color w:val="231F20"/>
          <w:w w:val="80"/>
          <w:sz w:val="14"/>
        </w:rPr>
        <w:t>Practice</w:t>
      </w:r>
      <w:r>
        <w:rPr>
          <w:rFonts w:ascii="Arial" w:hAnsi="Arial"/>
          <w:i/>
          <w:color w:val="231F20"/>
          <w:spacing w:val="-2"/>
          <w:w w:val="80"/>
          <w:sz w:val="14"/>
        </w:rPr>
        <w:t> </w:t>
      </w:r>
      <w:r>
        <w:rPr>
          <w:rFonts w:ascii="Arial" w:hAnsi="Arial"/>
          <w:color w:val="231F20"/>
          <w:w w:val="80"/>
          <w:sz w:val="14"/>
        </w:rPr>
        <w:t>15</w:t>
      </w:r>
      <w:r>
        <w:rPr>
          <w:rFonts w:ascii="Arial" w:hAnsi="Arial"/>
          <w:color w:val="231F20"/>
          <w:spacing w:val="-2"/>
          <w:w w:val="80"/>
          <w:sz w:val="14"/>
        </w:rPr>
        <w:t> </w:t>
      </w:r>
      <w:r>
        <w:rPr>
          <w:rFonts w:ascii="Arial" w:hAnsi="Arial"/>
          <w:color w:val="231F20"/>
          <w:w w:val="80"/>
          <w:sz w:val="14"/>
        </w:rPr>
        <w:t>(1):</w:t>
      </w:r>
      <w:r>
        <w:rPr>
          <w:rFonts w:ascii="Arial" w:hAnsi="Arial"/>
          <w:color w:val="231F20"/>
          <w:spacing w:val="-4"/>
          <w:w w:val="80"/>
          <w:sz w:val="14"/>
        </w:rPr>
        <w:t> </w:t>
      </w:r>
      <w:r>
        <w:rPr>
          <w:rFonts w:ascii="Arial" w:hAnsi="Arial"/>
          <w:color w:val="231F20"/>
          <w:w w:val="80"/>
          <w:sz w:val="14"/>
        </w:rPr>
        <w:t>1–14.</w:t>
      </w:r>
      <w:r>
        <w:rPr>
          <w:rFonts w:ascii="Arial" w:hAnsi="Arial"/>
          <w:color w:val="231F20"/>
          <w:spacing w:val="40"/>
          <w:sz w:val="14"/>
        </w:rPr>
        <w:t> </w:t>
      </w:r>
      <w:hyperlink r:id="rId194">
        <w:r>
          <w:rPr>
            <w:rFonts w:ascii="Arial" w:hAnsi="Arial"/>
            <w:color w:val="231F20"/>
            <w:spacing w:val="-2"/>
            <w:w w:val="85"/>
            <w:sz w:val="14"/>
          </w:rPr>
          <w:t>https://joppp.biomedcentral.com/articles/10.1186/s40545-022</w:t>
        </w:r>
      </w:hyperlink>
    </w:p>
    <w:p>
      <w:pPr>
        <w:spacing w:before="1"/>
        <w:ind w:left="4080" w:right="0" w:firstLine="0"/>
        <w:jc w:val="left"/>
        <w:rPr>
          <w:rFonts w:ascii="Arial"/>
          <w:sz w:val="14"/>
        </w:rPr>
      </w:pPr>
      <w:hyperlink r:id="rId194">
        <w:r>
          <w:rPr>
            <w:rFonts w:ascii="Arial"/>
            <w:color w:val="231F20"/>
            <w:w w:val="85"/>
            <w:sz w:val="14"/>
          </w:rPr>
          <w:t>-00411-</w:t>
        </w:r>
        <w:r>
          <w:rPr>
            <w:rFonts w:ascii="Arial"/>
            <w:color w:val="231F20"/>
            <w:spacing w:val="-5"/>
            <w:w w:val="85"/>
            <w:sz w:val="14"/>
          </w:rPr>
          <w:t>5</w:t>
        </w:r>
      </w:hyperlink>
      <w:r>
        <w:rPr>
          <w:rFonts w:ascii="Arial"/>
          <w:color w:val="231F20"/>
          <w:spacing w:val="-5"/>
          <w:w w:val="85"/>
          <w:sz w:val="14"/>
        </w:rPr>
        <w:t>.</w:t>
      </w:r>
    </w:p>
    <w:p>
      <w:pPr>
        <w:spacing w:line="297" w:lineRule="auto" w:before="39"/>
        <w:ind w:left="4080" w:right="-1" w:hanging="240"/>
        <w:jc w:val="left"/>
        <w:rPr>
          <w:rFonts w:ascii="Arial" w:hAnsi="Arial"/>
          <w:sz w:val="14"/>
        </w:rPr>
      </w:pPr>
      <w:r>
        <w:rPr>
          <w:rFonts w:ascii="Arial" w:hAnsi="Arial"/>
          <w:color w:val="231F20"/>
          <w:w w:val="85"/>
          <w:sz w:val="14"/>
        </w:rPr>
        <w:t>Fleming,</w:t>
      </w:r>
      <w:r>
        <w:rPr>
          <w:rFonts w:ascii="Arial" w:hAnsi="Arial"/>
          <w:color w:val="231F20"/>
          <w:spacing w:val="-1"/>
          <w:w w:val="85"/>
          <w:sz w:val="14"/>
        </w:rPr>
        <w:t> </w:t>
      </w:r>
      <w:r>
        <w:rPr>
          <w:rFonts w:ascii="Arial" w:hAnsi="Arial"/>
          <w:color w:val="231F20"/>
          <w:w w:val="85"/>
          <w:sz w:val="14"/>
        </w:rPr>
        <w:t>M.,</w:t>
      </w:r>
      <w:r>
        <w:rPr>
          <w:rFonts w:ascii="Arial" w:hAnsi="Arial"/>
          <w:color w:val="231F20"/>
          <w:spacing w:val="-1"/>
          <w:w w:val="85"/>
          <w:sz w:val="14"/>
        </w:rPr>
        <w:t> </w:t>
      </w:r>
      <w:r>
        <w:rPr>
          <w:rFonts w:ascii="Arial" w:hAnsi="Arial"/>
          <w:color w:val="231F20"/>
          <w:w w:val="85"/>
          <w:sz w:val="14"/>
        </w:rPr>
        <w:t>P. Okebukola,</w:t>
      </w:r>
      <w:r>
        <w:rPr>
          <w:rFonts w:ascii="Arial" w:hAnsi="Arial"/>
          <w:color w:val="231F20"/>
          <w:spacing w:val="-1"/>
          <w:w w:val="85"/>
          <w:sz w:val="14"/>
        </w:rPr>
        <w:t> </w:t>
      </w:r>
      <w:r>
        <w:rPr>
          <w:rFonts w:ascii="Arial" w:hAnsi="Arial"/>
          <w:color w:val="231F20"/>
          <w:w w:val="85"/>
          <w:sz w:val="14"/>
        </w:rPr>
        <w:t>and K. Skiba. 2021.</w:t>
      </w:r>
      <w:r>
        <w:rPr>
          <w:rFonts w:ascii="Arial" w:hAnsi="Arial"/>
          <w:color w:val="231F20"/>
          <w:spacing w:val="-1"/>
          <w:w w:val="85"/>
          <w:sz w:val="14"/>
        </w:rPr>
        <w:t> </w:t>
      </w:r>
      <w:r>
        <w:rPr>
          <w:rFonts w:ascii="Arial" w:hAnsi="Arial"/>
          <w:color w:val="231F20"/>
          <w:w w:val="85"/>
          <w:sz w:val="14"/>
        </w:rPr>
        <w:t>“Port to Patient:</w:t>
      </w:r>
      <w:r>
        <w:rPr>
          <w:rFonts w:ascii="Arial" w:hAnsi="Arial"/>
          <w:color w:val="231F20"/>
          <w:spacing w:val="40"/>
          <w:sz w:val="14"/>
        </w:rPr>
        <w:t> </w:t>
      </w:r>
      <w:r>
        <w:rPr>
          <w:rFonts w:ascii="Arial" w:hAnsi="Arial"/>
          <w:color w:val="231F20"/>
          <w:w w:val="80"/>
          <w:sz w:val="14"/>
        </w:rPr>
        <w:t>Improving</w:t>
      </w:r>
      <w:r>
        <w:rPr>
          <w:rFonts w:ascii="Arial" w:hAnsi="Arial"/>
          <w:color w:val="231F20"/>
          <w:spacing w:val="-2"/>
          <w:w w:val="80"/>
          <w:sz w:val="14"/>
        </w:rPr>
        <w:t> </w:t>
      </w:r>
      <w:r>
        <w:rPr>
          <w:rFonts w:ascii="Arial" w:hAnsi="Arial"/>
          <w:color w:val="231F20"/>
          <w:w w:val="80"/>
          <w:sz w:val="14"/>
        </w:rPr>
        <w:t>Country</w:t>
      </w:r>
      <w:r>
        <w:rPr>
          <w:rFonts w:ascii="Arial" w:hAnsi="Arial"/>
          <w:color w:val="231F20"/>
          <w:spacing w:val="-2"/>
          <w:w w:val="80"/>
          <w:sz w:val="14"/>
        </w:rPr>
        <w:t> </w:t>
      </w:r>
      <w:r>
        <w:rPr>
          <w:rFonts w:ascii="Arial" w:hAnsi="Arial"/>
          <w:color w:val="231F20"/>
          <w:w w:val="80"/>
          <w:sz w:val="14"/>
        </w:rPr>
        <w:t>Cold</w:t>
      </w:r>
      <w:r>
        <w:rPr>
          <w:rFonts w:ascii="Arial" w:hAnsi="Arial"/>
          <w:color w:val="231F20"/>
          <w:spacing w:val="-2"/>
          <w:w w:val="80"/>
          <w:sz w:val="14"/>
        </w:rPr>
        <w:t> </w:t>
      </w:r>
      <w:r>
        <w:rPr>
          <w:rFonts w:ascii="Arial" w:hAnsi="Arial"/>
          <w:color w:val="231F20"/>
          <w:w w:val="80"/>
          <w:sz w:val="14"/>
        </w:rPr>
        <w:t>Chains</w:t>
      </w:r>
      <w:r>
        <w:rPr>
          <w:rFonts w:ascii="Arial" w:hAnsi="Arial"/>
          <w:color w:val="231F20"/>
          <w:spacing w:val="-2"/>
          <w:w w:val="80"/>
          <w:sz w:val="14"/>
        </w:rPr>
        <w:t> </w:t>
      </w:r>
      <w:r>
        <w:rPr>
          <w:rFonts w:ascii="Arial" w:hAnsi="Arial"/>
          <w:color w:val="231F20"/>
          <w:w w:val="80"/>
          <w:sz w:val="14"/>
        </w:rPr>
        <w:t>For</w:t>
      </w:r>
      <w:r>
        <w:rPr>
          <w:rFonts w:ascii="Arial" w:hAnsi="Arial"/>
          <w:color w:val="231F20"/>
          <w:spacing w:val="-2"/>
          <w:w w:val="80"/>
          <w:sz w:val="14"/>
        </w:rPr>
        <w:t> </w:t>
      </w:r>
      <w:r>
        <w:rPr>
          <w:rFonts w:ascii="Arial" w:hAnsi="Arial"/>
          <w:color w:val="231F20"/>
          <w:w w:val="80"/>
          <w:sz w:val="14"/>
        </w:rPr>
        <w:t>COVID-19</w:t>
      </w:r>
      <w:r>
        <w:rPr>
          <w:rFonts w:ascii="Arial" w:hAnsi="Arial"/>
          <w:color w:val="231F20"/>
          <w:spacing w:val="-3"/>
          <w:w w:val="80"/>
          <w:sz w:val="14"/>
        </w:rPr>
        <w:t> </w:t>
      </w:r>
      <w:r>
        <w:rPr>
          <w:rFonts w:ascii="Arial" w:hAnsi="Arial"/>
          <w:color w:val="231F20"/>
          <w:w w:val="80"/>
          <w:sz w:val="14"/>
        </w:rPr>
        <w:t>Vaccines.”</w:t>
      </w:r>
      <w:r>
        <w:rPr>
          <w:rFonts w:ascii="Arial" w:hAnsi="Arial"/>
          <w:color w:val="231F20"/>
          <w:spacing w:val="-4"/>
          <w:w w:val="80"/>
          <w:sz w:val="14"/>
        </w:rPr>
        <w:t> </w:t>
      </w:r>
      <w:r>
        <w:rPr>
          <w:rFonts w:ascii="Arial" w:hAnsi="Arial"/>
          <w:color w:val="231F20"/>
          <w:w w:val="80"/>
          <w:sz w:val="14"/>
        </w:rPr>
        <w:t>McKinsey</w:t>
      </w:r>
      <w:r>
        <w:rPr>
          <w:rFonts w:ascii="Arial" w:hAnsi="Arial"/>
          <w:color w:val="231F20"/>
          <w:spacing w:val="-2"/>
          <w:w w:val="80"/>
          <w:sz w:val="14"/>
        </w:rPr>
        <w:t> </w:t>
      </w:r>
      <w:r>
        <w:rPr>
          <w:rFonts w:ascii="Arial" w:hAnsi="Arial"/>
          <w:color w:val="231F20"/>
          <w:w w:val="80"/>
          <w:sz w:val="14"/>
        </w:rPr>
        <w:t>&amp;</w:t>
      </w:r>
      <w:r>
        <w:rPr>
          <w:rFonts w:ascii="Arial" w:hAnsi="Arial"/>
          <w:color w:val="231F20"/>
          <w:spacing w:val="40"/>
          <w:sz w:val="14"/>
        </w:rPr>
        <w:t> </w:t>
      </w:r>
      <w:r>
        <w:rPr>
          <w:rFonts w:ascii="Arial" w:hAnsi="Arial"/>
          <w:color w:val="231F20"/>
          <w:w w:val="75"/>
          <w:sz w:val="14"/>
        </w:rPr>
        <w:t>Company,</w:t>
      </w:r>
      <w:r>
        <w:rPr>
          <w:rFonts w:ascii="Arial" w:hAnsi="Arial"/>
          <w:color w:val="231F20"/>
          <w:spacing w:val="31"/>
          <w:sz w:val="14"/>
        </w:rPr>
        <w:t> </w:t>
      </w:r>
      <w:r>
        <w:rPr>
          <w:rFonts w:ascii="Arial" w:hAnsi="Arial"/>
          <w:color w:val="231F20"/>
          <w:w w:val="75"/>
          <w:sz w:val="14"/>
        </w:rPr>
        <w:t>14</w:t>
      </w:r>
      <w:r>
        <w:rPr>
          <w:rFonts w:ascii="Arial" w:hAnsi="Arial"/>
          <w:color w:val="231F20"/>
          <w:spacing w:val="45"/>
          <w:sz w:val="14"/>
        </w:rPr>
        <w:t> </w:t>
      </w:r>
      <w:r>
        <w:rPr>
          <w:rFonts w:ascii="Arial" w:hAnsi="Arial"/>
          <w:color w:val="231F20"/>
          <w:w w:val="75"/>
          <w:sz w:val="14"/>
        </w:rPr>
        <w:t>September.</w:t>
      </w:r>
      <w:r>
        <w:rPr>
          <w:rFonts w:ascii="Arial" w:hAnsi="Arial"/>
          <w:color w:val="231F20"/>
          <w:spacing w:val="32"/>
          <w:sz w:val="14"/>
        </w:rPr>
        <w:t> </w:t>
      </w:r>
      <w:hyperlink r:id="rId195">
        <w:r>
          <w:rPr>
            <w:rFonts w:ascii="Arial" w:hAnsi="Arial"/>
            <w:color w:val="231F20"/>
            <w:spacing w:val="-2"/>
            <w:w w:val="75"/>
            <w:sz w:val="14"/>
          </w:rPr>
          <w:t>https://www.mckinsey.com/industries/public</w:t>
        </w:r>
      </w:hyperlink>
    </w:p>
    <w:p>
      <w:pPr>
        <w:spacing w:before="102"/>
        <w:ind w:left="440" w:right="0" w:firstLine="0"/>
        <w:jc w:val="left"/>
        <w:rPr>
          <w:rFonts w:ascii="Arial"/>
          <w:sz w:val="14"/>
        </w:rPr>
      </w:pPr>
      <w:r>
        <w:rPr/>
        <w:br w:type="column"/>
      </w:r>
      <w:hyperlink r:id="rId195">
        <w:r>
          <w:rPr>
            <w:rFonts w:ascii="Arial"/>
            <w:color w:val="231F20"/>
            <w:w w:val="80"/>
            <w:sz w:val="14"/>
          </w:rPr>
          <w:t>-and-social-sector/our-insights/port-to-patient-improving-</w:t>
        </w:r>
        <w:r>
          <w:rPr>
            <w:rFonts w:ascii="Arial"/>
            <w:color w:val="231F20"/>
            <w:spacing w:val="-2"/>
            <w:w w:val="80"/>
            <w:sz w:val="14"/>
          </w:rPr>
          <w:t>country</w:t>
        </w:r>
      </w:hyperlink>
    </w:p>
    <w:p>
      <w:pPr>
        <w:spacing w:before="39"/>
        <w:ind w:left="440" w:right="0" w:firstLine="0"/>
        <w:jc w:val="left"/>
        <w:rPr>
          <w:rFonts w:ascii="Arial"/>
          <w:sz w:val="14"/>
        </w:rPr>
      </w:pPr>
      <w:hyperlink r:id="rId195">
        <w:r>
          <w:rPr>
            <w:rFonts w:ascii="Arial"/>
            <w:color w:val="231F20"/>
            <w:w w:val="80"/>
            <w:sz w:val="14"/>
          </w:rPr>
          <w:t>-cold-chains-for-covid-19-</w:t>
        </w:r>
        <w:r>
          <w:rPr>
            <w:rFonts w:ascii="Arial"/>
            <w:color w:val="231F20"/>
            <w:spacing w:val="-2"/>
            <w:w w:val="80"/>
            <w:sz w:val="14"/>
          </w:rPr>
          <w:t>vaccines</w:t>
        </w:r>
      </w:hyperlink>
      <w:r>
        <w:rPr>
          <w:rFonts w:ascii="Arial"/>
          <w:color w:val="231F20"/>
          <w:spacing w:val="-2"/>
          <w:w w:val="80"/>
          <w:sz w:val="14"/>
        </w:rPr>
        <w:t>.</w:t>
      </w:r>
    </w:p>
    <w:p>
      <w:pPr>
        <w:spacing w:line="297" w:lineRule="auto" w:before="39"/>
        <w:ind w:left="440" w:right="370" w:hanging="240"/>
        <w:jc w:val="left"/>
        <w:rPr>
          <w:rFonts w:ascii="Arial" w:hAnsi="Arial"/>
          <w:sz w:val="14"/>
        </w:rPr>
      </w:pPr>
      <w:r>
        <w:rPr>
          <w:rFonts w:ascii="Arial" w:hAnsi="Arial"/>
          <w:color w:val="231F20"/>
          <w:w w:val="85"/>
          <w:sz w:val="14"/>
        </w:rPr>
        <w:t>Gupta,</w:t>
      </w:r>
      <w:r>
        <w:rPr>
          <w:rFonts w:ascii="Arial" w:hAnsi="Arial"/>
          <w:color w:val="231F20"/>
          <w:spacing w:val="-2"/>
          <w:w w:val="85"/>
          <w:sz w:val="14"/>
        </w:rPr>
        <w:t> </w:t>
      </w:r>
      <w:r>
        <w:rPr>
          <w:rFonts w:ascii="Arial" w:hAnsi="Arial"/>
          <w:color w:val="231F20"/>
          <w:w w:val="85"/>
          <w:sz w:val="14"/>
        </w:rPr>
        <w:t>H.,</w:t>
      </w:r>
      <w:r>
        <w:rPr>
          <w:rFonts w:ascii="Arial" w:hAnsi="Arial"/>
          <w:color w:val="231F20"/>
          <w:spacing w:val="-2"/>
          <w:w w:val="85"/>
          <w:sz w:val="14"/>
        </w:rPr>
        <w:t> </w:t>
      </w:r>
      <w:r>
        <w:rPr>
          <w:rFonts w:ascii="Arial" w:hAnsi="Arial"/>
          <w:color w:val="231F20"/>
          <w:w w:val="85"/>
          <w:sz w:val="14"/>
        </w:rPr>
        <w:t>S. Kumar,</w:t>
      </w:r>
      <w:r>
        <w:rPr>
          <w:rFonts w:ascii="Arial" w:hAnsi="Arial"/>
          <w:color w:val="231F20"/>
          <w:spacing w:val="-2"/>
          <w:w w:val="85"/>
          <w:sz w:val="14"/>
        </w:rPr>
        <w:t> </w:t>
      </w:r>
      <w:r>
        <w:rPr>
          <w:rFonts w:ascii="Arial" w:hAnsi="Arial"/>
          <w:color w:val="231F20"/>
          <w:w w:val="85"/>
          <w:sz w:val="14"/>
        </w:rPr>
        <w:t>S. Kusi-Sarpong,</w:t>
      </w:r>
      <w:r>
        <w:rPr>
          <w:rFonts w:ascii="Arial" w:hAnsi="Arial"/>
          <w:color w:val="231F20"/>
          <w:spacing w:val="-2"/>
          <w:w w:val="85"/>
          <w:sz w:val="14"/>
        </w:rPr>
        <w:t> </w:t>
      </w:r>
      <w:r>
        <w:rPr>
          <w:rFonts w:ascii="Arial" w:hAnsi="Arial"/>
          <w:color w:val="231F20"/>
          <w:w w:val="85"/>
          <w:sz w:val="14"/>
        </w:rPr>
        <w:t>C. J. C. Jabbour,</w:t>
      </w:r>
      <w:r>
        <w:rPr>
          <w:rFonts w:ascii="Arial" w:hAnsi="Arial"/>
          <w:color w:val="231F20"/>
          <w:spacing w:val="-2"/>
          <w:w w:val="85"/>
          <w:sz w:val="14"/>
        </w:rPr>
        <w:t> </w:t>
      </w:r>
      <w:r>
        <w:rPr>
          <w:rFonts w:ascii="Arial" w:hAnsi="Arial"/>
          <w:color w:val="231F20"/>
          <w:w w:val="85"/>
          <w:sz w:val="14"/>
        </w:rPr>
        <w:t>and M.</w:t>
      </w:r>
      <w:r>
        <w:rPr>
          <w:rFonts w:ascii="Arial" w:hAnsi="Arial"/>
          <w:color w:val="231F20"/>
          <w:spacing w:val="40"/>
          <w:sz w:val="14"/>
        </w:rPr>
        <w:t> </w:t>
      </w:r>
      <w:r>
        <w:rPr>
          <w:rFonts w:ascii="Arial" w:hAnsi="Arial"/>
          <w:color w:val="231F20"/>
          <w:w w:val="80"/>
          <w:sz w:val="14"/>
        </w:rPr>
        <w:t>Agyemang.</w:t>
      </w:r>
      <w:r>
        <w:rPr>
          <w:rFonts w:ascii="Arial" w:hAnsi="Arial"/>
          <w:color w:val="231F20"/>
          <w:spacing w:val="-2"/>
          <w:w w:val="80"/>
          <w:sz w:val="14"/>
        </w:rPr>
        <w:t> </w:t>
      </w:r>
      <w:r>
        <w:rPr>
          <w:rFonts w:ascii="Arial" w:hAnsi="Arial"/>
          <w:color w:val="231F20"/>
          <w:w w:val="80"/>
          <w:sz w:val="14"/>
        </w:rPr>
        <w:t>2020.</w:t>
      </w:r>
      <w:r>
        <w:rPr>
          <w:rFonts w:ascii="Arial" w:hAnsi="Arial"/>
          <w:color w:val="231F20"/>
          <w:spacing w:val="-4"/>
          <w:w w:val="80"/>
          <w:sz w:val="14"/>
        </w:rPr>
        <w:t> </w:t>
      </w:r>
      <w:r>
        <w:rPr>
          <w:rFonts w:ascii="Arial" w:hAnsi="Arial"/>
          <w:color w:val="231F20"/>
          <w:w w:val="80"/>
          <w:sz w:val="14"/>
        </w:rPr>
        <w:t>“Enablers</w:t>
      </w:r>
      <w:r>
        <w:rPr>
          <w:rFonts w:ascii="Arial" w:hAnsi="Arial"/>
          <w:color w:val="231F20"/>
          <w:spacing w:val="-2"/>
          <w:w w:val="80"/>
          <w:sz w:val="14"/>
        </w:rPr>
        <w:t> </w:t>
      </w:r>
      <w:r>
        <w:rPr>
          <w:rFonts w:ascii="Arial" w:hAnsi="Arial"/>
          <w:color w:val="231F20"/>
          <w:w w:val="80"/>
          <w:sz w:val="14"/>
        </w:rPr>
        <w:t>to</w:t>
      </w:r>
      <w:r>
        <w:rPr>
          <w:rFonts w:ascii="Arial" w:hAnsi="Arial"/>
          <w:color w:val="231F20"/>
          <w:spacing w:val="-2"/>
          <w:w w:val="80"/>
          <w:sz w:val="14"/>
        </w:rPr>
        <w:t> </w:t>
      </w:r>
      <w:r>
        <w:rPr>
          <w:rFonts w:ascii="Arial" w:hAnsi="Arial"/>
          <w:color w:val="231F20"/>
          <w:w w:val="80"/>
          <w:sz w:val="14"/>
        </w:rPr>
        <w:t>Supply</w:t>
      </w:r>
      <w:r>
        <w:rPr>
          <w:rFonts w:ascii="Arial" w:hAnsi="Arial"/>
          <w:color w:val="231F20"/>
          <w:spacing w:val="-1"/>
          <w:w w:val="80"/>
          <w:sz w:val="14"/>
        </w:rPr>
        <w:t> </w:t>
      </w:r>
      <w:r>
        <w:rPr>
          <w:rFonts w:ascii="Arial" w:hAnsi="Arial"/>
          <w:color w:val="231F20"/>
          <w:w w:val="80"/>
          <w:sz w:val="14"/>
        </w:rPr>
        <w:t>Chain</w:t>
      </w:r>
      <w:r>
        <w:rPr>
          <w:rFonts w:ascii="Arial" w:hAnsi="Arial"/>
          <w:color w:val="231F20"/>
          <w:spacing w:val="-2"/>
          <w:w w:val="80"/>
          <w:sz w:val="14"/>
        </w:rPr>
        <w:t> </w:t>
      </w:r>
      <w:r>
        <w:rPr>
          <w:rFonts w:ascii="Arial" w:hAnsi="Arial"/>
          <w:color w:val="231F20"/>
          <w:w w:val="80"/>
          <w:sz w:val="14"/>
        </w:rPr>
        <w:t>Performance</w:t>
      </w:r>
      <w:r>
        <w:rPr>
          <w:rFonts w:ascii="Arial" w:hAnsi="Arial"/>
          <w:color w:val="231F20"/>
          <w:spacing w:val="-2"/>
          <w:w w:val="80"/>
          <w:sz w:val="14"/>
        </w:rPr>
        <w:t> </w:t>
      </w:r>
      <w:r>
        <w:rPr>
          <w:rFonts w:ascii="Arial" w:hAnsi="Arial"/>
          <w:color w:val="231F20"/>
          <w:w w:val="80"/>
          <w:sz w:val="14"/>
        </w:rPr>
        <w:t>on</w:t>
      </w:r>
      <w:r>
        <w:rPr>
          <w:rFonts w:ascii="Arial" w:hAnsi="Arial"/>
          <w:color w:val="231F20"/>
          <w:spacing w:val="-4"/>
          <w:w w:val="80"/>
          <w:sz w:val="14"/>
        </w:rPr>
        <w:t> </w:t>
      </w:r>
      <w:r>
        <w:rPr>
          <w:rFonts w:ascii="Arial" w:hAnsi="Arial"/>
          <w:color w:val="231F20"/>
          <w:w w:val="80"/>
          <w:sz w:val="14"/>
        </w:rPr>
        <w:t>The</w:t>
      </w:r>
      <w:r>
        <w:rPr>
          <w:rFonts w:ascii="Arial" w:hAnsi="Arial"/>
          <w:color w:val="231F20"/>
          <w:spacing w:val="40"/>
          <w:sz w:val="14"/>
        </w:rPr>
        <w:t> </w:t>
      </w:r>
      <w:r>
        <w:rPr>
          <w:rFonts w:ascii="Arial" w:hAnsi="Arial"/>
          <w:color w:val="231F20"/>
          <w:w w:val="80"/>
          <w:sz w:val="14"/>
        </w:rPr>
        <w:t>Basis</w:t>
      </w:r>
      <w:r>
        <w:rPr>
          <w:rFonts w:ascii="Arial" w:hAnsi="Arial"/>
          <w:color w:val="231F20"/>
          <w:spacing w:val="-2"/>
          <w:w w:val="80"/>
          <w:sz w:val="14"/>
        </w:rPr>
        <w:t> </w:t>
      </w:r>
      <w:r>
        <w:rPr>
          <w:rFonts w:ascii="Arial" w:hAnsi="Arial"/>
          <w:color w:val="231F20"/>
          <w:w w:val="80"/>
          <w:sz w:val="14"/>
        </w:rPr>
        <w:t>of</w:t>
      </w:r>
      <w:r>
        <w:rPr>
          <w:rFonts w:ascii="Arial" w:hAnsi="Arial"/>
          <w:color w:val="231F20"/>
          <w:spacing w:val="-2"/>
          <w:w w:val="80"/>
          <w:sz w:val="14"/>
        </w:rPr>
        <w:t> </w:t>
      </w:r>
      <w:r>
        <w:rPr>
          <w:rFonts w:ascii="Arial" w:hAnsi="Arial"/>
          <w:color w:val="231F20"/>
          <w:w w:val="80"/>
          <w:sz w:val="14"/>
        </w:rPr>
        <w:t>Digitization</w:t>
      </w:r>
      <w:r>
        <w:rPr>
          <w:rFonts w:ascii="Arial" w:hAnsi="Arial"/>
          <w:color w:val="231F20"/>
          <w:spacing w:val="-4"/>
          <w:w w:val="80"/>
          <w:sz w:val="14"/>
        </w:rPr>
        <w:t> </w:t>
      </w:r>
      <w:r>
        <w:rPr>
          <w:rFonts w:ascii="Arial" w:hAnsi="Arial"/>
          <w:color w:val="231F20"/>
          <w:w w:val="80"/>
          <w:sz w:val="14"/>
        </w:rPr>
        <w:t>Technologies.”</w:t>
      </w:r>
      <w:r>
        <w:rPr>
          <w:rFonts w:ascii="Arial" w:hAnsi="Arial"/>
          <w:color w:val="231F20"/>
          <w:spacing w:val="-3"/>
          <w:w w:val="80"/>
          <w:sz w:val="14"/>
        </w:rPr>
        <w:t> </w:t>
      </w:r>
      <w:r>
        <w:rPr>
          <w:rFonts w:ascii="Arial" w:hAnsi="Arial"/>
          <w:i/>
          <w:color w:val="231F20"/>
          <w:w w:val="80"/>
          <w:sz w:val="14"/>
        </w:rPr>
        <w:t>Industrial</w:t>
      </w:r>
      <w:r>
        <w:rPr>
          <w:rFonts w:ascii="Arial" w:hAnsi="Arial"/>
          <w:i/>
          <w:color w:val="231F20"/>
          <w:spacing w:val="-2"/>
          <w:w w:val="80"/>
          <w:sz w:val="14"/>
        </w:rPr>
        <w:t> </w:t>
      </w:r>
      <w:r>
        <w:rPr>
          <w:rFonts w:ascii="Arial" w:hAnsi="Arial"/>
          <w:i/>
          <w:color w:val="231F20"/>
          <w:w w:val="80"/>
          <w:sz w:val="14"/>
        </w:rPr>
        <w:t>Management</w:t>
      </w:r>
      <w:r>
        <w:rPr>
          <w:rFonts w:ascii="Arial" w:hAnsi="Arial"/>
          <w:i/>
          <w:color w:val="231F20"/>
          <w:spacing w:val="-2"/>
          <w:w w:val="80"/>
          <w:sz w:val="14"/>
        </w:rPr>
        <w:t> </w:t>
      </w:r>
      <w:r>
        <w:rPr>
          <w:rFonts w:ascii="Arial" w:hAnsi="Arial"/>
          <w:i/>
          <w:color w:val="231F20"/>
          <w:w w:val="80"/>
          <w:sz w:val="14"/>
        </w:rPr>
        <w:t>&amp;</w:t>
      </w:r>
      <w:r>
        <w:rPr>
          <w:rFonts w:ascii="Arial" w:hAnsi="Arial"/>
          <w:i/>
          <w:color w:val="231F20"/>
          <w:spacing w:val="-2"/>
          <w:w w:val="80"/>
          <w:sz w:val="14"/>
        </w:rPr>
        <w:t> </w:t>
      </w:r>
      <w:r>
        <w:rPr>
          <w:rFonts w:ascii="Arial" w:hAnsi="Arial"/>
          <w:i/>
          <w:color w:val="231F20"/>
          <w:w w:val="80"/>
          <w:sz w:val="14"/>
        </w:rPr>
        <w:t>Data</w:t>
      </w:r>
      <w:r>
        <w:rPr>
          <w:rFonts w:ascii="Arial" w:hAnsi="Arial"/>
          <w:i/>
          <w:color w:val="231F20"/>
          <w:spacing w:val="40"/>
          <w:sz w:val="14"/>
        </w:rPr>
        <w:t> </w:t>
      </w:r>
      <w:r>
        <w:rPr>
          <w:rFonts w:ascii="Arial" w:hAnsi="Arial"/>
          <w:i/>
          <w:color w:val="231F20"/>
          <w:w w:val="90"/>
          <w:sz w:val="14"/>
        </w:rPr>
        <w:t>Systems</w:t>
      </w:r>
      <w:r>
        <w:rPr>
          <w:rFonts w:ascii="Arial" w:hAnsi="Arial"/>
          <w:i/>
          <w:color w:val="231F20"/>
          <w:spacing w:val="-5"/>
          <w:w w:val="90"/>
          <w:sz w:val="14"/>
        </w:rPr>
        <w:t> </w:t>
      </w:r>
      <w:r>
        <w:rPr>
          <w:rFonts w:ascii="Arial" w:hAnsi="Arial"/>
          <w:color w:val="231F20"/>
          <w:w w:val="90"/>
          <w:sz w:val="14"/>
        </w:rPr>
        <w:t>121</w:t>
      </w:r>
      <w:r>
        <w:rPr>
          <w:rFonts w:ascii="Arial" w:hAnsi="Arial"/>
          <w:color w:val="231F20"/>
          <w:spacing w:val="-4"/>
          <w:w w:val="90"/>
          <w:sz w:val="14"/>
        </w:rPr>
        <w:t> </w:t>
      </w:r>
      <w:r>
        <w:rPr>
          <w:rFonts w:ascii="Arial" w:hAnsi="Arial"/>
          <w:color w:val="231F20"/>
          <w:w w:val="90"/>
          <w:sz w:val="14"/>
        </w:rPr>
        <w:t>(9):</w:t>
      </w:r>
      <w:r>
        <w:rPr>
          <w:rFonts w:ascii="Arial" w:hAnsi="Arial"/>
          <w:color w:val="231F20"/>
          <w:spacing w:val="-8"/>
          <w:w w:val="90"/>
          <w:sz w:val="14"/>
        </w:rPr>
        <w:t> </w:t>
      </w:r>
      <w:r>
        <w:rPr>
          <w:rFonts w:ascii="Arial" w:hAnsi="Arial"/>
          <w:color w:val="231F20"/>
          <w:w w:val="90"/>
          <w:sz w:val="14"/>
        </w:rPr>
        <w:t>1915–1938.</w:t>
      </w:r>
    </w:p>
    <w:p>
      <w:pPr>
        <w:spacing w:line="297" w:lineRule="auto" w:before="2"/>
        <w:ind w:left="440" w:right="0" w:hanging="240"/>
        <w:jc w:val="left"/>
        <w:rPr>
          <w:rFonts w:ascii="Arial" w:hAnsi="Arial"/>
          <w:sz w:val="14"/>
        </w:rPr>
      </w:pPr>
      <w:r>
        <w:rPr>
          <w:rFonts w:ascii="Arial" w:hAnsi="Arial"/>
          <w:color w:val="231F20"/>
          <w:w w:val="80"/>
          <w:sz w:val="14"/>
        </w:rPr>
        <w:t>Handley,</w:t>
      </w:r>
      <w:r>
        <w:rPr>
          <w:rFonts w:ascii="Arial" w:hAnsi="Arial"/>
          <w:color w:val="231F20"/>
          <w:spacing w:val="-4"/>
          <w:w w:val="80"/>
          <w:sz w:val="14"/>
        </w:rPr>
        <w:t> </w:t>
      </w:r>
      <w:r>
        <w:rPr>
          <w:rFonts w:ascii="Arial" w:hAnsi="Arial"/>
          <w:color w:val="231F20"/>
          <w:w w:val="80"/>
          <w:sz w:val="14"/>
        </w:rPr>
        <w:t>K.,</w:t>
      </w:r>
      <w:r>
        <w:rPr>
          <w:rFonts w:ascii="Arial" w:hAnsi="Arial"/>
          <w:color w:val="231F20"/>
          <w:spacing w:val="-3"/>
          <w:w w:val="80"/>
          <w:sz w:val="14"/>
        </w:rPr>
        <w:t> </w:t>
      </w:r>
      <w:r>
        <w:rPr>
          <w:rFonts w:ascii="Arial" w:hAnsi="Arial"/>
          <w:color w:val="231F20"/>
          <w:w w:val="80"/>
          <w:sz w:val="14"/>
        </w:rPr>
        <w:t>and</w:t>
      </w:r>
      <w:r>
        <w:rPr>
          <w:rFonts w:ascii="Arial" w:hAnsi="Arial"/>
          <w:color w:val="231F20"/>
          <w:spacing w:val="-1"/>
          <w:w w:val="80"/>
          <w:sz w:val="14"/>
        </w:rPr>
        <w:t> </w:t>
      </w:r>
      <w:r>
        <w:rPr>
          <w:rFonts w:ascii="Arial" w:hAnsi="Arial"/>
          <w:color w:val="231F20"/>
          <w:w w:val="80"/>
          <w:sz w:val="14"/>
        </w:rPr>
        <w:t>N.</w:t>
      </w:r>
      <w:r>
        <w:rPr>
          <w:rFonts w:ascii="Arial" w:hAnsi="Arial"/>
          <w:color w:val="231F20"/>
          <w:spacing w:val="-7"/>
          <w:sz w:val="14"/>
        </w:rPr>
        <w:t> </w:t>
      </w:r>
      <w:r>
        <w:rPr>
          <w:rFonts w:ascii="Arial" w:hAnsi="Arial"/>
          <w:color w:val="231F20"/>
          <w:w w:val="80"/>
          <w:sz w:val="14"/>
        </w:rPr>
        <w:t>Limão.</w:t>
      </w:r>
      <w:r>
        <w:rPr>
          <w:rFonts w:ascii="Arial" w:hAnsi="Arial"/>
          <w:color w:val="231F20"/>
          <w:spacing w:val="-7"/>
          <w:sz w:val="14"/>
        </w:rPr>
        <w:t> </w:t>
      </w:r>
      <w:r>
        <w:rPr>
          <w:rFonts w:ascii="Arial" w:hAnsi="Arial"/>
          <w:color w:val="231F20"/>
          <w:w w:val="80"/>
          <w:sz w:val="14"/>
        </w:rPr>
        <w:t>2017.</w:t>
      </w:r>
      <w:r>
        <w:rPr>
          <w:rFonts w:ascii="Arial" w:hAnsi="Arial"/>
          <w:color w:val="231F20"/>
          <w:spacing w:val="-4"/>
          <w:w w:val="80"/>
          <w:sz w:val="14"/>
        </w:rPr>
        <w:t> </w:t>
      </w:r>
      <w:r>
        <w:rPr>
          <w:rFonts w:ascii="Arial" w:hAnsi="Arial"/>
          <w:color w:val="231F20"/>
          <w:w w:val="80"/>
          <w:sz w:val="14"/>
        </w:rPr>
        <w:t>“Policy</w:t>
      </w:r>
      <w:r>
        <w:rPr>
          <w:rFonts w:ascii="Arial" w:hAnsi="Arial"/>
          <w:color w:val="231F20"/>
          <w:spacing w:val="-6"/>
          <w:sz w:val="14"/>
        </w:rPr>
        <w:t> </w:t>
      </w:r>
      <w:r>
        <w:rPr>
          <w:rFonts w:ascii="Arial" w:hAnsi="Arial"/>
          <w:color w:val="231F20"/>
          <w:w w:val="80"/>
          <w:sz w:val="14"/>
        </w:rPr>
        <w:t>Uncertainty,</w:t>
      </w:r>
      <w:r>
        <w:rPr>
          <w:rFonts w:ascii="Arial" w:hAnsi="Arial"/>
          <w:color w:val="231F20"/>
          <w:spacing w:val="-9"/>
          <w:w w:val="80"/>
          <w:sz w:val="14"/>
        </w:rPr>
        <w:t> </w:t>
      </w:r>
      <w:r>
        <w:rPr>
          <w:rFonts w:ascii="Arial" w:hAnsi="Arial"/>
          <w:color w:val="231F20"/>
          <w:w w:val="80"/>
          <w:sz w:val="14"/>
        </w:rPr>
        <w:t>Trade,</w:t>
      </w:r>
      <w:r>
        <w:rPr>
          <w:rFonts w:ascii="Arial" w:hAnsi="Arial"/>
          <w:color w:val="231F20"/>
          <w:spacing w:val="-3"/>
          <w:w w:val="80"/>
          <w:sz w:val="14"/>
        </w:rPr>
        <w:t> </w:t>
      </w:r>
      <w:r>
        <w:rPr>
          <w:rFonts w:ascii="Arial" w:hAnsi="Arial"/>
          <w:color w:val="231F20"/>
          <w:w w:val="80"/>
          <w:sz w:val="14"/>
        </w:rPr>
        <w:t>and</w:t>
      </w:r>
      <w:r>
        <w:rPr>
          <w:rFonts w:ascii="Arial" w:hAnsi="Arial"/>
          <w:color w:val="231F20"/>
          <w:spacing w:val="-3"/>
          <w:w w:val="80"/>
          <w:sz w:val="14"/>
        </w:rPr>
        <w:t> </w:t>
      </w:r>
      <w:r>
        <w:rPr>
          <w:rFonts w:ascii="Arial" w:hAnsi="Arial"/>
          <w:color w:val="231F20"/>
          <w:w w:val="80"/>
          <w:sz w:val="14"/>
        </w:rPr>
        <w:t>Welfare:</w:t>
      </w:r>
      <w:r>
        <w:rPr>
          <w:rFonts w:ascii="Arial" w:hAnsi="Arial"/>
          <w:color w:val="231F20"/>
          <w:spacing w:val="40"/>
          <w:sz w:val="14"/>
        </w:rPr>
        <w:t> </w:t>
      </w:r>
      <w:r>
        <w:rPr>
          <w:rFonts w:ascii="Arial" w:hAnsi="Arial"/>
          <w:color w:val="231F20"/>
          <w:w w:val="80"/>
          <w:sz w:val="14"/>
        </w:rPr>
        <w:t>Theory and Evidence for China and The United States.” </w:t>
      </w:r>
      <w:r>
        <w:rPr>
          <w:rFonts w:ascii="Arial" w:hAnsi="Arial"/>
          <w:i/>
          <w:color w:val="231F20"/>
          <w:w w:val="80"/>
          <w:sz w:val="14"/>
        </w:rPr>
        <w:t>American</w:t>
      </w:r>
      <w:r>
        <w:rPr>
          <w:rFonts w:ascii="Arial" w:hAnsi="Arial"/>
          <w:i/>
          <w:color w:val="231F20"/>
          <w:spacing w:val="40"/>
          <w:sz w:val="14"/>
        </w:rPr>
        <w:t> </w:t>
      </w:r>
      <w:r>
        <w:rPr>
          <w:rFonts w:ascii="Arial" w:hAnsi="Arial"/>
          <w:i/>
          <w:color w:val="231F20"/>
          <w:w w:val="85"/>
          <w:sz w:val="14"/>
        </w:rPr>
        <w:t>Economic Review </w:t>
      </w:r>
      <w:r>
        <w:rPr>
          <w:rFonts w:ascii="Arial" w:hAnsi="Arial"/>
          <w:color w:val="231F20"/>
          <w:w w:val="85"/>
          <w:sz w:val="14"/>
        </w:rPr>
        <w:t>107 (9): 2731–83.</w:t>
      </w:r>
    </w:p>
    <w:p>
      <w:pPr>
        <w:spacing w:line="297" w:lineRule="auto" w:before="1"/>
        <w:ind w:left="440" w:right="300" w:hanging="240"/>
        <w:jc w:val="left"/>
        <w:rPr>
          <w:rFonts w:ascii="Arial" w:hAnsi="Arial"/>
          <w:sz w:val="14"/>
        </w:rPr>
      </w:pPr>
      <w:r>
        <w:rPr>
          <w:rFonts w:ascii="Arial" w:hAnsi="Arial"/>
          <w:color w:val="231F20"/>
          <w:w w:val="85"/>
          <w:sz w:val="14"/>
        </w:rPr>
        <w:t>Helble,</w:t>
      </w:r>
      <w:r>
        <w:rPr>
          <w:rFonts w:ascii="Arial" w:hAnsi="Arial"/>
          <w:color w:val="231F20"/>
          <w:spacing w:val="-5"/>
          <w:w w:val="85"/>
          <w:sz w:val="14"/>
        </w:rPr>
        <w:t> </w:t>
      </w:r>
      <w:r>
        <w:rPr>
          <w:rFonts w:ascii="Arial" w:hAnsi="Arial"/>
          <w:color w:val="231F20"/>
          <w:w w:val="85"/>
          <w:sz w:val="14"/>
        </w:rPr>
        <w:t>M.,</w:t>
      </w:r>
      <w:r>
        <w:rPr>
          <w:rFonts w:ascii="Arial" w:hAnsi="Arial"/>
          <w:color w:val="231F20"/>
          <w:spacing w:val="-5"/>
          <w:w w:val="85"/>
          <w:sz w:val="14"/>
        </w:rPr>
        <w:t> </w:t>
      </w:r>
      <w:r>
        <w:rPr>
          <w:rFonts w:ascii="Arial" w:hAnsi="Arial"/>
          <w:color w:val="231F20"/>
          <w:w w:val="85"/>
          <w:sz w:val="14"/>
        </w:rPr>
        <w:t>and B. Shepherd. 2017. </w:t>
      </w:r>
      <w:r>
        <w:rPr>
          <w:rFonts w:ascii="Arial" w:hAnsi="Arial"/>
          <w:i/>
          <w:color w:val="231F20"/>
          <w:w w:val="85"/>
          <w:sz w:val="14"/>
        </w:rPr>
        <w:t>Win–Win.</w:t>
      </w:r>
      <w:r>
        <w:rPr>
          <w:rFonts w:ascii="Arial" w:hAnsi="Arial"/>
          <w:i/>
          <w:color w:val="231F20"/>
          <w:spacing w:val="-5"/>
          <w:w w:val="85"/>
          <w:sz w:val="14"/>
        </w:rPr>
        <w:t> </w:t>
      </w:r>
      <w:r>
        <w:rPr>
          <w:rFonts w:ascii="Arial" w:hAnsi="Arial"/>
          <w:i/>
          <w:color w:val="231F20"/>
          <w:w w:val="85"/>
          <w:sz w:val="14"/>
        </w:rPr>
        <w:t>How International</w:t>
      </w:r>
      <w:r>
        <w:rPr>
          <w:rFonts w:ascii="Arial" w:hAnsi="Arial"/>
          <w:i/>
          <w:color w:val="231F20"/>
          <w:spacing w:val="40"/>
          <w:sz w:val="14"/>
        </w:rPr>
        <w:t> </w:t>
      </w:r>
      <w:r>
        <w:rPr>
          <w:rFonts w:ascii="Arial" w:hAnsi="Arial"/>
          <w:i/>
          <w:color w:val="231F20"/>
          <w:w w:val="75"/>
          <w:sz w:val="14"/>
        </w:rPr>
        <w:t>Trade</w:t>
      </w:r>
      <w:r>
        <w:rPr>
          <w:rFonts w:ascii="Arial" w:hAnsi="Arial"/>
          <w:i/>
          <w:color w:val="231F20"/>
          <w:sz w:val="14"/>
        </w:rPr>
        <w:t> </w:t>
      </w:r>
      <w:r>
        <w:rPr>
          <w:rFonts w:ascii="Arial" w:hAnsi="Arial"/>
          <w:i/>
          <w:color w:val="231F20"/>
          <w:w w:val="75"/>
          <w:sz w:val="14"/>
        </w:rPr>
        <w:t>Can</w:t>
      </w:r>
      <w:r>
        <w:rPr>
          <w:rFonts w:ascii="Arial" w:hAnsi="Arial"/>
          <w:i/>
          <w:color w:val="231F20"/>
          <w:sz w:val="14"/>
        </w:rPr>
        <w:t> </w:t>
      </w:r>
      <w:r>
        <w:rPr>
          <w:rFonts w:ascii="Arial" w:hAnsi="Arial"/>
          <w:i/>
          <w:color w:val="231F20"/>
          <w:w w:val="75"/>
          <w:sz w:val="14"/>
        </w:rPr>
        <w:t>Help</w:t>
      </w:r>
      <w:r>
        <w:rPr>
          <w:rFonts w:ascii="Arial" w:hAnsi="Arial"/>
          <w:i/>
          <w:color w:val="231F20"/>
          <w:sz w:val="14"/>
        </w:rPr>
        <w:t> </w:t>
      </w:r>
      <w:r>
        <w:rPr>
          <w:rFonts w:ascii="Arial" w:hAnsi="Arial"/>
          <w:i/>
          <w:color w:val="231F20"/>
          <w:w w:val="75"/>
          <w:sz w:val="14"/>
        </w:rPr>
        <w:t>Meet</w:t>
      </w:r>
      <w:r>
        <w:rPr>
          <w:rFonts w:ascii="Arial" w:hAnsi="Arial"/>
          <w:i/>
          <w:color w:val="231F20"/>
          <w:sz w:val="14"/>
        </w:rPr>
        <w:t> </w:t>
      </w:r>
      <w:r>
        <w:rPr>
          <w:rFonts w:ascii="Arial" w:hAnsi="Arial"/>
          <w:i/>
          <w:color w:val="231F20"/>
          <w:w w:val="75"/>
          <w:sz w:val="14"/>
        </w:rPr>
        <w:t>the</w:t>
      </w:r>
      <w:r>
        <w:rPr>
          <w:rFonts w:ascii="Arial" w:hAnsi="Arial"/>
          <w:i/>
          <w:color w:val="231F20"/>
          <w:sz w:val="14"/>
        </w:rPr>
        <w:t> </w:t>
      </w:r>
      <w:r>
        <w:rPr>
          <w:rFonts w:ascii="Arial" w:hAnsi="Arial"/>
          <w:i/>
          <w:color w:val="231F20"/>
          <w:w w:val="75"/>
          <w:sz w:val="14"/>
        </w:rPr>
        <w:t>Sustainable</w:t>
      </w:r>
      <w:r>
        <w:rPr>
          <w:rFonts w:ascii="Arial" w:hAnsi="Arial"/>
          <w:i/>
          <w:color w:val="231F20"/>
          <w:sz w:val="14"/>
        </w:rPr>
        <w:t> </w:t>
      </w:r>
      <w:r>
        <w:rPr>
          <w:rFonts w:ascii="Arial" w:hAnsi="Arial"/>
          <w:i/>
          <w:color w:val="231F20"/>
          <w:w w:val="75"/>
          <w:sz w:val="14"/>
        </w:rPr>
        <w:t>Development</w:t>
      </w:r>
      <w:r>
        <w:rPr>
          <w:rFonts w:ascii="Arial" w:hAnsi="Arial"/>
          <w:i/>
          <w:color w:val="231F20"/>
          <w:sz w:val="14"/>
        </w:rPr>
        <w:t> </w:t>
      </w:r>
      <w:r>
        <w:rPr>
          <w:rFonts w:ascii="Arial" w:hAnsi="Arial"/>
          <w:i/>
          <w:color w:val="231F20"/>
          <w:w w:val="75"/>
          <w:sz w:val="14"/>
        </w:rPr>
        <w:t>Goals</w:t>
      </w:r>
      <w:r>
        <w:rPr>
          <w:rFonts w:ascii="Arial" w:hAnsi="Arial"/>
          <w:color w:val="231F20"/>
          <w:w w:val="75"/>
          <w:sz w:val="14"/>
        </w:rPr>
        <w:t>.</w:t>
      </w:r>
      <w:r>
        <w:rPr>
          <w:rFonts w:ascii="Arial" w:hAnsi="Arial"/>
          <w:color w:val="231F20"/>
          <w:spacing w:val="-1"/>
          <w:w w:val="75"/>
          <w:sz w:val="14"/>
        </w:rPr>
        <w:t> </w:t>
      </w:r>
      <w:r>
        <w:rPr>
          <w:rFonts w:ascii="Arial" w:hAnsi="Arial"/>
          <w:color w:val="231F20"/>
          <w:w w:val="75"/>
          <w:sz w:val="14"/>
        </w:rPr>
        <w:t>Asian</w:t>
      </w:r>
    </w:p>
    <w:p>
      <w:pPr>
        <w:spacing w:before="1"/>
        <w:ind w:left="440" w:right="0" w:firstLine="0"/>
        <w:jc w:val="left"/>
        <w:rPr>
          <w:rFonts w:ascii="Arial"/>
          <w:sz w:val="14"/>
        </w:rPr>
      </w:pPr>
      <w:r>
        <w:rPr>
          <w:rFonts w:ascii="Arial"/>
          <w:color w:val="231F20"/>
          <w:w w:val="75"/>
          <w:sz w:val="14"/>
        </w:rPr>
        <w:t>Development</w:t>
      </w:r>
      <w:r>
        <w:rPr>
          <w:rFonts w:ascii="Arial"/>
          <w:color w:val="231F20"/>
          <w:spacing w:val="43"/>
          <w:sz w:val="14"/>
        </w:rPr>
        <w:t> </w:t>
      </w:r>
      <w:r>
        <w:rPr>
          <w:rFonts w:ascii="Arial"/>
          <w:color w:val="231F20"/>
          <w:w w:val="75"/>
          <w:sz w:val="14"/>
        </w:rPr>
        <w:t>Bank</w:t>
      </w:r>
      <w:r>
        <w:rPr>
          <w:rFonts w:ascii="Arial"/>
          <w:color w:val="231F20"/>
          <w:spacing w:val="46"/>
          <w:sz w:val="14"/>
        </w:rPr>
        <w:t> </w:t>
      </w:r>
      <w:r>
        <w:rPr>
          <w:rFonts w:ascii="Arial"/>
          <w:color w:val="231F20"/>
          <w:w w:val="75"/>
          <w:sz w:val="14"/>
        </w:rPr>
        <w:t>Institute.</w:t>
      </w:r>
      <w:r>
        <w:rPr>
          <w:rFonts w:ascii="Arial"/>
          <w:color w:val="231F20"/>
          <w:spacing w:val="33"/>
          <w:sz w:val="14"/>
        </w:rPr>
        <w:t> </w:t>
      </w:r>
      <w:hyperlink r:id="rId196">
        <w:r>
          <w:rPr>
            <w:rFonts w:ascii="Arial"/>
            <w:color w:val="231F20"/>
            <w:spacing w:val="-2"/>
            <w:w w:val="75"/>
            <w:sz w:val="14"/>
          </w:rPr>
          <w:t>https://www.adb.org/sites/default/files</w:t>
        </w:r>
      </w:hyperlink>
    </w:p>
    <w:p>
      <w:pPr>
        <w:spacing w:before="39"/>
        <w:ind w:left="440" w:right="0" w:firstLine="0"/>
        <w:jc w:val="left"/>
        <w:rPr>
          <w:rFonts w:ascii="Arial"/>
          <w:sz w:val="14"/>
        </w:rPr>
      </w:pPr>
      <w:hyperlink r:id="rId196">
        <w:r>
          <w:rPr>
            <w:rFonts w:ascii="Arial"/>
            <w:color w:val="231F20"/>
            <w:w w:val="80"/>
            <w:sz w:val="14"/>
          </w:rPr>
          <w:t>/publication/327451/adbi-win-win-how-international-trade-can-</w:t>
        </w:r>
        <w:r>
          <w:rPr>
            <w:rFonts w:ascii="Arial"/>
            <w:color w:val="231F20"/>
            <w:spacing w:val="-4"/>
            <w:w w:val="80"/>
            <w:sz w:val="14"/>
          </w:rPr>
          <w:t>help</w:t>
        </w:r>
      </w:hyperlink>
    </w:p>
    <w:p>
      <w:pPr>
        <w:spacing w:before="39"/>
        <w:ind w:left="440" w:right="0" w:firstLine="0"/>
        <w:jc w:val="left"/>
        <w:rPr>
          <w:rFonts w:ascii="Arial"/>
          <w:sz w:val="14"/>
        </w:rPr>
      </w:pPr>
      <w:hyperlink r:id="rId196">
        <w:r>
          <w:rPr>
            <w:rFonts w:ascii="Arial"/>
            <w:color w:val="231F20"/>
            <w:w w:val="80"/>
            <w:sz w:val="14"/>
          </w:rPr>
          <w:t>-meet-</w:t>
        </w:r>
        <w:r>
          <w:rPr>
            <w:rFonts w:ascii="Arial"/>
            <w:color w:val="231F20"/>
            <w:spacing w:val="-2"/>
            <w:w w:val="80"/>
            <w:sz w:val="14"/>
          </w:rPr>
          <w:t>sdgs.pdf#page=394</w:t>
        </w:r>
      </w:hyperlink>
      <w:r>
        <w:rPr>
          <w:rFonts w:ascii="Arial"/>
          <w:color w:val="231F20"/>
          <w:spacing w:val="-2"/>
          <w:w w:val="80"/>
          <w:sz w:val="14"/>
        </w:rPr>
        <w:t>.</w:t>
      </w:r>
    </w:p>
    <w:p>
      <w:pPr>
        <w:spacing w:before="39"/>
        <w:ind w:left="200" w:right="0" w:firstLine="0"/>
        <w:jc w:val="left"/>
        <w:rPr>
          <w:rFonts w:ascii="Arial"/>
          <w:sz w:val="14"/>
        </w:rPr>
      </w:pPr>
      <w:r>
        <w:rPr>
          <w:rFonts w:ascii="Arial"/>
          <w:color w:val="231F20"/>
          <w:w w:val="80"/>
          <w:sz w:val="14"/>
        </w:rPr>
        <w:t>Hristova,</w:t>
      </w:r>
      <w:r>
        <w:rPr>
          <w:rFonts w:ascii="Arial"/>
          <w:color w:val="231F20"/>
          <w:sz w:val="14"/>
        </w:rPr>
        <w:t> </w:t>
      </w:r>
      <w:r>
        <w:rPr>
          <w:rFonts w:ascii="Arial"/>
          <w:color w:val="231F20"/>
          <w:w w:val="80"/>
          <w:sz w:val="14"/>
        </w:rPr>
        <w:t>D.,</w:t>
      </w:r>
      <w:r>
        <w:rPr>
          <w:rFonts w:ascii="Arial"/>
          <w:color w:val="231F20"/>
          <w:spacing w:val="-6"/>
          <w:sz w:val="14"/>
        </w:rPr>
        <w:t> </w:t>
      </w:r>
      <w:r>
        <w:rPr>
          <w:rFonts w:ascii="Arial"/>
          <w:color w:val="231F20"/>
          <w:w w:val="80"/>
          <w:sz w:val="14"/>
        </w:rPr>
        <w:t>A.</w:t>
      </w:r>
      <w:r>
        <w:rPr>
          <w:rFonts w:ascii="Arial"/>
          <w:color w:val="231F20"/>
          <w:spacing w:val="8"/>
          <w:sz w:val="14"/>
        </w:rPr>
        <w:t> </w:t>
      </w:r>
      <w:r>
        <w:rPr>
          <w:rFonts w:ascii="Arial"/>
          <w:color w:val="231F20"/>
          <w:w w:val="80"/>
          <w:sz w:val="14"/>
        </w:rPr>
        <w:t>Rutherford,</w:t>
      </w:r>
      <w:r>
        <w:rPr>
          <w:rFonts w:ascii="Arial"/>
          <w:color w:val="231F20"/>
          <w:sz w:val="14"/>
        </w:rPr>
        <w:t> </w:t>
      </w:r>
      <w:r>
        <w:rPr>
          <w:rFonts w:ascii="Arial"/>
          <w:color w:val="231F20"/>
          <w:w w:val="80"/>
          <w:sz w:val="14"/>
        </w:rPr>
        <w:t>J.</w:t>
      </w:r>
      <w:r>
        <w:rPr>
          <w:rFonts w:ascii="Arial"/>
          <w:color w:val="231F20"/>
          <w:spacing w:val="1"/>
          <w:sz w:val="14"/>
        </w:rPr>
        <w:t> </w:t>
      </w:r>
      <w:r>
        <w:rPr>
          <w:rFonts w:ascii="Arial"/>
          <w:color w:val="231F20"/>
          <w:w w:val="80"/>
          <w:sz w:val="14"/>
        </w:rPr>
        <w:t>Anson,</w:t>
      </w:r>
      <w:r>
        <w:rPr>
          <w:rFonts w:ascii="Arial"/>
          <w:color w:val="231F20"/>
          <w:spacing w:val="1"/>
          <w:sz w:val="14"/>
        </w:rPr>
        <w:t> </w:t>
      </w:r>
      <w:r>
        <w:rPr>
          <w:rFonts w:ascii="Arial"/>
          <w:color w:val="231F20"/>
          <w:w w:val="80"/>
          <w:sz w:val="14"/>
        </w:rPr>
        <w:t>M.</w:t>
      </w:r>
      <w:r>
        <w:rPr>
          <w:rFonts w:ascii="Arial"/>
          <w:color w:val="231F20"/>
          <w:spacing w:val="7"/>
          <w:sz w:val="14"/>
        </w:rPr>
        <w:t> </w:t>
      </w:r>
      <w:r>
        <w:rPr>
          <w:rFonts w:ascii="Arial"/>
          <w:color w:val="231F20"/>
          <w:w w:val="80"/>
          <w:sz w:val="14"/>
        </w:rPr>
        <w:t>Luengo-Oroz,</w:t>
      </w:r>
      <w:r>
        <w:rPr>
          <w:rFonts w:ascii="Arial"/>
          <w:color w:val="231F20"/>
          <w:spacing w:val="1"/>
          <w:sz w:val="14"/>
        </w:rPr>
        <w:t> </w:t>
      </w:r>
      <w:r>
        <w:rPr>
          <w:rFonts w:ascii="Arial"/>
          <w:color w:val="231F20"/>
          <w:w w:val="80"/>
          <w:sz w:val="14"/>
        </w:rPr>
        <w:t>and</w:t>
      </w:r>
      <w:r>
        <w:rPr>
          <w:rFonts w:ascii="Arial"/>
          <w:color w:val="231F20"/>
          <w:spacing w:val="8"/>
          <w:sz w:val="14"/>
        </w:rPr>
        <w:t> </w:t>
      </w:r>
      <w:r>
        <w:rPr>
          <w:rFonts w:ascii="Arial"/>
          <w:color w:val="231F20"/>
          <w:w w:val="80"/>
          <w:sz w:val="14"/>
        </w:rPr>
        <w:t>C.</w:t>
      </w:r>
      <w:r>
        <w:rPr>
          <w:rFonts w:ascii="Arial"/>
          <w:color w:val="231F20"/>
          <w:spacing w:val="8"/>
          <w:sz w:val="14"/>
        </w:rPr>
        <w:t> </w:t>
      </w:r>
      <w:r>
        <w:rPr>
          <w:rFonts w:ascii="Arial"/>
          <w:color w:val="231F20"/>
          <w:spacing w:val="-2"/>
          <w:w w:val="80"/>
          <w:sz w:val="14"/>
        </w:rPr>
        <w:t>Mascolo.</w:t>
      </w:r>
    </w:p>
    <w:p>
      <w:pPr>
        <w:spacing w:line="297" w:lineRule="auto" w:before="39"/>
        <w:ind w:left="440" w:right="300" w:firstLine="0"/>
        <w:jc w:val="left"/>
        <w:rPr>
          <w:rFonts w:ascii="Arial" w:hAnsi="Arial"/>
          <w:sz w:val="14"/>
        </w:rPr>
      </w:pPr>
      <w:r>
        <w:rPr>
          <w:rFonts w:ascii="Arial" w:hAnsi="Arial"/>
          <w:color w:val="231F20"/>
          <w:spacing w:val="-2"/>
          <w:w w:val="80"/>
          <w:sz w:val="14"/>
        </w:rPr>
        <w:t>2016. “The</w:t>
      </w:r>
      <w:r>
        <w:rPr>
          <w:rFonts w:ascii="Arial" w:hAnsi="Arial"/>
          <w:color w:val="231F20"/>
          <w:spacing w:val="-2"/>
          <w:sz w:val="14"/>
        </w:rPr>
        <w:t> </w:t>
      </w:r>
      <w:r>
        <w:rPr>
          <w:rFonts w:ascii="Arial" w:hAnsi="Arial"/>
          <w:color w:val="231F20"/>
          <w:spacing w:val="-2"/>
          <w:w w:val="80"/>
          <w:sz w:val="14"/>
        </w:rPr>
        <w:t>International</w:t>
      </w:r>
      <w:r>
        <w:rPr>
          <w:rFonts w:ascii="Arial" w:hAnsi="Arial"/>
          <w:color w:val="231F20"/>
          <w:spacing w:val="-2"/>
          <w:sz w:val="14"/>
        </w:rPr>
        <w:t> </w:t>
      </w:r>
      <w:r>
        <w:rPr>
          <w:rFonts w:ascii="Arial" w:hAnsi="Arial"/>
          <w:color w:val="231F20"/>
          <w:spacing w:val="-2"/>
          <w:w w:val="80"/>
          <w:sz w:val="14"/>
        </w:rPr>
        <w:t>Postal</w:t>
      </w:r>
      <w:r>
        <w:rPr>
          <w:rFonts w:ascii="Arial" w:hAnsi="Arial"/>
          <w:color w:val="231F20"/>
          <w:spacing w:val="-2"/>
          <w:sz w:val="14"/>
        </w:rPr>
        <w:t> </w:t>
      </w:r>
      <w:r>
        <w:rPr>
          <w:rFonts w:ascii="Arial" w:hAnsi="Arial"/>
          <w:color w:val="231F20"/>
          <w:spacing w:val="-2"/>
          <w:w w:val="80"/>
          <w:sz w:val="14"/>
        </w:rPr>
        <w:t>Network</w:t>
      </w:r>
      <w:r>
        <w:rPr>
          <w:rFonts w:ascii="Arial" w:hAnsi="Arial"/>
          <w:color w:val="231F20"/>
          <w:spacing w:val="-2"/>
          <w:sz w:val="14"/>
        </w:rPr>
        <w:t> </w:t>
      </w:r>
      <w:r>
        <w:rPr>
          <w:rFonts w:ascii="Arial" w:hAnsi="Arial"/>
          <w:color w:val="231F20"/>
          <w:spacing w:val="-2"/>
          <w:w w:val="80"/>
          <w:sz w:val="14"/>
        </w:rPr>
        <w:t>and</w:t>
      </w:r>
      <w:r>
        <w:rPr>
          <w:rFonts w:ascii="Arial" w:hAnsi="Arial"/>
          <w:color w:val="231F20"/>
          <w:spacing w:val="-2"/>
          <w:sz w:val="14"/>
        </w:rPr>
        <w:t> </w:t>
      </w:r>
      <w:r>
        <w:rPr>
          <w:rFonts w:ascii="Arial" w:hAnsi="Arial"/>
          <w:color w:val="231F20"/>
          <w:spacing w:val="-2"/>
          <w:w w:val="80"/>
          <w:sz w:val="14"/>
        </w:rPr>
        <w:t>Other</w:t>
      </w:r>
      <w:r>
        <w:rPr>
          <w:rFonts w:ascii="Arial" w:hAnsi="Arial"/>
          <w:color w:val="231F20"/>
          <w:spacing w:val="-2"/>
          <w:sz w:val="14"/>
        </w:rPr>
        <w:t> </w:t>
      </w:r>
      <w:r>
        <w:rPr>
          <w:rFonts w:ascii="Arial" w:hAnsi="Arial"/>
          <w:color w:val="231F20"/>
          <w:spacing w:val="-2"/>
          <w:w w:val="80"/>
          <w:sz w:val="14"/>
        </w:rPr>
        <w:t>Global</w:t>
      </w:r>
      <w:r>
        <w:rPr>
          <w:rFonts w:ascii="Arial" w:hAnsi="Arial"/>
          <w:color w:val="231F20"/>
          <w:spacing w:val="-2"/>
          <w:sz w:val="14"/>
        </w:rPr>
        <w:t> </w:t>
      </w:r>
      <w:r>
        <w:rPr>
          <w:rFonts w:ascii="Arial" w:hAnsi="Arial"/>
          <w:color w:val="231F20"/>
          <w:spacing w:val="-2"/>
          <w:w w:val="80"/>
          <w:sz w:val="14"/>
        </w:rPr>
        <w:t>Flows</w:t>
      </w:r>
      <w:r>
        <w:rPr>
          <w:rFonts w:ascii="Arial" w:hAnsi="Arial"/>
          <w:color w:val="231F20"/>
          <w:spacing w:val="-2"/>
          <w:sz w:val="14"/>
        </w:rPr>
        <w:t> </w:t>
      </w:r>
      <w:r>
        <w:rPr>
          <w:rFonts w:ascii="Arial" w:hAnsi="Arial"/>
          <w:color w:val="231F20"/>
          <w:spacing w:val="-2"/>
          <w:w w:val="80"/>
          <w:sz w:val="14"/>
        </w:rPr>
        <w:t>as</w:t>
      </w:r>
      <w:r>
        <w:rPr>
          <w:rFonts w:ascii="Arial" w:hAnsi="Arial"/>
          <w:color w:val="231F20"/>
          <w:spacing w:val="40"/>
          <w:sz w:val="14"/>
        </w:rPr>
        <w:t> </w:t>
      </w:r>
      <w:r>
        <w:rPr>
          <w:rFonts w:ascii="Arial" w:hAnsi="Arial"/>
          <w:color w:val="231F20"/>
          <w:spacing w:val="-2"/>
          <w:w w:val="85"/>
          <w:sz w:val="14"/>
        </w:rPr>
        <w:t>Proxies</w:t>
      </w:r>
      <w:r>
        <w:rPr>
          <w:rFonts w:ascii="Arial" w:hAnsi="Arial"/>
          <w:color w:val="231F20"/>
          <w:spacing w:val="-1"/>
          <w:sz w:val="14"/>
        </w:rPr>
        <w:t> </w:t>
      </w:r>
      <w:r>
        <w:rPr>
          <w:rFonts w:ascii="Arial" w:hAnsi="Arial"/>
          <w:color w:val="231F20"/>
          <w:spacing w:val="-2"/>
          <w:w w:val="85"/>
          <w:sz w:val="14"/>
        </w:rPr>
        <w:t>for</w:t>
      </w:r>
      <w:r>
        <w:rPr>
          <w:rFonts w:ascii="Arial" w:hAnsi="Arial"/>
          <w:color w:val="231F20"/>
          <w:spacing w:val="-1"/>
          <w:sz w:val="14"/>
        </w:rPr>
        <w:t> </w:t>
      </w:r>
      <w:r>
        <w:rPr>
          <w:rFonts w:ascii="Arial" w:hAnsi="Arial"/>
          <w:color w:val="231F20"/>
          <w:spacing w:val="-2"/>
          <w:w w:val="85"/>
          <w:sz w:val="14"/>
        </w:rPr>
        <w:t>National Wellbeing.” </w:t>
      </w:r>
      <w:r>
        <w:rPr>
          <w:rFonts w:ascii="Arial" w:hAnsi="Arial"/>
          <w:i/>
          <w:color w:val="231F20"/>
          <w:spacing w:val="-2"/>
          <w:w w:val="85"/>
          <w:sz w:val="14"/>
        </w:rPr>
        <w:t>PloS</w:t>
      </w:r>
      <w:r>
        <w:rPr>
          <w:rFonts w:ascii="Arial" w:hAnsi="Arial"/>
          <w:i/>
          <w:color w:val="231F20"/>
          <w:spacing w:val="-1"/>
          <w:sz w:val="14"/>
        </w:rPr>
        <w:t> </w:t>
      </w:r>
      <w:r>
        <w:rPr>
          <w:rFonts w:ascii="Arial" w:hAnsi="Arial"/>
          <w:i/>
          <w:color w:val="231F20"/>
          <w:spacing w:val="-2"/>
          <w:w w:val="85"/>
          <w:sz w:val="14"/>
        </w:rPr>
        <w:t>One</w:t>
      </w:r>
      <w:r>
        <w:rPr>
          <w:rFonts w:ascii="Arial" w:hAnsi="Arial"/>
          <w:i/>
          <w:color w:val="231F20"/>
          <w:spacing w:val="-1"/>
          <w:sz w:val="14"/>
        </w:rPr>
        <w:t> </w:t>
      </w:r>
      <w:r>
        <w:rPr>
          <w:rFonts w:ascii="Arial" w:hAnsi="Arial"/>
          <w:color w:val="231F20"/>
          <w:spacing w:val="-2"/>
          <w:w w:val="85"/>
          <w:sz w:val="14"/>
        </w:rPr>
        <w:t>11</w:t>
      </w:r>
      <w:r>
        <w:rPr>
          <w:rFonts w:ascii="Arial" w:hAnsi="Arial"/>
          <w:color w:val="231F20"/>
          <w:spacing w:val="-1"/>
          <w:sz w:val="14"/>
        </w:rPr>
        <w:t> </w:t>
      </w:r>
      <w:r>
        <w:rPr>
          <w:rFonts w:ascii="Arial" w:hAnsi="Arial"/>
          <w:color w:val="231F20"/>
          <w:spacing w:val="-2"/>
          <w:w w:val="85"/>
          <w:sz w:val="14"/>
        </w:rPr>
        <w:t>(6): e0155976.</w:t>
      </w:r>
    </w:p>
    <w:p>
      <w:pPr>
        <w:spacing w:before="1"/>
        <w:ind w:left="200" w:right="0" w:firstLine="0"/>
        <w:jc w:val="left"/>
        <w:rPr>
          <w:rFonts w:ascii="Arial" w:hAnsi="Arial"/>
          <w:sz w:val="14"/>
        </w:rPr>
      </w:pPr>
      <w:r>
        <w:rPr>
          <w:rFonts w:ascii="Arial" w:hAnsi="Arial"/>
          <w:color w:val="231F20"/>
          <w:w w:val="80"/>
          <w:sz w:val="14"/>
        </w:rPr>
        <w:t>Hummels,</w:t>
      </w:r>
      <w:r>
        <w:rPr>
          <w:rFonts w:ascii="Arial" w:hAnsi="Arial"/>
          <w:color w:val="231F20"/>
          <w:spacing w:val="-2"/>
          <w:w w:val="80"/>
          <w:sz w:val="14"/>
        </w:rPr>
        <w:t> </w:t>
      </w:r>
      <w:r>
        <w:rPr>
          <w:rFonts w:ascii="Arial" w:hAnsi="Arial"/>
          <w:color w:val="231F20"/>
          <w:w w:val="80"/>
          <w:sz w:val="14"/>
        </w:rPr>
        <w:t>D.</w:t>
      </w:r>
      <w:r>
        <w:rPr>
          <w:rFonts w:ascii="Arial" w:hAnsi="Arial"/>
          <w:color w:val="231F20"/>
          <w:spacing w:val="-3"/>
          <w:sz w:val="14"/>
        </w:rPr>
        <w:t> </w:t>
      </w:r>
      <w:r>
        <w:rPr>
          <w:rFonts w:ascii="Arial" w:hAnsi="Arial"/>
          <w:color w:val="231F20"/>
          <w:w w:val="80"/>
          <w:sz w:val="14"/>
        </w:rPr>
        <w:t>L.,</w:t>
      </w:r>
      <w:r>
        <w:rPr>
          <w:rFonts w:ascii="Arial" w:hAnsi="Arial"/>
          <w:color w:val="231F20"/>
          <w:spacing w:val="-1"/>
          <w:w w:val="80"/>
          <w:sz w:val="14"/>
        </w:rPr>
        <w:t> </w:t>
      </w:r>
      <w:r>
        <w:rPr>
          <w:rFonts w:ascii="Arial" w:hAnsi="Arial"/>
          <w:color w:val="231F20"/>
          <w:w w:val="80"/>
          <w:sz w:val="14"/>
        </w:rPr>
        <w:t>and</w:t>
      </w:r>
      <w:r>
        <w:rPr>
          <w:rFonts w:ascii="Arial" w:hAnsi="Arial"/>
          <w:color w:val="231F20"/>
          <w:spacing w:val="-4"/>
          <w:sz w:val="14"/>
        </w:rPr>
        <w:t> </w:t>
      </w:r>
      <w:r>
        <w:rPr>
          <w:rFonts w:ascii="Arial" w:hAnsi="Arial"/>
          <w:color w:val="231F20"/>
          <w:w w:val="80"/>
          <w:sz w:val="14"/>
        </w:rPr>
        <w:t>G.</w:t>
      </w:r>
      <w:r>
        <w:rPr>
          <w:rFonts w:ascii="Arial" w:hAnsi="Arial"/>
          <w:color w:val="231F20"/>
          <w:spacing w:val="-3"/>
          <w:sz w:val="14"/>
        </w:rPr>
        <w:t> </w:t>
      </w:r>
      <w:r>
        <w:rPr>
          <w:rFonts w:ascii="Arial" w:hAnsi="Arial"/>
          <w:color w:val="231F20"/>
          <w:w w:val="80"/>
          <w:sz w:val="14"/>
        </w:rPr>
        <w:t>Schaur.</w:t>
      </w:r>
      <w:r>
        <w:rPr>
          <w:rFonts w:ascii="Arial" w:hAnsi="Arial"/>
          <w:color w:val="231F20"/>
          <w:spacing w:val="-4"/>
          <w:sz w:val="14"/>
        </w:rPr>
        <w:t> </w:t>
      </w:r>
      <w:r>
        <w:rPr>
          <w:rFonts w:ascii="Arial" w:hAnsi="Arial"/>
          <w:color w:val="231F20"/>
          <w:w w:val="80"/>
          <w:sz w:val="14"/>
        </w:rPr>
        <w:t>2013.</w:t>
      </w:r>
      <w:r>
        <w:rPr>
          <w:rFonts w:ascii="Arial" w:hAnsi="Arial"/>
          <w:color w:val="231F20"/>
          <w:spacing w:val="-1"/>
          <w:w w:val="80"/>
          <w:sz w:val="14"/>
        </w:rPr>
        <w:t> </w:t>
      </w:r>
      <w:r>
        <w:rPr>
          <w:rFonts w:ascii="Arial" w:hAnsi="Arial"/>
          <w:color w:val="231F20"/>
          <w:w w:val="80"/>
          <w:sz w:val="14"/>
        </w:rPr>
        <w:t>“Time</w:t>
      </w:r>
      <w:r>
        <w:rPr>
          <w:rFonts w:ascii="Arial" w:hAnsi="Arial"/>
          <w:color w:val="231F20"/>
          <w:spacing w:val="-3"/>
          <w:sz w:val="14"/>
        </w:rPr>
        <w:t> </w:t>
      </w:r>
      <w:r>
        <w:rPr>
          <w:rFonts w:ascii="Arial" w:hAnsi="Arial"/>
          <w:color w:val="231F20"/>
          <w:w w:val="80"/>
          <w:sz w:val="14"/>
        </w:rPr>
        <w:t>as</w:t>
      </w:r>
      <w:r>
        <w:rPr>
          <w:rFonts w:ascii="Arial" w:hAnsi="Arial"/>
          <w:color w:val="231F20"/>
          <w:spacing w:val="-1"/>
          <w:w w:val="80"/>
          <w:sz w:val="14"/>
        </w:rPr>
        <w:t> </w:t>
      </w:r>
      <w:r>
        <w:rPr>
          <w:rFonts w:ascii="Arial" w:hAnsi="Arial"/>
          <w:color w:val="231F20"/>
          <w:w w:val="80"/>
          <w:sz w:val="14"/>
        </w:rPr>
        <w:t>A</w:t>
      </w:r>
      <w:r>
        <w:rPr>
          <w:rFonts w:ascii="Arial" w:hAnsi="Arial"/>
          <w:color w:val="231F20"/>
          <w:spacing w:val="-1"/>
          <w:w w:val="80"/>
          <w:sz w:val="14"/>
        </w:rPr>
        <w:t> </w:t>
      </w:r>
      <w:r>
        <w:rPr>
          <w:rFonts w:ascii="Arial" w:hAnsi="Arial"/>
          <w:color w:val="231F20"/>
          <w:w w:val="80"/>
          <w:sz w:val="14"/>
        </w:rPr>
        <w:t>Trade</w:t>
      </w:r>
      <w:r>
        <w:rPr>
          <w:rFonts w:ascii="Arial" w:hAnsi="Arial"/>
          <w:color w:val="231F20"/>
          <w:spacing w:val="-4"/>
          <w:sz w:val="14"/>
        </w:rPr>
        <w:t> </w:t>
      </w:r>
      <w:r>
        <w:rPr>
          <w:rFonts w:ascii="Arial" w:hAnsi="Arial"/>
          <w:color w:val="231F20"/>
          <w:spacing w:val="-2"/>
          <w:w w:val="80"/>
          <w:sz w:val="14"/>
        </w:rPr>
        <w:t>Barrier.”</w:t>
      </w:r>
    </w:p>
    <w:p>
      <w:pPr>
        <w:spacing w:before="39"/>
        <w:ind w:left="440" w:right="0" w:firstLine="0"/>
        <w:jc w:val="left"/>
        <w:rPr>
          <w:rFonts w:ascii="Arial" w:hAnsi="Arial"/>
          <w:sz w:val="14"/>
        </w:rPr>
      </w:pPr>
      <w:r>
        <w:rPr>
          <w:rFonts w:ascii="Arial" w:hAnsi="Arial"/>
          <w:i/>
          <w:color w:val="231F20"/>
          <w:w w:val="75"/>
          <w:sz w:val="14"/>
        </w:rPr>
        <w:t>American</w:t>
      </w:r>
      <w:r>
        <w:rPr>
          <w:rFonts w:ascii="Arial" w:hAnsi="Arial"/>
          <w:i/>
          <w:color w:val="231F20"/>
          <w:spacing w:val="8"/>
          <w:sz w:val="14"/>
        </w:rPr>
        <w:t> </w:t>
      </w:r>
      <w:r>
        <w:rPr>
          <w:rFonts w:ascii="Arial" w:hAnsi="Arial"/>
          <w:i/>
          <w:color w:val="231F20"/>
          <w:w w:val="75"/>
          <w:sz w:val="14"/>
        </w:rPr>
        <w:t>Economic</w:t>
      </w:r>
      <w:r>
        <w:rPr>
          <w:rFonts w:ascii="Arial" w:hAnsi="Arial"/>
          <w:i/>
          <w:color w:val="231F20"/>
          <w:spacing w:val="9"/>
          <w:sz w:val="14"/>
        </w:rPr>
        <w:t> </w:t>
      </w:r>
      <w:r>
        <w:rPr>
          <w:rFonts w:ascii="Arial" w:hAnsi="Arial"/>
          <w:i/>
          <w:color w:val="231F20"/>
          <w:w w:val="75"/>
          <w:sz w:val="14"/>
        </w:rPr>
        <w:t>Review</w:t>
      </w:r>
      <w:r>
        <w:rPr>
          <w:rFonts w:ascii="Arial" w:hAnsi="Arial"/>
          <w:i/>
          <w:color w:val="231F20"/>
          <w:spacing w:val="8"/>
          <w:sz w:val="14"/>
        </w:rPr>
        <w:t> </w:t>
      </w:r>
      <w:r>
        <w:rPr>
          <w:rFonts w:ascii="Arial" w:hAnsi="Arial"/>
          <w:color w:val="231F20"/>
          <w:w w:val="75"/>
          <w:sz w:val="14"/>
        </w:rPr>
        <w:t>103</w:t>
      </w:r>
      <w:r>
        <w:rPr>
          <w:rFonts w:ascii="Arial" w:hAnsi="Arial"/>
          <w:color w:val="231F20"/>
          <w:spacing w:val="9"/>
          <w:sz w:val="14"/>
        </w:rPr>
        <w:t> </w:t>
      </w:r>
      <w:r>
        <w:rPr>
          <w:rFonts w:ascii="Arial" w:hAnsi="Arial"/>
          <w:color w:val="231F20"/>
          <w:w w:val="75"/>
          <w:sz w:val="14"/>
        </w:rPr>
        <w:t>(7):</w:t>
      </w:r>
      <w:r>
        <w:rPr>
          <w:rFonts w:ascii="Arial" w:hAnsi="Arial"/>
          <w:color w:val="231F20"/>
          <w:spacing w:val="1"/>
          <w:sz w:val="14"/>
        </w:rPr>
        <w:t> </w:t>
      </w:r>
      <w:r>
        <w:rPr>
          <w:rFonts w:ascii="Arial" w:hAnsi="Arial"/>
          <w:color w:val="231F20"/>
          <w:spacing w:val="-2"/>
          <w:w w:val="75"/>
          <w:sz w:val="14"/>
        </w:rPr>
        <w:t>2935–59.</w:t>
      </w:r>
    </w:p>
    <w:p>
      <w:pPr>
        <w:spacing w:line="297" w:lineRule="auto" w:before="39"/>
        <w:ind w:left="440" w:right="300" w:hanging="240"/>
        <w:jc w:val="left"/>
        <w:rPr>
          <w:rFonts w:ascii="Arial" w:hAnsi="Arial"/>
          <w:sz w:val="14"/>
        </w:rPr>
      </w:pPr>
      <w:r>
        <w:rPr>
          <w:rFonts w:ascii="Arial" w:hAnsi="Arial"/>
          <w:color w:val="231F20"/>
          <w:w w:val="85"/>
          <w:sz w:val="14"/>
        </w:rPr>
        <w:t>IATA</w:t>
      </w:r>
      <w:r>
        <w:rPr>
          <w:rFonts w:ascii="Arial" w:hAnsi="Arial"/>
          <w:color w:val="231F20"/>
          <w:spacing w:val="-4"/>
          <w:w w:val="85"/>
          <w:sz w:val="14"/>
        </w:rPr>
        <w:t> </w:t>
      </w:r>
      <w:r>
        <w:rPr>
          <w:rFonts w:ascii="Arial" w:hAnsi="Arial"/>
          <w:color w:val="231F20"/>
          <w:w w:val="85"/>
          <w:sz w:val="14"/>
        </w:rPr>
        <w:t>(International</w:t>
      </w:r>
      <w:r>
        <w:rPr>
          <w:rFonts w:ascii="Arial" w:hAnsi="Arial"/>
          <w:color w:val="231F20"/>
          <w:spacing w:val="-6"/>
          <w:w w:val="85"/>
          <w:sz w:val="14"/>
        </w:rPr>
        <w:t> </w:t>
      </w:r>
      <w:r>
        <w:rPr>
          <w:rFonts w:ascii="Arial" w:hAnsi="Arial"/>
          <w:color w:val="231F20"/>
          <w:w w:val="85"/>
          <w:sz w:val="14"/>
        </w:rPr>
        <w:t>Air</w:t>
      </w:r>
      <w:r>
        <w:rPr>
          <w:rFonts w:ascii="Arial" w:hAnsi="Arial"/>
          <w:color w:val="231F20"/>
          <w:spacing w:val="-5"/>
          <w:w w:val="85"/>
          <w:sz w:val="14"/>
        </w:rPr>
        <w:t> </w:t>
      </w:r>
      <w:r>
        <w:rPr>
          <w:rFonts w:ascii="Arial" w:hAnsi="Arial"/>
          <w:color w:val="231F20"/>
          <w:w w:val="85"/>
          <w:sz w:val="14"/>
        </w:rPr>
        <w:t>Transport</w:t>
      </w:r>
      <w:r>
        <w:rPr>
          <w:rFonts w:ascii="Arial" w:hAnsi="Arial"/>
          <w:color w:val="231F20"/>
          <w:spacing w:val="-5"/>
          <w:w w:val="85"/>
          <w:sz w:val="14"/>
        </w:rPr>
        <w:t> </w:t>
      </w:r>
      <w:r>
        <w:rPr>
          <w:rFonts w:ascii="Arial" w:hAnsi="Arial"/>
          <w:color w:val="231F20"/>
          <w:w w:val="85"/>
          <w:sz w:val="14"/>
        </w:rPr>
        <w:t>Association).</w:t>
      </w:r>
      <w:r>
        <w:rPr>
          <w:rFonts w:ascii="Arial" w:hAnsi="Arial"/>
          <w:color w:val="231F20"/>
          <w:spacing w:val="-4"/>
          <w:w w:val="85"/>
          <w:sz w:val="14"/>
        </w:rPr>
        <w:t> </w:t>
      </w:r>
      <w:r>
        <w:rPr>
          <w:rFonts w:ascii="Arial" w:hAnsi="Arial"/>
          <w:color w:val="231F20"/>
          <w:w w:val="85"/>
          <w:sz w:val="14"/>
        </w:rPr>
        <w:t>2022.</w:t>
      </w:r>
      <w:r>
        <w:rPr>
          <w:rFonts w:ascii="Arial" w:hAnsi="Arial"/>
          <w:color w:val="231F20"/>
          <w:spacing w:val="-5"/>
          <w:w w:val="85"/>
          <w:sz w:val="14"/>
        </w:rPr>
        <w:t> </w:t>
      </w:r>
      <w:r>
        <w:rPr>
          <w:rFonts w:ascii="Arial" w:hAnsi="Arial"/>
          <w:color w:val="231F20"/>
          <w:w w:val="85"/>
          <w:sz w:val="14"/>
        </w:rPr>
        <w:t>“What</w:t>
      </w:r>
      <w:r>
        <w:rPr>
          <w:rFonts w:ascii="Arial" w:hAnsi="Arial"/>
          <w:color w:val="231F20"/>
          <w:spacing w:val="-5"/>
          <w:w w:val="85"/>
          <w:sz w:val="14"/>
        </w:rPr>
        <w:t> </w:t>
      </w:r>
      <w:r>
        <w:rPr>
          <w:rFonts w:ascii="Arial" w:hAnsi="Arial"/>
          <w:color w:val="231F20"/>
          <w:w w:val="85"/>
          <w:sz w:val="14"/>
        </w:rPr>
        <w:t>Types</w:t>
      </w:r>
      <w:r>
        <w:rPr>
          <w:rFonts w:ascii="Arial" w:hAnsi="Arial"/>
          <w:color w:val="231F20"/>
          <w:spacing w:val="-4"/>
          <w:w w:val="85"/>
          <w:sz w:val="14"/>
        </w:rPr>
        <w:t> </w:t>
      </w:r>
      <w:r>
        <w:rPr>
          <w:rFonts w:ascii="Arial" w:hAnsi="Arial"/>
          <w:color w:val="231F20"/>
          <w:w w:val="85"/>
          <w:sz w:val="14"/>
        </w:rPr>
        <w:t>of</w:t>
      </w:r>
      <w:r>
        <w:rPr>
          <w:rFonts w:ascii="Arial" w:hAnsi="Arial"/>
          <w:color w:val="231F20"/>
          <w:spacing w:val="40"/>
          <w:sz w:val="14"/>
        </w:rPr>
        <w:t> </w:t>
      </w:r>
      <w:r>
        <w:rPr>
          <w:rFonts w:ascii="Arial" w:hAnsi="Arial"/>
          <w:color w:val="231F20"/>
          <w:w w:val="80"/>
          <w:sz w:val="14"/>
        </w:rPr>
        <w:t>Cargo</w:t>
      </w:r>
      <w:r>
        <w:rPr>
          <w:rFonts w:ascii="Arial" w:hAnsi="Arial"/>
          <w:color w:val="231F20"/>
          <w:spacing w:val="-2"/>
          <w:w w:val="80"/>
          <w:sz w:val="14"/>
        </w:rPr>
        <w:t> </w:t>
      </w:r>
      <w:r>
        <w:rPr>
          <w:rFonts w:ascii="Arial" w:hAnsi="Arial"/>
          <w:color w:val="231F20"/>
          <w:w w:val="80"/>
          <w:sz w:val="14"/>
        </w:rPr>
        <w:t>are</w:t>
      </w:r>
      <w:r>
        <w:rPr>
          <w:rFonts w:ascii="Arial" w:hAnsi="Arial"/>
          <w:color w:val="231F20"/>
          <w:spacing w:val="-4"/>
          <w:w w:val="80"/>
          <w:sz w:val="14"/>
        </w:rPr>
        <w:t> </w:t>
      </w:r>
      <w:r>
        <w:rPr>
          <w:rFonts w:ascii="Arial" w:hAnsi="Arial"/>
          <w:color w:val="231F20"/>
          <w:w w:val="80"/>
          <w:sz w:val="14"/>
        </w:rPr>
        <w:t>Transported</w:t>
      </w:r>
      <w:r>
        <w:rPr>
          <w:rFonts w:ascii="Arial" w:hAnsi="Arial"/>
          <w:color w:val="231F20"/>
          <w:spacing w:val="-2"/>
          <w:w w:val="80"/>
          <w:sz w:val="14"/>
        </w:rPr>
        <w:t> </w:t>
      </w:r>
      <w:r>
        <w:rPr>
          <w:rFonts w:ascii="Arial" w:hAnsi="Arial"/>
          <w:color w:val="231F20"/>
          <w:w w:val="80"/>
          <w:sz w:val="14"/>
        </w:rPr>
        <w:t>by</w:t>
      </w:r>
      <w:r>
        <w:rPr>
          <w:rFonts w:ascii="Arial" w:hAnsi="Arial"/>
          <w:color w:val="231F20"/>
          <w:spacing w:val="-3"/>
          <w:w w:val="80"/>
          <w:sz w:val="14"/>
        </w:rPr>
        <w:t> </w:t>
      </w:r>
      <w:r>
        <w:rPr>
          <w:rFonts w:ascii="Arial" w:hAnsi="Arial"/>
          <w:color w:val="231F20"/>
          <w:w w:val="80"/>
          <w:sz w:val="14"/>
        </w:rPr>
        <w:t>Air?”</w:t>
      </w:r>
      <w:r>
        <w:rPr>
          <w:rFonts w:ascii="Arial" w:hAnsi="Arial"/>
          <w:color w:val="231F20"/>
          <w:spacing w:val="-3"/>
          <w:w w:val="80"/>
          <w:sz w:val="14"/>
        </w:rPr>
        <w:t> </w:t>
      </w:r>
      <w:hyperlink r:id="rId197">
        <w:r>
          <w:rPr>
            <w:rFonts w:ascii="Arial" w:hAnsi="Arial"/>
            <w:color w:val="231F20"/>
            <w:w w:val="80"/>
            <w:sz w:val="14"/>
          </w:rPr>
          <w:t>https://www.iata.org/en/publications</w:t>
        </w:r>
      </w:hyperlink>
    </w:p>
    <w:p>
      <w:pPr>
        <w:spacing w:before="0"/>
        <w:ind w:left="440" w:right="0" w:firstLine="0"/>
        <w:jc w:val="left"/>
        <w:rPr>
          <w:rFonts w:ascii="Arial"/>
          <w:sz w:val="14"/>
        </w:rPr>
      </w:pPr>
      <w:hyperlink r:id="rId197">
        <w:r>
          <w:rPr>
            <w:rFonts w:ascii="Arial"/>
            <w:color w:val="231F20"/>
            <w:w w:val="80"/>
            <w:sz w:val="14"/>
          </w:rPr>
          <w:t>/newsletters/iata-knowledge-hub/what-types-of-cargo-</w:t>
        </w:r>
        <w:r>
          <w:rPr>
            <w:rFonts w:ascii="Arial"/>
            <w:color w:val="231F20"/>
            <w:spacing w:val="-5"/>
            <w:w w:val="80"/>
            <w:sz w:val="14"/>
          </w:rPr>
          <w:t>are</w:t>
        </w:r>
      </w:hyperlink>
    </w:p>
    <w:p>
      <w:pPr>
        <w:spacing w:before="39"/>
        <w:ind w:left="440" w:right="0" w:firstLine="0"/>
        <w:jc w:val="left"/>
        <w:rPr>
          <w:rFonts w:ascii="Arial"/>
          <w:sz w:val="14"/>
        </w:rPr>
      </w:pPr>
      <w:hyperlink r:id="rId197">
        <w:r>
          <w:rPr>
            <w:rFonts w:ascii="Arial"/>
            <w:color w:val="231F20"/>
            <w:w w:val="80"/>
            <w:sz w:val="14"/>
          </w:rPr>
          <w:t>-transported-by-</w:t>
        </w:r>
        <w:r>
          <w:rPr>
            <w:rFonts w:ascii="Arial"/>
            <w:color w:val="231F20"/>
            <w:spacing w:val="-4"/>
            <w:w w:val="80"/>
            <w:sz w:val="14"/>
          </w:rPr>
          <w:t>air/</w:t>
        </w:r>
      </w:hyperlink>
      <w:r>
        <w:rPr>
          <w:rFonts w:ascii="Arial"/>
          <w:color w:val="231F20"/>
          <w:spacing w:val="-4"/>
          <w:w w:val="80"/>
          <w:sz w:val="14"/>
        </w:rPr>
        <w:t>.</w:t>
      </w:r>
    </w:p>
    <w:p>
      <w:pPr>
        <w:spacing w:line="297" w:lineRule="auto" w:before="39"/>
        <w:ind w:left="440" w:right="370" w:hanging="240"/>
        <w:jc w:val="left"/>
        <w:rPr>
          <w:rFonts w:ascii="Arial" w:hAnsi="Arial"/>
          <w:sz w:val="14"/>
        </w:rPr>
      </w:pPr>
      <w:r>
        <w:rPr>
          <w:rFonts w:ascii="Arial" w:hAnsi="Arial"/>
          <w:color w:val="231F20"/>
          <w:w w:val="80"/>
          <w:sz w:val="14"/>
        </w:rPr>
        <w:t>Lendle,</w:t>
      </w:r>
      <w:r>
        <w:rPr>
          <w:rFonts w:ascii="Arial" w:hAnsi="Arial"/>
          <w:color w:val="231F20"/>
          <w:spacing w:val="-3"/>
          <w:w w:val="80"/>
          <w:sz w:val="14"/>
        </w:rPr>
        <w:t> </w:t>
      </w:r>
      <w:r>
        <w:rPr>
          <w:rFonts w:ascii="Arial" w:hAnsi="Arial"/>
          <w:color w:val="231F20"/>
          <w:w w:val="80"/>
          <w:sz w:val="14"/>
        </w:rPr>
        <w:t>A., M. Olarreaga, S. Schropp, and P. L. Vezina. 2012. “There</w:t>
      </w:r>
      <w:r>
        <w:rPr>
          <w:rFonts w:ascii="Arial" w:hAnsi="Arial"/>
          <w:color w:val="231F20"/>
          <w:spacing w:val="40"/>
          <w:sz w:val="14"/>
        </w:rPr>
        <w:t> </w:t>
      </w:r>
      <w:r>
        <w:rPr>
          <w:rFonts w:ascii="Arial" w:hAnsi="Arial"/>
          <w:color w:val="231F20"/>
          <w:w w:val="80"/>
          <w:sz w:val="14"/>
        </w:rPr>
        <w:t>Goes</w:t>
      </w:r>
      <w:r>
        <w:rPr>
          <w:rFonts w:ascii="Arial" w:hAnsi="Arial"/>
          <w:color w:val="231F20"/>
          <w:spacing w:val="-2"/>
          <w:w w:val="80"/>
          <w:sz w:val="14"/>
        </w:rPr>
        <w:t> </w:t>
      </w:r>
      <w:r>
        <w:rPr>
          <w:rFonts w:ascii="Arial" w:hAnsi="Arial"/>
          <w:color w:val="231F20"/>
          <w:w w:val="80"/>
          <w:sz w:val="14"/>
        </w:rPr>
        <w:t>Gravity:</w:t>
      </w:r>
      <w:r>
        <w:rPr>
          <w:rFonts w:ascii="Arial" w:hAnsi="Arial"/>
          <w:color w:val="231F20"/>
          <w:spacing w:val="-3"/>
          <w:w w:val="80"/>
          <w:sz w:val="14"/>
        </w:rPr>
        <w:t> </w:t>
      </w:r>
      <w:r>
        <w:rPr>
          <w:rFonts w:ascii="Arial" w:hAnsi="Arial"/>
          <w:color w:val="231F20"/>
          <w:w w:val="80"/>
          <w:sz w:val="14"/>
        </w:rPr>
        <w:t>How Ebay Reduces</w:t>
      </w:r>
      <w:r>
        <w:rPr>
          <w:rFonts w:ascii="Arial" w:hAnsi="Arial"/>
          <w:color w:val="231F20"/>
          <w:spacing w:val="-4"/>
          <w:w w:val="80"/>
          <w:sz w:val="14"/>
        </w:rPr>
        <w:t> </w:t>
      </w:r>
      <w:r>
        <w:rPr>
          <w:rFonts w:ascii="Arial" w:hAnsi="Arial"/>
          <w:color w:val="231F20"/>
          <w:w w:val="80"/>
          <w:sz w:val="14"/>
        </w:rPr>
        <w:t>Trade</w:t>
      </w:r>
      <w:r>
        <w:rPr>
          <w:rFonts w:ascii="Arial" w:hAnsi="Arial"/>
          <w:color w:val="231F20"/>
          <w:spacing w:val="-7"/>
          <w:sz w:val="14"/>
        </w:rPr>
        <w:t> </w:t>
      </w:r>
      <w:r>
        <w:rPr>
          <w:rFonts w:ascii="Arial" w:hAnsi="Arial"/>
          <w:color w:val="231F20"/>
          <w:w w:val="80"/>
          <w:sz w:val="14"/>
        </w:rPr>
        <w:t>Costs.”</w:t>
      </w:r>
      <w:r>
        <w:rPr>
          <w:rFonts w:ascii="Arial" w:hAnsi="Arial"/>
          <w:color w:val="231F20"/>
          <w:spacing w:val="-4"/>
          <w:w w:val="80"/>
          <w:sz w:val="14"/>
        </w:rPr>
        <w:t> </w:t>
      </w:r>
      <w:r>
        <w:rPr>
          <w:rFonts w:ascii="Arial" w:hAnsi="Arial"/>
          <w:color w:val="231F20"/>
          <w:w w:val="80"/>
          <w:sz w:val="14"/>
        </w:rPr>
        <w:t>Policy</w:t>
      </w:r>
      <w:r>
        <w:rPr>
          <w:rFonts w:ascii="Arial" w:hAnsi="Arial"/>
          <w:color w:val="231F20"/>
          <w:spacing w:val="-7"/>
          <w:sz w:val="14"/>
        </w:rPr>
        <w:t> </w:t>
      </w:r>
      <w:r>
        <w:rPr>
          <w:rFonts w:ascii="Arial" w:hAnsi="Arial"/>
          <w:color w:val="231F20"/>
          <w:w w:val="80"/>
          <w:sz w:val="14"/>
        </w:rPr>
        <w:t>Research</w:t>
      </w:r>
      <w:r>
        <w:rPr>
          <w:rFonts w:ascii="Arial" w:hAnsi="Arial"/>
          <w:color w:val="231F20"/>
          <w:spacing w:val="40"/>
          <w:sz w:val="14"/>
        </w:rPr>
        <w:t> </w:t>
      </w:r>
      <w:r>
        <w:rPr>
          <w:rFonts w:ascii="Arial" w:hAnsi="Arial"/>
          <w:color w:val="231F20"/>
          <w:spacing w:val="-2"/>
          <w:w w:val="85"/>
          <w:sz w:val="14"/>
        </w:rPr>
        <w:t>Working</w:t>
      </w:r>
      <w:r>
        <w:rPr>
          <w:rFonts w:ascii="Arial" w:hAnsi="Arial"/>
          <w:color w:val="231F20"/>
          <w:spacing w:val="-2"/>
          <w:sz w:val="14"/>
        </w:rPr>
        <w:t> </w:t>
      </w:r>
      <w:r>
        <w:rPr>
          <w:rFonts w:ascii="Arial" w:hAnsi="Arial"/>
          <w:color w:val="231F20"/>
          <w:spacing w:val="-2"/>
          <w:w w:val="85"/>
          <w:sz w:val="14"/>
        </w:rPr>
        <w:t>Paper</w:t>
      </w:r>
      <w:r>
        <w:rPr>
          <w:rFonts w:ascii="Arial" w:hAnsi="Arial"/>
          <w:color w:val="231F20"/>
          <w:spacing w:val="-2"/>
          <w:sz w:val="14"/>
        </w:rPr>
        <w:t> </w:t>
      </w:r>
      <w:r>
        <w:rPr>
          <w:rFonts w:ascii="Arial" w:hAnsi="Arial"/>
          <w:color w:val="231F20"/>
          <w:spacing w:val="-2"/>
          <w:w w:val="85"/>
          <w:sz w:val="14"/>
        </w:rPr>
        <w:t>6253,</w:t>
      </w:r>
      <w:r>
        <w:rPr>
          <w:rFonts w:ascii="Arial" w:hAnsi="Arial"/>
          <w:color w:val="231F20"/>
          <w:spacing w:val="-7"/>
          <w:w w:val="85"/>
          <w:sz w:val="14"/>
        </w:rPr>
        <w:t> </w:t>
      </w:r>
      <w:r>
        <w:rPr>
          <w:rFonts w:ascii="Arial" w:hAnsi="Arial"/>
          <w:color w:val="231F20"/>
          <w:spacing w:val="-2"/>
          <w:w w:val="85"/>
          <w:sz w:val="14"/>
        </w:rPr>
        <w:t>World</w:t>
      </w:r>
      <w:r>
        <w:rPr>
          <w:rFonts w:ascii="Arial" w:hAnsi="Arial"/>
          <w:color w:val="231F20"/>
          <w:spacing w:val="-2"/>
          <w:sz w:val="14"/>
        </w:rPr>
        <w:t> </w:t>
      </w:r>
      <w:r>
        <w:rPr>
          <w:rFonts w:ascii="Arial" w:hAnsi="Arial"/>
          <w:color w:val="231F20"/>
          <w:spacing w:val="-2"/>
          <w:w w:val="85"/>
          <w:sz w:val="14"/>
        </w:rPr>
        <w:t>Bank,</w:t>
      </w:r>
      <w:r>
        <w:rPr>
          <w:rFonts w:ascii="Arial" w:hAnsi="Arial"/>
          <w:color w:val="231F20"/>
          <w:spacing w:val="-7"/>
          <w:w w:val="85"/>
          <w:sz w:val="14"/>
        </w:rPr>
        <w:t> </w:t>
      </w:r>
      <w:r>
        <w:rPr>
          <w:rFonts w:ascii="Arial" w:hAnsi="Arial"/>
          <w:color w:val="231F20"/>
          <w:spacing w:val="-2"/>
          <w:w w:val="85"/>
          <w:sz w:val="14"/>
        </w:rPr>
        <w:t>Washington, DC.</w:t>
      </w:r>
    </w:p>
    <w:p>
      <w:pPr>
        <w:spacing w:line="297" w:lineRule="auto" w:before="2"/>
        <w:ind w:left="440" w:right="16" w:hanging="240"/>
        <w:jc w:val="left"/>
        <w:rPr>
          <w:rFonts w:ascii="Arial" w:hAnsi="Arial"/>
          <w:sz w:val="14"/>
        </w:rPr>
      </w:pPr>
      <w:r>
        <w:rPr>
          <w:rFonts w:ascii="Arial" w:hAnsi="Arial"/>
          <w:color w:val="231F20"/>
          <w:w w:val="80"/>
          <w:sz w:val="14"/>
        </w:rPr>
        <w:t>Lynch,</w:t>
      </w:r>
      <w:r>
        <w:rPr>
          <w:rFonts w:ascii="Arial" w:hAnsi="Arial"/>
          <w:color w:val="231F20"/>
          <w:spacing w:val="-4"/>
          <w:w w:val="80"/>
          <w:sz w:val="14"/>
        </w:rPr>
        <w:t> </w:t>
      </w:r>
      <w:r>
        <w:rPr>
          <w:rFonts w:ascii="Arial" w:hAnsi="Arial"/>
          <w:color w:val="231F20"/>
          <w:w w:val="80"/>
          <w:sz w:val="14"/>
        </w:rPr>
        <w:t>D.</w:t>
      </w:r>
      <w:r>
        <w:rPr>
          <w:rFonts w:ascii="Arial" w:hAnsi="Arial"/>
          <w:color w:val="231F20"/>
          <w:spacing w:val="-2"/>
          <w:w w:val="80"/>
          <w:sz w:val="14"/>
        </w:rPr>
        <w:t> </w:t>
      </w:r>
      <w:r>
        <w:rPr>
          <w:rFonts w:ascii="Arial" w:hAnsi="Arial"/>
          <w:color w:val="231F20"/>
          <w:w w:val="80"/>
          <w:sz w:val="14"/>
        </w:rPr>
        <w:t>2021.</w:t>
      </w:r>
      <w:r>
        <w:rPr>
          <w:rFonts w:ascii="Arial" w:hAnsi="Arial"/>
          <w:color w:val="231F20"/>
          <w:spacing w:val="-3"/>
          <w:w w:val="80"/>
          <w:sz w:val="14"/>
        </w:rPr>
        <w:t> </w:t>
      </w:r>
      <w:r>
        <w:rPr>
          <w:rFonts w:ascii="Arial" w:hAnsi="Arial"/>
          <w:color w:val="231F20"/>
          <w:w w:val="80"/>
          <w:sz w:val="14"/>
        </w:rPr>
        <w:t>“America’s</w:t>
      </w:r>
      <w:r>
        <w:rPr>
          <w:rFonts w:ascii="Arial" w:hAnsi="Arial"/>
          <w:color w:val="231F20"/>
          <w:spacing w:val="-2"/>
          <w:w w:val="80"/>
          <w:sz w:val="14"/>
        </w:rPr>
        <w:t> </w:t>
      </w:r>
      <w:r>
        <w:rPr>
          <w:rFonts w:ascii="Arial" w:hAnsi="Arial"/>
          <w:color w:val="231F20"/>
          <w:w w:val="80"/>
          <w:sz w:val="14"/>
        </w:rPr>
        <w:t>Broken</w:t>
      </w:r>
      <w:r>
        <w:rPr>
          <w:rFonts w:ascii="Arial" w:hAnsi="Arial"/>
          <w:color w:val="231F20"/>
          <w:spacing w:val="-2"/>
          <w:w w:val="80"/>
          <w:sz w:val="14"/>
        </w:rPr>
        <w:t> </w:t>
      </w:r>
      <w:r>
        <w:rPr>
          <w:rFonts w:ascii="Arial" w:hAnsi="Arial"/>
          <w:color w:val="231F20"/>
          <w:w w:val="80"/>
          <w:sz w:val="14"/>
        </w:rPr>
        <w:t>Supply</w:t>
      </w:r>
      <w:r>
        <w:rPr>
          <w:rFonts w:ascii="Arial" w:hAnsi="Arial"/>
          <w:color w:val="231F20"/>
          <w:spacing w:val="-2"/>
          <w:w w:val="80"/>
          <w:sz w:val="14"/>
        </w:rPr>
        <w:t> </w:t>
      </w:r>
      <w:r>
        <w:rPr>
          <w:rFonts w:ascii="Arial" w:hAnsi="Arial"/>
          <w:color w:val="231F20"/>
          <w:w w:val="80"/>
          <w:sz w:val="14"/>
        </w:rPr>
        <w:t>Chain.”</w:t>
      </w:r>
      <w:r>
        <w:rPr>
          <w:rFonts w:ascii="Arial" w:hAnsi="Arial"/>
          <w:color w:val="231F20"/>
          <w:spacing w:val="-3"/>
          <w:w w:val="80"/>
          <w:sz w:val="14"/>
        </w:rPr>
        <w:t> </w:t>
      </w:r>
      <w:r>
        <w:rPr>
          <w:rFonts w:ascii="Arial" w:hAnsi="Arial"/>
          <w:i/>
          <w:color w:val="231F20"/>
          <w:w w:val="80"/>
          <w:sz w:val="14"/>
        </w:rPr>
        <w:t>The</w:t>
      </w:r>
      <w:r>
        <w:rPr>
          <w:rFonts w:ascii="Arial" w:hAnsi="Arial"/>
          <w:i/>
          <w:color w:val="231F20"/>
          <w:spacing w:val="-3"/>
          <w:w w:val="80"/>
          <w:sz w:val="14"/>
        </w:rPr>
        <w:t> </w:t>
      </w:r>
      <w:r>
        <w:rPr>
          <w:rFonts w:ascii="Arial" w:hAnsi="Arial"/>
          <w:i/>
          <w:color w:val="231F20"/>
          <w:w w:val="80"/>
          <w:sz w:val="14"/>
        </w:rPr>
        <w:t>Washington</w:t>
      </w:r>
      <w:r>
        <w:rPr>
          <w:rFonts w:ascii="Arial" w:hAnsi="Arial"/>
          <w:i/>
          <w:color w:val="231F20"/>
          <w:spacing w:val="-1"/>
          <w:w w:val="80"/>
          <w:sz w:val="14"/>
        </w:rPr>
        <w:t> </w:t>
      </w:r>
      <w:r>
        <w:rPr>
          <w:rFonts w:ascii="Arial" w:hAnsi="Arial"/>
          <w:i/>
          <w:color w:val="231F20"/>
          <w:w w:val="80"/>
          <w:sz w:val="14"/>
        </w:rPr>
        <w:t>Post</w:t>
      </w:r>
      <w:r>
        <w:rPr>
          <w:rFonts w:ascii="Arial" w:hAnsi="Arial"/>
          <w:color w:val="231F20"/>
          <w:w w:val="80"/>
          <w:sz w:val="14"/>
        </w:rPr>
        <w:t>,</w:t>
      </w:r>
      <w:r>
        <w:rPr>
          <w:rFonts w:ascii="Arial" w:hAnsi="Arial"/>
          <w:color w:val="231F20"/>
          <w:spacing w:val="40"/>
          <w:sz w:val="14"/>
        </w:rPr>
        <w:t> </w:t>
      </w:r>
      <w:r>
        <w:rPr>
          <w:rFonts w:ascii="Arial" w:hAnsi="Arial"/>
          <w:color w:val="231F20"/>
          <w:w w:val="80"/>
          <w:sz w:val="14"/>
        </w:rPr>
        <w:t>October</w:t>
      </w:r>
      <w:r>
        <w:rPr>
          <w:rFonts w:ascii="Arial" w:hAnsi="Arial"/>
          <w:color w:val="231F20"/>
          <w:spacing w:val="11"/>
          <w:sz w:val="14"/>
        </w:rPr>
        <w:t> </w:t>
      </w:r>
      <w:r>
        <w:rPr>
          <w:rFonts w:ascii="Arial" w:hAnsi="Arial"/>
          <w:color w:val="231F20"/>
          <w:w w:val="80"/>
          <w:sz w:val="14"/>
        </w:rPr>
        <w:t>19.</w:t>
      </w:r>
      <w:r>
        <w:rPr>
          <w:rFonts w:ascii="Arial" w:hAnsi="Arial"/>
          <w:color w:val="231F20"/>
          <w:spacing w:val="3"/>
          <w:sz w:val="14"/>
        </w:rPr>
        <w:t> </w:t>
      </w:r>
      <w:hyperlink r:id="rId198">
        <w:r>
          <w:rPr>
            <w:rFonts w:ascii="Arial" w:hAnsi="Arial"/>
            <w:color w:val="231F20"/>
            <w:w w:val="80"/>
            <w:sz w:val="14"/>
          </w:rPr>
          <w:t>https://www.washingtonpost.com/podcasts/post-</w:t>
        </w:r>
        <w:r>
          <w:rPr>
            <w:rFonts w:ascii="Arial" w:hAnsi="Arial"/>
            <w:color w:val="231F20"/>
            <w:spacing w:val="-2"/>
            <w:w w:val="80"/>
            <w:sz w:val="14"/>
          </w:rPr>
          <w:t>reports</w:t>
        </w:r>
      </w:hyperlink>
    </w:p>
    <w:p>
      <w:pPr>
        <w:spacing w:before="0"/>
        <w:ind w:left="440" w:right="0" w:firstLine="0"/>
        <w:jc w:val="left"/>
        <w:rPr>
          <w:rFonts w:ascii="Arial"/>
          <w:sz w:val="14"/>
        </w:rPr>
      </w:pPr>
      <w:hyperlink r:id="rId198">
        <w:r>
          <w:rPr>
            <w:rFonts w:ascii="Arial"/>
            <w:color w:val="231F20"/>
            <w:w w:val="80"/>
            <w:sz w:val="14"/>
          </w:rPr>
          <w:t>/americas-broken-supply-</w:t>
        </w:r>
        <w:r>
          <w:rPr>
            <w:rFonts w:ascii="Arial"/>
            <w:color w:val="231F20"/>
            <w:spacing w:val="-2"/>
            <w:w w:val="80"/>
            <w:sz w:val="14"/>
          </w:rPr>
          <w:t>chain/</w:t>
        </w:r>
      </w:hyperlink>
      <w:r>
        <w:rPr>
          <w:rFonts w:ascii="Arial"/>
          <w:color w:val="231F20"/>
          <w:spacing w:val="-2"/>
          <w:w w:val="80"/>
          <w:sz w:val="14"/>
        </w:rPr>
        <w:t>.</w:t>
      </w:r>
    </w:p>
    <w:p>
      <w:pPr>
        <w:spacing w:line="297" w:lineRule="auto" w:before="39"/>
        <w:ind w:left="440" w:right="313" w:hanging="240"/>
        <w:jc w:val="left"/>
        <w:rPr>
          <w:rFonts w:ascii="Arial" w:hAnsi="Arial"/>
          <w:sz w:val="14"/>
        </w:rPr>
      </w:pPr>
      <w:r>
        <w:rPr>
          <w:rFonts w:ascii="Arial" w:hAnsi="Arial"/>
          <w:color w:val="231F20"/>
          <w:w w:val="85"/>
          <w:sz w:val="14"/>
        </w:rPr>
        <w:t>Pambudi,</w:t>
      </w:r>
      <w:r>
        <w:rPr>
          <w:rFonts w:ascii="Arial" w:hAnsi="Arial"/>
          <w:color w:val="231F20"/>
          <w:spacing w:val="-6"/>
          <w:w w:val="85"/>
          <w:sz w:val="14"/>
        </w:rPr>
        <w:t> </w:t>
      </w:r>
      <w:r>
        <w:rPr>
          <w:rFonts w:ascii="Arial" w:hAnsi="Arial"/>
          <w:color w:val="231F20"/>
          <w:w w:val="85"/>
          <w:sz w:val="14"/>
        </w:rPr>
        <w:t>N.</w:t>
      </w:r>
      <w:r>
        <w:rPr>
          <w:rFonts w:ascii="Arial" w:hAnsi="Arial"/>
          <w:color w:val="231F20"/>
          <w:spacing w:val="-5"/>
          <w:w w:val="85"/>
          <w:sz w:val="14"/>
        </w:rPr>
        <w:t> </w:t>
      </w:r>
      <w:r>
        <w:rPr>
          <w:rFonts w:ascii="Arial" w:hAnsi="Arial"/>
          <w:color w:val="231F20"/>
          <w:w w:val="85"/>
          <w:sz w:val="14"/>
        </w:rPr>
        <w:t>A.,</w:t>
      </w:r>
      <w:r>
        <w:rPr>
          <w:rFonts w:ascii="Arial" w:hAnsi="Arial"/>
          <w:color w:val="231F20"/>
          <w:spacing w:val="-10"/>
          <w:w w:val="85"/>
          <w:sz w:val="14"/>
        </w:rPr>
        <w:t> </w:t>
      </w:r>
      <w:r>
        <w:rPr>
          <w:rFonts w:ascii="Arial" w:hAnsi="Arial"/>
          <w:color w:val="231F20"/>
          <w:w w:val="85"/>
          <w:sz w:val="14"/>
        </w:rPr>
        <w:t>A.</w:t>
      </w:r>
      <w:r>
        <w:rPr>
          <w:rFonts w:ascii="Arial" w:hAnsi="Arial"/>
          <w:color w:val="231F20"/>
          <w:spacing w:val="-4"/>
          <w:w w:val="85"/>
          <w:sz w:val="14"/>
        </w:rPr>
        <w:t> </w:t>
      </w:r>
      <w:r>
        <w:rPr>
          <w:rFonts w:ascii="Arial" w:hAnsi="Arial"/>
          <w:color w:val="231F20"/>
          <w:w w:val="85"/>
          <w:sz w:val="14"/>
        </w:rPr>
        <w:t>Sarifudin,</w:t>
      </w:r>
      <w:r>
        <w:rPr>
          <w:rFonts w:ascii="Arial" w:hAnsi="Arial"/>
          <w:color w:val="231F20"/>
          <w:spacing w:val="-5"/>
          <w:w w:val="85"/>
          <w:sz w:val="14"/>
        </w:rPr>
        <w:t> </w:t>
      </w:r>
      <w:r>
        <w:rPr>
          <w:rFonts w:ascii="Arial" w:hAnsi="Arial"/>
          <w:color w:val="231F20"/>
          <w:w w:val="85"/>
          <w:sz w:val="14"/>
        </w:rPr>
        <w:t>I.</w:t>
      </w:r>
      <w:r>
        <w:rPr>
          <w:rFonts w:ascii="Arial" w:hAnsi="Arial"/>
          <w:color w:val="231F20"/>
          <w:spacing w:val="-4"/>
          <w:w w:val="85"/>
          <w:sz w:val="14"/>
        </w:rPr>
        <w:t> </w:t>
      </w:r>
      <w:r>
        <w:rPr>
          <w:rFonts w:ascii="Arial" w:hAnsi="Arial"/>
          <w:color w:val="231F20"/>
          <w:w w:val="85"/>
          <w:sz w:val="14"/>
        </w:rPr>
        <w:t>M.</w:t>
      </w:r>
      <w:r>
        <w:rPr>
          <w:rFonts w:ascii="Arial" w:hAnsi="Arial"/>
          <w:color w:val="231F20"/>
          <w:spacing w:val="-4"/>
          <w:w w:val="85"/>
          <w:sz w:val="14"/>
        </w:rPr>
        <w:t> </w:t>
      </w:r>
      <w:r>
        <w:rPr>
          <w:rFonts w:ascii="Arial" w:hAnsi="Arial"/>
          <w:color w:val="231F20"/>
          <w:w w:val="85"/>
          <w:sz w:val="14"/>
        </w:rPr>
        <w:t>Gandidi,</w:t>
      </w:r>
      <w:r>
        <w:rPr>
          <w:rFonts w:ascii="Arial" w:hAnsi="Arial"/>
          <w:color w:val="231F20"/>
          <w:spacing w:val="-5"/>
          <w:w w:val="85"/>
          <w:sz w:val="14"/>
        </w:rPr>
        <w:t> </w:t>
      </w:r>
      <w:r>
        <w:rPr>
          <w:rFonts w:ascii="Arial" w:hAnsi="Arial"/>
          <w:color w:val="231F20"/>
          <w:w w:val="85"/>
          <w:sz w:val="14"/>
        </w:rPr>
        <w:t>and</w:t>
      </w:r>
      <w:r>
        <w:rPr>
          <w:rFonts w:ascii="Arial" w:hAnsi="Arial"/>
          <w:color w:val="231F20"/>
          <w:spacing w:val="-4"/>
          <w:w w:val="85"/>
          <w:sz w:val="14"/>
        </w:rPr>
        <w:t> </w:t>
      </w:r>
      <w:r>
        <w:rPr>
          <w:rFonts w:ascii="Arial" w:hAnsi="Arial"/>
          <w:color w:val="231F20"/>
          <w:w w:val="85"/>
          <w:sz w:val="14"/>
        </w:rPr>
        <w:t>R.</w:t>
      </w:r>
      <w:r>
        <w:rPr>
          <w:rFonts w:ascii="Arial" w:hAnsi="Arial"/>
          <w:color w:val="231F20"/>
          <w:spacing w:val="-4"/>
          <w:w w:val="85"/>
          <w:sz w:val="14"/>
        </w:rPr>
        <w:t> </w:t>
      </w:r>
      <w:r>
        <w:rPr>
          <w:rFonts w:ascii="Arial" w:hAnsi="Arial"/>
          <w:color w:val="231F20"/>
          <w:w w:val="85"/>
          <w:sz w:val="14"/>
        </w:rPr>
        <w:t>Romadhon.</w:t>
      </w:r>
      <w:r>
        <w:rPr>
          <w:rFonts w:ascii="Arial" w:hAnsi="Arial"/>
          <w:color w:val="231F20"/>
          <w:spacing w:val="-4"/>
          <w:w w:val="85"/>
          <w:sz w:val="14"/>
        </w:rPr>
        <w:t> </w:t>
      </w:r>
      <w:r>
        <w:rPr>
          <w:rFonts w:ascii="Arial" w:hAnsi="Arial"/>
          <w:color w:val="231F20"/>
          <w:w w:val="85"/>
          <w:sz w:val="14"/>
        </w:rPr>
        <w:t>2021.</w:t>
      </w:r>
      <w:r>
        <w:rPr>
          <w:rFonts w:ascii="Arial" w:hAnsi="Arial"/>
          <w:color w:val="231F20"/>
          <w:spacing w:val="40"/>
          <w:sz w:val="14"/>
        </w:rPr>
        <w:t> </w:t>
      </w:r>
      <w:r>
        <w:rPr>
          <w:rFonts w:ascii="Arial" w:hAnsi="Arial"/>
          <w:color w:val="231F20"/>
          <w:w w:val="80"/>
          <w:sz w:val="14"/>
        </w:rPr>
        <w:t>“Vaccine</w:t>
      </w:r>
      <w:r>
        <w:rPr>
          <w:rFonts w:ascii="Arial" w:hAnsi="Arial"/>
          <w:color w:val="231F20"/>
          <w:spacing w:val="-2"/>
          <w:w w:val="80"/>
          <w:sz w:val="14"/>
        </w:rPr>
        <w:t> </w:t>
      </w:r>
      <w:r>
        <w:rPr>
          <w:rFonts w:ascii="Arial" w:hAnsi="Arial"/>
          <w:color w:val="231F20"/>
          <w:w w:val="80"/>
          <w:sz w:val="14"/>
        </w:rPr>
        <w:t>Cold</w:t>
      </w:r>
      <w:r>
        <w:rPr>
          <w:rFonts w:ascii="Arial" w:hAnsi="Arial"/>
          <w:color w:val="231F20"/>
          <w:spacing w:val="-2"/>
          <w:w w:val="80"/>
          <w:sz w:val="14"/>
        </w:rPr>
        <w:t> </w:t>
      </w:r>
      <w:r>
        <w:rPr>
          <w:rFonts w:ascii="Arial" w:hAnsi="Arial"/>
          <w:color w:val="231F20"/>
          <w:w w:val="80"/>
          <w:sz w:val="14"/>
        </w:rPr>
        <w:t>Chain</w:t>
      </w:r>
      <w:r>
        <w:rPr>
          <w:rFonts w:ascii="Arial" w:hAnsi="Arial"/>
          <w:color w:val="231F20"/>
          <w:spacing w:val="-2"/>
          <w:w w:val="80"/>
          <w:sz w:val="14"/>
        </w:rPr>
        <w:t> </w:t>
      </w:r>
      <w:r>
        <w:rPr>
          <w:rFonts w:ascii="Arial" w:hAnsi="Arial"/>
          <w:color w:val="231F20"/>
          <w:w w:val="80"/>
          <w:sz w:val="14"/>
        </w:rPr>
        <w:t>Management</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2"/>
          <w:w w:val="80"/>
          <w:sz w:val="14"/>
        </w:rPr>
        <w:t> </w:t>
      </w:r>
      <w:r>
        <w:rPr>
          <w:rFonts w:ascii="Arial" w:hAnsi="Arial"/>
          <w:color w:val="231F20"/>
          <w:w w:val="80"/>
          <w:sz w:val="14"/>
        </w:rPr>
        <w:t>Cold</w:t>
      </w:r>
      <w:r>
        <w:rPr>
          <w:rFonts w:ascii="Arial" w:hAnsi="Arial"/>
          <w:color w:val="231F20"/>
          <w:spacing w:val="-2"/>
          <w:w w:val="80"/>
          <w:sz w:val="14"/>
        </w:rPr>
        <w:t> </w:t>
      </w:r>
      <w:r>
        <w:rPr>
          <w:rFonts w:ascii="Arial" w:hAnsi="Arial"/>
          <w:color w:val="231F20"/>
          <w:w w:val="80"/>
          <w:sz w:val="14"/>
        </w:rPr>
        <w:t>Storage</w:t>
      </w:r>
      <w:r>
        <w:rPr>
          <w:rFonts w:ascii="Arial" w:hAnsi="Arial"/>
          <w:color w:val="231F20"/>
          <w:spacing w:val="-3"/>
          <w:w w:val="80"/>
          <w:sz w:val="14"/>
        </w:rPr>
        <w:t> </w:t>
      </w:r>
      <w:r>
        <w:rPr>
          <w:rFonts w:ascii="Arial" w:hAnsi="Arial"/>
          <w:color w:val="231F20"/>
          <w:w w:val="80"/>
          <w:sz w:val="14"/>
        </w:rPr>
        <w:t>Technology</w:t>
      </w:r>
      <w:r>
        <w:rPr>
          <w:rFonts w:ascii="Arial" w:hAnsi="Arial"/>
          <w:color w:val="231F20"/>
          <w:spacing w:val="-2"/>
          <w:w w:val="80"/>
          <w:sz w:val="14"/>
        </w:rPr>
        <w:t> </w:t>
      </w:r>
      <w:r>
        <w:rPr>
          <w:rFonts w:ascii="Arial" w:hAnsi="Arial"/>
          <w:color w:val="231F20"/>
          <w:w w:val="80"/>
          <w:sz w:val="14"/>
        </w:rPr>
        <w:t>to</w:t>
      </w:r>
      <w:r>
        <w:rPr>
          <w:rFonts w:ascii="Arial" w:hAnsi="Arial"/>
          <w:color w:val="231F20"/>
          <w:spacing w:val="40"/>
          <w:sz w:val="14"/>
        </w:rPr>
        <w:t> </w:t>
      </w:r>
      <w:r>
        <w:rPr>
          <w:rFonts w:ascii="Arial" w:hAnsi="Arial"/>
          <w:color w:val="231F20"/>
          <w:w w:val="80"/>
          <w:sz w:val="14"/>
        </w:rPr>
        <w:t>Address</w:t>
      </w:r>
      <w:r>
        <w:rPr>
          <w:rFonts w:ascii="Arial" w:hAnsi="Arial"/>
          <w:color w:val="231F20"/>
          <w:spacing w:val="-2"/>
          <w:w w:val="80"/>
          <w:sz w:val="14"/>
        </w:rPr>
        <w:t> </w:t>
      </w:r>
      <w:r>
        <w:rPr>
          <w:rFonts w:ascii="Arial" w:hAnsi="Arial"/>
          <w:color w:val="231F20"/>
          <w:w w:val="80"/>
          <w:sz w:val="14"/>
        </w:rPr>
        <w:t>the</w:t>
      </w:r>
      <w:r>
        <w:rPr>
          <w:rFonts w:ascii="Arial" w:hAnsi="Arial"/>
          <w:color w:val="231F20"/>
          <w:spacing w:val="-2"/>
          <w:w w:val="80"/>
          <w:sz w:val="14"/>
        </w:rPr>
        <w:t> </w:t>
      </w:r>
      <w:r>
        <w:rPr>
          <w:rFonts w:ascii="Arial" w:hAnsi="Arial"/>
          <w:color w:val="231F20"/>
          <w:w w:val="80"/>
          <w:sz w:val="14"/>
        </w:rPr>
        <w:t>Challenges</w:t>
      </w:r>
      <w:r>
        <w:rPr>
          <w:rFonts w:ascii="Arial" w:hAnsi="Arial"/>
          <w:color w:val="231F20"/>
          <w:spacing w:val="-2"/>
          <w:w w:val="80"/>
          <w:sz w:val="14"/>
        </w:rPr>
        <w:t> </w:t>
      </w:r>
      <w:r>
        <w:rPr>
          <w:rFonts w:ascii="Arial" w:hAnsi="Arial"/>
          <w:color w:val="231F20"/>
          <w:w w:val="80"/>
          <w:sz w:val="14"/>
        </w:rPr>
        <w:t>of</w:t>
      </w:r>
      <w:r>
        <w:rPr>
          <w:rFonts w:ascii="Arial" w:hAnsi="Arial"/>
          <w:color w:val="231F20"/>
          <w:spacing w:val="-4"/>
          <w:w w:val="80"/>
          <w:sz w:val="14"/>
        </w:rPr>
        <w:t> </w:t>
      </w:r>
      <w:r>
        <w:rPr>
          <w:rFonts w:ascii="Arial" w:hAnsi="Arial"/>
          <w:color w:val="231F20"/>
          <w:w w:val="80"/>
          <w:sz w:val="14"/>
        </w:rPr>
        <w:t>Vaccination</w:t>
      </w:r>
      <w:r>
        <w:rPr>
          <w:rFonts w:ascii="Arial" w:hAnsi="Arial"/>
          <w:color w:val="231F20"/>
          <w:spacing w:val="-1"/>
          <w:w w:val="80"/>
          <w:sz w:val="14"/>
        </w:rPr>
        <w:t> </w:t>
      </w:r>
      <w:r>
        <w:rPr>
          <w:rFonts w:ascii="Arial" w:hAnsi="Arial"/>
          <w:color w:val="231F20"/>
          <w:w w:val="80"/>
          <w:sz w:val="14"/>
        </w:rPr>
        <w:t>Programs.”</w:t>
      </w:r>
      <w:r>
        <w:rPr>
          <w:rFonts w:ascii="Arial" w:hAnsi="Arial"/>
          <w:color w:val="231F20"/>
          <w:spacing w:val="-4"/>
          <w:w w:val="80"/>
          <w:sz w:val="14"/>
        </w:rPr>
        <w:t> </w:t>
      </w:r>
      <w:r>
        <w:rPr>
          <w:rFonts w:ascii="Arial" w:hAnsi="Arial"/>
          <w:i/>
          <w:color w:val="231F20"/>
          <w:w w:val="80"/>
          <w:sz w:val="14"/>
        </w:rPr>
        <w:t>Energy</w:t>
      </w:r>
      <w:r>
        <w:rPr>
          <w:rFonts w:ascii="Arial" w:hAnsi="Arial"/>
          <w:i/>
          <w:color w:val="231F20"/>
          <w:spacing w:val="-2"/>
          <w:w w:val="80"/>
          <w:sz w:val="14"/>
        </w:rPr>
        <w:t> </w:t>
      </w:r>
      <w:r>
        <w:rPr>
          <w:rFonts w:ascii="Arial" w:hAnsi="Arial"/>
          <w:i/>
          <w:color w:val="231F20"/>
          <w:w w:val="80"/>
          <w:sz w:val="14"/>
        </w:rPr>
        <w:t>Reports</w:t>
      </w:r>
      <w:r>
        <w:rPr>
          <w:rFonts w:ascii="Arial" w:hAnsi="Arial"/>
          <w:i/>
          <w:color w:val="231F20"/>
          <w:spacing w:val="40"/>
          <w:sz w:val="14"/>
        </w:rPr>
        <w:t> </w:t>
      </w:r>
      <w:r>
        <w:rPr>
          <w:rFonts w:ascii="Arial" w:hAnsi="Arial"/>
          <w:color w:val="231F20"/>
          <w:w w:val="85"/>
          <w:sz w:val="14"/>
        </w:rPr>
        <w:t>8: 955–972. </w:t>
      </w:r>
      <w:hyperlink r:id="rId199">
        <w:r>
          <w:rPr>
            <w:rFonts w:ascii="Arial" w:hAnsi="Arial"/>
            <w:color w:val="231F20"/>
            <w:w w:val="85"/>
            <w:sz w:val="14"/>
          </w:rPr>
          <w:t>https://www.sciencedirect.com/science/article/pii</w:t>
        </w:r>
      </w:hyperlink>
    </w:p>
    <w:p>
      <w:pPr>
        <w:spacing w:before="2"/>
        <w:ind w:left="440" w:right="0" w:firstLine="0"/>
        <w:jc w:val="left"/>
        <w:rPr>
          <w:rFonts w:ascii="Arial"/>
          <w:sz w:val="14"/>
        </w:rPr>
      </w:pPr>
      <w:hyperlink r:id="rId199">
        <w:r>
          <w:rPr>
            <w:rFonts w:ascii="Arial"/>
            <w:color w:val="231F20"/>
            <w:spacing w:val="-2"/>
            <w:w w:val="95"/>
            <w:sz w:val="14"/>
          </w:rPr>
          <w:t>/S2352484721014785</w:t>
        </w:r>
      </w:hyperlink>
      <w:r>
        <w:rPr>
          <w:rFonts w:ascii="Arial"/>
          <w:color w:val="231F20"/>
          <w:spacing w:val="-2"/>
          <w:w w:val="95"/>
          <w:sz w:val="14"/>
        </w:rPr>
        <w:t>.</w:t>
      </w:r>
    </w:p>
    <w:p>
      <w:pPr>
        <w:spacing w:before="39"/>
        <w:ind w:left="55" w:right="44" w:firstLine="0"/>
        <w:jc w:val="center"/>
        <w:rPr>
          <w:rFonts w:ascii="Arial" w:hAnsi="Arial"/>
          <w:i/>
          <w:sz w:val="14"/>
        </w:rPr>
      </w:pPr>
      <w:r>
        <w:rPr>
          <w:rFonts w:ascii="Arial" w:hAnsi="Arial"/>
          <w:color w:val="231F20"/>
          <w:w w:val="80"/>
          <w:sz w:val="14"/>
        </w:rPr>
        <w:t>Powers,</w:t>
      </w:r>
      <w:r>
        <w:rPr>
          <w:rFonts w:ascii="Arial" w:hAnsi="Arial"/>
          <w:color w:val="231F20"/>
          <w:spacing w:val="-2"/>
          <w:w w:val="80"/>
          <w:sz w:val="14"/>
        </w:rPr>
        <w:t> </w:t>
      </w:r>
      <w:r>
        <w:rPr>
          <w:rFonts w:ascii="Arial" w:hAnsi="Arial"/>
          <w:color w:val="231F20"/>
          <w:w w:val="80"/>
          <w:sz w:val="14"/>
        </w:rPr>
        <w:t>M.</w:t>
      </w:r>
      <w:r>
        <w:rPr>
          <w:rFonts w:ascii="Arial" w:hAnsi="Arial"/>
          <w:color w:val="231F20"/>
          <w:spacing w:val="-5"/>
          <w:sz w:val="14"/>
        </w:rPr>
        <w:t> </w:t>
      </w:r>
      <w:r>
        <w:rPr>
          <w:rFonts w:ascii="Arial" w:hAnsi="Arial"/>
          <w:color w:val="231F20"/>
          <w:w w:val="80"/>
          <w:sz w:val="14"/>
        </w:rPr>
        <w:t>2021.</w:t>
      </w:r>
      <w:r>
        <w:rPr>
          <w:rFonts w:ascii="Arial" w:hAnsi="Arial"/>
          <w:color w:val="231F20"/>
          <w:spacing w:val="-2"/>
          <w:w w:val="80"/>
          <w:sz w:val="14"/>
        </w:rPr>
        <w:t> </w:t>
      </w:r>
      <w:r>
        <w:rPr>
          <w:rFonts w:ascii="Arial" w:hAnsi="Arial"/>
          <w:color w:val="231F20"/>
          <w:w w:val="80"/>
          <w:sz w:val="14"/>
        </w:rPr>
        <w:t>“America’s</w:t>
      </w:r>
      <w:r>
        <w:rPr>
          <w:rFonts w:ascii="Arial" w:hAnsi="Arial"/>
          <w:color w:val="231F20"/>
          <w:spacing w:val="-5"/>
          <w:sz w:val="14"/>
        </w:rPr>
        <w:t> </w:t>
      </w:r>
      <w:r>
        <w:rPr>
          <w:rFonts w:ascii="Arial" w:hAnsi="Arial"/>
          <w:color w:val="231F20"/>
          <w:w w:val="80"/>
          <w:sz w:val="14"/>
        </w:rPr>
        <w:t>Broken</w:t>
      </w:r>
      <w:r>
        <w:rPr>
          <w:rFonts w:ascii="Arial" w:hAnsi="Arial"/>
          <w:color w:val="231F20"/>
          <w:spacing w:val="-4"/>
          <w:sz w:val="14"/>
        </w:rPr>
        <w:t> </w:t>
      </w:r>
      <w:r>
        <w:rPr>
          <w:rFonts w:ascii="Arial" w:hAnsi="Arial"/>
          <w:color w:val="231F20"/>
          <w:w w:val="80"/>
          <w:sz w:val="14"/>
        </w:rPr>
        <w:t>Supply</w:t>
      </w:r>
      <w:r>
        <w:rPr>
          <w:rFonts w:ascii="Arial" w:hAnsi="Arial"/>
          <w:color w:val="231F20"/>
          <w:spacing w:val="-5"/>
          <w:sz w:val="14"/>
        </w:rPr>
        <w:t> </w:t>
      </w:r>
      <w:r>
        <w:rPr>
          <w:rFonts w:ascii="Arial" w:hAnsi="Arial"/>
          <w:color w:val="231F20"/>
          <w:w w:val="80"/>
          <w:sz w:val="14"/>
        </w:rPr>
        <w:t>Chain.”</w:t>
      </w:r>
      <w:r>
        <w:rPr>
          <w:rFonts w:ascii="Arial" w:hAnsi="Arial"/>
          <w:color w:val="231F20"/>
          <w:spacing w:val="-2"/>
          <w:w w:val="80"/>
          <w:sz w:val="14"/>
        </w:rPr>
        <w:t> </w:t>
      </w:r>
      <w:r>
        <w:rPr>
          <w:rFonts w:ascii="Arial" w:hAnsi="Arial"/>
          <w:i/>
          <w:color w:val="231F20"/>
          <w:w w:val="80"/>
          <w:sz w:val="14"/>
        </w:rPr>
        <w:t>The</w:t>
      </w:r>
      <w:r>
        <w:rPr>
          <w:rFonts w:ascii="Arial" w:hAnsi="Arial"/>
          <w:i/>
          <w:color w:val="231F20"/>
          <w:spacing w:val="-2"/>
          <w:w w:val="80"/>
          <w:sz w:val="14"/>
        </w:rPr>
        <w:t> </w:t>
      </w:r>
      <w:r>
        <w:rPr>
          <w:rFonts w:ascii="Arial" w:hAnsi="Arial"/>
          <w:i/>
          <w:color w:val="231F20"/>
          <w:w w:val="80"/>
          <w:sz w:val="14"/>
        </w:rPr>
        <w:t>Washington</w:t>
      </w:r>
      <w:r>
        <w:rPr>
          <w:rFonts w:ascii="Arial" w:hAnsi="Arial"/>
          <w:i/>
          <w:color w:val="231F20"/>
          <w:spacing w:val="-4"/>
          <w:sz w:val="14"/>
        </w:rPr>
        <w:t> </w:t>
      </w:r>
      <w:r>
        <w:rPr>
          <w:rFonts w:ascii="Arial" w:hAnsi="Arial"/>
          <w:i/>
          <w:color w:val="231F20"/>
          <w:spacing w:val="-4"/>
          <w:w w:val="80"/>
          <w:sz w:val="14"/>
        </w:rPr>
        <w:t>Post</w:t>
      </w:r>
    </w:p>
    <w:p>
      <w:pPr>
        <w:spacing w:before="39"/>
        <w:ind w:left="55" w:right="0" w:firstLine="0"/>
        <w:jc w:val="center"/>
        <w:rPr>
          <w:rFonts w:ascii="Arial"/>
          <w:sz w:val="14"/>
        </w:rPr>
      </w:pPr>
      <w:r>
        <w:rPr>
          <w:rFonts w:ascii="Arial"/>
          <w:color w:val="231F20"/>
          <w:w w:val="75"/>
          <w:sz w:val="14"/>
        </w:rPr>
        <w:t>(podcast),</w:t>
      </w:r>
      <w:r>
        <w:rPr>
          <w:rFonts w:ascii="Arial"/>
          <w:color w:val="231F20"/>
          <w:spacing w:val="32"/>
          <w:sz w:val="14"/>
        </w:rPr>
        <w:t> </w:t>
      </w:r>
      <w:r>
        <w:rPr>
          <w:rFonts w:ascii="Arial"/>
          <w:color w:val="231F20"/>
          <w:w w:val="75"/>
          <w:sz w:val="14"/>
        </w:rPr>
        <w:t>October</w:t>
      </w:r>
      <w:r>
        <w:rPr>
          <w:rFonts w:ascii="Arial"/>
          <w:color w:val="231F20"/>
          <w:spacing w:val="44"/>
          <w:sz w:val="14"/>
        </w:rPr>
        <w:t> </w:t>
      </w:r>
      <w:r>
        <w:rPr>
          <w:rFonts w:ascii="Arial"/>
          <w:color w:val="231F20"/>
          <w:w w:val="75"/>
          <w:sz w:val="14"/>
        </w:rPr>
        <w:t>20.</w:t>
      </w:r>
      <w:r>
        <w:rPr>
          <w:rFonts w:ascii="Arial"/>
          <w:color w:val="231F20"/>
          <w:spacing w:val="32"/>
          <w:sz w:val="14"/>
        </w:rPr>
        <w:t> </w:t>
      </w:r>
      <w:hyperlink r:id="rId198">
        <w:r>
          <w:rPr>
            <w:rFonts w:ascii="Arial"/>
            <w:color w:val="231F20"/>
            <w:spacing w:val="-2"/>
            <w:w w:val="75"/>
            <w:sz w:val="14"/>
          </w:rPr>
          <w:t>https://www.washingtonpost.com/podcasts</w:t>
        </w:r>
      </w:hyperlink>
    </w:p>
    <w:p>
      <w:pPr>
        <w:spacing w:before="39"/>
        <w:ind w:left="0" w:right="947" w:firstLine="0"/>
        <w:jc w:val="center"/>
        <w:rPr>
          <w:rFonts w:ascii="Arial"/>
          <w:sz w:val="14"/>
        </w:rPr>
      </w:pPr>
      <w:hyperlink r:id="rId198">
        <w:r>
          <w:rPr>
            <w:rFonts w:ascii="Arial"/>
            <w:color w:val="231F20"/>
            <w:w w:val="80"/>
            <w:sz w:val="14"/>
          </w:rPr>
          <w:t>/post-reports/americas-broken-supply-</w:t>
        </w:r>
        <w:r>
          <w:rPr>
            <w:rFonts w:ascii="Arial"/>
            <w:color w:val="231F20"/>
            <w:spacing w:val="-2"/>
            <w:w w:val="80"/>
            <w:sz w:val="14"/>
          </w:rPr>
          <w:t>chain/</w:t>
        </w:r>
      </w:hyperlink>
      <w:r>
        <w:rPr>
          <w:rFonts w:ascii="Arial"/>
          <w:color w:val="231F20"/>
          <w:spacing w:val="-2"/>
          <w:w w:val="80"/>
          <w:sz w:val="14"/>
        </w:rPr>
        <w:t>.</w:t>
      </w:r>
    </w:p>
    <w:p>
      <w:pPr>
        <w:spacing w:line="297" w:lineRule="auto" w:before="39"/>
        <w:ind w:left="440" w:right="16" w:hanging="240"/>
        <w:jc w:val="left"/>
        <w:rPr>
          <w:rFonts w:ascii="Arial"/>
          <w:sz w:val="14"/>
        </w:rPr>
      </w:pPr>
      <w:r>
        <w:rPr>
          <w:rFonts w:ascii="Arial"/>
          <w:color w:val="231F20"/>
          <w:w w:val="80"/>
          <w:sz w:val="14"/>
        </w:rPr>
        <w:t>Raballand, G., S. Refas, M. Beuran, and G. Isik. 2012. </w:t>
      </w:r>
      <w:r>
        <w:rPr>
          <w:rFonts w:ascii="Arial"/>
          <w:i/>
          <w:color w:val="231F20"/>
          <w:w w:val="80"/>
          <w:sz w:val="14"/>
        </w:rPr>
        <w:t>Why Does Cargo</w:t>
      </w:r>
      <w:r>
        <w:rPr>
          <w:rFonts w:ascii="Arial"/>
          <w:i/>
          <w:color w:val="231F20"/>
          <w:spacing w:val="40"/>
          <w:sz w:val="14"/>
        </w:rPr>
        <w:t> </w:t>
      </w:r>
      <w:r>
        <w:rPr>
          <w:rFonts w:ascii="Arial"/>
          <w:i/>
          <w:color w:val="231F20"/>
          <w:w w:val="80"/>
          <w:sz w:val="14"/>
        </w:rPr>
        <w:t>Spend Weeks in Sub-Saharan African Ports? Lessons From Six</w:t>
      </w:r>
      <w:r>
        <w:rPr>
          <w:rFonts w:ascii="Arial"/>
          <w:i/>
          <w:color w:val="231F20"/>
          <w:spacing w:val="40"/>
          <w:sz w:val="14"/>
        </w:rPr>
        <w:t> </w:t>
      </w:r>
      <w:r>
        <w:rPr>
          <w:rFonts w:ascii="Arial"/>
          <w:i/>
          <w:color w:val="231F20"/>
          <w:spacing w:val="-2"/>
          <w:w w:val="85"/>
          <w:sz w:val="14"/>
        </w:rPr>
        <w:t>Countries. </w:t>
      </w:r>
      <w:r>
        <w:rPr>
          <w:rFonts w:ascii="Arial"/>
          <w:color w:val="231F20"/>
          <w:spacing w:val="-2"/>
          <w:w w:val="85"/>
          <w:sz w:val="14"/>
        </w:rPr>
        <w:t>Washington, DC:</w:t>
      </w:r>
      <w:r>
        <w:rPr>
          <w:rFonts w:ascii="Arial"/>
          <w:color w:val="231F20"/>
          <w:spacing w:val="-5"/>
          <w:w w:val="85"/>
          <w:sz w:val="14"/>
        </w:rPr>
        <w:t> </w:t>
      </w:r>
      <w:r>
        <w:rPr>
          <w:rFonts w:ascii="Arial"/>
          <w:color w:val="231F20"/>
          <w:spacing w:val="-2"/>
          <w:w w:val="85"/>
          <w:sz w:val="14"/>
        </w:rPr>
        <w:t>World</w:t>
      </w:r>
      <w:r>
        <w:rPr>
          <w:rFonts w:ascii="Arial"/>
          <w:color w:val="231F20"/>
          <w:sz w:val="14"/>
        </w:rPr>
        <w:t> </w:t>
      </w:r>
      <w:r>
        <w:rPr>
          <w:rFonts w:ascii="Arial"/>
          <w:color w:val="231F20"/>
          <w:spacing w:val="-2"/>
          <w:w w:val="85"/>
          <w:sz w:val="14"/>
        </w:rPr>
        <w:t>Bank.</w:t>
      </w:r>
    </w:p>
    <w:p>
      <w:pPr>
        <w:spacing w:line="297" w:lineRule="auto" w:before="1"/>
        <w:ind w:left="440" w:right="300" w:hanging="240"/>
        <w:jc w:val="left"/>
        <w:rPr>
          <w:rFonts w:ascii="Arial" w:hAnsi="Arial"/>
          <w:sz w:val="14"/>
        </w:rPr>
      </w:pPr>
      <w:r>
        <w:rPr>
          <w:rFonts w:ascii="Arial" w:hAnsi="Arial"/>
          <w:color w:val="231F20"/>
          <w:w w:val="80"/>
          <w:sz w:val="14"/>
        </w:rPr>
        <w:t>Seyedghorban, Z., H. Tahernejad, R. Meriton, and G. Graham. 2020.</w:t>
      </w:r>
      <w:r>
        <w:rPr>
          <w:rFonts w:ascii="Arial" w:hAnsi="Arial"/>
          <w:color w:val="231F20"/>
          <w:spacing w:val="40"/>
          <w:sz w:val="14"/>
        </w:rPr>
        <w:t> </w:t>
      </w:r>
      <w:r>
        <w:rPr>
          <w:rFonts w:ascii="Arial" w:hAnsi="Arial"/>
          <w:color w:val="231F20"/>
          <w:w w:val="80"/>
          <w:sz w:val="14"/>
        </w:rPr>
        <w:t>“Supply</w:t>
      </w:r>
      <w:r>
        <w:rPr>
          <w:rFonts w:ascii="Arial" w:hAnsi="Arial"/>
          <w:color w:val="231F20"/>
          <w:spacing w:val="-2"/>
          <w:w w:val="80"/>
          <w:sz w:val="14"/>
        </w:rPr>
        <w:t> </w:t>
      </w:r>
      <w:r>
        <w:rPr>
          <w:rFonts w:ascii="Arial" w:hAnsi="Arial"/>
          <w:color w:val="231F20"/>
          <w:w w:val="80"/>
          <w:sz w:val="14"/>
        </w:rPr>
        <w:t>Chain</w:t>
      </w:r>
      <w:r>
        <w:rPr>
          <w:rFonts w:ascii="Arial" w:hAnsi="Arial"/>
          <w:color w:val="231F20"/>
          <w:spacing w:val="-2"/>
          <w:w w:val="80"/>
          <w:sz w:val="14"/>
        </w:rPr>
        <w:t> </w:t>
      </w:r>
      <w:r>
        <w:rPr>
          <w:rFonts w:ascii="Arial" w:hAnsi="Arial"/>
          <w:color w:val="231F20"/>
          <w:w w:val="80"/>
          <w:sz w:val="14"/>
        </w:rPr>
        <w:t>Digitalization:</w:t>
      </w:r>
      <w:r>
        <w:rPr>
          <w:rFonts w:ascii="Arial" w:hAnsi="Arial"/>
          <w:color w:val="231F20"/>
          <w:spacing w:val="-4"/>
          <w:w w:val="80"/>
          <w:sz w:val="14"/>
        </w:rPr>
        <w:t> </w:t>
      </w:r>
      <w:r>
        <w:rPr>
          <w:rFonts w:ascii="Arial" w:hAnsi="Arial"/>
          <w:color w:val="231F20"/>
          <w:w w:val="80"/>
          <w:sz w:val="14"/>
        </w:rPr>
        <w:t>Past,</w:t>
      </w:r>
      <w:r>
        <w:rPr>
          <w:rFonts w:ascii="Arial" w:hAnsi="Arial"/>
          <w:color w:val="231F20"/>
          <w:spacing w:val="-3"/>
          <w:w w:val="80"/>
          <w:sz w:val="14"/>
        </w:rPr>
        <w:t> </w:t>
      </w:r>
      <w:r>
        <w:rPr>
          <w:rFonts w:ascii="Arial" w:hAnsi="Arial"/>
          <w:color w:val="231F20"/>
          <w:w w:val="80"/>
          <w:sz w:val="14"/>
        </w:rPr>
        <w:t>Present</w:t>
      </w:r>
      <w:r>
        <w:rPr>
          <w:rFonts w:ascii="Arial" w:hAnsi="Arial"/>
          <w:color w:val="231F20"/>
          <w:spacing w:val="-2"/>
          <w:w w:val="80"/>
          <w:sz w:val="14"/>
        </w:rPr>
        <w:t> </w:t>
      </w:r>
      <w:r>
        <w:rPr>
          <w:rFonts w:ascii="Arial" w:hAnsi="Arial"/>
          <w:color w:val="231F20"/>
          <w:w w:val="80"/>
          <w:sz w:val="14"/>
        </w:rPr>
        <w:t>and</w:t>
      </w:r>
      <w:r>
        <w:rPr>
          <w:rFonts w:ascii="Arial" w:hAnsi="Arial"/>
          <w:color w:val="231F20"/>
          <w:spacing w:val="-2"/>
          <w:w w:val="80"/>
          <w:sz w:val="14"/>
        </w:rPr>
        <w:t> </w:t>
      </w:r>
      <w:r>
        <w:rPr>
          <w:rFonts w:ascii="Arial" w:hAnsi="Arial"/>
          <w:color w:val="231F20"/>
          <w:w w:val="80"/>
          <w:sz w:val="14"/>
        </w:rPr>
        <w:t>Future.”</w:t>
      </w:r>
      <w:r>
        <w:rPr>
          <w:rFonts w:ascii="Arial" w:hAnsi="Arial"/>
          <w:color w:val="231F20"/>
          <w:spacing w:val="-3"/>
          <w:w w:val="80"/>
          <w:sz w:val="14"/>
        </w:rPr>
        <w:t> </w:t>
      </w:r>
      <w:r>
        <w:rPr>
          <w:rFonts w:ascii="Arial" w:hAnsi="Arial"/>
          <w:i/>
          <w:color w:val="231F20"/>
          <w:w w:val="80"/>
          <w:sz w:val="14"/>
        </w:rPr>
        <w:t>Production</w:t>
      </w:r>
      <w:r>
        <w:rPr>
          <w:rFonts w:ascii="Arial" w:hAnsi="Arial"/>
          <w:i/>
          <w:color w:val="231F20"/>
          <w:spacing w:val="40"/>
          <w:sz w:val="14"/>
        </w:rPr>
        <w:t> </w:t>
      </w:r>
      <w:r>
        <w:rPr>
          <w:rFonts w:ascii="Arial" w:hAnsi="Arial"/>
          <w:i/>
          <w:color w:val="231F20"/>
          <w:w w:val="85"/>
          <w:sz w:val="14"/>
        </w:rPr>
        <w:t>Planning &amp; Control </w:t>
      </w:r>
      <w:r>
        <w:rPr>
          <w:rFonts w:ascii="Arial" w:hAnsi="Arial"/>
          <w:color w:val="231F20"/>
          <w:w w:val="85"/>
          <w:sz w:val="14"/>
        </w:rPr>
        <w:t>31 (2–3): 96–114.</w:t>
      </w:r>
    </w:p>
    <w:p>
      <w:pPr>
        <w:spacing w:before="1"/>
        <w:ind w:left="0" w:right="142" w:firstLine="0"/>
        <w:jc w:val="center"/>
        <w:rPr>
          <w:rFonts w:ascii="Arial" w:hAnsi="Arial"/>
          <w:i/>
          <w:sz w:val="14"/>
        </w:rPr>
      </w:pPr>
      <w:r>
        <w:rPr>
          <w:rFonts w:ascii="Arial" w:hAnsi="Arial"/>
          <w:color w:val="231F20"/>
          <w:spacing w:val="-2"/>
          <w:w w:val="80"/>
          <w:sz w:val="14"/>
        </w:rPr>
        <w:t>Shah,</w:t>
      </w:r>
      <w:r>
        <w:rPr>
          <w:rFonts w:ascii="Arial" w:hAnsi="Arial"/>
          <w:color w:val="231F20"/>
          <w:spacing w:val="-3"/>
          <w:sz w:val="14"/>
        </w:rPr>
        <w:t> </w:t>
      </w:r>
      <w:r>
        <w:rPr>
          <w:rFonts w:ascii="Arial" w:hAnsi="Arial"/>
          <w:color w:val="231F20"/>
          <w:spacing w:val="-2"/>
          <w:w w:val="80"/>
          <w:sz w:val="14"/>
        </w:rPr>
        <w:t>S.</w:t>
      </w:r>
      <w:r>
        <w:rPr>
          <w:rFonts w:ascii="Arial" w:hAnsi="Arial"/>
          <w:color w:val="231F20"/>
          <w:spacing w:val="3"/>
          <w:sz w:val="14"/>
        </w:rPr>
        <w:t> </w:t>
      </w:r>
      <w:r>
        <w:rPr>
          <w:rFonts w:ascii="Arial" w:hAnsi="Arial"/>
          <w:color w:val="231F20"/>
          <w:spacing w:val="-2"/>
          <w:w w:val="80"/>
          <w:sz w:val="14"/>
        </w:rPr>
        <w:t>2022.</w:t>
      </w:r>
      <w:r>
        <w:rPr>
          <w:rFonts w:ascii="Arial" w:hAnsi="Arial"/>
          <w:color w:val="231F20"/>
          <w:spacing w:val="-2"/>
          <w:sz w:val="14"/>
        </w:rPr>
        <w:t> </w:t>
      </w:r>
      <w:r>
        <w:rPr>
          <w:rFonts w:ascii="Arial" w:hAnsi="Arial"/>
          <w:color w:val="231F20"/>
          <w:spacing w:val="-2"/>
          <w:w w:val="80"/>
          <w:sz w:val="14"/>
        </w:rPr>
        <w:t>“Africa</w:t>
      </w:r>
      <w:r>
        <w:rPr>
          <w:rFonts w:ascii="Arial" w:hAnsi="Arial"/>
          <w:color w:val="231F20"/>
          <w:spacing w:val="3"/>
          <w:sz w:val="14"/>
        </w:rPr>
        <w:t> </w:t>
      </w:r>
      <w:r>
        <w:rPr>
          <w:rFonts w:ascii="Arial" w:hAnsi="Arial"/>
          <w:color w:val="231F20"/>
          <w:spacing w:val="-2"/>
          <w:w w:val="80"/>
          <w:sz w:val="14"/>
        </w:rPr>
        <w:t>Needs</w:t>
      </w:r>
      <w:r>
        <w:rPr>
          <w:rFonts w:ascii="Arial" w:hAnsi="Arial"/>
          <w:color w:val="231F20"/>
          <w:spacing w:val="4"/>
          <w:sz w:val="14"/>
        </w:rPr>
        <w:t> </w:t>
      </w:r>
      <w:r>
        <w:rPr>
          <w:rFonts w:ascii="Arial" w:hAnsi="Arial"/>
          <w:color w:val="231F20"/>
          <w:spacing w:val="-2"/>
          <w:w w:val="80"/>
          <w:sz w:val="14"/>
        </w:rPr>
        <w:t>More,</w:t>
      </w:r>
      <w:r>
        <w:rPr>
          <w:rFonts w:ascii="Arial" w:hAnsi="Arial"/>
          <w:color w:val="231F20"/>
          <w:spacing w:val="-3"/>
          <w:sz w:val="14"/>
        </w:rPr>
        <w:t> </w:t>
      </w:r>
      <w:r>
        <w:rPr>
          <w:rFonts w:ascii="Arial" w:hAnsi="Arial"/>
          <w:color w:val="231F20"/>
          <w:spacing w:val="-2"/>
          <w:w w:val="80"/>
          <w:sz w:val="14"/>
        </w:rPr>
        <w:t>Not</w:t>
      </w:r>
      <w:r>
        <w:rPr>
          <w:rFonts w:ascii="Arial" w:hAnsi="Arial"/>
          <w:color w:val="231F20"/>
          <w:spacing w:val="4"/>
          <w:sz w:val="14"/>
        </w:rPr>
        <w:t> </w:t>
      </w:r>
      <w:r>
        <w:rPr>
          <w:rFonts w:ascii="Arial" w:hAnsi="Arial"/>
          <w:color w:val="231F20"/>
          <w:spacing w:val="-2"/>
          <w:w w:val="80"/>
          <w:sz w:val="14"/>
        </w:rPr>
        <w:t>Less,</w:t>
      </w:r>
      <w:r>
        <w:rPr>
          <w:rFonts w:ascii="Arial" w:hAnsi="Arial"/>
          <w:color w:val="231F20"/>
          <w:spacing w:val="-3"/>
          <w:sz w:val="14"/>
        </w:rPr>
        <w:t> </w:t>
      </w:r>
      <w:r>
        <w:rPr>
          <w:rFonts w:ascii="Arial" w:hAnsi="Arial"/>
          <w:color w:val="231F20"/>
          <w:spacing w:val="-2"/>
          <w:w w:val="80"/>
          <w:sz w:val="14"/>
        </w:rPr>
        <w:t>Fertilizer.”</w:t>
      </w:r>
      <w:r>
        <w:rPr>
          <w:rFonts w:ascii="Arial" w:hAnsi="Arial"/>
          <w:color w:val="231F20"/>
          <w:spacing w:val="-3"/>
          <w:sz w:val="14"/>
        </w:rPr>
        <w:t> </w:t>
      </w:r>
      <w:r>
        <w:rPr>
          <w:rFonts w:ascii="Arial" w:hAnsi="Arial"/>
          <w:i/>
          <w:color w:val="231F20"/>
          <w:spacing w:val="-2"/>
          <w:w w:val="80"/>
          <w:sz w:val="14"/>
        </w:rPr>
        <w:t>Foreign</w:t>
      </w:r>
      <w:r>
        <w:rPr>
          <w:rFonts w:ascii="Arial" w:hAnsi="Arial"/>
          <w:i/>
          <w:color w:val="231F20"/>
          <w:spacing w:val="4"/>
          <w:sz w:val="14"/>
        </w:rPr>
        <w:t> </w:t>
      </w:r>
      <w:r>
        <w:rPr>
          <w:rFonts w:ascii="Arial" w:hAnsi="Arial"/>
          <w:i/>
          <w:color w:val="231F20"/>
          <w:spacing w:val="-2"/>
          <w:w w:val="80"/>
          <w:sz w:val="14"/>
        </w:rPr>
        <w:t>Policy,</w:t>
      </w:r>
    </w:p>
    <w:p>
      <w:pPr>
        <w:spacing w:before="39"/>
        <w:ind w:left="18" w:right="142" w:firstLine="0"/>
        <w:jc w:val="center"/>
        <w:rPr>
          <w:rFonts w:ascii="Arial"/>
          <w:sz w:val="14"/>
        </w:rPr>
      </w:pPr>
      <w:r>
        <w:rPr>
          <w:rFonts w:ascii="Arial"/>
          <w:color w:val="231F20"/>
          <w:w w:val="80"/>
          <w:sz w:val="14"/>
        </w:rPr>
        <w:t>October</w:t>
      </w:r>
      <w:r>
        <w:rPr>
          <w:rFonts w:ascii="Arial"/>
          <w:color w:val="231F20"/>
          <w:spacing w:val="38"/>
          <w:sz w:val="14"/>
        </w:rPr>
        <w:t> </w:t>
      </w:r>
      <w:r>
        <w:rPr>
          <w:rFonts w:ascii="Arial"/>
          <w:color w:val="231F20"/>
          <w:w w:val="80"/>
          <w:sz w:val="14"/>
        </w:rPr>
        <w:t>8.</w:t>
      </w:r>
      <w:r>
        <w:rPr>
          <w:rFonts w:ascii="Arial"/>
          <w:color w:val="231F20"/>
          <w:spacing w:val="26"/>
          <w:sz w:val="14"/>
        </w:rPr>
        <w:t> </w:t>
      </w:r>
      <w:hyperlink r:id="rId200">
        <w:r>
          <w:rPr>
            <w:rFonts w:ascii="Arial"/>
            <w:color w:val="231F20"/>
            <w:w w:val="80"/>
            <w:sz w:val="14"/>
          </w:rPr>
          <w:t>https://foreignpolicy.com/2022/10/08/fertilizer-</w:t>
        </w:r>
        <w:r>
          <w:rPr>
            <w:rFonts w:ascii="Arial"/>
            <w:color w:val="231F20"/>
            <w:spacing w:val="-5"/>
            <w:w w:val="80"/>
            <w:sz w:val="14"/>
          </w:rPr>
          <w:t>war</w:t>
        </w:r>
      </w:hyperlink>
    </w:p>
    <w:p>
      <w:pPr>
        <w:spacing w:before="39"/>
        <w:ind w:left="55" w:right="813" w:firstLine="0"/>
        <w:jc w:val="center"/>
        <w:rPr>
          <w:rFonts w:ascii="Arial"/>
          <w:sz w:val="14"/>
        </w:rPr>
      </w:pPr>
      <w:hyperlink r:id="rId200">
        <w:r>
          <w:rPr>
            <w:rFonts w:ascii="Arial"/>
            <w:color w:val="231F20"/>
            <w:w w:val="80"/>
            <w:sz w:val="14"/>
          </w:rPr>
          <w:t>-climate-shortage-food-agriculture-africa-</w:t>
        </w:r>
        <w:r>
          <w:rPr>
            <w:rFonts w:ascii="Arial"/>
            <w:color w:val="231F20"/>
            <w:spacing w:val="-2"/>
            <w:w w:val="80"/>
            <w:sz w:val="14"/>
          </w:rPr>
          <w:t>europe</w:t>
        </w:r>
      </w:hyperlink>
      <w:r>
        <w:rPr>
          <w:rFonts w:ascii="Arial"/>
          <w:color w:val="231F20"/>
          <w:spacing w:val="-2"/>
          <w:w w:val="80"/>
          <w:sz w:val="14"/>
        </w:rPr>
        <w:t>.</w:t>
      </w:r>
    </w:p>
    <w:p>
      <w:pPr>
        <w:spacing w:line="297" w:lineRule="auto" w:before="39"/>
        <w:ind w:left="440" w:right="370" w:hanging="240"/>
        <w:jc w:val="left"/>
        <w:rPr>
          <w:rFonts w:ascii="Arial" w:hAnsi="Arial"/>
          <w:sz w:val="14"/>
        </w:rPr>
      </w:pPr>
      <w:r>
        <w:rPr>
          <w:rFonts w:ascii="Arial" w:hAnsi="Arial"/>
          <w:color w:val="231F20"/>
          <w:w w:val="80"/>
          <w:sz w:val="14"/>
        </w:rPr>
        <w:t>UNCTAD (United Nations Conference on Trade and </w:t>
      </w:r>
      <w:r>
        <w:rPr>
          <w:rFonts w:ascii="Arial" w:hAnsi="Arial"/>
          <w:color w:val="231F20"/>
          <w:w w:val="80"/>
          <w:sz w:val="14"/>
        </w:rPr>
        <w:t>Development).</w:t>
      </w:r>
      <w:r>
        <w:rPr>
          <w:rFonts w:ascii="Arial" w:hAnsi="Arial"/>
          <w:color w:val="231F20"/>
          <w:spacing w:val="40"/>
          <w:sz w:val="14"/>
        </w:rPr>
        <w:t> </w:t>
      </w:r>
      <w:r>
        <w:rPr>
          <w:rFonts w:ascii="Arial" w:hAnsi="Arial"/>
          <w:color w:val="231F20"/>
          <w:w w:val="80"/>
          <w:sz w:val="14"/>
        </w:rPr>
        <w:t>2021a. “Global E-Commerce Jumps to $26.7 Trillion, COVID-19</w:t>
      </w:r>
      <w:r>
        <w:rPr>
          <w:rFonts w:ascii="Arial" w:hAnsi="Arial"/>
          <w:color w:val="231F20"/>
          <w:spacing w:val="40"/>
          <w:sz w:val="14"/>
        </w:rPr>
        <w:t> </w:t>
      </w:r>
      <w:r>
        <w:rPr>
          <w:rFonts w:ascii="Arial" w:hAnsi="Arial"/>
          <w:color w:val="231F20"/>
          <w:w w:val="85"/>
          <w:sz w:val="14"/>
        </w:rPr>
        <w:t>Boosts</w:t>
      </w:r>
      <w:r>
        <w:rPr>
          <w:rFonts w:ascii="Arial" w:hAnsi="Arial"/>
          <w:color w:val="231F20"/>
          <w:spacing w:val="-4"/>
          <w:w w:val="85"/>
          <w:sz w:val="14"/>
        </w:rPr>
        <w:t> </w:t>
      </w:r>
      <w:r>
        <w:rPr>
          <w:rFonts w:ascii="Arial" w:hAnsi="Arial"/>
          <w:color w:val="231F20"/>
          <w:w w:val="85"/>
          <w:sz w:val="14"/>
        </w:rPr>
        <w:t>Online</w:t>
      </w:r>
      <w:r>
        <w:rPr>
          <w:rFonts w:ascii="Arial" w:hAnsi="Arial"/>
          <w:color w:val="231F20"/>
          <w:spacing w:val="-4"/>
          <w:w w:val="85"/>
          <w:sz w:val="14"/>
        </w:rPr>
        <w:t> </w:t>
      </w:r>
      <w:r>
        <w:rPr>
          <w:rFonts w:ascii="Arial" w:hAnsi="Arial"/>
          <w:color w:val="231F20"/>
          <w:w w:val="85"/>
          <w:sz w:val="14"/>
        </w:rPr>
        <w:t>Sales.”</w:t>
      </w:r>
      <w:r>
        <w:rPr>
          <w:rFonts w:ascii="Arial" w:hAnsi="Arial"/>
          <w:color w:val="231F20"/>
          <w:spacing w:val="-5"/>
          <w:w w:val="85"/>
          <w:sz w:val="14"/>
        </w:rPr>
        <w:t> </w:t>
      </w:r>
      <w:r>
        <w:rPr>
          <w:rFonts w:ascii="Arial" w:hAnsi="Arial"/>
          <w:color w:val="231F20"/>
          <w:w w:val="85"/>
          <w:sz w:val="14"/>
        </w:rPr>
        <w:t>May</w:t>
      </w:r>
      <w:r>
        <w:rPr>
          <w:rFonts w:ascii="Arial" w:hAnsi="Arial"/>
          <w:color w:val="231F20"/>
          <w:spacing w:val="-4"/>
          <w:w w:val="85"/>
          <w:sz w:val="14"/>
        </w:rPr>
        <w:t> </w:t>
      </w:r>
      <w:r>
        <w:rPr>
          <w:rFonts w:ascii="Arial" w:hAnsi="Arial"/>
          <w:color w:val="231F20"/>
          <w:w w:val="85"/>
          <w:sz w:val="14"/>
        </w:rPr>
        <w:t>3.</w:t>
      </w:r>
      <w:r>
        <w:rPr>
          <w:rFonts w:ascii="Arial" w:hAnsi="Arial"/>
          <w:color w:val="231F20"/>
          <w:spacing w:val="-5"/>
          <w:w w:val="85"/>
          <w:sz w:val="14"/>
        </w:rPr>
        <w:t> </w:t>
      </w:r>
      <w:hyperlink r:id="rId201">
        <w:r>
          <w:rPr>
            <w:rFonts w:ascii="Arial" w:hAnsi="Arial"/>
            <w:color w:val="231F20"/>
            <w:w w:val="85"/>
            <w:sz w:val="14"/>
          </w:rPr>
          <w:t>https://unctad.org/news/global</w:t>
        </w:r>
      </w:hyperlink>
    </w:p>
    <w:p>
      <w:pPr>
        <w:spacing w:before="1"/>
        <w:ind w:left="0" w:right="511" w:firstLine="0"/>
        <w:jc w:val="right"/>
        <w:rPr>
          <w:rFonts w:ascii="Arial"/>
          <w:sz w:val="14"/>
        </w:rPr>
      </w:pPr>
      <w:hyperlink r:id="rId201">
        <w:r>
          <w:rPr>
            <w:rFonts w:ascii="Arial"/>
            <w:color w:val="231F20"/>
            <w:w w:val="80"/>
            <w:sz w:val="14"/>
          </w:rPr>
          <w:t>-e-commerce-jumps-267-trillion-covid-19-boosts-online-</w:t>
        </w:r>
        <w:r>
          <w:rPr>
            <w:rFonts w:ascii="Arial"/>
            <w:color w:val="231F20"/>
            <w:spacing w:val="-2"/>
            <w:w w:val="80"/>
            <w:sz w:val="14"/>
          </w:rPr>
          <w:t>sales</w:t>
        </w:r>
      </w:hyperlink>
      <w:r>
        <w:rPr>
          <w:rFonts w:ascii="Arial"/>
          <w:color w:val="231F20"/>
          <w:spacing w:val="-2"/>
          <w:w w:val="80"/>
          <w:sz w:val="14"/>
        </w:rPr>
        <w:t>.</w:t>
      </w:r>
    </w:p>
    <w:p>
      <w:pPr>
        <w:spacing w:before="39"/>
        <w:ind w:left="0" w:right="432" w:firstLine="0"/>
        <w:jc w:val="right"/>
        <w:rPr>
          <w:rFonts w:ascii="Arial"/>
          <w:sz w:val="14"/>
        </w:rPr>
      </w:pPr>
      <w:r>
        <w:rPr>
          <w:rFonts w:ascii="Arial"/>
          <w:color w:val="231F20"/>
          <w:w w:val="80"/>
          <w:sz w:val="14"/>
        </w:rPr>
        <w:t>UNCTAD</w:t>
      </w:r>
      <w:r>
        <w:rPr>
          <w:rFonts w:ascii="Arial"/>
          <w:color w:val="231F20"/>
          <w:spacing w:val="1"/>
          <w:sz w:val="14"/>
        </w:rPr>
        <w:t> </w:t>
      </w:r>
      <w:r>
        <w:rPr>
          <w:rFonts w:ascii="Arial"/>
          <w:color w:val="231F20"/>
          <w:w w:val="80"/>
          <w:sz w:val="14"/>
        </w:rPr>
        <w:t>(United</w:t>
      </w:r>
      <w:r>
        <w:rPr>
          <w:rFonts w:ascii="Arial"/>
          <w:color w:val="231F20"/>
          <w:spacing w:val="2"/>
          <w:sz w:val="14"/>
        </w:rPr>
        <w:t> </w:t>
      </w:r>
      <w:r>
        <w:rPr>
          <w:rFonts w:ascii="Arial"/>
          <w:color w:val="231F20"/>
          <w:w w:val="80"/>
          <w:sz w:val="14"/>
        </w:rPr>
        <w:t>Nations</w:t>
      </w:r>
      <w:r>
        <w:rPr>
          <w:rFonts w:ascii="Arial"/>
          <w:color w:val="231F20"/>
          <w:spacing w:val="2"/>
          <w:sz w:val="14"/>
        </w:rPr>
        <w:t> </w:t>
      </w:r>
      <w:r>
        <w:rPr>
          <w:rFonts w:ascii="Arial"/>
          <w:color w:val="231F20"/>
          <w:w w:val="80"/>
          <w:sz w:val="14"/>
        </w:rPr>
        <w:t>Conference</w:t>
      </w:r>
      <w:r>
        <w:rPr>
          <w:rFonts w:ascii="Arial"/>
          <w:color w:val="231F20"/>
          <w:spacing w:val="1"/>
          <w:sz w:val="14"/>
        </w:rPr>
        <w:t> </w:t>
      </w:r>
      <w:r>
        <w:rPr>
          <w:rFonts w:ascii="Arial"/>
          <w:color w:val="231F20"/>
          <w:w w:val="80"/>
          <w:sz w:val="14"/>
        </w:rPr>
        <w:t>on</w:t>
      </w:r>
      <w:r>
        <w:rPr>
          <w:rFonts w:ascii="Arial"/>
          <w:color w:val="231F20"/>
          <w:spacing w:val="-4"/>
          <w:sz w:val="14"/>
        </w:rPr>
        <w:t> </w:t>
      </w:r>
      <w:r>
        <w:rPr>
          <w:rFonts w:ascii="Arial"/>
          <w:color w:val="231F20"/>
          <w:w w:val="80"/>
          <w:sz w:val="14"/>
        </w:rPr>
        <w:t>Trade</w:t>
      </w:r>
      <w:r>
        <w:rPr>
          <w:rFonts w:ascii="Arial"/>
          <w:color w:val="231F20"/>
          <w:spacing w:val="2"/>
          <w:sz w:val="14"/>
        </w:rPr>
        <w:t> </w:t>
      </w:r>
      <w:r>
        <w:rPr>
          <w:rFonts w:ascii="Arial"/>
          <w:color w:val="231F20"/>
          <w:w w:val="80"/>
          <w:sz w:val="14"/>
        </w:rPr>
        <w:t>and</w:t>
      </w:r>
      <w:r>
        <w:rPr>
          <w:rFonts w:ascii="Arial"/>
          <w:color w:val="231F20"/>
          <w:spacing w:val="1"/>
          <w:sz w:val="14"/>
        </w:rPr>
        <w:t> </w:t>
      </w:r>
      <w:r>
        <w:rPr>
          <w:rFonts w:ascii="Arial"/>
          <w:color w:val="231F20"/>
          <w:spacing w:val="-2"/>
          <w:w w:val="80"/>
          <w:sz w:val="14"/>
        </w:rPr>
        <w:t>Development).</w:t>
      </w:r>
    </w:p>
    <w:p>
      <w:pPr>
        <w:spacing w:line="297" w:lineRule="auto" w:before="39"/>
        <w:ind w:left="440" w:right="190" w:firstLine="0"/>
        <w:jc w:val="left"/>
        <w:rPr>
          <w:rFonts w:ascii="Arial"/>
          <w:sz w:val="14"/>
        </w:rPr>
      </w:pPr>
      <w:r>
        <w:rPr>
          <w:rFonts w:ascii="Arial"/>
          <w:color w:val="231F20"/>
          <w:spacing w:val="-2"/>
          <w:w w:val="80"/>
          <w:sz w:val="14"/>
        </w:rPr>
        <w:t>2021b.</w:t>
      </w:r>
      <w:r>
        <w:rPr>
          <w:rFonts w:ascii="Arial"/>
          <w:color w:val="231F20"/>
          <w:sz w:val="14"/>
        </w:rPr>
        <w:t> </w:t>
      </w:r>
      <w:r>
        <w:rPr>
          <w:rFonts w:ascii="Arial"/>
          <w:i/>
          <w:color w:val="231F20"/>
          <w:spacing w:val="-2"/>
          <w:w w:val="80"/>
          <w:sz w:val="14"/>
        </w:rPr>
        <w:t>Review</w:t>
      </w:r>
      <w:r>
        <w:rPr>
          <w:rFonts w:ascii="Arial"/>
          <w:i/>
          <w:color w:val="231F20"/>
          <w:sz w:val="14"/>
        </w:rPr>
        <w:t> </w:t>
      </w:r>
      <w:r>
        <w:rPr>
          <w:rFonts w:ascii="Arial"/>
          <w:i/>
          <w:color w:val="231F20"/>
          <w:spacing w:val="-2"/>
          <w:w w:val="80"/>
          <w:sz w:val="14"/>
        </w:rPr>
        <w:t>of</w:t>
      </w:r>
      <w:r>
        <w:rPr>
          <w:rFonts w:ascii="Arial"/>
          <w:i/>
          <w:color w:val="231F20"/>
          <w:sz w:val="14"/>
        </w:rPr>
        <w:t> </w:t>
      </w:r>
      <w:r>
        <w:rPr>
          <w:rFonts w:ascii="Arial"/>
          <w:i/>
          <w:color w:val="231F20"/>
          <w:spacing w:val="-2"/>
          <w:w w:val="80"/>
          <w:sz w:val="14"/>
        </w:rPr>
        <w:t>Maritime Transport</w:t>
      </w:r>
      <w:r>
        <w:rPr>
          <w:rFonts w:ascii="Arial"/>
          <w:i/>
          <w:color w:val="231F20"/>
          <w:sz w:val="14"/>
        </w:rPr>
        <w:t> </w:t>
      </w:r>
      <w:r>
        <w:rPr>
          <w:rFonts w:ascii="Arial"/>
          <w:i/>
          <w:color w:val="231F20"/>
          <w:spacing w:val="-2"/>
          <w:w w:val="80"/>
          <w:sz w:val="14"/>
        </w:rPr>
        <w:t>2021</w:t>
      </w:r>
      <w:r>
        <w:rPr>
          <w:rFonts w:ascii="Arial"/>
          <w:color w:val="231F20"/>
          <w:spacing w:val="-2"/>
          <w:w w:val="80"/>
          <w:sz w:val="14"/>
        </w:rPr>
        <w:t>. New York: United</w:t>
      </w:r>
      <w:r>
        <w:rPr>
          <w:rFonts w:ascii="Arial"/>
          <w:color w:val="231F20"/>
          <w:sz w:val="14"/>
        </w:rPr>
        <w:t> </w:t>
      </w:r>
      <w:r>
        <w:rPr>
          <w:rFonts w:ascii="Arial"/>
          <w:color w:val="231F20"/>
          <w:spacing w:val="-2"/>
          <w:w w:val="80"/>
          <w:sz w:val="14"/>
        </w:rPr>
        <w:t>Nations.</w:t>
      </w:r>
      <w:r>
        <w:rPr>
          <w:rFonts w:ascii="Arial"/>
          <w:color w:val="231F20"/>
          <w:spacing w:val="40"/>
          <w:sz w:val="14"/>
        </w:rPr>
        <w:t> </w:t>
      </w:r>
      <w:hyperlink r:id="rId202">
        <w:r>
          <w:rPr>
            <w:rFonts w:ascii="Arial"/>
            <w:color w:val="231F20"/>
            <w:w w:val="80"/>
            <w:sz w:val="14"/>
          </w:rPr>
          <w:t>https://unctad.org/system/files/official-</w:t>
        </w:r>
        <w:r>
          <w:rPr>
            <w:rFonts w:ascii="Arial"/>
            <w:color w:val="231F20"/>
            <w:spacing w:val="-2"/>
            <w:w w:val="85"/>
            <w:sz w:val="14"/>
          </w:rPr>
          <w:t>document/rmt2021_en_0.pdf</w:t>
        </w:r>
      </w:hyperlink>
      <w:r>
        <w:rPr>
          <w:rFonts w:ascii="Arial"/>
          <w:color w:val="231F20"/>
          <w:spacing w:val="-2"/>
          <w:w w:val="85"/>
          <w:sz w:val="14"/>
        </w:rPr>
        <w:t>.</w:t>
      </w:r>
    </w:p>
    <w:p>
      <w:pPr>
        <w:spacing w:after="0" w:line="297" w:lineRule="auto"/>
        <w:jc w:val="left"/>
        <w:rPr>
          <w:rFonts w:ascii="Arial"/>
          <w:sz w:val="14"/>
        </w:rPr>
        <w:sectPr>
          <w:type w:val="continuous"/>
          <w:pgSz w:w="12240" w:h="15840"/>
          <w:pgMar w:header="0" w:footer="0" w:top="1140" w:bottom="280" w:left="0" w:right="540"/>
          <w:cols w:num="2" w:equalWidth="0">
            <w:col w:w="7560" w:space="40"/>
            <w:col w:w="4100"/>
          </w:cols>
        </w:sectPr>
      </w:pPr>
    </w:p>
    <w:p>
      <w:pPr>
        <w:pStyle w:val="BodyText"/>
        <w:rPr>
          <w:rFonts w:ascii="Arial"/>
          <w:sz w:val="20"/>
        </w:rPr>
      </w:pPr>
    </w:p>
    <w:p>
      <w:pPr>
        <w:pStyle w:val="BodyText"/>
        <w:rPr>
          <w:rFonts w:ascii="Arial"/>
          <w:sz w:val="20"/>
        </w:rPr>
      </w:pPr>
    </w:p>
    <w:p>
      <w:pPr>
        <w:pStyle w:val="BodyText"/>
        <w:spacing w:before="96"/>
        <w:rPr>
          <w:rFonts w:ascii="Arial"/>
          <w:sz w:val="20"/>
        </w:rPr>
      </w:pPr>
    </w:p>
    <w:p>
      <w:pPr>
        <w:spacing w:after="0"/>
        <w:rPr>
          <w:rFonts w:ascii="Arial"/>
          <w:sz w:val="20"/>
        </w:rPr>
        <w:sectPr>
          <w:headerReference w:type="even" r:id="rId203"/>
          <w:footerReference w:type="even" r:id="rId204"/>
          <w:pgSz w:w="12240" w:h="15840"/>
          <w:pgMar w:header="370" w:footer="548" w:top="560" w:bottom="740" w:left="0" w:right="540"/>
          <w:pgNumType w:start="74"/>
        </w:sectPr>
      </w:pPr>
    </w:p>
    <w:p>
      <w:pPr>
        <w:spacing w:line="297" w:lineRule="auto" w:before="102"/>
        <w:ind w:left="3600" w:right="0" w:hanging="240"/>
        <w:jc w:val="left"/>
        <w:rPr>
          <w:rFonts w:ascii="Arial" w:hAnsi="Arial"/>
          <w:sz w:val="14"/>
        </w:rPr>
      </w:pPr>
      <w:r>
        <w:rPr>
          <w:rFonts w:ascii="Arial" w:hAnsi="Arial"/>
          <w:color w:val="231F20"/>
          <w:w w:val="85"/>
          <w:sz w:val="14"/>
        </w:rPr>
        <w:t>UNECE (The United Nations Economic Commission for Europe).</w:t>
      </w:r>
      <w:r>
        <w:rPr>
          <w:rFonts w:ascii="Arial" w:hAnsi="Arial"/>
          <w:color w:val="231F20"/>
          <w:spacing w:val="40"/>
          <w:sz w:val="14"/>
        </w:rPr>
        <w:t> </w:t>
      </w:r>
      <w:r>
        <w:rPr>
          <w:rFonts w:ascii="Arial" w:hAnsi="Arial"/>
          <w:color w:val="231F20"/>
          <w:spacing w:val="-2"/>
          <w:w w:val="85"/>
          <w:sz w:val="14"/>
        </w:rPr>
        <w:t>“UN/LOCODE</w:t>
      </w:r>
      <w:r>
        <w:rPr>
          <w:rFonts w:ascii="Arial" w:hAnsi="Arial"/>
          <w:color w:val="231F20"/>
          <w:sz w:val="14"/>
        </w:rPr>
        <w:t> </w:t>
      </w:r>
      <w:r>
        <w:rPr>
          <w:rFonts w:ascii="Arial" w:hAnsi="Arial"/>
          <w:color w:val="231F20"/>
          <w:spacing w:val="-2"/>
          <w:w w:val="85"/>
          <w:sz w:val="14"/>
        </w:rPr>
        <w:t>Code</w:t>
      </w:r>
      <w:r>
        <w:rPr>
          <w:rFonts w:ascii="Arial" w:hAnsi="Arial"/>
          <w:color w:val="231F20"/>
          <w:sz w:val="14"/>
        </w:rPr>
        <w:t> </w:t>
      </w:r>
      <w:r>
        <w:rPr>
          <w:rFonts w:ascii="Arial" w:hAnsi="Arial"/>
          <w:color w:val="231F20"/>
          <w:spacing w:val="-2"/>
          <w:w w:val="85"/>
          <w:sz w:val="14"/>
        </w:rPr>
        <w:t>List</w:t>
      </w:r>
      <w:r>
        <w:rPr>
          <w:rFonts w:ascii="Arial" w:hAnsi="Arial"/>
          <w:color w:val="231F20"/>
          <w:sz w:val="14"/>
        </w:rPr>
        <w:t> </w:t>
      </w:r>
      <w:r>
        <w:rPr>
          <w:rFonts w:ascii="Arial" w:hAnsi="Arial"/>
          <w:color w:val="231F20"/>
          <w:spacing w:val="-2"/>
          <w:w w:val="85"/>
          <w:sz w:val="14"/>
        </w:rPr>
        <w:t>by</w:t>
      </w:r>
      <w:r>
        <w:rPr>
          <w:rFonts w:ascii="Arial" w:hAnsi="Arial"/>
          <w:color w:val="231F20"/>
          <w:sz w:val="14"/>
        </w:rPr>
        <w:t> </w:t>
      </w:r>
      <w:r>
        <w:rPr>
          <w:rFonts w:ascii="Arial" w:hAnsi="Arial"/>
          <w:color w:val="231F20"/>
          <w:spacing w:val="-2"/>
          <w:w w:val="85"/>
          <w:sz w:val="14"/>
        </w:rPr>
        <w:t>Country</w:t>
      </w:r>
      <w:r>
        <w:rPr>
          <w:rFonts w:ascii="Arial" w:hAnsi="Arial"/>
          <w:color w:val="231F20"/>
          <w:sz w:val="14"/>
        </w:rPr>
        <w:t> </w:t>
      </w:r>
      <w:r>
        <w:rPr>
          <w:rFonts w:ascii="Arial" w:hAnsi="Arial"/>
          <w:color w:val="231F20"/>
          <w:spacing w:val="-2"/>
          <w:w w:val="85"/>
          <w:sz w:val="14"/>
        </w:rPr>
        <w:t>and Territory.” </w:t>
      </w:r>
      <w:hyperlink r:id="rId205">
        <w:r>
          <w:rPr>
            <w:rFonts w:ascii="Arial" w:hAnsi="Arial"/>
            <w:color w:val="231F20"/>
            <w:spacing w:val="-2"/>
            <w:w w:val="85"/>
            <w:sz w:val="14"/>
          </w:rPr>
          <w:t>https://unece</w:t>
        </w:r>
      </w:hyperlink>
    </w:p>
    <w:p>
      <w:pPr>
        <w:spacing w:line="297" w:lineRule="auto" w:before="1"/>
        <w:ind w:left="3600" w:right="0" w:firstLine="0"/>
        <w:jc w:val="left"/>
        <w:rPr>
          <w:rFonts w:ascii="Arial"/>
          <w:sz w:val="14"/>
        </w:rPr>
      </w:pPr>
      <w:hyperlink r:id="rId205">
        <w:r>
          <w:rPr>
            <w:rFonts w:ascii="Arial"/>
            <w:color w:val="231F20"/>
            <w:spacing w:val="-2"/>
            <w:w w:val="90"/>
            <w:sz w:val="14"/>
          </w:rPr>
          <w:t>.org/trade/cefact/unlocode-code-list-country-and-</w:t>
        </w:r>
        <w:r>
          <w:rPr>
            <w:rFonts w:ascii="Arial"/>
            <w:color w:val="231F20"/>
            <w:spacing w:val="-2"/>
            <w:w w:val="90"/>
            <w:sz w:val="14"/>
          </w:rPr>
          <w:t>territory</w:t>
        </w:r>
      </w:hyperlink>
      <w:r>
        <w:rPr>
          <w:rFonts w:ascii="Arial"/>
          <w:color w:val="231F20"/>
          <w:spacing w:val="-2"/>
          <w:w w:val="90"/>
          <w:sz w:val="14"/>
        </w:rPr>
        <w:t>.</w:t>
      </w:r>
      <w:r>
        <w:rPr>
          <w:rFonts w:ascii="Arial"/>
          <w:color w:val="231F20"/>
          <w:spacing w:val="40"/>
          <w:sz w:val="14"/>
        </w:rPr>
        <w:t> </w:t>
      </w:r>
      <w:r>
        <w:rPr>
          <w:rFonts w:ascii="Arial"/>
          <w:color w:val="231F20"/>
          <w:spacing w:val="-6"/>
          <w:sz w:val="14"/>
        </w:rPr>
        <w:t>Accessed</w:t>
      </w:r>
      <w:r>
        <w:rPr>
          <w:rFonts w:ascii="Arial"/>
          <w:color w:val="231F20"/>
          <w:spacing w:val="-5"/>
          <w:sz w:val="14"/>
        </w:rPr>
        <w:t> </w:t>
      </w:r>
      <w:r>
        <w:rPr>
          <w:rFonts w:ascii="Arial"/>
          <w:color w:val="231F20"/>
          <w:spacing w:val="-6"/>
          <w:sz w:val="14"/>
        </w:rPr>
        <w:t>December</w:t>
      </w:r>
      <w:r>
        <w:rPr>
          <w:rFonts w:ascii="Arial"/>
          <w:color w:val="231F20"/>
          <w:spacing w:val="-5"/>
          <w:sz w:val="14"/>
        </w:rPr>
        <w:t> </w:t>
      </w:r>
      <w:r>
        <w:rPr>
          <w:rFonts w:ascii="Arial"/>
          <w:color w:val="231F20"/>
          <w:spacing w:val="-6"/>
          <w:sz w:val="14"/>
        </w:rPr>
        <w:t>6,</w:t>
      </w:r>
      <w:r>
        <w:rPr>
          <w:rFonts w:ascii="Arial"/>
          <w:color w:val="231F20"/>
          <w:spacing w:val="-10"/>
          <w:sz w:val="14"/>
        </w:rPr>
        <w:t> </w:t>
      </w:r>
      <w:r>
        <w:rPr>
          <w:rFonts w:ascii="Arial"/>
          <w:color w:val="231F20"/>
          <w:spacing w:val="-6"/>
          <w:sz w:val="14"/>
        </w:rPr>
        <w:t>2022.</w:t>
      </w:r>
    </w:p>
    <w:p>
      <w:pPr>
        <w:spacing w:before="1"/>
        <w:ind w:left="3360" w:right="0" w:firstLine="0"/>
        <w:jc w:val="left"/>
        <w:rPr>
          <w:rFonts w:ascii="Arial" w:hAnsi="Arial"/>
          <w:sz w:val="14"/>
        </w:rPr>
      </w:pPr>
      <w:r>
        <w:rPr>
          <w:rFonts w:ascii="Arial" w:hAnsi="Arial"/>
          <w:color w:val="231F20"/>
          <w:w w:val="80"/>
          <w:sz w:val="14"/>
        </w:rPr>
        <w:t>Volpe</w:t>
      </w:r>
      <w:r>
        <w:rPr>
          <w:rFonts w:ascii="Arial" w:hAnsi="Arial"/>
          <w:color w:val="231F20"/>
          <w:spacing w:val="7"/>
          <w:sz w:val="14"/>
        </w:rPr>
        <w:t> </w:t>
      </w:r>
      <w:r>
        <w:rPr>
          <w:rFonts w:ascii="Arial" w:hAnsi="Arial"/>
          <w:color w:val="231F20"/>
          <w:w w:val="80"/>
          <w:sz w:val="14"/>
        </w:rPr>
        <w:t>Martincus,</w:t>
      </w:r>
      <w:r>
        <w:rPr>
          <w:rFonts w:ascii="Arial" w:hAnsi="Arial"/>
          <w:color w:val="231F20"/>
          <w:spacing w:val="1"/>
          <w:sz w:val="14"/>
        </w:rPr>
        <w:t> </w:t>
      </w:r>
      <w:r>
        <w:rPr>
          <w:rFonts w:ascii="Arial" w:hAnsi="Arial"/>
          <w:color w:val="231F20"/>
          <w:w w:val="80"/>
          <w:sz w:val="14"/>
        </w:rPr>
        <w:t>C.,</w:t>
      </w:r>
      <w:r>
        <w:rPr>
          <w:rFonts w:ascii="Arial" w:hAnsi="Arial"/>
          <w:color w:val="231F20"/>
          <w:spacing w:val="1"/>
          <w:sz w:val="14"/>
        </w:rPr>
        <w:t> </w:t>
      </w:r>
      <w:r>
        <w:rPr>
          <w:rFonts w:ascii="Arial" w:hAnsi="Arial"/>
          <w:color w:val="231F20"/>
          <w:w w:val="80"/>
          <w:sz w:val="14"/>
        </w:rPr>
        <w:t>J.</w:t>
      </w:r>
      <w:r>
        <w:rPr>
          <w:rFonts w:ascii="Arial" w:hAnsi="Arial"/>
          <w:color w:val="231F20"/>
          <w:spacing w:val="7"/>
          <w:sz w:val="14"/>
        </w:rPr>
        <w:t> </w:t>
      </w:r>
      <w:r>
        <w:rPr>
          <w:rFonts w:ascii="Arial" w:hAnsi="Arial"/>
          <w:color w:val="231F20"/>
          <w:w w:val="80"/>
          <w:sz w:val="14"/>
        </w:rPr>
        <w:t>Carballo,</w:t>
      </w:r>
      <w:r>
        <w:rPr>
          <w:rFonts w:ascii="Arial" w:hAnsi="Arial"/>
          <w:color w:val="231F20"/>
          <w:spacing w:val="1"/>
          <w:sz w:val="14"/>
        </w:rPr>
        <w:t> </w:t>
      </w:r>
      <w:r>
        <w:rPr>
          <w:rFonts w:ascii="Arial" w:hAnsi="Arial"/>
          <w:color w:val="231F20"/>
          <w:w w:val="80"/>
          <w:sz w:val="14"/>
        </w:rPr>
        <w:t>and</w:t>
      </w:r>
      <w:r>
        <w:rPr>
          <w:rFonts w:ascii="Arial" w:hAnsi="Arial"/>
          <w:color w:val="231F20"/>
          <w:spacing w:val="1"/>
          <w:sz w:val="14"/>
        </w:rPr>
        <w:t> </w:t>
      </w:r>
      <w:r>
        <w:rPr>
          <w:rFonts w:ascii="Arial" w:hAnsi="Arial"/>
          <w:color w:val="231F20"/>
          <w:w w:val="80"/>
          <w:sz w:val="14"/>
        </w:rPr>
        <w:t>A.</w:t>
      </w:r>
      <w:r>
        <w:rPr>
          <w:rFonts w:ascii="Arial" w:hAnsi="Arial"/>
          <w:color w:val="231F20"/>
          <w:spacing w:val="7"/>
          <w:sz w:val="14"/>
        </w:rPr>
        <w:t> </w:t>
      </w:r>
      <w:r>
        <w:rPr>
          <w:rFonts w:ascii="Arial" w:hAnsi="Arial"/>
          <w:color w:val="231F20"/>
          <w:w w:val="80"/>
          <w:sz w:val="14"/>
        </w:rPr>
        <w:t>Graziano.</w:t>
      </w:r>
      <w:r>
        <w:rPr>
          <w:rFonts w:ascii="Arial" w:hAnsi="Arial"/>
          <w:color w:val="231F20"/>
          <w:spacing w:val="8"/>
          <w:sz w:val="14"/>
        </w:rPr>
        <w:t> </w:t>
      </w:r>
      <w:r>
        <w:rPr>
          <w:rFonts w:ascii="Arial" w:hAnsi="Arial"/>
          <w:color w:val="231F20"/>
          <w:w w:val="80"/>
          <w:sz w:val="14"/>
        </w:rPr>
        <w:t>2015.</w:t>
      </w:r>
      <w:r>
        <w:rPr>
          <w:rFonts w:ascii="Arial" w:hAnsi="Arial"/>
          <w:color w:val="231F20"/>
          <w:spacing w:val="1"/>
          <w:sz w:val="14"/>
        </w:rPr>
        <w:t> </w:t>
      </w:r>
      <w:r>
        <w:rPr>
          <w:rFonts w:ascii="Arial" w:hAnsi="Arial"/>
          <w:color w:val="231F20"/>
          <w:spacing w:val="-2"/>
          <w:w w:val="80"/>
          <w:sz w:val="14"/>
        </w:rPr>
        <w:t>“Customs.”</w:t>
      </w:r>
    </w:p>
    <w:p>
      <w:pPr>
        <w:spacing w:before="39"/>
        <w:ind w:left="3600" w:right="0" w:firstLine="0"/>
        <w:jc w:val="left"/>
        <w:rPr>
          <w:rFonts w:ascii="Arial" w:hAnsi="Arial"/>
          <w:sz w:val="14"/>
        </w:rPr>
      </w:pPr>
      <w:r>
        <w:rPr>
          <w:rFonts w:ascii="Arial" w:hAnsi="Arial"/>
          <w:i/>
          <w:color w:val="231F20"/>
          <w:w w:val="75"/>
          <w:sz w:val="14"/>
        </w:rPr>
        <w:t>Journal</w:t>
      </w:r>
      <w:r>
        <w:rPr>
          <w:rFonts w:ascii="Arial" w:hAnsi="Arial"/>
          <w:i/>
          <w:color w:val="231F20"/>
          <w:spacing w:val="7"/>
          <w:sz w:val="14"/>
        </w:rPr>
        <w:t> </w:t>
      </w:r>
      <w:r>
        <w:rPr>
          <w:rFonts w:ascii="Arial" w:hAnsi="Arial"/>
          <w:i/>
          <w:color w:val="231F20"/>
          <w:w w:val="75"/>
          <w:sz w:val="14"/>
        </w:rPr>
        <w:t>of</w:t>
      </w:r>
      <w:r>
        <w:rPr>
          <w:rFonts w:ascii="Arial" w:hAnsi="Arial"/>
          <w:i/>
          <w:color w:val="231F20"/>
          <w:spacing w:val="8"/>
          <w:sz w:val="14"/>
        </w:rPr>
        <w:t> </w:t>
      </w:r>
      <w:r>
        <w:rPr>
          <w:rFonts w:ascii="Arial" w:hAnsi="Arial"/>
          <w:i/>
          <w:color w:val="231F20"/>
          <w:w w:val="75"/>
          <w:sz w:val="14"/>
        </w:rPr>
        <w:t>International</w:t>
      </w:r>
      <w:r>
        <w:rPr>
          <w:rFonts w:ascii="Arial" w:hAnsi="Arial"/>
          <w:i/>
          <w:color w:val="231F20"/>
          <w:spacing w:val="8"/>
          <w:sz w:val="14"/>
        </w:rPr>
        <w:t> </w:t>
      </w:r>
      <w:r>
        <w:rPr>
          <w:rFonts w:ascii="Arial" w:hAnsi="Arial"/>
          <w:i/>
          <w:color w:val="231F20"/>
          <w:w w:val="75"/>
          <w:sz w:val="14"/>
        </w:rPr>
        <w:t>Economics</w:t>
      </w:r>
      <w:r>
        <w:rPr>
          <w:rFonts w:ascii="Arial" w:hAnsi="Arial"/>
          <w:i/>
          <w:color w:val="231F20"/>
          <w:spacing w:val="8"/>
          <w:sz w:val="14"/>
        </w:rPr>
        <w:t> </w:t>
      </w:r>
      <w:r>
        <w:rPr>
          <w:rFonts w:ascii="Arial" w:hAnsi="Arial"/>
          <w:color w:val="231F20"/>
          <w:w w:val="75"/>
          <w:sz w:val="14"/>
        </w:rPr>
        <w:t>96</w:t>
      </w:r>
      <w:r>
        <w:rPr>
          <w:rFonts w:ascii="Arial" w:hAnsi="Arial"/>
          <w:color w:val="231F20"/>
          <w:spacing w:val="8"/>
          <w:sz w:val="14"/>
        </w:rPr>
        <w:t> </w:t>
      </w:r>
      <w:r>
        <w:rPr>
          <w:rFonts w:ascii="Arial" w:hAnsi="Arial"/>
          <w:color w:val="231F20"/>
          <w:w w:val="75"/>
          <w:sz w:val="14"/>
        </w:rPr>
        <w:t>(1):</w:t>
      </w:r>
      <w:r>
        <w:rPr>
          <w:rFonts w:ascii="Arial" w:hAnsi="Arial"/>
          <w:color w:val="231F20"/>
          <w:spacing w:val="1"/>
          <w:sz w:val="14"/>
        </w:rPr>
        <w:t> </w:t>
      </w:r>
      <w:r>
        <w:rPr>
          <w:rFonts w:ascii="Arial" w:hAnsi="Arial"/>
          <w:color w:val="231F20"/>
          <w:spacing w:val="-2"/>
          <w:w w:val="75"/>
          <w:sz w:val="14"/>
        </w:rPr>
        <w:t>119–137.</w:t>
      </w:r>
    </w:p>
    <w:p>
      <w:pPr>
        <w:spacing w:before="39"/>
        <w:ind w:left="3360" w:right="0" w:firstLine="0"/>
        <w:jc w:val="left"/>
        <w:rPr>
          <w:rFonts w:ascii="Arial"/>
          <w:sz w:val="14"/>
        </w:rPr>
      </w:pPr>
      <w:r>
        <w:rPr>
          <w:rFonts w:ascii="Arial"/>
          <w:color w:val="231F20"/>
          <w:spacing w:val="-2"/>
          <w:w w:val="80"/>
          <w:sz w:val="14"/>
        </w:rPr>
        <w:t>World</w:t>
      </w:r>
      <w:r>
        <w:rPr>
          <w:rFonts w:ascii="Arial"/>
          <w:color w:val="231F20"/>
          <w:spacing w:val="3"/>
          <w:sz w:val="14"/>
        </w:rPr>
        <w:t> </w:t>
      </w:r>
      <w:r>
        <w:rPr>
          <w:rFonts w:ascii="Arial"/>
          <w:color w:val="231F20"/>
          <w:spacing w:val="-2"/>
          <w:w w:val="80"/>
          <w:sz w:val="14"/>
        </w:rPr>
        <w:t>Bank.</w:t>
      </w:r>
      <w:r>
        <w:rPr>
          <w:rFonts w:ascii="Arial"/>
          <w:color w:val="231F20"/>
          <w:spacing w:val="4"/>
          <w:sz w:val="14"/>
        </w:rPr>
        <w:t> </w:t>
      </w:r>
      <w:r>
        <w:rPr>
          <w:rFonts w:ascii="Arial"/>
          <w:color w:val="231F20"/>
          <w:spacing w:val="-2"/>
          <w:w w:val="80"/>
          <w:sz w:val="14"/>
        </w:rPr>
        <w:t>2007.</w:t>
      </w:r>
      <w:r>
        <w:rPr>
          <w:rFonts w:ascii="Arial"/>
          <w:color w:val="231F20"/>
          <w:spacing w:val="3"/>
          <w:sz w:val="14"/>
        </w:rPr>
        <w:t> </w:t>
      </w:r>
      <w:r>
        <w:rPr>
          <w:rFonts w:ascii="Arial"/>
          <w:i/>
          <w:color w:val="231F20"/>
          <w:spacing w:val="-2"/>
          <w:w w:val="80"/>
          <w:sz w:val="14"/>
        </w:rPr>
        <w:t>Port</w:t>
      </w:r>
      <w:r>
        <w:rPr>
          <w:rFonts w:ascii="Arial"/>
          <w:i/>
          <w:color w:val="231F20"/>
          <w:spacing w:val="4"/>
          <w:sz w:val="14"/>
        </w:rPr>
        <w:t> </w:t>
      </w:r>
      <w:r>
        <w:rPr>
          <w:rFonts w:ascii="Arial"/>
          <w:i/>
          <w:color w:val="231F20"/>
          <w:spacing w:val="-2"/>
          <w:w w:val="80"/>
          <w:sz w:val="14"/>
        </w:rPr>
        <w:t>Reform</w:t>
      </w:r>
      <w:r>
        <w:rPr>
          <w:rFonts w:ascii="Arial"/>
          <w:i/>
          <w:color w:val="231F20"/>
          <w:spacing w:val="-3"/>
          <w:sz w:val="14"/>
        </w:rPr>
        <w:t> </w:t>
      </w:r>
      <w:r>
        <w:rPr>
          <w:rFonts w:ascii="Arial"/>
          <w:i/>
          <w:color w:val="231F20"/>
          <w:spacing w:val="-2"/>
          <w:w w:val="80"/>
          <w:sz w:val="14"/>
        </w:rPr>
        <w:t>Toolkit.</w:t>
      </w:r>
      <w:r>
        <w:rPr>
          <w:rFonts w:ascii="Arial"/>
          <w:i/>
          <w:color w:val="231F20"/>
          <w:spacing w:val="-3"/>
          <w:sz w:val="14"/>
        </w:rPr>
        <w:t> </w:t>
      </w:r>
      <w:r>
        <w:rPr>
          <w:rFonts w:ascii="Arial"/>
          <w:color w:val="231F20"/>
          <w:spacing w:val="-2"/>
          <w:w w:val="80"/>
          <w:sz w:val="14"/>
        </w:rPr>
        <w:t>Washington,</w:t>
      </w:r>
      <w:r>
        <w:rPr>
          <w:rFonts w:ascii="Arial"/>
          <w:color w:val="231F20"/>
          <w:spacing w:val="-3"/>
          <w:sz w:val="14"/>
        </w:rPr>
        <w:t> </w:t>
      </w:r>
      <w:r>
        <w:rPr>
          <w:rFonts w:ascii="Arial"/>
          <w:color w:val="231F20"/>
          <w:spacing w:val="-2"/>
          <w:w w:val="80"/>
          <w:sz w:val="14"/>
        </w:rPr>
        <w:t>DC:</w:t>
      </w:r>
      <w:r>
        <w:rPr>
          <w:rFonts w:ascii="Arial"/>
          <w:color w:val="231F20"/>
          <w:spacing w:val="-9"/>
          <w:sz w:val="14"/>
        </w:rPr>
        <w:t> </w:t>
      </w:r>
      <w:r>
        <w:rPr>
          <w:rFonts w:ascii="Arial"/>
          <w:color w:val="231F20"/>
          <w:spacing w:val="-2"/>
          <w:w w:val="80"/>
          <w:sz w:val="14"/>
        </w:rPr>
        <w:t>World</w:t>
      </w:r>
      <w:r>
        <w:rPr>
          <w:rFonts w:ascii="Arial"/>
          <w:color w:val="231F20"/>
          <w:spacing w:val="4"/>
          <w:sz w:val="14"/>
        </w:rPr>
        <w:t> </w:t>
      </w:r>
      <w:r>
        <w:rPr>
          <w:rFonts w:ascii="Arial"/>
          <w:color w:val="231F20"/>
          <w:spacing w:val="-2"/>
          <w:w w:val="80"/>
          <w:sz w:val="14"/>
        </w:rPr>
        <w:t>Bank.</w:t>
      </w:r>
    </w:p>
    <w:p>
      <w:pPr>
        <w:spacing w:line="297" w:lineRule="auto" w:before="39"/>
        <w:ind w:left="3600" w:right="0" w:hanging="240"/>
        <w:jc w:val="left"/>
        <w:rPr>
          <w:rFonts w:ascii="Arial" w:hAnsi="Arial"/>
          <w:sz w:val="14"/>
        </w:rPr>
      </w:pPr>
      <w:r>
        <w:rPr>
          <w:rFonts w:ascii="Arial" w:hAnsi="Arial"/>
          <w:color w:val="231F20"/>
          <w:spacing w:val="-2"/>
          <w:w w:val="85"/>
          <w:sz w:val="14"/>
        </w:rPr>
        <w:t>World</w:t>
      </w:r>
      <w:r>
        <w:rPr>
          <w:rFonts w:ascii="Arial" w:hAnsi="Arial"/>
          <w:color w:val="231F20"/>
          <w:sz w:val="14"/>
        </w:rPr>
        <w:t> </w:t>
      </w:r>
      <w:r>
        <w:rPr>
          <w:rFonts w:ascii="Arial" w:hAnsi="Arial"/>
          <w:color w:val="231F20"/>
          <w:spacing w:val="-2"/>
          <w:w w:val="85"/>
          <w:sz w:val="14"/>
        </w:rPr>
        <w:t>Bank.</w:t>
      </w:r>
      <w:r>
        <w:rPr>
          <w:rFonts w:ascii="Arial" w:hAnsi="Arial"/>
          <w:color w:val="231F20"/>
          <w:sz w:val="14"/>
        </w:rPr>
        <w:t> </w:t>
      </w:r>
      <w:r>
        <w:rPr>
          <w:rFonts w:ascii="Arial" w:hAnsi="Arial"/>
          <w:color w:val="231F20"/>
          <w:spacing w:val="-2"/>
          <w:w w:val="85"/>
          <w:sz w:val="14"/>
        </w:rPr>
        <w:t>2010. “Trade</w:t>
      </w:r>
      <w:r>
        <w:rPr>
          <w:rFonts w:ascii="Arial" w:hAnsi="Arial"/>
          <w:color w:val="231F20"/>
          <w:sz w:val="14"/>
        </w:rPr>
        <w:t> </w:t>
      </w:r>
      <w:r>
        <w:rPr>
          <w:rFonts w:ascii="Arial" w:hAnsi="Arial"/>
          <w:color w:val="231F20"/>
          <w:spacing w:val="-2"/>
          <w:w w:val="85"/>
          <w:sz w:val="14"/>
        </w:rPr>
        <w:t>and Transport</w:t>
      </w:r>
      <w:r>
        <w:rPr>
          <w:rFonts w:ascii="Arial" w:hAnsi="Arial"/>
          <w:color w:val="231F20"/>
          <w:sz w:val="14"/>
        </w:rPr>
        <w:t> </w:t>
      </w:r>
      <w:r>
        <w:rPr>
          <w:rFonts w:ascii="Arial" w:hAnsi="Arial"/>
          <w:color w:val="231F20"/>
          <w:spacing w:val="-2"/>
          <w:w w:val="85"/>
          <w:sz w:val="14"/>
        </w:rPr>
        <w:t>Facilitation Assessment:</w:t>
      </w:r>
      <w:r>
        <w:rPr>
          <w:rFonts w:ascii="Arial" w:hAnsi="Arial"/>
          <w:color w:val="231F20"/>
          <w:spacing w:val="-6"/>
          <w:w w:val="85"/>
          <w:sz w:val="14"/>
        </w:rPr>
        <w:t> </w:t>
      </w:r>
      <w:r>
        <w:rPr>
          <w:rFonts w:ascii="Arial" w:hAnsi="Arial"/>
          <w:color w:val="231F20"/>
          <w:spacing w:val="-2"/>
          <w:w w:val="85"/>
          <w:sz w:val="14"/>
        </w:rPr>
        <w:t>A</w:t>
      </w:r>
      <w:r>
        <w:rPr>
          <w:rFonts w:ascii="Arial" w:hAnsi="Arial"/>
          <w:color w:val="231F20"/>
          <w:spacing w:val="40"/>
          <w:sz w:val="14"/>
        </w:rPr>
        <w:t> </w:t>
      </w:r>
      <w:r>
        <w:rPr>
          <w:rFonts w:ascii="Arial" w:hAnsi="Arial"/>
          <w:color w:val="231F20"/>
          <w:spacing w:val="-2"/>
          <w:w w:val="80"/>
          <w:sz w:val="14"/>
        </w:rPr>
        <w:t>Practical Toolkit</w:t>
      </w:r>
      <w:r>
        <w:rPr>
          <w:rFonts w:ascii="Arial" w:hAnsi="Arial"/>
          <w:color w:val="231F20"/>
          <w:sz w:val="14"/>
        </w:rPr>
        <w:t> </w:t>
      </w:r>
      <w:r>
        <w:rPr>
          <w:rFonts w:ascii="Arial" w:hAnsi="Arial"/>
          <w:color w:val="231F20"/>
          <w:spacing w:val="-2"/>
          <w:w w:val="80"/>
          <w:sz w:val="14"/>
        </w:rPr>
        <w:t>for</w:t>
      </w:r>
      <w:r>
        <w:rPr>
          <w:rFonts w:ascii="Arial" w:hAnsi="Arial"/>
          <w:color w:val="231F20"/>
          <w:sz w:val="14"/>
        </w:rPr>
        <w:t> </w:t>
      </w:r>
      <w:r>
        <w:rPr>
          <w:rFonts w:ascii="Arial" w:hAnsi="Arial"/>
          <w:color w:val="231F20"/>
          <w:spacing w:val="-2"/>
          <w:w w:val="80"/>
          <w:sz w:val="14"/>
        </w:rPr>
        <w:t>Country</w:t>
      </w:r>
      <w:r>
        <w:rPr>
          <w:rFonts w:ascii="Arial" w:hAnsi="Arial"/>
          <w:color w:val="231F20"/>
          <w:sz w:val="14"/>
        </w:rPr>
        <w:t> </w:t>
      </w:r>
      <w:r>
        <w:rPr>
          <w:rFonts w:ascii="Arial" w:hAnsi="Arial"/>
          <w:color w:val="231F20"/>
          <w:spacing w:val="-2"/>
          <w:w w:val="80"/>
          <w:sz w:val="14"/>
        </w:rPr>
        <w:t>Implementation.”</w:t>
      </w:r>
      <w:r>
        <w:rPr>
          <w:rFonts w:ascii="Arial" w:hAnsi="Arial"/>
          <w:color w:val="231F20"/>
          <w:spacing w:val="-4"/>
          <w:w w:val="80"/>
          <w:sz w:val="14"/>
        </w:rPr>
        <w:t> </w:t>
      </w:r>
      <w:r>
        <w:rPr>
          <w:rFonts w:ascii="Arial" w:hAnsi="Arial"/>
          <w:color w:val="231F20"/>
          <w:spacing w:val="-2"/>
          <w:w w:val="80"/>
          <w:sz w:val="14"/>
        </w:rPr>
        <w:t>Washington, DC:</w:t>
      </w:r>
      <w:r>
        <w:rPr>
          <w:rFonts w:ascii="Arial" w:hAnsi="Arial"/>
          <w:color w:val="231F20"/>
          <w:spacing w:val="-4"/>
          <w:w w:val="80"/>
          <w:sz w:val="14"/>
        </w:rPr>
        <w:t> </w:t>
      </w:r>
      <w:r>
        <w:rPr>
          <w:rFonts w:ascii="Arial" w:hAnsi="Arial"/>
          <w:color w:val="231F20"/>
          <w:spacing w:val="-2"/>
          <w:w w:val="80"/>
          <w:sz w:val="14"/>
        </w:rPr>
        <w:t>World</w:t>
      </w:r>
      <w:r>
        <w:rPr>
          <w:rFonts w:ascii="Arial" w:hAnsi="Arial"/>
          <w:color w:val="231F20"/>
          <w:spacing w:val="40"/>
          <w:sz w:val="14"/>
        </w:rPr>
        <w:t> </w:t>
      </w:r>
      <w:r>
        <w:rPr>
          <w:rFonts w:ascii="Arial" w:hAnsi="Arial"/>
          <w:color w:val="231F20"/>
          <w:w w:val="80"/>
          <w:sz w:val="14"/>
        </w:rPr>
        <w:t>Bank.</w:t>
      </w:r>
      <w:r>
        <w:rPr>
          <w:rFonts w:ascii="Arial" w:hAnsi="Arial"/>
          <w:color w:val="231F20"/>
          <w:spacing w:val="-4"/>
          <w:w w:val="80"/>
          <w:sz w:val="14"/>
        </w:rPr>
        <w:t> </w:t>
      </w:r>
      <w:hyperlink r:id="rId206">
        <w:r>
          <w:rPr>
            <w:rFonts w:ascii="Arial" w:hAnsi="Arial"/>
            <w:color w:val="231F20"/>
            <w:w w:val="80"/>
            <w:sz w:val="14"/>
          </w:rPr>
          <w:t>https://openknowledge.worldbank.org/handle/10986/2490</w:t>
        </w:r>
      </w:hyperlink>
      <w:r>
        <w:rPr>
          <w:rFonts w:ascii="Arial" w:hAnsi="Arial"/>
          <w:color w:val="231F20"/>
          <w:w w:val="80"/>
          <w:sz w:val="14"/>
        </w:rPr>
        <w:t>.</w:t>
      </w:r>
    </w:p>
    <w:p>
      <w:pPr>
        <w:spacing w:line="297" w:lineRule="auto" w:before="1"/>
        <w:ind w:left="3600" w:right="0" w:hanging="240"/>
        <w:jc w:val="left"/>
        <w:rPr>
          <w:rFonts w:ascii="Arial"/>
          <w:sz w:val="14"/>
        </w:rPr>
      </w:pPr>
      <w:r>
        <w:rPr>
          <w:rFonts w:ascii="Arial"/>
          <w:color w:val="231F20"/>
          <w:w w:val="80"/>
          <w:sz w:val="14"/>
        </w:rPr>
        <w:t>World</w:t>
      </w:r>
      <w:r>
        <w:rPr>
          <w:rFonts w:ascii="Arial"/>
          <w:color w:val="231F20"/>
          <w:spacing w:val="-2"/>
          <w:w w:val="80"/>
          <w:sz w:val="14"/>
        </w:rPr>
        <w:t> </w:t>
      </w:r>
      <w:r>
        <w:rPr>
          <w:rFonts w:ascii="Arial"/>
          <w:color w:val="231F20"/>
          <w:w w:val="80"/>
          <w:sz w:val="14"/>
        </w:rPr>
        <w:t>Bank.</w:t>
      </w:r>
      <w:r>
        <w:rPr>
          <w:rFonts w:ascii="Arial"/>
          <w:color w:val="231F20"/>
          <w:spacing w:val="-2"/>
          <w:w w:val="80"/>
          <w:sz w:val="14"/>
        </w:rPr>
        <w:t> </w:t>
      </w:r>
      <w:r>
        <w:rPr>
          <w:rFonts w:ascii="Arial"/>
          <w:color w:val="231F20"/>
          <w:w w:val="80"/>
          <w:sz w:val="14"/>
        </w:rPr>
        <w:t>2011.</w:t>
      </w:r>
      <w:r>
        <w:rPr>
          <w:rFonts w:ascii="Arial"/>
          <w:color w:val="231F20"/>
          <w:spacing w:val="-1"/>
          <w:w w:val="80"/>
          <w:sz w:val="14"/>
        </w:rPr>
        <w:t> </w:t>
      </w:r>
      <w:r>
        <w:rPr>
          <w:rFonts w:ascii="Arial"/>
          <w:i/>
          <w:color w:val="231F20"/>
          <w:w w:val="80"/>
          <w:sz w:val="14"/>
        </w:rPr>
        <w:t>Border</w:t>
      </w:r>
      <w:r>
        <w:rPr>
          <w:rFonts w:ascii="Arial"/>
          <w:i/>
          <w:color w:val="231F20"/>
          <w:spacing w:val="-1"/>
          <w:w w:val="80"/>
          <w:sz w:val="14"/>
        </w:rPr>
        <w:t> </w:t>
      </w:r>
      <w:r>
        <w:rPr>
          <w:rFonts w:ascii="Arial"/>
          <w:i/>
          <w:color w:val="231F20"/>
          <w:w w:val="80"/>
          <w:sz w:val="14"/>
        </w:rPr>
        <w:t>Management</w:t>
      </w:r>
      <w:r>
        <w:rPr>
          <w:rFonts w:ascii="Arial"/>
          <w:i/>
          <w:color w:val="231F20"/>
          <w:spacing w:val="-1"/>
          <w:w w:val="80"/>
          <w:sz w:val="14"/>
        </w:rPr>
        <w:t> </w:t>
      </w:r>
      <w:r>
        <w:rPr>
          <w:rFonts w:ascii="Arial"/>
          <w:i/>
          <w:color w:val="231F20"/>
          <w:w w:val="80"/>
          <w:sz w:val="14"/>
        </w:rPr>
        <w:t>Modernization</w:t>
      </w:r>
      <w:r>
        <w:rPr>
          <w:rFonts w:ascii="Arial"/>
          <w:color w:val="231F20"/>
          <w:w w:val="80"/>
          <w:sz w:val="14"/>
        </w:rPr>
        <w:t>.</w:t>
      </w:r>
      <w:r>
        <w:rPr>
          <w:rFonts w:ascii="Arial"/>
          <w:color w:val="231F20"/>
          <w:spacing w:val="-9"/>
          <w:w w:val="80"/>
          <w:sz w:val="14"/>
        </w:rPr>
        <w:t> </w:t>
      </w:r>
      <w:r>
        <w:rPr>
          <w:rFonts w:ascii="Arial"/>
          <w:color w:val="231F20"/>
          <w:w w:val="80"/>
          <w:sz w:val="14"/>
        </w:rPr>
        <w:t>Washington,</w:t>
      </w:r>
      <w:r>
        <w:rPr>
          <w:rFonts w:ascii="Arial"/>
          <w:color w:val="231F20"/>
          <w:spacing w:val="-3"/>
          <w:w w:val="80"/>
          <w:sz w:val="14"/>
        </w:rPr>
        <w:t> </w:t>
      </w:r>
      <w:r>
        <w:rPr>
          <w:rFonts w:ascii="Arial"/>
          <w:color w:val="231F20"/>
          <w:w w:val="80"/>
          <w:sz w:val="14"/>
        </w:rPr>
        <w:t>DC:</w:t>
      </w:r>
      <w:r>
        <w:rPr>
          <w:rFonts w:ascii="Arial"/>
          <w:color w:val="231F20"/>
          <w:spacing w:val="40"/>
          <w:sz w:val="14"/>
        </w:rPr>
        <w:t> </w:t>
      </w:r>
      <w:r>
        <w:rPr>
          <w:rFonts w:ascii="Arial"/>
          <w:color w:val="231F20"/>
          <w:w w:val="90"/>
          <w:sz w:val="14"/>
        </w:rPr>
        <w:t>World</w:t>
      </w:r>
      <w:r>
        <w:rPr>
          <w:rFonts w:ascii="Arial"/>
          <w:color w:val="231F20"/>
          <w:spacing w:val="-6"/>
          <w:w w:val="90"/>
          <w:sz w:val="14"/>
        </w:rPr>
        <w:t> </w:t>
      </w:r>
      <w:r>
        <w:rPr>
          <w:rFonts w:ascii="Arial"/>
          <w:color w:val="231F20"/>
          <w:w w:val="90"/>
          <w:sz w:val="14"/>
        </w:rPr>
        <w:t>Bank.</w:t>
      </w:r>
    </w:p>
    <w:p>
      <w:pPr>
        <w:spacing w:before="1"/>
        <w:ind w:left="0" w:right="42" w:firstLine="0"/>
        <w:jc w:val="right"/>
        <w:rPr>
          <w:rFonts w:ascii="Arial"/>
          <w:i/>
          <w:sz w:val="14"/>
        </w:rPr>
      </w:pPr>
      <w:r>
        <w:rPr>
          <w:rFonts w:ascii="Arial"/>
          <w:color w:val="231F20"/>
          <w:spacing w:val="-2"/>
          <w:w w:val="80"/>
          <w:sz w:val="14"/>
        </w:rPr>
        <w:t>World</w:t>
      </w:r>
      <w:r>
        <w:rPr>
          <w:rFonts w:ascii="Arial"/>
          <w:color w:val="231F20"/>
          <w:spacing w:val="4"/>
          <w:sz w:val="14"/>
        </w:rPr>
        <w:t> </w:t>
      </w:r>
      <w:r>
        <w:rPr>
          <w:rFonts w:ascii="Arial"/>
          <w:color w:val="231F20"/>
          <w:spacing w:val="-2"/>
          <w:w w:val="80"/>
          <w:sz w:val="14"/>
        </w:rPr>
        <w:t>Bank.</w:t>
      </w:r>
      <w:r>
        <w:rPr>
          <w:rFonts w:ascii="Arial"/>
          <w:color w:val="231F20"/>
          <w:spacing w:val="5"/>
          <w:sz w:val="14"/>
        </w:rPr>
        <w:t> </w:t>
      </w:r>
      <w:r>
        <w:rPr>
          <w:rFonts w:ascii="Arial"/>
          <w:color w:val="231F20"/>
          <w:spacing w:val="-2"/>
          <w:w w:val="80"/>
          <w:sz w:val="14"/>
        </w:rPr>
        <w:t>2013.</w:t>
      </w:r>
      <w:r>
        <w:rPr>
          <w:rFonts w:ascii="Arial"/>
          <w:color w:val="231F20"/>
          <w:spacing w:val="5"/>
          <w:sz w:val="14"/>
        </w:rPr>
        <w:t> </w:t>
      </w:r>
      <w:r>
        <w:rPr>
          <w:rFonts w:ascii="Arial"/>
          <w:i/>
          <w:color w:val="231F20"/>
          <w:spacing w:val="-2"/>
          <w:w w:val="80"/>
          <w:sz w:val="14"/>
        </w:rPr>
        <w:t>Quantitative</w:t>
      </w:r>
      <w:r>
        <w:rPr>
          <w:rFonts w:ascii="Arial"/>
          <w:i/>
          <w:color w:val="231F20"/>
          <w:spacing w:val="-2"/>
          <w:sz w:val="14"/>
        </w:rPr>
        <w:t> </w:t>
      </w:r>
      <w:r>
        <w:rPr>
          <w:rFonts w:ascii="Arial"/>
          <w:i/>
          <w:color w:val="231F20"/>
          <w:spacing w:val="-2"/>
          <w:w w:val="80"/>
          <w:sz w:val="14"/>
        </w:rPr>
        <w:t>Analysis</w:t>
      </w:r>
      <w:r>
        <w:rPr>
          <w:rFonts w:ascii="Arial"/>
          <w:i/>
          <w:color w:val="231F20"/>
          <w:spacing w:val="4"/>
          <w:sz w:val="14"/>
        </w:rPr>
        <w:t> </w:t>
      </w:r>
      <w:r>
        <w:rPr>
          <w:rFonts w:ascii="Arial"/>
          <w:i/>
          <w:color w:val="231F20"/>
          <w:spacing w:val="-2"/>
          <w:w w:val="80"/>
          <w:sz w:val="14"/>
        </w:rPr>
        <w:t>of</w:t>
      </w:r>
      <w:r>
        <w:rPr>
          <w:rFonts w:ascii="Arial"/>
          <w:i/>
          <w:color w:val="231F20"/>
          <w:spacing w:val="5"/>
          <w:sz w:val="14"/>
        </w:rPr>
        <w:t> </w:t>
      </w:r>
      <w:r>
        <w:rPr>
          <w:rFonts w:ascii="Arial"/>
          <w:i/>
          <w:color w:val="231F20"/>
          <w:spacing w:val="-2"/>
          <w:w w:val="80"/>
          <w:sz w:val="14"/>
        </w:rPr>
        <w:t>Road</w:t>
      </w:r>
      <w:r>
        <w:rPr>
          <w:rFonts w:ascii="Arial"/>
          <w:i/>
          <w:color w:val="231F20"/>
          <w:spacing w:val="-2"/>
          <w:sz w:val="14"/>
        </w:rPr>
        <w:t> </w:t>
      </w:r>
      <w:r>
        <w:rPr>
          <w:rFonts w:ascii="Arial"/>
          <w:i/>
          <w:color w:val="231F20"/>
          <w:spacing w:val="-2"/>
          <w:w w:val="80"/>
          <w:sz w:val="14"/>
        </w:rPr>
        <w:t>Transport</w:t>
      </w:r>
      <w:r>
        <w:rPr>
          <w:rFonts w:ascii="Arial"/>
          <w:i/>
          <w:color w:val="231F20"/>
          <w:spacing w:val="-2"/>
          <w:sz w:val="14"/>
        </w:rPr>
        <w:t> </w:t>
      </w:r>
      <w:r>
        <w:rPr>
          <w:rFonts w:ascii="Arial"/>
          <w:i/>
          <w:color w:val="231F20"/>
          <w:spacing w:val="-2"/>
          <w:w w:val="80"/>
          <w:sz w:val="14"/>
        </w:rPr>
        <w:t>Agreements.</w:t>
      </w:r>
    </w:p>
    <w:p>
      <w:pPr>
        <w:spacing w:before="39"/>
        <w:ind w:left="0" w:right="50" w:firstLine="0"/>
        <w:jc w:val="right"/>
        <w:rPr>
          <w:rFonts w:ascii="Arial"/>
          <w:sz w:val="14"/>
        </w:rPr>
      </w:pPr>
      <w:r>
        <w:rPr>
          <w:rFonts w:ascii="Arial"/>
          <w:color w:val="231F20"/>
          <w:w w:val="75"/>
          <w:sz w:val="14"/>
        </w:rPr>
        <w:t>Washington,</w:t>
      </w:r>
      <w:r>
        <w:rPr>
          <w:rFonts w:ascii="Arial"/>
          <w:color w:val="231F20"/>
          <w:spacing w:val="12"/>
          <w:sz w:val="14"/>
        </w:rPr>
        <w:t> </w:t>
      </w:r>
      <w:r>
        <w:rPr>
          <w:rFonts w:ascii="Arial"/>
          <w:color w:val="231F20"/>
          <w:w w:val="75"/>
          <w:sz w:val="14"/>
        </w:rPr>
        <w:t>DC:</w:t>
      </w:r>
      <w:r>
        <w:rPr>
          <w:rFonts w:ascii="Arial"/>
          <w:color w:val="231F20"/>
          <w:spacing w:val="4"/>
          <w:sz w:val="14"/>
        </w:rPr>
        <w:t> </w:t>
      </w:r>
      <w:r>
        <w:rPr>
          <w:rFonts w:ascii="Arial"/>
          <w:color w:val="231F20"/>
          <w:w w:val="75"/>
          <w:sz w:val="14"/>
        </w:rPr>
        <w:t>World</w:t>
      </w:r>
      <w:r>
        <w:rPr>
          <w:rFonts w:ascii="Arial"/>
          <w:color w:val="231F20"/>
          <w:spacing w:val="22"/>
          <w:sz w:val="14"/>
        </w:rPr>
        <w:t> </w:t>
      </w:r>
      <w:r>
        <w:rPr>
          <w:rFonts w:ascii="Arial"/>
          <w:color w:val="231F20"/>
          <w:w w:val="75"/>
          <w:sz w:val="14"/>
        </w:rPr>
        <w:t>Bank.</w:t>
      </w:r>
      <w:r>
        <w:rPr>
          <w:rFonts w:ascii="Arial"/>
          <w:color w:val="231F20"/>
          <w:spacing w:val="12"/>
          <w:sz w:val="14"/>
        </w:rPr>
        <w:t> </w:t>
      </w:r>
      <w:hyperlink r:id="rId207">
        <w:r>
          <w:rPr>
            <w:rFonts w:ascii="Arial"/>
            <w:color w:val="231F20"/>
            <w:spacing w:val="-2"/>
            <w:w w:val="75"/>
            <w:sz w:val="14"/>
          </w:rPr>
          <w:t>https://openknowledge.worldbank.org</w:t>
        </w:r>
      </w:hyperlink>
    </w:p>
    <w:p>
      <w:pPr>
        <w:spacing w:before="39"/>
        <w:ind w:left="3600" w:right="0" w:firstLine="0"/>
        <w:jc w:val="left"/>
        <w:rPr>
          <w:rFonts w:ascii="Arial"/>
          <w:sz w:val="14"/>
        </w:rPr>
      </w:pPr>
      <w:hyperlink r:id="rId207">
        <w:r>
          <w:rPr>
            <w:rFonts w:ascii="Arial"/>
            <w:color w:val="231F20"/>
            <w:spacing w:val="-2"/>
            <w:w w:val="95"/>
            <w:sz w:val="14"/>
          </w:rPr>
          <w:t>/handle/10986/13822</w:t>
        </w:r>
      </w:hyperlink>
      <w:r>
        <w:rPr>
          <w:rFonts w:ascii="Arial"/>
          <w:color w:val="231F20"/>
          <w:spacing w:val="-2"/>
          <w:w w:val="95"/>
          <w:sz w:val="14"/>
        </w:rPr>
        <w:t>.</w:t>
      </w:r>
    </w:p>
    <w:p>
      <w:pPr>
        <w:spacing w:before="102"/>
        <w:ind w:left="279" w:right="0" w:firstLine="0"/>
        <w:jc w:val="left"/>
        <w:rPr>
          <w:rFonts w:ascii="Arial"/>
          <w:i/>
          <w:sz w:val="14"/>
        </w:rPr>
      </w:pPr>
      <w:r>
        <w:rPr/>
        <w:br w:type="column"/>
      </w:r>
      <w:r>
        <w:rPr>
          <w:rFonts w:ascii="Arial"/>
          <w:color w:val="231F20"/>
          <w:w w:val="80"/>
          <w:sz w:val="14"/>
        </w:rPr>
        <w:t>World</w:t>
      </w:r>
      <w:r>
        <w:rPr>
          <w:rFonts w:ascii="Arial"/>
          <w:color w:val="231F20"/>
          <w:spacing w:val="-2"/>
          <w:w w:val="80"/>
          <w:sz w:val="14"/>
        </w:rPr>
        <w:t> </w:t>
      </w:r>
      <w:r>
        <w:rPr>
          <w:rFonts w:ascii="Arial"/>
          <w:color w:val="231F20"/>
          <w:w w:val="80"/>
          <w:sz w:val="14"/>
        </w:rPr>
        <w:t>Bank.</w:t>
      </w:r>
      <w:r>
        <w:rPr>
          <w:rFonts w:ascii="Arial"/>
          <w:color w:val="231F20"/>
          <w:spacing w:val="-2"/>
          <w:w w:val="80"/>
          <w:sz w:val="14"/>
        </w:rPr>
        <w:t> </w:t>
      </w:r>
      <w:r>
        <w:rPr>
          <w:rFonts w:ascii="Arial"/>
          <w:color w:val="231F20"/>
          <w:w w:val="80"/>
          <w:sz w:val="14"/>
        </w:rPr>
        <w:t>2014</w:t>
      </w:r>
      <w:r>
        <w:rPr>
          <w:rFonts w:ascii="Arial"/>
          <w:i/>
          <w:color w:val="231F20"/>
          <w:w w:val="80"/>
          <w:sz w:val="14"/>
        </w:rPr>
        <w:t>.</w:t>
      </w:r>
      <w:r>
        <w:rPr>
          <w:rFonts w:ascii="Arial"/>
          <w:i/>
          <w:color w:val="231F20"/>
          <w:spacing w:val="-9"/>
          <w:w w:val="80"/>
          <w:sz w:val="14"/>
        </w:rPr>
        <w:t> </w:t>
      </w:r>
      <w:r>
        <w:rPr>
          <w:rFonts w:ascii="Arial"/>
          <w:i/>
          <w:color w:val="231F20"/>
          <w:w w:val="80"/>
          <w:sz w:val="14"/>
        </w:rPr>
        <w:t>Trade</w:t>
      </w:r>
      <w:r>
        <w:rPr>
          <w:rFonts w:ascii="Arial"/>
          <w:i/>
          <w:color w:val="231F20"/>
          <w:spacing w:val="-2"/>
          <w:w w:val="80"/>
          <w:sz w:val="14"/>
        </w:rPr>
        <w:t> </w:t>
      </w:r>
      <w:r>
        <w:rPr>
          <w:rFonts w:ascii="Arial"/>
          <w:i/>
          <w:color w:val="231F20"/>
          <w:w w:val="80"/>
          <w:sz w:val="14"/>
        </w:rPr>
        <w:t>and</w:t>
      </w:r>
      <w:r>
        <w:rPr>
          <w:rFonts w:ascii="Arial"/>
          <w:i/>
          <w:color w:val="231F20"/>
          <w:spacing w:val="-3"/>
          <w:w w:val="80"/>
          <w:sz w:val="14"/>
        </w:rPr>
        <w:t> </w:t>
      </w:r>
      <w:r>
        <w:rPr>
          <w:rFonts w:ascii="Arial"/>
          <w:i/>
          <w:color w:val="231F20"/>
          <w:w w:val="80"/>
          <w:sz w:val="14"/>
        </w:rPr>
        <w:t>Transport</w:t>
      </w:r>
      <w:r>
        <w:rPr>
          <w:rFonts w:ascii="Arial"/>
          <w:i/>
          <w:color w:val="231F20"/>
          <w:spacing w:val="-2"/>
          <w:w w:val="80"/>
          <w:sz w:val="14"/>
        </w:rPr>
        <w:t> </w:t>
      </w:r>
      <w:r>
        <w:rPr>
          <w:rFonts w:ascii="Arial"/>
          <w:i/>
          <w:color w:val="231F20"/>
          <w:w w:val="80"/>
          <w:sz w:val="14"/>
        </w:rPr>
        <w:t>Corridor</w:t>
      </w:r>
      <w:r>
        <w:rPr>
          <w:rFonts w:ascii="Arial"/>
          <w:i/>
          <w:color w:val="231F20"/>
          <w:spacing w:val="-1"/>
          <w:w w:val="80"/>
          <w:sz w:val="14"/>
        </w:rPr>
        <w:t> </w:t>
      </w:r>
      <w:r>
        <w:rPr>
          <w:rFonts w:ascii="Arial"/>
          <w:i/>
          <w:color w:val="231F20"/>
          <w:w w:val="80"/>
          <w:sz w:val="14"/>
        </w:rPr>
        <w:t>Management</w:t>
      </w:r>
      <w:r>
        <w:rPr>
          <w:rFonts w:ascii="Arial"/>
          <w:i/>
          <w:color w:val="231F20"/>
          <w:spacing w:val="-4"/>
          <w:w w:val="80"/>
          <w:sz w:val="14"/>
        </w:rPr>
        <w:t> </w:t>
      </w:r>
      <w:r>
        <w:rPr>
          <w:rFonts w:ascii="Arial"/>
          <w:i/>
          <w:color w:val="231F20"/>
          <w:spacing w:val="-2"/>
          <w:w w:val="80"/>
          <w:sz w:val="14"/>
        </w:rPr>
        <w:t>Toolkit.</w:t>
      </w:r>
    </w:p>
    <w:p>
      <w:pPr>
        <w:spacing w:before="39"/>
        <w:ind w:left="519" w:right="0" w:firstLine="0"/>
        <w:jc w:val="left"/>
        <w:rPr>
          <w:rFonts w:ascii="Arial"/>
          <w:sz w:val="14"/>
        </w:rPr>
      </w:pPr>
      <w:r>
        <w:rPr>
          <w:rFonts w:ascii="Arial"/>
          <w:color w:val="231F20"/>
          <w:w w:val="75"/>
          <w:sz w:val="14"/>
        </w:rPr>
        <w:t>Washington,</w:t>
      </w:r>
      <w:r>
        <w:rPr>
          <w:rFonts w:ascii="Arial"/>
          <w:color w:val="231F20"/>
          <w:spacing w:val="12"/>
          <w:sz w:val="14"/>
        </w:rPr>
        <w:t> </w:t>
      </w:r>
      <w:r>
        <w:rPr>
          <w:rFonts w:ascii="Arial"/>
          <w:color w:val="231F20"/>
          <w:w w:val="75"/>
          <w:sz w:val="14"/>
        </w:rPr>
        <w:t>DC:</w:t>
      </w:r>
      <w:r>
        <w:rPr>
          <w:rFonts w:ascii="Arial"/>
          <w:color w:val="231F20"/>
          <w:spacing w:val="4"/>
          <w:sz w:val="14"/>
        </w:rPr>
        <w:t> </w:t>
      </w:r>
      <w:r>
        <w:rPr>
          <w:rFonts w:ascii="Arial"/>
          <w:color w:val="231F20"/>
          <w:w w:val="75"/>
          <w:sz w:val="14"/>
        </w:rPr>
        <w:t>World</w:t>
      </w:r>
      <w:r>
        <w:rPr>
          <w:rFonts w:ascii="Arial"/>
          <w:color w:val="231F20"/>
          <w:spacing w:val="22"/>
          <w:sz w:val="14"/>
        </w:rPr>
        <w:t> </w:t>
      </w:r>
      <w:r>
        <w:rPr>
          <w:rFonts w:ascii="Arial"/>
          <w:color w:val="231F20"/>
          <w:w w:val="75"/>
          <w:sz w:val="14"/>
        </w:rPr>
        <w:t>Bank.</w:t>
      </w:r>
      <w:r>
        <w:rPr>
          <w:rFonts w:ascii="Arial"/>
          <w:color w:val="231F20"/>
          <w:spacing w:val="12"/>
          <w:sz w:val="14"/>
        </w:rPr>
        <w:t> </w:t>
      </w:r>
      <w:hyperlink r:id="rId208">
        <w:r>
          <w:rPr>
            <w:rFonts w:ascii="Arial"/>
            <w:color w:val="231F20"/>
            <w:spacing w:val="-2"/>
            <w:w w:val="75"/>
            <w:sz w:val="14"/>
          </w:rPr>
          <w:t>https://openknowledge.worldbank.org</w:t>
        </w:r>
      </w:hyperlink>
    </w:p>
    <w:p>
      <w:pPr>
        <w:spacing w:before="39"/>
        <w:ind w:left="519" w:right="0" w:firstLine="0"/>
        <w:jc w:val="left"/>
        <w:rPr>
          <w:rFonts w:ascii="Arial"/>
          <w:sz w:val="14"/>
        </w:rPr>
      </w:pPr>
      <w:hyperlink r:id="rId208">
        <w:r>
          <w:rPr>
            <w:rFonts w:ascii="Arial"/>
            <w:color w:val="231F20"/>
            <w:spacing w:val="-2"/>
            <w:w w:val="95"/>
            <w:sz w:val="14"/>
          </w:rPr>
          <w:t>/handle/10986/18241</w:t>
        </w:r>
      </w:hyperlink>
      <w:r>
        <w:rPr>
          <w:rFonts w:ascii="Arial"/>
          <w:color w:val="231F20"/>
          <w:spacing w:val="-2"/>
          <w:w w:val="95"/>
          <w:sz w:val="14"/>
        </w:rPr>
        <w:t>.</w:t>
      </w:r>
    </w:p>
    <w:p>
      <w:pPr>
        <w:spacing w:line="297" w:lineRule="auto" w:before="39"/>
        <w:ind w:left="519" w:right="672" w:hanging="240"/>
        <w:jc w:val="left"/>
        <w:rPr>
          <w:rFonts w:ascii="Arial"/>
          <w:sz w:val="14"/>
        </w:rPr>
      </w:pPr>
      <w:r>
        <w:rPr>
          <w:rFonts w:ascii="Arial"/>
          <w:color w:val="231F20"/>
          <w:w w:val="85"/>
          <w:sz w:val="14"/>
        </w:rPr>
        <w:t>World</w:t>
      </w:r>
      <w:r>
        <w:rPr>
          <w:rFonts w:ascii="Arial"/>
          <w:color w:val="231F20"/>
          <w:spacing w:val="-4"/>
          <w:w w:val="85"/>
          <w:sz w:val="14"/>
        </w:rPr>
        <w:t> </w:t>
      </w:r>
      <w:r>
        <w:rPr>
          <w:rFonts w:ascii="Arial"/>
          <w:color w:val="231F20"/>
          <w:w w:val="85"/>
          <w:sz w:val="14"/>
        </w:rPr>
        <w:t>Bank.</w:t>
      </w:r>
      <w:r>
        <w:rPr>
          <w:rFonts w:ascii="Arial"/>
          <w:color w:val="231F20"/>
          <w:spacing w:val="-4"/>
          <w:w w:val="85"/>
          <w:sz w:val="14"/>
        </w:rPr>
        <w:t> </w:t>
      </w:r>
      <w:r>
        <w:rPr>
          <w:rFonts w:ascii="Arial"/>
          <w:color w:val="231F20"/>
          <w:w w:val="85"/>
          <w:sz w:val="14"/>
        </w:rPr>
        <w:t>2020a.</w:t>
      </w:r>
      <w:r>
        <w:rPr>
          <w:rFonts w:ascii="Arial"/>
          <w:color w:val="231F20"/>
          <w:spacing w:val="-4"/>
          <w:w w:val="85"/>
          <w:sz w:val="14"/>
        </w:rPr>
        <w:t> </w:t>
      </w:r>
      <w:r>
        <w:rPr>
          <w:rFonts w:ascii="Arial"/>
          <w:i/>
          <w:color w:val="231F20"/>
          <w:w w:val="85"/>
          <w:sz w:val="14"/>
        </w:rPr>
        <w:t>Accelerating</w:t>
      </w:r>
      <w:r>
        <w:rPr>
          <w:rFonts w:ascii="Arial"/>
          <w:i/>
          <w:color w:val="231F20"/>
          <w:spacing w:val="-4"/>
          <w:w w:val="85"/>
          <w:sz w:val="14"/>
        </w:rPr>
        <w:t> </w:t>
      </w:r>
      <w:r>
        <w:rPr>
          <w:rFonts w:ascii="Arial"/>
          <w:i/>
          <w:color w:val="231F20"/>
          <w:w w:val="85"/>
          <w:sz w:val="14"/>
        </w:rPr>
        <w:t>Digitization:</w:t>
      </w:r>
      <w:r>
        <w:rPr>
          <w:rFonts w:ascii="Arial"/>
          <w:i/>
          <w:color w:val="231F20"/>
          <w:spacing w:val="-5"/>
          <w:w w:val="85"/>
          <w:sz w:val="14"/>
        </w:rPr>
        <w:t> </w:t>
      </w:r>
      <w:r>
        <w:rPr>
          <w:rFonts w:ascii="Arial"/>
          <w:i/>
          <w:color w:val="231F20"/>
          <w:w w:val="85"/>
          <w:sz w:val="14"/>
        </w:rPr>
        <w:t>Critical</w:t>
      </w:r>
      <w:r>
        <w:rPr>
          <w:rFonts w:ascii="Arial"/>
          <w:i/>
          <w:color w:val="231F20"/>
          <w:spacing w:val="-5"/>
          <w:w w:val="85"/>
          <w:sz w:val="14"/>
        </w:rPr>
        <w:t> </w:t>
      </w:r>
      <w:r>
        <w:rPr>
          <w:rFonts w:ascii="Arial"/>
          <w:i/>
          <w:color w:val="231F20"/>
          <w:w w:val="85"/>
          <w:sz w:val="14"/>
        </w:rPr>
        <w:t>Actions</w:t>
      </w:r>
      <w:r>
        <w:rPr>
          <w:rFonts w:ascii="Arial"/>
          <w:i/>
          <w:color w:val="231F20"/>
          <w:spacing w:val="-4"/>
          <w:w w:val="85"/>
          <w:sz w:val="14"/>
        </w:rPr>
        <w:t> </w:t>
      </w:r>
      <w:r>
        <w:rPr>
          <w:rFonts w:ascii="Arial"/>
          <w:i/>
          <w:color w:val="231F20"/>
          <w:w w:val="85"/>
          <w:sz w:val="14"/>
        </w:rPr>
        <w:t>to</w:t>
      </w:r>
      <w:r>
        <w:rPr>
          <w:rFonts w:ascii="Arial"/>
          <w:i/>
          <w:color w:val="231F20"/>
          <w:spacing w:val="40"/>
          <w:sz w:val="14"/>
        </w:rPr>
        <w:t> </w:t>
      </w:r>
      <w:r>
        <w:rPr>
          <w:rFonts w:ascii="Arial"/>
          <w:i/>
          <w:color w:val="231F20"/>
          <w:spacing w:val="-2"/>
          <w:w w:val="80"/>
          <w:sz w:val="14"/>
        </w:rPr>
        <w:t>Strengthen</w:t>
      </w:r>
      <w:r>
        <w:rPr>
          <w:rFonts w:ascii="Arial"/>
          <w:i/>
          <w:color w:val="231F20"/>
          <w:spacing w:val="-1"/>
          <w:sz w:val="14"/>
        </w:rPr>
        <w:t> </w:t>
      </w:r>
      <w:r>
        <w:rPr>
          <w:rFonts w:ascii="Arial"/>
          <w:i/>
          <w:color w:val="231F20"/>
          <w:spacing w:val="-2"/>
          <w:w w:val="80"/>
          <w:sz w:val="14"/>
        </w:rPr>
        <w:t>the</w:t>
      </w:r>
      <w:r>
        <w:rPr>
          <w:rFonts w:ascii="Arial"/>
          <w:i/>
          <w:color w:val="231F20"/>
          <w:spacing w:val="-1"/>
          <w:sz w:val="14"/>
        </w:rPr>
        <w:t> </w:t>
      </w:r>
      <w:r>
        <w:rPr>
          <w:rFonts w:ascii="Arial"/>
          <w:i/>
          <w:color w:val="231F20"/>
          <w:spacing w:val="-2"/>
          <w:w w:val="80"/>
          <w:sz w:val="14"/>
        </w:rPr>
        <w:t>Resilience</w:t>
      </w:r>
      <w:r>
        <w:rPr>
          <w:rFonts w:ascii="Arial"/>
          <w:i/>
          <w:color w:val="231F20"/>
          <w:spacing w:val="-1"/>
          <w:sz w:val="14"/>
        </w:rPr>
        <w:t> </w:t>
      </w:r>
      <w:r>
        <w:rPr>
          <w:rFonts w:ascii="Arial"/>
          <w:i/>
          <w:color w:val="231F20"/>
          <w:spacing w:val="-2"/>
          <w:w w:val="80"/>
          <w:sz w:val="14"/>
        </w:rPr>
        <w:t>of</w:t>
      </w:r>
      <w:r>
        <w:rPr>
          <w:rFonts w:ascii="Arial"/>
          <w:i/>
          <w:color w:val="231F20"/>
          <w:spacing w:val="-1"/>
          <w:sz w:val="14"/>
        </w:rPr>
        <w:t> </w:t>
      </w:r>
      <w:r>
        <w:rPr>
          <w:rFonts w:ascii="Arial"/>
          <w:i/>
          <w:color w:val="231F20"/>
          <w:spacing w:val="-2"/>
          <w:w w:val="80"/>
          <w:sz w:val="14"/>
        </w:rPr>
        <w:t>the</w:t>
      </w:r>
      <w:r>
        <w:rPr>
          <w:rFonts w:ascii="Arial"/>
          <w:i/>
          <w:color w:val="231F20"/>
          <w:spacing w:val="-1"/>
          <w:sz w:val="14"/>
        </w:rPr>
        <w:t> </w:t>
      </w:r>
      <w:r>
        <w:rPr>
          <w:rFonts w:ascii="Arial"/>
          <w:i/>
          <w:color w:val="231F20"/>
          <w:spacing w:val="-2"/>
          <w:w w:val="80"/>
          <w:sz w:val="14"/>
        </w:rPr>
        <w:t>Maritime</w:t>
      </w:r>
      <w:r>
        <w:rPr>
          <w:rFonts w:ascii="Arial"/>
          <w:i/>
          <w:color w:val="231F20"/>
          <w:spacing w:val="-1"/>
          <w:sz w:val="14"/>
        </w:rPr>
        <w:t> </w:t>
      </w:r>
      <w:r>
        <w:rPr>
          <w:rFonts w:ascii="Arial"/>
          <w:i/>
          <w:color w:val="231F20"/>
          <w:spacing w:val="-2"/>
          <w:w w:val="80"/>
          <w:sz w:val="14"/>
        </w:rPr>
        <w:t>Supply</w:t>
      </w:r>
      <w:r>
        <w:rPr>
          <w:rFonts w:ascii="Arial"/>
          <w:i/>
          <w:color w:val="231F20"/>
          <w:spacing w:val="-1"/>
          <w:sz w:val="14"/>
        </w:rPr>
        <w:t> </w:t>
      </w:r>
      <w:r>
        <w:rPr>
          <w:rFonts w:ascii="Arial"/>
          <w:i/>
          <w:color w:val="231F20"/>
          <w:spacing w:val="-2"/>
          <w:w w:val="80"/>
          <w:sz w:val="14"/>
        </w:rPr>
        <w:t>Chain</w:t>
      </w:r>
      <w:r>
        <w:rPr>
          <w:rFonts w:ascii="Arial"/>
          <w:color w:val="231F20"/>
          <w:spacing w:val="-2"/>
          <w:w w:val="80"/>
          <w:sz w:val="14"/>
        </w:rPr>
        <w:t>.</w:t>
      </w:r>
      <w:r>
        <w:rPr>
          <w:rFonts w:ascii="Arial"/>
          <w:color w:val="231F20"/>
          <w:spacing w:val="-5"/>
          <w:w w:val="80"/>
          <w:sz w:val="14"/>
        </w:rPr>
        <w:t> </w:t>
      </w:r>
      <w:r>
        <w:rPr>
          <w:rFonts w:ascii="Arial"/>
          <w:color w:val="231F20"/>
          <w:spacing w:val="-2"/>
          <w:w w:val="80"/>
          <w:sz w:val="14"/>
        </w:rPr>
        <w:t>Washington,</w:t>
      </w:r>
      <w:r>
        <w:rPr>
          <w:rFonts w:ascii="Arial"/>
          <w:color w:val="231F20"/>
          <w:spacing w:val="40"/>
          <w:sz w:val="14"/>
        </w:rPr>
        <w:t> </w:t>
      </w:r>
      <w:r>
        <w:rPr>
          <w:rFonts w:ascii="Arial"/>
          <w:color w:val="231F20"/>
          <w:w w:val="90"/>
          <w:sz w:val="14"/>
        </w:rPr>
        <w:t>DC:</w:t>
      </w:r>
      <w:r>
        <w:rPr>
          <w:rFonts w:ascii="Arial"/>
          <w:color w:val="231F20"/>
          <w:spacing w:val="-12"/>
          <w:w w:val="90"/>
          <w:sz w:val="14"/>
        </w:rPr>
        <w:t> </w:t>
      </w:r>
      <w:r>
        <w:rPr>
          <w:rFonts w:ascii="Arial"/>
          <w:color w:val="231F20"/>
          <w:w w:val="90"/>
          <w:sz w:val="14"/>
        </w:rPr>
        <w:t>World</w:t>
      </w:r>
      <w:r>
        <w:rPr>
          <w:rFonts w:ascii="Arial"/>
          <w:color w:val="231F20"/>
          <w:spacing w:val="-2"/>
          <w:w w:val="90"/>
          <w:sz w:val="14"/>
        </w:rPr>
        <w:t> </w:t>
      </w:r>
      <w:r>
        <w:rPr>
          <w:rFonts w:ascii="Arial"/>
          <w:color w:val="231F20"/>
          <w:w w:val="90"/>
          <w:sz w:val="14"/>
        </w:rPr>
        <w:t>Bank.</w:t>
      </w:r>
    </w:p>
    <w:p>
      <w:pPr>
        <w:spacing w:line="297" w:lineRule="auto" w:before="2"/>
        <w:ind w:left="519" w:right="672" w:hanging="240"/>
        <w:jc w:val="left"/>
        <w:rPr>
          <w:rFonts w:ascii="Arial" w:hAnsi="Arial"/>
          <w:sz w:val="14"/>
        </w:rPr>
      </w:pPr>
      <w:r>
        <w:rPr>
          <w:rFonts w:ascii="Arial" w:hAnsi="Arial"/>
          <w:color w:val="231F20"/>
          <w:w w:val="80"/>
          <w:sz w:val="14"/>
        </w:rPr>
        <w:t>World Bank. 2020b.</w:t>
      </w:r>
      <w:r>
        <w:rPr>
          <w:rFonts w:ascii="Arial" w:hAnsi="Arial"/>
          <w:color w:val="231F20"/>
          <w:spacing w:val="-4"/>
          <w:w w:val="80"/>
          <w:sz w:val="14"/>
        </w:rPr>
        <w:t> </w:t>
      </w:r>
      <w:r>
        <w:rPr>
          <w:rFonts w:ascii="Arial" w:hAnsi="Arial"/>
          <w:color w:val="231F20"/>
          <w:w w:val="80"/>
          <w:sz w:val="14"/>
        </w:rPr>
        <w:t>“Algeria:</w:t>
      </w:r>
      <w:r>
        <w:rPr>
          <w:rFonts w:ascii="Arial" w:hAnsi="Arial"/>
          <w:color w:val="231F20"/>
          <w:spacing w:val="-3"/>
          <w:w w:val="80"/>
          <w:sz w:val="14"/>
        </w:rPr>
        <w:t> </w:t>
      </w:r>
      <w:r>
        <w:rPr>
          <w:rFonts w:ascii="Arial" w:hAnsi="Arial"/>
          <w:color w:val="231F20"/>
          <w:w w:val="80"/>
          <w:sz w:val="14"/>
        </w:rPr>
        <w:t>Removing Barriers to Exports.”</w:t>
      </w:r>
      <w:r>
        <w:rPr>
          <w:rFonts w:ascii="Arial" w:hAnsi="Arial"/>
          <w:color w:val="231F20"/>
          <w:spacing w:val="-9"/>
          <w:w w:val="80"/>
          <w:sz w:val="14"/>
        </w:rPr>
        <w:t> </w:t>
      </w:r>
      <w:r>
        <w:rPr>
          <w:rFonts w:ascii="Arial" w:hAnsi="Arial"/>
          <w:color w:val="231F20"/>
          <w:w w:val="80"/>
          <w:sz w:val="14"/>
        </w:rPr>
        <w:t>Washington,</w:t>
      </w:r>
      <w:r>
        <w:rPr>
          <w:rFonts w:ascii="Arial" w:hAnsi="Arial"/>
          <w:color w:val="231F20"/>
          <w:spacing w:val="40"/>
          <w:sz w:val="14"/>
        </w:rPr>
        <w:t> </w:t>
      </w:r>
      <w:r>
        <w:rPr>
          <w:rFonts w:ascii="Arial" w:hAnsi="Arial"/>
          <w:color w:val="231F20"/>
          <w:w w:val="90"/>
          <w:sz w:val="14"/>
        </w:rPr>
        <w:t>DC:</w:t>
      </w:r>
      <w:r>
        <w:rPr>
          <w:rFonts w:ascii="Arial" w:hAnsi="Arial"/>
          <w:color w:val="231F20"/>
          <w:spacing w:val="-12"/>
          <w:w w:val="90"/>
          <w:sz w:val="14"/>
        </w:rPr>
        <w:t> </w:t>
      </w:r>
      <w:r>
        <w:rPr>
          <w:rFonts w:ascii="Arial" w:hAnsi="Arial"/>
          <w:color w:val="231F20"/>
          <w:w w:val="90"/>
          <w:sz w:val="14"/>
        </w:rPr>
        <w:t>World</w:t>
      </w:r>
      <w:r>
        <w:rPr>
          <w:rFonts w:ascii="Arial" w:hAnsi="Arial"/>
          <w:color w:val="231F20"/>
          <w:spacing w:val="-2"/>
          <w:w w:val="90"/>
          <w:sz w:val="14"/>
        </w:rPr>
        <w:t> </w:t>
      </w:r>
      <w:r>
        <w:rPr>
          <w:rFonts w:ascii="Arial" w:hAnsi="Arial"/>
          <w:color w:val="231F20"/>
          <w:w w:val="90"/>
          <w:sz w:val="14"/>
        </w:rPr>
        <w:t>Bank.</w:t>
      </w:r>
    </w:p>
    <w:p>
      <w:pPr>
        <w:spacing w:line="297" w:lineRule="auto" w:before="0"/>
        <w:ind w:left="519" w:right="672" w:hanging="240"/>
        <w:jc w:val="left"/>
        <w:rPr>
          <w:rFonts w:ascii="Arial"/>
          <w:sz w:val="14"/>
        </w:rPr>
      </w:pPr>
      <w:r>
        <w:rPr>
          <w:rFonts w:ascii="Arial"/>
          <w:color w:val="231F20"/>
          <w:w w:val="85"/>
          <w:sz w:val="14"/>
        </w:rPr>
        <w:t>World</w:t>
      </w:r>
      <w:r>
        <w:rPr>
          <w:rFonts w:ascii="Arial"/>
          <w:color w:val="231F20"/>
          <w:spacing w:val="-4"/>
          <w:w w:val="85"/>
          <w:sz w:val="14"/>
        </w:rPr>
        <w:t> </w:t>
      </w:r>
      <w:r>
        <w:rPr>
          <w:rFonts w:ascii="Arial"/>
          <w:color w:val="231F20"/>
          <w:w w:val="85"/>
          <w:sz w:val="14"/>
        </w:rPr>
        <w:t>Bank.</w:t>
      </w:r>
      <w:r>
        <w:rPr>
          <w:rFonts w:ascii="Arial"/>
          <w:color w:val="231F20"/>
          <w:spacing w:val="-4"/>
          <w:w w:val="85"/>
          <w:sz w:val="14"/>
        </w:rPr>
        <w:t> </w:t>
      </w:r>
      <w:r>
        <w:rPr>
          <w:rFonts w:ascii="Arial"/>
          <w:color w:val="231F20"/>
          <w:w w:val="85"/>
          <w:sz w:val="14"/>
        </w:rPr>
        <w:t>2021a.</w:t>
      </w:r>
      <w:r>
        <w:rPr>
          <w:rFonts w:ascii="Arial"/>
          <w:color w:val="231F20"/>
          <w:spacing w:val="-4"/>
          <w:w w:val="85"/>
          <w:sz w:val="14"/>
        </w:rPr>
        <w:t> </w:t>
      </w:r>
      <w:r>
        <w:rPr>
          <w:rFonts w:ascii="Arial"/>
          <w:i/>
          <w:color w:val="231F20"/>
          <w:w w:val="85"/>
          <w:sz w:val="14"/>
        </w:rPr>
        <w:t>The</w:t>
      </w:r>
      <w:r>
        <w:rPr>
          <w:rFonts w:ascii="Arial"/>
          <w:i/>
          <w:color w:val="231F20"/>
          <w:spacing w:val="-4"/>
          <w:w w:val="85"/>
          <w:sz w:val="14"/>
        </w:rPr>
        <w:t> </w:t>
      </w:r>
      <w:r>
        <w:rPr>
          <w:rFonts w:ascii="Arial"/>
          <w:i/>
          <w:color w:val="231F20"/>
          <w:w w:val="85"/>
          <w:sz w:val="14"/>
        </w:rPr>
        <w:t>Container</w:t>
      </w:r>
      <w:r>
        <w:rPr>
          <w:rFonts w:ascii="Arial"/>
          <w:i/>
          <w:color w:val="231F20"/>
          <w:spacing w:val="-4"/>
          <w:w w:val="85"/>
          <w:sz w:val="14"/>
        </w:rPr>
        <w:t> </w:t>
      </w:r>
      <w:r>
        <w:rPr>
          <w:rFonts w:ascii="Arial"/>
          <w:i/>
          <w:color w:val="231F20"/>
          <w:w w:val="85"/>
          <w:sz w:val="14"/>
        </w:rPr>
        <w:t>Port</w:t>
      </w:r>
      <w:r>
        <w:rPr>
          <w:rFonts w:ascii="Arial"/>
          <w:i/>
          <w:color w:val="231F20"/>
          <w:spacing w:val="-4"/>
          <w:w w:val="85"/>
          <w:sz w:val="14"/>
        </w:rPr>
        <w:t> </w:t>
      </w:r>
      <w:r>
        <w:rPr>
          <w:rFonts w:ascii="Arial"/>
          <w:i/>
          <w:color w:val="231F20"/>
          <w:w w:val="85"/>
          <w:sz w:val="14"/>
        </w:rPr>
        <w:t>Performance</w:t>
      </w:r>
      <w:r>
        <w:rPr>
          <w:rFonts w:ascii="Arial"/>
          <w:i/>
          <w:color w:val="231F20"/>
          <w:spacing w:val="-4"/>
          <w:w w:val="85"/>
          <w:sz w:val="14"/>
        </w:rPr>
        <w:t> </w:t>
      </w:r>
      <w:r>
        <w:rPr>
          <w:rFonts w:ascii="Arial"/>
          <w:i/>
          <w:color w:val="231F20"/>
          <w:w w:val="85"/>
          <w:sz w:val="14"/>
        </w:rPr>
        <w:t>Index</w:t>
      </w:r>
      <w:r>
        <w:rPr>
          <w:rFonts w:ascii="Arial"/>
          <w:i/>
          <w:color w:val="231F20"/>
          <w:spacing w:val="-4"/>
          <w:w w:val="85"/>
          <w:sz w:val="14"/>
        </w:rPr>
        <w:t> </w:t>
      </w:r>
      <w:r>
        <w:rPr>
          <w:rFonts w:ascii="Arial"/>
          <w:i/>
          <w:color w:val="231F20"/>
          <w:w w:val="85"/>
          <w:sz w:val="14"/>
        </w:rPr>
        <w:t>2020:</w:t>
      </w:r>
      <w:r>
        <w:rPr>
          <w:rFonts w:ascii="Arial"/>
          <w:i/>
          <w:color w:val="231F20"/>
          <w:spacing w:val="-10"/>
          <w:w w:val="85"/>
          <w:sz w:val="14"/>
        </w:rPr>
        <w:t> </w:t>
      </w:r>
      <w:r>
        <w:rPr>
          <w:rFonts w:ascii="Arial"/>
          <w:i/>
          <w:color w:val="231F20"/>
          <w:w w:val="85"/>
          <w:sz w:val="14"/>
        </w:rPr>
        <w:t>A</w:t>
      </w:r>
      <w:r>
        <w:rPr>
          <w:rFonts w:ascii="Arial"/>
          <w:i/>
          <w:color w:val="231F20"/>
          <w:spacing w:val="40"/>
          <w:sz w:val="14"/>
        </w:rPr>
        <w:t> </w:t>
      </w:r>
      <w:r>
        <w:rPr>
          <w:rFonts w:ascii="Arial"/>
          <w:i/>
          <w:color w:val="231F20"/>
          <w:w w:val="75"/>
          <w:sz w:val="14"/>
        </w:rPr>
        <w:t>Comparable Assessment</w:t>
      </w:r>
      <w:r>
        <w:rPr>
          <w:rFonts w:ascii="Arial"/>
          <w:i/>
          <w:color w:val="231F20"/>
          <w:sz w:val="14"/>
        </w:rPr>
        <w:t> </w:t>
      </w:r>
      <w:r>
        <w:rPr>
          <w:rFonts w:ascii="Arial"/>
          <w:i/>
          <w:color w:val="231F20"/>
          <w:w w:val="75"/>
          <w:sz w:val="14"/>
        </w:rPr>
        <w:t>of</w:t>
      </w:r>
      <w:r>
        <w:rPr>
          <w:rFonts w:ascii="Arial"/>
          <w:i/>
          <w:color w:val="231F20"/>
          <w:sz w:val="14"/>
        </w:rPr>
        <w:t> </w:t>
      </w:r>
      <w:r>
        <w:rPr>
          <w:rFonts w:ascii="Arial"/>
          <w:i/>
          <w:color w:val="231F20"/>
          <w:w w:val="75"/>
          <w:sz w:val="14"/>
        </w:rPr>
        <w:t>Container</w:t>
      </w:r>
      <w:r>
        <w:rPr>
          <w:rFonts w:ascii="Arial"/>
          <w:i/>
          <w:color w:val="231F20"/>
          <w:sz w:val="14"/>
        </w:rPr>
        <w:t> </w:t>
      </w:r>
      <w:r>
        <w:rPr>
          <w:rFonts w:ascii="Arial"/>
          <w:i/>
          <w:color w:val="231F20"/>
          <w:w w:val="75"/>
          <w:sz w:val="14"/>
        </w:rPr>
        <w:t>Port</w:t>
      </w:r>
      <w:r>
        <w:rPr>
          <w:rFonts w:ascii="Arial"/>
          <w:i/>
          <w:color w:val="231F20"/>
          <w:sz w:val="14"/>
        </w:rPr>
        <w:t> </w:t>
      </w:r>
      <w:r>
        <w:rPr>
          <w:rFonts w:ascii="Arial"/>
          <w:i/>
          <w:color w:val="231F20"/>
          <w:w w:val="75"/>
          <w:sz w:val="14"/>
        </w:rPr>
        <w:t>Performance. </w:t>
      </w:r>
      <w:r>
        <w:rPr>
          <w:rFonts w:ascii="Arial"/>
          <w:color w:val="231F20"/>
          <w:w w:val="75"/>
          <w:sz w:val="14"/>
        </w:rPr>
        <w:t>Washington,</w:t>
      </w:r>
      <w:r>
        <w:rPr>
          <w:rFonts w:ascii="Arial"/>
          <w:color w:val="231F20"/>
          <w:spacing w:val="40"/>
          <w:sz w:val="14"/>
        </w:rPr>
        <w:t> </w:t>
      </w:r>
      <w:r>
        <w:rPr>
          <w:rFonts w:ascii="Arial"/>
          <w:color w:val="231F20"/>
          <w:w w:val="75"/>
          <w:sz w:val="14"/>
        </w:rPr>
        <w:t>DC:</w:t>
      </w:r>
      <w:r>
        <w:rPr>
          <w:rFonts w:ascii="Arial"/>
          <w:color w:val="231F20"/>
          <w:spacing w:val="26"/>
          <w:sz w:val="14"/>
        </w:rPr>
        <w:t> </w:t>
      </w:r>
      <w:r>
        <w:rPr>
          <w:rFonts w:ascii="Arial"/>
          <w:color w:val="231F20"/>
          <w:w w:val="75"/>
          <w:sz w:val="14"/>
        </w:rPr>
        <w:t>World</w:t>
      </w:r>
      <w:r>
        <w:rPr>
          <w:rFonts w:ascii="Arial"/>
          <w:color w:val="231F20"/>
          <w:spacing w:val="54"/>
          <w:sz w:val="14"/>
        </w:rPr>
        <w:t> </w:t>
      </w:r>
      <w:r>
        <w:rPr>
          <w:rFonts w:ascii="Arial"/>
          <w:color w:val="231F20"/>
          <w:w w:val="75"/>
          <w:sz w:val="14"/>
        </w:rPr>
        <w:t>Bank.</w:t>
      </w:r>
      <w:r>
        <w:rPr>
          <w:rFonts w:ascii="Arial"/>
          <w:color w:val="231F20"/>
          <w:spacing w:val="41"/>
          <w:sz w:val="14"/>
        </w:rPr>
        <w:t> </w:t>
      </w:r>
      <w:hyperlink r:id="rId209">
        <w:r>
          <w:rPr>
            <w:rFonts w:ascii="Arial"/>
            <w:color w:val="231F20"/>
            <w:spacing w:val="-2"/>
            <w:w w:val="75"/>
            <w:sz w:val="14"/>
          </w:rPr>
          <w:t>https://openknowledge.worldbank.org/handle/10986</w:t>
        </w:r>
      </w:hyperlink>
    </w:p>
    <w:p>
      <w:pPr>
        <w:spacing w:before="1"/>
        <w:ind w:left="519" w:right="0" w:firstLine="0"/>
        <w:jc w:val="left"/>
        <w:rPr>
          <w:rFonts w:ascii="Arial"/>
          <w:sz w:val="14"/>
        </w:rPr>
      </w:pPr>
      <w:hyperlink r:id="rId209">
        <w:r>
          <w:rPr>
            <w:rFonts w:ascii="Arial"/>
            <w:color w:val="231F20"/>
            <w:spacing w:val="-2"/>
            <w:w w:val="95"/>
            <w:sz w:val="14"/>
          </w:rPr>
          <w:t>/37538</w:t>
        </w:r>
      </w:hyperlink>
      <w:r>
        <w:rPr>
          <w:rFonts w:ascii="Arial"/>
          <w:color w:val="231F20"/>
          <w:spacing w:val="-2"/>
          <w:w w:val="95"/>
          <w:sz w:val="14"/>
        </w:rPr>
        <w:t>.</w:t>
      </w:r>
    </w:p>
    <w:p>
      <w:pPr>
        <w:spacing w:line="297" w:lineRule="auto" w:before="40"/>
        <w:ind w:left="519" w:right="549" w:hanging="240"/>
        <w:jc w:val="left"/>
        <w:rPr>
          <w:rFonts w:ascii="Arial" w:hAnsi="Arial"/>
          <w:sz w:val="14"/>
        </w:rPr>
      </w:pPr>
      <w:r>
        <w:rPr>
          <w:rFonts w:ascii="Arial" w:hAnsi="Arial"/>
          <w:color w:val="231F20"/>
          <w:w w:val="80"/>
          <w:sz w:val="14"/>
        </w:rPr>
        <w:t>World Bank. 2021b.</w:t>
      </w:r>
      <w:r>
        <w:rPr>
          <w:rFonts w:ascii="Arial" w:hAnsi="Arial"/>
          <w:color w:val="231F20"/>
          <w:spacing w:val="-4"/>
          <w:w w:val="80"/>
          <w:sz w:val="14"/>
        </w:rPr>
        <w:t> </w:t>
      </w:r>
      <w:r>
        <w:rPr>
          <w:rFonts w:ascii="Arial" w:hAnsi="Arial"/>
          <w:color w:val="231F20"/>
          <w:w w:val="80"/>
          <w:sz w:val="14"/>
        </w:rPr>
        <w:t>“Tunisia Country Private Sector Diagnostic.”</w:t>
      </w:r>
      <w:r>
        <w:rPr>
          <w:rFonts w:ascii="Arial" w:hAnsi="Arial"/>
          <w:color w:val="231F20"/>
          <w:spacing w:val="40"/>
          <w:sz w:val="14"/>
        </w:rPr>
        <w:t> </w:t>
      </w:r>
      <w:r>
        <w:rPr>
          <w:rFonts w:ascii="Arial" w:hAnsi="Arial"/>
          <w:color w:val="231F20"/>
          <w:w w:val="85"/>
          <w:sz w:val="14"/>
        </w:rPr>
        <w:t>Washington,</w:t>
      </w:r>
      <w:r>
        <w:rPr>
          <w:rFonts w:ascii="Arial" w:hAnsi="Arial"/>
          <w:color w:val="231F20"/>
          <w:spacing w:val="-5"/>
          <w:w w:val="85"/>
          <w:sz w:val="14"/>
        </w:rPr>
        <w:t> </w:t>
      </w:r>
      <w:r>
        <w:rPr>
          <w:rFonts w:ascii="Arial" w:hAnsi="Arial"/>
          <w:color w:val="231F20"/>
          <w:w w:val="85"/>
          <w:sz w:val="14"/>
        </w:rPr>
        <w:t>DC:</w:t>
      </w:r>
      <w:r>
        <w:rPr>
          <w:rFonts w:ascii="Arial" w:hAnsi="Arial"/>
          <w:color w:val="231F20"/>
          <w:spacing w:val="-10"/>
          <w:w w:val="85"/>
          <w:sz w:val="14"/>
        </w:rPr>
        <w:t> </w:t>
      </w:r>
      <w:r>
        <w:rPr>
          <w:rFonts w:ascii="Arial" w:hAnsi="Arial"/>
          <w:color w:val="231F20"/>
          <w:w w:val="85"/>
          <w:sz w:val="14"/>
        </w:rPr>
        <w:t>World Bank.</w:t>
      </w:r>
    </w:p>
    <w:p>
      <w:pPr>
        <w:spacing w:line="297" w:lineRule="auto" w:before="0"/>
        <w:ind w:left="519" w:right="672" w:hanging="240"/>
        <w:jc w:val="left"/>
        <w:rPr>
          <w:rFonts w:ascii="Arial"/>
          <w:sz w:val="14"/>
        </w:rPr>
      </w:pPr>
      <w:r>
        <w:rPr>
          <w:rFonts w:ascii="Arial"/>
          <w:color w:val="231F20"/>
          <w:w w:val="85"/>
          <w:sz w:val="14"/>
        </w:rPr>
        <w:t>World</w:t>
      </w:r>
      <w:r>
        <w:rPr>
          <w:rFonts w:ascii="Arial"/>
          <w:color w:val="231F20"/>
          <w:spacing w:val="-4"/>
          <w:w w:val="85"/>
          <w:sz w:val="14"/>
        </w:rPr>
        <w:t> </w:t>
      </w:r>
      <w:r>
        <w:rPr>
          <w:rFonts w:ascii="Arial"/>
          <w:color w:val="231F20"/>
          <w:w w:val="85"/>
          <w:sz w:val="14"/>
        </w:rPr>
        <w:t>Bank.</w:t>
      </w:r>
      <w:r>
        <w:rPr>
          <w:rFonts w:ascii="Arial"/>
          <w:color w:val="231F20"/>
          <w:spacing w:val="-4"/>
          <w:w w:val="85"/>
          <w:sz w:val="14"/>
        </w:rPr>
        <w:t> </w:t>
      </w:r>
      <w:r>
        <w:rPr>
          <w:rFonts w:ascii="Arial"/>
          <w:color w:val="231F20"/>
          <w:w w:val="85"/>
          <w:sz w:val="14"/>
        </w:rPr>
        <w:t>2022.</w:t>
      </w:r>
      <w:r>
        <w:rPr>
          <w:rFonts w:ascii="Arial"/>
          <w:color w:val="231F20"/>
          <w:spacing w:val="-4"/>
          <w:w w:val="85"/>
          <w:sz w:val="14"/>
        </w:rPr>
        <w:t> </w:t>
      </w:r>
      <w:r>
        <w:rPr>
          <w:rFonts w:ascii="Arial"/>
          <w:i/>
          <w:color w:val="231F20"/>
          <w:w w:val="85"/>
          <w:sz w:val="14"/>
        </w:rPr>
        <w:t>The</w:t>
      </w:r>
      <w:r>
        <w:rPr>
          <w:rFonts w:ascii="Arial"/>
          <w:i/>
          <w:color w:val="231F20"/>
          <w:spacing w:val="-4"/>
          <w:w w:val="85"/>
          <w:sz w:val="14"/>
        </w:rPr>
        <w:t> </w:t>
      </w:r>
      <w:r>
        <w:rPr>
          <w:rFonts w:ascii="Arial"/>
          <w:i/>
          <w:color w:val="231F20"/>
          <w:w w:val="85"/>
          <w:sz w:val="14"/>
        </w:rPr>
        <w:t>Container</w:t>
      </w:r>
      <w:r>
        <w:rPr>
          <w:rFonts w:ascii="Arial"/>
          <w:i/>
          <w:color w:val="231F20"/>
          <w:spacing w:val="-4"/>
          <w:w w:val="85"/>
          <w:sz w:val="14"/>
        </w:rPr>
        <w:t> </w:t>
      </w:r>
      <w:r>
        <w:rPr>
          <w:rFonts w:ascii="Arial"/>
          <w:i/>
          <w:color w:val="231F20"/>
          <w:w w:val="85"/>
          <w:sz w:val="14"/>
        </w:rPr>
        <w:t>Port</w:t>
      </w:r>
      <w:r>
        <w:rPr>
          <w:rFonts w:ascii="Arial"/>
          <w:i/>
          <w:color w:val="231F20"/>
          <w:spacing w:val="-4"/>
          <w:w w:val="85"/>
          <w:sz w:val="14"/>
        </w:rPr>
        <w:t> </w:t>
      </w:r>
      <w:r>
        <w:rPr>
          <w:rFonts w:ascii="Arial"/>
          <w:i/>
          <w:color w:val="231F20"/>
          <w:w w:val="85"/>
          <w:sz w:val="14"/>
        </w:rPr>
        <w:t>Performance</w:t>
      </w:r>
      <w:r>
        <w:rPr>
          <w:rFonts w:ascii="Arial"/>
          <w:i/>
          <w:color w:val="231F20"/>
          <w:spacing w:val="-4"/>
          <w:w w:val="85"/>
          <w:sz w:val="14"/>
        </w:rPr>
        <w:t> </w:t>
      </w:r>
      <w:r>
        <w:rPr>
          <w:rFonts w:ascii="Arial"/>
          <w:i/>
          <w:color w:val="231F20"/>
          <w:w w:val="85"/>
          <w:sz w:val="14"/>
        </w:rPr>
        <w:t>Index</w:t>
      </w:r>
      <w:r>
        <w:rPr>
          <w:rFonts w:ascii="Arial"/>
          <w:i/>
          <w:color w:val="231F20"/>
          <w:spacing w:val="-4"/>
          <w:w w:val="85"/>
          <w:sz w:val="14"/>
        </w:rPr>
        <w:t> </w:t>
      </w:r>
      <w:r>
        <w:rPr>
          <w:rFonts w:ascii="Arial"/>
          <w:i/>
          <w:color w:val="231F20"/>
          <w:w w:val="85"/>
          <w:sz w:val="14"/>
        </w:rPr>
        <w:t>2021:</w:t>
      </w:r>
      <w:r>
        <w:rPr>
          <w:rFonts w:ascii="Arial"/>
          <w:i/>
          <w:color w:val="231F20"/>
          <w:spacing w:val="-10"/>
          <w:w w:val="85"/>
          <w:sz w:val="14"/>
        </w:rPr>
        <w:t> </w:t>
      </w:r>
      <w:r>
        <w:rPr>
          <w:rFonts w:ascii="Arial"/>
          <w:i/>
          <w:color w:val="231F20"/>
          <w:w w:val="85"/>
          <w:sz w:val="14"/>
        </w:rPr>
        <w:t>A</w:t>
      </w:r>
      <w:r>
        <w:rPr>
          <w:rFonts w:ascii="Arial"/>
          <w:i/>
          <w:color w:val="231F20"/>
          <w:spacing w:val="40"/>
          <w:sz w:val="14"/>
        </w:rPr>
        <w:t> </w:t>
      </w:r>
      <w:r>
        <w:rPr>
          <w:rFonts w:ascii="Arial"/>
          <w:i/>
          <w:color w:val="231F20"/>
          <w:w w:val="75"/>
          <w:sz w:val="14"/>
        </w:rPr>
        <w:t>Comparable Assessment</w:t>
      </w:r>
      <w:r>
        <w:rPr>
          <w:rFonts w:ascii="Arial"/>
          <w:i/>
          <w:color w:val="231F20"/>
          <w:sz w:val="14"/>
        </w:rPr>
        <w:t> </w:t>
      </w:r>
      <w:r>
        <w:rPr>
          <w:rFonts w:ascii="Arial"/>
          <w:i/>
          <w:color w:val="231F20"/>
          <w:w w:val="75"/>
          <w:sz w:val="14"/>
        </w:rPr>
        <w:t>of</w:t>
      </w:r>
      <w:r>
        <w:rPr>
          <w:rFonts w:ascii="Arial"/>
          <w:i/>
          <w:color w:val="231F20"/>
          <w:sz w:val="14"/>
        </w:rPr>
        <w:t> </w:t>
      </w:r>
      <w:r>
        <w:rPr>
          <w:rFonts w:ascii="Arial"/>
          <w:i/>
          <w:color w:val="231F20"/>
          <w:w w:val="75"/>
          <w:sz w:val="14"/>
        </w:rPr>
        <w:t>Container</w:t>
      </w:r>
      <w:r>
        <w:rPr>
          <w:rFonts w:ascii="Arial"/>
          <w:i/>
          <w:color w:val="231F20"/>
          <w:sz w:val="14"/>
        </w:rPr>
        <w:t> </w:t>
      </w:r>
      <w:r>
        <w:rPr>
          <w:rFonts w:ascii="Arial"/>
          <w:i/>
          <w:color w:val="231F20"/>
          <w:w w:val="75"/>
          <w:sz w:val="14"/>
        </w:rPr>
        <w:t>Port</w:t>
      </w:r>
      <w:r>
        <w:rPr>
          <w:rFonts w:ascii="Arial"/>
          <w:i/>
          <w:color w:val="231F20"/>
          <w:sz w:val="14"/>
        </w:rPr>
        <w:t> </w:t>
      </w:r>
      <w:r>
        <w:rPr>
          <w:rFonts w:ascii="Arial"/>
          <w:i/>
          <w:color w:val="231F20"/>
          <w:w w:val="75"/>
          <w:sz w:val="14"/>
        </w:rPr>
        <w:t>Performance</w:t>
      </w:r>
      <w:r>
        <w:rPr>
          <w:rFonts w:ascii="Arial"/>
          <w:color w:val="231F20"/>
          <w:w w:val="75"/>
          <w:sz w:val="14"/>
        </w:rPr>
        <w:t>. </w:t>
      </w:r>
      <w:r>
        <w:rPr>
          <w:rFonts w:ascii="Arial"/>
          <w:color w:val="231F20"/>
          <w:w w:val="75"/>
          <w:sz w:val="14"/>
        </w:rPr>
        <w:t>Washington,</w:t>
      </w:r>
      <w:r>
        <w:rPr>
          <w:rFonts w:ascii="Arial"/>
          <w:color w:val="231F20"/>
          <w:spacing w:val="40"/>
          <w:sz w:val="14"/>
        </w:rPr>
        <w:t> </w:t>
      </w:r>
      <w:r>
        <w:rPr>
          <w:rFonts w:ascii="Arial"/>
          <w:color w:val="231F20"/>
          <w:w w:val="90"/>
          <w:sz w:val="14"/>
        </w:rPr>
        <w:t>DC:</w:t>
      </w:r>
      <w:r>
        <w:rPr>
          <w:rFonts w:ascii="Arial"/>
          <w:color w:val="231F20"/>
          <w:spacing w:val="-12"/>
          <w:w w:val="90"/>
          <w:sz w:val="14"/>
        </w:rPr>
        <w:t> </w:t>
      </w:r>
      <w:r>
        <w:rPr>
          <w:rFonts w:ascii="Arial"/>
          <w:color w:val="231F20"/>
          <w:w w:val="90"/>
          <w:sz w:val="14"/>
        </w:rPr>
        <w:t>World</w:t>
      </w:r>
      <w:r>
        <w:rPr>
          <w:rFonts w:ascii="Arial"/>
          <w:color w:val="231F20"/>
          <w:spacing w:val="-2"/>
          <w:w w:val="90"/>
          <w:sz w:val="14"/>
        </w:rPr>
        <w:t> </w:t>
      </w:r>
      <w:r>
        <w:rPr>
          <w:rFonts w:ascii="Arial"/>
          <w:color w:val="231F20"/>
          <w:w w:val="90"/>
          <w:sz w:val="14"/>
        </w:rPr>
        <w:t>Bank.</w:t>
      </w:r>
    </w:p>
    <w:p>
      <w:pPr>
        <w:spacing w:after="0" w:line="297" w:lineRule="auto"/>
        <w:jc w:val="left"/>
        <w:rPr>
          <w:rFonts w:ascii="Arial"/>
          <w:sz w:val="14"/>
        </w:rPr>
        <w:sectPr>
          <w:type w:val="continuous"/>
          <w:pgSz w:w="12240" w:h="15840"/>
          <w:pgMar w:header="370" w:footer="548" w:top="1140" w:bottom="280" w:left="0" w:right="540"/>
          <w:cols w:num="2" w:equalWidth="0">
            <w:col w:w="7001" w:space="40"/>
            <w:col w:w="4659"/>
          </w:cols>
        </w:sectPr>
      </w:pPr>
    </w:p>
    <w:p>
      <w:pPr>
        <w:pStyle w:val="BodyText"/>
        <w:spacing w:before="4"/>
        <w:rPr>
          <w:rFonts w:ascii="Arial"/>
          <w:sz w:val="17"/>
        </w:rPr>
      </w:pPr>
    </w:p>
    <w:p>
      <w:pPr>
        <w:spacing w:after="0"/>
        <w:rPr>
          <w:rFonts w:ascii="Arial"/>
          <w:sz w:val="17"/>
        </w:rPr>
        <w:sectPr>
          <w:headerReference w:type="default" r:id="rId210"/>
          <w:footerReference w:type="default" r:id="rId211"/>
          <w:pgSz w:w="12240" w:h="15840"/>
          <w:pgMar w:header="0" w:footer="0" w:top="1820" w:bottom="280" w:left="0" w:right="540"/>
        </w:sectPr>
      </w:pPr>
    </w:p>
    <w:p>
      <w:pPr>
        <w:pStyle w:val="BodyText"/>
        <w:rPr>
          <w:rFonts w:ascii="Arial"/>
          <w:sz w:val="20"/>
        </w:rPr>
      </w:pPr>
      <w:r>
        <w:rPr/>
        <mc:AlternateContent>
          <mc:Choice Requires="wps">
            <w:drawing>
              <wp:anchor distT="0" distB="0" distL="0" distR="0" allowOverlap="1" layoutInCell="1" locked="0" behindDoc="1" simplePos="0" relativeHeight="466797056">
                <wp:simplePos x="0" y="0"/>
                <wp:positionH relativeFrom="page">
                  <wp:posOffset>3152479</wp:posOffset>
                </wp:positionH>
                <wp:positionV relativeFrom="page">
                  <wp:posOffset>4292555</wp:posOffset>
                </wp:positionV>
                <wp:extent cx="4622800" cy="4201160"/>
                <wp:effectExtent l="0" t="0" r="0" b="0"/>
                <wp:wrapNone/>
                <wp:docPr id="2140" name="Graphic 2140"/>
                <wp:cNvGraphicFramePr>
                  <a:graphicFrameLocks/>
                </wp:cNvGraphicFramePr>
                <a:graphic>
                  <a:graphicData uri="http://schemas.microsoft.com/office/word/2010/wordprocessingShape">
                    <wps:wsp>
                      <wps:cNvPr id="2140" name="Graphic 2140"/>
                      <wps:cNvSpPr/>
                      <wps:spPr>
                        <a:xfrm>
                          <a:off x="0" y="0"/>
                          <a:ext cx="4622800" cy="4201160"/>
                        </a:xfrm>
                        <a:custGeom>
                          <a:avLst/>
                          <a:gdLst/>
                          <a:ahLst/>
                          <a:cxnLst/>
                          <a:rect l="l" t="t" r="r" b="b"/>
                          <a:pathLst>
                            <a:path w="4622800" h="4201160">
                              <a:moveTo>
                                <a:pt x="4622190" y="0"/>
                              </a:moveTo>
                              <a:lnTo>
                                <a:pt x="296989" y="0"/>
                              </a:lnTo>
                              <a:lnTo>
                                <a:pt x="248819" y="3886"/>
                              </a:lnTo>
                              <a:lnTo>
                                <a:pt x="203123" y="15139"/>
                              </a:lnTo>
                              <a:lnTo>
                                <a:pt x="160512" y="33147"/>
                              </a:lnTo>
                              <a:lnTo>
                                <a:pt x="121597" y="57298"/>
                              </a:lnTo>
                              <a:lnTo>
                                <a:pt x="86991" y="86982"/>
                              </a:lnTo>
                              <a:lnTo>
                                <a:pt x="57306" y="121586"/>
                              </a:lnTo>
                              <a:lnTo>
                                <a:pt x="33152" y="160501"/>
                              </a:lnTo>
                              <a:lnTo>
                                <a:pt x="15142" y="203113"/>
                              </a:lnTo>
                              <a:lnTo>
                                <a:pt x="3887" y="248813"/>
                              </a:lnTo>
                              <a:lnTo>
                                <a:pt x="0" y="296989"/>
                              </a:lnTo>
                              <a:lnTo>
                                <a:pt x="0" y="3904005"/>
                              </a:lnTo>
                              <a:lnTo>
                                <a:pt x="3887" y="3952181"/>
                              </a:lnTo>
                              <a:lnTo>
                                <a:pt x="15142" y="3997881"/>
                              </a:lnTo>
                              <a:lnTo>
                                <a:pt x="33152" y="4040493"/>
                              </a:lnTo>
                              <a:lnTo>
                                <a:pt x="57306" y="4079408"/>
                              </a:lnTo>
                              <a:lnTo>
                                <a:pt x="86991" y="4114012"/>
                              </a:lnTo>
                              <a:lnTo>
                                <a:pt x="121597" y="4143696"/>
                              </a:lnTo>
                              <a:lnTo>
                                <a:pt x="160512" y="4167847"/>
                              </a:lnTo>
                              <a:lnTo>
                                <a:pt x="203123" y="4185855"/>
                              </a:lnTo>
                              <a:lnTo>
                                <a:pt x="248819" y="4197108"/>
                              </a:lnTo>
                              <a:lnTo>
                                <a:pt x="296989" y="4200994"/>
                              </a:lnTo>
                              <a:lnTo>
                                <a:pt x="4622190" y="4200994"/>
                              </a:lnTo>
                              <a:lnTo>
                                <a:pt x="462219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shape style="position:absolute;margin-left:248.2267pt;margin-top:337.99649pt;width:364pt;height:330.8pt;mso-position-horizontal-relative:page;mso-position-vertical-relative:page;z-index:-36519424" id="docshape1849" coordorigin="4965,6760" coordsize="7280,6616" path="m12244,6760l5432,6760,5356,6766,5284,6784,5217,6812,5156,6850,5102,6897,5055,6951,5017,7013,4988,7080,4971,7152,4965,7228,4965,12908,4971,12984,4988,13056,5017,13123,5055,13184,5102,13239,5156,13285,5217,13323,5284,13352,5356,13370,5432,13376,12244,13376,12244,6760xe" filled="true" fillcolor="#e6e7e8" stroked="false">
                <v:path arrowok="t"/>
                <v:fill type="solid"/>
                <w10:wrap type="none"/>
              </v:shape>
            </w:pict>
          </mc:Fallback>
        </mc:AlternateContent>
      </w:r>
      <w:r>
        <w:rPr>
          <w:rFonts w:ascii="Arial"/>
          <w:sz w:val="20"/>
        </w:rPr>
        <mc:AlternateContent>
          <mc:Choice Requires="wps">
            <w:drawing>
              <wp:inline distT="0" distB="0" distL="0" distR="0">
                <wp:extent cx="6030595" cy="3098800"/>
                <wp:effectExtent l="0" t="0" r="0" b="6350"/>
                <wp:docPr id="2141" name="Group 2141"/>
                <wp:cNvGraphicFramePr>
                  <a:graphicFrameLocks/>
                </wp:cNvGraphicFramePr>
                <a:graphic>
                  <a:graphicData uri="http://schemas.microsoft.com/office/word/2010/wordprocessingGroup">
                    <wpg:wgp>
                      <wpg:cNvPr id="2141" name="Group 2141"/>
                      <wpg:cNvGrpSpPr/>
                      <wpg:grpSpPr>
                        <a:xfrm>
                          <a:off x="0" y="0"/>
                          <a:ext cx="6030595" cy="3098800"/>
                          <a:chExt cx="6030595" cy="3098800"/>
                        </a:xfrm>
                      </wpg:grpSpPr>
                      <wps:wsp>
                        <wps:cNvPr id="2142" name="Graphic 2142"/>
                        <wps:cNvSpPr/>
                        <wps:spPr>
                          <a:xfrm>
                            <a:off x="0" y="0"/>
                            <a:ext cx="6030595" cy="3098800"/>
                          </a:xfrm>
                          <a:custGeom>
                            <a:avLst/>
                            <a:gdLst/>
                            <a:ahLst/>
                            <a:cxnLst/>
                            <a:rect l="l" t="t" r="r" b="b"/>
                            <a:pathLst>
                              <a:path w="6030595" h="3098800">
                                <a:moveTo>
                                  <a:pt x="5733211" y="0"/>
                                </a:moveTo>
                                <a:lnTo>
                                  <a:pt x="0" y="0"/>
                                </a:lnTo>
                                <a:lnTo>
                                  <a:pt x="0" y="3098634"/>
                                </a:lnTo>
                                <a:lnTo>
                                  <a:pt x="5733211" y="3098634"/>
                                </a:lnTo>
                                <a:lnTo>
                                  <a:pt x="5781381" y="3094747"/>
                                </a:lnTo>
                                <a:lnTo>
                                  <a:pt x="5827076" y="3083493"/>
                                </a:lnTo>
                                <a:lnTo>
                                  <a:pt x="5869686" y="3065485"/>
                                </a:lnTo>
                                <a:lnTo>
                                  <a:pt x="5908599" y="3041332"/>
                                </a:lnTo>
                                <a:lnTo>
                                  <a:pt x="5943203" y="3011647"/>
                                </a:lnTo>
                                <a:lnTo>
                                  <a:pt x="5972887" y="2977042"/>
                                </a:lnTo>
                                <a:lnTo>
                                  <a:pt x="5997039" y="2938128"/>
                                </a:lnTo>
                                <a:lnTo>
                                  <a:pt x="6015047" y="2895516"/>
                                </a:lnTo>
                                <a:lnTo>
                                  <a:pt x="6026301" y="2849818"/>
                                </a:lnTo>
                                <a:lnTo>
                                  <a:pt x="6030188" y="2801645"/>
                                </a:lnTo>
                                <a:lnTo>
                                  <a:pt x="6030188" y="296989"/>
                                </a:lnTo>
                                <a:lnTo>
                                  <a:pt x="6026301" y="248813"/>
                                </a:lnTo>
                                <a:lnTo>
                                  <a:pt x="6015047" y="203113"/>
                                </a:lnTo>
                                <a:lnTo>
                                  <a:pt x="5997039" y="160501"/>
                                </a:lnTo>
                                <a:lnTo>
                                  <a:pt x="5972887" y="121586"/>
                                </a:lnTo>
                                <a:lnTo>
                                  <a:pt x="5943203" y="86982"/>
                                </a:lnTo>
                                <a:lnTo>
                                  <a:pt x="5908599" y="57298"/>
                                </a:lnTo>
                                <a:lnTo>
                                  <a:pt x="5869686" y="33147"/>
                                </a:lnTo>
                                <a:lnTo>
                                  <a:pt x="5827076" y="15139"/>
                                </a:lnTo>
                                <a:lnTo>
                                  <a:pt x="5781381" y="3886"/>
                                </a:lnTo>
                                <a:lnTo>
                                  <a:pt x="5733211" y="0"/>
                                </a:lnTo>
                                <a:close/>
                              </a:path>
                            </a:pathLst>
                          </a:custGeom>
                          <a:solidFill>
                            <a:srgbClr val="E6E7E8"/>
                          </a:solidFill>
                        </wps:spPr>
                        <wps:bodyPr wrap="square" lIns="0" tIns="0" rIns="0" bIns="0" rtlCol="0">
                          <a:prstTxWarp prst="textNoShape">
                            <a:avLst/>
                          </a:prstTxWarp>
                          <a:noAutofit/>
                        </wps:bodyPr>
                      </wps:wsp>
                      <wps:wsp>
                        <wps:cNvPr id="2143" name="Textbox 2143"/>
                        <wps:cNvSpPr txBox="1"/>
                        <wps:spPr>
                          <a:xfrm>
                            <a:off x="0" y="0"/>
                            <a:ext cx="6030595" cy="3098800"/>
                          </a:xfrm>
                          <a:prstGeom prst="rect">
                            <a:avLst/>
                          </a:prstGeom>
                        </wps:spPr>
                        <wps:txbx>
                          <w:txbxContent>
                            <w:p>
                              <w:pPr>
                                <w:spacing w:before="314"/>
                                <w:ind w:left="827" w:right="0" w:firstLine="0"/>
                                <w:jc w:val="both"/>
                                <w:rPr>
                                  <w:rFonts w:ascii="Arial"/>
                                  <w:b/>
                                  <w:sz w:val="30"/>
                                </w:rPr>
                              </w:pPr>
                              <w:r>
                                <w:rPr>
                                  <w:rFonts w:ascii="Arial"/>
                                  <w:b/>
                                  <w:color w:val="008FDD"/>
                                  <w:w w:val="105"/>
                                  <w:sz w:val="30"/>
                                </w:rPr>
                                <w:t>What</w:t>
                              </w:r>
                              <w:r>
                                <w:rPr>
                                  <w:rFonts w:ascii="Arial"/>
                                  <w:b/>
                                  <w:color w:val="008FDD"/>
                                  <w:spacing w:val="48"/>
                                  <w:w w:val="150"/>
                                  <w:sz w:val="30"/>
                                </w:rPr>
                                <w:t> </w:t>
                              </w:r>
                              <w:r>
                                <w:rPr>
                                  <w:rFonts w:ascii="Arial"/>
                                  <w:b/>
                                  <w:color w:val="008FDD"/>
                                  <w:w w:val="105"/>
                                  <w:sz w:val="30"/>
                                </w:rPr>
                                <w:t>is</w:t>
                              </w:r>
                              <w:r>
                                <w:rPr>
                                  <w:rFonts w:ascii="Arial"/>
                                  <w:b/>
                                  <w:color w:val="008FDD"/>
                                  <w:spacing w:val="48"/>
                                  <w:w w:val="150"/>
                                  <w:sz w:val="30"/>
                                </w:rPr>
                                <w:t> </w:t>
                              </w:r>
                              <w:r>
                                <w:rPr>
                                  <w:rFonts w:ascii="Arial"/>
                                  <w:b/>
                                  <w:color w:val="008FDD"/>
                                  <w:w w:val="105"/>
                                  <w:sz w:val="30"/>
                                </w:rPr>
                                <w:t>the</w:t>
                              </w:r>
                              <w:r>
                                <w:rPr>
                                  <w:rFonts w:ascii="Arial"/>
                                  <w:b/>
                                  <w:color w:val="008FDD"/>
                                  <w:spacing w:val="49"/>
                                  <w:w w:val="150"/>
                                  <w:sz w:val="30"/>
                                </w:rPr>
                                <w:t> </w:t>
                              </w:r>
                              <w:r>
                                <w:rPr>
                                  <w:rFonts w:ascii="Arial"/>
                                  <w:b/>
                                  <w:color w:val="008FDD"/>
                                  <w:w w:val="105"/>
                                  <w:sz w:val="30"/>
                                </w:rPr>
                                <w:t>Logistics</w:t>
                              </w:r>
                              <w:r>
                                <w:rPr>
                                  <w:rFonts w:ascii="Arial"/>
                                  <w:b/>
                                  <w:color w:val="008FDD"/>
                                  <w:spacing w:val="48"/>
                                  <w:w w:val="150"/>
                                  <w:sz w:val="30"/>
                                </w:rPr>
                                <w:t> </w:t>
                              </w:r>
                              <w:r>
                                <w:rPr>
                                  <w:rFonts w:ascii="Arial"/>
                                  <w:b/>
                                  <w:color w:val="008FDD"/>
                                  <w:w w:val="105"/>
                                  <w:sz w:val="30"/>
                                </w:rPr>
                                <w:t>Performance</w:t>
                              </w:r>
                              <w:r>
                                <w:rPr>
                                  <w:rFonts w:ascii="Arial"/>
                                  <w:b/>
                                  <w:color w:val="008FDD"/>
                                  <w:spacing w:val="49"/>
                                  <w:w w:val="150"/>
                                  <w:sz w:val="30"/>
                                </w:rPr>
                                <w:t> </w:t>
                              </w:r>
                              <w:r>
                                <w:rPr>
                                  <w:rFonts w:ascii="Arial"/>
                                  <w:b/>
                                  <w:color w:val="008FDD"/>
                                  <w:spacing w:val="-2"/>
                                  <w:w w:val="105"/>
                                  <w:sz w:val="30"/>
                                </w:rPr>
                                <w:t>Index?</w:t>
                              </w:r>
                            </w:p>
                            <w:p>
                              <w:pPr>
                                <w:spacing w:line="285" w:lineRule="auto" w:before="273"/>
                                <w:ind w:left="827" w:right="361" w:firstLine="0"/>
                                <w:jc w:val="both"/>
                                <w:rPr>
                                  <w:rFonts w:ascii="Arial" w:hAnsi="Arial"/>
                                  <w:sz w:val="19"/>
                                </w:rPr>
                              </w:pPr>
                              <w:r>
                                <w:rPr>
                                  <w:rFonts w:ascii="Arial" w:hAnsi="Arial"/>
                                  <w:color w:val="008FDD"/>
                                  <w:w w:val="105"/>
                                  <w:sz w:val="19"/>
                                </w:rPr>
                                <w:t>The</w:t>
                              </w:r>
                              <w:r>
                                <w:rPr>
                                  <w:rFonts w:ascii="Arial" w:hAnsi="Arial"/>
                                  <w:color w:val="008FDD"/>
                                  <w:spacing w:val="40"/>
                                  <w:w w:val="105"/>
                                  <w:sz w:val="19"/>
                                </w:rPr>
                                <w:t> </w:t>
                              </w:r>
                              <w:r>
                                <w:rPr>
                                  <w:rFonts w:ascii="Arial" w:hAnsi="Arial"/>
                                  <w:color w:val="008FDD"/>
                                  <w:w w:val="105"/>
                                  <w:sz w:val="19"/>
                                </w:rPr>
                                <w:t>LPI</w:t>
                              </w:r>
                              <w:r>
                                <w:rPr>
                                  <w:rFonts w:ascii="Arial" w:hAnsi="Arial"/>
                                  <w:color w:val="008FDD"/>
                                  <w:spacing w:val="40"/>
                                  <w:w w:val="105"/>
                                  <w:sz w:val="19"/>
                                </w:rPr>
                                <w:t> </w:t>
                              </w:r>
                              <w:r>
                                <w:rPr>
                                  <w:rFonts w:ascii="Arial" w:hAnsi="Arial"/>
                                  <w:color w:val="008FDD"/>
                                  <w:w w:val="105"/>
                                  <w:sz w:val="19"/>
                                </w:rPr>
                                <w:t>is</w:t>
                              </w:r>
                              <w:r>
                                <w:rPr>
                                  <w:rFonts w:ascii="Arial" w:hAnsi="Arial"/>
                                  <w:color w:val="008FDD"/>
                                  <w:spacing w:val="40"/>
                                  <w:w w:val="105"/>
                                  <w:sz w:val="19"/>
                                </w:rPr>
                                <w:t> </w:t>
                              </w:r>
                              <w:r>
                                <w:rPr>
                                  <w:rFonts w:ascii="Arial" w:hAnsi="Arial"/>
                                  <w:color w:val="008FDD"/>
                                  <w:w w:val="105"/>
                                  <w:sz w:val="19"/>
                                </w:rPr>
                                <w:t>an</w:t>
                              </w:r>
                              <w:r>
                                <w:rPr>
                                  <w:rFonts w:ascii="Arial" w:hAnsi="Arial"/>
                                  <w:color w:val="008FDD"/>
                                  <w:spacing w:val="40"/>
                                  <w:w w:val="105"/>
                                  <w:sz w:val="19"/>
                                </w:rPr>
                                <w:t> </w:t>
                              </w:r>
                              <w:r>
                                <w:rPr>
                                  <w:rFonts w:ascii="Arial" w:hAnsi="Arial"/>
                                  <w:color w:val="008FDD"/>
                                  <w:w w:val="105"/>
                                  <w:sz w:val="19"/>
                                </w:rPr>
                                <w:t>interactive</w:t>
                              </w:r>
                              <w:r>
                                <w:rPr>
                                  <w:rFonts w:ascii="Arial" w:hAnsi="Arial"/>
                                  <w:color w:val="008FDD"/>
                                  <w:spacing w:val="40"/>
                                  <w:w w:val="105"/>
                                  <w:sz w:val="19"/>
                                </w:rPr>
                                <w:t> </w:t>
                              </w:r>
                              <w:r>
                                <w:rPr>
                                  <w:rFonts w:ascii="Arial" w:hAnsi="Arial"/>
                                  <w:color w:val="008FDD"/>
                                  <w:w w:val="105"/>
                                  <w:sz w:val="19"/>
                                </w:rPr>
                                <w:t>benchmarking</w:t>
                              </w:r>
                              <w:r>
                                <w:rPr>
                                  <w:rFonts w:ascii="Arial" w:hAnsi="Arial"/>
                                  <w:color w:val="008FDD"/>
                                  <w:spacing w:val="40"/>
                                  <w:w w:val="105"/>
                                  <w:sz w:val="19"/>
                                </w:rPr>
                                <w:t> </w:t>
                              </w:r>
                              <w:r>
                                <w:rPr>
                                  <w:rFonts w:ascii="Arial" w:hAnsi="Arial"/>
                                  <w:color w:val="008FDD"/>
                                  <w:w w:val="105"/>
                                  <w:sz w:val="19"/>
                                </w:rPr>
                                <w:t>tool</w:t>
                              </w:r>
                              <w:r>
                                <w:rPr>
                                  <w:rFonts w:ascii="Arial" w:hAnsi="Arial"/>
                                  <w:color w:val="008FDD"/>
                                  <w:spacing w:val="40"/>
                                  <w:w w:val="105"/>
                                  <w:sz w:val="19"/>
                                </w:rPr>
                                <w:t> </w:t>
                              </w:r>
                              <w:r>
                                <w:rPr>
                                  <w:rFonts w:ascii="Arial" w:hAnsi="Arial"/>
                                  <w:color w:val="008FDD"/>
                                  <w:w w:val="105"/>
                                  <w:sz w:val="19"/>
                                </w:rPr>
                                <w:t>created</w:t>
                              </w:r>
                              <w:r>
                                <w:rPr>
                                  <w:rFonts w:ascii="Arial" w:hAnsi="Arial"/>
                                  <w:color w:val="008FDD"/>
                                  <w:spacing w:val="40"/>
                                  <w:w w:val="105"/>
                                  <w:sz w:val="19"/>
                                </w:rPr>
                                <w:t> </w:t>
                              </w:r>
                              <w:r>
                                <w:rPr>
                                  <w:rFonts w:ascii="Arial" w:hAnsi="Arial"/>
                                  <w:color w:val="008FDD"/>
                                  <w:w w:val="105"/>
                                  <w:sz w:val="19"/>
                                </w:rPr>
                                <w:t>to</w:t>
                              </w:r>
                              <w:r>
                                <w:rPr>
                                  <w:rFonts w:ascii="Arial" w:hAnsi="Arial"/>
                                  <w:color w:val="008FDD"/>
                                  <w:spacing w:val="40"/>
                                  <w:w w:val="105"/>
                                  <w:sz w:val="19"/>
                                </w:rPr>
                                <w:t> </w:t>
                              </w:r>
                              <w:r>
                                <w:rPr>
                                  <w:rFonts w:ascii="Arial" w:hAnsi="Arial"/>
                                  <w:color w:val="008FDD"/>
                                  <w:w w:val="105"/>
                                  <w:sz w:val="19"/>
                                </w:rPr>
                                <w:t>help</w:t>
                              </w:r>
                              <w:r>
                                <w:rPr>
                                  <w:rFonts w:ascii="Arial" w:hAnsi="Arial"/>
                                  <w:color w:val="008FDD"/>
                                  <w:spacing w:val="40"/>
                                  <w:w w:val="105"/>
                                  <w:sz w:val="19"/>
                                </w:rPr>
                                <w:t> </w:t>
                              </w:r>
                              <w:r>
                                <w:rPr>
                                  <w:rFonts w:ascii="Arial" w:hAnsi="Arial"/>
                                  <w:color w:val="008FDD"/>
                                  <w:w w:val="105"/>
                                  <w:sz w:val="19"/>
                                </w:rPr>
                                <w:t>countries</w:t>
                              </w:r>
                              <w:r>
                                <w:rPr>
                                  <w:rFonts w:ascii="Arial" w:hAnsi="Arial"/>
                                  <w:color w:val="008FDD"/>
                                  <w:spacing w:val="40"/>
                                  <w:w w:val="105"/>
                                  <w:sz w:val="19"/>
                                </w:rPr>
                                <w:t> </w:t>
                              </w:r>
                              <w:r>
                                <w:rPr>
                                  <w:rFonts w:ascii="Arial" w:hAnsi="Arial"/>
                                  <w:color w:val="008FDD"/>
                                  <w:w w:val="105"/>
                                  <w:sz w:val="19"/>
                                </w:rPr>
                                <w:t>identify</w:t>
                              </w:r>
                              <w:r>
                                <w:rPr>
                                  <w:rFonts w:ascii="Arial" w:hAnsi="Arial"/>
                                  <w:color w:val="008FDD"/>
                                  <w:spacing w:val="40"/>
                                  <w:w w:val="105"/>
                                  <w:sz w:val="19"/>
                                </w:rPr>
                                <w:t> </w:t>
                              </w:r>
                              <w:r>
                                <w:rPr>
                                  <w:rFonts w:ascii="Arial" w:hAnsi="Arial"/>
                                  <w:color w:val="008FDD"/>
                                  <w:w w:val="105"/>
                                  <w:sz w:val="19"/>
                                </w:rPr>
                                <w:t>the challenges</w:t>
                              </w:r>
                              <w:r>
                                <w:rPr>
                                  <w:rFonts w:ascii="Arial" w:hAnsi="Arial"/>
                                  <w:color w:val="008FDD"/>
                                  <w:spacing w:val="40"/>
                                  <w:w w:val="105"/>
                                  <w:sz w:val="19"/>
                                </w:rPr>
                                <w:t> </w:t>
                              </w:r>
                              <w:r>
                                <w:rPr>
                                  <w:rFonts w:ascii="Arial" w:hAnsi="Arial"/>
                                  <w:color w:val="008FDD"/>
                                  <w:w w:val="105"/>
                                  <w:sz w:val="19"/>
                                </w:rPr>
                                <w:t>and</w:t>
                              </w:r>
                              <w:r>
                                <w:rPr>
                                  <w:rFonts w:ascii="Arial" w:hAnsi="Arial"/>
                                  <w:color w:val="008FDD"/>
                                  <w:spacing w:val="40"/>
                                  <w:w w:val="105"/>
                                  <w:sz w:val="19"/>
                                </w:rPr>
                                <w:t> </w:t>
                              </w:r>
                              <w:r>
                                <w:rPr>
                                  <w:rFonts w:ascii="Arial" w:hAnsi="Arial"/>
                                  <w:color w:val="008FDD"/>
                                  <w:w w:val="105"/>
                                  <w:sz w:val="19"/>
                                </w:rPr>
                                <w:t>opportunities</w:t>
                              </w:r>
                              <w:r>
                                <w:rPr>
                                  <w:rFonts w:ascii="Arial" w:hAnsi="Arial"/>
                                  <w:color w:val="008FDD"/>
                                  <w:spacing w:val="40"/>
                                  <w:w w:val="105"/>
                                  <w:sz w:val="19"/>
                                </w:rPr>
                                <w:t> </w:t>
                              </w:r>
                              <w:r>
                                <w:rPr>
                                  <w:rFonts w:ascii="Arial" w:hAnsi="Arial"/>
                                  <w:color w:val="008FDD"/>
                                  <w:w w:val="105"/>
                                  <w:sz w:val="19"/>
                                </w:rPr>
                                <w:t>they</w:t>
                              </w:r>
                              <w:r>
                                <w:rPr>
                                  <w:rFonts w:ascii="Arial" w:hAnsi="Arial"/>
                                  <w:color w:val="008FDD"/>
                                  <w:spacing w:val="40"/>
                                  <w:w w:val="105"/>
                                  <w:sz w:val="19"/>
                                </w:rPr>
                                <w:t> </w:t>
                              </w:r>
                              <w:r>
                                <w:rPr>
                                  <w:rFonts w:ascii="Arial" w:hAnsi="Arial"/>
                                  <w:color w:val="008FDD"/>
                                  <w:w w:val="105"/>
                                  <w:sz w:val="19"/>
                                </w:rPr>
                                <w:t>face</w:t>
                              </w:r>
                              <w:r>
                                <w:rPr>
                                  <w:rFonts w:ascii="Arial" w:hAnsi="Arial"/>
                                  <w:color w:val="008FDD"/>
                                  <w:spacing w:val="40"/>
                                  <w:w w:val="105"/>
                                  <w:sz w:val="19"/>
                                </w:rPr>
                                <w:t> </w:t>
                              </w:r>
                              <w:r>
                                <w:rPr>
                                  <w:rFonts w:ascii="Arial" w:hAnsi="Arial"/>
                                  <w:color w:val="008FDD"/>
                                  <w:w w:val="105"/>
                                  <w:sz w:val="19"/>
                                </w:rPr>
                                <w:t>in</w:t>
                              </w:r>
                              <w:r>
                                <w:rPr>
                                  <w:rFonts w:ascii="Arial" w:hAnsi="Arial"/>
                                  <w:color w:val="008FDD"/>
                                  <w:spacing w:val="40"/>
                                  <w:w w:val="105"/>
                                  <w:sz w:val="19"/>
                                </w:rPr>
                                <w:t> </w:t>
                              </w:r>
                              <w:r>
                                <w:rPr>
                                  <w:rFonts w:ascii="Arial" w:hAnsi="Arial"/>
                                  <w:color w:val="008FDD"/>
                                  <w:w w:val="105"/>
                                  <w:sz w:val="19"/>
                                </w:rPr>
                                <w:t>their</w:t>
                              </w:r>
                              <w:r>
                                <w:rPr>
                                  <w:rFonts w:ascii="Arial" w:hAnsi="Arial"/>
                                  <w:color w:val="008FDD"/>
                                  <w:spacing w:val="40"/>
                                  <w:w w:val="105"/>
                                  <w:sz w:val="19"/>
                                </w:rPr>
                                <w:t> </w:t>
                              </w:r>
                              <w:r>
                                <w:rPr>
                                  <w:rFonts w:ascii="Arial" w:hAnsi="Arial"/>
                                  <w:color w:val="008FDD"/>
                                  <w:w w:val="105"/>
                                  <w:sz w:val="19"/>
                                </w:rPr>
                                <w:t>performance</w:t>
                              </w:r>
                              <w:r>
                                <w:rPr>
                                  <w:rFonts w:ascii="Arial" w:hAnsi="Arial"/>
                                  <w:color w:val="008FDD"/>
                                  <w:spacing w:val="40"/>
                                  <w:w w:val="105"/>
                                  <w:sz w:val="19"/>
                                </w:rPr>
                                <w:t> </w:t>
                              </w:r>
                              <w:r>
                                <w:rPr>
                                  <w:rFonts w:ascii="Arial" w:hAnsi="Arial"/>
                                  <w:color w:val="008FDD"/>
                                  <w:w w:val="105"/>
                                  <w:sz w:val="19"/>
                                </w:rPr>
                                <w:t>on</w:t>
                              </w:r>
                              <w:r>
                                <w:rPr>
                                  <w:rFonts w:ascii="Arial" w:hAnsi="Arial"/>
                                  <w:color w:val="008FDD"/>
                                  <w:spacing w:val="40"/>
                                  <w:w w:val="105"/>
                                  <w:sz w:val="19"/>
                                </w:rPr>
                                <w:t> </w:t>
                              </w:r>
                              <w:r>
                                <w:rPr>
                                  <w:rFonts w:ascii="Arial" w:hAnsi="Arial"/>
                                  <w:color w:val="008FDD"/>
                                  <w:w w:val="105"/>
                                  <w:sz w:val="19"/>
                                </w:rPr>
                                <w:t>trade</w:t>
                              </w:r>
                              <w:r>
                                <w:rPr>
                                  <w:rFonts w:ascii="Arial" w:hAnsi="Arial"/>
                                  <w:color w:val="008FDD"/>
                                  <w:spacing w:val="40"/>
                                  <w:w w:val="105"/>
                                  <w:sz w:val="19"/>
                                </w:rPr>
                                <w:t> </w:t>
                              </w:r>
                              <w:r>
                                <w:rPr>
                                  <w:rFonts w:ascii="Arial" w:hAnsi="Arial"/>
                                  <w:color w:val="008FDD"/>
                                  <w:w w:val="105"/>
                                  <w:sz w:val="19"/>
                                </w:rPr>
                                <w:t>logistics</w:t>
                              </w:r>
                              <w:r>
                                <w:rPr>
                                  <w:rFonts w:ascii="Arial" w:hAnsi="Arial"/>
                                  <w:color w:val="008FDD"/>
                                  <w:spacing w:val="40"/>
                                  <w:w w:val="105"/>
                                  <w:sz w:val="19"/>
                                </w:rPr>
                                <w:t> </w:t>
                              </w:r>
                              <w:r>
                                <w:rPr>
                                  <w:rFonts w:ascii="Arial" w:hAnsi="Arial"/>
                                  <w:color w:val="008FDD"/>
                                  <w:w w:val="105"/>
                                  <w:sz w:val="19"/>
                                </w:rPr>
                                <w:t>and</w:t>
                              </w:r>
                              <w:r>
                                <w:rPr>
                                  <w:rFonts w:ascii="Arial" w:hAnsi="Arial"/>
                                  <w:color w:val="008FDD"/>
                                  <w:spacing w:val="40"/>
                                  <w:w w:val="105"/>
                                  <w:sz w:val="19"/>
                                </w:rPr>
                                <w:t> </w:t>
                              </w:r>
                              <w:r>
                                <w:rPr>
                                  <w:rFonts w:ascii="Arial" w:hAnsi="Arial"/>
                                  <w:color w:val="008FDD"/>
                                  <w:w w:val="105"/>
                                  <w:sz w:val="19"/>
                                </w:rPr>
                                <w:t>what they</w:t>
                              </w:r>
                              <w:r>
                                <w:rPr>
                                  <w:rFonts w:ascii="Arial" w:hAnsi="Arial"/>
                                  <w:color w:val="008FDD"/>
                                  <w:spacing w:val="40"/>
                                  <w:w w:val="105"/>
                                  <w:sz w:val="19"/>
                                </w:rPr>
                                <w:t> </w:t>
                              </w:r>
                              <w:r>
                                <w:rPr>
                                  <w:rFonts w:ascii="Arial" w:hAnsi="Arial"/>
                                  <w:color w:val="008FDD"/>
                                  <w:w w:val="105"/>
                                  <w:sz w:val="19"/>
                                </w:rPr>
                                <w:t>can</w:t>
                              </w:r>
                              <w:r>
                                <w:rPr>
                                  <w:rFonts w:ascii="Arial" w:hAnsi="Arial"/>
                                  <w:color w:val="008FDD"/>
                                  <w:spacing w:val="40"/>
                                  <w:w w:val="105"/>
                                  <w:sz w:val="19"/>
                                </w:rPr>
                                <w:t> </w:t>
                              </w:r>
                              <w:r>
                                <w:rPr>
                                  <w:rFonts w:ascii="Arial" w:hAnsi="Arial"/>
                                  <w:color w:val="008FDD"/>
                                  <w:w w:val="105"/>
                                  <w:sz w:val="19"/>
                                </w:rPr>
                                <w:t>do</w:t>
                              </w:r>
                              <w:r>
                                <w:rPr>
                                  <w:rFonts w:ascii="Arial" w:hAnsi="Arial"/>
                                  <w:color w:val="008FDD"/>
                                  <w:spacing w:val="40"/>
                                  <w:w w:val="105"/>
                                  <w:sz w:val="19"/>
                                </w:rPr>
                                <w:t> </w:t>
                              </w:r>
                              <w:r>
                                <w:rPr>
                                  <w:rFonts w:ascii="Arial" w:hAnsi="Arial"/>
                                  <w:color w:val="008FDD"/>
                                  <w:w w:val="105"/>
                                  <w:sz w:val="19"/>
                                </w:rPr>
                                <w:t>to</w:t>
                              </w:r>
                              <w:r>
                                <w:rPr>
                                  <w:rFonts w:ascii="Arial" w:hAnsi="Arial"/>
                                  <w:color w:val="008FDD"/>
                                  <w:spacing w:val="40"/>
                                  <w:w w:val="105"/>
                                  <w:sz w:val="19"/>
                                </w:rPr>
                                <w:t> </w:t>
                              </w:r>
                              <w:r>
                                <w:rPr>
                                  <w:rFonts w:ascii="Arial" w:hAnsi="Arial"/>
                                  <w:color w:val="008FDD"/>
                                  <w:w w:val="105"/>
                                  <w:sz w:val="19"/>
                                </w:rPr>
                                <w:t>improve</w:t>
                              </w:r>
                              <w:r>
                                <w:rPr>
                                  <w:rFonts w:ascii="Arial" w:hAnsi="Arial"/>
                                  <w:color w:val="008FDD"/>
                                  <w:spacing w:val="40"/>
                                  <w:w w:val="105"/>
                                  <w:sz w:val="19"/>
                                </w:rPr>
                                <w:t> </w:t>
                              </w:r>
                              <w:r>
                                <w:rPr>
                                  <w:rFonts w:ascii="Arial" w:hAnsi="Arial"/>
                                  <w:color w:val="008FDD"/>
                                  <w:w w:val="105"/>
                                  <w:sz w:val="19"/>
                                </w:rPr>
                                <w:t>their</w:t>
                              </w:r>
                              <w:r>
                                <w:rPr>
                                  <w:rFonts w:ascii="Arial" w:hAnsi="Arial"/>
                                  <w:color w:val="008FDD"/>
                                  <w:spacing w:val="40"/>
                                  <w:w w:val="105"/>
                                  <w:sz w:val="19"/>
                                </w:rPr>
                                <w:t> </w:t>
                              </w:r>
                              <w:r>
                                <w:rPr>
                                  <w:rFonts w:ascii="Arial" w:hAnsi="Arial"/>
                                  <w:color w:val="008FDD"/>
                                  <w:w w:val="105"/>
                                  <w:sz w:val="19"/>
                                </w:rPr>
                                <w:t>performance.</w:t>
                              </w:r>
                              <w:r>
                                <w:rPr>
                                  <w:rFonts w:ascii="Arial" w:hAnsi="Arial"/>
                                  <w:color w:val="008FDD"/>
                                  <w:spacing w:val="40"/>
                                  <w:w w:val="105"/>
                                  <w:sz w:val="19"/>
                                </w:rPr>
                                <w:t> </w:t>
                              </w:r>
                              <w:r>
                                <w:rPr>
                                  <w:rFonts w:ascii="Arial" w:hAnsi="Arial"/>
                                  <w:color w:val="008FDD"/>
                                  <w:w w:val="105"/>
                                  <w:sz w:val="19"/>
                                </w:rPr>
                                <w:t>The</w:t>
                              </w:r>
                              <w:r>
                                <w:rPr>
                                  <w:rFonts w:ascii="Arial" w:hAnsi="Arial"/>
                                  <w:color w:val="008FDD"/>
                                  <w:spacing w:val="40"/>
                                  <w:w w:val="105"/>
                                  <w:sz w:val="19"/>
                                </w:rPr>
                                <w:t> </w:t>
                              </w:r>
                              <w:r>
                                <w:rPr>
                                  <w:rFonts w:ascii="Arial" w:hAnsi="Arial"/>
                                  <w:color w:val="008FDD"/>
                                  <w:w w:val="105"/>
                                  <w:sz w:val="19"/>
                                </w:rPr>
                                <w:t>LPI</w:t>
                              </w:r>
                              <w:r>
                                <w:rPr>
                                  <w:rFonts w:ascii="Arial" w:hAnsi="Arial"/>
                                  <w:color w:val="008FDD"/>
                                  <w:spacing w:val="40"/>
                                  <w:w w:val="105"/>
                                  <w:sz w:val="19"/>
                                </w:rPr>
                                <w:t> </w:t>
                              </w:r>
                              <w:r>
                                <w:rPr>
                                  <w:rFonts w:ascii="Arial" w:hAnsi="Arial"/>
                                  <w:color w:val="008FDD"/>
                                  <w:w w:val="105"/>
                                  <w:sz w:val="19"/>
                                </w:rPr>
                                <w:t>is</w:t>
                              </w:r>
                              <w:r>
                                <w:rPr>
                                  <w:rFonts w:ascii="Arial" w:hAnsi="Arial"/>
                                  <w:color w:val="008FDD"/>
                                  <w:spacing w:val="40"/>
                                  <w:w w:val="105"/>
                                  <w:sz w:val="19"/>
                                </w:rPr>
                                <w:t> </w:t>
                              </w:r>
                              <w:r>
                                <w:rPr>
                                  <w:rFonts w:ascii="Arial" w:hAnsi="Arial"/>
                                  <w:color w:val="008FDD"/>
                                  <w:w w:val="105"/>
                                  <w:sz w:val="19"/>
                                </w:rPr>
                                <w:t>based</w:t>
                              </w:r>
                              <w:r>
                                <w:rPr>
                                  <w:rFonts w:ascii="Arial" w:hAnsi="Arial"/>
                                  <w:color w:val="008FDD"/>
                                  <w:spacing w:val="40"/>
                                  <w:w w:val="105"/>
                                  <w:sz w:val="19"/>
                                </w:rPr>
                                <w:t> </w:t>
                              </w:r>
                              <w:r>
                                <w:rPr>
                                  <w:rFonts w:ascii="Arial" w:hAnsi="Arial"/>
                                  <w:color w:val="008FDD"/>
                                  <w:w w:val="105"/>
                                  <w:sz w:val="19"/>
                                </w:rPr>
                                <w:t>on</w:t>
                              </w:r>
                              <w:r>
                                <w:rPr>
                                  <w:rFonts w:ascii="Arial" w:hAnsi="Arial"/>
                                  <w:color w:val="008FDD"/>
                                  <w:spacing w:val="40"/>
                                  <w:w w:val="105"/>
                                  <w:sz w:val="19"/>
                                </w:rPr>
                                <w:t> </w:t>
                              </w:r>
                              <w:r>
                                <w:rPr>
                                  <w:rFonts w:ascii="Arial" w:hAnsi="Arial"/>
                                  <w:color w:val="008FDD"/>
                                  <w:w w:val="105"/>
                                  <w:sz w:val="19"/>
                                </w:rPr>
                                <w:t>two</w:t>
                              </w:r>
                              <w:r>
                                <w:rPr>
                                  <w:rFonts w:ascii="Arial" w:hAnsi="Arial"/>
                                  <w:color w:val="008FDD"/>
                                  <w:spacing w:val="40"/>
                                  <w:w w:val="105"/>
                                  <w:sz w:val="19"/>
                                </w:rPr>
                                <w:t> </w:t>
                              </w:r>
                              <w:r>
                                <w:rPr>
                                  <w:rFonts w:ascii="Arial" w:hAnsi="Arial"/>
                                  <w:color w:val="008FDD"/>
                                  <w:w w:val="105"/>
                                  <w:sz w:val="19"/>
                                </w:rPr>
                                <w:t>components:</w:t>
                              </w:r>
                              <w:r>
                                <w:rPr>
                                  <w:rFonts w:ascii="Arial" w:hAnsi="Arial"/>
                                  <w:color w:val="008FDD"/>
                                  <w:spacing w:val="40"/>
                                  <w:w w:val="105"/>
                                  <w:sz w:val="19"/>
                                </w:rPr>
                                <w:t> </w:t>
                              </w:r>
                              <w:r>
                                <w:rPr>
                                  <w:rFonts w:ascii="Arial" w:hAnsi="Arial"/>
                                  <w:color w:val="008FDD"/>
                                  <w:w w:val="105"/>
                                  <w:sz w:val="19"/>
                                </w:rPr>
                                <w:t>First,</w:t>
                              </w:r>
                              <w:r>
                                <w:rPr>
                                  <w:rFonts w:ascii="Arial" w:hAnsi="Arial"/>
                                  <w:color w:val="008FDD"/>
                                  <w:spacing w:val="40"/>
                                  <w:w w:val="105"/>
                                  <w:sz w:val="19"/>
                                </w:rPr>
                                <w:t> </w:t>
                              </w:r>
                              <w:r>
                                <w:rPr>
                                  <w:rFonts w:ascii="Arial" w:hAnsi="Arial"/>
                                  <w:color w:val="008FDD"/>
                                  <w:w w:val="105"/>
                                  <w:sz w:val="19"/>
                                </w:rPr>
                                <w:t>a worldwide survey of international logistics operators on the ground (global freight</w:t>
                              </w:r>
                              <w:r>
                                <w:rPr>
                                  <w:rFonts w:ascii="Arial" w:hAnsi="Arial"/>
                                  <w:color w:val="008FDD"/>
                                  <w:spacing w:val="80"/>
                                  <w:w w:val="105"/>
                                  <w:sz w:val="19"/>
                                </w:rPr>
                                <w:t> </w:t>
                              </w:r>
                              <w:r>
                                <w:rPr>
                                  <w:rFonts w:ascii="Arial" w:hAnsi="Arial"/>
                                  <w:color w:val="008FDD"/>
                                  <w:w w:val="105"/>
                                  <w:sz w:val="19"/>
                                </w:rPr>
                                <w:t>forwarders</w:t>
                              </w:r>
                              <w:r>
                                <w:rPr>
                                  <w:rFonts w:ascii="Arial" w:hAnsi="Arial"/>
                                  <w:color w:val="008FDD"/>
                                  <w:spacing w:val="80"/>
                                  <w:w w:val="105"/>
                                  <w:sz w:val="19"/>
                                </w:rPr>
                                <w:t> </w:t>
                              </w:r>
                              <w:r>
                                <w:rPr>
                                  <w:rFonts w:ascii="Arial" w:hAnsi="Arial"/>
                                  <w:color w:val="008FDD"/>
                                  <w:w w:val="105"/>
                                  <w:sz w:val="19"/>
                                </w:rPr>
                                <w:t>and</w:t>
                              </w:r>
                              <w:r>
                                <w:rPr>
                                  <w:rFonts w:ascii="Arial" w:hAnsi="Arial"/>
                                  <w:color w:val="008FDD"/>
                                  <w:spacing w:val="80"/>
                                  <w:w w:val="105"/>
                                  <w:sz w:val="19"/>
                                </w:rPr>
                                <w:t> </w:t>
                              </w:r>
                              <w:r>
                                <w:rPr>
                                  <w:rFonts w:ascii="Arial" w:hAnsi="Arial"/>
                                  <w:color w:val="008FDD"/>
                                  <w:w w:val="105"/>
                                  <w:sz w:val="19"/>
                                </w:rPr>
                                <w:t>express</w:t>
                              </w:r>
                              <w:r>
                                <w:rPr>
                                  <w:rFonts w:ascii="Arial" w:hAnsi="Arial"/>
                                  <w:color w:val="008FDD"/>
                                  <w:spacing w:val="80"/>
                                  <w:w w:val="105"/>
                                  <w:sz w:val="19"/>
                                </w:rPr>
                                <w:t> </w:t>
                              </w:r>
                              <w:r>
                                <w:rPr>
                                  <w:rFonts w:ascii="Arial" w:hAnsi="Arial"/>
                                  <w:color w:val="008FDD"/>
                                  <w:w w:val="105"/>
                                  <w:sz w:val="19"/>
                                </w:rPr>
                                <w:t>carriers),</w:t>
                              </w:r>
                              <w:r>
                                <w:rPr>
                                  <w:rFonts w:ascii="Arial" w:hAnsi="Arial"/>
                                  <w:color w:val="008FDD"/>
                                  <w:spacing w:val="80"/>
                                  <w:w w:val="105"/>
                                  <w:sz w:val="19"/>
                                </w:rPr>
                                <w:t> </w:t>
                              </w:r>
                              <w:r>
                                <w:rPr>
                                  <w:rFonts w:ascii="Arial" w:hAnsi="Arial"/>
                                  <w:color w:val="008FDD"/>
                                  <w:w w:val="105"/>
                                  <w:sz w:val="19"/>
                                </w:rPr>
                                <w:t>providing</w:t>
                              </w:r>
                              <w:r>
                                <w:rPr>
                                  <w:rFonts w:ascii="Arial" w:hAnsi="Arial"/>
                                  <w:color w:val="008FDD"/>
                                  <w:spacing w:val="80"/>
                                  <w:w w:val="105"/>
                                  <w:sz w:val="19"/>
                                </w:rPr>
                                <w:t> </w:t>
                              </w:r>
                              <w:r>
                                <w:rPr>
                                  <w:rFonts w:ascii="Arial" w:hAnsi="Arial"/>
                                  <w:color w:val="008FDD"/>
                                  <w:w w:val="105"/>
                                  <w:sz w:val="19"/>
                                </w:rPr>
                                <w:t>feedback</w:t>
                              </w:r>
                              <w:r>
                                <w:rPr>
                                  <w:rFonts w:ascii="Arial" w:hAnsi="Arial"/>
                                  <w:color w:val="008FDD"/>
                                  <w:spacing w:val="80"/>
                                  <w:w w:val="105"/>
                                  <w:sz w:val="19"/>
                                </w:rPr>
                                <w:t> </w:t>
                              </w:r>
                              <w:r>
                                <w:rPr>
                                  <w:rFonts w:ascii="Arial" w:hAnsi="Arial"/>
                                  <w:color w:val="008FDD"/>
                                  <w:w w:val="105"/>
                                  <w:sz w:val="19"/>
                                </w:rPr>
                                <w:t>on</w:t>
                              </w:r>
                              <w:r>
                                <w:rPr>
                                  <w:rFonts w:ascii="Arial" w:hAnsi="Arial"/>
                                  <w:color w:val="008FDD"/>
                                  <w:spacing w:val="80"/>
                                  <w:w w:val="105"/>
                                  <w:sz w:val="19"/>
                                </w:rPr>
                                <w:t> </w:t>
                              </w:r>
                              <w:r>
                                <w:rPr>
                                  <w:rFonts w:ascii="Arial" w:hAnsi="Arial"/>
                                  <w:color w:val="008FDD"/>
                                  <w:w w:val="105"/>
                                  <w:sz w:val="19"/>
                                </w:rPr>
                                <w:t>the</w:t>
                              </w:r>
                              <w:r>
                                <w:rPr>
                                  <w:rFonts w:ascii="Arial" w:hAnsi="Arial"/>
                                  <w:color w:val="008FDD"/>
                                  <w:spacing w:val="80"/>
                                  <w:w w:val="105"/>
                                  <w:sz w:val="19"/>
                                </w:rPr>
                                <w:t> </w:t>
                              </w:r>
                              <w:r>
                                <w:rPr>
                                  <w:rFonts w:ascii="Arial" w:hAnsi="Arial"/>
                                  <w:color w:val="008FDD"/>
                                  <w:w w:val="105"/>
                                  <w:sz w:val="19"/>
                                </w:rPr>
                                <w:t>logistics</w:t>
                              </w:r>
                              <w:r>
                                <w:rPr>
                                  <w:rFonts w:ascii="Arial" w:hAnsi="Arial"/>
                                  <w:color w:val="008FDD"/>
                                  <w:spacing w:val="80"/>
                                  <w:w w:val="105"/>
                                  <w:sz w:val="19"/>
                                </w:rPr>
                                <w:t> </w:t>
                              </w:r>
                              <w:r>
                                <w:rPr>
                                  <w:rFonts w:ascii="Arial" w:hAnsi="Arial"/>
                                  <w:color w:val="008FDD"/>
                                  <w:w w:val="105"/>
                                  <w:sz w:val="19"/>
                                </w:rPr>
                                <w:t>“friendliness”</w:t>
                              </w:r>
                              <w:r>
                                <w:rPr>
                                  <w:rFonts w:ascii="Arial" w:hAnsi="Arial"/>
                                  <w:color w:val="008FDD"/>
                                  <w:spacing w:val="80"/>
                                  <w:w w:val="105"/>
                                  <w:sz w:val="19"/>
                                </w:rPr>
                                <w:t> </w:t>
                              </w:r>
                              <w:r>
                                <w:rPr>
                                  <w:rFonts w:ascii="Arial" w:hAnsi="Arial"/>
                                  <w:color w:val="008FDD"/>
                                  <w:w w:val="105"/>
                                  <w:sz w:val="19"/>
                                </w:rPr>
                                <w:t>of the</w:t>
                              </w:r>
                              <w:r>
                                <w:rPr>
                                  <w:rFonts w:ascii="Arial" w:hAnsi="Arial"/>
                                  <w:color w:val="008FDD"/>
                                  <w:spacing w:val="40"/>
                                  <w:w w:val="105"/>
                                  <w:sz w:val="19"/>
                                </w:rPr>
                                <w:t> </w:t>
                              </w:r>
                              <w:r>
                                <w:rPr>
                                  <w:rFonts w:ascii="Arial" w:hAnsi="Arial"/>
                                  <w:color w:val="008FDD"/>
                                  <w:w w:val="105"/>
                                  <w:sz w:val="19"/>
                                </w:rPr>
                                <w:t>countries</w:t>
                              </w:r>
                              <w:r>
                                <w:rPr>
                                  <w:rFonts w:ascii="Arial" w:hAnsi="Arial"/>
                                  <w:color w:val="008FDD"/>
                                  <w:spacing w:val="40"/>
                                  <w:w w:val="105"/>
                                  <w:sz w:val="19"/>
                                </w:rPr>
                                <w:t> </w:t>
                              </w:r>
                              <w:r>
                                <w:rPr>
                                  <w:rFonts w:ascii="Arial" w:hAnsi="Arial"/>
                                  <w:color w:val="008FDD"/>
                                  <w:w w:val="105"/>
                                  <w:sz w:val="19"/>
                                </w:rPr>
                                <w:t>with</w:t>
                              </w:r>
                              <w:r>
                                <w:rPr>
                                  <w:rFonts w:ascii="Arial" w:hAnsi="Arial"/>
                                  <w:color w:val="008FDD"/>
                                  <w:spacing w:val="40"/>
                                  <w:w w:val="105"/>
                                  <w:sz w:val="19"/>
                                </w:rPr>
                                <w:t> </w:t>
                              </w:r>
                              <w:r>
                                <w:rPr>
                                  <w:rFonts w:ascii="Arial" w:hAnsi="Arial"/>
                                  <w:color w:val="008FDD"/>
                                  <w:w w:val="105"/>
                                  <w:sz w:val="19"/>
                                </w:rPr>
                                <w:t>which</w:t>
                              </w:r>
                              <w:r>
                                <w:rPr>
                                  <w:rFonts w:ascii="Arial" w:hAnsi="Arial"/>
                                  <w:color w:val="008FDD"/>
                                  <w:spacing w:val="40"/>
                                  <w:w w:val="105"/>
                                  <w:sz w:val="19"/>
                                </w:rPr>
                                <w:t> </w:t>
                              </w:r>
                              <w:r>
                                <w:rPr>
                                  <w:rFonts w:ascii="Arial" w:hAnsi="Arial"/>
                                  <w:color w:val="008FDD"/>
                                  <w:w w:val="105"/>
                                  <w:sz w:val="19"/>
                                </w:rPr>
                                <w:t>they</w:t>
                              </w:r>
                              <w:r>
                                <w:rPr>
                                  <w:rFonts w:ascii="Arial" w:hAnsi="Arial"/>
                                  <w:color w:val="008FDD"/>
                                  <w:spacing w:val="40"/>
                                  <w:w w:val="105"/>
                                  <w:sz w:val="19"/>
                                </w:rPr>
                                <w:t> </w:t>
                              </w:r>
                              <w:r>
                                <w:rPr>
                                  <w:rFonts w:ascii="Arial" w:hAnsi="Arial"/>
                                  <w:color w:val="008FDD"/>
                                  <w:w w:val="105"/>
                                  <w:sz w:val="19"/>
                                </w:rPr>
                                <w:t>trade.</w:t>
                              </w:r>
                              <w:r>
                                <w:rPr>
                                  <w:rFonts w:ascii="Arial" w:hAnsi="Arial"/>
                                  <w:color w:val="008FDD"/>
                                  <w:spacing w:val="40"/>
                                  <w:w w:val="105"/>
                                  <w:sz w:val="19"/>
                                </w:rPr>
                                <w:t> </w:t>
                              </w:r>
                              <w:r>
                                <w:rPr>
                                  <w:rFonts w:ascii="Arial" w:hAnsi="Arial"/>
                                  <w:color w:val="008FDD"/>
                                  <w:w w:val="105"/>
                                  <w:sz w:val="19"/>
                                </w:rPr>
                                <w:t>The</w:t>
                              </w:r>
                              <w:r>
                                <w:rPr>
                                  <w:rFonts w:ascii="Arial" w:hAnsi="Arial"/>
                                  <w:color w:val="008FDD"/>
                                  <w:spacing w:val="40"/>
                                  <w:w w:val="105"/>
                                  <w:sz w:val="19"/>
                                </w:rPr>
                                <w:t> </w:t>
                              </w:r>
                              <w:r>
                                <w:rPr>
                                  <w:rFonts w:ascii="Arial" w:hAnsi="Arial"/>
                                  <w:color w:val="008FDD"/>
                                  <w:w w:val="105"/>
                                  <w:sz w:val="19"/>
                                </w:rPr>
                                <w:t>International</w:t>
                              </w:r>
                              <w:r>
                                <w:rPr>
                                  <w:rFonts w:ascii="Arial" w:hAnsi="Arial"/>
                                  <w:color w:val="008FDD"/>
                                  <w:spacing w:val="40"/>
                                  <w:w w:val="105"/>
                                  <w:sz w:val="19"/>
                                </w:rPr>
                                <w:t> </w:t>
                              </w:r>
                              <w:r>
                                <w:rPr>
                                  <w:rFonts w:ascii="Arial" w:hAnsi="Arial"/>
                                  <w:color w:val="008FDD"/>
                                  <w:w w:val="105"/>
                                  <w:sz w:val="19"/>
                                </w:rPr>
                                <w:t>LPI</w:t>
                              </w:r>
                              <w:r>
                                <w:rPr>
                                  <w:rFonts w:ascii="Arial" w:hAnsi="Arial"/>
                                  <w:color w:val="008FDD"/>
                                  <w:spacing w:val="40"/>
                                  <w:w w:val="105"/>
                                  <w:sz w:val="19"/>
                                </w:rPr>
                                <w:t> </w:t>
                              </w:r>
                              <w:r>
                                <w:rPr>
                                  <w:rFonts w:ascii="Arial" w:hAnsi="Arial"/>
                                  <w:color w:val="008FDD"/>
                                  <w:w w:val="105"/>
                                  <w:sz w:val="19"/>
                                </w:rPr>
                                <w:t>2023</w:t>
                              </w:r>
                              <w:r>
                                <w:rPr>
                                  <w:rFonts w:ascii="Arial" w:hAnsi="Arial"/>
                                  <w:color w:val="008FDD"/>
                                  <w:spacing w:val="40"/>
                                  <w:w w:val="105"/>
                                  <w:sz w:val="19"/>
                                </w:rPr>
                                <w:t> </w:t>
                              </w:r>
                              <w:r>
                                <w:rPr>
                                  <w:rFonts w:ascii="Arial" w:hAnsi="Arial"/>
                                  <w:color w:val="008FDD"/>
                                  <w:w w:val="105"/>
                                  <w:sz w:val="19"/>
                                </w:rPr>
                                <w:t>allows</w:t>
                              </w:r>
                              <w:r>
                                <w:rPr>
                                  <w:rFonts w:ascii="Arial" w:hAnsi="Arial"/>
                                  <w:color w:val="008FDD"/>
                                  <w:spacing w:val="40"/>
                                  <w:w w:val="105"/>
                                  <w:sz w:val="19"/>
                                </w:rPr>
                                <w:t> </w:t>
                              </w:r>
                              <w:r>
                                <w:rPr>
                                  <w:rFonts w:ascii="Arial" w:hAnsi="Arial"/>
                                  <w:color w:val="008FDD"/>
                                  <w:w w:val="105"/>
                                  <w:sz w:val="19"/>
                                </w:rPr>
                                <w:t>for</w:t>
                              </w:r>
                              <w:r>
                                <w:rPr>
                                  <w:rFonts w:ascii="Arial" w:hAnsi="Arial"/>
                                  <w:color w:val="008FDD"/>
                                  <w:spacing w:val="40"/>
                                  <w:w w:val="105"/>
                                  <w:sz w:val="19"/>
                                </w:rPr>
                                <w:t> </w:t>
                              </w:r>
                              <w:r>
                                <w:rPr>
                                  <w:rFonts w:ascii="Arial" w:hAnsi="Arial"/>
                                  <w:color w:val="008FDD"/>
                                  <w:w w:val="105"/>
                                  <w:sz w:val="19"/>
                                </w:rPr>
                                <w:t>comparisons across</w:t>
                              </w:r>
                              <w:r>
                                <w:rPr>
                                  <w:rFonts w:ascii="Arial" w:hAnsi="Arial"/>
                                  <w:color w:val="008FDD"/>
                                  <w:spacing w:val="40"/>
                                  <w:w w:val="105"/>
                                  <w:sz w:val="19"/>
                                </w:rPr>
                                <w:t> </w:t>
                              </w:r>
                              <w:r>
                                <w:rPr>
                                  <w:rFonts w:ascii="Arial" w:hAnsi="Arial"/>
                                  <w:color w:val="008FDD"/>
                                  <w:w w:val="105"/>
                                  <w:sz w:val="19"/>
                                </w:rPr>
                                <w:t>139</w:t>
                              </w:r>
                              <w:r>
                                <w:rPr>
                                  <w:rFonts w:ascii="Arial" w:hAnsi="Arial"/>
                                  <w:color w:val="008FDD"/>
                                  <w:spacing w:val="40"/>
                                  <w:w w:val="105"/>
                                  <w:sz w:val="19"/>
                                </w:rPr>
                                <w:t> </w:t>
                              </w:r>
                              <w:r>
                                <w:rPr>
                                  <w:rFonts w:ascii="Arial" w:hAnsi="Arial"/>
                                  <w:color w:val="008FDD"/>
                                  <w:w w:val="105"/>
                                  <w:sz w:val="19"/>
                                </w:rPr>
                                <w:t>countries.</w:t>
                              </w:r>
                            </w:p>
                            <w:p>
                              <w:pPr>
                                <w:spacing w:line="240" w:lineRule="auto" w:before="36"/>
                                <w:rPr>
                                  <w:rFonts w:ascii="Arial"/>
                                  <w:sz w:val="19"/>
                                </w:rPr>
                              </w:pPr>
                            </w:p>
                            <w:p>
                              <w:pPr>
                                <w:spacing w:line="285" w:lineRule="auto" w:before="0"/>
                                <w:ind w:left="827" w:right="370" w:firstLine="0"/>
                                <w:jc w:val="both"/>
                                <w:rPr>
                                  <w:rFonts w:ascii="Arial"/>
                                  <w:sz w:val="19"/>
                                </w:rPr>
                              </w:pPr>
                              <w:r>
                                <w:rPr>
                                  <w:rFonts w:ascii="Arial"/>
                                  <w:color w:val="008FDD"/>
                                  <w:w w:val="105"/>
                                  <w:sz w:val="19"/>
                                </w:rPr>
                                <w:t>Second, this edition introduces indicators derived from global tracking datasets. They</w:t>
                              </w:r>
                              <w:r>
                                <w:rPr>
                                  <w:rFonts w:ascii="Arial"/>
                                  <w:color w:val="008FDD"/>
                                  <w:spacing w:val="40"/>
                                  <w:w w:val="105"/>
                                  <w:sz w:val="19"/>
                                </w:rPr>
                                <w:t> </w:t>
                              </w:r>
                              <w:r>
                                <w:rPr>
                                  <w:rFonts w:ascii="Arial"/>
                                  <w:color w:val="008FDD"/>
                                  <w:w w:val="105"/>
                                  <w:sz w:val="19"/>
                                </w:rPr>
                                <w:t>measure speed and delays for container, postal and air freight activities.</w:t>
                              </w:r>
                              <w:r>
                                <w:rPr>
                                  <w:rFonts w:ascii="Arial"/>
                                  <w:color w:val="008FDD"/>
                                  <w:spacing w:val="40"/>
                                  <w:w w:val="105"/>
                                  <w:sz w:val="19"/>
                                </w:rPr>
                                <w:t> </w:t>
                              </w:r>
                              <w:r>
                                <w:rPr>
                                  <w:rFonts w:ascii="Arial"/>
                                  <w:color w:val="008FDD"/>
                                  <w:w w:val="105"/>
                                  <w:sz w:val="19"/>
                                </w:rPr>
                                <w:t>They complement the</w:t>
                              </w:r>
                              <w:r>
                                <w:rPr>
                                  <w:rFonts w:ascii="Arial"/>
                                  <w:color w:val="008FDD"/>
                                  <w:spacing w:val="40"/>
                                  <w:w w:val="105"/>
                                  <w:sz w:val="19"/>
                                </w:rPr>
                                <w:t> </w:t>
                              </w:r>
                              <w:r>
                                <w:rPr>
                                  <w:rFonts w:ascii="Arial"/>
                                  <w:color w:val="008FDD"/>
                                  <w:w w:val="105"/>
                                  <w:sz w:val="19"/>
                                </w:rPr>
                                <w:t>main</w:t>
                              </w:r>
                              <w:r>
                                <w:rPr>
                                  <w:rFonts w:ascii="Arial"/>
                                  <w:color w:val="008FDD"/>
                                  <w:spacing w:val="40"/>
                                  <w:w w:val="105"/>
                                  <w:sz w:val="19"/>
                                </w:rPr>
                                <w:t> </w:t>
                              </w:r>
                              <w:r>
                                <w:rPr>
                                  <w:rFonts w:ascii="Arial"/>
                                  <w:color w:val="008FDD"/>
                                  <w:w w:val="105"/>
                                  <w:sz w:val="19"/>
                                </w:rPr>
                                <w:t>indicator</w:t>
                              </w:r>
                              <w:r>
                                <w:rPr>
                                  <w:rFonts w:ascii="Arial"/>
                                  <w:color w:val="008FDD"/>
                                  <w:spacing w:val="40"/>
                                  <w:w w:val="105"/>
                                  <w:sz w:val="19"/>
                                </w:rPr>
                                <w:t> </w:t>
                              </w:r>
                              <w:r>
                                <w:rPr>
                                  <w:rFonts w:ascii="Arial"/>
                                  <w:color w:val="008FDD"/>
                                  <w:w w:val="105"/>
                                  <w:sz w:val="19"/>
                                </w:rPr>
                                <w:t>but</w:t>
                              </w:r>
                              <w:r>
                                <w:rPr>
                                  <w:rFonts w:ascii="Arial"/>
                                  <w:color w:val="008FDD"/>
                                  <w:spacing w:val="40"/>
                                  <w:w w:val="105"/>
                                  <w:sz w:val="19"/>
                                </w:rPr>
                                <w:t> </w:t>
                              </w:r>
                              <w:r>
                                <w:rPr>
                                  <w:rFonts w:ascii="Arial"/>
                                  <w:color w:val="008FDD"/>
                                  <w:w w:val="105"/>
                                  <w:sz w:val="19"/>
                                </w:rPr>
                                <w:t>do</w:t>
                              </w:r>
                              <w:r>
                                <w:rPr>
                                  <w:rFonts w:ascii="Arial"/>
                                  <w:color w:val="008FDD"/>
                                  <w:spacing w:val="40"/>
                                  <w:w w:val="105"/>
                                  <w:sz w:val="19"/>
                                </w:rPr>
                                <w:t> </w:t>
                              </w:r>
                              <w:r>
                                <w:rPr>
                                  <w:rFonts w:ascii="Arial"/>
                                  <w:color w:val="008FDD"/>
                                  <w:w w:val="105"/>
                                  <w:sz w:val="19"/>
                                </w:rPr>
                                <w:t>not</w:t>
                              </w:r>
                              <w:r>
                                <w:rPr>
                                  <w:rFonts w:ascii="Arial"/>
                                  <w:color w:val="008FDD"/>
                                  <w:spacing w:val="40"/>
                                  <w:w w:val="105"/>
                                  <w:sz w:val="19"/>
                                </w:rPr>
                                <w:t> </w:t>
                              </w:r>
                              <w:r>
                                <w:rPr>
                                  <w:rFonts w:ascii="Arial"/>
                                  <w:color w:val="008FDD"/>
                                  <w:w w:val="105"/>
                                  <w:sz w:val="19"/>
                                </w:rPr>
                                <w:t>enter</w:t>
                              </w:r>
                              <w:r>
                                <w:rPr>
                                  <w:rFonts w:ascii="Arial"/>
                                  <w:color w:val="008FDD"/>
                                  <w:spacing w:val="40"/>
                                  <w:w w:val="105"/>
                                  <w:sz w:val="19"/>
                                </w:rPr>
                                <w:t> </w:t>
                              </w:r>
                              <w:r>
                                <w:rPr>
                                  <w:rFonts w:ascii="Arial"/>
                                  <w:color w:val="008FDD"/>
                                  <w:w w:val="105"/>
                                  <w:sz w:val="19"/>
                                </w:rPr>
                                <w:t>its</w:t>
                              </w:r>
                              <w:r>
                                <w:rPr>
                                  <w:rFonts w:ascii="Arial"/>
                                  <w:color w:val="008FDD"/>
                                  <w:spacing w:val="40"/>
                                  <w:w w:val="105"/>
                                  <w:sz w:val="19"/>
                                </w:rPr>
                                <w:t> </w:t>
                              </w:r>
                              <w:r>
                                <w:rPr>
                                  <w:rFonts w:ascii="Arial"/>
                                  <w:color w:val="008FDD"/>
                                  <w:w w:val="105"/>
                                  <w:sz w:val="19"/>
                                </w:rPr>
                                <w:t>score.</w:t>
                              </w:r>
                              <w:r>
                                <w:rPr>
                                  <w:rFonts w:ascii="Arial"/>
                                  <w:color w:val="008FDD"/>
                                  <w:spacing w:val="40"/>
                                  <w:w w:val="105"/>
                                  <w:sz w:val="19"/>
                                </w:rPr>
                                <w:t> </w:t>
                              </w:r>
                              <w:r>
                                <w:rPr>
                                  <w:rFonts w:ascii="Arial"/>
                                  <w:color w:val="008FDD"/>
                                  <w:w w:val="105"/>
                                  <w:sz w:val="19"/>
                                </w:rPr>
                                <w:t>Hence</w:t>
                              </w:r>
                              <w:r>
                                <w:rPr>
                                  <w:rFonts w:ascii="Arial"/>
                                  <w:color w:val="008FDD"/>
                                  <w:spacing w:val="40"/>
                                  <w:w w:val="105"/>
                                  <w:sz w:val="19"/>
                                </w:rPr>
                                <w:t> </w:t>
                              </w:r>
                              <w:r>
                                <w:rPr>
                                  <w:rFonts w:ascii="Arial"/>
                                  <w:color w:val="008FDD"/>
                                  <w:w w:val="105"/>
                                  <w:sz w:val="19"/>
                                </w:rPr>
                                <w:t>logistics</w:t>
                              </w:r>
                              <w:r>
                                <w:rPr>
                                  <w:rFonts w:ascii="Arial"/>
                                  <w:color w:val="008FDD"/>
                                  <w:spacing w:val="40"/>
                                  <w:w w:val="105"/>
                                  <w:sz w:val="19"/>
                                </w:rPr>
                                <w:t> </w:t>
                              </w:r>
                              <w:r>
                                <w:rPr>
                                  <w:rFonts w:ascii="Arial"/>
                                  <w:color w:val="008FDD"/>
                                  <w:w w:val="105"/>
                                  <w:sz w:val="19"/>
                                </w:rPr>
                                <w:t>performance</w:t>
                              </w:r>
                              <w:r>
                                <w:rPr>
                                  <w:rFonts w:ascii="Arial"/>
                                  <w:color w:val="008FDD"/>
                                  <w:spacing w:val="40"/>
                                  <w:w w:val="105"/>
                                  <w:sz w:val="19"/>
                                </w:rPr>
                                <w:t> </w:t>
                              </w:r>
                              <w:r>
                                <w:rPr>
                                  <w:rFonts w:ascii="Arial"/>
                                  <w:color w:val="008FDD"/>
                                  <w:w w:val="105"/>
                                  <w:sz w:val="19"/>
                                </w:rPr>
                                <w:t>is</w:t>
                              </w:r>
                              <w:r>
                                <w:rPr>
                                  <w:rFonts w:ascii="Arial"/>
                                  <w:color w:val="008FDD"/>
                                  <w:spacing w:val="40"/>
                                  <w:w w:val="105"/>
                                  <w:sz w:val="19"/>
                                </w:rPr>
                                <w:t> </w:t>
                              </w:r>
                              <w:r>
                                <w:rPr>
                                  <w:rFonts w:ascii="Arial"/>
                                  <w:color w:val="008FDD"/>
                                  <w:w w:val="105"/>
                                  <w:sz w:val="19"/>
                                </w:rPr>
                                <w:t>measured from two different perspectives: one based on the perceptions of international logistics professionals</w:t>
                              </w:r>
                              <w:r>
                                <w:rPr>
                                  <w:rFonts w:ascii="Arial"/>
                                  <w:color w:val="008FDD"/>
                                  <w:spacing w:val="32"/>
                                  <w:w w:val="105"/>
                                  <w:sz w:val="19"/>
                                </w:rPr>
                                <w:t> </w:t>
                              </w:r>
                              <w:r>
                                <w:rPr>
                                  <w:rFonts w:ascii="Arial"/>
                                  <w:color w:val="008FDD"/>
                                  <w:w w:val="105"/>
                                  <w:sz w:val="19"/>
                                </w:rPr>
                                <w:t>assessing</w:t>
                              </w:r>
                              <w:r>
                                <w:rPr>
                                  <w:rFonts w:ascii="Arial"/>
                                  <w:color w:val="008FDD"/>
                                  <w:spacing w:val="32"/>
                                  <w:w w:val="105"/>
                                  <w:sz w:val="19"/>
                                </w:rPr>
                                <w:t> </w:t>
                              </w:r>
                              <w:r>
                                <w:rPr>
                                  <w:rFonts w:ascii="Arial"/>
                                  <w:color w:val="008FDD"/>
                                  <w:w w:val="105"/>
                                  <w:sz w:val="19"/>
                                </w:rPr>
                                <w:t>their</w:t>
                              </w:r>
                              <w:r>
                                <w:rPr>
                                  <w:rFonts w:ascii="Arial"/>
                                  <w:color w:val="008FDD"/>
                                  <w:spacing w:val="32"/>
                                  <w:w w:val="105"/>
                                  <w:sz w:val="19"/>
                                </w:rPr>
                                <w:t> </w:t>
                              </w:r>
                              <w:r>
                                <w:rPr>
                                  <w:rFonts w:ascii="Arial"/>
                                  <w:color w:val="008FDD"/>
                                  <w:w w:val="105"/>
                                  <w:sz w:val="19"/>
                                </w:rPr>
                                <w:t>partner</w:t>
                              </w:r>
                              <w:r>
                                <w:rPr>
                                  <w:rFonts w:ascii="Arial"/>
                                  <w:color w:val="008FDD"/>
                                  <w:spacing w:val="32"/>
                                  <w:w w:val="105"/>
                                  <w:sz w:val="19"/>
                                </w:rPr>
                                <w:t> </w:t>
                              </w:r>
                              <w:r>
                                <w:rPr>
                                  <w:rFonts w:ascii="Arial"/>
                                  <w:color w:val="008FDD"/>
                                  <w:w w:val="105"/>
                                  <w:sz w:val="19"/>
                                </w:rPr>
                                <w:t>countries,</w:t>
                              </w:r>
                              <w:r>
                                <w:rPr>
                                  <w:rFonts w:ascii="Arial"/>
                                  <w:color w:val="008FDD"/>
                                  <w:spacing w:val="32"/>
                                  <w:w w:val="105"/>
                                  <w:sz w:val="19"/>
                                </w:rPr>
                                <w:t> </w:t>
                              </w:r>
                              <w:r>
                                <w:rPr>
                                  <w:rFonts w:ascii="Arial"/>
                                  <w:color w:val="008FDD"/>
                                  <w:w w:val="105"/>
                                  <w:sz w:val="19"/>
                                </w:rPr>
                                <w:t>the</w:t>
                              </w:r>
                              <w:r>
                                <w:rPr>
                                  <w:rFonts w:ascii="Arial"/>
                                  <w:color w:val="008FDD"/>
                                  <w:spacing w:val="32"/>
                                  <w:w w:val="105"/>
                                  <w:sz w:val="19"/>
                                </w:rPr>
                                <w:t> </w:t>
                              </w:r>
                              <w:r>
                                <w:rPr>
                                  <w:rFonts w:ascii="Arial"/>
                                  <w:color w:val="008FDD"/>
                                  <w:w w:val="105"/>
                                  <w:sz w:val="19"/>
                                </w:rPr>
                                <w:t>other</w:t>
                              </w:r>
                              <w:r>
                                <w:rPr>
                                  <w:rFonts w:ascii="Arial"/>
                                  <w:color w:val="008FDD"/>
                                  <w:spacing w:val="32"/>
                                  <w:w w:val="105"/>
                                  <w:sz w:val="19"/>
                                </w:rPr>
                                <w:t> </w:t>
                              </w:r>
                              <w:r>
                                <w:rPr>
                                  <w:rFonts w:ascii="Arial"/>
                                  <w:color w:val="008FDD"/>
                                  <w:w w:val="105"/>
                                  <w:sz w:val="19"/>
                                </w:rPr>
                                <w:t>one</w:t>
                              </w:r>
                              <w:r>
                                <w:rPr>
                                  <w:rFonts w:ascii="Arial"/>
                                  <w:color w:val="008FDD"/>
                                  <w:spacing w:val="32"/>
                                  <w:w w:val="105"/>
                                  <w:sz w:val="19"/>
                                </w:rPr>
                                <w:t> </w:t>
                              </w:r>
                              <w:r>
                                <w:rPr>
                                  <w:rFonts w:ascii="Arial"/>
                                  <w:color w:val="008FDD"/>
                                  <w:w w:val="105"/>
                                  <w:sz w:val="19"/>
                                </w:rPr>
                                <w:t>measuring</w:t>
                              </w:r>
                              <w:r>
                                <w:rPr>
                                  <w:rFonts w:ascii="Arial"/>
                                  <w:color w:val="008FDD"/>
                                  <w:spacing w:val="32"/>
                                  <w:w w:val="105"/>
                                  <w:sz w:val="19"/>
                                </w:rPr>
                                <w:t> </w:t>
                              </w:r>
                              <w:r>
                                <w:rPr>
                                  <w:rFonts w:ascii="Arial"/>
                                  <w:color w:val="008FDD"/>
                                  <w:w w:val="105"/>
                                  <w:sz w:val="19"/>
                                </w:rPr>
                                <w:t>the</w:t>
                              </w:r>
                              <w:r>
                                <w:rPr>
                                  <w:rFonts w:ascii="Arial"/>
                                  <w:color w:val="008FDD"/>
                                  <w:spacing w:val="32"/>
                                  <w:w w:val="105"/>
                                  <w:sz w:val="19"/>
                                </w:rPr>
                                <w:t> </w:t>
                              </w:r>
                              <w:r>
                                <w:rPr>
                                  <w:rFonts w:ascii="Arial"/>
                                  <w:color w:val="008FDD"/>
                                  <w:w w:val="105"/>
                                  <w:sz w:val="19"/>
                                </w:rPr>
                                <w:t>actual</w:t>
                              </w:r>
                              <w:r>
                                <w:rPr>
                                  <w:rFonts w:ascii="Arial"/>
                                  <w:color w:val="008FDD"/>
                                  <w:spacing w:val="32"/>
                                  <w:w w:val="105"/>
                                  <w:sz w:val="19"/>
                                </w:rPr>
                                <w:t> </w:t>
                              </w:r>
                              <w:r>
                                <w:rPr>
                                  <w:rFonts w:ascii="Arial"/>
                                  <w:color w:val="008FDD"/>
                                  <w:w w:val="105"/>
                                  <w:sz w:val="19"/>
                                </w:rPr>
                                <w:t>speed of</w:t>
                              </w:r>
                              <w:r>
                                <w:rPr>
                                  <w:rFonts w:ascii="Arial"/>
                                  <w:color w:val="008FDD"/>
                                  <w:spacing w:val="40"/>
                                  <w:w w:val="105"/>
                                  <w:sz w:val="19"/>
                                </w:rPr>
                                <w:t> </w:t>
                              </w:r>
                              <w:r>
                                <w:rPr>
                                  <w:rFonts w:ascii="Arial"/>
                                  <w:color w:val="008FDD"/>
                                  <w:w w:val="105"/>
                                  <w:sz w:val="19"/>
                                </w:rPr>
                                <w:t>global</w:t>
                              </w:r>
                              <w:r>
                                <w:rPr>
                                  <w:rFonts w:ascii="Arial"/>
                                  <w:color w:val="008FDD"/>
                                  <w:spacing w:val="40"/>
                                  <w:w w:val="105"/>
                                  <w:sz w:val="19"/>
                                </w:rPr>
                                <w:t> </w:t>
                              </w:r>
                              <w:r>
                                <w:rPr>
                                  <w:rFonts w:ascii="Arial"/>
                                  <w:color w:val="008FDD"/>
                                  <w:w w:val="105"/>
                                  <w:sz w:val="19"/>
                                </w:rPr>
                                <w:t>trade</w:t>
                              </w:r>
                              <w:r>
                                <w:rPr>
                                  <w:rFonts w:ascii="Arial"/>
                                  <w:color w:val="008FDD"/>
                                  <w:spacing w:val="40"/>
                                  <w:w w:val="105"/>
                                  <w:sz w:val="19"/>
                                </w:rPr>
                                <w:t> </w:t>
                              </w:r>
                              <w:r>
                                <w:rPr>
                                  <w:rFonts w:ascii="Arial"/>
                                  <w:color w:val="008FDD"/>
                                  <w:w w:val="105"/>
                                  <w:sz w:val="19"/>
                                </w:rPr>
                                <w:t>by</w:t>
                              </w:r>
                              <w:r>
                                <w:rPr>
                                  <w:rFonts w:ascii="Arial"/>
                                  <w:color w:val="008FDD"/>
                                  <w:spacing w:val="40"/>
                                  <w:w w:val="105"/>
                                  <w:sz w:val="19"/>
                                </w:rPr>
                                <w:t> </w:t>
                              </w:r>
                              <w:r>
                                <w:rPr>
                                  <w:rFonts w:ascii="Arial"/>
                                  <w:color w:val="008FDD"/>
                                  <w:w w:val="105"/>
                                  <w:sz w:val="19"/>
                                </w:rPr>
                                <w:t>using</w:t>
                              </w:r>
                              <w:r>
                                <w:rPr>
                                  <w:rFonts w:ascii="Arial"/>
                                  <w:color w:val="008FDD"/>
                                  <w:spacing w:val="40"/>
                                  <w:w w:val="105"/>
                                  <w:sz w:val="19"/>
                                </w:rPr>
                                <w:t> </w:t>
                              </w:r>
                              <w:r>
                                <w:rPr>
                                  <w:rFonts w:ascii="Arial"/>
                                  <w:color w:val="008FDD"/>
                                  <w:w w:val="105"/>
                                  <w:sz w:val="19"/>
                                </w:rPr>
                                <w:t>supply</w:t>
                              </w:r>
                              <w:r>
                                <w:rPr>
                                  <w:rFonts w:ascii="Arial"/>
                                  <w:color w:val="008FDD"/>
                                  <w:spacing w:val="40"/>
                                  <w:w w:val="105"/>
                                  <w:sz w:val="19"/>
                                </w:rPr>
                                <w:t> </w:t>
                              </w:r>
                              <w:r>
                                <w:rPr>
                                  <w:rFonts w:ascii="Arial"/>
                                  <w:color w:val="008FDD"/>
                                  <w:w w:val="105"/>
                                  <w:sz w:val="19"/>
                                </w:rPr>
                                <w:t>chain</w:t>
                              </w:r>
                              <w:r>
                                <w:rPr>
                                  <w:rFonts w:ascii="Arial"/>
                                  <w:color w:val="008FDD"/>
                                  <w:spacing w:val="40"/>
                                  <w:w w:val="105"/>
                                  <w:sz w:val="19"/>
                                </w:rPr>
                                <w:t> </w:t>
                              </w:r>
                              <w:r>
                                <w:rPr>
                                  <w:rFonts w:ascii="Arial"/>
                                  <w:color w:val="008FDD"/>
                                  <w:w w:val="105"/>
                                  <w:sz w:val="19"/>
                                </w:rPr>
                                <w:t>tracking</w:t>
                              </w:r>
                              <w:r>
                                <w:rPr>
                                  <w:rFonts w:ascii="Arial"/>
                                  <w:color w:val="008FDD"/>
                                  <w:spacing w:val="40"/>
                                  <w:w w:val="105"/>
                                  <w:sz w:val="19"/>
                                </w:rPr>
                                <w:t> </w:t>
                              </w:r>
                              <w:r>
                                <w:rPr>
                                  <w:rFonts w:ascii="Arial"/>
                                  <w:color w:val="008FDD"/>
                                  <w:w w:val="105"/>
                                  <w:sz w:val="19"/>
                                </w:rPr>
                                <w:t>information.</w:t>
                              </w:r>
                            </w:p>
                          </w:txbxContent>
                        </wps:txbx>
                        <wps:bodyPr wrap="square" lIns="0" tIns="0" rIns="0" bIns="0" rtlCol="0">
                          <a:noAutofit/>
                        </wps:bodyPr>
                      </wps:wsp>
                    </wpg:wgp>
                  </a:graphicData>
                </a:graphic>
              </wp:inline>
            </w:drawing>
          </mc:Choice>
          <mc:Fallback>
            <w:pict>
              <v:group style="width:474.85pt;height:244pt;mso-position-horizontal-relative:char;mso-position-vertical-relative:line" id="docshapegroup1850" coordorigin="0,0" coordsize="9497,4880">
                <v:shape style="position:absolute;left:0;top:0;width:9497;height:4880" id="docshape1851" coordorigin="0,0" coordsize="9497,4880" path="m9029,0l0,0,0,4880,9029,4880,9105,4874,9176,4856,9244,4828,9305,4789,9359,4743,9406,4688,9444,4627,9473,4560,9490,4488,9496,4412,9496,468,9490,392,9473,320,9444,253,9406,191,9359,137,9305,90,9244,52,9176,24,9105,6,9029,0xe" filled="true" fillcolor="#e6e7e8" stroked="false">
                  <v:path arrowok="t"/>
                  <v:fill type="solid"/>
                </v:shape>
                <v:shape style="position:absolute;left:0;top:0;width:9497;height:4880" type="#_x0000_t202" id="docshape1852" filled="false" stroked="false">
                  <v:textbox inset="0,0,0,0">
                    <w:txbxContent>
                      <w:p>
                        <w:pPr>
                          <w:spacing w:before="314"/>
                          <w:ind w:left="827" w:right="0" w:firstLine="0"/>
                          <w:jc w:val="both"/>
                          <w:rPr>
                            <w:rFonts w:ascii="Arial"/>
                            <w:b/>
                            <w:sz w:val="30"/>
                          </w:rPr>
                        </w:pPr>
                        <w:r>
                          <w:rPr>
                            <w:rFonts w:ascii="Arial"/>
                            <w:b/>
                            <w:color w:val="008FDD"/>
                            <w:w w:val="105"/>
                            <w:sz w:val="30"/>
                          </w:rPr>
                          <w:t>What</w:t>
                        </w:r>
                        <w:r>
                          <w:rPr>
                            <w:rFonts w:ascii="Arial"/>
                            <w:b/>
                            <w:color w:val="008FDD"/>
                            <w:spacing w:val="48"/>
                            <w:w w:val="150"/>
                            <w:sz w:val="30"/>
                          </w:rPr>
                          <w:t> </w:t>
                        </w:r>
                        <w:r>
                          <w:rPr>
                            <w:rFonts w:ascii="Arial"/>
                            <w:b/>
                            <w:color w:val="008FDD"/>
                            <w:w w:val="105"/>
                            <w:sz w:val="30"/>
                          </w:rPr>
                          <w:t>is</w:t>
                        </w:r>
                        <w:r>
                          <w:rPr>
                            <w:rFonts w:ascii="Arial"/>
                            <w:b/>
                            <w:color w:val="008FDD"/>
                            <w:spacing w:val="48"/>
                            <w:w w:val="150"/>
                            <w:sz w:val="30"/>
                          </w:rPr>
                          <w:t> </w:t>
                        </w:r>
                        <w:r>
                          <w:rPr>
                            <w:rFonts w:ascii="Arial"/>
                            <w:b/>
                            <w:color w:val="008FDD"/>
                            <w:w w:val="105"/>
                            <w:sz w:val="30"/>
                          </w:rPr>
                          <w:t>the</w:t>
                        </w:r>
                        <w:r>
                          <w:rPr>
                            <w:rFonts w:ascii="Arial"/>
                            <w:b/>
                            <w:color w:val="008FDD"/>
                            <w:spacing w:val="49"/>
                            <w:w w:val="150"/>
                            <w:sz w:val="30"/>
                          </w:rPr>
                          <w:t> </w:t>
                        </w:r>
                        <w:r>
                          <w:rPr>
                            <w:rFonts w:ascii="Arial"/>
                            <w:b/>
                            <w:color w:val="008FDD"/>
                            <w:w w:val="105"/>
                            <w:sz w:val="30"/>
                          </w:rPr>
                          <w:t>Logistics</w:t>
                        </w:r>
                        <w:r>
                          <w:rPr>
                            <w:rFonts w:ascii="Arial"/>
                            <w:b/>
                            <w:color w:val="008FDD"/>
                            <w:spacing w:val="48"/>
                            <w:w w:val="150"/>
                            <w:sz w:val="30"/>
                          </w:rPr>
                          <w:t> </w:t>
                        </w:r>
                        <w:r>
                          <w:rPr>
                            <w:rFonts w:ascii="Arial"/>
                            <w:b/>
                            <w:color w:val="008FDD"/>
                            <w:w w:val="105"/>
                            <w:sz w:val="30"/>
                          </w:rPr>
                          <w:t>Performance</w:t>
                        </w:r>
                        <w:r>
                          <w:rPr>
                            <w:rFonts w:ascii="Arial"/>
                            <w:b/>
                            <w:color w:val="008FDD"/>
                            <w:spacing w:val="49"/>
                            <w:w w:val="150"/>
                            <w:sz w:val="30"/>
                          </w:rPr>
                          <w:t> </w:t>
                        </w:r>
                        <w:r>
                          <w:rPr>
                            <w:rFonts w:ascii="Arial"/>
                            <w:b/>
                            <w:color w:val="008FDD"/>
                            <w:spacing w:val="-2"/>
                            <w:w w:val="105"/>
                            <w:sz w:val="30"/>
                          </w:rPr>
                          <w:t>Index?</w:t>
                        </w:r>
                      </w:p>
                      <w:p>
                        <w:pPr>
                          <w:spacing w:line="285" w:lineRule="auto" w:before="273"/>
                          <w:ind w:left="827" w:right="361" w:firstLine="0"/>
                          <w:jc w:val="both"/>
                          <w:rPr>
                            <w:rFonts w:ascii="Arial" w:hAnsi="Arial"/>
                            <w:sz w:val="19"/>
                          </w:rPr>
                        </w:pPr>
                        <w:r>
                          <w:rPr>
                            <w:rFonts w:ascii="Arial" w:hAnsi="Arial"/>
                            <w:color w:val="008FDD"/>
                            <w:w w:val="105"/>
                            <w:sz w:val="19"/>
                          </w:rPr>
                          <w:t>The</w:t>
                        </w:r>
                        <w:r>
                          <w:rPr>
                            <w:rFonts w:ascii="Arial" w:hAnsi="Arial"/>
                            <w:color w:val="008FDD"/>
                            <w:spacing w:val="40"/>
                            <w:w w:val="105"/>
                            <w:sz w:val="19"/>
                          </w:rPr>
                          <w:t> </w:t>
                        </w:r>
                        <w:r>
                          <w:rPr>
                            <w:rFonts w:ascii="Arial" w:hAnsi="Arial"/>
                            <w:color w:val="008FDD"/>
                            <w:w w:val="105"/>
                            <w:sz w:val="19"/>
                          </w:rPr>
                          <w:t>LPI</w:t>
                        </w:r>
                        <w:r>
                          <w:rPr>
                            <w:rFonts w:ascii="Arial" w:hAnsi="Arial"/>
                            <w:color w:val="008FDD"/>
                            <w:spacing w:val="40"/>
                            <w:w w:val="105"/>
                            <w:sz w:val="19"/>
                          </w:rPr>
                          <w:t> </w:t>
                        </w:r>
                        <w:r>
                          <w:rPr>
                            <w:rFonts w:ascii="Arial" w:hAnsi="Arial"/>
                            <w:color w:val="008FDD"/>
                            <w:w w:val="105"/>
                            <w:sz w:val="19"/>
                          </w:rPr>
                          <w:t>is</w:t>
                        </w:r>
                        <w:r>
                          <w:rPr>
                            <w:rFonts w:ascii="Arial" w:hAnsi="Arial"/>
                            <w:color w:val="008FDD"/>
                            <w:spacing w:val="40"/>
                            <w:w w:val="105"/>
                            <w:sz w:val="19"/>
                          </w:rPr>
                          <w:t> </w:t>
                        </w:r>
                        <w:r>
                          <w:rPr>
                            <w:rFonts w:ascii="Arial" w:hAnsi="Arial"/>
                            <w:color w:val="008FDD"/>
                            <w:w w:val="105"/>
                            <w:sz w:val="19"/>
                          </w:rPr>
                          <w:t>an</w:t>
                        </w:r>
                        <w:r>
                          <w:rPr>
                            <w:rFonts w:ascii="Arial" w:hAnsi="Arial"/>
                            <w:color w:val="008FDD"/>
                            <w:spacing w:val="40"/>
                            <w:w w:val="105"/>
                            <w:sz w:val="19"/>
                          </w:rPr>
                          <w:t> </w:t>
                        </w:r>
                        <w:r>
                          <w:rPr>
                            <w:rFonts w:ascii="Arial" w:hAnsi="Arial"/>
                            <w:color w:val="008FDD"/>
                            <w:w w:val="105"/>
                            <w:sz w:val="19"/>
                          </w:rPr>
                          <w:t>interactive</w:t>
                        </w:r>
                        <w:r>
                          <w:rPr>
                            <w:rFonts w:ascii="Arial" w:hAnsi="Arial"/>
                            <w:color w:val="008FDD"/>
                            <w:spacing w:val="40"/>
                            <w:w w:val="105"/>
                            <w:sz w:val="19"/>
                          </w:rPr>
                          <w:t> </w:t>
                        </w:r>
                        <w:r>
                          <w:rPr>
                            <w:rFonts w:ascii="Arial" w:hAnsi="Arial"/>
                            <w:color w:val="008FDD"/>
                            <w:w w:val="105"/>
                            <w:sz w:val="19"/>
                          </w:rPr>
                          <w:t>benchmarking</w:t>
                        </w:r>
                        <w:r>
                          <w:rPr>
                            <w:rFonts w:ascii="Arial" w:hAnsi="Arial"/>
                            <w:color w:val="008FDD"/>
                            <w:spacing w:val="40"/>
                            <w:w w:val="105"/>
                            <w:sz w:val="19"/>
                          </w:rPr>
                          <w:t> </w:t>
                        </w:r>
                        <w:r>
                          <w:rPr>
                            <w:rFonts w:ascii="Arial" w:hAnsi="Arial"/>
                            <w:color w:val="008FDD"/>
                            <w:w w:val="105"/>
                            <w:sz w:val="19"/>
                          </w:rPr>
                          <w:t>tool</w:t>
                        </w:r>
                        <w:r>
                          <w:rPr>
                            <w:rFonts w:ascii="Arial" w:hAnsi="Arial"/>
                            <w:color w:val="008FDD"/>
                            <w:spacing w:val="40"/>
                            <w:w w:val="105"/>
                            <w:sz w:val="19"/>
                          </w:rPr>
                          <w:t> </w:t>
                        </w:r>
                        <w:r>
                          <w:rPr>
                            <w:rFonts w:ascii="Arial" w:hAnsi="Arial"/>
                            <w:color w:val="008FDD"/>
                            <w:w w:val="105"/>
                            <w:sz w:val="19"/>
                          </w:rPr>
                          <w:t>created</w:t>
                        </w:r>
                        <w:r>
                          <w:rPr>
                            <w:rFonts w:ascii="Arial" w:hAnsi="Arial"/>
                            <w:color w:val="008FDD"/>
                            <w:spacing w:val="40"/>
                            <w:w w:val="105"/>
                            <w:sz w:val="19"/>
                          </w:rPr>
                          <w:t> </w:t>
                        </w:r>
                        <w:r>
                          <w:rPr>
                            <w:rFonts w:ascii="Arial" w:hAnsi="Arial"/>
                            <w:color w:val="008FDD"/>
                            <w:w w:val="105"/>
                            <w:sz w:val="19"/>
                          </w:rPr>
                          <w:t>to</w:t>
                        </w:r>
                        <w:r>
                          <w:rPr>
                            <w:rFonts w:ascii="Arial" w:hAnsi="Arial"/>
                            <w:color w:val="008FDD"/>
                            <w:spacing w:val="40"/>
                            <w:w w:val="105"/>
                            <w:sz w:val="19"/>
                          </w:rPr>
                          <w:t> </w:t>
                        </w:r>
                        <w:r>
                          <w:rPr>
                            <w:rFonts w:ascii="Arial" w:hAnsi="Arial"/>
                            <w:color w:val="008FDD"/>
                            <w:w w:val="105"/>
                            <w:sz w:val="19"/>
                          </w:rPr>
                          <w:t>help</w:t>
                        </w:r>
                        <w:r>
                          <w:rPr>
                            <w:rFonts w:ascii="Arial" w:hAnsi="Arial"/>
                            <w:color w:val="008FDD"/>
                            <w:spacing w:val="40"/>
                            <w:w w:val="105"/>
                            <w:sz w:val="19"/>
                          </w:rPr>
                          <w:t> </w:t>
                        </w:r>
                        <w:r>
                          <w:rPr>
                            <w:rFonts w:ascii="Arial" w:hAnsi="Arial"/>
                            <w:color w:val="008FDD"/>
                            <w:w w:val="105"/>
                            <w:sz w:val="19"/>
                          </w:rPr>
                          <w:t>countries</w:t>
                        </w:r>
                        <w:r>
                          <w:rPr>
                            <w:rFonts w:ascii="Arial" w:hAnsi="Arial"/>
                            <w:color w:val="008FDD"/>
                            <w:spacing w:val="40"/>
                            <w:w w:val="105"/>
                            <w:sz w:val="19"/>
                          </w:rPr>
                          <w:t> </w:t>
                        </w:r>
                        <w:r>
                          <w:rPr>
                            <w:rFonts w:ascii="Arial" w:hAnsi="Arial"/>
                            <w:color w:val="008FDD"/>
                            <w:w w:val="105"/>
                            <w:sz w:val="19"/>
                          </w:rPr>
                          <w:t>identify</w:t>
                        </w:r>
                        <w:r>
                          <w:rPr>
                            <w:rFonts w:ascii="Arial" w:hAnsi="Arial"/>
                            <w:color w:val="008FDD"/>
                            <w:spacing w:val="40"/>
                            <w:w w:val="105"/>
                            <w:sz w:val="19"/>
                          </w:rPr>
                          <w:t> </w:t>
                        </w:r>
                        <w:r>
                          <w:rPr>
                            <w:rFonts w:ascii="Arial" w:hAnsi="Arial"/>
                            <w:color w:val="008FDD"/>
                            <w:w w:val="105"/>
                            <w:sz w:val="19"/>
                          </w:rPr>
                          <w:t>the challenges</w:t>
                        </w:r>
                        <w:r>
                          <w:rPr>
                            <w:rFonts w:ascii="Arial" w:hAnsi="Arial"/>
                            <w:color w:val="008FDD"/>
                            <w:spacing w:val="40"/>
                            <w:w w:val="105"/>
                            <w:sz w:val="19"/>
                          </w:rPr>
                          <w:t> </w:t>
                        </w:r>
                        <w:r>
                          <w:rPr>
                            <w:rFonts w:ascii="Arial" w:hAnsi="Arial"/>
                            <w:color w:val="008FDD"/>
                            <w:w w:val="105"/>
                            <w:sz w:val="19"/>
                          </w:rPr>
                          <w:t>and</w:t>
                        </w:r>
                        <w:r>
                          <w:rPr>
                            <w:rFonts w:ascii="Arial" w:hAnsi="Arial"/>
                            <w:color w:val="008FDD"/>
                            <w:spacing w:val="40"/>
                            <w:w w:val="105"/>
                            <w:sz w:val="19"/>
                          </w:rPr>
                          <w:t> </w:t>
                        </w:r>
                        <w:r>
                          <w:rPr>
                            <w:rFonts w:ascii="Arial" w:hAnsi="Arial"/>
                            <w:color w:val="008FDD"/>
                            <w:w w:val="105"/>
                            <w:sz w:val="19"/>
                          </w:rPr>
                          <w:t>opportunities</w:t>
                        </w:r>
                        <w:r>
                          <w:rPr>
                            <w:rFonts w:ascii="Arial" w:hAnsi="Arial"/>
                            <w:color w:val="008FDD"/>
                            <w:spacing w:val="40"/>
                            <w:w w:val="105"/>
                            <w:sz w:val="19"/>
                          </w:rPr>
                          <w:t> </w:t>
                        </w:r>
                        <w:r>
                          <w:rPr>
                            <w:rFonts w:ascii="Arial" w:hAnsi="Arial"/>
                            <w:color w:val="008FDD"/>
                            <w:w w:val="105"/>
                            <w:sz w:val="19"/>
                          </w:rPr>
                          <w:t>they</w:t>
                        </w:r>
                        <w:r>
                          <w:rPr>
                            <w:rFonts w:ascii="Arial" w:hAnsi="Arial"/>
                            <w:color w:val="008FDD"/>
                            <w:spacing w:val="40"/>
                            <w:w w:val="105"/>
                            <w:sz w:val="19"/>
                          </w:rPr>
                          <w:t> </w:t>
                        </w:r>
                        <w:r>
                          <w:rPr>
                            <w:rFonts w:ascii="Arial" w:hAnsi="Arial"/>
                            <w:color w:val="008FDD"/>
                            <w:w w:val="105"/>
                            <w:sz w:val="19"/>
                          </w:rPr>
                          <w:t>face</w:t>
                        </w:r>
                        <w:r>
                          <w:rPr>
                            <w:rFonts w:ascii="Arial" w:hAnsi="Arial"/>
                            <w:color w:val="008FDD"/>
                            <w:spacing w:val="40"/>
                            <w:w w:val="105"/>
                            <w:sz w:val="19"/>
                          </w:rPr>
                          <w:t> </w:t>
                        </w:r>
                        <w:r>
                          <w:rPr>
                            <w:rFonts w:ascii="Arial" w:hAnsi="Arial"/>
                            <w:color w:val="008FDD"/>
                            <w:w w:val="105"/>
                            <w:sz w:val="19"/>
                          </w:rPr>
                          <w:t>in</w:t>
                        </w:r>
                        <w:r>
                          <w:rPr>
                            <w:rFonts w:ascii="Arial" w:hAnsi="Arial"/>
                            <w:color w:val="008FDD"/>
                            <w:spacing w:val="40"/>
                            <w:w w:val="105"/>
                            <w:sz w:val="19"/>
                          </w:rPr>
                          <w:t> </w:t>
                        </w:r>
                        <w:r>
                          <w:rPr>
                            <w:rFonts w:ascii="Arial" w:hAnsi="Arial"/>
                            <w:color w:val="008FDD"/>
                            <w:w w:val="105"/>
                            <w:sz w:val="19"/>
                          </w:rPr>
                          <w:t>their</w:t>
                        </w:r>
                        <w:r>
                          <w:rPr>
                            <w:rFonts w:ascii="Arial" w:hAnsi="Arial"/>
                            <w:color w:val="008FDD"/>
                            <w:spacing w:val="40"/>
                            <w:w w:val="105"/>
                            <w:sz w:val="19"/>
                          </w:rPr>
                          <w:t> </w:t>
                        </w:r>
                        <w:r>
                          <w:rPr>
                            <w:rFonts w:ascii="Arial" w:hAnsi="Arial"/>
                            <w:color w:val="008FDD"/>
                            <w:w w:val="105"/>
                            <w:sz w:val="19"/>
                          </w:rPr>
                          <w:t>performance</w:t>
                        </w:r>
                        <w:r>
                          <w:rPr>
                            <w:rFonts w:ascii="Arial" w:hAnsi="Arial"/>
                            <w:color w:val="008FDD"/>
                            <w:spacing w:val="40"/>
                            <w:w w:val="105"/>
                            <w:sz w:val="19"/>
                          </w:rPr>
                          <w:t> </w:t>
                        </w:r>
                        <w:r>
                          <w:rPr>
                            <w:rFonts w:ascii="Arial" w:hAnsi="Arial"/>
                            <w:color w:val="008FDD"/>
                            <w:w w:val="105"/>
                            <w:sz w:val="19"/>
                          </w:rPr>
                          <w:t>on</w:t>
                        </w:r>
                        <w:r>
                          <w:rPr>
                            <w:rFonts w:ascii="Arial" w:hAnsi="Arial"/>
                            <w:color w:val="008FDD"/>
                            <w:spacing w:val="40"/>
                            <w:w w:val="105"/>
                            <w:sz w:val="19"/>
                          </w:rPr>
                          <w:t> </w:t>
                        </w:r>
                        <w:r>
                          <w:rPr>
                            <w:rFonts w:ascii="Arial" w:hAnsi="Arial"/>
                            <w:color w:val="008FDD"/>
                            <w:w w:val="105"/>
                            <w:sz w:val="19"/>
                          </w:rPr>
                          <w:t>trade</w:t>
                        </w:r>
                        <w:r>
                          <w:rPr>
                            <w:rFonts w:ascii="Arial" w:hAnsi="Arial"/>
                            <w:color w:val="008FDD"/>
                            <w:spacing w:val="40"/>
                            <w:w w:val="105"/>
                            <w:sz w:val="19"/>
                          </w:rPr>
                          <w:t> </w:t>
                        </w:r>
                        <w:r>
                          <w:rPr>
                            <w:rFonts w:ascii="Arial" w:hAnsi="Arial"/>
                            <w:color w:val="008FDD"/>
                            <w:w w:val="105"/>
                            <w:sz w:val="19"/>
                          </w:rPr>
                          <w:t>logistics</w:t>
                        </w:r>
                        <w:r>
                          <w:rPr>
                            <w:rFonts w:ascii="Arial" w:hAnsi="Arial"/>
                            <w:color w:val="008FDD"/>
                            <w:spacing w:val="40"/>
                            <w:w w:val="105"/>
                            <w:sz w:val="19"/>
                          </w:rPr>
                          <w:t> </w:t>
                        </w:r>
                        <w:r>
                          <w:rPr>
                            <w:rFonts w:ascii="Arial" w:hAnsi="Arial"/>
                            <w:color w:val="008FDD"/>
                            <w:w w:val="105"/>
                            <w:sz w:val="19"/>
                          </w:rPr>
                          <w:t>and</w:t>
                        </w:r>
                        <w:r>
                          <w:rPr>
                            <w:rFonts w:ascii="Arial" w:hAnsi="Arial"/>
                            <w:color w:val="008FDD"/>
                            <w:spacing w:val="40"/>
                            <w:w w:val="105"/>
                            <w:sz w:val="19"/>
                          </w:rPr>
                          <w:t> </w:t>
                        </w:r>
                        <w:r>
                          <w:rPr>
                            <w:rFonts w:ascii="Arial" w:hAnsi="Arial"/>
                            <w:color w:val="008FDD"/>
                            <w:w w:val="105"/>
                            <w:sz w:val="19"/>
                          </w:rPr>
                          <w:t>what they</w:t>
                        </w:r>
                        <w:r>
                          <w:rPr>
                            <w:rFonts w:ascii="Arial" w:hAnsi="Arial"/>
                            <w:color w:val="008FDD"/>
                            <w:spacing w:val="40"/>
                            <w:w w:val="105"/>
                            <w:sz w:val="19"/>
                          </w:rPr>
                          <w:t> </w:t>
                        </w:r>
                        <w:r>
                          <w:rPr>
                            <w:rFonts w:ascii="Arial" w:hAnsi="Arial"/>
                            <w:color w:val="008FDD"/>
                            <w:w w:val="105"/>
                            <w:sz w:val="19"/>
                          </w:rPr>
                          <w:t>can</w:t>
                        </w:r>
                        <w:r>
                          <w:rPr>
                            <w:rFonts w:ascii="Arial" w:hAnsi="Arial"/>
                            <w:color w:val="008FDD"/>
                            <w:spacing w:val="40"/>
                            <w:w w:val="105"/>
                            <w:sz w:val="19"/>
                          </w:rPr>
                          <w:t> </w:t>
                        </w:r>
                        <w:r>
                          <w:rPr>
                            <w:rFonts w:ascii="Arial" w:hAnsi="Arial"/>
                            <w:color w:val="008FDD"/>
                            <w:w w:val="105"/>
                            <w:sz w:val="19"/>
                          </w:rPr>
                          <w:t>do</w:t>
                        </w:r>
                        <w:r>
                          <w:rPr>
                            <w:rFonts w:ascii="Arial" w:hAnsi="Arial"/>
                            <w:color w:val="008FDD"/>
                            <w:spacing w:val="40"/>
                            <w:w w:val="105"/>
                            <w:sz w:val="19"/>
                          </w:rPr>
                          <w:t> </w:t>
                        </w:r>
                        <w:r>
                          <w:rPr>
                            <w:rFonts w:ascii="Arial" w:hAnsi="Arial"/>
                            <w:color w:val="008FDD"/>
                            <w:w w:val="105"/>
                            <w:sz w:val="19"/>
                          </w:rPr>
                          <w:t>to</w:t>
                        </w:r>
                        <w:r>
                          <w:rPr>
                            <w:rFonts w:ascii="Arial" w:hAnsi="Arial"/>
                            <w:color w:val="008FDD"/>
                            <w:spacing w:val="40"/>
                            <w:w w:val="105"/>
                            <w:sz w:val="19"/>
                          </w:rPr>
                          <w:t> </w:t>
                        </w:r>
                        <w:r>
                          <w:rPr>
                            <w:rFonts w:ascii="Arial" w:hAnsi="Arial"/>
                            <w:color w:val="008FDD"/>
                            <w:w w:val="105"/>
                            <w:sz w:val="19"/>
                          </w:rPr>
                          <w:t>improve</w:t>
                        </w:r>
                        <w:r>
                          <w:rPr>
                            <w:rFonts w:ascii="Arial" w:hAnsi="Arial"/>
                            <w:color w:val="008FDD"/>
                            <w:spacing w:val="40"/>
                            <w:w w:val="105"/>
                            <w:sz w:val="19"/>
                          </w:rPr>
                          <w:t> </w:t>
                        </w:r>
                        <w:r>
                          <w:rPr>
                            <w:rFonts w:ascii="Arial" w:hAnsi="Arial"/>
                            <w:color w:val="008FDD"/>
                            <w:w w:val="105"/>
                            <w:sz w:val="19"/>
                          </w:rPr>
                          <w:t>their</w:t>
                        </w:r>
                        <w:r>
                          <w:rPr>
                            <w:rFonts w:ascii="Arial" w:hAnsi="Arial"/>
                            <w:color w:val="008FDD"/>
                            <w:spacing w:val="40"/>
                            <w:w w:val="105"/>
                            <w:sz w:val="19"/>
                          </w:rPr>
                          <w:t> </w:t>
                        </w:r>
                        <w:r>
                          <w:rPr>
                            <w:rFonts w:ascii="Arial" w:hAnsi="Arial"/>
                            <w:color w:val="008FDD"/>
                            <w:w w:val="105"/>
                            <w:sz w:val="19"/>
                          </w:rPr>
                          <w:t>performance.</w:t>
                        </w:r>
                        <w:r>
                          <w:rPr>
                            <w:rFonts w:ascii="Arial" w:hAnsi="Arial"/>
                            <w:color w:val="008FDD"/>
                            <w:spacing w:val="40"/>
                            <w:w w:val="105"/>
                            <w:sz w:val="19"/>
                          </w:rPr>
                          <w:t> </w:t>
                        </w:r>
                        <w:r>
                          <w:rPr>
                            <w:rFonts w:ascii="Arial" w:hAnsi="Arial"/>
                            <w:color w:val="008FDD"/>
                            <w:w w:val="105"/>
                            <w:sz w:val="19"/>
                          </w:rPr>
                          <w:t>The</w:t>
                        </w:r>
                        <w:r>
                          <w:rPr>
                            <w:rFonts w:ascii="Arial" w:hAnsi="Arial"/>
                            <w:color w:val="008FDD"/>
                            <w:spacing w:val="40"/>
                            <w:w w:val="105"/>
                            <w:sz w:val="19"/>
                          </w:rPr>
                          <w:t> </w:t>
                        </w:r>
                        <w:r>
                          <w:rPr>
                            <w:rFonts w:ascii="Arial" w:hAnsi="Arial"/>
                            <w:color w:val="008FDD"/>
                            <w:w w:val="105"/>
                            <w:sz w:val="19"/>
                          </w:rPr>
                          <w:t>LPI</w:t>
                        </w:r>
                        <w:r>
                          <w:rPr>
                            <w:rFonts w:ascii="Arial" w:hAnsi="Arial"/>
                            <w:color w:val="008FDD"/>
                            <w:spacing w:val="40"/>
                            <w:w w:val="105"/>
                            <w:sz w:val="19"/>
                          </w:rPr>
                          <w:t> </w:t>
                        </w:r>
                        <w:r>
                          <w:rPr>
                            <w:rFonts w:ascii="Arial" w:hAnsi="Arial"/>
                            <w:color w:val="008FDD"/>
                            <w:w w:val="105"/>
                            <w:sz w:val="19"/>
                          </w:rPr>
                          <w:t>is</w:t>
                        </w:r>
                        <w:r>
                          <w:rPr>
                            <w:rFonts w:ascii="Arial" w:hAnsi="Arial"/>
                            <w:color w:val="008FDD"/>
                            <w:spacing w:val="40"/>
                            <w:w w:val="105"/>
                            <w:sz w:val="19"/>
                          </w:rPr>
                          <w:t> </w:t>
                        </w:r>
                        <w:r>
                          <w:rPr>
                            <w:rFonts w:ascii="Arial" w:hAnsi="Arial"/>
                            <w:color w:val="008FDD"/>
                            <w:w w:val="105"/>
                            <w:sz w:val="19"/>
                          </w:rPr>
                          <w:t>based</w:t>
                        </w:r>
                        <w:r>
                          <w:rPr>
                            <w:rFonts w:ascii="Arial" w:hAnsi="Arial"/>
                            <w:color w:val="008FDD"/>
                            <w:spacing w:val="40"/>
                            <w:w w:val="105"/>
                            <w:sz w:val="19"/>
                          </w:rPr>
                          <w:t> </w:t>
                        </w:r>
                        <w:r>
                          <w:rPr>
                            <w:rFonts w:ascii="Arial" w:hAnsi="Arial"/>
                            <w:color w:val="008FDD"/>
                            <w:w w:val="105"/>
                            <w:sz w:val="19"/>
                          </w:rPr>
                          <w:t>on</w:t>
                        </w:r>
                        <w:r>
                          <w:rPr>
                            <w:rFonts w:ascii="Arial" w:hAnsi="Arial"/>
                            <w:color w:val="008FDD"/>
                            <w:spacing w:val="40"/>
                            <w:w w:val="105"/>
                            <w:sz w:val="19"/>
                          </w:rPr>
                          <w:t> </w:t>
                        </w:r>
                        <w:r>
                          <w:rPr>
                            <w:rFonts w:ascii="Arial" w:hAnsi="Arial"/>
                            <w:color w:val="008FDD"/>
                            <w:w w:val="105"/>
                            <w:sz w:val="19"/>
                          </w:rPr>
                          <w:t>two</w:t>
                        </w:r>
                        <w:r>
                          <w:rPr>
                            <w:rFonts w:ascii="Arial" w:hAnsi="Arial"/>
                            <w:color w:val="008FDD"/>
                            <w:spacing w:val="40"/>
                            <w:w w:val="105"/>
                            <w:sz w:val="19"/>
                          </w:rPr>
                          <w:t> </w:t>
                        </w:r>
                        <w:r>
                          <w:rPr>
                            <w:rFonts w:ascii="Arial" w:hAnsi="Arial"/>
                            <w:color w:val="008FDD"/>
                            <w:w w:val="105"/>
                            <w:sz w:val="19"/>
                          </w:rPr>
                          <w:t>components:</w:t>
                        </w:r>
                        <w:r>
                          <w:rPr>
                            <w:rFonts w:ascii="Arial" w:hAnsi="Arial"/>
                            <w:color w:val="008FDD"/>
                            <w:spacing w:val="40"/>
                            <w:w w:val="105"/>
                            <w:sz w:val="19"/>
                          </w:rPr>
                          <w:t> </w:t>
                        </w:r>
                        <w:r>
                          <w:rPr>
                            <w:rFonts w:ascii="Arial" w:hAnsi="Arial"/>
                            <w:color w:val="008FDD"/>
                            <w:w w:val="105"/>
                            <w:sz w:val="19"/>
                          </w:rPr>
                          <w:t>First,</w:t>
                        </w:r>
                        <w:r>
                          <w:rPr>
                            <w:rFonts w:ascii="Arial" w:hAnsi="Arial"/>
                            <w:color w:val="008FDD"/>
                            <w:spacing w:val="40"/>
                            <w:w w:val="105"/>
                            <w:sz w:val="19"/>
                          </w:rPr>
                          <w:t> </w:t>
                        </w:r>
                        <w:r>
                          <w:rPr>
                            <w:rFonts w:ascii="Arial" w:hAnsi="Arial"/>
                            <w:color w:val="008FDD"/>
                            <w:w w:val="105"/>
                            <w:sz w:val="19"/>
                          </w:rPr>
                          <w:t>a worldwide survey of international logistics operators on the ground (global freight</w:t>
                        </w:r>
                        <w:r>
                          <w:rPr>
                            <w:rFonts w:ascii="Arial" w:hAnsi="Arial"/>
                            <w:color w:val="008FDD"/>
                            <w:spacing w:val="80"/>
                            <w:w w:val="105"/>
                            <w:sz w:val="19"/>
                          </w:rPr>
                          <w:t> </w:t>
                        </w:r>
                        <w:r>
                          <w:rPr>
                            <w:rFonts w:ascii="Arial" w:hAnsi="Arial"/>
                            <w:color w:val="008FDD"/>
                            <w:w w:val="105"/>
                            <w:sz w:val="19"/>
                          </w:rPr>
                          <w:t>forwarders</w:t>
                        </w:r>
                        <w:r>
                          <w:rPr>
                            <w:rFonts w:ascii="Arial" w:hAnsi="Arial"/>
                            <w:color w:val="008FDD"/>
                            <w:spacing w:val="80"/>
                            <w:w w:val="105"/>
                            <w:sz w:val="19"/>
                          </w:rPr>
                          <w:t> </w:t>
                        </w:r>
                        <w:r>
                          <w:rPr>
                            <w:rFonts w:ascii="Arial" w:hAnsi="Arial"/>
                            <w:color w:val="008FDD"/>
                            <w:w w:val="105"/>
                            <w:sz w:val="19"/>
                          </w:rPr>
                          <w:t>and</w:t>
                        </w:r>
                        <w:r>
                          <w:rPr>
                            <w:rFonts w:ascii="Arial" w:hAnsi="Arial"/>
                            <w:color w:val="008FDD"/>
                            <w:spacing w:val="80"/>
                            <w:w w:val="105"/>
                            <w:sz w:val="19"/>
                          </w:rPr>
                          <w:t> </w:t>
                        </w:r>
                        <w:r>
                          <w:rPr>
                            <w:rFonts w:ascii="Arial" w:hAnsi="Arial"/>
                            <w:color w:val="008FDD"/>
                            <w:w w:val="105"/>
                            <w:sz w:val="19"/>
                          </w:rPr>
                          <w:t>express</w:t>
                        </w:r>
                        <w:r>
                          <w:rPr>
                            <w:rFonts w:ascii="Arial" w:hAnsi="Arial"/>
                            <w:color w:val="008FDD"/>
                            <w:spacing w:val="80"/>
                            <w:w w:val="105"/>
                            <w:sz w:val="19"/>
                          </w:rPr>
                          <w:t> </w:t>
                        </w:r>
                        <w:r>
                          <w:rPr>
                            <w:rFonts w:ascii="Arial" w:hAnsi="Arial"/>
                            <w:color w:val="008FDD"/>
                            <w:w w:val="105"/>
                            <w:sz w:val="19"/>
                          </w:rPr>
                          <w:t>carriers),</w:t>
                        </w:r>
                        <w:r>
                          <w:rPr>
                            <w:rFonts w:ascii="Arial" w:hAnsi="Arial"/>
                            <w:color w:val="008FDD"/>
                            <w:spacing w:val="80"/>
                            <w:w w:val="105"/>
                            <w:sz w:val="19"/>
                          </w:rPr>
                          <w:t> </w:t>
                        </w:r>
                        <w:r>
                          <w:rPr>
                            <w:rFonts w:ascii="Arial" w:hAnsi="Arial"/>
                            <w:color w:val="008FDD"/>
                            <w:w w:val="105"/>
                            <w:sz w:val="19"/>
                          </w:rPr>
                          <w:t>providing</w:t>
                        </w:r>
                        <w:r>
                          <w:rPr>
                            <w:rFonts w:ascii="Arial" w:hAnsi="Arial"/>
                            <w:color w:val="008FDD"/>
                            <w:spacing w:val="80"/>
                            <w:w w:val="105"/>
                            <w:sz w:val="19"/>
                          </w:rPr>
                          <w:t> </w:t>
                        </w:r>
                        <w:r>
                          <w:rPr>
                            <w:rFonts w:ascii="Arial" w:hAnsi="Arial"/>
                            <w:color w:val="008FDD"/>
                            <w:w w:val="105"/>
                            <w:sz w:val="19"/>
                          </w:rPr>
                          <w:t>feedback</w:t>
                        </w:r>
                        <w:r>
                          <w:rPr>
                            <w:rFonts w:ascii="Arial" w:hAnsi="Arial"/>
                            <w:color w:val="008FDD"/>
                            <w:spacing w:val="80"/>
                            <w:w w:val="105"/>
                            <w:sz w:val="19"/>
                          </w:rPr>
                          <w:t> </w:t>
                        </w:r>
                        <w:r>
                          <w:rPr>
                            <w:rFonts w:ascii="Arial" w:hAnsi="Arial"/>
                            <w:color w:val="008FDD"/>
                            <w:w w:val="105"/>
                            <w:sz w:val="19"/>
                          </w:rPr>
                          <w:t>on</w:t>
                        </w:r>
                        <w:r>
                          <w:rPr>
                            <w:rFonts w:ascii="Arial" w:hAnsi="Arial"/>
                            <w:color w:val="008FDD"/>
                            <w:spacing w:val="80"/>
                            <w:w w:val="105"/>
                            <w:sz w:val="19"/>
                          </w:rPr>
                          <w:t> </w:t>
                        </w:r>
                        <w:r>
                          <w:rPr>
                            <w:rFonts w:ascii="Arial" w:hAnsi="Arial"/>
                            <w:color w:val="008FDD"/>
                            <w:w w:val="105"/>
                            <w:sz w:val="19"/>
                          </w:rPr>
                          <w:t>the</w:t>
                        </w:r>
                        <w:r>
                          <w:rPr>
                            <w:rFonts w:ascii="Arial" w:hAnsi="Arial"/>
                            <w:color w:val="008FDD"/>
                            <w:spacing w:val="80"/>
                            <w:w w:val="105"/>
                            <w:sz w:val="19"/>
                          </w:rPr>
                          <w:t> </w:t>
                        </w:r>
                        <w:r>
                          <w:rPr>
                            <w:rFonts w:ascii="Arial" w:hAnsi="Arial"/>
                            <w:color w:val="008FDD"/>
                            <w:w w:val="105"/>
                            <w:sz w:val="19"/>
                          </w:rPr>
                          <w:t>logistics</w:t>
                        </w:r>
                        <w:r>
                          <w:rPr>
                            <w:rFonts w:ascii="Arial" w:hAnsi="Arial"/>
                            <w:color w:val="008FDD"/>
                            <w:spacing w:val="80"/>
                            <w:w w:val="105"/>
                            <w:sz w:val="19"/>
                          </w:rPr>
                          <w:t> </w:t>
                        </w:r>
                        <w:r>
                          <w:rPr>
                            <w:rFonts w:ascii="Arial" w:hAnsi="Arial"/>
                            <w:color w:val="008FDD"/>
                            <w:w w:val="105"/>
                            <w:sz w:val="19"/>
                          </w:rPr>
                          <w:t>“friendliness”</w:t>
                        </w:r>
                        <w:r>
                          <w:rPr>
                            <w:rFonts w:ascii="Arial" w:hAnsi="Arial"/>
                            <w:color w:val="008FDD"/>
                            <w:spacing w:val="80"/>
                            <w:w w:val="105"/>
                            <w:sz w:val="19"/>
                          </w:rPr>
                          <w:t> </w:t>
                        </w:r>
                        <w:r>
                          <w:rPr>
                            <w:rFonts w:ascii="Arial" w:hAnsi="Arial"/>
                            <w:color w:val="008FDD"/>
                            <w:w w:val="105"/>
                            <w:sz w:val="19"/>
                          </w:rPr>
                          <w:t>of the</w:t>
                        </w:r>
                        <w:r>
                          <w:rPr>
                            <w:rFonts w:ascii="Arial" w:hAnsi="Arial"/>
                            <w:color w:val="008FDD"/>
                            <w:spacing w:val="40"/>
                            <w:w w:val="105"/>
                            <w:sz w:val="19"/>
                          </w:rPr>
                          <w:t> </w:t>
                        </w:r>
                        <w:r>
                          <w:rPr>
                            <w:rFonts w:ascii="Arial" w:hAnsi="Arial"/>
                            <w:color w:val="008FDD"/>
                            <w:w w:val="105"/>
                            <w:sz w:val="19"/>
                          </w:rPr>
                          <w:t>countries</w:t>
                        </w:r>
                        <w:r>
                          <w:rPr>
                            <w:rFonts w:ascii="Arial" w:hAnsi="Arial"/>
                            <w:color w:val="008FDD"/>
                            <w:spacing w:val="40"/>
                            <w:w w:val="105"/>
                            <w:sz w:val="19"/>
                          </w:rPr>
                          <w:t> </w:t>
                        </w:r>
                        <w:r>
                          <w:rPr>
                            <w:rFonts w:ascii="Arial" w:hAnsi="Arial"/>
                            <w:color w:val="008FDD"/>
                            <w:w w:val="105"/>
                            <w:sz w:val="19"/>
                          </w:rPr>
                          <w:t>with</w:t>
                        </w:r>
                        <w:r>
                          <w:rPr>
                            <w:rFonts w:ascii="Arial" w:hAnsi="Arial"/>
                            <w:color w:val="008FDD"/>
                            <w:spacing w:val="40"/>
                            <w:w w:val="105"/>
                            <w:sz w:val="19"/>
                          </w:rPr>
                          <w:t> </w:t>
                        </w:r>
                        <w:r>
                          <w:rPr>
                            <w:rFonts w:ascii="Arial" w:hAnsi="Arial"/>
                            <w:color w:val="008FDD"/>
                            <w:w w:val="105"/>
                            <w:sz w:val="19"/>
                          </w:rPr>
                          <w:t>which</w:t>
                        </w:r>
                        <w:r>
                          <w:rPr>
                            <w:rFonts w:ascii="Arial" w:hAnsi="Arial"/>
                            <w:color w:val="008FDD"/>
                            <w:spacing w:val="40"/>
                            <w:w w:val="105"/>
                            <w:sz w:val="19"/>
                          </w:rPr>
                          <w:t> </w:t>
                        </w:r>
                        <w:r>
                          <w:rPr>
                            <w:rFonts w:ascii="Arial" w:hAnsi="Arial"/>
                            <w:color w:val="008FDD"/>
                            <w:w w:val="105"/>
                            <w:sz w:val="19"/>
                          </w:rPr>
                          <w:t>they</w:t>
                        </w:r>
                        <w:r>
                          <w:rPr>
                            <w:rFonts w:ascii="Arial" w:hAnsi="Arial"/>
                            <w:color w:val="008FDD"/>
                            <w:spacing w:val="40"/>
                            <w:w w:val="105"/>
                            <w:sz w:val="19"/>
                          </w:rPr>
                          <w:t> </w:t>
                        </w:r>
                        <w:r>
                          <w:rPr>
                            <w:rFonts w:ascii="Arial" w:hAnsi="Arial"/>
                            <w:color w:val="008FDD"/>
                            <w:w w:val="105"/>
                            <w:sz w:val="19"/>
                          </w:rPr>
                          <w:t>trade.</w:t>
                        </w:r>
                        <w:r>
                          <w:rPr>
                            <w:rFonts w:ascii="Arial" w:hAnsi="Arial"/>
                            <w:color w:val="008FDD"/>
                            <w:spacing w:val="40"/>
                            <w:w w:val="105"/>
                            <w:sz w:val="19"/>
                          </w:rPr>
                          <w:t> </w:t>
                        </w:r>
                        <w:r>
                          <w:rPr>
                            <w:rFonts w:ascii="Arial" w:hAnsi="Arial"/>
                            <w:color w:val="008FDD"/>
                            <w:w w:val="105"/>
                            <w:sz w:val="19"/>
                          </w:rPr>
                          <w:t>The</w:t>
                        </w:r>
                        <w:r>
                          <w:rPr>
                            <w:rFonts w:ascii="Arial" w:hAnsi="Arial"/>
                            <w:color w:val="008FDD"/>
                            <w:spacing w:val="40"/>
                            <w:w w:val="105"/>
                            <w:sz w:val="19"/>
                          </w:rPr>
                          <w:t> </w:t>
                        </w:r>
                        <w:r>
                          <w:rPr>
                            <w:rFonts w:ascii="Arial" w:hAnsi="Arial"/>
                            <w:color w:val="008FDD"/>
                            <w:w w:val="105"/>
                            <w:sz w:val="19"/>
                          </w:rPr>
                          <w:t>International</w:t>
                        </w:r>
                        <w:r>
                          <w:rPr>
                            <w:rFonts w:ascii="Arial" w:hAnsi="Arial"/>
                            <w:color w:val="008FDD"/>
                            <w:spacing w:val="40"/>
                            <w:w w:val="105"/>
                            <w:sz w:val="19"/>
                          </w:rPr>
                          <w:t> </w:t>
                        </w:r>
                        <w:r>
                          <w:rPr>
                            <w:rFonts w:ascii="Arial" w:hAnsi="Arial"/>
                            <w:color w:val="008FDD"/>
                            <w:w w:val="105"/>
                            <w:sz w:val="19"/>
                          </w:rPr>
                          <w:t>LPI</w:t>
                        </w:r>
                        <w:r>
                          <w:rPr>
                            <w:rFonts w:ascii="Arial" w:hAnsi="Arial"/>
                            <w:color w:val="008FDD"/>
                            <w:spacing w:val="40"/>
                            <w:w w:val="105"/>
                            <w:sz w:val="19"/>
                          </w:rPr>
                          <w:t> </w:t>
                        </w:r>
                        <w:r>
                          <w:rPr>
                            <w:rFonts w:ascii="Arial" w:hAnsi="Arial"/>
                            <w:color w:val="008FDD"/>
                            <w:w w:val="105"/>
                            <w:sz w:val="19"/>
                          </w:rPr>
                          <w:t>2023</w:t>
                        </w:r>
                        <w:r>
                          <w:rPr>
                            <w:rFonts w:ascii="Arial" w:hAnsi="Arial"/>
                            <w:color w:val="008FDD"/>
                            <w:spacing w:val="40"/>
                            <w:w w:val="105"/>
                            <w:sz w:val="19"/>
                          </w:rPr>
                          <w:t> </w:t>
                        </w:r>
                        <w:r>
                          <w:rPr>
                            <w:rFonts w:ascii="Arial" w:hAnsi="Arial"/>
                            <w:color w:val="008FDD"/>
                            <w:w w:val="105"/>
                            <w:sz w:val="19"/>
                          </w:rPr>
                          <w:t>allows</w:t>
                        </w:r>
                        <w:r>
                          <w:rPr>
                            <w:rFonts w:ascii="Arial" w:hAnsi="Arial"/>
                            <w:color w:val="008FDD"/>
                            <w:spacing w:val="40"/>
                            <w:w w:val="105"/>
                            <w:sz w:val="19"/>
                          </w:rPr>
                          <w:t> </w:t>
                        </w:r>
                        <w:r>
                          <w:rPr>
                            <w:rFonts w:ascii="Arial" w:hAnsi="Arial"/>
                            <w:color w:val="008FDD"/>
                            <w:w w:val="105"/>
                            <w:sz w:val="19"/>
                          </w:rPr>
                          <w:t>for</w:t>
                        </w:r>
                        <w:r>
                          <w:rPr>
                            <w:rFonts w:ascii="Arial" w:hAnsi="Arial"/>
                            <w:color w:val="008FDD"/>
                            <w:spacing w:val="40"/>
                            <w:w w:val="105"/>
                            <w:sz w:val="19"/>
                          </w:rPr>
                          <w:t> </w:t>
                        </w:r>
                        <w:r>
                          <w:rPr>
                            <w:rFonts w:ascii="Arial" w:hAnsi="Arial"/>
                            <w:color w:val="008FDD"/>
                            <w:w w:val="105"/>
                            <w:sz w:val="19"/>
                          </w:rPr>
                          <w:t>comparisons across</w:t>
                        </w:r>
                        <w:r>
                          <w:rPr>
                            <w:rFonts w:ascii="Arial" w:hAnsi="Arial"/>
                            <w:color w:val="008FDD"/>
                            <w:spacing w:val="40"/>
                            <w:w w:val="105"/>
                            <w:sz w:val="19"/>
                          </w:rPr>
                          <w:t> </w:t>
                        </w:r>
                        <w:r>
                          <w:rPr>
                            <w:rFonts w:ascii="Arial" w:hAnsi="Arial"/>
                            <w:color w:val="008FDD"/>
                            <w:w w:val="105"/>
                            <w:sz w:val="19"/>
                          </w:rPr>
                          <w:t>139</w:t>
                        </w:r>
                        <w:r>
                          <w:rPr>
                            <w:rFonts w:ascii="Arial" w:hAnsi="Arial"/>
                            <w:color w:val="008FDD"/>
                            <w:spacing w:val="40"/>
                            <w:w w:val="105"/>
                            <w:sz w:val="19"/>
                          </w:rPr>
                          <w:t> </w:t>
                        </w:r>
                        <w:r>
                          <w:rPr>
                            <w:rFonts w:ascii="Arial" w:hAnsi="Arial"/>
                            <w:color w:val="008FDD"/>
                            <w:w w:val="105"/>
                            <w:sz w:val="19"/>
                          </w:rPr>
                          <w:t>countries.</w:t>
                        </w:r>
                      </w:p>
                      <w:p>
                        <w:pPr>
                          <w:spacing w:line="240" w:lineRule="auto" w:before="36"/>
                          <w:rPr>
                            <w:rFonts w:ascii="Arial"/>
                            <w:sz w:val="19"/>
                          </w:rPr>
                        </w:pPr>
                      </w:p>
                      <w:p>
                        <w:pPr>
                          <w:spacing w:line="285" w:lineRule="auto" w:before="0"/>
                          <w:ind w:left="827" w:right="370" w:firstLine="0"/>
                          <w:jc w:val="both"/>
                          <w:rPr>
                            <w:rFonts w:ascii="Arial"/>
                            <w:sz w:val="19"/>
                          </w:rPr>
                        </w:pPr>
                        <w:r>
                          <w:rPr>
                            <w:rFonts w:ascii="Arial"/>
                            <w:color w:val="008FDD"/>
                            <w:w w:val="105"/>
                            <w:sz w:val="19"/>
                          </w:rPr>
                          <w:t>Second, this edition introduces indicators derived from global tracking datasets. They</w:t>
                        </w:r>
                        <w:r>
                          <w:rPr>
                            <w:rFonts w:ascii="Arial"/>
                            <w:color w:val="008FDD"/>
                            <w:spacing w:val="40"/>
                            <w:w w:val="105"/>
                            <w:sz w:val="19"/>
                          </w:rPr>
                          <w:t> </w:t>
                        </w:r>
                        <w:r>
                          <w:rPr>
                            <w:rFonts w:ascii="Arial"/>
                            <w:color w:val="008FDD"/>
                            <w:w w:val="105"/>
                            <w:sz w:val="19"/>
                          </w:rPr>
                          <w:t>measure speed and delays for container, postal and air freight activities.</w:t>
                        </w:r>
                        <w:r>
                          <w:rPr>
                            <w:rFonts w:ascii="Arial"/>
                            <w:color w:val="008FDD"/>
                            <w:spacing w:val="40"/>
                            <w:w w:val="105"/>
                            <w:sz w:val="19"/>
                          </w:rPr>
                          <w:t> </w:t>
                        </w:r>
                        <w:r>
                          <w:rPr>
                            <w:rFonts w:ascii="Arial"/>
                            <w:color w:val="008FDD"/>
                            <w:w w:val="105"/>
                            <w:sz w:val="19"/>
                          </w:rPr>
                          <w:t>They complement the</w:t>
                        </w:r>
                        <w:r>
                          <w:rPr>
                            <w:rFonts w:ascii="Arial"/>
                            <w:color w:val="008FDD"/>
                            <w:spacing w:val="40"/>
                            <w:w w:val="105"/>
                            <w:sz w:val="19"/>
                          </w:rPr>
                          <w:t> </w:t>
                        </w:r>
                        <w:r>
                          <w:rPr>
                            <w:rFonts w:ascii="Arial"/>
                            <w:color w:val="008FDD"/>
                            <w:w w:val="105"/>
                            <w:sz w:val="19"/>
                          </w:rPr>
                          <w:t>main</w:t>
                        </w:r>
                        <w:r>
                          <w:rPr>
                            <w:rFonts w:ascii="Arial"/>
                            <w:color w:val="008FDD"/>
                            <w:spacing w:val="40"/>
                            <w:w w:val="105"/>
                            <w:sz w:val="19"/>
                          </w:rPr>
                          <w:t> </w:t>
                        </w:r>
                        <w:r>
                          <w:rPr>
                            <w:rFonts w:ascii="Arial"/>
                            <w:color w:val="008FDD"/>
                            <w:w w:val="105"/>
                            <w:sz w:val="19"/>
                          </w:rPr>
                          <w:t>indicator</w:t>
                        </w:r>
                        <w:r>
                          <w:rPr>
                            <w:rFonts w:ascii="Arial"/>
                            <w:color w:val="008FDD"/>
                            <w:spacing w:val="40"/>
                            <w:w w:val="105"/>
                            <w:sz w:val="19"/>
                          </w:rPr>
                          <w:t> </w:t>
                        </w:r>
                        <w:r>
                          <w:rPr>
                            <w:rFonts w:ascii="Arial"/>
                            <w:color w:val="008FDD"/>
                            <w:w w:val="105"/>
                            <w:sz w:val="19"/>
                          </w:rPr>
                          <w:t>but</w:t>
                        </w:r>
                        <w:r>
                          <w:rPr>
                            <w:rFonts w:ascii="Arial"/>
                            <w:color w:val="008FDD"/>
                            <w:spacing w:val="40"/>
                            <w:w w:val="105"/>
                            <w:sz w:val="19"/>
                          </w:rPr>
                          <w:t> </w:t>
                        </w:r>
                        <w:r>
                          <w:rPr>
                            <w:rFonts w:ascii="Arial"/>
                            <w:color w:val="008FDD"/>
                            <w:w w:val="105"/>
                            <w:sz w:val="19"/>
                          </w:rPr>
                          <w:t>do</w:t>
                        </w:r>
                        <w:r>
                          <w:rPr>
                            <w:rFonts w:ascii="Arial"/>
                            <w:color w:val="008FDD"/>
                            <w:spacing w:val="40"/>
                            <w:w w:val="105"/>
                            <w:sz w:val="19"/>
                          </w:rPr>
                          <w:t> </w:t>
                        </w:r>
                        <w:r>
                          <w:rPr>
                            <w:rFonts w:ascii="Arial"/>
                            <w:color w:val="008FDD"/>
                            <w:w w:val="105"/>
                            <w:sz w:val="19"/>
                          </w:rPr>
                          <w:t>not</w:t>
                        </w:r>
                        <w:r>
                          <w:rPr>
                            <w:rFonts w:ascii="Arial"/>
                            <w:color w:val="008FDD"/>
                            <w:spacing w:val="40"/>
                            <w:w w:val="105"/>
                            <w:sz w:val="19"/>
                          </w:rPr>
                          <w:t> </w:t>
                        </w:r>
                        <w:r>
                          <w:rPr>
                            <w:rFonts w:ascii="Arial"/>
                            <w:color w:val="008FDD"/>
                            <w:w w:val="105"/>
                            <w:sz w:val="19"/>
                          </w:rPr>
                          <w:t>enter</w:t>
                        </w:r>
                        <w:r>
                          <w:rPr>
                            <w:rFonts w:ascii="Arial"/>
                            <w:color w:val="008FDD"/>
                            <w:spacing w:val="40"/>
                            <w:w w:val="105"/>
                            <w:sz w:val="19"/>
                          </w:rPr>
                          <w:t> </w:t>
                        </w:r>
                        <w:r>
                          <w:rPr>
                            <w:rFonts w:ascii="Arial"/>
                            <w:color w:val="008FDD"/>
                            <w:w w:val="105"/>
                            <w:sz w:val="19"/>
                          </w:rPr>
                          <w:t>its</w:t>
                        </w:r>
                        <w:r>
                          <w:rPr>
                            <w:rFonts w:ascii="Arial"/>
                            <w:color w:val="008FDD"/>
                            <w:spacing w:val="40"/>
                            <w:w w:val="105"/>
                            <w:sz w:val="19"/>
                          </w:rPr>
                          <w:t> </w:t>
                        </w:r>
                        <w:r>
                          <w:rPr>
                            <w:rFonts w:ascii="Arial"/>
                            <w:color w:val="008FDD"/>
                            <w:w w:val="105"/>
                            <w:sz w:val="19"/>
                          </w:rPr>
                          <w:t>score.</w:t>
                        </w:r>
                        <w:r>
                          <w:rPr>
                            <w:rFonts w:ascii="Arial"/>
                            <w:color w:val="008FDD"/>
                            <w:spacing w:val="40"/>
                            <w:w w:val="105"/>
                            <w:sz w:val="19"/>
                          </w:rPr>
                          <w:t> </w:t>
                        </w:r>
                        <w:r>
                          <w:rPr>
                            <w:rFonts w:ascii="Arial"/>
                            <w:color w:val="008FDD"/>
                            <w:w w:val="105"/>
                            <w:sz w:val="19"/>
                          </w:rPr>
                          <w:t>Hence</w:t>
                        </w:r>
                        <w:r>
                          <w:rPr>
                            <w:rFonts w:ascii="Arial"/>
                            <w:color w:val="008FDD"/>
                            <w:spacing w:val="40"/>
                            <w:w w:val="105"/>
                            <w:sz w:val="19"/>
                          </w:rPr>
                          <w:t> </w:t>
                        </w:r>
                        <w:r>
                          <w:rPr>
                            <w:rFonts w:ascii="Arial"/>
                            <w:color w:val="008FDD"/>
                            <w:w w:val="105"/>
                            <w:sz w:val="19"/>
                          </w:rPr>
                          <w:t>logistics</w:t>
                        </w:r>
                        <w:r>
                          <w:rPr>
                            <w:rFonts w:ascii="Arial"/>
                            <w:color w:val="008FDD"/>
                            <w:spacing w:val="40"/>
                            <w:w w:val="105"/>
                            <w:sz w:val="19"/>
                          </w:rPr>
                          <w:t> </w:t>
                        </w:r>
                        <w:r>
                          <w:rPr>
                            <w:rFonts w:ascii="Arial"/>
                            <w:color w:val="008FDD"/>
                            <w:w w:val="105"/>
                            <w:sz w:val="19"/>
                          </w:rPr>
                          <w:t>performance</w:t>
                        </w:r>
                        <w:r>
                          <w:rPr>
                            <w:rFonts w:ascii="Arial"/>
                            <w:color w:val="008FDD"/>
                            <w:spacing w:val="40"/>
                            <w:w w:val="105"/>
                            <w:sz w:val="19"/>
                          </w:rPr>
                          <w:t> </w:t>
                        </w:r>
                        <w:r>
                          <w:rPr>
                            <w:rFonts w:ascii="Arial"/>
                            <w:color w:val="008FDD"/>
                            <w:w w:val="105"/>
                            <w:sz w:val="19"/>
                          </w:rPr>
                          <w:t>is</w:t>
                        </w:r>
                        <w:r>
                          <w:rPr>
                            <w:rFonts w:ascii="Arial"/>
                            <w:color w:val="008FDD"/>
                            <w:spacing w:val="40"/>
                            <w:w w:val="105"/>
                            <w:sz w:val="19"/>
                          </w:rPr>
                          <w:t> </w:t>
                        </w:r>
                        <w:r>
                          <w:rPr>
                            <w:rFonts w:ascii="Arial"/>
                            <w:color w:val="008FDD"/>
                            <w:w w:val="105"/>
                            <w:sz w:val="19"/>
                          </w:rPr>
                          <w:t>measured from two different perspectives: one based on the perceptions of international logistics professionals</w:t>
                        </w:r>
                        <w:r>
                          <w:rPr>
                            <w:rFonts w:ascii="Arial"/>
                            <w:color w:val="008FDD"/>
                            <w:spacing w:val="32"/>
                            <w:w w:val="105"/>
                            <w:sz w:val="19"/>
                          </w:rPr>
                          <w:t> </w:t>
                        </w:r>
                        <w:r>
                          <w:rPr>
                            <w:rFonts w:ascii="Arial"/>
                            <w:color w:val="008FDD"/>
                            <w:w w:val="105"/>
                            <w:sz w:val="19"/>
                          </w:rPr>
                          <w:t>assessing</w:t>
                        </w:r>
                        <w:r>
                          <w:rPr>
                            <w:rFonts w:ascii="Arial"/>
                            <w:color w:val="008FDD"/>
                            <w:spacing w:val="32"/>
                            <w:w w:val="105"/>
                            <w:sz w:val="19"/>
                          </w:rPr>
                          <w:t> </w:t>
                        </w:r>
                        <w:r>
                          <w:rPr>
                            <w:rFonts w:ascii="Arial"/>
                            <w:color w:val="008FDD"/>
                            <w:w w:val="105"/>
                            <w:sz w:val="19"/>
                          </w:rPr>
                          <w:t>their</w:t>
                        </w:r>
                        <w:r>
                          <w:rPr>
                            <w:rFonts w:ascii="Arial"/>
                            <w:color w:val="008FDD"/>
                            <w:spacing w:val="32"/>
                            <w:w w:val="105"/>
                            <w:sz w:val="19"/>
                          </w:rPr>
                          <w:t> </w:t>
                        </w:r>
                        <w:r>
                          <w:rPr>
                            <w:rFonts w:ascii="Arial"/>
                            <w:color w:val="008FDD"/>
                            <w:w w:val="105"/>
                            <w:sz w:val="19"/>
                          </w:rPr>
                          <w:t>partner</w:t>
                        </w:r>
                        <w:r>
                          <w:rPr>
                            <w:rFonts w:ascii="Arial"/>
                            <w:color w:val="008FDD"/>
                            <w:spacing w:val="32"/>
                            <w:w w:val="105"/>
                            <w:sz w:val="19"/>
                          </w:rPr>
                          <w:t> </w:t>
                        </w:r>
                        <w:r>
                          <w:rPr>
                            <w:rFonts w:ascii="Arial"/>
                            <w:color w:val="008FDD"/>
                            <w:w w:val="105"/>
                            <w:sz w:val="19"/>
                          </w:rPr>
                          <w:t>countries,</w:t>
                        </w:r>
                        <w:r>
                          <w:rPr>
                            <w:rFonts w:ascii="Arial"/>
                            <w:color w:val="008FDD"/>
                            <w:spacing w:val="32"/>
                            <w:w w:val="105"/>
                            <w:sz w:val="19"/>
                          </w:rPr>
                          <w:t> </w:t>
                        </w:r>
                        <w:r>
                          <w:rPr>
                            <w:rFonts w:ascii="Arial"/>
                            <w:color w:val="008FDD"/>
                            <w:w w:val="105"/>
                            <w:sz w:val="19"/>
                          </w:rPr>
                          <w:t>the</w:t>
                        </w:r>
                        <w:r>
                          <w:rPr>
                            <w:rFonts w:ascii="Arial"/>
                            <w:color w:val="008FDD"/>
                            <w:spacing w:val="32"/>
                            <w:w w:val="105"/>
                            <w:sz w:val="19"/>
                          </w:rPr>
                          <w:t> </w:t>
                        </w:r>
                        <w:r>
                          <w:rPr>
                            <w:rFonts w:ascii="Arial"/>
                            <w:color w:val="008FDD"/>
                            <w:w w:val="105"/>
                            <w:sz w:val="19"/>
                          </w:rPr>
                          <w:t>other</w:t>
                        </w:r>
                        <w:r>
                          <w:rPr>
                            <w:rFonts w:ascii="Arial"/>
                            <w:color w:val="008FDD"/>
                            <w:spacing w:val="32"/>
                            <w:w w:val="105"/>
                            <w:sz w:val="19"/>
                          </w:rPr>
                          <w:t> </w:t>
                        </w:r>
                        <w:r>
                          <w:rPr>
                            <w:rFonts w:ascii="Arial"/>
                            <w:color w:val="008FDD"/>
                            <w:w w:val="105"/>
                            <w:sz w:val="19"/>
                          </w:rPr>
                          <w:t>one</w:t>
                        </w:r>
                        <w:r>
                          <w:rPr>
                            <w:rFonts w:ascii="Arial"/>
                            <w:color w:val="008FDD"/>
                            <w:spacing w:val="32"/>
                            <w:w w:val="105"/>
                            <w:sz w:val="19"/>
                          </w:rPr>
                          <w:t> </w:t>
                        </w:r>
                        <w:r>
                          <w:rPr>
                            <w:rFonts w:ascii="Arial"/>
                            <w:color w:val="008FDD"/>
                            <w:w w:val="105"/>
                            <w:sz w:val="19"/>
                          </w:rPr>
                          <w:t>measuring</w:t>
                        </w:r>
                        <w:r>
                          <w:rPr>
                            <w:rFonts w:ascii="Arial"/>
                            <w:color w:val="008FDD"/>
                            <w:spacing w:val="32"/>
                            <w:w w:val="105"/>
                            <w:sz w:val="19"/>
                          </w:rPr>
                          <w:t> </w:t>
                        </w:r>
                        <w:r>
                          <w:rPr>
                            <w:rFonts w:ascii="Arial"/>
                            <w:color w:val="008FDD"/>
                            <w:w w:val="105"/>
                            <w:sz w:val="19"/>
                          </w:rPr>
                          <w:t>the</w:t>
                        </w:r>
                        <w:r>
                          <w:rPr>
                            <w:rFonts w:ascii="Arial"/>
                            <w:color w:val="008FDD"/>
                            <w:spacing w:val="32"/>
                            <w:w w:val="105"/>
                            <w:sz w:val="19"/>
                          </w:rPr>
                          <w:t> </w:t>
                        </w:r>
                        <w:r>
                          <w:rPr>
                            <w:rFonts w:ascii="Arial"/>
                            <w:color w:val="008FDD"/>
                            <w:w w:val="105"/>
                            <w:sz w:val="19"/>
                          </w:rPr>
                          <w:t>actual</w:t>
                        </w:r>
                        <w:r>
                          <w:rPr>
                            <w:rFonts w:ascii="Arial"/>
                            <w:color w:val="008FDD"/>
                            <w:spacing w:val="32"/>
                            <w:w w:val="105"/>
                            <w:sz w:val="19"/>
                          </w:rPr>
                          <w:t> </w:t>
                        </w:r>
                        <w:r>
                          <w:rPr>
                            <w:rFonts w:ascii="Arial"/>
                            <w:color w:val="008FDD"/>
                            <w:w w:val="105"/>
                            <w:sz w:val="19"/>
                          </w:rPr>
                          <w:t>speed of</w:t>
                        </w:r>
                        <w:r>
                          <w:rPr>
                            <w:rFonts w:ascii="Arial"/>
                            <w:color w:val="008FDD"/>
                            <w:spacing w:val="40"/>
                            <w:w w:val="105"/>
                            <w:sz w:val="19"/>
                          </w:rPr>
                          <w:t> </w:t>
                        </w:r>
                        <w:r>
                          <w:rPr>
                            <w:rFonts w:ascii="Arial"/>
                            <w:color w:val="008FDD"/>
                            <w:w w:val="105"/>
                            <w:sz w:val="19"/>
                          </w:rPr>
                          <w:t>global</w:t>
                        </w:r>
                        <w:r>
                          <w:rPr>
                            <w:rFonts w:ascii="Arial"/>
                            <w:color w:val="008FDD"/>
                            <w:spacing w:val="40"/>
                            <w:w w:val="105"/>
                            <w:sz w:val="19"/>
                          </w:rPr>
                          <w:t> </w:t>
                        </w:r>
                        <w:r>
                          <w:rPr>
                            <w:rFonts w:ascii="Arial"/>
                            <w:color w:val="008FDD"/>
                            <w:w w:val="105"/>
                            <w:sz w:val="19"/>
                          </w:rPr>
                          <w:t>trade</w:t>
                        </w:r>
                        <w:r>
                          <w:rPr>
                            <w:rFonts w:ascii="Arial"/>
                            <w:color w:val="008FDD"/>
                            <w:spacing w:val="40"/>
                            <w:w w:val="105"/>
                            <w:sz w:val="19"/>
                          </w:rPr>
                          <w:t> </w:t>
                        </w:r>
                        <w:r>
                          <w:rPr>
                            <w:rFonts w:ascii="Arial"/>
                            <w:color w:val="008FDD"/>
                            <w:w w:val="105"/>
                            <w:sz w:val="19"/>
                          </w:rPr>
                          <w:t>by</w:t>
                        </w:r>
                        <w:r>
                          <w:rPr>
                            <w:rFonts w:ascii="Arial"/>
                            <w:color w:val="008FDD"/>
                            <w:spacing w:val="40"/>
                            <w:w w:val="105"/>
                            <w:sz w:val="19"/>
                          </w:rPr>
                          <w:t> </w:t>
                        </w:r>
                        <w:r>
                          <w:rPr>
                            <w:rFonts w:ascii="Arial"/>
                            <w:color w:val="008FDD"/>
                            <w:w w:val="105"/>
                            <w:sz w:val="19"/>
                          </w:rPr>
                          <w:t>using</w:t>
                        </w:r>
                        <w:r>
                          <w:rPr>
                            <w:rFonts w:ascii="Arial"/>
                            <w:color w:val="008FDD"/>
                            <w:spacing w:val="40"/>
                            <w:w w:val="105"/>
                            <w:sz w:val="19"/>
                          </w:rPr>
                          <w:t> </w:t>
                        </w:r>
                        <w:r>
                          <w:rPr>
                            <w:rFonts w:ascii="Arial"/>
                            <w:color w:val="008FDD"/>
                            <w:w w:val="105"/>
                            <w:sz w:val="19"/>
                          </w:rPr>
                          <w:t>supply</w:t>
                        </w:r>
                        <w:r>
                          <w:rPr>
                            <w:rFonts w:ascii="Arial"/>
                            <w:color w:val="008FDD"/>
                            <w:spacing w:val="40"/>
                            <w:w w:val="105"/>
                            <w:sz w:val="19"/>
                          </w:rPr>
                          <w:t> </w:t>
                        </w:r>
                        <w:r>
                          <w:rPr>
                            <w:rFonts w:ascii="Arial"/>
                            <w:color w:val="008FDD"/>
                            <w:w w:val="105"/>
                            <w:sz w:val="19"/>
                          </w:rPr>
                          <w:t>chain</w:t>
                        </w:r>
                        <w:r>
                          <w:rPr>
                            <w:rFonts w:ascii="Arial"/>
                            <w:color w:val="008FDD"/>
                            <w:spacing w:val="40"/>
                            <w:w w:val="105"/>
                            <w:sz w:val="19"/>
                          </w:rPr>
                          <w:t> </w:t>
                        </w:r>
                        <w:r>
                          <w:rPr>
                            <w:rFonts w:ascii="Arial"/>
                            <w:color w:val="008FDD"/>
                            <w:w w:val="105"/>
                            <w:sz w:val="19"/>
                          </w:rPr>
                          <w:t>tracking</w:t>
                        </w:r>
                        <w:r>
                          <w:rPr>
                            <w:rFonts w:ascii="Arial"/>
                            <w:color w:val="008FDD"/>
                            <w:spacing w:val="40"/>
                            <w:w w:val="105"/>
                            <w:sz w:val="19"/>
                          </w:rPr>
                          <w:t> </w:t>
                        </w:r>
                        <w:r>
                          <w:rPr>
                            <w:rFonts w:ascii="Arial"/>
                            <w:color w:val="008FDD"/>
                            <w:w w:val="105"/>
                            <w:sz w:val="19"/>
                          </w:rPr>
                          <w:t>information.</w:t>
                        </w:r>
                      </w:p>
                    </w:txbxContent>
                  </v:textbox>
                  <w10:wrap type="none"/>
                </v:shape>
              </v:group>
            </w:pict>
          </mc:Fallback>
        </mc:AlternateContent>
      </w:r>
      <w:r>
        <w:rPr>
          <w:rFonts w:ascii="Arial"/>
          <w:sz w:val="20"/>
        </w:rPr>
      </w:r>
    </w:p>
    <w:p>
      <w:pPr>
        <w:pStyle w:val="BodyText"/>
        <w:rPr>
          <w:rFonts w:ascii="Arial"/>
          <w:sz w:val="20"/>
        </w:rPr>
      </w:pPr>
    </w:p>
    <w:p>
      <w:pPr>
        <w:pStyle w:val="BodyText"/>
        <w:spacing w:before="220"/>
        <w:rPr>
          <w:rFonts w:ascii="Arial"/>
          <w:sz w:val="20"/>
        </w:rPr>
      </w:pPr>
      <w:r>
        <w:rPr/>
        <mc:AlternateContent>
          <mc:Choice Requires="wps">
            <w:drawing>
              <wp:anchor distT="0" distB="0" distL="0" distR="0" allowOverlap="1" layoutInCell="1" locked="0" behindDoc="1" simplePos="0" relativeHeight="487654400">
                <wp:simplePos x="0" y="0"/>
                <wp:positionH relativeFrom="page">
                  <wp:posOffset>525462</wp:posOffset>
                </wp:positionH>
                <wp:positionV relativeFrom="paragraph">
                  <wp:posOffset>301573</wp:posOffset>
                </wp:positionV>
                <wp:extent cx="2044700" cy="1270"/>
                <wp:effectExtent l="0" t="0" r="0" b="0"/>
                <wp:wrapTopAndBottom/>
                <wp:docPr id="2144" name="Graphic 2144"/>
                <wp:cNvGraphicFramePr>
                  <a:graphicFrameLocks/>
                </wp:cNvGraphicFramePr>
                <a:graphic>
                  <a:graphicData uri="http://schemas.microsoft.com/office/word/2010/wordprocessingShape">
                    <wps:wsp>
                      <wps:cNvPr id="2144" name="Graphic 2144"/>
                      <wps:cNvSpPr/>
                      <wps:spPr>
                        <a:xfrm>
                          <a:off x="0" y="0"/>
                          <a:ext cx="2044700" cy="1270"/>
                        </a:xfrm>
                        <a:custGeom>
                          <a:avLst/>
                          <a:gdLst/>
                          <a:ahLst/>
                          <a:cxnLst/>
                          <a:rect l="l" t="t" r="r" b="b"/>
                          <a:pathLst>
                            <a:path w="2044700" h="0">
                              <a:moveTo>
                                <a:pt x="0" y="0"/>
                              </a:moveTo>
                              <a:lnTo>
                                <a:pt x="2044700"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1.375pt;margin-top:23.745977pt;width:161pt;height:.1pt;mso-position-horizontal-relative:page;mso-position-vertical-relative:paragraph;z-index:-15662080;mso-wrap-distance-left:0;mso-wrap-distance-right:0" id="docshape1853" coordorigin="828,475" coordsize="3220,0" path="m828,475l4048,475e" filled="false" stroked="true" strokeweight=".25pt" strokecolor="#231f20">
                <v:path arrowok="t"/>
                <v:stroke dashstyle="solid"/>
                <w10:wrap type="topAndBottom"/>
              </v:shape>
            </w:pict>
          </mc:Fallback>
        </mc:AlternateContent>
      </w:r>
    </w:p>
    <w:p>
      <w:pPr>
        <w:pStyle w:val="BodyText"/>
        <w:spacing w:before="205"/>
        <w:rPr>
          <w:rFonts w:ascii="Arial"/>
          <w:sz w:val="19"/>
        </w:rPr>
      </w:pPr>
    </w:p>
    <w:p>
      <w:pPr>
        <w:spacing w:line="290" w:lineRule="auto" w:before="0"/>
        <w:ind w:left="5331" w:right="164" w:firstLine="0"/>
        <w:jc w:val="both"/>
        <w:rPr>
          <w:rFonts w:ascii="Arial"/>
          <w:sz w:val="19"/>
        </w:rPr>
      </w:pPr>
      <w:r>
        <w:rPr/>
        <mc:AlternateContent>
          <mc:Choice Requires="wps">
            <w:drawing>
              <wp:anchor distT="0" distB="0" distL="0" distR="0" allowOverlap="1" layoutInCell="1" locked="0" behindDoc="0" simplePos="0" relativeHeight="15796736">
                <wp:simplePos x="0" y="0"/>
                <wp:positionH relativeFrom="page">
                  <wp:posOffset>525462</wp:posOffset>
                </wp:positionH>
                <wp:positionV relativeFrom="paragraph">
                  <wp:posOffset>597299</wp:posOffset>
                </wp:positionV>
                <wp:extent cx="2044700" cy="1270"/>
                <wp:effectExtent l="0" t="0" r="0" b="0"/>
                <wp:wrapNone/>
                <wp:docPr id="2145" name="Graphic 2145"/>
                <wp:cNvGraphicFramePr>
                  <a:graphicFrameLocks/>
                </wp:cNvGraphicFramePr>
                <a:graphic>
                  <a:graphicData uri="http://schemas.microsoft.com/office/word/2010/wordprocessingShape">
                    <wps:wsp>
                      <wps:cNvPr id="2145" name="Graphic 2145"/>
                      <wps:cNvSpPr/>
                      <wps:spPr>
                        <a:xfrm>
                          <a:off x="0" y="0"/>
                          <a:ext cx="2044700" cy="1270"/>
                        </a:xfrm>
                        <a:custGeom>
                          <a:avLst/>
                          <a:gdLst/>
                          <a:ahLst/>
                          <a:cxnLst/>
                          <a:rect l="l" t="t" r="r" b="b"/>
                          <a:pathLst>
                            <a:path w="2044700" h="0">
                              <a:moveTo>
                                <a:pt x="0" y="0"/>
                              </a:moveTo>
                              <a:lnTo>
                                <a:pt x="2044700"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6736" from="41.375pt,47.031429pt" to="202.375pt,47.031429pt" stroked="true" strokeweight=".25pt" strokecolor="#231f20">
                <v:stroke dashstyle="solid"/>
                <w10:wrap type="none"/>
              </v:line>
            </w:pict>
          </mc:Fallback>
        </mc:AlternateContent>
      </w:r>
      <w:r>
        <w:rPr/>
        <w:drawing>
          <wp:anchor distT="0" distB="0" distL="0" distR="0" allowOverlap="1" layoutInCell="1" locked="0" behindDoc="0" simplePos="0" relativeHeight="15797248">
            <wp:simplePos x="0" y="0"/>
            <wp:positionH relativeFrom="page">
              <wp:posOffset>525463</wp:posOffset>
            </wp:positionH>
            <wp:positionV relativeFrom="paragraph">
              <wp:posOffset>748714</wp:posOffset>
            </wp:positionV>
            <wp:extent cx="607291" cy="564823"/>
            <wp:effectExtent l="0" t="0" r="0" b="0"/>
            <wp:wrapNone/>
            <wp:docPr id="2146" name="Image 2146"/>
            <wp:cNvGraphicFramePr>
              <a:graphicFrameLocks/>
            </wp:cNvGraphicFramePr>
            <a:graphic>
              <a:graphicData uri="http://schemas.openxmlformats.org/drawingml/2006/picture">
                <pic:pic>
                  <pic:nvPicPr>
                    <pic:cNvPr id="2146" name="Image 2146"/>
                    <pic:cNvPicPr/>
                  </pic:nvPicPr>
                  <pic:blipFill>
                    <a:blip r:embed="rId214" cstate="print"/>
                    <a:stretch>
                      <a:fillRect/>
                    </a:stretch>
                  </pic:blipFill>
                  <pic:spPr>
                    <a:xfrm>
                      <a:off x="0" y="0"/>
                      <a:ext cx="607291" cy="564823"/>
                    </a:xfrm>
                    <a:prstGeom prst="rect">
                      <a:avLst/>
                    </a:prstGeom>
                  </pic:spPr>
                </pic:pic>
              </a:graphicData>
            </a:graphic>
          </wp:anchor>
        </w:drawing>
      </w:r>
      <w:r>
        <w:rPr/>
        <w:drawing>
          <wp:anchor distT="0" distB="0" distL="0" distR="0" allowOverlap="1" layoutInCell="1" locked="0" behindDoc="0" simplePos="0" relativeHeight="15797760">
            <wp:simplePos x="0" y="0"/>
            <wp:positionH relativeFrom="page">
              <wp:posOffset>1298296</wp:posOffset>
            </wp:positionH>
            <wp:positionV relativeFrom="paragraph">
              <wp:posOffset>847614</wp:posOffset>
            </wp:positionV>
            <wp:extent cx="1226901" cy="357662"/>
            <wp:effectExtent l="0" t="0" r="0" b="0"/>
            <wp:wrapNone/>
            <wp:docPr id="2147" name="Image 2147"/>
            <wp:cNvGraphicFramePr>
              <a:graphicFrameLocks/>
            </wp:cNvGraphicFramePr>
            <a:graphic>
              <a:graphicData uri="http://schemas.openxmlformats.org/drawingml/2006/picture">
                <pic:pic>
                  <pic:nvPicPr>
                    <pic:cNvPr id="2147" name="Image 2147"/>
                    <pic:cNvPicPr/>
                  </pic:nvPicPr>
                  <pic:blipFill>
                    <a:blip r:embed="rId215" cstate="print"/>
                    <a:stretch>
                      <a:fillRect/>
                    </a:stretch>
                  </pic:blipFill>
                  <pic:spPr>
                    <a:xfrm>
                      <a:off x="0" y="0"/>
                      <a:ext cx="1226901" cy="357662"/>
                    </a:xfrm>
                    <a:prstGeom prst="rect">
                      <a:avLst/>
                    </a:prstGeom>
                  </pic:spPr>
                </pic:pic>
              </a:graphicData>
            </a:graphic>
          </wp:anchor>
        </w:drawing>
      </w:r>
      <w:r>
        <w:rPr/>
        <mc:AlternateContent>
          <mc:Choice Requires="wps">
            <w:drawing>
              <wp:anchor distT="0" distB="0" distL="0" distR="0" allowOverlap="1" layoutInCell="1" locked="0" behindDoc="0" simplePos="0" relativeHeight="15798784">
                <wp:simplePos x="0" y="0"/>
                <wp:positionH relativeFrom="page">
                  <wp:posOffset>525462</wp:posOffset>
                </wp:positionH>
                <wp:positionV relativeFrom="paragraph">
                  <wp:posOffset>-35294</wp:posOffset>
                </wp:positionV>
                <wp:extent cx="1994535" cy="397510"/>
                <wp:effectExtent l="0" t="0" r="0" b="0"/>
                <wp:wrapNone/>
                <wp:docPr id="2148" name="Group 2148"/>
                <wp:cNvGraphicFramePr>
                  <a:graphicFrameLocks/>
                </wp:cNvGraphicFramePr>
                <a:graphic>
                  <a:graphicData uri="http://schemas.microsoft.com/office/word/2010/wordprocessingGroup">
                    <wpg:wgp>
                      <wpg:cNvPr id="2148" name="Group 2148"/>
                      <wpg:cNvGrpSpPr/>
                      <wpg:grpSpPr>
                        <a:xfrm>
                          <a:off x="0" y="0"/>
                          <a:ext cx="1994535" cy="397510"/>
                          <a:chExt cx="1994535" cy="397510"/>
                        </a:xfrm>
                      </wpg:grpSpPr>
                      <pic:pic>
                        <pic:nvPicPr>
                          <pic:cNvPr id="2149" name="Image 2149"/>
                          <pic:cNvPicPr/>
                        </pic:nvPicPr>
                        <pic:blipFill>
                          <a:blip r:embed="rId216" cstate="print"/>
                          <a:stretch>
                            <a:fillRect/>
                          </a:stretch>
                        </pic:blipFill>
                        <pic:spPr>
                          <a:xfrm>
                            <a:off x="0" y="0"/>
                            <a:ext cx="397514" cy="397510"/>
                          </a:xfrm>
                          <a:prstGeom prst="rect">
                            <a:avLst/>
                          </a:prstGeom>
                        </pic:spPr>
                      </pic:pic>
                      <wps:wsp>
                        <wps:cNvPr id="2150" name="Graphic 2150"/>
                        <wps:cNvSpPr/>
                        <wps:spPr>
                          <a:xfrm>
                            <a:off x="441426" y="88544"/>
                            <a:ext cx="100965" cy="124460"/>
                          </a:xfrm>
                          <a:custGeom>
                            <a:avLst/>
                            <a:gdLst/>
                            <a:ahLst/>
                            <a:cxnLst/>
                            <a:rect l="l" t="t" r="r" b="b"/>
                            <a:pathLst>
                              <a:path w="100965" h="124460">
                                <a:moveTo>
                                  <a:pt x="100380" y="0"/>
                                </a:moveTo>
                                <a:lnTo>
                                  <a:pt x="0" y="0"/>
                                </a:lnTo>
                                <a:lnTo>
                                  <a:pt x="0" y="20320"/>
                                </a:lnTo>
                                <a:lnTo>
                                  <a:pt x="36893" y="20320"/>
                                </a:lnTo>
                                <a:lnTo>
                                  <a:pt x="36893" y="124460"/>
                                </a:lnTo>
                                <a:lnTo>
                                  <a:pt x="63512" y="124460"/>
                                </a:lnTo>
                                <a:lnTo>
                                  <a:pt x="63512" y="20320"/>
                                </a:lnTo>
                                <a:lnTo>
                                  <a:pt x="100380" y="20320"/>
                                </a:lnTo>
                                <a:lnTo>
                                  <a:pt x="100380" y="0"/>
                                </a:lnTo>
                                <a:close/>
                              </a:path>
                            </a:pathLst>
                          </a:custGeom>
                          <a:solidFill>
                            <a:srgbClr val="002240"/>
                          </a:solidFill>
                        </wps:spPr>
                        <wps:bodyPr wrap="square" lIns="0" tIns="0" rIns="0" bIns="0" rtlCol="0">
                          <a:prstTxWarp prst="textNoShape">
                            <a:avLst/>
                          </a:prstTxWarp>
                          <a:noAutofit/>
                        </wps:bodyPr>
                      </wps:wsp>
                      <pic:pic>
                        <pic:nvPicPr>
                          <pic:cNvPr id="2151" name="Image 2151"/>
                          <pic:cNvPicPr/>
                        </pic:nvPicPr>
                        <pic:blipFill>
                          <a:blip r:embed="rId217" cstate="print"/>
                          <a:stretch>
                            <a:fillRect/>
                          </a:stretch>
                        </pic:blipFill>
                        <pic:spPr>
                          <a:xfrm>
                            <a:off x="476707" y="85956"/>
                            <a:ext cx="1517409" cy="241851"/>
                          </a:xfrm>
                          <a:prstGeom prst="rect">
                            <a:avLst/>
                          </a:prstGeom>
                        </pic:spPr>
                      </pic:pic>
                    </wpg:wgp>
                  </a:graphicData>
                </a:graphic>
              </wp:anchor>
            </w:drawing>
          </mc:Choice>
          <mc:Fallback>
            <w:pict>
              <v:group style="position:absolute;margin-left:41.375pt;margin-top:-2.779069pt;width:157.050pt;height:31.3pt;mso-position-horizontal-relative:page;mso-position-vertical-relative:paragraph;z-index:15798784" id="docshapegroup1854" coordorigin="828,-56" coordsize="3141,626">
                <v:shape style="position:absolute;left:827;top:-56;width:626;height:626" type="#_x0000_t75" id="docshape1855" stroked="false">
                  <v:imagedata r:id="rId216" o:title=""/>
                </v:shape>
                <v:shape style="position:absolute;left:1522;top:83;width:159;height:196" id="docshape1856" coordorigin="1523,84" coordsize="159,196" path="m1681,84l1523,84,1523,116,1581,116,1581,280,1623,280,1623,116,1681,116,1681,84xe" filled="true" fillcolor="#002240" stroked="false">
                  <v:path arrowok="t"/>
                  <v:fill type="solid"/>
                </v:shape>
                <v:shape style="position:absolute;left:1578;top:79;width:2390;height:381" type="#_x0000_t75" id="docshape1857" stroked="false">
                  <v:imagedata r:id="rId217" o:title=""/>
                </v:shape>
                <w10:wrap type="none"/>
              </v:group>
            </w:pict>
          </mc:Fallback>
        </mc:AlternateContent>
      </w:r>
      <w:r>
        <w:rPr/>
        <w:drawing>
          <wp:anchor distT="0" distB="0" distL="0" distR="0" allowOverlap="1" layoutInCell="1" locked="0" behindDoc="0" simplePos="0" relativeHeight="15799296">
            <wp:simplePos x="0" y="0"/>
            <wp:positionH relativeFrom="page">
              <wp:posOffset>525429</wp:posOffset>
            </wp:positionH>
            <wp:positionV relativeFrom="paragraph">
              <wp:posOffset>1679727</wp:posOffset>
            </wp:positionV>
            <wp:extent cx="423392" cy="485139"/>
            <wp:effectExtent l="0" t="0" r="0" b="0"/>
            <wp:wrapNone/>
            <wp:docPr id="2152" name="Image 2152"/>
            <wp:cNvGraphicFramePr>
              <a:graphicFrameLocks/>
            </wp:cNvGraphicFramePr>
            <a:graphic>
              <a:graphicData uri="http://schemas.openxmlformats.org/drawingml/2006/picture">
                <pic:pic>
                  <pic:nvPicPr>
                    <pic:cNvPr id="2152" name="Image 2152"/>
                    <pic:cNvPicPr/>
                  </pic:nvPicPr>
                  <pic:blipFill>
                    <a:blip r:embed="rId218" cstate="print"/>
                    <a:stretch>
                      <a:fillRect/>
                    </a:stretch>
                  </pic:blipFill>
                  <pic:spPr>
                    <a:xfrm>
                      <a:off x="0" y="0"/>
                      <a:ext cx="423392" cy="485139"/>
                    </a:xfrm>
                    <a:prstGeom prst="rect">
                      <a:avLst/>
                    </a:prstGeom>
                  </pic:spPr>
                </pic:pic>
              </a:graphicData>
            </a:graphic>
          </wp:anchor>
        </w:drawing>
      </w:r>
      <w:r>
        <w:rPr/>
        <mc:AlternateContent>
          <mc:Choice Requires="wps">
            <w:drawing>
              <wp:anchor distT="0" distB="0" distL="0" distR="0" allowOverlap="1" layoutInCell="1" locked="0" behindDoc="0" simplePos="0" relativeHeight="15799808">
                <wp:simplePos x="0" y="0"/>
                <wp:positionH relativeFrom="page">
                  <wp:posOffset>1065805</wp:posOffset>
                </wp:positionH>
                <wp:positionV relativeFrom="paragraph">
                  <wp:posOffset>1710200</wp:posOffset>
                </wp:positionV>
                <wp:extent cx="1197610" cy="152400"/>
                <wp:effectExtent l="0" t="0" r="0" b="0"/>
                <wp:wrapNone/>
                <wp:docPr id="2153" name="Group 2153"/>
                <wp:cNvGraphicFramePr>
                  <a:graphicFrameLocks/>
                </wp:cNvGraphicFramePr>
                <a:graphic>
                  <a:graphicData uri="http://schemas.microsoft.com/office/word/2010/wordprocessingGroup">
                    <wpg:wgp>
                      <wpg:cNvPr id="2153" name="Group 2153"/>
                      <wpg:cNvGrpSpPr/>
                      <wpg:grpSpPr>
                        <a:xfrm>
                          <a:off x="0" y="0"/>
                          <a:ext cx="1197610" cy="152400"/>
                          <a:chExt cx="1197610" cy="152400"/>
                        </a:xfrm>
                      </wpg:grpSpPr>
                      <pic:pic>
                        <pic:nvPicPr>
                          <pic:cNvPr id="2154" name="Image 2154"/>
                          <pic:cNvPicPr/>
                        </pic:nvPicPr>
                        <pic:blipFill>
                          <a:blip r:embed="rId219" cstate="print"/>
                          <a:stretch>
                            <a:fillRect/>
                          </a:stretch>
                        </pic:blipFill>
                        <pic:spPr>
                          <a:xfrm>
                            <a:off x="0" y="2837"/>
                            <a:ext cx="122288" cy="149098"/>
                          </a:xfrm>
                          <a:prstGeom prst="rect">
                            <a:avLst/>
                          </a:prstGeom>
                        </pic:spPr>
                      </pic:pic>
                      <pic:pic>
                        <pic:nvPicPr>
                          <pic:cNvPr id="2155" name="Image 2155"/>
                          <pic:cNvPicPr/>
                        </pic:nvPicPr>
                        <pic:blipFill>
                          <a:blip r:embed="rId220" cstate="print"/>
                          <a:stretch>
                            <a:fillRect/>
                          </a:stretch>
                        </pic:blipFill>
                        <pic:spPr>
                          <a:xfrm>
                            <a:off x="155002" y="609"/>
                            <a:ext cx="121475" cy="150723"/>
                          </a:xfrm>
                          <a:prstGeom prst="rect">
                            <a:avLst/>
                          </a:prstGeom>
                        </pic:spPr>
                      </pic:pic>
                      <pic:pic>
                        <pic:nvPicPr>
                          <pic:cNvPr id="2156" name="Image 2156"/>
                          <pic:cNvPicPr/>
                        </pic:nvPicPr>
                        <pic:blipFill>
                          <a:blip r:embed="rId221" cstate="print"/>
                          <a:stretch>
                            <a:fillRect/>
                          </a:stretch>
                        </pic:blipFill>
                        <pic:spPr>
                          <a:xfrm>
                            <a:off x="311230" y="2844"/>
                            <a:ext cx="306330" cy="148488"/>
                          </a:xfrm>
                          <a:prstGeom prst="rect">
                            <a:avLst/>
                          </a:prstGeom>
                        </pic:spPr>
                      </pic:pic>
                      <pic:pic>
                        <pic:nvPicPr>
                          <pic:cNvPr id="2157" name="Image 2157"/>
                          <pic:cNvPicPr/>
                        </pic:nvPicPr>
                        <pic:blipFill>
                          <a:blip r:embed="rId222" cstate="print"/>
                          <a:stretch>
                            <a:fillRect/>
                          </a:stretch>
                        </pic:blipFill>
                        <pic:spPr>
                          <a:xfrm>
                            <a:off x="642971" y="0"/>
                            <a:ext cx="226904" cy="151942"/>
                          </a:xfrm>
                          <a:prstGeom prst="rect">
                            <a:avLst/>
                          </a:prstGeom>
                        </pic:spPr>
                      </pic:pic>
                      <wps:wsp>
                        <wps:cNvPr id="2158" name="Graphic 2158"/>
                        <wps:cNvSpPr/>
                        <wps:spPr>
                          <a:xfrm>
                            <a:off x="894261" y="2851"/>
                            <a:ext cx="31750" cy="146685"/>
                          </a:xfrm>
                          <a:custGeom>
                            <a:avLst/>
                            <a:gdLst/>
                            <a:ahLst/>
                            <a:cxnLst/>
                            <a:rect l="l" t="t" r="r" b="b"/>
                            <a:pathLst>
                              <a:path w="31750" h="146685">
                                <a:moveTo>
                                  <a:pt x="31280" y="0"/>
                                </a:moveTo>
                                <a:lnTo>
                                  <a:pt x="0" y="0"/>
                                </a:lnTo>
                                <a:lnTo>
                                  <a:pt x="0" y="146253"/>
                                </a:lnTo>
                                <a:lnTo>
                                  <a:pt x="31280" y="146253"/>
                                </a:lnTo>
                                <a:lnTo>
                                  <a:pt x="31280" y="0"/>
                                </a:lnTo>
                                <a:close/>
                              </a:path>
                            </a:pathLst>
                          </a:custGeom>
                          <a:solidFill>
                            <a:srgbClr val="231F20"/>
                          </a:solidFill>
                        </wps:spPr>
                        <wps:bodyPr wrap="square" lIns="0" tIns="0" rIns="0" bIns="0" rtlCol="0">
                          <a:prstTxWarp prst="textNoShape">
                            <a:avLst/>
                          </a:prstTxWarp>
                          <a:noAutofit/>
                        </wps:bodyPr>
                      </wps:wsp>
                      <pic:pic>
                        <pic:nvPicPr>
                          <pic:cNvPr id="2159" name="Image 2159"/>
                          <pic:cNvPicPr/>
                        </pic:nvPicPr>
                        <pic:blipFill>
                          <a:blip r:embed="rId223" cstate="print"/>
                          <a:stretch>
                            <a:fillRect/>
                          </a:stretch>
                        </pic:blipFill>
                        <pic:spPr>
                          <a:xfrm>
                            <a:off x="946472" y="2377"/>
                            <a:ext cx="251075" cy="147320"/>
                          </a:xfrm>
                          <a:prstGeom prst="rect">
                            <a:avLst/>
                          </a:prstGeom>
                        </pic:spPr>
                      </pic:pic>
                    </wpg:wgp>
                  </a:graphicData>
                </a:graphic>
              </wp:anchor>
            </w:drawing>
          </mc:Choice>
          <mc:Fallback>
            <w:pict>
              <v:group style="position:absolute;margin-left:83.9217pt;margin-top:134.661423pt;width:94.3pt;height:12pt;mso-position-horizontal-relative:page;mso-position-vertical-relative:paragraph;z-index:15799808" id="docshapegroup1858" coordorigin="1678,2693" coordsize="1886,240">
                <v:shape style="position:absolute;left:1678;top:2697;width:193;height:235" type="#_x0000_t75" id="docshape1859" stroked="false">
                  <v:imagedata r:id="rId219" o:title=""/>
                </v:shape>
                <v:shape style="position:absolute;left:1922;top:2694;width:192;height:238" type="#_x0000_t75" id="docshape1860" stroked="false">
                  <v:imagedata r:id="rId220" o:title=""/>
                </v:shape>
                <v:shape style="position:absolute;left:2168;top:2697;width:483;height:234" type="#_x0000_t75" id="docshape1861" stroked="false">
                  <v:imagedata r:id="rId221" o:title=""/>
                </v:shape>
                <v:shape style="position:absolute;left:2690;top:2693;width:358;height:240" type="#_x0000_t75" id="docshape1862" stroked="false">
                  <v:imagedata r:id="rId222" o:title=""/>
                </v:shape>
                <v:rect style="position:absolute;left:3086;top:2697;width:50;height:231" id="docshape1863" filled="true" fillcolor="#231f20" stroked="false">
                  <v:fill type="solid"/>
                </v:rect>
                <v:shape style="position:absolute;left:3168;top:2696;width:396;height:232" type="#_x0000_t75" id="docshape1864" stroked="false">
                  <v:imagedata r:id="rId223" o:title=""/>
                </v:shape>
                <w10:wrap type="none"/>
              </v:group>
            </w:pict>
          </mc:Fallback>
        </mc:AlternateContent>
      </w:r>
      <w:r>
        <w:rPr>
          <w:rFonts w:ascii="Arial"/>
          <w:color w:val="008FDD"/>
          <w:w w:val="105"/>
          <w:sz w:val="19"/>
        </w:rPr>
        <w:t>This</w:t>
      </w:r>
      <w:r>
        <w:rPr>
          <w:rFonts w:ascii="Arial"/>
          <w:color w:val="008FDD"/>
          <w:w w:val="105"/>
          <w:sz w:val="19"/>
        </w:rPr>
        <w:t> is</w:t>
      </w:r>
      <w:r>
        <w:rPr>
          <w:rFonts w:ascii="Arial"/>
          <w:color w:val="008FDD"/>
          <w:w w:val="105"/>
          <w:sz w:val="19"/>
        </w:rPr>
        <w:t> the</w:t>
      </w:r>
      <w:r>
        <w:rPr>
          <w:rFonts w:ascii="Arial"/>
          <w:color w:val="008FDD"/>
          <w:w w:val="105"/>
          <w:sz w:val="19"/>
        </w:rPr>
        <w:t> seventh</w:t>
      </w:r>
      <w:r>
        <w:rPr>
          <w:rFonts w:ascii="Arial"/>
          <w:color w:val="008FDD"/>
          <w:w w:val="105"/>
          <w:sz w:val="19"/>
        </w:rPr>
        <w:t> edition</w:t>
      </w:r>
      <w:r>
        <w:rPr>
          <w:rFonts w:ascii="Arial"/>
          <w:color w:val="008FDD"/>
          <w:w w:val="105"/>
          <w:sz w:val="19"/>
        </w:rPr>
        <w:t> of</w:t>
      </w:r>
      <w:r>
        <w:rPr>
          <w:rFonts w:ascii="Arial"/>
          <w:color w:val="008FDD"/>
          <w:w w:val="105"/>
          <w:sz w:val="19"/>
        </w:rPr>
        <w:t> Connecting</w:t>
      </w:r>
      <w:r>
        <w:rPr>
          <w:rFonts w:ascii="Arial"/>
          <w:color w:val="008FDD"/>
          <w:w w:val="105"/>
          <w:sz w:val="19"/>
        </w:rPr>
        <w:t> to</w:t>
      </w:r>
      <w:r>
        <w:rPr>
          <w:rFonts w:ascii="Arial"/>
          <w:color w:val="008FDD"/>
          <w:w w:val="105"/>
          <w:sz w:val="19"/>
        </w:rPr>
        <w:t> Compete,</w:t>
      </w:r>
      <w:r>
        <w:rPr>
          <w:rFonts w:ascii="Arial"/>
          <w:color w:val="008FDD"/>
          <w:w w:val="105"/>
          <w:sz w:val="19"/>
        </w:rPr>
        <w:t> a</w:t>
      </w:r>
      <w:r>
        <w:rPr>
          <w:rFonts w:ascii="Arial"/>
          <w:color w:val="008FDD"/>
          <w:w w:val="105"/>
          <w:sz w:val="19"/>
        </w:rPr>
        <w:t> report summarizing the findings from the new dataset for the Logistics Performance</w:t>
      </w:r>
      <w:r>
        <w:rPr>
          <w:rFonts w:ascii="Arial"/>
          <w:color w:val="008FDD"/>
          <w:spacing w:val="80"/>
          <w:w w:val="105"/>
          <w:sz w:val="19"/>
        </w:rPr>
        <w:t> </w:t>
      </w:r>
      <w:r>
        <w:rPr>
          <w:rFonts w:ascii="Arial"/>
          <w:color w:val="008FDD"/>
          <w:w w:val="105"/>
          <w:sz w:val="19"/>
        </w:rPr>
        <w:t>Index</w:t>
      </w:r>
      <w:r>
        <w:rPr>
          <w:rFonts w:ascii="Arial"/>
          <w:color w:val="008FDD"/>
          <w:spacing w:val="80"/>
          <w:w w:val="105"/>
          <w:sz w:val="19"/>
        </w:rPr>
        <w:t> </w:t>
      </w:r>
      <w:r>
        <w:rPr>
          <w:rFonts w:ascii="Arial"/>
          <w:color w:val="008FDD"/>
          <w:w w:val="105"/>
          <w:sz w:val="19"/>
        </w:rPr>
        <w:t>(LPI)</w:t>
      </w:r>
      <w:r>
        <w:rPr>
          <w:rFonts w:ascii="Arial"/>
          <w:color w:val="008FDD"/>
          <w:spacing w:val="80"/>
          <w:w w:val="105"/>
          <w:sz w:val="19"/>
        </w:rPr>
        <w:t> </w:t>
      </w:r>
      <w:r>
        <w:rPr>
          <w:rFonts w:ascii="Arial"/>
          <w:color w:val="008FDD"/>
          <w:w w:val="105"/>
          <w:sz w:val="19"/>
        </w:rPr>
        <w:t>and</w:t>
      </w:r>
      <w:r>
        <w:rPr>
          <w:rFonts w:ascii="Arial"/>
          <w:color w:val="008FDD"/>
          <w:spacing w:val="80"/>
          <w:w w:val="105"/>
          <w:sz w:val="19"/>
        </w:rPr>
        <w:t> </w:t>
      </w:r>
      <w:r>
        <w:rPr>
          <w:rFonts w:ascii="Arial"/>
          <w:color w:val="008FDD"/>
          <w:w w:val="105"/>
          <w:sz w:val="19"/>
        </w:rPr>
        <w:t>its</w:t>
      </w:r>
      <w:r>
        <w:rPr>
          <w:rFonts w:ascii="Arial"/>
          <w:color w:val="008FDD"/>
          <w:spacing w:val="80"/>
          <w:w w:val="105"/>
          <w:sz w:val="19"/>
        </w:rPr>
        <w:t> </w:t>
      </w:r>
      <w:r>
        <w:rPr>
          <w:rFonts w:ascii="Arial"/>
          <w:color w:val="008FDD"/>
          <w:w w:val="105"/>
          <w:sz w:val="19"/>
        </w:rPr>
        <w:t>component</w:t>
      </w:r>
      <w:r>
        <w:rPr>
          <w:rFonts w:ascii="Arial"/>
          <w:color w:val="008FDD"/>
          <w:spacing w:val="80"/>
          <w:w w:val="105"/>
          <w:sz w:val="19"/>
        </w:rPr>
        <w:t> </w:t>
      </w:r>
      <w:r>
        <w:rPr>
          <w:rFonts w:ascii="Arial"/>
          <w:color w:val="008FDD"/>
          <w:w w:val="105"/>
          <w:sz w:val="19"/>
        </w:rPr>
        <w:t>indicators.</w:t>
      </w:r>
      <w:r>
        <w:rPr>
          <w:rFonts w:ascii="Arial"/>
          <w:color w:val="008FDD"/>
          <w:spacing w:val="80"/>
          <w:w w:val="105"/>
          <w:sz w:val="19"/>
        </w:rPr>
        <w:t> </w:t>
      </w:r>
      <w:r>
        <w:rPr>
          <w:rFonts w:ascii="Arial"/>
          <w:color w:val="008FDD"/>
          <w:w w:val="105"/>
          <w:sz w:val="19"/>
        </w:rPr>
        <w:t>The 2023</w:t>
      </w:r>
      <w:r>
        <w:rPr>
          <w:rFonts w:ascii="Arial"/>
          <w:color w:val="008FDD"/>
          <w:w w:val="105"/>
          <w:sz w:val="19"/>
        </w:rPr>
        <w:t> LPI</w:t>
      </w:r>
      <w:r>
        <w:rPr>
          <w:rFonts w:ascii="Arial"/>
          <w:color w:val="008FDD"/>
          <w:w w:val="105"/>
          <w:sz w:val="19"/>
        </w:rPr>
        <w:t> encapsulates</w:t>
      </w:r>
      <w:r>
        <w:rPr>
          <w:rFonts w:ascii="Arial"/>
          <w:color w:val="008FDD"/>
          <w:w w:val="105"/>
          <w:sz w:val="19"/>
        </w:rPr>
        <w:t> the</w:t>
      </w:r>
      <w:r>
        <w:rPr>
          <w:rFonts w:ascii="Arial"/>
          <w:color w:val="008FDD"/>
          <w:w w:val="105"/>
          <w:sz w:val="19"/>
        </w:rPr>
        <w:t> firsthand</w:t>
      </w:r>
      <w:r>
        <w:rPr>
          <w:rFonts w:ascii="Arial"/>
          <w:color w:val="008FDD"/>
          <w:w w:val="105"/>
          <w:sz w:val="19"/>
        </w:rPr>
        <w:t> knowledge</w:t>
      </w:r>
      <w:r>
        <w:rPr>
          <w:rFonts w:ascii="Arial"/>
          <w:color w:val="008FDD"/>
          <w:w w:val="105"/>
          <w:sz w:val="19"/>
        </w:rPr>
        <w:t> of</w:t>
      </w:r>
      <w:r>
        <w:rPr>
          <w:rFonts w:ascii="Arial"/>
          <w:color w:val="008FDD"/>
          <w:w w:val="105"/>
          <w:sz w:val="19"/>
        </w:rPr>
        <w:t> movers</w:t>
      </w:r>
      <w:r>
        <w:rPr>
          <w:rFonts w:ascii="Arial"/>
          <w:color w:val="008FDD"/>
          <w:w w:val="105"/>
          <w:sz w:val="19"/>
        </w:rPr>
        <w:t> of international</w:t>
      </w:r>
      <w:r>
        <w:rPr>
          <w:rFonts w:ascii="Arial"/>
          <w:color w:val="008FDD"/>
          <w:spacing w:val="40"/>
          <w:w w:val="105"/>
          <w:sz w:val="19"/>
        </w:rPr>
        <w:t> </w:t>
      </w:r>
      <w:r>
        <w:rPr>
          <w:rFonts w:ascii="Arial"/>
          <w:color w:val="008FDD"/>
          <w:w w:val="105"/>
          <w:sz w:val="19"/>
        </w:rPr>
        <w:t>trade</w:t>
      </w:r>
      <w:r>
        <w:rPr>
          <w:rFonts w:ascii="Arial"/>
          <w:color w:val="008FDD"/>
          <w:spacing w:val="40"/>
          <w:w w:val="105"/>
          <w:sz w:val="19"/>
        </w:rPr>
        <w:t> </w:t>
      </w:r>
      <w:r>
        <w:rPr>
          <w:rFonts w:ascii="Arial"/>
          <w:color w:val="008FDD"/>
          <w:w w:val="105"/>
          <w:sz w:val="19"/>
        </w:rPr>
        <w:t>and</w:t>
      </w:r>
      <w:r>
        <w:rPr>
          <w:rFonts w:ascii="Arial"/>
          <w:color w:val="008FDD"/>
          <w:spacing w:val="40"/>
          <w:w w:val="105"/>
          <w:sz w:val="19"/>
        </w:rPr>
        <w:t> </w:t>
      </w:r>
      <w:r>
        <w:rPr>
          <w:rFonts w:ascii="Arial"/>
          <w:color w:val="008FDD"/>
          <w:w w:val="105"/>
          <w:sz w:val="19"/>
        </w:rPr>
        <w:t>evidence</w:t>
      </w:r>
      <w:r>
        <w:rPr>
          <w:rFonts w:ascii="Arial"/>
          <w:color w:val="008FDD"/>
          <w:spacing w:val="40"/>
          <w:w w:val="105"/>
          <w:sz w:val="19"/>
        </w:rPr>
        <w:t> </w:t>
      </w:r>
      <w:r>
        <w:rPr>
          <w:rFonts w:ascii="Arial"/>
          <w:color w:val="008FDD"/>
          <w:w w:val="105"/>
          <w:sz w:val="19"/>
        </w:rPr>
        <w:t>from</w:t>
      </w:r>
      <w:r>
        <w:rPr>
          <w:rFonts w:ascii="Arial"/>
          <w:color w:val="008FDD"/>
          <w:spacing w:val="40"/>
          <w:w w:val="105"/>
          <w:sz w:val="19"/>
        </w:rPr>
        <w:t> </w:t>
      </w:r>
      <w:r>
        <w:rPr>
          <w:rFonts w:ascii="Arial"/>
          <w:color w:val="008FDD"/>
          <w:w w:val="105"/>
          <w:sz w:val="19"/>
        </w:rPr>
        <w:t>supply</w:t>
      </w:r>
      <w:r>
        <w:rPr>
          <w:rFonts w:ascii="Arial"/>
          <w:color w:val="008FDD"/>
          <w:spacing w:val="40"/>
          <w:w w:val="105"/>
          <w:sz w:val="19"/>
        </w:rPr>
        <w:t> </w:t>
      </w:r>
      <w:r>
        <w:rPr>
          <w:rFonts w:ascii="Arial"/>
          <w:color w:val="008FDD"/>
          <w:w w:val="105"/>
          <w:sz w:val="19"/>
        </w:rPr>
        <w:t>chain</w:t>
      </w:r>
      <w:r>
        <w:rPr>
          <w:rFonts w:ascii="Arial"/>
          <w:color w:val="008FDD"/>
          <w:spacing w:val="40"/>
          <w:w w:val="105"/>
          <w:sz w:val="19"/>
        </w:rPr>
        <w:t> </w:t>
      </w:r>
      <w:r>
        <w:rPr>
          <w:rFonts w:ascii="Arial"/>
          <w:color w:val="008FDD"/>
          <w:w w:val="105"/>
          <w:sz w:val="19"/>
        </w:rPr>
        <w:t>tracking</w:t>
      </w:r>
      <w:r>
        <w:rPr>
          <w:rFonts w:ascii="Arial"/>
          <w:color w:val="008FDD"/>
          <w:spacing w:val="40"/>
          <w:w w:val="105"/>
          <w:sz w:val="19"/>
        </w:rPr>
        <w:t> </w:t>
      </w:r>
      <w:r>
        <w:rPr>
          <w:rFonts w:ascii="Arial"/>
          <w:color w:val="008FDD"/>
          <w:w w:val="105"/>
          <w:sz w:val="19"/>
        </w:rPr>
        <w:t>data. This</w:t>
      </w:r>
      <w:r>
        <w:rPr>
          <w:rFonts w:ascii="Arial"/>
          <w:color w:val="008FDD"/>
          <w:spacing w:val="40"/>
          <w:w w:val="105"/>
          <w:sz w:val="19"/>
        </w:rPr>
        <w:t> </w:t>
      </w:r>
      <w:r>
        <w:rPr>
          <w:rFonts w:ascii="Arial"/>
          <w:color w:val="008FDD"/>
          <w:w w:val="105"/>
          <w:sz w:val="19"/>
        </w:rPr>
        <w:t>information</w:t>
      </w:r>
      <w:r>
        <w:rPr>
          <w:rFonts w:ascii="Arial"/>
          <w:color w:val="008FDD"/>
          <w:spacing w:val="40"/>
          <w:w w:val="105"/>
          <w:sz w:val="19"/>
        </w:rPr>
        <w:t> </w:t>
      </w:r>
      <w:r>
        <w:rPr>
          <w:rFonts w:ascii="Arial"/>
          <w:color w:val="008FDD"/>
          <w:w w:val="105"/>
          <w:sz w:val="19"/>
        </w:rPr>
        <w:t>is</w:t>
      </w:r>
      <w:r>
        <w:rPr>
          <w:rFonts w:ascii="Arial"/>
          <w:color w:val="008FDD"/>
          <w:spacing w:val="40"/>
          <w:w w:val="105"/>
          <w:sz w:val="19"/>
        </w:rPr>
        <w:t> </w:t>
      </w:r>
      <w:r>
        <w:rPr>
          <w:rFonts w:ascii="Arial"/>
          <w:color w:val="008FDD"/>
          <w:w w:val="105"/>
          <w:sz w:val="19"/>
        </w:rPr>
        <w:t>relevant</w:t>
      </w:r>
      <w:r>
        <w:rPr>
          <w:rFonts w:ascii="Arial"/>
          <w:color w:val="008FDD"/>
          <w:spacing w:val="40"/>
          <w:w w:val="105"/>
          <w:sz w:val="19"/>
        </w:rPr>
        <w:t> </w:t>
      </w:r>
      <w:r>
        <w:rPr>
          <w:rFonts w:ascii="Arial"/>
          <w:color w:val="008FDD"/>
          <w:w w:val="105"/>
          <w:sz w:val="19"/>
        </w:rPr>
        <w:t>for</w:t>
      </w:r>
      <w:r>
        <w:rPr>
          <w:rFonts w:ascii="Arial"/>
          <w:color w:val="008FDD"/>
          <w:spacing w:val="40"/>
          <w:w w:val="105"/>
          <w:sz w:val="19"/>
        </w:rPr>
        <w:t> </w:t>
      </w:r>
      <w:r>
        <w:rPr>
          <w:rFonts w:ascii="Arial"/>
          <w:color w:val="008FDD"/>
          <w:w w:val="105"/>
          <w:sz w:val="19"/>
        </w:rPr>
        <w:t>policymakers</w:t>
      </w:r>
      <w:r>
        <w:rPr>
          <w:rFonts w:ascii="Arial"/>
          <w:color w:val="008FDD"/>
          <w:spacing w:val="40"/>
          <w:w w:val="105"/>
          <w:sz w:val="19"/>
        </w:rPr>
        <w:t> </w:t>
      </w:r>
      <w:r>
        <w:rPr>
          <w:rFonts w:ascii="Arial"/>
          <w:color w:val="008FDD"/>
          <w:w w:val="105"/>
          <w:sz w:val="19"/>
        </w:rPr>
        <w:t>and</w:t>
      </w:r>
      <w:r>
        <w:rPr>
          <w:rFonts w:ascii="Arial"/>
          <w:color w:val="008FDD"/>
          <w:spacing w:val="40"/>
          <w:w w:val="105"/>
          <w:sz w:val="19"/>
        </w:rPr>
        <w:t> </w:t>
      </w:r>
      <w:r>
        <w:rPr>
          <w:rFonts w:ascii="Arial"/>
          <w:color w:val="008FDD"/>
          <w:w w:val="105"/>
          <w:sz w:val="19"/>
        </w:rPr>
        <w:t>the</w:t>
      </w:r>
      <w:r>
        <w:rPr>
          <w:rFonts w:ascii="Arial"/>
          <w:color w:val="008FDD"/>
          <w:spacing w:val="40"/>
          <w:w w:val="105"/>
          <w:sz w:val="19"/>
        </w:rPr>
        <w:t> </w:t>
      </w:r>
      <w:r>
        <w:rPr>
          <w:rFonts w:ascii="Arial"/>
          <w:color w:val="008FDD"/>
          <w:w w:val="105"/>
          <w:sz w:val="19"/>
        </w:rPr>
        <w:t>private</w:t>
      </w:r>
      <w:r>
        <w:rPr>
          <w:rFonts w:ascii="Arial"/>
          <w:color w:val="008FDD"/>
          <w:spacing w:val="80"/>
          <w:w w:val="105"/>
          <w:sz w:val="19"/>
        </w:rPr>
        <w:t> </w:t>
      </w:r>
      <w:r>
        <w:rPr>
          <w:rFonts w:ascii="Arial"/>
          <w:color w:val="008FDD"/>
          <w:w w:val="105"/>
          <w:sz w:val="19"/>
        </w:rPr>
        <w:t>sector seeking to identify reform priorities for trade and logistics infrastructure.</w:t>
      </w:r>
      <w:r>
        <w:rPr>
          <w:rFonts w:ascii="Arial"/>
          <w:color w:val="008FDD"/>
          <w:spacing w:val="74"/>
          <w:w w:val="105"/>
          <w:sz w:val="19"/>
        </w:rPr>
        <w:t> </w:t>
      </w:r>
      <w:r>
        <w:rPr>
          <w:rFonts w:ascii="Arial"/>
          <w:color w:val="008FDD"/>
          <w:w w:val="105"/>
          <w:sz w:val="19"/>
        </w:rPr>
        <w:t>Findings</w:t>
      </w:r>
      <w:r>
        <w:rPr>
          <w:rFonts w:ascii="Arial"/>
          <w:color w:val="008FDD"/>
          <w:spacing w:val="74"/>
          <w:w w:val="105"/>
          <w:sz w:val="19"/>
        </w:rPr>
        <w:t> </w:t>
      </w:r>
      <w:r>
        <w:rPr>
          <w:rFonts w:ascii="Arial"/>
          <w:color w:val="008FDD"/>
          <w:w w:val="105"/>
          <w:sz w:val="19"/>
        </w:rPr>
        <w:t>include:</w:t>
      </w:r>
    </w:p>
    <w:p>
      <w:pPr>
        <w:pStyle w:val="BodyText"/>
        <w:spacing w:before="7"/>
        <w:rPr>
          <w:rFonts w:ascii="Arial"/>
          <w:sz w:val="14"/>
        </w:rPr>
      </w:pPr>
      <w:r>
        <w:rPr/>
        <mc:AlternateContent>
          <mc:Choice Requires="wps">
            <w:drawing>
              <wp:anchor distT="0" distB="0" distL="0" distR="0" allowOverlap="1" layoutInCell="1" locked="0" behindDoc="1" simplePos="0" relativeHeight="487654912">
                <wp:simplePos x="0" y="0"/>
                <wp:positionH relativeFrom="page">
                  <wp:posOffset>525462</wp:posOffset>
                </wp:positionH>
                <wp:positionV relativeFrom="paragraph">
                  <wp:posOffset>122142</wp:posOffset>
                </wp:positionV>
                <wp:extent cx="2044700" cy="1270"/>
                <wp:effectExtent l="0" t="0" r="0" b="0"/>
                <wp:wrapTopAndBottom/>
                <wp:docPr id="2160" name="Graphic 2160"/>
                <wp:cNvGraphicFramePr>
                  <a:graphicFrameLocks/>
                </wp:cNvGraphicFramePr>
                <a:graphic>
                  <a:graphicData uri="http://schemas.microsoft.com/office/word/2010/wordprocessingShape">
                    <wps:wsp>
                      <wps:cNvPr id="2160" name="Graphic 2160"/>
                      <wps:cNvSpPr/>
                      <wps:spPr>
                        <a:xfrm>
                          <a:off x="0" y="0"/>
                          <a:ext cx="2044700" cy="1270"/>
                        </a:xfrm>
                        <a:custGeom>
                          <a:avLst/>
                          <a:gdLst/>
                          <a:ahLst/>
                          <a:cxnLst/>
                          <a:rect l="l" t="t" r="r" b="b"/>
                          <a:pathLst>
                            <a:path w="2044700" h="0">
                              <a:moveTo>
                                <a:pt x="0" y="0"/>
                              </a:moveTo>
                              <a:lnTo>
                                <a:pt x="2044700"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1.375pt;margin-top:9.617508pt;width:161pt;height:.1pt;mso-position-horizontal-relative:page;mso-position-vertical-relative:paragraph;z-index:-15661568;mso-wrap-distance-left:0;mso-wrap-distance-right:0" id="docshape1865" coordorigin="828,192" coordsize="3220,0" path="m828,192l4048,192e" filled="false" stroked="true" strokeweight=".25pt" strokecolor="#231f20">
                <v:path arrowok="t"/>
                <v:stroke dashstyle="solid"/>
                <w10:wrap type="topAndBottom"/>
              </v:shape>
            </w:pict>
          </mc:Fallback>
        </mc:AlternateContent>
      </w:r>
    </w:p>
    <w:p>
      <w:pPr>
        <w:pStyle w:val="ListParagraph"/>
        <w:numPr>
          <w:ilvl w:val="0"/>
          <w:numId w:val="21"/>
        </w:numPr>
        <w:tabs>
          <w:tab w:pos="5749" w:val="left" w:leader="none"/>
          <w:tab w:pos="5751" w:val="left" w:leader="none"/>
        </w:tabs>
        <w:spacing w:line="290" w:lineRule="auto" w:before="0" w:after="0"/>
        <w:ind w:left="5751" w:right="168" w:hanging="421"/>
        <w:jc w:val="both"/>
        <w:rPr>
          <w:sz w:val="19"/>
        </w:rPr>
      </w:pPr>
      <w:r>
        <w:rPr>
          <w:color w:val="008FDD"/>
          <w:w w:val="105"/>
          <w:sz w:val="19"/>
        </w:rPr>
        <w:t>Notwithstanding the pandemic-induced disruptions to shipping and</w:t>
      </w:r>
      <w:r>
        <w:rPr>
          <w:color w:val="008FDD"/>
          <w:spacing w:val="40"/>
          <w:w w:val="105"/>
          <w:sz w:val="19"/>
        </w:rPr>
        <w:t> </w:t>
      </w:r>
      <w:r>
        <w:rPr>
          <w:color w:val="008FDD"/>
          <w:w w:val="105"/>
          <w:sz w:val="19"/>
        </w:rPr>
        <w:t>the</w:t>
      </w:r>
      <w:r>
        <w:rPr>
          <w:color w:val="008FDD"/>
          <w:spacing w:val="40"/>
          <w:w w:val="105"/>
          <w:sz w:val="19"/>
        </w:rPr>
        <w:t> </w:t>
      </w:r>
      <w:r>
        <w:rPr>
          <w:color w:val="008FDD"/>
          <w:w w:val="105"/>
          <w:sz w:val="19"/>
        </w:rPr>
        <w:t>global</w:t>
      </w:r>
      <w:r>
        <w:rPr>
          <w:color w:val="008FDD"/>
          <w:spacing w:val="40"/>
          <w:w w:val="105"/>
          <w:sz w:val="19"/>
        </w:rPr>
        <w:t> </w:t>
      </w:r>
      <w:r>
        <w:rPr>
          <w:color w:val="008FDD"/>
          <w:w w:val="105"/>
          <w:sz w:val="19"/>
        </w:rPr>
        <w:t>supply</w:t>
      </w:r>
      <w:r>
        <w:rPr>
          <w:color w:val="008FDD"/>
          <w:spacing w:val="40"/>
          <w:w w:val="105"/>
          <w:sz w:val="19"/>
        </w:rPr>
        <w:t> </w:t>
      </w:r>
      <w:r>
        <w:rPr>
          <w:color w:val="008FDD"/>
          <w:w w:val="105"/>
          <w:sz w:val="19"/>
        </w:rPr>
        <w:t>chain</w:t>
      </w:r>
      <w:r>
        <w:rPr>
          <w:color w:val="008FDD"/>
          <w:spacing w:val="40"/>
          <w:w w:val="105"/>
          <w:sz w:val="19"/>
        </w:rPr>
        <w:t> </w:t>
      </w:r>
      <w:r>
        <w:rPr>
          <w:color w:val="008FDD"/>
          <w:w w:val="105"/>
          <w:sz w:val="19"/>
        </w:rPr>
        <w:t>crisis,</w:t>
      </w:r>
      <w:r>
        <w:rPr>
          <w:color w:val="008FDD"/>
          <w:spacing w:val="40"/>
          <w:w w:val="105"/>
          <w:sz w:val="19"/>
        </w:rPr>
        <w:t> </w:t>
      </w:r>
      <w:r>
        <w:rPr>
          <w:color w:val="008FDD"/>
          <w:w w:val="105"/>
          <w:sz w:val="19"/>
        </w:rPr>
        <w:t>average</w:t>
      </w:r>
      <w:r>
        <w:rPr>
          <w:color w:val="008FDD"/>
          <w:spacing w:val="40"/>
          <w:w w:val="105"/>
          <w:sz w:val="19"/>
        </w:rPr>
        <w:t> </w:t>
      </w:r>
      <w:r>
        <w:rPr>
          <w:color w:val="008FDD"/>
          <w:w w:val="105"/>
          <w:sz w:val="19"/>
        </w:rPr>
        <w:t>overall</w:t>
      </w:r>
      <w:r>
        <w:rPr>
          <w:color w:val="008FDD"/>
          <w:spacing w:val="40"/>
          <w:w w:val="105"/>
          <w:sz w:val="19"/>
        </w:rPr>
        <w:t> </w:t>
      </w:r>
      <w:r>
        <w:rPr>
          <w:color w:val="008FDD"/>
          <w:w w:val="105"/>
          <w:sz w:val="19"/>
        </w:rPr>
        <w:t>scores</w:t>
      </w:r>
      <w:r>
        <w:rPr>
          <w:color w:val="008FDD"/>
          <w:spacing w:val="40"/>
          <w:w w:val="105"/>
          <w:sz w:val="19"/>
        </w:rPr>
        <w:t> </w:t>
      </w:r>
      <w:r>
        <w:rPr>
          <w:color w:val="008FDD"/>
          <w:w w:val="105"/>
          <w:sz w:val="19"/>
        </w:rPr>
        <w:t>in the</w:t>
      </w:r>
      <w:r>
        <w:rPr>
          <w:color w:val="008FDD"/>
          <w:w w:val="105"/>
          <w:sz w:val="19"/>
        </w:rPr>
        <w:t> LPI</w:t>
      </w:r>
      <w:r>
        <w:rPr>
          <w:color w:val="008FDD"/>
          <w:w w:val="105"/>
          <w:sz w:val="19"/>
        </w:rPr>
        <w:t> 2023</w:t>
      </w:r>
      <w:r>
        <w:rPr>
          <w:color w:val="008FDD"/>
          <w:w w:val="105"/>
          <w:sz w:val="19"/>
        </w:rPr>
        <w:t> were</w:t>
      </w:r>
      <w:r>
        <w:rPr>
          <w:color w:val="008FDD"/>
          <w:w w:val="105"/>
          <w:sz w:val="19"/>
        </w:rPr>
        <w:t> roughly</w:t>
      </w:r>
      <w:r>
        <w:rPr>
          <w:color w:val="008FDD"/>
          <w:w w:val="105"/>
          <w:sz w:val="19"/>
        </w:rPr>
        <w:t> the</w:t>
      </w:r>
      <w:r>
        <w:rPr>
          <w:color w:val="008FDD"/>
          <w:w w:val="105"/>
          <w:sz w:val="19"/>
        </w:rPr>
        <w:t> same</w:t>
      </w:r>
      <w:r>
        <w:rPr>
          <w:color w:val="008FDD"/>
          <w:w w:val="105"/>
          <w:sz w:val="19"/>
        </w:rPr>
        <w:t> as</w:t>
      </w:r>
      <w:r>
        <w:rPr>
          <w:color w:val="008FDD"/>
          <w:w w:val="105"/>
          <w:sz w:val="19"/>
        </w:rPr>
        <w:t> in</w:t>
      </w:r>
      <w:r>
        <w:rPr>
          <w:color w:val="008FDD"/>
          <w:w w:val="105"/>
          <w:sz w:val="19"/>
        </w:rPr>
        <w:t> the</w:t>
      </w:r>
      <w:r>
        <w:rPr>
          <w:color w:val="008FDD"/>
          <w:w w:val="105"/>
          <w:sz w:val="19"/>
        </w:rPr>
        <w:t> last</w:t>
      </w:r>
      <w:r>
        <w:rPr>
          <w:color w:val="008FDD"/>
          <w:w w:val="105"/>
          <w:sz w:val="19"/>
        </w:rPr>
        <w:t> survey</w:t>
      </w:r>
      <w:r>
        <w:rPr>
          <w:color w:val="008FDD"/>
          <w:w w:val="105"/>
          <w:sz w:val="19"/>
        </w:rPr>
        <w:t> in</w:t>
      </w:r>
      <w:r>
        <w:rPr>
          <w:color w:val="008FDD"/>
          <w:spacing w:val="80"/>
          <w:w w:val="105"/>
          <w:sz w:val="19"/>
        </w:rPr>
        <w:t> </w:t>
      </w:r>
      <w:r>
        <w:rPr>
          <w:color w:val="008FDD"/>
          <w:spacing w:val="-2"/>
          <w:w w:val="105"/>
          <w:sz w:val="19"/>
        </w:rPr>
        <w:t>2018.</w:t>
      </w:r>
    </w:p>
    <w:p>
      <w:pPr>
        <w:pStyle w:val="ListParagraph"/>
        <w:numPr>
          <w:ilvl w:val="0"/>
          <w:numId w:val="21"/>
        </w:numPr>
        <w:tabs>
          <w:tab w:pos="5749" w:val="left" w:leader="none"/>
          <w:tab w:pos="5751" w:val="left" w:leader="none"/>
        </w:tabs>
        <w:spacing w:line="290" w:lineRule="auto" w:before="134" w:after="0"/>
        <w:ind w:left="5751" w:right="109" w:hanging="421"/>
        <w:jc w:val="both"/>
        <w:rPr>
          <w:sz w:val="19"/>
        </w:rPr>
      </w:pPr>
      <w:r>
        <w:rPr/>
        <mc:AlternateContent>
          <mc:Choice Requires="wps">
            <w:drawing>
              <wp:anchor distT="0" distB="0" distL="0" distR="0" allowOverlap="1" layoutInCell="1" locked="0" behindDoc="0" simplePos="0" relativeHeight="15798272">
                <wp:simplePos x="0" y="0"/>
                <wp:positionH relativeFrom="page">
                  <wp:posOffset>525462</wp:posOffset>
                </wp:positionH>
                <wp:positionV relativeFrom="paragraph">
                  <wp:posOffset>194764</wp:posOffset>
                </wp:positionV>
                <wp:extent cx="2044700" cy="1270"/>
                <wp:effectExtent l="0" t="0" r="0" b="0"/>
                <wp:wrapNone/>
                <wp:docPr id="2161" name="Graphic 2161"/>
                <wp:cNvGraphicFramePr>
                  <a:graphicFrameLocks/>
                </wp:cNvGraphicFramePr>
                <a:graphic>
                  <a:graphicData uri="http://schemas.microsoft.com/office/word/2010/wordprocessingShape">
                    <wps:wsp>
                      <wps:cNvPr id="2161" name="Graphic 2161"/>
                      <wps:cNvSpPr/>
                      <wps:spPr>
                        <a:xfrm>
                          <a:off x="0" y="0"/>
                          <a:ext cx="2044700" cy="1270"/>
                        </a:xfrm>
                        <a:custGeom>
                          <a:avLst/>
                          <a:gdLst/>
                          <a:ahLst/>
                          <a:cxnLst/>
                          <a:rect l="l" t="t" r="r" b="b"/>
                          <a:pathLst>
                            <a:path w="2044700" h="0">
                              <a:moveTo>
                                <a:pt x="0" y="0"/>
                              </a:moveTo>
                              <a:lnTo>
                                <a:pt x="2044700" y="0"/>
                              </a:lnTo>
                            </a:path>
                          </a:pathLst>
                        </a:custGeom>
                        <a:ln w="317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8272" from="41.375pt,15.335791pt" to="202.375pt,15.335791pt" stroked="true" strokeweight=".25pt" strokecolor="#231f20">
                <v:stroke dashstyle="solid"/>
                <w10:wrap type="none"/>
              </v:line>
            </w:pict>
          </mc:Fallback>
        </mc:AlternateContent>
      </w:r>
      <w:r>
        <w:rPr/>
        <mc:AlternateContent>
          <mc:Choice Requires="wps">
            <w:drawing>
              <wp:anchor distT="0" distB="0" distL="0" distR="0" allowOverlap="1" layoutInCell="1" locked="0" behindDoc="0" simplePos="0" relativeHeight="15800320">
                <wp:simplePos x="0" y="0"/>
                <wp:positionH relativeFrom="page">
                  <wp:posOffset>1058505</wp:posOffset>
                </wp:positionH>
                <wp:positionV relativeFrom="paragraph">
                  <wp:posOffset>-231306</wp:posOffset>
                </wp:positionV>
                <wp:extent cx="267970" cy="152400"/>
                <wp:effectExtent l="0" t="0" r="0" b="0"/>
                <wp:wrapNone/>
                <wp:docPr id="2162" name="Group 2162"/>
                <wp:cNvGraphicFramePr>
                  <a:graphicFrameLocks/>
                </wp:cNvGraphicFramePr>
                <a:graphic>
                  <a:graphicData uri="http://schemas.microsoft.com/office/word/2010/wordprocessingGroup">
                    <wpg:wgp>
                      <wpg:cNvPr id="2162" name="Group 2162"/>
                      <wpg:cNvGrpSpPr/>
                      <wpg:grpSpPr>
                        <a:xfrm>
                          <a:off x="0" y="0"/>
                          <a:ext cx="267970" cy="152400"/>
                          <a:chExt cx="267970" cy="152400"/>
                        </a:xfrm>
                      </wpg:grpSpPr>
                      <pic:pic>
                        <pic:nvPicPr>
                          <pic:cNvPr id="2163" name="Image 2163"/>
                          <pic:cNvPicPr/>
                        </pic:nvPicPr>
                        <pic:blipFill>
                          <a:blip r:embed="rId224" cstate="print"/>
                          <a:stretch>
                            <a:fillRect/>
                          </a:stretch>
                        </pic:blipFill>
                        <pic:spPr>
                          <a:xfrm>
                            <a:off x="0" y="0"/>
                            <a:ext cx="153149" cy="151942"/>
                          </a:xfrm>
                          <a:prstGeom prst="rect">
                            <a:avLst/>
                          </a:prstGeom>
                        </pic:spPr>
                      </pic:pic>
                      <wps:wsp>
                        <wps:cNvPr id="2164" name="Graphic 2164"/>
                        <wps:cNvSpPr/>
                        <wps:spPr>
                          <a:xfrm>
                            <a:off x="178753" y="2387"/>
                            <a:ext cx="89535" cy="147320"/>
                          </a:xfrm>
                          <a:custGeom>
                            <a:avLst/>
                            <a:gdLst/>
                            <a:ahLst/>
                            <a:cxnLst/>
                            <a:rect l="l" t="t" r="r" b="b"/>
                            <a:pathLst>
                              <a:path w="89535" h="147320">
                                <a:moveTo>
                                  <a:pt x="89166" y="0"/>
                                </a:moveTo>
                                <a:lnTo>
                                  <a:pt x="0" y="0"/>
                                </a:lnTo>
                                <a:lnTo>
                                  <a:pt x="0" y="26670"/>
                                </a:lnTo>
                                <a:lnTo>
                                  <a:pt x="0" y="62230"/>
                                </a:lnTo>
                                <a:lnTo>
                                  <a:pt x="0" y="87630"/>
                                </a:lnTo>
                                <a:lnTo>
                                  <a:pt x="0" y="147320"/>
                                </a:lnTo>
                                <a:lnTo>
                                  <a:pt x="31280" y="147320"/>
                                </a:lnTo>
                                <a:lnTo>
                                  <a:pt x="31280" y="87630"/>
                                </a:lnTo>
                                <a:lnTo>
                                  <a:pt x="80035" y="87630"/>
                                </a:lnTo>
                                <a:lnTo>
                                  <a:pt x="80035" y="62230"/>
                                </a:lnTo>
                                <a:lnTo>
                                  <a:pt x="31280" y="62230"/>
                                </a:lnTo>
                                <a:lnTo>
                                  <a:pt x="31280" y="26670"/>
                                </a:lnTo>
                                <a:lnTo>
                                  <a:pt x="89166" y="26670"/>
                                </a:lnTo>
                                <a:lnTo>
                                  <a:pt x="89166"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83.346901pt;margin-top:-18.21311pt;width:21.1pt;height:12pt;mso-position-horizontal-relative:page;mso-position-vertical-relative:paragraph;z-index:15800320" id="docshapegroup1866" coordorigin="1667,-364" coordsize="422,240">
                <v:shape style="position:absolute;left:1666;top:-365;width:242;height:240" type="#_x0000_t75" id="docshape1867" stroked="false">
                  <v:imagedata r:id="rId224" o:title=""/>
                </v:shape>
                <v:shape style="position:absolute;left:1948;top:-361;width:141;height:232" id="docshape1868" coordorigin="1948,-361" coordsize="141,232" path="m2089,-361l1948,-361,1948,-319,1948,-263,1948,-223,1948,-129,1998,-129,1998,-223,2074,-223,2074,-263,1998,-263,1998,-319,2089,-319,2089,-361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00832">
                <wp:simplePos x="0" y="0"/>
                <wp:positionH relativeFrom="page">
                  <wp:posOffset>1376017</wp:posOffset>
                </wp:positionH>
                <wp:positionV relativeFrom="paragraph">
                  <wp:posOffset>-228923</wp:posOffset>
                </wp:positionV>
                <wp:extent cx="687705" cy="149860"/>
                <wp:effectExtent l="0" t="0" r="0" b="0"/>
                <wp:wrapNone/>
                <wp:docPr id="2165" name="Group 2165"/>
                <wp:cNvGraphicFramePr>
                  <a:graphicFrameLocks/>
                </wp:cNvGraphicFramePr>
                <a:graphic>
                  <a:graphicData uri="http://schemas.microsoft.com/office/word/2010/wordprocessingGroup">
                    <wpg:wgp>
                      <wpg:cNvPr id="2165" name="Group 2165"/>
                      <wpg:cNvGrpSpPr/>
                      <wpg:grpSpPr>
                        <a:xfrm>
                          <a:off x="0" y="0"/>
                          <a:ext cx="687705" cy="149860"/>
                          <a:chExt cx="687705" cy="149860"/>
                        </a:xfrm>
                      </wpg:grpSpPr>
                      <pic:pic>
                        <pic:nvPicPr>
                          <pic:cNvPr id="2166" name="Image 2166"/>
                          <pic:cNvPicPr/>
                        </pic:nvPicPr>
                        <pic:blipFill>
                          <a:blip r:embed="rId225" cstate="print"/>
                          <a:stretch>
                            <a:fillRect/>
                          </a:stretch>
                        </pic:blipFill>
                        <pic:spPr>
                          <a:xfrm>
                            <a:off x="0" y="0"/>
                            <a:ext cx="254327" cy="149557"/>
                          </a:xfrm>
                          <a:prstGeom prst="rect">
                            <a:avLst/>
                          </a:prstGeom>
                        </pic:spPr>
                      </pic:pic>
                      <pic:pic>
                        <pic:nvPicPr>
                          <pic:cNvPr id="2167" name="Image 2167"/>
                          <pic:cNvPicPr/>
                        </pic:nvPicPr>
                        <pic:blipFill>
                          <a:blip r:embed="rId226" cstate="print"/>
                          <a:stretch>
                            <a:fillRect/>
                          </a:stretch>
                        </pic:blipFill>
                        <pic:spPr>
                          <a:xfrm>
                            <a:off x="287047" y="469"/>
                            <a:ext cx="110693" cy="146253"/>
                          </a:xfrm>
                          <a:prstGeom prst="rect">
                            <a:avLst/>
                          </a:prstGeom>
                        </pic:spPr>
                      </pic:pic>
                      <pic:pic>
                        <pic:nvPicPr>
                          <pic:cNvPr id="2168" name="Image 2168"/>
                          <pic:cNvPicPr/>
                        </pic:nvPicPr>
                        <pic:blipFill>
                          <a:blip r:embed="rId227" cstate="print"/>
                          <a:stretch>
                            <a:fillRect/>
                          </a:stretch>
                        </pic:blipFill>
                        <pic:spPr>
                          <a:xfrm>
                            <a:off x="422748" y="459"/>
                            <a:ext cx="264488" cy="149098"/>
                          </a:xfrm>
                          <a:prstGeom prst="rect">
                            <a:avLst/>
                          </a:prstGeom>
                        </pic:spPr>
                      </pic:pic>
                    </wpg:wgp>
                  </a:graphicData>
                </a:graphic>
              </wp:anchor>
            </w:drawing>
          </mc:Choice>
          <mc:Fallback>
            <w:pict>
              <v:group style="position:absolute;margin-left:108.347801pt;margin-top:-18.025509pt;width:54.15pt;height:11.8pt;mso-position-horizontal-relative:page;mso-position-vertical-relative:paragraph;z-index:15800832" id="docshapegroup1869" coordorigin="2167,-361" coordsize="1083,236">
                <v:shape style="position:absolute;left:2166;top:-361;width:401;height:236" type="#_x0000_t75" id="docshape1870" stroked="false">
                  <v:imagedata r:id="rId225" o:title=""/>
                </v:shape>
                <v:shape style="position:absolute;left:2619;top:-360;width:175;height:231" type="#_x0000_t75" id="docshape1871" stroked="false">
                  <v:imagedata r:id="rId226" o:title=""/>
                </v:shape>
                <v:shape style="position:absolute;left:2832;top:-360;width:417;height:235" type="#_x0000_t75" id="docshape1872" stroked="false">
                  <v:imagedata r:id="rId227" o:title=""/>
                </v:shape>
                <w10:wrap type="none"/>
              </v:group>
            </w:pict>
          </mc:Fallback>
        </mc:AlternateContent>
      </w:r>
      <w:r>
        <w:rPr>
          <w:color w:val="008FDD"/>
          <w:w w:val="105"/>
          <w:sz w:val="19"/>
        </w:rPr>
        <w:t>The</w:t>
      </w:r>
      <w:r>
        <w:rPr>
          <w:color w:val="008FDD"/>
          <w:spacing w:val="40"/>
          <w:w w:val="105"/>
          <w:sz w:val="19"/>
        </w:rPr>
        <w:t> </w:t>
      </w:r>
      <w:r>
        <w:rPr>
          <w:color w:val="008FDD"/>
          <w:w w:val="105"/>
          <w:sz w:val="19"/>
        </w:rPr>
        <w:t>new</w:t>
      </w:r>
      <w:r>
        <w:rPr>
          <w:color w:val="008FDD"/>
          <w:spacing w:val="40"/>
          <w:w w:val="105"/>
          <w:sz w:val="19"/>
        </w:rPr>
        <w:t> </w:t>
      </w:r>
      <w:r>
        <w:rPr>
          <w:color w:val="008FDD"/>
          <w:w w:val="105"/>
          <w:sz w:val="19"/>
        </w:rPr>
        <w:t>indicators</w:t>
      </w:r>
      <w:r>
        <w:rPr>
          <w:color w:val="008FDD"/>
          <w:spacing w:val="40"/>
          <w:w w:val="105"/>
          <w:sz w:val="19"/>
        </w:rPr>
        <w:t> </w:t>
      </w:r>
      <w:r>
        <w:rPr>
          <w:color w:val="008FDD"/>
          <w:w w:val="105"/>
          <w:sz w:val="19"/>
        </w:rPr>
        <w:t>point</w:t>
      </w:r>
      <w:r>
        <w:rPr>
          <w:color w:val="008FDD"/>
          <w:spacing w:val="40"/>
          <w:w w:val="105"/>
          <w:sz w:val="19"/>
        </w:rPr>
        <w:t> </w:t>
      </w:r>
      <w:r>
        <w:rPr>
          <w:color w:val="008FDD"/>
          <w:w w:val="105"/>
          <w:sz w:val="19"/>
        </w:rPr>
        <w:t>to</w:t>
      </w:r>
      <w:r>
        <w:rPr>
          <w:color w:val="008FDD"/>
          <w:spacing w:val="40"/>
          <w:w w:val="105"/>
          <w:sz w:val="19"/>
        </w:rPr>
        <w:t> </w:t>
      </w:r>
      <w:r>
        <w:rPr>
          <w:color w:val="008FDD"/>
          <w:w w:val="105"/>
          <w:sz w:val="19"/>
        </w:rPr>
        <w:t>widespread</w:t>
      </w:r>
      <w:r>
        <w:rPr>
          <w:color w:val="008FDD"/>
          <w:spacing w:val="40"/>
          <w:w w:val="105"/>
          <w:sz w:val="19"/>
        </w:rPr>
        <w:t> </w:t>
      </w:r>
      <w:r>
        <w:rPr>
          <w:color w:val="008FDD"/>
          <w:w w:val="105"/>
          <w:sz w:val="19"/>
        </w:rPr>
        <w:t>differences</w:t>
      </w:r>
      <w:r>
        <w:rPr>
          <w:color w:val="008FDD"/>
          <w:spacing w:val="40"/>
          <w:w w:val="105"/>
          <w:sz w:val="19"/>
        </w:rPr>
        <w:t> </w:t>
      </w:r>
      <w:r>
        <w:rPr>
          <w:color w:val="008FDD"/>
          <w:w w:val="105"/>
          <w:sz w:val="19"/>
        </w:rPr>
        <w:t>in</w:t>
      </w:r>
      <w:r>
        <w:rPr>
          <w:color w:val="008FDD"/>
          <w:spacing w:val="40"/>
          <w:w w:val="105"/>
          <w:sz w:val="19"/>
        </w:rPr>
        <w:t> </w:t>
      </w:r>
      <w:r>
        <w:rPr>
          <w:color w:val="008FDD"/>
          <w:w w:val="105"/>
          <w:sz w:val="19"/>
        </w:rPr>
        <w:t>delays and supply chain reliability across the World. Several countries experience</w:t>
      </w:r>
      <w:r>
        <w:rPr>
          <w:color w:val="008FDD"/>
          <w:w w:val="105"/>
          <w:sz w:val="19"/>
        </w:rPr>
        <w:t> much</w:t>
      </w:r>
      <w:r>
        <w:rPr>
          <w:color w:val="008FDD"/>
          <w:w w:val="105"/>
          <w:sz w:val="19"/>
        </w:rPr>
        <w:t> larger</w:t>
      </w:r>
      <w:r>
        <w:rPr>
          <w:color w:val="008FDD"/>
          <w:w w:val="105"/>
          <w:sz w:val="19"/>
        </w:rPr>
        <w:t> delays</w:t>
      </w:r>
      <w:r>
        <w:rPr>
          <w:color w:val="008FDD"/>
          <w:w w:val="105"/>
          <w:sz w:val="19"/>
        </w:rPr>
        <w:t> than</w:t>
      </w:r>
      <w:r>
        <w:rPr>
          <w:color w:val="008FDD"/>
          <w:w w:val="105"/>
          <w:sz w:val="19"/>
        </w:rPr>
        <w:t> advanced</w:t>
      </w:r>
      <w:r>
        <w:rPr>
          <w:color w:val="008FDD"/>
          <w:w w:val="105"/>
          <w:sz w:val="19"/>
        </w:rPr>
        <w:t> and</w:t>
      </w:r>
      <w:r>
        <w:rPr>
          <w:color w:val="008FDD"/>
          <w:w w:val="105"/>
          <w:sz w:val="19"/>
        </w:rPr>
        <w:t> emerging economies.</w:t>
      </w:r>
      <w:r>
        <w:rPr>
          <w:color w:val="008FDD"/>
          <w:w w:val="105"/>
          <w:sz w:val="19"/>
        </w:rPr>
        <w:t> Binding</w:t>
      </w:r>
      <w:r>
        <w:rPr>
          <w:color w:val="008FDD"/>
          <w:w w:val="105"/>
          <w:sz w:val="19"/>
        </w:rPr>
        <w:t> constraints</w:t>
      </w:r>
      <w:r>
        <w:rPr>
          <w:color w:val="008FDD"/>
          <w:w w:val="105"/>
          <w:sz w:val="19"/>
        </w:rPr>
        <w:t> for</w:t>
      </w:r>
      <w:r>
        <w:rPr>
          <w:color w:val="008FDD"/>
          <w:w w:val="105"/>
          <w:sz w:val="19"/>
        </w:rPr>
        <w:t> low</w:t>
      </w:r>
      <w:r>
        <w:rPr>
          <w:color w:val="008FDD"/>
          <w:w w:val="105"/>
          <w:sz w:val="19"/>
        </w:rPr>
        <w:t> performances</w:t>
      </w:r>
      <w:r>
        <w:rPr>
          <w:color w:val="008FDD"/>
          <w:w w:val="105"/>
          <w:sz w:val="19"/>
        </w:rPr>
        <w:t> may</w:t>
      </w:r>
      <w:r>
        <w:rPr>
          <w:color w:val="008FDD"/>
          <w:w w:val="105"/>
          <w:sz w:val="19"/>
        </w:rPr>
        <w:t> be traced</w:t>
      </w:r>
      <w:r>
        <w:rPr>
          <w:color w:val="008FDD"/>
          <w:spacing w:val="55"/>
          <w:w w:val="105"/>
          <w:sz w:val="19"/>
        </w:rPr>
        <w:t> </w:t>
      </w:r>
      <w:r>
        <w:rPr>
          <w:color w:val="008FDD"/>
          <w:w w:val="105"/>
          <w:sz w:val="19"/>
        </w:rPr>
        <w:t>to</w:t>
      </w:r>
      <w:r>
        <w:rPr>
          <w:color w:val="008FDD"/>
          <w:spacing w:val="55"/>
          <w:w w:val="105"/>
          <w:sz w:val="19"/>
        </w:rPr>
        <w:t> </w:t>
      </w:r>
      <w:r>
        <w:rPr>
          <w:color w:val="008FDD"/>
          <w:w w:val="105"/>
          <w:sz w:val="19"/>
        </w:rPr>
        <w:t>infrastructure,</w:t>
      </w:r>
      <w:r>
        <w:rPr>
          <w:color w:val="008FDD"/>
          <w:spacing w:val="55"/>
          <w:w w:val="105"/>
          <w:sz w:val="19"/>
        </w:rPr>
        <w:t> </w:t>
      </w:r>
      <w:r>
        <w:rPr>
          <w:color w:val="008FDD"/>
          <w:w w:val="105"/>
          <w:sz w:val="19"/>
        </w:rPr>
        <w:t>productivity,</w:t>
      </w:r>
      <w:r>
        <w:rPr>
          <w:color w:val="008FDD"/>
          <w:spacing w:val="56"/>
          <w:w w:val="105"/>
          <w:sz w:val="19"/>
        </w:rPr>
        <w:t> </w:t>
      </w:r>
      <w:r>
        <w:rPr>
          <w:color w:val="008FDD"/>
          <w:w w:val="105"/>
          <w:sz w:val="19"/>
        </w:rPr>
        <w:t>or</w:t>
      </w:r>
      <w:r>
        <w:rPr>
          <w:color w:val="008FDD"/>
          <w:spacing w:val="55"/>
          <w:w w:val="105"/>
          <w:sz w:val="19"/>
        </w:rPr>
        <w:t> </w:t>
      </w:r>
      <w:r>
        <w:rPr>
          <w:color w:val="008FDD"/>
          <w:w w:val="105"/>
          <w:sz w:val="19"/>
        </w:rPr>
        <w:t>clearance</w:t>
      </w:r>
      <w:r>
        <w:rPr>
          <w:color w:val="008FDD"/>
          <w:spacing w:val="55"/>
          <w:w w:val="105"/>
          <w:sz w:val="19"/>
        </w:rPr>
        <w:t> </w:t>
      </w:r>
      <w:r>
        <w:rPr>
          <w:color w:val="008FDD"/>
          <w:spacing w:val="-2"/>
          <w:w w:val="105"/>
          <w:sz w:val="19"/>
        </w:rPr>
        <w:t>procedures.</w:t>
      </w:r>
    </w:p>
    <w:p>
      <w:pPr>
        <w:pStyle w:val="ListParagraph"/>
        <w:numPr>
          <w:ilvl w:val="0"/>
          <w:numId w:val="21"/>
        </w:numPr>
        <w:tabs>
          <w:tab w:pos="5749" w:val="left" w:leader="none"/>
          <w:tab w:pos="5751" w:val="left" w:leader="none"/>
        </w:tabs>
        <w:spacing w:line="290" w:lineRule="auto" w:before="163" w:after="0"/>
        <w:ind w:left="5751" w:right="165" w:hanging="421"/>
        <w:jc w:val="both"/>
        <w:rPr>
          <w:sz w:val="19"/>
        </w:rPr>
      </w:pPr>
      <w:r>
        <w:rPr>
          <w:color w:val="008FDD"/>
          <w:w w:val="105"/>
          <w:sz w:val="19"/>
        </w:rPr>
        <w:t>The</w:t>
      </w:r>
      <w:r>
        <w:rPr>
          <w:color w:val="008FDD"/>
          <w:spacing w:val="40"/>
          <w:w w:val="105"/>
          <w:sz w:val="19"/>
        </w:rPr>
        <w:t> </w:t>
      </w:r>
      <w:r>
        <w:rPr>
          <w:color w:val="008FDD"/>
          <w:w w:val="105"/>
          <w:sz w:val="19"/>
        </w:rPr>
        <w:t>survey</w:t>
      </w:r>
      <w:r>
        <w:rPr>
          <w:color w:val="008FDD"/>
          <w:spacing w:val="40"/>
          <w:w w:val="105"/>
          <w:sz w:val="19"/>
        </w:rPr>
        <w:t> </w:t>
      </w:r>
      <w:r>
        <w:rPr>
          <w:color w:val="008FDD"/>
          <w:w w:val="105"/>
          <w:sz w:val="19"/>
        </w:rPr>
        <w:t>confirms</w:t>
      </w:r>
      <w:r>
        <w:rPr>
          <w:color w:val="008FDD"/>
          <w:spacing w:val="40"/>
          <w:w w:val="105"/>
          <w:sz w:val="19"/>
        </w:rPr>
        <w:t> </w:t>
      </w:r>
      <w:r>
        <w:rPr>
          <w:color w:val="008FDD"/>
          <w:w w:val="105"/>
          <w:sz w:val="19"/>
        </w:rPr>
        <w:t>growing</w:t>
      </w:r>
      <w:r>
        <w:rPr>
          <w:color w:val="008FDD"/>
          <w:spacing w:val="40"/>
          <w:w w:val="105"/>
          <w:sz w:val="19"/>
        </w:rPr>
        <w:t> </w:t>
      </w:r>
      <w:r>
        <w:rPr>
          <w:color w:val="008FDD"/>
          <w:w w:val="105"/>
          <w:sz w:val="19"/>
        </w:rPr>
        <w:t>demand</w:t>
      </w:r>
      <w:r>
        <w:rPr>
          <w:color w:val="008FDD"/>
          <w:spacing w:val="40"/>
          <w:w w:val="105"/>
          <w:sz w:val="19"/>
        </w:rPr>
        <w:t> </w:t>
      </w:r>
      <w:r>
        <w:rPr>
          <w:color w:val="008FDD"/>
          <w:w w:val="105"/>
          <w:sz w:val="19"/>
        </w:rPr>
        <w:t>for</w:t>
      </w:r>
      <w:r>
        <w:rPr>
          <w:color w:val="008FDD"/>
          <w:spacing w:val="40"/>
          <w:w w:val="105"/>
          <w:sz w:val="19"/>
        </w:rPr>
        <w:t> </w:t>
      </w:r>
      <w:r>
        <w:rPr>
          <w:color w:val="008FDD"/>
          <w:w w:val="105"/>
          <w:sz w:val="19"/>
        </w:rPr>
        <w:t>green</w:t>
      </w:r>
      <w:r>
        <w:rPr>
          <w:color w:val="008FDD"/>
          <w:spacing w:val="40"/>
          <w:w w:val="105"/>
          <w:sz w:val="19"/>
        </w:rPr>
        <w:t> </w:t>
      </w:r>
      <w:r>
        <w:rPr>
          <w:color w:val="008FDD"/>
          <w:w w:val="105"/>
          <w:sz w:val="19"/>
        </w:rPr>
        <w:t>logistics options,</w:t>
      </w:r>
      <w:r>
        <w:rPr>
          <w:color w:val="008FDD"/>
          <w:spacing w:val="40"/>
          <w:w w:val="105"/>
          <w:sz w:val="19"/>
        </w:rPr>
        <w:t> </w:t>
      </w:r>
      <w:r>
        <w:rPr>
          <w:color w:val="008FDD"/>
          <w:w w:val="105"/>
          <w:sz w:val="19"/>
        </w:rPr>
        <w:t>which</w:t>
      </w:r>
      <w:r>
        <w:rPr>
          <w:color w:val="008FDD"/>
          <w:spacing w:val="40"/>
          <w:w w:val="105"/>
          <w:sz w:val="19"/>
        </w:rPr>
        <w:t> </w:t>
      </w:r>
      <w:r>
        <w:rPr>
          <w:color w:val="008FDD"/>
          <w:w w:val="105"/>
          <w:sz w:val="19"/>
        </w:rPr>
        <w:t>lessen</w:t>
      </w:r>
      <w:r>
        <w:rPr>
          <w:color w:val="008FDD"/>
          <w:spacing w:val="40"/>
          <w:w w:val="105"/>
          <w:sz w:val="19"/>
        </w:rPr>
        <w:t> </w:t>
      </w:r>
      <w:r>
        <w:rPr>
          <w:color w:val="008FDD"/>
          <w:w w:val="105"/>
          <w:sz w:val="19"/>
        </w:rPr>
        <w:t>the</w:t>
      </w:r>
      <w:r>
        <w:rPr>
          <w:color w:val="008FDD"/>
          <w:spacing w:val="40"/>
          <w:w w:val="105"/>
          <w:sz w:val="19"/>
        </w:rPr>
        <w:t> </w:t>
      </w:r>
      <w:r>
        <w:rPr>
          <w:color w:val="008FDD"/>
          <w:w w:val="105"/>
          <w:sz w:val="19"/>
        </w:rPr>
        <w:t>carbon</w:t>
      </w:r>
      <w:r>
        <w:rPr>
          <w:color w:val="008FDD"/>
          <w:spacing w:val="40"/>
          <w:w w:val="105"/>
          <w:sz w:val="19"/>
        </w:rPr>
        <w:t> </w:t>
      </w:r>
      <w:r>
        <w:rPr>
          <w:color w:val="008FDD"/>
          <w:w w:val="105"/>
          <w:sz w:val="19"/>
        </w:rPr>
        <w:t>footprint</w:t>
      </w:r>
      <w:r>
        <w:rPr>
          <w:color w:val="008FDD"/>
          <w:spacing w:val="40"/>
          <w:w w:val="105"/>
          <w:sz w:val="19"/>
        </w:rPr>
        <w:t> </w:t>
      </w:r>
      <w:r>
        <w:rPr>
          <w:color w:val="008FDD"/>
          <w:w w:val="105"/>
          <w:sz w:val="19"/>
        </w:rPr>
        <w:t>of</w:t>
      </w:r>
      <w:r>
        <w:rPr>
          <w:color w:val="008FDD"/>
          <w:spacing w:val="40"/>
          <w:w w:val="105"/>
          <w:sz w:val="19"/>
        </w:rPr>
        <w:t> </w:t>
      </w:r>
      <w:r>
        <w:rPr>
          <w:color w:val="008FDD"/>
          <w:w w:val="105"/>
          <w:sz w:val="19"/>
        </w:rPr>
        <w:t>supply</w:t>
      </w:r>
      <w:r>
        <w:rPr>
          <w:color w:val="008FDD"/>
          <w:spacing w:val="40"/>
          <w:w w:val="105"/>
          <w:sz w:val="19"/>
        </w:rPr>
        <w:t> </w:t>
      </w:r>
      <w:r>
        <w:rPr>
          <w:color w:val="008FDD"/>
          <w:w w:val="105"/>
          <w:sz w:val="19"/>
        </w:rPr>
        <w:t>chains and keep trade moving.</w:t>
      </w:r>
    </w:p>
    <w:sectPr>
      <w:headerReference w:type="even" r:id="rId212"/>
      <w:footerReference w:type="even" r:id="rId213"/>
      <w:pgSz w:w="12240" w:h="15840"/>
      <w:pgMar w:header="0" w:footer="0" w:top="1140" w:bottom="280" w:left="0" w:right="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roma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39712">
              <wp:simplePos x="0" y="0"/>
              <wp:positionH relativeFrom="page">
                <wp:posOffset>3090468</wp:posOffset>
              </wp:positionH>
              <wp:positionV relativeFrom="page">
                <wp:posOffset>9570783</wp:posOffset>
              </wp:positionV>
              <wp:extent cx="4485640" cy="14351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4485640" cy="143510"/>
                      </a:xfrm>
                      <a:prstGeom prst="rect">
                        <a:avLst/>
                      </a:prstGeom>
                    </wps:spPr>
                    <wps:txbx>
                      <w:txbxContent>
                        <w:p>
                          <w:pPr>
                            <w:tabs>
                              <w:tab w:pos="6983" w:val="right" w:leader="none"/>
                            </w:tabs>
                            <w:spacing w:before="27"/>
                            <w:ind w:left="20" w:right="0" w:firstLine="0"/>
                            <w:jc w:val="left"/>
                            <w:rPr>
                              <w:rFonts w:ascii="Arial"/>
                              <w:b/>
                              <w:sz w:val="15"/>
                            </w:rPr>
                          </w:pPr>
                          <w:r>
                            <w:rPr>
                              <w:rFonts w:ascii="Arial"/>
                              <w:b/>
                              <w:color w:val="008FDD"/>
                              <w:spacing w:val="10"/>
                              <w:w w:val="105"/>
                              <w:sz w:val="12"/>
                            </w:rPr>
                            <w:t>CONNEC</w:t>
                          </w:r>
                          <w:r>
                            <w:rPr>
                              <w:rFonts w:ascii="Arial"/>
                              <w:b/>
                              <w:color w:val="008FDD"/>
                              <w:spacing w:val="-19"/>
                              <w:w w:val="105"/>
                              <w:sz w:val="12"/>
                            </w:rPr>
                            <w:t> </w:t>
                          </w:r>
                          <w:r>
                            <w:rPr>
                              <w:rFonts w:ascii="Arial"/>
                              <w:b/>
                              <w:color w:val="008FDD"/>
                              <w:w w:val="105"/>
                              <w:sz w:val="12"/>
                            </w:rPr>
                            <w:t>T</w:t>
                          </w:r>
                          <w:r>
                            <w:rPr>
                              <w:rFonts w:ascii="Arial"/>
                              <w:b/>
                              <w:color w:val="008FDD"/>
                              <w:spacing w:val="-21"/>
                              <w:w w:val="105"/>
                              <w:sz w:val="12"/>
                            </w:rPr>
                            <w:t> </w:t>
                          </w:r>
                          <w:r>
                            <w:rPr>
                              <w:rFonts w:ascii="Arial"/>
                              <w:b/>
                              <w:color w:val="008FDD"/>
                              <w:w w:val="105"/>
                              <w:sz w:val="12"/>
                            </w:rPr>
                            <w:t>ING</w:t>
                          </w:r>
                          <w:r>
                            <w:rPr>
                              <w:rFonts w:ascii="Arial"/>
                              <w:b/>
                              <w:color w:val="008FDD"/>
                              <w:spacing w:val="32"/>
                              <w:w w:val="105"/>
                              <w:sz w:val="12"/>
                            </w:rPr>
                            <w:t> </w:t>
                          </w:r>
                          <w:r>
                            <w:rPr>
                              <w:rFonts w:ascii="Arial"/>
                              <w:b/>
                              <w:color w:val="008FDD"/>
                              <w:w w:val="105"/>
                              <w:sz w:val="12"/>
                            </w:rPr>
                            <w:t>T</w:t>
                          </w:r>
                          <w:r>
                            <w:rPr>
                              <w:rFonts w:ascii="Arial"/>
                              <w:b/>
                              <w:color w:val="008FDD"/>
                              <w:spacing w:val="-19"/>
                              <w:w w:val="105"/>
                              <w:sz w:val="12"/>
                            </w:rPr>
                            <w:t> </w:t>
                          </w:r>
                          <w:r>
                            <w:rPr>
                              <w:rFonts w:ascii="Arial"/>
                              <w:b/>
                              <w:color w:val="008FDD"/>
                              <w:w w:val="105"/>
                              <w:sz w:val="12"/>
                            </w:rPr>
                            <w:t>O</w:t>
                          </w:r>
                          <w:r>
                            <w:rPr>
                              <w:rFonts w:ascii="Arial"/>
                              <w:b/>
                              <w:color w:val="008FDD"/>
                              <w:spacing w:val="32"/>
                              <w:w w:val="105"/>
                              <w:sz w:val="12"/>
                            </w:rPr>
                            <w:t> </w:t>
                          </w:r>
                          <w:r>
                            <w:rPr>
                              <w:rFonts w:ascii="Arial"/>
                              <w:b/>
                              <w:color w:val="008FDD"/>
                              <w:spacing w:val="11"/>
                              <w:w w:val="105"/>
                              <w:sz w:val="12"/>
                            </w:rPr>
                            <w:t>COMPET</w:t>
                          </w:r>
                          <w:r>
                            <w:rPr>
                              <w:rFonts w:ascii="Arial"/>
                              <w:b/>
                              <w:color w:val="008FDD"/>
                              <w:spacing w:val="-21"/>
                              <w:w w:val="105"/>
                              <w:sz w:val="12"/>
                            </w:rPr>
                            <w:t> </w:t>
                          </w:r>
                          <w:r>
                            <w:rPr>
                              <w:rFonts w:ascii="Arial"/>
                              <w:b/>
                              <w:color w:val="008FDD"/>
                              <w:w w:val="105"/>
                              <w:sz w:val="12"/>
                            </w:rPr>
                            <w:t>E</w:t>
                          </w:r>
                          <w:r>
                            <w:rPr>
                              <w:rFonts w:ascii="Arial"/>
                              <w:b/>
                              <w:color w:val="008FDD"/>
                              <w:spacing w:val="31"/>
                              <w:w w:val="110"/>
                              <w:sz w:val="12"/>
                            </w:rPr>
                            <w:t> </w:t>
                          </w:r>
                          <w:r>
                            <w:rPr>
                              <w:rFonts w:ascii="Arial"/>
                              <w:b/>
                              <w:color w:val="008FDD"/>
                              <w:w w:val="110"/>
                              <w:sz w:val="12"/>
                            </w:rPr>
                            <w:t>2023</w:t>
                          </w:r>
                          <w:r>
                            <w:rPr>
                              <w:rFonts w:ascii="Arial"/>
                              <w:b/>
                              <w:color w:val="008FDD"/>
                              <w:spacing w:val="28"/>
                              <w:w w:val="110"/>
                              <w:sz w:val="12"/>
                            </w:rPr>
                            <w:t> </w:t>
                          </w:r>
                          <w:r>
                            <w:rPr>
                              <w:rFonts w:ascii="Arial"/>
                              <w:color w:val="008FDD"/>
                              <w:w w:val="105"/>
                              <w:sz w:val="12"/>
                            </w:rPr>
                            <w:t>T</w:t>
                          </w:r>
                          <w:r>
                            <w:rPr>
                              <w:rFonts w:ascii="Arial"/>
                              <w:color w:val="008FDD"/>
                              <w:spacing w:val="-20"/>
                              <w:w w:val="105"/>
                              <w:sz w:val="12"/>
                            </w:rPr>
                            <w:t> </w:t>
                          </w:r>
                          <w:r>
                            <w:rPr>
                              <w:rFonts w:ascii="Arial"/>
                              <w:color w:val="008FDD"/>
                              <w:w w:val="105"/>
                              <w:sz w:val="12"/>
                            </w:rPr>
                            <w:t>R</w:t>
                          </w:r>
                          <w:r>
                            <w:rPr>
                              <w:rFonts w:ascii="Arial"/>
                              <w:color w:val="008FDD"/>
                              <w:spacing w:val="-19"/>
                              <w:w w:val="105"/>
                              <w:sz w:val="12"/>
                            </w:rPr>
                            <w:t> </w:t>
                          </w:r>
                          <w:r>
                            <w:rPr>
                              <w:rFonts w:ascii="Arial"/>
                              <w:color w:val="008FDD"/>
                              <w:w w:val="105"/>
                              <w:sz w:val="12"/>
                            </w:rPr>
                            <w:t>A</w:t>
                          </w:r>
                          <w:r>
                            <w:rPr>
                              <w:rFonts w:ascii="Arial"/>
                              <w:color w:val="008FDD"/>
                              <w:spacing w:val="-20"/>
                              <w:w w:val="105"/>
                              <w:sz w:val="12"/>
                            </w:rPr>
                            <w:t> </w:t>
                          </w:r>
                          <w:r>
                            <w:rPr>
                              <w:rFonts w:ascii="Arial"/>
                              <w:color w:val="008FDD"/>
                              <w:w w:val="105"/>
                              <w:sz w:val="12"/>
                            </w:rPr>
                            <w:t>DE</w:t>
                          </w:r>
                          <w:r>
                            <w:rPr>
                              <w:rFonts w:ascii="Arial"/>
                              <w:color w:val="008FDD"/>
                              <w:spacing w:val="30"/>
                              <w:w w:val="105"/>
                              <w:sz w:val="12"/>
                            </w:rPr>
                            <w:t> </w:t>
                          </w:r>
                          <w:r>
                            <w:rPr>
                              <w:rFonts w:ascii="Arial"/>
                              <w:color w:val="008FDD"/>
                              <w:w w:val="105"/>
                              <w:sz w:val="12"/>
                            </w:rPr>
                            <w:t>L</w:t>
                          </w:r>
                          <w:r>
                            <w:rPr>
                              <w:rFonts w:ascii="Arial"/>
                              <w:color w:val="008FDD"/>
                              <w:spacing w:val="-21"/>
                              <w:w w:val="105"/>
                              <w:sz w:val="12"/>
                            </w:rPr>
                            <w:t> </w:t>
                          </w:r>
                          <w:r>
                            <w:rPr>
                              <w:rFonts w:ascii="Arial"/>
                              <w:color w:val="008FDD"/>
                              <w:w w:val="105"/>
                              <w:sz w:val="12"/>
                            </w:rPr>
                            <w:t>O</w:t>
                          </w:r>
                          <w:r>
                            <w:rPr>
                              <w:rFonts w:ascii="Arial"/>
                              <w:color w:val="008FDD"/>
                              <w:spacing w:val="-20"/>
                              <w:w w:val="105"/>
                              <w:sz w:val="12"/>
                            </w:rPr>
                            <w:t> </w:t>
                          </w:r>
                          <w:r>
                            <w:rPr>
                              <w:rFonts w:ascii="Arial"/>
                              <w:color w:val="008FDD"/>
                              <w:w w:val="105"/>
                              <w:sz w:val="12"/>
                            </w:rPr>
                            <w:t>GIS</w:t>
                          </w:r>
                          <w:r>
                            <w:rPr>
                              <w:rFonts w:ascii="Arial"/>
                              <w:color w:val="008FDD"/>
                              <w:spacing w:val="-20"/>
                              <w:w w:val="105"/>
                              <w:sz w:val="12"/>
                            </w:rPr>
                            <w:t> </w:t>
                          </w:r>
                          <w:r>
                            <w:rPr>
                              <w:rFonts w:ascii="Arial"/>
                              <w:color w:val="008FDD"/>
                              <w:w w:val="105"/>
                              <w:sz w:val="12"/>
                            </w:rPr>
                            <w:t>T</w:t>
                          </w:r>
                          <w:r>
                            <w:rPr>
                              <w:rFonts w:ascii="Arial"/>
                              <w:color w:val="008FDD"/>
                              <w:spacing w:val="-19"/>
                              <w:w w:val="105"/>
                              <w:sz w:val="12"/>
                            </w:rPr>
                            <w:t> </w:t>
                          </w:r>
                          <w:r>
                            <w:rPr>
                              <w:rFonts w:ascii="Arial"/>
                              <w:color w:val="008FDD"/>
                              <w:w w:val="105"/>
                              <w:sz w:val="12"/>
                            </w:rPr>
                            <w:t>IC</w:t>
                          </w:r>
                          <w:r>
                            <w:rPr>
                              <w:rFonts w:ascii="Arial"/>
                              <w:color w:val="008FDD"/>
                              <w:spacing w:val="-19"/>
                              <w:w w:val="105"/>
                              <w:sz w:val="12"/>
                            </w:rPr>
                            <w:t> </w:t>
                          </w:r>
                          <w:r>
                            <w:rPr>
                              <w:rFonts w:ascii="Arial"/>
                              <w:color w:val="008FDD"/>
                              <w:w w:val="105"/>
                              <w:sz w:val="12"/>
                            </w:rPr>
                            <w:t>S</w:t>
                          </w:r>
                          <w:r>
                            <w:rPr>
                              <w:rFonts w:ascii="Arial"/>
                              <w:color w:val="008FDD"/>
                              <w:spacing w:val="30"/>
                              <w:w w:val="105"/>
                              <w:sz w:val="12"/>
                            </w:rPr>
                            <w:t> </w:t>
                          </w:r>
                          <w:r>
                            <w:rPr>
                              <w:rFonts w:ascii="Arial"/>
                              <w:color w:val="008FDD"/>
                              <w:w w:val="105"/>
                              <w:sz w:val="12"/>
                            </w:rPr>
                            <w:t>IN</w:t>
                          </w:r>
                          <w:r>
                            <w:rPr>
                              <w:rFonts w:ascii="Arial"/>
                              <w:color w:val="008FDD"/>
                              <w:spacing w:val="29"/>
                              <w:w w:val="105"/>
                              <w:sz w:val="12"/>
                            </w:rPr>
                            <w:t> </w:t>
                          </w:r>
                          <w:r>
                            <w:rPr>
                              <w:rFonts w:ascii="Arial"/>
                              <w:color w:val="008FDD"/>
                              <w:w w:val="105"/>
                              <w:sz w:val="12"/>
                            </w:rPr>
                            <w:t>A</w:t>
                          </w:r>
                          <w:r>
                            <w:rPr>
                              <w:rFonts w:ascii="Arial"/>
                              <w:color w:val="008FDD"/>
                              <w:spacing w:val="-19"/>
                              <w:w w:val="105"/>
                              <w:sz w:val="12"/>
                            </w:rPr>
                            <w:t> </w:t>
                          </w:r>
                          <w:r>
                            <w:rPr>
                              <w:rFonts w:ascii="Arial"/>
                              <w:color w:val="008FDD"/>
                              <w:w w:val="105"/>
                              <w:sz w:val="12"/>
                            </w:rPr>
                            <w:t>N</w:t>
                          </w:r>
                          <w:r>
                            <w:rPr>
                              <w:rFonts w:ascii="Arial"/>
                              <w:color w:val="008FDD"/>
                              <w:spacing w:val="30"/>
                              <w:w w:val="105"/>
                              <w:sz w:val="12"/>
                            </w:rPr>
                            <w:t> </w:t>
                          </w:r>
                          <w:r>
                            <w:rPr>
                              <w:rFonts w:ascii="Arial"/>
                              <w:color w:val="008FDD"/>
                              <w:w w:val="105"/>
                              <w:sz w:val="12"/>
                            </w:rPr>
                            <w:t>UNC</w:t>
                          </w:r>
                          <w:r>
                            <w:rPr>
                              <w:rFonts w:ascii="Arial"/>
                              <w:color w:val="008FDD"/>
                              <w:spacing w:val="-20"/>
                              <w:w w:val="105"/>
                              <w:sz w:val="12"/>
                            </w:rPr>
                            <w:t> </w:t>
                          </w:r>
                          <w:r>
                            <w:rPr>
                              <w:rFonts w:ascii="Arial"/>
                              <w:color w:val="008FDD"/>
                              <w:w w:val="105"/>
                              <w:sz w:val="12"/>
                            </w:rPr>
                            <w:t>ER</w:t>
                          </w:r>
                          <w:r>
                            <w:rPr>
                              <w:rFonts w:ascii="Arial"/>
                              <w:color w:val="008FDD"/>
                              <w:spacing w:val="-19"/>
                              <w:w w:val="105"/>
                              <w:sz w:val="12"/>
                            </w:rPr>
                            <w:t> </w:t>
                          </w:r>
                          <w:r>
                            <w:rPr>
                              <w:rFonts w:ascii="Arial"/>
                              <w:color w:val="008FDD"/>
                              <w:w w:val="105"/>
                              <w:sz w:val="12"/>
                            </w:rPr>
                            <w:t>TA</w:t>
                          </w:r>
                          <w:r>
                            <w:rPr>
                              <w:rFonts w:ascii="Arial"/>
                              <w:color w:val="008FDD"/>
                              <w:spacing w:val="-20"/>
                              <w:w w:val="105"/>
                              <w:sz w:val="12"/>
                            </w:rPr>
                            <w:t> </w:t>
                          </w:r>
                          <w:r>
                            <w:rPr>
                              <w:rFonts w:ascii="Arial"/>
                              <w:color w:val="008FDD"/>
                              <w:w w:val="105"/>
                              <w:sz w:val="12"/>
                            </w:rPr>
                            <w:t>IN</w:t>
                          </w:r>
                          <w:r>
                            <w:rPr>
                              <w:rFonts w:ascii="Arial"/>
                              <w:color w:val="008FDD"/>
                              <w:spacing w:val="30"/>
                              <w:w w:val="105"/>
                              <w:sz w:val="12"/>
                            </w:rPr>
                            <w:t> </w:t>
                          </w:r>
                          <w:r>
                            <w:rPr>
                              <w:rFonts w:ascii="Arial"/>
                              <w:color w:val="008FDD"/>
                              <w:w w:val="105"/>
                              <w:sz w:val="12"/>
                            </w:rPr>
                            <w:t>GL</w:t>
                          </w:r>
                          <w:r>
                            <w:rPr>
                              <w:rFonts w:ascii="Arial"/>
                              <w:color w:val="008FDD"/>
                              <w:spacing w:val="-21"/>
                              <w:w w:val="105"/>
                              <w:sz w:val="12"/>
                            </w:rPr>
                            <w:t> </w:t>
                          </w:r>
                          <w:r>
                            <w:rPr>
                              <w:rFonts w:ascii="Arial"/>
                              <w:color w:val="008FDD"/>
                              <w:spacing w:val="10"/>
                              <w:w w:val="105"/>
                              <w:sz w:val="12"/>
                            </w:rPr>
                            <w:t>OBAL</w:t>
                          </w:r>
                          <w:r>
                            <w:rPr>
                              <w:rFonts w:ascii="Arial"/>
                              <w:color w:val="008FDD"/>
                              <w:spacing w:val="30"/>
                              <w:w w:val="105"/>
                              <w:sz w:val="12"/>
                            </w:rPr>
                            <w:t> </w:t>
                          </w:r>
                          <w:r>
                            <w:rPr>
                              <w:rFonts w:ascii="Arial"/>
                              <w:color w:val="008FDD"/>
                              <w:w w:val="105"/>
                              <w:sz w:val="12"/>
                            </w:rPr>
                            <w:t>EC</w:t>
                          </w:r>
                          <w:r>
                            <w:rPr>
                              <w:rFonts w:ascii="Arial"/>
                              <w:color w:val="008FDD"/>
                              <w:spacing w:val="-20"/>
                              <w:w w:val="105"/>
                              <w:sz w:val="12"/>
                            </w:rPr>
                            <w:t> </w:t>
                          </w:r>
                          <w:r>
                            <w:rPr>
                              <w:rFonts w:ascii="Arial"/>
                              <w:color w:val="008FDD"/>
                              <w:spacing w:val="7"/>
                              <w:w w:val="105"/>
                              <w:sz w:val="12"/>
                            </w:rPr>
                            <w:t>ONOMY</w:t>
                          </w:r>
                          <w:r>
                            <w:rPr>
                              <w:rFonts w:ascii="Arial"/>
                              <w:color w:val="008FDD"/>
                              <w:sz w:val="12"/>
                            </w:rPr>
                            <w:tab/>
                          </w:r>
                          <w:r>
                            <w:rPr>
                              <w:rFonts w:ascii="Arial"/>
                              <w:b/>
                              <w:color w:val="231F20"/>
                              <w:spacing w:val="-10"/>
                              <w:w w:val="105"/>
                              <w:sz w:val="15"/>
                            </w:rPr>
                            <w:fldChar w:fldCharType="begin"/>
                          </w:r>
                          <w:r>
                            <w:rPr>
                              <w:rFonts w:ascii="Arial"/>
                              <w:b/>
                              <w:color w:val="231F20"/>
                              <w:spacing w:val="-10"/>
                              <w:w w:val="105"/>
                              <w:sz w:val="15"/>
                            </w:rPr>
                            <w:instrText> PAGE </w:instrText>
                          </w:r>
                          <w:r>
                            <w:rPr>
                              <w:rFonts w:ascii="Arial"/>
                              <w:b/>
                              <w:color w:val="231F20"/>
                              <w:spacing w:val="-10"/>
                              <w:w w:val="105"/>
                              <w:sz w:val="15"/>
                            </w:rPr>
                            <w:fldChar w:fldCharType="separate"/>
                          </w:r>
                          <w:r>
                            <w:rPr>
                              <w:rFonts w:ascii="Arial"/>
                              <w:b/>
                              <w:color w:val="231F20"/>
                              <w:spacing w:val="-10"/>
                              <w:w w:val="105"/>
                              <w:sz w:val="15"/>
                            </w:rPr>
                            <w:t>1</w:t>
                          </w:r>
                          <w:r>
                            <w:rPr>
                              <w:rFonts w:ascii="Arial"/>
                              <w:b/>
                              <w:color w:val="231F20"/>
                              <w:spacing w:val="-10"/>
                              <w:w w:val="105"/>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2pt;height:11.3pt;mso-position-horizontal-relative:page;mso-position-vertical-relative:page;z-index:-36576768" type="#_x0000_t202" id="docshape167" filled="false" stroked="false">
              <v:textbox inset="0,0,0,0">
                <w:txbxContent>
                  <w:p>
                    <w:pPr>
                      <w:tabs>
                        <w:tab w:pos="6983" w:val="right" w:leader="none"/>
                      </w:tabs>
                      <w:spacing w:before="27"/>
                      <w:ind w:left="20" w:right="0" w:firstLine="0"/>
                      <w:jc w:val="left"/>
                      <w:rPr>
                        <w:rFonts w:ascii="Arial"/>
                        <w:b/>
                        <w:sz w:val="15"/>
                      </w:rPr>
                    </w:pPr>
                    <w:r>
                      <w:rPr>
                        <w:rFonts w:ascii="Arial"/>
                        <w:b/>
                        <w:color w:val="008FDD"/>
                        <w:spacing w:val="10"/>
                        <w:w w:val="105"/>
                        <w:sz w:val="12"/>
                      </w:rPr>
                      <w:t>CONNEC</w:t>
                    </w:r>
                    <w:r>
                      <w:rPr>
                        <w:rFonts w:ascii="Arial"/>
                        <w:b/>
                        <w:color w:val="008FDD"/>
                        <w:spacing w:val="-19"/>
                        <w:w w:val="105"/>
                        <w:sz w:val="12"/>
                      </w:rPr>
                      <w:t> </w:t>
                    </w:r>
                    <w:r>
                      <w:rPr>
                        <w:rFonts w:ascii="Arial"/>
                        <w:b/>
                        <w:color w:val="008FDD"/>
                        <w:w w:val="105"/>
                        <w:sz w:val="12"/>
                      </w:rPr>
                      <w:t>T</w:t>
                    </w:r>
                    <w:r>
                      <w:rPr>
                        <w:rFonts w:ascii="Arial"/>
                        <w:b/>
                        <w:color w:val="008FDD"/>
                        <w:spacing w:val="-21"/>
                        <w:w w:val="105"/>
                        <w:sz w:val="12"/>
                      </w:rPr>
                      <w:t> </w:t>
                    </w:r>
                    <w:r>
                      <w:rPr>
                        <w:rFonts w:ascii="Arial"/>
                        <w:b/>
                        <w:color w:val="008FDD"/>
                        <w:w w:val="105"/>
                        <w:sz w:val="12"/>
                      </w:rPr>
                      <w:t>ING</w:t>
                    </w:r>
                    <w:r>
                      <w:rPr>
                        <w:rFonts w:ascii="Arial"/>
                        <w:b/>
                        <w:color w:val="008FDD"/>
                        <w:spacing w:val="32"/>
                        <w:w w:val="105"/>
                        <w:sz w:val="12"/>
                      </w:rPr>
                      <w:t> </w:t>
                    </w:r>
                    <w:r>
                      <w:rPr>
                        <w:rFonts w:ascii="Arial"/>
                        <w:b/>
                        <w:color w:val="008FDD"/>
                        <w:w w:val="105"/>
                        <w:sz w:val="12"/>
                      </w:rPr>
                      <w:t>T</w:t>
                    </w:r>
                    <w:r>
                      <w:rPr>
                        <w:rFonts w:ascii="Arial"/>
                        <w:b/>
                        <w:color w:val="008FDD"/>
                        <w:spacing w:val="-19"/>
                        <w:w w:val="105"/>
                        <w:sz w:val="12"/>
                      </w:rPr>
                      <w:t> </w:t>
                    </w:r>
                    <w:r>
                      <w:rPr>
                        <w:rFonts w:ascii="Arial"/>
                        <w:b/>
                        <w:color w:val="008FDD"/>
                        <w:w w:val="105"/>
                        <w:sz w:val="12"/>
                      </w:rPr>
                      <w:t>O</w:t>
                    </w:r>
                    <w:r>
                      <w:rPr>
                        <w:rFonts w:ascii="Arial"/>
                        <w:b/>
                        <w:color w:val="008FDD"/>
                        <w:spacing w:val="32"/>
                        <w:w w:val="105"/>
                        <w:sz w:val="12"/>
                      </w:rPr>
                      <w:t> </w:t>
                    </w:r>
                    <w:r>
                      <w:rPr>
                        <w:rFonts w:ascii="Arial"/>
                        <w:b/>
                        <w:color w:val="008FDD"/>
                        <w:spacing w:val="11"/>
                        <w:w w:val="105"/>
                        <w:sz w:val="12"/>
                      </w:rPr>
                      <w:t>COMPET</w:t>
                    </w:r>
                    <w:r>
                      <w:rPr>
                        <w:rFonts w:ascii="Arial"/>
                        <w:b/>
                        <w:color w:val="008FDD"/>
                        <w:spacing w:val="-21"/>
                        <w:w w:val="105"/>
                        <w:sz w:val="12"/>
                      </w:rPr>
                      <w:t> </w:t>
                    </w:r>
                    <w:r>
                      <w:rPr>
                        <w:rFonts w:ascii="Arial"/>
                        <w:b/>
                        <w:color w:val="008FDD"/>
                        <w:w w:val="105"/>
                        <w:sz w:val="12"/>
                      </w:rPr>
                      <w:t>E</w:t>
                    </w:r>
                    <w:r>
                      <w:rPr>
                        <w:rFonts w:ascii="Arial"/>
                        <w:b/>
                        <w:color w:val="008FDD"/>
                        <w:spacing w:val="31"/>
                        <w:w w:val="110"/>
                        <w:sz w:val="12"/>
                      </w:rPr>
                      <w:t> </w:t>
                    </w:r>
                    <w:r>
                      <w:rPr>
                        <w:rFonts w:ascii="Arial"/>
                        <w:b/>
                        <w:color w:val="008FDD"/>
                        <w:w w:val="110"/>
                        <w:sz w:val="12"/>
                      </w:rPr>
                      <w:t>2023</w:t>
                    </w:r>
                    <w:r>
                      <w:rPr>
                        <w:rFonts w:ascii="Arial"/>
                        <w:b/>
                        <w:color w:val="008FDD"/>
                        <w:spacing w:val="28"/>
                        <w:w w:val="110"/>
                        <w:sz w:val="12"/>
                      </w:rPr>
                      <w:t> </w:t>
                    </w:r>
                    <w:r>
                      <w:rPr>
                        <w:rFonts w:ascii="Arial"/>
                        <w:color w:val="008FDD"/>
                        <w:w w:val="105"/>
                        <w:sz w:val="12"/>
                      </w:rPr>
                      <w:t>T</w:t>
                    </w:r>
                    <w:r>
                      <w:rPr>
                        <w:rFonts w:ascii="Arial"/>
                        <w:color w:val="008FDD"/>
                        <w:spacing w:val="-20"/>
                        <w:w w:val="105"/>
                        <w:sz w:val="12"/>
                      </w:rPr>
                      <w:t> </w:t>
                    </w:r>
                    <w:r>
                      <w:rPr>
                        <w:rFonts w:ascii="Arial"/>
                        <w:color w:val="008FDD"/>
                        <w:w w:val="105"/>
                        <w:sz w:val="12"/>
                      </w:rPr>
                      <w:t>R</w:t>
                    </w:r>
                    <w:r>
                      <w:rPr>
                        <w:rFonts w:ascii="Arial"/>
                        <w:color w:val="008FDD"/>
                        <w:spacing w:val="-19"/>
                        <w:w w:val="105"/>
                        <w:sz w:val="12"/>
                      </w:rPr>
                      <w:t> </w:t>
                    </w:r>
                    <w:r>
                      <w:rPr>
                        <w:rFonts w:ascii="Arial"/>
                        <w:color w:val="008FDD"/>
                        <w:w w:val="105"/>
                        <w:sz w:val="12"/>
                      </w:rPr>
                      <w:t>A</w:t>
                    </w:r>
                    <w:r>
                      <w:rPr>
                        <w:rFonts w:ascii="Arial"/>
                        <w:color w:val="008FDD"/>
                        <w:spacing w:val="-20"/>
                        <w:w w:val="105"/>
                        <w:sz w:val="12"/>
                      </w:rPr>
                      <w:t> </w:t>
                    </w:r>
                    <w:r>
                      <w:rPr>
                        <w:rFonts w:ascii="Arial"/>
                        <w:color w:val="008FDD"/>
                        <w:w w:val="105"/>
                        <w:sz w:val="12"/>
                      </w:rPr>
                      <w:t>DE</w:t>
                    </w:r>
                    <w:r>
                      <w:rPr>
                        <w:rFonts w:ascii="Arial"/>
                        <w:color w:val="008FDD"/>
                        <w:spacing w:val="30"/>
                        <w:w w:val="105"/>
                        <w:sz w:val="12"/>
                      </w:rPr>
                      <w:t> </w:t>
                    </w:r>
                    <w:r>
                      <w:rPr>
                        <w:rFonts w:ascii="Arial"/>
                        <w:color w:val="008FDD"/>
                        <w:w w:val="105"/>
                        <w:sz w:val="12"/>
                      </w:rPr>
                      <w:t>L</w:t>
                    </w:r>
                    <w:r>
                      <w:rPr>
                        <w:rFonts w:ascii="Arial"/>
                        <w:color w:val="008FDD"/>
                        <w:spacing w:val="-21"/>
                        <w:w w:val="105"/>
                        <w:sz w:val="12"/>
                      </w:rPr>
                      <w:t> </w:t>
                    </w:r>
                    <w:r>
                      <w:rPr>
                        <w:rFonts w:ascii="Arial"/>
                        <w:color w:val="008FDD"/>
                        <w:w w:val="105"/>
                        <w:sz w:val="12"/>
                      </w:rPr>
                      <w:t>O</w:t>
                    </w:r>
                    <w:r>
                      <w:rPr>
                        <w:rFonts w:ascii="Arial"/>
                        <w:color w:val="008FDD"/>
                        <w:spacing w:val="-20"/>
                        <w:w w:val="105"/>
                        <w:sz w:val="12"/>
                      </w:rPr>
                      <w:t> </w:t>
                    </w:r>
                    <w:r>
                      <w:rPr>
                        <w:rFonts w:ascii="Arial"/>
                        <w:color w:val="008FDD"/>
                        <w:w w:val="105"/>
                        <w:sz w:val="12"/>
                      </w:rPr>
                      <w:t>GIS</w:t>
                    </w:r>
                    <w:r>
                      <w:rPr>
                        <w:rFonts w:ascii="Arial"/>
                        <w:color w:val="008FDD"/>
                        <w:spacing w:val="-20"/>
                        <w:w w:val="105"/>
                        <w:sz w:val="12"/>
                      </w:rPr>
                      <w:t> </w:t>
                    </w:r>
                    <w:r>
                      <w:rPr>
                        <w:rFonts w:ascii="Arial"/>
                        <w:color w:val="008FDD"/>
                        <w:w w:val="105"/>
                        <w:sz w:val="12"/>
                      </w:rPr>
                      <w:t>T</w:t>
                    </w:r>
                    <w:r>
                      <w:rPr>
                        <w:rFonts w:ascii="Arial"/>
                        <w:color w:val="008FDD"/>
                        <w:spacing w:val="-19"/>
                        <w:w w:val="105"/>
                        <w:sz w:val="12"/>
                      </w:rPr>
                      <w:t> </w:t>
                    </w:r>
                    <w:r>
                      <w:rPr>
                        <w:rFonts w:ascii="Arial"/>
                        <w:color w:val="008FDD"/>
                        <w:w w:val="105"/>
                        <w:sz w:val="12"/>
                      </w:rPr>
                      <w:t>IC</w:t>
                    </w:r>
                    <w:r>
                      <w:rPr>
                        <w:rFonts w:ascii="Arial"/>
                        <w:color w:val="008FDD"/>
                        <w:spacing w:val="-19"/>
                        <w:w w:val="105"/>
                        <w:sz w:val="12"/>
                      </w:rPr>
                      <w:t> </w:t>
                    </w:r>
                    <w:r>
                      <w:rPr>
                        <w:rFonts w:ascii="Arial"/>
                        <w:color w:val="008FDD"/>
                        <w:w w:val="105"/>
                        <w:sz w:val="12"/>
                      </w:rPr>
                      <w:t>S</w:t>
                    </w:r>
                    <w:r>
                      <w:rPr>
                        <w:rFonts w:ascii="Arial"/>
                        <w:color w:val="008FDD"/>
                        <w:spacing w:val="30"/>
                        <w:w w:val="105"/>
                        <w:sz w:val="12"/>
                      </w:rPr>
                      <w:t> </w:t>
                    </w:r>
                    <w:r>
                      <w:rPr>
                        <w:rFonts w:ascii="Arial"/>
                        <w:color w:val="008FDD"/>
                        <w:w w:val="105"/>
                        <w:sz w:val="12"/>
                      </w:rPr>
                      <w:t>IN</w:t>
                    </w:r>
                    <w:r>
                      <w:rPr>
                        <w:rFonts w:ascii="Arial"/>
                        <w:color w:val="008FDD"/>
                        <w:spacing w:val="29"/>
                        <w:w w:val="105"/>
                        <w:sz w:val="12"/>
                      </w:rPr>
                      <w:t> </w:t>
                    </w:r>
                    <w:r>
                      <w:rPr>
                        <w:rFonts w:ascii="Arial"/>
                        <w:color w:val="008FDD"/>
                        <w:w w:val="105"/>
                        <w:sz w:val="12"/>
                      </w:rPr>
                      <w:t>A</w:t>
                    </w:r>
                    <w:r>
                      <w:rPr>
                        <w:rFonts w:ascii="Arial"/>
                        <w:color w:val="008FDD"/>
                        <w:spacing w:val="-19"/>
                        <w:w w:val="105"/>
                        <w:sz w:val="12"/>
                      </w:rPr>
                      <w:t> </w:t>
                    </w:r>
                    <w:r>
                      <w:rPr>
                        <w:rFonts w:ascii="Arial"/>
                        <w:color w:val="008FDD"/>
                        <w:w w:val="105"/>
                        <w:sz w:val="12"/>
                      </w:rPr>
                      <w:t>N</w:t>
                    </w:r>
                    <w:r>
                      <w:rPr>
                        <w:rFonts w:ascii="Arial"/>
                        <w:color w:val="008FDD"/>
                        <w:spacing w:val="30"/>
                        <w:w w:val="105"/>
                        <w:sz w:val="12"/>
                      </w:rPr>
                      <w:t> </w:t>
                    </w:r>
                    <w:r>
                      <w:rPr>
                        <w:rFonts w:ascii="Arial"/>
                        <w:color w:val="008FDD"/>
                        <w:w w:val="105"/>
                        <w:sz w:val="12"/>
                      </w:rPr>
                      <w:t>UNC</w:t>
                    </w:r>
                    <w:r>
                      <w:rPr>
                        <w:rFonts w:ascii="Arial"/>
                        <w:color w:val="008FDD"/>
                        <w:spacing w:val="-20"/>
                        <w:w w:val="105"/>
                        <w:sz w:val="12"/>
                      </w:rPr>
                      <w:t> </w:t>
                    </w:r>
                    <w:r>
                      <w:rPr>
                        <w:rFonts w:ascii="Arial"/>
                        <w:color w:val="008FDD"/>
                        <w:w w:val="105"/>
                        <w:sz w:val="12"/>
                      </w:rPr>
                      <w:t>ER</w:t>
                    </w:r>
                    <w:r>
                      <w:rPr>
                        <w:rFonts w:ascii="Arial"/>
                        <w:color w:val="008FDD"/>
                        <w:spacing w:val="-19"/>
                        <w:w w:val="105"/>
                        <w:sz w:val="12"/>
                      </w:rPr>
                      <w:t> </w:t>
                    </w:r>
                    <w:r>
                      <w:rPr>
                        <w:rFonts w:ascii="Arial"/>
                        <w:color w:val="008FDD"/>
                        <w:w w:val="105"/>
                        <w:sz w:val="12"/>
                      </w:rPr>
                      <w:t>TA</w:t>
                    </w:r>
                    <w:r>
                      <w:rPr>
                        <w:rFonts w:ascii="Arial"/>
                        <w:color w:val="008FDD"/>
                        <w:spacing w:val="-20"/>
                        <w:w w:val="105"/>
                        <w:sz w:val="12"/>
                      </w:rPr>
                      <w:t> </w:t>
                    </w:r>
                    <w:r>
                      <w:rPr>
                        <w:rFonts w:ascii="Arial"/>
                        <w:color w:val="008FDD"/>
                        <w:w w:val="105"/>
                        <w:sz w:val="12"/>
                      </w:rPr>
                      <w:t>IN</w:t>
                    </w:r>
                    <w:r>
                      <w:rPr>
                        <w:rFonts w:ascii="Arial"/>
                        <w:color w:val="008FDD"/>
                        <w:spacing w:val="30"/>
                        <w:w w:val="105"/>
                        <w:sz w:val="12"/>
                      </w:rPr>
                      <w:t> </w:t>
                    </w:r>
                    <w:r>
                      <w:rPr>
                        <w:rFonts w:ascii="Arial"/>
                        <w:color w:val="008FDD"/>
                        <w:w w:val="105"/>
                        <w:sz w:val="12"/>
                      </w:rPr>
                      <w:t>GL</w:t>
                    </w:r>
                    <w:r>
                      <w:rPr>
                        <w:rFonts w:ascii="Arial"/>
                        <w:color w:val="008FDD"/>
                        <w:spacing w:val="-21"/>
                        <w:w w:val="105"/>
                        <w:sz w:val="12"/>
                      </w:rPr>
                      <w:t> </w:t>
                    </w:r>
                    <w:r>
                      <w:rPr>
                        <w:rFonts w:ascii="Arial"/>
                        <w:color w:val="008FDD"/>
                        <w:spacing w:val="10"/>
                        <w:w w:val="105"/>
                        <w:sz w:val="12"/>
                      </w:rPr>
                      <w:t>OBAL</w:t>
                    </w:r>
                    <w:r>
                      <w:rPr>
                        <w:rFonts w:ascii="Arial"/>
                        <w:color w:val="008FDD"/>
                        <w:spacing w:val="30"/>
                        <w:w w:val="105"/>
                        <w:sz w:val="12"/>
                      </w:rPr>
                      <w:t> </w:t>
                    </w:r>
                    <w:r>
                      <w:rPr>
                        <w:rFonts w:ascii="Arial"/>
                        <w:color w:val="008FDD"/>
                        <w:w w:val="105"/>
                        <w:sz w:val="12"/>
                      </w:rPr>
                      <w:t>EC</w:t>
                    </w:r>
                    <w:r>
                      <w:rPr>
                        <w:rFonts w:ascii="Arial"/>
                        <w:color w:val="008FDD"/>
                        <w:spacing w:val="-20"/>
                        <w:w w:val="105"/>
                        <w:sz w:val="12"/>
                      </w:rPr>
                      <w:t> </w:t>
                    </w:r>
                    <w:r>
                      <w:rPr>
                        <w:rFonts w:ascii="Arial"/>
                        <w:color w:val="008FDD"/>
                        <w:spacing w:val="7"/>
                        <w:w w:val="105"/>
                        <w:sz w:val="12"/>
                      </w:rPr>
                      <w:t>ONOMY</w:t>
                    </w:r>
                    <w:r>
                      <w:rPr>
                        <w:rFonts w:ascii="Arial"/>
                        <w:color w:val="008FDD"/>
                        <w:sz w:val="12"/>
                      </w:rPr>
                      <w:tab/>
                    </w:r>
                    <w:r>
                      <w:rPr>
                        <w:rFonts w:ascii="Arial"/>
                        <w:b/>
                        <w:color w:val="231F20"/>
                        <w:spacing w:val="-10"/>
                        <w:w w:val="105"/>
                        <w:sz w:val="15"/>
                      </w:rPr>
                      <w:fldChar w:fldCharType="begin"/>
                    </w:r>
                    <w:r>
                      <w:rPr>
                        <w:rFonts w:ascii="Arial"/>
                        <w:b/>
                        <w:color w:val="231F20"/>
                        <w:spacing w:val="-10"/>
                        <w:w w:val="105"/>
                        <w:sz w:val="15"/>
                      </w:rPr>
                      <w:instrText> PAGE </w:instrText>
                    </w:r>
                    <w:r>
                      <w:rPr>
                        <w:rFonts w:ascii="Arial"/>
                        <w:b/>
                        <w:color w:val="231F20"/>
                        <w:spacing w:val="-10"/>
                        <w:w w:val="105"/>
                        <w:sz w:val="15"/>
                      </w:rPr>
                      <w:fldChar w:fldCharType="separate"/>
                    </w:r>
                    <w:r>
                      <w:rPr>
                        <w:rFonts w:ascii="Arial"/>
                        <w:b/>
                        <w:color w:val="231F20"/>
                        <w:spacing w:val="-10"/>
                        <w:w w:val="105"/>
                        <w:sz w:val="15"/>
                      </w:rPr>
                      <w:t>1</w:t>
                    </w:r>
                    <w:r>
                      <w:rPr>
                        <w:rFonts w:ascii="Arial"/>
                        <w:b/>
                        <w:color w:val="231F20"/>
                        <w:spacing w:val="-10"/>
                        <w:w w:val="105"/>
                        <w:sz w:val="15"/>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0224">
              <wp:simplePos x="0" y="0"/>
              <wp:positionH relativeFrom="page">
                <wp:posOffset>312421</wp:posOffset>
              </wp:positionH>
              <wp:positionV relativeFrom="page">
                <wp:posOffset>9570783</wp:posOffset>
              </wp:positionV>
              <wp:extent cx="4343400" cy="14351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4343400" cy="143510"/>
                      </a:xfrm>
                      <a:prstGeom prst="rect">
                        <a:avLst/>
                      </a:prstGeom>
                    </wps:spPr>
                    <wps:txbx>
                      <w:txbxContent>
                        <w:p>
                          <w:pPr>
                            <w:tabs>
                              <w:tab w:pos="407" w:val="left" w:leader="none"/>
                            </w:tabs>
                            <w:spacing w:before="27"/>
                            <w:ind w:left="60" w:right="0" w:firstLine="0"/>
                            <w:jc w:val="left"/>
                            <w:rPr>
                              <w:rFonts w:ascii="Arial"/>
                              <w:sz w:val="12"/>
                            </w:rPr>
                          </w:pPr>
                          <w:r>
                            <w:rPr>
                              <w:rFonts w:ascii="Arial"/>
                              <w:b/>
                              <w:color w:val="231F20"/>
                              <w:spacing w:val="-10"/>
                              <w:w w:val="105"/>
                              <w:sz w:val="15"/>
                            </w:rPr>
                            <w:fldChar w:fldCharType="begin"/>
                          </w:r>
                          <w:r>
                            <w:rPr>
                              <w:rFonts w:ascii="Arial"/>
                              <w:b/>
                              <w:color w:val="231F20"/>
                              <w:spacing w:val="-10"/>
                              <w:w w:val="105"/>
                              <w:sz w:val="15"/>
                            </w:rPr>
                            <w:instrText> PAGE </w:instrText>
                          </w:r>
                          <w:r>
                            <w:rPr>
                              <w:rFonts w:ascii="Arial"/>
                              <w:b/>
                              <w:color w:val="231F20"/>
                              <w:spacing w:val="-10"/>
                              <w:w w:val="105"/>
                              <w:sz w:val="15"/>
                            </w:rPr>
                            <w:fldChar w:fldCharType="separate"/>
                          </w:r>
                          <w:r>
                            <w:rPr>
                              <w:rFonts w:ascii="Arial"/>
                              <w:b/>
                              <w:color w:val="231F20"/>
                              <w:spacing w:val="-10"/>
                              <w:w w:val="105"/>
                              <w:sz w:val="15"/>
                            </w:rPr>
                            <w:t>2</w:t>
                          </w:r>
                          <w:r>
                            <w:rPr>
                              <w:rFonts w:ascii="Arial"/>
                              <w:b/>
                              <w:color w:val="231F20"/>
                              <w:spacing w:val="-10"/>
                              <w:w w:val="105"/>
                              <w:sz w:val="15"/>
                            </w:rPr>
                            <w:fldChar w:fldCharType="end"/>
                          </w:r>
                          <w:r>
                            <w:rPr>
                              <w:rFonts w:ascii="Arial"/>
                              <w:b/>
                              <w:color w:val="231F20"/>
                              <w:sz w:val="15"/>
                            </w:rPr>
                            <w:tab/>
                          </w:r>
                          <w:r>
                            <w:rPr>
                              <w:rFonts w:ascii="Arial"/>
                              <w:b/>
                              <w:color w:val="008FDD"/>
                              <w:spacing w:val="10"/>
                              <w:w w:val="105"/>
                              <w:sz w:val="12"/>
                            </w:rPr>
                            <w:t>CONNEC</w:t>
                          </w:r>
                          <w:r>
                            <w:rPr>
                              <w:rFonts w:ascii="Arial"/>
                              <w:b/>
                              <w:color w:val="008FDD"/>
                              <w:spacing w:val="-19"/>
                              <w:w w:val="105"/>
                              <w:sz w:val="12"/>
                            </w:rPr>
                            <w:t> </w:t>
                          </w:r>
                          <w:r>
                            <w:rPr>
                              <w:rFonts w:ascii="Arial"/>
                              <w:b/>
                              <w:color w:val="008FDD"/>
                              <w:w w:val="105"/>
                              <w:sz w:val="12"/>
                            </w:rPr>
                            <w:t>T</w:t>
                          </w:r>
                          <w:r>
                            <w:rPr>
                              <w:rFonts w:ascii="Arial"/>
                              <w:b/>
                              <w:color w:val="008FDD"/>
                              <w:spacing w:val="-21"/>
                              <w:w w:val="105"/>
                              <w:sz w:val="12"/>
                            </w:rPr>
                            <w:t> </w:t>
                          </w:r>
                          <w:r>
                            <w:rPr>
                              <w:rFonts w:ascii="Arial"/>
                              <w:b/>
                              <w:color w:val="008FDD"/>
                              <w:w w:val="105"/>
                              <w:sz w:val="12"/>
                            </w:rPr>
                            <w:t>ING</w:t>
                          </w:r>
                          <w:r>
                            <w:rPr>
                              <w:rFonts w:ascii="Arial"/>
                              <w:b/>
                              <w:color w:val="008FDD"/>
                              <w:spacing w:val="32"/>
                              <w:w w:val="105"/>
                              <w:sz w:val="12"/>
                            </w:rPr>
                            <w:t> </w:t>
                          </w:r>
                          <w:r>
                            <w:rPr>
                              <w:rFonts w:ascii="Arial"/>
                              <w:b/>
                              <w:color w:val="008FDD"/>
                              <w:w w:val="105"/>
                              <w:sz w:val="12"/>
                            </w:rPr>
                            <w:t>T</w:t>
                          </w:r>
                          <w:r>
                            <w:rPr>
                              <w:rFonts w:ascii="Arial"/>
                              <w:b/>
                              <w:color w:val="008FDD"/>
                              <w:spacing w:val="-19"/>
                              <w:w w:val="105"/>
                              <w:sz w:val="12"/>
                            </w:rPr>
                            <w:t> </w:t>
                          </w:r>
                          <w:r>
                            <w:rPr>
                              <w:rFonts w:ascii="Arial"/>
                              <w:b/>
                              <w:color w:val="008FDD"/>
                              <w:w w:val="105"/>
                              <w:sz w:val="12"/>
                            </w:rPr>
                            <w:t>O</w:t>
                          </w:r>
                          <w:r>
                            <w:rPr>
                              <w:rFonts w:ascii="Arial"/>
                              <w:b/>
                              <w:color w:val="008FDD"/>
                              <w:spacing w:val="32"/>
                              <w:w w:val="105"/>
                              <w:sz w:val="12"/>
                            </w:rPr>
                            <w:t> </w:t>
                          </w:r>
                          <w:r>
                            <w:rPr>
                              <w:rFonts w:ascii="Arial"/>
                              <w:b/>
                              <w:color w:val="008FDD"/>
                              <w:spacing w:val="11"/>
                              <w:w w:val="105"/>
                              <w:sz w:val="12"/>
                            </w:rPr>
                            <w:t>COMPET</w:t>
                          </w:r>
                          <w:r>
                            <w:rPr>
                              <w:rFonts w:ascii="Arial"/>
                              <w:b/>
                              <w:color w:val="008FDD"/>
                              <w:spacing w:val="-21"/>
                              <w:w w:val="105"/>
                              <w:sz w:val="12"/>
                            </w:rPr>
                            <w:t> </w:t>
                          </w:r>
                          <w:r>
                            <w:rPr>
                              <w:rFonts w:ascii="Arial"/>
                              <w:b/>
                              <w:color w:val="008FDD"/>
                              <w:w w:val="105"/>
                              <w:sz w:val="12"/>
                            </w:rPr>
                            <w:t>E</w:t>
                          </w:r>
                          <w:r>
                            <w:rPr>
                              <w:rFonts w:ascii="Arial"/>
                              <w:b/>
                              <w:color w:val="008FDD"/>
                              <w:spacing w:val="31"/>
                              <w:w w:val="110"/>
                              <w:sz w:val="12"/>
                            </w:rPr>
                            <w:t> </w:t>
                          </w:r>
                          <w:r>
                            <w:rPr>
                              <w:rFonts w:ascii="Arial"/>
                              <w:b/>
                              <w:color w:val="008FDD"/>
                              <w:w w:val="110"/>
                              <w:sz w:val="12"/>
                            </w:rPr>
                            <w:t>2023</w:t>
                          </w:r>
                          <w:r>
                            <w:rPr>
                              <w:rFonts w:ascii="Arial"/>
                              <w:b/>
                              <w:color w:val="008FDD"/>
                              <w:spacing w:val="28"/>
                              <w:w w:val="110"/>
                              <w:sz w:val="12"/>
                            </w:rPr>
                            <w:t> </w:t>
                          </w:r>
                          <w:r>
                            <w:rPr>
                              <w:rFonts w:ascii="Arial"/>
                              <w:color w:val="008FDD"/>
                              <w:w w:val="105"/>
                              <w:sz w:val="12"/>
                            </w:rPr>
                            <w:t>T</w:t>
                          </w:r>
                          <w:r>
                            <w:rPr>
                              <w:rFonts w:ascii="Arial"/>
                              <w:color w:val="008FDD"/>
                              <w:spacing w:val="-20"/>
                              <w:w w:val="105"/>
                              <w:sz w:val="12"/>
                            </w:rPr>
                            <w:t> </w:t>
                          </w:r>
                          <w:r>
                            <w:rPr>
                              <w:rFonts w:ascii="Arial"/>
                              <w:color w:val="008FDD"/>
                              <w:w w:val="105"/>
                              <w:sz w:val="12"/>
                            </w:rPr>
                            <w:t>R</w:t>
                          </w:r>
                          <w:r>
                            <w:rPr>
                              <w:rFonts w:ascii="Arial"/>
                              <w:color w:val="008FDD"/>
                              <w:spacing w:val="-19"/>
                              <w:w w:val="105"/>
                              <w:sz w:val="12"/>
                            </w:rPr>
                            <w:t> </w:t>
                          </w:r>
                          <w:r>
                            <w:rPr>
                              <w:rFonts w:ascii="Arial"/>
                              <w:color w:val="008FDD"/>
                              <w:w w:val="105"/>
                              <w:sz w:val="12"/>
                            </w:rPr>
                            <w:t>A</w:t>
                          </w:r>
                          <w:r>
                            <w:rPr>
                              <w:rFonts w:ascii="Arial"/>
                              <w:color w:val="008FDD"/>
                              <w:spacing w:val="-20"/>
                              <w:w w:val="105"/>
                              <w:sz w:val="12"/>
                            </w:rPr>
                            <w:t> </w:t>
                          </w:r>
                          <w:r>
                            <w:rPr>
                              <w:rFonts w:ascii="Arial"/>
                              <w:color w:val="008FDD"/>
                              <w:w w:val="105"/>
                              <w:sz w:val="12"/>
                            </w:rPr>
                            <w:t>DE</w:t>
                          </w:r>
                          <w:r>
                            <w:rPr>
                              <w:rFonts w:ascii="Arial"/>
                              <w:color w:val="008FDD"/>
                              <w:spacing w:val="30"/>
                              <w:w w:val="105"/>
                              <w:sz w:val="12"/>
                            </w:rPr>
                            <w:t> </w:t>
                          </w:r>
                          <w:r>
                            <w:rPr>
                              <w:rFonts w:ascii="Arial"/>
                              <w:color w:val="008FDD"/>
                              <w:w w:val="105"/>
                              <w:sz w:val="12"/>
                            </w:rPr>
                            <w:t>L</w:t>
                          </w:r>
                          <w:r>
                            <w:rPr>
                              <w:rFonts w:ascii="Arial"/>
                              <w:color w:val="008FDD"/>
                              <w:spacing w:val="-21"/>
                              <w:w w:val="105"/>
                              <w:sz w:val="12"/>
                            </w:rPr>
                            <w:t> </w:t>
                          </w:r>
                          <w:r>
                            <w:rPr>
                              <w:rFonts w:ascii="Arial"/>
                              <w:color w:val="008FDD"/>
                              <w:w w:val="105"/>
                              <w:sz w:val="12"/>
                            </w:rPr>
                            <w:t>O</w:t>
                          </w:r>
                          <w:r>
                            <w:rPr>
                              <w:rFonts w:ascii="Arial"/>
                              <w:color w:val="008FDD"/>
                              <w:spacing w:val="-20"/>
                              <w:w w:val="105"/>
                              <w:sz w:val="12"/>
                            </w:rPr>
                            <w:t> </w:t>
                          </w:r>
                          <w:r>
                            <w:rPr>
                              <w:rFonts w:ascii="Arial"/>
                              <w:color w:val="008FDD"/>
                              <w:w w:val="105"/>
                              <w:sz w:val="12"/>
                            </w:rPr>
                            <w:t>GIS</w:t>
                          </w:r>
                          <w:r>
                            <w:rPr>
                              <w:rFonts w:ascii="Arial"/>
                              <w:color w:val="008FDD"/>
                              <w:spacing w:val="-20"/>
                              <w:w w:val="105"/>
                              <w:sz w:val="12"/>
                            </w:rPr>
                            <w:t> </w:t>
                          </w:r>
                          <w:r>
                            <w:rPr>
                              <w:rFonts w:ascii="Arial"/>
                              <w:color w:val="008FDD"/>
                              <w:w w:val="105"/>
                              <w:sz w:val="12"/>
                            </w:rPr>
                            <w:t>T</w:t>
                          </w:r>
                          <w:r>
                            <w:rPr>
                              <w:rFonts w:ascii="Arial"/>
                              <w:color w:val="008FDD"/>
                              <w:spacing w:val="-19"/>
                              <w:w w:val="105"/>
                              <w:sz w:val="12"/>
                            </w:rPr>
                            <w:t> </w:t>
                          </w:r>
                          <w:r>
                            <w:rPr>
                              <w:rFonts w:ascii="Arial"/>
                              <w:color w:val="008FDD"/>
                              <w:w w:val="105"/>
                              <w:sz w:val="12"/>
                            </w:rPr>
                            <w:t>IC</w:t>
                          </w:r>
                          <w:r>
                            <w:rPr>
                              <w:rFonts w:ascii="Arial"/>
                              <w:color w:val="008FDD"/>
                              <w:spacing w:val="-19"/>
                              <w:w w:val="105"/>
                              <w:sz w:val="12"/>
                            </w:rPr>
                            <w:t> </w:t>
                          </w:r>
                          <w:r>
                            <w:rPr>
                              <w:rFonts w:ascii="Arial"/>
                              <w:color w:val="008FDD"/>
                              <w:w w:val="105"/>
                              <w:sz w:val="12"/>
                            </w:rPr>
                            <w:t>S</w:t>
                          </w:r>
                          <w:r>
                            <w:rPr>
                              <w:rFonts w:ascii="Arial"/>
                              <w:color w:val="008FDD"/>
                              <w:spacing w:val="30"/>
                              <w:w w:val="105"/>
                              <w:sz w:val="12"/>
                            </w:rPr>
                            <w:t> </w:t>
                          </w:r>
                          <w:r>
                            <w:rPr>
                              <w:rFonts w:ascii="Arial"/>
                              <w:color w:val="008FDD"/>
                              <w:w w:val="105"/>
                              <w:sz w:val="12"/>
                            </w:rPr>
                            <w:t>IN</w:t>
                          </w:r>
                          <w:r>
                            <w:rPr>
                              <w:rFonts w:ascii="Arial"/>
                              <w:color w:val="008FDD"/>
                              <w:spacing w:val="29"/>
                              <w:w w:val="105"/>
                              <w:sz w:val="12"/>
                            </w:rPr>
                            <w:t> </w:t>
                          </w:r>
                          <w:r>
                            <w:rPr>
                              <w:rFonts w:ascii="Arial"/>
                              <w:color w:val="008FDD"/>
                              <w:w w:val="105"/>
                              <w:sz w:val="12"/>
                            </w:rPr>
                            <w:t>A</w:t>
                          </w:r>
                          <w:r>
                            <w:rPr>
                              <w:rFonts w:ascii="Arial"/>
                              <w:color w:val="008FDD"/>
                              <w:spacing w:val="-19"/>
                              <w:w w:val="105"/>
                              <w:sz w:val="12"/>
                            </w:rPr>
                            <w:t> </w:t>
                          </w:r>
                          <w:r>
                            <w:rPr>
                              <w:rFonts w:ascii="Arial"/>
                              <w:color w:val="008FDD"/>
                              <w:w w:val="105"/>
                              <w:sz w:val="12"/>
                            </w:rPr>
                            <w:t>N</w:t>
                          </w:r>
                          <w:r>
                            <w:rPr>
                              <w:rFonts w:ascii="Arial"/>
                              <w:color w:val="008FDD"/>
                              <w:spacing w:val="30"/>
                              <w:w w:val="105"/>
                              <w:sz w:val="12"/>
                            </w:rPr>
                            <w:t> </w:t>
                          </w:r>
                          <w:r>
                            <w:rPr>
                              <w:rFonts w:ascii="Arial"/>
                              <w:color w:val="008FDD"/>
                              <w:w w:val="105"/>
                              <w:sz w:val="12"/>
                            </w:rPr>
                            <w:t>UNC</w:t>
                          </w:r>
                          <w:r>
                            <w:rPr>
                              <w:rFonts w:ascii="Arial"/>
                              <w:color w:val="008FDD"/>
                              <w:spacing w:val="-20"/>
                              <w:w w:val="105"/>
                              <w:sz w:val="12"/>
                            </w:rPr>
                            <w:t> </w:t>
                          </w:r>
                          <w:r>
                            <w:rPr>
                              <w:rFonts w:ascii="Arial"/>
                              <w:color w:val="008FDD"/>
                              <w:w w:val="105"/>
                              <w:sz w:val="12"/>
                            </w:rPr>
                            <w:t>ER</w:t>
                          </w:r>
                          <w:r>
                            <w:rPr>
                              <w:rFonts w:ascii="Arial"/>
                              <w:color w:val="008FDD"/>
                              <w:spacing w:val="-19"/>
                              <w:w w:val="105"/>
                              <w:sz w:val="12"/>
                            </w:rPr>
                            <w:t> </w:t>
                          </w:r>
                          <w:r>
                            <w:rPr>
                              <w:rFonts w:ascii="Arial"/>
                              <w:color w:val="008FDD"/>
                              <w:w w:val="105"/>
                              <w:sz w:val="12"/>
                            </w:rPr>
                            <w:t>TA</w:t>
                          </w:r>
                          <w:r>
                            <w:rPr>
                              <w:rFonts w:ascii="Arial"/>
                              <w:color w:val="008FDD"/>
                              <w:spacing w:val="-20"/>
                              <w:w w:val="105"/>
                              <w:sz w:val="12"/>
                            </w:rPr>
                            <w:t> </w:t>
                          </w:r>
                          <w:r>
                            <w:rPr>
                              <w:rFonts w:ascii="Arial"/>
                              <w:color w:val="008FDD"/>
                              <w:w w:val="105"/>
                              <w:sz w:val="12"/>
                            </w:rPr>
                            <w:t>IN</w:t>
                          </w:r>
                          <w:r>
                            <w:rPr>
                              <w:rFonts w:ascii="Arial"/>
                              <w:color w:val="008FDD"/>
                              <w:spacing w:val="30"/>
                              <w:w w:val="105"/>
                              <w:sz w:val="12"/>
                            </w:rPr>
                            <w:t> </w:t>
                          </w:r>
                          <w:r>
                            <w:rPr>
                              <w:rFonts w:ascii="Arial"/>
                              <w:color w:val="008FDD"/>
                              <w:w w:val="105"/>
                              <w:sz w:val="12"/>
                            </w:rPr>
                            <w:t>GL</w:t>
                          </w:r>
                          <w:r>
                            <w:rPr>
                              <w:rFonts w:ascii="Arial"/>
                              <w:color w:val="008FDD"/>
                              <w:spacing w:val="-21"/>
                              <w:w w:val="105"/>
                              <w:sz w:val="12"/>
                            </w:rPr>
                            <w:t> </w:t>
                          </w:r>
                          <w:r>
                            <w:rPr>
                              <w:rFonts w:ascii="Arial"/>
                              <w:color w:val="008FDD"/>
                              <w:spacing w:val="10"/>
                              <w:w w:val="105"/>
                              <w:sz w:val="12"/>
                            </w:rPr>
                            <w:t>OBAL</w:t>
                          </w:r>
                          <w:r>
                            <w:rPr>
                              <w:rFonts w:ascii="Arial"/>
                              <w:color w:val="008FDD"/>
                              <w:spacing w:val="30"/>
                              <w:w w:val="105"/>
                              <w:sz w:val="12"/>
                            </w:rPr>
                            <w:t> </w:t>
                          </w:r>
                          <w:r>
                            <w:rPr>
                              <w:rFonts w:ascii="Arial"/>
                              <w:color w:val="008FDD"/>
                              <w:w w:val="105"/>
                              <w:sz w:val="12"/>
                            </w:rPr>
                            <w:t>EC</w:t>
                          </w:r>
                          <w:r>
                            <w:rPr>
                              <w:rFonts w:ascii="Arial"/>
                              <w:color w:val="008FDD"/>
                              <w:spacing w:val="-20"/>
                              <w:w w:val="105"/>
                              <w:sz w:val="12"/>
                            </w:rPr>
                            <w:t> </w:t>
                          </w:r>
                          <w:r>
                            <w:rPr>
                              <w:rFonts w:ascii="Arial"/>
                              <w:color w:val="008FDD"/>
                              <w:spacing w:val="7"/>
                              <w:w w:val="105"/>
                              <w:sz w:val="12"/>
                            </w:rPr>
                            <w:t>ONOMY</w:t>
                          </w:r>
                        </w:p>
                      </w:txbxContent>
                    </wps:txbx>
                    <wps:bodyPr wrap="square" lIns="0" tIns="0" rIns="0" bIns="0" rtlCol="0">
                      <a:noAutofit/>
                    </wps:bodyPr>
                  </wps:wsp>
                </a:graphicData>
              </a:graphic>
            </wp:anchor>
          </w:drawing>
        </mc:Choice>
        <mc:Fallback>
          <w:pict>
            <v:shape style="position:absolute;margin-left:24.6001pt;margin-top:753.60498pt;width:342pt;height:11.3pt;mso-position-horizontal-relative:page;mso-position-vertical-relative:page;z-index:-36576256" type="#_x0000_t202" id="docshape168" filled="false" stroked="false">
              <v:textbox inset="0,0,0,0">
                <w:txbxContent>
                  <w:p>
                    <w:pPr>
                      <w:tabs>
                        <w:tab w:pos="407" w:val="left" w:leader="none"/>
                      </w:tabs>
                      <w:spacing w:before="27"/>
                      <w:ind w:left="60" w:right="0" w:firstLine="0"/>
                      <w:jc w:val="left"/>
                      <w:rPr>
                        <w:rFonts w:ascii="Arial"/>
                        <w:sz w:val="12"/>
                      </w:rPr>
                    </w:pPr>
                    <w:r>
                      <w:rPr>
                        <w:rFonts w:ascii="Arial"/>
                        <w:b/>
                        <w:color w:val="231F20"/>
                        <w:spacing w:val="-10"/>
                        <w:w w:val="105"/>
                        <w:sz w:val="15"/>
                      </w:rPr>
                      <w:fldChar w:fldCharType="begin"/>
                    </w:r>
                    <w:r>
                      <w:rPr>
                        <w:rFonts w:ascii="Arial"/>
                        <w:b/>
                        <w:color w:val="231F20"/>
                        <w:spacing w:val="-10"/>
                        <w:w w:val="105"/>
                        <w:sz w:val="15"/>
                      </w:rPr>
                      <w:instrText> PAGE </w:instrText>
                    </w:r>
                    <w:r>
                      <w:rPr>
                        <w:rFonts w:ascii="Arial"/>
                        <w:b/>
                        <w:color w:val="231F20"/>
                        <w:spacing w:val="-10"/>
                        <w:w w:val="105"/>
                        <w:sz w:val="15"/>
                      </w:rPr>
                      <w:fldChar w:fldCharType="separate"/>
                    </w:r>
                    <w:r>
                      <w:rPr>
                        <w:rFonts w:ascii="Arial"/>
                        <w:b/>
                        <w:color w:val="231F20"/>
                        <w:spacing w:val="-10"/>
                        <w:w w:val="105"/>
                        <w:sz w:val="15"/>
                      </w:rPr>
                      <w:t>2</w:t>
                    </w:r>
                    <w:r>
                      <w:rPr>
                        <w:rFonts w:ascii="Arial"/>
                        <w:b/>
                        <w:color w:val="231F20"/>
                        <w:spacing w:val="-10"/>
                        <w:w w:val="105"/>
                        <w:sz w:val="15"/>
                      </w:rPr>
                      <w:fldChar w:fldCharType="end"/>
                    </w:r>
                    <w:r>
                      <w:rPr>
                        <w:rFonts w:ascii="Arial"/>
                        <w:b/>
                        <w:color w:val="231F20"/>
                        <w:sz w:val="15"/>
                      </w:rPr>
                      <w:tab/>
                    </w:r>
                    <w:r>
                      <w:rPr>
                        <w:rFonts w:ascii="Arial"/>
                        <w:b/>
                        <w:color w:val="008FDD"/>
                        <w:spacing w:val="10"/>
                        <w:w w:val="105"/>
                        <w:sz w:val="12"/>
                      </w:rPr>
                      <w:t>CONNEC</w:t>
                    </w:r>
                    <w:r>
                      <w:rPr>
                        <w:rFonts w:ascii="Arial"/>
                        <w:b/>
                        <w:color w:val="008FDD"/>
                        <w:spacing w:val="-19"/>
                        <w:w w:val="105"/>
                        <w:sz w:val="12"/>
                      </w:rPr>
                      <w:t> </w:t>
                    </w:r>
                    <w:r>
                      <w:rPr>
                        <w:rFonts w:ascii="Arial"/>
                        <w:b/>
                        <w:color w:val="008FDD"/>
                        <w:w w:val="105"/>
                        <w:sz w:val="12"/>
                      </w:rPr>
                      <w:t>T</w:t>
                    </w:r>
                    <w:r>
                      <w:rPr>
                        <w:rFonts w:ascii="Arial"/>
                        <w:b/>
                        <w:color w:val="008FDD"/>
                        <w:spacing w:val="-21"/>
                        <w:w w:val="105"/>
                        <w:sz w:val="12"/>
                      </w:rPr>
                      <w:t> </w:t>
                    </w:r>
                    <w:r>
                      <w:rPr>
                        <w:rFonts w:ascii="Arial"/>
                        <w:b/>
                        <w:color w:val="008FDD"/>
                        <w:w w:val="105"/>
                        <w:sz w:val="12"/>
                      </w:rPr>
                      <w:t>ING</w:t>
                    </w:r>
                    <w:r>
                      <w:rPr>
                        <w:rFonts w:ascii="Arial"/>
                        <w:b/>
                        <w:color w:val="008FDD"/>
                        <w:spacing w:val="32"/>
                        <w:w w:val="105"/>
                        <w:sz w:val="12"/>
                      </w:rPr>
                      <w:t> </w:t>
                    </w:r>
                    <w:r>
                      <w:rPr>
                        <w:rFonts w:ascii="Arial"/>
                        <w:b/>
                        <w:color w:val="008FDD"/>
                        <w:w w:val="105"/>
                        <w:sz w:val="12"/>
                      </w:rPr>
                      <w:t>T</w:t>
                    </w:r>
                    <w:r>
                      <w:rPr>
                        <w:rFonts w:ascii="Arial"/>
                        <w:b/>
                        <w:color w:val="008FDD"/>
                        <w:spacing w:val="-19"/>
                        <w:w w:val="105"/>
                        <w:sz w:val="12"/>
                      </w:rPr>
                      <w:t> </w:t>
                    </w:r>
                    <w:r>
                      <w:rPr>
                        <w:rFonts w:ascii="Arial"/>
                        <w:b/>
                        <w:color w:val="008FDD"/>
                        <w:w w:val="105"/>
                        <w:sz w:val="12"/>
                      </w:rPr>
                      <w:t>O</w:t>
                    </w:r>
                    <w:r>
                      <w:rPr>
                        <w:rFonts w:ascii="Arial"/>
                        <w:b/>
                        <w:color w:val="008FDD"/>
                        <w:spacing w:val="32"/>
                        <w:w w:val="105"/>
                        <w:sz w:val="12"/>
                      </w:rPr>
                      <w:t> </w:t>
                    </w:r>
                    <w:r>
                      <w:rPr>
                        <w:rFonts w:ascii="Arial"/>
                        <w:b/>
                        <w:color w:val="008FDD"/>
                        <w:spacing w:val="11"/>
                        <w:w w:val="105"/>
                        <w:sz w:val="12"/>
                      </w:rPr>
                      <w:t>COMPET</w:t>
                    </w:r>
                    <w:r>
                      <w:rPr>
                        <w:rFonts w:ascii="Arial"/>
                        <w:b/>
                        <w:color w:val="008FDD"/>
                        <w:spacing w:val="-21"/>
                        <w:w w:val="105"/>
                        <w:sz w:val="12"/>
                      </w:rPr>
                      <w:t> </w:t>
                    </w:r>
                    <w:r>
                      <w:rPr>
                        <w:rFonts w:ascii="Arial"/>
                        <w:b/>
                        <w:color w:val="008FDD"/>
                        <w:w w:val="105"/>
                        <w:sz w:val="12"/>
                      </w:rPr>
                      <w:t>E</w:t>
                    </w:r>
                    <w:r>
                      <w:rPr>
                        <w:rFonts w:ascii="Arial"/>
                        <w:b/>
                        <w:color w:val="008FDD"/>
                        <w:spacing w:val="31"/>
                        <w:w w:val="110"/>
                        <w:sz w:val="12"/>
                      </w:rPr>
                      <w:t> </w:t>
                    </w:r>
                    <w:r>
                      <w:rPr>
                        <w:rFonts w:ascii="Arial"/>
                        <w:b/>
                        <w:color w:val="008FDD"/>
                        <w:w w:val="110"/>
                        <w:sz w:val="12"/>
                      </w:rPr>
                      <w:t>2023</w:t>
                    </w:r>
                    <w:r>
                      <w:rPr>
                        <w:rFonts w:ascii="Arial"/>
                        <w:b/>
                        <w:color w:val="008FDD"/>
                        <w:spacing w:val="28"/>
                        <w:w w:val="110"/>
                        <w:sz w:val="12"/>
                      </w:rPr>
                      <w:t> </w:t>
                    </w:r>
                    <w:r>
                      <w:rPr>
                        <w:rFonts w:ascii="Arial"/>
                        <w:color w:val="008FDD"/>
                        <w:w w:val="105"/>
                        <w:sz w:val="12"/>
                      </w:rPr>
                      <w:t>T</w:t>
                    </w:r>
                    <w:r>
                      <w:rPr>
                        <w:rFonts w:ascii="Arial"/>
                        <w:color w:val="008FDD"/>
                        <w:spacing w:val="-20"/>
                        <w:w w:val="105"/>
                        <w:sz w:val="12"/>
                      </w:rPr>
                      <w:t> </w:t>
                    </w:r>
                    <w:r>
                      <w:rPr>
                        <w:rFonts w:ascii="Arial"/>
                        <w:color w:val="008FDD"/>
                        <w:w w:val="105"/>
                        <w:sz w:val="12"/>
                      </w:rPr>
                      <w:t>R</w:t>
                    </w:r>
                    <w:r>
                      <w:rPr>
                        <w:rFonts w:ascii="Arial"/>
                        <w:color w:val="008FDD"/>
                        <w:spacing w:val="-19"/>
                        <w:w w:val="105"/>
                        <w:sz w:val="12"/>
                      </w:rPr>
                      <w:t> </w:t>
                    </w:r>
                    <w:r>
                      <w:rPr>
                        <w:rFonts w:ascii="Arial"/>
                        <w:color w:val="008FDD"/>
                        <w:w w:val="105"/>
                        <w:sz w:val="12"/>
                      </w:rPr>
                      <w:t>A</w:t>
                    </w:r>
                    <w:r>
                      <w:rPr>
                        <w:rFonts w:ascii="Arial"/>
                        <w:color w:val="008FDD"/>
                        <w:spacing w:val="-20"/>
                        <w:w w:val="105"/>
                        <w:sz w:val="12"/>
                      </w:rPr>
                      <w:t> </w:t>
                    </w:r>
                    <w:r>
                      <w:rPr>
                        <w:rFonts w:ascii="Arial"/>
                        <w:color w:val="008FDD"/>
                        <w:w w:val="105"/>
                        <w:sz w:val="12"/>
                      </w:rPr>
                      <w:t>DE</w:t>
                    </w:r>
                    <w:r>
                      <w:rPr>
                        <w:rFonts w:ascii="Arial"/>
                        <w:color w:val="008FDD"/>
                        <w:spacing w:val="30"/>
                        <w:w w:val="105"/>
                        <w:sz w:val="12"/>
                      </w:rPr>
                      <w:t> </w:t>
                    </w:r>
                    <w:r>
                      <w:rPr>
                        <w:rFonts w:ascii="Arial"/>
                        <w:color w:val="008FDD"/>
                        <w:w w:val="105"/>
                        <w:sz w:val="12"/>
                      </w:rPr>
                      <w:t>L</w:t>
                    </w:r>
                    <w:r>
                      <w:rPr>
                        <w:rFonts w:ascii="Arial"/>
                        <w:color w:val="008FDD"/>
                        <w:spacing w:val="-21"/>
                        <w:w w:val="105"/>
                        <w:sz w:val="12"/>
                      </w:rPr>
                      <w:t> </w:t>
                    </w:r>
                    <w:r>
                      <w:rPr>
                        <w:rFonts w:ascii="Arial"/>
                        <w:color w:val="008FDD"/>
                        <w:w w:val="105"/>
                        <w:sz w:val="12"/>
                      </w:rPr>
                      <w:t>O</w:t>
                    </w:r>
                    <w:r>
                      <w:rPr>
                        <w:rFonts w:ascii="Arial"/>
                        <w:color w:val="008FDD"/>
                        <w:spacing w:val="-20"/>
                        <w:w w:val="105"/>
                        <w:sz w:val="12"/>
                      </w:rPr>
                      <w:t> </w:t>
                    </w:r>
                    <w:r>
                      <w:rPr>
                        <w:rFonts w:ascii="Arial"/>
                        <w:color w:val="008FDD"/>
                        <w:w w:val="105"/>
                        <w:sz w:val="12"/>
                      </w:rPr>
                      <w:t>GIS</w:t>
                    </w:r>
                    <w:r>
                      <w:rPr>
                        <w:rFonts w:ascii="Arial"/>
                        <w:color w:val="008FDD"/>
                        <w:spacing w:val="-20"/>
                        <w:w w:val="105"/>
                        <w:sz w:val="12"/>
                      </w:rPr>
                      <w:t> </w:t>
                    </w:r>
                    <w:r>
                      <w:rPr>
                        <w:rFonts w:ascii="Arial"/>
                        <w:color w:val="008FDD"/>
                        <w:w w:val="105"/>
                        <w:sz w:val="12"/>
                      </w:rPr>
                      <w:t>T</w:t>
                    </w:r>
                    <w:r>
                      <w:rPr>
                        <w:rFonts w:ascii="Arial"/>
                        <w:color w:val="008FDD"/>
                        <w:spacing w:val="-19"/>
                        <w:w w:val="105"/>
                        <w:sz w:val="12"/>
                      </w:rPr>
                      <w:t> </w:t>
                    </w:r>
                    <w:r>
                      <w:rPr>
                        <w:rFonts w:ascii="Arial"/>
                        <w:color w:val="008FDD"/>
                        <w:w w:val="105"/>
                        <w:sz w:val="12"/>
                      </w:rPr>
                      <w:t>IC</w:t>
                    </w:r>
                    <w:r>
                      <w:rPr>
                        <w:rFonts w:ascii="Arial"/>
                        <w:color w:val="008FDD"/>
                        <w:spacing w:val="-19"/>
                        <w:w w:val="105"/>
                        <w:sz w:val="12"/>
                      </w:rPr>
                      <w:t> </w:t>
                    </w:r>
                    <w:r>
                      <w:rPr>
                        <w:rFonts w:ascii="Arial"/>
                        <w:color w:val="008FDD"/>
                        <w:w w:val="105"/>
                        <w:sz w:val="12"/>
                      </w:rPr>
                      <w:t>S</w:t>
                    </w:r>
                    <w:r>
                      <w:rPr>
                        <w:rFonts w:ascii="Arial"/>
                        <w:color w:val="008FDD"/>
                        <w:spacing w:val="30"/>
                        <w:w w:val="105"/>
                        <w:sz w:val="12"/>
                      </w:rPr>
                      <w:t> </w:t>
                    </w:r>
                    <w:r>
                      <w:rPr>
                        <w:rFonts w:ascii="Arial"/>
                        <w:color w:val="008FDD"/>
                        <w:w w:val="105"/>
                        <w:sz w:val="12"/>
                      </w:rPr>
                      <w:t>IN</w:t>
                    </w:r>
                    <w:r>
                      <w:rPr>
                        <w:rFonts w:ascii="Arial"/>
                        <w:color w:val="008FDD"/>
                        <w:spacing w:val="29"/>
                        <w:w w:val="105"/>
                        <w:sz w:val="12"/>
                      </w:rPr>
                      <w:t> </w:t>
                    </w:r>
                    <w:r>
                      <w:rPr>
                        <w:rFonts w:ascii="Arial"/>
                        <w:color w:val="008FDD"/>
                        <w:w w:val="105"/>
                        <w:sz w:val="12"/>
                      </w:rPr>
                      <w:t>A</w:t>
                    </w:r>
                    <w:r>
                      <w:rPr>
                        <w:rFonts w:ascii="Arial"/>
                        <w:color w:val="008FDD"/>
                        <w:spacing w:val="-19"/>
                        <w:w w:val="105"/>
                        <w:sz w:val="12"/>
                      </w:rPr>
                      <w:t> </w:t>
                    </w:r>
                    <w:r>
                      <w:rPr>
                        <w:rFonts w:ascii="Arial"/>
                        <w:color w:val="008FDD"/>
                        <w:w w:val="105"/>
                        <w:sz w:val="12"/>
                      </w:rPr>
                      <w:t>N</w:t>
                    </w:r>
                    <w:r>
                      <w:rPr>
                        <w:rFonts w:ascii="Arial"/>
                        <w:color w:val="008FDD"/>
                        <w:spacing w:val="30"/>
                        <w:w w:val="105"/>
                        <w:sz w:val="12"/>
                      </w:rPr>
                      <w:t> </w:t>
                    </w:r>
                    <w:r>
                      <w:rPr>
                        <w:rFonts w:ascii="Arial"/>
                        <w:color w:val="008FDD"/>
                        <w:w w:val="105"/>
                        <w:sz w:val="12"/>
                      </w:rPr>
                      <w:t>UNC</w:t>
                    </w:r>
                    <w:r>
                      <w:rPr>
                        <w:rFonts w:ascii="Arial"/>
                        <w:color w:val="008FDD"/>
                        <w:spacing w:val="-20"/>
                        <w:w w:val="105"/>
                        <w:sz w:val="12"/>
                      </w:rPr>
                      <w:t> </w:t>
                    </w:r>
                    <w:r>
                      <w:rPr>
                        <w:rFonts w:ascii="Arial"/>
                        <w:color w:val="008FDD"/>
                        <w:w w:val="105"/>
                        <w:sz w:val="12"/>
                      </w:rPr>
                      <w:t>ER</w:t>
                    </w:r>
                    <w:r>
                      <w:rPr>
                        <w:rFonts w:ascii="Arial"/>
                        <w:color w:val="008FDD"/>
                        <w:spacing w:val="-19"/>
                        <w:w w:val="105"/>
                        <w:sz w:val="12"/>
                      </w:rPr>
                      <w:t> </w:t>
                    </w:r>
                    <w:r>
                      <w:rPr>
                        <w:rFonts w:ascii="Arial"/>
                        <w:color w:val="008FDD"/>
                        <w:w w:val="105"/>
                        <w:sz w:val="12"/>
                      </w:rPr>
                      <w:t>TA</w:t>
                    </w:r>
                    <w:r>
                      <w:rPr>
                        <w:rFonts w:ascii="Arial"/>
                        <w:color w:val="008FDD"/>
                        <w:spacing w:val="-20"/>
                        <w:w w:val="105"/>
                        <w:sz w:val="12"/>
                      </w:rPr>
                      <w:t> </w:t>
                    </w:r>
                    <w:r>
                      <w:rPr>
                        <w:rFonts w:ascii="Arial"/>
                        <w:color w:val="008FDD"/>
                        <w:w w:val="105"/>
                        <w:sz w:val="12"/>
                      </w:rPr>
                      <w:t>IN</w:t>
                    </w:r>
                    <w:r>
                      <w:rPr>
                        <w:rFonts w:ascii="Arial"/>
                        <w:color w:val="008FDD"/>
                        <w:spacing w:val="30"/>
                        <w:w w:val="105"/>
                        <w:sz w:val="12"/>
                      </w:rPr>
                      <w:t> </w:t>
                    </w:r>
                    <w:r>
                      <w:rPr>
                        <w:rFonts w:ascii="Arial"/>
                        <w:color w:val="008FDD"/>
                        <w:w w:val="105"/>
                        <w:sz w:val="12"/>
                      </w:rPr>
                      <w:t>GL</w:t>
                    </w:r>
                    <w:r>
                      <w:rPr>
                        <w:rFonts w:ascii="Arial"/>
                        <w:color w:val="008FDD"/>
                        <w:spacing w:val="-21"/>
                        <w:w w:val="105"/>
                        <w:sz w:val="12"/>
                      </w:rPr>
                      <w:t> </w:t>
                    </w:r>
                    <w:r>
                      <w:rPr>
                        <w:rFonts w:ascii="Arial"/>
                        <w:color w:val="008FDD"/>
                        <w:spacing w:val="10"/>
                        <w:w w:val="105"/>
                        <w:sz w:val="12"/>
                      </w:rPr>
                      <w:t>OBAL</w:t>
                    </w:r>
                    <w:r>
                      <w:rPr>
                        <w:rFonts w:ascii="Arial"/>
                        <w:color w:val="008FDD"/>
                        <w:spacing w:val="30"/>
                        <w:w w:val="105"/>
                        <w:sz w:val="12"/>
                      </w:rPr>
                      <w:t> </w:t>
                    </w:r>
                    <w:r>
                      <w:rPr>
                        <w:rFonts w:ascii="Arial"/>
                        <w:color w:val="008FDD"/>
                        <w:w w:val="105"/>
                        <w:sz w:val="12"/>
                      </w:rPr>
                      <w:t>EC</w:t>
                    </w:r>
                    <w:r>
                      <w:rPr>
                        <w:rFonts w:ascii="Arial"/>
                        <w:color w:val="008FDD"/>
                        <w:spacing w:val="-20"/>
                        <w:w w:val="105"/>
                        <w:sz w:val="12"/>
                      </w:rPr>
                      <w:t> </w:t>
                    </w:r>
                    <w:r>
                      <w:rPr>
                        <w:rFonts w:ascii="Arial"/>
                        <w:color w:val="008FDD"/>
                        <w:spacing w:val="7"/>
                        <w:w w:val="105"/>
                        <w:sz w:val="12"/>
                      </w:rPr>
                      <w:t>ONOMY</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1760">
              <wp:simplePos x="0" y="0"/>
              <wp:positionH relativeFrom="page">
                <wp:posOffset>3090468</wp:posOffset>
              </wp:positionH>
              <wp:positionV relativeFrom="page">
                <wp:posOffset>9570783</wp:posOffset>
              </wp:positionV>
              <wp:extent cx="4485640" cy="14351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4485640" cy="143510"/>
                      </a:xfrm>
                      <a:prstGeom prst="rect">
                        <a:avLst/>
                      </a:prstGeom>
                    </wps:spPr>
                    <wps:txbx>
                      <w:txbxContent>
                        <w:p>
                          <w:pPr>
                            <w:tabs>
                              <w:tab w:pos="6983" w:val="right" w:leader="none"/>
                            </w:tabs>
                            <w:spacing w:before="27"/>
                            <w:ind w:left="20" w:right="0" w:firstLine="0"/>
                            <w:jc w:val="left"/>
                            <w:rPr>
                              <w:rFonts w:ascii="Arial"/>
                              <w:b/>
                              <w:sz w:val="15"/>
                            </w:rPr>
                          </w:pPr>
                          <w:r>
                            <w:rPr>
                              <w:rFonts w:ascii="Arial"/>
                              <w:b/>
                              <w:color w:val="008FDD"/>
                              <w:spacing w:val="10"/>
                              <w:w w:val="105"/>
                              <w:sz w:val="12"/>
                            </w:rPr>
                            <w:t>CONNEC</w:t>
                          </w:r>
                          <w:r>
                            <w:rPr>
                              <w:rFonts w:ascii="Arial"/>
                              <w:b/>
                              <w:color w:val="008FDD"/>
                              <w:spacing w:val="-19"/>
                              <w:w w:val="105"/>
                              <w:sz w:val="12"/>
                            </w:rPr>
                            <w:t> </w:t>
                          </w:r>
                          <w:r>
                            <w:rPr>
                              <w:rFonts w:ascii="Arial"/>
                              <w:b/>
                              <w:color w:val="008FDD"/>
                              <w:w w:val="105"/>
                              <w:sz w:val="12"/>
                            </w:rPr>
                            <w:t>T</w:t>
                          </w:r>
                          <w:r>
                            <w:rPr>
                              <w:rFonts w:ascii="Arial"/>
                              <w:b/>
                              <w:color w:val="008FDD"/>
                              <w:spacing w:val="-21"/>
                              <w:w w:val="105"/>
                              <w:sz w:val="12"/>
                            </w:rPr>
                            <w:t> </w:t>
                          </w:r>
                          <w:r>
                            <w:rPr>
                              <w:rFonts w:ascii="Arial"/>
                              <w:b/>
                              <w:color w:val="008FDD"/>
                              <w:w w:val="105"/>
                              <w:sz w:val="12"/>
                            </w:rPr>
                            <w:t>ING</w:t>
                          </w:r>
                          <w:r>
                            <w:rPr>
                              <w:rFonts w:ascii="Arial"/>
                              <w:b/>
                              <w:color w:val="008FDD"/>
                              <w:spacing w:val="32"/>
                              <w:w w:val="105"/>
                              <w:sz w:val="12"/>
                            </w:rPr>
                            <w:t> </w:t>
                          </w:r>
                          <w:r>
                            <w:rPr>
                              <w:rFonts w:ascii="Arial"/>
                              <w:b/>
                              <w:color w:val="008FDD"/>
                              <w:w w:val="105"/>
                              <w:sz w:val="12"/>
                            </w:rPr>
                            <w:t>T</w:t>
                          </w:r>
                          <w:r>
                            <w:rPr>
                              <w:rFonts w:ascii="Arial"/>
                              <w:b/>
                              <w:color w:val="008FDD"/>
                              <w:spacing w:val="-19"/>
                              <w:w w:val="105"/>
                              <w:sz w:val="12"/>
                            </w:rPr>
                            <w:t> </w:t>
                          </w:r>
                          <w:r>
                            <w:rPr>
                              <w:rFonts w:ascii="Arial"/>
                              <w:b/>
                              <w:color w:val="008FDD"/>
                              <w:w w:val="105"/>
                              <w:sz w:val="12"/>
                            </w:rPr>
                            <w:t>O</w:t>
                          </w:r>
                          <w:r>
                            <w:rPr>
                              <w:rFonts w:ascii="Arial"/>
                              <w:b/>
                              <w:color w:val="008FDD"/>
                              <w:spacing w:val="32"/>
                              <w:w w:val="105"/>
                              <w:sz w:val="12"/>
                            </w:rPr>
                            <w:t> </w:t>
                          </w:r>
                          <w:r>
                            <w:rPr>
                              <w:rFonts w:ascii="Arial"/>
                              <w:b/>
                              <w:color w:val="008FDD"/>
                              <w:spacing w:val="11"/>
                              <w:w w:val="105"/>
                              <w:sz w:val="12"/>
                            </w:rPr>
                            <w:t>COMPET</w:t>
                          </w:r>
                          <w:r>
                            <w:rPr>
                              <w:rFonts w:ascii="Arial"/>
                              <w:b/>
                              <w:color w:val="008FDD"/>
                              <w:spacing w:val="-21"/>
                              <w:w w:val="105"/>
                              <w:sz w:val="12"/>
                            </w:rPr>
                            <w:t> </w:t>
                          </w:r>
                          <w:r>
                            <w:rPr>
                              <w:rFonts w:ascii="Arial"/>
                              <w:b/>
                              <w:color w:val="008FDD"/>
                              <w:w w:val="105"/>
                              <w:sz w:val="12"/>
                            </w:rPr>
                            <w:t>E</w:t>
                          </w:r>
                          <w:r>
                            <w:rPr>
                              <w:rFonts w:ascii="Arial"/>
                              <w:b/>
                              <w:color w:val="008FDD"/>
                              <w:spacing w:val="31"/>
                              <w:w w:val="110"/>
                              <w:sz w:val="12"/>
                            </w:rPr>
                            <w:t> </w:t>
                          </w:r>
                          <w:r>
                            <w:rPr>
                              <w:rFonts w:ascii="Arial"/>
                              <w:b/>
                              <w:color w:val="008FDD"/>
                              <w:w w:val="110"/>
                              <w:sz w:val="12"/>
                            </w:rPr>
                            <w:t>2023</w:t>
                          </w:r>
                          <w:r>
                            <w:rPr>
                              <w:rFonts w:ascii="Arial"/>
                              <w:b/>
                              <w:color w:val="008FDD"/>
                              <w:spacing w:val="28"/>
                              <w:w w:val="110"/>
                              <w:sz w:val="12"/>
                            </w:rPr>
                            <w:t> </w:t>
                          </w:r>
                          <w:r>
                            <w:rPr>
                              <w:rFonts w:ascii="Arial"/>
                              <w:color w:val="008FDD"/>
                              <w:w w:val="105"/>
                              <w:sz w:val="12"/>
                            </w:rPr>
                            <w:t>T</w:t>
                          </w:r>
                          <w:r>
                            <w:rPr>
                              <w:rFonts w:ascii="Arial"/>
                              <w:color w:val="008FDD"/>
                              <w:spacing w:val="-20"/>
                              <w:w w:val="105"/>
                              <w:sz w:val="12"/>
                            </w:rPr>
                            <w:t> </w:t>
                          </w:r>
                          <w:r>
                            <w:rPr>
                              <w:rFonts w:ascii="Arial"/>
                              <w:color w:val="008FDD"/>
                              <w:w w:val="105"/>
                              <w:sz w:val="12"/>
                            </w:rPr>
                            <w:t>R</w:t>
                          </w:r>
                          <w:r>
                            <w:rPr>
                              <w:rFonts w:ascii="Arial"/>
                              <w:color w:val="008FDD"/>
                              <w:spacing w:val="-19"/>
                              <w:w w:val="105"/>
                              <w:sz w:val="12"/>
                            </w:rPr>
                            <w:t> </w:t>
                          </w:r>
                          <w:r>
                            <w:rPr>
                              <w:rFonts w:ascii="Arial"/>
                              <w:color w:val="008FDD"/>
                              <w:w w:val="105"/>
                              <w:sz w:val="12"/>
                            </w:rPr>
                            <w:t>A</w:t>
                          </w:r>
                          <w:r>
                            <w:rPr>
                              <w:rFonts w:ascii="Arial"/>
                              <w:color w:val="008FDD"/>
                              <w:spacing w:val="-20"/>
                              <w:w w:val="105"/>
                              <w:sz w:val="12"/>
                            </w:rPr>
                            <w:t> </w:t>
                          </w:r>
                          <w:r>
                            <w:rPr>
                              <w:rFonts w:ascii="Arial"/>
                              <w:color w:val="008FDD"/>
                              <w:w w:val="105"/>
                              <w:sz w:val="12"/>
                            </w:rPr>
                            <w:t>DE</w:t>
                          </w:r>
                          <w:r>
                            <w:rPr>
                              <w:rFonts w:ascii="Arial"/>
                              <w:color w:val="008FDD"/>
                              <w:spacing w:val="30"/>
                              <w:w w:val="105"/>
                              <w:sz w:val="12"/>
                            </w:rPr>
                            <w:t> </w:t>
                          </w:r>
                          <w:r>
                            <w:rPr>
                              <w:rFonts w:ascii="Arial"/>
                              <w:color w:val="008FDD"/>
                              <w:w w:val="105"/>
                              <w:sz w:val="12"/>
                            </w:rPr>
                            <w:t>L</w:t>
                          </w:r>
                          <w:r>
                            <w:rPr>
                              <w:rFonts w:ascii="Arial"/>
                              <w:color w:val="008FDD"/>
                              <w:spacing w:val="-21"/>
                              <w:w w:val="105"/>
                              <w:sz w:val="12"/>
                            </w:rPr>
                            <w:t> </w:t>
                          </w:r>
                          <w:r>
                            <w:rPr>
                              <w:rFonts w:ascii="Arial"/>
                              <w:color w:val="008FDD"/>
                              <w:w w:val="105"/>
                              <w:sz w:val="12"/>
                            </w:rPr>
                            <w:t>O</w:t>
                          </w:r>
                          <w:r>
                            <w:rPr>
                              <w:rFonts w:ascii="Arial"/>
                              <w:color w:val="008FDD"/>
                              <w:spacing w:val="-20"/>
                              <w:w w:val="105"/>
                              <w:sz w:val="12"/>
                            </w:rPr>
                            <w:t> </w:t>
                          </w:r>
                          <w:r>
                            <w:rPr>
                              <w:rFonts w:ascii="Arial"/>
                              <w:color w:val="008FDD"/>
                              <w:w w:val="105"/>
                              <w:sz w:val="12"/>
                            </w:rPr>
                            <w:t>GIS</w:t>
                          </w:r>
                          <w:r>
                            <w:rPr>
                              <w:rFonts w:ascii="Arial"/>
                              <w:color w:val="008FDD"/>
                              <w:spacing w:val="-20"/>
                              <w:w w:val="105"/>
                              <w:sz w:val="12"/>
                            </w:rPr>
                            <w:t> </w:t>
                          </w:r>
                          <w:r>
                            <w:rPr>
                              <w:rFonts w:ascii="Arial"/>
                              <w:color w:val="008FDD"/>
                              <w:w w:val="105"/>
                              <w:sz w:val="12"/>
                            </w:rPr>
                            <w:t>T</w:t>
                          </w:r>
                          <w:r>
                            <w:rPr>
                              <w:rFonts w:ascii="Arial"/>
                              <w:color w:val="008FDD"/>
                              <w:spacing w:val="-19"/>
                              <w:w w:val="105"/>
                              <w:sz w:val="12"/>
                            </w:rPr>
                            <w:t> </w:t>
                          </w:r>
                          <w:r>
                            <w:rPr>
                              <w:rFonts w:ascii="Arial"/>
                              <w:color w:val="008FDD"/>
                              <w:w w:val="105"/>
                              <w:sz w:val="12"/>
                            </w:rPr>
                            <w:t>IC</w:t>
                          </w:r>
                          <w:r>
                            <w:rPr>
                              <w:rFonts w:ascii="Arial"/>
                              <w:color w:val="008FDD"/>
                              <w:spacing w:val="-19"/>
                              <w:w w:val="105"/>
                              <w:sz w:val="12"/>
                            </w:rPr>
                            <w:t> </w:t>
                          </w:r>
                          <w:r>
                            <w:rPr>
                              <w:rFonts w:ascii="Arial"/>
                              <w:color w:val="008FDD"/>
                              <w:w w:val="105"/>
                              <w:sz w:val="12"/>
                            </w:rPr>
                            <w:t>S</w:t>
                          </w:r>
                          <w:r>
                            <w:rPr>
                              <w:rFonts w:ascii="Arial"/>
                              <w:color w:val="008FDD"/>
                              <w:spacing w:val="30"/>
                              <w:w w:val="105"/>
                              <w:sz w:val="12"/>
                            </w:rPr>
                            <w:t> </w:t>
                          </w:r>
                          <w:r>
                            <w:rPr>
                              <w:rFonts w:ascii="Arial"/>
                              <w:color w:val="008FDD"/>
                              <w:w w:val="105"/>
                              <w:sz w:val="12"/>
                            </w:rPr>
                            <w:t>IN</w:t>
                          </w:r>
                          <w:r>
                            <w:rPr>
                              <w:rFonts w:ascii="Arial"/>
                              <w:color w:val="008FDD"/>
                              <w:spacing w:val="29"/>
                              <w:w w:val="105"/>
                              <w:sz w:val="12"/>
                            </w:rPr>
                            <w:t> </w:t>
                          </w:r>
                          <w:r>
                            <w:rPr>
                              <w:rFonts w:ascii="Arial"/>
                              <w:color w:val="008FDD"/>
                              <w:w w:val="105"/>
                              <w:sz w:val="12"/>
                            </w:rPr>
                            <w:t>A</w:t>
                          </w:r>
                          <w:r>
                            <w:rPr>
                              <w:rFonts w:ascii="Arial"/>
                              <w:color w:val="008FDD"/>
                              <w:spacing w:val="-19"/>
                              <w:w w:val="105"/>
                              <w:sz w:val="12"/>
                            </w:rPr>
                            <w:t> </w:t>
                          </w:r>
                          <w:r>
                            <w:rPr>
                              <w:rFonts w:ascii="Arial"/>
                              <w:color w:val="008FDD"/>
                              <w:w w:val="105"/>
                              <w:sz w:val="12"/>
                            </w:rPr>
                            <w:t>N</w:t>
                          </w:r>
                          <w:r>
                            <w:rPr>
                              <w:rFonts w:ascii="Arial"/>
                              <w:color w:val="008FDD"/>
                              <w:spacing w:val="30"/>
                              <w:w w:val="105"/>
                              <w:sz w:val="12"/>
                            </w:rPr>
                            <w:t> </w:t>
                          </w:r>
                          <w:r>
                            <w:rPr>
                              <w:rFonts w:ascii="Arial"/>
                              <w:color w:val="008FDD"/>
                              <w:w w:val="105"/>
                              <w:sz w:val="12"/>
                            </w:rPr>
                            <w:t>UNC</w:t>
                          </w:r>
                          <w:r>
                            <w:rPr>
                              <w:rFonts w:ascii="Arial"/>
                              <w:color w:val="008FDD"/>
                              <w:spacing w:val="-20"/>
                              <w:w w:val="105"/>
                              <w:sz w:val="12"/>
                            </w:rPr>
                            <w:t> </w:t>
                          </w:r>
                          <w:r>
                            <w:rPr>
                              <w:rFonts w:ascii="Arial"/>
                              <w:color w:val="008FDD"/>
                              <w:w w:val="105"/>
                              <w:sz w:val="12"/>
                            </w:rPr>
                            <w:t>ER</w:t>
                          </w:r>
                          <w:r>
                            <w:rPr>
                              <w:rFonts w:ascii="Arial"/>
                              <w:color w:val="008FDD"/>
                              <w:spacing w:val="-19"/>
                              <w:w w:val="105"/>
                              <w:sz w:val="12"/>
                            </w:rPr>
                            <w:t> </w:t>
                          </w:r>
                          <w:r>
                            <w:rPr>
                              <w:rFonts w:ascii="Arial"/>
                              <w:color w:val="008FDD"/>
                              <w:w w:val="105"/>
                              <w:sz w:val="12"/>
                            </w:rPr>
                            <w:t>TA</w:t>
                          </w:r>
                          <w:r>
                            <w:rPr>
                              <w:rFonts w:ascii="Arial"/>
                              <w:color w:val="008FDD"/>
                              <w:spacing w:val="-20"/>
                              <w:w w:val="105"/>
                              <w:sz w:val="12"/>
                            </w:rPr>
                            <w:t> </w:t>
                          </w:r>
                          <w:r>
                            <w:rPr>
                              <w:rFonts w:ascii="Arial"/>
                              <w:color w:val="008FDD"/>
                              <w:w w:val="105"/>
                              <w:sz w:val="12"/>
                            </w:rPr>
                            <w:t>IN</w:t>
                          </w:r>
                          <w:r>
                            <w:rPr>
                              <w:rFonts w:ascii="Arial"/>
                              <w:color w:val="008FDD"/>
                              <w:spacing w:val="30"/>
                              <w:w w:val="105"/>
                              <w:sz w:val="12"/>
                            </w:rPr>
                            <w:t> </w:t>
                          </w:r>
                          <w:r>
                            <w:rPr>
                              <w:rFonts w:ascii="Arial"/>
                              <w:color w:val="008FDD"/>
                              <w:w w:val="105"/>
                              <w:sz w:val="12"/>
                            </w:rPr>
                            <w:t>GL</w:t>
                          </w:r>
                          <w:r>
                            <w:rPr>
                              <w:rFonts w:ascii="Arial"/>
                              <w:color w:val="008FDD"/>
                              <w:spacing w:val="-21"/>
                              <w:w w:val="105"/>
                              <w:sz w:val="12"/>
                            </w:rPr>
                            <w:t> </w:t>
                          </w:r>
                          <w:r>
                            <w:rPr>
                              <w:rFonts w:ascii="Arial"/>
                              <w:color w:val="008FDD"/>
                              <w:spacing w:val="10"/>
                              <w:w w:val="105"/>
                              <w:sz w:val="12"/>
                            </w:rPr>
                            <w:t>OBAL</w:t>
                          </w:r>
                          <w:r>
                            <w:rPr>
                              <w:rFonts w:ascii="Arial"/>
                              <w:color w:val="008FDD"/>
                              <w:spacing w:val="30"/>
                              <w:w w:val="105"/>
                              <w:sz w:val="12"/>
                            </w:rPr>
                            <w:t> </w:t>
                          </w:r>
                          <w:r>
                            <w:rPr>
                              <w:rFonts w:ascii="Arial"/>
                              <w:color w:val="008FDD"/>
                              <w:w w:val="105"/>
                              <w:sz w:val="12"/>
                            </w:rPr>
                            <w:t>EC</w:t>
                          </w:r>
                          <w:r>
                            <w:rPr>
                              <w:rFonts w:ascii="Arial"/>
                              <w:color w:val="008FDD"/>
                              <w:spacing w:val="-20"/>
                              <w:w w:val="105"/>
                              <w:sz w:val="12"/>
                            </w:rPr>
                            <w:t> </w:t>
                          </w:r>
                          <w:r>
                            <w:rPr>
                              <w:rFonts w:ascii="Arial"/>
                              <w:color w:val="008FDD"/>
                              <w:spacing w:val="7"/>
                              <w:w w:val="105"/>
                              <w:sz w:val="12"/>
                            </w:rPr>
                            <w:t>ONOMY</w:t>
                          </w:r>
                          <w:r>
                            <w:rPr>
                              <w:rFonts w:ascii="Arial"/>
                              <w:color w:val="008FDD"/>
                              <w:sz w:val="12"/>
                            </w:rPr>
                            <w:tab/>
                          </w:r>
                          <w:r>
                            <w:rPr>
                              <w:rFonts w:ascii="Arial"/>
                              <w:b/>
                              <w:color w:val="231F20"/>
                              <w:spacing w:val="-10"/>
                              <w:w w:val="105"/>
                              <w:sz w:val="15"/>
                            </w:rPr>
                            <w:fldChar w:fldCharType="begin"/>
                          </w:r>
                          <w:r>
                            <w:rPr>
                              <w:rFonts w:ascii="Arial"/>
                              <w:b/>
                              <w:color w:val="231F20"/>
                              <w:spacing w:val="-10"/>
                              <w:w w:val="105"/>
                              <w:sz w:val="15"/>
                            </w:rPr>
                            <w:instrText> PAGE </w:instrText>
                          </w:r>
                          <w:r>
                            <w:rPr>
                              <w:rFonts w:ascii="Arial"/>
                              <w:b/>
                              <w:color w:val="231F20"/>
                              <w:spacing w:val="-10"/>
                              <w:w w:val="105"/>
                              <w:sz w:val="15"/>
                            </w:rPr>
                            <w:fldChar w:fldCharType="separate"/>
                          </w:r>
                          <w:r>
                            <w:rPr>
                              <w:rFonts w:ascii="Arial"/>
                              <w:b/>
                              <w:color w:val="231F20"/>
                              <w:spacing w:val="-10"/>
                              <w:w w:val="105"/>
                              <w:sz w:val="15"/>
                            </w:rPr>
                            <w:t>3</w:t>
                          </w:r>
                          <w:r>
                            <w:rPr>
                              <w:rFonts w:ascii="Arial"/>
                              <w:b/>
                              <w:color w:val="231F20"/>
                              <w:spacing w:val="-10"/>
                              <w:w w:val="105"/>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2pt;height:11.3pt;mso-position-horizontal-relative:page;mso-position-vertical-relative:page;z-index:-36574720" type="#_x0000_t202" id="docshape196" filled="false" stroked="false">
              <v:textbox inset="0,0,0,0">
                <w:txbxContent>
                  <w:p>
                    <w:pPr>
                      <w:tabs>
                        <w:tab w:pos="6983" w:val="right" w:leader="none"/>
                      </w:tabs>
                      <w:spacing w:before="27"/>
                      <w:ind w:left="20" w:right="0" w:firstLine="0"/>
                      <w:jc w:val="left"/>
                      <w:rPr>
                        <w:rFonts w:ascii="Arial"/>
                        <w:b/>
                        <w:sz w:val="15"/>
                      </w:rPr>
                    </w:pPr>
                    <w:r>
                      <w:rPr>
                        <w:rFonts w:ascii="Arial"/>
                        <w:b/>
                        <w:color w:val="008FDD"/>
                        <w:spacing w:val="10"/>
                        <w:w w:val="105"/>
                        <w:sz w:val="12"/>
                      </w:rPr>
                      <w:t>CONNEC</w:t>
                    </w:r>
                    <w:r>
                      <w:rPr>
                        <w:rFonts w:ascii="Arial"/>
                        <w:b/>
                        <w:color w:val="008FDD"/>
                        <w:spacing w:val="-19"/>
                        <w:w w:val="105"/>
                        <w:sz w:val="12"/>
                      </w:rPr>
                      <w:t> </w:t>
                    </w:r>
                    <w:r>
                      <w:rPr>
                        <w:rFonts w:ascii="Arial"/>
                        <w:b/>
                        <w:color w:val="008FDD"/>
                        <w:w w:val="105"/>
                        <w:sz w:val="12"/>
                      </w:rPr>
                      <w:t>T</w:t>
                    </w:r>
                    <w:r>
                      <w:rPr>
                        <w:rFonts w:ascii="Arial"/>
                        <w:b/>
                        <w:color w:val="008FDD"/>
                        <w:spacing w:val="-21"/>
                        <w:w w:val="105"/>
                        <w:sz w:val="12"/>
                      </w:rPr>
                      <w:t> </w:t>
                    </w:r>
                    <w:r>
                      <w:rPr>
                        <w:rFonts w:ascii="Arial"/>
                        <w:b/>
                        <w:color w:val="008FDD"/>
                        <w:w w:val="105"/>
                        <w:sz w:val="12"/>
                      </w:rPr>
                      <w:t>ING</w:t>
                    </w:r>
                    <w:r>
                      <w:rPr>
                        <w:rFonts w:ascii="Arial"/>
                        <w:b/>
                        <w:color w:val="008FDD"/>
                        <w:spacing w:val="32"/>
                        <w:w w:val="105"/>
                        <w:sz w:val="12"/>
                      </w:rPr>
                      <w:t> </w:t>
                    </w:r>
                    <w:r>
                      <w:rPr>
                        <w:rFonts w:ascii="Arial"/>
                        <w:b/>
                        <w:color w:val="008FDD"/>
                        <w:w w:val="105"/>
                        <w:sz w:val="12"/>
                      </w:rPr>
                      <w:t>T</w:t>
                    </w:r>
                    <w:r>
                      <w:rPr>
                        <w:rFonts w:ascii="Arial"/>
                        <w:b/>
                        <w:color w:val="008FDD"/>
                        <w:spacing w:val="-19"/>
                        <w:w w:val="105"/>
                        <w:sz w:val="12"/>
                      </w:rPr>
                      <w:t> </w:t>
                    </w:r>
                    <w:r>
                      <w:rPr>
                        <w:rFonts w:ascii="Arial"/>
                        <w:b/>
                        <w:color w:val="008FDD"/>
                        <w:w w:val="105"/>
                        <w:sz w:val="12"/>
                      </w:rPr>
                      <w:t>O</w:t>
                    </w:r>
                    <w:r>
                      <w:rPr>
                        <w:rFonts w:ascii="Arial"/>
                        <w:b/>
                        <w:color w:val="008FDD"/>
                        <w:spacing w:val="32"/>
                        <w:w w:val="105"/>
                        <w:sz w:val="12"/>
                      </w:rPr>
                      <w:t> </w:t>
                    </w:r>
                    <w:r>
                      <w:rPr>
                        <w:rFonts w:ascii="Arial"/>
                        <w:b/>
                        <w:color w:val="008FDD"/>
                        <w:spacing w:val="11"/>
                        <w:w w:val="105"/>
                        <w:sz w:val="12"/>
                      </w:rPr>
                      <w:t>COMPET</w:t>
                    </w:r>
                    <w:r>
                      <w:rPr>
                        <w:rFonts w:ascii="Arial"/>
                        <w:b/>
                        <w:color w:val="008FDD"/>
                        <w:spacing w:val="-21"/>
                        <w:w w:val="105"/>
                        <w:sz w:val="12"/>
                      </w:rPr>
                      <w:t> </w:t>
                    </w:r>
                    <w:r>
                      <w:rPr>
                        <w:rFonts w:ascii="Arial"/>
                        <w:b/>
                        <w:color w:val="008FDD"/>
                        <w:w w:val="105"/>
                        <w:sz w:val="12"/>
                      </w:rPr>
                      <w:t>E</w:t>
                    </w:r>
                    <w:r>
                      <w:rPr>
                        <w:rFonts w:ascii="Arial"/>
                        <w:b/>
                        <w:color w:val="008FDD"/>
                        <w:spacing w:val="31"/>
                        <w:w w:val="110"/>
                        <w:sz w:val="12"/>
                      </w:rPr>
                      <w:t> </w:t>
                    </w:r>
                    <w:r>
                      <w:rPr>
                        <w:rFonts w:ascii="Arial"/>
                        <w:b/>
                        <w:color w:val="008FDD"/>
                        <w:w w:val="110"/>
                        <w:sz w:val="12"/>
                      </w:rPr>
                      <w:t>2023</w:t>
                    </w:r>
                    <w:r>
                      <w:rPr>
                        <w:rFonts w:ascii="Arial"/>
                        <w:b/>
                        <w:color w:val="008FDD"/>
                        <w:spacing w:val="28"/>
                        <w:w w:val="110"/>
                        <w:sz w:val="12"/>
                      </w:rPr>
                      <w:t> </w:t>
                    </w:r>
                    <w:r>
                      <w:rPr>
                        <w:rFonts w:ascii="Arial"/>
                        <w:color w:val="008FDD"/>
                        <w:w w:val="105"/>
                        <w:sz w:val="12"/>
                      </w:rPr>
                      <w:t>T</w:t>
                    </w:r>
                    <w:r>
                      <w:rPr>
                        <w:rFonts w:ascii="Arial"/>
                        <w:color w:val="008FDD"/>
                        <w:spacing w:val="-20"/>
                        <w:w w:val="105"/>
                        <w:sz w:val="12"/>
                      </w:rPr>
                      <w:t> </w:t>
                    </w:r>
                    <w:r>
                      <w:rPr>
                        <w:rFonts w:ascii="Arial"/>
                        <w:color w:val="008FDD"/>
                        <w:w w:val="105"/>
                        <w:sz w:val="12"/>
                      </w:rPr>
                      <w:t>R</w:t>
                    </w:r>
                    <w:r>
                      <w:rPr>
                        <w:rFonts w:ascii="Arial"/>
                        <w:color w:val="008FDD"/>
                        <w:spacing w:val="-19"/>
                        <w:w w:val="105"/>
                        <w:sz w:val="12"/>
                      </w:rPr>
                      <w:t> </w:t>
                    </w:r>
                    <w:r>
                      <w:rPr>
                        <w:rFonts w:ascii="Arial"/>
                        <w:color w:val="008FDD"/>
                        <w:w w:val="105"/>
                        <w:sz w:val="12"/>
                      </w:rPr>
                      <w:t>A</w:t>
                    </w:r>
                    <w:r>
                      <w:rPr>
                        <w:rFonts w:ascii="Arial"/>
                        <w:color w:val="008FDD"/>
                        <w:spacing w:val="-20"/>
                        <w:w w:val="105"/>
                        <w:sz w:val="12"/>
                      </w:rPr>
                      <w:t> </w:t>
                    </w:r>
                    <w:r>
                      <w:rPr>
                        <w:rFonts w:ascii="Arial"/>
                        <w:color w:val="008FDD"/>
                        <w:w w:val="105"/>
                        <w:sz w:val="12"/>
                      </w:rPr>
                      <w:t>DE</w:t>
                    </w:r>
                    <w:r>
                      <w:rPr>
                        <w:rFonts w:ascii="Arial"/>
                        <w:color w:val="008FDD"/>
                        <w:spacing w:val="30"/>
                        <w:w w:val="105"/>
                        <w:sz w:val="12"/>
                      </w:rPr>
                      <w:t> </w:t>
                    </w:r>
                    <w:r>
                      <w:rPr>
                        <w:rFonts w:ascii="Arial"/>
                        <w:color w:val="008FDD"/>
                        <w:w w:val="105"/>
                        <w:sz w:val="12"/>
                      </w:rPr>
                      <w:t>L</w:t>
                    </w:r>
                    <w:r>
                      <w:rPr>
                        <w:rFonts w:ascii="Arial"/>
                        <w:color w:val="008FDD"/>
                        <w:spacing w:val="-21"/>
                        <w:w w:val="105"/>
                        <w:sz w:val="12"/>
                      </w:rPr>
                      <w:t> </w:t>
                    </w:r>
                    <w:r>
                      <w:rPr>
                        <w:rFonts w:ascii="Arial"/>
                        <w:color w:val="008FDD"/>
                        <w:w w:val="105"/>
                        <w:sz w:val="12"/>
                      </w:rPr>
                      <w:t>O</w:t>
                    </w:r>
                    <w:r>
                      <w:rPr>
                        <w:rFonts w:ascii="Arial"/>
                        <w:color w:val="008FDD"/>
                        <w:spacing w:val="-20"/>
                        <w:w w:val="105"/>
                        <w:sz w:val="12"/>
                      </w:rPr>
                      <w:t> </w:t>
                    </w:r>
                    <w:r>
                      <w:rPr>
                        <w:rFonts w:ascii="Arial"/>
                        <w:color w:val="008FDD"/>
                        <w:w w:val="105"/>
                        <w:sz w:val="12"/>
                      </w:rPr>
                      <w:t>GIS</w:t>
                    </w:r>
                    <w:r>
                      <w:rPr>
                        <w:rFonts w:ascii="Arial"/>
                        <w:color w:val="008FDD"/>
                        <w:spacing w:val="-20"/>
                        <w:w w:val="105"/>
                        <w:sz w:val="12"/>
                      </w:rPr>
                      <w:t> </w:t>
                    </w:r>
                    <w:r>
                      <w:rPr>
                        <w:rFonts w:ascii="Arial"/>
                        <w:color w:val="008FDD"/>
                        <w:w w:val="105"/>
                        <w:sz w:val="12"/>
                      </w:rPr>
                      <w:t>T</w:t>
                    </w:r>
                    <w:r>
                      <w:rPr>
                        <w:rFonts w:ascii="Arial"/>
                        <w:color w:val="008FDD"/>
                        <w:spacing w:val="-19"/>
                        <w:w w:val="105"/>
                        <w:sz w:val="12"/>
                      </w:rPr>
                      <w:t> </w:t>
                    </w:r>
                    <w:r>
                      <w:rPr>
                        <w:rFonts w:ascii="Arial"/>
                        <w:color w:val="008FDD"/>
                        <w:w w:val="105"/>
                        <w:sz w:val="12"/>
                      </w:rPr>
                      <w:t>IC</w:t>
                    </w:r>
                    <w:r>
                      <w:rPr>
                        <w:rFonts w:ascii="Arial"/>
                        <w:color w:val="008FDD"/>
                        <w:spacing w:val="-19"/>
                        <w:w w:val="105"/>
                        <w:sz w:val="12"/>
                      </w:rPr>
                      <w:t> </w:t>
                    </w:r>
                    <w:r>
                      <w:rPr>
                        <w:rFonts w:ascii="Arial"/>
                        <w:color w:val="008FDD"/>
                        <w:w w:val="105"/>
                        <w:sz w:val="12"/>
                      </w:rPr>
                      <w:t>S</w:t>
                    </w:r>
                    <w:r>
                      <w:rPr>
                        <w:rFonts w:ascii="Arial"/>
                        <w:color w:val="008FDD"/>
                        <w:spacing w:val="30"/>
                        <w:w w:val="105"/>
                        <w:sz w:val="12"/>
                      </w:rPr>
                      <w:t> </w:t>
                    </w:r>
                    <w:r>
                      <w:rPr>
                        <w:rFonts w:ascii="Arial"/>
                        <w:color w:val="008FDD"/>
                        <w:w w:val="105"/>
                        <w:sz w:val="12"/>
                      </w:rPr>
                      <w:t>IN</w:t>
                    </w:r>
                    <w:r>
                      <w:rPr>
                        <w:rFonts w:ascii="Arial"/>
                        <w:color w:val="008FDD"/>
                        <w:spacing w:val="29"/>
                        <w:w w:val="105"/>
                        <w:sz w:val="12"/>
                      </w:rPr>
                      <w:t> </w:t>
                    </w:r>
                    <w:r>
                      <w:rPr>
                        <w:rFonts w:ascii="Arial"/>
                        <w:color w:val="008FDD"/>
                        <w:w w:val="105"/>
                        <w:sz w:val="12"/>
                      </w:rPr>
                      <w:t>A</w:t>
                    </w:r>
                    <w:r>
                      <w:rPr>
                        <w:rFonts w:ascii="Arial"/>
                        <w:color w:val="008FDD"/>
                        <w:spacing w:val="-19"/>
                        <w:w w:val="105"/>
                        <w:sz w:val="12"/>
                      </w:rPr>
                      <w:t> </w:t>
                    </w:r>
                    <w:r>
                      <w:rPr>
                        <w:rFonts w:ascii="Arial"/>
                        <w:color w:val="008FDD"/>
                        <w:w w:val="105"/>
                        <w:sz w:val="12"/>
                      </w:rPr>
                      <w:t>N</w:t>
                    </w:r>
                    <w:r>
                      <w:rPr>
                        <w:rFonts w:ascii="Arial"/>
                        <w:color w:val="008FDD"/>
                        <w:spacing w:val="30"/>
                        <w:w w:val="105"/>
                        <w:sz w:val="12"/>
                      </w:rPr>
                      <w:t> </w:t>
                    </w:r>
                    <w:r>
                      <w:rPr>
                        <w:rFonts w:ascii="Arial"/>
                        <w:color w:val="008FDD"/>
                        <w:w w:val="105"/>
                        <w:sz w:val="12"/>
                      </w:rPr>
                      <w:t>UNC</w:t>
                    </w:r>
                    <w:r>
                      <w:rPr>
                        <w:rFonts w:ascii="Arial"/>
                        <w:color w:val="008FDD"/>
                        <w:spacing w:val="-20"/>
                        <w:w w:val="105"/>
                        <w:sz w:val="12"/>
                      </w:rPr>
                      <w:t> </w:t>
                    </w:r>
                    <w:r>
                      <w:rPr>
                        <w:rFonts w:ascii="Arial"/>
                        <w:color w:val="008FDD"/>
                        <w:w w:val="105"/>
                        <w:sz w:val="12"/>
                      </w:rPr>
                      <w:t>ER</w:t>
                    </w:r>
                    <w:r>
                      <w:rPr>
                        <w:rFonts w:ascii="Arial"/>
                        <w:color w:val="008FDD"/>
                        <w:spacing w:val="-19"/>
                        <w:w w:val="105"/>
                        <w:sz w:val="12"/>
                      </w:rPr>
                      <w:t> </w:t>
                    </w:r>
                    <w:r>
                      <w:rPr>
                        <w:rFonts w:ascii="Arial"/>
                        <w:color w:val="008FDD"/>
                        <w:w w:val="105"/>
                        <w:sz w:val="12"/>
                      </w:rPr>
                      <w:t>TA</w:t>
                    </w:r>
                    <w:r>
                      <w:rPr>
                        <w:rFonts w:ascii="Arial"/>
                        <w:color w:val="008FDD"/>
                        <w:spacing w:val="-20"/>
                        <w:w w:val="105"/>
                        <w:sz w:val="12"/>
                      </w:rPr>
                      <w:t> </w:t>
                    </w:r>
                    <w:r>
                      <w:rPr>
                        <w:rFonts w:ascii="Arial"/>
                        <w:color w:val="008FDD"/>
                        <w:w w:val="105"/>
                        <w:sz w:val="12"/>
                      </w:rPr>
                      <w:t>IN</w:t>
                    </w:r>
                    <w:r>
                      <w:rPr>
                        <w:rFonts w:ascii="Arial"/>
                        <w:color w:val="008FDD"/>
                        <w:spacing w:val="30"/>
                        <w:w w:val="105"/>
                        <w:sz w:val="12"/>
                      </w:rPr>
                      <w:t> </w:t>
                    </w:r>
                    <w:r>
                      <w:rPr>
                        <w:rFonts w:ascii="Arial"/>
                        <w:color w:val="008FDD"/>
                        <w:w w:val="105"/>
                        <w:sz w:val="12"/>
                      </w:rPr>
                      <w:t>GL</w:t>
                    </w:r>
                    <w:r>
                      <w:rPr>
                        <w:rFonts w:ascii="Arial"/>
                        <w:color w:val="008FDD"/>
                        <w:spacing w:val="-21"/>
                        <w:w w:val="105"/>
                        <w:sz w:val="12"/>
                      </w:rPr>
                      <w:t> </w:t>
                    </w:r>
                    <w:r>
                      <w:rPr>
                        <w:rFonts w:ascii="Arial"/>
                        <w:color w:val="008FDD"/>
                        <w:spacing w:val="10"/>
                        <w:w w:val="105"/>
                        <w:sz w:val="12"/>
                      </w:rPr>
                      <w:t>OBAL</w:t>
                    </w:r>
                    <w:r>
                      <w:rPr>
                        <w:rFonts w:ascii="Arial"/>
                        <w:color w:val="008FDD"/>
                        <w:spacing w:val="30"/>
                        <w:w w:val="105"/>
                        <w:sz w:val="12"/>
                      </w:rPr>
                      <w:t> </w:t>
                    </w:r>
                    <w:r>
                      <w:rPr>
                        <w:rFonts w:ascii="Arial"/>
                        <w:color w:val="008FDD"/>
                        <w:w w:val="105"/>
                        <w:sz w:val="12"/>
                      </w:rPr>
                      <w:t>EC</w:t>
                    </w:r>
                    <w:r>
                      <w:rPr>
                        <w:rFonts w:ascii="Arial"/>
                        <w:color w:val="008FDD"/>
                        <w:spacing w:val="-20"/>
                        <w:w w:val="105"/>
                        <w:sz w:val="12"/>
                      </w:rPr>
                      <w:t> </w:t>
                    </w:r>
                    <w:r>
                      <w:rPr>
                        <w:rFonts w:ascii="Arial"/>
                        <w:color w:val="008FDD"/>
                        <w:spacing w:val="7"/>
                        <w:w w:val="105"/>
                        <w:sz w:val="12"/>
                      </w:rPr>
                      <w:t>ONOMY</w:t>
                    </w:r>
                    <w:r>
                      <w:rPr>
                        <w:rFonts w:ascii="Arial"/>
                        <w:color w:val="008FDD"/>
                        <w:sz w:val="12"/>
                      </w:rPr>
                      <w:tab/>
                    </w:r>
                    <w:r>
                      <w:rPr>
                        <w:rFonts w:ascii="Arial"/>
                        <w:b/>
                        <w:color w:val="231F20"/>
                        <w:spacing w:val="-10"/>
                        <w:w w:val="105"/>
                        <w:sz w:val="15"/>
                      </w:rPr>
                      <w:fldChar w:fldCharType="begin"/>
                    </w:r>
                    <w:r>
                      <w:rPr>
                        <w:rFonts w:ascii="Arial"/>
                        <w:b/>
                        <w:color w:val="231F20"/>
                        <w:spacing w:val="-10"/>
                        <w:w w:val="105"/>
                        <w:sz w:val="15"/>
                      </w:rPr>
                      <w:instrText> PAGE </w:instrText>
                    </w:r>
                    <w:r>
                      <w:rPr>
                        <w:rFonts w:ascii="Arial"/>
                        <w:b/>
                        <w:color w:val="231F20"/>
                        <w:spacing w:val="-10"/>
                        <w:w w:val="105"/>
                        <w:sz w:val="15"/>
                      </w:rPr>
                      <w:fldChar w:fldCharType="separate"/>
                    </w:r>
                    <w:r>
                      <w:rPr>
                        <w:rFonts w:ascii="Arial"/>
                        <w:b/>
                        <w:color w:val="231F20"/>
                        <w:spacing w:val="-10"/>
                        <w:w w:val="105"/>
                        <w:sz w:val="15"/>
                      </w:rPr>
                      <w:t>3</w:t>
                    </w:r>
                    <w:r>
                      <w:rPr>
                        <w:rFonts w:ascii="Arial"/>
                        <w:b/>
                        <w:color w:val="231F20"/>
                        <w:spacing w:val="-10"/>
                        <w:w w:val="105"/>
                        <w:sz w:val="15"/>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2272">
              <wp:simplePos x="0" y="0"/>
              <wp:positionH relativeFrom="page">
                <wp:posOffset>312421</wp:posOffset>
              </wp:positionH>
              <wp:positionV relativeFrom="page">
                <wp:posOffset>9570783</wp:posOffset>
              </wp:positionV>
              <wp:extent cx="4343400" cy="14351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4343400" cy="143510"/>
                      </a:xfrm>
                      <a:prstGeom prst="rect">
                        <a:avLst/>
                      </a:prstGeom>
                    </wps:spPr>
                    <wps:txbx>
                      <w:txbxContent>
                        <w:p>
                          <w:pPr>
                            <w:tabs>
                              <w:tab w:pos="407" w:val="left" w:leader="none"/>
                            </w:tabs>
                            <w:spacing w:before="27"/>
                            <w:ind w:left="60" w:right="0" w:firstLine="0"/>
                            <w:jc w:val="left"/>
                            <w:rPr>
                              <w:rFonts w:ascii="Arial"/>
                              <w:sz w:val="12"/>
                            </w:rPr>
                          </w:pPr>
                          <w:r>
                            <w:rPr>
                              <w:rFonts w:ascii="Arial"/>
                              <w:b/>
                              <w:color w:val="231F20"/>
                              <w:spacing w:val="-10"/>
                              <w:w w:val="105"/>
                              <w:sz w:val="15"/>
                            </w:rPr>
                            <w:fldChar w:fldCharType="begin"/>
                          </w:r>
                          <w:r>
                            <w:rPr>
                              <w:rFonts w:ascii="Arial"/>
                              <w:b/>
                              <w:color w:val="231F20"/>
                              <w:spacing w:val="-10"/>
                              <w:w w:val="105"/>
                              <w:sz w:val="15"/>
                            </w:rPr>
                            <w:instrText> PAGE </w:instrText>
                          </w:r>
                          <w:r>
                            <w:rPr>
                              <w:rFonts w:ascii="Arial"/>
                              <w:b/>
                              <w:color w:val="231F20"/>
                              <w:spacing w:val="-10"/>
                              <w:w w:val="105"/>
                              <w:sz w:val="15"/>
                            </w:rPr>
                            <w:fldChar w:fldCharType="separate"/>
                          </w:r>
                          <w:r>
                            <w:rPr>
                              <w:rFonts w:ascii="Arial"/>
                              <w:b/>
                              <w:color w:val="231F20"/>
                              <w:spacing w:val="-10"/>
                              <w:w w:val="105"/>
                              <w:sz w:val="15"/>
                            </w:rPr>
                            <w:t>4</w:t>
                          </w:r>
                          <w:r>
                            <w:rPr>
                              <w:rFonts w:ascii="Arial"/>
                              <w:b/>
                              <w:color w:val="231F20"/>
                              <w:spacing w:val="-10"/>
                              <w:w w:val="105"/>
                              <w:sz w:val="15"/>
                            </w:rPr>
                            <w:fldChar w:fldCharType="end"/>
                          </w:r>
                          <w:r>
                            <w:rPr>
                              <w:rFonts w:ascii="Arial"/>
                              <w:b/>
                              <w:color w:val="231F20"/>
                              <w:sz w:val="15"/>
                            </w:rPr>
                            <w:tab/>
                          </w:r>
                          <w:r>
                            <w:rPr>
                              <w:rFonts w:ascii="Arial"/>
                              <w:b/>
                              <w:color w:val="008FDD"/>
                              <w:spacing w:val="10"/>
                              <w:w w:val="105"/>
                              <w:sz w:val="12"/>
                            </w:rPr>
                            <w:t>CONNEC</w:t>
                          </w:r>
                          <w:r>
                            <w:rPr>
                              <w:rFonts w:ascii="Arial"/>
                              <w:b/>
                              <w:color w:val="008FDD"/>
                              <w:spacing w:val="-19"/>
                              <w:w w:val="105"/>
                              <w:sz w:val="12"/>
                            </w:rPr>
                            <w:t> </w:t>
                          </w:r>
                          <w:r>
                            <w:rPr>
                              <w:rFonts w:ascii="Arial"/>
                              <w:b/>
                              <w:color w:val="008FDD"/>
                              <w:w w:val="105"/>
                              <w:sz w:val="12"/>
                            </w:rPr>
                            <w:t>T</w:t>
                          </w:r>
                          <w:r>
                            <w:rPr>
                              <w:rFonts w:ascii="Arial"/>
                              <w:b/>
                              <w:color w:val="008FDD"/>
                              <w:spacing w:val="-21"/>
                              <w:w w:val="105"/>
                              <w:sz w:val="12"/>
                            </w:rPr>
                            <w:t> </w:t>
                          </w:r>
                          <w:r>
                            <w:rPr>
                              <w:rFonts w:ascii="Arial"/>
                              <w:b/>
                              <w:color w:val="008FDD"/>
                              <w:w w:val="105"/>
                              <w:sz w:val="12"/>
                            </w:rPr>
                            <w:t>ING</w:t>
                          </w:r>
                          <w:r>
                            <w:rPr>
                              <w:rFonts w:ascii="Arial"/>
                              <w:b/>
                              <w:color w:val="008FDD"/>
                              <w:spacing w:val="32"/>
                              <w:w w:val="105"/>
                              <w:sz w:val="12"/>
                            </w:rPr>
                            <w:t> </w:t>
                          </w:r>
                          <w:r>
                            <w:rPr>
                              <w:rFonts w:ascii="Arial"/>
                              <w:b/>
                              <w:color w:val="008FDD"/>
                              <w:w w:val="105"/>
                              <w:sz w:val="12"/>
                            </w:rPr>
                            <w:t>T</w:t>
                          </w:r>
                          <w:r>
                            <w:rPr>
                              <w:rFonts w:ascii="Arial"/>
                              <w:b/>
                              <w:color w:val="008FDD"/>
                              <w:spacing w:val="-19"/>
                              <w:w w:val="105"/>
                              <w:sz w:val="12"/>
                            </w:rPr>
                            <w:t> </w:t>
                          </w:r>
                          <w:r>
                            <w:rPr>
                              <w:rFonts w:ascii="Arial"/>
                              <w:b/>
                              <w:color w:val="008FDD"/>
                              <w:w w:val="105"/>
                              <w:sz w:val="12"/>
                            </w:rPr>
                            <w:t>O</w:t>
                          </w:r>
                          <w:r>
                            <w:rPr>
                              <w:rFonts w:ascii="Arial"/>
                              <w:b/>
                              <w:color w:val="008FDD"/>
                              <w:spacing w:val="32"/>
                              <w:w w:val="105"/>
                              <w:sz w:val="12"/>
                            </w:rPr>
                            <w:t> </w:t>
                          </w:r>
                          <w:r>
                            <w:rPr>
                              <w:rFonts w:ascii="Arial"/>
                              <w:b/>
                              <w:color w:val="008FDD"/>
                              <w:spacing w:val="11"/>
                              <w:w w:val="105"/>
                              <w:sz w:val="12"/>
                            </w:rPr>
                            <w:t>COMPET</w:t>
                          </w:r>
                          <w:r>
                            <w:rPr>
                              <w:rFonts w:ascii="Arial"/>
                              <w:b/>
                              <w:color w:val="008FDD"/>
                              <w:spacing w:val="-21"/>
                              <w:w w:val="105"/>
                              <w:sz w:val="12"/>
                            </w:rPr>
                            <w:t> </w:t>
                          </w:r>
                          <w:r>
                            <w:rPr>
                              <w:rFonts w:ascii="Arial"/>
                              <w:b/>
                              <w:color w:val="008FDD"/>
                              <w:w w:val="105"/>
                              <w:sz w:val="12"/>
                            </w:rPr>
                            <w:t>E</w:t>
                          </w:r>
                          <w:r>
                            <w:rPr>
                              <w:rFonts w:ascii="Arial"/>
                              <w:b/>
                              <w:color w:val="008FDD"/>
                              <w:spacing w:val="31"/>
                              <w:w w:val="110"/>
                              <w:sz w:val="12"/>
                            </w:rPr>
                            <w:t> </w:t>
                          </w:r>
                          <w:r>
                            <w:rPr>
                              <w:rFonts w:ascii="Arial"/>
                              <w:b/>
                              <w:color w:val="008FDD"/>
                              <w:w w:val="110"/>
                              <w:sz w:val="12"/>
                            </w:rPr>
                            <w:t>2023</w:t>
                          </w:r>
                          <w:r>
                            <w:rPr>
                              <w:rFonts w:ascii="Arial"/>
                              <w:b/>
                              <w:color w:val="008FDD"/>
                              <w:spacing w:val="28"/>
                              <w:w w:val="110"/>
                              <w:sz w:val="12"/>
                            </w:rPr>
                            <w:t> </w:t>
                          </w:r>
                          <w:r>
                            <w:rPr>
                              <w:rFonts w:ascii="Arial"/>
                              <w:color w:val="008FDD"/>
                              <w:w w:val="105"/>
                              <w:sz w:val="12"/>
                            </w:rPr>
                            <w:t>T</w:t>
                          </w:r>
                          <w:r>
                            <w:rPr>
                              <w:rFonts w:ascii="Arial"/>
                              <w:color w:val="008FDD"/>
                              <w:spacing w:val="-20"/>
                              <w:w w:val="105"/>
                              <w:sz w:val="12"/>
                            </w:rPr>
                            <w:t> </w:t>
                          </w:r>
                          <w:r>
                            <w:rPr>
                              <w:rFonts w:ascii="Arial"/>
                              <w:color w:val="008FDD"/>
                              <w:w w:val="105"/>
                              <w:sz w:val="12"/>
                            </w:rPr>
                            <w:t>R</w:t>
                          </w:r>
                          <w:r>
                            <w:rPr>
                              <w:rFonts w:ascii="Arial"/>
                              <w:color w:val="008FDD"/>
                              <w:spacing w:val="-19"/>
                              <w:w w:val="105"/>
                              <w:sz w:val="12"/>
                            </w:rPr>
                            <w:t> </w:t>
                          </w:r>
                          <w:r>
                            <w:rPr>
                              <w:rFonts w:ascii="Arial"/>
                              <w:color w:val="008FDD"/>
                              <w:w w:val="105"/>
                              <w:sz w:val="12"/>
                            </w:rPr>
                            <w:t>A</w:t>
                          </w:r>
                          <w:r>
                            <w:rPr>
                              <w:rFonts w:ascii="Arial"/>
                              <w:color w:val="008FDD"/>
                              <w:spacing w:val="-20"/>
                              <w:w w:val="105"/>
                              <w:sz w:val="12"/>
                            </w:rPr>
                            <w:t> </w:t>
                          </w:r>
                          <w:r>
                            <w:rPr>
                              <w:rFonts w:ascii="Arial"/>
                              <w:color w:val="008FDD"/>
                              <w:w w:val="105"/>
                              <w:sz w:val="12"/>
                            </w:rPr>
                            <w:t>DE</w:t>
                          </w:r>
                          <w:r>
                            <w:rPr>
                              <w:rFonts w:ascii="Arial"/>
                              <w:color w:val="008FDD"/>
                              <w:spacing w:val="30"/>
                              <w:w w:val="105"/>
                              <w:sz w:val="12"/>
                            </w:rPr>
                            <w:t> </w:t>
                          </w:r>
                          <w:r>
                            <w:rPr>
                              <w:rFonts w:ascii="Arial"/>
                              <w:color w:val="008FDD"/>
                              <w:w w:val="105"/>
                              <w:sz w:val="12"/>
                            </w:rPr>
                            <w:t>L</w:t>
                          </w:r>
                          <w:r>
                            <w:rPr>
                              <w:rFonts w:ascii="Arial"/>
                              <w:color w:val="008FDD"/>
                              <w:spacing w:val="-21"/>
                              <w:w w:val="105"/>
                              <w:sz w:val="12"/>
                            </w:rPr>
                            <w:t> </w:t>
                          </w:r>
                          <w:r>
                            <w:rPr>
                              <w:rFonts w:ascii="Arial"/>
                              <w:color w:val="008FDD"/>
                              <w:w w:val="105"/>
                              <w:sz w:val="12"/>
                            </w:rPr>
                            <w:t>O</w:t>
                          </w:r>
                          <w:r>
                            <w:rPr>
                              <w:rFonts w:ascii="Arial"/>
                              <w:color w:val="008FDD"/>
                              <w:spacing w:val="-20"/>
                              <w:w w:val="105"/>
                              <w:sz w:val="12"/>
                            </w:rPr>
                            <w:t> </w:t>
                          </w:r>
                          <w:r>
                            <w:rPr>
                              <w:rFonts w:ascii="Arial"/>
                              <w:color w:val="008FDD"/>
                              <w:w w:val="105"/>
                              <w:sz w:val="12"/>
                            </w:rPr>
                            <w:t>GIS</w:t>
                          </w:r>
                          <w:r>
                            <w:rPr>
                              <w:rFonts w:ascii="Arial"/>
                              <w:color w:val="008FDD"/>
                              <w:spacing w:val="-20"/>
                              <w:w w:val="105"/>
                              <w:sz w:val="12"/>
                            </w:rPr>
                            <w:t> </w:t>
                          </w:r>
                          <w:r>
                            <w:rPr>
                              <w:rFonts w:ascii="Arial"/>
                              <w:color w:val="008FDD"/>
                              <w:w w:val="105"/>
                              <w:sz w:val="12"/>
                            </w:rPr>
                            <w:t>T</w:t>
                          </w:r>
                          <w:r>
                            <w:rPr>
                              <w:rFonts w:ascii="Arial"/>
                              <w:color w:val="008FDD"/>
                              <w:spacing w:val="-19"/>
                              <w:w w:val="105"/>
                              <w:sz w:val="12"/>
                            </w:rPr>
                            <w:t> </w:t>
                          </w:r>
                          <w:r>
                            <w:rPr>
                              <w:rFonts w:ascii="Arial"/>
                              <w:color w:val="008FDD"/>
                              <w:w w:val="105"/>
                              <w:sz w:val="12"/>
                            </w:rPr>
                            <w:t>IC</w:t>
                          </w:r>
                          <w:r>
                            <w:rPr>
                              <w:rFonts w:ascii="Arial"/>
                              <w:color w:val="008FDD"/>
                              <w:spacing w:val="-19"/>
                              <w:w w:val="105"/>
                              <w:sz w:val="12"/>
                            </w:rPr>
                            <w:t> </w:t>
                          </w:r>
                          <w:r>
                            <w:rPr>
                              <w:rFonts w:ascii="Arial"/>
                              <w:color w:val="008FDD"/>
                              <w:w w:val="105"/>
                              <w:sz w:val="12"/>
                            </w:rPr>
                            <w:t>S</w:t>
                          </w:r>
                          <w:r>
                            <w:rPr>
                              <w:rFonts w:ascii="Arial"/>
                              <w:color w:val="008FDD"/>
                              <w:spacing w:val="30"/>
                              <w:w w:val="105"/>
                              <w:sz w:val="12"/>
                            </w:rPr>
                            <w:t> </w:t>
                          </w:r>
                          <w:r>
                            <w:rPr>
                              <w:rFonts w:ascii="Arial"/>
                              <w:color w:val="008FDD"/>
                              <w:w w:val="105"/>
                              <w:sz w:val="12"/>
                            </w:rPr>
                            <w:t>IN</w:t>
                          </w:r>
                          <w:r>
                            <w:rPr>
                              <w:rFonts w:ascii="Arial"/>
                              <w:color w:val="008FDD"/>
                              <w:spacing w:val="29"/>
                              <w:w w:val="105"/>
                              <w:sz w:val="12"/>
                            </w:rPr>
                            <w:t> </w:t>
                          </w:r>
                          <w:r>
                            <w:rPr>
                              <w:rFonts w:ascii="Arial"/>
                              <w:color w:val="008FDD"/>
                              <w:w w:val="105"/>
                              <w:sz w:val="12"/>
                            </w:rPr>
                            <w:t>A</w:t>
                          </w:r>
                          <w:r>
                            <w:rPr>
                              <w:rFonts w:ascii="Arial"/>
                              <w:color w:val="008FDD"/>
                              <w:spacing w:val="-19"/>
                              <w:w w:val="105"/>
                              <w:sz w:val="12"/>
                            </w:rPr>
                            <w:t> </w:t>
                          </w:r>
                          <w:r>
                            <w:rPr>
                              <w:rFonts w:ascii="Arial"/>
                              <w:color w:val="008FDD"/>
                              <w:w w:val="105"/>
                              <w:sz w:val="12"/>
                            </w:rPr>
                            <w:t>N</w:t>
                          </w:r>
                          <w:r>
                            <w:rPr>
                              <w:rFonts w:ascii="Arial"/>
                              <w:color w:val="008FDD"/>
                              <w:spacing w:val="30"/>
                              <w:w w:val="105"/>
                              <w:sz w:val="12"/>
                            </w:rPr>
                            <w:t> </w:t>
                          </w:r>
                          <w:r>
                            <w:rPr>
                              <w:rFonts w:ascii="Arial"/>
                              <w:color w:val="008FDD"/>
                              <w:w w:val="105"/>
                              <w:sz w:val="12"/>
                            </w:rPr>
                            <w:t>UNC</w:t>
                          </w:r>
                          <w:r>
                            <w:rPr>
                              <w:rFonts w:ascii="Arial"/>
                              <w:color w:val="008FDD"/>
                              <w:spacing w:val="-20"/>
                              <w:w w:val="105"/>
                              <w:sz w:val="12"/>
                            </w:rPr>
                            <w:t> </w:t>
                          </w:r>
                          <w:r>
                            <w:rPr>
                              <w:rFonts w:ascii="Arial"/>
                              <w:color w:val="008FDD"/>
                              <w:w w:val="105"/>
                              <w:sz w:val="12"/>
                            </w:rPr>
                            <w:t>ER</w:t>
                          </w:r>
                          <w:r>
                            <w:rPr>
                              <w:rFonts w:ascii="Arial"/>
                              <w:color w:val="008FDD"/>
                              <w:spacing w:val="-19"/>
                              <w:w w:val="105"/>
                              <w:sz w:val="12"/>
                            </w:rPr>
                            <w:t> </w:t>
                          </w:r>
                          <w:r>
                            <w:rPr>
                              <w:rFonts w:ascii="Arial"/>
                              <w:color w:val="008FDD"/>
                              <w:w w:val="105"/>
                              <w:sz w:val="12"/>
                            </w:rPr>
                            <w:t>TA</w:t>
                          </w:r>
                          <w:r>
                            <w:rPr>
                              <w:rFonts w:ascii="Arial"/>
                              <w:color w:val="008FDD"/>
                              <w:spacing w:val="-20"/>
                              <w:w w:val="105"/>
                              <w:sz w:val="12"/>
                            </w:rPr>
                            <w:t> </w:t>
                          </w:r>
                          <w:r>
                            <w:rPr>
                              <w:rFonts w:ascii="Arial"/>
                              <w:color w:val="008FDD"/>
                              <w:w w:val="105"/>
                              <w:sz w:val="12"/>
                            </w:rPr>
                            <w:t>IN</w:t>
                          </w:r>
                          <w:r>
                            <w:rPr>
                              <w:rFonts w:ascii="Arial"/>
                              <w:color w:val="008FDD"/>
                              <w:spacing w:val="30"/>
                              <w:w w:val="105"/>
                              <w:sz w:val="12"/>
                            </w:rPr>
                            <w:t> </w:t>
                          </w:r>
                          <w:r>
                            <w:rPr>
                              <w:rFonts w:ascii="Arial"/>
                              <w:color w:val="008FDD"/>
                              <w:w w:val="105"/>
                              <w:sz w:val="12"/>
                            </w:rPr>
                            <w:t>GL</w:t>
                          </w:r>
                          <w:r>
                            <w:rPr>
                              <w:rFonts w:ascii="Arial"/>
                              <w:color w:val="008FDD"/>
                              <w:spacing w:val="-21"/>
                              <w:w w:val="105"/>
                              <w:sz w:val="12"/>
                            </w:rPr>
                            <w:t> </w:t>
                          </w:r>
                          <w:r>
                            <w:rPr>
                              <w:rFonts w:ascii="Arial"/>
                              <w:color w:val="008FDD"/>
                              <w:spacing w:val="10"/>
                              <w:w w:val="105"/>
                              <w:sz w:val="12"/>
                            </w:rPr>
                            <w:t>OBAL</w:t>
                          </w:r>
                          <w:r>
                            <w:rPr>
                              <w:rFonts w:ascii="Arial"/>
                              <w:color w:val="008FDD"/>
                              <w:spacing w:val="30"/>
                              <w:w w:val="105"/>
                              <w:sz w:val="12"/>
                            </w:rPr>
                            <w:t> </w:t>
                          </w:r>
                          <w:r>
                            <w:rPr>
                              <w:rFonts w:ascii="Arial"/>
                              <w:color w:val="008FDD"/>
                              <w:w w:val="105"/>
                              <w:sz w:val="12"/>
                            </w:rPr>
                            <w:t>EC</w:t>
                          </w:r>
                          <w:r>
                            <w:rPr>
                              <w:rFonts w:ascii="Arial"/>
                              <w:color w:val="008FDD"/>
                              <w:spacing w:val="-20"/>
                              <w:w w:val="105"/>
                              <w:sz w:val="12"/>
                            </w:rPr>
                            <w:t> </w:t>
                          </w:r>
                          <w:r>
                            <w:rPr>
                              <w:rFonts w:ascii="Arial"/>
                              <w:color w:val="008FDD"/>
                              <w:spacing w:val="7"/>
                              <w:w w:val="105"/>
                              <w:sz w:val="12"/>
                            </w:rPr>
                            <w:t>ONOMY</w:t>
                          </w:r>
                        </w:p>
                      </w:txbxContent>
                    </wps:txbx>
                    <wps:bodyPr wrap="square" lIns="0" tIns="0" rIns="0" bIns="0" rtlCol="0">
                      <a:noAutofit/>
                    </wps:bodyPr>
                  </wps:wsp>
                </a:graphicData>
              </a:graphic>
            </wp:anchor>
          </w:drawing>
        </mc:Choice>
        <mc:Fallback>
          <w:pict>
            <v:shape style="position:absolute;margin-left:24.6001pt;margin-top:753.60498pt;width:342pt;height:11.3pt;mso-position-horizontal-relative:page;mso-position-vertical-relative:page;z-index:-36574208" type="#_x0000_t202" id="docshape197" filled="false" stroked="false">
              <v:textbox inset="0,0,0,0">
                <w:txbxContent>
                  <w:p>
                    <w:pPr>
                      <w:tabs>
                        <w:tab w:pos="407" w:val="left" w:leader="none"/>
                      </w:tabs>
                      <w:spacing w:before="27"/>
                      <w:ind w:left="60" w:right="0" w:firstLine="0"/>
                      <w:jc w:val="left"/>
                      <w:rPr>
                        <w:rFonts w:ascii="Arial"/>
                        <w:sz w:val="12"/>
                      </w:rPr>
                    </w:pPr>
                    <w:r>
                      <w:rPr>
                        <w:rFonts w:ascii="Arial"/>
                        <w:b/>
                        <w:color w:val="231F20"/>
                        <w:spacing w:val="-10"/>
                        <w:w w:val="105"/>
                        <w:sz w:val="15"/>
                      </w:rPr>
                      <w:fldChar w:fldCharType="begin"/>
                    </w:r>
                    <w:r>
                      <w:rPr>
                        <w:rFonts w:ascii="Arial"/>
                        <w:b/>
                        <w:color w:val="231F20"/>
                        <w:spacing w:val="-10"/>
                        <w:w w:val="105"/>
                        <w:sz w:val="15"/>
                      </w:rPr>
                      <w:instrText> PAGE </w:instrText>
                    </w:r>
                    <w:r>
                      <w:rPr>
                        <w:rFonts w:ascii="Arial"/>
                        <w:b/>
                        <w:color w:val="231F20"/>
                        <w:spacing w:val="-10"/>
                        <w:w w:val="105"/>
                        <w:sz w:val="15"/>
                      </w:rPr>
                      <w:fldChar w:fldCharType="separate"/>
                    </w:r>
                    <w:r>
                      <w:rPr>
                        <w:rFonts w:ascii="Arial"/>
                        <w:b/>
                        <w:color w:val="231F20"/>
                        <w:spacing w:val="-10"/>
                        <w:w w:val="105"/>
                        <w:sz w:val="15"/>
                      </w:rPr>
                      <w:t>4</w:t>
                    </w:r>
                    <w:r>
                      <w:rPr>
                        <w:rFonts w:ascii="Arial"/>
                        <w:b/>
                        <w:color w:val="231F20"/>
                        <w:spacing w:val="-10"/>
                        <w:w w:val="105"/>
                        <w:sz w:val="15"/>
                      </w:rPr>
                      <w:fldChar w:fldCharType="end"/>
                    </w:r>
                    <w:r>
                      <w:rPr>
                        <w:rFonts w:ascii="Arial"/>
                        <w:b/>
                        <w:color w:val="231F20"/>
                        <w:sz w:val="15"/>
                      </w:rPr>
                      <w:tab/>
                    </w:r>
                    <w:r>
                      <w:rPr>
                        <w:rFonts w:ascii="Arial"/>
                        <w:b/>
                        <w:color w:val="008FDD"/>
                        <w:spacing w:val="10"/>
                        <w:w w:val="105"/>
                        <w:sz w:val="12"/>
                      </w:rPr>
                      <w:t>CONNEC</w:t>
                    </w:r>
                    <w:r>
                      <w:rPr>
                        <w:rFonts w:ascii="Arial"/>
                        <w:b/>
                        <w:color w:val="008FDD"/>
                        <w:spacing w:val="-19"/>
                        <w:w w:val="105"/>
                        <w:sz w:val="12"/>
                      </w:rPr>
                      <w:t> </w:t>
                    </w:r>
                    <w:r>
                      <w:rPr>
                        <w:rFonts w:ascii="Arial"/>
                        <w:b/>
                        <w:color w:val="008FDD"/>
                        <w:w w:val="105"/>
                        <w:sz w:val="12"/>
                      </w:rPr>
                      <w:t>T</w:t>
                    </w:r>
                    <w:r>
                      <w:rPr>
                        <w:rFonts w:ascii="Arial"/>
                        <w:b/>
                        <w:color w:val="008FDD"/>
                        <w:spacing w:val="-21"/>
                        <w:w w:val="105"/>
                        <w:sz w:val="12"/>
                      </w:rPr>
                      <w:t> </w:t>
                    </w:r>
                    <w:r>
                      <w:rPr>
                        <w:rFonts w:ascii="Arial"/>
                        <w:b/>
                        <w:color w:val="008FDD"/>
                        <w:w w:val="105"/>
                        <w:sz w:val="12"/>
                      </w:rPr>
                      <w:t>ING</w:t>
                    </w:r>
                    <w:r>
                      <w:rPr>
                        <w:rFonts w:ascii="Arial"/>
                        <w:b/>
                        <w:color w:val="008FDD"/>
                        <w:spacing w:val="32"/>
                        <w:w w:val="105"/>
                        <w:sz w:val="12"/>
                      </w:rPr>
                      <w:t> </w:t>
                    </w:r>
                    <w:r>
                      <w:rPr>
                        <w:rFonts w:ascii="Arial"/>
                        <w:b/>
                        <w:color w:val="008FDD"/>
                        <w:w w:val="105"/>
                        <w:sz w:val="12"/>
                      </w:rPr>
                      <w:t>T</w:t>
                    </w:r>
                    <w:r>
                      <w:rPr>
                        <w:rFonts w:ascii="Arial"/>
                        <w:b/>
                        <w:color w:val="008FDD"/>
                        <w:spacing w:val="-19"/>
                        <w:w w:val="105"/>
                        <w:sz w:val="12"/>
                      </w:rPr>
                      <w:t> </w:t>
                    </w:r>
                    <w:r>
                      <w:rPr>
                        <w:rFonts w:ascii="Arial"/>
                        <w:b/>
                        <w:color w:val="008FDD"/>
                        <w:w w:val="105"/>
                        <w:sz w:val="12"/>
                      </w:rPr>
                      <w:t>O</w:t>
                    </w:r>
                    <w:r>
                      <w:rPr>
                        <w:rFonts w:ascii="Arial"/>
                        <w:b/>
                        <w:color w:val="008FDD"/>
                        <w:spacing w:val="32"/>
                        <w:w w:val="105"/>
                        <w:sz w:val="12"/>
                      </w:rPr>
                      <w:t> </w:t>
                    </w:r>
                    <w:r>
                      <w:rPr>
                        <w:rFonts w:ascii="Arial"/>
                        <w:b/>
                        <w:color w:val="008FDD"/>
                        <w:spacing w:val="11"/>
                        <w:w w:val="105"/>
                        <w:sz w:val="12"/>
                      </w:rPr>
                      <w:t>COMPET</w:t>
                    </w:r>
                    <w:r>
                      <w:rPr>
                        <w:rFonts w:ascii="Arial"/>
                        <w:b/>
                        <w:color w:val="008FDD"/>
                        <w:spacing w:val="-21"/>
                        <w:w w:val="105"/>
                        <w:sz w:val="12"/>
                      </w:rPr>
                      <w:t> </w:t>
                    </w:r>
                    <w:r>
                      <w:rPr>
                        <w:rFonts w:ascii="Arial"/>
                        <w:b/>
                        <w:color w:val="008FDD"/>
                        <w:w w:val="105"/>
                        <w:sz w:val="12"/>
                      </w:rPr>
                      <w:t>E</w:t>
                    </w:r>
                    <w:r>
                      <w:rPr>
                        <w:rFonts w:ascii="Arial"/>
                        <w:b/>
                        <w:color w:val="008FDD"/>
                        <w:spacing w:val="31"/>
                        <w:w w:val="110"/>
                        <w:sz w:val="12"/>
                      </w:rPr>
                      <w:t> </w:t>
                    </w:r>
                    <w:r>
                      <w:rPr>
                        <w:rFonts w:ascii="Arial"/>
                        <w:b/>
                        <w:color w:val="008FDD"/>
                        <w:w w:val="110"/>
                        <w:sz w:val="12"/>
                      </w:rPr>
                      <w:t>2023</w:t>
                    </w:r>
                    <w:r>
                      <w:rPr>
                        <w:rFonts w:ascii="Arial"/>
                        <w:b/>
                        <w:color w:val="008FDD"/>
                        <w:spacing w:val="28"/>
                        <w:w w:val="110"/>
                        <w:sz w:val="12"/>
                      </w:rPr>
                      <w:t> </w:t>
                    </w:r>
                    <w:r>
                      <w:rPr>
                        <w:rFonts w:ascii="Arial"/>
                        <w:color w:val="008FDD"/>
                        <w:w w:val="105"/>
                        <w:sz w:val="12"/>
                      </w:rPr>
                      <w:t>T</w:t>
                    </w:r>
                    <w:r>
                      <w:rPr>
                        <w:rFonts w:ascii="Arial"/>
                        <w:color w:val="008FDD"/>
                        <w:spacing w:val="-20"/>
                        <w:w w:val="105"/>
                        <w:sz w:val="12"/>
                      </w:rPr>
                      <w:t> </w:t>
                    </w:r>
                    <w:r>
                      <w:rPr>
                        <w:rFonts w:ascii="Arial"/>
                        <w:color w:val="008FDD"/>
                        <w:w w:val="105"/>
                        <w:sz w:val="12"/>
                      </w:rPr>
                      <w:t>R</w:t>
                    </w:r>
                    <w:r>
                      <w:rPr>
                        <w:rFonts w:ascii="Arial"/>
                        <w:color w:val="008FDD"/>
                        <w:spacing w:val="-19"/>
                        <w:w w:val="105"/>
                        <w:sz w:val="12"/>
                      </w:rPr>
                      <w:t> </w:t>
                    </w:r>
                    <w:r>
                      <w:rPr>
                        <w:rFonts w:ascii="Arial"/>
                        <w:color w:val="008FDD"/>
                        <w:w w:val="105"/>
                        <w:sz w:val="12"/>
                      </w:rPr>
                      <w:t>A</w:t>
                    </w:r>
                    <w:r>
                      <w:rPr>
                        <w:rFonts w:ascii="Arial"/>
                        <w:color w:val="008FDD"/>
                        <w:spacing w:val="-20"/>
                        <w:w w:val="105"/>
                        <w:sz w:val="12"/>
                      </w:rPr>
                      <w:t> </w:t>
                    </w:r>
                    <w:r>
                      <w:rPr>
                        <w:rFonts w:ascii="Arial"/>
                        <w:color w:val="008FDD"/>
                        <w:w w:val="105"/>
                        <w:sz w:val="12"/>
                      </w:rPr>
                      <w:t>DE</w:t>
                    </w:r>
                    <w:r>
                      <w:rPr>
                        <w:rFonts w:ascii="Arial"/>
                        <w:color w:val="008FDD"/>
                        <w:spacing w:val="30"/>
                        <w:w w:val="105"/>
                        <w:sz w:val="12"/>
                      </w:rPr>
                      <w:t> </w:t>
                    </w:r>
                    <w:r>
                      <w:rPr>
                        <w:rFonts w:ascii="Arial"/>
                        <w:color w:val="008FDD"/>
                        <w:w w:val="105"/>
                        <w:sz w:val="12"/>
                      </w:rPr>
                      <w:t>L</w:t>
                    </w:r>
                    <w:r>
                      <w:rPr>
                        <w:rFonts w:ascii="Arial"/>
                        <w:color w:val="008FDD"/>
                        <w:spacing w:val="-21"/>
                        <w:w w:val="105"/>
                        <w:sz w:val="12"/>
                      </w:rPr>
                      <w:t> </w:t>
                    </w:r>
                    <w:r>
                      <w:rPr>
                        <w:rFonts w:ascii="Arial"/>
                        <w:color w:val="008FDD"/>
                        <w:w w:val="105"/>
                        <w:sz w:val="12"/>
                      </w:rPr>
                      <w:t>O</w:t>
                    </w:r>
                    <w:r>
                      <w:rPr>
                        <w:rFonts w:ascii="Arial"/>
                        <w:color w:val="008FDD"/>
                        <w:spacing w:val="-20"/>
                        <w:w w:val="105"/>
                        <w:sz w:val="12"/>
                      </w:rPr>
                      <w:t> </w:t>
                    </w:r>
                    <w:r>
                      <w:rPr>
                        <w:rFonts w:ascii="Arial"/>
                        <w:color w:val="008FDD"/>
                        <w:w w:val="105"/>
                        <w:sz w:val="12"/>
                      </w:rPr>
                      <w:t>GIS</w:t>
                    </w:r>
                    <w:r>
                      <w:rPr>
                        <w:rFonts w:ascii="Arial"/>
                        <w:color w:val="008FDD"/>
                        <w:spacing w:val="-20"/>
                        <w:w w:val="105"/>
                        <w:sz w:val="12"/>
                      </w:rPr>
                      <w:t> </w:t>
                    </w:r>
                    <w:r>
                      <w:rPr>
                        <w:rFonts w:ascii="Arial"/>
                        <w:color w:val="008FDD"/>
                        <w:w w:val="105"/>
                        <w:sz w:val="12"/>
                      </w:rPr>
                      <w:t>T</w:t>
                    </w:r>
                    <w:r>
                      <w:rPr>
                        <w:rFonts w:ascii="Arial"/>
                        <w:color w:val="008FDD"/>
                        <w:spacing w:val="-19"/>
                        <w:w w:val="105"/>
                        <w:sz w:val="12"/>
                      </w:rPr>
                      <w:t> </w:t>
                    </w:r>
                    <w:r>
                      <w:rPr>
                        <w:rFonts w:ascii="Arial"/>
                        <w:color w:val="008FDD"/>
                        <w:w w:val="105"/>
                        <w:sz w:val="12"/>
                      </w:rPr>
                      <w:t>IC</w:t>
                    </w:r>
                    <w:r>
                      <w:rPr>
                        <w:rFonts w:ascii="Arial"/>
                        <w:color w:val="008FDD"/>
                        <w:spacing w:val="-19"/>
                        <w:w w:val="105"/>
                        <w:sz w:val="12"/>
                      </w:rPr>
                      <w:t> </w:t>
                    </w:r>
                    <w:r>
                      <w:rPr>
                        <w:rFonts w:ascii="Arial"/>
                        <w:color w:val="008FDD"/>
                        <w:w w:val="105"/>
                        <w:sz w:val="12"/>
                      </w:rPr>
                      <w:t>S</w:t>
                    </w:r>
                    <w:r>
                      <w:rPr>
                        <w:rFonts w:ascii="Arial"/>
                        <w:color w:val="008FDD"/>
                        <w:spacing w:val="30"/>
                        <w:w w:val="105"/>
                        <w:sz w:val="12"/>
                      </w:rPr>
                      <w:t> </w:t>
                    </w:r>
                    <w:r>
                      <w:rPr>
                        <w:rFonts w:ascii="Arial"/>
                        <w:color w:val="008FDD"/>
                        <w:w w:val="105"/>
                        <w:sz w:val="12"/>
                      </w:rPr>
                      <w:t>IN</w:t>
                    </w:r>
                    <w:r>
                      <w:rPr>
                        <w:rFonts w:ascii="Arial"/>
                        <w:color w:val="008FDD"/>
                        <w:spacing w:val="29"/>
                        <w:w w:val="105"/>
                        <w:sz w:val="12"/>
                      </w:rPr>
                      <w:t> </w:t>
                    </w:r>
                    <w:r>
                      <w:rPr>
                        <w:rFonts w:ascii="Arial"/>
                        <w:color w:val="008FDD"/>
                        <w:w w:val="105"/>
                        <w:sz w:val="12"/>
                      </w:rPr>
                      <w:t>A</w:t>
                    </w:r>
                    <w:r>
                      <w:rPr>
                        <w:rFonts w:ascii="Arial"/>
                        <w:color w:val="008FDD"/>
                        <w:spacing w:val="-19"/>
                        <w:w w:val="105"/>
                        <w:sz w:val="12"/>
                      </w:rPr>
                      <w:t> </w:t>
                    </w:r>
                    <w:r>
                      <w:rPr>
                        <w:rFonts w:ascii="Arial"/>
                        <w:color w:val="008FDD"/>
                        <w:w w:val="105"/>
                        <w:sz w:val="12"/>
                      </w:rPr>
                      <w:t>N</w:t>
                    </w:r>
                    <w:r>
                      <w:rPr>
                        <w:rFonts w:ascii="Arial"/>
                        <w:color w:val="008FDD"/>
                        <w:spacing w:val="30"/>
                        <w:w w:val="105"/>
                        <w:sz w:val="12"/>
                      </w:rPr>
                      <w:t> </w:t>
                    </w:r>
                    <w:r>
                      <w:rPr>
                        <w:rFonts w:ascii="Arial"/>
                        <w:color w:val="008FDD"/>
                        <w:w w:val="105"/>
                        <w:sz w:val="12"/>
                      </w:rPr>
                      <w:t>UNC</w:t>
                    </w:r>
                    <w:r>
                      <w:rPr>
                        <w:rFonts w:ascii="Arial"/>
                        <w:color w:val="008FDD"/>
                        <w:spacing w:val="-20"/>
                        <w:w w:val="105"/>
                        <w:sz w:val="12"/>
                      </w:rPr>
                      <w:t> </w:t>
                    </w:r>
                    <w:r>
                      <w:rPr>
                        <w:rFonts w:ascii="Arial"/>
                        <w:color w:val="008FDD"/>
                        <w:w w:val="105"/>
                        <w:sz w:val="12"/>
                      </w:rPr>
                      <w:t>ER</w:t>
                    </w:r>
                    <w:r>
                      <w:rPr>
                        <w:rFonts w:ascii="Arial"/>
                        <w:color w:val="008FDD"/>
                        <w:spacing w:val="-19"/>
                        <w:w w:val="105"/>
                        <w:sz w:val="12"/>
                      </w:rPr>
                      <w:t> </w:t>
                    </w:r>
                    <w:r>
                      <w:rPr>
                        <w:rFonts w:ascii="Arial"/>
                        <w:color w:val="008FDD"/>
                        <w:w w:val="105"/>
                        <w:sz w:val="12"/>
                      </w:rPr>
                      <w:t>TA</w:t>
                    </w:r>
                    <w:r>
                      <w:rPr>
                        <w:rFonts w:ascii="Arial"/>
                        <w:color w:val="008FDD"/>
                        <w:spacing w:val="-20"/>
                        <w:w w:val="105"/>
                        <w:sz w:val="12"/>
                      </w:rPr>
                      <w:t> </w:t>
                    </w:r>
                    <w:r>
                      <w:rPr>
                        <w:rFonts w:ascii="Arial"/>
                        <w:color w:val="008FDD"/>
                        <w:w w:val="105"/>
                        <w:sz w:val="12"/>
                      </w:rPr>
                      <w:t>IN</w:t>
                    </w:r>
                    <w:r>
                      <w:rPr>
                        <w:rFonts w:ascii="Arial"/>
                        <w:color w:val="008FDD"/>
                        <w:spacing w:val="30"/>
                        <w:w w:val="105"/>
                        <w:sz w:val="12"/>
                      </w:rPr>
                      <w:t> </w:t>
                    </w:r>
                    <w:r>
                      <w:rPr>
                        <w:rFonts w:ascii="Arial"/>
                        <w:color w:val="008FDD"/>
                        <w:w w:val="105"/>
                        <w:sz w:val="12"/>
                      </w:rPr>
                      <w:t>GL</w:t>
                    </w:r>
                    <w:r>
                      <w:rPr>
                        <w:rFonts w:ascii="Arial"/>
                        <w:color w:val="008FDD"/>
                        <w:spacing w:val="-21"/>
                        <w:w w:val="105"/>
                        <w:sz w:val="12"/>
                      </w:rPr>
                      <w:t> </w:t>
                    </w:r>
                    <w:r>
                      <w:rPr>
                        <w:rFonts w:ascii="Arial"/>
                        <w:color w:val="008FDD"/>
                        <w:spacing w:val="10"/>
                        <w:w w:val="105"/>
                        <w:sz w:val="12"/>
                      </w:rPr>
                      <w:t>OBAL</w:t>
                    </w:r>
                    <w:r>
                      <w:rPr>
                        <w:rFonts w:ascii="Arial"/>
                        <w:color w:val="008FDD"/>
                        <w:spacing w:val="30"/>
                        <w:w w:val="105"/>
                        <w:sz w:val="12"/>
                      </w:rPr>
                      <w:t> </w:t>
                    </w:r>
                    <w:r>
                      <w:rPr>
                        <w:rFonts w:ascii="Arial"/>
                        <w:color w:val="008FDD"/>
                        <w:w w:val="105"/>
                        <w:sz w:val="12"/>
                      </w:rPr>
                      <w:t>EC</w:t>
                    </w:r>
                    <w:r>
                      <w:rPr>
                        <w:rFonts w:ascii="Arial"/>
                        <w:color w:val="008FDD"/>
                        <w:spacing w:val="-20"/>
                        <w:w w:val="105"/>
                        <w:sz w:val="12"/>
                      </w:rPr>
                      <w:t> </w:t>
                    </w:r>
                    <w:r>
                      <w:rPr>
                        <w:rFonts w:ascii="Arial"/>
                        <w:color w:val="008FDD"/>
                        <w:spacing w:val="7"/>
                        <w:w w:val="105"/>
                        <w:sz w:val="12"/>
                      </w:rPr>
                      <w:t>ONOMY</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2784">
              <wp:simplePos x="0" y="0"/>
              <wp:positionH relativeFrom="page">
                <wp:posOffset>3090468</wp:posOffset>
              </wp:positionH>
              <wp:positionV relativeFrom="page">
                <wp:posOffset>9570783</wp:posOffset>
              </wp:positionV>
              <wp:extent cx="4480560" cy="143510"/>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4480560" cy="143510"/>
                      </a:xfrm>
                      <a:prstGeom prst="rect">
                        <a:avLst/>
                      </a:prstGeom>
                    </wps:spPr>
                    <wps:txbx>
                      <w:txbxContent>
                        <w:p>
                          <w:pPr>
                            <w:tabs>
                              <w:tab w:pos="6975"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11</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2.8pt;height:11.3pt;mso-position-horizontal-relative:page;mso-position-vertical-relative:page;z-index:-36573696" type="#_x0000_t202" id="docshape314" filled="false" stroked="false">
              <v:textbox inset="0,0,0,0">
                <w:txbxContent>
                  <w:p>
                    <w:pPr>
                      <w:tabs>
                        <w:tab w:pos="6975"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11</w:t>
                    </w:r>
                    <w:r>
                      <w:rPr>
                        <w:rFonts w:ascii="Arial"/>
                        <w:b/>
                        <w:color w:val="231F20"/>
                        <w:spacing w:val="-5"/>
                        <w:w w:val="110"/>
                        <w:sz w:val="15"/>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3296">
              <wp:simplePos x="0" y="0"/>
              <wp:positionH relativeFrom="page">
                <wp:posOffset>273367</wp:posOffset>
              </wp:positionH>
              <wp:positionV relativeFrom="page">
                <wp:posOffset>9570783</wp:posOffset>
              </wp:positionV>
              <wp:extent cx="193040" cy="143510"/>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a:off x="0" y="0"/>
                        <a:ext cx="193040" cy="143510"/>
                      </a:xfrm>
                      <a:prstGeom prst="rect">
                        <a:avLst/>
                      </a:prstGeom>
                    </wps:spPr>
                    <wps:txbx>
                      <w:txbxContent>
                        <w:p>
                          <w:pPr>
                            <w:spacing w:before="27"/>
                            <w:ind w:left="2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10</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21.525pt;margin-top:753.60498pt;width:15.2pt;height:11.3pt;mso-position-horizontal-relative:page;mso-position-vertical-relative:page;z-index:-36573184" type="#_x0000_t202" id="docshape315" filled="false" stroked="false">
              <v:textbox inset="0,0,0,0">
                <w:txbxContent>
                  <w:p>
                    <w:pPr>
                      <w:spacing w:before="27"/>
                      <w:ind w:left="2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10</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43808">
              <wp:simplePos x="0" y="0"/>
              <wp:positionH relativeFrom="page">
                <wp:posOffset>558800</wp:posOffset>
              </wp:positionH>
              <wp:positionV relativeFrom="page">
                <wp:posOffset>9589566</wp:posOffset>
              </wp:positionV>
              <wp:extent cx="4097020" cy="120014"/>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72672" type="#_x0000_t202" id="docshape316"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5344">
              <wp:simplePos x="0" y="0"/>
              <wp:positionH relativeFrom="page">
                <wp:posOffset>247967</wp:posOffset>
              </wp:positionH>
              <wp:positionV relativeFrom="page">
                <wp:posOffset>9570783</wp:posOffset>
              </wp:positionV>
              <wp:extent cx="218440" cy="143510"/>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218440"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10</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525pt;margin-top:753.60498pt;width:17.2pt;height:11.3pt;mso-position-horizontal-relative:page;mso-position-vertical-relative:page;z-index:-36571136" type="#_x0000_t202" id="docshape384"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10</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45856">
              <wp:simplePos x="0" y="0"/>
              <wp:positionH relativeFrom="page">
                <wp:posOffset>558800</wp:posOffset>
              </wp:positionH>
              <wp:positionV relativeFrom="page">
                <wp:posOffset>9589566</wp:posOffset>
              </wp:positionV>
              <wp:extent cx="4097020" cy="120014"/>
              <wp:effectExtent l="0" t="0" r="0" b="0"/>
              <wp:wrapNone/>
              <wp:docPr id="465" name="Textbox 465"/>
              <wp:cNvGraphicFramePr>
                <a:graphicFrameLocks/>
              </wp:cNvGraphicFramePr>
              <a:graphic>
                <a:graphicData uri="http://schemas.microsoft.com/office/word/2010/wordprocessingShape">
                  <wps:wsp>
                    <wps:cNvPr id="465" name="Textbox 465"/>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70624" type="#_x0000_t202" id="docshape385"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6368">
              <wp:simplePos x="0" y="0"/>
              <wp:positionH relativeFrom="page">
                <wp:posOffset>3090468</wp:posOffset>
              </wp:positionH>
              <wp:positionV relativeFrom="page">
                <wp:posOffset>9570783</wp:posOffset>
              </wp:positionV>
              <wp:extent cx="4480560" cy="143510"/>
              <wp:effectExtent l="0" t="0" r="0" b="0"/>
              <wp:wrapNone/>
              <wp:docPr id="466" name="Textbox 466"/>
              <wp:cNvGraphicFramePr>
                <a:graphicFrameLocks/>
              </wp:cNvGraphicFramePr>
              <a:graphic>
                <a:graphicData uri="http://schemas.microsoft.com/office/word/2010/wordprocessingShape">
                  <wps:wsp>
                    <wps:cNvPr id="466" name="Textbox 466"/>
                    <wps:cNvSpPr txBox="1"/>
                    <wps:spPr>
                      <a:xfrm>
                        <a:off x="0" y="0"/>
                        <a:ext cx="4480560" cy="143510"/>
                      </a:xfrm>
                      <a:prstGeom prst="rect">
                        <a:avLst/>
                      </a:prstGeom>
                    </wps:spPr>
                    <wps:txbx>
                      <w:txbxContent>
                        <w:p>
                          <w:pPr>
                            <w:tabs>
                              <w:tab w:pos="6975"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11</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2.8pt;height:11.3pt;mso-position-horizontal-relative:page;mso-position-vertical-relative:page;z-index:-36570112" type="#_x0000_t202" id="docshape386" filled="false" stroked="false">
              <v:textbox inset="0,0,0,0">
                <w:txbxContent>
                  <w:p>
                    <w:pPr>
                      <w:tabs>
                        <w:tab w:pos="6975"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11</w:t>
                    </w:r>
                    <w:r>
                      <w:rPr>
                        <w:rFonts w:ascii="Arial"/>
                        <w:b/>
                        <w:color w:val="231F20"/>
                        <w:spacing w:val="-5"/>
                        <w:w w:val="110"/>
                        <w:sz w:val="15"/>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7904">
              <wp:simplePos x="0" y="0"/>
              <wp:positionH relativeFrom="page">
                <wp:posOffset>248577</wp:posOffset>
              </wp:positionH>
              <wp:positionV relativeFrom="page">
                <wp:posOffset>9570783</wp:posOffset>
              </wp:positionV>
              <wp:extent cx="216535" cy="143510"/>
              <wp:effectExtent l="0" t="0" r="0" b="0"/>
              <wp:wrapNone/>
              <wp:docPr id="479" name="Textbox 479"/>
              <wp:cNvGraphicFramePr>
                <a:graphicFrameLocks/>
              </wp:cNvGraphicFramePr>
              <a:graphic>
                <a:graphicData uri="http://schemas.microsoft.com/office/word/2010/wordprocessingShape">
                  <wps:wsp>
                    <wps:cNvPr id="479" name="Textbox 479"/>
                    <wps:cNvSpPr txBox="1"/>
                    <wps:spPr>
                      <a:xfrm>
                        <a:off x="0" y="0"/>
                        <a:ext cx="216535"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12</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573pt;margin-top:753.60498pt;width:17.05pt;height:11.3pt;mso-position-horizontal-relative:page;mso-position-vertical-relative:page;z-index:-36568576" type="#_x0000_t202" id="docshape398"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12</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48416">
              <wp:simplePos x="0" y="0"/>
              <wp:positionH relativeFrom="page">
                <wp:posOffset>558800</wp:posOffset>
              </wp:positionH>
              <wp:positionV relativeFrom="page">
                <wp:posOffset>9589566</wp:posOffset>
              </wp:positionV>
              <wp:extent cx="4097020" cy="120014"/>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68064" type="#_x0000_t202" id="docshape399"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8928">
              <wp:simplePos x="0" y="0"/>
              <wp:positionH relativeFrom="page">
                <wp:posOffset>3090468</wp:posOffset>
              </wp:positionH>
              <wp:positionV relativeFrom="page">
                <wp:posOffset>9570783</wp:posOffset>
              </wp:positionV>
              <wp:extent cx="4480560" cy="143510"/>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4480560" cy="143510"/>
                      </a:xfrm>
                      <a:prstGeom prst="rect">
                        <a:avLst/>
                      </a:prstGeom>
                    </wps:spPr>
                    <wps:txbx>
                      <w:txbxContent>
                        <w:p>
                          <w:pPr>
                            <w:tabs>
                              <w:tab w:pos="6975"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13</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2.8pt;height:11.3pt;mso-position-horizontal-relative:page;mso-position-vertical-relative:page;z-index:-36567552" type="#_x0000_t202" id="docshape400" filled="false" stroked="false">
              <v:textbox inset="0,0,0,0">
                <w:txbxContent>
                  <w:p>
                    <w:pPr>
                      <w:tabs>
                        <w:tab w:pos="6975"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13</w:t>
                    </w:r>
                    <w:r>
                      <w:rPr>
                        <w:rFonts w:ascii="Arial"/>
                        <w:b/>
                        <w:color w:val="231F20"/>
                        <w:spacing w:val="-5"/>
                        <w:w w:val="110"/>
                        <w:sz w:val="1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29472">
              <wp:simplePos x="0" y="0"/>
              <wp:positionH relativeFrom="page">
                <wp:posOffset>3090468</wp:posOffset>
              </wp:positionH>
              <wp:positionV relativeFrom="page">
                <wp:posOffset>9570783</wp:posOffset>
              </wp:positionV>
              <wp:extent cx="4487545" cy="14351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4487545" cy="143510"/>
                      </a:xfrm>
                      <a:prstGeom prst="rect">
                        <a:avLst/>
                      </a:prstGeom>
                    </wps:spPr>
                    <wps:txbx>
                      <w:txbxContent>
                        <w:p>
                          <w:pPr>
                            <w:tabs>
                              <w:tab w:pos="6986"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sz w:val="15"/>
                            </w:rPr>
                            <w:fldChar w:fldCharType="begin"/>
                          </w:r>
                          <w:r>
                            <w:rPr>
                              <w:rFonts w:ascii="Arial"/>
                              <w:b/>
                              <w:color w:val="231F20"/>
                              <w:spacing w:val="-5"/>
                              <w:sz w:val="15"/>
                            </w:rPr>
                            <w:instrText> PAGE  \* roman </w:instrText>
                          </w:r>
                          <w:r>
                            <w:rPr>
                              <w:rFonts w:ascii="Arial"/>
                              <w:b/>
                              <w:color w:val="231F20"/>
                              <w:spacing w:val="-5"/>
                              <w:sz w:val="15"/>
                            </w:rPr>
                            <w:fldChar w:fldCharType="separate"/>
                          </w:r>
                          <w:r>
                            <w:rPr>
                              <w:rFonts w:ascii="Arial"/>
                              <w:b/>
                              <w:color w:val="231F20"/>
                              <w:spacing w:val="-5"/>
                              <w:sz w:val="15"/>
                            </w:rPr>
                            <w:t>iii</w:t>
                          </w:r>
                          <w:r>
                            <w:rPr>
                              <w:rFonts w:ascii="Arial"/>
                              <w:b/>
                              <w:color w:val="231F20"/>
                              <w:spacing w:val="-5"/>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35pt;height:11.3pt;mso-position-horizontal-relative:page;mso-position-vertical-relative:page;z-index:-36587008" type="#_x0000_t202" id="docshape139" filled="false" stroked="false">
              <v:textbox inset="0,0,0,0">
                <w:txbxContent>
                  <w:p>
                    <w:pPr>
                      <w:tabs>
                        <w:tab w:pos="6986"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sz w:val="15"/>
                      </w:rPr>
                      <w:fldChar w:fldCharType="begin"/>
                    </w:r>
                    <w:r>
                      <w:rPr>
                        <w:rFonts w:ascii="Arial"/>
                        <w:b/>
                        <w:color w:val="231F20"/>
                        <w:spacing w:val="-5"/>
                        <w:sz w:val="15"/>
                      </w:rPr>
                      <w:instrText> PAGE  \* roman </w:instrText>
                    </w:r>
                    <w:r>
                      <w:rPr>
                        <w:rFonts w:ascii="Arial"/>
                        <w:b/>
                        <w:color w:val="231F20"/>
                        <w:spacing w:val="-5"/>
                        <w:sz w:val="15"/>
                      </w:rPr>
                      <w:fldChar w:fldCharType="separate"/>
                    </w:r>
                    <w:r>
                      <w:rPr>
                        <w:rFonts w:ascii="Arial"/>
                        <w:b/>
                        <w:color w:val="231F20"/>
                        <w:spacing w:val="-5"/>
                        <w:sz w:val="15"/>
                      </w:rPr>
                      <w:t>iii</w:t>
                    </w:r>
                    <w:r>
                      <w:rPr>
                        <w:rFonts w:ascii="Arial"/>
                        <w:b/>
                        <w:color w:val="231F20"/>
                        <w:spacing w:val="-5"/>
                        <w:sz w:val="15"/>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9440">
              <wp:simplePos x="0" y="0"/>
              <wp:positionH relativeFrom="page">
                <wp:posOffset>3090468</wp:posOffset>
              </wp:positionH>
              <wp:positionV relativeFrom="page">
                <wp:posOffset>9570783</wp:posOffset>
              </wp:positionV>
              <wp:extent cx="4480560" cy="143510"/>
              <wp:effectExtent l="0" t="0" r="0" b="0"/>
              <wp:wrapNone/>
              <wp:docPr id="750" name="Textbox 750"/>
              <wp:cNvGraphicFramePr>
                <a:graphicFrameLocks/>
              </wp:cNvGraphicFramePr>
              <a:graphic>
                <a:graphicData uri="http://schemas.microsoft.com/office/word/2010/wordprocessingShape">
                  <wps:wsp>
                    <wps:cNvPr id="750" name="Textbox 750"/>
                    <wps:cNvSpPr txBox="1"/>
                    <wps:spPr>
                      <a:xfrm>
                        <a:off x="0" y="0"/>
                        <a:ext cx="4480560" cy="143510"/>
                      </a:xfrm>
                      <a:prstGeom prst="rect">
                        <a:avLst/>
                      </a:prstGeom>
                    </wps:spPr>
                    <wps:txbx>
                      <w:txbxContent>
                        <w:p>
                          <w:pPr>
                            <w:tabs>
                              <w:tab w:pos="6974"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17</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2.8pt;height:11.3pt;mso-position-horizontal-relative:page;mso-position-vertical-relative:page;z-index:-36567040" type="#_x0000_t202" id="docshape605" filled="false" stroked="false">
              <v:textbox inset="0,0,0,0">
                <w:txbxContent>
                  <w:p>
                    <w:pPr>
                      <w:tabs>
                        <w:tab w:pos="6974"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17</w:t>
                    </w:r>
                    <w:r>
                      <w:rPr>
                        <w:rFonts w:ascii="Arial"/>
                        <w:b/>
                        <w:color w:val="231F20"/>
                        <w:spacing w:val="-5"/>
                        <w:w w:val="110"/>
                        <w:sz w:val="15"/>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9952">
              <wp:simplePos x="0" y="0"/>
              <wp:positionH relativeFrom="page">
                <wp:posOffset>248852</wp:posOffset>
              </wp:positionH>
              <wp:positionV relativeFrom="page">
                <wp:posOffset>9570783</wp:posOffset>
              </wp:positionV>
              <wp:extent cx="220979" cy="143510"/>
              <wp:effectExtent l="0" t="0" r="0" b="0"/>
              <wp:wrapNone/>
              <wp:docPr id="751" name="Textbox 751"/>
              <wp:cNvGraphicFramePr>
                <a:graphicFrameLocks/>
              </wp:cNvGraphicFramePr>
              <a:graphic>
                <a:graphicData uri="http://schemas.microsoft.com/office/word/2010/wordprocessingShape">
                  <wps:wsp>
                    <wps:cNvPr id="751" name="Textbox 751"/>
                    <wps:cNvSpPr txBox="1"/>
                    <wps:spPr>
                      <a:xfrm>
                        <a:off x="0" y="0"/>
                        <a:ext cx="220979" cy="143510"/>
                      </a:xfrm>
                      <a:prstGeom prst="rect">
                        <a:avLst/>
                      </a:prstGeom>
                    </wps:spPr>
                    <wps:txbx>
                      <w:txbxContent>
                        <w:p>
                          <w:pPr>
                            <w:spacing w:before="27"/>
                            <w:ind w:left="52"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20</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5947pt;margin-top:753.60498pt;width:17.4pt;height:11.3pt;mso-position-horizontal-relative:page;mso-position-vertical-relative:page;z-index:-36566528" type="#_x0000_t202" id="docshape606" filled="false" stroked="false">
              <v:textbox inset="0,0,0,0">
                <w:txbxContent>
                  <w:p>
                    <w:pPr>
                      <w:spacing w:before="27"/>
                      <w:ind w:left="52"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20</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50464">
              <wp:simplePos x="0" y="0"/>
              <wp:positionH relativeFrom="page">
                <wp:posOffset>558800</wp:posOffset>
              </wp:positionH>
              <wp:positionV relativeFrom="page">
                <wp:posOffset>9589566</wp:posOffset>
              </wp:positionV>
              <wp:extent cx="4097020" cy="120014"/>
              <wp:effectExtent l="0" t="0" r="0" b="0"/>
              <wp:wrapNone/>
              <wp:docPr id="752" name="Textbox 752"/>
              <wp:cNvGraphicFramePr>
                <a:graphicFrameLocks/>
              </wp:cNvGraphicFramePr>
              <a:graphic>
                <a:graphicData uri="http://schemas.microsoft.com/office/word/2010/wordprocessingShape">
                  <wps:wsp>
                    <wps:cNvPr id="752" name="Textbox 752"/>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66016" type="#_x0000_t202" id="docshape607"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2000">
              <wp:simplePos x="0" y="0"/>
              <wp:positionH relativeFrom="page">
                <wp:posOffset>3090468</wp:posOffset>
              </wp:positionH>
              <wp:positionV relativeFrom="page">
                <wp:posOffset>9570783</wp:posOffset>
              </wp:positionV>
              <wp:extent cx="4485005" cy="143510"/>
              <wp:effectExtent l="0" t="0" r="0" b="0"/>
              <wp:wrapNone/>
              <wp:docPr id="886" name="Textbox 886"/>
              <wp:cNvGraphicFramePr>
                <a:graphicFrameLocks/>
              </wp:cNvGraphicFramePr>
              <a:graphic>
                <a:graphicData uri="http://schemas.microsoft.com/office/word/2010/wordprocessingShape">
                  <wps:wsp>
                    <wps:cNvPr id="886" name="Textbox 886"/>
                    <wps:cNvSpPr txBox="1"/>
                    <wps:spPr>
                      <a:xfrm>
                        <a:off x="0" y="0"/>
                        <a:ext cx="4485005" cy="143510"/>
                      </a:xfrm>
                      <a:prstGeom prst="rect">
                        <a:avLst/>
                      </a:prstGeom>
                    </wps:spPr>
                    <wps:txbx>
                      <w:txbxContent>
                        <w:p>
                          <w:pPr>
                            <w:tabs>
                              <w:tab w:pos="6982"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21</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15pt;height:11.3pt;mso-position-horizontal-relative:page;mso-position-vertical-relative:page;z-index:-36564480" type="#_x0000_t202" id="docshape740" filled="false" stroked="false">
              <v:textbox inset="0,0,0,0">
                <w:txbxContent>
                  <w:p>
                    <w:pPr>
                      <w:tabs>
                        <w:tab w:pos="6982"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21</w:t>
                    </w:r>
                    <w:r>
                      <w:rPr>
                        <w:rFonts w:ascii="Arial"/>
                        <w:b/>
                        <w:color w:val="231F20"/>
                        <w:spacing w:val="-5"/>
                        <w:w w:val="110"/>
                        <w:sz w:val="15"/>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2512">
              <wp:simplePos x="0" y="0"/>
              <wp:positionH relativeFrom="page">
                <wp:posOffset>244318</wp:posOffset>
              </wp:positionH>
              <wp:positionV relativeFrom="page">
                <wp:posOffset>9570783</wp:posOffset>
              </wp:positionV>
              <wp:extent cx="225425" cy="143510"/>
              <wp:effectExtent l="0" t="0" r="0" b="0"/>
              <wp:wrapNone/>
              <wp:docPr id="887" name="Textbox 887"/>
              <wp:cNvGraphicFramePr>
                <a:graphicFrameLocks/>
              </wp:cNvGraphicFramePr>
              <a:graphic>
                <a:graphicData uri="http://schemas.microsoft.com/office/word/2010/wordprocessingShape">
                  <wps:wsp>
                    <wps:cNvPr id="887" name="Textbox 887"/>
                    <wps:cNvSpPr txBox="1"/>
                    <wps:spPr>
                      <a:xfrm>
                        <a:off x="0" y="0"/>
                        <a:ext cx="225425"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20</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2377pt;margin-top:753.60498pt;width:17.75pt;height:11.3pt;mso-position-horizontal-relative:page;mso-position-vertical-relative:page;z-index:-36563968" type="#_x0000_t202" id="docshape741"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20</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53024">
              <wp:simplePos x="0" y="0"/>
              <wp:positionH relativeFrom="page">
                <wp:posOffset>558800</wp:posOffset>
              </wp:positionH>
              <wp:positionV relativeFrom="page">
                <wp:posOffset>9589566</wp:posOffset>
              </wp:positionV>
              <wp:extent cx="4097020" cy="120014"/>
              <wp:effectExtent l="0" t="0" r="0" b="0"/>
              <wp:wrapNone/>
              <wp:docPr id="888" name="Textbox 888"/>
              <wp:cNvGraphicFramePr>
                <a:graphicFrameLocks/>
              </wp:cNvGraphicFramePr>
              <a:graphic>
                <a:graphicData uri="http://schemas.microsoft.com/office/word/2010/wordprocessingShape">
                  <wps:wsp>
                    <wps:cNvPr id="888" name="Textbox 888"/>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63456" type="#_x0000_t202" id="docshape742"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3536">
              <wp:simplePos x="0" y="0"/>
              <wp:positionH relativeFrom="page">
                <wp:posOffset>3090468</wp:posOffset>
              </wp:positionH>
              <wp:positionV relativeFrom="page">
                <wp:posOffset>9570783</wp:posOffset>
              </wp:positionV>
              <wp:extent cx="4485640" cy="143510"/>
              <wp:effectExtent l="0" t="0" r="0" b="0"/>
              <wp:wrapNone/>
              <wp:docPr id="1487" name="Textbox 1487"/>
              <wp:cNvGraphicFramePr>
                <a:graphicFrameLocks/>
              </wp:cNvGraphicFramePr>
              <a:graphic>
                <a:graphicData uri="http://schemas.microsoft.com/office/word/2010/wordprocessingShape">
                  <wps:wsp>
                    <wps:cNvPr id="1487" name="Textbox 1487"/>
                    <wps:cNvSpPr txBox="1"/>
                    <wps:spPr>
                      <a:xfrm>
                        <a:off x="0" y="0"/>
                        <a:ext cx="4485640" cy="143510"/>
                      </a:xfrm>
                      <a:prstGeom prst="rect">
                        <a:avLst/>
                      </a:prstGeom>
                    </wps:spPr>
                    <wps:txbx>
                      <w:txbxContent>
                        <w:p>
                          <w:pPr>
                            <w:tabs>
                              <w:tab w:pos="6983"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27</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2pt;height:11.3pt;mso-position-horizontal-relative:page;mso-position-vertical-relative:page;z-index:-36562944" type="#_x0000_t202" id="docshape1254" filled="false" stroked="false">
              <v:textbox inset="0,0,0,0">
                <w:txbxContent>
                  <w:p>
                    <w:pPr>
                      <w:tabs>
                        <w:tab w:pos="6983"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27</w:t>
                    </w:r>
                    <w:r>
                      <w:rPr>
                        <w:rFonts w:ascii="Arial"/>
                        <w:b/>
                        <w:color w:val="231F20"/>
                        <w:spacing w:val="-5"/>
                        <w:w w:val="110"/>
                        <w:sz w:val="15"/>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4048">
              <wp:simplePos x="0" y="0"/>
              <wp:positionH relativeFrom="page">
                <wp:posOffset>244661</wp:posOffset>
              </wp:positionH>
              <wp:positionV relativeFrom="page">
                <wp:posOffset>9570783</wp:posOffset>
              </wp:positionV>
              <wp:extent cx="224790" cy="143510"/>
              <wp:effectExtent l="0" t="0" r="0" b="0"/>
              <wp:wrapNone/>
              <wp:docPr id="1488" name="Textbox 1488"/>
              <wp:cNvGraphicFramePr>
                <a:graphicFrameLocks/>
              </wp:cNvGraphicFramePr>
              <a:graphic>
                <a:graphicData uri="http://schemas.microsoft.com/office/word/2010/wordprocessingShape">
                  <wps:wsp>
                    <wps:cNvPr id="1488" name="Textbox 1488"/>
                    <wps:cNvSpPr txBox="1"/>
                    <wps:spPr>
                      <a:xfrm>
                        <a:off x="0" y="0"/>
                        <a:ext cx="224790"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28</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2647pt;margin-top:753.60498pt;width:17.7pt;height:11.3pt;mso-position-horizontal-relative:page;mso-position-vertical-relative:page;z-index:-36562432" type="#_x0000_t202" id="docshape1255"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28</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54560">
              <wp:simplePos x="0" y="0"/>
              <wp:positionH relativeFrom="page">
                <wp:posOffset>558800</wp:posOffset>
              </wp:positionH>
              <wp:positionV relativeFrom="page">
                <wp:posOffset>9589566</wp:posOffset>
              </wp:positionV>
              <wp:extent cx="4097020" cy="120014"/>
              <wp:effectExtent l="0" t="0" r="0" b="0"/>
              <wp:wrapNone/>
              <wp:docPr id="1489" name="Textbox 1489"/>
              <wp:cNvGraphicFramePr>
                <a:graphicFrameLocks/>
              </wp:cNvGraphicFramePr>
              <a:graphic>
                <a:graphicData uri="http://schemas.microsoft.com/office/word/2010/wordprocessingShape">
                  <wps:wsp>
                    <wps:cNvPr id="1489" name="Textbox 1489"/>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61920" type="#_x0000_t202" id="docshape1256"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6096">
              <wp:simplePos x="0" y="0"/>
              <wp:positionH relativeFrom="page">
                <wp:posOffset>243871</wp:posOffset>
              </wp:positionH>
              <wp:positionV relativeFrom="page">
                <wp:posOffset>9570783</wp:posOffset>
              </wp:positionV>
              <wp:extent cx="4411980" cy="143510"/>
              <wp:effectExtent l="0" t="0" r="0" b="0"/>
              <wp:wrapNone/>
              <wp:docPr id="1495" name="Textbox 1495"/>
              <wp:cNvGraphicFramePr>
                <a:graphicFrameLocks/>
              </wp:cNvGraphicFramePr>
              <a:graphic>
                <a:graphicData uri="http://schemas.microsoft.com/office/word/2010/wordprocessingShape">
                  <wps:wsp>
                    <wps:cNvPr id="1495" name="Textbox 1495"/>
                    <wps:cNvSpPr txBox="1"/>
                    <wps:spPr>
                      <a:xfrm>
                        <a:off x="0" y="0"/>
                        <a:ext cx="4411980" cy="143510"/>
                      </a:xfrm>
                      <a:prstGeom prst="rect">
                        <a:avLst/>
                      </a:prstGeom>
                    </wps:spPr>
                    <wps:txbx>
                      <w:txbxContent>
                        <w:p>
                          <w:pPr>
                            <w:tabs>
                              <w:tab w:pos="515" w:val="left" w:leader="none"/>
                            </w:tabs>
                            <w:spacing w:before="27"/>
                            <w:ind w:left="60" w:right="0" w:firstLine="0"/>
                            <w:jc w:val="left"/>
                            <w:rPr>
                              <w:rFonts w:ascii="Arial"/>
                              <w:sz w:val="12"/>
                            </w:rPr>
                          </w:pP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30</w:t>
                          </w:r>
                          <w:r>
                            <w:rPr>
                              <w:rFonts w:ascii="Arial"/>
                              <w:b/>
                              <w:color w:val="231F20"/>
                              <w:spacing w:val="-5"/>
                              <w:w w:val="110"/>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19.202499pt;margin-top:753.60498pt;width:347.4pt;height:11.3pt;mso-position-horizontal-relative:page;mso-position-vertical-relative:page;z-index:-36560384" type="#_x0000_t202" id="docshape1262" filled="false" stroked="false">
              <v:textbox inset="0,0,0,0">
                <w:txbxContent>
                  <w:p>
                    <w:pPr>
                      <w:tabs>
                        <w:tab w:pos="515" w:val="left" w:leader="none"/>
                      </w:tabs>
                      <w:spacing w:before="27"/>
                      <w:ind w:left="60" w:right="0" w:firstLine="0"/>
                      <w:jc w:val="left"/>
                      <w:rPr>
                        <w:rFonts w:ascii="Arial"/>
                        <w:sz w:val="12"/>
                      </w:rPr>
                    </w:pP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30</w:t>
                    </w:r>
                    <w:r>
                      <w:rPr>
                        <w:rFonts w:ascii="Arial"/>
                        <w:b/>
                        <w:color w:val="231F20"/>
                        <w:spacing w:val="-5"/>
                        <w:w w:val="110"/>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6608">
              <wp:simplePos x="0" y="0"/>
              <wp:positionH relativeFrom="page">
                <wp:posOffset>3090468</wp:posOffset>
              </wp:positionH>
              <wp:positionV relativeFrom="page">
                <wp:posOffset>9570783</wp:posOffset>
              </wp:positionV>
              <wp:extent cx="4485005" cy="143510"/>
              <wp:effectExtent l="0" t="0" r="0" b="0"/>
              <wp:wrapNone/>
              <wp:docPr id="1496" name="Textbox 1496"/>
              <wp:cNvGraphicFramePr>
                <a:graphicFrameLocks/>
              </wp:cNvGraphicFramePr>
              <a:graphic>
                <a:graphicData uri="http://schemas.microsoft.com/office/word/2010/wordprocessingShape">
                  <wps:wsp>
                    <wps:cNvPr id="1496" name="Textbox 1496"/>
                    <wps:cNvSpPr txBox="1"/>
                    <wps:spPr>
                      <a:xfrm>
                        <a:off x="0" y="0"/>
                        <a:ext cx="4485005" cy="143510"/>
                      </a:xfrm>
                      <a:prstGeom prst="rect">
                        <a:avLst/>
                      </a:prstGeom>
                    </wps:spPr>
                    <wps:txbx>
                      <w:txbxContent>
                        <w:p>
                          <w:pPr>
                            <w:tabs>
                              <w:tab w:pos="6982"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31</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15pt;height:11.3pt;mso-position-horizontal-relative:page;mso-position-vertical-relative:page;z-index:-36559872" type="#_x0000_t202" id="docshape1263" filled="false" stroked="false">
              <v:textbox inset="0,0,0,0">
                <w:txbxContent>
                  <w:p>
                    <w:pPr>
                      <w:tabs>
                        <w:tab w:pos="6982"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31</w:t>
                    </w:r>
                    <w:r>
                      <w:rPr>
                        <w:rFonts w:ascii="Arial"/>
                        <w:b/>
                        <w:color w:val="231F20"/>
                        <w:spacing w:val="-5"/>
                        <w:w w:val="110"/>
                        <w:sz w:val="15"/>
                      </w:rPr>
                      <w:fldChar w:fldCharType="end"/>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7120">
              <wp:simplePos x="0" y="0"/>
              <wp:positionH relativeFrom="page">
                <wp:posOffset>244490</wp:posOffset>
              </wp:positionH>
              <wp:positionV relativeFrom="page">
                <wp:posOffset>9570783</wp:posOffset>
              </wp:positionV>
              <wp:extent cx="224790" cy="143510"/>
              <wp:effectExtent l="0" t="0" r="0" b="0"/>
              <wp:wrapNone/>
              <wp:docPr id="1526" name="Textbox 1526"/>
              <wp:cNvGraphicFramePr>
                <a:graphicFrameLocks/>
              </wp:cNvGraphicFramePr>
              <a:graphic>
                <a:graphicData uri="http://schemas.microsoft.com/office/word/2010/wordprocessingShape">
                  <wps:wsp>
                    <wps:cNvPr id="1526" name="Textbox 1526"/>
                    <wps:cNvSpPr txBox="1"/>
                    <wps:spPr>
                      <a:xfrm>
                        <a:off x="0" y="0"/>
                        <a:ext cx="224790"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32</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2512pt;margin-top:753.60498pt;width:17.7pt;height:11.3pt;mso-position-horizontal-relative:page;mso-position-vertical-relative:page;z-index:-36559360" type="#_x0000_t202" id="docshape1290"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32</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57632">
              <wp:simplePos x="0" y="0"/>
              <wp:positionH relativeFrom="page">
                <wp:posOffset>558800</wp:posOffset>
              </wp:positionH>
              <wp:positionV relativeFrom="page">
                <wp:posOffset>9589566</wp:posOffset>
              </wp:positionV>
              <wp:extent cx="4097020" cy="120014"/>
              <wp:effectExtent l="0" t="0" r="0" b="0"/>
              <wp:wrapNone/>
              <wp:docPr id="1527" name="Textbox 1527"/>
              <wp:cNvGraphicFramePr>
                <a:graphicFrameLocks/>
              </wp:cNvGraphicFramePr>
              <a:graphic>
                <a:graphicData uri="http://schemas.microsoft.com/office/word/2010/wordprocessingShape">
                  <wps:wsp>
                    <wps:cNvPr id="1527" name="Textbox 1527"/>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58848" type="#_x0000_t202" id="docshape1291"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8144">
              <wp:simplePos x="0" y="0"/>
              <wp:positionH relativeFrom="page">
                <wp:posOffset>3090468</wp:posOffset>
              </wp:positionH>
              <wp:positionV relativeFrom="page">
                <wp:posOffset>9570783</wp:posOffset>
              </wp:positionV>
              <wp:extent cx="4485005" cy="143510"/>
              <wp:effectExtent l="0" t="0" r="0" b="0"/>
              <wp:wrapNone/>
              <wp:docPr id="1528" name="Textbox 1528"/>
              <wp:cNvGraphicFramePr>
                <a:graphicFrameLocks/>
              </wp:cNvGraphicFramePr>
              <a:graphic>
                <a:graphicData uri="http://schemas.microsoft.com/office/word/2010/wordprocessingShape">
                  <wps:wsp>
                    <wps:cNvPr id="1528" name="Textbox 1528"/>
                    <wps:cNvSpPr txBox="1"/>
                    <wps:spPr>
                      <a:xfrm>
                        <a:off x="0" y="0"/>
                        <a:ext cx="4485005" cy="143510"/>
                      </a:xfrm>
                      <a:prstGeom prst="rect">
                        <a:avLst/>
                      </a:prstGeom>
                    </wps:spPr>
                    <wps:txbx>
                      <w:txbxContent>
                        <w:p>
                          <w:pPr>
                            <w:tabs>
                              <w:tab w:pos="6982"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33</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15pt;height:11.3pt;mso-position-horizontal-relative:page;mso-position-vertical-relative:page;z-index:-36558336" type="#_x0000_t202" id="docshape1292" filled="false" stroked="false">
              <v:textbox inset="0,0,0,0">
                <w:txbxContent>
                  <w:p>
                    <w:pPr>
                      <w:tabs>
                        <w:tab w:pos="6982"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33</w:t>
                    </w:r>
                    <w:r>
                      <w:rPr>
                        <w:rFonts w:ascii="Arial"/>
                        <w:b/>
                        <w:color w:val="231F20"/>
                        <w:spacing w:val="-5"/>
                        <w:w w:val="110"/>
                        <w:sz w:val="1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29984">
              <wp:simplePos x="0" y="0"/>
              <wp:positionH relativeFrom="page">
                <wp:posOffset>275234</wp:posOffset>
              </wp:positionH>
              <wp:positionV relativeFrom="page">
                <wp:posOffset>9570783</wp:posOffset>
              </wp:positionV>
              <wp:extent cx="4380230" cy="14351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4380230" cy="143510"/>
                      </a:xfrm>
                      <a:prstGeom prst="rect">
                        <a:avLst/>
                      </a:prstGeom>
                    </wps:spPr>
                    <wps:txbx>
                      <w:txbxContent>
                        <w:p>
                          <w:pPr>
                            <w:tabs>
                              <w:tab w:pos="466" w:val="left" w:leader="none"/>
                            </w:tabs>
                            <w:spacing w:before="27"/>
                            <w:ind w:left="20" w:right="0" w:firstLine="0"/>
                            <w:jc w:val="left"/>
                            <w:rPr>
                              <w:rFonts w:ascii="Arial"/>
                              <w:sz w:val="12"/>
                            </w:rPr>
                          </w:pPr>
                          <w:r>
                            <w:rPr>
                              <w:rFonts w:ascii="Arial"/>
                              <w:b/>
                              <w:color w:val="231F20"/>
                              <w:spacing w:val="-4"/>
                              <w:sz w:val="15"/>
                            </w:rPr>
                            <w:fldChar w:fldCharType="begin"/>
                          </w:r>
                          <w:r>
                            <w:rPr>
                              <w:rFonts w:ascii="Arial"/>
                              <w:b/>
                              <w:color w:val="231F20"/>
                              <w:spacing w:val="-4"/>
                              <w:sz w:val="15"/>
                            </w:rPr>
                            <w:instrText> PAGE  \* roman </w:instrText>
                          </w:r>
                          <w:r>
                            <w:rPr>
                              <w:rFonts w:ascii="Arial"/>
                              <w:b/>
                              <w:color w:val="231F20"/>
                              <w:spacing w:val="-4"/>
                              <w:sz w:val="15"/>
                            </w:rPr>
                            <w:fldChar w:fldCharType="separate"/>
                          </w:r>
                          <w:r>
                            <w:rPr>
                              <w:rFonts w:ascii="Arial"/>
                              <w:b/>
                              <w:color w:val="231F20"/>
                              <w:spacing w:val="-4"/>
                              <w:sz w:val="15"/>
                            </w:rPr>
                            <w:t>viii</w:t>
                          </w:r>
                          <w:r>
                            <w:rPr>
                              <w:rFonts w:ascii="Arial"/>
                              <w:b/>
                              <w:color w:val="231F20"/>
                              <w:spacing w:val="-4"/>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21.672001pt;margin-top:753.60498pt;width:344.9pt;height:11.3pt;mso-position-horizontal-relative:page;mso-position-vertical-relative:page;z-index:-36586496" type="#_x0000_t202" id="docshape140" filled="false" stroked="false">
              <v:textbox inset="0,0,0,0">
                <w:txbxContent>
                  <w:p>
                    <w:pPr>
                      <w:tabs>
                        <w:tab w:pos="466" w:val="left" w:leader="none"/>
                      </w:tabs>
                      <w:spacing w:before="27"/>
                      <w:ind w:left="20" w:right="0" w:firstLine="0"/>
                      <w:jc w:val="left"/>
                      <w:rPr>
                        <w:rFonts w:ascii="Arial"/>
                        <w:sz w:val="12"/>
                      </w:rPr>
                    </w:pPr>
                    <w:r>
                      <w:rPr>
                        <w:rFonts w:ascii="Arial"/>
                        <w:b/>
                        <w:color w:val="231F20"/>
                        <w:spacing w:val="-4"/>
                        <w:sz w:val="15"/>
                      </w:rPr>
                      <w:fldChar w:fldCharType="begin"/>
                    </w:r>
                    <w:r>
                      <w:rPr>
                        <w:rFonts w:ascii="Arial"/>
                        <w:b/>
                        <w:color w:val="231F20"/>
                        <w:spacing w:val="-4"/>
                        <w:sz w:val="15"/>
                      </w:rPr>
                      <w:instrText> PAGE  \* roman </w:instrText>
                    </w:r>
                    <w:r>
                      <w:rPr>
                        <w:rFonts w:ascii="Arial"/>
                        <w:b/>
                        <w:color w:val="231F20"/>
                        <w:spacing w:val="-4"/>
                        <w:sz w:val="15"/>
                      </w:rPr>
                      <w:fldChar w:fldCharType="separate"/>
                    </w:r>
                    <w:r>
                      <w:rPr>
                        <w:rFonts w:ascii="Arial"/>
                        <w:b/>
                        <w:color w:val="231F20"/>
                        <w:spacing w:val="-4"/>
                        <w:sz w:val="15"/>
                      </w:rPr>
                      <w:t>viii</w:t>
                    </w:r>
                    <w:r>
                      <w:rPr>
                        <w:rFonts w:ascii="Arial"/>
                        <w:b/>
                        <w:color w:val="231F20"/>
                        <w:spacing w:val="-4"/>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9680">
              <wp:simplePos x="0" y="0"/>
              <wp:positionH relativeFrom="page">
                <wp:posOffset>3090468</wp:posOffset>
              </wp:positionH>
              <wp:positionV relativeFrom="page">
                <wp:posOffset>9570783</wp:posOffset>
              </wp:positionV>
              <wp:extent cx="4484370" cy="143510"/>
              <wp:effectExtent l="0" t="0" r="0" b="0"/>
              <wp:wrapNone/>
              <wp:docPr id="1534" name="Textbox 1534"/>
              <wp:cNvGraphicFramePr>
                <a:graphicFrameLocks/>
              </wp:cNvGraphicFramePr>
              <a:graphic>
                <a:graphicData uri="http://schemas.microsoft.com/office/word/2010/wordprocessingShape">
                  <wps:wsp>
                    <wps:cNvPr id="1534" name="Textbox 1534"/>
                    <wps:cNvSpPr txBox="1"/>
                    <wps:spPr>
                      <a:xfrm>
                        <a:off x="0" y="0"/>
                        <a:ext cx="4484370" cy="143510"/>
                      </a:xfrm>
                      <a:prstGeom prst="rect">
                        <a:avLst/>
                      </a:prstGeom>
                    </wps:spPr>
                    <wps:txbx>
                      <w:txbxContent>
                        <w:p>
                          <w:pPr>
                            <w:tabs>
                              <w:tab w:pos="6981"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35</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1pt;height:11.3pt;mso-position-horizontal-relative:page;mso-position-vertical-relative:page;z-index:-36556800" type="#_x0000_t202" id="docshape1298" filled="false" stroked="false">
              <v:textbox inset="0,0,0,0">
                <w:txbxContent>
                  <w:p>
                    <w:pPr>
                      <w:tabs>
                        <w:tab w:pos="6981"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35</w:t>
                    </w:r>
                    <w:r>
                      <w:rPr>
                        <w:rFonts w:ascii="Arial"/>
                        <w:b/>
                        <w:color w:val="231F20"/>
                        <w:spacing w:val="-5"/>
                        <w:w w:val="110"/>
                        <w:sz w:val="15"/>
                      </w:rPr>
                      <w:fldChar w:fldCharType="end"/>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0192">
              <wp:simplePos x="0" y="0"/>
              <wp:positionH relativeFrom="page">
                <wp:posOffset>244318</wp:posOffset>
              </wp:positionH>
              <wp:positionV relativeFrom="page">
                <wp:posOffset>9570783</wp:posOffset>
              </wp:positionV>
              <wp:extent cx="225425" cy="143510"/>
              <wp:effectExtent l="0" t="0" r="0" b="0"/>
              <wp:wrapNone/>
              <wp:docPr id="1535" name="Textbox 1535"/>
              <wp:cNvGraphicFramePr>
                <a:graphicFrameLocks/>
              </wp:cNvGraphicFramePr>
              <a:graphic>
                <a:graphicData uri="http://schemas.microsoft.com/office/word/2010/wordprocessingShape">
                  <wps:wsp>
                    <wps:cNvPr id="1535" name="Textbox 1535"/>
                    <wps:cNvSpPr txBox="1"/>
                    <wps:spPr>
                      <a:xfrm>
                        <a:off x="0" y="0"/>
                        <a:ext cx="225425"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36</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2377pt;margin-top:753.60498pt;width:17.75pt;height:11.3pt;mso-position-horizontal-relative:page;mso-position-vertical-relative:page;z-index:-36556288" type="#_x0000_t202" id="docshape1299"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36</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60704">
              <wp:simplePos x="0" y="0"/>
              <wp:positionH relativeFrom="page">
                <wp:posOffset>558800</wp:posOffset>
              </wp:positionH>
              <wp:positionV relativeFrom="page">
                <wp:posOffset>9589566</wp:posOffset>
              </wp:positionV>
              <wp:extent cx="4097020" cy="120014"/>
              <wp:effectExtent l="0" t="0" r="0" b="0"/>
              <wp:wrapNone/>
              <wp:docPr id="1536" name="Textbox 1536"/>
              <wp:cNvGraphicFramePr>
                <a:graphicFrameLocks/>
              </wp:cNvGraphicFramePr>
              <a:graphic>
                <a:graphicData uri="http://schemas.microsoft.com/office/word/2010/wordprocessingShape">
                  <wps:wsp>
                    <wps:cNvPr id="1536" name="Textbox 1536"/>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55776" type="#_x0000_t202" id="docshape1300"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2240">
              <wp:simplePos x="0" y="0"/>
              <wp:positionH relativeFrom="page">
                <wp:posOffset>3090468</wp:posOffset>
              </wp:positionH>
              <wp:positionV relativeFrom="page">
                <wp:posOffset>9570783</wp:posOffset>
              </wp:positionV>
              <wp:extent cx="4484370" cy="143510"/>
              <wp:effectExtent l="0" t="0" r="0" b="0"/>
              <wp:wrapNone/>
              <wp:docPr id="1550" name="Textbox 1550"/>
              <wp:cNvGraphicFramePr>
                <a:graphicFrameLocks/>
              </wp:cNvGraphicFramePr>
              <a:graphic>
                <a:graphicData uri="http://schemas.microsoft.com/office/word/2010/wordprocessingShape">
                  <wps:wsp>
                    <wps:cNvPr id="1550" name="Textbox 1550"/>
                    <wps:cNvSpPr txBox="1"/>
                    <wps:spPr>
                      <a:xfrm>
                        <a:off x="0" y="0"/>
                        <a:ext cx="4484370" cy="143510"/>
                      </a:xfrm>
                      <a:prstGeom prst="rect">
                        <a:avLst/>
                      </a:prstGeom>
                    </wps:spPr>
                    <wps:txbx>
                      <w:txbxContent>
                        <w:p>
                          <w:pPr>
                            <w:tabs>
                              <w:tab w:pos="6981"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37</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1pt;height:11.3pt;mso-position-horizontal-relative:page;mso-position-vertical-relative:page;z-index:-36554240" type="#_x0000_t202" id="docshape1313" filled="false" stroked="false">
              <v:textbox inset="0,0,0,0">
                <w:txbxContent>
                  <w:p>
                    <w:pPr>
                      <w:tabs>
                        <w:tab w:pos="6981"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37</w:t>
                    </w:r>
                    <w:r>
                      <w:rPr>
                        <w:rFonts w:ascii="Arial"/>
                        <w:b/>
                        <w:color w:val="231F20"/>
                        <w:spacing w:val="-5"/>
                        <w:w w:val="110"/>
                        <w:sz w:val="15"/>
                      </w:rPr>
                      <w:fldChar w:fldCharType="end"/>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2752">
              <wp:simplePos x="0" y="0"/>
              <wp:positionH relativeFrom="page">
                <wp:posOffset>244185</wp:posOffset>
              </wp:positionH>
              <wp:positionV relativeFrom="page">
                <wp:posOffset>9570783</wp:posOffset>
              </wp:positionV>
              <wp:extent cx="225425" cy="143510"/>
              <wp:effectExtent l="0" t="0" r="0" b="0"/>
              <wp:wrapNone/>
              <wp:docPr id="1551" name="Textbox 1551"/>
              <wp:cNvGraphicFramePr>
                <a:graphicFrameLocks/>
              </wp:cNvGraphicFramePr>
              <a:graphic>
                <a:graphicData uri="http://schemas.microsoft.com/office/word/2010/wordprocessingShape">
                  <wps:wsp>
                    <wps:cNvPr id="1551" name="Textbox 1551"/>
                    <wps:cNvSpPr txBox="1"/>
                    <wps:spPr>
                      <a:xfrm>
                        <a:off x="0" y="0"/>
                        <a:ext cx="225425"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38</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2272pt;margin-top:753.60498pt;width:17.75pt;height:11.3pt;mso-position-horizontal-relative:page;mso-position-vertical-relative:page;z-index:-36553728" type="#_x0000_t202" id="docshape1314"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38</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63264">
              <wp:simplePos x="0" y="0"/>
              <wp:positionH relativeFrom="page">
                <wp:posOffset>558800</wp:posOffset>
              </wp:positionH>
              <wp:positionV relativeFrom="page">
                <wp:posOffset>9589566</wp:posOffset>
              </wp:positionV>
              <wp:extent cx="4097020" cy="120014"/>
              <wp:effectExtent l="0" t="0" r="0" b="0"/>
              <wp:wrapNone/>
              <wp:docPr id="1552" name="Textbox 1552"/>
              <wp:cNvGraphicFramePr>
                <a:graphicFrameLocks/>
              </wp:cNvGraphicFramePr>
              <a:graphic>
                <a:graphicData uri="http://schemas.microsoft.com/office/word/2010/wordprocessingShape">
                  <wps:wsp>
                    <wps:cNvPr id="1552" name="Textbox 1552"/>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53216" type="#_x0000_t202" id="docshape1315"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3776">
              <wp:simplePos x="0" y="0"/>
              <wp:positionH relativeFrom="page">
                <wp:posOffset>244928</wp:posOffset>
              </wp:positionH>
              <wp:positionV relativeFrom="page">
                <wp:posOffset>9570783</wp:posOffset>
              </wp:positionV>
              <wp:extent cx="224154" cy="143510"/>
              <wp:effectExtent l="0" t="0" r="0" b="0"/>
              <wp:wrapNone/>
              <wp:docPr id="1591" name="Textbox 1591"/>
              <wp:cNvGraphicFramePr>
                <a:graphicFrameLocks/>
              </wp:cNvGraphicFramePr>
              <a:graphic>
                <a:graphicData uri="http://schemas.microsoft.com/office/word/2010/wordprocessingShape">
                  <wps:wsp>
                    <wps:cNvPr id="1591" name="Textbox 1591"/>
                    <wps:cNvSpPr txBox="1"/>
                    <wps:spPr>
                      <a:xfrm>
                        <a:off x="0" y="0"/>
                        <a:ext cx="224154"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52</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285700pt;margin-top:753.60498pt;width:17.650pt;height:11.3pt;mso-position-horizontal-relative:page;mso-position-vertical-relative:page;z-index:-36552704" type="#_x0000_t202" id="docshape1349"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52</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64288">
              <wp:simplePos x="0" y="0"/>
              <wp:positionH relativeFrom="page">
                <wp:posOffset>558800</wp:posOffset>
              </wp:positionH>
              <wp:positionV relativeFrom="page">
                <wp:posOffset>9589566</wp:posOffset>
              </wp:positionV>
              <wp:extent cx="4097020" cy="120014"/>
              <wp:effectExtent l="0" t="0" r="0" b="0"/>
              <wp:wrapNone/>
              <wp:docPr id="1592" name="Textbox 1592"/>
              <wp:cNvGraphicFramePr>
                <a:graphicFrameLocks/>
              </wp:cNvGraphicFramePr>
              <a:graphic>
                <a:graphicData uri="http://schemas.microsoft.com/office/word/2010/wordprocessingShape">
                  <wps:wsp>
                    <wps:cNvPr id="1592" name="Textbox 1592"/>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52192" type="#_x0000_t202" id="docshape1350"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4800">
              <wp:simplePos x="0" y="0"/>
              <wp:positionH relativeFrom="page">
                <wp:posOffset>3090468</wp:posOffset>
              </wp:positionH>
              <wp:positionV relativeFrom="page">
                <wp:posOffset>9570783</wp:posOffset>
              </wp:positionV>
              <wp:extent cx="4485005" cy="143510"/>
              <wp:effectExtent l="0" t="0" r="0" b="0"/>
              <wp:wrapNone/>
              <wp:docPr id="1593" name="Textbox 1593"/>
              <wp:cNvGraphicFramePr>
                <a:graphicFrameLocks/>
              </wp:cNvGraphicFramePr>
              <a:graphic>
                <a:graphicData uri="http://schemas.microsoft.com/office/word/2010/wordprocessingShape">
                  <wps:wsp>
                    <wps:cNvPr id="1593" name="Textbox 1593"/>
                    <wps:cNvSpPr txBox="1"/>
                    <wps:spPr>
                      <a:xfrm>
                        <a:off x="0" y="0"/>
                        <a:ext cx="4485005" cy="143510"/>
                      </a:xfrm>
                      <a:prstGeom prst="rect">
                        <a:avLst/>
                      </a:prstGeom>
                    </wps:spPr>
                    <wps:txbx>
                      <w:txbxContent>
                        <w:p>
                          <w:pPr>
                            <w:tabs>
                              <w:tab w:pos="6982"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53</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15pt;height:11.3pt;mso-position-horizontal-relative:page;mso-position-vertical-relative:page;z-index:-36551680" type="#_x0000_t202" id="docshape1351" filled="false" stroked="false">
              <v:textbox inset="0,0,0,0">
                <w:txbxContent>
                  <w:p>
                    <w:pPr>
                      <w:tabs>
                        <w:tab w:pos="6982"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53</w:t>
                    </w:r>
                    <w:r>
                      <w:rPr>
                        <w:rFonts w:ascii="Arial"/>
                        <w:b/>
                        <w:color w:val="231F20"/>
                        <w:spacing w:val="-5"/>
                        <w:w w:val="110"/>
                        <w:sz w:val="15"/>
                      </w:rPr>
                      <w:fldChar w:fldCharType="end"/>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6336">
              <wp:simplePos x="0" y="0"/>
              <wp:positionH relativeFrom="page">
                <wp:posOffset>243700</wp:posOffset>
              </wp:positionH>
              <wp:positionV relativeFrom="page">
                <wp:posOffset>9570783</wp:posOffset>
              </wp:positionV>
              <wp:extent cx="4411980" cy="143510"/>
              <wp:effectExtent l="0" t="0" r="0" b="0"/>
              <wp:wrapNone/>
              <wp:docPr id="1628" name="Textbox 1628"/>
              <wp:cNvGraphicFramePr>
                <a:graphicFrameLocks/>
              </wp:cNvGraphicFramePr>
              <a:graphic>
                <a:graphicData uri="http://schemas.microsoft.com/office/word/2010/wordprocessingShape">
                  <wps:wsp>
                    <wps:cNvPr id="1628" name="Textbox 1628"/>
                    <wps:cNvSpPr txBox="1"/>
                    <wps:spPr>
                      <a:xfrm>
                        <a:off x="0" y="0"/>
                        <a:ext cx="4411980" cy="143510"/>
                      </a:xfrm>
                      <a:prstGeom prst="rect">
                        <a:avLst/>
                      </a:prstGeom>
                    </wps:spPr>
                    <wps:txbx>
                      <w:txbxContent>
                        <w:p>
                          <w:pPr>
                            <w:tabs>
                              <w:tab w:pos="516" w:val="left" w:leader="none"/>
                            </w:tabs>
                            <w:spacing w:before="27"/>
                            <w:ind w:left="60" w:right="0" w:firstLine="0"/>
                            <w:jc w:val="left"/>
                            <w:rPr>
                              <w:rFonts w:ascii="Arial"/>
                              <w:sz w:val="12"/>
                            </w:rPr>
                          </w:pP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54</w:t>
                          </w:r>
                          <w:r>
                            <w:rPr>
                              <w:rFonts w:ascii="Arial"/>
                              <w:b/>
                              <w:color w:val="231F20"/>
                              <w:spacing w:val="-5"/>
                              <w:w w:val="110"/>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19.188999pt;margin-top:753.60498pt;width:347.4pt;height:11.3pt;mso-position-horizontal-relative:page;mso-position-vertical-relative:page;z-index:-36550144" type="#_x0000_t202" id="docshape1382" filled="false" stroked="false">
              <v:textbox inset="0,0,0,0">
                <w:txbxContent>
                  <w:p>
                    <w:pPr>
                      <w:tabs>
                        <w:tab w:pos="516" w:val="left" w:leader="none"/>
                      </w:tabs>
                      <w:spacing w:before="27"/>
                      <w:ind w:left="60" w:right="0" w:firstLine="0"/>
                      <w:jc w:val="left"/>
                      <w:rPr>
                        <w:rFonts w:ascii="Arial"/>
                        <w:sz w:val="12"/>
                      </w:rPr>
                    </w:pP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54</w:t>
                    </w:r>
                    <w:r>
                      <w:rPr>
                        <w:rFonts w:ascii="Arial"/>
                        <w:b/>
                        <w:color w:val="231F20"/>
                        <w:spacing w:val="-5"/>
                        <w:w w:val="110"/>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6848">
              <wp:simplePos x="0" y="0"/>
              <wp:positionH relativeFrom="page">
                <wp:posOffset>3090468</wp:posOffset>
              </wp:positionH>
              <wp:positionV relativeFrom="page">
                <wp:posOffset>9570783</wp:posOffset>
              </wp:positionV>
              <wp:extent cx="4484370" cy="143510"/>
              <wp:effectExtent l="0" t="0" r="0" b="0"/>
              <wp:wrapNone/>
              <wp:docPr id="1629" name="Textbox 1629"/>
              <wp:cNvGraphicFramePr>
                <a:graphicFrameLocks/>
              </wp:cNvGraphicFramePr>
              <a:graphic>
                <a:graphicData uri="http://schemas.microsoft.com/office/word/2010/wordprocessingShape">
                  <wps:wsp>
                    <wps:cNvPr id="1629" name="Textbox 1629"/>
                    <wps:cNvSpPr txBox="1"/>
                    <wps:spPr>
                      <a:xfrm>
                        <a:off x="0" y="0"/>
                        <a:ext cx="4484370" cy="143510"/>
                      </a:xfrm>
                      <a:prstGeom prst="rect">
                        <a:avLst/>
                      </a:prstGeom>
                    </wps:spPr>
                    <wps:txbx>
                      <w:txbxContent>
                        <w:p>
                          <w:pPr>
                            <w:tabs>
                              <w:tab w:pos="6981"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55</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1pt;height:11.3pt;mso-position-horizontal-relative:page;mso-position-vertical-relative:page;z-index:-36549632" type="#_x0000_t202" id="docshape1383" filled="false" stroked="false">
              <v:textbox inset="0,0,0,0">
                <w:txbxContent>
                  <w:p>
                    <w:pPr>
                      <w:tabs>
                        <w:tab w:pos="6981"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55</w:t>
                    </w:r>
                    <w:r>
                      <w:rPr>
                        <w:rFonts w:ascii="Arial"/>
                        <w:b/>
                        <w:color w:val="231F20"/>
                        <w:spacing w:val="-5"/>
                        <w:w w:val="110"/>
                        <w:sz w:val="15"/>
                      </w:rPr>
                      <w:fldChar w:fldCharType="end"/>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8384">
              <wp:simplePos x="0" y="0"/>
              <wp:positionH relativeFrom="page">
                <wp:posOffset>244671</wp:posOffset>
              </wp:positionH>
              <wp:positionV relativeFrom="page">
                <wp:posOffset>9570783</wp:posOffset>
              </wp:positionV>
              <wp:extent cx="224790" cy="143510"/>
              <wp:effectExtent l="0" t="0" r="0" b="0"/>
              <wp:wrapNone/>
              <wp:docPr id="1645" name="Textbox 1645"/>
              <wp:cNvGraphicFramePr>
                <a:graphicFrameLocks/>
              </wp:cNvGraphicFramePr>
              <a:graphic>
                <a:graphicData uri="http://schemas.microsoft.com/office/word/2010/wordprocessingShape">
                  <wps:wsp>
                    <wps:cNvPr id="1645" name="Textbox 1645"/>
                    <wps:cNvSpPr txBox="1"/>
                    <wps:spPr>
                      <a:xfrm>
                        <a:off x="0" y="0"/>
                        <a:ext cx="224790"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56</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265499pt;margin-top:753.60498pt;width:17.7pt;height:11.3pt;mso-position-horizontal-relative:page;mso-position-vertical-relative:page;z-index:-36548096" type="#_x0000_t202" id="docshape1397"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56</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68896">
              <wp:simplePos x="0" y="0"/>
              <wp:positionH relativeFrom="page">
                <wp:posOffset>558800</wp:posOffset>
              </wp:positionH>
              <wp:positionV relativeFrom="page">
                <wp:posOffset>9589566</wp:posOffset>
              </wp:positionV>
              <wp:extent cx="4097020" cy="120014"/>
              <wp:effectExtent l="0" t="0" r="0" b="0"/>
              <wp:wrapNone/>
              <wp:docPr id="1646" name="Textbox 1646"/>
              <wp:cNvGraphicFramePr>
                <a:graphicFrameLocks/>
              </wp:cNvGraphicFramePr>
              <a:graphic>
                <a:graphicData uri="http://schemas.microsoft.com/office/word/2010/wordprocessingShape">
                  <wps:wsp>
                    <wps:cNvPr id="1646" name="Textbox 1646"/>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47584" type="#_x0000_t202" id="docshape1398"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9408">
              <wp:simplePos x="0" y="0"/>
              <wp:positionH relativeFrom="page">
                <wp:posOffset>3090468</wp:posOffset>
              </wp:positionH>
              <wp:positionV relativeFrom="page">
                <wp:posOffset>9570783</wp:posOffset>
              </wp:positionV>
              <wp:extent cx="4483100" cy="143510"/>
              <wp:effectExtent l="0" t="0" r="0" b="0"/>
              <wp:wrapNone/>
              <wp:docPr id="1647" name="Textbox 1647"/>
              <wp:cNvGraphicFramePr>
                <a:graphicFrameLocks/>
              </wp:cNvGraphicFramePr>
              <a:graphic>
                <a:graphicData uri="http://schemas.microsoft.com/office/word/2010/wordprocessingShape">
                  <wps:wsp>
                    <wps:cNvPr id="1647" name="Textbox 1647"/>
                    <wps:cNvSpPr txBox="1"/>
                    <wps:spPr>
                      <a:xfrm>
                        <a:off x="0" y="0"/>
                        <a:ext cx="4483100" cy="143510"/>
                      </a:xfrm>
                      <a:prstGeom prst="rect">
                        <a:avLst/>
                      </a:prstGeom>
                    </wps:spPr>
                    <wps:txbx>
                      <w:txbxContent>
                        <w:p>
                          <w:pPr>
                            <w:tabs>
                              <w:tab w:pos="6979"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57</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pt;height:11.3pt;mso-position-horizontal-relative:page;mso-position-vertical-relative:page;z-index:-36547072" type="#_x0000_t202" id="docshape1399" filled="false" stroked="false">
              <v:textbox inset="0,0,0,0">
                <w:txbxContent>
                  <w:p>
                    <w:pPr>
                      <w:tabs>
                        <w:tab w:pos="6979"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57</w:t>
                    </w:r>
                    <w:r>
                      <w:rPr>
                        <w:rFonts w:ascii="Arial"/>
                        <w:b/>
                        <w:color w:val="231F20"/>
                        <w:spacing w:val="-5"/>
                        <w:w w:val="110"/>
                        <w:sz w:val="1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32032">
              <wp:simplePos x="0" y="0"/>
              <wp:positionH relativeFrom="page">
                <wp:posOffset>3090468</wp:posOffset>
              </wp:positionH>
              <wp:positionV relativeFrom="page">
                <wp:posOffset>9570783</wp:posOffset>
              </wp:positionV>
              <wp:extent cx="4487545" cy="14351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4487545" cy="143510"/>
                      </a:xfrm>
                      <a:prstGeom prst="rect">
                        <a:avLst/>
                      </a:prstGeom>
                    </wps:spPr>
                    <wps:txbx>
                      <w:txbxContent>
                        <w:p>
                          <w:pPr>
                            <w:tabs>
                              <w:tab w:pos="6986"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sz w:val="15"/>
                            </w:rPr>
                            <w:fldChar w:fldCharType="begin"/>
                          </w:r>
                          <w:r>
                            <w:rPr>
                              <w:rFonts w:ascii="Arial"/>
                              <w:b/>
                              <w:color w:val="231F20"/>
                              <w:spacing w:val="-5"/>
                              <w:sz w:val="15"/>
                            </w:rPr>
                            <w:instrText> PAGE  \* roman </w:instrText>
                          </w:r>
                          <w:r>
                            <w:rPr>
                              <w:rFonts w:ascii="Arial"/>
                              <w:b/>
                              <w:color w:val="231F20"/>
                              <w:spacing w:val="-5"/>
                              <w:sz w:val="15"/>
                            </w:rPr>
                            <w:fldChar w:fldCharType="separate"/>
                          </w:r>
                          <w:r>
                            <w:rPr>
                              <w:rFonts w:ascii="Arial"/>
                              <w:b/>
                              <w:color w:val="231F20"/>
                              <w:spacing w:val="-5"/>
                              <w:sz w:val="15"/>
                            </w:rPr>
                            <w:t>vii</w:t>
                          </w:r>
                          <w:r>
                            <w:rPr>
                              <w:rFonts w:ascii="Arial"/>
                              <w:b/>
                              <w:color w:val="231F20"/>
                              <w:spacing w:val="-5"/>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35pt;height:11.3pt;mso-position-horizontal-relative:page;mso-position-vertical-relative:page;z-index:-36584448" type="#_x0000_t202" id="docshape148" filled="false" stroked="false">
              <v:textbox inset="0,0,0,0">
                <w:txbxContent>
                  <w:p>
                    <w:pPr>
                      <w:tabs>
                        <w:tab w:pos="6986"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sz w:val="15"/>
                      </w:rPr>
                      <w:fldChar w:fldCharType="begin"/>
                    </w:r>
                    <w:r>
                      <w:rPr>
                        <w:rFonts w:ascii="Arial"/>
                        <w:b/>
                        <w:color w:val="231F20"/>
                        <w:spacing w:val="-5"/>
                        <w:sz w:val="15"/>
                      </w:rPr>
                      <w:instrText> PAGE  \* roman </w:instrText>
                    </w:r>
                    <w:r>
                      <w:rPr>
                        <w:rFonts w:ascii="Arial"/>
                        <w:b/>
                        <w:color w:val="231F20"/>
                        <w:spacing w:val="-5"/>
                        <w:sz w:val="15"/>
                      </w:rPr>
                      <w:fldChar w:fldCharType="separate"/>
                    </w:r>
                    <w:r>
                      <w:rPr>
                        <w:rFonts w:ascii="Arial"/>
                        <w:b/>
                        <w:color w:val="231F20"/>
                        <w:spacing w:val="-5"/>
                        <w:sz w:val="15"/>
                      </w:rPr>
                      <w:t>vii</w:t>
                    </w:r>
                    <w:r>
                      <w:rPr>
                        <w:rFonts w:ascii="Arial"/>
                        <w:b/>
                        <w:color w:val="231F20"/>
                        <w:spacing w:val="-5"/>
                        <w:sz w:val="15"/>
                      </w:rPr>
                      <w:fldChar w:fldCharType="end"/>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9920">
              <wp:simplePos x="0" y="0"/>
              <wp:positionH relativeFrom="page">
                <wp:posOffset>244623</wp:posOffset>
              </wp:positionH>
              <wp:positionV relativeFrom="page">
                <wp:posOffset>9570783</wp:posOffset>
              </wp:positionV>
              <wp:extent cx="224790" cy="143510"/>
              <wp:effectExtent l="0" t="0" r="0" b="0"/>
              <wp:wrapNone/>
              <wp:docPr id="1906" name="Textbox 1906"/>
              <wp:cNvGraphicFramePr>
                <a:graphicFrameLocks/>
              </wp:cNvGraphicFramePr>
              <a:graphic>
                <a:graphicData uri="http://schemas.microsoft.com/office/word/2010/wordprocessingShape">
                  <wps:wsp>
                    <wps:cNvPr id="1906" name="Textbox 1906"/>
                    <wps:cNvSpPr txBox="1"/>
                    <wps:spPr>
                      <a:xfrm>
                        <a:off x="0" y="0"/>
                        <a:ext cx="224790"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62</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2617pt;margin-top:753.60498pt;width:17.7pt;height:11.3pt;mso-position-horizontal-relative:page;mso-position-vertical-relative:page;z-index:-36546560" type="#_x0000_t202" id="docshape1634"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62</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70432">
              <wp:simplePos x="0" y="0"/>
              <wp:positionH relativeFrom="page">
                <wp:posOffset>558800</wp:posOffset>
              </wp:positionH>
              <wp:positionV relativeFrom="page">
                <wp:posOffset>9589566</wp:posOffset>
              </wp:positionV>
              <wp:extent cx="4097020" cy="120014"/>
              <wp:effectExtent l="0" t="0" r="0" b="0"/>
              <wp:wrapNone/>
              <wp:docPr id="1907" name="Textbox 1907"/>
              <wp:cNvGraphicFramePr>
                <a:graphicFrameLocks/>
              </wp:cNvGraphicFramePr>
              <a:graphic>
                <a:graphicData uri="http://schemas.microsoft.com/office/word/2010/wordprocessingShape">
                  <wps:wsp>
                    <wps:cNvPr id="1907" name="Textbox 1907"/>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46048" type="#_x0000_t202" id="docshape1635"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0944">
              <wp:simplePos x="0" y="0"/>
              <wp:positionH relativeFrom="page">
                <wp:posOffset>3090468</wp:posOffset>
              </wp:positionH>
              <wp:positionV relativeFrom="page">
                <wp:posOffset>9570783</wp:posOffset>
              </wp:positionV>
              <wp:extent cx="4484370" cy="143510"/>
              <wp:effectExtent l="0" t="0" r="0" b="0"/>
              <wp:wrapNone/>
              <wp:docPr id="1908" name="Textbox 1908"/>
              <wp:cNvGraphicFramePr>
                <a:graphicFrameLocks/>
              </wp:cNvGraphicFramePr>
              <a:graphic>
                <a:graphicData uri="http://schemas.microsoft.com/office/word/2010/wordprocessingShape">
                  <wps:wsp>
                    <wps:cNvPr id="1908" name="Textbox 1908"/>
                    <wps:cNvSpPr txBox="1"/>
                    <wps:spPr>
                      <a:xfrm>
                        <a:off x="0" y="0"/>
                        <a:ext cx="4484370" cy="143510"/>
                      </a:xfrm>
                      <a:prstGeom prst="rect">
                        <a:avLst/>
                      </a:prstGeom>
                    </wps:spPr>
                    <wps:txbx>
                      <w:txbxContent>
                        <w:p>
                          <w:pPr>
                            <w:tabs>
                              <w:tab w:pos="6981"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63</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1pt;height:11.3pt;mso-position-horizontal-relative:page;mso-position-vertical-relative:page;z-index:-36545536" type="#_x0000_t202" id="docshape1636" filled="false" stroked="false">
              <v:textbox inset="0,0,0,0">
                <w:txbxContent>
                  <w:p>
                    <w:pPr>
                      <w:tabs>
                        <w:tab w:pos="6981"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63</w:t>
                    </w:r>
                    <w:r>
                      <w:rPr>
                        <w:rFonts w:ascii="Arial"/>
                        <w:b/>
                        <w:color w:val="231F20"/>
                        <w:spacing w:val="-5"/>
                        <w:w w:val="110"/>
                        <w:sz w:val="15"/>
                      </w:rPr>
                      <w:fldChar w:fldCharType="end"/>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2480">
              <wp:simplePos x="0" y="0"/>
              <wp:positionH relativeFrom="page">
                <wp:posOffset>243747</wp:posOffset>
              </wp:positionH>
              <wp:positionV relativeFrom="page">
                <wp:posOffset>9570783</wp:posOffset>
              </wp:positionV>
              <wp:extent cx="4411980" cy="143510"/>
              <wp:effectExtent l="0" t="0" r="0" b="0"/>
              <wp:wrapNone/>
              <wp:docPr id="1930" name="Textbox 1930"/>
              <wp:cNvGraphicFramePr>
                <a:graphicFrameLocks/>
              </wp:cNvGraphicFramePr>
              <a:graphic>
                <a:graphicData uri="http://schemas.microsoft.com/office/word/2010/wordprocessingShape">
                  <wps:wsp>
                    <wps:cNvPr id="1930" name="Textbox 1930"/>
                    <wps:cNvSpPr txBox="1"/>
                    <wps:spPr>
                      <a:xfrm>
                        <a:off x="0" y="0"/>
                        <a:ext cx="4411980" cy="143510"/>
                      </a:xfrm>
                      <a:prstGeom prst="rect">
                        <a:avLst/>
                      </a:prstGeom>
                    </wps:spPr>
                    <wps:txbx>
                      <w:txbxContent>
                        <w:p>
                          <w:pPr>
                            <w:tabs>
                              <w:tab w:pos="516" w:val="left" w:leader="none"/>
                            </w:tabs>
                            <w:spacing w:before="27"/>
                            <w:ind w:left="60" w:right="0" w:firstLine="0"/>
                            <w:jc w:val="left"/>
                            <w:rPr>
                              <w:rFonts w:ascii="Arial"/>
                              <w:sz w:val="12"/>
                            </w:rPr>
                          </w:pP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64</w:t>
                          </w:r>
                          <w:r>
                            <w:rPr>
                              <w:rFonts w:ascii="Arial"/>
                              <w:b/>
                              <w:color w:val="231F20"/>
                              <w:spacing w:val="-5"/>
                              <w:w w:val="110"/>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19.192699pt;margin-top:753.60498pt;width:347.4pt;height:11.3pt;mso-position-horizontal-relative:page;mso-position-vertical-relative:page;z-index:-36544000" type="#_x0000_t202" id="docshape1656" filled="false" stroked="false">
              <v:textbox inset="0,0,0,0">
                <w:txbxContent>
                  <w:p>
                    <w:pPr>
                      <w:tabs>
                        <w:tab w:pos="516" w:val="left" w:leader="none"/>
                      </w:tabs>
                      <w:spacing w:before="27"/>
                      <w:ind w:left="60" w:right="0" w:firstLine="0"/>
                      <w:jc w:val="left"/>
                      <w:rPr>
                        <w:rFonts w:ascii="Arial"/>
                        <w:sz w:val="12"/>
                      </w:rPr>
                    </w:pP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64</w:t>
                    </w:r>
                    <w:r>
                      <w:rPr>
                        <w:rFonts w:ascii="Arial"/>
                        <w:b/>
                        <w:color w:val="231F20"/>
                        <w:spacing w:val="-5"/>
                        <w:w w:val="110"/>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2992">
              <wp:simplePos x="0" y="0"/>
              <wp:positionH relativeFrom="page">
                <wp:posOffset>3090468</wp:posOffset>
              </wp:positionH>
              <wp:positionV relativeFrom="page">
                <wp:posOffset>9570783</wp:posOffset>
              </wp:positionV>
              <wp:extent cx="4484370" cy="143510"/>
              <wp:effectExtent l="0" t="0" r="0" b="0"/>
              <wp:wrapNone/>
              <wp:docPr id="1931" name="Textbox 1931"/>
              <wp:cNvGraphicFramePr>
                <a:graphicFrameLocks/>
              </wp:cNvGraphicFramePr>
              <a:graphic>
                <a:graphicData uri="http://schemas.microsoft.com/office/word/2010/wordprocessingShape">
                  <wps:wsp>
                    <wps:cNvPr id="1931" name="Textbox 1931"/>
                    <wps:cNvSpPr txBox="1"/>
                    <wps:spPr>
                      <a:xfrm>
                        <a:off x="0" y="0"/>
                        <a:ext cx="4484370" cy="143510"/>
                      </a:xfrm>
                      <a:prstGeom prst="rect">
                        <a:avLst/>
                      </a:prstGeom>
                    </wps:spPr>
                    <wps:txbx>
                      <w:txbxContent>
                        <w:p>
                          <w:pPr>
                            <w:tabs>
                              <w:tab w:pos="6981"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65</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1pt;height:11.3pt;mso-position-horizontal-relative:page;mso-position-vertical-relative:page;z-index:-36543488" type="#_x0000_t202" id="docshape1657" filled="false" stroked="false">
              <v:textbox inset="0,0,0,0">
                <w:txbxContent>
                  <w:p>
                    <w:pPr>
                      <w:tabs>
                        <w:tab w:pos="6981"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65</w:t>
                    </w:r>
                    <w:r>
                      <w:rPr>
                        <w:rFonts w:ascii="Arial"/>
                        <w:b/>
                        <w:color w:val="231F20"/>
                        <w:spacing w:val="-5"/>
                        <w:w w:val="110"/>
                        <w:sz w:val="15"/>
                      </w:rPr>
                      <w:fldChar w:fldCharType="end"/>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4016">
              <wp:simplePos x="0" y="0"/>
              <wp:positionH relativeFrom="page">
                <wp:posOffset>244452</wp:posOffset>
              </wp:positionH>
              <wp:positionV relativeFrom="page">
                <wp:posOffset>9570783</wp:posOffset>
              </wp:positionV>
              <wp:extent cx="225425" cy="143510"/>
              <wp:effectExtent l="0" t="0" r="0" b="0"/>
              <wp:wrapNone/>
              <wp:docPr id="1984" name="Textbox 1984"/>
              <wp:cNvGraphicFramePr>
                <a:graphicFrameLocks/>
              </wp:cNvGraphicFramePr>
              <a:graphic>
                <a:graphicData uri="http://schemas.microsoft.com/office/word/2010/wordprocessingShape">
                  <wps:wsp>
                    <wps:cNvPr id="1984" name="Textbox 1984"/>
                    <wps:cNvSpPr txBox="1"/>
                    <wps:spPr>
                      <a:xfrm>
                        <a:off x="0" y="0"/>
                        <a:ext cx="225425"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66</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248199pt;margin-top:753.60498pt;width:17.75pt;height:11.3pt;mso-position-horizontal-relative:page;mso-position-vertical-relative:page;z-index:-36542464" type="#_x0000_t202" id="docshape1708"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66</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74528">
              <wp:simplePos x="0" y="0"/>
              <wp:positionH relativeFrom="page">
                <wp:posOffset>558800</wp:posOffset>
              </wp:positionH>
              <wp:positionV relativeFrom="page">
                <wp:posOffset>9589566</wp:posOffset>
              </wp:positionV>
              <wp:extent cx="4097020" cy="120014"/>
              <wp:effectExtent l="0" t="0" r="0" b="0"/>
              <wp:wrapNone/>
              <wp:docPr id="1985" name="Textbox 1985"/>
              <wp:cNvGraphicFramePr>
                <a:graphicFrameLocks/>
              </wp:cNvGraphicFramePr>
              <a:graphic>
                <a:graphicData uri="http://schemas.microsoft.com/office/word/2010/wordprocessingShape">
                  <wps:wsp>
                    <wps:cNvPr id="1985" name="Textbox 1985"/>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41952" type="#_x0000_t202" id="docshape1709"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5040">
              <wp:simplePos x="0" y="0"/>
              <wp:positionH relativeFrom="page">
                <wp:posOffset>3090468</wp:posOffset>
              </wp:positionH>
              <wp:positionV relativeFrom="page">
                <wp:posOffset>9570783</wp:posOffset>
              </wp:positionV>
              <wp:extent cx="4485005" cy="143510"/>
              <wp:effectExtent l="0" t="0" r="0" b="0"/>
              <wp:wrapNone/>
              <wp:docPr id="1986" name="Textbox 1986"/>
              <wp:cNvGraphicFramePr>
                <a:graphicFrameLocks/>
              </wp:cNvGraphicFramePr>
              <a:graphic>
                <a:graphicData uri="http://schemas.microsoft.com/office/word/2010/wordprocessingShape">
                  <wps:wsp>
                    <wps:cNvPr id="1986" name="Textbox 1986"/>
                    <wps:cNvSpPr txBox="1"/>
                    <wps:spPr>
                      <a:xfrm>
                        <a:off x="0" y="0"/>
                        <a:ext cx="4485005" cy="143510"/>
                      </a:xfrm>
                      <a:prstGeom prst="rect">
                        <a:avLst/>
                      </a:prstGeom>
                    </wps:spPr>
                    <wps:txbx>
                      <w:txbxContent>
                        <w:p>
                          <w:pPr>
                            <w:tabs>
                              <w:tab w:pos="6982"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67</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15pt;height:11.3pt;mso-position-horizontal-relative:page;mso-position-vertical-relative:page;z-index:-36541440" type="#_x0000_t202" id="docshape1710" filled="false" stroked="false">
              <v:textbox inset="0,0,0,0">
                <w:txbxContent>
                  <w:p>
                    <w:pPr>
                      <w:tabs>
                        <w:tab w:pos="6982"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67</w:t>
                    </w:r>
                    <w:r>
                      <w:rPr>
                        <w:rFonts w:ascii="Arial"/>
                        <w:b/>
                        <w:color w:val="231F20"/>
                        <w:spacing w:val="-5"/>
                        <w:w w:val="110"/>
                        <w:sz w:val="15"/>
                      </w:rPr>
                      <w:fldChar w:fldCharType="end"/>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6064">
              <wp:simplePos x="0" y="0"/>
              <wp:positionH relativeFrom="page">
                <wp:posOffset>244585</wp:posOffset>
              </wp:positionH>
              <wp:positionV relativeFrom="page">
                <wp:posOffset>9570783</wp:posOffset>
              </wp:positionV>
              <wp:extent cx="224790" cy="143510"/>
              <wp:effectExtent l="0" t="0" r="0" b="0"/>
              <wp:wrapNone/>
              <wp:docPr id="2067" name="Textbox 2067"/>
              <wp:cNvGraphicFramePr>
                <a:graphicFrameLocks/>
              </wp:cNvGraphicFramePr>
              <a:graphic>
                <a:graphicData uri="http://schemas.microsoft.com/office/word/2010/wordprocessingShape">
                  <wps:wsp>
                    <wps:cNvPr id="2067" name="Textbox 2067"/>
                    <wps:cNvSpPr txBox="1"/>
                    <wps:spPr>
                      <a:xfrm>
                        <a:off x="0" y="0"/>
                        <a:ext cx="224790"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68</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258699pt;margin-top:753.60498pt;width:17.7pt;height:11.3pt;mso-position-horizontal-relative:page;mso-position-vertical-relative:page;z-index:-36540416" type="#_x0000_t202" id="docshape1784"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68</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76576">
              <wp:simplePos x="0" y="0"/>
              <wp:positionH relativeFrom="page">
                <wp:posOffset>558800</wp:posOffset>
              </wp:positionH>
              <wp:positionV relativeFrom="page">
                <wp:posOffset>9589566</wp:posOffset>
              </wp:positionV>
              <wp:extent cx="4097020" cy="120014"/>
              <wp:effectExtent l="0" t="0" r="0" b="0"/>
              <wp:wrapNone/>
              <wp:docPr id="2068" name="Textbox 2068"/>
              <wp:cNvGraphicFramePr>
                <a:graphicFrameLocks/>
              </wp:cNvGraphicFramePr>
              <a:graphic>
                <a:graphicData uri="http://schemas.microsoft.com/office/word/2010/wordprocessingShape">
                  <wps:wsp>
                    <wps:cNvPr id="2068" name="Textbox 2068"/>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39904" type="#_x0000_t202" id="docshape1785"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7088">
              <wp:simplePos x="0" y="0"/>
              <wp:positionH relativeFrom="page">
                <wp:posOffset>3090468</wp:posOffset>
              </wp:positionH>
              <wp:positionV relativeFrom="page">
                <wp:posOffset>9570783</wp:posOffset>
              </wp:positionV>
              <wp:extent cx="4484370" cy="143510"/>
              <wp:effectExtent l="0" t="0" r="0" b="0"/>
              <wp:wrapNone/>
              <wp:docPr id="2069" name="Textbox 2069"/>
              <wp:cNvGraphicFramePr>
                <a:graphicFrameLocks/>
              </wp:cNvGraphicFramePr>
              <a:graphic>
                <a:graphicData uri="http://schemas.microsoft.com/office/word/2010/wordprocessingShape">
                  <wps:wsp>
                    <wps:cNvPr id="2069" name="Textbox 2069"/>
                    <wps:cNvSpPr txBox="1"/>
                    <wps:spPr>
                      <a:xfrm>
                        <a:off x="0" y="0"/>
                        <a:ext cx="4484370" cy="143510"/>
                      </a:xfrm>
                      <a:prstGeom prst="rect">
                        <a:avLst/>
                      </a:prstGeom>
                    </wps:spPr>
                    <wps:txbx>
                      <w:txbxContent>
                        <w:p>
                          <w:pPr>
                            <w:tabs>
                              <w:tab w:pos="6981"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69</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1pt;height:11.3pt;mso-position-horizontal-relative:page;mso-position-vertical-relative:page;z-index:-36539392" type="#_x0000_t202" id="docshape1786" filled="false" stroked="false">
              <v:textbox inset="0,0,0,0">
                <w:txbxContent>
                  <w:p>
                    <w:pPr>
                      <w:tabs>
                        <w:tab w:pos="6981"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69</w:t>
                    </w:r>
                    <w:r>
                      <w:rPr>
                        <w:rFonts w:ascii="Arial"/>
                        <w:b/>
                        <w:color w:val="231F20"/>
                        <w:spacing w:val="-5"/>
                        <w:w w:val="110"/>
                        <w:sz w:val="15"/>
                      </w:rPr>
                      <w:fldChar w:fldCharType="end"/>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8112">
              <wp:simplePos x="0" y="0"/>
              <wp:positionH relativeFrom="page">
                <wp:posOffset>245814</wp:posOffset>
              </wp:positionH>
              <wp:positionV relativeFrom="page">
                <wp:posOffset>9570783</wp:posOffset>
              </wp:positionV>
              <wp:extent cx="222250" cy="143510"/>
              <wp:effectExtent l="0" t="0" r="0" b="0"/>
              <wp:wrapNone/>
              <wp:docPr id="2129" name="Textbox 2129"/>
              <wp:cNvGraphicFramePr>
                <a:graphicFrameLocks/>
              </wp:cNvGraphicFramePr>
              <a:graphic>
                <a:graphicData uri="http://schemas.microsoft.com/office/word/2010/wordprocessingShape">
                  <wps:wsp>
                    <wps:cNvPr id="2129" name="Textbox 2129"/>
                    <wps:cNvSpPr txBox="1"/>
                    <wps:spPr>
                      <a:xfrm>
                        <a:off x="0" y="0"/>
                        <a:ext cx="222250"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70</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355499pt;margin-top:753.60498pt;width:17.5pt;height:11.3pt;mso-position-horizontal-relative:page;mso-position-vertical-relative:page;z-index:-36538368" type="#_x0000_t202" id="docshape1838"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70</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78624">
              <wp:simplePos x="0" y="0"/>
              <wp:positionH relativeFrom="page">
                <wp:posOffset>558800</wp:posOffset>
              </wp:positionH>
              <wp:positionV relativeFrom="page">
                <wp:posOffset>9589566</wp:posOffset>
              </wp:positionV>
              <wp:extent cx="4097020" cy="120014"/>
              <wp:effectExtent l="0" t="0" r="0" b="0"/>
              <wp:wrapNone/>
              <wp:docPr id="2130" name="Textbox 2130"/>
              <wp:cNvGraphicFramePr>
                <a:graphicFrameLocks/>
              </wp:cNvGraphicFramePr>
              <a:graphic>
                <a:graphicData uri="http://schemas.microsoft.com/office/word/2010/wordprocessingShape">
                  <wps:wsp>
                    <wps:cNvPr id="2130" name="Textbox 2130"/>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37856" type="#_x0000_t202" id="docshape1839"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9136">
              <wp:simplePos x="0" y="0"/>
              <wp:positionH relativeFrom="page">
                <wp:posOffset>3090468</wp:posOffset>
              </wp:positionH>
              <wp:positionV relativeFrom="page">
                <wp:posOffset>9570783</wp:posOffset>
              </wp:positionV>
              <wp:extent cx="4482465" cy="143510"/>
              <wp:effectExtent l="0" t="0" r="0" b="0"/>
              <wp:wrapNone/>
              <wp:docPr id="2131" name="Textbox 2131"/>
              <wp:cNvGraphicFramePr>
                <a:graphicFrameLocks/>
              </wp:cNvGraphicFramePr>
              <a:graphic>
                <a:graphicData uri="http://schemas.microsoft.com/office/word/2010/wordprocessingShape">
                  <wps:wsp>
                    <wps:cNvPr id="2131" name="Textbox 2131"/>
                    <wps:cNvSpPr txBox="1"/>
                    <wps:spPr>
                      <a:xfrm>
                        <a:off x="0" y="0"/>
                        <a:ext cx="4482465" cy="143510"/>
                      </a:xfrm>
                      <a:prstGeom prst="rect">
                        <a:avLst/>
                      </a:prstGeom>
                    </wps:spPr>
                    <wps:txbx>
                      <w:txbxContent>
                        <w:p>
                          <w:pPr>
                            <w:tabs>
                              <w:tab w:pos="6978"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71</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2.95pt;height:11.3pt;mso-position-horizontal-relative:page;mso-position-vertical-relative:page;z-index:-36537344" type="#_x0000_t202" id="docshape1840" filled="false" stroked="false">
              <v:textbox inset="0,0,0,0">
                <w:txbxContent>
                  <w:p>
                    <w:pPr>
                      <w:tabs>
                        <w:tab w:pos="6978"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71</w:t>
                    </w:r>
                    <w:r>
                      <w:rPr>
                        <w:rFonts w:ascii="Arial"/>
                        <w:b/>
                        <w:color w:val="231F20"/>
                        <w:spacing w:val="-5"/>
                        <w:w w:val="110"/>
                        <w:sz w:val="15"/>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32544">
              <wp:simplePos x="0" y="0"/>
              <wp:positionH relativeFrom="page">
                <wp:posOffset>249834</wp:posOffset>
              </wp:positionH>
              <wp:positionV relativeFrom="page">
                <wp:posOffset>9570783</wp:posOffset>
              </wp:positionV>
              <wp:extent cx="4405630" cy="14351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4405630" cy="143510"/>
                      </a:xfrm>
                      <a:prstGeom prst="rect">
                        <a:avLst/>
                      </a:prstGeom>
                    </wps:spPr>
                    <wps:txbx>
                      <w:txbxContent>
                        <w:p>
                          <w:pPr>
                            <w:tabs>
                              <w:tab w:pos="506" w:val="left" w:leader="none"/>
                            </w:tabs>
                            <w:spacing w:before="27"/>
                            <w:ind w:left="60" w:right="0" w:firstLine="0"/>
                            <w:jc w:val="left"/>
                            <w:rPr>
                              <w:rFonts w:ascii="Arial"/>
                              <w:sz w:val="12"/>
                            </w:rPr>
                          </w:pPr>
                          <w:r>
                            <w:rPr>
                              <w:rFonts w:ascii="Arial"/>
                              <w:b/>
                              <w:color w:val="231F20"/>
                              <w:spacing w:val="-4"/>
                              <w:sz w:val="15"/>
                            </w:rPr>
                            <w:fldChar w:fldCharType="begin"/>
                          </w:r>
                          <w:r>
                            <w:rPr>
                              <w:rFonts w:ascii="Arial"/>
                              <w:b/>
                              <w:color w:val="231F20"/>
                              <w:spacing w:val="-4"/>
                              <w:sz w:val="15"/>
                            </w:rPr>
                            <w:instrText> PAGE  \* roman </w:instrText>
                          </w:r>
                          <w:r>
                            <w:rPr>
                              <w:rFonts w:ascii="Arial"/>
                              <w:b/>
                              <w:color w:val="231F20"/>
                              <w:spacing w:val="-4"/>
                              <w:sz w:val="15"/>
                            </w:rPr>
                            <w:fldChar w:fldCharType="separate"/>
                          </w:r>
                          <w:r>
                            <w:rPr>
                              <w:rFonts w:ascii="Arial"/>
                              <w:b/>
                              <w:color w:val="231F20"/>
                              <w:spacing w:val="-4"/>
                              <w:sz w:val="15"/>
                            </w:rPr>
                            <w:t>viii</w:t>
                          </w:r>
                          <w:r>
                            <w:rPr>
                              <w:rFonts w:ascii="Arial"/>
                              <w:b/>
                              <w:color w:val="231F20"/>
                              <w:spacing w:val="-4"/>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19.672001pt;margin-top:753.60498pt;width:346.9pt;height:11.3pt;mso-position-horizontal-relative:page;mso-position-vertical-relative:page;z-index:-36583936" type="#_x0000_t202" id="docshape149" filled="false" stroked="false">
              <v:textbox inset="0,0,0,0">
                <w:txbxContent>
                  <w:p>
                    <w:pPr>
                      <w:tabs>
                        <w:tab w:pos="506" w:val="left" w:leader="none"/>
                      </w:tabs>
                      <w:spacing w:before="27"/>
                      <w:ind w:left="60" w:right="0" w:firstLine="0"/>
                      <w:jc w:val="left"/>
                      <w:rPr>
                        <w:rFonts w:ascii="Arial"/>
                        <w:sz w:val="12"/>
                      </w:rPr>
                    </w:pPr>
                    <w:r>
                      <w:rPr>
                        <w:rFonts w:ascii="Arial"/>
                        <w:b/>
                        <w:color w:val="231F20"/>
                        <w:spacing w:val="-4"/>
                        <w:sz w:val="15"/>
                      </w:rPr>
                      <w:fldChar w:fldCharType="begin"/>
                    </w:r>
                    <w:r>
                      <w:rPr>
                        <w:rFonts w:ascii="Arial"/>
                        <w:b/>
                        <w:color w:val="231F20"/>
                        <w:spacing w:val="-4"/>
                        <w:sz w:val="15"/>
                      </w:rPr>
                      <w:instrText> PAGE  \* roman </w:instrText>
                    </w:r>
                    <w:r>
                      <w:rPr>
                        <w:rFonts w:ascii="Arial"/>
                        <w:b/>
                        <w:color w:val="231F20"/>
                        <w:spacing w:val="-4"/>
                        <w:sz w:val="15"/>
                      </w:rPr>
                      <w:fldChar w:fldCharType="separate"/>
                    </w:r>
                    <w:r>
                      <w:rPr>
                        <w:rFonts w:ascii="Arial"/>
                        <w:b/>
                        <w:color w:val="231F20"/>
                        <w:spacing w:val="-4"/>
                        <w:sz w:val="15"/>
                      </w:rPr>
                      <w:t>viii</w:t>
                    </w:r>
                    <w:r>
                      <w:rPr>
                        <w:rFonts w:ascii="Arial"/>
                        <w:b/>
                        <w:color w:val="231F20"/>
                        <w:spacing w:val="-4"/>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80160">
              <wp:simplePos x="0" y="0"/>
              <wp:positionH relativeFrom="page">
                <wp:posOffset>246348</wp:posOffset>
              </wp:positionH>
              <wp:positionV relativeFrom="page">
                <wp:posOffset>9570783</wp:posOffset>
              </wp:positionV>
              <wp:extent cx="221615" cy="143510"/>
              <wp:effectExtent l="0" t="0" r="0" b="0"/>
              <wp:wrapNone/>
              <wp:docPr id="2133" name="Textbox 2133"/>
              <wp:cNvGraphicFramePr>
                <a:graphicFrameLocks/>
              </wp:cNvGraphicFramePr>
              <a:graphic>
                <a:graphicData uri="http://schemas.microsoft.com/office/word/2010/wordprocessingShape">
                  <wps:wsp>
                    <wps:cNvPr id="2133" name="Textbox 2133"/>
                    <wps:cNvSpPr txBox="1"/>
                    <wps:spPr>
                      <a:xfrm>
                        <a:off x="0" y="0"/>
                        <a:ext cx="221615" cy="143510"/>
                      </a:xfrm>
                      <a:prstGeom prst="rect">
                        <a:avLst/>
                      </a:prstGeom>
                    </wps:spPr>
                    <wps:txbx>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72</w:t>
                          </w:r>
                          <w:r>
                            <w:rPr>
                              <w:rFonts w:ascii="Arial"/>
                              <w:b/>
                              <w:color w:val="231F20"/>
                              <w:spacing w:val="-5"/>
                              <w:w w:val="130"/>
                              <w:sz w:val="15"/>
                            </w:rPr>
                            <w:fldChar w:fldCharType="end"/>
                          </w:r>
                        </w:p>
                      </w:txbxContent>
                    </wps:txbx>
                    <wps:bodyPr wrap="square" lIns="0" tIns="0" rIns="0" bIns="0" rtlCol="0">
                      <a:noAutofit/>
                    </wps:bodyPr>
                  </wps:wsp>
                </a:graphicData>
              </a:graphic>
            </wp:anchor>
          </w:drawing>
        </mc:Choice>
        <mc:Fallback>
          <w:pict>
            <v:shape style="position:absolute;margin-left:19.397499pt;margin-top:753.60498pt;width:17.45pt;height:11.3pt;mso-position-horizontal-relative:page;mso-position-vertical-relative:page;z-index:-36536320" type="#_x0000_t202" id="docshape1842" filled="false" stroked="false">
              <v:textbox inset="0,0,0,0">
                <w:txbxContent>
                  <w:p>
                    <w:pPr>
                      <w:spacing w:before="27"/>
                      <w:ind w:left="60" w:right="0" w:firstLine="0"/>
                      <w:jc w:val="left"/>
                      <w:rPr>
                        <w:rFonts w:ascii="Arial"/>
                        <w:b/>
                        <w:sz w:val="15"/>
                      </w:rPr>
                    </w:pPr>
                    <w:r>
                      <w:rPr>
                        <w:rFonts w:ascii="Arial"/>
                        <w:b/>
                        <w:color w:val="231F20"/>
                        <w:spacing w:val="-5"/>
                        <w:w w:val="130"/>
                        <w:sz w:val="15"/>
                      </w:rPr>
                      <w:fldChar w:fldCharType="begin"/>
                    </w:r>
                    <w:r>
                      <w:rPr>
                        <w:rFonts w:ascii="Arial"/>
                        <w:b/>
                        <w:color w:val="231F20"/>
                        <w:spacing w:val="-5"/>
                        <w:w w:val="130"/>
                        <w:sz w:val="15"/>
                      </w:rPr>
                      <w:instrText> PAGE </w:instrText>
                    </w:r>
                    <w:r>
                      <w:rPr>
                        <w:rFonts w:ascii="Arial"/>
                        <w:b/>
                        <w:color w:val="231F20"/>
                        <w:spacing w:val="-5"/>
                        <w:w w:val="130"/>
                        <w:sz w:val="15"/>
                      </w:rPr>
                      <w:fldChar w:fldCharType="separate"/>
                    </w:r>
                    <w:r>
                      <w:rPr>
                        <w:rFonts w:ascii="Arial"/>
                        <w:b/>
                        <w:color w:val="231F20"/>
                        <w:spacing w:val="-5"/>
                        <w:w w:val="130"/>
                        <w:sz w:val="15"/>
                      </w:rPr>
                      <w:t>72</w:t>
                    </w:r>
                    <w:r>
                      <w:rPr>
                        <w:rFonts w:ascii="Arial"/>
                        <w:b/>
                        <w:color w:val="231F20"/>
                        <w:spacing w:val="-5"/>
                        <w:w w:val="130"/>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66780672">
              <wp:simplePos x="0" y="0"/>
              <wp:positionH relativeFrom="page">
                <wp:posOffset>558800</wp:posOffset>
              </wp:positionH>
              <wp:positionV relativeFrom="page">
                <wp:posOffset>9589566</wp:posOffset>
              </wp:positionV>
              <wp:extent cx="4097020" cy="120014"/>
              <wp:effectExtent l="0" t="0" r="0" b="0"/>
              <wp:wrapNone/>
              <wp:docPr id="2134" name="Textbox 2134"/>
              <wp:cNvGraphicFramePr>
                <a:graphicFrameLocks/>
              </wp:cNvGraphicFramePr>
              <a:graphic>
                <a:graphicData uri="http://schemas.microsoft.com/office/word/2010/wordprocessingShape">
                  <wps:wsp>
                    <wps:cNvPr id="2134" name="Textbox 2134"/>
                    <wps:cNvSpPr txBox="1"/>
                    <wps:spPr>
                      <a:xfrm>
                        <a:off x="0" y="0"/>
                        <a:ext cx="4097020" cy="120014"/>
                      </a:xfrm>
                      <a:prstGeom prst="rect">
                        <a:avLst/>
                      </a:prstGeom>
                    </wps:spPr>
                    <wps:txbx>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44pt;margin-top:755.083984pt;width:322.6pt;height:9.450pt;mso-position-horizontal-relative:page;mso-position-vertical-relative:page;z-index:-36535808" type="#_x0000_t202" id="docshape1843" filled="false" stroked="false">
              <v:textbox inset="0,0,0,0">
                <w:txbxContent>
                  <w:p>
                    <w:pPr>
                      <w:spacing w:before="25"/>
                      <w:ind w:left="20" w:right="0" w:firstLine="0"/>
                      <w:jc w:val="left"/>
                      <w:rPr>
                        <w:rFonts w:ascii="Arial"/>
                        <w:sz w:val="12"/>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81184">
              <wp:simplePos x="0" y="0"/>
              <wp:positionH relativeFrom="page">
                <wp:posOffset>3090468</wp:posOffset>
              </wp:positionH>
              <wp:positionV relativeFrom="page">
                <wp:posOffset>9570783</wp:posOffset>
              </wp:positionV>
              <wp:extent cx="4483100" cy="143510"/>
              <wp:effectExtent l="0" t="0" r="0" b="0"/>
              <wp:wrapNone/>
              <wp:docPr id="2135" name="Textbox 2135"/>
              <wp:cNvGraphicFramePr>
                <a:graphicFrameLocks/>
              </wp:cNvGraphicFramePr>
              <a:graphic>
                <a:graphicData uri="http://schemas.microsoft.com/office/word/2010/wordprocessingShape">
                  <wps:wsp>
                    <wps:cNvPr id="2135" name="Textbox 2135"/>
                    <wps:cNvSpPr txBox="1"/>
                    <wps:spPr>
                      <a:xfrm>
                        <a:off x="0" y="0"/>
                        <a:ext cx="4483100" cy="143510"/>
                      </a:xfrm>
                      <a:prstGeom prst="rect">
                        <a:avLst/>
                      </a:prstGeom>
                    </wps:spPr>
                    <wps:txbx>
                      <w:txbxContent>
                        <w:p>
                          <w:pPr>
                            <w:tabs>
                              <w:tab w:pos="6979"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73</w:t>
                          </w:r>
                          <w:r>
                            <w:rPr>
                              <w:rFonts w:ascii="Arial"/>
                              <w:b/>
                              <w:color w:val="231F20"/>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pt;height:11.3pt;mso-position-horizontal-relative:page;mso-position-vertical-relative:page;z-index:-36535296" type="#_x0000_t202" id="docshape1844" filled="false" stroked="false">
              <v:textbox inset="0,0,0,0">
                <w:txbxContent>
                  <w:p>
                    <w:pPr>
                      <w:tabs>
                        <w:tab w:pos="6979"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73</w:t>
                    </w:r>
                    <w:r>
                      <w:rPr>
                        <w:rFonts w:ascii="Arial"/>
                        <w:b/>
                        <w:color w:val="231F20"/>
                        <w:spacing w:val="-5"/>
                        <w:w w:val="110"/>
                        <w:sz w:val="15"/>
                      </w:rPr>
                      <w:fldChar w:fldCharType="end"/>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82208">
              <wp:simplePos x="0" y="0"/>
              <wp:positionH relativeFrom="page">
                <wp:posOffset>248939</wp:posOffset>
              </wp:positionH>
              <wp:positionV relativeFrom="page">
                <wp:posOffset>9570783</wp:posOffset>
              </wp:positionV>
              <wp:extent cx="4406900" cy="143510"/>
              <wp:effectExtent l="0" t="0" r="0" b="0"/>
              <wp:wrapNone/>
              <wp:docPr id="2139" name="Textbox 2139"/>
              <wp:cNvGraphicFramePr>
                <a:graphicFrameLocks/>
              </wp:cNvGraphicFramePr>
              <a:graphic>
                <a:graphicData uri="http://schemas.microsoft.com/office/word/2010/wordprocessingShape">
                  <wps:wsp>
                    <wps:cNvPr id="2139" name="Textbox 2139"/>
                    <wps:cNvSpPr txBox="1"/>
                    <wps:spPr>
                      <a:xfrm>
                        <a:off x="0" y="0"/>
                        <a:ext cx="4406900" cy="143510"/>
                      </a:xfrm>
                      <a:prstGeom prst="rect">
                        <a:avLst/>
                      </a:prstGeom>
                    </wps:spPr>
                    <wps:txbx>
                      <w:txbxContent>
                        <w:p>
                          <w:pPr>
                            <w:tabs>
                              <w:tab w:pos="507" w:val="left" w:leader="none"/>
                            </w:tabs>
                            <w:spacing w:before="27"/>
                            <w:ind w:left="60" w:right="0" w:firstLine="0"/>
                            <w:jc w:val="left"/>
                            <w:rPr>
                              <w:rFonts w:ascii="Arial"/>
                              <w:sz w:val="12"/>
                            </w:rPr>
                          </w:pP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74</w:t>
                          </w:r>
                          <w:r>
                            <w:rPr>
                              <w:rFonts w:ascii="Arial"/>
                              <w:b/>
                              <w:color w:val="231F20"/>
                              <w:spacing w:val="-5"/>
                              <w:w w:val="110"/>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19.601500pt;margin-top:753.60498pt;width:347pt;height:11.3pt;mso-position-horizontal-relative:page;mso-position-vertical-relative:page;z-index:-36534272" type="#_x0000_t202" id="docshape1848" filled="false" stroked="false">
              <v:textbox inset="0,0,0,0">
                <w:txbxContent>
                  <w:p>
                    <w:pPr>
                      <w:tabs>
                        <w:tab w:pos="507" w:val="left" w:leader="none"/>
                      </w:tabs>
                      <w:spacing w:before="27"/>
                      <w:ind w:left="60" w:right="0" w:firstLine="0"/>
                      <w:jc w:val="left"/>
                      <w:rPr>
                        <w:rFonts w:ascii="Arial"/>
                        <w:sz w:val="12"/>
                      </w:rPr>
                    </w:pPr>
                    <w:r>
                      <w:rPr>
                        <w:rFonts w:ascii="Arial"/>
                        <w:b/>
                        <w:color w:val="231F20"/>
                        <w:spacing w:val="-5"/>
                        <w:w w:val="110"/>
                        <w:sz w:val="15"/>
                      </w:rPr>
                      <w:fldChar w:fldCharType="begin"/>
                    </w:r>
                    <w:r>
                      <w:rPr>
                        <w:rFonts w:ascii="Arial"/>
                        <w:b/>
                        <w:color w:val="231F20"/>
                        <w:spacing w:val="-5"/>
                        <w:w w:val="110"/>
                        <w:sz w:val="15"/>
                      </w:rPr>
                      <w:instrText> PAGE </w:instrText>
                    </w:r>
                    <w:r>
                      <w:rPr>
                        <w:rFonts w:ascii="Arial"/>
                        <w:b/>
                        <w:color w:val="231F20"/>
                        <w:spacing w:val="-5"/>
                        <w:w w:val="110"/>
                        <w:sz w:val="15"/>
                      </w:rPr>
                      <w:fldChar w:fldCharType="separate"/>
                    </w:r>
                    <w:r>
                      <w:rPr>
                        <w:rFonts w:ascii="Arial"/>
                        <w:b/>
                        <w:color w:val="231F20"/>
                        <w:spacing w:val="-5"/>
                        <w:w w:val="110"/>
                        <w:sz w:val="15"/>
                      </w:rPr>
                      <w:t>74</w:t>
                    </w:r>
                    <w:r>
                      <w:rPr>
                        <w:rFonts w:ascii="Arial"/>
                        <w:b/>
                        <w:color w:val="231F20"/>
                        <w:spacing w:val="-5"/>
                        <w:w w:val="110"/>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34592">
              <wp:simplePos x="0" y="0"/>
              <wp:positionH relativeFrom="page">
                <wp:posOffset>3090468</wp:posOffset>
              </wp:positionH>
              <wp:positionV relativeFrom="page">
                <wp:posOffset>9570783</wp:posOffset>
              </wp:positionV>
              <wp:extent cx="4488815" cy="14351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4488815" cy="143510"/>
                      </a:xfrm>
                      <a:prstGeom prst="rect">
                        <a:avLst/>
                      </a:prstGeom>
                    </wps:spPr>
                    <wps:txbx>
                      <w:txbxContent>
                        <w:p>
                          <w:pPr>
                            <w:tabs>
                              <w:tab w:pos="6987"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sz w:val="15"/>
                            </w:rPr>
                            <w:fldChar w:fldCharType="begin"/>
                          </w:r>
                          <w:r>
                            <w:rPr>
                              <w:rFonts w:ascii="Arial"/>
                              <w:b/>
                              <w:color w:val="231F20"/>
                              <w:spacing w:val="-5"/>
                              <w:sz w:val="15"/>
                            </w:rPr>
                            <w:instrText> PAGE  \* roman </w:instrText>
                          </w:r>
                          <w:r>
                            <w:rPr>
                              <w:rFonts w:ascii="Arial"/>
                              <w:b/>
                              <w:color w:val="231F20"/>
                              <w:spacing w:val="-5"/>
                              <w:sz w:val="15"/>
                            </w:rPr>
                            <w:fldChar w:fldCharType="separate"/>
                          </w:r>
                          <w:r>
                            <w:rPr>
                              <w:rFonts w:ascii="Arial"/>
                              <w:b/>
                              <w:color w:val="231F20"/>
                              <w:spacing w:val="-5"/>
                              <w:sz w:val="15"/>
                            </w:rPr>
                            <w:t>ix</w:t>
                          </w:r>
                          <w:r>
                            <w:rPr>
                              <w:rFonts w:ascii="Arial"/>
                              <w:b/>
                              <w:color w:val="231F20"/>
                              <w:spacing w:val="-5"/>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45pt;height:11.3pt;mso-position-horizontal-relative:page;mso-position-vertical-relative:page;z-index:-36581888" type="#_x0000_t202" id="docshape156" filled="false" stroked="false">
              <v:textbox inset="0,0,0,0">
                <w:txbxContent>
                  <w:p>
                    <w:pPr>
                      <w:tabs>
                        <w:tab w:pos="6987"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sz w:val="15"/>
                      </w:rPr>
                      <w:fldChar w:fldCharType="begin"/>
                    </w:r>
                    <w:r>
                      <w:rPr>
                        <w:rFonts w:ascii="Arial"/>
                        <w:b/>
                        <w:color w:val="231F20"/>
                        <w:spacing w:val="-5"/>
                        <w:sz w:val="15"/>
                      </w:rPr>
                      <w:instrText> PAGE  \* roman </w:instrText>
                    </w:r>
                    <w:r>
                      <w:rPr>
                        <w:rFonts w:ascii="Arial"/>
                        <w:b/>
                        <w:color w:val="231F20"/>
                        <w:spacing w:val="-5"/>
                        <w:sz w:val="15"/>
                      </w:rPr>
                      <w:fldChar w:fldCharType="separate"/>
                    </w:r>
                    <w:r>
                      <w:rPr>
                        <w:rFonts w:ascii="Arial"/>
                        <w:b/>
                        <w:color w:val="231F20"/>
                        <w:spacing w:val="-5"/>
                        <w:sz w:val="15"/>
                      </w:rPr>
                      <w:t>ix</w:t>
                    </w:r>
                    <w:r>
                      <w:rPr>
                        <w:rFonts w:ascii="Arial"/>
                        <w:b/>
                        <w:color w:val="231F20"/>
                        <w:spacing w:val="-5"/>
                        <w:sz w:val="15"/>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35104">
              <wp:simplePos x="0" y="0"/>
              <wp:positionH relativeFrom="page">
                <wp:posOffset>329088</wp:posOffset>
              </wp:positionH>
              <wp:positionV relativeFrom="page">
                <wp:posOffset>9570783</wp:posOffset>
              </wp:positionV>
              <wp:extent cx="4326255" cy="14351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4326255" cy="143510"/>
                      </a:xfrm>
                      <a:prstGeom prst="rect">
                        <a:avLst/>
                      </a:prstGeom>
                    </wps:spPr>
                    <wps:txbx>
                      <w:txbxContent>
                        <w:p>
                          <w:pPr>
                            <w:tabs>
                              <w:tab w:pos="381" w:val="left" w:leader="none"/>
                            </w:tabs>
                            <w:spacing w:before="27"/>
                            <w:ind w:left="60" w:right="0" w:firstLine="0"/>
                            <w:jc w:val="left"/>
                            <w:rPr>
                              <w:rFonts w:ascii="Arial"/>
                              <w:sz w:val="12"/>
                            </w:rPr>
                          </w:pPr>
                          <w:r>
                            <w:rPr>
                              <w:rFonts w:ascii="Arial"/>
                              <w:b/>
                              <w:color w:val="231F20"/>
                              <w:spacing w:val="-10"/>
                              <w:sz w:val="15"/>
                            </w:rPr>
                            <w:fldChar w:fldCharType="begin"/>
                          </w:r>
                          <w:r>
                            <w:rPr>
                              <w:rFonts w:ascii="Arial"/>
                              <w:b/>
                              <w:color w:val="231F20"/>
                              <w:spacing w:val="-10"/>
                              <w:sz w:val="15"/>
                            </w:rPr>
                            <w:instrText> PAGE  \* roman </w:instrText>
                          </w:r>
                          <w:r>
                            <w:rPr>
                              <w:rFonts w:ascii="Arial"/>
                              <w:b/>
                              <w:color w:val="231F20"/>
                              <w:spacing w:val="-10"/>
                              <w:sz w:val="15"/>
                            </w:rPr>
                            <w:fldChar w:fldCharType="separate"/>
                          </w:r>
                          <w:r>
                            <w:rPr>
                              <w:rFonts w:ascii="Arial"/>
                              <w:b/>
                              <w:color w:val="231F20"/>
                              <w:spacing w:val="-10"/>
                              <w:sz w:val="15"/>
                            </w:rPr>
                            <w:t>x</w:t>
                          </w:r>
                          <w:r>
                            <w:rPr>
                              <w:rFonts w:ascii="Arial"/>
                              <w:b/>
                              <w:color w:val="231F20"/>
                              <w:spacing w:val="-10"/>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wps:txbx>
                    <wps:bodyPr wrap="square" lIns="0" tIns="0" rIns="0" bIns="0" rtlCol="0">
                      <a:noAutofit/>
                    </wps:bodyPr>
                  </wps:wsp>
                </a:graphicData>
              </a:graphic>
            </wp:anchor>
          </w:drawing>
        </mc:Choice>
        <mc:Fallback>
          <w:pict>
            <v:shape style="position:absolute;margin-left:25.9125pt;margin-top:753.60498pt;width:340.65pt;height:11.3pt;mso-position-horizontal-relative:page;mso-position-vertical-relative:page;z-index:-36581376" type="#_x0000_t202" id="docshape157" filled="false" stroked="false">
              <v:textbox inset="0,0,0,0">
                <w:txbxContent>
                  <w:p>
                    <w:pPr>
                      <w:tabs>
                        <w:tab w:pos="381" w:val="left" w:leader="none"/>
                      </w:tabs>
                      <w:spacing w:before="27"/>
                      <w:ind w:left="60" w:right="0" w:firstLine="0"/>
                      <w:jc w:val="left"/>
                      <w:rPr>
                        <w:rFonts w:ascii="Arial"/>
                        <w:sz w:val="12"/>
                      </w:rPr>
                    </w:pPr>
                    <w:r>
                      <w:rPr>
                        <w:rFonts w:ascii="Arial"/>
                        <w:b/>
                        <w:color w:val="231F20"/>
                        <w:spacing w:val="-10"/>
                        <w:sz w:val="15"/>
                      </w:rPr>
                      <w:fldChar w:fldCharType="begin"/>
                    </w:r>
                    <w:r>
                      <w:rPr>
                        <w:rFonts w:ascii="Arial"/>
                        <w:b/>
                        <w:color w:val="231F20"/>
                        <w:spacing w:val="-10"/>
                        <w:sz w:val="15"/>
                      </w:rPr>
                      <w:instrText> PAGE  \* roman </w:instrText>
                    </w:r>
                    <w:r>
                      <w:rPr>
                        <w:rFonts w:ascii="Arial"/>
                        <w:b/>
                        <w:color w:val="231F20"/>
                        <w:spacing w:val="-10"/>
                        <w:sz w:val="15"/>
                      </w:rPr>
                      <w:fldChar w:fldCharType="separate"/>
                    </w:r>
                    <w:r>
                      <w:rPr>
                        <w:rFonts w:ascii="Arial"/>
                        <w:b/>
                        <w:color w:val="231F20"/>
                        <w:spacing w:val="-10"/>
                        <w:sz w:val="15"/>
                      </w:rPr>
                      <w:t>x</w:t>
                    </w:r>
                    <w:r>
                      <w:rPr>
                        <w:rFonts w:ascii="Arial"/>
                        <w:b/>
                        <w:color w:val="231F20"/>
                        <w:spacing w:val="-10"/>
                        <w:sz w:val="15"/>
                      </w:rPr>
                      <w:fldChar w:fldCharType="end"/>
                    </w:r>
                    <w:r>
                      <w:rPr>
                        <w:rFonts w:ascii="Arial"/>
                        <w:b/>
                        <w:color w:val="231F20"/>
                        <w:sz w:val="15"/>
                      </w:rPr>
                      <w:tab/>
                    </w: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37152">
              <wp:simplePos x="0" y="0"/>
              <wp:positionH relativeFrom="page">
                <wp:posOffset>3090468</wp:posOffset>
              </wp:positionH>
              <wp:positionV relativeFrom="page">
                <wp:posOffset>9570783</wp:posOffset>
              </wp:positionV>
              <wp:extent cx="4488815" cy="14351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4488815" cy="143510"/>
                      </a:xfrm>
                      <a:prstGeom prst="rect">
                        <a:avLst/>
                      </a:prstGeom>
                    </wps:spPr>
                    <wps:txbx>
                      <w:txbxContent>
                        <w:p>
                          <w:pPr>
                            <w:tabs>
                              <w:tab w:pos="6987"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sz w:val="15"/>
                            </w:rPr>
                            <w:fldChar w:fldCharType="begin"/>
                          </w:r>
                          <w:r>
                            <w:rPr>
                              <w:rFonts w:ascii="Arial"/>
                              <w:b/>
                              <w:color w:val="231F20"/>
                              <w:spacing w:val="-5"/>
                              <w:sz w:val="15"/>
                            </w:rPr>
                            <w:instrText> PAGE  \* roman </w:instrText>
                          </w:r>
                          <w:r>
                            <w:rPr>
                              <w:rFonts w:ascii="Arial"/>
                              <w:b/>
                              <w:color w:val="231F20"/>
                              <w:spacing w:val="-5"/>
                              <w:sz w:val="15"/>
                            </w:rPr>
                            <w:fldChar w:fldCharType="separate"/>
                          </w:r>
                          <w:r>
                            <w:rPr>
                              <w:rFonts w:ascii="Arial"/>
                              <w:b/>
                              <w:color w:val="231F20"/>
                              <w:spacing w:val="-5"/>
                              <w:sz w:val="15"/>
                            </w:rPr>
                            <w:t>xi</w:t>
                          </w:r>
                          <w:r>
                            <w:rPr>
                              <w:rFonts w:ascii="Arial"/>
                              <w:b/>
                              <w:color w:val="231F20"/>
                              <w:spacing w:val="-5"/>
                              <w:sz w:val="15"/>
                            </w:rPr>
                            <w:fldChar w:fldCharType="end"/>
                          </w:r>
                        </w:p>
                      </w:txbxContent>
                    </wps:txbx>
                    <wps:bodyPr wrap="square" lIns="0" tIns="0" rIns="0" bIns="0" rtlCol="0">
                      <a:noAutofit/>
                    </wps:bodyPr>
                  </wps:wsp>
                </a:graphicData>
              </a:graphic>
            </wp:anchor>
          </w:drawing>
        </mc:Choice>
        <mc:Fallback>
          <w:pict>
            <v:shape style="position:absolute;margin-left:243.343994pt;margin-top:753.60498pt;width:353.45pt;height:11.3pt;mso-position-horizontal-relative:page;mso-position-vertical-relative:page;z-index:-36579328" type="#_x0000_t202" id="docshape161" filled="false" stroked="false">
              <v:textbox inset="0,0,0,0">
                <w:txbxContent>
                  <w:p>
                    <w:pPr>
                      <w:tabs>
                        <w:tab w:pos="6987" w:val="right" w:leader="none"/>
                      </w:tabs>
                      <w:spacing w:before="27"/>
                      <w:ind w:left="20" w:right="0" w:firstLine="0"/>
                      <w:jc w:val="left"/>
                      <w:rPr>
                        <w:rFonts w:ascii="Arial"/>
                        <w:b/>
                        <w:sz w:val="15"/>
                      </w:rPr>
                    </w:pPr>
                    <w:r>
                      <w:rPr>
                        <w:rFonts w:ascii="Arial"/>
                        <w:b/>
                        <w:color w:val="008FDD"/>
                        <w:spacing w:val="10"/>
                        <w:sz w:val="12"/>
                      </w:rPr>
                      <w:t>CONNEC</w:t>
                    </w:r>
                    <w:r>
                      <w:rPr>
                        <w:rFonts w:ascii="Arial"/>
                        <w:b/>
                        <w:color w:val="008FDD"/>
                        <w:spacing w:val="-14"/>
                        <w:sz w:val="12"/>
                      </w:rPr>
                      <w:t> </w:t>
                    </w:r>
                    <w:r>
                      <w:rPr>
                        <w:rFonts w:ascii="Arial"/>
                        <w:b/>
                        <w:color w:val="008FDD"/>
                        <w:sz w:val="12"/>
                      </w:rPr>
                      <w:t>T</w:t>
                    </w:r>
                    <w:r>
                      <w:rPr>
                        <w:rFonts w:ascii="Arial"/>
                        <w:b/>
                        <w:color w:val="008FDD"/>
                        <w:spacing w:val="-15"/>
                        <w:sz w:val="12"/>
                      </w:rPr>
                      <w:t> </w:t>
                    </w:r>
                    <w:r>
                      <w:rPr>
                        <w:rFonts w:ascii="Arial"/>
                        <w:b/>
                        <w:color w:val="008FDD"/>
                        <w:sz w:val="12"/>
                      </w:rPr>
                      <w:t>ING</w:t>
                    </w:r>
                    <w:r>
                      <w:rPr>
                        <w:rFonts w:ascii="Arial"/>
                        <w:b/>
                        <w:color w:val="008FDD"/>
                        <w:spacing w:val="49"/>
                        <w:sz w:val="12"/>
                      </w:rPr>
                      <w:t> </w:t>
                    </w:r>
                    <w:r>
                      <w:rPr>
                        <w:rFonts w:ascii="Arial"/>
                        <w:b/>
                        <w:color w:val="008FDD"/>
                        <w:sz w:val="12"/>
                      </w:rPr>
                      <w:t>T</w:t>
                    </w:r>
                    <w:r>
                      <w:rPr>
                        <w:rFonts w:ascii="Arial"/>
                        <w:b/>
                        <w:color w:val="008FDD"/>
                        <w:spacing w:val="-15"/>
                        <w:sz w:val="12"/>
                      </w:rPr>
                      <w:t> </w:t>
                    </w:r>
                    <w:r>
                      <w:rPr>
                        <w:rFonts w:ascii="Arial"/>
                        <w:b/>
                        <w:color w:val="008FDD"/>
                        <w:sz w:val="12"/>
                      </w:rPr>
                      <w:t>O</w:t>
                    </w:r>
                    <w:r>
                      <w:rPr>
                        <w:rFonts w:ascii="Arial"/>
                        <w:b/>
                        <w:color w:val="008FDD"/>
                        <w:spacing w:val="50"/>
                        <w:sz w:val="12"/>
                      </w:rPr>
                      <w:t> </w:t>
                    </w:r>
                    <w:r>
                      <w:rPr>
                        <w:rFonts w:ascii="Arial"/>
                        <w:b/>
                        <w:color w:val="008FDD"/>
                        <w:spacing w:val="11"/>
                        <w:sz w:val="12"/>
                      </w:rPr>
                      <w:t>COMPET</w:t>
                    </w:r>
                    <w:r>
                      <w:rPr>
                        <w:rFonts w:ascii="Arial"/>
                        <w:b/>
                        <w:color w:val="008FDD"/>
                        <w:spacing w:val="-16"/>
                        <w:sz w:val="12"/>
                      </w:rPr>
                      <w:t> </w:t>
                    </w:r>
                    <w:r>
                      <w:rPr>
                        <w:rFonts w:ascii="Arial"/>
                        <w:b/>
                        <w:color w:val="008FDD"/>
                        <w:sz w:val="12"/>
                      </w:rPr>
                      <w:t>E</w:t>
                    </w:r>
                    <w:r>
                      <w:rPr>
                        <w:rFonts w:ascii="Arial"/>
                        <w:b/>
                        <w:color w:val="008FDD"/>
                        <w:spacing w:val="46"/>
                        <w:w w:val="110"/>
                        <w:sz w:val="12"/>
                      </w:rPr>
                      <w:t> </w:t>
                    </w:r>
                    <w:r>
                      <w:rPr>
                        <w:rFonts w:ascii="Arial"/>
                        <w:b/>
                        <w:color w:val="008FDD"/>
                        <w:w w:val="110"/>
                        <w:sz w:val="12"/>
                      </w:rPr>
                      <w:t>2023</w:t>
                    </w:r>
                    <w:r>
                      <w:rPr>
                        <w:rFonts w:ascii="Arial"/>
                        <w:b/>
                        <w:color w:val="008FDD"/>
                        <w:spacing w:val="43"/>
                        <w:w w:val="110"/>
                        <w:sz w:val="12"/>
                      </w:rPr>
                      <w:t> </w:t>
                    </w:r>
                    <w:r>
                      <w:rPr>
                        <w:rFonts w:ascii="Arial"/>
                        <w:color w:val="008FDD"/>
                        <w:sz w:val="12"/>
                      </w:rPr>
                      <w:t>T</w:t>
                    </w:r>
                    <w:r>
                      <w:rPr>
                        <w:rFonts w:ascii="Arial"/>
                        <w:color w:val="008FDD"/>
                        <w:spacing w:val="-15"/>
                        <w:sz w:val="12"/>
                      </w:rPr>
                      <w:t> </w:t>
                    </w:r>
                    <w:r>
                      <w:rPr>
                        <w:rFonts w:ascii="Arial"/>
                        <w:color w:val="008FDD"/>
                        <w:sz w:val="12"/>
                      </w:rPr>
                      <w:t>R</w:t>
                    </w:r>
                    <w:r>
                      <w:rPr>
                        <w:rFonts w:ascii="Arial"/>
                        <w:color w:val="008FDD"/>
                        <w:spacing w:val="-14"/>
                        <w:sz w:val="12"/>
                      </w:rPr>
                      <w:t> </w:t>
                    </w:r>
                    <w:r>
                      <w:rPr>
                        <w:rFonts w:ascii="Arial"/>
                        <w:color w:val="008FDD"/>
                        <w:sz w:val="12"/>
                      </w:rPr>
                      <w:t>A</w:t>
                    </w:r>
                    <w:r>
                      <w:rPr>
                        <w:rFonts w:ascii="Arial"/>
                        <w:color w:val="008FDD"/>
                        <w:spacing w:val="-15"/>
                        <w:sz w:val="12"/>
                      </w:rPr>
                      <w:t> </w:t>
                    </w:r>
                    <w:r>
                      <w:rPr>
                        <w:rFonts w:ascii="Arial"/>
                        <w:color w:val="008FDD"/>
                        <w:sz w:val="12"/>
                      </w:rPr>
                      <w:t>DE</w:t>
                    </w:r>
                    <w:r>
                      <w:rPr>
                        <w:rFonts w:ascii="Arial"/>
                        <w:color w:val="008FDD"/>
                        <w:spacing w:val="47"/>
                        <w:sz w:val="12"/>
                      </w:rPr>
                      <w:t> </w:t>
                    </w:r>
                    <w:r>
                      <w:rPr>
                        <w:rFonts w:ascii="Arial"/>
                        <w:color w:val="008FDD"/>
                        <w:sz w:val="12"/>
                      </w:rPr>
                      <w:t>L</w:t>
                    </w:r>
                    <w:r>
                      <w:rPr>
                        <w:rFonts w:ascii="Arial"/>
                        <w:color w:val="008FDD"/>
                        <w:spacing w:val="-16"/>
                        <w:sz w:val="12"/>
                      </w:rPr>
                      <w:t> </w:t>
                    </w:r>
                    <w:r>
                      <w:rPr>
                        <w:rFonts w:ascii="Arial"/>
                        <w:color w:val="008FDD"/>
                        <w:sz w:val="12"/>
                      </w:rPr>
                      <w:t>O</w:t>
                    </w:r>
                    <w:r>
                      <w:rPr>
                        <w:rFonts w:ascii="Arial"/>
                        <w:color w:val="008FDD"/>
                        <w:spacing w:val="-16"/>
                        <w:sz w:val="12"/>
                      </w:rPr>
                      <w:t> </w:t>
                    </w:r>
                    <w:r>
                      <w:rPr>
                        <w:rFonts w:ascii="Arial"/>
                        <w:color w:val="008FDD"/>
                        <w:sz w:val="12"/>
                      </w:rPr>
                      <w:t>GIS</w:t>
                    </w:r>
                    <w:r>
                      <w:rPr>
                        <w:rFonts w:ascii="Arial"/>
                        <w:color w:val="008FDD"/>
                        <w:spacing w:val="-14"/>
                        <w:sz w:val="12"/>
                      </w:rPr>
                      <w:t> </w:t>
                    </w:r>
                    <w:r>
                      <w:rPr>
                        <w:rFonts w:ascii="Arial"/>
                        <w:color w:val="008FDD"/>
                        <w:sz w:val="12"/>
                      </w:rPr>
                      <w:t>T</w:t>
                    </w:r>
                    <w:r>
                      <w:rPr>
                        <w:rFonts w:ascii="Arial"/>
                        <w:color w:val="008FDD"/>
                        <w:spacing w:val="-14"/>
                        <w:sz w:val="12"/>
                      </w:rPr>
                      <w:t> </w:t>
                    </w:r>
                    <w:r>
                      <w:rPr>
                        <w:rFonts w:ascii="Arial"/>
                        <w:color w:val="008FDD"/>
                        <w:sz w:val="12"/>
                      </w:rPr>
                      <w:t>IC</w:t>
                    </w:r>
                    <w:r>
                      <w:rPr>
                        <w:rFonts w:ascii="Arial"/>
                        <w:color w:val="008FDD"/>
                        <w:spacing w:val="-14"/>
                        <w:sz w:val="12"/>
                      </w:rPr>
                      <w:t> </w:t>
                    </w:r>
                    <w:r>
                      <w:rPr>
                        <w:rFonts w:ascii="Arial"/>
                        <w:color w:val="008FDD"/>
                        <w:sz w:val="12"/>
                      </w:rPr>
                      <w:t>S</w:t>
                    </w:r>
                    <w:r>
                      <w:rPr>
                        <w:rFonts w:ascii="Arial"/>
                        <w:color w:val="008FDD"/>
                        <w:spacing w:val="47"/>
                        <w:sz w:val="12"/>
                      </w:rPr>
                      <w:t> </w:t>
                    </w:r>
                    <w:r>
                      <w:rPr>
                        <w:rFonts w:ascii="Arial"/>
                        <w:color w:val="008FDD"/>
                        <w:sz w:val="12"/>
                      </w:rPr>
                      <w:t>IN</w:t>
                    </w:r>
                    <w:r>
                      <w:rPr>
                        <w:rFonts w:ascii="Arial"/>
                        <w:color w:val="008FDD"/>
                        <w:spacing w:val="46"/>
                        <w:sz w:val="12"/>
                      </w:rPr>
                      <w:t> </w:t>
                    </w:r>
                    <w:r>
                      <w:rPr>
                        <w:rFonts w:ascii="Arial"/>
                        <w:color w:val="008FDD"/>
                        <w:sz w:val="12"/>
                      </w:rPr>
                      <w:t>A</w:t>
                    </w:r>
                    <w:r>
                      <w:rPr>
                        <w:rFonts w:ascii="Arial"/>
                        <w:color w:val="008FDD"/>
                        <w:spacing w:val="-15"/>
                        <w:sz w:val="12"/>
                      </w:rPr>
                      <w:t> </w:t>
                    </w:r>
                    <w:r>
                      <w:rPr>
                        <w:rFonts w:ascii="Arial"/>
                        <w:color w:val="008FDD"/>
                        <w:sz w:val="12"/>
                      </w:rPr>
                      <w:t>N</w:t>
                    </w:r>
                    <w:r>
                      <w:rPr>
                        <w:rFonts w:ascii="Arial"/>
                        <w:color w:val="008FDD"/>
                        <w:spacing w:val="47"/>
                        <w:sz w:val="12"/>
                      </w:rPr>
                      <w:t> </w:t>
                    </w:r>
                    <w:r>
                      <w:rPr>
                        <w:rFonts w:ascii="Arial"/>
                        <w:color w:val="008FDD"/>
                        <w:sz w:val="12"/>
                      </w:rPr>
                      <w:t>UNC</w:t>
                    </w:r>
                    <w:r>
                      <w:rPr>
                        <w:rFonts w:ascii="Arial"/>
                        <w:color w:val="008FDD"/>
                        <w:spacing w:val="-15"/>
                        <w:sz w:val="12"/>
                      </w:rPr>
                      <w:t> </w:t>
                    </w:r>
                    <w:r>
                      <w:rPr>
                        <w:rFonts w:ascii="Arial"/>
                        <w:color w:val="008FDD"/>
                        <w:sz w:val="12"/>
                      </w:rPr>
                      <w:t>ER</w:t>
                    </w:r>
                    <w:r>
                      <w:rPr>
                        <w:rFonts w:ascii="Arial"/>
                        <w:color w:val="008FDD"/>
                        <w:spacing w:val="-14"/>
                        <w:sz w:val="12"/>
                      </w:rPr>
                      <w:t> </w:t>
                    </w:r>
                    <w:r>
                      <w:rPr>
                        <w:rFonts w:ascii="Arial"/>
                        <w:color w:val="008FDD"/>
                        <w:sz w:val="12"/>
                      </w:rPr>
                      <w:t>TA</w:t>
                    </w:r>
                    <w:r>
                      <w:rPr>
                        <w:rFonts w:ascii="Arial"/>
                        <w:color w:val="008FDD"/>
                        <w:spacing w:val="-14"/>
                        <w:sz w:val="12"/>
                      </w:rPr>
                      <w:t> </w:t>
                    </w:r>
                    <w:r>
                      <w:rPr>
                        <w:rFonts w:ascii="Arial"/>
                        <w:color w:val="008FDD"/>
                        <w:sz w:val="12"/>
                      </w:rPr>
                      <w:t>IN</w:t>
                    </w:r>
                    <w:r>
                      <w:rPr>
                        <w:rFonts w:ascii="Arial"/>
                        <w:color w:val="008FDD"/>
                        <w:spacing w:val="46"/>
                        <w:sz w:val="12"/>
                      </w:rPr>
                      <w:t> </w:t>
                    </w:r>
                    <w:r>
                      <w:rPr>
                        <w:rFonts w:ascii="Arial"/>
                        <w:color w:val="008FDD"/>
                        <w:sz w:val="12"/>
                      </w:rPr>
                      <w:t>GL</w:t>
                    </w:r>
                    <w:r>
                      <w:rPr>
                        <w:rFonts w:ascii="Arial"/>
                        <w:color w:val="008FDD"/>
                        <w:spacing w:val="-16"/>
                        <w:sz w:val="12"/>
                      </w:rPr>
                      <w:t> </w:t>
                    </w:r>
                    <w:r>
                      <w:rPr>
                        <w:rFonts w:ascii="Arial"/>
                        <w:color w:val="008FDD"/>
                        <w:spacing w:val="10"/>
                        <w:sz w:val="12"/>
                      </w:rPr>
                      <w:t>OBAL</w:t>
                    </w:r>
                    <w:r>
                      <w:rPr>
                        <w:rFonts w:ascii="Arial"/>
                        <w:color w:val="008FDD"/>
                        <w:spacing w:val="46"/>
                        <w:sz w:val="12"/>
                      </w:rPr>
                      <w:t> </w:t>
                    </w:r>
                    <w:r>
                      <w:rPr>
                        <w:rFonts w:ascii="Arial"/>
                        <w:color w:val="008FDD"/>
                        <w:sz w:val="12"/>
                      </w:rPr>
                      <w:t>EC</w:t>
                    </w:r>
                    <w:r>
                      <w:rPr>
                        <w:rFonts w:ascii="Arial"/>
                        <w:color w:val="008FDD"/>
                        <w:spacing w:val="-14"/>
                        <w:sz w:val="12"/>
                      </w:rPr>
                      <w:t> </w:t>
                    </w:r>
                    <w:r>
                      <w:rPr>
                        <w:rFonts w:ascii="Arial"/>
                        <w:color w:val="008FDD"/>
                        <w:spacing w:val="9"/>
                        <w:sz w:val="12"/>
                      </w:rPr>
                      <w:t>ONOMY</w:t>
                    </w:r>
                    <w:r>
                      <w:rPr>
                        <w:rFonts w:ascii="Arial"/>
                        <w:color w:val="008FDD"/>
                        <w:sz w:val="12"/>
                      </w:rPr>
                      <w:tab/>
                    </w:r>
                    <w:r>
                      <w:rPr>
                        <w:rFonts w:ascii="Arial"/>
                        <w:b/>
                        <w:color w:val="231F20"/>
                        <w:spacing w:val="-5"/>
                        <w:sz w:val="15"/>
                      </w:rPr>
                      <w:fldChar w:fldCharType="begin"/>
                    </w:r>
                    <w:r>
                      <w:rPr>
                        <w:rFonts w:ascii="Arial"/>
                        <w:b/>
                        <w:color w:val="231F20"/>
                        <w:spacing w:val="-5"/>
                        <w:sz w:val="15"/>
                      </w:rPr>
                      <w:instrText> PAGE  \* roman </w:instrText>
                    </w:r>
                    <w:r>
                      <w:rPr>
                        <w:rFonts w:ascii="Arial"/>
                        <w:b/>
                        <w:color w:val="231F20"/>
                        <w:spacing w:val="-5"/>
                        <w:sz w:val="15"/>
                      </w:rPr>
                      <w:fldChar w:fldCharType="separate"/>
                    </w:r>
                    <w:r>
                      <w:rPr>
                        <w:rFonts w:ascii="Arial"/>
                        <w:b/>
                        <w:color w:val="231F20"/>
                        <w:spacing w:val="-5"/>
                        <w:sz w:val="15"/>
                      </w:rPr>
                      <w:t>xi</w:t>
                    </w:r>
                    <w:r>
                      <w:rPr>
                        <w:rFonts w:ascii="Arial"/>
                        <w:b/>
                        <w:color w:val="231F20"/>
                        <w:spacing w:val="-5"/>
                        <w:sz w:val="15"/>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30496">
              <wp:simplePos x="0" y="0"/>
              <wp:positionH relativeFrom="page">
                <wp:posOffset>762000</wp:posOffset>
              </wp:positionH>
              <wp:positionV relativeFrom="page">
                <wp:posOffset>1181100</wp:posOffset>
              </wp:positionV>
              <wp:extent cx="1524000" cy="17145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93pt;width:120pt;height:13.5pt;mso-position-horizontal-relative:page;mso-position-vertical-relative:page;z-index:-36585984" id="docshape145" filled="true" fillcolor="#d1d3d4" stroked="false">
              <v:fill type="solid"/>
              <w10:wrap type="none"/>
            </v:rect>
          </w:pict>
        </mc:Fallback>
      </mc:AlternateContent>
    </w:r>
    <w:r>
      <w:rPr/>
      <mc:AlternateContent>
        <mc:Choice Requires="wps">
          <w:drawing>
            <wp:anchor distT="0" distB="0" distL="0" distR="0" allowOverlap="1" layoutInCell="1" locked="0" behindDoc="1" simplePos="0" relativeHeight="466731008">
              <wp:simplePos x="0" y="0"/>
              <wp:positionH relativeFrom="page">
                <wp:posOffset>2438400</wp:posOffset>
              </wp:positionH>
              <wp:positionV relativeFrom="page">
                <wp:posOffset>1181100</wp:posOffset>
              </wp:positionV>
              <wp:extent cx="4876800" cy="17145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93pt;width:384pt;height:13.5pt;mso-position-horizontal-relative:page;mso-position-vertical-relative:page;z-index:-36585472" id="docshape146" filled="true" fillcolor="#c9dcf3" stroked="false">
              <v:fill type="solid"/>
              <w10:wrap type="none"/>
            </v:rect>
          </w:pict>
        </mc:Fallback>
      </mc:AlternateContent>
    </w:r>
    <w:r>
      <w:rPr/>
      <mc:AlternateContent>
        <mc:Choice Requires="wps">
          <w:drawing>
            <wp:anchor distT="0" distB="0" distL="0" distR="0" allowOverlap="1" layoutInCell="1" locked="0" behindDoc="1" simplePos="0" relativeHeight="466731520">
              <wp:simplePos x="0" y="0"/>
              <wp:positionH relativeFrom="page">
                <wp:posOffset>2425700</wp:posOffset>
              </wp:positionH>
              <wp:positionV relativeFrom="page">
                <wp:posOffset>746505</wp:posOffset>
              </wp:positionV>
              <wp:extent cx="1793875" cy="339725"/>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1793875" cy="339725"/>
                      </a:xfrm>
                      <a:prstGeom prst="rect">
                        <a:avLst/>
                      </a:prstGeom>
                    </wps:spPr>
                    <wps:txbx>
                      <w:txbxContent>
                        <w:p>
                          <w:pPr>
                            <w:spacing w:before="39"/>
                            <w:ind w:left="20" w:right="0" w:firstLine="0"/>
                            <w:jc w:val="left"/>
                            <w:rPr>
                              <w:rFonts w:ascii="Arial"/>
                              <w:b/>
                              <w:sz w:val="40"/>
                            </w:rPr>
                          </w:pPr>
                          <w:r>
                            <w:rPr>
                              <w:rFonts w:ascii="Arial"/>
                              <w:b/>
                              <w:color w:val="231F20"/>
                              <w:spacing w:val="-2"/>
                              <w:w w:val="105"/>
                              <w:sz w:val="40"/>
                            </w:rPr>
                            <w:t>Abbreviations</w:t>
                          </w:r>
                        </w:p>
                      </w:txbxContent>
                    </wps:txbx>
                    <wps:bodyPr wrap="square" lIns="0" tIns="0" rIns="0" bIns="0" rtlCol="0">
                      <a:noAutofit/>
                    </wps:bodyPr>
                  </wps:wsp>
                </a:graphicData>
              </a:graphic>
            </wp:anchor>
          </w:drawing>
        </mc:Choice>
        <mc:Fallback>
          <w:pict>
            <v:shape style="position:absolute;margin-left:191pt;margin-top:58.779999pt;width:141.25pt;height:26.75pt;mso-position-horizontal-relative:page;mso-position-vertical-relative:page;z-index:-36584960" type="#_x0000_t202" id="docshape147" filled="false" stroked="false">
              <v:textbox inset="0,0,0,0">
                <w:txbxContent>
                  <w:p>
                    <w:pPr>
                      <w:spacing w:before="39"/>
                      <w:ind w:left="20" w:right="0" w:firstLine="0"/>
                      <w:jc w:val="left"/>
                      <w:rPr>
                        <w:rFonts w:ascii="Arial"/>
                        <w:b/>
                        <w:sz w:val="40"/>
                      </w:rPr>
                    </w:pPr>
                    <w:r>
                      <w:rPr>
                        <w:rFonts w:ascii="Arial"/>
                        <w:b/>
                        <w:color w:val="231F20"/>
                        <w:spacing w:val="-2"/>
                        <w:w w:val="105"/>
                        <w:sz w:val="40"/>
                      </w:rPr>
                      <w:t>Abbreviations</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1248">
              <wp:simplePos x="0" y="0"/>
              <wp:positionH relativeFrom="page">
                <wp:posOffset>444500</wp:posOffset>
              </wp:positionH>
              <wp:positionV relativeFrom="page">
                <wp:posOffset>256438</wp:posOffset>
              </wp:positionV>
              <wp:extent cx="751840" cy="118745"/>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751840" cy="118745"/>
                      </a:xfrm>
                      <a:prstGeom prst="rect">
                        <a:avLst/>
                      </a:prstGeom>
                    </wps:spPr>
                    <wps:txbx>
                      <w:txbxContent>
                        <w:p>
                          <w:pPr>
                            <w:spacing w:before="23"/>
                            <w:ind w:left="20" w:right="0" w:firstLine="0"/>
                            <w:jc w:val="left"/>
                            <w:rPr>
                              <w:rFonts w:ascii="Arial"/>
                              <w:sz w:val="12"/>
                            </w:rPr>
                          </w:pPr>
                          <w:r>
                            <w:rPr>
                              <w:rFonts w:ascii="Arial"/>
                              <w:color w:val="008FDD"/>
                              <w:sz w:val="12"/>
                            </w:rPr>
                            <w:t>Executive</w:t>
                          </w:r>
                          <w:r>
                            <w:rPr>
                              <w:rFonts w:ascii="Arial"/>
                              <w:color w:val="008FDD"/>
                              <w:spacing w:val="31"/>
                              <w:sz w:val="12"/>
                            </w:rPr>
                            <w:t> </w:t>
                          </w:r>
                          <w:r>
                            <w:rPr>
                              <w:rFonts w:ascii="Arial"/>
                              <w:color w:val="008FDD"/>
                              <w:spacing w:val="-2"/>
                              <w:sz w:val="12"/>
                            </w:rPr>
                            <w:t>summary</w:t>
                          </w:r>
                        </w:p>
                      </w:txbxContent>
                    </wps:txbx>
                    <wps:bodyPr wrap="square" lIns="0" tIns="0" rIns="0" bIns="0" rtlCol="0">
                      <a:noAutofit/>
                    </wps:bodyPr>
                  </wps:wsp>
                </a:graphicData>
              </a:graphic>
            </wp:anchor>
          </w:drawing>
        </mc:Choice>
        <mc:Fallback>
          <w:pict>
            <v:shape style="position:absolute;margin-left:35pt;margin-top:20.191999pt;width:59.2pt;height:9.35pt;mso-position-horizontal-relative:page;mso-position-vertical-relative:page;z-index:-36575232" type="#_x0000_t202" id="docshape195" filled="false" stroked="false">
              <v:textbox inset="0,0,0,0">
                <w:txbxContent>
                  <w:p>
                    <w:pPr>
                      <w:spacing w:before="23"/>
                      <w:ind w:left="20" w:right="0" w:firstLine="0"/>
                      <w:jc w:val="left"/>
                      <w:rPr>
                        <w:rFonts w:ascii="Arial"/>
                        <w:sz w:val="12"/>
                      </w:rPr>
                    </w:pPr>
                    <w:r>
                      <w:rPr>
                        <w:rFonts w:ascii="Arial"/>
                        <w:color w:val="008FDD"/>
                        <w:sz w:val="12"/>
                      </w:rPr>
                      <w:t>Executive</w:t>
                    </w:r>
                    <w:r>
                      <w:rPr>
                        <w:rFonts w:ascii="Arial"/>
                        <w:color w:val="008FDD"/>
                        <w:spacing w:val="31"/>
                        <w:sz w:val="12"/>
                      </w:rPr>
                      <w:t> </w:t>
                    </w:r>
                    <w:r>
                      <w:rPr>
                        <w:rFonts w:ascii="Arial"/>
                        <w:color w:val="008FDD"/>
                        <w:spacing w:val="-2"/>
                        <w:sz w:val="12"/>
                      </w:rPr>
                      <w:t>summary</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4320">
              <wp:simplePos x="0" y="0"/>
              <wp:positionH relativeFrom="page">
                <wp:posOffset>444500</wp:posOffset>
              </wp:positionH>
              <wp:positionV relativeFrom="page">
                <wp:posOffset>256438</wp:posOffset>
              </wp:positionV>
              <wp:extent cx="3554095" cy="118745"/>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3554095" cy="118745"/>
                      </a:xfrm>
                      <a:prstGeom prst="rect">
                        <a:avLst/>
                      </a:prstGeom>
                    </wps:spPr>
                    <wps:txbx>
                      <w:txbxContent>
                        <w:p>
                          <w:pPr>
                            <w:spacing w:before="23"/>
                            <w:ind w:left="20" w:right="0" w:firstLine="0"/>
                            <w:jc w:val="left"/>
                            <w:rPr>
                              <w:rFonts w:ascii="Arial"/>
                              <w:sz w:val="12"/>
                            </w:rPr>
                          </w:pPr>
                          <w:r>
                            <w:rPr>
                              <w:rFonts w:ascii="Arial"/>
                              <w:color w:val="008FDD"/>
                              <w:w w:val="105"/>
                              <w:sz w:val="12"/>
                            </w:rPr>
                            <w:t>Chapter</w:t>
                          </w:r>
                          <w:r>
                            <w:rPr>
                              <w:rFonts w:ascii="Arial"/>
                              <w:color w:val="008FDD"/>
                              <w:spacing w:val="19"/>
                              <w:w w:val="105"/>
                              <w:sz w:val="12"/>
                            </w:rPr>
                            <w:t> </w:t>
                          </w:r>
                          <w:r>
                            <w:rPr>
                              <w:rFonts w:ascii="Arial"/>
                              <w:color w:val="008FDD"/>
                              <w:w w:val="105"/>
                              <w:sz w:val="12"/>
                            </w:rPr>
                            <w:t>1</w:t>
                          </w:r>
                          <w:r>
                            <w:rPr>
                              <w:rFonts w:ascii="Arial"/>
                              <w:color w:val="008FDD"/>
                              <w:spacing w:val="43"/>
                              <w:w w:val="105"/>
                              <w:sz w:val="12"/>
                            </w:rPr>
                            <w:t>  </w:t>
                          </w:r>
                          <w:r>
                            <w:rPr>
                              <w:rFonts w:ascii="Arial"/>
                              <w:color w:val="008FDD"/>
                              <w:w w:val="105"/>
                              <w:sz w:val="12"/>
                            </w:rPr>
                            <w:t>Key</w:t>
                          </w:r>
                          <w:r>
                            <w:rPr>
                              <w:rFonts w:ascii="Arial"/>
                              <w:color w:val="008FDD"/>
                              <w:spacing w:val="19"/>
                              <w:w w:val="105"/>
                              <w:sz w:val="12"/>
                            </w:rPr>
                            <w:t> </w:t>
                          </w:r>
                          <w:r>
                            <w:rPr>
                              <w:rFonts w:ascii="Arial"/>
                              <w:color w:val="008FDD"/>
                              <w:w w:val="105"/>
                              <w:sz w:val="12"/>
                            </w:rPr>
                            <w:t>changes</w:t>
                          </w:r>
                          <w:r>
                            <w:rPr>
                              <w:rFonts w:ascii="Arial"/>
                              <w:color w:val="008FDD"/>
                              <w:spacing w:val="19"/>
                              <w:w w:val="105"/>
                              <w:sz w:val="12"/>
                            </w:rPr>
                            <w:t> </w:t>
                          </w:r>
                          <w:r>
                            <w:rPr>
                              <w:rFonts w:ascii="Arial"/>
                              <w:color w:val="008FDD"/>
                              <w:w w:val="105"/>
                              <w:sz w:val="12"/>
                            </w:rPr>
                            <w:t>in</w:t>
                          </w:r>
                          <w:r>
                            <w:rPr>
                              <w:rFonts w:ascii="Arial"/>
                              <w:color w:val="008FDD"/>
                              <w:spacing w:val="19"/>
                              <w:w w:val="105"/>
                              <w:sz w:val="12"/>
                            </w:rPr>
                            <w:t> </w:t>
                          </w:r>
                          <w:r>
                            <w:rPr>
                              <w:rFonts w:ascii="Arial"/>
                              <w:color w:val="008FDD"/>
                              <w:w w:val="105"/>
                              <w:sz w:val="12"/>
                            </w:rPr>
                            <w:t>global</w:t>
                          </w:r>
                          <w:r>
                            <w:rPr>
                              <w:rFonts w:ascii="Arial"/>
                              <w:color w:val="008FDD"/>
                              <w:spacing w:val="20"/>
                              <w:w w:val="105"/>
                              <w:sz w:val="12"/>
                            </w:rPr>
                            <w:t> </w:t>
                          </w:r>
                          <w:r>
                            <w:rPr>
                              <w:rFonts w:ascii="Arial"/>
                              <w:color w:val="008FDD"/>
                              <w:w w:val="105"/>
                              <w:sz w:val="12"/>
                            </w:rPr>
                            <w:t>supply</w:t>
                          </w:r>
                          <w:r>
                            <w:rPr>
                              <w:rFonts w:ascii="Arial"/>
                              <w:color w:val="008FDD"/>
                              <w:spacing w:val="19"/>
                              <w:w w:val="105"/>
                              <w:sz w:val="12"/>
                            </w:rPr>
                            <w:t> </w:t>
                          </w:r>
                          <w:r>
                            <w:rPr>
                              <w:rFonts w:ascii="Arial"/>
                              <w:color w:val="008FDD"/>
                              <w:w w:val="105"/>
                              <w:sz w:val="12"/>
                            </w:rPr>
                            <w:t>chains</w:t>
                          </w:r>
                          <w:r>
                            <w:rPr>
                              <w:rFonts w:ascii="Arial"/>
                              <w:color w:val="008FDD"/>
                              <w:spacing w:val="19"/>
                              <w:w w:val="105"/>
                              <w:sz w:val="12"/>
                            </w:rPr>
                            <w:t> </w:t>
                          </w:r>
                          <w:r>
                            <w:rPr>
                              <w:rFonts w:ascii="Arial"/>
                              <w:color w:val="008FDD"/>
                              <w:w w:val="105"/>
                              <w:sz w:val="12"/>
                            </w:rPr>
                            <w:t>since</w:t>
                          </w:r>
                          <w:r>
                            <w:rPr>
                              <w:rFonts w:ascii="Arial"/>
                              <w:color w:val="008FDD"/>
                              <w:spacing w:val="19"/>
                              <w:w w:val="105"/>
                              <w:sz w:val="12"/>
                            </w:rPr>
                            <w:t> </w:t>
                          </w:r>
                          <w:r>
                            <w:rPr>
                              <w:rFonts w:ascii="Arial"/>
                              <w:color w:val="008FDD"/>
                              <w:w w:val="105"/>
                              <w:sz w:val="12"/>
                            </w:rPr>
                            <w:t>2018</w:t>
                          </w:r>
                          <w:r>
                            <w:rPr>
                              <w:rFonts w:ascii="Arial"/>
                              <w:color w:val="008FDD"/>
                              <w:spacing w:val="19"/>
                              <w:w w:val="105"/>
                              <w:sz w:val="12"/>
                            </w:rPr>
                            <w:t> </w:t>
                          </w:r>
                          <w:r>
                            <w:rPr>
                              <w:rFonts w:ascii="Arial"/>
                              <w:color w:val="008FDD"/>
                              <w:w w:val="105"/>
                              <w:sz w:val="12"/>
                            </w:rPr>
                            <w:t>and</w:t>
                          </w:r>
                          <w:r>
                            <w:rPr>
                              <w:rFonts w:ascii="Arial"/>
                              <w:color w:val="008FDD"/>
                              <w:spacing w:val="19"/>
                              <w:w w:val="105"/>
                              <w:sz w:val="12"/>
                            </w:rPr>
                            <w:t> </w:t>
                          </w:r>
                          <w:r>
                            <w:rPr>
                              <w:rFonts w:ascii="Arial"/>
                              <w:color w:val="008FDD"/>
                              <w:w w:val="105"/>
                              <w:sz w:val="12"/>
                            </w:rPr>
                            <w:t>implications</w:t>
                          </w:r>
                          <w:r>
                            <w:rPr>
                              <w:rFonts w:ascii="Arial"/>
                              <w:color w:val="008FDD"/>
                              <w:spacing w:val="20"/>
                              <w:w w:val="105"/>
                              <w:sz w:val="12"/>
                            </w:rPr>
                            <w:t> </w:t>
                          </w:r>
                          <w:r>
                            <w:rPr>
                              <w:rFonts w:ascii="Arial"/>
                              <w:color w:val="008FDD"/>
                              <w:w w:val="105"/>
                              <w:sz w:val="12"/>
                            </w:rPr>
                            <w:t>for</w:t>
                          </w:r>
                          <w:r>
                            <w:rPr>
                              <w:rFonts w:ascii="Arial"/>
                              <w:color w:val="008FDD"/>
                              <w:spacing w:val="19"/>
                              <w:w w:val="105"/>
                              <w:sz w:val="12"/>
                            </w:rPr>
                            <w:t> </w:t>
                          </w:r>
                          <w:r>
                            <w:rPr>
                              <w:rFonts w:ascii="Arial"/>
                              <w:color w:val="008FDD"/>
                              <w:w w:val="105"/>
                              <w:sz w:val="12"/>
                            </w:rPr>
                            <w:t>the</w:t>
                          </w:r>
                          <w:r>
                            <w:rPr>
                              <w:rFonts w:ascii="Arial"/>
                              <w:color w:val="008FDD"/>
                              <w:spacing w:val="19"/>
                              <w:w w:val="105"/>
                              <w:sz w:val="12"/>
                            </w:rPr>
                            <w:t> </w:t>
                          </w:r>
                          <w:r>
                            <w:rPr>
                              <w:rFonts w:ascii="Arial"/>
                              <w:color w:val="008FDD"/>
                              <w:w w:val="105"/>
                              <w:sz w:val="12"/>
                            </w:rPr>
                            <w:t>2023</w:t>
                          </w:r>
                          <w:r>
                            <w:rPr>
                              <w:rFonts w:ascii="Arial"/>
                              <w:color w:val="008FDD"/>
                              <w:spacing w:val="19"/>
                              <w:w w:val="105"/>
                              <w:sz w:val="12"/>
                            </w:rPr>
                            <w:t> </w:t>
                          </w:r>
                          <w:r>
                            <w:rPr>
                              <w:rFonts w:ascii="Arial"/>
                              <w:color w:val="008FDD"/>
                              <w:spacing w:val="-5"/>
                              <w:w w:val="105"/>
                              <w:sz w:val="12"/>
                            </w:rPr>
                            <w:t>LPI</w:t>
                          </w:r>
                        </w:p>
                      </w:txbxContent>
                    </wps:txbx>
                    <wps:bodyPr wrap="square" lIns="0" tIns="0" rIns="0" bIns="0" rtlCol="0">
                      <a:noAutofit/>
                    </wps:bodyPr>
                  </wps:wsp>
                </a:graphicData>
              </a:graphic>
            </wp:anchor>
          </w:drawing>
        </mc:Choice>
        <mc:Fallback>
          <w:pict>
            <v:shape style="position:absolute;margin-left:35pt;margin-top:20.191999pt;width:279.850pt;height:9.35pt;mso-position-horizontal-relative:page;mso-position-vertical-relative:page;z-index:-36572160" type="#_x0000_t202" id="docshape321" filled="false" stroked="false">
              <v:textbox inset="0,0,0,0">
                <w:txbxContent>
                  <w:p>
                    <w:pPr>
                      <w:spacing w:before="23"/>
                      <w:ind w:left="20" w:right="0" w:firstLine="0"/>
                      <w:jc w:val="left"/>
                      <w:rPr>
                        <w:rFonts w:ascii="Arial"/>
                        <w:sz w:val="12"/>
                      </w:rPr>
                    </w:pPr>
                    <w:r>
                      <w:rPr>
                        <w:rFonts w:ascii="Arial"/>
                        <w:color w:val="008FDD"/>
                        <w:w w:val="105"/>
                        <w:sz w:val="12"/>
                      </w:rPr>
                      <w:t>Chapter</w:t>
                    </w:r>
                    <w:r>
                      <w:rPr>
                        <w:rFonts w:ascii="Arial"/>
                        <w:color w:val="008FDD"/>
                        <w:spacing w:val="19"/>
                        <w:w w:val="105"/>
                        <w:sz w:val="12"/>
                      </w:rPr>
                      <w:t> </w:t>
                    </w:r>
                    <w:r>
                      <w:rPr>
                        <w:rFonts w:ascii="Arial"/>
                        <w:color w:val="008FDD"/>
                        <w:w w:val="105"/>
                        <w:sz w:val="12"/>
                      </w:rPr>
                      <w:t>1</w:t>
                    </w:r>
                    <w:r>
                      <w:rPr>
                        <w:rFonts w:ascii="Arial"/>
                        <w:color w:val="008FDD"/>
                        <w:spacing w:val="43"/>
                        <w:w w:val="105"/>
                        <w:sz w:val="12"/>
                      </w:rPr>
                      <w:t>  </w:t>
                    </w:r>
                    <w:r>
                      <w:rPr>
                        <w:rFonts w:ascii="Arial"/>
                        <w:color w:val="008FDD"/>
                        <w:w w:val="105"/>
                        <w:sz w:val="12"/>
                      </w:rPr>
                      <w:t>Key</w:t>
                    </w:r>
                    <w:r>
                      <w:rPr>
                        <w:rFonts w:ascii="Arial"/>
                        <w:color w:val="008FDD"/>
                        <w:spacing w:val="19"/>
                        <w:w w:val="105"/>
                        <w:sz w:val="12"/>
                      </w:rPr>
                      <w:t> </w:t>
                    </w:r>
                    <w:r>
                      <w:rPr>
                        <w:rFonts w:ascii="Arial"/>
                        <w:color w:val="008FDD"/>
                        <w:w w:val="105"/>
                        <w:sz w:val="12"/>
                      </w:rPr>
                      <w:t>changes</w:t>
                    </w:r>
                    <w:r>
                      <w:rPr>
                        <w:rFonts w:ascii="Arial"/>
                        <w:color w:val="008FDD"/>
                        <w:spacing w:val="19"/>
                        <w:w w:val="105"/>
                        <w:sz w:val="12"/>
                      </w:rPr>
                      <w:t> </w:t>
                    </w:r>
                    <w:r>
                      <w:rPr>
                        <w:rFonts w:ascii="Arial"/>
                        <w:color w:val="008FDD"/>
                        <w:w w:val="105"/>
                        <w:sz w:val="12"/>
                      </w:rPr>
                      <w:t>in</w:t>
                    </w:r>
                    <w:r>
                      <w:rPr>
                        <w:rFonts w:ascii="Arial"/>
                        <w:color w:val="008FDD"/>
                        <w:spacing w:val="19"/>
                        <w:w w:val="105"/>
                        <w:sz w:val="12"/>
                      </w:rPr>
                      <w:t> </w:t>
                    </w:r>
                    <w:r>
                      <w:rPr>
                        <w:rFonts w:ascii="Arial"/>
                        <w:color w:val="008FDD"/>
                        <w:w w:val="105"/>
                        <w:sz w:val="12"/>
                      </w:rPr>
                      <w:t>global</w:t>
                    </w:r>
                    <w:r>
                      <w:rPr>
                        <w:rFonts w:ascii="Arial"/>
                        <w:color w:val="008FDD"/>
                        <w:spacing w:val="20"/>
                        <w:w w:val="105"/>
                        <w:sz w:val="12"/>
                      </w:rPr>
                      <w:t> </w:t>
                    </w:r>
                    <w:r>
                      <w:rPr>
                        <w:rFonts w:ascii="Arial"/>
                        <w:color w:val="008FDD"/>
                        <w:w w:val="105"/>
                        <w:sz w:val="12"/>
                      </w:rPr>
                      <w:t>supply</w:t>
                    </w:r>
                    <w:r>
                      <w:rPr>
                        <w:rFonts w:ascii="Arial"/>
                        <w:color w:val="008FDD"/>
                        <w:spacing w:val="19"/>
                        <w:w w:val="105"/>
                        <w:sz w:val="12"/>
                      </w:rPr>
                      <w:t> </w:t>
                    </w:r>
                    <w:r>
                      <w:rPr>
                        <w:rFonts w:ascii="Arial"/>
                        <w:color w:val="008FDD"/>
                        <w:w w:val="105"/>
                        <w:sz w:val="12"/>
                      </w:rPr>
                      <w:t>chains</w:t>
                    </w:r>
                    <w:r>
                      <w:rPr>
                        <w:rFonts w:ascii="Arial"/>
                        <w:color w:val="008FDD"/>
                        <w:spacing w:val="19"/>
                        <w:w w:val="105"/>
                        <w:sz w:val="12"/>
                      </w:rPr>
                      <w:t> </w:t>
                    </w:r>
                    <w:r>
                      <w:rPr>
                        <w:rFonts w:ascii="Arial"/>
                        <w:color w:val="008FDD"/>
                        <w:w w:val="105"/>
                        <w:sz w:val="12"/>
                      </w:rPr>
                      <w:t>since</w:t>
                    </w:r>
                    <w:r>
                      <w:rPr>
                        <w:rFonts w:ascii="Arial"/>
                        <w:color w:val="008FDD"/>
                        <w:spacing w:val="19"/>
                        <w:w w:val="105"/>
                        <w:sz w:val="12"/>
                      </w:rPr>
                      <w:t> </w:t>
                    </w:r>
                    <w:r>
                      <w:rPr>
                        <w:rFonts w:ascii="Arial"/>
                        <w:color w:val="008FDD"/>
                        <w:w w:val="105"/>
                        <w:sz w:val="12"/>
                      </w:rPr>
                      <w:t>2018</w:t>
                    </w:r>
                    <w:r>
                      <w:rPr>
                        <w:rFonts w:ascii="Arial"/>
                        <w:color w:val="008FDD"/>
                        <w:spacing w:val="19"/>
                        <w:w w:val="105"/>
                        <w:sz w:val="12"/>
                      </w:rPr>
                      <w:t> </w:t>
                    </w:r>
                    <w:r>
                      <w:rPr>
                        <w:rFonts w:ascii="Arial"/>
                        <w:color w:val="008FDD"/>
                        <w:w w:val="105"/>
                        <w:sz w:val="12"/>
                      </w:rPr>
                      <w:t>and</w:t>
                    </w:r>
                    <w:r>
                      <w:rPr>
                        <w:rFonts w:ascii="Arial"/>
                        <w:color w:val="008FDD"/>
                        <w:spacing w:val="19"/>
                        <w:w w:val="105"/>
                        <w:sz w:val="12"/>
                      </w:rPr>
                      <w:t> </w:t>
                    </w:r>
                    <w:r>
                      <w:rPr>
                        <w:rFonts w:ascii="Arial"/>
                        <w:color w:val="008FDD"/>
                        <w:w w:val="105"/>
                        <w:sz w:val="12"/>
                      </w:rPr>
                      <w:t>implications</w:t>
                    </w:r>
                    <w:r>
                      <w:rPr>
                        <w:rFonts w:ascii="Arial"/>
                        <w:color w:val="008FDD"/>
                        <w:spacing w:val="20"/>
                        <w:w w:val="105"/>
                        <w:sz w:val="12"/>
                      </w:rPr>
                      <w:t> </w:t>
                    </w:r>
                    <w:r>
                      <w:rPr>
                        <w:rFonts w:ascii="Arial"/>
                        <w:color w:val="008FDD"/>
                        <w:w w:val="105"/>
                        <w:sz w:val="12"/>
                      </w:rPr>
                      <w:t>for</w:t>
                    </w:r>
                    <w:r>
                      <w:rPr>
                        <w:rFonts w:ascii="Arial"/>
                        <w:color w:val="008FDD"/>
                        <w:spacing w:val="19"/>
                        <w:w w:val="105"/>
                        <w:sz w:val="12"/>
                      </w:rPr>
                      <w:t> </w:t>
                    </w:r>
                    <w:r>
                      <w:rPr>
                        <w:rFonts w:ascii="Arial"/>
                        <w:color w:val="008FDD"/>
                        <w:w w:val="105"/>
                        <w:sz w:val="12"/>
                      </w:rPr>
                      <w:t>the</w:t>
                    </w:r>
                    <w:r>
                      <w:rPr>
                        <w:rFonts w:ascii="Arial"/>
                        <w:color w:val="008FDD"/>
                        <w:spacing w:val="19"/>
                        <w:w w:val="105"/>
                        <w:sz w:val="12"/>
                      </w:rPr>
                      <w:t> </w:t>
                    </w:r>
                    <w:r>
                      <w:rPr>
                        <w:rFonts w:ascii="Arial"/>
                        <w:color w:val="008FDD"/>
                        <w:w w:val="105"/>
                        <w:sz w:val="12"/>
                      </w:rPr>
                      <w:t>2023</w:t>
                    </w:r>
                    <w:r>
                      <w:rPr>
                        <w:rFonts w:ascii="Arial"/>
                        <w:color w:val="008FDD"/>
                        <w:spacing w:val="19"/>
                        <w:w w:val="105"/>
                        <w:sz w:val="12"/>
                      </w:rPr>
                      <w:t> </w:t>
                    </w:r>
                    <w:r>
                      <w:rPr>
                        <w:rFonts w:ascii="Arial"/>
                        <w:color w:val="008FDD"/>
                        <w:spacing w:val="-5"/>
                        <w:w w:val="105"/>
                        <w:sz w:val="12"/>
                      </w:rPr>
                      <w:t>LPI</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4832">
              <wp:simplePos x="0" y="0"/>
              <wp:positionH relativeFrom="page">
                <wp:posOffset>444500</wp:posOffset>
              </wp:positionH>
              <wp:positionV relativeFrom="page">
                <wp:posOffset>256438</wp:posOffset>
              </wp:positionV>
              <wp:extent cx="3554095" cy="118745"/>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3554095" cy="118745"/>
                      </a:xfrm>
                      <a:prstGeom prst="rect">
                        <a:avLst/>
                      </a:prstGeom>
                    </wps:spPr>
                    <wps:txbx>
                      <w:txbxContent>
                        <w:p>
                          <w:pPr>
                            <w:spacing w:before="23"/>
                            <w:ind w:left="20" w:right="0" w:firstLine="0"/>
                            <w:jc w:val="left"/>
                            <w:rPr>
                              <w:rFonts w:ascii="Arial"/>
                              <w:sz w:val="12"/>
                            </w:rPr>
                          </w:pPr>
                          <w:r>
                            <w:rPr>
                              <w:rFonts w:ascii="Arial"/>
                              <w:color w:val="008FDD"/>
                              <w:w w:val="105"/>
                              <w:sz w:val="12"/>
                            </w:rPr>
                            <w:t>Chapter</w:t>
                          </w:r>
                          <w:r>
                            <w:rPr>
                              <w:rFonts w:ascii="Arial"/>
                              <w:color w:val="008FDD"/>
                              <w:spacing w:val="19"/>
                              <w:w w:val="105"/>
                              <w:sz w:val="12"/>
                            </w:rPr>
                            <w:t> </w:t>
                          </w:r>
                          <w:r>
                            <w:rPr>
                              <w:rFonts w:ascii="Arial"/>
                              <w:color w:val="008FDD"/>
                              <w:w w:val="105"/>
                              <w:sz w:val="12"/>
                            </w:rPr>
                            <w:t>1</w:t>
                          </w:r>
                          <w:r>
                            <w:rPr>
                              <w:rFonts w:ascii="Arial"/>
                              <w:color w:val="008FDD"/>
                              <w:spacing w:val="43"/>
                              <w:w w:val="105"/>
                              <w:sz w:val="12"/>
                            </w:rPr>
                            <w:t>  </w:t>
                          </w:r>
                          <w:r>
                            <w:rPr>
                              <w:rFonts w:ascii="Arial"/>
                              <w:color w:val="008FDD"/>
                              <w:w w:val="105"/>
                              <w:sz w:val="12"/>
                            </w:rPr>
                            <w:t>Key</w:t>
                          </w:r>
                          <w:r>
                            <w:rPr>
                              <w:rFonts w:ascii="Arial"/>
                              <w:color w:val="008FDD"/>
                              <w:spacing w:val="19"/>
                              <w:w w:val="105"/>
                              <w:sz w:val="12"/>
                            </w:rPr>
                            <w:t> </w:t>
                          </w:r>
                          <w:r>
                            <w:rPr>
                              <w:rFonts w:ascii="Arial"/>
                              <w:color w:val="008FDD"/>
                              <w:w w:val="105"/>
                              <w:sz w:val="12"/>
                            </w:rPr>
                            <w:t>changes</w:t>
                          </w:r>
                          <w:r>
                            <w:rPr>
                              <w:rFonts w:ascii="Arial"/>
                              <w:color w:val="008FDD"/>
                              <w:spacing w:val="19"/>
                              <w:w w:val="105"/>
                              <w:sz w:val="12"/>
                            </w:rPr>
                            <w:t> </w:t>
                          </w:r>
                          <w:r>
                            <w:rPr>
                              <w:rFonts w:ascii="Arial"/>
                              <w:color w:val="008FDD"/>
                              <w:w w:val="105"/>
                              <w:sz w:val="12"/>
                            </w:rPr>
                            <w:t>in</w:t>
                          </w:r>
                          <w:r>
                            <w:rPr>
                              <w:rFonts w:ascii="Arial"/>
                              <w:color w:val="008FDD"/>
                              <w:spacing w:val="19"/>
                              <w:w w:val="105"/>
                              <w:sz w:val="12"/>
                            </w:rPr>
                            <w:t> </w:t>
                          </w:r>
                          <w:r>
                            <w:rPr>
                              <w:rFonts w:ascii="Arial"/>
                              <w:color w:val="008FDD"/>
                              <w:w w:val="105"/>
                              <w:sz w:val="12"/>
                            </w:rPr>
                            <w:t>global</w:t>
                          </w:r>
                          <w:r>
                            <w:rPr>
                              <w:rFonts w:ascii="Arial"/>
                              <w:color w:val="008FDD"/>
                              <w:spacing w:val="20"/>
                              <w:w w:val="105"/>
                              <w:sz w:val="12"/>
                            </w:rPr>
                            <w:t> </w:t>
                          </w:r>
                          <w:r>
                            <w:rPr>
                              <w:rFonts w:ascii="Arial"/>
                              <w:color w:val="008FDD"/>
                              <w:w w:val="105"/>
                              <w:sz w:val="12"/>
                            </w:rPr>
                            <w:t>supply</w:t>
                          </w:r>
                          <w:r>
                            <w:rPr>
                              <w:rFonts w:ascii="Arial"/>
                              <w:color w:val="008FDD"/>
                              <w:spacing w:val="19"/>
                              <w:w w:val="105"/>
                              <w:sz w:val="12"/>
                            </w:rPr>
                            <w:t> </w:t>
                          </w:r>
                          <w:r>
                            <w:rPr>
                              <w:rFonts w:ascii="Arial"/>
                              <w:color w:val="008FDD"/>
                              <w:w w:val="105"/>
                              <w:sz w:val="12"/>
                            </w:rPr>
                            <w:t>chains</w:t>
                          </w:r>
                          <w:r>
                            <w:rPr>
                              <w:rFonts w:ascii="Arial"/>
                              <w:color w:val="008FDD"/>
                              <w:spacing w:val="19"/>
                              <w:w w:val="105"/>
                              <w:sz w:val="12"/>
                            </w:rPr>
                            <w:t> </w:t>
                          </w:r>
                          <w:r>
                            <w:rPr>
                              <w:rFonts w:ascii="Arial"/>
                              <w:color w:val="008FDD"/>
                              <w:w w:val="105"/>
                              <w:sz w:val="12"/>
                            </w:rPr>
                            <w:t>since</w:t>
                          </w:r>
                          <w:r>
                            <w:rPr>
                              <w:rFonts w:ascii="Arial"/>
                              <w:color w:val="008FDD"/>
                              <w:spacing w:val="19"/>
                              <w:w w:val="105"/>
                              <w:sz w:val="12"/>
                            </w:rPr>
                            <w:t> </w:t>
                          </w:r>
                          <w:r>
                            <w:rPr>
                              <w:rFonts w:ascii="Arial"/>
                              <w:color w:val="008FDD"/>
                              <w:w w:val="105"/>
                              <w:sz w:val="12"/>
                            </w:rPr>
                            <w:t>2018</w:t>
                          </w:r>
                          <w:r>
                            <w:rPr>
                              <w:rFonts w:ascii="Arial"/>
                              <w:color w:val="008FDD"/>
                              <w:spacing w:val="19"/>
                              <w:w w:val="105"/>
                              <w:sz w:val="12"/>
                            </w:rPr>
                            <w:t> </w:t>
                          </w:r>
                          <w:r>
                            <w:rPr>
                              <w:rFonts w:ascii="Arial"/>
                              <w:color w:val="008FDD"/>
                              <w:w w:val="105"/>
                              <w:sz w:val="12"/>
                            </w:rPr>
                            <w:t>and</w:t>
                          </w:r>
                          <w:r>
                            <w:rPr>
                              <w:rFonts w:ascii="Arial"/>
                              <w:color w:val="008FDD"/>
                              <w:spacing w:val="19"/>
                              <w:w w:val="105"/>
                              <w:sz w:val="12"/>
                            </w:rPr>
                            <w:t> </w:t>
                          </w:r>
                          <w:r>
                            <w:rPr>
                              <w:rFonts w:ascii="Arial"/>
                              <w:color w:val="008FDD"/>
                              <w:w w:val="105"/>
                              <w:sz w:val="12"/>
                            </w:rPr>
                            <w:t>implications</w:t>
                          </w:r>
                          <w:r>
                            <w:rPr>
                              <w:rFonts w:ascii="Arial"/>
                              <w:color w:val="008FDD"/>
                              <w:spacing w:val="20"/>
                              <w:w w:val="105"/>
                              <w:sz w:val="12"/>
                            </w:rPr>
                            <w:t> </w:t>
                          </w:r>
                          <w:r>
                            <w:rPr>
                              <w:rFonts w:ascii="Arial"/>
                              <w:color w:val="008FDD"/>
                              <w:w w:val="105"/>
                              <w:sz w:val="12"/>
                            </w:rPr>
                            <w:t>for</w:t>
                          </w:r>
                          <w:r>
                            <w:rPr>
                              <w:rFonts w:ascii="Arial"/>
                              <w:color w:val="008FDD"/>
                              <w:spacing w:val="19"/>
                              <w:w w:val="105"/>
                              <w:sz w:val="12"/>
                            </w:rPr>
                            <w:t> </w:t>
                          </w:r>
                          <w:r>
                            <w:rPr>
                              <w:rFonts w:ascii="Arial"/>
                              <w:color w:val="008FDD"/>
                              <w:w w:val="105"/>
                              <w:sz w:val="12"/>
                            </w:rPr>
                            <w:t>the</w:t>
                          </w:r>
                          <w:r>
                            <w:rPr>
                              <w:rFonts w:ascii="Arial"/>
                              <w:color w:val="008FDD"/>
                              <w:spacing w:val="19"/>
                              <w:w w:val="105"/>
                              <w:sz w:val="12"/>
                            </w:rPr>
                            <w:t> </w:t>
                          </w:r>
                          <w:r>
                            <w:rPr>
                              <w:rFonts w:ascii="Arial"/>
                              <w:color w:val="008FDD"/>
                              <w:w w:val="105"/>
                              <w:sz w:val="12"/>
                            </w:rPr>
                            <w:t>2023</w:t>
                          </w:r>
                          <w:r>
                            <w:rPr>
                              <w:rFonts w:ascii="Arial"/>
                              <w:color w:val="008FDD"/>
                              <w:spacing w:val="19"/>
                              <w:w w:val="105"/>
                              <w:sz w:val="12"/>
                            </w:rPr>
                            <w:t> </w:t>
                          </w:r>
                          <w:r>
                            <w:rPr>
                              <w:rFonts w:ascii="Arial"/>
                              <w:color w:val="008FDD"/>
                              <w:spacing w:val="-5"/>
                              <w:w w:val="105"/>
                              <w:sz w:val="12"/>
                            </w:rPr>
                            <w:t>LPI</w:t>
                          </w:r>
                        </w:p>
                      </w:txbxContent>
                    </wps:txbx>
                    <wps:bodyPr wrap="square" lIns="0" tIns="0" rIns="0" bIns="0" rtlCol="0">
                      <a:noAutofit/>
                    </wps:bodyPr>
                  </wps:wsp>
                </a:graphicData>
              </a:graphic>
            </wp:anchor>
          </w:drawing>
        </mc:Choice>
        <mc:Fallback>
          <w:pict>
            <v:shape style="position:absolute;margin-left:35pt;margin-top:20.191999pt;width:279.850pt;height:9.35pt;mso-position-horizontal-relative:page;mso-position-vertical-relative:page;z-index:-36571648" type="#_x0000_t202" id="docshape383" filled="false" stroked="false">
              <v:textbox inset="0,0,0,0">
                <w:txbxContent>
                  <w:p>
                    <w:pPr>
                      <w:spacing w:before="23"/>
                      <w:ind w:left="20" w:right="0" w:firstLine="0"/>
                      <w:jc w:val="left"/>
                      <w:rPr>
                        <w:rFonts w:ascii="Arial"/>
                        <w:sz w:val="12"/>
                      </w:rPr>
                    </w:pPr>
                    <w:r>
                      <w:rPr>
                        <w:rFonts w:ascii="Arial"/>
                        <w:color w:val="008FDD"/>
                        <w:w w:val="105"/>
                        <w:sz w:val="12"/>
                      </w:rPr>
                      <w:t>Chapter</w:t>
                    </w:r>
                    <w:r>
                      <w:rPr>
                        <w:rFonts w:ascii="Arial"/>
                        <w:color w:val="008FDD"/>
                        <w:spacing w:val="19"/>
                        <w:w w:val="105"/>
                        <w:sz w:val="12"/>
                      </w:rPr>
                      <w:t> </w:t>
                    </w:r>
                    <w:r>
                      <w:rPr>
                        <w:rFonts w:ascii="Arial"/>
                        <w:color w:val="008FDD"/>
                        <w:w w:val="105"/>
                        <w:sz w:val="12"/>
                      </w:rPr>
                      <w:t>1</w:t>
                    </w:r>
                    <w:r>
                      <w:rPr>
                        <w:rFonts w:ascii="Arial"/>
                        <w:color w:val="008FDD"/>
                        <w:spacing w:val="43"/>
                        <w:w w:val="105"/>
                        <w:sz w:val="12"/>
                      </w:rPr>
                      <w:t>  </w:t>
                    </w:r>
                    <w:r>
                      <w:rPr>
                        <w:rFonts w:ascii="Arial"/>
                        <w:color w:val="008FDD"/>
                        <w:w w:val="105"/>
                        <w:sz w:val="12"/>
                      </w:rPr>
                      <w:t>Key</w:t>
                    </w:r>
                    <w:r>
                      <w:rPr>
                        <w:rFonts w:ascii="Arial"/>
                        <w:color w:val="008FDD"/>
                        <w:spacing w:val="19"/>
                        <w:w w:val="105"/>
                        <w:sz w:val="12"/>
                      </w:rPr>
                      <w:t> </w:t>
                    </w:r>
                    <w:r>
                      <w:rPr>
                        <w:rFonts w:ascii="Arial"/>
                        <w:color w:val="008FDD"/>
                        <w:w w:val="105"/>
                        <w:sz w:val="12"/>
                      </w:rPr>
                      <w:t>changes</w:t>
                    </w:r>
                    <w:r>
                      <w:rPr>
                        <w:rFonts w:ascii="Arial"/>
                        <w:color w:val="008FDD"/>
                        <w:spacing w:val="19"/>
                        <w:w w:val="105"/>
                        <w:sz w:val="12"/>
                      </w:rPr>
                      <w:t> </w:t>
                    </w:r>
                    <w:r>
                      <w:rPr>
                        <w:rFonts w:ascii="Arial"/>
                        <w:color w:val="008FDD"/>
                        <w:w w:val="105"/>
                        <w:sz w:val="12"/>
                      </w:rPr>
                      <w:t>in</w:t>
                    </w:r>
                    <w:r>
                      <w:rPr>
                        <w:rFonts w:ascii="Arial"/>
                        <w:color w:val="008FDD"/>
                        <w:spacing w:val="19"/>
                        <w:w w:val="105"/>
                        <w:sz w:val="12"/>
                      </w:rPr>
                      <w:t> </w:t>
                    </w:r>
                    <w:r>
                      <w:rPr>
                        <w:rFonts w:ascii="Arial"/>
                        <w:color w:val="008FDD"/>
                        <w:w w:val="105"/>
                        <w:sz w:val="12"/>
                      </w:rPr>
                      <w:t>global</w:t>
                    </w:r>
                    <w:r>
                      <w:rPr>
                        <w:rFonts w:ascii="Arial"/>
                        <w:color w:val="008FDD"/>
                        <w:spacing w:val="20"/>
                        <w:w w:val="105"/>
                        <w:sz w:val="12"/>
                      </w:rPr>
                      <w:t> </w:t>
                    </w:r>
                    <w:r>
                      <w:rPr>
                        <w:rFonts w:ascii="Arial"/>
                        <w:color w:val="008FDD"/>
                        <w:w w:val="105"/>
                        <w:sz w:val="12"/>
                      </w:rPr>
                      <w:t>supply</w:t>
                    </w:r>
                    <w:r>
                      <w:rPr>
                        <w:rFonts w:ascii="Arial"/>
                        <w:color w:val="008FDD"/>
                        <w:spacing w:val="19"/>
                        <w:w w:val="105"/>
                        <w:sz w:val="12"/>
                      </w:rPr>
                      <w:t> </w:t>
                    </w:r>
                    <w:r>
                      <w:rPr>
                        <w:rFonts w:ascii="Arial"/>
                        <w:color w:val="008FDD"/>
                        <w:w w:val="105"/>
                        <w:sz w:val="12"/>
                      </w:rPr>
                      <w:t>chains</w:t>
                    </w:r>
                    <w:r>
                      <w:rPr>
                        <w:rFonts w:ascii="Arial"/>
                        <w:color w:val="008FDD"/>
                        <w:spacing w:val="19"/>
                        <w:w w:val="105"/>
                        <w:sz w:val="12"/>
                      </w:rPr>
                      <w:t> </w:t>
                    </w:r>
                    <w:r>
                      <w:rPr>
                        <w:rFonts w:ascii="Arial"/>
                        <w:color w:val="008FDD"/>
                        <w:w w:val="105"/>
                        <w:sz w:val="12"/>
                      </w:rPr>
                      <w:t>since</w:t>
                    </w:r>
                    <w:r>
                      <w:rPr>
                        <w:rFonts w:ascii="Arial"/>
                        <w:color w:val="008FDD"/>
                        <w:spacing w:val="19"/>
                        <w:w w:val="105"/>
                        <w:sz w:val="12"/>
                      </w:rPr>
                      <w:t> </w:t>
                    </w:r>
                    <w:r>
                      <w:rPr>
                        <w:rFonts w:ascii="Arial"/>
                        <w:color w:val="008FDD"/>
                        <w:w w:val="105"/>
                        <w:sz w:val="12"/>
                      </w:rPr>
                      <w:t>2018</w:t>
                    </w:r>
                    <w:r>
                      <w:rPr>
                        <w:rFonts w:ascii="Arial"/>
                        <w:color w:val="008FDD"/>
                        <w:spacing w:val="19"/>
                        <w:w w:val="105"/>
                        <w:sz w:val="12"/>
                      </w:rPr>
                      <w:t> </w:t>
                    </w:r>
                    <w:r>
                      <w:rPr>
                        <w:rFonts w:ascii="Arial"/>
                        <w:color w:val="008FDD"/>
                        <w:w w:val="105"/>
                        <w:sz w:val="12"/>
                      </w:rPr>
                      <w:t>and</w:t>
                    </w:r>
                    <w:r>
                      <w:rPr>
                        <w:rFonts w:ascii="Arial"/>
                        <w:color w:val="008FDD"/>
                        <w:spacing w:val="19"/>
                        <w:w w:val="105"/>
                        <w:sz w:val="12"/>
                      </w:rPr>
                      <w:t> </w:t>
                    </w:r>
                    <w:r>
                      <w:rPr>
                        <w:rFonts w:ascii="Arial"/>
                        <w:color w:val="008FDD"/>
                        <w:w w:val="105"/>
                        <w:sz w:val="12"/>
                      </w:rPr>
                      <w:t>implications</w:t>
                    </w:r>
                    <w:r>
                      <w:rPr>
                        <w:rFonts w:ascii="Arial"/>
                        <w:color w:val="008FDD"/>
                        <w:spacing w:val="20"/>
                        <w:w w:val="105"/>
                        <w:sz w:val="12"/>
                      </w:rPr>
                      <w:t> </w:t>
                    </w:r>
                    <w:r>
                      <w:rPr>
                        <w:rFonts w:ascii="Arial"/>
                        <w:color w:val="008FDD"/>
                        <w:w w:val="105"/>
                        <w:sz w:val="12"/>
                      </w:rPr>
                      <w:t>for</w:t>
                    </w:r>
                    <w:r>
                      <w:rPr>
                        <w:rFonts w:ascii="Arial"/>
                        <w:color w:val="008FDD"/>
                        <w:spacing w:val="19"/>
                        <w:w w:val="105"/>
                        <w:sz w:val="12"/>
                      </w:rPr>
                      <w:t> </w:t>
                    </w:r>
                    <w:r>
                      <w:rPr>
                        <w:rFonts w:ascii="Arial"/>
                        <w:color w:val="008FDD"/>
                        <w:w w:val="105"/>
                        <w:sz w:val="12"/>
                      </w:rPr>
                      <w:t>the</w:t>
                    </w:r>
                    <w:r>
                      <w:rPr>
                        <w:rFonts w:ascii="Arial"/>
                        <w:color w:val="008FDD"/>
                        <w:spacing w:val="19"/>
                        <w:w w:val="105"/>
                        <w:sz w:val="12"/>
                      </w:rPr>
                      <w:t> </w:t>
                    </w:r>
                    <w:r>
                      <w:rPr>
                        <w:rFonts w:ascii="Arial"/>
                        <w:color w:val="008FDD"/>
                        <w:w w:val="105"/>
                        <w:sz w:val="12"/>
                      </w:rPr>
                      <w:t>2023</w:t>
                    </w:r>
                    <w:r>
                      <w:rPr>
                        <w:rFonts w:ascii="Arial"/>
                        <w:color w:val="008FDD"/>
                        <w:spacing w:val="19"/>
                        <w:w w:val="105"/>
                        <w:sz w:val="12"/>
                      </w:rPr>
                      <w:t> </w:t>
                    </w:r>
                    <w:r>
                      <w:rPr>
                        <w:rFonts w:ascii="Arial"/>
                        <w:color w:val="008FDD"/>
                        <w:spacing w:val="-5"/>
                        <w:w w:val="105"/>
                        <w:sz w:val="12"/>
                      </w:rPr>
                      <w:t>LPI</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6880">
              <wp:simplePos x="0" y="0"/>
              <wp:positionH relativeFrom="page">
                <wp:posOffset>444500</wp:posOffset>
              </wp:positionH>
              <wp:positionV relativeFrom="page">
                <wp:posOffset>256438</wp:posOffset>
              </wp:positionV>
              <wp:extent cx="1955800" cy="118745"/>
              <wp:effectExtent l="0" t="0" r="0" b="0"/>
              <wp:wrapNone/>
              <wp:docPr id="477" name="Textbox 477"/>
              <wp:cNvGraphicFramePr>
                <a:graphicFrameLocks/>
              </wp:cNvGraphicFramePr>
              <a:graphic>
                <a:graphicData uri="http://schemas.microsoft.com/office/word/2010/wordprocessingShape">
                  <wps:wsp>
                    <wps:cNvPr id="477" name="Textbox 477"/>
                    <wps:cNvSpPr txBox="1"/>
                    <wps:spPr>
                      <a:xfrm>
                        <a:off x="0" y="0"/>
                        <a:ext cx="1955800" cy="118745"/>
                      </a:xfrm>
                      <a:prstGeom prst="rect">
                        <a:avLst/>
                      </a:prstGeom>
                    </wps:spPr>
                    <wps:txbx>
                      <w:txbxContent>
                        <w:p>
                          <w:pPr>
                            <w:spacing w:before="23"/>
                            <w:ind w:left="20" w:right="0" w:firstLine="0"/>
                            <w:jc w:val="left"/>
                            <w:rPr>
                              <w:rFonts w:ascii="Arial"/>
                              <w:sz w:val="12"/>
                            </w:rPr>
                          </w:pPr>
                          <w:r>
                            <w:rPr>
                              <w:rFonts w:ascii="Arial"/>
                              <w:color w:val="008FDD"/>
                              <w:w w:val="110"/>
                              <w:sz w:val="12"/>
                            </w:rPr>
                            <w:t>Chapter</w:t>
                          </w:r>
                          <w:r>
                            <w:rPr>
                              <w:rFonts w:ascii="Arial"/>
                              <w:color w:val="008FDD"/>
                              <w:spacing w:val="12"/>
                              <w:w w:val="110"/>
                              <w:sz w:val="12"/>
                            </w:rPr>
                            <w:t> </w:t>
                          </w:r>
                          <w:r>
                            <w:rPr>
                              <w:rFonts w:ascii="Arial"/>
                              <w:color w:val="008FDD"/>
                              <w:w w:val="110"/>
                              <w:sz w:val="12"/>
                            </w:rPr>
                            <w:t>2</w:t>
                          </w:r>
                          <w:r>
                            <w:rPr>
                              <w:rFonts w:ascii="Arial"/>
                              <w:color w:val="008FDD"/>
                              <w:spacing w:val="33"/>
                              <w:w w:val="110"/>
                              <w:sz w:val="12"/>
                            </w:rPr>
                            <w:t>  </w:t>
                          </w:r>
                          <w:r>
                            <w:rPr>
                              <w:rFonts w:ascii="Arial"/>
                              <w:color w:val="008FDD"/>
                              <w:w w:val="110"/>
                              <w:sz w:val="12"/>
                            </w:rPr>
                            <w:t>The</w:t>
                          </w:r>
                          <w:r>
                            <w:rPr>
                              <w:rFonts w:ascii="Arial"/>
                              <w:color w:val="008FDD"/>
                              <w:spacing w:val="13"/>
                              <w:w w:val="110"/>
                              <w:sz w:val="12"/>
                            </w:rPr>
                            <w:t> </w:t>
                          </w:r>
                          <w:r>
                            <w:rPr>
                              <w:rFonts w:ascii="Arial"/>
                              <w:color w:val="008FDD"/>
                              <w:w w:val="110"/>
                              <w:sz w:val="12"/>
                            </w:rPr>
                            <w:t>2023</w:t>
                          </w:r>
                          <w:r>
                            <w:rPr>
                              <w:rFonts w:ascii="Arial"/>
                              <w:color w:val="008FDD"/>
                              <w:spacing w:val="12"/>
                              <w:w w:val="110"/>
                              <w:sz w:val="12"/>
                            </w:rPr>
                            <w:t> </w:t>
                          </w:r>
                          <w:r>
                            <w:rPr>
                              <w:rFonts w:ascii="Arial"/>
                              <w:color w:val="008FDD"/>
                              <w:w w:val="110"/>
                              <w:sz w:val="12"/>
                            </w:rPr>
                            <w:t>Logistics</w:t>
                          </w:r>
                          <w:r>
                            <w:rPr>
                              <w:rFonts w:ascii="Arial"/>
                              <w:color w:val="008FDD"/>
                              <w:spacing w:val="12"/>
                              <w:w w:val="110"/>
                              <w:sz w:val="12"/>
                            </w:rPr>
                            <w:t> </w:t>
                          </w:r>
                          <w:r>
                            <w:rPr>
                              <w:rFonts w:ascii="Arial"/>
                              <w:color w:val="008FDD"/>
                              <w:w w:val="110"/>
                              <w:sz w:val="12"/>
                            </w:rPr>
                            <w:t>Performance</w:t>
                          </w:r>
                          <w:r>
                            <w:rPr>
                              <w:rFonts w:ascii="Arial"/>
                              <w:color w:val="008FDD"/>
                              <w:spacing w:val="12"/>
                              <w:w w:val="110"/>
                              <w:sz w:val="12"/>
                            </w:rPr>
                            <w:t> </w:t>
                          </w:r>
                          <w:r>
                            <w:rPr>
                              <w:rFonts w:ascii="Arial"/>
                              <w:color w:val="008FDD"/>
                              <w:spacing w:val="-2"/>
                              <w:w w:val="110"/>
                              <w:sz w:val="12"/>
                            </w:rPr>
                            <w:t>Index</w:t>
                          </w:r>
                        </w:p>
                      </w:txbxContent>
                    </wps:txbx>
                    <wps:bodyPr wrap="square" lIns="0" tIns="0" rIns="0" bIns="0" rtlCol="0">
                      <a:noAutofit/>
                    </wps:bodyPr>
                  </wps:wsp>
                </a:graphicData>
              </a:graphic>
            </wp:anchor>
          </w:drawing>
        </mc:Choice>
        <mc:Fallback>
          <w:pict>
            <v:shape style="position:absolute;margin-left:35pt;margin-top:20.191999pt;width:154pt;height:9.35pt;mso-position-horizontal-relative:page;mso-position-vertical-relative:page;z-index:-36569600" type="#_x0000_t202" id="docshape396" filled="false" stroked="false">
              <v:textbox inset="0,0,0,0">
                <w:txbxContent>
                  <w:p>
                    <w:pPr>
                      <w:spacing w:before="23"/>
                      <w:ind w:left="20" w:right="0" w:firstLine="0"/>
                      <w:jc w:val="left"/>
                      <w:rPr>
                        <w:rFonts w:ascii="Arial"/>
                        <w:sz w:val="12"/>
                      </w:rPr>
                    </w:pPr>
                    <w:r>
                      <w:rPr>
                        <w:rFonts w:ascii="Arial"/>
                        <w:color w:val="008FDD"/>
                        <w:w w:val="110"/>
                        <w:sz w:val="12"/>
                      </w:rPr>
                      <w:t>Chapter</w:t>
                    </w:r>
                    <w:r>
                      <w:rPr>
                        <w:rFonts w:ascii="Arial"/>
                        <w:color w:val="008FDD"/>
                        <w:spacing w:val="12"/>
                        <w:w w:val="110"/>
                        <w:sz w:val="12"/>
                      </w:rPr>
                      <w:t> </w:t>
                    </w:r>
                    <w:r>
                      <w:rPr>
                        <w:rFonts w:ascii="Arial"/>
                        <w:color w:val="008FDD"/>
                        <w:w w:val="110"/>
                        <w:sz w:val="12"/>
                      </w:rPr>
                      <w:t>2</w:t>
                    </w:r>
                    <w:r>
                      <w:rPr>
                        <w:rFonts w:ascii="Arial"/>
                        <w:color w:val="008FDD"/>
                        <w:spacing w:val="33"/>
                        <w:w w:val="110"/>
                        <w:sz w:val="12"/>
                      </w:rPr>
                      <w:t>  </w:t>
                    </w:r>
                    <w:r>
                      <w:rPr>
                        <w:rFonts w:ascii="Arial"/>
                        <w:color w:val="008FDD"/>
                        <w:w w:val="110"/>
                        <w:sz w:val="12"/>
                      </w:rPr>
                      <w:t>The</w:t>
                    </w:r>
                    <w:r>
                      <w:rPr>
                        <w:rFonts w:ascii="Arial"/>
                        <w:color w:val="008FDD"/>
                        <w:spacing w:val="13"/>
                        <w:w w:val="110"/>
                        <w:sz w:val="12"/>
                      </w:rPr>
                      <w:t> </w:t>
                    </w:r>
                    <w:r>
                      <w:rPr>
                        <w:rFonts w:ascii="Arial"/>
                        <w:color w:val="008FDD"/>
                        <w:w w:val="110"/>
                        <w:sz w:val="12"/>
                      </w:rPr>
                      <w:t>2023</w:t>
                    </w:r>
                    <w:r>
                      <w:rPr>
                        <w:rFonts w:ascii="Arial"/>
                        <w:color w:val="008FDD"/>
                        <w:spacing w:val="12"/>
                        <w:w w:val="110"/>
                        <w:sz w:val="12"/>
                      </w:rPr>
                      <w:t> </w:t>
                    </w:r>
                    <w:r>
                      <w:rPr>
                        <w:rFonts w:ascii="Arial"/>
                        <w:color w:val="008FDD"/>
                        <w:w w:val="110"/>
                        <w:sz w:val="12"/>
                      </w:rPr>
                      <w:t>Logistics</w:t>
                    </w:r>
                    <w:r>
                      <w:rPr>
                        <w:rFonts w:ascii="Arial"/>
                        <w:color w:val="008FDD"/>
                        <w:spacing w:val="12"/>
                        <w:w w:val="110"/>
                        <w:sz w:val="12"/>
                      </w:rPr>
                      <w:t> </w:t>
                    </w:r>
                    <w:r>
                      <w:rPr>
                        <w:rFonts w:ascii="Arial"/>
                        <w:color w:val="008FDD"/>
                        <w:w w:val="110"/>
                        <w:sz w:val="12"/>
                      </w:rPr>
                      <w:t>Performance</w:t>
                    </w:r>
                    <w:r>
                      <w:rPr>
                        <w:rFonts w:ascii="Arial"/>
                        <w:color w:val="008FDD"/>
                        <w:spacing w:val="12"/>
                        <w:w w:val="110"/>
                        <w:sz w:val="12"/>
                      </w:rPr>
                      <w:t> </w:t>
                    </w:r>
                    <w:r>
                      <w:rPr>
                        <w:rFonts w:ascii="Arial"/>
                        <w:color w:val="008FDD"/>
                        <w:spacing w:val="-2"/>
                        <w:w w:val="110"/>
                        <w:sz w:val="12"/>
                      </w:rPr>
                      <w:t>Index</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7392">
              <wp:simplePos x="0" y="0"/>
              <wp:positionH relativeFrom="page">
                <wp:posOffset>5372243</wp:posOffset>
              </wp:positionH>
              <wp:positionV relativeFrom="page">
                <wp:posOffset>256438</wp:posOffset>
              </wp:positionV>
              <wp:extent cx="1955800" cy="118745"/>
              <wp:effectExtent l="0" t="0" r="0" b="0"/>
              <wp:wrapNone/>
              <wp:docPr id="478" name="Textbox 478"/>
              <wp:cNvGraphicFramePr>
                <a:graphicFrameLocks/>
              </wp:cNvGraphicFramePr>
              <a:graphic>
                <a:graphicData uri="http://schemas.microsoft.com/office/word/2010/wordprocessingShape">
                  <wps:wsp>
                    <wps:cNvPr id="478" name="Textbox 478"/>
                    <wps:cNvSpPr txBox="1"/>
                    <wps:spPr>
                      <a:xfrm>
                        <a:off x="0" y="0"/>
                        <a:ext cx="1955800" cy="118745"/>
                      </a:xfrm>
                      <a:prstGeom prst="rect">
                        <a:avLst/>
                      </a:prstGeom>
                    </wps:spPr>
                    <wps:txbx>
                      <w:txbxContent>
                        <w:p>
                          <w:pPr>
                            <w:spacing w:before="23"/>
                            <w:ind w:left="20" w:right="0" w:firstLine="0"/>
                            <w:jc w:val="left"/>
                            <w:rPr>
                              <w:rFonts w:ascii="Arial"/>
                              <w:sz w:val="12"/>
                            </w:rPr>
                          </w:pPr>
                          <w:r>
                            <w:rPr>
                              <w:rFonts w:ascii="Arial"/>
                              <w:color w:val="008FDD"/>
                              <w:w w:val="110"/>
                              <w:sz w:val="12"/>
                            </w:rPr>
                            <w:t>Chapter</w:t>
                          </w:r>
                          <w:r>
                            <w:rPr>
                              <w:rFonts w:ascii="Arial"/>
                              <w:color w:val="008FDD"/>
                              <w:spacing w:val="12"/>
                              <w:w w:val="110"/>
                              <w:sz w:val="12"/>
                            </w:rPr>
                            <w:t> </w:t>
                          </w:r>
                          <w:r>
                            <w:rPr>
                              <w:rFonts w:ascii="Arial"/>
                              <w:color w:val="008FDD"/>
                              <w:w w:val="110"/>
                              <w:sz w:val="12"/>
                            </w:rPr>
                            <w:t>2</w:t>
                          </w:r>
                          <w:r>
                            <w:rPr>
                              <w:rFonts w:ascii="Arial"/>
                              <w:color w:val="008FDD"/>
                              <w:spacing w:val="33"/>
                              <w:w w:val="110"/>
                              <w:sz w:val="12"/>
                            </w:rPr>
                            <w:t>  </w:t>
                          </w:r>
                          <w:r>
                            <w:rPr>
                              <w:rFonts w:ascii="Arial"/>
                              <w:color w:val="008FDD"/>
                              <w:w w:val="110"/>
                              <w:sz w:val="12"/>
                            </w:rPr>
                            <w:t>The</w:t>
                          </w:r>
                          <w:r>
                            <w:rPr>
                              <w:rFonts w:ascii="Arial"/>
                              <w:color w:val="008FDD"/>
                              <w:spacing w:val="13"/>
                              <w:w w:val="110"/>
                              <w:sz w:val="12"/>
                            </w:rPr>
                            <w:t> </w:t>
                          </w:r>
                          <w:r>
                            <w:rPr>
                              <w:rFonts w:ascii="Arial"/>
                              <w:color w:val="008FDD"/>
                              <w:w w:val="110"/>
                              <w:sz w:val="12"/>
                            </w:rPr>
                            <w:t>2023</w:t>
                          </w:r>
                          <w:r>
                            <w:rPr>
                              <w:rFonts w:ascii="Arial"/>
                              <w:color w:val="008FDD"/>
                              <w:spacing w:val="12"/>
                              <w:w w:val="110"/>
                              <w:sz w:val="12"/>
                            </w:rPr>
                            <w:t> </w:t>
                          </w:r>
                          <w:r>
                            <w:rPr>
                              <w:rFonts w:ascii="Arial"/>
                              <w:color w:val="008FDD"/>
                              <w:w w:val="110"/>
                              <w:sz w:val="12"/>
                            </w:rPr>
                            <w:t>Logistics</w:t>
                          </w:r>
                          <w:r>
                            <w:rPr>
                              <w:rFonts w:ascii="Arial"/>
                              <w:color w:val="008FDD"/>
                              <w:spacing w:val="12"/>
                              <w:w w:val="110"/>
                              <w:sz w:val="12"/>
                            </w:rPr>
                            <w:t> </w:t>
                          </w:r>
                          <w:r>
                            <w:rPr>
                              <w:rFonts w:ascii="Arial"/>
                              <w:color w:val="008FDD"/>
                              <w:w w:val="110"/>
                              <w:sz w:val="12"/>
                            </w:rPr>
                            <w:t>Performance</w:t>
                          </w:r>
                          <w:r>
                            <w:rPr>
                              <w:rFonts w:ascii="Arial"/>
                              <w:color w:val="008FDD"/>
                              <w:spacing w:val="12"/>
                              <w:w w:val="110"/>
                              <w:sz w:val="12"/>
                            </w:rPr>
                            <w:t> </w:t>
                          </w:r>
                          <w:r>
                            <w:rPr>
                              <w:rFonts w:ascii="Arial"/>
                              <w:color w:val="008FDD"/>
                              <w:spacing w:val="-2"/>
                              <w:w w:val="110"/>
                              <w:sz w:val="12"/>
                            </w:rPr>
                            <w:t>Index</w:t>
                          </w:r>
                        </w:p>
                      </w:txbxContent>
                    </wps:txbx>
                    <wps:bodyPr wrap="square" lIns="0" tIns="0" rIns="0" bIns="0" rtlCol="0">
                      <a:noAutofit/>
                    </wps:bodyPr>
                  </wps:wsp>
                </a:graphicData>
              </a:graphic>
            </wp:anchor>
          </w:drawing>
        </mc:Choice>
        <mc:Fallback>
          <w:pict>
            <v:shape style="position:absolute;margin-left:423.011292pt;margin-top:20.191999pt;width:154pt;height:9.35pt;mso-position-horizontal-relative:page;mso-position-vertical-relative:page;z-index:-36569088" type="#_x0000_t202" id="docshape397" filled="false" stroked="false">
              <v:textbox inset="0,0,0,0">
                <w:txbxContent>
                  <w:p>
                    <w:pPr>
                      <w:spacing w:before="23"/>
                      <w:ind w:left="20" w:right="0" w:firstLine="0"/>
                      <w:jc w:val="left"/>
                      <w:rPr>
                        <w:rFonts w:ascii="Arial"/>
                        <w:sz w:val="12"/>
                      </w:rPr>
                    </w:pPr>
                    <w:r>
                      <w:rPr>
                        <w:rFonts w:ascii="Arial"/>
                        <w:color w:val="008FDD"/>
                        <w:w w:val="110"/>
                        <w:sz w:val="12"/>
                      </w:rPr>
                      <w:t>Chapter</w:t>
                    </w:r>
                    <w:r>
                      <w:rPr>
                        <w:rFonts w:ascii="Arial"/>
                        <w:color w:val="008FDD"/>
                        <w:spacing w:val="12"/>
                        <w:w w:val="110"/>
                        <w:sz w:val="12"/>
                      </w:rPr>
                      <w:t> </w:t>
                    </w:r>
                    <w:r>
                      <w:rPr>
                        <w:rFonts w:ascii="Arial"/>
                        <w:color w:val="008FDD"/>
                        <w:w w:val="110"/>
                        <w:sz w:val="12"/>
                      </w:rPr>
                      <w:t>2</w:t>
                    </w:r>
                    <w:r>
                      <w:rPr>
                        <w:rFonts w:ascii="Arial"/>
                        <w:color w:val="008FDD"/>
                        <w:spacing w:val="33"/>
                        <w:w w:val="110"/>
                        <w:sz w:val="12"/>
                      </w:rPr>
                      <w:t>  </w:t>
                    </w:r>
                    <w:r>
                      <w:rPr>
                        <w:rFonts w:ascii="Arial"/>
                        <w:color w:val="008FDD"/>
                        <w:w w:val="110"/>
                        <w:sz w:val="12"/>
                      </w:rPr>
                      <w:t>The</w:t>
                    </w:r>
                    <w:r>
                      <w:rPr>
                        <w:rFonts w:ascii="Arial"/>
                        <w:color w:val="008FDD"/>
                        <w:spacing w:val="13"/>
                        <w:w w:val="110"/>
                        <w:sz w:val="12"/>
                      </w:rPr>
                      <w:t> </w:t>
                    </w:r>
                    <w:r>
                      <w:rPr>
                        <w:rFonts w:ascii="Arial"/>
                        <w:color w:val="008FDD"/>
                        <w:w w:val="110"/>
                        <w:sz w:val="12"/>
                      </w:rPr>
                      <w:t>2023</w:t>
                    </w:r>
                    <w:r>
                      <w:rPr>
                        <w:rFonts w:ascii="Arial"/>
                        <w:color w:val="008FDD"/>
                        <w:spacing w:val="12"/>
                        <w:w w:val="110"/>
                        <w:sz w:val="12"/>
                      </w:rPr>
                      <w:t> </w:t>
                    </w:r>
                    <w:r>
                      <w:rPr>
                        <w:rFonts w:ascii="Arial"/>
                        <w:color w:val="008FDD"/>
                        <w:w w:val="110"/>
                        <w:sz w:val="12"/>
                      </w:rPr>
                      <w:t>Logistics</w:t>
                    </w:r>
                    <w:r>
                      <w:rPr>
                        <w:rFonts w:ascii="Arial"/>
                        <w:color w:val="008FDD"/>
                        <w:spacing w:val="12"/>
                        <w:w w:val="110"/>
                        <w:sz w:val="12"/>
                      </w:rPr>
                      <w:t> </w:t>
                    </w:r>
                    <w:r>
                      <w:rPr>
                        <w:rFonts w:ascii="Arial"/>
                        <w:color w:val="008FDD"/>
                        <w:w w:val="110"/>
                        <w:sz w:val="12"/>
                      </w:rPr>
                      <w:t>Performance</w:t>
                    </w:r>
                    <w:r>
                      <w:rPr>
                        <w:rFonts w:ascii="Arial"/>
                        <w:color w:val="008FDD"/>
                        <w:spacing w:val="12"/>
                        <w:w w:val="110"/>
                        <w:sz w:val="12"/>
                      </w:rPr>
                      <w:t> </w:t>
                    </w:r>
                    <w:r>
                      <w:rPr>
                        <w:rFonts w:ascii="Arial"/>
                        <w:color w:val="008FDD"/>
                        <w:spacing w:val="-2"/>
                        <w:w w:val="110"/>
                        <w:sz w:val="12"/>
                      </w:rPr>
                      <w:t>Index</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0976">
              <wp:simplePos x="0" y="0"/>
              <wp:positionH relativeFrom="page">
                <wp:posOffset>444500</wp:posOffset>
              </wp:positionH>
              <wp:positionV relativeFrom="page">
                <wp:posOffset>256438</wp:posOffset>
              </wp:positionV>
              <wp:extent cx="2896235" cy="118745"/>
              <wp:effectExtent l="0" t="0" r="0" b="0"/>
              <wp:wrapNone/>
              <wp:docPr id="757" name="Textbox 757"/>
              <wp:cNvGraphicFramePr>
                <a:graphicFrameLocks/>
              </wp:cNvGraphicFramePr>
              <a:graphic>
                <a:graphicData uri="http://schemas.microsoft.com/office/word/2010/wordprocessingShape">
                  <wps:wsp>
                    <wps:cNvPr id="757" name="Textbox 757"/>
                    <wps:cNvSpPr txBox="1"/>
                    <wps:spPr>
                      <a:xfrm>
                        <a:off x="0" y="0"/>
                        <a:ext cx="2896235" cy="118745"/>
                      </a:xfrm>
                      <a:prstGeom prst="rect">
                        <a:avLst/>
                      </a:prstGeom>
                    </wps:spPr>
                    <wps:txbx>
                      <w:txbxContent>
                        <w:p>
                          <w:pPr>
                            <w:spacing w:before="23"/>
                            <w:ind w:left="20" w:right="0" w:firstLine="0"/>
                            <w:jc w:val="left"/>
                            <w:rPr>
                              <w:rFonts w:ascii="Arial"/>
                              <w:sz w:val="12"/>
                            </w:rPr>
                          </w:pPr>
                          <w:r>
                            <w:rPr>
                              <w:rFonts w:ascii="Arial"/>
                              <w:color w:val="008FDD"/>
                              <w:w w:val="105"/>
                              <w:sz w:val="12"/>
                            </w:rPr>
                            <w:t>Chapter</w:t>
                          </w:r>
                          <w:r>
                            <w:rPr>
                              <w:rFonts w:ascii="Arial"/>
                              <w:color w:val="008FDD"/>
                              <w:spacing w:val="18"/>
                              <w:w w:val="105"/>
                              <w:sz w:val="12"/>
                            </w:rPr>
                            <w:t> </w:t>
                          </w:r>
                          <w:r>
                            <w:rPr>
                              <w:rFonts w:ascii="Arial"/>
                              <w:color w:val="008FDD"/>
                              <w:w w:val="105"/>
                              <w:sz w:val="12"/>
                            </w:rPr>
                            <w:t>3</w:t>
                          </w:r>
                          <w:r>
                            <w:rPr>
                              <w:rFonts w:ascii="Arial"/>
                              <w:color w:val="008FDD"/>
                              <w:spacing w:val="41"/>
                              <w:w w:val="105"/>
                              <w:sz w:val="12"/>
                            </w:rPr>
                            <w:t>  </w:t>
                          </w:r>
                          <w:r>
                            <w:rPr>
                              <w:rFonts w:ascii="Arial"/>
                              <w:color w:val="008FDD"/>
                              <w:w w:val="105"/>
                              <w:sz w:val="12"/>
                            </w:rPr>
                            <w:t>Supply</w:t>
                          </w:r>
                          <w:r>
                            <w:rPr>
                              <w:rFonts w:ascii="Arial"/>
                              <w:color w:val="008FDD"/>
                              <w:spacing w:val="18"/>
                              <w:w w:val="105"/>
                              <w:sz w:val="12"/>
                            </w:rPr>
                            <w:t> </w:t>
                          </w:r>
                          <w:r>
                            <w:rPr>
                              <w:rFonts w:ascii="Arial"/>
                              <w:color w:val="008FDD"/>
                              <w:w w:val="105"/>
                              <w:sz w:val="12"/>
                            </w:rPr>
                            <w:t>chain</w:t>
                          </w:r>
                          <w:r>
                            <w:rPr>
                              <w:rFonts w:ascii="Arial"/>
                              <w:color w:val="008FDD"/>
                              <w:spacing w:val="18"/>
                              <w:w w:val="105"/>
                              <w:sz w:val="12"/>
                            </w:rPr>
                            <w:t> </w:t>
                          </w:r>
                          <w:r>
                            <w:rPr>
                              <w:rFonts w:ascii="Arial"/>
                              <w:color w:val="008FDD"/>
                              <w:w w:val="105"/>
                              <w:sz w:val="12"/>
                            </w:rPr>
                            <w:t>lead</w:t>
                          </w:r>
                          <w:r>
                            <w:rPr>
                              <w:rFonts w:ascii="Arial"/>
                              <w:color w:val="008FDD"/>
                              <w:spacing w:val="18"/>
                              <w:w w:val="105"/>
                              <w:sz w:val="12"/>
                            </w:rPr>
                            <w:t> </w:t>
                          </w:r>
                          <w:r>
                            <w:rPr>
                              <w:rFonts w:ascii="Arial"/>
                              <w:color w:val="008FDD"/>
                              <w:w w:val="105"/>
                              <w:sz w:val="12"/>
                            </w:rPr>
                            <w:t>time</w:t>
                          </w:r>
                          <w:r>
                            <w:rPr>
                              <w:rFonts w:ascii="Arial"/>
                              <w:color w:val="008FDD"/>
                              <w:spacing w:val="18"/>
                              <w:w w:val="105"/>
                              <w:sz w:val="12"/>
                            </w:rPr>
                            <w:t> </w:t>
                          </w:r>
                          <w:r>
                            <w:rPr>
                              <w:rFonts w:ascii="Arial"/>
                              <w:color w:val="008FDD"/>
                              <w:w w:val="105"/>
                              <w:sz w:val="12"/>
                            </w:rPr>
                            <w:t>around</w:t>
                          </w:r>
                          <w:r>
                            <w:rPr>
                              <w:rFonts w:ascii="Arial"/>
                              <w:color w:val="008FDD"/>
                              <w:spacing w:val="18"/>
                              <w:w w:val="105"/>
                              <w:sz w:val="12"/>
                            </w:rPr>
                            <w:t> </w:t>
                          </w:r>
                          <w:r>
                            <w:rPr>
                              <w:rFonts w:ascii="Arial"/>
                              <w:color w:val="008FDD"/>
                              <w:w w:val="105"/>
                              <w:sz w:val="12"/>
                            </w:rPr>
                            <w:t>the</w:t>
                          </w:r>
                          <w:r>
                            <w:rPr>
                              <w:rFonts w:ascii="Arial"/>
                              <w:color w:val="008FDD"/>
                              <w:spacing w:val="18"/>
                              <w:w w:val="105"/>
                              <w:sz w:val="12"/>
                            </w:rPr>
                            <w:t> </w:t>
                          </w:r>
                          <w:r>
                            <w:rPr>
                              <w:rFonts w:ascii="Arial"/>
                              <w:color w:val="008FDD"/>
                              <w:w w:val="105"/>
                              <w:sz w:val="12"/>
                            </w:rPr>
                            <w:t>world:</w:t>
                          </w:r>
                          <w:r>
                            <w:rPr>
                              <w:rFonts w:ascii="Arial"/>
                              <w:color w:val="008FDD"/>
                              <w:spacing w:val="18"/>
                              <w:w w:val="105"/>
                              <w:sz w:val="12"/>
                            </w:rPr>
                            <w:t> </w:t>
                          </w:r>
                          <w:r>
                            <w:rPr>
                              <w:rFonts w:ascii="Arial"/>
                              <w:color w:val="008FDD"/>
                              <w:w w:val="105"/>
                              <w:sz w:val="12"/>
                            </w:rPr>
                            <w:t>Where</w:t>
                          </w:r>
                          <w:r>
                            <w:rPr>
                              <w:rFonts w:ascii="Arial"/>
                              <w:color w:val="008FDD"/>
                              <w:spacing w:val="18"/>
                              <w:w w:val="105"/>
                              <w:sz w:val="12"/>
                            </w:rPr>
                            <w:t> </w:t>
                          </w:r>
                          <w:r>
                            <w:rPr>
                              <w:rFonts w:ascii="Arial"/>
                              <w:color w:val="008FDD"/>
                              <w:w w:val="105"/>
                              <w:sz w:val="12"/>
                            </w:rPr>
                            <w:t>are</w:t>
                          </w:r>
                          <w:r>
                            <w:rPr>
                              <w:rFonts w:ascii="Arial"/>
                              <w:color w:val="008FDD"/>
                              <w:spacing w:val="18"/>
                              <w:w w:val="105"/>
                              <w:sz w:val="12"/>
                            </w:rPr>
                            <w:t> </w:t>
                          </w:r>
                          <w:r>
                            <w:rPr>
                              <w:rFonts w:ascii="Arial"/>
                              <w:color w:val="008FDD"/>
                              <w:w w:val="105"/>
                              <w:sz w:val="12"/>
                            </w:rPr>
                            <w:t>the</w:t>
                          </w:r>
                          <w:r>
                            <w:rPr>
                              <w:rFonts w:ascii="Arial"/>
                              <w:color w:val="008FDD"/>
                              <w:spacing w:val="18"/>
                              <w:w w:val="105"/>
                              <w:sz w:val="12"/>
                            </w:rPr>
                            <w:t> </w:t>
                          </w:r>
                          <w:r>
                            <w:rPr>
                              <w:rFonts w:ascii="Arial"/>
                              <w:color w:val="008FDD"/>
                              <w:spacing w:val="-2"/>
                              <w:w w:val="105"/>
                              <w:sz w:val="12"/>
                            </w:rPr>
                            <w:t>delays?</w:t>
                          </w:r>
                        </w:p>
                      </w:txbxContent>
                    </wps:txbx>
                    <wps:bodyPr wrap="square" lIns="0" tIns="0" rIns="0" bIns="0" rtlCol="0">
                      <a:noAutofit/>
                    </wps:bodyPr>
                  </wps:wsp>
                </a:graphicData>
              </a:graphic>
            </wp:anchor>
          </w:drawing>
        </mc:Choice>
        <mc:Fallback>
          <w:pict>
            <v:shape style="position:absolute;margin-left:35pt;margin-top:20.191999pt;width:228.05pt;height:9.35pt;mso-position-horizontal-relative:page;mso-position-vertical-relative:page;z-index:-36565504" type="#_x0000_t202" id="docshape612" filled="false" stroked="false">
              <v:textbox inset="0,0,0,0">
                <w:txbxContent>
                  <w:p>
                    <w:pPr>
                      <w:spacing w:before="23"/>
                      <w:ind w:left="20" w:right="0" w:firstLine="0"/>
                      <w:jc w:val="left"/>
                      <w:rPr>
                        <w:rFonts w:ascii="Arial"/>
                        <w:sz w:val="12"/>
                      </w:rPr>
                    </w:pPr>
                    <w:r>
                      <w:rPr>
                        <w:rFonts w:ascii="Arial"/>
                        <w:color w:val="008FDD"/>
                        <w:w w:val="105"/>
                        <w:sz w:val="12"/>
                      </w:rPr>
                      <w:t>Chapter</w:t>
                    </w:r>
                    <w:r>
                      <w:rPr>
                        <w:rFonts w:ascii="Arial"/>
                        <w:color w:val="008FDD"/>
                        <w:spacing w:val="18"/>
                        <w:w w:val="105"/>
                        <w:sz w:val="12"/>
                      </w:rPr>
                      <w:t> </w:t>
                    </w:r>
                    <w:r>
                      <w:rPr>
                        <w:rFonts w:ascii="Arial"/>
                        <w:color w:val="008FDD"/>
                        <w:w w:val="105"/>
                        <w:sz w:val="12"/>
                      </w:rPr>
                      <w:t>3</w:t>
                    </w:r>
                    <w:r>
                      <w:rPr>
                        <w:rFonts w:ascii="Arial"/>
                        <w:color w:val="008FDD"/>
                        <w:spacing w:val="41"/>
                        <w:w w:val="105"/>
                        <w:sz w:val="12"/>
                      </w:rPr>
                      <w:t>  </w:t>
                    </w:r>
                    <w:r>
                      <w:rPr>
                        <w:rFonts w:ascii="Arial"/>
                        <w:color w:val="008FDD"/>
                        <w:w w:val="105"/>
                        <w:sz w:val="12"/>
                      </w:rPr>
                      <w:t>Supply</w:t>
                    </w:r>
                    <w:r>
                      <w:rPr>
                        <w:rFonts w:ascii="Arial"/>
                        <w:color w:val="008FDD"/>
                        <w:spacing w:val="18"/>
                        <w:w w:val="105"/>
                        <w:sz w:val="12"/>
                      </w:rPr>
                      <w:t> </w:t>
                    </w:r>
                    <w:r>
                      <w:rPr>
                        <w:rFonts w:ascii="Arial"/>
                        <w:color w:val="008FDD"/>
                        <w:w w:val="105"/>
                        <w:sz w:val="12"/>
                      </w:rPr>
                      <w:t>chain</w:t>
                    </w:r>
                    <w:r>
                      <w:rPr>
                        <w:rFonts w:ascii="Arial"/>
                        <w:color w:val="008FDD"/>
                        <w:spacing w:val="18"/>
                        <w:w w:val="105"/>
                        <w:sz w:val="12"/>
                      </w:rPr>
                      <w:t> </w:t>
                    </w:r>
                    <w:r>
                      <w:rPr>
                        <w:rFonts w:ascii="Arial"/>
                        <w:color w:val="008FDD"/>
                        <w:w w:val="105"/>
                        <w:sz w:val="12"/>
                      </w:rPr>
                      <w:t>lead</w:t>
                    </w:r>
                    <w:r>
                      <w:rPr>
                        <w:rFonts w:ascii="Arial"/>
                        <w:color w:val="008FDD"/>
                        <w:spacing w:val="18"/>
                        <w:w w:val="105"/>
                        <w:sz w:val="12"/>
                      </w:rPr>
                      <w:t> </w:t>
                    </w:r>
                    <w:r>
                      <w:rPr>
                        <w:rFonts w:ascii="Arial"/>
                        <w:color w:val="008FDD"/>
                        <w:w w:val="105"/>
                        <w:sz w:val="12"/>
                      </w:rPr>
                      <w:t>time</w:t>
                    </w:r>
                    <w:r>
                      <w:rPr>
                        <w:rFonts w:ascii="Arial"/>
                        <w:color w:val="008FDD"/>
                        <w:spacing w:val="18"/>
                        <w:w w:val="105"/>
                        <w:sz w:val="12"/>
                      </w:rPr>
                      <w:t> </w:t>
                    </w:r>
                    <w:r>
                      <w:rPr>
                        <w:rFonts w:ascii="Arial"/>
                        <w:color w:val="008FDD"/>
                        <w:w w:val="105"/>
                        <w:sz w:val="12"/>
                      </w:rPr>
                      <w:t>around</w:t>
                    </w:r>
                    <w:r>
                      <w:rPr>
                        <w:rFonts w:ascii="Arial"/>
                        <w:color w:val="008FDD"/>
                        <w:spacing w:val="18"/>
                        <w:w w:val="105"/>
                        <w:sz w:val="12"/>
                      </w:rPr>
                      <w:t> </w:t>
                    </w:r>
                    <w:r>
                      <w:rPr>
                        <w:rFonts w:ascii="Arial"/>
                        <w:color w:val="008FDD"/>
                        <w:w w:val="105"/>
                        <w:sz w:val="12"/>
                      </w:rPr>
                      <w:t>the</w:t>
                    </w:r>
                    <w:r>
                      <w:rPr>
                        <w:rFonts w:ascii="Arial"/>
                        <w:color w:val="008FDD"/>
                        <w:spacing w:val="18"/>
                        <w:w w:val="105"/>
                        <w:sz w:val="12"/>
                      </w:rPr>
                      <w:t> </w:t>
                    </w:r>
                    <w:r>
                      <w:rPr>
                        <w:rFonts w:ascii="Arial"/>
                        <w:color w:val="008FDD"/>
                        <w:w w:val="105"/>
                        <w:sz w:val="12"/>
                      </w:rPr>
                      <w:t>world:</w:t>
                    </w:r>
                    <w:r>
                      <w:rPr>
                        <w:rFonts w:ascii="Arial"/>
                        <w:color w:val="008FDD"/>
                        <w:spacing w:val="18"/>
                        <w:w w:val="105"/>
                        <w:sz w:val="12"/>
                      </w:rPr>
                      <w:t> </w:t>
                    </w:r>
                    <w:r>
                      <w:rPr>
                        <w:rFonts w:ascii="Arial"/>
                        <w:color w:val="008FDD"/>
                        <w:w w:val="105"/>
                        <w:sz w:val="12"/>
                      </w:rPr>
                      <w:t>Where</w:t>
                    </w:r>
                    <w:r>
                      <w:rPr>
                        <w:rFonts w:ascii="Arial"/>
                        <w:color w:val="008FDD"/>
                        <w:spacing w:val="18"/>
                        <w:w w:val="105"/>
                        <w:sz w:val="12"/>
                      </w:rPr>
                      <w:t> </w:t>
                    </w:r>
                    <w:r>
                      <w:rPr>
                        <w:rFonts w:ascii="Arial"/>
                        <w:color w:val="008FDD"/>
                        <w:w w:val="105"/>
                        <w:sz w:val="12"/>
                      </w:rPr>
                      <w:t>are</w:t>
                    </w:r>
                    <w:r>
                      <w:rPr>
                        <w:rFonts w:ascii="Arial"/>
                        <w:color w:val="008FDD"/>
                        <w:spacing w:val="18"/>
                        <w:w w:val="105"/>
                        <w:sz w:val="12"/>
                      </w:rPr>
                      <w:t> </w:t>
                    </w:r>
                    <w:r>
                      <w:rPr>
                        <w:rFonts w:ascii="Arial"/>
                        <w:color w:val="008FDD"/>
                        <w:w w:val="105"/>
                        <w:sz w:val="12"/>
                      </w:rPr>
                      <w:t>the</w:t>
                    </w:r>
                    <w:r>
                      <w:rPr>
                        <w:rFonts w:ascii="Arial"/>
                        <w:color w:val="008FDD"/>
                        <w:spacing w:val="18"/>
                        <w:w w:val="105"/>
                        <w:sz w:val="12"/>
                      </w:rPr>
                      <w:t> </w:t>
                    </w:r>
                    <w:r>
                      <w:rPr>
                        <w:rFonts w:ascii="Arial"/>
                        <w:color w:val="008FDD"/>
                        <w:spacing w:val="-2"/>
                        <w:w w:val="105"/>
                        <w:sz w:val="12"/>
                      </w:rPr>
                      <w:t>delays?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1488">
              <wp:simplePos x="0" y="0"/>
              <wp:positionH relativeFrom="page">
                <wp:posOffset>4432291</wp:posOffset>
              </wp:positionH>
              <wp:positionV relativeFrom="page">
                <wp:posOffset>256438</wp:posOffset>
              </wp:positionV>
              <wp:extent cx="2896235" cy="118745"/>
              <wp:effectExtent l="0" t="0" r="0" b="0"/>
              <wp:wrapNone/>
              <wp:docPr id="758" name="Textbox 758"/>
              <wp:cNvGraphicFramePr>
                <a:graphicFrameLocks/>
              </wp:cNvGraphicFramePr>
              <a:graphic>
                <a:graphicData uri="http://schemas.microsoft.com/office/word/2010/wordprocessingShape">
                  <wps:wsp>
                    <wps:cNvPr id="758" name="Textbox 758"/>
                    <wps:cNvSpPr txBox="1"/>
                    <wps:spPr>
                      <a:xfrm>
                        <a:off x="0" y="0"/>
                        <a:ext cx="2896235" cy="118745"/>
                      </a:xfrm>
                      <a:prstGeom prst="rect">
                        <a:avLst/>
                      </a:prstGeom>
                    </wps:spPr>
                    <wps:txbx>
                      <w:txbxContent>
                        <w:p>
                          <w:pPr>
                            <w:spacing w:before="23"/>
                            <w:ind w:left="20" w:right="0" w:firstLine="0"/>
                            <w:jc w:val="left"/>
                            <w:rPr>
                              <w:rFonts w:ascii="Arial"/>
                              <w:sz w:val="12"/>
                            </w:rPr>
                          </w:pPr>
                          <w:r>
                            <w:rPr>
                              <w:rFonts w:ascii="Arial"/>
                              <w:color w:val="008FDD"/>
                              <w:w w:val="105"/>
                              <w:sz w:val="12"/>
                            </w:rPr>
                            <w:t>Chapter</w:t>
                          </w:r>
                          <w:r>
                            <w:rPr>
                              <w:rFonts w:ascii="Arial"/>
                              <w:color w:val="008FDD"/>
                              <w:spacing w:val="18"/>
                              <w:w w:val="105"/>
                              <w:sz w:val="12"/>
                            </w:rPr>
                            <w:t> </w:t>
                          </w:r>
                          <w:r>
                            <w:rPr>
                              <w:rFonts w:ascii="Arial"/>
                              <w:color w:val="008FDD"/>
                              <w:w w:val="105"/>
                              <w:sz w:val="12"/>
                            </w:rPr>
                            <w:t>3</w:t>
                          </w:r>
                          <w:r>
                            <w:rPr>
                              <w:rFonts w:ascii="Arial"/>
                              <w:color w:val="008FDD"/>
                              <w:spacing w:val="41"/>
                              <w:w w:val="105"/>
                              <w:sz w:val="12"/>
                            </w:rPr>
                            <w:t>  </w:t>
                          </w:r>
                          <w:r>
                            <w:rPr>
                              <w:rFonts w:ascii="Arial"/>
                              <w:color w:val="008FDD"/>
                              <w:w w:val="105"/>
                              <w:sz w:val="12"/>
                            </w:rPr>
                            <w:t>Supply</w:t>
                          </w:r>
                          <w:r>
                            <w:rPr>
                              <w:rFonts w:ascii="Arial"/>
                              <w:color w:val="008FDD"/>
                              <w:spacing w:val="18"/>
                              <w:w w:val="105"/>
                              <w:sz w:val="12"/>
                            </w:rPr>
                            <w:t> </w:t>
                          </w:r>
                          <w:r>
                            <w:rPr>
                              <w:rFonts w:ascii="Arial"/>
                              <w:color w:val="008FDD"/>
                              <w:w w:val="105"/>
                              <w:sz w:val="12"/>
                            </w:rPr>
                            <w:t>chain</w:t>
                          </w:r>
                          <w:r>
                            <w:rPr>
                              <w:rFonts w:ascii="Arial"/>
                              <w:color w:val="008FDD"/>
                              <w:spacing w:val="18"/>
                              <w:w w:val="105"/>
                              <w:sz w:val="12"/>
                            </w:rPr>
                            <w:t> </w:t>
                          </w:r>
                          <w:r>
                            <w:rPr>
                              <w:rFonts w:ascii="Arial"/>
                              <w:color w:val="008FDD"/>
                              <w:w w:val="105"/>
                              <w:sz w:val="12"/>
                            </w:rPr>
                            <w:t>lead</w:t>
                          </w:r>
                          <w:r>
                            <w:rPr>
                              <w:rFonts w:ascii="Arial"/>
                              <w:color w:val="008FDD"/>
                              <w:spacing w:val="18"/>
                              <w:w w:val="105"/>
                              <w:sz w:val="12"/>
                            </w:rPr>
                            <w:t> </w:t>
                          </w:r>
                          <w:r>
                            <w:rPr>
                              <w:rFonts w:ascii="Arial"/>
                              <w:color w:val="008FDD"/>
                              <w:w w:val="105"/>
                              <w:sz w:val="12"/>
                            </w:rPr>
                            <w:t>time</w:t>
                          </w:r>
                          <w:r>
                            <w:rPr>
                              <w:rFonts w:ascii="Arial"/>
                              <w:color w:val="008FDD"/>
                              <w:spacing w:val="18"/>
                              <w:w w:val="105"/>
                              <w:sz w:val="12"/>
                            </w:rPr>
                            <w:t> </w:t>
                          </w:r>
                          <w:r>
                            <w:rPr>
                              <w:rFonts w:ascii="Arial"/>
                              <w:color w:val="008FDD"/>
                              <w:w w:val="105"/>
                              <w:sz w:val="12"/>
                            </w:rPr>
                            <w:t>around</w:t>
                          </w:r>
                          <w:r>
                            <w:rPr>
                              <w:rFonts w:ascii="Arial"/>
                              <w:color w:val="008FDD"/>
                              <w:spacing w:val="18"/>
                              <w:w w:val="105"/>
                              <w:sz w:val="12"/>
                            </w:rPr>
                            <w:t> </w:t>
                          </w:r>
                          <w:r>
                            <w:rPr>
                              <w:rFonts w:ascii="Arial"/>
                              <w:color w:val="008FDD"/>
                              <w:w w:val="105"/>
                              <w:sz w:val="12"/>
                            </w:rPr>
                            <w:t>the</w:t>
                          </w:r>
                          <w:r>
                            <w:rPr>
                              <w:rFonts w:ascii="Arial"/>
                              <w:color w:val="008FDD"/>
                              <w:spacing w:val="18"/>
                              <w:w w:val="105"/>
                              <w:sz w:val="12"/>
                            </w:rPr>
                            <w:t> </w:t>
                          </w:r>
                          <w:r>
                            <w:rPr>
                              <w:rFonts w:ascii="Arial"/>
                              <w:color w:val="008FDD"/>
                              <w:w w:val="105"/>
                              <w:sz w:val="12"/>
                            </w:rPr>
                            <w:t>world:</w:t>
                          </w:r>
                          <w:r>
                            <w:rPr>
                              <w:rFonts w:ascii="Arial"/>
                              <w:color w:val="008FDD"/>
                              <w:spacing w:val="18"/>
                              <w:w w:val="105"/>
                              <w:sz w:val="12"/>
                            </w:rPr>
                            <w:t> </w:t>
                          </w:r>
                          <w:r>
                            <w:rPr>
                              <w:rFonts w:ascii="Arial"/>
                              <w:color w:val="008FDD"/>
                              <w:w w:val="105"/>
                              <w:sz w:val="12"/>
                            </w:rPr>
                            <w:t>Where</w:t>
                          </w:r>
                          <w:r>
                            <w:rPr>
                              <w:rFonts w:ascii="Arial"/>
                              <w:color w:val="008FDD"/>
                              <w:spacing w:val="18"/>
                              <w:w w:val="105"/>
                              <w:sz w:val="12"/>
                            </w:rPr>
                            <w:t> </w:t>
                          </w:r>
                          <w:r>
                            <w:rPr>
                              <w:rFonts w:ascii="Arial"/>
                              <w:color w:val="008FDD"/>
                              <w:w w:val="105"/>
                              <w:sz w:val="12"/>
                            </w:rPr>
                            <w:t>are</w:t>
                          </w:r>
                          <w:r>
                            <w:rPr>
                              <w:rFonts w:ascii="Arial"/>
                              <w:color w:val="008FDD"/>
                              <w:spacing w:val="18"/>
                              <w:w w:val="105"/>
                              <w:sz w:val="12"/>
                            </w:rPr>
                            <w:t> </w:t>
                          </w:r>
                          <w:r>
                            <w:rPr>
                              <w:rFonts w:ascii="Arial"/>
                              <w:color w:val="008FDD"/>
                              <w:w w:val="105"/>
                              <w:sz w:val="12"/>
                            </w:rPr>
                            <w:t>the</w:t>
                          </w:r>
                          <w:r>
                            <w:rPr>
                              <w:rFonts w:ascii="Arial"/>
                              <w:color w:val="008FDD"/>
                              <w:spacing w:val="18"/>
                              <w:w w:val="105"/>
                              <w:sz w:val="12"/>
                            </w:rPr>
                            <w:t> </w:t>
                          </w:r>
                          <w:r>
                            <w:rPr>
                              <w:rFonts w:ascii="Arial"/>
                              <w:color w:val="008FDD"/>
                              <w:spacing w:val="-2"/>
                              <w:w w:val="105"/>
                              <w:sz w:val="12"/>
                            </w:rPr>
                            <w:t>delays?</w:t>
                          </w:r>
                        </w:p>
                      </w:txbxContent>
                    </wps:txbx>
                    <wps:bodyPr wrap="square" lIns="0" tIns="0" rIns="0" bIns="0" rtlCol="0">
                      <a:noAutofit/>
                    </wps:bodyPr>
                  </wps:wsp>
                </a:graphicData>
              </a:graphic>
            </wp:anchor>
          </w:drawing>
        </mc:Choice>
        <mc:Fallback>
          <w:pict>
            <v:shape style="position:absolute;margin-left:348.999298pt;margin-top:20.191999pt;width:228.05pt;height:9.35pt;mso-position-horizontal-relative:page;mso-position-vertical-relative:page;z-index:-36564992" type="#_x0000_t202" id="docshape613" filled="false" stroked="false">
              <v:textbox inset="0,0,0,0">
                <w:txbxContent>
                  <w:p>
                    <w:pPr>
                      <w:spacing w:before="23"/>
                      <w:ind w:left="20" w:right="0" w:firstLine="0"/>
                      <w:jc w:val="left"/>
                      <w:rPr>
                        <w:rFonts w:ascii="Arial"/>
                        <w:sz w:val="12"/>
                      </w:rPr>
                    </w:pPr>
                    <w:r>
                      <w:rPr>
                        <w:rFonts w:ascii="Arial"/>
                        <w:color w:val="008FDD"/>
                        <w:w w:val="105"/>
                        <w:sz w:val="12"/>
                      </w:rPr>
                      <w:t>Chapter</w:t>
                    </w:r>
                    <w:r>
                      <w:rPr>
                        <w:rFonts w:ascii="Arial"/>
                        <w:color w:val="008FDD"/>
                        <w:spacing w:val="18"/>
                        <w:w w:val="105"/>
                        <w:sz w:val="12"/>
                      </w:rPr>
                      <w:t> </w:t>
                    </w:r>
                    <w:r>
                      <w:rPr>
                        <w:rFonts w:ascii="Arial"/>
                        <w:color w:val="008FDD"/>
                        <w:w w:val="105"/>
                        <w:sz w:val="12"/>
                      </w:rPr>
                      <w:t>3</w:t>
                    </w:r>
                    <w:r>
                      <w:rPr>
                        <w:rFonts w:ascii="Arial"/>
                        <w:color w:val="008FDD"/>
                        <w:spacing w:val="41"/>
                        <w:w w:val="105"/>
                        <w:sz w:val="12"/>
                      </w:rPr>
                      <w:t>  </w:t>
                    </w:r>
                    <w:r>
                      <w:rPr>
                        <w:rFonts w:ascii="Arial"/>
                        <w:color w:val="008FDD"/>
                        <w:w w:val="105"/>
                        <w:sz w:val="12"/>
                      </w:rPr>
                      <w:t>Supply</w:t>
                    </w:r>
                    <w:r>
                      <w:rPr>
                        <w:rFonts w:ascii="Arial"/>
                        <w:color w:val="008FDD"/>
                        <w:spacing w:val="18"/>
                        <w:w w:val="105"/>
                        <w:sz w:val="12"/>
                      </w:rPr>
                      <w:t> </w:t>
                    </w:r>
                    <w:r>
                      <w:rPr>
                        <w:rFonts w:ascii="Arial"/>
                        <w:color w:val="008FDD"/>
                        <w:w w:val="105"/>
                        <w:sz w:val="12"/>
                      </w:rPr>
                      <w:t>chain</w:t>
                    </w:r>
                    <w:r>
                      <w:rPr>
                        <w:rFonts w:ascii="Arial"/>
                        <w:color w:val="008FDD"/>
                        <w:spacing w:val="18"/>
                        <w:w w:val="105"/>
                        <w:sz w:val="12"/>
                      </w:rPr>
                      <w:t> </w:t>
                    </w:r>
                    <w:r>
                      <w:rPr>
                        <w:rFonts w:ascii="Arial"/>
                        <w:color w:val="008FDD"/>
                        <w:w w:val="105"/>
                        <w:sz w:val="12"/>
                      </w:rPr>
                      <w:t>lead</w:t>
                    </w:r>
                    <w:r>
                      <w:rPr>
                        <w:rFonts w:ascii="Arial"/>
                        <w:color w:val="008FDD"/>
                        <w:spacing w:val="18"/>
                        <w:w w:val="105"/>
                        <w:sz w:val="12"/>
                      </w:rPr>
                      <w:t> </w:t>
                    </w:r>
                    <w:r>
                      <w:rPr>
                        <w:rFonts w:ascii="Arial"/>
                        <w:color w:val="008FDD"/>
                        <w:w w:val="105"/>
                        <w:sz w:val="12"/>
                      </w:rPr>
                      <w:t>time</w:t>
                    </w:r>
                    <w:r>
                      <w:rPr>
                        <w:rFonts w:ascii="Arial"/>
                        <w:color w:val="008FDD"/>
                        <w:spacing w:val="18"/>
                        <w:w w:val="105"/>
                        <w:sz w:val="12"/>
                      </w:rPr>
                      <w:t> </w:t>
                    </w:r>
                    <w:r>
                      <w:rPr>
                        <w:rFonts w:ascii="Arial"/>
                        <w:color w:val="008FDD"/>
                        <w:w w:val="105"/>
                        <w:sz w:val="12"/>
                      </w:rPr>
                      <w:t>around</w:t>
                    </w:r>
                    <w:r>
                      <w:rPr>
                        <w:rFonts w:ascii="Arial"/>
                        <w:color w:val="008FDD"/>
                        <w:spacing w:val="18"/>
                        <w:w w:val="105"/>
                        <w:sz w:val="12"/>
                      </w:rPr>
                      <w:t> </w:t>
                    </w:r>
                    <w:r>
                      <w:rPr>
                        <w:rFonts w:ascii="Arial"/>
                        <w:color w:val="008FDD"/>
                        <w:w w:val="105"/>
                        <w:sz w:val="12"/>
                      </w:rPr>
                      <w:t>the</w:t>
                    </w:r>
                    <w:r>
                      <w:rPr>
                        <w:rFonts w:ascii="Arial"/>
                        <w:color w:val="008FDD"/>
                        <w:spacing w:val="18"/>
                        <w:w w:val="105"/>
                        <w:sz w:val="12"/>
                      </w:rPr>
                      <w:t> </w:t>
                    </w:r>
                    <w:r>
                      <w:rPr>
                        <w:rFonts w:ascii="Arial"/>
                        <w:color w:val="008FDD"/>
                        <w:w w:val="105"/>
                        <w:sz w:val="12"/>
                      </w:rPr>
                      <w:t>world:</w:t>
                    </w:r>
                    <w:r>
                      <w:rPr>
                        <w:rFonts w:ascii="Arial"/>
                        <w:color w:val="008FDD"/>
                        <w:spacing w:val="18"/>
                        <w:w w:val="105"/>
                        <w:sz w:val="12"/>
                      </w:rPr>
                      <w:t> </w:t>
                    </w:r>
                    <w:r>
                      <w:rPr>
                        <w:rFonts w:ascii="Arial"/>
                        <w:color w:val="008FDD"/>
                        <w:w w:val="105"/>
                        <w:sz w:val="12"/>
                      </w:rPr>
                      <w:t>Where</w:t>
                    </w:r>
                    <w:r>
                      <w:rPr>
                        <w:rFonts w:ascii="Arial"/>
                        <w:color w:val="008FDD"/>
                        <w:spacing w:val="18"/>
                        <w:w w:val="105"/>
                        <w:sz w:val="12"/>
                      </w:rPr>
                      <w:t> </w:t>
                    </w:r>
                    <w:r>
                      <w:rPr>
                        <w:rFonts w:ascii="Arial"/>
                        <w:color w:val="008FDD"/>
                        <w:w w:val="105"/>
                        <w:sz w:val="12"/>
                      </w:rPr>
                      <w:t>are</w:t>
                    </w:r>
                    <w:r>
                      <w:rPr>
                        <w:rFonts w:ascii="Arial"/>
                        <w:color w:val="008FDD"/>
                        <w:spacing w:val="18"/>
                        <w:w w:val="105"/>
                        <w:sz w:val="12"/>
                      </w:rPr>
                      <w:t> </w:t>
                    </w:r>
                    <w:r>
                      <w:rPr>
                        <w:rFonts w:ascii="Arial"/>
                        <w:color w:val="008FDD"/>
                        <w:w w:val="105"/>
                        <w:sz w:val="12"/>
                      </w:rPr>
                      <w:t>the</w:t>
                    </w:r>
                    <w:r>
                      <w:rPr>
                        <w:rFonts w:ascii="Arial"/>
                        <w:color w:val="008FDD"/>
                        <w:spacing w:val="18"/>
                        <w:w w:val="105"/>
                        <w:sz w:val="12"/>
                      </w:rPr>
                      <w:t> </w:t>
                    </w:r>
                    <w:r>
                      <w:rPr>
                        <w:rFonts w:ascii="Arial"/>
                        <w:color w:val="008FDD"/>
                        <w:spacing w:val="-2"/>
                        <w:w w:val="105"/>
                        <w:sz w:val="12"/>
                      </w:rPr>
                      <w:t>delays?</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5072">
              <wp:simplePos x="0" y="0"/>
              <wp:positionH relativeFrom="page">
                <wp:posOffset>444500</wp:posOffset>
              </wp:positionH>
              <wp:positionV relativeFrom="page">
                <wp:posOffset>256438</wp:posOffset>
              </wp:positionV>
              <wp:extent cx="930910" cy="118745"/>
              <wp:effectExtent l="0" t="0" r="0" b="0"/>
              <wp:wrapNone/>
              <wp:docPr id="1493" name="Textbox 1493"/>
              <wp:cNvGraphicFramePr>
                <a:graphicFrameLocks/>
              </wp:cNvGraphicFramePr>
              <a:graphic>
                <a:graphicData uri="http://schemas.microsoft.com/office/word/2010/wordprocessingShape">
                  <wps:wsp>
                    <wps:cNvPr id="1493" name="Textbox 1493"/>
                    <wps:cNvSpPr txBox="1"/>
                    <wps:spPr>
                      <a:xfrm>
                        <a:off x="0" y="0"/>
                        <a:ext cx="930910" cy="118745"/>
                      </a:xfrm>
                      <a:prstGeom prst="rect">
                        <a:avLst/>
                      </a:prstGeom>
                    </wps:spPr>
                    <wps:txbx>
                      <w:txbxContent>
                        <w:p>
                          <w:pPr>
                            <w:spacing w:before="23"/>
                            <w:ind w:left="20" w:right="0" w:firstLine="0"/>
                            <w:jc w:val="left"/>
                            <w:rPr>
                              <w:rFonts w:ascii="Arial"/>
                              <w:sz w:val="12"/>
                            </w:rPr>
                          </w:pPr>
                          <w:r>
                            <w:rPr>
                              <w:rFonts w:ascii="Arial"/>
                              <w:color w:val="008FDD"/>
                              <w:w w:val="110"/>
                              <w:sz w:val="12"/>
                            </w:rPr>
                            <w:t>Chapter</w:t>
                          </w:r>
                          <w:r>
                            <w:rPr>
                              <w:rFonts w:ascii="Arial"/>
                              <w:color w:val="008FDD"/>
                              <w:spacing w:val="7"/>
                              <w:w w:val="110"/>
                              <w:sz w:val="12"/>
                            </w:rPr>
                            <w:t> </w:t>
                          </w:r>
                          <w:r>
                            <w:rPr>
                              <w:rFonts w:ascii="Arial"/>
                              <w:color w:val="008FDD"/>
                              <w:w w:val="110"/>
                              <w:sz w:val="12"/>
                            </w:rPr>
                            <w:t>4</w:t>
                          </w:r>
                          <w:r>
                            <w:rPr>
                              <w:rFonts w:ascii="Arial"/>
                              <w:color w:val="008FDD"/>
                              <w:spacing w:val="76"/>
                              <w:w w:val="150"/>
                              <w:sz w:val="12"/>
                            </w:rPr>
                            <w:t> </w:t>
                          </w:r>
                          <w:r>
                            <w:rPr>
                              <w:rFonts w:ascii="Arial"/>
                              <w:color w:val="008FDD"/>
                              <w:spacing w:val="-2"/>
                              <w:w w:val="105"/>
                              <w:sz w:val="12"/>
                            </w:rPr>
                            <w:t>Conclusions</w:t>
                          </w:r>
                        </w:p>
                      </w:txbxContent>
                    </wps:txbx>
                    <wps:bodyPr wrap="square" lIns="0" tIns="0" rIns="0" bIns="0" rtlCol="0">
                      <a:noAutofit/>
                    </wps:bodyPr>
                  </wps:wsp>
                </a:graphicData>
              </a:graphic>
            </wp:anchor>
          </w:drawing>
        </mc:Choice>
        <mc:Fallback>
          <w:pict>
            <v:shape style="position:absolute;margin-left:35pt;margin-top:20.191999pt;width:73.3pt;height:9.35pt;mso-position-horizontal-relative:page;mso-position-vertical-relative:page;z-index:-36561408" type="#_x0000_t202" id="docshape1260" filled="false" stroked="false">
              <v:textbox inset="0,0,0,0">
                <w:txbxContent>
                  <w:p>
                    <w:pPr>
                      <w:spacing w:before="23"/>
                      <w:ind w:left="20" w:right="0" w:firstLine="0"/>
                      <w:jc w:val="left"/>
                      <w:rPr>
                        <w:rFonts w:ascii="Arial"/>
                        <w:sz w:val="12"/>
                      </w:rPr>
                    </w:pPr>
                    <w:r>
                      <w:rPr>
                        <w:rFonts w:ascii="Arial"/>
                        <w:color w:val="008FDD"/>
                        <w:w w:val="110"/>
                        <w:sz w:val="12"/>
                      </w:rPr>
                      <w:t>Chapter</w:t>
                    </w:r>
                    <w:r>
                      <w:rPr>
                        <w:rFonts w:ascii="Arial"/>
                        <w:color w:val="008FDD"/>
                        <w:spacing w:val="7"/>
                        <w:w w:val="110"/>
                        <w:sz w:val="12"/>
                      </w:rPr>
                      <w:t> </w:t>
                    </w:r>
                    <w:r>
                      <w:rPr>
                        <w:rFonts w:ascii="Arial"/>
                        <w:color w:val="008FDD"/>
                        <w:w w:val="110"/>
                        <w:sz w:val="12"/>
                      </w:rPr>
                      <w:t>4</w:t>
                    </w:r>
                    <w:r>
                      <w:rPr>
                        <w:rFonts w:ascii="Arial"/>
                        <w:color w:val="008FDD"/>
                        <w:spacing w:val="76"/>
                        <w:w w:val="150"/>
                        <w:sz w:val="12"/>
                      </w:rPr>
                      <w:t> </w:t>
                    </w:r>
                    <w:r>
                      <w:rPr>
                        <w:rFonts w:ascii="Arial"/>
                        <w:color w:val="008FDD"/>
                        <w:spacing w:val="-2"/>
                        <w:w w:val="105"/>
                        <w:sz w:val="12"/>
                      </w:rPr>
                      <w:t>Conclusions</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5584">
              <wp:simplePos x="0" y="0"/>
              <wp:positionH relativeFrom="page">
                <wp:posOffset>444500</wp:posOffset>
              </wp:positionH>
              <wp:positionV relativeFrom="page">
                <wp:posOffset>256438</wp:posOffset>
              </wp:positionV>
              <wp:extent cx="930910" cy="118745"/>
              <wp:effectExtent l="0" t="0" r="0" b="0"/>
              <wp:wrapNone/>
              <wp:docPr id="1494" name="Textbox 1494"/>
              <wp:cNvGraphicFramePr>
                <a:graphicFrameLocks/>
              </wp:cNvGraphicFramePr>
              <a:graphic>
                <a:graphicData uri="http://schemas.microsoft.com/office/word/2010/wordprocessingShape">
                  <wps:wsp>
                    <wps:cNvPr id="1494" name="Textbox 1494"/>
                    <wps:cNvSpPr txBox="1"/>
                    <wps:spPr>
                      <a:xfrm>
                        <a:off x="0" y="0"/>
                        <a:ext cx="930910" cy="118745"/>
                      </a:xfrm>
                      <a:prstGeom prst="rect">
                        <a:avLst/>
                      </a:prstGeom>
                    </wps:spPr>
                    <wps:txbx>
                      <w:txbxContent>
                        <w:p>
                          <w:pPr>
                            <w:spacing w:before="23"/>
                            <w:ind w:left="20" w:right="0" w:firstLine="0"/>
                            <w:jc w:val="left"/>
                            <w:rPr>
                              <w:rFonts w:ascii="Arial"/>
                              <w:sz w:val="12"/>
                            </w:rPr>
                          </w:pPr>
                          <w:r>
                            <w:rPr>
                              <w:rFonts w:ascii="Arial"/>
                              <w:color w:val="008FDD"/>
                              <w:w w:val="110"/>
                              <w:sz w:val="12"/>
                            </w:rPr>
                            <w:t>Chapter</w:t>
                          </w:r>
                          <w:r>
                            <w:rPr>
                              <w:rFonts w:ascii="Arial"/>
                              <w:color w:val="008FDD"/>
                              <w:spacing w:val="7"/>
                              <w:w w:val="110"/>
                              <w:sz w:val="12"/>
                            </w:rPr>
                            <w:t> </w:t>
                          </w:r>
                          <w:r>
                            <w:rPr>
                              <w:rFonts w:ascii="Arial"/>
                              <w:color w:val="008FDD"/>
                              <w:w w:val="110"/>
                              <w:sz w:val="12"/>
                            </w:rPr>
                            <w:t>4</w:t>
                          </w:r>
                          <w:r>
                            <w:rPr>
                              <w:rFonts w:ascii="Arial"/>
                              <w:color w:val="008FDD"/>
                              <w:spacing w:val="76"/>
                              <w:w w:val="150"/>
                              <w:sz w:val="12"/>
                            </w:rPr>
                            <w:t> </w:t>
                          </w:r>
                          <w:r>
                            <w:rPr>
                              <w:rFonts w:ascii="Arial"/>
                              <w:color w:val="008FDD"/>
                              <w:spacing w:val="-2"/>
                              <w:w w:val="105"/>
                              <w:sz w:val="12"/>
                            </w:rPr>
                            <w:t>Conclusions</w:t>
                          </w:r>
                        </w:p>
                      </w:txbxContent>
                    </wps:txbx>
                    <wps:bodyPr wrap="square" lIns="0" tIns="0" rIns="0" bIns="0" rtlCol="0">
                      <a:noAutofit/>
                    </wps:bodyPr>
                  </wps:wsp>
                </a:graphicData>
              </a:graphic>
            </wp:anchor>
          </w:drawing>
        </mc:Choice>
        <mc:Fallback>
          <w:pict>
            <v:shape style="position:absolute;margin-left:35pt;margin-top:20.191999pt;width:73.3pt;height:9.35pt;mso-position-horizontal-relative:page;mso-position-vertical-relative:page;z-index:-36560896" type="#_x0000_t202" id="docshape1261" filled="false" stroked="false">
              <v:textbox inset="0,0,0,0">
                <w:txbxContent>
                  <w:p>
                    <w:pPr>
                      <w:spacing w:before="23"/>
                      <w:ind w:left="20" w:right="0" w:firstLine="0"/>
                      <w:jc w:val="left"/>
                      <w:rPr>
                        <w:rFonts w:ascii="Arial"/>
                        <w:sz w:val="12"/>
                      </w:rPr>
                    </w:pPr>
                    <w:r>
                      <w:rPr>
                        <w:rFonts w:ascii="Arial"/>
                        <w:color w:val="008FDD"/>
                        <w:w w:val="110"/>
                        <w:sz w:val="12"/>
                      </w:rPr>
                      <w:t>Chapter</w:t>
                    </w:r>
                    <w:r>
                      <w:rPr>
                        <w:rFonts w:ascii="Arial"/>
                        <w:color w:val="008FDD"/>
                        <w:spacing w:val="7"/>
                        <w:w w:val="110"/>
                        <w:sz w:val="12"/>
                      </w:rPr>
                      <w:t> </w:t>
                    </w:r>
                    <w:r>
                      <w:rPr>
                        <w:rFonts w:ascii="Arial"/>
                        <w:color w:val="008FDD"/>
                        <w:w w:val="110"/>
                        <w:sz w:val="12"/>
                      </w:rPr>
                      <w:t>4</w:t>
                    </w:r>
                    <w:r>
                      <w:rPr>
                        <w:rFonts w:ascii="Arial"/>
                        <w:color w:val="008FDD"/>
                        <w:spacing w:val="76"/>
                        <w:w w:val="150"/>
                        <w:sz w:val="12"/>
                      </w:rPr>
                      <w:t> </w:t>
                    </w:r>
                    <w:r>
                      <w:rPr>
                        <w:rFonts w:ascii="Arial"/>
                        <w:color w:val="008FDD"/>
                        <w:spacing w:val="-2"/>
                        <w:w w:val="105"/>
                        <w:sz w:val="12"/>
                      </w:rPr>
                      <w:t>Conclusions</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8656">
              <wp:simplePos x="0" y="0"/>
              <wp:positionH relativeFrom="page">
                <wp:posOffset>6167275</wp:posOffset>
              </wp:positionH>
              <wp:positionV relativeFrom="page">
                <wp:posOffset>256438</wp:posOffset>
              </wp:positionV>
              <wp:extent cx="1160780" cy="118745"/>
              <wp:effectExtent l="0" t="0" r="0" b="0"/>
              <wp:wrapNone/>
              <wp:docPr id="1532" name="Textbox 1532"/>
              <wp:cNvGraphicFramePr>
                <a:graphicFrameLocks/>
              </wp:cNvGraphicFramePr>
              <a:graphic>
                <a:graphicData uri="http://schemas.microsoft.com/office/word/2010/wordprocessingShape">
                  <wps:wsp>
                    <wps:cNvPr id="1532" name="Textbox 1532"/>
                    <wps:cNvSpPr txBox="1"/>
                    <wps:spPr>
                      <a:xfrm>
                        <a:off x="0" y="0"/>
                        <a:ext cx="1160780" cy="118745"/>
                      </a:xfrm>
                      <a:prstGeom prst="rect">
                        <a:avLst/>
                      </a:prstGeom>
                    </wps:spPr>
                    <wps:txbx>
                      <w:txbxContent>
                        <w:p>
                          <w:pPr>
                            <w:spacing w:before="23"/>
                            <w:ind w:left="20" w:right="0" w:firstLine="0"/>
                            <w:jc w:val="left"/>
                            <w:rPr>
                              <w:rFonts w:ascii="Arial"/>
                              <w:sz w:val="12"/>
                            </w:rPr>
                          </w:pPr>
                          <w:r>
                            <w:rPr>
                              <w:rFonts w:ascii="Arial"/>
                              <w:color w:val="008FDD"/>
                              <w:w w:val="110"/>
                              <w:sz w:val="12"/>
                            </w:rPr>
                            <w:t>Appendix</w:t>
                          </w:r>
                          <w:r>
                            <w:rPr>
                              <w:rFonts w:ascii="Arial"/>
                              <w:color w:val="008FDD"/>
                              <w:spacing w:val="5"/>
                              <w:w w:val="110"/>
                              <w:sz w:val="12"/>
                            </w:rPr>
                            <w:t> </w:t>
                          </w:r>
                          <w:r>
                            <w:rPr>
                              <w:rFonts w:ascii="Arial"/>
                              <w:color w:val="008FDD"/>
                              <w:w w:val="110"/>
                              <w:sz w:val="12"/>
                            </w:rPr>
                            <w:t>1</w:t>
                          </w:r>
                          <w:r>
                            <w:rPr>
                              <w:rFonts w:ascii="Arial"/>
                              <w:color w:val="008FDD"/>
                              <w:spacing w:val="72"/>
                              <w:w w:val="150"/>
                              <w:sz w:val="12"/>
                            </w:rPr>
                            <w:t> </w:t>
                          </w:r>
                          <w:r>
                            <w:rPr>
                              <w:rFonts w:ascii="Arial"/>
                              <w:color w:val="008FDD"/>
                              <w:w w:val="110"/>
                              <w:sz w:val="12"/>
                            </w:rPr>
                            <w:t>2023</w:t>
                          </w:r>
                          <w:r>
                            <w:rPr>
                              <w:rFonts w:ascii="Arial"/>
                              <w:color w:val="008FDD"/>
                              <w:spacing w:val="5"/>
                              <w:w w:val="110"/>
                              <w:sz w:val="12"/>
                            </w:rPr>
                            <w:t> </w:t>
                          </w:r>
                          <w:r>
                            <w:rPr>
                              <w:rFonts w:ascii="Arial"/>
                              <w:color w:val="008FDD"/>
                              <w:w w:val="110"/>
                              <w:sz w:val="12"/>
                            </w:rPr>
                            <w:t>LPI</w:t>
                          </w:r>
                          <w:r>
                            <w:rPr>
                              <w:rFonts w:ascii="Arial"/>
                              <w:color w:val="008FDD"/>
                              <w:spacing w:val="6"/>
                              <w:w w:val="110"/>
                              <w:sz w:val="12"/>
                            </w:rPr>
                            <w:t> </w:t>
                          </w:r>
                          <w:r>
                            <w:rPr>
                              <w:rFonts w:ascii="Arial"/>
                              <w:color w:val="008FDD"/>
                              <w:spacing w:val="-2"/>
                              <w:w w:val="110"/>
                              <w:sz w:val="12"/>
                            </w:rPr>
                            <w:t>results</w:t>
                          </w:r>
                        </w:p>
                      </w:txbxContent>
                    </wps:txbx>
                    <wps:bodyPr wrap="square" lIns="0" tIns="0" rIns="0" bIns="0" rtlCol="0">
                      <a:noAutofit/>
                    </wps:bodyPr>
                  </wps:wsp>
                </a:graphicData>
              </a:graphic>
            </wp:anchor>
          </w:drawing>
        </mc:Choice>
        <mc:Fallback>
          <w:pict>
            <v:shape style="position:absolute;margin-left:485.612213pt;margin-top:20.191999pt;width:91.4pt;height:9.35pt;mso-position-horizontal-relative:page;mso-position-vertical-relative:page;z-index:-36557824" type="#_x0000_t202" id="docshape1296" filled="false" stroked="false">
              <v:textbox inset="0,0,0,0">
                <w:txbxContent>
                  <w:p>
                    <w:pPr>
                      <w:spacing w:before="23"/>
                      <w:ind w:left="20" w:right="0" w:firstLine="0"/>
                      <w:jc w:val="left"/>
                      <w:rPr>
                        <w:rFonts w:ascii="Arial"/>
                        <w:sz w:val="12"/>
                      </w:rPr>
                    </w:pPr>
                    <w:r>
                      <w:rPr>
                        <w:rFonts w:ascii="Arial"/>
                        <w:color w:val="008FDD"/>
                        <w:w w:val="110"/>
                        <w:sz w:val="12"/>
                      </w:rPr>
                      <w:t>Appendix</w:t>
                    </w:r>
                    <w:r>
                      <w:rPr>
                        <w:rFonts w:ascii="Arial"/>
                        <w:color w:val="008FDD"/>
                        <w:spacing w:val="5"/>
                        <w:w w:val="110"/>
                        <w:sz w:val="12"/>
                      </w:rPr>
                      <w:t> </w:t>
                    </w:r>
                    <w:r>
                      <w:rPr>
                        <w:rFonts w:ascii="Arial"/>
                        <w:color w:val="008FDD"/>
                        <w:w w:val="110"/>
                        <w:sz w:val="12"/>
                      </w:rPr>
                      <w:t>1</w:t>
                    </w:r>
                    <w:r>
                      <w:rPr>
                        <w:rFonts w:ascii="Arial"/>
                        <w:color w:val="008FDD"/>
                        <w:spacing w:val="72"/>
                        <w:w w:val="150"/>
                        <w:sz w:val="12"/>
                      </w:rPr>
                      <w:t> </w:t>
                    </w:r>
                    <w:r>
                      <w:rPr>
                        <w:rFonts w:ascii="Arial"/>
                        <w:color w:val="008FDD"/>
                        <w:w w:val="110"/>
                        <w:sz w:val="12"/>
                      </w:rPr>
                      <w:t>2023</w:t>
                    </w:r>
                    <w:r>
                      <w:rPr>
                        <w:rFonts w:ascii="Arial"/>
                        <w:color w:val="008FDD"/>
                        <w:spacing w:val="5"/>
                        <w:w w:val="110"/>
                        <w:sz w:val="12"/>
                      </w:rPr>
                      <w:t> </w:t>
                    </w:r>
                    <w:r>
                      <w:rPr>
                        <w:rFonts w:ascii="Arial"/>
                        <w:color w:val="008FDD"/>
                        <w:w w:val="110"/>
                        <w:sz w:val="12"/>
                      </w:rPr>
                      <w:t>LPI</w:t>
                    </w:r>
                    <w:r>
                      <w:rPr>
                        <w:rFonts w:ascii="Arial"/>
                        <w:color w:val="008FDD"/>
                        <w:spacing w:val="6"/>
                        <w:w w:val="110"/>
                        <w:sz w:val="12"/>
                      </w:rPr>
                      <w:t> </w:t>
                    </w:r>
                    <w:r>
                      <w:rPr>
                        <w:rFonts w:ascii="Arial"/>
                        <w:color w:val="008FDD"/>
                        <w:spacing w:val="-2"/>
                        <w:w w:val="110"/>
                        <w:sz w:val="12"/>
                      </w:rPr>
                      <w:t>results</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59168">
              <wp:simplePos x="0" y="0"/>
              <wp:positionH relativeFrom="page">
                <wp:posOffset>6167275</wp:posOffset>
              </wp:positionH>
              <wp:positionV relativeFrom="page">
                <wp:posOffset>256438</wp:posOffset>
              </wp:positionV>
              <wp:extent cx="1160780" cy="118745"/>
              <wp:effectExtent l="0" t="0" r="0" b="0"/>
              <wp:wrapNone/>
              <wp:docPr id="1533" name="Textbox 1533"/>
              <wp:cNvGraphicFramePr>
                <a:graphicFrameLocks/>
              </wp:cNvGraphicFramePr>
              <a:graphic>
                <a:graphicData uri="http://schemas.microsoft.com/office/word/2010/wordprocessingShape">
                  <wps:wsp>
                    <wps:cNvPr id="1533" name="Textbox 1533"/>
                    <wps:cNvSpPr txBox="1"/>
                    <wps:spPr>
                      <a:xfrm>
                        <a:off x="0" y="0"/>
                        <a:ext cx="1160780" cy="118745"/>
                      </a:xfrm>
                      <a:prstGeom prst="rect">
                        <a:avLst/>
                      </a:prstGeom>
                    </wps:spPr>
                    <wps:txbx>
                      <w:txbxContent>
                        <w:p>
                          <w:pPr>
                            <w:spacing w:before="23"/>
                            <w:ind w:left="20" w:right="0" w:firstLine="0"/>
                            <w:jc w:val="left"/>
                            <w:rPr>
                              <w:rFonts w:ascii="Arial"/>
                              <w:sz w:val="12"/>
                            </w:rPr>
                          </w:pPr>
                          <w:r>
                            <w:rPr>
                              <w:rFonts w:ascii="Arial"/>
                              <w:color w:val="008FDD"/>
                              <w:w w:val="110"/>
                              <w:sz w:val="12"/>
                            </w:rPr>
                            <w:t>Appendix</w:t>
                          </w:r>
                          <w:r>
                            <w:rPr>
                              <w:rFonts w:ascii="Arial"/>
                              <w:color w:val="008FDD"/>
                              <w:spacing w:val="5"/>
                              <w:w w:val="110"/>
                              <w:sz w:val="12"/>
                            </w:rPr>
                            <w:t> </w:t>
                          </w:r>
                          <w:r>
                            <w:rPr>
                              <w:rFonts w:ascii="Arial"/>
                              <w:color w:val="008FDD"/>
                              <w:w w:val="110"/>
                              <w:sz w:val="12"/>
                            </w:rPr>
                            <w:t>1</w:t>
                          </w:r>
                          <w:r>
                            <w:rPr>
                              <w:rFonts w:ascii="Arial"/>
                              <w:color w:val="008FDD"/>
                              <w:spacing w:val="72"/>
                              <w:w w:val="150"/>
                              <w:sz w:val="12"/>
                            </w:rPr>
                            <w:t> </w:t>
                          </w:r>
                          <w:r>
                            <w:rPr>
                              <w:rFonts w:ascii="Arial"/>
                              <w:color w:val="008FDD"/>
                              <w:w w:val="110"/>
                              <w:sz w:val="12"/>
                            </w:rPr>
                            <w:t>2023</w:t>
                          </w:r>
                          <w:r>
                            <w:rPr>
                              <w:rFonts w:ascii="Arial"/>
                              <w:color w:val="008FDD"/>
                              <w:spacing w:val="5"/>
                              <w:w w:val="110"/>
                              <w:sz w:val="12"/>
                            </w:rPr>
                            <w:t> </w:t>
                          </w:r>
                          <w:r>
                            <w:rPr>
                              <w:rFonts w:ascii="Arial"/>
                              <w:color w:val="008FDD"/>
                              <w:w w:val="110"/>
                              <w:sz w:val="12"/>
                            </w:rPr>
                            <w:t>LPI</w:t>
                          </w:r>
                          <w:r>
                            <w:rPr>
                              <w:rFonts w:ascii="Arial"/>
                              <w:color w:val="008FDD"/>
                              <w:spacing w:val="6"/>
                              <w:w w:val="110"/>
                              <w:sz w:val="12"/>
                            </w:rPr>
                            <w:t> </w:t>
                          </w:r>
                          <w:r>
                            <w:rPr>
                              <w:rFonts w:ascii="Arial"/>
                              <w:color w:val="008FDD"/>
                              <w:spacing w:val="-2"/>
                              <w:w w:val="110"/>
                              <w:sz w:val="12"/>
                            </w:rPr>
                            <w:t>results</w:t>
                          </w:r>
                        </w:p>
                      </w:txbxContent>
                    </wps:txbx>
                    <wps:bodyPr wrap="square" lIns="0" tIns="0" rIns="0" bIns="0" rtlCol="0">
                      <a:noAutofit/>
                    </wps:bodyPr>
                  </wps:wsp>
                </a:graphicData>
              </a:graphic>
            </wp:anchor>
          </w:drawing>
        </mc:Choice>
        <mc:Fallback>
          <w:pict>
            <v:shape style="position:absolute;margin-left:485.612213pt;margin-top:20.191999pt;width:91.4pt;height:9.35pt;mso-position-horizontal-relative:page;mso-position-vertical-relative:page;z-index:-36557312" type="#_x0000_t202" id="docshape1297" filled="false" stroked="false">
              <v:textbox inset="0,0,0,0">
                <w:txbxContent>
                  <w:p>
                    <w:pPr>
                      <w:spacing w:before="23"/>
                      <w:ind w:left="20" w:right="0" w:firstLine="0"/>
                      <w:jc w:val="left"/>
                      <w:rPr>
                        <w:rFonts w:ascii="Arial"/>
                        <w:sz w:val="12"/>
                      </w:rPr>
                    </w:pPr>
                    <w:r>
                      <w:rPr>
                        <w:rFonts w:ascii="Arial"/>
                        <w:color w:val="008FDD"/>
                        <w:w w:val="110"/>
                        <w:sz w:val="12"/>
                      </w:rPr>
                      <w:t>Appendix</w:t>
                    </w:r>
                    <w:r>
                      <w:rPr>
                        <w:rFonts w:ascii="Arial"/>
                        <w:color w:val="008FDD"/>
                        <w:spacing w:val="5"/>
                        <w:w w:val="110"/>
                        <w:sz w:val="12"/>
                      </w:rPr>
                      <w:t> </w:t>
                    </w:r>
                    <w:r>
                      <w:rPr>
                        <w:rFonts w:ascii="Arial"/>
                        <w:color w:val="008FDD"/>
                        <w:w w:val="110"/>
                        <w:sz w:val="12"/>
                      </w:rPr>
                      <w:t>1</w:t>
                    </w:r>
                    <w:r>
                      <w:rPr>
                        <w:rFonts w:ascii="Arial"/>
                        <w:color w:val="008FDD"/>
                        <w:spacing w:val="72"/>
                        <w:w w:val="150"/>
                        <w:sz w:val="12"/>
                      </w:rPr>
                      <w:t> </w:t>
                    </w:r>
                    <w:r>
                      <w:rPr>
                        <w:rFonts w:ascii="Arial"/>
                        <w:color w:val="008FDD"/>
                        <w:w w:val="110"/>
                        <w:sz w:val="12"/>
                      </w:rPr>
                      <w:t>2023</w:t>
                    </w:r>
                    <w:r>
                      <w:rPr>
                        <w:rFonts w:ascii="Arial"/>
                        <w:color w:val="008FDD"/>
                        <w:spacing w:val="5"/>
                        <w:w w:val="110"/>
                        <w:sz w:val="12"/>
                      </w:rPr>
                      <w:t> </w:t>
                    </w:r>
                    <w:r>
                      <w:rPr>
                        <w:rFonts w:ascii="Arial"/>
                        <w:color w:val="008FDD"/>
                        <w:w w:val="110"/>
                        <w:sz w:val="12"/>
                      </w:rPr>
                      <w:t>LPI</w:t>
                    </w:r>
                    <w:r>
                      <w:rPr>
                        <w:rFonts w:ascii="Arial"/>
                        <w:color w:val="008FDD"/>
                        <w:spacing w:val="6"/>
                        <w:w w:val="110"/>
                        <w:sz w:val="12"/>
                      </w:rPr>
                      <w:t> </w:t>
                    </w:r>
                    <w:r>
                      <w:rPr>
                        <w:rFonts w:ascii="Arial"/>
                        <w:color w:val="008FDD"/>
                        <w:spacing w:val="-2"/>
                        <w:w w:val="110"/>
                        <w:sz w:val="12"/>
                      </w:rPr>
                      <w:t>results</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33056">
              <wp:simplePos x="0" y="0"/>
              <wp:positionH relativeFrom="page">
                <wp:posOffset>762000</wp:posOffset>
              </wp:positionH>
              <wp:positionV relativeFrom="page">
                <wp:posOffset>1181100</wp:posOffset>
              </wp:positionV>
              <wp:extent cx="1524000" cy="171450"/>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93pt;width:120pt;height:13.5pt;mso-position-horizontal-relative:page;mso-position-vertical-relative:page;z-index:-36583424" id="docshape153" filled="true" fillcolor="#d1d3d4" stroked="false">
              <v:fill type="solid"/>
              <w10:wrap type="none"/>
            </v:rect>
          </w:pict>
        </mc:Fallback>
      </mc:AlternateContent>
    </w:r>
    <w:r>
      <w:rPr/>
      <mc:AlternateContent>
        <mc:Choice Requires="wps">
          <w:drawing>
            <wp:anchor distT="0" distB="0" distL="0" distR="0" allowOverlap="1" layoutInCell="1" locked="0" behindDoc="1" simplePos="0" relativeHeight="466733568">
              <wp:simplePos x="0" y="0"/>
              <wp:positionH relativeFrom="page">
                <wp:posOffset>2438400</wp:posOffset>
              </wp:positionH>
              <wp:positionV relativeFrom="page">
                <wp:posOffset>1181100</wp:posOffset>
              </wp:positionV>
              <wp:extent cx="4876800" cy="171450"/>
              <wp:effectExtent l="0" t="0" r="0" b="0"/>
              <wp:wrapNone/>
              <wp:docPr id="194" name="Graphic 194"/>
              <wp:cNvGraphicFramePr>
                <a:graphicFrameLocks/>
              </wp:cNvGraphicFramePr>
              <a:graphic>
                <a:graphicData uri="http://schemas.microsoft.com/office/word/2010/wordprocessingShape">
                  <wps:wsp>
                    <wps:cNvPr id="194" name="Graphic 194"/>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93pt;width:384pt;height:13.5pt;mso-position-horizontal-relative:page;mso-position-vertical-relative:page;z-index:-36582912" id="docshape154" filled="true" fillcolor="#c9dcf3" stroked="false">
              <v:fill type="solid"/>
              <w10:wrap type="none"/>
            </v:rect>
          </w:pict>
        </mc:Fallback>
      </mc:AlternateContent>
    </w:r>
    <w:r>
      <w:rPr/>
      <mc:AlternateContent>
        <mc:Choice Requires="wps">
          <w:drawing>
            <wp:anchor distT="0" distB="0" distL="0" distR="0" allowOverlap="1" layoutInCell="1" locked="0" behindDoc="1" simplePos="0" relativeHeight="466734080">
              <wp:simplePos x="0" y="0"/>
              <wp:positionH relativeFrom="page">
                <wp:posOffset>2425700</wp:posOffset>
              </wp:positionH>
              <wp:positionV relativeFrom="page">
                <wp:posOffset>746505</wp:posOffset>
              </wp:positionV>
              <wp:extent cx="1859280" cy="339725"/>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1859280" cy="339725"/>
                      </a:xfrm>
                      <a:prstGeom prst="rect">
                        <a:avLst/>
                      </a:prstGeom>
                    </wps:spPr>
                    <wps:txbx>
                      <w:txbxContent>
                        <w:p>
                          <w:pPr>
                            <w:spacing w:before="39"/>
                            <w:ind w:left="20" w:right="0" w:firstLine="0"/>
                            <w:jc w:val="left"/>
                            <w:rPr>
                              <w:rFonts w:ascii="Arial"/>
                              <w:b/>
                              <w:sz w:val="40"/>
                            </w:rPr>
                          </w:pPr>
                          <w:r>
                            <w:rPr>
                              <w:rFonts w:ascii="Arial"/>
                              <w:b/>
                              <w:color w:val="231F20"/>
                              <w:sz w:val="40"/>
                            </w:rPr>
                            <w:t>Key</w:t>
                          </w:r>
                          <w:r>
                            <w:rPr>
                              <w:rFonts w:ascii="Arial"/>
                              <w:b/>
                              <w:color w:val="231F20"/>
                              <w:spacing w:val="34"/>
                              <w:sz w:val="40"/>
                            </w:rPr>
                            <w:t> </w:t>
                          </w:r>
                          <w:r>
                            <w:rPr>
                              <w:rFonts w:ascii="Arial"/>
                              <w:b/>
                              <w:color w:val="231F20"/>
                              <w:spacing w:val="-2"/>
                              <w:sz w:val="40"/>
                            </w:rPr>
                            <w:t>messages</w:t>
                          </w:r>
                        </w:p>
                      </w:txbxContent>
                    </wps:txbx>
                    <wps:bodyPr wrap="square" lIns="0" tIns="0" rIns="0" bIns="0" rtlCol="0">
                      <a:noAutofit/>
                    </wps:bodyPr>
                  </wps:wsp>
                </a:graphicData>
              </a:graphic>
            </wp:anchor>
          </w:drawing>
        </mc:Choice>
        <mc:Fallback>
          <w:pict>
            <v:shape style="position:absolute;margin-left:191pt;margin-top:58.779999pt;width:146.4pt;height:26.75pt;mso-position-horizontal-relative:page;mso-position-vertical-relative:page;z-index:-36582400" type="#_x0000_t202" id="docshape155" filled="false" stroked="false">
              <v:textbox inset="0,0,0,0">
                <w:txbxContent>
                  <w:p>
                    <w:pPr>
                      <w:spacing w:before="39"/>
                      <w:ind w:left="20" w:right="0" w:firstLine="0"/>
                      <w:jc w:val="left"/>
                      <w:rPr>
                        <w:rFonts w:ascii="Arial"/>
                        <w:b/>
                        <w:sz w:val="40"/>
                      </w:rPr>
                    </w:pPr>
                    <w:r>
                      <w:rPr>
                        <w:rFonts w:ascii="Arial"/>
                        <w:b/>
                        <w:color w:val="231F20"/>
                        <w:sz w:val="40"/>
                      </w:rPr>
                      <w:t>Key</w:t>
                    </w:r>
                    <w:r>
                      <w:rPr>
                        <w:rFonts w:ascii="Arial"/>
                        <w:b/>
                        <w:color w:val="231F20"/>
                        <w:spacing w:val="34"/>
                        <w:sz w:val="40"/>
                      </w:rPr>
                      <w:t> </w:t>
                    </w:r>
                    <w:r>
                      <w:rPr>
                        <w:rFonts w:ascii="Arial"/>
                        <w:b/>
                        <w:color w:val="231F20"/>
                        <w:spacing w:val="-2"/>
                        <w:sz w:val="40"/>
                      </w:rPr>
                      <w:t>messages</w:t>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1216">
              <wp:simplePos x="0" y="0"/>
              <wp:positionH relativeFrom="page">
                <wp:posOffset>4866265</wp:posOffset>
              </wp:positionH>
              <wp:positionV relativeFrom="page">
                <wp:posOffset>256438</wp:posOffset>
              </wp:positionV>
              <wp:extent cx="2461895" cy="118745"/>
              <wp:effectExtent l="0" t="0" r="0" b="0"/>
              <wp:wrapNone/>
              <wp:docPr id="1548" name="Textbox 1548"/>
              <wp:cNvGraphicFramePr>
                <a:graphicFrameLocks/>
              </wp:cNvGraphicFramePr>
              <a:graphic>
                <a:graphicData uri="http://schemas.microsoft.com/office/word/2010/wordprocessingShape">
                  <wps:wsp>
                    <wps:cNvPr id="1548" name="Textbox 1548"/>
                    <wps:cNvSpPr txBox="1"/>
                    <wps:spPr>
                      <a:xfrm>
                        <a:off x="0" y="0"/>
                        <a:ext cx="2461895" cy="118745"/>
                      </a:xfrm>
                      <a:prstGeom prst="rect">
                        <a:avLst/>
                      </a:prstGeom>
                    </wps:spPr>
                    <wps:txbx>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17"/>
                              <w:w w:val="105"/>
                              <w:sz w:val="12"/>
                            </w:rPr>
                            <w:t> </w:t>
                          </w:r>
                          <w:r>
                            <w:rPr>
                              <w:rFonts w:ascii="Arial"/>
                              <w:color w:val="008FDD"/>
                              <w:w w:val="105"/>
                              <w:sz w:val="12"/>
                            </w:rPr>
                            <w:t>2</w:t>
                          </w:r>
                          <w:r>
                            <w:rPr>
                              <w:rFonts w:ascii="Arial"/>
                              <w:color w:val="008FDD"/>
                              <w:spacing w:val="40"/>
                              <w:w w:val="105"/>
                              <w:sz w:val="12"/>
                            </w:rPr>
                            <w:t>  </w:t>
                          </w:r>
                          <w:r>
                            <w:rPr>
                              <w:rFonts w:ascii="Arial"/>
                              <w:color w:val="008FDD"/>
                              <w:w w:val="105"/>
                              <w:sz w:val="12"/>
                            </w:rPr>
                            <w:t>Lead</w:t>
                          </w:r>
                          <w:r>
                            <w:rPr>
                              <w:rFonts w:ascii="Arial"/>
                              <w:color w:val="008FDD"/>
                              <w:spacing w:val="17"/>
                              <w:w w:val="105"/>
                              <w:sz w:val="12"/>
                            </w:rPr>
                            <w:t> </w:t>
                          </w:r>
                          <w:r>
                            <w:rPr>
                              <w:rFonts w:ascii="Arial"/>
                              <w:color w:val="008FDD"/>
                              <w:w w:val="105"/>
                              <w:sz w:val="12"/>
                            </w:rPr>
                            <w:t>time</w:t>
                          </w:r>
                          <w:r>
                            <w:rPr>
                              <w:rFonts w:ascii="Arial"/>
                              <w:color w:val="008FDD"/>
                              <w:spacing w:val="17"/>
                              <w:w w:val="105"/>
                              <w:sz w:val="12"/>
                            </w:rPr>
                            <w:t> </w:t>
                          </w:r>
                          <w:r>
                            <w:rPr>
                              <w:rFonts w:ascii="Arial"/>
                              <w:color w:val="008FDD"/>
                              <w:w w:val="105"/>
                              <w:sz w:val="12"/>
                            </w:rPr>
                            <w:t>data</w:t>
                          </w:r>
                          <w:r>
                            <w:rPr>
                              <w:rFonts w:ascii="Arial"/>
                              <w:color w:val="008FDD"/>
                              <w:spacing w:val="18"/>
                              <w:w w:val="105"/>
                              <w:sz w:val="12"/>
                            </w:rPr>
                            <w:t> </w:t>
                          </w:r>
                          <w:r>
                            <w:rPr>
                              <w:rFonts w:ascii="Arial"/>
                              <w:color w:val="008FDD"/>
                              <w:w w:val="105"/>
                              <w:sz w:val="12"/>
                            </w:rPr>
                            <w:t>from</w:t>
                          </w:r>
                          <w:r>
                            <w:rPr>
                              <w:rFonts w:ascii="Arial"/>
                              <w:color w:val="008FDD"/>
                              <w:spacing w:val="17"/>
                              <w:w w:val="105"/>
                              <w:sz w:val="12"/>
                            </w:rPr>
                            <w:t> </w:t>
                          </w:r>
                          <w:r>
                            <w:rPr>
                              <w:rFonts w:ascii="Arial"/>
                              <w:color w:val="008FDD"/>
                              <w:w w:val="105"/>
                              <w:sz w:val="12"/>
                            </w:rPr>
                            <w:t>supply</w:t>
                          </w:r>
                          <w:r>
                            <w:rPr>
                              <w:rFonts w:ascii="Arial"/>
                              <w:color w:val="008FDD"/>
                              <w:spacing w:val="17"/>
                              <w:w w:val="105"/>
                              <w:sz w:val="12"/>
                            </w:rPr>
                            <w:t> </w:t>
                          </w:r>
                          <w:r>
                            <w:rPr>
                              <w:rFonts w:ascii="Arial"/>
                              <w:color w:val="008FDD"/>
                              <w:w w:val="105"/>
                              <w:sz w:val="12"/>
                            </w:rPr>
                            <w:t>chain</w:t>
                          </w:r>
                          <w:r>
                            <w:rPr>
                              <w:rFonts w:ascii="Arial"/>
                              <w:color w:val="008FDD"/>
                              <w:spacing w:val="17"/>
                              <w:w w:val="105"/>
                              <w:sz w:val="12"/>
                            </w:rPr>
                            <w:t> </w:t>
                          </w:r>
                          <w:r>
                            <w:rPr>
                              <w:rFonts w:ascii="Arial"/>
                              <w:color w:val="008FDD"/>
                              <w:w w:val="105"/>
                              <w:sz w:val="12"/>
                            </w:rPr>
                            <w:t>tracking</w:t>
                          </w:r>
                          <w:r>
                            <w:rPr>
                              <w:rFonts w:ascii="Arial"/>
                              <w:color w:val="008FDD"/>
                              <w:spacing w:val="17"/>
                              <w:w w:val="105"/>
                              <w:sz w:val="12"/>
                            </w:rPr>
                            <w:t> </w:t>
                          </w:r>
                          <w:r>
                            <w:rPr>
                              <w:rFonts w:ascii="Arial"/>
                              <w:color w:val="008FDD"/>
                              <w:spacing w:val="-2"/>
                              <w:w w:val="105"/>
                              <w:sz w:val="12"/>
                            </w:rPr>
                            <w:t>datasets</w:t>
                          </w:r>
                        </w:p>
                      </w:txbxContent>
                    </wps:txbx>
                    <wps:bodyPr wrap="square" lIns="0" tIns="0" rIns="0" bIns="0" rtlCol="0">
                      <a:noAutofit/>
                    </wps:bodyPr>
                  </wps:wsp>
                </a:graphicData>
              </a:graphic>
            </wp:anchor>
          </w:drawing>
        </mc:Choice>
        <mc:Fallback>
          <w:pict>
            <v:shape style="position:absolute;margin-left:383.170502pt;margin-top:20.191999pt;width:193.85pt;height:9.35pt;mso-position-horizontal-relative:page;mso-position-vertical-relative:page;z-index:-36555264" type="#_x0000_t202" id="docshape1311" filled="false" stroked="false">
              <v:textbox inset="0,0,0,0">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17"/>
                        <w:w w:val="105"/>
                        <w:sz w:val="12"/>
                      </w:rPr>
                      <w:t> </w:t>
                    </w:r>
                    <w:r>
                      <w:rPr>
                        <w:rFonts w:ascii="Arial"/>
                        <w:color w:val="008FDD"/>
                        <w:w w:val="105"/>
                        <w:sz w:val="12"/>
                      </w:rPr>
                      <w:t>2</w:t>
                    </w:r>
                    <w:r>
                      <w:rPr>
                        <w:rFonts w:ascii="Arial"/>
                        <w:color w:val="008FDD"/>
                        <w:spacing w:val="40"/>
                        <w:w w:val="105"/>
                        <w:sz w:val="12"/>
                      </w:rPr>
                      <w:t>  </w:t>
                    </w:r>
                    <w:r>
                      <w:rPr>
                        <w:rFonts w:ascii="Arial"/>
                        <w:color w:val="008FDD"/>
                        <w:w w:val="105"/>
                        <w:sz w:val="12"/>
                      </w:rPr>
                      <w:t>Lead</w:t>
                    </w:r>
                    <w:r>
                      <w:rPr>
                        <w:rFonts w:ascii="Arial"/>
                        <w:color w:val="008FDD"/>
                        <w:spacing w:val="17"/>
                        <w:w w:val="105"/>
                        <w:sz w:val="12"/>
                      </w:rPr>
                      <w:t> </w:t>
                    </w:r>
                    <w:r>
                      <w:rPr>
                        <w:rFonts w:ascii="Arial"/>
                        <w:color w:val="008FDD"/>
                        <w:w w:val="105"/>
                        <w:sz w:val="12"/>
                      </w:rPr>
                      <w:t>time</w:t>
                    </w:r>
                    <w:r>
                      <w:rPr>
                        <w:rFonts w:ascii="Arial"/>
                        <w:color w:val="008FDD"/>
                        <w:spacing w:val="17"/>
                        <w:w w:val="105"/>
                        <w:sz w:val="12"/>
                      </w:rPr>
                      <w:t> </w:t>
                    </w:r>
                    <w:r>
                      <w:rPr>
                        <w:rFonts w:ascii="Arial"/>
                        <w:color w:val="008FDD"/>
                        <w:w w:val="105"/>
                        <w:sz w:val="12"/>
                      </w:rPr>
                      <w:t>data</w:t>
                    </w:r>
                    <w:r>
                      <w:rPr>
                        <w:rFonts w:ascii="Arial"/>
                        <w:color w:val="008FDD"/>
                        <w:spacing w:val="18"/>
                        <w:w w:val="105"/>
                        <w:sz w:val="12"/>
                      </w:rPr>
                      <w:t> </w:t>
                    </w:r>
                    <w:r>
                      <w:rPr>
                        <w:rFonts w:ascii="Arial"/>
                        <w:color w:val="008FDD"/>
                        <w:w w:val="105"/>
                        <w:sz w:val="12"/>
                      </w:rPr>
                      <w:t>from</w:t>
                    </w:r>
                    <w:r>
                      <w:rPr>
                        <w:rFonts w:ascii="Arial"/>
                        <w:color w:val="008FDD"/>
                        <w:spacing w:val="17"/>
                        <w:w w:val="105"/>
                        <w:sz w:val="12"/>
                      </w:rPr>
                      <w:t> </w:t>
                    </w:r>
                    <w:r>
                      <w:rPr>
                        <w:rFonts w:ascii="Arial"/>
                        <w:color w:val="008FDD"/>
                        <w:w w:val="105"/>
                        <w:sz w:val="12"/>
                      </w:rPr>
                      <w:t>supply</w:t>
                    </w:r>
                    <w:r>
                      <w:rPr>
                        <w:rFonts w:ascii="Arial"/>
                        <w:color w:val="008FDD"/>
                        <w:spacing w:val="17"/>
                        <w:w w:val="105"/>
                        <w:sz w:val="12"/>
                      </w:rPr>
                      <w:t> </w:t>
                    </w:r>
                    <w:r>
                      <w:rPr>
                        <w:rFonts w:ascii="Arial"/>
                        <w:color w:val="008FDD"/>
                        <w:w w:val="105"/>
                        <w:sz w:val="12"/>
                      </w:rPr>
                      <w:t>chain</w:t>
                    </w:r>
                    <w:r>
                      <w:rPr>
                        <w:rFonts w:ascii="Arial"/>
                        <w:color w:val="008FDD"/>
                        <w:spacing w:val="17"/>
                        <w:w w:val="105"/>
                        <w:sz w:val="12"/>
                      </w:rPr>
                      <w:t> </w:t>
                    </w:r>
                    <w:r>
                      <w:rPr>
                        <w:rFonts w:ascii="Arial"/>
                        <w:color w:val="008FDD"/>
                        <w:w w:val="105"/>
                        <w:sz w:val="12"/>
                      </w:rPr>
                      <w:t>tracking</w:t>
                    </w:r>
                    <w:r>
                      <w:rPr>
                        <w:rFonts w:ascii="Arial"/>
                        <w:color w:val="008FDD"/>
                        <w:spacing w:val="17"/>
                        <w:w w:val="105"/>
                        <w:sz w:val="12"/>
                      </w:rPr>
                      <w:t> </w:t>
                    </w:r>
                    <w:r>
                      <w:rPr>
                        <w:rFonts w:ascii="Arial"/>
                        <w:color w:val="008FDD"/>
                        <w:spacing w:val="-2"/>
                        <w:w w:val="105"/>
                        <w:sz w:val="12"/>
                      </w:rPr>
                      <w:t>datasets</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1728">
              <wp:simplePos x="0" y="0"/>
              <wp:positionH relativeFrom="page">
                <wp:posOffset>444500</wp:posOffset>
              </wp:positionH>
              <wp:positionV relativeFrom="page">
                <wp:posOffset>256438</wp:posOffset>
              </wp:positionV>
              <wp:extent cx="2461895" cy="118745"/>
              <wp:effectExtent l="0" t="0" r="0" b="0"/>
              <wp:wrapNone/>
              <wp:docPr id="1549" name="Textbox 1549"/>
              <wp:cNvGraphicFramePr>
                <a:graphicFrameLocks/>
              </wp:cNvGraphicFramePr>
              <a:graphic>
                <a:graphicData uri="http://schemas.microsoft.com/office/word/2010/wordprocessingShape">
                  <wps:wsp>
                    <wps:cNvPr id="1549" name="Textbox 1549"/>
                    <wps:cNvSpPr txBox="1"/>
                    <wps:spPr>
                      <a:xfrm>
                        <a:off x="0" y="0"/>
                        <a:ext cx="2461895" cy="118745"/>
                      </a:xfrm>
                      <a:prstGeom prst="rect">
                        <a:avLst/>
                      </a:prstGeom>
                    </wps:spPr>
                    <wps:txbx>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17"/>
                              <w:w w:val="105"/>
                              <w:sz w:val="12"/>
                            </w:rPr>
                            <w:t> </w:t>
                          </w:r>
                          <w:r>
                            <w:rPr>
                              <w:rFonts w:ascii="Arial"/>
                              <w:color w:val="008FDD"/>
                              <w:w w:val="105"/>
                              <w:sz w:val="12"/>
                            </w:rPr>
                            <w:t>2</w:t>
                          </w:r>
                          <w:r>
                            <w:rPr>
                              <w:rFonts w:ascii="Arial"/>
                              <w:color w:val="008FDD"/>
                              <w:spacing w:val="40"/>
                              <w:w w:val="105"/>
                              <w:sz w:val="12"/>
                            </w:rPr>
                            <w:t>  </w:t>
                          </w:r>
                          <w:r>
                            <w:rPr>
                              <w:rFonts w:ascii="Arial"/>
                              <w:color w:val="008FDD"/>
                              <w:w w:val="105"/>
                              <w:sz w:val="12"/>
                            </w:rPr>
                            <w:t>Lead</w:t>
                          </w:r>
                          <w:r>
                            <w:rPr>
                              <w:rFonts w:ascii="Arial"/>
                              <w:color w:val="008FDD"/>
                              <w:spacing w:val="17"/>
                              <w:w w:val="105"/>
                              <w:sz w:val="12"/>
                            </w:rPr>
                            <w:t> </w:t>
                          </w:r>
                          <w:r>
                            <w:rPr>
                              <w:rFonts w:ascii="Arial"/>
                              <w:color w:val="008FDD"/>
                              <w:w w:val="105"/>
                              <w:sz w:val="12"/>
                            </w:rPr>
                            <w:t>time</w:t>
                          </w:r>
                          <w:r>
                            <w:rPr>
                              <w:rFonts w:ascii="Arial"/>
                              <w:color w:val="008FDD"/>
                              <w:spacing w:val="17"/>
                              <w:w w:val="105"/>
                              <w:sz w:val="12"/>
                            </w:rPr>
                            <w:t> </w:t>
                          </w:r>
                          <w:r>
                            <w:rPr>
                              <w:rFonts w:ascii="Arial"/>
                              <w:color w:val="008FDD"/>
                              <w:w w:val="105"/>
                              <w:sz w:val="12"/>
                            </w:rPr>
                            <w:t>data</w:t>
                          </w:r>
                          <w:r>
                            <w:rPr>
                              <w:rFonts w:ascii="Arial"/>
                              <w:color w:val="008FDD"/>
                              <w:spacing w:val="18"/>
                              <w:w w:val="105"/>
                              <w:sz w:val="12"/>
                            </w:rPr>
                            <w:t> </w:t>
                          </w:r>
                          <w:r>
                            <w:rPr>
                              <w:rFonts w:ascii="Arial"/>
                              <w:color w:val="008FDD"/>
                              <w:w w:val="105"/>
                              <w:sz w:val="12"/>
                            </w:rPr>
                            <w:t>from</w:t>
                          </w:r>
                          <w:r>
                            <w:rPr>
                              <w:rFonts w:ascii="Arial"/>
                              <w:color w:val="008FDD"/>
                              <w:spacing w:val="17"/>
                              <w:w w:val="105"/>
                              <w:sz w:val="12"/>
                            </w:rPr>
                            <w:t> </w:t>
                          </w:r>
                          <w:r>
                            <w:rPr>
                              <w:rFonts w:ascii="Arial"/>
                              <w:color w:val="008FDD"/>
                              <w:w w:val="105"/>
                              <w:sz w:val="12"/>
                            </w:rPr>
                            <w:t>supply</w:t>
                          </w:r>
                          <w:r>
                            <w:rPr>
                              <w:rFonts w:ascii="Arial"/>
                              <w:color w:val="008FDD"/>
                              <w:spacing w:val="17"/>
                              <w:w w:val="105"/>
                              <w:sz w:val="12"/>
                            </w:rPr>
                            <w:t> </w:t>
                          </w:r>
                          <w:r>
                            <w:rPr>
                              <w:rFonts w:ascii="Arial"/>
                              <w:color w:val="008FDD"/>
                              <w:w w:val="105"/>
                              <w:sz w:val="12"/>
                            </w:rPr>
                            <w:t>chain</w:t>
                          </w:r>
                          <w:r>
                            <w:rPr>
                              <w:rFonts w:ascii="Arial"/>
                              <w:color w:val="008FDD"/>
                              <w:spacing w:val="17"/>
                              <w:w w:val="105"/>
                              <w:sz w:val="12"/>
                            </w:rPr>
                            <w:t> </w:t>
                          </w:r>
                          <w:r>
                            <w:rPr>
                              <w:rFonts w:ascii="Arial"/>
                              <w:color w:val="008FDD"/>
                              <w:w w:val="105"/>
                              <w:sz w:val="12"/>
                            </w:rPr>
                            <w:t>tracking</w:t>
                          </w:r>
                          <w:r>
                            <w:rPr>
                              <w:rFonts w:ascii="Arial"/>
                              <w:color w:val="008FDD"/>
                              <w:spacing w:val="17"/>
                              <w:w w:val="105"/>
                              <w:sz w:val="12"/>
                            </w:rPr>
                            <w:t> </w:t>
                          </w:r>
                          <w:r>
                            <w:rPr>
                              <w:rFonts w:ascii="Arial"/>
                              <w:color w:val="008FDD"/>
                              <w:spacing w:val="-2"/>
                              <w:w w:val="105"/>
                              <w:sz w:val="12"/>
                            </w:rPr>
                            <w:t>datasets</w:t>
                          </w:r>
                        </w:p>
                      </w:txbxContent>
                    </wps:txbx>
                    <wps:bodyPr wrap="square" lIns="0" tIns="0" rIns="0" bIns="0" rtlCol="0">
                      <a:noAutofit/>
                    </wps:bodyPr>
                  </wps:wsp>
                </a:graphicData>
              </a:graphic>
            </wp:anchor>
          </w:drawing>
        </mc:Choice>
        <mc:Fallback>
          <w:pict>
            <v:shape style="position:absolute;margin-left:35pt;margin-top:20.191999pt;width:193.85pt;height:9.35pt;mso-position-horizontal-relative:page;mso-position-vertical-relative:page;z-index:-36554752" type="#_x0000_t202" id="docshape1312" filled="false" stroked="false">
              <v:textbox inset="0,0,0,0">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17"/>
                        <w:w w:val="105"/>
                        <w:sz w:val="12"/>
                      </w:rPr>
                      <w:t> </w:t>
                    </w:r>
                    <w:r>
                      <w:rPr>
                        <w:rFonts w:ascii="Arial"/>
                        <w:color w:val="008FDD"/>
                        <w:w w:val="105"/>
                        <w:sz w:val="12"/>
                      </w:rPr>
                      <w:t>2</w:t>
                    </w:r>
                    <w:r>
                      <w:rPr>
                        <w:rFonts w:ascii="Arial"/>
                        <w:color w:val="008FDD"/>
                        <w:spacing w:val="40"/>
                        <w:w w:val="105"/>
                        <w:sz w:val="12"/>
                      </w:rPr>
                      <w:t>  </w:t>
                    </w:r>
                    <w:r>
                      <w:rPr>
                        <w:rFonts w:ascii="Arial"/>
                        <w:color w:val="008FDD"/>
                        <w:w w:val="105"/>
                        <w:sz w:val="12"/>
                      </w:rPr>
                      <w:t>Lead</w:t>
                    </w:r>
                    <w:r>
                      <w:rPr>
                        <w:rFonts w:ascii="Arial"/>
                        <w:color w:val="008FDD"/>
                        <w:spacing w:val="17"/>
                        <w:w w:val="105"/>
                        <w:sz w:val="12"/>
                      </w:rPr>
                      <w:t> </w:t>
                    </w:r>
                    <w:r>
                      <w:rPr>
                        <w:rFonts w:ascii="Arial"/>
                        <w:color w:val="008FDD"/>
                        <w:w w:val="105"/>
                        <w:sz w:val="12"/>
                      </w:rPr>
                      <w:t>time</w:t>
                    </w:r>
                    <w:r>
                      <w:rPr>
                        <w:rFonts w:ascii="Arial"/>
                        <w:color w:val="008FDD"/>
                        <w:spacing w:val="17"/>
                        <w:w w:val="105"/>
                        <w:sz w:val="12"/>
                      </w:rPr>
                      <w:t> </w:t>
                    </w:r>
                    <w:r>
                      <w:rPr>
                        <w:rFonts w:ascii="Arial"/>
                        <w:color w:val="008FDD"/>
                        <w:w w:val="105"/>
                        <w:sz w:val="12"/>
                      </w:rPr>
                      <w:t>data</w:t>
                    </w:r>
                    <w:r>
                      <w:rPr>
                        <w:rFonts w:ascii="Arial"/>
                        <w:color w:val="008FDD"/>
                        <w:spacing w:val="18"/>
                        <w:w w:val="105"/>
                        <w:sz w:val="12"/>
                      </w:rPr>
                      <w:t> </w:t>
                    </w:r>
                    <w:r>
                      <w:rPr>
                        <w:rFonts w:ascii="Arial"/>
                        <w:color w:val="008FDD"/>
                        <w:w w:val="105"/>
                        <w:sz w:val="12"/>
                      </w:rPr>
                      <w:t>from</w:t>
                    </w:r>
                    <w:r>
                      <w:rPr>
                        <w:rFonts w:ascii="Arial"/>
                        <w:color w:val="008FDD"/>
                        <w:spacing w:val="17"/>
                        <w:w w:val="105"/>
                        <w:sz w:val="12"/>
                      </w:rPr>
                      <w:t> </w:t>
                    </w:r>
                    <w:r>
                      <w:rPr>
                        <w:rFonts w:ascii="Arial"/>
                        <w:color w:val="008FDD"/>
                        <w:w w:val="105"/>
                        <w:sz w:val="12"/>
                      </w:rPr>
                      <w:t>supply</w:t>
                    </w:r>
                    <w:r>
                      <w:rPr>
                        <w:rFonts w:ascii="Arial"/>
                        <w:color w:val="008FDD"/>
                        <w:spacing w:val="17"/>
                        <w:w w:val="105"/>
                        <w:sz w:val="12"/>
                      </w:rPr>
                      <w:t> </w:t>
                    </w:r>
                    <w:r>
                      <w:rPr>
                        <w:rFonts w:ascii="Arial"/>
                        <w:color w:val="008FDD"/>
                        <w:w w:val="105"/>
                        <w:sz w:val="12"/>
                      </w:rPr>
                      <w:t>chain</w:t>
                    </w:r>
                    <w:r>
                      <w:rPr>
                        <w:rFonts w:ascii="Arial"/>
                        <w:color w:val="008FDD"/>
                        <w:spacing w:val="17"/>
                        <w:w w:val="105"/>
                        <w:sz w:val="12"/>
                      </w:rPr>
                      <w:t> </w:t>
                    </w:r>
                    <w:r>
                      <w:rPr>
                        <w:rFonts w:ascii="Arial"/>
                        <w:color w:val="008FDD"/>
                        <w:w w:val="105"/>
                        <w:sz w:val="12"/>
                      </w:rPr>
                      <w:t>tracking</w:t>
                    </w:r>
                    <w:r>
                      <w:rPr>
                        <w:rFonts w:ascii="Arial"/>
                        <w:color w:val="008FDD"/>
                        <w:spacing w:val="17"/>
                        <w:w w:val="105"/>
                        <w:sz w:val="12"/>
                      </w:rPr>
                      <w:t> </w:t>
                    </w:r>
                    <w:r>
                      <w:rPr>
                        <w:rFonts w:ascii="Arial"/>
                        <w:color w:val="008FDD"/>
                        <w:spacing w:val="-2"/>
                        <w:w w:val="105"/>
                        <w:sz w:val="12"/>
                      </w:rPr>
                      <w:t>datasets</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5312">
              <wp:simplePos x="0" y="0"/>
              <wp:positionH relativeFrom="page">
                <wp:posOffset>4395986</wp:posOffset>
              </wp:positionH>
              <wp:positionV relativeFrom="page">
                <wp:posOffset>256438</wp:posOffset>
              </wp:positionV>
              <wp:extent cx="2932430" cy="118745"/>
              <wp:effectExtent l="0" t="0" r="0" b="0"/>
              <wp:wrapNone/>
              <wp:docPr id="1612" name="Textbox 1612"/>
              <wp:cNvGraphicFramePr>
                <a:graphicFrameLocks/>
              </wp:cNvGraphicFramePr>
              <a:graphic>
                <a:graphicData uri="http://schemas.microsoft.com/office/word/2010/wordprocessingShape">
                  <wps:wsp>
                    <wps:cNvPr id="1612" name="Textbox 1612"/>
                    <wps:cNvSpPr txBox="1"/>
                    <wps:spPr>
                      <a:xfrm>
                        <a:off x="0" y="0"/>
                        <a:ext cx="2932430" cy="118745"/>
                      </a:xfrm>
                      <a:prstGeom prst="rect">
                        <a:avLst/>
                      </a:prstGeom>
                    </wps:spPr>
                    <wps:txbx>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13"/>
                              <w:w w:val="105"/>
                              <w:sz w:val="12"/>
                            </w:rPr>
                            <w:t> </w:t>
                          </w:r>
                          <w:r>
                            <w:rPr>
                              <w:rFonts w:ascii="Arial"/>
                              <w:color w:val="008FDD"/>
                              <w:w w:val="105"/>
                              <w:sz w:val="12"/>
                            </w:rPr>
                            <w:t>3</w:t>
                          </w:r>
                          <w:r>
                            <w:rPr>
                              <w:rFonts w:ascii="Arial"/>
                              <w:color w:val="008FDD"/>
                              <w:spacing w:val="34"/>
                              <w:w w:val="105"/>
                              <w:sz w:val="12"/>
                            </w:rPr>
                            <w:t>  </w:t>
                          </w:r>
                          <w:r>
                            <w:rPr>
                              <w:rFonts w:ascii="Arial"/>
                              <w:color w:val="008FDD"/>
                              <w:w w:val="105"/>
                              <w:sz w:val="12"/>
                            </w:rPr>
                            <w:t>Top</w:t>
                          </w:r>
                          <w:r>
                            <w:rPr>
                              <w:rFonts w:ascii="Arial"/>
                              <w:color w:val="008FDD"/>
                              <w:spacing w:val="14"/>
                              <w:w w:val="105"/>
                              <w:sz w:val="12"/>
                            </w:rPr>
                            <w:t> </w:t>
                          </w:r>
                          <w:r>
                            <w:rPr>
                              <w:rFonts w:ascii="Arial"/>
                              <w:color w:val="008FDD"/>
                              <w:w w:val="105"/>
                              <w:sz w:val="12"/>
                            </w:rPr>
                            <w:t>and</w:t>
                          </w:r>
                          <w:r>
                            <w:rPr>
                              <w:rFonts w:ascii="Arial"/>
                              <w:color w:val="008FDD"/>
                              <w:spacing w:val="13"/>
                              <w:w w:val="105"/>
                              <w:sz w:val="12"/>
                            </w:rPr>
                            <w:t> </w:t>
                          </w:r>
                          <w:r>
                            <w:rPr>
                              <w:rFonts w:ascii="Arial"/>
                              <w:color w:val="008FDD"/>
                              <w:w w:val="105"/>
                              <w:sz w:val="12"/>
                            </w:rPr>
                            <w:t>bottom</w:t>
                          </w:r>
                          <w:r>
                            <w:rPr>
                              <w:rFonts w:ascii="Arial"/>
                              <w:color w:val="008FDD"/>
                              <w:spacing w:val="13"/>
                              <w:w w:val="105"/>
                              <w:sz w:val="12"/>
                            </w:rPr>
                            <w:t> </w:t>
                          </w:r>
                          <w:r>
                            <w:rPr>
                              <w:rFonts w:ascii="Arial"/>
                              <w:color w:val="008FDD"/>
                              <w:w w:val="105"/>
                              <w:sz w:val="12"/>
                            </w:rPr>
                            <w:t>scorers</w:t>
                          </w:r>
                          <w:r>
                            <w:rPr>
                              <w:rFonts w:ascii="Arial"/>
                              <w:color w:val="008FDD"/>
                              <w:spacing w:val="13"/>
                              <w:w w:val="105"/>
                              <w:sz w:val="12"/>
                            </w:rPr>
                            <w:t> </w:t>
                          </w:r>
                          <w:r>
                            <w:rPr>
                              <w:rFonts w:ascii="Arial"/>
                              <w:color w:val="008FDD"/>
                              <w:w w:val="105"/>
                              <w:sz w:val="12"/>
                            </w:rPr>
                            <w:t>on</w:t>
                          </w:r>
                          <w:r>
                            <w:rPr>
                              <w:rFonts w:ascii="Arial"/>
                              <w:color w:val="008FDD"/>
                              <w:spacing w:val="13"/>
                              <w:w w:val="105"/>
                              <w:sz w:val="12"/>
                            </w:rPr>
                            <w:t> </w:t>
                          </w:r>
                          <w:r>
                            <w:rPr>
                              <w:rFonts w:ascii="Arial"/>
                              <w:color w:val="008FDD"/>
                              <w:w w:val="105"/>
                              <w:sz w:val="12"/>
                            </w:rPr>
                            <w:t>the</w:t>
                          </w:r>
                          <w:r>
                            <w:rPr>
                              <w:rFonts w:ascii="Arial"/>
                              <w:color w:val="008FDD"/>
                              <w:spacing w:val="13"/>
                              <w:w w:val="105"/>
                              <w:sz w:val="12"/>
                            </w:rPr>
                            <w:t> </w:t>
                          </w:r>
                          <w:r>
                            <w:rPr>
                              <w:rFonts w:ascii="Arial"/>
                              <w:color w:val="008FDD"/>
                              <w:w w:val="105"/>
                              <w:sz w:val="12"/>
                            </w:rPr>
                            <w:t>LPI,</w:t>
                          </w:r>
                          <w:r>
                            <w:rPr>
                              <w:rFonts w:ascii="Arial"/>
                              <w:color w:val="008FDD"/>
                              <w:spacing w:val="13"/>
                              <w:w w:val="105"/>
                              <w:sz w:val="12"/>
                            </w:rPr>
                            <w:t> </w:t>
                          </w:r>
                          <w:r>
                            <w:rPr>
                              <w:rFonts w:ascii="Arial"/>
                              <w:color w:val="008FDD"/>
                              <w:w w:val="105"/>
                              <w:sz w:val="12"/>
                            </w:rPr>
                            <w:t>overall</w:t>
                          </w:r>
                          <w:r>
                            <w:rPr>
                              <w:rFonts w:ascii="Arial"/>
                              <w:color w:val="008FDD"/>
                              <w:spacing w:val="13"/>
                              <w:w w:val="105"/>
                              <w:sz w:val="12"/>
                            </w:rPr>
                            <w:t> </w:t>
                          </w:r>
                          <w:r>
                            <w:rPr>
                              <w:rFonts w:ascii="Arial"/>
                              <w:color w:val="008FDD"/>
                              <w:w w:val="105"/>
                              <w:sz w:val="12"/>
                            </w:rPr>
                            <w:t>and</w:t>
                          </w:r>
                          <w:r>
                            <w:rPr>
                              <w:rFonts w:ascii="Arial"/>
                              <w:color w:val="008FDD"/>
                              <w:spacing w:val="13"/>
                              <w:w w:val="105"/>
                              <w:sz w:val="12"/>
                            </w:rPr>
                            <w:t> </w:t>
                          </w:r>
                          <w:r>
                            <w:rPr>
                              <w:rFonts w:ascii="Arial"/>
                              <w:color w:val="008FDD"/>
                              <w:w w:val="105"/>
                              <w:sz w:val="12"/>
                            </w:rPr>
                            <w:t>by</w:t>
                          </w:r>
                          <w:r>
                            <w:rPr>
                              <w:rFonts w:ascii="Arial"/>
                              <w:color w:val="008FDD"/>
                              <w:spacing w:val="14"/>
                              <w:w w:val="105"/>
                              <w:sz w:val="12"/>
                            </w:rPr>
                            <w:t> </w:t>
                          </w:r>
                          <w:r>
                            <w:rPr>
                              <w:rFonts w:ascii="Arial"/>
                              <w:color w:val="008FDD"/>
                              <w:w w:val="105"/>
                              <w:sz w:val="12"/>
                            </w:rPr>
                            <w:t>income</w:t>
                          </w:r>
                          <w:r>
                            <w:rPr>
                              <w:rFonts w:ascii="Arial"/>
                              <w:color w:val="008FDD"/>
                              <w:spacing w:val="13"/>
                              <w:w w:val="105"/>
                              <w:sz w:val="12"/>
                            </w:rPr>
                            <w:t> </w:t>
                          </w:r>
                          <w:r>
                            <w:rPr>
                              <w:rFonts w:ascii="Arial"/>
                              <w:color w:val="008FDD"/>
                              <w:spacing w:val="-4"/>
                              <w:w w:val="105"/>
                              <w:sz w:val="12"/>
                            </w:rPr>
                            <w:t>group</w:t>
                          </w:r>
                        </w:p>
                      </w:txbxContent>
                    </wps:txbx>
                    <wps:bodyPr wrap="square" lIns="0" tIns="0" rIns="0" bIns="0" rtlCol="0">
                      <a:noAutofit/>
                    </wps:bodyPr>
                  </wps:wsp>
                </a:graphicData>
              </a:graphic>
            </wp:anchor>
          </w:drawing>
        </mc:Choice>
        <mc:Fallback>
          <w:pict>
            <v:shape style="position:absolute;margin-left:346.140686pt;margin-top:20.191999pt;width:230.9pt;height:9.35pt;mso-position-horizontal-relative:page;mso-position-vertical-relative:page;z-index:-36551168" type="#_x0000_t202" id="docshape1368" filled="false" stroked="false">
              <v:textbox inset="0,0,0,0">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13"/>
                        <w:w w:val="105"/>
                        <w:sz w:val="12"/>
                      </w:rPr>
                      <w:t> </w:t>
                    </w:r>
                    <w:r>
                      <w:rPr>
                        <w:rFonts w:ascii="Arial"/>
                        <w:color w:val="008FDD"/>
                        <w:w w:val="105"/>
                        <w:sz w:val="12"/>
                      </w:rPr>
                      <w:t>3</w:t>
                    </w:r>
                    <w:r>
                      <w:rPr>
                        <w:rFonts w:ascii="Arial"/>
                        <w:color w:val="008FDD"/>
                        <w:spacing w:val="34"/>
                        <w:w w:val="105"/>
                        <w:sz w:val="12"/>
                      </w:rPr>
                      <w:t>  </w:t>
                    </w:r>
                    <w:r>
                      <w:rPr>
                        <w:rFonts w:ascii="Arial"/>
                        <w:color w:val="008FDD"/>
                        <w:w w:val="105"/>
                        <w:sz w:val="12"/>
                      </w:rPr>
                      <w:t>Top</w:t>
                    </w:r>
                    <w:r>
                      <w:rPr>
                        <w:rFonts w:ascii="Arial"/>
                        <w:color w:val="008FDD"/>
                        <w:spacing w:val="14"/>
                        <w:w w:val="105"/>
                        <w:sz w:val="12"/>
                      </w:rPr>
                      <w:t> </w:t>
                    </w:r>
                    <w:r>
                      <w:rPr>
                        <w:rFonts w:ascii="Arial"/>
                        <w:color w:val="008FDD"/>
                        <w:w w:val="105"/>
                        <w:sz w:val="12"/>
                      </w:rPr>
                      <w:t>and</w:t>
                    </w:r>
                    <w:r>
                      <w:rPr>
                        <w:rFonts w:ascii="Arial"/>
                        <w:color w:val="008FDD"/>
                        <w:spacing w:val="13"/>
                        <w:w w:val="105"/>
                        <w:sz w:val="12"/>
                      </w:rPr>
                      <w:t> </w:t>
                    </w:r>
                    <w:r>
                      <w:rPr>
                        <w:rFonts w:ascii="Arial"/>
                        <w:color w:val="008FDD"/>
                        <w:w w:val="105"/>
                        <w:sz w:val="12"/>
                      </w:rPr>
                      <w:t>bottom</w:t>
                    </w:r>
                    <w:r>
                      <w:rPr>
                        <w:rFonts w:ascii="Arial"/>
                        <w:color w:val="008FDD"/>
                        <w:spacing w:val="13"/>
                        <w:w w:val="105"/>
                        <w:sz w:val="12"/>
                      </w:rPr>
                      <w:t> </w:t>
                    </w:r>
                    <w:r>
                      <w:rPr>
                        <w:rFonts w:ascii="Arial"/>
                        <w:color w:val="008FDD"/>
                        <w:w w:val="105"/>
                        <w:sz w:val="12"/>
                      </w:rPr>
                      <w:t>scorers</w:t>
                    </w:r>
                    <w:r>
                      <w:rPr>
                        <w:rFonts w:ascii="Arial"/>
                        <w:color w:val="008FDD"/>
                        <w:spacing w:val="13"/>
                        <w:w w:val="105"/>
                        <w:sz w:val="12"/>
                      </w:rPr>
                      <w:t> </w:t>
                    </w:r>
                    <w:r>
                      <w:rPr>
                        <w:rFonts w:ascii="Arial"/>
                        <w:color w:val="008FDD"/>
                        <w:w w:val="105"/>
                        <w:sz w:val="12"/>
                      </w:rPr>
                      <w:t>on</w:t>
                    </w:r>
                    <w:r>
                      <w:rPr>
                        <w:rFonts w:ascii="Arial"/>
                        <w:color w:val="008FDD"/>
                        <w:spacing w:val="13"/>
                        <w:w w:val="105"/>
                        <w:sz w:val="12"/>
                      </w:rPr>
                      <w:t> </w:t>
                    </w:r>
                    <w:r>
                      <w:rPr>
                        <w:rFonts w:ascii="Arial"/>
                        <w:color w:val="008FDD"/>
                        <w:w w:val="105"/>
                        <w:sz w:val="12"/>
                      </w:rPr>
                      <w:t>the</w:t>
                    </w:r>
                    <w:r>
                      <w:rPr>
                        <w:rFonts w:ascii="Arial"/>
                        <w:color w:val="008FDD"/>
                        <w:spacing w:val="13"/>
                        <w:w w:val="105"/>
                        <w:sz w:val="12"/>
                      </w:rPr>
                      <w:t> </w:t>
                    </w:r>
                    <w:r>
                      <w:rPr>
                        <w:rFonts w:ascii="Arial"/>
                        <w:color w:val="008FDD"/>
                        <w:w w:val="105"/>
                        <w:sz w:val="12"/>
                      </w:rPr>
                      <w:t>LPI,</w:t>
                    </w:r>
                    <w:r>
                      <w:rPr>
                        <w:rFonts w:ascii="Arial"/>
                        <w:color w:val="008FDD"/>
                        <w:spacing w:val="13"/>
                        <w:w w:val="105"/>
                        <w:sz w:val="12"/>
                      </w:rPr>
                      <w:t> </w:t>
                    </w:r>
                    <w:r>
                      <w:rPr>
                        <w:rFonts w:ascii="Arial"/>
                        <w:color w:val="008FDD"/>
                        <w:w w:val="105"/>
                        <w:sz w:val="12"/>
                      </w:rPr>
                      <w:t>overall</w:t>
                    </w:r>
                    <w:r>
                      <w:rPr>
                        <w:rFonts w:ascii="Arial"/>
                        <w:color w:val="008FDD"/>
                        <w:spacing w:val="13"/>
                        <w:w w:val="105"/>
                        <w:sz w:val="12"/>
                      </w:rPr>
                      <w:t> </w:t>
                    </w:r>
                    <w:r>
                      <w:rPr>
                        <w:rFonts w:ascii="Arial"/>
                        <w:color w:val="008FDD"/>
                        <w:w w:val="105"/>
                        <w:sz w:val="12"/>
                      </w:rPr>
                      <w:t>and</w:t>
                    </w:r>
                    <w:r>
                      <w:rPr>
                        <w:rFonts w:ascii="Arial"/>
                        <w:color w:val="008FDD"/>
                        <w:spacing w:val="13"/>
                        <w:w w:val="105"/>
                        <w:sz w:val="12"/>
                      </w:rPr>
                      <w:t> </w:t>
                    </w:r>
                    <w:r>
                      <w:rPr>
                        <w:rFonts w:ascii="Arial"/>
                        <w:color w:val="008FDD"/>
                        <w:w w:val="105"/>
                        <w:sz w:val="12"/>
                      </w:rPr>
                      <w:t>by</w:t>
                    </w:r>
                    <w:r>
                      <w:rPr>
                        <w:rFonts w:ascii="Arial"/>
                        <w:color w:val="008FDD"/>
                        <w:spacing w:val="14"/>
                        <w:w w:val="105"/>
                        <w:sz w:val="12"/>
                      </w:rPr>
                      <w:t> </w:t>
                    </w:r>
                    <w:r>
                      <w:rPr>
                        <w:rFonts w:ascii="Arial"/>
                        <w:color w:val="008FDD"/>
                        <w:w w:val="105"/>
                        <w:sz w:val="12"/>
                      </w:rPr>
                      <w:t>income</w:t>
                    </w:r>
                    <w:r>
                      <w:rPr>
                        <w:rFonts w:ascii="Arial"/>
                        <w:color w:val="008FDD"/>
                        <w:spacing w:val="13"/>
                        <w:w w:val="105"/>
                        <w:sz w:val="12"/>
                      </w:rPr>
                      <w:t> </w:t>
                    </w:r>
                    <w:r>
                      <w:rPr>
                        <w:rFonts w:ascii="Arial"/>
                        <w:color w:val="008FDD"/>
                        <w:spacing w:val="-4"/>
                        <w:w w:val="105"/>
                        <w:sz w:val="12"/>
                      </w:rPr>
                      <w:t>group</w:t>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5824">
              <wp:simplePos x="0" y="0"/>
              <wp:positionH relativeFrom="page">
                <wp:posOffset>444500</wp:posOffset>
              </wp:positionH>
              <wp:positionV relativeFrom="page">
                <wp:posOffset>256438</wp:posOffset>
              </wp:positionV>
              <wp:extent cx="2932430" cy="118745"/>
              <wp:effectExtent l="0" t="0" r="0" b="0"/>
              <wp:wrapNone/>
              <wp:docPr id="1613" name="Textbox 1613"/>
              <wp:cNvGraphicFramePr>
                <a:graphicFrameLocks/>
              </wp:cNvGraphicFramePr>
              <a:graphic>
                <a:graphicData uri="http://schemas.microsoft.com/office/word/2010/wordprocessingShape">
                  <wps:wsp>
                    <wps:cNvPr id="1613" name="Textbox 1613"/>
                    <wps:cNvSpPr txBox="1"/>
                    <wps:spPr>
                      <a:xfrm>
                        <a:off x="0" y="0"/>
                        <a:ext cx="2932430" cy="118745"/>
                      </a:xfrm>
                      <a:prstGeom prst="rect">
                        <a:avLst/>
                      </a:prstGeom>
                    </wps:spPr>
                    <wps:txbx>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13"/>
                              <w:w w:val="105"/>
                              <w:sz w:val="12"/>
                            </w:rPr>
                            <w:t> </w:t>
                          </w:r>
                          <w:r>
                            <w:rPr>
                              <w:rFonts w:ascii="Arial"/>
                              <w:color w:val="008FDD"/>
                              <w:w w:val="105"/>
                              <w:sz w:val="12"/>
                            </w:rPr>
                            <w:t>3</w:t>
                          </w:r>
                          <w:r>
                            <w:rPr>
                              <w:rFonts w:ascii="Arial"/>
                              <w:color w:val="008FDD"/>
                              <w:spacing w:val="34"/>
                              <w:w w:val="105"/>
                              <w:sz w:val="12"/>
                            </w:rPr>
                            <w:t>  </w:t>
                          </w:r>
                          <w:r>
                            <w:rPr>
                              <w:rFonts w:ascii="Arial"/>
                              <w:color w:val="008FDD"/>
                              <w:w w:val="105"/>
                              <w:sz w:val="12"/>
                            </w:rPr>
                            <w:t>Top</w:t>
                          </w:r>
                          <w:r>
                            <w:rPr>
                              <w:rFonts w:ascii="Arial"/>
                              <w:color w:val="008FDD"/>
                              <w:spacing w:val="14"/>
                              <w:w w:val="105"/>
                              <w:sz w:val="12"/>
                            </w:rPr>
                            <w:t> </w:t>
                          </w:r>
                          <w:r>
                            <w:rPr>
                              <w:rFonts w:ascii="Arial"/>
                              <w:color w:val="008FDD"/>
                              <w:w w:val="105"/>
                              <w:sz w:val="12"/>
                            </w:rPr>
                            <w:t>and</w:t>
                          </w:r>
                          <w:r>
                            <w:rPr>
                              <w:rFonts w:ascii="Arial"/>
                              <w:color w:val="008FDD"/>
                              <w:spacing w:val="13"/>
                              <w:w w:val="105"/>
                              <w:sz w:val="12"/>
                            </w:rPr>
                            <w:t> </w:t>
                          </w:r>
                          <w:r>
                            <w:rPr>
                              <w:rFonts w:ascii="Arial"/>
                              <w:color w:val="008FDD"/>
                              <w:w w:val="105"/>
                              <w:sz w:val="12"/>
                            </w:rPr>
                            <w:t>bottom</w:t>
                          </w:r>
                          <w:r>
                            <w:rPr>
                              <w:rFonts w:ascii="Arial"/>
                              <w:color w:val="008FDD"/>
                              <w:spacing w:val="13"/>
                              <w:w w:val="105"/>
                              <w:sz w:val="12"/>
                            </w:rPr>
                            <w:t> </w:t>
                          </w:r>
                          <w:r>
                            <w:rPr>
                              <w:rFonts w:ascii="Arial"/>
                              <w:color w:val="008FDD"/>
                              <w:w w:val="105"/>
                              <w:sz w:val="12"/>
                            </w:rPr>
                            <w:t>scorers</w:t>
                          </w:r>
                          <w:r>
                            <w:rPr>
                              <w:rFonts w:ascii="Arial"/>
                              <w:color w:val="008FDD"/>
                              <w:spacing w:val="13"/>
                              <w:w w:val="105"/>
                              <w:sz w:val="12"/>
                            </w:rPr>
                            <w:t> </w:t>
                          </w:r>
                          <w:r>
                            <w:rPr>
                              <w:rFonts w:ascii="Arial"/>
                              <w:color w:val="008FDD"/>
                              <w:w w:val="105"/>
                              <w:sz w:val="12"/>
                            </w:rPr>
                            <w:t>on</w:t>
                          </w:r>
                          <w:r>
                            <w:rPr>
                              <w:rFonts w:ascii="Arial"/>
                              <w:color w:val="008FDD"/>
                              <w:spacing w:val="13"/>
                              <w:w w:val="105"/>
                              <w:sz w:val="12"/>
                            </w:rPr>
                            <w:t> </w:t>
                          </w:r>
                          <w:r>
                            <w:rPr>
                              <w:rFonts w:ascii="Arial"/>
                              <w:color w:val="008FDD"/>
                              <w:w w:val="105"/>
                              <w:sz w:val="12"/>
                            </w:rPr>
                            <w:t>the</w:t>
                          </w:r>
                          <w:r>
                            <w:rPr>
                              <w:rFonts w:ascii="Arial"/>
                              <w:color w:val="008FDD"/>
                              <w:spacing w:val="13"/>
                              <w:w w:val="105"/>
                              <w:sz w:val="12"/>
                            </w:rPr>
                            <w:t> </w:t>
                          </w:r>
                          <w:r>
                            <w:rPr>
                              <w:rFonts w:ascii="Arial"/>
                              <w:color w:val="008FDD"/>
                              <w:w w:val="105"/>
                              <w:sz w:val="12"/>
                            </w:rPr>
                            <w:t>LPI,</w:t>
                          </w:r>
                          <w:r>
                            <w:rPr>
                              <w:rFonts w:ascii="Arial"/>
                              <w:color w:val="008FDD"/>
                              <w:spacing w:val="13"/>
                              <w:w w:val="105"/>
                              <w:sz w:val="12"/>
                            </w:rPr>
                            <w:t> </w:t>
                          </w:r>
                          <w:r>
                            <w:rPr>
                              <w:rFonts w:ascii="Arial"/>
                              <w:color w:val="008FDD"/>
                              <w:w w:val="105"/>
                              <w:sz w:val="12"/>
                            </w:rPr>
                            <w:t>overall</w:t>
                          </w:r>
                          <w:r>
                            <w:rPr>
                              <w:rFonts w:ascii="Arial"/>
                              <w:color w:val="008FDD"/>
                              <w:spacing w:val="13"/>
                              <w:w w:val="105"/>
                              <w:sz w:val="12"/>
                            </w:rPr>
                            <w:t> </w:t>
                          </w:r>
                          <w:r>
                            <w:rPr>
                              <w:rFonts w:ascii="Arial"/>
                              <w:color w:val="008FDD"/>
                              <w:w w:val="105"/>
                              <w:sz w:val="12"/>
                            </w:rPr>
                            <w:t>and</w:t>
                          </w:r>
                          <w:r>
                            <w:rPr>
                              <w:rFonts w:ascii="Arial"/>
                              <w:color w:val="008FDD"/>
                              <w:spacing w:val="13"/>
                              <w:w w:val="105"/>
                              <w:sz w:val="12"/>
                            </w:rPr>
                            <w:t> </w:t>
                          </w:r>
                          <w:r>
                            <w:rPr>
                              <w:rFonts w:ascii="Arial"/>
                              <w:color w:val="008FDD"/>
                              <w:w w:val="105"/>
                              <w:sz w:val="12"/>
                            </w:rPr>
                            <w:t>by</w:t>
                          </w:r>
                          <w:r>
                            <w:rPr>
                              <w:rFonts w:ascii="Arial"/>
                              <w:color w:val="008FDD"/>
                              <w:spacing w:val="14"/>
                              <w:w w:val="105"/>
                              <w:sz w:val="12"/>
                            </w:rPr>
                            <w:t> </w:t>
                          </w:r>
                          <w:r>
                            <w:rPr>
                              <w:rFonts w:ascii="Arial"/>
                              <w:color w:val="008FDD"/>
                              <w:w w:val="105"/>
                              <w:sz w:val="12"/>
                            </w:rPr>
                            <w:t>income</w:t>
                          </w:r>
                          <w:r>
                            <w:rPr>
                              <w:rFonts w:ascii="Arial"/>
                              <w:color w:val="008FDD"/>
                              <w:spacing w:val="13"/>
                              <w:w w:val="105"/>
                              <w:sz w:val="12"/>
                            </w:rPr>
                            <w:t> </w:t>
                          </w:r>
                          <w:r>
                            <w:rPr>
                              <w:rFonts w:ascii="Arial"/>
                              <w:color w:val="008FDD"/>
                              <w:spacing w:val="-4"/>
                              <w:w w:val="105"/>
                              <w:sz w:val="12"/>
                            </w:rPr>
                            <w:t>group</w:t>
                          </w:r>
                        </w:p>
                      </w:txbxContent>
                    </wps:txbx>
                    <wps:bodyPr wrap="square" lIns="0" tIns="0" rIns="0" bIns="0" rtlCol="0">
                      <a:noAutofit/>
                    </wps:bodyPr>
                  </wps:wsp>
                </a:graphicData>
              </a:graphic>
            </wp:anchor>
          </w:drawing>
        </mc:Choice>
        <mc:Fallback>
          <w:pict>
            <v:shape style="position:absolute;margin-left:35pt;margin-top:20.191999pt;width:230.9pt;height:9.35pt;mso-position-horizontal-relative:page;mso-position-vertical-relative:page;z-index:-36550656" type="#_x0000_t202" id="docshape1369" filled="false" stroked="false">
              <v:textbox inset="0,0,0,0">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13"/>
                        <w:w w:val="105"/>
                        <w:sz w:val="12"/>
                      </w:rPr>
                      <w:t> </w:t>
                    </w:r>
                    <w:r>
                      <w:rPr>
                        <w:rFonts w:ascii="Arial"/>
                        <w:color w:val="008FDD"/>
                        <w:w w:val="105"/>
                        <w:sz w:val="12"/>
                      </w:rPr>
                      <w:t>3</w:t>
                    </w:r>
                    <w:r>
                      <w:rPr>
                        <w:rFonts w:ascii="Arial"/>
                        <w:color w:val="008FDD"/>
                        <w:spacing w:val="34"/>
                        <w:w w:val="105"/>
                        <w:sz w:val="12"/>
                      </w:rPr>
                      <w:t>  </w:t>
                    </w:r>
                    <w:r>
                      <w:rPr>
                        <w:rFonts w:ascii="Arial"/>
                        <w:color w:val="008FDD"/>
                        <w:w w:val="105"/>
                        <w:sz w:val="12"/>
                      </w:rPr>
                      <w:t>Top</w:t>
                    </w:r>
                    <w:r>
                      <w:rPr>
                        <w:rFonts w:ascii="Arial"/>
                        <w:color w:val="008FDD"/>
                        <w:spacing w:val="14"/>
                        <w:w w:val="105"/>
                        <w:sz w:val="12"/>
                      </w:rPr>
                      <w:t> </w:t>
                    </w:r>
                    <w:r>
                      <w:rPr>
                        <w:rFonts w:ascii="Arial"/>
                        <w:color w:val="008FDD"/>
                        <w:w w:val="105"/>
                        <w:sz w:val="12"/>
                      </w:rPr>
                      <w:t>and</w:t>
                    </w:r>
                    <w:r>
                      <w:rPr>
                        <w:rFonts w:ascii="Arial"/>
                        <w:color w:val="008FDD"/>
                        <w:spacing w:val="13"/>
                        <w:w w:val="105"/>
                        <w:sz w:val="12"/>
                      </w:rPr>
                      <w:t> </w:t>
                    </w:r>
                    <w:r>
                      <w:rPr>
                        <w:rFonts w:ascii="Arial"/>
                        <w:color w:val="008FDD"/>
                        <w:w w:val="105"/>
                        <w:sz w:val="12"/>
                      </w:rPr>
                      <w:t>bottom</w:t>
                    </w:r>
                    <w:r>
                      <w:rPr>
                        <w:rFonts w:ascii="Arial"/>
                        <w:color w:val="008FDD"/>
                        <w:spacing w:val="13"/>
                        <w:w w:val="105"/>
                        <w:sz w:val="12"/>
                      </w:rPr>
                      <w:t> </w:t>
                    </w:r>
                    <w:r>
                      <w:rPr>
                        <w:rFonts w:ascii="Arial"/>
                        <w:color w:val="008FDD"/>
                        <w:w w:val="105"/>
                        <w:sz w:val="12"/>
                      </w:rPr>
                      <w:t>scorers</w:t>
                    </w:r>
                    <w:r>
                      <w:rPr>
                        <w:rFonts w:ascii="Arial"/>
                        <w:color w:val="008FDD"/>
                        <w:spacing w:val="13"/>
                        <w:w w:val="105"/>
                        <w:sz w:val="12"/>
                      </w:rPr>
                      <w:t> </w:t>
                    </w:r>
                    <w:r>
                      <w:rPr>
                        <w:rFonts w:ascii="Arial"/>
                        <w:color w:val="008FDD"/>
                        <w:w w:val="105"/>
                        <w:sz w:val="12"/>
                      </w:rPr>
                      <w:t>on</w:t>
                    </w:r>
                    <w:r>
                      <w:rPr>
                        <w:rFonts w:ascii="Arial"/>
                        <w:color w:val="008FDD"/>
                        <w:spacing w:val="13"/>
                        <w:w w:val="105"/>
                        <w:sz w:val="12"/>
                      </w:rPr>
                      <w:t> </w:t>
                    </w:r>
                    <w:r>
                      <w:rPr>
                        <w:rFonts w:ascii="Arial"/>
                        <w:color w:val="008FDD"/>
                        <w:w w:val="105"/>
                        <w:sz w:val="12"/>
                      </w:rPr>
                      <w:t>the</w:t>
                    </w:r>
                    <w:r>
                      <w:rPr>
                        <w:rFonts w:ascii="Arial"/>
                        <w:color w:val="008FDD"/>
                        <w:spacing w:val="13"/>
                        <w:w w:val="105"/>
                        <w:sz w:val="12"/>
                      </w:rPr>
                      <w:t> </w:t>
                    </w:r>
                    <w:r>
                      <w:rPr>
                        <w:rFonts w:ascii="Arial"/>
                        <w:color w:val="008FDD"/>
                        <w:w w:val="105"/>
                        <w:sz w:val="12"/>
                      </w:rPr>
                      <w:t>LPI,</w:t>
                    </w:r>
                    <w:r>
                      <w:rPr>
                        <w:rFonts w:ascii="Arial"/>
                        <w:color w:val="008FDD"/>
                        <w:spacing w:val="13"/>
                        <w:w w:val="105"/>
                        <w:sz w:val="12"/>
                      </w:rPr>
                      <w:t> </w:t>
                    </w:r>
                    <w:r>
                      <w:rPr>
                        <w:rFonts w:ascii="Arial"/>
                        <w:color w:val="008FDD"/>
                        <w:w w:val="105"/>
                        <w:sz w:val="12"/>
                      </w:rPr>
                      <w:t>overall</w:t>
                    </w:r>
                    <w:r>
                      <w:rPr>
                        <w:rFonts w:ascii="Arial"/>
                        <w:color w:val="008FDD"/>
                        <w:spacing w:val="13"/>
                        <w:w w:val="105"/>
                        <w:sz w:val="12"/>
                      </w:rPr>
                      <w:t> </w:t>
                    </w:r>
                    <w:r>
                      <w:rPr>
                        <w:rFonts w:ascii="Arial"/>
                        <w:color w:val="008FDD"/>
                        <w:w w:val="105"/>
                        <w:sz w:val="12"/>
                      </w:rPr>
                      <w:t>and</w:t>
                    </w:r>
                    <w:r>
                      <w:rPr>
                        <w:rFonts w:ascii="Arial"/>
                        <w:color w:val="008FDD"/>
                        <w:spacing w:val="13"/>
                        <w:w w:val="105"/>
                        <w:sz w:val="12"/>
                      </w:rPr>
                      <w:t> </w:t>
                    </w:r>
                    <w:r>
                      <w:rPr>
                        <w:rFonts w:ascii="Arial"/>
                        <w:color w:val="008FDD"/>
                        <w:w w:val="105"/>
                        <w:sz w:val="12"/>
                      </w:rPr>
                      <w:t>by</w:t>
                    </w:r>
                    <w:r>
                      <w:rPr>
                        <w:rFonts w:ascii="Arial"/>
                        <w:color w:val="008FDD"/>
                        <w:spacing w:val="14"/>
                        <w:w w:val="105"/>
                        <w:sz w:val="12"/>
                      </w:rPr>
                      <w:t> </w:t>
                    </w:r>
                    <w:r>
                      <w:rPr>
                        <w:rFonts w:ascii="Arial"/>
                        <w:color w:val="008FDD"/>
                        <w:w w:val="105"/>
                        <w:sz w:val="12"/>
                      </w:rPr>
                      <w:t>income</w:t>
                    </w:r>
                    <w:r>
                      <w:rPr>
                        <w:rFonts w:ascii="Arial"/>
                        <w:color w:val="008FDD"/>
                        <w:spacing w:val="13"/>
                        <w:w w:val="105"/>
                        <w:sz w:val="12"/>
                      </w:rPr>
                      <w:t> </w:t>
                    </w:r>
                    <w:r>
                      <w:rPr>
                        <w:rFonts w:ascii="Arial"/>
                        <w:color w:val="008FDD"/>
                        <w:spacing w:val="-4"/>
                        <w:w w:val="105"/>
                        <w:sz w:val="12"/>
                      </w:rPr>
                      <w:t>group</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7360">
              <wp:simplePos x="0" y="0"/>
              <wp:positionH relativeFrom="page">
                <wp:posOffset>444500</wp:posOffset>
              </wp:positionH>
              <wp:positionV relativeFrom="page">
                <wp:posOffset>256438</wp:posOffset>
              </wp:positionV>
              <wp:extent cx="2547620" cy="118745"/>
              <wp:effectExtent l="0" t="0" r="0" b="0"/>
              <wp:wrapNone/>
              <wp:docPr id="1643" name="Textbox 1643"/>
              <wp:cNvGraphicFramePr>
                <a:graphicFrameLocks/>
              </wp:cNvGraphicFramePr>
              <a:graphic>
                <a:graphicData uri="http://schemas.microsoft.com/office/word/2010/wordprocessingShape">
                  <wps:wsp>
                    <wps:cNvPr id="1643" name="Textbox 1643"/>
                    <wps:cNvSpPr txBox="1"/>
                    <wps:spPr>
                      <a:xfrm>
                        <a:off x="0" y="0"/>
                        <a:ext cx="2547620" cy="118745"/>
                      </a:xfrm>
                      <a:prstGeom prst="rect">
                        <a:avLst/>
                      </a:prstGeom>
                    </wps:spPr>
                    <wps:txbx>
                      <w:txbxContent>
                        <w:p>
                          <w:pPr>
                            <w:spacing w:before="23"/>
                            <w:ind w:left="20" w:right="0" w:firstLine="0"/>
                            <w:jc w:val="left"/>
                            <w:rPr>
                              <w:rFonts w:ascii="Arial"/>
                              <w:sz w:val="12"/>
                            </w:rPr>
                          </w:pPr>
                          <w:r>
                            <w:rPr>
                              <w:rFonts w:ascii="Arial"/>
                              <w:color w:val="008FDD"/>
                              <w:w w:val="110"/>
                              <w:sz w:val="12"/>
                            </w:rPr>
                            <w:t>Appendix</w:t>
                          </w:r>
                          <w:r>
                            <w:rPr>
                              <w:rFonts w:ascii="Arial"/>
                              <w:color w:val="008FDD"/>
                              <w:spacing w:val="4"/>
                              <w:w w:val="110"/>
                              <w:sz w:val="12"/>
                            </w:rPr>
                            <w:t> </w:t>
                          </w:r>
                          <w:r>
                            <w:rPr>
                              <w:rFonts w:ascii="Arial"/>
                              <w:color w:val="008FDD"/>
                              <w:w w:val="110"/>
                              <w:sz w:val="12"/>
                            </w:rPr>
                            <w:t>4</w:t>
                          </w:r>
                          <w:r>
                            <w:rPr>
                              <w:rFonts w:ascii="Arial"/>
                              <w:color w:val="008FDD"/>
                              <w:spacing w:val="69"/>
                              <w:w w:val="150"/>
                              <w:sz w:val="12"/>
                            </w:rPr>
                            <w:t> </w:t>
                          </w:r>
                          <w:r>
                            <w:rPr>
                              <w:rFonts w:ascii="Arial"/>
                              <w:color w:val="008FDD"/>
                              <w:w w:val="110"/>
                              <w:sz w:val="12"/>
                            </w:rPr>
                            <w:t>Description</w:t>
                          </w:r>
                          <w:r>
                            <w:rPr>
                              <w:rFonts w:ascii="Arial"/>
                              <w:color w:val="008FDD"/>
                              <w:spacing w:val="4"/>
                              <w:w w:val="110"/>
                              <w:sz w:val="12"/>
                            </w:rPr>
                            <w:t> </w:t>
                          </w:r>
                          <w:r>
                            <w:rPr>
                              <w:rFonts w:ascii="Arial"/>
                              <w:color w:val="008FDD"/>
                              <w:w w:val="110"/>
                              <w:sz w:val="12"/>
                            </w:rPr>
                            <w:t>of</w:t>
                          </w:r>
                          <w:r>
                            <w:rPr>
                              <w:rFonts w:ascii="Arial"/>
                              <w:color w:val="008FDD"/>
                              <w:spacing w:val="5"/>
                              <w:w w:val="110"/>
                              <w:sz w:val="12"/>
                            </w:rPr>
                            <w:t> </w:t>
                          </w:r>
                          <w:r>
                            <w:rPr>
                              <w:rFonts w:ascii="Arial"/>
                              <w:color w:val="008FDD"/>
                              <w:w w:val="110"/>
                              <w:sz w:val="12"/>
                            </w:rPr>
                            <w:t>the</w:t>
                          </w:r>
                          <w:r>
                            <w:rPr>
                              <w:rFonts w:ascii="Arial"/>
                              <w:color w:val="008FDD"/>
                              <w:spacing w:val="4"/>
                              <w:w w:val="110"/>
                              <w:sz w:val="12"/>
                            </w:rPr>
                            <w:t> </w:t>
                          </w:r>
                          <w:r>
                            <w:rPr>
                              <w:rFonts w:ascii="Arial"/>
                              <w:color w:val="008FDD"/>
                              <w:w w:val="110"/>
                              <w:sz w:val="12"/>
                            </w:rPr>
                            <w:t>new</w:t>
                          </w:r>
                          <w:r>
                            <w:rPr>
                              <w:rFonts w:ascii="Arial"/>
                              <w:color w:val="008FDD"/>
                              <w:spacing w:val="5"/>
                              <w:w w:val="110"/>
                              <w:sz w:val="12"/>
                            </w:rPr>
                            <w:t> </w:t>
                          </w:r>
                          <w:r>
                            <w:rPr>
                              <w:rFonts w:ascii="Arial"/>
                              <w:color w:val="008FDD"/>
                              <w:w w:val="110"/>
                              <w:sz w:val="12"/>
                            </w:rPr>
                            <w:t>data</w:t>
                          </w:r>
                          <w:r>
                            <w:rPr>
                              <w:rFonts w:ascii="Arial"/>
                              <w:color w:val="008FDD"/>
                              <w:spacing w:val="4"/>
                              <w:w w:val="110"/>
                              <w:sz w:val="12"/>
                            </w:rPr>
                            <w:t> </w:t>
                          </w:r>
                          <w:r>
                            <w:rPr>
                              <w:rFonts w:ascii="Arial"/>
                              <w:color w:val="008FDD"/>
                              <w:w w:val="110"/>
                              <w:sz w:val="12"/>
                            </w:rPr>
                            <w:t>sources</w:t>
                          </w:r>
                          <w:r>
                            <w:rPr>
                              <w:rFonts w:ascii="Arial"/>
                              <w:color w:val="008FDD"/>
                              <w:spacing w:val="5"/>
                              <w:w w:val="110"/>
                              <w:sz w:val="12"/>
                            </w:rPr>
                            <w:t> </w:t>
                          </w:r>
                          <w:r>
                            <w:rPr>
                              <w:rFonts w:ascii="Arial"/>
                              <w:color w:val="008FDD"/>
                              <w:w w:val="110"/>
                              <w:sz w:val="12"/>
                            </w:rPr>
                            <w:t>for</w:t>
                          </w:r>
                          <w:r>
                            <w:rPr>
                              <w:rFonts w:ascii="Arial"/>
                              <w:color w:val="008FDD"/>
                              <w:spacing w:val="4"/>
                              <w:w w:val="110"/>
                              <w:sz w:val="12"/>
                            </w:rPr>
                            <w:t> </w:t>
                          </w:r>
                          <w:r>
                            <w:rPr>
                              <w:rFonts w:ascii="Arial"/>
                              <w:color w:val="008FDD"/>
                              <w:w w:val="110"/>
                              <w:sz w:val="12"/>
                            </w:rPr>
                            <w:t>the</w:t>
                          </w:r>
                          <w:r>
                            <w:rPr>
                              <w:rFonts w:ascii="Arial"/>
                              <w:color w:val="008FDD"/>
                              <w:spacing w:val="5"/>
                              <w:w w:val="110"/>
                              <w:sz w:val="12"/>
                            </w:rPr>
                            <w:t> </w:t>
                          </w:r>
                          <w:r>
                            <w:rPr>
                              <w:rFonts w:ascii="Arial"/>
                              <w:color w:val="008FDD"/>
                              <w:w w:val="110"/>
                              <w:sz w:val="12"/>
                            </w:rPr>
                            <w:t>LPI</w:t>
                          </w:r>
                          <w:r>
                            <w:rPr>
                              <w:rFonts w:ascii="Arial"/>
                              <w:color w:val="008FDD"/>
                              <w:spacing w:val="4"/>
                              <w:w w:val="110"/>
                              <w:sz w:val="12"/>
                            </w:rPr>
                            <w:t> </w:t>
                          </w:r>
                          <w:r>
                            <w:rPr>
                              <w:rFonts w:ascii="Arial"/>
                              <w:color w:val="008FDD"/>
                              <w:spacing w:val="-4"/>
                              <w:w w:val="110"/>
                              <w:sz w:val="12"/>
                            </w:rPr>
                            <w:t>2023</w:t>
                          </w:r>
                        </w:p>
                      </w:txbxContent>
                    </wps:txbx>
                    <wps:bodyPr wrap="square" lIns="0" tIns="0" rIns="0" bIns="0" rtlCol="0">
                      <a:noAutofit/>
                    </wps:bodyPr>
                  </wps:wsp>
                </a:graphicData>
              </a:graphic>
            </wp:anchor>
          </w:drawing>
        </mc:Choice>
        <mc:Fallback>
          <w:pict>
            <v:shape style="position:absolute;margin-left:35pt;margin-top:20.191999pt;width:200.6pt;height:9.35pt;mso-position-horizontal-relative:page;mso-position-vertical-relative:page;z-index:-36549120" type="#_x0000_t202" id="docshape1395" filled="false" stroked="false">
              <v:textbox inset="0,0,0,0">
                <w:txbxContent>
                  <w:p>
                    <w:pPr>
                      <w:spacing w:before="23"/>
                      <w:ind w:left="20" w:right="0" w:firstLine="0"/>
                      <w:jc w:val="left"/>
                      <w:rPr>
                        <w:rFonts w:ascii="Arial"/>
                        <w:sz w:val="12"/>
                      </w:rPr>
                    </w:pPr>
                    <w:r>
                      <w:rPr>
                        <w:rFonts w:ascii="Arial"/>
                        <w:color w:val="008FDD"/>
                        <w:w w:val="110"/>
                        <w:sz w:val="12"/>
                      </w:rPr>
                      <w:t>Appendix</w:t>
                    </w:r>
                    <w:r>
                      <w:rPr>
                        <w:rFonts w:ascii="Arial"/>
                        <w:color w:val="008FDD"/>
                        <w:spacing w:val="4"/>
                        <w:w w:val="110"/>
                        <w:sz w:val="12"/>
                      </w:rPr>
                      <w:t> </w:t>
                    </w:r>
                    <w:r>
                      <w:rPr>
                        <w:rFonts w:ascii="Arial"/>
                        <w:color w:val="008FDD"/>
                        <w:w w:val="110"/>
                        <w:sz w:val="12"/>
                      </w:rPr>
                      <w:t>4</w:t>
                    </w:r>
                    <w:r>
                      <w:rPr>
                        <w:rFonts w:ascii="Arial"/>
                        <w:color w:val="008FDD"/>
                        <w:spacing w:val="69"/>
                        <w:w w:val="150"/>
                        <w:sz w:val="12"/>
                      </w:rPr>
                      <w:t> </w:t>
                    </w:r>
                    <w:r>
                      <w:rPr>
                        <w:rFonts w:ascii="Arial"/>
                        <w:color w:val="008FDD"/>
                        <w:w w:val="110"/>
                        <w:sz w:val="12"/>
                      </w:rPr>
                      <w:t>Description</w:t>
                    </w:r>
                    <w:r>
                      <w:rPr>
                        <w:rFonts w:ascii="Arial"/>
                        <w:color w:val="008FDD"/>
                        <w:spacing w:val="4"/>
                        <w:w w:val="110"/>
                        <w:sz w:val="12"/>
                      </w:rPr>
                      <w:t> </w:t>
                    </w:r>
                    <w:r>
                      <w:rPr>
                        <w:rFonts w:ascii="Arial"/>
                        <w:color w:val="008FDD"/>
                        <w:w w:val="110"/>
                        <w:sz w:val="12"/>
                      </w:rPr>
                      <w:t>of</w:t>
                    </w:r>
                    <w:r>
                      <w:rPr>
                        <w:rFonts w:ascii="Arial"/>
                        <w:color w:val="008FDD"/>
                        <w:spacing w:val="5"/>
                        <w:w w:val="110"/>
                        <w:sz w:val="12"/>
                      </w:rPr>
                      <w:t> </w:t>
                    </w:r>
                    <w:r>
                      <w:rPr>
                        <w:rFonts w:ascii="Arial"/>
                        <w:color w:val="008FDD"/>
                        <w:w w:val="110"/>
                        <w:sz w:val="12"/>
                      </w:rPr>
                      <w:t>the</w:t>
                    </w:r>
                    <w:r>
                      <w:rPr>
                        <w:rFonts w:ascii="Arial"/>
                        <w:color w:val="008FDD"/>
                        <w:spacing w:val="4"/>
                        <w:w w:val="110"/>
                        <w:sz w:val="12"/>
                      </w:rPr>
                      <w:t> </w:t>
                    </w:r>
                    <w:r>
                      <w:rPr>
                        <w:rFonts w:ascii="Arial"/>
                        <w:color w:val="008FDD"/>
                        <w:w w:val="110"/>
                        <w:sz w:val="12"/>
                      </w:rPr>
                      <w:t>new</w:t>
                    </w:r>
                    <w:r>
                      <w:rPr>
                        <w:rFonts w:ascii="Arial"/>
                        <w:color w:val="008FDD"/>
                        <w:spacing w:val="5"/>
                        <w:w w:val="110"/>
                        <w:sz w:val="12"/>
                      </w:rPr>
                      <w:t> </w:t>
                    </w:r>
                    <w:r>
                      <w:rPr>
                        <w:rFonts w:ascii="Arial"/>
                        <w:color w:val="008FDD"/>
                        <w:w w:val="110"/>
                        <w:sz w:val="12"/>
                      </w:rPr>
                      <w:t>data</w:t>
                    </w:r>
                    <w:r>
                      <w:rPr>
                        <w:rFonts w:ascii="Arial"/>
                        <w:color w:val="008FDD"/>
                        <w:spacing w:val="4"/>
                        <w:w w:val="110"/>
                        <w:sz w:val="12"/>
                      </w:rPr>
                      <w:t> </w:t>
                    </w:r>
                    <w:r>
                      <w:rPr>
                        <w:rFonts w:ascii="Arial"/>
                        <w:color w:val="008FDD"/>
                        <w:w w:val="110"/>
                        <w:sz w:val="12"/>
                      </w:rPr>
                      <w:t>sources</w:t>
                    </w:r>
                    <w:r>
                      <w:rPr>
                        <w:rFonts w:ascii="Arial"/>
                        <w:color w:val="008FDD"/>
                        <w:spacing w:val="5"/>
                        <w:w w:val="110"/>
                        <w:sz w:val="12"/>
                      </w:rPr>
                      <w:t> </w:t>
                    </w:r>
                    <w:r>
                      <w:rPr>
                        <w:rFonts w:ascii="Arial"/>
                        <w:color w:val="008FDD"/>
                        <w:w w:val="110"/>
                        <w:sz w:val="12"/>
                      </w:rPr>
                      <w:t>for</w:t>
                    </w:r>
                    <w:r>
                      <w:rPr>
                        <w:rFonts w:ascii="Arial"/>
                        <w:color w:val="008FDD"/>
                        <w:spacing w:val="4"/>
                        <w:w w:val="110"/>
                        <w:sz w:val="12"/>
                      </w:rPr>
                      <w:t> </w:t>
                    </w:r>
                    <w:r>
                      <w:rPr>
                        <w:rFonts w:ascii="Arial"/>
                        <w:color w:val="008FDD"/>
                        <w:w w:val="110"/>
                        <w:sz w:val="12"/>
                      </w:rPr>
                      <w:t>the</w:t>
                    </w:r>
                    <w:r>
                      <w:rPr>
                        <w:rFonts w:ascii="Arial"/>
                        <w:color w:val="008FDD"/>
                        <w:spacing w:val="5"/>
                        <w:w w:val="110"/>
                        <w:sz w:val="12"/>
                      </w:rPr>
                      <w:t> </w:t>
                    </w:r>
                    <w:r>
                      <w:rPr>
                        <w:rFonts w:ascii="Arial"/>
                        <w:color w:val="008FDD"/>
                        <w:w w:val="110"/>
                        <w:sz w:val="12"/>
                      </w:rPr>
                      <w:t>LPI</w:t>
                    </w:r>
                    <w:r>
                      <w:rPr>
                        <w:rFonts w:ascii="Arial"/>
                        <w:color w:val="008FDD"/>
                        <w:spacing w:val="4"/>
                        <w:w w:val="110"/>
                        <w:sz w:val="12"/>
                      </w:rPr>
                      <w:t> </w:t>
                    </w:r>
                    <w:r>
                      <w:rPr>
                        <w:rFonts w:ascii="Arial"/>
                        <w:color w:val="008FDD"/>
                        <w:spacing w:val="-4"/>
                        <w:w w:val="110"/>
                        <w:sz w:val="12"/>
                      </w:rPr>
                      <w:t>2023</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67872">
              <wp:simplePos x="0" y="0"/>
              <wp:positionH relativeFrom="page">
                <wp:posOffset>4780866</wp:posOffset>
              </wp:positionH>
              <wp:positionV relativeFrom="page">
                <wp:posOffset>256438</wp:posOffset>
              </wp:positionV>
              <wp:extent cx="2547620" cy="118745"/>
              <wp:effectExtent l="0" t="0" r="0" b="0"/>
              <wp:wrapNone/>
              <wp:docPr id="1644" name="Textbox 1644"/>
              <wp:cNvGraphicFramePr>
                <a:graphicFrameLocks/>
              </wp:cNvGraphicFramePr>
              <a:graphic>
                <a:graphicData uri="http://schemas.microsoft.com/office/word/2010/wordprocessingShape">
                  <wps:wsp>
                    <wps:cNvPr id="1644" name="Textbox 1644"/>
                    <wps:cNvSpPr txBox="1"/>
                    <wps:spPr>
                      <a:xfrm>
                        <a:off x="0" y="0"/>
                        <a:ext cx="2547620" cy="118745"/>
                      </a:xfrm>
                      <a:prstGeom prst="rect">
                        <a:avLst/>
                      </a:prstGeom>
                    </wps:spPr>
                    <wps:txbx>
                      <w:txbxContent>
                        <w:p>
                          <w:pPr>
                            <w:spacing w:before="23"/>
                            <w:ind w:left="20" w:right="0" w:firstLine="0"/>
                            <w:jc w:val="left"/>
                            <w:rPr>
                              <w:rFonts w:ascii="Arial"/>
                              <w:sz w:val="12"/>
                            </w:rPr>
                          </w:pPr>
                          <w:r>
                            <w:rPr>
                              <w:rFonts w:ascii="Arial"/>
                              <w:color w:val="008FDD"/>
                              <w:w w:val="110"/>
                              <w:sz w:val="12"/>
                            </w:rPr>
                            <w:t>Appendix</w:t>
                          </w:r>
                          <w:r>
                            <w:rPr>
                              <w:rFonts w:ascii="Arial"/>
                              <w:color w:val="008FDD"/>
                              <w:spacing w:val="4"/>
                              <w:w w:val="110"/>
                              <w:sz w:val="12"/>
                            </w:rPr>
                            <w:t> </w:t>
                          </w:r>
                          <w:r>
                            <w:rPr>
                              <w:rFonts w:ascii="Arial"/>
                              <w:color w:val="008FDD"/>
                              <w:w w:val="110"/>
                              <w:sz w:val="12"/>
                            </w:rPr>
                            <w:t>4</w:t>
                          </w:r>
                          <w:r>
                            <w:rPr>
                              <w:rFonts w:ascii="Arial"/>
                              <w:color w:val="008FDD"/>
                              <w:spacing w:val="69"/>
                              <w:w w:val="150"/>
                              <w:sz w:val="12"/>
                            </w:rPr>
                            <w:t> </w:t>
                          </w:r>
                          <w:r>
                            <w:rPr>
                              <w:rFonts w:ascii="Arial"/>
                              <w:color w:val="008FDD"/>
                              <w:w w:val="110"/>
                              <w:sz w:val="12"/>
                            </w:rPr>
                            <w:t>Description</w:t>
                          </w:r>
                          <w:r>
                            <w:rPr>
                              <w:rFonts w:ascii="Arial"/>
                              <w:color w:val="008FDD"/>
                              <w:spacing w:val="4"/>
                              <w:w w:val="110"/>
                              <w:sz w:val="12"/>
                            </w:rPr>
                            <w:t> </w:t>
                          </w:r>
                          <w:r>
                            <w:rPr>
                              <w:rFonts w:ascii="Arial"/>
                              <w:color w:val="008FDD"/>
                              <w:w w:val="110"/>
                              <w:sz w:val="12"/>
                            </w:rPr>
                            <w:t>of</w:t>
                          </w:r>
                          <w:r>
                            <w:rPr>
                              <w:rFonts w:ascii="Arial"/>
                              <w:color w:val="008FDD"/>
                              <w:spacing w:val="5"/>
                              <w:w w:val="110"/>
                              <w:sz w:val="12"/>
                            </w:rPr>
                            <w:t> </w:t>
                          </w:r>
                          <w:r>
                            <w:rPr>
                              <w:rFonts w:ascii="Arial"/>
                              <w:color w:val="008FDD"/>
                              <w:w w:val="110"/>
                              <w:sz w:val="12"/>
                            </w:rPr>
                            <w:t>the</w:t>
                          </w:r>
                          <w:r>
                            <w:rPr>
                              <w:rFonts w:ascii="Arial"/>
                              <w:color w:val="008FDD"/>
                              <w:spacing w:val="4"/>
                              <w:w w:val="110"/>
                              <w:sz w:val="12"/>
                            </w:rPr>
                            <w:t> </w:t>
                          </w:r>
                          <w:r>
                            <w:rPr>
                              <w:rFonts w:ascii="Arial"/>
                              <w:color w:val="008FDD"/>
                              <w:w w:val="110"/>
                              <w:sz w:val="12"/>
                            </w:rPr>
                            <w:t>new</w:t>
                          </w:r>
                          <w:r>
                            <w:rPr>
                              <w:rFonts w:ascii="Arial"/>
                              <w:color w:val="008FDD"/>
                              <w:spacing w:val="5"/>
                              <w:w w:val="110"/>
                              <w:sz w:val="12"/>
                            </w:rPr>
                            <w:t> </w:t>
                          </w:r>
                          <w:r>
                            <w:rPr>
                              <w:rFonts w:ascii="Arial"/>
                              <w:color w:val="008FDD"/>
                              <w:w w:val="110"/>
                              <w:sz w:val="12"/>
                            </w:rPr>
                            <w:t>data</w:t>
                          </w:r>
                          <w:r>
                            <w:rPr>
                              <w:rFonts w:ascii="Arial"/>
                              <w:color w:val="008FDD"/>
                              <w:spacing w:val="4"/>
                              <w:w w:val="110"/>
                              <w:sz w:val="12"/>
                            </w:rPr>
                            <w:t> </w:t>
                          </w:r>
                          <w:r>
                            <w:rPr>
                              <w:rFonts w:ascii="Arial"/>
                              <w:color w:val="008FDD"/>
                              <w:w w:val="110"/>
                              <w:sz w:val="12"/>
                            </w:rPr>
                            <w:t>sources</w:t>
                          </w:r>
                          <w:r>
                            <w:rPr>
                              <w:rFonts w:ascii="Arial"/>
                              <w:color w:val="008FDD"/>
                              <w:spacing w:val="5"/>
                              <w:w w:val="110"/>
                              <w:sz w:val="12"/>
                            </w:rPr>
                            <w:t> </w:t>
                          </w:r>
                          <w:r>
                            <w:rPr>
                              <w:rFonts w:ascii="Arial"/>
                              <w:color w:val="008FDD"/>
                              <w:w w:val="110"/>
                              <w:sz w:val="12"/>
                            </w:rPr>
                            <w:t>for</w:t>
                          </w:r>
                          <w:r>
                            <w:rPr>
                              <w:rFonts w:ascii="Arial"/>
                              <w:color w:val="008FDD"/>
                              <w:spacing w:val="4"/>
                              <w:w w:val="110"/>
                              <w:sz w:val="12"/>
                            </w:rPr>
                            <w:t> </w:t>
                          </w:r>
                          <w:r>
                            <w:rPr>
                              <w:rFonts w:ascii="Arial"/>
                              <w:color w:val="008FDD"/>
                              <w:w w:val="110"/>
                              <w:sz w:val="12"/>
                            </w:rPr>
                            <w:t>the</w:t>
                          </w:r>
                          <w:r>
                            <w:rPr>
                              <w:rFonts w:ascii="Arial"/>
                              <w:color w:val="008FDD"/>
                              <w:spacing w:val="5"/>
                              <w:w w:val="110"/>
                              <w:sz w:val="12"/>
                            </w:rPr>
                            <w:t> </w:t>
                          </w:r>
                          <w:r>
                            <w:rPr>
                              <w:rFonts w:ascii="Arial"/>
                              <w:color w:val="008FDD"/>
                              <w:w w:val="110"/>
                              <w:sz w:val="12"/>
                            </w:rPr>
                            <w:t>LPI</w:t>
                          </w:r>
                          <w:r>
                            <w:rPr>
                              <w:rFonts w:ascii="Arial"/>
                              <w:color w:val="008FDD"/>
                              <w:spacing w:val="4"/>
                              <w:w w:val="110"/>
                              <w:sz w:val="12"/>
                            </w:rPr>
                            <w:t> </w:t>
                          </w:r>
                          <w:r>
                            <w:rPr>
                              <w:rFonts w:ascii="Arial"/>
                              <w:color w:val="008FDD"/>
                              <w:spacing w:val="-4"/>
                              <w:w w:val="110"/>
                              <w:sz w:val="12"/>
                            </w:rPr>
                            <w:t>2023</w:t>
                          </w:r>
                        </w:p>
                      </w:txbxContent>
                    </wps:txbx>
                    <wps:bodyPr wrap="square" lIns="0" tIns="0" rIns="0" bIns="0" rtlCol="0">
                      <a:noAutofit/>
                    </wps:bodyPr>
                  </wps:wsp>
                </a:graphicData>
              </a:graphic>
            </wp:anchor>
          </w:drawing>
        </mc:Choice>
        <mc:Fallback>
          <w:pict>
            <v:shape style="position:absolute;margin-left:376.446198pt;margin-top:20.191999pt;width:200.6pt;height:9.35pt;mso-position-horizontal-relative:page;mso-position-vertical-relative:page;z-index:-36548608" type="#_x0000_t202" id="docshape1396" filled="false" stroked="false">
              <v:textbox inset="0,0,0,0">
                <w:txbxContent>
                  <w:p>
                    <w:pPr>
                      <w:spacing w:before="23"/>
                      <w:ind w:left="20" w:right="0" w:firstLine="0"/>
                      <w:jc w:val="left"/>
                      <w:rPr>
                        <w:rFonts w:ascii="Arial"/>
                        <w:sz w:val="12"/>
                      </w:rPr>
                    </w:pPr>
                    <w:r>
                      <w:rPr>
                        <w:rFonts w:ascii="Arial"/>
                        <w:color w:val="008FDD"/>
                        <w:w w:val="110"/>
                        <w:sz w:val="12"/>
                      </w:rPr>
                      <w:t>Appendix</w:t>
                    </w:r>
                    <w:r>
                      <w:rPr>
                        <w:rFonts w:ascii="Arial"/>
                        <w:color w:val="008FDD"/>
                        <w:spacing w:val="4"/>
                        <w:w w:val="110"/>
                        <w:sz w:val="12"/>
                      </w:rPr>
                      <w:t> </w:t>
                    </w:r>
                    <w:r>
                      <w:rPr>
                        <w:rFonts w:ascii="Arial"/>
                        <w:color w:val="008FDD"/>
                        <w:w w:val="110"/>
                        <w:sz w:val="12"/>
                      </w:rPr>
                      <w:t>4</w:t>
                    </w:r>
                    <w:r>
                      <w:rPr>
                        <w:rFonts w:ascii="Arial"/>
                        <w:color w:val="008FDD"/>
                        <w:spacing w:val="69"/>
                        <w:w w:val="150"/>
                        <w:sz w:val="12"/>
                      </w:rPr>
                      <w:t> </w:t>
                    </w:r>
                    <w:r>
                      <w:rPr>
                        <w:rFonts w:ascii="Arial"/>
                        <w:color w:val="008FDD"/>
                        <w:w w:val="110"/>
                        <w:sz w:val="12"/>
                      </w:rPr>
                      <w:t>Description</w:t>
                    </w:r>
                    <w:r>
                      <w:rPr>
                        <w:rFonts w:ascii="Arial"/>
                        <w:color w:val="008FDD"/>
                        <w:spacing w:val="4"/>
                        <w:w w:val="110"/>
                        <w:sz w:val="12"/>
                      </w:rPr>
                      <w:t> </w:t>
                    </w:r>
                    <w:r>
                      <w:rPr>
                        <w:rFonts w:ascii="Arial"/>
                        <w:color w:val="008FDD"/>
                        <w:w w:val="110"/>
                        <w:sz w:val="12"/>
                      </w:rPr>
                      <w:t>of</w:t>
                    </w:r>
                    <w:r>
                      <w:rPr>
                        <w:rFonts w:ascii="Arial"/>
                        <w:color w:val="008FDD"/>
                        <w:spacing w:val="5"/>
                        <w:w w:val="110"/>
                        <w:sz w:val="12"/>
                      </w:rPr>
                      <w:t> </w:t>
                    </w:r>
                    <w:r>
                      <w:rPr>
                        <w:rFonts w:ascii="Arial"/>
                        <w:color w:val="008FDD"/>
                        <w:w w:val="110"/>
                        <w:sz w:val="12"/>
                      </w:rPr>
                      <w:t>the</w:t>
                    </w:r>
                    <w:r>
                      <w:rPr>
                        <w:rFonts w:ascii="Arial"/>
                        <w:color w:val="008FDD"/>
                        <w:spacing w:val="4"/>
                        <w:w w:val="110"/>
                        <w:sz w:val="12"/>
                      </w:rPr>
                      <w:t> </w:t>
                    </w:r>
                    <w:r>
                      <w:rPr>
                        <w:rFonts w:ascii="Arial"/>
                        <w:color w:val="008FDD"/>
                        <w:w w:val="110"/>
                        <w:sz w:val="12"/>
                      </w:rPr>
                      <w:t>new</w:t>
                    </w:r>
                    <w:r>
                      <w:rPr>
                        <w:rFonts w:ascii="Arial"/>
                        <w:color w:val="008FDD"/>
                        <w:spacing w:val="5"/>
                        <w:w w:val="110"/>
                        <w:sz w:val="12"/>
                      </w:rPr>
                      <w:t> </w:t>
                    </w:r>
                    <w:r>
                      <w:rPr>
                        <w:rFonts w:ascii="Arial"/>
                        <w:color w:val="008FDD"/>
                        <w:w w:val="110"/>
                        <w:sz w:val="12"/>
                      </w:rPr>
                      <w:t>data</w:t>
                    </w:r>
                    <w:r>
                      <w:rPr>
                        <w:rFonts w:ascii="Arial"/>
                        <w:color w:val="008FDD"/>
                        <w:spacing w:val="4"/>
                        <w:w w:val="110"/>
                        <w:sz w:val="12"/>
                      </w:rPr>
                      <w:t> </w:t>
                    </w:r>
                    <w:r>
                      <w:rPr>
                        <w:rFonts w:ascii="Arial"/>
                        <w:color w:val="008FDD"/>
                        <w:w w:val="110"/>
                        <w:sz w:val="12"/>
                      </w:rPr>
                      <w:t>sources</w:t>
                    </w:r>
                    <w:r>
                      <w:rPr>
                        <w:rFonts w:ascii="Arial"/>
                        <w:color w:val="008FDD"/>
                        <w:spacing w:val="5"/>
                        <w:w w:val="110"/>
                        <w:sz w:val="12"/>
                      </w:rPr>
                      <w:t> </w:t>
                    </w:r>
                    <w:r>
                      <w:rPr>
                        <w:rFonts w:ascii="Arial"/>
                        <w:color w:val="008FDD"/>
                        <w:w w:val="110"/>
                        <w:sz w:val="12"/>
                      </w:rPr>
                      <w:t>for</w:t>
                    </w:r>
                    <w:r>
                      <w:rPr>
                        <w:rFonts w:ascii="Arial"/>
                        <w:color w:val="008FDD"/>
                        <w:spacing w:val="4"/>
                        <w:w w:val="110"/>
                        <w:sz w:val="12"/>
                      </w:rPr>
                      <w:t> </w:t>
                    </w:r>
                    <w:r>
                      <w:rPr>
                        <w:rFonts w:ascii="Arial"/>
                        <w:color w:val="008FDD"/>
                        <w:w w:val="110"/>
                        <w:sz w:val="12"/>
                      </w:rPr>
                      <w:t>the</w:t>
                    </w:r>
                    <w:r>
                      <w:rPr>
                        <w:rFonts w:ascii="Arial"/>
                        <w:color w:val="008FDD"/>
                        <w:spacing w:val="5"/>
                        <w:w w:val="110"/>
                        <w:sz w:val="12"/>
                      </w:rPr>
                      <w:t> </w:t>
                    </w:r>
                    <w:r>
                      <w:rPr>
                        <w:rFonts w:ascii="Arial"/>
                        <w:color w:val="008FDD"/>
                        <w:w w:val="110"/>
                        <w:sz w:val="12"/>
                      </w:rPr>
                      <w:t>LPI</w:t>
                    </w:r>
                    <w:r>
                      <w:rPr>
                        <w:rFonts w:ascii="Arial"/>
                        <w:color w:val="008FDD"/>
                        <w:spacing w:val="4"/>
                        <w:w w:val="110"/>
                        <w:sz w:val="12"/>
                      </w:rPr>
                      <w:t> </w:t>
                    </w:r>
                    <w:r>
                      <w:rPr>
                        <w:rFonts w:ascii="Arial"/>
                        <w:color w:val="008FDD"/>
                        <w:spacing w:val="-4"/>
                        <w:w w:val="110"/>
                        <w:sz w:val="12"/>
                      </w:rPr>
                      <w:t>2023</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1456">
              <wp:simplePos x="0" y="0"/>
              <wp:positionH relativeFrom="page">
                <wp:posOffset>6030472</wp:posOffset>
              </wp:positionH>
              <wp:positionV relativeFrom="page">
                <wp:posOffset>256438</wp:posOffset>
              </wp:positionV>
              <wp:extent cx="1297940" cy="118745"/>
              <wp:effectExtent l="0" t="0" r="0" b="0"/>
              <wp:wrapNone/>
              <wp:docPr id="1920" name="Textbox 1920"/>
              <wp:cNvGraphicFramePr>
                <a:graphicFrameLocks/>
              </wp:cNvGraphicFramePr>
              <a:graphic>
                <a:graphicData uri="http://schemas.microsoft.com/office/word/2010/wordprocessingShape">
                  <wps:wsp>
                    <wps:cNvPr id="1920" name="Textbox 1920"/>
                    <wps:cNvSpPr txBox="1"/>
                    <wps:spPr>
                      <a:xfrm>
                        <a:off x="0" y="0"/>
                        <a:ext cx="1297940" cy="118745"/>
                      </a:xfrm>
                      <a:prstGeom prst="rect">
                        <a:avLst/>
                      </a:prstGeom>
                    </wps:spPr>
                    <wps:txbx>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3"/>
                              <w:w w:val="105"/>
                              <w:sz w:val="12"/>
                            </w:rPr>
                            <w:t> </w:t>
                          </w:r>
                          <w:r>
                            <w:rPr>
                              <w:rFonts w:ascii="Arial"/>
                              <w:color w:val="008FDD"/>
                              <w:w w:val="105"/>
                              <w:sz w:val="12"/>
                            </w:rPr>
                            <w:t>5</w:t>
                          </w:r>
                          <w:r>
                            <w:rPr>
                              <w:rFonts w:ascii="Arial"/>
                              <w:color w:val="008FDD"/>
                              <w:spacing w:val="67"/>
                              <w:w w:val="150"/>
                              <w:sz w:val="12"/>
                            </w:rPr>
                            <w:t> </w:t>
                          </w:r>
                          <w:r>
                            <w:rPr>
                              <w:rFonts w:ascii="Arial"/>
                              <w:color w:val="008FDD"/>
                              <w:w w:val="105"/>
                              <w:sz w:val="12"/>
                            </w:rPr>
                            <w:t>The</w:t>
                          </w:r>
                          <w:r>
                            <w:rPr>
                              <w:rFonts w:ascii="Arial"/>
                              <w:color w:val="008FDD"/>
                              <w:spacing w:val="6"/>
                              <w:w w:val="105"/>
                              <w:sz w:val="12"/>
                            </w:rPr>
                            <w:t> </w:t>
                          </w:r>
                          <w:r>
                            <w:rPr>
                              <w:rFonts w:ascii="Arial"/>
                              <w:color w:val="008FDD"/>
                              <w:w w:val="105"/>
                              <w:sz w:val="12"/>
                            </w:rPr>
                            <w:t>LPI</w:t>
                          </w:r>
                          <w:r>
                            <w:rPr>
                              <w:rFonts w:ascii="Arial"/>
                              <w:color w:val="008FDD"/>
                              <w:spacing w:val="6"/>
                              <w:w w:val="105"/>
                              <w:sz w:val="12"/>
                            </w:rPr>
                            <w:t> </w:t>
                          </w:r>
                          <w:r>
                            <w:rPr>
                              <w:rFonts w:ascii="Arial"/>
                              <w:color w:val="008FDD"/>
                              <w:spacing w:val="-2"/>
                              <w:w w:val="105"/>
                              <w:sz w:val="12"/>
                            </w:rPr>
                            <w:t>methodology</w:t>
                          </w:r>
                        </w:p>
                      </w:txbxContent>
                    </wps:txbx>
                    <wps:bodyPr wrap="square" lIns="0" tIns="0" rIns="0" bIns="0" rtlCol="0">
                      <a:noAutofit/>
                    </wps:bodyPr>
                  </wps:wsp>
                </a:graphicData>
              </a:graphic>
            </wp:anchor>
          </w:drawing>
        </mc:Choice>
        <mc:Fallback>
          <w:pict>
            <v:shape style="position:absolute;margin-left:474.840393pt;margin-top:20.191999pt;width:102.2pt;height:9.35pt;mso-position-horizontal-relative:page;mso-position-vertical-relative:page;z-index:-36545024" type="#_x0000_t202" id="docshape1647" filled="false" stroked="false">
              <v:textbox inset="0,0,0,0">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3"/>
                        <w:w w:val="105"/>
                        <w:sz w:val="12"/>
                      </w:rPr>
                      <w:t> </w:t>
                    </w:r>
                    <w:r>
                      <w:rPr>
                        <w:rFonts w:ascii="Arial"/>
                        <w:color w:val="008FDD"/>
                        <w:w w:val="105"/>
                        <w:sz w:val="12"/>
                      </w:rPr>
                      <w:t>5</w:t>
                    </w:r>
                    <w:r>
                      <w:rPr>
                        <w:rFonts w:ascii="Arial"/>
                        <w:color w:val="008FDD"/>
                        <w:spacing w:val="67"/>
                        <w:w w:val="150"/>
                        <w:sz w:val="12"/>
                      </w:rPr>
                      <w:t> </w:t>
                    </w:r>
                    <w:r>
                      <w:rPr>
                        <w:rFonts w:ascii="Arial"/>
                        <w:color w:val="008FDD"/>
                        <w:w w:val="105"/>
                        <w:sz w:val="12"/>
                      </w:rPr>
                      <w:t>The</w:t>
                    </w:r>
                    <w:r>
                      <w:rPr>
                        <w:rFonts w:ascii="Arial"/>
                        <w:color w:val="008FDD"/>
                        <w:spacing w:val="6"/>
                        <w:w w:val="105"/>
                        <w:sz w:val="12"/>
                      </w:rPr>
                      <w:t> </w:t>
                    </w:r>
                    <w:r>
                      <w:rPr>
                        <w:rFonts w:ascii="Arial"/>
                        <w:color w:val="008FDD"/>
                        <w:w w:val="105"/>
                        <w:sz w:val="12"/>
                      </w:rPr>
                      <w:t>LPI</w:t>
                    </w:r>
                    <w:r>
                      <w:rPr>
                        <w:rFonts w:ascii="Arial"/>
                        <w:color w:val="008FDD"/>
                        <w:spacing w:val="6"/>
                        <w:w w:val="105"/>
                        <w:sz w:val="12"/>
                      </w:rPr>
                      <w:t> </w:t>
                    </w:r>
                    <w:r>
                      <w:rPr>
                        <w:rFonts w:ascii="Arial"/>
                        <w:color w:val="008FDD"/>
                        <w:spacing w:val="-2"/>
                        <w:w w:val="105"/>
                        <w:sz w:val="12"/>
                      </w:rPr>
                      <w:t>methodology</w:t>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1968">
              <wp:simplePos x="0" y="0"/>
              <wp:positionH relativeFrom="page">
                <wp:posOffset>444500</wp:posOffset>
              </wp:positionH>
              <wp:positionV relativeFrom="page">
                <wp:posOffset>256438</wp:posOffset>
              </wp:positionV>
              <wp:extent cx="1297940" cy="118745"/>
              <wp:effectExtent l="0" t="0" r="0" b="0"/>
              <wp:wrapNone/>
              <wp:docPr id="1921" name="Textbox 1921"/>
              <wp:cNvGraphicFramePr>
                <a:graphicFrameLocks/>
              </wp:cNvGraphicFramePr>
              <a:graphic>
                <a:graphicData uri="http://schemas.microsoft.com/office/word/2010/wordprocessingShape">
                  <wps:wsp>
                    <wps:cNvPr id="1921" name="Textbox 1921"/>
                    <wps:cNvSpPr txBox="1"/>
                    <wps:spPr>
                      <a:xfrm>
                        <a:off x="0" y="0"/>
                        <a:ext cx="1297940" cy="118745"/>
                      </a:xfrm>
                      <a:prstGeom prst="rect">
                        <a:avLst/>
                      </a:prstGeom>
                    </wps:spPr>
                    <wps:txbx>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3"/>
                              <w:w w:val="105"/>
                              <w:sz w:val="12"/>
                            </w:rPr>
                            <w:t> </w:t>
                          </w:r>
                          <w:r>
                            <w:rPr>
                              <w:rFonts w:ascii="Arial"/>
                              <w:color w:val="008FDD"/>
                              <w:w w:val="105"/>
                              <w:sz w:val="12"/>
                            </w:rPr>
                            <w:t>5</w:t>
                          </w:r>
                          <w:r>
                            <w:rPr>
                              <w:rFonts w:ascii="Arial"/>
                              <w:color w:val="008FDD"/>
                              <w:spacing w:val="67"/>
                              <w:w w:val="150"/>
                              <w:sz w:val="12"/>
                            </w:rPr>
                            <w:t> </w:t>
                          </w:r>
                          <w:r>
                            <w:rPr>
                              <w:rFonts w:ascii="Arial"/>
                              <w:color w:val="008FDD"/>
                              <w:w w:val="105"/>
                              <w:sz w:val="12"/>
                            </w:rPr>
                            <w:t>The</w:t>
                          </w:r>
                          <w:r>
                            <w:rPr>
                              <w:rFonts w:ascii="Arial"/>
                              <w:color w:val="008FDD"/>
                              <w:spacing w:val="6"/>
                              <w:w w:val="105"/>
                              <w:sz w:val="12"/>
                            </w:rPr>
                            <w:t> </w:t>
                          </w:r>
                          <w:r>
                            <w:rPr>
                              <w:rFonts w:ascii="Arial"/>
                              <w:color w:val="008FDD"/>
                              <w:w w:val="105"/>
                              <w:sz w:val="12"/>
                            </w:rPr>
                            <w:t>LPI</w:t>
                          </w:r>
                          <w:r>
                            <w:rPr>
                              <w:rFonts w:ascii="Arial"/>
                              <w:color w:val="008FDD"/>
                              <w:spacing w:val="6"/>
                              <w:w w:val="105"/>
                              <w:sz w:val="12"/>
                            </w:rPr>
                            <w:t> </w:t>
                          </w:r>
                          <w:r>
                            <w:rPr>
                              <w:rFonts w:ascii="Arial"/>
                              <w:color w:val="008FDD"/>
                              <w:spacing w:val="-2"/>
                              <w:w w:val="105"/>
                              <w:sz w:val="12"/>
                            </w:rPr>
                            <w:t>methodology</w:t>
                          </w:r>
                        </w:p>
                      </w:txbxContent>
                    </wps:txbx>
                    <wps:bodyPr wrap="square" lIns="0" tIns="0" rIns="0" bIns="0" rtlCol="0">
                      <a:noAutofit/>
                    </wps:bodyPr>
                  </wps:wsp>
                </a:graphicData>
              </a:graphic>
            </wp:anchor>
          </w:drawing>
        </mc:Choice>
        <mc:Fallback>
          <w:pict>
            <v:shape style="position:absolute;margin-left:35pt;margin-top:20.191999pt;width:102.2pt;height:9.35pt;mso-position-horizontal-relative:page;mso-position-vertical-relative:page;z-index:-36544512" type="#_x0000_t202" id="docshape1648" filled="false" stroked="false">
              <v:textbox inset="0,0,0,0">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3"/>
                        <w:w w:val="105"/>
                        <w:sz w:val="12"/>
                      </w:rPr>
                      <w:t> </w:t>
                    </w:r>
                    <w:r>
                      <w:rPr>
                        <w:rFonts w:ascii="Arial"/>
                        <w:color w:val="008FDD"/>
                        <w:w w:val="105"/>
                        <w:sz w:val="12"/>
                      </w:rPr>
                      <w:t>5</w:t>
                    </w:r>
                    <w:r>
                      <w:rPr>
                        <w:rFonts w:ascii="Arial"/>
                        <w:color w:val="008FDD"/>
                        <w:spacing w:val="67"/>
                        <w:w w:val="150"/>
                        <w:sz w:val="12"/>
                      </w:rPr>
                      <w:t> </w:t>
                    </w:r>
                    <w:r>
                      <w:rPr>
                        <w:rFonts w:ascii="Arial"/>
                        <w:color w:val="008FDD"/>
                        <w:w w:val="105"/>
                        <w:sz w:val="12"/>
                      </w:rPr>
                      <w:t>The</w:t>
                    </w:r>
                    <w:r>
                      <w:rPr>
                        <w:rFonts w:ascii="Arial"/>
                        <w:color w:val="008FDD"/>
                        <w:spacing w:val="6"/>
                        <w:w w:val="105"/>
                        <w:sz w:val="12"/>
                      </w:rPr>
                      <w:t> </w:t>
                    </w:r>
                    <w:r>
                      <w:rPr>
                        <w:rFonts w:ascii="Arial"/>
                        <w:color w:val="008FDD"/>
                        <w:w w:val="105"/>
                        <w:sz w:val="12"/>
                      </w:rPr>
                      <w:t>LPI</w:t>
                    </w:r>
                    <w:r>
                      <w:rPr>
                        <w:rFonts w:ascii="Arial"/>
                        <w:color w:val="008FDD"/>
                        <w:spacing w:val="6"/>
                        <w:w w:val="105"/>
                        <w:sz w:val="12"/>
                      </w:rPr>
                      <w:t> </w:t>
                    </w:r>
                    <w:r>
                      <w:rPr>
                        <w:rFonts w:ascii="Arial"/>
                        <w:color w:val="008FDD"/>
                        <w:spacing w:val="-2"/>
                        <w:w w:val="105"/>
                        <w:sz w:val="12"/>
                      </w:rPr>
                      <w:t>methodology</w:t>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3504">
              <wp:simplePos x="0" y="0"/>
              <wp:positionH relativeFrom="page">
                <wp:posOffset>444500</wp:posOffset>
              </wp:positionH>
              <wp:positionV relativeFrom="page">
                <wp:posOffset>256438</wp:posOffset>
              </wp:positionV>
              <wp:extent cx="1966595" cy="118745"/>
              <wp:effectExtent l="0" t="0" r="0" b="0"/>
              <wp:wrapNone/>
              <wp:docPr id="1983" name="Textbox 1983"/>
              <wp:cNvGraphicFramePr>
                <a:graphicFrameLocks/>
              </wp:cNvGraphicFramePr>
              <a:graphic>
                <a:graphicData uri="http://schemas.microsoft.com/office/word/2010/wordprocessingShape">
                  <wps:wsp>
                    <wps:cNvPr id="1983" name="Textbox 1983"/>
                    <wps:cNvSpPr txBox="1"/>
                    <wps:spPr>
                      <a:xfrm>
                        <a:off x="0" y="0"/>
                        <a:ext cx="1966595" cy="118745"/>
                      </a:xfrm>
                      <a:prstGeom prst="rect">
                        <a:avLst/>
                      </a:prstGeom>
                    </wps:spPr>
                    <wps:txbx>
                      <w:txbxContent>
                        <w:p>
                          <w:pPr>
                            <w:spacing w:before="23"/>
                            <w:ind w:left="20" w:right="0" w:firstLine="0"/>
                            <w:jc w:val="left"/>
                            <w:rPr>
                              <w:rFonts w:ascii="Arial"/>
                              <w:sz w:val="12"/>
                            </w:rPr>
                          </w:pPr>
                          <w:r>
                            <w:rPr>
                              <w:rFonts w:ascii="Arial"/>
                              <w:color w:val="008FDD"/>
                              <w:w w:val="110"/>
                              <w:sz w:val="12"/>
                            </w:rPr>
                            <w:t>Appendix</w:t>
                          </w:r>
                          <w:r>
                            <w:rPr>
                              <w:rFonts w:ascii="Arial"/>
                              <w:color w:val="008FDD"/>
                              <w:spacing w:val="1"/>
                              <w:w w:val="110"/>
                              <w:sz w:val="12"/>
                            </w:rPr>
                            <w:t> </w:t>
                          </w:r>
                          <w:r>
                            <w:rPr>
                              <w:rFonts w:ascii="Arial"/>
                              <w:color w:val="008FDD"/>
                              <w:w w:val="110"/>
                              <w:sz w:val="12"/>
                            </w:rPr>
                            <w:t>6</w:t>
                          </w:r>
                          <w:r>
                            <w:rPr>
                              <w:rFonts w:ascii="Arial"/>
                              <w:color w:val="008FDD"/>
                              <w:spacing w:val="75"/>
                              <w:w w:val="110"/>
                              <w:sz w:val="12"/>
                            </w:rPr>
                            <w:t> </w:t>
                          </w:r>
                          <w:r>
                            <w:rPr>
                              <w:rFonts w:ascii="Arial"/>
                              <w:color w:val="008FDD"/>
                              <w:w w:val="110"/>
                              <w:sz w:val="12"/>
                            </w:rPr>
                            <w:t>Results</w:t>
                          </w:r>
                          <w:r>
                            <w:rPr>
                              <w:rFonts w:ascii="Arial"/>
                              <w:color w:val="008FDD"/>
                              <w:spacing w:val="2"/>
                              <w:w w:val="110"/>
                              <w:sz w:val="12"/>
                            </w:rPr>
                            <w:t> </w:t>
                          </w:r>
                          <w:r>
                            <w:rPr>
                              <w:rFonts w:ascii="Arial"/>
                              <w:color w:val="008FDD"/>
                              <w:w w:val="110"/>
                              <w:sz w:val="12"/>
                            </w:rPr>
                            <w:t>from</w:t>
                          </w:r>
                          <w:r>
                            <w:rPr>
                              <w:rFonts w:ascii="Arial"/>
                              <w:color w:val="008FDD"/>
                              <w:spacing w:val="2"/>
                              <w:w w:val="110"/>
                              <w:sz w:val="12"/>
                            </w:rPr>
                            <w:t> </w:t>
                          </w:r>
                          <w:r>
                            <w:rPr>
                              <w:rFonts w:ascii="Arial"/>
                              <w:color w:val="008FDD"/>
                              <w:w w:val="110"/>
                              <w:sz w:val="12"/>
                            </w:rPr>
                            <w:t>two</w:t>
                          </w:r>
                          <w:r>
                            <w:rPr>
                              <w:rFonts w:ascii="Arial"/>
                              <w:color w:val="008FDD"/>
                              <w:spacing w:val="2"/>
                              <w:w w:val="110"/>
                              <w:sz w:val="12"/>
                            </w:rPr>
                            <w:t> </w:t>
                          </w:r>
                          <w:r>
                            <w:rPr>
                              <w:rFonts w:ascii="Arial"/>
                              <w:color w:val="008FDD"/>
                              <w:w w:val="110"/>
                              <w:sz w:val="12"/>
                            </w:rPr>
                            <w:t>LPI</w:t>
                          </w:r>
                          <w:r>
                            <w:rPr>
                              <w:rFonts w:ascii="Arial"/>
                              <w:color w:val="008FDD"/>
                              <w:spacing w:val="2"/>
                              <w:w w:val="110"/>
                              <w:sz w:val="12"/>
                            </w:rPr>
                            <w:t> </w:t>
                          </w:r>
                          <w:r>
                            <w:rPr>
                              <w:rFonts w:ascii="Arial"/>
                              <w:color w:val="008FDD"/>
                              <w:w w:val="110"/>
                              <w:sz w:val="12"/>
                            </w:rPr>
                            <w:t>survey</w:t>
                          </w:r>
                          <w:r>
                            <w:rPr>
                              <w:rFonts w:ascii="Arial"/>
                              <w:color w:val="008FDD"/>
                              <w:spacing w:val="2"/>
                              <w:w w:val="110"/>
                              <w:sz w:val="12"/>
                            </w:rPr>
                            <w:t> </w:t>
                          </w:r>
                          <w:r>
                            <w:rPr>
                              <w:rFonts w:ascii="Arial"/>
                              <w:color w:val="008FDD"/>
                              <w:spacing w:val="-2"/>
                              <w:w w:val="110"/>
                              <w:sz w:val="12"/>
                            </w:rPr>
                            <w:t>questions</w:t>
                          </w:r>
                        </w:p>
                      </w:txbxContent>
                    </wps:txbx>
                    <wps:bodyPr wrap="square" lIns="0" tIns="0" rIns="0" bIns="0" rtlCol="0">
                      <a:noAutofit/>
                    </wps:bodyPr>
                  </wps:wsp>
                </a:graphicData>
              </a:graphic>
            </wp:anchor>
          </w:drawing>
        </mc:Choice>
        <mc:Fallback>
          <w:pict>
            <v:shape style="position:absolute;margin-left:35pt;margin-top:20.191999pt;width:154.85pt;height:9.35pt;mso-position-horizontal-relative:page;mso-position-vertical-relative:page;z-index:-36542976" type="#_x0000_t202" id="docshape1707" filled="false" stroked="false">
              <v:textbox inset="0,0,0,0">
                <w:txbxContent>
                  <w:p>
                    <w:pPr>
                      <w:spacing w:before="23"/>
                      <w:ind w:left="20" w:right="0" w:firstLine="0"/>
                      <w:jc w:val="left"/>
                      <w:rPr>
                        <w:rFonts w:ascii="Arial"/>
                        <w:sz w:val="12"/>
                      </w:rPr>
                    </w:pPr>
                    <w:r>
                      <w:rPr>
                        <w:rFonts w:ascii="Arial"/>
                        <w:color w:val="008FDD"/>
                        <w:w w:val="110"/>
                        <w:sz w:val="12"/>
                      </w:rPr>
                      <w:t>Appendix</w:t>
                    </w:r>
                    <w:r>
                      <w:rPr>
                        <w:rFonts w:ascii="Arial"/>
                        <w:color w:val="008FDD"/>
                        <w:spacing w:val="1"/>
                        <w:w w:val="110"/>
                        <w:sz w:val="12"/>
                      </w:rPr>
                      <w:t> </w:t>
                    </w:r>
                    <w:r>
                      <w:rPr>
                        <w:rFonts w:ascii="Arial"/>
                        <w:color w:val="008FDD"/>
                        <w:w w:val="110"/>
                        <w:sz w:val="12"/>
                      </w:rPr>
                      <w:t>6</w:t>
                    </w:r>
                    <w:r>
                      <w:rPr>
                        <w:rFonts w:ascii="Arial"/>
                        <w:color w:val="008FDD"/>
                        <w:spacing w:val="75"/>
                        <w:w w:val="110"/>
                        <w:sz w:val="12"/>
                      </w:rPr>
                      <w:t> </w:t>
                    </w:r>
                    <w:r>
                      <w:rPr>
                        <w:rFonts w:ascii="Arial"/>
                        <w:color w:val="008FDD"/>
                        <w:w w:val="110"/>
                        <w:sz w:val="12"/>
                      </w:rPr>
                      <w:t>Results</w:t>
                    </w:r>
                    <w:r>
                      <w:rPr>
                        <w:rFonts w:ascii="Arial"/>
                        <w:color w:val="008FDD"/>
                        <w:spacing w:val="2"/>
                        <w:w w:val="110"/>
                        <w:sz w:val="12"/>
                      </w:rPr>
                      <w:t> </w:t>
                    </w:r>
                    <w:r>
                      <w:rPr>
                        <w:rFonts w:ascii="Arial"/>
                        <w:color w:val="008FDD"/>
                        <w:w w:val="110"/>
                        <w:sz w:val="12"/>
                      </w:rPr>
                      <w:t>from</w:t>
                    </w:r>
                    <w:r>
                      <w:rPr>
                        <w:rFonts w:ascii="Arial"/>
                        <w:color w:val="008FDD"/>
                        <w:spacing w:val="2"/>
                        <w:w w:val="110"/>
                        <w:sz w:val="12"/>
                      </w:rPr>
                      <w:t> </w:t>
                    </w:r>
                    <w:r>
                      <w:rPr>
                        <w:rFonts w:ascii="Arial"/>
                        <w:color w:val="008FDD"/>
                        <w:w w:val="110"/>
                        <w:sz w:val="12"/>
                      </w:rPr>
                      <w:t>two</w:t>
                    </w:r>
                    <w:r>
                      <w:rPr>
                        <w:rFonts w:ascii="Arial"/>
                        <w:color w:val="008FDD"/>
                        <w:spacing w:val="2"/>
                        <w:w w:val="110"/>
                        <w:sz w:val="12"/>
                      </w:rPr>
                      <w:t> </w:t>
                    </w:r>
                    <w:r>
                      <w:rPr>
                        <w:rFonts w:ascii="Arial"/>
                        <w:color w:val="008FDD"/>
                        <w:w w:val="110"/>
                        <w:sz w:val="12"/>
                      </w:rPr>
                      <w:t>LPI</w:t>
                    </w:r>
                    <w:r>
                      <w:rPr>
                        <w:rFonts w:ascii="Arial"/>
                        <w:color w:val="008FDD"/>
                        <w:spacing w:val="2"/>
                        <w:w w:val="110"/>
                        <w:sz w:val="12"/>
                      </w:rPr>
                      <w:t> </w:t>
                    </w:r>
                    <w:r>
                      <w:rPr>
                        <w:rFonts w:ascii="Arial"/>
                        <w:color w:val="008FDD"/>
                        <w:w w:val="110"/>
                        <w:sz w:val="12"/>
                      </w:rPr>
                      <w:t>survey</w:t>
                    </w:r>
                    <w:r>
                      <w:rPr>
                        <w:rFonts w:ascii="Arial"/>
                        <w:color w:val="008FDD"/>
                        <w:spacing w:val="2"/>
                        <w:w w:val="110"/>
                        <w:sz w:val="12"/>
                      </w:rPr>
                      <w:t> </w:t>
                    </w:r>
                    <w:r>
                      <w:rPr>
                        <w:rFonts w:ascii="Arial"/>
                        <w:color w:val="008FDD"/>
                        <w:spacing w:val="-2"/>
                        <w:w w:val="110"/>
                        <w:sz w:val="12"/>
                      </w:rPr>
                      <w:t>questions</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5552">
              <wp:simplePos x="0" y="0"/>
              <wp:positionH relativeFrom="page">
                <wp:posOffset>444500</wp:posOffset>
              </wp:positionH>
              <wp:positionV relativeFrom="page">
                <wp:posOffset>256438</wp:posOffset>
              </wp:positionV>
              <wp:extent cx="1523365" cy="118745"/>
              <wp:effectExtent l="0" t="0" r="0" b="0"/>
              <wp:wrapNone/>
              <wp:docPr id="2066" name="Textbox 2066"/>
              <wp:cNvGraphicFramePr>
                <a:graphicFrameLocks/>
              </wp:cNvGraphicFramePr>
              <a:graphic>
                <a:graphicData uri="http://schemas.microsoft.com/office/word/2010/wordprocessingShape">
                  <wps:wsp>
                    <wps:cNvPr id="2066" name="Textbox 2066"/>
                    <wps:cNvSpPr txBox="1"/>
                    <wps:spPr>
                      <a:xfrm>
                        <a:off x="0" y="0"/>
                        <a:ext cx="1523365" cy="118745"/>
                      </a:xfrm>
                      <a:prstGeom prst="rect">
                        <a:avLst/>
                      </a:prstGeom>
                    </wps:spPr>
                    <wps:txbx>
                      <w:txbxContent>
                        <w:p>
                          <w:pPr>
                            <w:spacing w:before="23"/>
                            <w:ind w:left="20" w:right="0" w:firstLine="0"/>
                            <w:jc w:val="left"/>
                            <w:rPr>
                              <w:rFonts w:ascii="Arial"/>
                              <w:sz w:val="12"/>
                            </w:rPr>
                          </w:pPr>
                          <w:r>
                            <w:rPr>
                              <w:rFonts w:ascii="Arial"/>
                              <w:color w:val="008FDD"/>
                              <w:sz w:val="12"/>
                            </w:rPr>
                            <w:t>Appendix</w:t>
                          </w:r>
                          <w:r>
                            <w:rPr>
                              <w:rFonts w:ascii="Arial"/>
                              <w:color w:val="008FDD"/>
                              <w:spacing w:val="26"/>
                              <w:sz w:val="12"/>
                            </w:rPr>
                            <w:t> </w:t>
                          </w:r>
                          <w:r>
                            <w:rPr>
                              <w:rFonts w:ascii="Arial"/>
                              <w:color w:val="008FDD"/>
                              <w:sz w:val="12"/>
                            </w:rPr>
                            <w:t>7</w:t>
                          </w:r>
                          <w:r>
                            <w:rPr>
                              <w:rFonts w:ascii="Arial"/>
                              <w:color w:val="008FDD"/>
                              <w:spacing w:val="53"/>
                              <w:sz w:val="12"/>
                            </w:rPr>
                            <w:t>  </w:t>
                          </w:r>
                          <w:r>
                            <w:rPr>
                              <w:rFonts w:ascii="Arial"/>
                              <w:color w:val="008FDD"/>
                              <w:sz w:val="12"/>
                            </w:rPr>
                            <w:t>Respondent</w:t>
                          </w:r>
                          <w:r>
                            <w:rPr>
                              <w:rFonts w:ascii="Arial"/>
                              <w:color w:val="008FDD"/>
                              <w:spacing w:val="27"/>
                              <w:sz w:val="12"/>
                            </w:rPr>
                            <w:t> </w:t>
                          </w:r>
                          <w:r>
                            <w:rPr>
                              <w:rFonts w:ascii="Arial"/>
                              <w:color w:val="008FDD"/>
                              <w:spacing w:val="-2"/>
                              <w:sz w:val="12"/>
                            </w:rPr>
                            <w:t>demographics</w:t>
                          </w:r>
                        </w:p>
                      </w:txbxContent>
                    </wps:txbx>
                    <wps:bodyPr wrap="square" lIns="0" tIns="0" rIns="0" bIns="0" rtlCol="0">
                      <a:noAutofit/>
                    </wps:bodyPr>
                  </wps:wsp>
                </a:graphicData>
              </a:graphic>
            </wp:anchor>
          </w:drawing>
        </mc:Choice>
        <mc:Fallback>
          <w:pict>
            <v:shape style="position:absolute;margin-left:35pt;margin-top:20.191999pt;width:119.95pt;height:9.35pt;mso-position-horizontal-relative:page;mso-position-vertical-relative:page;z-index:-36540928" type="#_x0000_t202" id="docshape1783" filled="false" stroked="false">
              <v:textbox inset="0,0,0,0">
                <w:txbxContent>
                  <w:p>
                    <w:pPr>
                      <w:spacing w:before="23"/>
                      <w:ind w:left="20" w:right="0" w:firstLine="0"/>
                      <w:jc w:val="left"/>
                      <w:rPr>
                        <w:rFonts w:ascii="Arial"/>
                        <w:sz w:val="12"/>
                      </w:rPr>
                    </w:pPr>
                    <w:r>
                      <w:rPr>
                        <w:rFonts w:ascii="Arial"/>
                        <w:color w:val="008FDD"/>
                        <w:sz w:val="12"/>
                      </w:rPr>
                      <w:t>Appendix</w:t>
                    </w:r>
                    <w:r>
                      <w:rPr>
                        <w:rFonts w:ascii="Arial"/>
                        <w:color w:val="008FDD"/>
                        <w:spacing w:val="26"/>
                        <w:sz w:val="12"/>
                      </w:rPr>
                      <w:t> </w:t>
                    </w:r>
                    <w:r>
                      <w:rPr>
                        <w:rFonts w:ascii="Arial"/>
                        <w:color w:val="008FDD"/>
                        <w:sz w:val="12"/>
                      </w:rPr>
                      <w:t>7</w:t>
                    </w:r>
                    <w:r>
                      <w:rPr>
                        <w:rFonts w:ascii="Arial"/>
                        <w:color w:val="008FDD"/>
                        <w:spacing w:val="53"/>
                        <w:sz w:val="12"/>
                      </w:rPr>
                      <w:t>  </w:t>
                    </w:r>
                    <w:r>
                      <w:rPr>
                        <w:rFonts w:ascii="Arial"/>
                        <w:color w:val="008FDD"/>
                        <w:sz w:val="12"/>
                      </w:rPr>
                      <w:t>Respondent</w:t>
                    </w:r>
                    <w:r>
                      <w:rPr>
                        <w:rFonts w:ascii="Arial"/>
                        <w:color w:val="008FDD"/>
                        <w:spacing w:val="27"/>
                        <w:sz w:val="12"/>
                      </w:rPr>
                      <w:t> </w:t>
                    </w:r>
                    <w:r>
                      <w:rPr>
                        <w:rFonts w:ascii="Arial"/>
                        <w:color w:val="008FDD"/>
                        <w:spacing w:val="-2"/>
                        <w:sz w:val="12"/>
                      </w:rPr>
                      <w:t>demographics</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7600">
              <wp:simplePos x="0" y="0"/>
              <wp:positionH relativeFrom="page">
                <wp:posOffset>444500</wp:posOffset>
              </wp:positionH>
              <wp:positionV relativeFrom="page">
                <wp:posOffset>256438</wp:posOffset>
              </wp:positionV>
              <wp:extent cx="2423160" cy="118745"/>
              <wp:effectExtent l="0" t="0" r="0" b="0"/>
              <wp:wrapNone/>
              <wp:docPr id="2128" name="Textbox 2128"/>
              <wp:cNvGraphicFramePr>
                <a:graphicFrameLocks/>
              </wp:cNvGraphicFramePr>
              <a:graphic>
                <a:graphicData uri="http://schemas.microsoft.com/office/word/2010/wordprocessingShape">
                  <wps:wsp>
                    <wps:cNvPr id="2128" name="Textbox 2128"/>
                    <wps:cNvSpPr txBox="1"/>
                    <wps:spPr>
                      <a:xfrm>
                        <a:off x="0" y="0"/>
                        <a:ext cx="2423160" cy="118745"/>
                      </a:xfrm>
                      <a:prstGeom prst="rect">
                        <a:avLst/>
                      </a:prstGeom>
                    </wps:spPr>
                    <wps:txbx>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15"/>
                              <w:w w:val="105"/>
                              <w:sz w:val="12"/>
                            </w:rPr>
                            <w:t> </w:t>
                          </w:r>
                          <w:r>
                            <w:rPr>
                              <w:rFonts w:ascii="Arial"/>
                              <w:color w:val="008FDD"/>
                              <w:w w:val="105"/>
                              <w:sz w:val="12"/>
                            </w:rPr>
                            <w:t>8</w:t>
                          </w:r>
                          <w:r>
                            <w:rPr>
                              <w:rFonts w:ascii="Arial"/>
                              <w:color w:val="008FDD"/>
                              <w:spacing w:val="38"/>
                              <w:w w:val="105"/>
                              <w:sz w:val="12"/>
                            </w:rPr>
                            <w:t>  </w:t>
                          </w:r>
                          <w:r>
                            <w:rPr>
                              <w:rFonts w:ascii="Arial"/>
                              <w:color w:val="008FDD"/>
                              <w:w w:val="105"/>
                              <w:sz w:val="12"/>
                            </w:rPr>
                            <w:t>LPI</w:t>
                          </w:r>
                          <w:r>
                            <w:rPr>
                              <w:rFonts w:ascii="Arial"/>
                              <w:color w:val="008FDD"/>
                              <w:spacing w:val="16"/>
                              <w:w w:val="105"/>
                              <w:sz w:val="12"/>
                            </w:rPr>
                            <w:t> </w:t>
                          </w:r>
                          <w:r>
                            <w:rPr>
                              <w:rFonts w:ascii="Arial"/>
                              <w:color w:val="008FDD"/>
                              <w:w w:val="105"/>
                              <w:sz w:val="12"/>
                            </w:rPr>
                            <w:t>results</w:t>
                          </w:r>
                          <w:r>
                            <w:rPr>
                              <w:rFonts w:ascii="Arial"/>
                              <w:color w:val="008FDD"/>
                              <w:spacing w:val="16"/>
                              <w:w w:val="105"/>
                              <w:sz w:val="12"/>
                            </w:rPr>
                            <w:t> </w:t>
                          </w:r>
                          <w:r>
                            <w:rPr>
                              <w:rFonts w:ascii="Arial"/>
                              <w:color w:val="008FDD"/>
                              <w:w w:val="105"/>
                              <w:sz w:val="12"/>
                            </w:rPr>
                            <w:t>in</w:t>
                          </w:r>
                          <w:r>
                            <w:rPr>
                              <w:rFonts w:ascii="Arial"/>
                              <w:color w:val="008FDD"/>
                              <w:spacing w:val="16"/>
                              <w:w w:val="105"/>
                              <w:sz w:val="12"/>
                            </w:rPr>
                            <w:t> </w:t>
                          </w:r>
                          <w:r>
                            <w:rPr>
                              <w:rFonts w:ascii="Arial"/>
                              <w:color w:val="008FDD"/>
                              <w:w w:val="105"/>
                              <w:sz w:val="12"/>
                            </w:rPr>
                            <w:t>research</w:t>
                          </w:r>
                          <w:r>
                            <w:rPr>
                              <w:rFonts w:ascii="Arial"/>
                              <w:color w:val="008FDD"/>
                              <w:spacing w:val="16"/>
                              <w:w w:val="105"/>
                              <w:sz w:val="12"/>
                            </w:rPr>
                            <w:t> </w:t>
                          </w:r>
                          <w:r>
                            <w:rPr>
                              <w:rFonts w:ascii="Arial"/>
                              <w:color w:val="008FDD"/>
                              <w:w w:val="105"/>
                              <w:sz w:val="12"/>
                            </w:rPr>
                            <w:t>and</w:t>
                          </w:r>
                          <w:r>
                            <w:rPr>
                              <w:rFonts w:ascii="Arial"/>
                              <w:color w:val="008FDD"/>
                              <w:spacing w:val="15"/>
                              <w:w w:val="105"/>
                              <w:sz w:val="12"/>
                            </w:rPr>
                            <w:t> </w:t>
                          </w:r>
                          <w:r>
                            <w:rPr>
                              <w:rFonts w:ascii="Arial"/>
                              <w:color w:val="008FDD"/>
                              <w:w w:val="105"/>
                              <w:sz w:val="12"/>
                            </w:rPr>
                            <w:t>policymaking</w:t>
                          </w:r>
                          <w:r>
                            <w:rPr>
                              <w:rFonts w:ascii="Arial"/>
                              <w:color w:val="008FDD"/>
                              <w:spacing w:val="16"/>
                              <w:w w:val="105"/>
                              <w:sz w:val="12"/>
                            </w:rPr>
                            <w:t> </w:t>
                          </w:r>
                          <w:r>
                            <w:rPr>
                              <w:rFonts w:ascii="Arial"/>
                              <w:color w:val="008FDD"/>
                              <w:spacing w:val="-2"/>
                              <w:w w:val="105"/>
                              <w:sz w:val="12"/>
                            </w:rPr>
                            <w:t>literature</w:t>
                          </w:r>
                        </w:p>
                      </w:txbxContent>
                    </wps:txbx>
                    <wps:bodyPr wrap="square" lIns="0" tIns="0" rIns="0" bIns="0" rtlCol="0">
                      <a:noAutofit/>
                    </wps:bodyPr>
                  </wps:wsp>
                </a:graphicData>
              </a:graphic>
            </wp:anchor>
          </w:drawing>
        </mc:Choice>
        <mc:Fallback>
          <w:pict>
            <v:shape style="position:absolute;margin-left:35pt;margin-top:20.191999pt;width:190.8pt;height:9.35pt;mso-position-horizontal-relative:page;mso-position-vertical-relative:page;z-index:-36538880" type="#_x0000_t202" id="docshape1837" filled="false" stroked="false">
              <v:textbox inset="0,0,0,0">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15"/>
                        <w:w w:val="105"/>
                        <w:sz w:val="12"/>
                      </w:rPr>
                      <w:t> </w:t>
                    </w:r>
                    <w:r>
                      <w:rPr>
                        <w:rFonts w:ascii="Arial"/>
                        <w:color w:val="008FDD"/>
                        <w:w w:val="105"/>
                        <w:sz w:val="12"/>
                      </w:rPr>
                      <w:t>8</w:t>
                    </w:r>
                    <w:r>
                      <w:rPr>
                        <w:rFonts w:ascii="Arial"/>
                        <w:color w:val="008FDD"/>
                        <w:spacing w:val="38"/>
                        <w:w w:val="105"/>
                        <w:sz w:val="12"/>
                      </w:rPr>
                      <w:t>  </w:t>
                    </w:r>
                    <w:r>
                      <w:rPr>
                        <w:rFonts w:ascii="Arial"/>
                        <w:color w:val="008FDD"/>
                        <w:w w:val="105"/>
                        <w:sz w:val="12"/>
                      </w:rPr>
                      <w:t>LPI</w:t>
                    </w:r>
                    <w:r>
                      <w:rPr>
                        <w:rFonts w:ascii="Arial"/>
                        <w:color w:val="008FDD"/>
                        <w:spacing w:val="16"/>
                        <w:w w:val="105"/>
                        <w:sz w:val="12"/>
                      </w:rPr>
                      <w:t> </w:t>
                    </w:r>
                    <w:r>
                      <w:rPr>
                        <w:rFonts w:ascii="Arial"/>
                        <w:color w:val="008FDD"/>
                        <w:w w:val="105"/>
                        <w:sz w:val="12"/>
                      </w:rPr>
                      <w:t>results</w:t>
                    </w:r>
                    <w:r>
                      <w:rPr>
                        <w:rFonts w:ascii="Arial"/>
                        <w:color w:val="008FDD"/>
                        <w:spacing w:val="16"/>
                        <w:w w:val="105"/>
                        <w:sz w:val="12"/>
                      </w:rPr>
                      <w:t> </w:t>
                    </w:r>
                    <w:r>
                      <w:rPr>
                        <w:rFonts w:ascii="Arial"/>
                        <w:color w:val="008FDD"/>
                        <w:w w:val="105"/>
                        <w:sz w:val="12"/>
                      </w:rPr>
                      <w:t>in</w:t>
                    </w:r>
                    <w:r>
                      <w:rPr>
                        <w:rFonts w:ascii="Arial"/>
                        <w:color w:val="008FDD"/>
                        <w:spacing w:val="16"/>
                        <w:w w:val="105"/>
                        <w:sz w:val="12"/>
                      </w:rPr>
                      <w:t> </w:t>
                    </w:r>
                    <w:r>
                      <w:rPr>
                        <w:rFonts w:ascii="Arial"/>
                        <w:color w:val="008FDD"/>
                        <w:w w:val="105"/>
                        <w:sz w:val="12"/>
                      </w:rPr>
                      <w:t>research</w:t>
                    </w:r>
                    <w:r>
                      <w:rPr>
                        <w:rFonts w:ascii="Arial"/>
                        <w:color w:val="008FDD"/>
                        <w:spacing w:val="16"/>
                        <w:w w:val="105"/>
                        <w:sz w:val="12"/>
                      </w:rPr>
                      <w:t> </w:t>
                    </w:r>
                    <w:r>
                      <w:rPr>
                        <w:rFonts w:ascii="Arial"/>
                        <w:color w:val="008FDD"/>
                        <w:w w:val="105"/>
                        <w:sz w:val="12"/>
                      </w:rPr>
                      <w:t>and</w:t>
                    </w:r>
                    <w:r>
                      <w:rPr>
                        <w:rFonts w:ascii="Arial"/>
                        <w:color w:val="008FDD"/>
                        <w:spacing w:val="15"/>
                        <w:w w:val="105"/>
                        <w:sz w:val="12"/>
                      </w:rPr>
                      <w:t> </w:t>
                    </w:r>
                    <w:r>
                      <w:rPr>
                        <w:rFonts w:ascii="Arial"/>
                        <w:color w:val="008FDD"/>
                        <w:w w:val="105"/>
                        <w:sz w:val="12"/>
                      </w:rPr>
                      <w:t>policymaking</w:t>
                    </w:r>
                    <w:r>
                      <w:rPr>
                        <w:rFonts w:ascii="Arial"/>
                        <w:color w:val="008FDD"/>
                        <w:spacing w:val="16"/>
                        <w:w w:val="105"/>
                        <w:sz w:val="12"/>
                      </w:rPr>
                      <w:t> </w:t>
                    </w:r>
                    <w:r>
                      <w:rPr>
                        <w:rFonts w:ascii="Arial"/>
                        <w:color w:val="008FDD"/>
                        <w:spacing w:val="-2"/>
                        <w:w w:val="105"/>
                        <w:sz w:val="12"/>
                      </w:rPr>
                      <w:t>literature</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79648">
              <wp:simplePos x="0" y="0"/>
              <wp:positionH relativeFrom="page">
                <wp:posOffset>444500</wp:posOffset>
              </wp:positionH>
              <wp:positionV relativeFrom="page">
                <wp:posOffset>256438</wp:posOffset>
              </wp:positionV>
              <wp:extent cx="2423160" cy="118745"/>
              <wp:effectExtent l="0" t="0" r="0" b="0"/>
              <wp:wrapNone/>
              <wp:docPr id="2132" name="Textbox 2132"/>
              <wp:cNvGraphicFramePr>
                <a:graphicFrameLocks/>
              </wp:cNvGraphicFramePr>
              <a:graphic>
                <a:graphicData uri="http://schemas.microsoft.com/office/word/2010/wordprocessingShape">
                  <wps:wsp>
                    <wps:cNvPr id="2132" name="Textbox 2132"/>
                    <wps:cNvSpPr txBox="1"/>
                    <wps:spPr>
                      <a:xfrm>
                        <a:off x="0" y="0"/>
                        <a:ext cx="2423160" cy="118745"/>
                      </a:xfrm>
                      <a:prstGeom prst="rect">
                        <a:avLst/>
                      </a:prstGeom>
                    </wps:spPr>
                    <wps:txbx>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15"/>
                              <w:w w:val="105"/>
                              <w:sz w:val="12"/>
                            </w:rPr>
                            <w:t> </w:t>
                          </w:r>
                          <w:r>
                            <w:rPr>
                              <w:rFonts w:ascii="Arial"/>
                              <w:color w:val="008FDD"/>
                              <w:w w:val="105"/>
                              <w:sz w:val="12"/>
                            </w:rPr>
                            <w:t>8</w:t>
                          </w:r>
                          <w:r>
                            <w:rPr>
                              <w:rFonts w:ascii="Arial"/>
                              <w:color w:val="008FDD"/>
                              <w:spacing w:val="38"/>
                              <w:w w:val="105"/>
                              <w:sz w:val="12"/>
                            </w:rPr>
                            <w:t>  </w:t>
                          </w:r>
                          <w:r>
                            <w:rPr>
                              <w:rFonts w:ascii="Arial"/>
                              <w:color w:val="008FDD"/>
                              <w:w w:val="105"/>
                              <w:sz w:val="12"/>
                            </w:rPr>
                            <w:t>LPI</w:t>
                          </w:r>
                          <w:r>
                            <w:rPr>
                              <w:rFonts w:ascii="Arial"/>
                              <w:color w:val="008FDD"/>
                              <w:spacing w:val="16"/>
                              <w:w w:val="105"/>
                              <w:sz w:val="12"/>
                            </w:rPr>
                            <w:t> </w:t>
                          </w:r>
                          <w:r>
                            <w:rPr>
                              <w:rFonts w:ascii="Arial"/>
                              <w:color w:val="008FDD"/>
                              <w:w w:val="105"/>
                              <w:sz w:val="12"/>
                            </w:rPr>
                            <w:t>results</w:t>
                          </w:r>
                          <w:r>
                            <w:rPr>
                              <w:rFonts w:ascii="Arial"/>
                              <w:color w:val="008FDD"/>
                              <w:spacing w:val="16"/>
                              <w:w w:val="105"/>
                              <w:sz w:val="12"/>
                            </w:rPr>
                            <w:t> </w:t>
                          </w:r>
                          <w:r>
                            <w:rPr>
                              <w:rFonts w:ascii="Arial"/>
                              <w:color w:val="008FDD"/>
                              <w:w w:val="105"/>
                              <w:sz w:val="12"/>
                            </w:rPr>
                            <w:t>in</w:t>
                          </w:r>
                          <w:r>
                            <w:rPr>
                              <w:rFonts w:ascii="Arial"/>
                              <w:color w:val="008FDD"/>
                              <w:spacing w:val="16"/>
                              <w:w w:val="105"/>
                              <w:sz w:val="12"/>
                            </w:rPr>
                            <w:t> </w:t>
                          </w:r>
                          <w:r>
                            <w:rPr>
                              <w:rFonts w:ascii="Arial"/>
                              <w:color w:val="008FDD"/>
                              <w:w w:val="105"/>
                              <w:sz w:val="12"/>
                            </w:rPr>
                            <w:t>research</w:t>
                          </w:r>
                          <w:r>
                            <w:rPr>
                              <w:rFonts w:ascii="Arial"/>
                              <w:color w:val="008FDD"/>
                              <w:spacing w:val="16"/>
                              <w:w w:val="105"/>
                              <w:sz w:val="12"/>
                            </w:rPr>
                            <w:t> </w:t>
                          </w:r>
                          <w:r>
                            <w:rPr>
                              <w:rFonts w:ascii="Arial"/>
                              <w:color w:val="008FDD"/>
                              <w:w w:val="105"/>
                              <w:sz w:val="12"/>
                            </w:rPr>
                            <w:t>and</w:t>
                          </w:r>
                          <w:r>
                            <w:rPr>
                              <w:rFonts w:ascii="Arial"/>
                              <w:color w:val="008FDD"/>
                              <w:spacing w:val="15"/>
                              <w:w w:val="105"/>
                              <w:sz w:val="12"/>
                            </w:rPr>
                            <w:t> </w:t>
                          </w:r>
                          <w:r>
                            <w:rPr>
                              <w:rFonts w:ascii="Arial"/>
                              <w:color w:val="008FDD"/>
                              <w:w w:val="105"/>
                              <w:sz w:val="12"/>
                            </w:rPr>
                            <w:t>policymaking</w:t>
                          </w:r>
                          <w:r>
                            <w:rPr>
                              <w:rFonts w:ascii="Arial"/>
                              <w:color w:val="008FDD"/>
                              <w:spacing w:val="16"/>
                              <w:w w:val="105"/>
                              <w:sz w:val="12"/>
                            </w:rPr>
                            <w:t> </w:t>
                          </w:r>
                          <w:r>
                            <w:rPr>
                              <w:rFonts w:ascii="Arial"/>
                              <w:color w:val="008FDD"/>
                              <w:spacing w:val="-2"/>
                              <w:w w:val="105"/>
                              <w:sz w:val="12"/>
                            </w:rPr>
                            <w:t>literature</w:t>
                          </w:r>
                        </w:p>
                      </w:txbxContent>
                    </wps:txbx>
                    <wps:bodyPr wrap="square" lIns="0" tIns="0" rIns="0" bIns="0" rtlCol="0">
                      <a:noAutofit/>
                    </wps:bodyPr>
                  </wps:wsp>
                </a:graphicData>
              </a:graphic>
            </wp:anchor>
          </w:drawing>
        </mc:Choice>
        <mc:Fallback>
          <w:pict>
            <v:shape style="position:absolute;margin-left:35pt;margin-top:20.191999pt;width:190.8pt;height:9.35pt;mso-position-horizontal-relative:page;mso-position-vertical-relative:page;z-index:-36536832" type="#_x0000_t202" id="docshape1841" filled="false" stroked="false">
              <v:textbox inset="0,0,0,0">
                <w:txbxContent>
                  <w:p>
                    <w:pPr>
                      <w:spacing w:before="23"/>
                      <w:ind w:left="20" w:right="0" w:firstLine="0"/>
                      <w:jc w:val="left"/>
                      <w:rPr>
                        <w:rFonts w:ascii="Arial"/>
                        <w:sz w:val="12"/>
                      </w:rPr>
                    </w:pPr>
                    <w:r>
                      <w:rPr>
                        <w:rFonts w:ascii="Arial"/>
                        <w:color w:val="008FDD"/>
                        <w:w w:val="105"/>
                        <w:sz w:val="12"/>
                      </w:rPr>
                      <w:t>Appendix</w:t>
                    </w:r>
                    <w:r>
                      <w:rPr>
                        <w:rFonts w:ascii="Arial"/>
                        <w:color w:val="008FDD"/>
                        <w:spacing w:val="15"/>
                        <w:w w:val="105"/>
                        <w:sz w:val="12"/>
                      </w:rPr>
                      <w:t> </w:t>
                    </w:r>
                    <w:r>
                      <w:rPr>
                        <w:rFonts w:ascii="Arial"/>
                        <w:color w:val="008FDD"/>
                        <w:w w:val="105"/>
                        <w:sz w:val="12"/>
                      </w:rPr>
                      <w:t>8</w:t>
                    </w:r>
                    <w:r>
                      <w:rPr>
                        <w:rFonts w:ascii="Arial"/>
                        <w:color w:val="008FDD"/>
                        <w:spacing w:val="38"/>
                        <w:w w:val="105"/>
                        <w:sz w:val="12"/>
                      </w:rPr>
                      <w:t>  </w:t>
                    </w:r>
                    <w:r>
                      <w:rPr>
                        <w:rFonts w:ascii="Arial"/>
                        <w:color w:val="008FDD"/>
                        <w:w w:val="105"/>
                        <w:sz w:val="12"/>
                      </w:rPr>
                      <w:t>LPI</w:t>
                    </w:r>
                    <w:r>
                      <w:rPr>
                        <w:rFonts w:ascii="Arial"/>
                        <w:color w:val="008FDD"/>
                        <w:spacing w:val="16"/>
                        <w:w w:val="105"/>
                        <w:sz w:val="12"/>
                      </w:rPr>
                      <w:t> </w:t>
                    </w:r>
                    <w:r>
                      <w:rPr>
                        <w:rFonts w:ascii="Arial"/>
                        <w:color w:val="008FDD"/>
                        <w:w w:val="105"/>
                        <w:sz w:val="12"/>
                      </w:rPr>
                      <w:t>results</w:t>
                    </w:r>
                    <w:r>
                      <w:rPr>
                        <w:rFonts w:ascii="Arial"/>
                        <w:color w:val="008FDD"/>
                        <w:spacing w:val="16"/>
                        <w:w w:val="105"/>
                        <w:sz w:val="12"/>
                      </w:rPr>
                      <w:t> </w:t>
                    </w:r>
                    <w:r>
                      <w:rPr>
                        <w:rFonts w:ascii="Arial"/>
                        <w:color w:val="008FDD"/>
                        <w:w w:val="105"/>
                        <w:sz w:val="12"/>
                      </w:rPr>
                      <w:t>in</w:t>
                    </w:r>
                    <w:r>
                      <w:rPr>
                        <w:rFonts w:ascii="Arial"/>
                        <w:color w:val="008FDD"/>
                        <w:spacing w:val="16"/>
                        <w:w w:val="105"/>
                        <w:sz w:val="12"/>
                      </w:rPr>
                      <w:t> </w:t>
                    </w:r>
                    <w:r>
                      <w:rPr>
                        <w:rFonts w:ascii="Arial"/>
                        <w:color w:val="008FDD"/>
                        <w:w w:val="105"/>
                        <w:sz w:val="12"/>
                      </w:rPr>
                      <w:t>research</w:t>
                    </w:r>
                    <w:r>
                      <w:rPr>
                        <w:rFonts w:ascii="Arial"/>
                        <w:color w:val="008FDD"/>
                        <w:spacing w:val="16"/>
                        <w:w w:val="105"/>
                        <w:sz w:val="12"/>
                      </w:rPr>
                      <w:t> </w:t>
                    </w:r>
                    <w:r>
                      <w:rPr>
                        <w:rFonts w:ascii="Arial"/>
                        <w:color w:val="008FDD"/>
                        <w:w w:val="105"/>
                        <w:sz w:val="12"/>
                      </w:rPr>
                      <w:t>and</w:t>
                    </w:r>
                    <w:r>
                      <w:rPr>
                        <w:rFonts w:ascii="Arial"/>
                        <w:color w:val="008FDD"/>
                        <w:spacing w:val="15"/>
                        <w:w w:val="105"/>
                        <w:sz w:val="12"/>
                      </w:rPr>
                      <w:t> </w:t>
                    </w:r>
                    <w:r>
                      <w:rPr>
                        <w:rFonts w:ascii="Arial"/>
                        <w:color w:val="008FDD"/>
                        <w:w w:val="105"/>
                        <w:sz w:val="12"/>
                      </w:rPr>
                      <w:t>policymaking</w:t>
                    </w:r>
                    <w:r>
                      <w:rPr>
                        <w:rFonts w:ascii="Arial"/>
                        <w:color w:val="008FDD"/>
                        <w:spacing w:val="16"/>
                        <w:w w:val="105"/>
                        <w:sz w:val="12"/>
                      </w:rPr>
                      <w:t> </w:t>
                    </w:r>
                    <w:r>
                      <w:rPr>
                        <w:rFonts w:ascii="Arial"/>
                        <w:color w:val="008FDD"/>
                        <w:spacing w:val="-2"/>
                        <w:w w:val="105"/>
                        <w:sz w:val="12"/>
                      </w:rPr>
                      <w:t>literature</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35616">
              <wp:simplePos x="0" y="0"/>
              <wp:positionH relativeFrom="page">
                <wp:posOffset>762000</wp:posOffset>
              </wp:positionH>
              <wp:positionV relativeFrom="page">
                <wp:posOffset>1181100</wp:posOffset>
              </wp:positionV>
              <wp:extent cx="1524000" cy="171450"/>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93pt;width:120pt;height:13.5pt;mso-position-horizontal-relative:page;mso-position-vertical-relative:page;z-index:-36580864" id="docshape158" filled="true" fillcolor="#d1d3d4" stroked="false">
              <v:fill type="solid"/>
              <w10:wrap type="none"/>
            </v:rect>
          </w:pict>
        </mc:Fallback>
      </mc:AlternateContent>
    </w:r>
    <w:r>
      <w:rPr/>
      <mc:AlternateContent>
        <mc:Choice Requires="wps">
          <w:drawing>
            <wp:anchor distT="0" distB="0" distL="0" distR="0" allowOverlap="1" layoutInCell="1" locked="0" behindDoc="1" simplePos="0" relativeHeight="466736128">
              <wp:simplePos x="0" y="0"/>
              <wp:positionH relativeFrom="page">
                <wp:posOffset>2438400</wp:posOffset>
              </wp:positionH>
              <wp:positionV relativeFrom="page">
                <wp:posOffset>1181100</wp:posOffset>
              </wp:positionV>
              <wp:extent cx="4876800" cy="171450"/>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93pt;width:384pt;height:13.5pt;mso-position-horizontal-relative:page;mso-position-vertical-relative:page;z-index:-36580352" id="docshape159" filled="true" fillcolor="#c9dcf3" stroked="false">
              <v:fill type="solid"/>
              <w10:wrap type="none"/>
            </v:rect>
          </w:pict>
        </mc:Fallback>
      </mc:AlternateContent>
    </w:r>
    <w:r>
      <w:rPr/>
      <mc:AlternateContent>
        <mc:Choice Requires="wps">
          <w:drawing>
            <wp:anchor distT="0" distB="0" distL="0" distR="0" allowOverlap="1" layoutInCell="1" locked="0" behindDoc="1" simplePos="0" relativeHeight="466736640">
              <wp:simplePos x="0" y="0"/>
              <wp:positionH relativeFrom="page">
                <wp:posOffset>2425700</wp:posOffset>
              </wp:positionH>
              <wp:positionV relativeFrom="page">
                <wp:posOffset>746505</wp:posOffset>
              </wp:positionV>
              <wp:extent cx="2107565" cy="339725"/>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2107565" cy="339725"/>
                      </a:xfrm>
                      <a:prstGeom prst="rect">
                        <a:avLst/>
                      </a:prstGeom>
                    </wps:spPr>
                    <wps:txbx>
                      <w:txbxContent>
                        <w:p>
                          <w:pPr>
                            <w:spacing w:before="39"/>
                            <w:ind w:left="20" w:right="0" w:firstLine="0"/>
                            <w:jc w:val="left"/>
                            <w:rPr>
                              <w:rFonts w:ascii="Arial"/>
                              <w:b/>
                              <w:sz w:val="40"/>
                            </w:rPr>
                          </w:pPr>
                          <w:r>
                            <w:rPr>
                              <w:rFonts w:ascii="Arial"/>
                              <w:b/>
                              <w:color w:val="231F20"/>
                              <w:sz w:val="40"/>
                            </w:rPr>
                            <w:t>Policy</w:t>
                          </w:r>
                          <w:r>
                            <w:rPr>
                              <w:rFonts w:ascii="Arial"/>
                              <w:b/>
                              <w:color w:val="231F20"/>
                              <w:spacing w:val="21"/>
                              <w:sz w:val="40"/>
                            </w:rPr>
                            <w:t> </w:t>
                          </w:r>
                          <w:r>
                            <w:rPr>
                              <w:rFonts w:ascii="Arial"/>
                              <w:b/>
                              <w:color w:val="231F20"/>
                              <w:spacing w:val="-2"/>
                              <w:sz w:val="40"/>
                            </w:rPr>
                            <w:t>highlights</w:t>
                          </w:r>
                        </w:p>
                      </w:txbxContent>
                    </wps:txbx>
                    <wps:bodyPr wrap="square" lIns="0" tIns="0" rIns="0" bIns="0" rtlCol="0">
                      <a:noAutofit/>
                    </wps:bodyPr>
                  </wps:wsp>
                </a:graphicData>
              </a:graphic>
            </wp:anchor>
          </w:drawing>
        </mc:Choice>
        <mc:Fallback>
          <w:pict>
            <v:shape style="position:absolute;margin-left:191pt;margin-top:58.779999pt;width:165.95pt;height:26.75pt;mso-position-horizontal-relative:page;mso-position-vertical-relative:page;z-index:-36579840" type="#_x0000_t202" id="docshape160" filled="false" stroked="false">
              <v:textbox inset="0,0,0,0">
                <w:txbxContent>
                  <w:p>
                    <w:pPr>
                      <w:spacing w:before="39"/>
                      <w:ind w:left="20" w:right="0" w:firstLine="0"/>
                      <w:jc w:val="left"/>
                      <w:rPr>
                        <w:rFonts w:ascii="Arial"/>
                        <w:b/>
                        <w:sz w:val="40"/>
                      </w:rPr>
                    </w:pPr>
                    <w:r>
                      <w:rPr>
                        <w:rFonts w:ascii="Arial"/>
                        <w:b/>
                        <w:color w:val="231F20"/>
                        <w:sz w:val="40"/>
                      </w:rPr>
                      <w:t>Policy</w:t>
                    </w:r>
                    <w:r>
                      <w:rPr>
                        <w:rFonts w:ascii="Arial"/>
                        <w:b/>
                        <w:color w:val="231F20"/>
                        <w:spacing w:val="21"/>
                        <w:sz w:val="40"/>
                      </w:rPr>
                      <w:t> </w:t>
                    </w:r>
                    <w:r>
                      <w:rPr>
                        <w:rFonts w:ascii="Arial"/>
                        <w:b/>
                        <w:color w:val="231F20"/>
                        <w:spacing w:val="-2"/>
                        <w:sz w:val="40"/>
                      </w:rPr>
                      <w:t>highlights</w:t>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81696">
              <wp:simplePos x="0" y="0"/>
              <wp:positionH relativeFrom="page">
                <wp:posOffset>444500</wp:posOffset>
              </wp:positionH>
              <wp:positionV relativeFrom="page">
                <wp:posOffset>256438</wp:posOffset>
              </wp:positionV>
              <wp:extent cx="456565" cy="118745"/>
              <wp:effectExtent l="0" t="0" r="0" b="0"/>
              <wp:wrapNone/>
              <wp:docPr id="2138" name="Textbox 2138"/>
              <wp:cNvGraphicFramePr>
                <a:graphicFrameLocks/>
              </wp:cNvGraphicFramePr>
              <a:graphic>
                <a:graphicData uri="http://schemas.microsoft.com/office/word/2010/wordprocessingShape">
                  <wps:wsp>
                    <wps:cNvPr id="2138" name="Textbox 2138"/>
                    <wps:cNvSpPr txBox="1"/>
                    <wps:spPr>
                      <a:xfrm>
                        <a:off x="0" y="0"/>
                        <a:ext cx="456565" cy="118745"/>
                      </a:xfrm>
                      <a:prstGeom prst="rect">
                        <a:avLst/>
                      </a:prstGeom>
                    </wps:spPr>
                    <wps:txbx>
                      <w:txbxContent>
                        <w:p>
                          <w:pPr>
                            <w:spacing w:before="23"/>
                            <w:ind w:left="20" w:right="0" w:firstLine="0"/>
                            <w:jc w:val="left"/>
                            <w:rPr>
                              <w:rFonts w:ascii="Arial"/>
                              <w:sz w:val="12"/>
                            </w:rPr>
                          </w:pPr>
                          <w:r>
                            <w:rPr>
                              <w:rFonts w:ascii="Arial"/>
                              <w:color w:val="008FDD"/>
                              <w:spacing w:val="-2"/>
                              <w:w w:val="105"/>
                              <w:sz w:val="12"/>
                            </w:rPr>
                            <w:t>References</w:t>
                          </w:r>
                        </w:p>
                      </w:txbxContent>
                    </wps:txbx>
                    <wps:bodyPr wrap="square" lIns="0" tIns="0" rIns="0" bIns="0" rtlCol="0">
                      <a:noAutofit/>
                    </wps:bodyPr>
                  </wps:wsp>
                </a:graphicData>
              </a:graphic>
            </wp:anchor>
          </w:drawing>
        </mc:Choice>
        <mc:Fallback>
          <w:pict>
            <v:shape style="position:absolute;margin-left:35pt;margin-top:20.191999pt;width:35.950pt;height:9.35pt;mso-position-horizontal-relative:page;mso-position-vertical-relative:page;z-index:-36534784" type="#_x0000_t202" id="docshape1847" filled="false" stroked="false">
              <v:textbox inset="0,0,0,0">
                <w:txbxContent>
                  <w:p>
                    <w:pPr>
                      <w:spacing w:before="23"/>
                      <w:ind w:left="20" w:right="0" w:firstLine="0"/>
                      <w:jc w:val="left"/>
                      <w:rPr>
                        <w:rFonts w:ascii="Arial"/>
                        <w:sz w:val="12"/>
                      </w:rPr>
                    </w:pPr>
                    <w:r>
                      <w:rPr>
                        <w:rFonts w:ascii="Arial"/>
                        <w:color w:val="008FDD"/>
                        <w:spacing w:val="-2"/>
                        <w:w w:val="105"/>
                        <w:sz w:val="12"/>
                      </w:rPr>
                      <w:t>References</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37664">
              <wp:simplePos x="0" y="0"/>
              <wp:positionH relativeFrom="page">
                <wp:posOffset>762000</wp:posOffset>
              </wp:positionH>
              <wp:positionV relativeFrom="page">
                <wp:posOffset>1181100</wp:posOffset>
              </wp:positionV>
              <wp:extent cx="1524000" cy="171450"/>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1524000" cy="171450"/>
                      </a:xfrm>
                      <a:custGeom>
                        <a:avLst/>
                        <a:gdLst/>
                        <a:ahLst/>
                        <a:cxnLst/>
                        <a:rect l="l" t="t" r="r" b="b"/>
                        <a:pathLst>
                          <a:path w="1524000" h="171450">
                            <a:moveTo>
                              <a:pt x="1524000" y="0"/>
                            </a:moveTo>
                            <a:lnTo>
                              <a:pt x="0" y="0"/>
                            </a:lnTo>
                            <a:lnTo>
                              <a:pt x="0" y="171450"/>
                            </a:lnTo>
                            <a:lnTo>
                              <a:pt x="1524000" y="171450"/>
                            </a:lnTo>
                            <a:lnTo>
                              <a:pt x="1524000" y="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rect style="position:absolute;margin-left:60pt;margin-top:93pt;width:120pt;height:13.5pt;mso-position-horizontal-relative:page;mso-position-vertical-relative:page;z-index:-36578816" id="docshape163" filled="true" fillcolor="#d1d3d4" stroked="false">
              <v:fill type="solid"/>
              <w10:wrap type="none"/>
            </v:rect>
          </w:pict>
        </mc:Fallback>
      </mc:AlternateContent>
    </w:r>
    <w:r>
      <w:rPr/>
      <mc:AlternateContent>
        <mc:Choice Requires="wps">
          <w:drawing>
            <wp:anchor distT="0" distB="0" distL="0" distR="0" allowOverlap="1" layoutInCell="1" locked="0" behindDoc="1" simplePos="0" relativeHeight="466738176">
              <wp:simplePos x="0" y="0"/>
              <wp:positionH relativeFrom="page">
                <wp:posOffset>2438400</wp:posOffset>
              </wp:positionH>
              <wp:positionV relativeFrom="page">
                <wp:posOffset>1181100</wp:posOffset>
              </wp:positionV>
              <wp:extent cx="4876800" cy="171450"/>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4876800" cy="171450"/>
                      </a:xfrm>
                      <a:custGeom>
                        <a:avLst/>
                        <a:gdLst/>
                        <a:ahLst/>
                        <a:cxnLst/>
                        <a:rect l="l" t="t" r="r" b="b"/>
                        <a:pathLst>
                          <a:path w="4876800" h="171450">
                            <a:moveTo>
                              <a:pt x="4876800" y="0"/>
                            </a:moveTo>
                            <a:lnTo>
                              <a:pt x="0" y="0"/>
                            </a:lnTo>
                            <a:lnTo>
                              <a:pt x="0" y="171450"/>
                            </a:lnTo>
                            <a:lnTo>
                              <a:pt x="4876800" y="171450"/>
                            </a:lnTo>
                            <a:lnTo>
                              <a:pt x="4876800" y="0"/>
                            </a:lnTo>
                            <a:close/>
                          </a:path>
                        </a:pathLst>
                      </a:custGeom>
                      <a:solidFill>
                        <a:srgbClr val="C9DCF3"/>
                      </a:solidFill>
                    </wps:spPr>
                    <wps:bodyPr wrap="square" lIns="0" tIns="0" rIns="0" bIns="0" rtlCol="0">
                      <a:prstTxWarp prst="textNoShape">
                        <a:avLst/>
                      </a:prstTxWarp>
                      <a:noAutofit/>
                    </wps:bodyPr>
                  </wps:wsp>
                </a:graphicData>
              </a:graphic>
            </wp:anchor>
          </w:drawing>
        </mc:Choice>
        <mc:Fallback>
          <w:pict>
            <v:rect style="position:absolute;margin-left:192pt;margin-top:93pt;width:384pt;height:13.5pt;mso-position-horizontal-relative:page;mso-position-vertical-relative:page;z-index:-36578304" id="docshape164" filled="true" fillcolor="#c9dcf3" stroked="false">
              <v:fill type="solid"/>
              <w10:wrap type="none"/>
            </v:rect>
          </w:pict>
        </mc:Fallback>
      </mc:AlternateContent>
    </w:r>
    <w:r>
      <w:rPr/>
      <mc:AlternateContent>
        <mc:Choice Requires="wps">
          <w:drawing>
            <wp:anchor distT="0" distB="0" distL="0" distR="0" allowOverlap="1" layoutInCell="1" locked="0" behindDoc="1" simplePos="0" relativeHeight="466738688">
              <wp:simplePos x="0" y="0"/>
              <wp:positionH relativeFrom="page">
                <wp:posOffset>2425700</wp:posOffset>
              </wp:positionH>
              <wp:positionV relativeFrom="page">
                <wp:posOffset>746505</wp:posOffset>
              </wp:positionV>
              <wp:extent cx="2521585" cy="339725"/>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2521585" cy="339725"/>
                      </a:xfrm>
                      <a:prstGeom prst="rect">
                        <a:avLst/>
                      </a:prstGeom>
                    </wps:spPr>
                    <wps:txbx>
                      <w:txbxContent>
                        <w:p>
                          <w:pPr>
                            <w:spacing w:before="39"/>
                            <w:ind w:left="20" w:right="0" w:firstLine="0"/>
                            <w:jc w:val="left"/>
                            <w:rPr>
                              <w:rFonts w:ascii="Arial"/>
                              <w:b/>
                              <w:sz w:val="40"/>
                            </w:rPr>
                          </w:pPr>
                          <w:r>
                            <w:rPr>
                              <w:rFonts w:ascii="Arial"/>
                              <w:b/>
                              <w:color w:val="231F20"/>
                              <w:w w:val="105"/>
                              <w:sz w:val="40"/>
                            </w:rPr>
                            <w:t>Executive</w:t>
                          </w:r>
                          <w:r>
                            <w:rPr>
                              <w:rFonts w:ascii="Arial"/>
                              <w:b/>
                              <w:color w:val="231F20"/>
                              <w:spacing w:val="-23"/>
                              <w:w w:val="105"/>
                              <w:sz w:val="40"/>
                            </w:rPr>
                            <w:t> </w:t>
                          </w:r>
                          <w:r>
                            <w:rPr>
                              <w:rFonts w:ascii="Arial"/>
                              <w:b/>
                              <w:color w:val="231F20"/>
                              <w:spacing w:val="-2"/>
                              <w:w w:val="105"/>
                              <w:sz w:val="40"/>
                            </w:rPr>
                            <w:t>summary</w:t>
                          </w:r>
                        </w:p>
                      </w:txbxContent>
                    </wps:txbx>
                    <wps:bodyPr wrap="square" lIns="0" tIns="0" rIns="0" bIns="0" rtlCol="0">
                      <a:noAutofit/>
                    </wps:bodyPr>
                  </wps:wsp>
                </a:graphicData>
              </a:graphic>
            </wp:anchor>
          </w:drawing>
        </mc:Choice>
        <mc:Fallback>
          <w:pict>
            <v:shape style="position:absolute;margin-left:191pt;margin-top:58.779999pt;width:198.55pt;height:26.75pt;mso-position-horizontal-relative:page;mso-position-vertical-relative:page;z-index:-36577792" type="#_x0000_t202" id="docshape165" filled="false" stroked="false">
              <v:textbox inset="0,0,0,0">
                <w:txbxContent>
                  <w:p>
                    <w:pPr>
                      <w:spacing w:before="39"/>
                      <w:ind w:left="20" w:right="0" w:firstLine="0"/>
                      <w:jc w:val="left"/>
                      <w:rPr>
                        <w:rFonts w:ascii="Arial"/>
                        <w:b/>
                        <w:sz w:val="40"/>
                      </w:rPr>
                    </w:pPr>
                    <w:r>
                      <w:rPr>
                        <w:rFonts w:ascii="Arial"/>
                        <w:b/>
                        <w:color w:val="231F20"/>
                        <w:w w:val="105"/>
                        <w:sz w:val="40"/>
                      </w:rPr>
                      <w:t>Executive</w:t>
                    </w:r>
                    <w:r>
                      <w:rPr>
                        <w:rFonts w:ascii="Arial"/>
                        <w:b/>
                        <w:color w:val="231F20"/>
                        <w:spacing w:val="-23"/>
                        <w:w w:val="105"/>
                        <w:sz w:val="40"/>
                      </w:rPr>
                      <w:t> </w:t>
                    </w:r>
                    <w:r>
                      <w:rPr>
                        <w:rFonts w:ascii="Arial"/>
                        <w:b/>
                        <w:color w:val="231F20"/>
                        <w:spacing w:val="-2"/>
                        <w:w w:val="105"/>
                        <w:sz w:val="40"/>
                      </w:rPr>
                      <w:t>summary</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39200">
              <wp:simplePos x="0" y="0"/>
              <wp:positionH relativeFrom="page">
                <wp:posOffset>444500</wp:posOffset>
              </wp:positionH>
              <wp:positionV relativeFrom="page">
                <wp:posOffset>256438</wp:posOffset>
              </wp:positionV>
              <wp:extent cx="751840" cy="118745"/>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751840" cy="118745"/>
                      </a:xfrm>
                      <a:prstGeom prst="rect">
                        <a:avLst/>
                      </a:prstGeom>
                    </wps:spPr>
                    <wps:txbx>
                      <w:txbxContent>
                        <w:p>
                          <w:pPr>
                            <w:spacing w:before="23"/>
                            <w:ind w:left="20" w:right="0" w:firstLine="0"/>
                            <w:jc w:val="left"/>
                            <w:rPr>
                              <w:rFonts w:ascii="Arial"/>
                              <w:sz w:val="12"/>
                            </w:rPr>
                          </w:pPr>
                          <w:r>
                            <w:rPr>
                              <w:rFonts w:ascii="Arial"/>
                              <w:color w:val="008FDD"/>
                              <w:sz w:val="12"/>
                            </w:rPr>
                            <w:t>Executive</w:t>
                          </w:r>
                          <w:r>
                            <w:rPr>
                              <w:rFonts w:ascii="Arial"/>
                              <w:color w:val="008FDD"/>
                              <w:spacing w:val="31"/>
                              <w:sz w:val="12"/>
                            </w:rPr>
                            <w:t> </w:t>
                          </w:r>
                          <w:r>
                            <w:rPr>
                              <w:rFonts w:ascii="Arial"/>
                              <w:color w:val="008FDD"/>
                              <w:spacing w:val="-2"/>
                              <w:sz w:val="12"/>
                            </w:rPr>
                            <w:t>summary</w:t>
                          </w:r>
                        </w:p>
                      </w:txbxContent>
                    </wps:txbx>
                    <wps:bodyPr wrap="square" lIns="0" tIns="0" rIns="0" bIns="0" rtlCol="0">
                      <a:noAutofit/>
                    </wps:bodyPr>
                  </wps:wsp>
                </a:graphicData>
              </a:graphic>
            </wp:anchor>
          </w:drawing>
        </mc:Choice>
        <mc:Fallback>
          <w:pict>
            <v:shape style="position:absolute;margin-left:35pt;margin-top:20.191999pt;width:59.2pt;height:9.35pt;mso-position-horizontal-relative:page;mso-position-vertical-relative:page;z-index:-36577280" type="#_x0000_t202" id="docshape166" filled="false" stroked="false">
              <v:textbox inset="0,0,0,0">
                <w:txbxContent>
                  <w:p>
                    <w:pPr>
                      <w:spacing w:before="23"/>
                      <w:ind w:left="20" w:right="0" w:firstLine="0"/>
                      <w:jc w:val="left"/>
                      <w:rPr>
                        <w:rFonts w:ascii="Arial"/>
                        <w:sz w:val="12"/>
                      </w:rPr>
                    </w:pPr>
                    <w:r>
                      <w:rPr>
                        <w:rFonts w:ascii="Arial"/>
                        <w:color w:val="008FDD"/>
                        <w:sz w:val="12"/>
                      </w:rPr>
                      <w:t>Executive</w:t>
                    </w:r>
                    <w:r>
                      <w:rPr>
                        <w:rFonts w:ascii="Arial"/>
                        <w:color w:val="008FDD"/>
                        <w:spacing w:val="31"/>
                        <w:sz w:val="12"/>
                      </w:rPr>
                      <w:t> </w:t>
                    </w:r>
                    <w:r>
                      <w:rPr>
                        <w:rFonts w:ascii="Arial"/>
                        <w:color w:val="008FDD"/>
                        <w:spacing w:val="-2"/>
                        <w:sz w:val="12"/>
                      </w:rPr>
                      <w:t>summary</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66740736">
              <wp:simplePos x="0" y="0"/>
              <wp:positionH relativeFrom="page">
                <wp:posOffset>6576439</wp:posOffset>
              </wp:positionH>
              <wp:positionV relativeFrom="page">
                <wp:posOffset>256438</wp:posOffset>
              </wp:positionV>
              <wp:extent cx="751840" cy="118745"/>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751840" cy="118745"/>
                      </a:xfrm>
                      <a:prstGeom prst="rect">
                        <a:avLst/>
                      </a:prstGeom>
                    </wps:spPr>
                    <wps:txbx>
                      <w:txbxContent>
                        <w:p>
                          <w:pPr>
                            <w:spacing w:before="23"/>
                            <w:ind w:left="20" w:right="0" w:firstLine="0"/>
                            <w:jc w:val="left"/>
                            <w:rPr>
                              <w:rFonts w:ascii="Arial"/>
                              <w:sz w:val="12"/>
                            </w:rPr>
                          </w:pPr>
                          <w:r>
                            <w:rPr>
                              <w:rFonts w:ascii="Arial"/>
                              <w:color w:val="008FDD"/>
                              <w:sz w:val="12"/>
                            </w:rPr>
                            <w:t>Executive</w:t>
                          </w:r>
                          <w:r>
                            <w:rPr>
                              <w:rFonts w:ascii="Arial"/>
                              <w:color w:val="008FDD"/>
                              <w:spacing w:val="31"/>
                              <w:sz w:val="12"/>
                            </w:rPr>
                            <w:t> </w:t>
                          </w:r>
                          <w:r>
                            <w:rPr>
                              <w:rFonts w:ascii="Arial"/>
                              <w:color w:val="008FDD"/>
                              <w:spacing w:val="-2"/>
                              <w:sz w:val="12"/>
                            </w:rPr>
                            <w:t>summary</w:t>
                          </w:r>
                        </w:p>
                      </w:txbxContent>
                    </wps:txbx>
                    <wps:bodyPr wrap="square" lIns="0" tIns="0" rIns="0" bIns="0" rtlCol="0">
                      <a:noAutofit/>
                    </wps:bodyPr>
                  </wps:wsp>
                </a:graphicData>
              </a:graphic>
            </wp:anchor>
          </w:drawing>
        </mc:Choice>
        <mc:Fallback>
          <w:pict>
            <v:shape style="position:absolute;margin-left:517.829895pt;margin-top:20.191999pt;width:59.2pt;height:9.35pt;mso-position-horizontal-relative:page;mso-position-vertical-relative:page;z-index:-36575744" type="#_x0000_t202" id="docshape194" filled="false" stroked="false">
              <v:textbox inset="0,0,0,0">
                <w:txbxContent>
                  <w:p>
                    <w:pPr>
                      <w:spacing w:before="23"/>
                      <w:ind w:left="20" w:right="0" w:firstLine="0"/>
                      <w:jc w:val="left"/>
                      <w:rPr>
                        <w:rFonts w:ascii="Arial"/>
                        <w:sz w:val="12"/>
                      </w:rPr>
                    </w:pPr>
                    <w:r>
                      <w:rPr>
                        <w:rFonts w:ascii="Arial"/>
                        <w:color w:val="008FDD"/>
                        <w:sz w:val="12"/>
                      </w:rPr>
                      <w:t>Executive</w:t>
                    </w:r>
                    <w:r>
                      <w:rPr>
                        <w:rFonts w:ascii="Arial"/>
                        <w:color w:val="008FDD"/>
                        <w:spacing w:val="31"/>
                        <w:sz w:val="12"/>
                      </w:rPr>
                      <w:t> </w:t>
                    </w:r>
                    <w:r>
                      <w:rPr>
                        <w:rFonts w:ascii="Arial"/>
                        <w:color w:val="008FDD"/>
                        <w:spacing w:val="-2"/>
                        <w:sz w:val="12"/>
                      </w:rPr>
                      <w:t>summary</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
    <w:multiLevelType w:val="hybridMultilevel"/>
    <w:lvl w:ilvl="0">
      <w:start w:val="0"/>
      <w:numFmt w:val="bullet"/>
      <w:lvlText w:val="•"/>
      <w:lvlJc w:val="left"/>
      <w:pPr>
        <w:ind w:left="5751" w:hanging="420"/>
      </w:pPr>
      <w:rPr>
        <w:rFonts w:hint="default" w:ascii="Arial" w:hAnsi="Arial" w:eastAsia="Arial" w:cs="Arial"/>
        <w:b w:val="0"/>
        <w:bCs w:val="0"/>
        <w:i w:val="0"/>
        <w:iCs w:val="0"/>
        <w:color w:val="008FDD"/>
        <w:spacing w:val="0"/>
        <w:w w:val="148"/>
        <w:sz w:val="19"/>
        <w:szCs w:val="19"/>
        <w:lang w:val="en-US" w:eastAsia="en-US" w:bidi="ar-SA"/>
      </w:rPr>
    </w:lvl>
    <w:lvl w:ilvl="1">
      <w:start w:val="0"/>
      <w:numFmt w:val="bullet"/>
      <w:lvlText w:val="•"/>
      <w:lvlJc w:val="left"/>
      <w:pPr>
        <w:ind w:left="6354" w:hanging="420"/>
      </w:pPr>
      <w:rPr>
        <w:rFonts w:hint="default"/>
        <w:lang w:val="en-US" w:eastAsia="en-US" w:bidi="ar-SA"/>
      </w:rPr>
    </w:lvl>
    <w:lvl w:ilvl="2">
      <w:start w:val="0"/>
      <w:numFmt w:val="bullet"/>
      <w:lvlText w:val="•"/>
      <w:lvlJc w:val="left"/>
      <w:pPr>
        <w:ind w:left="6948" w:hanging="420"/>
      </w:pPr>
      <w:rPr>
        <w:rFonts w:hint="default"/>
        <w:lang w:val="en-US" w:eastAsia="en-US" w:bidi="ar-SA"/>
      </w:rPr>
    </w:lvl>
    <w:lvl w:ilvl="3">
      <w:start w:val="0"/>
      <w:numFmt w:val="bullet"/>
      <w:lvlText w:val="•"/>
      <w:lvlJc w:val="left"/>
      <w:pPr>
        <w:ind w:left="7542" w:hanging="420"/>
      </w:pPr>
      <w:rPr>
        <w:rFonts w:hint="default"/>
        <w:lang w:val="en-US" w:eastAsia="en-US" w:bidi="ar-SA"/>
      </w:rPr>
    </w:lvl>
    <w:lvl w:ilvl="4">
      <w:start w:val="0"/>
      <w:numFmt w:val="bullet"/>
      <w:lvlText w:val="•"/>
      <w:lvlJc w:val="left"/>
      <w:pPr>
        <w:ind w:left="8136" w:hanging="420"/>
      </w:pPr>
      <w:rPr>
        <w:rFonts w:hint="default"/>
        <w:lang w:val="en-US" w:eastAsia="en-US" w:bidi="ar-SA"/>
      </w:rPr>
    </w:lvl>
    <w:lvl w:ilvl="5">
      <w:start w:val="0"/>
      <w:numFmt w:val="bullet"/>
      <w:lvlText w:val="•"/>
      <w:lvlJc w:val="left"/>
      <w:pPr>
        <w:ind w:left="8730" w:hanging="420"/>
      </w:pPr>
      <w:rPr>
        <w:rFonts w:hint="default"/>
        <w:lang w:val="en-US" w:eastAsia="en-US" w:bidi="ar-SA"/>
      </w:rPr>
    </w:lvl>
    <w:lvl w:ilvl="6">
      <w:start w:val="0"/>
      <w:numFmt w:val="bullet"/>
      <w:lvlText w:val="•"/>
      <w:lvlJc w:val="left"/>
      <w:pPr>
        <w:ind w:left="9324" w:hanging="420"/>
      </w:pPr>
      <w:rPr>
        <w:rFonts w:hint="default"/>
        <w:lang w:val="en-US" w:eastAsia="en-US" w:bidi="ar-SA"/>
      </w:rPr>
    </w:lvl>
    <w:lvl w:ilvl="7">
      <w:start w:val="0"/>
      <w:numFmt w:val="bullet"/>
      <w:lvlText w:val="•"/>
      <w:lvlJc w:val="left"/>
      <w:pPr>
        <w:ind w:left="9918" w:hanging="420"/>
      </w:pPr>
      <w:rPr>
        <w:rFonts w:hint="default"/>
        <w:lang w:val="en-US" w:eastAsia="en-US" w:bidi="ar-SA"/>
      </w:rPr>
    </w:lvl>
    <w:lvl w:ilvl="8">
      <w:start w:val="0"/>
      <w:numFmt w:val="bullet"/>
      <w:lvlText w:val="•"/>
      <w:lvlJc w:val="left"/>
      <w:pPr>
        <w:ind w:left="10512" w:hanging="420"/>
      </w:pPr>
      <w:rPr>
        <w:rFonts w:hint="default"/>
        <w:lang w:val="en-US" w:eastAsia="en-US" w:bidi="ar-SA"/>
      </w:rPr>
    </w:lvl>
  </w:abstractNum>
  <w:abstractNum w:abstractNumId="19">
    <w:multiLevelType w:val="hybridMultilevel"/>
    <w:lvl w:ilvl="0">
      <w:start w:val="0"/>
      <w:numFmt w:val="bullet"/>
      <w:lvlText w:val="•"/>
      <w:lvlJc w:val="left"/>
      <w:pPr>
        <w:ind w:left="499" w:hanging="300"/>
      </w:pPr>
      <w:rPr>
        <w:rFonts w:hint="default" w:ascii="Times New Roman" w:hAnsi="Times New Roman" w:eastAsia="Times New Roman" w:cs="Times New Roman"/>
        <w:b w:val="0"/>
        <w:bCs w:val="0"/>
        <w:i w:val="0"/>
        <w:iCs w:val="0"/>
        <w:color w:val="5AA2E2"/>
        <w:spacing w:val="0"/>
        <w:w w:val="123"/>
        <w:position w:val="2"/>
        <w:sz w:val="21"/>
        <w:szCs w:val="21"/>
        <w:lang w:val="en-US" w:eastAsia="en-US" w:bidi="ar-SA"/>
      </w:rPr>
    </w:lvl>
    <w:lvl w:ilvl="1">
      <w:start w:val="0"/>
      <w:numFmt w:val="bullet"/>
      <w:lvlText w:val="•"/>
      <w:lvlJc w:val="left"/>
      <w:pPr>
        <w:ind w:left="1123" w:hanging="300"/>
      </w:pPr>
      <w:rPr>
        <w:rFonts w:hint="default"/>
        <w:lang w:val="en-US" w:eastAsia="en-US" w:bidi="ar-SA"/>
      </w:rPr>
    </w:lvl>
    <w:lvl w:ilvl="2">
      <w:start w:val="0"/>
      <w:numFmt w:val="bullet"/>
      <w:lvlText w:val="•"/>
      <w:lvlJc w:val="left"/>
      <w:pPr>
        <w:ind w:left="1747" w:hanging="300"/>
      </w:pPr>
      <w:rPr>
        <w:rFonts w:hint="default"/>
        <w:lang w:val="en-US" w:eastAsia="en-US" w:bidi="ar-SA"/>
      </w:rPr>
    </w:lvl>
    <w:lvl w:ilvl="3">
      <w:start w:val="0"/>
      <w:numFmt w:val="bullet"/>
      <w:lvlText w:val="•"/>
      <w:lvlJc w:val="left"/>
      <w:pPr>
        <w:ind w:left="2371" w:hanging="300"/>
      </w:pPr>
      <w:rPr>
        <w:rFonts w:hint="default"/>
        <w:lang w:val="en-US" w:eastAsia="en-US" w:bidi="ar-SA"/>
      </w:rPr>
    </w:lvl>
    <w:lvl w:ilvl="4">
      <w:start w:val="0"/>
      <w:numFmt w:val="bullet"/>
      <w:lvlText w:val="•"/>
      <w:lvlJc w:val="left"/>
      <w:pPr>
        <w:ind w:left="2995" w:hanging="300"/>
      </w:pPr>
      <w:rPr>
        <w:rFonts w:hint="default"/>
        <w:lang w:val="en-US" w:eastAsia="en-US" w:bidi="ar-SA"/>
      </w:rPr>
    </w:lvl>
    <w:lvl w:ilvl="5">
      <w:start w:val="0"/>
      <w:numFmt w:val="bullet"/>
      <w:lvlText w:val="•"/>
      <w:lvlJc w:val="left"/>
      <w:pPr>
        <w:ind w:left="3619" w:hanging="300"/>
      </w:pPr>
      <w:rPr>
        <w:rFonts w:hint="default"/>
        <w:lang w:val="en-US" w:eastAsia="en-US" w:bidi="ar-SA"/>
      </w:rPr>
    </w:lvl>
    <w:lvl w:ilvl="6">
      <w:start w:val="0"/>
      <w:numFmt w:val="bullet"/>
      <w:lvlText w:val="•"/>
      <w:lvlJc w:val="left"/>
      <w:pPr>
        <w:ind w:left="4243" w:hanging="300"/>
      </w:pPr>
      <w:rPr>
        <w:rFonts w:hint="default"/>
        <w:lang w:val="en-US" w:eastAsia="en-US" w:bidi="ar-SA"/>
      </w:rPr>
    </w:lvl>
    <w:lvl w:ilvl="7">
      <w:start w:val="0"/>
      <w:numFmt w:val="bullet"/>
      <w:lvlText w:val="•"/>
      <w:lvlJc w:val="left"/>
      <w:pPr>
        <w:ind w:left="4867" w:hanging="300"/>
      </w:pPr>
      <w:rPr>
        <w:rFonts w:hint="default"/>
        <w:lang w:val="en-US" w:eastAsia="en-US" w:bidi="ar-SA"/>
      </w:rPr>
    </w:lvl>
    <w:lvl w:ilvl="8">
      <w:start w:val="0"/>
      <w:numFmt w:val="bullet"/>
      <w:lvlText w:val="•"/>
      <w:lvlJc w:val="left"/>
      <w:pPr>
        <w:ind w:left="5491" w:hanging="300"/>
      </w:pPr>
      <w:rPr>
        <w:rFonts w:hint="default"/>
        <w:lang w:val="en-US" w:eastAsia="en-US" w:bidi="ar-SA"/>
      </w:rPr>
    </w:lvl>
  </w:abstractNum>
  <w:abstractNum w:abstractNumId="18">
    <w:multiLevelType w:val="hybridMultilevel"/>
    <w:lvl w:ilvl="0">
      <w:start w:val="0"/>
      <w:numFmt w:val="bullet"/>
      <w:lvlText w:val="•"/>
      <w:lvlJc w:val="left"/>
      <w:pPr>
        <w:ind w:left="1500" w:hanging="300"/>
      </w:pPr>
      <w:rPr>
        <w:rFonts w:hint="default" w:ascii="Times New Roman" w:hAnsi="Times New Roman" w:eastAsia="Times New Roman" w:cs="Times New Roman"/>
        <w:b w:val="0"/>
        <w:bCs w:val="0"/>
        <w:i w:val="0"/>
        <w:iCs w:val="0"/>
        <w:color w:val="5AA2E2"/>
        <w:spacing w:val="0"/>
        <w:w w:val="123"/>
        <w:position w:val="2"/>
        <w:sz w:val="21"/>
        <w:szCs w:val="21"/>
        <w:lang w:val="en-US" w:eastAsia="en-US" w:bidi="ar-SA"/>
      </w:rPr>
    </w:lvl>
    <w:lvl w:ilvl="1">
      <w:start w:val="0"/>
      <w:numFmt w:val="bullet"/>
      <w:lvlText w:val="•"/>
      <w:lvlJc w:val="left"/>
      <w:pPr>
        <w:ind w:left="1842" w:hanging="300"/>
      </w:pPr>
      <w:rPr>
        <w:rFonts w:hint="default"/>
        <w:lang w:val="en-US" w:eastAsia="en-US" w:bidi="ar-SA"/>
      </w:rPr>
    </w:lvl>
    <w:lvl w:ilvl="2">
      <w:start w:val="0"/>
      <w:numFmt w:val="bullet"/>
      <w:lvlText w:val="•"/>
      <w:lvlJc w:val="left"/>
      <w:pPr>
        <w:ind w:left="2184" w:hanging="300"/>
      </w:pPr>
      <w:rPr>
        <w:rFonts w:hint="default"/>
        <w:lang w:val="en-US" w:eastAsia="en-US" w:bidi="ar-SA"/>
      </w:rPr>
    </w:lvl>
    <w:lvl w:ilvl="3">
      <w:start w:val="0"/>
      <w:numFmt w:val="bullet"/>
      <w:lvlText w:val="•"/>
      <w:lvlJc w:val="left"/>
      <w:pPr>
        <w:ind w:left="2526" w:hanging="300"/>
      </w:pPr>
      <w:rPr>
        <w:rFonts w:hint="default"/>
        <w:lang w:val="en-US" w:eastAsia="en-US" w:bidi="ar-SA"/>
      </w:rPr>
    </w:lvl>
    <w:lvl w:ilvl="4">
      <w:start w:val="0"/>
      <w:numFmt w:val="bullet"/>
      <w:lvlText w:val="•"/>
      <w:lvlJc w:val="left"/>
      <w:pPr>
        <w:ind w:left="2868" w:hanging="300"/>
      </w:pPr>
      <w:rPr>
        <w:rFonts w:hint="default"/>
        <w:lang w:val="en-US" w:eastAsia="en-US" w:bidi="ar-SA"/>
      </w:rPr>
    </w:lvl>
    <w:lvl w:ilvl="5">
      <w:start w:val="0"/>
      <w:numFmt w:val="bullet"/>
      <w:lvlText w:val="•"/>
      <w:lvlJc w:val="left"/>
      <w:pPr>
        <w:ind w:left="3210" w:hanging="300"/>
      </w:pPr>
      <w:rPr>
        <w:rFonts w:hint="default"/>
        <w:lang w:val="en-US" w:eastAsia="en-US" w:bidi="ar-SA"/>
      </w:rPr>
    </w:lvl>
    <w:lvl w:ilvl="6">
      <w:start w:val="0"/>
      <w:numFmt w:val="bullet"/>
      <w:lvlText w:val="•"/>
      <w:lvlJc w:val="left"/>
      <w:pPr>
        <w:ind w:left="3552" w:hanging="300"/>
      </w:pPr>
      <w:rPr>
        <w:rFonts w:hint="default"/>
        <w:lang w:val="en-US" w:eastAsia="en-US" w:bidi="ar-SA"/>
      </w:rPr>
    </w:lvl>
    <w:lvl w:ilvl="7">
      <w:start w:val="0"/>
      <w:numFmt w:val="bullet"/>
      <w:lvlText w:val="•"/>
      <w:lvlJc w:val="left"/>
      <w:pPr>
        <w:ind w:left="3894" w:hanging="300"/>
      </w:pPr>
      <w:rPr>
        <w:rFonts w:hint="default"/>
        <w:lang w:val="en-US" w:eastAsia="en-US" w:bidi="ar-SA"/>
      </w:rPr>
    </w:lvl>
    <w:lvl w:ilvl="8">
      <w:start w:val="0"/>
      <w:numFmt w:val="bullet"/>
      <w:lvlText w:val="•"/>
      <w:lvlJc w:val="left"/>
      <w:pPr>
        <w:ind w:left="4236" w:hanging="300"/>
      </w:pPr>
      <w:rPr>
        <w:rFonts w:hint="default"/>
        <w:lang w:val="en-US" w:eastAsia="en-US" w:bidi="ar-SA"/>
      </w:rPr>
    </w:lvl>
  </w:abstractNum>
  <w:abstractNum w:abstractNumId="17">
    <w:multiLevelType w:val="hybridMultilevel"/>
    <w:lvl w:ilvl="0">
      <w:start w:val="1"/>
      <w:numFmt w:val="lowerLetter"/>
      <w:lvlText w:val="%1."/>
      <w:lvlJc w:val="left"/>
      <w:pPr>
        <w:ind w:left="555" w:hanging="240"/>
        <w:jc w:val="left"/>
      </w:pPr>
      <w:rPr>
        <w:rFonts w:hint="default" w:ascii="Arial" w:hAnsi="Arial" w:eastAsia="Arial" w:cs="Arial"/>
        <w:b w:val="0"/>
        <w:bCs w:val="0"/>
        <w:i w:val="0"/>
        <w:iCs w:val="0"/>
        <w:color w:val="231F20"/>
        <w:spacing w:val="0"/>
        <w:w w:val="76"/>
        <w:sz w:val="14"/>
        <w:szCs w:val="14"/>
        <w:lang w:val="en-US" w:eastAsia="en-US" w:bidi="ar-SA"/>
      </w:rPr>
    </w:lvl>
    <w:lvl w:ilvl="1">
      <w:start w:val="0"/>
      <w:numFmt w:val="bullet"/>
      <w:lvlText w:val="•"/>
      <w:lvlJc w:val="left"/>
      <w:pPr>
        <w:ind w:left="695" w:hanging="240"/>
      </w:pPr>
      <w:rPr>
        <w:rFonts w:hint="default"/>
        <w:lang w:val="en-US" w:eastAsia="en-US" w:bidi="ar-SA"/>
      </w:rPr>
    </w:lvl>
    <w:lvl w:ilvl="2">
      <w:start w:val="0"/>
      <w:numFmt w:val="bullet"/>
      <w:lvlText w:val="•"/>
      <w:lvlJc w:val="left"/>
      <w:pPr>
        <w:ind w:left="830" w:hanging="240"/>
      </w:pPr>
      <w:rPr>
        <w:rFonts w:hint="default"/>
        <w:lang w:val="en-US" w:eastAsia="en-US" w:bidi="ar-SA"/>
      </w:rPr>
    </w:lvl>
    <w:lvl w:ilvl="3">
      <w:start w:val="0"/>
      <w:numFmt w:val="bullet"/>
      <w:lvlText w:val="•"/>
      <w:lvlJc w:val="left"/>
      <w:pPr>
        <w:ind w:left="965" w:hanging="240"/>
      </w:pPr>
      <w:rPr>
        <w:rFonts w:hint="default"/>
        <w:lang w:val="en-US" w:eastAsia="en-US" w:bidi="ar-SA"/>
      </w:rPr>
    </w:lvl>
    <w:lvl w:ilvl="4">
      <w:start w:val="0"/>
      <w:numFmt w:val="bullet"/>
      <w:lvlText w:val="•"/>
      <w:lvlJc w:val="left"/>
      <w:pPr>
        <w:ind w:left="1100" w:hanging="240"/>
      </w:pPr>
      <w:rPr>
        <w:rFonts w:hint="default"/>
        <w:lang w:val="en-US" w:eastAsia="en-US" w:bidi="ar-SA"/>
      </w:rPr>
    </w:lvl>
    <w:lvl w:ilvl="5">
      <w:start w:val="0"/>
      <w:numFmt w:val="bullet"/>
      <w:lvlText w:val="•"/>
      <w:lvlJc w:val="left"/>
      <w:pPr>
        <w:ind w:left="1235" w:hanging="240"/>
      </w:pPr>
      <w:rPr>
        <w:rFonts w:hint="default"/>
        <w:lang w:val="en-US" w:eastAsia="en-US" w:bidi="ar-SA"/>
      </w:rPr>
    </w:lvl>
    <w:lvl w:ilvl="6">
      <w:start w:val="0"/>
      <w:numFmt w:val="bullet"/>
      <w:lvlText w:val="•"/>
      <w:lvlJc w:val="left"/>
      <w:pPr>
        <w:ind w:left="1370" w:hanging="240"/>
      </w:pPr>
      <w:rPr>
        <w:rFonts w:hint="default"/>
        <w:lang w:val="en-US" w:eastAsia="en-US" w:bidi="ar-SA"/>
      </w:rPr>
    </w:lvl>
    <w:lvl w:ilvl="7">
      <w:start w:val="0"/>
      <w:numFmt w:val="bullet"/>
      <w:lvlText w:val="•"/>
      <w:lvlJc w:val="left"/>
      <w:pPr>
        <w:ind w:left="1505" w:hanging="240"/>
      </w:pPr>
      <w:rPr>
        <w:rFonts w:hint="default"/>
        <w:lang w:val="en-US" w:eastAsia="en-US" w:bidi="ar-SA"/>
      </w:rPr>
    </w:lvl>
    <w:lvl w:ilvl="8">
      <w:start w:val="0"/>
      <w:numFmt w:val="bullet"/>
      <w:lvlText w:val="•"/>
      <w:lvlJc w:val="left"/>
      <w:pPr>
        <w:ind w:left="1640" w:hanging="240"/>
      </w:pPr>
      <w:rPr>
        <w:rFonts w:hint="default"/>
        <w:lang w:val="en-US" w:eastAsia="en-US" w:bidi="ar-SA"/>
      </w:rPr>
    </w:lvl>
  </w:abstractNum>
  <w:abstractNum w:abstractNumId="16">
    <w:multiLevelType w:val="hybridMultilevel"/>
    <w:lvl w:ilvl="0">
      <w:start w:val="1"/>
      <w:numFmt w:val="lowerLetter"/>
      <w:lvlText w:val="%1."/>
      <w:lvlJc w:val="left"/>
      <w:pPr>
        <w:ind w:left="555" w:hanging="240"/>
        <w:jc w:val="left"/>
      </w:pPr>
      <w:rPr>
        <w:rFonts w:hint="default" w:ascii="Arial" w:hAnsi="Arial" w:eastAsia="Arial" w:cs="Arial"/>
        <w:b w:val="0"/>
        <w:bCs w:val="0"/>
        <w:i w:val="0"/>
        <w:iCs w:val="0"/>
        <w:color w:val="231F20"/>
        <w:spacing w:val="0"/>
        <w:w w:val="76"/>
        <w:sz w:val="14"/>
        <w:szCs w:val="14"/>
        <w:lang w:val="en-US" w:eastAsia="en-US" w:bidi="ar-SA"/>
      </w:rPr>
    </w:lvl>
    <w:lvl w:ilvl="1">
      <w:start w:val="0"/>
      <w:numFmt w:val="bullet"/>
      <w:lvlText w:val="•"/>
      <w:lvlJc w:val="left"/>
      <w:pPr>
        <w:ind w:left="695" w:hanging="240"/>
      </w:pPr>
      <w:rPr>
        <w:rFonts w:hint="default"/>
        <w:lang w:val="en-US" w:eastAsia="en-US" w:bidi="ar-SA"/>
      </w:rPr>
    </w:lvl>
    <w:lvl w:ilvl="2">
      <w:start w:val="0"/>
      <w:numFmt w:val="bullet"/>
      <w:lvlText w:val="•"/>
      <w:lvlJc w:val="left"/>
      <w:pPr>
        <w:ind w:left="831" w:hanging="240"/>
      </w:pPr>
      <w:rPr>
        <w:rFonts w:hint="default"/>
        <w:lang w:val="en-US" w:eastAsia="en-US" w:bidi="ar-SA"/>
      </w:rPr>
    </w:lvl>
    <w:lvl w:ilvl="3">
      <w:start w:val="0"/>
      <w:numFmt w:val="bullet"/>
      <w:lvlText w:val="•"/>
      <w:lvlJc w:val="left"/>
      <w:pPr>
        <w:ind w:left="966" w:hanging="240"/>
      </w:pPr>
      <w:rPr>
        <w:rFonts w:hint="default"/>
        <w:lang w:val="en-US" w:eastAsia="en-US" w:bidi="ar-SA"/>
      </w:rPr>
    </w:lvl>
    <w:lvl w:ilvl="4">
      <w:start w:val="0"/>
      <w:numFmt w:val="bullet"/>
      <w:lvlText w:val="•"/>
      <w:lvlJc w:val="left"/>
      <w:pPr>
        <w:ind w:left="1102" w:hanging="240"/>
      </w:pPr>
      <w:rPr>
        <w:rFonts w:hint="default"/>
        <w:lang w:val="en-US" w:eastAsia="en-US" w:bidi="ar-SA"/>
      </w:rPr>
    </w:lvl>
    <w:lvl w:ilvl="5">
      <w:start w:val="0"/>
      <w:numFmt w:val="bullet"/>
      <w:lvlText w:val="•"/>
      <w:lvlJc w:val="left"/>
      <w:pPr>
        <w:ind w:left="1237" w:hanging="240"/>
      </w:pPr>
      <w:rPr>
        <w:rFonts w:hint="default"/>
        <w:lang w:val="en-US" w:eastAsia="en-US" w:bidi="ar-SA"/>
      </w:rPr>
    </w:lvl>
    <w:lvl w:ilvl="6">
      <w:start w:val="0"/>
      <w:numFmt w:val="bullet"/>
      <w:lvlText w:val="•"/>
      <w:lvlJc w:val="left"/>
      <w:pPr>
        <w:ind w:left="1373" w:hanging="240"/>
      </w:pPr>
      <w:rPr>
        <w:rFonts w:hint="default"/>
        <w:lang w:val="en-US" w:eastAsia="en-US" w:bidi="ar-SA"/>
      </w:rPr>
    </w:lvl>
    <w:lvl w:ilvl="7">
      <w:start w:val="0"/>
      <w:numFmt w:val="bullet"/>
      <w:lvlText w:val="•"/>
      <w:lvlJc w:val="left"/>
      <w:pPr>
        <w:ind w:left="1508" w:hanging="240"/>
      </w:pPr>
      <w:rPr>
        <w:rFonts w:hint="default"/>
        <w:lang w:val="en-US" w:eastAsia="en-US" w:bidi="ar-SA"/>
      </w:rPr>
    </w:lvl>
    <w:lvl w:ilvl="8">
      <w:start w:val="0"/>
      <w:numFmt w:val="bullet"/>
      <w:lvlText w:val="•"/>
      <w:lvlJc w:val="left"/>
      <w:pPr>
        <w:ind w:left="1644" w:hanging="240"/>
      </w:pPr>
      <w:rPr>
        <w:rFonts w:hint="default"/>
        <w:lang w:val="en-US" w:eastAsia="en-US" w:bidi="ar-SA"/>
      </w:rPr>
    </w:lvl>
  </w:abstractNum>
  <w:abstractNum w:abstractNumId="15">
    <w:multiLevelType w:val="hybridMultilevel"/>
    <w:lvl w:ilvl="0">
      <w:start w:val="1"/>
      <w:numFmt w:val="lowerLetter"/>
      <w:lvlText w:val="%1."/>
      <w:lvlJc w:val="left"/>
      <w:pPr>
        <w:ind w:left="555" w:hanging="240"/>
        <w:jc w:val="left"/>
      </w:pPr>
      <w:rPr>
        <w:rFonts w:hint="default" w:ascii="Arial" w:hAnsi="Arial" w:eastAsia="Arial" w:cs="Arial"/>
        <w:b w:val="0"/>
        <w:bCs w:val="0"/>
        <w:i w:val="0"/>
        <w:iCs w:val="0"/>
        <w:color w:val="231F20"/>
        <w:spacing w:val="0"/>
        <w:w w:val="76"/>
        <w:sz w:val="14"/>
        <w:szCs w:val="14"/>
        <w:lang w:val="en-US" w:eastAsia="en-US" w:bidi="ar-SA"/>
      </w:rPr>
    </w:lvl>
    <w:lvl w:ilvl="1">
      <w:start w:val="0"/>
      <w:numFmt w:val="bullet"/>
      <w:lvlText w:val="•"/>
      <w:lvlJc w:val="left"/>
      <w:pPr>
        <w:ind w:left="695" w:hanging="240"/>
      </w:pPr>
      <w:rPr>
        <w:rFonts w:hint="default"/>
        <w:lang w:val="en-US" w:eastAsia="en-US" w:bidi="ar-SA"/>
      </w:rPr>
    </w:lvl>
    <w:lvl w:ilvl="2">
      <w:start w:val="0"/>
      <w:numFmt w:val="bullet"/>
      <w:lvlText w:val="•"/>
      <w:lvlJc w:val="left"/>
      <w:pPr>
        <w:ind w:left="830" w:hanging="240"/>
      </w:pPr>
      <w:rPr>
        <w:rFonts w:hint="default"/>
        <w:lang w:val="en-US" w:eastAsia="en-US" w:bidi="ar-SA"/>
      </w:rPr>
    </w:lvl>
    <w:lvl w:ilvl="3">
      <w:start w:val="0"/>
      <w:numFmt w:val="bullet"/>
      <w:lvlText w:val="•"/>
      <w:lvlJc w:val="left"/>
      <w:pPr>
        <w:ind w:left="965" w:hanging="240"/>
      </w:pPr>
      <w:rPr>
        <w:rFonts w:hint="default"/>
        <w:lang w:val="en-US" w:eastAsia="en-US" w:bidi="ar-SA"/>
      </w:rPr>
    </w:lvl>
    <w:lvl w:ilvl="4">
      <w:start w:val="0"/>
      <w:numFmt w:val="bullet"/>
      <w:lvlText w:val="•"/>
      <w:lvlJc w:val="left"/>
      <w:pPr>
        <w:ind w:left="1100" w:hanging="240"/>
      </w:pPr>
      <w:rPr>
        <w:rFonts w:hint="default"/>
        <w:lang w:val="en-US" w:eastAsia="en-US" w:bidi="ar-SA"/>
      </w:rPr>
    </w:lvl>
    <w:lvl w:ilvl="5">
      <w:start w:val="0"/>
      <w:numFmt w:val="bullet"/>
      <w:lvlText w:val="•"/>
      <w:lvlJc w:val="left"/>
      <w:pPr>
        <w:ind w:left="1235" w:hanging="240"/>
      </w:pPr>
      <w:rPr>
        <w:rFonts w:hint="default"/>
        <w:lang w:val="en-US" w:eastAsia="en-US" w:bidi="ar-SA"/>
      </w:rPr>
    </w:lvl>
    <w:lvl w:ilvl="6">
      <w:start w:val="0"/>
      <w:numFmt w:val="bullet"/>
      <w:lvlText w:val="•"/>
      <w:lvlJc w:val="left"/>
      <w:pPr>
        <w:ind w:left="1370" w:hanging="240"/>
      </w:pPr>
      <w:rPr>
        <w:rFonts w:hint="default"/>
        <w:lang w:val="en-US" w:eastAsia="en-US" w:bidi="ar-SA"/>
      </w:rPr>
    </w:lvl>
    <w:lvl w:ilvl="7">
      <w:start w:val="0"/>
      <w:numFmt w:val="bullet"/>
      <w:lvlText w:val="•"/>
      <w:lvlJc w:val="left"/>
      <w:pPr>
        <w:ind w:left="1505" w:hanging="240"/>
      </w:pPr>
      <w:rPr>
        <w:rFonts w:hint="default"/>
        <w:lang w:val="en-US" w:eastAsia="en-US" w:bidi="ar-SA"/>
      </w:rPr>
    </w:lvl>
    <w:lvl w:ilvl="8">
      <w:start w:val="0"/>
      <w:numFmt w:val="bullet"/>
      <w:lvlText w:val="•"/>
      <w:lvlJc w:val="left"/>
      <w:pPr>
        <w:ind w:left="1640" w:hanging="240"/>
      </w:pPr>
      <w:rPr>
        <w:rFonts w:hint="default"/>
        <w:lang w:val="en-US" w:eastAsia="en-US" w:bidi="ar-SA"/>
      </w:rPr>
    </w:lvl>
  </w:abstractNum>
  <w:abstractNum w:abstractNumId="14">
    <w:multiLevelType w:val="hybridMultilevel"/>
    <w:lvl w:ilvl="0">
      <w:start w:val="1"/>
      <w:numFmt w:val="decimal"/>
      <w:lvlText w:val="%1."/>
      <w:lvlJc w:val="left"/>
      <w:pPr>
        <w:ind w:left="4019" w:hanging="180"/>
        <w:jc w:val="right"/>
      </w:pPr>
      <w:rPr>
        <w:rFonts w:hint="default" w:ascii="Arial" w:hAnsi="Arial" w:eastAsia="Arial" w:cs="Arial"/>
        <w:b w:val="0"/>
        <w:bCs w:val="0"/>
        <w:i w:val="0"/>
        <w:iCs w:val="0"/>
        <w:color w:val="231F20"/>
        <w:spacing w:val="-8"/>
        <w:w w:val="86"/>
        <w:sz w:val="16"/>
        <w:szCs w:val="16"/>
        <w:lang w:val="en-US" w:eastAsia="en-US" w:bidi="ar-SA"/>
      </w:rPr>
    </w:lvl>
    <w:lvl w:ilvl="1">
      <w:start w:val="0"/>
      <w:numFmt w:val="bullet"/>
      <w:lvlText w:val="•"/>
      <w:lvlJc w:val="left"/>
      <w:pPr>
        <w:ind w:left="4788" w:hanging="180"/>
      </w:pPr>
      <w:rPr>
        <w:rFonts w:hint="default"/>
        <w:lang w:val="en-US" w:eastAsia="en-US" w:bidi="ar-SA"/>
      </w:rPr>
    </w:lvl>
    <w:lvl w:ilvl="2">
      <w:start w:val="0"/>
      <w:numFmt w:val="bullet"/>
      <w:lvlText w:val="•"/>
      <w:lvlJc w:val="left"/>
      <w:pPr>
        <w:ind w:left="5556" w:hanging="180"/>
      </w:pPr>
      <w:rPr>
        <w:rFonts w:hint="default"/>
        <w:lang w:val="en-US" w:eastAsia="en-US" w:bidi="ar-SA"/>
      </w:rPr>
    </w:lvl>
    <w:lvl w:ilvl="3">
      <w:start w:val="0"/>
      <w:numFmt w:val="bullet"/>
      <w:lvlText w:val="•"/>
      <w:lvlJc w:val="left"/>
      <w:pPr>
        <w:ind w:left="6324" w:hanging="180"/>
      </w:pPr>
      <w:rPr>
        <w:rFonts w:hint="default"/>
        <w:lang w:val="en-US" w:eastAsia="en-US" w:bidi="ar-SA"/>
      </w:rPr>
    </w:lvl>
    <w:lvl w:ilvl="4">
      <w:start w:val="0"/>
      <w:numFmt w:val="bullet"/>
      <w:lvlText w:val="•"/>
      <w:lvlJc w:val="left"/>
      <w:pPr>
        <w:ind w:left="7092" w:hanging="180"/>
      </w:pPr>
      <w:rPr>
        <w:rFonts w:hint="default"/>
        <w:lang w:val="en-US" w:eastAsia="en-US" w:bidi="ar-SA"/>
      </w:rPr>
    </w:lvl>
    <w:lvl w:ilvl="5">
      <w:start w:val="0"/>
      <w:numFmt w:val="bullet"/>
      <w:lvlText w:val="•"/>
      <w:lvlJc w:val="left"/>
      <w:pPr>
        <w:ind w:left="7860" w:hanging="180"/>
      </w:pPr>
      <w:rPr>
        <w:rFonts w:hint="default"/>
        <w:lang w:val="en-US" w:eastAsia="en-US" w:bidi="ar-SA"/>
      </w:rPr>
    </w:lvl>
    <w:lvl w:ilvl="6">
      <w:start w:val="0"/>
      <w:numFmt w:val="bullet"/>
      <w:lvlText w:val="•"/>
      <w:lvlJc w:val="left"/>
      <w:pPr>
        <w:ind w:left="8628" w:hanging="180"/>
      </w:pPr>
      <w:rPr>
        <w:rFonts w:hint="default"/>
        <w:lang w:val="en-US" w:eastAsia="en-US" w:bidi="ar-SA"/>
      </w:rPr>
    </w:lvl>
    <w:lvl w:ilvl="7">
      <w:start w:val="0"/>
      <w:numFmt w:val="bullet"/>
      <w:lvlText w:val="•"/>
      <w:lvlJc w:val="left"/>
      <w:pPr>
        <w:ind w:left="9396" w:hanging="180"/>
      </w:pPr>
      <w:rPr>
        <w:rFonts w:hint="default"/>
        <w:lang w:val="en-US" w:eastAsia="en-US" w:bidi="ar-SA"/>
      </w:rPr>
    </w:lvl>
    <w:lvl w:ilvl="8">
      <w:start w:val="0"/>
      <w:numFmt w:val="bullet"/>
      <w:lvlText w:val="•"/>
      <w:lvlJc w:val="left"/>
      <w:pPr>
        <w:ind w:left="10164" w:hanging="180"/>
      </w:pPr>
      <w:rPr>
        <w:rFonts w:hint="default"/>
        <w:lang w:val="en-US" w:eastAsia="en-US" w:bidi="ar-SA"/>
      </w:rPr>
    </w:lvl>
  </w:abstractNum>
  <w:abstractNum w:abstractNumId="13">
    <w:multiLevelType w:val="hybridMultilevel"/>
    <w:lvl w:ilvl="0">
      <w:start w:val="1"/>
      <w:numFmt w:val="decimal"/>
      <w:lvlText w:val="%1"/>
      <w:lvlJc w:val="left"/>
      <w:pPr>
        <w:ind w:left="4200" w:hanging="360"/>
        <w:jc w:val="right"/>
      </w:pPr>
      <w:rPr>
        <w:rFonts w:hint="default" w:ascii="Arial" w:hAnsi="Arial" w:eastAsia="Arial" w:cs="Arial"/>
        <w:b w:val="0"/>
        <w:bCs w:val="0"/>
        <w:i w:val="0"/>
        <w:iCs w:val="0"/>
        <w:color w:val="008FDD"/>
        <w:spacing w:val="0"/>
        <w:w w:val="86"/>
        <w:sz w:val="18"/>
        <w:szCs w:val="18"/>
        <w:lang w:val="en-US" w:eastAsia="en-US" w:bidi="ar-SA"/>
      </w:rPr>
    </w:lvl>
    <w:lvl w:ilvl="1">
      <w:start w:val="1"/>
      <w:numFmt w:val="decimal"/>
      <w:lvlText w:val="%1.%2"/>
      <w:lvlJc w:val="left"/>
      <w:pPr>
        <w:ind w:left="4200" w:hanging="222"/>
        <w:jc w:val="left"/>
      </w:pPr>
      <w:rPr>
        <w:rFonts w:hint="default" w:ascii="Arial" w:hAnsi="Arial" w:eastAsia="Arial" w:cs="Arial"/>
        <w:b w:val="0"/>
        <w:bCs w:val="0"/>
        <w:i w:val="0"/>
        <w:iCs w:val="0"/>
        <w:color w:val="231F20"/>
        <w:spacing w:val="-11"/>
        <w:w w:val="86"/>
        <w:sz w:val="16"/>
        <w:szCs w:val="16"/>
        <w:lang w:val="en-US" w:eastAsia="en-US" w:bidi="ar-SA"/>
      </w:rPr>
    </w:lvl>
    <w:lvl w:ilvl="2">
      <w:start w:val="0"/>
      <w:numFmt w:val="bullet"/>
      <w:lvlText w:val="•"/>
      <w:lvlJc w:val="left"/>
      <w:pPr>
        <w:ind w:left="4870" w:hanging="222"/>
      </w:pPr>
      <w:rPr>
        <w:rFonts w:hint="default"/>
        <w:lang w:val="en-US" w:eastAsia="en-US" w:bidi="ar-SA"/>
      </w:rPr>
    </w:lvl>
    <w:lvl w:ilvl="3">
      <w:start w:val="0"/>
      <w:numFmt w:val="bullet"/>
      <w:lvlText w:val="•"/>
      <w:lvlJc w:val="left"/>
      <w:pPr>
        <w:ind w:left="5205" w:hanging="222"/>
      </w:pPr>
      <w:rPr>
        <w:rFonts w:hint="default"/>
        <w:lang w:val="en-US" w:eastAsia="en-US" w:bidi="ar-SA"/>
      </w:rPr>
    </w:lvl>
    <w:lvl w:ilvl="4">
      <w:start w:val="0"/>
      <w:numFmt w:val="bullet"/>
      <w:lvlText w:val="•"/>
      <w:lvlJc w:val="left"/>
      <w:pPr>
        <w:ind w:left="5540" w:hanging="222"/>
      </w:pPr>
      <w:rPr>
        <w:rFonts w:hint="default"/>
        <w:lang w:val="en-US" w:eastAsia="en-US" w:bidi="ar-SA"/>
      </w:rPr>
    </w:lvl>
    <w:lvl w:ilvl="5">
      <w:start w:val="0"/>
      <w:numFmt w:val="bullet"/>
      <w:lvlText w:val="•"/>
      <w:lvlJc w:val="left"/>
      <w:pPr>
        <w:ind w:left="5875" w:hanging="222"/>
      </w:pPr>
      <w:rPr>
        <w:rFonts w:hint="default"/>
        <w:lang w:val="en-US" w:eastAsia="en-US" w:bidi="ar-SA"/>
      </w:rPr>
    </w:lvl>
    <w:lvl w:ilvl="6">
      <w:start w:val="0"/>
      <w:numFmt w:val="bullet"/>
      <w:lvlText w:val="•"/>
      <w:lvlJc w:val="left"/>
      <w:pPr>
        <w:ind w:left="6210" w:hanging="222"/>
      </w:pPr>
      <w:rPr>
        <w:rFonts w:hint="default"/>
        <w:lang w:val="en-US" w:eastAsia="en-US" w:bidi="ar-SA"/>
      </w:rPr>
    </w:lvl>
    <w:lvl w:ilvl="7">
      <w:start w:val="0"/>
      <w:numFmt w:val="bullet"/>
      <w:lvlText w:val="•"/>
      <w:lvlJc w:val="left"/>
      <w:pPr>
        <w:ind w:left="6546" w:hanging="222"/>
      </w:pPr>
      <w:rPr>
        <w:rFonts w:hint="default"/>
        <w:lang w:val="en-US" w:eastAsia="en-US" w:bidi="ar-SA"/>
      </w:rPr>
    </w:lvl>
    <w:lvl w:ilvl="8">
      <w:start w:val="0"/>
      <w:numFmt w:val="bullet"/>
      <w:lvlText w:val="•"/>
      <w:lvlJc w:val="left"/>
      <w:pPr>
        <w:ind w:left="6881" w:hanging="222"/>
      </w:pPr>
      <w:rPr>
        <w:rFonts w:hint="default"/>
        <w:lang w:val="en-US" w:eastAsia="en-US" w:bidi="ar-SA"/>
      </w:rPr>
    </w:lvl>
  </w:abstractNum>
  <w:abstractNum w:abstractNumId="12">
    <w:multiLevelType w:val="hybridMultilevel"/>
    <w:lvl w:ilvl="0">
      <w:start w:val="0"/>
      <w:numFmt w:val="bullet"/>
      <w:lvlText w:val="•"/>
      <w:lvlJc w:val="left"/>
      <w:pPr>
        <w:ind w:left="498" w:hanging="300"/>
      </w:pPr>
      <w:rPr>
        <w:rFonts w:hint="default" w:ascii="Times New Roman" w:hAnsi="Times New Roman" w:eastAsia="Times New Roman" w:cs="Times New Roman"/>
        <w:b w:val="0"/>
        <w:bCs w:val="0"/>
        <w:i w:val="0"/>
        <w:iCs w:val="0"/>
        <w:color w:val="5AA2E2"/>
        <w:spacing w:val="0"/>
        <w:w w:val="123"/>
        <w:position w:val="2"/>
        <w:sz w:val="21"/>
        <w:szCs w:val="21"/>
        <w:lang w:val="en-US" w:eastAsia="en-US" w:bidi="ar-SA"/>
      </w:rPr>
    </w:lvl>
    <w:lvl w:ilvl="1">
      <w:start w:val="0"/>
      <w:numFmt w:val="bullet"/>
      <w:lvlText w:val="•"/>
      <w:lvlJc w:val="left"/>
      <w:pPr>
        <w:ind w:left="907" w:hanging="300"/>
      </w:pPr>
      <w:rPr>
        <w:rFonts w:hint="default"/>
        <w:lang w:val="en-US" w:eastAsia="en-US" w:bidi="ar-SA"/>
      </w:rPr>
    </w:lvl>
    <w:lvl w:ilvl="2">
      <w:start w:val="0"/>
      <w:numFmt w:val="bullet"/>
      <w:lvlText w:val="•"/>
      <w:lvlJc w:val="left"/>
      <w:pPr>
        <w:ind w:left="1315" w:hanging="300"/>
      </w:pPr>
      <w:rPr>
        <w:rFonts w:hint="default"/>
        <w:lang w:val="en-US" w:eastAsia="en-US" w:bidi="ar-SA"/>
      </w:rPr>
    </w:lvl>
    <w:lvl w:ilvl="3">
      <w:start w:val="0"/>
      <w:numFmt w:val="bullet"/>
      <w:lvlText w:val="•"/>
      <w:lvlJc w:val="left"/>
      <w:pPr>
        <w:ind w:left="1723" w:hanging="300"/>
      </w:pPr>
      <w:rPr>
        <w:rFonts w:hint="default"/>
        <w:lang w:val="en-US" w:eastAsia="en-US" w:bidi="ar-SA"/>
      </w:rPr>
    </w:lvl>
    <w:lvl w:ilvl="4">
      <w:start w:val="0"/>
      <w:numFmt w:val="bullet"/>
      <w:lvlText w:val="•"/>
      <w:lvlJc w:val="left"/>
      <w:pPr>
        <w:ind w:left="2131" w:hanging="300"/>
      </w:pPr>
      <w:rPr>
        <w:rFonts w:hint="default"/>
        <w:lang w:val="en-US" w:eastAsia="en-US" w:bidi="ar-SA"/>
      </w:rPr>
    </w:lvl>
    <w:lvl w:ilvl="5">
      <w:start w:val="0"/>
      <w:numFmt w:val="bullet"/>
      <w:lvlText w:val="•"/>
      <w:lvlJc w:val="left"/>
      <w:pPr>
        <w:ind w:left="2539" w:hanging="300"/>
      </w:pPr>
      <w:rPr>
        <w:rFonts w:hint="default"/>
        <w:lang w:val="en-US" w:eastAsia="en-US" w:bidi="ar-SA"/>
      </w:rPr>
    </w:lvl>
    <w:lvl w:ilvl="6">
      <w:start w:val="0"/>
      <w:numFmt w:val="bullet"/>
      <w:lvlText w:val="•"/>
      <w:lvlJc w:val="left"/>
      <w:pPr>
        <w:ind w:left="2947" w:hanging="300"/>
      </w:pPr>
      <w:rPr>
        <w:rFonts w:hint="default"/>
        <w:lang w:val="en-US" w:eastAsia="en-US" w:bidi="ar-SA"/>
      </w:rPr>
    </w:lvl>
    <w:lvl w:ilvl="7">
      <w:start w:val="0"/>
      <w:numFmt w:val="bullet"/>
      <w:lvlText w:val="•"/>
      <w:lvlJc w:val="left"/>
      <w:pPr>
        <w:ind w:left="3355" w:hanging="300"/>
      </w:pPr>
      <w:rPr>
        <w:rFonts w:hint="default"/>
        <w:lang w:val="en-US" w:eastAsia="en-US" w:bidi="ar-SA"/>
      </w:rPr>
    </w:lvl>
    <w:lvl w:ilvl="8">
      <w:start w:val="0"/>
      <w:numFmt w:val="bullet"/>
      <w:lvlText w:val="•"/>
      <w:lvlJc w:val="left"/>
      <w:pPr>
        <w:ind w:left="3762" w:hanging="300"/>
      </w:pPr>
      <w:rPr>
        <w:rFonts w:hint="default"/>
        <w:lang w:val="en-US" w:eastAsia="en-US" w:bidi="ar-SA"/>
      </w:rPr>
    </w:lvl>
  </w:abstractNum>
  <w:abstractNum w:abstractNumId="11">
    <w:multiLevelType w:val="hybridMultilevel"/>
    <w:lvl w:ilvl="0">
      <w:start w:val="0"/>
      <w:numFmt w:val="bullet"/>
      <w:lvlText w:val="•"/>
      <w:lvlJc w:val="left"/>
      <w:pPr>
        <w:ind w:left="476" w:hanging="120"/>
      </w:pPr>
      <w:rPr>
        <w:rFonts w:hint="default" w:ascii="Arial" w:hAnsi="Arial" w:eastAsia="Arial" w:cs="Arial"/>
        <w:b w:val="0"/>
        <w:bCs w:val="0"/>
        <w:i w:val="0"/>
        <w:iCs w:val="0"/>
        <w:color w:val="231F20"/>
        <w:spacing w:val="0"/>
        <w:w w:val="142"/>
        <w:sz w:val="12"/>
        <w:szCs w:val="12"/>
        <w:lang w:val="en-US" w:eastAsia="en-US" w:bidi="ar-SA"/>
      </w:rPr>
    </w:lvl>
    <w:lvl w:ilvl="1">
      <w:start w:val="0"/>
      <w:numFmt w:val="bullet"/>
      <w:lvlText w:val="•"/>
      <w:lvlJc w:val="left"/>
      <w:pPr>
        <w:ind w:left="820" w:hanging="120"/>
      </w:pPr>
      <w:rPr>
        <w:rFonts w:hint="default" w:ascii="Arial" w:hAnsi="Arial" w:eastAsia="Arial" w:cs="Arial"/>
        <w:b w:val="0"/>
        <w:bCs w:val="0"/>
        <w:i w:val="0"/>
        <w:iCs w:val="0"/>
        <w:color w:val="231F20"/>
        <w:spacing w:val="0"/>
        <w:w w:val="142"/>
        <w:sz w:val="12"/>
        <w:szCs w:val="12"/>
        <w:lang w:val="en-US" w:eastAsia="en-US" w:bidi="ar-SA"/>
      </w:rPr>
    </w:lvl>
    <w:lvl w:ilvl="2">
      <w:start w:val="0"/>
      <w:numFmt w:val="bullet"/>
      <w:lvlText w:val="•"/>
      <w:lvlJc w:val="left"/>
      <w:pPr>
        <w:ind w:left="724" w:hanging="120"/>
      </w:pPr>
      <w:rPr>
        <w:rFonts w:hint="default"/>
        <w:lang w:val="en-US" w:eastAsia="en-US" w:bidi="ar-SA"/>
      </w:rPr>
    </w:lvl>
    <w:lvl w:ilvl="3">
      <w:start w:val="0"/>
      <w:numFmt w:val="bullet"/>
      <w:lvlText w:val="•"/>
      <w:lvlJc w:val="left"/>
      <w:pPr>
        <w:ind w:left="628" w:hanging="120"/>
      </w:pPr>
      <w:rPr>
        <w:rFonts w:hint="default"/>
        <w:lang w:val="en-US" w:eastAsia="en-US" w:bidi="ar-SA"/>
      </w:rPr>
    </w:lvl>
    <w:lvl w:ilvl="4">
      <w:start w:val="0"/>
      <w:numFmt w:val="bullet"/>
      <w:lvlText w:val="•"/>
      <w:lvlJc w:val="left"/>
      <w:pPr>
        <w:ind w:left="533" w:hanging="120"/>
      </w:pPr>
      <w:rPr>
        <w:rFonts w:hint="default"/>
        <w:lang w:val="en-US" w:eastAsia="en-US" w:bidi="ar-SA"/>
      </w:rPr>
    </w:lvl>
    <w:lvl w:ilvl="5">
      <w:start w:val="0"/>
      <w:numFmt w:val="bullet"/>
      <w:lvlText w:val="•"/>
      <w:lvlJc w:val="left"/>
      <w:pPr>
        <w:ind w:left="437" w:hanging="120"/>
      </w:pPr>
      <w:rPr>
        <w:rFonts w:hint="default"/>
        <w:lang w:val="en-US" w:eastAsia="en-US" w:bidi="ar-SA"/>
      </w:rPr>
    </w:lvl>
    <w:lvl w:ilvl="6">
      <w:start w:val="0"/>
      <w:numFmt w:val="bullet"/>
      <w:lvlText w:val="•"/>
      <w:lvlJc w:val="left"/>
      <w:pPr>
        <w:ind w:left="342" w:hanging="120"/>
      </w:pPr>
      <w:rPr>
        <w:rFonts w:hint="default"/>
        <w:lang w:val="en-US" w:eastAsia="en-US" w:bidi="ar-SA"/>
      </w:rPr>
    </w:lvl>
    <w:lvl w:ilvl="7">
      <w:start w:val="0"/>
      <w:numFmt w:val="bullet"/>
      <w:lvlText w:val="•"/>
      <w:lvlJc w:val="left"/>
      <w:pPr>
        <w:ind w:left="246" w:hanging="120"/>
      </w:pPr>
      <w:rPr>
        <w:rFonts w:hint="default"/>
        <w:lang w:val="en-US" w:eastAsia="en-US" w:bidi="ar-SA"/>
      </w:rPr>
    </w:lvl>
    <w:lvl w:ilvl="8">
      <w:start w:val="0"/>
      <w:numFmt w:val="bullet"/>
      <w:lvlText w:val="•"/>
      <w:lvlJc w:val="left"/>
      <w:pPr>
        <w:ind w:left="151" w:hanging="120"/>
      </w:pPr>
      <w:rPr>
        <w:rFonts w:hint="default"/>
        <w:lang w:val="en-US" w:eastAsia="en-US" w:bidi="ar-SA"/>
      </w:rPr>
    </w:lvl>
  </w:abstractNum>
  <w:abstractNum w:abstractNumId="10">
    <w:multiLevelType w:val="hybridMultilevel"/>
    <w:lvl w:ilvl="0">
      <w:start w:val="0"/>
      <w:numFmt w:val="bullet"/>
      <w:lvlText w:val="•"/>
      <w:lvlJc w:val="left"/>
      <w:pPr>
        <w:ind w:left="498" w:hanging="300"/>
      </w:pPr>
      <w:rPr>
        <w:rFonts w:hint="default" w:ascii="Times New Roman" w:hAnsi="Times New Roman" w:eastAsia="Times New Roman" w:cs="Times New Roman"/>
        <w:b w:val="0"/>
        <w:bCs w:val="0"/>
        <w:i w:val="0"/>
        <w:iCs w:val="0"/>
        <w:color w:val="5AA2E2"/>
        <w:spacing w:val="0"/>
        <w:w w:val="123"/>
        <w:position w:val="2"/>
        <w:sz w:val="21"/>
        <w:szCs w:val="21"/>
        <w:lang w:val="en-US" w:eastAsia="en-US" w:bidi="ar-SA"/>
      </w:rPr>
    </w:lvl>
    <w:lvl w:ilvl="1">
      <w:start w:val="0"/>
      <w:numFmt w:val="bullet"/>
      <w:lvlText w:val="•"/>
      <w:lvlJc w:val="left"/>
      <w:pPr>
        <w:ind w:left="1123" w:hanging="300"/>
      </w:pPr>
      <w:rPr>
        <w:rFonts w:hint="default"/>
        <w:lang w:val="en-US" w:eastAsia="en-US" w:bidi="ar-SA"/>
      </w:rPr>
    </w:lvl>
    <w:lvl w:ilvl="2">
      <w:start w:val="0"/>
      <w:numFmt w:val="bullet"/>
      <w:lvlText w:val="•"/>
      <w:lvlJc w:val="left"/>
      <w:pPr>
        <w:ind w:left="1747" w:hanging="300"/>
      </w:pPr>
      <w:rPr>
        <w:rFonts w:hint="default"/>
        <w:lang w:val="en-US" w:eastAsia="en-US" w:bidi="ar-SA"/>
      </w:rPr>
    </w:lvl>
    <w:lvl w:ilvl="3">
      <w:start w:val="0"/>
      <w:numFmt w:val="bullet"/>
      <w:lvlText w:val="•"/>
      <w:lvlJc w:val="left"/>
      <w:pPr>
        <w:ind w:left="2371" w:hanging="300"/>
      </w:pPr>
      <w:rPr>
        <w:rFonts w:hint="default"/>
        <w:lang w:val="en-US" w:eastAsia="en-US" w:bidi="ar-SA"/>
      </w:rPr>
    </w:lvl>
    <w:lvl w:ilvl="4">
      <w:start w:val="0"/>
      <w:numFmt w:val="bullet"/>
      <w:lvlText w:val="•"/>
      <w:lvlJc w:val="left"/>
      <w:pPr>
        <w:ind w:left="2995" w:hanging="300"/>
      </w:pPr>
      <w:rPr>
        <w:rFonts w:hint="default"/>
        <w:lang w:val="en-US" w:eastAsia="en-US" w:bidi="ar-SA"/>
      </w:rPr>
    </w:lvl>
    <w:lvl w:ilvl="5">
      <w:start w:val="0"/>
      <w:numFmt w:val="bullet"/>
      <w:lvlText w:val="•"/>
      <w:lvlJc w:val="left"/>
      <w:pPr>
        <w:ind w:left="3619" w:hanging="300"/>
      </w:pPr>
      <w:rPr>
        <w:rFonts w:hint="default"/>
        <w:lang w:val="en-US" w:eastAsia="en-US" w:bidi="ar-SA"/>
      </w:rPr>
    </w:lvl>
    <w:lvl w:ilvl="6">
      <w:start w:val="0"/>
      <w:numFmt w:val="bullet"/>
      <w:lvlText w:val="•"/>
      <w:lvlJc w:val="left"/>
      <w:pPr>
        <w:ind w:left="4243" w:hanging="300"/>
      </w:pPr>
      <w:rPr>
        <w:rFonts w:hint="default"/>
        <w:lang w:val="en-US" w:eastAsia="en-US" w:bidi="ar-SA"/>
      </w:rPr>
    </w:lvl>
    <w:lvl w:ilvl="7">
      <w:start w:val="0"/>
      <w:numFmt w:val="bullet"/>
      <w:lvlText w:val="•"/>
      <w:lvlJc w:val="left"/>
      <w:pPr>
        <w:ind w:left="4867" w:hanging="300"/>
      </w:pPr>
      <w:rPr>
        <w:rFonts w:hint="default"/>
        <w:lang w:val="en-US" w:eastAsia="en-US" w:bidi="ar-SA"/>
      </w:rPr>
    </w:lvl>
    <w:lvl w:ilvl="8">
      <w:start w:val="0"/>
      <w:numFmt w:val="bullet"/>
      <w:lvlText w:val="•"/>
      <w:lvlJc w:val="left"/>
      <w:pPr>
        <w:ind w:left="5491" w:hanging="300"/>
      </w:pPr>
      <w:rPr>
        <w:rFonts w:hint="default"/>
        <w:lang w:val="en-US" w:eastAsia="en-US" w:bidi="ar-SA"/>
      </w:rPr>
    </w:lvl>
  </w:abstractNum>
  <w:abstractNum w:abstractNumId="9">
    <w:multiLevelType w:val="hybridMultilevel"/>
    <w:lvl w:ilvl="0">
      <w:start w:val="1"/>
      <w:numFmt w:val="decimal"/>
      <w:lvlText w:val="%1."/>
      <w:lvlJc w:val="left"/>
      <w:pPr>
        <w:ind w:left="1440" w:hanging="240"/>
        <w:jc w:val="left"/>
      </w:pPr>
      <w:rPr>
        <w:rFonts w:hint="default" w:ascii="Arial" w:hAnsi="Arial" w:eastAsia="Arial" w:cs="Arial"/>
        <w:b w:val="0"/>
        <w:bCs w:val="0"/>
        <w:i w:val="0"/>
        <w:iCs w:val="0"/>
        <w:color w:val="231F20"/>
        <w:spacing w:val="-8"/>
        <w:w w:val="100"/>
        <w:sz w:val="16"/>
        <w:szCs w:val="16"/>
        <w:lang w:val="en-US" w:eastAsia="en-US" w:bidi="ar-SA"/>
      </w:rPr>
    </w:lvl>
    <w:lvl w:ilvl="1">
      <w:start w:val="0"/>
      <w:numFmt w:val="bullet"/>
      <w:lvlText w:val="•"/>
      <w:lvlJc w:val="left"/>
      <w:pPr>
        <w:ind w:left="1440" w:hanging="240"/>
      </w:pPr>
      <w:rPr>
        <w:rFonts w:hint="default" w:ascii="Arial" w:hAnsi="Arial" w:eastAsia="Arial" w:cs="Arial"/>
        <w:b w:val="0"/>
        <w:bCs w:val="0"/>
        <w:i w:val="0"/>
        <w:iCs w:val="0"/>
        <w:color w:val="008FDD"/>
        <w:spacing w:val="0"/>
        <w:w w:val="142"/>
        <w:sz w:val="16"/>
        <w:szCs w:val="16"/>
        <w:lang w:val="en-US" w:eastAsia="en-US" w:bidi="ar-SA"/>
      </w:rPr>
    </w:lvl>
    <w:lvl w:ilvl="2">
      <w:start w:val="0"/>
      <w:numFmt w:val="bullet"/>
      <w:lvlText w:val="•"/>
      <w:lvlJc w:val="left"/>
      <w:pPr>
        <w:ind w:left="2292" w:hanging="240"/>
      </w:pPr>
      <w:rPr>
        <w:rFonts w:hint="default"/>
        <w:lang w:val="en-US" w:eastAsia="en-US" w:bidi="ar-SA"/>
      </w:rPr>
    </w:lvl>
    <w:lvl w:ilvl="3">
      <w:start w:val="0"/>
      <w:numFmt w:val="bullet"/>
      <w:lvlText w:val="•"/>
      <w:lvlJc w:val="left"/>
      <w:pPr>
        <w:ind w:left="2718" w:hanging="240"/>
      </w:pPr>
      <w:rPr>
        <w:rFonts w:hint="default"/>
        <w:lang w:val="en-US" w:eastAsia="en-US" w:bidi="ar-SA"/>
      </w:rPr>
    </w:lvl>
    <w:lvl w:ilvl="4">
      <w:start w:val="0"/>
      <w:numFmt w:val="bullet"/>
      <w:lvlText w:val="•"/>
      <w:lvlJc w:val="left"/>
      <w:pPr>
        <w:ind w:left="3144" w:hanging="240"/>
      </w:pPr>
      <w:rPr>
        <w:rFonts w:hint="default"/>
        <w:lang w:val="en-US" w:eastAsia="en-US" w:bidi="ar-SA"/>
      </w:rPr>
    </w:lvl>
    <w:lvl w:ilvl="5">
      <w:start w:val="0"/>
      <w:numFmt w:val="bullet"/>
      <w:lvlText w:val="•"/>
      <w:lvlJc w:val="left"/>
      <w:pPr>
        <w:ind w:left="3570" w:hanging="240"/>
      </w:pPr>
      <w:rPr>
        <w:rFonts w:hint="default"/>
        <w:lang w:val="en-US" w:eastAsia="en-US" w:bidi="ar-SA"/>
      </w:rPr>
    </w:lvl>
    <w:lvl w:ilvl="6">
      <w:start w:val="0"/>
      <w:numFmt w:val="bullet"/>
      <w:lvlText w:val="•"/>
      <w:lvlJc w:val="left"/>
      <w:pPr>
        <w:ind w:left="3996" w:hanging="240"/>
      </w:pPr>
      <w:rPr>
        <w:rFonts w:hint="default"/>
        <w:lang w:val="en-US" w:eastAsia="en-US" w:bidi="ar-SA"/>
      </w:rPr>
    </w:lvl>
    <w:lvl w:ilvl="7">
      <w:start w:val="0"/>
      <w:numFmt w:val="bullet"/>
      <w:lvlText w:val="•"/>
      <w:lvlJc w:val="left"/>
      <w:pPr>
        <w:ind w:left="4422" w:hanging="240"/>
      </w:pPr>
      <w:rPr>
        <w:rFonts w:hint="default"/>
        <w:lang w:val="en-US" w:eastAsia="en-US" w:bidi="ar-SA"/>
      </w:rPr>
    </w:lvl>
    <w:lvl w:ilvl="8">
      <w:start w:val="0"/>
      <w:numFmt w:val="bullet"/>
      <w:lvlText w:val="•"/>
      <w:lvlJc w:val="left"/>
      <w:pPr>
        <w:ind w:left="4848" w:hanging="240"/>
      </w:pPr>
      <w:rPr>
        <w:rFonts w:hint="default"/>
        <w:lang w:val="en-US" w:eastAsia="en-US" w:bidi="ar-SA"/>
      </w:rPr>
    </w:lvl>
  </w:abstractNum>
  <w:abstractNum w:abstractNumId="8">
    <w:multiLevelType w:val="hybridMultilevel"/>
    <w:lvl w:ilvl="0">
      <w:start w:val="1"/>
      <w:numFmt w:val="decimal"/>
      <w:lvlText w:val="%1."/>
      <w:lvlJc w:val="left"/>
      <w:pPr>
        <w:ind w:left="465" w:hanging="150"/>
        <w:jc w:val="left"/>
      </w:pPr>
      <w:rPr>
        <w:rFonts w:hint="default" w:ascii="Arial" w:hAnsi="Arial" w:eastAsia="Arial" w:cs="Arial"/>
        <w:b w:val="0"/>
        <w:bCs w:val="0"/>
        <w:i w:val="0"/>
        <w:iCs w:val="0"/>
        <w:color w:val="231F20"/>
        <w:spacing w:val="-6"/>
        <w:w w:val="99"/>
        <w:sz w:val="14"/>
        <w:szCs w:val="14"/>
        <w:lang w:val="en-US" w:eastAsia="en-US" w:bidi="ar-SA"/>
      </w:rPr>
    </w:lvl>
    <w:lvl w:ilvl="1">
      <w:start w:val="0"/>
      <w:numFmt w:val="bullet"/>
      <w:lvlText w:val="•"/>
      <w:lvlJc w:val="left"/>
      <w:pPr>
        <w:ind w:left="877" w:hanging="150"/>
      </w:pPr>
      <w:rPr>
        <w:rFonts w:hint="default"/>
        <w:lang w:val="en-US" w:eastAsia="en-US" w:bidi="ar-SA"/>
      </w:rPr>
    </w:lvl>
    <w:lvl w:ilvl="2">
      <w:start w:val="0"/>
      <w:numFmt w:val="bullet"/>
      <w:lvlText w:val="•"/>
      <w:lvlJc w:val="left"/>
      <w:pPr>
        <w:ind w:left="1295" w:hanging="150"/>
      </w:pPr>
      <w:rPr>
        <w:rFonts w:hint="default"/>
        <w:lang w:val="en-US" w:eastAsia="en-US" w:bidi="ar-SA"/>
      </w:rPr>
    </w:lvl>
    <w:lvl w:ilvl="3">
      <w:start w:val="0"/>
      <w:numFmt w:val="bullet"/>
      <w:lvlText w:val="•"/>
      <w:lvlJc w:val="left"/>
      <w:pPr>
        <w:ind w:left="1712" w:hanging="150"/>
      </w:pPr>
      <w:rPr>
        <w:rFonts w:hint="default"/>
        <w:lang w:val="en-US" w:eastAsia="en-US" w:bidi="ar-SA"/>
      </w:rPr>
    </w:lvl>
    <w:lvl w:ilvl="4">
      <w:start w:val="0"/>
      <w:numFmt w:val="bullet"/>
      <w:lvlText w:val="•"/>
      <w:lvlJc w:val="left"/>
      <w:pPr>
        <w:ind w:left="2130" w:hanging="150"/>
      </w:pPr>
      <w:rPr>
        <w:rFonts w:hint="default"/>
        <w:lang w:val="en-US" w:eastAsia="en-US" w:bidi="ar-SA"/>
      </w:rPr>
    </w:lvl>
    <w:lvl w:ilvl="5">
      <w:start w:val="0"/>
      <w:numFmt w:val="bullet"/>
      <w:lvlText w:val="•"/>
      <w:lvlJc w:val="left"/>
      <w:pPr>
        <w:ind w:left="2547" w:hanging="150"/>
      </w:pPr>
      <w:rPr>
        <w:rFonts w:hint="default"/>
        <w:lang w:val="en-US" w:eastAsia="en-US" w:bidi="ar-SA"/>
      </w:rPr>
    </w:lvl>
    <w:lvl w:ilvl="6">
      <w:start w:val="0"/>
      <w:numFmt w:val="bullet"/>
      <w:lvlText w:val="•"/>
      <w:lvlJc w:val="left"/>
      <w:pPr>
        <w:ind w:left="2965" w:hanging="150"/>
      </w:pPr>
      <w:rPr>
        <w:rFonts w:hint="default"/>
        <w:lang w:val="en-US" w:eastAsia="en-US" w:bidi="ar-SA"/>
      </w:rPr>
    </w:lvl>
    <w:lvl w:ilvl="7">
      <w:start w:val="0"/>
      <w:numFmt w:val="bullet"/>
      <w:lvlText w:val="•"/>
      <w:lvlJc w:val="left"/>
      <w:pPr>
        <w:ind w:left="3382" w:hanging="150"/>
      </w:pPr>
      <w:rPr>
        <w:rFonts w:hint="default"/>
        <w:lang w:val="en-US" w:eastAsia="en-US" w:bidi="ar-SA"/>
      </w:rPr>
    </w:lvl>
    <w:lvl w:ilvl="8">
      <w:start w:val="0"/>
      <w:numFmt w:val="bullet"/>
      <w:lvlText w:val="•"/>
      <w:lvlJc w:val="left"/>
      <w:pPr>
        <w:ind w:left="3800" w:hanging="150"/>
      </w:pPr>
      <w:rPr>
        <w:rFonts w:hint="default"/>
        <w:lang w:val="en-US" w:eastAsia="en-US" w:bidi="ar-SA"/>
      </w:rPr>
    </w:lvl>
  </w:abstractNum>
  <w:abstractNum w:abstractNumId="7">
    <w:multiLevelType w:val="hybridMultilevel"/>
    <w:lvl w:ilvl="0">
      <w:start w:val="1"/>
      <w:numFmt w:val="lowerLetter"/>
      <w:lvlText w:val="%1."/>
      <w:lvlJc w:val="left"/>
      <w:pPr>
        <w:ind w:left="111" w:hanging="112"/>
        <w:jc w:val="left"/>
      </w:pPr>
      <w:rPr>
        <w:rFonts w:hint="default" w:ascii="Arial" w:hAnsi="Arial" w:eastAsia="Arial" w:cs="Arial"/>
        <w:b w:val="0"/>
        <w:bCs w:val="0"/>
        <w:i w:val="0"/>
        <w:iCs w:val="0"/>
        <w:color w:val="231F20"/>
        <w:spacing w:val="0"/>
        <w:w w:val="76"/>
        <w:sz w:val="12"/>
        <w:szCs w:val="12"/>
        <w:lang w:val="en-US" w:eastAsia="en-US" w:bidi="ar-SA"/>
      </w:rPr>
    </w:lvl>
    <w:lvl w:ilvl="1">
      <w:start w:val="0"/>
      <w:numFmt w:val="bullet"/>
      <w:lvlText w:val="•"/>
      <w:lvlJc w:val="left"/>
      <w:pPr>
        <w:ind w:left="666" w:hanging="112"/>
      </w:pPr>
      <w:rPr>
        <w:rFonts w:hint="default"/>
        <w:lang w:val="en-US" w:eastAsia="en-US" w:bidi="ar-SA"/>
      </w:rPr>
    </w:lvl>
    <w:lvl w:ilvl="2">
      <w:start w:val="0"/>
      <w:numFmt w:val="bullet"/>
      <w:lvlText w:val="•"/>
      <w:lvlJc w:val="left"/>
      <w:pPr>
        <w:ind w:left="1212" w:hanging="112"/>
      </w:pPr>
      <w:rPr>
        <w:rFonts w:hint="default"/>
        <w:lang w:val="en-US" w:eastAsia="en-US" w:bidi="ar-SA"/>
      </w:rPr>
    </w:lvl>
    <w:lvl w:ilvl="3">
      <w:start w:val="0"/>
      <w:numFmt w:val="bullet"/>
      <w:lvlText w:val="•"/>
      <w:lvlJc w:val="left"/>
      <w:pPr>
        <w:ind w:left="1759" w:hanging="112"/>
      </w:pPr>
      <w:rPr>
        <w:rFonts w:hint="default"/>
        <w:lang w:val="en-US" w:eastAsia="en-US" w:bidi="ar-SA"/>
      </w:rPr>
    </w:lvl>
    <w:lvl w:ilvl="4">
      <w:start w:val="0"/>
      <w:numFmt w:val="bullet"/>
      <w:lvlText w:val="•"/>
      <w:lvlJc w:val="left"/>
      <w:pPr>
        <w:ind w:left="2305" w:hanging="112"/>
      </w:pPr>
      <w:rPr>
        <w:rFonts w:hint="default"/>
        <w:lang w:val="en-US" w:eastAsia="en-US" w:bidi="ar-SA"/>
      </w:rPr>
    </w:lvl>
    <w:lvl w:ilvl="5">
      <w:start w:val="0"/>
      <w:numFmt w:val="bullet"/>
      <w:lvlText w:val="•"/>
      <w:lvlJc w:val="left"/>
      <w:pPr>
        <w:ind w:left="2852" w:hanging="112"/>
      </w:pPr>
      <w:rPr>
        <w:rFonts w:hint="default"/>
        <w:lang w:val="en-US" w:eastAsia="en-US" w:bidi="ar-SA"/>
      </w:rPr>
    </w:lvl>
    <w:lvl w:ilvl="6">
      <w:start w:val="0"/>
      <w:numFmt w:val="bullet"/>
      <w:lvlText w:val="•"/>
      <w:lvlJc w:val="left"/>
      <w:pPr>
        <w:ind w:left="3398" w:hanging="112"/>
      </w:pPr>
      <w:rPr>
        <w:rFonts w:hint="default"/>
        <w:lang w:val="en-US" w:eastAsia="en-US" w:bidi="ar-SA"/>
      </w:rPr>
    </w:lvl>
    <w:lvl w:ilvl="7">
      <w:start w:val="0"/>
      <w:numFmt w:val="bullet"/>
      <w:lvlText w:val="•"/>
      <w:lvlJc w:val="left"/>
      <w:pPr>
        <w:ind w:left="3944" w:hanging="112"/>
      </w:pPr>
      <w:rPr>
        <w:rFonts w:hint="default"/>
        <w:lang w:val="en-US" w:eastAsia="en-US" w:bidi="ar-SA"/>
      </w:rPr>
    </w:lvl>
    <w:lvl w:ilvl="8">
      <w:start w:val="0"/>
      <w:numFmt w:val="bullet"/>
      <w:lvlText w:val="•"/>
      <w:lvlJc w:val="left"/>
      <w:pPr>
        <w:ind w:left="4491" w:hanging="112"/>
      </w:pPr>
      <w:rPr>
        <w:rFonts w:hint="default"/>
        <w:lang w:val="en-US" w:eastAsia="en-US" w:bidi="ar-SA"/>
      </w:rPr>
    </w:lvl>
  </w:abstractNum>
  <w:abstractNum w:abstractNumId="6">
    <w:multiLevelType w:val="hybridMultilevel"/>
    <w:lvl w:ilvl="0">
      <w:start w:val="0"/>
      <w:numFmt w:val="bullet"/>
      <w:lvlText w:val="•"/>
      <w:lvlJc w:val="left"/>
      <w:pPr>
        <w:ind w:left="493" w:hanging="300"/>
      </w:pPr>
      <w:rPr>
        <w:rFonts w:hint="default" w:ascii="Times New Roman" w:hAnsi="Times New Roman" w:eastAsia="Times New Roman" w:cs="Times New Roman"/>
        <w:b w:val="0"/>
        <w:bCs w:val="0"/>
        <w:i w:val="0"/>
        <w:iCs w:val="0"/>
        <w:color w:val="5AA2E2"/>
        <w:spacing w:val="0"/>
        <w:w w:val="123"/>
        <w:position w:val="2"/>
        <w:sz w:val="21"/>
        <w:szCs w:val="21"/>
        <w:lang w:val="en-US" w:eastAsia="en-US" w:bidi="ar-SA"/>
      </w:rPr>
    </w:lvl>
    <w:lvl w:ilvl="1">
      <w:start w:val="0"/>
      <w:numFmt w:val="bullet"/>
      <w:lvlText w:val="•"/>
      <w:lvlJc w:val="left"/>
      <w:pPr>
        <w:ind w:left="4140" w:hanging="300"/>
      </w:pPr>
      <w:rPr>
        <w:rFonts w:hint="default" w:ascii="Times New Roman" w:hAnsi="Times New Roman" w:eastAsia="Times New Roman" w:cs="Times New Roman"/>
        <w:b w:val="0"/>
        <w:bCs w:val="0"/>
        <w:i w:val="0"/>
        <w:iCs w:val="0"/>
        <w:color w:val="5AA2E2"/>
        <w:spacing w:val="0"/>
        <w:w w:val="123"/>
        <w:position w:val="2"/>
        <w:sz w:val="21"/>
        <w:szCs w:val="21"/>
        <w:lang w:val="en-US" w:eastAsia="en-US" w:bidi="ar-SA"/>
      </w:rPr>
    </w:lvl>
    <w:lvl w:ilvl="2">
      <w:start w:val="0"/>
      <w:numFmt w:val="bullet"/>
      <w:lvlText w:val="•"/>
      <w:lvlJc w:val="left"/>
      <w:pPr>
        <w:ind w:left="3674" w:hanging="300"/>
      </w:pPr>
      <w:rPr>
        <w:rFonts w:hint="default"/>
        <w:lang w:val="en-US" w:eastAsia="en-US" w:bidi="ar-SA"/>
      </w:rPr>
    </w:lvl>
    <w:lvl w:ilvl="3">
      <w:start w:val="0"/>
      <w:numFmt w:val="bullet"/>
      <w:lvlText w:val="•"/>
      <w:lvlJc w:val="left"/>
      <w:pPr>
        <w:ind w:left="3209" w:hanging="300"/>
      </w:pPr>
      <w:rPr>
        <w:rFonts w:hint="default"/>
        <w:lang w:val="en-US" w:eastAsia="en-US" w:bidi="ar-SA"/>
      </w:rPr>
    </w:lvl>
    <w:lvl w:ilvl="4">
      <w:start w:val="0"/>
      <w:numFmt w:val="bullet"/>
      <w:lvlText w:val="•"/>
      <w:lvlJc w:val="left"/>
      <w:pPr>
        <w:ind w:left="2744" w:hanging="300"/>
      </w:pPr>
      <w:rPr>
        <w:rFonts w:hint="default"/>
        <w:lang w:val="en-US" w:eastAsia="en-US" w:bidi="ar-SA"/>
      </w:rPr>
    </w:lvl>
    <w:lvl w:ilvl="5">
      <w:start w:val="0"/>
      <w:numFmt w:val="bullet"/>
      <w:lvlText w:val="•"/>
      <w:lvlJc w:val="left"/>
      <w:pPr>
        <w:ind w:left="2279" w:hanging="300"/>
      </w:pPr>
      <w:rPr>
        <w:rFonts w:hint="default"/>
        <w:lang w:val="en-US" w:eastAsia="en-US" w:bidi="ar-SA"/>
      </w:rPr>
    </w:lvl>
    <w:lvl w:ilvl="6">
      <w:start w:val="0"/>
      <w:numFmt w:val="bullet"/>
      <w:lvlText w:val="•"/>
      <w:lvlJc w:val="left"/>
      <w:pPr>
        <w:ind w:left="1814" w:hanging="300"/>
      </w:pPr>
      <w:rPr>
        <w:rFonts w:hint="default"/>
        <w:lang w:val="en-US" w:eastAsia="en-US" w:bidi="ar-SA"/>
      </w:rPr>
    </w:lvl>
    <w:lvl w:ilvl="7">
      <w:start w:val="0"/>
      <w:numFmt w:val="bullet"/>
      <w:lvlText w:val="•"/>
      <w:lvlJc w:val="left"/>
      <w:pPr>
        <w:ind w:left="1349" w:hanging="300"/>
      </w:pPr>
      <w:rPr>
        <w:rFonts w:hint="default"/>
        <w:lang w:val="en-US" w:eastAsia="en-US" w:bidi="ar-SA"/>
      </w:rPr>
    </w:lvl>
    <w:lvl w:ilvl="8">
      <w:start w:val="0"/>
      <w:numFmt w:val="bullet"/>
      <w:lvlText w:val="•"/>
      <w:lvlJc w:val="left"/>
      <w:pPr>
        <w:ind w:left="884" w:hanging="300"/>
      </w:pPr>
      <w:rPr>
        <w:rFonts w:hint="default"/>
        <w:lang w:val="en-US" w:eastAsia="en-US" w:bidi="ar-SA"/>
      </w:rPr>
    </w:lvl>
  </w:abstractNum>
  <w:abstractNum w:abstractNumId="5">
    <w:multiLevelType w:val="hybridMultilevel"/>
    <w:lvl w:ilvl="0">
      <w:start w:val="0"/>
      <w:numFmt w:val="bullet"/>
      <w:lvlText w:val="•"/>
      <w:lvlJc w:val="left"/>
      <w:pPr>
        <w:ind w:left="4140" w:hanging="300"/>
      </w:pPr>
      <w:rPr>
        <w:rFonts w:hint="default" w:ascii="Times New Roman" w:hAnsi="Times New Roman" w:eastAsia="Times New Roman" w:cs="Times New Roman"/>
        <w:b w:val="0"/>
        <w:bCs w:val="0"/>
        <w:i w:val="0"/>
        <w:iCs w:val="0"/>
        <w:color w:val="5AA2E2"/>
        <w:spacing w:val="0"/>
        <w:w w:val="123"/>
        <w:position w:val="2"/>
        <w:sz w:val="21"/>
        <w:szCs w:val="21"/>
        <w:lang w:val="en-US" w:eastAsia="en-US" w:bidi="ar-SA"/>
      </w:rPr>
    </w:lvl>
    <w:lvl w:ilvl="1">
      <w:start w:val="0"/>
      <w:numFmt w:val="bullet"/>
      <w:lvlText w:val="•"/>
      <w:lvlJc w:val="left"/>
      <w:pPr>
        <w:ind w:left="4482" w:hanging="300"/>
      </w:pPr>
      <w:rPr>
        <w:rFonts w:hint="default"/>
        <w:lang w:val="en-US" w:eastAsia="en-US" w:bidi="ar-SA"/>
      </w:rPr>
    </w:lvl>
    <w:lvl w:ilvl="2">
      <w:start w:val="0"/>
      <w:numFmt w:val="bullet"/>
      <w:lvlText w:val="•"/>
      <w:lvlJc w:val="left"/>
      <w:pPr>
        <w:ind w:left="4825" w:hanging="300"/>
      </w:pPr>
      <w:rPr>
        <w:rFonts w:hint="default"/>
        <w:lang w:val="en-US" w:eastAsia="en-US" w:bidi="ar-SA"/>
      </w:rPr>
    </w:lvl>
    <w:lvl w:ilvl="3">
      <w:start w:val="0"/>
      <w:numFmt w:val="bullet"/>
      <w:lvlText w:val="•"/>
      <w:lvlJc w:val="left"/>
      <w:pPr>
        <w:ind w:left="5167" w:hanging="300"/>
      </w:pPr>
      <w:rPr>
        <w:rFonts w:hint="default"/>
        <w:lang w:val="en-US" w:eastAsia="en-US" w:bidi="ar-SA"/>
      </w:rPr>
    </w:lvl>
    <w:lvl w:ilvl="4">
      <w:start w:val="0"/>
      <w:numFmt w:val="bullet"/>
      <w:lvlText w:val="•"/>
      <w:lvlJc w:val="left"/>
      <w:pPr>
        <w:ind w:left="5510" w:hanging="300"/>
      </w:pPr>
      <w:rPr>
        <w:rFonts w:hint="default"/>
        <w:lang w:val="en-US" w:eastAsia="en-US" w:bidi="ar-SA"/>
      </w:rPr>
    </w:lvl>
    <w:lvl w:ilvl="5">
      <w:start w:val="0"/>
      <w:numFmt w:val="bullet"/>
      <w:lvlText w:val="•"/>
      <w:lvlJc w:val="left"/>
      <w:pPr>
        <w:ind w:left="5853" w:hanging="300"/>
      </w:pPr>
      <w:rPr>
        <w:rFonts w:hint="default"/>
        <w:lang w:val="en-US" w:eastAsia="en-US" w:bidi="ar-SA"/>
      </w:rPr>
    </w:lvl>
    <w:lvl w:ilvl="6">
      <w:start w:val="0"/>
      <w:numFmt w:val="bullet"/>
      <w:lvlText w:val="•"/>
      <w:lvlJc w:val="left"/>
      <w:pPr>
        <w:ind w:left="6195" w:hanging="300"/>
      </w:pPr>
      <w:rPr>
        <w:rFonts w:hint="default"/>
        <w:lang w:val="en-US" w:eastAsia="en-US" w:bidi="ar-SA"/>
      </w:rPr>
    </w:lvl>
    <w:lvl w:ilvl="7">
      <w:start w:val="0"/>
      <w:numFmt w:val="bullet"/>
      <w:lvlText w:val="•"/>
      <w:lvlJc w:val="left"/>
      <w:pPr>
        <w:ind w:left="6538" w:hanging="300"/>
      </w:pPr>
      <w:rPr>
        <w:rFonts w:hint="default"/>
        <w:lang w:val="en-US" w:eastAsia="en-US" w:bidi="ar-SA"/>
      </w:rPr>
    </w:lvl>
    <w:lvl w:ilvl="8">
      <w:start w:val="0"/>
      <w:numFmt w:val="bullet"/>
      <w:lvlText w:val="•"/>
      <w:lvlJc w:val="left"/>
      <w:pPr>
        <w:ind w:left="6880" w:hanging="300"/>
      </w:pPr>
      <w:rPr>
        <w:rFonts w:hint="default"/>
        <w:lang w:val="en-US" w:eastAsia="en-US" w:bidi="ar-SA"/>
      </w:rPr>
    </w:lvl>
  </w:abstractNum>
  <w:abstractNum w:abstractNumId="4">
    <w:multiLevelType w:val="hybridMultilevel"/>
    <w:lvl w:ilvl="0">
      <w:start w:val="0"/>
      <w:numFmt w:val="bullet"/>
      <w:lvlText w:val="•"/>
      <w:lvlJc w:val="left"/>
      <w:pPr>
        <w:ind w:left="3660" w:hanging="300"/>
      </w:pPr>
      <w:rPr>
        <w:rFonts w:hint="default" w:ascii="Times New Roman" w:hAnsi="Times New Roman" w:eastAsia="Times New Roman" w:cs="Times New Roman"/>
        <w:b w:val="0"/>
        <w:bCs w:val="0"/>
        <w:i w:val="0"/>
        <w:iCs w:val="0"/>
        <w:color w:val="5AA2E2"/>
        <w:spacing w:val="0"/>
        <w:w w:val="123"/>
        <w:position w:val="2"/>
        <w:sz w:val="21"/>
        <w:szCs w:val="21"/>
        <w:lang w:val="en-US" w:eastAsia="en-US" w:bidi="ar-SA"/>
      </w:rPr>
    </w:lvl>
    <w:lvl w:ilvl="1">
      <w:start w:val="0"/>
      <w:numFmt w:val="bullet"/>
      <w:lvlText w:val="•"/>
      <w:lvlJc w:val="left"/>
      <w:pPr>
        <w:ind w:left="4002" w:hanging="300"/>
      </w:pPr>
      <w:rPr>
        <w:rFonts w:hint="default"/>
        <w:lang w:val="en-US" w:eastAsia="en-US" w:bidi="ar-SA"/>
      </w:rPr>
    </w:lvl>
    <w:lvl w:ilvl="2">
      <w:start w:val="0"/>
      <w:numFmt w:val="bullet"/>
      <w:lvlText w:val="•"/>
      <w:lvlJc w:val="left"/>
      <w:pPr>
        <w:ind w:left="4344" w:hanging="300"/>
      </w:pPr>
      <w:rPr>
        <w:rFonts w:hint="default"/>
        <w:lang w:val="en-US" w:eastAsia="en-US" w:bidi="ar-SA"/>
      </w:rPr>
    </w:lvl>
    <w:lvl w:ilvl="3">
      <w:start w:val="0"/>
      <w:numFmt w:val="bullet"/>
      <w:lvlText w:val="•"/>
      <w:lvlJc w:val="left"/>
      <w:pPr>
        <w:ind w:left="4686" w:hanging="300"/>
      </w:pPr>
      <w:rPr>
        <w:rFonts w:hint="default"/>
        <w:lang w:val="en-US" w:eastAsia="en-US" w:bidi="ar-SA"/>
      </w:rPr>
    </w:lvl>
    <w:lvl w:ilvl="4">
      <w:start w:val="0"/>
      <w:numFmt w:val="bullet"/>
      <w:lvlText w:val="•"/>
      <w:lvlJc w:val="left"/>
      <w:pPr>
        <w:ind w:left="5028" w:hanging="300"/>
      </w:pPr>
      <w:rPr>
        <w:rFonts w:hint="default"/>
        <w:lang w:val="en-US" w:eastAsia="en-US" w:bidi="ar-SA"/>
      </w:rPr>
    </w:lvl>
    <w:lvl w:ilvl="5">
      <w:start w:val="0"/>
      <w:numFmt w:val="bullet"/>
      <w:lvlText w:val="•"/>
      <w:lvlJc w:val="left"/>
      <w:pPr>
        <w:ind w:left="5370" w:hanging="300"/>
      </w:pPr>
      <w:rPr>
        <w:rFonts w:hint="default"/>
        <w:lang w:val="en-US" w:eastAsia="en-US" w:bidi="ar-SA"/>
      </w:rPr>
    </w:lvl>
    <w:lvl w:ilvl="6">
      <w:start w:val="0"/>
      <w:numFmt w:val="bullet"/>
      <w:lvlText w:val="•"/>
      <w:lvlJc w:val="left"/>
      <w:pPr>
        <w:ind w:left="5712" w:hanging="300"/>
      </w:pPr>
      <w:rPr>
        <w:rFonts w:hint="default"/>
        <w:lang w:val="en-US" w:eastAsia="en-US" w:bidi="ar-SA"/>
      </w:rPr>
    </w:lvl>
    <w:lvl w:ilvl="7">
      <w:start w:val="0"/>
      <w:numFmt w:val="bullet"/>
      <w:lvlText w:val="•"/>
      <w:lvlJc w:val="left"/>
      <w:pPr>
        <w:ind w:left="6054" w:hanging="300"/>
      </w:pPr>
      <w:rPr>
        <w:rFonts w:hint="default"/>
        <w:lang w:val="en-US" w:eastAsia="en-US" w:bidi="ar-SA"/>
      </w:rPr>
    </w:lvl>
    <w:lvl w:ilvl="8">
      <w:start w:val="0"/>
      <w:numFmt w:val="bullet"/>
      <w:lvlText w:val="•"/>
      <w:lvlJc w:val="left"/>
      <w:pPr>
        <w:ind w:left="6397" w:hanging="300"/>
      </w:pPr>
      <w:rPr>
        <w:rFonts w:hint="default"/>
        <w:lang w:val="en-US" w:eastAsia="en-US" w:bidi="ar-SA"/>
      </w:rPr>
    </w:lvl>
  </w:abstractNum>
  <w:abstractNum w:abstractNumId="3">
    <w:multiLevelType w:val="hybridMultilevel"/>
    <w:lvl w:ilvl="0">
      <w:start w:val="1"/>
      <w:numFmt w:val="decimal"/>
      <w:lvlText w:val="%1"/>
      <w:lvlJc w:val="left"/>
      <w:pPr>
        <w:ind w:left="1259" w:hanging="540"/>
        <w:jc w:val="left"/>
      </w:pPr>
      <w:rPr>
        <w:rFonts w:hint="default"/>
        <w:lang w:val="en-US" w:eastAsia="en-US" w:bidi="ar-SA"/>
      </w:rPr>
    </w:lvl>
    <w:lvl w:ilvl="1">
      <w:start w:val="1"/>
      <w:numFmt w:val="decimal"/>
      <w:lvlText w:val="%1.%2"/>
      <w:lvlJc w:val="left"/>
      <w:pPr>
        <w:ind w:left="1259" w:hanging="540"/>
        <w:jc w:val="left"/>
      </w:pPr>
      <w:rPr>
        <w:rFonts w:hint="default" w:ascii="Times New Roman" w:hAnsi="Times New Roman" w:eastAsia="Times New Roman" w:cs="Times New Roman"/>
        <w:b w:val="0"/>
        <w:bCs w:val="0"/>
        <w:i w:val="0"/>
        <w:iCs w:val="0"/>
        <w:color w:val="231F20"/>
        <w:spacing w:val="-5"/>
        <w:w w:val="82"/>
        <w:sz w:val="21"/>
        <w:szCs w:val="21"/>
        <w:lang w:val="en-US" w:eastAsia="en-US" w:bidi="ar-SA"/>
      </w:rPr>
    </w:lvl>
    <w:lvl w:ilvl="2">
      <w:start w:val="0"/>
      <w:numFmt w:val="bullet"/>
      <w:lvlText w:val="•"/>
      <w:lvlJc w:val="left"/>
      <w:pPr>
        <w:ind w:left="3348" w:hanging="540"/>
      </w:pPr>
      <w:rPr>
        <w:rFonts w:hint="default"/>
        <w:lang w:val="en-US" w:eastAsia="en-US" w:bidi="ar-SA"/>
      </w:rPr>
    </w:lvl>
    <w:lvl w:ilvl="3">
      <w:start w:val="0"/>
      <w:numFmt w:val="bullet"/>
      <w:lvlText w:val="•"/>
      <w:lvlJc w:val="left"/>
      <w:pPr>
        <w:ind w:left="4392" w:hanging="540"/>
      </w:pPr>
      <w:rPr>
        <w:rFonts w:hint="default"/>
        <w:lang w:val="en-US" w:eastAsia="en-US" w:bidi="ar-SA"/>
      </w:rPr>
    </w:lvl>
    <w:lvl w:ilvl="4">
      <w:start w:val="0"/>
      <w:numFmt w:val="bullet"/>
      <w:lvlText w:val="•"/>
      <w:lvlJc w:val="left"/>
      <w:pPr>
        <w:ind w:left="5436" w:hanging="540"/>
      </w:pPr>
      <w:rPr>
        <w:rFonts w:hint="default"/>
        <w:lang w:val="en-US" w:eastAsia="en-US" w:bidi="ar-SA"/>
      </w:rPr>
    </w:lvl>
    <w:lvl w:ilvl="5">
      <w:start w:val="0"/>
      <w:numFmt w:val="bullet"/>
      <w:lvlText w:val="•"/>
      <w:lvlJc w:val="left"/>
      <w:pPr>
        <w:ind w:left="6480" w:hanging="540"/>
      </w:pPr>
      <w:rPr>
        <w:rFonts w:hint="default"/>
        <w:lang w:val="en-US" w:eastAsia="en-US" w:bidi="ar-SA"/>
      </w:rPr>
    </w:lvl>
    <w:lvl w:ilvl="6">
      <w:start w:val="0"/>
      <w:numFmt w:val="bullet"/>
      <w:lvlText w:val="•"/>
      <w:lvlJc w:val="left"/>
      <w:pPr>
        <w:ind w:left="7524" w:hanging="540"/>
      </w:pPr>
      <w:rPr>
        <w:rFonts w:hint="default"/>
        <w:lang w:val="en-US" w:eastAsia="en-US" w:bidi="ar-SA"/>
      </w:rPr>
    </w:lvl>
    <w:lvl w:ilvl="7">
      <w:start w:val="0"/>
      <w:numFmt w:val="bullet"/>
      <w:lvlText w:val="•"/>
      <w:lvlJc w:val="left"/>
      <w:pPr>
        <w:ind w:left="8568" w:hanging="540"/>
      </w:pPr>
      <w:rPr>
        <w:rFonts w:hint="default"/>
        <w:lang w:val="en-US" w:eastAsia="en-US" w:bidi="ar-SA"/>
      </w:rPr>
    </w:lvl>
    <w:lvl w:ilvl="8">
      <w:start w:val="0"/>
      <w:numFmt w:val="bullet"/>
      <w:lvlText w:val="•"/>
      <w:lvlJc w:val="left"/>
      <w:pPr>
        <w:ind w:left="9612" w:hanging="540"/>
      </w:pPr>
      <w:rPr>
        <w:rFonts w:hint="default"/>
        <w:lang w:val="en-US" w:eastAsia="en-US" w:bidi="ar-SA"/>
      </w:rPr>
    </w:lvl>
  </w:abstractNum>
  <w:abstractNum w:abstractNumId="2">
    <w:multiLevelType w:val="hybridMultilevel"/>
    <w:lvl w:ilvl="0">
      <w:start w:val="1"/>
      <w:numFmt w:val="decimal"/>
      <w:lvlText w:val="%1"/>
      <w:lvlJc w:val="left"/>
      <w:pPr>
        <w:ind w:left="1259" w:hanging="540"/>
        <w:jc w:val="left"/>
      </w:pPr>
      <w:rPr>
        <w:rFonts w:hint="default" w:ascii="Times New Roman" w:hAnsi="Times New Roman" w:eastAsia="Times New Roman" w:cs="Times New Roman"/>
        <w:b w:val="0"/>
        <w:bCs w:val="0"/>
        <w:i w:val="0"/>
        <w:iCs w:val="0"/>
        <w:color w:val="231F20"/>
        <w:spacing w:val="0"/>
        <w:w w:val="97"/>
        <w:sz w:val="21"/>
        <w:szCs w:val="21"/>
        <w:lang w:val="en-US" w:eastAsia="en-US" w:bidi="ar-SA"/>
      </w:rPr>
    </w:lvl>
    <w:lvl w:ilvl="1">
      <w:start w:val="1"/>
      <w:numFmt w:val="decimal"/>
      <w:lvlText w:val="%1.%2"/>
      <w:lvlJc w:val="left"/>
      <w:pPr>
        <w:ind w:left="1259" w:hanging="540"/>
        <w:jc w:val="left"/>
      </w:pPr>
      <w:rPr>
        <w:rFonts w:hint="default" w:ascii="Times New Roman" w:hAnsi="Times New Roman" w:eastAsia="Times New Roman" w:cs="Times New Roman"/>
        <w:b w:val="0"/>
        <w:bCs w:val="0"/>
        <w:i w:val="0"/>
        <w:iCs w:val="0"/>
        <w:color w:val="231F20"/>
        <w:spacing w:val="-5"/>
        <w:w w:val="82"/>
        <w:sz w:val="21"/>
        <w:szCs w:val="21"/>
        <w:lang w:val="en-US" w:eastAsia="en-US" w:bidi="ar-SA"/>
      </w:rPr>
    </w:lvl>
    <w:lvl w:ilvl="2">
      <w:start w:val="0"/>
      <w:numFmt w:val="bullet"/>
      <w:lvlText w:val="•"/>
      <w:lvlJc w:val="left"/>
      <w:pPr>
        <w:ind w:left="3348" w:hanging="540"/>
      </w:pPr>
      <w:rPr>
        <w:rFonts w:hint="default"/>
        <w:lang w:val="en-US" w:eastAsia="en-US" w:bidi="ar-SA"/>
      </w:rPr>
    </w:lvl>
    <w:lvl w:ilvl="3">
      <w:start w:val="0"/>
      <w:numFmt w:val="bullet"/>
      <w:lvlText w:val="•"/>
      <w:lvlJc w:val="left"/>
      <w:pPr>
        <w:ind w:left="4392" w:hanging="540"/>
      </w:pPr>
      <w:rPr>
        <w:rFonts w:hint="default"/>
        <w:lang w:val="en-US" w:eastAsia="en-US" w:bidi="ar-SA"/>
      </w:rPr>
    </w:lvl>
    <w:lvl w:ilvl="4">
      <w:start w:val="0"/>
      <w:numFmt w:val="bullet"/>
      <w:lvlText w:val="•"/>
      <w:lvlJc w:val="left"/>
      <w:pPr>
        <w:ind w:left="5436" w:hanging="540"/>
      </w:pPr>
      <w:rPr>
        <w:rFonts w:hint="default"/>
        <w:lang w:val="en-US" w:eastAsia="en-US" w:bidi="ar-SA"/>
      </w:rPr>
    </w:lvl>
    <w:lvl w:ilvl="5">
      <w:start w:val="0"/>
      <w:numFmt w:val="bullet"/>
      <w:lvlText w:val="•"/>
      <w:lvlJc w:val="left"/>
      <w:pPr>
        <w:ind w:left="6480" w:hanging="540"/>
      </w:pPr>
      <w:rPr>
        <w:rFonts w:hint="default"/>
        <w:lang w:val="en-US" w:eastAsia="en-US" w:bidi="ar-SA"/>
      </w:rPr>
    </w:lvl>
    <w:lvl w:ilvl="6">
      <w:start w:val="0"/>
      <w:numFmt w:val="bullet"/>
      <w:lvlText w:val="•"/>
      <w:lvlJc w:val="left"/>
      <w:pPr>
        <w:ind w:left="7524" w:hanging="540"/>
      </w:pPr>
      <w:rPr>
        <w:rFonts w:hint="default"/>
        <w:lang w:val="en-US" w:eastAsia="en-US" w:bidi="ar-SA"/>
      </w:rPr>
    </w:lvl>
    <w:lvl w:ilvl="7">
      <w:start w:val="0"/>
      <w:numFmt w:val="bullet"/>
      <w:lvlText w:val="•"/>
      <w:lvlJc w:val="left"/>
      <w:pPr>
        <w:ind w:left="8568" w:hanging="540"/>
      </w:pPr>
      <w:rPr>
        <w:rFonts w:hint="default"/>
        <w:lang w:val="en-US" w:eastAsia="en-US" w:bidi="ar-SA"/>
      </w:rPr>
    </w:lvl>
    <w:lvl w:ilvl="8">
      <w:start w:val="0"/>
      <w:numFmt w:val="bullet"/>
      <w:lvlText w:val="•"/>
      <w:lvlJc w:val="left"/>
      <w:pPr>
        <w:ind w:left="9612" w:hanging="540"/>
      </w:pPr>
      <w:rPr>
        <w:rFonts w:hint="default"/>
        <w:lang w:val="en-US" w:eastAsia="en-US" w:bidi="ar-SA"/>
      </w:rPr>
    </w:lvl>
  </w:abstractNum>
  <w:abstractNum w:abstractNumId="0">
    <w:multiLevelType w:val="hybridMultilevel"/>
    <w:lvl w:ilvl="0">
      <w:start w:val="0"/>
      <w:numFmt w:val="bullet"/>
      <w:lvlText w:val="■"/>
      <w:lvlJc w:val="left"/>
      <w:pPr>
        <w:ind w:left="313" w:hanging="314"/>
      </w:pPr>
      <w:rPr>
        <w:rFonts w:hint="default" w:ascii="Arial" w:hAnsi="Arial" w:eastAsia="Arial" w:cs="Arial"/>
        <w:b w:val="0"/>
        <w:bCs w:val="0"/>
        <w:i w:val="0"/>
        <w:iCs w:val="0"/>
        <w:color w:val="0E97D3"/>
        <w:spacing w:val="0"/>
        <w:w w:val="105"/>
        <w:position w:val="-22"/>
        <w:sz w:val="40"/>
        <w:szCs w:val="40"/>
        <w:lang w:val="en-US" w:eastAsia="en-US" w:bidi="ar-SA"/>
      </w:rPr>
    </w:lvl>
    <w:lvl w:ilvl="1">
      <w:start w:val="0"/>
      <w:numFmt w:val="bullet"/>
      <w:lvlText w:val="•"/>
      <w:lvlJc w:val="left"/>
      <w:pPr>
        <w:ind w:left="364" w:hanging="314"/>
      </w:pPr>
      <w:rPr>
        <w:rFonts w:hint="default"/>
        <w:lang w:val="en-US" w:eastAsia="en-US" w:bidi="ar-SA"/>
      </w:rPr>
    </w:lvl>
    <w:lvl w:ilvl="2">
      <w:start w:val="0"/>
      <w:numFmt w:val="bullet"/>
      <w:lvlText w:val="•"/>
      <w:lvlJc w:val="left"/>
      <w:pPr>
        <w:ind w:left="408" w:hanging="314"/>
      </w:pPr>
      <w:rPr>
        <w:rFonts w:hint="default"/>
        <w:lang w:val="en-US" w:eastAsia="en-US" w:bidi="ar-SA"/>
      </w:rPr>
    </w:lvl>
    <w:lvl w:ilvl="3">
      <w:start w:val="0"/>
      <w:numFmt w:val="bullet"/>
      <w:lvlText w:val="•"/>
      <w:lvlJc w:val="left"/>
      <w:pPr>
        <w:ind w:left="452" w:hanging="314"/>
      </w:pPr>
      <w:rPr>
        <w:rFonts w:hint="default"/>
        <w:lang w:val="en-US" w:eastAsia="en-US" w:bidi="ar-SA"/>
      </w:rPr>
    </w:lvl>
    <w:lvl w:ilvl="4">
      <w:start w:val="0"/>
      <w:numFmt w:val="bullet"/>
      <w:lvlText w:val="•"/>
      <w:lvlJc w:val="left"/>
      <w:pPr>
        <w:ind w:left="497" w:hanging="314"/>
      </w:pPr>
      <w:rPr>
        <w:rFonts w:hint="default"/>
        <w:lang w:val="en-US" w:eastAsia="en-US" w:bidi="ar-SA"/>
      </w:rPr>
    </w:lvl>
    <w:lvl w:ilvl="5">
      <w:start w:val="0"/>
      <w:numFmt w:val="bullet"/>
      <w:lvlText w:val="•"/>
      <w:lvlJc w:val="left"/>
      <w:pPr>
        <w:ind w:left="541" w:hanging="314"/>
      </w:pPr>
      <w:rPr>
        <w:rFonts w:hint="default"/>
        <w:lang w:val="en-US" w:eastAsia="en-US" w:bidi="ar-SA"/>
      </w:rPr>
    </w:lvl>
    <w:lvl w:ilvl="6">
      <w:start w:val="0"/>
      <w:numFmt w:val="bullet"/>
      <w:lvlText w:val="•"/>
      <w:lvlJc w:val="left"/>
      <w:pPr>
        <w:ind w:left="585" w:hanging="314"/>
      </w:pPr>
      <w:rPr>
        <w:rFonts w:hint="default"/>
        <w:lang w:val="en-US" w:eastAsia="en-US" w:bidi="ar-SA"/>
      </w:rPr>
    </w:lvl>
    <w:lvl w:ilvl="7">
      <w:start w:val="0"/>
      <w:numFmt w:val="bullet"/>
      <w:lvlText w:val="•"/>
      <w:lvlJc w:val="left"/>
      <w:pPr>
        <w:ind w:left="629" w:hanging="314"/>
      </w:pPr>
      <w:rPr>
        <w:rFonts w:hint="default"/>
        <w:lang w:val="en-US" w:eastAsia="en-US" w:bidi="ar-SA"/>
      </w:rPr>
    </w:lvl>
    <w:lvl w:ilvl="8">
      <w:start w:val="0"/>
      <w:numFmt w:val="bullet"/>
      <w:lvlText w:val="•"/>
      <w:lvlJc w:val="left"/>
      <w:pPr>
        <w:ind w:left="674" w:hanging="314"/>
      </w:pPr>
      <w:rPr>
        <w:rFonts w:hint="default"/>
        <w:lang w:val="en-US" w:eastAsia="en-US" w:bidi="ar-SA"/>
      </w:rPr>
    </w:lvl>
  </w:abstractNum>
  <w:abstractNum w:abstractNumId="1">
    <w:multiLevelType w:val="hybridMultilevel"/>
    <w:lvl w:ilvl="0">
      <w:start w:val="0"/>
      <w:numFmt w:val="bullet"/>
      <w:lvlText w:val="■"/>
      <w:lvlJc w:val="left"/>
      <w:pPr>
        <w:ind w:left="1921" w:hanging="314"/>
      </w:pPr>
      <w:rPr>
        <w:rFonts w:hint="default" w:ascii="Arial" w:hAnsi="Arial" w:eastAsia="Arial" w:cs="Arial"/>
        <w:b w:val="0"/>
        <w:bCs w:val="0"/>
        <w:i w:val="0"/>
        <w:iCs w:val="0"/>
        <w:color w:val="64B3DF"/>
        <w:spacing w:val="0"/>
        <w:w w:val="105"/>
        <w:position w:val="-22"/>
        <w:sz w:val="40"/>
        <w:szCs w:val="40"/>
        <w:lang w:val="en-US" w:eastAsia="en-US" w:bidi="ar-SA"/>
      </w:rPr>
    </w:lvl>
    <w:lvl w:ilvl="1">
      <w:start w:val="0"/>
      <w:numFmt w:val="bullet"/>
      <w:lvlText w:val="•"/>
      <w:lvlJc w:val="left"/>
      <w:pPr>
        <w:ind w:left="2088" w:hanging="314"/>
      </w:pPr>
      <w:rPr>
        <w:rFonts w:hint="default"/>
        <w:lang w:val="en-US" w:eastAsia="en-US" w:bidi="ar-SA"/>
      </w:rPr>
    </w:lvl>
    <w:lvl w:ilvl="2">
      <w:start w:val="0"/>
      <w:numFmt w:val="bullet"/>
      <w:lvlText w:val="•"/>
      <w:lvlJc w:val="left"/>
      <w:pPr>
        <w:ind w:left="2256" w:hanging="314"/>
      </w:pPr>
      <w:rPr>
        <w:rFonts w:hint="default"/>
        <w:lang w:val="en-US" w:eastAsia="en-US" w:bidi="ar-SA"/>
      </w:rPr>
    </w:lvl>
    <w:lvl w:ilvl="3">
      <w:start w:val="0"/>
      <w:numFmt w:val="bullet"/>
      <w:lvlText w:val="•"/>
      <w:lvlJc w:val="left"/>
      <w:pPr>
        <w:ind w:left="2424" w:hanging="314"/>
      </w:pPr>
      <w:rPr>
        <w:rFonts w:hint="default"/>
        <w:lang w:val="en-US" w:eastAsia="en-US" w:bidi="ar-SA"/>
      </w:rPr>
    </w:lvl>
    <w:lvl w:ilvl="4">
      <w:start w:val="0"/>
      <w:numFmt w:val="bullet"/>
      <w:lvlText w:val="•"/>
      <w:lvlJc w:val="left"/>
      <w:pPr>
        <w:ind w:left="2592" w:hanging="314"/>
      </w:pPr>
      <w:rPr>
        <w:rFonts w:hint="default"/>
        <w:lang w:val="en-US" w:eastAsia="en-US" w:bidi="ar-SA"/>
      </w:rPr>
    </w:lvl>
    <w:lvl w:ilvl="5">
      <w:start w:val="0"/>
      <w:numFmt w:val="bullet"/>
      <w:lvlText w:val="•"/>
      <w:lvlJc w:val="left"/>
      <w:pPr>
        <w:ind w:left="2760" w:hanging="314"/>
      </w:pPr>
      <w:rPr>
        <w:rFonts w:hint="default"/>
        <w:lang w:val="en-US" w:eastAsia="en-US" w:bidi="ar-SA"/>
      </w:rPr>
    </w:lvl>
    <w:lvl w:ilvl="6">
      <w:start w:val="0"/>
      <w:numFmt w:val="bullet"/>
      <w:lvlText w:val="•"/>
      <w:lvlJc w:val="left"/>
      <w:pPr>
        <w:ind w:left="2928" w:hanging="314"/>
      </w:pPr>
      <w:rPr>
        <w:rFonts w:hint="default"/>
        <w:lang w:val="en-US" w:eastAsia="en-US" w:bidi="ar-SA"/>
      </w:rPr>
    </w:lvl>
    <w:lvl w:ilvl="7">
      <w:start w:val="0"/>
      <w:numFmt w:val="bullet"/>
      <w:lvlText w:val="•"/>
      <w:lvlJc w:val="left"/>
      <w:pPr>
        <w:ind w:left="3096" w:hanging="314"/>
      </w:pPr>
      <w:rPr>
        <w:rFonts w:hint="default"/>
        <w:lang w:val="en-US" w:eastAsia="en-US" w:bidi="ar-SA"/>
      </w:rPr>
    </w:lvl>
    <w:lvl w:ilvl="8">
      <w:start w:val="0"/>
      <w:numFmt w:val="bullet"/>
      <w:lvlText w:val="•"/>
      <w:lvlJc w:val="left"/>
      <w:pPr>
        <w:ind w:left="3264" w:hanging="314"/>
      </w:pPr>
      <w:rPr>
        <w:rFonts w:hint="default"/>
        <w:lang w:val="en-US" w:eastAsia="en-US" w:bidi="ar-SA"/>
      </w:r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8"/>
      <w:ind w:left="720"/>
    </w:pPr>
    <w:rPr>
      <w:rFonts w:ascii="Times New Roman" w:hAnsi="Times New Roman" w:eastAsia="Times New Roman" w:cs="Times New Roman"/>
      <w:sz w:val="21"/>
      <w:szCs w:val="21"/>
      <w:lang w:val="en-US" w:eastAsia="en-US" w:bidi="ar-SA"/>
    </w:rPr>
  </w:style>
  <w:style w:styleId="TOC2" w:type="paragraph">
    <w:name w:val="TOC 2"/>
    <w:basedOn w:val="Normal"/>
    <w:uiPriority w:val="1"/>
    <w:qFormat/>
    <w:pPr>
      <w:spacing w:before="322"/>
      <w:ind w:left="720"/>
    </w:pPr>
    <w:rPr>
      <w:rFonts w:ascii="Arial" w:hAnsi="Arial" w:eastAsia="Arial" w:cs="Arial"/>
      <w:sz w:val="19"/>
      <w:szCs w:val="19"/>
      <w:lang w:val="en-US" w:eastAsia="en-US" w:bidi="ar-SA"/>
    </w:rPr>
  </w:style>
  <w:style w:styleId="TOC3" w:type="paragraph">
    <w:name w:val="TOC 3"/>
    <w:basedOn w:val="Normal"/>
    <w:uiPriority w:val="1"/>
    <w:qFormat/>
    <w:pPr>
      <w:spacing w:before="87"/>
      <w:ind w:left="720"/>
    </w:pPr>
    <w:rPr>
      <w:rFonts w:ascii="Arial" w:hAnsi="Arial" w:eastAsia="Arial" w:cs="Arial"/>
      <w:sz w:val="12"/>
      <w:szCs w:val="12"/>
      <w:lang w:val="en-US" w:eastAsia="en-US" w:bidi="ar-SA"/>
    </w:rPr>
  </w:style>
  <w:style w:styleId="TOC4" w:type="paragraph">
    <w:name w:val="TOC 4"/>
    <w:basedOn w:val="Normal"/>
    <w:uiPriority w:val="1"/>
    <w:qFormat/>
    <w:pPr>
      <w:spacing w:before="28"/>
      <w:ind w:left="3840"/>
    </w:pPr>
    <w:rPr>
      <w:rFonts w:ascii="Times New Roman" w:hAnsi="Times New Roman" w:eastAsia="Times New Roman" w:cs="Times New Roman"/>
      <w:sz w:val="21"/>
      <w:szCs w:val="21"/>
      <w:lang w:val="en-US" w:eastAsia="en-US" w:bidi="ar-SA"/>
    </w:rPr>
  </w:style>
  <w:style w:styleId="TOC5" w:type="paragraph">
    <w:name w:val="TOC 5"/>
    <w:basedOn w:val="Normal"/>
    <w:uiPriority w:val="1"/>
    <w:qFormat/>
    <w:pPr>
      <w:spacing w:before="52"/>
      <w:ind w:left="3840"/>
    </w:pPr>
    <w:rPr>
      <w:rFonts w:ascii="Arial" w:hAnsi="Arial" w:eastAsia="Arial" w:cs="Arial"/>
      <w:sz w:val="19"/>
      <w:szCs w:val="19"/>
      <w:lang w:val="en-US" w:eastAsia="en-US" w:bidi="ar-SA"/>
    </w:rPr>
  </w:style>
  <w:style w:styleId="TOC6" w:type="paragraph">
    <w:name w:val="TOC 6"/>
    <w:basedOn w:val="Normal"/>
    <w:uiPriority w:val="1"/>
    <w:qFormat/>
    <w:pPr>
      <w:spacing w:before="28"/>
      <w:ind w:left="4380"/>
    </w:pPr>
    <w:rPr>
      <w:rFonts w:ascii="Times New Roman" w:hAnsi="Times New Roman" w:eastAsia="Times New Roman" w:cs="Times New Roman"/>
      <w:sz w:val="21"/>
      <w:szCs w:val="21"/>
      <w:lang w:val="en-US" w:eastAsia="en-US" w:bidi="ar-SA"/>
    </w:rPr>
  </w:style>
  <w:style w:styleId="BodyText" w:type="paragraph">
    <w:name w:val="Body Text"/>
    <w:basedOn w:val="Normal"/>
    <w:uiPriority w:val="1"/>
    <w:qFormat/>
    <w:pPr/>
    <w:rPr>
      <w:rFonts w:ascii="Times New Roman" w:hAnsi="Times New Roman" w:eastAsia="Times New Roman" w:cs="Times New Roman"/>
      <w:sz w:val="21"/>
      <w:szCs w:val="21"/>
      <w:lang w:val="en-US" w:eastAsia="en-US" w:bidi="ar-SA"/>
    </w:rPr>
  </w:style>
  <w:style w:styleId="Heading1" w:type="paragraph">
    <w:name w:val="Heading 1"/>
    <w:basedOn w:val="Normal"/>
    <w:uiPriority w:val="1"/>
    <w:qFormat/>
    <w:pPr>
      <w:spacing w:before="1"/>
      <w:ind w:left="3840"/>
      <w:outlineLvl w:val="1"/>
    </w:pPr>
    <w:rPr>
      <w:rFonts w:ascii="Arial" w:hAnsi="Arial" w:eastAsia="Arial" w:cs="Arial"/>
      <w:b/>
      <w:bCs/>
      <w:sz w:val="40"/>
      <w:szCs w:val="40"/>
      <w:lang w:val="en-US" w:eastAsia="en-US" w:bidi="ar-SA"/>
    </w:rPr>
  </w:style>
  <w:style w:styleId="Heading2" w:type="paragraph">
    <w:name w:val="Heading 2"/>
    <w:basedOn w:val="Normal"/>
    <w:uiPriority w:val="1"/>
    <w:qFormat/>
    <w:pPr>
      <w:ind w:left="197"/>
      <w:jc w:val="both"/>
      <w:outlineLvl w:val="2"/>
    </w:pPr>
    <w:rPr>
      <w:rFonts w:ascii="Times New Roman" w:hAnsi="Times New Roman" w:eastAsia="Times New Roman" w:cs="Times New Roman"/>
      <w:sz w:val="22"/>
      <w:szCs w:val="22"/>
      <w:lang w:val="en-US" w:eastAsia="en-US" w:bidi="ar-SA"/>
    </w:rPr>
  </w:style>
  <w:style w:styleId="ListParagraph" w:type="paragraph">
    <w:name w:val="List Paragraph"/>
    <w:basedOn w:val="Normal"/>
    <w:uiPriority w:val="1"/>
    <w:qFormat/>
    <w:pPr>
      <w:ind w:left="4200" w:hanging="360"/>
    </w:pPr>
    <w:rPr>
      <w:rFonts w:ascii="Arial" w:hAnsi="Arial" w:eastAsia="Arial" w:cs="Arial"/>
      <w:lang w:val="en-US" w:eastAsia="en-US" w:bidi="ar-SA"/>
    </w:rPr>
  </w:style>
  <w:style w:styleId="TableParagraph" w:type="paragraph">
    <w:name w:val="Table Paragraph"/>
    <w:basedOn w:val="Normal"/>
    <w:uiPriority w:val="1"/>
    <w:qFormat/>
    <w:pPr>
      <w:spacing w:before="48"/>
      <w:jc w:val="center"/>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hyperlink" Target="http://www.worldbank.org/" TargetMode="External"/><Relationship Id="rId19" Type="http://schemas.openxmlformats.org/officeDocument/2006/relationships/hyperlink" Target="http://www.copyright.com/" TargetMode="External"/><Relationship Id="rId20" Type="http://schemas.openxmlformats.org/officeDocument/2006/relationships/hyperlink" Target="mailto:pubrights@worldbank.org" TargetMode="Externa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hyperlink" Target="http://www.fiata.com/" TargetMode="External"/><Relationship Id="rId24" Type="http://schemas.openxmlformats.org/officeDocument/2006/relationships/hyperlink" Target="http://www.utu.fi/en" TargetMode="External"/><Relationship Id="rId25" Type="http://schemas.openxmlformats.org/officeDocument/2006/relationships/header" Target="header1.xml"/><Relationship Id="rId26" Type="http://schemas.openxmlformats.org/officeDocument/2006/relationships/footer" Target="footer4.xml"/><Relationship Id="rId27" Type="http://schemas.openxmlformats.org/officeDocument/2006/relationships/footer" Target="footer5.xml"/><Relationship Id="rId28" Type="http://schemas.openxmlformats.org/officeDocument/2006/relationships/header" Target="header2.xml"/><Relationship Id="rId29" Type="http://schemas.openxmlformats.org/officeDocument/2006/relationships/header" Target="header3.xml"/><Relationship Id="rId30" Type="http://schemas.openxmlformats.org/officeDocument/2006/relationships/footer" Target="footer6.xml"/><Relationship Id="rId31" Type="http://schemas.openxmlformats.org/officeDocument/2006/relationships/footer" Target="footer7.xml"/><Relationship Id="rId32" Type="http://schemas.openxmlformats.org/officeDocument/2006/relationships/header" Target="header4.xml"/><Relationship Id="rId33" Type="http://schemas.openxmlformats.org/officeDocument/2006/relationships/header" Target="header5.xml"/><Relationship Id="rId34" Type="http://schemas.openxmlformats.org/officeDocument/2006/relationships/footer" Target="footer8.xml"/><Relationship Id="rId35" Type="http://schemas.openxmlformats.org/officeDocument/2006/relationships/header" Target="header6.xml"/><Relationship Id="rId36" Type="http://schemas.openxmlformats.org/officeDocument/2006/relationships/footer" Target="footer9.xml"/><Relationship Id="rId37" Type="http://schemas.openxmlformats.org/officeDocument/2006/relationships/header" Target="header7.xml"/><Relationship Id="rId38" Type="http://schemas.openxmlformats.org/officeDocument/2006/relationships/header" Target="header8.xml"/><Relationship Id="rId39" Type="http://schemas.openxmlformats.org/officeDocument/2006/relationships/footer" Target="footer10.xml"/><Relationship Id="rId40" Type="http://schemas.openxmlformats.org/officeDocument/2006/relationships/footer" Target="footer11.xml"/><Relationship Id="rId41" Type="http://schemas.openxmlformats.org/officeDocument/2006/relationships/image" Target="media/image13.png"/><Relationship Id="rId42" Type="http://schemas.openxmlformats.org/officeDocument/2006/relationships/header" Target="header9.xml"/><Relationship Id="rId43" Type="http://schemas.openxmlformats.org/officeDocument/2006/relationships/header" Target="header10.xml"/><Relationship Id="rId44" Type="http://schemas.openxmlformats.org/officeDocument/2006/relationships/footer" Target="footer12.xml"/><Relationship Id="rId45" Type="http://schemas.openxmlformats.org/officeDocument/2006/relationships/footer" Target="footer13.xml"/><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header" Target="header11.xml"/><Relationship Id="rId50" Type="http://schemas.openxmlformats.org/officeDocument/2006/relationships/footer" Target="footer14.xml"/><Relationship Id="rId51" Type="http://schemas.openxmlformats.org/officeDocument/2006/relationships/footer" Target="footer15.xml"/><Relationship Id="rId52" Type="http://schemas.openxmlformats.org/officeDocument/2006/relationships/header" Target="header12.xml"/><Relationship Id="rId53" Type="http://schemas.openxmlformats.org/officeDocument/2006/relationships/header" Target="header13.xml"/><Relationship Id="rId54" Type="http://schemas.openxmlformats.org/officeDocument/2006/relationships/header" Target="header14.xml"/><Relationship Id="rId55" Type="http://schemas.openxmlformats.org/officeDocument/2006/relationships/footer" Target="footer16.xml"/><Relationship Id="rId56" Type="http://schemas.openxmlformats.org/officeDocument/2006/relationships/footer" Target="footer17.xml"/><Relationship Id="rId57" Type="http://schemas.openxmlformats.org/officeDocument/2006/relationships/header" Target="header15.xml"/><Relationship Id="rId58" Type="http://schemas.openxmlformats.org/officeDocument/2006/relationships/header" Target="header16.xml"/><Relationship Id="rId59" Type="http://schemas.openxmlformats.org/officeDocument/2006/relationships/header" Target="header17.xml"/><Relationship Id="rId60" Type="http://schemas.openxmlformats.org/officeDocument/2006/relationships/footer" Target="footer18.xml"/><Relationship Id="rId61" Type="http://schemas.openxmlformats.org/officeDocument/2006/relationships/footer" Target="footer19.xml"/><Relationship Id="rId62" Type="http://schemas.openxmlformats.org/officeDocument/2006/relationships/image" Target="media/image17.png"/><Relationship Id="rId63" Type="http://schemas.openxmlformats.org/officeDocument/2006/relationships/image" Target="media/image18.png"/><Relationship Id="rId64" Type="http://schemas.openxmlformats.org/officeDocument/2006/relationships/image" Target="media/image19.png"/><Relationship Id="rId65" Type="http://schemas.openxmlformats.org/officeDocument/2006/relationships/image" Target="media/image20.pn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hyperlink" Target="https://lpi.worldbank.org/" TargetMode="External"/><Relationship Id="rId69" Type="http://schemas.openxmlformats.org/officeDocument/2006/relationships/image" Target="media/image23.png"/><Relationship Id="rId70" Type="http://schemas.openxmlformats.org/officeDocument/2006/relationships/header" Target="header18.xml"/><Relationship Id="rId71" Type="http://schemas.openxmlformats.org/officeDocument/2006/relationships/footer" Target="footer20.xml"/><Relationship Id="rId72" Type="http://schemas.openxmlformats.org/officeDocument/2006/relationships/footer" Target="footer21.xml"/><Relationship Id="rId73" Type="http://schemas.openxmlformats.org/officeDocument/2006/relationships/header" Target="header19.xml"/><Relationship Id="rId74" Type="http://schemas.openxmlformats.org/officeDocument/2006/relationships/header" Target="header20.xml"/><Relationship Id="rId75" Type="http://schemas.openxmlformats.org/officeDocument/2006/relationships/image" Target="media/image24.png"/><Relationship Id="rId76" Type="http://schemas.openxmlformats.org/officeDocument/2006/relationships/image" Target="media/image25.png"/><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image" Target="media/image28.png"/><Relationship Id="rId80" Type="http://schemas.openxmlformats.org/officeDocument/2006/relationships/image" Target="media/image29.png"/><Relationship Id="rId81" Type="http://schemas.openxmlformats.org/officeDocument/2006/relationships/image" Target="media/image30.png"/><Relationship Id="rId82" Type="http://schemas.openxmlformats.org/officeDocument/2006/relationships/image" Target="media/image31.png"/><Relationship Id="rId83" Type="http://schemas.openxmlformats.org/officeDocument/2006/relationships/footer" Target="footer22.xml"/><Relationship Id="rId84" Type="http://schemas.openxmlformats.org/officeDocument/2006/relationships/footer" Target="footer23.xml"/><Relationship Id="rId85" Type="http://schemas.openxmlformats.org/officeDocument/2006/relationships/image" Target="media/image32.png"/><Relationship Id="rId86" Type="http://schemas.openxmlformats.org/officeDocument/2006/relationships/image" Target="media/image33.png"/><Relationship Id="rId87" Type="http://schemas.openxmlformats.org/officeDocument/2006/relationships/hyperlink" Target="https://nldsl.in/" TargetMode="External"/><Relationship Id="rId88" Type="http://schemas.openxmlformats.org/officeDocument/2006/relationships/image" Target="media/image34.png"/><Relationship Id="rId89" Type="http://schemas.openxmlformats.org/officeDocument/2006/relationships/image" Target="media/image35.png"/><Relationship Id="rId90" Type="http://schemas.openxmlformats.org/officeDocument/2006/relationships/image" Target="media/image36.png"/><Relationship Id="rId91" Type="http://schemas.openxmlformats.org/officeDocument/2006/relationships/image" Target="media/image37.png"/><Relationship Id="rId92" Type="http://schemas.openxmlformats.org/officeDocument/2006/relationships/image" Target="media/image38.png"/><Relationship Id="rId93" Type="http://schemas.openxmlformats.org/officeDocument/2006/relationships/image" Target="media/image39.png"/><Relationship Id="rId94" Type="http://schemas.openxmlformats.org/officeDocument/2006/relationships/header" Target="header21.xml"/><Relationship Id="rId95" Type="http://schemas.openxmlformats.org/officeDocument/2006/relationships/footer" Target="footer24.xml"/><Relationship Id="rId96" Type="http://schemas.openxmlformats.org/officeDocument/2006/relationships/footer" Target="footer25.xml"/><Relationship Id="rId97" Type="http://schemas.openxmlformats.org/officeDocument/2006/relationships/header" Target="header22.xml"/><Relationship Id="rId98" Type="http://schemas.openxmlformats.org/officeDocument/2006/relationships/header" Target="header23.xml"/><Relationship Id="rId99" Type="http://schemas.openxmlformats.org/officeDocument/2006/relationships/header" Target="header24.xml"/><Relationship Id="rId100" Type="http://schemas.openxmlformats.org/officeDocument/2006/relationships/footer" Target="footer26.xml"/><Relationship Id="rId101" Type="http://schemas.openxmlformats.org/officeDocument/2006/relationships/footer" Target="footer27.xml"/><Relationship Id="rId102" Type="http://schemas.openxmlformats.org/officeDocument/2006/relationships/header" Target="header25.xml"/><Relationship Id="rId103" Type="http://schemas.openxmlformats.org/officeDocument/2006/relationships/hyperlink" Target="https://data.worldbank.org/indicator/NY.GDP.MKTP.KD.ZG" TargetMode="External"/><Relationship Id="rId104" Type="http://schemas.openxmlformats.org/officeDocument/2006/relationships/hyperlink" Target="https://www.hhs.gov/formula/index.html" TargetMode="External"/><Relationship Id="rId105" Type="http://schemas.openxmlformats.org/officeDocument/2006/relationships/hyperlink" Target="http://www.dinalog.nl/en/" TargetMode="External"/><Relationship Id="rId106" Type="http://schemas.openxmlformats.org/officeDocument/2006/relationships/hyperlink" Target="https://www.un.org/ohrlls/content/landlocked-developing-countries" TargetMode="External"/><Relationship Id="rId107" Type="http://schemas.openxmlformats.org/officeDocument/2006/relationships/hyperlink" Target="https://www.portaltim.sieca.int/TIM/Portal/archivos/Manual_PortalTIM.pdf" TargetMode="External"/><Relationship Id="rId108" Type="http://schemas.openxmlformats.org/officeDocument/2006/relationships/hyperlink" Target="https://www.newyorkfed.org/research/policy/gscpi%23/overview" TargetMode="External"/><Relationship Id="rId109" Type="http://schemas.openxmlformats.org/officeDocument/2006/relationships/header" Target="header26.xml"/><Relationship Id="rId110" Type="http://schemas.openxmlformats.org/officeDocument/2006/relationships/footer" Target="footer28.xml"/><Relationship Id="rId111" Type="http://schemas.openxmlformats.org/officeDocument/2006/relationships/footer" Target="footer29.xml"/><Relationship Id="rId112" Type="http://schemas.openxmlformats.org/officeDocument/2006/relationships/header" Target="header27.xml"/><Relationship Id="rId113" Type="http://schemas.openxmlformats.org/officeDocument/2006/relationships/header" Target="header28.xml"/><Relationship Id="rId114" Type="http://schemas.openxmlformats.org/officeDocument/2006/relationships/header" Target="header29.xml"/><Relationship Id="rId115" Type="http://schemas.openxmlformats.org/officeDocument/2006/relationships/footer" Target="footer30.xml"/><Relationship Id="rId116" Type="http://schemas.openxmlformats.org/officeDocument/2006/relationships/footer" Target="footer31.xml"/><Relationship Id="rId117" Type="http://schemas.openxmlformats.org/officeDocument/2006/relationships/header" Target="header30.xml"/><Relationship Id="rId118" Type="http://schemas.openxmlformats.org/officeDocument/2006/relationships/header" Target="header31.xml"/><Relationship Id="rId119" Type="http://schemas.openxmlformats.org/officeDocument/2006/relationships/header" Target="header32.xml"/><Relationship Id="rId120" Type="http://schemas.openxmlformats.org/officeDocument/2006/relationships/footer" Target="footer32.xml"/><Relationship Id="rId121" Type="http://schemas.openxmlformats.org/officeDocument/2006/relationships/footer" Target="footer33.xml"/><Relationship Id="rId122" Type="http://schemas.openxmlformats.org/officeDocument/2006/relationships/header" Target="header33.xml"/><Relationship Id="rId123" Type="http://schemas.openxmlformats.org/officeDocument/2006/relationships/footer" Target="footer34.xml"/><Relationship Id="rId124" Type="http://schemas.openxmlformats.org/officeDocument/2006/relationships/footer" Target="footer35.xml"/><Relationship Id="rId125" Type="http://schemas.openxmlformats.org/officeDocument/2006/relationships/header" Target="header34.xml"/><Relationship Id="rId126" Type="http://schemas.openxmlformats.org/officeDocument/2006/relationships/header" Target="header35.xml"/><Relationship Id="rId127" Type="http://schemas.openxmlformats.org/officeDocument/2006/relationships/footer" Target="footer36.xml"/><Relationship Id="rId128" Type="http://schemas.openxmlformats.org/officeDocument/2006/relationships/footer" Target="footer37.xml"/><Relationship Id="rId129" Type="http://schemas.openxmlformats.org/officeDocument/2006/relationships/header" Target="header36.xml"/><Relationship Id="rId130" Type="http://schemas.openxmlformats.org/officeDocument/2006/relationships/hyperlink" Target="https://www.cargoiq.org/value-proposition" TargetMode="External"/><Relationship Id="rId131" Type="http://schemas.openxmlformats.org/officeDocument/2006/relationships/header" Target="header37.xml"/><Relationship Id="rId132" Type="http://schemas.openxmlformats.org/officeDocument/2006/relationships/header" Target="header38.xml"/><Relationship Id="rId133" Type="http://schemas.openxmlformats.org/officeDocument/2006/relationships/footer" Target="footer38.xml"/><Relationship Id="rId134" Type="http://schemas.openxmlformats.org/officeDocument/2006/relationships/footer" Target="footer39.xml"/><Relationship Id="rId135" Type="http://schemas.openxmlformats.org/officeDocument/2006/relationships/image" Target="media/image40.png"/><Relationship Id="rId136" Type="http://schemas.openxmlformats.org/officeDocument/2006/relationships/hyperlink" Target="https://www.tradelens.com/network" TargetMode="External"/><Relationship Id="rId137" Type="http://schemas.openxmlformats.org/officeDocument/2006/relationships/image" Target="media/image41.png"/><Relationship Id="rId138" Type="http://schemas.openxmlformats.org/officeDocument/2006/relationships/image" Target="media/image42.png"/><Relationship Id="rId139" Type="http://schemas.openxmlformats.org/officeDocument/2006/relationships/image" Target="media/image43.png"/><Relationship Id="rId140" Type="http://schemas.openxmlformats.org/officeDocument/2006/relationships/image" Target="media/image44.png"/><Relationship Id="rId141" Type="http://schemas.openxmlformats.org/officeDocument/2006/relationships/image" Target="media/image45.png"/><Relationship Id="rId142" Type="http://schemas.openxmlformats.org/officeDocument/2006/relationships/image" Target="media/image46.png"/><Relationship Id="rId143" Type="http://schemas.openxmlformats.org/officeDocument/2006/relationships/image" Target="media/image47.png"/><Relationship Id="rId144" Type="http://schemas.openxmlformats.org/officeDocument/2006/relationships/image" Target="media/image48.png"/><Relationship Id="rId145" Type="http://schemas.openxmlformats.org/officeDocument/2006/relationships/header" Target="header39.xml"/><Relationship Id="rId146" Type="http://schemas.openxmlformats.org/officeDocument/2006/relationships/footer" Target="footer40.xml"/><Relationship Id="rId147" Type="http://schemas.openxmlformats.org/officeDocument/2006/relationships/footer" Target="footer41.xml"/><Relationship Id="rId148" Type="http://schemas.openxmlformats.org/officeDocument/2006/relationships/header" Target="header40.xml"/><Relationship Id="rId149" Type="http://schemas.openxmlformats.org/officeDocument/2006/relationships/header" Target="header41.xml"/><Relationship Id="rId150" Type="http://schemas.openxmlformats.org/officeDocument/2006/relationships/footer" Target="footer42.xml"/><Relationship Id="rId151" Type="http://schemas.openxmlformats.org/officeDocument/2006/relationships/footer" Target="footer43.xml"/><Relationship Id="rId152" Type="http://schemas.openxmlformats.org/officeDocument/2006/relationships/image" Target="media/image49.png"/><Relationship Id="rId153" Type="http://schemas.openxmlformats.org/officeDocument/2006/relationships/header" Target="header42.xml"/><Relationship Id="rId154" Type="http://schemas.openxmlformats.org/officeDocument/2006/relationships/image" Target="media/image50.png"/><Relationship Id="rId155" Type="http://schemas.openxmlformats.org/officeDocument/2006/relationships/image" Target="media/image51.png"/><Relationship Id="rId156" Type="http://schemas.openxmlformats.org/officeDocument/2006/relationships/image" Target="media/image52.png"/><Relationship Id="rId157" Type="http://schemas.openxmlformats.org/officeDocument/2006/relationships/image" Target="media/image53.png"/><Relationship Id="rId158" Type="http://schemas.openxmlformats.org/officeDocument/2006/relationships/image" Target="media/image54.png"/><Relationship Id="rId159" Type="http://schemas.openxmlformats.org/officeDocument/2006/relationships/image" Target="media/image55.png"/><Relationship Id="rId160" Type="http://schemas.openxmlformats.org/officeDocument/2006/relationships/image" Target="media/image56.png"/><Relationship Id="rId161" Type="http://schemas.openxmlformats.org/officeDocument/2006/relationships/image" Target="media/image57.png"/><Relationship Id="rId162" Type="http://schemas.openxmlformats.org/officeDocument/2006/relationships/image" Target="media/image58.png"/><Relationship Id="rId163" Type="http://schemas.openxmlformats.org/officeDocument/2006/relationships/header" Target="header43.xml"/><Relationship Id="rId164" Type="http://schemas.openxmlformats.org/officeDocument/2006/relationships/footer" Target="footer44.xml"/><Relationship Id="rId165" Type="http://schemas.openxmlformats.org/officeDocument/2006/relationships/footer" Target="footer45.xml"/><Relationship Id="rId166" Type="http://schemas.openxmlformats.org/officeDocument/2006/relationships/image" Target="media/image59.png"/><Relationship Id="rId167" Type="http://schemas.openxmlformats.org/officeDocument/2006/relationships/image" Target="media/image60.png"/><Relationship Id="rId168" Type="http://schemas.openxmlformats.org/officeDocument/2006/relationships/image" Target="media/image61.png"/><Relationship Id="rId169" Type="http://schemas.openxmlformats.org/officeDocument/2006/relationships/image" Target="media/image62.png"/><Relationship Id="rId170" Type="http://schemas.openxmlformats.org/officeDocument/2006/relationships/image" Target="media/image63.png"/><Relationship Id="rId171" Type="http://schemas.openxmlformats.org/officeDocument/2006/relationships/image" Target="media/image64.png"/><Relationship Id="rId172" Type="http://schemas.openxmlformats.org/officeDocument/2006/relationships/image" Target="media/image65.png"/><Relationship Id="rId173" Type="http://schemas.openxmlformats.org/officeDocument/2006/relationships/image" Target="media/image66.png"/><Relationship Id="rId174" Type="http://schemas.openxmlformats.org/officeDocument/2006/relationships/image" Target="media/image67.png"/><Relationship Id="rId175" Type="http://schemas.openxmlformats.org/officeDocument/2006/relationships/image" Target="media/image68.png"/><Relationship Id="rId176" Type="http://schemas.openxmlformats.org/officeDocument/2006/relationships/image" Target="media/image69.png"/><Relationship Id="rId177" Type="http://schemas.openxmlformats.org/officeDocument/2006/relationships/image" Target="media/image70.png"/><Relationship Id="rId178" Type="http://schemas.openxmlformats.org/officeDocument/2006/relationships/header" Target="header44.xml"/><Relationship Id="rId179" Type="http://schemas.openxmlformats.org/officeDocument/2006/relationships/header" Target="header45.xml"/><Relationship Id="rId180" Type="http://schemas.openxmlformats.org/officeDocument/2006/relationships/footer" Target="footer46.xml"/><Relationship Id="rId181" Type="http://schemas.openxmlformats.org/officeDocument/2006/relationships/footer" Target="footer47.xml"/><Relationship Id="rId182" Type="http://schemas.openxmlformats.org/officeDocument/2006/relationships/header" Target="header46.xml"/><Relationship Id="rId183" Type="http://schemas.openxmlformats.org/officeDocument/2006/relationships/header" Target="header47.xml"/><Relationship Id="rId184" Type="http://schemas.openxmlformats.org/officeDocument/2006/relationships/footer" Target="footer48.xml"/><Relationship Id="rId185" Type="http://schemas.openxmlformats.org/officeDocument/2006/relationships/footer" Target="footer49.xml"/><Relationship Id="rId186" Type="http://schemas.openxmlformats.org/officeDocument/2006/relationships/header" Target="header48.xml"/><Relationship Id="rId187" Type="http://schemas.openxmlformats.org/officeDocument/2006/relationships/hyperlink" Target="https://link.springer.com/book/10.1007/978-3-030-31140-7" TargetMode="External"/><Relationship Id="rId188" Type="http://schemas.openxmlformats.org/officeDocument/2006/relationships/header" Target="header49.xml"/><Relationship Id="rId189" Type="http://schemas.openxmlformats.org/officeDocument/2006/relationships/footer" Target="footer50.xml"/><Relationship Id="rId190" Type="http://schemas.openxmlformats.org/officeDocument/2006/relationships/footer" Target="footer51.xml"/><Relationship Id="rId191" Type="http://schemas.openxmlformats.org/officeDocument/2006/relationships/header" Target="header50.xml"/><Relationship Id="rId192" Type="http://schemas.openxmlformats.org/officeDocument/2006/relationships/hyperlink" Target="https://www.mckinsey.com/industries/travel-logistics-and-infrastructure/our-insights/signed-sealed-and-delivered-unpacking-the-cross-border-parcel-markets-promise" TargetMode="External"/><Relationship Id="rId193" Type="http://schemas.openxmlformats.org/officeDocument/2006/relationships/hyperlink" Target="https://studiumadscaldim.be/insights/it-s-the-supply-stupid" TargetMode="External"/><Relationship Id="rId194" Type="http://schemas.openxmlformats.org/officeDocument/2006/relationships/hyperlink" Target="https://joppp.biomedcentral.com/articles/10.1186/s40545-022-00411-5" TargetMode="External"/><Relationship Id="rId195" Type="http://schemas.openxmlformats.org/officeDocument/2006/relationships/hyperlink" Target="https://www.mckinsey.com/industries/public-and-social-sector/our-insights/port-to-patient-improving-country-cold-chains-for-covid-19-vaccines" TargetMode="External"/><Relationship Id="rId196" Type="http://schemas.openxmlformats.org/officeDocument/2006/relationships/hyperlink" Target="https://www.adb.org/sites/default/files/publication/327451/adbi-win-win-how-international-trade-can-help-meet-sdgs.pdf#page%3D394" TargetMode="External"/><Relationship Id="rId197" Type="http://schemas.openxmlformats.org/officeDocument/2006/relationships/hyperlink" Target="https://www.iata.org/en/publications/newsletters/iata-knowledge-hub/what-types-of-cargo-are-transported-by-air/" TargetMode="External"/><Relationship Id="rId198" Type="http://schemas.openxmlformats.org/officeDocument/2006/relationships/hyperlink" Target="https://www.washingtonpost.com/podcasts/post-reports/americas-broken-supply-chain/" TargetMode="External"/><Relationship Id="rId199" Type="http://schemas.openxmlformats.org/officeDocument/2006/relationships/hyperlink" Target="https://www.sciencedirect.com/science/article/pii/S2352484721014785" TargetMode="External"/><Relationship Id="rId200" Type="http://schemas.openxmlformats.org/officeDocument/2006/relationships/hyperlink" Target="https://foreignpolicy.com/2022/10/08/fertilizer-war-climate-shortage-food-agriculture-africa-europe" TargetMode="External"/><Relationship Id="rId201" Type="http://schemas.openxmlformats.org/officeDocument/2006/relationships/hyperlink" Target="https://unctad.org/news/global-e-commerce-jumps-267-trillion-covid-19-boosts-online-sales" TargetMode="External"/><Relationship Id="rId202" Type="http://schemas.openxmlformats.org/officeDocument/2006/relationships/hyperlink" Target="https://unctad.org/system/files/official-document/rmt2021_en_0.pdf" TargetMode="External"/><Relationship Id="rId203" Type="http://schemas.openxmlformats.org/officeDocument/2006/relationships/header" Target="header51.xml"/><Relationship Id="rId204" Type="http://schemas.openxmlformats.org/officeDocument/2006/relationships/footer" Target="footer52.xml"/><Relationship Id="rId205" Type="http://schemas.openxmlformats.org/officeDocument/2006/relationships/hyperlink" Target="https://unece.org/trade/cefact/unlocode-code-list-country-and-territory" TargetMode="External"/><Relationship Id="rId206" Type="http://schemas.openxmlformats.org/officeDocument/2006/relationships/hyperlink" Target="https://openknowledge.worldbank.org/handle/10986/2490" TargetMode="External"/><Relationship Id="rId207" Type="http://schemas.openxmlformats.org/officeDocument/2006/relationships/hyperlink" Target="https://openknowledge.worldbank.org/handle/10986/13822" TargetMode="External"/><Relationship Id="rId208" Type="http://schemas.openxmlformats.org/officeDocument/2006/relationships/hyperlink" Target="https://openknowledge.worldbank.org/handle/10986/18241" TargetMode="External"/><Relationship Id="rId209" Type="http://schemas.openxmlformats.org/officeDocument/2006/relationships/hyperlink" Target="https://openknowledge.worldbank.org/handle/10986/37538" TargetMode="External"/><Relationship Id="rId210" Type="http://schemas.openxmlformats.org/officeDocument/2006/relationships/header" Target="header52.xml"/><Relationship Id="rId211" Type="http://schemas.openxmlformats.org/officeDocument/2006/relationships/footer" Target="footer53.xml"/><Relationship Id="rId212" Type="http://schemas.openxmlformats.org/officeDocument/2006/relationships/header" Target="header53.xml"/><Relationship Id="rId213" Type="http://schemas.openxmlformats.org/officeDocument/2006/relationships/footer" Target="footer54.xml"/><Relationship Id="rId214" Type="http://schemas.openxmlformats.org/officeDocument/2006/relationships/image" Target="media/image71.png"/><Relationship Id="rId215" Type="http://schemas.openxmlformats.org/officeDocument/2006/relationships/image" Target="media/image72.png"/><Relationship Id="rId216" Type="http://schemas.openxmlformats.org/officeDocument/2006/relationships/image" Target="media/image73.png"/><Relationship Id="rId217" Type="http://schemas.openxmlformats.org/officeDocument/2006/relationships/image" Target="media/image74.png"/><Relationship Id="rId218" Type="http://schemas.openxmlformats.org/officeDocument/2006/relationships/image" Target="media/image75.png"/><Relationship Id="rId219" Type="http://schemas.openxmlformats.org/officeDocument/2006/relationships/image" Target="media/image76.png"/><Relationship Id="rId220" Type="http://schemas.openxmlformats.org/officeDocument/2006/relationships/image" Target="media/image77.png"/><Relationship Id="rId221" Type="http://schemas.openxmlformats.org/officeDocument/2006/relationships/image" Target="media/image78.png"/><Relationship Id="rId222" Type="http://schemas.openxmlformats.org/officeDocument/2006/relationships/image" Target="media/image79.png"/><Relationship Id="rId223" Type="http://schemas.openxmlformats.org/officeDocument/2006/relationships/image" Target="media/image80.png"/><Relationship Id="rId224" Type="http://schemas.openxmlformats.org/officeDocument/2006/relationships/image" Target="media/image81.png"/><Relationship Id="rId225" Type="http://schemas.openxmlformats.org/officeDocument/2006/relationships/image" Target="media/image82.png"/><Relationship Id="rId226" Type="http://schemas.openxmlformats.org/officeDocument/2006/relationships/image" Target="media/image83.png"/><Relationship Id="rId227" Type="http://schemas.openxmlformats.org/officeDocument/2006/relationships/image" Target="media/image84.png"/><Relationship Id="rId22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2025-02-11T17:50:14Z</dcterms:created>
  <dcterms:modified xsi:type="dcterms:W3CDTF">2025-02-11T17:50:14Z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2023-04-15T00:00:00Z</vt:filetime>
  </property>
  <property fmtid="{D5CDD505-2E9C-101B-9397-08002B2CF9AE}" pid="3" name="Creator">
    <vt:lpwstr>Adobe InDesign 18.2 (Macintosh)</vt:lpwstr>
  </property>
  <property fmtid="{D5CDD505-2E9C-101B-9397-08002B2CF9AE}" pid="4" name="LastSaved">
    <vt:filetime>2025-02-11T00:00:00Z</vt:filetime>
  </property>
  <property fmtid="{D5CDD505-2E9C-101B-9397-08002B2CF9AE}" pid="5" name="Producer">
    <vt:lpwstr>Adobe PDF Library 17.0</vt:lpwstr>
  </property>
</Properties>
</file>